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98AA" w14:textId="1AFB4210" w:rsidR="00E836FB" w:rsidRDefault="00994958">
      <w:pPr>
        <w:rPr>
          <w:vanish/>
        </w:rPr>
      </w:pPr>
      <w:r>
        <w:rPr>
          <w:rFonts w:ascii="宋体" w:eastAsia="宋体" w:hAnsi="宋体" w:cs="宋体"/>
        </w:rPr>
        <w:t xml:space="preserve"> </w:t>
      </w:r>
      <w:r>
        <w:rPr>
          <w:rFonts w:ascii="宋体" w:eastAsia="宋体" w:hAnsi="宋体" w:cs="宋体"/>
          <w:vanish/>
        </w:rPr>
        <w:t>00000937512021FYFALSEP5YP3YP16Y0.000255.903.1080.015.253.5973.79980.000255.353.7090.015.6252.539P1Yhttp://fasb.org/us-gaap/2021-01-31#PropertyPlantAndEquipmentAndFinanceLeaseRightOfUseAssetAfterAccumulatedDepreciationAndAmortizationhttp://fasb.org/us-gaap/</w:t>
      </w:r>
      <w:r>
        <w:rPr>
          <w:rFonts w:ascii="宋体" w:eastAsia="宋体" w:hAnsi="宋体" w:cs="宋体"/>
          <w:vanish/>
        </w:rPr>
        <w:t>2021-01-31#PropertyPlantAndEquipmentAndFinanceLeaseRightOfUseAssetAfterAccumulatedDepreciationAndAmortizationhttp://fasb.org/us-gaap/2021-01-31#LongTermDebtAndCapitalLeaseObligationsIncludingCurrentMaturitieshttp://fasb.org/us-gaap/2021-01-31#LongTermDebtA</w:t>
      </w:r>
      <w:r>
        <w:rPr>
          <w:rFonts w:ascii="宋体" w:eastAsia="宋体" w:hAnsi="宋体" w:cs="宋体"/>
          <w:vanish/>
        </w:rPr>
        <w:t>ndCapitalLeaseObligationsIncludingCurrentMaturitieshttp://fasb.org/us-gaap/2021-01-31#OtherAssetshttp://fasb.org/us-gaap/2021-01-31#OtherAssetshttp://fasb.org/us-gaap/2021-01-31#AccruedLiabilitiesCurrentAndNoncurrent00000937512021-01-012021-12-310000093751</w:t>
      </w:r>
      <w:r>
        <w:rPr>
          <w:rFonts w:ascii="宋体" w:eastAsia="宋体" w:hAnsi="宋体" w:cs="宋体"/>
          <w:vanish/>
        </w:rPr>
        <w:t>us-gaap:CommonStockMember2021-01-012021-12-310000093751stt:SeriesDPreferredStockDepositoryShareMember2021-01-012021-12-310000093751stt:SeriesGPreferredStockDepositoryShareMember2021-01-012021-12-3100000937512021-06-30iso4217:USD00000937512022-01-31xbrli:sh</w:t>
      </w:r>
      <w:r>
        <w:rPr>
          <w:rFonts w:ascii="宋体" w:eastAsia="宋体" w:hAnsi="宋体" w:cs="宋体"/>
          <w:vanish/>
        </w:rPr>
        <w:t>ares00000937512020-01-012020-12-3100000937512019-01-012019-12-31iso4217:USDxbrli:shares00000937512021-12-3100000937512020-12-310000093751us-gaap:SeriesDPreferredStockMember2021-12-310000093751us-gaap:SeriesDPreferredStockMember2020-12-310000093751us-gaap:S</w:t>
      </w:r>
      <w:r>
        <w:rPr>
          <w:rFonts w:ascii="宋体" w:eastAsia="宋体" w:hAnsi="宋体" w:cs="宋体"/>
          <w:vanish/>
        </w:rPr>
        <w:t>eriesFPreferredStockMember2021-12-310000093751us-gaap:SeriesFPreferredStockMember2020-12-310000093751us-gaap:SeriesGPreferredStockMember2021-12-310000093751us-gaap:SeriesGPreferredStockMember2020-12-310000093751us-gaap:SeriesHPreferredStockMember2021-12-31</w:t>
      </w:r>
      <w:r>
        <w:rPr>
          <w:rFonts w:ascii="宋体" w:eastAsia="宋体" w:hAnsi="宋体" w:cs="宋体"/>
          <w:vanish/>
        </w:rPr>
        <w:t>0000093751us-gaap:SeriesHPreferredStockMember2020-12-310000093751stt:BaselIIIAdvancedApproachMember2021-12-310000093751stt:BaselIIIstandardizedApproachMember2020-12-310000093751stt:BaselIIIAdvancedApproachMember2020-12-310000093751us-gaap:PreferredStockMem</w:t>
      </w:r>
      <w:r>
        <w:rPr>
          <w:rFonts w:ascii="宋体" w:eastAsia="宋体" w:hAnsi="宋体" w:cs="宋体"/>
          <w:vanish/>
        </w:rPr>
        <w:t>ber2018-12-310000093751us-gaap:CommonStockMember2018-12-310000093751us-gaap:AdditionalPaidInCapitalMember2018-12-310000093751us-gaap:RetainedEarningsMember2018-12-310000093751us-gaap:AccumulatedOtherComprehensiveIncomeMember2018-12-310000093751us-gaap:Trea</w:t>
      </w:r>
      <w:r>
        <w:rPr>
          <w:rFonts w:ascii="宋体" w:eastAsia="宋体" w:hAnsi="宋体" w:cs="宋体"/>
          <w:vanish/>
        </w:rPr>
        <w:t>suryStockMember2018-12-3100000937512018-12-310000093751us-gaap:RetainedEarningsMember2019-01-012019-12-310000093751us-gaap:AccumulatedOtherComprehensiveIncomeMember2019-01-012019-12-310000093751us-gaap:PreferredStockMember2019-01-012019-12-310000093751us-g</w:t>
      </w:r>
      <w:r>
        <w:rPr>
          <w:rFonts w:ascii="宋体" w:eastAsia="宋体" w:hAnsi="宋体" w:cs="宋体"/>
          <w:vanish/>
        </w:rPr>
        <w:t>aap:TreasuryStockMember2019-01-012019-12-310000093751us-gaap:AdditionalPaidInCapitalMember2019-01-012019-12-310000093751us-gaap:PreferredStockMember2019-12-310000093751us-gaap:CommonStockMember2019-12-310000093751us-gaap:AdditionalPaidInCapitalMember2019-1</w:t>
      </w:r>
      <w:r>
        <w:rPr>
          <w:rFonts w:ascii="宋体" w:eastAsia="宋体" w:hAnsi="宋体" w:cs="宋体"/>
          <w:vanish/>
        </w:rPr>
        <w:t>2-310000093751us-gaap:RetainedEarningsMember2019-12-310000093751us-gaap:AccumulatedOtherComprehensiveIncomeMember2019-12-310000093751us-gaap:TreasuryStockMember2019-12-3100000937512019-12-310000093751us-gaap:RetainedEarningsMember2020-01-012020-12-31000009</w:t>
      </w:r>
      <w:r>
        <w:rPr>
          <w:rFonts w:ascii="宋体" w:eastAsia="宋体" w:hAnsi="宋体" w:cs="宋体"/>
          <w:vanish/>
        </w:rPr>
        <w:t>3751us-gaap:AccumulatedOtherComprehensiveIncomeMember2020-01-012020-12-310000093751us-gaap:PreferredStockMember2020-01-012020-12-310000093751us-gaap:TreasuryStockMember2020-01-012020-12-310000093751us-gaap:AdditionalPaidInCapitalMember2020-01-012020-12-310</w:t>
      </w:r>
      <w:r>
        <w:rPr>
          <w:rFonts w:ascii="宋体" w:eastAsia="宋体" w:hAnsi="宋体" w:cs="宋体"/>
          <w:vanish/>
        </w:rPr>
        <w:t>000093751us-gaap:PreferredStockMember2020-12-310000093751us-gaap:CommonStockMember2020-12-310000093751us-gaap:AdditionalPaidInCapitalMember2020-12-310000093751us-gaap:RetainedEarningsMember2020-12-310000093751us-gaap:AccumulatedOtherComprehensiveIncomeMemb</w:t>
      </w:r>
      <w:r>
        <w:rPr>
          <w:rFonts w:ascii="宋体" w:eastAsia="宋体" w:hAnsi="宋体" w:cs="宋体"/>
          <w:vanish/>
        </w:rPr>
        <w:t>er2020-12-310000093751us-gaap:TreasuryStockMember2020-12-310000093751us-gaap:RetainedEarningsMember2021-01-012021-12-310000093751us-gaap:AccumulatedOtherComprehensiveIncomeMember2021-01-012021-12-310000093751us-gaap:AdditionalPaidInCapitalMember2021-01-012</w:t>
      </w:r>
      <w:r>
        <w:rPr>
          <w:rFonts w:ascii="宋体" w:eastAsia="宋体" w:hAnsi="宋体" w:cs="宋体"/>
          <w:vanish/>
        </w:rPr>
        <w:t>021-12-310000093751us-gaap:TreasuryStockMember2021-01-012021-12-310000093751us-gaap:PreferredStockMember2021-01-012021-12-310000093751us-gaap:PreferredStockMember2021-12-310000093751us-gaap:CommonStockMember2021-12-310000093751us-gaap:AdditionalPaidInCapit</w:t>
      </w:r>
      <w:r>
        <w:rPr>
          <w:rFonts w:ascii="宋体" w:eastAsia="宋体" w:hAnsi="宋体" w:cs="宋体"/>
          <w:vanish/>
        </w:rPr>
        <w:t>alMember2021-12-310000093751us-gaap:RetainedEarningsMember2021-12-310000093751us-gaap:AccumulatedOtherComprehensiveIncomeMember2021-12-310000093751us-gaap:TreasuryStockMember2021-12-31stt:line_of_business00000937512021-10-012021-12-310000093751us-gaap:Fair</w:t>
      </w:r>
      <w:r>
        <w:rPr>
          <w:rFonts w:ascii="宋体" w:eastAsia="宋体" w:hAnsi="宋体" w:cs="宋体"/>
          <w:vanish/>
        </w:rPr>
        <w:t>ValueMeasurementsRecurringMemberus-gaap:FairValueInputsLevel1Memberus-gaap:USGovernmentDebtSecuritiesMember2021-12-310000093751us-gaap:FairValueMeasurementsRecurringMemberus-gaap:USGovernmentDebtSecuritiesMemberus-gaap:FairValueInputsLevel2Member2021-12-31</w:t>
      </w:r>
      <w:r>
        <w:rPr>
          <w:rFonts w:ascii="宋体" w:eastAsia="宋体" w:hAnsi="宋体" w:cs="宋体"/>
          <w:vanish/>
        </w:rPr>
        <w:t>0000093751us-gaap:FairValueMeasurementsRecurringMemberus-gaap:FairValueInputsLevel3Memberus-gaap:USGovernmentDebtSecuritiesMember2021-12-310000093751us-gaap:FairValueMeasurementsRecurringMemberus-gaap:USGovernmentDebtSecuritiesMember2021-12-310000093751us-</w:t>
      </w:r>
      <w:r>
        <w:rPr>
          <w:rFonts w:ascii="宋体" w:eastAsia="宋体" w:hAnsi="宋体" w:cs="宋体"/>
          <w:vanish/>
        </w:rPr>
        <w:t>gaap:FairValueMeasurementsRecurringMemberus-gaap:FairValueInputsLevel1Memberus-gaap:ForeignGovernmentDebtSecuritiesMember2021-12-310000093751us-gaap:FairValueMeasurementsRecurringMemberus-gaap:ForeignGovernmentDebtSecuritiesMemberus-gaap:FairValueInputsLev</w:t>
      </w:r>
      <w:r>
        <w:rPr>
          <w:rFonts w:ascii="宋体" w:eastAsia="宋体" w:hAnsi="宋体" w:cs="宋体"/>
          <w:vanish/>
        </w:rPr>
        <w:t>el2Member2021-12-310000093751us-gaap:FairValueMeasurementsRecurringMemberus-gaap:FairValueInputsLevel3Memberus-gaap:ForeignGovernmentDebtSecuritiesMember2021-12-310000093751us-gaap:FairValueMeasurementsRecurringMemberus-gaap:ForeignGovernmentDebtSecurities</w:t>
      </w:r>
      <w:r>
        <w:rPr>
          <w:rFonts w:ascii="宋体" w:eastAsia="宋体" w:hAnsi="宋体" w:cs="宋体"/>
          <w:vanish/>
        </w:rPr>
        <w:t>Member2021-12-310000093751us-gaap:FairValueMeasurementsRecurringMemberus-gaap:FairValueInputsLevel1Memberus-gaap:OtherDebtSecuritiesMember2021-12-310000093751us-gaap:FairValueMeasurementsRecurringMemberus-gaap:OtherDebtSecuritiesMemberus-gaap:FairValueInpu</w:t>
      </w:r>
      <w:r>
        <w:rPr>
          <w:rFonts w:ascii="宋体" w:eastAsia="宋体" w:hAnsi="宋体" w:cs="宋体"/>
          <w:vanish/>
        </w:rPr>
        <w:t>tsLevel2Member2021-12-310000093751us-gaap:FairValueMeasurementsRecurringMemberus-gaap:FairValueInputsLevel3Memberus-gaap:OtherDebtSecuritiesMember2021-12-310000093751us-gaap:FairValueMeasurementsRecurringMemberus-gaap:OtherDebtSecuritiesMember2021-12-31000</w:t>
      </w:r>
      <w:r>
        <w:rPr>
          <w:rFonts w:ascii="宋体" w:eastAsia="宋体" w:hAnsi="宋体" w:cs="宋体"/>
          <w:vanish/>
        </w:rPr>
        <w:t>0093751us-gaap:FairValueMeasurementsRecurringMemberus-gaap:FairValueInputsLevel1Member2021-12-310000093751us-gaap:FairValueMeasurementsRecurringMemberus-gaap:FairValueInputsLevel2Member2021-12-310000093751us-gaap:FairValueMeasurementsRecurringMemberus-gaap</w:t>
      </w:r>
      <w:r>
        <w:rPr>
          <w:rFonts w:ascii="宋体" w:eastAsia="宋体" w:hAnsi="宋体" w:cs="宋体"/>
          <w:vanish/>
        </w:rPr>
        <w:t>:FairValueInputsLevel3Member2021-12-310000093751us-gaap:FairValueMeasurementsRecurringMember2021-12-310000093751us-gaap:FairValueMeasurementsRecurringMemberus-gaap:FairValueInputsLevel1Memberstt:UsTreasuryAndFederalAgenciesDirectObligationsMember2021-12-31</w:t>
      </w:r>
      <w:r>
        <w:rPr>
          <w:rFonts w:ascii="宋体" w:eastAsia="宋体" w:hAnsi="宋体" w:cs="宋体"/>
          <w:vanish/>
        </w:rPr>
        <w:t>0000093751us-gaap:FairValueMeasurementsRecurringMemberstt:UsTreasuryAndFederalAgenciesDirectObligationsMemberus-gaap:FairValueInputsLevel2Member2021-12-310000093751us-gaap:FairValueMeasurementsRecurringMemberus-gaap:FairValueInputsLevel3Memberstt:UsTreasur</w:t>
      </w:r>
      <w:r>
        <w:rPr>
          <w:rFonts w:ascii="宋体" w:eastAsia="宋体" w:hAnsi="宋体" w:cs="宋体"/>
          <w:vanish/>
        </w:rPr>
        <w:t>yAndFederalAgenciesDirectObligationsMember2021-12-310000093751us-gaap:FairValueMeasurementsRecurringMemberstt:UsTreasuryAndFederalAgenciesDirectObligationsMember2021-12-310000093751us-gaap:FairValueMeasurementsRecurringMemberus-gaap:FairValueInputsLevel1Me</w:t>
      </w:r>
      <w:r>
        <w:rPr>
          <w:rFonts w:ascii="宋体" w:eastAsia="宋体" w:hAnsi="宋体" w:cs="宋体"/>
          <w:vanish/>
        </w:rPr>
        <w:t>mberstt:UsTreasuryAndFederalAgenciesMortgageBackedSecuritiesMember2021-12-310000093751us-gaap:FairValueMeasurementsRecurringMemberus-gaap:FairValueInputsLevel2Memberstt:UsTreasuryAndFederalAgenciesMortgageBackedSecuritiesMember2021-12-310000093751us-gaap:F</w:t>
      </w:r>
      <w:r>
        <w:rPr>
          <w:rFonts w:ascii="宋体" w:eastAsia="宋体" w:hAnsi="宋体" w:cs="宋体"/>
          <w:vanish/>
        </w:rPr>
        <w:t>airValueMeasurementsRecurringMemberus-gaap:FairValueInputsLevel3Memberstt:UsTreasuryAndFederalAgenciesMortgageBackedSecuritiesMember2021-12-310000093751us-gaap:FairValueMeasurementsRecurringMemberstt:UsTreasuryAndFederalAgenciesMortgageBackedSecuritiesMemb</w:t>
      </w:r>
      <w:r>
        <w:rPr>
          <w:rFonts w:ascii="宋体" w:eastAsia="宋体" w:hAnsi="宋体" w:cs="宋体"/>
          <w:vanish/>
        </w:rPr>
        <w:t>er2021-12-310000093751us-gaap:FairValueMeasurementsRecurringMemberus-gaap:FairValueInputsLevel1Memberus-gaap:USTreasuryAndGovernmentMember2021-12-310000093751us-gaap:FairValueMeasurementsRecurringMemberus-gaap:USTreasuryAndGovernmentMemberus-gaap:FairValue</w:t>
      </w:r>
      <w:r>
        <w:rPr>
          <w:rFonts w:ascii="宋体" w:eastAsia="宋体" w:hAnsi="宋体" w:cs="宋体"/>
          <w:vanish/>
        </w:rPr>
        <w:t>InputsLevel2Member2021-12-310000093751us-gaap:FairValueMeasurementsRecurringMemberus-gaap:FairValueInputsLevel3Memberus-gaap:USTreasuryAndGovernmentMember2021-12-310000093751us-gaap:FairValueMeasurementsRecurringMemberus-gaap:USTreasuryAndGovernmentMember2</w:t>
      </w:r>
      <w:r>
        <w:rPr>
          <w:rFonts w:ascii="宋体" w:eastAsia="宋体" w:hAnsi="宋体" w:cs="宋体"/>
          <w:vanish/>
        </w:rPr>
        <w:t>021-12-310000093751us-gaap:FairValueMeasurementsRecurringMemberus-gaap:FairValueInputsLevel1Memberstt:NonUsDebtSecuritiesMortgageBackedSecuritiesMember2021-12-310000093751us-gaap:FairValueMeasurementsRecurringMemberus-gaap:FairValueInputsLevel2Memberstt:No</w:t>
      </w:r>
      <w:r>
        <w:rPr>
          <w:rFonts w:ascii="宋体" w:eastAsia="宋体" w:hAnsi="宋体" w:cs="宋体"/>
          <w:vanish/>
        </w:rPr>
        <w:t>nUsDebtSecuritiesMortgageBackedSecuritiesMember2021-12-310000093751us-gaap:FairValueMeasurementsRecurringMemberus-gaap:FairValueInputsLevel3Memberstt:NonUsDebtSecuritiesMortgageBackedSecuritiesMember2021-12-310000093751us-gaap:FairValueMeasurementsRecurrin</w:t>
      </w:r>
      <w:r>
        <w:rPr>
          <w:rFonts w:ascii="宋体" w:eastAsia="宋体" w:hAnsi="宋体" w:cs="宋体"/>
          <w:vanish/>
        </w:rPr>
        <w:t>gMemberstt:NonUsDebtSecuritiesMortgageBackedSecuritiesMember2021-12-310000093751us-gaap:FairValueMeasurementsRecurringMemberus-gaap:FairValueInputsLevel1Memberstt:NonUsDebtSecuritiesAssetBackedSecuritiesMember2021-12-310000093751us-gaap:FairValueMeasuremen</w:t>
      </w:r>
      <w:r>
        <w:rPr>
          <w:rFonts w:ascii="宋体" w:eastAsia="宋体" w:hAnsi="宋体" w:cs="宋体"/>
          <w:vanish/>
        </w:rPr>
        <w:t>tsRecurringMemberstt:NonUsDebtSecuritiesAssetBackedSecuritiesMemberus-gaap:FairValueInputsLevel2Member2021-12-310000093751us-gaap:FairValueMeasurementsRecurringMemberus-gaap:FairValueInputsLevel3Memberstt:NonUsDebtSecuritiesAssetBackedSecuritiesMember2021-</w:t>
      </w:r>
      <w:r>
        <w:rPr>
          <w:rFonts w:ascii="宋体" w:eastAsia="宋体" w:hAnsi="宋体" w:cs="宋体"/>
          <w:vanish/>
        </w:rPr>
        <w:t>12-310000093751us-gaap:FairValueMeasurementsRecurringMemberstt:NonUsDebtSecuritiesAssetBackedSecuritiesMember2021-12-310000093751us-gaap:FairValueMeasurementsRecurringMemberus-gaap:FairValueInputsLevel1Memberstt:NonUSDebtSecuritiesForeignSovereignSupranati</w:t>
      </w:r>
      <w:r>
        <w:rPr>
          <w:rFonts w:ascii="宋体" w:eastAsia="宋体" w:hAnsi="宋体" w:cs="宋体"/>
          <w:vanish/>
        </w:rPr>
        <w:t>onalAndNonAgencySecuritiesMember2021-12-310000093751us-gaap:FairValueMeasurementsRecurringMemberstt:NonUSDebtSecuritiesForeignSovereignSupranationalAndNonAgencySecuritiesMemberus-gaap:FairValueInputsLevel2Member2021-12-310000093751us-gaap:FairValueMeasurem</w:t>
      </w:r>
      <w:r>
        <w:rPr>
          <w:rFonts w:ascii="宋体" w:eastAsia="宋体" w:hAnsi="宋体" w:cs="宋体"/>
          <w:vanish/>
        </w:rPr>
        <w:t>entsRecurringMemberus-gaap:FairValueInputsLevel3Memberstt:NonUSDebtSecuritiesForeignSovereignSupranationalAndNonAgencySecuritiesMember2021-12-310000093751us-gaap:FairValueMeasurementsRecurringMemberstt:NonUSDebtSecuritiesForeignSovereignSupranationalAndNon</w:t>
      </w:r>
      <w:r>
        <w:rPr>
          <w:rFonts w:ascii="宋体" w:eastAsia="宋体" w:hAnsi="宋体" w:cs="宋体"/>
          <w:vanish/>
        </w:rPr>
        <w:t>AgencySecuritiesMember2021-12-310000093751us-gaap:FairValueMeasurementsRecurringMemberus-gaap:FairValueInputsLevel1Memberstt:NonUsDebtSecuritiesOtherMember2021-12-310000093751us-gaap:FairValueMeasurementsRecurringMemberstt:NonUsDebtSecuritiesOtherMemberus-</w:t>
      </w:r>
      <w:r>
        <w:rPr>
          <w:rFonts w:ascii="宋体" w:eastAsia="宋体" w:hAnsi="宋体" w:cs="宋体"/>
          <w:vanish/>
        </w:rPr>
        <w:t>gaap:FairValueInputsLevel2Member2021-12-310000093751us-gaap:FairValueMeasurementsRecurringMemberus-gaap:FairValueInputsLevel3Memberstt:NonUsDebtSecuritiesOtherMember2021-12-310000093751us-gaap:FairValueMeasurementsRecurringMemberstt:NonUsDebtSecuritiesOthe</w:t>
      </w:r>
      <w:r>
        <w:rPr>
          <w:rFonts w:ascii="宋体" w:eastAsia="宋体" w:hAnsi="宋体" w:cs="宋体"/>
          <w:vanish/>
        </w:rPr>
        <w:t>rMember2021-12-310000093751us-gaap:FairValueMeasurementsRecurringMemberus-gaap:FairValueInputsLevel1Memberstt:NonUSDebtSecuritiesMember2021-12-310000093751us-gaap:FairValueMeasurementsRecurringMemberstt:NonUSDebtSecuritiesMemberus-gaap:FairValueInputsLevel</w:t>
      </w:r>
      <w:r>
        <w:rPr>
          <w:rFonts w:ascii="宋体" w:eastAsia="宋体" w:hAnsi="宋体" w:cs="宋体"/>
          <w:vanish/>
        </w:rPr>
        <w:t>2Member2021-12-310000093751us-gaap:FairValueMeasurementsRecurringMemberus-gaap:FairValueInputsLevel3Memberstt:NonUSDebtSecuritiesMember2021-12-310000093751us-gaap:FairValueMeasurementsRecurringMemberstt:NonUSDebtSecuritiesMember2021-12-310000093751us-gaap:</w:t>
      </w:r>
      <w:r>
        <w:rPr>
          <w:rFonts w:ascii="宋体" w:eastAsia="宋体" w:hAnsi="宋体" w:cs="宋体"/>
          <w:vanish/>
        </w:rPr>
        <w:t>FairValueMeasurementsRecurringMemberus-gaap:FairValueInputsLevel1Memberstt:AssetBackedSecuritiesStudentLoansMember2021-12-310000093751us-gaap:FairValueMeasurementsRecurringMemberstt:AssetBackedSecuritiesStudentLoansMemberus-gaap:FairValueInputsLevel2Member</w:t>
      </w:r>
      <w:r>
        <w:rPr>
          <w:rFonts w:ascii="宋体" w:eastAsia="宋体" w:hAnsi="宋体" w:cs="宋体"/>
          <w:vanish/>
        </w:rPr>
        <w:t>2021-12-310000093751us-gaap:FairValueMeasurementsRecurringMemberus-gaap:FairValueInputsLevel3Memberstt:AssetBackedSecuritiesStudentLoansMember2021-12-310000093751us-gaap:FairValueMeasurementsRecurringMemberstt:AssetBackedSecuritiesStudentLoansMember2021-12</w:t>
      </w:r>
      <w:r>
        <w:rPr>
          <w:rFonts w:ascii="宋体" w:eastAsia="宋体" w:hAnsi="宋体" w:cs="宋体"/>
          <w:vanish/>
        </w:rPr>
        <w:t>-310000093751us-gaap:FairValueMeasurementsRecurringMemberus-gaap:FairValueInputsLevel1Memberstt:AssetbackedSecuritiesCollateralizedLoanObligationsMember2021-12-310000093751us-gaap:FairValueMeasurementsRecurringMemberus-gaap:FairValueInputsLevel2Memberstt:A</w:t>
      </w:r>
      <w:r>
        <w:rPr>
          <w:rFonts w:ascii="宋体" w:eastAsia="宋体" w:hAnsi="宋体" w:cs="宋体"/>
          <w:vanish/>
        </w:rPr>
        <w:t>ssetbackedSecuritiesCollateralizedLoanObligationsMember2021-12-310000093751us-gaap:FairValueMeasurementsRecurringMemberus-gaap:FairValueInputsLevel3Memberstt:AssetbackedSecuritiesCollateralizedLoanObligationsMember2021-12-310000093751us-gaap:FairValueMeasu</w:t>
      </w:r>
      <w:r>
        <w:rPr>
          <w:rFonts w:ascii="宋体" w:eastAsia="宋体" w:hAnsi="宋体" w:cs="宋体"/>
          <w:vanish/>
        </w:rPr>
        <w:t>rementsRecurringMemberstt:AssetbackedSecuritiesCollateralizedLoanObligationsMember2021-12-310000093751us-gaap:FairValueMeasurementsRecurringMemberus-gaap:FairValueInputsLevel1Memberstt:NonAgencyCMBSAndRMBSMember2021-12-310000093751us-gaap:FairValueMeasurem</w:t>
      </w:r>
      <w:r>
        <w:rPr>
          <w:rFonts w:ascii="宋体" w:eastAsia="宋体" w:hAnsi="宋体" w:cs="宋体"/>
          <w:vanish/>
        </w:rPr>
        <w:t>entsRecurringMemberus-gaap:FairValueInputsLevel2Memberstt:NonAgencyCMBSAndRMBSMember2021-12-310000093751us-gaap:FairValueMeasurementsRecurringMemberus-gaap:FairValueInputsLevel3Memberstt:NonAgencyCMBSAndRMBSMember2021-12-310000093751us-gaap:FairValueMeasur</w:t>
      </w:r>
      <w:r>
        <w:rPr>
          <w:rFonts w:ascii="宋体" w:eastAsia="宋体" w:hAnsi="宋体" w:cs="宋体"/>
          <w:vanish/>
        </w:rPr>
        <w:t>ementsRecurringMemberstt:NonAgencyCMBSAndRMBSMember2021-12-310000093751us-gaap:FairValueMeasurementsRecurringMemberus-gaap:FairValueInputsLevel1Memberstt:AssetBackedSecuritiesOtherMember2021-12-310000093751us-gaap:FairValueMeasurementsRecurringMemberstt:As</w:t>
      </w:r>
      <w:r>
        <w:rPr>
          <w:rFonts w:ascii="宋体" w:eastAsia="宋体" w:hAnsi="宋体" w:cs="宋体"/>
          <w:vanish/>
        </w:rPr>
        <w:t>setBackedSecuritiesOtherMemberus-gaap:FairValueInputsLevel2Member2021-12-310000093751us-gaap:FairValueMeasurementsRecurringMemberus-gaap:FairValueInputsLevel3Memberstt:AssetBackedSecuritiesOtherMember2021-12-310000093751us-gaap:FairValueMeasurementsRecurri</w:t>
      </w:r>
      <w:r>
        <w:rPr>
          <w:rFonts w:ascii="宋体" w:eastAsia="宋体" w:hAnsi="宋体" w:cs="宋体"/>
          <w:vanish/>
        </w:rPr>
        <w:t>ngMemberstt:AssetBackedSecuritiesOtherMember2021-12-310000093751us-gaap:FairValueMeasurementsRecurringMemberus-gaap:FairValueInputsLevel1Memberus-gaap:AssetBackedSecuritiesMember2021-12-310000093751us-gaap:FairValueMeasurementsRecurringMemberus-gaap:AssetB</w:t>
      </w:r>
      <w:r>
        <w:rPr>
          <w:rFonts w:ascii="宋体" w:eastAsia="宋体" w:hAnsi="宋体" w:cs="宋体"/>
          <w:vanish/>
        </w:rPr>
        <w:t>ackedSecuritiesMemberus-gaap:FairValueInputsLevel2Member2021-12-310000093751us-gaap:FairValueMeasurementsRecurringMemberus-gaap:FairValueInputsLevel3Memberus-gaap:AssetBackedSecuritiesMember2021-12-310000093751us-gaap:FairValueMeasurementsRecurringMemberus</w:t>
      </w:r>
      <w:r>
        <w:rPr>
          <w:rFonts w:ascii="宋体" w:eastAsia="宋体" w:hAnsi="宋体" w:cs="宋体"/>
          <w:vanish/>
        </w:rPr>
        <w:t>-gaap:AssetBackedSecuritiesMember2021-12-310000093751us-gaap:FairValueMeasurementsRecurringMemberus-gaap:FairValueInputsLevel1Memberus-gaap:USStatesAndPoliticalSubdivisionsMember2021-12-310000093751us-gaap:FairValueMeasurementsRecurringMemberus-gaap:USStat</w:t>
      </w:r>
      <w:r>
        <w:rPr>
          <w:rFonts w:ascii="宋体" w:eastAsia="宋体" w:hAnsi="宋体" w:cs="宋体"/>
          <w:vanish/>
        </w:rPr>
        <w:t>esAndPoliticalSubdivisionsMemberus-gaap:FairValueInputsLevel2Member2021-12-310000093751us-gaap:FairValueMeasurementsRecurringMemberus-gaap:FairValueInputsLevel3Memberus-gaap:USStatesAndPoliticalSubdivisionsMember2021-12-310000093751us-gaap:FairValueMeasure</w:t>
      </w:r>
      <w:r>
        <w:rPr>
          <w:rFonts w:ascii="宋体" w:eastAsia="宋体" w:hAnsi="宋体" w:cs="宋体"/>
          <w:vanish/>
        </w:rPr>
        <w:t>mentsRecurringMemberus-gaap:USStatesAndPoliticalSubdivisionsMember2021-12-310000093751us-gaap:FairValueMeasurementsRecurringMemberus-gaap:FairValueInputsLevel1Memberus-gaap:ForeignExchangeContractMember2021-12-310000093751us-gaap:FairValueMeasurementsRecur</w:t>
      </w:r>
      <w:r>
        <w:rPr>
          <w:rFonts w:ascii="宋体" w:eastAsia="宋体" w:hAnsi="宋体" w:cs="宋体"/>
          <w:vanish/>
        </w:rPr>
        <w:t>ringMemberus-gaap:ForeignExchangeContractMemberus-gaap:FairValueInputsLevel2Member2021-12-310000093751us-gaap:FairValueMeasurementsRecurringMemberus-gaap:FairValueInputsLevel3Memberus-gaap:ForeignExchangeContractMember2021-12-310000093751us-gaap:FairValueM</w:t>
      </w:r>
      <w:r>
        <w:rPr>
          <w:rFonts w:ascii="宋体" w:eastAsia="宋体" w:hAnsi="宋体" w:cs="宋体"/>
          <w:vanish/>
        </w:rPr>
        <w:t>easurementsRecurringMemberus-gaap:ForeignExchangeContractMember2021-12-310000093751us-gaap:FairValueMeasurementsRecurringMemberus-gaap:FairValueInputsLevel1Memberus-gaap:InterestRateContractMember2021-12-310000093751us-gaap:FairValueMeasurementsRecurringMe</w:t>
      </w:r>
      <w:r>
        <w:rPr>
          <w:rFonts w:ascii="宋体" w:eastAsia="宋体" w:hAnsi="宋体" w:cs="宋体"/>
          <w:vanish/>
        </w:rPr>
        <w:t>mberus-gaap:InterestRateContractMemberus-gaap:FairValueInputsLevel2Member2021-12-310000093751us-gaap:FairValueMeasurementsRecurringMemberus-gaap:FairValueInputsLevel3Memberus-gaap:InterestRateContractMember2021-12-310000093751us-gaap:FairValueMeasurementsR</w:t>
      </w:r>
      <w:r>
        <w:rPr>
          <w:rFonts w:ascii="宋体" w:eastAsia="宋体" w:hAnsi="宋体" w:cs="宋体"/>
          <w:vanish/>
        </w:rPr>
        <w:t>ecurringMemberus-gaap:InterestRateContractMember2021-12-310000093751us-gaap:FairValueMeasurementsRecurringMemberus-gaap:FairValueInputsLevel1Memberus-gaap:OtherCreditDerivativesMember2021-12-310000093751us-gaap:FairValueMeasurementsRecurringMemberus-gaap:F</w:t>
      </w:r>
      <w:r>
        <w:rPr>
          <w:rFonts w:ascii="宋体" w:eastAsia="宋体" w:hAnsi="宋体" w:cs="宋体"/>
          <w:vanish/>
        </w:rPr>
        <w:t>airValueInputsLevel2Memberus-gaap:OtherCreditDerivativesMember2021-12-310000093751us-gaap:FairValueMeasurementsRecurringMemberus-gaap:FairValueInputsLevel3Memberus-gaap:OtherCreditDerivativesMember2021-12-310000093751us-gaap:FairValueMeasurementsRecurringM</w:t>
      </w:r>
      <w:r>
        <w:rPr>
          <w:rFonts w:ascii="宋体" w:eastAsia="宋体" w:hAnsi="宋体" w:cs="宋体"/>
          <w:vanish/>
        </w:rPr>
        <w:t>emberus-gaap:OtherCreditDerivativesMember2021-12-310000093751us-gaap:FairValueMeasurementsRecurringMemberus-gaap:FairValueInputsLevel1Memberus-gaap:USGovernmentDebtSecuritiesMember2020-12-310000093751us-gaap:FairValueMeasurementsRecurringMemberus-gaap:USGo</w:t>
      </w:r>
      <w:r>
        <w:rPr>
          <w:rFonts w:ascii="宋体" w:eastAsia="宋体" w:hAnsi="宋体" w:cs="宋体"/>
          <w:vanish/>
        </w:rPr>
        <w:t>vernmentDebtSecuritiesMemberus-gaap:FairValueInputsLevel2Member2020-12-310000093751us-gaap:FairValueMeasurementsRecurringMemberus-gaap:FairValueInputsLevel3Memberus-gaap:USGovernmentDebtSecuritiesMember2020-12-310000093751us-gaap:FairValueMeasurementsRecur</w:t>
      </w:r>
      <w:r>
        <w:rPr>
          <w:rFonts w:ascii="宋体" w:eastAsia="宋体" w:hAnsi="宋体" w:cs="宋体"/>
          <w:vanish/>
        </w:rPr>
        <w:t>ringMemberus-gaap:USGovernmentDebtSecuritiesMember2020-12-310000093751us-gaap:FairValueMeasurementsRecurringMemberus-gaap:FairValueInputsLevel1Memberus-gaap:ForeignGovernmentDebtSecuritiesMember2020-12-310000093751us-gaap:FairValueMeasurementsRecurringMemb</w:t>
      </w:r>
      <w:r>
        <w:rPr>
          <w:rFonts w:ascii="宋体" w:eastAsia="宋体" w:hAnsi="宋体" w:cs="宋体"/>
          <w:vanish/>
        </w:rPr>
        <w:t>erus-gaap:ForeignGovernmentDebtSecuritiesMemberus-gaap:FairValueInputsLevel2Member2020-12-310000093751us-gaap:FairValueMeasurementsRecurringMemberus-gaap:FairValueInputsLevel3Memberus-gaap:ForeignGovernmentDebtSecuritiesMember2020-12-310000093751us-gaap:Fa</w:t>
      </w:r>
      <w:r>
        <w:rPr>
          <w:rFonts w:ascii="宋体" w:eastAsia="宋体" w:hAnsi="宋体" w:cs="宋体"/>
          <w:vanish/>
        </w:rPr>
        <w:t>irValueMeasurementsRecurringMemberus-gaap:ForeignGovernmentDebtSecuritiesMember2020-12-310000093751us-gaap:FairValueMeasurementsRecurringMemberus-gaap:FairValueInputsLevel1Memberus-gaap:OtherDebtSecuritiesMember2020-12-310000093751us-gaap:FairValueMeasurem</w:t>
      </w:r>
      <w:r>
        <w:rPr>
          <w:rFonts w:ascii="宋体" w:eastAsia="宋体" w:hAnsi="宋体" w:cs="宋体"/>
          <w:vanish/>
        </w:rPr>
        <w:t>entsRecurringMemberus-gaap:OtherDebtSecuritiesMemberus-gaap:FairValueInputsLevel2Member2020-12-310000093751us-gaap:FairValueMeasurementsRecurringMemberus-gaap:FairValueInputsLevel3Memberus-gaap:OtherDebtSecuritiesMember2020-12-310000093751us-gaap:FairValue</w:t>
      </w:r>
      <w:r>
        <w:rPr>
          <w:rFonts w:ascii="宋体" w:eastAsia="宋体" w:hAnsi="宋体" w:cs="宋体"/>
          <w:vanish/>
        </w:rPr>
        <w:t>MeasurementsRecurringMemberus-gaap:OtherDebtSecuritiesMember2020-12-310000093751us-gaap:FairValueMeasurementsRecurringMemberus-gaap:FairValueInputsLevel1Member2020-12-310000093751us-gaap:FairValueMeasurementsRecurringMemberus-gaap:FairValueInputsLevel2Memb</w:t>
      </w:r>
      <w:r>
        <w:rPr>
          <w:rFonts w:ascii="宋体" w:eastAsia="宋体" w:hAnsi="宋体" w:cs="宋体"/>
          <w:vanish/>
        </w:rPr>
        <w:t>er2020-12-310000093751us-gaap:FairValueMeasurementsRecurringMemberus-gaap:FairValueInputsLevel3Member2020-12-310000093751us-gaap:FairValueMeasurementsRecurringMember2020-12-310000093751us-gaap:FairValueMeasurementsRecurringMemberus-gaap:FairValueInputsLeve</w:t>
      </w:r>
      <w:r>
        <w:rPr>
          <w:rFonts w:ascii="宋体" w:eastAsia="宋体" w:hAnsi="宋体" w:cs="宋体"/>
          <w:vanish/>
        </w:rPr>
        <w:t>l1Memberstt:UsTreasuryAndFederalAgenciesDirectObligationsMember2020-12-310000093751us-gaap:FairValueMeasurementsRecurringMemberstt:UsTreasuryAndFederalAgenciesDirectObligationsMemberus-gaap:FairValueInputsLevel2Member2020-12-310000093751us-gaap:FairValueMe</w:t>
      </w:r>
      <w:r>
        <w:rPr>
          <w:rFonts w:ascii="宋体" w:eastAsia="宋体" w:hAnsi="宋体" w:cs="宋体"/>
          <w:vanish/>
        </w:rPr>
        <w:t>asurementsRecurringMemberus-gaap:FairValueInputsLevel3Memberstt:UsTreasuryAndFederalAgenciesDirectObligationsMember2020-12-310000093751us-gaap:FairValueMeasurementsRecurringMemberstt:UsTreasuryAndFederalAgenciesDirectObligationsMember2020-12-310000093751us</w:t>
      </w:r>
      <w:r>
        <w:rPr>
          <w:rFonts w:ascii="宋体" w:eastAsia="宋体" w:hAnsi="宋体" w:cs="宋体"/>
          <w:vanish/>
        </w:rPr>
        <w:t>-gaap:FairValueMeasurementsRecurringMemberus-gaap:FairValueInputsLevel1Memberstt:UsTreasuryAndFederalAgenciesMortgageBackedSecuritiesMember2020-12-310000093751us-gaap:FairValueMeasurementsRecurringMemberus-gaap:FairValueInputsLevel2Memberstt:UsTreasuryAndF</w:t>
      </w:r>
      <w:r>
        <w:rPr>
          <w:rFonts w:ascii="宋体" w:eastAsia="宋体" w:hAnsi="宋体" w:cs="宋体"/>
          <w:vanish/>
        </w:rPr>
        <w:t>ederalAgenciesMortgageBackedSecuritiesMember2020-12-310000093751us-gaap:FairValueMeasurementsRecurringMemberus-gaap:FairValueInputsLevel3Memberstt:UsTreasuryAndFederalAgenciesMortgageBackedSecuritiesMember2020-12-310000093751us-gaap:FairValueMeasurementsRe</w:t>
      </w:r>
      <w:r>
        <w:rPr>
          <w:rFonts w:ascii="宋体" w:eastAsia="宋体" w:hAnsi="宋体" w:cs="宋体"/>
          <w:vanish/>
        </w:rPr>
        <w:t>curringMemberstt:UsTreasuryAndFederalAgenciesMortgageBackedSecuritiesMember2020-12-310000093751us-gaap:FairValueMeasurementsRecurringMemberus-gaap:FairValueInputsLevel1Memberus-gaap:USTreasuryAndGovernmentMember2020-12-310000093751us-gaap:FairValueMeasurem</w:t>
      </w:r>
      <w:r>
        <w:rPr>
          <w:rFonts w:ascii="宋体" w:eastAsia="宋体" w:hAnsi="宋体" w:cs="宋体"/>
          <w:vanish/>
        </w:rPr>
        <w:t>entsRecurringMemberus-gaap:USTreasuryAndGovernmentMemberus-gaap:FairValueInputsLevel2Member2020-12-310000093751us-gaap:FairValueMeasurementsRecurringMemberus-gaap:FairValueInputsLevel3Memberus-gaap:USTreasuryAndGovernmentMember2020-12-310000093751us-gaap:F</w:t>
      </w:r>
      <w:r>
        <w:rPr>
          <w:rFonts w:ascii="宋体" w:eastAsia="宋体" w:hAnsi="宋体" w:cs="宋体"/>
          <w:vanish/>
        </w:rPr>
        <w:t>airValueMeasurementsRecurringMemberus-gaap:USTreasuryAndGovernmentMember2020-12-310000093751us-gaap:FairValueMeasurementsRecurringMemberus-gaap:FairValueInputsLevel1Memberstt:NonUsDebtSecuritiesMortgageBackedSecuritiesMember2020-12-310000093751us-gaap:Fair</w:t>
      </w:r>
      <w:r>
        <w:rPr>
          <w:rFonts w:ascii="宋体" w:eastAsia="宋体" w:hAnsi="宋体" w:cs="宋体"/>
          <w:vanish/>
        </w:rPr>
        <w:t>ValueMeasurementsRecurringMemberus-gaap:FairValueInputsLevel2Memberstt:NonUsDebtSecuritiesMortgageBackedSecuritiesMember2020-12-310000093751us-gaap:FairValueMeasurementsRecurringMemberus-gaap:FairValueInputsLevel3Memberstt:NonUsDebtSecuritiesMortgageBacked</w:t>
      </w:r>
      <w:r>
        <w:rPr>
          <w:rFonts w:ascii="宋体" w:eastAsia="宋体" w:hAnsi="宋体" w:cs="宋体"/>
          <w:vanish/>
        </w:rPr>
        <w:t>SecuritiesMember2020-12-310000093751us-gaap:FairValueMeasurementsRecurringMemberstt:NonUsDebtSecuritiesMortgageBackedSecuritiesMember2020-12-310000093751us-gaap:FairValueMeasurementsRecurringMemberus-gaap:FairValueInputsLevel1Memberstt:NonUsDebtSecuritiesA</w:t>
      </w:r>
      <w:r>
        <w:rPr>
          <w:rFonts w:ascii="宋体" w:eastAsia="宋体" w:hAnsi="宋体" w:cs="宋体"/>
          <w:vanish/>
        </w:rPr>
        <w:t>ssetBackedSecuritiesMember2020-12-310000093751us-gaap:FairValueMeasurementsRecurringMemberstt:NonUsDebtSecuritiesAssetBackedSecuritiesMemberus-gaap:FairValueInputsLevel2Member2020-12-310000093751us-gaap:FairValueMeasurementsRecurringMemberus-gaap:FairValue</w:t>
      </w:r>
      <w:r>
        <w:rPr>
          <w:rFonts w:ascii="宋体" w:eastAsia="宋体" w:hAnsi="宋体" w:cs="宋体"/>
          <w:vanish/>
        </w:rPr>
        <w:t>InputsLevel3Memberstt:NonUsDebtSecuritiesAssetBackedSecuritiesMember2020-12-310000093751us-gaap:FairValueMeasurementsRecurringMemberstt:NonUsDebtSecuritiesAssetBackedSecuritiesMember2020-12-310000093751us-gaap:FairValueMeasurementsRecurringMemberus-gaap:Fa</w:t>
      </w:r>
      <w:r>
        <w:rPr>
          <w:rFonts w:ascii="宋体" w:eastAsia="宋体" w:hAnsi="宋体" w:cs="宋体"/>
          <w:vanish/>
        </w:rPr>
        <w:t>irValueInputsLevel1Memberstt:NonUSDebtSecuritiesForeignSovereignSupranationalAndNonAgencySecuritiesMember2020-12-310000093751us-gaap:FairValueMeasurementsRecurringMemberstt:NonUSDebtSecuritiesForeignSovereignSupranationalAndNonAgencySecuritiesMemberus-gaap</w:t>
      </w:r>
      <w:r>
        <w:rPr>
          <w:rFonts w:ascii="宋体" w:eastAsia="宋体" w:hAnsi="宋体" w:cs="宋体"/>
          <w:vanish/>
        </w:rPr>
        <w:t>:FairValueInputsLevel2Member2020-12-310000093751us-gaap:FairValueMeasurementsRecurringMemberus-gaap:FairValueInputsLevel3Memberstt:NonUSDebtSecuritiesForeignSovereignSupranationalAndNonAgencySecuritiesMember2020-12-310000093751us-gaap:FairValueMeasurements</w:t>
      </w:r>
      <w:r>
        <w:rPr>
          <w:rFonts w:ascii="宋体" w:eastAsia="宋体" w:hAnsi="宋体" w:cs="宋体"/>
          <w:vanish/>
        </w:rPr>
        <w:t>RecurringMemberstt:NonUSDebtSecuritiesForeignSovereignSupranationalAndNonAgencySecuritiesMember2020-12-310000093751us-gaap:FairValueMeasurementsRecurringMemberus-gaap:FairValueInputsLevel1Memberstt:NonUsDebtSecuritiesOtherMember2020-12-310000093751us-gaap:</w:t>
      </w:r>
      <w:r>
        <w:rPr>
          <w:rFonts w:ascii="宋体" w:eastAsia="宋体" w:hAnsi="宋体" w:cs="宋体"/>
          <w:vanish/>
        </w:rPr>
        <w:t>FairValueMeasurementsRecurringMemberstt:NonUsDebtSecuritiesOtherMemberus-gaap:FairValueInputsLevel2Member2020-12-310000093751us-gaap:FairValueMeasurementsRecurringMemberus-gaap:FairValueInputsLevel3Memberstt:NonUsDebtSecuritiesOtherMember2020-12-3100000937</w:t>
      </w:r>
      <w:r>
        <w:rPr>
          <w:rFonts w:ascii="宋体" w:eastAsia="宋体" w:hAnsi="宋体" w:cs="宋体"/>
          <w:vanish/>
        </w:rPr>
        <w:t>51us-gaap:FairValueMeasurementsRecurringMemberstt:NonUsDebtSecuritiesOtherMember2020-12-310000093751us-gaap:FairValueMeasurementsRecurringMemberus-gaap:FairValueInputsLevel1Memberstt:NonUSDebtSecuritiesMember2020-12-310000093751us-gaap:FairValueMeasurement</w:t>
      </w:r>
      <w:r>
        <w:rPr>
          <w:rFonts w:ascii="宋体" w:eastAsia="宋体" w:hAnsi="宋体" w:cs="宋体"/>
          <w:vanish/>
        </w:rPr>
        <w:t>sRecurringMemberstt:NonUSDebtSecuritiesMemberus-gaap:FairValueInputsLevel2Member2020-12-310000093751us-gaap:FairValueMeasurementsRecurringMemberus-gaap:FairValueInputsLevel3Memberstt:NonUSDebtSecuritiesMember2020-12-310000093751us-gaap:FairValueMeasurement</w:t>
      </w:r>
      <w:r>
        <w:rPr>
          <w:rFonts w:ascii="宋体" w:eastAsia="宋体" w:hAnsi="宋体" w:cs="宋体"/>
          <w:vanish/>
        </w:rPr>
        <w:t>sRecurringMemberstt:NonUSDebtSecuritiesMember2020-12-310000093751us-gaap:FairValueMeasurementsRecurringMemberus-gaap:FairValueInputsLevel1Memberstt:AssetBackedSecuritiesStudentLoansMember2020-12-310000093751us-gaap:FairValueMeasurementsRecurringMemberstt:A</w:t>
      </w:r>
      <w:r>
        <w:rPr>
          <w:rFonts w:ascii="宋体" w:eastAsia="宋体" w:hAnsi="宋体" w:cs="宋体"/>
          <w:vanish/>
        </w:rPr>
        <w:t>ssetBackedSecuritiesStudentLoansMemberus-gaap:FairValueInputsLevel2Member2020-12-310000093751us-gaap:FairValueMeasurementsRecurringMemberus-gaap:FairValueInputsLevel3Memberstt:AssetBackedSecuritiesStudentLoansMember2020-12-310000093751us-gaap:FairValueMeas</w:t>
      </w:r>
      <w:r>
        <w:rPr>
          <w:rFonts w:ascii="宋体" w:eastAsia="宋体" w:hAnsi="宋体" w:cs="宋体"/>
          <w:vanish/>
        </w:rPr>
        <w:t>urementsRecurringMemberstt:AssetBackedSecuritiesStudentLoansMember2020-12-310000093751us-gaap:FairValueMeasurementsRecurringMemberus-gaap:FairValueInputsLevel1Memberstt:AssetbackedSecuritiesCollateralizedLoanObligationsMember2020-12-310000093751us-gaap:Fai</w:t>
      </w:r>
      <w:r>
        <w:rPr>
          <w:rFonts w:ascii="宋体" w:eastAsia="宋体" w:hAnsi="宋体" w:cs="宋体"/>
          <w:vanish/>
        </w:rPr>
        <w:t>rValueMeasurementsRecurringMemberus-gaap:FairValueInputsLevel2Memberstt:AssetbackedSecuritiesCollateralizedLoanObligationsMember2020-12-310000093751us-gaap:FairValueMeasurementsRecurringMemberus-gaap:FairValueInputsLevel3Memberstt:AssetbackedSecuritiesColl</w:t>
      </w:r>
      <w:r>
        <w:rPr>
          <w:rFonts w:ascii="宋体" w:eastAsia="宋体" w:hAnsi="宋体" w:cs="宋体"/>
          <w:vanish/>
        </w:rPr>
        <w:t>ateralizedLoanObligationsMember2020-12-310000093751us-gaap:FairValueMeasurementsRecurringMemberstt:AssetbackedSecuritiesCollateralizedLoanObligationsMember2020-12-310000093751us-gaap:FairValueMeasurementsRecurringMemberus-gaap:FairValueInputsLevel1Memberst</w:t>
      </w:r>
      <w:r>
        <w:rPr>
          <w:rFonts w:ascii="宋体" w:eastAsia="宋体" w:hAnsi="宋体" w:cs="宋体"/>
          <w:vanish/>
        </w:rPr>
        <w:t>t:NonAgencyCMBSAndRMBSMember2020-12-310000093751us-gaap:FairValueMeasurementsRecurringMemberus-gaap:FairValueInputsLevel2Memberstt:NonAgencyCMBSAndRMBSMember2020-12-310000093751us-gaap:FairValueMeasurementsRecurringMemberus-gaap:FairValueInputsLevel3Member</w:t>
      </w:r>
      <w:r>
        <w:rPr>
          <w:rFonts w:ascii="宋体" w:eastAsia="宋体" w:hAnsi="宋体" w:cs="宋体"/>
          <w:vanish/>
        </w:rPr>
        <w:t>stt:NonAgencyCMBSAndRMBSMember2020-12-310000093751us-gaap:FairValueMeasurementsRecurringMemberstt:NonAgencyCMBSAndRMBSMember2020-12-310000093751us-gaap:FairValueMeasurementsRecurringMemberus-gaap:FairValueInputsLevel1Memberstt:AssetBackedSecuritiesOtherMem</w:t>
      </w:r>
      <w:r>
        <w:rPr>
          <w:rFonts w:ascii="宋体" w:eastAsia="宋体" w:hAnsi="宋体" w:cs="宋体"/>
          <w:vanish/>
        </w:rPr>
        <w:t>ber2020-12-310000093751us-gaap:FairValueMeasurementsRecurringMemberstt:AssetBackedSecuritiesOtherMemberus-gaap:FairValueInputsLevel2Member2020-12-310000093751us-gaap:FairValueMeasurementsRecurringMemberus-gaap:FairValueInputsLevel3Memberstt:AssetBackedSecu</w:t>
      </w:r>
      <w:r>
        <w:rPr>
          <w:rFonts w:ascii="宋体" w:eastAsia="宋体" w:hAnsi="宋体" w:cs="宋体"/>
          <w:vanish/>
        </w:rPr>
        <w:t>ritiesOtherMember2020-12-310000093751us-gaap:FairValueMeasurementsRecurringMemberstt:AssetBackedSecuritiesOtherMember2020-12-310000093751us-gaap:FairValueMeasurementsRecurringMemberus-gaap:FairValueInputsLevel1Memberus-gaap:AssetBackedSecuritiesMember2020-</w:t>
      </w:r>
      <w:r>
        <w:rPr>
          <w:rFonts w:ascii="宋体" w:eastAsia="宋体" w:hAnsi="宋体" w:cs="宋体"/>
          <w:vanish/>
        </w:rPr>
        <w:t>12-310000093751us-gaap:FairValueMeasurementsRecurringMemberus-gaap:AssetBackedSecuritiesMemberus-gaap:FairValueInputsLevel2Member2020-12-310000093751us-gaap:FairValueMeasurementsRecurringMemberus-gaap:FairValueInputsLevel3Memberus-gaap:AssetBackedSecuritie</w:t>
      </w:r>
      <w:r>
        <w:rPr>
          <w:rFonts w:ascii="宋体" w:eastAsia="宋体" w:hAnsi="宋体" w:cs="宋体"/>
          <w:vanish/>
        </w:rPr>
        <w:t>sMember2020-12-310000093751us-gaap:FairValueMeasurementsRecurringMemberus-gaap:AssetBackedSecuritiesMember2020-12-310000093751us-gaap:FairValueMeasurementsRecurringMemberus-gaap:FairValueInputsLevel1Memberus-gaap:USStatesAndPoliticalSubdivisionsMember2020-</w:t>
      </w:r>
      <w:r>
        <w:rPr>
          <w:rFonts w:ascii="宋体" w:eastAsia="宋体" w:hAnsi="宋体" w:cs="宋体"/>
          <w:vanish/>
        </w:rPr>
        <w:t>12-310000093751us-gaap:FairValueMeasurementsRecurringMemberus-gaap:USStatesAndPoliticalSubdivisionsMemberus-gaap:FairValueInputsLevel2Member2020-12-310000093751us-gaap:FairValueMeasurementsRecurringMemberus-gaap:FairValueInputsLevel3Memberus-gaap:USStatesA</w:t>
      </w:r>
      <w:r>
        <w:rPr>
          <w:rFonts w:ascii="宋体" w:eastAsia="宋体" w:hAnsi="宋体" w:cs="宋体"/>
          <w:vanish/>
        </w:rPr>
        <w:t>ndPoliticalSubdivisionsMember2020-12-310000093751us-gaap:FairValueMeasurementsRecurringMemberus-gaap:USStatesAndPoliticalSubdivisionsMember2020-12-310000093751us-gaap:FairValueMeasurementsRecurringMemberus-gaap:FairValueInputsLevel1Memberus-gaap:ForeignExc</w:t>
      </w:r>
      <w:r>
        <w:rPr>
          <w:rFonts w:ascii="宋体" w:eastAsia="宋体" w:hAnsi="宋体" w:cs="宋体"/>
          <w:vanish/>
        </w:rPr>
        <w:t>hangeContractMember2020-12-310000093751us-gaap:FairValueMeasurementsRecurringMemberus-gaap:ForeignExchangeContractMemberus-gaap:FairValueInputsLevel2Member2020-12-310000093751us-gaap:FairValueMeasurementsRecurringMemberus-gaap:FairValueInputsLevel3Memberus</w:t>
      </w:r>
      <w:r>
        <w:rPr>
          <w:rFonts w:ascii="宋体" w:eastAsia="宋体" w:hAnsi="宋体" w:cs="宋体"/>
          <w:vanish/>
        </w:rPr>
        <w:t>-gaap:ForeignExchangeContractMember2020-12-310000093751us-gaap:FairValueMeasurementsRecurringMemberus-gaap:ForeignExchangeContractMember2020-12-310000093751us-gaap:FairValueMeasurementsRecurringMemberus-gaap:FairValueInputsLevel1Memberus-gaap:InterestRateC</w:t>
      </w:r>
      <w:r>
        <w:rPr>
          <w:rFonts w:ascii="宋体" w:eastAsia="宋体" w:hAnsi="宋体" w:cs="宋体"/>
          <w:vanish/>
        </w:rPr>
        <w:t>ontractMember2020-12-310000093751us-gaap:FairValueMeasurementsRecurringMemberus-gaap:InterestRateContractMemberus-gaap:FairValueInputsLevel2Member2020-12-310000093751us-gaap:FairValueMeasurementsRecurringMemberus-gaap:FairValueInputsLevel3Memberus-gaap:Int</w:t>
      </w:r>
      <w:r>
        <w:rPr>
          <w:rFonts w:ascii="宋体" w:eastAsia="宋体" w:hAnsi="宋体" w:cs="宋体"/>
          <w:vanish/>
        </w:rPr>
        <w:t>erestRateContractMember2020-12-310000093751us-gaap:FairValueMeasurementsRecurringMemberus-gaap:InterestRateContractMember2020-12-310000093751us-gaap:FairValueMeasurementsRecurringMemberus-gaap:FairValueInputsLevel1Memberus-gaap:OtherDebtSecuritiesMember202</w:t>
      </w:r>
      <w:r>
        <w:rPr>
          <w:rFonts w:ascii="宋体" w:eastAsia="宋体" w:hAnsi="宋体" w:cs="宋体"/>
          <w:vanish/>
        </w:rPr>
        <w:t>0-12-310000093751us-gaap:FairValueMeasurementsRecurringMemberus-gaap:OtherDebtSecuritiesMemberus-gaap:FairValueInputsLevel2Member2020-12-310000093751us-gaap:FairValueMeasurementsRecurringMemberus-gaap:FairValueInputsLevel3Memberus-gaap:OtherDebtSecuritiesM</w:t>
      </w:r>
      <w:r>
        <w:rPr>
          <w:rFonts w:ascii="宋体" w:eastAsia="宋体" w:hAnsi="宋体" w:cs="宋体"/>
          <w:vanish/>
        </w:rPr>
        <w:t>ember2020-12-310000093751us-gaap:FairValueMeasurementsRecurringMemberus-gaap:OtherDebtSecuritiesMember2020-12-310000093751us-gaap:FairValueMeasurementsRecurringMemberus-gaap:FairValueInputsLevel1Memberus-gaap:OtherCreditDerivativesMember2020-12-31000009375</w:t>
      </w:r>
      <w:r>
        <w:rPr>
          <w:rFonts w:ascii="宋体" w:eastAsia="宋体" w:hAnsi="宋体" w:cs="宋体"/>
          <w:vanish/>
        </w:rPr>
        <w:t>1us-gaap:FairValueMeasurementsRecurringMemberus-gaap:FairValueInputsLevel2Memberus-gaap:OtherCreditDerivativesMember2020-12-310000093751us-gaap:FairValueMeasurementsRecurringMemberus-gaap:FairValueInputsLevel3Memberus-gaap:OtherCreditDerivativesMember2020-</w:t>
      </w:r>
      <w:r>
        <w:rPr>
          <w:rFonts w:ascii="宋体" w:eastAsia="宋体" w:hAnsi="宋体" w:cs="宋体"/>
          <w:vanish/>
        </w:rPr>
        <w:t>12-310000093751us-gaap:FairValueMeasurementsRecurringMemberus-gaap:OtherCreditDerivativesMember2020-12-310000093751stt:AssetbackedSecuritiesCollateralizedLoanObligationsMember2020-12-310000093751stt:AssetbackedSecuritiesCollateralizedLoanObligationsMember2</w:t>
      </w:r>
      <w:r>
        <w:rPr>
          <w:rFonts w:ascii="宋体" w:eastAsia="宋体" w:hAnsi="宋体" w:cs="宋体"/>
          <w:vanish/>
        </w:rPr>
        <w:t>021-01-012021-12-310000093751stt:AssetbackedSecuritiesCollateralizedLoanObligationsMember2021-12-310000093751us-gaap:AssetBackedSecuritiesMember2020-12-310000093751us-gaap:AssetBackedSecuritiesMember2021-01-012021-12-310000093751us-gaap:AssetBackedSecuriti</w:t>
      </w:r>
      <w:r>
        <w:rPr>
          <w:rFonts w:ascii="宋体" w:eastAsia="宋体" w:hAnsi="宋体" w:cs="宋体"/>
          <w:vanish/>
        </w:rPr>
        <w:t>esMember2021-12-310000093751us-gaap:OtherDebtSecuritiesMember2020-12-310000093751us-gaap:OtherDebtSecuritiesMember2021-01-012021-12-310000093751us-gaap:OtherDebtSecuritiesMember2021-12-310000093751us-gaap:AvailableforsaleSecuritiesMember2020-12-31000009375</w:t>
      </w:r>
      <w:r>
        <w:rPr>
          <w:rFonts w:ascii="宋体" w:eastAsia="宋体" w:hAnsi="宋体" w:cs="宋体"/>
          <w:vanish/>
        </w:rPr>
        <w:t>1us-gaap:AvailableforsaleSecuritiesMember2021-01-012021-12-310000093751us-gaap:AvailableforsaleSecuritiesMember2021-12-310000093751us-gaap:ForeignExchangeContractMember2020-12-310000093751us-gaap:ForeignExchangeContractMember2021-01-012021-12-310000093751u</w:t>
      </w:r>
      <w:r>
        <w:rPr>
          <w:rFonts w:ascii="宋体" w:eastAsia="宋体" w:hAnsi="宋体" w:cs="宋体"/>
          <w:vanish/>
        </w:rPr>
        <w:t>s-gaap:ForeignExchangeContractMember2021-12-310000093751us-gaap:DerivativeFinancialInstrumentsAssetsMember2020-12-310000093751us-gaap:DerivativeFinancialInstrumentsAssetsMember2021-01-012021-12-310000093751us-gaap:DerivativeFinancialInstrumentsAssetsMember</w:t>
      </w:r>
      <w:r>
        <w:rPr>
          <w:rFonts w:ascii="宋体" w:eastAsia="宋体" w:hAnsi="宋体" w:cs="宋体"/>
          <w:vanish/>
        </w:rPr>
        <w:t>2021-12-310000093751stt:AssetbackedSecuritiesCollateralizedLoanObligationsMember2019-12-310000093751stt:AssetbackedSecuritiesCollateralizedLoanObligationsMember2020-01-012020-12-310000093751us-gaap:AssetBackedSecuritiesMember2019-12-310000093751us-gaap:Ass</w:t>
      </w:r>
      <w:r>
        <w:rPr>
          <w:rFonts w:ascii="宋体" w:eastAsia="宋体" w:hAnsi="宋体" w:cs="宋体"/>
          <w:vanish/>
        </w:rPr>
        <w:t>etBackedSecuritiesMember2020-01-012020-12-310000093751stt:NonUsDebtSecuritiesAssetBackedSecuritiesMember2019-12-310000093751stt:NonUsDebtSecuritiesAssetBackedSecuritiesMember2020-01-012020-12-310000093751stt:NonUsDebtSecuritiesAssetBackedSecuritiesMember20</w:t>
      </w:r>
      <w:r>
        <w:rPr>
          <w:rFonts w:ascii="宋体" w:eastAsia="宋体" w:hAnsi="宋体" w:cs="宋体"/>
          <w:vanish/>
        </w:rPr>
        <w:t>20-12-310000093751stt:NonUsDebtSecuritiesOtherMember2019-12-310000093751stt:NonUsDebtSecuritiesOtherMember2020-01-012020-12-310000093751stt:NonUsDebtSecuritiesOtherMember2020-12-310000093751stt:NonUSDebtSecuritiesMember2019-12-310000093751stt:NonUSDebtSecu</w:t>
      </w:r>
      <w:r>
        <w:rPr>
          <w:rFonts w:ascii="宋体" w:eastAsia="宋体" w:hAnsi="宋体" w:cs="宋体"/>
          <w:vanish/>
        </w:rPr>
        <w:t>ritiesMember2020-01-012020-12-310000093751stt:NonUSDebtSecuritiesMember2020-12-310000093751us-gaap:AvailableforsaleSecuritiesMember2019-12-310000093751us-gaap:AvailableforsaleSecuritiesMember2020-01-012020-12-310000093751us-gaap:ForeignExchangeContractMemb</w:t>
      </w:r>
      <w:r>
        <w:rPr>
          <w:rFonts w:ascii="宋体" w:eastAsia="宋体" w:hAnsi="宋体" w:cs="宋体"/>
          <w:vanish/>
        </w:rPr>
        <w:t>er2019-12-310000093751us-gaap:ForeignExchangeContractMember2020-01-012020-12-310000093751us-gaap:DerivativeFinancialInstrumentsAssetsMember2019-12-310000093751us-gaap:DerivativeFinancialInstrumentsAssetsMember2020-01-012020-12-310000093751us-gaap:FairValue</w:t>
      </w:r>
      <w:r>
        <w:rPr>
          <w:rFonts w:ascii="宋体" w:eastAsia="宋体" w:hAnsi="宋体" w:cs="宋体"/>
          <w:vanish/>
        </w:rPr>
        <w:t>InputsLevel3Memberstt:SignificantUnobservableInputsReadilyAvailableMemberus-gaap:DerivativeFinancialInstrumentsAssetsMember2021-12-310000093751us-gaap:FairValueInputsLevel3Memberstt:SignificantUnobservableInputsReadilyAvailableMemberus-gaap:DerivativeFinan</w:t>
      </w:r>
      <w:r>
        <w:rPr>
          <w:rFonts w:ascii="宋体" w:eastAsia="宋体" w:hAnsi="宋体" w:cs="宋体"/>
          <w:vanish/>
        </w:rPr>
        <w:t>cialInstrumentsAssetsMember2020-12-310000093751us-gaap:FairValueInputsLevel3Memberus-gaap:ValuationTechniqueOptionPricingModelMemberus-gaap:MeasurementInputOptionVolatilityMembersrt:MinimumMemberus-gaap:DerivativeFinancialInstrumentsAssetsMember2021-12-31x</w:t>
      </w:r>
      <w:r>
        <w:rPr>
          <w:rFonts w:ascii="宋体" w:eastAsia="宋体" w:hAnsi="宋体" w:cs="宋体"/>
          <w:vanish/>
        </w:rPr>
        <w:t>brli:pure0000093751us-gaap:FairValueInputsLevel3Memberus-gaap:ValuationTechniqueOptionPricingModelMemberus-gaap:MeasurementInputOptionVolatilityMemberus-gaap:DerivativeFinancialInstrumentsAssetsMembersrt:MaximumMember2021-12-310000093751us-gaap:FairValueIn</w:t>
      </w:r>
      <w:r>
        <w:rPr>
          <w:rFonts w:ascii="宋体" w:eastAsia="宋体" w:hAnsi="宋体" w:cs="宋体"/>
          <w:vanish/>
        </w:rPr>
        <w:t>putsLevel3Membersrt:WeightedAverageMemberus-gaap:ValuationTechniqueOptionPricingModelMemberus-gaap:MeasurementInputOptionVolatilityMemberus-gaap:DerivativeFinancialInstrumentsAssetsMember2021-12-310000093751us-gaap:FairValueInputsLevel3Membersrt:WeightedAv</w:t>
      </w:r>
      <w:r>
        <w:rPr>
          <w:rFonts w:ascii="宋体" w:eastAsia="宋体" w:hAnsi="宋体" w:cs="宋体"/>
          <w:vanish/>
        </w:rPr>
        <w:t>erageMemberus-gaap:ValuationTechniqueOptionPricingModelMemberus-gaap:MeasurementInputOptionVolatilityMemberus-gaap:DerivativeFinancialInstrumentsAssetsMember2020-12-310000093751us-gaap:FairValueInputsLevel3Memberstt:SignificantUnobservableInputsReadilyAvai</w:t>
      </w:r>
      <w:r>
        <w:rPr>
          <w:rFonts w:ascii="宋体" w:eastAsia="宋体" w:hAnsi="宋体" w:cs="宋体"/>
          <w:vanish/>
        </w:rPr>
        <w:t>lableMember2021-12-310000093751us-gaap:FairValueInputsLevel3Memberstt:SignificantUnobservableInputsReadilyAvailableMember2020-12-310000093751us-gaap:FairValueInputsLevel3Memberstt:SignificantUnobservableInputsReadilyAvailableMemberus-gaap:DerivativeFinanci</w:t>
      </w:r>
      <w:r>
        <w:rPr>
          <w:rFonts w:ascii="宋体" w:eastAsia="宋体" w:hAnsi="宋体" w:cs="宋体"/>
          <w:vanish/>
        </w:rPr>
        <w:t>alInstrumentsLiabilitiesMember2021-12-310000093751us-gaap:FairValueInputsLevel3Memberstt:SignificantUnobservableInputsReadilyAvailableMemberus-gaap:DerivativeFinancialInstrumentsLiabilitiesMember2020-12-310000093751us-gaap:FairValueInputsLevel3Memberus-gaa</w:t>
      </w:r>
      <w:r>
        <w:rPr>
          <w:rFonts w:ascii="宋体" w:eastAsia="宋体" w:hAnsi="宋体" w:cs="宋体"/>
          <w:vanish/>
        </w:rPr>
        <w:t>p:ValuationTechniqueOptionPricingModelMemberus-gaap:MeasurementInputOptionVolatilityMembersrt:MinimumMemberus-gaap:DerivativeFinancialInstrumentsLiabilitiesMember2021-12-310000093751us-gaap:FairValueInputsLevel3Memberus-gaap:ValuationTechniqueOptionPricing</w:t>
      </w:r>
      <w:r>
        <w:rPr>
          <w:rFonts w:ascii="宋体" w:eastAsia="宋体" w:hAnsi="宋体" w:cs="宋体"/>
          <w:vanish/>
        </w:rPr>
        <w:t>ModelMemberus-gaap:MeasurementInputOptionVolatilityMemberus-gaap:DerivativeFinancialInstrumentsLiabilitiesMembersrt:MaximumMember2021-12-310000093751us-gaap:FairValueInputsLevel3Membersrt:WeightedAverageMemberus-gaap:ValuationTechniqueOptionPricingModelMem</w:t>
      </w:r>
      <w:r>
        <w:rPr>
          <w:rFonts w:ascii="宋体" w:eastAsia="宋体" w:hAnsi="宋体" w:cs="宋体"/>
          <w:vanish/>
        </w:rPr>
        <w:t>berus-gaap:MeasurementInputOptionVolatilityMemberus-gaap:DerivativeFinancialInstrumentsLiabilitiesMember2021-12-310000093751us-gaap:FairValueInputsLevel3Membersrt:WeightedAverageMemberus-gaap:ValuationTechniqueOptionPricingModelMemberus-gaap:MeasurementInp</w:t>
      </w:r>
      <w:r>
        <w:rPr>
          <w:rFonts w:ascii="宋体" w:eastAsia="宋体" w:hAnsi="宋体" w:cs="宋体"/>
          <w:vanish/>
        </w:rPr>
        <w:t>utOptionVolatilityMemberus-gaap:DerivativeFinancialInstrumentsLiabilitiesMember2020-12-310000093751us-gaap:CarryingReportedAmountFairValueDisclosureMember2021-12-310000093751us-gaap:EstimateOfFairValueFairValueDisclosureMember2021-12-310000093751us-gaap:Fa</w:t>
      </w:r>
      <w:r>
        <w:rPr>
          <w:rFonts w:ascii="宋体" w:eastAsia="宋体" w:hAnsi="宋体" w:cs="宋体"/>
          <w:vanish/>
        </w:rPr>
        <w:t>irValueInputsLevel1Memberus-gaap:EstimateOfFairValueFairValueDisclosureMember2021-12-310000093751us-gaap:EstimateOfFairValueFairValueDisclosureMemberus-gaap:FairValueInputsLevel2Member2021-12-310000093751us-gaap:FairValueInputsLevel3Memberus-gaap:EstimateO</w:t>
      </w:r>
      <w:r>
        <w:rPr>
          <w:rFonts w:ascii="宋体" w:eastAsia="宋体" w:hAnsi="宋体" w:cs="宋体"/>
          <w:vanish/>
        </w:rPr>
        <w:t>fFairValueFairValueDisclosureMember2021-12-310000093751us-gaap:FairValueInputsLevel2Member2021-12-310000093751us-gaap:CarryingReportedAmountFairValueDisclosureMember2020-12-310000093751us-gaap:EstimateOfFairValueFairValueDisclosureMember2020-12-31000009375</w:t>
      </w:r>
      <w:r>
        <w:rPr>
          <w:rFonts w:ascii="宋体" w:eastAsia="宋体" w:hAnsi="宋体" w:cs="宋体"/>
          <w:vanish/>
        </w:rPr>
        <w:t>1us-gaap:FairValueInputsLevel1Memberus-gaap:EstimateOfFairValueFairValueDisclosureMember2020-12-310000093751us-gaap:EstimateOfFairValueFairValueDisclosureMemberus-gaap:FairValueInputsLevel2Member2020-12-310000093751us-gaap:FairValueInputsLevel3Memberus-gaa</w:t>
      </w:r>
      <w:r>
        <w:rPr>
          <w:rFonts w:ascii="宋体" w:eastAsia="宋体" w:hAnsi="宋体" w:cs="宋体"/>
          <w:vanish/>
        </w:rPr>
        <w:t>p:EstimateOfFairValueFairValueDisclosureMember2020-12-310000093751us-gaap:CarryingReportedAmountFairValueDisclosureMemberstt:HeldtoMaturityUnderMMLFMember2020-12-310000093751us-gaap:EstimateOfFairValueFairValueDisclosureMemberstt:HeldtoMaturityUnderMMLFMem</w:t>
      </w:r>
      <w:r>
        <w:rPr>
          <w:rFonts w:ascii="宋体" w:eastAsia="宋体" w:hAnsi="宋体" w:cs="宋体"/>
          <w:vanish/>
        </w:rPr>
        <w:t>ber2020-12-310000093751us-gaap:FairValueInputsLevel1Memberus-gaap:EstimateOfFairValueFairValueDisclosureMemberstt:HeldtoMaturityUnderMMLFMember2020-12-310000093751us-gaap:EstimateOfFairValueFairValueDisclosureMemberstt:HeldtoMaturityUnderMMLFMemberus-gaap:</w:t>
      </w:r>
      <w:r>
        <w:rPr>
          <w:rFonts w:ascii="宋体" w:eastAsia="宋体" w:hAnsi="宋体" w:cs="宋体"/>
          <w:vanish/>
        </w:rPr>
        <w:t>FairValueInputsLevel2Member2020-12-310000093751us-gaap:FairValueInputsLevel3Memberus-gaap:EstimateOfFairValueFairValueDisclosureMemberstt:HeldtoMaturityUnderMMLFMember2020-12-310000093751stt:ShortTermBorrowingsUnderMMLFMemberus-gaap:CarryingReportedAmountF</w:t>
      </w:r>
      <w:r>
        <w:rPr>
          <w:rFonts w:ascii="宋体" w:eastAsia="宋体" w:hAnsi="宋体" w:cs="宋体"/>
          <w:vanish/>
        </w:rPr>
        <w:t>airValueDisclosureMember2020-12-310000093751stt:ShortTermBorrowingsUnderMMLFMemberus-gaap:EstimateOfFairValueFairValueDisclosureMember2020-12-310000093751us-gaap:FairValueInputsLevel1Memberstt:ShortTermBorrowingsUnderMMLFMemberus-gaap:EstimateOfFairValueFa</w:t>
      </w:r>
      <w:r>
        <w:rPr>
          <w:rFonts w:ascii="宋体" w:eastAsia="宋体" w:hAnsi="宋体" w:cs="宋体"/>
          <w:vanish/>
        </w:rPr>
        <w:t>irValueDisclosureMember2020-12-310000093751stt:ShortTermBorrowingsUnderMMLFMemberus-gaap:EstimateOfFairValueFairValueDisclosureMemberus-gaap:FairValueInputsLevel2Member2020-12-310000093751us-gaap:FairValueInputsLevel3Memberstt:ShortTermBorrowingsUnderMMLFM</w:t>
      </w:r>
      <w:r>
        <w:rPr>
          <w:rFonts w:ascii="宋体" w:eastAsia="宋体" w:hAnsi="宋体" w:cs="宋体"/>
          <w:vanish/>
        </w:rPr>
        <w:t>emberus-gaap:EstimateOfFairValueFairValueDisclosureMember2020-12-310000093751stt:UsTreasuryAndFederalAgenciesDirectObligationsMember2021-12-310000093751stt:UsTreasuryAndFederalAgenciesDirectObligationsMember2020-12-310000093751stt:UsTreasuryAndFederalAgenc</w:t>
      </w:r>
      <w:r>
        <w:rPr>
          <w:rFonts w:ascii="宋体" w:eastAsia="宋体" w:hAnsi="宋体" w:cs="宋体"/>
          <w:vanish/>
        </w:rPr>
        <w:t>iesMortgageBackedSecuritiesMember2021-12-310000093751stt:UsTreasuryAndFederalAgenciesMortgageBackedSecuritiesMember2020-12-310000093751us-gaap:USTreasuryAndGovernmentMember2021-12-310000093751us-gaap:USTreasuryAndGovernmentMember2020-12-310000093751stt:Non</w:t>
      </w:r>
      <w:r>
        <w:rPr>
          <w:rFonts w:ascii="宋体" w:eastAsia="宋体" w:hAnsi="宋体" w:cs="宋体"/>
          <w:vanish/>
        </w:rPr>
        <w:t>UsDebtSecuritiesMortgageBackedSecuritiesMember2021-12-310000093751stt:NonUsDebtSecuritiesMortgageBackedSecuritiesMember2020-12-310000093751stt:NonUsDebtSecuritiesAssetBackedSecuritiesMember2021-12-310000093751stt:NonUsDebtSecuritiesAssetBackedSecuritiesMem</w:t>
      </w:r>
      <w:r>
        <w:rPr>
          <w:rFonts w:ascii="宋体" w:eastAsia="宋体" w:hAnsi="宋体" w:cs="宋体"/>
          <w:vanish/>
        </w:rPr>
        <w:t>ber2020-12-310000093751stt:NonUSDebtSecuritiesForeignSovereignSupranationalAndNonAgencySecuritiesMember2021-12-310000093751stt:NonUSDebtSecuritiesForeignSovereignSupranationalAndNonAgencySecuritiesMember2020-12-310000093751stt:NonUsDebtSecuritiesOtherMembe</w:t>
      </w:r>
      <w:r>
        <w:rPr>
          <w:rFonts w:ascii="宋体" w:eastAsia="宋体" w:hAnsi="宋体" w:cs="宋体"/>
          <w:vanish/>
        </w:rPr>
        <w:t>r2021-12-310000093751stt:NonUsDebtSecuritiesOtherMember2020-12-310000093751stt:NonUSDebtSecuritiesMember2021-12-310000093751stt:NonUSDebtSecuritiesMember2020-12-310000093751stt:AssetBackedSecuritiesStudentLoansMember2021-12-310000093751stt:AssetBackedSecur</w:t>
      </w:r>
      <w:r>
        <w:rPr>
          <w:rFonts w:ascii="宋体" w:eastAsia="宋体" w:hAnsi="宋体" w:cs="宋体"/>
          <w:vanish/>
        </w:rPr>
        <w:t>itiesStudentLoansMember2020-12-310000093751stt:AssetbackedSecuritiesCollateralizedLoanObligationsMember2021-12-310000093751stt:AssetbackedSecuritiesCollateralizedLoanObligationsMember2020-12-310000093751stt:NonAgencyCMBSAndRMBSMember2021-12-310000093751stt</w:t>
      </w:r>
      <w:r>
        <w:rPr>
          <w:rFonts w:ascii="宋体" w:eastAsia="宋体" w:hAnsi="宋体" w:cs="宋体"/>
          <w:vanish/>
        </w:rPr>
        <w:t>:NonAgencyCMBSAndRMBSMember2020-12-310000093751stt:AssetBackedSecuritiesOtherMember2021-12-310000093751stt:AssetBackedSecuritiesOtherMember2020-12-310000093751us-gaap:AssetBackedSecuritiesMember2021-12-310000093751us-gaap:AssetBackedSecuritiesMember2020-12</w:t>
      </w:r>
      <w:r>
        <w:rPr>
          <w:rFonts w:ascii="宋体" w:eastAsia="宋体" w:hAnsi="宋体" w:cs="宋体"/>
          <w:vanish/>
        </w:rPr>
        <w:t>-310000093751us-gaap:USStatesAndPoliticalSubdivisionsMember2021-12-310000093751us-gaap:USStatesAndPoliticalSubdivisionsMember2020-12-310000093751us-gaap:OtherDebtSecuritiesMember2021-12-310000093751us-gaap:OtherDebtSecuritiesMember2020-12-310000093751stt:T</w:t>
      </w:r>
      <w:r>
        <w:rPr>
          <w:rFonts w:ascii="宋体" w:eastAsia="宋体" w:hAnsi="宋体" w:cs="宋体"/>
          <w:vanish/>
        </w:rPr>
        <w:t>otalBeforeMMLFMember2021-12-310000093751stt:TotalBeforeMMLFMember2020-12-310000093751stt:MoneyMarketLiquidityFacilityMember2021-12-310000093751stt:MoneyMarketLiquidityFacilityMember2020-12-310000093751stt:IncludingMMLFMember2021-12-310000093751stt:Includin</w:t>
      </w:r>
      <w:r>
        <w:rPr>
          <w:rFonts w:ascii="宋体" w:eastAsia="宋体" w:hAnsi="宋体" w:cs="宋体"/>
          <w:vanish/>
        </w:rPr>
        <w:t>gMMLFMember2020-12-310000093751stt:NonUSCollateralizedLoanObiligationsMember2021-12-310000093751stt:NonUSCollateralizedLoanObiligationsMember2020-12-310000093751stt:NonUSDebtSecuritiesCorporateBondsMember2021-12-310000093751stt:NonUSDebtSecuritiesCorporate</w:t>
      </w:r>
      <w:r>
        <w:rPr>
          <w:rFonts w:ascii="宋体" w:eastAsia="宋体" w:hAnsi="宋体" w:cs="宋体"/>
          <w:vanish/>
        </w:rPr>
        <w:t>BondsMember2020-12-310000093751stt:FederalFamilyEducationLoanProgramMember2021-01-012021-12-310000093751stt:USStatesandPoliticalSubdivisionsDebtSecuritiesTrustsMember2021-12-310000093751stt:USStatesandPoliticalSubdivisionsDebtSecuritiesTrustsMember2020-12-</w:t>
      </w:r>
      <w:r>
        <w:rPr>
          <w:rFonts w:ascii="宋体" w:eastAsia="宋体" w:hAnsi="宋体" w:cs="宋体"/>
          <w:vanish/>
        </w:rPr>
        <w:t>310000093751us-gaap:DomesticCorporateDebtSecuritiesMember2021-12-310000093751us-gaap:DomesticCorporateDebtSecuritiesMember2020-12-310000093751stt:NonAgencyCMBSMember2021-12-310000093751stt:NonAgencyCMBSMember2020-12-310000093751stt:NonAgencyRMBSMember2021-</w:t>
      </w:r>
      <w:r>
        <w:rPr>
          <w:rFonts w:ascii="宋体" w:eastAsia="宋体" w:hAnsi="宋体" w:cs="宋体"/>
          <w:vanish/>
        </w:rPr>
        <w:t>12-310000093751stt:NonAgencyRMBSMember2020-12-310000093751stt:AgencyMortgageBackedSecuritiesMember2021-01-012021-12-310000093751stt:AgencyMortgageBackedSecuritiesMember2020-01-012020-12-310000093751stt:AgencyMortgageBackedSecuritiesMember2019-01-012019-12-</w:t>
      </w:r>
      <w:r>
        <w:rPr>
          <w:rFonts w:ascii="宋体" w:eastAsia="宋体" w:hAnsi="宋体" w:cs="宋体"/>
          <w:vanish/>
        </w:rPr>
        <w:t>310000093751stt:AgencyMortgageBackedSecuritiesMembersrt:MinimumMember2021-01-012021-12-310000093751stt:AgencyMortgageBackedSecuritiesMembersrt:MaximumMember2021-01-012021-12-310000093751stt:AssetBackedSecuritiesAndMunicipalBondsMember2021-01-012021-12-3100</w:t>
      </w:r>
      <w:r>
        <w:rPr>
          <w:rFonts w:ascii="宋体" w:eastAsia="宋体" w:hAnsi="宋体" w:cs="宋体"/>
          <w:vanish/>
        </w:rPr>
        <w:t>00093751stt:AssetBackedSecuritiesAndMunicipalBondsMember2020-01-012020-12-310000093751stt:AssetBackedSecuritiesAndMunicipalBondsMember2019-01-012019-12-31stt:security0000093751us-gaap:GeographicDistributionDomesticMemberstt:CommercialAndFinancialInvestment</w:t>
      </w:r>
      <w:r>
        <w:rPr>
          <w:rFonts w:ascii="宋体" w:eastAsia="宋体" w:hAnsi="宋体" w:cs="宋体"/>
          <w:vanish/>
        </w:rPr>
        <w:t>FundsMember2021-12-310000093751us-gaap:GeographicDistributionDomesticMemberstt:CommercialAndFinancialInvestmentFundsMember2020-12-310000093751us-gaap:GeographicDistributionDomesticMemberstt:CommercialAndFinancialSeniorSecuredBankLoansMember2021-12-31000009</w:t>
      </w:r>
      <w:r>
        <w:rPr>
          <w:rFonts w:ascii="宋体" w:eastAsia="宋体" w:hAnsi="宋体" w:cs="宋体"/>
          <w:vanish/>
        </w:rPr>
        <w:t>3751us-gaap:GeographicDistributionDomesticMemberstt:CommercialAndFinancialSeniorSecuredBankLoansMember2020-12-310000093751us-gaap:GeographicDistributionDomesticMemberstt:OverdraftsMember2021-12-310000093751us-gaap:GeographicDistributionDomesticMemberstt:Ov</w:t>
      </w:r>
      <w:r>
        <w:rPr>
          <w:rFonts w:ascii="宋体" w:eastAsia="宋体" w:hAnsi="宋体" w:cs="宋体"/>
          <w:vanish/>
        </w:rPr>
        <w:t>erdraftsMember2020-12-310000093751us-gaap:GeographicDistributionDomesticMemberstt:CommercialAndFinancialOtherMember2021-12-310000093751us-gaap:GeographicDistributionDomesticMemberstt:CommercialAndFinancialOtherMember2020-12-310000093751us-gaap:GeographicDi</w:t>
      </w:r>
      <w:r>
        <w:rPr>
          <w:rFonts w:ascii="宋体" w:eastAsia="宋体" w:hAnsi="宋体" w:cs="宋体"/>
          <w:vanish/>
        </w:rPr>
        <w:t>stributionDomesticMemberus-gaap:CommercialRealEstatePortfolioSegmentMember2021-12-310000093751us-gaap:GeographicDistributionDomesticMemberus-gaap:CommercialRealEstatePortfolioSegmentMember2020-12-310000093751us-gaap:GeographicDistributionDomesticMember2021</w:t>
      </w:r>
      <w:r>
        <w:rPr>
          <w:rFonts w:ascii="宋体" w:eastAsia="宋体" w:hAnsi="宋体" w:cs="宋体"/>
          <w:vanish/>
        </w:rPr>
        <w:t>-12-310000093751us-gaap:GeographicDistributionDomesticMember2020-12-310000093751us-gaap:GeographicDistributionForeignMemberstt:CommercialAndFinancialInvestmentFundsMember2021-12-310000093751us-gaap:GeographicDistributionForeignMemberstt:CommercialAndFinanc</w:t>
      </w:r>
      <w:r>
        <w:rPr>
          <w:rFonts w:ascii="宋体" w:eastAsia="宋体" w:hAnsi="宋体" w:cs="宋体"/>
          <w:vanish/>
        </w:rPr>
        <w:t>ialInvestmentFundsMember2020-12-310000093751us-gaap:GeographicDistributionForeignMemberstt:CommercialAndFinancialSeniorSecuredBankLoansMember2021-12-310000093751us-gaap:GeographicDistributionForeignMemberstt:CommercialAndFinancialSeniorSecuredBankLoansMemb</w:t>
      </w:r>
      <w:r>
        <w:rPr>
          <w:rFonts w:ascii="宋体" w:eastAsia="宋体" w:hAnsi="宋体" w:cs="宋体"/>
          <w:vanish/>
        </w:rPr>
        <w:t>er2020-12-310000093751us-gaap:GeographicDistributionForeignMemberstt:OverdraftsMember2021-12-310000093751us-gaap:GeographicDistributionForeignMemberstt:OverdraftsMember2020-12-310000093751us-gaap:GeographicDistributionForeignMemberstt:CommercialAndFinancia</w:t>
      </w:r>
      <w:r>
        <w:rPr>
          <w:rFonts w:ascii="宋体" w:eastAsia="宋体" w:hAnsi="宋体" w:cs="宋体"/>
          <w:vanish/>
        </w:rPr>
        <w:t>lOtherMember2021-12-310000093751us-gaap:GeographicDistributionForeignMemberstt:CommercialAndFinancialOtherMember2020-12-310000093751us-gaap:GeographicDistributionForeignMember2021-12-310000093751us-gaap:GeographicDistributionForeignMember2020-12-3100000937</w:t>
      </w:r>
      <w:r>
        <w:rPr>
          <w:rFonts w:ascii="宋体" w:eastAsia="宋体" w:hAnsi="宋体" w:cs="宋体"/>
          <w:vanish/>
        </w:rPr>
        <w:t>51us-gaap:GeographicDistributionDomesticMemberstt:PrivateEquityCapitalCallFinanceLoansMemberstt:CommercialAndFinancialInvestmentFundsMember2021-12-310000093751us-gaap:GeographicDistributionDomesticMemberstt:CommercialAndFinancialInvestmentFundsMemberstt:A4</w:t>
      </w:r>
      <w:r>
        <w:rPr>
          <w:rFonts w:ascii="宋体" w:eastAsia="宋体" w:hAnsi="宋体" w:cs="宋体"/>
          <w:vanish/>
        </w:rPr>
        <w:t>0ActFundsMember2021-12-310000093751us-gaap:GeographicDistributionDomesticMemberstt:CommercialAndFinancialInvestmentFundsMemberus-gaap:CollateralizedLoanObligationsMember2021-12-310000093751us-gaap:GeographicDistributionDomesticMemberstt:BusinessDevelopment</w:t>
      </w:r>
      <w:r>
        <w:rPr>
          <w:rFonts w:ascii="宋体" w:eastAsia="宋体" w:hAnsi="宋体" w:cs="宋体"/>
          <w:vanish/>
        </w:rPr>
        <w:t>Memberstt:CommercialAndFinancialInvestmentFundsMember2021-12-310000093751us-gaap:GeographicDistributionDomesticMemberstt:PrivateEquityCapitalCallFinanceLoansMemberstt:CommercialAndFinancialInvestmentFundsMember2020-12-310000093751us-gaap:GeographicDistribu</w:t>
      </w:r>
      <w:r>
        <w:rPr>
          <w:rFonts w:ascii="宋体" w:eastAsia="宋体" w:hAnsi="宋体" w:cs="宋体"/>
          <w:vanish/>
        </w:rPr>
        <w:t>tionDomesticMemberstt:CommercialAndFinancialInvestmentFundsMemberstt:A40ActFundsMember2020-12-310000093751us-gaap:GeographicDistributionDomesticMemberstt:BusinessDevelopmentMemberstt:CommercialAndFinancialInvestmentFundsMember2020-12-310000093751stt:Commer</w:t>
      </w:r>
      <w:r>
        <w:rPr>
          <w:rFonts w:ascii="宋体" w:eastAsia="宋体" w:hAnsi="宋体" w:cs="宋体"/>
          <w:vanish/>
        </w:rPr>
        <w:t>cialAndFinancialInvestmentFundsMemberstt:SecuritiesFinanceLoansMember2021-12-310000093751stt:CommercialAndFinancialInvestmentFundsMemberstt:MunicipalLoansMember2021-12-310000093751stt:OtherLoansMemberstt:CommercialAndFinancialInvestmentFundsMember2021-12-3</w:t>
      </w:r>
      <w:r>
        <w:rPr>
          <w:rFonts w:ascii="宋体" w:eastAsia="宋体" w:hAnsi="宋体" w:cs="宋体"/>
          <w:vanish/>
        </w:rPr>
        <w:t>10000093751stt:CommercialAndFinancialInvestmentFundsMemberstt:SecuritiesFinanceLoansMember2020-12-310000093751stt:CommercialAndFinancialInvestmentFundsMemberstt:MunicipalLoansMember2020-12-310000093751stt:OtherLoansMemberstt:CommercialAndFinancialInvestmen</w:t>
      </w:r>
      <w:r>
        <w:rPr>
          <w:rFonts w:ascii="宋体" w:eastAsia="宋体" w:hAnsi="宋体" w:cs="宋体"/>
          <w:vanish/>
        </w:rPr>
        <w:t>tFundsMember2020-12-31stt:loanSegmentstt:loan0000093751us-gaap:CollateralizedLoanObligationsMember2021-01-012021-12-310000093751stt:LeveragedLoansMember2021-01-012021-12-310000093751stt:CommercialandFinancialPortfolioSegmentMember2021-12-310000093751us-gaa</w:t>
      </w:r>
      <w:r>
        <w:rPr>
          <w:rFonts w:ascii="宋体" w:eastAsia="宋体" w:hAnsi="宋体" w:cs="宋体"/>
          <w:vanish/>
        </w:rPr>
        <w:t>p:InternalInvestmentGradeMemberstt:CommercialandFinancialPortfolioSegmentMember2021-12-310000093751us-gaap:InternalInvestmentGradeMemberus-gaap:CommercialRealEstatePortfolioSegmentMember2021-12-310000093751us-gaap:InternalInvestmentGradeMember2021-12-31000</w:t>
      </w:r>
      <w:r>
        <w:rPr>
          <w:rFonts w:ascii="宋体" w:eastAsia="宋体" w:hAnsi="宋体" w:cs="宋体"/>
          <w:vanish/>
        </w:rPr>
        <w:t>0093751stt:SpeculativeMemberstt:CommercialandFinancialPortfolioSegmentMember2021-12-310000093751stt:SpeculativeMemberus-gaap:CommercialRealEstatePortfolioSegmentMember2021-12-310000093751stt:SpeculativeMember2021-12-310000093751us-gaap:SpecialMentionMember</w:t>
      </w:r>
      <w:r>
        <w:rPr>
          <w:rFonts w:ascii="宋体" w:eastAsia="宋体" w:hAnsi="宋体" w:cs="宋体"/>
          <w:vanish/>
        </w:rPr>
        <w:t>stt:CommercialandFinancialPortfolioSegmentMember2021-12-310000093751us-gaap:SpecialMentionMemberus-gaap:CommercialRealEstatePortfolioSegmentMember2021-12-310000093751us-gaap:SpecialMentionMember2021-12-310000093751us-gaap:SubstandardMemberstt:Commercialand</w:t>
      </w:r>
      <w:r>
        <w:rPr>
          <w:rFonts w:ascii="宋体" w:eastAsia="宋体" w:hAnsi="宋体" w:cs="宋体"/>
          <w:vanish/>
        </w:rPr>
        <w:t>FinancialPortfolioSegmentMember2021-12-310000093751us-gaap:CommercialRealEstatePortfolioSegmentMemberus-gaap:SubstandardMember2021-12-310000093751us-gaap:SubstandardMember2021-12-310000093751us-gaap:CommercialRealEstatePortfolioSegmentMember2021-12-3100000</w:t>
      </w:r>
      <w:r>
        <w:rPr>
          <w:rFonts w:ascii="宋体" w:eastAsia="宋体" w:hAnsi="宋体" w:cs="宋体"/>
          <w:vanish/>
        </w:rPr>
        <w:t>93751us-gaap:InternalInvestmentGradeMemberstt:CommercialandFinancialPortfolioSegmentMember2020-12-310000093751us-gaap:InternalInvestmentGradeMemberus-gaap:CommercialRealEstatePortfolioSegmentMember2020-12-310000093751us-gaap:InternalInvestmentGradeMember20</w:t>
      </w:r>
      <w:r>
        <w:rPr>
          <w:rFonts w:ascii="宋体" w:eastAsia="宋体" w:hAnsi="宋体" w:cs="宋体"/>
          <w:vanish/>
        </w:rPr>
        <w:t>20-12-310000093751stt:SpeculativeMemberstt:CommercialandFinancialPortfolioSegmentMember2020-12-310000093751stt:SpeculativeMemberus-gaap:CommercialRealEstatePortfolioSegmentMember2020-12-310000093751stt:SpeculativeMember2020-12-310000093751us-gaap:SpecialMe</w:t>
      </w:r>
      <w:r>
        <w:rPr>
          <w:rFonts w:ascii="宋体" w:eastAsia="宋体" w:hAnsi="宋体" w:cs="宋体"/>
          <w:vanish/>
        </w:rPr>
        <w:t>ntionMemberstt:CommercialandFinancialPortfolioSegmentMember2020-12-310000093751us-gaap:SpecialMentionMemberus-gaap:CommercialRealEstatePortfolioSegmentMember2020-12-310000093751us-gaap:SpecialMentionMember2020-12-310000093751us-gaap:SubstandardMemberstt:Co</w:t>
      </w:r>
      <w:r>
        <w:rPr>
          <w:rFonts w:ascii="宋体" w:eastAsia="宋体" w:hAnsi="宋体" w:cs="宋体"/>
          <w:vanish/>
        </w:rPr>
        <w:t>mmercialandFinancialPortfolioSegmentMember2020-12-310000093751us-gaap:CommercialRealEstatePortfolioSegmentMemberus-gaap:SubstandardMember2020-12-310000093751us-gaap:SubstandardMember2020-12-310000093751us-gaap:DoubtfulMemberstt:CommercialandFinancialPortfo</w:t>
      </w:r>
      <w:r>
        <w:rPr>
          <w:rFonts w:ascii="宋体" w:eastAsia="宋体" w:hAnsi="宋体" w:cs="宋体"/>
          <w:vanish/>
        </w:rPr>
        <w:t>lioSegmentMember2020-12-310000093751us-gaap:DoubtfulMemberus-gaap:CommercialRealEstatePortfolioSegmentMember2020-12-310000093751us-gaap:DoubtfulMember2020-12-310000093751stt:CommercialandFinancialPortfolioSegmentMember2020-12-310000093751us-gaap:Commercial</w:t>
      </w:r>
      <w:r>
        <w:rPr>
          <w:rFonts w:ascii="宋体" w:eastAsia="宋体" w:hAnsi="宋体" w:cs="宋体"/>
          <w:vanish/>
        </w:rPr>
        <w:t>RealEstatePortfolioSegmentMember2020-12-310000093751us-gaap:InternalInvestmentGradeMemberus-gaap:GeographicDistributionDomesticMemberstt:CommercialAndFinancialInvestmentFundsMember2021-12-310000093751stt:SpeculativeMemberus-gaap:GeographicDistributionDomes</w:t>
      </w:r>
      <w:r>
        <w:rPr>
          <w:rFonts w:ascii="宋体" w:eastAsia="宋体" w:hAnsi="宋体" w:cs="宋体"/>
          <w:vanish/>
        </w:rPr>
        <w:t>ticMemberstt:CommercialAndFinancialInvestmentFundsMember2021-12-310000093751us-gaap:InternalInvestmentGradeMemberus-gaap:GeographicDistributionDomesticMemberstt:CommercialandFinancialPortfolioSegmentMember2021-12-310000093751stt:SpeculativeMemberus-gaap:Ge</w:t>
      </w:r>
      <w:r>
        <w:rPr>
          <w:rFonts w:ascii="宋体" w:eastAsia="宋体" w:hAnsi="宋体" w:cs="宋体"/>
          <w:vanish/>
        </w:rPr>
        <w:t>ographicDistributionDomesticMemberstt:CommercialandFinancialPortfolioSegmentMember2021-12-310000093751us-gaap:GeographicDistributionDomesticMemberus-gaap:SpecialMentionMemberstt:CommercialandFinancialPortfolioSegmentMember2021-12-310000093751us-gaap:Geogra</w:t>
      </w:r>
      <w:r>
        <w:rPr>
          <w:rFonts w:ascii="宋体" w:eastAsia="宋体" w:hAnsi="宋体" w:cs="宋体"/>
          <w:vanish/>
        </w:rPr>
        <w:t>phicDistributionDomesticMemberus-gaap:SubstandardMemberstt:CommercialandFinancialPortfolioSegmentMember2021-12-310000093751us-gaap:GeographicDistributionDomesticMemberstt:CommercialandFinancialPortfolioSegmentMember2021-12-310000093751us-gaap:InternalInves</w:t>
      </w:r>
      <w:r>
        <w:rPr>
          <w:rFonts w:ascii="宋体" w:eastAsia="宋体" w:hAnsi="宋体" w:cs="宋体"/>
          <w:vanish/>
        </w:rPr>
        <w:t>tmentGradeMemberus-gaap:GeographicDistributionDomesticMemberus-gaap:CommercialRealEstatePortfolioSegmentMember2021-12-310000093751stt:SpeculativeMemberus-gaap:GeographicDistributionDomesticMemberus-gaap:CommercialRealEstatePortfolioSegmentMember2021-12-310</w:t>
      </w:r>
      <w:r>
        <w:rPr>
          <w:rFonts w:ascii="宋体" w:eastAsia="宋体" w:hAnsi="宋体" w:cs="宋体"/>
          <w:vanish/>
        </w:rPr>
        <w:t>000093751us-gaap:GeographicDistributionDomesticMemberus-gaap:SpecialMentionMemberus-gaap:CommercialRealEstatePortfolioSegmentMember2021-12-310000093751us-gaap:InternalInvestmentGradeMemberus-gaap:GeographicDistributionForeignMemberstt:CommercialandFinancia</w:t>
      </w:r>
      <w:r>
        <w:rPr>
          <w:rFonts w:ascii="宋体" w:eastAsia="宋体" w:hAnsi="宋体" w:cs="宋体"/>
          <w:vanish/>
        </w:rPr>
        <w:t>lPortfolioSegmentMember2021-12-310000093751stt:SpeculativeMemberus-gaap:GeographicDistributionForeignMemberstt:CommercialandFinancialPortfolioSegmentMember2021-12-310000093751us-gaap:GeographicDistributionForeignMemberus-gaap:SubstandardMemberstt:Commercia</w:t>
      </w:r>
      <w:r>
        <w:rPr>
          <w:rFonts w:ascii="宋体" w:eastAsia="宋体" w:hAnsi="宋体" w:cs="宋体"/>
          <w:vanish/>
        </w:rPr>
        <w:t>landFinancialPortfolioSegmentMember2021-12-310000093751us-gaap:GeographicDistributionForeignMemberstt:CommercialandFinancialPortfolioSegmentMember2021-12-310000093751us-gaap:InternalInvestmentGradeMemberus-gaap:GeographicDistributionDomesticMemberstt:Comme</w:t>
      </w:r>
      <w:r>
        <w:rPr>
          <w:rFonts w:ascii="宋体" w:eastAsia="宋体" w:hAnsi="宋体" w:cs="宋体"/>
          <w:vanish/>
        </w:rPr>
        <w:t>rcialandFinancialPortfolioSegmentMember2020-12-310000093751stt:SpeculativeMemberus-gaap:GeographicDistributionDomesticMemberstt:CommercialandFinancialPortfolioSegmentMember2020-12-310000093751us-gaap:GeographicDistributionDomesticMemberus-gaap:SpecialMenti</w:t>
      </w:r>
      <w:r>
        <w:rPr>
          <w:rFonts w:ascii="宋体" w:eastAsia="宋体" w:hAnsi="宋体" w:cs="宋体"/>
          <w:vanish/>
        </w:rPr>
        <w:t>onMemberstt:CommercialandFinancialPortfolioSegmentMember2020-12-310000093751us-gaap:GeographicDistributionDomesticMemberus-gaap:SubstandardMemberstt:CommercialandFinancialPortfolioSegmentMember2020-12-310000093751us-gaap:GeographicDistributionDomesticMembe</w:t>
      </w:r>
      <w:r>
        <w:rPr>
          <w:rFonts w:ascii="宋体" w:eastAsia="宋体" w:hAnsi="宋体" w:cs="宋体"/>
          <w:vanish/>
        </w:rPr>
        <w:t>rstt:CommercialandFinancialPortfolioSegmentMember2020-12-310000093751us-gaap:InternalInvestmentGradeMemberus-gaap:GeographicDistributionDomesticMemberus-gaap:CommercialRealEstatePortfolioSegmentMember2020-12-310000093751stt:SpeculativeMemberus-gaap:Geograp</w:t>
      </w:r>
      <w:r>
        <w:rPr>
          <w:rFonts w:ascii="宋体" w:eastAsia="宋体" w:hAnsi="宋体" w:cs="宋体"/>
          <w:vanish/>
        </w:rPr>
        <w:t>hicDistributionDomesticMemberus-gaap:CommercialRealEstatePortfolioSegmentMember2020-12-310000093751us-gaap:InternalInvestmentGradeMemberus-gaap:GeographicDistributionForeignMemberstt:CommercialandFinancialPortfolioSegmentMember2020-12-310000093751stt:Specu</w:t>
      </w:r>
      <w:r>
        <w:rPr>
          <w:rFonts w:ascii="宋体" w:eastAsia="宋体" w:hAnsi="宋体" w:cs="宋体"/>
          <w:vanish/>
        </w:rPr>
        <w:t>lativeMemberus-gaap:GeographicDistributionForeignMemberstt:CommercialandFinancialPortfolioSegmentMember2020-12-310000093751us-gaap:GeographicDistributionForeignMemberus-gaap:DoubtfulMemberstt:CommercialandFinancialPortfolioSegmentMember2020-12-310000093751</w:t>
      </w:r>
      <w:r>
        <w:rPr>
          <w:rFonts w:ascii="宋体" w:eastAsia="宋体" w:hAnsi="宋体" w:cs="宋体"/>
          <w:vanish/>
        </w:rPr>
        <w:t>us-gaap:GeographicDistributionForeignMemberstt:CommercialandFinancialPortfolioSegmentMember2020-12-310000093751us-gaap:FinancialInstitutionsBorrowerMember2020-12-310000093751stt:InstitutionalOtherLoansMember2020-12-310000093751us-gaap:CommercialBorrowerMem</w:t>
      </w:r>
      <w:r>
        <w:rPr>
          <w:rFonts w:ascii="宋体" w:eastAsia="宋体" w:hAnsi="宋体" w:cs="宋体"/>
          <w:vanish/>
        </w:rPr>
        <w:t>ber2020-12-310000093751us-gaap:AvailableforsaleSecuritiesMember2020-12-310000093751us-gaap:HeldtomaturitySecuritiesMember2020-12-310000093751stt:OffBalanceSheetCommitmentsMember2020-12-310000093751stt:AllOtherMember2020-12-310000093751stt:IncludesAllowance</w:t>
      </w:r>
      <w:r>
        <w:rPr>
          <w:rFonts w:ascii="宋体" w:eastAsia="宋体" w:hAnsi="宋体" w:cs="宋体"/>
          <w:vanish/>
        </w:rPr>
        <w:t>sonUnfundedCommitmentsMember2020-12-310000093751us-gaap:FinancialInstitutionsBorrowerMember2021-01-012021-12-310000093751stt:InstitutionalOtherLoansMember2021-01-012021-12-310000093751us-gaap:CommercialBorrowerMember2021-01-012021-12-310000093751us-gaap:Av</w:t>
      </w:r>
      <w:r>
        <w:rPr>
          <w:rFonts w:ascii="宋体" w:eastAsia="宋体" w:hAnsi="宋体" w:cs="宋体"/>
          <w:vanish/>
        </w:rPr>
        <w:t>ailableforsaleSecuritiesMember2021-01-012021-12-310000093751us-gaap:HeldtomaturitySecuritiesMember2021-01-012021-12-310000093751stt:OffBalanceSheetCommitmentsMember2021-01-012021-12-310000093751stt:AllOtherMember2021-01-012021-12-310000093751stt:IncludesAl</w:t>
      </w:r>
      <w:r>
        <w:rPr>
          <w:rFonts w:ascii="宋体" w:eastAsia="宋体" w:hAnsi="宋体" w:cs="宋体"/>
          <w:vanish/>
        </w:rPr>
        <w:t>lowancesonUnfundedCommitmentsMember2021-01-012021-12-310000093751us-gaap:FinancialInstitutionsBorrowerMember2021-12-310000093751stt:InstitutionalOtherLoansMember2021-12-310000093751us-gaap:CommercialBorrowerMember2021-12-310000093751us-gaap:Availableforsal</w:t>
      </w:r>
      <w:r>
        <w:rPr>
          <w:rFonts w:ascii="宋体" w:eastAsia="宋体" w:hAnsi="宋体" w:cs="宋体"/>
          <w:vanish/>
        </w:rPr>
        <w:t>eSecuritiesMember2021-12-310000093751us-gaap:HeldtomaturitySecuritiesMember2021-12-310000093751stt:OffBalanceSheetCommitmentsMember2021-12-310000093751stt:AllOtherMember2021-12-310000093751stt:IncludesAllowancesonUnfundedCommitmentsMember2021-12-3100000937</w:t>
      </w:r>
      <w:r>
        <w:rPr>
          <w:rFonts w:ascii="宋体" w:eastAsia="宋体" w:hAnsi="宋体" w:cs="宋体"/>
          <w:vanish/>
        </w:rPr>
        <w:t>51stt:InstitutionalOtherLoansMemberstt:FundFinanceMember2021-12-310000093751stt:InstitutionalOtherLoansMemberstt:OtherLoansMember2021-12-310000093751us-gaap:FinancialInstitutionsBorrowerMember2019-12-310000093751stt:InstitutionalOtherLoansMember2019-12-310</w:t>
      </w:r>
      <w:r>
        <w:rPr>
          <w:rFonts w:ascii="宋体" w:eastAsia="宋体" w:hAnsi="宋体" w:cs="宋体"/>
          <w:vanish/>
        </w:rPr>
        <w:t>000093751us-gaap:CommercialBorrowerMember2019-12-310000093751us-gaap:HeldtomaturitySecuritiesMember2019-12-310000093751stt:OffBalanceSheetCommitmentsMember2019-12-310000093751stt:AllOtherMember2019-12-310000093751stt:IncludesAllowancesonUnfundedCommitments</w:t>
      </w:r>
      <w:r>
        <w:rPr>
          <w:rFonts w:ascii="宋体" w:eastAsia="宋体" w:hAnsi="宋体" w:cs="宋体"/>
          <w:vanish/>
        </w:rPr>
        <w:t>Member2019-12-310000093751us-gaap:FinancialInstitutionsBorrowerMember2020-01-012020-12-310000093751stt:InstitutionalOtherLoansMember2020-01-012020-12-310000093751us-gaap:CommercialBorrowerMember2020-01-012020-12-310000093751us-gaap:HeldtomaturitySecurities</w:t>
      </w:r>
      <w:r>
        <w:rPr>
          <w:rFonts w:ascii="宋体" w:eastAsia="宋体" w:hAnsi="宋体" w:cs="宋体"/>
          <w:vanish/>
        </w:rPr>
        <w:t>Member2020-01-012020-12-310000093751stt:OffBalanceSheetCommitmentsMember2020-01-012020-12-310000093751stt:AllOtherMember2020-01-012020-12-310000093751stt:IncludesAllowancesonUnfundedCommitmentsMember2020-01-012020-12-310000093751stt:InstitutionalOtherLoans</w:t>
      </w:r>
      <w:r>
        <w:rPr>
          <w:rFonts w:ascii="宋体" w:eastAsia="宋体" w:hAnsi="宋体" w:cs="宋体"/>
          <w:vanish/>
        </w:rPr>
        <w:t>Memberstt:FundFinanceMember2020-12-310000093751stt:InstitutionalOtherLoansMemberstt:OtherLoansMember2020-12-310000093751srt:MinimumMemberus-gaap:CustomerRelationshipsMember2021-01-012021-12-310000093751srt:MaximumMemberus-gaap:CustomerRelationshipsMember20</w:t>
      </w:r>
      <w:r>
        <w:rPr>
          <w:rFonts w:ascii="宋体" w:eastAsia="宋体" w:hAnsi="宋体" w:cs="宋体"/>
          <w:vanish/>
        </w:rPr>
        <w:t>21-01-012021-12-310000093751us-gaap:TechnologyBasedIntangibleAssetsMembersrt:MinimumMember2021-01-012021-12-310000093751us-gaap:TechnologyBasedIntangibleAssetsMembersrt:MaximumMember2021-01-012021-12-310000093751srt:MinimumMemberus-gaap:CoreDepositsMember2</w:t>
      </w:r>
      <w:r>
        <w:rPr>
          <w:rFonts w:ascii="宋体" w:eastAsia="宋体" w:hAnsi="宋体" w:cs="宋体"/>
          <w:vanish/>
        </w:rPr>
        <w:t>021-01-012021-12-310000093751us-gaap:CoreDepositsMembersrt:MaximumMember2021-01-012021-12-310000093751stt:InvestmentServicingMember2019-12-310000093751stt:InvestmentManagementMember2019-12-310000093751stt:InvestmentServicingMember2020-01-012020-12-31000009</w:t>
      </w:r>
      <w:r>
        <w:rPr>
          <w:rFonts w:ascii="宋体" w:eastAsia="宋体" w:hAnsi="宋体" w:cs="宋体"/>
          <w:vanish/>
        </w:rPr>
        <w:t>3751stt:InvestmentManagementMember2020-01-012020-12-310000093751stt:InvestmentServicingMember2020-12-310000093751stt:InvestmentManagementMember2020-12-310000093751stt:InvestmentServicingMember2021-01-012021-12-310000093751stt:InvestmentManagementMember2021</w:t>
      </w:r>
      <w:r>
        <w:rPr>
          <w:rFonts w:ascii="宋体" w:eastAsia="宋体" w:hAnsi="宋体" w:cs="宋体"/>
          <w:vanish/>
        </w:rPr>
        <w:t>-01-012021-12-310000093751stt:InvestmentServicingMember2021-12-310000093751stt:InvestmentManagementMember2021-12-310000093751stt:InvestmentServicingMemberstt:FideuramBankLuxembourMember2021-01-012021-03-31iso4217:EUR0000093751stt:InvestmentServicingMembers</w:t>
      </w:r>
      <w:r>
        <w:rPr>
          <w:rFonts w:ascii="宋体" w:eastAsia="宋体" w:hAnsi="宋体" w:cs="宋体"/>
          <w:vanish/>
        </w:rPr>
        <w:t>tt:MercatusIncMember2021-01-012021-03-310000093751stt:InvestmentServicingMemberstt:MercatusIncMember2021-07-012021-09-300000093751us-gaap:CustomerRelationshipsMember2021-12-310000093751us-gaap:TechnologyBasedIntangibleAssetsMember2021-12-310000093751us-gaa</w:t>
      </w:r>
      <w:r>
        <w:rPr>
          <w:rFonts w:ascii="宋体" w:eastAsia="宋体" w:hAnsi="宋体" w:cs="宋体"/>
          <w:vanish/>
        </w:rPr>
        <w:t>p:CoreDepositsMember2021-12-310000093751us-gaap:OtherIntangibleAssetsMember2021-12-310000093751us-gaap:CustomerRelationshipsMember2020-12-310000093751us-gaap:TechnologyBasedIntangibleAssetsMember2020-12-310000093751us-gaap:CoreDepositsMember2020-12-3100000</w:t>
      </w:r>
      <w:r>
        <w:rPr>
          <w:rFonts w:ascii="宋体" w:eastAsia="宋体" w:hAnsi="宋体" w:cs="宋体"/>
          <w:vanish/>
        </w:rPr>
        <w:t>93751us-gaap:OtherIntangibleAssetsMember2020-12-310000093751us-gaap:SecuritiesSoldUnderAgreementsToRepurchaseMember2021-12-310000093751us-gaap:SecuritiesSoldUnderAgreementsToRepurchaseMember2020-12-310000093751us-gaap:SecuritiesSoldUnderAgreementsToRepurch</w:t>
      </w:r>
      <w:r>
        <w:rPr>
          <w:rFonts w:ascii="宋体" w:eastAsia="宋体" w:hAnsi="宋体" w:cs="宋体"/>
          <w:vanish/>
        </w:rPr>
        <w:t>aseMember2019-12-310000093751us-gaap:TaxexemptMoneyMarketFundsMember2021-12-310000093751us-gaap:TaxexemptMoneyMarketFundsMember2020-12-310000093751us-gaap:TaxexemptMoneyMarketFundsMember2019-12-310000093751stt:OtherShortTermBorrowingsMember2021-12-31000009</w:t>
      </w:r>
      <w:r>
        <w:rPr>
          <w:rFonts w:ascii="宋体" w:eastAsia="宋体" w:hAnsi="宋体" w:cs="宋体"/>
          <w:vanish/>
        </w:rPr>
        <w:t>3751stt:OtherShortTermBorrowingsMember2020-12-310000093751stt:OtherShortTermBorrowingsMember2019-12-310000093751us-gaap:SecuritiesSoldUnderAgreementsToRepurchaseMember2021-01-012021-12-310000093751us-gaap:SecuritiesSoldUnderAgreementsToRepurchaseMember2020</w:t>
      </w:r>
      <w:r>
        <w:rPr>
          <w:rFonts w:ascii="宋体" w:eastAsia="宋体" w:hAnsi="宋体" w:cs="宋体"/>
          <w:vanish/>
        </w:rPr>
        <w:t>-01-012020-12-310000093751us-gaap:SecuritiesSoldUnderAgreementsToRepurchaseMember2019-01-012019-12-310000093751us-gaap:TaxexemptMoneyMarketFundsMember2021-01-012021-12-310000093751us-gaap:TaxexemptMoneyMarketFundsMember2020-01-012020-12-310000093751us-gaap</w:t>
      </w:r>
      <w:r>
        <w:rPr>
          <w:rFonts w:ascii="宋体" w:eastAsia="宋体" w:hAnsi="宋体" w:cs="宋体"/>
          <w:vanish/>
        </w:rPr>
        <w:t>:TaxexemptMoneyMarketFundsMember2019-01-012019-12-310000093751stt:OtherShortTermBorrowingsMember2021-01-012021-12-310000093751stt:OtherShortTermBorrowingsMember2020-01-012020-12-310000093751stt:OtherShortTermBorrowingsMember2019-01-012019-12-310000093751st</w:t>
      </w:r>
      <w:r>
        <w:rPr>
          <w:rFonts w:ascii="宋体" w:eastAsia="宋体" w:hAnsi="宋体" w:cs="宋体"/>
          <w:vanish/>
        </w:rPr>
        <w:t>t:SecuritiesSoldMember2021-12-310000093751us-gaap:RepurchaseAgreementsMember2021-12-31iso4217:CAD0000093751stt:ThreePointFiveFivePercentNotesDue2025Memberus-gaap:SeniorNotesMember2021-12-310000093751stt:ThreePointFiveFivePercentNotesDue2025Memberstt:Parent</w:t>
      </w:r>
      <w:r>
        <w:rPr>
          <w:rFonts w:ascii="宋体" w:eastAsia="宋体" w:hAnsi="宋体" w:cs="宋体"/>
          <w:vanish/>
        </w:rPr>
        <w:t>CompanyandNonbankingSubsidiariesMemberus-gaap:SeniorNotesMember2021-12-310000093751stt:ThreePointFiveFivePercentNotesDue2025Memberstt:ParentCompanyandNonbankingSubsidiariesMemberus-gaap:SeniorNotesMember2020-12-310000093751stt:ThreePointSevenZeroPercentSen</w:t>
      </w:r>
      <w:r>
        <w:rPr>
          <w:rFonts w:ascii="宋体" w:eastAsia="宋体" w:hAnsi="宋体" w:cs="宋体"/>
          <w:vanish/>
        </w:rPr>
        <w:t>iorNotesDue2023Memberus-gaap:SeniorNotesMember2021-12-310000093751stt:ThreePointSevenZeroPercentSeniorNotesDue2023Memberstt:ParentCompanyandNonbankingSubsidiariesMemberus-gaap:SeniorNotesMember2021-12-310000093751stt:ThreePointSevenZeroPercentSeniorNotesDu</w:t>
      </w:r>
      <w:r>
        <w:rPr>
          <w:rFonts w:ascii="宋体" w:eastAsia="宋体" w:hAnsi="宋体" w:cs="宋体"/>
          <w:vanish/>
        </w:rPr>
        <w:t>e2023Memberstt:ParentCompanyandNonbankingSubsidiariesMemberus-gaap:SeniorNotesMember2020-12-310000093751stt:ThreePointThreeZeroPercentNotesDue2024Memberus-gaap:SeniorNotesMember2021-12-310000093751stt:ThreePointThreeZeroPercentNotesDue2024Memberstt:ParentC</w:t>
      </w:r>
      <w:r>
        <w:rPr>
          <w:rFonts w:ascii="宋体" w:eastAsia="宋体" w:hAnsi="宋体" w:cs="宋体"/>
          <w:vanish/>
        </w:rPr>
        <w:t>ompanyandNonbankingSubsidiariesMemberus-gaap:SeniorNotesMember2021-12-310000093751stt:ThreePointThreeZeroPercentNotesDue2024Memberstt:ParentCompanyandNonbankingSubsidiariesMemberus-gaap:SeniorNotesMember2020-12-310000093751stt:ThreePointOneSubordinatedNote</w:t>
      </w:r>
      <w:r>
        <w:rPr>
          <w:rFonts w:ascii="宋体" w:eastAsia="宋体" w:hAnsi="宋体" w:cs="宋体"/>
          <w:vanish/>
        </w:rPr>
        <w:t>sDue2023Memberus-gaap:SubordinatedDebtMember2021-12-310000093751stt:ThreePointOneSubordinatedNotesDue2023Memberstt:ParentCompanyandNonbankingSubsidiariesMemberus-gaap:SubordinatedDebtMember2021-12-310000093751stt:ThreePointOneSubordinatedNotesDue2023Member</w:t>
      </w:r>
      <w:r>
        <w:rPr>
          <w:rFonts w:ascii="宋体" w:eastAsia="宋体" w:hAnsi="宋体" w:cs="宋体"/>
          <w:vanish/>
        </w:rPr>
        <w:t>stt:ParentCompanyandNonbankingSubsidiariesMemberus-gaap:SubordinatedDebtMember2020-12-310000093751stt:TwoPointThreeFiveFourPercentNotesDue2025Memberus-gaap:SeniorNotesMember2021-12-310000093751stt:TwoPointThreeFiveFourPercentNotesDue2025Memberstt:ParentCom</w:t>
      </w:r>
      <w:r>
        <w:rPr>
          <w:rFonts w:ascii="宋体" w:eastAsia="宋体" w:hAnsi="宋体" w:cs="宋体"/>
          <w:vanish/>
        </w:rPr>
        <w:t>panyandNonbankingSubsidiariesMemberus-gaap:SeniorNotesMember2021-12-310000093751stt:TwoPointThreeFiveFourPercentNotesDue2025Memberstt:ParentCompanyandNonbankingSubsidiariesMemberus-gaap:SeniorNotesMember2020-12-310000093751stt:TwoPointZeroPercentNotesDue20</w:t>
      </w:r>
      <w:r>
        <w:rPr>
          <w:rFonts w:ascii="宋体" w:eastAsia="宋体" w:hAnsi="宋体" w:cs="宋体"/>
          <w:vanish/>
        </w:rPr>
        <w:t>31Memberus-gaap:SeniorNotesMember2021-12-310000093751stt:TwoPointZeroPercentNotesDue2031Memberstt:ParentCompanyandNonbankingSubsidiariesMemberus-gaap:SeniorNotesMember2021-12-310000093751stt:TwoPointZeroPercentNotesDue2031Memberstt:ParentCompanyandNonbanki</w:t>
      </w:r>
      <w:r>
        <w:rPr>
          <w:rFonts w:ascii="宋体" w:eastAsia="宋体" w:hAnsi="宋体" w:cs="宋体"/>
          <w:vanish/>
        </w:rPr>
        <w:t>ngSubsidiariesMemberus-gaap:SeniorNotesMember2020-12-310000093751stt:A2400NotesMemberus-gaap:SeniorNotesMember2021-12-310000093751stt:A2400NotesMemberstt:ParentCompanyandNonbankingSubsidiariesMemberus-gaap:SeniorNotesMember2021-12-310000093751stt:A2400Note</w:t>
      </w:r>
      <w:r>
        <w:rPr>
          <w:rFonts w:ascii="宋体" w:eastAsia="宋体" w:hAnsi="宋体" w:cs="宋体"/>
          <w:vanish/>
        </w:rPr>
        <w:t>sMemberstt:ParentCompanyandNonbankingSubsidiariesMemberus-gaap:SeniorNotesMember2020-12-310000093751stt:TwoPointSixFivePercentNotesDue2026Memberus-gaap:SeniorNotesMember2021-12-310000093751stt:TwoPointSixFivePercentNotesDue2026Memberstt:ParentCompanyandNon</w:t>
      </w:r>
      <w:r>
        <w:rPr>
          <w:rFonts w:ascii="宋体" w:eastAsia="宋体" w:hAnsi="宋体" w:cs="宋体"/>
          <w:vanish/>
        </w:rPr>
        <w:t>bankingSubsidiariesMemberus-gaap:SeniorNotesMember2021-12-310000093751stt:TwoPointSixFivePercentNotesDue2026Memberstt:ParentCompanyandNonbankingSubsidiariesMemberus-gaap:SeniorNotesMember2020-12-310000093751stt:TwoPointSixFiveThreeNotesDue2023Memberus-gaap</w:t>
      </w:r>
      <w:r>
        <w:rPr>
          <w:rFonts w:ascii="宋体" w:eastAsia="宋体" w:hAnsi="宋体" w:cs="宋体"/>
          <w:vanish/>
        </w:rPr>
        <w:t>:SeniorNotesMember2021-12-310000093751stt:ParentCompanyandNonbankingSubsidiariesMemberstt:TwoPointSixFiveThreeNotesDue2023Memberus-gaap:SeniorNotesMember2021-12-310000093751stt:ParentCompanyandNonbankingSubsidiariesMemberstt:TwoPointSixFiveThreeNotesDue202</w:t>
      </w:r>
      <w:r>
        <w:rPr>
          <w:rFonts w:ascii="宋体" w:eastAsia="宋体" w:hAnsi="宋体" w:cs="宋体"/>
          <w:vanish/>
        </w:rPr>
        <w:t>3Memberus-gaap:SeniorNotesMember2020-12-310000093751stt:A2825NotesDue2023Memberus-gaap:SeniorNotesMember2021-12-310000093751stt:A2825NotesDue2023Memberstt:ParentCompanyandNonbankingSubsidiariesMemberus-gaap:SeniorNotesMember2021-12-310000093751stt:A2825Not</w:t>
      </w:r>
      <w:r>
        <w:rPr>
          <w:rFonts w:ascii="宋体" w:eastAsia="宋体" w:hAnsi="宋体" w:cs="宋体"/>
          <w:vanish/>
        </w:rPr>
        <w:t>esDue2023Memberstt:ParentCompanyandNonbankingSubsidiariesMemberus-gaap:SeniorNotesMember2020-12-310000093751stt:FourPointOneFourOnePercentNotesDue2029Memberus-gaap:SeniorNotesMember2021-12-310000093751stt:FourPointOneFourOnePercentNotesDue2029Memberstt:Par</w:t>
      </w:r>
      <w:r>
        <w:rPr>
          <w:rFonts w:ascii="宋体" w:eastAsia="宋体" w:hAnsi="宋体" w:cs="宋体"/>
          <w:vanish/>
        </w:rPr>
        <w:t>entCompanyandNonbankingSubsidiariesMemberus-gaap:SeniorNotesMember2021-12-310000093751stt:FourPointOneFourOnePercentNotesDue2029Memberstt:ParentCompanyandNonbankingSubsidiariesMemberus-gaap:SeniorNotesMember2020-12-310000093751stt:ThreePointZeroThreeOnePer</w:t>
      </w:r>
      <w:r>
        <w:rPr>
          <w:rFonts w:ascii="宋体" w:eastAsia="宋体" w:hAnsi="宋体" w:cs="宋体"/>
          <w:vanish/>
        </w:rPr>
        <w:t>centNotesDue2034Memberus-gaap:SubordinatedDebtMember2021-12-310000093751stt:ThreePointZeroThreeOnePercentNotesDue2034Memberstt:ParentCompanyandNonbankingSubsidiariesMemberus-gaap:SubordinatedDebtMember2021-12-310000093751stt:ThreePointZeroThreeOnePercentNo</w:t>
      </w:r>
      <w:r>
        <w:rPr>
          <w:rFonts w:ascii="宋体" w:eastAsia="宋体" w:hAnsi="宋体" w:cs="宋体"/>
          <w:vanish/>
        </w:rPr>
        <w:t>tesDue2034Memberstt:ParentCompanyandNonbankingSubsidiariesMemberus-gaap:SubordinatedDebtMember2020-12-310000093751stt:ThreePointSevenSevenSixPercentNotesDue2024Memberus-gaap:SeniorNotesMember2021-12-310000093751stt:ThreePointSevenSevenSixPercentNotesDue202</w:t>
      </w:r>
      <w:r>
        <w:rPr>
          <w:rFonts w:ascii="宋体" w:eastAsia="宋体" w:hAnsi="宋体" w:cs="宋体"/>
          <w:vanish/>
        </w:rPr>
        <w:t>4Memberstt:ParentCompanyandNonbankingSubsidiariesMemberus-gaap:SeniorNotesMember2021-12-310000093751stt:ThreePointSevenSevenSixPercentNotesDue2024Memberstt:ParentCompanyandNonbankingSubsidiariesMemberus-gaap:SeniorNotesMember2020-12-310000093751us-gaap:Jun</w:t>
      </w:r>
      <w:r>
        <w:rPr>
          <w:rFonts w:ascii="宋体" w:eastAsia="宋体" w:hAnsi="宋体" w:cs="宋体"/>
          <w:vanish/>
        </w:rPr>
        <w:t>iorSubordinatedDebtMemberstt:FloatingRateSubordinatedDebenturesDue2047Memberstt:ParentCompanyandNonbankingSubsidiariesMember2021-12-310000093751us-gaap:JuniorSubordinatedDebtMemberstt:FloatingRateSubordinatedDebenturesDue2047Memberstt:ParentCompanyandNonba</w:t>
      </w:r>
      <w:r>
        <w:rPr>
          <w:rFonts w:ascii="宋体" w:eastAsia="宋体" w:hAnsi="宋体" w:cs="宋体"/>
          <w:vanish/>
        </w:rPr>
        <w:t>nkingSubsidiariesMember2020-12-310000093751stt:A2901NotesDue2026Memberus-gaap:SeniorNotesMember2021-12-310000093751stt:A2901NotesDue2026Memberstt:ParentCompanyandNonbankingSubsidiariesMemberus-gaap:SeniorNotesMember2021-12-310000093751stt:A2901NotesDue2026</w:t>
      </w:r>
      <w:r>
        <w:rPr>
          <w:rFonts w:ascii="宋体" w:eastAsia="宋体" w:hAnsi="宋体" w:cs="宋体"/>
          <w:vanish/>
        </w:rPr>
        <w:t>Memberstt:ParentCompanyandNonbankingSubsidiariesMemberus-gaap:SeniorNotesMember2020-12-310000093751stt:A3152NotesDue2031Memberus-gaap:SeniorNotesMember2021-12-310000093751stt:A3152NotesDue2031Memberstt:ParentCompanyandNonbankingSubsidiariesMemberus-gaap:Se</w:t>
      </w:r>
      <w:r>
        <w:rPr>
          <w:rFonts w:ascii="宋体" w:eastAsia="宋体" w:hAnsi="宋体" w:cs="宋体"/>
          <w:vanish/>
        </w:rPr>
        <w:t>niorNotesMember2021-12-310000093751stt:A3152NotesDue2031Memberstt:ParentCompanyandNonbankingSubsidiariesMemberus-gaap:SeniorNotesMember2020-12-310000093751stt:OnePointSixEightFourPercentNotesDue2027Memberus-gaap:SeniorNotesMember2021-12-310000093751stt:One</w:t>
      </w:r>
      <w:r>
        <w:rPr>
          <w:rFonts w:ascii="宋体" w:eastAsia="宋体" w:hAnsi="宋体" w:cs="宋体"/>
          <w:vanish/>
        </w:rPr>
        <w:t>PointSixEightFourPercentNotesDue2027Memberstt:ParentCompanyandNonbankingSubsidiariesMemberus-gaap:SeniorNotesMember2021-12-310000093751stt:OnePointSixEightFourPercentNotesDue2027Memberstt:ParentCompanyandNonbankingSubsidiariesMemberus-gaap:SeniorNotesMembe</w:t>
      </w:r>
      <w:r>
        <w:rPr>
          <w:rFonts w:ascii="宋体" w:eastAsia="宋体" w:hAnsi="宋体" w:cs="宋体"/>
          <w:vanish/>
        </w:rPr>
        <w:t>r2020-12-310000093751stt:SevenPointThreeFivePercentNotesDue2026Memberus-gaap:SeniorNotesMember2021-12-310000093751stt:SevenPointThreeFivePercentNotesDue2026Memberstt:ParentCompanyandNonbankingSubsidiariesMemberus-gaap:SeniorNotesMember2021-12-310000093751s</w:t>
      </w:r>
      <w:r>
        <w:rPr>
          <w:rFonts w:ascii="宋体" w:eastAsia="宋体" w:hAnsi="宋体" w:cs="宋体"/>
          <w:vanish/>
        </w:rPr>
        <w:t>tt:SevenPointThreeFivePercentNotesDue2026Memberstt:ParentCompanyandNonbankingSubsidiariesMemberus-gaap:SeniorNotesMember2020-12-310000093751stt:FloatingRateSubordinatedNotesDue2028Memberus-gaap:JuniorSubordinatedDebtMemberstt:ParentCompanyandNonbankingSubs</w:t>
      </w:r>
      <w:r>
        <w:rPr>
          <w:rFonts w:ascii="宋体" w:eastAsia="宋体" w:hAnsi="宋体" w:cs="宋体"/>
          <w:vanish/>
        </w:rPr>
        <w:t>idiariesMember2021-12-310000093751stt:FloatingRateSubordinatedNotesDue2028Memberus-gaap:JuniorSubordinatedDebtMemberstt:ParentCompanyandNonbankingSubsidiariesMember2020-12-310000093751stt:FourPointThreeSevenFiveNotesDue2021Memberus-gaap:SeniorNotesMember20</w:t>
      </w:r>
      <w:r>
        <w:rPr>
          <w:rFonts w:ascii="宋体" w:eastAsia="宋体" w:hAnsi="宋体" w:cs="宋体"/>
          <w:vanish/>
        </w:rPr>
        <w:t>21-12-310000093751stt:FourPointThreeSevenFiveNotesDue2021Memberstt:ParentCompanyandNonbankingSubsidiariesMemberus-gaap:SeniorNotesMember2021-12-310000093751stt:FourPointThreeSevenFiveNotesDue2021Memberstt:ParentCompanyandNonbankingSubsidiariesMemberus-gaap</w:t>
      </w:r>
      <w:r>
        <w:rPr>
          <w:rFonts w:ascii="宋体" w:eastAsia="宋体" w:hAnsi="宋体" w:cs="宋体"/>
          <w:vanish/>
        </w:rPr>
        <w:t>:SeniorNotesMember2020-12-310000093751stt:OnePointNineFivePercentNotesDue2021Memberus-gaap:SeniorNotesMember2021-12-310000093751stt:ParentCompanyandNonbankingSubsidiariesMemberstt:OnePointNineFivePercentNotesDue2021Memberus-gaap:SeniorNotesMember2021-12-31</w:t>
      </w:r>
      <w:r>
        <w:rPr>
          <w:rFonts w:ascii="宋体" w:eastAsia="宋体" w:hAnsi="宋体" w:cs="宋体"/>
          <w:vanish/>
        </w:rPr>
        <w:t>0000093751stt:ParentCompanyandNonbankingSubsidiariesMemberstt:OnePointNineFivePercentNotesDue2021Memberus-gaap:SeniorNotesMember2020-12-310000093751stt:StateStreetBankMember2021-12-310000093751stt:StateStreetBankMember2020-12-310000093751us-gaap:FairValueH</w:t>
      </w:r>
      <w:r>
        <w:rPr>
          <w:rFonts w:ascii="宋体" w:eastAsia="宋体" w:hAnsi="宋体" w:cs="宋体"/>
          <w:vanish/>
        </w:rPr>
        <w:t>edgingMember2021-01-012021-12-310000093751us-gaap:FairValueHedgingMember2020-01-012020-12-310000093751us-gaap:InterestRateContractMemberus-gaap:NondesignatedMemberus-gaap:FutureMember2021-12-310000093751us-gaap:InterestRateContractMemberus-gaap:Nondesignat</w:t>
      </w:r>
      <w:r>
        <w:rPr>
          <w:rFonts w:ascii="宋体" w:eastAsia="宋体" w:hAnsi="宋体" w:cs="宋体"/>
          <w:vanish/>
        </w:rPr>
        <w:t>edMemberus-gaap:FutureMember2020-12-310000093751us-gaap:ForeignExchangeContractMemberstt:ForwardSwapAndSpotMemberus-gaap:NondesignatedMember2021-12-310000093751us-gaap:ForeignExchangeContractMemberstt:ForwardSwapAndSpotMemberus-gaap:NondesignatedMember2020</w:t>
      </w:r>
      <w:r>
        <w:rPr>
          <w:rFonts w:ascii="宋体" w:eastAsia="宋体" w:hAnsi="宋体" w:cs="宋体"/>
          <w:vanish/>
        </w:rPr>
        <w:t>-12-310000093751us-gaap:ForeignExchangeContractMemberstt:OptionsPurchasedMemberus-gaap:NondesignatedMember2021-12-310000093751us-gaap:ForeignExchangeContractMemberstt:OptionsPurchasedMemberus-gaap:NondesignatedMember2020-12-310000093751stt:OptionsWrittenMe</w:t>
      </w:r>
      <w:r>
        <w:rPr>
          <w:rFonts w:ascii="宋体" w:eastAsia="宋体" w:hAnsi="宋体" w:cs="宋体"/>
          <w:vanish/>
        </w:rPr>
        <w:t>mberus-gaap:ForeignExchangeContractMemberus-gaap:NondesignatedMember2021-12-310000093751stt:OptionsWrittenMemberus-gaap:ForeignExchangeContractMemberus-gaap:NondesignatedMember2020-12-310000093751us-gaap:ForeignExchangeContractMemberus-gaap:NondesignatedMe</w:t>
      </w:r>
      <w:r>
        <w:rPr>
          <w:rFonts w:ascii="宋体" w:eastAsia="宋体" w:hAnsi="宋体" w:cs="宋体"/>
          <w:vanish/>
        </w:rPr>
        <w:t>mberus-gaap:FutureMember2021-12-310000093751us-gaap:ForeignExchangeContractMemberus-gaap:NondesignatedMemberus-gaap:FutureMember2020-12-310000093751stt:StableValueContractsMemberus-gaap:OtherContractMemberus-gaap:NondesignatedMember2021-12-310000093751stt:</w:t>
      </w:r>
      <w:r>
        <w:rPr>
          <w:rFonts w:ascii="宋体" w:eastAsia="宋体" w:hAnsi="宋体" w:cs="宋体"/>
          <w:vanish/>
        </w:rPr>
        <w:t>StableValueContractsMemberus-gaap:OtherContractMemberus-gaap:NondesignatedMember2020-12-310000093751stt:DeferredValueAwardsMemberus-gaap:OtherContractMemberus-gaap:NondesignatedMember2021-12-310000093751stt:DeferredValueAwardsMemberus-gaap:OtherContractMem</w:t>
      </w:r>
      <w:r>
        <w:rPr>
          <w:rFonts w:ascii="宋体" w:eastAsia="宋体" w:hAnsi="宋体" w:cs="宋体"/>
          <w:vanish/>
        </w:rPr>
        <w:t>berus-gaap:NondesignatedMember2020-12-310000093751us-gaap:SwapMemberus-gaap:InterestRateContractMemberus-gaap:DesignatedAsHedgingInstrumentMember2021-12-310000093751us-gaap:SwapMemberus-gaap:InterestRateContractMemberus-gaap:DesignatedAsHedgingInstrumentMe</w:t>
      </w:r>
      <w:r>
        <w:rPr>
          <w:rFonts w:ascii="宋体" w:eastAsia="宋体" w:hAnsi="宋体" w:cs="宋体"/>
          <w:vanish/>
        </w:rPr>
        <w:t>mber2020-12-310000093751us-gaap:DesignatedAsHedgingInstrumentMemberus-gaap:ForeignExchangeContractMemberstt:ForwardsMember2021-12-310000093751us-gaap:DesignatedAsHedgingInstrumentMemberus-gaap:ForeignExchangeContractMemberstt:ForwardsMember2020-12-31000009</w:t>
      </w:r>
      <w:r>
        <w:rPr>
          <w:rFonts w:ascii="宋体" w:eastAsia="宋体" w:hAnsi="宋体" w:cs="宋体"/>
          <w:vanish/>
        </w:rPr>
        <w:t>3751us-gaap:ForeignExchangeContractMemberus-gaap:OtherAssetsMemberus-gaap:NondesignatedMember2021-12-310000093751us-gaap:ForeignExchangeContractMemberus-gaap:OtherAssetsMemberus-gaap:NondesignatedMember2020-12-310000093751us-gaap:ForeignExchangeContractMem</w:t>
      </w:r>
      <w:r>
        <w:rPr>
          <w:rFonts w:ascii="宋体" w:eastAsia="宋体" w:hAnsi="宋体" w:cs="宋体"/>
          <w:vanish/>
        </w:rPr>
        <w:t>berus-gaap:OtherLiabilitiesMemberus-gaap:NondesignatedMember2021-12-310000093751us-gaap:ForeignExchangeContractMemberus-gaap:OtherLiabilitiesMemberus-gaap:NondesignatedMember2020-12-310000093751us-gaap:OtherAssetsMemberus-gaap:OtherContractMemberus-gaap:No</w:t>
      </w:r>
      <w:r>
        <w:rPr>
          <w:rFonts w:ascii="宋体" w:eastAsia="宋体" w:hAnsi="宋体" w:cs="宋体"/>
          <w:vanish/>
        </w:rPr>
        <w:t>ndesignatedMember2021-12-310000093751us-gaap:OtherAssetsMemberus-gaap:OtherContractMemberus-gaap:NondesignatedMember2020-12-310000093751us-gaap:OtherLiabilitiesMemberus-gaap:OtherContractMemberus-gaap:NondesignatedMember2021-12-310000093751us-gaap:OtherLia</w:t>
      </w:r>
      <w:r>
        <w:rPr>
          <w:rFonts w:ascii="宋体" w:eastAsia="宋体" w:hAnsi="宋体" w:cs="宋体"/>
          <w:vanish/>
        </w:rPr>
        <w:t>bilitiesMemberus-gaap:OtherContractMemberus-gaap:NondesignatedMember2020-12-310000093751us-gaap:OtherAssetsMemberus-gaap:NondesignatedMember2021-12-310000093751us-gaap:OtherAssetsMemberus-gaap:NondesignatedMember2020-12-310000093751us-gaap:OtherLiabilities</w:t>
      </w:r>
      <w:r>
        <w:rPr>
          <w:rFonts w:ascii="宋体" w:eastAsia="宋体" w:hAnsi="宋体" w:cs="宋体"/>
          <w:vanish/>
        </w:rPr>
        <w:t>Memberus-gaap:NondesignatedMember2021-12-310000093751us-gaap:OtherLiabilitiesMemberus-gaap:NondesignatedMember2020-12-310000093751us-gaap:DesignatedAsHedgingInstrumentMemberus-gaap:ForeignExchangeContractMemberus-gaap:OtherAssetsMember2021-12-310000093751u</w:t>
      </w:r>
      <w:r>
        <w:rPr>
          <w:rFonts w:ascii="宋体" w:eastAsia="宋体" w:hAnsi="宋体" w:cs="宋体"/>
          <w:vanish/>
        </w:rPr>
        <w:t>s-gaap:DesignatedAsHedgingInstrumentMemberus-gaap:ForeignExchangeContractMemberus-gaap:OtherAssetsMember2020-12-310000093751us-gaap:DesignatedAsHedgingInstrumentMemberus-gaap:ForeignExchangeContractMemberus-gaap:OtherLiabilitiesMember2021-12-310000093751us</w:t>
      </w:r>
      <w:r>
        <w:rPr>
          <w:rFonts w:ascii="宋体" w:eastAsia="宋体" w:hAnsi="宋体" w:cs="宋体"/>
          <w:vanish/>
        </w:rPr>
        <w:t>-gaap:DesignatedAsHedgingInstrumentMemberus-gaap:ForeignExchangeContractMemberus-gaap:OtherLiabilitiesMember2020-12-310000093751us-gaap:InterestRateContractMemberus-gaap:DesignatedAsHedgingInstrumentMemberus-gaap:OtherAssetsMember2021-12-310000093751us-gaa</w:t>
      </w:r>
      <w:r>
        <w:rPr>
          <w:rFonts w:ascii="宋体" w:eastAsia="宋体" w:hAnsi="宋体" w:cs="宋体"/>
          <w:vanish/>
        </w:rPr>
        <w:t>p:InterestRateContractMemberus-gaap:DesignatedAsHedgingInstrumentMemberus-gaap:OtherAssetsMember2020-12-310000093751us-gaap:InterestRateContractMemberus-gaap:DesignatedAsHedgingInstrumentMemberus-gaap:OtherLiabilitiesMember2021-12-310000093751us-gaap:Inter</w:t>
      </w:r>
      <w:r>
        <w:rPr>
          <w:rFonts w:ascii="宋体" w:eastAsia="宋体" w:hAnsi="宋体" w:cs="宋体"/>
          <w:vanish/>
        </w:rPr>
        <w:t>estRateContractMemberus-gaap:DesignatedAsHedgingInstrumentMemberus-gaap:OtherLiabilitiesMember2020-12-310000093751us-gaap:DesignatedAsHedgingInstrumentMemberus-gaap:OtherAssetsMember2021-12-310000093751us-gaap:DesignatedAsHedgingInstrumentMemberus-gaap:Oth</w:t>
      </w:r>
      <w:r>
        <w:rPr>
          <w:rFonts w:ascii="宋体" w:eastAsia="宋体" w:hAnsi="宋体" w:cs="宋体"/>
          <w:vanish/>
        </w:rPr>
        <w:t>erAssetsMember2020-12-310000093751us-gaap:DesignatedAsHedgingInstrumentMemberus-gaap:OtherLiabilitiesMember2021-12-310000093751us-gaap:DesignatedAsHedgingInstrumentMemberus-gaap:OtherLiabilitiesMember2020-12-310000093751us-gaap:ForeignExchangeContractMembe</w:t>
      </w:r>
      <w:r>
        <w:rPr>
          <w:rFonts w:ascii="宋体" w:eastAsia="宋体" w:hAnsi="宋体" w:cs="宋体"/>
          <w:vanish/>
        </w:rPr>
        <w:t>rstt:ForeignExchangeTradingServicesMemberus-gaap:NondesignatedMember2021-01-012021-12-310000093751us-gaap:ForeignExchangeContractMemberstt:ForeignExchangeTradingServicesMemberus-gaap:NondesignatedMember2020-01-012020-12-310000093751us-gaap:ForeignExchangeC</w:t>
      </w:r>
      <w:r>
        <w:rPr>
          <w:rFonts w:ascii="宋体" w:eastAsia="宋体" w:hAnsi="宋体" w:cs="宋体"/>
          <w:vanish/>
        </w:rPr>
        <w:t>ontractMemberstt:ForeignExchangeTradingServicesMemberus-gaap:NondesignatedMember2019-01-012019-12-310000093751us-gaap:InterestExpenseMemberus-gaap:ForeignExchangeContractMemberus-gaap:NondesignatedMember2021-01-012021-12-310000093751us-gaap:InterestExpense</w:t>
      </w:r>
      <w:r>
        <w:rPr>
          <w:rFonts w:ascii="宋体" w:eastAsia="宋体" w:hAnsi="宋体" w:cs="宋体"/>
          <w:vanish/>
        </w:rPr>
        <w:t>Memberus-gaap:ForeignExchangeContractMemberus-gaap:NondesignatedMember2020-01-012020-12-310000093751us-gaap:InterestExpenseMemberus-gaap:ForeignExchangeContractMemberus-gaap:NondesignatedMember2019-01-012019-12-310000093751us-gaap:InterestRateContractMembe</w:t>
      </w:r>
      <w:r>
        <w:rPr>
          <w:rFonts w:ascii="宋体" w:eastAsia="宋体" w:hAnsi="宋体" w:cs="宋体"/>
          <w:vanish/>
        </w:rPr>
        <w:t>rstt:ForeignExchangeTradingServicesMemberus-gaap:NondesignatedMember2021-01-012021-12-310000093751us-gaap:InterestRateContractMemberstt:ForeignExchangeTradingServicesMemberus-gaap:NondesignatedMember2020-01-012020-12-310000093751us-gaap:InterestRateContrac</w:t>
      </w:r>
      <w:r>
        <w:rPr>
          <w:rFonts w:ascii="宋体" w:eastAsia="宋体" w:hAnsi="宋体" w:cs="宋体"/>
          <w:vanish/>
        </w:rPr>
        <w:t>tMemberstt:ForeignExchangeTradingServicesMemberus-gaap:NondesignatedMember2019-01-012019-12-310000093751stt:CompensationandEmployeeBenefitsMemberus-gaap:OtherContractMemberus-gaap:NondesignatedMember2021-01-012021-12-310000093751stt:CompensationandEmployee</w:t>
      </w:r>
      <w:r>
        <w:rPr>
          <w:rFonts w:ascii="宋体" w:eastAsia="宋体" w:hAnsi="宋体" w:cs="宋体"/>
          <w:vanish/>
        </w:rPr>
        <w:t>BenefitsMemberus-gaap:OtherContractMemberus-gaap:NondesignatedMember2020-01-012020-12-310000093751stt:CompensationandEmployeeBenefitsMemberus-gaap:OtherContractMemberus-gaap:NondesignatedMember2019-01-012019-12-310000093751us-gaap:NondesignatedMember2021-0</w:t>
      </w:r>
      <w:r>
        <w:rPr>
          <w:rFonts w:ascii="宋体" w:eastAsia="宋体" w:hAnsi="宋体" w:cs="宋体"/>
          <w:vanish/>
        </w:rPr>
        <w:t>1-012021-12-310000093751us-gaap:NondesignatedMember2020-01-012020-12-310000093751us-gaap:NondesignatedMember2019-01-012019-12-310000093751us-gaap:DesignatedAsHedgingInstrumentMemberus-gaap:LongTermDebtMember2021-12-310000093751us-gaap:LongTermDebtMemberus-</w:t>
      </w:r>
      <w:r>
        <w:rPr>
          <w:rFonts w:ascii="宋体" w:eastAsia="宋体" w:hAnsi="宋体" w:cs="宋体"/>
          <w:vanish/>
        </w:rPr>
        <w:t>gaap:NondesignatedMember2021-12-310000093751us-gaap:DesignatedAsHedgingInstrumentMemberus-gaap:AvailableforsaleSecuritiesMember2021-12-310000093751us-gaap:AvailableforsaleSecuritiesMemberus-gaap:NondesignatedMember2021-12-310000093751us-gaap:DesignatedAsHe</w:t>
      </w:r>
      <w:r>
        <w:rPr>
          <w:rFonts w:ascii="宋体" w:eastAsia="宋体" w:hAnsi="宋体" w:cs="宋体"/>
          <w:vanish/>
        </w:rPr>
        <w:t>dgingInstrumentMemberus-gaap:LongTermDebtMember2020-12-310000093751us-gaap:LongTermDebtMemberus-gaap:NondesignatedMember2020-12-310000093751us-gaap:DesignatedAsHedgingInstrumentMemberus-gaap:AvailableforsaleSecuritiesMember2020-12-310000093751us-gaap:Avail</w:t>
      </w:r>
      <w:r>
        <w:rPr>
          <w:rFonts w:ascii="宋体" w:eastAsia="宋体" w:hAnsi="宋体" w:cs="宋体"/>
          <w:vanish/>
        </w:rPr>
        <w:t>ableforsaleSecuritiesMemberus-gaap:NondesignatedMember2020-12-310000093751us-gaap:InterestRateSwapMemberus-gaap:FairValueHedgingMember2021-12-310000093751us-gaap:InterestRateSwapMemberus-gaap:FairValueHedgingMember2020-12-310000093751us-gaap:InterestRateCo</w:t>
      </w:r>
      <w:r>
        <w:rPr>
          <w:rFonts w:ascii="宋体" w:eastAsia="宋体" w:hAnsi="宋体" w:cs="宋体"/>
          <w:vanish/>
        </w:rPr>
        <w:t>ntractMemberstt:InterestIncomeNetMemberus-gaap:AvailableforsaleSecuritiesMember2021-01-012021-12-310000093751us-gaap:InterestRateContractMemberstt:InterestIncomeNetMemberus-gaap:AvailableforsaleSecuritiesMember2020-01-012020-12-310000093751us-gaap:Interest</w:t>
      </w:r>
      <w:r>
        <w:rPr>
          <w:rFonts w:ascii="宋体" w:eastAsia="宋体" w:hAnsi="宋体" w:cs="宋体"/>
          <w:vanish/>
        </w:rPr>
        <w:t>RateContractMemberstt:InterestIncomeNetMemberus-gaap:AvailableforsaleSecuritiesMember2019-01-012019-12-310000093751us-gaap:InterestRateContractMemberstt:InterestIncomeNetMemberus-gaap:LongTermDebtMember2021-01-012021-12-310000093751us-gaap:InterestRateCont</w:t>
      </w:r>
      <w:r>
        <w:rPr>
          <w:rFonts w:ascii="宋体" w:eastAsia="宋体" w:hAnsi="宋体" w:cs="宋体"/>
          <w:vanish/>
        </w:rPr>
        <w:t>ractMemberstt:InterestIncomeNetMemberus-gaap:LongTermDebtMember2020-01-012020-12-310000093751us-gaap:InterestRateContractMemberstt:InterestIncomeNetMemberus-gaap:LongTermDebtMember2019-01-012019-12-310000093751us-gaap:InterestRateContractMember2021-01-0120</w:t>
      </w:r>
      <w:r>
        <w:rPr>
          <w:rFonts w:ascii="宋体" w:eastAsia="宋体" w:hAnsi="宋体" w:cs="宋体"/>
          <w:vanish/>
        </w:rPr>
        <w:t>21-12-310000093751us-gaap:InterestRateContractMember2020-01-012020-12-310000093751us-gaap:InterestRateContractMember2019-01-012019-12-310000093751us-gaap:InterestRateContractMemberus-gaap:InterestIncomeMember2021-01-012021-12-310000093751us-gaap:InterestRa</w:t>
      </w:r>
      <w:r>
        <w:rPr>
          <w:rFonts w:ascii="宋体" w:eastAsia="宋体" w:hAnsi="宋体" w:cs="宋体"/>
          <w:vanish/>
        </w:rPr>
        <w:t>teContractMemberus-gaap:InterestIncomeMember2020-01-012020-12-310000093751us-gaap:InterestRateContractMemberus-gaap:InterestIncomeMember2019-01-012019-12-310000093751us-gaap:ForeignExchangeContractMember2019-01-012019-12-310000093751us-gaap:ForeignExchange</w:t>
      </w:r>
      <w:r>
        <w:rPr>
          <w:rFonts w:ascii="宋体" w:eastAsia="宋体" w:hAnsi="宋体" w:cs="宋体"/>
          <w:vanish/>
        </w:rPr>
        <w:t>ContractMemberus-gaap:InterestIncomeMember2021-01-012021-12-310000093751us-gaap:ForeignExchangeContractMemberus-gaap:InterestIncomeMember2020-01-012020-12-310000093751us-gaap:ForeignExchangeContractMemberus-gaap:InterestIncomeMember2019-01-012019-12-310000</w:t>
      </w:r>
      <w:r>
        <w:rPr>
          <w:rFonts w:ascii="宋体" w:eastAsia="宋体" w:hAnsi="宋体" w:cs="宋体"/>
          <w:vanish/>
        </w:rPr>
        <w:t>093751us-gaap:ForeignExchangeContractMemberstt:GainsLossesRelatedtoInvestmentSecuritiesNetMember2021-01-012021-12-310000093751us-gaap:ForeignExchangeContractMemberstt:GainsLossesRelatedtoInvestmentSecuritiesNetMember2020-01-012020-12-310000093751us-gaap:Fo</w:t>
      </w:r>
      <w:r>
        <w:rPr>
          <w:rFonts w:ascii="宋体" w:eastAsia="宋体" w:hAnsi="宋体" w:cs="宋体"/>
          <w:vanish/>
        </w:rPr>
        <w:t>reignExchangeContractMemberstt:GainsLossesRelatedtoInvestmentSecuritiesNetMember2019-01-012019-12-310000093751us-gaap:CreditDefaultSwapMember2021-12-310000093751us-gaap:InterestRateContractMember2021-12-310000093751us-gaap:InterestRateContractMember2020-12</w:t>
      </w:r>
      <w:r>
        <w:rPr>
          <w:rFonts w:ascii="宋体" w:eastAsia="宋体" w:hAnsi="宋体" w:cs="宋体"/>
          <w:vanish/>
        </w:rPr>
        <w:t>-310000093751stt:OtherDerivativeContractsMember2021-12-310000093751stt:OtherDerivativeContractsMember2020-12-310000093751stt:AccruedExpensesAndOtherLiabilitiesMember2021-12-310000093751stt:AccruedExpensesAndOtherLiabilitiesMember2020-12-310000093751us-gaap</w:t>
      </w:r>
      <w:r>
        <w:rPr>
          <w:rFonts w:ascii="宋体" w:eastAsia="宋体" w:hAnsi="宋体" w:cs="宋体"/>
          <w:vanish/>
        </w:rPr>
        <w:t>:MaturityOvernightAndOnDemandMemberus-gaap:USTreasuryAndGovernmentMember2021-12-310000093751us-gaap:MaturityUpTo30DaysMemberus-gaap:USTreasuryAndGovernmentMember2021-12-310000093751us-gaap:Maturity30To90DaysMemberus-gaap:USTreasuryAndGovernmentMember2021-1</w:t>
      </w:r>
      <w:r>
        <w:rPr>
          <w:rFonts w:ascii="宋体" w:eastAsia="宋体" w:hAnsi="宋体" w:cs="宋体"/>
          <w:vanish/>
        </w:rPr>
        <w:t>2-310000093751us-gaap:MaturityOver90DaysMemberus-gaap:USTreasuryAndGovernmentMember2021-12-310000093751us-gaap:MaturityOvernightAndOnDemandMemberus-gaap:USTreasuryAndGovernmentMember2020-12-310000093751us-gaap:MaturityUpTo30DaysMemberus-gaap:USTreasuryAndG</w:t>
      </w:r>
      <w:r>
        <w:rPr>
          <w:rFonts w:ascii="宋体" w:eastAsia="宋体" w:hAnsi="宋体" w:cs="宋体"/>
          <w:vanish/>
        </w:rPr>
        <w:t>overnmentMember2020-12-310000093751us-gaap:Maturity30To90DaysMemberus-gaap:USTreasuryAndGovernmentMember2020-12-310000093751us-gaap:MaturityOver90DaysMemberus-gaap:USTreasuryAndGovernmentMember2020-12-310000093751us-gaap:MaturityOvernightAndOnDemandMember2</w:t>
      </w:r>
      <w:r>
        <w:rPr>
          <w:rFonts w:ascii="宋体" w:eastAsia="宋体" w:hAnsi="宋体" w:cs="宋体"/>
          <w:vanish/>
        </w:rPr>
        <w:t>021-12-310000093751us-gaap:MaturityUpTo30DaysMember2021-12-310000093751us-gaap:Maturity30To90DaysMember2021-12-310000093751us-gaap:MaturityOver90DaysMember2021-12-310000093751us-gaap:MaturityOvernightAndOnDemandMember2020-12-310000093751us-gaap:MaturityUpT</w:t>
      </w:r>
      <w:r>
        <w:rPr>
          <w:rFonts w:ascii="宋体" w:eastAsia="宋体" w:hAnsi="宋体" w:cs="宋体"/>
          <w:vanish/>
        </w:rPr>
        <w:t>o30DaysMember2020-12-310000093751us-gaap:Maturity30To90DaysMember2020-12-310000093751us-gaap:MaturityOver90DaysMember2020-12-310000093751us-gaap:MaturityOvernightAndOnDemandMemberus-gaap:CorporateDebtSecuritiesMember2021-12-310000093751us-gaap:MaturityUpTo</w:t>
      </w:r>
      <w:r>
        <w:rPr>
          <w:rFonts w:ascii="宋体" w:eastAsia="宋体" w:hAnsi="宋体" w:cs="宋体"/>
          <w:vanish/>
        </w:rPr>
        <w:t>30DaysMemberus-gaap:CorporateDebtSecuritiesMember2021-12-310000093751us-gaap:Maturity30To90DaysMemberus-gaap:CorporateDebtSecuritiesMember2021-12-310000093751us-gaap:MaturityOver90DaysMemberus-gaap:CorporateDebtSecuritiesMember2021-12-310000093751us-gaap:C</w:t>
      </w:r>
      <w:r>
        <w:rPr>
          <w:rFonts w:ascii="宋体" w:eastAsia="宋体" w:hAnsi="宋体" w:cs="宋体"/>
          <w:vanish/>
        </w:rPr>
        <w:t>orporateDebtSecuritiesMember2021-12-310000093751us-gaap:MaturityOvernightAndOnDemandMemberus-gaap:CorporateDebtSecuritiesMember2020-12-310000093751us-gaap:MaturityUpTo30DaysMemberus-gaap:CorporateDebtSecuritiesMember2020-12-310000093751us-gaap:Maturity30To</w:t>
      </w:r>
      <w:r>
        <w:rPr>
          <w:rFonts w:ascii="宋体" w:eastAsia="宋体" w:hAnsi="宋体" w:cs="宋体"/>
          <w:vanish/>
        </w:rPr>
        <w:t>90DaysMemberus-gaap:CorporateDebtSecuritiesMember2020-12-310000093751us-gaap:MaturityOver90DaysMemberus-gaap:CorporateDebtSecuritiesMember2020-12-310000093751us-gaap:CorporateDebtSecuritiesMember2020-12-310000093751us-gaap:MaturityOvernightAndOnDemandMembe</w:t>
      </w:r>
      <w:r>
        <w:rPr>
          <w:rFonts w:ascii="宋体" w:eastAsia="宋体" w:hAnsi="宋体" w:cs="宋体"/>
          <w:vanish/>
        </w:rPr>
        <w:t>rus-gaap:EquitySecuritiesMember2021-12-310000093751us-gaap:MaturityUpTo30DaysMemberus-gaap:EquitySecuritiesMember2021-12-310000093751us-gaap:Maturity30To90DaysMemberus-gaap:EquitySecuritiesMember2021-12-310000093751us-gaap:MaturityOver90DaysMemberus-gaap:E</w:t>
      </w:r>
      <w:r>
        <w:rPr>
          <w:rFonts w:ascii="宋体" w:eastAsia="宋体" w:hAnsi="宋体" w:cs="宋体"/>
          <w:vanish/>
        </w:rPr>
        <w:t>quitySecuritiesMember2021-12-310000093751us-gaap:EquitySecuritiesMember2021-12-310000093751us-gaap:MaturityOvernightAndOnDemandMemberus-gaap:EquitySecuritiesMember2020-12-310000093751us-gaap:MaturityUpTo30DaysMemberus-gaap:EquitySecuritiesMember2020-12-310</w:t>
      </w:r>
      <w:r>
        <w:rPr>
          <w:rFonts w:ascii="宋体" w:eastAsia="宋体" w:hAnsi="宋体" w:cs="宋体"/>
          <w:vanish/>
        </w:rPr>
        <w:t>000093751us-gaap:Maturity30To90DaysMemberus-gaap:EquitySecuritiesMember2020-12-310000093751us-gaap:MaturityOver90DaysMemberus-gaap:EquitySecuritiesMember2020-12-310000093751us-gaap:EquitySecuritiesMember2020-12-310000093751us-gaap:MaturityOvernightAndOnDem</w:t>
      </w:r>
      <w:r>
        <w:rPr>
          <w:rFonts w:ascii="宋体" w:eastAsia="宋体" w:hAnsi="宋体" w:cs="宋体"/>
          <w:vanish/>
        </w:rPr>
        <w:t>andMemberus-gaap:SovereignDebtMember2021-12-310000093751us-gaap:MaturityUpTo30DaysMemberus-gaap:SovereignDebtMember2021-12-310000093751us-gaap:Maturity30To90DaysMemberus-gaap:SovereignDebtMember2021-12-310000093751us-gaap:MaturityOver90DaysMemberus-gaap:So</w:t>
      </w:r>
      <w:r>
        <w:rPr>
          <w:rFonts w:ascii="宋体" w:eastAsia="宋体" w:hAnsi="宋体" w:cs="宋体"/>
          <w:vanish/>
        </w:rPr>
        <w:t>vereignDebtMember2021-12-310000093751us-gaap:SovereignDebtMember2021-12-310000093751us-gaap:MaturityOvernightAndOnDemandMemberus-gaap:SovereignDebtMember2020-12-310000093751us-gaap:MaturityUpTo30DaysMemberus-gaap:SovereignDebtMember2020-12-310000093751us-g</w:t>
      </w:r>
      <w:r>
        <w:rPr>
          <w:rFonts w:ascii="宋体" w:eastAsia="宋体" w:hAnsi="宋体" w:cs="宋体"/>
          <w:vanish/>
        </w:rPr>
        <w:t>aap:Maturity30To90DaysMemberus-gaap:SovereignDebtMember2020-12-310000093751us-gaap:MaturityOver90DaysMemberus-gaap:SovereignDebtMember2020-12-310000093751us-gaap:SovereignDebtMember2020-12-310000093751stt:InvoicingMatterMemberus-gaap:LegalReserveMember2021</w:t>
      </w:r>
      <w:r>
        <w:rPr>
          <w:rFonts w:ascii="宋体" w:eastAsia="宋体" w:hAnsi="宋体" w:cs="宋体"/>
          <w:vanish/>
        </w:rPr>
        <w:t>-12-310000093751stt:InvoicingMatterMemberstt:UnitedStatesAttorneyForTheDistrictOfMassachusettsMember2021-05-012021-05-310000093751stt:InvoicingMatterMemberstt:USSecuritiesAndExchangeCommissionMember2019-06-012019-06-300000093751stt:MassachusettsAttorneyGen</w:t>
      </w:r>
      <w:r>
        <w:rPr>
          <w:rFonts w:ascii="宋体" w:eastAsia="宋体" w:hAnsi="宋体" w:cs="宋体"/>
          <w:vanish/>
        </w:rPr>
        <w:t>eralMemberstt:InvoicingMatterMember2019-06-012019-06-300000093751stt:InvoicingMatterMember2019-06-012019-06-300000093751stt:GomesVStateStreetCorpMember2021-08-012021-08-31stt:plaintiff0000093751stt:EdmarFinancialCompanyLLCVCurrenexIncMember2021-08-012021-0</w:t>
      </w:r>
      <w:r>
        <w:rPr>
          <w:rFonts w:ascii="宋体" w:eastAsia="宋体" w:hAnsi="宋体" w:cs="宋体"/>
          <w:vanish/>
        </w:rPr>
        <w:t>8-310000093751us-gaap:VariableInterestEntityPrimaryBeneficiaryMember2021-12-310000093751us-gaap:VariableInterestEntityPrimaryBeneficiaryMember2020-12-310000093751us-gaap:VariableInterestEntityNotPrimaryBeneficiaryMember2021-12-310000093751us-gaap:VariableI</w:t>
      </w:r>
      <w:r>
        <w:rPr>
          <w:rFonts w:ascii="宋体" w:eastAsia="宋体" w:hAnsi="宋体" w:cs="宋体"/>
          <w:vanish/>
        </w:rPr>
        <w:t>nterestEntityNotPrimaryBeneficiaryMember2020-12-310000093751stt:SeriesDPreferredStockDepositoryShareMember2014-02-012014-02-280000093751us-gaap:SeriesDPreferredStockMember2014-02-280000093751stt:SeriesDPreferredStockDepositoryShareMember2014-02-28000009375</w:t>
      </w:r>
      <w:r>
        <w:rPr>
          <w:rFonts w:ascii="宋体" w:eastAsia="宋体" w:hAnsi="宋体" w:cs="宋体"/>
          <w:vanish/>
        </w:rPr>
        <w:t>1stt:SeriesFPreferredStockDepositoryShareMember2015-05-012015-05-310000093751us-gaap:SeriesFPreferredStockMember2015-05-310000093751stt:SeriesFPreferredStockDepositoryShareMember2015-05-310000093751stt:SeriesGPreferredStockDepositoryShareMember2016-04-0120</w:t>
      </w:r>
      <w:r>
        <w:rPr>
          <w:rFonts w:ascii="宋体" w:eastAsia="宋体" w:hAnsi="宋体" w:cs="宋体"/>
          <w:vanish/>
        </w:rPr>
        <w:t>16-04-300000093751us-gaap:SeriesGPreferredStockMember2016-04-300000093751stt:SeriesGPreferredStockDepositoryShareMember2016-04-300000093751stt:SeriesHPreferredStockDepositoryShareMember2018-09-012018-09-300000093751us-gaap:SeriesHPreferredStockMember2020-0</w:t>
      </w:r>
      <w:r>
        <w:rPr>
          <w:rFonts w:ascii="宋体" w:eastAsia="宋体" w:hAnsi="宋体" w:cs="宋体"/>
          <w:vanish/>
        </w:rPr>
        <w:t>9-300000093751stt:SeriesHPreferredStockDepositoryShareMember2020-09-300000093751us-gaap:SeriesFPreferredStockMember2021-03-150000093751stt:SeriesFPreferredStockDepositoryShareMember2021-03-150000093751us-gaap:SeriesCPreferredStockMember2021-01-012021-12-31</w:t>
      </w:r>
      <w:r>
        <w:rPr>
          <w:rFonts w:ascii="宋体" w:eastAsia="宋体" w:hAnsi="宋体" w:cs="宋体"/>
          <w:vanish/>
        </w:rPr>
        <w:t>0000093751stt:SeriesCPreferredStockDepositoryShareMember2021-01-012021-12-310000093751us-gaap:SeriesCPreferredStockMember2020-01-012020-12-310000093751stt:SeriesCPreferredStockDepositoryShareMember2020-01-012020-12-310000093751us-gaap:SeriesDPreferredStock</w:t>
      </w:r>
      <w:r>
        <w:rPr>
          <w:rFonts w:ascii="宋体" w:eastAsia="宋体" w:hAnsi="宋体" w:cs="宋体"/>
          <w:vanish/>
        </w:rPr>
        <w:t>Member2021-01-012021-12-310000093751us-gaap:SeriesDPreferredStockMember2020-01-012020-12-310000093751stt:SeriesDPreferredStockDepositoryShareMember2020-01-012020-12-310000093751us-gaap:SeriesFPreferredStockMember2021-01-012021-12-310000093751stt:SeriesFPre</w:t>
      </w:r>
      <w:r>
        <w:rPr>
          <w:rFonts w:ascii="宋体" w:eastAsia="宋体" w:hAnsi="宋体" w:cs="宋体"/>
          <w:vanish/>
        </w:rPr>
        <w:t>ferredStockDepositoryShareMember2021-01-012021-12-310000093751us-gaap:SeriesFPreferredStockMember2020-01-012020-12-310000093751stt:SeriesFPreferredStockDepositoryShareMember2020-01-012020-12-310000093751us-gaap:SeriesGPreferredStockMember2021-01-012021-12-</w:t>
      </w:r>
      <w:r>
        <w:rPr>
          <w:rFonts w:ascii="宋体" w:eastAsia="宋体" w:hAnsi="宋体" w:cs="宋体"/>
          <w:vanish/>
        </w:rPr>
        <w:t>310000093751us-gaap:SeriesGPreferredStockMember2020-01-012020-12-310000093751stt:SeriesGPreferredStockDepositoryShareMember2020-01-012020-12-310000093751us-gaap:SeriesHPreferredStockMember2021-01-012021-12-310000093751stt:SeriesHPreferredStockDepositorySha</w:t>
      </w:r>
      <w:r>
        <w:rPr>
          <w:rFonts w:ascii="宋体" w:eastAsia="宋体" w:hAnsi="宋体" w:cs="宋体"/>
          <w:vanish/>
        </w:rPr>
        <w:t>reMember2021-01-012021-12-310000093751us-gaap:SeriesHPreferredStockMember2020-01-012020-12-310000093751stt:SeriesHPreferredStockDepositoryShareMember2020-01-012020-12-310000093751us-gaap:SeriesDPreferredStockMemberus-gaap:SubsequentEventMember2022-02-01202</w:t>
      </w:r>
      <w:r>
        <w:rPr>
          <w:rFonts w:ascii="宋体" w:eastAsia="宋体" w:hAnsi="宋体" w:cs="宋体"/>
          <w:vanish/>
        </w:rPr>
        <w:t>2-02-280000093751us-gaap:SeriesFPreferredStockMemberus-gaap:SubsequentEventMember2022-02-012022-02-280000093751us-gaap:SeriesGPreferredStockMemberus-gaap:SubsequentEventMember2022-02-012022-02-280000093751stt:SeriesDPreferredStockDepositoryShareMemberus-ga</w:t>
      </w:r>
      <w:r>
        <w:rPr>
          <w:rFonts w:ascii="宋体" w:eastAsia="宋体" w:hAnsi="宋体" w:cs="宋体"/>
          <w:vanish/>
        </w:rPr>
        <w:t>ap:SubsequentEventMember2022-02-012022-02-280000093751stt:SeriesFPreferredStockDepositoryShareMemberus-gaap:SubsequentEventMember2022-02-012022-02-280000093751stt:SeriesGPreferredStockDepositoryShareMemberus-gaap:SubsequentEventMember2022-02-012022-02-2800</w:t>
      </w:r>
      <w:r>
        <w:rPr>
          <w:rFonts w:ascii="宋体" w:eastAsia="宋体" w:hAnsi="宋体" w:cs="宋体"/>
          <w:vanish/>
        </w:rPr>
        <w:t>00093751us-gaap:SeriesDPreferredStockMembersrt:ScenarioForecastMember2022-03-012022-03-010000093751us-gaap:SeriesFPreferredStockMembersrt:ScenarioForecastMember2022-03-012022-03-010000093751us-gaap:SeriesGPreferredStockMembersrt:ScenarioForecastMember2022-</w:t>
      </w:r>
      <w:r>
        <w:rPr>
          <w:rFonts w:ascii="宋体" w:eastAsia="宋体" w:hAnsi="宋体" w:cs="宋体"/>
          <w:vanish/>
        </w:rPr>
        <w:t>03-012022-03-010000093751us-gaap:CommonStockMember2021-09-012021-09-300000093751us-gaap:CommonStockMember2021-09-3000000937512021-09-012021-09-300000093751stt:TwoThousandandNineteenShareRepurchaseProgramMember2019-06-300000093751stt:TwoThousandandNineteenS</w:t>
      </w:r>
      <w:r>
        <w:rPr>
          <w:rFonts w:ascii="宋体" w:eastAsia="宋体" w:hAnsi="宋体" w:cs="宋体"/>
          <w:vanish/>
        </w:rPr>
        <w:t>hareRepurchaseProgramMember2019-10-012019-12-310000093751stt:TwoThousandandNineteenShareRepurchaseProgramMember2020-01-012020-03-310000093751stt:TwoThousandandNineteenShareRepurchaseProgramMember2019-07-012019-09-3000000937512020-07-012020-09-3000000937512</w:t>
      </w:r>
      <w:r>
        <w:rPr>
          <w:rFonts w:ascii="宋体" w:eastAsia="宋体" w:hAnsi="宋体" w:cs="宋体"/>
          <w:vanish/>
        </w:rPr>
        <w:t>020-04-012020-06-3000000937512020-10-012020-12-3100000937512021-01-3100000937512021-04-3000000937512021-07-310000093751stt:TwoThousandandNineteenShareRepurchaseProgramMember2021-01-012021-12-310000093751stt:TwoThousandandNineteenShareRepurchaseProgramMembe</w:t>
      </w:r>
      <w:r>
        <w:rPr>
          <w:rFonts w:ascii="宋体" w:eastAsia="宋体" w:hAnsi="宋体" w:cs="宋体"/>
          <w:vanish/>
        </w:rPr>
        <w:t>r2020-01-012020-12-310000093751us-gaap:AccumulatedGainLossNetCashFlowHedgeParentMember2019-12-310000093751us-gaap:AccumulatedNetUnrealizedInvestmentGainLossMember2019-12-310000093751stt:AccumulatedNetUnrealizedGainLossOnNetInvestmentHedgingMember2019-12-31</w:t>
      </w:r>
      <w:r>
        <w:rPr>
          <w:rFonts w:ascii="宋体" w:eastAsia="宋体" w:hAnsi="宋体" w:cs="宋体"/>
          <w:vanish/>
        </w:rPr>
        <w:t>0000093751us-gaap:AccumulatedOtherThanTemporaryImpairmentMember2019-12-310000093751us-gaap:AccumulatedDefinedBenefitPlansAdjustmentMember2019-12-310000093751us-gaap:AccumulatedTranslationAdjustmentMember2019-12-310000093751us-gaap:AccumulatedGainLossNetCas</w:t>
      </w:r>
      <w:r>
        <w:rPr>
          <w:rFonts w:ascii="宋体" w:eastAsia="宋体" w:hAnsi="宋体" w:cs="宋体"/>
          <w:vanish/>
        </w:rPr>
        <w:t>hFlowHedgeParentMember2020-01-012020-12-310000093751us-gaap:AccumulatedNetUnrealizedInvestmentGainLossMember2020-01-012020-12-310000093751stt:AccumulatedNetUnrealizedGainLossOnNetInvestmentHedgingMember2020-01-012020-12-310000093751us-gaap:AccumulatedOther</w:t>
      </w:r>
      <w:r>
        <w:rPr>
          <w:rFonts w:ascii="宋体" w:eastAsia="宋体" w:hAnsi="宋体" w:cs="宋体"/>
          <w:vanish/>
        </w:rPr>
        <w:t>ThanTemporaryImpairmentMember2020-01-012020-12-310000093751us-gaap:AccumulatedDefinedBenefitPlansAdjustmentMember2020-01-012020-12-310000093751us-gaap:AccumulatedTranslationAdjustmentMember2020-01-012020-12-310000093751us-gaap:AccumulatedGainLossNetCashFlo</w:t>
      </w:r>
      <w:r>
        <w:rPr>
          <w:rFonts w:ascii="宋体" w:eastAsia="宋体" w:hAnsi="宋体" w:cs="宋体"/>
          <w:vanish/>
        </w:rPr>
        <w:t>wHedgeParentMember2020-12-310000093751us-gaap:AccumulatedNetUnrealizedInvestmentGainLossMember2020-12-310000093751stt:AccumulatedNetUnrealizedGainLossOnNetInvestmentHedgingMember2020-12-310000093751us-gaap:AccumulatedOtherThanTemporaryImpairmentMember2020-</w:t>
      </w:r>
      <w:r>
        <w:rPr>
          <w:rFonts w:ascii="宋体" w:eastAsia="宋体" w:hAnsi="宋体" w:cs="宋体"/>
          <w:vanish/>
        </w:rPr>
        <w:t>12-310000093751us-gaap:AccumulatedDefinedBenefitPlansAdjustmentMember2020-12-310000093751us-gaap:AccumulatedTranslationAdjustmentMember2020-12-310000093751us-gaap:AccumulatedGainLossNetCashFlowHedgeParentMember2021-01-012021-12-310000093751us-gaap:Accumula</w:t>
      </w:r>
      <w:r>
        <w:rPr>
          <w:rFonts w:ascii="宋体" w:eastAsia="宋体" w:hAnsi="宋体" w:cs="宋体"/>
          <w:vanish/>
        </w:rPr>
        <w:t>tedNetUnrealizedInvestmentGainLossMember2021-01-012021-12-310000093751stt:AccumulatedNetUnrealizedGainLossOnNetInvestmentHedgingMember2021-01-012021-12-310000093751us-gaap:AccumulatedOtherThanTemporaryImpairmentMember2021-01-012021-12-310000093751us-gaap:A</w:t>
      </w:r>
      <w:r>
        <w:rPr>
          <w:rFonts w:ascii="宋体" w:eastAsia="宋体" w:hAnsi="宋体" w:cs="宋体"/>
          <w:vanish/>
        </w:rPr>
        <w:t>ccumulatedDefinedBenefitPlansAdjustmentMember2021-01-012021-12-310000093751us-gaap:AccumulatedTranslationAdjustmentMember2021-01-012021-12-310000093751us-gaap:AccumulatedGainLossNetCashFlowHedgeParentMember2021-12-310000093751us-gaap:AccumulatedNetUnrealiz</w:t>
      </w:r>
      <w:r>
        <w:rPr>
          <w:rFonts w:ascii="宋体" w:eastAsia="宋体" w:hAnsi="宋体" w:cs="宋体"/>
          <w:vanish/>
        </w:rPr>
        <w:t>edInvestmentGainLossMember2021-12-310000093751stt:AccumulatedNetUnrealizedGainLossOnNetInvestmentHedgingMember2021-12-310000093751us-gaap:AccumulatedOtherThanTemporaryImpairmentMember2021-12-310000093751us-gaap:AccumulatedDefinedBenefitPlansAdjustmentMembe</w:t>
      </w:r>
      <w:r>
        <w:rPr>
          <w:rFonts w:ascii="宋体" w:eastAsia="宋体" w:hAnsi="宋体" w:cs="宋体"/>
          <w:vanish/>
        </w:rPr>
        <w:t>r2021-12-310000093751us-gaap:AccumulatedTranslationAdjustmentMember2021-12-310000093751us-gaap:ReclassificationOutOfAccumulatedOtherComprehensiveIncomeMemberus-gaap:AccumulatedNetUnrealizedInvestmentGainLossMember2021-01-012021-12-310000093751us-gaap:Recla</w:t>
      </w:r>
      <w:r>
        <w:rPr>
          <w:rFonts w:ascii="宋体" w:eastAsia="宋体" w:hAnsi="宋体" w:cs="宋体"/>
          <w:vanish/>
        </w:rPr>
        <w:t>ssificationOutOfAccumulatedOtherComprehensiveIncomeMemberus-gaap:AccumulatedNetUnrealizedInvestmentGainLossMember2020-01-012020-12-310000093751us-gaap:ReclassificationOutOfAccumulatedOtherComprehensiveIncomeMemberus-gaap:AccumulatedGainLossNetCashFlowHedge</w:t>
      </w:r>
      <w:r>
        <w:rPr>
          <w:rFonts w:ascii="宋体" w:eastAsia="宋体" w:hAnsi="宋体" w:cs="宋体"/>
          <w:vanish/>
        </w:rPr>
        <w:t>ParentMember2021-01-012021-12-310000093751us-gaap:ReclassificationOutOfAccumulatedOtherComprehensiveIncomeMemberus-gaap:AccumulatedGainLossNetCashFlowHedgeParentMember2020-01-012020-12-310000093751us-gaap:ReclassificationOutOfAccumulatedOtherComprehensiveI</w:t>
      </w:r>
      <w:r>
        <w:rPr>
          <w:rFonts w:ascii="宋体" w:eastAsia="宋体" w:hAnsi="宋体" w:cs="宋体"/>
          <w:vanish/>
        </w:rPr>
        <w:t>ncomeMemberus-gaap:AccumulatedDefinedBenefitPlansAdjustmentMember2021-01-012021-12-310000093751us-gaap:ReclassificationOutOfAccumulatedOtherComprehensiveIncomeMemberus-gaap:AccumulatedDefinedBenefitPlansAdjustmentMember2020-01-012020-12-310000093751us-gaap</w:t>
      </w:r>
      <w:r>
        <w:rPr>
          <w:rFonts w:ascii="宋体" w:eastAsia="宋体" w:hAnsi="宋体" w:cs="宋体"/>
          <w:vanish/>
        </w:rPr>
        <w:t>:ReclassificationOutOfAccumulatedOtherComprehensiveIncomeMember2021-01-012021-12-310000093751us-gaap:ReclassificationOutOfAccumulatedOtherComprehensiveIncomeMember2020-01-012020-12-310000093751us-gaap:SeriesDPreferredStockMember2014-02-012014-02-2800000937</w:t>
      </w:r>
      <w:r>
        <w:rPr>
          <w:rFonts w:ascii="宋体" w:eastAsia="宋体" w:hAnsi="宋体" w:cs="宋体"/>
          <w:vanish/>
        </w:rPr>
        <w:t>51us-gaap:SeriesDPreferredStockMembersrt:ScenarioForecastMember2014-02-012024-03-140000093751us-gaap:LondonInterbankOfferedRateLIBORMemberus-gaap:SeriesDPreferredStockMembersrt:ScenarioForecastMember2024-03-152024-03-150000093751us-gaap:SeriesFPreferredSto</w:t>
      </w:r>
      <w:r>
        <w:rPr>
          <w:rFonts w:ascii="宋体" w:eastAsia="宋体" w:hAnsi="宋体" w:cs="宋体"/>
          <w:vanish/>
        </w:rPr>
        <w:t>ckMember2015-05-012015-05-310000093751us-gaap:SeriesFPreferredStockMember2015-05-012020-09-140000093751us-gaap:LondonInterbankOfferedRateLIBORMemberus-gaap:SeriesFPreferredStockMember2020-09-152021-09-140000093751us-gaap:LondonInterbankOfferedRateLIBORMemb</w:t>
      </w:r>
      <w:r>
        <w:rPr>
          <w:rFonts w:ascii="宋体" w:eastAsia="宋体" w:hAnsi="宋体" w:cs="宋体"/>
          <w:vanish/>
        </w:rPr>
        <w:t>erus-gaap:SeriesFPreferredStockMember2021-12-152021-12-310000093751us-gaap:SeriesGPreferredStockMember2016-04-012016-04-300000093751us-gaap:SeriesGPreferredStockMembersrt:ScenarioForecastMember2016-04-012026-03-140000093751us-gaap:SeriesGPreferredStockMemb</w:t>
      </w:r>
      <w:r>
        <w:rPr>
          <w:rFonts w:ascii="宋体" w:eastAsia="宋体" w:hAnsi="宋体" w:cs="宋体"/>
          <w:vanish/>
        </w:rPr>
        <w:t>erus-gaap:LondonInterbankOfferedRateLIBORMembersrt:ScenarioForecastMember2026-03-152026-03-150000093751us-gaap:SeriesHPreferredStockMember2018-09-012018-09-300000093751us-gaap:SeriesHPreferredStockMembersrt:ScenarioForecastMember2018-09-012023-12-140000093</w:t>
      </w:r>
      <w:r>
        <w:rPr>
          <w:rFonts w:ascii="宋体" w:eastAsia="宋体" w:hAnsi="宋体" w:cs="宋体"/>
          <w:vanish/>
        </w:rPr>
        <w:t>751us-gaap:LondonInterbankOfferedRateLIBORMemberus-gaap:SeriesHPreferredStockMembersrt:ScenarioForecastMember2023-12-152023-12-150000093751stt:BaselIIIstandardizedApproachMember2021-12-310000093751srt:SubsidiariesMemberstt:BaselIIIAdvancedApproachMember202</w:t>
      </w:r>
      <w:r>
        <w:rPr>
          <w:rFonts w:ascii="宋体" w:eastAsia="宋体" w:hAnsi="宋体" w:cs="宋体"/>
          <w:vanish/>
        </w:rPr>
        <w:t>1-12-310000093751srt:SubsidiariesMemberstt:BaselIIIstandardizedApproachMember2021-12-310000093751srt:SubsidiariesMemberstt:BaselIIIAdvancedApproachMember2020-12-310000093751srt:SubsidiariesMemberstt:BaselIIIstandardizedApproachMember2020-12-310000093751stt</w:t>
      </w:r>
      <w:r>
        <w:rPr>
          <w:rFonts w:ascii="宋体" w:eastAsia="宋体" w:hAnsi="宋体" w:cs="宋体"/>
          <w:vanish/>
        </w:rPr>
        <w:t>:A2017StockIncentivePlanMember2017-05-310000093751stt:A2006EquityIncentivePlanMember2017-05-310000093751stt:A2017StockIncentivePlanMember2021-01-012021-12-310000093751stt:A2017StockIncentivePlanMember2021-12-310000093751stt:A2017StockIncentivePlanMember202</w:t>
      </w:r>
      <w:r>
        <w:rPr>
          <w:rFonts w:ascii="宋体" w:eastAsia="宋体" w:hAnsi="宋体" w:cs="宋体"/>
          <w:vanish/>
        </w:rPr>
        <w:t>0-12-310000093751stt:A2017StockIncentivePlanMember2019-12-310000093751srt:MinimumMemberstt:DeferredStockAwardsMember2021-01-012021-12-310000093751srt:MaximumMemberstt:DeferredStockAwardsMember2021-01-012021-12-310000093751us-gaap:PerformanceSharesMembersrt</w:t>
      </w:r>
      <w:r>
        <w:rPr>
          <w:rFonts w:ascii="宋体" w:eastAsia="宋体" w:hAnsi="宋体" w:cs="宋体"/>
          <w:vanish/>
        </w:rPr>
        <w:t>:MaximumMember2021-01-012021-12-310000093751stt:DeferredStockAwardsAndPerformanceSharesMember2021-01-012021-12-310000093751stt:DeferredStockAwardsAndPerformanceSharesMember2020-01-012020-12-310000093751stt:DeferredStockAwardsAndPerformanceSharesMember2019-</w:t>
      </w:r>
      <w:r>
        <w:rPr>
          <w:rFonts w:ascii="宋体" w:eastAsia="宋体" w:hAnsi="宋体" w:cs="宋体"/>
          <w:vanish/>
        </w:rPr>
        <w:t>01-012019-12-310000093751us-gaap:StockAppreciationRightsSARSMember2020-01-012020-12-310000093751us-gaap:StockAppreciationRightsSARSMember2019-01-012019-12-310000093751us-gaap:StockAppreciationRightsSARSMember2021-01-012021-12-310000093751us-gaap:StockAppre</w:t>
      </w:r>
      <w:r>
        <w:rPr>
          <w:rFonts w:ascii="宋体" w:eastAsia="宋体" w:hAnsi="宋体" w:cs="宋体"/>
          <w:vanish/>
        </w:rPr>
        <w:t>ciationRightsSARSMember2021-12-310000093751stt:DeferredStockAwardsMember2019-12-310000093751stt:DeferredStockAwardsMember2020-01-012020-12-310000093751stt:DeferredStockAwardsMember2020-12-310000093751stt:DeferredStockAwardsMember2021-01-012021-12-310000093</w:t>
      </w:r>
      <w:r>
        <w:rPr>
          <w:rFonts w:ascii="宋体" w:eastAsia="宋体" w:hAnsi="宋体" w:cs="宋体"/>
          <w:vanish/>
        </w:rPr>
        <w:t>751stt:DeferredStockAwardsMember2021-12-310000093751stt:DeferredStockAwardsMember2019-01-012019-12-310000093751us-gaap:PerformanceSharesMember2019-12-310000093751us-gaap:PerformanceSharesMember2020-01-012020-12-310000093751us-gaap:PerformanceSharesMember20</w:t>
      </w:r>
      <w:r>
        <w:rPr>
          <w:rFonts w:ascii="宋体" w:eastAsia="宋体" w:hAnsi="宋体" w:cs="宋体"/>
          <w:vanish/>
        </w:rPr>
        <w:t>20-12-310000093751us-gaap:PerformanceSharesMember2021-01-012021-12-310000093751us-gaap:PerformanceSharesMember2021-12-310000093751us-gaap:PerformanceSharesMember2019-01-012019-12-310000093751stt:ShareBasedPaymentArrangementCashSettledStockAwardsMember2019-</w:t>
      </w:r>
      <w:r>
        <w:rPr>
          <w:rFonts w:ascii="宋体" w:eastAsia="宋体" w:hAnsi="宋体" w:cs="宋体"/>
          <w:vanish/>
        </w:rPr>
        <w:t>12-310000093751stt:ShareBasedPaymentArrangementCashSettledStockAwardsMember2020-01-012020-12-310000093751stt:ShareBasedPaymentArrangementCashSettledStockAwardsMember2020-12-310000093751stt:ShareBasedPaymentArrangementCashSettledStockAwardsMember2021-01-012</w:t>
      </w:r>
      <w:r>
        <w:rPr>
          <w:rFonts w:ascii="宋体" w:eastAsia="宋体" w:hAnsi="宋体" w:cs="宋体"/>
          <w:vanish/>
        </w:rPr>
        <w:t>021-12-310000093751stt:ShareBasedPaymentArrangementCashSettledStockAwardsMember2021-12-310000093751us-gaap:PensionPlansDefinedBenefitMember2021-01-012021-12-31stt:employee0000093751us-gaap:PensionPlansDefinedBenefitMember2021-12-310000093751us-gaap:OtherPo</w:t>
      </w:r>
      <w:r>
        <w:rPr>
          <w:rFonts w:ascii="宋体" w:eastAsia="宋体" w:hAnsi="宋体" w:cs="宋体"/>
          <w:vanish/>
        </w:rPr>
        <w:t>stretirementBenefitPlansDefinedBenefitMember2021-12-310000093751us-gaap:SupplementalEmployeeRetirementPlanDefinedBenefitMember2021-12-310000093751us-gaap:PensionPlansDefinedBenefitMember2020-12-310000093751us-gaap:SupplementalEmployeeRetirementPlanDefinedB</w:t>
      </w:r>
      <w:r>
        <w:rPr>
          <w:rFonts w:ascii="宋体" w:eastAsia="宋体" w:hAnsi="宋体" w:cs="宋体"/>
          <w:vanish/>
        </w:rPr>
        <w:t>enefitMember2020-12-310000093751us-gaap:OtherPostretirementBenefitPlansDefinedBenefitMember2020-12-310000093751stt:CharlesRiverDevelopmentMember2021-01-012021-12-310000093751stt:CharlesRiverDevelopmentMember2020-01-012020-12-310000093751stt:CharlesRiverDev</w:t>
      </w:r>
      <w:r>
        <w:rPr>
          <w:rFonts w:ascii="宋体" w:eastAsia="宋体" w:hAnsi="宋体" w:cs="宋体"/>
          <w:vanish/>
        </w:rPr>
        <w:t>elopmentMember2019-01-012019-12-310000093751stt:BBHInvestorServicesMember2021-07-012021-12-310000093751us-gaap:EmployeeSeveranceMember2021-01-012021-12-310000093751us-gaap:FacilityClosingMember2021-01-012021-12-310000093751us-gaap:EmployeeSeveranceMember20</w:t>
      </w:r>
      <w:r>
        <w:rPr>
          <w:rFonts w:ascii="宋体" w:eastAsia="宋体" w:hAnsi="宋体" w:cs="宋体"/>
          <w:vanish/>
        </w:rPr>
        <w:t>20-01-012020-12-310000093751us-gaap:FacilityClosingMember2020-01-012020-12-310000093751us-gaap:EmployeeSeveranceMember2018-12-310000093751us-gaap:FacilityClosingMember2018-12-310000093751stt:AssetsAndOtherWriteOffsMember2018-12-310000093751us-gaap:Employee</w:t>
      </w:r>
      <w:r>
        <w:rPr>
          <w:rFonts w:ascii="宋体" w:eastAsia="宋体" w:hAnsi="宋体" w:cs="宋体"/>
          <w:vanish/>
        </w:rPr>
        <w:t>SeveranceMemberstt:StateStreetBeaconMember2019-01-012019-12-310000093751us-gaap:FacilityClosingMemberstt:StateStreetBeaconMember2019-01-012019-12-310000093751stt:AssetsAndOtherWriteOffsMemberstt:StateStreetBeaconMember2019-01-012019-12-310000093751stt:Stat</w:t>
      </w:r>
      <w:r>
        <w:rPr>
          <w:rFonts w:ascii="宋体" w:eastAsia="宋体" w:hAnsi="宋体" w:cs="宋体"/>
          <w:vanish/>
        </w:rPr>
        <w:t>eStreetBeaconMember2019-01-012019-12-310000093751us-gaap:EmployeeSeveranceMember2019-01-012019-12-310000093751us-gaap:FacilityClosingMember2019-01-012019-12-310000093751stt:AssetsAndOtherWriteOffsMember2019-01-012019-12-310000093751us-gaap:EmployeeSeveranc</w:t>
      </w:r>
      <w:r>
        <w:rPr>
          <w:rFonts w:ascii="宋体" w:eastAsia="宋体" w:hAnsi="宋体" w:cs="宋体"/>
          <w:vanish/>
        </w:rPr>
        <w:t>eMember2019-12-310000093751us-gaap:FacilityClosingMember2019-12-310000093751stt:AssetsAndOtherWriteOffsMember2019-12-310000093751us-gaap:EmployeeSeveranceMemberstt:StateStreetBeaconMember2020-01-012020-12-310000093751us-gaap:FacilityClosingMemberstt:StateS</w:t>
      </w:r>
      <w:r>
        <w:rPr>
          <w:rFonts w:ascii="宋体" w:eastAsia="宋体" w:hAnsi="宋体" w:cs="宋体"/>
          <w:vanish/>
        </w:rPr>
        <w:t>treetBeaconMember2020-01-012020-12-310000093751stt:AssetsAndOtherWriteOffsMemberstt:StateStreetBeaconMember2020-01-012020-12-310000093751stt:StateStreetBeaconMember2020-01-012020-12-310000093751stt:AssetsAndOtherWriteOffsMember2020-01-012020-12-31000009375</w:t>
      </w:r>
      <w:r>
        <w:rPr>
          <w:rFonts w:ascii="宋体" w:eastAsia="宋体" w:hAnsi="宋体" w:cs="宋体"/>
          <w:vanish/>
        </w:rPr>
        <w:t>1us-gaap:EmployeeSeveranceMember2020-12-310000093751us-gaap:FacilityClosingMember2020-12-310000093751stt:AssetsAndOtherWriteOffsMember2020-12-310000093751us-gaap:EmployeeSeveranceMemberstt:StateStreetBeaconMember2021-01-012021-12-310000093751us-gaap:Facili</w:t>
      </w:r>
      <w:r>
        <w:rPr>
          <w:rFonts w:ascii="宋体" w:eastAsia="宋体" w:hAnsi="宋体" w:cs="宋体"/>
          <w:vanish/>
        </w:rPr>
        <w:t>tyClosingMemberstt:StateStreetBeaconMember2021-01-012021-12-310000093751stt:AssetsAndOtherWriteOffsMemberstt:StateStreetBeaconMember2021-01-012021-12-310000093751stt:StateStreetBeaconMember2021-01-012021-12-310000093751stt:AssetsAndOtherWriteOffsMember2021</w:t>
      </w:r>
      <w:r>
        <w:rPr>
          <w:rFonts w:ascii="宋体" w:eastAsia="宋体" w:hAnsi="宋体" w:cs="宋体"/>
          <w:vanish/>
        </w:rPr>
        <w:t>-01-012021-12-310000093751us-gaap:EmployeeSeveranceMember2021-12-310000093751us-gaap:FacilityClosingMember2021-12-310000093751stt:AssetsAndOtherWriteOffsMember2021-12-310000093751stt:OtherAmortizableAssetsMember2021-12-310000093751us-gaap:GeneralBusinessMe</w:t>
      </w:r>
      <w:r>
        <w:rPr>
          <w:rFonts w:ascii="宋体" w:eastAsia="宋体" w:hAnsi="宋体" w:cs="宋体"/>
          <w:vanish/>
        </w:rPr>
        <w:t>mber2021-12-310000093751stt:OperatingLossCarryforwardsForeignMember2021-12-310000093751stt:OperatingLossCarryforwardsStateandLocalMember2021-12-310000093751stt:OtherTaxCarryforwardsMember2021-12-31stt:segment0000093751stt:InvestmentServicingandInvestmentMa</w:t>
      </w:r>
      <w:r>
        <w:rPr>
          <w:rFonts w:ascii="宋体" w:eastAsia="宋体" w:hAnsi="宋体" w:cs="宋体"/>
          <w:vanish/>
        </w:rPr>
        <w:t>nagementMemberstt:InvestmentServicingandManagementServicesMembersrt:MinimumMember2021-01-012021-12-310000093751stt:InvestmentServicingandInvestmentManagementMemberstt:InvestmentServicingandManagementServicesMembersrt:MaximumMember2021-01-012021-12-31000009</w:t>
      </w:r>
      <w:r>
        <w:rPr>
          <w:rFonts w:ascii="宋体" w:eastAsia="宋体" w:hAnsi="宋体" w:cs="宋体"/>
          <w:vanish/>
        </w:rPr>
        <w:t>3751stt:InvestmentServicingandInvestmentManagementMemberstt:ProcessingandOtherServicesMembersrt:MinimumMember2021-01-012021-12-310000093751stt:InvestmentServicingandInvestmentManagementMemberstt:ProcessingandOtherServicesMembersrt:MaximumMember2021-01-0120</w:t>
      </w:r>
      <w:r>
        <w:rPr>
          <w:rFonts w:ascii="宋体" w:eastAsia="宋体" w:hAnsi="宋体" w:cs="宋体"/>
          <w:vanish/>
        </w:rPr>
        <w:t>21-12-310000093751us-gaap:MaterialReconcilingItemsMember2021-01-012021-12-310000093751us-gaap:MaterialReconcilingItemsMember2020-01-012020-12-310000093751us-gaap:MaterialReconcilingItemsMember2019-01-012019-12-310000093751stt:InvestmentServicingMemberus-ga</w:t>
      </w:r>
      <w:r>
        <w:rPr>
          <w:rFonts w:ascii="宋体" w:eastAsia="宋体" w:hAnsi="宋体" w:cs="宋体"/>
          <w:vanish/>
        </w:rPr>
        <w:t>ap:OperatingSegmentsMember2021-01-012021-12-310000093751stt:InvestmentServicingMemberus-gaap:OperatingSegmentsMember2020-01-012020-12-310000093751stt:InvestmentServicingMemberus-gaap:OperatingSegmentsMember2019-01-012019-12-310000093751us-gaap:OperatingSeg</w:t>
      </w:r>
      <w:r>
        <w:rPr>
          <w:rFonts w:ascii="宋体" w:eastAsia="宋体" w:hAnsi="宋体" w:cs="宋体"/>
          <w:vanish/>
        </w:rPr>
        <w:t>mentsMemberstt:InvestmentManagementMember2021-01-012021-12-310000093751us-gaap:OperatingSegmentsMemberstt:InvestmentManagementMember2020-01-012020-12-310000093751us-gaap:OperatingSegmentsMemberstt:InvestmentManagementMember2019-01-012019-12-310000093751us-</w:t>
      </w:r>
      <w:r>
        <w:rPr>
          <w:rFonts w:ascii="宋体" w:eastAsia="宋体" w:hAnsi="宋体" w:cs="宋体"/>
          <w:vanish/>
        </w:rPr>
        <w:t>gaap:OperatingSegmentsMember2021-01-012021-12-310000093751stt:InvestmentServicingMemberus-gaap:OperatingSegmentsMemberstt:AccountServicingMember2021-01-012021-12-310000093751us-gaap:OperatingSegmentsMemberstt:InvestmentManagementMemberstt:AccountServicingM</w:t>
      </w:r>
      <w:r>
        <w:rPr>
          <w:rFonts w:ascii="宋体" w:eastAsia="宋体" w:hAnsi="宋体" w:cs="宋体"/>
          <w:vanish/>
        </w:rPr>
        <w:t>ember2021-01-012021-12-310000093751stt:AccountServicingMemberus-gaap:MaterialReconcilingItemsMember2021-01-012021-12-310000093751stt:ManagementServicesMemberstt:InvestmentServicingMemberus-gaap:OperatingSegmentsMember2021-01-012021-12-310000093751stt:Manag</w:t>
      </w:r>
      <w:r>
        <w:rPr>
          <w:rFonts w:ascii="宋体" w:eastAsia="宋体" w:hAnsi="宋体" w:cs="宋体"/>
          <w:vanish/>
        </w:rPr>
        <w:t>ementServicesMemberus-gaap:OperatingSegmentsMemberstt:InvestmentManagementMember2021-01-012021-12-310000093751stt:ManagementServicesMemberus-gaap:MaterialReconcilingItemsMember2021-01-012021-12-310000093751stt:InvestmentServicingMemberstt:ForeignExchangeTr</w:t>
      </w:r>
      <w:r>
        <w:rPr>
          <w:rFonts w:ascii="宋体" w:eastAsia="宋体" w:hAnsi="宋体" w:cs="宋体"/>
          <w:vanish/>
        </w:rPr>
        <w:t>adingServicesMemberus-gaap:OperatingSegmentsMember2021-01-012021-12-310000093751stt:ForeignExchangeTradingServicesMemberus-gaap:OperatingSegmentsMemberstt:InvestmentManagementMember2021-01-012021-12-310000093751stt:ForeignExchangeTradingServicesMemberus-ga</w:t>
      </w:r>
      <w:r>
        <w:rPr>
          <w:rFonts w:ascii="宋体" w:eastAsia="宋体" w:hAnsi="宋体" w:cs="宋体"/>
          <w:vanish/>
        </w:rPr>
        <w:t>ap:MaterialReconcilingItemsMember2021-01-012021-12-310000093751stt:InvestmentServicingMemberstt:SecuritiesFinancingServicesMemberus-gaap:OperatingSegmentsMember2021-01-012021-12-310000093751stt:SecuritiesFinancingServicesMemberus-gaap:OperatingSegmentsMemb</w:t>
      </w:r>
      <w:r>
        <w:rPr>
          <w:rFonts w:ascii="宋体" w:eastAsia="宋体" w:hAnsi="宋体" w:cs="宋体"/>
          <w:vanish/>
        </w:rPr>
        <w:t>erstt:InvestmentManagementMember2021-01-012021-12-310000093751stt:SecuritiesFinancingServicesMemberus-gaap:MaterialReconcilingItemsMember2021-01-012021-12-310000093751stt:InvestmentServicingMemberstt:ProcessingServicesandOtherMemberus-gaap:OperatingSegment</w:t>
      </w:r>
      <w:r>
        <w:rPr>
          <w:rFonts w:ascii="宋体" w:eastAsia="宋体" w:hAnsi="宋体" w:cs="宋体"/>
          <w:vanish/>
        </w:rPr>
        <w:t>sMember2021-01-012021-12-310000093751stt:ProcessingServicesandOtherMemberus-gaap:OperatingSegmentsMemberstt:InvestmentManagementMember2021-01-012021-12-310000093751stt:ProcessingServicesandOtherMemberus-gaap:MaterialReconcilingItemsMember2021-01-012021-12-</w:t>
      </w:r>
      <w:r>
        <w:rPr>
          <w:rFonts w:ascii="宋体" w:eastAsia="宋体" w:hAnsi="宋体" w:cs="宋体"/>
          <w:vanish/>
        </w:rPr>
        <w:t>310000093751stt:InvestmentServicingMemberus-gaap:OperatingSegmentsMemberstt:RevenueFromFeesMember2021-01-012021-12-310000093751us-gaap:OperatingSegmentsMemberstt:InvestmentManagementMemberstt:RevenueFromFeesMember2021-01-012021-12-310000093751stt:RevenueFr</w:t>
      </w:r>
      <w:r>
        <w:rPr>
          <w:rFonts w:ascii="宋体" w:eastAsia="宋体" w:hAnsi="宋体" w:cs="宋体"/>
          <w:vanish/>
        </w:rPr>
        <w:t>omFeesMemberus-gaap:MaterialReconcilingItemsMember2021-01-012021-12-310000093751stt:InterestIncomeNetMemberstt:InvestmentServicingMemberus-gaap:OperatingSegmentsMember2021-01-012021-12-310000093751stt:InterestIncomeNetMemberus-gaap:OperatingSegmentsMembers</w:t>
      </w:r>
      <w:r>
        <w:rPr>
          <w:rFonts w:ascii="宋体" w:eastAsia="宋体" w:hAnsi="宋体" w:cs="宋体"/>
          <w:vanish/>
        </w:rPr>
        <w:t>tt:InvestmentManagementMember2021-01-012021-12-310000093751stt:InterestIncomeNetMemberus-gaap:MaterialReconcilingItemsMember2021-01-012021-12-310000093751stt:InvestmentServicingMemberus-gaap:OperatingSegmentsMemberstt:TotalOtherIncomeMember2021-01-012021-1</w:t>
      </w:r>
      <w:r>
        <w:rPr>
          <w:rFonts w:ascii="宋体" w:eastAsia="宋体" w:hAnsi="宋体" w:cs="宋体"/>
          <w:vanish/>
        </w:rPr>
        <w:t>2-310000093751us-gaap:OperatingSegmentsMemberstt:TotalOtherIncomeMemberstt:InvestmentManagementMember2021-01-012021-12-310000093751stt:TotalOtherIncomeMemberus-gaap:MaterialReconcilingItemsMember2021-01-012021-12-310000093751stt:InvestmentServicingMemberus</w:t>
      </w:r>
      <w:r>
        <w:rPr>
          <w:rFonts w:ascii="宋体" w:eastAsia="宋体" w:hAnsi="宋体" w:cs="宋体"/>
          <w:vanish/>
        </w:rPr>
        <w:t>-gaap:OperatingSegmentsMemberstt:AccountServicingMember2020-01-012020-12-310000093751us-gaap:OperatingSegmentsMemberstt:InvestmentManagementMemberstt:AccountServicingMember2020-01-012020-12-310000093751stt:AccountServicingMemberus-gaap:MaterialReconcilingI</w:t>
      </w:r>
      <w:r>
        <w:rPr>
          <w:rFonts w:ascii="宋体" w:eastAsia="宋体" w:hAnsi="宋体" w:cs="宋体"/>
          <w:vanish/>
        </w:rPr>
        <w:t>temsMember2020-01-012020-12-310000093751stt:ManagementServicesMemberstt:InvestmentServicingMemberus-gaap:OperatingSegmentsMember2020-01-012020-12-310000093751stt:ManagementServicesMemberus-gaap:OperatingSegmentsMemberstt:InvestmentManagementMember2020-01-0</w:t>
      </w:r>
      <w:r>
        <w:rPr>
          <w:rFonts w:ascii="宋体" w:eastAsia="宋体" w:hAnsi="宋体" w:cs="宋体"/>
          <w:vanish/>
        </w:rPr>
        <w:t>12020-12-310000093751stt:ManagementServicesMemberus-gaap:MaterialReconcilingItemsMember2020-01-012020-12-310000093751stt:InvestmentServicingMemberstt:ForeignExchangeTradingServicesMemberus-gaap:OperatingSegmentsMember2020-01-012020-12-310000093751stt:Forei</w:t>
      </w:r>
      <w:r>
        <w:rPr>
          <w:rFonts w:ascii="宋体" w:eastAsia="宋体" w:hAnsi="宋体" w:cs="宋体"/>
          <w:vanish/>
        </w:rPr>
        <w:t>gnExchangeTradingServicesMemberus-gaap:OperatingSegmentsMemberstt:InvestmentManagementMember2020-01-012020-12-310000093751stt:ForeignExchangeTradingServicesMemberus-gaap:MaterialReconcilingItemsMember2020-01-012020-12-310000093751stt:InvestmentServicingMem</w:t>
      </w:r>
      <w:r>
        <w:rPr>
          <w:rFonts w:ascii="宋体" w:eastAsia="宋体" w:hAnsi="宋体" w:cs="宋体"/>
          <w:vanish/>
        </w:rPr>
        <w:t>berstt:SecuritiesFinancingServicesMemberus-gaap:OperatingSegmentsMember2020-01-012020-12-310000093751stt:SecuritiesFinancingServicesMemberus-gaap:OperatingSegmentsMemberstt:InvestmentManagementMember2020-01-012020-12-310000093751stt:SecuritiesFinancingServ</w:t>
      </w:r>
      <w:r>
        <w:rPr>
          <w:rFonts w:ascii="宋体" w:eastAsia="宋体" w:hAnsi="宋体" w:cs="宋体"/>
          <w:vanish/>
        </w:rPr>
        <w:t>icesMemberus-gaap:MaterialReconcilingItemsMember2020-01-012020-12-310000093751stt:InvestmentServicingMemberstt:ProcessingServicesandOtherMemberus-gaap:OperatingSegmentsMember2020-01-012020-12-310000093751stt:ProcessingServicesandOtherMemberus-gaap:Operatin</w:t>
      </w:r>
      <w:r>
        <w:rPr>
          <w:rFonts w:ascii="宋体" w:eastAsia="宋体" w:hAnsi="宋体" w:cs="宋体"/>
          <w:vanish/>
        </w:rPr>
        <w:t>gSegmentsMemberstt:InvestmentManagementMember2020-01-012020-12-310000093751stt:ProcessingServicesandOtherMemberus-gaap:MaterialReconcilingItemsMember2020-01-012020-12-310000093751stt:InvestmentServicingMemberus-gaap:OperatingSegmentsMemberstt:RevenueFromFe</w:t>
      </w:r>
      <w:r>
        <w:rPr>
          <w:rFonts w:ascii="宋体" w:eastAsia="宋体" w:hAnsi="宋体" w:cs="宋体"/>
          <w:vanish/>
        </w:rPr>
        <w:t>esMember2020-01-012020-12-310000093751us-gaap:OperatingSegmentsMemberstt:InvestmentManagementMemberstt:RevenueFromFeesMember2020-01-012020-12-310000093751stt:RevenueFromFeesMemberus-gaap:MaterialReconcilingItemsMember2020-01-012020-12-310000093751stt:Inter</w:t>
      </w:r>
      <w:r>
        <w:rPr>
          <w:rFonts w:ascii="宋体" w:eastAsia="宋体" w:hAnsi="宋体" w:cs="宋体"/>
          <w:vanish/>
        </w:rPr>
        <w:t>estIncomeNetMemberstt:InvestmentServicingMemberus-gaap:OperatingSegmentsMember2020-01-012020-12-310000093751stt:InterestIncomeNetMemberus-gaap:OperatingSegmentsMemberstt:InvestmentManagementMember2020-01-012020-12-310000093751stt:InterestIncomeNetMemberus-</w:t>
      </w:r>
      <w:r>
        <w:rPr>
          <w:rFonts w:ascii="宋体" w:eastAsia="宋体" w:hAnsi="宋体" w:cs="宋体"/>
          <w:vanish/>
        </w:rPr>
        <w:t>gaap:MaterialReconcilingItemsMember2020-01-012020-12-310000093751stt:InvestmentServicingMemberus-gaap:OperatingSegmentsMemberstt:TotalOtherIncomeMember2020-01-012020-12-310000093751us-gaap:OperatingSegmentsMemberstt:TotalOtherIncomeMemberstt:InvestmentMana</w:t>
      </w:r>
      <w:r>
        <w:rPr>
          <w:rFonts w:ascii="宋体" w:eastAsia="宋体" w:hAnsi="宋体" w:cs="宋体"/>
          <w:vanish/>
        </w:rPr>
        <w:t>gementMember2020-01-012020-12-310000093751stt:TotalOtherIncomeMemberus-gaap:MaterialReconcilingItemsMember2020-01-012020-12-310000093751stt:InvestmentServicingMemberus-gaap:OperatingSegmentsMemberstt:AccountServicingMember2019-01-012019-12-310000093751us-g</w:t>
      </w:r>
      <w:r>
        <w:rPr>
          <w:rFonts w:ascii="宋体" w:eastAsia="宋体" w:hAnsi="宋体" w:cs="宋体"/>
          <w:vanish/>
        </w:rPr>
        <w:t>aap:OperatingSegmentsMemberstt:InvestmentManagementMemberstt:AccountServicingMember2019-01-012019-12-310000093751stt:AccountServicingMemberus-gaap:MaterialReconcilingItemsMember2019-01-012019-12-310000093751stt:ManagementServicesMemberstt:InvestmentServici</w:t>
      </w:r>
      <w:r>
        <w:rPr>
          <w:rFonts w:ascii="宋体" w:eastAsia="宋体" w:hAnsi="宋体" w:cs="宋体"/>
          <w:vanish/>
        </w:rPr>
        <w:t>ngMemberus-gaap:OperatingSegmentsMember2019-01-012019-12-310000093751stt:ManagementServicesMemberus-gaap:OperatingSegmentsMemberstt:InvestmentManagementMember2019-01-012019-12-310000093751stt:ManagementServicesMemberus-gaap:MaterialReconcilingItemsMember20</w:t>
      </w:r>
      <w:r>
        <w:rPr>
          <w:rFonts w:ascii="宋体" w:eastAsia="宋体" w:hAnsi="宋体" w:cs="宋体"/>
          <w:vanish/>
        </w:rPr>
        <w:t>19-01-012019-12-310000093751stt:InvestmentServicingMemberstt:ForeignExchangeTradingServicesMemberus-gaap:OperatingSegmentsMember2019-01-012019-12-310000093751stt:ForeignExchangeTradingServicesMemberus-gaap:OperatingSegmentsMemberstt:InvestmentManagementMem</w:t>
      </w:r>
      <w:r>
        <w:rPr>
          <w:rFonts w:ascii="宋体" w:eastAsia="宋体" w:hAnsi="宋体" w:cs="宋体"/>
          <w:vanish/>
        </w:rPr>
        <w:t>ber2019-01-012019-12-310000093751stt:ForeignExchangeTradingServicesMemberus-gaap:MaterialReconcilingItemsMember2019-01-012019-12-310000093751stt:InvestmentServicingMemberstt:SecuritiesFinancingServicesMemberus-gaap:OperatingSegmentsMember2019-01-012019-12-</w:t>
      </w:r>
      <w:r>
        <w:rPr>
          <w:rFonts w:ascii="宋体" w:eastAsia="宋体" w:hAnsi="宋体" w:cs="宋体"/>
          <w:vanish/>
        </w:rPr>
        <w:t>310000093751stt:SecuritiesFinancingServicesMemberus-gaap:OperatingSegmentsMemberstt:InvestmentManagementMember2019-01-012019-12-310000093751stt:SecuritiesFinancingServicesMemberus-gaap:MaterialReconcilingItemsMember2019-01-012019-12-310000093751stt:Investm</w:t>
      </w:r>
      <w:r>
        <w:rPr>
          <w:rFonts w:ascii="宋体" w:eastAsia="宋体" w:hAnsi="宋体" w:cs="宋体"/>
          <w:vanish/>
        </w:rPr>
        <w:t>entServicingMemberstt:ProcessingServicesandOtherMemberus-gaap:OperatingSegmentsMember2019-01-012019-12-310000093751stt:ProcessingServicesandOtherMemberus-gaap:OperatingSegmentsMemberstt:InvestmentManagementMember2019-01-012019-12-310000093751stt:Processing</w:t>
      </w:r>
      <w:r>
        <w:rPr>
          <w:rFonts w:ascii="宋体" w:eastAsia="宋体" w:hAnsi="宋体" w:cs="宋体"/>
          <w:vanish/>
        </w:rPr>
        <w:t>ServicesandOtherMemberus-gaap:MaterialReconcilingItemsMember2019-01-012019-12-310000093751stt:InvestmentServicingMemberus-gaap:OperatingSegmentsMemberstt:RevenueFromFeesMember2019-01-012019-12-310000093751us-gaap:OperatingSegmentsMemberstt:InvestmentManage</w:t>
      </w:r>
      <w:r>
        <w:rPr>
          <w:rFonts w:ascii="宋体" w:eastAsia="宋体" w:hAnsi="宋体" w:cs="宋体"/>
          <w:vanish/>
        </w:rPr>
        <w:t>mentMemberstt:RevenueFromFeesMember2019-01-012019-12-310000093751stt:RevenueFromFeesMemberus-gaap:MaterialReconcilingItemsMember2019-01-012019-12-310000093751stt:InterestIncomeNetMemberstt:InvestmentServicingMemberus-gaap:OperatingSegmentsMember2019-01-012</w:t>
      </w:r>
      <w:r>
        <w:rPr>
          <w:rFonts w:ascii="宋体" w:eastAsia="宋体" w:hAnsi="宋体" w:cs="宋体"/>
          <w:vanish/>
        </w:rPr>
        <w:t>019-12-310000093751stt:InterestIncomeNetMemberus-gaap:OperatingSegmentsMemberstt:InvestmentManagementMember2019-01-012019-12-310000093751stt:InterestIncomeNetMemberus-gaap:MaterialReconcilingItemsMember2019-01-012019-12-310000093751stt:InvestmentServicingM</w:t>
      </w:r>
      <w:r>
        <w:rPr>
          <w:rFonts w:ascii="宋体" w:eastAsia="宋体" w:hAnsi="宋体" w:cs="宋体"/>
          <w:vanish/>
        </w:rPr>
        <w:t>emberus-gaap:OperatingSegmentsMemberstt:TotalOtherIncomeMember2019-01-012019-12-310000093751us-gaap:OperatingSegmentsMemberstt:TotalOtherIncomeMemberstt:InvestmentManagementMember2019-01-012019-12-310000093751stt:TotalOtherIncomeMemberus-gaap:MaterialRecon</w:t>
      </w:r>
      <w:r>
        <w:rPr>
          <w:rFonts w:ascii="宋体" w:eastAsia="宋体" w:hAnsi="宋体" w:cs="宋体"/>
          <w:vanish/>
        </w:rPr>
        <w:t>cilingItemsMember2019-01-012019-12-310000093751stt:AccruedInterestandFeesReceivableMember2021-12-310000093751stt:AccruedInterestandFeesReceivableMember2020-12-310000093751us-gaap:NonUsMember2021-01-012021-12-310000093751country:US2021-01-012021-12-31000009</w:t>
      </w:r>
      <w:r>
        <w:rPr>
          <w:rFonts w:ascii="宋体" w:eastAsia="宋体" w:hAnsi="宋体" w:cs="宋体"/>
          <w:vanish/>
        </w:rPr>
        <w:t>3751us-gaap:NonUsMember2020-01-012020-12-310000093751country:US2020-01-012020-12-310000093751us-gaap:NonUsMember2019-01-012019-12-310000093751country:US2019-01-012019-12-310000093751us-gaap:NonUsMember2021-12-310000093751us-gaap:NonUsMember2020-12-31000009</w:t>
      </w:r>
      <w:r>
        <w:rPr>
          <w:rFonts w:ascii="宋体" w:eastAsia="宋体" w:hAnsi="宋体" w:cs="宋体"/>
          <w:vanish/>
        </w:rPr>
        <w:t>3751srt:ParentCompanyMember2021-01-012021-12-310000093751srt:ParentCompanyMember2020-01-012020-12-310000093751srt:ParentCompanyMember2019-01-012019-12-310000093751srt:ParentCompanyMember2021-12-310000093751srt:ParentCompanyMember2020-12-310000093751srt:Par</w:t>
      </w:r>
      <w:r>
        <w:rPr>
          <w:rFonts w:ascii="宋体" w:eastAsia="宋体" w:hAnsi="宋体" w:cs="宋体"/>
          <w:vanish/>
        </w:rPr>
        <w:t>entCompanyMember2019-12-310000093751srt:ParentCompanyMember2018-12-310000093751stt:FixedToFloatingRateSenorNotesDue2026Memberus-gaap:SeniorNotesMemberus-gaap:SubsequentEventMember2022-02-070000093751stt:FixedToFloatingRateSenorNotesDue2028Memberus-gaap:Sen</w:t>
      </w:r>
      <w:r>
        <w:rPr>
          <w:rFonts w:ascii="宋体" w:eastAsia="宋体" w:hAnsi="宋体" w:cs="宋体"/>
          <w:vanish/>
        </w:rPr>
        <w:t>iorNotesMemberus-gaap:SubsequentEventMember2022-02-070000093751stt:FixedToFloatingRateSenorNotesDue2033Memberus-gaap:SeniorNotesMemberus-gaap:SubsequentEventMember2022-02-07</w:t>
      </w:r>
    </w:p>
    <w:p w14:paraId="5F2C98AB" w14:textId="77777777" w:rsidR="00E836FB" w:rsidRDefault="00E836FB">
      <w:pPr>
        <w:ind w:firstLine="450"/>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E836FB" w14:paraId="5F2C98AF" w14:textId="77777777">
        <w:trPr>
          <w:jc w:val="center"/>
        </w:trPr>
        <w:tc>
          <w:tcPr>
            <w:tcW w:w="50" w:type="pct"/>
            <w:shd w:val="clear" w:color="auto" w:fill="auto"/>
            <w:vAlign w:val="bottom"/>
          </w:tcPr>
          <w:p w14:paraId="5F2C98AC" w14:textId="77777777" w:rsidR="00E836FB" w:rsidRDefault="00E836FB">
            <w:pPr>
              <w:rPr>
                <w:rFonts w:ascii="宋体"/>
              </w:rPr>
            </w:pPr>
          </w:p>
        </w:tc>
        <w:tc>
          <w:tcPr>
            <w:tcW w:w="4945" w:type="pct"/>
            <w:shd w:val="clear" w:color="auto" w:fill="auto"/>
            <w:vAlign w:val="bottom"/>
          </w:tcPr>
          <w:p w14:paraId="5F2C98AD" w14:textId="77777777" w:rsidR="00E836FB" w:rsidRDefault="00E836FB">
            <w:pPr>
              <w:rPr>
                <w:rFonts w:ascii="宋体"/>
              </w:rPr>
            </w:pPr>
          </w:p>
        </w:tc>
        <w:tc>
          <w:tcPr>
            <w:tcW w:w="5" w:type="pct"/>
            <w:shd w:val="clear" w:color="auto" w:fill="auto"/>
            <w:vAlign w:val="bottom"/>
          </w:tcPr>
          <w:p w14:paraId="5F2C98AE" w14:textId="77777777" w:rsidR="00E836FB" w:rsidRDefault="00E836FB">
            <w:pPr>
              <w:rPr>
                <w:rFonts w:ascii="宋体"/>
              </w:rPr>
            </w:pPr>
          </w:p>
        </w:tc>
      </w:tr>
      <w:tr w:rsidR="00E836FB" w14:paraId="5F2C98B1"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F2C98B0" w14:textId="77777777" w:rsidR="00E836FB" w:rsidRDefault="00E836FB">
            <w:pPr>
              <w:rPr>
                <w:rFonts w:ascii="宋体"/>
              </w:rPr>
            </w:pPr>
          </w:p>
        </w:tc>
      </w:tr>
    </w:tbl>
    <w:p w14:paraId="5F2C98B2" w14:textId="77777777" w:rsidR="00E836FB" w:rsidRDefault="00994958">
      <w:pPr>
        <w:ind w:firstLine="450"/>
        <w:jc w:val="center"/>
      </w:pPr>
      <w:r>
        <w:rPr>
          <w:rFonts w:ascii="Arial" w:eastAsia="宋体" w:hAnsi="Arial" w:cs="Arial"/>
          <w:b/>
          <w:bCs/>
          <w:color w:val="000000"/>
          <w:sz w:val="30"/>
          <w:szCs w:val="30"/>
        </w:rPr>
        <w:t>UNITED STATES</w:t>
      </w:r>
    </w:p>
    <w:p w14:paraId="5F2C98B3" w14:textId="77777777" w:rsidR="00E836FB" w:rsidRDefault="00994958">
      <w:pPr>
        <w:ind w:firstLine="450"/>
        <w:jc w:val="center"/>
      </w:pPr>
      <w:r>
        <w:rPr>
          <w:rFonts w:ascii="Arial" w:eastAsia="宋体" w:hAnsi="Arial" w:cs="Arial"/>
          <w:b/>
          <w:bCs/>
          <w:color w:val="000000"/>
          <w:sz w:val="30"/>
          <w:szCs w:val="30"/>
        </w:rPr>
        <w:t>SECURITIES AND EXCHANGE COMMISSION</w:t>
      </w:r>
    </w:p>
    <w:p w14:paraId="5F2C98B4" w14:textId="77777777" w:rsidR="00E836FB" w:rsidRDefault="00994958">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5F2C98B5" w14:textId="77777777" w:rsidR="00E836FB" w:rsidRDefault="00994958">
      <w:pPr>
        <w:spacing w:before="100"/>
        <w:ind w:firstLine="450"/>
        <w:jc w:val="center"/>
      </w:pPr>
      <w:r>
        <w:rPr>
          <w:rFonts w:ascii="Arial" w:eastAsia="宋体" w:hAnsi="Arial" w:cs="Arial"/>
          <w:b/>
          <w:bCs/>
          <w:color w:val="000000"/>
          <w:sz w:val="30"/>
          <w:szCs w:val="30"/>
        </w:rPr>
        <w:t xml:space="preserve">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E836FB" w14:paraId="5F2C98BC" w14:textId="77777777">
        <w:trPr>
          <w:jc w:val="center"/>
        </w:trPr>
        <w:tc>
          <w:tcPr>
            <w:tcW w:w="50" w:type="pct"/>
            <w:shd w:val="clear" w:color="auto" w:fill="auto"/>
            <w:vAlign w:val="bottom"/>
          </w:tcPr>
          <w:p w14:paraId="5F2C98B6" w14:textId="77777777" w:rsidR="00E836FB" w:rsidRDefault="00E836FB">
            <w:pPr>
              <w:rPr>
                <w:rFonts w:ascii="宋体"/>
              </w:rPr>
            </w:pPr>
          </w:p>
        </w:tc>
        <w:tc>
          <w:tcPr>
            <w:tcW w:w="222" w:type="pct"/>
            <w:shd w:val="clear" w:color="auto" w:fill="auto"/>
            <w:vAlign w:val="bottom"/>
          </w:tcPr>
          <w:p w14:paraId="5F2C98B7" w14:textId="77777777" w:rsidR="00E836FB" w:rsidRDefault="00E836FB">
            <w:pPr>
              <w:rPr>
                <w:rFonts w:ascii="宋体"/>
              </w:rPr>
            </w:pPr>
          </w:p>
        </w:tc>
        <w:tc>
          <w:tcPr>
            <w:tcW w:w="5" w:type="pct"/>
            <w:shd w:val="clear" w:color="auto" w:fill="auto"/>
            <w:vAlign w:val="bottom"/>
          </w:tcPr>
          <w:p w14:paraId="5F2C98B8" w14:textId="77777777" w:rsidR="00E836FB" w:rsidRDefault="00E836FB">
            <w:pPr>
              <w:rPr>
                <w:rFonts w:ascii="宋体"/>
              </w:rPr>
            </w:pPr>
          </w:p>
        </w:tc>
        <w:tc>
          <w:tcPr>
            <w:tcW w:w="50" w:type="pct"/>
            <w:shd w:val="clear" w:color="auto" w:fill="auto"/>
            <w:vAlign w:val="bottom"/>
          </w:tcPr>
          <w:p w14:paraId="5F2C98B9" w14:textId="77777777" w:rsidR="00E836FB" w:rsidRDefault="00E836FB">
            <w:pPr>
              <w:rPr>
                <w:rFonts w:ascii="宋体"/>
              </w:rPr>
            </w:pPr>
          </w:p>
        </w:tc>
        <w:tc>
          <w:tcPr>
            <w:tcW w:w="4667" w:type="pct"/>
            <w:shd w:val="clear" w:color="auto" w:fill="auto"/>
            <w:vAlign w:val="bottom"/>
          </w:tcPr>
          <w:p w14:paraId="5F2C98BA" w14:textId="77777777" w:rsidR="00E836FB" w:rsidRDefault="00E836FB">
            <w:pPr>
              <w:rPr>
                <w:rFonts w:ascii="宋体"/>
              </w:rPr>
            </w:pPr>
          </w:p>
        </w:tc>
        <w:tc>
          <w:tcPr>
            <w:tcW w:w="5" w:type="pct"/>
            <w:shd w:val="clear" w:color="auto" w:fill="auto"/>
            <w:vAlign w:val="bottom"/>
          </w:tcPr>
          <w:p w14:paraId="5F2C98BB" w14:textId="77777777" w:rsidR="00E836FB" w:rsidRDefault="00E836FB">
            <w:pPr>
              <w:rPr>
                <w:rFonts w:ascii="宋体"/>
              </w:rPr>
            </w:pPr>
          </w:p>
        </w:tc>
      </w:tr>
      <w:tr w:rsidR="00E836FB" w14:paraId="5F2C98BF" w14:textId="77777777">
        <w:trPr>
          <w:jc w:val="center"/>
        </w:trPr>
        <w:tc>
          <w:tcPr>
            <w:tcW w:w="0" w:type="auto"/>
            <w:gridSpan w:val="3"/>
            <w:shd w:val="clear" w:color="auto" w:fill="auto"/>
            <w:tcMar>
              <w:top w:w="40" w:type="dxa"/>
              <w:left w:w="20" w:type="dxa"/>
              <w:bottom w:w="40" w:type="dxa"/>
              <w:right w:w="20" w:type="dxa"/>
            </w:tcMar>
          </w:tcPr>
          <w:p w14:paraId="5F2C98BD" w14:textId="77777777" w:rsidR="00E836FB" w:rsidRDefault="00994958">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5F2C98BE" w14:textId="77777777" w:rsidR="00E836FB" w:rsidRDefault="00994958">
            <w:pPr>
              <w:textAlignment w:val="top"/>
            </w:pPr>
            <w:r>
              <w:rPr>
                <w:rFonts w:ascii="Arial" w:eastAsia="宋体" w:hAnsi="Arial" w:cs="Arial"/>
                <w:b/>
                <w:bCs/>
                <w:color w:val="000000"/>
                <w:sz w:val="20"/>
                <w:szCs w:val="20"/>
              </w:rPr>
              <w:t>ANNUAL REPORT PURSUANT TO SECTION 13 OR 15(d) OF THE SECURITIES EXCHANGE ACT OF 1934</w:t>
            </w:r>
          </w:p>
        </w:tc>
      </w:tr>
    </w:tbl>
    <w:p w14:paraId="5F2C98C0" w14:textId="77777777" w:rsidR="00E836FB" w:rsidRDefault="00994958">
      <w:pPr>
        <w:ind w:firstLine="450"/>
        <w:jc w:val="center"/>
      </w:pPr>
      <w:r>
        <w:rPr>
          <w:rFonts w:ascii="Arial" w:eastAsia="宋体" w:hAnsi="Arial" w:cs="Arial"/>
          <w:b/>
          <w:bCs/>
          <w:color w:val="000000"/>
          <w:sz w:val="20"/>
          <w:szCs w:val="20"/>
        </w:rPr>
        <w:t xml:space="preserve">For the fiscal year ended December 31, 2021 </w:t>
      </w:r>
    </w:p>
    <w:p w14:paraId="5F2C98C1" w14:textId="77777777" w:rsidR="00E836FB" w:rsidRDefault="00994958">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E836FB" w14:paraId="5F2C98C8" w14:textId="77777777">
        <w:trPr>
          <w:jc w:val="center"/>
        </w:trPr>
        <w:tc>
          <w:tcPr>
            <w:tcW w:w="50" w:type="pct"/>
            <w:shd w:val="clear" w:color="auto" w:fill="auto"/>
            <w:vAlign w:val="bottom"/>
          </w:tcPr>
          <w:p w14:paraId="5F2C98C2" w14:textId="77777777" w:rsidR="00E836FB" w:rsidRDefault="00E836FB">
            <w:pPr>
              <w:rPr>
                <w:rFonts w:ascii="宋体"/>
              </w:rPr>
            </w:pPr>
          </w:p>
        </w:tc>
        <w:tc>
          <w:tcPr>
            <w:tcW w:w="222" w:type="pct"/>
            <w:shd w:val="clear" w:color="auto" w:fill="auto"/>
            <w:vAlign w:val="bottom"/>
          </w:tcPr>
          <w:p w14:paraId="5F2C98C3" w14:textId="77777777" w:rsidR="00E836FB" w:rsidRDefault="00E836FB">
            <w:pPr>
              <w:rPr>
                <w:rFonts w:ascii="宋体"/>
              </w:rPr>
            </w:pPr>
          </w:p>
        </w:tc>
        <w:tc>
          <w:tcPr>
            <w:tcW w:w="5" w:type="pct"/>
            <w:shd w:val="clear" w:color="auto" w:fill="auto"/>
            <w:vAlign w:val="bottom"/>
          </w:tcPr>
          <w:p w14:paraId="5F2C98C4" w14:textId="77777777" w:rsidR="00E836FB" w:rsidRDefault="00E836FB">
            <w:pPr>
              <w:rPr>
                <w:rFonts w:ascii="宋体"/>
              </w:rPr>
            </w:pPr>
          </w:p>
        </w:tc>
        <w:tc>
          <w:tcPr>
            <w:tcW w:w="50" w:type="pct"/>
            <w:shd w:val="clear" w:color="auto" w:fill="auto"/>
            <w:vAlign w:val="bottom"/>
          </w:tcPr>
          <w:p w14:paraId="5F2C98C5" w14:textId="77777777" w:rsidR="00E836FB" w:rsidRDefault="00E836FB">
            <w:pPr>
              <w:rPr>
                <w:rFonts w:ascii="宋体"/>
              </w:rPr>
            </w:pPr>
          </w:p>
        </w:tc>
        <w:tc>
          <w:tcPr>
            <w:tcW w:w="4667" w:type="pct"/>
            <w:shd w:val="clear" w:color="auto" w:fill="auto"/>
            <w:vAlign w:val="bottom"/>
          </w:tcPr>
          <w:p w14:paraId="5F2C98C6" w14:textId="77777777" w:rsidR="00E836FB" w:rsidRDefault="00E836FB">
            <w:pPr>
              <w:rPr>
                <w:rFonts w:ascii="宋体"/>
              </w:rPr>
            </w:pPr>
          </w:p>
        </w:tc>
        <w:tc>
          <w:tcPr>
            <w:tcW w:w="5" w:type="pct"/>
            <w:shd w:val="clear" w:color="auto" w:fill="auto"/>
            <w:vAlign w:val="bottom"/>
          </w:tcPr>
          <w:p w14:paraId="5F2C98C7" w14:textId="77777777" w:rsidR="00E836FB" w:rsidRDefault="00E836FB">
            <w:pPr>
              <w:rPr>
                <w:rFonts w:ascii="宋体"/>
              </w:rPr>
            </w:pPr>
          </w:p>
        </w:tc>
      </w:tr>
      <w:tr w:rsidR="00E836FB" w14:paraId="5F2C98CB" w14:textId="77777777">
        <w:trPr>
          <w:jc w:val="center"/>
        </w:trPr>
        <w:tc>
          <w:tcPr>
            <w:tcW w:w="0" w:type="auto"/>
            <w:gridSpan w:val="3"/>
            <w:shd w:val="clear" w:color="auto" w:fill="auto"/>
            <w:tcMar>
              <w:top w:w="40" w:type="dxa"/>
              <w:left w:w="20" w:type="dxa"/>
              <w:bottom w:w="40" w:type="dxa"/>
              <w:right w:w="20" w:type="dxa"/>
            </w:tcMar>
          </w:tcPr>
          <w:p w14:paraId="5F2C98C9" w14:textId="77777777" w:rsidR="00E836FB" w:rsidRDefault="00994958">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5F2C98CA" w14:textId="77777777" w:rsidR="00E836FB" w:rsidRDefault="00994958">
            <w:pPr>
              <w:textAlignment w:val="top"/>
            </w:pPr>
            <w:r>
              <w:rPr>
                <w:rFonts w:ascii="Arial" w:eastAsia="宋体" w:hAnsi="Arial" w:cs="Arial"/>
                <w:b/>
                <w:bCs/>
                <w:color w:val="000000"/>
                <w:sz w:val="20"/>
                <w:szCs w:val="20"/>
              </w:rPr>
              <w:t xml:space="preserve">TRANSITION REPORT PURSUANT TO SECTION 13 OR 15(d) OF THE SECURITIES EXCHANGE ACT </w:t>
            </w:r>
            <w:r>
              <w:rPr>
                <w:rFonts w:ascii="Arial" w:eastAsia="宋体" w:hAnsi="Arial" w:cs="Arial"/>
                <w:b/>
                <w:bCs/>
                <w:color w:val="000000"/>
                <w:sz w:val="20"/>
                <w:szCs w:val="20"/>
              </w:rPr>
              <w:t>OF 1934</w:t>
            </w:r>
          </w:p>
        </w:tc>
      </w:tr>
    </w:tbl>
    <w:p w14:paraId="5F2C98CC" w14:textId="77777777" w:rsidR="00E836FB" w:rsidRDefault="00994958">
      <w:pPr>
        <w:ind w:firstLine="450"/>
        <w:jc w:val="center"/>
      </w:pPr>
      <w:r>
        <w:rPr>
          <w:rFonts w:ascii="Arial" w:eastAsia="宋体" w:hAnsi="Arial" w:cs="Arial"/>
          <w:b/>
          <w:bCs/>
          <w:color w:val="000000"/>
          <w:sz w:val="18"/>
          <w:szCs w:val="18"/>
        </w:rPr>
        <w:t>For the transition period from                      to                     </w:t>
      </w:r>
    </w:p>
    <w:p w14:paraId="5F2C98CD" w14:textId="77777777" w:rsidR="00E836FB" w:rsidRDefault="00994958">
      <w:pPr>
        <w:spacing w:before="100"/>
        <w:ind w:firstLine="450"/>
        <w:jc w:val="center"/>
      </w:pPr>
      <w:r>
        <w:rPr>
          <w:rFonts w:ascii="Arial" w:eastAsia="宋体" w:hAnsi="Arial" w:cs="Arial"/>
          <w:b/>
          <w:bCs/>
          <w:color w:val="000000"/>
          <w:sz w:val="18"/>
          <w:szCs w:val="18"/>
        </w:rPr>
        <w:t xml:space="preserve">Commission File No. 001-07511 </w:t>
      </w:r>
    </w:p>
    <w:p w14:paraId="5F2C98CE" w14:textId="77777777" w:rsidR="00E836FB" w:rsidRDefault="00994958">
      <w:pPr>
        <w:spacing w:before="100"/>
        <w:ind w:firstLine="450"/>
        <w:jc w:val="center"/>
      </w:pPr>
      <w:r>
        <w:rPr>
          <w:rFonts w:ascii="Arial" w:eastAsia="宋体" w:hAnsi="Arial" w:cs="Arial"/>
          <w:b/>
          <w:bCs/>
          <w:color w:val="000000"/>
          <w:sz w:val="36"/>
          <w:szCs w:val="36"/>
        </w:rPr>
        <w:t xml:space="preserve">STATE STREET CORPORATION </w:t>
      </w:r>
    </w:p>
    <w:p w14:paraId="5F2C98CF" w14:textId="77777777" w:rsidR="00E836FB" w:rsidRDefault="00994958">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E836FB" w14:paraId="5F2C98EB" w14:textId="77777777">
        <w:trPr>
          <w:jc w:val="center"/>
        </w:trPr>
        <w:tc>
          <w:tcPr>
            <w:tcW w:w="50" w:type="pct"/>
            <w:shd w:val="clear" w:color="auto" w:fill="auto"/>
            <w:vAlign w:val="bottom"/>
          </w:tcPr>
          <w:p w14:paraId="5F2C98D0" w14:textId="77777777" w:rsidR="00E836FB" w:rsidRDefault="00E836FB">
            <w:pPr>
              <w:rPr>
                <w:rFonts w:ascii="宋体"/>
              </w:rPr>
            </w:pPr>
          </w:p>
        </w:tc>
        <w:tc>
          <w:tcPr>
            <w:tcW w:w="748" w:type="pct"/>
            <w:shd w:val="clear" w:color="auto" w:fill="auto"/>
            <w:vAlign w:val="bottom"/>
          </w:tcPr>
          <w:p w14:paraId="5F2C98D1" w14:textId="77777777" w:rsidR="00E836FB" w:rsidRDefault="00E836FB">
            <w:pPr>
              <w:rPr>
                <w:rFonts w:ascii="宋体"/>
              </w:rPr>
            </w:pPr>
          </w:p>
        </w:tc>
        <w:tc>
          <w:tcPr>
            <w:tcW w:w="5" w:type="pct"/>
            <w:shd w:val="clear" w:color="auto" w:fill="auto"/>
            <w:vAlign w:val="bottom"/>
          </w:tcPr>
          <w:p w14:paraId="5F2C98D2" w14:textId="77777777" w:rsidR="00E836FB" w:rsidRDefault="00E836FB">
            <w:pPr>
              <w:rPr>
                <w:rFonts w:ascii="宋体"/>
              </w:rPr>
            </w:pPr>
          </w:p>
        </w:tc>
        <w:tc>
          <w:tcPr>
            <w:tcW w:w="50" w:type="pct"/>
            <w:shd w:val="clear" w:color="auto" w:fill="auto"/>
            <w:vAlign w:val="bottom"/>
          </w:tcPr>
          <w:p w14:paraId="5F2C98D3" w14:textId="77777777" w:rsidR="00E836FB" w:rsidRDefault="00E836FB">
            <w:pPr>
              <w:rPr>
                <w:rFonts w:ascii="宋体"/>
              </w:rPr>
            </w:pPr>
          </w:p>
        </w:tc>
        <w:tc>
          <w:tcPr>
            <w:tcW w:w="837" w:type="pct"/>
            <w:shd w:val="clear" w:color="auto" w:fill="auto"/>
            <w:vAlign w:val="bottom"/>
          </w:tcPr>
          <w:p w14:paraId="5F2C98D4" w14:textId="77777777" w:rsidR="00E836FB" w:rsidRDefault="00E836FB">
            <w:pPr>
              <w:rPr>
                <w:rFonts w:ascii="宋体"/>
              </w:rPr>
            </w:pPr>
          </w:p>
        </w:tc>
        <w:tc>
          <w:tcPr>
            <w:tcW w:w="5" w:type="pct"/>
            <w:shd w:val="clear" w:color="auto" w:fill="auto"/>
            <w:vAlign w:val="bottom"/>
          </w:tcPr>
          <w:p w14:paraId="5F2C98D5" w14:textId="77777777" w:rsidR="00E836FB" w:rsidRDefault="00E836FB">
            <w:pPr>
              <w:rPr>
                <w:rFonts w:ascii="宋体"/>
              </w:rPr>
            </w:pPr>
          </w:p>
        </w:tc>
        <w:tc>
          <w:tcPr>
            <w:tcW w:w="50" w:type="pct"/>
            <w:shd w:val="clear" w:color="auto" w:fill="auto"/>
            <w:vAlign w:val="bottom"/>
          </w:tcPr>
          <w:p w14:paraId="5F2C98D6" w14:textId="77777777" w:rsidR="00E836FB" w:rsidRDefault="00E836FB">
            <w:pPr>
              <w:rPr>
                <w:rFonts w:ascii="宋体"/>
              </w:rPr>
            </w:pPr>
          </w:p>
        </w:tc>
        <w:tc>
          <w:tcPr>
            <w:tcW w:w="741" w:type="pct"/>
            <w:shd w:val="clear" w:color="auto" w:fill="auto"/>
            <w:vAlign w:val="bottom"/>
          </w:tcPr>
          <w:p w14:paraId="5F2C98D7" w14:textId="77777777" w:rsidR="00E836FB" w:rsidRDefault="00E836FB">
            <w:pPr>
              <w:rPr>
                <w:rFonts w:ascii="宋体"/>
              </w:rPr>
            </w:pPr>
          </w:p>
        </w:tc>
        <w:tc>
          <w:tcPr>
            <w:tcW w:w="5" w:type="pct"/>
            <w:shd w:val="clear" w:color="auto" w:fill="auto"/>
            <w:vAlign w:val="bottom"/>
          </w:tcPr>
          <w:p w14:paraId="5F2C98D8" w14:textId="77777777" w:rsidR="00E836FB" w:rsidRDefault="00E836FB">
            <w:pPr>
              <w:rPr>
                <w:rFonts w:ascii="宋体"/>
              </w:rPr>
            </w:pPr>
          </w:p>
        </w:tc>
        <w:tc>
          <w:tcPr>
            <w:tcW w:w="50" w:type="pct"/>
            <w:shd w:val="clear" w:color="auto" w:fill="auto"/>
            <w:vAlign w:val="bottom"/>
          </w:tcPr>
          <w:p w14:paraId="5F2C98D9" w14:textId="77777777" w:rsidR="00E836FB" w:rsidRDefault="00E836FB">
            <w:pPr>
              <w:rPr>
                <w:rFonts w:ascii="宋体"/>
              </w:rPr>
            </w:pPr>
          </w:p>
        </w:tc>
        <w:tc>
          <w:tcPr>
            <w:tcW w:w="306" w:type="pct"/>
            <w:shd w:val="clear" w:color="auto" w:fill="auto"/>
            <w:vAlign w:val="bottom"/>
          </w:tcPr>
          <w:p w14:paraId="5F2C98DA" w14:textId="77777777" w:rsidR="00E836FB" w:rsidRDefault="00E836FB">
            <w:pPr>
              <w:rPr>
                <w:rFonts w:ascii="宋体"/>
              </w:rPr>
            </w:pPr>
          </w:p>
        </w:tc>
        <w:tc>
          <w:tcPr>
            <w:tcW w:w="5" w:type="pct"/>
            <w:shd w:val="clear" w:color="auto" w:fill="auto"/>
            <w:vAlign w:val="bottom"/>
          </w:tcPr>
          <w:p w14:paraId="5F2C98DB" w14:textId="77777777" w:rsidR="00E836FB" w:rsidRDefault="00E836FB">
            <w:pPr>
              <w:rPr>
                <w:rFonts w:ascii="宋体"/>
              </w:rPr>
            </w:pPr>
          </w:p>
        </w:tc>
        <w:tc>
          <w:tcPr>
            <w:tcW w:w="50" w:type="pct"/>
            <w:shd w:val="clear" w:color="auto" w:fill="auto"/>
            <w:vAlign w:val="bottom"/>
          </w:tcPr>
          <w:p w14:paraId="5F2C98DC" w14:textId="77777777" w:rsidR="00E836FB" w:rsidRDefault="00E836FB">
            <w:pPr>
              <w:rPr>
                <w:rFonts w:ascii="宋体"/>
              </w:rPr>
            </w:pPr>
          </w:p>
        </w:tc>
        <w:tc>
          <w:tcPr>
            <w:tcW w:w="394" w:type="pct"/>
            <w:shd w:val="clear" w:color="auto" w:fill="auto"/>
            <w:vAlign w:val="bottom"/>
          </w:tcPr>
          <w:p w14:paraId="5F2C98DD" w14:textId="77777777" w:rsidR="00E836FB" w:rsidRDefault="00E836FB">
            <w:pPr>
              <w:rPr>
                <w:rFonts w:ascii="宋体"/>
              </w:rPr>
            </w:pPr>
          </w:p>
        </w:tc>
        <w:tc>
          <w:tcPr>
            <w:tcW w:w="5" w:type="pct"/>
            <w:shd w:val="clear" w:color="auto" w:fill="auto"/>
            <w:vAlign w:val="bottom"/>
          </w:tcPr>
          <w:p w14:paraId="5F2C98DE" w14:textId="77777777" w:rsidR="00E836FB" w:rsidRDefault="00E836FB">
            <w:pPr>
              <w:rPr>
                <w:rFonts w:ascii="宋体"/>
              </w:rPr>
            </w:pPr>
          </w:p>
        </w:tc>
        <w:tc>
          <w:tcPr>
            <w:tcW w:w="5" w:type="pct"/>
            <w:shd w:val="clear" w:color="auto" w:fill="auto"/>
            <w:vAlign w:val="bottom"/>
          </w:tcPr>
          <w:p w14:paraId="5F2C98DF" w14:textId="77777777" w:rsidR="00E836FB" w:rsidRDefault="00E836FB">
            <w:pPr>
              <w:rPr>
                <w:rFonts w:ascii="宋体"/>
              </w:rPr>
            </w:pPr>
          </w:p>
        </w:tc>
        <w:tc>
          <w:tcPr>
            <w:tcW w:w="85" w:type="pct"/>
            <w:shd w:val="clear" w:color="auto" w:fill="auto"/>
            <w:vAlign w:val="bottom"/>
          </w:tcPr>
          <w:p w14:paraId="5F2C98E0" w14:textId="77777777" w:rsidR="00E836FB" w:rsidRDefault="00E836FB">
            <w:pPr>
              <w:rPr>
                <w:rFonts w:ascii="宋体"/>
              </w:rPr>
            </w:pPr>
          </w:p>
        </w:tc>
        <w:tc>
          <w:tcPr>
            <w:tcW w:w="5" w:type="pct"/>
            <w:shd w:val="clear" w:color="auto" w:fill="auto"/>
            <w:vAlign w:val="bottom"/>
          </w:tcPr>
          <w:p w14:paraId="5F2C98E1" w14:textId="77777777" w:rsidR="00E836FB" w:rsidRDefault="00E836FB">
            <w:pPr>
              <w:rPr>
                <w:rFonts w:ascii="宋体"/>
              </w:rPr>
            </w:pPr>
          </w:p>
        </w:tc>
        <w:tc>
          <w:tcPr>
            <w:tcW w:w="50" w:type="pct"/>
            <w:shd w:val="clear" w:color="auto" w:fill="auto"/>
            <w:vAlign w:val="bottom"/>
          </w:tcPr>
          <w:p w14:paraId="5F2C98E2" w14:textId="77777777" w:rsidR="00E836FB" w:rsidRDefault="00E836FB">
            <w:pPr>
              <w:rPr>
                <w:rFonts w:ascii="宋体"/>
              </w:rPr>
            </w:pPr>
          </w:p>
        </w:tc>
        <w:tc>
          <w:tcPr>
            <w:tcW w:w="217" w:type="pct"/>
            <w:shd w:val="clear" w:color="auto" w:fill="auto"/>
            <w:vAlign w:val="bottom"/>
          </w:tcPr>
          <w:p w14:paraId="5F2C98E3" w14:textId="77777777" w:rsidR="00E836FB" w:rsidRDefault="00E836FB">
            <w:pPr>
              <w:rPr>
                <w:rFonts w:ascii="宋体"/>
              </w:rPr>
            </w:pPr>
          </w:p>
        </w:tc>
        <w:tc>
          <w:tcPr>
            <w:tcW w:w="5" w:type="pct"/>
            <w:shd w:val="clear" w:color="auto" w:fill="auto"/>
            <w:vAlign w:val="bottom"/>
          </w:tcPr>
          <w:p w14:paraId="5F2C98E4" w14:textId="77777777" w:rsidR="00E836FB" w:rsidRDefault="00E836FB">
            <w:pPr>
              <w:rPr>
                <w:rFonts w:ascii="宋体"/>
              </w:rPr>
            </w:pPr>
          </w:p>
        </w:tc>
        <w:tc>
          <w:tcPr>
            <w:tcW w:w="50" w:type="pct"/>
            <w:shd w:val="clear" w:color="auto" w:fill="auto"/>
            <w:vAlign w:val="bottom"/>
          </w:tcPr>
          <w:p w14:paraId="5F2C98E5" w14:textId="77777777" w:rsidR="00E836FB" w:rsidRDefault="00E836FB">
            <w:pPr>
              <w:rPr>
                <w:rFonts w:ascii="宋体"/>
              </w:rPr>
            </w:pPr>
          </w:p>
        </w:tc>
        <w:tc>
          <w:tcPr>
            <w:tcW w:w="1124" w:type="pct"/>
            <w:shd w:val="clear" w:color="auto" w:fill="auto"/>
            <w:vAlign w:val="bottom"/>
          </w:tcPr>
          <w:p w14:paraId="5F2C98E6" w14:textId="77777777" w:rsidR="00E836FB" w:rsidRDefault="00E836FB">
            <w:pPr>
              <w:rPr>
                <w:rFonts w:ascii="宋体"/>
              </w:rPr>
            </w:pPr>
          </w:p>
        </w:tc>
        <w:tc>
          <w:tcPr>
            <w:tcW w:w="5" w:type="pct"/>
            <w:shd w:val="clear" w:color="auto" w:fill="auto"/>
            <w:vAlign w:val="bottom"/>
          </w:tcPr>
          <w:p w14:paraId="5F2C98E7" w14:textId="77777777" w:rsidR="00E836FB" w:rsidRDefault="00E836FB">
            <w:pPr>
              <w:rPr>
                <w:rFonts w:ascii="宋体"/>
              </w:rPr>
            </w:pPr>
          </w:p>
        </w:tc>
        <w:tc>
          <w:tcPr>
            <w:tcW w:w="5" w:type="pct"/>
            <w:shd w:val="clear" w:color="auto" w:fill="auto"/>
            <w:vAlign w:val="bottom"/>
          </w:tcPr>
          <w:p w14:paraId="5F2C98E8" w14:textId="77777777" w:rsidR="00E836FB" w:rsidRDefault="00E836FB">
            <w:pPr>
              <w:rPr>
                <w:rFonts w:ascii="宋体"/>
              </w:rPr>
            </w:pPr>
          </w:p>
        </w:tc>
        <w:tc>
          <w:tcPr>
            <w:tcW w:w="137" w:type="pct"/>
            <w:shd w:val="clear" w:color="auto" w:fill="auto"/>
            <w:vAlign w:val="bottom"/>
          </w:tcPr>
          <w:p w14:paraId="5F2C98E9" w14:textId="77777777" w:rsidR="00E836FB" w:rsidRDefault="00E836FB">
            <w:pPr>
              <w:rPr>
                <w:rFonts w:ascii="宋体"/>
              </w:rPr>
            </w:pPr>
          </w:p>
        </w:tc>
        <w:tc>
          <w:tcPr>
            <w:tcW w:w="5" w:type="pct"/>
            <w:shd w:val="clear" w:color="auto" w:fill="auto"/>
            <w:vAlign w:val="bottom"/>
          </w:tcPr>
          <w:p w14:paraId="5F2C98EA" w14:textId="77777777" w:rsidR="00E836FB" w:rsidRDefault="00E836FB">
            <w:pPr>
              <w:rPr>
                <w:rFonts w:ascii="宋体"/>
              </w:rPr>
            </w:pPr>
          </w:p>
        </w:tc>
      </w:tr>
      <w:tr w:rsidR="00E836FB" w14:paraId="5F2C98F4" w14:textId="77777777">
        <w:trPr>
          <w:jc w:val="center"/>
        </w:trPr>
        <w:tc>
          <w:tcPr>
            <w:tcW w:w="0" w:type="auto"/>
            <w:gridSpan w:val="6"/>
            <w:shd w:val="clear" w:color="auto" w:fill="auto"/>
            <w:tcMar>
              <w:top w:w="40" w:type="dxa"/>
              <w:left w:w="20" w:type="dxa"/>
              <w:bottom w:w="40" w:type="dxa"/>
              <w:right w:w="20" w:type="dxa"/>
            </w:tcMar>
            <w:vAlign w:val="bottom"/>
          </w:tcPr>
          <w:p w14:paraId="5F2C98EC" w14:textId="77777777" w:rsidR="00E836FB" w:rsidRDefault="00994958">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vAlign w:val="bottom"/>
          </w:tcPr>
          <w:p w14:paraId="5F2C98E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E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E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F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F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8F2" w14:textId="77777777" w:rsidR="00E836FB" w:rsidRDefault="00994958">
            <w:pP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vAlign w:val="bottom"/>
          </w:tcPr>
          <w:p w14:paraId="5F2C98F3" w14:textId="77777777" w:rsidR="00E836FB" w:rsidRDefault="00E836FB">
            <w:pPr>
              <w:rPr>
                <w:rFonts w:ascii="宋体"/>
              </w:rPr>
            </w:pPr>
          </w:p>
        </w:tc>
      </w:tr>
      <w:tr w:rsidR="00E836FB" w14:paraId="5F2C98FD" w14:textId="77777777">
        <w:trPr>
          <w:jc w:val="center"/>
        </w:trPr>
        <w:tc>
          <w:tcPr>
            <w:tcW w:w="0" w:type="auto"/>
            <w:gridSpan w:val="6"/>
            <w:shd w:val="clear" w:color="auto" w:fill="auto"/>
            <w:tcMar>
              <w:top w:w="40" w:type="dxa"/>
              <w:left w:w="20" w:type="dxa"/>
              <w:bottom w:w="40" w:type="dxa"/>
              <w:right w:w="20" w:type="dxa"/>
            </w:tcMar>
            <w:vAlign w:val="bottom"/>
          </w:tcPr>
          <w:p w14:paraId="5F2C98F5" w14:textId="77777777" w:rsidR="00E836FB" w:rsidRDefault="00994958">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vAlign w:val="bottom"/>
          </w:tcPr>
          <w:p w14:paraId="5F2C98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F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F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F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8F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8FB" w14:textId="77777777" w:rsidR="00E836FB" w:rsidRDefault="00994958">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vAlign w:val="bottom"/>
          </w:tcPr>
          <w:p w14:paraId="5F2C98FC" w14:textId="77777777" w:rsidR="00E836FB" w:rsidRDefault="00E836FB">
            <w:pPr>
              <w:rPr>
                <w:rFonts w:ascii="宋体"/>
              </w:rPr>
            </w:pPr>
          </w:p>
        </w:tc>
      </w:tr>
      <w:tr w:rsidR="00E836FB" w14:paraId="5F2C9906" w14:textId="77777777">
        <w:trPr>
          <w:jc w:val="center"/>
        </w:trPr>
        <w:tc>
          <w:tcPr>
            <w:tcW w:w="0" w:type="auto"/>
            <w:gridSpan w:val="6"/>
            <w:shd w:val="clear" w:color="auto" w:fill="auto"/>
            <w:tcMar>
              <w:top w:w="40" w:type="dxa"/>
              <w:left w:w="20" w:type="dxa"/>
              <w:bottom w:w="40" w:type="dxa"/>
              <w:right w:w="20" w:type="dxa"/>
            </w:tcMar>
            <w:vAlign w:val="bottom"/>
          </w:tcPr>
          <w:p w14:paraId="5F2C98FE" w14:textId="77777777" w:rsidR="00E836FB" w:rsidRDefault="00994958">
            <w:pP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vAlign w:val="bottom"/>
          </w:tcPr>
          <w:p w14:paraId="5F2C98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5" w14:textId="77777777" w:rsidR="00E836FB" w:rsidRDefault="00E836FB">
            <w:pPr>
              <w:rPr>
                <w:rFonts w:ascii="宋体"/>
              </w:rPr>
            </w:pPr>
          </w:p>
        </w:tc>
      </w:tr>
      <w:tr w:rsidR="00E836FB" w14:paraId="5F2C990F" w14:textId="77777777">
        <w:trPr>
          <w:jc w:val="center"/>
        </w:trPr>
        <w:tc>
          <w:tcPr>
            <w:tcW w:w="0" w:type="auto"/>
            <w:gridSpan w:val="3"/>
            <w:shd w:val="clear" w:color="auto" w:fill="auto"/>
            <w:tcMar>
              <w:top w:w="40" w:type="dxa"/>
              <w:left w:w="20" w:type="dxa"/>
              <w:bottom w:w="40" w:type="dxa"/>
              <w:right w:w="20" w:type="dxa"/>
            </w:tcMar>
            <w:vAlign w:val="bottom"/>
          </w:tcPr>
          <w:p w14:paraId="5F2C9907" w14:textId="77777777" w:rsidR="00E836FB" w:rsidRDefault="00994958">
            <w:pP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5F2C9908" w14:textId="77777777" w:rsidR="00E836FB" w:rsidRDefault="00994958">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vAlign w:val="bottom"/>
          </w:tcPr>
          <w:p w14:paraId="5F2C990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0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0D" w14:textId="77777777" w:rsidR="00E836FB" w:rsidRDefault="00994958">
            <w:pP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vAlign w:val="bottom"/>
          </w:tcPr>
          <w:p w14:paraId="5F2C990E" w14:textId="77777777" w:rsidR="00E836FB" w:rsidRDefault="00E836FB">
            <w:pPr>
              <w:rPr>
                <w:rFonts w:ascii="宋体"/>
              </w:rPr>
            </w:pPr>
          </w:p>
        </w:tc>
      </w:tr>
      <w:tr w:rsidR="00E836FB" w14:paraId="5F2C9917" w14:textId="77777777">
        <w:trPr>
          <w:jc w:val="center"/>
        </w:trPr>
        <w:tc>
          <w:tcPr>
            <w:tcW w:w="0" w:type="auto"/>
            <w:gridSpan w:val="6"/>
            <w:shd w:val="clear" w:color="auto" w:fill="auto"/>
            <w:tcMar>
              <w:top w:w="40" w:type="dxa"/>
              <w:left w:w="20" w:type="dxa"/>
              <w:bottom w:w="40" w:type="dxa"/>
              <w:right w:w="20" w:type="dxa"/>
            </w:tcMar>
            <w:vAlign w:val="bottom"/>
          </w:tcPr>
          <w:p w14:paraId="5F2C9910" w14:textId="77777777" w:rsidR="00E836FB" w:rsidRDefault="00994958">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vAlign w:val="bottom"/>
          </w:tcPr>
          <w:p w14:paraId="5F2C991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1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1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15" w14:textId="77777777" w:rsidR="00E836FB" w:rsidRDefault="00994958">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vAlign w:val="bottom"/>
          </w:tcPr>
          <w:p w14:paraId="5F2C9916" w14:textId="77777777" w:rsidR="00E836FB" w:rsidRDefault="00E836FB">
            <w:pPr>
              <w:rPr>
                <w:rFonts w:ascii="宋体"/>
              </w:rPr>
            </w:pPr>
          </w:p>
        </w:tc>
      </w:tr>
      <w:tr w:rsidR="00E836FB" w14:paraId="5F2C9920" w14:textId="77777777">
        <w:trPr>
          <w:jc w:val="center"/>
        </w:trPr>
        <w:tc>
          <w:tcPr>
            <w:tcW w:w="0" w:type="auto"/>
            <w:gridSpan w:val="3"/>
            <w:shd w:val="clear" w:color="auto" w:fill="auto"/>
            <w:tcMar>
              <w:top w:w="0" w:type="dxa"/>
              <w:left w:w="20" w:type="dxa"/>
              <w:bottom w:w="0" w:type="dxa"/>
              <w:right w:w="20" w:type="dxa"/>
            </w:tcMar>
            <w:vAlign w:val="bottom"/>
          </w:tcPr>
          <w:p w14:paraId="5F2C991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1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1A" w14:textId="77777777" w:rsidR="00E836FB" w:rsidRDefault="00994958">
            <w:pP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5F2C991B" w14:textId="77777777" w:rsidR="00E836FB" w:rsidRDefault="00994958">
            <w:pP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vAlign w:val="bottom"/>
          </w:tcPr>
          <w:p w14:paraId="5F2C99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1F" w14:textId="77777777" w:rsidR="00E836FB" w:rsidRDefault="00E836FB">
            <w:pPr>
              <w:rPr>
                <w:rFonts w:ascii="宋体"/>
              </w:rPr>
            </w:pPr>
          </w:p>
        </w:tc>
      </w:tr>
      <w:tr w:rsidR="00E836FB" w14:paraId="5F2C9927" w14:textId="77777777">
        <w:trPr>
          <w:jc w:val="center"/>
        </w:trPr>
        <w:tc>
          <w:tcPr>
            <w:tcW w:w="0" w:type="auto"/>
            <w:gridSpan w:val="3"/>
            <w:shd w:val="clear" w:color="auto" w:fill="auto"/>
            <w:tcMar>
              <w:top w:w="0" w:type="dxa"/>
              <w:left w:w="20" w:type="dxa"/>
              <w:bottom w:w="0" w:type="dxa"/>
              <w:right w:w="20" w:type="dxa"/>
            </w:tcMar>
            <w:vAlign w:val="bottom"/>
          </w:tcPr>
          <w:p w14:paraId="5F2C99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22" w14:textId="77777777" w:rsidR="00E836FB" w:rsidRDefault="00E836FB">
            <w:pPr>
              <w:rPr>
                <w:rFonts w:ascii="宋体"/>
              </w:rPr>
            </w:pPr>
          </w:p>
        </w:tc>
        <w:tc>
          <w:tcPr>
            <w:tcW w:w="0" w:type="auto"/>
            <w:gridSpan w:val="12"/>
            <w:shd w:val="clear" w:color="auto" w:fill="auto"/>
            <w:tcMar>
              <w:top w:w="40" w:type="dxa"/>
              <w:left w:w="20" w:type="dxa"/>
              <w:bottom w:w="40" w:type="dxa"/>
              <w:right w:w="20" w:type="dxa"/>
            </w:tcMar>
            <w:vAlign w:val="bottom"/>
          </w:tcPr>
          <w:p w14:paraId="5F2C9923" w14:textId="77777777" w:rsidR="00E836FB" w:rsidRDefault="00994958">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vAlign w:val="bottom"/>
          </w:tcPr>
          <w:p w14:paraId="5F2C992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26" w14:textId="77777777" w:rsidR="00E836FB" w:rsidRDefault="00E836FB">
            <w:pPr>
              <w:rPr>
                <w:rFonts w:ascii="宋体"/>
              </w:rPr>
            </w:pPr>
          </w:p>
        </w:tc>
      </w:tr>
      <w:tr w:rsidR="00E836FB" w14:paraId="5F2C992A" w14:textId="77777777">
        <w:trPr>
          <w:trHeight w:val="240"/>
          <w:jc w:val="center"/>
        </w:trPr>
        <w:tc>
          <w:tcPr>
            <w:tcW w:w="0" w:type="auto"/>
            <w:gridSpan w:val="24"/>
            <w:shd w:val="clear" w:color="auto" w:fill="auto"/>
            <w:tcMar>
              <w:top w:w="0" w:type="dxa"/>
              <w:left w:w="20" w:type="dxa"/>
              <w:bottom w:w="0" w:type="dxa"/>
              <w:right w:w="20" w:type="dxa"/>
            </w:tcMar>
            <w:vAlign w:val="bottom"/>
          </w:tcPr>
          <w:p w14:paraId="5F2C992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29" w14:textId="77777777" w:rsidR="00E836FB" w:rsidRDefault="00E836FB">
            <w:pPr>
              <w:rPr>
                <w:rFonts w:ascii="宋体"/>
              </w:rPr>
            </w:pPr>
          </w:p>
        </w:tc>
      </w:tr>
      <w:tr w:rsidR="00E836FB" w14:paraId="5F2C992D" w14:textId="77777777">
        <w:trPr>
          <w:jc w:val="center"/>
        </w:trPr>
        <w:tc>
          <w:tcPr>
            <w:tcW w:w="0" w:type="auto"/>
            <w:gridSpan w:val="24"/>
            <w:shd w:val="clear" w:color="auto" w:fill="auto"/>
            <w:tcMar>
              <w:top w:w="40" w:type="dxa"/>
              <w:left w:w="20" w:type="dxa"/>
              <w:bottom w:w="40" w:type="dxa"/>
              <w:right w:w="20" w:type="dxa"/>
            </w:tcMar>
            <w:vAlign w:val="bottom"/>
          </w:tcPr>
          <w:p w14:paraId="5F2C992B" w14:textId="77777777" w:rsidR="00E836FB" w:rsidRDefault="00994958">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vAlign w:val="bottom"/>
          </w:tcPr>
          <w:p w14:paraId="5F2C992C" w14:textId="77777777" w:rsidR="00E836FB" w:rsidRDefault="00E836FB">
            <w:pPr>
              <w:rPr>
                <w:rFonts w:ascii="宋体"/>
              </w:rPr>
            </w:pPr>
          </w:p>
        </w:tc>
      </w:tr>
      <w:tr w:rsidR="00E836FB" w14:paraId="5F2C9935"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5F2C992E" w14:textId="77777777" w:rsidR="00E836FB" w:rsidRDefault="00994958">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vAlign w:val="bottom"/>
          </w:tcPr>
          <w:p w14:paraId="5F2C992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30" w14:textId="77777777" w:rsidR="00E836FB" w:rsidRDefault="00994958">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vAlign w:val="bottom"/>
          </w:tcPr>
          <w:p w14:paraId="5F2C993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3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33" w14:textId="77777777" w:rsidR="00E836FB" w:rsidRDefault="00994958">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vAlign w:val="bottom"/>
          </w:tcPr>
          <w:p w14:paraId="5F2C9934" w14:textId="77777777" w:rsidR="00E836FB" w:rsidRDefault="00E836FB">
            <w:pPr>
              <w:rPr>
                <w:rFonts w:ascii="宋体"/>
              </w:rPr>
            </w:pPr>
          </w:p>
        </w:tc>
      </w:tr>
      <w:tr w:rsidR="00E836FB" w14:paraId="5F2C993D"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5F2C9936" w14:textId="77777777" w:rsidR="00E836FB" w:rsidRDefault="00994958">
            <w:pP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vAlign w:val="bottom"/>
          </w:tcPr>
          <w:p w14:paraId="5F2C993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9938" w14:textId="77777777" w:rsidR="00E836FB" w:rsidRDefault="00994958">
            <w:pP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vAlign w:val="bottom"/>
          </w:tcPr>
          <w:p w14:paraId="5F2C993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3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F2C993B" w14:textId="77777777" w:rsidR="00E836FB" w:rsidRDefault="00994958">
            <w:pP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993C" w14:textId="77777777" w:rsidR="00E836FB" w:rsidRDefault="00E836FB">
            <w:pPr>
              <w:rPr>
                <w:rFonts w:ascii="宋体"/>
              </w:rPr>
            </w:pPr>
          </w:p>
        </w:tc>
      </w:tr>
      <w:tr w:rsidR="00E836FB" w14:paraId="5F2C9945" w14:textId="77777777">
        <w:trPr>
          <w:trHeight w:val="100"/>
          <w:jc w:val="center"/>
        </w:trPr>
        <w:tc>
          <w:tcPr>
            <w:tcW w:w="0" w:type="auto"/>
            <w:gridSpan w:val="9"/>
            <w:shd w:val="clear" w:color="auto" w:fill="auto"/>
            <w:tcMar>
              <w:top w:w="0" w:type="dxa"/>
              <w:left w:w="20" w:type="dxa"/>
              <w:bottom w:w="0" w:type="dxa"/>
              <w:right w:w="20" w:type="dxa"/>
            </w:tcMar>
            <w:vAlign w:val="bottom"/>
          </w:tcPr>
          <w:p w14:paraId="5F2C99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3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4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44" w14:textId="77777777" w:rsidR="00E836FB" w:rsidRDefault="00E836FB">
            <w:pPr>
              <w:rPr>
                <w:rFonts w:ascii="宋体"/>
              </w:rPr>
            </w:pPr>
          </w:p>
        </w:tc>
      </w:tr>
      <w:tr w:rsidR="00E836FB" w14:paraId="5F2C994D" w14:textId="77777777">
        <w:trPr>
          <w:trHeight w:val="180"/>
          <w:jc w:val="center"/>
        </w:trPr>
        <w:tc>
          <w:tcPr>
            <w:tcW w:w="0" w:type="auto"/>
            <w:gridSpan w:val="9"/>
            <w:shd w:val="clear" w:color="auto" w:fill="auto"/>
            <w:tcMar>
              <w:top w:w="40" w:type="dxa"/>
              <w:left w:w="20" w:type="dxa"/>
              <w:bottom w:w="40" w:type="dxa"/>
              <w:right w:w="20" w:type="dxa"/>
            </w:tcMar>
          </w:tcPr>
          <w:p w14:paraId="5F2C9946" w14:textId="77777777" w:rsidR="00E836FB" w:rsidRDefault="00994958">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5F2C9947"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F2C9948" w14:textId="77777777" w:rsidR="00E836FB" w:rsidRDefault="00994958">
            <w:pP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vAlign w:val="bottom"/>
          </w:tcPr>
          <w:p w14:paraId="5F2C994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4A"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F2C994B" w14:textId="77777777" w:rsidR="00E836FB" w:rsidRDefault="00994958">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5F2C994C" w14:textId="77777777" w:rsidR="00E836FB" w:rsidRDefault="00E836FB">
            <w:pPr>
              <w:rPr>
                <w:rFonts w:ascii="宋体"/>
              </w:rPr>
            </w:pPr>
          </w:p>
        </w:tc>
      </w:tr>
      <w:tr w:rsidR="00E836FB" w14:paraId="5F2C9955" w14:textId="77777777">
        <w:trPr>
          <w:trHeight w:val="300"/>
          <w:jc w:val="center"/>
        </w:trPr>
        <w:tc>
          <w:tcPr>
            <w:tcW w:w="0" w:type="auto"/>
            <w:gridSpan w:val="9"/>
            <w:shd w:val="clear" w:color="auto" w:fill="auto"/>
            <w:tcMar>
              <w:top w:w="40" w:type="dxa"/>
              <w:left w:w="20" w:type="dxa"/>
              <w:bottom w:w="40" w:type="dxa"/>
              <w:right w:w="20" w:type="dxa"/>
            </w:tcMar>
            <w:vAlign w:val="bottom"/>
          </w:tcPr>
          <w:p w14:paraId="5F2C994E" w14:textId="77777777" w:rsidR="00E836FB" w:rsidRDefault="00994958">
            <w:pPr>
              <w:jc w:val="center"/>
              <w:textAlignment w:val="bottom"/>
            </w:pPr>
            <w:r>
              <w:rPr>
                <w:rFonts w:ascii="Arial" w:eastAsia="宋体" w:hAnsi="Arial" w:cs="Arial"/>
                <w:color w:val="000000"/>
                <w:sz w:val="13"/>
                <w:szCs w:val="13"/>
              </w:rPr>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vAlign w:val="bottom"/>
          </w:tcPr>
          <w:p w14:paraId="5F2C994F"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center"/>
          </w:tcPr>
          <w:p w14:paraId="5F2C99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2"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center"/>
          </w:tcPr>
          <w:p w14:paraId="5F2C99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4" w14:textId="77777777" w:rsidR="00E836FB" w:rsidRDefault="00E836FB">
            <w:pPr>
              <w:rPr>
                <w:rFonts w:ascii="宋体"/>
              </w:rPr>
            </w:pPr>
          </w:p>
        </w:tc>
      </w:tr>
      <w:tr w:rsidR="00E836FB" w14:paraId="5F2C995D" w14:textId="77777777">
        <w:trPr>
          <w:trHeight w:val="120"/>
          <w:jc w:val="center"/>
        </w:trPr>
        <w:tc>
          <w:tcPr>
            <w:tcW w:w="0" w:type="auto"/>
            <w:gridSpan w:val="9"/>
            <w:shd w:val="clear" w:color="auto" w:fill="auto"/>
            <w:tcMar>
              <w:top w:w="0" w:type="dxa"/>
              <w:left w:w="20" w:type="dxa"/>
              <w:bottom w:w="0" w:type="dxa"/>
              <w:right w:w="20" w:type="dxa"/>
            </w:tcMar>
            <w:vAlign w:val="bottom"/>
          </w:tcPr>
          <w:p w14:paraId="5F2C995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5C" w14:textId="77777777" w:rsidR="00E836FB" w:rsidRDefault="00E836FB">
            <w:pPr>
              <w:rPr>
                <w:rFonts w:ascii="宋体"/>
              </w:rPr>
            </w:pPr>
          </w:p>
        </w:tc>
      </w:tr>
      <w:tr w:rsidR="00E836FB" w14:paraId="5F2C9965" w14:textId="77777777">
        <w:trPr>
          <w:trHeight w:val="180"/>
          <w:jc w:val="center"/>
        </w:trPr>
        <w:tc>
          <w:tcPr>
            <w:tcW w:w="0" w:type="auto"/>
            <w:gridSpan w:val="9"/>
            <w:shd w:val="clear" w:color="auto" w:fill="auto"/>
            <w:tcMar>
              <w:top w:w="40" w:type="dxa"/>
              <w:left w:w="20" w:type="dxa"/>
              <w:bottom w:w="40" w:type="dxa"/>
              <w:right w:w="20" w:type="dxa"/>
            </w:tcMar>
          </w:tcPr>
          <w:p w14:paraId="5F2C995E" w14:textId="77777777" w:rsidR="00E836FB" w:rsidRDefault="00994958">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5F2C995F"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F2C9960" w14:textId="77777777" w:rsidR="00E836FB" w:rsidRDefault="00994958">
            <w:pP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vAlign w:val="bottom"/>
          </w:tcPr>
          <w:p w14:paraId="5F2C99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62"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F2C9963" w14:textId="77777777" w:rsidR="00E836FB" w:rsidRDefault="00994958">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5F2C9964" w14:textId="77777777" w:rsidR="00E836FB" w:rsidRDefault="00E836FB">
            <w:pPr>
              <w:rPr>
                <w:rFonts w:ascii="宋体"/>
              </w:rPr>
            </w:pPr>
          </w:p>
        </w:tc>
      </w:tr>
      <w:tr w:rsidR="00E836FB" w14:paraId="5F2C996D" w14:textId="77777777">
        <w:trPr>
          <w:trHeight w:val="300"/>
          <w:jc w:val="center"/>
        </w:trPr>
        <w:tc>
          <w:tcPr>
            <w:tcW w:w="0" w:type="auto"/>
            <w:gridSpan w:val="9"/>
            <w:shd w:val="clear" w:color="auto" w:fill="auto"/>
            <w:tcMar>
              <w:top w:w="40" w:type="dxa"/>
              <w:left w:w="20" w:type="dxa"/>
              <w:bottom w:w="40" w:type="dxa"/>
              <w:right w:w="20" w:type="dxa"/>
            </w:tcMar>
            <w:vAlign w:val="bottom"/>
          </w:tcPr>
          <w:p w14:paraId="5F2C9966" w14:textId="77777777" w:rsidR="00E836FB" w:rsidRDefault="00994958">
            <w:pP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vAlign w:val="bottom"/>
          </w:tcPr>
          <w:p w14:paraId="5F2C9967"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center"/>
          </w:tcPr>
          <w:p w14:paraId="5F2C99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6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6A"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center"/>
          </w:tcPr>
          <w:p w14:paraId="5F2C996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6C" w14:textId="77777777" w:rsidR="00E836FB" w:rsidRDefault="00E836FB">
            <w:pPr>
              <w:rPr>
                <w:rFonts w:ascii="宋体"/>
              </w:rPr>
            </w:pPr>
          </w:p>
        </w:tc>
      </w:tr>
    </w:tbl>
    <w:p w14:paraId="5F2C996E" w14:textId="77777777" w:rsidR="00E836FB" w:rsidRDefault="00E836FB">
      <w:pPr>
        <w:ind w:firstLine="450"/>
        <w:jc w:val="center"/>
      </w:pPr>
    </w:p>
    <w:p w14:paraId="5F2C996F" w14:textId="77777777" w:rsidR="00E836FB" w:rsidRDefault="00994958">
      <w:pPr>
        <w:ind w:firstLine="450"/>
        <w:jc w:val="center"/>
      </w:pPr>
      <w:r>
        <w:rPr>
          <w:rFonts w:ascii="Arial" w:eastAsia="宋体" w:hAnsi="Arial" w:cs="Arial"/>
          <w:b/>
          <w:bCs/>
          <w:color w:val="000000"/>
          <w:sz w:val="14"/>
          <w:szCs w:val="14"/>
        </w:rPr>
        <w:t xml:space="preserve">Securities </w:t>
      </w:r>
      <w:r>
        <w:rPr>
          <w:rFonts w:ascii="Arial" w:eastAsia="宋体" w:hAnsi="Arial" w:cs="Arial"/>
          <w:b/>
          <w:bCs/>
          <w:color w:val="000000"/>
          <w:sz w:val="14"/>
          <w:szCs w:val="14"/>
        </w:rPr>
        <w:t>registered pursuant to Section 12(g) of the Act:</w:t>
      </w:r>
    </w:p>
    <w:p w14:paraId="5F2C9970" w14:textId="77777777" w:rsidR="00E836FB" w:rsidRDefault="00994958">
      <w:pPr>
        <w:ind w:firstLine="450"/>
        <w:jc w:val="center"/>
      </w:pPr>
      <w:r>
        <w:rPr>
          <w:rFonts w:ascii="Arial" w:eastAsia="宋体" w:hAnsi="Arial" w:cs="Arial"/>
          <w:color w:val="000000"/>
          <w:sz w:val="12"/>
          <w:szCs w:val="12"/>
        </w:rPr>
        <w:t>None</w:t>
      </w:r>
    </w:p>
    <w:p w14:paraId="5F2C9971" w14:textId="77777777" w:rsidR="00E836FB" w:rsidRDefault="00994958">
      <w:pPr>
        <w:spacing w:before="50"/>
        <w:ind w:firstLine="450"/>
      </w:pPr>
      <w:r>
        <w:rPr>
          <w:rFonts w:ascii="Arial" w:eastAsia="宋体" w:hAnsi="Arial" w:cs="Arial"/>
          <w:color w:val="000000"/>
          <w:sz w:val="13"/>
          <w:szCs w:val="13"/>
        </w:rPr>
        <w:t>Indicate by check mark if the registrant is a well-known seasoned issuer, as defined in Rule 405 of the Securities Act.  Yes  </w:t>
      </w:r>
      <w:r>
        <w:rPr>
          <w:rFonts w:ascii="Arial Unicode MS" w:eastAsia="Arial Unicode MS" w:hAnsi="Arial Unicode MS" w:cs="Arial Unicode MS"/>
          <w:color w:val="000000"/>
          <w:sz w:val="13"/>
          <w:szCs w:val="13"/>
        </w:rPr>
        <w:t>☐</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p>
    <w:p w14:paraId="5F2C9972" w14:textId="77777777" w:rsidR="00E836FB" w:rsidRDefault="00994958">
      <w:pPr>
        <w:spacing w:before="50"/>
        <w:ind w:firstLine="450"/>
      </w:pPr>
      <w:r>
        <w:rPr>
          <w:rFonts w:ascii="Arial" w:eastAsia="宋体" w:hAnsi="Arial" w:cs="Arial"/>
          <w:color w:val="000000"/>
          <w:sz w:val="13"/>
          <w:szCs w:val="13"/>
        </w:rPr>
        <w:t xml:space="preserve">Indicate by check mark if the registrant is not required to </w:t>
      </w:r>
      <w:r>
        <w:rPr>
          <w:rFonts w:ascii="Arial" w:eastAsia="宋体" w:hAnsi="Arial" w:cs="Arial"/>
          <w:color w:val="000000"/>
          <w:sz w:val="13"/>
          <w:szCs w:val="13"/>
        </w:rPr>
        <w:t>file reports pursuant to Section 13 or Section 15(d) of the Act.  Yes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w:t>
      </w:r>
    </w:p>
    <w:p w14:paraId="5F2C9973" w14:textId="77777777" w:rsidR="00E836FB" w:rsidRDefault="00994958">
      <w:pPr>
        <w:spacing w:before="50"/>
        <w:ind w:firstLine="450"/>
      </w:pPr>
      <w:r>
        <w:rPr>
          <w:rFonts w:ascii="Arial" w:eastAsia="宋体" w:hAnsi="Arial" w:cs="Arial"/>
          <w:color w:val="000000"/>
          <w:sz w:val="13"/>
          <w:szCs w:val="13"/>
        </w:rPr>
        <w:lastRenderedPageBreak/>
        <w:t>Indicate by check mark whether the registrant (1) has filed all reports required to be filed by Section 13 or 15(d) of the Securities Exchange Act of 1934 during the preceding</w:t>
      </w:r>
      <w:r>
        <w:rPr>
          <w:rFonts w:ascii="Arial" w:eastAsia="宋体" w:hAnsi="Arial" w:cs="Arial"/>
          <w:color w:val="000000"/>
          <w:sz w:val="13"/>
          <w:szCs w:val="13"/>
        </w:rPr>
        <w:t xml:space="preserve">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p>
    <w:p w14:paraId="5F2C9974" w14:textId="77777777" w:rsidR="00E836FB" w:rsidRDefault="00994958">
      <w:pPr>
        <w:spacing w:before="50"/>
        <w:ind w:firstLine="450"/>
      </w:pPr>
      <w:r>
        <w:rPr>
          <w:rFonts w:ascii="Arial" w:eastAsia="宋体" w:hAnsi="Arial" w:cs="Arial"/>
          <w:color w:val="000000"/>
          <w:sz w:val="13"/>
          <w:szCs w:val="13"/>
        </w:rPr>
        <w:t>Indicate by check mark whether the registrant has submitted electronical</w:t>
      </w:r>
      <w:r>
        <w:rPr>
          <w:rFonts w:ascii="Arial" w:eastAsia="宋体" w:hAnsi="Arial" w:cs="Arial"/>
          <w:color w:val="000000"/>
          <w:sz w:val="13"/>
          <w:szCs w:val="13"/>
        </w:rPr>
        <w:t>ly every Interactive Data File required to be submitted pursuant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p>
    <w:p w14:paraId="5F2C9975" w14:textId="77777777" w:rsidR="00E836FB" w:rsidRDefault="00994958">
      <w:pPr>
        <w:spacing w:before="50"/>
        <w:ind w:firstLine="450"/>
      </w:pPr>
      <w:r>
        <w:rPr>
          <w:rFonts w:ascii="Arial" w:eastAsia="宋体" w:hAnsi="Arial" w:cs="Arial"/>
          <w:color w:val="000000"/>
          <w:sz w:val="13"/>
          <w:szCs w:val="13"/>
        </w:rPr>
        <w:t>Ind</w:t>
      </w:r>
      <w:r>
        <w:rPr>
          <w:rFonts w:ascii="Arial" w:eastAsia="宋体" w:hAnsi="Arial" w:cs="Arial"/>
          <w:color w:val="000000"/>
          <w:sz w:val="13"/>
          <w:szCs w:val="13"/>
        </w:rPr>
        <w:t>icate by check mark whether the registrant is a large accelerated filer, an accelerated filer, a non-accelerated filer, a smaller reporting company, or an emerging growth company. See the definitions of "large accelerated filer", "accelerated filer", "smal</w:t>
      </w:r>
      <w:r>
        <w:rPr>
          <w:rFonts w:ascii="Arial" w:eastAsia="宋体" w:hAnsi="Arial" w:cs="Arial"/>
          <w:color w:val="000000"/>
          <w:sz w:val="13"/>
          <w:szCs w:val="13"/>
        </w:rPr>
        <w:t>ler reporting company", and "emerging growth company" in Rule 12b-2 of the Exchange Act.</w:t>
      </w:r>
      <w:r>
        <w:rPr>
          <w:rFonts w:ascii="Arial" w:eastAsia="宋体" w:hAnsi="Arial" w:cs="Arial"/>
          <w:color w:val="000000"/>
          <w:sz w:val="12"/>
          <w:szCs w:val="12"/>
        </w:rPr>
        <w:t xml:space="preserve"> </w:t>
      </w:r>
    </w:p>
    <w:tbl>
      <w:tblPr>
        <w:tblW w:w="4563" w:type="pct"/>
        <w:tblCellMar>
          <w:top w:w="15" w:type="dxa"/>
          <w:left w:w="15" w:type="dxa"/>
          <w:bottom w:w="15" w:type="dxa"/>
          <w:right w:w="15" w:type="dxa"/>
        </w:tblCellMar>
        <w:tblLook w:val="04A0" w:firstRow="1" w:lastRow="0" w:firstColumn="1" w:lastColumn="0" w:noHBand="0" w:noVBand="1"/>
      </w:tblPr>
      <w:tblGrid>
        <w:gridCol w:w="38"/>
        <w:gridCol w:w="1422"/>
        <w:gridCol w:w="36"/>
        <w:gridCol w:w="37"/>
        <w:gridCol w:w="148"/>
        <w:gridCol w:w="36"/>
        <w:gridCol w:w="36"/>
        <w:gridCol w:w="118"/>
        <w:gridCol w:w="36"/>
        <w:gridCol w:w="45"/>
        <w:gridCol w:w="1195"/>
        <w:gridCol w:w="36"/>
        <w:gridCol w:w="37"/>
        <w:gridCol w:w="144"/>
        <w:gridCol w:w="36"/>
        <w:gridCol w:w="36"/>
        <w:gridCol w:w="109"/>
        <w:gridCol w:w="36"/>
        <w:gridCol w:w="50"/>
        <w:gridCol w:w="1480"/>
        <w:gridCol w:w="36"/>
        <w:gridCol w:w="45"/>
        <w:gridCol w:w="128"/>
        <w:gridCol w:w="36"/>
        <w:gridCol w:w="36"/>
        <w:gridCol w:w="139"/>
        <w:gridCol w:w="36"/>
        <w:gridCol w:w="85"/>
        <w:gridCol w:w="1698"/>
        <w:gridCol w:w="36"/>
        <w:gridCol w:w="37"/>
        <w:gridCol w:w="148"/>
        <w:gridCol w:w="36"/>
      </w:tblGrid>
      <w:tr w:rsidR="00E836FB" w14:paraId="5F2C9997" w14:textId="77777777">
        <w:tc>
          <w:tcPr>
            <w:tcW w:w="50" w:type="pct"/>
            <w:shd w:val="clear" w:color="auto" w:fill="auto"/>
            <w:vAlign w:val="bottom"/>
          </w:tcPr>
          <w:p w14:paraId="5F2C9976" w14:textId="77777777" w:rsidR="00E836FB" w:rsidRDefault="00E836FB">
            <w:pPr>
              <w:rPr>
                <w:rFonts w:ascii="宋体"/>
              </w:rPr>
            </w:pPr>
          </w:p>
        </w:tc>
        <w:tc>
          <w:tcPr>
            <w:tcW w:w="972" w:type="pct"/>
            <w:shd w:val="clear" w:color="auto" w:fill="auto"/>
            <w:vAlign w:val="bottom"/>
          </w:tcPr>
          <w:p w14:paraId="5F2C9977" w14:textId="77777777" w:rsidR="00E836FB" w:rsidRDefault="00E836FB">
            <w:pPr>
              <w:rPr>
                <w:rFonts w:ascii="宋体"/>
              </w:rPr>
            </w:pPr>
          </w:p>
        </w:tc>
        <w:tc>
          <w:tcPr>
            <w:tcW w:w="5" w:type="pct"/>
            <w:shd w:val="clear" w:color="auto" w:fill="auto"/>
            <w:vAlign w:val="bottom"/>
          </w:tcPr>
          <w:p w14:paraId="5F2C9978" w14:textId="77777777" w:rsidR="00E836FB" w:rsidRDefault="00E836FB">
            <w:pPr>
              <w:rPr>
                <w:rFonts w:ascii="宋体"/>
              </w:rPr>
            </w:pPr>
          </w:p>
        </w:tc>
        <w:tc>
          <w:tcPr>
            <w:tcW w:w="5" w:type="pct"/>
            <w:shd w:val="clear" w:color="auto" w:fill="auto"/>
            <w:vAlign w:val="bottom"/>
          </w:tcPr>
          <w:p w14:paraId="5F2C9979" w14:textId="77777777" w:rsidR="00E836FB" w:rsidRDefault="00E836FB">
            <w:pPr>
              <w:rPr>
                <w:rFonts w:ascii="宋体"/>
              </w:rPr>
            </w:pPr>
          </w:p>
        </w:tc>
        <w:tc>
          <w:tcPr>
            <w:tcW w:w="119" w:type="pct"/>
            <w:shd w:val="clear" w:color="auto" w:fill="auto"/>
            <w:vAlign w:val="bottom"/>
          </w:tcPr>
          <w:p w14:paraId="5F2C997A" w14:textId="77777777" w:rsidR="00E836FB" w:rsidRDefault="00E836FB">
            <w:pPr>
              <w:rPr>
                <w:rFonts w:ascii="宋体"/>
              </w:rPr>
            </w:pPr>
          </w:p>
        </w:tc>
        <w:tc>
          <w:tcPr>
            <w:tcW w:w="5" w:type="pct"/>
            <w:shd w:val="clear" w:color="auto" w:fill="auto"/>
            <w:vAlign w:val="bottom"/>
          </w:tcPr>
          <w:p w14:paraId="5F2C997B" w14:textId="77777777" w:rsidR="00E836FB" w:rsidRDefault="00E836FB">
            <w:pPr>
              <w:rPr>
                <w:rFonts w:ascii="宋体"/>
              </w:rPr>
            </w:pPr>
          </w:p>
        </w:tc>
        <w:tc>
          <w:tcPr>
            <w:tcW w:w="5" w:type="pct"/>
            <w:shd w:val="clear" w:color="auto" w:fill="auto"/>
            <w:vAlign w:val="bottom"/>
          </w:tcPr>
          <w:p w14:paraId="5F2C997C" w14:textId="77777777" w:rsidR="00E836FB" w:rsidRDefault="00E836FB">
            <w:pPr>
              <w:rPr>
                <w:rFonts w:ascii="宋体"/>
              </w:rPr>
            </w:pPr>
          </w:p>
        </w:tc>
        <w:tc>
          <w:tcPr>
            <w:tcW w:w="119" w:type="pct"/>
            <w:shd w:val="clear" w:color="auto" w:fill="auto"/>
            <w:vAlign w:val="bottom"/>
          </w:tcPr>
          <w:p w14:paraId="5F2C997D" w14:textId="77777777" w:rsidR="00E836FB" w:rsidRDefault="00E836FB">
            <w:pPr>
              <w:rPr>
                <w:rFonts w:ascii="宋体"/>
              </w:rPr>
            </w:pPr>
          </w:p>
        </w:tc>
        <w:tc>
          <w:tcPr>
            <w:tcW w:w="5" w:type="pct"/>
            <w:shd w:val="clear" w:color="auto" w:fill="auto"/>
            <w:vAlign w:val="bottom"/>
          </w:tcPr>
          <w:p w14:paraId="5F2C997E" w14:textId="77777777" w:rsidR="00E836FB" w:rsidRDefault="00E836FB">
            <w:pPr>
              <w:rPr>
                <w:rFonts w:ascii="宋体"/>
              </w:rPr>
            </w:pPr>
          </w:p>
        </w:tc>
        <w:tc>
          <w:tcPr>
            <w:tcW w:w="50" w:type="pct"/>
            <w:shd w:val="clear" w:color="auto" w:fill="auto"/>
            <w:vAlign w:val="bottom"/>
          </w:tcPr>
          <w:p w14:paraId="5F2C997F" w14:textId="77777777" w:rsidR="00E836FB" w:rsidRDefault="00E836FB">
            <w:pPr>
              <w:rPr>
                <w:rFonts w:ascii="宋体"/>
              </w:rPr>
            </w:pPr>
          </w:p>
        </w:tc>
        <w:tc>
          <w:tcPr>
            <w:tcW w:w="827" w:type="pct"/>
            <w:shd w:val="clear" w:color="auto" w:fill="auto"/>
            <w:vAlign w:val="bottom"/>
          </w:tcPr>
          <w:p w14:paraId="5F2C9980" w14:textId="77777777" w:rsidR="00E836FB" w:rsidRDefault="00E836FB">
            <w:pPr>
              <w:rPr>
                <w:rFonts w:ascii="宋体"/>
              </w:rPr>
            </w:pPr>
          </w:p>
        </w:tc>
        <w:tc>
          <w:tcPr>
            <w:tcW w:w="5" w:type="pct"/>
            <w:shd w:val="clear" w:color="auto" w:fill="auto"/>
            <w:vAlign w:val="bottom"/>
          </w:tcPr>
          <w:p w14:paraId="5F2C9981" w14:textId="77777777" w:rsidR="00E836FB" w:rsidRDefault="00E836FB">
            <w:pPr>
              <w:rPr>
                <w:rFonts w:ascii="宋体"/>
              </w:rPr>
            </w:pPr>
          </w:p>
        </w:tc>
        <w:tc>
          <w:tcPr>
            <w:tcW w:w="5" w:type="pct"/>
            <w:shd w:val="clear" w:color="auto" w:fill="auto"/>
            <w:vAlign w:val="bottom"/>
          </w:tcPr>
          <w:p w14:paraId="5F2C9982" w14:textId="77777777" w:rsidR="00E836FB" w:rsidRDefault="00E836FB">
            <w:pPr>
              <w:rPr>
                <w:rFonts w:ascii="宋体"/>
              </w:rPr>
            </w:pPr>
          </w:p>
        </w:tc>
        <w:tc>
          <w:tcPr>
            <w:tcW w:w="81" w:type="pct"/>
            <w:shd w:val="clear" w:color="auto" w:fill="auto"/>
            <w:vAlign w:val="bottom"/>
          </w:tcPr>
          <w:p w14:paraId="5F2C9983" w14:textId="77777777" w:rsidR="00E836FB" w:rsidRDefault="00E836FB">
            <w:pPr>
              <w:rPr>
                <w:rFonts w:ascii="宋体"/>
              </w:rPr>
            </w:pPr>
          </w:p>
        </w:tc>
        <w:tc>
          <w:tcPr>
            <w:tcW w:w="5" w:type="pct"/>
            <w:shd w:val="clear" w:color="auto" w:fill="auto"/>
            <w:vAlign w:val="bottom"/>
          </w:tcPr>
          <w:p w14:paraId="5F2C9984" w14:textId="77777777" w:rsidR="00E836FB" w:rsidRDefault="00E836FB">
            <w:pPr>
              <w:rPr>
                <w:rFonts w:ascii="宋体"/>
              </w:rPr>
            </w:pPr>
          </w:p>
        </w:tc>
        <w:tc>
          <w:tcPr>
            <w:tcW w:w="5" w:type="pct"/>
            <w:shd w:val="clear" w:color="auto" w:fill="auto"/>
            <w:vAlign w:val="bottom"/>
          </w:tcPr>
          <w:p w14:paraId="5F2C9985" w14:textId="77777777" w:rsidR="00E836FB" w:rsidRDefault="00E836FB">
            <w:pPr>
              <w:rPr>
                <w:rFonts w:ascii="宋体"/>
              </w:rPr>
            </w:pPr>
          </w:p>
        </w:tc>
        <w:tc>
          <w:tcPr>
            <w:tcW w:w="104" w:type="pct"/>
            <w:shd w:val="clear" w:color="auto" w:fill="auto"/>
            <w:vAlign w:val="bottom"/>
          </w:tcPr>
          <w:p w14:paraId="5F2C9986" w14:textId="77777777" w:rsidR="00E836FB" w:rsidRDefault="00E836FB">
            <w:pPr>
              <w:rPr>
                <w:rFonts w:ascii="宋体"/>
              </w:rPr>
            </w:pPr>
          </w:p>
        </w:tc>
        <w:tc>
          <w:tcPr>
            <w:tcW w:w="5" w:type="pct"/>
            <w:shd w:val="clear" w:color="auto" w:fill="auto"/>
            <w:vAlign w:val="bottom"/>
          </w:tcPr>
          <w:p w14:paraId="5F2C9987" w14:textId="77777777" w:rsidR="00E836FB" w:rsidRDefault="00E836FB">
            <w:pPr>
              <w:rPr>
                <w:rFonts w:ascii="宋体"/>
              </w:rPr>
            </w:pPr>
          </w:p>
        </w:tc>
        <w:tc>
          <w:tcPr>
            <w:tcW w:w="50" w:type="pct"/>
            <w:shd w:val="clear" w:color="auto" w:fill="auto"/>
            <w:vAlign w:val="bottom"/>
          </w:tcPr>
          <w:p w14:paraId="5F2C9988" w14:textId="77777777" w:rsidR="00E836FB" w:rsidRDefault="00E836FB">
            <w:pPr>
              <w:rPr>
                <w:rFonts w:ascii="宋体"/>
              </w:rPr>
            </w:pPr>
          </w:p>
        </w:tc>
        <w:tc>
          <w:tcPr>
            <w:tcW w:w="1018" w:type="pct"/>
            <w:shd w:val="clear" w:color="auto" w:fill="auto"/>
            <w:vAlign w:val="bottom"/>
          </w:tcPr>
          <w:p w14:paraId="5F2C9989" w14:textId="77777777" w:rsidR="00E836FB" w:rsidRDefault="00E836FB">
            <w:pPr>
              <w:rPr>
                <w:rFonts w:ascii="宋体"/>
              </w:rPr>
            </w:pPr>
          </w:p>
        </w:tc>
        <w:tc>
          <w:tcPr>
            <w:tcW w:w="5" w:type="pct"/>
            <w:shd w:val="clear" w:color="auto" w:fill="auto"/>
            <w:vAlign w:val="bottom"/>
          </w:tcPr>
          <w:p w14:paraId="5F2C998A" w14:textId="77777777" w:rsidR="00E836FB" w:rsidRDefault="00E836FB">
            <w:pPr>
              <w:rPr>
                <w:rFonts w:ascii="宋体"/>
              </w:rPr>
            </w:pPr>
          </w:p>
        </w:tc>
        <w:tc>
          <w:tcPr>
            <w:tcW w:w="50" w:type="pct"/>
            <w:shd w:val="clear" w:color="auto" w:fill="auto"/>
            <w:vAlign w:val="bottom"/>
          </w:tcPr>
          <w:p w14:paraId="5F2C998B" w14:textId="77777777" w:rsidR="00E836FB" w:rsidRDefault="00E836FB">
            <w:pPr>
              <w:rPr>
                <w:rFonts w:ascii="宋体"/>
              </w:rPr>
            </w:pPr>
          </w:p>
        </w:tc>
        <w:tc>
          <w:tcPr>
            <w:tcW w:w="127" w:type="pct"/>
            <w:shd w:val="clear" w:color="auto" w:fill="auto"/>
            <w:vAlign w:val="bottom"/>
          </w:tcPr>
          <w:p w14:paraId="5F2C998C" w14:textId="77777777" w:rsidR="00E836FB" w:rsidRDefault="00E836FB">
            <w:pPr>
              <w:rPr>
                <w:rFonts w:ascii="宋体"/>
              </w:rPr>
            </w:pPr>
          </w:p>
        </w:tc>
        <w:tc>
          <w:tcPr>
            <w:tcW w:w="5" w:type="pct"/>
            <w:shd w:val="clear" w:color="auto" w:fill="auto"/>
            <w:vAlign w:val="bottom"/>
          </w:tcPr>
          <w:p w14:paraId="5F2C998D" w14:textId="77777777" w:rsidR="00E836FB" w:rsidRDefault="00E836FB">
            <w:pPr>
              <w:rPr>
                <w:rFonts w:ascii="宋体"/>
              </w:rPr>
            </w:pPr>
          </w:p>
        </w:tc>
        <w:tc>
          <w:tcPr>
            <w:tcW w:w="50" w:type="pct"/>
            <w:shd w:val="clear" w:color="auto" w:fill="auto"/>
            <w:vAlign w:val="bottom"/>
          </w:tcPr>
          <w:p w14:paraId="5F2C998E" w14:textId="77777777" w:rsidR="00E836FB" w:rsidRDefault="00E836FB">
            <w:pPr>
              <w:rPr>
                <w:rFonts w:ascii="宋体"/>
              </w:rPr>
            </w:pPr>
          </w:p>
        </w:tc>
        <w:tc>
          <w:tcPr>
            <w:tcW w:w="127" w:type="pct"/>
            <w:shd w:val="clear" w:color="auto" w:fill="auto"/>
            <w:vAlign w:val="bottom"/>
          </w:tcPr>
          <w:p w14:paraId="5F2C998F" w14:textId="77777777" w:rsidR="00E836FB" w:rsidRDefault="00E836FB">
            <w:pPr>
              <w:rPr>
                <w:rFonts w:ascii="宋体"/>
              </w:rPr>
            </w:pPr>
          </w:p>
        </w:tc>
        <w:tc>
          <w:tcPr>
            <w:tcW w:w="5" w:type="pct"/>
            <w:shd w:val="clear" w:color="auto" w:fill="auto"/>
            <w:vAlign w:val="bottom"/>
          </w:tcPr>
          <w:p w14:paraId="5F2C9990" w14:textId="77777777" w:rsidR="00E836FB" w:rsidRDefault="00E836FB">
            <w:pPr>
              <w:rPr>
                <w:rFonts w:ascii="宋体"/>
              </w:rPr>
            </w:pPr>
          </w:p>
        </w:tc>
        <w:tc>
          <w:tcPr>
            <w:tcW w:w="50" w:type="pct"/>
            <w:shd w:val="clear" w:color="auto" w:fill="auto"/>
            <w:vAlign w:val="bottom"/>
          </w:tcPr>
          <w:p w14:paraId="5F2C9991" w14:textId="77777777" w:rsidR="00E836FB" w:rsidRDefault="00E836FB">
            <w:pPr>
              <w:rPr>
                <w:rFonts w:ascii="宋体"/>
              </w:rPr>
            </w:pPr>
          </w:p>
        </w:tc>
        <w:tc>
          <w:tcPr>
            <w:tcW w:w="1002" w:type="pct"/>
            <w:shd w:val="clear" w:color="auto" w:fill="auto"/>
            <w:vAlign w:val="bottom"/>
          </w:tcPr>
          <w:p w14:paraId="5F2C9992" w14:textId="77777777" w:rsidR="00E836FB" w:rsidRDefault="00E836FB">
            <w:pPr>
              <w:rPr>
                <w:rFonts w:ascii="宋体"/>
              </w:rPr>
            </w:pPr>
          </w:p>
        </w:tc>
        <w:tc>
          <w:tcPr>
            <w:tcW w:w="5" w:type="pct"/>
            <w:shd w:val="clear" w:color="auto" w:fill="auto"/>
            <w:vAlign w:val="bottom"/>
          </w:tcPr>
          <w:p w14:paraId="5F2C9993" w14:textId="77777777" w:rsidR="00E836FB" w:rsidRDefault="00E836FB">
            <w:pPr>
              <w:rPr>
                <w:rFonts w:ascii="宋体"/>
              </w:rPr>
            </w:pPr>
          </w:p>
        </w:tc>
        <w:tc>
          <w:tcPr>
            <w:tcW w:w="5" w:type="pct"/>
            <w:shd w:val="clear" w:color="auto" w:fill="auto"/>
            <w:vAlign w:val="bottom"/>
          </w:tcPr>
          <w:p w14:paraId="5F2C9994" w14:textId="77777777" w:rsidR="00E836FB" w:rsidRDefault="00E836FB">
            <w:pPr>
              <w:rPr>
                <w:rFonts w:ascii="宋体"/>
              </w:rPr>
            </w:pPr>
          </w:p>
        </w:tc>
        <w:tc>
          <w:tcPr>
            <w:tcW w:w="119" w:type="pct"/>
            <w:shd w:val="clear" w:color="auto" w:fill="auto"/>
            <w:vAlign w:val="bottom"/>
          </w:tcPr>
          <w:p w14:paraId="5F2C9995" w14:textId="77777777" w:rsidR="00E836FB" w:rsidRDefault="00E836FB">
            <w:pPr>
              <w:rPr>
                <w:rFonts w:ascii="宋体"/>
              </w:rPr>
            </w:pPr>
          </w:p>
        </w:tc>
        <w:tc>
          <w:tcPr>
            <w:tcW w:w="5" w:type="pct"/>
            <w:shd w:val="clear" w:color="auto" w:fill="auto"/>
            <w:vAlign w:val="bottom"/>
          </w:tcPr>
          <w:p w14:paraId="5F2C9996" w14:textId="77777777" w:rsidR="00E836FB" w:rsidRDefault="00E836FB">
            <w:pPr>
              <w:rPr>
                <w:rFonts w:ascii="宋体"/>
              </w:rPr>
            </w:pPr>
          </w:p>
        </w:tc>
      </w:tr>
      <w:tr w:rsidR="00E836FB" w14:paraId="5F2C99A3" w14:textId="77777777">
        <w:tc>
          <w:tcPr>
            <w:tcW w:w="0" w:type="auto"/>
            <w:gridSpan w:val="3"/>
            <w:shd w:val="clear" w:color="auto" w:fill="auto"/>
            <w:tcMar>
              <w:top w:w="40" w:type="dxa"/>
              <w:left w:w="20" w:type="dxa"/>
              <w:bottom w:w="40" w:type="dxa"/>
              <w:right w:w="20" w:type="dxa"/>
            </w:tcMar>
            <w:vAlign w:val="bottom"/>
          </w:tcPr>
          <w:p w14:paraId="5F2C9998" w14:textId="77777777" w:rsidR="00E836FB" w:rsidRDefault="00994958">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5F2C9999" w14:textId="77777777" w:rsidR="00E836FB" w:rsidRDefault="00994958">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vAlign w:val="bottom"/>
          </w:tcPr>
          <w:p w14:paraId="5F2C999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9B" w14:textId="77777777" w:rsidR="00E836FB" w:rsidRDefault="00994958">
            <w:pPr>
              <w:textAlignment w:val="bottom"/>
            </w:pPr>
            <w:r>
              <w:rPr>
                <w:rFonts w:ascii="Arial" w:eastAsia="宋体" w:hAnsi="Arial" w:cs="Arial"/>
                <w:color w:val="000000"/>
                <w:sz w:val="14"/>
                <w:szCs w:val="14"/>
              </w:rPr>
              <w:t>Accelerated filer </w:t>
            </w:r>
          </w:p>
        </w:tc>
        <w:tc>
          <w:tcPr>
            <w:tcW w:w="0" w:type="auto"/>
            <w:gridSpan w:val="3"/>
            <w:shd w:val="clear" w:color="auto" w:fill="auto"/>
            <w:tcMar>
              <w:top w:w="40" w:type="dxa"/>
              <w:left w:w="20" w:type="dxa"/>
              <w:bottom w:w="40" w:type="dxa"/>
              <w:right w:w="20" w:type="dxa"/>
            </w:tcMar>
            <w:vAlign w:val="bottom"/>
          </w:tcPr>
          <w:p w14:paraId="5F2C999C" w14:textId="77777777" w:rsidR="00E836FB" w:rsidRDefault="00994958">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vAlign w:val="bottom"/>
          </w:tcPr>
          <w:p w14:paraId="5F2C999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9E" w14:textId="77777777" w:rsidR="00E836FB" w:rsidRDefault="00994958">
            <w:pPr>
              <w:textAlignment w:val="bottom"/>
            </w:pPr>
            <w:r>
              <w:rPr>
                <w:rFonts w:ascii="Arial" w:eastAsia="宋体" w:hAnsi="Arial" w:cs="Arial"/>
                <w:color w:val="000000"/>
                <w:sz w:val="14"/>
                <w:szCs w:val="14"/>
              </w:rPr>
              <w:t>Non-accelerated filer  </w:t>
            </w:r>
          </w:p>
        </w:tc>
        <w:tc>
          <w:tcPr>
            <w:tcW w:w="0" w:type="auto"/>
            <w:gridSpan w:val="3"/>
            <w:shd w:val="clear" w:color="auto" w:fill="auto"/>
            <w:tcMar>
              <w:top w:w="40" w:type="dxa"/>
              <w:left w:w="20" w:type="dxa"/>
              <w:bottom w:w="40" w:type="dxa"/>
              <w:right w:w="20" w:type="dxa"/>
            </w:tcMar>
            <w:vAlign w:val="bottom"/>
          </w:tcPr>
          <w:p w14:paraId="5F2C999F" w14:textId="77777777" w:rsidR="00E836FB" w:rsidRDefault="00994958">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vAlign w:val="bottom"/>
          </w:tcPr>
          <w:p w14:paraId="5F2C99A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9A1" w14:textId="77777777" w:rsidR="00E836FB" w:rsidRDefault="00994958">
            <w:pPr>
              <w:textAlignment w:val="bottom"/>
            </w:pPr>
            <w:r>
              <w:rPr>
                <w:rFonts w:ascii="Arial" w:eastAsia="宋体" w:hAnsi="Arial" w:cs="Arial"/>
                <w:color w:val="000000"/>
                <w:sz w:val="14"/>
                <w:szCs w:val="14"/>
              </w:rPr>
              <w:t>Smaller reporting company  </w:t>
            </w:r>
          </w:p>
        </w:tc>
        <w:tc>
          <w:tcPr>
            <w:tcW w:w="0" w:type="auto"/>
            <w:gridSpan w:val="3"/>
            <w:shd w:val="clear" w:color="auto" w:fill="auto"/>
            <w:tcMar>
              <w:top w:w="40" w:type="dxa"/>
              <w:left w:w="20" w:type="dxa"/>
              <w:bottom w:w="40" w:type="dxa"/>
              <w:right w:w="20" w:type="dxa"/>
            </w:tcMar>
            <w:vAlign w:val="bottom"/>
          </w:tcPr>
          <w:p w14:paraId="5F2C99A2" w14:textId="77777777" w:rsidR="00E836FB" w:rsidRDefault="00994958">
            <w:pPr>
              <w:textAlignment w:val="bottom"/>
            </w:pPr>
            <w:r>
              <w:rPr>
                <w:rFonts w:ascii="Arial" w:eastAsia="宋体" w:hAnsi="Arial" w:cs="Arial"/>
                <w:color w:val="000000"/>
                <w:sz w:val="14"/>
                <w:szCs w:val="14"/>
              </w:rPr>
              <w:t>☐</w:t>
            </w:r>
          </w:p>
        </w:tc>
      </w:tr>
      <w:tr w:rsidR="00E836FB" w14:paraId="5F2C99AC" w14:textId="77777777">
        <w:tc>
          <w:tcPr>
            <w:tcW w:w="0" w:type="auto"/>
            <w:gridSpan w:val="3"/>
            <w:shd w:val="clear" w:color="auto" w:fill="auto"/>
            <w:tcMar>
              <w:top w:w="40" w:type="dxa"/>
              <w:left w:w="155" w:type="dxa"/>
              <w:bottom w:w="40" w:type="dxa"/>
              <w:right w:w="20" w:type="dxa"/>
            </w:tcMar>
            <w:vAlign w:val="bottom"/>
          </w:tcPr>
          <w:p w14:paraId="5F2C99A4" w14:textId="77777777" w:rsidR="00E836FB" w:rsidRDefault="00994958">
            <w:pPr>
              <w:textAlignment w:val="bottom"/>
            </w:pPr>
            <w:r>
              <w:rPr>
                <w:rFonts w:ascii="Arial" w:eastAsia="宋体" w:hAnsi="Arial" w:cs="Arial"/>
                <w:color w:val="000000"/>
                <w:sz w:val="14"/>
                <w:szCs w:val="14"/>
              </w:rPr>
              <w:t>Emerging growth company </w:t>
            </w:r>
          </w:p>
        </w:tc>
        <w:tc>
          <w:tcPr>
            <w:tcW w:w="0" w:type="auto"/>
            <w:gridSpan w:val="3"/>
            <w:shd w:val="clear" w:color="auto" w:fill="auto"/>
            <w:tcMar>
              <w:top w:w="40" w:type="dxa"/>
              <w:left w:w="20" w:type="dxa"/>
              <w:bottom w:w="40" w:type="dxa"/>
              <w:right w:w="20" w:type="dxa"/>
            </w:tcMar>
            <w:vAlign w:val="bottom"/>
          </w:tcPr>
          <w:p w14:paraId="5F2C99A5" w14:textId="77777777" w:rsidR="00E836FB" w:rsidRDefault="00994958">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vAlign w:val="bottom"/>
          </w:tcPr>
          <w:p w14:paraId="5F2C99A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A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A9" w14:textId="77777777" w:rsidR="00E836FB" w:rsidRDefault="00E836FB">
            <w:pPr>
              <w:rPr>
                <w:rFonts w:ascii="宋体"/>
              </w:rPr>
            </w:pPr>
          </w:p>
        </w:tc>
        <w:tc>
          <w:tcPr>
            <w:tcW w:w="0" w:type="auto"/>
            <w:gridSpan w:val="12"/>
            <w:shd w:val="clear" w:color="auto" w:fill="auto"/>
            <w:tcMar>
              <w:top w:w="0" w:type="dxa"/>
              <w:left w:w="20" w:type="dxa"/>
              <w:bottom w:w="0" w:type="dxa"/>
              <w:right w:w="20" w:type="dxa"/>
            </w:tcMar>
            <w:vAlign w:val="bottom"/>
          </w:tcPr>
          <w:p w14:paraId="5F2C99A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AB" w14:textId="77777777" w:rsidR="00E836FB" w:rsidRDefault="00E836FB">
            <w:pPr>
              <w:rPr>
                <w:rFonts w:ascii="宋体"/>
              </w:rPr>
            </w:pPr>
          </w:p>
        </w:tc>
      </w:tr>
    </w:tbl>
    <w:p w14:paraId="5F2C99AD" w14:textId="77777777" w:rsidR="00E836FB" w:rsidRDefault="00994958">
      <w:pPr>
        <w:ind w:firstLine="450"/>
      </w:pPr>
      <w:r>
        <w:rPr>
          <w:rFonts w:ascii="Arial" w:eastAsia="宋体" w:hAnsi="Arial" w:cs="Arial"/>
          <w:color w:val="000000"/>
          <w:sz w:val="13"/>
          <w:szCs w:val="13"/>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3"/>
          <w:szCs w:val="13"/>
        </w:rPr>
        <w:t>¨</w:t>
      </w:r>
    </w:p>
    <w:p w14:paraId="5F2C99AE" w14:textId="77777777" w:rsidR="00E836FB" w:rsidRDefault="00994958">
      <w:pPr>
        <w:spacing w:before="50"/>
        <w:ind w:firstLine="450"/>
        <w:jc w:val="both"/>
      </w:pPr>
      <w:r>
        <w:rPr>
          <w:rFonts w:ascii="Arial" w:eastAsia="宋体" w:hAnsi="Arial" w:cs="Arial"/>
          <w:color w:val="000000"/>
          <w:sz w:val="13"/>
          <w:szCs w:val="13"/>
        </w:rPr>
        <w:t>Ind</w:t>
      </w:r>
      <w:r>
        <w:rPr>
          <w:rFonts w:ascii="Arial" w:eastAsia="宋体" w:hAnsi="Arial" w:cs="Arial"/>
          <w:color w:val="000000"/>
          <w:sz w:val="13"/>
          <w:szCs w:val="13"/>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Arial" w:eastAsia="宋体" w:hAnsi="Arial" w:cs="Arial"/>
          <w:color w:val="000000"/>
          <w:sz w:val="13"/>
          <w:szCs w:val="13"/>
        </w:rPr>
        <w:t xml:space="preserve">registered public accounting firm that prepared or issued its audit report. </w:t>
      </w:r>
      <w:r>
        <w:rPr>
          <w:rFonts w:ascii="Arial Unicode MS" w:eastAsia="Arial Unicode MS" w:hAnsi="Arial Unicode MS" w:cs="Arial Unicode MS" w:hint="eastAsia"/>
          <w:color w:val="000000"/>
          <w:sz w:val="13"/>
          <w:szCs w:val="13"/>
        </w:rPr>
        <w:t>☒</w:t>
      </w:r>
    </w:p>
    <w:p w14:paraId="5F2C99AF" w14:textId="77777777" w:rsidR="00E836FB" w:rsidRDefault="00994958">
      <w:pPr>
        <w:spacing w:before="50"/>
        <w:ind w:firstLine="450"/>
        <w:jc w:val="both"/>
      </w:pPr>
      <w:r>
        <w:rPr>
          <w:rFonts w:ascii="Arial" w:eastAsia="宋体" w:hAnsi="Arial" w:cs="Arial"/>
          <w:color w:val="000000"/>
          <w:sz w:val="13"/>
          <w:szCs w:val="13"/>
        </w:rPr>
        <w:t xml:space="preserve">Indicate by check mark whether the registrant is a shell company (as defined in Rule 12b-2 of the Act).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xml:space="preserve"> </w:t>
      </w:r>
    </w:p>
    <w:p w14:paraId="5F2C99B0" w14:textId="77777777" w:rsidR="00E836FB" w:rsidRDefault="00994958">
      <w:pPr>
        <w:spacing w:before="50"/>
        <w:ind w:firstLine="450"/>
      </w:pPr>
      <w:r>
        <w:rPr>
          <w:rFonts w:ascii="Arial" w:eastAsia="宋体" w:hAnsi="Arial" w:cs="Arial"/>
          <w:color w:val="000000"/>
          <w:sz w:val="13"/>
          <w:szCs w:val="13"/>
        </w:rPr>
        <w:t>The aggregate market value of the voting and non-voting common equity h</w:t>
      </w:r>
      <w:r>
        <w:rPr>
          <w:rFonts w:ascii="Arial" w:eastAsia="宋体" w:hAnsi="Arial" w:cs="Arial"/>
          <w:color w:val="000000"/>
          <w:sz w:val="13"/>
          <w:szCs w:val="13"/>
        </w:rPr>
        <w:t>eld by non-affiliates computed by reference to the per share price ($82.28) at which the common equity was last sold as of the last business day of the registrant’s most recently completed second fiscal quarter (June 30, 2021) was approximately $28.20 bill</w:t>
      </w:r>
      <w:r>
        <w:rPr>
          <w:rFonts w:ascii="Arial" w:eastAsia="宋体" w:hAnsi="Arial" w:cs="Arial"/>
          <w:color w:val="000000"/>
          <w:sz w:val="13"/>
          <w:szCs w:val="13"/>
        </w:rPr>
        <w:t xml:space="preserve">ion. </w:t>
      </w:r>
    </w:p>
    <w:p w14:paraId="5F2C99B1" w14:textId="77777777" w:rsidR="00E836FB" w:rsidRDefault="00994958">
      <w:pPr>
        <w:spacing w:before="50"/>
        <w:ind w:firstLine="450"/>
      </w:pPr>
      <w:r>
        <w:rPr>
          <w:rFonts w:ascii="Arial" w:eastAsia="宋体" w:hAnsi="Arial" w:cs="Arial"/>
          <w:color w:val="000000"/>
          <w:sz w:val="13"/>
          <w:szCs w:val="13"/>
        </w:rPr>
        <w:t>The number of shares of the registrant’s common stock outstanding as of January 31, 2022 was 366,067,339.</w:t>
      </w:r>
    </w:p>
    <w:p w14:paraId="5F2C99B2" w14:textId="77777777" w:rsidR="00E836FB" w:rsidRDefault="00994958">
      <w:pPr>
        <w:spacing w:before="50"/>
        <w:ind w:firstLine="450"/>
      </w:pPr>
      <w:r>
        <w:rPr>
          <w:rFonts w:ascii="Arial" w:eastAsia="宋体" w:hAnsi="Arial" w:cs="Arial"/>
          <w:color w:val="000000"/>
          <w:sz w:val="13"/>
          <w:szCs w:val="13"/>
        </w:rPr>
        <w:t xml:space="preserve">Portions of the following documents are incorporated by reference into Parts of this Report on Form 10-K, to the extent noted in such </w:t>
      </w:r>
      <w:r>
        <w:rPr>
          <w:rFonts w:ascii="Arial" w:eastAsia="宋体" w:hAnsi="Arial" w:cs="Arial"/>
          <w:color w:val="000000"/>
          <w:sz w:val="13"/>
          <w:szCs w:val="13"/>
        </w:rPr>
        <w:t>Parts, as indicated below:</w:t>
      </w:r>
    </w:p>
    <w:p w14:paraId="5F2C99B3" w14:textId="77777777" w:rsidR="00E836FB" w:rsidRDefault="00994958">
      <w:pPr>
        <w:spacing w:before="50"/>
        <w:ind w:firstLine="450"/>
      </w:pPr>
      <w:r>
        <w:rPr>
          <w:rFonts w:ascii="Arial" w:eastAsia="宋体" w:hAnsi="Arial" w:cs="Arial"/>
          <w:color w:val="000000"/>
          <w:sz w:val="13"/>
          <w:szCs w:val="13"/>
        </w:rPr>
        <w:t>(1) The registrant’s definitive Proxy Statement for the 2022 Annual Meeting of Shareholders to be filed pursuant to Regulation 14A on or before May 2, 2022 (Part III).</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E836FB" w14:paraId="5F2C99B7" w14:textId="77777777">
        <w:tc>
          <w:tcPr>
            <w:tcW w:w="50" w:type="pct"/>
            <w:shd w:val="clear" w:color="auto" w:fill="auto"/>
            <w:vAlign w:val="bottom"/>
          </w:tcPr>
          <w:p w14:paraId="5F2C99B4" w14:textId="77777777" w:rsidR="00E836FB" w:rsidRDefault="00E836FB">
            <w:pPr>
              <w:rPr>
                <w:rFonts w:ascii="宋体"/>
              </w:rPr>
            </w:pPr>
          </w:p>
        </w:tc>
        <w:tc>
          <w:tcPr>
            <w:tcW w:w="4945" w:type="pct"/>
            <w:shd w:val="clear" w:color="auto" w:fill="auto"/>
            <w:vAlign w:val="bottom"/>
          </w:tcPr>
          <w:p w14:paraId="5F2C99B5" w14:textId="77777777" w:rsidR="00E836FB" w:rsidRDefault="00E836FB">
            <w:pPr>
              <w:rPr>
                <w:rFonts w:ascii="宋体"/>
              </w:rPr>
            </w:pPr>
          </w:p>
        </w:tc>
        <w:tc>
          <w:tcPr>
            <w:tcW w:w="5" w:type="pct"/>
            <w:shd w:val="clear" w:color="auto" w:fill="auto"/>
            <w:vAlign w:val="bottom"/>
          </w:tcPr>
          <w:p w14:paraId="5F2C99B6" w14:textId="77777777" w:rsidR="00E836FB" w:rsidRDefault="00E836FB">
            <w:pPr>
              <w:rPr>
                <w:rFonts w:ascii="宋体"/>
              </w:rPr>
            </w:pPr>
          </w:p>
        </w:tc>
      </w:tr>
      <w:tr w:rsidR="00E836FB" w14:paraId="5F2C99B9"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F2C99B8" w14:textId="77777777" w:rsidR="00E836FB" w:rsidRDefault="00E836FB">
            <w:pPr>
              <w:rPr>
                <w:rFonts w:ascii="宋体"/>
              </w:rPr>
            </w:pPr>
          </w:p>
        </w:tc>
      </w:tr>
    </w:tbl>
    <w:p w14:paraId="5F2C99BA" w14:textId="77777777" w:rsidR="00E836FB" w:rsidRDefault="00E836FB">
      <w:pPr>
        <w:ind w:firstLine="450"/>
      </w:pPr>
    </w:p>
    <w:p w14:paraId="5F2C99BB" w14:textId="77777777" w:rsidR="00E836FB" w:rsidRDefault="00E836FB">
      <w:pPr>
        <w:ind w:firstLine="450"/>
      </w:pPr>
    </w:p>
    <w:p w14:paraId="5F2C99BC" w14:textId="77777777" w:rsidR="00E836FB" w:rsidRDefault="00994958">
      <w:r>
        <w:pict w14:anchorId="5F2D6D84">
          <v:rect id="_x0000_i1025" style="width:415.3pt;height:1.5pt" o:hralign="center" o:hrstd="t" o:hr="t" fillcolor="#a0a0a0" stroked="f"/>
        </w:pict>
      </w:r>
    </w:p>
    <w:p w14:paraId="5F2C99BD" w14:textId="77777777" w:rsidR="00E836FB" w:rsidRDefault="00E836FB">
      <w:pPr>
        <w:ind w:firstLine="450"/>
      </w:pPr>
    </w:p>
    <w:p w14:paraId="5F2C99BE" w14:textId="77777777" w:rsidR="00E836FB" w:rsidRDefault="00994958">
      <w:pPr>
        <w:ind w:firstLine="450"/>
        <w:jc w:val="center"/>
      </w:pPr>
      <w:r>
        <w:rPr>
          <w:rFonts w:ascii="Arial" w:eastAsia="宋体" w:hAnsi="Arial" w:cs="Arial"/>
          <w:b/>
          <w:bCs/>
          <w:color w:val="000000"/>
          <w:sz w:val="20"/>
          <w:szCs w:val="20"/>
        </w:rPr>
        <w:t>STATE STREET CORPORATION</w:t>
      </w:r>
    </w:p>
    <w:p w14:paraId="5F2C99BF" w14:textId="77777777" w:rsidR="00E836FB" w:rsidRDefault="00994958">
      <w:pPr>
        <w:ind w:firstLine="450"/>
        <w:jc w:val="center"/>
      </w:pPr>
      <w:r>
        <w:rPr>
          <w:rFonts w:ascii="Arial" w:eastAsia="宋体" w:hAnsi="Arial" w:cs="Arial"/>
          <w:b/>
          <w:bCs/>
          <w:color w:val="000000"/>
          <w:sz w:val="20"/>
          <w:szCs w:val="20"/>
        </w:rPr>
        <w:t xml:space="preserve">ANNUAL REPORT ON FORM </w:t>
      </w:r>
      <w:r>
        <w:rPr>
          <w:rFonts w:ascii="Arial" w:eastAsia="宋体" w:hAnsi="Arial" w:cs="Arial"/>
          <w:b/>
          <w:bCs/>
          <w:color w:val="000000"/>
          <w:sz w:val="20"/>
          <w:szCs w:val="20"/>
        </w:rPr>
        <w:t>10-K FOR THE YEAR ENDED</w:t>
      </w:r>
    </w:p>
    <w:p w14:paraId="5F2C99C0" w14:textId="77777777" w:rsidR="00E836FB" w:rsidRDefault="00994958">
      <w:pPr>
        <w:ind w:firstLine="450"/>
        <w:jc w:val="center"/>
      </w:pPr>
      <w:r>
        <w:rPr>
          <w:rFonts w:ascii="Arial" w:eastAsia="宋体" w:hAnsi="Arial" w:cs="Arial"/>
          <w:b/>
          <w:bCs/>
          <w:color w:val="000000"/>
          <w:sz w:val="20"/>
          <w:szCs w:val="20"/>
        </w:rPr>
        <w:t xml:space="preserve">December 31, 2021 </w:t>
      </w:r>
    </w:p>
    <w:p w14:paraId="5F2C99C1" w14:textId="77777777" w:rsidR="00E836FB" w:rsidRDefault="00E836FB">
      <w:pPr>
        <w:ind w:firstLine="450"/>
        <w:jc w:val="center"/>
      </w:pPr>
    </w:p>
    <w:p w14:paraId="5F2C99C2" w14:textId="77777777" w:rsidR="00E836FB" w:rsidRDefault="00994958">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74"/>
        <w:gridCol w:w="1303"/>
        <w:gridCol w:w="36"/>
        <w:gridCol w:w="68"/>
        <w:gridCol w:w="5941"/>
        <w:gridCol w:w="37"/>
        <w:gridCol w:w="68"/>
        <w:gridCol w:w="626"/>
        <w:gridCol w:w="36"/>
      </w:tblGrid>
      <w:tr w:rsidR="00E836FB" w14:paraId="5F2C99CC" w14:textId="77777777">
        <w:tc>
          <w:tcPr>
            <w:tcW w:w="50" w:type="pct"/>
            <w:shd w:val="clear" w:color="auto" w:fill="auto"/>
            <w:vAlign w:val="bottom"/>
          </w:tcPr>
          <w:p w14:paraId="5F2C99C3" w14:textId="77777777" w:rsidR="00E836FB" w:rsidRDefault="00E836FB">
            <w:pPr>
              <w:rPr>
                <w:rFonts w:ascii="宋体"/>
              </w:rPr>
            </w:pPr>
          </w:p>
        </w:tc>
        <w:tc>
          <w:tcPr>
            <w:tcW w:w="808" w:type="pct"/>
            <w:shd w:val="clear" w:color="auto" w:fill="auto"/>
            <w:vAlign w:val="bottom"/>
          </w:tcPr>
          <w:p w14:paraId="5F2C99C4" w14:textId="77777777" w:rsidR="00E836FB" w:rsidRDefault="00E836FB">
            <w:pPr>
              <w:rPr>
                <w:rFonts w:ascii="宋体"/>
              </w:rPr>
            </w:pPr>
          </w:p>
        </w:tc>
        <w:tc>
          <w:tcPr>
            <w:tcW w:w="5" w:type="pct"/>
            <w:shd w:val="clear" w:color="auto" w:fill="auto"/>
            <w:vAlign w:val="bottom"/>
          </w:tcPr>
          <w:p w14:paraId="5F2C99C5" w14:textId="77777777" w:rsidR="00E836FB" w:rsidRDefault="00E836FB">
            <w:pPr>
              <w:rPr>
                <w:rFonts w:ascii="宋体"/>
              </w:rPr>
            </w:pPr>
          </w:p>
        </w:tc>
        <w:tc>
          <w:tcPr>
            <w:tcW w:w="50" w:type="pct"/>
            <w:shd w:val="clear" w:color="auto" w:fill="auto"/>
            <w:vAlign w:val="bottom"/>
          </w:tcPr>
          <w:p w14:paraId="5F2C99C6" w14:textId="77777777" w:rsidR="00E836FB" w:rsidRDefault="00E836FB">
            <w:pPr>
              <w:rPr>
                <w:rFonts w:ascii="宋体"/>
              </w:rPr>
            </w:pPr>
          </w:p>
        </w:tc>
        <w:tc>
          <w:tcPr>
            <w:tcW w:w="3635" w:type="pct"/>
            <w:shd w:val="clear" w:color="auto" w:fill="auto"/>
            <w:vAlign w:val="bottom"/>
          </w:tcPr>
          <w:p w14:paraId="5F2C99C7" w14:textId="77777777" w:rsidR="00E836FB" w:rsidRDefault="00E836FB">
            <w:pPr>
              <w:rPr>
                <w:rFonts w:ascii="宋体"/>
              </w:rPr>
            </w:pPr>
          </w:p>
        </w:tc>
        <w:tc>
          <w:tcPr>
            <w:tcW w:w="5" w:type="pct"/>
            <w:shd w:val="clear" w:color="auto" w:fill="auto"/>
            <w:vAlign w:val="bottom"/>
          </w:tcPr>
          <w:p w14:paraId="5F2C99C8" w14:textId="77777777" w:rsidR="00E836FB" w:rsidRDefault="00E836FB">
            <w:pPr>
              <w:rPr>
                <w:rFonts w:ascii="宋体"/>
              </w:rPr>
            </w:pPr>
          </w:p>
        </w:tc>
        <w:tc>
          <w:tcPr>
            <w:tcW w:w="50" w:type="pct"/>
            <w:shd w:val="clear" w:color="auto" w:fill="auto"/>
            <w:vAlign w:val="bottom"/>
          </w:tcPr>
          <w:p w14:paraId="5F2C99C9" w14:textId="77777777" w:rsidR="00E836FB" w:rsidRDefault="00E836FB">
            <w:pPr>
              <w:rPr>
                <w:rFonts w:ascii="宋体"/>
              </w:rPr>
            </w:pPr>
          </w:p>
        </w:tc>
        <w:tc>
          <w:tcPr>
            <w:tcW w:w="391" w:type="pct"/>
            <w:shd w:val="clear" w:color="auto" w:fill="auto"/>
            <w:vAlign w:val="bottom"/>
          </w:tcPr>
          <w:p w14:paraId="5F2C99CA" w14:textId="77777777" w:rsidR="00E836FB" w:rsidRDefault="00E836FB">
            <w:pPr>
              <w:rPr>
                <w:rFonts w:ascii="宋体"/>
              </w:rPr>
            </w:pPr>
          </w:p>
        </w:tc>
        <w:tc>
          <w:tcPr>
            <w:tcW w:w="5" w:type="pct"/>
            <w:shd w:val="clear" w:color="auto" w:fill="auto"/>
            <w:vAlign w:val="bottom"/>
          </w:tcPr>
          <w:p w14:paraId="5F2C99CB" w14:textId="77777777" w:rsidR="00E836FB" w:rsidRDefault="00E836FB">
            <w:pPr>
              <w:rPr>
                <w:rFonts w:ascii="宋体"/>
              </w:rPr>
            </w:pPr>
          </w:p>
        </w:tc>
      </w:tr>
      <w:tr w:rsidR="00E836FB" w14:paraId="5F2C99D0" w14:textId="77777777">
        <w:tc>
          <w:tcPr>
            <w:tcW w:w="0" w:type="auto"/>
            <w:gridSpan w:val="3"/>
            <w:shd w:val="clear" w:color="auto" w:fill="auto"/>
            <w:tcMar>
              <w:top w:w="0" w:type="dxa"/>
              <w:left w:w="20" w:type="dxa"/>
              <w:bottom w:w="0" w:type="dxa"/>
              <w:right w:w="20" w:type="dxa"/>
            </w:tcMar>
            <w:vAlign w:val="bottom"/>
          </w:tcPr>
          <w:p w14:paraId="5F2C99C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C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C99CF" w14:textId="77777777" w:rsidR="00E836FB" w:rsidRDefault="00994958">
            <w:pPr>
              <w:jc w:val="right"/>
              <w:textAlignment w:val="center"/>
            </w:pPr>
            <w:r>
              <w:rPr>
                <w:rFonts w:ascii="Arial" w:eastAsia="宋体" w:hAnsi="Arial" w:cs="Arial"/>
                <w:color w:val="000000"/>
                <w:sz w:val="18"/>
                <w:szCs w:val="18"/>
                <w:u w:val="single"/>
              </w:rPr>
              <w:t>Page</w:t>
            </w:r>
          </w:p>
        </w:tc>
      </w:tr>
      <w:tr w:rsidR="00E836FB" w14:paraId="5F2C99D4" w14:textId="77777777">
        <w:tc>
          <w:tcPr>
            <w:tcW w:w="0" w:type="auto"/>
            <w:gridSpan w:val="3"/>
            <w:shd w:val="clear" w:color="auto" w:fill="auto"/>
            <w:tcMar>
              <w:top w:w="0" w:type="dxa"/>
              <w:left w:w="20" w:type="dxa"/>
              <w:bottom w:w="0" w:type="dxa"/>
              <w:right w:w="20" w:type="dxa"/>
            </w:tcMar>
            <w:vAlign w:val="bottom"/>
          </w:tcPr>
          <w:p w14:paraId="5F2C99D1" w14:textId="77777777" w:rsidR="00E836FB" w:rsidRDefault="00E836FB">
            <w:pPr>
              <w:rPr>
                <w:rFonts w:ascii="宋体"/>
              </w:rPr>
            </w:pPr>
          </w:p>
        </w:tc>
        <w:tc>
          <w:tcPr>
            <w:tcW w:w="0" w:type="auto"/>
            <w:gridSpan w:val="3"/>
            <w:shd w:val="clear" w:color="auto" w:fill="auto"/>
            <w:tcMar>
              <w:top w:w="40" w:type="dxa"/>
              <w:left w:w="155" w:type="dxa"/>
              <w:bottom w:w="40" w:type="dxa"/>
              <w:right w:w="20" w:type="dxa"/>
            </w:tcMar>
            <w:vAlign w:val="center"/>
          </w:tcPr>
          <w:p w14:paraId="5F2C99D2" w14:textId="77777777" w:rsidR="00E836FB" w:rsidRDefault="00994958">
            <w:pPr>
              <w:textAlignment w:val="center"/>
            </w:pPr>
            <w:r>
              <w:rPr>
                <w:rFonts w:ascii="Arial" w:eastAsia="宋体" w:hAnsi="Arial" w:cs="Arial"/>
                <w:color w:val="000000"/>
                <w:sz w:val="18"/>
                <w:szCs w:val="18"/>
              </w:rPr>
              <w:t>Forward-Looking Statements</w:t>
            </w:r>
          </w:p>
        </w:tc>
        <w:tc>
          <w:tcPr>
            <w:tcW w:w="0" w:type="auto"/>
            <w:gridSpan w:val="3"/>
            <w:shd w:val="clear" w:color="auto" w:fill="auto"/>
            <w:tcMar>
              <w:top w:w="40" w:type="dxa"/>
              <w:left w:w="20" w:type="dxa"/>
              <w:bottom w:w="40" w:type="dxa"/>
              <w:right w:w="20" w:type="dxa"/>
            </w:tcMar>
            <w:vAlign w:val="center"/>
          </w:tcPr>
          <w:p w14:paraId="5F2C99D3" w14:textId="77777777" w:rsidR="00E836FB" w:rsidRDefault="00994958">
            <w:pPr>
              <w:jc w:val="right"/>
              <w:textAlignment w:val="center"/>
            </w:pPr>
            <w:r>
              <w:rPr>
                <w:rFonts w:ascii="Arial" w:eastAsia="宋体" w:hAnsi="Arial" w:cs="Arial"/>
                <w:color w:val="000000"/>
                <w:sz w:val="18"/>
                <w:szCs w:val="18"/>
              </w:rPr>
              <w:t>4</w:t>
            </w:r>
          </w:p>
        </w:tc>
      </w:tr>
      <w:tr w:rsidR="00E836FB" w14:paraId="5F2C99D8" w14:textId="77777777">
        <w:tc>
          <w:tcPr>
            <w:tcW w:w="0" w:type="auto"/>
            <w:gridSpan w:val="3"/>
            <w:shd w:val="clear" w:color="auto" w:fill="auto"/>
            <w:tcMar>
              <w:top w:w="0" w:type="dxa"/>
              <w:left w:w="20" w:type="dxa"/>
              <w:bottom w:w="0" w:type="dxa"/>
              <w:right w:w="20" w:type="dxa"/>
            </w:tcMar>
            <w:vAlign w:val="bottom"/>
          </w:tcPr>
          <w:p w14:paraId="5F2C99D5" w14:textId="77777777" w:rsidR="00E836FB" w:rsidRDefault="00E836FB">
            <w:pPr>
              <w:rPr>
                <w:rFonts w:ascii="宋体"/>
              </w:rPr>
            </w:pPr>
          </w:p>
        </w:tc>
        <w:tc>
          <w:tcPr>
            <w:tcW w:w="0" w:type="auto"/>
            <w:gridSpan w:val="3"/>
            <w:shd w:val="clear" w:color="auto" w:fill="auto"/>
            <w:tcMar>
              <w:top w:w="40" w:type="dxa"/>
              <w:left w:w="155" w:type="dxa"/>
              <w:bottom w:w="40" w:type="dxa"/>
              <w:right w:w="20" w:type="dxa"/>
            </w:tcMar>
            <w:vAlign w:val="center"/>
          </w:tcPr>
          <w:p w14:paraId="5F2C99D6" w14:textId="77777777" w:rsidR="00E836FB" w:rsidRDefault="00994958">
            <w:pPr>
              <w:textAlignment w:val="center"/>
            </w:pPr>
            <w:r>
              <w:rPr>
                <w:rFonts w:ascii="Arial" w:eastAsia="宋体" w:hAnsi="Arial" w:cs="Arial"/>
                <w:color w:val="000000"/>
                <w:sz w:val="18"/>
                <w:szCs w:val="18"/>
              </w:rPr>
              <w:t>Risk Factors Summary</w:t>
            </w:r>
          </w:p>
        </w:tc>
        <w:tc>
          <w:tcPr>
            <w:tcW w:w="0" w:type="auto"/>
            <w:gridSpan w:val="3"/>
            <w:shd w:val="clear" w:color="auto" w:fill="auto"/>
            <w:tcMar>
              <w:top w:w="40" w:type="dxa"/>
              <w:left w:w="20" w:type="dxa"/>
              <w:bottom w:w="40" w:type="dxa"/>
              <w:right w:w="20" w:type="dxa"/>
            </w:tcMar>
            <w:vAlign w:val="center"/>
          </w:tcPr>
          <w:p w14:paraId="5F2C99D7" w14:textId="77777777" w:rsidR="00E836FB" w:rsidRDefault="00994958">
            <w:pPr>
              <w:jc w:val="right"/>
              <w:textAlignment w:val="center"/>
            </w:pPr>
            <w:r>
              <w:rPr>
                <w:rFonts w:ascii="Arial" w:eastAsia="宋体" w:hAnsi="Arial" w:cs="Arial"/>
                <w:color w:val="000000"/>
                <w:sz w:val="18"/>
                <w:szCs w:val="18"/>
              </w:rPr>
              <w:t>4</w:t>
            </w:r>
          </w:p>
        </w:tc>
      </w:tr>
      <w:tr w:rsidR="00E836FB" w14:paraId="5F2C99DC" w14:textId="77777777">
        <w:tc>
          <w:tcPr>
            <w:tcW w:w="0" w:type="auto"/>
            <w:gridSpan w:val="3"/>
            <w:shd w:val="clear" w:color="auto" w:fill="auto"/>
            <w:tcMar>
              <w:top w:w="40" w:type="dxa"/>
              <w:left w:w="155" w:type="dxa"/>
              <w:bottom w:w="40" w:type="dxa"/>
              <w:right w:w="20" w:type="dxa"/>
            </w:tcMar>
            <w:vAlign w:val="center"/>
          </w:tcPr>
          <w:p w14:paraId="5F2C99D9" w14:textId="77777777" w:rsidR="00E836FB" w:rsidRDefault="00994958">
            <w:pPr>
              <w:textAlignment w:val="center"/>
            </w:pPr>
            <w:r>
              <w:rPr>
                <w:rFonts w:ascii="Arial" w:eastAsia="宋体" w:hAnsi="Arial" w:cs="Arial"/>
                <w:b/>
                <w:bCs/>
                <w:color w:val="000000"/>
                <w:sz w:val="18"/>
                <w:szCs w:val="18"/>
              </w:rPr>
              <w:t>PART I</w:t>
            </w:r>
          </w:p>
        </w:tc>
        <w:tc>
          <w:tcPr>
            <w:tcW w:w="0" w:type="auto"/>
            <w:gridSpan w:val="3"/>
            <w:shd w:val="clear" w:color="auto" w:fill="auto"/>
            <w:tcMar>
              <w:top w:w="0" w:type="dxa"/>
              <w:left w:w="20" w:type="dxa"/>
              <w:bottom w:w="0" w:type="dxa"/>
              <w:right w:w="20" w:type="dxa"/>
            </w:tcMar>
            <w:vAlign w:val="bottom"/>
          </w:tcPr>
          <w:p w14:paraId="5F2C99D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DB" w14:textId="77777777" w:rsidR="00E836FB" w:rsidRDefault="00E836FB">
            <w:pPr>
              <w:rPr>
                <w:rFonts w:ascii="宋体"/>
              </w:rPr>
            </w:pPr>
          </w:p>
        </w:tc>
      </w:tr>
      <w:tr w:rsidR="00E836FB" w14:paraId="5F2C99E0" w14:textId="77777777">
        <w:tc>
          <w:tcPr>
            <w:tcW w:w="0" w:type="auto"/>
            <w:gridSpan w:val="3"/>
            <w:shd w:val="clear" w:color="auto" w:fill="auto"/>
            <w:tcMar>
              <w:top w:w="40" w:type="dxa"/>
              <w:left w:w="155" w:type="dxa"/>
              <w:bottom w:w="40" w:type="dxa"/>
              <w:right w:w="20" w:type="dxa"/>
            </w:tcMar>
          </w:tcPr>
          <w:p w14:paraId="5F2C99DD" w14:textId="77777777" w:rsidR="00E836FB" w:rsidRDefault="00994958">
            <w:pPr>
              <w:textAlignment w:val="top"/>
            </w:pPr>
            <w:r>
              <w:rPr>
                <w:rFonts w:ascii="Arial" w:eastAsia="宋体" w:hAnsi="Arial" w:cs="Arial"/>
                <w:color w:val="000000"/>
                <w:sz w:val="18"/>
                <w:szCs w:val="18"/>
              </w:rPr>
              <w:t>Item 1</w:t>
            </w:r>
          </w:p>
        </w:tc>
        <w:tc>
          <w:tcPr>
            <w:tcW w:w="0" w:type="auto"/>
            <w:gridSpan w:val="3"/>
            <w:shd w:val="clear" w:color="auto" w:fill="auto"/>
            <w:tcMar>
              <w:top w:w="40" w:type="dxa"/>
              <w:left w:w="155" w:type="dxa"/>
              <w:bottom w:w="40" w:type="dxa"/>
              <w:right w:w="20" w:type="dxa"/>
            </w:tcMar>
            <w:vAlign w:val="center"/>
          </w:tcPr>
          <w:p w14:paraId="5F2C99DE" w14:textId="77777777" w:rsidR="00E836FB" w:rsidRDefault="00994958">
            <w:pPr>
              <w:textAlignment w:val="center"/>
            </w:pPr>
            <w:r>
              <w:rPr>
                <w:rFonts w:ascii="Arial" w:eastAsia="宋体" w:hAnsi="Arial" w:cs="Arial"/>
                <w:color w:val="000000"/>
                <w:sz w:val="18"/>
                <w:szCs w:val="18"/>
              </w:rPr>
              <w:t>Business</w:t>
            </w:r>
          </w:p>
        </w:tc>
        <w:tc>
          <w:tcPr>
            <w:tcW w:w="0" w:type="auto"/>
            <w:gridSpan w:val="3"/>
            <w:shd w:val="clear" w:color="auto" w:fill="auto"/>
            <w:tcMar>
              <w:top w:w="40" w:type="dxa"/>
              <w:left w:w="20" w:type="dxa"/>
              <w:bottom w:w="40" w:type="dxa"/>
              <w:right w:w="20" w:type="dxa"/>
            </w:tcMar>
            <w:vAlign w:val="center"/>
          </w:tcPr>
          <w:p w14:paraId="5F2C99DF" w14:textId="77777777" w:rsidR="00E836FB" w:rsidRDefault="00994958">
            <w:pPr>
              <w:jc w:val="right"/>
              <w:textAlignment w:val="center"/>
            </w:pPr>
            <w:hyperlink r:id="rId6" w:anchor="i7cc1f9a814a84c708b0facd5c0e99397_22" w:history="1">
              <w:r>
                <w:rPr>
                  <w:rStyle w:val="a5"/>
                  <w:rFonts w:ascii="Arial" w:eastAsia="宋体" w:hAnsi="Arial" w:cs="Arial"/>
                  <w:color w:val="000000"/>
                  <w:sz w:val="18"/>
                  <w:szCs w:val="18"/>
                  <w:u w:val="none"/>
                </w:rPr>
                <w:t>6</w:t>
              </w:r>
            </w:hyperlink>
          </w:p>
        </w:tc>
      </w:tr>
      <w:tr w:rsidR="00E836FB" w14:paraId="5F2C99E4" w14:textId="77777777">
        <w:tc>
          <w:tcPr>
            <w:tcW w:w="0" w:type="auto"/>
            <w:gridSpan w:val="3"/>
            <w:shd w:val="clear" w:color="auto" w:fill="auto"/>
            <w:tcMar>
              <w:top w:w="40" w:type="dxa"/>
              <w:left w:w="155" w:type="dxa"/>
              <w:bottom w:w="40" w:type="dxa"/>
              <w:right w:w="20" w:type="dxa"/>
            </w:tcMar>
          </w:tcPr>
          <w:p w14:paraId="5F2C99E1" w14:textId="77777777" w:rsidR="00E836FB" w:rsidRDefault="00994958">
            <w:pPr>
              <w:textAlignment w:val="top"/>
            </w:pPr>
            <w:r>
              <w:rPr>
                <w:rFonts w:ascii="Arial" w:eastAsia="宋体" w:hAnsi="Arial" w:cs="Arial"/>
                <w:color w:val="000000"/>
                <w:sz w:val="18"/>
                <w:szCs w:val="18"/>
              </w:rPr>
              <w:t>Item 1A</w:t>
            </w:r>
          </w:p>
        </w:tc>
        <w:tc>
          <w:tcPr>
            <w:tcW w:w="0" w:type="auto"/>
            <w:gridSpan w:val="3"/>
            <w:shd w:val="clear" w:color="auto" w:fill="auto"/>
            <w:tcMar>
              <w:top w:w="40" w:type="dxa"/>
              <w:left w:w="155" w:type="dxa"/>
              <w:bottom w:w="40" w:type="dxa"/>
              <w:right w:w="20" w:type="dxa"/>
            </w:tcMar>
            <w:vAlign w:val="center"/>
          </w:tcPr>
          <w:p w14:paraId="5F2C99E2" w14:textId="77777777" w:rsidR="00E836FB" w:rsidRDefault="00994958">
            <w:pPr>
              <w:textAlignment w:val="center"/>
            </w:pPr>
            <w:r>
              <w:rPr>
                <w:rFonts w:ascii="Arial" w:eastAsia="宋体" w:hAnsi="Arial" w:cs="Arial"/>
                <w:color w:val="000000"/>
                <w:sz w:val="18"/>
                <w:szCs w:val="18"/>
              </w:rPr>
              <w:t>Risk Factors</w:t>
            </w:r>
          </w:p>
        </w:tc>
        <w:tc>
          <w:tcPr>
            <w:tcW w:w="0" w:type="auto"/>
            <w:gridSpan w:val="3"/>
            <w:shd w:val="clear" w:color="auto" w:fill="auto"/>
            <w:tcMar>
              <w:top w:w="40" w:type="dxa"/>
              <w:left w:w="20" w:type="dxa"/>
              <w:bottom w:w="40" w:type="dxa"/>
              <w:right w:w="20" w:type="dxa"/>
            </w:tcMar>
            <w:vAlign w:val="center"/>
          </w:tcPr>
          <w:p w14:paraId="5F2C99E3" w14:textId="77777777" w:rsidR="00E836FB" w:rsidRDefault="00994958">
            <w:pPr>
              <w:jc w:val="right"/>
              <w:textAlignment w:val="center"/>
            </w:pPr>
            <w:hyperlink r:id="rId7" w:anchor="i7cc1f9a814a84c708b0facd5c0e99397_52" w:history="1">
              <w:r>
                <w:rPr>
                  <w:rStyle w:val="a5"/>
                  <w:rFonts w:ascii="Arial" w:eastAsia="宋体" w:hAnsi="Arial" w:cs="Arial"/>
                  <w:color w:val="000000"/>
                  <w:sz w:val="18"/>
                  <w:szCs w:val="18"/>
                  <w:u w:val="none"/>
                </w:rPr>
                <w:t>23</w:t>
              </w:r>
            </w:hyperlink>
          </w:p>
        </w:tc>
      </w:tr>
      <w:tr w:rsidR="00E836FB" w14:paraId="5F2C99E8" w14:textId="77777777">
        <w:tc>
          <w:tcPr>
            <w:tcW w:w="0" w:type="auto"/>
            <w:gridSpan w:val="3"/>
            <w:shd w:val="clear" w:color="auto" w:fill="auto"/>
            <w:tcMar>
              <w:top w:w="40" w:type="dxa"/>
              <w:left w:w="155" w:type="dxa"/>
              <w:bottom w:w="40" w:type="dxa"/>
              <w:right w:w="20" w:type="dxa"/>
            </w:tcMar>
          </w:tcPr>
          <w:p w14:paraId="5F2C99E5" w14:textId="77777777" w:rsidR="00E836FB" w:rsidRDefault="00994958">
            <w:pPr>
              <w:textAlignment w:val="top"/>
            </w:pPr>
            <w:r>
              <w:rPr>
                <w:rFonts w:ascii="Arial" w:eastAsia="宋体" w:hAnsi="Arial" w:cs="Arial"/>
                <w:color w:val="000000"/>
                <w:sz w:val="18"/>
                <w:szCs w:val="18"/>
              </w:rPr>
              <w:t>Item 1B</w:t>
            </w:r>
          </w:p>
        </w:tc>
        <w:tc>
          <w:tcPr>
            <w:tcW w:w="0" w:type="auto"/>
            <w:gridSpan w:val="3"/>
            <w:shd w:val="clear" w:color="auto" w:fill="auto"/>
            <w:tcMar>
              <w:top w:w="40" w:type="dxa"/>
              <w:left w:w="155" w:type="dxa"/>
              <w:bottom w:w="40" w:type="dxa"/>
              <w:right w:w="20" w:type="dxa"/>
            </w:tcMar>
            <w:vAlign w:val="center"/>
          </w:tcPr>
          <w:p w14:paraId="5F2C99E6" w14:textId="77777777" w:rsidR="00E836FB" w:rsidRDefault="00994958">
            <w:pPr>
              <w:textAlignment w:val="center"/>
            </w:pPr>
            <w:r>
              <w:rPr>
                <w:rFonts w:ascii="Arial" w:eastAsia="宋体" w:hAnsi="Arial" w:cs="Arial"/>
                <w:color w:val="000000"/>
                <w:sz w:val="18"/>
                <w:szCs w:val="18"/>
              </w:rPr>
              <w:t>Unresolved Staff Comments</w:t>
            </w:r>
          </w:p>
        </w:tc>
        <w:tc>
          <w:tcPr>
            <w:tcW w:w="0" w:type="auto"/>
            <w:gridSpan w:val="3"/>
            <w:shd w:val="clear" w:color="auto" w:fill="auto"/>
            <w:tcMar>
              <w:top w:w="40" w:type="dxa"/>
              <w:left w:w="20" w:type="dxa"/>
              <w:bottom w:w="40" w:type="dxa"/>
              <w:right w:w="20" w:type="dxa"/>
            </w:tcMar>
            <w:vAlign w:val="center"/>
          </w:tcPr>
          <w:p w14:paraId="5F2C99E7" w14:textId="77777777" w:rsidR="00E836FB" w:rsidRDefault="00994958">
            <w:pPr>
              <w:jc w:val="right"/>
              <w:textAlignment w:val="center"/>
            </w:pPr>
            <w:hyperlink r:id="rId8" w:anchor="i7cc1f9a814a84c708b0facd5c0e99397_58" w:history="1">
              <w:r>
                <w:rPr>
                  <w:rStyle w:val="a5"/>
                  <w:rFonts w:ascii="Arial" w:eastAsia="宋体" w:hAnsi="Arial" w:cs="Arial"/>
                  <w:color w:val="000000"/>
                  <w:sz w:val="18"/>
                  <w:szCs w:val="18"/>
                  <w:u w:val="none"/>
                </w:rPr>
                <w:t>52</w:t>
              </w:r>
            </w:hyperlink>
          </w:p>
        </w:tc>
      </w:tr>
      <w:tr w:rsidR="00E836FB" w14:paraId="5F2C99EC" w14:textId="77777777">
        <w:tc>
          <w:tcPr>
            <w:tcW w:w="0" w:type="auto"/>
            <w:gridSpan w:val="3"/>
            <w:shd w:val="clear" w:color="auto" w:fill="auto"/>
            <w:tcMar>
              <w:top w:w="40" w:type="dxa"/>
              <w:left w:w="155" w:type="dxa"/>
              <w:bottom w:w="40" w:type="dxa"/>
              <w:right w:w="20" w:type="dxa"/>
            </w:tcMar>
          </w:tcPr>
          <w:p w14:paraId="5F2C99E9" w14:textId="77777777" w:rsidR="00E836FB" w:rsidRDefault="00994958">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5F2C99EA" w14:textId="77777777" w:rsidR="00E836FB" w:rsidRDefault="00994958">
            <w:pPr>
              <w:textAlignment w:val="center"/>
            </w:pPr>
            <w:r>
              <w:rPr>
                <w:rFonts w:ascii="Arial" w:eastAsia="宋体" w:hAnsi="Arial" w:cs="Arial"/>
                <w:color w:val="000000"/>
                <w:sz w:val="18"/>
                <w:szCs w:val="18"/>
              </w:rPr>
              <w:t>Properties</w:t>
            </w:r>
          </w:p>
        </w:tc>
        <w:tc>
          <w:tcPr>
            <w:tcW w:w="0" w:type="auto"/>
            <w:gridSpan w:val="3"/>
            <w:shd w:val="clear" w:color="auto" w:fill="auto"/>
            <w:tcMar>
              <w:top w:w="40" w:type="dxa"/>
              <w:left w:w="20" w:type="dxa"/>
              <w:bottom w:w="40" w:type="dxa"/>
              <w:right w:w="20" w:type="dxa"/>
            </w:tcMar>
            <w:vAlign w:val="center"/>
          </w:tcPr>
          <w:p w14:paraId="5F2C99EB" w14:textId="77777777" w:rsidR="00E836FB" w:rsidRDefault="00994958">
            <w:pPr>
              <w:jc w:val="right"/>
              <w:textAlignment w:val="center"/>
            </w:pPr>
            <w:hyperlink r:id="rId9" w:anchor="i7cc1f9a814a84c708b0facd5c0e99397_61" w:history="1">
              <w:r>
                <w:rPr>
                  <w:rStyle w:val="a5"/>
                  <w:rFonts w:ascii="Arial" w:eastAsia="宋体" w:hAnsi="Arial" w:cs="Arial"/>
                  <w:color w:val="000000"/>
                  <w:sz w:val="18"/>
                  <w:szCs w:val="18"/>
                  <w:u w:val="none"/>
                </w:rPr>
                <w:t>52</w:t>
              </w:r>
            </w:hyperlink>
          </w:p>
        </w:tc>
      </w:tr>
      <w:tr w:rsidR="00E836FB" w14:paraId="5F2C99F0" w14:textId="77777777">
        <w:tc>
          <w:tcPr>
            <w:tcW w:w="0" w:type="auto"/>
            <w:gridSpan w:val="3"/>
            <w:shd w:val="clear" w:color="auto" w:fill="auto"/>
            <w:tcMar>
              <w:top w:w="40" w:type="dxa"/>
              <w:left w:w="155" w:type="dxa"/>
              <w:bottom w:w="40" w:type="dxa"/>
              <w:right w:w="20" w:type="dxa"/>
            </w:tcMar>
          </w:tcPr>
          <w:p w14:paraId="5F2C99ED" w14:textId="77777777" w:rsidR="00E836FB" w:rsidRDefault="00994958">
            <w:pPr>
              <w:textAlignment w:val="top"/>
            </w:pPr>
            <w:r>
              <w:rPr>
                <w:rFonts w:ascii="Arial" w:eastAsia="宋体" w:hAnsi="Arial" w:cs="Arial"/>
                <w:color w:val="000000"/>
                <w:sz w:val="18"/>
                <w:szCs w:val="18"/>
              </w:rPr>
              <w:t>Item 3</w:t>
            </w:r>
          </w:p>
        </w:tc>
        <w:tc>
          <w:tcPr>
            <w:tcW w:w="0" w:type="auto"/>
            <w:gridSpan w:val="3"/>
            <w:shd w:val="clear" w:color="auto" w:fill="auto"/>
            <w:tcMar>
              <w:top w:w="40" w:type="dxa"/>
              <w:left w:w="155" w:type="dxa"/>
              <w:bottom w:w="40" w:type="dxa"/>
              <w:right w:w="20" w:type="dxa"/>
            </w:tcMar>
            <w:vAlign w:val="center"/>
          </w:tcPr>
          <w:p w14:paraId="5F2C99EE" w14:textId="77777777" w:rsidR="00E836FB" w:rsidRDefault="00994958">
            <w:pPr>
              <w:textAlignment w:val="center"/>
            </w:pPr>
            <w:r>
              <w:rPr>
                <w:rFonts w:ascii="Arial" w:eastAsia="宋体" w:hAnsi="Arial" w:cs="Arial"/>
                <w:color w:val="000000"/>
                <w:sz w:val="18"/>
                <w:szCs w:val="18"/>
              </w:rPr>
              <w:t>Legal Proceedings</w:t>
            </w:r>
          </w:p>
        </w:tc>
        <w:tc>
          <w:tcPr>
            <w:tcW w:w="0" w:type="auto"/>
            <w:gridSpan w:val="3"/>
            <w:shd w:val="clear" w:color="auto" w:fill="auto"/>
            <w:tcMar>
              <w:top w:w="40" w:type="dxa"/>
              <w:left w:w="20" w:type="dxa"/>
              <w:bottom w:w="40" w:type="dxa"/>
              <w:right w:w="20" w:type="dxa"/>
            </w:tcMar>
            <w:vAlign w:val="center"/>
          </w:tcPr>
          <w:p w14:paraId="5F2C99EF" w14:textId="77777777" w:rsidR="00E836FB" w:rsidRDefault="00994958">
            <w:pPr>
              <w:jc w:val="right"/>
              <w:textAlignment w:val="center"/>
            </w:pPr>
            <w:hyperlink r:id="rId10" w:anchor="i7cc1f9a814a84c708b0facd5c0e99397_64" w:history="1">
              <w:r>
                <w:rPr>
                  <w:rStyle w:val="a5"/>
                  <w:rFonts w:ascii="Arial" w:eastAsia="宋体" w:hAnsi="Arial" w:cs="Arial"/>
                  <w:color w:val="000000"/>
                  <w:sz w:val="18"/>
                  <w:szCs w:val="18"/>
                  <w:u w:val="none"/>
                </w:rPr>
                <w:t>52</w:t>
              </w:r>
            </w:hyperlink>
          </w:p>
        </w:tc>
      </w:tr>
      <w:tr w:rsidR="00E836FB" w14:paraId="5F2C99F4" w14:textId="77777777">
        <w:tc>
          <w:tcPr>
            <w:tcW w:w="0" w:type="auto"/>
            <w:gridSpan w:val="3"/>
            <w:shd w:val="clear" w:color="auto" w:fill="auto"/>
            <w:tcMar>
              <w:top w:w="40" w:type="dxa"/>
              <w:left w:w="155" w:type="dxa"/>
              <w:bottom w:w="40" w:type="dxa"/>
              <w:right w:w="20" w:type="dxa"/>
            </w:tcMar>
          </w:tcPr>
          <w:p w14:paraId="5F2C99F1" w14:textId="77777777" w:rsidR="00E836FB" w:rsidRDefault="00994958">
            <w:pPr>
              <w:textAlignment w:val="top"/>
            </w:pPr>
            <w:r>
              <w:rPr>
                <w:rFonts w:ascii="Arial" w:eastAsia="宋体" w:hAnsi="Arial" w:cs="Arial"/>
                <w:color w:val="000000"/>
                <w:sz w:val="18"/>
                <w:szCs w:val="18"/>
              </w:rPr>
              <w:t>Item 4</w:t>
            </w:r>
          </w:p>
        </w:tc>
        <w:tc>
          <w:tcPr>
            <w:tcW w:w="0" w:type="auto"/>
            <w:gridSpan w:val="3"/>
            <w:shd w:val="clear" w:color="auto" w:fill="auto"/>
            <w:tcMar>
              <w:top w:w="40" w:type="dxa"/>
              <w:left w:w="155" w:type="dxa"/>
              <w:bottom w:w="40" w:type="dxa"/>
              <w:right w:w="20" w:type="dxa"/>
            </w:tcMar>
            <w:vAlign w:val="center"/>
          </w:tcPr>
          <w:p w14:paraId="5F2C99F2" w14:textId="77777777" w:rsidR="00E836FB" w:rsidRDefault="00994958">
            <w:pPr>
              <w:textAlignment w:val="center"/>
            </w:pPr>
            <w:r>
              <w:rPr>
                <w:rFonts w:ascii="Arial" w:eastAsia="宋体" w:hAnsi="Arial" w:cs="Arial"/>
                <w:color w:val="000000"/>
                <w:sz w:val="18"/>
                <w:szCs w:val="18"/>
              </w:rPr>
              <w:t xml:space="preserve">Mine Safety Disclosures </w:t>
            </w:r>
          </w:p>
        </w:tc>
        <w:tc>
          <w:tcPr>
            <w:tcW w:w="0" w:type="auto"/>
            <w:gridSpan w:val="3"/>
            <w:shd w:val="clear" w:color="auto" w:fill="auto"/>
            <w:tcMar>
              <w:top w:w="40" w:type="dxa"/>
              <w:left w:w="20" w:type="dxa"/>
              <w:bottom w:w="40" w:type="dxa"/>
              <w:right w:w="20" w:type="dxa"/>
            </w:tcMar>
            <w:vAlign w:val="center"/>
          </w:tcPr>
          <w:p w14:paraId="5F2C99F3" w14:textId="77777777" w:rsidR="00E836FB" w:rsidRDefault="00994958">
            <w:pPr>
              <w:jc w:val="right"/>
              <w:textAlignment w:val="center"/>
            </w:pPr>
            <w:hyperlink r:id="rId11" w:anchor="i7cc1f9a814a84c708b0facd5c0e99397_67" w:history="1">
              <w:r>
                <w:rPr>
                  <w:rStyle w:val="a5"/>
                  <w:rFonts w:ascii="Arial" w:eastAsia="宋体" w:hAnsi="Arial" w:cs="Arial"/>
                  <w:color w:val="000000"/>
                  <w:sz w:val="18"/>
                  <w:szCs w:val="18"/>
                  <w:u w:val="none"/>
                </w:rPr>
                <w:t>52</w:t>
              </w:r>
            </w:hyperlink>
          </w:p>
        </w:tc>
      </w:tr>
      <w:tr w:rsidR="00E836FB" w14:paraId="5F2C99F8" w14:textId="77777777">
        <w:tc>
          <w:tcPr>
            <w:tcW w:w="0" w:type="auto"/>
            <w:gridSpan w:val="3"/>
            <w:shd w:val="clear" w:color="auto" w:fill="auto"/>
            <w:tcMar>
              <w:top w:w="40" w:type="dxa"/>
              <w:left w:w="155" w:type="dxa"/>
              <w:bottom w:w="40" w:type="dxa"/>
              <w:right w:w="20" w:type="dxa"/>
            </w:tcMar>
            <w:vAlign w:val="center"/>
          </w:tcPr>
          <w:p w14:paraId="5F2C99F5" w14:textId="77777777" w:rsidR="00E836FB" w:rsidRDefault="00994958">
            <w:pPr>
              <w:textAlignment w:val="center"/>
            </w:pPr>
            <w:r>
              <w:rPr>
                <w:rFonts w:ascii="Arial" w:eastAsia="宋体" w:hAnsi="Arial" w:cs="Arial"/>
                <w:color w:val="000000"/>
                <w:sz w:val="18"/>
                <w:szCs w:val="18"/>
              </w:rPr>
              <w:t>Supplemental Item</w:t>
            </w:r>
          </w:p>
        </w:tc>
        <w:tc>
          <w:tcPr>
            <w:tcW w:w="0" w:type="auto"/>
            <w:gridSpan w:val="3"/>
            <w:shd w:val="clear" w:color="auto" w:fill="auto"/>
            <w:tcMar>
              <w:top w:w="40" w:type="dxa"/>
              <w:left w:w="155" w:type="dxa"/>
              <w:bottom w:w="40" w:type="dxa"/>
              <w:right w:w="20" w:type="dxa"/>
            </w:tcMar>
            <w:vAlign w:val="center"/>
          </w:tcPr>
          <w:p w14:paraId="5F2C99F6" w14:textId="77777777" w:rsidR="00E836FB" w:rsidRDefault="00994958">
            <w:pPr>
              <w:textAlignment w:val="center"/>
            </w:pPr>
            <w:r>
              <w:rPr>
                <w:rFonts w:ascii="Arial" w:eastAsia="宋体" w:hAnsi="Arial" w:cs="Arial"/>
                <w:color w:val="000000"/>
                <w:sz w:val="18"/>
                <w:szCs w:val="18"/>
              </w:rPr>
              <w:t xml:space="preserve">Information about our Executive Officers </w:t>
            </w:r>
          </w:p>
        </w:tc>
        <w:tc>
          <w:tcPr>
            <w:tcW w:w="0" w:type="auto"/>
            <w:gridSpan w:val="3"/>
            <w:shd w:val="clear" w:color="auto" w:fill="auto"/>
            <w:tcMar>
              <w:top w:w="40" w:type="dxa"/>
              <w:left w:w="20" w:type="dxa"/>
              <w:bottom w:w="40" w:type="dxa"/>
              <w:right w:w="20" w:type="dxa"/>
            </w:tcMar>
            <w:vAlign w:val="center"/>
          </w:tcPr>
          <w:p w14:paraId="5F2C99F7" w14:textId="77777777" w:rsidR="00E836FB" w:rsidRDefault="00994958">
            <w:pPr>
              <w:jc w:val="right"/>
              <w:textAlignment w:val="center"/>
            </w:pPr>
            <w:hyperlink r:id="rId12" w:anchor="i7cc1f9a814a84c708b0facd5c0e99397_70" w:history="1">
              <w:r>
                <w:rPr>
                  <w:rStyle w:val="a5"/>
                  <w:rFonts w:ascii="Arial" w:eastAsia="宋体" w:hAnsi="Arial" w:cs="Arial"/>
                  <w:color w:val="000000"/>
                  <w:sz w:val="18"/>
                  <w:szCs w:val="18"/>
                  <w:u w:val="none"/>
                </w:rPr>
                <w:t>53</w:t>
              </w:r>
            </w:hyperlink>
          </w:p>
        </w:tc>
      </w:tr>
      <w:tr w:rsidR="00E836FB" w14:paraId="5F2C99FC" w14:textId="77777777">
        <w:tc>
          <w:tcPr>
            <w:tcW w:w="0" w:type="auto"/>
            <w:gridSpan w:val="3"/>
            <w:shd w:val="clear" w:color="auto" w:fill="auto"/>
            <w:tcMar>
              <w:top w:w="40" w:type="dxa"/>
              <w:left w:w="155" w:type="dxa"/>
              <w:bottom w:w="40" w:type="dxa"/>
              <w:right w:w="20" w:type="dxa"/>
            </w:tcMar>
            <w:vAlign w:val="center"/>
          </w:tcPr>
          <w:p w14:paraId="5F2C99F9" w14:textId="77777777" w:rsidR="00E836FB" w:rsidRDefault="00994958">
            <w:pPr>
              <w:textAlignment w:val="center"/>
            </w:pPr>
            <w:r>
              <w:rPr>
                <w:rFonts w:ascii="Arial" w:eastAsia="宋体" w:hAnsi="Arial" w:cs="Arial"/>
                <w:b/>
                <w:bCs/>
                <w:color w:val="000000"/>
                <w:sz w:val="18"/>
                <w:szCs w:val="18"/>
              </w:rPr>
              <w:t>PART II</w:t>
            </w:r>
          </w:p>
        </w:tc>
        <w:tc>
          <w:tcPr>
            <w:tcW w:w="0" w:type="auto"/>
            <w:gridSpan w:val="3"/>
            <w:shd w:val="clear" w:color="auto" w:fill="auto"/>
            <w:tcMar>
              <w:top w:w="0" w:type="dxa"/>
              <w:left w:w="20" w:type="dxa"/>
              <w:bottom w:w="0" w:type="dxa"/>
              <w:right w:w="20" w:type="dxa"/>
            </w:tcMar>
            <w:vAlign w:val="bottom"/>
          </w:tcPr>
          <w:p w14:paraId="5F2C99F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9FB" w14:textId="77777777" w:rsidR="00E836FB" w:rsidRDefault="00E836FB">
            <w:pPr>
              <w:rPr>
                <w:rFonts w:ascii="宋体"/>
              </w:rPr>
            </w:pPr>
          </w:p>
        </w:tc>
      </w:tr>
      <w:tr w:rsidR="00E836FB" w14:paraId="5F2C9A00" w14:textId="77777777">
        <w:tc>
          <w:tcPr>
            <w:tcW w:w="0" w:type="auto"/>
            <w:gridSpan w:val="3"/>
            <w:shd w:val="clear" w:color="auto" w:fill="auto"/>
            <w:tcMar>
              <w:top w:w="40" w:type="dxa"/>
              <w:left w:w="155" w:type="dxa"/>
              <w:bottom w:w="40" w:type="dxa"/>
              <w:right w:w="20" w:type="dxa"/>
            </w:tcMar>
          </w:tcPr>
          <w:p w14:paraId="5F2C99FD" w14:textId="77777777" w:rsidR="00E836FB" w:rsidRDefault="00994958">
            <w:pPr>
              <w:textAlignment w:val="top"/>
            </w:pPr>
            <w:r>
              <w:rPr>
                <w:rFonts w:ascii="Arial" w:eastAsia="宋体" w:hAnsi="Arial" w:cs="Arial"/>
                <w:color w:val="000000"/>
                <w:sz w:val="18"/>
                <w:szCs w:val="18"/>
              </w:rPr>
              <w:t>Item 5</w:t>
            </w:r>
          </w:p>
        </w:tc>
        <w:tc>
          <w:tcPr>
            <w:tcW w:w="0" w:type="auto"/>
            <w:gridSpan w:val="3"/>
            <w:shd w:val="clear" w:color="auto" w:fill="auto"/>
            <w:tcMar>
              <w:top w:w="40" w:type="dxa"/>
              <w:left w:w="155" w:type="dxa"/>
              <w:bottom w:w="40" w:type="dxa"/>
              <w:right w:w="20" w:type="dxa"/>
            </w:tcMar>
            <w:vAlign w:val="center"/>
          </w:tcPr>
          <w:p w14:paraId="5F2C99FE" w14:textId="77777777" w:rsidR="00E836FB" w:rsidRDefault="00994958">
            <w:pPr>
              <w:textAlignment w:val="center"/>
            </w:pPr>
            <w:r>
              <w:rPr>
                <w:rFonts w:ascii="Arial" w:eastAsia="宋体" w:hAnsi="Arial" w:cs="Arial"/>
                <w:color w:val="000000"/>
                <w:sz w:val="18"/>
                <w:szCs w:val="18"/>
              </w:rPr>
              <w:t>Market for Registrant’s Common Equity, Related Stockholder Matters and Issuer Purchases of Equity Securities</w:t>
            </w:r>
          </w:p>
        </w:tc>
        <w:tc>
          <w:tcPr>
            <w:tcW w:w="0" w:type="auto"/>
            <w:gridSpan w:val="3"/>
            <w:shd w:val="clear" w:color="auto" w:fill="auto"/>
            <w:tcMar>
              <w:top w:w="40" w:type="dxa"/>
              <w:left w:w="20" w:type="dxa"/>
              <w:bottom w:w="40" w:type="dxa"/>
              <w:right w:w="20" w:type="dxa"/>
            </w:tcMar>
            <w:vAlign w:val="center"/>
          </w:tcPr>
          <w:p w14:paraId="5F2C99FF" w14:textId="77777777" w:rsidR="00E836FB" w:rsidRDefault="00994958">
            <w:pPr>
              <w:jc w:val="right"/>
              <w:textAlignment w:val="center"/>
            </w:pPr>
            <w:hyperlink r:id="rId13" w:anchor="i7cc1f9a814a84c708b0facd5c0e99397_76" w:history="1">
              <w:r>
                <w:rPr>
                  <w:rStyle w:val="a5"/>
                  <w:rFonts w:ascii="Arial" w:eastAsia="宋体" w:hAnsi="Arial" w:cs="Arial"/>
                  <w:color w:val="000000"/>
                  <w:sz w:val="18"/>
                  <w:szCs w:val="18"/>
                  <w:u w:val="none"/>
                </w:rPr>
                <w:t>54</w:t>
              </w:r>
            </w:hyperlink>
          </w:p>
        </w:tc>
      </w:tr>
      <w:tr w:rsidR="00E836FB" w14:paraId="5F2C9A04" w14:textId="77777777">
        <w:tc>
          <w:tcPr>
            <w:tcW w:w="0" w:type="auto"/>
            <w:gridSpan w:val="3"/>
            <w:shd w:val="clear" w:color="auto" w:fill="auto"/>
            <w:tcMar>
              <w:top w:w="40" w:type="dxa"/>
              <w:left w:w="155" w:type="dxa"/>
              <w:bottom w:w="40" w:type="dxa"/>
              <w:right w:w="20" w:type="dxa"/>
            </w:tcMar>
          </w:tcPr>
          <w:p w14:paraId="5F2C9A01" w14:textId="77777777" w:rsidR="00E836FB" w:rsidRDefault="00994958">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5F2C9A02" w14:textId="77777777" w:rsidR="00E836FB" w:rsidRDefault="00994958">
            <w:pPr>
              <w:textAlignment w:val="center"/>
            </w:pPr>
            <w:r>
              <w:rPr>
                <w:rFonts w:ascii="Arial" w:eastAsia="宋体" w:hAnsi="Arial" w:cs="Arial"/>
                <w:color w:val="000000"/>
                <w:sz w:val="18"/>
                <w:szCs w:val="18"/>
              </w:rPr>
              <w:t>[Reserved]</w:t>
            </w:r>
          </w:p>
        </w:tc>
        <w:tc>
          <w:tcPr>
            <w:tcW w:w="0" w:type="auto"/>
            <w:gridSpan w:val="3"/>
            <w:shd w:val="clear" w:color="auto" w:fill="auto"/>
            <w:tcMar>
              <w:top w:w="40" w:type="dxa"/>
              <w:left w:w="20" w:type="dxa"/>
              <w:bottom w:w="40" w:type="dxa"/>
              <w:right w:w="20" w:type="dxa"/>
            </w:tcMar>
            <w:vAlign w:val="center"/>
          </w:tcPr>
          <w:p w14:paraId="5F2C9A03" w14:textId="77777777" w:rsidR="00E836FB" w:rsidRDefault="00994958">
            <w:pPr>
              <w:jc w:val="right"/>
              <w:textAlignment w:val="center"/>
            </w:pPr>
            <w:hyperlink r:id="rId14" w:anchor="i7cc1f9a814a84c708b0facd5c0e99397_85" w:history="1">
              <w:r>
                <w:rPr>
                  <w:rStyle w:val="a5"/>
                  <w:rFonts w:ascii="Arial" w:eastAsia="宋体" w:hAnsi="Arial" w:cs="Arial"/>
                  <w:color w:val="000000"/>
                  <w:sz w:val="18"/>
                  <w:szCs w:val="18"/>
                  <w:u w:val="none"/>
                </w:rPr>
                <w:t>57</w:t>
              </w:r>
            </w:hyperlink>
          </w:p>
        </w:tc>
      </w:tr>
      <w:tr w:rsidR="00E836FB" w14:paraId="5F2C9A08" w14:textId="77777777">
        <w:tc>
          <w:tcPr>
            <w:tcW w:w="0" w:type="auto"/>
            <w:gridSpan w:val="3"/>
            <w:shd w:val="clear" w:color="auto" w:fill="auto"/>
            <w:tcMar>
              <w:top w:w="40" w:type="dxa"/>
              <w:left w:w="155" w:type="dxa"/>
              <w:bottom w:w="40" w:type="dxa"/>
              <w:right w:w="20" w:type="dxa"/>
            </w:tcMar>
          </w:tcPr>
          <w:p w14:paraId="5F2C9A05" w14:textId="77777777" w:rsidR="00E836FB" w:rsidRDefault="00994958">
            <w:pPr>
              <w:textAlignment w:val="top"/>
            </w:pPr>
            <w:r>
              <w:rPr>
                <w:rFonts w:ascii="Arial" w:eastAsia="宋体" w:hAnsi="Arial" w:cs="Arial"/>
                <w:color w:val="000000"/>
                <w:sz w:val="18"/>
                <w:szCs w:val="18"/>
              </w:rPr>
              <w:t>Item 7</w:t>
            </w:r>
          </w:p>
        </w:tc>
        <w:tc>
          <w:tcPr>
            <w:tcW w:w="0" w:type="auto"/>
            <w:gridSpan w:val="3"/>
            <w:shd w:val="clear" w:color="auto" w:fill="auto"/>
            <w:tcMar>
              <w:top w:w="40" w:type="dxa"/>
              <w:left w:w="155" w:type="dxa"/>
              <w:bottom w:w="40" w:type="dxa"/>
              <w:right w:w="20" w:type="dxa"/>
            </w:tcMar>
            <w:vAlign w:val="center"/>
          </w:tcPr>
          <w:p w14:paraId="5F2C9A06" w14:textId="77777777" w:rsidR="00E836FB" w:rsidRDefault="00994958">
            <w:pPr>
              <w:textAlignment w:val="center"/>
            </w:pPr>
            <w:r>
              <w:rPr>
                <w:rFonts w:ascii="Arial" w:eastAsia="宋体" w:hAnsi="Arial" w:cs="Arial"/>
                <w:color w:val="000000"/>
                <w:sz w:val="18"/>
                <w:szCs w:val="18"/>
              </w:rPr>
              <w:t xml:space="preserve">Management's Discussion and Analysis of Financial Condition and </w:t>
            </w:r>
            <w:r>
              <w:rPr>
                <w:rFonts w:ascii="Arial" w:eastAsia="宋体" w:hAnsi="Arial" w:cs="Arial"/>
                <w:color w:val="000000"/>
                <w:sz w:val="18"/>
                <w:szCs w:val="18"/>
              </w:rPr>
              <w:lastRenderedPageBreak/>
              <w:t>Results of Operations</w:t>
            </w:r>
          </w:p>
        </w:tc>
        <w:tc>
          <w:tcPr>
            <w:tcW w:w="0" w:type="auto"/>
            <w:gridSpan w:val="3"/>
            <w:shd w:val="clear" w:color="auto" w:fill="auto"/>
            <w:tcMar>
              <w:top w:w="40" w:type="dxa"/>
              <w:left w:w="20" w:type="dxa"/>
              <w:bottom w:w="40" w:type="dxa"/>
              <w:right w:w="20" w:type="dxa"/>
            </w:tcMar>
            <w:vAlign w:val="center"/>
          </w:tcPr>
          <w:p w14:paraId="5F2C9A07" w14:textId="77777777" w:rsidR="00E836FB" w:rsidRDefault="00994958">
            <w:pPr>
              <w:jc w:val="right"/>
              <w:textAlignment w:val="center"/>
            </w:pPr>
            <w:hyperlink r:id="rId15" w:anchor="i7cc1f9a814a84c708b0facd5c0e99397_85" w:history="1">
              <w:r>
                <w:rPr>
                  <w:rStyle w:val="a5"/>
                  <w:rFonts w:ascii="Arial" w:eastAsia="宋体" w:hAnsi="Arial" w:cs="Arial"/>
                  <w:color w:val="000000"/>
                  <w:sz w:val="18"/>
                  <w:szCs w:val="18"/>
                  <w:u w:val="none"/>
                </w:rPr>
                <w:t>57</w:t>
              </w:r>
            </w:hyperlink>
          </w:p>
        </w:tc>
      </w:tr>
      <w:tr w:rsidR="00E836FB" w14:paraId="5F2C9A0C" w14:textId="77777777">
        <w:tc>
          <w:tcPr>
            <w:tcW w:w="0" w:type="auto"/>
            <w:gridSpan w:val="3"/>
            <w:shd w:val="clear" w:color="auto" w:fill="auto"/>
            <w:tcMar>
              <w:top w:w="0" w:type="dxa"/>
              <w:left w:w="20" w:type="dxa"/>
              <w:bottom w:w="0" w:type="dxa"/>
              <w:right w:w="20" w:type="dxa"/>
            </w:tcMar>
            <w:vAlign w:val="bottom"/>
          </w:tcPr>
          <w:p w14:paraId="5F2C9A09"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0A" w14:textId="77777777" w:rsidR="00E836FB" w:rsidRDefault="00994958">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5F2C9A0B" w14:textId="77777777" w:rsidR="00E836FB" w:rsidRDefault="00994958">
            <w:pPr>
              <w:jc w:val="right"/>
              <w:textAlignment w:val="center"/>
            </w:pPr>
            <w:hyperlink r:id="rId16" w:anchor="i7cc1f9a814a84c708b0facd5c0e99397_88" w:history="1">
              <w:r>
                <w:rPr>
                  <w:rStyle w:val="a5"/>
                  <w:rFonts w:ascii="Arial" w:eastAsia="宋体" w:hAnsi="Arial" w:cs="Arial"/>
                  <w:color w:val="000000"/>
                  <w:sz w:val="18"/>
                  <w:szCs w:val="18"/>
                  <w:u w:val="none"/>
                </w:rPr>
                <w:t>57</w:t>
              </w:r>
            </w:hyperlink>
          </w:p>
        </w:tc>
      </w:tr>
      <w:tr w:rsidR="00E836FB" w14:paraId="5F2C9A10" w14:textId="77777777">
        <w:tc>
          <w:tcPr>
            <w:tcW w:w="0" w:type="auto"/>
            <w:gridSpan w:val="3"/>
            <w:shd w:val="clear" w:color="auto" w:fill="auto"/>
            <w:tcMar>
              <w:top w:w="0" w:type="dxa"/>
              <w:left w:w="20" w:type="dxa"/>
              <w:bottom w:w="0" w:type="dxa"/>
              <w:right w:w="20" w:type="dxa"/>
            </w:tcMar>
            <w:vAlign w:val="bottom"/>
          </w:tcPr>
          <w:p w14:paraId="5F2C9A0D"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0E" w14:textId="77777777" w:rsidR="00E836FB" w:rsidRDefault="00994958">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5F2C9A0F" w14:textId="77777777" w:rsidR="00E836FB" w:rsidRDefault="00994958">
            <w:pPr>
              <w:jc w:val="right"/>
              <w:textAlignment w:val="center"/>
            </w:pPr>
            <w:hyperlink r:id="rId17" w:anchor="i7cc1f9a814a84c708b0facd5c0e99397_94" w:history="1">
              <w:r>
                <w:rPr>
                  <w:rStyle w:val="a5"/>
                  <w:rFonts w:ascii="Arial" w:eastAsia="宋体" w:hAnsi="Arial" w:cs="Arial"/>
                  <w:color w:val="000000"/>
                  <w:sz w:val="18"/>
                  <w:szCs w:val="18"/>
                  <w:u w:val="none"/>
                </w:rPr>
                <w:t>58</w:t>
              </w:r>
            </w:hyperlink>
          </w:p>
        </w:tc>
      </w:tr>
      <w:tr w:rsidR="00E836FB" w14:paraId="5F2C9A14" w14:textId="77777777">
        <w:tc>
          <w:tcPr>
            <w:tcW w:w="0" w:type="auto"/>
            <w:gridSpan w:val="3"/>
            <w:shd w:val="clear" w:color="auto" w:fill="auto"/>
            <w:tcMar>
              <w:top w:w="0" w:type="dxa"/>
              <w:left w:w="20" w:type="dxa"/>
              <w:bottom w:w="0" w:type="dxa"/>
              <w:right w:w="20" w:type="dxa"/>
            </w:tcMar>
            <w:vAlign w:val="bottom"/>
          </w:tcPr>
          <w:p w14:paraId="5F2C9A11"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12" w14:textId="77777777" w:rsidR="00E836FB" w:rsidRDefault="00994958">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5F2C9A13" w14:textId="77777777" w:rsidR="00E836FB" w:rsidRDefault="00994958">
            <w:pPr>
              <w:jc w:val="right"/>
              <w:textAlignment w:val="center"/>
            </w:pPr>
            <w:hyperlink r:id="rId18" w:anchor="i7cc1f9a814a84c708b0facd5c0e99397_103" w:history="1">
              <w:r>
                <w:rPr>
                  <w:rStyle w:val="a5"/>
                  <w:rFonts w:ascii="Arial" w:eastAsia="宋体" w:hAnsi="Arial" w:cs="Arial"/>
                  <w:color w:val="000000"/>
                  <w:sz w:val="18"/>
                  <w:szCs w:val="18"/>
                  <w:u w:val="none"/>
                </w:rPr>
                <w:t>62</w:t>
              </w:r>
            </w:hyperlink>
          </w:p>
        </w:tc>
      </w:tr>
      <w:tr w:rsidR="00E836FB" w14:paraId="5F2C9A18" w14:textId="77777777">
        <w:tc>
          <w:tcPr>
            <w:tcW w:w="0" w:type="auto"/>
            <w:gridSpan w:val="3"/>
            <w:shd w:val="clear" w:color="auto" w:fill="auto"/>
            <w:tcMar>
              <w:top w:w="0" w:type="dxa"/>
              <w:left w:w="20" w:type="dxa"/>
              <w:bottom w:w="0" w:type="dxa"/>
              <w:right w:w="20" w:type="dxa"/>
            </w:tcMar>
            <w:vAlign w:val="bottom"/>
          </w:tcPr>
          <w:p w14:paraId="5F2C9A15"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16" w14:textId="77777777" w:rsidR="00E836FB" w:rsidRDefault="00994958">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5F2C9A17" w14:textId="77777777" w:rsidR="00E836FB" w:rsidRDefault="00994958">
            <w:pPr>
              <w:jc w:val="right"/>
              <w:textAlignment w:val="center"/>
            </w:pPr>
            <w:hyperlink r:id="rId19" w:anchor="i7cc1f9a814a84c708b0facd5c0e99397_106" w:history="1">
              <w:r>
                <w:rPr>
                  <w:rStyle w:val="a5"/>
                  <w:rFonts w:ascii="Arial" w:eastAsia="宋体" w:hAnsi="Arial" w:cs="Arial"/>
                  <w:color w:val="000000"/>
                  <w:sz w:val="18"/>
                  <w:szCs w:val="18"/>
                  <w:u w:val="none"/>
                </w:rPr>
                <w:t>62</w:t>
              </w:r>
            </w:hyperlink>
          </w:p>
        </w:tc>
      </w:tr>
      <w:tr w:rsidR="00E836FB" w14:paraId="5F2C9A1C" w14:textId="77777777">
        <w:tc>
          <w:tcPr>
            <w:tcW w:w="0" w:type="auto"/>
            <w:gridSpan w:val="3"/>
            <w:shd w:val="clear" w:color="auto" w:fill="auto"/>
            <w:tcMar>
              <w:top w:w="0" w:type="dxa"/>
              <w:left w:w="20" w:type="dxa"/>
              <w:bottom w:w="0" w:type="dxa"/>
              <w:right w:w="20" w:type="dxa"/>
            </w:tcMar>
            <w:vAlign w:val="bottom"/>
          </w:tcPr>
          <w:p w14:paraId="5F2C9A19"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1A" w14:textId="77777777" w:rsidR="00E836FB" w:rsidRDefault="00994958">
            <w:pPr>
              <w:textAlignment w:val="center"/>
            </w:pPr>
            <w:r>
              <w:rPr>
                <w:rFonts w:ascii="Arial" w:eastAsia="宋体" w:hAnsi="Arial" w:cs="Arial"/>
                <w:color w:val="000000"/>
                <w:sz w:val="18"/>
                <w:szCs w:val="18"/>
              </w:rPr>
              <w:t>Net Interest Income</w:t>
            </w:r>
          </w:p>
        </w:tc>
        <w:tc>
          <w:tcPr>
            <w:tcW w:w="0" w:type="auto"/>
            <w:gridSpan w:val="3"/>
            <w:shd w:val="clear" w:color="auto" w:fill="auto"/>
            <w:tcMar>
              <w:top w:w="40" w:type="dxa"/>
              <w:left w:w="20" w:type="dxa"/>
              <w:bottom w:w="40" w:type="dxa"/>
              <w:right w:w="20" w:type="dxa"/>
            </w:tcMar>
            <w:vAlign w:val="center"/>
          </w:tcPr>
          <w:p w14:paraId="5F2C9A1B" w14:textId="77777777" w:rsidR="00E836FB" w:rsidRDefault="00994958">
            <w:pPr>
              <w:jc w:val="right"/>
              <w:textAlignment w:val="center"/>
            </w:pPr>
            <w:hyperlink r:id="rId20" w:anchor="i7cc1f9a814a84c708b0facd5c0e99397_112" w:history="1">
              <w:r>
                <w:rPr>
                  <w:rStyle w:val="a5"/>
                  <w:rFonts w:ascii="Arial" w:eastAsia="宋体" w:hAnsi="Arial" w:cs="Arial"/>
                  <w:color w:val="000000"/>
                  <w:sz w:val="18"/>
                  <w:szCs w:val="18"/>
                  <w:u w:val="none"/>
                </w:rPr>
                <w:t>70</w:t>
              </w:r>
            </w:hyperlink>
          </w:p>
        </w:tc>
      </w:tr>
      <w:tr w:rsidR="00E836FB" w14:paraId="5F2C9A20" w14:textId="77777777">
        <w:tc>
          <w:tcPr>
            <w:tcW w:w="0" w:type="auto"/>
            <w:gridSpan w:val="3"/>
            <w:shd w:val="clear" w:color="auto" w:fill="auto"/>
            <w:tcMar>
              <w:top w:w="0" w:type="dxa"/>
              <w:left w:w="20" w:type="dxa"/>
              <w:bottom w:w="0" w:type="dxa"/>
              <w:right w:w="20" w:type="dxa"/>
            </w:tcMar>
            <w:vAlign w:val="bottom"/>
          </w:tcPr>
          <w:p w14:paraId="5F2C9A1D"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1E" w14:textId="77777777" w:rsidR="00E836FB" w:rsidRDefault="00994958">
            <w:pPr>
              <w:textAlignment w:val="center"/>
            </w:pPr>
            <w:r>
              <w:rPr>
                <w:rFonts w:ascii="Arial" w:eastAsia="宋体" w:hAnsi="Arial" w:cs="Arial"/>
                <w:color w:val="000000"/>
                <w:sz w:val="18"/>
                <w:szCs w:val="18"/>
              </w:rPr>
              <w:t>Other Income</w:t>
            </w:r>
          </w:p>
        </w:tc>
        <w:tc>
          <w:tcPr>
            <w:tcW w:w="0" w:type="auto"/>
            <w:gridSpan w:val="3"/>
            <w:shd w:val="clear" w:color="auto" w:fill="auto"/>
            <w:tcMar>
              <w:top w:w="40" w:type="dxa"/>
              <w:left w:w="20" w:type="dxa"/>
              <w:bottom w:w="40" w:type="dxa"/>
              <w:right w:w="20" w:type="dxa"/>
            </w:tcMar>
            <w:vAlign w:val="center"/>
          </w:tcPr>
          <w:p w14:paraId="5F2C9A1F" w14:textId="77777777" w:rsidR="00E836FB" w:rsidRDefault="00994958">
            <w:pPr>
              <w:jc w:val="right"/>
              <w:textAlignment w:val="center"/>
            </w:pPr>
            <w:hyperlink r:id="rId21" w:anchor="i7cc1f9a814a84c708b0facd5c0e99397_121" w:history="1">
              <w:r>
                <w:rPr>
                  <w:rStyle w:val="a5"/>
                  <w:rFonts w:ascii="Arial" w:eastAsia="宋体" w:hAnsi="Arial" w:cs="Arial"/>
                  <w:color w:val="000000"/>
                  <w:sz w:val="18"/>
                  <w:szCs w:val="18"/>
                  <w:u w:val="none"/>
                </w:rPr>
                <w:t>73</w:t>
              </w:r>
            </w:hyperlink>
          </w:p>
        </w:tc>
      </w:tr>
      <w:tr w:rsidR="00E836FB" w14:paraId="5F2C9A24" w14:textId="77777777">
        <w:tc>
          <w:tcPr>
            <w:tcW w:w="0" w:type="auto"/>
            <w:gridSpan w:val="3"/>
            <w:shd w:val="clear" w:color="auto" w:fill="auto"/>
            <w:tcMar>
              <w:top w:w="0" w:type="dxa"/>
              <w:left w:w="20" w:type="dxa"/>
              <w:bottom w:w="0" w:type="dxa"/>
              <w:right w:w="20" w:type="dxa"/>
            </w:tcMar>
            <w:vAlign w:val="bottom"/>
          </w:tcPr>
          <w:p w14:paraId="5F2C9A21"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22" w14:textId="77777777" w:rsidR="00E836FB" w:rsidRDefault="00994958">
            <w:pPr>
              <w:textAlignment w:val="center"/>
            </w:pPr>
            <w:r>
              <w:rPr>
                <w:rFonts w:ascii="Arial" w:eastAsia="宋体" w:hAnsi="Arial" w:cs="Arial"/>
                <w:color w:val="000000"/>
                <w:sz w:val="18"/>
                <w:szCs w:val="18"/>
              </w:rPr>
              <w:t>Provision for Cre</w:t>
            </w:r>
            <w:r>
              <w:rPr>
                <w:rFonts w:ascii="Arial" w:eastAsia="宋体" w:hAnsi="Arial" w:cs="Arial"/>
                <w:color w:val="000000"/>
                <w:sz w:val="18"/>
                <w:szCs w:val="18"/>
              </w:rPr>
              <w:t>dit Losses</w:t>
            </w:r>
          </w:p>
        </w:tc>
        <w:tc>
          <w:tcPr>
            <w:tcW w:w="0" w:type="auto"/>
            <w:gridSpan w:val="3"/>
            <w:shd w:val="clear" w:color="auto" w:fill="auto"/>
            <w:tcMar>
              <w:top w:w="40" w:type="dxa"/>
              <w:left w:w="20" w:type="dxa"/>
              <w:bottom w:w="40" w:type="dxa"/>
              <w:right w:w="20" w:type="dxa"/>
            </w:tcMar>
            <w:vAlign w:val="center"/>
          </w:tcPr>
          <w:p w14:paraId="5F2C9A23" w14:textId="77777777" w:rsidR="00E836FB" w:rsidRDefault="00994958">
            <w:pPr>
              <w:jc w:val="right"/>
              <w:textAlignment w:val="center"/>
            </w:pPr>
            <w:hyperlink r:id="rId22" w:anchor="i7cc1f9a814a84c708b0facd5c0e99397_121" w:history="1">
              <w:r>
                <w:rPr>
                  <w:rStyle w:val="a5"/>
                  <w:rFonts w:ascii="Arial" w:eastAsia="宋体" w:hAnsi="Arial" w:cs="Arial"/>
                  <w:color w:val="000000"/>
                  <w:sz w:val="18"/>
                  <w:szCs w:val="18"/>
                  <w:u w:val="none"/>
                </w:rPr>
                <w:t>73</w:t>
              </w:r>
            </w:hyperlink>
          </w:p>
        </w:tc>
      </w:tr>
      <w:tr w:rsidR="00E836FB" w14:paraId="5F2C9A28" w14:textId="77777777">
        <w:tc>
          <w:tcPr>
            <w:tcW w:w="0" w:type="auto"/>
            <w:gridSpan w:val="3"/>
            <w:shd w:val="clear" w:color="auto" w:fill="auto"/>
            <w:tcMar>
              <w:top w:w="0" w:type="dxa"/>
              <w:left w:w="20" w:type="dxa"/>
              <w:bottom w:w="0" w:type="dxa"/>
              <w:right w:w="20" w:type="dxa"/>
            </w:tcMar>
            <w:vAlign w:val="bottom"/>
          </w:tcPr>
          <w:p w14:paraId="5F2C9A25"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26" w14:textId="77777777" w:rsidR="00E836FB" w:rsidRDefault="00994958">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5F2C9A27" w14:textId="77777777" w:rsidR="00E836FB" w:rsidRDefault="00994958">
            <w:pPr>
              <w:jc w:val="right"/>
              <w:textAlignment w:val="center"/>
            </w:pPr>
            <w:hyperlink r:id="rId23" w:anchor="i7cc1f9a814a84c708b0facd5c0e99397_124" w:history="1">
              <w:r>
                <w:rPr>
                  <w:rStyle w:val="a5"/>
                  <w:rFonts w:ascii="Arial" w:eastAsia="宋体" w:hAnsi="Arial" w:cs="Arial"/>
                  <w:color w:val="000000"/>
                  <w:sz w:val="18"/>
                  <w:szCs w:val="18"/>
                  <w:u w:val="none"/>
                </w:rPr>
                <w:t>73</w:t>
              </w:r>
            </w:hyperlink>
          </w:p>
        </w:tc>
      </w:tr>
      <w:tr w:rsidR="00E836FB" w14:paraId="5F2C9A2C" w14:textId="77777777">
        <w:tc>
          <w:tcPr>
            <w:tcW w:w="0" w:type="auto"/>
            <w:gridSpan w:val="3"/>
            <w:shd w:val="clear" w:color="auto" w:fill="auto"/>
            <w:tcMar>
              <w:top w:w="0" w:type="dxa"/>
              <w:left w:w="20" w:type="dxa"/>
              <w:bottom w:w="0" w:type="dxa"/>
              <w:right w:w="20" w:type="dxa"/>
            </w:tcMar>
            <w:vAlign w:val="bottom"/>
          </w:tcPr>
          <w:p w14:paraId="5F2C9A29" w14:textId="77777777" w:rsidR="00E836FB" w:rsidRDefault="00E836FB">
            <w:pPr>
              <w:rPr>
                <w:rFonts w:ascii="宋体"/>
              </w:rPr>
            </w:pPr>
          </w:p>
        </w:tc>
        <w:tc>
          <w:tcPr>
            <w:tcW w:w="0" w:type="auto"/>
            <w:gridSpan w:val="3"/>
            <w:shd w:val="clear" w:color="auto" w:fill="auto"/>
            <w:tcMar>
              <w:top w:w="40" w:type="dxa"/>
              <w:left w:w="605" w:type="dxa"/>
              <w:bottom w:w="40" w:type="dxa"/>
              <w:right w:w="20" w:type="dxa"/>
            </w:tcMar>
            <w:vAlign w:val="center"/>
          </w:tcPr>
          <w:p w14:paraId="5F2C9A2A" w14:textId="77777777" w:rsidR="00E836FB" w:rsidRDefault="00994958">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5F2C9A2B" w14:textId="77777777" w:rsidR="00E836FB" w:rsidRDefault="00994958">
            <w:pPr>
              <w:jc w:val="right"/>
              <w:textAlignment w:val="center"/>
            </w:pPr>
            <w:hyperlink r:id="rId24" w:anchor="i7cc1f9a814a84c708b0facd5c0e99397_127" w:history="1">
              <w:r>
                <w:rPr>
                  <w:rStyle w:val="a5"/>
                  <w:rFonts w:ascii="Arial" w:eastAsia="宋体" w:hAnsi="Arial" w:cs="Arial"/>
                  <w:color w:val="000000"/>
                  <w:sz w:val="18"/>
                  <w:szCs w:val="18"/>
                  <w:u w:val="none"/>
                </w:rPr>
                <w:t>74</w:t>
              </w:r>
            </w:hyperlink>
          </w:p>
        </w:tc>
      </w:tr>
      <w:tr w:rsidR="00E836FB" w14:paraId="5F2C9A30" w14:textId="77777777">
        <w:tc>
          <w:tcPr>
            <w:tcW w:w="0" w:type="auto"/>
            <w:gridSpan w:val="3"/>
            <w:shd w:val="clear" w:color="auto" w:fill="auto"/>
            <w:tcMar>
              <w:top w:w="0" w:type="dxa"/>
              <w:left w:w="20" w:type="dxa"/>
              <w:bottom w:w="0" w:type="dxa"/>
              <w:right w:w="20" w:type="dxa"/>
            </w:tcMar>
            <w:vAlign w:val="bottom"/>
          </w:tcPr>
          <w:p w14:paraId="5F2C9A2D" w14:textId="77777777" w:rsidR="00E836FB" w:rsidRDefault="00E836FB">
            <w:pPr>
              <w:rPr>
                <w:rFonts w:ascii="宋体"/>
              </w:rPr>
            </w:pPr>
          </w:p>
        </w:tc>
        <w:tc>
          <w:tcPr>
            <w:tcW w:w="0" w:type="auto"/>
            <w:gridSpan w:val="3"/>
            <w:shd w:val="clear" w:color="auto" w:fill="auto"/>
            <w:tcMar>
              <w:top w:w="40" w:type="dxa"/>
              <w:left w:w="605" w:type="dxa"/>
              <w:bottom w:w="40" w:type="dxa"/>
              <w:right w:w="20" w:type="dxa"/>
            </w:tcMar>
            <w:vAlign w:val="center"/>
          </w:tcPr>
          <w:p w14:paraId="5F2C9A2E" w14:textId="77777777" w:rsidR="00E836FB" w:rsidRDefault="00994958">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5F2C9A2F" w14:textId="77777777" w:rsidR="00E836FB" w:rsidRDefault="00994958">
            <w:pPr>
              <w:jc w:val="right"/>
              <w:textAlignment w:val="center"/>
            </w:pPr>
            <w:hyperlink r:id="rId25" w:anchor="i7cc1f9a814a84c708b0facd5c0e99397_127" w:history="1">
              <w:r>
                <w:rPr>
                  <w:rStyle w:val="a5"/>
                  <w:rFonts w:ascii="Arial" w:eastAsia="宋体" w:hAnsi="Arial" w:cs="Arial"/>
                  <w:color w:val="000000"/>
                  <w:sz w:val="18"/>
                  <w:szCs w:val="18"/>
                  <w:u w:val="none"/>
                </w:rPr>
                <w:t>74</w:t>
              </w:r>
            </w:hyperlink>
          </w:p>
        </w:tc>
      </w:tr>
      <w:tr w:rsidR="00E836FB" w14:paraId="5F2C9A34" w14:textId="77777777">
        <w:tc>
          <w:tcPr>
            <w:tcW w:w="0" w:type="auto"/>
            <w:gridSpan w:val="3"/>
            <w:shd w:val="clear" w:color="auto" w:fill="auto"/>
            <w:tcMar>
              <w:top w:w="0" w:type="dxa"/>
              <w:left w:w="20" w:type="dxa"/>
              <w:bottom w:w="0" w:type="dxa"/>
              <w:right w:w="20" w:type="dxa"/>
            </w:tcMar>
            <w:vAlign w:val="bottom"/>
          </w:tcPr>
          <w:p w14:paraId="5F2C9A31"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32" w14:textId="77777777" w:rsidR="00E836FB" w:rsidRDefault="00994958">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5F2C9A33" w14:textId="77777777" w:rsidR="00E836FB" w:rsidRDefault="00994958">
            <w:pPr>
              <w:jc w:val="right"/>
              <w:textAlignment w:val="center"/>
            </w:pPr>
            <w:hyperlink r:id="rId26" w:anchor="i7cc1f9a814a84c708b0facd5c0e99397_127" w:history="1">
              <w:r>
                <w:rPr>
                  <w:rStyle w:val="a5"/>
                  <w:rFonts w:ascii="Arial" w:eastAsia="宋体" w:hAnsi="Arial" w:cs="Arial"/>
                  <w:color w:val="000000"/>
                  <w:sz w:val="18"/>
                  <w:szCs w:val="18"/>
                  <w:u w:val="none"/>
                </w:rPr>
                <w:t>74</w:t>
              </w:r>
            </w:hyperlink>
          </w:p>
        </w:tc>
      </w:tr>
      <w:tr w:rsidR="00E836FB" w14:paraId="5F2C9A38" w14:textId="77777777">
        <w:tc>
          <w:tcPr>
            <w:tcW w:w="0" w:type="auto"/>
            <w:gridSpan w:val="3"/>
            <w:shd w:val="clear" w:color="auto" w:fill="auto"/>
            <w:tcMar>
              <w:top w:w="0" w:type="dxa"/>
              <w:left w:w="20" w:type="dxa"/>
              <w:bottom w:w="0" w:type="dxa"/>
              <w:right w:w="20" w:type="dxa"/>
            </w:tcMar>
            <w:vAlign w:val="bottom"/>
          </w:tcPr>
          <w:p w14:paraId="5F2C9A35"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36" w14:textId="77777777" w:rsidR="00E836FB" w:rsidRDefault="00994958">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5F2C9A37" w14:textId="77777777" w:rsidR="00E836FB" w:rsidRDefault="00994958">
            <w:pPr>
              <w:jc w:val="right"/>
              <w:textAlignment w:val="center"/>
            </w:pPr>
            <w:hyperlink r:id="rId27" w:anchor="i7cc1f9a814a84c708b0facd5c0e99397_133" w:history="1">
              <w:r>
                <w:rPr>
                  <w:rStyle w:val="a5"/>
                  <w:rFonts w:ascii="Arial" w:eastAsia="宋体" w:hAnsi="Arial" w:cs="Arial"/>
                  <w:color w:val="000000"/>
                  <w:sz w:val="18"/>
                  <w:szCs w:val="18"/>
                  <w:u w:val="none"/>
                </w:rPr>
                <w:t>74</w:t>
              </w:r>
            </w:hyperlink>
          </w:p>
        </w:tc>
      </w:tr>
      <w:tr w:rsidR="00E836FB" w14:paraId="5F2C9A3C" w14:textId="77777777">
        <w:tc>
          <w:tcPr>
            <w:tcW w:w="0" w:type="auto"/>
            <w:gridSpan w:val="3"/>
            <w:shd w:val="clear" w:color="auto" w:fill="auto"/>
            <w:tcMar>
              <w:top w:w="0" w:type="dxa"/>
              <w:left w:w="20" w:type="dxa"/>
              <w:bottom w:w="0" w:type="dxa"/>
              <w:right w:w="20" w:type="dxa"/>
            </w:tcMar>
            <w:vAlign w:val="bottom"/>
          </w:tcPr>
          <w:p w14:paraId="5F2C9A39"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3A" w14:textId="77777777" w:rsidR="00E836FB" w:rsidRDefault="00994958">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5F2C9A3B" w14:textId="77777777" w:rsidR="00E836FB" w:rsidRDefault="00994958">
            <w:pPr>
              <w:jc w:val="right"/>
              <w:textAlignment w:val="center"/>
            </w:pPr>
            <w:hyperlink r:id="rId28" w:anchor="i7cc1f9a814a84c708b0facd5c0e99397_136" w:history="1">
              <w:r>
                <w:rPr>
                  <w:rStyle w:val="a5"/>
                  <w:rFonts w:ascii="Arial" w:eastAsia="宋体" w:hAnsi="Arial" w:cs="Arial"/>
                  <w:color w:val="000000"/>
                  <w:sz w:val="18"/>
                  <w:szCs w:val="18"/>
                  <w:u w:val="none"/>
                </w:rPr>
                <w:t>75</w:t>
              </w:r>
            </w:hyperlink>
          </w:p>
        </w:tc>
      </w:tr>
      <w:tr w:rsidR="00E836FB" w14:paraId="5F2C9A40" w14:textId="77777777">
        <w:tc>
          <w:tcPr>
            <w:tcW w:w="0" w:type="auto"/>
            <w:gridSpan w:val="3"/>
            <w:shd w:val="clear" w:color="auto" w:fill="auto"/>
            <w:tcMar>
              <w:top w:w="0" w:type="dxa"/>
              <w:left w:w="20" w:type="dxa"/>
              <w:bottom w:w="0" w:type="dxa"/>
              <w:right w:w="20" w:type="dxa"/>
            </w:tcMar>
            <w:vAlign w:val="bottom"/>
          </w:tcPr>
          <w:p w14:paraId="5F2C9A3D"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3E" w14:textId="77777777" w:rsidR="00E836FB" w:rsidRDefault="00994958">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5F2C9A3F" w14:textId="77777777" w:rsidR="00E836FB" w:rsidRDefault="00994958">
            <w:pPr>
              <w:jc w:val="right"/>
              <w:textAlignment w:val="center"/>
            </w:pPr>
            <w:hyperlink r:id="rId29" w:anchor="i7cc1f9a814a84c708b0facd5c0e99397_157" w:history="1">
              <w:r>
                <w:rPr>
                  <w:rStyle w:val="a5"/>
                  <w:rFonts w:ascii="Arial" w:eastAsia="宋体" w:hAnsi="Arial" w:cs="Arial"/>
                  <w:color w:val="000000"/>
                  <w:sz w:val="18"/>
                  <w:szCs w:val="18"/>
                  <w:u w:val="none"/>
                </w:rPr>
                <w:t>76</w:t>
              </w:r>
            </w:hyperlink>
          </w:p>
        </w:tc>
      </w:tr>
      <w:tr w:rsidR="00E836FB" w14:paraId="5F2C9A44" w14:textId="77777777">
        <w:tc>
          <w:tcPr>
            <w:tcW w:w="0" w:type="auto"/>
            <w:gridSpan w:val="3"/>
            <w:shd w:val="clear" w:color="auto" w:fill="auto"/>
            <w:tcMar>
              <w:top w:w="0" w:type="dxa"/>
              <w:left w:w="20" w:type="dxa"/>
              <w:bottom w:w="0" w:type="dxa"/>
              <w:right w:w="20" w:type="dxa"/>
            </w:tcMar>
            <w:vAlign w:val="bottom"/>
          </w:tcPr>
          <w:p w14:paraId="5F2C9A41"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42" w14:textId="77777777" w:rsidR="00E836FB" w:rsidRDefault="00994958">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5F2C9A43" w14:textId="77777777" w:rsidR="00E836FB" w:rsidRDefault="00994958">
            <w:pPr>
              <w:jc w:val="right"/>
              <w:textAlignment w:val="center"/>
            </w:pPr>
            <w:hyperlink r:id="rId30" w:anchor="i7cc1f9a814a84c708b0facd5c0e99397_166" w:history="1">
              <w:r>
                <w:rPr>
                  <w:rStyle w:val="a5"/>
                  <w:rFonts w:ascii="Arial" w:eastAsia="宋体" w:hAnsi="Arial" w:cs="Arial"/>
                  <w:color w:val="000000"/>
                  <w:sz w:val="18"/>
                  <w:szCs w:val="18"/>
                  <w:u w:val="none"/>
                </w:rPr>
                <w:t>77</w:t>
              </w:r>
            </w:hyperlink>
          </w:p>
        </w:tc>
      </w:tr>
      <w:tr w:rsidR="00E836FB" w14:paraId="5F2C9A48" w14:textId="77777777">
        <w:tc>
          <w:tcPr>
            <w:tcW w:w="0" w:type="auto"/>
            <w:gridSpan w:val="3"/>
            <w:shd w:val="clear" w:color="auto" w:fill="auto"/>
            <w:tcMar>
              <w:top w:w="0" w:type="dxa"/>
              <w:left w:w="20" w:type="dxa"/>
              <w:bottom w:w="0" w:type="dxa"/>
              <w:right w:w="20" w:type="dxa"/>
            </w:tcMar>
            <w:vAlign w:val="bottom"/>
          </w:tcPr>
          <w:p w14:paraId="5F2C9A45"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46" w14:textId="77777777" w:rsidR="00E836FB" w:rsidRDefault="00994958">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5F2C9A47" w14:textId="77777777" w:rsidR="00E836FB" w:rsidRDefault="00994958">
            <w:pPr>
              <w:jc w:val="right"/>
              <w:textAlignment w:val="center"/>
            </w:pPr>
            <w:hyperlink r:id="rId31" w:anchor="i7cc1f9a814a84c708b0facd5c0e99397_169" w:history="1">
              <w:r>
                <w:rPr>
                  <w:rStyle w:val="a5"/>
                  <w:rFonts w:ascii="Arial" w:eastAsia="宋体" w:hAnsi="Arial" w:cs="Arial"/>
                  <w:color w:val="000000"/>
                  <w:sz w:val="18"/>
                  <w:szCs w:val="18"/>
                  <w:u w:val="none"/>
                </w:rPr>
                <w:t>78</w:t>
              </w:r>
            </w:hyperlink>
          </w:p>
        </w:tc>
      </w:tr>
      <w:tr w:rsidR="00E836FB" w14:paraId="5F2C9A4C" w14:textId="77777777">
        <w:tc>
          <w:tcPr>
            <w:tcW w:w="0" w:type="auto"/>
            <w:gridSpan w:val="3"/>
            <w:shd w:val="clear" w:color="auto" w:fill="auto"/>
            <w:tcMar>
              <w:top w:w="0" w:type="dxa"/>
              <w:left w:w="20" w:type="dxa"/>
              <w:bottom w:w="0" w:type="dxa"/>
              <w:right w:w="20" w:type="dxa"/>
            </w:tcMar>
            <w:vAlign w:val="bottom"/>
          </w:tcPr>
          <w:p w14:paraId="5F2C9A49"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4A" w14:textId="77777777" w:rsidR="00E836FB" w:rsidRDefault="00994958">
            <w:pPr>
              <w:textAlignment w:val="center"/>
            </w:pPr>
            <w:r>
              <w:rPr>
                <w:rFonts w:ascii="Arial" w:eastAsia="宋体" w:hAnsi="Arial" w:cs="Arial"/>
                <w:color w:val="000000"/>
                <w:sz w:val="18"/>
                <w:szCs w:val="18"/>
              </w:rPr>
              <w:t xml:space="preserve">Loans </w:t>
            </w:r>
          </w:p>
        </w:tc>
        <w:tc>
          <w:tcPr>
            <w:tcW w:w="0" w:type="auto"/>
            <w:gridSpan w:val="3"/>
            <w:shd w:val="clear" w:color="auto" w:fill="auto"/>
            <w:tcMar>
              <w:top w:w="40" w:type="dxa"/>
              <w:left w:w="20" w:type="dxa"/>
              <w:bottom w:w="40" w:type="dxa"/>
              <w:right w:w="20" w:type="dxa"/>
            </w:tcMar>
            <w:vAlign w:val="center"/>
          </w:tcPr>
          <w:p w14:paraId="5F2C9A4B" w14:textId="77777777" w:rsidR="00E836FB" w:rsidRDefault="00994958">
            <w:pPr>
              <w:jc w:val="right"/>
              <w:textAlignment w:val="center"/>
            </w:pPr>
            <w:hyperlink r:id="rId32" w:anchor="i7cc1f9a814a84c708b0facd5c0e99397_178" w:history="1">
              <w:r>
                <w:rPr>
                  <w:rStyle w:val="a5"/>
                  <w:rFonts w:ascii="Arial" w:eastAsia="宋体" w:hAnsi="Arial" w:cs="Arial"/>
                  <w:color w:val="000000"/>
                  <w:sz w:val="18"/>
                  <w:szCs w:val="18"/>
                  <w:u w:val="none"/>
                </w:rPr>
                <w:t>81</w:t>
              </w:r>
            </w:hyperlink>
          </w:p>
        </w:tc>
      </w:tr>
      <w:tr w:rsidR="00E836FB" w14:paraId="5F2C9A50" w14:textId="77777777">
        <w:tc>
          <w:tcPr>
            <w:tcW w:w="0" w:type="auto"/>
            <w:gridSpan w:val="3"/>
            <w:shd w:val="clear" w:color="auto" w:fill="auto"/>
            <w:tcMar>
              <w:top w:w="0" w:type="dxa"/>
              <w:left w:w="20" w:type="dxa"/>
              <w:bottom w:w="0" w:type="dxa"/>
              <w:right w:w="20" w:type="dxa"/>
            </w:tcMar>
            <w:vAlign w:val="bottom"/>
          </w:tcPr>
          <w:p w14:paraId="5F2C9A4D"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4E" w14:textId="77777777" w:rsidR="00E836FB" w:rsidRDefault="00994958">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5F2C9A4F" w14:textId="77777777" w:rsidR="00E836FB" w:rsidRDefault="00994958">
            <w:pPr>
              <w:jc w:val="right"/>
              <w:textAlignment w:val="center"/>
            </w:pPr>
            <w:hyperlink r:id="rId33" w:anchor="i7cc1f9a814a84c708b0facd5c0e99397_181" w:history="1">
              <w:r>
                <w:rPr>
                  <w:rStyle w:val="a5"/>
                  <w:rFonts w:ascii="Arial" w:eastAsia="宋体" w:hAnsi="Arial" w:cs="Arial"/>
                  <w:color w:val="000000"/>
                  <w:sz w:val="18"/>
                  <w:szCs w:val="18"/>
                  <w:u w:val="none"/>
                </w:rPr>
                <w:t>82</w:t>
              </w:r>
            </w:hyperlink>
          </w:p>
        </w:tc>
      </w:tr>
      <w:tr w:rsidR="00E836FB" w14:paraId="5F2C9A54" w14:textId="77777777">
        <w:tc>
          <w:tcPr>
            <w:tcW w:w="0" w:type="auto"/>
            <w:gridSpan w:val="3"/>
            <w:shd w:val="clear" w:color="auto" w:fill="auto"/>
            <w:tcMar>
              <w:top w:w="0" w:type="dxa"/>
              <w:left w:w="20" w:type="dxa"/>
              <w:bottom w:w="0" w:type="dxa"/>
              <w:right w:w="20" w:type="dxa"/>
            </w:tcMar>
            <w:vAlign w:val="bottom"/>
          </w:tcPr>
          <w:p w14:paraId="5F2C9A51"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52" w14:textId="77777777" w:rsidR="00E836FB" w:rsidRDefault="00994958">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5F2C9A53" w14:textId="77777777" w:rsidR="00E836FB" w:rsidRDefault="00994958">
            <w:pPr>
              <w:jc w:val="right"/>
              <w:textAlignment w:val="center"/>
            </w:pPr>
            <w:hyperlink r:id="rId34" w:anchor="i7cc1f9a814a84c708b0facd5c0e99397_187" w:history="1">
              <w:r>
                <w:rPr>
                  <w:rStyle w:val="a5"/>
                  <w:rFonts w:ascii="Arial" w:eastAsia="宋体" w:hAnsi="Arial" w:cs="Arial"/>
                  <w:color w:val="000000"/>
                  <w:sz w:val="18"/>
                  <w:szCs w:val="18"/>
                  <w:u w:val="none"/>
                </w:rPr>
                <w:t>83</w:t>
              </w:r>
            </w:hyperlink>
          </w:p>
        </w:tc>
      </w:tr>
      <w:tr w:rsidR="00E836FB" w14:paraId="5F2C9A58" w14:textId="77777777">
        <w:tc>
          <w:tcPr>
            <w:tcW w:w="0" w:type="auto"/>
            <w:gridSpan w:val="3"/>
            <w:shd w:val="clear" w:color="auto" w:fill="auto"/>
            <w:tcMar>
              <w:top w:w="0" w:type="dxa"/>
              <w:left w:w="20" w:type="dxa"/>
              <w:bottom w:w="0" w:type="dxa"/>
              <w:right w:w="20" w:type="dxa"/>
            </w:tcMar>
            <w:vAlign w:val="bottom"/>
          </w:tcPr>
          <w:p w14:paraId="5F2C9A55"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56" w14:textId="77777777" w:rsidR="00E836FB" w:rsidRDefault="00994958">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5F2C9A57" w14:textId="77777777" w:rsidR="00E836FB" w:rsidRDefault="00994958">
            <w:pPr>
              <w:jc w:val="right"/>
              <w:textAlignment w:val="center"/>
            </w:pPr>
            <w:hyperlink r:id="rId35" w:anchor="i7cc1f9a814a84c708b0facd5c0e99397_196" w:history="1">
              <w:r>
                <w:rPr>
                  <w:rStyle w:val="a5"/>
                  <w:rFonts w:ascii="Arial" w:eastAsia="宋体" w:hAnsi="Arial" w:cs="Arial"/>
                  <w:color w:val="000000"/>
                  <w:sz w:val="18"/>
                  <w:szCs w:val="18"/>
                  <w:u w:val="none"/>
                </w:rPr>
                <w:t>88</w:t>
              </w:r>
            </w:hyperlink>
          </w:p>
        </w:tc>
      </w:tr>
      <w:tr w:rsidR="00E836FB" w14:paraId="5F2C9A5C" w14:textId="77777777">
        <w:tc>
          <w:tcPr>
            <w:tcW w:w="0" w:type="auto"/>
            <w:gridSpan w:val="3"/>
            <w:shd w:val="clear" w:color="auto" w:fill="auto"/>
            <w:tcMar>
              <w:top w:w="0" w:type="dxa"/>
              <w:left w:w="20" w:type="dxa"/>
              <w:bottom w:w="0" w:type="dxa"/>
              <w:right w:w="20" w:type="dxa"/>
            </w:tcMar>
            <w:vAlign w:val="bottom"/>
          </w:tcPr>
          <w:p w14:paraId="5F2C9A59"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5A" w14:textId="77777777" w:rsidR="00E836FB" w:rsidRDefault="00994958">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5F2C9A5B" w14:textId="77777777" w:rsidR="00E836FB" w:rsidRDefault="00994958">
            <w:pPr>
              <w:jc w:val="right"/>
              <w:textAlignment w:val="center"/>
            </w:pPr>
            <w:hyperlink r:id="rId36" w:anchor="i7cc1f9a814a84c708b0facd5c0e99397_226" w:history="1">
              <w:r>
                <w:rPr>
                  <w:rStyle w:val="a5"/>
                  <w:rFonts w:ascii="Arial" w:eastAsia="宋体" w:hAnsi="Arial" w:cs="Arial"/>
                  <w:color w:val="000000"/>
                  <w:sz w:val="18"/>
                  <w:szCs w:val="18"/>
                  <w:u w:val="none"/>
                </w:rPr>
                <w:t>93</w:t>
              </w:r>
            </w:hyperlink>
          </w:p>
        </w:tc>
      </w:tr>
      <w:tr w:rsidR="00E836FB" w14:paraId="5F2C9A60" w14:textId="77777777">
        <w:tc>
          <w:tcPr>
            <w:tcW w:w="0" w:type="auto"/>
            <w:gridSpan w:val="3"/>
            <w:shd w:val="clear" w:color="auto" w:fill="auto"/>
            <w:tcMar>
              <w:top w:w="0" w:type="dxa"/>
              <w:left w:w="20" w:type="dxa"/>
              <w:bottom w:w="0" w:type="dxa"/>
              <w:right w:w="20" w:type="dxa"/>
            </w:tcMar>
            <w:vAlign w:val="bottom"/>
          </w:tcPr>
          <w:p w14:paraId="5F2C9A5D"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5E" w14:textId="77777777" w:rsidR="00E836FB" w:rsidRDefault="00994958">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5F2C9A5F" w14:textId="77777777" w:rsidR="00E836FB" w:rsidRDefault="00994958">
            <w:pPr>
              <w:jc w:val="right"/>
              <w:textAlignment w:val="center"/>
            </w:pPr>
            <w:hyperlink r:id="rId37" w:anchor="i7cc1f9a814a84c708b0facd5c0e99397_262" w:history="1">
              <w:r>
                <w:rPr>
                  <w:rStyle w:val="a5"/>
                  <w:rFonts w:ascii="Arial" w:eastAsia="宋体" w:hAnsi="Arial" w:cs="Arial"/>
                  <w:color w:val="000000"/>
                  <w:sz w:val="18"/>
                  <w:szCs w:val="18"/>
                  <w:u w:val="none"/>
                </w:rPr>
                <w:t>99</w:t>
              </w:r>
            </w:hyperlink>
          </w:p>
        </w:tc>
      </w:tr>
      <w:tr w:rsidR="00E836FB" w14:paraId="5F2C9A64" w14:textId="77777777">
        <w:tc>
          <w:tcPr>
            <w:tcW w:w="0" w:type="auto"/>
            <w:gridSpan w:val="3"/>
            <w:shd w:val="clear" w:color="auto" w:fill="auto"/>
            <w:tcMar>
              <w:top w:w="0" w:type="dxa"/>
              <w:left w:w="20" w:type="dxa"/>
              <w:bottom w:w="0" w:type="dxa"/>
              <w:right w:w="20" w:type="dxa"/>
            </w:tcMar>
            <w:vAlign w:val="bottom"/>
          </w:tcPr>
          <w:p w14:paraId="5F2C9A61"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62" w14:textId="77777777" w:rsidR="00E836FB" w:rsidRDefault="00994958">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5F2C9A63" w14:textId="77777777" w:rsidR="00E836FB" w:rsidRDefault="00994958">
            <w:pPr>
              <w:jc w:val="right"/>
              <w:textAlignment w:val="center"/>
            </w:pPr>
            <w:hyperlink r:id="rId38" w:anchor="i7cc1f9a814a84c708b0facd5c0e99397_265" w:history="1">
              <w:r>
                <w:rPr>
                  <w:rStyle w:val="a5"/>
                  <w:rFonts w:ascii="Arial" w:eastAsia="宋体" w:hAnsi="Arial" w:cs="Arial"/>
                  <w:color w:val="000000"/>
                  <w:sz w:val="18"/>
                  <w:szCs w:val="18"/>
                  <w:u w:val="none"/>
                </w:rPr>
                <w:t>102</w:t>
              </w:r>
            </w:hyperlink>
          </w:p>
        </w:tc>
      </w:tr>
      <w:tr w:rsidR="00E836FB" w14:paraId="5F2C9A68" w14:textId="77777777">
        <w:tc>
          <w:tcPr>
            <w:tcW w:w="0" w:type="auto"/>
            <w:gridSpan w:val="3"/>
            <w:shd w:val="clear" w:color="auto" w:fill="auto"/>
            <w:tcMar>
              <w:top w:w="0" w:type="dxa"/>
              <w:left w:w="20" w:type="dxa"/>
              <w:bottom w:w="0" w:type="dxa"/>
              <w:right w:w="20" w:type="dxa"/>
            </w:tcMar>
            <w:vAlign w:val="bottom"/>
          </w:tcPr>
          <w:p w14:paraId="5F2C9A65"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66" w14:textId="77777777" w:rsidR="00E836FB" w:rsidRDefault="00994958">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5F2C9A67" w14:textId="77777777" w:rsidR="00E836FB" w:rsidRDefault="00994958">
            <w:pPr>
              <w:jc w:val="right"/>
              <w:textAlignment w:val="center"/>
            </w:pPr>
            <w:hyperlink r:id="rId39" w:anchor="i7cc1f9a814a84c708b0facd5c0e99397_268" w:history="1">
              <w:r>
                <w:rPr>
                  <w:rStyle w:val="a5"/>
                  <w:rFonts w:ascii="Arial" w:eastAsia="宋体" w:hAnsi="Arial" w:cs="Arial"/>
                  <w:color w:val="000000"/>
                  <w:sz w:val="18"/>
                  <w:szCs w:val="18"/>
                  <w:u w:val="none"/>
                </w:rPr>
                <w:t>103</w:t>
              </w:r>
            </w:hyperlink>
          </w:p>
        </w:tc>
      </w:tr>
      <w:tr w:rsidR="00E836FB" w14:paraId="5F2C9A6C" w14:textId="77777777">
        <w:tc>
          <w:tcPr>
            <w:tcW w:w="0" w:type="auto"/>
            <w:gridSpan w:val="3"/>
            <w:shd w:val="clear" w:color="auto" w:fill="auto"/>
            <w:tcMar>
              <w:top w:w="0" w:type="dxa"/>
              <w:left w:w="20" w:type="dxa"/>
              <w:bottom w:w="0" w:type="dxa"/>
              <w:right w:w="20" w:type="dxa"/>
            </w:tcMar>
            <w:vAlign w:val="bottom"/>
          </w:tcPr>
          <w:p w14:paraId="5F2C9A69"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6A" w14:textId="77777777" w:rsidR="00E836FB" w:rsidRDefault="00994958">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5F2C9A6B" w14:textId="77777777" w:rsidR="00E836FB" w:rsidRDefault="00994958">
            <w:pPr>
              <w:jc w:val="right"/>
              <w:textAlignment w:val="center"/>
            </w:pPr>
            <w:hyperlink r:id="rId40" w:anchor="i7cc1f9a814a84c708b0facd5c0e99397_283" w:history="1">
              <w:r>
                <w:rPr>
                  <w:rStyle w:val="a5"/>
                  <w:rFonts w:ascii="Arial" w:eastAsia="宋体" w:hAnsi="Arial" w:cs="Arial"/>
                  <w:color w:val="000000"/>
                  <w:sz w:val="18"/>
                  <w:szCs w:val="18"/>
                  <w:u w:val="none"/>
                </w:rPr>
                <w:t>111</w:t>
              </w:r>
            </w:hyperlink>
          </w:p>
        </w:tc>
      </w:tr>
      <w:tr w:rsidR="00E836FB" w14:paraId="5F2C9A70" w14:textId="77777777">
        <w:tc>
          <w:tcPr>
            <w:tcW w:w="0" w:type="auto"/>
            <w:gridSpan w:val="3"/>
            <w:shd w:val="clear" w:color="auto" w:fill="auto"/>
            <w:tcMar>
              <w:top w:w="0" w:type="dxa"/>
              <w:left w:w="20" w:type="dxa"/>
              <w:bottom w:w="0" w:type="dxa"/>
              <w:right w:w="20" w:type="dxa"/>
            </w:tcMar>
            <w:vAlign w:val="bottom"/>
          </w:tcPr>
          <w:p w14:paraId="5F2C9A6D"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6E" w14:textId="77777777" w:rsidR="00E836FB" w:rsidRDefault="00994958">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5F2C9A6F" w14:textId="77777777" w:rsidR="00E836FB" w:rsidRDefault="00994958">
            <w:pPr>
              <w:jc w:val="right"/>
              <w:textAlignment w:val="center"/>
            </w:pPr>
            <w:hyperlink r:id="rId41" w:anchor="i7cc1f9a814a84c708b0facd5c0e99397_295" w:history="1">
              <w:r>
                <w:rPr>
                  <w:rStyle w:val="a5"/>
                  <w:rFonts w:ascii="Arial" w:eastAsia="宋体" w:hAnsi="Arial" w:cs="Arial"/>
                  <w:color w:val="000000"/>
                  <w:sz w:val="18"/>
                  <w:szCs w:val="18"/>
                  <w:u w:val="none"/>
                </w:rPr>
                <w:t>112</w:t>
              </w:r>
            </w:hyperlink>
          </w:p>
        </w:tc>
      </w:tr>
      <w:tr w:rsidR="00E836FB" w14:paraId="5F2C9A74" w14:textId="77777777">
        <w:tc>
          <w:tcPr>
            <w:tcW w:w="0" w:type="auto"/>
            <w:gridSpan w:val="3"/>
            <w:shd w:val="clear" w:color="auto" w:fill="auto"/>
            <w:tcMar>
              <w:top w:w="0" w:type="dxa"/>
              <w:left w:w="20" w:type="dxa"/>
              <w:bottom w:w="0" w:type="dxa"/>
              <w:right w:w="20" w:type="dxa"/>
            </w:tcMar>
            <w:vAlign w:val="bottom"/>
          </w:tcPr>
          <w:p w14:paraId="5F2C9A71"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72" w14:textId="77777777" w:rsidR="00E836FB" w:rsidRDefault="00994958">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5F2C9A73" w14:textId="77777777" w:rsidR="00E836FB" w:rsidRDefault="00994958">
            <w:pPr>
              <w:jc w:val="right"/>
              <w:textAlignment w:val="center"/>
            </w:pPr>
            <w:hyperlink r:id="rId42" w:anchor="i7cc1f9a814a84c708b0facd5c0e99397_298" w:history="1">
              <w:r>
                <w:rPr>
                  <w:rStyle w:val="a5"/>
                  <w:rFonts w:ascii="Arial" w:eastAsia="宋体" w:hAnsi="Arial" w:cs="Arial"/>
                  <w:color w:val="000000"/>
                  <w:sz w:val="18"/>
                  <w:szCs w:val="18"/>
                  <w:u w:val="none"/>
                </w:rPr>
                <w:t>113</w:t>
              </w:r>
            </w:hyperlink>
          </w:p>
        </w:tc>
      </w:tr>
      <w:tr w:rsidR="00E836FB" w14:paraId="5F2C9A78" w14:textId="77777777">
        <w:tc>
          <w:tcPr>
            <w:tcW w:w="0" w:type="auto"/>
            <w:gridSpan w:val="3"/>
            <w:shd w:val="clear" w:color="auto" w:fill="auto"/>
            <w:tcMar>
              <w:top w:w="0" w:type="dxa"/>
              <w:left w:w="20" w:type="dxa"/>
              <w:bottom w:w="0" w:type="dxa"/>
              <w:right w:w="20" w:type="dxa"/>
            </w:tcMar>
            <w:vAlign w:val="bottom"/>
          </w:tcPr>
          <w:p w14:paraId="5F2C9A75"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76" w14:textId="77777777" w:rsidR="00E836FB" w:rsidRDefault="00994958">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5F2C9A77" w14:textId="77777777" w:rsidR="00E836FB" w:rsidRDefault="00994958">
            <w:pPr>
              <w:jc w:val="right"/>
              <w:textAlignment w:val="center"/>
            </w:pPr>
            <w:hyperlink r:id="rId43" w:anchor="i7cc1f9a814a84c708b0facd5c0e99397_346" w:history="1">
              <w:r>
                <w:rPr>
                  <w:rStyle w:val="a5"/>
                  <w:rFonts w:ascii="Arial" w:eastAsia="宋体" w:hAnsi="Arial" w:cs="Arial"/>
                  <w:color w:val="000000"/>
                  <w:sz w:val="18"/>
                  <w:szCs w:val="18"/>
                  <w:u w:val="none"/>
                </w:rPr>
                <w:t>123</w:t>
              </w:r>
            </w:hyperlink>
          </w:p>
        </w:tc>
      </w:tr>
      <w:tr w:rsidR="00E836FB" w14:paraId="5F2C9A7C" w14:textId="77777777">
        <w:tc>
          <w:tcPr>
            <w:tcW w:w="0" w:type="auto"/>
            <w:gridSpan w:val="3"/>
            <w:shd w:val="clear" w:color="auto" w:fill="auto"/>
            <w:tcMar>
              <w:top w:w="0" w:type="dxa"/>
              <w:left w:w="20" w:type="dxa"/>
              <w:bottom w:w="0" w:type="dxa"/>
              <w:right w:w="20" w:type="dxa"/>
            </w:tcMar>
            <w:vAlign w:val="bottom"/>
          </w:tcPr>
          <w:p w14:paraId="5F2C9A79"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7A" w14:textId="77777777" w:rsidR="00E836FB" w:rsidRDefault="00994958">
            <w:pPr>
              <w:textAlignment w:val="center"/>
            </w:pPr>
            <w:r>
              <w:rPr>
                <w:rFonts w:ascii="Arial" w:eastAsia="宋体" w:hAnsi="Arial" w:cs="Arial"/>
                <w:color w:val="000000"/>
                <w:sz w:val="18"/>
                <w:szCs w:val="18"/>
              </w:rPr>
              <w:t>Significant Accounting Estimates</w:t>
            </w:r>
          </w:p>
        </w:tc>
        <w:tc>
          <w:tcPr>
            <w:tcW w:w="0" w:type="auto"/>
            <w:gridSpan w:val="3"/>
            <w:shd w:val="clear" w:color="auto" w:fill="auto"/>
            <w:tcMar>
              <w:top w:w="40" w:type="dxa"/>
              <w:left w:w="20" w:type="dxa"/>
              <w:bottom w:w="40" w:type="dxa"/>
              <w:right w:w="20" w:type="dxa"/>
            </w:tcMar>
            <w:vAlign w:val="center"/>
          </w:tcPr>
          <w:p w14:paraId="5F2C9A7B" w14:textId="77777777" w:rsidR="00E836FB" w:rsidRDefault="00994958">
            <w:pPr>
              <w:jc w:val="right"/>
              <w:textAlignment w:val="center"/>
            </w:pPr>
            <w:hyperlink r:id="rId44" w:anchor="i7cc1f9a814a84c708b0facd5c0e99397_346" w:history="1">
              <w:r>
                <w:rPr>
                  <w:rStyle w:val="a5"/>
                  <w:rFonts w:ascii="Arial" w:eastAsia="宋体" w:hAnsi="Arial" w:cs="Arial"/>
                  <w:color w:val="000000"/>
                  <w:sz w:val="18"/>
                  <w:szCs w:val="18"/>
                  <w:u w:val="none"/>
                </w:rPr>
                <w:t>123</w:t>
              </w:r>
            </w:hyperlink>
          </w:p>
        </w:tc>
      </w:tr>
      <w:tr w:rsidR="00E836FB" w14:paraId="5F2C9A80" w14:textId="77777777">
        <w:tc>
          <w:tcPr>
            <w:tcW w:w="0" w:type="auto"/>
            <w:gridSpan w:val="3"/>
            <w:shd w:val="clear" w:color="auto" w:fill="auto"/>
            <w:tcMar>
              <w:top w:w="0" w:type="dxa"/>
              <w:left w:w="20" w:type="dxa"/>
              <w:bottom w:w="0" w:type="dxa"/>
              <w:right w:w="20" w:type="dxa"/>
            </w:tcMar>
            <w:vAlign w:val="bottom"/>
          </w:tcPr>
          <w:p w14:paraId="5F2C9A7D" w14:textId="77777777" w:rsidR="00E836FB" w:rsidRDefault="00E836FB">
            <w:pPr>
              <w:rPr>
                <w:rFonts w:ascii="宋体"/>
              </w:rPr>
            </w:pPr>
          </w:p>
        </w:tc>
        <w:tc>
          <w:tcPr>
            <w:tcW w:w="0" w:type="auto"/>
            <w:gridSpan w:val="3"/>
            <w:shd w:val="clear" w:color="auto" w:fill="auto"/>
            <w:tcMar>
              <w:top w:w="40" w:type="dxa"/>
              <w:left w:w="380" w:type="dxa"/>
              <w:bottom w:w="40" w:type="dxa"/>
              <w:right w:w="20" w:type="dxa"/>
            </w:tcMar>
            <w:vAlign w:val="center"/>
          </w:tcPr>
          <w:p w14:paraId="5F2C9A7E" w14:textId="77777777" w:rsidR="00E836FB" w:rsidRDefault="00994958">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5F2C9A7F" w14:textId="77777777" w:rsidR="00E836FB" w:rsidRDefault="00994958">
            <w:pPr>
              <w:jc w:val="right"/>
              <w:textAlignment w:val="center"/>
            </w:pPr>
            <w:hyperlink r:id="rId45" w:anchor="i7cc1f9a814a84c708b0facd5c0e99397_352" w:history="1">
              <w:r>
                <w:rPr>
                  <w:rStyle w:val="a5"/>
                  <w:rFonts w:ascii="Arial" w:eastAsia="宋体" w:hAnsi="Arial" w:cs="Arial"/>
                  <w:color w:val="000000"/>
                  <w:sz w:val="18"/>
                  <w:szCs w:val="18"/>
                  <w:u w:val="none"/>
                </w:rPr>
                <w:t>126</w:t>
              </w:r>
            </w:hyperlink>
          </w:p>
        </w:tc>
      </w:tr>
      <w:tr w:rsidR="00E836FB" w14:paraId="5F2C9A84" w14:textId="77777777">
        <w:tc>
          <w:tcPr>
            <w:tcW w:w="0" w:type="auto"/>
            <w:gridSpan w:val="3"/>
            <w:shd w:val="clear" w:color="auto" w:fill="auto"/>
            <w:tcMar>
              <w:top w:w="40" w:type="dxa"/>
              <w:left w:w="155" w:type="dxa"/>
              <w:bottom w:w="40" w:type="dxa"/>
              <w:right w:w="20" w:type="dxa"/>
            </w:tcMar>
          </w:tcPr>
          <w:p w14:paraId="5F2C9A81" w14:textId="77777777" w:rsidR="00E836FB" w:rsidRDefault="00994958">
            <w:pPr>
              <w:textAlignment w:val="top"/>
            </w:pPr>
            <w:r>
              <w:rPr>
                <w:rFonts w:ascii="Arial" w:eastAsia="宋体" w:hAnsi="Arial" w:cs="Arial"/>
                <w:color w:val="000000"/>
                <w:sz w:val="18"/>
                <w:szCs w:val="18"/>
              </w:rPr>
              <w:t>Item 7A</w:t>
            </w:r>
          </w:p>
        </w:tc>
        <w:tc>
          <w:tcPr>
            <w:tcW w:w="0" w:type="auto"/>
            <w:gridSpan w:val="3"/>
            <w:shd w:val="clear" w:color="auto" w:fill="auto"/>
            <w:tcMar>
              <w:top w:w="40" w:type="dxa"/>
              <w:left w:w="155" w:type="dxa"/>
              <w:bottom w:w="40" w:type="dxa"/>
              <w:right w:w="20" w:type="dxa"/>
            </w:tcMar>
            <w:vAlign w:val="center"/>
          </w:tcPr>
          <w:p w14:paraId="5F2C9A82" w14:textId="77777777" w:rsidR="00E836FB" w:rsidRDefault="00994958">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5F2C9A83" w14:textId="77777777" w:rsidR="00E836FB" w:rsidRDefault="00994958">
            <w:pPr>
              <w:jc w:val="right"/>
              <w:textAlignment w:val="center"/>
            </w:pPr>
            <w:hyperlink r:id="rId46" w:anchor="i7cc1f9a814a84c708b0facd5c0e99397_355" w:history="1">
              <w:r>
                <w:rPr>
                  <w:rStyle w:val="a5"/>
                  <w:rFonts w:ascii="Arial" w:eastAsia="宋体" w:hAnsi="Arial" w:cs="Arial"/>
                  <w:color w:val="000000"/>
                  <w:sz w:val="18"/>
                  <w:szCs w:val="18"/>
                  <w:u w:val="none"/>
                </w:rPr>
                <w:t>127</w:t>
              </w:r>
            </w:hyperlink>
          </w:p>
        </w:tc>
      </w:tr>
      <w:tr w:rsidR="00E836FB" w14:paraId="5F2C9A88" w14:textId="77777777">
        <w:tc>
          <w:tcPr>
            <w:tcW w:w="0" w:type="auto"/>
            <w:gridSpan w:val="3"/>
            <w:shd w:val="clear" w:color="auto" w:fill="auto"/>
            <w:tcMar>
              <w:top w:w="40" w:type="dxa"/>
              <w:left w:w="155" w:type="dxa"/>
              <w:bottom w:w="40" w:type="dxa"/>
              <w:right w:w="20" w:type="dxa"/>
            </w:tcMar>
          </w:tcPr>
          <w:p w14:paraId="5F2C9A85" w14:textId="77777777" w:rsidR="00E836FB" w:rsidRDefault="00994958">
            <w:pPr>
              <w:textAlignment w:val="top"/>
            </w:pPr>
            <w:r>
              <w:rPr>
                <w:rFonts w:ascii="Arial" w:eastAsia="宋体" w:hAnsi="Arial" w:cs="Arial"/>
                <w:color w:val="000000"/>
                <w:sz w:val="18"/>
                <w:szCs w:val="18"/>
              </w:rPr>
              <w:t>Item 8</w:t>
            </w:r>
          </w:p>
        </w:tc>
        <w:tc>
          <w:tcPr>
            <w:tcW w:w="0" w:type="auto"/>
            <w:gridSpan w:val="3"/>
            <w:shd w:val="clear" w:color="auto" w:fill="auto"/>
            <w:tcMar>
              <w:top w:w="40" w:type="dxa"/>
              <w:left w:w="155" w:type="dxa"/>
              <w:bottom w:w="40" w:type="dxa"/>
              <w:right w:w="20" w:type="dxa"/>
            </w:tcMar>
            <w:vAlign w:val="center"/>
          </w:tcPr>
          <w:p w14:paraId="5F2C9A86" w14:textId="77777777" w:rsidR="00E836FB" w:rsidRDefault="00994958">
            <w:pPr>
              <w:textAlignment w:val="center"/>
            </w:pPr>
            <w:r>
              <w:rPr>
                <w:rFonts w:ascii="Arial" w:eastAsia="宋体" w:hAnsi="Arial" w:cs="Arial"/>
                <w:color w:val="000000"/>
                <w:sz w:val="18"/>
                <w:szCs w:val="18"/>
              </w:rPr>
              <w:t>Financial Statements and Supplementary Data</w:t>
            </w:r>
          </w:p>
        </w:tc>
        <w:tc>
          <w:tcPr>
            <w:tcW w:w="0" w:type="auto"/>
            <w:gridSpan w:val="3"/>
            <w:shd w:val="clear" w:color="auto" w:fill="auto"/>
            <w:tcMar>
              <w:top w:w="40" w:type="dxa"/>
              <w:left w:w="20" w:type="dxa"/>
              <w:bottom w:w="40" w:type="dxa"/>
              <w:right w:w="20" w:type="dxa"/>
            </w:tcMar>
            <w:vAlign w:val="center"/>
          </w:tcPr>
          <w:p w14:paraId="5F2C9A87" w14:textId="77777777" w:rsidR="00E836FB" w:rsidRDefault="00994958">
            <w:pPr>
              <w:jc w:val="right"/>
              <w:textAlignment w:val="center"/>
            </w:pPr>
            <w:hyperlink r:id="rId47" w:anchor="i7cc1f9a814a84c708b0facd5c0e99397_358" w:history="1">
              <w:r>
                <w:rPr>
                  <w:rStyle w:val="a5"/>
                  <w:rFonts w:ascii="Arial" w:eastAsia="宋体" w:hAnsi="Arial" w:cs="Arial"/>
                  <w:color w:val="000000"/>
                  <w:sz w:val="18"/>
                  <w:szCs w:val="18"/>
                  <w:u w:val="none"/>
                </w:rPr>
                <w:t>127</w:t>
              </w:r>
            </w:hyperlink>
          </w:p>
        </w:tc>
      </w:tr>
      <w:tr w:rsidR="00E836FB" w14:paraId="5F2C9A8C" w14:textId="77777777">
        <w:tc>
          <w:tcPr>
            <w:tcW w:w="0" w:type="auto"/>
            <w:gridSpan w:val="3"/>
            <w:shd w:val="clear" w:color="auto" w:fill="auto"/>
            <w:tcMar>
              <w:top w:w="0" w:type="dxa"/>
              <w:left w:w="20" w:type="dxa"/>
              <w:bottom w:w="0" w:type="dxa"/>
              <w:right w:w="20" w:type="dxa"/>
            </w:tcMar>
            <w:vAlign w:val="bottom"/>
          </w:tcPr>
          <w:p w14:paraId="5F2C9A8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C9A8A" w14:textId="77777777" w:rsidR="00E836FB" w:rsidRDefault="00994958">
            <w:pPr>
              <w:textAlignment w:val="center"/>
            </w:pPr>
            <w:r>
              <w:rPr>
                <w:rFonts w:ascii="Arial" w:eastAsia="宋体" w:hAnsi="Arial" w:cs="Arial"/>
                <w:color w:val="000000"/>
                <w:sz w:val="18"/>
                <w:szCs w:val="18"/>
              </w:rPr>
              <w:t>Report of Independent Registered Public Accounting Firm (PCAOB ID: 42)</w:t>
            </w:r>
          </w:p>
        </w:tc>
        <w:tc>
          <w:tcPr>
            <w:tcW w:w="0" w:type="auto"/>
            <w:gridSpan w:val="3"/>
            <w:shd w:val="clear" w:color="auto" w:fill="auto"/>
            <w:tcMar>
              <w:top w:w="40" w:type="dxa"/>
              <w:left w:w="20" w:type="dxa"/>
              <w:bottom w:w="40" w:type="dxa"/>
              <w:right w:w="20" w:type="dxa"/>
            </w:tcMar>
            <w:vAlign w:val="center"/>
          </w:tcPr>
          <w:p w14:paraId="5F2C9A8B" w14:textId="77777777" w:rsidR="00E836FB" w:rsidRDefault="00994958">
            <w:pPr>
              <w:jc w:val="right"/>
              <w:textAlignment w:val="center"/>
            </w:pPr>
            <w:hyperlink r:id="rId48" w:anchor="i7cc1f9a814a84c708b0facd5c0e99397_361" w:history="1">
              <w:r>
                <w:rPr>
                  <w:rStyle w:val="a5"/>
                  <w:rFonts w:ascii="Arial" w:eastAsia="宋体" w:hAnsi="Arial" w:cs="Arial"/>
                  <w:color w:val="000000"/>
                  <w:sz w:val="18"/>
                  <w:szCs w:val="18"/>
                  <w:u w:val="none"/>
                </w:rPr>
                <w:t>128</w:t>
              </w:r>
            </w:hyperlink>
          </w:p>
        </w:tc>
      </w:tr>
      <w:tr w:rsidR="00E836FB" w14:paraId="5F2C9A90" w14:textId="77777777">
        <w:tc>
          <w:tcPr>
            <w:tcW w:w="0" w:type="auto"/>
            <w:gridSpan w:val="3"/>
            <w:shd w:val="clear" w:color="auto" w:fill="auto"/>
            <w:tcMar>
              <w:top w:w="0" w:type="dxa"/>
              <w:left w:w="20" w:type="dxa"/>
              <w:bottom w:w="0" w:type="dxa"/>
              <w:right w:w="20" w:type="dxa"/>
            </w:tcMar>
            <w:vAlign w:val="bottom"/>
          </w:tcPr>
          <w:p w14:paraId="5F2C9A8D"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8E" w14:textId="77777777" w:rsidR="00E836FB" w:rsidRDefault="00994958">
            <w:pPr>
              <w:textAlignment w:val="center"/>
            </w:pPr>
            <w:r>
              <w:rPr>
                <w:rFonts w:ascii="Arial" w:eastAsia="宋体" w:hAnsi="Arial" w:cs="Arial"/>
                <w:color w:val="000000"/>
                <w:sz w:val="18"/>
                <w:szCs w:val="18"/>
              </w:rPr>
              <w:t>Consolidated Statement of Income</w:t>
            </w:r>
          </w:p>
        </w:tc>
        <w:tc>
          <w:tcPr>
            <w:tcW w:w="0" w:type="auto"/>
            <w:gridSpan w:val="3"/>
            <w:shd w:val="clear" w:color="auto" w:fill="auto"/>
            <w:tcMar>
              <w:top w:w="40" w:type="dxa"/>
              <w:left w:w="20" w:type="dxa"/>
              <w:bottom w:w="40" w:type="dxa"/>
              <w:right w:w="20" w:type="dxa"/>
            </w:tcMar>
            <w:vAlign w:val="center"/>
          </w:tcPr>
          <w:p w14:paraId="5F2C9A8F" w14:textId="77777777" w:rsidR="00E836FB" w:rsidRDefault="00994958">
            <w:pPr>
              <w:jc w:val="right"/>
              <w:textAlignment w:val="center"/>
            </w:pPr>
            <w:hyperlink r:id="rId49" w:anchor="i7cc1f9a814a84c708b0facd5c0e99397_364" w:history="1">
              <w:r>
                <w:rPr>
                  <w:rStyle w:val="a5"/>
                  <w:rFonts w:ascii="Arial" w:eastAsia="宋体" w:hAnsi="Arial" w:cs="Arial"/>
                  <w:color w:val="000000"/>
                  <w:sz w:val="18"/>
                  <w:szCs w:val="18"/>
                  <w:u w:val="none"/>
                </w:rPr>
                <w:t>130</w:t>
              </w:r>
            </w:hyperlink>
          </w:p>
        </w:tc>
      </w:tr>
    </w:tbl>
    <w:p w14:paraId="5F2C9A91" w14:textId="77777777" w:rsidR="00E836FB" w:rsidRDefault="00994958">
      <w:pPr>
        <w:ind w:firstLine="450"/>
        <w:jc w:val="right"/>
      </w:pPr>
      <w:r>
        <w:rPr>
          <w:rFonts w:ascii="Arial" w:eastAsia="宋体" w:hAnsi="Arial" w:cs="Arial"/>
          <w:color w:val="000000"/>
          <w:sz w:val="18"/>
          <w:szCs w:val="18"/>
        </w:rPr>
        <w:t>State Street Corporation | 2</w:t>
      </w:r>
    </w:p>
    <w:p w14:paraId="5F2C9A92" w14:textId="77777777" w:rsidR="00E836FB" w:rsidRDefault="00E836FB">
      <w:pPr>
        <w:ind w:firstLine="450"/>
        <w:jc w:val="center"/>
      </w:pPr>
    </w:p>
    <w:p w14:paraId="5F2C9A93" w14:textId="77777777" w:rsidR="00E836FB" w:rsidRDefault="00994958">
      <w:r>
        <w:pict w14:anchorId="5F2D6D85">
          <v:rect id="_x0000_i1026" style="width:415.3pt;height:1.5pt" o:hralign="center" o:hrstd="t" o:hr="t" fillcolor="#a0a0a0" stroked="f"/>
        </w:pict>
      </w:r>
    </w:p>
    <w:p w14:paraId="5F2C9A94" w14:textId="77777777" w:rsidR="00E836FB" w:rsidRDefault="00E836FB">
      <w:pPr>
        <w:ind w:firstLine="450"/>
      </w:pPr>
    </w:p>
    <w:tbl>
      <w:tblPr>
        <w:tblW w:w="4912" w:type="pct"/>
        <w:tblCellMar>
          <w:top w:w="15" w:type="dxa"/>
          <w:left w:w="15" w:type="dxa"/>
          <w:bottom w:w="15" w:type="dxa"/>
          <w:right w:w="15" w:type="dxa"/>
        </w:tblCellMar>
        <w:tblLook w:val="04A0" w:firstRow="1" w:lastRow="0" w:firstColumn="1" w:lastColumn="0" w:noHBand="0" w:noVBand="1"/>
      </w:tblPr>
      <w:tblGrid>
        <w:gridCol w:w="67"/>
        <w:gridCol w:w="1309"/>
        <w:gridCol w:w="37"/>
        <w:gridCol w:w="68"/>
        <w:gridCol w:w="5941"/>
        <w:gridCol w:w="37"/>
        <w:gridCol w:w="68"/>
        <w:gridCol w:w="626"/>
        <w:gridCol w:w="36"/>
      </w:tblGrid>
      <w:tr w:rsidR="00E836FB" w14:paraId="5F2C9A9E" w14:textId="77777777">
        <w:tc>
          <w:tcPr>
            <w:tcW w:w="50" w:type="pct"/>
            <w:shd w:val="clear" w:color="auto" w:fill="auto"/>
            <w:vAlign w:val="bottom"/>
          </w:tcPr>
          <w:p w14:paraId="5F2C9A95" w14:textId="77777777" w:rsidR="00E836FB" w:rsidRDefault="00E836FB">
            <w:pPr>
              <w:rPr>
                <w:rFonts w:ascii="宋体"/>
              </w:rPr>
            </w:pPr>
          </w:p>
        </w:tc>
        <w:tc>
          <w:tcPr>
            <w:tcW w:w="808" w:type="pct"/>
            <w:shd w:val="clear" w:color="auto" w:fill="auto"/>
            <w:vAlign w:val="bottom"/>
          </w:tcPr>
          <w:p w14:paraId="5F2C9A96" w14:textId="77777777" w:rsidR="00E836FB" w:rsidRDefault="00E836FB">
            <w:pPr>
              <w:rPr>
                <w:rFonts w:ascii="宋体"/>
              </w:rPr>
            </w:pPr>
          </w:p>
        </w:tc>
        <w:tc>
          <w:tcPr>
            <w:tcW w:w="5" w:type="pct"/>
            <w:shd w:val="clear" w:color="auto" w:fill="auto"/>
            <w:vAlign w:val="bottom"/>
          </w:tcPr>
          <w:p w14:paraId="5F2C9A97" w14:textId="77777777" w:rsidR="00E836FB" w:rsidRDefault="00E836FB">
            <w:pPr>
              <w:rPr>
                <w:rFonts w:ascii="宋体"/>
              </w:rPr>
            </w:pPr>
          </w:p>
        </w:tc>
        <w:tc>
          <w:tcPr>
            <w:tcW w:w="50" w:type="pct"/>
            <w:shd w:val="clear" w:color="auto" w:fill="auto"/>
            <w:vAlign w:val="bottom"/>
          </w:tcPr>
          <w:p w14:paraId="5F2C9A98" w14:textId="77777777" w:rsidR="00E836FB" w:rsidRDefault="00E836FB">
            <w:pPr>
              <w:rPr>
                <w:rFonts w:ascii="宋体"/>
              </w:rPr>
            </w:pPr>
          </w:p>
        </w:tc>
        <w:tc>
          <w:tcPr>
            <w:tcW w:w="3635" w:type="pct"/>
            <w:shd w:val="clear" w:color="auto" w:fill="auto"/>
            <w:vAlign w:val="bottom"/>
          </w:tcPr>
          <w:p w14:paraId="5F2C9A99" w14:textId="77777777" w:rsidR="00E836FB" w:rsidRDefault="00E836FB">
            <w:pPr>
              <w:rPr>
                <w:rFonts w:ascii="宋体"/>
              </w:rPr>
            </w:pPr>
          </w:p>
        </w:tc>
        <w:tc>
          <w:tcPr>
            <w:tcW w:w="5" w:type="pct"/>
            <w:shd w:val="clear" w:color="auto" w:fill="auto"/>
            <w:vAlign w:val="bottom"/>
          </w:tcPr>
          <w:p w14:paraId="5F2C9A9A" w14:textId="77777777" w:rsidR="00E836FB" w:rsidRDefault="00E836FB">
            <w:pPr>
              <w:rPr>
                <w:rFonts w:ascii="宋体"/>
              </w:rPr>
            </w:pPr>
          </w:p>
        </w:tc>
        <w:tc>
          <w:tcPr>
            <w:tcW w:w="50" w:type="pct"/>
            <w:shd w:val="clear" w:color="auto" w:fill="auto"/>
            <w:vAlign w:val="bottom"/>
          </w:tcPr>
          <w:p w14:paraId="5F2C9A9B" w14:textId="77777777" w:rsidR="00E836FB" w:rsidRDefault="00E836FB">
            <w:pPr>
              <w:rPr>
                <w:rFonts w:ascii="宋体"/>
              </w:rPr>
            </w:pPr>
          </w:p>
        </w:tc>
        <w:tc>
          <w:tcPr>
            <w:tcW w:w="391" w:type="pct"/>
            <w:shd w:val="clear" w:color="auto" w:fill="auto"/>
            <w:vAlign w:val="bottom"/>
          </w:tcPr>
          <w:p w14:paraId="5F2C9A9C" w14:textId="77777777" w:rsidR="00E836FB" w:rsidRDefault="00E836FB">
            <w:pPr>
              <w:rPr>
                <w:rFonts w:ascii="宋体"/>
              </w:rPr>
            </w:pPr>
          </w:p>
        </w:tc>
        <w:tc>
          <w:tcPr>
            <w:tcW w:w="5" w:type="pct"/>
            <w:shd w:val="clear" w:color="auto" w:fill="auto"/>
            <w:vAlign w:val="bottom"/>
          </w:tcPr>
          <w:p w14:paraId="5F2C9A9D" w14:textId="77777777" w:rsidR="00E836FB" w:rsidRDefault="00E836FB">
            <w:pPr>
              <w:rPr>
                <w:rFonts w:ascii="宋体"/>
              </w:rPr>
            </w:pPr>
          </w:p>
        </w:tc>
      </w:tr>
      <w:tr w:rsidR="00E836FB" w14:paraId="5F2C9AA2" w14:textId="77777777">
        <w:tc>
          <w:tcPr>
            <w:tcW w:w="0" w:type="auto"/>
            <w:gridSpan w:val="3"/>
            <w:shd w:val="clear" w:color="auto" w:fill="auto"/>
            <w:tcMar>
              <w:top w:w="0" w:type="dxa"/>
              <w:left w:w="20" w:type="dxa"/>
              <w:bottom w:w="0" w:type="dxa"/>
              <w:right w:w="20" w:type="dxa"/>
            </w:tcMar>
            <w:vAlign w:val="bottom"/>
          </w:tcPr>
          <w:p w14:paraId="5F2C9A9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A0" w14:textId="77777777" w:rsidR="00E836FB" w:rsidRDefault="00994958">
            <w:pPr>
              <w:textAlignment w:val="center"/>
            </w:pPr>
            <w:r>
              <w:rPr>
                <w:rFonts w:ascii="Arial" w:eastAsia="宋体" w:hAnsi="Arial" w:cs="Arial"/>
                <w:color w:val="000000"/>
                <w:sz w:val="18"/>
                <w:szCs w:val="18"/>
              </w:rPr>
              <w:t>Consolidated Statement of Comprehensive Income</w:t>
            </w:r>
          </w:p>
        </w:tc>
        <w:tc>
          <w:tcPr>
            <w:tcW w:w="0" w:type="auto"/>
            <w:gridSpan w:val="3"/>
            <w:shd w:val="clear" w:color="auto" w:fill="auto"/>
            <w:tcMar>
              <w:top w:w="40" w:type="dxa"/>
              <w:left w:w="20" w:type="dxa"/>
              <w:bottom w:w="40" w:type="dxa"/>
              <w:right w:w="20" w:type="dxa"/>
            </w:tcMar>
            <w:vAlign w:val="center"/>
          </w:tcPr>
          <w:p w14:paraId="5F2C9AA1" w14:textId="77777777" w:rsidR="00E836FB" w:rsidRDefault="00994958">
            <w:pPr>
              <w:jc w:val="right"/>
              <w:textAlignment w:val="center"/>
            </w:pPr>
            <w:hyperlink r:id="rId50" w:anchor="i7cc1f9a814a84c708b0facd5c0e99397_367" w:history="1">
              <w:r>
                <w:rPr>
                  <w:rStyle w:val="a5"/>
                  <w:rFonts w:ascii="Arial" w:eastAsia="宋体" w:hAnsi="Arial" w:cs="Arial"/>
                  <w:color w:val="000000"/>
                  <w:sz w:val="18"/>
                  <w:szCs w:val="18"/>
                  <w:u w:val="none"/>
                </w:rPr>
                <w:t>131</w:t>
              </w:r>
            </w:hyperlink>
          </w:p>
        </w:tc>
      </w:tr>
      <w:tr w:rsidR="00E836FB" w14:paraId="5F2C9AA6" w14:textId="77777777">
        <w:tc>
          <w:tcPr>
            <w:tcW w:w="0" w:type="auto"/>
            <w:gridSpan w:val="3"/>
            <w:shd w:val="clear" w:color="auto" w:fill="auto"/>
            <w:tcMar>
              <w:top w:w="0" w:type="dxa"/>
              <w:left w:w="20" w:type="dxa"/>
              <w:bottom w:w="0" w:type="dxa"/>
              <w:right w:w="20" w:type="dxa"/>
            </w:tcMar>
            <w:vAlign w:val="bottom"/>
          </w:tcPr>
          <w:p w14:paraId="5F2C9AA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A4" w14:textId="77777777" w:rsidR="00E836FB" w:rsidRDefault="00994958">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5F2C9AA5" w14:textId="77777777" w:rsidR="00E836FB" w:rsidRDefault="00994958">
            <w:pPr>
              <w:jc w:val="right"/>
              <w:textAlignment w:val="center"/>
            </w:pPr>
            <w:hyperlink r:id="rId51" w:anchor="i7cc1f9a814a84c708b0facd5c0e99397_370" w:history="1">
              <w:r>
                <w:rPr>
                  <w:rStyle w:val="a5"/>
                  <w:rFonts w:ascii="Arial" w:eastAsia="宋体" w:hAnsi="Arial" w:cs="Arial"/>
                  <w:color w:val="000000"/>
                  <w:sz w:val="18"/>
                  <w:szCs w:val="18"/>
                  <w:u w:val="none"/>
                </w:rPr>
                <w:t>132</w:t>
              </w:r>
            </w:hyperlink>
          </w:p>
        </w:tc>
      </w:tr>
      <w:tr w:rsidR="00E836FB" w14:paraId="5F2C9AAA" w14:textId="77777777">
        <w:tc>
          <w:tcPr>
            <w:tcW w:w="0" w:type="auto"/>
            <w:gridSpan w:val="3"/>
            <w:shd w:val="clear" w:color="auto" w:fill="auto"/>
            <w:tcMar>
              <w:top w:w="0" w:type="dxa"/>
              <w:left w:w="20" w:type="dxa"/>
              <w:bottom w:w="0" w:type="dxa"/>
              <w:right w:w="20" w:type="dxa"/>
            </w:tcMar>
            <w:vAlign w:val="bottom"/>
          </w:tcPr>
          <w:p w14:paraId="5F2C9AA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A8" w14:textId="77777777" w:rsidR="00E836FB" w:rsidRDefault="00994958">
            <w:pPr>
              <w:textAlignment w:val="center"/>
            </w:pPr>
            <w:r>
              <w:rPr>
                <w:rFonts w:ascii="Arial" w:eastAsia="宋体" w:hAnsi="Arial" w:cs="Arial"/>
                <w:color w:val="000000"/>
                <w:sz w:val="18"/>
                <w:szCs w:val="18"/>
              </w:rPr>
              <w:t>Consolidated Statement of Changes in Shareholders' Equity</w:t>
            </w:r>
          </w:p>
        </w:tc>
        <w:tc>
          <w:tcPr>
            <w:tcW w:w="0" w:type="auto"/>
            <w:gridSpan w:val="3"/>
            <w:shd w:val="clear" w:color="auto" w:fill="auto"/>
            <w:tcMar>
              <w:top w:w="40" w:type="dxa"/>
              <w:left w:w="20" w:type="dxa"/>
              <w:bottom w:w="40" w:type="dxa"/>
              <w:right w:w="20" w:type="dxa"/>
            </w:tcMar>
            <w:vAlign w:val="center"/>
          </w:tcPr>
          <w:p w14:paraId="5F2C9AA9" w14:textId="77777777" w:rsidR="00E836FB" w:rsidRDefault="00994958">
            <w:pPr>
              <w:jc w:val="right"/>
              <w:textAlignment w:val="center"/>
            </w:pPr>
            <w:hyperlink r:id="rId52" w:anchor="i7cc1f9a814a84c708b0facd5c0e99397_373" w:history="1">
              <w:r>
                <w:rPr>
                  <w:rStyle w:val="a5"/>
                  <w:rFonts w:ascii="Arial" w:eastAsia="宋体" w:hAnsi="Arial" w:cs="Arial"/>
                  <w:color w:val="000000"/>
                  <w:sz w:val="18"/>
                  <w:szCs w:val="18"/>
                  <w:u w:val="none"/>
                </w:rPr>
                <w:t>133</w:t>
              </w:r>
            </w:hyperlink>
          </w:p>
        </w:tc>
      </w:tr>
      <w:tr w:rsidR="00E836FB" w14:paraId="5F2C9AAE" w14:textId="77777777">
        <w:tc>
          <w:tcPr>
            <w:tcW w:w="0" w:type="auto"/>
            <w:gridSpan w:val="3"/>
            <w:shd w:val="clear" w:color="auto" w:fill="auto"/>
            <w:tcMar>
              <w:top w:w="0" w:type="dxa"/>
              <w:left w:w="20" w:type="dxa"/>
              <w:bottom w:w="0" w:type="dxa"/>
              <w:right w:w="20" w:type="dxa"/>
            </w:tcMar>
            <w:vAlign w:val="bottom"/>
          </w:tcPr>
          <w:p w14:paraId="5F2C9AA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AC" w14:textId="77777777" w:rsidR="00E836FB" w:rsidRDefault="00994958">
            <w:pPr>
              <w:textAlignment w:val="center"/>
            </w:pPr>
            <w:r>
              <w:rPr>
                <w:rFonts w:ascii="Arial" w:eastAsia="宋体" w:hAnsi="Arial" w:cs="Arial"/>
                <w:color w:val="000000"/>
                <w:sz w:val="18"/>
                <w:szCs w:val="18"/>
              </w:rPr>
              <w:t>Consolidated Statement of Cash Flows</w:t>
            </w:r>
          </w:p>
        </w:tc>
        <w:tc>
          <w:tcPr>
            <w:tcW w:w="0" w:type="auto"/>
            <w:gridSpan w:val="3"/>
            <w:shd w:val="clear" w:color="auto" w:fill="auto"/>
            <w:tcMar>
              <w:top w:w="40" w:type="dxa"/>
              <w:left w:w="20" w:type="dxa"/>
              <w:bottom w:w="40" w:type="dxa"/>
              <w:right w:w="20" w:type="dxa"/>
            </w:tcMar>
            <w:vAlign w:val="center"/>
          </w:tcPr>
          <w:p w14:paraId="5F2C9AAD" w14:textId="77777777" w:rsidR="00E836FB" w:rsidRDefault="00994958">
            <w:pPr>
              <w:jc w:val="right"/>
              <w:textAlignment w:val="center"/>
            </w:pPr>
            <w:hyperlink r:id="rId53" w:anchor="i7cc1f9a814a84c708b0facd5c0e99397_376" w:history="1">
              <w:r>
                <w:rPr>
                  <w:rStyle w:val="a5"/>
                  <w:rFonts w:ascii="Arial" w:eastAsia="宋体" w:hAnsi="Arial" w:cs="Arial"/>
                  <w:color w:val="000000"/>
                  <w:sz w:val="18"/>
                  <w:szCs w:val="18"/>
                  <w:u w:val="none"/>
                </w:rPr>
                <w:t>134</w:t>
              </w:r>
            </w:hyperlink>
          </w:p>
        </w:tc>
      </w:tr>
      <w:tr w:rsidR="00E836FB" w14:paraId="5F2C9AB2" w14:textId="77777777">
        <w:tc>
          <w:tcPr>
            <w:tcW w:w="0" w:type="auto"/>
            <w:gridSpan w:val="3"/>
            <w:shd w:val="clear" w:color="auto" w:fill="auto"/>
            <w:tcMar>
              <w:top w:w="0" w:type="dxa"/>
              <w:left w:w="20" w:type="dxa"/>
              <w:bottom w:w="0" w:type="dxa"/>
              <w:right w:w="20" w:type="dxa"/>
            </w:tcMar>
            <w:vAlign w:val="bottom"/>
          </w:tcPr>
          <w:p w14:paraId="5F2C9AA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B0" w14:textId="77777777" w:rsidR="00E836FB" w:rsidRDefault="00994958">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5F2C9AB1" w14:textId="77777777" w:rsidR="00E836FB" w:rsidRDefault="00994958">
            <w:pPr>
              <w:jc w:val="right"/>
              <w:textAlignment w:val="center"/>
            </w:pPr>
            <w:hyperlink r:id="rId54" w:anchor="i7cc1f9a814a84c708b0facd5c0e99397_382" w:history="1">
              <w:r>
                <w:rPr>
                  <w:rStyle w:val="a5"/>
                  <w:rFonts w:ascii="Arial" w:eastAsia="宋体" w:hAnsi="Arial" w:cs="Arial"/>
                  <w:color w:val="000000"/>
                  <w:sz w:val="18"/>
                  <w:szCs w:val="18"/>
                  <w:u w:val="none"/>
                </w:rPr>
                <w:t>135</w:t>
              </w:r>
            </w:hyperlink>
          </w:p>
        </w:tc>
      </w:tr>
      <w:tr w:rsidR="00E836FB" w14:paraId="5F2C9AB6" w14:textId="77777777">
        <w:tc>
          <w:tcPr>
            <w:tcW w:w="0" w:type="auto"/>
            <w:gridSpan w:val="3"/>
            <w:shd w:val="clear" w:color="auto" w:fill="auto"/>
            <w:tcMar>
              <w:top w:w="0" w:type="dxa"/>
              <w:left w:w="20" w:type="dxa"/>
              <w:bottom w:w="0" w:type="dxa"/>
              <w:right w:w="20" w:type="dxa"/>
            </w:tcMar>
            <w:vAlign w:val="bottom"/>
          </w:tcPr>
          <w:p w14:paraId="5F2C9AB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B4" w14:textId="77777777" w:rsidR="00E836FB" w:rsidRDefault="00994958">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5F2C9AB5" w14:textId="77777777" w:rsidR="00E836FB" w:rsidRDefault="00994958">
            <w:pPr>
              <w:jc w:val="right"/>
              <w:textAlignment w:val="center"/>
            </w:pPr>
            <w:hyperlink r:id="rId55" w:anchor="i7cc1f9a814a84c708b0facd5c0e99397_394" w:history="1">
              <w:r>
                <w:rPr>
                  <w:rStyle w:val="a5"/>
                  <w:rFonts w:ascii="Arial" w:eastAsia="宋体" w:hAnsi="Arial" w:cs="Arial"/>
                  <w:color w:val="000000"/>
                  <w:sz w:val="18"/>
                  <w:szCs w:val="18"/>
                  <w:u w:val="none"/>
                </w:rPr>
                <w:t>137</w:t>
              </w:r>
            </w:hyperlink>
          </w:p>
        </w:tc>
      </w:tr>
      <w:tr w:rsidR="00E836FB" w14:paraId="5F2C9ABA" w14:textId="77777777">
        <w:tc>
          <w:tcPr>
            <w:tcW w:w="0" w:type="auto"/>
            <w:gridSpan w:val="3"/>
            <w:shd w:val="clear" w:color="auto" w:fill="auto"/>
            <w:tcMar>
              <w:top w:w="0" w:type="dxa"/>
              <w:left w:w="20" w:type="dxa"/>
              <w:bottom w:w="0" w:type="dxa"/>
              <w:right w:w="20" w:type="dxa"/>
            </w:tcMar>
            <w:vAlign w:val="bottom"/>
          </w:tcPr>
          <w:p w14:paraId="5F2C9AB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B8" w14:textId="77777777" w:rsidR="00E836FB" w:rsidRDefault="00994958">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5F2C9AB9" w14:textId="77777777" w:rsidR="00E836FB" w:rsidRDefault="00994958">
            <w:pPr>
              <w:jc w:val="right"/>
              <w:textAlignment w:val="center"/>
            </w:pPr>
            <w:hyperlink r:id="rId56" w:anchor="i7cc1f9a814a84c708b0facd5c0e99397_397" w:history="1">
              <w:r>
                <w:rPr>
                  <w:rStyle w:val="a5"/>
                  <w:rFonts w:ascii="Arial" w:eastAsia="宋体" w:hAnsi="Arial" w:cs="Arial"/>
                  <w:color w:val="000000"/>
                  <w:sz w:val="18"/>
                  <w:szCs w:val="18"/>
                  <w:u w:val="none"/>
                </w:rPr>
                <w:t>144</w:t>
              </w:r>
            </w:hyperlink>
          </w:p>
        </w:tc>
      </w:tr>
      <w:tr w:rsidR="00E836FB" w14:paraId="5F2C9ABE" w14:textId="77777777">
        <w:tc>
          <w:tcPr>
            <w:tcW w:w="0" w:type="auto"/>
            <w:gridSpan w:val="3"/>
            <w:shd w:val="clear" w:color="auto" w:fill="auto"/>
            <w:tcMar>
              <w:top w:w="0" w:type="dxa"/>
              <w:left w:w="20" w:type="dxa"/>
              <w:bottom w:w="0" w:type="dxa"/>
              <w:right w:w="20" w:type="dxa"/>
            </w:tcMar>
            <w:vAlign w:val="bottom"/>
          </w:tcPr>
          <w:p w14:paraId="5F2C9AB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BC" w14:textId="77777777" w:rsidR="00E836FB" w:rsidRDefault="00994958">
            <w:pPr>
              <w:textAlignment w:val="center"/>
            </w:pPr>
            <w:r>
              <w:rPr>
                <w:rFonts w:ascii="Arial" w:eastAsia="宋体" w:hAnsi="Arial" w:cs="Arial"/>
                <w:color w:val="000000"/>
                <w:sz w:val="18"/>
                <w:szCs w:val="18"/>
              </w:rPr>
              <w:t>Note 4. Loans and Allowance for Credit Losses</w:t>
            </w:r>
          </w:p>
        </w:tc>
        <w:tc>
          <w:tcPr>
            <w:tcW w:w="0" w:type="auto"/>
            <w:gridSpan w:val="3"/>
            <w:shd w:val="clear" w:color="auto" w:fill="auto"/>
            <w:tcMar>
              <w:top w:w="40" w:type="dxa"/>
              <w:left w:w="20" w:type="dxa"/>
              <w:bottom w:w="40" w:type="dxa"/>
              <w:right w:w="20" w:type="dxa"/>
            </w:tcMar>
            <w:vAlign w:val="center"/>
          </w:tcPr>
          <w:p w14:paraId="5F2C9ABD" w14:textId="77777777" w:rsidR="00E836FB" w:rsidRDefault="00994958">
            <w:pPr>
              <w:jc w:val="right"/>
              <w:textAlignment w:val="center"/>
            </w:pPr>
            <w:hyperlink r:id="rId57" w:anchor="i7cc1f9a814a84c708b0facd5c0e99397_403" w:history="1">
              <w:r>
                <w:rPr>
                  <w:rStyle w:val="a5"/>
                  <w:rFonts w:ascii="Arial" w:eastAsia="宋体" w:hAnsi="Arial" w:cs="Arial"/>
                  <w:color w:val="000000"/>
                  <w:sz w:val="18"/>
                  <w:szCs w:val="18"/>
                  <w:u w:val="none"/>
                </w:rPr>
                <w:t>149</w:t>
              </w:r>
            </w:hyperlink>
          </w:p>
        </w:tc>
      </w:tr>
      <w:tr w:rsidR="00E836FB" w14:paraId="5F2C9AC2" w14:textId="77777777">
        <w:tc>
          <w:tcPr>
            <w:tcW w:w="0" w:type="auto"/>
            <w:gridSpan w:val="3"/>
            <w:shd w:val="clear" w:color="auto" w:fill="auto"/>
            <w:tcMar>
              <w:top w:w="0" w:type="dxa"/>
              <w:left w:w="20" w:type="dxa"/>
              <w:bottom w:w="0" w:type="dxa"/>
              <w:right w:w="20" w:type="dxa"/>
            </w:tcMar>
            <w:vAlign w:val="bottom"/>
          </w:tcPr>
          <w:p w14:paraId="5F2C9AB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C0" w14:textId="77777777" w:rsidR="00E836FB" w:rsidRDefault="00994958">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5F2C9AC1" w14:textId="77777777" w:rsidR="00E836FB" w:rsidRDefault="00994958">
            <w:pPr>
              <w:jc w:val="right"/>
              <w:textAlignment w:val="center"/>
            </w:pPr>
            <w:hyperlink r:id="rId58" w:anchor="i7cc1f9a814a84c708b0facd5c0e99397_406" w:history="1">
              <w:r>
                <w:rPr>
                  <w:rStyle w:val="a5"/>
                  <w:rFonts w:ascii="Arial" w:eastAsia="宋体" w:hAnsi="Arial" w:cs="Arial"/>
                  <w:color w:val="000000"/>
                  <w:sz w:val="18"/>
                  <w:szCs w:val="18"/>
                  <w:u w:val="none"/>
                </w:rPr>
                <w:t>154</w:t>
              </w:r>
            </w:hyperlink>
          </w:p>
        </w:tc>
      </w:tr>
      <w:tr w:rsidR="00E836FB" w14:paraId="5F2C9AC6" w14:textId="77777777">
        <w:tc>
          <w:tcPr>
            <w:tcW w:w="0" w:type="auto"/>
            <w:gridSpan w:val="3"/>
            <w:shd w:val="clear" w:color="auto" w:fill="auto"/>
            <w:tcMar>
              <w:top w:w="0" w:type="dxa"/>
              <w:left w:w="20" w:type="dxa"/>
              <w:bottom w:w="0" w:type="dxa"/>
              <w:right w:w="20" w:type="dxa"/>
            </w:tcMar>
            <w:vAlign w:val="bottom"/>
          </w:tcPr>
          <w:p w14:paraId="5F2C9AC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C4" w14:textId="77777777" w:rsidR="00E836FB" w:rsidRDefault="00994958">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5F2C9AC5" w14:textId="77777777" w:rsidR="00E836FB" w:rsidRDefault="00994958">
            <w:pPr>
              <w:jc w:val="right"/>
              <w:textAlignment w:val="center"/>
            </w:pPr>
            <w:hyperlink r:id="rId59" w:anchor="i7cc1f9a814a84c708b0facd5c0e99397_409" w:history="1">
              <w:r>
                <w:rPr>
                  <w:rStyle w:val="a5"/>
                  <w:rFonts w:ascii="Arial" w:eastAsia="宋体" w:hAnsi="Arial" w:cs="Arial"/>
                  <w:color w:val="000000"/>
                  <w:sz w:val="18"/>
                  <w:szCs w:val="18"/>
                  <w:u w:val="none"/>
                </w:rPr>
                <w:t>156</w:t>
              </w:r>
            </w:hyperlink>
          </w:p>
        </w:tc>
      </w:tr>
      <w:tr w:rsidR="00E836FB" w14:paraId="5F2C9ACA" w14:textId="77777777">
        <w:tc>
          <w:tcPr>
            <w:tcW w:w="0" w:type="auto"/>
            <w:gridSpan w:val="3"/>
            <w:shd w:val="clear" w:color="auto" w:fill="auto"/>
            <w:tcMar>
              <w:top w:w="0" w:type="dxa"/>
              <w:left w:w="20" w:type="dxa"/>
              <w:bottom w:w="0" w:type="dxa"/>
              <w:right w:w="20" w:type="dxa"/>
            </w:tcMar>
            <w:vAlign w:val="bottom"/>
          </w:tcPr>
          <w:p w14:paraId="5F2C9AC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C8" w14:textId="77777777" w:rsidR="00E836FB" w:rsidRDefault="00994958">
            <w:pPr>
              <w:textAlignment w:val="center"/>
            </w:pPr>
            <w:r>
              <w:rPr>
                <w:rFonts w:ascii="Arial" w:eastAsia="宋体" w:hAnsi="Arial" w:cs="Arial"/>
                <w:color w:val="000000"/>
                <w:sz w:val="18"/>
                <w:szCs w:val="18"/>
              </w:rPr>
              <w:t>Note 7. Deposits</w:t>
            </w:r>
          </w:p>
        </w:tc>
        <w:tc>
          <w:tcPr>
            <w:tcW w:w="0" w:type="auto"/>
            <w:gridSpan w:val="3"/>
            <w:shd w:val="clear" w:color="auto" w:fill="auto"/>
            <w:tcMar>
              <w:top w:w="40" w:type="dxa"/>
              <w:left w:w="20" w:type="dxa"/>
              <w:bottom w:w="40" w:type="dxa"/>
              <w:right w:w="20" w:type="dxa"/>
            </w:tcMar>
            <w:vAlign w:val="center"/>
          </w:tcPr>
          <w:p w14:paraId="5F2C9AC9" w14:textId="77777777" w:rsidR="00E836FB" w:rsidRDefault="00994958">
            <w:pPr>
              <w:jc w:val="right"/>
              <w:textAlignment w:val="center"/>
            </w:pPr>
            <w:hyperlink r:id="rId60" w:anchor="i7cc1f9a814a84c708b0facd5c0e99397_412" w:history="1">
              <w:r>
                <w:rPr>
                  <w:rStyle w:val="a5"/>
                  <w:rFonts w:ascii="Arial" w:eastAsia="宋体" w:hAnsi="Arial" w:cs="Arial"/>
                  <w:color w:val="000000"/>
                  <w:sz w:val="18"/>
                  <w:szCs w:val="18"/>
                  <w:u w:val="none"/>
                </w:rPr>
                <w:t>156</w:t>
              </w:r>
            </w:hyperlink>
          </w:p>
        </w:tc>
      </w:tr>
      <w:tr w:rsidR="00E836FB" w14:paraId="5F2C9ACE" w14:textId="77777777">
        <w:tc>
          <w:tcPr>
            <w:tcW w:w="0" w:type="auto"/>
            <w:gridSpan w:val="3"/>
            <w:shd w:val="clear" w:color="auto" w:fill="auto"/>
            <w:tcMar>
              <w:top w:w="0" w:type="dxa"/>
              <w:left w:w="20" w:type="dxa"/>
              <w:bottom w:w="0" w:type="dxa"/>
              <w:right w:w="20" w:type="dxa"/>
            </w:tcMar>
            <w:vAlign w:val="bottom"/>
          </w:tcPr>
          <w:p w14:paraId="5F2C9AC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CC" w14:textId="77777777" w:rsidR="00E836FB" w:rsidRDefault="00994958">
            <w:pPr>
              <w:textAlignment w:val="center"/>
            </w:pPr>
            <w:r>
              <w:rPr>
                <w:rFonts w:ascii="Arial" w:eastAsia="宋体" w:hAnsi="Arial" w:cs="Arial"/>
                <w:color w:val="000000"/>
                <w:sz w:val="18"/>
                <w:szCs w:val="18"/>
              </w:rPr>
              <w:t>Note 8. Short-Term Borrowings</w:t>
            </w:r>
          </w:p>
        </w:tc>
        <w:tc>
          <w:tcPr>
            <w:tcW w:w="0" w:type="auto"/>
            <w:gridSpan w:val="3"/>
            <w:shd w:val="clear" w:color="auto" w:fill="auto"/>
            <w:tcMar>
              <w:top w:w="40" w:type="dxa"/>
              <w:left w:w="20" w:type="dxa"/>
              <w:bottom w:w="40" w:type="dxa"/>
              <w:right w:w="20" w:type="dxa"/>
            </w:tcMar>
            <w:vAlign w:val="center"/>
          </w:tcPr>
          <w:p w14:paraId="5F2C9ACD" w14:textId="77777777" w:rsidR="00E836FB" w:rsidRDefault="00994958">
            <w:pPr>
              <w:jc w:val="right"/>
              <w:textAlignment w:val="center"/>
            </w:pPr>
            <w:hyperlink r:id="rId61" w:anchor="i7cc1f9a814a84c708b0facd5c0e99397_415" w:history="1">
              <w:r>
                <w:rPr>
                  <w:rStyle w:val="a5"/>
                  <w:rFonts w:ascii="Arial" w:eastAsia="宋体" w:hAnsi="Arial" w:cs="Arial"/>
                  <w:color w:val="000000"/>
                  <w:sz w:val="18"/>
                  <w:szCs w:val="18"/>
                  <w:u w:val="none"/>
                </w:rPr>
                <w:t>156</w:t>
              </w:r>
            </w:hyperlink>
          </w:p>
        </w:tc>
      </w:tr>
      <w:tr w:rsidR="00E836FB" w14:paraId="5F2C9AD2" w14:textId="77777777">
        <w:tc>
          <w:tcPr>
            <w:tcW w:w="0" w:type="auto"/>
            <w:gridSpan w:val="3"/>
            <w:shd w:val="clear" w:color="auto" w:fill="auto"/>
            <w:tcMar>
              <w:top w:w="0" w:type="dxa"/>
              <w:left w:w="20" w:type="dxa"/>
              <w:bottom w:w="0" w:type="dxa"/>
              <w:right w:w="20" w:type="dxa"/>
            </w:tcMar>
            <w:vAlign w:val="bottom"/>
          </w:tcPr>
          <w:p w14:paraId="5F2C9AC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D0" w14:textId="77777777" w:rsidR="00E836FB" w:rsidRDefault="00994958">
            <w:pPr>
              <w:textAlignment w:val="center"/>
            </w:pPr>
            <w:r>
              <w:rPr>
                <w:rFonts w:ascii="Arial" w:eastAsia="宋体" w:hAnsi="Arial" w:cs="Arial"/>
                <w:color w:val="000000"/>
                <w:sz w:val="18"/>
                <w:szCs w:val="18"/>
              </w:rPr>
              <w:t>Note 9. Long-Term Debt</w:t>
            </w:r>
          </w:p>
        </w:tc>
        <w:tc>
          <w:tcPr>
            <w:tcW w:w="0" w:type="auto"/>
            <w:gridSpan w:val="3"/>
            <w:shd w:val="clear" w:color="auto" w:fill="auto"/>
            <w:tcMar>
              <w:top w:w="40" w:type="dxa"/>
              <w:left w:w="20" w:type="dxa"/>
              <w:bottom w:w="40" w:type="dxa"/>
              <w:right w:w="20" w:type="dxa"/>
            </w:tcMar>
            <w:vAlign w:val="center"/>
          </w:tcPr>
          <w:p w14:paraId="5F2C9AD1" w14:textId="77777777" w:rsidR="00E836FB" w:rsidRDefault="00994958">
            <w:pPr>
              <w:jc w:val="right"/>
              <w:textAlignment w:val="center"/>
            </w:pPr>
            <w:hyperlink r:id="rId62" w:anchor="i7cc1f9a814a84c708b0facd5c0e99397_418" w:history="1">
              <w:r>
                <w:rPr>
                  <w:rStyle w:val="a5"/>
                  <w:rFonts w:ascii="Arial" w:eastAsia="宋体" w:hAnsi="Arial" w:cs="Arial"/>
                  <w:color w:val="000000"/>
                  <w:sz w:val="18"/>
                  <w:szCs w:val="18"/>
                  <w:u w:val="none"/>
                </w:rPr>
                <w:t>157</w:t>
              </w:r>
            </w:hyperlink>
          </w:p>
        </w:tc>
      </w:tr>
      <w:tr w:rsidR="00E836FB" w14:paraId="5F2C9AD6" w14:textId="77777777">
        <w:tc>
          <w:tcPr>
            <w:tcW w:w="0" w:type="auto"/>
            <w:gridSpan w:val="3"/>
            <w:shd w:val="clear" w:color="auto" w:fill="auto"/>
            <w:tcMar>
              <w:top w:w="0" w:type="dxa"/>
              <w:left w:w="20" w:type="dxa"/>
              <w:bottom w:w="0" w:type="dxa"/>
              <w:right w:w="20" w:type="dxa"/>
            </w:tcMar>
            <w:vAlign w:val="bottom"/>
          </w:tcPr>
          <w:p w14:paraId="5F2C9AD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D4" w14:textId="77777777" w:rsidR="00E836FB" w:rsidRDefault="00994958">
            <w:pPr>
              <w:textAlignment w:val="center"/>
            </w:pPr>
            <w:r>
              <w:rPr>
                <w:rFonts w:ascii="Arial" w:eastAsia="宋体" w:hAnsi="Arial" w:cs="Arial"/>
                <w:color w:val="000000"/>
                <w:sz w:val="18"/>
                <w:szCs w:val="18"/>
              </w:rPr>
              <w:t>Note 10. Derivative Financial Instruments</w:t>
            </w:r>
          </w:p>
        </w:tc>
        <w:tc>
          <w:tcPr>
            <w:tcW w:w="0" w:type="auto"/>
            <w:gridSpan w:val="3"/>
            <w:shd w:val="clear" w:color="auto" w:fill="auto"/>
            <w:tcMar>
              <w:top w:w="40" w:type="dxa"/>
              <w:left w:w="20" w:type="dxa"/>
              <w:bottom w:w="40" w:type="dxa"/>
              <w:right w:w="20" w:type="dxa"/>
            </w:tcMar>
            <w:vAlign w:val="center"/>
          </w:tcPr>
          <w:p w14:paraId="5F2C9AD5" w14:textId="77777777" w:rsidR="00E836FB" w:rsidRDefault="00994958">
            <w:pPr>
              <w:jc w:val="right"/>
              <w:textAlignment w:val="center"/>
            </w:pPr>
            <w:hyperlink r:id="rId63" w:anchor="i7cc1f9a814a84c708b0facd5c0e99397_421" w:history="1">
              <w:r>
                <w:rPr>
                  <w:rStyle w:val="a5"/>
                  <w:rFonts w:ascii="Arial" w:eastAsia="宋体" w:hAnsi="Arial" w:cs="Arial"/>
                  <w:color w:val="000000"/>
                  <w:sz w:val="18"/>
                  <w:szCs w:val="18"/>
                  <w:u w:val="none"/>
                </w:rPr>
                <w:t>158</w:t>
              </w:r>
            </w:hyperlink>
          </w:p>
        </w:tc>
      </w:tr>
      <w:tr w:rsidR="00E836FB" w14:paraId="5F2C9ADA" w14:textId="77777777">
        <w:tc>
          <w:tcPr>
            <w:tcW w:w="0" w:type="auto"/>
            <w:gridSpan w:val="3"/>
            <w:shd w:val="clear" w:color="auto" w:fill="auto"/>
            <w:tcMar>
              <w:top w:w="0" w:type="dxa"/>
              <w:left w:w="20" w:type="dxa"/>
              <w:bottom w:w="0" w:type="dxa"/>
              <w:right w:w="20" w:type="dxa"/>
            </w:tcMar>
            <w:vAlign w:val="bottom"/>
          </w:tcPr>
          <w:p w14:paraId="5F2C9AD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D8" w14:textId="77777777" w:rsidR="00E836FB" w:rsidRDefault="00994958">
            <w:pPr>
              <w:textAlignment w:val="center"/>
            </w:pPr>
            <w:r>
              <w:rPr>
                <w:rFonts w:ascii="Arial" w:eastAsia="宋体" w:hAnsi="Arial" w:cs="Arial"/>
                <w:color w:val="000000"/>
                <w:sz w:val="18"/>
                <w:szCs w:val="18"/>
              </w:rPr>
              <w:t>Note 11. Offsetting Arrangements</w:t>
            </w:r>
          </w:p>
        </w:tc>
        <w:tc>
          <w:tcPr>
            <w:tcW w:w="0" w:type="auto"/>
            <w:gridSpan w:val="3"/>
            <w:shd w:val="clear" w:color="auto" w:fill="auto"/>
            <w:tcMar>
              <w:top w:w="40" w:type="dxa"/>
              <w:left w:w="20" w:type="dxa"/>
              <w:bottom w:w="40" w:type="dxa"/>
              <w:right w:w="20" w:type="dxa"/>
            </w:tcMar>
            <w:vAlign w:val="center"/>
          </w:tcPr>
          <w:p w14:paraId="5F2C9AD9" w14:textId="77777777" w:rsidR="00E836FB" w:rsidRDefault="00994958">
            <w:pPr>
              <w:jc w:val="right"/>
              <w:textAlignment w:val="center"/>
            </w:pPr>
            <w:hyperlink r:id="rId64" w:anchor="i7cc1f9a814a84c708b0facd5c0e99397_424" w:history="1">
              <w:r>
                <w:rPr>
                  <w:rStyle w:val="a5"/>
                  <w:rFonts w:ascii="Arial" w:eastAsia="宋体" w:hAnsi="Arial" w:cs="Arial"/>
                  <w:color w:val="000000"/>
                  <w:sz w:val="18"/>
                  <w:szCs w:val="18"/>
                  <w:u w:val="none"/>
                </w:rPr>
                <w:t>162</w:t>
              </w:r>
            </w:hyperlink>
          </w:p>
        </w:tc>
      </w:tr>
      <w:tr w:rsidR="00E836FB" w14:paraId="5F2C9ADE" w14:textId="77777777">
        <w:tc>
          <w:tcPr>
            <w:tcW w:w="0" w:type="auto"/>
            <w:gridSpan w:val="3"/>
            <w:shd w:val="clear" w:color="auto" w:fill="auto"/>
            <w:tcMar>
              <w:top w:w="0" w:type="dxa"/>
              <w:left w:w="20" w:type="dxa"/>
              <w:bottom w:w="0" w:type="dxa"/>
              <w:right w:w="20" w:type="dxa"/>
            </w:tcMar>
            <w:vAlign w:val="bottom"/>
          </w:tcPr>
          <w:p w14:paraId="5F2C9AD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DC" w14:textId="77777777" w:rsidR="00E836FB" w:rsidRDefault="00994958">
            <w:pPr>
              <w:textAlignment w:val="center"/>
            </w:pPr>
            <w:r>
              <w:rPr>
                <w:rFonts w:ascii="Arial" w:eastAsia="宋体" w:hAnsi="Arial" w:cs="Arial"/>
                <w:color w:val="000000"/>
                <w:sz w:val="18"/>
                <w:szCs w:val="18"/>
              </w:rPr>
              <w:t>Note 12. Commitments and Guarantees</w:t>
            </w:r>
          </w:p>
        </w:tc>
        <w:tc>
          <w:tcPr>
            <w:tcW w:w="0" w:type="auto"/>
            <w:gridSpan w:val="3"/>
            <w:shd w:val="clear" w:color="auto" w:fill="auto"/>
            <w:tcMar>
              <w:top w:w="40" w:type="dxa"/>
              <w:left w:w="20" w:type="dxa"/>
              <w:bottom w:w="40" w:type="dxa"/>
              <w:right w:w="20" w:type="dxa"/>
            </w:tcMar>
            <w:vAlign w:val="center"/>
          </w:tcPr>
          <w:p w14:paraId="5F2C9ADD" w14:textId="77777777" w:rsidR="00E836FB" w:rsidRDefault="00994958">
            <w:pPr>
              <w:jc w:val="right"/>
              <w:textAlignment w:val="center"/>
            </w:pPr>
            <w:hyperlink r:id="rId65" w:anchor="i7cc1f9a814a84c708b0facd5c0e99397_427" w:history="1">
              <w:r>
                <w:rPr>
                  <w:rStyle w:val="a5"/>
                  <w:rFonts w:ascii="Arial" w:eastAsia="宋体" w:hAnsi="Arial" w:cs="Arial"/>
                  <w:color w:val="000000"/>
                  <w:sz w:val="18"/>
                  <w:szCs w:val="18"/>
                  <w:u w:val="none"/>
                </w:rPr>
                <w:t>165</w:t>
              </w:r>
            </w:hyperlink>
          </w:p>
        </w:tc>
      </w:tr>
      <w:tr w:rsidR="00E836FB" w14:paraId="5F2C9AE2" w14:textId="77777777">
        <w:tc>
          <w:tcPr>
            <w:tcW w:w="0" w:type="auto"/>
            <w:gridSpan w:val="3"/>
            <w:shd w:val="clear" w:color="auto" w:fill="auto"/>
            <w:tcMar>
              <w:top w:w="0" w:type="dxa"/>
              <w:left w:w="20" w:type="dxa"/>
              <w:bottom w:w="0" w:type="dxa"/>
              <w:right w:w="20" w:type="dxa"/>
            </w:tcMar>
            <w:vAlign w:val="bottom"/>
          </w:tcPr>
          <w:p w14:paraId="5F2C9AD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E0" w14:textId="77777777" w:rsidR="00E836FB" w:rsidRDefault="00994958">
            <w:pPr>
              <w:textAlignment w:val="center"/>
            </w:pPr>
            <w:r>
              <w:rPr>
                <w:rFonts w:ascii="Arial" w:eastAsia="宋体" w:hAnsi="Arial" w:cs="Arial"/>
                <w:color w:val="000000"/>
                <w:sz w:val="18"/>
                <w:szCs w:val="18"/>
              </w:rPr>
              <w:t>Note 13. Contingencies</w:t>
            </w:r>
          </w:p>
        </w:tc>
        <w:tc>
          <w:tcPr>
            <w:tcW w:w="0" w:type="auto"/>
            <w:gridSpan w:val="3"/>
            <w:shd w:val="clear" w:color="auto" w:fill="auto"/>
            <w:tcMar>
              <w:top w:w="40" w:type="dxa"/>
              <w:left w:w="20" w:type="dxa"/>
              <w:bottom w:w="40" w:type="dxa"/>
              <w:right w:w="20" w:type="dxa"/>
            </w:tcMar>
            <w:vAlign w:val="center"/>
          </w:tcPr>
          <w:p w14:paraId="5F2C9AE1" w14:textId="77777777" w:rsidR="00E836FB" w:rsidRDefault="00994958">
            <w:pPr>
              <w:jc w:val="right"/>
              <w:textAlignment w:val="center"/>
            </w:pPr>
            <w:hyperlink r:id="rId66" w:anchor="i7cc1f9a814a84c708b0facd5c0e99397_430" w:history="1">
              <w:r>
                <w:rPr>
                  <w:rStyle w:val="a5"/>
                  <w:rFonts w:ascii="Arial" w:eastAsia="宋体" w:hAnsi="Arial" w:cs="Arial"/>
                  <w:color w:val="000000"/>
                  <w:sz w:val="18"/>
                  <w:szCs w:val="18"/>
                  <w:u w:val="none"/>
                </w:rPr>
                <w:t>166</w:t>
              </w:r>
            </w:hyperlink>
          </w:p>
        </w:tc>
      </w:tr>
      <w:tr w:rsidR="00E836FB" w14:paraId="5F2C9AE6" w14:textId="77777777">
        <w:tc>
          <w:tcPr>
            <w:tcW w:w="0" w:type="auto"/>
            <w:gridSpan w:val="3"/>
            <w:shd w:val="clear" w:color="auto" w:fill="auto"/>
            <w:tcMar>
              <w:top w:w="0" w:type="dxa"/>
              <w:left w:w="20" w:type="dxa"/>
              <w:bottom w:w="0" w:type="dxa"/>
              <w:right w:w="20" w:type="dxa"/>
            </w:tcMar>
            <w:vAlign w:val="bottom"/>
          </w:tcPr>
          <w:p w14:paraId="5F2C9AE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E4" w14:textId="77777777" w:rsidR="00E836FB" w:rsidRDefault="00994958">
            <w:pPr>
              <w:textAlignment w:val="center"/>
            </w:pPr>
            <w:r>
              <w:rPr>
                <w:rFonts w:ascii="Arial" w:eastAsia="宋体" w:hAnsi="Arial" w:cs="Arial"/>
                <w:color w:val="000000"/>
                <w:sz w:val="18"/>
                <w:szCs w:val="18"/>
              </w:rPr>
              <w:t>Note 14. Variable Interest Entities</w:t>
            </w:r>
          </w:p>
        </w:tc>
        <w:tc>
          <w:tcPr>
            <w:tcW w:w="0" w:type="auto"/>
            <w:gridSpan w:val="3"/>
            <w:shd w:val="clear" w:color="auto" w:fill="auto"/>
            <w:tcMar>
              <w:top w:w="40" w:type="dxa"/>
              <w:left w:w="20" w:type="dxa"/>
              <w:bottom w:w="40" w:type="dxa"/>
              <w:right w:w="20" w:type="dxa"/>
            </w:tcMar>
            <w:vAlign w:val="center"/>
          </w:tcPr>
          <w:p w14:paraId="5F2C9AE5" w14:textId="77777777" w:rsidR="00E836FB" w:rsidRDefault="00994958">
            <w:pPr>
              <w:jc w:val="right"/>
              <w:textAlignment w:val="center"/>
            </w:pPr>
            <w:hyperlink r:id="rId67" w:anchor="i7cc1f9a814a84c708b0facd5c0e99397_439" w:history="1">
              <w:r>
                <w:rPr>
                  <w:rStyle w:val="a5"/>
                  <w:rFonts w:ascii="Arial" w:eastAsia="宋体" w:hAnsi="Arial" w:cs="Arial"/>
                  <w:color w:val="000000"/>
                  <w:sz w:val="18"/>
                  <w:szCs w:val="18"/>
                  <w:u w:val="none"/>
                </w:rPr>
                <w:t>168</w:t>
              </w:r>
            </w:hyperlink>
          </w:p>
        </w:tc>
      </w:tr>
      <w:tr w:rsidR="00E836FB" w14:paraId="5F2C9AEA" w14:textId="77777777">
        <w:tc>
          <w:tcPr>
            <w:tcW w:w="0" w:type="auto"/>
            <w:gridSpan w:val="3"/>
            <w:shd w:val="clear" w:color="auto" w:fill="auto"/>
            <w:tcMar>
              <w:top w:w="0" w:type="dxa"/>
              <w:left w:w="20" w:type="dxa"/>
              <w:bottom w:w="0" w:type="dxa"/>
              <w:right w:w="20" w:type="dxa"/>
            </w:tcMar>
            <w:vAlign w:val="bottom"/>
          </w:tcPr>
          <w:p w14:paraId="5F2C9AE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E8" w14:textId="77777777" w:rsidR="00E836FB" w:rsidRDefault="00994958">
            <w:pPr>
              <w:textAlignment w:val="center"/>
            </w:pPr>
            <w:r>
              <w:rPr>
                <w:rFonts w:ascii="Arial" w:eastAsia="宋体" w:hAnsi="Arial" w:cs="Arial"/>
                <w:color w:val="000000"/>
                <w:sz w:val="18"/>
                <w:szCs w:val="18"/>
              </w:rPr>
              <w:t>Note 15. Shareholders' Equity</w:t>
            </w:r>
          </w:p>
        </w:tc>
        <w:tc>
          <w:tcPr>
            <w:tcW w:w="0" w:type="auto"/>
            <w:gridSpan w:val="3"/>
            <w:shd w:val="clear" w:color="auto" w:fill="auto"/>
            <w:tcMar>
              <w:top w:w="40" w:type="dxa"/>
              <w:left w:w="20" w:type="dxa"/>
              <w:bottom w:w="40" w:type="dxa"/>
              <w:right w:w="20" w:type="dxa"/>
            </w:tcMar>
            <w:vAlign w:val="center"/>
          </w:tcPr>
          <w:p w14:paraId="5F2C9AE9" w14:textId="77777777" w:rsidR="00E836FB" w:rsidRDefault="00994958">
            <w:pPr>
              <w:jc w:val="right"/>
              <w:textAlignment w:val="center"/>
            </w:pPr>
            <w:hyperlink r:id="rId68" w:anchor="i7cc1f9a814a84c708b0facd5c0e99397_445" w:history="1">
              <w:r>
                <w:rPr>
                  <w:rStyle w:val="a5"/>
                  <w:rFonts w:ascii="Arial" w:eastAsia="宋体" w:hAnsi="Arial" w:cs="Arial"/>
                  <w:color w:val="000000"/>
                  <w:sz w:val="18"/>
                  <w:szCs w:val="18"/>
                  <w:u w:val="none"/>
                </w:rPr>
                <w:t>169</w:t>
              </w:r>
            </w:hyperlink>
          </w:p>
        </w:tc>
      </w:tr>
      <w:tr w:rsidR="00E836FB" w14:paraId="5F2C9AEE" w14:textId="77777777">
        <w:tc>
          <w:tcPr>
            <w:tcW w:w="0" w:type="auto"/>
            <w:gridSpan w:val="3"/>
            <w:shd w:val="clear" w:color="auto" w:fill="auto"/>
            <w:tcMar>
              <w:top w:w="0" w:type="dxa"/>
              <w:left w:w="20" w:type="dxa"/>
              <w:bottom w:w="0" w:type="dxa"/>
              <w:right w:w="20" w:type="dxa"/>
            </w:tcMar>
            <w:vAlign w:val="bottom"/>
          </w:tcPr>
          <w:p w14:paraId="5F2C9AE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EC" w14:textId="77777777" w:rsidR="00E836FB" w:rsidRDefault="00994958">
            <w:pPr>
              <w:textAlignment w:val="center"/>
            </w:pPr>
            <w:r>
              <w:rPr>
                <w:rFonts w:ascii="Arial" w:eastAsia="宋体" w:hAnsi="Arial" w:cs="Arial"/>
                <w:color w:val="000000"/>
                <w:sz w:val="18"/>
                <w:szCs w:val="18"/>
              </w:rPr>
              <w:t>Note 16. Regulatory Capital</w:t>
            </w:r>
          </w:p>
        </w:tc>
        <w:tc>
          <w:tcPr>
            <w:tcW w:w="0" w:type="auto"/>
            <w:gridSpan w:val="3"/>
            <w:shd w:val="clear" w:color="auto" w:fill="auto"/>
            <w:tcMar>
              <w:top w:w="40" w:type="dxa"/>
              <w:left w:w="20" w:type="dxa"/>
              <w:bottom w:w="40" w:type="dxa"/>
              <w:right w:w="20" w:type="dxa"/>
            </w:tcMar>
            <w:vAlign w:val="center"/>
          </w:tcPr>
          <w:p w14:paraId="5F2C9AED" w14:textId="77777777" w:rsidR="00E836FB" w:rsidRDefault="00994958">
            <w:pPr>
              <w:jc w:val="right"/>
              <w:textAlignment w:val="center"/>
            </w:pPr>
            <w:hyperlink r:id="rId69" w:anchor="i7cc1f9a814a84c708b0facd5c0e99397_451" w:history="1">
              <w:r>
                <w:rPr>
                  <w:rStyle w:val="a5"/>
                  <w:rFonts w:ascii="Arial" w:eastAsia="宋体" w:hAnsi="Arial" w:cs="Arial"/>
                  <w:color w:val="000000"/>
                  <w:sz w:val="18"/>
                  <w:szCs w:val="18"/>
                  <w:u w:val="none"/>
                </w:rPr>
                <w:t>171</w:t>
              </w:r>
            </w:hyperlink>
          </w:p>
        </w:tc>
      </w:tr>
      <w:tr w:rsidR="00E836FB" w14:paraId="5F2C9AF2" w14:textId="77777777">
        <w:tc>
          <w:tcPr>
            <w:tcW w:w="0" w:type="auto"/>
            <w:gridSpan w:val="3"/>
            <w:shd w:val="clear" w:color="auto" w:fill="auto"/>
            <w:tcMar>
              <w:top w:w="0" w:type="dxa"/>
              <w:left w:w="20" w:type="dxa"/>
              <w:bottom w:w="0" w:type="dxa"/>
              <w:right w:w="20" w:type="dxa"/>
            </w:tcMar>
            <w:vAlign w:val="bottom"/>
          </w:tcPr>
          <w:p w14:paraId="5F2C9AE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F0" w14:textId="77777777" w:rsidR="00E836FB" w:rsidRDefault="00994958">
            <w:pPr>
              <w:textAlignment w:val="center"/>
            </w:pPr>
            <w:r>
              <w:rPr>
                <w:rFonts w:ascii="Arial" w:eastAsia="宋体" w:hAnsi="Arial" w:cs="Arial"/>
                <w:color w:val="000000"/>
                <w:sz w:val="18"/>
                <w:szCs w:val="18"/>
              </w:rPr>
              <w:t>Note 17. Net Interest Income</w:t>
            </w:r>
          </w:p>
        </w:tc>
        <w:tc>
          <w:tcPr>
            <w:tcW w:w="0" w:type="auto"/>
            <w:gridSpan w:val="3"/>
            <w:shd w:val="clear" w:color="auto" w:fill="auto"/>
            <w:tcMar>
              <w:top w:w="40" w:type="dxa"/>
              <w:left w:w="20" w:type="dxa"/>
              <w:bottom w:w="40" w:type="dxa"/>
              <w:right w:w="20" w:type="dxa"/>
            </w:tcMar>
            <w:vAlign w:val="center"/>
          </w:tcPr>
          <w:p w14:paraId="5F2C9AF1" w14:textId="77777777" w:rsidR="00E836FB" w:rsidRDefault="00994958">
            <w:pPr>
              <w:jc w:val="right"/>
              <w:textAlignment w:val="center"/>
            </w:pPr>
            <w:hyperlink r:id="rId70" w:anchor="i7cc1f9a814a84c708b0facd5c0e99397_454" w:history="1">
              <w:r>
                <w:rPr>
                  <w:rStyle w:val="a5"/>
                  <w:rFonts w:ascii="Arial" w:eastAsia="宋体" w:hAnsi="Arial" w:cs="Arial"/>
                  <w:color w:val="000000"/>
                  <w:sz w:val="18"/>
                  <w:szCs w:val="18"/>
                  <w:u w:val="none"/>
                </w:rPr>
                <w:t>173</w:t>
              </w:r>
            </w:hyperlink>
          </w:p>
        </w:tc>
      </w:tr>
      <w:tr w:rsidR="00E836FB" w14:paraId="5F2C9AF6" w14:textId="77777777">
        <w:tc>
          <w:tcPr>
            <w:tcW w:w="0" w:type="auto"/>
            <w:gridSpan w:val="3"/>
            <w:shd w:val="clear" w:color="auto" w:fill="auto"/>
            <w:tcMar>
              <w:top w:w="0" w:type="dxa"/>
              <w:left w:w="20" w:type="dxa"/>
              <w:bottom w:w="0" w:type="dxa"/>
              <w:right w:w="20" w:type="dxa"/>
            </w:tcMar>
            <w:vAlign w:val="bottom"/>
          </w:tcPr>
          <w:p w14:paraId="5F2C9AF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F4" w14:textId="77777777" w:rsidR="00E836FB" w:rsidRDefault="00994958">
            <w:pPr>
              <w:textAlignment w:val="center"/>
            </w:pPr>
            <w:r>
              <w:rPr>
                <w:rFonts w:ascii="Arial" w:eastAsia="宋体" w:hAnsi="Arial" w:cs="Arial"/>
                <w:color w:val="000000"/>
                <w:sz w:val="18"/>
                <w:szCs w:val="18"/>
              </w:rPr>
              <w:t>Note 18. Equity-Based Compensation</w:t>
            </w:r>
          </w:p>
        </w:tc>
        <w:tc>
          <w:tcPr>
            <w:tcW w:w="0" w:type="auto"/>
            <w:gridSpan w:val="3"/>
            <w:shd w:val="clear" w:color="auto" w:fill="auto"/>
            <w:tcMar>
              <w:top w:w="40" w:type="dxa"/>
              <w:left w:w="20" w:type="dxa"/>
              <w:bottom w:w="40" w:type="dxa"/>
              <w:right w:w="20" w:type="dxa"/>
            </w:tcMar>
            <w:vAlign w:val="center"/>
          </w:tcPr>
          <w:p w14:paraId="5F2C9AF5" w14:textId="77777777" w:rsidR="00E836FB" w:rsidRDefault="00994958">
            <w:pPr>
              <w:jc w:val="right"/>
              <w:textAlignment w:val="center"/>
            </w:pPr>
            <w:hyperlink r:id="rId71" w:anchor="i7cc1f9a814a84c708b0facd5c0e99397_457" w:history="1">
              <w:r>
                <w:rPr>
                  <w:rStyle w:val="a5"/>
                  <w:rFonts w:ascii="Arial" w:eastAsia="宋体" w:hAnsi="Arial" w:cs="Arial"/>
                  <w:color w:val="000000"/>
                  <w:sz w:val="18"/>
                  <w:szCs w:val="18"/>
                  <w:u w:val="none"/>
                </w:rPr>
                <w:t>173</w:t>
              </w:r>
            </w:hyperlink>
          </w:p>
        </w:tc>
      </w:tr>
      <w:tr w:rsidR="00E836FB" w14:paraId="5F2C9AFA" w14:textId="77777777">
        <w:tc>
          <w:tcPr>
            <w:tcW w:w="0" w:type="auto"/>
            <w:gridSpan w:val="3"/>
            <w:shd w:val="clear" w:color="auto" w:fill="auto"/>
            <w:tcMar>
              <w:top w:w="0" w:type="dxa"/>
              <w:left w:w="20" w:type="dxa"/>
              <w:bottom w:w="0" w:type="dxa"/>
              <w:right w:w="20" w:type="dxa"/>
            </w:tcMar>
            <w:vAlign w:val="bottom"/>
          </w:tcPr>
          <w:p w14:paraId="5F2C9AF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F8" w14:textId="77777777" w:rsidR="00E836FB" w:rsidRDefault="00994958">
            <w:pPr>
              <w:textAlignment w:val="center"/>
            </w:pPr>
            <w:r>
              <w:rPr>
                <w:rFonts w:ascii="Arial" w:eastAsia="宋体" w:hAnsi="Arial" w:cs="Arial"/>
                <w:color w:val="000000"/>
                <w:sz w:val="18"/>
                <w:szCs w:val="18"/>
              </w:rPr>
              <w:t>Note 19. Employee Benefits</w:t>
            </w:r>
          </w:p>
        </w:tc>
        <w:tc>
          <w:tcPr>
            <w:tcW w:w="0" w:type="auto"/>
            <w:gridSpan w:val="3"/>
            <w:shd w:val="clear" w:color="auto" w:fill="auto"/>
            <w:tcMar>
              <w:top w:w="40" w:type="dxa"/>
              <w:left w:w="20" w:type="dxa"/>
              <w:bottom w:w="40" w:type="dxa"/>
              <w:right w:w="20" w:type="dxa"/>
            </w:tcMar>
            <w:vAlign w:val="center"/>
          </w:tcPr>
          <w:p w14:paraId="5F2C9AF9" w14:textId="77777777" w:rsidR="00E836FB" w:rsidRDefault="00994958">
            <w:pPr>
              <w:jc w:val="right"/>
              <w:textAlignment w:val="center"/>
            </w:pPr>
            <w:hyperlink r:id="rId72" w:anchor="i7cc1f9a814a84c708b0facd5c0e99397_460" w:history="1">
              <w:r>
                <w:rPr>
                  <w:rStyle w:val="a5"/>
                  <w:rFonts w:ascii="Arial" w:eastAsia="宋体" w:hAnsi="Arial" w:cs="Arial"/>
                  <w:color w:val="000000"/>
                  <w:sz w:val="18"/>
                  <w:szCs w:val="18"/>
                  <w:u w:val="none"/>
                </w:rPr>
                <w:t>175</w:t>
              </w:r>
            </w:hyperlink>
          </w:p>
        </w:tc>
      </w:tr>
      <w:tr w:rsidR="00E836FB" w14:paraId="5F2C9AFE" w14:textId="77777777">
        <w:tc>
          <w:tcPr>
            <w:tcW w:w="0" w:type="auto"/>
            <w:gridSpan w:val="3"/>
            <w:shd w:val="clear" w:color="auto" w:fill="auto"/>
            <w:tcMar>
              <w:top w:w="0" w:type="dxa"/>
              <w:left w:w="20" w:type="dxa"/>
              <w:bottom w:w="0" w:type="dxa"/>
              <w:right w:w="20" w:type="dxa"/>
            </w:tcMar>
            <w:vAlign w:val="bottom"/>
          </w:tcPr>
          <w:p w14:paraId="5F2C9AF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AFC" w14:textId="77777777" w:rsidR="00E836FB" w:rsidRDefault="00994958">
            <w:pPr>
              <w:textAlignment w:val="center"/>
            </w:pPr>
            <w:r>
              <w:rPr>
                <w:rFonts w:ascii="Arial" w:eastAsia="宋体" w:hAnsi="Arial" w:cs="Arial"/>
                <w:color w:val="000000"/>
                <w:sz w:val="18"/>
                <w:szCs w:val="18"/>
              </w:rPr>
              <w:t>Note 20. Occupancy Expense and Information Systems and Communications Expense</w:t>
            </w:r>
          </w:p>
        </w:tc>
        <w:tc>
          <w:tcPr>
            <w:tcW w:w="0" w:type="auto"/>
            <w:gridSpan w:val="3"/>
            <w:shd w:val="clear" w:color="auto" w:fill="auto"/>
            <w:tcMar>
              <w:top w:w="40" w:type="dxa"/>
              <w:left w:w="20" w:type="dxa"/>
              <w:bottom w:w="40" w:type="dxa"/>
              <w:right w:w="20" w:type="dxa"/>
            </w:tcMar>
            <w:vAlign w:val="center"/>
          </w:tcPr>
          <w:p w14:paraId="5F2C9AFD" w14:textId="77777777" w:rsidR="00E836FB" w:rsidRDefault="00994958">
            <w:pPr>
              <w:jc w:val="right"/>
              <w:textAlignment w:val="center"/>
            </w:pPr>
            <w:hyperlink r:id="rId73" w:anchor="i7cc1f9a814a84c708b0facd5c0e99397_463" w:history="1">
              <w:r>
                <w:rPr>
                  <w:rStyle w:val="a5"/>
                  <w:rFonts w:ascii="Arial" w:eastAsia="宋体" w:hAnsi="Arial" w:cs="Arial"/>
                  <w:color w:val="000000"/>
                  <w:sz w:val="18"/>
                  <w:szCs w:val="18"/>
                  <w:u w:val="none"/>
                </w:rPr>
                <w:t>175</w:t>
              </w:r>
            </w:hyperlink>
          </w:p>
        </w:tc>
      </w:tr>
      <w:tr w:rsidR="00E836FB" w14:paraId="5F2C9B02" w14:textId="77777777">
        <w:tc>
          <w:tcPr>
            <w:tcW w:w="0" w:type="auto"/>
            <w:gridSpan w:val="3"/>
            <w:shd w:val="clear" w:color="auto" w:fill="auto"/>
            <w:tcMar>
              <w:top w:w="0" w:type="dxa"/>
              <w:left w:w="20" w:type="dxa"/>
              <w:bottom w:w="0" w:type="dxa"/>
              <w:right w:w="20" w:type="dxa"/>
            </w:tcMar>
            <w:vAlign w:val="bottom"/>
          </w:tcPr>
          <w:p w14:paraId="5F2C9AF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00" w14:textId="77777777" w:rsidR="00E836FB" w:rsidRDefault="00994958">
            <w:pPr>
              <w:textAlignment w:val="center"/>
            </w:pPr>
            <w:r>
              <w:rPr>
                <w:rFonts w:ascii="Arial" w:eastAsia="宋体" w:hAnsi="Arial" w:cs="Arial"/>
                <w:color w:val="000000"/>
                <w:sz w:val="18"/>
                <w:szCs w:val="18"/>
              </w:rPr>
              <w:t>Note 21. Expenses</w:t>
            </w:r>
          </w:p>
        </w:tc>
        <w:tc>
          <w:tcPr>
            <w:tcW w:w="0" w:type="auto"/>
            <w:gridSpan w:val="3"/>
            <w:shd w:val="clear" w:color="auto" w:fill="auto"/>
            <w:tcMar>
              <w:top w:w="40" w:type="dxa"/>
              <w:left w:w="20" w:type="dxa"/>
              <w:bottom w:w="40" w:type="dxa"/>
              <w:right w:w="20" w:type="dxa"/>
            </w:tcMar>
            <w:vAlign w:val="center"/>
          </w:tcPr>
          <w:p w14:paraId="5F2C9B01" w14:textId="77777777" w:rsidR="00E836FB" w:rsidRDefault="00994958">
            <w:pPr>
              <w:jc w:val="right"/>
              <w:textAlignment w:val="center"/>
            </w:pPr>
            <w:hyperlink r:id="rId74" w:anchor="i7cc1f9a814a84c708b0facd5c0e99397_469" w:history="1">
              <w:r>
                <w:rPr>
                  <w:rStyle w:val="a5"/>
                  <w:rFonts w:ascii="Arial" w:eastAsia="宋体" w:hAnsi="Arial" w:cs="Arial"/>
                  <w:color w:val="000000"/>
                  <w:sz w:val="18"/>
                  <w:szCs w:val="18"/>
                  <w:u w:val="none"/>
                </w:rPr>
                <w:t>177</w:t>
              </w:r>
            </w:hyperlink>
          </w:p>
        </w:tc>
      </w:tr>
      <w:tr w:rsidR="00E836FB" w14:paraId="5F2C9B06" w14:textId="77777777">
        <w:tc>
          <w:tcPr>
            <w:tcW w:w="0" w:type="auto"/>
            <w:gridSpan w:val="3"/>
            <w:shd w:val="clear" w:color="auto" w:fill="auto"/>
            <w:tcMar>
              <w:top w:w="0" w:type="dxa"/>
              <w:left w:w="20" w:type="dxa"/>
              <w:bottom w:w="0" w:type="dxa"/>
              <w:right w:w="20" w:type="dxa"/>
            </w:tcMar>
            <w:vAlign w:val="bottom"/>
          </w:tcPr>
          <w:p w14:paraId="5F2C9B0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04" w14:textId="77777777" w:rsidR="00E836FB" w:rsidRDefault="00994958">
            <w:pPr>
              <w:textAlignment w:val="center"/>
            </w:pPr>
            <w:r>
              <w:rPr>
                <w:rFonts w:ascii="Arial" w:eastAsia="宋体" w:hAnsi="Arial" w:cs="Arial"/>
                <w:color w:val="000000"/>
                <w:sz w:val="18"/>
                <w:szCs w:val="18"/>
              </w:rPr>
              <w:t>Note 22. Income Taxes</w:t>
            </w:r>
          </w:p>
        </w:tc>
        <w:tc>
          <w:tcPr>
            <w:tcW w:w="0" w:type="auto"/>
            <w:gridSpan w:val="3"/>
            <w:shd w:val="clear" w:color="auto" w:fill="auto"/>
            <w:tcMar>
              <w:top w:w="40" w:type="dxa"/>
              <w:left w:w="20" w:type="dxa"/>
              <w:bottom w:w="40" w:type="dxa"/>
              <w:right w:w="20" w:type="dxa"/>
            </w:tcMar>
            <w:vAlign w:val="center"/>
          </w:tcPr>
          <w:p w14:paraId="5F2C9B05" w14:textId="77777777" w:rsidR="00E836FB" w:rsidRDefault="00994958">
            <w:pPr>
              <w:jc w:val="right"/>
              <w:textAlignment w:val="center"/>
            </w:pPr>
            <w:hyperlink r:id="rId75" w:anchor="i7cc1f9a814a84c708b0facd5c0e99397_472" w:history="1">
              <w:r>
                <w:rPr>
                  <w:rStyle w:val="a5"/>
                  <w:rFonts w:ascii="Arial" w:eastAsia="宋体" w:hAnsi="Arial" w:cs="Arial"/>
                  <w:color w:val="000000"/>
                  <w:sz w:val="18"/>
                  <w:szCs w:val="18"/>
                  <w:u w:val="none"/>
                </w:rPr>
                <w:t>177</w:t>
              </w:r>
            </w:hyperlink>
          </w:p>
        </w:tc>
      </w:tr>
      <w:tr w:rsidR="00E836FB" w14:paraId="5F2C9B0A" w14:textId="77777777">
        <w:tc>
          <w:tcPr>
            <w:tcW w:w="0" w:type="auto"/>
            <w:gridSpan w:val="3"/>
            <w:shd w:val="clear" w:color="auto" w:fill="auto"/>
            <w:tcMar>
              <w:top w:w="0" w:type="dxa"/>
              <w:left w:w="20" w:type="dxa"/>
              <w:bottom w:w="0" w:type="dxa"/>
              <w:right w:w="20" w:type="dxa"/>
            </w:tcMar>
            <w:vAlign w:val="bottom"/>
          </w:tcPr>
          <w:p w14:paraId="5F2C9B0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08" w14:textId="77777777" w:rsidR="00E836FB" w:rsidRDefault="00994958">
            <w:pPr>
              <w:textAlignment w:val="center"/>
            </w:pPr>
            <w:r>
              <w:rPr>
                <w:rFonts w:ascii="Arial" w:eastAsia="宋体" w:hAnsi="Arial" w:cs="Arial"/>
                <w:color w:val="000000"/>
                <w:sz w:val="18"/>
                <w:szCs w:val="18"/>
              </w:rPr>
              <w:t>Note 23</w:t>
            </w:r>
            <w:r>
              <w:rPr>
                <w:rFonts w:ascii="Arial" w:eastAsia="宋体" w:hAnsi="Arial" w:cs="Arial"/>
                <w:color w:val="000000"/>
                <w:sz w:val="18"/>
                <w:szCs w:val="18"/>
              </w:rPr>
              <w:t>. Earnings Per Common Share</w:t>
            </w:r>
          </w:p>
        </w:tc>
        <w:tc>
          <w:tcPr>
            <w:tcW w:w="0" w:type="auto"/>
            <w:gridSpan w:val="3"/>
            <w:shd w:val="clear" w:color="auto" w:fill="auto"/>
            <w:tcMar>
              <w:top w:w="40" w:type="dxa"/>
              <w:left w:w="20" w:type="dxa"/>
              <w:bottom w:w="40" w:type="dxa"/>
              <w:right w:w="20" w:type="dxa"/>
            </w:tcMar>
            <w:vAlign w:val="center"/>
          </w:tcPr>
          <w:p w14:paraId="5F2C9B09" w14:textId="77777777" w:rsidR="00E836FB" w:rsidRDefault="00994958">
            <w:pPr>
              <w:jc w:val="right"/>
              <w:textAlignment w:val="center"/>
            </w:pPr>
            <w:hyperlink r:id="rId76" w:anchor="i7cc1f9a814a84c708b0facd5c0e99397_475" w:history="1">
              <w:r>
                <w:rPr>
                  <w:rStyle w:val="a5"/>
                  <w:rFonts w:ascii="Arial" w:eastAsia="宋体" w:hAnsi="Arial" w:cs="Arial"/>
                  <w:color w:val="000000"/>
                  <w:sz w:val="18"/>
                  <w:szCs w:val="18"/>
                  <w:u w:val="none"/>
                </w:rPr>
                <w:t>179</w:t>
              </w:r>
            </w:hyperlink>
          </w:p>
        </w:tc>
      </w:tr>
      <w:tr w:rsidR="00E836FB" w14:paraId="5F2C9B0E" w14:textId="77777777">
        <w:tc>
          <w:tcPr>
            <w:tcW w:w="0" w:type="auto"/>
            <w:gridSpan w:val="3"/>
            <w:shd w:val="clear" w:color="auto" w:fill="auto"/>
            <w:tcMar>
              <w:top w:w="0" w:type="dxa"/>
              <w:left w:w="20" w:type="dxa"/>
              <w:bottom w:w="0" w:type="dxa"/>
              <w:right w:w="20" w:type="dxa"/>
            </w:tcMar>
            <w:vAlign w:val="bottom"/>
          </w:tcPr>
          <w:p w14:paraId="5F2C9B0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0C" w14:textId="77777777" w:rsidR="00E836FB" w:rsidRDefault="00994958">
            <w:pPr>
              <w:textAlignment w:val="center"/>
            </w:pPr>
            <w:r>
              <w:rPr>
                <w:rFonts w:ascii="Arial" w:eastAsia="宋体" w:hAnsi="Arial" w:cs="Arial"/>
                <w:color w:val="000000"/>
                <w:sz w:val="18"/>
                <w:szCs w:val="18"/>
              </w:rPr>
              <w:t>Note 24. Line of Business Information</w:t>
            </w:r>
          </w:p>
        </w:tc>
        <w:tc>
          <w:tcPr>
            <w:tcW w:w="0" w:type="auto"/>
            <w:gridSpan w:val="3"/>
            <w:shd w:val="clear" w:color="auto" w:fill="auto"/>
            <w:tcMar>
              <w:top w:w="40" w:type="dxa"/>
              <w:left w:w="20" w:type="dxa"/>
              <w:bottom w:w="40" w:type="dxa"/>
              <w:right w:w="20" w:type="dxa"/>
            </w:tcMar>
            <w:vAlign w:val="center"/>
          </w:tcPr>
          <w:p w14:paraId="5F2C9B0D" w14:textId="77777777" w:rsidR="00E836FB" w:rsidRDefault="00994958">
            <w:pPr>
              <w:jc w:val="right"/>
              <w:textAlignment w:val="center"/>
            </w:pPr>
            <w:hyperlink r:id="rId77" w:anchor="i7cc1f9a814a84c708b0facd5c0e99397_478" w:history="1">
              <w:r>
                <w:rPr>
                  <w:rStyle w:val="a5"/>
                  <w:rFonts w:ascii="Arial" w:eastAsia="宋体" w:hAnsi="Arial" w:cs="Arial"/>
                  <w:color w:val="000000"/>
                  <w:sz w:val="18"/>
                  <w:szCs w:val="18"/>
                  <w:u w:val="none"/>
                </w:rPr>
                <w:t>179</w:t>
              </w:r>
            </w:hyperlink>
          </w:p>
        </w:tc>
      </w:tr>
      <w:tr w:rsidR="00E836FB" w14:paraId="5F2C9B12" w14:textId="77777777">
        <w:tc>
          <w:tcPr>
            <w:tcW w:w="0" w:type="auto"/>
            <w:gridSpan w:val="3"/>
            <w:shd w:val="clear" w:color="auto" w:fill="auto"/>
            <w:tcMar>
              <w:top w:w="0" w:type="dxa"/>
              <w:left w:w="20" w:type="dxa"/>
              <w:bottom w:w="0" w:type="dxa"/>
              <w:right w:w="20" w:type="dxa"/>
            </w:tcMar>
            <w:vAlign w:val="bottom"/>
          </w:tcPr>
          <w:p w14:paraId="5F2C9B0F"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10" w14:textId="77777777" w:rsidR="00E836FB" w:rsidRDefault="00994958">
            <w:pPr>
              <w:textAlignment w:val="center"/>
            </w:pPr>
            <w:r>
              <w:rPr>
                <w:rFonts w:ascii="Arial" w:eastAsia="宋体" w:hAnsi="Arial" w:cs="Arial"/>
                <w:color w:val="000000"/>
                <w:sz w:val="18"/>
                <w:szCs w:val="18"/>
              </w:rPr>
              <w:t>Note 25. Revenue From Contracts with customers</w:t>
            </w:r>
          </w:p>
        </w:tc>
        <w:tc>
          <w:tcPr>
            <w:tcW w:w="0" w:type="auto"/>
            <w:gridSpan w:val="3"/>
            <w:shd w:val="clear" w:color="auto" w:fill="auto"/>
            <w:tcMar>
              <w:top w:w="40" w:type="dxa"/>
              <w:left w:w="20" w:type="dxa"/>
              <w:bottom w:w="40" w:type="dxa"/>
              <w:right w:w="20" w:type="dxa"/>
            </w:tcMar>
            <w:vAlign w:val="center"/>
          </w:tcPr>
          <w:p w14:paraId="5F2C9B11" w14:textId="77777777" w:rsidR="00E836FB" w:rsidRDefault="00994958">
            <w:pPr>
              <w:jc w:val="right"/>
              <w:textAlignment w:val="center"/>
            </w:pPr>
            <w:hyperlink r:id="rId78" w:anchor="i7cc1f9a814a84c708b0facd5c0e99397_484" w:history="1">
              <w:r>
                <w:rPr>
                  <w:rStyle w:val="a5"/>
                  <w:rFonts w:ascii="Arial" w:eastAsia="宋体" w:hAnsi="Arial" w:cs="Arial"/>
                  <w:color w:val="000000"/>
                  <w:sz w:val="18"/>
                  <w:szCs w:val="18"/>
                  <w:u w:val="none"/>
                </w:rPr>
                <w:t>181</w:t>
              </w:r>
            </w:hyperlink>
          </w:p>
        </w:tc>
      </w:tr>
      <w:tr w:rsidR="00E836FB" w14:paraId="5F2C9B16" w14:textId="77777777">
        <w:tc>
          <w:tcPr>
            <w:tcW w:w="0" w:type="auto"/>
            <w:gridSpan w:val="3"/>
            <w:shd w:val="clear" w:color="auto" w:fill="auto"/>
            <w:tcMar>
              <w:top w:w="0" w:type="dxa"/>
              <w:left w:w="20" w:type="dxa"/>
              <w:bottom w:w="0" w:type="dxa"/>
              <w:right w:w="20" w:type="dxa"/>
            </w:tcMar>
            <w:vAlign w:val="bottom"/>
          </w:tcPr>
          <w:p w14:paraId="5F2C9B13"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14" w14:textId="77777777" w:rsidR="00E836FB" w:rsidRDefault="00994958">
            <w:pPr>
              <w:textAlignment w:val="center"/>
            </w:pPr>
            <w:r>
              <w:rPr>
                <w:rFonts w:ascii="Arial" w:eastAsia="宋体" w:hAnsi="Arial" w:cs="Arial"/>
                <w:color w:val="000000"/>
                <w:sz w:val="18"/>
                <w:szCs w:val="18"/>
              </w:rPr>
              <w:t>Note 26. Non-U.S. Activities</w:t>
            </w:r>
          </w:p>
        </w:tc>
        <w:tc>
          <w:tcPr>
            <w:tcW w:w="0" w:type="auto"/>
            <w:gridSpan w:val="3"/>
            <w:shd w:val="clear" w:color="auto" w:fill="auto"/>
            <w:tcMar>
              <w:top w:w="40" w:type="dxa"/>
              <w:left w:w="20" w:type="dxa"/>
              <w:bottom w:w="40" w:type="dxa"/>
              <w:right w:w="20" w:type="dxa"/>
            </w:tcMar>
            <w:vAlign w:val="center"/>
          </w:tcPr>
          <w:p w14:paraId="5F2C9B15" w14:textId="77777777" w:rsidR="00E836FB" w:rsidRDefault="00994958">
            <w:pPr>
              <w:jc w:val="right"/>
              <w:textAlignment w:val="center"/>
            </w:pPr>
            <w:hyperlink r:id="rId79" w:anchor="i7cc1f9a814a84c708b0facd5c0e99397_487" w:history="1">
              <w:r>
                <w:rPr>
                  <w:rStyle w:val="a5"/>
                  <w:rFonts w:ascii="Arial" w:eastAsia="宋体" w:hAnsi="Arial" w:cs="Arial"/>
                  <w:color w:val="000000"/>
                  <w:sz w:val="18"/>
                  <w:szCs w:val="18"/>
                  <w:u w:val="none"/>
                </w:rPr>
                <w:t>184</w:t>
              </w:r>
            </w:hyperlink>
          </w:p>
        </w:tc>
      </w:tr>
      <w:tr w:rsidR="00E836FB" w14:paraId="5F2C9B1A" w14:textId="77777777">
        <w:tc>
          <w:tcPr>
            <w:tcW w:w="0" w:type="auto"/>
            <w:gridSpan w:val="3"/>
            <w:shd w:val="clear" w:color="auto" w:fill="auto"/>
            <w:tcMar>
              <w:top w:w="0" w:type="dxa"/>
              <w:left w:w="20" w:type="dxa"/>
              <w:bottom w:w="0" w:type="dxa"/>
              <w:right w:w="20" w:type="dxa"/>
            </w:tcMar>
            <w:vAlign w:val="bottom"/>
          </w:tcPr>
          <w:p w14:paraId="5F2C9B17"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18" w14:textId="77777777" w:rsidR="00E836FB" w:rsidRDefault="00994958">
            <w:pPr>
              <w:textAlignment w:val="center"/>
            </w:pPr>
            <w:r>
              <w:rPr>
                <w:rFonts w:ascii="Arial" w:eastAsia="宋体" w:hAnsi="Arial" w:cs="Arial"/>
                <w:color w:val="000000"/>
                <w:sz w:val="18"/>
                <w:szCs w:val="18"/>
              </w:rPr>
              <w:t>Note 27. Parent Company Financial Statements</w:t>
            </w:r>
          </w:p>
        </w:tc>
        <w:tc>
          <w:tcPr>
            <w:tcW w:w="0" w:type="auto"/>
            <w:gridSpan w:val="3"/>
            <w:shd w:val="clear" w:color="auto" w:fill="auto"/>
            <w:tcMar>
              <w:top w:w="40" w:type="dxa"/>
              <w:left w:w="20" w:type="dxa"/>
              <w:bottom w:w="40" w:type="dxa"/>
              <w:right w:w="20" w:type="dxa"/>
            </w:tcMar>
            <w:vAlign w:val="center"/>
          </w:tcPr>
          <w:p w14:paraId="5F2C9B19" w14:textId="77777777" w:rsidR="00E836FB" w:rsidRDefault="00994958">
            <w:pPr>
              <w:jc w:val="right"/>
              <w:textAlignment w:val="center"/>
            </w:pPr>
            <w:hyperlink r:id="rId80" w:anchor="i7cc1f9a814a84c708b0facd5c0e99397_490" w:history="1">
              <w:r>
                <w:rPr>
                  <w:rStyle w:val="a5"/>
                  <w:rFonts w:ascii="Arial" w:eastAsia="宋体" w:hAnsi="Arial" w:cs="Arial"/>
                  <w:color w:val="000000"/>
                  <w:sz w:val="18"/>
                  <w:szCs w:val="18"/>
                  <w:u w:val="none"/>
                </w:rPr>
                <w:t>184</w:t>
              </w:r>
            </w:hyperlink>
          </w:p>
        </w:tc>
      </w:tr>
      <w:tr w:rsidR="00E836FB" w14:paraId="5F2C9B1E" w14:textId="77777777">
        <w:tc>
          <w:tcPr>
            <w:tcW w:w="0" w:type="auto"/>
            <w:gridSpan w:val="3"/>
            <w:shd w:val="clear" w:color="auto" w:fill="auto"/>
            <w:tcMar>
              <w:top w:w="0" w:type="dxa"/>
              <w:left w:w="20" w:type="dxa"/>
              <w:bottom w:w="0" w:type="dxa"/>
              <w:right w:w="20" w:type="dxa"/>
            </w:tcMar>
            <w:vAlign w:val="bottom"/>
          </w:tcPr>
          <w:p w14:paraId="5F2C9B1B" w14:textId="77777777" w:rsidR="00E836FB" w:rsidRDefault="00E836FB">
            <w:pPr>
              <w:rPr>
                <w:rFonts w:ascii="宋体"/>
              </w:rPr>
            </w:pPr>
          </w:p>
        </w:tc>
        <w:tc>
          <w:tcPr>
            <w:tcW w:w="0" w:type="auto"/>
            <w:gridSpan w:val="3"/>
            <w:shd w:val="clear" w:color="auto" w:fill="auto"/>
            <w:tcMar>
              <w:top w:w="40" w:type="dxa"/>
              <w:left w:w="515" w:type="dxa"/>
              <w:bottom w:w="40" w:type="dxa"/>
              <w:right w:w="20" w:type="dxa"/>
            </w:tcMar>
            <w:vAlign w:val="center"/>
          </w:tcPr>
          <w:p w14:paraId="5F2C9B1C" w14:textId="77777777" w:rsidR="00E836FB" w:rsidRDefault="00994958">
            <w:pPr>
              <w:textAlignment w:val="center"/>
            </w:pPr>
            <w:r>
              <w:rPr>
                <w:rFonts w:ascii="Arial" w:eastAsia="宋体" w:hAnsi="Arial" w:cs="Arial"/>
                <w:color w:val="000000"/>
                <w:sz w:val="18"/>
                <w:szCs w:val="18"/>
              </w:rPr>
              <w:t>Note 28. Subsequent Events</w:t>
            </w:r>
          </w:p>
        </w:tc>
        <w:tc>
          <w:tcPr>
            <w:tcW w:w="0" w:type="auto"/>
            <w:gridSpan w:val="3"/>
            <w:shd w:val="clear" w:color="auto" w:fill="auto"/>
            <w:tcMar>
              <w:top w:w="40" w:type="dxa"/>
              <w:left w:w="20" w:type="dxa"/>
              <w:bottom w:w="40" w:type="dxa"/>
              <w:right w:w="20" w:type="dxa"/>
            </w:tcMar>
            <w:vAlign w:val="center"/>
          </w:tcPr>
          <w:p w14:paraId="5F2C9B1D" w14:textId="77777777" w:rsidR="00E836FB" w:rsidRDefault="00994958">
            <w:pPr>
              <w:jc w:val="right"/>
              <w:textAlignment w:val="center"/>
            </w:pPr>
            <w:hyperlink r:id="rId81" w:anchor="i7cc1f9a814a84c708b0facd5c0e99397_493" w:history="1">
              <w:r>
                <w:rPr>
                  <w:rStyle w:val="a5"/>
                  <w:rFonts w:ascii="Arial" w:eastAsia="宋体" w:hAnsi="Arial" w:cs="Arial"/>
                  <w:color w:val="000000"/>
                  <w:sz w:val="18"/>
                  <w:szCs w:val="18"/>
                  <w:u w:val="none"/>
                </w:rPr>
                <w:t>185</w:t>
              </w:r>
            </w:hyperlink>
          </w:p>
        </w:tc>
      </w:tr>
      <w:tr w:rsidR="00E836FB" w14:paraId="5F2C9B22" w14:textId="77777777">
        <w:tc>
          <w:tcPr>
            <w:tcW w:w="0" w:type="auto"/>
            <w:gridSpan w:val="3"/>
            <w:shd w:val="clear" w:color="auto" w:fill="auto"/>
            <w:tcMar>
              <w:top w:w="40" w:type="dxa"/>
              <w:left w:w="155" w:type="dxa"/>
              <w:bottom w:w="40" w:type="dxa"/>
              <w:right w:w="20" w:type="dxa"/>
            </w:tcMar>
          </w:tcPr>
          <w:p w14:paraId="5F2C9B1F" w14:textId="77777777" w:rsidR="00E836FB" w:rsidRDefault="00994958">
            <w:pPr>
              <w:textAlignment w:val="top"/>
            </w:pPr>
            <w:r>
              <w:rPr>
                <w:rFonts w:ascii="Arial" w:eastAsia="宋体" w:hAnsi="Arial" w:cs="Arial"/>
                <w:color w:val="000000"/>
                <w:sz w:val="18"/>
                <w:szCs w:val="18"/>
              </w:rPr>
              <w:t>Item 9</w:t>
            </w:r>
          </w:p>
        </w:tc>
        <w:tc>
          <w:tcPr>
            <w:tcW w:w="0" w:type="auto"/>
            <w:gridSpan w:val="3"/>
            <w:shd w:val="clear" w:color="auto" w:fill="auto"/>
            <w:tcMar>
              <w:top w:w="40" w:type="dxa"/>
              <w:left w:w="155" w:type="dxa"/>
              <w:bottom w:w="40" w:type="dxa"/>
              <w:right w:w="20" w:type="dxa"/>
            </w:tcMar>
            <w:vAlign w:val="center"/>
          </w:tcPr>
          <w:p w14:paraId="5F2C9B20" w14:textId="77777777" w:rsidR="00E836FB" w:rsidRDefault="00994958">
            <w:pPr>
              <w:textAlignment w:val="center"/>
            </w:pPr>
            <w:r>
              <w:rPr>
                <w:rFonts w:ascii="Arial" w:eastAsia="宋体" w:hAnsi="Arial" w:cs="Arial"/>
                <w:color w:val="000000"/>
                <w:sz w:val="18"/>
                <w:szCs w:val="18"/>
              </w:rPr>
              <w:t>Changes in and Disagreements with Accountants on Accounting and Financial Disclosure</w:t>
            </w:r>
          </w:p>
        </w:tc>
        <w:tc>
          <w:tcPr>
            <w:tcW w:w="0" w:type="auto"/>
            <w:gridSpan w:val="3"/>
            <w:shd w:val="clear" w:color="auto" w:fill="auto"/>
            <w:tcMar>
              <w:top w:w="40" w:type="dxa"/>
              <w:left w:w="20" w:type="dxa"/>
              <w:bottom w:w="40" w:type="dxa"/>
              <w:right w:w="20" w:type="dxa"/>
            </w:tcMar>
            <w:vAlign w:val="center"/>
          </w:tcPr>
          <w:p w14:paraId="5F2C9B21" w14:textId="77777777" w:rsidR="00E836FB" w:rsidRDefault="00994958">
            <w:pPr>
              <w:jc w:val="right"/>
              <w:textAlignment w:val="center"/>
            </w:pPr>
            <w:hyperlink r:id="rId82" w:anchor="i7cc1f9a814a84c708b0facd5c0e99397_514" w:history="1">
              <w:r>
                <w:rPr>
                  <w:rStyle w:val="a5"/>
                  <w:rFonts w:ascii="Arial" w:eastAsia="宋体" w:hAnsi="Arial" w:cs="Arial"/>
                  <w:color w:val="000000"/>
                  <w:sz w:val="18"/>
                  <w:szCs w:val="18"/>
                  <w:u w:val="none"/>
                </w:rPr>
                <w:t>190</w:t>
              </w:r>
            </w:hyperlink>
          </w:p>
        </w:tc>
      </w:tr>
      <w:tr w:rsidR="00E836FB" w14:paraId="5F2C9B26" w14:textId="77777777">
        <w:tc>
          <w:tcPr>
            <w:tcW w:w="0" w:type="auto"/>
            <w:gridSpan w:val="3"/>
            <w:shd w:val="clear" w:color="auto" w:fill="auto"/>
            <w:tcMar>
              <w:top w:w="40" w:type="dxa"/>
              <w:left w:w="155" w:type="dxa"/>
              <w:bottom w:w="40" w:type="dxa"/>
              <w:right w:w="20" w:type="dxa"/>
            </w:tcMar>
          </w:tcPr>
          <w:p w14:paraId="5F2C9B23" w14:textId="77777777" w:rsidR="00E836FB" w:rsidRDefault="00994958">
            <w:pPr>
              <w:textAlignment w:val="top"/>
            </w:pPr>
            <w:r>
              <w:rPr>
                <w:rFonts w:ascii="Arial" w:eastAsia="宋体" w:hAnsi="Arial" w:cs="Arial"/>
                <w:color w:val="000000"/>
                <w:sz w:val="18"/>
                <w:szCs w:val="18"/>
              </w:rPr>
              <w:t>Item 9A</w:t>
            </w:r>
          </w:p>
        </w:tc>
        <w:tc>
          <w:tcPr>
            <w:tcW w:w="0" w:type="auto"/>
            <w:gridSpan w:val="3"/>
            <w:shd w:val="clear" w:color="auto" w:fill="auto"/>
            <w:tcMar>
              <w:top w:w="40" w:type="dxa"/>
              <w:left w:w="155" w:type="dxa"/>
              <w:bottom w:w="40" w:type="dxa"/>
              <w:right w:w="20" w:type="dxa"/>
            </w:tcMar>
            <w:vAlign w:val="center"/>
          </w:tcPr>
          <w:p w14:paraId="5F2C9B24" w14:textId="77777777" w:rsidR="00E836FB" w:rsidRDefault="00994958">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5F2C9B25" w14:textId="77777777" w:rsidR="00E836FB" w:rsidRDefault="00994958">
            <w:pPr>
              <w:jc w:val="right"/>
              <w:textAlignment w:val="center"/>
            </w:pPr>
            <w:hyperlink r:id="rId83" w:anchor="i7cc1f9a814a84c708b0facd5c0e99397_517" w:history="1">
              <w:r>
                <w:rPr>
                  <w:rStyle w:val="a5"/>
                  <w:rFonts w:ascii="Arial" w:eastAsia="宋体" w:hAnsi="Arial" w:cs="Arial"/>
                  <w:color w:val="000000"/>
                  <w:sz w:val="18"/>
                  <w:szCs w:val="18"/>
                  <w:u w:val="none"/>
                </w:rPr>
                <w:t>190</w:t>
              </w:r>
            </w:hyperlink>
          </w:p>
        </w:tc>
      </w:tr>
      <w:tr w:rsidR="00E836FB" w14:paraId="5F2C9B2A" w14:textId="77777777">
        <w:tc>
          <w:tcPr>
            <w:tcW w:w="0" w:type="auto"/>
            <w:gridSpan w:val="3"/>
            <w:shd w:val="clear" w:color="auto" w:fill="auto"/>
            <w:tcMar>
              <w:top w:w="40" w:type="dxa"/>
              <w:left w:w="155" w:type="dxa"/>
              <w:bottom w:w="40" w:type="dxa"/>
              <w:right w:w="20" w:type="dxa"/>
            </w:tcMar>
          </w:tcPr>
          <w:p w14:paraId="5F2C9B27" w14:textId="77777777" w:rsidR="00E836FB" w:rsidRDefault="00994958">
            <w:pPr>
              <w:textAlignment w:val="top"/>
            </w:pPr>
            <w:r>
              <w:rPr>
                <w:rFonts w:ascii="Arial" w:eastAsia="宋体" w:hAnsi="Arial" w:cs="Arial"/>
                <w:color w:val="000000"/>
                <w:sz w:val="18"/>
                <w:szCs w:val="18"/>
              </w:rPr>
              <w:t>Item 9B</w:t>
            </w:r>
          </w:p>
        </w:tc>
        <w:tc>
          <w:tcPr>
            <w:tcW w:w="0" w:type="auto"/>
            <w:gridSpan w:val="3"/>
            <w:shd w:val="clear" w:color="auto" w:fill="auto"/>
            <w:tcMar>
              <w:top w:w="40" w:type="dxa"/>
              <w:left w:w="155" w:type="dxa"/>
              <w:bottom w:w="40" w:type="dxa"/>
              <w:right w:w="20" w:type="dxa"/>
            </w:tcMar>
            <w:vAlign w:val="center"/>
          </w:tcPr>
          <w:p w14:paraId="5F2C9B28" w14:textId="77777777" w:rsidR="00E836FB" w:rsidRDefault="00994958">
            <w:pPr>
              <w:textAlignment w:val="center"/>
            </w:pPr>
            <w:r>
              <w:rPr>
                <w:rFonts w:ascii="Arial" w:eastAsia="宋体" w:hAnsi="Arial" w:cs="Arial"/>
                <w:color w:val="000000"/>
                <w:sz w:val="18"/>
                <w:szCs w:val="18"/>
              </w:rPr>
              <w:t>Other Information</w:t>
            </w:r>
          </w:p>
        </w:tc>
        <w:tc>
          <w:tcPr>
            <w:tcW w:w="0" w:type="auto"/>
            <w:gridSpan w:val="3"/>
            <w:shd w:val="clear" w:color="auto" w:fill="auto"/>
            <w:tcMar>
              <w:top w:w="40" w:type="dxa"/>
              <w:left w:w="20" w:type="dxa"/>
              <w:bottom w:w="40" w:type="dxa"/>
              <w:right w:w="20" w:type="dxa"/>
            </w:tcMar>
            <w:vAlign w:val="center"/>
          </w:tcPr>
          <w:p w14:paraId="5F2C9B29" w14:textId="77777777" w:rsidR="00E836FB" w:rsidRDefault="00994958">
            <w:pPr>
              <w:jc w:val="right"/>
              <w:textAlignment w:val="center"/>
            </w:pPr>
            <w:hyperlink r:id="rId84" w:anchor="i7cc1f9a814a84c708b0facd5c0e99397_520" w:history="1">
              <w:r>
                <w:rPr>
                  <w:rStyle w:val="a5"/>
                  <w:rFonts w:ascii="Arial" w:eastAsia="宋体" w:hAnsi="Arial" w:cs="Arial"/>
                  <w:color w:val="000000"/>
                  <w:sz w:val="18"/>
                  <w:szCs w:val="18"/>
                  <w:u w:val="none"/>
                </w:rPr>
                <w:t>193</w:t>
              </w:r>
            </w:hyperlink>
          </w:p>
        </w:tc>
      </w:tr>
      <w:tr w:rsidR="00E836FB" w14:paraId="5F2C9B2E" w14:textId="77777777">
        <w:tc>
          <w:tcPr>
            <w:tcW w:w="0" w:type="auto"/>
            <w:gridSpan w:val="3"/>
            <w:shd w:val="clear" w:color="auto" w:fill="auto"/>
            <w:tcMar>
              <w:top w:w="40" w:type="dxa"/>
              <w:left w:w="155" w:type="dxa"/>
              <w:bottom w:w="40" w:type="dxa"/>
              <w:right w:w="20" w:type="dxa"/>
            </w:tcMar>
          </w:tcPr>
          <w:p w14:paraId="5F2C9B2B" w14:textId="77777777" w:rsidR="00E836FB" w:rsidRDefault="00994958">
            <w:pPr>
              <w:textAlignment w:val="top"/>
            </w:pPr>
            <w:r>
              <w:rPr>
                <w:rFonts w:ascii="Arial" w:eastAsia="宋体" w:hAnsi="Arial" w:cs="Arial"/>
                <w:color w:val="000000"/>
                <w:sz w:val="18"/>
                <w:szCs w:val="18"/>
              </w:rPr>
              <w:t>Item 9C</w:t>
            </w:r>
          </w:p>
        </w:tc>
        <w:tc>
          <w:tcPr>
            <w:tcW w:w="0" w:type="auto"/>
            <w:gridSpan w:val="3"/>
            <w:shd w:val="clear" w:color="auto" w:fill="auto"/>
            <w:tcMar>
              <w:top w:w="40" w:type="dxa"/>
              <w:left w:w="155" w:type="dxa"/>
              <w:bottom w:w="40" w:type="dxa"/>
              <w:right w:w="20" w:type="dxa"/>
            </w:tcMar>
            <w:vAlign w:val="center"/>
          </w:tcPr>
          <w:p w14:paraId="5F2C9B2C" w14:textId="77777777" w:rsidR="00E836FB" w:rsidRDefault="00994958">
            <w:pPr>
              <w:textAlignment w:val="center"/>
            </w:pPr>
            <w:r>
              <w:rPr>
                <w:rFonts w:ascii="Arial" w:eastAsia="宋体" w:hAnsi="Arial" w:cs="Arial"/>
                <w:color w:val="000000"/>
                <w:sz w:val="18"/>
                <w:szCs w:val="18"/>
              </w:rPr>
              <w:t>Disclosure Regarding Foreign Jurisdictions that Prevent Inspections</w:t>
            </w:r>
          </w:p>
        </w:tc>
        <w:tc>
          <w:tcPr>
            <w:tcW w:w="0" w:type="auto"/>
            <w:gridSpan w:val="3"/>
            <w:shd w:val="clear" w:color="auto" w:fill="auto"/>
            <w:tcMar>
              <w:top w:w="40" w:type="dxa"/>
              <w:left w:w="20" w:type="dxa"/>
              <w:bottom w:w="40" w:type="dxa"/>
              <w:right w:w="20" w:type="dxa"/>
            </w:tcMar>
            <w:vAlign w:val="center"/>
          </w:tcPr>
          <w:p w14:paraId="5F2C9B2D" w14:textId="77777777" w:rsidR="00E836FB" w:rsidRDefault="00994958">
            <w:pPr>
              <w:jc w:val="right"/>
              <w:textAlignment w:val="center"/>
            </w:pPr>
            <w:hyperlink r:id="rId85" w:anchor="i7cc1f9a814a84c708b0facd5c0e99397_520" w:history="1">
              <w:r>
                <w:rPr>
                  <w:rStyle w:val="a5"/>
                  <w:rFonts w:ascii="Arial" w:eastAsia="宋体" w:hAnsi="Arial" w:cs="Arial"/>
                  <w:color w:val="000000"/>
                  <w:sz w:val="18"/>
                  <w:szCs w:val="18"/>
                  <w:u w:val="none"/>
                </w:rPr>
                <w:t>193</w:t>
              </w:r>
            </w:hyperlink>
          </w:p>
        </w:tc>
      </w:tr>
      <w:tr w:rsidR="00E836FB" w14:paraId="5F2C9B32" w14:textId="77777777">
        <w:tc>
          <w:tcPr>
            <w:tcW w:w="0" w:type="auto"/>
            <w:gridSpan w:val="3"/>
            <w:shd w:val="clear" w:color="auto" w:fill="auto"/>
            <w:tcMar>
              <w:top w:w="40" w:type="dxa"/>
              <w:left w:w="155" w:type="dxa"/>
              <w:bottom w:w="40" w:type="dxa"/>
              <w:right w:w="20" w:type="dxa"/>
            </w:tcMar>
            <w:vAlign w:val="center"/>
          </w:tcPr>
          <w:p w14:paraId="5F2C9B2F" w14:textId="77777777" w:rsidR="00E836FB" w:rsidRDefault="00994958">
            <w:pPr>
              <w:textAlignment w:val="center"/>
            </w:pPr>
            <w:r>
              <w:rPr>
                <w:rFonts w:ascii="Arial" w:eastAsia="宋体" w:hAnsi="Arial" w:cs="Arial"/>
                <w:b/>
                <w:bCs/>
                <w:color w:val="000000"/>
                <w:sz w:val="18"/>
                <w:szCs w:val="18"/>
              </w:rPr>
              <w:t>PART III</w:t>
            </w:r>
          </w:p>
        </w:tc>
        <w:tc>
          <w:tcPr>
            <w:tcW w:w="0" w:type="auto"/>
            <w:gridSpan w:val="3"/>
            <w:shd w:val="clear" w:color="auto" w:fill="auto"/>
            <w:tcMar>
              <w:top w:w="0" w:type="dxa"/>
              <w:left w:w="20" w:type="dxa"/>
              <w:bottom w:w="0" w:type="dxa"/>
              <w:right w:w="20" w:type="dxa"/>
            </w:tcMar>
            <w:vAlign w:val="bottom"/>
          </w:tcPr>
          <w:p w14:paraId="5F2C9B3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B31" w14:textId="77777777" w:rsidR="00E836FB" w:rsidRDefault="00E836FB">
            <w:pPr>
              <w:rPr>
                <w:rFonts w:ascii="宋体"/>
              </w:rPr>
            </w:pPr>
          </w:p>
        </w:tc>
      </w:tr>
      <w:tr w:rsidR="00E836FB" w14:paraId="5F2C9B36" w14:textId="77777777">
        <w:tc>
          <w:tcPr>
            <w:tcW w:w="0" w:type="auto"/>
            <w:gridSpan w:val="3"/>
            <w:shd w:val="clear" w:color="auto" w:fill="auto"/>
            <w:tcMar>
              <w:top w:w="40" w:type="dxa"/>
              <w:left w:w="155" w:type="dxa"/>
              <w:bottom w:w="40" w:type="dxa"/>
              <w:right w:w="20" w:type="dxa"/>
            </w:tcMar>
          </w:tcPr>
          <w:p w14:paraId="5F2C9B33" w14:textId="77777777" w:rsidR="00E836FB" w:rsidRDefault="00994958">
            <w:pPr>
              <w:textAlignment w:val="top"/>
            </w:pPr>
            <w:r>
              <w:rPr>
                <w:rFonts w:ascii="Arial" w:eastAsia="宋体" w:hAnsi="Arial" w:cs="Arial"/>
                <w:color w:val="000000"/>
                <w:sz w:val="18"/>
                <w:szCs w:val="18"/>
              </w:rPr>
              <w:t>Item 10</w:t>
            </w:r>
          </w:p>
        </w:tc>
        <w:tc>
          <w:tcPr>
            <w:tcW w:w="0" w:type="auto"/>
            <w:gridSpan w:val="3"/>
            <w:shd w:val="clear" w:color="auto" w:fill="auto"/>
            <w:tcMar>
              <w:top w:w="40" w:type="dxa"/>
              <w:left w:w="155" w:type="dxa"/>
              <w:bottom w:w="40" w:type="dxa"/>
              <w:right w:w="20" w:type="dxa"/>
            </w:tcMar>
            <w:vAlign w:val="center"/>
          </w:tcPr>
          <w:p w14:paraId="5F2C9B34" w14:textId="77777777" w:rsidR="00E836FB" w:rsidRDefault="00994958">
            <w:pPr>
              <w:textAlignment w:val="center"/>
            </w:pPr>
            <w:r>
              <w:rPr>
                <w:rFonts w:ascii="Arial" w:eastAsia="宋体" w:hAnsi="Arial" w:cs="Arial"/>
                <w:color w:val="000000"/>
                <w:sz w:val="18"/>
                <w:szCs w:val="18"/>
              </w:rPr>
              <w:t>Directors, Executive Officers and Corporate Governance</w:t>
            </w:r>
          </w:p>
        </w:tc>
        <w:tc>
          <w:tcPr>
            <w:tcW w:w="0" w:type="auto"/>
            <w:gridSpan w:val="3"/>
            <w:shd w:val="clear" w:color="auto" w:fill="auto"/>
            <w:tcMar>
              <w:top w:w="40" w:type="dxa"/>
              <w:left w:w="20" w:type="dxa"/>
              <w:bottom w:w="40" w:type="dxa"/>
              <w:right w:w="20" w:type="dxa"/>
            </w:tcMar>
            <w:vAlign w:val="center"/>
          </w:tcPr>
          <w:p w14:paraId="5F2C9B35" w14:textId="77777777" w:rsidR="00E836FB" w:rsidRDefault="00994958">
            <w:pPr>
              <w:jc w:val="right"/>
              <w:textAlignment w:val="center"/>
            </w:pPr>
            <w:hyperlink r:id="rId86" w:anchor="i7cc1f9a814a84c708b0facd5c0e99397_526" w:history="1">
              <w:r>
                <w:rPr>
                  <w:rStyle w:val="a5"/>
                  <w:rFonts w:ascii="Arial" w:eastAsia="宋体" w:hAnsi="Arial" w:cs="Arial"/>
                  <w:color w:val="000000"/>
                  <w:sz w:val="18"/>
                  <w:szCs w:val="18"/>
                  <w:u w:val="none"/>
                </w:rPr>
                <w:t>193</w:t>
              </w:r>
            </w:hyperlink>
          </w:p>
        </w:tc>
      </w:tr>
      <w:tr w:rsidR="00E836FB" w14:paraId="5F2C9B3A" w14:textId="77777777">
        <w:tc>
          <w:tcPr>
            <w:tcW w:w="0" w:type="auto"/>
            <w:gridSpan w:val="3"/>
            <w:shd w:val="clear" w:color="auto" w:fill="auto"/>
            <w:tcMar>
              <w:top w:w="40" w:type="dxa"/>
              <w:left w:w="155" w:type="dxa"/>
              <w:bottom w:w="40" w:type="dxa"/>
              <w:right w:w="20" w:type="dxa"/>
            </w:tcMar>
          </w:tcPr>
          <w:p w14:paraId="5F2C9B37" w14:textId="77777777" w:rsidR="00E836FB" w:rsidRDefault="00994958">
            <w:pPr>
              <w:textAlignment w:val="top"/>
            </w:pPr>
            <w:r>
              <w:rPr>
                <w:rFonts w:ascii="Arial" w:eastAsia="宋体" w:hAnsi="Arial" w:cs="Arial"/>
                <w:color w:val="000000"/>
                <w:sz w:val="18"/>
                <w:szCs w:val="18"/>
              </w:rPr>
              <w:t>Item 11</w:t>
            </w:r>
          </w:p>
        </w:tc>
        <w:tc>
          <w:tcPr>
            <w:tcW w:w="0" w:type="auto"/>
            <w:gridSpan w:val="3"/>
            <w:shd w:val="clear" w:color="auto" w:fill="auto"/>
            <w:tcMar>
              <w:top w:w="40" w:type="dxa"/>
              <w:left w:w="155" w:type="dxa"/>
              <w:bottom w:w="40" w:type="dxa"/>
              <w:right w:w="20" w:type="dxa"/>
            </w:tcMar>
            <w:vAlign w:val="center"/>
          </w:tcPr>
          <w:p w14:paraId="5F2C9B38" w14:textId="77777777" w:rsidR="00E836FB" w:rsidRDefault="00994958">
            <w:pPr>
              <w:textAlignment w:val="center"/>
            </w:pPr>
            <w:r>
              <w:rPr>
                <w:rFonts w:ascii="Arial" w:eastAsia="宋体" w:hAnsi="Arial" w:cs="Arial"/>
                <w:color w:val="000000"/>
                <w:sz w:val="18"/>
                <w:szCs w:val="18"/>
              </w:rPr>
              <w:t>Executive Compensation</w:t>
            </w:r>
          </w:p>
        </w:tc>
        <w:tc>
          <w:tcPr>
            <w:tcW w:w="0" w:type="auto"/>
            <w:gridSpan w:val="3"/>
            <w:shd w:val="clear" w:color="auto" w:fill="auto"/>
            <w:tcMar>
              <w:top w:w="40" w:type="dxa"/>
              <w:left w:w="20" w:type="dxa"/>
              <w:bottom w:w="40" w:type="dxa"/>
              <w:right w:w="20" w:type="dxa"/>
            </w:tcMar>
            <w:vAlign w:val="center"/>
          </w:tcPr>
          <w:p w14:paraId="5F2C9B39" w14:textId="77777777" w:rsidR="00E836FB" w:rsidRDefault="00994958">
            <w:pPr>
              <w:jc w:val="right"/>
              <w:textAlignment w:val="center"/>
            </w:pPr>
            <w:hyperlink r:id="rId87" w:anchor="i7cc1f9a814a84c708b0facd5c0e99397_529" w:history="1">
              <w:r>
                <w:rPr>
                  <w:rStyle w:val="a5"/>
                  <w:rFonts w:ascii="Arial" w:eastAsia="宋体" w:hAnsi="Arial" w:cs="Arial"/>
                  <w:color w:val="000000"/>
                  <w:sz w:val="18"/>
                  <w:szCs w:val="18"/>
                  <w:u w:val="none"/>
                </w:rPr>
                <w:t>193</w:t>
              </w:r>
            </w:hyperlink>
          </w:p>
        </w:tc>
      </w:tr>
      <w:tr w:rsidR="00E836FB" w14:paraId="5F2C9B3E" w14:textId="77777777">
        <w:tc>
          <w:tcPr>
            <w:tcW w:w="0" w:type="auto"/>
            <w:gridSpan w:val="3"/>
            <w:shd w:val="clear" w:color="auto" w:fill="auto"/>
            <w:tcMar>
              <w:top w:w="40" w:type="dxa"/>
              <w:left w:w="155" w:type="dxa"/>
              <w:bottom w:w="40" w:type="dxa"/>
              <w:right w:w="20" w:type="dxa"/>
            </w:tcMar>
          </w:tcPr>
          <w:p w14:paraId="5F2C9B3B" w14:textId="77777777" w:rsidR="00E836FB" w:rsidRDefault="00994958">
            <w:pPr>
              <w:textAlignment w:val="top"/>
            </w:pPr>
            <w:r>
              <w:rPr>
                <w:rFonts w:ascii="Arial" w:eastAsia="宋体" w:hAnsi="Arial" w:cs="Arial"/>
                <w:color w:val="000000"/>
                <w:sz w:val="18"/>
                <w:szCs w:val="18"/>
              </w:rPr>
              <w:t>Item 12</w:t>
            </w:r>
          </w:p>
        </w:tc>
        <w:tc>
          <w:tcPr>
            <w:tcW w:w="0" w:type="auto"/>
            <w:gridSpan w:val="3"/>
            <w:shd w:val="clear" w:color="auto" w:fill="auto"/>
            <w:tcMar>
              <w:top w:w="40" w:type="dxa"/>
              <w:left w:w="155" w:type="dxa"/>
              <w:bottom w:w="40" w:type="dxa"/>
              <w:right w:w="20" w:type="dxa"/>
            </w:tcMar>
            <w:vAlign w:val="center"/>
          </w:tcPr>
          <w:p w14:paraId="5F2C9B3C" w14:textId="77777777" w:rsidR="00E836FB" w:rsidRDefault="00994958">
            <w:pPr>
              <w:textAlignment w:val="center"/>
            </w:pPr>
            <w:r>
              <w:rPr>
                <w:rFonts w:ascii="Arial" w:eastAsia="宋体" w:hAnsi="Arial" w:cs="Arial"/>
                <w:color w:val="000000"/>
                <w:sz w:val="18"/>
                <w:szCs w:val="18"/>
              </w:rPr>
              <w:t>Security Ownership of Certain Beneficial Owners and Management and Related Stockholder Matters</w:t>
            </w:r>
          </w:p>
        </w:tc>
        <w:tc>
          <w:tcPr>
            <w:tcW w:w="0" w:type="auto"/>
            <w:gridSpan w:val="3"/>
            <w:shd w:val="clear" w:color="auto" w:fill="auto"/>
            <w:tcMar>
              <w:top w:w="40" w:type="dxa"/>
              <w:left w:w="20" w:type="dxa"/>
              <w:bottom w:w="40" w:type="dxa"/>
              <w:right w:w="20" w:type="dxa"/>
            </w:tcMar>
            <w:vAlign w:val="center"/>
          </w:tcPr>
          <w:p w14:paraId="5F2C9B3D" w14:textId="77777777" w:rsidR="00E836FB" w:rsidRDefault="00994958">
            <w:pPr>
              <w:jc w:val="right"/>
              <w:textAlignment w:val="center"/>
            </w:pPr>
            <w:hyperlink r:id="rId88" w:anchor="i7cc1f9a814a84c708b0facd5c0e99397_532" w:history="1">
              <w:r>
                <w:rPr>
                  <w:rStyle w:val="a5"/>
                  <w:rFonts w:ascii="Arial" w:eastAsia="宋体" w:hAnsi="Arial" w:cs="Arial"/>
                  <w:color w:val="000000"/>
                  <w:sz w:val="18"/>
                  <w:szCs w:val="18"/>
                  <w:u w:val="none"/>
                </w:rPr>
                <w:t>193</w:t>
              </w:r>
            </w:hyperlink>
          </w:p>
        </w:tc>
      </w:tr>
      <w:tr w:rsidR="00E836FB" w14:paraId="5F2C9B42" w14:textId="77777777">
        <w:tc>
          <w:tcPr>
            <w:tcW w:w="0" w:type="auto"/>
            <w:gridSpan w:val="3"/>
            <w:shd w:val="clear" w:color="auto" w:fill="auto"/>
            <w:tcMar>
              <w:top w:w="40" w:type="dxa"/>
              <w:left w:w="155" w:type="dxa"/>
              <w:bottom w:w="40" w:type="dxa"/>
              <w:right w:w="20" w:type="dxa"/>
            </w:tcMar>
          </w:tcPr>
          <w:p w14:paraId="5F2C9B3F" w14:textId="77777777" w:rsidR="00E836FB" w:rsidRDefault="00994958">
            <w:pPr>
              <w:textAlignment w:val="top"/>
            </w:pPr>
            <w:r>
              <w:rPr>
                <w:rFonts w:ascii="Arial" w:eastAsia="宋体" w:hAnsi="Arial" w:cs="Arial"/>
                <w:color w:val="000000"/>
                <w:sz w:val="18"/>
                <w:szCs w:val="18"/>
              </w:rPr>
              <w:t>Item 13</w:t>
            </w:r>
          </w:p>
        </w:tc>
        <w:tc>
          <w:tcPr>
            <w:tcW w:w="0" w:type="auto"/>
            <w:gridSpan w:val="3"/>
            <w:shd w:val="clear" w:color="auto" w:fill="auto"/>
            <w:tcMar>
              <w:top w:w="40" w:type="dxa"/>
              <w:left w:w="155" w:type="dxa"/>
              <w:bottom w:w="40" w:type="dxa"/>
              <w:right w:w="20" w:type="dxa"/>
            </w:tcMar>
            <w:vAlign w:val="center"/>
          </w:tcPr>
          <w:p w14:paraId="5F2C9B40" w14:textId="77777777" w:rsidR="00E836FB" w:rsidRDefault="00994958">
            <w:pPr>
              <w:textAlignment w:val="center"/>
            </w:pPr>
            <w:r>
              <w:rPr>
                <w:rFonts w:ascii="Arial" w:eastAsia="宋体" w:hAnsi="Arial" w:cs="Arial"/>
                <w:color w:val="000000"/>
                <w:sz w:val="18"/>
                <w:szCs w:val="18"/>
              </w:rPr>
              <w:t>Certain Relationships and Related Transactions, and Director Independence</w:t>
            </w:r>
          </w:p>
        </w:tc>
        <w:tc>
          <w:tcPr>
            <w:tcW w:w="0" w:type="auto"/>
            <w:gridSpan w:val="3"/>
            <w:shd w:val="clear" w:color="auto" w:fill="auto"/>
            <w:tcMar>
              <w:top w:w="40" w:type="dxa"/>
              <w:left w:w="20" w:type="dxa"/>
              <w:bottom w:w="40" w:type="dxa"/>
              <w:right w:w="20" w:type="dxa"/>
            </w:tcMar>
            <w:vAlign w:val="center"/>
          </w:tcPr>
          <w:p w14:paraId="5F2C9B41" w14:textId="77777777" w:rsidR="00E836FB" w:rsidRDefault="00994958">
            <w:pPr>
              <w:jc w:val="right"/>
              <w:textAlignment w:val="center"/>
            </w:pPr>
            <w:hyperlink r:id="rId89" w:anchor="i7cc1f9a814a84c708b0facd5c0e99397_535" w:history="1">
              <w:r>
                <w:rPr>
                  <w:rStyle w:val="a5"/>
                  <w:rFonts w:ascii="Arial" w:eastAsia="宋体" w:hAnsi="Arial" w:cs="Arial"/>
                  <w:color w:val="000000"/>
                  <w:sz w:val="18"/>
                  <w:szCs w:val="18"/>
                  <w:u w:val="none"/>
                </w:rPr>
                <w:t>194</w:t>
              </w:r>
            </w:hyperlink>
          </w:p>
        </w:tc>
      </w:tr>
      <w:tr w:rsidR="00E836FB" w14:paraId="5F2C9B46" w14:textId="77777777">
        <w:tc>
          <w:tcPr>
            <w:tcW w:w="0" w:type="auto"/>
            <w:gridSpan w:val="3"/>
            <w:shd w:val="clear" w:color="auto" w:fill="auto"/>
            <w:tcMar>
              <w:top w:w="40" w:type="dxa"/>
              <w:left w:w="155" w:type="dxa"/>
              <w:bottom w:w="40" w:type="dxa"/>
              <w:right w:w="20" w:type="dxa"/>
            </w:tcMar>
          </w:tcPr>
          <w:p w14:paraId="5F2C9B43" w14:textId="77777777" w:rsidR="00E836FB" w:rsidRDefault="00994958">
            <w:pPr>
              <w:textAlignment w:val="top"/>
            </w:pPr>
            <w:r>
              <w:rPr>
                <w:rFonts w:ascii="Arial" w:eastAsia="宋体" w:hAnsi="Arial" w:cs="Arial"/>
                <w:color w:val="000000"/>
                <w:sz w:val="18"/>
                <w:szCs w:val="18"/>
              </w:rPr>
              <w:t>Item 14</w:t>
            </w:r>
          </w:p>
        </w:tc>
        <w:tc>
          <w:tcPr>
            <w:tcW w:w="0" w:type="auto"/>
            <w:gridSpan w:val="3"/>
            <w:shd w:val="clear" w:color="auto" w:fill="auto"/>
            <w:tcMar>
              <w:top w:w="40" w:type="dxa"/>
              <w:left w:w="155" w:type="dxa"/>
              <w:bottom w:w="40" w:type="dxa"/>
              <w:right w:w="20" w:type="dxa"/>
            </w:tcMar>
            <w:vAlign w:val="center"/>
          </w:tcPr>
          <w:p w14:paraId="5F2C9B44" w14:textId="77777777" w:rsidR="00E836FB" w:rsidRDefault="00994958">
            <w:pPr>
              <w:textAlignment w:val="center"/>
            </w:pPr>
            <w:r>
              <w:rPr>
                <w:rFonts w:ascii="Arial" w:eastAsia="宋体" w:hAnsi="Arial" w:cs="Arial"/>
                <w:color w:val="000000"/>
                <w:sz w:val="18"/>
                <w:szCs w:val="18"/>
              </w:rPr>
              <w:t>Principal Accounting Fees and Services</w:t>
            </w:r>
          </w:p>
        </w:tc>
        <w:tc>
          <w:tcPr>
            <w:tcW w:w="0" w:type="auto"/>
            <w:gridSpan w:val="3"/>
            <w:shd w:val="clear" w:color="auto" w:fill="auto"/>
            <w:tcMar>
              <w:top w:w="40" w:type="dxa"/>
              <w:left w:w="20" w:type="dxa"/>
              <w:bottom w:w="40" w:type="dxa"/>
              <w:right w:w="20" w:type="dxa"/>
            </w:tcMar>
            <w:vAlign w:val="center"/>
          </w:tcPr>
          <w:p w14:paraId="5F2C9B45" w14:textId="77777777" w:rsidR="00E836FB" w:rsidRDefault="00994958">
            <w:pPr>
              <w:jc w:val="right"/>
              <w:textAlignment w:val="center"/>
            </w:pPr>
            <w:hyperlink r:id="rId90" w:anchor="i7cc1f9a814a84c708b0facd5c0e99397_538" w:history="1">
              <w:r>
                <w:rPr>
                  <w:rStyle w:val="a5"/>
                  <w:rFonts w:ascii="Arial" w:eastAsia="宋体" w:hAnsi="Arial" w:cs="Arial"/>
                  <w:color w:val="000000"/>
                  <w:sz w:val="18"/>
                  <w:szCs w:val="18"/>
                  <w:u w:val="none"/>
                </w:rPr>
                <w:t>194</w:t>
              </w:r>
            </w:hyperlink>
          </w:p>
        </w:tc>
      </w:tr>
      <w:tr w:rsidR="00E836FB" w14:paraId="5F2C9B4A" w14:textId="77777777">
        <w:tc>
          <w:tcPr>
            <w:tcW w:w="0" w:type="auto"/>
            <w:gridSpan w:val="3"/>
            <w:shd w:val="clear" w:color="auto" w:fill="auto"/>
            <w:tcMar>
              <w:top w:w="40" w:type="dxa"/>
              <w:left w:w="155" w:type="dxa"/>
              <w:bottom w:w="40" w:type="dxa"/>
              <w:right w:w="20" w:type="dxa"/>
            </w:tcMar>
            <w:vAlign w:val="center"/>
          </w:tcPr>
          <w:p w14:paraId="5F2C9B47" w14:textId="77777777" w:rsidR="00E836FB" w:rsidRDefault="00994958">
            <w:pPr>
              <w:textAlignment w:val="center"/>
            </w:pPr>
            <w:r>
              <w:rPr>
                <w:rFonts w:ascii="Arial" w:eastAsia="宋体" w:hAnsi="Arial" w:cs="Arial"/>
                <w:b/>
                <w:bCs/>
                <w:color w:val="000000"/>
                <w:sz w:val="18"/>
                <w:szCs w:val="18"/>
              </w:rPr>
              <w:t>PART IV</w:t>
            </w:r>
          </w:p>
        </w:tc>
        <w:tc>
          <w:tcPr>
            <w:tcW w:w="0" w:type="auto"/>
            <w:gridSpan w:val="3"/>
            <w:shd w:val="clear" w:color="auto" w:fill="auto"/>
            <w:tcMar>
              <w:top w:w="0" w:type="dxa"/>
              <w:left w:w="20" w:type="dxa"/>
              <w:bottom w:w="0" w:type="dxa"/>
              <w:right w:w="20" w:type="dxa"/>
            </w:tcMar>
            <w:vAlign w:val="bottom"/>
          </w:tcPr>
          <w:p w14:paraId="5F2C9B4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B49" w14:textId="77777777" w:rsidR="00E836FB" w:rsidRDefault="00E836FB">
            <w:pPr>
              <w:rPr>
                <w:rFonts w:ascii="宋体"/>
              </w:rPr>
            </w:pPr>
          </w:p>
        </w:tc>
      </w:tr>
      <w:tr w:rsidR="00E836FB" w14:paraId="5F2C9B4E" w14:textId="77777777">
        <w:tc>
          <w:tcPr>
            <w:tcW w:w="0" w:type="auto"/>
            <w:gridSpan w:val="3"/>
            <w:shd w:val="clear" w:color="auto" w:fill="auto"/>
            <w:tcMar>
              <w:top w:w="40" w:type="dxa"/>
              <w:left w:w="155" w:type="dxa"/>
              <w:bottom w:w="40" w:type="dxa"/>
              <w:right w:w="20" w:type="dxa"/>
            </w:tcMar>
          </w:tcPr>
          <w:p w14:paraId="5F2C9B4B" w14:textId="77777777" w:rsidR="00E836FB" w:rsidRDefault="00994958">
            <w:pPr>
              <w:textAlignment w:val="top"/>
            </w:pPr>
            <w:r>
              <w:rPr>
                <w:rFonts w:ascii="Arial" w:eastAsia="宋体" w:hAnsi="Arial" w:cs="Arial"/>
                <w:color w:val="000000"/>
                <w:sz w:val="18"/>
                <w:szCs w:val="18"/>
              </w:rPr>
              <w:t>Item 15</w:t>
            </w:r>
          </w:p>
        </w:tc>
        <w:tc>
          <w:tcPr>
            <w:tcW w:w="0" w:type="auto"/>
            <w:gridSpan w:val="3"/>
            <w:shd w:val="clear" w:color="auto" w:fill="auto"/>
            <w:tcMar>
              <w:top w:w="40" w:type="dxa"/>
              <w:left w:w="155" w:type="dxa"/>
              <w:bottom w:w="40" w:type="dxa"/>
              <w:right w:w="20" w:type="dxa"/>
            </w:tcMar>
            <w:vAlign w:val="center"/>
          </w:tcPr>
          <w:p w14:paraId="5F2C9B4C" w14:textId="77777777" w:rsidR="00E836FB" w:rsidRDefault="00994958">
            <w:pPr>
              <w:textAlignment w:val="center"/>
            </w:pPr>
            <w:r>
              <w:rPr>
                <w:rFonts w:ascii="Arial" w:eastAsia="宋体" w:hAnsi="Arial" w:cs="Arial"/>
                <w:color w:val="000000"/>
                <w:sz w:val="18"/>
                <w:szCs w:val="18"/>
              </w:rPr>
              <w:t xml:space="preserve">Exhibits, Financial Statement Schedules </w:t>
            </w:r>
          </w:p>
        </w:tc>
        <w:tc>
          <w:tcPr>
            <w:tcW w:w="0" w:type="auto"/>
            <w:gridSpan w:val="3"/>
            <w:shd w:val="clear" w:color="auto" w:fill="auto"/>
            <w:tcMar>
              <w:top w:w="40" w:type="dxa"/>
              <w:left w:w="20" w:type="dxa"/>
              <w:bottom w:w="40" w:type="dxa"/>
              <w:right w:w="20" w:type="dxa"/>
            </w:tcMar>
            <w:vAlign w:val="center"/>
          </w:tcPr>
          <w:p w14:paraId="5F2C9B4D" w14:textId="77777777" w:rsidR="00E836FB" w:rsidRDefault="00994958">
            <w:pPr>
              <w:jc w:val="right"/>
              <w:textAlignment w:val="center"/>
            </w:pPr>
            <w:hyperlink r:id="rId91" w:anchor="i7cc1f9a814a84c708b0facd5c0e99397_544" w:history="1">
              <w:r>
                <w:rPr>
                  <w:rStyle w:val="a5"/>
                  <w:rFonts w:ascii="Arial" w:eastAsia="宋体" w:hAnsi="Arial" w:cs="Arial"/>
                  <w:color w:val="000000"/>
                  <w:sz w:val="18"/>
                  <w:szCs w:val="18"/>
                  <w:u w:val="none"/>
                </w:rPr>
                <w:t>194</w:t>
              </w:r>
            </w:hyperlink>
          </w:p>
        </w:tc>
      </w:tr>
      <w:tr w:rsidR="00E836FB" w14:paraId="5F2C9B52" w14:textId="77777777">
        <w:tc>
          <w:tcPr>
            <w:tcW w:w="0" w:type="auto"/>
            <w:gridSpan w:val="3"/>
            <w:shd w:val="clear" w:color="auto" w:fill="auto"/>
            <w:tcMar>
              <w:top w:w="40" w:type="dxa"/>
              <w:left w:w="155" w:type="dxa"/>
              <w:bottom w:w="40" w:type="dxa"/>
              <w:right w:w="20" w:type="dxa"/>
            </w:tcMar>
          </w:tcPr>
          <w:p w14:paraId="5F2C9B4F" w14:textId="77777777" w:rsidR="00E836FB" w:rsidRDefault="00994958">
            <w:pPr>
              <w:textAlignment w:val="top"/>
            </w:pPr>
            <w:r>
              <w:rPr>
                <w:rFonts w:ascii="Arial" w:eastAsia="宋体" w:hAnsi="Arial" w:cs="Arial"/>
                <w:color w:val="000000"/>
                <w:sz w:val="18"/>
                <w:szCs w:val="18"/>
              </w:rPr>
              <w:t>Item 16</w:t>
            </w:r>
          </w:p>
        </w:tc>
        <w:tc>
          <w:tcPr>
            <w:tcW w:w="0" w:type="auto"/>
            <w:gridSpan w:val="3"/>
            <w:shd w:val="clear" w:color="auto" w:fill="auto"/>
            <w:tcMar>
              <w:top w:w="40" w:type="dxa"/>
              <w:left w:w="155" w:type="dxa"/>
              <w:bottom w:w="40" w:type="dxa"/>
              <w:right w:w="20" w:type="dxa"/>
            </w:tcMar>
            <w:vAlign w:val="center"/>
          </w:tcPr>
          <w:p w14:paraId="5F2C9B50" w14:textId="77777777" w:rsidR="00E836FB" w:rsidRDefault="00994958">
            <w:pPr>
              <w:textAlignment w:val="center"/>
            </w:pPr>
            <w:r>
              <w:rPr>
                <w:rFonts w:ascii="Arial" w:eastAsia="宋体" w:hAnsi="Arial" w:cs="Arial"/>
                <w:color w:val="000000"/>
                <w:sz w:val="18"/>
                <w:szCs w:val="18"/>
              </w:rPr>
              <w:t>Form 10-K Summary</w:t>
            </w:r>
          </w:p>
        </w:tc>
        <w:tc>
          <w:tcPr>
            <w:tcW w:w="0" w:type="auto"/>
            <w:gridSpan w:val="3"/>
            <w:shd w:val="clear" w:color="auto" w:fill="auto"/>
            <w:tcMar>
              <w:top w:w="40" w:type="dxa"/>
              <w:left w:w="20" w:type="dxa"/>
              <w:bottom w:w="40" w:type="dxa"/>
              <w:right w:w="20" w:type="dxa"/>
            </w:tcMar>
            <w:vAlign w:val="center"/>
          </w:tcPr>
          <w:p w14:paraId="5F2C9B51" w14:textId="77777777" w:rsidR="00E836FB" w:rsidRDefault="00994958">
            <w:pPr>
              <w:jc w:val="right"/>
              <w:textAlignment w:val="center"/>
            </w:pPr>
            <w:hyperlink r:id="rId92" w:anchor="i7cc1f9a814a84c708b0facd5c0e99397_547" w:history="1">
              <w:r>
                <w:rPr>
                  <w:rStyle w:val="a5"/>
                  <w:rFonts w:ascii="Arial" w:eastAsia="宋体" w:hAnsi="Arial" w:cs="Arial"/>
                  <w:color w:val="000000"/>
                  <w:sz w:val="18"/>
                  <w:szCs w:val="18"/>
                  <w:u w:val="none"/>
                </w:rPr>
                <w:t>194</w:t>
              </w:r>
            </w:hyperlink>
          </w:p>
        </w:tc>
      </w:tr>
      <w:tr w:rsidR="00E836FB" w14:paraId="5F2C9B56" w14:textId="77777777">
        <w:trPr>
          <w:trHeight w:val="280"/>
        </w:trPr>
        <w:tc>
          <w:tcPr>
            <w:tcW w:w="0" w:type="auto"/>
            <w:gridSpan w:val="3"/>
            <w:shd w:val="clear" w:color="auto" w:fill="auto"/>
            <w:tcMar>
              <w:top w:w="0" w:type="dxa"/>
              <w:left w:w="20" w:type="dxa"/>
              <w:bottom w:w="0" w:type="dxa"/>
              <w:right w:w="20" w:type="dxa"/>
            </w:tcMar>
            <w:vAlign w:val="bottom"/>
          </w:tcPr>
          <w:p w14:paraId="5F2C9B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B5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B55" w14:textId="77777777" w:rsidR="00E836FB" w:rsidRDefault="00E836FB">
            <w:pPr>
              <w:rPr>
                <w:rFonts w:ascii="宋体"/>
              </w:rPr>
            </w:pPr>
          </w:p>
        </w:tc>
      </w:tr>
      <w:tr w:rsidR="00E836FB" w14:paraId="5F2C9B5A" w14:textId="77777777">
        <w:tc>
          <w:tcPr>
            <w:tcW w:w="0" w:type="auto"/>
            <w:gridSpan w:val="3"/>
            <w:shd w:val="clear" w:color="auto" w:fill="auto"/>
            <w:tcMar>
              <w:top w:w="0" w:type="dxa"/>
              <w:left w:w="20" w:type="dxa"/>
              <w:bottom w:w="0" w:type="dxa"/>
              <w:right w:w="20" w:type="dxa"/>
            </w:tcMar>
            <w:vAlign w:val="bottom"/>
          </w:tcPr>
          <w:p w14:paraId="5F2C9B57" w14:textId="77777777" w:rsidR="00E836FB" w:rsidRDefault="00E836FB">
            <w:pPr>
              <w:rPr>
                <w:rFonts w:ascii="宋体"/>
              </w:rPr>
            </w:pPr>
          </w:p>
        </w:tc>
        <w:tc>
          <w:tcPr>
            <w:tcW w:w="0" w:type="auto"/>
            <w:gridSpan w:val="3"/>
            <w:shd w:val="clear" w:color="auto" w:fill="auto"/>
            <w:tcMar>
              <w:top w:w="40" w:type="dxa"/>
              <w:left w:w="155" w:type="dxa"/>
              <w:bottom w:w="40" w:type="dxa"/>
              <w:right w:w="20" w:type="dxa"/>
            </w:tcMar>
            <w:vAlign w:val="center"/>
          </w:tcPr>
          <w:p w14:paraId="5F2C9B58" w14:textId="77777777" w:rsidR="00E836FB" w:rsidRDefault="00994958">
            <w:pPr>
              <w:textAlignment w:val="center"/>
            </w:pPr>
            <w:r>
              <w:rPr>
                <w:rFonts w:ascii="Arial" w:eastAsia="宋体" w:hAnsi="Arial" w:cs="Arial"/>
                <w:color w:val="000000"/>
                <w:sz w:val="18"/>
                <w:szCs w:val="18"/>
              </w:rPr>
              <w:t xml:space="preserve">EXHIBIT INDEX </w:t>
            </w:r>
          </w:p>
        </w:tc>
        <w:tc>
          <w:tcPr>
            <w:tcW w:w="0" w:type="auto"/>
            <w:gridSpan w:val="3"/>
            <w:shd w:val="clear" w:color="auto" w:fill="auto"/>
            <w:tcMar>
              <w:top w:w="40" w:type="dxa"/>
              <w:left w:w="20" w:type="dxa"/>
              <w:bottom w:w="40" w:type="dxa"/>
              <w:right w:w="20" w:type="dxa"/>
            </w:tcMar>
            <w:vAlign w:val="center"/>
          </w:tcPr>
          <w:p w14:paraId="5F2C9B59" w14:textId="77777777" w:rsidR="00E836FB" w:rsidRDefault="00994958">
            <w:pPr>
              <w:jc w:val="right"/>
              <w:textAlignment w:val="center"/>
            </w:pPr>
            <w:hyperlink r:id="rId93" w:anchor="i7cc1f9a814a84c708b0facd5c0e99397_550" w:history="1">
              <w:r>
                <w:rPr>
                  <w:rStyle w:val="a5"/>
                  <w:rFonts w:ascii="Arial" w:eastAsia="宋体" w:hAnsi="Arial" w:cs="Arial"/>
                  <w:color w:val="000000"/>
                  <w:sz w:val="18"/>
                  <w:szCs w:val="18"/>
                  <w:u w:val="none"/>
                </w:rPr>
                <w:t>195</w:t>
              </w:r>
            </w:hyperlink>
          </w:p>
        </w:tc>
      </w:tr>
      <w:tr w:rsidR="00E836FB" w14:paraId="5F2C9B5E" w14:textId="77777777">
        <w:tc>
          <w:tcPr>
            <w:tcW w:w="0" w:type="auto"/>
            <w:gridSpan w:val="3"/>
            <w:shd w:val="clear" w:color="auto" w:fill="auto"/>
            <w:tcMar>
              <w:top w:w="0" w:type="dxa"/>
              <w:left w:w="20" w:type="dxa"/>
              <w:bottom w:w="0" w:type="dxa"/>
              <w:right w:w="20" w:type="dxa"/>
            </w:tcMar>
            <w:vAlign w:val="bottom"/>
          </w:tcPr>
          <w:p w14:paraId="5F2C9B5B" w14:textId="77777777" w:rsidR="00E836FB" w:rsidRDefault="00E836FB">
            <w:pPr>
              <w:rPr>
                <w:rFonts w:ascii="宋体"/>
              </w:rPr>
            </w:pPr>
          </w:p>
        </w:tc>
        <w:tc>
          <w:tcPr>
            <w:tcW w:w="0" w:type="auto"/>
            <w:gridSpan w:val="3"/>
            <w:shd w:val="clear" w:color="auto" w:fill="auto"/>
            <w:tcMar>
              <w:top w:w="40" w:type="dxa"/>
              <w:left w:w="155" w:type="dxa"/>
              <w:bottom w:w="40" w:type="dxa"/>
              <w:right w:w="20" w:type="dxa"/>
            </w:tcMar>
            <w:vAlign w:val="center"/>
          </w:tcPr>
          <w:p w14:paraId="5F2C9B5C" w14:textId="77777777" w:rsidR="00E836FB" w:rsidRDefault="00994958">
            <w:pPr>
              <w:textAlignment w:val="center"/>
            </w:pPr>
            <w:r>
              <w:rPr>
                <w:rFonts w:ascii="Arial" w:eastAsia="宋体" w:hAnsi="Arial" w:cs="Arial"/>
                <w:color w:val="000000"/>
                <w:sz w:val="18"/>
                <w:szCs w:val="18"/>
              </w:rPr>
              <w:t>SIGNATURES</w:t>
            </w:r>
          </w:p>
        </w:tc>
        <w:tc>
          <w:tcPr>
            <w:tcW w:w="0" w:type="auto"/>
            <w:gridSpan w:val="3"/>
            <w:shd w:val="clear" w:color="auto" w:fill="auto"/>
            <w:tcMar>
              <w:top w:w="40" w:type="dxa"/>
              <w:left w:w="20" w:type="dxa"/>
              <w:bottom w:w="40" w:type="dxa"/>
              <w:right w:w="20" w:type="dxa"/>
            </w:tcMar>
            <w:vAlign w:val="center"/>
          </w:tcPr>
          <w:p w14:paraId="5F2C9B5D" w14:textId="77777777" w:rsidR="00E836FB" w:rsidRDefault="00994958">
            <w:pPr>
              <w:jc w:val="right"/>
              <w:textAlignment w:val="center"/>
            </w:pPr>
            <w:hyperlink r:id="rId94" w:anchor="i7cc1f9a814a84c708b0facd5c0e99397_553" w:history="1">
              <w:r>
                <w:rPr>
                  <w:rStyle w:val="a5"/>
                  <w:rFonts w:ascii="Arial" w:eastAsia="宋体" w:hAnsi="Arial" w:cs="Arial"/>
                  <w:color w:val="000000"/>
                  <w:sz w:val="18"/>
                  <w:szCs w:val="18"/>
                  <w:u w:val="none"/>
                </w:rPr>
                <w:t>198</w:t>
              </w:r>
            </w:hyperlink>
          </w:p>
        </w:tc>
      </w:tr>
    </w:tbl>
    <w:p w14:paraId="5F2C9B5F" w14:textId="77777777" w:rsidR="00E836FB" w:rsidRDefault="00994958">
      <w:pPr>
        <w:ind w:firstLine="450"/>
        <w:jc w:val="right"/>
      </w:pPr>
      <w:r>
        <w:rPr>
          <w:rFonts w:ascii="Arial" w:eastAsia="宋体" w:hAnsi="Arial" w:cs="Arial"/>
          <w:color w:val="000000"/>
          <w:sz w:val="18"/>
          <w:szCs w:val="18"/>
        </w:rPr>
        <w:t>State Street Corporation | 3</w:t>
      </w:r>
    </w:p>
    <w:p w14:paraId="5F2C9B60" w14:textId="77777777" w:rsidR="00E836FB" w:rsidRDefault="00E836FB">
      <w:pPr>
        <w:ind w:firstLine="450"/>
        <w:jc w:val="center"/>
      </w:pPr>
    </w:p>
    <w:p w14:paraId="5F2C9B61" w14:textId="77777777" w:rsidR="00E836FB" w:rsidRDefault="00994958">
      <w:r>
        <w:pict w14:anchorId="5F2D6D86">
          <v:rect id="_x0000_i1027" style="width:415.3pt;height:1.5pt" o:hralign="center" o:hrstd="t" o:hr="t" fillcolor="#a0a0a0" stroked="f"/>
        </w:pict>
      </w:r>
    </w:p>
    <w:p w14:paraId="5F2C9B62" w14:textId="77777777" w:rsidR="00E836FB" w:rsidRDefault="00E836FB">
      <w:pPr>
        <w:ind w:firstLine="450"/>
      </w:pPr>
    </w:p>
    <w:p w14:paraId="5F2C9B63" w14:textId="77777777" w:rsidR="00E836FB" w:rsidRDefault="00994958">
      <w:pPr>
        <w:spacing w:before="90"/>
        <w:jc w:val="both"/>
        <w:textAlignment w:val="top"/>
      </w:pPr>
      <w:r>
        <w:rPr>
          <w:rFonts w:ascii="Arial" w:eastAsia="宋体" w:hAnsi="Arial" w:cs="Arial"/>
          <w:b/>
          <w:bCs/>
          <w:color w:val="000000"/>
          <w:sz w:val="20"/>
          <w:szCs w:val="20"/>
        </w:rPr>
        <w:t>Forward-Looking Statements</w:t>
      </w:r>
    </w:p>
    <w:p w14:paraId="5F2C9B64" w14:textId="77777777" w:rsidR="00E836FB" w:rsidRDefault="00994958">
      <w:pPr>
        <w:spacing w:before="60"/>
        <w:ind w:firstLine="450"/>
        <w:jc w:val="both"/>
        <w:textAlignment w:val="top"/>
      </w:pPr>
      <w:r>
        <w:rPr>
          <w:rFonts w:ascii="Arial" w:eastAsia="宋体" w:hAnsi="Arial" w:cs="Arial"/>
          <w:color w:val="000000"/>
          <w:sz w:val="20"/>
          <w:szCs w:val="20"/>
        </w:rPr>
        <w:t xml:space="preserve">This Form 10-K, as well as other </w:t>
      </w:r>
      <w:r>
        <w:rPr>
          <w:rFonts w:ascii="Arial" w:eastAsia="宋体" w:hAnsi="Arial" w:cs="Arial"/>
          <w:color w:val="000000"/>
          <w:sz w:val="20"/>
          <w:szCs w:val="20"/>
        </w:rPr>
        <w:t>reports and proxy materials submitted by us under the Securities Exchange Act of 1934, registration statements filed by us under the Securities Act of 1933, our annual report to shareholders and other public statements we may make, may contain statements (</w:t>
      </w:r>
      <w:r>
        <w:rPr>
          <w:rFonts w:ascii="Arial" w:eastAsia="宋体" w:hAnsi="Arial" w:cs="Arial"/>
          <w:color w:val="000000"/>
          <w:sz w:val="20"/>
          <w:szCs w:val="20"/>
        </w:rPr>
        <w:t>including statements in our Management's Discussion and Analysis included in such reports, as applicable) that are considered “forward-looking statements” within the meaning of U.S. securities laws, including statements about our goals and expectations reg</w:t>
      </w:r>
      <w:r>
        <w:rPr>
          <w:rFonts w:ascii="Arial" w:eastAsia="宋体" w:hAnsi="Arial" w:cs="Arial"/>
          <w:color w:val="000000"/>
          <w:sz w:val="20"/>
          <w:szCs w:val="20"/>
        </w:rPr>
        <w:t>arding our business, financial and capital condition, results of operations, strategies, cost savings and transformation initiatives, investment portfolio performance, dividend and stock purchase programs, acquisitions (including, without limitation, our p</w:t>
      </w:r>
      <w:r>
        <w:rPr>
          <w:rFonts w:ascii="Arial" w:eastAsia="宋体" w:hAnsi="Arial" w:cs="Arial"/>
          <w:color w:val="000000"/>
          <w:sz w:val="20"/>
          <w:szCs w:val="20"/>
        </w:rPr>
        <w:t>lanned acquisition of Brown Brothers Harriman's Investor Services business), outcomes of legal proceedings, market growth, joint ventures and divestitures, client growth and new technologies, services and opportunities, as well as industry, governmental, r</w:t>
      </w:r>
      <w:r>
        <w:rPr>
          <w:rFonts w:ascii="Arial" w:eastAsia="宋体" w:hAnsi="Arial" w:cs="Arial"/>
          <w:color w:val="000000"/>
          <w:sz w:val="20"/>
          <w:szCs w:val="20"/>
        </w:rPr>
        <w:t>egulatory, economic and market trends, initiatives and developments, the business environment and other matters that do not relate strictly to historical facts.</w:t>
      </w:r>
    </w:p>
    <w:p w14:paraId="5F2C9B65" w14:textId="77777777" w:rsidR="00E836FB" w:rsidRDefault="00994958">
      <w:pPr>
        <w:spacing w:before="60"/>
        <w:ind w:firstLine="450"/>
        <w:jc w:val="both"/>
        <w:textAlignment w:val="top"/>
      </w:pPr>
      <w:r>
        <w:rPr>
          <w:rFonts w:ascii="Arial" w:eastAsia="宋体" w:hAnsi="Arial" w:cs="Arial"/>
          <w:color w:val="000000"/>
          <w:sz w:val="20"/>
          <w:szCs w:val="20"/>
        </w:rPr>
        <w:t xml:space="preserve">Terminology such as “plan,” “expect,” “intend,” “objective,” “forecast,” “outlook,” “believe,” </w:t>
      </w:r>
      <w:r>
        <w:rPr>
          <w:rFonts w:ascii="Arial" w:eastAsia="宋体" w:hAnsi="Arial" w:cs="Arial"/>
          <w:color w:val="000000"/>
          <w:sz w:val="20"/>
          <w:szCs w:val="20"/>
        </w:rPr>
        <w:t>“priority,” “anticipate,” “estimate,” “seek,” “may,” “will,” “trend,” “target,” “strategy” and “goal,” or similar statements or variations of such terms, are intended to identify forward-looking statements, although not all forward-looking statements conta</w:t>
      </w:r>
      <w:r>
        <w:rPr>
          <w:rFonts w:ascii="Arial" w:eastAsia="宋体" w:hAnsi="Arial" w:cs="Arial"/>
          <w:color w:val="000000"/>
          <w:sz w:val="20"/>
          <w:szCs w:val="20"/>
        </w:rPr>
        <w:t>in such terms.</w:t>
      </w:r>
    </w:p>
    <w:p w14:paraId="5F2C9B66" w14:textId="77777777" w:rsidR="00E836FB" w:rsidRDefault="00994958">
      <w:pPr>
        <w:spacing w:before="60"/>
        <w:ind w:firstLine="450"/>
        <w:jc w:val="both"/>
        <w:textAlignment w:val="top"/>
      </w:pPr>
      <w:r>
        <w:rPr>
          <w:rFonts w:ascii="Arial" w:eastAsia="宋体" w:hAnsi="Arial" w:cs="Arial"/>
          <w:color w:val="000000"/>
          <w:sz w:val="20"/>
          <w:szCs w:val="20"/>
        </w:rPr>
        <w:t>Forward-looking statements are subject to various risks and uncertainties, which change over time, are based on management's expectations and assumptions at the time the statements are made and are not guarantees of future results. Managemen</w:t>
      </w:r>
      <w:r>
        <w:rPr>
          <w:rFonts w:ascii="Arial" w:eastAsia="宋体" w:hAnsi="Arial" w:cs="Arial"/>
          <w:color w:val="000000"/>
          <w:sz w:val="20"/>
          <w:szCs w:val="20"/>
        </w:rPr>
        <w:t>t's expectations and assumptions, and the continued validity of the forward-looking statements, are subject to change due to a broad range of factors affecting the U.S. and global economies, regulatory 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markets, as well as factors specific to State Street and its subsidiaries, including State Street Bank. Factors that could cause changes in the expectations or assumptions on which forward-looking statements are based ca</w:t>
      </w:r>
      <w:r>
        <w:rPr>
          <w:rFonts w:ascii="Arial" w:eastAsia="宋体" w:hAnsi="Arial" w:cs="Arial"/>
          <w:color w:val="000000"/>
          <w:sz w:val="20"/>
          <w:szCs w:val="20"/>
        </w:rPr>
        <w:t xml:space="preserve">nnot be foreseen with certainty and include the factors described under the headings "Risk Factors Summary" and "Risk Factors" and elsewhere in this Form 10-K, including under "Management's Discussion and Analysis." </w:t>
      </w:r>
    </w:p>
    <w:p w14:paraId="5F2C9B67" w14:textId="77777777" w:rsidR="00E836FB" w:rsidRDefault="00994958">
      <w:pPr>
        <w:spacing w:before="60"/>
        <w:ind w:firstLine="450"/>
        <w:jc w:val="both"/>
        <w:textAlignment w:val="top"/>
      </w:pPr>
      <w:r>
        <w:rPr>
          <w:rFonts w:ascii="Arial" w:eastAsia="宋体" w:hAnsi="Arial" w:cs="Arial"/>
          <w:color w:val="000000"/>
          <w:sz w:val="20"/>
          <w:szCs w:val="20"/>
        </w:rPr>
        <w:t xml:space="preserve">Actual outcomes and results may differ </w:t>
      </w:r>
      <w:r>
        <w:rPr>
          <w:rFonts w:ascii="Arial" w:eastAsia="宋体" w:hAnsi="Arial" w:cs="Arial"/>
          <w:color w:val="000000"/>
          <w:sz w:val="20"/>
          <w:szCs w:val="20"/>
        </w:rPr>
        <w:t xml:space="preserve">materially from what is expressed in our forward-looking statements and from our historical financial results due to the factors discussed in this section and elsewhere in this Form 10-K or disclosed in our other SEC filings. Forward-looking statements in </w:t>
      </w:r>
      <w:r>
        <w:rPr>
          <w:rFonts w:ascii="Arial" w:eastAsia="宋体" w:hAnsi="Arial" w:cs="Arial"/>
          <w:color w:val="000000"/>
          <w:sz w:val="20"/>
          <w:szCs w:val="20"/>
        </w:rPr>
        <w:t xml:space="preserve">this </w:t>
      </w:r>
    </w:p>
    <w:p w14:paraId="5F2C9B68" w14:textId="77777777" w:rsidR="00E836FB" w:rsidRDefault="00994958">
      <w:pPr>
        <w:spacing w:before="60"/>
        <w:jc w:val="both"/>
        <w:textAlignment w:val="top"/>
      </w:pPr>
      <w:r>
        <w:rPr>
          <w:rFonts w:ascii="Arial" w:eastAsia="宋体" w:hAnsi="Arial" w:cs="Arial"/>
          <w:color w:val="000000"/>
          <w:sz w:val="20"/>
          <w:szCs w:val="20"/>
        </w:rPr>
        <w:t xml:space="preserve">Form 10-K should not be relied on as representing our expectations or assumptions as of any time subsequent to the time this Form 10-K is filed with the SEC. We undertake no obligation to revise our forward-looking statements after the time they are </w:t>
      </w:r>
      <w:r>
        <w:rPr>
          <w:rFonts w:ascii="Arial" w:eastAsia="宋体" w:hAnsi="Arial" w:cs="Arial"/>
          <w:color w:val="000000"/>
          <w:sz w:val="20"/>
          <w:szCs w:val="20"/>
        </w:rPr>
        <w:t>made. The factors discussed herein are not intended to be a complete statement of all risks and uncertainties that may affect our businesses. We cannot anticipate all developments that may adversely affect our business or operations or our consolidated res</w:t>
      </w:r>
      <w:r>
        <w:rPr>
          <w:rFonts w:ascii="Arial" w:eastAsia="宋体" w:hAnsi="Arial" w:cs="Arial"/>
          <w:color w:val="000000"/>
          <w:sz w:val="20"/>
          <w:szCs w:val="20"/>
        </w:rPr>
        <w:t xml:space="preserve">ults of operations, financial condition or cash flows. </w:t>
      </w:r>
    </w:p>
    <w:p w14:paraId="5F2C9B69" w14:textId="77777777" w:rsidR="00E836FB" w:rsidRDefault="00994958">
      <w:pPr>
        <w:spacing w:before="60"/>
        <w:ind w:firstLine="450"/>
        <w:jc w:val="both"/>
        <w:textAlignment w:val="top"/>
      </w:pPr>
      <w:r>
        <w:rPr>
          <w:rFonts w:ascii="Arial" w:eastAsia="宋体" w:hAnsi="Arial" w:cs="Arial"/>
          <w:color w:val="000000"/>
          <w:sz w:val="20"/>
          <w:szCs w:val="20"/>
        </w:rPr>
        <w:t xml:space="preserve">Forward-looking statements should not be viewed as predictions and should not be the primary basis on which investors evaluate State Street. Any investor in State Street should consider all risks and </w:t>
      </w:r>
      <w:r>
        <w:rPr>
          <w:rFonts w:ascii="Arial" w:eastAsia="宋体" w:hAnsi="Arial" w:cs="Arial"/>
          <w:color w:val="000000"/>
          <w:sz w:val="20"/>
          <w:szCs w:val="20"/>
        </w:rPr>
        <w:t>uncertainties disclosed in our SEC filings, including our filings under the Securities Exchange Act of 1934, in particular our annual reports on Form 10-K, our quarterly reports on Form 10-Q and our current reports on Form 8-K, or registration statements f</w:t>
      </w:r>
      <w:r>
        <w:rPr>
          <w:rFonts w:ascii="Arial" w:eastAsia="宋体" w:hAnsi="Arial" w:cs="Arial"/>
          <w:color w:val="000000"/>
          <w:sz w:val="20"/>
          <w:szCs w:val="20"/>
        </w:rPr>
        <w:t xml:space="preserve">iled under the Securities Act of 1933, all of which are accessible on the SEC's website at </w:t>
      </w:r>
      <w:r>
        <w:rPr>
          <w:rFonts w:ascii="Arial" w:eastAsia="宋体" w:hAnsi="Arial" w:cs="Arial"/>
          <w:i/>
          <w:iCs/>
          <w:color w:val="000000"/>
          <w:sz w:val="20"/>
          <w:szCs w:val="20"/>
        </w:rPr>
        <w:t xml:space="preserve">www.sec.gov </w:t>
      </w:r>
      <w:r>
        <w:rPr>
          <w:rFonts w:ascii="Arial" w:eastAsia="宋体" w:hAnsi="Arial" w:cs="Arial"/>
          <w:color w:val="000000"/>
          <w:sz w:val="20"/>
          <w:szCs w:val="20"/>
        </w:rPr>
        <w:t xml:space="preserve">or on the “Investor Relations” section of our corporate website at </w:t>
      </w:r>
      <w:r>
        <w:rPr>
          <w:rFonts w:ascii="Arial" w:eastAsia="宋体" w:hAnsi="Arial" w:cs="Arial"/>
          <w:i/>
          <w:iCs/>
          <w:color w:val="000000"/>
          <w:sz w:val="20"/>
          <w:szCs w:val="20"/>
        </w:rPr>
        <w:t>www.statestreet.com</w:t>
      </w:r>
      <w:r>
        <w:rPr>
          <w:rFonts w:ascii="Times New Roman" w:eastAsia="宋体" w:hAnsi="Times New Roman"/>
          <w:color w:val="000000"/>
          <w:sz w:val="20"/>
          <w:szCs w:val="20"/>
        </w:rPr>
        <w:t xml:space="preserve">. </w:t>
      </w:r>
    </w:p>
    <w:p w14:paraId="5F2C9B6A" w14:textId="77777777" w:rsidR="00E836FB" w:rsidRDefault="00994958">
      <w:pPr>
        <w:spacing w:before="90"/>
        <w:jc w:val="both"/>
        <w:textAlignment w:val="top"/>
      </w:pPr>
      <w:r>
        <w:rPr>
          <w:rFonts w:ascii="Arial" w:eastAsia="宋体" w:hAnsi="Arial" w:cs="Arial"/>
          <w:b/>
          <w:bCs/>
          <w:color w:val="000000"/>
          <w:sz w:val="20"/>
          <w:szCs w:val="20"/>
        </w:rPr>
        <w:t>Risk Factors Summary</w:t>
      </w:r>
    </w:p>
    <w:p w14:paraId="5F2C9B6B" w14:textId="77777777" w:rsidR="00E836FB" w:rsidRDefault="00994958">
      <w:pPr>
        <w:spacing w:before="60"/>
        <w:ind w:firstLine="450"/>
        <w:jc w:val="both"/>
        <w:textAlignment w:val="top"/>
      </w:pPr>
      <w:r>
        <w:rPr>
          <w:rFonts w:ascii="Arial" w:eastAsia="宋体" w:hAnsi="Arial" w:cs="Arial"/>
          <w:color w:val="212529"/>
          <w:sz w:val="20"/>
          <w:szCs w:val="20"/>
        </w:rPr>
        <w:t xml:space="preserve">The following is a summary of the material </w:t>
      </w:r>
      <w:r>
        <w:rPr>
          <w:rFonts w:ascii="Arial" w:eastAsia="宋体" w:hAnsi="Arial" w:cs="Arial"/>
          <w:color w:val="212529"/>
          <w:sz w:val="20"/>
          <w:szCs w:val="20"/>
        </w:rPr>
        <w:t>risks we are exposed to in the course of our business activities. The below summary does not contain all of the information that may be important to you, and you should read the below summary together with the more detailed discussion of risks set forth un</w:t>
      </w:r>
      <w:r>
        <w:rPr>
          <w:rFonts w:ascii="Arial" w:eastAsia="宋体" w:hAnsi="Arial" w:cs="Arial"/>
          <w:color w:val="212529"/>
          <w:sz w:val="20"/>
          <w:szCs w:val="20"/>
        </w:rPr>
        <w:t>der the heading "Risk Factors," as well as elsewhere in this Form 10-K under the heading "Management's Discussion and Analysis."</w:t>
      </w:r>
    </w:p>
    <w:p w14:paraId="5F2C9B6C" w14:textId="77777777" w:rsidR="00E836FB" w:rsidRDefault="00994958">
      <w:pPr>
        <w:spacing w:before="90"/>
        <w:textAlignment w:val="top"/>
      </w:pPr>
      <w:r>
        <w:rPr>
          <w:rFonts w:ascii="Arial" w:eastAsia="宋体" w:hAnsi="Arial" w:cs="Arial"/>
          <w:b/>
          <w:bCs/>
          <w:color w:val="000000"/>
          <w:sz w:val="20"/>
          <w:szCs w:val="20"/>
        </w:rPr>
        <w:t>Strategic Risks</w:t>
      </w:r>
    </w:p>
    <w:p w14:paraId="5F2C9B6D" w14:textId="77777777" w:rsidR="00E836FB" w:rsidRDefault="00994958">
      <w:pPr>
        <w:spacing w:before="60"/>
        <w:ind w:hanging="360"/>
        <w:jc w:val="both"/>
        <w:textAlignment w:val="top"/>
      </w:pPr>
      <w:r>
        <w:rPr>
          <w:rFonts w:ascii="Arial" w:eastAsia="宋体" w:hAnsi="Arial" w:cs="Arial"/>
          <w:color w:val="000000"/>
          <w:sz w:val="20"/>
          <w:szCs w:val="20"/>
        </w:rPr>
        <w:t>•The consummation of our planned acquisition of the BBH Investor Services business is subject to the receipt of</w:t>
      </w:r>
      <w:r>
        <w:rPr>
          <w:rFonts w:ascii="Arial" w:eastAsia="宋体" w:hAnsi="Arial" w:cs="Arial"/>
          <w:color w:val="000000"/>
          <w:sz w:val="20"/>
          <w:szCs w:val="20"/>
        </w:rPr>
        <w:t xml:space="preserve"> regulatory approvals and the satisfaction of other closing conditions, the failure or delay of which may prevent or delay the consummation of the acquisition;</w:t>
      </w:r>
    </w:p>
    <w:p w14:paraId="5F2C9B6E" w14:textId="77777777" w:rsidR="00E836FB" w:rsidRDefault="00994958">
      <w:pPr>
        <w:spacing w:before="60"/>
        <w:ind w:hanging="360"/>
        <w:jc w:val="both"/>
        <w:textAlignment w:val="top"/>
      </w:pPr>
      <w:r>
        <w:rPr>
          <w:rFonts w:ascii="Arial" w:eastAsia="宋体" w:hAnsi="Arial" w:cs="Arial"/>
          <w:color w:val="000000"/>
          <w:sz w:val="20"/>
          <w:szCs w:val="20"/>
        </w:rPr>
        <w:t>•Even if we successfully consummate our planned acquisition of the BBH Investor Services busines</w:t>
      </w:r>
      <w:r>
        <w:rPr>
          <w:rFonts w:ascii="Arial" w:eastAsia="宋体" w:hAnsi="Arial" w:cs="Arial"/>
          <w:color w:val="000000"/>
          <w:sz w:val="20"/>
          <w:szCs w:val="20"/>
        </w:rPr>
        <w:t>s, we may fail to realize some or all of the anticipated benefits of the transaction or the benefits may take longer to realize than expected;</w:t>
      </w:r>
    </w:p>
    <w:p w14:paraId="5F2C9B6F" w14:textId="77777777" w:rsidR="00E836FB" w:rsidRDefault="00994958">
      <w:pPr>
        <w:spacing w:before="60"/>
        <w:ind w:hanging="360"/>
        <w:jc w:val="both"/>
        <w:textAlignment w:val="top"/>
      </w:pPr>
      <w:r>
        <w:rPr>
          <w:rFonts w:ascii="Arial" w:eastAsia="宋体" w:hAnsi="Arial" w:cs="Arial"/>
          <w:color w:val="000000"/>
          <w:sz w:val="20"/>
          <w:szCs w:val="20"/>
        </w:rPr>
        <w:t>•We are subject to intense competition, which could negatively affect our profitability;</w:t>
      </w:r>
    </w:p>
    <w:p w14:paraId="5F2C9B70" w14:textId="77777777" w:rsidR="00E836FB" w:rsidRDefault="00994958">
      <w:pPr>
        <w:spacing w:before="60"/>
        <w:ind w:hanging="360"/>
        <w:jc w:val="both"/>
        <w:textAlignment w:val="top"/>
      </w:pPr>
      <w:r>
        <w:rPr>
          <w:rFonts w:ascii="Arial" w:eastAsia="宋体" w:hAnsi="Arial" w:cs="Arial"/>
          <w:color w:val="000000"/>
          <w:sz w:val="20"/>
          <w:szCs w:val="20"/>
        </w:rPr>
        <w:t>•We are subject to signi</w:t>
      </w:r>
      <w:r>
        <w:rPr>
          <w:rFonts w:ascii="Arial" w:eastAsia="宋体" w:hAnsi="Arial" w:cs="Arial"/>
          <w:color w:val="000000"/>
          <w:sz w:val="20"/>
          <w:szCs w:val="20"/>
        </w:rPr>
        <w:t>ficant pricing pressure and variability in our financial results and our AUC/A and AUM;</w:t>
      </w:r>
    </w:p>
    <w:p w14:paraId="5F2C9B71" w14:textId="77777777" w:rsidR="00E836FB" w:rsidRDefault="00994958">
      <w:pPr>
        <w:spacing w:before="60"/>
        <w:ind w:hanging="360"/>
        <w:jc w:val="both"/>
        <w:textAlignment w:val="top"/>
      </w:pPr>
      <w:r>
        <w:rPr>
          <w:rFonts w:ascii="Arial" w:eastAsia="宋体" w:hAnsi="Arial" w:cs="Arial"/>
          <w:color w:val="000000"/>
          <w:sz w:val="20"/>
          <w:szCs w:val="20"/>
        </w:rPr>
        <w:t xml:space="preserve">•Our development and completion of new products and services, including State Street Digital or State Street Alpha, and the </w:t>
      </w:r>
    </w:p>
    <w:p w14:paraId="5F2C9B72" w14:textId="77777777" w:rsidR="00E836FB" w:rsidRDefault="00994958">
      <w:pPr>
        <w:ind w:firstLine="450"/>
        <w:jc w:val="right"/>
      </w:pPr>
      <w:r>
        <w:rPr>
          <w:rFonts w:ascii="Arial" w:eastAsia="宋体" w:hAnsi="Arial" w:cs="Arial"/>
          <w:color w:val="000000"/>
          <w:sz w:val="18"/>
          <w:szCs w:val="18"/>
        </w:rPr>
        <w:t>State Street Corporation | 4</w:t>
      </w:r>
    </w:p>
    <w:p w14:paraId="5F2C9B73" w14:textId="77777777" w:rsidR="00E836FB" w:rsidRDefault="00E836FB">
      <w:pPr>
        <w:ind w:firstLine="450"/>
        <w:jc w:val="center"/>
      </w:pPr>
    </w:p>
    <w:p w14:paraId="5F2C9B74" w14:textId="77777777" w:rsidR="00E836FB" w:rsidRDefault="00994958">
      <w:r>
        <w:pict w14:anchorId="5F2D6D87">
          <v:rect id="_x0000_i1028" style="width:415.3pt;height:1.5pt" o:hralign="center" o:hrstd="t" o:hr="t" fillcolor="#a0a0a0" stroked="f"/>
        </w:pict>
      </w:r>
    </w:p>
    <w:p w14:paraId="5F2C9B75" w14:textId="77777777" w:rsidR="00E836FB" w:rsidRDefault="00E836FB">
      <w:pPr>
        <w:ind w:firstLine="450"/>
      </w:pPr>
    </w:p>
    <w:p w14:paraId="5F2C9B76" w14:textId="77777777" w:rsidR="00E836FB" w:rsidRDefault="00994958">
      <w:pPr>
        <w:spacing w:before="60"/>
        <w:jc w:val="both"/>
        <w:textAlignment w:val="top"/>
      </w:pPr>
      <w:r>
        <w:rPr>
          <w:rFonts w:ascii="Arial" w:eastAsia="宋体" w:hAnsi="Arial" w:cs="Arial"/>
          <w:color w:val="000000"/>
          <w:sz w:val="20"/>
          <w:szCs w:val="20"/>
        </w:rPr>
        <w:t>enhancemen</w:t>
      </w:r>
      <w:r>
        <w:rPr>
          <w:rFonts w:ascii="Arial" w:eastAsia="宋体" w:hAnsi="Arial" w:cs="Arial"/>
          <w:color w:val="000000"/>
          <w:sz w:val="20"/>
          <w:szCs w:val="20"/>
        </w:rPr>
        <w:t>t of our infrastructure required to meet increased regulatory and client expectations for resiliency and the systems and process re-engineering necessary to achieve improved productivity and reduced operating risk, may involve costs and dependencies and ex</w:t>
      </w:r>
      <w:r>
        <w:rPr>
          <w:rFonts w:ascii="Arial" w:eastAsia="宋体" w:hAnsi="Arial" w:cs="Arial"/>
          <w:color w:val="000000"/>
          <w:sz w:val="20"/>
          <w:szCs w:val="20"/>
        </w:rPr>
        <w:t>pose us to increased risk;</w:t>
      </w:r>
    </w:p>
    <w:p w14:paraId="5F2C9B77" w14:textId="77777777" w:rsidR="00E836FB" w:rsidRDefault="00994958">
      <w:pPr>
        <w:spacing w:before="60"/>
        <w:ind w:hanging="360"/>
        <w:jc w:val="both"/>
        <w:textAlignment w:val="top"/>
      </w:pPr>
      <w:r>
        <w:rPr>
          <w:rFonts w:ascii="Arial" w:eastAsia="宋体" w:hAnsi="Arial" w:cs="Arial"/>
          <w:color w:val="000000"/>
          <w:sz w:val="20"/>
          <w:szCs w:val="20"/>
        </w:rPr>
        <w:t>•Our business may be negatively affected by our failure to update and maintain our technology infrastructure;</w:t>
      </w:r>
    </w:p>
    <w:p w14:paraId="5F2C9B78" w14:textId="77777777" w:rsidR="00E836FB" w:rsidRDefault="00994958">
      <w:pPr>
        <w:spacing w:before="60"/>
        <w:ind w:hanging="360"/>
        <w:jc w:val="both"/>
        <w:textAlignment w:val="top"/>
      </w:pPr>
      <w:r>
        <w:rPr>
          <w:rFonts w:ascii="Arial" w:eastAsia="宋体" w:hAnsi="Arial" w:cs="Arial"/>
          <w:color w:val="000000"/>
          <w:sz w:val="20"/>
          <w:szCs w:val="20"/>
        </w:rPr>
        <w:t>•The COVID-19 pandemic continues to exacerbate certain risks and uncertainties for our business;</w:t>
      </w:r>
    </w:p>
    <w:p w14:paraId="5F2C9B79" w14:textId="77777777" w:rsidR="00E836FB" w:rsidRDefault="00994958">
      <w:pPr>
        <w:spacing w:before="60"/>
        <w:ind w:hanging="360"/>
        <w:jc w:val="both"/>
        <w:textAlignment w:val="top"/>
      </w:pPr>
      <w:r>
        <w:rPr>
          <w:rFonts w:ascii="Arial" w:eastAsia="宋体" w:hAnsi="Arial" w:cs="Arial"/>
          <w:color w:val="000000"/>
          <w:sz w:val="20"/>
          <w:szCs w:val="20"/>
        </w:rPr>
        <w:t>•Acquisitions, strategic alliances, joint ventures and divestitures, and the integration, retention and development of the benefits of our acquisitions, pose risks for our business; and</w:t>
      </w:r>
    </w:p>
    <w:p w14:paraId="5F2C9B7A" w14:textId="77777777" w:rsidR="00E836FB" w:rsidRDefault="00994958">
      <w:pPr>
        <w:spacing w:before="60"/>
        <w:ind w:hanging="360"/>
        <w:jc w:val="both"/>
        <w:textAlignment w:val="top"/>
      </w:pPr>
      <w:r>
        <w:rPr>
          <w:rFonts w:ascii="Arial" w:eastAsia="宋体" w:hAnsi="Arial" w:cs="Arial"/>
          <w:color w:val="000000"/>
          <w:sz w:val="20"/>
          <w:szCs w:val="20"/>
        </w:rPr>
        <w:t>•Competition for qualified members of our workforce is intense, and we</w:t>
      </w:r>
      <w:r>
        <w:rPr>
          <w:rFonts w:ascii="Arial" w:eastAsia="宋体" w:hAnsi="Arial" w:cs="Arial"/>
          <w:color w:val="000000"/>
          <w:sz w:val="20"/>
          <w:szCs w:val="20"/>
        </w:rPr>
        <w:t xml:space="preserve"> may not be able to attract and retain the highly skilled people we need to support our business.</w:t>
      </w:r>
    </w:p>
    <w:p w14:paraId="5F2C9B7B" w14:textId="77777777" w:rsidR="00E836FB" w:rsidRDefault="00994958">
      <w:pPr>
        <w:spacing w:before="90"/>
        <w:textAlignment w:val="top"/>
      </w:pPr>
      <w:r>
        <w:rPr>
          <w:rFonts w:ascii="Arial" w:eastAsia="宋体" w:hAnsi="Arial" w:cs="Arial"/>
          <w:b/>
          <w:bCs/>
          <w:color w:val="000000"/>
          <w:sz w:val="20"/>
          <w:szCs w:val="20"/>
        </w:rPr>
        <w:t>Financial Market Risks</w:t>
      </w:r>
    </w:p>
    <w:p w14:paraId="5F2C9B7C" w14:textId="77777777" w:rsidR="00E836FB" w:rsidRDefault="00994958">
      <w:pPr>
        <w:spacing w:before="60"/>
        <w:ind w:hanging="360"/>
        <w:jc w:val="both"/>
        <w:textAlignment w:val="top"/>
      </w:pPr>
      <w:r>
        <w:rPr>
          <w:rFonts w:ascii="Arial" w:eastAsia="宋体" w:hAnsi="Arial" w:cs="Arial"/>
          <w:color w:val="000000"/>
          <w:sz w:val="20"/>
          <w:szCs w:val="20"/>
        </w:rPr>
        <w:t>•We could be adversely affected by geopolitical, economic and market conditions;</w:t>
      </w:r>
    </w:p>
    <w:p w14:paraId="5F2C9B7D" w14:textId="77777777" w:rsidR="00E836FB" w:rsidRDefault="00994958">
      <w:pPr>
        <w:spacing w:before="60"/>
        <w:ind w:hanging="360"/>
        <w:jc w:val="both"/>
        <w:textAlignment w:val="top"/>
      </w:pPr>
      <w:r>
        <w:rPr>
          <w:rFonts w:ascii="Arial" w:eastAsia="宋体" w:hAnsi="Arial" w:cs="Arial"/>
          <w:color w:val="000000"/>
          <w:sz w:val="20"/>
          <w:szCs w:val="20"/>
        </w:rPr>
        <w:t>•We have significant International operations, and dis</w:t>
      </w:r>
      <w:r>
        <w:rPr>
          <w:rFonts w:ascii="Arial" w:eastAsia="宋体" w:hAnsi="Arial" w:cs="Arial"/>
          <w:color w:val="000000"/>
          <w:sz w:val="20"/>
          <w:szCs w:val="20"/>
        </w:rPr>
        <w:t xml:space="preserve">ruptions in European and Asian economies could have an adverse effect on our consolidated results of operations or financial condition; </w:t>
      </w:r>
    </w:p>
    <w:p w14:paraId="5F2C9B7E" w14:textId="77777777" w:rsidR="00E836FB" w:rsidRDefault="00994958">
      <w:pPr>
        <w:spacing w:before="60"/>
        <w:ind w:hanging="360"/>
        <w:jc w:val="both"/>
        <w:textAlignment w:val="top"/>
      </w:pPr>
      <w:r>
        <w:rPr>
          <w:rFonts w:ascii="Arial" w:eastAsia="宋体" w:hAnsi="Arial" w:cs="Arial"/>
          <w:color w:val="000000"/>
          <w:sz w:val="20"/>
          <w:szCs w:val="20"/>
        </w:rPr>
        <w:t xml:space="preserve">•Our investment securities portfolio, consolidated financial condition and consolidated results of operations </w:t>
      </w:r>
      <w:r>
        <w:rPr>
          <w:rFonts w:ascii="Arial" w:eastAsia="宋体" w:hAnsi="Arial" w:cs="Arial"/>
          <w:color w:val="000000"/>
          <w:sz w:val="20"/>
          <w:szCs w:val="20"/>
        </w:rPr>
        <w:t>could be adversely affected by changes in the financial markets;</w:t>
      </w:r>
    </w:p>
    <w:p w14:paraId="5F2C9B7F" w14:textId="77777777" w:rsidR="00E836FB" w:rsidRDefault="00994958">
      <w:pPr>
        <w:spacing w:before="60"/>
        <w:ind w:hanging="360"/>
        <w:jc w:val="both"/>
        <w:textAlignment w:val="top"/>
      </w:pPr>
      <w:r>
        <w:rPr>
          <w:rFonts w:ascii="Arial" w:eastAsia="宋体" w:hAnsi="Arial" w:cs="Arial"/>
          <w:color w:val="000000"/>
          <w:sz w:val="20"/>
          <w:szCs w:val="20"/>
        </w:rPr>
        <w:t>•Our business activities expose us to interest rate risk;</w:t>
      </w:r>
    </w:p>
    <w:p w14:paraId="5F2C9B80" w14:textId="77777777" w:rsidR="00E836FB" w:rsidRDefault="00994958">
      <w:pPr>
        <w:spacing w:before="60"/>
        <w:ind w:hanging="360"/>
        <w:jc w:val="both"/>
        <w:textAlignment w:val="top"/>
      </w:pPr>
      <w:r>
        <w:rPr>
          <w:rFonts w:ascii="Arial" w:eastAsia="宋体" w:hAnsi="Arial" w:cs="Arial"/>
          <w:color w:val="000000"/>
          <w:sz w:val="20"/>
          <w:szCs w:val="20"/>
        </w:rPr>
        <w:t>•We assume significant credit risk to counterparties, who may also have substantial financial dependencies with other financial insti</w:t>
      </w:r>
      <w:r>
        <w:rPr>
          <w:rFonts w:ascii="Arial" w:eastAsia="宋体" w:hAnsi="Arial" w:cs="Arial"/>
          <w:color w:val="000000"/>
          <w:sz w:val="20"/>
          <w:szCs w:val="20"/>
        </w:rPr>
        <w:t xml:space="preserve">tutions, and these credit exposures and concentrations could expose us to financial loss; </w:t>
      </w:r>
    </w:p>
    <w:p w14:paraId="5F2C9B81" w14:textId="77777777" w:rsidR="00E836FB" w:rsidRDefault="00994958">
      <w:pPr>
        <w:spacing w:before="60"/>
        <w:ind w:hanging="360"/>
        <w:jc w:val="both"/>
        <w:textAlignment w:val="top"/>
      </w:pPr>
      <w:r>
        <w:rPr>
          <w:rFonts w:ascii="Arial" w:eastAsia="宋体" w:hAnsi="Arial" w:cs="Arial"/>
          <w:color w:val="000000"/>
          <w:sz w:val="20"/>
          <w:szCs w:val="20"/>
        </w:rPr>
        <w:t xml:space="preserve">•Our fee revenue represents a significant portion of our consolidated revenue and is subject to decline based on, among other factors, market and currency declines, </w:t>
      </w:r>
      <w:r>
        <w:rPr>
          <w:rFonts w:ascii="Arial" w:eastAsia="宋体" w:hAnsi="Arial" w:cs="Arial"/>
          <w:color w:val="000000"/>
          <w:sz w:val="20"/>
          <w:szCs w:val="20"/>
        </w:rPr>
        <w:t>investment activities of our clients and their business mix;</w:t>
      </w:r>
    </w:p>
    <w:p w14:paraId="5F2C9B82" w14:textId="77777777" w:rsidR="00E836FB" w:rsidRDefault="00994958">
      <w:pPr>
        <w:spacing w:before="60"/>
        <w:ind w:hanging="360"/>
        <w:jc w:val="both"/>
        <w:textAlignment w:val="top"/>
      </w:pPr>
      <w:r>
        <w:rPr>
          <w:rFonts w:ascii="Arial" w:eastAsia="宋体" w:hAnsi="Arial" w:cs="Arial"/>
          <w:color w:val="000000"/>
          <w:sz w:val="20"/>
          <w:szCs w:val="20"/>
        </w:rPr>
        <w:t>•If we are unable to effectively manage our capital and liquidity, our consolidated financial condition, capital ratios, results of operations and business prospects could be adversely affected;</w:t>
      </w:r>
    </w:p>
    <w:p w14:paraId="5F2C9B83" w14:textId="77777777" w:rsidR="00E836FB" w:rsidRDefault="00994958">
      <w:pPr>
        <w:spacing w:before="60"/>
        <w:ind w:hanging="360"/>
        <w:jc w:val="both"/>
        <w:textAlignment w:val="top"/>
      </w:pPr>
      <w:r>
        <w:rPr>
          <w:rFonts w:ascii="Arial" w:eastAsia="宋体" w:hAnsi="Arial" w:cs="Arial"/>
          <w:color w:val="000000"/>
          <w:sz w:val="20"/>
          <w:szCs w:val="20"/>
        </w:rPr>
        <w:t>•We may need to raise additional capital or debt in the future, which may not be available to us or may only be available on unfavorable terms; and</w:t>
      </w:r>
    </w:p>
    <w:p w14:paraId="5F2C9B84" w14:textId="77777777" w:rsidR="00E836FB" w:rsidRDefault="00994958">
      <w:pPr>
        <w:spacing w:before="60"/>
        <w:ind w:hanging="360"/>
        <w:jc w:val="both"/>
        <w:textAlignment w:val="top"/>
      </w:pPr>
      <w:r>
        <w:rPr>
          <w:rFonts w:ascii="Arial" w:eastAsia="宋体" w:hAnsi="Arial" w:cs="Arial"/>
          <w:color w:val="000000"/>
          <w:sz w:val="20"/>
          <w:szCs w:val="20"/>
        </w:rPr>
        <w:t>•If we experience a downgrade in our credit ratings, or an actual or perceived reduction in our financial st</w:t>
      </w:r>
      <w:r>
        <w:rPr>
          <w:rFonts w:ascii="Arial" w:eastAsia="宋体" w:hAnsi="Arial" w:cs="Arial"/>
          <w:color w:val="000000"/>
          <w:sz w:val="20"/>
          <w:szCs w:val="20"/>
        </w:rPr>
        <w:t>rength, our borrowing and capital costs, liquidity and reputation could be adversely affected.</w:t>
      </w:r>
    </w:p>
    <w:p w14:paraId="5F2C9B85" w14:textId="77777777" w:rsidR="00E836FB" w:rsidRDefault="00994958">
      <w:pPr>
        <w:spacing w:before="90"/>
        <w:textAlignment w:val="top"/>
      </w:pPr>
      <w:r>
        <w:rPr>
          <w:rFonts w:ascii="Arial" w:eastAsia="宋体" w:hAnsi="Arial" w:cs="Arial"/>
          <w:b/>
          <w:bCs/>
          <w:color w:val="000000"/>
          <w:sz w:val="20"/>
          <w:szCs w:val="20"/>
        </w:rPr>
        <w:t>Compliance and Regulatory Risks</w:t>
      </w:r>
    </w:p>
    <w:p w14:paraId="5F2C9B86" w14:textId="77777777" w:rsidR="00E836FB" w:rsidRDefault="00994958">
      <w:pPr>
        <w:spacing w:before="60"/>
        <w:ind w:hanging="360"/>
        <w:jc w:val="both"/>
        <w:textAlignment w:val="top"/>
      </w:pPr>
      <w:r>
        <w:rPr>
          <w:rFonts w:ascii="Arial" w:eastAsia="宋体" w:hAnsi="Arial" w:cs="Arial"/>
          <w:color w:val="000000"/>
          <w:sz w:val="20"/>
          <w:szCs w:val="20"/>
        </w:rPr>
        <w:t>•Our business and capital-related activities, including common share repurchases, may be adversely affected by capital and liquid</w:t>
      </w:r>
      <w:r>
        <w:rPr>
          <w:rFonts w:ascii="Arial" w:eastAsia="宋体" w:hAnsi="Arial" w:cs="Arial"/>
          <w:color w:val="000000"/>
          <w:sz w:val="20"/>
          <w:szCs w:val="20"/>
        </w:rPr>
        <w:t>ity standards required as a result of capital stress testing;</w:t>
      </w:r>
    </w:p>
    <w:p w14:paraId="5F2C9B87" w14:textId="77777777" w:rsidR="00E836FB" w:rsidRDefault="00994958">
      <w:pPr>
        <w:spacing w:before="60"/>
        <w:ind w:hanging="360"/>
        <w:jc w:val="both"/>
        <w:textAlignment w:val="top"/>
      </w:pPr>
      <w:r>
        <w:rPr>
          <w:rFonts w:ascii="Arial" w:eastAsia="宋体" w:hAnsi="Arial" w:cs="Arial"/>
          <w:color w:val="000000"/>
          <w:sz w:val="20"/>
          <w:szCs w:val="20"/>
        </w:rPr>
        <w:t>•We face extensive and changing government regulation in the jurisdictions in which we operate, which may increase our costs and compliance risks;</w:t>
      </w:r>
    </w:p>
    <w:p w14:paraId="5F2C9B88" w14:textId="77777777" w:rsidR="00E836FB" w:rsidRDefault="00994958">
      <w:pPr>
        <w:spacing w:before="60"/>
        <w:ind w:hanging="360"/>
        <w:jc w:val="both"/>
        <w:textAlignment w:val="top"/>
      </w:pPr>
      <w:r>
        <w:rPr>
          <w:rFonts w:ascii="Arial" w:eastAsia="宋体" w:hAnsi="Arial" w:cs="Arial"/>
          <w:color w:val="000000"/>
          <w:sz w:val="20"/>
          <w:szCs w:val="20"/>
        </w:rPr>
        <w:t xml:space="preserve">•We are subject to enhanced external oversight </w:t>
      </w:r>
      <w:r>
        <w:rPr>
          <w:rFonts w:ascii="Arial" w:eastAsia="宋体" w:hAnsi="Arial" w:cs="Arial"/>
          <w:color w:val="000000"/>
          <w:sz w:val="20"/>
          <w:szCs w:val="20"/>
        </w:rPr>
        <w:t>as a result of the resolution of prior regulatory or governmental matters;</w:t>
      </w:r>
    </w:p>
    <w:p w14:paraId="5F2C9B89" w14:textId="77777777" w:rsidR="00E836FB" w:rsidRDefault="00994958">
      <w:pPr>
        <w:spacing w:before="60"/>
        <w:ind w:hanging="360"/>
        <w:jc w:val="both"/>
        <w:textAlignment w:val="top"/>
      </w:pPr>
      <w:r>
        <w:rPr>
          <w:rFonts w:ascii="Arial" w:eastAsia="宋体" w:hAnsi="Arial" w:cs="Arial"/>
          <w:color w:val="000000"/>
          <w:sz w:val="20"/>
          <w:szCs w:val="20"/>
        </w:rPr>
        <w:t>•Our businesses may be adversely affected by government enforcement and litigation;</w:t>
      </w:r>
    </w:p>
    <w:p w14:paraId="5F2C9B8A" w14:textId="77777777" w:rsidR="00E836FB" w:rsidRDefault="00994958">
      <w:pPr>
        <w:spacing w:before="60"/>
        <w:ind w:hanging="360"/>
        <w:jc w:val="both"/>
        <w:textAlignment w:val="top"/>
      </w:pPr>
      <w:r>
        <w:rPr>
          <w:rFonts w:ascii="Arial" w:eastAsia="宋体" w:hAnsi="Arial" w:cs="Arial"/>
          <w:color w:val="000000"/>
          <w:sz w:val="20"/>
          <w:szCs w:val="20"/>
        </w:rPr>
        <w:t xml:space="preserve">•Any misappropriation of the confidential information we possess could have an adverse impact on </w:t>
      </w:r>
      <w:r>
        <w:rPr>
          <w:rFonts w:ascii="Arial" w:eastAsia="宋体" w:hAnsi="Arial" w:cs="Arial"/>
          <w:color w:val="000000"/>
          <w:sz w:val="20"/>
          <w:szCs w:val="20"/>
        </w:rPr>
        <w:t xml:space="preserve">our business and could subject us to regulatory actions, litigation and other adverse effects; </w:t>
      </w:r>
    </w:p>
    <w:p w14:paraId="5F2C9B8B" w14:textId="77777777" w:rsidR="00E836FB" w:rsidRDefault="00994958">
      <w:pPr>
        <w:spacing w:before="60"/>
        <w:ind w:hanging="360"/>
        <w:jc w:val="both"/>
        <w:textAlignment w:val="top"/>
      </w:pPr>
      <w:r>
        <w:rPr>
          <w:rFonts w:ascii="Arial" w:eastAsia="宋体" w:hAnsi="Arial" w:cs="Arial"/>
          <w:color w:val="000000"/>
          <w:sz w:val="20"/>
          <w:szCs w:val="20"/>
        </w:rPr>
        <w:t>•Our calculations of risk exposures, total RWA and capital ratios depend on data inputs, formulae, models, correlations and assumptions that are subject to chan</w:t>
      </w:r>
      <w:r>
        <w:rPr>
          <w:rFonts w:ascii="Arial" w:eastAsia="宋体" w:hAnsi="Arial" w:cs="Arial"/>
          <w:color w:val="000000"/>
          <w:sz w:val="20"/>
          <w:szCs w:val="20"/>
        </w:rPr>
        <w:t>ge, which could materially impact our risk exposures, our total RWA and our capital ratios from period to period;</w:t>
      </w:r>
    </w:p>
    <w:p w14:paraId="5F2C9B8C" w14:textId="77777777" w:rsidR="00E836FB" w:rsidRDefault="00994958">
      <w:pPr>
        <w:spacing w:before="60"/>
        <w:ind w:hanging="360"/>
        <w:jc w:val="both"/>
        <w:textAlignment w:val="top"/>
      </w:pPr>
      <w:r>
        <w:rPr>
          <w:rFonts w:ascii="Arial" w:eastAsia="宋体" w:hAnsi="Arial" w:cs="Arial"/>
          <w:color w:val="000000"/>
          <w:sz w:val="20"/>
          <w:szCs w:val="20"/>
        </w:rPr>
        <w:t xml:space="preserve">•Changes in accounting standards may adversely affect our consolidated financial statements; </w:t>
      </w:r>
    </w:p>
    <w:p w14:paraId="5F2C9B8D" w14:textId="77777777" w:rsidR="00E836FB" w:rsidRDefault="00994958">
      <w:pPr>
        <w:spacing w:before="60"/>
        <w:ind w:hanging="360"/>
        <w:jc w:val="both"/>
        <w:textAlignment w:val="top"/>
      </w:pPr>
      <w:r>
        <w:rPr>
          <w:rFonts w:ascii="Arial" w:eastAsia="宋体" w:hAnsi="Arial" w:cs="Arial"/>
          <w:color w:val="000000"/>
          <w:sz w:val="20"/>
          <w:szCs w:val="20"/>
        </w:rPr>
        <w:t>•Changes in tax laws, rules or regulations, chal</w:t>
      </w:r>
      <w:r>
        <w:rPr>
          <w:rFonts w:ascii="Arial" w:eastAsia="宋体" w:hAnsi="Arial" w:cs="Arial"/>
          <w:color w:val="000000"/>
          <w:sz w:val="20"/>
          <w:szCs w:val="20"/>
        </w:rPr>
        <w:t>lenges to our tax positions and changes in the composition of our pre-tax earnings may increase our effective tax rate; and</w:t>
      </w:r>
    </w:p>
    <w:p w14:paraId="5F2C9B8E" w14:textId="77777777" w:rsidR="00E836FB" w:rsidRDefault="00994958">
      <w:pPr>
        <w:spacing w:before="60"/>
        <w:ind w:hanging="360"/>
        <w:jc w:val="both"/>
        <w:textAlignment w:val="top"/>
      </w:pPr>
      <w:r>
        <w:rPr>
          <w:rFonts w:ascii="Arial" w:eastAsia="宋体" w:hAnsi="Arial" w:cs="Arial"/>
          <w:color w:val="000000"/>
          <w:sz w:val="20"/>
          <w:szCs w:val="20"/>
        </w:rPr>
        <w:t>•The transition away from LIBOR may result in additional costs and increased risk exposure.</w:t>
      </w:r>
    </w:p>
    <w:p w14:paraId="5F2C9B8F" w14:textId="77777777" w:rsidR="00E836FB" w:rsidRDefault="00994958">
      <w:pPr>
        <w:spacing w:before="90"/>
        <w:textAlignment w:val="top"/>
      </w:pPr>
      <w:r>
        <w:rPr>
          <w:rFonts w:ascii="Arial" w:eastAsia="宋体" w:hAnsi="Arial" w:cs="Arial"/>
          <w:b/>
          <w:bCs/>
          <w:color w:val="000000"/>
          <w:sz w:val="20"/>
          <w:szCs w:val="20"/>
        </w:rPr>
        <w:t>Operational Risks</w:t>
      </w:r>
    </w:p>
    <w:p w14:paraId="5F2C9B90" w14:textId="77777777" w:rsidR="00E836FB" w:rsidRDefault="00994958">
      <w:pPr>
        <w:spacing w:before="60"/>
        <w:ind w:hanging="360"/>
        <w:jc w:val="both"/>
        <w:textAlignment w:val="top"/>
      </w:pPr>
      <w:r>
        <w:rPr>
          <w:rFonts w:ascii="Arial" w:eastAsia="宋体" w:hAnsi="Arial" w:cs="Arial"/>
          <w:color w:val="000000"/>
          <w:sz w:val="20"/>
          <w:szCs w:val="20"/>
        </w:rPr>
        <w:t>•Our control environme</w:t>
      </w:r>
      <w:r>
        <w:rPr>
          <w:rFonts w:ascii="Arial" w:eastAsia="宋体" w:hAnsi="Arial" w:cs="Arial"/>
          <w:color w:val="000000"/>
          <w:sz w:val="20"/>
          <w:szCs w:val="20"/>
        </w:rPr>
        <w:t>nt may be inadequate, fail or be circumvented, and operational risks could adversely affect our consolidated results of operations;</w:t>
      </w:r>
    </w:p>
    <w:p w14:paraId="5F2C9B91" w14:textId="77777777" w:rsidR="00E836FB" w:rsidRDefault="00994958">
      <w:pPr>
        <w:spacing w:before="60"/>
        <w:ind w:hanging="360"/>
        <w:jc w:val="both"/>
        <w:textAlignment w:val="top"/>
      </w:pPr>
      <w:r>
        <w:rPr>
          <w:rFonts w:ascii="Arial" w:eastAsia="宋体" w:hAnsi="Arial" w:cs="Arial"/>
          <w:color w:val="000000"/>
          <w:sz w:val="20"/>
          <w:szCs w:val="20"/>
        </w:rPr>
        <w:t xml:space="preserve">•Cost shifting to non-U.S. jurisdictions and outsourcing may expose us to increased operational risk, geopolitical risk and </w:t>
      </w:r>
    </w:p>
    <w:p w14:paraId="5F2C9B92" w14:textId="77777777" w:rsidR="00E836FB" w:rsidRDefault="00994958">
      <w:pPr>
        <w:ind w:firstLine="450"/>
        <w:jc w:val="right"/>
      </w:pPr>
      <w:r>
        <w:rPr>
          <w:rFonts w:ascii="Arial" w:eastAsia="宋体" w:hAnsi="Arial" w:cs="Arial"/>
          <w:color w:val="000000"/>
          <w:sz w:val="18"/>
          <w:szCs w:val="18"/>
        </w:rPr>
        <w:t>State Street Corporation | 5</w:t>
      </w:r>
    </w:p>
    <w:p w14:paraId="5F2C9B93" w14:textId="77777777" w:rsidR="00E836FB" w:rsidRDefault="00E836FB">
      <w:pPr>
        <w:ind w:firstLine="450"/>
        <w:jc w:val="center"/>
      </w:pPr>
    </w:p>
    <w:p w14:paraId="5F2C9B94" w14:textId="77777777" w:rsidR="00E836FB" w:rsidRDefault="00994958">
      <w:r>
        <w:pict w14:anchorId="5F2D6D88">
          <v:rect id="_x0000_i1029" style="width:415.3pt;height:1.5pt" o:hralign="center" o:hrstd="t" o:hr="t" fillcolor="#a0a0a0" stroked="f"/>
        </w:pict>
      </w:r>
    </w:p>
    <w:p w14:paraId="5F2C9B95" w14:textId="77777777" w:rsidR="00E836FB" w:rsidRDefault="00E836FB">
      <w:pPr>
        <w:ind w:firstLine="450"/>
      </w:pPr>
    </w:p>
    <w:p w14:paraId="5F2C9B96" w14:textId="77777777" w:rsidR="00E836FB" w:rsidRDefault="00994958">
      <w:pPr>
        <w:spacing w:before="60"/>
        <w:jc w:val="both"/>
        <w:textAlignment w:val="top"/>
      </w:pPr>
      <w:r>
        <w:rPr>
          <w:rFonts w:ascii="Arial" w:eastAsia="宋体" w:hAnsi="Arial" w:cs="Arial"/>
          <w:color w:val="000000"/>
          <w:sz w:val="20"/>
          <w:szCs w:val="20"/>
        </w:rPr>
        <w:t>reputational harm and may not result in expected cost savings;</w:t>
      </w:r>
    </w:p>
    <w:p w14:paraId="5F2C9B97" w14:textId="77777777" w:rsidR="00E836FB" w:rsidRDefault="00994958">
      <w:pPr>
        <w:spacing w:before="60"/>
        <w:ind w:hanging="360"/>
        <w:jc w:val="both"/>
        <w:textAlignment w:val="top"/>
      </w:pPr>
      <w:r>
        <w:rPr>
          <w:rFonts w:ascii="Arial" w:eastAsia="宋体" w:hAnsi="Arial" w:cs="Arial"/>
          <w:color w:val="000000"/>
          <w:sz w:val="20"/>
          <w:szCs w:val="20"/>
        </w:rPr>
        <w:t>•Attacks or unauthorized access to our information technology systems or facilities, or those of the third parties with which we do business, or disruptions to our or their continuous operations, could result in significant costs, reputational damage and i</w:t>
      </w:r>
      <w:r>
        <w:rPr>
          <w:rFonts w:ascii="Arial" w:eastAsia="宋体" w:hAnsi="Arial" w:cs="Arial"/>
          <w:color w:val="000000"/>
          <w:sz w:val="20"/>
          <w:szCs w:val="20"/>
        </w:rPr>
        <w:t xml:space="preserve">mpacts on our business activities; </w:t>
      </w:r>
    </w:p>
    <w:p w14:paraId="5F2C9B98" w14:textId="77777777" w:rsidR="00E836FB" w:rsidRDefault="00994958">
      <w:pPr>
        <w:spacing w:before="60"/>
        <w:ind w:hanging="360"/>
        <w:jc w:val="both"/>
        <w:textAlignment w:val="top"/>
      </w:pPr>
      <w:r>
        <w:rPr>
          <w:rFonts w:ascii="Arial" w:eastAsia="宋体" w:hAnsi="Arial" w:cs="Arial"/>
          <w:color w:val="000000"/>
          <w:sz w:val="20"/>
          <w:szCs w:val="20"/>
        </w:rPr>
        <w:t>•Long-term contracts expose us to pricing and performance risk;</w:t>
      </w:r>
    </w:p>
    <w:p w14:paraId="5F2C9B99" w14:textId="77777777" w:rsidR="00E836FB" w:rsidRDefault="00994958">
      <w:pPr>
        <w:spacing w:before="60"/>
        <w:ind w:hanging="360"/>
        <w:jc w:val="both"/>
        <w:textAlignment w:val="top"/>
      </w:pPr>
      <w:r>
        <w:rPr>
          <w:rFonts w:ascii="Arial" w:eastAsia="宋体" w:hAnsi="Arial" w:cs="Arial"/>
          <w:color w:val="000000"/>
          <w:sz w:val="20"/>
          <w:szCs w:val="20"/>
        </w:rPr>
        <w:t>•Our businesses may be negatively affected by adverse publicity or other reputational harm;</w:t>
      </w:r>
    </w:p>
    <w:p w14:paraId="5F2C9B9A" w14:textId="77777777" w:rsidR="00E836FB" w:rsidRDefault="00994958">
      <w:pPr>
        <w:spacing w:before="60"/>
        <w:ind w:hanging="360"/>
        <w:jc w:val="both"/>
        <w:textAlignment w:val="top"/>
      </w:pPr>
      <w:r>
        <w:rPr>
          <w:rFonts w:ascii="Arial" w:eastAsia="宋体" w:hAnsi="Arial" w:cs="Arial"/>
          <w:color w:val="000000"/>
          <w:sz w:val="20"/>
          <w:szCs w:val="20"/>
        </w:rPr>
        <w:t>•We may not be able to protect our intellectual property;</w:t>
      </w:r>
    </w:p>
    <w:p w14:paraId="5F2C9B9B" w14:textId="77777777" w:rsidR="00E836FB" w:rsidRDefault="00994958">
      <w:pPr>
        <w:spacing w:before="60"/>
        <w:ind w:hanging="360"/>
        <w:jc w:val="both"/>
        <w:textAlignment w:val="top"/>
      </w:pPr>
      <w:r>
        <w:rPr>
          <w:rFonts w:ascii="Arial" w:eastAsia="宋体" w:hAnsi="Arial" w:cs="Arial"/>
          <w:color w:val="000000"/>
          <w:sz w:val="20"/>
          <w:szCs w:val="20"/>
        </w:rPr>
        <w:t>•The q</w:t>
      </w:r>
      <w:r>
        <w:rPr>
          <w:rFonts w:ascii="Arial" w:eastAsia="宋体" w:hAnsi="Arial" w:cs="Arial"/>
          <w:color w:val="000000"/>
          <w:sz w:val="20"/>
          <w:szCs w:val="20"/>
        </w:rPr>
        <w:t>uantitative models we use to manage our business may contain errors that could result in material harm;</w:t>
      </w:r>
    </w:p>
    <w:p w14:paraId="5F2C9B9C" w14:textId="77777777" w:rsidR="00E836FB" w:rsidRDefault="00994958">
      <w:pPr>
        <w:spacing w:before="60"/>
        <w:ind w:hanging="360"/>
        <w:jc w:val="both"/>
        <w:textAlignment w:val="top"/>
      </w:pPr>
      <w:r>
        <w:rPr>
          <w:rFonts w:ascii="Arial" w:eastAsia="宋体" w:hAnsi="Arial" w:cs="Arial"/>
          <w:color w:val="000000"/>
          <w:sz w:val="20"/>
          <w:szCs w:val="20"/>
        </w:rPr>
        <w:t>•Our reputation and business prospects may be damaged if our clients incur substantial losses or are restricted in redeeming their interests in investme</w:t>
      </w:r>
      <w:r>
        <w:rPr>
          <w:rFonts w:ascii="Arial" w:eastAsia="宋体" w:hAnsi="Arial" w:cs="Arial"/>
          <w:color w:val="000000"/>
          <w:sz w:val="20"/>
          <w:szCs w:val="20"/>
        </w:rPr>
        <w:t>nt pools that we sponsor or manage;</w:t>
      </w:r>
    </w:p>
    <w:p w14:paraId="5F2C9B9D" w14:textId="77777777" w:rsidR="00E836FB" w:rsidRDefault="00994958">
      <w:pPr>
        <w:spacing w:before="60"/>
        <w:ind w:hanging="360"/>
        <w:jc w:val="both"/>
        <w:textAlignment w:val="top"/>
      </w:pPr>
      <w:r>
        <w:rPr>
          <w:rFonts w:ascii="Arial" w:eastAsia="宋体" w:hAnsi="Arial" w:cs="Arial"/>
          <w:color w:val="000000"/>
          <w:sz w:val="20"/>
          <w:szCs w:val="20"/>
        </w:rPr>
        <w:t>•The impacts of climate change, and regulatory responses to such risks, could adversely affect us; and</w:t>
      </w:r>
    </w:p>
    <w:p w14:paraId="5F2C9B9E" w14:textId="77777777" w:rsidR="00E836FB" w:rsidRDefault="00994958">
      <w:pPr>
        <w:spacing w:before="60"/>
        <w:ind w:hanging="360"/>
        <w:jc w:val="both"/>
        <w:textAlignment w:val="top"/>
      </w:pPr>
      <w:r>
        <w:rPr>
          <w:rFonts w:ascii="Arial" w:eastAsia="宋体" w:hAnsi="Arial" w:cs="Arial"/>
          <w:color w:val="000000"/>
          <w:sz w:val="20"/>
          <w:szCs w:val="20"/>
        </w:rPr>
        <w:t>•We may incur losses as a result of unforeseen events including terrorist attacks, natural disasters, the emergence o</w:t>
      </w:r>
      <w:r>
        <w:rPr>
          <w:rFonts w:ascii="Arial" w:eastAsia="宋体" w:hAnsi="Arial" w:cs="Arial"/>
          <w:color w:val="000000"/>
          <w:sz w:val="20"/>
          <w:szCs w:val="20"/>
        </w:rPr>
        <w:t>f a new pandemic or acts of embezzlement.</w:t>
      </w:r>
    </w:p>
    <w:p w14:paraId="5F2C9B9F" w14:textId="77777777" w:rsidR="00E836FB" w:rsidRDefault="00994958">
      <w:pPr>
        <w:spacing w:before="180"/>
        <w:textAlignment w:val="top"/>
      </w:pPr>
      <w:r>
        <w:rPr>
          <w:rFonts w:ascii="Arial" w:eastAsia="宋体" w:hAnsi="Arial" w:cs="Arial"/>
          <w:b/>
          <w:bCs/>
          <w:color w:val="000000"/>
          <w:sz w:val="20"/>
          <w:szCs w:val="20"/>
        </w:rPr>
        <w:t>PART I</w:t>
      </w:r>
    </w:p>
    <w:p w14:paraId="5F2C9BA0" w14:textId="77777777" w:rsidR="00E836FB" w:rsidRDefault="00994958">
      <w:pPr>
        <w:spacing w:before="90"/>
        <w:textAlignment w:val="top"/>
      </w:pPr>
      <w:r>
        <w:rPr>
          <w:rFonts w:ascii="Arial" w:eastAsia="宋体" w:hAnsi="Arial" w:cs="Arial"/>
          <w:b/>
          <w:bCs/>
          <w:color w:val="000000"/>
          <w:sz w:val="20"/>
          <w:szCs w:val="20"/>
        </w:rPr>
        <w:t>ITEM 1. BUSINESS</w:t>
      </w:r>
    </w:p>
    <w:p w14:paraId="5F2C9BA1" w14:textId="77777777" w:rsidR="00E836FB" w:rsidRDefault="00994958">
      <w:pPr>
        <w:spacing w:before="90"/>
        <w:jc w:val="both"/>
        <w:textAlignment w:val="top"/>
      </w:pPr>
      <w:r>
        <w:rPr>
          <w:rFonts w:ascii="Arial" w:eastAsia="宋体" w:hAnsi="Arial" w:cs="Arial"/>
          <w:b/>
          <w:bCs/>
          <w:color w:val="000000"/>
          <w:sz w:val="20"/>
          <w:szCs w:val="20"/>
        </w:rPr>
        <w:t>GENERAL</w:t>
      </w:r>
    </w:p>
    <w:p w14:paraId="5F2C9BA2" w14:textId="77777777" w:rsidR="00E836FB" w:rsidRDefault="00994958">
      <w:pPr>
        <w:spacing w:before="60"/>
        <w:ind w:firstLine="450"/>
        <w:jc w:val="both"/>
        <w:textAlignment w:val="top"/>
      </w:pPr>
      <w:r>
        <w:rPr>
          <w:rFonts w:ascii="Arial" w:eastAsia="宋体" w:hAnsi="Arial" w:cs="Arial"/>
          <w:color w:val="000000"/>
          <w:sz w:val="20"/>
          <w:szCs w:val="20"/>
        </w:rPr>
        <w:t>State Street Corporation, referred to as the Parent Company, is a financial holding company organized in 1969 under the laws of the Commonwealth of Massachusetts. Our executive offic</w:t>
      </w:r>
      <w:r>
        <w:rPr>
          <w:rFonts w:ascii="Arial" w:eastAsia="宋体" w:hAnsi="Arial" w:cs="Arial"/>
          <w:color w:val="000000"/>
          <w:sz w:val="20"/>
          <w:szCs w:val="20"/>
        </w:rPr>
        <w:t>es are located at One Lincoln Street, Boston, Massachusetts 02111 (telephone (617) 786-3000). For purposes of this Form 10-K, unless the context requires otherwise, references to “State Street,” “we,” “us,” “our” or similar terms mean State Street Corporat</w:t>
      </w:r>
      <w:r>
        <w:rPr>
          <w:rFonts w:ascii="Arial" w:eastAsia="宋体" w:hAnsi="Arial" w:cs="Arial"/>
          <w:color w:val="000000"/>
          <w:sz w:val="20"/>
          <w:szCs w:val="20"/>
        </w:rPr>
        <w:t>ion and its subsidiaries on a consolidated basis. The Parent Company is a source of financial and managerial strength to our subsidiaries. Through our subsidiaries, including our principal banking subsidiary, State Street Bank and Trust Company, referred t</w:t>
      </w:r>
      <w:r>
        <w:rPr>
          <w:rFonts w:ascii="Arial" w:eastAsia="宋体" w:hAnsi="Arial" w:cs="Arial"/>
          <w:color w:val="000000"/>
          <w:sz w:val="20"/>
          <w:szCs w:val="20"/>
        </w:rPr>
        <w:t>o as State Street Bank, we provide a broad range of financial products and services to institutional investors worldwide, with $43.68 trillion of AUC/A and $4.14 trillion of AUM as of December 31, 2021.</w:t>
      </w:r>
    </w:p>
    <w:p w14:paraId="5F2C9BA3" w14:textId="77777777" w:rsidR="00E836FB" w:rsidRDefault="00994958">
      <w:pPr>
        <w:spacing w:before="60"/>
        <w:ind w:firstLine="450"/>
        <w:jc w:val="both"/>
        <w:textAlignment w:val="top"/>
      </w:pPr>
      <w:r>
        <w:rPr>
          <w:rFonts w:ascii="Arial" w:eastAsia="宋体" w:hAnsi="Arial" w:cs="Arial"/>
          <w:color w:val="000000"/>
          <w:sz w:val="20"/>
          <w:szCs w:val="20"/>
        </w:rPr>
        <w:t xml:space="preserve">As of December 31, 2021, we had consolidated total assets of $314.62 billion, consolidated total </w:t>
      </w:r>
    </w:p>
    <w:p w14:paraId="5F2C9BA4" w14:textId="77777777" w:rsidR="00E836FB" w:rsidRDefault="00994958">
      <w:pPr>
        <w:spacing w:before="60"/>
        <w:jc w:val="both"/>
        <w:textAlignment w:val="top"/>
      </w:pPr>
      <w:r>
        <w:rPr>
          <w:rFonts w:ascii="Arial" w:eastAsia="宋体" w:hAnsi="Arial" w:cs="Arial"/>
          <w:color w:val="000000"/>
          <w:sz w:val="20"/>
          <w:szCs w:val="20"/>
        </w:rPr>
        <w:t>deposits of $255.04 billion, consolidated total shareholders' equity of $27.36 billion and approximately 39,000 employees. We operate in more than 100 geograp</w:t>
      </w:r>
      <w:r>
        <w:rPr>
          <w:rFonts w:ascii="Arial" w:eastAsia="宋体" w:hAnsi="Arial" w:cs="Arial"/>
          <w:color w:val="000000"/>
          <w:sz w:val="20"/>
          <w:szCs w:val="20"/>
        </w:rPr>
        <w:t>hic markets worldwide, including the U.S., Canada, Latin America, Europe, the Middle East and Asia.</w:t>
      </w:r>
    </w:p>
    <w:p w14:paraId="5F2C9BA5" w14:textId="77777777" w:rsidR="00E836FB" w:rsidRDefault="00994958">
      <w:pPr>
        <w:spacing w:before="60"/>
        <w:ind w:firstLine="450"/>
        <w:jc w:val="both"/>
        <w:textAlignment w:val="top"/>
      </w:pPr>
      <w:r>
        <w:rPr>
          <w:rFonts w:ascii="Arial" w:eastAsia="宋体" w:hAnsi="Arial" w:cs="Arial"/>
          <w:color w:val="000000"/>
          <w:sz w:val="20"/>
          <w:szCs w:val="20"/>
        </w:rPr>
        <w:t xml:space="preserve">On the “Investor Relations” section 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 we make available, free of charge, all reports we electronically file w</w:t>
      </w:r>
      <w:r>
        <w:rPr>
          <w:rFonts w:ascii="Arial" w:eastAsia="宋体" w:hAnsi="Arial" w:cs="Arial"/>
          <w:color w:val="000000"/>
          <w:sz w:val="20"/>
          <w:szCs w:val="20"/>
        </w:rPr>
        <w:t>ith, or furnish to, the SEC including our Annual Reports on Form 10-K, Quarterly Reports on Form 10-Q and Current Reports on Form 8-K, as well as any amendments to those reports, as soon as reasonably practicable after those documents have been filed with,</w:t>
      </w:r>
      <w:r>
        <w:rPr>
          <w:rFonts w:ascii="Arial" w:eastAsia="宋体" w:hAnsi="Arial" w:cs="Arial"/>
          <w:color w:val="000000"/>
          <w:sz w:val="20"/>
          <w:szCs w:val="20"/>
        </w:rPr>
        <w:t xml:space="preserve"> or furnished to, the SEC. These documents are also accessible on the SEC’s website at </w:t>
      </w:r>
      <w:r>
        <w:rPr>
          <w:rFonts w:ascii="Arial" w:eastAsia="宋体" w:hAnsi="Arial" w:cs="Arial"/>
          <w:i/>
          <w:iCs/>
          <w:color w:val="000000"/>
          <w:sz w:val="20"/>
          <w:szCs w:val="20"/>
        </w:rPr>
        <w:t>www.sec.gov</w:t>
      </w:r>
      <w:r>
        <w:rPr>
          <w:rFonts w:ascii="Arial" w:eastAsia="宋体" w:hAnsi="Arial" w:cs="Arial"/>
          <w:color w:val="000000"/>
          <w:sz w:val="20"/>
          <w:szCs w:val="20"/>
        </w:rPr>
        <w:t>. We have included the website addresses of State Street and the SEC in this report as inactive textual references only. Information on those websites (or any</w:t>
      </w:r>
      <w:r>
        <w:rPr>
          <w:rFonts w:ascii="Arial" w:eastAsia="宋体" w:hAnsi="Arial" w:cs="Arial"/>
          <w:color w:val="000000"/>
          <w:sz w:val="20"/>
          <w:szCs w:val="20"/>
        </w:rPr>
        <w:t xml:space="preserve"> other) is not incorporated by reference in this Form 10-K.</w:t>
      </w:r>
    </w:p>
    <w:p w14:paraId="5F2C9BA6" w14:textId="77777777" w:rsidR="00E836FB" w:rsidRDefault="00994958">
      <w:pPr>
        <w:spacing w:before="60"/>
        <w:ind w:firstLine="450"/>
        <w:jc w:val="both"/>
        <w:textAlignment w:val="top"/>
      </w:pPr>
      <w:r>
        <w:rPr>
          <w:rFonts w:ascii="Arial" w:eastAsia="宋体" w:hAnsi="Arial" w:cs="Arial"/>
          <w:color w:val="000000"/>
          <w:sz w:val="20"/>
          <w:szCs w:val="20"/>
        </w:rPr>
        <w:t xml:space="preserve">We have Corporate Governance Guidelines, as well as written charters for the Examining and Audit Committee, the Executive Committee, the Human Resources Committee, the Nominating and </w:t>
      </w:r>
      <w:r>
        <w:rPr>
          <w:rFonts w:ascii="Arial" w:eastAsia="宋体" w:hAnsi="Arial" w:cs="Arial"/>
          <w:color w:val="000000"/>
          <w:sz w:val="20"/>
          <w:szCs w:val="20"/>
        </w:rPr>
        <w:t>Corporate Governance Committee, the Risk Committee and the Technology and Operations Committee of our Board of Directors, or Board, and a Code of Ethics for senior financial officers, a Standard of Conduct for Directors and a Standard of Conduct for our em</w:t>
      </w:r>
      <w:r>
        <w:rPr>
          <w:rFonts w:ascii="Arial" w:eastAsia="宋体" w:hAnsi="Arial" w:cs="Arial"/>
          <w:color w:val="000000"/>
          <w:sz w:val="20"/>
          <w:szCs w:val="20"/>
        </w:rPr>
        <w:t>ployees. Each of these documents is posted on the "Investor Relations" section of our website under "Corporate Governance."</w:t>
      </w:r>
    </w:p>
    <w:p w14:paraId="5F2C9BA7" w14:textId="77777777" w:rsidR="00E836FB" w:rsidRDefault="00994958">
      <w:pPr>
        <w:spacing w:before="60"/>
        <w:ind w:firstLine="450"/>
        <w:jc w:val="both"/>
        <w:textAlignment w:val="top"/>
      </w:pPr>
      <w:r>
        <w:rPr>
          <w:rFonts w:ascii="Arial" w:eastAsia="宋体" w:hAnsi="Arial" w:cs="Arial"/>
          <w:color w:val="000000"/>
          <w:sz w:val="20"/>
          <w:szCs w:val="20"/>
        </w:rPr>
        <w:t>We provide additional disclosures required by applicable bank regulatory standards, including supplemental qualitative and quantitat</w:t>
      </w:r>
      <w:r>
        <w:rPr>
          <w:rFonts w:ascii="Arial" w:eastAsia="宋体" w:hAnsi="Arial" w:cs="Arial"/>
          <w:color w:val="000000"/>
          <w:sz w:val="20"/>
          <w:szCs w:val="20"/>
        </w:rPr>
        <w:t>ive information with respect to regulatory capital (including market risk associated with our trading activities) and the liquidity coverage ratio, summary results of State Street-run stress tests which we conduct under the Dodd-Frank Act and resolution pl</w:t>
      </w:r>
      <w:r>
        <w:rPr>
          <w:rFonts w:ascii="Arial" w:eastAsia="宋体" w:hAnsi="Arial" w:cs="Arial"/>
          <w:color w:val="000000"/>
          <w:sz w:val="20"/>
          <w:szCs w:val="20"/>
        </w:rPr>
        <w:t>an disclosures required under the Dodd-Frank Act. These additional disclosures are available on the “Investor Relations” section of our website under "Filings and Reports."</w:t>
      </w:r>
    </w:p>
    <w:p w14:paraId="5F2C9BA8" w14:textId="77777777" w:rsidR="00E836FB" w:rsidRDefault="00994958">
      <w:pPr>
        <w:spacing w:before="60"/>
        <w:ind w:firstLine="450"/>
        <w:jc w:val="both"/>
        <w:textAlignment w:val="top"/>
      </w:pPr>
      <w:r>
        <w:rPr>
          <w:rFonts w:ascii="Arial" w:eastAsia="宋体" w:hAnsi="Arial" w:cs="Arial"/>
          <w:color w:val="000000"/>
          <w:sz w:val="20"/>
          <w:szCs w:val="20"/>
        </w:rPr>
        <w:t>We use acronyms and other defined terms for certain business terms and abbreviation</w:t>
      </w:r>
      <w:r>
        <w:rPr>
          <w:rFonts w:ascii="Arial" w:eastAsia="宋体" w:hAnsi="Arial" w:cs="Arial"/>
          <w:color w:val="000000"/>
          <w:sz w:val="20"/>
          <w:szCs w:val="20"/>
        </w:rPr>
        <w:t>s, as defined on the acronyms list and glossary under Item 8 in this Form 10-K.</w:t>
      </w:r>
    </w:p>
    <w:p w14:paraId="5F2C9BA9" w14:textId="77777777" w:rsidR="00E836FB" w:rsidRDefault="00994958">
      <w:pPr>
        <w:spacing w:before="90"/>
        <w:jc w:val="both"/>
        <w:textAlignment w:val="top"/>
      </w:pPr>
      <w:r>
        <w:rPr>
          <w:rFonts w:ascii="Arial" w:eastAsia="宋体" w:hAnsi="Arial" w:cs="Arial"/>
          <w:b/>
          <w:bCs/>
          <w:color w:val="000000"/>
          <w:sz w:val="20"/>
          <w:szCs w:val="20"/>
        </w:rPr>
        <w:t>BUSINESS DESCRIPTION</w:t>
      </w:r>
    </w:p>
    <w:p w14:paraId="5F2C9BAA" w14:textId="77777777" w:rsidR="00E836FB" w:rsidRDefault="00994958">
      <w:pPr>
        <w:spacing w:before="90"/>
        <w:jc w:val="both"/>
        <w:textAlignment w:val="top"/>
      </w:pPr>
      <w:r>
        <w:rPr>
          <w:rFonts w:ascii="Arial" w:eastAsia="宋体" w:hAnsi="Arial" w:cs="Arial"/>
          <w:b/>
          <w:bCs/>
          <w:color w:val="000000"/>
          <w:sz w:val="20"/>
          <w:szCs w:val="20"/>
        </w:rPr>
        <w:t>Overview</w:t>
      </w:r>
    </w:p>
    <w:p w14:paraId="5F2C9BAB" w14:textId="77777777" w:rsidR="00E836FB" w:rsidRDefault="00994958">
      <w:pPr>
        <w:spacing w:before="60"/>
        <w:ind w:firstLine="450"/>
        <w:jc w:val="both"/>
        <w:textAlignment w:val="top"/>
      </w:pPr>
      <w:r>
        <w:rPr>
          <w:rFonts w:ascii="Arial" w:eastAsia="宋体" w:hAnsi="Arial" w:cs="Arial"/>
          <w:color w:val="000000"/>
          <w:sz w:val="20"/>
          <w:szCs w:val="20"/>
        </w:rPr>
        <w:t>We conduct our business primarily through State Street Bank, which traces its beginnings to the founding of the Union Bank in 1792. State Street B</w:t>
      </w:r>
      <w:r>
        <w:rPr>
          <w:rFonts w:ascii="Arial" w:eastAsia="宋体" w:hAnsi="Arial" w:cs="Arial"/>
          <w:color w:val="000000"/>
          <w:sz w:val="20"/>
          <w:szCs w:val="20"/>
        </w:rPr>
        <w:t xml:space="preserve">ank's current charter was authorized by a special Act of the Massachusetts Legislature in 1891, and its present name was adopted in 1960. State Street Bank operates as a specialized bank, referred to as a </w:t>
      </w:r>
    </w:p>
    <w:p w14:paraId="5F2C9BAC" w14:textId="77777777" w:rsidR="00E836FB" w:rsidRDefault="00994958">
      <w:pPr>
        <w:ind w:firstLine="450"/>
        <w:jc w:val="right"/>
      </w:pPr>
      <w:r>
        <w:rPr>
          <w:rFonts w:ascii="Arial" w:eastAsia="宋体" w:hAnsi="Arial" w:cs="Arial"/>
          <w:color w:val="000000"/>
          <w:sz w:val="18"/>
          <w:szCs w:val="18"/>
        </w:rPr>
        <w:t>State Street Corporation | 6</w:t>
      </w:r>
    </w:p>
    <w:p w14:paraId="5F2C9BAD" w14:textId="77777777" w:rsidR="00E836FB" w:rsidRDefault="00E836FB">
      <w:pPr>
        <w:ind w:firstLine="450"/>
        <w:jc w:val="center"/>
      </w:pPr>
    </w:p>
    <w:p w14:paraId="5F2C9BAE" w14:textId="77777777" w:rsidR="00E836FB" w:rsidRDefault="00994958">
      <w:r>
        <w:pict w14:anchorId="5F2D6D89">
          <v:rect id="_x0000_i1030" style="width:415.3pt;height:1.5pt" o:hralign="center" o:hrstd="t" o:hr="t" fillcolor="#a0a0a0" stroked="f"/>
        </w:pict>
      </w:r>
    </w:p>
    <w:p w14:paraId="5F2C9BAF" w14:textId="77777777" w:rsidR="00E836FB" w:rsidRDefault="00E836FB">
      <w:pPr>
        <w:ind w:firstLine="450"/>
      </w:pPr>
    </w:p>
    <w:p w14:paraId="5F2C9BB0" w14:textId="77777777" w:rsidR="00E836FB" w:rsidRDefault="00994958">
      <w:pPr>
        <w:spacing w:before="60"/>
        <w:jc w:val="both"/>
        <w:textAlignment w:val="top"/>
      </w:pPr>
      <w:r>
        <w:rPr>
          <w:rFonts w:ascii="Arial" w:eastAsia="宋体" w:hAnsi="Arial" w:cs="Arial"/>
          <w:color w:val="000000"/>
          <w:sz w:val="20"/>
          <w:szCs w:val="20"/>
        </w:rPr>
        <w:t xml:space="preserve">trust or custody </w:t>
      </w:r>
      <w:r>
        <w:rPr>
          <w:rFonts w:ascii="Arial" w:eastAsia="宋体" w:hAnsi="Arial" w:cs="Arial"/>
          <w:color w:val="000000"/>
          <w:sz w:val="20"/>
          <w:szCs w:val="20"/>
        </w:rPr>
        <w:t xml:space="preserve">bank, that services and manages assets on behalf of its institutional clients. </w:t>
      </w:r>
    </w:p>
    <w:p w14:paraId="5F2C9BB1" w14:textId="77777777" w:rsidR="00E836FB" w:rsidRDefault="00994958">
      <w:pPr>
        <w:spacing w:before="60"/>
        <w:ind w:firstLine="450"/>
        <w:jc w:val="both"/>
        <w:textAlignment w:val="top"/>
      </w:pPr>
      <w:r>
        <w:rPr>
          <w:rFonts w:ascii="Arial" w:eastAsia="宋体" w:hAnsi="Arial" w:cs="Arial"/>
          <w:color w:val="000000"/>
          <w:sz w:val="20"/>
          <w:szCs w:val="20"/>
        </w:rPr>
        <w:t>Our clients include mutual funds, collective investment funds and other investment pools, corporate and public retirement plans, insurance companies, foundations, endowments an</w:t>
      </w:r>
      <w:r>
        <w:rPr>
          <w:rFonts w:ascii="Arial" w:eastAsia="宋体" w:hAnsi="Arial" w:cs="Arial"/>
          <w:color w:val="000000"/>
          <w:sz w:val="20"/>
          <w:szCs w:val="20"/>
        </w:rPr>
        <w:t>d investment managers.</w:t>
      </w:r>
    </w:p>
    <w:p w14:paraId="5F2C9BB2" w14:textId="77777777" w:rsidR="00E836FB" w:rsidRDefault="00994958">
      <w:pPr>
        <w:spacing w:before="90"/>
        <w:jc w:val="both"/>
        <w:textAlignment w:val="top"/>
      </w:pPr>
      <w:r>
        <w:rPr>
          <w:rFonts w:ascii="Arial" w:eastAsia="宋体" w:hAnsi="Arial" w:cs="Arial"/>
          <w:b/>
          <w:bCs/>
          <w:color w:val="000000"/>
          <w:sz w:val="20"/>
          <w:szCs w:val="20"/>
        </w:rPr>
        <w:t>LINES OF BUSINESS</w:t>
      </w:r>
    </w:p>
    <w:p w14:paraId="5F2C9BB3" w14:textId="77777777" w:rsidR="00E836FB" w:rsidRDefault="00994958">
      <w:pPr>
        <w:spacing w:before="60"/>
        <w:ind w:firstLine="450"/>
        <w:jc w:val="both"/>
        <w:textAlignment w:val="top"/>
      </w:pPr>
      <w:r>
        <w:rPr>
          <w:rFonts w:ascii="Arial" w:eastAsia="宋体" w:hAnsi="Arial" w:cs="Arial"/>
          <w:color w:val="000000"/>
          <w:sz w:val="20"/>
          <w:szCs w:val="20"/>
        </w:rPr>
        <w:t>We have two lines of business: Investment Servicing and Investment Management.</w:t>
      </w:r>
    </w:p>
    <w:p w14:paraId="5F2C9BB4" w14:textId="77777777" w:rsidR="00E836FB" w:rsidRDefault="00994958">
      <w:pPr>
        <w:spacing w:before="90"/>
        <w:jc w:val="both"/>
        <w:textAlignment w:val="top"/>
      </w:pPr>
      <w:r>
        <w:rPr>
          <w:rFonts w:ascii="Arial" w:eastAsia="宋体" w:hAnsi="Arial" w:cs="Arial"/>
          <w:b/>
          <w:bCs/>
          <w:color w:val="000000"/>
          <w:sz w:val="20"/>
          <w:szCs w:val="20"/>
        </w:rPr>
        <w:t>Investment Servicing</w:t>
      </w:r>
    </w:p>
    <w:p w14:paraId="5F2C9BB5" w14:textId="77777777" w:rsidR="00E836FB" w:rsidRDefault="00994958">
      <w:pPr>
        <w:spacing w:before="60"/>
        <w:ind w:firstLine="450"/>
        <w:jc w:val="both"/>
        <w:textAlignment w:val="top"/>
      </w:pPr>
      <w:r>
        <w:rPr>
          <w:rFonts w:ascii="Arial" w:eastAsia="宋体" w:hAnsi="Arial" w:cs="Arial"/>
          <w:color w:val="000000"/>
          <w:sz w:val="20"/>
          <w:szCs w:val="20"/>
        </w:rPr>
        <w:t>Our Investment Servicing line of business performs core custody and related value-added functions, such as providin</w:t>
      </w:r>
      <w:r>
        <w:rPr>
          <w:rFonts w:ascii="Arial" w:eastAsia="宋体" w:hAnsi="Arial" w:cs="Arial"/>
          <w:color w:val="000000"/>
          <w:sz w:val="20"/>
          <w:szCs w:val="20"/>
        </w:rPr>
        <w:t>g institutional investors with clearing, settlement and payment services. Our financial services and products allow our large institutional investor clients to execute financial transactions on a daily basis in markets across the globe. As most institution</w:t>
      </w:r>
      <w:r>
        <w:rPr>
          <w:rFonts w:ascii="Arial" w:eastAsia="宋体" w:hAnsi="Arial" w:cs="Arial"/>
          <w:color w:val="000000"/>
          <w:sz w:val="20"/>
          <w:szCs w:val="20"/>
        </w:rPr>
        <w:t>al investors cannot economically or efficiently build their own technology and operational processes necessary to facilitate their global securities settlement needs, our role as a global trust and custody bank is generally to aid our clients to efficientl</w:t>
      </w:r>
      <w:r>
        <w:rPr>
          <w:rFonts w:ascii="Arial" w:eastAsia="宋体" w:hAnsi="Arial" w:cs="Arial"/>
          <w:color w:val="000000"/>
          <w:sz w:val="20"/>
          <w:szCs w:val="20"/>
        </w:rPr>
        <w:t>y perform services associated with the clearing, settlement and execution of securities transactions and related payments.</w:t>
      </w:r>
    </w:p>
    <w:p w14:paraId="5F2C9BB6" w14:textId="77777777" w:rsidR="00E836FB" w:rsidRDefault="00994958">
      <w:pPr>
        <w:spacing w:before="60"/>
        <w:ind w:firstLine="450"/>
        <w:jc w:val="both"/>
        <w:textAlignment w:val="top"/>
      </w:pPr>
      <w:r>
        <w:rPr>
          <w:rFonts w:ascii="Arial" w:eastAsia="宋体" w:hAnsi="Arial" w:cs="Arial"/>
          <w:color w:val="000000"/>
          <w:sz w:val="20"/>
          <w:szCs w:val="20"/>
        </w:rPr>
        <w:t>Our Investment Servicing line of business, through</w:t>
      </w:r>
      <w:r>
        <w:rPr>
          <w:rFonts w:ascii="Arial" w:eastAsia="宋体" w:hAnsi="Arial" w:cs="Arial"/>
          <w:i/>
          <w:iCs/>
          <w:color w:val="000000"/>
          <w:sz w:val="20"/>
          <w:szCs w:val="20"/>
        </w:rPr>
        <w:t xml:space="preserve"> </w:t>
      </w:r>
      <w:r>
        <w:rPr>
          <w:rFonts w:ascii="Arial" w:eastAsia="宋体" w:hAnsi="Arial" w:cs="Arial"/>
          <w:color w:val="000000"/>
          <w:sz w:val="20"/>
          <w:szCs w:val="20"/>
        </w:rPr>
        <w:t>State Street Institutional Services, State Street Global Markets, State Street Dig</w:t>
      </w:r>
      <w:r>
        <w:rPr>
          <w:rFonts w:ascii="Arial" w:eastAsia="宋体" w:hAnsi="Arial" w:cs="Arial"/>
          <w:color w:val="000000"/>
          <w:sz w:val="20"/>
          <w:szCs w:val="20"/>
        </w:rPr>
        <w:t>ital and CRD, provides services for institutional clients, including mutual funds, collective investment funds and other investment pools, corporate and public retirement plans, insurance companies, investment managers, foundations and endowments worldwide</w:t>
      </w:r>
      <w:r>
        <w:rPr>
          <w:rFonts w:ascii="Arial" w:eastAsia="宋体" w:hAnsi="Arial" w:cs="Arial"/>
          <w:color w:val="000000"/>
          <w:sz w:val="20"/>
          <w:szCs w:val="20"/>
        </w:rPr>
        <w:t xml:space="preserve">. Products include: custody; product accounting; daily pricing and administration; master trust and master custody; depotbank services (a fund oversight role created by non-U.S. regulation); record-keeping; cash management; foreign exchange, brokerage and </w:t>
      </w:r>
      <w:r>
        <w:rPr>
          <w:rFonts w:ascii="Arial" w:eastAsia="宋体" w:hAnsi="Arial" w:cs="Arial"/>
          <w:color w:val="000000"/>
          <w:sz w:val="20"/>
          <w:szCs w:val="20"/>
        </w:rPr>
        <w:t>other trading services; securities finance and enhanced custody products; deposit and short-term investment facilities; loans and lease financing; investment manager and alternative investment manager operations outsourcing; performance, risk and complianc</w:t>
      </w:r>
      <w:r>
        <w:rPr>
          <w:rFonts w:ascii="Arial" w:eastAsia="宋体" w:hAnsi="Arial" w:cs="Arial"/>
          <w:color w:val="000000"/>
          <w:sz w:val="20"/>
          <w:szCs w:val="20"/>
        </w:rPr>
        <w:t>e analytics; and financial data management to support institutional investors.</w:t>
      </w:r>
    </w:p>
    <w:p w14:paraId="5F2C9BB7" w14:textId="77777777" w:rsidR="00E836FB" w:rsidRDefault="00994958">
      <w:pPr>
        <w:spacing w:before="60"/>
        <w:ind w:firstLine="450"/>
        <w:jc w:val="both"/>
        <w:textAlignment w:val="top"/>
      </w:pPr>
      <w:r>
        <w:rPr>
          <w:rFonts w:ascii="Arial" w:eastAsia="宋体" w:hAnsi="Arial" w:cs="Arial"/>
          <w:color w:val="000000"/>
          <w:sz w:val="20"/>
          <w:szCs w:val="20"/>
        </w:rPr>
        <w:t>Included within our Investment Servicing line of business is CRD, which we acquired in 2018. The Charles River Investment Management System is a technology offering which is des</w:t>
      </w:r>
      <w:r>
        <w:rPr>
          <w:rFonts w:ascii="Arial" w:eastAsia="宋体" w:hAnsi="Arial" w:cs="Arial"/>
          <w:color w:val="000000"/>
          <w:sz w:val="20"/>
          <w:szCs w:val="20"/>
        </w:rPr>
        <w:t>igned to automate and simplify the institutional investment process across asset classes, from portfolio management and risk analytics through trading and post-trade settlement, with integrated compliance and managed data throughout. With the acquisition o</w:t>
      </w:r>
      <w:r>
        <w:rPr>
          <w:rFonts w:ascii="Arial" w:eastAsia="宋体" w:hAnsi="Arial" w:cs="Arial"/>
          <w:color w:val="000000"/>
          <w:sz w:val="20"/>
          <w:szCs w:val="20"/>
        </w:rPr>
        <w:t xml:space="preserve">f CRD, we took </w:t>
      </w:r>
    </w:p>
    <w:p w14:paraId="5F2C9BB8" w14:textId="77777777" w:rsidR="00E836FB" w:rsidRDefault="00994958">
      <w:pPr>
        <w:spacing w:before="60"/>
        <w:jc w:val="both"/>
        <w:textAlignment w:val="top"/>
      </w:pPr>
      <w:r>
        <w:rPr>
          <w:rFonts w:ascii="Arial" w:eastAsia="宋体" w:hAnsi="Arial" w:cs="Arial"/>
          <w:color w:val="000000"/>
          <w:sz w:val="20"/>
          <w:szCs w:val="20"/>
        </w:rPr>
        <w:t>the first step in building our front-to-back platform, State Street Alpha. Today our State Street Alpha platform combines portfolio management, trading and execution, analytics and compliance tools, and advanced data aggregation and integra</w:t>
      </w:r>
      <w:r>
        <w:rPr>
          <w:rFonts w:ascii="Arial" w:eastAsia="宋体" w:hAnsi="Arial" w:cs="Arial"/>
          <w:color w:val="000000"/>
          <w:sz w:val="20"/>
          <w:szCs w:val="20"/>
        </w:rPr>
        <w:t xml:space="preserve">tion with other industry platforms and providers. In 2021, we further expanded our technology offering with the acquisition of Mercatus, Inc., enabling the launch of Alpha for Private Markets. </w:t>
      </w:r>
    </w:p>
    <w:p w14:paraId="5F2C9BB9" w14:textId="77777777" w:rsidR="00E836FB" w:rsidRDefault="00994958">
      <w:pPr>
        <w:spacing w:before="60"/>
        <w:ind w:firstLine="450"/>
        <w:jc w:val="both"/>
        <w:textAlignment w:val="top"/>
      </w:pPr>
      <w:r>
        <w:rPr>
          <w:rFonts w:ascii="Arial" w:eastAsia="宋体" w:hAnsi="Arial" w:cs="Arial"/>
          <w:color w:val="000000"/>
          <w:sz w:val="20"/>
          <w:szCs w:val="20"/>
        </w:rPr>
        <w:t>In 2021, we established State Street Digital to focus on the d</w:t>
      </w:r>
      <w:r>
        <w:rPr>
          <w:rFonts w:ascii="Arial" w:eastAsia="宋体" w:hAnsi="Arial" w:cs="Arial"/>
          <w:color w:val="000000"/>
          <w:sz w:val="20"/>
          <w:szCs w:val="20"/>
        </w:rPr>
        <w:t>evelopment of digital assets and technologies, including crypto, central bank digital currency, blockchain and tokenization, including the evolution of a new integrated business and digital operating model designed to support our clients' digital investmen</w:t>
      </w:r>
      <w:r>
        <w:rPr>
          <w:rFonts w:ascii="Arial" w:eastAsia="宋体" w:hAnsi="Arial" w:cs="Arial"/>
          <w:color w:val="000000"/>
          <w:sz w:val="20"/>
          <w:szCs w:val="20"/>
        </w:rPr>
        <w:t>t cycle.</w:t>
      </w:r>
    </w:p>
    <w:p w14:paraId="5F2C9BBA" w14:textId="77777777" w:rsidR="00E836FB" w:rsidRDefault="00994958">
      <w:pPr>
        <w:spacing w:before="60"/>
        <w:ind w:firstLine="450"/>
        <w:jc w:val="both"/>
        <w:textAlignment w:val="top"/>
      </w:pPr>
      <w:r>
        <w:rPr>
          <w:rFonts w:ascii="Arial" w:eastAsia="宋体" w:hAnsi="Arial" w:cs="Arial"/>
          <w:color w:val="000000"/>
          <w:sz w:val="20"/>
          <w:szCs w:val="20"/>
        </w:rPr>
        <w:t>We provide some or all of the Investment Servicing integrated products and services to clients in the U.S. and in many other markets, including, among others, Australia, Brazil, Canada, Cayman Islands, France, Germany, Hong Kong, Ireland, Italy, J</w:t>
      </w:r>
      <w:r>
        <w:rPr>
          <w:rFonts w:ascii="Arial" w:eastAsia="宋体" w:hAnsi="Arial" w:cs="Arial"/>
          <w:color w:val="000000"/>
          <w:sz w:val="20"/>
          <w:szCs w:val="20"/>
        </w:rPr>
        <w:t>apan, Luxembourg, South Korea and the U.K. As of December 31, 2021, we serviced AUC/A of approximately $32.43 trillion in the Americas, approximately $8.60 trillion in Europe and the Middle East and approximately $2.65 trillion in the Asia-Pacific region</w:t>
      </w:r>
      <w:r>
        <w:rPr>
          <w:rFonts w:ascii="Arial" w:eastAsia="宋体" w:hAnsi="Arial" w:cs="Arial"/>
          <w:color w:val="000000"/>
          <w:sz w:val="13"/>
          <w:szCs w:val="13"/>
        </w:rPr>
        <w:t>1</w:t>
      </w:r>
      <w:r>
        <w:rPr>
          <w:rFonts w:ascii="Arial" w:eastAsia="宋体" w:hAnsi="Arial" w:cs="Arial"/>
          <w:color w:val="000000"/>
          <w:sz w:val="20"/>
          <w:szCs w:val="20"/>
        </w:rPr>
        <w:t>.</w:t>
      </w:r>
    </w:p>
    <w:p w14:paraId="5F2C9BBB" w14:textId="77777777" w:rsidR="00E836FB" w:rsidRDefault="00994958">
      <w:pPr>
        <w:spacing w:before="90"/>
        <w:jc w:val="both"/>
        <w:textAlignment w:val="top"/>
      </w:pPr>
      <w:r>
        <w:rPr>
          <w:rFonts w:ascii="Arial" w:eastAsia="宋体" w:hAnsi="Arial" w:cs="Arial"/>
          <w:b/>
          <w:bCs/>
          <w:color w:val="000000"/>
          <w:sz w:val="20"/>
          <w:szCs w:val="20"/>
        </w:rPr>
        <w:t>Investment Management</w:t>
      </w:r>
    </w:p>
    <w:p w14:paraId="5F2C9BBC" w14:textId="77777777" w:rsidR="00E836FB" w:rsidRDefault="00994958">
      <w:pPr>
        <w:spacing w:before="60"/>
        <w:ind w:firstLine="450"/>
        <w:jc w:val="both"/>
        <w:textAlignment w:val="top"/>
      </w:pPr>
      <w:r>
        <w:rPr>
          <w:rFonts w:ascii="Arial" w:eastAsia="宋体" w:hAnsi="Arial" w:cs="Arial"/>
          <w:color w:val="000000"/>
          <w:sz w:val="20"/>
          <w:szCs w:val="20"/>
        </w:rPr>
        <w:t>Our Investment Management line of business</w:t>
      </w:r>
      <w:r>
        <w:rPr>
          <w:rFonts w:ascii="Arial" w:eastAsia="宋体" w:hAnsi="Arial" w:cs="Arial"/>
          <w:i/>
          <w:iCs/>
          <w:color w:val="000000"/>
          <w:sz w:val="20"/>
          <w:szCs w:val="20"/>
        </w:rPr>
        <w:t xml:space="preserve">, </w:t>
      </w:r>
      <w:r>
        <w:rPr>
          <w:rFonts w:ascii="Arial" w:eastAsia="宋体" w:hAnsi="Arial" w:cs="Arial"/>
          <w:color w:val="000000"/>
          <w:sz w:val="20"/>
          <w:szCs w:val="20"/>
        </w:rPr>
        <w:t xml:space="preserve">through State Street Global Advisors, provides a broad range of investment management strategies and products for our clients. Our investment management strategies and products span the </w:t>
      </w:r>
      <w:r>
        <w:rPr>
          <w:rFonts w:ascii="Arial" w:eastAsia="宋体" w:hAnsi="Arial" w:cs="Arial"/>
          <w:color w:val="000000"/>
          <w:sz w:val="20"/>
          <w:szCs w:val="20"/>
        </w:rPr>
        <w:t>risk/reward spectrum for equity, fixed income and cash assets, including core and enhanced indexing, multi-asset strategies, active quantitative and fundamental active capabilities and alternative investment strategies. Our AUM is currently primarily weigh</w:t>
      </w:r>
      <w:r>
        <w:rPr>
          <w:rFonts w:ascii="Arial" w:eastAsia="宋体" w:hAnsi="Arial" w:cs="Arial"/>
          <w:color w:val="000000"/>
          <w:sz w:val="20"/>
          <w:szCs w:val="20"/>
        </w:rPr>
        <w:t>ted to indexed strategies. In addition, we provide a breadth of services and solutions, including environmental, social and governance (ESG) investing, defined benefit and defined contribution and Global Fiduciary Solutions (formerly Outsourced Chief Inves</w:t>
      </w:r>
      <w:r>
        <w:rPr>
          <w:rFonts w:ascii="Arial" w:eastAsia="宋体" w:hAnsi="Arial" w:cs="Arial"/>
          <w:color w:val="000000"/>
          <w:sz w:val="20"/>
          <w:szCs w:val="20"/>
        </w:rPr>
        <w:t>tment Officer).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As of</w:t>
      </w:r>
      <w:r>
        <w:rPr>
          <w:rFonts w:ascii="Arial" w:eastAsia="宋体" w:hAnsi="Arial" w:cs="Arial"/>
          <w:i/>
          <w:iCs/>
          <w:color w:val="000000"/>
          <w:sz w:val="20"/>
          <w:szCs w:val="20"/>
        </w:rPr>
        <w:t xml:space="preserve"> </w:t>
      </w:r>
      <w:r>
        <w:rPr>
          <w:rFonts w:ascii="Arial" w:eastAsia="宋体" w:hAnsi="Arial" w:cs="Arial"/>
          <w:color w:val="000000"/>
          <w:sz w:val="20"/>
          <w:szCs w:val="20"/>
        </w:rPr>
        <w:t>December 31, 2021, State Street Global Advisors had AUM of approximately $4.14 trillion.</w:t>
      </w:r>
    </w:p>
    <w:p w14:paraId="5F2C9BBD" w14:textId="77777777" w:rsidR="00E836FB" w:rsidRDefault="00994958">
      <w:pPr>
        <w:spacing w:before="60"/>
        <w:ind w:firstLine="450"/>
        <w:jc w:val="both"/>
        <w:textAlignment w:val="top"/>
      </w:pPr>
      <w:r>
        <w:rPr>
          <w:rFonts w:ascii="Arial" w:eastAsia="宋体" w:hAnsi="Arial" w:cs="Arial"/>
          <w:color w:val="000000"/>
          <w:sz w:val="20"/>
          <w:szCs w:val="20"/>
        </w:rPr>
        <w:t xml:space="preserve">Additional information about our lines of </w:t>
      </w:r>
      <w:r>
        <w:rPr>
          <w:rFonts w:ascii="Arial" w:eastAsia="宋体" w:hAnsi="Arial" w:cs="Arial"/>
          <w:color w:val="000000"/>
          <w:sz w:val="20"/>
          <w:szCs w:val="20"/>
        </w:rPr>
        <w:t>business is provided under “Line of Business Information” included in our Management's Discussion and Analysis, and in Note 24 to the consolidated financial statements in this Form 10-K. Additional information about our non-U.S. activities is included in N</w:t>
      </w:r>
      <w:r>
        <w:rPr>
          <w:rFonts w:ascii="Arial" w:eastAsia="宋体" w:hAnsi="Arial" w:cs="Arial"/>
          <w:color w:val="000000"/>
          <w:sz w:val="20"/>
          <w:szCs w:val="20"/>
        </w:rPr>
        <w:t>ote 26 to the consolidated financial statements in this Form 10-K.</w:t>
      </w:r>
    </w:p>
    <w:p w14:paraId="5F2C9BBE" w14:textId="77777777" w:rsidR="00E836FB" w:rsidRDefault="00994958">
      <w:pPr>
        <w:spacing w:before="90"/>
        <w:ind w:hanging="180"/>
        <w:jc w:val="both"/>
      </w:pPr>
      <w:r>
        <w:rPr>
          <w:rFonts w:ascii="Arial" w:eastAsia="宋体" w:hAnsi="Arial" w:cs="Arial"/>
          <w:color w:val="000000"/>
          <w:sz w:val="9"/>
          <w:szCs w:val="9"/>
        </w:rPr>
        <w:t>1</w:t>
      </w:r>
      <w:r>
        <w:rPr>
          <w:rFonts w:ascii="Arial" w:eastAsia="宋体" w:hAnsi="Arial" w:cs="Arial"/>
          <w:color w:val="000000"/>
          <w:sz w:val="15"/>
          <w:szCs w:val="15"/>
        </w:rPr>
        <w:t xml:space="preserve"> Geographic mix is generally based on the domicile of the entity servicing the funds and is not necessarily representative of the underlying asset mix.</w:t>
      </w:r>
    </w:p>
    <w:p w14:paraId="5F2C9BBF" w14:textId="77777777" w:rsidR="00E836FB" w:rsidRDefault="00994958">
      <w:pPr>
        <w:ind w:firstLine="450"/>
        <w:jc w:val="right"/>
      </w:pPr>
      <w:r>
        <w:rPr>
          <w:rFonts w:ascii="Arial" w:eastAsia="宋体" w:hAnsi="Arial" w:cs="Arial"/>
          <w:color w:val="000000"/>
          <w:sz w:val="18"/>
          <w:szCs w:val="18"/>
        </w:rPr>
        <w:t>State Street Corporation | 7</w:t>
      </w:r>
    </w:p>
    <w:p w14:paraId="5F2C9BC0" w14:textId="77777777" w:rsidR="00E836FB" w:rsidRDefault="00E836FB">
      <w:pPr>
        <w:ind w:firstLine="450"/>
        <w:jc w:val="center"/>
      </w:pPr>
    </w:p>
    <w:p w14:paraId="5F2C9BC1" w14:textId="77777777" w:rsidR="00E836FB" w:rsidRDefault="00994958">
      <w:r>
        <w:pict w14:anchorId="5F2D6D8A">
          <v:rect id="_x0000_i1031" style="width:415.3pt;height:1.5pt" o:hralign="center" o:hrstd="t" o:hr="t" fillcolor="#a0a0a0" stroked="f"/>
        </w:pict>
      </w:r>
    </w:p>
    <w:p w14:paraId="5F2C9BC2" w14:textId="77777777" w:rsidR="00E836FB" w:rsidRDefault="00E836FB">
      <w:pPr>
        <w:ind w:firstLine="450"/>
      </w:pPr>
    </w:p>
    <w:p w14:paraId="5F2C9BC3" w14:textId="77777777" w:rsidR="00E836FB" w:rsidRDefault="00994958">
      <w:pPr>
        <w:spacing w:before="90"/>
        <w:jc w:val="both"/>
        <w:textAlignment w:val="top"/>
      </w:pPr>
      <w:r>
        <w:rPr>
          <w:rFonts w:ascii="Arial" w:eastAsia="宋体" w:hAnsi="Arial" w:cs="Arial"/>
          <w:b/>
          <w:bCs/>
          <w:color w:val="000000"/>
          <w:sz w:val="20"/>
          <w:szCs w:val="20"/>
        </w:rPr>
        <w:t>COM</w:t>
      </w:r>
      <w:r>
        <w:rPr>
          <w:rFonts w:ascii="Arial" w:eastAsia="宋体" w:hAnsi="Arial" w:cs="Arial"/>
          <w:b/>
          <w:bCs/>
          <w:color w:val="000000"/>
          <w:sz w:val="20"/>
          <w:szCs w:val="20"/>
        </w:rPr>
        <w:t>PETITION</w:t>
      </w:r>
    </w:p>
    <w:p w14:paraId="5F2C9BC4" w14:textId="77777777" w:rsidR="00E836FB" w:rsidRDefault="00994958">
      <w:pPr>
        <w:spacing w:before="60"/>
        <w:ind w:firstLine="450"/>
        <w:jc w:val="both"/>
        <w:textAlignment w:val="top"/>
      </w:pPr>
      <w:r>
        <w:rPr>
          <w:rFonts w:ascii="Arial" w:eastAsia="宋体" w:hAnsi="Arial" w:cs="Arial"/>
          <w:color w:val="000000"/>
          <w:sz w:val="20"/>
          <w:szCs w:val="20"/>
        </w:rPr>
        <w:t>We operate in a highly competitive environment in all areas of our business globally. Our competitors include a broad range of financial institutions and servicing companies, including other custodial banks, deposit-taking institutions, investment</w:t>
      </w:r>
      <w:r>
        <w:rPr>
          <w:rFonts w:ascii="Arial" w:eastAsia="宋体" w:hAnsi="Arial" w:cs="Arial"/>
          <w:color w:val="000000"/>
          <w:sz w:val="20"/>
          <w:szCs w:val="20"/>
        </w:rPr>
        <w:t xml:space="preserve"> management firms, insurance companies, mutual funds, broker/dealers, investment banks, benefits consultants, investment analytics businesses, business service and software companies, technology companies, data providers and information services firms. As </w:t>
      </w:r>
      <w:r>
        <w:rPr>
          <w:rFonts w:ascii="Arial" w:eastAsia="宋体" w:hAnsi="Arial" w:cs="Arial"/>
          <w:color w:val="000000"/>
          <w:sz w:val="20"/>
          <w:szCs w:val="20"/>
        </w:rPr>
        <w:t>our businesses grow and markets evolve, we may encounter increasing and new forms of competition around the world.</w:t>
      </w:r>
    </w:p>
    <w:p w14:paraId="5F2C9BC5" w14:textId="77777777" w:rsidR="00E836FB" w:rsidRDefault="00994958">
      <w:pPr>
        <w:spacing w:before="60"/>
        <w:ind w:firstLine="450"/>
        <w:jc w:val="both"/>
        <w:textAlignment w:val="top"/>
      </w:pPr>
      <w:r>
        <w:rPr>
          <w:rFonts w:ascii="Arial" w:eastAsia="宋体" w:hAnsi="Arial" w:cs="Arial"/>
          <w:color w:val="000000"/>
          <w:sz w:val="20"/>
          <w:szCs w:val="20"/>
        </w:rPr>
        <w:t>We believe that many key factors drive competition in the markets for our business. Technological expertise, economies of scale, required lev</w:t>
      </w:r>
      <w:r>
        <w:rPr>
          <w:rFonts w:ascii="Arial" w:eastAsia="宋体" w:hAnsi="Arial" w:cs="Arial"/>
          <w:color w:val="000000"/>
          <w:sz w:val="20"/>
          <w:szCs w:val="20"/>
        </w:rPr>
        <w:t>els of capital, pricing, quality and scope of services, and sales and marketing are critical to our Investment Servicing line of business. For our Investment Management line of business, key competitive factors include expertise, experience, availability o</w:t>
      </w:r>
      <w:r>
        <w:rPr>
          <w:rFonts w:ascii="Arial" w:eastAsia="宋体" w:hAnsi="Arial" w:cs="Arial"/>
          <w:color w:val="000000"/>
          <w:sz w:val="20"/>
          <w:szCs w:val="20"/>
        </w:rPr>
        <w:t>f related service offerings, quality of service, price, efficiency of our products and services, and performance.</w:t>
      </w:r>
    </w:p>
    <w:p w14:paraId="5F2C9BC6" w14:textId="77777777" w:rsidR="00E836FB" w:rsidRDefault="00994958">
      <w:pPr>
        <w:spacing w:before="60"/>
        <w:ind w:firstLine="450"/>
        <w:jc w:val="both"/>
        <w:textAlignment w:val="top"/>
      </w:pPr>
      <w:r>
        <w:rPr>
          <w:rFonts w:ascii="Arial" w:eastAsia="宋体" w:hAnsi="Arial" w:cs="Arial"/>
          <w:color w:val="000000"/>
          <w:sz w:val="20"/>
          <w:szCs w:val="20"/>
        </w:rPr>
        <w:t xml:space="preserve">Our competitive success may depend on our ability to develop and market new and innovative services, to adopt or develop new technologies, to </w:t>
      </w:r>
      <w:r>
        <w:rPr>
          <w:rFonts w:ascii="Arial" w:eastAsia="宋体" w:hAnsi="Arial" w:cs="Arial"/>
          <w:color w:val="000000"/>
          <w:sz w:val="20"/>
          <w:szCs w:val="20"/>
        </w:rPr>
        <w:t>implement efficiencies into our operational processes, to bring new services to market in a timely fashion at competitive prices, to integrate existing and future products and services effectively into State Street Alpha, to continue to expand our relation</w:t>
      </w:r>
      <w:r>
        <w:rPr>
          <w:rFonts w:ascii="Arial" w:eastAsia="宋体" w:hAnsi="Arial" w:cs="Arial"/>
          <w:color w:val="000000"/>
          <w:sz w:val="20"/>
          <w:szCs w:val="20"/>
        </w:rPr>
        <w:t>ships with existing clients, and to attract new clients.</w:t>
      </w:r>
    </w:p>
    <w:p w14:paraId="5F2C9BC7" w14:textId="77777777" w:rsidR="00E836FB" w:rsidRDefault="00994958">
      <w:pPr>
        <w:spacing w:before="60"/>
        <w:ind w:firstLine="450"/>
        <w:jc w:val="both"/>
        <w:textAlignment w:val="top"/>
      </w:pPr>
      <w:r>
        <w:rPr>
          <w:rFonts w:ascii="Arial" w:eastAsia="宋体" w:hAnsi="Arial" w:cs="Arial"/>
          <w:color w:val="000000"/>
          <w:sz w:val="20"/>
          <w:szCs w:val="20"/>
        </w:rPr>
        <w:t>We are a G-SIB and are subject to extensive regulation and supervision with respect to our operations and activities. Not all of our competitors have similarly been designated as systemically importa</w:t>
      </w:r>
      <w:r>
        <w:rPr>
          <w:rFonts w:ascii="Arial" w:eastAsia="宋体" w:hAnsi="Arial" w:cs="Arial"/>
          <w:color w:val="000000"/>
          <w:sz w:val="20"/>
          <w:szCs w:val="20"/>
        </w:rPr>
        <w:t>nt nor are all of them subject to the same degree of regulation as a bank or financial holding company, and therefore some of our competitors may not be subject to the same limitations, requirements and standards with respect to their operations and activi</w:t>
      </w:r>
      <w:r>
        <w:rPr>
          <w:rFonts w:ascii="Arial" w:eastAsia="宋体" w:hAnsi="Arial" w:cs="Arial"/>
          <w:color w:val="000000"/>
          <w:sz w:val="20"/>
          <w:szCs w:val="20"/>
        </w:rPr>
        <w:t xml:space="preserve">ties. Most other financial institutions designated as systemically important have substantially greater financial resources and a broader base of operations than we do and are, consequently, in a better competitive position to manage and bear the costs of </w:t>
      </w:r>
      <w:r>
        <w:rPr>
          <w:rFonts w:ascii="Arial" w:eastAsia="宋体" w:hAnsi="Arial" w:cs="Arial"/>
          <w:color w:val="000000"/>
          <w:sz w:val="20"/>
          <w:szCs w:val="20"/>
        </w:rPr>
        <w:t>this enhanced regulatory requirement. See "Supervision and Regulation" in this Item for more information.</w:t>
      </w:r>
    </w:p>
    <w:p w14:paraId="5F2C9BC8" w14:textId="77777777" w:rsidR="00E836FB" w:rsidRDefault="00994958">
      <w:pPr>
        <w:spacing w:before="90"/>
        <w:jc w:val="both"/>
        <w:textAlignment w:val="top"/>
      </w:pPr>
      <w:r>
        <w:rPr>
          <w:rFonts w:ascii="Arial" w:eastAsia="宋体" w:hAnsi="Arial" w:cs="Arial"/>
          <w:b/>
          <w:bCs/>
          <w:color w:val="000000"/>
          <w:sz w:val="20"/>
          <w:szCs w:val="20"/>
        </w:rPr>
        <w:t>HUMAN RESOURCES</w:t>
      </w:r>
    </w:p>
    <w:p w14:paraId="5F2C9BC9" w14:textId="77777777" w:rsidR="00E836FB" w:rsidRDefault="00994958">
      <w:pPr>
        <w:spacing w:before="60"/>
        <w:ind w:firstLine="450"/>
        <w:jc w:val="both"/>
        <w:textAlignment w:val="top"/>
      </w:pPr>
      <w:r>
        <w:rPr>
          <w:rFonts w:ascii="Arial" w:eastAsia="宋体" w:hAnsi="Arial" w:cs="Arial"/>
          <w:color w:val="000000"/>
          <w:sz w:val="20"/>
          <w:szCs w:val="20"/>
        </w:rPr>
        <w:t>Our employees are a core asset and a key driver of our long-term performance. Our employees drive the company’s value proposition, inn</w:t>
      </w:r>
      <w:r>
        <w:rPr>
          <w:rFonts w:ascii="Arial" w:eastAsia="宋体" w:hAnsi="Arial" w:cs="Arial"/>
          <w:color w:val="000000"/>
          <w:sz w:val="20"/>
          <w:szCs w:val="20"/>
        </w:rPr>
        <w:t xml:space="preserve">ovate better ways to serve our clients and act as custodians of our reputation. We seek to empower our </w:t>
      </w:r>
    </w:p>
    <w:p w14:paraId="5F2C9BCA" w14:textId="77777777" w:rsidR="00E836FB" w:rsidRDefault="00994958">
      <w:pPr>
        <w:spacing w:before="60"/>
        <w:jc w:val="both"/>
        <w:textAlignment w:val="top"/>
      </w:pPr>
      <w:r>
        <w:rPr>
          <w:rFonts w:ascii="Arial" w:eastAsia="宋体" w:hAnsi="Arial" w:cs="Arial"/>
          <w:color w:val="000000"/>
          <w:sz w:val="20"/>
          <w:szCs w:val="20"/>
        </w:rPr>
        <w:t>employees by providing development and learning opportunities to help each person reach their full potential, by promoting an inclusive and diverse work</w:t>
      </w:r>
      <w:r>
        <w:rPr>
          <w:rFonts w:ascii="Arial" w:eastAsia="宋体" w:hAnsi="Arial" w:cs="Arial"/>
          <w:color w:val="000000"/>
          <w:sz w:val="20"/>
          <w:szCs w:val="20"/>
        </w:rPr>
        <w:t>place and by improving organizational effectiveness. Our human capital strategy is a meaningful driver of our overall enterprise strategy.</w:t>
      </w:r>
    </w:p>
    <w:p w14:paraId="5F2C9BCB" w14:textId="77777777" w:rsidR="00E836FB" w:rsidRDefault="00994958">
      <w:pPr>
        <w:spacing w:before="60"/>
        <w:ind w:firstLine="450"/>
        <w:jc w:val="both"/>
        <w:textAlignment w:val="top"/>
      </w:pPr>
      <w:r>
        <w:rPr>
          <w:rFonts w:ascii="Arial" w:eastAsia="宋体" w:hAnsi="Arial" w:cs="Arial"/>
          <w:color w:val="000000"/>
          <w:sz w:val="20"/>
          <w:szCs w:val="20"/>
        </w:rPr>
        <w:t>In 2021, the COVID-19 pandemic continued to have a significant impact on how we managed our workforce. We enhanced an</w:t>
      </w:r>
      <w:r>
        <w:rPr>
          <w:rFonts w:ascii="Arial" w:eastAsia="宋体" w:hAnsi="Arial" w:cs="Arial"/>
          <w:color w:val="000000"/>
          <w:sz w:val="20"/>
          <w:szCs w:val="20"/>
        </w:rPr>
        <w:t>d expanded flexible work opportunities, embracing a hybrid model of working, while also giving nearly all employees the opportunity to return to the office. We also maintained enhanced employee benefits put in place in 2020, which vary based on location, w</w:t>
      </w:r>
      <w:r>
        <w:rPr>
          <w:rFonts w:ascii="Arial" w:eastAsia="宋体" w:hAnsi="Arial" w:cs="Arial"/>
          <w:color w:val="000000"/>
          <w:sz w:val="20"/>
          <w:szCs w:val="20"/>
        </w:rPr>
        <w:t>ith specific, pandemic-related offerings including providing support for COVID-19-related medical costs, additional time off, backup childcare options and reimbursement for home office equipment. Due to the net impact of hiring and attrition levels, both o</w:t>
      </w:r>
      <w:r>
        <w:rPr>
          <w:rFonts w:ascii="Arial" w:eastAsia="宋体" w:hAnsi="Arial" w:cs="Arial"/>
          <w:color w:val="000000"/>
          <w:sz w:val="20"/>
          <w:szCs w:val="20"/>
        </w:rPr>
        <w:t xml:space="preserve">f which we monitor closely, our workforce at the end of 2021 was down 2% compared to 2020 at approximately 39,000 employees, 69% of whom are located outside the U.S. </w:t>
      </w:r>
    </w:p>
    <w:p w14:paraId="5F2C9BCC" w14:textId="77777777" w:rsidR="00E836FB" w:rsidRDefault="00994958">
      <w:pPr>
        <w:spacing w:before="60"/>
        <w:ind w:firstLine="450"/>
        <w:jc w:val="both"/>
        <w:textAlignment w:val="top"/>
      </w:pPr>
      <w:r>
        <w:rPr>
          <w:rFonts w:ascii="Arial" w:eastAsia="宋体" w:hAnsi="Arial" w:cs="Arial"/>
          <w:color w:val="000000"/>
          <w:sz w:val="20"/>
          <w:szCs w:val="20"/>
        </w:rPr>
        <w:t>The Board of Directors’ Human Resources Committee oversees our human capital management s</w:t>
      </w:r>
      <w:r>
        <w:rPr>
          <w:rFonts w:ascii="Arial" w:eastAsia="宋体" w:hAnsi="Arial" w:cs="Arial"/>
          <w:color w:val="000000"/>
          <w:sz w:val="20"/>
          <w:szCs w:val="20"/>
        </w:rPr>
        <w:t>trategy, and receives regular updates on matters such as recruitment, retention and inclusion and diversity initiatives. Our management-level Enterprise Talent Management Committee, which consists of senior executive leaders, provides leadership, input and</w:t>
      </w:r>
      <w:r>
        <w:rPr>
          <w:rFonts w:ascii="Arial" w:eastAsia="宋体" w:hAnsi="Arial" w:cs="Arial"/>
          <w:color w:val="000000"/>
          <w:sz w:val="20"/>
          <w:szCs w:val="20"/>
        </w:rPr>
        <w:t xml:space="preserve"> advice on our global talent-related initiatives to support achievement of our strategic priority to continually seek to become a higher-performing organization and a destination for talent. </w:t>
      </w:r>
    </w:p>
    <w:p w14:paraId="5F2C9BCD" w14:textId="77777777" w:rsidR="00E836FB" w:rsidRDefault="00994958">
      <w:pPr>
        <w:spacing w:before="90"/>
        <w:jc w:val="both"/>
        <w:textAlignment w:val="top"/>
      </w:pPr>
      <w:r>
        <w:rPr>
          <w:rFonts w:ascii="Arial" w:eastAsia="宋体" w:hAnsi="Arial" w:cs="Arial"/>
          <w:b/>
          <w:bCs/>
          <w:color w:val="000000"/>
          <w:sz w:val="20"/>
          <w:szCs w:val="20"/>
        </w:rPr>
        <w:t xml:space="preserve">Workforce Engagement and Culture </w:t>
      </w:r>
    </w:p>
    <w:p w14:paraId="5F2C9BCE" w14:textId="77777777" w:rsidR="00E836FB" w:rsidRDefault="00994958">
      <w:pPr>
        <w:spacing w:before="60"/>
        <w:ind w:firstLine="450"/>
        <w:jc w:val="both"/>
        <w:textAlignment w:val="top"/>
      </w:pPr>
      <w:r>
        <w:rPr>
          <w:rFonts w:ascii="Arial" w:eastAsia="宋体" w:hAnsi="Arial" w:cs="Arial"/>
          <w:color w:val="000000"/>
          <w:sz w:val="20"/>
          <w:szCs w:val="20"/>
        </w:rPr>
        <w:t xml:space="preserve">Our culture and values help to define us as a company. Employees are expected to focus on the following culture traits as they carry out their work: </w:t>
      </w:r>
    </w:p>
    <w:p w14:paraId="5F2C9BCF" w14:textId="77777777" w:rsidR="00E836FB" w:rsidRDefault="00994958">
      <w:pPr>
        <w:spacing w:before="60"/>
        <w:ind w:hanging="360"/>
        <w:jc w:val="both"/>
        <w:textAlignment w:val="top"/>
      </w:pPr>
      <w:r>
        <w:rPr>
          <w:rFonts w:ascii="Arial" w:eastAsia="宋体" w:hAnsi="Arial" w:cs="Arial"/>
          <w:color w:val="000000"/>
          <w:sz w:val="20"/>
          <w:szCs w:val="20"/>
        </w:rPr>
        <w:t>•Choose to Own It;</w:t>
      </w:r>
    </w:p>
    <w:p w14:paraId="5F2C9BD0" w14:textId="77777777" w:rsidR="00E836FB" w:rsidRDefault="00994958">
      <w:pPr>
        <w:spacing w:before="60"/>
        <w:ind w:hanging="360"/>
        <w:jc w:val="both"/>
        <w:textAlignment w:val="top"/>
      </w:pPr>
      <w:r>
        <w:rPr>
          <w:rFonts w:ascii="Arial" w:eastAsia="宋体" w:hAnsi="Arial" w:cs="Arial"/>
          <w:color w:val="000000"/>
          <w:sz w:val="20"/>
          <w:szCs w:val="20"/>
        </w:rPr>
        <w:t>•Break Through Silos;</w:t>
      </w:r>
    </w:p>
    <w:p w14:paraId="5F2C9BD1" w14:textId="77777777" w:rsidR="00E836FB" w:rsidRDefault="00994958">
      <w:pPr>
        <w:spacing w:before="60"/>
        <w:ind w:hanging="360"/>
        <w:jc w:val="both"/>
        <w:textAlignment w:val="top"/>
      </w:pPr>
      <w:r>
        <w:rPr>
          <w:rFonts w:ascii="Arial" w:eastAsia="宋体" w:hAnsi="Arial" w:cs="Arial"/>
          <w:color w:val="000000"/>
          <w:sz w:val="20"/>
          <w:szCs w:val="20"/>
        </w:rPr>
        <w:t xml:space="preserve">•Deliver Results with Integrity and Speed; </w:t>
      </w:r>
    </w:p>
    <w:p w14:paraId="5F2C9BD2" w14:textId="77777777" w:rsidR="00E836FB" w:rsidRDefault="00994958">
      <w:pPr>
        <w:spacing w:before="60"/>
        <w:ind w:hanging="360"/>
        <w:jc w:val="both"/>
        <w:textAlignment w:val="top"/>
      </w:pPr>
      <w:r>
        <w:rPr>
          <w:rFonts w:ascii="Arial" w:eastAsia="宋体" w:hAnsi="Arial" w:cs="Arial"/>
          <w:color w:val="000000"/>
          <w:sz w:val="20"/>
          <w:szCs w:val="20"/>
        </w:rPr>
        <w:t>•Do Better Every Day; and</w:t>
      </w:r>
    </w:p>
    <w:p w14:paraId="5F2C9BD3" w14:textId="77777777" w:rsidR="00E836FB" w:rsidRDefault="00994958">
      <w:pPr>
        <w:spacing w:before="60"/>
        <w:ind w:hanging="360"/>
        <w:jc w:val="both"/>
        <w:textAlignment w:val="top"/>
      </w:pPr>
      <w:r>
        <w:rPr>
          <w:rFonts w:ascii="Arial" w:eastAsia="宋体" w:hAnsi="Arial" w:cs="Arial"/>
          <w:color w:val="000000"/>
          <w:sz w:val="20"/>
          <w:szCs w:val="20"/>
        </w:rPr>
        <w:t>•Care for Our Colleagues, Clients and Community.</w:t>
      </w:r>
    </w:p>
    <w:p w14:paraId="5F2C9BD4" w14:textId="77777777" w:rsidR="00E836FB" w:rsidRDefault="00994958">
      <w:pPr>
        <w:spacing w:before="60"/>
        <w:ind w:firstLine="450"/>
        <w:jc w:val="both"/>
        <w:textAlignment w:val="top"/>
      </w:pPr>
      <w:r>
        <w:rPr>
          <w:rFonts w:ascii="Arial" w:eastAsia="宋体" w:hAnsi="Arial" w:cs="Arial"/>
          <w:color w:val="000000"/>
          <w:sz w:val="20"/>
          <w:szCs w:val="20"/>
        </w:rPr>
        <w:t>We aim to promote strong levels of employee commitment and connection to the company by highlighting our shared culture traits and the be</w:t>
      </w:r>
      <w:r>
        <w:rPr>
          <w:rFonts w:ascii="Arial" w:eastAsia="宋体" w:hAnsi="Arial" w:cs="Arial"/>
          <w:color w:val="000000"/>
          <w:sz w:val="20"/>
          <w:szCs w:val="20"/>
        </w:rPr>
        <w:t>haviors that drive our business strategy, such as our annual Risk Excellence Awards, which recognize and reward employees who demonstrate exemplary risk management performance. We believe that an inclusive and diverse culture where employees feel valued an</w:t>
      </w:r>
      <w:r>
        <w:rPr>
          <w:rFonts w:ascii="Arial" w:eastAsia="宋体" w:hAnsi="Arial" w:cs="Arial"/>
          <w:color w:val="000000"/>
          <w:sz w:val="20"/>
          <w:szCs w:val="20"/>
        </w:rPr>
        <w:t>d engaged will make State Street a more desirable place to work, help us to attract key talent and retain employees as they grow in their careers and foster an environment that enhances each individual’s productivity and professional satisfaction.</w:t>
      </w:r>
    </w:p>
    <w:p w14:paraId="5F2C9BD5" w14:textId="77777777" w:rsidR="00E836FB" w:rsidRDefault="00994958">
      <w:pPr>
        <w:ind w:firstLine="450"/>
        <w:jc w:val="right"/>
      </w:pPr>
      <w:r>
        <w:rPr>
          <w:rFonts w:ascii="Arial" w:eastAsia="宋体" w:hAnsi="Arial" w:cs="Arial"/>
          <w:color w:val="000000"/>
          <w:sz w:val="18"/>
          <w:szCs w:val="18"/>
        </w:rPr>
        <w:t>State St</w:t>
      </w:r>
      <w:r>
        <w:rPr>
          <w:rFonts w:ascii="Arial" w:eastAsia="宋体" w:hAnsi="Arial" w:cs="Arial"/>
          <w:color w:val="000000"/>
          <w:sz w:val="18"/>
          <w:szCs w:val="18"/>
        </w:rPr>
        <w:t>reet Corporation | 8</w:t>
      </w:r>
    </w:p>
    <w:p w14:paraId="5F2C9BD6" w14:textId="77777777" w:rsidR="00E836FB" w:rsidRDefault="00E836FB">
      <w:pPr>
        <w:ind w:firstLine="450"/>
        <w:jc w:val="center"/>
      </w:pPr>
    </w:p>
    <w:p w14:paraId="5F2C9BD7" w14:textId="77777777" w:rsidR="00E836FB" w:rsidRDefault="00994958">
      <w:r>
        <w:pict w14:anchorId="5F2D6D8B">
          <v:rect id="_x0000_i1032" style="width:415.3pt;height:1.5pt" o:hralign="center" o:hrstd="t" o:hr="t" fillcolor="#a0a0a0" stroked="f"/>
        </w:pict>
      </w:r>
    </w:p>
    <w:p w14:paraId="5F2C9BD8" w14:textId="77777777" w:rsidR="00E836FB" w:rsidRDefault="00E836FB">
      <w:pPr>
        <w:ind w:firstLine="450"/>
      </w:pPr>
    </w:p>
    <w:p w14:paraId="5F2C9BD9" w14:textId="77777777" w:rsidR="00E836FB" w:rsidRDefault="00994958">
      <w:pPr>
        <w:spacing w:before="60"/>
        <w:ind w:firstLine="450"/>
        <w:jc w:val="both"/>
        <w:textAlignment w:val="top"/>
      </w:pPr>
      <w:r>
        <w:rPr>
          <w:rFonts w:ascii="Arial" w:eastAsia="宋体" w:hAnsi="Arial" w:cs="Arial"/>
          <w:color w:val="000000"/>
          <w:sz w:val="20"/>
          <w:szCs w:val="20"/>
        </w:rPr>
        <w:t>We use our compensation program to incentivize our executives to role-model these shared culture traits. In determining executive compensation, we first measure enterprise-level performance, including leadership- and diversity-rela</w:t>
      </w:r>
      <w:r>
        <w:rPr>
          <w:rFonts w:ascii="Arial" w:eastAsia="宋体" w:hAnsi="Arial" w:cs="Arial"/>
          <w:color w:val="000000"/>
          <w:sz w:val="20"/>
          <w:szCs w:val="20"/>
        </w:rPr>
        <w:t>ted performance. We then evaluate executives’ performance against individual objectives derived from our corporate goals, including their performance advancing and role-modeling the critical leadership behaviors and culture traits that drive our business s</w:t>
      </w:r>
      <w:r>
        <w:rPr>
          <w:rFonts w:ascii="Arial" w:eastAsia="宋体" w:hAnsi="Arial" w:cs="Arial"/>
          <w:color w:val="000000"/>
          <w:sz w:val="20"/>
          <w:szCs w:val="20"/>
        </w:rPr>
        <w:t>trategy.</w:t>
      </w:r>
    </w:p>
    <w:p w14:paraId="5F2C9BDA" w14:textId="77777777" w:rsidR="00E836FB" w:rsidRDefault="00994958">
      <w:pPr>
        <w:spacing w:before="60"/>
        <w:ind w:firstLine="450"/>
        <w:jc w:val="both"/>
        <w:textAlignment w:val="top"/>
      </w:pPr>
      <w:r>
        <w:rPr>
          <w:rFonts w:ascii="Arial" w:eastAsia="宋体" w:hAnsi="Arial" w:cs="Arial"/>
          <w:color w:val="000000"/>
          <w:sz w:val="20"/>
          <w:szCs w:val="20"/>
        </w:rPr>
        <w:t>The integrity and ethical decision-making of our employees is also paramount for our culture. We encourage employees to speak up if they see behavior that is inconsistent with our Standard of Conduct, culture or values, and we regularly communicat</w:t>
      </w:r>
      <w:r>
        <w:rPr>
          <w:rFonts w:ascii="Arial" w:eastAsia="宋体" w:hAnsi="Arial" w:cs="Arial"/>
          <w:color w:val="000000"/>
          <w:sz w:val="20"/>
          <w:szCs w:val="20"/>
        </w:rPr>
        <w:t>e the multiple channels provided for them to do so, including our Speak Up Line, Conduct Risk Management team and other avenues. We want our employees to know their opinions are valued, to feel comfortable asking questions and raising concerns, to feel tru</w:t>
      </w:r>
      <w:r>
        <w:rPr>
          <w:rFonts w:ascii="Arial" w:eastAsia="宋体" w:hAnsi="Arial" w:cs="Arial"/>
          <w:color w:val="000000"/>
          <w:sz w:val="20"/>
          <w:szCs w:val="20"/>
        </w:rPr>
        <w:t>ly appreciated for acting responsibly by voicing concerns, and to have no fear of retaliation. Our approach is to promote ethical conduct by treating minor policy breaches as learning opportunities, and major policy breaches and misconduct promptly, profes</w:t>
      </w:r>
      <w:r>
        <w:rPr>
          <w:rFonts w:ascii="Arial" w:eastAsia="宋体" w:hAnsi="Arial" w:cs="Arial"/>
          <w:color w:val="000000"/>
          <w:sz w:val="20"/>
          <w:szCs w:val="20"/>
        </w:rPr>
        <w:t>sionally and seriously.</w:t>
      </w:r>
    </w:p>
    <w:p w14:paraId="5F2C9BDB" w14:textId="77777777" w:rsidR="00E836FB" w:rsidRDefault="00994958">
      <w:pPr>
        <w:spacing w:before="90"/>
        <w:jc w:val="both"/>
        <w:textAlignment w:val="top"/>
      </w:pPr>
      <w:r>
        <w:rPr>
          <w:rFonts w:ascii="Arial" w:eastAsia="宋体" w:hAnsi="Arial" w:cs="Arial"/>
          <w:b/>
          <w:bCs/>
          <w:color w:val="000000"/>
          <w:sz w:val="20"/>
          <w:szCs w:val="20"/>
        </w:rPr>
        <w:t>Attracting and Retaining Top Talent</w:t>
      </w:r>
    </w:p>
    <w:p w14:paraId="5F2C9BDC" w14:textId="77777777" w:rsidR="00E836FB" w:rsidRDefault="00994958">
      <w:pPr>
        <w:ind w:firstLine="450"/>
        <w:jc w:val="both"/>
        <w:textAlignment w:val="top"/>
      </w:pPr>
      <w:r>
        <w:rPr>
          <w:rFonts w:ascii="Arial" w:eastAsia="宋体" w:hAnsi="Arial" w:cs="Arial"/>
          <w:color w:val="000000"/>
          <w:sz w:val="20"/>
          <w:szCs w:val="20"/>
        </w:rPr>
        <w:t>Attracting and retaining top talent is critical to our business strategy, especially in particularly competitive labor markets, such as the environment in 2021. As such, we carefully monitor our h</w:t>
      </w:r>
      <w:r>
        <w:rPr>
          <w:rFonts w:ascii="Arial" w:eastAsia="宋体" w:hAnsi="Arial" w:cs="Arial"/>
          <w:color w:val="000000"/>
          <w:sz w:val="20"/>
          <w:szCs w:val="20"/>
        </w:rPr>
        <w:t>iring, promotion and turnover rates and implement programs to help retain our best employees. For example, we saw an opportunity to correct an imbalance in the competitiveness of our compensation program by accelerating expenses associated with certain def</w:t>
      </w:r>
      <w:r>
        <w:rPr>
          <w:rFonts w:ascii="Arial" w:eastAsia="宋体" w:hAnsi="Arial" w:cs="Arial"/>
          <w:color w:val="000000"/>
          <w:sz w:val="20"/>
          <w:szCs w:val="20"/>
        </w:rPr>
        <w:t xml:space="preserve">erred cash incentive awards in the fourth quarter of 2021. This change will allow us to realign the mix of immediate versus deferred cash in our incentive compensation awards in future periods, which will make our pay practices more competitive and enable </w:t>
      </w:r>
      <w:r>
        <w:rPr>
          <w:rFonts w:ascii="Arial" w:eastAsia="宋体" w:hAnsi="Arial" w:cs="Arial"/>
          <w:color w:val="000000"/>
          <w:sz w:val="20"/>
          <w:szCs w:val="20"/>
        </w:rPr>
        <w:t>us to better attract talent in an increasingly tight talent market. Our mix of deferred equity remains unchanged. We also continue to see success redeploying employees via the internal talent marketplace that we launched during 2020. The talent marketplace</w:t>
      </w:r>
      <w:r>
        <w:rPr>
          <w:rFonts w:ascii="Arial" w:eastAsia="宋体" w:hAnsi="Arial" w:cs="Arial"/>
          <w:color w:val="000000"/>
          <w:sz w:val="20"/>
          <w:szCs w:val="20"/>
        </w:rPr>
        <w:t xml:space="preserve"> is an innovative way for our employees to access new roles, skills and opportunities, and for managers to recruit internal talent. By broadening every employee’s access to roles and by showing managers the full breadth of talent at State Street, our goal </w:t>
      </w:r>
      <w:r>
        <w:rPr>
          <w:rFonts w:ascii="Arial" w:eastAsia="宋体" w:hAnsi="Arial" w:cs="Arial"/>
          <w:color w:val="000000"/>
          <w:sz w:val="20"/>
          <w:szCs w:val="20"/>
        </w:rPr>
        <w:t>is to provide better pathways to long-term career success at State Street for all employees.</w:t>
      </w:r>
    </w:p>
    <w:p w14:paraId="5F2C9BDD" w14:textId="77777777" w:rsidR="00E836FB" w:rsidRDefault="00994958">
      <w:pPr>
        <w:spacing w:before="60"/>
        <w:ind w:firstLine="450"/>
        <w:jc w:val="both"/>
        <w:textAlignment w:val="top"/>
      </w:pPr>
      <w:r>
        <w:rPr>
          <w:rFonts w:ascii="Arial" w:eastAsia="宋体" w:hAnsi="Arial" w:cs="Arial"/>
          <w:color w:val="000000"/>
          <w:sz w:val="20"/>
          <w:szCs w:val="20"/>
        </w:rPr>
        <w:t>We regularly monitor our compensation program to maintain competitiveness. Our overall aim with respect to compensation is to reward and motivate high-performing e</w:t>
      </w:r>
      <w:r>
        <w:rPr>
          <w:rFonts w:ascii="Arial" w:eastAsia="宋体" w:hAnsi="Arial" w:cs="Arial"/>
          <w:color w:val="000000"/>
          <w:sz w:val="20"/>
          <w:szCs w:val="20"/>
        </w:rPr>
        <w:t xml:space="preserve">mployees and to provide competitive incentive opportunities, encouraging </w:t>
      </w:r>
    </w:p>
    <w:p w14:paraId="5F2C9BDE" w14:textId="77777777" w:rsidR="00E836FB" w:rsidRDefault="00994958">
      <w:pPr>
        <w:spacing w:before="60"/>
        <w:jc w:val="both"/>
        <w:textAlignment w:val="top"/>
      </w:pPr>
      <w:r>
        <w:rPr>
          <w:rFonts w:ascii="Arial" w:eastAsia="宋体" w:hAnsi="Arial" w:cs="Arial"/>
          <w:color w:val="000000"/>
          <w:sz w:val="20"/>
          <w:szCs w:val="20"/>
        </w:rPr>
        <w:t>employees to learn and grow in their careers. Compensation typically comprises fixed compensation, which reflects individual skills and abilities relative to role requirements, and v</w:t>
      </w:r>
      <w:r>
        <w:rPr>
          <w:rFonts w:ascii="Arial" w:eastAsia="宋体" w:hAnsi="Arial" w:cs="Arial"/>
          <w:color w:val="000000"/>
          <w:sz w:val="20"/>
          <w:szCs w:val="20"/>
        </w:rPr>
        <w:t xml:space="preserve">ariable compensation, which is designed to link total compensation opportunities to organizational, business line, risk management and individual performance. Our compensation program is intended to drive our business strategy by differentiating pay based </w:t>
      </w:r>
      <w:r>
        <w:rPr>
          <w:rFonts w:ascii="Arial" w:eastAsia="宋体" w:hAnsi="Arial" w:cs="Arial"/>
          <w:color w:val="000000"/>
          <w:sz w:val="20"/>
          <w:szCs w:val="20"/>
        </w:rPr>
        <w:t>on performance against annual objectives.</w:t>
      </w:r>
    </w:p>
    <w:p w14:paraId="5F2C9BDF" w14:textId="77777777" w:rsidR="00E836FB" w:rsidRDefault="00994958">
      <w:pPr>
        <w:spacing w:before="60"/>
        <w:ind w:firstLine="450"/>
        <w:jc w:val="both"/>
        <w:textAlignment w:val="top"/>
      </w:pPr>
      <w:r>
        <w:rPr>
          <w:rFonts w:ascii="Arial" w:eastAsia="宋体" w:hAnsi="Arial" w:cs="Arial"/>
          <w:color w:val="000000"/>
          <w:sz w:val="20"/>
          <w:szCs w:val="20"/>
        </w:rPr>
        <w:t>Professional development and employee learning are also key elements of our talent retention strategy. We seek to align our learning and development programs with our corporate strategy by offering skills enhanceme</w:t>
      </w:r>
      <w:r>
        <w:rPr>
          <w:rFonts w:ascii="Arial" w:eastAsia="宋体" w:hAnsi="Arial" w:cs="Arial"/>
          <w:color w:val="000000"/>
          <w:sz w:val="20"/>
          <w:szCs w:val="20"/>
        </w:rPr>
        <w:t>nt addressing the rapidly changing, technology-centric demands of the financial services industry. We also provide professional development opportunities and new roles for key talent, which we believe helps to deepen our employees’ skillsets and provides t</w:t>
      </w:r>
      <w:r>
        <w:rPr>
          <w:rFonts w:ascii="Arial" w:eastAsia="宋体" w:hAnsi="Arial" w:cs="Arial"/>
          <w:color w:val="000000"/>
          <w:sz w:val="20"/>
          <w:szCs w:val="20"/>
        </w:rPr>
        <w:t>hem with a broader perspective on the company.</w:t>
      </w:r>
    </w:p>
    <w:p w14:paraId="5F2C9BE0" w14:textId="77777777" w:rsidR="00E836FB" w:rsidRDefault="00994958">
      <w:pPr>
        <w:spacing w:before="90"/>
        <w:jc w:val="both"/>
        <w:textAlignment w:val="top"/>
      </w:pPr>
      <w:r>
        <w:rPr>
          <w:rFonts w:ascii="Arial" w:eastAsia="宋体" w:hAnsi="Arial" w:cs="Arial"/>
          <w:b/>
          <w:bCs/>
          <w:color w:val="000000"/>
          <w:sz w:val="20"/>
          <w:szCs w:val="20"/>
        </w:rPr>
        <w:t xml:space="preserve">Inclusion, Diversity and Equity </w:t>
      </w:r>
    </w:p>
    <w:p w14:paraId="5F2C9BE1" w14:textId="77777777" w:rsidR="00E836FB" w:rsidRDefault="00994958">
      <w:pPr>
        <w:spacing w:before="60"/>
        <w:ind w:firstLine="450"/>
        <w:jc w:val="both"/>
        <w:textAlignment w:val="top"/>
      </w:pPr>
      <w:r>
        <w:rPr>
          <w:rFonts w:ascii="Arial" w:eastAsia="宋体" w:hAnsi="Arial" w:cs="Arial"/>
          <w:color w:val="000000"/>
          <w:sz w:val="20"/>
          <w:szCs w:val="20"/>
        </w:rPr>
        <w:t>Inclusion, diversity and equity have long been a focus for our company and we are working to accelerate progress via our “10 Actions Against Racism and Inequality,” which we an</w:t>
      </w:r>
      <w:r>
        <w:rPr>
          <w:rFonts w:ascii="Arial" w:eastAsia="宋体" w:hAnsi="Arial" w:cs="Arial"/>
          <w:color w:val="000000"/>
          <w:sz w:val="20"/>
          <w:szCs w:val="20"/>
        </w:rPr>
        <w:t>nounced in July 2020. These concrete actions, including specific goals to increase diverse representation among our senior leaders and our Board and increasing our spend with diverse suppliers, are intended to address racial and social injustice and inequi</w:t>
      </w:r>
      <w:r>
        <w:rPr>
          <w:rFonts w:ascii="Arial" w:eastAsia="宋体" w:hAnsi="Arial" w:cs="Arial"/>
          <w:color w:val="000000"/>
          <w:sz w:val="20"/>
          <w:szCs w:val="20"/>
        </w:rPr>
        <w:t>ty by improving inclusion and diversity within our own company and advocating for the same in our industry and communities. We believe that our strength comes from our diversity, including with respect to race, gender, LGBTQ+ identity, disability, and vete</w:t>
      </w:r>
      <w:r>
        <w:rPr>
          <w:rFonts w:ascii="Arial" w:eastAsia="宋体" w:hAnsi="Arial" w:cs="Arial"/>
          <w:color w:val="000000"/>
          <w:sz w:val="20"/>
          <w:szCs w:val="20"/>
        </w:rPr>
        <w:t>ran status, and that attracting and hiring the best person for the job is core to our ability to be an essential partner to our clients. We track our progress against the objectives outlined in the “10 Actions” and publicly share our progress on our websit</w:t>
      </w:r>
      <w:r>
        <w:rPr>
          <w:rFonts w:ascii="Arial" w:eastAsia="宋体" w:hAnsi="Arial" w:cs="Arial"/>
          <w:color w:val="000000"/>
          <w:sz w:val="20"/>
          <w:szCs w:val="20"/>
        </w:rPr>
        <w:t>e to help hold ourselves accountable.</w:t>
      </w:r>
    </w:p>
    <w:p w14:paraId="5F2C9BE2" w14:textId="77777777" w:rsidR="00E836FB" w:rsidRDefault="00994958">
      <w:pPr>
        <w:spacing w:before="60"/>
        <w:ind w:firstLine="450"/>
        <w:jc w:val="both"/>
        <w:textAlignment w:val="top"/>
      </w:pPr>
      <w:r>
        <w:rPr>
          <w:rFonts w:ascii="Arial" w:eastAsia="宋体" w:hAnsi="Arial" w:cs="Arial"/>
          <w:color w:val="000000"/>
          <w:sz w:val="20"/>
          <w:szCs w:val="20"/>
        </w:rPr>
        <w:t>At the end of 2021, our global workforce was 55% male and 45% female, and women represented 32% of our leadership (defined as senior vice president level and above). In the U.S., 34% of our workforce self-identified as</w:t>
      </w:r>
      <w:r>
        <w:rPr>
          <w:rFonts w:ascii="Arial" w:eastAsia="宋体" w:hAnsi="Arial" w:cs="Arial"/>
          <w:color w:val="000000"/>
          <w:sz w:val="20"/>
          <w:szCs w:val="20"/>
        </w:rPr>
        <w:t xml:space="preserve"> employees of color. We also publish our EEO-1 demographic data on our website. </w:t>
      </w:r>
    </w:p>
    <w:p w14:paraId="5F2C9BE3" w14:textId="77777777" w:rsidR="00E836FB" w:rsidRDefault="00994958">
      <w:pPr>
        <w:spacing w:before="90"/>
        <w:jc w:val="both"/>
        <w:textAlignment w:val="top"/>
      </w:pPr>
      <w:r>
        <w:rPr>
          <w:rFonts w:ascii="Arial" w:eastAsia="宋体" w:hAnsi="Arial" w:cs="Arial"/>
          <w:b/>
          <w:bCs/>
          <w:color w:val="000000"/>
          <w:sz w:val="20"/>
          <w:szCs w:val="20"/>
        </w:rPr>
        <w:t>Organizational Effectiveness</w:t>
      </w:r>
    </w:p>
    <w:p w14:paraId="5F2C9BE4" w14:textId="77777777" w:rsidR="00E836FB" w:rsidRDefault="00994958">
      <w:pPr>
        <w:spacing w:before="60"/>
        <w:ind w:firstLine="450"/>
        <w:jc w:val="both"/>
        <w:textAlignment w:val="top"/>
      </w:pPr>
      <w:r>
        <w:rPr>
          <w:rFonts w:ascii="Arial" w:eastAsia="宋体" w:hAnsi="Arial" w:cs="Arial"/>
          <w:color w:val="000000"/>
          <w:sz w:val="20"/>
          <w:szCs w:val="20"/>
        </w:rPr>
        <w:t>Driving improvements in both individual and organizational productivity is a key ongoing focus of our overall human capital management strategy. W</w:t>
      </w:r>
      <w:r>
        <w:rPr>
          <w:rFonts w:ascii="Arial" w:eastAsia="宋体" w:hAnsi="Arial" w:cs="Arial"/>
          <w:color w:val="000000"/>
          <w:sz w:val="20"/>
          <w:szCs w:val="20"/>
        </w:rPr>
        <w:t>e seek to enhance the value each employee is able to contribute by investing in new technologies, designing more effective organizational structures, improving processes and operating models, optimizing our global footprint, and aligning incentives to outc</w:t>
      </w:r>
      <w:r>
        <w:rPr>
          <w:rFonts w:ascii="Arial" w:eastAsia="宋体" w:hAnsi="Arial" w:cs="Arial"/>
          <w:color w:val="000000"/>
          <w:sz w:val="20"/>
          <w:szCs w:val="20"/>
        </w:rPr>
        <w:t xml:space="preserve">omes. </w:t>
      </w:r>
    </w:p>
    <w:p w14:paraId="5F2C9BE5" w14:textId="77777777" w:rsidR="00E836FB" w:rsidRDefault="00994958">
      <w:pPr>
        <w:ind w:firstLine="450"/>
        <w:jc w:val="right"/>
      </w:pPr>
      <w:r>
        <w:rPr>
          <w:rFonts w:ascii="Arial" w:eastAsia="宋体" w:hAnsi="Arial" w:cs="Arial"/>
          <w:color w:val="000000"/>
          <w:sz w:val="18"/>
          <w:szCs w:val="18"/>
        </w:rPr>
        <w:t>State Street Corporation | 9</w:t>
      </w:r>
    </w:p>
    <w:p w14:paraId="5F2C9BE6" w14:textId="77777777" w:rsidR="00E836FB" w:rsidRDefault="00E836FB">
      <w:pPr>
        <w:ind w:firstLine="450"/>
        <w:jc w:val="center"/>
      </w:pPr>
    </w:p>
    <w:p w14:paraId="5F2C9BE7" w14:textId="77777777" w:rsidR="00E836FB" w:rsidRDefault="00994958">
      <w:r>
        <w:pict w14:anchorId="5F2D6D8C">
          <v:rect id="_x0000_i1033" style="width:415.3pt;height:1.5pt" o:hralign="center" o:hrstd="t" o:hr="t" fillcolor="#a0a0a0" stroked="f"/>
        </w:pict>
      </w:r>
    </w:p>
    <w:p w14:paraId="5F2C9BE8" w14:textId="77777777" w:rsidR="00E836FB" w:rsidRDefault="00E836FB">
      <w:pPr>
        <w:ind w:firstLine="450"/>
      </w:pPr>
    </w:p>
    <w:p w14:paraId="5F2C9BE9" w14:textId="77777777" w:rsidR="00E836FB" w:rsidRDefault="00994958">
      <w:pPr>
        <w:spacing w:before="60"/>
        <w:jc w:val="both"/>
        <w:textAlignment w:val="top"/>
      </w:pPr>
      <w:r>
        <w:rPr>
          <w:rFonts w:ascii="Arial" w:eastAsia="宋体" w:hAnsi="Arial" w:cs="Arial"/>
          <w:color w:val="000000"/>
          <w:sz w:val="20"/>
          <w:szCs w:val="20"/>
        </w:rPr>
        <w:t xml:space="preserve">We believe that improving the productivity of our workforce will yield more engaged and higher performing employees and optimize our ability to service our clients, grow revenues and improve operating margin </w:t>
      </w:r>
      <w:r>
        <w:rPr>
          <w:rFonts w:ascii="Arial" w:eastAsia="宋体" w:hAnsi="Arial" w:cs="Arial"/>
          <w:color w:val="000000"/>
          <w:sz w:val="20"/>
          <w:szCs w:val="20"/>
        </w:rPr>
        <w:t>performance.</w:t>
      </w:r>
    </w:p>
    <w:p w14:paraId="5F2C9BEA" w14:textId="77777777" w:rsidR="00E836FB" w:rsidRDefault="00994958">
      <w:pPr>
        <w:spacing w:before="90"/>
        <w:jc w:val="both"/>
        <w:textAlignment w:val="top"/>
      </w:pPr>
      <w:r>
        <w:rPr>
          <w:rFonts w:ascii="Arial" w:eastAsia="宋体" w:hAnsi="Arial" w:cs="Arial"/>
          <w:b/>
          <w:bCs/>
          <w:color w:val="000000"/>
          <w:sz w:val="20"/>
          <w:szCs w:val="20"/>
        </w:rPr>
        <w:t>Community Engagement</w:t>
      </w:r>
    </w:p>
    <w:p w14:paraId="5F2C9BEB" w14:textId="77777777" w:rsidR="00E836FB" w:rsidRDefault="00994958">
      <w:pPr>
        <w:ind w:firstLine="450"/>
        <w:jc w:val="both"/>
        <w:textAlignment w:val="top"/>
      </w:pPr>
      <w:r>
        <w:rPr>
          <w:rFonts w:ascii="Arial" w:eastAsia="宋体" w:hAnsi="Arial" w:cs="Arial"/>
          <w:color w:val="000000"/>
          <w:sz w:val="20"/>
          <w:szCs w:val="20"/>
        </w:rPr>
        <w:t>We are proud of our impact on communities around the world through employee volunteering and the financial support that the State Street Foundation provides to non-profit organizations. We also manage a charitable board ma</w:t>
      </w:r>
      <w:r>
        <w:rPr>
          <w:rFonts w:ascii="Arial" w:eastAsia="宋体" w:hAnsi="Arial" w:cs="Arial"/>
          <w:color w:val="000000"/>
          <w:sz w:val="20"/>
          <w:szCs w:val="20"/>
        </w:rPr>
        <w:t>tching program, providing training and support for State Street employees to serve as members of boards of directors of charitable organizations, and a matching gifts program, recognizing the contributions of employees by monetizing volunteer time, matchin</w:t>
      </w:r>
      <w:r>
        <w:rPr>
          <w:rFonts w:ascii="Arial" w:eastAsia="宋体" w:hAnsi="Arial" w:cs="Arial"/>
          <w:color w:val="000000"/>
          <w:sz w:val="20"/>
          <w:szCs w:val="20"/>
        </w:rPr>
        <w:t>g donations and supporting employee fundraising efforts. Our skills-based volunteer program gives employees the opportunity to strengthen their communities while also developing their professional skills in alignment with our overall human capital manageme</w:t>
      </w:r>
      <w:r>
        <w:rPr>
          <w:rFonts w:ascii="Arial" w:eastAsia="宋体" w:hAnsi="Arial" w:cs="Arial"/>
          <w:color w:val="000000"/>
          <w:sz w:val="20"/>
          <w:szCs w:val="20"/>
        </w:rPr>
        <w:t>nt strategy. We recognize that being a good corporate citizen drives employee engagement, enhances our reputation with clients and potential employees, improves brand recognition and builds public trust.</w:t>
      </w:r>
    </w:p>
    <w:p w14:paraId="5F2C9BEC" w14:textId="77777777" w:rsidR="00E836FB" w:rsidRDefault="00994958">
      <w:pPr>
        <w:spacing w:before="90"/>
        <w:jc w:val="both"/>
        <w:textAlignment w:val="top"/>
      </w:pPr>
      <w:r>
        <w:rPr>
          <w:rFonts w:ascii="Arial" w:eastAsia="宋体" w:hAnsi="Arial" w:cs="Arial"/>
          <w:b/>
          <w:bCs/>
          <w:color w:val="000000"/>
          <w:sz w:val="20"/>
          <w:szCs w:val="20"/>
        </w:rPr>
        <w:t>SUPERVISION AND REGULATION</w:t>
      </w:r>
    </w:p>
    <w:p w14:paraId="5F2C9BED" w14:textId="77777777" w:rsidR="00E836FB" w:rsidRDefault="00994958">
      <w:pPr>
        <w:spacing w:before="60"/>
        <w:ind w:firstLine="450"/>
        <w:jc w:val="both"/>
        <w:textAlignment w:val="top"/>
      </w:pPr>
      <w:r>
        <w:rPr>
          <w:rFonts w:ascii="Arial" w:eastAsia="宋体" w:hAnsi="Arial" w:cs="Arial"/>
          <w:color w:val="000000"/>
          <w:sz w:val="20"/>
          <w:szCs w:val="20"/>
        </w:rPr>
        <w:t>We are registered with th</w:t>
      </w:r>
      <w:r>
        <w:rPr>
          <w:rFonts w:ascii="Arial" w:eastAsia="宋体" w:hAnsi="Arial" w:cs="Arial"/>
          <w:color w:val="000000"/>
          <w:sz w:val="20"/>
          <w:szCs w:val="20"/>
        </w:rPr>
        <w:t>e Federal Reserve as a bank holding company pursuant to the Bank Holding Company Act of 1956. The Bank Holding Company Act generally limits the activities in which bank holding companies and their non-banking subsidiaries may engage to managing or controll</w:t>
      </w:r>
      <w:r>
        <w:rPr>
          <w:rFonts w:ascii="Arial" w:eastAsia="宋体" w:hAnsi="Arial" w:cs="Arial"/>
          <w:color w:val="000000"/>
          <w:sz w:val="20"/>
          <w:szCs w:val="20"/>
        </w:rPr>
        <w:t>ing banks and to a range of activities that are considered to be closely related to banking. Bank holding companies that have elected to be treated as financial holding companies, such as the Parent Company, may engage in a broader range of activities cons</w:t>
      </w:r>
      <w:r>
        <w:rPr>
          <w:rFonts w:ascii="Arial" w:eastAsia="宋体" w:hAnsi="Arial" w:cs="Arial"/>
          <w:color w:val="000000"/>
          <w:sz w:val="20"/>
          <w:szCs w:val="20"/>
        </w:rPr>
        <w:t>idered to be "financial in nature." The regulatory limits on our activities also apply to non-banking entities that we are deemed to “control” for purposes of the Bank Holding Company Act, which may include companies of which we own or control 5% or more o</w:t>
      </w:r>
      <w:r>
        <w:rPr>
          <w:rFonts w:ascii="Arial" w:eastAsia="宋体" w:hAnsi="Arial" w:cs="Arial"/>
          <w:color w:val="000000"/>
          <w:sz w:val="20"/>
          <w:szCs w:val="20"/>
        </w:rPr>
        <w:t xml:space="preserve">f a class of voting shares. The Federal Reserve may order a bank holding company to terminate any activity, or its ownership or control of a non-banking subsidiary, if the Federal Reserve finds that the activity, ownership or control constitutes a serious </w:t>
      </w:r>
      <w:r>
        <w:rPr>
          <w:rFonts w:ascii="Arial" w:eastAsia="宋体" w:hAnsi="Arial" w:cs="Arial"/>
          <w:color w:val="000000"/>
          <w:sz w:val="20"/>
          <w:szCs w:val="20"/>
        </w:rPr>
        <w:t>risk to the financial safety, soundness or stability of a banking subsidiary or is inconsistent with sound banking principles or statutory purposes. The Bank Holding Company Act also requires a bank holding company to obtain prior approval of the Federal R</w:t>
      </w:r>
      <w:r>
        <w:rPr>
          <w:rFonts w:ascii="Arial" w:eastAsia="宋体" w:hAnsi="Arial" w:cs="Arial"/>
          <w:color w:val="000000"/>
          <w:sz w:val="20"/>
          <w:szCs w:val="20"/>
        </w:rPr>
        <w:t>eserve before it acquires substantially all the assets of any bank, or ownership or control of more than 5% of the voting shares of any bank.</w:t>
      </w:r>
    </w:p>
    <w:p w14:paraId="5F2C9BEE" w14:textId="77777777" w:rsidR="00E836FB" w:rsidRDefault="00994958">
      <w:pPr>
        <w:spacing w:before="60"/>
        <w:ind w:firstLine="450"/>
        <w:jc w:val="both"/>
        <w:textAlignment w:val="top"/>
      </w:pPr>
      <w:r>
        <w:rPr>
          <w:rFonts w:ascii="Arial" w:eastAsia="宋体" w:hAnsi="Arial" w:cs="Arial"/>
          <w:color w:val="000000"/>
          <w:sz w:val="20"/>
          <w:szCs w:val="20"/>
        </w:rPr>
        <w:t xml:space="preserve">The Parent Company has elected to be treated as a financial holding company and, as such, may engage in a broader </w:t>
      </w:r>
      <w:r>
        <w:rPr>
          <w:rFonts w:ascii="Arial" w:eastAsia="宋体" w:hAnsi="Arial" w:cs="Arial"/>
          <w:color w:val="000000"/>
          <w:sz w:val="20"/>
          <w:szCs w:val="20"/>
        </w:rPr>
        <w:t xml:space="preserve">range of non-banking activities </w:t>
      </w:r>
    </w:p>
    <w:p w14:paraId="5F2C9BEF" w14:textId="77777777" w:rsidR="00E836FB" w:rsidRDefault="00994958">
      <w:pPr>
        <w:spacing w:before="60"/>
        <w:jc w:val="both"/>
        <w:textAlignment w:val="top"/>
      </w:pPr>
      <w:r>
        <w:rPr>
          <w:rFonts w:ascii="Arial" w:eastAsia="宋体" w:hAnsi="Arial" w:cs="Arial"/>
          <w:color w:val="000000"/>
          <w:sz w:val="20"/>
          <w:szCs w:val="20"/>
        </w:rPr>
        <w:t xml:space="preserve">than permitted for bank holding companies and their subsidiaries that have not elected to become financial holding companies. Financial holding companies may engage directly or indirectly, either de novo or by acquisition, </w:t>
      </w:r>
      <w:r>
        <w:rPr>
          <w:rFonts w:ascii="Arial" w:eastAsia="宋体" w:hAnsi="Arial" w:cs="Arial"/>
          <w:color w:val="000000"/>
          <w:sz w:val="20"/>
          <w:szCs w:val="20"/>
        </w:rPr>
        <w:t>in activities that are defined by the Federal Reserve to be financial in nature, provided that the financial holding company gives the Federal Reserve after-the-fact notice of the new activities. Activities defined to be financial in nature include, but ar</w:t>
      </w:r>
      <w:r>
        <w:rPr>
          <w:rFonts w:ascii="Arial" w:eastAsia="宋体" w:hAnsi="Arial" w:cs="Arial"/>
          <w:color w:val="000000"/>
          <w:sz w:val="20"/>
          <w:szCs w:val="20"/>
        </w:rPr>
        <w:t xml:space="preserve">e not limited to: providing financial or investment advice; underwriting; dealing in or making markets in securities; making merchant banking investments, subject to significant limitations; and any activities previously found by the Federal Reserve to be </w:t>
      </w:r>
      <w:r>
        <w:rPr>
          <w:rFonts w:ascii="Arial" w:eastAsia="宋体" w:hAnsi="Arial" w:cs="Arial"/>
          <w:color w:val="000000"/>
          <w:sz w:val="20"/>
          <w:szCs w:val="20"/>
        </w:rPr>
        <w:t>closely related to banking. In order to maintain our status as a financial holding company, we and each of our U.S. depository institution subsidiaries are expected to be well capitalized and well managed, as defined in applicable regulations and determine</w:t>
      </w:r>
      <w:r>
        <w:rPr>
          <w:rFonts w:ascii="Arial" w:eastAsia="宋体" w:hAnsi="Arial" w:cs="Arial"/>
          <w:color w:val="000000"/>
          <w:sz w:val="20"/>
          <w:szCs w:val="20"/>
        </w:rPr>
        <w:t>d in part by the results of regulatory examinations, and must comply with Community Reinvestment Act obligations. Failure to maintain these standards may result in restrictions on our activities and may ultimately permit the Federal Reserve to take enforce</w:t>
      </w:r>
      <w:r>
        <w:rPr>
          <w:rFonts w:ascii="Arial" w:eastAsia="宋体" w:hAnsi="Arial" w:cs="Arial"/>
          <w:color w:val="000000"/>
          <w:sz w:val="20"/>
          <w:szCs w:val="20"/>
        </w:rPr>
        <w:t>ment actions against us and restrict our ability to engage in activities defined to be financial in nature. Currently, under the Bank Holding Company Act, we may not be able to engage in new activities or acquire shares or control of other businesses.</w:t>
      </w:r>
    </w:p>
    <w:p w14:paraId="5F2C9BF0" w14:textId="77777777" w:rsidR="00E836FB" w:rsidRDefault="00994958">
      <w:pPr>
        <w:spacing w:before="60"/>
        <w:ind w:firstLine="450"/>
        <w:jc w:val="both"/>
        <w:textAlignment w:val="top"/>
      </w:pPr>
      <w:r>
        <w:rPr>
          <w:rFonts w:ascii="Arial" w:eastAsia="宋体" w:hAnsi="Arial" w:cs="Arial"/>
          <w:color w:val="000000"/>
          <w:sz w:val="20"/>
          <w:szCs w:val="20"/>
        </w:rPr>
        <w:t>In r</w:t>
      </w:r>
      <w:r>
        <w:rPr>
          <w:rFonts w:ascii="Arial" w:eastAsia="宋体" w:hAnsi="Arial" w:cs="Arial"/>
          <w:color w:val="000000"/>
          <w:sz w:val="20"/>
          <w:szCs w:val="20"/>
        </w:rPr>
        <w:t>esponse to the 2008 financial crisis, as well as other factors, such as technological and market changes, both the scope of the laws and regulations and the intensity of the supervision to which our business is subject has increased. Regulatory enforcement</w:t>
      </w:r>
      <w:r>
        <w:rPr>
          <w:rFonts w:ascii="Arial" w:eastAsia="宋体" w:hAnsi="Arial" w:cs="Arial"/>
          <w:color w:val="000000"/>
          <w:sz w:val="20"/>
          <w:szCs w:val="20"/>
        </w:rPr>
        <w:t xml:space="preserve"> and fines have also increased across the banking and financial services sector. Many of these changes have occurred as a result of the Dodd-Frank Act and its implementing regulations, most of which are now in place. Subsequently, in May 2018, the Economic</w:t>
      </w:r>
      <w:r>
        <w:rPr>
          <w:rFonts w:ascii="Arial" w:eastAsia="宋体" w:hAnsi="Arial" w:cs="Arial"/>
          <w:color w:val="000000"/>
          <w:sz w:val="20"/>
          <w:szCs w:val="20"/>
        </w:rPr>
        <w:t xml:space="preserve"> Growth, Regulatory Relief and Consumer Protection Act (EGRRCPA) was enacted. The EGRRCPA’s revisions to the U.S. financial regulatory framework have altered certain laws and regulations applicable to us and other major financial services firms. Under the </w:t>
      </w:r>
      <w:r>
        <w:rPr>
          <w:rFonts w:ascii="Arial" w:eastAsia="宋体" w:hAnsi="Arial" w:cs="Arial"/>
          <w:color w:val="000000"/>
          <w:sz w:val="20"/>
          <w:szCs w:val="20"/>
        </w:rPr>
        <w:t>current administration, changes in key personnel at the agencies that regulate such banking organizations, including the federal banking agencies, may result in increased prudential and conduct oversight, more extensive regulatory requirements, changing in</w:t>
      </w:r>
      <w:r>
        <w:rPr>
          <w:rFonts w:ascii="Arial" w:eastAsia="宋体" w:hAnsi="Arial" w:cs="Arial"/>
          <w:color w:val="000000"/>
          <w:sz w:val="20"/>
          <w:szCs w:val="20"/>
        </w:rPr>
        <w:t>terpretations of existing rules and guidelines, and potentially more stringent enforcement and more severe penalties. Irrespective of any regulatory change, we expect that our business will remain subject to extensive regulation and supervision.</w:t>
      </w:r>
    </w:p>
    <w:p w14:paraId="5F2C9BF1" w14:textId="77777777" w:rsidR="00E836FB" w:rsidRDefault="00994958">
      <w:pPr>
        <w:spacing w:before="60"/>
        <w:ind w:firstLine="450"/>
        <w:jc w:val="both"/>
        <w:textAlignment w:val="top"/>
      </w:pPr>
      <w:r>
        <w:rPr>
          <w:rFonts w:ascii="Arial" w:eastAsia="宋体" w:hAnsi="Arial" w:cs="Arial"/>
          <w:color w:val="000000"/>
          <w:sz w:val="20"/>
          <w:szCs w:val="20"/>
        </w:rPr>
        <w:t>In additio</w:t>
      </w:r>
      <w:r>
        <w:rPr>
          <w:rFonts w:ascii="Arial" w:eastAsia="宋体" w:hAnsi="Arial" w:cs="Arial"/>
          <w:color w:val="000000"/>
          <w:sz w:val="20"/>
          <w:szCs w:val="20"/>
        </w:rPr>
        <w:t xml:space="preserve">n, increased regulatory requirements and initiatives have been and are being implemented internationally with respect to financial institutions, </w:t>
      </w:r>
    </w:p>
    <w:p w14:paraId="5F2C9BF2" w14:textId="77777777" w:rsidR="00E836FB" w:rsidRDefault="00994958">
      <w:pPr>
        <w:ind w:firstLine="450"/>
        <w:jc w:val="right"/>
      </w:pPr>
      <w:r>
        <w:rPr>
          <w:rFonts w:ascii="Arial" w:eastAsia="宋体" w:hAnsi="Arial" w:cs="Arial"/>
          <w:color w:val="000000"/>
          <w:sz w:val="18"/>
          <w:szCs w:val="18"/>
        </w:rPr>
        <w:t>State Street Corporation | 10</w:t>
      </w:r>
    </w:p>
    <w:p w14:paraId="5F2C9BF3" w14:textId="77777777" w:rsidR="00E836FB" w:rsidRDefault="00E836FB">
      <w:pPr>
        <w:ind w:firstLine="450"/>
        <w:jc w:val="center"/>
      </w:pPr>
    </w:p>
    <w:p w14:paraId="5F2C9BF4" w14:textId="77777777" w:rsidR="00E836FB" w:rsidRDefault="00994958">
      <w:r>
        <w:pict w14:anchorId="5F2D6D8D">
          <v:rect id="_x0000_i1034" style="width:415.3pt;height:1.5pt" o:hralign="center" o:hrstd="t" o:hr="t" fillcolor="#a0a0a0" stroked="f"/>
        </w:pict>
      </w:r>
    </w:p>
    <w:p w14:paraId="5F2C9BF5" w14:textId="77777777" w:rsidR="00E836FB" w:rsidRDefault="00E836FB">
      <w:pPr>
        <w:ind w:firstLine="450"/>
      </w:pPr>
    </w:p>
    <w:p w14:paraId="5F2C9BF6" w14:textId="77777777" w:rsidR="00E836FB" w:rsidRDefault="00994958">
      <w:pPr>
        <w:spacing w:before="60"/>
        <w:jc w:val="both"/>
        <w:textAlignment w:val="top"/>
      </w:pPr>
      <w:r>
        <w:rPr>
          <w:rFonts w:ascii="Arial" w:eastAsia="宋体" w:hAnsi="Arial" w:cs="Arial"/>
          <w:color w:val="000000"/>
          <w:sz w:val="20"/>
          <w:szCs w:val="20"/>
        </w:rPr>
        <w:t>including the implementation of the Basel III rule (refer to “Regulatory Cap</w:t>
      </w:r>
      <w:r>
        <w:rPr>
          <w:rFonts w:ascii="Arial" w:eastAsia="宋体" w:hAnsi="Arial" w:cs="Arial"/>
          <w:color w:val="000000"/>
          <w:sz w:val="20"/>
          <w:szCs w:val="20"/>
        </w:rPr>
        <w:t>ital Adequacy and Liquidity Standards” in this “Supervision and Regulation” section and under "Capital" in “Financial Condition” in our Management's Discussion and Analysis in this Form 10-K for a discussion of Basel III), the European Commission’s Investm</w:t>
      </w:r>
      <w:r>
        <w:rPr>
          <w:rFonts w:ascii="Arial" w:eastAsia="宋体" w:hAnsi="Arial" w:cs="Arial"/>
          <w:color w:val="000000"/>
          <w:sz w:val="20"/>
          <w:szCs w:val="20"/>
        </w:rPr>
        <w:t>ent Firm Review and Central Securities Depositories Regulation, as well as proposals for amending the Alternative Investment Fund Managers Directive and under the Capital Markets Union Action Plan.</w:t>
      </w:r>
    </w:p>
    <w:p w14:paraId="5F2C9BF7" w14:textId="77777777" w:rsidR="00E836FB" w:rsidRDefault="00994958">
      <w:pPr>
        <w:spacing w:before="60"/>
        <w:ind w:firstLine="450"/>
        <w:jc w:val="both"/>
        <w:textAlignment w:val="top"/>
      </w:pPr>
      <w:r>
        <w:rPr>
          <w:rFonts w:ascii="Arial" w:eastAsia="宋体" w:hAnsi="Arial" w:cs="Arial"/>
          <w:color w:val="000000"/>
          <w:sz w:val="20"/>
          <w:szCs w:val="20"/>
        </w:rPr>
        <w:t xml:space="preserve">Many aspects of our business are subject to regulation by </w:t>
      </w:r>
      <w:r>
        <w:rPr>
          <w:rFonts w:ascii="Arial" w:eastAsia="宋体" w:hAnsi="Arial" w:cs="Arial"/>
          <w:color w:val="000000"/>
          <w:sz w:val="20"/>
          <w:szCs w:val="20"/>
        </w:rPr>
        <w:t>other U.S. federal and state governmental and regulatory agencies and self-regulatory organizations (including securities exchanges), and by non-U.S. governmental and regulatory agencies and self-regulatory organizations. Some aspects of our public disclos</w:t>
      </w:r>
      <w:r>
        <w:rPr>
          <w:rFonts w:ascii="Arial" w:eastAsia="宋体" w:hAnsi="Arial" w:cs="Arial"/>
          <w:color w:val="000000"/>
          <w:sz w:val="20"/>
          <w:szCs w:val="20"/>
        </w:rPr>
        <w:t>ure, corporate governance principles and internal control systems are subject to the Sarbanes-Oxley Act of 2002 (SOX), the Dodd-Frank Act and regulations and rules of the SEC and the New York Stock Exchange.</w:t>
      </w:r>
    </w:p>
    <w:p w14:paraId="5F2C9BF8" w14:textId="77777777" w:rsidR="00E836FB" w:rsidRDefault="00994958">
      <w:pPr>
        <w:spacing w:before="90"/>
        <w:jc w:val="both"/>
        <w:textAlignment w:val="top"/>
      </w:pPr>
      <w:r>
        <w:rPr>
          <w:rFonts w:ascii="Arial" w:eastAsia="宋体" w:hAnsi="Arial" w:cs="Arial"/>
          <w:b/>
          <w:bCs/>
          <w:color w:val="000000"/>
          <w:sz w:val="20"/>
          <w:szCs w:val="20"/>
        </w:rPr>
        <w:t xml:space="preserve">Regulatory Capital Adequacy and </w:t>
      </w:r>
      <w:r>
        <w:rPr>
          <w:rFonts w:ascii="Arial" w:eastAsia="宋体" w:hAnsi="Arial" w:cs="Arial"/>
          <w:b/>
          <w:bCs/>
          <w:color w:val="000000"/>
          <w:sz w:val="20"/>
          <w:szCs w:val="20"/>
        </w:rPr>
        <w:t>Liquidity Standards</w:t>
      </w:r>
    </w:p>
    <w:p w14:paraId="5F2C9BF9" w14:textId="77777777" w:rsidR="00E836FB" w:rsidRDefault="00994958">
      <w:pPr>
        <w:spacing w:before="60"/>
        <w:jc w:val="both"/>
        <w:textAlignment w:val="top"/>
      </w:pPr>
      <w:r>
        <w:rPr>
          <w:rFonts w:ascii="Arial" w:eastAsia="宋体" w:hAnsi="Arial" w:cs="Arial"/>
          <w:b/>
          <w:bCs/>
          <w:i/>
          <w:iCs/>
          <w:color w:val="000000"/>
          <w:sz w:val="20"/>
          <w:szCs w:val="20"/>
        </w:rPr>
        <w:t>Basel III Rule</w:t>
      </w:r>
    </w:p>
    <w:p w14:paraId="5F2C9BFA" w14:textId="77777777" w:rsidR="00E836FB" w:rsidRDefault="00994958">
      <w:pPr>
        <w:spacing w:before="60"/>
        <w:ind w:firstLine="450"/>
        <w:jc w:val="both"/>
        <w:textAlignment w:val="top"/>
      </w:pPr>
      <w:r>
        <w:rPr>
          <w:rFonts w:ascii="Arial" w:eastAsia="宋体" w:hAnsi="Arial" w:cs="Arial"/>
          <w:color w:val="000000"/>
          <w:sz w:val="20"/>
          <w:szCs w:val="20"/>
        </w:rPr>
        <w:t>We, as an advanced approaches banking organization, are subject to the Basel III framework in the U.S. The provisions of the Basel III rule related to minimum capital requirements, regulatory capital buffers and deductions and adjustments to regulatory cap</w:t>
      </w:r>
      <w:r>
        <w:rPr>
          <w:rFonts w:ascii="Arial" w:eastAsia="宋体" w:hAnsi="Arial" w:cs="Arial"/>
          <w:color w:val="000000"/>
          <w:sz w:val="20"/>
          <w:szCs w:val="20"/>
        </w:rPr>
        <w:t xml:space="preserve">ital were fully implemented as of January 1, 2019. We are also subject to the market risk capital rule jointly issued by U.S. banking regulators to implement the changes to the market risk capital framework in the U.S. </w:t>
      </w:r>
    </w:p>
    <w:p w14:paraId="5F2C9BFB" w14:textId="77777777" w:rsidR="00E836FB" w:rsidRDefault="00994958">
      <w:pPr>
        <w:spacing w:before="60"/>
        <w:ind w:firstLine="450"/>
        <w:jc w:val="both"/>
        <w:textAlignment w:val="top"/>
      </w:pPr>
      <w:r>
        <w:rPr>
          <w:rFonts w:ascii="Arial" w:eastAsia="宋体" w:hAnsi="Arial" w:cs="Arial"/>
          <w:color w:val="000000"/>
          <w:sz w:val="20"/>
          <w:szCs w:val="20"/>
        </w:rPr>
        <w:t>As required by the Dodd-Frank Act, w</w:t>
      </w:r>
      <w:r>
        <w:rPr>
          <w:rFonts w:ascii="Arial" w:eastAsia="宋体" w:hAnsi="Arial" w:cs="Arial"/>
          <w:color w:val="000000"/>
          <w:sz w:val="20"/>
          <w:szCs w:val="20"/>
        </w:rPr>
        <w:t>e, as an advanced approaches banking organization, are subject to a "capital floor," also referred to as the Collins Amendment, in the assessment of our regulatory capital adequacy, including the capital conservation buffer and countercyclical capital buff</w:t>
      </w:r>
      <w:r>
        <w:rPr>
          <w:rFonts w:ascii="Arial" w:eastAsia="宋体" w:hAnsi="Arial" w:cs="Arial"/>
          <w:color w:val="000000"/>
          <w:sz w:val="20"/>
          <w:szCs w:val="20"/>
        </w:rPr>
        <w:t>er described below in this "Supervision and Regulation" section. Our risk-based capital ratios for regulatory assessment purposes are the lower of each ratio calculated under the standardized approach and the advanced approaches.</w:t>
      </w:r>
    </w:p>
    <w:p w14:paraId="5F2C9BFC" w14:textId="77777777" w:rsidR="00E836FB" w:rsidRDefault="00994958">
      <w:pPr>
        <w:spacing w:before="60"/>
        <w:jc w:val="both"/>
        <w:textAlignment w:val="top"/>
      </w:pPr>
      <w:r>
        <w:rPr>
          <w:rFonts w:ascii="Arial" w:eastAsia="宋体" w:hAnsi="Arial" w:cs="Arial"/>
          <w:i/>
          <w:iCs/>
          <w:color w:val="000000"/>
          <w:sz w:val="20"/>
          <w:szCs w:val="20"/>
        </w:rPr>
        <w:t>Risk Weighted Assets</w:t>
      </w:r>
    </w:p>
    <w:p w14:paraId="5F2C9BFD" w14:textId="77777777" w:rsidR="00E836FB" w:rsidRDefault="00994958">
      <w:pPr>
        <w:spacing w:before="60"/>
        <w:ind w:firstLine="450"/>
        <w:jc w:val="both"/>
        <w:textAlignment w:val="top"/>
      </w:pPr>
      <w:r>
        <w:rPr>
          <w:rFonts w:ascii="Arial" w:eastAsia="宋体" w:hAnsi="Arial" w:cs="Arial"/>
          <w:color w:val="000000"/>
          <w:sz w:val="20"/>
          <w:szCs w:val="20"/>
        </w:rPr>
        <w:t>The B</w:t>
      </w:r>
      <w:r>
        <w:rPr>
          <w:rFonts w:ascii="Arial" w:eastAsia="宋体" w:hAnsi="Arial" w:cs="Arial"/>
          <w:color w:val="000000"/>
          <w:sz w:val="20"/>
          <w:szCs w:val="20"/>
        </w:rPr>
        <w:t>asel III rule provides two frameworks for the calculation of RWA for purposes of bank regulatory compliance: the “standardized” approach and the “advanced” approaches, which are applicable to advanced approaches banking organizations, like us.</w:t>
      </w:r>
    </w:p>
    <w:p w14:paraId="5F2C9BFE" w14:textId="77777777" w:rsidR="00E836FB" w:rsidRDefault="00994958">
      <w:pPr>
        <w:spacing w:before="60"/>
        <w:ind w:firstLine="450"/>
        <w:jc w:val="both"/>
        <w:textAlignment w:val="top"/>
      </w:pPr>
      <w:r>
        <w:rPr>
          <w:rFonts w:ascii="Arial" w:eastAsia="宋体" w:hAnsi="Arial" w:cs="Arial"/>
          <w:color w:val="000000"/>
          <w:sz w:val="20"/>
          <w:szCs w:val="20"/>
        </w:rPr>
        <w:t>The standard</w:t>
      </w:r>
      <w:r>
        <w:rPr>
          <w:rFonts w:ascii="Arial" w:eastAsia="宋体" w:hAnsi="Arial" w:cs="Arial"/>
          <w:color w:val="000000"/>
          <w:sz w:val="20"/>
          <w:szCs w:val="20"/>
        </w:rPr>
        <w:t xml:space="preserve">ized approach prescribes standardized risk weights for certain on- and off-balance sheet exposures in the calculation of RWA. The advanced approaches consist of the Advanced </w:t>
      </w:r>
    </w:p>
    <w:p w14:paraId="5F2C9BFF" w14:textId="77777777" w:rsidR="00E836FB" w:rsidRDefault="00994958">
      <w:pPr>
        <w:spacing w:before="60"/>
        <w:jc w:val="both"/>
        <w:textAlignment w:val="top"/>
      </w:pPr>
      <w:r>
        <w:rPr>
          <w:rFonts w:ascii="Arial" w:eastAsia="宋体" w:hAnsi="Arial" w:cs="Arial"/>
          <w:color w:val="000000"/>
          <w:sz w:val="20"/>
          <w:szCs w:val="20"/>
        </w:rPr>
        <w:t>Internal Ratings-Based Approach (AIRB) used for the calculation of RWA related to</w:t>
      </w:r>
      <w:r>
        <w:rPr>
          <w:rFonts w:ascii="Arial" w:eastAsia="宋体" w:hAnsi="Arial" w:cs="Arial"/>
          <w:color w:val="000000"/>
          <w:sz w:val="20"/>
          <w:szCs w:val="20"/>
        </w:rPr>
        <w:t xml:space="preserve"> credit risk and the Advanced Measurement Approach (AMA) used for the calculation of RWA related to operational risk.</w:t>
      </w:r>
    </w:p>
    <w:p w14:paraId="5F2C9C00" w14:textId="77777777" w:rsidR="00E836FB" w:rsidRDefault="00994958">
      <w:pPr>
        <w:spacing w:before="60"/>
        <w:ind w:firstLine="450"/>
        <w:jc w:val="both"/>
        <w:textAlignment w:val="top"/>
      </w:pPr>
      <w:r>
        <w:rPr>
          <w:rFonts w:ascii="Arial" w:eastAsia="宋体" w:hAnsi="Arial" w:cs="Arial"/>
          <w:color w:val="000000"/>
          <w:sz w:val="20"/>
          <w:szCs w:val="20"/>
        </w:rPr>
        <w:t>In November 2019, the Federal Reserve and the other U.S. federal banking agencies (U.S. Agencies) issued a final rule that, among other th</w:t>
      </w:r>
      <w:r>
        <w:rPr>
          <w:rFonts w:ascii="Arial" w:eastAsia="宋体" w:hAnsi="Arial" w:cs="Arial"/>
          <w:color w:val="000000"/>
          <w:sz w:val="20"/>
          <w:szCs w:val="20"/>
        </w:rPr>
        <w:t>ings, implements the standardized approach for counterparty credit risk (SA-CCR), a methodology for calculating the exposure amount for derivative contracts. Under the final rule, beginning on January 1, 2022, we have the option to use the SA-CCR or the In</w:t>
      </w:r>
      <w:r>
        <w:rPr>
          <w:rFonts w:ascii="Arial" w:eastAsia="宋体" w:hAnsi="Arial" w:cs="Arial"/>
          <w:color w:val="000000"/>
          <w:sz w:val="20"/>
          <w:szCs w:val="20"/>
        </w:rPr>
        <w:t>ternal Model Methodology (IMM) to measure the exposure amount of our cleared and uncleared derivative transactions under our advanced approaches calculation. We have elected to use the SA-CCR for purposes of our advanced approaches capital calculations. Be</w:t>
      </w:r>
      <w:r>
        <w:rPr>
          <w:rFonts w:ascii="Arial" w:eastAsia="宋体" w:hAnsi="Arial" w:cs="Arial"/>
          <w:color w:val="000000"/>
          <w:sz w:val="20"/>
          <w:szCs w:val="20"/>
        </w:rPr>
        <w:t xml:space="preserve">ginning on January 1, 2022, we are required to determine the amount of these exposures using the SA-CCR under our standardized approach capital calculation. </w:t>
      </w:r>
    </w:p>
    <w:p w14:paraId="5F2C9C01" w14:textId="77777777" w:rsidR="00E836FB" w:rsidRDefault="00994958">
      <w:pPr>
        <w:spacing w:before="60"/>
        <w:jc w:val="both"/>
        <w:textAlignment w:val="top"/>
      </w:pPr>
      <w:r>
        <w:rPr>
          <w:rFonts w:ascii="Arial" w:eastAsia="宋体" w:hAnsi="Arial" w:cs="Arial"/>
          <w:i/>
          <w:iCs/>
          <w:color w:val="000000"/>
          <w:sz w:val="20"/>
          <w:szCs w:val="20"/>
        </w:rPr>
        <w:t>Minimum Risk-Based Capital Requirements</w:t>
      </w:r>
    </w:p>
    <w:p w14:paraId="5F2C9C02" w14:textId="77777777" w:rsidR="00E836FB" w:rsidRDefault="00994958">
      <w:pPr>
        <w:spacing w:before="60"/>
        <w:ind w:firstLine="450"/>
        <w:jc w:val="both"/>
        <w:textAlignment w:val="top"/>
      </w:pPr>
      <w:r>
        <w:rPr>
          <w:rFonts w:ascii="Arial" w:eastAsia="宋体" w:hAnsi="Arial" w:cs="Arial"/>
          <w:color w:val="000000"/>
          <w:sz w:val="20"/>
          <w:szCs w:val="20"/>
        </w:rPr>
        <w:t>Among other things, the Basel III rule (as amended) requir</w:t>
      </w:r>
      <w:r>
        <w:rPr>
          <w:rFonts w:ascii="Arial" w:eastAsia="宋体" w:hAnsi="Arial" w:cs="Arial"/>
          <w:color w:val="000000"/>
          <w:sz w:val="20"/>
          <w:szCs w:val="20"/>
        </w:rPr>
        <w:t>es:</w:t>
      </w:r>
    </w:p>
    <w:p w14:paraId="5F2C9C03" w14:textId="77777777" w:rsidR="00E836FB" w:rsidRDefault="00994958">
      <w:pPr>
        <w:spacing w:before="60"/>
        <w:ind w:hanging="360"/>
        <w:jc w:val="both"/>
        <w:textAlignment w:val="top"/>
      </w:pPr>
      <w:r>
        <w:rPr>
          <w:rFonts w:ascii="Arial" w:eastAsia="宋体" w:hAnsi="Arial" w:cs="Arial"/>
          <w:color w:val="000000"/>
          <w:sz w:val="20"/>
          <w:szCs w:val="20"/>
        </w:rPr>
        <w:t>•a minimum CET1 risk-based capital ratio of 4.5% and a minimum SLR of 3% for advanced approaches banking organizations;</w:t>
      </w:r>
    </w:p>
    <w:p w14:paraId="5F2C9C04" w14:textId="77777777" w:rsidR="00E836FB" w:rsidRDefault="00994958">
      <w:pPr>
        <w:spacing w:before="60"/>
        <w:ind w:hanging="360"/>
        <w:jc w:val="both"/>
        <w:textAlignment w:val="top"/>
      </w:pPr>
      <w:r>
        <w:rPr>
          <w:rFonts w:ascii="Arial" w:eastAsia="宋体" w:hAnsi="Arial" w:cs="Arial"/>
          <w:color w:val="000000"/>
          <w:sz w:val="20"/>
          <w:szCs w:val="20"/>
        </w:rPr>
        <w:t xml:space="preserve">•a minimum Tier 1 risk-based capital ratio of 6%; </w:t>
      </w:r>
    </w:p>
    <w:p w14:paraId="5F2C9C05" w14:textId="77777777" w:rsidR="00E836FB" w:rsidRDefault="00994958">
      <w:pPr>
        <w:spacing w:before="60"/>
        <w:ind w:hanging="360"/>
        <w:jc w:val="both"/>
        <w:textAlignment w:val="top"/>
      </w:pPr>
      <w:r>
        <w:rPr>
          <w:rFonts w:ascii="Arial" w:eastAsia="宋体" w:hAnsi="Arial" w:cs="Arial"/>
          <w:color w:val="000000"/>
          <w:sz w:val="20"/>
          <w:szCs w:val="20"/>
        </w:rPr>
        <w:t>•a minimum total capital ratio of 8%; and</w:t>
      </w:r>
    </w:p>
    <w:p w14:paraId="5F2C9C06" w14:textId="77777777" w:rsidR="00E836FB" w:rsidRDefault="00994958">
      <w:pPr>
        <w:spacing w:before="60"/>
        <w:ind w:hanging="360"/>
        <w:jc w:val="both"/>
        <w:textAlignment w:val="top"/>
      </w:pPr>
      <w:r>
        <w:rPr>
          <w:rFonts w:ascii="Arial" w:eastAsia="宋体" w:hAnsi="Arial" w:cs="Arial"/>
          <w:color w:val="000000"/>
          <w:sz w:val="20"/>
          <w:szCs w:val="20"/>
        </w:rPr>
        <w:t>•the stress capital and countercyclical</w:t>
      </w:r>
      <w:r>
        <w:rPr>
          <w:rFonts w:ascii="Arial" w:eastAsia="宋体" w:hAnsi="Arial" w:cs="Arial"/>
          <w:color w:val="000000"/>
          <w:sz w:val="20"/>
          <w:szCs w:val="20"/>
        </w:rPr>
        <w:t xml:space="preserve"> capital buffers, referenced below, as well as a G-SIB surcharge and the enhanced SLR (which acts as an SLR buffer) described in "Capital" in "Financial Condition" in our Management's Discussion and Analysis in this Form 10-K.</w:t>
      </w:r>
    </w:p>
    <w:p w14:paraId="5F2C9C07" w14:textId="77777777" w:rsidR="00E836FB" w:rsidRDefault="00994958">
      <w:pPr>
        <w:spacing w:before="60"/>
        <w:ind w:firstLine="450"/>
        <w:jc w:val="both"/>
        <w:textAlignment w:val="top"/>
      </w:pPr>
      <w:r>
        <w:rPr>
          <w:rFonts w:ascii="Arial" w:eastAsia="宋体" w:hAnsi="Arial" w:cs="Arial"/>
          <w:color w:val="000000"/>
          <w:sz w:val="20"/>
          <w:szCs w:val="20"/>
        </w:rPr>
        <w:t>Under the Basel III rule, our</w:t>
      </w:r>
      <w:r>
        <w:rPr>
          <w:rFonts w:ascii="Arial" w:eastAsia="宋体" w:hAnsi="Arial" w:cs="Arial"/>
          <w:color w:val="000000"/>
          <w:sz w:val="20"/>
          <w:szCs w:val="20"/>
        </w:rPr>
        <w:t xml:space="preserve"> total regulatory capital is composed of three tiers: CET1 capital, Tier 1 capital (which includes CET1 capital), and Tier 2 capital. The total of Tier 1 and Tier 2 capital, adjusted as applicable, is referred to as total regulatory capital.</w:t>
      </w:r>
    </w:p>
    <w:p w14:paraId="5F2C9C08" w14:textId="77777777" w:rsidR="00E836FB" w:rsidRDefault="00994958">
      <w:pPr>
        <w:spacing w:before="60"/>
        <w:ind w:firstLine="450"/>
        <w:jc w:val="both"/>
        <w:textAlignment w:val="top"/>
      </w:pPr>
      <w:r>
        <w:rPr>
          <w:rFonts w:ascii="Arial" w:eastAsia="宋体" w:hAnsi="Arial" w:cs="Arial"/>
          <w:color w:val="000000"/>
          <w:sz w:val="20"/>
          <w:szCs w:val="20"/>
        </w:rPr>
        <w:t>CET1 capital i</w:t>
      </w:r>
      <w:r>
        <w:rPr>
          <w:rFonts w:ascii="Arial" w:eastAsia="宋体" w:hAnsi="Arial" w:cs="Arial"/>
          <w:color w:val="000000"/>
          <w:sz w:val="20"/>
          <w:szCs w:val="20"/>
        </w:rPr>
        <w:t>s composed of core capital elements, such as qualifying common shareholders' equity and related surplus plus retained earnings and the cumulative effect of foreign currency translation plus net unrealized gains (losses) on debt and equity securities classi</w:t>
      </w:r>
      <w:r>
        <w:rPr>
          <w:rFonts w:ascii="Arial" w:eastAsia="宋体" w:hAnsi="Arial" w:cs="Arial"/>
          <w:color w:val="000000"/>
          <w:sz w:val="20"/>
          <w:szCs w:val="20"/>
        </w:rPr>
        <w:t xml:space="preserve">fied as AFS, less treasury stock and less goodwill and other intangible assets, net of related deferred tax liabilities. Tier 1 capital is composed of CET1 capital plus additional Tier 1 capital instruments which, for us, includes four series of preferred </w:t>
      </w:r>
      <w:r>
        <w:rPr>
          <w:rFonts w:ascii="Arial" w:eastAsia="宋体" w:hAnsi="Arial" w:cs="Arial"/>
          <w:color w:val="000000"/>
          <w:sz w:val="20"/>
          <w:szCs w:val="20"/>
        </w:rPr>
        <w:t>equity outstanding as of December 31, 2021. Tier 2 capital includes certain eligible subordinated long-term debt instruments. Total regulatory capital consists of Tier 1 capital and Tier 2 capital.</w:t>
      </w:r>
    </w:p>
    <w:p w14:paraId="5F2C9C09" w14:textId="77777777" w:rsidR="00E836FB" w:rsidRDefault="00994958">
      <w:pPr>
        <w:ind w:firstLine="450"/>
        <w:jc w:val="right"/>
      </w:pPr>
      <w:r>
        <w:rPr>
          <w:rFonts w:ascii="Arial" w:eastAsia="宋体" w:hAnsi="Arial" w:cs="Arial"/>
          <w:color w:val="000000"/>
          <w:sz w:val="18"/>
          <w:szCs w:val="18"/>
        </w:rPr>
        <w:t>State Street Corporation | 11</w:t>
      </w:r>
    </w:p>
    <w:p w14:paraId="5F2C9C0A" w14:textId="77777777" w:rsidR="00E836FB" w:rsidRDefault="00E836FB">
      <w:pPr>
        <w:ind w:firstLine="450"/>
        <w:jc w:val="center"/>
      </w:pPr>
    </w:p>
    <w:p w14:paraId="5F2C9C0B" w14:textId="77777777" w:rsidR="00E836FB" w:rsidRDefault="00994958">
      <w:r>
        <w:pict w14:anchorId="5F2D6D8E">
          <v:rect id="_x0000_i1035" style="width:415.3pt;height:1.5pt" o:hralign="center" o:hrstd="t" o:hr="t" fillcolor="#a0a0a0" stroked="f"/>
        </w:pict>
      </w:r>
    </w:p>
    <w:p w14:paraId="5F2C9C0C" w14:textId="77777777" w:rsidR="00E836FB" w:rsidRDefault="00E836FB">
      <w:pPr>
        <w:ind w:firstLine="450"/>
      </w:pPr>
    </w:p>
    <w:p w14:paraId="5F2C9C0D" w14:textId="77777777" w:rsidR="00E836FB" w:rsidRDefault="00994958">
      <w:pPr>
        <w:spacing w:before="60"/>
        <w:ind w:firstLine="450"/>
        <w:jc w:val="both"/>
        <w:textAlignment w:val="top"/>
      </w:pPr>
      <w:r>
        <w:rPr>
          <w:rFonts w:ascii="Arial" w:eastAsia="宋体" w:hAnsi="Arial" w:cs="Arial"/>
          <w:color w:val="000000"/>
          <w:sz w:val="20"/>
          <w:szCs w:val="20"/>
        </w:rPr>
        <w:t xml:space="preserve">Certain other items, if </w:t>
      </w:r>
      <w:r>
        <w:rPr>
          <w:rFonts w:ascii="Arial" w:eastAsia="宋体" w:hAnsi="Arial" w:cs="Arial"/>
          <w:color w:val="000000"/>
          <w:sz w:val="20"/>
          <w:szCs w:val="20"/>
        </w:rPr>
        <w:t>applicable, must be deducted from Tier 1 and Tier 2 capital, including certain investments in the capital of unconsolidated banking, financial and insurance entities and the amount of expected credit losses that exceeds recorded allowances for loan and oth</w:t>
      </w:r>
      <w:r>
        <w:rPr>
          <w:rFonts w:ascii="Arial" w:eastAsia="宋体" w:hAnsi="Arial" w:cs="Arial"/>
          <w:color w:val="000000"/>
          <w:sz w:val="20"/>
          <w:szCs w:val="20"/>
        </w:rPr>
        <w:t>er credit losses. Expected credit losses are calculated for wholesale credit exposures by formula in conformity with the Basel III rule.</w:t>
      </w:r>
    </w:p>
    <w:p w14:paraId="5F2C9C0E" w14:textId="77777777" w:rsidR="00E836FB" w:rsidRDefault="00994958">
      <w:pPr>
        <w:spacing w:before="60"/>
        <w:jc w:val="both"/>
        <w:textAlignment w:val="top"/>
      </w:pPr>
      <w:r>
        <w:rPr>
          <w:rFonts w:ascii="Arial" w:eastAsia="宋体" w:hAnsi="Arial" w:cs="Arial"/>
          <w:i/>
          <w:iCs/>
          <w:color w:val="000000"/>
          <w:sz w:val="20"/>
          <w:szCs w:val="20"/>
        </w:rPr>
        <w:t>G-SIB Surcharge</w:t>
      </w:r>
    </w:p>
    <w:p w14:paraId="5F2C9C0F" w14:textId="77777777" w:rsidR="00E836FB" w:rsidRDefault="00994958">
      <w:pPr>
        <w:spacing w:before="60"/>
        <w:ind w:firstLine="450"/>
        <w:jc w:val="both"/>
        <w:textAlignment w:val="top"/>
      </w:pPr>
      <w:r>
        <w:rPr>
          <w:rFonts w:ascii="Arial" w:eastAsia="宋体" w:hAnsi="Arial" w:cs="Arial"/>
          <w:color w:val="000000"/>
          <w:sz w:val="20"/>
          <w:szCs w:val="20"/>
        </w:rPr>
        <w:t xml:space="preserve">The eight U.S. bank holding companies deemed to be G-SIBs, including us, are required to calculate the </w:t>
      </w:r>
      <w:r>
        <w:rPr>
          <w:rFonts w:ascii="Arial" w:eastAsia="宋体" w:hAnsi="Arial" w:cs="Arial"/>
          <w:color w:val="000000"/>
          <w:sz w:val="20"/>
          <w:szCs w:val="20"/>
        </w:rPr>
        <w:t>G-SIB surcharge annually according to two methods, and be bound by the higher of the two:</w:t>
      </w:r>
    </w:p>
    <w:p w14:paraId="5F2C9C10" w14:textId="77777777" w:rsidR="00E836FB" w:rsidRDefault="00994958">
      <w:pPr>
        <w:spacing w:before="60"/>
        <w:ind w:hanging="360"/>
        <w:jc w:val="both"/>
        <w:textAlignment w:val="top"/>
      </w:pPr>
      <w:r>
        <w:rPr>
          <w:rFonts w:ascii="Arial" w:eastAsia="宋体" w:hAnsi="Arial" w:cs="Arial"/>
          <w:color w:val="000000"/>
          <w:sz w:val="20"/>
          <w:szCs w:val="20"/>
        </w:rPr>
        <w:t xml:space="preserve">•Method 1: Assesses systemic importance based upon five equally-weighted components: size, interconnectedness, complexity, cross-jurisdictional activity and </w:t>
      </w:r>
      <w:r>
        <w:rPr>
          <w:rFonts w:ascii="Arial" w:eastAsia="宋体" w:hAnsi="Arial" w:cs="Arial"/>
          <w:color w:val="000000"/>
          <w:sz w:val="20"/>
          <w:szCs w:val="20"/>
        </w:rPr>
        <w:t>substitutability; or</w:t>
      </w:r>
    </w:p>
    <w:p w14:paraId="5F2C9C11" w14:textId="77777777" w:rsidR="00E836FB" w:rsidRDefault="00994958">
      <w:pPr>
        <w:spacing w:before="60"/>
        <w:ind w:hanging="360"/>
        <w:jc w:val="both"/>
        <w:textAlignment w:val="top"/>
      </w:pPr>
      <w:r>
        <w:rPr>
          <w:rFonts w:ascii="Arial" w:eastAsia="宋体" w:hAnsi="Arial" w:cs="Arial"/>
          <w:color w:val="000000"/>
          <w:sz w:val="20"/>
          <w:szCs w:val="20"/>
        </w:rPr>
        <w:t>•Method 2: Alters the calculation from Method 1 by factoring in a short-term wholesale funding score in place of substitutability and applying a fixed coefficient to each of the five components.</w:t>
      </w:r>
    </w:p>
    <w:p w14:paraId="5F2C9C12" w14:textId="77777777" w:rsidR="00E836FB" w:rsidRDefault="00994958">
      <w:pPr>
        <w:spacing w:before="60"/>
        <w:ind w:firstLine="450"/>
        <w:jc w:val="both"/>
        <w:textAlignment w:val="top"/>
      </w:pPr>
      <w:r>
        <w:rPr>
          <w:rFonts w:ascii="Arial" w:eastAsia="宋体" w:hAnsi="Arial" w:cs="Arial"/>
          <w:color w:val="000000"/>
          <w:sz w:val="20"/>
          <w:szCs w:val="20"/>
        </w:rPr>
        <w:t xml:space="preserve">Method 2 is the binding methodology for </w:t>
      </w:r>
      <w:r>
        <w:rPr>
          <w:rFonts w:ascii="Arial" w:eastAsia="宋体" w:hAnsi="Arial" w:cs="Arial"/>
          <w:color w:val="000000"/>
          <w:sz w:val="20"/>
          <w:szCs w:val="20"/>
        </w:rPr>
        <w:t xml:space="preserve">us as of December 31, 2021, and our applicable surcharge for 2022 was calculated to be 1.0% based on a calculation date as of December 31, 2019. Based on a calculation date as of December 31, 2020, our G-SIB surcharge could have been 1.5%, which under the </w:t>
      </w:r>
      <w:r>
        <w:rPr>
          <w:rFonts w:ascii="Arial" w:eastAsia="宋体" w:hAnsi="Arial" w:cs="Arial"/>
          <w:color w:val="000000"/>
          <w:sz w:val="20"/>
          <w:szCs w:val="20"/>
        </w:rPr>
        <w:t>generally applicable provisions of the capital rules, absent regulatory relief, would go into effect on January 1, 2023. However, in May 2021, the Federal Reserve granted our request for relief relating to the effects of the Money Market Mutual Fund Liquid</w:t>
      </w:r>
      <w:r>
        <w:rPr>
          <w:rFonts w:ascii="Arial" w:eastAsia="宋体" w:hAnsi="Arial" w:cs="Arial"/>
          <w:color w:val="000000"/>
          <w:sz w:val="20"/>
          <w:szCs w:val="20"/>
        </w:rPr>
        <w:t>ity Facility (MMLF) program on the calculation of our G-SIB surcharge. As a result of this relief, our G-SIB surcharge for 2023 will remain 1.0%. As noted above, our G-SIB surcharge must be calculated annually, and year-over-year changes in our Method 1 or</w:t>
      </w:r>
      <w:r>
        <w:rPr>
          <w:rFonts w:ascii="Arial" w:eastAsia="宋体" w:hAnsi="Arial" w:cs="Arial"/>
          <w:color w:val="000000"/>
          <w:sz w:val="20"/>
          <w:szCs w:val="20"/>
        </w:rPr>
        <w:t xml:space="preserve"> Method 2 G-SIB scores may therefore result in changes to our G-SIB surcharge. If our Method 1 or Method 2 score changes year-over-year such that we would become subject to a higher surcharge, the higher surcharge would not become effective for two years f</w:t>
      </w:r>
      <w:r>
        <w:rPr>
          <w:rFonts w:ascii="Arial" w:eastAsia="宋体" w:hAnsi="Arial" w:cs="Arial"/>
          <w:color w:val="000000"/>
          <w:sz w:val="20"/>
          <w:szCs w:val="20"/>
        </w:rPr>
        <w:t xml:space="preserve">rom the "as of" date (e.g., a higher surcharge calculated as of December 31, 2022 would not become effective until January 1, 2025). If, however, our Method 1 or Method 2 score changes year-over-year such that we would become subject to a lower surcharge, </w:t>
      </w:r>
      <w:r>
        <w:rPr>
          <w:rFonts w:ascii="Arial" w:eastAsia="宋体" w:hAnsi="Arial" w:cs="Arial"/>
          <w:color w:val="000000"/>
          <w:sz w:val="20"/>
          <w:szCs w:val="20"/>
        </w:rPr>
        <w:t>we would be subject to the lower surcharge beginning one full year from the "as of" date (e.g., a lower surcharge calculated as of December 31, 2022 would become effective January 1, 2024).</w:t>
      </w:r>
    </w:p>
    <w:p w14:paraId="5F2C9C13" w14:textId="77777777" w:rsidR="00E836FB" w:rsidRDefault="00994958">
      <w:pPr>
        <w:spacing w:before="60"/>
        <w:jc w:val="both"/>
        <w:textAlignment w:val="top"/>
      </w:pPr>
      <w:r>
        <w:rPr>
          <w:rFonts w:ascii="Arial" w:eastAsia="宋体" w:hAnsi="Arial" w:cs="Arial"/>
          <w:i/>
          <w:iCs/>
          <w:color w:val="000000"/>
          <w:sz w:val="20"/>
          <w:szCs w:val="20"/>
        </w:rPr>
        <w:t>Stress Capital Buffer</w:t>
      </w:r>
    </w:p>
    <w:p w14:paraId="5F2C9C14" w14:textId="77777777" w:rsidR="00E836FB" w:rsidRDefault="00994958">
      <w:pPr>
        <w:spacing w:before="60"/>
        <w:ind w:firstLine="450"/>
        <w:jc w:val="both"/>
        <w:textAlignment w:val="top"/>
      </w:pPr>
      <w:r>
        <w:rPr>
          <w:rFonts w:ascii="Arial" w:eastAsia="宋体" w:hAnsi="Arial" w:cs="Arial"/>
          <w:color w:val="000000"/>
          <w:sz w:val="20"/>
          <w:szCs w:val="20"/>
        </w:rPr>
        <w:t xml:space="preserve">On March 4, 2020, the U.S. Agencies </w:t>
      </w:r>
      <w:r>
        <w:rPr>
          <w:rFonts w:ascii="Arial" w:eastAsia="宋体" w:hAnsi="Arial" w:cs="Arial"/>
          <w:color w:val="000000"/>
          <w:sz w:val="20"/>
          <w:szCs w:val="20"/>
        </w:rPr>
        <w:t>issued the SCB final rule that replaces, under the standardized approach, the fixed capital conservation buffer (2.5%) with an SCB calculated as the difference between the institution’s starting and lowest projected CET1 ratio under the severely adverse sc</w:t>
      </w:r>
      <w:r>
        <w:rPr>
          <w:rFonts w:ascii="Arial" w:eastAsia="宋体" w:hAnsi="Arial" w:cs="Arial"/>
          <w:color w:val="000000"/>
          <w:sz w:val="20"/>
          <w:szCs w:val="20"/>
        </w:rPr>
        <w:t>enario of the Federal Reserve’s supervisory stress test plus planned common stock dividend payments (as a percentage of RWA) from the fourth through seventh quarter of the supervisory stress testing planning horizon. Based on our results from the 2021 supe</w:t>
      </w:r>
      <w:r>
        <w:rPr>
          <w:rFonts w:ascii="Arial" w:eastAsia="宋体" w:hAnsi="Arial" w:cs="Arial"/>
          <w:color w:val="000000"/>
          <w:sz w:val="20"/>
          <w:szCs w:val="20"/>
        </w:rPr>
        <w:t>rvisory stress test, our SCB for the period of October 1, 2021 through September 2022 is set at the minimum of 2.5% of RWA. For additional information about the SCB final rule, refer to “Capital Planning, Stress Tests and Dividends” in this "Supervision an</w:t>
      </w:r>
      <w:r>
        <w:rPr>
          <w:rFonts w:ascii="Arial" w:eastAsia="宋体" w:hAnsi="Arial" w:cs="Arial"/>
          <w:color w:val="000000"/>
          <w:sz w:val="20"/>
          <w:szCs w:val="20"/>
        </w:rPr>
        <w:t>d Regulation" section.</w:t>
      </w:r>
    </w:p>
    <w:p w14:paraId="5F2C9C15" w14:textId="77777777" w:rsidR="00E836FB" w:rsidRDefault="00994958">
      <w:pPr>
        <w:spacing w:before="20"/>
        <w:ind w:firstLine="450"/>
        <w:jc w:val="both"/>
        <w:textAlignment w:val="top"/>
      </w:pPr>
      <w:r>
        <w:rPr>
          <w:rFonts w:ascii="Arial" w:eastAsia="宋体" w:hAnsi="Arial" w:cs="Arial"/>
          <w:color w:val="000000"/>
          <w:sz w:val="20"/>
          <w:szCs w:val="20"/>
        </w:rPr>
        <w:t>Under the SCB final rule, a banking organization would be able to make capital distributions and discretionary bonus payments without specified quantitative limitations (although subject to other potential regulatory constraints, suc</w:t>
      </w:r>
      <w:r>
        <w:rPr>
          <w:rFonts w:ascii="Arial" w:eastAsia="宋体" w:hAnsi="Arial" w:cs="Arial"/>
          <w:color w:val="000000"/>
          <w:sz w:val="20"/>
          <w:szCs w:val="20"/>
        </w:rPr>
        <w:t>h as supervisory limitations), as long as it maintains its required SCB plus the applicable G-SIB surcharge (plus any potentially applicable countercyclical capital buffer) over the minimum required risk-based capital ratios and as long as it satisfies all</w:t>
      </w:r>
      <w:r>
        <w:rPr>
          <w:rFonts w:ascii="Arial" w:eastAsia="宋体" w:hAnsi="Arial" w:cs="Arial"/>
          <w:color w:val="000000"/>
          <w:sz w:val="20"/>
          <w:szCs w:val="20"/>
        </w:rPr>
        <w:t xml:space="preserve"> leverage based capital requirements and buffers. From time to time, under certain economic conditions, banking regulators may establish a minimum countercyclical capital buffer up to a maximum of 2.5% of total RWA. The countercyclical capital buffer was i</w:t>
      </w:r>
      <w:r>
        <w:rPr>
          <w:rFonts w:ascii="Arial" w:eastAsia="宋体" w:hAnsi="Arial" w:cs="Arial"/>
          <w:color w:val="000000"/>
          <w:sz w:val="20"/>
          <w:szCs w:val="20"/>
        </w:rPr>
        <w:t>nitially set by banking regulators at zero, and has not been increased since its inception.</w:t>
      </w:r>
    </w:p>
    <w:p w14:paraId="5F2C9C16" w14:textId="77777777" w:rsidR="00E836FB" w:rsidRDefault="00994958">
      <w:pPr>
        <w:spacing w:before="60"/>
        <w:ind w:firstLine="450"/>
        <w:jc w:val="both"/>
        <w:textAlignment w:val="top"/>
      </w:pPr>
      <w:r>
        <w:rPr>
          <w:rFonts w:ascii="Arial" w:eastAsia="宋体" w:hAnsi="Arial" w:cs="Arial"/>
          <w:color w:val="000000"/>
          <w:sz w:val="20"/>
          <w:szCs w:val="20"/>
        </w:rPr>
        <w:t>Assuming a countercyclical buffer of 0%, the minimum capital ratios as of January 1, 2022, including a capital conservation buffer and an SCB of 2.5% for advanced a</w:t>
      </w:r>
      <w:r>
        <w:rPr>
          <w:rFonts w:ascii="Arial" w:eastAsia="宋体" w:hAnsi="Arial" w:cs="Arial"/>
          <w:color w:val="000000"/>
          <w:sz w:val="20"/>
          <w:szCs w:val="20"/>
        </w:rPr>
        <w:t>nd standardized approaches, respectively, and a G-SIB surcharge of 1.0%, are 8.0% for CET1 capital, 9.5% for Tier 1 risk-based capital and 11.5% for total risk-based capital, in order for us to make capital distributions and discretionary bonus payments wi</w:t>
      </w:r>
      <w:r>
        <w:rPr>
          <w:rFonts w:ascii="Arial" w:eastAsia="宋体" w:hAnsi="Arial" w:cs="Arial"/>
          <w:color w:val="000000"/>
          <w:sz w:val="20"/>
          <w:szCs w:val="20"/>
        </w:rPr>
        <w:t>thout limitation.</w:t>
      </w:r>
    </w:p>
    <w:p w14:paraId="5F2C9C17" w14:textId="77777777" w:rsidR="00E836FB" w:rsidRDefault="00994958">
      <w:pPr>
        <w:ind w:firstLine="450"/>
        <w:jc w:val="right"/>
      </w:pPr>
      <w:r>
        <w:rPr>
          <w:rFonts w:ascii="Arial" w:eastAsia="宋体" w:hAnsi="Arial" w:cs="Arial"/>
          <w:color w:val="000000"/>
          <w:sz w:val="18"/>
          <w:szCs w:val="18"/>
        </w:rPr>
        <w:t>State Street Corporation | 12</w:t>
      </w:r>
    </w:p>
    <w:p w14:paraId="5F2C9C18" w14:textId="77777777" w:rsidR="00E836FB" w:rsidRDefault="00E836FB">
      <w:pPr>
        <w:ind w:firstLine="450"/>
        <w:jc w:val="center"/>
      </w:pPr>
    </w:p>
    <w:p w14:paraId="5F2C9C19" w14:textId="77777777" w:rsidR="00E836FB" w:rsidRDefault="00994958">
      <w:r>
        <w:pict w14:anchorId="5F2D6D8F">
          <v:rect id="_x0000_i1036" style="width:415.3pt;height:1.5pt" o:hralign="center" o:hrstd="t" o:hr="t" fillcolor="#a0a0a0" stroked="f"/>
        </w:pict>
      </w:r>
    </w:p>
    <w:p w14:paraId="5F2C9C1A" w14:textId="77777777" w:rsidR="00E836FB" w:rsidRDefault="00E836FB">
      <w:pPr>
        <w:ind w:firstLine="450"/>
      </w:pPr>
    </w:p>
    <w:p w14:paraId="5F2C9C1B" w14:textId="77777777" w:rsidR="00E836FB" w:rsidRDefault="00994958">
      <w:pPr>
        <w:spacing w:before="60"/>
      </w:pPr>
      <w:r>
        <w:rPr>
          <w:rFonts w:ascii="Arial" w:eastAsia="宋体" w:hAnsi="Arial" w:cs="Arial"/>
          <w:i/>
          <w:iCs/>
          <w:color w:val="000000"/>
          <w:sz w:val="20"/>
          <w:szCs w:val="20"/>
        </w:rPr>
        <w:t>Leverage Ratios</w:t>
      </w:r>
    </w:p>
    <w:p w14:paraId="5F2C9C1C" w14:textId="77777777" w:rsidR="00E836FB" w:rsidRDefault="00994958">
      <w:pPr>
        <w:spacing w:before="60"/>
        <w:ind w:firstLine="450"/>
        <w:jc w:val="both"/>
      </w:pPr>
      <w:r>
        <w:rPr>
          <w:rFonts w:ascii="Arial" w:eastAsia="宋体" w:hAnsi="Arial" w:cs="Arial"/>
          <w:color w:val="000000"/>
          <w:sz w:val="20"/>
          <w:szCs w:val="20"/>
        </w:rPr>
        <w:t>We are subject to a minimum Tier 1 leverage ratio and a supplementary leverage ratio. The Tier 1 leverage ratio is based on Tier 1 capital and adjusted quarterly average on-balance sheet a</w:t>
      </w:r>
      <w:r>
        <w:rPr>
          <w:rFonts w:ascii="Arial" w:eastAsia="宋体" w:hAnsi="Arial" w:cs="Arial"/>
          <w:color w:val="000000"/>
          <w:sz w:val="20"/>
          <w:szCs w:val="20"/>
        </w:rPr>
        <w:t>ssets. The Tier 1 leverage ratio differs from the SLR primarily in that the denominator of the Tier 1 leverage ratio is a quarterly average of on-balance sheet assets, while the SLR includes both on-balance sheet and certain off-balance sheet exposures. We</w:t>
      </w:r>
      <w:r>
        <w:rPr>
          <w:rFonts w:ascii="Arial" w:eastAsia="宋体" w:hAnsi="Arial" w:cs="Arial"/>
          <w:color w:val="000000"/>
          <w:sz w:val="20"/>
          <w:szCs w:val="20"/>
        </w:rPr>
        <w:t xml:space="preserve"> must maintain a minimum Tier 1 leverage ratio of 4%.</w:t>
      </w:r>
    </w:p>
    <w:p w14:paraId="5F2C9C1D" w14:textId="77777777" w:rsidR="00E836FB" w:rsidRDefault="00994958">
      <w:pPr>
        <w:spacing w:before="60"/>
        <w:ind w:firstLine="450"/>
        <w:jc w:val="both"/>
      </w:pPr>
      <w:r>
        <w:rPr>
          <w:rFonts w:ascii="Arial" w:eastAsia="宋体" w:hAnsi="Arial" w:cs="Arial"/>
          <w:color w:val="000000"/>
          <w:sz w:val="20"/>
          <w:szCs w:val="20"/>
        </w:rPr>
        <w:t>We are also subject to a minimum SLR of 3%, and as a U.S. G-SIB, we must maintain an additional 2% SLR buffer in order to avoid any limitations on distributions to shareholders and discretionary bonus p</w:t>
      </w:r>
      <w:r>
        <w:rPr>
          <w:rFonts w:ascii="Arial" w:eastAsia="宋体" w:hAnsi="Arial" w:cs="Arial"/>
          <w:color w:val="000000"/>
          <w:sz w:val="20"/>
          <w:szCs w:val="20"/>
        </w:rPr>
        <w:t>ayments to certain executives. If we do not maintain this buffer, limitations on these distributions and discretionary bonus payments would be increasingly stringent based upon the extent of the shortfall.</w:t>
      </w:r>
    </w:p>
    <w:p w14:paraId="5F2C9C1E" w14:textId="77777777" w:rsidR="00E836FB" w:rsidRDefault="00994958">
      <w:pPr>
        <w:spacing w:before="60"/>
        <w:ind w:firstLine="450"/>
        <w:jc w:val="both"/>
      </w:pPr>
      <w:r>
        <w:rPr>
          <w:rFonts w:ascii="Arial" w:eastAsia="宋体" w:hAnsi="Arial" w:cs="Arial"/>
          <w:color w:val="000000"/>
          <w:sz w:val="20"/>
          <w:szCs w:val="20"/>
        </w:rPr>
        <w:t>In November 2019, pursuant to the EGRRCPA, the U.S</w:t>
      </w:r>
      <w:r>
        <w:rPr>
          <w:rFonts w:ascii="Arial" w:eastAsia="宋体" w:hAnsi="Arial" w:cs="Arial"/>
          <w:color w:val="000000"/>
          <w:sz w:val="20"/>
          <w:szCs w:val="20"/>
        </w:rPr>
        <w:t>. Agencies adopted a final rule that excludes central bank deposits from a custodial banking organization’s total leverage exposure for purpose of calculating the SLR and which is not applicable to total leverage exposure under the calculation of Tier 1 le</w:t>
      </w:r>
      <w:r>
        <w:rPr>
          <w:rFonts w:ascii="Arial" w:eastAsia="宋体" w:hAnsi="Arial" w:cs="Arial"/>
          <w:color w:val="000000"/>
          <w:sz w:val="20"/>
          <w:szCs w:val="20"/>
        </w:rPr>
        <w:t>verage. This exclusion is equal to the lesser of (i) the total amount of funds the custodial banking organization and its consolidated subsidiaries have on deposit at qualifying central banks and (ii) the total amount of client funds on deposit at the cust</w:t>
      </w:r>
      <w:r>
        <w:rPr>
          <w:rFonts w:ascii="Arial" w:eastAsia="宋体" w:hAnsi="Arial" w:cs="Arial"/>
          <w:color w:val="000000"/>
          <w:sz w:val="20"/>
          <w:szCs w:val="20"/>
        </w:rPr>
        <w:t>odial banking organization that are linked to fiduciary or custodial and safekeeping accounts. The rule became effective on April 1, 2020. For the quarter ended December 31, 2021, we excluded $84.1 billion of average balances held on deposit at central ban</w:t>
      </w:r>
      <w:r>
        <w:rPr>
          <w:rFonts w:ascii="Arial" w:eastAsia="宋体" w:hAnsi="Arial" w:cs="Arial"/>
          <w:color w:val="000000"/>
          <w:sz w:val="20"/>
          <w:szCs w:val="20"/>
        </w:rPr>
        <w:t>ks from the denominator used in the calculation of our SLR based on this custodial banking exclusion. The TLAC and LTD that State Street is required to hold under SLR-based requirements reflect the exclusion of certain central bank balances as a consequenc</w:t>
      </w:r>
      <w:r>
        <w:rPr>
          <w:rFonts w:ascii="Arial" w:eastAsia="宋体" w:hAnsi="Arial" w:cs="Arial"/>
          <w:color w:val="000000"/>
          <w:sz w:val="20"/>
          <w:szCs w:val="20"/>
        </w:rPr>
        <w:t xml:space="preserve">e of the rule. </w:t>
      </w:r>
    </w:p>
    <w:p w14:paraId="5F2C9C1F" w14:textId="77777777" w:rsidR="00E836FB" w:rsidRDefault="00994958">
      <w:pPr>
        <w:spacing w:before="60"/>
        <w:ind w:firstLine="450"/>
        <w:jc w:val="both"/>
      </w:pPr>
      <w:r>
        <w:rPr>
          <w:rFonts w:ascii="Arial" w:eastAsia="宋体" w:hAnsi="Arial" w:cs="Arial"/>
          <w:color w:val="000000"/>
          <w:sz w:val="20"/>
          <w:szCs w:val="20"/>
        </w:rPr>
        <w:t>The SA-CCR final rule adopted in November 2019, which went into effect for us on January 1, 2022, also requires us to incorporate the SA-CCR into the calculation of our total leverage exposure for the purpose of calculating SLR.</w:t>
      </w:r>
    </w:p>
    <w:p w14:paraId="5F2C9C20" w14:textId="77777777" w:rsidR="00E836FB" w:rsidRDefault="00994958">
      <w:pPr>
        <w:spacing w:before="60"/>
        <w:ind w:firstLine="450"/>
        <w:jc w:val="both"/>
      </w:pPr>
      <w:r>
        <w:rPr>
          <w:rFonts w:ascii="Arial" w:eastAsia="宋体" w:hAnsi="Arial" w:cs="Arial"/>
          <w:color w:val="000000"/>
          <w:sz w:val="20"/>
          <w:szCs w:val="20"/>
        </w:rPr>
        <w:t>In 2018, th</w:t>
      </w:r>
      <w:r>
        <w:rPr>
          <w:rFonts w:ascii="Arial" w:eastAsia="宋体" w:hAnsi="Arial" w:cs="Arial"/>
          <w:color w:val="000000"/>
          <w:sz w:val="20"/>
          <w:szCs w:val="20"/>
        </w:rPr>
        <w:t>e Federal Reserve proposed modifications to the SLR that would replace the current 2% SLR buffer applicable to us with an SLR buffer equal to 50% of our applicable G-SIB capital surcharge. The Federal Reserve has not finalized these proposed modifications.</w:t>
      </w:r>
    </w:p>
    <w:p w14:paraId="5F2C9C21" w14:textId="77777777" w:rsidR="00E836FB" w:rsidRDefault="00994958">
      <w:pPr>
        <w:spacing w:before="60"/>
      </w:pPr>
      <w:r>
        <w:rPr>
          <w:rFonts w:ascii="Arial" w:eastAsia="宋体" w:hAnsi="Arial" w:cs="Arial"/>
          <w:i/>
          <w:iCs/>
          <w:color w:val="000000"/>
          <w:sz w:val="20"/>
          <w:szCs w:val="20"/>
        </w:rPr>
        <w:t>Selected Recent Regulatory Developments Summary</w:t>
      </w:r>
    </w:p>
    <w:tbl>
      <w:tblPr>
        <w:tblW w:w="5000" w:type="pct"/>
        <w:tblCellMar>
          <w:top w:w="15" w:type="dxa"/>
          <w:left w:w="15" w:type="dxa"/>
          <w:bottom w:w="15" w:type="dxa"/>
          <w:right w:w="15" w:type="dxa"/>
        </w:tblCellMar>
        <w:tblLook w:val="04A0" w:firstRow="1" w:lastRow="0" w:firstColumn="1" w:lastColumn="0" w:noHBand="0" w:noVBand="1"/>
      </w:tblPr>
      <w:tblGrid>
        <w:gridCol w:w="68"/>
        <w:gridCol w:w="1198"/>
        <w:gridCol w:w="38"/>
        <w:gridCol w:w="69"/>
        <w:gridCol w:w="1490"/>
        <w:gridCol w:w="36"/>
        <w:gridCol w:w="69"/>
        <w:gridCol w:w="5331"/>
        <w:gridCol w:w="37"/>
      </w:tblGrid>
      <w:tr w:rsidR="00E836FB" w14:paraId="5F2C9C2B" w14:textId="77777777">
        <w:tc>
          <w:tcPr>
            <w:tcW w:w="50" w:type="pct"/>
            <w:shd w:val="clear" w:color="auto" w:fill="auto"/>
            <w:vAlign w:val="bottom"/>
          </w:tcPr>
          <w:p w14:paraId="5F2C9C22" w14:textId="77777777" w:rsidR="00E836FB" w:rsidRDefault="00E836FB">
            <w:pPr>
              <w:rPr>
                <w:rFonts w:ascii="宋体"/>
              </w:rPr>
            </w:pPr>
          </w:p>
        </w:tc>
        <w:tc>
          <w:tcPr>
            <w:tcW w:w="727" w:type="pct"/>
            <w:shd w:val="clear" w:color="auto" w:fill="auto"/>
            <w:vAlign w:val="bottom"/>
          </w:tcPr>
          <w:p w14:paraId="5F2C9C23" w14:textId="77777777" w:rsidR="00E836FB" w:rsidRDefault="00E836FB">
            <w:pPr>
              <w:rPr>
                <w:rFonts w:ascii="宋体"/>
              </w:rPr>
            </w:pPr>
          </w:p>
        </w:tc>
        <w:tc>
          <w:tcPr>
            <w:tcW w:w="5" w:type="pct"/>
            <w:shd w:val="clear" w:color="auto" w:fill="auto"/>
            <w:vAlign w:val="bottom"/>
          </w:tcPr>
          <w:p w14:paraId="5F2C9C24" w14:textId="77777777" w:rsidR="00E836FB" w:rsidRDefault="00E836FB">
            <w:pPr>
              <w:rPr>
                <w:rFonts w:ascii="宋体"/>
              </w:rPr>
            </w:pPr>
          </w:p>
        </w:tc>
        <w:tc>
          <w:tcPr>
            <w:tcW w:w="50" w:type="pct"/>
            <w:shd w:val="clear" w:color="auto" w:fill="auto"/>
            <w:vAlign w:val="bottom"/>
          </w:tcPr>
          <w:p w14:paraId="5F2C9C25" w14:textId="77777777" w:rsidR="00E836FB" w:rsidRDefault="00E836FB">
            <w:pPr>
              <w:rPr>
                <w:rFonts w:ascii="宋体"/>
              </w:rPr>
            </w:pPr>
          </w:p>
        </w:tc>
        <w:tc>
          <w:tcPr>
            <w:tcW w:w="902" w:type="pct"/>
            <w:shd w:val="clear" w:color="auto" w:fill="auto"/>
            <w:vAlign w:val="bottom"/>
          </w:tcPr>
          <w:p w14:paraId="5F2C9C26" w14:textId="77777777" w:rsidR="00E836FB" w:rsidRDefault="00E836FB">
            <w:pPr>
              <w:rPr>
                <w:rFonts w:ascii="宋体"/>
              </w:rPr>
            </w:pPr>
          </w:p>
        </w:tc>
        <w:tc>
          <w:tcPr>
            <w:tcW w:w="5" w:type="pct"/>
            <w:shd w:val="clear" w:color="auto" w:fill="auto"/>
            <w:vAlign w:val="bottom"/>
          </w:tcPr>
          <w:p w14:paraId="5F2C9C27" w14:textId="77777777" w:rsidR="00E836FB" w:rsidRDefault="00E836FB">
            <w:pPr>
              <w:rPr>
                <w:rFonts w:ascii="宋体"/>
              </w:rPr>
            </w:pPr>
          </w:p>
        </w:tc>
        <w:tc>
          <w:tcPr>
            <w:tcW w:w="50" w:type="pct"/>
            <w:shd w:val="clear" w:color="auto" w:fill="auto"/>
            <w:vAlign w:val="bottom"/>
          </w:tcPr>
          <w:p w14:paraId="5F2C9C28" w14:textId="77777777" w:rsidR="00E836FB" w:rsidRDefault="00E836FB">
            <w:pPr>
              <w:rPr>
                <w:rFonts w:ascii="宋体"/>
              </w:rPr>
            </w:pPr>
          </w:p>
        </w:tc>
        <w:tc>
          <w:tcPr>
            <w:tcW w:w="3205" w:type="pct"/>
            <w:shd w:val="clear" w:color="auto" w:fill="auto"/>
            <w:vAlign w:val="bottom"/>
          </w:tcPr>
          <w:p w14:paraId="5F2C9C29" w14:textId="77777777" w:rsidR="00E836FB" w:rsidRDefault="00E836FB">
            <w:pPr>
              <w:rPr>
                <w:rFonts w:ascii="宋体"/>
              </w:rPr>
            </w:pPr>
          </w:p>
        </w:tc>
        <w:tc>
          <w:tcPr>
            <w:tcW w:w="5" w:type="pct"/>
            <w:shd w:val="clear" w:color="auto" w:fill="auto"/>
            <w:vAlign w:val="bottom"/>
          </w:tcPr>
          <w:p w14:paraId="5F2C9C2A" w14:textId="77777777" w:rsidR="00E836FB" w:rsidRDefault="00E836FB">
            <w:pPr>
              <w:rPr>
                <w:rFonts w:ascii="宋体"/>
              </w:rPr>
            </w:pPr>
          </w:p>
        </w:tc>
      </w:tr>
      <w:tr w:rsidR="00E836FB" w14:paraId="5F2C9C2F" w14:textId="77777777">
        <w:tc>
          <w:tcPr>
            <w:tcW w:w="0" w:type="auto"/>
            <w:gridSpan w:val="3"/>
            <w:shd w:val="clear" w:color="auto" w:fill="auto"/>
            <w:tcMar>
              <w:top w:w="40" w:type="dxa"/>
              <w:left w:w="20" w:type="dxa"/>
              <w:bottom w:w="40" w:type="dxa"/>
              <w:right w:w="20" w:type="dxa"/>
            </w:tcMar>
            <w:vAlign w:val="bottom"/>
          </w:tcPr>
          <w:p w14:paraId="5F2C9C2C" w14:textId="77777777" w:rsidR="00E836FB" w:rsidRDefault="00994958">
            <w:pPr>
              <w:jc w:val="center"/>
              <w:textAlignment w:val="bottom"/>
            </w:pPr>
            <w:r>
              <w:rPr>
                <w:rFonts w:ascii="Arial" w:eastAsia="宋体" w:hAnsi="Arial" w:cs="Arial"/>
                <w:color w:val="000000"/>
                <w:sz w:val="16"/>
                <w:szCs w:val="16"/>
                <w:u w:val="single"/>
              </w:rPr>
              <w:t>Final Rule Issued</w:t>
            </w:r>
          </w:p>
        </w:tc>
        <w:tc>
          <w:tcPr>
            <w:tcW w:w="0" w:type="auto"/>
            <w:gridSpan w:val="3"/>
            <w:shd w:val="clear" w:color="auto" w:fill="auto"/>
            <w:tcMar>
              <w:top w:w="40" w:type="dxa"/>
              <w:left w:w="20" w:type="dxa"/>
              <w:bottom w:w="40" w:type="dxa"/>
              <w:right w:w="20" w:type="dxa"/>
            </w:tcMar>
            <w:vAlign w:val="bottom"/>
          </w:tcPr>
          <w:p w14:paraId="5F2C9C2D" w14:textId="77777777" w:rsidR="00E836FB" w:rsidRDefault="00994958">
            <w:pPr>
              <w:jc w:val="center"/>
              <w:textAlignment w:val="bottom"/>
            </w:pPr>
            <w:r>
              <w:rPr>
                <w:rFonts w:ascii="Arial" w:eastAsia="宋体" w:hAnsi="Arial" w:cs="Arial"/>
                <w:color w:val="000000"/>
                <w:sz w:val="16"/>
                <w:szCs w:val="16"/>
                <w:u w:val="single"/>
              </w:rPr>
              <w:t>Final Rule Effective Date</w:t>
            </w:r>
          </w:p>
        </w:tc>
        <w:tc>
          <w:tcPr>
            <w:tcW w:w="0" w:type="auto"/>
            <w:gridSpan w:val="3"/>
            <w:shd w:val="clear" w:color="auto" w:fill="auto"/>
            <w:tcMar>
              <w:top w:w="40" w:type="dxa"/>
              <w:left w:w="20" w:type="dxa"/>
              <w:bottom w:w="40" w:type="dxa"/>
              <w:right w:w="20" w:type="dxa"/>
            </w:tcMar>
            <w:vAlign w:val="bottom"/>
          </w:tcPr>
          <w:p w14:paraId="5F2C9C2E" w14:textId="77777777" w:rsidR="00E836FB" w:rsidRDefault="00994958">
            <w:pPr>
              <w:jc w:val="center"/>
              <w:textAlignment w:val="bottom"/>
            </w:pPr>
            <w:r>
              <w:rPr>
                <w:rFonts w:ascii="Arial" w:eastAsia="宋体" w:hAnsi="Arial" w:cs="Arial"/>
                <w:color w:val="000000"/>
                <w:sz w:val="16"/>
                <w:szCs w:val="16"/>
                <w:u w:val="single"/>
              </w:rPr>
              <w:t>Description</w:t>
            </w:r>
          </w:p>
        </w:tc>
      </w:tr>
      <w:tr w:rsidR="00E836FB" w14:paraId="5F2C9C33" w14:textId="77777777">
        <w:trPr>
          <w:hidden/>
        </w:trPr>
        <w:tc>
          <w:tcPr>
            <w:tcW w:w="0" w:type="auto"/>
            <w:gridSpan w:val="3"/>
            <w:shd w:val="clear" w:color="auto" w:fill="auto"/>
            <w:vAlign w:val="bottom"/>
          </w:tcPr>
          <w:p w14:paraId="5F2C9C30" w14:textId="77777777" w:rsidR="00E836FB" w:rsidRDefault="00E836FB">
            <w:pPr>
              <w:rPr>
                <w:rFonts w:ascii="宋体"/>
                <w:vanish/>
              </w:rPr>
            </w:pPr>
          </w:p>
        </w:tc>
        <w:tc>
          <w:tcPr>
            <w:tcW w:w="0" w:type="auto"/>
            <w:gridSpan w:val="3"/>
            <w:shd w:val="clear" w:color="auto" w:fill="auto"/>
            <w:vAlign w:val="bottom"/>
          </w:tcPr>
          <w:p w14:paraId="5F2C9C31" w14:textId="77777777" w:rsidR="00E836FB" w:rsidRDefault="00E836FB">
            <w:pPr>
              <w:rPr>
                <w:rFonts w:ascii="宋体"/>
                <w:vanish/>
              </w:rPr>
            </w:pPr>
          </w:p>
        </w:tc>
        <w:tc>
          <w:tcPr>
            <w:tcW w:w="0" w:type="auto"/>
            <w:gridSpan w:val="3"/>
            <w:shd w:val="clear" w:color="auto" w:fill="auto"/>
            <w:vAlign w:val="bottom"/>
          </w:tcPr>
          <w:p w14:paraId="5F2C9C32" w14:textId="77777777" w:rsidR="00E836FB" w:rsidRDefault="00E836FB">
            <w:pPr>
              <w:rPr>
                <w:rFonts w:ascii="宋体"/>
                <w:vanish/>
              </w:rPr>
            </w:pPr>
          </w:p>
        </w:tc>
      </w:tr>
      <w:tr w:rsidR="00E836FB" w14:paraId="5F2C9C37"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F2C9C34" w14:textId="77777777" w:rsidR="00E836FB" w:rsidRDefault="00994958">
            <w:pPr>
              <w:textAlignment w:val="center"/>
            </w:pPr>
            <w:r>
              <w:rPr>
                <w:rFonts w:ascii="Arial" w:eastAsia="宋体" w:hAnsi="Arial" w:cs="Arial"/>
                <w:color w:val="000000"/>
                <w:sz w:val="16"/>
                <w:szCs w:val="16"/>
              </w:rPr>
              <w:t>August 2020</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F2C9C35" w14:textId="77777777" w:rsidR="00E836FB" w:rsidRDefault="00994958">
            <w:pPr>
              <w:textAlignment w:val="center"/>
            </w:pPr>
            <w:r>
              <w:rPr>
                <w:rFonts w:ascii="Arial" w:eastAsia="宋体" w:hAnsi="Arial" w:cs="Arial"/>
                <w:color w:val="000000"/>
                <w:sz w:val="16"/>
                <w:szCs w:val="16"/>
              </w:rPr>
              <w:t>January 1, 2021</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center"/>
          </w:tcPr>
          <w:p w14:paraId="5F2C9C36" w14:textId="77777777" w:rsidR="00E836FB" w:rsidRDefault="00994958">
            <w:pPr>
              <w:jc w:val="both"/>
              <w:textAlignment w:val="center"/>
            </w:pPr>
            <w:r>
              <w:rPr>
                <w:rFonts w:ascii="Arial" w:eastAsia="宋体" w:hAnsi="Arial" w:cs="Arial"/>
                <w:color w:val="000000"/>
                <w:sz w:val="16"/>
                <w:szCs w:val="16"/>
              </w:rPr>
              <w:t xml:space="preserve">In March 2020, the U.S. Agencies issued an interim final rule (followed by a final rule in August 2020) </w:t>
            </w:r>
            <w:r>
              <w:rPr>
                <w:rFonts w:ascii="Arial" w:eastAsia="宋体" w:hAnsi="Arial" w:cs="Arial"/>
                <w:color w:val="000000"/>
                <w:sz w:val="16"/>
                <w:szCs w:val="16"/>
              </w:rPr>
              <w:t>that revised the definition of eligible retained income for all U.S. banking organizations, including us. The revised definition of eligible retained income makes any automatic limitations on capital distributions that could apply to us under the federal b</w:t>
            </w:r>
            <w:r>
              <w:rPr>
                <w:rFonts w:ascii="Arial" w:eastAsia="宋体" w:hAnsi="Arial" w:cs="Arial"/>
                <w:color w:val="000000"/>
                <w:sz w:val="16"/>
                <w:szCs w:val="16"/>
              </w:rPr>
              <w:t>anking agencies’ capital or TLAC rules take effect on a more gradual basis in the event that our capital, leverage or TLAC ratios were to decline below regulatory requirements, including regulatory capital, leverage or TLAC buffers, as applicable.</w:t>
            </w:r>
          </w:p>
        </w:tc>
      </w:tr>
      <w:tr w:rsidR="00E836FB" w14:paraId="5F2C9C3B"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F2C9C38" w14:textId="77777777" w:rsidR="00E836FB" w:rsidRDefault="00994958">
            <w:pPr>
              <w:textAlignment w:val="center"/>
            </w:pPr>
            <w:r>
              <w:rPr>
                <w:rFonts w:ascii="Arial" w:eastAsia="宋体" w:hAnsi="Arial" w:cs="Arial"/>
                <w:color w:val="000000"/>
                <w:sz w:val="16"/>
                <w:szCs w:val="16"/>
              </w:rPr>
              <w:t>October</w:t>
            </w:r>
            <w:r>
              <w:rPr>
                <w:rFonts w:ascii="Arial" w:eastAsia="宋体" w:hAnsi="Arial" w:cs="Arial"/>
                <w:color w:val="000000"/>
                <w:sz w:val="16"/>
                <w:szCs w:val="16"/>
              </w:rPr>
              <w:t xml:space="preserve"> 2020</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F2C9C39" w14:textId="77777777" w:rsidR="00E836FB" w:rsidRDefault="00994958">
            <w:pPr>
              <w:textAlignment w:val="center"/>
            </w:pPr>
            <w:r>
              <w:rPr>
                <w:rFonts w:ascii="Arial" w:eastAsia="宋体" w:hAnsi="Arial" w:cs="Arial"/>
                <w:color w:val="000000"/>
                <w:sz w:val="16"/>
                <w:szCs w:val="16"/>
              </w:rPr>
              <w:t>April 1, 2021</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center"/>
          </w:tcPr>
          <w:p w14:paraId="5F2C9C3A" w14:textId="77777777" w:rsidR="00E836FB" w:rsidRDefault="00994958">
            <w:pPr>
              <w:jc w:val="both"/>
              <w:textAlignment w:val="center"/>
            </w:pPr>
            <w:r>
              <w:rPr>
                <w:rFonts w:ascii="Arial" w:eastAsia="宋体" w:hAnsi="Arial" w:cs="Arial"/>
                <w:color w:val="000000"/>
                <w:sz w:val="16"/>
                <w:szCs w:val="16"/>
              </w:rPr>
              <w:t>The U.S. Agencies issued a final rule that requires us and State Street Bank to make deductions from regulatory capital for investments in certain unsecured debt instruments issued by bank holding companies and U.S. intermediate holding</w:t>
            </w:r>
            <w:r>
              <w:rPr>
                <w:rFonts w:ascii="Arial" w:eastAsia="宋体" w:hAnsi="Arial" w:cs="Arial"/>
                <w:color w:val="000000"/>
                <w:sz w:val="16"/>
                <w:szCs w:val="16"/>
              </w:rPr>
              <w:t xml:space="preserve"> companies of foreign banks that are subject to the Federal Reserve’s TLAC and LTD requirements, as well as foreign G-SIBs.</w:t>
            </w:r>
          </w:p>
        </w:tc>
      </w:tr>
      <w:tr w:rsidR="00E836FB" w14:paraId="5F2C9C3F"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F2C9C3C" w14:textId="77777777" w:rsidR="00E836FB" w:rsidRDefault="00994958">
            <w:pPr>
              <w:textAlignment w:val="center"/>
            </w:pPr>
            <w:r>
              <w:rPr>
                <w:rFonts w:ascii="Arial" w:eastAsia="宋体" w:hAnsi="Arial" w:cs="Arial"/>
                <w:color w:val="000000"/>
                <w:sz w:val="16"/>
                <w:szCs w:val="16"/>
              </w:rPr>
              <w:t>October 2020</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F2C9C3D" w14:textId="77777777" w:rsidR="00E836FB" w:rsidRDefault="00994958">
            <w:pPr>
              <w:textAlignment w:val="center"/>
            </w:pPr>
            <w:r>
              <w:rPr>
                <w:rFonts w:ascii="Arial" w:eastAsia="宋体" w:hAnsi="Arial" w:cs="Arial"/>
                <w:color w:val="000000"/>
                <w:sz w:val="16"/>
                <w:szCs w:val="16"/>
              </w:rPr>
              <w:t>July 1, 2021</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center"/>
          </w:tcPr>
          <w:p w14:paraId="5F2C9C3E" w14:textId="77777777" w:rsidR="00E836FB" w:rsidRDefault="00994958">
            <w:pPr>
              <w:jc w:val="both"/>
              <w:textAlignment w:val="center"/>
            </w:pPr>
            <w:r>
              <w:rPr>
                <w:rFonts w:ascii="Arial" w:eastAsia="宋体" w:hAnsi="Arial" w:cs="Arial"/>
                <w:color w:val="000000"/>
                <w:sz w:val="16"/>
                <w:szCs w:val="16"/>
              </w:rPr>
              <w:t xml:space="preserve">In October 2020, the U.S. Agencies issued a final rule implementing the Basel Committee on Banking </w:t>
            </w:r>
            <w:r>
              <w:rPr>
                <w:rFonts w:ascii="Arial" w:eastAsia="宋体" w:hAnsi="Arial" w:cs="Arial"/>
                <w:color w:val="000000"/>
                <w:sz w:val="16"/>
                <w:szCs w:val="16"/>
              </w:rPr>
              <w:t>Supervision's (BCBS) NSFR in the United States, which applies to us and State Street Bank. The final rule requires large banking organizations to maintain an amount of available stable funding, which is a weighted measure of a company’s funding sources ove</w:t>
            </w:r>
            <w:r>
              <w:rPr>
                <w:rFonts w:ascii="Arial" w:eastAsia="宋体" w:hAnsi="Arial" w:cs="Arial"/>
                <w:color w:val="000000"/>
                <w:sz w:val="16"/>
                <w:szCs w:val="16"/>
              </w:rPr>
              <w:t>r a one-year time horizon, calculated by applying standardized weightings to the company’s equity and liabilities based on their expected stability, that is no less than the amount of required stable funding, which is calculated by applying standardized we</w:t>
            </w:r>
            <w:r>
              <w:rPr>
                <w:rFonts w:ascii="Arial" w:eastAsia="宋体" w:hAnsi="Arial" w:cs="Arial"/>
                <w:color w:val="000000"/>
                <w:sz w:val="16"/>
                <w:szCs w:val="16"/>
              </w:rPr>
              <w:t>ightings to assets, derivatives exposures and certain other items based on their liquidity characteristics.</w:t>
            </w:r>
          </w:p>
        </w:tc>
      </w:tr>
      <w:tr w:rsidR="00E836FB" w14:paraId="5F2C9C43"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5F2C9C40" w14:textId="77777777" w:rsidR="00E836FB" w:rsidRDefault="00994958">
            <w:pPr>
              <w:textAlignment w:val="center"/>
            </w:pPr>
            <w:r>
              <w:rPr>
                <w:rFonts w:ascii="Arial" w:eastAsia="宋体" w:hAnsi="Arial" w:cs="Arial"/>
                <w:color w:val="000000"/>
                <w:sz w:val="16"/>
                <w:szCs w:val="16"/>
              </w:rPr>
              <w:t>November 2019</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5F2C9C41" w14:textId="77777777" w:rsidR="00E836FB" w:rsidRDefault="00994958">
            <w:pPr>
              <w:textAlignment w:val="center"/>
            </w:pPr>
            <w:r>
              <w:rPr>
                <w:rFonts w:ascii="Arial" w:eastAsia="宋体" w:hAnsi="Arial" w:cs="Arial"/>
                <w:color w:val="000000"/>
                <w:sz w:val="16"/>
                <w:szCs w:val="16"/>
              </w:rPr>
              <w:t>January 1, 2022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center"/>
          </w:tcPr>
          <w:p w14:paraId="5F2C9C42" w14:textId="77777777" w:rsidR="00E836FB" w:rsidRDefault="00994958">
            <w:pPr>
              <w:jc w:val="both"/>
              <w:textAlignment w:val="center"/>
            </w:pPr>
            <w:r>
              <w:rPr>
                <w:rFonts w:ascii="Arial" w:eastAsia="宋体" w:hAnsi="Arial" w:cs="Arial"/>
                <w:color w:val="000000"/>
                <w:sz w:val="16"/>
                <w:szCs w:val="16"/>
              </w:rPr>
              <w:t>The U.S. Agencies issued a final rule that, among other things, implements the standardized approach for counterparty</w:t>
            </w:r>
            <w:r>
              <w:rPr>
                <w:rFonts w:ascii="Arial" w:eastAsia="宋体" w:hAnsi="Arial" w:cs="Arial"/>
                <w:color w:val="000000"/>
                <w:sz w:val="16"/>
                <w:szCs w:val="16"/>
              </w:rPr>
              <w:t xml:space="preserve"> credit risk (SA-CCR), a methodology for calculating the exposure amount for derivative contracts under the U.S. regulatory capital rules. Under the final rule, we have the option to use the SA-CCR or the Internal Model Methodology (IMM) to measure the exp</w:t>
            </w:r>
            <w:r>
              <w:rPr>
                <w:rFonts w:ascii="Arial" w:eastAsia="宋体" w:hAnsi="Arial" w:cs="Arial"/>
                <w:color w:val="000000"/>
                <w:sz w:val="16"/>
                <w:szCs w:val="16"/>
              </w:rPr>
              <w:t>osure amount of our cleared and uncleared derivative transactions under our advanced approaches calculation. We have elected to use the SA-CCR for purposes of our advanced approaches capital calculations. We are required to determine the amount of these ex</w:t>
            </w:r>
            <w:r>
              <w:rPr>
                <w:rFonts w:ascii="Arial" w:eastAsia="宋体" w:hAnsi="Arial" w:cs="Arial"/>
                <w:color w:val="000000"/>
                <w:sz w:val="16"/>
                <w:szCs w:val="16"/>
              </w:rPr>
              <w:t>posures using the SA-CCR under our standardized approach capital calculation. Due to the nature of our trading activities, the final rule is likely to have a greater proportional impact on our RWA than on some of our G-SIB peers. In addition, under the fin</w:t>
            </w:r>
            <w:r>
              <w:rPr>
                <w:rFonts w:ascii="Arial" w:eastAsia="宋体" w:hAnsi="Arial" w:cs="Arial"/>
                <w:color w:val="000000"/>
                <w:sz w:val="16"/>
                <w:szCs w:val="16"/>
              </w:rPr>
              <w:t>al rule we are required to use a simplified formula to determine the RWA amount of our central counterparty default fund contributions. The final rule also requires us to incorporate the SA-CCR into the calculation of our total leverage exposure for the pu</w:t>
            </w:r>
            <w:r>
              <w:rPr>
                <w:rFonts w:ascii="Arial" w:eastAsia="宋体" w:hAnsi="Arial" w:cs="Arial"/>
                <w:color w:val="000000"/>
                <w:sz w:val="16"/>
                <w:szCs w:val="16"/>
              </w:rPr>
              <w:t xml:space="preserve">rpose of calculating SLR. </w:t>
            </w:r>
          </w:p>
        </w:tc>
      </w:tr>
    </w:tbl>
    <w:p w14:paraId="5F2C9C44" w14:textId="77777777" w:rsidR="00E836FB" w:rsidRDefault="00994958">
      <w:pPr>
        <w:ind w:firstLine="450"/>
        <w:jc w:val="right"/>
      </w:pPr>
      <w:r>
        <w:rPr>
          <w:rFonts w:ascii="Arial" w:eastAsia="宋体" w:hAnsi="Arial" w:cs="Arial"/>
          <w:color w:val="000000"/>
          <w:sz w:val="18"/>
          <w:szCs w:val="18"/>
        </w:rPr>
        <w:t>State Street Corporation | 13</w:t>
      </w:r>
    </w:p>
    <w:p w14:paraId="5F2C9C45" w14:textId="77777777" w:rsidR="00E836FB" w:rsidRDefault="00E836FB">
      <w:pPr>
        <w:ind w:firstLine="450"/>
        <w:jc w:val="center"/>
      </w:pPr>
    </w:p>
    <w:p w14:paraId="5F2C9C46" w14:textId="77777777" w:rsidR="00E836FB" w:rsidRDefault="00994958">
      <w:r>
        <w:pict w14:anchorId="5F2D6D90">
          <v:rect id="_x0000_i1037" style="width:415.3pt;height:1.5pt" o:hralign="center" o:hrstd="t" o:hr="t" fillcolor="#a0a0a0" stroked="f"/>
        </w:pict>
      </w:r>
    </w:p>
    <w:p w14:paraId="5F2C9C47" w14:textId="77777777" w:rsidR="00E836FB" w:rsidRDefault="00E836FB">
      <w:pPr>
        <w:ind w:firstLine="450"/>
      </w:pPr>
    </w:p>
    <w:p w14:paraId="5F2C9C48" w14:textId="77777777" w:rsidR="00E836FB" w:rsidRDefault="00994958">
      <w:pPr>
        <w:spacing w:before="60"/>
        <w:ind w:firstLine="450"/>
        <w:jc w:val="both"/>
        <w:textAlignment w:val="top"/>
      </w:pPr>
      <w:r>
        <w:rPr>
          <w:rFonts w:ascii="Arial" w:eastAsia="宋体" w:hAnsi="Arial" w:cs="Arial"/>
          <w:color w:val="000000"/>
          <w:sz w:val="20"/>
          <w:szCs w:val="20"/>
        </w:rPr>
        <w:t xml:space="preserve">As a G-SIB, we are subject to enhanced supervision and prudential standards. Our status as a G-SIB has also resulted in heightened prudential and conduct expectations of our U.S. and </w:t>
      </w:r>
      <w:r>
        <w:rPr>
          <w:rFonts w:ascii="Arial" w:eastAsia="宋体" w:hAnsi="Arial" w:cs="Arial"/>
          <w:color w:val="000000"/>
          <w:sz w:val="20"/>
          <w:szCs w:val="20"/>
        </w:rPr>
        <w:t>international regulators with respect to our capital and liquidity management and our compliance and risk oversight programs. These heightened expectations have increased our regulatory compliance costs, including personnel, technology and systems, as well</w:t>
      </w:r>
      <w:r>
        <w:rPr>
          <w:rFonts w:ascii="Arial" w:eastAsia="宋体" w:hAnsi="Arial" w:cs="Arial"/>
          <w:color w:val="000000"/>
          <w:sz w:val="20"/>
          <w:szCs w:val="20"/>
        </w:rPr>
        <w:t xml:space="preserve"> as significant additional implementation and related costs to enhance our regulatory compliance programs. Regulatory compliance requirements are anticipated to remain at least at the elevated levels we have experienced over the past several years.</w:t>
      </w:r>
    </w:p>
    <w:p w14:paraId="5F2C9C49" w14:textId="77777777" w:rsidR="00E836FB" w:rsidRDefault="00994958">
      <w:pPr>
        <w:spacing w:before="60"/>
        <w:ind w:firstLine="450"/>
        <w:jc w:val="both"/>
        <w:textAlignment w:val="top"/>
      </w:pPr>
      <w:r>
        <w:rPr>
          <w:rFonts w:ascii="Arial" w:eastAsia="宋体" w:hAnsi="Arial" w:cs="Arial"/>
          <w:color w:val="000000"/>
          <w:sz w:val="20"/>
          <w:szCs w:val="20"/>
        </w:rPr>
        <w:t>Failure</w:t>
      </w:r>
      <w:r>
        <w:rPr>
          <w:rFonts w:ascii="Arial" w:eastAsia="宋体" w:hAnsi="Arial" w:cs="Arial"/>
          <w:color w:val="000000"/>
          <w:sz w:val="20"/>
          <w:szCs w:val="20"/>
        </w:rPr>
        <w:t xml:space="preserve"> to meet current and future regulatory capital requirements could subject us to a variety of enforcement actions, including the termination of State Street Bank's deposit insurance by the FDIC, and to certain restrictions on our business, including those t</w:t>
      </w:r>
      <w:r>
        <w:rPr>
          <w:rFonts w:ascii="Arial" w:eastAsia="宋体" w:hAnsi="Arial" w:cs="Arial"/>
          <w:color w:val="000000"/>
          <w:sz w:val="20"/>
          <w:szCs w:val="20"/>
        </w:rPr>
        <w:t>hat are described above in this “Supervision and Regulation” section.</w:t>
      </w:r>
    </w:p>
    <w:p w14:paraId="5F2C9C4A" w14:textId="77777777" w:rsidR="00E836FB" w:rsidRDefault="00994958">
      <w:pPr>
        <w:spacing w:before="56"/>
        <w:ind w:firstLine="450"/>
        <w:jc w:val="both"/>
        <w:textAlignment w:val="top"/>
      </w:pPr>
      <w:r>
        <w:rPr>
          <w:rFonts w:ascii="Arial" w:eastAsia="宋体" w:hAnsi="Arial" w:cs="Arial"/>
          <w:color w:val="000000"/>
          <w:sz w:val="20"/>
          <w:szCs w:val="20"/>
        </w:rPr>
        <w:t>Not all of our competitors have similarly been designated as systemically important nor are all of them subject to the same degree of regulation as a bank or financial holding company, a</w:t>
      </w:r>
      <w:r>
        <w:rPr>
          <w:rFonts w:ascii="Arial" w:eastAsia="宋体" w:hAnsi="Arial" w:cs="Arial"/>
          <w:color w:val="000000"/>
          <w:sz w:val="20"/>
          <w:szCs w:val="20"/>
        </w:rPr>
        <w:t>nd therefore some of our competitors may not be subject to the same additional capital requirements.</w:t>
      </w:r>
    </w:p>
    <w:p w14:paraId="5F2C9C4B" w14:textId="77777777" w:rsidR="00E836FB" w:rsidRDefault="00994958">
      <w:pPr>
        <w:spacing w:before="56"/>
        <w:ind w:firstLine="450"/>
        <w:jc w:val="both"/>
        <w:textAlignment w:val="top"/>
      </w:pPr>
      <w:r>
        <w:rPr>
          <w:rFonts w:ascii="Arial" w:eastAsia="宋体" w:hAnsi="Arial" w:cs="Arial"/>
          <w:color w:val="000000"/>
          <w:sz w:val="20"/>
          <w:szCs w:val="20"/>
        </w:rPr>
        <w:t>For additional information about our regulatory capital position and our regulatory capital adequacy, as well as current and future regulatory capital requ</w:t>
      </w:r>
      <w:r>
        <w:rPr>
          <w:rFonts w:ascii="Arial" w:eastAsia="宋体" w:hAnsi="Arial" w:cs="Arial"/>
          <w:color w:val="000000"/>
          <w:sz w:val="20"/>
          <w:szCs w:val="20"/>
        </w:rPr>
        <w:t xml:space="preserve">irements, refer to "Capital" in “Financial Condition" in our Management's Discussion and Analysis, and Note 16 to the consolidated financial statements in this Form 10-K. </w:t>
      </w:r>
    </w:p>
    <w:p w14:paraId="5F2C9C4C" w14:textId="77777777" w:rsidR="00E836FB" w:rsidRDefault="00994958">
      <w:pPr>
        <w:spacing w:before="60"/>
        <w:jc w:val="both"/>
        <w:textAlignment w:val="top"/>
      </w:pPr>
      <w:r>
        <w:rPr>
          <w:rFonts w:ascii="Arial" w:eastAsia="宋体" w:hAnsi="Arial" w:cs="Arial"/>
          <w:b/>
          <w:bCs/>
          <w:i/>
          <w:iCs/>
          <w:color w:val="000000"/>
          <w:sz w:val="20"/>
          <w:szCs w:val="20"/>
        </w:rPr>
        <w:t>Total Loss-Absorbing Capacity</w:t>
      </w:r>
    </w:p>
    <w:p w14:paraId="5F2C9C4D" w14:textId="77777777" w:rsidR="00E836FB" w:rsidRDefault="00994958">
      <w:pPr>
        <w:spacing w:before="56"/>
        <w:ind w:firstLine="450"/>
        <w:jc w:val="both"/>
        <w:textAlignment w:val="top"/>
      </w:pPr>
      <w:r>
        <w:rPr>
          <w:rFonts w:ascii="Arial" w:eastAsia="宋体" w:hAnsi="Arial" w:cs="Arial"/>
          <w:color w:val="000000"/>
          <w:sz w:val="20"/>
          <w:szCs w:val="20"/>
        </w:rPr>
        <w:t>The Federal Reserve has rules on TLAC, LTD and clean h</w:t>
      </w:r>
      <w:r>
        <w:rPr>
          <w:rFonts w:ascii="Arial" w:eastAsia="宋体" w:hAnsi="Arial" w:cs="Arial"/>
          <w:color w:val="000000"/>
          <w:sz w:val="20"/>
          <w:szCs w:val="20"/>
        </w:rPr>
        <w:t>olding company requirements for U.S. domiciled G-SIBs, such as us. The requirements are intended to improve the resiliency and resolvability of certain U.S. banking organizations through enhanced prudential standards. The TLAC rule imposes: (1) external TL</w:t>
      </w:r>
      <w:r>
        <w:rPr>
          <w:rFonts w:ascii="Arial" w:eastAsia="宋体" w:hAnsi="Arial" w:cs="Arial"/>
          <w:color w:val="000000"/>
          <w:sz w:val="20"/>
          <w:szCs w:val="20"/>
        </w:rPr>
        <w:t xml:space="preserve">AC requirements (i.e., combined eligible Tier 1 regulatory capital and LTD); (2) separate external LTD requirements; and (3) clean holding company requirements that impose restrictions on certain types of liabilities and limit non-TLAC related third party </w:t>
      </w:r>
      <w:r>
        <w:rPr>
          <w:rFonts w:ascii="Arial" w:eastAsia="宋体" w:hAnsi="Arial" w:cs="Arial"/>
          <w:color w:val="000000"/>
          <w:sz w:val="20"/>
          <w:szCs w:val="20"/>
        </w:rPr>
        <w:t>liabilities to 5% of external TLAC.</w:t>
      </w:r>
    </w:p>
    <w:p w14:paraId="5F2C9C4E" w14:textId="77777777" w:rsidR="00E836FB" w:rsidRDefault="00994958">
      <w:pPr>
        <w:spacing w:before="56"/>
        <w:ind w:firstLine="450"/>
        <w:jc w:val="both"/>
        <w:textAlignment w:val="top"/>
      </w:pPr>
      <w:r>
        <w:rPr>
          <w:rFonts w:ascii="Arial" w:eastAsia="宋体" w:hAnsi="Arial" w:cs="Arial"/>
          <w:color w:val="000000"/>
          <w:sz w:val="20"/>
          <w:szCs w:val="20"/>
        </w:rPr>
        <w:t xml:space="preserve">Among other things, the TLAC rule requires us to comply with minimum requirements for external TLAC and external LTD. Specifically, as of January 2022, we must hold </w:t>
      </w:r>
    </w:p>
    <w:p w14:paraId="5F2C9C4F" w14:textId="77777777" w:rsidR="00E836FB" w:rsidRDefault="00994958">
      <w:pPr>
        <w:spacing w:before="60"/>
        <w:ind w:hanging="360"/>
        <w:jc w:val="both"/>
        <w:textAlignment w:val="top"/>
      </w:pPr>
      <w:r>
        <w:rPr>
          <w:rFonts w:ascii="Arial" w:eastAsia="宋体" w:hAnsi="Arial" w:cs="Arial"/>
          <w:color w:val="000000"/>
          <w:sz w:val="20"/>
          <w:szCs w:val="20"/>
        </w:rPr>
        <w:t>(1) combined eligible Tier 1 regulatory capital and LTD in the amount equal to the greater</w:t>
      </w:r>
      <w:r>
        <w:rPr>
          <w:rFonts w:ascii="Arial" w:eastAsia="宋体" w:hAnsi="Arial" w:cs="Arial"/>
          <w:color w:val="000000"/>
          <w:sz w:val="20"/>
          <w:szCs w:val="20"/>
        </w:rPr>
        <w:t xml:space="preserve"> of 21.5% of total RWA (18.0% minimum plus a 2.5% capital conservation buffer plus a G-SIB surcharge calculated for these purposes under Method 1 of 1.0% plus any applicable </w:t>
      </w:r>
    </w:p>
    <w:p w14:paraId="5F2C9C50" w14:textId="77777777" w:rsidR="00E836FB" w:rsidRDefault="00994958">
      <w:pPr>
        <w:spacing w:before="60"/>
        <w:jc w:val="both"/>
        <w:textAlignment w:val="top"/>
      </w:pPr>
      <w:r>
        <w:rPr>
          <w:rFonts w:ascii="Arial" w:eastAsia="宋体" w:hAnsi="Arial" w:cs="Arial"/>
          <w:color w:val="000000"/>
          <w:sz w:val="20"/>
          <w:szCs w:val="20"/>
        </w:rPr>
        <w:t>counter-cyclical buffer, which is currently 0%) and 9.5% of total leverage exposu</w:t>
      </w:r>
      <w:r>
        <w:rPr>
          <w:rFonts w:ascii="Arial" w:eastAsia="宋体" w:hAnsi="Arial" w:cs="Arial"/>
          <w:color w:val="000000"/>
          <w:sz w:val="20"/>
          <w:szCs w:val="20"/>
        </w:rPr>
        <w:t xml:space="preserve">re (7.5% minimum plus the enhanced SLR buffer of 2.0%), as defined by the SLR rule; and </w:t>
      </w:r>
    </w:p>
    <w:p w14:paraId="5F2C9C51" w14:textId="77777777" w:rsidR="00E836FB" w:rsidRDefault="00994958">
      <w:pPr>
        <w:spacing w:before="60"/>
        <w:ind w:hanging="360"/>
        <w:jc w:val="both"/>
        <w:textAlignment w:val="top"/>
      </w:pPr>
      <w:r>
        <w:rPr>
          <w:rFonts w:ascii="Arial" w:eastAsia="宋体" w:hAnsi="Arial" w:cs="Arial"/>
          <w:color w:val="000000"/>
          <w:sz w:val="20"/>
          <w:szCs w:val="20"/>
        </w:rPr>
        <w:t xml:space="preserve">(2) qualifying external LTD equal to the greater of 7.0% of RWA (6.0% minimum plus a G-SIB surcharge calculated for these purposes under Method 2 of 1.0%) and 4.5% of </w:t>
      </w:r>
      <w:r>
        <w:rPr>
          <w:rFonts w:ascii="Arial" w:eastAsia="宋体" w:hAnsi="Arial" w:cs="Arial"/>
          <w:color w:val="000000"/>
          <w:sz w:val="20"/>
          <w:szCs w:val="20"/>
        </w:rPr>
        <w:t xml:space="preserve">total leverage exposure, as defined by the SLR rule. </w:t>
      </w:r>
    </w:p>
    <w:p w14:paraId="5F2C9C52" w14:textId="77777777" w:rsidR="00E836FB" w:rsidRDefault="00994958">
      <w:pPr>
        <w:spacing w:before="60"/>
        <w:ind w:firstLine="450"/>
        <w:jc w:val="both"/>
        <w:textAlignment w:val="top"/>
      </w:pPr>
      <w:r>
        <w:rPr>
          <w:rFonts w:ascii="Arial" w:eastAsia="宋体" w:hAnsi="Arial" w:cs="Arial"/>
          <w:color w:val="000000"/>
          <w:sz w:val="20"/>
          <w:szCs w:val="20"/>
        </w:rPr>
        <w:t>Additionally, effective April 1, 2021, certain large banking organizations, such as us and State Street Bank, are required to make deductions from regulatory capital for investments in certain unsecured</w:t>
      </w:r>
      <w:r>
        <w:rPr>
          <w:rFonts w:ascii="Arial" w:eastAsia="宋体" w:hAnsi="Arial" w:cs="Arial"/>
          <w:color w:val="000000"/>
          <w:sz w:val="20"/>
          <w:szCs w:val="20"/>
        </w:rPr>
        <w:t xml:space="preserve"> debt instruments issued by bank holding companies and U.S. intermediate holding companies of foreign banks that are subject to the Federal Reserve’s TLAC and LTD requirements, as well as foreign G-SIBs.</w:t>
      </w:r>
    </w:p>
    <w:p w14:paraId="5F2C9C53" w14:textId="77777777" w:rsidR="00E836FB" w:rsidRDefault="00994958">
      <w:pPr>
        <w:spacing w:before="60"/>
        <w:jc w:val="both"/>
        <w:textAlignment w:val="top"/>
      </w:pPr>
      <w:r>
        <w:rPr>
          <w:rFonts w:ascii="Arial" w:eastAsia="宋体" w:hAnsi="Arial" w:cs="Arial"/>
          <w:b/>
          <w:bCs/>
          <w:i/>
          <w:iCs/>
          <w:color w:val="000000"/>
          <w:sz w:val="20"/>
          <w:szCs w:val="20"/>
        </w:rPr>
        <w:t>Liquidity Coverage Ratio and Net Stable Funding Rati</w:t>
      </w:r>
      <w:r>
        <w:rPr>
          <w:rFonts w:ascii="Arial" w:eastAsia="宋体" w:hAnsi="Arial" w:cs="Arial"/>
          <w:b/>
          <w:bCs/>
          <w:i/>
          <w:iCs/>
          <w:color w:val="000000"/>
          <w:sz w:val="20"/>
          <w:szCs w:val="20"/>
        </w:rPr>
        <w:t>o</w:t>
      </w:r>
    </w:p>
    <w:p w14:paraId="5F2C9C54" w14:textId="77777777" w:rsidR="00E836FB" w:rsidRDefault="00994958">
      <w:pPr>
        <w:spacing w:before="60"/>
        <w:ind w:firstLine="450"/>
        <w:jc w:val="both"/>
        <w:textAlignment w:val="top"/>
      </w:pPr>
      <w:r>
        <w:rPr>
          <w:rFonts w:ascii="Arial" w:eastAsia="宋体" w:hAnsi="Arial" w:cs="Arial"/>
          <w:color w:val="000000"/>
          <w:sz w:val="20"/>
          <w:szCs w:val="20"/>
        </w:rPr>
        <w:t>In addition to capital standards, the Basel III framework introduced two quantitative liquidity standards: the LCR and the NSFR.</w:t>
      </w:r>
    </w:p>
    <w:p w14:paraId="5F2C9C55" w14:textId="77777777" w:rsidR="00E836FB" w:rsidRDefault="00994958">
      <w:pPr>
        <w:spacing w:before="56"/>
        <w:ind w:firstLine="450"/>
        <w:jc w:val="both"/>
        <w:textAlignment w:val="top"/>
      </w:pPr>
      <w:r>
        <w:rPr>
          <w:rFonts w:ascii="Arial" w:eastAsia="宋体" w:hAnsi="Arial" w:cs="Arial"/>
          <w:color w:val="000000"/>
          <w:sz w:val="20"/>
          <w:szCs w:val="20"/>
        </w:rPr>
        <w:t>We are subject to the rule issued by the U.S. Agencies implementing the BCBS's LCR in the U.S. The LCR is intended to promote</w:t>
      </w:r>
      <w:r>
        <w:rPr>
          <w:rFonts w:ascii="Arial" w:eastAsia="宋体" w:hAnsi="Arial" w:cs="Arial"/>
          <w:color w:val="000000"/>
          <w:sz w:val="20"/>
          <w:szCs w:val="20"/>
        </w:rPr>
        <w:t xml:space="preserve"> the short-term resilience of internationally active banking organizations, like us, to improve the banking industry's ability to absorb shocks arising from market stress over a 30 calendar day period and improve the measurement and management of liquidity</w:t>
      </w:r>
      <w:r>
        <w:rPr>
          <w:rFonts w:ascii="Arial" w:eastAsia="宋体" w:hAnsi="Arial" w:cs="Arial"/>
          <w:color w:val="000000"/>
          <w:sz w:val="20"/>
          <w:szCs w:val="20"/>
        </w:rPr>
        <w:t xml:space="preserve"> risk.</w:t>
      </w:r>
    </w:p>
    <w:p w14:paraId="5F2C9C56" w14:textId="77777777" w:rsidR="00E836FB" w:rsidRDefault="00994958">
      <w:pPr>
        <w:spacing w:before="56"/>
        <w:ind w:firstLine="450"/>
        <w:jc w:val="both"/>
        <w:textAlignment w:val="top"/>
      </w:pPr>
      <w:r>
        <w:rPr>
          <w:rFonts w:ascii="Arial" w:eastAsia="宋体" w:hAnsi="Arial" w:cs="Arial"/>
          <w:color w:val="000000"/>
          <w:sz w:val="20"/>
          <w:szCs w:val="20"/>
        </w:rPr>
        <w:t>The LCR measures an institution’s HQLA against its net cash outflows under a prescribed stress environment. We report LCR to the Federal Reserve daily and are required to calculate and maintain an LCR that is equal to or greater than 100%. In additi</w:t>
      </w:r>
      <w:r>
        <w:rPr>
          <w:rFonts w:ascii="Arial" w:eastAsia="宋体" w:hAnsi="Arial" w:cs="Arial"/>
          <w:color w:val="000000"/>
          <w:sz w:val="20"/>
          <w:szCs w:val="20"/>
        </w:rPr>
        <w:t>on, we publicly disclose certain qualitative and quantitative information about our LCR consistent with the requirements of the Federal Reserve's final rule.</w:t>
      </w:r>
    </w:p>
    <w:p w14:paraId="5F2C9C57" w14:textId="77777777" w:rsidR="00E836FB" w:rsidRDefault="00994958">
      <w:pPr>
        <w:spacing w:before="56"/>
        <w:ind w:firstLine="450"/>
        <w:jc w:val="both"/>
        <w:textAlignment w:val="top"/>
      </w:pPr>
      <w:r>
        <w:rPr>
          <w:rFonts w:ascii="Arial" w:eastAsia="宋体" w:hAnsi="Arial" w:cs="Arial"/>
          <w:color w:val="000000"/>
          <w:sz w:val="20"/>
          <w:szCs w:val="20"/>
        </w:rPr>
        <w:t>Compliance with the LCR has required that we maintain an investment portfolio that contains an ade</w:t>
      </w:r>
      <w:r>
        <w:rPr>
          <w:rFonts w:ascii="Arial" w:eastAsia="宋体" w:hAnsi="Arial" w:cs="Arial"/>
          <w:color w:val="000000"/>
          <w:sz w:val="20"/>
          <w:szCs w:val="20"/>
        </w:rPr>
        <w:t>quate amount of HQLA. In general, HQLA investments generate a lower investment return than other types of investments, resulting in a negative impact on our NII and our NIM. In addition, the level of HQLA we are required to maintain under the LCR is depend</w:t>
      </w:r>
      <w:r>
        <w:rPr>
          <w:rFonts w:ascii="Arial" w:eastAsia="宋体" w:hAnsi="Arial" w:cs="Arial"/>
          <w:color w:val="000000"/>
          <w:sz w:val="20"/>
          <w:szCs w:val="20"/>
        </w:rPr>
        <w:t>ent upon our client relationships and the nature of services we provide, which may change over time. Deposits resulting from certain services provided (“operational deposits”) are treated as more resilient during periods of stress than other deposits. As a</w:t>
      </w:r>
      <w:r>
        <w:rPr>
          <w:rFonts w:ascii="Arial" w:eastAsia="宋体" w:hAnsi="Arial" w:cs="Arial"/>
          <w:color w:val="000000"/>
          <w:sz w:val="20"/>
          <w:szCs w:val="20"/>
        </w:rPr>
        <w:t xml:space="preserve"> result, if balances of operational deposits increased relative to our total client deposit base, we would expect to require less HQLA in order to maintain our LCR. Conversely, if balances of </w:t>
      </w:r>
    </w:p>
    <w:p w14:paraId="5F2C9C58" w14:textId="77777777" w:rsidR="00E836FB" w:rsidRDefault="00994958">
      <w:pPr>
        <w:ind w:firstLine="450"/>
        <w:jc w:val="right"/>
      </w:pPr>
      <w:r>
        <w:rPr>
          <w:rFonts w:ascii="Arial" w:eastAsia="宋体" w:hAnsi="Arial" w:cs="Arial"/>
          <w:color w:val="000000"/>
          <w:sz w:val="18"/>
          <w:szCs w:val="18"/>
        </w:rPr>
        <w:t>State Street Corporation | 14</w:t>
      </w:r>
    </w:p>
    <w:p w14:paraId="5F2C9C59" w14:textId="77777777" w:rsidR="00E836FB" w:rsidRDefault="00E836FB">
      <w:pPr>
        <w:ind w:firstLine="450"/>
        <w:jc w:val="center"/>
      </w:pPr>
    </w:p>
    <w:p w14:paraId="5F2C9C5A" w14:textId="77777777" w:rsidR="00E836FB" w:rsidRDefault="00994958">
      <w:r>
        <w:pict w14:anchorId="5F2D6D91">
          <v:rect id="_x0000_i1038" style="width:415.3pt;height:1.5pt" o:hralign="center" o:hrstd="t" o:hr="t" fillcolor="#a0a0a0" stroked="f"/>
        </w:pict>
      </w:r>
    </w:p>
    <w:p w14:paraId="5F2C9C5B" w14:textId="77777777" w:rsidR="00E836FB" w:rsidRDefault="00E836FB">
      <w:pPr>
        <w:ind w:firstLine="450"/>
      </w:pPr>
    </w:p>
    <w:p w14:paraId="5F2C9C5C" w14:textId="77777777" w:rsidR="00E836FB" w:rsidRDefault="00994958">
      <w:pPr>
        <w:spacing w:before="56"/>
        <w:jc w:val="both"/>
        <w:textAlignment w:val="top"/>
      </w:pPr>
      <w:r>
        <w:rPr>
          <w:rFonts w:ascii="Arial" w:eastAsia="宋体" w:hAnsi="Arial" w:cs="Arial"/>
          <w:color w:val="000000"/>
          <w:sz w:val="20"/>
          <w:szCs w:val="20"/>
        </w:rPr>
        <w:t>operational deposits decrease</w:t>
      </w:r>
      <w:r>
        <w:rPr>
          <w:rFonts w:ascii="Arial" w:eastAsia="宋体" w:hAnsi="Arial" w:cs="Arial"/>
          <w:color w:val="000000"/>
          <w:sz w:val="20"/>
          <w:szCs w:val="20"/>
        </w:rPr>
        <w:t xml:space="preserve">d relative to our total client deposit base, we would expect to require more HQLA. On May 5, 2020, the U.S. banking agencies issued a rule that modifies the LCR rule to neutralize the impact on LCR of the advances made by the MMLF (and Paycheck Protection </w:t>
      </w:r>
      <w:r>
        <w:rPr>
          <w:rFonts w:ascii="Arial" w:eastAsia="宋体" w:hAnsi="Arial" w:cs="Arial"/>
          <w:color w:val="000000"/>
          <w:sz w:val="20"/>
          <w:szCs w:val="20"/>
        </w:rPr>
        <w:t>Liquidity Facility program) and the exposures securing such advances.</w:t>
      </w:r>
    </w:p>
    <w:p w14:paraId="5F2C9C5D" w14:textId="77777777" w:rsidR="00E836FB" w:rsidRDefault="00994958">
      <w:pPr>
        <w:spacing w:before="60"/>
        <w:ind w:firstLine="450"/>
        <w:jc w:val="both"/>
        <w:textAlignment w:val="top"/>
      </w:pPr>
      <w:r>
        <w:rPr>
          <w:rFonts w:ascii="Arial" w:eastAsia="宋体" w:hAnsi="Arial" w:cs="Arial"/>
          <w:color w:val="000000"/>
          <w:sz w:val="20"/>
          <w:szCs w:val="20"/>
        </w:rPr>
        <w:t>In October 2020, the U.S. Agencies issued a final rule implementing the BCBS’s NSFR in the United States. The final rule requires large banking organizations to maintain an amount of ava</w:t>
      </w:r>
      <w:r>
        <w:rPr>
          <w:rFonts w:ascii="Arial" w:eastAsia="宋体" w:hAnsi="Arial" w:cs="Arial"/>
          <w:color w:val="000000"/>
          <w:sz w:val="20"/>
          <w:szCs w:val="20"/>
        </w:rPr>
        <w:t>ilable stable funding, which is a weighted measure of a company’s funding sources over a one-year time horizon, calculated by applying standardized weightings to the company’s equity and liabilities based on their expected stability, that is no less than t</w:t>
      </w:r>
      <w:r>
        <w:rPr>
          <w:rFonts w:ascii="Arial" w:eastAsia="宋体" w:hAnsi="Arial" w:cs="Arial"/>
          <w:color w:val="000000"/>
          <w:sz w:val="20"/>
          <w:szCs w:val="20"/>
        </w:rPr>
        <w:t>he amount of required stable funding, which is calculated by applying standardized weightings to assets, derivatives exposures and certain other items based on their liquidity characteristics. As a U.S. G-SIB, we are required to maintain an NSFR that is eq</w:t>
      </w:r>
      <w:r>
        <w:rPr>
          <w:rFonts w:ascii="Arial" w:eastAsia="宋体" w:hAnsi="Arial" w:cs="Arial"/>
          <w:color w:val="000000"/>
          <w:sz w:val="20"/>
          <w:szCs w:val="20"/>
        </w:rPr>
        <w:t>ual to or greater than 100%. The final rule became effective as of July 1, 2021. The final rule requires us to publicly disclose our quarterly NSFR on a semiannual basis beginning in 2023.</w:t>
      </w:r>
    </w:p>
    <w:p w14:paraId="5F2C9C5E" w14:textId="77777777" w:rsidR="00E836FB" w:rsidRDefault="00994958">
      <w:pPr>
        <w:spacing w:before="60"/>
        <w:jc w:val="both"/>
        <w:textAlignment w:val="top"/>
      </w:pPr>
      <w:r>
        <w:rPr>
          <w:rFonts w:ascii="Arial" w:eastAsia="宋体" w:hAnsi="Arial" w:cs="Arial"/>
          <w:b/>
          <w:bCs/>
          <w:i/>
          <w:iCs/>
          <w:color w:val="000000"/>
          <w:sz w:val="20"/>
          <w:szCs w:val="20"/>
        </w:rPr>
        <w:t>Capital Planning, Stress Tests and Dividends</w:t>
      </w:r>
    </w:p>
    <w:p w14:paraId="5F2C9C5F" w14:textId="77777777" w:rsidR="00E836FB" w:rsidRDefault="00994958">
      <w:pPr>
        <w:spacing w:before="60"/>
        <w:ind w:firstLine="450"/>
        <w:jc w:val="both"/>
        <w:textAlignment w:val="top"/>
      </w:pPr>
      <w:r>
        <w:rPr>
          <w:rFonts w:ascii="Arial" w:eastAsia="宋体" w:hAnsi="Arial" w:cs="Arial"/>
          <w:color w:val="000000"/>
          <w:sz w:val="20"/>
          <w:szCs w:val="20"/>
        </w:rPr>
        <w:t xml:space="preserve">Pursuant to the </w:t>
      </w:r>
      <w:r>
        <w:rPr>
          <w:rFonts w:ascii="Arial" w:eastAsia="宋体" w:hAnsi="Arial" w:cs="Arial"/>
          <w:color w:val="000000"/>
          <w:sz w:val="20"/>
          <w:szCs w:val="20"/>
        </w:rPr>
        <w:t>Dodd-Frank Act, the Federal Reserve has adopted capital planning and stress test requirements for large bank holding companies, including us, which form part of the Federal Reserve’s annual stress testing and capital planning framework. The Federal Reserve</w:t>
      </w:r>
      <w:r>
        <w:rPr>
          <w:rFonts w:ascii="Arial" w:eastAsia="宋体" w:hAnsi="Arial" w:cs="Arial"/>
          <w:color w:val="000000"/>
          <w:sz w:val="20"/>
          <w:szCs w:val="20"/>
        </w:rPr>
        <w:t xml:space="preserve"> conducts its own stress tests of our business operations using supervisory models, referred to as supervisory stress tests, the results of which it uses to calibrate our annual SCB, subject to a minimum of 2.5%. In addition, under the Federal Reserve’s ca</w:t>
      </w:r>
      <w:r>
        <w:rPr>
          <w:rFonts w:ascii="Arial" w:eastAsia="宋体" w:hAnsi="Arial" w:cs="Arial"/>
          <w:color w:val="000000"/>
          <w:sz w:val="20"/>
          <w:szCs w:val="20"/>
        </w:rPr>
        <w:t>pital plan rule, we must conduct periodic stress testing of our business operations and submit an annual capital plan to the Federal Reserve, taking into account the results of separate stress tests designed by us and by the Federal Reserve. The Federal Re</w:t>
      </w:r>
      <w:r>
        <w:rPr>
          <w:rFonts w:ascii="Arial" w:eastAsia="宋体" w:hAnsi="Arial" w:cs="Arial"/>
          <w:color w:val="000000"/>
          <w:sz w:val="20"/>
          <w:szCs w:val="20"/>
        </w:rPr>
        <w:t>serve conducts a qualitative assessment of our capital plan as part of the annual supervisory process known as CCAR, to evaluate the strength of our capital planning practices, including our ability to identify, measure, and determine the appropriate amoun</w:t>
      </w:r>
      <w:r>
        <w:rPr>
          <w:rFonts w:ascii="Arial" w:eastAsia="宋体" w:hAnsi="Arial" w:cs="Arial"/>
          <w:color w:val="000000"/>
          <w:sz w:val="20"/>
          <w:szCs w:val="20"/>
        </w:rPr>
        <w:t>t of capital for our risks, and controls and governance supporting capital planning.</w:t>
      </w:r>
      <w:r>
        <w:rPr>
          <w:rFonts w:ascii="Arial" w:eastAsia="宋体" w:hAnsi="Arial" w:cs="Arial"/>
          <w:color w:val="000000"/>
        </w:rPr>
        <w:t xml:space="preserve"> </w:t>
      </w:r>
    </w:p>
    <w:p w14:paraId="5F2C9C60" w14:textId="77777777" w:rsidR="00E836FB" w:rsidRDefault="00994958">
      <w:pPr>
        <w:spacing w:before="60"/>
        <w:ind w:firstLine="450"/>
        <w:jc w:val="both"/>
        <w:textAlignment w:val="top"/>
      </w:pPr>
      <w:r>
        <w:rPr>
          <w:rFonts w:ascii="Arial" w:eastAsia="宋体" w:hAnsi="Arial" w:cs="Arial"/>
          <w:color w:val="000000"/>
          <w:sz w:val="20"/>
          <w:szCs w:val="20"/>
        </w:rPr>
        <w:t xml:space="preserve">The Federal Reserve's final rule to integrate its annual capital planning and stress testing requirements with certain ongoing regulatory capital requirements applies to </w:t>
      </w:r>
      <w:r>
        <w:rPr>
          <w:rFonts w:ascii="Arial" w:eastAsia="宋体" w:hAnsi="Arial" w:cs="Arial"/>
          <w:color w:val="000000"/>
          <w:sz w:val="20"/>
          <w:szCs w:val="20"/>
        </w:rPr>
        <w:t xml:space="preserve">certain bank holding companies, including us. The final rule introduced an SCB and related changes to the capital planning and stress testing processes. The standardized approach SCB equals the greater of (i) 2.5%; and (ii) the maximum decline in our CET1 </w:t>
      </w:r>
      <w:r>
        <w:rPr>
          <w:rFonts w:ascii="Arial" w:eastAsia="宋体" w:hAnsi="Arial" w:cs="Arial"/>
          <w:color w:val="000000"/>
          <w:sz w:val="20"/>
          <w:szCs w:val="20"/>
        </w:rPr>
        <w:t xml:space="preserve">capital ratio under the </w:t>
      </w:r>
    </w:p>
    <w:p w14:paraId="5F2C9C61" w14:textId="77777777" w:rsidR="00E836FB" w:rsidRDefault="00994958">
      <w:pPr>
        <w:spacing w:before="60"/>
        <w:jc w:val="both"/>
        <w:textAlignment w:val="top"/>
      </w:pPr>
      <w:r>
        <w:rPr>
          <w:rFonts w:ascii="Arial" w:eastAsia="宋体" w:hAnsi="Arial" w:cs="Arial"/>
          <w:color w:val="000000"/>
          <w:sz w:val="20"/>
          <w:szCs w:val="20"/>
        </w:rPr>
        <w:t>severely adverse scenario over the supervisory stress test measurement period, plus the ratio of (a) the sum of the dollar amount of our planned common stock dividends for the fourth through seventh quarters of the supervisory stre</w:t>
      </w:r>
      <w:r>
        <w:rPr>
          <w:rFonts w:ascii="Arial" w:eastAsia="宋体" w:hAnsi="Arial" w:cs="Arial"/>
          <w:color w:val="000000"/>
          <w:sz w:val="20"/>
          <w:szCs w:val="20"/>
        </w:rPr>
        <w:t>ss test projection period to (b) our projected RWA for the quarter in which our projected CET1 capital ratio reaches its minimum in the supervisory stress test. Risked-based regulatory capital requirements under the standardized approach include the SCB, a</w:t>
      </w:r>
      <w:r>
        <w:rPr>
          <w:rFonts w:ascii="Arial" w:eastAsia="宋体" w:hAnsi="Arial" w:cs="Arial"/>
          <w:color w:val="000000"/>
          <w:sz w:val="20"/>
          <w:szCs w:val="20"/>
        </w:rPr>
        <w:t>s summarized above, as well as our G-SIB capital surcharge and any applicable countercyclical capital buffer.</w:t>
      </w:r>
    </w:p>
    <w:p w14:paraId="5F2C9C62" w14:textId="77777777" w:rsidR="00E836FB" w:rsidRDefault="00994958">
      <w:pPr>
        <w:spacing w:before="60"/>
        <w:ind w:firstLine="450"/>
        <w:jc w:val="both"/>
        <w:textAlignment w:val="top"/>
      </w:pPr>
      <w:r>
        <w:rPr>
          <w:rFonts w:ascii="Arial" w:eastAsia="宋体" w:hAnsi="Arial" w:cs="Arial"/>
          <w:color w:val="000000"/>
          <w:sz w:val="20"/>
          <w:szCs w:val="20"/>
        </w:rPr>
        <w:t xml:space="preserve">The final rule made related changes to capital planning and stress testing processes for bank holding companies subject to the SCB </w:t>
      </w:r>
      <w:r>
        <w:rPr>
          <w:rFonts w:ascii="Arial" w:eastAsia="宋体" w:hAnsi="Arial" w:cs="Arial"/>
          <w:color w:val="000000"/>
          <w:sz w:val="20"/>
          <w:szCs w:val="20"/>
        </w:rPr>
        <w:t>requirement. In particular, the final rule assumes that bank holding companies maintain a constant level of assets and RWA throughout the supervisory stress test projection period. In addition, under the final rule the supervisory stress test no longer ass</w:t>
      </w:r>
      <w:r>
        <w:rPr>
          <w:rFonts w:ascii="Arial" w:eastAsia="宋体" w:hAnsi="Arial" w:cs="Arial"/>
          <w:color w:val="000000"/>
          <w:sz w:val="20"/>
          <w:szCs w:val="20"/>
        </w:rPr>
        <w:t>umes that bank holding companies make all nine quarters of planned capital distributions under stress, although the SCB incorporates the dollar amount of four quarters of planned common stock dividends, as described above.</w:t>
      </w:r>
    </w:p>
    <w:p w14:paraId="5F2C9C63" w14:textId="77777777" w:rsidR="00E836FB" w:rsidRDefault="00994958">
      <w:pPr>
        <w:spacing w:before="60"/>
        <w:ind w:firstLine="450"/>
        <w:jc w:val="both"/>
        <w:textAlignment w:val="top"/>
      </w:pPr>
      <w:r>
        <w:rPr>
          <w:rFonts w:ascii="Arial" w:eastAsia="宋体" w:hAnsi="Arial" w:cs="Arial"/>
          <w:color w:val="000000"/>
          <w:sz w:val="20"/>
          <w:szCs w:val="20"/>
        </w:rPr>
        <w:t>The final rule did not change reg</w:t>
      </w:r>
      <w:r>
        <w:rPr>
          <w:rFonts w:ascii="Arial" w:eastAsia="宋体" w:hAnsi="Arial" w:cs="Arial"/>
          <w:color w:val="000000"/>
          <w:sz w:val="20"/>
          <w:szCs w:val="20"/>
        </w:rPr>
        <w:t>ulatory capital requirements under the advanced approaches, the Tier 1 leverage ratio or the SLR.</w:t>
      </w:r>
    </w:p>
    <w:p w14:paraId="5F2C9C64" w14:textId="77777777" w:rsidR="00E836FB" w:rsidRDefault="00994958">
      <w:pPr>
        <w:spacing w:before="60"/>
        <w:ind w:firstLine="450"/>
        <w:jc w:val="both"/>
        <w:textAlignment w:val="top"/>
      </w:pPr>
      <w:r>
        <w:rPr>
          <w:rFonts w:ascii="Arial" w:eastAsia="宋体" w:hAnsi="Arial" w:cs="Arial"/>
          <w:color w:val="000000"/>
          <w:sz w:val="20"/>
          <w:szCs w:val="20"/>
        </w:rPr>
        <w:t xml:space="preserve">Our SCB requirement was 2.5% for the period from October 1, 2020 through September 30, 2021. On June 24, 2021, we were notified by the Federal Reserve of the </w:t>
      </w:r>
      <w:r>
        <w:rPr>
          <w:rFonts w:ascii="Arial" w:eastAsia="宋体" w:hAnsi="Arial" w:cs="Arial"/>
          <w:color w:val="000000"/>
          <w:sz w:val="20"/>
          <w:szCs w:val="20"/>
        </w:rPr>
        <w:t>results from the 2021 supervisory stress test, including our preliminary SCB of 2.5%. Our SCB calculated under the 2021 supervisory stress test was well below the 2.5% minimum, resulting in an SCB at that floor, which went into effect starting October 1, 2</w:t>
      </w:r>
      <w:r>
        <w:rPr>
          <w:rFonts w:ascii="Arial" w:eastAsia="宋体" w:hAnsi="Arial" w:cs="Arial"/>
          <w:color w:val="000000"/>
          <w:sz w:val="20"/>
          <w:szCs w:val="20"/>
        </w:rPr>
        <w:t xml:space="preserve">021 and which will be effective through September 30, 2022. </w:t>
      </w:r>
    </w:p>
    <w:p w14:paraId="5F2C9C65" w14:textId="77777777" w:rsidR="00E836FB" w:rsidRDefault="00994958">
      <w:pPr>
        <w:spacing w:before="60"/>
        <w:ind w:firstLine="450"/>
        <w:jc w:val="both"/>
        <w:textAlignment w:val="top"/>
      </w:pPr>
      <w:r>
        <w:rPr>
          <w:rFonts w:ascii="Arial" w:eastAsia="宋体" w:hAnsi="Arial" w:cs="Arial"/>
          <w:color w:val="000000"/>
          <w:sz w:val="20"/>
          <w:szCs w:val="20"/>
        </w:rPr>
        <w:t>Although the final SCB rule changed the effects of the CCAR and supervisory stress test processes so that the SCB, rather than CCAR, is the source of our stress-based capital requirements, we con</w:t>
      </w:r>
      <w:r>
        <w:rPr>
          <w:rFonts w:ascii="Arial" w:eastAsia="宋体" w:hAnsi="Arial" w:cs="Arial"/>
          <w:color w:val="000000"/>
          <w:sz w:val="20"/>
          <w:szCs w:val="20"/>
        </w:rPr>
        <w:t>tinue to be subject to CCAR's capital plan requirements and the supervisory assessment of our capital planning activities. Under the capital planning requirements, our annual capital plan must include a description of all of our planned capital actions ove</w:t>
      </w:r>
      <w:r>
        <w:rPr>
          <w:rFonts w:ascii="Arial" w:eastAsia="宋体" w:hAnsi="Arial" w:cs="Arial"/>
          <w:color w:val="000000"/>
          <w:sz w:val="20"/>
          <w:szCs w:val="20"/>
        </w:rPr>
        <w:t>r a nine-quarter planning horizon, including any capital qualifying instruments, any capital distributions, such as payments of dividends on, or repurchases of, our stock, and any similar action that the Federal Reserve determines could affect our consolid</w:t>
      </w:r>
      <w:r>
        <w:rPr>
          <w:rFonts w:ascii="Arial" w:eastAsia="宋体" w:hAnsi="Arial" w:cs="Arial"/>
          <w:color w:val="000000"/>
          <w:sz w:val="20"/>
          <w:szCs w:val="20"/>
        </w:rPr>
        <w:t>ated capital. The capital plan must include a discussion of how we will maintain capital above the minimum regulatory capital ratios, including the minimum ratios under the Basel III rule, and serve as a source of strength to State Street Bank under superv</w:t>
      </w:r>
      <w:r>
        <w:rPr>
          <w:rFonts w:ascii="Arial" w:eastAsia="宋体" w:hAnsi="Arial" w:cs="Arial"/>
          <w:color w:val="000000"/>
          <w:sz w:val="20"/>
          <w:szCs w:val="20"/>
        </w:rPr>
        <w:t xml:space="preserve">isory stress scenarios. Changes in our strategy, merger or acquisition activity </w:t>
      </w:r>
    </w:p>
    <w:p w14:paraId="5F2C9C66" w14:textId="77777777" w:rsidR="00E836FB" w:rsidRDefault="00994958">
      <w:pPr>
        <w:ind w:firstLine="450"/>
        <w:jc w:val="right"/>
      </w:pPr>
      <w:r>
        <w:rPr>
          <w:rFonts w:ascii="Arial" w:eastAsia="宋体" w:hAnsi="Arial" w:cs="Arial"/>
          <w:color w:val="000000"/>
          <w:sz w:val="18"/>
          <w:szCs w:val="18"/>
        </w:rPr>
        <w:t>State Street Corporation | 15</w:t>
      </w:r>
    </w:p>
    <w:p w14:paraId="5F2C9C67" w14:textId="77777777" w:rsidR="00E836FB" w:rsidRDefault="00E836FB">
      <w:pPr>
        <w:ind w:firstLine="450"/>
        <w:jc w:val="center"/>
      </w:pPr>
    </w:p>
    <w:p w14:paraId="5F2C9C68" w14:textId="77777777" w:rsidR="00E836FB" w:rsidRDefault="00994958">
      <w:r>
        <w:pict w14:anchorId="5F2D6D92">
          <v:rect id="_x0000_i1039" style="width:415.3pt;height:1.5pt" o:hralign="center" o:hrstd="t" o:hr="t" fillcolor="#a0a0a0" stroked="f"/>
        </w:pict>
      </w:r>
    </w:p>
    <w:p w14:paraId="5F2C9C69" w14:textId="77777777" w:rsidR="00E836FB" w:rsidRDefault="00E836FB">
      <w:pPr>
        <w:ind w:firstLine="450"/>
      </w:pPr>
    </w:p>
    <w:p w14:paraId="5F2C9C6A" w14:textId="77777777" w:rsidR="00E836FB" w:rsidRDefault="00994958">
      <w:pPr>
        <w:spacing w:before="60"/>
        <w:jc w:val="both"/>
        <w:textAlignment w:val="top"/>
      </w:pPr>
      <w:r>
        <w:rPr>
          <w:rFonts w:ascii="Arial" w:eastAsia="宋体" w:hAnsi="Arial" w:cs="Arial"/>
          <w:color w:val="000000"/>
          <w:sz w:val="20"/>
          <w:szCs w:val="20"/>
        </w:rPr>
        <w:t>or unanticipated uses of capital could result in a change in our capital plan and its associated capital actions, including capital raises or</w:t>
      </w:r>
      <w:r>
        <w:rPr>
          <w:rFonts w:ascii="Arial" w:eastAsia="宋体" w:hAnsi="Arial" w:cs="Arial"/>
          <w:color w:val="000000"/>
          <w:sz w:val="20"/>
          <w:szCs w:val="20"/>
        </w:rPr>
        <w:t xml:space="preserve"> modifications to planned capital actions, such as repurchases of our stock, and may require resubmission of the capital plan to the Federal Reserve if, among other reasons, we would not meet our regulatory capital requirements after making the proposed ca</w:t>
      </w:r>
      <w:r>
        <w:rPr>
          <w:rFonts w:ascii="Arial" w:eastAsia="宋体" w:hAnsi="Arial" w:cs="Arial"/>
          <w:color w:val="000000"/>
          <w:sz w:val="20"/>
          <w:szCs w:val="20"/>
        </w:rPr>
        <w:t>pital distribution.</w:t>
      </w:r>
    </w:p>
    <w:p w14:paraId="5F2C9C6B" w14:textId="77777777" w:rsidR="00E836FB" w:rsidRDefault="00994958">
      <w:pPr>
        <w:spacing w:before="56"/>
        <w:ind w:firstLine="450"/>
        <w:jc w:val="both"/>
        <w:textAlignment w:val="top"/>
      </w:pPr>
      <w:r>
        <w:rPr>
          <w:rFonts w:ascii="Arial" w:eastAsia="宋体" w:hAnsi="Arial" w:cs="Arial"/>
          <w:color w:val="000000"/>
          <w:sz w:val="20"/>
          <w:szCs w:val="20"/>
        </w:rPr>
        <w:t>In addition to its stress testing and capital planning requirements, the Federal Reserve has the authority to prohibit or to limit the payment of dividends, the repurchase of common stock, or other capital actions that reduce capital by</w:t>
      </w:r>
      <w:r>
        <w:rPr>
          <w:rFonts w:ascii="Arial" w:eastAsia="宋体" w:hAnsi="Arial" w:cs="Arial"/>
          <w:color w:val="000000"/>
          <w:sz w:val="20"/>
          <w:szCs w:val="20"/>
        </w:rPr>
        <w:t xml:space="preserve"> the banking organizations it supervises, including the Parent Company and State Street Bank, if, in the Federal Reserve’s opinion, the capital action would constitute an unsafe or unsound practice in light of the financial condition of the banking organiz</w:t>
      </w:r>
      <w:r>
        <w:rPr>
          <w:rFonts w:ascii="Arial" w:eastAsia="宋体" w:hAnsi="Arial" w:cs="Arial"/>
          <w:color w:val="000000"/>
          <w:sz w:val="20"/>
          <w:szCs w:val="20"/>
        </w:rPr>
        <w:t>ation. All of these policies and other requirements could affect our ability to pay dividends and repurchase our stock or require us to provide capital assistance to State Street Bank and any other banking subsidiary. Our common stock and other stock divid</w:t>
      </w:r>
      <w:r>
        <w:rPr>
          <w:rFonts w:ascii="Arial" w:eastAsia="宋体" w:hAnsi="Arial" w:cs="Arial"/>
          <w:color w:val="000000"/>
          <w:sz w:val="20"/>
          <w:szCs w:val="20"/>
        </w:rPr>
        <w:t>ends, including the declaration, timing and amount thereof, remain subject to consideration and approval by our Board of Directors at the relevant times.</w:t>
      </w:r>
    </w:p>
    <w:p w14:paraId="5F2C9C6C" w14:textId="77777777" w:rsidR="00E836FB" w:rsidRDefault="00994958">
      <w:pPr>
        <w:spacing w:before="60"/>
        <w:ind w:firstLine="450"/>
        <w:jc w:val="both"/>
        <w:textAlignment w:val="top"/>
      </w:pPr>
      <w:r>
        <w:rPr>
          <w:rFonts w:ascii="Arial" w:eastAsia="宋体" w:hAnsi="Arial" w:cs="Arial"/>
          <w:color w:val="000000"/>
          <w:sz w:val="20"/>
          <w:szCs w:val="20"/>
        </w:rPr>
        <w:t>In January 2021, our Board authorized a common share repurchase program for the repurchase of up to $4</w:t>
      </w:r>
      <w:r>
        <w:rPr>
          <w:rFonts w:ascii="Arial" w:eastAsia="宋体" w:hAnsi="Arial" w:cs="Arial"/>
          <w:color w:val="000000"/>
          <w:sz w:val="20"/>
          <w:szCs w:val="20"/>
        </w:rPr>
        <w:t>75 million of our common stock through March 31, 2021. We repurchased $475 million of our common stock in the first quarter of 2021. In April 2021, our Board authorized a common share repurchase program for the repurchase of up to $425 million of our commo</w:t>
      </w:r>
      <w:r>
        <w:rPr>
          <w:rFonts w:ascii="Arial" w:eastAsia="宋体" w:hAnsi="Arial" w:cs="Arial"/>
          <w:color w:val="000000"/>
          <w:sz w:val="20"/>
          <w:szCs w:val="20"/>
        </w:rPr>
        <w:t>n stock through June 30, 2021, in compliance with the limit set by the Federal Reserve. We repurchased $425 million of our common stock in the second quarter of 2021. In July 2021, our Board authorized a share repurchase program for the repurchase of up to</w:t>
      </w:r>
      <w:r>
        <w:rPr>
          <w:rFonts w:ascii="Arial" w:eastAsia="宋体" w:hAnsi="Arial" w:cs="Arial"/>
          <w:color w:val="000000"/>
          <w:sz w:val="20"/>
          <w:szCs w:val="20"/>
        </w:rPr>
        <w:t xml:space="preserve"> $3.0 billion of our common stock through the end of 2022.</w:t>
      </w:r>
    </w:p>
    <w:p w14:paraId="5F2C9C6D" w14:textId="77777777" w:rsidR="00E836FB" w:rsidRDefault="00994958">
      <w:pPr>
        <w:spacing w:before="60"/>
        <w:ind w:firstLine="450"/>
        <w:jc w:val="both"/>
        <w:textAlignment w:val="top"/>
      </w:pPr>
      <w:r>
        <w:rPr>
          <w:rFonts w:ascii="Arial" w:eastAsia="宋体" w:hAnsi="Arial" w:cs="Arial"/>
          <w:color w:val="000000"/>
          <w:sz w:val="20"/>
          <w:szCs w:val="20"/>
        </w:rPr>
        <w:t>In connection with our planned acquisition of the BBH Investor Services business, we did not repurchase any common stock during the third and fourth quarters of 2021 under the common share repurcha</w:t>
      </w:r>
      <w:r>
        <w:rPr>
          <w:rFonts w:ascii="Arial" w:eastAsia="宋体" w:hAnsi="Arial" w:cs="Arial"/>
          <w:color w:val="000000"/>
          <w:sz w:val="20"/>
          <w:szCs w:val="20"/>
        </w:rPr>
        <w:t>se plan approved by our Board in July 2021, and we do not intend to repurchase any common stock during the first quarter of 2022. We intend to resume our common share repurchases during the second quarter of 2022.</w:t>
      </w:r>
    </w:p>
    <w:p w14:paraId="5F2C9C6E" w14:textId="77777777" w:rsidR="00E836FB" w:rsidRDefault="00994958">
      <w:pPr>
        <w:spacing w:before="60"/>
        <w:ind w:firstLine="450"/>
        <w:jc w:val="both"/>
        <w:textAlignment w:val="top"/>
      </w:pPr>
      <w:r>
        <w:rPr>
          <w:rFonts w:ascii="Arial" w:eastAsia="宋体" w:hAnsi="Arial" w:cs="Arial"/>
          <w:color w:val="000000"/>
          <w:sz w:val="20"/>
          <w:szCs w:val="20"/>
        </w:rPr>
        <w:t>In September 2021, we completed a public o</w:t>
      </w:r>
      <w:r>
        <w:rPr>
          <w:rFonts w:ascii="Arial" w:eastAsia="宋体" w:hAnsi="Arial" w:cs="Arial"/>
          <w:color w:val="000000"/>
          <w:sz w:val="20"/>
          <w:szCs w:val="20"/>
        </w:rPr>
        <w:t>ffering of approximately 21.7 million shares of our common stock. The offering price was $87.60 per share and net proceeds totaled approximately $1.9 billion. We expect to use these net proceeds to finance our planned acquisition of the BBH Investor Servic</w:t>
      </w:r>
      <w:r>
        <w:rPr>
          <w:rFonts w:ascii="Arial" w:eastAsia="宋体" w:hAnsi="Arial" w:cs="Arial"/>
          <w:color w:val="000000"/>
          <w:sz w:val="20"/>
          <w:szCs w:val="20"/>
        </w:rPr>
        <w:t>es business.</w:t>
      </w:r>
    </w:p>
    <w:p w14:paraId="5F2C9C6F" w14:textId="77777777" w:rsidR="00E836FB" w:rsidRDefault="00994958">
      <w:pPr>
        <w:spacing w:before="60"/>
        <w:ind w:firstLine="450"/>
        <w:jc w:val="both"/>
        <w:textAlignment w:val="top"/>
      </w:pPr>
      <w:r>
        <w:rPr>
          <w:rFonts w:ascii="Arial" w:eastAsia="宋体" w:hAnsi="Arial" w:cs="Arial"/>
          <w:color w:val="000000"/>
          <w:sz w:val="20"/>
          <w:szCs w:val="20"/>
        </w:rPr>
        <w:t>When permitted, stock purchases may be made using various types of mechanisms, including open market purchases, accelerated share repurchases or transactions off market, and may be made under Rule 10b5-1 trading programs. The timing of stock p</w:t>
      </w:r>
      <w:r>
        <w:rPr>
          <w:rFonts w:ascii="Arial" w:eastAsia="宋体" w:hAnsi="Arial" w:cs="Arial"/>
          <w:color w:val="000000"/>
          <w:sz w:val="20"/>
          <w:szCs w:val="20"/>
        </w:rPr>
        <w:t>urchases, types of transactions and number of shares purchased will depend on several factors, including market conditions and State Street’s capital positions, financial performance and investment opportunities. Our common stock purchase programs do not h</w:t>
      </w:r>
      <w:r>
        <w:rPr>
          <w:rFonts w:ascii="Arial" w:eastAsia="宋体" w:hAnsi="Arial" w:cs="Arial"/>
          <w:color w:val="000000"/>
          <w:sz w:val="20"/>
          <w:szCs w:val="20"/>
        </w:rPr>
        <w:t>ave specific price targets and may be suspended at any time. We may employ third-party broker/dealers to acquire shares on the open market in connection with our common stock purchase programs. The common stock purchase program does not have specific price</w:t>
      </w:r>
      <w:r>
        <w:rPr>
          <w:rFonts w:ascii="Arial" w:eastAsia="宋体" w:hAnsi="Arial" w:cs="Arial"/>
          <w:color w:val="000000"/>
          <w:sz w:val="20"/>
          <w:szCs w:val="20"/>
        </w:rPr>
        <w:t xml:space="preserve"> targets and may be suspended at any time.</w:t>
      </w:r>
    </w:p>
    <w:p w14:paraId="5F2C9C70" w14:textId="77777777" w:rsidR="00E836FB" w:rsidRDefault="00994958">
      <w:pPr>
        <w:spacing w:before="60"/>
        <w:ind w:firstLine="450"/>
        <w:jc w:val="both"/>
        <w:textAlignment w:val="top"/>
      </w:pPr>
      <w:r>
        <w:rPr>
          <w:rFonts w:ascii="Arial" w:eastAsia="宋体" w:hAnsi="Arial" w:cs="Arial"/>
          <w:color w:val="000000"/>
          <w:sz w:val="20"/>
          <w:szCs w:val="20"/>
        </w:rPr>
        <w:t>The Federal Reserve, under the Dodd-Frank Act, previously required us to conduct semi-annual State Street-run stress tests and to publicly disclose the summary results of our State Street-run stress tests under th</w:t>
      </w:r>
      <w:r>
        <w:rPr>
          <w:rFonts w:ascii="Arial" w:eastAsia="宋体" w:hAnsi="Arial" w:cs="Arial"/>
          <w:color w:val="000000"/>
          <w:sz w:val="20"/>
          <w:szCs w:val="20"/>
        </w:rPr>
        <w:t>e severely adverse economic scenario. We are also required to undergo an annual supervisory stress test conducted by the Federal Reserve. The EGRRCPA modifies certain aspects of these stress-testing requirements, reducing the number of scenarios in the Fed</w:t>
      </w:r>
      <w:r>
        <w:rPr>
          <w:rFonts w:ascii="Arial" w:eastAsia="宋体" w:hAnsi="Arial" w:cs="Arial"/>
          <w:color w:val="000000"/>
          <w:sz w:val="20"/>
          <w:szCs w:val="20"/>
        </w:rPr>
        <w:t>eral Reserve’s supervisory stress test from three to two and modifying our obligation to perform company-run stress-tests from semi-annually to annually. The Federal Reserve adopted a final rule in October 2019 that, among other things, implemented this mo</w:t>
      </w:r>
      <w:r>
        <w:rPr>
          <w:rFonts w:ascii="Arial" w:eastAsia="宋体" w:hAnsi="Arial" w:cs="Arial"/>
          <w:color w:val="000000"/>
          <w:sz w:val="20"/>
          <w:szCs w:val="20"/>
        </w:rPr>
        <w:t>dification.</w:t>
      </w:r>
    </w:p>
    <w:p w14:paraId="5F2C9C71" w14:textId="77777777" w:rsidR="00E836FB" w:rsidRDefault="00994958">
      <w:pPr>
        <w:spacing w:before="60"/>
        <w:jc w:val="both"/>
        <w:textAlignment w:val="top"/>
      </w:pPr>
      <w:r>
        <w:rPr>
          <w:rFonts w:ascii="Arial" w:eastAsia="宋体" w:hAnsi="Arial" w:cs="Arial"/>
          <w:b/>
          <w:bCs/>
          <w:i/>
          <w:iCs/>
          <w:color w:val="000000"/>
          <w:sz w:val="20"/>
          <w:szCs w:val="20"/>
        </w:rPr>
        <w:t>The Volcker Rule</w:t>
      </w:r>
    </w:p>
    <w:p w14:paraId="5F2C9C72" w14:textId="77777777" w:rsidR="00E836FB" w:rsidRDefault="00994958">
      <w:pPr>
        <w:spacing w:before="60"/>
        <w:ind w:firstLine="450"/>
        <w:jc w:val="both"/>
        <w:textAlignment w:val="top"/>
      </w:pPr>
      <w:r>
        <w:rPr>
          <w:rFonts w:ascii="Arial" w:eastAsia="宋体" w:hAnsi="Arial" w:cs="Arial"/>
          <w:color w:val="000000"/>
          <w:sz w:val="20"/>
          <w:szCs w:val="20"/>
        </w:rPr>
        <w:t>We are subject to the Volcker Rule and implementing regulations. The Volcker Rule prohibits banking entities, including us and our affiliates, from engaging in certain prohibited proprietary trading activities, as defined in th</w:t>
      </w:r>
      <w:r>
        <w:rPr>
          <w:rFonts w:ascii="Arial" w:eastAsia="宋体" w:hAnsi="Arial" w:cs="Arial"/>
          <w:color w:val="000000"/>
          <w:sz w:val="20"/>
          <w:szCs w:val="20"/>
        </w:rPr>
        <w:t>e Volcker Rule regulations, subject to exemptions for market-making related activities, risk-mitigating hedging, underwriting and certain other activities. The Volcker Rule also requires banking entities to either restructure or divest certain ownership in</w:t>
      </w:r>
      <w:r>
        <w:rPr>
          <w:rFonts w:ascii="Arial" w:eastAsia="宋体" w:hAnsi="Arial" w:cs="Arial"/>
          <w:color w:val="000000"/>
          <w:sz w:val="20"/>
          <w:szCs w:val="20"/>
        </w:rPr>
        <w:t>terests in, and relationships with, covered funds (as such terms are defined in the Volcker Rule regulations).</w:t>
      </w:r>
    </w:p>
    <w:p w14:paraId="5F2C9C73" w14:textId="77777777" w:rsidR="00E836FB" w:rsidRDefault="00994958">
      <w:pPr>
        <w:spacing w:before="60"/>
        <w:ind w:firstLine="450"/>
        <w:jc w:val="both"/>
        <w:textAlignment w:val="top"/>
      </w:pPr>
      <w:r>
        <w:rPr>
          <w:rFonts w:ascii="Arial" w:eastAsia="宋体" w:hAnsi="Arial" w:cs="Arial"/>
          <w:color w:val="000000"/>
          <w:sz w:val="20"/>
          <w:szCs w:val="20"/>
        </w:rPr>
        <w:t>The Volcker Rule regulations require banking entities to establish extensive programs designed to promote compliance with the restrictions of the</w:t>
      </w:r>
      <w:r>
        <w:rPr>
          <w:rFonts w:ascii="Arial" w:eastAsia="宋体" w:hAnsi="Arial" w:cs="Arial"/>
          <w:color w:val="000000"/>
          <w:sz w:val="20"/>
          <w:szCs w:val="20"/>
        </w:rPr>
        <w:t xml:space="preserve"> Volcker Rule. We have established a compliance program that we believe complies with the Volcker Rule regulations as currently in effect. Our compliance program restricts our ability in the future to service certain types of funds, in particular covered f</w:t>
      </w:r>
      <w:r>
        <w:rPr>
          <w:rFonts w:ascii="Arial" w:eastAsia="宋体" w:hAnsi="Arial" w:cs="Arial"/>
          <w:color w:val="000000"/>
          <w:sz w:val="20"/>
          <w:szCs w:val="20"/>
        </w:rPr>
        <w:t xml:space="preserve">unds for which State Street Global Advisors acts as an advisor and certain types of trustee relationships. Consequently, Volcker Rule compliance entails both </w:t>
      </w:r>
    </w:p>
    <w:p w14:paraId="5F2C9C74" w14:textId="77777777" w:rsidR="00E836FB" w:rsidRDefault="00994958">
      <w:pPr>
        <w:ind w:firstLine="450"/>
        <w:jc w:val="right"/>
      </w:pPr>
      <w:r>
        <w:rPr>
          <w:rFonts w:ascii="Arial" w:eastAsia="宋体" w:hAnsi="Arial" w:cs="Arial"/>
          <w:color w:val="000000"/>
          <w:sz w:val="18"/>
          <w:szCs w:val="18"/>
        </w:rPr>
        <w:t>State Street Corporation | 16</w:t>
      </w:r>
    </w:p>
    <w:p w14:paraId="5F2C9C75" w14:textId="77777777" w:rsidR="00E836FB" w:rsidRDefault="00E836FB">
      <w:pPr>
        <w:ind w:firstLine="450"/>
        <w:jc w:val="center"/>
      </w:pPr>
    </w:p>
    <w:p w14:paraId="5F2C9C76" w14:textId="77777777" w:rsidR="00E836FB" w:rsidRDefault="00994958">
      <w:r>
        <w:pict w14:anchorId="5F2D6D93">
          <v:rect id="_x0000_i1040" style="width:415.3pt;height:1.5pt" o:hralign="center" o:hrstd="t" o:hr="t" fillcolor="#a0a0a0" stroked="f"/>
        </w:pict>
      </w:r>
    </w:p>
    <w:p w14:paraId="5F2C9C77" w14:textId="77777777" w:rsidR="00E836FB" w:rsidRDefault="00E836FB">
      <w:pPr>
        <w:ind w:firstLine="450"/>
      </w:pPr>
    </w:p>
    <w:p w14:paraId="5F2C9C78" w14:textId="77777777" w:rsidR="00E836FB" w:rsidRDefault="00994958">
      <w:pPr>
        <w:spacing w:before="60"/>
        <w:jc w:val="both"/>
        <w:textAlignment w:val="top"/>
      </w:pPr>
      <w:r>
        <w:rPr>
          <w:rFonts w:ascii="Arial" w:eastAsia="宋体" w:hAnsi="Arial" w:cs="Arial"/>
          <w:color w:val="000000"/>
          <w:sz w:val="20"/>
          <w:szCs w:val="20"/>
        </w:rPr>
        <w:t xml:space="preserve">the cost of a compliance program and loss of certain </w:t>
      </w:r>
      <w:r>
        <w:rPr>
          <w:rFonts w:ascii="Arial" w:eastAsia="宋体" w:hAnsi="Arial" w:cs="Arial"/>
          <w:color w:val="000000"/>
          <w:sz w:val="20"/>
          <w:szCs w:val="20"/>
        </w:rPr>
        <w:t>revenue and future opportunities.</w:t>
      </w:r>
    </w:p>
    <w:p w14:paraId="5F2C9C79" w14:textId="77777777" w:rsidR="00E836FB" w:rsidRDefault="00994958">
      <w:pPr>
        <w:spacing w:before="60"/>
        <w:jc w:val="both"/>
        <w:textAlignment w:val="top"/>
      </w:pPr>
      <w:r>
        <w:rPr>
          <w:rFonts w:ascii="Arial" w:eastAsia="宋体" w:hAnsi="Arial" w:cs="Arial"/>
          <w:b/>
          <w:bCs/>
          <w:i/>
          <w:iCs/>
          <w:color w:val="000000"/>
          <w:sz w:val="20"/>
          <w:szCs w:val="20"/>
        </w:rPr>
        <w:t xml:space="preserve">Enhanced Prudential Standards </w:t>
      </w:r>
    </w:p>
    <w:p w14:paraId="5F2C9C7A" w14:textId="77777777" w:rsidR="00E836FB" w:rsidRDefault="00994958">
      <w:pPr>
        <w:spacing w:before="60"/>
        <w:ind w:firstLine="450"/>
        <w:jc w:val="both"/>
        <w:textAlignment w:val="top"/>
      </w:pPr>
      <w:r>
        <w:rPr>
          <w:rFonts w:ascii="Arial" w:eastAsia="宋体" w:hAnsi="Arial" w:cs="Arial"/>
          <w:color w:val="000000"/>
          <w:sz w:val="20"/>
          <w:szCs w:val="20"/>
        </w:rPr>
        <w:t>The Dodd-Frank Act, as amended by the EGRRCPA, establishes a systemic risk regime to which large bank holding companies with $100 billion or more in consolidated assets, such as us, are subje</w:t>
      </w:r>
      <w:r>
        <w:rPr>
          <w:rFonts w:ascii="Arial" w:eastAsia="宋体" w:hAnsi="Arial" w:cs="Arial"/>
          <w:color w:val="000000"/>
          <w:sz w:val="20"/>
          <w:szCs w:val="20"/>
        </w:rPr>
        <w:t>ct. The Federal Reserve is required to tailor the application of the enhanced prudential standards to bank holding companies based on their size, complexity, risk profile and other factors. U.S. G-SIBs, such as us, are expected to remain subject to the mos</w:t>
      </w:r>
      <w:r>
        <w:rPr>
          <w:rFonts w:ascii="Arial" w:eastAsia="宋体" w:hAnsi="Arial" w:cs="Arial"/>
          <w:color w:val="000000"/>
          <w:sz w:val="20"/>
          <w:szCs w:val="20"/>
        </w:rPr>
        <w:t>t stringent requirements, including heightened capital, leverage, liquidity and risk management requirements and single-counterparty credit limits (SCCL).</w:t>
      </w:r>
    </w:p>
    <w:p w14:paraId="5F2C9C7B" w14:textId="77777777" w:rsidR="00E836FB" w:rsidRDefault="00994958">
      <w:pPr>
        <w:spacing w:before="60"/>
        <w:ind w:firstLine="450"/>
        <w:jc w:val="both"/>
        <w:textAlignment w:val="top"/>
      </w:pPr>
      <w:r>
        <w:rPr>
          <w:rFonts w:ascii="Arial" w:eastAsia="宋体" w:hAnsi="Arial" w:cs="Arial"/>
          <w:color w:val="000000"/>
          <w:sz w:val="20"/>
          <w:szCs w:val="20"/>
        </w:rPr>
        <w:t>The FSOC can recommend prudential standards, reporting and disclosure requirements for SIFIs to the F</w:t>
      </w:r>
      <w:r>
        <w:rPr>
          <w:rFonts w:ascii="Arial" w:eastAsia="宋体" w:hAnsi="Arial" w:cs="Arial"/>
          <w:color w:val="000000"/>
          <w:sz w:val="20"/>
          <w:szCs w:val="20"/>
        </w:rPr>
        <w:t>ederal Reserve, and must approve any finding by the Federal Reserve that a financial institution poses a grave threat to financial stability and must undertake mitigating actions. The FSOC is also empowered to designate systemically important payment, clea</w:t>
      </w:r>
      <w:r>
        <w:rPr>
          <w:rFonts w:ascii="Arial" w:eastAsia="宋体" w:hAnsi="Arial" w:cs="Arial"/>
          <w:color w:val="000000"/>
          <w:sz w:val="20"/>
          <w:szCs w:val="20"/>
        </w:rPr>
        <w:t>ring and settlement activities of financial institutions, subjecting them to prudential supervision and regulation, and, assisted by the Office of Financial Research within the U.S. Department of the Treasury, can gather data and reports from financial ins</w:t>
      </w:r>
      <w:r>
        <w:rPr>
          <w:rFonts w:ascii="Arial" w:eastAsia="宋体" w:hAnsi="Arial" w:cs="Arial"/>
          <w:color w:val="000000"/>
          <w:sz w:val="20"/>
          <w:szCs w:val="20"/>
        </w:rPr>
        <w:t>titutions, including us.</w:t>
      </w:r>
    </w:p>
    <w:p w14:paraId="5F2C9C7C" w14:textId="77777777" w:rsidR="00E836FB" w:rsidRDefault="00994958">
      <w:pPr>
        <w:spacing w:before="60"/>
        <w:ind w:firstLine="450"/>
        <w:jc w:val="both"/>
        <w:textAlignment w:val="top"/>
      </w:pPr>
      <w:r>
        <w:rPr>
          <w:rFonts w:ascii="Arial" w:eastAsia="宋体" w:hAnsi="Arial" w:cs="Arial"/>
          <w:color w:val="000000"/>
          <w:sz w:val="20"/>
          <w:szCs w:val="20"/>
        </w:rPr>
        <w:t>Under the Federal Reserve's enhanced prudential standards regulation under the Dodd-Frank Act, as amended by the EGRRCPA, we are required to comply with various liquidity-related risk management standards and maintain a liquidity b</w:t>
      </w:r>
      <w:r>
        <w:rPr>
          <w:rFonts w:ascii="Arial" w:eastAsia="宋体" w:hAnsi="Arial" w:cs="Arial"/>
          <w:color w:val="000000"/>
          <w:sz w:val="20"/>
          <w:szCs w:val="20"/>
        </w:rPr>
        <w:t>uffer of unencumbered highly liquid assets based on the results of internal liquidity stress testing. This liquidity buffer is in addition to other liquidity requirements, such as the LCR and the NSFR. The regulations also establish requirements and respon</w:t>
      </w:r>
      <w:r>
        <w:rPr>
          <w:rFonts w:ascii="Arial" w:eastAsia="宋体" w:hAnsi="Arial" w:cs="Arial"/>
          <w:color w:val="000000"/>
          <w:sz w:val="20"/>
          <w:szCs w:val="20"/>
        </w:rPr>
        <w:t xml:space="preserve">sibilities for our risk committee and mandate risk management standards. </w:t>
      </w:r>
    </w:p>
    <w:p w14:paraId="5F2C9C7D" w14:textId="77777777" w:rsidR="00E836FB" w:rsidRDefault="00994958">
      <w:pPr>
        <w:spacing w:before="60"/>
        <w:ind w:firstLine="450"/>
        <w:jc w:val="both"/>
        <w:textAlignment w:val="top"/>
      </w:pPr>
      <w:r>
        <w:rPr>
          <w:rFonts w:ascii="Arial" w:eastAsia="宋体" w:hAnsi="Arial" w:cs="Arial"/>
          <w:color w:val="000000"/>
          <w:sz w:val="20"/>
          <w:szCs w:val="20"/>
        </w:rPr>
        <w:t>In 2018, the Federal Reserve finalized rules that established SCCL for large banking organizations. U.S. G-SIBs, including us, are subject to a limit of 15% of Tier 1 capital for agg</w:t>
      </w:r>
      <w:r>
        <w:rPr>
          <w:rFonts w:ascii="Arial" w:eastAsia="宋体" w:hAnsi="Arial" w:cs="Arial"/>
          <w:color w:val="000000"/>
          <w:sz w:val="20"/>
          <w:szCs w:val="20"/>
        </w:rPr>
        <w:t>regate net credit exposures to any “major counterparty” (defined to include other U.S. G-SIBs, foreign G-SIBs and non-bank SIFIs supervised by the Federal Reserve). In addition, we are subject to a limit of 25% of Tier 1 capital for aggregate net credit ex</w:t>
      </w:r>
      <w:r>
        <w:rPr>
          <w:rFonts w:ascii="Arial" w:eastAsia="宋体" w:hAnsi="Arial" w:cs="Arial"/>
          <w:color w:val="000000"/>
          <w:sz w:val="20"/>
          <w:szCs w:val="20"/>
        </w:rPr>
        <w:t>posures to any other unaffiliated counterparty. The final SCCL rules became effective for us on January 1, 2020.</w:t>
      </w:r>
    </w:p>
    <w:p w14:paraId="5F2C9C7E" w14:textId="77777777" w:rsidR="00E836FB" w:rsidRDefault="00994958">
      <w:pPr>
        <w:spacing w:before="60"/>
        <w:ind w:firstLine="450"/>
        <w:jc w:val="both"/>
        <w:textAlignment w:val="top"/>
      </w:pPr>
      <w:r>
        <w:rPr>
          <w:rFonts w:ascii="Arial" w:eastAsia="宋体" w:hAnsi="Arial" w:cs="Arial"/>
          <w:color w:val="000000"/>
          <w:sz w:val="20"/>
          <w:szCs w:val="20"/>
        </w:rPr>
        <w:t>The Federal Reserve has established a rule that imposes contractual requirements on certain “qualified financial contracts” to which U.S. G-SIB</w:t>
      </w:r>
      <w:r>
        <w:rPr>
          <w:rFonts w:ascii="Arial" w:eastAsia="宋体" w:hAnsi="Arial" w:cs="Arial"/>
          <w:color w:val="000000"/>
          <w:sz w:val="20"/>
          <w:szCs w:val="20"/>
        </w:rPr>
        <w:t xml:space="preserve">s, including us, and their subsidiaries are parties. Under the rule, certain qualified financial contracts generally must expressly provide that transfer restrictions and </w:t>
      </w:r>
    </w:p>
    <w:p w14:paraId="5F2C9C7F" w14:textId="77777777" w:rsidR="00E836FB" w:rsidRDefault="00994958">
      <w:pPr>
        <w:spacing w:before="60"/>
        <w:jc w:val="both"/>
        <w:textAlignment w:val="top"/>
      </w:pPr>
      <w:r>
        <w:rPr>
          <w:rFonts w:ascii="Arial" w:eastAsia="宋体" w:hAnsi="Arial" w:cs="Arial"/>
          <w:color w:val="000000"/>
          <w:sz w:val="20"/>
          <w:szCs w:val="20"/>
        </w:rPr>
        <w:t>default rights against a U.S. G-SIB, or subsidiary of a U.S. G-SIB, are limited to t</w:t>
      </w:r>
      <w:r>
        <w:rPr>
          <w:rFonts w:ascii="Arial" w:eastAsia="宋体" w:hAnsi="Arial" w:cs="Arial"/>
          <w:color w:val="000000"/>
          <w:sz w:val="20"/>
          <w:szCs w:val="20"/>
        </w:rPr>
        <w:t>he same extent as they would be under the Federal Deposit Insurance Act and Title II of the Dodd-Frank Act and their implementing regulations. In addition, certain qualified financial contracts may not, among other things, permit the exercise of any cross-</w:t>
      </w:r>
      <w:r>
        <w:rPr>
          <w:rFonts w:ascii="Arial" w:eastAsia="宋体" w:hAnsi="Arial" w:cs="Arial"/>
          <w:color w:val="000000"/>
          <w:sz w:val="20"/>
          <w:szCs w:val="20"/>
        </w:rPr>
        <w:t>default right against a U.S. G-SIB or subsidiary of a U.S. G-SIB based on an affiliate’s entry into insolvency, resolution or similar proceedings, subject to certain creditor protections.</w:t>
      </w:r>
    </w:p>
    <w:p w14:paraId="5F2C9C80" w14:textId="77777777" w:rsidR="00E836FB" w:rsidRDefault="00994958">
      <w:pPr>
        <w:spacing w:before="60"/>
        <w:ind w:firstLine="450"/>
        <w:jc w:val="both"/>
        <w:textAlignment w:val="top"/>
      </w:pPr>
      <w:r>
        <w:rPr>
          <w:rFonts w:ascii="Arial" w:eastAsia="宋体" w:hAnsi="Arial" w:cs="Arial"/>
          <w:color w:val="000000"/>
          <w:sz w:val="20"/>
          <w:szCs w:val="20"/>
        </w:rPr>
        <w:t>The systemic-risk regime also provides that for U.S. G-SIBs deemed t</w:t>
      </w:r>
      <w:r>
        <w:rPr>
          <w:rFonts w:ascii="Arial" w:eastAsia="宋体" w:hAnsi="Arial" w:cs="Arial"/>
          <w:color w:val="000000"/>
          <w:sz w:val="20"/>
          <w:szCs w:val="20"/>
        </w:rPr>
        <w:t>o pose a grave threat to U.S. financial stability, the Federal Reserve, upon an FSOC vote, must limit that institution’s ability to merge, restrict its ability to offer financial products, require it to terminate activities, impose conditions on activities</w:t>
      </w:r>
      <w:r>
        <w:rPr>
          <w:rFonts w:ascii="Arial" w:eastAsia="宋体" w:hAnsi="Arial" w:cs="Arial"/>
          <w:color w:val="000000"/>
          <w:sz w:val="20"/>
          <w:szCs w:val="20"/>
        </w:rPr>
        <w:t xml:space="preserve"> or, as a last resort, require it to dispose of assets. Upon a grave threat determination by the FSOC, the Federal Reserve must issue rules that require financial institutions subject to the systemic-risk regime to maintain a debt-to-equity ratio of no mor</w:t>
      </w:r>
      <w:r>
        <w:rPr>
          <w:rFonts w:ascii="Arial" w:eastAsia="宋体" w:hAnsi="Arial" w:cs="Arial"/>
          <w:color w:val="000000"/>
          <w:sz w:val="20"/>
          <w:szCs w:val="20"/>
        </w:rPr>
        <w:t>e than 15 to 1 if the FSOC considers it necessary to mitigate the risk of the grave threat. The Federal Reserve also has the ability to establish further standards, including those regarding contingent capital, enhanced public disclosures and limits on sho</w:t>
      </w:r>
      <w:r>
        <w:rPr>
          <w:rFonts w:ascii="Arial" w:eastAsia="宋体" w:hAnsi="Arial" w:cs="Arial"/>
          <w:color w:val="000000"/>
          <w:sz w:val="20"/>
          <w:szCs w:val="20"/>
        </w:rPr>
        <w:t>rt-term debt, including off-balance sheet exposures.</w:t>
      </w:r>
    </w:p>
    <w:p w14:paraId="5F2C9C81" w14:textId="77777777" w:rsidR="00E836FB" w:rsidRDefault="00994958">
      <w:pPr>
        <w:spacing w:before="90"/>
        <w:jc w:val="both"/>
        <w:textAlignment w:val="top"/>
      </w:pPr>
      <w:r>
        <w:rPr>
          <w:rFonts w:ascii="Arial" w:eastAsia="宋体" w:hAnsi="Arial" w:cs="Arial"/>
          <w:b/>
          <w:bCs/>
          <w:color w:val="000000"/>
          <w:sz w:val="20"/>
          <w:szCs w:val="20"/>
        </w:rPr>
        <w:t>Recovery and Resolution Planning</w:t>
      </w:r>
    </w:p>
    <w:p w14:paraId="5F2C9C82" w14:textId="77777777" w:rsidR="00E836FB" w:rsidRDefault="00994958">
      <w:pPr>
        <w:spacing w:before="60"/>
        <w:ind w:firstLine="450"/>
        <w:jc w:val="both"/>
        <w:textAlignment w:val="top"/>
      </w:pPr>
      <w:r>
        <w:rPr>
          <w:rFonts w:ascii="Arial" w:eastAsia="宋体" w:hAnsi="Arial" w:cs="Arial"/>
          <w:color w:val="000000"/>
          <w:sz w:val="20"/>
          <w:szCs w:val="20"/>
        </w:rPr>
        <w:t xml:space="preserve">Under Section 165(d) of the Dodd-Frank Act, we are required to submit a resolution plan on a biennial basis jointly to the Federal Reserve and the FDIC (the </w:t>
      </w:r>
      <w:r>
        <w:rPr>
          <w:rFonts w:ascii="Arial" w:eastAsia="宋体" w:hAnsi="Arial" w:cs="Arial"/>
          <w:color w:val="000000"/>
          <w:sz w:val="20"/>
          <w:szCs w:val="20"/>
        </w:rPr>
        <w:t>Agencies). The purpose of our resolution plan is to describe our preferred resolution strategy and to demonstrate that we have the resources and capabilities to execute on that strategy in the event of major financial distress. Through resolution planning,</w:t>
      </w:r>
      <w:r>
        <w:rPr>
          <w:rFonts w:ascii="Arial" w:eastAsia="宋体" w:hAnsi="Arial" w:cs="Arial"/>
          <w:color w:val="000000"/>
          <w:sz w:val="20"/>
          <w:szCs w:val="20"/>
        </w:rPr>
        <w:t xml:space="preserve"> we seek to maintain our role as a key infrastructure provider within the financial system, while minimizing risk to the financial system.</w:t>
      </w:r>
    </w:p>
    <w:p w14:paraId="5F2C9C83" w14:textId="77777777" w:rsidR="00E836FB" w:rsidRDefault="00994958">
      <w:pPr>
        <w:spacing w:before="60"/>
        <w:ind w:firstLine="450"/>
        <w:jc w:val="both"/>
        <w:textAlignment w:val="top"/>
      </w:pPr>
      <w:r>
        <w:rPr>
          <w:rFonts w:ascii="Arial" w:eastAsia="宋体" w:hAnsi="Arial" w:cs="Arial"/>
          <w:color w:val="000000"/>
          <w:sz w:val="20"/>
          <w:szCs w:val="20"/>
        </w:rPr>
        <w:t>The final rule requires a full resolution plan and a targeted resolution plan on an alternating basis in the relevant</w:t>
      </w:r>
      <w:r>
        <w:rPr>
          <w:rFonts w:ascii="Arial" w:eastAsia="宋体" w:hAnsi="Arial" w:cs="Arial"/>
          <w:color w:val="000000"/>
          <w:sz w:val="20"/>
          <w:szCs w:val="20"/>
        </w:rPr>
        <w:t xml:space="preserve"> submission years. We submitted our updated 2021 targeted 165(d) resolution plan by July 1, 2021. The targeted resolution plan included the core elements of resolution planning and some specific firm level information about the impact of the COVID-19 pande</w:t>
      </w:r>
      <w:r>
        <w:rPr>
          <w:rFonts w:ascii="Arial" w:eastAsia="宋体" w:hAnsi="Arial" w:cs="Arial"/>
          <w:color w:val="000000"/>
          <w:sz w:val="20"/>
          <w:szCs w:val="20"/>
        </w:rPr>
        <w:t>mic on resolution planning. In addition, actions taken to remediate the 2019 shortcoming related to the implementation of governance mechanisms were included in the plan. Our next full resolution plan is due July 1, 2023.</w:t>
      </w:r>
    </w:p>
    <w:p w14:paraId="5F2C9C84" w14:textId="77777777" w:rsidR="00E836FB" w:rsidRDefault="00994958">
      <w:pPr>
        <w:spacing w:before="60"/>
        <w:ind w:firstLine="450"/>
        <w:jc w:val="both"/>
        <w:textAlignment w:val="top"/>
      </w:pPr>
      <w:r>
        <w:rPr>
          <w:rFonts w:ascii="Arial" w:eastAsia="宋体" w:hAnsi="Arial" w:cs="Arial"/>
          <w:color w:val="000000"/>
          <w:sz w:val="20"/>
          <w:szCs w:val="20"/>
        </w:rPr>
        <w:t>In the event of material financial</w:t>
      </w:r>
      <w:r>
        <w:rPr>
          <w:rFonts w:ascii="Arial" w:eastAsia="宋体" w:hAnsi="Arial" w:cs="Arial"/>
          <w:color w:val="000000"/>
          <w:sz w:val="20"/>
          <w:szCs w:val="20"/>
        </w:rPr>
        <w:t xml:space="preserve"> distress, our preferred resolution strategy is the Single Point of Entry (SPOE) Strategy. The SPOE Strategy provides that prior to the bankruptcy of the Parent Company and pursuant to a support agreement among the </w:t>
      </w:r>
    </w:p>
    <w:p w14:paraId="5F2C9C85" w14:textId="77777777" w:rsidR="00E836FB" w:rsidRDefault="00994958">
      <w:pPr>
        <w:ind w:firstLine="450"/>
        <w:jc w:val="right"/>
      </w:pPr>
      <w:r>
        <w:rPr>
          <w:rFonts w:ascii="Arial" w:eastAsia="宋体" w:hAnsi="Arial" w:cs="Arial"/>
          <w:color w:val="000000"/>
          <w:sz w:val="18"/>
          <w:szCs w:val="18"/>
        </w:rPr>
        <w:t>State Street Corporation | 17</w:t>
      </w:r>
    </w:p>
    <w:p w14:paraId="5F2C9C86" w14:textId="77777777" w:rsidR="00E836FB" w:rsidRDefault="00E836FB">
      <w:pPr>
        <w:ind w:firstLine="450"/>
        <w:jc w:val="center"/>
      </w:pPr>
    </w:p>
    <w:p w14:paraId="5F2C9C87" w14:textId="77777777" w:rsidR="00E836FB" w:rsidRDefault="00994958">
      <w:r>
        <w:pict w14:anchorId="5F2D6D94">
          <v:rect id="_x0000_i1041" style="width:415.3pt;height:1.5pt" o:hralign="center" o:hrstd="t" o:hr="t" fillcolor="#a0a0a0" stroked="f"/>
        </w:pict>
      </w:r>
    </w:p>
    <w:p w14:paraId="5F2C9C88" w14:textId="77777777" w:rsidR="00E836FB" w:rsidRDefault="00E836FB">
      <w:pPr>
        <w:ind w:firstLine="450"/>
      </w:pPr>
    </w:p>
    <w:p w14:paraId="5F2C9C89" w14:textId="77777777" w:rsidR="00E836FB" w:rsidRDefault="00994958">
      <w:pPr>
        <w:spacing w:before="60"/>
        <w:jc w:val="both"/>
        <w:textAlignment w:val="top"/>
      </w:pPr>
      <w:r>
        <w:rPr>
          <w:rFonts w:ascii="Arial" w:eastAsia="宋体" w:hAnsi="Arial" w:cs="Arial"/>
          <w:color w:val="000000"/>
          <w:sz w:val="20"/>
          <w:szCs w:val="20"/>
        </w:rPr>
        <w:t>Parent</w:t>
      </w:r>
      <w:r>
        <w:rPr>
          <w:rFonts w:ascii="Arial" w:eastAsia="宋体" w:hAnsi="Arial" w:cs="Arial"/>
          <w:color w:val="000000"/>
          <w:sz w:val="20"/>
          <w:szCs w:val="20"/>
        </w:rPr>
        <w:t xml:space="preserve"> Company, SSIF (a direct subsidiary of the Parent Company), our Beneficiary Entities (as defined below) and certain of our other entities, SSIF is obligated, up to its available resources, to recapitalize and/or provide liquidity to State Street Bank and t</w:t>
      </w:r>
      <w:r>
        <w:rPr>
          <w:rFonts w:ascii="Arial" w:eastAsia="宋体" w:hAnsi="Arial" w:cs="Arial"/>
          <w:color w:val="000000"/>
          <w:sz w:val="20"/>
          <w:szCs w:val="20"/>
        </w:rPr>
        <w:t>he other entities benefiting from such capital and/or liquidity support (collectively with State Street Bank, “Beneficiary Entities”), in amounts designed to prevent the Beneficiary Entities from themselves entering into resolution proceedings. Following t</w:t>
      </w:r>
      <w:r>
        <w:rPr>
          <w:rFonts w:ascii="Arial" w:eastAsia="宋体" w:hAnsi="Arial" w:cs="Arial"/>
          <w:color w:val="000000"/>
          <w:sz w:val="20"/>
          <w:szCs w:val="20"/>
        </w:rPr>
        <w:t>he recapitalization of, or provision of liquidity to the Beneficiary Entities, the Parent Company would enter into a bankruptcy proceeding under the U.S. Bankruptcy Code. The Beneficiary Entities and our other subsidiaries would be transferred to a newly o</w:t>
      </w:r>
      <w:r>
        <w:rPr>
          <w:rFonts w:ascii="Arial" w:eastAsia="宋体" w:hAnsi="Arial" w:cs="Arial"/>
          <w:color w:val="000000"/>
          <w:sz w:val="20"/>
          <w:szCs w:val="20"/>
        </w:rPr>
        <w:t xml:space="preserve">rganized holding company held by a reorganization trust for the benefit of the Parent Company’s claimants. </w:t>
      </w:r>
    </w:p>
    <w:p w14:paraId="5F2C9C8A" w14:textId="77777777" w:rsidR="00E836FB" w:rsidRDefault="00994958">
      <w:pPr>
        <w:spacing w:before="60"/>
        <w:ind w:firstLine="450"/>
        <w:jc w:val="both"/>
        <w:textAlignment w:val="top"/>
      </w:pPr>
      <w:r>
        <w:rPr>
          <w:rFonts w:ascii="Arial" w:eastAsia="宋体" w:hAnsi="Arial" w:cs="Arial"/>
          <w:color w:val="000000"/>
          <w:sz w:val="20"/>
          <w:szCs w:val="20"/>
        </w:rPr>
        <w:t>Under the support agreement, the Parent Company pre-funded SSIF by contributing certain of its assets (primarily its liquid assets, cash deposits, i</w:t>
      </w:r>
      <w:r>
        <w:rPr>
          <w:rFonts w:ascii="Arial" w:eastAsia="宋体" w:hAnsi="Arial" w:cs="Arial"/>
          <w:color w:val="000000"/>
          <w:sz w:val="20"/>
          <w:szCs w:val="20"/>
        </w:rPr>
        <w:t xml:space="preserve">nvestments in intercompany debt, investments in marketable securities and other cash and non-cash equivalent investments) to SSIF at the time it entered into the support agreement and will continue to contribute such assets, to the extent available, on an </w:t>
      </w:r>
      <w:r>
        <w:rPr>
          <w:rFonts w:ascii="Arial" w:eastAsia="宋体" w:hAnsi="Arial" w:cs="Arial"/>
          <w:color w:val="000000"/>
          <w:sz w:val="20"/>
          <w:szCs w:val="20"/>
        </w:rPr>
        <w:t>ongoing basis. In consideration for these contributions, SSIF has agreed in the support agreement to provide capital and liquidity support to the Parent Company and all of the Beneficiary Entities in accordance with the Parent Company’s capital and liquidi</w:t>
      </w:r>
      <w:r>
        <w:rPr>
          <w:rFonts w:ascii="Arial" w:eastAsia="宋体" w:hAnsi="Arial" w:cs="Arial"/>
          <w:color w:val="000000"/>
          <w:sz w:val="20"/>
          <w:szCs w:val="20"/>
        </w:rPr>
        <w:t>ty policies. Under the support agreement, the Parent Company is only permitted to retain cash needed to meet its upcoming obligations and to fund expected expenses during a potential bankruptcy proceeding. SSIF has provided the Parent Company with a commit</w:t>
      </w:r>
      <w:r>
        <w:rPr>
          <w:rFonts w:ascii="Arial" w:eastAsia="宋体" w:hAnsi="Arial" w:cs="Arial"/>
          <w:color w:val="000000"/>
          <w:sz w:val="20"/>
          <w:szCs w:val="20"/>
        </w:rPr>
        <w:t>ted credit line and issued (and may issue) one or more promissory notes to the Parent Company (the "Parent Company Funding Notes") that together are intended to allow the Parent Company to continue to meet its obligations throughout the period prior to the</w:t>
      </w:r>
      <w:r>
        <w:rPr>
          <w:rFonts w:ascii="Arial" w:eastAsia="宋体" w:hAnsi="Arial" w:cs="Arial"/>
          <w:color w:val="000000"/>
          <w:sz w:val="20"/>
          <w:szCs w:val="20"/>
        </w:rPr>
        <w:t xml:space="preserve"> occurrence of a "Recapitalization Event", which is defined as the earlier occurrence of: (1) one or more capital and liquidity thresholds being breached or (2) the authorization by the Parent Company's Board of Directors for the Parent Company to commence</w:t>
      </w:r>
      <w:r>
        <w:rPr>
          <w:rFonts w:ascii="Arial" w:eastAsia="宋体" w:hAnsi="Arial" w:cs="Arial"/>
          <w:color w:val="000000"/>
          <w:sz w:val="20"/>
          <w:szCs w:val="20"/>
        </w:rPr>
        <w:t xml:space="preserve"> bankruptcy proceedings. The support agreement does not obligate SSIF to maintain any specific level of resources and SSIF may not have sufficient resources to implement the SPOE Strategy.</w:t>
      </w:r>
    </w:p>
    <w:p w14:paraId="5F2C9C8B" w14:textId="77777777" w:rsidR="00E836FB" w:rsidRDefault="00994958">
      <w:pPr>
        <w:spacing w:before="60"/>
        <w:ind w:firstLine="450"/>
        <w:jc w:val="both"/>
        <w:textAlignment w:val="top"/>
      </w:pPr>
      <w:r>
        <w:rPr>
          <w:rFonts w:ascii="Arial" w:eastAsia="宋体" w:hAnsi="Arial" w:cs="Arial"/>
          <w:color w:val="000000"/>
          <w:sz w:val="20"/>
          <w:szCs w:val="20"/>
        </w:rPr>
        <w:t>In the event a Recapitalization Event occurs, the obligations outst</w:t>
      </w:r>
      <w:r>
        <w:rPr>
          <w:rFonts w:ascii="Arial" w:eastAsia="宋体" w:hAnsi="Arial" w:cs="Arial"/>
          <w:color w:val="000000"/>
          <w:sz w:val="20"/>
          <w:szCs w:val="20"/>
        </w:rPr>
        <w:t xml:space="preserve">anding under the Parent Company Funding Notes would automatically convert into or be exchanged for capital contributed to SSIF. The obligations of the Parent Company and SSIF under the support agreement are secured through a security agreement that grants </w:t>
      </w:r>
      <w:r>
        <w:rPr>
          <w:rFonts w:ascii="Arial" w:eastAsia="宋体" w:hAnsi="Arial" w:cs="Arial"/>
          <w:color w:val="000000"/>
          <w:sz w:val="20"/>
          <w:szCs w:val="20"/>
        </w:rPr>
        <w:t xml:space="preserve">a lien on the assets that the </w:t>
      </w:r>
    </w:p>
    <w:p w14:paraId="5F2C9C8C" w14:textId="77777777" w:rsidR="00E836FB" w:rsidRDefault="00994958">
      <w:pPr>
        <w:spacing w:before="60"/>
        <w:jc w:val="both"/>
        <w:textAlignment w:val="top"/>
      </w:pPr>
      <w:r>
        <w:rPr>
          <w:rFonts w:ascii="Arial" w:eastAsia="宋体" w:hAnsi="Arial" w:cs="Arial"/>
          <w:color w:val="000000"/>
          <w:sz w:val="20"/>
          <w:szCs w:val="20"/>
        </w:rPr>
        <w:t>Parent Company and SSIF would use to fulfill their obligations under the support agreement to the Beneficiary Entities. SSIF is a distinct legal entity separate from the Parent Company and the Parent Company’s other affiliate</w:t>
      </w:r>
      <w:r>
        <w:rPr>
          <w:rFonts w:ascii="Arial" w:eastAsia="宋体" w:hAnsi="Arial" w:cs="Arial"/>
          <w:color w:val="000000"/>
          <w:sz w:val="20"/>
          <w:szCs w:val="20"/>
        </w:rPr>
        <w:t xml:space="preserve">s. </w:t>
      </w:r>
    </w:p>
    <w:p w14:paraId="5F2C9C8D" w14:textId="77777777" w:rsidR="00E836FB" w:rsidRDefault="00994958">
      <w:pPr>
        <w:spacing w:before="60"/>
        <w:ind w:firstLine="450"/>
        <w:jc w:val="both"/>
        <w:textAlignment w:val="top"/>
      </w:pPr>
      <w:r>
        <w:rPr>
          <w:rFonts w:ascii="Arial" w:eastAsia="宋体" w:hAnsi="Arial" w:cs="Arial"/>
          <w:color w:val="000000"/>
          <w:sz w:val="20"/>
          <w:szCs w:val="20"/>
        </w:rPr>
        <w:t xml:space="preserve">In accordance with our policies, we are required to monitor, on an ongoing basis, the capital and liquidity needs of State Street Bank and our other Beneficiary Entities. To support this process, we have established a trigger framework that identifies </w:t>
      </w:r>
      <w:r>
        <w:rPr>
          <w:rFonts w:ascii="Arial" w:eastAsia="宋体" w:hAnsi="Arial" w:cs="Arial"/>
          <w:color w:val="000000"/>
          <w:sz w:val="20"/>
          <w:szCs w:val="20"/>
        </w:rPr>
        <w:t>key actions that would need to be taken or decisions that would need to be made if certain events tied to our financial condition occur. The trigger thresholds are set at levels intended to provide for the availability of sufficient capital and liquidity t</w:t>
      </w:r>
      <w:r>
        <w:rPr>
          <w:rFonts w:ascii="Arial" w:eastAsia="宋体" w:hAnsi="Arial" w:cs="Arial"/>
          <w:color w:val="000000"/>
          <w:sz w:val="20"/>
          <w:szCs w:val="20"/>
        </w:rPr>
        <w:t>o enable an orderly resolution without extraordinary government support that results in us emerging from resolution as a stabilized institution with market confidence restored.</w:t>
      </w:r>
    </w:p>
    <w:p w14:paraId="5F2C9C8E" w14:textId="77777777" w:rsidR="00E836FB" w:rsidRDefault="00994958">
      <w:pPr>
        <w:spacing w:before="60"/>
        <w:ind w:firstLine="450"/>
        <w:jc w:val="both"/>
        <w:textAlignment w:val="top"/>
      </w:pPr>
      <w:r>
        <w:rPr>
          <w:rFonts w:ascii="Arial" w:eastAsia="宋体" w:hAnsi="Arial" w:cs="Arial"/>
          <w:color w:val="000000"/>
          <w:sz w:val="20"/>
          <w:szCs w:val="20"/>
        </w:rPr>
        <w:t>Upon the occurrence of a Recapitalization Event: (1) SSIF would not be authoriz</w:t>
      </w:r>
      <w:r>
        <w:rPr>
          <w:rFonts w:ascii="Arial" w:eastAsia="宋体" w:hAnsi="Arial" w:cs="Arial"/>
          <w:color w:val="000000"/>
          <w:sz w:val="20"/>
          <w:szCs w:val="20"/>
        </w:rPr>
        <w:t>ed to provide any further liquidity to the Parent Company; (2) the Parent Company would be required to contribute to SSIF any remaining assets it is required to contribute to SSIF under the support agreement (which specifically exclude amounts designated t</w:t>
      </w:r>
      <w:r>
        <w:rPr>
          <w:rFonts w:ascii="Arial" w:eastAsia="宋体" w:hAnsi="Arial" w:cs="Arial"/>
          <w:color w:val="000000"/>
          <w:sz w:val="20"/>
          <w:szCs w:val="20"/>
        </w:rPr>
        <w:t>o fund expected expenses during a potential bankruptcy proceeding); (3) SSIF would be required to provide capital and liquidity support to the Beneficiary Entities to support such entities’ continued operation to the extent of its available resources and c</w:t>
      </w:r>
      <w:r>
        <w:rPr>
          <w:rFonts w:ascii="Arial" w:eastAsia="宋体" w:hAnsi="Arial" w:cs="Arial"/>
          <w:color w:val="000000"/>
          <w:sz w:val="20"/>
          <w:szCs w:val="20"/>
        </w:rPr>
        <w:t>onsistent with the support agreement; and (4) the Parent Company would be expected to commence Chapter 11 proceedings under the U.S. Bankruptcy Code. No person or entity, other than a party to the support agreement, should rely on any of our affiliates bei</w:t>
      </w:r>
      <w:r>
        <w:rPr>
          <w:rFonts w:ascii="Arial" w:eastAsia="宋体" w:hAnsi="Arial" w:cs="Arial"/>
          <w:color w:val="000000"/>
          <w:sz w:val="20"/>
          <w:szCs w:val="20"/>
        </w:rPr>
        <w:t>ng or remaining a Beneficiary Entity or receiving capital or liquidity support pursuant to the support agreement, including in evaluating any of our entities from a creditor's perspective or determining whether to enter into a contractual relationship with</w:t>
      </w:r>
      <w:r>
        <w:rPr>
          <w:rFonts w:ascii="Arial" w:eastAsia="宋体" w:hAnsi="Arial" w:cs="Arial"/>
          <w:color w:val="000000"/>
          <w:sz w:val="20"/>
          <w:szCs w:val="20"/>
        </w:rPr>
        <w:t xml:space="preserve"> any of our entities.</w:t>
      </w:r>
    </w:p>
    <w:p w14:paraId="5F2C9C8F" w14:textId="77777777" w:rsidR="00E836FB" w:rsidRDefault="00994958">
      <w:pPr>
        <w:spacing w:before="60"/>
        <w:ind w:firstLine="450"/>
        <w:jc w:val="both"/>
        <w:textAlignment w:val="top"/>
      </w:pPr>
      <w:r>
        <w:rPr>
          <w:rFonts w:ascii="Arial" w:eastAsia="宋体" w:hAnsi="Arial" w:cs="Arial"/>
          <w:color w:val="000000"/>
          <w:sz w:val="20"/>
          <w:szCs w:val="20"/>
        </w:rPr>
        <w:t xml:space="preserve">State Street Bank is also required to submit periodically to the FDIC a plan for resolution in the event of its failure, referred to as an IDI plan. We submitted our last IDI plan before July 1, 2018. In November 2018, the FDIC had </w:t>
      </w:r>
      <w:r>
        <w:rPr>
          <w:rFonts w:ascii="Arial" w:eastAsia="宋体" w:hAnsi="Arial" w:cs="Arial"/>
          <w:color w:val="000000"/>
          <w:sz w:val="20"/>
          <w:szCs w:val="20"/>
        </w:rPr>
        <w:t>announced that until the FDIC completed revisions to its IDI plan requirements, no IDI plans would be required to be filed. On June 25, 2021, the FDIC issued a policy statement on resolution plans for IDIs that allows for content streamlining and adjusts t</w:t>
      </w:r>
      <w:r>
        <w:rPr>
          <w:rFonts w:ascii="Arial" w:eastAsia="宋体" w:hAnsi="Arial" w:cs="Arial"/>
          <w:color w:val="000000"/>
          <w:sz w:val="20"/>
          <w:szCs w:val="20"/>
        </w:rPr>
        <w:t>he frequency of submissions to a three-year cycle. State Street Bank’s next IDI plan submission deadline will be December 1, 2023.</w:t>
      </w:r>
    </w:p>
    <w:p w14:paraId="5F2C9C90" w14:textId="77777777" w:rsidR="00E836FB" w:rsidRDefault="00994958">
      <w:pPr>
        <w:spacing w:before="60"/>
        <w:ind w:firstLine="450"/>
        <w:jc w:val="both"/>
        <w:textAlignment w:val="top"/>
      </w:pPr>
      <w:r>
        <w:rPr>
          <w:rFonts w:ascii="Arial" w:eastAsia="宋体" w:hAnsi="Arial" w:cs="Arial"/>
          <w:color w:val="000000"/>
          <w:sz w:val="20"/>
          <w:szCs w:val="20"/>
        </w:rPr>
        <w:t>Additionally, we are required to submit a recovery plan to the Federal Reserve. This plan includes detailed governance trigge</w:t>
      </w:r>
      <w:r>
        <w:rPr>
          <w:rFonts w:ascii="Arial" w:eastAsia="宋体" w:hAnsi="Arial" w:cs="Arial"/>
          <w:color w:val="000000"/>
          <w:sz w:val="20"/>
          <w:szCs w:val="20"/>
        </w:rPr>
        <w:t xml:space="preserve">rs and contingency actions that can be implemented in a </w:t>
      </w:r>
    </w:p>
    <w:p w14:paraId="5F2C9C91" w14:textId="77777777" w:rsidR="00E836FB" w:rsidRDefault="00994958">
      <w:pPr>
        <w:ind w:firstLine="450"/>
        <w:jc w:val="right"/>
      </w:pPr>
      <w:r>
        <w:rPr>
          <w:rFonts w:ascii="Arial" w:eastAsia="宋体" w:hAnsi="Arial" w:cs="Arial"/>
          <w:color w:val="000000"/>
          <w:sz w:val="18"/>
          <w:szCs w:val="18"/>
        </w:rPr>
        <w:t>State Street Corporation | 18</w:t>
      </w:r>
    </w:p>
    <w:p w14:paraId="5F2C9C92" w14:textId="77777777" w:rsidR="00E836FB" w:rsidRDefault="00E836FB">
      <w:pPr>
        <w:ind w:firstLine="450"/>
        <w:jc w:val="center"/>
      </w:pPr>
    </w:p>
    <w:p w14:paraId="5F2C9C93" w14:textId="77777777" w:rsidR="00E836FB" w:rsidRDefault="00994958">
      <w:r>
        <w:pict w14:anchorId="5F2D6D95">
          <v:rect id="_x0000_i1042" style="width:415.3pt;height:1.5pt" o:hralign="center" o:hrstd="t" o:hr="t" fillcolor="#a0a0a0" stroked="f"/>
        </w:pict>
      </w:r>
    </w:p>
    <w:p w14:paraId="5F2C9C94" w14:textId="77777777" w:rsidR="00E836FB" w:rsidRDefault="00E836FB">
      <w:pPr>
        <w:ind w:firstLine="450"/>
      </w:pPr>
    </w:p>
    <w:p w14:paraId="5F2C9C95" w14:textId="77777777" w:rsidR="00E836FB" w:rsidRDefault="00994958">
      <w:pPr>
        <w:spacing w:before="60"/>
        <w:jc w:val="both"/>
        <w:textAlignment w:val="top"/>
      </w:pPr>
      <w:r>
        <w:rPr>
          <w:rFonts w:ascii="Arial" w:eastAsia="宋体" w:hAnsi="Arial" w:cs="Arial"/>
          <w:color w:val="000000"/>
          <w:sz w:val="20"/>
          <w:szCs w:val="20"/>
        </w:rPr>
        <w:t xml:space="preserve">timely manner in the event of extreme financial distress in those entities. We also have recovery planning requirements in certain international jurisdictions where </w:t>
      </w:r>
      <w:r>
        <w:rPr>
          <w:rFonts w:ascii="Arial" w:eastAsia="宋体" w:hAnsi="Arial" w:cs="Arial"/>
          <w:color w:val="000000"/>
          <w:sz w:val="20"/>
          <w:szCs w:val="20"/>
        </w:rPr>
        <w:t>we operate.</w:t>
      </w:r>
    </w:p>
    <w:p w14:paraId="5F2C9C96" w14:textId="77777777" w:rsidR="00E836FB" w:rsidRDefault="00994958">
      <w:pPr>
        <w:spacing w:before="90"/>
        <w:jc w:val="both"/>
        <w:textAlignment w:val="top"/>
      </w:pPr>
      <w:r>
        <w:rPr>
          <w:rFonts w:ascii="Arial" w:eastAsia="宋体" w:hAnsi="Arial" w:cs="Arial"/>
          <w:b/>
          <w:bCs/>
          <w:color w:val="000000"/>
          <w:sz w:val="20"/>
          <w:szCs w:val="20"/>
        </w:rPr>
        <w:t>Orderly Liquidation Authority</w:t>
      </w:r>
    </w:p>
    <w:p w14:paraId="5F2C9C97" w14:textId="77777777" w:rsidR="00E836FB" w:rsidRDefault="00994958">
      <w:pPr>
        <w:spacing w:before="60"/>
        <w:ind w:firstLine="450"/>
        <w:jc w:val="both"/>
        <w:textAlignment w:val="top"/>
      </w:pPr>
      <w:r>
        <w:rPr>
          <w:rFonts w:ascii="Arial" w:eastAsia="宋体" w:hAnsi="Arial" w:cs="Arial"/>
          <w:color w:val="000000"/>
          <w:sz w:val="20"/>
          <w:szCs w:val="20"/>
        </w:rPr>
        <w:t>Under the Dodd-Frank Act, certain financial companies, including bank holding companies such as the Parent Company, and certain covered subsidiaries, can be subjected to the orderly liquidation authority, which wen</w:t>
      </w:r>
      <w:r>
        <w:rPr>
          <w:rFonts w:ascii="Arial" w:eastAsia="宋体" w:hAnsi="Arial" w:cs="Arial"/>
          <w:color w:val="000000"/>
          <w:sz w:val="20"/>
          <w:szCs w:val="20"/>
        </w:rPr>
        <w:t>t into effect in 2010. For the FDIC to be appointed as our receiver, two-thirds of the FDIC Board and two-thirds of the Federal Reserve Board must recommend appointment, and the U.S. Treasury Secretary, in consultation with the U.S. President, must then ma</w:t>
      </w:r>
      <w:r>
        <w:rPr>
          <w:rFonts w:ascii="Arial" w:eastAsia="宋体" w:hAnsi="Arial" w:cs="Arial"/>
          <w:color w:val="000000"/>
          <w:sz w:val="20"/>
          <w:szCs w:val="20"/>
        </w:rPr>
        <w:t>ke certain extraordinary financial distress and systemic risk determinations. Absent such actions, we, as a bank holding company, would remain subject to the U.S. Bankruptcy Code.</w:t>
      </w:r>
    </w:p>
    <w:p w14:paraId="5F2C9C98" w14:textId="77777777" w:rsidR="00E836FB" w:rsidRDefault="00994958">
      <w:pPr>
        <w:spacing w:before="60"/>
        <w:ind w:firstLine="450"/>
        <w:jc w:val="both"/>
        <w:textAlignment w:val="top"/>
      </w:pPr>
      <w:r>
        <w:rPr>
          <w:rFonts w:ascii="Arial" w:eastAsia="宋体" w:hAnsi="Arial" w:cs="Arial"/>
          <w:color w:val="000000"/>
          <w:sz w:val="20"/>
          <w:szCs w:val="20"/>
        </w:rPr>
        <w:t>The orderly liquidation authority went into effect in 2010, and rulemaking i</w:t>
      </w:r>
      <w:r>
        <w:rPr>
          <w:rFonts w:ascii="Arial" w:eastAsia="宋体" w:hAnsi="Arial" w:cs="Arial"/>
          <w:color w:val="000000"/>
          <w:sz w:val="20"/>
          <w:szCs w:val="20"/>
        </w:rPr>
        <w:t>s proceeding incrementally, with some regulations now finalized and others planned but not yet proposed. If the FDIC were appointed as the receiver of the Parent Company pursuant to the orderly liquidation authority, the FDIC would have considerable powers</w:t>
      </w:r>
      <w:r>
        <w:rPr>
          <w:rFonts w:ascii="Arial" w:eastAsia="宋体" w:hAnsi="Arial" w:cs="Arial"/>
          <w:color w:val="000000"/>
          <w:sz w:val="20"/>
          <w:szCs w:val="20"/>
        </w:rPr>
        <w:t xml:space="preserve"> to resolve the Parent Company, including: (1) the power to remove officers and directors responsible for the Parent Company's failure and to appoint new directors and officers; (2) the power to assign assets and liabilities to a third party or bridge fina</w:t>
      </w:r>
      <w:r>
        <w:rPr>
          <w:rFonts w:ascii="Arial" w:eastAsia="宋体" w:hAnsi="Arial" w:cs="Arial"/>
          <w:color w:val="000000"/>
          <w:sz w:val="20"/>
          <w:szCs w:val="20"/>
        </w:rPr>
        <w:t>ncial company without the need for creditor consent or prior court review; (3) the ability to differentiate among similarly situated creditors, subject to a minimum recovery right to receive at least what they would have received in bankruptcy liquidation;</w:t>
      </w:r>
      <w:r>
        <w:rPr>
          <w:rFonts w:ascii="Arial" w:eastAsia="宋体" w:hAnsi="Arial" w:cs="Arial"/>
          <w:color w:val="000000"/>
          <w:sz w:val="20"/>
          <w:szCs w:val="20"/>
        </w:rPr>
        <w:t xml:space="preserve"> and (4) broad powers to administer the claims process to determine distributions from the assets of the receivership to creditors not transferred to a third party or bridge financial institution.</w:t>
      </w:r>
    </w:p>
    <w:p w14:paraId="5F2C9C99" w14:textId="77777777" w:rsidR="00E836FB" w:rsidRDefault="00994958">
      <w:pPr>
        <w:spacing w:before="60"/>
        <w:ind w:firstLine="450"/>
        <w:jc w:val="both"/>
        <w:textAlignment w:val="top"/>
      </w:pPr>
      <w:r>
        <w:rPr>
          <w:rFonts w:ascii="Arial" w:eastAsia="宋体" w:hAnsi="Arial" w:cs="Arial"/>
          <w:color w:val="000000"/>
          <w:sz w:val="20"/>
          <w:szCs w:val="20"/>
        </w:rPr>
        <w:t>In 2013, the FDIC released its proposed SPOE strategy for r</w:t>
      </w:r>
      <w:r>
        <w:rPr>
          <w:rFonts w:ascii="Arial" w:eastAsia="宋体" w:hAnsi="Arial" w:cs="Arial"/>
          <w:color w:val="000000"/>
          <w:sz w:val="20"/>
          <w:szCs w:val="20"/>
        </w:rPr>
        <w:t>esolution of a SIFI under the orderly liquidation authority. The FDIC’s release outlines how it would use its powers under the orderly liquidation authority to resolve a SIFI by placing its top-tier U.S. holding company in receivership and keeping its oper</w:t>
      </w:r>
      <w:r>
        <w:rPr>
          <w:rFonts w:ascii="Arial" w:eastAsia="宋体" w:hAnsi="Arial" w:cs="Arial"/>
          <w:color w:val="000000"/>
          <w:sz w:val="20"/>
          <w:szCs w:val="20"/>
        </w:rPr>
        <w:t xml:space="preserve">ating subsidiaries open and out of insolvency proceedings by transferring the operating subsidiaries to a new bridge holding company, recapitalizing the operating subsidiaries and imposing losses on the shareholders and creditors of the holding company in </w:t>
      </w:r>
      <w:r>
        <w:rPr>
          <w:rFonts w:ascii="Arial" w:eastAsia="宋体" w:hAnsi="Arial" w:cs="Arial"/>
          <w:color w:val="000000"/>
          <w:sz w:val="20"/>
          <w:szCs w:val="20"/>
        </w:rPr>
        <w:t>receivership according to their statutory order of priority.</w:t>
      </w:r>
    </w:p>
    <w:p w14:paraId="5F2C9C9A" w14:textId="77777777" w:rsidR="00E836FB" w:rsidRDefault="00994958">
      <w:pPr>
        <w:spacing w:before="90"/>
        <w:jc w:val="both"/>
        <w:textAlignment w:val="top"/>
      </w:pPr>
      <w:r>
        <w:rPr>
          <w:rFonts w:ascii="Arial" w:eastAsia="宋体" w:hAnsi="Arial" w:cs="Arial"/>
          <w:b/>
          <w:bCs/>
          <w:color w:val="000000"/>
          <w:sz w:val="20"/>
          <w:szCs w:val="20"/>
        </w:rPr>
        <w:t>Derivatives</w:t>
      </w:r>
    </w:p>
    <w:p w14:paraId="5F2C9C9B" w14:textId="77777777" w:rsidR="00E836FB" w:rsidRDefault="00994958">
      <w:pPr>
        <w:spacing w:before="60"/>
        <w:ind w:firstLine="450"/>
        <w:jc w:val="both"/>
        <w:textAlignment w:val="top"/>
      </w:pPr>
      <w:r>
        <w:rPr>
          <w:rFonts w:ascii="Arial" w:eastAsia="宋体" w:hAnsi="Arial" w:cs="Arial"/>
          <w:color w:val="000000"/>
          <w:sz w:val="20"/>
          <w:szCs w:val="20"/>
        </w:rPr>
        <w:t>Title VII of the Dodd-Frank Act imposed a comprehensive regulatory structure on the OTC derivatives market, including requirements for clearing, exchange trading, capital, margin, rep</w:t>
      </w:r>
      <w:r>
        <w:rPr>
          <w:rFonts w:ascii="Arial" w:eastAsia="宋体" w:hAnsi="Arial" w:cs="Arial"/>
          <w:color w:val="000000"/>
          <w:sz w:val="20"/>
          <w:szCs w:val="20"/>
        </w:rPr>
        <w:t xml:space="preserve">orting </w:t>
      </w:r>
    </w:p>
    <w:p w14:paraId="5F2C9C9C" w14:textId="77777777" w:rsidR="00E836FB" w:rsidRDefault="00994958">
      <w:pPr>
        <w:spacing w:before="60"/>
        <w:jc w:val="both"/>
        <w:textAlignment w:val="top"/>
      </w:pPr>
      <w:r>
        <w:rPr>
          <w:rFonts w:ascii="Arial" w:eastAsia="宋体" w:hAnsi="Arial" w:cs="Arial"/>
          <w:color w:val="000000"/>
          <w:sz w:val="20"/>
          <w:szCs w:val="20"/>
        </w:rPr>
        <w:t>and record-keeping. Title VII also requires certain persons to register as a major swap participant, a swap dealer or a securities-based swap dealer. The CFTC, the SEC, and other U.S. regulators have largely implemented key provisions of Title VII,</w:t>
      </w:r>
      <w:r>
        <w:rPr>
          <w:rFonts w:ascii="Arial" w:eastAsia="宋体" w:hAnsi="Arial" w:cs="Arial"/>
          <w:color w:val="000000"/>
          <w:sz w:val="20"/>
          <w:szCs w:val="20"/>
        </w:rPr>
        <w:t xml:space="preserve"> although certain final regulations have only been in place a short period of time and others have not been finalized. Through this rulemaking process, these regulators collectively have adopted or proposed, among other things, regulations relating to repo</w:t>
      </w:r>
      <w:r>
        <w:rPr>
          <w:rFonts w:ascii="Arial" w:eastAsia="宋体" w:hAnsi="Arial" w:cs="Arial"/>
          <w:color w:val="000000"/>
          <w:sz w:val="20"/>
          <w:szCs w:val="20"/>
        </w:rPr>
        <w:t>rting and record-keeping obligations, margin and capital requirements, the scope of registration and the central clearing and exchange trading requirements for certain OTC derivatives. The CFTC has also issued rules to enhance the oversight of clearing and</w:t>
      </w:r>
      <w:r>
        <w:rPr>
          <w:rFonts w:ascii="Arial" w:eastAsia="宋体" w:hAnsi="Arial" w:cs="Arial"/>
          <w:color w:val="000000"/>
          <w:sz w:val="20"/>
          <w:szCs w:val="20"/>
        </w:rPr>
        <w:t xml:space="preserve"> trading entities. The CFTC, along with other regulators, including the Federal Reserve, have also issued rules with respect to margin requirements for uncleared derivatives transactions. </w:t>
      </w:r>
    </w:p>
    <w:p w14:paraId="5F2C9C9D" w14:textId="77777777" w:rsidR="00E836FB" w:rsidRDefault="00994958">
      <w:pPr>
        <w:spacing w:before="60"/>
        <w:ind w:firstLine="450"/>
        <w:jc w:val="both"/>
        <w:textAlignment w:val="top"/>
      </w:pPr>
      <w:r>
        <w:rPr>
          <w:rFonts w:ascii="Arial" w:eastAsia="宋体" w:hAnsi="Arial" w:cs="Arial"/>
          <w:color w:val="000000"/>
          <w:sz w:val="20"/>
          <w:szCs w:val="20"/>
        </w:rPr>
        <w:t>State Street Bank has registered provisionally with the CFTC as a s</w:t>
      </w:r>
      <w:r>
        <w:rPr>
          <w:rFonts w:ascii="Arial" w:eastAsia="宋体" w:hAnsi="Arial" w:cs="Arial"/>
          <w:color w:val="000000"/>
          <w:sz w:val="20"/>
          <w:szCs w:val="20"/>
        </w:rPr>
        <w:t>wap dealer. As a provisionally registered swap dealer, State Street Bank is subject to significant regulatory obligations regarding its swap activity and the supervision, examination and enforcement powers of the CFTC and other regulators. The CFTC has gra</w:t>
      </w:r>
      <w:r>
        <w:rPr>
          <w:rFonts w:ascii="Arial" w:eastAsia="宋体" w:hAnsi="Arial" w:cs="Arial"/>
          <w:color w:val="000000"/>
          <w:sz w:val="20"/>
          <w:szCs w:val="20"/>
        </w:rPr>
        <w:t>nted State Street Bank a limited-purpose swap dealer designation. Under this limited-purpose designation, interest rate swap activity conducted by State Street Bank’s Global Treasury group is not subject to certain of the swap regulatory requirements other</w:t>
      </w:r>
      <w:r>
        <w:rPr>
          <w:rFonts w:ascii="Arial" w:eastAsia="宋体" w:hAnsi="Arial" w:cs="Arial"/>
          <w:color w:val="000000"/>
          <w:sz w:val="20"/>
          <w:szCs w:val="20"/>
        </w:rPr>
        <w:t>wise applicable to swaps entered into by a registered swap dealer, subject to a number of conditions. For all other swap transactions, our swap activities remain subject to all applicable swap dealer regulations.</w:t>
      </w:r>
    </w:p>
    <w:p w14:paraId="5F2C9C9E" w14:textId="77777777" w:rsidR="00E836FB" w:rsidRDefault="00994958">
      <w:pPr>
        <w:spacing w:before="90"/>
        <w:jc w:val="both"/>
        <w:textAlignment w:val="top"/>
      </w:pPr>
      <w:r>
        <w:rPr>
          <w:rFonts w:ascii="Arial" w:eastAsia="宋体" w:hAnsi="Arial" w:cs="Arial"/>
          <w:b/>
          <w:bCs/>
          <w:color w:val="000000"/>
          <w:sz w:val="20"/>
          <w:szCs w:val="20"/>
        </w:rPr>
        <w:t>Subsidiaries</w:t>
      </w:r>
    </w:p>
    <w:p w14:paraId="5F2C9C9F" w14:textId="77777777" w:rsidR="00E836FB" w:rsidRDefault="00994958">
      <w:pPr>
        <w:spacing w:before="60"/>
        <w:ind w:firstLine="450"/>
        <w:jc w:val="both"/>
        <w:textAlignment w:val="top"/>
      </w:pPr>
      <w:r>
        <w:rPr>
          <w:rFonts w:ascii="Arial" w:eastAsia="宋体" w:hAnsi="Arial" w:cs="Arial"/>
          <w:color w:val="000000"/>
          <w:sz w:val="20"/>
          <w:szCs w:val="20"/>
        </w:rPr>
        <w:t>The Federal Reserve is the pri</w:t>
      </w:r>
      <w:r>
        <w:rPr>
          <w:rFonts w:ascii="Arial" w:eastAsia="宋体" w:hAnsi="Arial" w:cs="Arial"/>
          <w:color w:val="000000"/>
          <w:sz w:val="20"/>
          <w:szCs w:val="20"/>
        </w:rPr>
        <w:t>mary federal banking agency responsible for regulating us and our subsidiaries, including State Street Bank, with respect to both our U.S. and non-U.S. operations. Our banking subsidiaries are subject to supervision and examination by various regulatory au</w:t>
      </w:r>
      <w:r>
        <w:rPr>
          <w:rFonts w:ascii="Arial" w:eastAsia="宋体" w:hAnsi="Arial" w:cs="Arial"/>
          <w:color w:val="000000"/>
          <w:sz w:val="20"/>
          <w:szCs w:val="20"/>
        </w:rPr>
        <w:t>thorities and have regulatory requirements that may differ from State Street Corporation.</w:t>
      </w:r>
    </w:p>
    <w:p w14:paraId="5F2C9CA0" w14:textId="77777777" w:rsidR="00E836FB" w:rsidRDefault="00994958">
      <w:pPr>
        <w:spacing w:before="60"/>
        <w:jc w:val="both"/>
        <w:textAlignment w:val="top"/>
      </w:pPr>
      <w:r>
        <w:rPr>
          <w:rFonts w:ascii="Arial" w:eastAsia="宋体" w:hAnsi="Arial" w:cs="Arial"/>
          <w:i/>
          <w:iCs/>
          <w:color w:val="000000"/>
          <w:sz w:val="20"/>
          <w:szCs w:val="20"/>
        </w:rPr>
        <w:t>State Street Bank</w:t>
      </w:r>
    </w:p>
    <w:p w14:paraId="5F2C9CA1" w14:textId="77777777" w:rsidR="00E836FB" w:rsidRDefault="00994958">
      <w:pPr>
        <w:spacing w:before="60"/>
        <w:ind w:firstLine="450"/>
        <w:jc w:val="both"/>
        <w:textAlignment w:val="top"/>
      </w:pPr>
      <w:r>
        <w:rPr>
          <w:rFonts w:ascii="Arial" w:eastAsia="宋体" w:hAnsi="Arial" w:cs="Arial"/>
          <w:color w:val="000000"/>
          <w:sz w:val="20"/>
          <w:szCs w:val="20"/>
        </w:rPr>
        <w:t xml:space="preserve">State Street Bank is a member of the Federal Reserve System, its deposits are insured by the FDIC and it is subject to applicable federal and state </w:t>
      </w:r>
      <w:r>
        <w:rPr>
          <w:rFonts w:ascii="Arial" w:eastAsia="宋体" w:hAnsi="Arial" w:cs="Arial"/>
          <w:color w:val="000000"/>
          <w:sz w:val="20"/>
          <w:szCs w:val="20"/>
        </w:rPr>
        <w:t xml:space="preserve">banking laws and to supervision and examination by the Federal Reserve, as well as by the Massachusetts Commissioner of Banks, the FDIC, and the regulatory authorities of those states and countries in which State Street Bank operates a branch. </w:t>
      </w:r>
    </w:p>
    <w:p w14:paraId="5F2C9CA2" w14:textId="77777777" w:rsidR="00E836FB" w:rsidRDefault="00994958">
      <w:pPr>
        <w:spacing w:before="60"/>
        <w:ind w:firstLine="450"/>
        <w:jc w:val="both"/>
        <w:textAlignment w:val="top"/>
      </w:pPr>
      <w:r>
        <w:rPr>
          <w:rFonts w:ascii="Arial" w:eastAsia="宋体" w:hAnsi="Arial" w:cs="Arial"/>
          <w:color w:val="000000"/>
          <w:sz w:val="20"/>
          <w:szCs w:val="20"/>
        </w:rPr>
        <w:t>As with the</w:t>
      </w:r>
      <w:r>
        <w:rPr>
          <w:rFonts w:ascii="Arial" w:eastAsia="宋体" w:hAnsi="Arial" w:cs="Arial"/>
          <w:color w:val="000000"/>
          <w:sz w:val="20"/>
          <w:szCs w:val="20"/>
        </w:rPr>
        <w:t xml:space="preserve"> Parent Company, State Street Bank is considered an advanced approaches banking organization subject to the Basel III framework in the </w:t>
      </w:r>
    </w:p>
    <w:p w14:paraId="5F2C9CA3" w14:textId="77777777" w:rsidR="00E836FB" w:rsidRDefault="00994958">
      <w:pPr>
        <w:ind w:firstLine="450"/>
        <w:jc w:val="right"/>
      </w:pPr>
      <w:r>
        <w:rPr>
          <w:rFonts w:ascii="Arial" w:eastAsia="宋体" w:hAnsi="Arial" w:cs="Arial"/>
          <w:color w:val="000000"/>
          <w:sz w:val="18"/>
          <w:szCs w:val="18"/>
        </w:rPr>
        <w:t>State Street Corporation | 19</w:t>
      </w:r>
    </w:p>
    <w:p w14:paraId="5F2C9CA4" w14:textId="77777777" w:rsidR="00E836FB" w:rsidRDefault="00E836FB">
      <w:pPr>
        <w:ind w:firstLine="450"/>
        <w:jc w:val="center"/>
      </w:pPr>
    </w:p>
    <w:p w14:paraId="5F2C9CA5" w14:textId="77777777" w:rsidR="00E836FB" w:rsidRDefault="00994958">
      <w:r>
        <w:pict w14:anchorId="5F2D6D96">
          <v:rect id="_x0000_i1043" style="width:415.3pt;height:1.5pt" o:hralign="center" o:hrstd="t" o:hr="t" fillcolor="#a0a0a0" stroked="f"/>
        </w:pict>
      </w:r>
    </w:p>
    <w:p w14:paraId="5F2C9CA6" w14:textId="77777777" w:rsidR="00E836FB" w:rsidRDefault="00E836FB">
      <w:pPr>
        <w:ind w:firstLine="450"/>
      </w:pPr>
    </w:p>
    <w:p w14:paraId="5F2C9CA7" w14:textId="77777777" w:rsidR="00E836FB" w:rsidRDefault="00994958">
      <w:pPr>
        <w:spacing w:before="60"/>
        <w:jc w:val="both"/>
        <w:textAlignment w:val="top"/>
      </w:pPr>
      <w:r>
        <w:rPr>
          <w:rFonts w:ascii="Arial" w:eastAsia="宋体" w:hAnsi="Arial" w:cs="Arial"/>
          <w:color w:val="000000"/>
          <w:sz w:val="20"/>
          <w:szCs w:val="20"/>
        </w:rPr>
        <w:t>U.S. and is also subject to the market risk capital rule jointly issued by U.S. Agencies to implement the changes to the market risk capital framework in the U.S. As required by the Dodd-Frank Act, State Street Bank, as an advanced approaches banking organ</w:t>
      </w:r>
      <w:r>
        <w:rPr>
          <w:rFonts w:ascii="Arial" w:eastAsia="宋体" w:hAnsi="Arial" w:cs="Arial"/>
          <w:color w:val="000000"/>
          <w:sz w:val="20"/>
          <w:szCs w:val="20"/>
        </w:rPr>
        <w:t>ization, is subject to a "capital floor," also referred to as the Collins Amendment, in the assessment of its regulatory capital adequacy, including the capital conservation buffer and countercyclical capital buffer described above in this "Supervision and</w:t>
      </w:r>
      <w:r>
        <w:rPr>
          <w:rFonts w:ascii="Arial" w:eastAsia="宋体" w:hAnsi="Arial" w:cs="Arial"/>
          <w:color w:val="000000"/>
          <w:sz w:val="20"/>
          <w:szCs w:val="20"/>
        </w:rPr>
        <w:t xml:space="preserve"> Regulation" section. </w:t>
      </w:r>
    </w:p>
    <w:p w14:paraId="5F2C9CA8" w14:textId="77777777" w:rsidR="00E836FB" w:rsidRDefault="00994958">
      <w:pPr>
        <w:spacing w:before="60"/>
        <w:ind w:firstLine="450"/>
        <w:jc w:val="both"/>
        <w:textAlignment w:val="top"/>
      </w:pPr>
      <w:r>
        <w:rPr>
          <w:rFonts w:ascii="Arial" w:eastAsia="宋体" w:hAnsi="Arial" w:cs="Arial"/>
          <w:color w:val="000000"/>
          <w:sz w:val="20"/>
          <w:szCs w:val="20"/>
        </w:rPr>
        <w:t>Under the Basel III rule, State Street Bank's regulatory capital calculations, including any additions or deductions from capital for regulatory purposes, are consistent with the calculations of the Parent Company.</w:t>
      </w:r>
    </w:p>
    <w:p w14:paraId="5F2C9CA9" w14:textId="77777777" w:rsidR="00E836FB" w:rsidRDefault="00994958">
      <w:pPr>
        <w:spacing w:before="60"/>
        <w:ind w:firstLine="450"/>
        <w:jc w:val="both"/>
        <w:textAlignment w:val="top"/>
      </w:pPr>
      <w:r>
        <w:rPr>
          <w:rFonts w:ascii="Arial" w:eastAsia="宋体" w:hAnsi="Arial" w:cs="Arial"/>
          <w:color w:val="000000"/>
          <w:sz w:val="20"/>
          <w:szCs w:val="20"/>
        </w:rPr>
        <w:t>Similar to our Par</w:t>
      </w:r>
      <w:r>
        <w:rPr>
          <w:rFonts w:ascii="Arial" w:eastAsia="宋体" w:hAnsi="Arial" w:cs="Arial"/>
          <w:color w:val="000000"/>
          <w:sz w:val="20"/>
          <w:szCs w:val="20"/>
        </w:rPr>
        <w:t>ent Company, State Street Bank is subject to the Tier 1 leverage ratio and the supplementary leverage ratio.</w:t>
      </w:r>
      <w:r>
        <w:rPr>
          <w:rFonts w:ascii="Arial" w:eastAsia="宋体" w:hAnsi="Arial" w:cs="Arial"/>
          <w:color w:val="000000"/>
        </w:rPr>
        <w:t xml:space="preserve"> </w:t>
      </w:r>
      <w:r>
        <w:rPr>
          <w:rFonts w:ascii="Arial" w:eastAsia="宋体" w:hAnsi="Arial" w:cs="Arial"/>
          <w:color w:val="000000"/>
          <w:sz w:val="20"/>
          <w:szCs w:val="20"/>
        </w:rPr>
        <w:t>However, as State Street Bank is the insured depository institution subsidiary of one of the eight U.S. G-SIBs, it is required to maintain a minimu</w:t>
      </w:r>
      <w:r>
        <w:rPr>
          <w:rFonts w:ascii="Arial" w:eastAsia="宋体" w:hAnsi="Arial" w:cs="Arial"/>
          <w:color w:val="000000"/>
          <w:sz w:val="20"/>
          <w:szCs w:val="20"/>
        </w:rPr>
        <w:t>m Tier 1 leverage ratio of 5% and a minimum SLR of 6% to be considered well capitalized.</w:t>
      </w:r>
      <w:r>
        <w:rPr>
          <w:rFonts w:ascii="Arial" w:eastAsia="宋体" w:hAnsi="Arial" w:cs="Arial"/>
          <w:color w:val="000000"/>
        </w:rPr>
        <w:t xml:space="preserve"> </w:t>
      </w:r>
    </w:p>
    <w:p w14:paraId="5F2C9CAA" w14:textId="77777777" w:rsidR="00E836FB" w:rsidRDefault="00994958">
      <w:pPr>
        <w:spacing w:before="60"/>
        <w:ind w:firstLine="450"/>
        <w:jc w:val="both"/>
        <w:textAlignment w:val="top"/>
      </w:pPr>
      <w:r>
        <w:rPr>
          <w:rFonts w:ascii="Arial" w:eastAsia="宋体" w:hAnsi="Arial" w:cs="Arial"/>
          <w:color w:val="000000"/>
          <w:sz w:val="20"/>
          <w:szCs w:val="20"/>
        </w:rPr>
        <w:t>Furthermore, for the purposes of calculating the SLR, State Street Bank is similarly subject to a final rule adopted by the U.S. Agencies that excludes central bank d</w:t>
      </w:r>
      <w:r>
        <w:rPr>
          <w:rFonts w:ascii="Arial" w:eastAsia="宋体" w:hAnsi="Arial" w:cs="Arial"/>
          <w:color w:val="000000"/>
          <w:sz w:val="20"/>
          <w:szCs w:val="20"/>
        </w:rPr>
        <w:t xml:space="preserve">eposits from a custodial banking organization’s total leverage exposure. For the quarter ended December 31, 2021, State Street Bank excluded $84.1 billion of average balances held on deposit at central banks from the denominator used in the calculation of </w:t>
      </w:r>
      <w:r>
        <w:rPr>
          <w:rFonts w:ascii="Arial" w:eastAsia="宋体" w:hAnsi="Arial" w:cs="Arial"/>
          <w:color w:val="000000"/>
          <w:sz w:val="20"/>
          <w:szCs w:val="20"/>
        </w:rPr>
        <w:t>our SLR based on this custodial banking exclusion.</w:t>
      </w:r>
    </w:p>
    <w:p w14:paraId="5F2C9CAB" w14:textId="77777777" w:rsidR="00E836FB" w:rsidRDefault="00994958">
      <w:pPr>
        <w:spacing w:before="60"/>
        <w:ind w:firstLine="450"/>
        <w:jc w:val="both"/>
        <w:textAlignment w:val="top"/>
      </w:pPr>
      <w:r>
        <w:rPr>
          <w:rFonts w:ascii="Arial" w:eastAsia="宋体" w:hAnsi="Arial" w:cs="Arial"/>
          <w:color w:val="000000"/>
          <w:sz w:val="20"/>
          <w:szCs w:val="20"/>
        </w:rPr>
        <w:t>Pursuant to the BCBS's NSFR final rule, as a subsidiary of a U.S. G-SIB, State Street Bank is similarly required to maintain an NSFR that is equal to or greater than 100%.</w:t>
      </w:r>
    </w:p>
    <w:p w14:paraId="5F2C9CAC" w14:textId="77777777" w:rsidR="00E836FB" w:rsidRDefault="00994958">
      <w:pPr>
        <w:spacing w:before="60"/>
        <w:ind w:firstLine="450"/>
        <w:jc w:val="both"/>
        <w:textAlignment w:val="top"/>
      </w:pPr>
      <w:r>
        <w:rPr>
          <w:rFonts w:ascii="Arial" w:eastAsia="宋体" w:hAnsi="Arial" w:cs="Arial"/>
          <w:color w:val="000000"/>
          <w:sz w:val="20"/>
          <w:szCs w:val="20"/>
        </w:rPr>
        <w:t xml:space="preserve">We and our subsidiaries that are </w:t>
      </w:r>
      <w:r>
        <w:rPr>
          <w:rFonts w:ascii="Arial" w:eastAsia="宋体" w:hAnsi="Arial" w:cs="Arial"/>
          <w:color w:val="000000"/>
          <w:sz w:val="20"/>
          <w:szCs w:val="20"/>
        </w:rPr>
        <w:t xml:space="preserve">not subsidiaries of State Street Bank are affiliates of State Street Bank under federal banking laws, which impose restrictions on various types of transactions, including loans, extensions of credit, investments or asset purchases by or from State Street </w:t>
      </w:r>
      <w:r>
        <w:rPr>
          <w:rFonts w:ascii="Arial" w:eastAsia="宋体" w:hAnsi="Arial" w:cs="Arial"/>
          <w:color w:val="000000"/>
          <w:sz w:val="20"/>
          <w:szCs w:val="20"/>
        </w:rPr>
        <w:t>Bank, on the one hand, to us and those of our subsidiaries, on the other. Transactions of this kind between State Street Bank and its affiliates generally are limited with respect to each affiliate to 10% of State Street Bank’s capital and surplus, as defi</w:t>
      </w:r>
      <w:r>
        <w:rPr>
          <w:rFonts w:ascii="Arial" w:eastAsia="宋体" w:hAnsi="Arial" w:cs="Arial"/>
          <w:color w:val="000000"/>
          <w:sz w:val="20"/>
          <w:szCs w:val="20"/>
        </w:rPr>
        <w:t>ned by the aforementioned banking laws, are limited in the aggregate for all affiliates to 20% of State Street Bank's capital and surplus, and in some cases are also subject to strict collateral requirements. Derivatives, securities borrowing and securitie</w:t>
      </w:r>
      <w:r>
        <w:rPr>
          <w:rFonts w:ascii="Arial" w:eastAsia="宋体" w:hAnsi="Arial" w:cs="Arial"/>
          <w:color w:val="000000"/>
          <w:sz w:val="20"/>
          <w:szCs w:val="20"/>
        </w:rPr>
        <w:t xml:space="preserve">s lending transactions between State Street Bank and its affiliates became subject to these restrictions pursuant to the Dodd-Frank Act. The Dodd-Frank Act also expanded the scope of transactions required to be collateralized. In </w:t>
      </w:r>
    </w:p>
    <w:p w14:paraId="5F2C9CAD" w14:textId="77777777" w:rsidR="00E836FB" w:rsidRDefault="00994958">
      <w:pPr>
        <w:spacing w:before="60"/>
        <w:jc w:val="both"/>
        <w:textAlignment w:val="top"/>
      </w:pPr>
      <w:r>
        <w:rPr>
          <w:rFonts w:ascii="Arial" w:eastAsia="宋体" w:hAnsi="Arial" w:cs="Arial"/>
          <w:color w:val="000000"/>
          <w:sz w:val="20"/>
          <w:szCs w:val="20"/>
        </w:rPr>
        <w:t>addition, the Volcker Rul</w:t>
      </w:r>
      <w:r>
        <w:rPr>
          <w:rFonts w:ascii="Arial" w:eastAsia="宋体" w:hAnsi="Arial" w:cs="Arial"/>
          <w:color w:val="000000"/>
          <w:sz w:val="20"/>
          <w:szCs w:val="20"/>
        </w:rPr>
        <w:t>e generally prohibits similar transactions between the Parent Company or any of its affiliates and covered funds for which we or any of our affiliates serve as the investment manager, investment adviser, commodity trading advisor or sponsor and other cover</w:t>
      </w:r>
      <w:r>
        <w:rPr>
          <w:rFonts w:ascii="Arial" w:eastAsia="宋体" w:hAnsi="Arial" w:cs="Arial"/>
          <w:color w:val="000000"/>
          <w:sz w:val="20"/>
          <w:szCs w:val="20"/>
        </w:rPr>
        <w:t>ed funds organized and offered pursuant to specific exemptions in the Volcker Rule regulations.</w:t>
      </w:r>
    </w:p>
    <w:p w14:paraId="5F2C9CAE" w14:textId="77777777" w:rsidR="00E836FB" w:rsidRDefault="00994958">
      <w:pPr>
        <w:spacing w:before="60"/>
        <w:ind w:firstLine="450"/>
        <w:jc w:val="both"/>
        <w:textAlignment w:val="top"/>
      </w:pPr>
      <w:r>
        <w:rPr>
          <w:rFonts w:ascii="Arial" w:eastAsia="宋体" w:hAnsi="Arial" w:cs="Arial"/>
          <w:color w:val="000000"/>
          <w:sz w:val="20"/>
          <w:szCs w:val="20"/>
        </w:rPr>
        <w:t>Federal law also requires that certain transactions by a bank with affiliates be on terms and under circumstances, including credit standards, that are substant</w:t>
      </w:r>
      <w:r>
        <w:rPr>
          <w:rFonts w:ascii="Arial" w:eastAsia="宋体" w:hAnsi="Arial" w:cs="Arial"/>
          <w:color w:val="000000"/>
          <w:sz w:val="20"/>
          <w:szCs w:val="20"/>
        </w:rPr>
        <w:t>ially the same, or at least as favorable to the bank, as those prevailing at the time for comparable transactions involving other non-affiliated companies. Alternatively, in the absence of comparable transactions, the transactions must be on terms and unde</w:t>
      </w:r>
      <w:r>
        <w:rPr>
          <w:rFonts w:ascii="Arial" w:eastAsia="宋体" w:hAnsi="Arial" w:cs="Arial"/>
          <w:color w:val="000000"/>
          <w:sz w:val="20"/>
          <w:szCs w:val="20"/>
        </w:rPr>
        <w:t>r circumstances, including credit standards, that in good faith would be offered to, or would apply to, non-affiliated companies.</w:t>
      </w:r>
    </w:p>
    <w:p w14:paraId="5F2C9CAF" w14:textId="77777777" w:rsidR="00E836FB" w:rsidRDefault="00994958">
      <w:pPr>
        <w:spacing w:before="60"/>
        <w:ind w:firstLine="450"/>
        <w:jc w:val="both"/>
        <w:textAlignment w:val="top"/>
      </w:pPr>
      <w:r>
        <w:rPr>
          <w:rFonts w:ascii="Arial" w:eastAsia="宋体" w:hAnsi="Arial" w:cs="Arial"/>
          <w:color w:val="000000"/>
          <w:sz w:val="20"/>
          <w:szCs w:val="20"/>
        </w:rPr>
        <w:t>State Street Bank is also prohibited from engaging in certain tie-in arrangements in connection with any extension of credit o</w:t>
      </w:r>
      <w:r>
        <w:rPr>
          <w:rFonts w:ascii="Arial" w:eastAsia="宋体" w:hAnsi="Arial" w:cs="Arial"/>
          <w:color w:val="000000"/>
          <w:sz w:val="20"/>
          <w:szCs w:val="20"/>
        </w:rPr>
        <w:t>r lease or sale of property or furnishing of services. Federal law provides for a depositor preference on amounts realized from the liquidation or other resolution of any depository institution insured by the FDIC.</w:t>
      </w:r>
    </w:p>
    <w:p w14:paraId="5F2C9CB0" w14:textId="77777777" w:rsidR="00E836FB" w:rsidRDefault="00994958">
      <w:pPr>
        <w:spacing w:before="60"/>
        <w:jc w:val="both"/>
        <w:textAlignment w:val="top"/>
      </w:pPr>
      <w:r>
        <w:rPr>
          <w:rFonts w:ascii="Arial" w:eastAsia="宋体" w:hAnsi="Arial" w:cs="Arial"/>
          <w:i/>
          <w:iCs/>
          <w:color w:val="000000"/>
          <w:sz w:val="20"/>
          <w:szCs w:val="20"/>
        </w:rPr>
        <w:t>Other Subsidiaries</w:t>
      </w:r>
    </w:p>
    <w:p w14:paraId="5F2C9CB1" w14:textId="77777777" w:rsidR="00E836FB" w:rsidRDefault="00994958">
      <w:pPr>
        <w:spacing w:before="60"/>
        <w:ind w:firstLine="450"/>
        <w:jc w:val="both"/>
        <w:textAlignment w:val="top"/>
      </w:pPr>
      <w:r>
        <w:rPr>
          <w:rFonts w:ascii="Arial" w:eastAsia="宋体" w:hAnsi="Arial" w:cs="Arial"/>
          <w:color w:val="000000"/>
          <w:sz w:val="20"/>
          <w:szCs w:val="20"/>
        </w:rPr>
        <w:t>Our other subsidiary t</w:t>
      </w:r>
      <w:r>
        <w:rPr>
          <w:rFonts w:ascii="Arial" w:eastAsia="宋体" w:hAnsi="Arial" w:cs="Arial"/>
          <w:color w:val="000000"/>
          <w:sz w:val="20"/>
          <w:szCs w:val="20"/>
        </w:rPr>
        <w:t>rust companies are subject to supervision and examination by the OCC, the Federal Reserve or by the appropriate state banking regulatory authorities of the states in which they are organized and operate. Our non-U.S. banking subsidiaries, and other subsidi</w:t>
      </w:r>
      <w:r>
        <w:rPr>
          <w:rFonts w:ascii="Arial" w:eastAsia="宋体" w:hAnsi="Arial" w:cs="Arial"/>
          <w:color w:val="000000"/>
          <w:sz w:val="20"/>
          <w:szCs w:val="20"/>
        </w:rPr>
        <w:t xml:space="preserve">aries involved in our investment servicing business, are subject to regulation by the financial regulatory authorities of the jurisdictions in which they operate. Our subsidiaries involved in our investment management and securities and markets businesses </w:t>
      </w:r>
      <w:r>
        <w:rPr>
          <w:rFonts w:ascii="Arial" w:eastAsia="宋体" w:hAnsi="Arial" w:cs="Arial"/>
          <w:color w:val="000000"/>
          <w:sz w:val="20"/>
          <w:szCs w:val="20"/>
        </w:rPr>
        <w:t>are regulated by governments, securities exchanges, self-regulatory organizations, central banks and regulatory bodies in U.S. federal and state and non-U.S. jurisdictions, especially in those jurisdictions in which we maintain an office.</w:t>
      </w:r>
    </w:p>
    <w:p w14:paraId="5F2C9CB2" w14:textId="77777777" w:rsidR="00E836FB" w:rsidRDefault="00994958">
      <w:pPr>
        <w:spacing w:before="60"/>
        <w:ind w:firstLine="450"/>
        <w:jc w:val="both"/>
        <w:textAlignment w:val="top"/>
      </w:pPr>
      <w:r>
        <w:rPr>
          <w:rFonts w:ascii="Arial" w:eastAsia="宋体" w:hAnsi="Arial" w:cs="Arial"/>
          <w:color w:val="000000"/>
          <w:sz w:val="20"/>
          <w:szCs w:val="20"/>
        </w:rPr>
        <w:t>Many aspects of o</w:t>
      </w:r>
      <w:r>
        <w:rPr>
          <w:rFonts w:ascii="Arial" w:eastAsia="宋体" w:hAnsi="Arial" w:cs="Arial"/>
          <w:color w:val="000000"/>
          <w:sz w:val="20"/>
          <w:szCs w:val="20"/>
        </w:rPr>
        <w:t>ur investment management activities are subject to U.S. federal and state, as well as non-U.S., laws and regulations primarily intended to benefit the investment holder, rather than our shareholders. These laws and regulations generally grant supervisory a</w:t>
      </w:r>
      <w:r>
        <w:rPr>
          <w:rFonts w:ascii="Arial" w:eastAsia="宋体" w:hAnsi="Arial" w:cs="Arial"/>
          <w:color w:val="000000"/>
          <w:sz w:val="20"/>
          <w:szCs w:val="20"/>
        </w:rPr>
        <w:t>gencies and bodies broad administrative powers, including the power to limit or restrict us from conducting our investment management activities in the event that we fail to comply with such laws and regulations, and examination authority. Our business rel</w:t>
      </w:r>
      <w:r>
        <w:rPr>
          <w:rFonts w:ascii="Arial" w:eastAsia="宋体" w:hAnsi="Arial" w:cs="Arial"/>
          <w:color w:val="000000"/>
          <w:sz w:val="20"/>
          <w:szCs w:val="20"/>
        </w:rPr>
        <w:t>ated to investment management and trusteeship of collective trust funds and separate accounts offered to employee benefit plans is subject to the Employee Retirement Income Security Act (ERISA), and is regulated by the U.S. DOL.</w:t>
      </w:r>
    </w:p>
    <w:p w14:paraId="5F2C9CB3" w14:textId="77777777" w:rsidR="00E836FB" w:rsidRDefault="00994958">
      <w:pPr>
        <w:ind w:firstLine="450"/>
        <w:jc w:val="right"/>
      </w:pPr>
      <w:r>
        <w:rPr>
          <w:rFonts w:ascii="Arial" w:eastAsia="宋体" w:hAnsi="Arial" w:cs="Arial"/>
          <w:color w:val="000000"/>
          <w:sz w:val="18"/>
          <w:szCs w:val="18"/>
        </w:rPr>
        <w:t xml:space="preserve">State Street Corporation | </w:t>
      </w:r>
      <w:r>
        <w:rPr>
          <w:rFonts w:ascii="Arial" w:eastAsia="宋体" w:hAnsi="Arial" w:cs="Arial"/>
          <w:color w:val="000000"/>
          <w:sz w:val="18"/>
          <w:szCs w:val="18"/>
        </w:rPr>
        <w:t>20</w:t>
      </w:r>
    </w:p>
    <w:p w14:paraId="5F2C9CB4" w14:textId="77777777" w:rsidR="00E836FB" w:rsidRDefault="00E836FB">
      <w:pPr>
        <w:ind w:firstLine="450"/>
        <w:jc w:val="center"/>
      </w:pPr>
    </w:p>
    <w:p w14:paraId="5F2C9CB5" w14:textId="77777777" w:rsidR="00E836FB" w:rsidRDefault="00994958">
      <w:r>
        <w:pict w14:anchorId="5F2D6D97">
          <v:rect id="_x0000_i1044" style="width:415.3pt;height:1.5pt" o:hralign="center" o:hrstd="t" o:hr="t" fillcolor="#a0a0a0" stroked="f"/>
        </w:pict>
      </w:r>
    </w:p>
    <w:p w14:paraId="5F2C9CB6" w14:textId="77777777" w:rsidR="00E836FB" w:rsidRDefault="00E836FB">
      <w:pPr>
        <w:ind w:firstLine="450"/>
      </w:pPr>
    </w:p>
    <w:p w14:paraId="5F2C9CB7" w14:textId="77777777" w:rsidR="00E836FB" w:rsidRDefault="00994958">
      <w:pPr>
        <w:spacing w:before="60"/>
        <w:ind w:firstLine="450"/>
        <w:jc w:val="both"/>
        <w:textAlignment w:val="top"/>
      </w:pPr>
      <w:r>
        <w:rPr>
          <w:rFonts w:ascii="Arial" w:eastAsia="宋体" w:hAnsi="Arial" w:cs="Arial"/>
          <w:color w:val="000000"/>
          <w:sz w:val="20"/>
          <w:szCs w:val="20"/>
        </w:rPr>
        <w:t>The majority of our non-U.S. asset servicing operations are conducted pursuant to the Federal Reserve's Regulation K through State Street Bank’s Edge Act subsidiary or through international branches of State Street Bank. An Edge Act corporation is a</w:t>
      </w:r>
      <w:r>
        <w:rPr>
          <w:rFonts w:ascii="Arial" w:eastAsia="宋体" w:hAnsi="Arial" w:cs="Arial"/>
          <w:color w:val="000000"/>
          <w:sz w:val="20"/>
          <w:szCs w:val="20"/>
        </w:rPr>
        <w:t xml:space="preserve"> corporation organized under federal law that conducts foreign business activities. In general, banks may not make investments in their Edge Act corporations (and similar state law corporations) that exceed 20% of their capital and surplus, as defined in t</w:t>
      </w:r>
      <w:r>
        <w:rPr>
          <w:rFonts w:ascii="Arial" w:eastAsia="宋体" w:hAnsi="Arial" w:cs="Arial"/>
          <w:color w:val="000000"/>
          <w:sz w:val="20"/>
          <w:szCs w:val="20"/>
        </w:rPr>
        <w:t>he relevant banking regulations, and the investment of any amount in excess of 10% of capital and surplus requires the prior approval of the Federal Reserve.</w:t>
      </w:r>
    </w:p>
    <w:p w14:paraId="5F2C9CB8" w14:textId="77777777" w:rsidR="00E836FB" w:rsidRDefault="00994958">
      <w:pPr>
        <w:spacing w:before="60"/>
        <w:ind w:firstLine="450"/>
        <w:jc w:val="both"/>
        <w:textAlignment w:val="top"/>
      </w:pPr>
      <w:r>
        <w:rPr>
          <w:rFonts w:ascii="Arial" w:eastAsia="宋体" w:hAnsi="Arial" w:cs="Arial"/>
          <w:color w:val="000000"/>
          <w:sz w:val="20"/>
          <w:szCs w:val="20"/>
        </w:rPr>
        <w:t>In addition to our non-U.S. operations conducted pursuant to Regulation K, we also make new invest</w:t>
      </w:r>
      <w:r>
        <w:rPr>
          <w:rFonts w:ascii="Arial" w:eastAsia="宋体" w:hAnsi="Arial" w:cs="Arial"/>
          <w:color w:val="000000"/>
          <w:sz w:val="20"/>
          <w:szCs w:val="20"/>
        </w:rPr>
        <w:t>ments abroad directly (through us or through our non-banking subsidiaries) pursuant to the Federal Reserve's Regulation Y, or through international bank branch expansion, neither of which is subject to the investment limitations applicable to Edge Act subs</w:t>
      </w:r>
      <w:r>
        <w:rPr>
          <w:rFonts w:ascii="Arial" w:eastAsia="宋体" w:hAnsi="Arial" w:cs="Arial"/>
          <w:color w:val="000000"/>
          <w:sz w:val="20"/>
          <w:szCs w:val="20"/>
        </w:rPr>
        <w:t>idiaries.</w:t>
      </w:r>
    </w:p>
    <w:p w14:paraId="5F2C9CB9" w14:textId="77777777" w:rsidR="00E836FB" w:rsidRDefault="00994958">
      <w:pPr>
        <w:spacing w:before="60"/>
        <w:ind w:firstLine="450"/>
        <w:jc w:val="both"/>
        <w:textAlignment w:val="top"/>
      </w:pPr>
      <w:r>
        <w:rPr>
          <w:rFonts w:ascii="Arial" w:eastAsia="宋体" w:hAnsi="Arial" w:cs="Arial"/>
          <w:color w:val="000000"/>
          <w:sz w:val="20"/>
          <w:szCs w:val="20"/>
        </w:rPr>
        <w:t>Additionally, Massachusetts has its own bank holding company statute, under which we, among other things, may be required to obtain prior approval by the Massachusetts Board of Bank Incorporation for an acquisition of more than 5% of any addition</w:t>
      </w:r>
      <w:r>
        <w:rPr>
          <w:rFonts w:ascii="Arial" w:eastAsia="宋体" w:hAnsi="Arial" w:cs="Arial"/>
          <w:color w:val="000000"/>
          <w:sz w:val="20"/>
          <w:szCs w:val="20"/>
        </w:rPr>
        <w:t>al bank's voting shares, or for other forms of bank acquisitions.</w:t>
      </w:r>
    </w:p>
    <w:p w14:paraId="5F2C9CBA" w14:textId="77777777" w:rsidR="00E836FB" w:rsidRDefault="00994958">
      <w:pPr>
        <w:spacing w:before="90"/>
        <w:jc w:val="both"/>
        <w:textAlignment w:val="top"/>
      </w:pPr>
      <w:r>
        <w:rPr>
          <w:rFonts w:ascii="Arial" w:eastAsia="宋体" w:hAnsi="Arial" w:cs="Arial"/>
          <w:b/>
          <w:bCs/>
          <w:color w:val="000000"/>
          <w:sz w:val="20"/>
          <w:szCs w:val="20"/>
        </w:rPr>
        <w:t>Anti-Money Laundering and Financial Transparency</w:t>
      </w:r>
    </w:p>
    <w:p w14:paraId="5F2C9CBB" w14:textId="77777777" w:rsidR="00E836FB" w:rsidRDefault="00994958">
      <w:pPr>
        <w:spacing w:before="60"/>
        <w:ind w:firstLine="450"/>
        <w:jc w:val="both"/>
        <w:textAlignment w:val="top"/>
      </w:pPr>
      <w:r>
        <w:rPr>
          <w:rFonts w:ascii="Arial" w:eastAsia="宋体" w:hAnsi="Arial" w:cs="Arial"/>
          <w:color w:val="000000"/>
          <w:sz w:val="20"/>
          <w:szCs w:val="20"/>
        </w:rPr>
        <w:t>We and certain of our subsidiaries are subject to the Bank Secrecy Act of 1970, as amended by the USA PATRIOT Act of 2001, and related regula</w:t>
      </w:r>
      <w:r>
        <w:rPr>
          <w:rFonts w:ascii="Arial" w:eastAsia="宋体" w:hAnsi="Arial" w:cs="Arial"/>
          <w:color w:val="000000"/>
          <w:sz w:val="20"/>
          <w:szCs w:val="20"/>
        </w:rPr>
        <w:t xml:space="preserve">tions, which contain AML and financial transparency provisions and which require implementation of an AML compliance program, including processes for verifying client identification and monitoring client transactions and detecting and reporting suspicious </w:t>
      </w:r>
      <w:r>
        <w:rPr>
          <w:rFonts w:ascii="Arial" w:eastAsia="宋体" w:hAnsi="Arial" w:cs="Arial"/>
          <w:color w:val="000000"/>
          <w:sz w:val="20"/>
          <w:szCs w:val="20"/>
        </w:rPr>
        <w:t xml:space="preserve">activities. AML laws outside the U.S. contain similar requirements. We have implemented policies, procedures and internal controls that are designed to promote compliance with applicable AML laws and regulations. AML laws and regulations applicable to our </w:t>
      </w:r>
      <w:r>
        <w:rPr>
          <w:rFonts w:ascii="Arial" w:eastAsia="宋体" w:hAnsi="Arial" w:cs="Arial"/>
          <w:color w:val="000000"/>
          <w:sz w:val="20"/>
          <w:szCs w:val="20"/>
        </w:rPr>
        <w:t>operations may be more stringent than similar requirements applicable to our non-regulated competitors or financial institutions principally operating in other jurisdictions. Compliance with applicable AML and related requirements is a common area of revie</w:t>
      </w:r>
      <w:r>
        <w:rPr>
          <w:rFonts w:ascii="Arial" w:eastAsia="宋体" w:hAnsi="Arial" w:cs="Arial"/>
          <w:color w:val="000000"/>
          <w:sz w:val="20"/>
          <w:szCs w:val="20"/>
        </w:rPr>
        <w:t>w for financial regulators, and any failure by us to comply with these requirements could result in fines, penalties, lawsuits, regulatory sanctions, difficulties in obtaining governmental approvals, restrictions on our business activities or harm to our r</w:t>
      </w:r>
      <w:r>
        <w:rPr>
          <w:rFonts w:ascii="Arial" w:eastAsia="宋体" w:hAnsi="Arial" w:cs="Arial"/>
          <w:color w:val="000000"/>
          <w:sz w:val="20"/>
          <w:szCs w:val="20"/>
        </w:rPr>
        <w:t>eputation.</w:t>
      </w:r>
    </w:p>
    <w:p w14:paraId="5F2C9CBC" w14:textId="77777777" w:rsidR="00E836FB" w:rsidRDefault="00994958">
      <w:pPr>
        <w:spacing w:before="90"/>
        <w:jc w:val="both"/>
        <w:textAlignment w:val="top"/>
      </w:pPr>
      <w:r>
        <w:rPr>
          <w:rFonts w:ascii="Arial" w:eastAsia="宋体" w:hAnsi="Arial" w:cs="Arial"/>
          <w:b/>
          <w:bCs/>
          <w:color w:val="000000"/>
          <w:sz w:val="20"/>
          <w:szCs w:val="20"/>
        </w:rPr>
        <w:t>Deposit Insurance</w:t>
      </w:r>
    </w:p>
    <w:p w14:paraId="5F2C9CBD" w14:textId="77777777" w:rsidR="00E836FB" w:rsidRDefault="00994958">
      <w:pPr>
        <w:spacing w:before="60"/>
        <w:ind w:firstLine="450"/>
        <w:jc w:val="both"/>
        <w:textAlignment w:val="top"/>
      </w:pPr>
      <w:r>
        <w:rPr>
          <w:rFonts w:ascii="Arial" w:eastAsia="宋体" w:hAnsi="Arial" w:cs="Arial"/>
          <w:color w:val="000000"/>
          <w:sz w:val="20"/>
          <w:szCs w:val="20"/>
        </w:rPr>
        <w:t xml:space="preserve">The Dodd-Frank Act made permanent the general $250,000 deposit insurance limit for insured </w:t>
      </w:r>
    </w:p>
    <w:p w14:paraId="5F2C9CBE" w14:textId="77777777" w:rsidR="00E836FB" w:rsidRDefault="00994958">
      <w:pPr>
        <w:spacing w:before="60"/>
        <w:jc w:val="both"/>
        <w:textAlignment w:val="top"/>
      </w:pPr>
      <w:r>
        <w:rPr>
          <w:rFonts w:ascii="Arial" w:eastAsia="宋体" w:hAnsi="Arial" w:cs="Arial"/>
          <w:color w:val="000000"/>
          <w:sz w:val="20"/>
          <w:szCs w:val="20"/>
        </w:rPr>
        <w:t xml:space="preserve">deposits. The FDIC’s Deposit Insurance Fund (DIF) is funded by assessments on FDIC-insured depository institutions. The FDIC </w:t>
      </w:r>
      <w:r>
        <w:rPr>
          <w:rFonts w:ascii="Arial" w:eastAsia="宋体" w:hAnsi="Arial" w:cs="Arial"/>
          <w:color w:val="000000"/>
          <w:sz w:val="20"/>
          <w:szCs w:val="20"/>
        </w:rPr>
        <w:t>assesses DIF premiums based on an insured depository institution's average consolidated total assets, less the average tangible equity of the insured depository institution during the assessment period. For larger institutions, such as State Street Bank, a</w:t>
      </w:r>
      <w:r>
        <w:rPr>
          <w:rFonts w:ascii="Arial" w:eastAsia="宋体" w:hAnsi="Arial" w:cs="Arial"/>
          <w:color w:val="000000"/>
          <w:sz w:val="20"/>
          <w:szCs w:val="20"/>
        </w:rPr>
        <w:t>ssessments are determined based on regulatory ratings and forward-looking financial measures to calculate the assessment rate, which is subject to adjustments by the FDIC, and the assessment base.</w:t>
      </w:r>
    </w:p>
    <w:p w14:paraId="5F2C9CBF" w14:textId="77777777" w:rsidR="00E836FB" w:rsidRDefault="00994958">
      <w:pPr>
        <w:spacing w:before="60"/>
        <w:ind w:firstLine="450"/>
        <w:jc w:val="both"/>
        <w:textAlignment w:val="top"/>
      </w:pPr>
      <w:r>
        <w:rPr>
          <w:rFonts w:ascii="Arial" w:eastAsia="宋体" w:hAnsi="Arial" w:cs="Arial"/>
          <w:color w:val="000000"/>
          <w:sz w:val="20"/>
          <w:szCs w:val="20"/>
        </w:rPr>
        <w:t>The FDIC is required to determine whether and to what exten</w:t>
      </w:r>
      <w:r>
        <w:rPr>
          <w:rFonts w:ascii="Arial" w:eastAsia="宋体" w:hAnsi="Arial" w:cs="Arial"/>
          <w:color w:val="000000"/>
          <w:sz w:val="20"/>
          <w:szCs w:val="20"/>
        </w:rPr>
        <w:t>t adjustments to the assessment base are appropriate for “custody banks" that satisfy specified institutional eligibility criteria. The FDIC has concluded that certain liquid assets could be excluded from the deposit insurance assessment base of custody ba</w:t>
      </w:r>
      <w:r>
        <w:rPr>
          <w:rFonts w:ascii="Arial" w:eastAsia="宋体" w:hAnsi="Arial" w:cs="Arial"/>
          <w:color w:val="000000"/>
          <w:sz w:val="20"/>
          <w:szCs w:val="20"/>
        </w:rPr>
        <w:t>nks. This has the effect of reducing the amount of DIF insurance premiums due from custody banks. State Street Bank qualifies as a custody bank for this purpose. The custody bank assessment adjustment may not exceed total transaction account deposits ident</w:t>
      </w:r>
      <w:r>
        <w:rPr>
          <w:rFonts w:ascii="Arial" w:eastAsia="宋体" w:hAnsi="Arial" w:cs="Arial"/>
          <w:color w:val="000000"/>
          <w:sz w:val="20"/>
          <w:szCs w:val="20"/>
        </w:rPr>
        <w:t xml:space="preserve">ified by the institution as being directly linked to a fiduciary or custody and safekeeping asset. </w:t>
      </w:r>
    </w:p>
    <w:p w14:paraId="5F2C9CC0" w14:textId="77777777" w:rsidR="00E836FB" w:rsidRDefault="00994958">
      <w:pPr>
        <w:spacing w:before="90"/>
        <w:jc w:val="both"/>
        <w:textAlignment w:val="top"/>
      </w:pPr>
      <w:r>
        <w:rPr>
          <w:rFonts w:ascii="Arial" w:eastAsia="宋体" w:hAnsi="Arial" w:cs="Arial"/>
          <w:b/>
          <w:bCs/>
          <w:color w:val="000000"/>
          <w:sz w:val="20"/>
          <w:szCs w:val="20"/>
        </w:rPr>
        <w:t>Prompt Corrective Action</w:t>
      </w:r>
    </w:p>
    <w:p w14:paraId="5F2C9CC1" w14:textId="77777777" w:rsidR="00E836FB" w:rsidRDefault="00994958">
      <w:pPr>
        <w:spacing w:before="60"/>
        <w:ind w:firstLine="450"/>
        <w:jc w:val="both"/>
        <w:textAlignment w:val="top"/>
      </w:pPr>
      <w:r>
        <w:rPr>
          <w:rFonts w:ascii="Arial" w:eastAsia="宋体" w:hAnsi="Arial" w:cs="Arial"/>
          <w:color w:val="000000"/>
          <w:sz w:val="20"/>
          <w:szCs w:val="20"/>
        </w:rPr>
        <w:t>The FDIC Improvement Act of 1991 requires the appropriate federal banking regulator to take “prompt corrective action” with respect</w:t>
      </w:r>
      <w:r>
        <w:rPr>
          <w:rFonts w:ascii="Arial" w:eastAsia="宋体" w:hAnsi="Arial" w:cs="Arial"/>
          <w:color w:val="000000"/>
          <w:sz w:val="20"/>
          <w:szCs w:val="20"/>
        </w:rPr>
        <w:t xml:space="preserve"> to a depository institution if that institution does not meet certain capital adequacy standards, including minimum capital ratios. While these regulations apply only to banks, such as State Street Bank, the Federal Reserve is authorized to take appropria</w:t>
      </w:r>
      <w:r>
        <w:rPr>
          <w:rFonts w:ascii="Arial" w:eastAsia="宋体" w:hAnsi="Arial" w:cs="Arial"/>
          <w:color w:val="000000"/>
          <w:sz w:val="20"/>
          <w:szCs w:val="20"/>
        </w:rPr>
        <w:t>te action against a parent bank holding company, such as our Parent Company, based on the under-capitalized status of any banking subsidiary. In certain instances, we would be required to guarantee the performance of a capital restoration plan if one of ou</w:t>
      </w:r>
      <w:r>
        <w:rPr>
          <w:rFonts w:ascii="Arial" w:eastAsia="宋体" w:hAnsi="Arial" w:cs="Arial"/>
          <w:color w:val="000000"/>
          <w:sz w:val="20"/>
          <w:szCs w:val="20"/>
        </w:rPr>
        <w:t>r banking subsidiaries were undercapitalized.</w:t>
      </w:r>
    </w:p>
    <w:p w14:paraId="5F2C9CC2" w14:textId="77777777" w:rsidR="00E836FB" w:rsidRDefault="00994958">
      <w:pPr>
        <w:spacing w:before="90"/>
        <w:jc w:val="both"/>
        <w:textAlignment w:val="top"/>
      </w:pPr>
      <w:r>
        <w:rPr>
          <w:rFonts w:ascii="Arial" w:eastAsia="宋体" w:hAnsi="Arial" w:cs="Arial"/>
          <w:b/>
          <w:bCs/>
          <w:color w:val="000000"/>
          <w:sz w:val="20"/>
          <w:szCs w:val="20"/>
        </w:rPr>
        <w:t>Support of Subsidiary Banks</w:t>
      </w:r>
    </w:p>
    <w:p w14:paraId="5F2C9CC3" w14:textId="77777777" w:rsidR="00E836FB" w:rsidRDefault="00994958">
      <w:pPr>
        <w:spacing w:before="60"/>
        <w:ind w:firstLine="450"/>
        <w:jc w:val="both"/>
        <w:textAlignment w:val="top"/>
      </w:pPr>
      <w:r>
        <w:rPr>
          <w:rFonts w:ascii="Arial" w:eastAsia="宋体" w:hAnsi="Arial" w:cs="Arial"/>
          <w:color w:val="000000"/>
          <w:sz w:val="20"/>
          <w:szCs w:val="20"/>
        </w:rPr>
        <w:t xml:space="preserve">Under Federal Reserve regulations, a bank holding company such as our Parent Company is required to act as a source of financial and managerial strength to its banking </w:t>
      </w:r>
      <w:r>
        <w:rPr>
          <w:rFonts w:ascii="Arial" w:eastAsia="宋体" w:hAnsi="Arial" w:cs="Arial"/>
          <w:color w:val="000000"/>
          <w:sz w:val="20"/>
          <w:szCs w:val="20"/>
        </w:rPr>
        <w:t>subsidiaries. This requirement was added to the Federal Deposit Insurance Act by the Dodd-Frank Act. This means that we have a statutory obligation to commit resources to State Street Bank and any other banking subsidiary in circumstances in which we other</w:t>
      </w:r>
      <w:r>
        <w:rPr>
          <w:rFonts w:ascii="Arial" w:eastAsia="宋体" w:hAnsi="Arial" w:cs="Arial"/>
          <w:color w:val="000000"/>
          <w:sz w:val="20"/>
          <w:szCs w:val="20"/>
        </w:rPr>
        <w:t>wise might not do so absent such a requirement. In the event of bankruptcy, any commitment by us to a federal bank regulatory agency to maintain the capital of a banking subsidiary will be assumed by the bankruptcy trustee and will be entitled to a priorit</w:t>
      </w:r>
      <w:r>
        <w:rPr>
          <w:rFonts w:ascii="Arial" w:eastAsia="宋体" w:hAnsi="Arial" w:cs="Arial"/>
          <w:color w:val="000000"/>
          <w:sz w:val="20"/>
          <w:szCs w:val="20"/>
        </w:rPr>
        <w:t>y payment.</w:t>
      </w:r>
    </w:p>
    <w:p w14:paraId="5F2C9CC4" w14:textId="77777777" w:rsidR="00E836FB" w:rsidRDefault="00994958">
      <w:pPr>
        <w:ind w:firstLine="450"/>
        <w:jc w:val="right"/>
      </w:pPr>
      <w:r>
        <w:rPr>
          <w:rFonts w:ascii="Arial" w:eastAsia="宋体" w:hAnsi="Arial" w:cs="Arial"/>
          <w:color w:val="000000"/>
          <w:sz w:val="18"/>
          <w:szCs w:val="18"/>
        </w:rPr>
        <w:t>State Street Corporation | 21</w:t>
      </w:r>
    </w:p>
    <w:p w14:paraId="5F2C9CC5" w14:textId="77777777" w:rsidR="00E836FB" w:rsidRDefault="00E836FB">
      <w:pPr>
        <w:ind w:firstLine="450"/>
        <w:jc w:val="center"/>
      </w:pPr>
    </w:p>
    <w:p w14:paraId="5F2C9CC6" w14:textId="77777777" w:rsidR="00E836FB" w:rsidRDefault="00994958">
      <w:r>
        <w:pict w14:anchorId="5F2D6D98">
          <v:rect id="_x0000_i1045" style="width:415.3pt;height:1.5pt" o:hralign="center" o:hrstd="t" o:hr="t" fillcolor="#a0a0a0" stroked="f"/>
        </w:pict>
      </w:r>
    </w:p>
    <w:p w14:paraId="5F2C9CC7" w14:textId="77777777" w:rsidR="00E836FB" w:rsidRDefault="00E836FB">
      <w:pPr>
        <w:ind w:firstLine="450"/>
      </w:pPr>
    </w:p>
    <w:p w14:paraId="5F2C9CC8" w14:textId="77777777" w:rsidR="00E836FB" w:rsidRDefault="00994958">
      <w:pPr>
        <w:spacing w:before="90"/>
        <w:jc w:val="both"/>
        <w:textAlignment w:val="top"/>
      </w:pPr>
      <w:r>
        <w:rPr>
          <w:rFonts w:ascii="Arial" w:eastAsia="宋体" w:hAnsi="Arial" w:cs="Arial"/>
          <w:b/>
          <w:bCs/>
          <w:color w:val="000000"/>
          <w:sz w:val="20"/>
          <w:szCs w:val="20"/>
        </w:rPr>
        <w:t>Insolvency of an Insured U.S. Subsidiary Depository Institution</w:t>
      </w:r>
    </w:p>
    <w:p w14:paraId="5F2C9CC9" w14:textId="77777777" w:rsidR="00E836FB" w:rsidRDefault="00994958">
      <w:pPr>
        <w:spacing w:before="60"/>
        <w:ind w:firstLine="450"/>
        <w:jc w:val="both"/>
        <w:textAlignment w:val="top"/>
      </w:pPr>
      <w:r>
        <w:rPr>
          <w:rFonts w:ascii="Arial" w:eastAsia="宋体" w:hAnsi="Arial" w:cs="Arial"/>
          <w:color w:val="000000"/>
          <w:sz w:val="20"/>
          <w:szCs w:val="20"/>
        </w:rPr>
        <w:t>If the FDIC is appointed the conservator or receiver of an FDIC-insured U.S. subsidiary depository institution, such as State Street Bank, upon its</w:t>
      </w:r>
      <w:r>
        <w:rPr>
          <w:rFonts w:ascii="Arial" w:eastAsia="宋体" w:hAnsi="Arial" w:cs="Arial"/>
          <w:color w:val="000000"/>
          <w:sz w:val="20"/>
          <w:szCs w:val="20"/>
        </w:rPr>
        <w:t xml:space="preserve"> insolvency or certain other events, the FDIC has the ability to transfer any of the depository institution’s assets and liabilities to a new obligor without the approval of the depository institution’s creditors, enforce the terms of the depository instit</w:t>
      </w:r>
      <w:r>
        <w:rPr>
          <w:rFonts w:ascii="Arial" w:eastAsia="宋体" w:hAnsi="Arial" w:cs="Arial"/>
          <w:color w:val="000000"/>
          <w:sz w:val="20"/>
          <w:szCs w:val="20"/>
        </w:rPr>
        <w:t>ution’s contracts pursuant to their terms or repudiate or disaffirm contracts or leases to which the depository institution is a party. Additionally, the claims of holders of deposit liabilities and certain claims for administrative expenses against an ins</w:t>
      </w:r>
      <w:r>
        <w:rPr>
          <w:rFonts w:ascii="Arial" w:eastAsia="宋体" w:hAnsi="Arial" w:cs="Arial"/>
          <w:color w:val="000000"/>
          <w:sz w:val="20"/>
          <w:szCs w:val="20"/>
        </w:rPr>
        <w:t>ured depository institution would be afforded priority over other general unsecured claims against such an institution, including claims of debt holders of the institution and, under current interpretation, depositors in non-U.S. branches and offices, in t</w:t>
      </w:r>
      <w:r>
        <w:rPr>
          <w:rFonts w:ascii="Arial" w:eastAsia="宋体" w:hAnsi="Arial" w:cs="Arial"/>
          <w:color w:val="000000"/>
          <w:sz w:val="20"/>
          <w:szCs w:val="20"/>
        </w:rPr>
        <w:t>he liquidation or other resolution of such an institution by any receiver. As a result, such persons would be treated differently from and could receive, if anything, substantially less than the depositors in U.S. offices of the depository institution.</w:t>
      </w:r>
    </w:p>
    <w:p w14:paraId="5F2C9CCA" w14:textId="77777777" w:rsidR="00E836FB" w:rsidRDefault="00994958">
      <w:pPr>
        <w:spacing w:before="90"/>
        <w:jc w:val="both"/>
        <w:textAlignment w:val="top"/>
      </w:pPr>
      <w:r>
        <w:rPr>
          <w:rFonts w:ascii="Arial" w:eastAsia="宋体" w:hAnsi="Arial" w:cs="Arial"/>
          <w:b/>
          <w:bCs/>
          <w:color w:val="000000"/>
          <w:sz w:val="20"/>
          <w:szCs w:val="20"/>
        </w:rPr>
        <w:t>Cyb</w:t>
      </w:r>
      <w:r>
        <w:rPr>
          <w:rFonts w:ascii="Arial" w:eastAsia="宋体" w:hAnsi="Arial" w:cs="Arial"/>
          <w:b/>
          <w:bCs/>
          <w:color w:val="000000"/>
          <w:sz w:val="20"/>
          <w:szCs w:val="20"/>
        </w:rPr>
        <w:t>er Risk Management</w:t>
      </w:r>
    </w:p>
    <w:p w14:paraId="5F2C9CCB" w14:textId="77777777" w:rsidR="00E836FB" w:rsidRDefault="00994958">
      <w:pPr>
        <w:spacing w:before="60"/>
        <w:ind w:firstLine="450"/>
        <w:jc w:val="both"/>
        <w:textAlignment w:val="top"/>
      </w:pPr>
      <w:r>
        <w:rPr>
          <w:rFonts w:ascii="Arial" w:eastAsia="宋体" w:hAnsi="Arial" w:cs="Arial"/>
          <w:color w:val="000000"/>
          <w:sz w:val="20"/>
          <w:szCs w:val="20"/>
        </w:rPr>
        <w:t>In October 2016, the Federal Reserve, FDIC and OCC issued an advance notice of proposed rulemaking regarding enhanced cyber risk management standards, which would apply to a wide range of large financial institutions and their third-part</w:t>
      </w:r>
      <w:r>
        <w:rPr>
          <w:rFonts w:ascii="Arial" w:eastAsia="宋体" w:hAnsi="Arial" w:cs="Arial"/>
          <w:color w:val="000000"/>
          <w:sz w:val="20"/>
          <w:szCs w:val="20"/>
        </w:rPr>
        <w:t>y service providers, including us and our banking subsidiaries. The proposed standards would expand existing cybersecurity regulations and guidance to focus on cyber risk governance and management; management of internal and external dependencies; and inci</w:t>
      </w:r>
      <w:r>
        <w:rPr>
          <w:rFonts w:ascii="Arial" w:eastAsia="宋体" w:hAnsi="Arial" w:cs="Arial"/>
          <w:color w:val="000000"/>
          <w:sz w:val="20"/>
          <w:szCs w:val="20"/>
        </w:rPr>
        <w:t xml:space="preserve">dent response, cyber resilience and situational awareness. In addition, the proposal contemplates more stringent standards for institutions with systems that are critical to the financial sector. Although the FDIC and OCC in 2019 each withdrew the advance </w:t>
      </w:r>
      <w:r>
        <w:rPr>
          <w:rFonts w:ascii="Arial" w:eastAsia="宋体" w:hAnsi="Arial" w:cs="Arial"/>
          <w:color w:val="000000"/>
          <w:sz w:val="20"/>
          <w:szCs w:val="20"/>
        </w:rPr>
        <w:t>notice of proposed rulemaking, the Federal Reserve has not withdrawn the advance notice and may still propose such a rule.</w:t>
      </w:r>
    </w:p>
    <w:p w14:paraId="5F2C9CCC" w14:textId="77777777" w:rsidR="00E836FB" w:rsidRDefault="00994958">
      <w:pPr>
        <w:spacing w:before="60"/>
        <w:ind w:firstLine="450"/>
        <w:jc w:val="both"/>
        <w:textAlignment w:val="top"/>
      </w:pPr>
      <w:r>
        <w:rPr>
          <w:rFonts w:ascii="Arial" w:eastAsia="宋体" w:hAnsi="Arial" w:cs="Arial"/>
          <w:color w:val="000000"/>
          <w:sz w:val="20"/>
          <w:szCs w:val="20"/>
        </w:rPr>
        <w:t>Separately, the Federal Reserve, FDIC and OCC finalized a rule in November 2021 requiring banking organizations to notify their prima</w:t>
      </w:r>
      <w:r>
        <w:rPr>
          <w:rFonts w:ascii="Arial" w:eastAsia="宋体" w:hAnsi="Arial" w:cs="Arial"/>
          <w:color w:val="000000"/>
          <w:sz w:val="20"/>
          <w:szCs w:val="20"/>
        </w:rPr>
        <w:t xml:space="preserve">ry federal regulators within 36 hours after identifying a “computer-security incident” that has materially affected, or is reasonably likely to materially affect, the viability of their operations, their ability to deliver banking products and services or </w:t>
      </w:r>
      <w:r>
        <w:rPr>
          <w:rFonts w:ascii="Arial" w:eastAsia="宋体" w:hAnsi="Arial" w:cs="Arial"/>
          <w:color w:val="000000"/>
          <w:sz w:val="20"/>
          <w:szCs w:val="20"/>
        </w:rPr>
        <w:t>the stability of the financial sector. The final rule will become effective April 1, 2022.</w:t>
      </w:r>
    </w:p>
    <w:p w14:paraId="5F2C9CCD" w14:textId="77777777" w:rsidR="00E836FB" w:rsidRDefault="00994958">
      <w:pPr>
        <w:spacing w:before="60"/>
        <w:ind w:firstLine="450"/>
        <w:jc w:val="both"/>
        <w:textAlignment w:val="top"/>
      </w:pPr>
      <w:r>
        <w:rPr>
          <w:rFonts w:ascii="Arial" w:eastAsia="宋体" w:hAnsi="Arial" w:cs="Arial"/>
          <w:color w:val="000000"/>
          <w:sz w:val="20"/>
          <w:szCs w:val="20"/>
        </w:rPr>
        <w:t xml:space="preserve">Further discussion of cybersecurity risk management is provided in "Information Technology </w:t>
      </w:r>
    </w:p>
    <w:p w14:paraId="5F2C9CCE" w14:textId="77777777" w:rsidR="00E836FB" w:rsidRDefault="00994958">
      <w:pPr>
        <w:spacing w:before="60"/>
        <w:jc w:val="both"/>
        <w:textAlignment w:val="top"/>
      </w:pPr>
      <w:r>
        <w:rPr>
          <w:rFonts w:ascii="Arial" w:eastAsia="宋体" w:hAnsi="Arial" w:cs="Arial"/>
          <w:color w:val="000000"/>
          <w:sz w:val="20"/>
          <w:szCs w:val="20"/>
        </w:rPr>
        <w:t xml:space="preserve">Risk Management" included in our Management's Discussion and Analysis in </w:t>
      </w:r>
      <w:r>
        <w:rPr>
          <w:rFonts w:ascii="Arial" w:eastAsia="宋体" w:hAnsi="Arial" w:cs="Arial"/>
          <w:color w:val="000000"/>
          <w:sz w:val="20"/>
          <w:szCs w:val="20"/>
        </w:rPr>
        <w:t>this Form 10-K.</w:t>
      </w:r>
    </w:p>
    <w:p w14:paraId="5F2C9CCF" w14:textId="77777777" w:rsidR="00E836FB" w:rsidRDefault="00994958">
      <w:pPr>
        <w:spacing w:before="90"/>
        <w:jc w:val="both"/>
        <w:textAlignment w:val="top"/>
      </w:pPr>
      <w:r>
        <w:rPr>
          <w:rFonts w:ascii="Arial" w:eastAsia="宋体" w:hAnsi="Arial" w:cs="Arial"/>
          <w:b/>
          <w:bCs/>
          <w:color w:val="000000"/>
          <w:sz w:val="20"/>
          <w:szCs w:val="20"/>
        </w:rPr>
        <w:t>ECONOMIC CONDITIONS AND GOVERNMENT POLICIES</w:t>
      </w:r>
    </w:p>
    <w:p w14:paraId="5F2C9CD0" w14:textId="77777777" w:rsidR="00E836FB" w:rsidRDefault="00994958">
      <w:pPr>
        <w:spacing w:before="60"/>
        <w:ind w:firstLine="450"/>
        <w:jc w:val="both"/>
        <w:textAlignment w:val="top"/>
      </w:pPr>
      <w:r>
        <w:rPr>
          <w:rFonts w:ascii="Arial" w:eastAsia="宋体" w:hAnsi="Arial" w:cs="Arial"/>
          <w:color w:val="000000"/>
          <w:sz w:val="20"/>
          <w:szCs w:val="20"/>
        </w:rPr>
        <w:t xml:space="preserve">Economic policies of the U.S. government and its agencies influence our operating environment. Monetary policy conducted by the Federal Reserve directly affects the level of interest rates, which </w:t>
      </w:r>
      <w:r>
        <w:rPr>
          <w:rFonts w:ascii="Arial" w:eastAsia="宋体" w:hAnsi="Arial" w:cs="Arial"/>
          <w:color w:val="000000"/>
          <w:sz w:val="20"/>
          <w:szCs w:val="20"/>
        </w:rPr>
        <w:t>may affect overall credit conditions of the economy. Monetary policy is applied by the Federal Reserve through open market operations in U.S. government securities, changes in reserve requirements for depository institutions, and changes in the discount ra</w:t>
      </w:r>
      <w:r>
        <w:rPr>
          <w:rFonts w:ascii="Arial" w:eastAsia="宋体" w:hAnsi="Arial" w:cs="Arial"/>
          <w:color w:val="000000"/>
          <w:sz w:val="20"/>
          <w:szCs w:val="20"/>
        </w:rPr>
        <w:t>te and availability of borrowing from the Federal Reserve. Government regulation of banks and bank holding companies is intended primarily for the protection of depositors of the banks, rather than for the shareholders of the institutions and therefore may</w:t>
      </w:r>
      <w:r>
        <w:rPr>
          <w:rFonts w:ascii="Arial" w:eastAsia="宋体" w:hAnsi="Arial" w:cs="Arial"/>
          <w:color w:val="000000"/>
          <w:sz w:val="20"/>
          <w:szCs w:val="20"/>
        </w:rPr>
        <w:t>, in some cases, be adverse to the interests of those shareholders. We are similarly affected by the economic policies of non-U.S. government agencies, such as the ECB.</w:t>
      </w:r>
    </w:p>
    <w:p w14:paraId="5F2C9CD1" w14:textId="77777777" w:rsidR="00E836FB" w:rsidRDefault="00994958">
      <w:pPr>
        <w:spacing w:before="90"/>
        <w:jc w:val="both"/>
        <w:textAlignment w:val="top"/>
      </w:pPr>
      <w:r>
        <w:rPr>
          <w:rFonts w:ascii="Arial" w:eastAsia="宋体" w:hAnsi="Arial" w:cs="Arial"/>
          <w:b/>
          <w:bCs/>
          <w:color w:val="000000"/>
          <w:sz w:val="20"/>
          <w:szCs w:val="20"/>
        </w:rPr>
        <w:t>STATISTICAL DISCLOSURE BY BANK HOLDING COMPANIES</w:t>
      </w:r>
    </w:p>
    <w:p w14:paraId="5F2C9CD2" w14:textId="77777777" w:rsidR="00E836FB" w:rsidRDefault="00994958">
      <w:pPr>
        <w:spacing w:before="60"/>
        <w:ind w:firstLine="450"/>
        <w:jc w:val="both"/>
        <w:textAlignment w:val="top"/>
      </w:pPr>
      <w:r>
        <w:rPr>
          <w:rFonts w:ascii="Arial" w:eastAsia="宋体" w:hAnsi="Arial" w:cs="Arial"/>
          <w:color w:val="000000"/>
          <w:sz w:val="20"/>
          <w:szCs w:val="20"/>
        </w:rPr>
        <w:t>The following information included und</w:t>
      </w:r>
      <w:r>
        <w:rPr>
          <w:rFonts w:ascii="Arial" w:eastAsia="宋体" w:hAnsi="Arial" w:cs="Arial"/>
          <w:color w:val="000000"/>
          <w:sz w:val="20"/>
          <w:szCs w:val="20"/>
        </w:rPr>
        <w:t>er Items 7 and 8 in this Form 10-K, is incorporated by reference herein:</w:t>
      </w:r>
    </w:p>
    <w:p w14:paraId="5F2C9CD3" w14:textId="77777777" w:rsidR="00E836FB" w:rsidRDefault="00994958">
      <w:pPr>
        <w:spacing w:before="60"/>
        <w:ind w:firstLine="450"/>
        <w:jc w:val="both"/>
        <w:textAlignment w:val="top"/>
      </w:pPr>
      <w:r>
        <w:rPr>
          <w:rFonts w:ascii="Arial" w:eastAsia="宋体" w:hAnsi="Arial" w:cs="Arial"/>
          <w:color w:val="000000"/>
          <w:sz w:val="20"/>
          <w:szCs w:val="20"/>
        </w:rPr>
        <w:t>"Overview of Financial Results” table (Item 7) - presents return on average common equity, return on average assets, common dividend payout and equity-to-assets ratios.</w:t>
      </w:r>
    </w:p>
    <w:p w14:paraId="5F2C9CD4" w14:textId="77777777" w:rsidR="00E836FB" w:rsidRDefault="00994958">
      <w:pPr>
        <w:spacing w:before="60"/>
        <w:ind w:firstLine="450"/>
        <w:jc w:val="both"/>
        <w:textAlignment w:val="top"/>
      </w:pPr>
      <w:r>
        <w:rPr>
          <w:rFonts w:ascii="Arial" w:eastAsia="宋体" w:hAnsi="Arial" w:cs="Arial"/>
          <w:color w:val="000000"/>
          <w:sz w:val="20"/>
          <w:szCs w:val="20"/>
        </w:rPr>
        <w:t>“Distribution of Average Assets, Liabilities and Shareholders’ Equity; Interest Rates and Interest Differential” table (Item 8) - presents consolidated average balance sheet amounts, related fully taxable-equivalent interest earned and paid, related averag</w:t>
      </w:r>
      <w:r>
        <w:rPr>
          <w:rFonts w:ascii="Arial" w:eastAsia="宋体" w:hAnsi="Arial" w:cs="Arial"/>
          <w:color w:val="000000"/>
          <w:sz w:val="20"/>
          <w:szCs w:val="20"/>
        </w:rPr>
        <w:t>e yields and rates paid and changes in fully taxable-equivalent interest income and interest expense for each major category of interest-earning assets and interest-bearing liabilities.</w:t>
      </w:r>
    </w:p>
    <w:p w14:paraId="5F2C9CD5" w14:textId="77777777" w:rsidR="00E836FB" w:rsidRDefault="00994958">
      <w:pPr>
        <w:spacing w:before="60"/>
        <w:ind w:firstLine="450"/>
        <w:jc w:val="both"/>
        <w:textAlignment w:val="top"/>
      </w:pPr>
      <w:r>
        <w:rPr>
          <w:rFonts w:ascii="Arial" w:eastAsia="宋体" w:hAnsi="Arial" w:cs="Arial"/>
          <w:color w:val="000000"/>
          <w:sz w:val="20"/>
          <w:szCs w:val="20"/>
        </w:rPr>
        <w:t>“Investment Securities” section included in our Management's Discussio</w:t>
      </w:r>
      <w:r>
        <w:rPr>
          <w:rFonts w:ascii="Arial" w:eastAsia="宋体" w:hAnsi="Arial" w:cs="Arial"/>
          <w:color w:val="000000"/>
          <w:sz w:val="20"/>
          <w:szCs w:val="20"/>
        </w:rPr>
        <w:t>n and Analysis (Item 7) and Note 3, “Investment Securities,” to the consolidated financial statements (Item 8) - disclose information regarding book values, market values, maturities and weighted-average yields of securities (by category).</w:t>
      </w:r>
    </w:p>
    <w:p w14:paraId="5F2C9CD6" w14:textId="77777777" w:rsidR="00E836FB" w:rsidRDefault="00994958">
      <w:pPr>
        <w:spacing w:before="60"/>
        <w:ind w:firstLine="450"/>
        <w:jc w:val="both"/>
        <w:textAlignment w:val="top"/>
      </w:pPr>
      <w:r>
        <w:rPr>
          <w:rFonts w:ascii="Arial" w:eastAsia="宋体" w:hAnsi="Arial" w:cs="Arial"/>
          <w:color w:val="000000"/>
          <w:sz w:val="20"/>
          <w:szCs w:val="20"/>
        </w:rPr>
        <w:t xml:space="preserve">“Loans” section </w:t>
      </w:r>
      <w:r>
        <w:rPr>
          <w:rFonts w:ascii="Arial" w:eastAsia="宋体" w:hAnsi="Arial" w:cs="Arial"/>
          <w:color w:val="000000"/>
          <w:sz w:val="20"/>
          <w:szCs w:val="20"/>
        </w:rPr>
        <w:t xml:space="preserve">included in our Management’s Discussion and Analysis (Item 7) and Note 4, “Loans,” to the consolidated financial statements (Item 8) - disclose our policy for placing loans on non-accrual status and distribution of loans, loan maturities and sensitivities </w:t>
      </w:r>
      <w:r>
        <w:rPr>
          <w:rFonts w:ascii="Arial" w:eastAsia="宋体" w:hAnsi="Arial" w:cs="Arial"/>
          <w:color w:val="000000"/>
          <w:sz w:val="20"/>
          <w:szCs w:val="20"/>
        </w:rPr>
        <w:t>of loans to changes in interest rates.</w:t>
      </w:r>
    </w:p>
    <w:p w14:paraId="5F2C9CD7" w14:textId="77777777" w:rsidR="00E836FB" w:rsidRDefault="00994958">
      <w:pPr>
        <w:spacing w:before="60"/>
        <w:ind w:firstLine="450"/>
        <w:jc w:val="both"/>
        <w:textAlignment w:val="top"/>
      </w:pPr>
      <w:r>
        <w:rPr>
          <w:rFonts w:ascii="Arial" w:eastAsia="宋体" w:hAnsi="Arial" w:cs="Arial"/>
          <w:color w:val="000000"/>
          <w:sz w:val="20"/>
          <w:szCs w:val="20"/>
        </w:rPr>
        <w:t>“Loans” and “Cross-Border Outstandings” sections of Management’s Discussion and Analysis (Item 7) - disclose information regarding our cross-border outstandings and other loan concentrations.</w:t>
      </w:r>
    </w:p>
    <w:p w14:paraId="5F2C9CD8" w14:textId="77777777" w:rsidR="00E836FB" w:rsidRDefault="00994958">
      <w:pPr>
        <w:ind w:firstLine="450"/>
        <w:jc w:val="right"/>
      </w:pPr>
      <w:r>
        <w:rPr>
          <w:rFonts w:ascii="Arial" w:eastAsia="宋体" w:hAnsi="Arial" w:cs="Arial"/>
          <w:color w:val="000000"/>
          <w:sz w:val="18"/>
          <w:szCs w:val="18"/>
        </w:rPr>
        <w:t xml:space="preserve">State Street Corporation </w:t>
      </w:r>
      <w:r>
        <w:rPr>
          <w:rFonts w:ascii="Arial" w:eastAsia="宋体" w:hAnsi="Arial" w:cs="Arial"/>
          <w:color w:val="000000"/>
          <w:sz w:val="18"/>
          <w:szCs w:val="18"/>
        </w:rPr>
        <w:t>| 22</w:t>
      </w:r>
    </w:p>
    <w:p w14:paraId="5F2C9CD9" w14:textId="77777777" w:rsidR="00E836FB" w:rsidRDefault="00E836FB">
      <w:pPr>
        <w:ind w:firstLine="450"/>
        <w:jc w:val="center"/>
      </w:pPr>
    </w:p>
    <w:p w14:paraId="5F2C9CDA" w14:textId="77777777" w:rsidR="00E836FB" w:rsidRDefault="00994958">
      <w:r>
        <w:pict w14:anchorId="5F2D6D99">
          <v:rect id="_x0000_i1046" style="width:415.3pt;height:1.5pt" o:hralign="center" o:hrstd="t" o:hr="t" fillcolor="#a0a0a0" stroked="f"/>
        </w:pict>
      </w:r>
    </w:p>
    <w:p w14:paraId="5F2C9CDB" w14:textId="77777777" w:rsidR="00E836FB" w:rsidRDefault="00E836FB">
      <w:pPr>
        <w:ind w:firstLine="450"/>
      </w:pPr>
    </w:p>
    <w:p w14:paraId="5F2C9CDC" w14:textId="77777777" w:rsidR="00E836FB" w:rsidRDefault="00994958">
      <w:pPr>
        <w:spacing w:before="60"/>
        <w:ind w:firstLine="450"/>
        <w:jc w:val="both"/>
        <w:textAlignment w:val="top"/>
      </w:pPr>
      <w:r>
        <w:rPr>
          <w:rFonts w:ascii="Arial" w:eastAsia="宋体" w:hAnsi="Arial" w:cs="Arial"/>
          <w:color w:val="000000"/>
          <w:sz w:val="20"/>
          <w:szCs w:val="20"/>
        </w:rPr>
        <w:t>“Credit Risk Management” section included in Management’s Discussion and Analysis (Item 7) and Note 4, “Loans,” to the consolidated financial statements (Item 8) - present the allocation of the allowance for credit losses, and a description of fac</w:t>
      </w:r>
      <w:r>
        <w:rPr>
          <w:rFonts w:ascii="Arial" w:eastAsia="宋体" w:hAnsi="Arial" w:cs="Arial"/>
          <w:color w:val="000000"/>
          <w:sz w:val="20"/>
          <w:szCs w:val="20"/>
        </w:rPr>
        <w:t>tors which influenced management’s judgment in determining amounts of additions or reductions to the allowance, if any, charged or credited to results of operations.</w:t>
      </w:r>
    </w:p>
    <w:p w14:paraId="5F2C9CDD" w14:textId="77777777" w:rsidR="00E836FB" w:rsidRDefault="00994958">
      <w:pPr>
        <w:spacing w:before="60"/>
        <w:ind w:firstLine="450"/>
        <w:jc w:val="both"/>
        <w:textAlignment w:val="top"/>
      </w:pPr>
      <w:r>
        <w:rPr>
          <w:rFonts w:ascii="Arial" w:eastAsia="宋体" w:hAnsi="Arial" w:cs="Arial"/>
          <w:color w:val="000000"/>
          <w:sz w:val="20"/>
          <w:szCs w:val="20"/>
        </w:rPr>
        <w:t xml:space="preserve">“Distribution of Average Assets, Liabilities and Shareholders’ Equity; Interest Rates and </w:t>
      </w:r>
      <w:r>
        <w:rPr>
          <w:rFonts w:ascii="Arial" w:eastAsia="宋体" w:hAnsi="Arial" w:cs="Arial"/>
          <w:color w:val="000000"/>
          <w:sz w:val="20"/>
          <w:szCs w:val="20"/>
        </w:rPr>
        <w:t>Interest Differential” table (Item 8) - discloses deposit information.</w:t>
      </w:r>
    </w:p>
    <w:p w14:paraId="5F2C9CDE" w14:textId="77777777" w:rsidR="00E836FB" w:rsidRDefault="00994958">
      <w:pPr>
        <w:spacing w:before="60"/>
        <w:ind w:firstLine="450"/>
        <w:jc w:val="both"/>
        <w:textAlignment w:val="top"/>
      </w:pPr>
      <w:r>
        <w:rPr>
          <w:rFonts w:ascii="Arial" w:eastAsia="宋体" w:hAnsi="Arial" w:cs="Arial"/>
          <w:color w:val="000000"/>
          <w:sz w:val="20"/>
          <w:szCs w:val="20"/>
        </w:rPr>
        <w:t>Note 8, “Short-Term Borrowings,” to the consolidated financial statements (Item 8) - discloses information regarding our short-term borrowings.</w:t>
      </w:r>
    </w:p>
    <w:p w14:paraId="5F2C9CDF" w14:textId="77777777" w:rsidR="00E836FB" w:rsidRDefault="00994958">
      <w:pPr>
        <w:spacing w:before="90"/>
        <w:textAlignment w:val="top"/>
      </w:pPr>
      <w:r>
        <w:rPr>
          <w:rFonts w:ascii="Arial" w:eastAsia="宋体" w:hAnsi="Arial" w:cs="Arial"/>
          <w:b/>
          <w:bCs/>
          <w:color w:val="000000"/>
          <w:sz w:val="20"/>
          <w:szCs w:val="20"/>
        </w:rPr>
        <w:t>ITEM 1A. RISK FACTORS</w:t>
      </w:r>
      <w:r>
        <w:rPr>
          <w:rFonts w:ascii="Arial" w:eastAsia="宋体" w:hAnsi="Arial" w:cs="Arial"/>
          <w:color w:val="000000"/>
          <w:sz w:val="20"/>
          <w:szCs w:val="20"/>
        </w:rPr>
        <w:t> </w:t>
      </w:r>
    </w:p>
    <w:p w14:paraId="5F2C9CE0" w14:textId="77777777" w:rsidR="00E836FB" w:rsidRDefault="00994958">
      <w:pPr>
        <w:spacing w:before="90"/>
        <w:jc w:val="both"/>
        <w:textAlignment w:val="top"/>
      </w:pPr>
      <w:r>
        <w:rPr>
          <w:rFonts w:ascii="Arial" w:eastAsia="宋体" w:hAnsi="Arial" w:cs="Arial"/>
          <w:b/>
          <w:bCs/>
          <w:color w:val="000000"/>
          <w:sz w:val="20"/>
          <w:szCs w:val="20"/>
        </w:rPr>
        <w:t>Risk Factors</w:t>
      </w:r>
    </w:p>
    <w:p w14:paraId="5F2C9CE1" w14:textId="77777777" w:rsidR="00E836FB" w:rsidRDefault="00994958">
      <w:pPr>
        <w:spacing w:before="60"/>
        <w:ind w:firstLine="450"/>
        <w:jc w:val="both"/>
        <w:textAlignment w:val="top"/>
      </w:pPr>
      <w:r>
        <w:rPr>
          <w:rFonts w:ascii="Arial" w:eastAsia="宋体" w:hAnsi="Arial" w:cs="Arial"/>
          <w:color w:val="000000"/>
          <w:sz w:val="20"/>
          <w:szCs w:val="20"/>
        </w:rPr>
        <w:t>In th</w:t>
      </w:r>
      <w:r>
        <w:rPr>
          <w:rFonts w:ascii="Arial" w:eastAsia="宋体" w:hAnsi="Arial" w:cs="Arial"/>
          <w:color w:val="000000"/>
          <w:sz w:val="20"/>
          <w:szCs w:val="20"/>
        </w:rPr>
        <w:t>e normal course of our business activities, we are exposed to a variety of risks. The following is a discussion of material risk factors applicable to us. Additional information about our risk management framework is included under “Risk Management” in Man</w:t>
      </w:r>
      <w:r>
        <w:rPr>
          <w:rFonts w:ascii="Arial" w:eastAsia="宋体" w:hAnsi="Arial" w:cs="Arial"/>
          <w:color w:val="000000"/>
          <w:sz w:val="20"/>
          <w:szCs w:val="20"/>
        </w:rPr>
        <w:t>agement’s Discussion and Analysis in this Form 10-K. Additional risks beyond those described in our Management's Discussion and Analysis or in the following discussion may apply to our activities or operations as currently conducted, or as we may conduct t</w:t>
      </w:r>
      <w:r>
        <w:rPr>
          <w:rFonts w:ascii="Arial" w:eastAsia="宋体" w:hAnsi="Arial" w:cs="Arial"/>
          <w:color w:val="000000"/>
          <w:sz w:val="20"/>
          <w:szCs w:val="20"/>
        </w:rPr>
        <w:t>hem in the future, or in the markets in which we operate or may in the future operate.</w:t>
      </w:r>
    </w:p>
    <w:p w14:paraId="5F2C9CE2" w14:textId="77777777" w:rsidR="00E836FB" w:rsidRDefault="00994958">
      <w:pPr>
        <w:spacing w:before="90"/>
        <w:textAlignment w:val="top"/>
      </w:pPr>
      <w:r>
        <w:rPr>
          <w:rFonts w:ascii="Arial" w:eastAsia="宋体" w:hAnsi="Arial" w:cs="Arial"/>
          <w:b/>
          <w:bCs/>
          <w:color w:val="000000"/>
          <w:sz w:val="20"/>
          <w:szCs w:val="20"/>
        </w:rPr>
        <w:t>Strategic Risks</w:t>
      </w:r>
    </w:p>
    <w:p w14:paraId="5F2C9CE3" w14:textId="77777777" w:rsidR="00E836FB" w:rsidRDefault="00994958">
      <w:pPr>
        <w:spacing w:before="90"/>
        <w:jc w:val="both"/>
        <w:textAlignment w:val="top"/>
      </w:pPr>
      <w:r>
        <w:rPr>
          <w:rFonts w:ascii="Arial" w:eastAsia="宋体" w:hAnsi="Arial" w:cs="Arial"/>
          <w:b/>
          <w:bCs/>
          <w:color w:val="000000"/>
          <w:sz w:val="20"/>
          <w:szCs w:val="20"/>
        </w:rPr>
        <w:t>Consummation of our planned acquisition of the BBH Investor Services business is subject to the receipt of regulatory approvals and the satisfaction of o</w:t>
      </w:r>
      <w:r>
        <w:rPr>
          <w:rFonts w:ascii="Arial" w:eastAsia="宋体" w:hAnsi="Arial" w:cs="Arial"/>
          <w:b/>
          <w:bCs/>
          <w:color w:val="000000"/>
          <w:sz w:val="20"/>
          <w:szCs w:val="20"/>
        </w:rPr>
        <w:t>ther closing conditions, the failure or delay of which may prevent or delay the consummation of the acquisition.</w:t>
      </w:r>
    </w:p>
    <w:p w14:paraId="5F2C9CE4" w14:textId="77777777" w:rsidR="00E836FB" w:rsidRDefault="00994958">
      <w:pPr>
        <w:spacing w:before="60"/>
        <w:ind w:firstLine="450"/>
        <w:jc w:val="both"/>
        <w:textAlignment w:val="top"/>
      </w:pPr>
      <w:r>
        <w:rPr>
          <w:rFonts w:ascii="Arial" w:eastAsia="宋体" w:hAnsi="Arial" w:cs="Arial"/>
          <w:color w:val="000000"/>
          <w:sz w:val="20"/>
          <w:szCs w:val="20"/>
        </w:rPr>
        <w:t>On September 7, 2021, we announced that we had entered into a definitive agreement with BBH to acquire the BBH Investor Services business, incl</w:t>
      </w:r>
      <w:r>
        <w:rPr>
          <w:rFonts w:ascii="Arial" w:eastAsia="宋体" w:hAnsi="Arial" w:cs="Arial"/>
          <w:color w:val="000000"/>
          <w:sz w:val="20"/>
          <w:szCs w:val="20"/>
        </w:rPr>
        <w:t>uding its custody, accounting, fund administration, global markets and technology services for $3.5 billion in cash, subject to customary adjustments. The transaction is subject to the receipt of regulatory approvals and the satisfaction or waiver of other</w:t>
      </w:r>
      <w:r>
        <w:rPr>
          <w:rFonts w:ascii="Arial" w:eastAsia="宋体" w:hAnsi="Arial" w:cs="Arial"/>
          <w:color w:val="000000"/>
          <w:sz w:val="20"/>
          <w:szCs w:val="20"/>
        </w:rPr>
        <w:t xml:space="preserve"> closing conditions. The regulatory review is taking longer than we initially anticipated. We cannot provide any assurance that all necessary regulatory approvals will be obtained, as to the timing of such regulatory approvals, or that the challenging poli</w:t>
      </w:r>
      <w:r>
        <w:rPr>
          <w:rFonts w:ascii="Arial" w:eastAsia="宋体" w:hAnsi="Arial" w:cs="Arial"/>
          <w:color w:val="000000"/>
          <w:sz w:val="20"/>
          <w:szCs w:val="20"/>
        </w:rPr>
        <w:t>tical and regulatory environment will not make such reviews longer and more uncertain, nor can we provide any assurance that all of the other closing conditions will be satisfied or waived. The failure to obtain necessary regulatory approvals or the failur</w:t>
      </w:r>
      <w:r>
        <w:rPr>
          <w:rFonts w:ascii="Arial" w:eastAsia="宋体" w:hAnsi="Arial" w:cs="Arial"/>
          <w:color w:val="000000"/>
          <w:sz w:val="20"/>
          <w:szCs w:val="20"/>
        </w:rPr>
        <w:t xml:space="preserve">e to satisfy some or delay in obtaining, all of the other </w:t>
      </w:r>
    </w:p>
    <w:p w14:paraId="5F2C9CE5" w14:textId="77777777" w:rsidR="00E836FB" w:rsidRDefault="00994958">
      <w:pPr>
        <w:spacing w:before="60"/>
        <w:jc w:val="both"/>
        <w:textAlignment w:val="top"/>
      </w:pPr>
      <w:r>
        <w:rPr>
          <w:rFonts w:ascii="Arial" w:eastAsia="宋体" w:hAnsi="Arial" w:cs="Arial"/>
          <w:color w:val="000000"/>
          <w:sz w:val="20"/>
          <w:szCs w:val="20"/>
        </w:rPr>
        <w:t>required conditions could delay the completion of the acquisition for a significant period of time, require it to be modified, or prevent it from occurring.</w:t>
      </w:r>
    </w:p>
    <w:p w14:paraId="5F2C9CE6" w14:textId="77777777" w:rsidR="00E836FB" w:rsidRDefault="00994958">
      <w:pPr>
        <w:spacing w:before="90"/>
        <w:jc w:val="both"/>
        <w:textAlignment w:val="top"/>
      </w:pPr>
      <w:r>
        <w:rPr>
          <w:rFonts w:ascii="Arial" w:eastAsia="宋体" w:hAnsi="Arial" w:cs="Arial"/>
          <w:b/>
          <w:bCs/>
          <w:color w:val="000000"/>
          <w:sz w:val="20"/>
          <w:szCs w:val="20"/>
        </w:rPr>
        <w:t>Even if we successfully consummate our p</w:t>
      </w:r>
      <w:r>
        <w:rPr>
          <w:rFonts w:ascii="Arial" w:eastAsia="宋体" w:hAnsi="Arial" w:cs="Arial"/>
          <w:b/>
          <w:bCs/>
          <w:color w:val="000000"/>
          <w:sz w:val="20"/>
          <w:szCs w:val="20"/>
        </w:rPr>
        <w:t>lanned acquisition of the BBH Investor Services business, we may fail to realize some or all of the anticipated benefits of the transaction or the benefits may take longer to realize than expected.</w:t>
      </w:r>
    </w:p>
    <w:p w14:paraId="5F2C9CE7" w14:textId="77777777" w:rsidR="00E836FB" w:rsidRDefault="00994958">
      <w:pPr>
        <w:spacing w:before="60"/>
        <w:ind w:firstLine="450"/>
        <w:jc w:val="both"/>
        <w:textAlignment w:val="top"/>
      </w:pPr>
      <w:r>
        <w:rPr>
          <w:rFonts w:ascii="Arial" w:eastAsia="宋体" w:hAnsi="Arial" w:cs="Arial"/>
          <w:color w:val="000000"/>
          <w:sz w:val="20"/>
          <w:szCs w:val="20"/>
        </w:rPr>
        <w:t>Our ability to realize the anticipated benefits of the pla</w:t>
      </w:r>
      <w:r>
        <w:rPr>
          <w:rFonts w:ascii="Arial" w:eastAsia="宋体" w:hAnsi="Arial" w:cs="Arial"/>
          <w:color w:val="000000"/>
          <w:sz w:val="20"/>
          <w:szCs w:val="20"/>
        </w:rPr>
        <w:t>nned acquisition will depend, to a large extent, on our ability to integrate the BBH Investor Services business into our business and realize anticipated growth opportunities and cost synergies. The integration of the BBH Investor Services business into ou</w:t>
      </w:r>
      <w:r>
        <w:rPr>
          <w:rFonts w:ascii="Arial" w:eastAsia="宋体" w:hAnsi="Arial" w:cs="Arial"/>
          <w:color w:val="000000"/>
          <w:sz w:val="20"/>
          <w:szCs w:val="20"/>
        </w:rPr>
        <w:t>r business will be a complex, costly and time-consuming process, is subject to delay or change, and our management may face significant challenges in implementing that integration, including, without limitation, challenges related to:</w:t>
      </w:r>
    </w:p>
    <w:p w14:paraId="5F2C9CE8" w14:textId="77777777" w:rsidR="00E836FB" w:rsidRDefault="00994958">
      <w:pPr>
        <w:spacing w:before="60"/>
        <w:ind w:hanging="360"/>
        <w:jc w:val="both"/>
        <w:textAlignment w:val="top"/>
      </w:pPr>
      <w:r>
        <w:rPr>
          <w:rFonts w:ascii="Arial" w:eastAsia="宋体" w:hAnsi="Arial" w:cs="Arial"/>
          <w:color w:val="000000"/>
          <w:sz w:val="20"/>
          <w:szCs w:val="20"/>
        </w:rPr>
        <w:t xml:space="preserve">•retaining the </w:t>
      </w:r>
      <w:r>
        <w:rPr>
          <w:rFonts w:ascii="Arial" w:eastAsia="宋体" w:hAnsi="Arial" w:cs="Arial"/>
          <w:color w:val="000000"/>
          <w:sz w:val="20"/>
          <w:szCs w:val="20"/>
        </w:rPr>
        <w:t>business and revenue from the BBH Investor Services business's current clients, many of which have the right to consent to transfer their business to State Street or to transition their business to another provider on short notice;</w:t>
      </w:r>
    </w:p>
    <w:p w14:paraId="5F2C9CE9" w14:textId="77777777" w:rsidR="00E836FB" w:rsidRDefault="00994958">
      <w:pPr>
        <w:spacing w:before="60"/>
        <w:ind w:hanging="360"/>
        <w:jc w:val="both"/>
        <w:textAlignment w:val="top"/>
      </w:pPr>
      <w:r>
        <w:rPr>
          <w:rFonts w:ascii="Arial" w:eastAsia="宋体" w:hAnsi="Arial" w:cs="Arial"/>
          <w:color w:val="000000"/>
          <w:sz w:val="20"/>
          <w:szCs w:val="20"/>
        </w:rPr>
        <w:t xml:space="preserve">•integrating the BBH </w:t>
      </w:r>
      <w:r>
        <w:rPr>
          <w:rFonts w:ascii="Arial" w:eastAsia="宋体" w:hAnsi="Arial" w:cs="Arial"/>
          <w:color w:val="000000"/>
          <w:sz w:val="20"/>
          <w:szCs w:val="20"/>
        </w:rPr>
        <w:t>Investor Services business's software solutions, including its Infomediary communication platform, with our existing products and services and cross-selling our comprehensive suite of products and services, including State Street Alpha, to clients of the B</w:t>
      </w:r>
      <w:r>
        <w:rPr>
          <w:rFonts w:ascii="Arial" w:eastAsia="宋体" w:hAnsi="Arial" w:cs="Arial"/>
          <w:color w:val="000000"/>
          <w:sz w:val="20"/>
          <w:szCs w:val="20"/>
        </w:rPr>
        <w:t>BH Investor Services business;</w:t>
      </w:r>
    </w:p>
    <w:p w14:paraId="5F2C9CEA" w14:textId="77777777" w:rsidR="00E836FB" w:rsidRDefault="00994958">
      <w:pPr>
        <w:spacing w:before="60"/>
        <w:ind w:hanging="360"/>
        <w:jc w:val="both"/>
        <w:textAlignment w:val="top"/>
      </w:pPr>
      <w:r>
        <w:rPr>
          <w:rFonts w:ascii="Arial" w:eastAsia="宋体" w:hAnsi="Arial" w:cs="Arial"/>
          <w:color w:val="000000"/>
          <w:sz w:val="20"/>
          <w:szCs w:val="20"/>
        </w:rPr>
        <w:t>•achieving the anticipated cost and revenue synergies from the combination of the BBH Investor Services business with State Street;</w:t>
      </w:r>
    </w:p>
    <w:p w14:paraId="5F2C9CEB" w14:textId="77777777" w:rsidR="00E836FB" w:rsidRDefault="00994958">
      <w:pPr>
        <w:spacing w:before="60"/>
        <w:ind w:hanging="360"/>
        <w:jc w:val="both"/>
        <w:textAlignment w:val="top"/>
      </w:pPr>
      <w:r>
        <w:rPr>
          <w:rFonts w:ascii="Arial" w:eastAsia="宋体" w:hAnsi="Arial" w:cs="Arial"/>
          <w:color w:val="000000"/>
          <w:sz w:val="20"/>
          <w:szCs w:val="20"/>
        </w:rPr>
        <w:t xml:space="preserve">•managing systems, operational and business complexities and costs associated with combining </w:t>
      </w:r>
      <w:r>
        <w:rPr>
          <w:rFonts w:ascii="Arial" w:eastAsia="宋体" w:hAnsi="Arial" w:cs="Arial"/>
          <w:color w:val="000000"/>
          <w:sz w:val="20"/>
          <w:szCs w:val="20"/>
        </w:rPr>
        <w:t>two different global securities servicing platforms, including maintaining service consistency, information security, business continuity and compliance, and controlling operational risks associated with large-scale technology conversions; and</w:t>
      </w:r>
    </w:p>
    <w:p w14:paraId="5F2C9CEC" w14:textId="77777777" w:rsidR="00E836FB" w:rsidRDefault="00994958">
      <w:pPr>
        <w:spacing w:before="60"/>
        <w:ind w:hanging="360"/>
        <w:jc w:val="both"/>
        <w:textAlignment w:val="top"/>
      </w:pPr>
      <w:r>
        <w:rPr>
          <w:rFonts w:ascii="Arial" w:eastAsia="宋体" w:hAnsi="Arial" w:cs="Arial"/>
          <w:color w:val="000000"/>
          <w:sz w:val="20"/>
          <w:szCs w:val="20"/>
        </w:rPr>
        <w:t>•transitioni</w:t>
      </w:r>
      <w:r>
        <w:rPr>
          <w:rFonts w:ascii="Arial" w:eastAsia="宋体" w:hAnsi="Arial" w:cs="Arial"/>
          <w:color w:val="000000"/>
          <w:sz w:val="20"/>
          <w:szCs w:val="20"/>
        </w:rPr>
        <w:t>ng the BBH Investor Services business's senior management team of investment service partners into roles within our larger company and retaining other key employees of the BBH Investor Services business.</w:t>
      </w:r>
    </w:p>
    <w:p w14:paraId="5F2C9CED" w14:textId="77777777" w:rsidR="00E836FB" w:rsidRDefault="00994958">
      <w:pPr>
        <w:spacing w:before="60"/>
        <w:ind w:firstLine="450"/>
        <w:jc w:val="both"/>
        <w:textAlignment w:val="top"/>
      </w:pPr>
      <w:r>
        <w:rPr>
          <w:rFonts w:ascii="Arial" w:eastAsia="宋体" w:hAnsi="Arial" w:cs="Arial"/>
          <w:color w:val="000000"/>
          <w:sz w:val="20"/>
          <w:szCs w:val="20"/>
        </w:rPr>
        <w:t>Any delay or failure in achieving any of the foregoi</w:t>
      </w:r>
      <w:r>
        <w:rPr>
          <w:rFonts w:ascii="Arial" w:eastAsia="宋体" w:hAnsi="Arial" w:cs="Arial"/>
          <w:color w:val="000000"/>
          <w:sz w:val="20"/>
          <w:szCs w:val="20"/>
        </w:rPr>
        <w:t>ng could materially adversely impact the expected benefits of the acquisition.</w:t>
      </w:r>
    </w:p>
    <w:p w14:paraId="5F2C9CEE" w14:textId="77777777" w:rsidR="00E836FB" w:rsidRDefault="00994958">
      <w:pPr>
        <w:ind w:firstLine="450"/>
        <w:jc w:val="right"/>
      </w:pPr>
      <w:r>
        <w:rPr>
          <w:rFonts w:ascii="Arial" w:eastAsia="宋体" w:hAnsi="Arial" w:cs="Arial"/>
          <w:color w:val="000000"/>
          <w:sz w:val="18"/>
          <w:szCs w:val="18"/>
        </w:rPr>
        <w:t>State Street Corporation | 23</w:t>
      </w:r>
    </w:p>
    <w:p w14:paraId="5F2C9CEF" w14:textId="77777777" w:rsidR="00E836FB" w:rsidRDefault="00E836FB">
      <w:pPr>
        <w:ind w:firstLine="450"/>
        <w:jc w:val="center"/>
      </w:pPr>
    </w:p>
    <w:p w14:paraId="5F2C9CF0" w14:textId="77777777" w:rsidR="00E836FB" w:rsidRDefault="00994958">
      <w:r>
        <w:pict w14:anchorId="5F2D6D9A">
          <v:rect id="_x0000_i1047" style="width:415.3pt;height:1.5pt" o:hralign="center" o:hrstd="t" o:hr="t" fillcolor="#a0a0a0" stroked="f"/>
        </w:pict>
      </w:r>
    </w:p>
    <w:p w14:paraId="5F2C9CF1" w14:textId="77777777" w:rsidR="00E836FB" w:rsidRDefault="00E836FB">
      <w:pPr>
        <w:ind w:firstLine="450"/>
      </w:pPr>
    </w:p>
    <w:p w14:paraId="5F2C9CF2" w14:textId="77777777" w:rsidR="00E836FB" w:rsidRDefault="00994958">
      <w:pPr>
        <w:spacing w:before="90"/>
        <w:jc w:val="both"/>
        <w:textAlignment w:val="top"/>
      </w:pPr>
      <w:r>
        <w:rPr>
          <w:rFonts w:ascii="Arial" w:eastAsia="宋体" w:hAnsi="Arial" w:cs="Arial"/>
          <w:b/>
          <w:bCs/>
          <w:color w:val="000000"/>
          <w:sz w:val="20"/>
          <w:szCs w:val="20"/>
        </w:rPr>
        <w:t>We are subject to intense competition in all aspects of our business, which could negatively affect our ability to maintain or increase our pro</w:t>
      </w:r>
      <w:r>
        <w:rPr>
          <w:rFonts w:ascii="Arial" w:eastAsia="宋体" w:hAnsi="Arial" w:cs="Arial"/>
          <w:b/>
          <w:bCs/>
          <w:color w:val="000000"/>
          <w:sz w:val="20"/>
          <w:szCs w:val="20"/>
        </w:rPr>
        <w:t>fitability.</w:t>
      </w:r>
    </w:p>
    <w:p w14:paraId="5F2C9CF3" w14:textId="77777777" w:rsidR="00E836FB" w:rsidRDefault="00994958">
      <w:pPr>
        <w:spacing w:before="60"/>
        <w:ind w:firstLine="450"/>
        <w:jc w:val="both"/>
        <w:textAlignment w:val="top"/>
      </w:pPr>
      <w:r>
        <w:rPr>
          <w:rFonts w:ascii="Arial" w:eastAsia="宋体" w:hAnsi="Arial" w:cs="Arial"/>
          <w:color w:val="000000"/>
          <w:sz w:val="20"/>
          <w:szCs w:val="20"/>
        </w:rPr>
        <w:t>The markets in which we operate across all facets of our business are both highly competitive and global. These markets are changing as a result of new and evolving laws and regulations applicable to financial services institutions. Regulatory-</w:t>
      </w:r>
      <w:r>
        <w:rPr>
          <w:rFonts w:ascii="Arial" w:eastAsia="宋体" w:hAnsi="Arial" w:cs="Arial"/>
          <w:color w:val="000000"/>
          <w:sz w:val="20"/>
          <w:szCs w:val="20"/>
        </w:rPr>
        <w:t>driven market changes cannot always be anticipated, and may adversely affect the demand for, and profitability of, the products and services that we offer. In addition, new market entrants and competitors may address or influence changes in the markets mor</w:t>
      </w:r>
      <w:r>
        <w:rPr>
          <w:rFonts w:ascii="Arial" w:eastAsia="宋体" w:hAnsi="Arial" w:cs="Arial"/>
          <w:color w:val="000000"/>
          <w:sz w:val="20"/>
          <w:szCs w:val="20"/>
        </w:rPr>
        <w:t>e rapidly than we do, may have materially greater resources to invest in infrastructure and product development than we do, or may provide clients with a more attractive or cost-efficient offering of products and services, adversely affecting our business.</w:t>
      </w:r>
      <w:r>
        <w:rPr>
          <w:rFonts w:ascii="Arial" w:eastAsia="宋体" w:hAnsi="Arial" w:cs="Arial"/>
          <w:color w:val="000000"/>
          <w:sz w:val="20"/>
          <w:szCs w:val="20"/>
        </w:rPr>
        <w:t xml:space="preserve"> Our efforts to develop and market new products, particularly in the “Fintech” sector including through State Street Digital and State Street Alpha, may position us in new markets with pre-existing competitors with strong market position. We have also expe</w:t>
      </w:r>
      <w:r>
        <w:rPr>
          <w:rFonts w:ascii="Arial" w:eastAsia="宋体" w:hAnsi="Arial" w:cs="Arial"/>
          <w:color w:val="000000"/>
          <w:sz w:val="20"/>
          <w:szCs w:val="20"/>
        </w:rPr>
        <w:t>rienced, and anticipate that we will continue to experience, significant pricing pressure in many of our core businesses, particularly our custodial and investment management services. This pricing pressure has and may continue to impact our revenue growth</w:t>
      </w:r>
      <w:r>
        <w:rPr>
          <w:rFonts w:ascii="Arial" w:eastAsia="宋体" w:hAnsi="Arial" w:cs="Arial"/>
          <w:color w:val="000000"/>
          <w:sz w:val="20"/>
          <w:szCs w:val="20"/>
        </w:rPr>
        <w:t xml:space="preserve"> and operational margins and may limit the positive impact of new client demand and growth in AUC/A. Many of our businesses compete with other domestic and international banks and financial services companies, such as custody banks, investment advisors, br</w:t>
      </w:r>
      <w:r>
        <w:rPr>
          <w:rFonts w:ascii="Arial" w:eastAsia="宋体" w:hAnsi="Arial" w:cs="Arial"/>
          <w:color w:val="000000"/>
          <w:sz w:val="20"/>
          <w:szCs w:val="20"/>
        </w:rPr>
        <w:t>oker/dealers, outsourcing companies, information providers, data analytics and processing companies. Further consolidation within the financial services industry could also pose challenges to us in the markets we serve, including potentially increased down</w:t>
      </w:r>
      <w:r>
        <w:rPr>
          <w:rFonts w:ascii="Arial" w:eastAsia="宋体" w:hAnsi="Arial" w:cs="Arial"/>
          <w:color w:val="000000"/>
          <w:sz w:val="20"/>
          <w:szCs w:val="20"/>
        </w:rPr>
        <w:t>ward pricing pressure across our businesses.</w:t>
      </w:r>
    </w:p>
    <w:p w14:paraId="5F2C9CF4" w14:textId="77777777" w:rsidR="00E836FB" w:rsidRDefault="00994958">
      <w:pPr>
        <w:spacing w:before="60"/>
        <w:ind w:firstLine="450"/>
        <w:jc w:val="both"/>
        <w:textAlignment w:val="top"/>
      </w:pPr>
      <w:r>
        <w:rPr>
          <w:rFonts w:ascii="Arial" w:eastAsia="宋体" w:hAnsi="Arial" w:cs="Arial"/>
          <w:color w:val="000000"/>
          <w:sz w:val="20"/>
          <w:szCs w:val="20"/>
        </w:rPr>
        <w:t>Some of our competitors, including our competitors in core services, have substantially greater capital resources than we do, are not subject to as stringent capital or other regulatory requirements as we are, o</w:t>
      </w:r>
      <w:r>
        <w:rPr>
          <w:rFonts w:ascii="Arial" w:eastAsia="宋体" w:hAnsi="Arial" w:cs="Arial"/>
          <w:color w:val="000000"/>
          <w:sz w:val="20"/>
          <w:szCs w:val="20"/>
        </w:rPr>
        <w:t xml:space="preserve">r may not be as constrained as we are by these requirements due to the relative size of our balance sheet. In some of our businesses, we are service providers to significant competitors. These competitors are in some instances significant clients, and the </w:t>
      </w:r>
      <w:r>
        <w:rPr>
          <w:rFonts w:ascii="Arial" w:eastAsia="宋体" w:hAnsi="Arial" w:cs="Arial"/>
          <w:color w:val="000000"/>
          <w:sz w:val="20"/>
          <w:szCs w:val="20"/>
        </w:rPr>
        <w:t>retention of these clients involves additional risks, such as the avoidance of actual or perceived conflicts of interest and the maintenance of high levels of service quality and intra-company confidentiality. The ability of a competitor to offer comparabl</w:t>
      </w:r>
      <w:r>
        <w:rPr>
          <w:rFonts w:ascii="Arial" w:eastAsia="宋体" w:hAnsi="Arial" w:cs="Arial"/>
          <w:color w:val="000000"/>
          <w:sz w:val="20"/>
          <w:szCs w:val="20"/>
        </w:rPr>
        <w:t xml:space="preserve">e or improved products or services at a lower price would likely negatively affect our ability to maintain or increase our </w:t>
      </w:r>
    </w:p>
    <w:p w14:paraId="5F2C9CF5" w14:textId="77777777" w:rsidR="00E836FB" w:rsidRDefault="00994958">
      <w:pPr>
        <w:spacing w:before="60"/>
        <w:jc w:val="both"/>
        <w:textAlignment w:val="top"/>
      </w:pPr>
      <w:r>
        <w:rPr>
          <w:rFonts w:ascii="Arial" w:eastAsia="宋体" w:hAnsi="Arial" w:cs="Arial"/>
          <w:color w:val="000000"/>
          <w:sz w:val="20"/>
          <w:szCs w:val="20"/>
        </w:rPr>
        <w:t>profitability. Many of our core services are subject to contracts that have relatively short terms or may be terminated by our clien</w:t>
      </w:r>
      <w:r>
        <w:rPr>
          <w:rFonts w:ascii="Arial" w:eastAsia="宋体" w:hAnsi="Arial" w:cs="Arial"/>
          <w:color w:val="000000"/>
          <w:sz w:val="20"/>
          <w:szCs w:val="20"/>
        </w:rPr>
        <w:t>t after a short notice period. In addition, pricing pressures as a result of the activities of competitors, client pricing reviews, and rebids, as well as the introduction of new products, may result in a reduction in the prices we can charge for our produ</w:t>
      </w:r>
      <w:r>
        <w:rPr>
          <w:rFonts w:ascii="Arial" w:eastAsia="宋体" w:hAnsi="Arial" w:cs="Arial"/>
          <w:color w:val="000000"/>
          <w:sz w:val="20"/>
          <w:szCs w:val="20"/>
        </w:rPr>
        <w:t>cts and services.</w:t>
      </w:r>
    </w:p>
    <w:p w14:paraId="5F2C9CF6" w14:textId="77777777" w:rsidR="00E836FB" w:rsidRDefault="00994958">
      <w:pPr>
        <w:spacing w:before="90"/>
        <w:jc w:val="both"/>
        <w:textAlignment w:val="top"/>
      </w:pPr>
      <w:r>
        <w:rPr>
          <w:rFonts w:ascii="Arial" w:eastAsia="宋体" w:hAnsi="Arial" w:cs="Arial"/>
          <w:b/>
          <w:bCs/>
          <w:color w:val="000000"/>
          <w:sz w:val="20"/>
          <w:szCs w:val="20"/>
        </w:rPr>
        <w:t>We are subject to variability in our assets under custody and/or administration and assets under management, and in our financial results, due to the significant size of our relationship with many of our institutional clients, and are als</w:t>
      </w:r>
      <w:r>
        <w:rPr>
          <w:rFonts w:ascii="Arial" w:eastAsia="宋体" w:hAnsi="Arial" w:cs="Arial"/>
          <w:b/>
          <w:bCs/>
          <w:color w:val="000000"/>
          <w:sz w:val="20"/>
          <w:szCs w:val="20"/>
        </w:rPr>
        <w:t>o subject to significant pricing pressure due to trends in the market for custodial services and the considerable market influence exerted by those clients.</w:t>
      </w:r>
    </w:p>
    <w:p w14:paraId="5F2C9CF7" w14:textId="77777777" w:rsidR="00E836FB" w:rsidRDefault="00994958">
      <w:pPr>
        <w:spacing w:before="60"/>
        <w:ind w:firstLine="450"/>
        <w:jc w:val="both"/>
        <w:textAlignment w:val="top"/>
      </w:pPr>
      <w:r>
        <w:rPr>
          <w:rFonts w:ascii="Arial" w:eastAsia="宋体" w:hAnsi="Arial" w:cs="Arial"/>
          <w:color w:val="000000"/>
          <w:sz w:val="20"/>
          <w:szCs w:val="20"/>
        </w:rPr>
        <w:t>Our clients include institutional investors, such as mutual funds, collective investment funds, UCI</w:t>
      </w:r>
      <w:r>
        <w:rPr>
          <w:rFonts w:ascii="Arial" w:eastAsia="宋体" w:hAnsi="Arial" w:cs="Arial"/>
          <w:color w:val="000000"/>
          <w:sz w:val="20"/>
          <w:szCs w:val="20"/>
        </w:rPr>
        <w:t>TS, hedge funds and other investment pools, corporate and public retirement plans, insurance companies, foundations, endowments and investment managers. In both our asset servicing and asset management businesses, we endeavor to attract institutional inves</w:t>
      </w:r>
      <w:r>
        <w:rPr>
          <w:rFonts w:ascii="Arial" w:eastAsia="宋体" w:hAnsi="Arial" w:cs="Arial"/>
          <w:color w:val="000000"/>
          <w:sz w:val="20"/>
          <w:szCs w:val="20"/>
        </w:rPr>
        <w:t>tors controlling large and diverse pools of assets, as those clients typically have the opportunity to benefit from the full range of our expertise and service offerings. Due to the large pools of assets controlled by these clients, the loss or gain of one</w:t>
      </w:r>
      <w:r>
        <w:rPr>
          <w:rFonts w:ascii="Arial" w:eastAsia="宋体" w:hAnsi="Arial" w:cs="Arial"/>
          <w:color w:val="000000"/>
          <w:sz w:val="20"/>
          <w:szCs w:val="20"/>
        </w:rPr>
        <w:t xml:space="preserve"> client, or even a portion of the assets controlled by one client, or a client’s decision to in-source certain services that we provide, could have a significant effect on our AUC/A or our AUM, as applicable, in the relevant period. Loss of all or a portio</w:t>
      </w:r>
      <w:r>
        <w:rPr>
          <w:rFonts w:ascii="Arial" w:eastAsia="宋体" w:hAnsi="Arial" w:cs="Arial"/>
          <w:color w:val="000000"/>
          <w:sz w:val="20"/>
          <w:szCs w:val="20"/>
        </w:rPr>
        <w:t>n of the servicing of a client's assets can occur for a variety of reasons. For example, as a result of a decision to diversify providers, one of our large asset servicing clients has advised us it expects to move a significant portion of its ETF assets cu</w:t>
      </w:r>
      <w:r>
        <w:rPr>
          <w:rFonts w:ascii="Arial" w:eastAsia="宋体" w:hAnsi="Arial" w:cs="Arial"/>
          <w:color w:val="000000"/>
          <w:sz w:val="20"/>
          <w:szCs w:val="20"/>
        </w:rPr>
        <w:t>rrently with State Street to one or more other providers, pending necessary approvals. The transition is expected to begin in 2022, but will principally occur in 2023 and 2024. For the year ended December 31, 2021, the fee revenue associated with the trans</w:t>
      </w:r>
      <w:r>
        <w:rPr>
          <w:rFonts w:ascii="Arial" w:eastAsia="宋体" w:hAnsi="Arial" w:cs="Arial"/>
          <w:color w:val="000000"/>
          <w:sz w:val="20"/>
          <w:szCs w:val="20"/>
        </w:rPr>
        <w:t>itioning assets represented approximately 1.9% of our total fee revenue. Our AUM or AUC/A are also affected by decisions by institutional owners to favor or disfavor certain investment instruments or categories. Similarly, if one or more clients change the</w:t>
      </w:r>
      <w:r>
        <w:rPr>
          <w:rFonts w:ascii="Arial" w:eastAsia="宋体" w:hAnsi="Arial" w:cs="Arial"/>
          <w:color w:val="000000"/>
          <w:sz w:val="20"/>
          <w:szCs w:val="20"/>
        </w:rPr>
        <w:t xml:space="preserve"> asset class in which a significant portion of assets are invested (e.g., by shifting investments from emerging markets to the U.S.), those changes could have a significant effect on our results of operations in the relevant period, as our fee rates often </w:t>
      </w:r>
      <w:r>
        <w:rPr>
          <w:rFonts w:ascii="Arial" w:eastAsia="宋体" w:hAnsi="Arial" w:cs="Arial"/>
          <w:color w:val="000000"/>
          <w:sz w:val="20"/>
          <w:szCs w:val="20"/>
        </w:rPr>
        <w:t>change based on the type of asset classes we are servicing or managing. As our fee revenue is significantly impacted by our levels of AUC/A and AUM, changes in levels of different asset classes could have a corresponding significant effect on our results o</w:t>
      </w:r>
      <w:r>
        <w:rPr>
          <w:rFonts w:ascii="Arial" w:eastAsia="宋体" w:hAnsi="Arial" w:cs="Arial"/>
          <w:color w:val="000000"/>
          <w:sz w:val="20"/>
          <w:szCs w:val="20"/>
        </w:rPr>
        <w:t xml:space="preserve">f operations in the relevant period. Large institutional clients also, by their nature, are often able to exert considerable market influence, and </w:t>
      </w:r>
    </w:p>
    <w:p w14:paraId="5F2C9CF8" w14:textId="77777777" w:rsidR="00E836FB" w:rsidRDefault="00994958">
      <w:pPr>
        <w:ind w:firstLine="450"/>
        <w:jc w:val="right"/>
      </w:pPr>
      <w:r>
        <w:rPr>
          <w:rFonts w:ascii="Arial" w:eastAsia="宋体" w:hAnsi="Arial" w:cs="Arial"/>
          <w:color w:val="000000"/>
          <w:sz w:val="18"/>
          <w:szCs w:val="18"/>
        </w:rPr>
        <w:t>State Street Corporation | 24</w:t>
      </w:r>
    </w:p>
    <w:p w14:paraId="5F2C9CF9" w14:textId="77777777" w:rsidR="00E836FB" w:rsidRDefault="00E836FB">
      <w:pPr>
        <w:ind w:firstLine="450"/>
        <w:jc w:val="center"/>
      </w:pPr>
    </w:p>
    <w:p w14:paraId="5F2C9CFA" w14:textId="77777777" w:rsidR="00E836FB" w:rsidRDefault="00994958">
      <w:r>
        <w:pict w14:anchorId="5F2D6D9B">
          <v:rect id="_x0000_i1048" style="width:415.3pt;height:1.5pt" o:hralign="center" o:hrstd="t" o:hr="t" fillcolor="#a0a0a0" stroked="f"/>
        </w:pict>
      </w:r>
    </w:p>
    <w:p w14:paraId="5F2C9CFB" w14:textId="77777777" w:rsidR="00E836FB" w:rsidRDefault="00E836FB">
      <w:pPr>
        <w:ind w:firstLine="450"/>
      </w:pPr>
    </w:p>
    <w:p w14:paraId="5F2C9CFC" w14:textId="77777777" w:rsidR="00E836FB" w:rsidRDefault="00994958">
      <w:pPr>
        <w:spacing w:before="60"/>
        <w:jc w:val="both"/>
        <w:textAlignment w:val="top"/>
      </w:pPr>
      <w:r>
        <w:rPr>
          <w:rFonts w:ascii="Arial" w:eastAsia="宋体" w:hAnsi="Arial" w:cs="Arial"/>
          <w:color w:val="000000"/>
          <w:sz w:val="20"/>
          <w:szCs w:val="20"/>
        </w:rPr>
        <w:t>this, combined with strong competitive forces in the markets for our servi</w:t>
      </w:r>
      <w:r>
        <w:rPr>
          <w:rFonts w:ascii="Arial" w:eastAsia="宋体" w:hAnsi="Arial" w:cs="Arial"/>
          <w:color w:val="000000"/>
          <w:sz w:val="20"/>
          <w:szCs w:val="20"/>
        </w:rPr>
        <w:t>ces, has resulted in, and may continue to result in, significant pressure to reduce the fees we charge for our services in both our asset servicing and asset management lines of business. Our strategy of focusing our efforts on the segments of the market f</w:t>
      </w:r>
      <w:r>
        <w:rPr>
          <w:rFonts w:ascii="Arial" w:eastAsia="宋体" w:hAnsi="Arial" w:cs="Arial"/>
          <w:color w:val="000000"/>
          <w:sz w:val="20"/>
          <w:szCs w:val="20"/>
        </w:rPr>
        <w:t>or investor services represented by very large asset managers and asset owners causes us to be particularly impacted by this industry trend. Many of these large clients are also under competitive and regulatory pressures that are driving them to manage the</w:t>
      </w:r>
      <w:r>
        <w:rPr>
          <w:rFonts w:ascii="Arial" w:eastAsia="宋体" w:hAnsi="Arial" w:cs="Arial"/>
          <w:color w:val="000000"/>
          <w:sz w:val="20"/>
          <w:szCs w:val="20"/>
        </w:rPr>
        <w:t xml:space="preserve"> expenses that they and their investment products incur more aggressively, which in turn exacerbates their pressures on our fees.</w:t>
      </w:r>
    </w:p>
    <w:p w14:paraId="5F2C9CFD" w14:textId="77777777" w:rsidR="00E836FB" w:rsidRDefault="00994958">
      <w:pPr>
        <w:spacing w:before="90"/>
        <w:jc w:val="both"/>
        <w:textAlignment w:val="top"/>
      </w:pPr>
      <w:r>
        <w:rPr>
          <w:rFonts w:ascii="Arial" w:eastAsia="宋体" w:hAnsi="Arial" w:cs="Arial"/>
          <w:b/>
          <w:bCs/>
          <w:color w:val="000000"/>
          <w:sz w:val="20"/>
          <w:szCs w:val="20"/>
        </w:rPr>
        <w:t xml:space="preserve">Development and completion of new products and services, including State Street Digital or State Street Alpha, may </w:t>
      </w:r>
      <w:r>
        <w:rPr>
          <w:rFonts w:ascii="Arial" w:eastAsia="宋体" w:hAnsi="Arial" w:cs="Arial"/>
          <w:b/>
          <w:bCs/>
          <w:color w:val="000000"/>
          <w:sz w:val="20"/>
          <w:szCs w:val="20"/>
        </w:rPr>
        <w:t>impose costs on us, involve dependencies on third parties and may expose us to increased operational and model risk.</w:t>
      </w:r>
    </w:p>
    <w:p w14:paraId="5F2C9CFE" w14:textId="77777777" w:rsidR="00E836FB" w:rsidRDefault="00994958">
      <w:pPr>
        <w:spacing w:before="60"/>
        <w:ind w:firstLine="450"/>
        <w:jc w:val="both"/>
        <w:textAlignment w:val="top"/>
      </w:pPr>
      <w:r>
        <w:rPr>
          <w:rFonts w:ascii="Arial" w:eastAsia="宋体" w:hAnsi="Arial" w:cs="Arial"/>
          <w:color w:val="000000"/>
          <w:sz w:val="20"/>
          <w:szCs w:val="20"/>
        </w:rPr>
        <w:t>Our financial performance depends, in part, on our ability to develop and market new and innovative services and to adopt or develop new te</w:t>
      </w:r>
      <w:r>
        <w:rPr>
          <w:rFonts w:ascii="Arial" w:eastAsia="宋体" w:hAnsi="Arial" w:cs="Arial"/>
          <w:color w:val="000000"/>
          <w:sz w:val="20"/>
          <w:szCs w:val="20"/>
        </w:rPr>
        <w:t xml:space="preserve">chnologies that differentiate our products or provide cost efficiencies, while avoiding increased related expenses. This dependency is exacerbated in the current “FinTech” environment, where financial institutions are investing significantly in evaluating </w:t>
      </w:r>
      <w:r>
        <w:rPr>
          <w:rFonts w:ascii="Arial" w:eastAsia="宋体" w:hAnsi="Arial" w:cs="Arial"/>
          <w:color w:val="000000"/>
          <w:sz w:val="20"/>
          <w:szCs w:val="20"/>
        </w:rPr>
        <w:t>new technologies, such as distributed ledger technology (“Blockchain"), and developing potentially industry-changing products, services and standards. For example, in 2018, we acquired CRD, and are leveraging the capabilities acquired to create State Stree</w:t>
      </w:r>
      <w:r>
        <w:rPr>
          <w:rFonts w:ascii="Arial" w:eastAsia="宋体" w:hAnsi="Arial" w:cs="Arial"/>
          <w:color w:val="000000"/>
          <w:sz w:val="20"/>
          <w:szCs w:val="20"/>
        </w:rPr>
        <w:t>t Alpha by combining with offerings from our Investment Servicing business line. Similarly, in 2021, we established State Street Digital to focus on the development of digital assets and technologies. The introduction of new products and services can requi</w:t>
      </w:r>
      <w:r>
        <w:rPr>
          <w:rFonts w:ascii="Arial" w:eastAsia="宋体" w:hAnsi="Arial" w:cs="Arial"/>
          <w:color w:val="000000"/>
          <w:sz w:val="20"/>
          <w:szCs w:val="20"/>
        </w:rPr>
        <w:t>re significant time and resources, including regulatory approvals and the development and implementation of technical data management, control and model validation requirements and effective security and resiliency elements. New products and services, such</w:t>
      </w:r>
      <w:r>
        <w:rPr>
          <w:rFonts w:ascii="Arial" w:eastAsia="宋体" w:hAnsi="Arial" w:cs="Arial"/>
          <w:color w:val="000000"/>
          <w:sz w:val="20"/>
          <w:szCs w:val="20"/>
        </w:rPr>
        <w:t xml:space="preserve"> as State Street Digital and State Street Alpha, often also involve dependencies on third parties to, among other things, access innovative technologies, develop new distribution channels or form collaborative product and service offerings, and can require</w:t>
      </w:r>
      <w:r>
        <w:rPr>
          <w:rFonts w:ascii="Arial" w:eastAsia="宋体" w:hAnsi="Arial" w:cs="Arial"/>
          <w:color w:val="000000"/>
          <w:sz w:val="20"/>
          <w:szCs w:val="20"/>
        </w:rPr>
        <w:t xml:space="preserve"> complex strategic alliances and joint venture relationships. Substantial risks and uncertainties are associated with the introduction of new products and services, strategic alliances and joint ventures, including rapid technological change in the industr</w:t>
      </w:r>
      <w:r>
        <w:rPr>
          <w:rFonts w:ascii="Arial" w:eastAsia="宋体" w:hAnsi="Arial" w:cs="Arial"/>
          <w:color w:val="000000"/>
          <w:sz w:val="20"/>
          <w:szCs w:val="20"/>
        </w:rPr>
        <w:t>y, our ability to access technical, data and other information from our clients, significant and ongoing investments required to bring new products and services to market in a timely manner at competitive prices, sharing of benefits in those relationships,</w:t>
      </w:r>
      <w:r>
        <w:rPr>
          <w:rFonts w:ascii="Arial" w:eastAsia="宋体" w:hAnsi="Arial" w:cs="Arial"/>
          <w:color w:val="000000"/>
          <w:sz w:val="20"/>
          <w:szCs w:val="20"/>
        </w:rPr>
        <w:t xml:space="preserve"> conflicts with existing business partners and clients, </w:t>
      </w:r>
    </w:p>
    <w:p w14:paraId="5F2C9CFF" w14:textId="77777777" w:rsidR="00E836FB" w:rsidRDefault="00994958">
      <w:pPr>
        <w:spacing w:before="60"/>
        <w:jc w:val="both"/>
        <w:textAlignment w:val="top"/>
      </w:pPr>
      <w:r>
        <w:rPr>
          <w:rFonts w:ascii="Arial" w:eastAsia="宋体" w:hAnsi="Arial" w:cs="Arial"/>
          <w:color w:val="000000"/>
          <w:sz w:val="20"/>
          <w:szCs w:val="20"/>
        </w:rPr>
        <w:t xml:space="preserve">protection of intellectual property, the competition for employees with the necessary expertise and experience and sales and other materials that fully and accurately describe the product or service </w:t>
      </w:r>
      <w:r>
        <w:rPr>
          <w:rFonts w:ascii="Arial" w:eastAsia="宋体" w:hAnsi="Arial" w:cs="Arial"/>
          <w:color w:val="000000"/>
          <w:sz w:val="20"/>
          <w:szCs w:val="20"/>
        </w:rPr>
        <w:t>and its underlying risks and are compliant with applicable regulations. New products or services may fail to operate or perform as expected and may not be suitable for the intended client or may not produce anticipated efficiencies, savings or benefits for</w:t>
      </w:r>
      <w:r>
        <w:rPr>
          <w:rFonts w:ascii="Arial" w:eastAsia="宋体" w:hAnsi="Arial" w:cs="Arial"/>
          <w:color w:val="000000"/>
          <w:sz w:val="20"/>
          <w:szCs w:val="20"/>
        </w:rPr>
        <w:t xml:space="preserve"> either the client or us. Our failure to manage these risks and uncertainties also exposes us to enhanced risk of operational lapses, which may result in the recognition of financial statement</w:t>
      </w:r>
      <w:r>
        <w:rPr>
          <w:rFonts w:ascii="Arial" w:eastAsia="宋体" w:hAnsi="Arial" w:cs="Arial"/>
          <w:b/>
          <w:bCs/>
          <w:color w:val="000000"/>
          <w:sz w:val="20"/>
          <w:szCs w:val="20"/>
        </w:rPr>
        <w:t xml:space="preserve"> </w:t>
      </w:r>
      <w:r>
        <w:rPr>
          <w:rFonts w:ascii="Arial" w:eastAsia="宋体" w:hAnsi="Arial" w:cs="Arial"/>
          <w:color w:val="000000"/>
          <w:sz w:val="20"/>
          <w:szCs w:val="20"/>
        </w:rPr>
        <w:t>liabilities. Regulatory and internal control requirements, capi</w:t>
      </w:r>
      <w:r>
        <w:rPr>
          <w:rFonts w:ascii="Arial" w:eastAsia="宋体" w:hAnsi="Arial" w:cs="Arial"/>
          <w:color w:val="000000"/>
          <w:sz w:val="20"/>
          <w:szCs w:val="20"/>
        </w:rPr>
        <w:t>tal requirements, competitive alternatives, vendor relationships and</w:t>
      </w:r>
      <w:r>
        <w:rPr>
          <w:rFonts w:ascii="Arial" w:eastAsia="宋体" w:hAnsi="Arial" w:cs="Arial"/>
          <w:b/>
          <w:bCs/>
          <w:color w:val="000000"/>
          <w:sz w:val="20"/>
          <w:szCs w:val="20"/>
        </w:rPr>
        <w:t xml:space="preserve"> </w:t>
      </w:r>
      <w:r>
        <w:rPr>
          <w:rFonts w:ascii="Arial" w:eastAsia="宋体" w:hAnsi="Arial" w:cs="Arial"/>
          <w:color w:val="000000"/>
          <w:sz w:val="20"/>
          <w:szCs w:val="20"/>
        </w:rPr>
        <w:t>shifting</w:t>
      </w:r>
      <w:r>
        <w:rPr>
          <w:rFonts w:ascii="Arial" w:eastAsia="宋体" w:hAnsi="Arial" w:cs="Arial"/>
          <w:b/>
          <w:bCs/>
          <w:color w:val="000000"/>
          <w:sz w:val="20"/>
          <w:szCs w:val="20"/>
        </w:rPr>
        <w:t xml:space="preserve"> </w:t>
      </w:r>
      <w:r>
        <w:rPr>
          <w:rFonts w:ascii="Arial" w:eastAsia="宋体" w:hAnsi="Arial" w:cs="Arial"/>
          <w:color w:val="000000"/>
          <w:sz w:val="20"/>
          <w:szCs w:val="20"/>
        </w:rPr>
        <w:t>market</w:t>
      </w:r>
      <w:r>
        <w:rPr>
          <w:rFonts w:ascii="Arial" w:eastAsia="宋体" w:hAnsi="Arial" w:cs="Arial"/>
          <w:b/>
          <w:bCs/>
          <w:color w:val="000000"/>
          <w:sz w:val="20"/>
          <w:szCs w:val="20"/>
        </w:rPr>
        <w:t xml:space="preserve"> </w:t>
      </w:r>
      <w:r>
        <w:rPr>
          <w:rFonts w:ascii="Arial" w:eastAsia="宋体" w:hAnsi="Arial" w:cs="Arial"/>
          <w:color w:val="000000"/>
          <w:sz w:val="20"/>
          <w:szCs w:val="20"/>
        </w:rPr>
        <w:t>preferences may also determine if such initiatives can be brought to market in a manner that is timely and attractive to our clients. Failure to successfully manage all of</w:t>
      </w:r>
      <w:r>
        <w:rPr>
          <w:rFonts w:ascii="Arial" w:eastAsia="宋体" w:hAnsi="Arial" w:cs="Arial"/>
          <w:color w:val="000000"/>
          <w:sz w:val="20"/>
          <w:szCs w:val="20"/>
        </w:rPr>
        <w:t xml:space="preserve"> the above risks in the development and implementation of new products or services, including completion of State Street Alpha, could have a material adverse effect on our business and reputation, consolidated results of operations or financial condition.</w:t>
      </w:r>
    </w:p>
    <w:p w14:paraId="5F2C9D00" w14:textId="77777777" w:rsidR="00E836FB" w:rsidRDefault="00994958">
      <w:pPr>
        <w:spacing w:before="90"/>
        <w:jc w:val="both"/>
        <w:textAlignment w:val="top"/>
      </w:pPr>
      <w:r>
        <w:rPr>
          <w:rFonts w:ascii="Arial" w:eastAsia="宋体" w:hAnsi="Arial" w:cs="Arial"/>
          <w:b/>
          <w:bCs/>
          <w:color w:val="000000"/>
          <w:sz w:val="20"/>
          <w:szCs w:val="20"/>
        </w:rPr>
        <w:t>Our business may be negatively affected by our failure to update and maintain our technology infrastructure.</w:t>
      </w:r>
    </w:p>
    <w:p w14:paraId="5F2C9D01" w14:textId="77777777" w:rsidR="00E836FB" w:rsidRDefault="00994958">
      <w:pPr>
        <w:spacing w:before="60"/>
        <w:ind w:firstLine="450"/>
        <w:jc w:val="both"/>
        <w:textAlignment w:val="top"/>
      </w:pPr>
      <w:r>
        <w:rPr>
          <w:rFonts w:ascii="Arial" w:eastAsia="宋体" w:hAnsi="Arial" w:cs="Arial"/>
          <w:color w:val="000000"/>
          <w:sz w:val="20"/>
          <w:szCs w:val="20"/>
        </w:rPr>
        <w:t>In order to maintain and grow our business, we must make strategic decisions about our current and future business plans and effectively execute up</w:t>
      </w:r>
      <w:r>
        <w:rPr>
          <w:rFonts w:ascii="Arial" w:eastAsia="宋体" w:hAnsi="Arial" w:cs="Arial"/>
          <w:color w:val="000000"/>
          <w:sz w:val="20"/>
          <w:szCs w:val="20"/>
        </w:rPr>
        <w:t>on those plans. Strategic initiatives that we are currently developing or executing against include cost initiatives, enhancements and efficiencies to our operational processes, improvements to existing and new service offerings, targeting for sales growth</w:t>
      </w:r>
      <w:r>
        <w:rPr>
          <w:rFonts w:ascii="Arial" w:eastAsia="宋体" w:hAnsi="Arial" w:cs="Arial"/>
          <w:color w:val="000000"/>
          <w:sz w:val="20"/>
          <w:szCs w:val="20"/>
        </w:rPr>
        <w:t xml:space="preserve"> certain segments of the markets for investor services and asset management, and enhancements to existing and development of new information technology and other systems. Implementing strategic programs and creating cost efficiencies involves certain strat</w:t>
      </w:r>
      <w:r>
        <w:rPr>
          <w:rFonts w:ascii="Arial" w:eastAsia="宋体" w:hAnsi="Arial" w:cs="Arial"/>
          <w:color w:val="000000"/>
          <w:sz w:val="20"/>
          <w:szCs w:val="20"/>
        </w:rPr>
        <w:t>egic, technological and operational risks. Many features of our present initiatives include investment in systems integration and new technologies and also the development of new, and the evolution of existing, methods and tools to accelerate the pace of i</w:t>
      </w:r>
      <w:r>
        <w:rPr>
          <w:rFonts w:ascii="Arial" w:eastAsia="宋体" w:hAnsi="Arial" w:cs="Arial"/>
          <w:color w:val="000000"/>
          <w:sz w:val="20"/>
          <w:szCs w:val="20"/>
        </w:rPr>
        <w:t>nnovation, the introduction of new services and enhancements to the resiliency of our systems and operations. These initiatives also may result in increased or unanticipated costs or earnings volatility, may take longer than anticipated to implement and ma</w:t>
      </w:r>
      <w:r>
        <w:rPr>
          <w:rFonts w:ascii="Arial" w:eastAsia="宋体" w:hAnsi="Arial" w:cs="Arial"/>
          <w:color w:val="000000"/>
          <w:sz w:val="20"/>
          <w:szCs w:val="20"/>
        </w:rPr>
        <w:t>y result in increases in operating losses, inadvertent data disclosures or other operating errors. In implementing these programs, we may have material dependencies on third parties. The transition to new operating processes and technology infrastructure m</w:t>
      </w:r>
      <w:r>
        <w:rPr>
          <w:rFonts w:ascii="Arial" w:eastAsia="宋体" w:hAnsi="Arial" w:cs="Arial"/>
          <w:color w:val="000000"/>
          <w:sz w:val="20"/>
          <w:szCs w:val="20"/>
        </w:rPr>
        <w:t xml:space="preserve">ay also cause disruptions in our relationships with clients and employees or loss of institutional understanding and may present other </w:t>
      </w:r>
    </w:p>
    <w:p w14:paraId="5F2C9D02" w14:textId="77777777" w:rsidR="00E836FB" w:rsidRDefault="00994958">
      <w:pPr>
        <w:ind w:firstLine="450"/>
        <w:jc w:val="right"/>
      </w:pPr>
      <w:r>
        <w:rPr>
          <w:rFonts w:ascii="Arial" w:eastAsia="宋体" w:hAnsi="Arial" w:cs="Arial"/>
          <w:color w:val="000000"/>
          <w:sz w:val="18"/>
          <w:szCs w:val="18"/>
        </w:rPr>
        <w:t>State Street Corporation | 25</w:t>
      </w:r>
    </w:p>
    <w:p w14:paraId="5F2C9D03" w14:textId="77777777" w:rsidR="00E836FB" w:rsidRDefault="00E836FB">
      <w:pPr>
        <w:ind w:firstLine="450"/>
        <w:jc w:val="center"/>
      </w:pPr>
    </w:p>
    <w:p w14:paraId="5F2C9D04" w14:textId="77777777" w:rsidR="00E836FB" w:rsidRDefault="00994958">
      <w:r>
        <w:pict w14:anchorId="5F2D6D9C">
          <v:rect id="_x0000_i1049" style="width:415.3pt;height:1.5pt" o:hralign="center" o:hrstd="t" o:hr="t" fillcolor="#a0a0a0" stroked="f"/>
        </w:pict>
      </w:r>
    </w:p>
    <w:p w14:paraId="5F2C9D05" w14:textId="77777777" w:rsidR="00E836FB" w:rsidRDefault="00E836FB">
      <w:pPr>
        <w:ind w:firstLine="450"/>
      </w:pPr>
    </w:p>
    <w:p w14:paraId="5F2C9D06" w14:textId="77777777" w:rsidR="00E836FB" w:rsidRDefault="00994958">
      <w:pPr>
        <w:spacing w:before="60"/>
        <w:jc w:val="both"/>
        <w:textAlignment w:val="top"/>
      </w:pPr>
      <w:r>
        <w:rPr>
          <w:rFonts w:ascii="Arial" w:eastAsia="宋体" w:hAnsi="Arial" w:cs="Arial"/>
          <w:color w:val="000000"/>
          <w:sz w:val="20"/>
          <w:szCs w:val="20"/>
        </w:rPr>
        <w:t>unanticipated technical or operational hurdles. In addition, the relocation to or expa</w:t>
      </w:r>
      <w:r>
        <w:rPr>
          <w:rFonts w:ascii="Arial" w:eastAsia="宋体" w:hAnsi="Arial" w:cs="Arial"/>
          <w:color w:val="000000"/>
          <w:sz w:val="20"/>
          <w:szCs w:val="20"/>
        </w:rPr>
        <w:t>nsion of servicing activities and other operations in different geographic regions or vendors may entail client, regulatory and other third party data use, storage and security challenges, as well as other regulatory compliance, business continuity and oth</w:t>
      </w:r>
      <w:r>
        <w:rPr>
          <w:rFonts w:ascii="Arial" w:eastAsia="宋体" w:hAnsi="Arial" w:cs="Arial"/>
          <w:color w:val="000000"/>
          <w:sz w:val="20"/>
          <w:szCs w:val="20"/>
        </w:rPr>
        <w:t>er considerations. As a result, we may not achieve some or all of the anticipated cost savings or other benefits and may experience unanticipated challenges from clients, regulators or other parties or reputational harm. In addition, some systems developme</w:t>
      </w:r>
      <w:r>
        <w:rPr>
          <w:rFonts w:ascii="Arial" w:eastAsia="宋体" w:hAnsi="Arial" w:cs="Arial"/>
          <w:color w:val="000000"/>
          <w:sz w:val="20"/>
          <w:szCs w:val="20"/>
        </w:rPr>
        <w:t>nt initiatives may not have access to significant resources or management attention and, consequently, may be delayed or unsuccessful. Many of our systems require enhancements to meet the requirements of evolving regulation, to enhance security and resilie</w:t>
      </w:r>
      <w:r>
        <w:rPr>
          <w:rFonts w:ascii="Arial" w:eastAsia="宋体" w:hAnsi="Arial" w:cs="Arial"/>
          <w:color w:val="000000"/>
          <w:sz w:val="20"/>
          <w:szCs w:val="20"/>
        </w:rPr>
        <w:t>ncy and decommission obsolete technologies, to permit us to optimize our use of capital or to reduce the risk of operating error. In addition, the implementation of our State Street Alpha platform and integration of CRD requires substantial systems develop</w:t>
      </w:r>
      <w:r>
        <w:rPr>
          <w:rFonts w:ascii="Arial" w:eastAsia="宋体" w:hAnsi="Arial" w:cs="Arial"/>
          <w:color w:val="000000"/>
          <w:sz w:val="20"/>
          <w:szCs w:val="20"/>
        </w:rPr>
        <w:t>ment and expense. We may not have the resources to pursue all of these objectives simultaneously.</w:t>
      </w:r>
    </w:p>
    <w:p w14:paraId="5F2C9D07" w14:textId="77777777" w:rsidR="00E836FB" w:rsidRDefault="00994958">
      <w:pPr>
        <w:spacing w:before="90"/>
        <w:jc w:val="both"/>
        <w:textAlignment w:val="top"/>
      </w:pPr>
      <w:r>
        <w:rPr>
          <w:rFonts w:ascii="Arial" w:eastAsia="宋体" w:hAnsi="Arial" w:cs="Arial"/>
          <w:b/>
          <w:bCs/>
          <w:color w:val="000000"/>
          <w:sz w:val="20"/>
          <w:szCs w:val="20"/>
        </w:rPr>
        <w:t xml:space="preserve">The COVID-19 pandemic continues to create significant risks and uncertainties for our business. </w:t>
      </w:r>
    </w:p>
    <w:p w14:paraId="5F2C9D08" w14:textId="77777777" w:rsidR="00E836FB" w:rsidRDefault="00994958">
      <w:pPr>
        <w:spacing w:before="60"/>
        <w:ind w:firstLine="450"/>
        <w:jc w:val="both"/>
        <w:textAlignment w:val="top"/>
      </w:pPr>
      <w:r>
        <w:rPr>
          <w:rFonts w:ascii="Arial" w:eastAsia="宋体" w:hAnsi="Arial" w:cs="Arial"/>
          <w:color w:val="000000"/>
          <w:sz w:val="20"/>
          <w:szCs w:val="20"/>
        </w:rPr>
        <w:t>The extent to which the COVID-19 pandemic continues to impact</w:t>
      </w:r>
      <w:r>
        <w:rPr>
          <w:rFonts w:ascii="Arial" w:eastAsia="宋体" w:hAnsi="Arial" w:cs="Arial"/>
          <w:color w:val="000000"/>
          <w:sz w:val="20"/>
          <w:szCs w:val="20"/>
        </w:rPr>
        <w:t xml:space="preserve"> our business, results of operations, and financial condition, as well as our regulatory capital and liquidity ratios and other regulatory requirements in the United States and internationally, will depend on future developments, which are highly uncertain</w:t>
      </w:r>
      <w:r>
        <w:rPr>
          <w:rFonts w:ascii="Arial" w:eastAsia="宋体" w:hAnsi="Arial" w:cs="Arial"/>
          <w:color w:val="000000"/>
          <w:sz w:val="20"/>
          <w:szCs w:val="20"/>
        </w:rPr>
        <w:t xml:space="preserve"> and cannot be predicted, including the scope and duration of the pandemic, the effectiveness of our work from home arrangements and staffing levels in operational facilities, challenges associated with our return to office plans such as maintaining a safe</w:t>
      </w:r>
      <w:r>
        <w:rPr>
          <w:rFonts w:ascii="Arial" w:eastAsia="宋体" w:hAnsi="Arial" w:cs="Arial"/>
          <w:color w:val="000000"/>
          <w:sz w:val="20"/>
          <w:szCs w:val="20"/>
        </w:rPr>
        <w:t xml:space="preserve"> office environment and integrating and engaging at-home and in-office staff, the impact of market participants on which we rely, actions taken by governmental authorities and other third parties in response to the pandemic and the impact of equity market </w:t>
      </w:r>
      <w:r>
        <w:rPr>
          <w:rFonts w:ascii="Arial" w:eastAsia="宋体" w:hAnsi="Arial" w:cs="Arial"/>
          <w:color w:val="000000"/>
          <w:sz w:val="20"/>
          <w:szCs w:val="20"/>
        </w:rPr>
        <w:t>valuations and extended sales and implementation cycles for some clients on our service and management fee revenue.</w:t>
      </w:r>
    </w:p>
    <w:p w14:paraId="5F2C9D09" w14:textId="77777777" w:rsidR="00E836FB" w:rsidRDefault="00994958">
      <w:pPr>
        <w:ind w:firstLine="450"/>
        <w:jc w:val="both"/>
        <w:textAlignment w:val="top"/>
      </w:pPr>
      <w:r>
        <w:rPr>
          <w:rFonts w:ascii="Arial" w:eastAsia="宋体" w:hAnsi="Arial" w:cs="Arial"/>
          <w:color w:val="000000"/>
          <w:sz w:val="20"/>
          <w:szCs w:val="20"/>
        </w:rPr>
        <w:t>While global economic pressures related to the COVID-19 pandemic have moderated, the pandemic continues to create economic uncertainty which</w:t>
      </w:r>
      <w:r>
        <w:rPr>
          <w:rFonts w:ascii="Arial" w:eastAsia="宋体" w:hAnsi="Arial" w:cs="Arial"/>
          <w:color w:val="000000"/>
          <w:sz w:val="20"/>
          <w:szCs w:val="20"/>
        </w:rPr>
        <w:t xml:space="preserve"> may lead to negative future impacts to the global economy, cause fluctuations in equity market valuations, decrease liquidity in fixed income markets, or create volatility and disruption in financial markets. Any such impacts may lead to renewed outsized </w:t>
      </w:r>
      <w:r>
        <w:rPr>
          <w:rFonts w:ascii="Arial" w:eastAsia="宋体" w:hAnsi="Arial" w:cs="Arial"/>
          <w:color w:val="000000"/>
          <w:sz w:val="20"/>
          <w:szCs w:val="20"/>
        </w:rPr>
        <w:t xml:space="preserve">demands on our transaction processing capabilities in our asset servicing business and volatility in our foreign exchange and asset management businesses. New market and economic uncertainty </w:t>
      </w:r>
    </w:p>
    <w:p w14:paraId="5F2C9D0A" w14:textId="77777777" w:rsidR="00E836FB" w:rsidRDefault="00994958">
      <w:pPr>
        <w:jc w:val="both"/>
        <w:textAlignment w:val="top"/>
      </w:pPr>
      <w:r>
        <w:rPr>
          <w:rFonts w:ascii="Arial" w:eastAsia="宋体" w:hAnsi="Arial" w:cs="Arial"/>
          <w:color w:val="000000"/>
          <w:sz w:val="20"/>
          <w:szCs w:val="20"/>
        </w:rPr>
        <w:t>could also increase the risks inherent in our activities as a cr</w:t>
      </w:r>
      <w:r>
        <w:rPr>
          <w:rFonts w:ascii="Arial" w:eastAsia="宋体" w:hAnsi="Arial" w:cs="Arial"/>
          <w:color w:val="000000"/>
          <w:sz w:val="20"/>
          <w:szCs w:val="20"/>
        </w:rPr>
        <w:t>edit provider to investment pools and other institutional investors and cause us to increase our provision for credit losses. In addition, our and other market participants’ reliance upon work from home capabilities in light of the pandemic, and the potent</w:t>
      </w:r>
      <w:r>
        <w:rPr>
          <w:rFonts w:ascii="Arial" w:eastAsia="宋体" w:hAnsi="Arial" w:cs="Arial"/>
          <w:color w:val="000000"/>
          <w:sz w:val="20"/>
          <w:szCs w:val="20"/>
        </w:rPr>
        <w:t>ial inability to maintain critical staff in our operational facilities, including facilities in the United States, the United Kingdom, Germany, China, India and Poland, present risks associated with our and local infrastructure, increasingly restrictive lo</w:t>
      </w:r>
      <w:r>
        <w:rPr>
          <w:rFonts w:ascii="Arial" w:eastAsia="宋体" w:hAnsi="Arial" w:cs="Arial"/>
          <w:color w:val="000000"/>
          <w:sz w:val="20"/>
          <w:szCs w:val="20"/>
        </w:rPr>
        <w:t>cal regulations, illness, quarantine, the sustainability of a work from home environment and increased risk of cybersecurity attacks. Any material or extended disruption of our ability to deliver services or meet our responsibilities in the settlement of s</w:t>
      </w:r>
      <w:r>
        <w:rPr>
          <w:rFonts w:ascii="Arial" w:eastAsia="宋体" w:hAnsi="Arial" w:cs="Arial"/>
          <w:color w:val="000000"/>
          <w:sz w:val="20"/>
          <w:szCs w:val="20"/>
        </w:rPr>
        <w:t>ecurities or other market activities is likely to result in operating losses, loss of revenue or penalties under our service contracts which may have a material adverse impact on our results of operation and financial condition. New pressures on the global</w:t>
      </w:r>
      <w:r>
        <w:rPr>
          <w:rFonts w:ascii="Arial" w:eastAsia="宋体" w:hAnsi="Arial" w:cs="Arial"/>
          <w:color w:val="000000"/>
          <w:sz w:val="20"/>
          <w:szCs w:val="20"/>
        </w:rPr>
        <w:t xml:space="preserve"> economy are also arising from ongoing disruptions to global supply chains and material shifts in employment trends and may drive negative impacts on our business. In particular, trends related to staff retention have created heightened concerns around tal</w:t>
      </w:r>
      <w:r>
        <w:rPr>
          <w:rFonts w:ascii="Arial" w:eastAsia="宋体" w:hAnsi="Arial" w:cs="Arial"/>
          <w:color w:val="000000"/>
          <w:sz w:val="20"/>
          <w:szCs w:val="20"/>
        </w:rPr>
        <w:t xml:space="preserve">ent management. Our success depends, in large part, on our ability to attract and retain key people. The unintended loss of services of key personnel and other staff could have a material adverse impact on our business because of loss of skills, knowledge </w:t>
      </w:r>
      <w:r>
        <w:rPr>
          <w:rFonts w:ascii="Arial" w:eastAsia="宋体" w:hAnsi="Arial" w:cs="Arial"/>
          <w:color w:val="000000"/>
          <w:sz w:val="20"/>
          <w:szCs w:val="20"/>
        </w:rPr>
        <w:t>of our markets, operations and clients, years of industry experience, sufficient talent to meet client demand and growth and the difficulty of replacing talent in the current market conditions. In addition, as we have moved business into emerging markets (</w:t>
      </w:r>
      <w:r>
        <w:rPr>
          <w:rFonts w:ascii="Arial" w:eastAsia="宋体" w:hAnsi="Arial" w:cs="Arial"/>
          <w:color w:val="000000"/>
          <w:sz w:val="20"/>
          <w:szCs w:val="20"/>
        </w:rPr>
        <w:t>e.g., China, India, and Poland), increased turnover and salary competition in these locations may lead to heightened risk and costs.</w:t>
      </w:r>
    </w:p>
    <w:p w14:paraId="5F2C9D0B" w14:textId="77777777" w:rsidR="00E836FB" w:rsidRDefault="00994958">
      <w:pPr>
        <w:spacing w:before="90"/>
        <w:jc w:val="both"/>
        <w:textAlignment w:val="top"/>
      </w:pPr>
      <w:r>
        <w:rPr>
          <w:rFonts w:ascii="Arial" w:eastAsia="宋体" w:hAnsi="Arial" w:cs="Arial"/>
          <w:b/>
          <w:bCs/>
          <w:color w:val="000000"/>
          <w:sz w:val="20"/>
          <w:szCs w:val="20"/>
        </w:rPr>
        <w:t>Acquisitions, strategic alliances, joint ventures and divestitures pose risks for our business.</w:t>
      </w:r>
    </w:p>
    <w:p w14:paraId="5F2C9D0C" w14:textId="77777777" w:rsidR="00E836FB" w:rsidRDefault="00994958">
      <w:pPr>
        <w:spacing w:before="60"/>
        <w:ind w:firstLine="450"/>
        <w:jc w:val="both"/>
        <w:textAlignment w:val="top"/>
      </w:pPr>
      <w:r>
        <w:rPr>
          <w:rFonts w:ascii="Arial" w:eastAsia="宋体" w:hAnsi="Arial" w:cs="Arial"/>
          <w:color w:val="000000"/>
          <w:sz w:val="20"/>
          <w:szCs w:val="20"/>
        </w:rPr>
        <w:t>As part of our business str</w:t>
      </w:r>
      <w:r>
        <w:rPr>
          <w:rFonts w:ascii="Arial" w:eastAsia="宋体" w:hAnsi="Arial" w:cs="Arial"/>
          <w:color w:val="000000"/>
          <w:sz w:val="20"/>
          <w:szCs w:val="20"/>
        </w:rPr>
        <w:t xml:space="preserve">ategy, we acquire complementary businesses and technologies, enter into strategic alliances and joint ventures and divest portions of our business. We undertake transactions of varying sizes to, among other reasons, expand our geographic footprint, access </w:t>
      </w:r>
      <w:r>
        <w:rPr>
          <w:rFonts w:ascii="Arial" w:eastAsia="宋体" w:hAnsi="Arial" w:cs="Arial"/>
          <w:color w:val="000000"/>
          <w:sz w:val="20"/>
          <w:szCs w:val="20"/>
        </w:rPr>
        <w:t>new clients, distribution channels, technologies or services, develop closer or more collaborative relationships with our business partners, efficiently deploy capital or leverage cost savings or other business or financial opportunities. We may not achiev</w:t>
      </w:r>
      <w:r>
        <w:rPr>
          <w:rFonts w:ascii="Arial" w:eastAsia="宋体" w:hAnsi="Arial" w:cs="Arial"/>
          <w:color w:val="000000"/>
          <w:sz w:val="20"/>
          <w:szCs w:val="20"/>
        </w:rPr>
        <w:t>e the expected benefits of these transactions, which could result in increased costs, lowered revenues, ineffective deployment of capital, regulatory concerns, exit costs or diminished competitive position or reputation.</w:t>
      </w:r>
    </w:p>
    <w:p w14:paraId="5F2C9D0D" w14:textId="77777777" w:rsidR="00E836FB" w:rsidRDefault="00994958">
      <w:pPr>
        <w:spacing w:before="60"/>
        <w:ind w:firstLine="450"/>
        <w:jc w:val="both"/>
        <w:textAlignment w:val="top"/>
      </w:pPr>
      <w:r>
        <w:rPr>
          <w:rFonts w:ascii="Arial" w:eastAsia="宋体" w:hAnsi="Arial" w:cs="Arial"/>
          <w:color w:val="000000"/>
          <w:sz w:val="20"/>
          <w:szCs w:val="20"/>
        </w:rPr>
        <w:t>Transactions of this nature also in</w:t>
      </w:r>
      <w:r>
        <w:rPr>
          <w:rFonts w:ascii="Arial" w:eastAsia="宋体" w:hAnsi="Arial" w:cs="Arial"/>
          <w:color w:val="000000"/>
          <w:sz w:val="20"/>
          <w:szCs w:val="20"/>
        </w:rPr>
        <w:t xml:space="preserve">volve a number of risks and financial, accounting, tax, regulatory, strategic, managerial, operational, cultural and employment challenges, which could adversely </w:t>
      </w:r>
    </w:p>
    <w:p w14:paraId="5F2C9D0E" w14:textId="77777777" w:rsidR="00E836FB" w:rsidRDefault="00994958">
      <w:pPr>
        <w:ind w:firstLine="450"/>
        <w:jc w:val="right"/>
      </w:pPr>
      <w:r>
        <w:rPr>
          <w:rFonts w:ascii="Arial" w:eastAsia="宋体" w:hAnsi="Arial" w:cs="Arial"/>
          <w:color w:val="000000"/>
          <w:sz w:val="18"/>
          <w:szCs w:val="18"/>
        </w:rPr>
        <w:t>State Street Corporation | 26</w:t>
      </w:r>
    </w:p>
    <w:p w14:paraId="5F2C9D0F" w14:textId="77777777" w:rsidR="00E836FB" w:rsidRDefault="00E836FB">
      <w:pPr>
        <w:ind w:firstLine="450"/>
        <w:jc w:val="center"/>
      </w:pPr>
    </w:p>
    <w:p w14:paraId="5F2C9D10" w14:textId="77777777" w:rsidR="00E836FB" w:rsidRDefault="00994958">
      <w:r>
        <w:pict w14:anchorId="5F2D6D9D">
          <v:rect id="_x0000_i1050" style="width:415.3pt;height:1.5pt" o:hralign="center" o:hrstd="t" o:hr="t" fillcolor="#a0a0a0" stroked="f"/>
        </w:pict>
      </w:r>
    </w:p>
    <w:p w14:paraId="5F2C9D11" w14:textId="77777777" w:rsidR="00E836FB" w:rsidRDefault="00E836FB">
      <w:pPr>
        <w:ind w:firstLine="450"/>
      </w:pPr>
    </w:p>
    <w:p w14:paraId="5F2C9D12" w14:textId="77777777" w:rsidR="00E836FB" w:rsidRDefault="00994958">
      <w:pPr>
        <w:spacing w:before="60"/>
        <w:jc w:val="both"/>
        <w:textAlignment w:val="top"/>
      </w:pPr>
      <w:r>
        <w:rPr>
          <w:rFonts w:ascii="Arial" w:eastAsia="宋体" w:hAnsi="Arial" w:cs="Arial"/>
          <w:color w:val="000000"/>
          <w:sz w:val="20"/>
          <w:szCs w:val="20"/>
        </w:rPr>
        <w:t xml:space="preserve">affect our consolidated results of operations and </w:t>
      </w:r>
      <w:r>
        <w:rPr>
          <w:rFonts w:ascii="Arial" w:eastAsia="宋体" w:hAnsi="Arial" w:cs="Arial"/>
          <w:color w:val="000000"/>
          <w:sz w:val="20"/>
          <w:szCs w:val="20"/>
        </w:rPr>
        <w:t>financial condition. For example, the businesses that we acquire or our strategic alliances or joint ventures may under-perform relative to the price paid or the resources committed by us; we may not achieve anticipated revenue growth or cost savings; or w</w:t>
      </w:r>
      <w:r>
        <w:rPr>
          <w:rFonts w:ascii="Arial" w:eastAsia="宋体" w:hAnsi="Arial" w:cs="Arial"/>
          <w:color w:val="000000"/>
          <w:sz w:val="20"/>
          <w:szCs w:val="20"/>
        </w:rPr>
        <w:t>e may otherwise be adversely affected by acquisition-related charges. The intellectual property of an acquired business may be an important component of the value that we agree to pay for it. However, such acquisitions are subject to the risks that the acq</w:t>
      </w:r>
      <w:r>
        <w:rPr>
          <w:rFonts w:ascii="Arial" w:eastAsia="宋体" w:hAnsi="Arial" w:cs="Arial"/>
          <w:color w:val="000000"/>
          <w:sz w:val="20"/>
          <w:szCs w:val="20"/>
        </w:rPr>
        <w:t xml:space="preserve">uired business may not own the intellectual property that we believe we are acquiring, that the intellectual property is dependent on licenses from third parties, that the acquired business infringes on the intellectual property rights of others, that the </w:t>
      </w:r>
      <w:r>
        <w:rPr>
          <w:rFonts w:ascii="Arial" w:eastAsia="宋体" w:hAnsi="Arial" w:cs="Arial"/>
          <w:color w:val="000000"/>
          <w:sz w:val="20"/>
          <w:szCs w:val="20"/>
        </w:rPr>
        <w:t xml:space="preserve">technology does not have the acceptance in the marketplace that we anticipated or that the technology requires significant investment to remain competitive. Similarly, such acquisitions present risks on our ability to retain the acquired talent, which may </w:t>
      </w:r>
      <w:r>
        <w:rPr>
          <w:rFonts w:ascii="Arial" w:eastAsia="宋体" w:hAnsi="Arial" w:cs="Arial"/>
          <w:color w:val="000000"/>
          <w:sz w:val="20"/>
          <w:szCs w:val="20"/>
        </w:rPr>
        <w:t xml:space="preserve">be essential to achieve our objectives in the acquisition. The integration of an acquired business's information technology infrastructure into ours has in the past and may in the future also expose us to additional security and resiliency risks. Further, </w:t>
      </w:r>
      <w:r>
        <w:rPr>
          <w:rFonts w:ascii="Arial" w:eastAsia="宋体" w:hAnsi="Arial" w:cs="Arial"/>
          <w:color w:val="000000"/>
          <w:sz w:val="20"/>
          <w:szCs w:val="20"/>
        </w:rPr>
        <w:t>past acquisitions have resulted in the recognition of goodwill and other significant intangible assets in our consolidated statement of condition. For example, we recorded goodwill and intangible assets of approximately $2.46 billion associated with our ac</w:t>
      </w:r>
      <w:r>
        <w:rPr>
          <w:rFonts w:ascii="Arial" w:eastAsia="宋体" w:hAnsi="Arial" w:cs="Arial"/>
          <w:color w:val="000000"/>
          <w:sz w:val="20"/>
          <w:szCs w:val="20"/>
        </w:rPr>
        <w:t>quisition of CRD in 2018. These assets are not eligible for inclusion in regulatory capital under applicable requirements. In addition, we may be required to record impairment in our consolidated statement of income in future periods if we determine that t</w:t>
      </w:r>
      <w:r>
        <w:rPr>
          <w:rFonts w:ascii="Arial" w:eastAsia="宋体" w:hAnsi="Arial" w:cs="Arial"/>
          <w:color w:val="000000"/>
          <w:sz w:val="20"/>
          <w:szCs w:val="20"/>
        </w:rPr>
        <w:t>he value of these assets has declined.</w:t>
      </w:r>
    </w:p>
    <w:p w14:paraId="5F2C9D13" w14:textId="77777777" w:rsidR="00E836FB" w:rsidRDefault="00994958">
      <w:pPr>
        <w:spacing w:before="60"/>
        <w:ind w:firstLine="450"/>
        <w:jc w:val="both"/>
        <w:textAlignment w:val="top"/>
      </w:pPr>
      <w:r>
        <w:rPr>
          <w:rFonts w:ascii="Arial" w:eastAsia="宋体" w:hAnsi="Arial" w:cs="Arial"/>
          <w:color w:val="000000"/>
          <w:sz w:val="20"/>
          <w:szCs w:val="20"/>
        </w:rPr>
        <w:t>Through our acquisitions or joint ventures, we may also assume unknown or undisclosed business, operational, tax, regulatory and other liabilities, fail to properly assess known contingent liabilities or assume busine</w:t>
      </w:r>
      <w:r>
        <w:rPr>
          <w:rFonts w:ascii="Arial" w:eastAsia="宋体" w:hAnsi="Arial" w:cs="Arial"/>
          <w:color w:val="000000"/>
          <w:sz w:val="20"/>
          <w:szCs w:val="20"/>
        </w:rPr>
        <w:t>sses with internal control deficiencies. While in most of our transactions we seek to mitigate these risks through, among other things, due diligence, indemnification provisions or insurance, these or other risk-mitigating provisions we put in place may no</w:t>
      </w:r>
      <w:r>
        <w:rPr>
          <w:rFonts w:ascii="Arial" w:eastAsia="宋体" w:hAnsi="Arial" w:cs="Arial"/>
          <w:color w:val="000000"/>
          <w:sz w:val="20"/>
          <w:szCs w:val="20"/>
        </w:rPr>
        <w:t>t be sufficient to address these liabilities and contingencies and involve credit and execution risks associated with successfully seeking recourse from a third party, such as the seller or an insurance provider. Other major financial services firms have p</w:t>
      </w:r>
      <w:r>
        <w:rPr>
          <w:rFonts w:ascii="Arial" w:eastAsia="宋体" w:hAnsi="Arial" w:cs="Arial"/>
          <w:color w:val="000000"/>
          <w:sz w:val="20"/>
          <w:szCs w:val="20"/>
        </w:rPr>
        <w:t>aid significant penalties to resolve government investigations into matters conducted in significant part by acquired entities.</w:t>
      </w:r>
    </w:p>
    <w:p w14:paraId="5F2C9D14" w14:textId="77777777" w:rsidR="00E836FB" w:rsidRDefault="00994958">
      <w:pPr>
        <w:spacing w:before="60"/>
        <w:ind w:firstLine="450"/>
        <w:jc w:val="both"/>
        <w:textAlignment w:val="top"/>
      </w:pPr>
      <w:r>
        <w:rPr>
          <w:rFonts w:ascii="Arial" w:eastAsia="宋体" w:hAnsi="Arial" w:cs="Arial"/>
          <w:color w:val="000000"/>
          <w:sz w:val="20"/>
          <w:szCs w:val="20"/>
        </w:rPr>
        <w:t>Various regulatory approvals or consents, formal or informal, are generally required prior to closing of these transactions, whi</w:t>
      </w:r>
      <w:r>
        <w:rPr>
          <w:rFonts w:ascii="Arial" w:eastAsia="宋体" w:hAnsi="Arial" w:cs="Arial"/>
          <w:color w:val="000000"/>
          <w:sz w:val="20"/>
          <w:szCs w:val="20"/>
        </w:rPr>
        <w:t xml:space="preserve">ch may include approvals, non-objections or regulatory exceptions from the </w:t>
      </w:r>
    </w:p>
    <w:p w14:paraId="5F2C9D15" w14:textId="77777777" w:rsidR="00E836FB" w:rsidRDefault="00994958">
      <w:pPr>
        <w:spacing w:before="60"/>
        <w:jc w:val="both"/>
        <w:textAlignment w:val="top"/>
      </w:pPr>
      <w:r>
        <w:rPr>
          <w:rFonts w:ascii="Arial" w:eastAsia="宋体" w:hAnsi="Arial" w:cs="Arial"/>
          <w:color w:val="000000"/>
          <w:sz w:val="20"/>
          <w:szCs w:val="20"/>
        </w:rPr>
        <w:t>Federal Reserve and other domestic and non-U.S. regulatory authorities. These regulatory authorities may impose conditions on the completion of the acquisition or require changes t</w:t>
      </w:r>
      <w:r>
        <w:rPr>
          <w:rFonts w:ascii="Arial" w:eastAsia="宋体" w:hAnsi="Arial" w:cs="Arial"/>
          <w:color w:val="000000"/>
          <w:sz w:val="20"/>
          <w:szCs w:val="20"/>
        </w:rPr>
        <w:t xml:space="preserve">o its terms that materially affect the terms of the transaction or our ability to capture some of the opportunities presented by the transaction, or may not approve the transaction. Any such conditions, or any associated regulatory delays, could limit the </w:t>
      </w:r>
      <w:r>
        <w:rPr>
          <w:rFonts w:ascii="Arial" w:eastAsia="宋体" w:hAnsi="Arial" w:cs="Arial"/>
          <w:color w:val="000000"/>
          <w:sz w:val="20"/>
          <w:szCs w:val="20"/>
        </w:rPr>
        <w:t>benefits of the transaction. Acquisitions or joint ventures we announce may not be completed if we do not receive the required regulatory approvals, if regulatory approvals are significantly delayed or if other closing conditions are not satisfied.</w:t>
      </w:r>
    </w:p>
    <w:p w14:paraId="5F2C9D16" w14:textId="77777777" w:rsidR="00E836FB" w:rsidRDefault="00994958">
      <w:pPr>
        <w:spacing w:before="90"/>
        <w:jc w:val="both"/>
        <w:textAlignment w:val="top"/>
      </w:pPr>
      <w:r>
        <w:rPr>
          <w:rFonts w:ascii="Arial" w:eastAsia="宋体" w:hAnsi="Arial" w:cs="Arial"/>
          <w:b/>
          <w:bCs/>
          <w:color w:val="000000"/>
          <w:sz w:val="20"/>
          <w:szCs w:val="20"/>
        </w:rPr>
        <w:t>The int</w:t>
      </w:r>
      <w:r>
        <w:rPr>
          <w:rFonts w:ascii="Arial" w:eastAsia="宋体" w:hAnsi="Arial" w:cs="Arial"/>
          <w:b/>
          <w:bCs/>
          <w:color w:val="000000"/>
          <w:sz w:val="20"/>
          <w:szCs w:val="20"/>
        </w:rPr>
        <w:t>egration and the retention and development of the benefits of our acquisitions result in risks to our business and other uncertainties.</w:t>
      </w:r>
    </w:p>
    <w:p w14:paraId="5F2C9D17" w14:textId="77777777" w:rsidR="00E836FB" w:rsidRDefault="00994958">
      <w:pPr>
        <w:spacing w:before="60"/>
        <w:ind w:firstLine="450"/>
        <w:jc w:val="both"/>
        <w:textAlignment w:val="top"/>
      </w:pPr>
      <w:r>
        <w:rPr>
          <w:rFonts w:ascii="Arial" w:eastAsia="宋体" w:hAnsi="Arial" w:cs="Arial"/>
          <w:color w:val="000000"/>
          <w:sz w:val="20"/>
          <w:szCs w:val="20"/>
        </w:rPr>
        <w:t>In recent years, we have undertaken several acquisitions, including our 2018 acquisition of CRD and our 2016 acquisition</w:t>
      </w:r>
      <w:r>
        <w:rPr>
          <w:rFonts w:ascii="Arial" w:eastAsia="宋体" w:hAnsi="Arial" w:cs="Arial"/>
          <w:color w:val="000000"/>
          <w:sz w:val="20"/>
          <w:szCs w:val="20"/>
        </w:rPr>
        <w:t xml:space="preserve"> of the General Electric Asset Management business. Our planned acquisition of the BBH Investors Services business is pending regulatory review. The integration of acquisitions presents risks that differ from the risks associated with our ongoing operation</w:t>
      </w:r>
      <w:r>
        <w:rPr>
          <w:rFonts w:ascii="Arial" w:eastAsia="宋体" w:hAnsi="Arial" w:cs="Arial"/>
          <w:color w:val="000000"/>
          <w:sz w:val="20"/>
          <w:szCs w:val="20"/>
        </w:rPr>
        <w:t>s. Integration activities are complicated and time consuming and can involve significant unforeseen costs. We may not be able to effectively assimilate services, technologies, key personnel or businesses of acquired companies into our business or service o</w:t>
      </w:r>
      <w:r>
        <w:rPr>
          <w:rFonts w:ascii="Arial" w:eastAsia="宋体" w:hAnsi="Arial" w:cs="Arial"/>
          <w:color w:val="000000"/>
          <w:sz w:val="20"/>
          <w:szCs w:val="20"/>
        </w:rPr>
        <w:t>fferings as anticipated, and we may not achieve related revenue growth or cost savings. We also face the risk of being unable to retain, or cross-sell our products or services to, the clients of acquired companies or joint ventures and the risk of being un</w:t>
      </w:r>
      <w:r>
        <w:rPr>
          <w:rFonts w:ascii="Arial" w:eastAsia="宋体" w:hAnsi="Arial" w:cs="Arial"/>
          <w:color w:val="000000"/>
          <w:sz w:val="20"/>
          <w:szCs w:val="20"/>
        </w:rPr>
        <w:t>able to cross-sell acquired products or services to our existing clients. In particular, some clients, including significant clients, of an acquired business may have the right to transition their business to other providers on short notice for convenience</w:t>
      </w:r>
      <w:r>
        <w:rPr>
          <w:rFonts w:ascii="Arial" w:eastAsia="宋体" w:hAnsi="Arial" w:cs="Arial"/>
          <w:color w:val="000000"/>
          <w:sz w:val="20"/>
          <w:szCs w:val="20"/>
        </w:rPr>
        <w:t>, fiduciary or other reasons and may take the opportunity of the acquisition or market, commercial, relationship, service satisfaction or other developments following the acquisition to terminate, reduce or renegotiate the fees or other terms of our relati</w:t>
      </w:r>
      <w:r>
        <w:rPr>
          <w:rFonts w:ascii="Arial" w:eastAsia="宋体" w:hAnsi="Arial" w:cs="Arial"/>
          <w:color w:val="000000"/>
          <w:sz w:val="20"/>
          <w:szCs w:val="20"/>
        </w:rPr>
        <w:t>onship. Any such client losses, reductions or renegotiations likely will reduce the expected benefits of the acquisition, including revenues, cross-selling opportunities and market share, cause impairment to goodwill and other intangibles or result in repu</w:t>
      </w:r>
      <w:r>
        <w:rPr>
          <w:rFonts w:ascii="Arial" w:eastAsia="宋体" w:hAnsi="Arial" w:cs="Arial"/>
          <w:color w:val="000000"/>
          <w:sz w:val="20"/>
          <w:szCs w:val="20"/>
        </w:rPr>
        <w:t>tational harm, which effects could be material, and we may not have recourse against the seller of the business or the client. The risk of client loss is even greater where the client is a competitor of ours. Acquisitions of technology firms can involve ex</w:t>
      </w:r>
      <w:r>
        <w:rPr>
          <w:rFonts w:ascii="Arial" w:eastAsia="宋体" w:hAnsi="Arial" w:cs="Arial"/>
          <w:color w:val="000000"/>
          <w:sz w:val="20"/>
          <w:szCs w:val="20"/>
        </w:rPr>
        <w:t xml:space="preserve">tensive information technology integration, with associated risk of defects, security breaches and resiliency lapses and product enhancement and development activities, the </w:t>
      </w:r>
    </w:p>
    <w:p w14:paraId="5F2C9D18" w14:textId="77777777" w:rsidR="00E836FB" w:rsidRDefault="00994958">
      <w:pPr>
        <w:ind w:firstLine="450"/>
        <w:jc w:val="right"/>
      </w:pPr>
      <w:r>
        <w:rPr>
          <w:rFonts w:ascii="Arial" w:eastAsia="宋体" w:hAnsi="Arial" w:cs="Arial"/>
          <w:color w:val="000000"/>
          <w:sz w:val="18"/>
          <w:szCs w:val="18"/>
        </w:rPr>
        <w:t>State Street Corporation | 27</w:t>
      </w:r>
    </w:p>
    <w:p w14:paraId="5F2C9D19" w14:textId="77777777" w:rsidR="00E836FB" w:rsidRDefault="00E836FB">
      <w:pPr>
        <w:ind w:firstLine="450"/>
        <w:jc w:val="center"/>
      </w:pPr>
    </w:p>
    <w:p w14:paraId="5F2C9D1A" w14:textId="77777777" w:rsidR="00E836FB" w:rsidRDefault="00994958">
      <w:r>
        <w:pict w14:anchorId="5F2D6D9E">
          <v:rect id="_x0000_i1051" style="width:415.3pt;height:1.5pt" o:hralign="center" o:hrstd="t" o:hr="t" fillcolor="#a0a0a0" stroked="f"/>
        </w:pict>
      </w:r>
    </w:p>
    <w:p w14:paraId="5F2C9D1B" w14:textId="77777777" w:rsidR="00E836FB" w:rsidRDefault="00E836FB">
      <w:pPr>
        <w:ind w:firstLine="450"/>
      </w:pPr>
    </w:p>
    <w:p w14:paraId="5F2C9D1C" w14:textId="77777777" w:rsidR="00E836FB" w:rsidRDefault="00994958">
      <w:pPr>
        <w:spacing w:before="60"/>
        <w:jc w:val="both"/>
        <w:textAlignment w:val="top"/>
      </w:pPr>
      <w:r>
        <w:rPr>
          <w:rFonts w:ascii="Arial" w:eastAsia="宋体" w:hAnsi="Arial" w:cs="Arial"/>
          <w:color w:val="000000"/>
          <w:sz w:val="20"/>
          <w:szCs w:val="20"/>
        </w:rPr>
        <w:t xml:space="preserve">costs of which can be difficult to estimate, as </w:t>
      </w:r>
      <w:r>
        <w:rPr>
          <w:rFonts w:ascii="Arial" w:eastAsia="宋体" w:hAnsi="Arial" w:cs="Arial"/>
          <w:color w:val="000000"/>
          <w:sz w:val="20"/>
          <w:szCs w:val="20"/>
        </w:rPr>
        <w:t>well as heightened cultural and compliance concerns in integrating an unregulated firm into a bank regulatory environment. Acquisitions of Investment Servicing businesses entail information technology systems conversions, which involve operational risks, a</w:t>
      </w:r>
      <w:r>
        <w:rPr>
          <w:rFonts w:ascii="Arial" w:eastAsia="宋体" w:hAnsi="Arial" w:cs="Arial"/>
          <w:color w:val="000000"/>
          <w:sz w:val="20"/>
          <w:szCs w:val="20"/>
        </w:rPr>
        <w:t xml:space="preserve">s well as fiduciary and other risks associated with client retention. Acquisitions of Asset Management businesses similarly involve fiduciary and similar risks associated with client retention, distribution channels and additional servicing opportunities. </w:t>
      </w:r>
      <w:r>
        <w:rPr>
          <w:rFonts w:ascii="Arial" w:eastAsia="宋体" w:hAnsi="Arial" w:cs="Arial"/>
          <w:color w:val="000000"/>
          <w:sz w:val="20"/>
          <w:szCs w:val="20"/>
        </w:rPr>
        <w:t>Joint ventures involve all of these risks, as well as risks associated with shared control and decision-making (even in majority-owned situations), minority rights and exit rights, which can delay, challenge or foreclose execution on material opportunities</w:t>
      </w:r>
      <w:r>
        <w:rPr>
          <w:rFonts w:ascii="Arial" w:eastAsia="宋体" w:hAnsi="Arial" w:cs="Arial"/>
          <w:color w:val="000000"/>
          <w:sz w:val="20"/>
          <w:szCs w:val="20"/>
        </w:rPr>
        <w:t xml:space="preserve"> or initiatives, create regulatory risks and limit divestment opportunities.</w:t>
      </w:r>
    </w:p>
    <w:p w14:paraId="5F2C9D1D" w14:textId="77777777" w:rsidR="00E836FB" w:rsidRDefault="00994958">
      <w:pPr>
        <w:spacing w:before="60"/>
        <w:ind w:firstLine="450"/>
        <w:jc w:val="both"/>
        <w:textAlignment w:val="top"/>
      </w:pPr>
      <w:r>
        <w:rPr>
          <w:rFonts w:ascii="Arial" w:eastAsia="宋体" w:hAnsi="Arial" w:cs="Arial"/>
          <w:color w:val="000000"/>
          <w:sz w:val="20"/>
          <w:szCs w:val="20"/>
        </w:rPr>
        <w:t>With any acquisition, the integration of the operations and resources of the businesses could result in the loss of key employees, the disruption of our and the acquired company's</w:t>
      </w:r>
      <w:r>
        <w:rPr>
          <w:rFonts w:ascii="Arial" w:eastAsia="宋体" w:hAnsi="Arial" w:cs="Arial"/>
          <w:color w:val="000000"/>
          <w:sz w:val="20"/>
          <w:szCs w:val="20"/>
        </w:rPr>
        <w:t xml:space="preserve"> ongoing businesses or inconsistencies in standards, controls, procedures or policies that could adversely affect our ability to maintain relationships with clients, business partners or employees, maintain regulatory compliance or achieve the anticipated </w:t>
      </w:r>
      <w:r>
        <w:rPr>
          <w:rFonts w:ascii="Arial" w:eastAsia="宋体" w:hAnsi="Arial" w:cs="Arial"/>
          <w:color w:val="000000"/>
          <w:sz w:val="20"/>
          <w:szCs w:val="20"/>
        </w:rPr>
        <w:t>benefits of the acquisition. Integration efforts may also divert management attention and resources.</w:t>
      </w:r>
    </w:p>
    <w:p w14:paraId="5F2C9D1E" w14:textId="77777777" w:rsidR="00E836FB" w:rsidRDefault="00994958">
      <w:pPr>
        <w:spacing w:before="90"/>
        <w:jc w:val="both"/>
        <w:textAlignment w:val="top"/>
      </w:pPr>
      <w:r>
        <w:rPr>
          <w:rFonts w:ascii="Arial" w:eastAsia="宋体" w:hAnsi="Arial" w:cs="Arial"/>
          <w:b/>
          <w:bCs/>
          <w:color w:val="000000"/>
          <w:sz w:val="20"/>
          <w:szCs w:val="20"/>
        </w:rPr>
        <w:t>Competition for qualified members of our workforce is intense, and we may not be able to attract and retain the personnel we need to support our business.</w:t>
      </w:r>
    </w:p>
    <w:p w14:paraId="5F2C9D1F" w14:textId="77777777" w:rsidR="00E836FB" w:rsidRDefault="00994958">
      <w:pPr>
        <w:ind w:firstLine="450"/>
        <w:jc w:val="both"/>
        <w:textAlignment w:val="top"/>
      </w:pPr>
      <w:r>
        <w:rPr>
          <w:rFonts w:ascii="Arial" w:eastAsia="宋体" w:hAnsi="Arial" w:cs="Arial"/>
          <w:color w:val="000000"/>
          <w:sz w:val="20"/>
          <w:szCs w:val="20"/>
        </w:rPr>
        <w:t>Our success depends, in large part, on our ability to attract and retain qualified personnel. Competition for labor in most activities in which we engage can be intense, including for both individuals identified as key talent and for other personnel. We ma</w:t>
      </w:r>
      <w:r>
        <w:rPr>
          <w:rFonts w:ascii="Arial" w:eastAsia="宋体" w:hAnsi="Arial" w:cs="Arial"/>
          <w:color w:val="000000"/>
          <w:sz w:val="20"/>
          <w:szCs w:val="20"/>
        </w:rPr>
        <w:t xml:space="preserve">y not be able to hire people or retain them, particularly in light of challenges associated with compensation restrictions applicable, or which may become applicable, to banks and some asset managers and that are not applicable to other financial services </w:t>
      </w:r>
      <w:r>
        <w:rPr>
          <w:rFonts w:ascii="Arial" w:eastAsia="宋体" w:hAnsi="Arial" w:cs="Arial"/>
          <w:color w:val="000000"/>
          <w:sz w:val="20"/>
          <w:szCs w:val="20"/>
        </w:rPr>
        <w:t>firms in all jurisdictions or to technology or other firms with which we compete for personnel, generally. This can be particularly constraining when competing for skill sets which are in high demand, such as technology and information security. The unexpe</w:t>
      </w:r>
      <w:r>
        <w:rPr>
          <w:rFonts w:ascii="Arial" w:eastAsia="宋体" w:hAnsi="Arial" w:cs="Arial"/>
          <w:color w:val="000000"/>
          <w:sz w:val="20"/>
          <w:szCs w:val="20"/>
        </w:rPr>
        <w:t>cted loss of services of personnel in business units, control functions, information technology, operations or other areas could have a material adverse impact on our business and operations because of the loss of skills, knowledge of our markets, operatio</w:t>
      </w:r>
      <w:r>
        <w:rPr>
          <w:rFonts w:ascii="Arial" w:eastAsia="宋体" w:hAnsi="Arial" w:cs="Arial"/>
          <w:color w:val="000000"/>
          <w:sz w:val="20"/>
          <w:szCs w:val="20"/>
        </w:rPr>
        <w:t>ns and clients, years of industry experience and, in some cases, the difficulty of promptly finding qualified replacement personnel. These adverse impacts may be exacerbated by increased costs and expenses driven by the current competitive labor market par</w:t>
      </w:r>
      <w:r>
        <w:rPr>
          <w:rFonts w:ascii="Arial" w:eastAsia="宋体" w:hAnsi="Arial" w:cs="Arial"/>
          <w:color w:val="000000"/>
          <w:sz w:val="20"/>
          <w:szCs w:val="20"/>
        </w:rPr>
        <w:t xml:space="preserve">ticularly with regard to the ability to meet compensation </w:t>
      </w:r>
    </w:p>
    <w:p w14:paraId="5F2C9D20" w14:textId="77777777" w:rsidR="00E836FB" w:rsidRDefault="00994958">
      <w:pPr>
        <w:jc w:val="both"/>
        <w:textAlignment w:val="top"/>
      </w:pPr>
      <w:r>
        <w:rPr>
          <w:rFonts w:ascii="Arial" w:eastAsia="宋体" w:hAnsi="Arial" w:cs="Arial"/>
          <w:color w:val="000000"/>
          <w:sz w:val="20"/>
          <w:szCs w:val="20"/>
        </w:rPr>
        <w:t>expectations, elevated inflationary pressures and increased costs associated with attracting, retaining and engaging personnel. In addition, the loss of personnel, either individually or as a group</w:t>
      </w:r>
      <w:r>
        <w:rPr>
          <w:rFonts w:ascii="Arial" w:eastAsia="宋体" w:hAnsi="Arial" w:cs="Arial"/>
          <w:color w:val="000000"/>
          <w:sz w:val="20"/>
          <w:szCs w:val="20"/>
        </w:rPr>
        <w:t>, could adversely affect our clients' perception of our ability to continue to manage certain types of investment management or servicing mandates to provide other services to them or to maintain a culture of innovation and proficiency.</w:t>
      </w:r>
    </w:p>
    <w:p w14:paraId="5F2C9D21" w14:textId="77777777" w:rsidR="00E836FB" w:rsidRDefault="00994958">
      <w:pPr>
        <w:spacing w:before="90"/>
        <w:jc w:val="both"/>
        <w:textAlignment w:val="top"/>
      </w:pPr>
      <w:r>
        <w:rPr>
          <w:rFonts w:ascii="Arial" w:eastAsia="宋体" w:hAnsi="Arial" w:cs="Arial"/>
          <w:b/>
          <w:bCs/>
          <w:color w:val="000000"/>
          <w:sz w:val="20"/>
          <w:szCs w:val="20"/>
        </w:rPr>
        <w:t>Financial Market Ri</w:t>
      </w:r>
      <w:r>
        <w:rPr>
          <w:rFonts w:ascii="Arial" w:eastAsia="宋体" w:hAnsi="Arial" w:cs="Arial"/>
          <w:b/>
          <w:bCs/>
          <w:color w:val="000000"/>
          <w:sz w:val="20"/>
          <w:szCs w:val="20"/>
        </w:rPr>
        <w:t xml:space="preserve">sks </w:t>
      </w:r>
    </w:p>
    <w:p w14:paraId="5F2C9D22" w14:textId="77777777" w:rsidR="00E836FB" w:rsidRDefault="00994958">
      <w:pPr>
        <w:spacing w:before="90"/>
        <w:jc w:val="both"/>
        <w:textAlignment w:val="top"/>
      </w:pPr>
      <w:r>
        <w:rPr>
          <w:rFonts w:ascii="Arial" w:eastAsia="宋体" w:hAnsi="Arial" w:cs="Arial"/>
          <w:b/>
          <w:bCs/>
          <w:color w:val="000000"/>
          <w:sz w:val="20"/>
          <w:szCs w:val="20"/>
        </w:rPr>
        <w:t>Geopolitical and economic conditions and developments could adversely affect us, particularly if we face increased uncertainty and unpredictability in managing our businesses.</w:t>
      </w:r>
    </w:p>
    <w:p w14:paraId="5F2C9D23" w14:textId="77777777" w:rsidR="00E836FB" w:rsidRDefault="00994958">
      <w:pPr>
        <w:spacing w:before="60"/>
        <w:ind w:firstLine="450"/>
        <w:jc w:val="both"/>
        <w:textAlignment w:val="top"/>
      </w:pPr>
      <w:r>
        <w:rPr>
          <w:rFonts w:ascii="Arial" w:eastAsia="宋体" w:hAnsi="Arial" w:cs="Arial"/>
          <w:color w:val="000000"/>
          <w:sz w:val="20"/>
          <w:szCs w:val="20"/>
        </w:rPr>
        <w:t>Global financial markets can suffer from substantial volatility, illiquidit</w:t>
      </w:r>
      <w:r>
        <w:rPr>
          <w:rFonts w:ascii="Arial" w:eastAsia="宋体" w:hAnsi="Arial" w:cs="Arial"/>
          <w:color w:val="000000"/>
          <w:sz w:val="20"/>
          <w:szCs w:val="20"/>
        </w:rPr>
        <w:t xml:space="preserve">y and disruption, particularly as a result of geopolitical disruptions, slower economic growth and a shifting monetary policy stance from key central banks. If such volatility, illiquidity or disruption were to result in an adverse economic environment in </w:t>
      </w:r>
      <w:r>
        <w:rPr>
          <w:rFonts w:ascii="Arial" w:eastAsia="宋体" w:hAnsi="Arial" w:cs="Arial"/>
          <w:color w:val="000000"/>
          <w:sz w:val="20"/>
          <w:szCs w:val="20"/>
        </w:rPr>
        <w:t>the U.S. or internationally or result in a lack of confidence in the financial stability of major developed or emerging markets, such developments could have an adverse effect on our business, as well as the businesses of our clients and our significant co</w:t>
      </w:r>
      <w:r>
        <w:rPr>
          <w:rFonts w:ascii="Arial" w:eastAsia="宋体" w:hAnsi="Arial" w:cs="Arial"/>
          <w:color w:val="000000"/>
          <w:sz w:val="20"/>
          <w:szCs w:val="20"/>
        </w:rPr>
        <w:t>unterparties, and could also increase the difficulty and unpredictability of aligning our business strategies, our infrastructure and our operating costs in light of uncertain market and economic conditions. These risks could be compounded by tighter monet</w:t>
      </w:r>
      <w:r>
        <w:rPr>
          <w:rFonts w:ascii="Arial" w:eastAsia="宋体" w:hAnsi="Arial" w:cs="Arial"/>
          <w:color w:val="000000"/>
          <w:sz w:val="20"/>
          <w:szCs w:val="20"/>
        </w:rPr>
        <w:t>ary policy conditions, disruptions to free trade and political uncertainty in the U.S. and internationally.</w:t>
      </w:r>
    </w:p>
    <w:p w14:paraId="5F2C9D24" w14:textId="77777777" w:rsidR="00E836FB" w:rsidRDefault="00994958">
      <w:pPr>
        <w:spacing w:before="60"/>
        <w:ind w:firstLine="450"/>
        <w:jc w:val="both"/>
        <w:textAlignment w:val="top"/>
      </w:pPr>
      <w:r>
        <w:rPr>
          <w:rFonts w:ascii="Arial" w:eastAsia="宋体" w:hAnsi="Arial" w:cs="Arial"/>
          <w:color w:val="000000"/>
          <w:sz w:val="20"/>
          <w:szCs w:val="20"/>
        </w:rPr>
        <w:t>Market disruptions can adversely affect our consolidated results of operations if the value of our AUC/A or AUM decline, while the costs of providin</w:t>
      </w:r>
      <w:r>
        <w:rPr>
          <w:rFonts w:ascii="Arial" w:eastAsia="宋体" w:hAnsi="Arial" w:cs="Arial"/>
          <w:color w:val="000000"/>
          <w:sz w:val="20"/>
          <w:szCs w:val="20"/>
        </w:rPr>
        <w:t>g the related services remain constant or increase. They may also result in investor preference trends towards asset classes and markets deemed more secure, such as cash or non-emerging markets, with respect to which our fee rates are often lower. These fa</w:t>
      </w:r>
      <w:r>
        <w:rPr>
          <w:rFonts w:ascii="Arial" w:eastAsia="宋体" w:hAnsi="Arial" w:cs="Arial"/>
          <w:color w:val="000000"/>
          <w:sz w:val="20"/>
          <w:szCs w:val="20"/>
        </w:rPr>
        <w:t xml:space="preserve">ctors could reduce the profitability of our asset-based fee revenue and could also adversely affect our transaction-based revenue, such as revenues from securities finance and foreign exchange activities, and the volume of transactions that we execute for </w:t>
      </w:r>
      <w:r>
        <w:rPr>
          <w:rFonts w:ascii="Arial" w:eastAsia="宋体" w:hAnsi="Arial" w:cs="Arial"/>
          <w:color w:val="000000"/>
          <w:sz w:val="20"/>
          <w:szCs w:val="20"/>
        </w:rPr>
        <w:t>or with our clients. Further, the degree of volatility in foreign exchange rates can affect our foreign exchange trading revenue. In general, increased currency volatility tends to increase our market risk but also increases our opportunity to generate for</w:t>
      </w:r>
      <w:r>
        <w:rPr>
          <w:rFonts w:ascii="Arial" w:eastAsia="宋体" w:hAnsi="Arial" w:cs="Arial"/>
          <w:color w:val="000000"/>
          <w:sz w:val="20"/>
          <w:szCs w:val="20"/>
        </w:rPr>
        <w:t>eign exchange revenue. Conversely, periods of lower currency volatility tend to decrease our market risk but also decrease our foreign exchange revenue.</w:t>
      </w:r>
    </w:p>
    <w:p w14:paraId="5F2C9D25" w14:textId="77777777" w:rsidR="00E836FB" w:rsidRDefault="00994958">
      <w:pPr>
        <w:spacing w:before="60"/>
        <w:ind w:firstLine="450"/>
        <w:jc w:val="both"/>
        <w:textAlignment w:val="top"/>
      </w:pPr>
      <w:r>
        <w:rPr>
          <w:rFonts w:ascii="Arial" w:eastAsia="宋体" w:hAnsi="Arial" w:cs="Arial"/>
          <w:color w:val="000000"/>
          <w:sz w:val="20"/>
          <w:szCs w:val="20"/>
        </w:rPr>
        <w:t xml:space="preserve">In addition, as our business grows globally and a significant percentage of our revenue is earned (and of our expenses paid) in currencies other than U.S. </w:t>
      </w:r>
    </w:p>
    <w:p w14:paraId="5F2C9D26" w14:textId="77777777" w:rsidR="00E836FB" w:rsidRDefault="00994958">
      <w:pPr>
        <w:ind w:firstLine="450"/>
        <w:jc w:val="right"/>
      </w:pPr>
      <w:r>
        <w:rPr>
          <w:rFonts w:ascii="Arial" w:eastAsia="宋体" w:hAnsi="Arial" w:cs="Arial"/>
          <w:color w:val="000000"/>
          <w:sz w:val="18"/>
          <w:szCs w:val="18"/>
        </w:rPr>
        <w:t>State Street Corporation | 28</w:t>
      </w:r>
    </w:p>
    <w:p w14:paraId="5F2C9D27" w14:textId="77777777" w:rsidR="00E836FB" w:rsidRDefault="00E836FB">
      <w:pPr>
        <w:ind w:firstLine="450"/>
        <w:jc w:val="center"/>
      </w:pPr>
    </w:p>
    <w:p w14:paraId="5F2C9D28" w14:textId="77777777" w:rsidR="00E836FB" w:rsidRDefault="00994958">
      <w:r>
        <w:pict w14:anchorId="5F2D6D9F">
          <v:rect id="_x0000_i1052" style="width:415.3pt;height:1.5pt" o:hralign="center" o:hrstd="t" o:hr="t" fillcolor="#a0a0a0" stroked="f"/>
        </w:pict>
      </w:r>
    </w:p>
    <w:p w14:paraId="5F2C9D29" w14:textId="77777777" w:rsidR="00E836FB" w:rsidRDefault="00E836FB">
      <w:pPr>
        <w:ind w:firstLine="450"/>
      </w:pPr>
    </w:p>
    <w:p w14:paraId="5F2C9D2A" w14:textId="77777777" w:rsidR="00E836FB" w:rsidRDefault="00994958">
      <w:pPr>
        <w:spacing w:before="60"/>
        <w:jc w:val="both"/>
        <w:textAlignment w:val="top"/>
      </w:pPr>
      <w:r>
        <w:rPr>
          <w:rFonts w:ascii="Arial" w:eastAsia="宋体" w:hAnsi="Arial" w:cs="Arial"/>
          <w:color w:val="000000"/>
          <w:sz w:val="20"/>
          <w:szCs w:val="20"/>
        </w:rPr>
        <w:t xml:space="preserve">dollars, our exposure to foreign currency volatility could affect </w:t>
      </w:r>
      <w:r>
        <w:rPr>
          <w:rFonts w:ascii="Arial" w:eastAsia="宋体" w:hAnsi="Arial" w:cs="Arial"/>
          <w:color w:val="000000"/>
          <w:sz w:val="20"/>
          <w:szCs w:val="20"/>
        </w:rPr>
        <w:t>our levels of consolidated revenue, our consolidated expenses and our consolidated results of operations, as well as the value of our investment in our non-U.S. operations and our non-U.S. investment portfolio holdings. The extent to which changes in the s</w:t>
      </w:r>
      <w:r>
        <w:rPr>
          <w:rFonts w:ascii="Arial" w:eastAsia="宋体" w:hAnsi="Arial" w:cs="Arial"/>
          <w:color w:val="000000"/>
          <w:sz w:val="20"/>
          <w:szCs w:val="20"/>
        </w:rPr>
        <w:t>trength of the U.S. dollar relative to other currencies affect our consolidated results of operations, including the degree of any offset between increases or decreases to both revenue and expenses, will depend upon the nature and scope of our operations a</w:t>
      </w:r>
      <w:r>
        <w:rPr>
          <w:rFonts w:ascii="Arial" w:eastAsia="宋体" w:hAnsi="Arial" w:cs="Arial"/>
          <w:color w:val="000000"/>
          <w:sz w:val="20"/>
          <w:szCs w:val="20"/>
        </w:rPr>
        <w:t>nd activities in the relevant jurisdictions during the relevant periods, which may vary from period to period.</w:t>
      </w:r>
    </w:p>
    <w:p w14:paraId="5F2C9D2B" w14:textId="77777777" w:rsidR="00E836FB" w:rsidRDefault="00994958">
      <w:pPr>
        <w:spacing w:before="60"/>
        <w:ind w:firstLine="450"/>
        <w:jc w:val="both"/>
        <w:textAlignment w:val="top"/>
      </w:pPr>
      <w:r>
        <w:rPr>
          <w:rFonts w:ascii="Arial" w:eastAsia="宋体" w:hAnsi="Arial" w:cs="Arial"/>
          <w:color w:val="000000"/>
          <w:sz w:val="20"/>
          <w:szCs w:val="20"/>
        </w:rPr>
        <w:t>As our product offerings expand, in part as we seek to take advantage of perceived opportunities arising under various regulatory reforms and res</w:t>
      </w:r>
      <w:r>
        <w:rPr>
          <w:rFonts w:ascii="Arial" w:eastAsia="宋体" w:hAnsi="Arial" w:cs="Arial"/>
          <w:color w:val="000000"/>
          <w:sz w:val="20"/>
          <w:szCs w:val="20"/>
        </w:rPr>
        <w:t xml:space="preserve">ulting market changes, the degree of our exposure to various market and credit risks will evolve, potentially resulting in greater revenue volatility. </w:t>
      </w:r>
    </w:p>
    <w:p w14:paraId="5F2C9D2C" w14:textId="77777777" w:rsidR="00E836FB" w:rsidRDefault="00994958">
      <w:pPr>
        <w:spacing w:before="90"/>
        <w:jc w:val="both"/>
        <w:textAlignment w:val="top"/>
      </w:pPr>
      <w:r>
        <w:rPr>
          <w:rFonts w:ascii="Arial" w:eastAsia="宋体" w:hAnsi="Arial" w:cs="Arial"/>
          <w:b/>
          <w:bCs/>
          <w:color w:val="000000"/>
          <w:sz w:val="20"/>
          <w:szCs w:val="20"/>
        </w:rPr>
        <w:t>Our businesses have significant International operations, and disruptions in European and Asian economie</w:t>
      </w:r>
      <w:r>
        <w:rPr>
          <w:rFonts w:ascii="Arial" w:eastAsia="宋体" w:hAnsi="Arial" w:cs="Arial"/>
          <w:b/>
          <w:bCs/>
          <w:color w:val="000000"/>
          <w:sz w:val="20"/>
          <w:szCs w:val="20"/>
        </w:rPr>
        <w:t>s could have an adverse effect on our consolidated results of operations or financial condition.</w:t>
      </w:r>
    </w:p>
    <w:p w14:paraId="5F2C9D2D" w14:textId="77777777" w:rsidR="00E836FB" w:rsidRDefault="00994958">
      <w:pPr>
        <w:spacing w:before="60"/>
        <w:ind w:firstLine="450"/>
        <w:jc w:val="both"/>
        <w:textAlignment w:val="top"/>
      </w:pPr>
      <w:r>
        <w:rPr>
          <w:rFonts w:ascii="Arial" w:eastAsia="宋体" w:hAnsi="Arial" w:cs="Arial"/>
          <w:color w:val="000000"/>
          <w:sz w:val="20"/>
          <w:szCs w:val="20"/>
        </w:rPr>
        <w:t>Economic conditions across the world face continued uncertainty due to among other things, COVID-19 pandemic fluctuations, global supply chain challenges, empl</w:t>
      </w:r>
      <w:r>
        <w:rPr>
          <w:rFonts w:ascii="Arial" w:eastAsia="宋体" w:hAnsi="Arial" w:cs="Arial"/>
          <w:color w:val="000000"/>
          <w:sz w:val="20"/>
          <w:szCs w:val="20"/>
        </w:rPr>
        <w:t>oyment pressures in services sectors, increased geopolitical risk in Ukraine, and heightened volatility in key emerging market economies. New or continued economic deterioration will renew concerns about sovereign debt sustainability, interdependencies amo</w:t>
      </w:r>
      <w:r>
        <w:rPr>
          <w:rFonts w:ascii="Arial" w:eastAsia="宋体" w:hAnsi="Arial" w:cs="Arial"/>
          <w:color w:val="000000"/>
          <w:sz w:val="20"/>
          <w:szCs w:val="20"/>
        </w:rPr>
        <w:t>ng financial institutions and sovereigns, and political and other risks, particularly as many global central banks begin to withdraw stimulus measures deployed during the peak of the COVID-19 pandemic or implement differing monetary policy. Continued uncer</w:t>
      </w:r>
      <w:r>
        <w:rPr>
          <w:rFonts w:ascii="Arial" w:eastAsia="宋体" w:hAnsi="Arial" w:cs="Arial"/>
          <w:color w:val="000000"/>
          <w:sz w:val="20"/>
          <w:szCs w:val="20"/>
        </w:rPr>
        <w:t>tainty in the external environment has led to increased concern around the near- to medium-term outlook for economic progress in the regions in which we operate, including Europe and Asia.</w:t>
      </w:r>
    </w:p>
    <w:p w14:paraId="5F2C9D2E" w14:textId="77777777" w:rsidR="00E836FB" w:rsidRDefault="00994958">
      <w:pPr>
        <w:spacing w:before="60"/>
        <w:ind w:firstLine="450"/>
        <w:jc w:val="both"/>
        <w:textAlignment w:val="top"/>
      </w:pPr>
      <w:r>
        <w:rPr>
          <w:rFonts w:ascii="Arial" w:eastAsia="宋体" w:hAnsi="Arial" w:cs="Arial"/>
          <w:color w:val="000000"/>
          <w:sz w:val="20"/>
          <w:szCs w:val="20"/>
        </w:rPr>
        <w:t>In addition, uncertainty around implications of the United Kingdom'</w:t>
      </w:r>
      <w:r>
        <w:rPr>
          <w:rFonts w:ascii="Arial" w:eastAsia="宋体" w:hAnsi="Arial" w:cs="Arial"/>
          <w:color w:val="000000"/>
          <w:sz w:val="20"/>
          <w:szCs w:val="20"/>
        </w:rPr>
        <w:t>s exit from the E.U., known as Brexit, and related developments, present risks which include potential negative impacts to economic activity or to cooperation in the future relationship between the U.K. and E.U. and the resulting consequences for market ac</w:t>
      </w:r>
      <w:r>
        <w:rPr>
          <w:rFonts w:ascii="Arial" w:eastAsia="宋体" w:hAnsi="Arial" w:cs="Arial"/>
          <w:color w:val="000000"/>
          <w:sz w:val="20"/>
          <w:szCs w:val="20"/>
        </w:rPr>
        <w:t>cess for financial services. In order to conform to anticipated restrictions on activity between the E.U. and the U.K. following Brexit, we have developed and implemented plans that seek to maintain our servicing and operational capabilities, in all materi</w:t>
      </w:r>
      <w:r>
        <w:rPr>
          <w:rFonts w:ascii="Arial" w:eastAsia="宋体" w:hAnsi="Arial" w:cs="Arial"/>
          <w:color w:val="000000"/>
          <w:sz w:val="20"/>
          <w:szCs w:val="20"/>
        </w:rPr>
        <w:t xml:space="preserve">al respects, independent of the final outcome. There can be no assurance, however, that our plans will address effectively, in whole or in part, all potential contingencies associated with Brexit or that we may </w:t>
      </w:r>
    </w:p>
    <w:p w14:paraId="5F2C9D2F" w14:textId="77777777" w:rsidR="00E836FB" w:rsidRDefault="00994958">
      <w:pPr>
        <w:spacing w:before="60"/>
        <w:jc w:val="both"/>
        <w:textAlignment w:val="top"/>
      </w:pPr>
      <w:r>
        <w:rPr>
          <w:rFonts w:ascii="Arial" w:eastAsia="宋体" w:hAnsi="Arial" w:cs="Arial"/>
          <w:color w:val="000000"/>
          <w:sz w:val="20"/>
          <w:szCs w:val="20"/>
        </w:rPr>
        <w:t>not experience additional costs or inefficie</w:t>
      </w:r>
      <w:r>
        <w:rPr>
          <w:rFonts w:ascii="Arial" w:eastAsia="宋体" w:hAnsi="Arial" w:cs="Arial"/>
          <w:color w:val="000000"/>
          <w:sz w:val="20"/>
          <w:szCs w:val="20"/>
        </w:rPr>
        <w:t xml:space="preserve">ncies associated with our European activities or client dissatisfaction, delays in receiving regulatory approvals or other difficulties in executing our regional strategy. </w:t>
      </w:r>
    </w:p>
    <w:p w14:paraId="5F2C9D30" w14:textId="77777777" w:rsidR="00E836FB" w:rsidRDefault="00994958">
      <w:pPr>
        <w:spacing w:before="60"/>
        <w:ind w:firstLine="450"/>
        <w:jc w:val="both"/>
        <w:textAlignment w:val="top"/>
      </w:pPr>
      <w:r>
        <w:rPr>
          <w:rFonts w:ascii="Arial" w:eastAsia="宋体" w:hAnsi="Arial" w:cs="Arial"/>
          <w:color w:val="000000"/>
          <w:sz w:val="20"/>
          <w:szCs w:val="20"/>
        </w:rPr>
        <w:t>Given the scope of our International operations, economic or market uncertainty, vo</w:t>
      </w:r>
      <w:r>
        <w:rPr>
          <w:rFonts w:ascii="Arial" w:eastAsia="宋体" w:hAnsi="Arial" w:cs="Arial"/>
          <w:color w:val="000000"/>
          <w:sz w:val="20"/>
          <w:szCs w:val="20"/>
        </w:rPr>
        <w:t>latility, illiquidity or disruption resulting from these and related factors could have a material adverse impact on our consolidated results of operations or financial condition.</w:t>
      </w:r>
    </w:p>
    <w:p w14:paraId="5F2C9D31" w14:textId="77777777" w:rsidR="00E836FB" w:rsidRDefault="00994958">
      <w:pPr>
        <w:spacing w:before="90"/>
        <w:jc w:val="both"/>
        <w:textAlignment w:val="top"/>
      </w:pPr>
      <w:r>
        <w:rPr>
          <w:rFonts w:ascii="Arial" w:eastAsia="宋体" w:hAnsi="Arial" w:cs="Arial"/>
          <w:b/>
          <w:bCs/>
          <w:color w:val="000000"/>
          <w:sz w:val="20"/>
          <w:szCs w:val="20"/>
        </w:rPr>
        <w:t>Our investment securities portfolio, consolidated financial condition and co</w:t>
      </w:r>
      <w:r>
        <w:rPr>
          <w:rFonts w:ascii="Arial" w:eastAsia="宋体" w:hAnsi="Arial" w:cs="Arial"/>
          <w:b/>
          <w:bCs/>
          <w:color w:val="000000"/>
          <w:sz w:val="20"/>
          <w:szCs w:val="20"/>
        </w:rPr>
        <w:t>nsolidated results of operations could be adversely affected by changes in market factors, including interest rates, credit spreads and credit performance.</w:t>
      </w:r>
    </w:p>
    <w:p w14:paraId="5F2C9D32" w14:textId="77777777" w:rsidR="00E836FB" w:rsidRDefault="00994958">
      <w:pPr>
        <w:spacing w:before="60"/>
        <w:ind w:firstLine="450"/>
        <w:jc w:val="both"/>
        <w:textAlignment w:val="top"/>
      </w:pPr>
      <w:r>
        <w:rPr>
          <w:rFonts w:ascii="Arial" w:eastAsia="宋体" w:hAnsi="Arial" w:cs="Arial"/>
          <w:color w:val="000000"/>
          <w:sz w:val="20"/>
          <w:szCs w:val="20"/>
        </w:rPr>
        <w:t>Our investment securities portfolio represented approximately 37% of our total assets as of December</w:t>
      </w:r>
      <w:r>
        <w:rPr>
          <w:rFonts w:ascii="Arial" w:eastAsia="宋体" w:hAnsi="Arial" w:cs="Arial"/>
          <w:color w:val="000000"/>
          <w:sz w:val="20"/>
          <w:szCs w:val="20"/>
        </w:rPr>
        <w:t> 31, 2021. The gross interest income associated with our investment portfolio represented approximately 10% of our total gross revenue for the year ended December 31, 2021 and has represented as much as 31% of our total gross revenue in the fiscal years si</w:t>
      </w:r>
      <w:r>
        <w:rPr>
          <w:rFonts w:ascii="Arial" w:eastAsia="宋体" w:hAnsi="Arial" w:cs="Arial"/>
          <w:color w:val="000000"/>
          <w:sz w:val="20"/>
          <w:szCs w:val="20"/>
        </w:rPr>
        <w:t>nce 2007. As such, our consolidated financial condition and results of operations are materially exposed to the risks associated with our investment portfolio, including changes in interest rates, credit spreads, credit performance (including risk of defau</w:t>
      </w:r>
      <w:r>
        <w:rPr>
          <w:rFonts w:ascii="Arial" w:eastAsia="宋体" w:hAnsi="Arial" w:cs="Arial"/>
          <w:color w:val="000000"/>
          <w:sz w:val="20"/>
          <w:szCs w:val="20"/>
        </w:rPr>
        <w:t xml:space="preserve">lt), credit ratings, our access to liquidity, foreign exchange markets and mark- to-market valuations, and our ability to profitably manage changes in repayment rates of principal with respect to our portfolio securities. The low interest rate environment </w:t>
      </w:r>
      <w:r>
        <w:rPr>
          <w:rFonts w:ascii="Arial" w:eastAsia="宋体" w:hAnsi="Arial" w:cs="Arial"/>
          <w:color w:val="000000"/>
          <w:sz w:val="20"/>
          <w:szCs w:val="20"/>
        </w:rPr>
        <w:t>that has persisted since the financial crisis began in mid-2007 limits our ability to achieve a NIM consistent with our prior historical averages. Despite market expectations for higher interest rates, risks remain for further volatility. Managing reinvest</w:t>
      </w:r>
      <w:r>
        <w:rPr>
          <w:rFonts w:ascii="Arial" w:eastAsia="宋体" w:hAnsi="Arial" w:cs="Arial"/>
          <w:color w:val="000000"/>
          <w:sz w:val="20"/>
          <w:szCs w:val="20"/>
        </w:rPr>
        <w:t>ment for both higher and lower rate outcomes will continue to be a challenge. To the extent the Federal Reserve engages in quantitative tightening activities, the market effects and the associated challenges in managing our investment portfolio, consolidat</w:t>
      </w:r>
      <w:r>
        <w:rPr>
          <w:rFonts w:ascii="Arial" w:eastAsia="宋体" w:hAnsi="Arial" w:cs="Arial"/>
          <w:color w:val="000000"/>
          <w:sz w:val="20"/>
          <w:szCs w:val="20"/>
        </w:rPr>
        <w:t>ed financial condition and consolidated results of operations, including our capital ratios and share repurchase program, may differ from or be exacerbated by the effects of changes in interest rates and also may be volatile and difficult to predict, prese</w:t>
      </w:r>
      <w:r>
        <w:rPr>
          <w:rFonts w:ascii="Arial" w:eastAsia="宋体" w:hAnsi="Arial" w:cs="Arial"/>
          <w:color w:val="000000"/>
          <w:sz w:val="20"/>
          <w:szCs w:val="20"/>
        </w:rPr>
        <w:t>nting even further challenges. In addition, certain regulatory liquidity standards, such as the LCR, require that we maintain minimum levels of HQLA in our investment portfolio, which generally generate lower rates of return than other investment assets. T</w:t>
      </w:r>
      <w:r>
        <w:rPr>
          <w:rFonts w:ascii="Arial" w:eastAsia="宋体" w:hAnsi="Arial" w:cs="Arial"/>
          <w:color w:val="000000"/>
          <w:sz w:val="20"/>
          <w:szCs w:val="20"/>
        </w:rPr>
        <w:t>his has resulted in increased levels of HQLA as a percentage of our investment portfolio and an associated negative impact on our NII and our NIM. As a result we may not be able to attain our prior historical levels of NII and NIM. For additional informati</w:t>
      </w:r>
      <w:r>
        <w:rPr>
          <w:rFonts w:ascii="Arial" w:eastAsia="宋体" w:hAnsi="Arial" w:cs="Arial"/>
          <w:color w:val="000000"/>
          <w:sz w:val="20"/>
          <w:szCs w:val="20"/>
        </w:rPr>
        <w:t xml:space="preserve">on regarding these liquidity requirements, refer to the “Liquidity Coverage Ratio and Net Stable Funding Ratio” section of “Supervision and </w:t>
      </w:r>
    </w:p>
    <w:p w14:paraId="5F2C9D33" w14:textId="77777777" w:rsidR="00E836FB" w:rsidRDefault="00994958">
      <w:pPr>
        <w:ind w:firstLine="450"/>
        <w:jc w:val="right"/>
      </w:pPr>
      <w:r>
        <w:rPr>
          <w:rFonts w:ascii="Arial" w:eastAsia="宋体" w:hAnsi="Arial" w:cs="Arial"/>
          <w:color w:val="000000"/>
          <w:sz w:val="18"/>
          <w:szCs w:val="18"/>
        </w:rPr>
        <w:t>State Street Corporation | 29</w:t>
      </w:r>
    </w:p>
    <w:p w14:paraId="5F2C9D34" w14:textId="77777777" w:rsidR="00E836FB" w:rsidRDefault="00E836FB">
      <w:pPr>
        <w:ind w:firstLine="450"/>
        <w:jc w:val="center"/>
      </w:pPr>
    </w:p>
    <w:p w14:paraId="5F2C9D35" w14:textId="77777777" w:rsidR="00E836FB" w:rsidRDefault="00994958">
      <w:r>
        <w:pict w14:anchorId="5F2D6DA0">
          <v:rect id="_x0000_i1053" style="width:415.3pt;height:1.5pt" o:hralign="center" o:hrstd="t" o:hr="t" fillcolor="#a0a0a0" stroked="f"/>
        </w:pict>
      </w:r>
    </w:p>
    <w:p w14:paraId="5F2C9D36" w14:textId="77777777" w:rsidR="00E836FB" w:rsidRDefault="00E836FB">
      <w:pPr>
        <w:ind w:firstLine="450"/>
      </w:pPr>
    </w:p>
    <w:p w14:paraId="5F2C9D37" w14:textId="77777777" w:rsidR="00E836FB" w:rsidRDefault="00994958">
      <w:pPr>
        <w:spacing w:before="60"/>
        <w:jc w:val="both"/>
        <w:textAlignment w:val="top"/>
      </w:pPr>
      <w:r>
        <w:rPr>
          <w:rFonts w:ascii="Arial" w:eastAsia="宋体" w:hAnsi="Arial" w:cs="Arial"/>
          <w:color w:val="000000"/>
          <w:sz w:val="20"/>
          <w:szCs w:val="20"/>
        </w:rPr>
        <w:t>Regulation” in Business in this Form 10-K. We may enter into derivative transacti</w:t>
      </w:r>
      <w:r>
        <w:rPr>
          <w:rFonts w:ascii="Arial" w:eastAsia="宋体" w:hAnsi="Arial" w:cs="Arial"/>
          <w:color w:val="000000"/>
          <w:sz w:val="20"/>
          <w:szCs w:val="20"/>
        </w:rPr>
        <w:t>ons to hedge or manage our exposure to interest rate risk, as well as other risks, such as foreign exchange risk and credit risk. Derivative instruments that we hold for these or other purposes may not achieve their intended results and could result in une</w:t>
      </w:r>
      <w:r>
        <w:rPr>
          <w:rFonts w:ascii="Arial" w:eastAsia="宋体" w:hAnsi="Arial" w:cs="Arial"/>
          <w:color w:val="000000"/>
          <w:sz w:val="20"/>
          <w:szCs w:val="20"/>
        </w:rPr>
        <w:t>xpected losses or stresses on our liquidity or capital resources.</w:t>
      </w:r>
    </w:p>
    <w:p w14:paraId="5F2C9D38" w14:textId="77777777" w:rsidR="00E836FB" w:rsidRDefault="00994958">
      <w:pPr>
        <w:spacing w:before="60"/>
        <w:ind w:firstLine="450"/>
        <w:jc w:val="both"/>
        <w:textAlignment w:val="top"/>
      </w:pPr>
      <w:r>
        <w:rPr>
          <w:rFonts w:ascii="Arial" w:eastAsia="宋体" w:hAnsi="Arial" w:cs="Arial"/>
          <w:color w:val="000000"/>
          <w:sz w:val="20"/>
          <w:szCs w:val="20"/>
        </w:rPr>
        <w:t>Our investment securities portfolio represents a greater proportion of our consolidated statement of condition and our loan portfolio represents a smaller proportion (approximately 10% of ou</w:t>
      </w:r>
      <w:r>
        <w:rPr>
          <w:rFonts w:ascii="Arial" w:eastAsia="宋体" w:hAnsi="Arial" w:cs="Arial"/>
          <w:color w:val="000000"/>
          <w:sz w:val="20"/>
          <w:szCs w:val="20"/>
        </w:rPr>
        <w:t>r total assets as of December 31, 2021), in comparison to many other major financial institutions. In some respects, the accounting and regulatory treatment of our investment securities portfolio may be less favorable to us than a more traditional held-for</w:t>
      </w:r>
      <w:r>
        <w:rPr>
          <w:rFonts w:ascii="Arial" w:eastAsia="宋体" w:hAnsi="Arial" w:cs="Arial"/>
          <w:color w:val="000000"/>
          <w:sz w:val="20"/>
          <w:szCs w:val="20"/>
        </w:rPr>
        <w:t>-investment lending portfolio. For example, under the Basel III rule, after-tax changes in the fair value of AFS investment securities, such as those which represent a majority of our investment portfolio, are included in Tier 1 capital. Since loans held f</w:t>
      </w:r>
      <w:r>
        <w:rPr>
          <w:rFonts w:ascii="Arial" w:eastAsia="宋体" w:hAnsi="Arial" w:cs="Arial"/>
          <w:color w:val="000000"/>
          <w:sz w:val="20"/>
          <w:szCs w:val="20"/>
        </w:rPr>
        <w:t>or investment are not subject to a fair value accounting framework, changes in the fair value of loans (other than expected credit losses) are not similarly included in the determination of Tier 1 capital under the Basel III rule. Due to this differing tre</w:t>
      </w:r>
      <w:r>
        <w:rPr>
          <w:rFonts w:ascii="Arial" w:eastAsia="宋体" w:hAnsi="Arial" w:cs="Arial"/>
          <w:color w:val="000000"/>
          <w:sz w:val="20"/>
          <w:szCs w:val="20"/>
        </w:rPr>
        <w:t>atment, we may experience increased variability in our Tier 1 capital relative to other major financial institutions whose loan-and-lease portfolios represent a larger proportion of their consolidated total assets than ours.</w:t>
      </w:r>
    </w:p>
    <w:p w14:paraId="5F2C9D39" w14:textId="77777777" w:rsidR="00E836FB" w:rsidRDefault="00994958">
      <w:pPr>
        <w:spacing w:before="60"/>
        <w:ind w:firstLine="450"/>
        <w:jc w:val="both"/>
        <w:textAlignment w:val="top"/>
      </w:pPr>
      <w:r>
        <w:rPr>
          <w:rFonts w:ascii="Arial" w:eastAsia="宋体" w:hAnsi="Arial" w:cs="Arial"/>
          <w:color w:val="000000"/>
          <w:sz w:val="20"/>
          <w:szCs w:val="20"/>
        </w:rPr>
        <w:t>Additional risks associated wit</w:t>
      </w:r>
      <w:r>
        <w:rPr>
          <w:rFonts w:ascii="Arial" w:eastAsia="宋体" w:hAnsi="Arial" w:cs="Arial"/>
          <w:color w:val="000000"/>
          <w:sz w:val="20"/>
          <w:szCs w:val="20"/>
        </w:rPr>
        <w:t>h our investment portfolio include:</w:t>
      </w:r>
    </w:p>
    <w:p w14:paraId="5F2C9D3A" w14:textId="77777777" w:rsidR="00E836FB" w:rsidRDefault="00994958">
      <w:pPr>
        <w:spacing w:before="60"/>
        <w:ind w:hanging="360"/>
        <w:jc w:val="both"/>
        <w:textAlignment w:val="top"/>
      </w:pPr>
      <w:r>
        <w:rPr>
          <w:rFonts w:ascii="Arial" w:eastAsia="宋体" w:hAnsi="Arial" w:cs="Arial"/>
          <w:color w:val="000000"/>
          <w:sz w:val="20"/>
          <w:szCs w:val="20"/>
        </w:rPr>
        <w:t>•Asset class concentration. Our investment portfolio continues to have significant concentrations in several classes of securities, including agency residential MBS, commercial MBS and other ABS, and securities with concentrated exposure to consumers. Thes</w:t>
      </w:r>
      <w:r>
        <w:rPr>
          <w:rFonts w:ascii="Arial" w:eastAsia="宋体" w:hAnsi="Arial" w:cs="Arial"/>
          <w:color w:val="000000"/>
          <w:sz w:val="20"/>
          <w:szCs w:val="20"/>
        </w:rPr>
        <w:t>e classes and types of securities experienced significant liquidity, valuation and credit quality deterioration during the financial crisis that began in mid-2007. We also hold non-U.S. government securities, non-U.S. MBS and ABS with exposures to European</w:t>
      </w:r>
      <w:r>
        <w:rPr>
          <w:rFonts w:ascii="Arial" w:eastAsia="宋体" w:hAnsi="Arial" w:cs="Arial"/>
          <w:color w:val="000000"/>
          <w:sz w:val="20"/>
          <w:szCs w:val="20"/>
        </w:rPr>
        <w:t xml:space="preserve"> countries, whose sovereign-debt markets have experienced increased stress at times since 2011 and may continue to experience stress in the future. For further information, refer to the risk factor titled “Our businesses have significant European operation</w:t>
      </w:r>
      <w:r>
        <w:rPr>
          <w:rFonts w:ascii="Arial" w:eastAsia="宋体" w:hAnsi="Arial" w:cs="Arial"/>
          <w:color w:val="000000"/>
          <w:sz w:val="20"/>
          <w:szCs w:val="20"/>
        </w:rPr>
        <w:t>s, and disruptions in European economies could have an adverse effect on our consolidated results of operations or financial condition". Further, we hold a portfolio of U.S. state and municipal bonds, the value of which may be affected by the budget defici</w:t>
      </w:r>
      <w:r>
        <w:rPr>
          <w:rFonts w:ascii="Arial" w:eastAsia="宋体" w:hAnsi="Arial" w:cs="Arial"/>
          <w:color w:val="000000"/>
          <w:sz w:val="20"/>
          <w:szCs w:val="20"/>
        </w:rPr>
        <w:t xml:space="preserve">ts that a number </w:t>
      </w:r>
    </w:p>
    <w:p w14:paraId="5F2C9D3B" w14:textId="77777777" w:rsidR="00E836FB" w:rsidRDefault="00994958">
      <w:pPr>
        <w:spacing w:before="60"/>
        <w:jc w:val="both"/>
        <w:textAlignment w:val="top"/>
      </w:pPr>
      <w:r>
        <w:rPr>
          <w:rFonts w:ascii="Arial" w:eastAsia="宋体" w:hAnsi="Arial" w:cs="Arial"/>
          <w:color w:val="000000"/>
          <w:sz w:val="20"/>
          <w:szCs w:val="20"/>
        </w:rPr>
        <w:t>of states and municipalities currently face, resulting in risks associated with this portfolio.</w:t>
      </w:r>
    </w:p>
    <w:p w14:paraId="5F2C9D3C" w14:textId="77777777" w:rsidR="00E836FB" w:rsidRDefault="00994958">
      <w:pPr>
        <w:spacing w:before="60"/>
        <w:ind w:hanging="360"/>
        <w:jc w:val="both"/>
        <w:textAlignment w:val="top"/>
      </w:pPr>
      <w:r>
        <w:rPr>
          <w:rFonts w:ascii="Arial" w:eastAsia="宋体" w:hAnsi="Arial" w:cs="Arial"/>
          <w:color w:val="000000"/>
          <w:sz w:val="20"/>
          <w:szCs w:val="20"/>
        </w:rPr>
        <w:t xml:space="preserve">•Effects of market conditions. If market conditions deteriorate, our investment portfolio could experience a decline in market value, whether </w:t>
      </w:r>
      <w:r>
        <w:rPr>
          <w:rFonts w:ascii="Arial" w:eastAsia="宋体" w:hAnsi="Arial" w:cs="Arial"/>
          <w:color w:val="000000"/>
          <w:sz w:val="20"/>
          <w:szCs w:val="20"/>
        </w:rPr>
        <w:t>due to a decline in liquidity or an increase in the yield required by investors to hold such securities, regardless of our credit view of our portfolio holdings. In addition, in general, deterioration in credit quality, or changes in management's expectati</w:t>
      </w:r>
      <w:r>
        <w:rPr>
          <w:rFonts w:ascii="Arial" w:eastAsia="宋体" w:hAnsi="Arial" w:cs="Arial"/>
          <w:color w:val="000000"/>
          <w:sz w:val="20"/>
          <w:szCs w:val="20"/>
        </w:rPr>
        <w:t xml:space="preserve">ons regarding repayment timing or in management's investment intent to hold securities to maturity, in each case with respect to our portfolio holdings, could result in recognition of an allowance for expected credit losses or in impairment. Similarly, if </w:t>
      </w:r>
      <w:r>
        <w:rPr>
          <w:rFonts w:ascii="Arial" w:eastAsia="宋体" w:hAnsi="Arial" w:cs="Arial"/>
          <w:color w:val="000000"/>
          <w:sz w:val="20"/>
          <w:szCs w:val="20"/>
        </w:rPr>
        <w:t xml:space="preserve">a material portion of our investment portfolio were to experience credit deterioration, our capital ratios as calculated pursuant to the Basel III rule could be adversely affected. This risk is greater with portfolios of investment securities that contain </w:t>
      </w:r>
      <w:r>
        <w:rPr>
          <w:rFonts w:ascii="Arial" w:eastAsia="宋体" w:hAnsi="Arial" w:cs="Arial"/>
          <w:color w:val="000000"/>
          <w:sz w:val="20"/>
          <w:szCs w:val="20"/>
        </w:rPr>
        <w:t>credit risk than with holdings of U.S. Treasury securities.</w:t>
      </w:r>
    </w:p>
    <w:p w14:paraId="5F2C9D3D" w14:textId="77777777" w:rsidR="00E836FB" w:rsidRDefault="00994958">
      <w:pPr>
        <w:spacing w:before="60"/>
        <w:ind w:hanging="360"/>
        <w:jc w:val="both"/>
        <w:textAlignment w:val="top"/>
      </w:pPr>
      <w:r>
        <w:rPr>
          <w:rFonts w:ascii="Arial" w:eastAsia="宋体" w:hAnsi="Arial" w:cs="Arial"/>
          <w:color w:val="000000"/>
          <w:sz w:val="20"/>
          <w:szCs w:val="20"/>
        </w:rPr>
        <w:t>•Effects of interest rates. Our investment portfolio is further subject to changes in both U.S. and non-U.S. (primarily in Europe) interest rates, and could be negatively affected by changes in th</w:t>
      </w:r>
      <w:r>
        <w:rPr>
          <w:rFonts w:ascii="Arial" w:eastAsia="宋体" w:hAnsi="Arial" w:cs="Arial"/>
          <w:color w:val="000000"/>
          <w:sz w:val="20"/>
          <w:szCs w:val="20"/>
        </w:rPr>
        <w:t>ose rates, whether or not expected. This is particularly true in the case of a quicker-than-anticipated increase in interest rates, which would decrease market values in the near-term, or monetary policy that results in persistently low or negative rates o</w:t>
      </w:r>
      <w:r>
        <w:rPr>
          <w:rFonts w:ascii="Arial" w:eastAsia="宋体" w:hAnsi="Arial" w:cs="Arial"/>
          <w:color w:val="000000"/>
          <w:sz w:val="20"/>
          <w:szCs w:val="20"/>
        </w:rPr>
        <w:t>f interest on certain investments. The latter has been the case, for example, with respect to ECB monetary policy, including negative interest rates in some jurisdictions, with associated negative effects on our investment portfolio reinvestment, NII and N</w:t>
      </w:r>
      <w:r>
        <w:rPr>
          <w:rFonts w:ascii="Arial" w:eastAsia="宋体" w:hAnsi="Arial" w:cs="Arial"/>
          <w:color w:val="000000"/>
          <w:sz w:val="20"/>
          <w:szCs w:val="20"/>
        </w:rPr>
        <w:t>IM. The effect on our NII has been exacerbated by the effects in recent fiscal years of the strong U.S. dollar relative to other currencies, particularly the Euro. If European interest rates remain low or decrease and the U.S. dollar strengthens relative t</w:t>
      </w:r>
      <w:r>
        <w:rPr>
          <w:rFonts w:ascii="Arial" w:eastAsia="宋体" w:hAnsi="Arial" w:cs="Arial"/>
          <w:color w:val="000000"/>
          <w:sz w:val="20"/>
          <w:szCs w:val="20"/>
        </w:rPr>
        <w:t xml:space="preserve">o the Euro, the negative effects on our NII likely will continue or increase. The overall level of NII can also be impacted by the size of our deposit base, as further increases in interest rates could lead to reduced deposit levels and also lower overall </w:t>
      </w:r>
      <w:r>
        <w:rPr>
          <w:rFonts w:ascii="Arial" w:eastAsia="宋体" w:hAnsi="Arial" w:cs="Arial"/>
          <w:color w:val="000000"/>
          <w:sz w:val="20"/>
          <w:szCs w:val="20"/>
        </w:rPr>
        <w:t xml:space="preserve">NII. Further, a reduction in deposit levels could increase the requirements under the regulatory liquidity standards requiring us to invest a greater proportion of our investment portfolio holdings in HQLA that have lower </w:t>
      </w:r>
    </w:p>
    <w:p w14:paraId="5F2C9D3E" w14:textId="77777777" w:rsidR="00E836FB" w:rsidRDefault="00994958">
      <w:pPr>
        <w:ind w:firstLine="450"/>
        <w:jc w:val="right"/>
      </w:pPr>
      <w:r>
        <w:rPr>
          <w:rFonts w:ascii="Arial" w:eastAsia="宋体" w:hAnsi="Arial" w:cs="Arial"/>
          <w:color w:val="000000"/>
          <w:sz w:val="18"/>
          <w:szCs w:val="18"/>
        </w:rPr>
        <w:t>State Street Corporation | 30</w:t>
      </w:r>
    </w:p>
    <w:p w14:paraId="5F2C9D3F" w14:textId="77777777" w:rsidR="00E836FB" w:rsidRDefault="00E836FB">
      <w:pPr>
        <w:ind w:firstLine="450"/>
        <w:jc w:val="center"/>
      </w:pPr>
    </w:p>
    <w:p w14:paraId="5F2C9D40" w14:textId="77777777" w:rsidR="00E836FB" w:rsidRDefault="00994958">
      <w:r>
        <w:pict w14:anchorId="5F2D6DA1">
          <v:rect id="_x0000_i1054" style="width:415.3pt;height:1.5pt" o:hralign="center" o:hrstd="t" o:hr="t" fillcolor="#a0a0a0" stroked="f"/>
        </w:pict>
      </w:r>
    </w:p>
    <w:p w14:paraId="5F2C9D41" w14:textId="77777777" w:rsidR="00E836FB" w:rsidRDefault="00E836FB">
      <w:pPr>
        <w:ind w:firstLine="450"/>
      </w:pPr>
    </w:p>
    <w:p w14:paraId="5F2C9D42" w14:textId="77777777" w:rsidR="00E836FB" w:rsidRDefault="00994958">
      <w:pPr>
        <w:spacing w:before="60"/>
        <w:jc w:val="both"/>
        <w:textAlignment w:val="top"/>
      </w:pPr>
      <w:r>
        <w:rPr>
          <w:rFonts w:ascii="Arial" w:eastAsia="宋体" w:hAnsi="Arial" w:cs="Arial"/>
          <w:color w:val="000000"/>
          <w:sz w:val="20"/>
          <w:szCs w:val="20"/>
        </w:rPr>
        <w:t>yields than other investable assets. See also, “Our business activities expose us to interest rate risk” in this section.</w:t>
      </w:r>
    </w:p>
    <w:p w14:paraId="5F2C9D43" w14:textId="77777777" w:rsidR="00E836FB" w:rsidRDefault="00994958">
      <w:pPr>
        <w:spacing w:before="90"/>
        <w:jc w:val="both"/>
        <w:textAlignment w:val="top"/>
      </w:pPr>
      <w:r>
        <w:rPr>
          <w:rFonts w:ascii="Arial" w:eastAsia="宋体" w:hAnsi="Arial" w:cs="Arial"/>
          <w:b/>
          <w:bCs/>
          <w:color w:val="000000"/>
          <w:sz w:val="20"/>
          <w:szCs w:val="20"/>
        </w:rPr>
        <w:t>Our business activities expose us to interest rate risk.</w:t>
      </w:r>
    </w:p>
    <w:p w14:paraId="5F2C9D44" w14:textId="77777777" w:rsidR="00E836FB" w:rsidRDefault="00994958">
      <w:pPr>
        <w:ind w:firstLine="450"/>
        <w:jc w:val="both"/>
        <w:textAlignment w:val="top"/>
      </w:pPr>
      <w:r>
        <w:rPr>
          <w:rFonts w:ascii="Arial" w:eastAsia="宋体" w:hAnsi="Arial" w:cs="Arial"/>
          <w:color w:val="000000"/>
          <w:sz w:val="20"/>
          <w:szCs w:val="20"/>
        </w:rPr>
        <w:t>In our business activities, we assume interest rate risk by investing short-</w:t>
      </w:r>
      <w:r>
        <w:rPr>
          <w:rFonts w:ascii="Arial" w:eastAsia="宋体" w:hAnsi="Arial" w:cs="Arial"/>
          <w:color w:val="000000"/>
          <w:sz w:val="20"/>
          <w:szCs w:val="20"/>
        </w:rPr>
        <w:t xml:space="preserve">term deposits received from our clients in our investment portfolio of longer- and intermediate-term assets. Our NII and NIM are affected by among other things, the levels of interest rates in global markets, changes in the relationship between short- and </w:t>
      </w:r>
      <w:r>
        <w:rPr>
          <w:rFonts w:ascii="Arial" w:eastAsia="宋体" w:hAnsi="Arial" w:cs="Arial"/>
          <w:color w:val="000000"/>
          <w:sz w:val="20"/>
          <w:szCs w:val="20"/>
        </w:rPr>
        <w:t xml:space="preserve">long-term interest rates, the direction and speed of interest rate changes and the asset and liability spreads relative to the currency and geographic mix of our interest-earning assets and interest-bearing liabilities. These factors are influenced, among </w:t>
      </w:r>
      <w:r>
        <w:rPr>
          <w:rFonts w:ascii="Arial" w:eastAsia="宋体" w:hAnsi="Arial" w:cs="Arial"/>
          <w:color w:val="000000"/>
          <w:sz w:val="20"/>
          <w:szCs w:val="20"/>
        </w:rPr>
        <w:t>other things, by a variety of economic and market forces and expectations, including monetary policy and other activities of central banks, such as the Federal Reserve and ECB, that we do not control. Our ability to anticipate changes in these factors or t</w:t>
      </w:r>
      <w:r>
        <w:rPr>
          <w:rFonts w:ascii="Arial" w:eastAsia="宋体" w:hAnsi="Arial" w:cs="Arial"/>
          <w:color w:val="000000"/>
          <w:sz w:val="20"/>
          <w:szCs w:val="20"/>
        </w:rPr>
        <w:t>o hedge the related on- and off-balance sheet exposures, and the cost of any such hedging activity, can significantly influence the success of our asset-and-liability management activities and the resulting level of our NII and NIM. The impact of changes i</w:t>
      </w:r>
      <w:r>
        <w:rPr>
          <w:rFonts w:ascii="Arial" w:eastAsia="宋体" w:hAnsi="Arial" w:cs="Arial"/>
          <w:color w:val="000000"/>
          <w:sz w:val="20"/>
          <w:szCs w:val="20"/>
        </w:rPr>
        <w:t>n interest rates and related factors will depend on the relative duration and fixed- or floating-rate nature of our assets and liabilities. Sustained lower interest rates, a flat or inverted yield curve and narrow credit spreads generally have a constraini</w:t>
      </w:r>
      <w:r>
        <w:rPr>
          <w:rFonts w:ascii="Arial" w:eastAsia="宋体" w:hAnsi="Arial" w:cs="Arial"/>
          <w:color w:val="000000"/>
          <w:sz w:val="20"/>
          <w:szCs w:val="20"/>
        </w:rPr>
        <w:t xml:space="preserve">ng effect on our NII. In addition, our ability to change deposit rates in response to changes in interest rates and other market and related factors is limited by client relationship considerations. The impact of interest rates on our investment portfolio </w:t>
      </w:r>
      <w:r>
        <w:rPr>
          <w:rFonts w:ascii="Arial" w:eastAsia="宋体" w:hAnsi="Arial" w:cs="Arial"/>
          <w:color w:val="000000"/>
          <w:sz w:val="20"/>
          <w:szCs w:val="20"/>
        </w:rPr>
        <w:t>and consolidated financial results, including accumulated other comprehensive income, can also affect our ability to maintain our capital ratios within our target ranges as well as the amount and timing of our future share repurchases. For additional infor</w:t>
      </w:r>
      <w:r>
        <w:rPr>
          <w:rFonts w:ascii="Arial" w:eastAsia="宋体" w:hAnsi="Arial" w:cs="Arial"/>
          <w:color w:val="000000"/>
          <w:sz w:val="20"/>
          <w:szCs w:val="20"/>
        </w:rPr>
        <w:t>mation about the effects on interest rates on our business, refer to the Market Risk Management section, "Asset-and-Liability Management Activities" in our Management's Discussion and Analysis in this Form 10-K.</w:t>
      </w:r>
    </w:p>
    <w:p w14:paraId="5F2C9D45" w14:textId="77777777" w:rsidR="00E836FB" w:rsidRDefault="00994958">
      <w:pPr>
        <w:spacing w:before="90"/>
        <w:jc w:val="both"/>
        <w:textAlignment w:val="top"/>
      </w:pPr>
      <w:r>
        <w:rPr>
          <w:rFonts w:ascii="Arial" w:eastAsia="宋体" w:hAnsi="Arial" w:cs="Arial"/>
          <w:b/>
          <w:bCs/>
          <w:color w:val="000000"/>
          <w:sz w:val="20"/>
          <w:szCs w:val="20"/>
        </w:rPr>
        <w:t>We assume significant credit risk to counter</w:t>
      </w:r>
      <w:r>
        <w:rPr>
          <w:rFonts w:ascii="Arial" w:eastAsia="宋体" w:hAnsi="Arial" w:cs="Arial"/>
          <w:b/>
          <w:bCs/>
          <w:color w:val="000000"/>
          <w:sz w:val="20"/>
          <w:szCs w:val="20"/>
        </w:rPr>
        <w:t>parties, many of which are major financial institutions. These financial institutions and other counterparties may also have substantial financial dependencies with other financial institutions and sovereign entities. These credit exposures and concentrati</w:t>
      </w:r>
      <w:r>
        <w:rPr>
          <w:rFonts w:ascii="Arial" w:eastAsia="宋体" w:hAnsi="Arial" w:cs="Arial"/>
          <w:b/>
          <w:bCs/>
          <w:color w:val="000000"/>
          <w:sz w:val="20"/>
          <w:szCs w:val="20"/>
        </w:rPr>
        <w:t>ons could expose us to financial loss.</w:t>
      </w:r>
    </w:p>
    <w:p w14:paraId="5F2C9D46" w14:textId="77777777" w:rsidR="00E836FB" w:rsidRDefault="00994958">
      <w:pPr>
        <w:spacing w:before="60"/>
        <w:ind w:firstLine="450"/>
        <w:jc w:val="both"/>
        <w:textAlignment w:val="top"/>
      </w:pPr>
      <w:r>
        <w:rPr>
          <w:rFonts w:ascii="Arial" w:eastAsia="宋体" w:hAnsi="Arial" w:cs="Arial"/>
          <w:color w:val="000000"/>
          <w:sz w:val="20"/>
          <w:szCs w:val="20"/>
        </w:rPr>
        <w:t>The financial markets are characterized by extensive interdependencies among numerous parties, including banks, central banks, broker/dealers, insurance companies and other financial institutions. These financial inst</w:t>
      </w:r>
      <w:r>
        <w:rPr>
          <w:rFonts w:ascii="Arial" w:eastAsia="宋体" w:hAnsi="Arial" w:cs="Arial"/>
          <w:color w:val="000000"/>
          <w:sz w:val="20"/>
          <w:szCs w:val="20"/>
        </w:rPr>
        <w:t xml:space="preserve">itutions also include collective investment funds, such as mutual funds, </w:t>
      </w:r>
    </w:p>
    <w:p w14:paraId="5F2C9D47" w14:textId="77777777" w:rsidR="00E836FB" w:rsidRDefault="00994958">
      <w:pPr>
        <w:spacing w:before="60"/>
        <w:jc w:val="both"/>
        <w:textAlignment w:val="top"/>
      </w:pPr>
      <w:r>
        <w:rPr>
          <w:rFonts w:ascii="Arial" w:eastAsia="宋体" w:hAnsi="Arial" w:cs="Arial"/>
          <w:color w:val="000000"/>
          <w:sz w:val="20"/>
          <w:szCs w:val="20"/>
        </w:rPr>
        <w:t>UCITS and hedge funds that share these interdependencies. Many financial institutions, including collective investment funds, also hold, or are exposed to, loans, sovereign debt, fix</w:t>
      </w:r>
      <w:r>
        <w:rPr>
          <w:rFonts w:ascii="Arial" w:eastAsia="宋体" w:hAnsi="Arial" w:cs="Arial"/>
          <w:color w:val="000000"/>
          <w:sz w:val="20"/>
          <w:szCs w:val="20"/>
        </w:rPr>
        <w:t>ed-income securities, derivatives, counterparty and other forms of credit risk in amounts that are material to their financial condition. As a result of our own business practices and these interdependencies, we and many of our clients have concentrated co</w:t>
      </w:r>
      <w:r>
        <w:rPr>
          <w:rFonts w:ascii="Arial" w:eastAsia="宋体" w:hAnsi="Arial" w:cs="Arial"/>
          <w:color w:val="000000"/>
          <w:sz w:val="20"/>
          <w:szCs w:val="20"/>
        </w:rPr>
        <w:t>unterparty exposure to other financial institutions and collective investment funds, particularly large and complex institutions, sovereign issuers, mutual funds, UCITS and hedge funds. Although we have procedures for monitoring both individual and aggrega</w:t>
      </w:r>
      <w:r>
        <w:rPr>
          <w:rFonts w:ascii="Arial" w:eastAsia="宋体" w:hAnsi="Arial" w:cs="Arial"/>
          <w:color w:val="000000"/>
          <w:sz w:val="20"/>
          <w:szCs w:val="20"/>
        </w:rPr>
        <w:t>te counterparty risk, significant individual and aggregate counterparty exposure is inherent in our business, as our focus is on servicing large institutional investors</w:t>
      </w:r>
      <w:r>
        <w:rPr>
          <w:rFonts w:ascii="Arial" w:eastAsia="宋体" w:hAnsi="Arial" w:cs="Arial"/>
          <w:b/>
          <w:bCs/>
          <w:i/>
          <w:iCs/>
          <w:color w:val="000000"/>
          <w:sz w:val="20"/>
          <w:szCs w:val="20"/>
        </w:rPr>
        <w:t>.</w:t>
      </w:r>
    </w:p>
    <w:p w14:paraId="5F2C9D48" w14:textId="77777777" w:rsidR="00E836FB" w:rsidRDefault="00994958">
      <w:pPr>
        <w:spacing w:before="60"/>
        <w:ind w:firstLine="450"/>
        <w:jc w:val="both"/>
        <w:textAlignment w:val="top"/>
      </w:pPr>
      <w:r>
        <w:rPr>
          <w:rFonts w:ascii="Arial" w:eastAsia="宋体" w:hAnsi="Arial" w:cs="Arial"/>
          <w:color w:val="000000"/>
          <w:sz w:val="20"/>
          <w:szCs w:val="20"/>
        </w:rPr>
        <w:t>In the normal course of our business, we assume concentrated credit risk at the indivi</w:t>
      </w:r>
      <w:r>
        <w:rPr>
          <w:rFonts w:ascii="Arial" w:eastAsia="宋体" w:hAnsi="Arial" w:cs="Arial"/>
          <w:color w:val="000000"/>
          <w:sz w:val="20"/>
          <w:szCs w:val="20"/>
        </w:rPr>
        <w:t>dual obligor, counterparty or group level. Such concentrations may be material. Our material counterparty exposures change daily, and the counterparties or groups of related counterparties to which our risk exposure is concentrated are also variable during</w:t>
      </w:r>
      <w:r>
        <w:rPr>
          <w:rFonts w:ascii="Arial" w:eastAsia="宋体" w:hAnsi="Arial" w:cs="Arial"/>
          <w:color w:val="000000"/>
          <w:sz w:val="20"/>
          <w:szCs w:val="20"/>
        </w:rPr>
        <w:t xml:space="preserve"> any reported period; our largest exposures tend to be to other financial institutions.</w:t>
      </w:r>
    </w:p>
    <w:p w14:paraId="5F2C9D49" w14:textId="77777777" w:rsidR="00E836FB" w:rsidRDefault="00994958">
      <w:pPr>
        <w:spacing w:before="60"/>
        <w:ind w:firstLine="450"/>
        <w:jc w:val="both"/>
        <w:textAlignment w:val="top"/>
      </w:pPr>
      <w:r>
        <w:rPr>
          <w:rFonts w:ascii="Arial" w:eastAsia="宋体" w:hAnsi="Arial" w:cs="Arial"/>
          <w:color w:val="000000"/>
          <w:sz w:val="20"/>
          <w:szCs w:val="20"/>
        </w:rPr>
        <w:t>Concentration of counterparty exposure presents significant risks to us and to our clients because the failure or perceived weakness of our counterparties (or in some c</w:t>
      </w:r>
      <w:r>
        <w:rPr>
          <w:rFonts w:ascii="Arial" w:eastAsia="宋体" w:hAnsi="Arial" w:cs="Arial"/>
          <w:color w:val="000000"/>
          <w:sz w:val="20"/>
          <w:szCs w:val="20"/>
        </w:rPr>
        <w:t xml:space="preserve">ases of our clients' counterparties) has the potential to expose us to risk of financial loss. Changes in market perception of the financial strength of particular financial institutions or sovereign issuers can occur rapidly, are often based on a variety </w:t>
      </w:r>
      <w:r>
        <w:rPr>
          <w:rFonts w:ascii="Arial" w:eastAsia="宋体" w:hAnsi="Arial" w:cs="Arial"/>
          <w:color w:val="000000"/>
          <w:sz w:val="20"/>
          <w:szCs w:val="20"/>
        </w:rPr>
        <w:t>of factors and are difficult to predict.</w:t>
      </w:r>
    </w:p>
    <w:p w14:paraId="5F2C9D4A" w14:textId="77777777" w:rsidR="00E836FB" w:rsidRDefault="00994958">
      <w:pPr>
        <w:spacing w:before="60"/>
        <w:ind w:firstLine="450"/>
        <w:jc w:val="both"/>
        <w:textAlignment w:val="top"/>
      </w:pPr>
      <w:r>
        <w:rPr>
          <w:rFonts w:ascii="Arial" w:eastAsia="宋体" w:hAnsi="Arial" w:cs="Arial"/>
          <w:color w:val="000000"/>
          <w:sz w:val="20"/>
          <w:szCs w:val="20"/>
        </w:rPr>
        <w:t>This was observed during the financial crisis that began in 2007-2008, when economic, market, political and other factors contributed to the perception of many financial institutions and sovereign issuers as being l</w:t>
      </w:r>
      <w:r>
        <w:rPr>
          <w:rFonts w:ascii="Arial" w:eastAsia="宋体" w:hAnsi="Arial" w:cs="Arial"/>
          <w:color w:val="000000"/>
          <w:sz w:val="20"/>
          <w:szCs w:val="20"/>
        </w:rPr>
        <w:t>ess credit worthy. This led to credit downgrades of numerous large U.S. and non-U.S. financial institutions and several sovereign issuers (which exposure stressed the perceived creditworthiness of financial institutions, many of which invest in, accept col</w:t>
      </w:r>
      <w:r>
        <w:rPr>
          <w:rFonts w:ascii="Arial" w:eastAsia="宋体" w:hAnsi="Arial" w:cs="Arial"/>
          <w:color w:val="000000"/>
          <w:sz w:val="20"/>
          <w:szCs w:val="20"/>
        </w:rPr>
        <w:t>lateral in the form of, or value other transactions based on the debt or other securities issued by sovereigns) and substantially reduced value and liquidity in the market for their credit instruments. These or other factors could again contribute to simil</w:t>
      </w:r>
      <w:r>
        <w:rPr>
          <w:rFonts w:ascii="Arial" w:eastAsia="宋体" w:hAnsi="Arial" w:cs="Arial"/>
          <w:color w:val="000000"/>
          <w:sz w:val="20"/>
          <w:szCs w:val="20"/>
        </w:rPr>
        <w:t>ar consequences or other market risks associated with reduced levels of liquidity. As a result, we may be exposed to increased counterparty risks, either resulting from our role as principal or because of commitments we make in our capacity as agent for so</w:t>
      </w:r>
      <w:r>
        <w:rPr>
          <w:rFonts w:ascii="Arial" w:eastAsia="宋体" w:hAnsi="Arial" w:cs="Arial"/>
          <w:color w:val="000000"/>
          <w:sz w:val="20"/>
          <w:szCs w:val="20"/>
        </w:rPr>
        <w:t>me of our clients.</w:t>
      </w:r>
    </w:p>
    <w:p w14:paraId="5F2C9D4B" w14:textId="77777777" w:rsidR="00E836FB" w:rsidRDefault="00994958">
      <w:pPr>
        <w:ind w:firstLine="450"/>
        <w:jc w:val="right"/>
      </w:pPr>
      <w:r>
        <w:rPr>
          <w:rFonts w:ascii="Arial" w:eastAsia="宋体" w:hAnsi="Arial" w:cs="Arial"/>
          <w:color w:val="000000"/>
          <w:sz w:val="18"/>
          <w:szCs w:val="18"/>
        </w:rPr>
        <w:t>State Street Corporation | 31</w:t>
      </w:r>
    </w:p>
    <w:p w14:paraId="5F2C9D4C" w14:textId="77777777" w:rsidR="00E836FB" w:rsidRDefault="00E836FB">
      <w:pPr>
        <w:ind w:firstLine="450"/>
        <w:jc w:val="center"/>
      </w:pPr>
    </w:p>
    <w:p w14:paraId="5F2C9D4D" w14:textId="77777777" w:rsidR="00E836FB" w:rsidRDefault="00994958">
      <w:r>
        <w:pict w14:anchorId="5F2D6DA2">
          <v:rect id="_x0000_i1055" style="width:415.3pt;height:1.5pt" o:hralign="center" o:hrstd="t" o:hr="t" fillcolor="#a0a0a0" stroked="f"/>
        </w:pict>
      </w:r>
    </w:p>
    <w:p w14:paraId="5F2C9D4E" w14:textId="77777777" w:rsidR="00E836FB" w:rsidRDefault="00E836FB">
      <w:pPr>
        <w:ind w:firstLine="450"/>
      </w:pPr>
    </w:p>
    <w:p w14:paraId="5F2C9D4F" w14:textId="77777777" w:rsidR="00E836FB" w:rsidRDefault="00994958">
      <w:pPr>
        <w:spacing w:before="60"/>
        <w:ind w:firstLine="450"/>
        <w:jc w:val="both"/>
        <w:textAlignment w:val="top"/>
      </w:pPr>
      <w:r>
        <w:rPr>
          <w:rFonts w:ascii="Arial" w:eastAsia="宋体" w:hAnsi="Arial" w:cs="Arial"/>
          <w:color w:val="000000"/>
          <w:sz w:val="20"/>
          <w:szCs w:val="20"/>
        </w:rPr>
        <w:t>Additional areas where we experience exposure to credit risk include:</w:t>
      </w:r>
    </w:p>
    <w:p w14:paraId="5F2C9D50" w14:textId="77777777" w:rsidR="00E836FB" w:rsidRDefault="00994958">
      <w:pPr>
        <w:spacing w:before="60"/>
        <w:ind w:hanging="360"/>
        <w:jc w:val="both"/>
        <w:textAlignment w:val="top"/>
      </w:pPr>
      <w:r>
        <w:rPr>
          <w:rFonts w:ascii="Arial" w:eastAsia="宋体" w:hAnsi="Arial" w:cs="Arial"/>
          <w:color w:val="000000"/>
          <w:sz w:val="20"/>
          <w:szCs w:val="20"/>
        </w:rPr>
        <w:t xml:space="preserve">•Short-term credit: The degree of client demand for short-term credit tends to increase during periods of market </w:t>
      </w:r>
      <w:r>
        <w:rPr>
          <w:rFonts w:ascii="Arial" w:eastAsia="宋体" w:hAnsi="Arial" w:cs="Arial"/>
          <w:color w:val="000000"/>
          <w:sz w:val="20"/>
          <w:szCs w:val="20"/>
        </w:rPr>
        <w:t>turbulence, which may expose us to further counterparty-related risks. For example, investors in collective investment vehicles for which we act as a custodian may experience significant redemption activity due to adverse market or economic news. Our relat</w:t>
      </w:r>
      <w:r>
        <w:rPr>
          <w:rFonts w:ascii="Arial" w:eastAsia="宋体" w:hAnsi="Arial" w:cs="Arial"/>
          <w:color w:val="000000"/>
          <w:sz w:val="20"/>
          <w:szCs w:val="20"/>
        </w:rPr>
        <w:t>ionship with our clients and the nature of the settlement process for some types of payments may result in the extension of short-term credit in such circumstances. We also provide committed lines of credit to support such activity. For some types of clien</w:t>
      </w:r>
      <w:r>
        <w:rPr>
          <w:rFonts w:ascii="Arial" w:eastAsia="宋体" w:hAnsi="Arial" w:cs="Arial"/>
          <w:color w:val="000000"/>
          <w:sz w:val="20"/>
          <w:szCs w:val="20"/>
        </w:rPr>
        <w:t>ts, we provide credit to allow them to leverage their portfolios, which may expose us to potential loss if the client experiences investment losses or other credit difficulties.</w:t>
      </w:r>
    </w:p>
    <w:p w14:paraId="5F2C9D51" w14:textId="77777777" w:rsidR="00E836FB" w:rsidRDefault="00994958">
      <w:pPr>
        <w:spacing w:before="60"/>
        <w:ind w:hanging="360"/>
        <w:jc w:val="both"/>
        <w:textAlignment w:val="top"/>
      </w:pPr>
      <w:r>
        <w:rPr>
          <w:rFonts w:ascii="Arial" w:eastAsia="宋体" w:hAnsi="Arial" w:cs="Arial"/>
          <w:color w:val="000000"/>
          <w:sz w:val="20"/>
          <w:szCs w:val="20"/>
        </w:rPr>
        <w:t>•Industry and country risks: In addition to our exposure to financial institut</w:t>
      </w:r>
      <w:r>
        <w:rPr>
          <w:rFonts w:ascii="Arial" w:eastAsia="宋体" w:hAnsi="Arial" w:cs="Arial"/>
          <w:color w:val="000000"/>
          <w:sz w:val="20"/>
          <w:szCs w:val="20"/>
        </w:rPr>
        <w:t>ions, we are from time to time exposed to concentrated credit risk at an industry or country level. This concentration risk also applies to groups of unrelated counterparties that may have similar investment strategies involving one or more particular indu</w:t>
      </w:r>
      <w:r>
        <w:rPr>
          <w:rFonts w:ascii="Arial" w:eastAsia="宋体" w:hAnsi="Arial" w:cs="Arial"/>
          <w:color w:val="000000"/>
          <w:sz w:val="20"/>
          <w:szCs w:val="20"/>
        </w:rPr>
        <w:t xml:space="preserve">stries, regions, or other characteristics. These unrelated counterparties may concurrently experience adverse effects to their performance, liquidity or reputation due to events or other factors affecting such investment strategies. Though potentially not </w:t>
      </w:r>
      <w:r>
        <w:rPr>
          <w:rFonts w:ascii="Arial" w:eastAsia="宋体" w:hAnsi="Arial" w:cs="Arial"/>
          <w:color w:val="000000"/>
          <w:sz w:val="20"/>
          <w:szCs w:val="20"/>
        </w:rPr>
        <w:t xml:space="preserve">material individually (relative to any one such counterparty), our credit exposures to such a group of counterparties could expose us to a single market or political event or a correlated set of events that, in the aggregate, could have a material adverse </w:t>
      </w:r>
      <w:r>
        <w:rPr>
          <w:rFonts w:ascii="Arial" w:eastAsia="宋体" w:hAnsi="Arial" w:cs="Arial"/>
          <w:color w:val="000000"/>
          <w:sz w:val="20"/>
          <w:szCs w:val="20"/>
        </w:rPr>
        <w:t>impact on our business.</w:t>
      </w:r>
    </w:p>
    <w:p w14:paraId="5F2C9D52" w14:textId="77777777" w:rsidR="00E836FB" w:rsidRDefault="00994958">
      <w:pPr>
        <w:spacing w:before="60"/>
        <w:ind w:hanging="360"/>
        <w:jc w:val="both"/>
        <w:textAlignment w:val="top"/>
      </w:pPr>
      <w:r>
        <w:rPr>
          <w:rFonts w:ascii="Arial" w:eastAsia="宋体" w:hAnsi="Arial" w:cs="Arial"/>
          <w:color w:val="000000"/>
          <w:sz w:val="20"/>
          <w:szCs w:val="20"/>
        </w:rPr>
        <w:t>•Subcustodian risks: Our use of unaffiliated subcustodians exposes us to credit risk, in addition to other risks, such as operational risk, dependencies on credit extensions and risks of the legal systems of the jurisdictions in whi</w:t>
      </w:r>
      <w:r>
        <w:rPr>
          <w:rFonts w:ascii="Arial" w:eastAsia="宋体" w:hAnsi="Arial" w:cs="Arial"/>
          <w:color w:val="000000"/>
          <w:sz w:val="20"/>
          <w:szCs w:val="20"/>
        </w:rPr>
        <w:t>ch the subcustodians operate, each of which may be material. Our operating model exposes us to risk of unaffiliated sub-custodians to a degree greater than some of our competitors who have banking operations in more jurisdictions than we do. Our sub-custod</w:t>
      </w:r>
      <w:r>
        <w:rPr>
          <w:rFonts w:ascii="Arial" w:eastAsia="宋体" w:hAnsi="Arial" w:cs="Arial"/>
          <w:color w:val="000000"/>
          <w:sz w:val="20"/>
          <w:szCs w:val="20"/>
        </w:rPr>
        <w:t>ians operate in all jurisdictions in which our clients invest, including emerging and other underdeveloped markets that entail heightened risks. These risks are amplified due to evolving regulatory requirements with respect to our financial exposures in th</w:t>
      </w:r>
      <w:r>
        <w:rPr>
          <w:rFonts w:ascii="Arial" w:eastAsia="宋体" w:hAnsi="Arial" w:cs="Arial"/>
          <w:color w:val="000000"/>
          <w:sz w:val="20"/>
          <w:szCs w:val="20"/>
        </w:rPr>
        <w:t xml:space="preserve">e </w:t>
      </w:r>
    </w:p>
    <w:p w14:paraId="5F2C9D53" w14:textId="77777777" w:rsidR="00E836FB" w:rsidRDefault="00994958">
      <w:pPr>
        <w:spacing w:before="60"/>
        <w:jc w:val="both"/>
        <w:textAlignment w:val="top"/>
      </w:pPr>
      <w:r>
        <w:rPr>
          <w:rFonts w:ascii="Arial" w:eastAsia="宋体" w:hAnsi="Arial" w:cs="Arial"/>
          <w:color w:val="000000"/>
          <w:sz w:val="20"/>
          <w:szCs w:val="20"/>
        </w:rPr>
        <w:t>event those subcustodians are unable to return clients’ assets, including, in some regulatory regimes, such as the E.U.'s UCITS V directive, requirements that we be responsible for resulting losses suffered by our clients. We may agree to similar or mor</w:t>
      </w:r>
      <w:r>
        <w:rPr>
          <w:rFonts w:ascii="Arial" w:eastAsia="宋体" w:hAnsi="Arial" w:cs="Arial"/>
          <w:color w:val="000000"/>
          <w:sz w:val="20"/>
          <w:szCs w:val="20"/>
        </w:rPr>
        <w:t>e stringent standards with clients that are not subject to such regulations. Our subcustodians are also large, global financial institutions with whom we have other credit exposures. This credit exposure to these financial institutions or subcustodians may</w:t>
      </w:r>
      <w:r>
        <w:rPr>
          <w:rFonts w:ascii="Arial" w:eastAsia="宋体" w:hAnsi="Arial" w:cs="Arial"/>
          <w:color w:val="000000"/>
          <w:sz w:val="20"/>
          <w:szCs w:val="20"/>
        </w:rPr>
        <w:t xml:space="preserve"> limit the financial relationship we may have with these counterparties.</w:t>
      </w:r>
    </w:p>
    <w:p w14:paraId="5F2C9D54" w14:textId="77777777" w:rsidR="00E836FB" w:rsidRDefault="00994958">
      <w:pPr>
        <w:spacing w:before="60"/>
        <w:ind w:hanging="360"/>
        <w:jc w:val="both"/>
        <w:textAlignment w:val="top"/>
      </w:pPr>
      <w:r>
        <w:rPr>
          <w:rFonts w:ascii="Arial" w:eastAsia="宋体" w:hAnsi="Arial" w:cs="Arial"/>
          <w:color w:val="000000"/>
          <w:sz w:val="20"/>
          <w:szCs w:val="20"/>
        </w:rPr>
        <w:t>•Settlement risks: We are exposed to settlement risks, particularly in our payments and foreign exchange activities. Those activities may lead to extension of credit and consequent lo</w:t>
      </w:r>
      <w:r>
        <w:rPr>
          <w:rFonts w:ascii="Arial" w:eastAsia="宋体" w:hAnsi="Arial" w:cs="Arial"/>
          <w:color w:val="000000"/>
          <w:sz w:val="20"/>
          <w:szCs w:val="20"/>
        </w:rPr>
        <w:t>sses in the event of a counterparty breach or an operational error, including the failure to provide credit. Due to our membership in several industry clearing or settlement exchanges, we may be required to guarantee obligations and liabilities, or provide</w:t>
      </w:r>
      <w:r>
        <w:rPr>
          <w:rFonts w:ascii="Arial" w:eastAsia="宋体" w:hAnsi="Arial" w:cs="Arial"/>
          <w:color w:val="000000"/>
          <w:sz w:val="20"/>
          <w:szCs w:val="20"/>
        </w:rPr>
        <w:t xml:space="preserve"> financial support, in the event that other members do not honor their obligations or default. Moreover, not all of our counterparty exposure is secured, and even when our exposure is secured, the realizable value of the collateral may have declined by the</w:t>
      </w:r>
      <w:r>
        <w:rPr>
          <w:rFonts w:ascii="Arial" w:eastAsia="宋体" w:hAnsi="Arial" w:cs="Arial"/>
          <w:color w:val="000000"/>
          <w:sz w:val="20"/>
          <w:szCs w:val="20"/>
        </w:rPr>
        <w:t xml:space="preserve"> time we exercise our rights against that collateral. This risk may be particularly acute if we are required to sell the collateral into an illiquid or temporarily-impaired market or with respect to clients protected by sovereign immunity. We are exposed t</w:t>
      </w:r>
      <w:r>
        <w:rPr>
          <w:rFonts w:ascii="Arial" w:eastAsia="宋体" w:hAnsi="Arial" w:cs="Arial"/>
          <w:color w:val="000000"/>
          <w:sz w:val="20"/>
          <w:szCs w:val="20"/>
        </w:rPr>
        <w:t xml:space="preserve">o risk of short-term credit or overdraft of our clients in connection with the process to facilitate settlement of trades and related foreign exchange activities, particularly when contractual settlement has been agreed with our clients. The occurrence of </w:t>
      </w:r>
      <w:r>
        <w:rPr>
          <w:rFonts w:ascii="Arial" w:eastAsia="宋体" w:hAnsi="Arial" w:cs="Arial"/>
          <w:color w:val="000000"/>
          <w:sz w:val="20"/>
          <w:szCs w:val="20"/>
        </w:rPr>
        <w:t>overdrafts at peak volatility could create significant credit exposure to our clients depending upon the value of such clients' collateral at the time.</w:t>
      </w:r>
    </w:p>
    <w:p w14:paraId="5F2C9D55" w14:textId="77777777" w:rsidR="00E836FB" w:rsidRDefault="00994958">
      <w:pPr>
        <w:spacing w:before="60"/>
        <w:ind w:hanging="360"/>
        <w:jc w:val="both"/>
        <w:textAlignment w:val="top"/>
      </w:pPr>
      <w:r>
        <w:rPr>
          <w:rFonts w:ascii="Arial" w:eastAsia="宋体" w:hAnsi="Arial" w:cs="Arial"/>
          <w:color w:val="000000"/>
          <w:sz w:val="20"/>
          <w:szCs w:val="20"/>
        </w:rPr>
        <w:t>•Securities lending and repurchase agreement indemnification: On behalf of clients enrolled in our secur</w:t>
      </w:r>
      <w:r>
        <w:rPr>
          <w:rFonts w:ascii="Arial" w:eastAsia="宋体" w:hAnsi="Arial" w:cs="Arial"/>
          <w:color w:val="000000"/>
          <w:sz w:val="20"/>
          <w:szCs w:val="20"/>
        </w:rPr>
        <w:t>ities lending program, we lend securities to banks, broker/dealers and other institutions. In the event of a failure of the borrower to return such securities, we typically agree to indemnify our clients for the amount by which the fair market value of tho</w:t>
      </w:r>
      <w:r>
        <w:rPr>
          <w:rFonts w:ascii="Arial" w:eastAsia="宋体" w:hAnsi="Arial" w:cs="Arial"/>
          <w:color w:val="000000"/>
          <w:sz w:val="20"/>
          <w:szCs w:val="20"/>
        </w:rPr>
        <w:t xml:space="preserve">se securities exceeds the proceeds of the disposition of the collateral posted by the borrower in connection with such transaction. We also lend and borrow securities as riskless principal, and in connection with </w:t>
      </w:r>
    </w:p>
    <w:p w14:paraId="5F2C9D56" w14:textId="77777777" w:rsidR="00E836FB" w:rsidRDefault="00994958">
      <w:pPr>
        <w:ind w:firstLine="450"/>
        <w:jc w:val="right"/>
      </w:pPr>
      <w:r>
        <w:rPr>
          <w:rFonts w:ascii="Arial" w:eastAsia="宋体" w:hAnsi="Arial" w:cs="Arial"/>
          <w:color w:val="000000"/>
          <w:sz w:val="18"/>
          <w:szCs w:val="18"/>
        </w:rPr>
        <w:t>State Street Corporation | 32</w:t>
      </w:r>
    </w:p>
    <w:p w14:paraId="5F2C9D57" w14:textId="77777777" w:rsidR="00E836FB" w:rsidRDefault="00E836FB">
      <w:pPr>
        <w:ind w:firstLine="450"/>
        <w:jc w:val="center"/>
      </w:pPr>
    </w:p>
    <w:p w14:paraId="5F2C9D58" w14:textId="77777777" w:rsidR="00E836FB" w:rsidRDefault="00994958">
      <w:r>
        <w:pict w14:anchorId="5F2D6DA3">
          <v:rect id="_x0000_i1056" style="width:415.3pt;height:1.5pt" o:hralign="center" o:hrstd="t" o:hr="t" fillcolor="#a0a0a0" stroked="f"/>
        </w:pict>
      </w:r>
    </w:p>
    <w:p w14:paraId="5F2C9D59" w14:textId="77777777" w:rsidR="00E836FB" w:rsidRDefault="00E836FB">
      <w:pPr>
        <w:ind w:firstLine="450"/>
      </w:pPr>
    </w:p>
    <w:p w14:paraId="5F2C9D5A" w14:textId="77777777" w:rsidR="00E836FB" w:rsidRDefault="00994958">
      <w:pPr>
        <w:spacing w:before="60"/>
        <w:jc w:val="both"/>
        <w:textAlignment w:val="top"/>
      </w:pPr>
      <w:r>
        <w:rPr>
          <w:rFonts w:ascii="Arial" w:eastAsia="宋体" w:hAnsi="Arial" w:cs="Arial"/>
          <w:color w:val="000000"/>
          <w:sz w:val="20"/>
          <w:szCs w:val="20"/>
        </w:rPr>
        <w:t>those tr</w:t>
      </w:r>
      <w:r>
        <w:rPr>
          <w:rFonts w:ascii="Arial" w:eastAsia="宋体" w:hAnsi="Arial" w:cs="Arial"/>
          <w:color w:val="000000"/>
          <w:sz w:val="20"/>
          <w:szCs w:val="20"/>
        </w:rPr>
        <w:t>ansactions receive a security interest in securities held by the borrowers in their securities portfolios and advance cash or securities as collateral to securities lenders. Borrowers are generally required to provide collateral equal to a contractually ag</w:t>
      </w:r>
      <w:r>
        <w:rPr>
          <w:rFonts w:ascii="Arial" w:eastAsia="宋体" w:hAnsi="Arial" w:cs="Arial"/>
          <w:color w:val="000000"/>
          <w:sz w:val="20"/>
          <w:szCs w:val="20"/>
        </w:rPr>
        <w:t>reed percentage equal to or in excess of the fair market value of the loaned securities. As the fair market value of the loaned securities or collateral changes, additional collateral is provided by the borrower or collateral is returned to the borrower. I</w:t>
      </w:r>
      <w:r>
        <w:rPr>
          <w:rFonts w:ascii="Arial" w:eastAsia="宋体" w:hAnsi="Arial" w:cs="Arial"/>
          <w:color w:val="000000"/>
          <w:sz w:val="20"/>
          <w:szCs w:val="20"/>
        </w:rPr>
        <w:t>n addition, our agency securities lending clients often purchase securities or other financial instruments from financial counterparties, including broker/dealers, under repurchase arrangements, frequently as a method of reinvesting the cash collateral the</w:t>
      </w:r>
      <w:r>
        <w:rPr>
          <w:rFonts w:ascii="Arial" w:eastAsia="宋体" w:hAnsi="Arial" w:cs="Arial"/>
          <w:color w:val="000000"/>
          <w:sz w:val="20"/>
          <w:szCs w:val="20"/>
        </w:rPr>
        <w:t>y receive from lending their securities. Under these arrangements, the counterparty is obligated to repurchase these securities or financial instruments from the client at the same price (plus an agreed rate of return) at some point in the future. The valu</w:t>
      </w:r>
      <w:r>
        <w:rPr>
          <w:rFonts w:ascii="Arial" w:eastAsia="宋体" w:hAnsi="Arial" w:cs="Arial"/>
          <w:color w:val="000000"/>
          <w:sz w:val="20"/>
          <w:szCs w:val="20"/>
        </w:rPr>
        <w:t>e of the collateral is intended to exceed the counterparty's payment obligation, and collateral is adjusted daily to account for shortfall under, or excess over, the agreed-upon collateralization level. As with the securities lending program, we agree to i</w:t>
      </w:r>
      <w:r>
        <w:rPr>
          <w:rFonts w:ascii="Arial" w:eastAsia="宋体" w:hAnsi="Arial" w:cs="Arial"/>
          <w:color w:val="000000"/>
          <w:sz w:val="20"/>
          <w:szCs w:val="20"/>
        </w:rPr>
        <w:t>ndemnify our clients from any loss that would arise on a default by the counterparty under these repurchase arrangements if the proceeds from the disposition of the securities or other financial assets held as collateral are less than the amount of the rep</w:t>
      </w:r>
      <w:r>
        <w:rPr>
          <w:rFonts w:ascii="Arial" w:eastAsia="宋体" w:hAnsi="Arial" w:cs="Arial"/>
          <w:color w:val="000000"/>
          <w:sz w:val="20"/>
          <w:szCs w:val="20"/>
        </w:rPr>
        <w:t>ayment obligation by the client's counterparty. In such instances of counterparty default, for both securities lending and repurchase agreements, we, rather than our client, are exposed to the risks associated with collateral value.</w:t>
      </w:r>
    </w:p>
    <w:p w14:paraId="5F2C9D5B" w14:textId="77777777" w:rsidR="00E836FB" w:rsidRDefault="00994958">
      <w:pPr>
        <w:spacing w:before="60"/>
        <w:ind w:hanging="360"/>
        <w:jc w:val="both"/>
        <w:textAlignment w:val="top"/>
      </w:pPr>
      <w:r>
        <w:rPr>
          <w:rFonts w:ascii="Arial" w:eastAsia="宋体" w:hAnsi="Arial" w:cs="Arial"/>
          <w:color w:val="000000"/>
          <w:sz w:val="20"/>
          <w:szCs w:val="20"/>
        </w:rPr>
        <w:t xml:space="preserve">•Repurchase and resale </w:t>
      </w:r>
      <w:r>
        <w:rPr>
          <w:rFonts w:ascii="Arial" w:eastAsia="宋体" w:hAnsi="Arial" w:cs="Arial"/>
          <w:color w:val="000000"/>
          <w:sz w:val="20"/>
          <w:szCs w:val="20"/>
        </w:rPr>
        <w:t>transactions: We enter into repurchase and resale transactions in eligible securities with sponsored clients and with other FICC members and, pursuant to FICC Government Securities Division rules, submit, novate and net the transactions when specific netti</w:t>
      </w:r>
      <w:r>
        <w:rPr>
          <w:rFonts w:ascii="Arial" w:eastAsia="宋体" w:hAnsi="Arial" w:cs="Arial"/>
          <w:color w:val="000000"/>
          <w:sz w:val="20"/>
          <w:szCs w:val="20"/>
        </w:rPr>
        <w:t>ng criteria are met. We may sponsor clients to clear their eligible repurchase transactions with FICC, backed by our guarantee to FICC of the prompt and full payment and performance of our sponsored member clients’ respective obligations. Although we obtai</w:t>
      </w:r>
      <w:r>
        <w:rPr>
          <w:rFonts w:ascii="Arial" w:eastAsia="宋体" w:hAnsi="Arial" w:cs="Arial"/>
          <w:color w:val="000000"/>
          <w:sz w:val="20"/>
          <w:szCs w:val="20"/>
        </w:rPr>
        <w:t>n a security interest from our sponsored clients in the collateral that they receive, we are exposed to the associated risks, including insufficiency of the value of collateral.</w:t>
      </w:r>
    </w:p>
    <w:p w14:paraId="5F2C9D5C" w14:textId="77777777" w:rsidR="00E836FB" w:rsidRDefault="00994958">
      <w:pPr>
        <w:spacing w:before="60"/>
        <w:ind w:hanging="360"/>
        <w:jc w:val="both"/>
        <w:textAlignment w:val="top"/>
      </w:pPr>
      <w:r>
        <w:rPr>
          <w:rFonts w:ascii="Arial" w:eastAsia="宋体" w:hAnsi="Arial" w:cs="Arial"/>
          <w:color w:val="000000"/>
          <w:sz w:val="20"/>
          <w:szCs w:val="20"/>
        </w:rPr>
        <w:t>•Stable value arrangements: We enter into stable value wrap derivative contrac</w:t>
      </w:r>
      <w:r>
        <w:rPr>
          <w:rFonts w:ascii="Arial" w:eastAsia="宋体" w:hAnsi="Arial" w:cs="Arial"/>
          <w:color w:val="000000"/>
          <w:sz w:val="20"/>
          <w:szCs w:val="20"/>
        </w:rPr>
        <w:t>ts with unaffiliated stable value funds that allow a stable value fund to provide book value coverage to its participants. During the 2008 financial crisis, the book value of obligations under many of these contracts exceeded the market value of the underl</w:t>
      </w:r>
      <w:r>
        <w:rPr>
          <w:rFonts w:ascii="Arial" w:eastAsia="宋体" w:hAnsi="Arial" w:cs="Arial"/>
          <w:color w:val="000000"/>
          <w:sz w:val="20"/>
          <w:szCs w:val="20"/>
        </w:rPr>
        <w:t>ying portfolio holdings. Concerns regarding the portfolio of investments protected by such contracts, or regarding the investment manager overseeing such an investment option, may result in redemption demands from stable value products covered by benefit-r</w:t>
      </w:r>
      <w:r>
        <w:rPr>
          <w:rFonts w:ascii="Arial" w:eastAsia="宋体" w:hAnsi="Arial" w:cs="Arial"/>
          <w:color w:val="000000"/>
          <w:sz w:val="20"/>
          <w:szCs w:val="20"/>
        </w:rPr>
        <w:t>esponsive contracts at a time when the portfolio's market value is less than its book value, potentially exposing us to risk of loss.</w:t>
      </w:r>
    </w:p>
    <w:p w14:paraId="5F2C9D5D" w14:textId="77777777" w:rsidR="00E836FB" w:rsidRDefault="00994958">
      <w:pPr>
        <w:spacing w:before="60"/>
        <w:ind w:hanging="360"/>
        <w:jc w:val="both"/>
        <w:textAlignment w:val="top"/>
      </w:pPr>
      <w:r>
        <w:rPr>
          <w:rFonts w:ascii="Arial" w:eastAsia="宋体" w:hAnsi="Arial" w:cs="Arial"/>
          <w:color w:val="000000"/>
          <w:sz w:val="20"/>
          <w:szCs w:val="20"/>
        </w:rPr>
        <w:t>•Private equity subscription finance credit facilities: We provide credit facilities to private equity funds. The portfoli</w:t>
      </w:r>
      <w:r>
        <w:rPr>
          <w:rFonts w:ascii="Arial" w:eastAsia="宋体" w:hAnsi="Arial" w:cs="Arial"/>
          <w:color w:val="000000"/>
          <w:sz w:val="20"/>
          <w:szCs w:val="20"/>
        </w:rPr>
        <w:t>o consists of capital call lines of credit, the repayment of which is dependent on the receipt of capital calls from the underlying limited partner investors in the funds managed by these firms.</w:t>
      </w:r>
    </w:p>
    <w:p w14:paraId="5F2C9D5E" w14:textId="77777777" w:rsidR="00E836FB" w:rsidRDefault="00994958">
      <w:pPr>
        <w:spacing w:before="60"/>
        <w:ind w:hanging="360"/>
        <w:jc w:val="both"/>
        <w:textAlignment w:val="top"/>
      </w:pPr>
      <w:r>
        <w:rPr>
          <w:rFonts w:ascii="Arial" w:eastAsia="宋体" w:hAnsi="Arial" w:cs="Arial"/>
          <w:color w:val="000000"/>
          <w:sz w:val="20"/>
          <w:szCs w:val="20"/>
        </w:rPr>
        <w:t xml:space="preserve">•U.S. municipal obligations remarketing credit </w:t>
      </w:r>
      <w:r>
        <w:rPr>
          <w:rFonts w:ascii="Arial" w:eastAsia="宋体" w:hAnsi="Arial" w:cs="Arial"/>
          <w:color w:val="000000"/>
          <w:sz w:val="20"/>
          <w:szCs w:val="20"/>
        </w:rPr>
        <w:t>facilities: We provide credit facilities in connection with the remarketing of U.S. municipal obligations, potentially exposing us to credit exposure to the municipalities issuing such bonds and contingent liquidity risk.</w:t>
      </w:r>
    </w:p>
    <w:p w14:paraId="5F2C9D5F" w14:textId="77777777" w:rsidR="00E836FB" w:rsidRDefault="00994958">
      <w:pPr>
        <w:spacing w:before="60"/>
        <w:ind w:hanging="360"/>
        <w:jc w:val="both"/>
        <w:textAlignment w:val="top"/>
      </w:pPr>
      <w:r>
        <w:rPr>
          <w:rFonts w:ascii="Arial" w:eastAsia="宋体" w:hAnsi="Arial" w:cs="Arial"/>
          <w:color w:val="000000"/>
          <w:sz w:val="20"/>
          <w:szCs w:val="20"/>
        </w:rPr>
        <w:t>•Leveraged loans: we invest in lev</w:t>
      </w:r>
      <w:r>
        <w:rPr>
          <w:rFonts w:ascii="Arial" w:eastAsia="宋体" w:hAnsi="Arial" w:cs="Arial"/>
          <w:color w:val="000000"/>
          <w:sz w:val="20"/>
          <w:szCs w:val="20"/>
        </w:rPr>
        <w:t>eraged loans, both in the U.S. and in Europe. We invest in these loans to non-investment grade borrowers through participation in loan syndications in the non-investment grade lending market. We rate these loans as "speculative" under our internal risk-rat</w:t>
      </w:r>
      <w:r>
        <w:rPr>
          <w:rFonts w:ascii="Arial" w:eastAsia="宋体" w:hAnsi="Arial" w:cs="Arial"/>
          <w:color w:val="000000"/>
          <w:sz w:val="20"/>
          <w:szCs w:val="20"/>
        </w:rPr>
        <w:t>ing framework, and these loans have significant exposure to credit losses relative to higher-rated loans. We are therefore at a higher risk of default with respect to these investments relative to other of our investments activities. In addition, unlike ot</w:t>
      </w:r>
      <w:r>
        <w:rPr>
          <w:rFonts w:ascii="Arial" w:eastAsia="宋体" w:hAnsi="Arial" w:cs="Arial"/>
          <w:color w:val="000000"/>
          <w:sz w:val="20"/>
          <w:szCs w:val="20"/>
        </w:rPr>
        <w:t xml:space="preserve">her financial institutions that may have an active role in managing individual loan compliance, our investment in these loans is generally as a passive investor with limited control. As this portfolio becomes more seasoned, our allowance for credit losses </w:t>
      </w:r>
      <w:r>
        <w:rPr>
          <w:rFonts w:ascii="Arial" w:eastAsia="宋体" w:hAnsi="Arial" w:cs="Arial"/>
          <w:color w:val="000000"/>
          <w:sz w:val="20"/>
          <w:szCs w:val="20"/>
        </w:rPr>
        <w:t>related to these loans may increase through additional provisions for credit losses.</w:t>
      </w:r>
    </w:p>
    <w:p w14:paraId="5F2C9D60" w14:textId="77777777" w:rsidR="00E836FB" w:rsidRDefault="00994958">
      <w:pPr>
        <w:spacing w:before="60"/>
        <w:ind w:hanging="360"/>
        <w:jc w:val="both"/>
        <w:textAlignment w:val="top"/>
      </w:pPr>
      <w:r>
        <w:rPr>
          <w:rFonts w:ascii="Arial" w:eastAsia="宋体" w:hAnsi="Arial" w:cs="Arial"/>
          <w:color w:val="000000"/>
          <w:sz w:val="20"/>
          <w:szCs w:val="20"/>
        </w:rPr>
        <w:t>•Commercial real estate: We finance commercial and multi-family properties, which serve as collateral for our loans. Although collateralized, these loans may become under-</w:t>
      </w:r>
      <w:r>
        <w:rPr>
          <w:rFonts w:ascii="Arial" w:eastAsia="宋体" w:hAnsi="Arial" w:cs="Arial"/>
          <w:color w:val="000000"/>
          <w:sz w:val="20"/>
          <w:szCs w:val="20"/>
        </w:rPr>
        <w:t xml:space="preserve">secured if the value of the collateral was over-estimated or changes. Loan </w:t>
      </w:r>
    </w:p>
    <w:p w14:paraId="5F2C9D61" w14:textId="77777777" w:rsidR="00E836FB" w:rsidRDefault="00994958">
      <w:pPr>
        <w:ind w:firstLine="450"/>
        <w:jc w:val="right"/>
      </w:pPr>
      <w:r>
        <w:rPr>
          <w:rFonts w:ascii="Arial" w:eastAsia="宋体" w:hAnsi="Arial" w:cs="Arial"/>
          <w:color w:val="000000"/>
          <w:sz w:val="18"/>
          <w:szCs w:val="18"/>
        </w:rPr>
        <w:t>State Street Corporation | 33</w:t>
      </w:r>
    </w:p>
    <w:p w14:paraId="5F2C9D62" w14:textId="77777777" w:rsidR="00E836FB" w:rsidRDefault="00E836FB">
      <w:pPr>
        <w:ind w:firstLine="450"/>
        <w:jc w:val="center"/>
      </w:pPr>
    </w:p>
    <w:p w14:paraId="5F2C9D63" w14:textId="77777777" w:rsidR="00E836FB" w:rsidRDefault="00994958">
      <w:r>
        <w:pict w14:anchorId="5F2D6DA4">
          <v:rect id="_x0000_i1057" style="width:415.3pt;height:1.5pt" o:hralign="center" o:hrstd="t" o:hr="t" fillcolor="#a0a0a0" stroked="f"/>
        </w:pict>
      </w:r>
    </w:p>
    <w:p w14:paraId="5F2C9D64" w14:textId="77777777" w:rsidR="00E836FB" w:rsidRDefault="00E836FB">
      <w:pPr>
        <w:ind w:firstLine="450"/>
      </w:pPr>
    </w:p>
    <w:p w14:paraId="5F2C9D65" w14:textId="77777777" w:rsidR="00E836FB" w:rsidRDefault="00994958">
      <w:pPr>
        <w:spacing w:before="60"/>
        <w:jc w:val="both"/>
        <w:textAlignment w:val="top"/>
      </w:pPr>
      <w:r>
        <w:rPr>
          <w:rFonts w:ascii="Arial" w:eastAsia="宋体" w:hAnsi="Arial" w:cs="Arial"/>
          <w:color w:val="000000"/>
          <w:sz w:val="20"/>
          <w:szCs w:val="20"/>
        </w:rPr>
        <w:t xml:space="preserve">payments are dependent on the successful operation and management of the underlying collateral property to generate sufficient cash flow to </w:t>
      </w:r>
      <w:r>
        <w:rPr>
          <w:rFonts w:ascii="Arial" w:eastAsia="宋体" w:hAnsi="Arial" w:cs="Arial"/>
          <w:color w:val="000000"/>
          <w:sz w:val="20"/>
          <w:szCs w:val="20"/>
        </w:rPr>
        <w:t>repay the loan in a timely fashion. A material decline in real estate markets or economic conditions could negatively impact value or property performance, which could adversely impact timely loan repayment, which may result in increased provision for cred</w:t>
      </w:r>
      <w:r>
        <w:rPr>
          <w:rFonts w:ascii="Arial" w:eastAsia="宋体" w:hAnsi="Arial" w:cs="Arial"/>
          <w:color w:val="000000"/>
          <w:sz w:val="20"/>
          <w:szCs w:val="20"/>
        </w:rPr>
        <w:t>it losses on loans, and actual losses, either of which would have an adverse impact on our net income.</w:t>
      </w:r>
    </w:p>
    <w:p w14:paraId="5F2C9D66" w14:textId="77777777" w:rsidR="00E836FB" w:rsidRDefault="00994958">
      <w:pPr>
        <w:spacing w:before="60"/>
        <w:ind w:hanging="360"/>
        <w:jc w:val="both"/>
        <w:textAlignment w:val="top"/>
      </w:pPr>
      <w:r>
        <w:rPr>
          <w:rFonts w:ascii="Arial" w:eastAsia="宋体" w:hAnsi="Arial" w:cs="Arial"/>
          <w:color w:val="000000"/>
          <w:sz w:val="20"/>
          <w:szCs w:val="20"/>
        </w:rPr>
        <w:t>•Unavailability of netting: We are generally not able to net exposures across counterparties that are affiliated entities and may not be able in all circ</w:t>
      </w:r>
      <w:r>
        <w:rPr>
          <w:rFonts w:ascii="Arial" w:eastAsia="宋体" w:hAnsi="Arial" w:cs="Arial"/>
          <w:color w:val="000000"/>
          <w:sz w:val="20"/>
          <w:szCs w:val="20"/>
        </w:rPr>
        <w:t>umstances to net exposures to the same legal entity across multiple products. As a consequence, we may incur a loss in relation to one entity or product even though our exposure to an entity's affiliates or across product types is over-collateralized. In s</w:t>
      </w:r>
      <w:r>
        <w:rPr>
          <w:rFonts w:ascii="Arial" w:eastAsia="宋体" w:hAnsi="Arial" w:cs="Arial"/>
          <w:color w:val="000000"/>
          <w:sz w:val="20"/>
          <w:szCs w:val="20"/>
        </w:rPr>
        <w:t>ome cases, for example in our securities finance and foreign exchange activities, we are able to enter into netting agreements that allow us to net offsetting exposures and payment obligations against one another. In the event we become unable, due to oper</w:t>
      </w:r>
      <w:r>
        <w:rPr>
          <w:rFonts w:ascii="Arial" w:eastAsia="宋体" w:hAnsi="Arial" w:cs="Arial"/>
          <w:color w:val="000000"/>
          <w:sz w:val="20"/>
          <w:szCs w:val="20"/>
        </w:rPr>
        <w:t>ational constraints, actions by regulators, changes in accounting principles, law or regulation (or related interpretations) or other factors, to net some or all of our offsetting exposures and payment obligations under those agreements, we would be requir</w:t>
      </w:r>
      <w:r>
        <w:rPr>
          <w:rFonts w:ascii="Arial" w:eastAsia="宋体" w:hAnsi="Arial" w:cs="Arial"/>
          <w:color w:val="000000"/>
          <w:sz w:val="20"/>
          <w:szCs w:val="20"/>
        </w:rPr>
        <w:t>ed to gross up our assets and liabilities on our statement of condition and our calculation of RWA, accordingly. This would result in a potentially adverse impact on our regulatory ratios, including LCR, and present increased credit, liquidity, asset-and-l</w:t>
      </w:r>
      <w:r>
        <w:rPr>
          <w:rFonts w:ascii="Arial" w:eastAsia="宋体" w:hAnsi="Arial" w:cs="Arial"/>
          <w:color w:val="000000"/>
          <w:sz w:val="20"/>
          <w:szCs w:val="20"/>
        </w:rPr>
        <w:t>iability management and operational risks, some of which could be material.</w:t>
      </w:r>
    </w:p>
    <w:p w14:paraId="5F2C9D67" w14:textId="77777777" w:rsidR="00E836FB" w:rsidRDefault="00994958">
      <w:pPr>
        <w:spacing w:before="60"/>
        <w:ind w:firstLine="450"/>
        <w:jc w:val="both"/>
        <w:textAlignment w:val="top"/>
      </w:pPr>
      <w:r>
        <w:rPr>
          <w:rFonts w:ascii="Arial" w:eastAsia="宋体" w:hAnsi="Arial" w:cs="Arial"/>
          <w:color w:val="000000"/>
          <w:sz w:val="20"/>
          <w:szCs w:val="20"/>
        </w:rPr>
        <w:t>Under currently prevailing regulatory restrictions on credit exposure, we are required to limit our exposures to specific issuers or counterparties or groups of counterparties, inc</w:t>
      </w:r>
      <w:r>
        <w:rPr>
          <w:rFonts w:ascii="Arial" w:eastAsia="宋体" w:hAnsi="Arial" w:cs="Arial"/>
          <w:color w:val="000000"/>
          <w:sz w:val="20"/>
          <w:szCs w:val="20"/>
        </w:rPr>
        <w:t>luding financial institutions and sovereign issuers. These credit exposure restrictions have and may further adversely affect certain of our businesses, may require that we expand our credit exposure to a broader range of issuers and counterparties, includ</w:t>
      </w:r>
      <w:r>
        <w:rPr>
          <w:rFonts w:ascii="Arial" w:eastAsia="宋体" w:hAnsi="Arial" w:cs="Arial"/>
          <w:color w:val="000000"/>
          <w:sz w:val="20"/>
          <w:szCs w:val="20"/>
        </w:rPr>
        <w:t xml:space="preserve">ing issuers and counterparties that represent increased credit risk, may reduce or foreclose our ability to enter into advantageous transactions or ventures with particular counterparties and may require that we modify our operating models or the policies </w:t>
      </w:r>
      <w:r>
        <w:rPr>
          <w:rFonts w:ascii="Arial" w:eastAsia="宋体" w:hAnsi="Arial" w:cs="Arial"/>
          <w:color w:val="000000"/>
          <w:sz w:val="20"/>
          <w:szCs w:val="20"/>
        </w:rPr>
        <w:t xml:space="preserve">and practices we use to manage our consolidated statement of condition. The effects of these considerations may increase when evaluated under a stressed environment in stress testing, including CCAR. In addition, we are an </w:t>
      </w:r>
    </w:p>
    <w:p w14:paraId="5F2C9D68" w14:textId="77777777" w:rsidR="00E836FB" w:rsidRDefault="00994958">
      <w:pPr>
        <w:spacing w:before="60"/>
        <w:jc w:val="both"/>
        <w:textAlignment w:val="top"/>
      </w:pPr>
      <w:r>
        <w:rPr>
          <w:rFonts w:ascii="Arial" w:eastAsia="宋体" w:hAnsi="Arial" w:cs="Arial"/>
          <w:color w:val="000000"/>
          <w:sz w:val="20"/>
          <w:szCs w:val="20"/>
        </w:rPr>
        <w:t>adherent to the International Sw</w:t>
      </w:r>
      <w:r>
        <w:rPr>
          <w:rFonts w:ascii="Arial" w:eastAsia="宋体" w:hAnsi="Arial" w:cs="Arial"/>
          <w:color w:val="000000"/>
          <w:sz w:val="20"/>
          <w:szCs w:val="20"/>
        </w:rPr>
        <w:t>aps and Derivatives Association 2015 Universal Resolution Stay Protocol and as such are subject to restrictions against the exercise of rights and remedies against fellow adherents, including other major financial institutions, in the event they or an affi</w:t>
      </w:r>
      <w:r>
        <w:rPr>
          <w:rFonts w:ascii="Arial" w:eastAsia="宋体" w:hAnsi="Arial" w:cs="Arial"/>
          <w:color w:val="000000"/>
          <w:sz w:val="20"/>
          <w:szCs w:val="20"/>
        </w:rPr>
        <w:t>liate of theirs enters into resolution. Although our overall business is subject to these factors, several of our activities are particularly sensitive to them including our currency trading business and our securities finance business. For a discussion of</w:t>
      </w:r>
      <w:r>
        <w:rPr>
          <w:rFonts w:ascii="Arial" w:eastAsia="宋体" w:hAnsi="Arial" w:cs="Arial"/>
          <w:color w:val="000000"/>
          <w:sz w:val="20"/>
          <w:szCs w:val="20"/>
        </w:rPr>
        <w:t xml:space="preserve"> regulatory requirements applicable to our counterparty exposures, see “Item 1. Business-Supervision and Regulation - Enhanced Prudential Standards".</w:t>
      </w:r>
    </w:p>
    <w:p w14:paraId="5F2C9D69" w14:textId="77777777" w:rsidR="00E836FB" w:rsidRDefault="00994958">
      <w:pPr>
        <w:spacing w:before="60"/>
        <w:ind w:firstLine="450"/>
        <w:jc w:val="both"/>
        <w:textAlignment w:val="top"/>
      </w:pPr>
      <w:r>
        <w:rPr>
          <w:rFonts w:ascii="Arial" w:eastAsia="宋体" w:hAnsi="Arial" w:cs="Arial"/>
          <w:color w:val="000000"/>
          <w:sz w:val="20"/>
          <w:szCs w:val="20"/>
        </w:rPr>
        <w:t>Given the limited number of strong counterparties in the current market, we are not able to mitigate all o</w:t>
      </w:r>
      <w:r>
        <w:rPr>
          <w:rFonts w:ascii="Arial" w:eastAsia="宋体" w:hAnsi="Arial" w:cs="Arial"/>
          <w:color w:val="000000"/>
          <w:sz w:val="20"/>
          <w:szCs w:val="20"/>
        </w:rPr>
        <w:t>f our and our clients' counterparty credit risk.</w:t>
      </w:r>
    </w:p>
    <w:p w14:paraId="5F2C9D6A" w14:textId="77777777" w:rsidR="00E836FB" w:rsidRDefault="00994958">
      <w:pPr>
        <w:spacing w:before="90"/>
        <w:jc w:val="both"/>
        <w:textAlignment w:val="top"/>
      </w:pPr>
      <w:r>
        <w:rPr>
          <w:rFonts w:ascii="Arial" w:eastAsia="宋体" w:hAnsi="Arial" w:cs="Arial"/>
          <w:b/>
          <w:bCs/>
          <w:color w:val="000000"/>
          <w:sz w:val="20"/>
          <w:szCs w:val="20"/>
        </w:rPr>
        <w:t>Fee revenue represents a significant majority of our consolidated revenue and is subject to decline, among other things, in the event of a reduction in, or changes to, the level or type of investment activit</w:t>
      </w:r>
      <w:r>
        <w:rPr>
          <w:rFonts w:ascii="Arial" w:eastAsia="宋体" w:hAnsi="Arial" w:cs="Arial"/>
          <w:b/>
          <w:bCs/>
          <w:color w:val="000000"/>
          <w:sz w:val="20"/>
          <w:szCs w:val="20"/>
        </w:rPr>
        <w:t>y by our clients.</w:t>
      </w:r>
    </w:p>
    <w:p w14:paraId="5F2C9D6B" w14:textId="77777777" w:rsidR="00E836FB" w:rsidRDefault="00994958">
      <w:pPr>
        <w:spacing w:before="60"/>
        <w:ind w:firstLine="450"/>
        <w:jc w:val="both"/>
        <w:textAlignment w:val="top"/>
      </w:pPr>
      <w:r>
        <w:rPr>
          <w:rFonts w:ascii="Arial" w:eastAsia="宋体" w:hAnsi="Arial" w:cs="Arial"/>
          <w:color w:val="000000"/>
          <w:sz w:val="20"/>
          <w:szCs w:val="20"/>
        </w:rPr>
        <w:t>We rely primarily on fee-based services to derive our revenue. This contrasts with commercial banks that may rely more heavily on interest-based sources of revenue, such as loans. During 2021, total fee revenue represented approximately 8</w:t>
      </w:r>
      <w:r>
        <w:rPr>
          <w:rFonts w:ascii="Arial" w:eastAsia="宋体" w:hAnsi="Arial" w:cs="Arial"/>
          <w:color w:val="000000"/>
          <w:sz w:val="20"/>
          <w:szCs w:val="20"/>
        </w:rPr>
        <w:t>3% of our total revenue. Fee revenue generated by our Investment Servicing and Investment Management businesses is augmented by foreign exchange trading services, securities finance and software and processing fee revenue. The level of these fees is influe</w:t>
      </w:r>
      <w:r>
        <w:rPr>
          <w:rFonts w:ascii="Arial" w:eastAsia="宋体" w:hAnsi="Arial" w:cs="Arial"/>
          <w:color w:val="000000"/>
          <w:sz w:val="20"/>
          <w:szCs w:val="20"/>
        </w:rPr>
        <w:t>nced by several factors, including the mix and volume of our AUC/A and our AUM, the value and type of securities positions held (with respect to AUC/A) and the volume of our clients' portfolio transactions, and the types of products and services used by ou</w:t>
      </w:r>
      <w:r>
        <w:rPr>
          <w:rFonts w:ascii="Arial" w:eastAsia="宋体" w:hAnsi="Arial" w:cs="Arial"/>
          <w:color w:val="000000"/>
          <w:sz w:val="20"/>
          <w:szCs w:val="20"/>
        </w:rPr>
        <w:t>r clients. Our fee revenue would be negatively affected, potentially materially, by a decline in the market value of client portfolios resulting from a broad market correction, especially in equity markets.</w:t>
      </w:r>
    </w:p>
    <w:p w14:paraId="5F2C9D6C" w14:textId="77777777" w:rsidR="00E836FB" w:rsidRDefault="00994958">
      <w:pPr>
        <w:spacing w:before="60"/>
        <w:ind w:firstLine="450"/>
        <w:jc w:val="both"/>
        <w:textAlignment w:val="top"/>
      </w:pPr>
      <w:r>
        <w:rPr>
          <w:rFonts w:ascii="Arial" w:eastAsia="宋体" w:hAnsi="Arial" w:cs="Arial"/>
          <w:color w:val="000000"/>
          <w:sz w:val="20"/>
          <w:szCs w:val="20"/>
        </w:rPr>
        <w:t>In addition, our clients include institutional in</w:t>
      </w:r>
      <w:r>
        <w:rPr>
          <w:rFonts w:ascii="Arial" w:eastAsia="宋体" w:hAnsi="Arial" w:cs="Arial"/>
          <w:color w:val="000000"/>
          <w:sz w:val="20"/>
          <w:szCs w:val="20"/>
        </w:rPr>
        <w:t>vestors, such as mutual funds, collective investment funds, UCITS, hedge funds and other investment pools, corporate and public retirement plans, insurance companies, foundations, endowments and investment managers. Economic, market or other factors that r</w:t>
      </w:r>
      <w:r>
        <w:rPr>
          <w:rFonts w:ascii="Arial" w:eastAsia="宋体" w:hAnsi="Arial" w:cs="Arial"/>
          <w:color w:val="000000"/>
          <w:sz w:val="20"/>
          <w:szCs w:val="20"/>
        </w:rPr>
        <w:t>educe the level or rates of savings in or with those institutions, either through reductions in financial asset valuations or through changes in investor preferences, could materially reduce our fee revenue and have a material adverse effect on our consoli</w:t>
      </w:r>
      <w:r>
        <w:rPr>
          <w:rFonts w:ascii="Arial" w:eastAsia="宋体" w:hAnsi="Arial" w:cs="Arial"/>
          <w:color w:val="000000"/>
          <w:sz w:val="20"/>
          <w:szCs w:val="20"/>
        </w:rPr>
        <w:t xml:space="preserve">dated results of operations. </w:t>
      </w:r>
    </w:p>
    <w:p w14:paraId="5F2C9D6D" w14:textId="77777777" w:rsidR="00E836FB" w:rsidRDefault="00994958">
      <w:pPr>
        <w:ind w:firstLine="450"/>
        <w:jc w:val="right"/>
      </w:pPr>
      <w:r>
        <w:rPr>
          <w:rFonts w:ascii="Arial" w:eastAsia="宋体" w:hAnsi="Arial" w:cs="Arial"/>
          <w:color w:val="000000"/>
          <w:sz w:val="18"/>
          <w:szCs w:val="18"/>
        </w:rPr>
        <w:t>State Street Corporation | 34</w:t>
      </w:r>
    </w:p>
    <w:p w14:paraId="5F2C9D6E" w14:textId="77777777" w:rsidR="00E836FB" w:rsidRDefault="00E836FB">
      <w:pPr>
        <w:ind w:firstLine="450"/>
        <w:jc w:val="center"/>
      </w:pPr>
    </w:p>
    <w:p w14:paraId="5F2C9D6F" w14:textId="77777777" w:rsidR="00E836FB" w:rsidRDefault="00994958">
      <w:r>
        <w:pict w14:anchorId="5F2D6DA5">
          <v:rect id="_x0000_i1058" style="width:415.3pt;height:1.5pt" o:hralign="center" o:hrstd="t" o:hr="t" fillcolor="#a0a0a0" stroked="f"/>
        </w:pict>
      </w:r>
    </w:p>
    <w:p w14:paraId="5F2C9D70" w14:textId="77777777" w:rsidR="00E836FB" w:rsidRDefault="00E836FB">
      <w:pPr>
        <w:ind w:firstLine="450"/>
      </w:pPr>
    </w:p>
    <w:p w14:paraId="5F2C9D71" w14:textId="77777777" w:rsidR="00E836FB" w:rsidRDefault="00994958">
      <w:pPr>
        <w:spacing w:before="90"/>
        <w:jc w:val="both"/>
        <w:textAlignment w:val="top"/>
      </w:pPr>
      <w:r>
        <w:rPr>
          <w:rFonts w:ascii="Arial" w:eastAsia="宋体" w:hAnsi="Arial" w:cs="Arial"/>
          <w:b/>
          <w:bCs/>
          <w:color w:val="000000"/>
          <w:sz w:val="20"/>
          <w:szCs w:val="20"/>
        </w:rPr>
        <w:t>If we are unable to effectively manage our capital and liquidity, including by continuously attracting deposits and other short-term funding, our consolidated financial condition, including ou</w:t>
      </w:r>
      <w:r>
        <w:rPr>
          <w:rFonts w:ascii="Arial" w:eastAsia="宋体" w:hAnsi="Arial" w:cs="Arial"/>
          <w:b/>
          <w:bCs/>
          <w:color w:val="000000"/>
          <w:sz w:val="20"/>
          <w:szCs w:val="20"/>
        </w:rPr>
        <w:t>r regulatory capital ratios, our consolidated results of operations and our business prospects, could be adversely affected.</w:t>
      </w:r>
    </w:p>
    <w:p w14:paraId="5F2C9D72" w14:textId="77777777" w:rsidR="00E836FB" w:rsidRDefault="00994958">
      <w:pPr>
        <w:spacing w:before="60"/>
        <w:ind w:firstLine="450"/>
        <w:jc w:val="both"/>
        <w:textAlignment w:val="top"/>
      </w:pPr>
      <w:r>
        <w:rPr>
          <w:rFonts w:ascii="Arial" w:eastAsia="宋体" w:hAnsi="Arial" w:cs="Arial"/>
          <w:color w:val="000000"/>
          <w:sz w:val="20"/>
          <w:szCs w:val="20"/>
        </w:rPr>
        <w:t>Liquidity management, including on an intra-day basis, is critical to the management of our consolidated statement of condition and</w:t>
      </w:r>
      <w:r>
        <w:rPr>
          <w:rFonts w:ascii="Arial" w:eastAsia="宋体" w:hAnsi="Arial" w:cs="Arial"/>
          <w:color w:val="000000"/>
          <w:sz w:val="20"/>
          <w:szCs w:val="20"/>
        </w:rPr>
        <w:t xml:space="preserve"> to our ability to service our client base. We generally use our liquidity to:</w:t>
      </w:r>
    </w:p>
    <w:p w14:paraId="5F2C9D73" w14:textId="77777777" w:rsidR="00E836FB" w:rsidRDefault="00994958">
      <w:pPr>
        <w:spacing w:before="60"/>
        <w:ind w:hanging="360"/>
        <w:jc w:val="both"/>
        <w:textAlignment w:val="top"/>
      </w:pPr>
      <w:r>
        <w:rPr>
          <w:rFonts w:ascii="Arial" w:eastAsia="宋体" w:hAnsi="Arial" w:cs="Arial"/>
          <w:color w:val="000000"/>
          <w:sz w:val="20"/>
          <w:szCs w:val="20"/>
        </w:rPr>
        <w:t>•meet clients' demands for return of their deposits;</w:t>
      </w:r>
    </w:p>
    <w:p w14:paraId="5F2C9D74" w14:textId="77777777" w:rsidR="00E836FB" w:rsidRDefault="00994958">
      <w:pPr>
        <w:spacing w:before="60"/>
        <w:ind w:hanging="360"/>
        <w:jc w:val="both"/>
        <w:textAlignment w:val="top"/>
      </w:pPr>
      <w:r>
        <w:rPr>
          <w:rFonts w:ascii="Arial" w:eastAsia="宋体" w:hAnsi="Arial" w:cs="Arial"/>
          <w:color w:val="000000"/>
          <w:sz w:val="20"/>
          <w:szCs w:val="20"/>
        </w:rPr>
        <w:t>•extend credit to our clients in connection with our investor services businesses; and</w:t>
      </w:r>
    </w:p>
    <w:p w14:paraId="5F2C9D75" w14:textId="77777777" w:rsidR="00E836FB" w:rsidRDefault="00994958">
      <w:pPr>
        <w:spacing w:before="60"/>
        <w:ind w:hanging="360"/>
        <w:jc w:val="both"/>
        <w:textAlignment w:val="top"/>
      </w:pPr>
      <w:r>
        <w:rPr>
          <w:rFonts w:ascii="Arial" w:eastAsia="宋体" w:hAnsi="Arial" w:cs="Arial"/>
          <w:color w:val="000000"/>
          <w:sz w:val="20"/>
          <w:szCs w:val="20"/>
        </w:rPr>
        <w:t>•fund the pool of long- and intermedi</w:t>
      </w:r>
      <w:r>
        <w:rPr>
          <w:rFonts w:ascii="Arial" w:eastAsia="宋体" w:hAnsi="Arial" w:cs="Arial"/>
          <w:color w:val="000000"/>
          <w:sz w:val="20"/>
          <w:szCs w:val="20"/>
        </w:rPr>
        <w:t>ate-term assets that are included in the investment securities and loan portfolio carried in our consolidated statement of condition.</w:t>
      </w:r>
    </w:p>
    <w:p w14:paraId="5F2C9D76" w14:textId="77777777" w:rsidR="00E836FB" w:rsidRDefault="00994958">
      <w:pPr>
        <w:spacing w:before="60"/>
        <w:ind w:firstLine="450"/>
        <w:jc w:val="both"/>
        <w:textAlignment w:val="top"/>
      </w:pPr>
      <w:r>
        <w:rPr>
          <w:rFonts w:ascii="Arial" w:eastAsia="宋体" w:hAnsi="Arial" w:cs="Arial"/>
          <w:color w:val="000000"/>
          <w:sz w:val="20"/>
          <w:szCs w:val="20"/>
        </w:rPr>
        <w:t>Because the demand for credit by our clients, particularly settlement related extensions of credit, is difficult to predic</w:t>
      </w:r>
      <w:r>
        <w:rPr>
          <w:rFonts w:ascii="Arial" w:eastAsia="宋体" w:hAnsi="Arial" w:cs="Arial"/>
          <w:color w:val="000000"/>
          <w:sz w:val="20"/>
          <w:szCs w:val="20"/>
        </w:rPr>
        <w:t>t and control, and may be at its peak at times of disruption in the securities markets, and because the average maturity of our investment securities and loan portfolios is longer than the contractual maturity of our client deposit base, we need to continu</w:t>
      </w:r>
      <w:r>
        <w:rPr>
          <w:rFonts w:ascii="Arial" w:eastAsia="宋体" w:hAnsi="Arial" w:cs="Arial"/>
          <w:color w:val="000000"/>
          <w:sz w:val="20"/>
          <w:szCs w:val="20"/>
        </w:rPr>
        <w:t>ously attract, and are dependent on access to, various sources of short-term funding. Since the 2008 financial crisis, the level of client deposits held by us has tended to increase during times of market disruption; however, since such deposits are consid</w:t>
      </w:r>
      <w:r>
        <w:rPr>
          <w:rFonts w:ascii="Arial" w:eastAsia="宋体" w:hAnsi="Arial" w:cs="Arial"/>
          <w:color w:val="000000"/>
          <w:sz w:val="20"/>
          <w:szCs w:val="20"/>
        </w:rPr>
        <w:t>ered to be transitory, we have historically deposited so-called excess deposits with U.S. and non-U.S. central banks and in other highly liquid but low-yielding instruments. These levels of excess client deposits, when they manifest, have increased our NII</w:t>
      </w:r>
      <w:r>
        <w:rPr>
          <w:rFonts w:ascii="Arial" w:eastAsia="宋体" w:hAnsi="Arial" w:cs="Arial"/>
          <w:color w:val="000000"/>
          <w:sz w:val="20"/>
          <w:szCs w:val="20"/>
        </w:rPr>
        <w:t xml:space="preserve"> but have adversely affected our NIM.</w:t>
      </w:r>
    </w:p>
    <w:p w14:paraId="5F2C9D77" w14:textId="77777777" w:rsidR="00E836FB" w:rsidRDefault="00994958">
      <w:pPr>
        <w:spacing w:before="60"/>
        <w:ind w:firstLine="450"/>
        <w:jc w:val="both"/>
        <w:textAlignment w:val="top"/>
      </w:pPr>
      <w:r>
        <w:rPr>
          <w:rFonts w:ascii="Arial" w:eastAsia="宋体" w:hAnsi="Arial" w:cs="Arial"/>
          <w:color w:val="000000"/>
          <w:sz w:val="20"/>
          <w:szCs w:val="20"/>
        </w:rPr>
        <w:t xml:space="preserve">In managing our liquidity, our primary source of short-term funding is client deposits, which are predominantly transaction-based deposits by institutional investors. Our ability to continue to attract these deposits, </w:t>
      </w:r>
      <w:r>
        <w:rPr>
          <w:rFonts w:ascii="Arial" w:eastAsia="宋体" w:hAnsi="Arial" w:cs="Arial"/>
          <w:color w:val="000000"/>
          <w:sz w:val="20"/>
          <w:szCs w:val="20"/>
        </w:rPr>
        <w:t>and other short-term funding sources such as certificates of deposit, is subject to variability based on a number of factors, including volume and volatility in global financial markets, the interest rates that we are prepared to pay for these deposits, th</w:t>
      </w:r>
      <w:r>
        <w:rPr>
          <w:rFonts w:ascii="Arial" w:eastAsia="宋体" w:hAnsi="Arial" w:cs="Arial"/>
          <w:color w:val="000000"/>
          <w:sz w:val="20"/>
          <w:szCs w:val="20"/>
        </w:rPr>
        <w:t>e loss or gain of one or more clients, client interest in reducing non-interest bearing deposits, the perception of safety of these deposits or short-term obligations relative to alternative short-term investments available to our clients, including the ca</w:t>
      </w:r>
      <w:r>
        <w:rPr>
          <w:rFonts w:ascii="Arial" w:eastAsia="宋体" w:hAnsi="Arial" w:cs="Arial"/>
          <w:color w:val="000000"/>
          <w:sz w:val="20"/>
          <w:szCs w:val="20"/>
        </w:rPr>
        <w:t xml:space="preserve">pital markets, and the classification of certain deposits for regulatory purposes and related discussions we may have from time to time with clients regarding better balancing our clients' cash </w:t>
      </w:r>
    </w:p>
    <w:p w14:paraId="5F2C9D78" w14:textId="77777777" w:rsidR="00E836FB" w:rsidRDefault="00994958">
      <w:pPr>
        <w:spacing w:before="60"/>
        <w:jc w:val="both"/>
        <w:textAlignment w:val="top"/>
      </w:pPr>
      <w:r>
        <w:rPr>
          <w:rFonts w:ascii="Arial" w:eastAsia="宋体" w:hAnsi="Arial" w:cs="Arial"/>
          <w:color w:val="000000"/>
          <w:sz w:val="20"/>
          <w:szCs w:val="20"/>
        </w:rPr>
        <w:t>management needs with our economic and regulatory objectives.</w:t>
      </w:r>
    </w:p>
    <w:p w14:paraId="5F2C9D79" w14:textId="77777777" w:rsidR="00E836FB" w:rsidRDefault="00994958">
      <w:pPr>
        <w:spacing w:before="60"/>
        <w:ind w:firstLine="450"/>
        <w:jc w:val="both"/>
        <w:textAlignment w:val="top"/>
      </w:pPr>
      <w:r>
        <w:rPr>
          <w:rFonts w:ascii="Arial" w:eastAsia="宋体" w:hAnsi="Arial" w:cs="Arial"/>
          <w:color w:val="000000"/>
          <w:sz w:val="20"/>
          <w:szCs w:val="20"/>
        </w:rPr>
        <w:t xml:space="preserve">The Parent Company is a non-operating holding company and generally maintains only limited cash and other liquid resources at any time primarily to meet anticipated near-term obligations. To effectively manage our liquidity we routinely transfer </w:t>
      </w:r>
      <w:r>
        <w:rPr>
          <w:rFonts w:ascii="Arial" w:eastAsia="宋体" w:hAnsi="Arial" w:cs="Arial"/>
          <w:color w:val="000000"/>
          <w:sz w:val="20"/>
          <w:szCs w:val="20"/>
        </w:rPr>
        <w:t>assets among affiliated entities, subsidiaries and branches. Internal or external factors, such as regulatory requirements and standards, including resolution planning and restrictions on dividend distributions, influence our liquidity management and may l</w:t>
      </w:r>
      <w:r>
        <w:rPr>
          <w:rFonts w:ascii="Arial" w:eastAsia="宋体" w:hAnsi="Arial" w:cs="Arial"/>
          <w:color w:val="000000"/>
          <w:sz w:val="20"/>
          <w:szCs w:val="20"/>
        </w:rPr>
        <w:t>imit our ability to effectively transfer liquidity internally which could, among other things, restrict our ability to fund operations, dividends or stock repurchases or pay interest on debt securities or require us to seek external and potentially more co</w:t>
      </w:r>
      <w:r>
        <w:rPr>
          <w:rFonts w:ascii="Arial" w:eastAsia="宋体" w:hAnsi="Arial" w:cs="Arial"/>
          <w:color w:val="000000"/>
          <w:sz w:val="20"/>
          <w:szCs w:val="20"/>
        </w:rPr>
        <w:t>stly capital and impact our liquidity position.</w:t>
      </w:r>
    </w:p>
    <w:p w14:paraId="5F2C9D7A" w14:textId="77777777" w:rsidR="00E836FB" w:rsidRDefault="00994958">
      <w:pPr>
        <w:spacing w:before="60"/>
        <w:ind w:firstLine="450"/>
        <w:jc w:val="both"/>
        <w:textAlignment w:val="top"/>
      </w:pPr>
      <w:r>
        <w:rPr>
          <w:rFonts w:ascii="Arial" w:eastAsia="宋体" w:hAnsi="Arial" w:cs="Arial"/>
          <w:color w:val="000000"/>
          <w:sz w:val="20"/>
          <w:szCs w:val="20"/>
        </w:rPr>
        <w:t>In addition, while not obligations of ours, the investment products that we manage for third parties may be exposed to liquidity risks. These products may be funded on a short-term basis or the clients partic</w:t>
      </w:r>
      <w:r>
        <w:rPr>
          <w:rFonts w:ascii="Arial" w:eastAsia="宋体" w:hAnsi="Arial" w:cs="Arial"/>
          <w:color w:val="000000"/>
          <w:sz w:val="20"/>
          <w:szCs w:val="20"/>
        </w:rPr>
        <w:t xml:space="preserve">ipating in these products may have a right to the return of cash or assets on limited notice. These business activities include, among others, securities finance collateral pools, money market and other short-term investment funds and liquidity facilities </w:t>
      </w:r>
      <w:r>
        <w:rPr>
          <w:rFonts w:ascii="Arial" w:eastAsia="宋体" w:hAnsi="Arial" w:cs="Arial"/>
          <w:color w:val="000000"/>
          <w:sz w:val="20"/>
          <w:szCs w:val="20"/>
        </w:rPr>
        <w:t>utilized in connection with municipal bond programs. If clients demand a return of their cash or assets, particularly on limited notice, and these investment pools do not have the liquidity to support those demands, we could be forced to sell investment se</w:t>
      </w:r>
      <w:r>
        <w:rPr>
          <w:rFonts w:ascii="Arial" w:eastAsia="宋体" w:hAnsi="Arial" w:cs="Arial"/>
          <w:color w:val="000000"/>
          <w:sz w:val="20"/>
          <w:szCs w:val="20"/>
        </w:rPr>
        <w:t>curities held by these asset pools at unfavorable prices, damaging our reputation as a service provider and potentially exposing us to claims related to our management of the pools.</w:t>
      </w:r>
    </w:p>
    <w:p w14:paraId="5F2C9D7B" w14:textId="77777777" w:rsidR="00E836FB" w:rsidRDefault="00994958">
      <w:pPr>
        <w:spacing w:before="60"/>
        <w:ind w:firstLine="450"/>
        <w:jc w:val="both"/>
        <w:textAlignment w:val="top"/>
      </w:pPr>
      <w:r>
        <w:rPr>
          <w:rFonts w:ascii="Arial" w:eastAsia="宋体" w:hAnsi="Arial" w:cs="Arial"/>
          <w:color w:val="000000"/>
          <w:sz w:val="20"/>
          <w:szCs w:val="20"/>
        </w:rPr>
        <w:t>The availability and cost of credit in short-term markets are highly depen</w:t>
      </w:r>
      <w:r>
        <w:rPr>
          <w:rFonts w:ascii="Arial" w:eastAsia="宋体" w:hAnsi="Arial" w:cs="Arial"/>
          <w:color w:val="000000"/>
          <w:sz w:val="20"/>
          <w:szCs w:val="20"/>
        </w:rPr>
        <w:t>dent on the markets' perception of our liquidity and creditworthiness. Our efforts to monitor and manage our liquidity risk, including on an intra-day basis, may not be successful or sufficient to deal with dramatic or unanticipated changes in the global s</w:t>
      </w:r>
      <w:r>
        <w:rPr>
          <w:rFonts w:ascii="Arial" w:eastAsia="宋体" w:hAnsi="Arial" w:cs="Arial"/>
          <w:color w:val="000000"/>
          <w:sz w:val="20"/>
          <w:szCs w:val="20"/>
        </w:rPr>
        <w:t>ecurities markets or other event-driven reductions in liquidity. As a result of such events, among other things, our cost of funds may increase, thereby reducing our NII, or we may need to dispose of a portion of our investment securities portfolio, which,</w:t>
      </w:r>
      <w:r>
        <w:rPr>
          <w:rFonts w:ascii="Arial" w:eastAsia="宋体" w:hAnsi="Arial" w:cs="Arial"/>
          <w:color w:val="000000"/>
          <w:sz w:val="20"/>
          <w:szCs w:val="20"/>
        </w:rPr>
        <w:t xml:space="preserve"> depending on market conditions, could result in a loss from such sales of investment securities being recorded in our consolidated statement of income.</w:t>
      </w:r>
    </w:p>
    <w:p w14:paraId="5F2C9D7C" w14:textId="77777777" w:rsidR="00E836FB" w:rsidRDefault="00994958">
      <w:pPr>
        <w:ind w:firstLine="450"/>
        <w:jc w:val="right"/>
      </w:pPr>
      <w:r>
        <w:rPr>
          <w:rFonts w:ascii="Arial" w:eastAsia="宋体" w:hAnsi="Arial" w:cs="Arial"/>
          <w:color w:val="000000"/>
          <w:sz w:val="18"/>
          <w:szCs w:val="18"/>
        </w:rPr>
        <w:t>State Street Corporation | 35</w:t>
      </w:r>
    </w:p>
    <w:p w14:paraId="5F2C9D7D" w14:textId="77777777" w:rsidR="00E836FB" w:rsidRDefault="00E836FB">
      <w:pPr>
        <w:ind w:firstLine="450"/>
        <w:jc w:val="center"/>
      </w:pPr>
    </w:p>
    <w:p w14:paraId="5F2C9D7E" w14:textId="77777777" w:rsidR="00E836FB" w:rsidRDefault="00994958">
      <w:r>
        <w:pict w14:anchorId="5F2D6DA6">
          <v:rect id="_x0000_i1059" style="width:415.3pt;height:1.5pt" o:hralign="center" o:hrstd="t" o:hr="t" fillcolor="#a0a0a0" stroked="f"/>
        </w:pict>
      </w:r>
    </w:p>
    <w:p w14:paraId="5F2C9D7F" w14:textId="77777777" w:rsidR="00E836FB" w:rsidRDefault="00E836FB">
      <w:pPr>
        <w:ind w:firstLine="450"/>
      </w:pPr>
    </w:p>
    <w:p w14:paraId="5F2C9D80" w14:textId="77777777" w:rsidR="00E836FB" w:rsidRDefault="00994958">
      <w:pPr>
        <w:spacing w:before="90"/>
        <w:jc w:val="both"/>
        <w:textAlignment w:val="top"/>
      </w:pPr>
      <w:r>
        <w:rPr>
          <w:rFonts w:ascii="Arial" w:eastAsia="宋体" w:hAnsi="Arial" w:cs="Arial"/>
          <w:b/>
          <w:bCs/>
          <w:color w:val="000000"/>
          <w:sz w:val="20"/>
          <w:szCs w:val="20"/>
        </w:rPr>
        <w:t xml:space="preserve">We may need to raise additional capital or debt in the future, which </w:t>
      </w:r>
      <w:r>
        <w:rPr>
          <w:rFonts w:ascii="Arial" w:eastAsia="宋体" w:hAnsi="Arial" w:cs="Arial"/>
          <w:b/>
          <w:bCs/>
          <w:color w:val="000000"/>
          <w:sz w:val="20"/>
          <w:szCs w:val="20"/>
        </w:rPr>
        <w:t>may not be available to us or may only be available on unfavorable terms.</w:t>
      </w:r>
    </w:p>
    <w:p w14:paraId="5F2C9D81" w14:textId="77777777" w:rsidR="00E836FB" w:rsidRDefault="00994958">
      <w:pPr>
        <w:spacing w:before="60"/>
        <w:ind w:firstLine="450"/>
        <w:jc w:val="both"/>
        <w:textAlignment w:val="top"/>
      </w:pPr>
      <w:r>
        <w:rPr>
          <w:rFonts w:ascii="Arial" w:eastAsia="宋体" w:hAnsi="Arial" w:cs="Arial"/>
          <w:color w:val="000000"/>
          <w:sz w:val="20"/>
          <w:szCs w:val="20"/>
        </w:rPr>
        <w:t xml:space="preserve">We may need to raise additional capital or debt in order to maintain our credit ratings, in response to regulatory changes, including capital rules, or for other purposes, including </w:t>
      </w:r>
      <w:r>
        <w:rPr>
          <w:rFonts w:ascii="Arial" w:eastAsia="宋体" w:hAnsi="Arial" w:cs="Arial"/>
          <w:color w:val="000000"/>
          <w:sz w:val="20"/>
          <w:szCs w:val="20"/>
        </w:rPr>
        <w:t>financing acquisitions and joint ventures. For example, in March 2021 and November 2021, we issued additional long-term debt in order to maintain levels to satisfy internal and regulatory requirements, and in September 2021, we issued common stock to finan</w:t>
      </w:r>
      <w:r>
        <w:rPr>
          <w:rFonts w:ascii="Arial" w:eastAsia="宋体" w:hAnsi="Arial" w:cs="Arial"/>
          <w:color w:val="000000"/>
          <w:sz w:val="20"/>
          <w:szCs w:val="20"/>
        </w:rPr>
        <w:t>ce our acquisition of the BBH Investor Services business.</w:t>
      </w:r>
    </w:p>
    <w:p w14:paraId="5F2C9D82" w14:textId="77777777" w:rsidR="00E836FB" w:rsidRDefault="00994958">
      <w:pPr>
        <w:spacing w:before="60"/>
        <w:ind w:firstLine="450"/>
        <w:jc w:val="both"/>
        <w:textAlignment w:val="top"/>
      </w:pPr>
      <w:r>
        <w:rPr>
          <w:rFonts w:ascii="Arial" w:eastAsia="宋体" w:hAnsi="Arial" w:cs="Arial"/>
          <w:color w:val="000000"/>
          <w:sz w:val="20"/>
          <w:szCs w:val="20"/>
        </w:rPr>
        <w:t>However, our ability to access the capital markets, if needed, on a timely basis or at all will depend on a number of factors, such as the state of the financial markets and securities law requireme</w:t>
      </w:r>
      <w:r>
        <w:rPr>
          <w:rFonts w:ascii="Arial" w:eastAsia="宋体" w:hAnsi="Arial" w:cs="Arial"/>
          <w:color w:val="000000"/>
          <w:sz w:val="20"/>
          <w:szCs w:val="20"/>
        </w:rPr>
        <w:t>nts and standards. In the event of rising interest rates, disruptions in financial markets, negative perceptions of our business or our financial strength, or other factors that would increase our cost of borrowing, we cannot be sure of our ability to rais</w:t>
      </w:r>
      <w:r>
        <w:rPr>
          <w:rFonts w:ascii="Arial" w:eastAsia="宋体" w:hAnsi="Arial" w:cs="Arial"/>
          <w:color w:val="000000"/>
          <w:sz w:val="20"/>
          <w:szCs w:val="20"/>
        </w:rPr>
        <w:t>e additional capital or debt, if needed, on terms acceptable to us. Any diminished ability to raise additional capital or debt, if needed, could adversely affect our business and our ability to implement our business plan, capital plan and strategic goals,</w:t>
      </w:r>
      <w:r>
        <w:rPr>
          <w:rFonts w:ascii="Arial" w:eastAsia="宋体" w:hAnsi="Arial" w:cs="Arial"/>
          <w:color w:val="000000"/>
          <w:sz w:val="20"/>
          <w:szCs w:val="20"/>
        </w:rPr>
        <w:t xml:space="preserve"> including the financing of acquisitions and joint ventures and our efforts to maintain regulatory compliance.</w:t>
      </w:r>
    </w:p>
    <w:p w14:paraId="5F2C9D83" w14:textId="77777777" w:rsidR="00E836FB" w:rsidRDefault="00994958">
      <w:pPr>
        <w:spacing w:before="90"/>
        <w:jc w:val="both"/>
        <w:textAlignment w:val="top"/>
      </w:pPr>
      <w:r>
        <w:rPr>
          <w:rFonts w:ascii="Arial" w:eastAsia="宋体" w:hAnsi="Arial" w:cs="Arial"/>
          <w:b/>
          <w:bCs/>
          <w:color w:val="000000"/>
          <w:sz w:val="20"/>
          <w:szCs w:val="20"/>
        </w:rPr>
        <w:t xml:space="preserve">Any downgrades in our credit ratings, or an actual or perceived reduction in our financial strength, could adversely affect our borrowing costs, </w:t>
      </w:r>
      <w:r>
        <w:rPr>
          <w:rFonts w:ascii="Arial" w:eastAsia="宋体" w:hAnsi="Arial" w:cs="Arial"/>
          <w:b/>
          <w:bCs/>
          <w:color w:val="000000"/>
          <w:sz w:val="20"/>
          <w:szCs w:val="20"/>
        </w:rPr>
        <w:t>capital costs and liquidity position and cause reputational harm.</w:t>
      </w:r>
    </w:p>
    <w:p w14:paraId="5F2C9D84" w14:textId="77777777" w:rsidR="00E836FB" w:rsidRDefault="00994958">
      <w:pPr>
        <w:spacing w:before="60"/>
        <w:ind w:firstLine="450"/>
        <w:jc w:val="both"/>
        <w:textAlignment w:val="top"/>
      </w:pPr>
      <w:r>
        <w:rPr>
          <w:rFonts w:ascii="Arial" w:eastAsia="宋体" w:hAnsi="Arial" w:cs="Arial"/>
          <w:color w:val="000000"/>
          <w:sz w:val="20"/>
          <w:szCs w:val="20"/>
        </w:rPr>
        <w:t>Major independent rating agencies publish credit ratings for our debt obligations based on their evaluation of a number of factors, some of which relate to our performance and other corporat</w:t>
      </w:r>
      <w:r>
        <w:rPr>
          <w:rFonts w:ascii="Arial" w:eastAsia="宋体" w:hAnsi="Arial" w:cs="Arial"/>
          <w:color w:val="000000"/>
          <w:sz w:val="20"/>
          <w:szCs w:val="20"/>
        </w:rPr>
        <w:t>e developments, including financings, acquisitions and joint ventures, and some of which relate to general industry conditions. We anticipate that the rating agencies will continue to review our ratings regularly based on our consolidated results of operat</w:t>
      </w:r>
      <w:r>
        <w:rPr>
          <w:rFonts w:ascii="Arial" w:eastAsia="宋体" w:hAnsi="Arial" w:cs="Arial"/>
          <w:color w:val="000000"/>
          <w:sz w:val="20"/>
          <w:szCs w:val="20"/>
        </w:rPr>
        <w:t xml:space="preserve">ions and developments in our businesses, including regulatory considerations such as resolution planning. One or more of the major independent credit rating agencies have in the past downgraded, and may in the future downgrade, our credit ratings, or have </w:t>
      </w:r>
      <w:r>
        <w:rPr>
          <w:rFonts w:ascii="Arial" w:eastAsia="宋体" w:hAnsi="Arial" w:cs="Arial"/>
          <w:color w:val="000000"/>
          <w:sz w:val="20"/>
          <w:szCs w:val="20"/>
        </w:rPr>
        <w:t>negatively revised their outlook for our credit ratings. The current market and regulatory environment and our exposure to financial institutions and other counterparties, including sovereign entities, increase the risk that we may not maintain our current</w:t>
      </w:r>
      <w:r>
        <w:rPr>
          <w:rFonts w:ascii="Arial" w:eastAsia="宋体" w:hAnsi="Arial" w:cs="Arial"/>
          <w:color w:val="000000"/>
          <w:sz w:val="20"/>
          <w:szCs w:val="20"/>
        </w:rPr>
        <w:t xml:space="preserve"> ratings, and we cannot provide assurance that we will continue to maintain our current credit ratings. Downgrades in our credit ratings may adversely affect our borrowing costs, our capital costs and our ability to raise capital and, in </w:t>
      </w:r>
    </w:p>
    <w:p w14:paraId="5F2C9D85" w14:textId="77777777" w:rsidR="00E836FB" w:rsidRDefault="00994958">
      <w:pPr>
        <w:spacing w:before="60"/>
        <w:jc w:val="both"/>
        <w:textAlignment w:val="top"/>
      </w:pPr>
      <w:r>
        <w:rPr>
          <w:rFonts w:ascii="Arial" w:eastAsia="宋体" w:hAnsi="Arial" w:cs="Arial"/>
          <w:color w:val="000000"/>
          <w:sz w:val="20"/>
          <w:szCs w:val="20"/>
        </w:rPr>
        <w:t>turn, our liquidi</w:t>
      </w:r>
      <w:r>
        <w:rPr>
          <w:rFonts w:ascii="Arial" w:eastAsia="宋体" w:hAnsi="Arial" w:cs="Arial"/>
          <w:color w:val="000000"/>
          <w:sz w:val="20"/>
          <w:szCs w:val="20"/>
        </w:rPr>
        <w:t>ty. A failure to maintain an acceptable credit rating may also preclude us from being competitive in various products.</w:t>
      </w:r>
    </w:p>
    <w:p w14:paraId="5F2C9D86" w14:textId="77777777" w:rsidR="00E836FB" w:rsidRDefault="00994958">
      <w:pPr>
        <w:spacing w:before="60"/>
        <w:ind w:firstLine="450"/>
        <w:jc w:val="both"/>
        <w:textAlignment w:val="top"/>
      </w:pPr>
      <w:r>
        <w:rPr>
          <w:rFonts w:ascii="Arial" w:eastAsia="宋体" w:hAnsi="Arial" w:cs="Arial"/>
          <w:color w:val="000000"/>
          <w:sz w:val="20"/>
          <w:szCs w:val="20"/>
        </w:rPr>
        <w:t>Additionally, our counterparties, as well as our clients, rely on our financial strength and stability and evaluate the risks of doing bu</w:t>
      </w:r>
      <w:r>
        <w:rPr>
          <w:rFonts w:ascii="Arial" w:eastAsia="宋体" w:hAnsi="Arial" w:cs="Arial"/>
          <w:color w:val="000000"/>
          <w:sz w:val="20"/>
          <w:szCs w:val="20"/>
        </w:rPr>
        <w:t>siness with us. If we experience diminished financial strength or stability, actual or perceived, due to the effects of market or regulatory developments, announced or rumored business developments, consolidated results of operations, a decline in our stoc</w:t>
      </w:r>
      <w:r>
        <w:rPr>
          <w:rFonts w:ascii="Arial" w:eastAsia="宋体" w:hAnsi="Arial" w:cs="Arial"/>
          <w:color w:val="000000"/>
          <w:sz w:val="20"/>
          <w:szCs w:val="20"/>
        </w:rPr>
        <w:t>k price or a downgrade to our credit rating, our counterparties may be less willing to enter into transactions, secured or unsecured, with us, our clients may reduce or place limits on the level of service we provide to them or seek to transfer the busines</w:t>
      </w:r>
      <w:r>
        <w:rPr>
          <w:rFonts w:ascii="Arial" w:eastAsia="宋体" w:hAnsi="Arial" w:cs="Arial"/>
          <w:color w:val="000000"/>
          <w:sz w:val="20"/>
          <w:szCs w:val="20"/>
        </w:rPr>
        <w:t>s, in whole or in part, to other service providers or our prospective clients may select other service providers. Any, or all of these may have adverse effects on our business and reputation.</w:t>
      </w:r>
    </w:p>
    <w:p w14:paraId="5F2C9D87" w14:textId="77777777" w:rsidR="00E836FB" w:rsidRDefault="00994958">
      <w:pPr>
        <w:spacing w:before="60"/>
        <w:ind w:firstLine="450"/>
        <w:jc w:val="both"/>
        <w:textAlignment w:val="top"/>
      </w:pPr>
      <w:r>
        <w:rPr>
          <w:rFonts w:ascii="Arial" w:eastAsia="宋体" w:hAnsi="Arial" w:cs="Arial"/>
          <w:color w:val="000000"/>
          <w:sz w:val="20"/>
          <w:szCs w:val="20"/>
        </w:rPr>
        <w:t>The risk that we may be perceived as less creditworthy than othe</w:t>
      </w:r>
      <w:r>
        <w:rPr>
          <w:rFonts w:ascii="Arial" w:eastAsia="宋体" w:hAnsi="Arial" w:cs="Arial"/>
          <w:color w:val="000000"/>
          <w:sz w:val="20"/>
          <w:szCs w:val="20"/>
        </w:rPr>
        <w:t>r market participants is higher as a result of recent market developments, which include an environment in which the consolidation, and in some instances failure, of financial institutions, including major global financial institutions, has resulted in a s</w:t>
      </w:r>
      <w:r>
        <w:rPr>
          <w:rFonts w:ascii="Arial" w:eastAsia="宋体" w:hAnsi="Arial" w:cs="Arial"/>
          <w:color w:val="000000"/>
          <w:sz w:val="20"/>
          <w:szCs w:val="20"/>
        </w:rPr>
        <w:t xml:space="preserve">maller number of much larger counterparties and competitors. If our counterparties perceive us to be a less viable counterparty, our ability to enter into financial transactions on terms acceptable to us or our clients, on our or our clients' behalf, will </w:t>
      </w:r>
      <w:r>
        <w:rPr>
          <w:rFonts w:ascii="Arial" w:eastAsia="宋体" w:hAnsi="Arial" w:cs="Arial"/>
          <w:color w:val="000000"/>
          <w:sz w:val="20"/>
          <w:szCs w:val="20"/>
        </w:rPr>
        <w:t>be materially compromised. If our clients reduce their deposits with us or select other service providers for all or a portion of the services we provide to them, our revenues will decrease accordingly.</w:t>
      </w:r>
    </w:p>
    <w:p w14:paraId="5F2C9D88" w14:textId="77777777" w:rsidR="00E836FB" w:rsidRDefault="00994958">
      <w:pPr>
        <w:spacing w:before="90"/>
        <w:jc w:val="both"/>
        <w:textAlignment w:val="top"/>
      </w:pPr>
      <w:r>
        <w:rPr>
          <w:rFonts w:ascii="Arial" w:eastAsia="宋体" w:hAnsi="Arial" w:cs="Arial"/>
          <w:b/>
          <w:bCs/>
          <w:color w:val="000000"/>
          <w:sz w:val="20"/>
          <w:szCs w:val="20"/>
        </w:rPr>
        <w:t>Compliance and Regulatory Risks</w:t>
      </w:r>
    </w:p>
    <w:p w14:paraId="5F2C9D89" w14:textId="77777777" w:rsidR="00E836FB" w:rsidRDefault="00994958">
      <w:pPr>
        <w:spacing w:before="90"/>
        <w:jc w:val="both"/>
        <w:textAlignment w:val="top"/>
      </w:pPr>
      <w:r>
        <w:rPr>
          <w:rFonts w:ascii="Arial" w:eastAsia="宋体" w:hAnsi="Arial" w:cs="Arial"/>
          <w:b/>
          <w:bCs/>
          <w:color w:val="000000"/>
          <w:sz w:val="20"/>
          <w:szCs w:val="20"/>
        </w:rPr>
        <w:t xml:space="preserve">Our business and </w:t>
      </w:r>
      <w:r>
        <w:rPr>
          <w:rFonts w:ascii="Arial" w:eastAsia="宋体" w:hAnsi="Arial" w:cs="Arial"/>
          <w:b/>
          <w:bCs/>
          <w:color w:val="000000"/>
          <w:sz w:val="20"/>
          <w:szCs w:val="20"/>
        </w:rPr>
        <w:t>capital-related activities, including our ability to return capital to shareholders and repurchase our capital stock, may be adversely affected by our implementation of regulatory capital and liquidity standards that we must meet or as a result of regulato</w:t>
      </w:r>
      <w:r>
        <w:rPr>
          <w:rFonts w:ascii="Arial" w:eastAsia="宋体" w:hAnsi="Arial" w:cs="Arial"/>
          <w:b/>
          <w:bCs/>
          <w:color w:val="000000"/>
          <w:sz w:val="20"/>
          <w:szCs w:val="20"/>
        </w:rPr>
        <w:t>ry capital stress testing.</w:t>
      </w:r>
    </w:p>
    <w:p w14:paraId="5F2C9D8A" w14:textId="77777777" w:rsidR="00E836FB" w:rsidRDefault="00994958">
      <w:pPr>
        <w:spacing w:before="60"/>
        <w:textAlignment w:val="top"/>
      </w:pPr>
      <w:r>
        <w:rPr>
          <w:rFonts w:ascii="Arial" w:eastAsia="宋体" w:hAnsi="Arial" w:cs="Arial"/>
          <w:i/>
          <w:iCs/>
          <w:color w:val="000000"/>
          <w:sz w:val="20"/>
          <w:szCs w:val="20"/>
        </w:rPr>
        <w:t>Basel III and Dodd-Frank Act</w:t>
      </w:r>
    </w:p>
    <w:p w14:paraId="5F2C9D8B" w14:textId="77777777" w:rsidR="00E836FB" w:rsidRDefault="00994958">
      <w:pPr>
        <w:spacing w:before="60"/>
        <w:ind w:firstLine="450"/>
        <w:jc w:val="both"/>
        <w:textAlignment w:val="top"/>
      </w:pPr>
      <w:r>
        <w:rPr>
          <w:rFonts w:ascii="Arial" w:eastAsia="宋体" w:hAnsi="Arial" w:cs="Arial"/>
          <w:color w:val="000000"/>
          <w:sz w:val="20"/>
          <w:szCs w:val="20"/>
        </w:rPr>
        <w:t>We are required to calculate our risk-based capital ratios under both the Basel III advanced approaches and the Basel III standardized approach, and we are subject to the more stringent of the risk-ba</w:t>
      </w:r>
      <w:r>
        <w:rPr>
          <w:rFonts w:ascii="Arial" w:eastAsia="宋体" w:hAnsi="Arial" w:cs="Arial"/>
          <w:color w:val="000000"/>
          <w:sz w:val="20"/>
          <w:szCs w:val="20"/>
        </w:rPr>
        <w:t>sed capital ratios calculated under the advanced approaches and those calculated under the standardized approach in the assessment of our capital adequacy.</w:t>
      </w:r>
    </w:p>
    <w:p w14:paraId="5F2C9D8C" w14:textId="77777777" w:rsidR="00E836FB" w:rsidRDefault="00994958">
      <w:pPr>
        <w:spacing w:before="60"/>
        <w:ind w:firstLine="450"/>
        <w:jc w:val="both"/>
        <w:textAlignment w:val="top"/>
      </w:pPr>
      <w:r>
        <w:rPr>
          <w:rFonts w:ascii="Arial" w:eastAsia="宋体" w:hAnsi="Arial" w:cs="Arial"/>
          <w:color w:val="000000"/>
          <w:sz w:val="20"/>
          <w:szCs w:val="20"/>
        </w:rPr>
        <w:t>In implementing various aspects of these capital regulations, we are making interpretations of the r</w:t>
      </w:r>
      <w:r>
        <w:rPr>
          <w:rFonts w:ascii="Arial" w:eastAsia="宋体" w:hAnsi="Arial" w:cs="Arial"/>
          <w:color w:val="000000"/>
          <w:sz w:val="20"/>
          <w:szCs w:val="20"/>
        </w:rPr>
        <w:t xml:space="preserve">egulatory intent. The Federal Reserve may determine that we are not in compliance with the </w:t>
      </w:r>
    </w:p>
    <w:p w14:paraId="5F2C9D8D" w14:textId="77777777" w:rsidR="00E836FB" w:rsidRDefault="00994958">
      <w:pPr>
        <w:ind w:firstLine="450"/>
        <w:jc w:val="right"/>
      </w:pPr>
      <w:r>
        <w:rPr>
          <w:rFonts w:ascii="Arial" w:eastAsia="宋体" w:hAnsi="Arial" w:cs="Arial"/>
          <w:color w:val="000000"/>
          <w:sz w:val="18"/>
          <w:szCs w:val="18"/>
        </w:rPr>
        <w:t>State Street Corporation | 36</w:t>
      </w:r>
    </w:p>
    <w:p w14:paraId="5F2C9D8E" w14:textId="77777777" w:rsidR="00E836FB" w:rsidRDefault="00E836FB">
      <w:pPr>
        <w:ind w:firstLine="450"/>
        <w:jc w:val="center"/>
      </w:pPr>
    </w:p>
    <w:p w14:paraId="5F2C9D8F" w14:textId="77777777" w:rsidR="00E836FB" w:rsidRDefault="00994958">
      <w:r>
        <w:pict w14:anchorId="5F2D6DA7">
          <v:rect id="_x0000_i1060" style="width:415.3pt;height:1.5pt" o:hralign="center" o:hrstd="t" o:hr="t" fillcolor="#a0a0a0" stroked="f"/>
        </w:pict>
      </w:r>
    </w:p>
    <w:p w14:paraId="5F2C9D90" w14:textId="77777777" w:rsidR="00E836FB" w:rsidRDefault="00E836FB">
      <w:pPr>
        <w:ind w:firstLine="450"/>
      </w:pPr>
    </w:p>
    <w:p w14:paraId="5F2C9D91" w14:textId="77777777" w:rsidR="00E836FB" w:rsidRDefault="00994958">
      <w:pPr>
        <w:spacing w:before="60"/>
        <w:jc w:val="both"/>
        <w:textAlignment w:val="top"/>
      </w:pPr>
      <w:r>
        <w:rPr>
          <w:rFonts w:ascii="Arial" w:eastAsia="宋体" w:hAnsi="Arial" w:cs="Arial"/>
          <w:color w:val="000000"/>
          <w:sz w:val="20"/>
          <w:szCs w:val="20"/>
        </w:rPr>
        <w:t xml:space="preserve">capital rules and may require us to take actions to come into compliance that could adversely affect our business </w:t>
      </w:r>
      <w:r>
        <w:rPr>
          <w:rFonts w:ascii="Arial" w:eastAsia="宋体" w:hAnsi="Arial" w:cs="Arial"/>
          <w:color w:val="000000"/>
          <w:sz w:val="20"/>
          <w:szCs w:val="20"/>
        </w:rPr>
        <w:t>operations, our regulatory capital structure, our capital ratios or our financial performance, or otherwise restrict our growth plans or strategies. In addition, banking regulators could change the Basel III rule or their interpretations as they apply to u</w:t>
      </w:r>
      <w:r>
        <w:rPr>
          <w:rFonts w:ascii="Arial" w:eastAsia="宋体" w:hAnsi="Arial" w:cs="Arial"/>
          <w:color w:val="000000"/>
          <w:sz w:val="20"/>
          <w:szCs w:val="20"/>
        </w:rPr>
        <w:t>s, including changes to these standards or interpretations made in regulations implementing provisions of the Dodd-Frank Act, which could adversely affect us and our ability to comply with the Basel III rule.</w:t>
      </w:r>
    </w:p>
    <w:p w14:paraId="5F2C9D92" w14:textId="77777777" w:rsidR="00E836FB" w:rsidRDefault="00994958">
      <w:pPr>
        <w:spacing w:before="60"/>
        <w:ind w:firstLine="450"/>
        <w:jc w:val="both"/>
        <w:textAlignment w:val="top"/>
      </w:pPr>
      <w:r>
        <w:rPr>
          <w:rFonts w:ascii="Arial" w:eastAsia="宋体" w:hAnsi="Arial" w:cs="Arial"/>
          <w:color w:val="000000"/>
          <w:sz w:val="20"/>
          <w:szCs w:val="20"/>
        </w:rPr>
        <w:t>Along with the Basel III rule, banking regulato</w:t>
      </w:r>
      <w:r>
        <w:rPr>
          <w:rFonts w:ascii="Arial" w:eastAsia="宋体" w:hAnsi="Arial" w:cs="Arial"/>
          <w:color w:val="000000"/>
          <w:sz w:val="20"/>
          <w:szCs w:val="20"/>
        </w:rPr>
        <w:t>rs also introduced additional requirements, such as the SLR, LCR and the NSFR, each of which presents compliance risks.</w:t>
      </w:r>
    </w:p>
    <w:p w14:paraId="5F2C9D93" w14:textId="77777777" w:rsidR="00E836FB" w:rsidRDefault="00994958">
      <w:pPr>
        <w:ind w:firstLine="450"/>
        <w:jc w:val="both"/>
        <w:textAlignment w:val="top"/>
      </w:pPr>
      <w:r>
        <w:rPr>
          <w:rFonts w:ascii="Arial" w:eastAsia="宋体" w:hAnsi="Arial" w:cs="Arial"/>
          <w:color w:val="000000"/>
          <w:sz w:val="20"/>
          <w:szCs w:val="20"/>
        </w:rPr>
        <w:t>For example, these regulatory requirements could have a material effect on our business activities, including the management and composi</w:t>
      </w:r>
      <w:r>
        <w:rPr>
          <w:rFonts w:ascii="Arial" w:eastAsia="宋体" w:hAnsi="Arial" w:cs="Arial"/>
          <w:color w:val="000000"/>
          <w:sz w:val="20"/>
          <w:szCs w:val="20"/>
        </w:rPr>
        <w:t>tion of our investment securities portfolio and our ability to extend credit through committed facilities, loans to our clients or our principal securities lending activities as the structure of our balance sheet changes. In addition, further capital and l</w:t>
      </w:r>
      <w:r>
        <w:rPr>
          <w:rFonts w:ascii="Arial" w:eastAsia="宋体" w:hAnsi="Arial" w:cs="Arial"/>
          <w:color w:val="000000"/>
          <w:sz w:val="20"/>
          <w:szCs w:val="20"/>
        </w:rPr>
        <w:t>iquidity requirements are being implemented or are under consideration by U.S. and international banking regulators. Any of these rules, or any additional regulatory initiatives introduced under the current administration, could have a material effect on o</w:t>
      </w:r>
      <w:r>
        <w:rPr>
          <w:rFonts w:ascii="Arial" w:eastAsia="宋体" w:hAnsi="Arial" w:cs="Arial"/>
          <w:color w:val="000000"/>
          <w:sz w:val="20"/>
          <w:szCs w:val="20"/>
        </w:rPr>
        <w:t xml:space="preserve">ur capital and liquidity planning and related activities, including the management and composition of our investment securities portfolio and our ability to extend committed contingent credit facilities to our clients. The full effects of these rules, and </w:t>
      </w:r>
      <w:r>
        <w:rPr>
          <w:rFonts w:ascii="Arial" w:eastAsia="宋体" w:hAnsi="Arial" w:cs="Arial"/>
          <w:color w:val="000000"/>
          <w:sz w:val="20"/>
          <w:szCs w:val="20"/>
        </w:rPr>
        <w:t>of other regulatory initiatives related to capital or liquidity, on us and State Street Bank are subject to further regulatory guidance, action or rule-making.</w:t>
      </w:r>
    </w:p>
    <w:p w14:paraId="5F2C9D94" w14:textId="77777777" w:rsidR="00E836FB" w:rsidRDefault="00994958">
      <w:pPr>
        <w:spacing w:before="60"/>
        <w:jc w:val="both"/>
        <w:textAlignment w:val="top"/>
      </w:pPr>
      <w:r>
        <w:rPr>
          <w:rFonts w:ascii="Arial" w:eastAsia="宋体" w:hAnsi="Arial" w:cs="Arial"/>
          <w:i/>
          <w:iCs/>
          <w:color w:val="000000"/>
          <w:sz w:val="20"/>
          <w:szCs w:val="20"/>
        </w:rPr>
        <w:t>Systemic Importance</w:t>
      </w:r>
    </w:p>
    <w:p w14:paraId="5F2C9D95" w14:textId="77777777" w:rsidR="00E836FB" w:rsidRDefault="00994958">
      <w:pPr>
        <w:spacing w:before="60"/>
        <w:ind w:firstLine="450"/>
        <w:jc w:val="both"/>
        <w:textAlignment w:val="top"/>
      </w:pPr>
      <w:r>
        <w:rPr>
          <w:rFonts w:ascii="Arial" w:eastAsia="宋体" w:hAnsi="Arial" w:cs="Arial"/>
          <w:color w:val="000000"/>
          <w:sz w:val="20"/>
          <w:szCs w:val="20"/>
        </w:rPr>
        <w:t xml:space="preserve">As a G-SIB, we are generally subject to the most stringent provisions under </w:t>
      </w:r>
      <w:r>
        <w:rPr>
          <w:rFonts w:ascii="Arial" w:eastAsia="宋体" w:hAnsi="Arial" w:cs="Arial"/>
          <w:color w:val="000000"/>
          <w:sz w:val="20"/>
          <w:szCs w:val="20"/>
        </w:rPr>
        <w:t>the Basel III rule. For example, we are subject to the Federal Reserve's rules on the implementation of capital surcharges for U.S. G-SIBs, and on TLAC, LTD and clean holding company requirements for U.S. G-SIBs which we refer to as the "TLAC rule". For ad</w:t>
      </w:r>
      <w:r>
        <w:rPr>
          <w:rFonts w:ascii="Arial" w:eastAsia="宋体" w:hAnsi="Arial" w:cs="Arial"/>
          <w:color w:val="000000"/>
          <w:sz w:val="20"/>
          <w:szCs w:val="20"/>
        </w:rPr>
        <w:t>ditional information on these requirements, refer to the “Regulatory Capital Adequacy and Liquidity Standards” section under “Supervision and Regulation” in Business in this Form 10-K.</w:t>
      </w:r>
    </w:p>
    <w:p w14:paraId="5F2C9D96" w14:textId="77777777" w:rsidR="00E836FB" w:rsidRDefault="00994958">
      <w:pPr>
        <w:spacing w:before="60"/>
        <w:ind w:firstLine="450"/>
        <w:jc w:val="both"/>
        <w:textAlignment w:val="top"/>
      </w:pPr>
      <w:r>
        <w:rPr>
          <w:rFonts w:ascii="Arial" w:eastAsia="宋体" w:hAnsi="Arial" w:cs="Arial"/>
          <w:color w:val="000000"/>
          <w:sz w:val="20"/>
          <w:szCs w:val="20"/>
        </w:rPr>
        <w:t>Not all of our competitors have similarly been designated as systemical</w:t>
      </w:r>
      <w:r>
        <w:rPr>
          <w:rFonts w:ascii="Arial" w:eastAsia="宋体" w:hAnsi="Arial" w:cs="Arial"/>
          <w:color w:val="000000"/>
          <w:sz w:val="20"/>
          <w:szCs w:val="20"/>
        </w:rPr>
        <w:t>ly important nor are all of them subject to the same degree of regulation as a bank or financial holding company, and therefore some of our competitors are not subject to the same additional capital requirements.</w:t>
      </w:r>
    </w:p>
    <w:p w14:paraId="5F2C9D97" w14:textId="77777777" w:rsidR="00E836FB" w:rsidRDefault="00994958">
      <w:pPr>
        <w:spacing w:before="60"/>
        <w:jc w:val="both"/>
        <w:textAlignment w:val="top"/>
      </w:pPr>
      <w:r>
        <w:rPr>
          <w:rFonts w:ascii="Arial" w:eastAsia="宋体" w:hAnsi="Arial" w:cs="Arial"/>
          <w:i/>
          <w:iCs/>
          <w:color w:val="000000"/>
          <w:sz w:val="20"/>
          <w:szCs w:val="20"/>
        </w:rPr>
        <w:t>Supervisory Stress Testing and Capital Plan</w:t>
      </w:r>
      <w:r>
        <w:rPr>
          <w:rFonts w:ascii="Arial" w:eastAsia="宋体" w:hAnsi="Arial" w:cs="Arial"/>
          <w:i/>
          <w:iCs/>
          <w:color w:val="000000"/>
          <w:sz w:val="20"/>
          <w:szCs w:val="20"/>
        </w:rPr>
        <w:t>ning</w:t>
      </w:r>
    </w:p>
    <w:p w14:paraId="5F2C9D98" w14:textId="77777777" w:rsidR="00E836FB" w:rsidRDefault="00994958">
      <w:pPr>
        <w:spacing w:before="60"/>
        <w:ind w:firstLine="450"/>
        <w:jc w:val="both"/>
        <w:textAlignment w:val="top"/>
      </w:pPr>
      <w:r>
        <w:rPr>
          <w:rFonts w:ascii="Arial" w:eastAsia="宋体" w:hAnsi="Arial" w:cs="Arial"/>
          <w:color w:val="000000"/>
          <w:sz w:val="20"/>
          <w:szCs w:val="20"/>
        </w:rPr>
        <w:t xml:space="preserve">We are required by the Federal Reserve to conduct periodic stress testing of our business </w:t>
      </w:r>
    </w:p>
    <w:p w14:paraId="5F2C9D99" w14:textId="77777777" w:rsidR="00E836FB" w:rsidRDefault="00994958">
      <w:pPr>
        <w:spacing w:before="60"/>
        <w:jc w:val="both"/>
        <w:textAlignment w:val="top"/>
      </w:pPr>
      <w:r>
        <w:rPr>
          <w:rFonts w:ascii="Arial" w:eastAsia="宋体" w:hAnsi="Arial" w:cs="Arial"/>
          <w:color w:val="000000"/>
          <w:sz w:val="20"/>
          <w:szCs w:val="20"/>
        </w:rPr>
        <w:t xml:space="preserve">operations and to develop an annual capital plan and are subject to supervisory stress testing, all as part of the Federal Reserve's stress testing and capital </w:t>
      </w:r>
      <w:r>
        <w:rPr>
          <w:rFonts w:ascii="Arial" w:eastAsia="宋体" w:hAnsi="Arial" w:cs="Arial"/>
          <w:color w:val="000000"/>
          <w:sz w:val="20"/>
          <w:szCs w:val="20"/>
        </w:rPr>
        <w:t>planning processes. The stress testing and capital planning processes, the severity and other characteristics of which may evolve from year-to-year, are used by the Federal Reserve to evaluate our management of capital and the adequacy of our regulatory ca</w:t>
      </w:r>
      <w:r>
        <w:rPr>
          <w:rFonts w:ascii="Arial" w:eastAsia="宋体" w:hAnsi="Arial" w:cs="Arial"/>
          <w:color w:val="000000"/>
          <w:sz w:val="20"/>
          <w:szCs w:val="20"/>
        </w:rPr>
        <w:t>pital and to determine the SCB that we must maintain above our minimum regulatory capital requirements in order for us to make capital distributions and discretionary bonuses without limitation. The results of the supervisory stress testing process are dif</w:t>
      </w:r>
      <w:r>
        <w:rPr>
          <w:rFonts w:ascii="Arial" w:eastAsia="宋体" w:hAnsi="Arial" w:cs="Arial"/>
          <w:color w:val="000000"/>
          <w:sz w:val="20"/>
          <w:szCs w:val="20"/>
        </w:rPr>
        <w:t>ficult to predict due, among other things, to the Federal Reserve's use of proprietary stress models that differ from our internal models. The results of the Federal Reserve’s supervisory stress tests may result in an increase in our SCB requirement. The a</w:t>
      </w:r>
      <w:r>
        <w:rPr>
          <w:rFonts w:ascii="Arial" w:eastAsia="宋体" w:hAnsi="Arial" w:cs="Arial"/>
          <w:color w:val="000000"/>
          <w:sz w:val="20"/>
          <w:szCs w:val="20"/>
        </w:rPr>
        <w:t>mounts of the planned capital actions in our capital plan in any year, including stock repurchases and dividends, may be substantially reduced from the amounts included in prior capital plans. These reductions may reflect changes in one or more different f</w:t>
      </w:r>
      <w:r>
        <w:rPr>
          <w:rFonts w:ascii="Arial" w:eastAsia="宋体" w:hAnsi="Arial" w:cs="Arial"/>
          <w:color w:val="000000"/>
          <w:sz w:val="20"/>
          <w:szCs w:val="20"/>
        </w:rPr>
        <w:t>actors, including our business prospects and related capital needs, our capital position, proposed acquisitions or other uses of capital, the models used in our capital planning process, the supervisory models used by the Federal Reserve to stress our bala</w:t>
      </w:r>
      <w:r>
        <w:rPr>
          <w:rFonts w:ascii="Arial" w:eastAsia="宋体" w:hAnsi="Arial" w:cs="Arial"/>
          <w:color w:val="000000"/>
          <w:sz w:val="20"/>
          <w:szCs w:val="20"/>
        </w:rPr>
        <w:t>nce sheet, the Federal Reserve’s hypothetical economic scenarios for the supervisory stress testing process, the Federal Reserve’s stress testing instructions and the Federal Reserve’s supervisory expectations for the capital planning process. Any of these</w:t>
      </w:r>
      <w:r>
        <w:rPr>
          <w:rFonts w:ascii="Arial" w:eastAsia="宋体" w:hAnsi="Arial" w:cs="Arial"/>
          <w:color w:val="000000"/>
          <w:sz w:val="20"/>
          <w:szCs w:val="20"/>
        </w:rPr>
        <w:t xml:space="preserve"> potential events could require us, as applicable, to revise our stress-testing or capital-management approaches, resubmit our capital plan or postpone, cancel or alter our planned capital actions. In addition, changes in our business strategy, merger or a</w:t>
      </w:r>
      <w:r>
        <w:rPr>
          <w:rFonts w:ascii="Arial" w:eastAsia="宋体" w:hAnsi="Arial" w:cs="Arial"/>
          <w:color w:val="000000"/>
          <w:sz w:val="20"/>
          <w:szCs w:val="20"/>
        </w:rPr>
        <w:t>cquisition activity or uses of capital could result in a change in our capital plan and its associated capital actions, and may require us to resubmit our capital plan to the Federal Reserve, which could prompt the Federal Reserve to recalculate our SCB re</w:t>
      </w:r>
      <w:r>
        <w:rPr>
          <w:rFonts w:ascii="Arial" w:eastAsia="宋体" w:hAnsi="Arial" w:cs="Arial"/>
          <w:color w:val="000000"/>
          <w:sz w:val="20"/>
          <w:szCs w:val="20"/>
        </w:rPr>
        <w:t>quirement. We are also subject to asset quality reviews and stress testing by the ECB and in the future we may be subject to similar reviews and testing by other regulators.</w:t>
      </w:r>
    </w:p>
    <w:p w14:paraId="5F2C9D9A" w14:textId="77777777" w:rsidR="00E836FB" w:rsidRDefault="00994958">
      <w:pPr>
        <w:spacing w:before="60"/>
        <w:ind w:firstLine="450"/>
        <w:jc w:val="both"/>
        <w:textAlignment w:val="top"/>
      </w:pPr>
      <w:r>
        <w:rPr>
          <w:rFonts w:ascii="Arial" w:eastAsia="宋体" w:hAnsi="Arial" w:cs="Arial"/>
          <w:color w:val="000000"/>
          <w:sz w:val="20"/>
          <w:szCs w:val="20"/>
        </w:rPr>
        <w:t>Our implementation of capital and liquidity requirements may not be approved or ma</w:t>
      </w:r>
      <w:r>
        <w:rPr>
          <w:rFonts w:ascii="Arial" w:eastAsia="宋体" w:hAnsi="Arial" w:cs="Arial"/>
          <w:color w:val="000000"/>
          <w:sz w:val="20"/>
          <w:szCs w:val="20"/>
        </w:rPr>
        <w:t xml:space="preserve">y be objected to by the Federal Reserve, and the Federal Reserve may impose capital requirements in excess of our expectations or require us to maintain levels of liquidity that are higher than we may expect and which may adversely affect our consolidated </w:t>
      </w:r>
      <w:r>
        <w:rPr>
          <w:rFonts w:ascii="Arial" w:eastAsia="宋体" w:hAnsi="Arial" w:cs="Arial"/>
          <w:color w:val="000000"/>
          <w:sz w:val="20"/>
          <w:szCs w:val="20"/>
        </w:rPr>
        <w:t xml:space="preserve">revenues. In the event that our implementation of capital and liquidity requirements under regulatory initiatives or our current capital structure are determined not to conform with current and future </w:t>
      </w:r>
    </w:p>
    <w:p w14:paraId="5F2C9D9B" w14:textId="77777777" w:rsidR="00E836FB" w:rsidRDefault="00994958">
      <w:pPr>
        <w:ind w:firstLine="450"/>
        <w:jc w:val="right"/>
      </w:pPr>
      <w:r>
        <w:rPr>
          <w:rFonts w:ascii="Arial" w:eastAsia="宋体" w:hAnsi="Arial" w:cs="Arial"/>
          <w:color w:val="000000"/>
          <w:sz w:val="18"/>
          <w:szCs w:val="18"/>
        </w:rPr>
        <w:t>State Street Corporation | 37</w:t>
      </w:r>
    </w:p>
    <w:p w14:paraId="5F2C9D9C" w14:textId="77777777" w:rsidR="00E836FB" w:rsidRDefault="00E836FB">
      <w:pPr>
        <w:ind w:firstLine="450"/>
        <w:jc w:val="center"/>
      </w:pPr>
    </w:p>
    <w:p w14:paraId="5F2C9D9D" w14:textId="77777777" w:rsidR="00E836FB" w:rsidRDefault="00994958">
      <w:r>
        <w:pict w14:anchorId="5F2D6DA8">
          <v:rect id="_x0000_i1061" style="width:415.3pt;height:1.5pt" o:hralign="center" o:hrstd="t" o:hr="t" fillcolor="#a0a0a0" stroked="f"/>
        </w:pict>
      </w:r>
    </w:p>
    <w:p w14:paraId="5F2C9D9E" w14:textId="77777777" w:rsidR="00E836FB" w:rsidRDefault="00E836FB">
      <w:pPr>
        <w:ind w:firstLine="450"/>
      </w:pPr>
    </w:p>
    <w:p w14:paraId="5F2C9D9F" w14:textId="77777777" w:rsidR="00E836FB" w:rsidRDefault="00994958">
      <w:pPr>
        <w:spacing w:before="60"/>
        <w:jc w:val="both"/>
        <w:textAlignment w:val="top"/>
      </w:pPr>
      <w:r>
        <w:rPr>
          <w:rFonts w:ascii="Arial" w:eastAsia="宋体" w:hAnsi="Arial" w:cs="Arial"/>
          <w:color w:val="000000"/>
          <w:sz w:val="20"/>
          <w:szCs w:val="20"/>
        </w:rPr>
        <w:t>capital requirements</w:t>
      </w:r>
      <w:r>
        <w:rPr>
          <w:rFonts w:ascii="Arial" w:eastAsia="宋体" w:hAnsi="Arial" w:cs="Arial"/>
          <w:color w:val="000000"/>
          <w:sz w:val="20"/>
          <w:szCs w:val="20"/>
        </w:rPr>
        <w:t>, our ability to deploy capital in the operation of our business or our ability to distribute capital to shareholders or to repurchase our capital stock may be constrained, and our business may be adversely affected. In addition, we may choose to forgo bus</w:t>
      </w:r>
      <w:r>
        <w:rPr>
          <w:rFonts w:ascii="Arial" w:eastAsia="宋体" w:hAnsi="Arial" w:cs="Arial"/>
          <w:color w:val="000000"/>
          <w:sz w:val="20"/>
          <w:szCs w:val="20"/>
        </w:rPr>
        <w:t xml:space="preserve">iness opportunities, due to their impact on our capital plan or stress tests, including our SCB requirement. Likewise, in the event that regulators in other jurisdictions in which we have banking subsidiaries determine that our capital or liquidity levels </w:t>
      </w:r>
      <w:r>
        <w:rPr>
          <w:rFonts w:ascii="Arial" w:eastAsia="宋体" w:hAnsi="Arial" w:cs="Arial"/>
          <w:color w:val="000000"/>
          <w:sz w:val="20"/>
          <w:szCs w:val="20"/>
        </w:rPr>
        <w:t>do not conform with current and future regulatory requirements, our ability to deploy capital, our levels of liquidity or our business operations in those jurisdictions may be adversely affected.</w:t>
      </w:r>
    </w:p>
    <w:p w14:paraId="5F2C9DA0" w14:textId="77777777" w:rsidR="00E836FB" w:rsidRDefault="00994958">
      <w:pPr>
        <w:spacing w:before="60"/>
        <w:ind w:firstLine="450"/>
        <w:jc w:val="both"/>
        <w:textAlignment w:val="top"/>
      </w:pPr>
      <w:r>
        <w:rPr>
          <w:rFonts w:ascii="Arial" w:eastAsia="宋体" w:hAnsi="Arial" w:cs="Arial"/>
          <w:color w:val="000000"/>
          <w:sz w:val="20"/>
          <w:szCs w:val="20"/>
        </w:rPr>
        <w:t>For additional information about the above matters, refer to</w:t>
      </w:r>
      <w:r>
        <w:rPr>
          <w:rFonts w:ascii="Arial" w:eastAsia="宋体" w:hAnsi="Arial" w:cs="Arial"/>
          <w:color w:val="000000"/>
          <w:sz w:val="20"/>
          <w:szCs w:val="20"/>
        </w:rPr>
        <w:t xml:space="preserve"> “Regulatory Capital Adequacy and Liquidity Standards” section under "Supervision and Regulation" in Business and “Capital” section under "Financial Condition" in our Management's Discussion and Analysis in this Form 10-K.</w:t>
      </w:r>
    </w:p>
    <w:p w14:paraId="5F2C9DA1" w14:textId="77777777" w:rsidR="00E836FB" w:rsidRDefault="00994958">
      <w:pPr>
        <w:spacing w:before="90"/>
        <w:jc w:val="both"/>
        <w:textAlignment w:val="top"/>
      </w:pPr>
      <w:r>
        <w:rPr>
          <w:rFonts w:ascii="Arial" w:eastAsia="宋体" w:hAnsi="Arial" w:cs="Arial"/>
          <w:b/>
          <w:bCs/>
          <w:color w:val="000000"/>
          <w:sz w:val="20"/>
          <w:szCs w:val="20"/>
        </w:rPr>
        <w:t>We face extensive and changing go</w:t>
      </w:r>
      <w:r>
        <w:rPr>
          <w:rFonts w:ascii="Arial" w:eastAsia="宋体" w:hAnsi="Arial" w:cs="Arial"/>
          <w:b/>
          <w:bCs/>
          <w:color w:val="000000"/>
          <w:sz w:val="20"/>
          <w:szCs w:val="20"/>
        </w:rPr>
        <w:t>vernment regulation in the U.S. and in non-U.S. jurisdictions in which we operate, which may increase our costs and expose us to risks related to compliance.</w:t>
      </w:r>
    </w:p>
    <w:p w14:paraId="5F2C9DA2" w14:textId="77777777" w:rsidR="00E836FB" w:rsidRDefault="00994958">
      <w:pPr>
        <w:spacing w:before="60"/>
        <w:ind w:firstLine="450"/>
        <w:jc w:val="both"/>
        <w:textAlignment w:val="top"/>
      </w:pPr>
      <w:r>
        <w:rPr>
          <w:rFonts w:ascii="Arial" w:eastAsia="宋体" w:hAnsi="Arial" w:cs="Arial"/>
          <w:color w:val="000000"/>
          <w:sz w:val="20"/>
          <w:szCs w:val="20"/>
        </w:rPr>
        <w:t>Most of our businesses are subject to extensive regulation by multiple regulatory bodies, and many</w:t>
      </w:r>
      <w:r>
        <w:rPr>
          <w:rFonts w:ascii="Arial" w:eastAsia="宋体" w:hAnsi="Arial" w:cs="Arial"/>
          <w:color w:val="000000"/>
          <w:sz w:val="20"/>
          <w:szCs w:val="20"/>
        </w:rPr>
        <w:t xml:space="preserve"> of the clients to which we provide services are themselves subject to a broad range of regulatory requirements. These regulations may affect the scope of, and the manner and terms of delivery of, our services. For example, potential changes in the regulat</w:t>
      </w:r>
      <w:r>
        <w:rPr>
          <w:rFonts w:ascii="Arial" w:eastAsia="宋体" w:hAnsi="Arial" w:cs="Arial"/>
          <w:color w:val="000000"/>
          <w:sz w:val="20"/>
          <w:szCs w:val="20"/>
        </w:rPr>
        <w:t>ion of money market funds have the potential to alter the marketplace for and increase the complexity and costs of providing services to, those funds. As a financial institution with substantial international operations, we are subject to extensive regulat</w:t>
      </w:r>
      <w:r>
        <w:rPr>
          <w:rFonts w:ascii="Arial" w:eastAsia="宋体" w:hAnsi="Arial" w:cs="Arial"/>
          <w:color w:val="000000"/>
          <w:sz w:val="20"/>
          <w:szCs w:val="20"/>
        </w:rPr>
        <w:t>ion and supervisory oversight, both inside and outside of the U.S. This regulation and supervisory oversight affects, among other things, the scope of our activities and client services, our capital and organizational structure, our ability to fund the ope</w:t>
      </w:r>
      <w:r>
        <w:rPr>
          <w:rFonts w:ascii="Arial" w:eastAsia="宋体" w:hAnsi="Arial" w:cs="Arial"/>
          <w:color w:val="000000"/>
          <w:sz w:val="20"/>
          <w:szCs w:val="20"/>
        </w:rPr>
        <w:t>rations of our subsidiaries, our lending practices, our dividend policy, our common share repurchase actions, the manner in which we market our services, our acquisition activities and our interactions with foreign regulatory agencies and officials.</w:t>
      </w:r>
    </w:p>
    <w:p w14:paraId="5F2C9DA3" w14:textId="77777777" w:rsidR="00E836FB" w:rsidRDefault="00994958">
      <w:pPr>
        <w:spacing w:before="60"/>
        <w:ind w:firstLine="450"/>
        <w:jc w:val="both"/>
        <w:textAlignment w:val="top"/>
      </w:pPr>
      <w:r>
        <w:rPr>
          <w:rFonts w:ascii="Arial" w:eastAsia="宋体" w:hAnsi="Arial" w:cs="Arial"/>
          <w:color w:val="000000"/>
          <w:sz w:val="20"/>
          <w:szCs w:val="20"/>
        </w:rPr>
        <w:t>In par</w:t>
      </w:r>
      <w:r>
        <w:rPr>
          <w:rFonts w:ascii="Arial" w:eastAsia="宋体" w:hAnsi="Arial" w:cs="Arial"/>
          <w:color w:val="000000"/>
          <w:sz w:val="20"/>
          <w:szCs w:val="20"/>
        </w:rPr>
        <w:t>ticular, we are registered with the Federal Reserve as a bank holding company pursuant to the Bank Holding Company Act of 1956. The Bank Holding Company Act generally limits the activities in which we and our non-banking subsidiaries may engage to managing</w:t>
      </w:r>
      <w:r>
        <w:rPr>
          <w:rFonts w:ascii="Arial" w:eastAsia="宋体" w:hAnsi="Arial" w:cs="Arial"/>
          <w:color w:val="000000"/>
          <w:sz w:val="20"/>
          <w:szCs w:val="20"/>
        </w:rPr>
        <w:t xml:space="preserve"> or controlling banks and to activities considered to be closely related to banking. As a bank holding company that has elected to be treated as a financial holding company under the Bank Holding Company Act, we and some of our non-</w:t>
      </w:r>
    </w:p>
    <w:p w14:paraId="5F2C9DA4" w14:textId="77777777" w:rsidR="00E836FB" w:rsidRDefault="00994958">
      <w:pPr>
        <w:spacing w:before="60"/>
        <w:jc w:val="both"/>
        <w:textAlignment w:val="top"/>
      </w:pPr>
      <w:r>
        <w:rPr>
          <w:rFonts w:ascii="Arial" w:eastAsia="宋体" w:hAnsi="Arial" w:cs="Arial"/>
          <w:color w:val="000000"/>
          <w:sz w:val="20"/>
          <w:szCs w:val="20"/>
        </w:rPr>
        <w:t xml:space="preserve">banking </w:t>
      </w:r>
      <w:r>
        <w:rPr>
          <w:rFonts w:ascii="Arial" w:eastAsia="宋体" w:hAnsi="Arial" w:cs="Arial"/>
          <w:color w:val="000000"/>
          <w:sz w:val="20"/>
          <w:szCs w:val="20"/>
        </w:rPr>
        <w:t>subsidiaries may also engage in a broader range of activities considered to be “financial in nature.” Financial holding company status may be denied if we and our banking subsidiaries do not remain well capitalized and well managed or fail to comply with C</w:t>
      </w:r>
      <w:r>
        <w:rPr>
          <w:rFonts w:ascii="Arial" w:eastAsia="宋体" w:hAnsi="Arial" w:cs="Arial"/>
          <w:color w:val="000000"/>
          <w:sz w:val="20"/>
          <w:szCs w:val="20"/>
        </w:rPr>
        <w:t>ommunity Reinvestment Act obligations. Currently, under the Bank Holding Company Act, we may not be able to engage in new activities or acquire shares or control of other businesses.</w:t>
      </w:r>
    </w:p>
    <w:p w14:paraId="5F2C9DA5" w14:textId="77777777" w:rsidR="00E836FB" w:rsidRDefault="00994958">
      <w:pPr>
        <w:spacing w:before="60"/>
        <w:ind w:firstLine="450"/>
        <w:jc w:val="both"/>
        <w:textAlignment w:val="top"/>
      </w:pPr>
      <w:r>
        <w:rPr>
          <w:rFonts w:ascii="Arial" w:eastAsia="宋体" w:hAnsi="Arial" w:cs="Arial"/>
          <w:color w:val="000000"/>
          <w:sz w:val="20"/>
          <w:szCs w:val="20"/>
        </w:rPr>
        <w:t>We are unable to predict what, if any, changes to the regulatory environm</w:t>
      </w:r>
      <w:r>
        <w:rPr>
          <w:rFonts w:ascii="Arial" w:eastAsia="宋体" w:hAnsi="Arial" w:cs="Arial"/>
          <w:color w:val="000000"/>
          <w:sz w:val="20"/>
          <w:szCs w:val="20"/>
        </w:rPr>
        <w:t>ent may be enacted by Congress, both chambers of which are under Democratic control, or the presidential administration and what the impact of any such changes will be on our results of operations or financial condition, including increased expenses or cha</w:t>
      </w:r>
      <w:r>
        <w:rPr>
          <w:rFonts w:ascii="Arial" w:eastAsia="宋体" w:hAnsi="Arial" w:cs="Arial"/>
          <w:color w:val="000000"/>
          <w:sz w:val="20"/>
          <w:szCs w:val="20"/>
        </w:rPr>
        <w:t xml:space="preserve">nges in the demand for our services or our ability to engage in transactions to expand our business, or on the U.S.-domestic or global economies or financial markets. </w:t>
      </w:r>
    </w:p>
    <w:p w14:paraId="5F2C9DA6" w14:textId="77777777" w:rsidR="00E836FB" w:rsidRDefault="00994958">
      <w:pPr>
        <w:spacing w:before="60"/>
        <w:ind w:firstLine="450"/>
        <w:jc w:val="both"/>
        <w:textAlignment w:val="top"/>
      </w:pPr>
      <w:r>
        <w:rPr>
          <w:rFonts w:ascii="Arial" w:eastAsia="宋体" w:hAnsi="Arial" w:cs="Arial"/>
          <w:color w:val="000000"/>
          <w:sz w:val="20"/>
          <w:szCs w:val="20"/>
        </w:rPr>
        <w:t>Moreover, the current presidential administration is expected to make certain changes in</w:t>
      </w:r>
      <w:r>
        <w:rPr>
          <w:rFonts w:ascii="Arial" w:eastAsia="宋体" w:hAnsi="Arial" w:cs="Arial"/>
          <w:color w:val="000000"/>
          <w:sz w:val="20"/>
          <w:szCs w:val="20"/>
        </w:rPr>
        <w:t xml:space="preserve"> the leadership and senior staffs of the federal banking agencies. Such changes are likely to impact the rulemaking, supervision, examination and enforcement priorities and policies of the agencies. In addition, changes in key personnel at the agencies tha</w:t>
      </w:r>
      <w:r>
        <w:rPr>
          <w:rFonts w:ascii="Arial" w:eastAsia="宋体" w:hAnsi="Arial" w:cs="Arial"/>
          <w:color w:val="000000"/>
          <w:sz w:val="20"/>
          <w:szCs w:val="20"/>
        </w:rPr>
        <w:t>t regulate such banking organizations, including the federal banking agencies, may result in differing interpretations of existing rules and guidelines and potentially more stringent enforcement and more severe penalties than previously. The potential impa</w:t>
      </w:r>
      <w:r>
        <w:rPr>
          <w:rFonts w:ascii="Arial" w:eastAsia="宋体" w:hAnsi="Arial" w:cs="Arial"/>
          <w:color w:val="000000"/>
          <w:sz w:val="20"/>
          <w:szCs w:val="20"/>
        </w:rPr>
        <w:t>ct of any changes in agency personnel, policies, priorities and interpretations on the financial services sector, including us, cannot be predicted at this time.</w:t>
      </w:r>
    </w:p>
    <w:p w14:paraId="5F2C9DA7" w14:textId="77777777" w:rsidR="00E836FB" w:rsidRDefault="00994958">
      <w:pPr>
        <w:spacing w:before="60"/>
        <w:ind w:firstLine="450"/>
        <w:jc w:val="both"/>
        <w:textAlignment w:val="top"/>
      </w:pPr>
      <w:r>
        <w:rPr>
          <w:rFonts w:ascii="Arial" w:eastAsia="宋体" w:hAnsi="Arial" w:cs="Arial"/>
          <w:color w:val="000000"/>
          <w:sz w:val="20"/>
          <w:szCs w:val="20"/>
        </w:rPr>
        <w:t>We expect that our business will remain subject to extensive regulation and supervision. Sever</w:t>
      </w:r>
      <w:r>
        <w:rPr>
          <w:rFonts w:ascii="Arial" w:eastAsia="宋体" w:hAnsi="Arial" w:cs="Arial"/>
          <w:color w:val="000000"/>
          <w:sz w:val="20"/>
          <w:szCs w:val="20"/>
        </w:rPr>
        <w:t>al other aspects of the regulatory environment in which we operate, and related risks, are discussed below. Additional information is provided under "Supervision and Regulation” in Business in this Form 10-K.</w:t>
      </w:r>
    </w:p>
    <w:p w14:paraId="5F2C9DA8" w14:textId="77777777" w:rsidR="00E836FB" w:rsidRDefault="00994958">
      <w:pPr>
        <w:spacing w:before="60"/>
        <w:jc w:val="both"/>
        <w:textAlignment w:val="top"/>
      </w:pPr>
      <w:r>
        <w:rPr>
          <w:rFonts w:ascii="Arial" w:eastAsia="宋体" w:hAnsi="Arial" w:cs="Arial"/>
          <w:i/>
          <w:iCs/>
          <w:color w:val="000000"/>
          <w:sz w:val="20"/>
          <w:szCs w:val="20"/>
        </w:rPr>
        <w:t>Resolution Planning</w:t>
      </w:r>
    </w:p>
    <w:p w14:paraId="5F2C9DA9" w14:textId="77777777" w:rsidR="00E836FB" w:rsidRDefault="00994958">
      <w:pPr>
        <w:spacing w:before="60"/>
        <w:ind w:firstLine="450"/>
        <w:jc w:val="both"/>
        <w:textAlignment w:val="top"/>
      </w:pPr>
      <w:r>
        <w:rPr>
          <w:rFonts w:ascii="Arial" w:eastAsia="宋体" w:hAnsi="Arial" w:cs="Arial"/>
          <w:color w:val="000000"/>
          <w:sz w:val="20"/>
          <w:szCs w:val="20"/>
        </w:rPr>
        <w:t>We are required to periodic</w:t>
      </w:r>
      <w:r>
        <w:rPr>
          <w:rFonts w:ascii="Arial" w:eastAsia="宋体" w:hAnsi="Arial" w:cs="Arial"/>
          <w:color w:val="000000"/>
          <w:sz w:val="20"/>
          <w:szCs w:val="20"/>
        </w:rPr>
        <w:t>ally submit a plan for rapid and orderly resolution in the event of material financial distress or failure commonly referred to as a resolution plan or a living will to the Federal Reserve and the FDIC under Section 165(d) of the Dodd-Frank Act. Through re</w:t>
      </w:r>
      <w:r>
        <w:rPr>
          <w:rFonts w:ascii="Arial" w:eastAsia="宋体" w:hAnsi="Arial" w:cs="Arial"/>
          <w:color w:val="000000"/>
          <w:sz w:val="20"/>
          <w:szCs w:val="20"/>
        </w:rPr>
        <w:t>solution planning, we seek, in the event of insolvency, to maintain State Street Bank’s role as a key infrastructure provider within the financial system, while minimizing risk to the financial system and maximizing value for the benefit of our stakeholder</w:t>
      </w:r>
      <w:r>
        <w:rPr>
          <w:rFonts w:ascii="Arial" w:eastAsia="宋体" w:hAnsi="Arial" w:cs="Arial"/>
          <w:color w:val="000000"/>
          <w:sz w:val="20"/>
          <w:szCs w:val="20"/>
        </w:rPr>
        <w:t>s. Significant management attention and resources are devoted in an effort to meet regulatory expectations with respect to resolution planning.</w:t>
      </w:r>
    </w:p>
    <w:p w14:paraId="5F2C9DAA" w14:textId="77777777" w:rsidR="00E836FB" w:rsidRDefault="00994958">
      <w:pPr>
        <w:ind w:firstLine="450"/>
        <w:jc w:val="right"/>
      </w:pPr>
      <w:r>
        <w:rPr>
          <w:rFonts w:ascii="Arial" w:eastAsia="宋体" w:hAnsi="Arial" w:cs="Arial"/>
          <w:color w:val="000000"/>
          <w:sz w:val="18"/>
          <w:szCs w:val="18"/>
        </w:rPr>
        <w:t>State Street Corporation | 38</w:t>
      </w:r>
    </w:p>
    <w:p w14:paraId="5F2C9DAB" w14:textId="77777777" w:rsidR="00E836FB" w:rsidRDefault="00E836FB">
      <w:pPr>
        <w:ind w:firstLine="450"/>
        <w:jc w:val="center"/>
      </w:pPr>
    </w:p>
    <w:p w14:paraId="5F2C9DAC" w14:textId="77777777" w:rsidR="00E836FB" w:rsidRDefault="00994958">
      <w:r>
        <w:pict w14:anchorId="5F2D6DA9">
          <v:rect id="_x0000_i1062" style="width:415.3pt;height:1.5pt" o:hralign="center" o:hrstd="t" o:hr="t" fillcolor="#a0a0a0" stroked="f"/>
        </w:pict>
      </w:r>
    </w:p>
    <w:p w14:paraId="5F2C9DAD" w14:textId="77777777" w:rsidR="00E836FB" w:rsidRDefault="00E836FB">
      <w:pPr>
        <w:ind w:firstLine="450"/>
      </w:pPr>
    </w:p>
    <w:p w14:paraId="5F2C9DAE" w14:textId="77777777" w:rsidR="00E836FB" w:rsidRDefault="00994958">
      <w:pPr>
        <w:spacing w:before="60"/>
        <w:ind w:firstLine="450"/>
        <w:jc w:val="both"/>
        <w:textAlignment w:val="top"/>
      </w:pPr>
      <w:r>
        <w:rPr>
          <w:rFonts w:ascii="Arial" w:eastAsia="宋体" w:hAnsi="Arial" w:cs="Arial"/>
          <w:color w:val="000000"/>
          <w:sz w:val="20"/>
          <w:szCs w:val="20"/>
        </w:rPr>
        <w:t xml:space="preserve">In the event of material financial distress or failure, our preferred </w:t>
      </w:r>
      <w:r>
        <w:rPr>
          <w:rFonts w:ascii="Arial" w:eastAsia="宋体" w:hAnsi="Arial" w:cs="Arial"/>
          <w:color w:val="000000"/>
          <w:sz w:val="20"/>
          <w:szCs w:val="20"/>
        </w:rPr>
        <w:t xml:space="preserve">resolution strategy is the SPOE Strategy. Our resolution plan, including our implementation of the SPOE Strategy with a secured support agreement, may result in significant risks, including that: (1) the SPOE Strategy and the obligations under the related </w:t>
      </w:r>
      <w:r>
        <w:rPr>
          <w:rFonts w:ascii="Arial" w:eastAsia="宋体" w:hAnsi="Arial" w:cs="Arial"/>
          <w:color w:val="000000"/>
          <w:sz w:val="20"/>
          <w:szCs w:val="20"/>
        </w:rPr>
        <w:t xml:space="preserve">secured support agreement may result in the recapitalization of and/or provision of liquidity to State Street Bank and our other material entities and the commencement of bankruptcy proceedings by the Parent Company at an earlier stage of financial stress </w:t>
      </w:r>
      <w:r>
        <w:rPr>
          <w:rFonts w:ascii="Arial" w:eastAsia="宋体" w:hAnsi="Arial" w:cs="Arial"/>
          <w:color w:val="000000"/>
          <w:sz w:val="20"/>
          <w:szCs w:val="20"/>
        </w:rPr>
        <w:t xml:space="preserve">than might otherwise occur without such mechanisms in place; (2) as an expected effect of the SPOE Strategy, together with applicable TLAC regulatory requirements, our losses will be imposed on Parent Company shareholders and the holders of long-term debt </w:t>
      </w:r>
      <w:r>
        <w:rPr>
          <w:rFonts w:ascii="Arial" w:eastAsia="宋体" w:hAnsi="Arial" w:cs="Arial"/>
          <w:color w:val="000000"/>
          <w:sz w:val="20"/>
          <w:szCs w:val="20"/>
        </w:rPr>
        <w:t>and other forms of TLAC securities currently outstanding or issued in the future by the Parent Company, as well as on any other Parent Company creditors, before any of our losses are imposed on the holders of the debt securities of State Street Bank or cer</w:t>
      </w:r>
      <w:r>
        <w:rPr>
          <w:rFonts w:ascii="Arial" w:eastAsia="宋体" w:hAnsi="Arial" w:cs="Arial"/>
          <w:color w:val="000000"/>
          <w:sz w:val="20"/>
          <w:szCs w:val="20"/>
        </w:rPr>
        <w:t>tain of the Parent Company’s other operating subsidiaries or any of their depositors or creditors and before U.S. taxpayers are put at risk; (3) there can be no assurance that there would be sufficient recapitalization resources available to ensure that St</w:t>
      </w:r>
      <w:r>
        <w:rPr>
          <w:rFonts w:ascii="Arial" w:eastAsia="宋体" w:hAnsi="Arial" w:cs="Arial"/>
          <w:color w:val="000000"/>
          <w:sz w:val="20"/>
          <w:szCs w:val="20"/>
        </w:rPr>
        <w:t xml:space="preserve">ate Street Bank and our other material entities are adequately capitalized following the triggering of the requirements to provide capital and/or liquidity under the secured support agreement; and (4) there can be no assurance that credit rating agencies, </w:t>
      </w:r>
      <w:r>
        <w:rPr>
          <w:rFonts w:ascii="Arial" w:eastAsia="宋体" w:hAnsi="Arial" w:cs="Arial"/>
          <w:color w:val="000000"/>
          <w:sz w:val="20"/>
          <w:szCs w:val="20"/>
        </w:rPr>
        <w:t>in response to our resolution plan or the secured support agreement, will not downgrade, place on negative watch or change their outlook on our debt credit ratings, generally or on specific debt securities. Additional information about the SPOE Strategy, i</w:t>
      </w:r>
      <w:r>
        <w:rPr>
          <w:rFonts w:ascii="Arial" w:eastAsia="宋体" w:hAnsi="Arial" w:cs="Arial"/>
          <w:color w:val="000000"/>
          <w:sz w:val="20"/>
          <w:szCs w:val="20"/>
        </w:rPr>
        <w:t>ncluding related risks, is provided under "Recovery and Resolution Planning" in Business in this Form 10-K</w:t>
      </w:r>
      <w:r>
        <w:rPr>
          <w:rFonts w:ascii="Arial" w:eastAsia="宋体" w:hAnsi="Arial" w:cs="Arial"/>
          <w:color w:val="0000FF"/>
          <w:sz w:val="20"/>
          <w:szCs w:val="20"/>
        </w:rPr>
        <w:t>.</w:t>
      </w:r>
    </w:p>
    <w:p w14:paraId="5F2C9DAF" w14:textId="77777777" w:rsidR="00E836FB" w:rsidRDefault="00994958">
      <w:pPr>
        <w:spacing w:before="60"/>
        <w:jc w:val="both"/>
        <w:textAlignment w:val="top"/>
      </w:pPr>
      <w:r>
        <w:rPr>
          <w:rFonts w:ascii="Arial" w:eastAsia="宋体" w:hAnsi="Arial" w:cs="Arial"/>
          <w:i/>
          <w:iCs/>
          <w:color w:val="000000"/>
          <w:sz w:val="20"/>
          <w:szCs w:val="20"/>
        </w:rPr>
        <w:t>Systemic Importance</w:t>
      </w:r>
    </w:p>
    <w:p w14:paraId="5F2C9DB0" w14:textId="77777777" w:rsidR="00E836FB" w:rsidRDefault="00994958">
      <w:pPr>
        <w:spacing w:before="60"/>
        <w:ind w:firstLine="450"/>
        <w:jc w:val="both"/>
        <w:textAlignment w:val="top"/>
      </w:pPr>
      <w:r>
        <w:rPr>
          <w:rFonts w:ascii="Arial" w:eastAsia="宋体" w:hAnsi="Arial" w:cs="Arial"/>
          <w:color w:val="000000"/>
          <w:sz w:val="20"/>
          <w:szCs w:val="20"/>
        </w:rPr>
        <w:t>Our qualification in the U.S. as a SIFI, and our designation by the Financial Stability Board as a G-SIB, to which certain regul</w:t>
      </w:r>
      <w:r>
        <w:rPr>
          <w:rFonts w:ascii="Arial" w:eastAsia="宋体" w:hAnsi="Arial" w:cs="Arial"/>
          <w:color w:val="000000"/>
          <w:sz w:val="20"/>
          <w:szCs w:val="20"/>
        </w:rPr>
        <w:t>atory capital surcharges may apply, subjects us to incrementally higher capital and prudential requirements, increased scrutiny of our activities and potential additional regulatory requirements or heightened regulatory expectations as compared to those ap</w:t>
      </w:r>
      <w:r>
        <w:rPr>
          <w:rFonts w:ascii="Arial" w:eastAsia="宋体" w:hAnsi="Arial" w:cs="Arial"/>
          <w:color w:val="000000"/>
          <w:sz w:val="20"/>
          <w:szCs w:val="20"/>
        </w:rPr>
        <w:t>plicable to some of the financial institutions with which we compete as a custodian or asset manager. This qualification and designation also has significantly increased, and may continue to increase, our expenses associated with regulatory compliance, inc</w:t>
      </w:r>
      <w:r>
        <w:rPr>
          <w:rFonts w:ascii="Arial" w:eastAsia="宋体" w:hAnsi="Arial" w:cs="Arial"/>
          <w:color w:val="000000"/>
          <w:sz w:val="20"/>
          <w:szCs w:val="20"/>
        </w:rPr>
        <w:t>luding personnel and systems, as well as implementation and related costs to enhance our programs.</w:t>
      </w:r>
    </w:p>
    <w:p w14:paraId="5F2C9DB1" w14:textId="77777777" w:rsidR="00E836FB" w:rsidRDefault="00994958">
      <w:pPr>
        <w:spacing w:before="60"/>
        <w:jc w:val="both"/>
        <w:textAlignment w:val="top"/>
      </w:pPr>
      <w:r>
        <w:rPr>
          <w:rFonts w:ascii="Arial" w:eastAsia="宋体" w:hAnsi="Arial" w:cs="Arial"/>
          <w:i/>
          <w:iCs/>
          <w:color w:val="000000"/>
          <w:sz w:val="20"/>
          <w:szCs w:val="20"/>
        </w:rPr>
        <w:t>Global and Non-U.S. Regulatory Requirements</w:t>
      </w:r>
    </w:p>
    <w:p w14:paraId="5F2C9DB2" w14:textId="77777777" w:rsidR="00E836FB" w:rsidRDefault="00994958">
      <w:pPr>
        <w:spacing w:before="60"/>
        <w:ind w:firstLine="450"/>
        <w:jc w:val="both"/>
        <w:textAlignment w:val="top"/>
      </w:pPr>
      <w:r>
        <w:rPr>
          <w:rFonts w:ascii="Arial" w:eastAsia="宋体" w:hAnsi="Arial" w:cs="Arial"/>
          <w:color w:val="000000"/>
          <w:sz w:val="20"/>
          <w:szCs w:val="20"/>
        </w:rPr>
        <w:t>The breadth of our business activities, together with the scope of our global operations and varying business pra</w:t>
      </w:r>
      <w:r>
        <w:rPr>
          <w:rFonts w:ascii="Arial" w:eastAsia="宋体" w:hAnsi="Arial" w:cs="Arial"/>
          <w:color w:val="000000"/>
          <w:sz w:val="20"/>
          <w:szCs w:val="20"/>
        </w:rPr>
        <w:t>ctices in relevant jurisdictions, increase the complexity and costs of meeting our regulatory compliance obligations, including in areas that are receiving significant regulatory scrutiny. We are, therefore, subject to related risks of non-compliance, incl</w:t>
      </w:r>
      <w:r>
        <w:rPr>
          <w:rFonts w:ascii="Arial" w:eastAsia="宋体" w:hAnsi="Arial" w:cs="Arial"/>
          <w:color w:val="000000"/>
          <w:sz w:val="20"/>
          <w:szCs w:val="20"/>
        </w:rPr>
        <w:t>uding fines, penalties, lawsuits, regulatory sanctions, difficulties in obtaining governmental approvals, limitations on our business activities or reputational harm, any of which may be significant. For example, the global nature of our client base requir</w:t>
      </w:r>
      <w:r>
        <w:rPr>
          <w:rFonts w:ascii="Arial" w:eastAsia="宋体" w:hAnsi="Arial" w:cs="Arial"/>
          <w:color w:val="000000"/>
          <w:sz w:val="20"/>
          <w:szCs w:val="20"/>
        </w:rPr>
        <w:t>es us to comply with complex laws and regulations of multiple jurisdictions relating to economic sanctions and money laundering. In addition, we are required to comply not only with the U.S. Foreign Corrupt Practices Act, but also with the applicable anti-</w:t>
      </w:r>
      <w:r>
        <w:rPr>
          <w:rFonts w:ascii="Arial" w:eastAsia="宋体" w:hAnsi="Arial" w:cs="Arial"/>
          <w:color w:val="000000"/>
          <w:sz w:val="20"/>
          <w:szCs w:val="20"/>
        </w:rPr>
        <w:t>corruption laws of other jurisdictions in which we operate. Further, our global operating model requires that we comply with information security, resiliency and outsourcing oversight requirements, including with respect to affiliated entities, of multiple</w:t>
      </w:r>
      <w:r>
        <w:rPr>
          <w:rFonts w:ascii="Arial" w:eastAsia="宋体" w:hAnsi="Arial" w:cs="Arial"/>
          <w:color w:val="000000"/>
          <w:sz w:val="20"/>
          <w:szCs w:val="20"/>
        </w:rPr>
        <w:t xml:space="preserve"> jurisdictions and enable our clients to comply with information security, resiliency and outsourcing oversight requirements imposed upon them. Regulatory scrutiny of compliance with these and other laws and regulations is increasing and may, in some respe</w:t>
      </w:r>
      <w:r>
        <w:rPr>
          <w:rFonts w:ascii="Arial" w:eastAsia="宋体" w:hAnsi="Arial" w:cs="Arial"/>
          <w:color w:val="000000"/>
          <w:sz w:val="20"/>
          <w:szCs w:val="20"/>
        </w:rPr>
        <w:t xml:space="preserve">cts, impede the implementation of our global operating model that is central to both delivery of client service requirements and cost efficiency. We sometimes face inconsistent laws and regulations across the various jurisdictions in which we operate. The </w:t>
      </w:r>
      <w:r>
        <w:rPr>
          <w:rFonts w:ascii="Arial" w:eastAsia="宋体" w:hAnsi="Arial" w:cs="Arial"/>
          <w:color w:val="000000"/>
          <w:sz w:val="20"/>
          <w:szCs w:val="20"/>
        </w:rPr>
        <w:t>evolving regulatory landscape may interfere with our ability to conduct our operations, with our pursuit of a common global operating model or with our ability to compete effectively with other financial institutions operating in those jurisdictions or whi</w:t>
      </w:r>
      <w:r>
        <w:rPr>
          <w:rFonts w:ascii="Arial" w:eastAsia="宋体" w:hAnsi="Arial" w:cs="Arial"/>
          <w:color w:val="000000"/>
          <w:sz w:val="20"/>
          <w:szCs w:val="20"/>
        </w:rPr>
        <w:t>ch may be subject to different regulatory requirements than apply to us. In particular, non-U.S. regulations and initiatives that may be inconsistent or conflict with current or proposed regulations in the U.S. could create increased compliance and other c</w:t>
      </w:r>
      <w:r>
        <w:rPr>
          <w:rFonts w:ascii="Arial" w:eastAsia="宋体" w:hAnsi="Arial" w:cs="Arial"/>
          <w:color w:val="000000"/>
          <w:sz w:val="20"/>
          <w:szCs w:val="20"/>
        </w:rPr>
        <w:t>osts that would adversely affect our business, operations or profitability. Geopolitical events also have the potential to increase the complexity and cost of regulatory compliance.</w:t>
      </w:r>
    </w:p>
    <w:p w14:paraId="5F2C9DB3" w14:textId="77777777" w:rsidR="00E836FB" w:rsidRDefault="00994958">
      <w:pPr>
        <w:spacing w:before="60"/>
        <w:ind w:firstLine="450"/>
        <w:jc w:val="both"/>
        <w:textAlignment w:val="top"/>
      </w:pPr>
      <w:r>
        <w:rPr>
          <w:rFonts w:ascii="Arial" w:eastAsia="宋体" w:hAnsi="Arial" w:cs="Arial"/>
          <w:color w:val="000000"/>
          <w:sz w:val="20"/>
          <w:szCs w:val="20"/>
        </w:rPr>
        <w:t>In addition to U.S. regulatory initiatives, we are further affected by non</w:t>
      </w:r>
      <w:r>
        <w:rPr>
          <w:rFonts w:ascii="Arial" w:eastAsia="宋体" w:hAnsi="Arial" w:cs="Arial"/>
          <w:color w:val="000000"/>
          <w:sz w:val="20"/>
          <w:szCs w:val="20"/>
        </w:rPr>
        <w:t>-U.S. regulatory initiatives, including the implementation of the Basel prudential framework and the European Commission’s Investment Firm Review and Central Securities Depositories Regulation, as well as proposals for amending the AIFM Directive and under</w:t>
      </w:r>
      <w:r>
        <w:rPr>
          <w:rFonts w:ascii="Arial" w:eastAsia="宋体" w:hAnsi="Arial" w:cs="Arial"/>
          <w:color w:val="000000"/>
          <w:sz w:val="20"/>
          <w:szCs w:val="20"/>
        </w:rPr>
        <w:t xml:space="preserve"> the Capital Markets Union Action Plan. Recent, proposed or potential regulations in the U.S. and E.U. with respect to short-term wholesale funding, such as repurchase agreements or securities lending, or other non-bank </w:t>
      </w:r>
    </w:p>
    <w:p w14:paraId="5F2C9DB4" w14:textId="77777777" w:rsidR="00E836FB" w:rsidRDefault="00994958">
      <w:pPr>
        <w:ind w:firstLine="450"/>
        <w:jc w:val="right"/>
      </w:pPr>
      <w:r>
        <w:rPr>
          <w:rFonts w:ascii="Arial" w:eastAsia="宋体" w:hAnsi="Arial" w:cs="Arial"/>
          <w:color w:val="000000"/>
          <w:sz w:val="18"/>
          <w:szCs w:val="18"/>
        </w:rPr>
        <w:t>State Street Corporation | 39</w:t>
      </w:r>
    </w:p>
    <w:p w14:paraId="5F2C9DB5" w14:textId="77777777" w:rsidR="00E836FB" w:rsidRDefault="00E836FB">
      <w:pPr>
        <w:ind w:firstLine="450"/>
        <w:jc w:val="center"/>
      </w:pPr>
    </w:p>
    <w:p w14:paraId="5F2C9DB6" w14:textId="77777777" w:rsidR="00E836FB" w:rsidRDefault="00994958">
      <w:r>
        <w:pict w14:anchorId="5F2D6DAA">
          <v:rect id="_x0000_i1063" style="width:415.3pt;height:1.5pt" o:hralign="center" o:hrstd="t" o:hr="t" fillcolor="#a0a0a0" stroked="f"/>
        </w:pict>
      </w:r>
    </w:p>
    <w:p w14:paraId="5F2C9DB7" w14:textId="77777777" w:rsidR="00E836FB" w:rsidRDefault="00E836FB">
      <w:pPr>
        <w:ind w:firstLine="450"/>
      </w:pPr>
    </w:p>
    <w:p w14:paraId="5F2C9DB8" w14:textId="77777777" w:rsidR="00E836FB" w:rsidRDefault="00994958">
      <w:pPr>
        <w:spacing w:before="60"/>
        <w:jc w:val="both"/>
        <w:textAlignment w:val="top"/>
      </w:pPr>
      <w:r>
        <w:rPr>
          <w:rFonts w:ascii="Arial" w:eastAsia="宋体" w:hAnsi="Arial" w:cs="Arial"/>
          <w:color w:val="000000"/>
          <w:sz w:val="20"/>
          <w:szCs w:val="20"/>
        </w:rPr>
        <w:t>f</w:t>
      </w:r>
      <w:r>
        <w:rPr>
          <w:rFonts w:ascii="Arial" w:eastAsia="宋体" w:hAnsi="Arial" w:cs="Arial"/>
          <w:color w:val="000000"/>
          <w:sz w:val="20"/>
          <w:szCs w:val="20"/>
        </w:rPr>
        <w:t>inance activities, could also adversely affect not only our own operations but also the operations of the clients to which we provide services. Concerns regarding the liquidity and valuation of prime money market funds and similar products, as well as pote</w:t>
      </w:r>
      <w:r>
        <w:rPr>
          <w:rFonts w:ascii="Arial" w:eastAsia="宋体" w:hAnsi="Arial" w:cs="Arial"/>
          <w:color w:val="000000"/>
          <w:sz w:val="20"/>
          <w:szCs w:val="20"/>
        </w:rPr>
        <w:t>ntial related regulation, may adversely impact the cash management products we offer. In addition, anti-competitive, voting power, governance and other concerns with passive investment strategies continue to be the subject of legislative and regulatory deb</w:t>
      </w:r>
      <w:r>
        <w:rPr>
          <w:rFonts w:ascii="Arial" w:eastAsia="宋体" w:hAnsi="Arial" w:cs="Arial"/>
          <w:color w:val="000000"/>
          <w:sz w:val="20"/>
          <w:szCs w:val="20"/>
        </w:rPr>
        <w:t>ate which could significantly impact both our asset management business and the clients that we service.</w:t>
      </w:r>
    </w:p>
    <w:p w14:paraId="5F2C9DB9" w14:textId="77777777" w:rsidR="00E836FB" w:rsidRDefault="00994958">
      <w:pPr>
        <w:spacing w:before="60"/>
        <w:jc w:val="both"/>
        <w:textAlignment w:val="top"/>
      </w:pPr>
      <w:r>
        <w:rPr>
          <w:rFonts w:ascii="Arial" w:eastAsia="宋体" w:hAnsi="Arial" w:cs="Arial"/>
          <w:i/>
          <w:iCs/>
          <w:color w:val="000000"/>
          <w:sz w:val="20"/>
          <w:szCs w:val="20"/>
        </w:rPr>
        <w:t>Consequences of Regulatory Environment and Compliance Risks</w:t>
      </w:r>
    </w:p>
    <w:p w14:paraId="5F2C9DBA" w14:textId="77777777" w:rsidR="00E836FB" w:rsidRDefault="00994958">
      <w:pPr>
        <w:spacing w:before="60"/>
        <w:ind w:firstLine="450"/>
        <w:jc w:val="both"/>
        <w:textAlignment w:val="top"/>
      </w:pPr>
      <w:r>
        <w:rPr>
          <w:rFonts w:ascii="Arial" w:eastAsia="宋体" w:hAnsi="Arial" w:cs="Arial"/>
          <w:color w:val="000000"/>
          <w:sz w:val="20"/>
          <w:szCs w:val="20"/>
        </w:rPr>
        <w:t>Domestic and international regulatory reform could limit our ability to pursue certain busi</w:t>
      </w:r>
      <w:r>
        <w:rPr>
          <w:rFonts w:ascii="Arial" w:eastAsia="宋体" w:hAnsi="Arial" w:cs="Arial"/>
          <w:color w:val="000000"/>
          <w:sz w:val="20"/>
          <w:szCs w:val="20"/>
        </w:rPr>
        <w:t>ness opportunities, increase our regulatory capital requirements, alter the risk profile of certain of our core activities and impose additional costs on us, otherwise adversely affect our business, our consolidated results of operations or financial condi</w:t>
      </w:r>
      <w:r>
        <w:rPr>
          <w:rFonts w:ascii="Arial" w:eastAsia="宋体" w:hAnsi="Arial" w:cs="Arial"/>
          <w:color w:val="000000"/>
          <w:sz w:val="20"/>
          <w:szCs w:val="20"/>
        </w:rPr>
        <w:t>tion and have other negative consequences, including, a reduction of our credit ratings. Different countries may respond to the market and economic environment in different and potentially conflicting manners, which could increase the cost of compliance fo</w:t>
      </w:r>
      <w:r>
        <w:rPr>
          <w:rFonts w:ascii="Arial" w:eastAsia="宋体" w:hAnsi="Arial" w:cs="Arial"/>
          <w:color w:val="000000"/>
          <w:sz w:val="20"/>
          <w:szCs w:val="20"/>
        </w:rPr>
        <w:t>r us.</w:t>
      </w:r>
    </w:p>
    <w:p w14:paraId="5F2C9DBB" w14:textId="77777777" w:rsidR="00E836FB" w:rsidRDefault="00994958">
      <w:pPr>
        <w:spacing w:before="60"/>
        <w:ind w:firstLine="450"/>
        <w:jc w:val="both"/>
        <w:textAlignment w:val="top"/>
      </w:pPr>
      <w:r>
        <w:rPr>
          <w:rFonts w:ascii="Arial" w:eastAsia="宋体" w:hAnsi="Arial" w:cs="Arial"/>
          <w:color w:val="000000"/>
          <w:sz w:val="20"/>
          <w:szCs w:val="20"/>
        </w:rPr>
        <w:t>The evolving regulatory environment, including changes to existing regulations and the introduction of new regulations, may also contribute to decisions we may make to suspend, reduce or withdraw from existing businesses, activities, markets or initi</w:t>
      </w:r>
      <w:r>
        <w:rPr>
          <w:rFonts w:ascii="Arial" w:eastAsia="宋体" w:hAnsi="Arial" w:cs="Arial"/>
          <w:color w:val="000000"/>
          <w:sz w:val="20"/>
          <w:szCs w:val="20"/>
        </w:rPr>
        <w:t>atives. In addition to potential lost revenue associated with any such suspensions, reductions or withdrawals, any such suspensions, reductions or withdrawals may result in significant restructuring or related costs or exposures.</w:t>
      </w:r>
    </w:p>
    <w:p w14:paraId="5F2C9DBC" w14:textId="77777777" w:rsidR="00E836FB" w:rsidRDefault="00994958">
      <w:pPr>
        <w:spacing w:before="60"/>
        <w:ind w:firstLine="450"/>
        <w:jc w:val="both"/>
        <w:textAlignment w:val="top"/>
      </w:pPr>
      <w:r>
        <w:rPr>
          <w:rFonts w:ascii="Arial" w:eastAsia="宋体" w:hAnsi="Arial" w:cs="Arial"/>
          <w:color w:val="000000"/>
          <w:sz w:val="20"/>
          <w:szCs w:val="20"/>
        </w:rPr>
        <w:t xml:space="preserve">If we do not comply </w:t>
      </w:r>
      <w:r>
        <w:rPr>
          <w:rFonts w:ascii="Arial" w:eastAsia="宋体" w:hAnsi="Arial" w:cs="Arial"/>
          <w:color w:val="000000"/>
          <w:sz w:val="20"/>
          <w:szCs w:val="20"/>
        </w:rPr>
        <w:t>with governmental regulations, we may be subject to fines, penalties, lawsuits, delays, or difficulties in obtaining regulatory approvals or restrictions on our business activities or harm to our reputation, which may significantly and adversely affect our</w:t>
      </w:r>
      <w:r>
        <w:rPr>
          <w:rFonts w:ascii="Arial" w:eastAsia="宋体" w:hAnsi="Arial" w:cs="Arial"/>
          <w:color w:val="000000"/>
          <w:sz w:val="20"/>
          <w:szCs w:val="20"/>
        </w:rPr>
        <w:t xml:space="preserve"> business operations and, in turn, our consolidated results of operations. The willingness of regulatory authorities to impose meaningful sanctions, and the level of fines and penalties imposed in connection with regulatory violations, have increased subst</w:t>
      </w:r>
      <w:r>
        <w:rPr>
          <w:rFonts w:ascii="Arial" w:eastAsia="宋体" w:hAnsi="Arial" w:cs="Arial"/>
          <w:color w:val="000000"/>
          <w:sz w:val="20"/>
          <w:szCs w:val="20"/>
        </w:rPr>
        <w:t>antially since the 2008 financial crisis. Regulatory agencies may, at times, limit our ability to disclose their findings, related actions or remedial measures. Similarly, many of our clients are subject to significant regulatory requirements and retain ou</w:t>
      </w:r>
      <w:r>
        <w:rPr>
          <w:rFonts w:ascii="Arial" w:eastAsia="宋体" w:hAnsi="Arial" w:cs="Arial"/>
          <w:color w:val="000000"/>
          <w:sz w:val="20"/>
          <w:szCs w:val="20"/>
        </w:rPr>
        <w:t>r services in order for us to assist them in complying with those legal requirements. Changes in these regulations can significantly affect the services that we are asked to provide, as well as our costs.</w:t>
      </w:r>
    </w:p>
    <w:p w14:paraId="5F2C9DBD" w14:textId="77777777" w:rsidR="00E836FB" w:rsidRDefault="00994958">
      <w:pPr>
        <w:spacing w:before="60"/>
        <w:ind w:firstLine="450"/>
        <w:jc w:val="both"/>
        <w:textAlignment w:val="top"/>
      </w:pPr>
      <w:r>
        <w:rPr>
          <w:rFonts w:ascii="Arial" w:eastAsia="宋体" w:hAnsi="Arial" w:cs="Arial"/>
          <w:color w:val="000000"/>
          <w:sz w:val="20"/>
          <w:szCs w:val="20"/>
        </w:rPr>
        <w:t>Adverse publicity and damage to our reputation aris</w:t>
      </w:r>
      <w:r>
        <w:rPr>
          <w:rFonts w:ascii="Arial" w:eastAsia="宋体" w:hAnsi="Arial" w:cs="Arial"/>
          <w:color w:val="000000"/>
          <w:sz w:val="20"/>
          <w:szCs w:val="20"/>
        </w:rPr>
        <w:t xml:space="preserve">ing from the failure or perceived failure to comply with legal, regulatory or contractual requirements could affect our ability to attract and retain clients. If we cause clients to fail to comply with any regulatory requirements, we may be liable to them </w:t>
      </w:r>
      <w:r>
        <w:rPr>
          <w:rFonts w:ascii="Arial" w:eastAsia="宋体" w:hAnsi="Arial" w:cs="Arial"/>
          <w:color w:val="000000"/>
          <w:sz w:val="20"/>
          <w:szCs w:val="20"/>
        </w:rPr>
        <w:t>for losses and expenses that they incur. In recent years, regulatory oversight and enforcement have increased substantially, imposing additional costs and increasing the potential risks associated with our operations. If this regulatory trend continues, it</w:t>
      </w:r>
      <w:r>
        <w:rPr>
          <w:rFonts w:ascii="Arial" w:eastAsia="宋体" w:hAnsi="Arial" w:cs="Arial"/>
          <w:color w:val="000000"/>
          <w:sz w:val="20"/>
          <w:szCs w:val="20"/>
        </w:rPr>
        <w:t xml:space="preserve"> could continue to adversely affect our operations and, in turn, our consolidated results of operations and financial condition.</w:t>
      </w:r>
    </w:p>
    <w:p w14:paraId="5F2C9DBE" w14:textId="77777777" w:rsidR="00E836FB" w:rsidRDefault="00994958">
      <w:pPr>
        <w:spacing w:before="60"/>
        <w:ind w:firstLine="450"/>
        <w:jc w:val="both"/>
        <w:textAlignment w:val="top"/>
      </w:pPr>
      <w:r>
        <w:rPr>
          <w:rFonts w:ascii="Arial" w:eastAsia="宋体" w:hAnsi="Arial" w:cs="Arial"/>
          <w:color w:val="000000"/>
          <w:sz w:val="20"/>
          <w:szCs w:val="20"/>
        </w:rPr>
        <w:t xml:space="preserve">For additional information, see the risk factor </w:t>
      </w:r>
      <w:r>
        <w:rPr>
          <w:rFonts w:ascii="Arial" w:eastAsia="宋体" w:hAnsi="Arial" w:cs="Arial"/>
          <w:i/>
          <w:iCs/>
          <w:color w:val="000000"/>
          <w:sz w:val="20"/>
          <w:szCs w:val="20"/>
        </w:rPr>
        <w:t>“Our businesses may be adversely affected by government enforcement and litigat</w:t>
      </w:r>
      <w:r>
        <w:rPr>
          <w:rFonts w:ascii="Arial" w:eastAsia="宋体" w:hAnsi="Arial" w:cs="Arial"/>
          <w:i/>
          <w:iCs/>
          <w:color w:val="000000"/>
          <w:sz w:val="20"/>
          <w:szCs w:val="20"/>
        </w:rPr>
        <w:t>ion.”</w:t>
      </w:r>
    </w:p>
    <w:p w14:paraId="5F2C9DBF" w14:textId="77777777" w:rsidR="00E836FB" w:rsidRDefault="00994958">
      <w:pPr>
        <w:spacing w:before="90"/>
        <w:jc w:val="both"/>
        <w:textAlignment w:val="top"/>
      </w:pPr>
      <w:r>
        <w:rPr>
          <w:rFonts w:ascii="Arial" w:eastAsia="宋体" w:hAnsi="Arial" w:cs="Arial"/>
          <w:b/>
          <w:bCs/>
          <w:color w:val="000000"/>
          <w:sz w:val="20"/>
          <w:szCs w:val="20"/>
        </w:rPr>
        <w:t>We are subject to enhanced external oversight as a result of certain agreements entered into in connection with the resolution of prior regulatory or governmental matters.</w:t>
      </w:r>
    </w:p>
    <w:p w14:paraId="5F2C9DC0" w14:textId="77777777" w:rsidR="00E836FB" w:rsidRDefault="00994958">
      <w:pPr>
        <w:spacing w:before="60"/>
        <w:ind w:firstLine="450"/>
        <w:jc w:val="both"/>
        <w:textAlignment w:val="top"/>
      </w:pPr>
      <w:r>
        <w:rPr>
          <w:rFonts w:ascii="Arial" w:eastAsia="宋体" w:hAnsi="Arial" w:cs="Arial"/>
          <w:color w:val="000000"/>
          <w:sz w:val="20"/>
          <w:szCs w:val="20"/>
        </w:rPr>
        <w:t>In connection with the resolution of certain proceedings relating to our havin</w:t>
      </w:r>
      <w:r>
        <w:rPr>
          <w:rFonts w:ascii="Arial" w:eastAsia="宋体" w:hAnsi="Arial" w:cs="Arial"/>
          <w:color w:val="000000"/>
          <w:sz w:val="20"/>
          <w:szCs w:val="20"/>
        </w:rPr>
        <w:t>g charged six clients of our transition management business during 2010 and 2011 amounts in excess of the contractual terms, in January 2017, we entered into a deferred prosecution agreement with the Department of Justice and the United States Attorney for</w:t>
      </w:r>
      <w:r>
        <w:rPr>
          <w:rFonts w:ascii="Arial" w:eastAsia="宋体" w:hAnsi="Arial" w:cs="Arial"/>
          <w:color w:val="000000"/>
          <w:sz w:val="20"/>
          <w:szCs w:val="20"/>
        </w:rPr>
        <w:t xml:space="preserve"> the DOJ under which we agreed to retain an independent compliance and ethics monitor for a term which has now been extended to 2022 (subject to further extension) to, among other things, review and monitor the effectiveness of our compliance controls and </w:t>
      </w:r>
      <w:r>
        <w:rPr>
          <w:rFonts w:ascii="Arial" w:eastAsia="宋体" w:hAnsi="Arial" w:cs="Arial"/>
          <w:color w:val="000000"/>
          <w:sz w:val="20"/>
          <w:szCs w:val="20"/>
        </w:rPr>
        <w:t>business ethics and make related recommendations, and in September 2017, we entered into a settlement agreement with the SEC that also requires us to retain an independent ethics and compliance consultant. In connection with the resolution of certain proce</w:t>
      </w:r>
      <w:r>
        <w:rPr>
          <w:rFonts w:ascii="Arial" w:eastAsia="宋体" w:hAnsi="Arial" w:cs="Arial"/>
          <w:color w:val="000000"/>
          <w:sz w:val="20"/>
          <w:szCs w:val="20"/>
        </w:rPr>
        <w:t>edings relating to our announcement in 2015 that we had incorrectly invoiced clients for certain expenses, in May 2021, we entered into a deferred prosecution agreement with the office of the United States Attorney for the District of Massachusetts under w</w:t>
      </w:r>
      <w:r>
        <w:rPr>
          <w:rFonts w:ascii="Arial" w:eastAsia="宋体" w:hAnsi="Arial" w:cs="Arial"/>
          <w:color w:val="000000"/>
          <w:sz w:val="20"/>
          <w:szCs w:val="20"/>
        </w:rPr>
        <w:t>hich we agreed to retain an independent compliance monitor for a term of up to two years and comply with other requirements including cooperation with the government. Responding to the monitor's requests entails significant cost and management attention an</w:t>
      </w:r>
      <w:r>
        <w:rPr>
          <w:rFonts w:ascii="Arial" w:eastAsia="宋体" w:hAnsi="Arial" w:cs="Arial"/>
          <w:color w:val="000000"/>
          <w:sz w:val="20"/>
          <w:szCs w:val="20"/>
        </w:rPr>
        <w:t>d we are, in general, required to implement remediation plans to address any of the monitor's recommendations. These recommendations may require substantial cost and effort to remediate and, even when consistent with our own control enhancement objectives,</w:t>
      </w:r>
      <w:r>
        <w:rPr>
          <w:rFonts w:ascii="Arial" w:eastAsia="宋体" w:hAnsi="Arial" w:cs="Arial"/>
          <w:color w:val="000000"/>
          <w:sz w:val="20"/>
          <w:szCs w:val="20"/>
        </w:rPr>
        <w:t xml:space="preserve"> may reflect differences in approach, timing and cost than we may independently intend. Under the deferred prosecution agreements we also have a heightened obligation </w:t>
      </w:r>
    </w:p>
    <w:p w14:paraId="5F2C9DC1" w14:textId="77777777" w:rsidR="00E836FB" w:rsidRDefault="00994958">
      <w:pPr>
        <w:ind w:firstLine="450"/>
        <w:jc w:val="right"/>
      </w:pPr>
      <w:r>
        <w:rPr>
          <w:rFonts w:ascii="Arial" w:eastAsia="宋体" w:hAnsi="Arial" w:cs="Arial"/>
          <w:color w:val="000000"/>
          <w:sz w:val="18"/>
          <w:szCs w:val="18"/>
        </w:rPr>
        <w:t>State Street Corporation | 40</w:t>
      </w:r>
    </w:p>
    <w:p w14:paraId="5F2C9DC2" w14:textId="77777777" w:rsidR="00E836FB" w:rsidRDefault="00E836FB">
      <w:pPr>
        <w:ind w:firstLine="450"/>
        <w:jc w:val="center"/>
      </w:pPr>
    </w:p>
    <w:p w14:paraId="5F2C9DC3" w14:textId="77777777" w:rsidR="00E836FB" w:rsidRDefault="00994958">
      <w:r>
        <w:pict w14:anchorId="5F2D6DAB">
          <v:rect id="_x0000_i1064" style="width:415.3pt;height:1.5pt" o:hralign="center" o:hrstd="t" o:hr="t" fillcolor="#a0a0a0" stroked="f"/>
        </w:pict>
      </w:r>
    </w:p>
    <w:p w14:paraId="5F2C9DC4" w14:textId="77777777" w:rsidR="00E836FB" w:rsidRDefault="00E836FB">
      <w:pPr>
        <w:ind w:firstLine="450"/>
      </w:pPr>
    </w:p>
    <w:p w14:paraId="5F2C9DC5" w14:textId="77777777" w:rsidR="00E836FB" w:rsidRDefault="00994958">
      <w:pPr>
        <w:spacing w:before="60"/>
        <w:jc w:val="both"/>
        <w:textAlignment w:val="top"/>
      </w:pPr>
      <w:r>
        <w:rPr>
          <w:rFonts w:ascii="Arial" w:eastAsia="宋体" w:hAnsi="Arial" w:cs="Arial"/>
          <w:color w:val="000000"/>
          <w:sz w:val="20"/>
          <w:szCs w:val="20"/>
        </w:rPr>
        <w:t>promptly to report issues involving potential or alleg</w:t>
      </w:r>
      <w:r>
        <w:rPr>
          <w:rFonts w:ascii="Arial" w:eastAsia="宋体" w:hAnsi="Arial" w:cs="Arial"/>
          <w:color w:val="000000"/>
          <w:sz w:val="20"/>
          <w:szCs w:val="20"/>
        </w:rPr>
        <w:t>ed fraudulent activities to the DOJ.</w:t>
      </w:r>
    </w:p>
    <w:p w14:paraId="5F2C9DC6" w14:textId="77777777" w:rsidR="00E836FB" w:rsidRDefault="00994958">
      <w:pPr>
        <w:spacing w:before="60"/>
        <w:ind w:firstLine="450"/>
        <w:jc w:val="both"/>
        <w:textAlignment w:val="top"/>
      </w:pPr>
      <w:r>
        <w:rPr>
          <w:rFonts w:ascii="Arial" w:eastAsia="宋体" w:hAnsi="Arial" w:cs="Arial"/>
          <w:color w:val="000000"/>
          <w:sz w:val="20"/>
          <w:szCs w:val="20"/>
        </w:rPr>
        <w:t>As a result of the enhanced inspections and monitoring activities to which we are subject under these agreements, governmental authorities may identify areas in which we may need to take actions, which may be significan</w:t>
      </w:r>
      <w:r>
        <w:rPr>
          <w:rFonts w:ascii="Arial" w:eastAsia="宋体" w:hAnsi="Arial" w:cs="Arial"/>
          <w:color w:val="000000"/>
          <w:sz w:val="20"/>
          <w:szCs w:val="20"/>
        </w:rPr>
        <w:t>t, to enhance our regulatory compliance or risk management practices. Such remedial actions may entail significant cost, management attention, and systems development and such efforts may affect our ability to expand our business until such remedial action</w:t>
      </w:r>
      <w:r>
        <w:rPr>
          <w:rFonts w:ascii="Arial" w:eastAsia="宋体" w:hAnsi="Arial" w:cs="Arial"/>
          <w:color w:val="000000"/>
          <w:sz w:val="20"/>
          <w:szCs w:val="20"/>
        </w:rPr>
        <w:t>s are completed. These actions may be in addition to remedial measures required by the Federal Reserve and other financial regulators following examinations as a result of increased prudential expectations regarding our compliance programs, culture and ris</w:t>
      </w:r>
      <w:r>
        <w:rPr>
          <w:rFonts w:ascii="Arial" w:eastAsia="宋体" w:hAnsi="Arial" w:cs="Arial"/>
          <w:color w:val="000000"/>
          <w:sz w:val="20"/>
          <w:szCs w:val="20"/>
        </w:rPr>
        <w:t xml:space="preserve">k management. Our failure to implement enhanced compliance and risk management procedures in a manner and in a time frame deemed to be responsive by the applicable regulatory authority could adversely impact our relationship with such regulatory authority </w:t>
      </w:r>
      <w:r>
        <w:rPr>
          <w:rFonts w:ascii="Arial" w:eastAsia="宋体" w:hAnsi="Arial" w:cs="Arial"/>
          <w:color w:val="000000"/>
          <w:sz w:val="20"/>
          <w:szCs w:val="20"/>
        </w:rPr>
        <w:t>and could lead to restrictions on our activities or other sanctions. Moreover, the identification of new or additional facts and circumstances suggesting inappropriate or non-compliant conduct, whether identified by us, the monitor or a regulatory authorit</w:t>
      </w:r>
      <w:r>
        <w:rPr>
          <w:rFonts w:ascii="Arial" w:eastAsia="宋体" w:hAnsi="Arial" w:cs="Arial"/>
          <w:color w:val="000000"/>
          <w:sz w:val="20"/>
          <w:szCs w:val="20"/>
        </w:rPr>
        <w:t>y, in the course of an inspection, or independently by us could lead to new governmental proceedings or the re-opening of matters that were previously resolved. The presence of the monitor, as well as governmental programs rewarding whistleblowing, may als</w:t>
      </w:r>
      <w:r>
        <w:rPr>
          <w:rFonts w:ascii="Arial" w:eastAsia="宋体" w:hAnsi="Arial" w:cs="Arial"/>
          <w:color w:val="000000"/>
          <w:sz w:val="20"/>
          <w:szCs w:val="20"/>
        </w:rPr>
        <w:t>o increase the instances of current or former employees alleging that certain practices are inconsistent with our legal or regulatory obligations.</w:t>
      </w:r>
    </w:p>
    <w:p w14:paraId="5F2C9DC7" w14:textId="77777777" w:rsidR="00E836FB" w:rsidRDefault="00994958">
      <w:pPr>
        <w:spacing w:before="90"/>
        <w:jc w:val="both"/>
        <w:textAlignment w:val="top"/>
      </w:pPr>
      <w:r>
        <w:rPr>
          <w:rFonts w:ascii="Arial" w:eastAsia="宋体" w:hAnsi="Arial" w:cs="Arial"/>
          <w:b/>
          <w:bCs/>
          <w:color w:val="000000"/>
          <w:sz w:val="20"/>
          <w:szCs w:val="20"/>
        </w:rPr>
        <w:t>Our businesses may be adversely affected by government enforcement and litigation.</w:t>
      </w:r>
    </w:p>
    <w:p w14:paraId="5F2C9DC8" w14:textId="77777777" w:rsidR="00E836FB" w:rsidRDefault="00994958">
      <w:pPr>
        <w:spacing w:before="60"/>
        <w:ind w:firstLine="450"/>
        <w:jc w:val="both"/>
        <w:textAlignment w:val="top"/>
      </w:pPr>
      <w:r>
        <w:rPr>
          <w:rFonts w:ascii="Arial" w:eastAsia="宋体" w:hAnsi="Arial" w:cs="Arial"/>
          <w:color w:val="000000"/>
          <w:sz w:val="20"/>
          <w:szCs w:val="20"/>
        </w:rPr>
        <w:t>The businesses in which we</w:t>
      </w:r>
      <w:r>
        <w:rPr>
          <w:rFonts w:ascii="Arial" w:eastAsia="宋体" w:hAnsi="Arial" w:cs="Arial"/>
          <w:color w:val="000000"/>
          <w:sz w:val="20"/>
          <w:szCs w:val="20"/>
        </w:rPr>
        <w:t xml:space="preserve"> operate are highly-regulated and subject to extensive external scrutiny that may be directed generally to participants in the businesses or markets in which we are involved or may be specifically directed at us, including as a result of whistleblower and </w:t>
      </w:r>
      <w:r>
        <w:rPr>
          <w:rFonts w:ascii="Arial" w:eastAsia="宋体" w:hAnsi="Arial" w:cs="Arial"/>
          <w:color w:val="000000"/>
          <w:sz w:val="20"/>
          <w:szCs w:val="20"/>
        </w:rPr>
        <w:t>qui tam claims. In the course of our business, we are frequently subject to various regulatory, governmental and law enforcement inquiries, investigative demands and subpoenas, and from time to time, our clients, or the government on its own behalf or on b</w:t>
      </w:r>
      <w:r>
        <w:rPr>
          <w:rFonts w:ascii="Arial" w:eastAsia="宋体" w:hAnsi="Arial" w:cs="Arial"/>
          <w:color w:val="000000"/>
          <w:sz w:val="20"/>
          <w:szCs w:val="20"/>
        </w:rPr>
        <w:t>ehalf of our clients or others, make claims and take legal action relating to, among other things, our performance of our fiduciary, contractual or regulatory responsibilities. Often, the announcement of any such matters, or of any settlement of a claim or</w:t>
      </w:r>
      <w:r>
        <w:rPr>
          <w:rFonts w:ascii="Arial" w:eastAsia="宋体" w:hAnsi="Arial" w:cs="Arial"/>
          <w:color w:val="000000"/>
          <w:sz w:val="20"/>
          <w:szCs w:val="20"/>
        </w:rPr>
        <w:t xml:space="preserve"> action, whether it involves us or others in our industry, may spur the initiation of similar claims by other clients or governmental parties. Regulatory authorities have, and are likely to continue to, initiate cross industry reviews when a material issue</w:t>
      </w:r>
      <w:r>
        <w:rPr>
          <w:rFonts w:ascii="Arial" w:eastAsia="宋体" w:hAnsi="Arial" w:cs="Arial"/>
          <w:color w:val="000000"/>
          <w:sz w:val="20"/>
          <w:szCs w:val="20"/>
        </w:rPr>
        <w:t xml:space="preserve"> is identified at a </w:t>
      </w:r>
    </w:p>
    <w:p w14:paraId="5F2C9DC9" w14:textId="77777777" w:rsidR="00E836FB" w:rsidRDefault="00994958">
      <w:pPr>
        <w:spacing w:before="60"/>
        <w:jc w:val="both"/>
        <w:textAlignment w:val="top"/>
      </w:pPr>
      <w:r>
        <w:rPr>
          <w:rFonts w:ascii="Arial" w:eastAsia="宋体" w:hAnsi="Arial" w:cs="Arial"/>
          <w:color w:val="000000"/>
          <w:sz w:val="20"/>
          <w:szCs w:val="20"/>
        </w:rPr>
        <w:t>financial institution. Such inquiries involve costs and management time and may lead to proceedings relating to our own activities.</w:t>
      </w:r>
    </w:p>
    <w:p w14:paraId="5F2C9DCA" w14:textId="77777777" w:rsidR="00E836FB" w:rsidRDefault="00994958">
      <w:pPr>
        <w:spacing w:before="60"/>
        <w:ind w:firstLine="450"/>
        <w:jc w:val="both"/>
        <w:textAlignment w:val="top"/>
      </w:pPr>
      <w:r>
        <w:rPr>
          <w:rFonts w:ascii="Arial" w:eastAsia="宋体" w:hAnsi="Arial" w:cs="Arial"/>
          <w:color w:val="000000"/>
          <w:sz w:val="20"/>
          <w:szCs w:val="20"/>
        </w:rPr>
        <w:t>Regardless of the outcome of any governmental enforcement or litigation matter, responding to such matt</w:t>
      </w:r>
      <w:r>
        <w:rPr>
          <w:rFonts w:ascii="Arial" w:eastAsia="宋体" w:hAnsi="Arial" w:cs="Arial"/>
          <w:color w:val="000000"/>
          <w:sz w:val="20"/>
          <w:szCs w:val="20"/>
        </w:rPr>
        <w:t>ers is time-consuming and expensive and can divert the attention of senior management. Governmental enforcement and litigation matters can involve claims for disgorgement, demands for substantial monetary damages, the imposition of civil or criminal penalt</w:t>
      </w:r>
      <w:r>
        <w:rPr>
          <w:rFonts w:ascii="Arial" w:eastAsia="宋体" w:hAnsi="Arial" w:cs="Arial"/>
          <w:color w:val="000000"/>
          <w:sz w:val="20"/>
          <w:szCs w:val="20"/>
        </w:rPr>
        <w:t xml:space="preserve">ies, and the imposition of remedial sanctions or other required changes in our business practices, any of which could result in increased expenses, loss of client demand for our products or services, or harm to our reputation. The exposure associated with </w:t>
      </w:r>
      <w:r>
        <w:rPr>
          <w:rFonts w:ascii="Arial" w:eastAsia="宋体" w:hAnsi="Arial" w:cs="Arial"/>
          <w:color w:val="000000"/>
          <w:sz w:val="20"/>
          <w:szCs w:val="20"/>
        </w:rPr>
        <w:t>any proceedings that may be threatened, commenced or filed against us could have a material adverse effect on our consolidated results of operations for the period in which we establish a reserve with respect to such potential liability or upon our reputat</w:t>
      </w:r>
      <w:r>
        <w:rPr>
          <w:rFonts w:ascii="Arial" w:eastAsia="宋体" w:hAnsi="Arial" w:cs="Arial"/>
          <w:color w:val="000000"/>
          <w:sz w:val="20"/>
          <w:szCs w:val="20"/>
        </w:rPr>
        <w:t>ion. In government settlements since the 2008 financial crisis, the fines imposed by authorities have increased substantially and may exceed in some cases the profit earned or harm caused by the regulatory or other breach. For example, in 2021, we paid a $</w:t>
      </w:r>
      <w:r>
        <w:rPr>
          <w:rFonts w:ascii="Arial" w:eastAsia="宋体" w:hAnsi="Arial" w:cs="Arial"/>
          <w:color w:val="000000"/>
          <w:sz w:val="20"/>
          <w:szCs w:val="20"/>
        </w:rPr>
        <w:t xml:space="preserve">115 million penalty to the office of the United Sates Attorney for the District of Massachusetts to resolve potential criminal claims arising from the invoicing matter. In addition, in connection with the resolution of the transition management matter, we </w:t>
      </w:r>
      <w:r>
        <w:rPr>
          <w:rFonts w:ascii="Arial" w:eastAsia="宋体" w:hAnsi="Arial" w:cs="Arial"/>
          <w:color w:val="000000"/>
          <w:sz w:val="20"/>
          <w:szCs w:val="20"/>
        </w:rPr>
        <w:t>agreed to pay a fine of £22.9 million (approximately $37.8 million) to the U.K. FCA in 2014 and fines of $32.3 million to each of the DOJ and the SEC in 2017. As a further example, we paid an aggregate of $575 million in 2016 to resolve a series of investi</w:t>
      </w:r>
      <w:r>
        <w:rPr>
          <w:rFonts w:ascii="Arial" w:eastAsia="宋体" w:hAnsi="Arial" w:cs="Arial"/>
          <w:color w:val="000000"/>
          <w:sz w:val="20"/>
          <w:szCs w:val="20"/>
        </w:rPr>
        <w:t>gations and governmental and private claims alleging that our indirect foreign exchange rates prior to 2008 were not adequately disclosed or were otherwise improper. These matters have also resulted in regulatory focus on the manner in which we charge clie</w:t>
      </w:r>
      <w:r>
        <w:rPr>
          <w:rFonts w:ascii="Arial" w:eastAsia="宋体" w:hAnsi="Arial" w:cs="Arial"/>
          <w:color w:val="000000"/>
          <w:sz w:val="20"/>
          <w:szCs w:val="20"/>
        </w:rPr>
        <w:t>nts and related disclosures. This focus may lead to increased and prolonged governmental inquiries and client, qui tam and whistleblower claims associated with the amount and disclosure of compensation we receive for our products and services.</w:t>
      </w:r>
    </w:p>
    <w:p w14:paraId="5F2C9DCB" w14:textId="77777777" w:rsidR="00E836FB" w:rsidRDefault="00994958">
      <w:pPr>
        <w:spacing w:before="60"/>
        <w:ind w:firstLine="450"/>
        <w:jc w:val="both"/>
        <w:textAlignment w:val="top"/>
      </w:pPr>
      <w:r>
        <w:rPr>
          <w:rFonts w:ascii="Arial" w:eastAsia="宋体" w:hAnsi="Arial" w:cs="Arial"/>
          <w:color w:val="000000"/>
          <w:sz w:val="20"/>
          <w:szCs w:val="20"/>
        </w:rPr>
        <w:t>Moreover, U.S. and certain international governmental authorities have increasingly brought criminal actions against financial institutions, and criminal prosecutors have increasingly sought and obtained criminal guilty pleas, deferred prosecution agreemen</w:t>
      </w:r>
      <w:r>
        <w:rPr>
          <w:rFonts w:ascii="Arial" w:eastAsia="宋体" w:hAnsi="Arial" w:cs="Arial"/>
          <w:color w:val="000000"/>
          <w:sz w:val="20"/>
          <w:szCs w:val="20"/>
        </w:rPr>
        <w:t xml:space="preserve">ts or other criminal sanctions from financial institutions. For example, in 2017 we entered into a deferred prosecution agreement with the U.S. Department of Justice in connection with the resolution of the transition management matter and in May 2021, we </w:t>
      </w:r>
      <w:r>
        <w:rPr>
          <w:rFonts w:ascii="Arial" w:eastAsia="宋体" w:hAnsi="Arial" w:cs="Arial"/>
          <w:color w:val="000000"/>
          <w:sz w:val="20"/>
          <w:szCs w:val="20"/>
        </w:rPr>
        <w:t xml:space="preserve">entered into a deferred prosecution agreement with the office of the United States </w:t>
      </w:r>
    </w:p>
    <w:p w14:paraId="5F2C9DCC" w14:textId="77777777" w:rsidR="00E836FB" w:rsidRDefault="00994958">
      <w:pPr>
        <w:ind w:firstLine="450"/>
        <w:jc w:val="right"/>
      </w:pPr>
      <w:r>
        <w:rPr>
          <w:rFonts w:ascii="Arial" w:eastAsia="宋体" w:hAnsi="Arial" w:cs="Arial"/>
          <w:color w:val="000000"/>
          <w:sz w:val="18"/>
          <w:szCs w:val="18"/>
        </w:rPr>
        <w:t>State Street Corporation | 41</w:t>
      </w:r>
    </w:p>
    <w:p w14:paraId="5F2C9DCD" w14:textId="77777777" w:rsidR="00E836FB" w:rsidRDefault="00E836FB">
      <w:pPr>
        <w:ind w:firstLine="450"/>
        <w:jc w:val="center"/>
      </w:pPr>
    </w:p>
    <w:p w14:paraId="5F2C9DCE" w14:textId="77777777" w:rsidR="00E836FB" w:rsidRDefault="00994958">
      <w:r>
        <w:pict w14:anchorId="5F2D6DAC">
          <v:rect id="_x0000_i1065" style="width:415.3pt;height:1.5pt" o:hralign="center" o:hrstd="t" o:hr="t" fillcolor="#a0a0a0" stroked="f"/>
        </w:pict>
      </w:r>
    </w:p>
    <w:p w14:paraId="5F2C9DCF" w14:textId="77777777" w:rsidR="00E836FB" w:rsidRDefault="00E836FB">
      <w:pPr>
        <w:ind w:firstLine="450"/>
      </w:pPr>
    </w:p>
    <w:p w14:paraId="5F2C9DD0" w14:textId="77777777" w:rsidR="00E836FB" w:rsidRDefault="00994958">
      <w:pPr>
        <w:spacing w:before="60"/>
        <w:jc w:val="both"/>
        <w:textAlignment w:val="top"/>
      </w:pPr>
      <w:r>
        <w:rPr>
          <w:rFonts w:ascii="Arial" w:eastAsia="宋体" w:hAnsi="Arial" w:cs="Arial"/>
          <w:color w:val="000000"/>
          <w:sz w:val="20"/>
          <w:szCs w:val="20"/>
        </w:rPr>
        <w:t>Attorney for the District of Massachusetts in connection with the invoicing matter and such agreement could increase the likelihood that g</w:t>
      </w:r>
      <w:r>
        <w:rPr>
          <w:rFonts w:ascii="Arial" w:eastAsia="宋体" w:hAnsi="Arial" w:cs="Arial"/>
          <w:color w:val="000000"/>
          <w:sz w:val="20"/>
          <w:szCs w:val="20"/>
        </w:rPr>
        <w:t>overnmental authorities will seek criminal sanctions against us in pending proceedings or future litigation legal proceedings. See the risk factor “</w:t>
      </w:r>
      <w:r>
        <w:rPr>
          <w:rFonts w:ascii="Arial" w:eastAsia="宋体" w:hAnsi="Arial" w:cs="Arial"/>
          <w:i/>
          <w:iCs/>
          <w:color w:val="000000"/>
          <w:sz w:val="20"/>
          <w:szCs w:val="20"/>
        </w:rPr>
        <w:t>We are subject to various legal proceedings relating to the manner in which we have invoiced certain expense</w:t>
      </w:r>
      <w:r>
        <w:rPr>
          <w:rFonts w:ascii="Arial" w:eastAsia="宋体" w:hAnsi="Arial" w:cs="Arial"/>
          <w:i/>
          <w:iCs/>
          <w:color w:val="000000"/>
          <w:sz w:val="20"/>
          <w:szCs w:val="20"/>
        </w:rPr>
        <w:t>s, and the outcome of such proceedings could materially adversely affect our results of operations, or harm our business or reputation</w:t>
      </w:r>
      <w:r>
        <w:rPr>
          <w:rFonts w:ascii="Arial" w:eastAsia="宋体" w:hAnsi="Arial" w:cs="Arial"/>
          <w:color w:val="000000"/>
          <w:sz w:val="20"/>
          <w:szCs w:val="20"/>
        </w:rPr>
        <w:t>.” Government authorities may also pursue criminal claims against current or former employees, and these matters can, amon</w:t>
      </w:r>
      <w:r>
        <w:rPr>
          <w:rFonts w:ascii="Arial" w:eastAsia="宋体" w:hAnsi="Arial" w:cs="Arial"/>
          <w:color w:val="000000"/>
          <w:sz w:val="20"/>
          <w:szCs w:val="20"/>
        </w:rPr>
        <w:t>g other things, involve continuing reputational harm to us. For example, four of our former employees were indicted by U.S. prosecutors on charges of criminal conspiracy in connection with their involvement in the transition management matter. Two of these</w:t>
      </w:r>
      <w:r>
        <w:rPr>
          <w:rFonts w:ascii="Arial" w:eastAsia="宋体" w:hAnsi="Arial" w:cs="Arial"/>
          <w:color w:val="000000"/>
          <w:sz w:val="20"/>
          <w:szCs w:val="20"/>
        </w:rPr>
        <w:t xml:space="preserve"> individuals pled guilty, and a third was convicted in 2018.</w:t>
      </w:r>
    </w:p>
    <w:p w14:paraId="5F2C9DD1" w14:textId="77777777" w:rsidR="00E836FB" w:rsidRDefault="00994958">
      <w:pPr>
        <w:spacing w:before="60"/>
        <w:ind w:firstLine="450"/>
        <w:jc w:val="both"/>
        <w:textAlignment w:val="top"/>
      </w:pPr>
      <w:r>
        <w:rPr>
          <w:rFonts w:ascii="Arial" w:eastAsia="宋体" w:hAnsi="Arial" w:cs="Arial"/>
          <w:color w:val="000000"/>
          <w:sz w:val="20"/>
          <w:szCs w:val="20"/>
        </w:rPr>
        <w:t>In many cases, we are required or may choose to report inappropriate or non-compliant conduct to the authorities, and our failure or delay to do so may represent an independent regulatory violati</w:t>
      </w:r>
      <w:r>
        <w:rPr>
          <w:rFonts w:ascii="Arial" w:eastAsia="宋体" w:hAnsi="Arial" w:cs="Arial"/>
          <w:color w:val="000000"/>
          <w:sz w:val="20"/>
          <w:szCs w:val="20"/>
        </w:rPr>
        <w:t>on or be treated as an indication of non-cooperation with governmental authorities. Even when we promptly report a matter, we may nonetheless experience regulatory fines, liabilities to clients, harm to our reputation or other adverse effects. Moreover, ou</w:t>
      </w:r>
      <w:r>
        <w:rPr>
          <w:rFonts w:ascii="Arial" w:eastAsia="宋体" w:hAnsi="Arial" w:cs="Arial"/>
          <w:color w:val="000000"/>
          <w:sz w:val="20"/>
          <w:szCs w:val="20"/>
        </w:rPr>
        <w:t>r settlement or other resolution of any matter with any one or more regulators or other applicable party may not forestall other regulators or parties in the same or other jurisdictions from pursuing a claim or other action against us with respect to the s</w:t>
      </w:r>
      <w:r>
        <w:rPr>
          <w:rFonts w:ascii="Arial" w:eastAsia="宋体" w:hAnsi="Arial" w:cs="Arial"/>
          <w:color w:val="000000"/>
          <w:sz w:val="20"/>
          <w:szCs w:val="20"/>
        </w:rPr>
        <w:t>ame or a similar matter.</w:t>
      </w:r>
    </w:p>
    <w:p w14:paraId="5F2C9DD2" w14:textId="77777777" w:rsidR="00E836FB" w:rsidRDefault="00994958">
      <w:pPr>
        <w:spacing w:before="60"/>
        <w:ind w:firstLine="450"/>
        <w:jc w:val="both"/>
        <w:textAlignment w:val="top"/>
      </w:pPr>
      <w:r>
        <w:rPr>
          <w:rFonts w:ascii="Arial" w:eastAsia="宋体" w:hAnsi="Arial" w:cs="Arial"/>
          <w:color w:val="000000"/>
          <w:sz w:val="20"/>
          <w:szCs w:val="20"/>
        </w:rPr>
        <w:t>For more information about current contingencies relating to legal proceedings, see Note 13 to the consolidated financial statements in this Form 10-K. The resolution of certain pending or potential legal or regulatory matters coul</w:t>
      </w:r>
      <w:r>
        <w:rPr>
          <w:rFonts w:ascii="Arial" w:eastAsia="宋体" w:hAnsi="Arial" w:cs="Arial"/>
          <w:color w:val="000000"/>
          <w:sz w:val="20"/>
          <w:szCs w:val="20"/>
        </w:rPr>
        <w:t>d have a material adverse effect on our consolidated results of operations for the period in which the relevant matter is resolved or an accrual is determined to be required, on our consolidated financial condition or on our reputation.</w:t>
      </w:r>
    </w:p>
    <w:p w14:paraId="5F2C9DD3" w14:textId="77777777" w:rsidR="00E836FB" w:rsidRDefault="00994958">
      <w:pPr>
        <w:spacing w:before="60"/>
        <w:ind w:firstLine="450"/>
        <w:jc w:val="both"/>
        <w:textAlignment w:val="top"/>
      </w:pPr>
      <w:r>
        <w:rPr>
          <w:rFonts w:ascii="Arial" w:eastAsia="宋体" w:hAnsi="Arial" w:cs="Arial"/>
          <w:color w:val="000000"/>
          <w:sz w:val="20"/>
          <w:szCs w:val="20"/>
        </w:rPr>
        <w:t>In view of the inherent difficulty of predicting the outcome of legal and regulatory matters, we cannot provide assurance as to the outcome of any pending or potential matter or, if determined adversely against us, the costs associated with any such matter</w:t>
      </w:r>
      <w:r>
        <w:rPr>
          <w:rFonts w:ascii="Arial" w:eastAsia="宋体" w:hAnsi="Arial" w:cs="Arial"/>
          <w:color w:val="000000"/>
          <w:sz w:val="20"/>
          <w:szCs w:val="20"/>
        </w:rPr>
        <w:t>, particularly where the claimant seeks very large or indeterminate damages or where the matter presents novel legal theories, involves a large number of parties, involves the discretion of governmental authorities in seeking sanctions or negotiated resolu</w:t>
      </w:r>
      <w:r>
        <w:rPr>
          <w:rFonts w:ascii="Arial" w:eastAsia="宋体" w:hAnsi="Arial" w:cs="Arial"/>
          <w:color w:val="000000"/>
          <w:sz w:val="20"/>
          <w:szCs w:val="20"/>
        </w:rPr>
        <w:t xml:space="preserve">tion or is at a preliminary stage. We may be unable to accurately estimate our exposure to the risks of legal and regulatory contingencies when we </w:t>
      </w:r>
    </w:p>
    <w:p w14:paraId="5F2C9DD4" w14:textId="77777777" w:rsidR="00E836FB" w:rsidRDefault="00994958">
      <w:pPr>
        <w:spacing w:before="60"/>
        <w:jc w:val="both"/>
        <w:textAlignment w:val="top"/>
      </w:pPr>
      <w:r>
        <w:rPr>
          <w:rFonts w:ascii="Arial" w:eastAsia="宋体" w:hAnsi="Arial" w:cs="Arial"/>
          <w:color w:val="000000"/>
          <w:sz w:val="20"/>
          <w:szCs w:val="20"/>
        </w:rPr>
        <w:t>record reserves for probable and estimable loss contingencies. As a result, any reserves we establish may no</w:t>
      </w:r>
      <w:r>
        <w:rPr>
          <w:rFonts w:ascii="Arial" w:eastAsia="宋体" w:hAnsi="Arial" w:cs="Arial"/>
          <w:color w:val="000000"/>
          <w:sz w:val="20"/>
          <w:szCs w:val="20"/>
        </w:rPr>
        <w:t>t be sufficient to cover our actual financial exposure. Similarly, our estimates of the aggregate range of reasonably possible loss for legal and regulatory contingencies are based upon then-available information and are subject to significant judgment and</w:t>
      </w:r>
      <w:r>
        <w:rPr>
          <w:rFonts w:ascii="Arial" w:eastAsia="宋体" w:hAnsi="Arial" w:cs="Arial"/>
          <w:color w:val="000000"/>
          <w:sz w:val="20"/>
          <w:szCs w:val="20"/>
        </w:rPr>
        <w:t xml:space="preserve"> a variety of assumptions and known and unknown uncertainties. The matters underlying the estimated range will change from time to time, and actual results may vary significantly from the estimate at any time.</w:t>
      </w:r>
    </w:p>
    <w:p w14:paraId="5F2C9DD5" w14:textId="77777777" w:rsidR="00E836FB" w:rsidRDefault="00994958">
      <w:pPr>
        <w:spacing w:before="90"/>
        <w:jc w:val="both"/>
        <w:textAlignment w:val="top"/>
      </w:pPr>
      <w:r>
        <w:rPr>
          <w:rFonts w:ascii="Arial" w:eastAsia="宋体" w:hAnsi="Arial" w:cs="Arial"/>
          <w:b/>
          <w:bCs/>
          <w:color w:val="000000"/>
          <w:sz w:val="20"/>
          <w:szCs w:val="20"/>
        </w:rPr>
        <w:t>Our efforts to improve our billing processes a</w:t>
      </w:r>
      <w:r>
        <w:rPr>
          <w:rFonts w:ascii="Arial" w:eastAsia="宋体" w:hAnsi="Arial" w:cs="Arial"/>
          <w:b/>
          <w:bCs/>
          <w:color w:val="000000"/>
          <w:sz w:val="20"/>
          <w:szCs w:val="20"/>
        </w:rPr>
        <w:t>nd practices are ongoing and may result in the identification of additional billing errors.</w:t>
      </w:r>
    </w:p>
    <w:p w14:paraId="5F2C9DD6" w14:textId="77777777" w:rsidR="00E836FB" w:rsidRDefault="00994958">
      <w:pPr>
        <w:spacing w:before="60"/>
        <w:ind w:firstLine="450"/>
        <w:jc w:val="both"/>
        <w:textAlignment w:val="top"/>
      </w:pPr>
      <w:r>
        <w:rPr>
          <w:rFonts w:ascii="Arial" w:eastAsia="宋体" w:hAnsi="Arial" w:cs="Arial"/>
          <w:color w:val="000000"/>
          <w:sz w:val="20"/>
          <w:szCs w:val="20"/>
        </w:rPr>
        <w:t xml:space="preserve">In 2015, we determined we had incorrectly invoiced some of our Investment Servicing clients for certain expenses. At that time, we began the process of remediating </w:t>
      </w:r>
      <w:r>
        <w:rPr>
          <w:rFonts w:ascii="Arial" w:eastAsia="宋体" w:hAnsi="Arial" w:cs="Arial"/>
          <w:color w:val="000000"/>
          <w:sz w:val="20"/>
          <w:szCs w:val="20"/>
        </w:rPr>
        <w:t>these errors, improving our billing processes and controls in the asset servicing business and other businesses, and testing these improved billing processes and controls. We are continuing to standardize, enhance, and, where necessary, replace and enhance</w:t>
      </w:r>
      <w:r>
        <w:rPr>
          <w:rFonts w:ascii="Arial" w:eastAsia="宋体" w:hAnsi="Arial" w:cs="Arial"/>
          <w:color w:val="000000"/>
          <w:sz w:val="20"/>
          <w:szCs w:val="20"/>
        </w:rPr>
        <w:t xml:space="preserve"> controls and invest in new billing infrastructure. The objective of this billing transformation program is to obtain greater billing accuracy and timeliness. Because of the scale of our business, identifying and remediating all weaknesses and inefficienci</w:t>
      </w:r>
      <w:r>
        <w:rPr>
          <w:rFonts w:ascii="Arial" w:eastAsia="宋体" w:hAnsi="Arial" w:cs="Arial"/>
          <w:color w:val="000000"/>
          <w:sz w:val="20"/>
          <w:szCs w:val="20"/>
        </w:rPr>
        <w:t>es in our billing processes cannot be implemented concurrently. Accordingly, the costs to remediate billing errors which may be discovered in that process, would likely be incurred over a period that we are now unable accurately to determine. As we work th</w:t>
      </w:r>
      <w:r>
        <w:rPr>
          <w:rFonts w:ascii="Arial" w:eastAsia="宋体" w:hAnsi="Arial" w:cs="Arial"/>
          <w:color w:val="000000"/>
          <w:sz w:val="20"/>
          <w:szCs w:val="20"/>
        </w:rPr>
        <w:t>rough this process, we have discovered and may continue to discover areas where we believe our billing processes need improvement, where we believe we have made billing errors with respect to particular customers and categories of fees and expenses, and wh</w:t>
      </w:r>
      <w:r>
        <w:rPr>
          <w:rFonts w:ascii="Arial" w:eastAsia="宋体" w:hAnsi="Arial" w:cs="Arial"/>
          <w:color w:val="000000"/>
          <w:sz w:val="20"/>
          <w:szCs w:val="20"/>
        </w:rPr>
        <w:t xml:space="preserve">ere we believe billing arrangements between ourselves and particular customers should be clarified. Such discoveries may lead to increased expense and decreased revenues, the need to remediate prior billing errors, government investigations, or litigation </w:t>
      </w:r>
      <w:r>
        <w:rPr>
          <w:rFonts w:ascii="Arial" w:eastAsia="宋体" w:hAnsi="Arial" w:cs="Arial"/>
          <w:color w:val="000000"/>
          <w:sz w:val="20"/>
          <w:szCs w:val="20"/>
        </w:rPr>
        <w:t>that may materially impact our business, financial results and reputation.</w:t>
      </w:r>
    </w:p>
    <w:p w14:paraId="5F2C9DD7" w14:textId="77777777" w:rsidR="00E836FB" w:rsidRDefault="00994958">
      <w:pPr>
        <w:ind w:firstLine="450"/>
        <w:jc w:val="right"/>
      </w:pPr>
      <w:r>
        <w:rPr>
          <w:rFonts w:ascii="Arial" w:eastAsia="宋体" w:hAnsi="Arial" w:cs="Arial"/>
          <w:color w:val="000000"/>
          <w:sz w:val="18"/>
          <w:szCs w:val="18"/>
        </w:rPr>
        <w:t>State Street Corporation | 42</w:t>
      </w:r>
    </w:p>
    <w:p w14:paraId="5F2C9DD8" w14:textId="77777777" w:rsidR="00E836FB" w:rsidRDefault="00E836FB">
      <w:pPr>
        <w:ind w:firstLine="450"/>
        <w:jc w:val="center"/>
      </w:pPr>
    </w:p>
    <w:p w14:paraId="5F2C9DD9" w14:textId="77777777" w:rsidR="00E836FB" w:rsidRDefault="00994958">
      <w:r>
        <w:pict w14:anchorId="5F2D6DAD">
          <v:rect id="_x0000_i1066" style="width:415.3pt;height:1.5pt" o:hralign="center" o:hrstd="t" o:hr="t" fillcolor="#a0a0a0" stroked="f"/>
        </w:pict>
      </w:r>
    </w:p>
    <w:p w14:paraId="5F2C9DDA" w14:textId="77777777" w:rsidR="00E836FB" w:rsidRDefault="00E836FB">
      <w:pPr>
        <w:ind w:firstLine="450"/>
      </w:pPr>
    </w:p>
    <w:p w14:paraId="5F2C9DDB" w14:textId="77777777" w:rsidR="00E836FB" w:rsidRDefault="00994958">
      <w:pPr>
        <w:spacing w:before="90"/>
        <w:jc w:val="both"/>
        <w:textAlignment w:val="top"/>
      </w:pPr>
      <w:r>
        <w:rPr>
          <w:rFonts w:ascii="Arial" w:eastAsia="宋体" w:hAnsi="Arial" w:cs="Arial"/>
          <w:b/>
          <w:bCs/>
          <w:color w:val="000000"/>
          <w:sz w:val="20"/>
          <w:szCs w:val="20"/>
        </w:rPr>
        <w:t>Any theft, loss, damage to or other misappropriation or inadvertent disclosure of, or inappropriate access to, the confidential information we poss</w:t>
      </w:r>
      <w:r>
        <w:rPr>
          <w:rFonts w:ascii="Arial" w:eastAsia="宋体" w:hAnsi="Arial" w:cs="Arial"/>
          <w:b/>
          <w:bCs/>
          <w:color w:val="000000"/>
          <w:sz w:val="20"/>
          <w:szCs w:val="20"/>
        </w:rPr>
        <w:t>ess could have an adverse impact on our business and could subject us to regulatory actions, litigation and other adverse effects.</w:t>
      </w:r>
    </w:p>
    <w:p w14:paraId="5F2C9DDC" w14:textId="77777777" w:rsidR="00E836FB" w:rsidRDefault="00994958">
      <w:pPr>
        <w:spacing w:before="60"/>
        <w:ind w:firstLine="450"/>
        <w:jc w:val="both"/>
        <w:textAlignment w:val="top"/>
      </w:pPr>
      <w:r>
        <w:rPr>
          <w:rFonts w:ascii="Arial" w:eastAsia="宋体" w:hAnsi="Arial" w:cs="Arial"/>
          <w:color w:val="000000"/>
          <w:sz w:val="20"/>
          <w:szCs w:val="20"/>
        </w:rPr>
        <w:t>Our businesses and relationships with clients are dependent on our ability to maintain the confidentiality of our and our cli</w:t>
      </w:r>
      <w:r>
        <w:rPr>
          <w:rFonts w:ascii="Arial" w:eastAsia="宋体" w:hAnsi="Arial" w:cs="Arial"/>
          <w:color w:val="000000"/>
          <w:sz w:val="20"/>
          <w:szCs w:val="20"/>
        </w:rPr>
        <w:t xml:space="preserve">ents' trade secrets and other confidential information (including client transactional and holdings data and personal data about our clients, our clients' clients and our employees). Unauthorized access, or failure of our controls with respect to granting </w:t>
      </w:r>
      <w:r>
        <w:rPr>
          <w:rFonts w:ascii="Arial" w:eastAsia="宋体" w:hAnsi="Arial" w:cs="Arial"/>
          <w:color w:val="000000"/>
          <w:sz w:val="20"/>
          <w:szCs w:val="20"/>
        </w:rPr>
        <w:t>access to our systems, has in the past occurred and may in the future occur, resulting in theft, loss, damage to or other misappropriation of such information. In addition, our and our vendors’ personnel have in the past and may in the future inadvertently</w:t>
      </w:r>
      <w:r>
        <w:rPr>
          <w:rFonts w:ascii="Arial" w:eastAsia="宋体" w:hAnsi="Arial" w:cs="Arial"/>
          <w:color w:val="000000"/>
          <w:sz w:val="20"/>
          <w:szCs w:val="20"/>
        </w:rPr>
        <w:t xml:space="preserve"> or deliberately disclose client or other confidential information. Any theft, loss, damage to other misappropriation or inadvertent disclosure of confidential information could have a material adverse impact on our competitive position, our relationships </w:t>
      </w:r>
      <w:r>
        <w:rPr>
          <w:rFonts w:ascii="Arial" w:eastAsia="宋体" w:hAnsi="Arial" w:cs="Arial"/>
          <w:color w:val="000000"/>
          <w:sz w:val="20"/>
          <w:szCs w:val="20"/>
        </w:rPr>
        <w:t>with our clients and our reputation and could subject us to regulatory inquiries, enforcement and fines, civil litigation and possible financial liability or costs. To the extent any of these events involve personal information, the risks of enhanced regul</w:t>
      </w:r>
      <w:r>
        <w:rPr>
          <w:rFonts w:ascii="Arial" w:eastAsia="宋体" w:hAnsi="Arial" w:cs="Arial"/>
          <w:color w:val="000000"/>
          <w:sz w:val="20"/>
          <w:szCs w:val="20"/>
        </w:rPr>
        <w:t>atory scrutiny and the potential financial liabilities are exacerbated, particularly under data protection regulations such as the GDPR.</w:t>
      </w:r>
    </w:p>
    <w:p w14:paraId="5F2C9DDD" w14:textId="77777777" w:rsidR="00E836FB" w:rsidRDefault="00994958">
      <w:pPr>
        <w:spacing w:before="90"/>
        <w:jc w:val="both"/>
        <w:textAlignment w:val="top"/>
      </w:pPr>
      <w:r>
        <w:rPr>
          <w:rFonts w:ascii="Arial" w:eastAsia="宋体" w:hAnsi="Arial" w:cs="Arial"/>
          <w:b/>
          <w:bCs/>
          <w:color w:val="000000"/>
          <w:sz w:val="20"/>
          <w:szCs w:val="20"/>
        </w:rPr>
        <w:t>Our calculations of credit, market and operational risk exposures, total RWA and capital ratios for regulatory purposes</w:t>
      </w:r>
      <w:r>
        <w:rPr>
          <w:rFonts w:ascii="Arial" w:eastAsia="宋体" w:hAnsi="Arial" w:cs="Arial"/>
          <w:b/>
          <w:bCs/>
          <w:color w:val="000000"/>
          <w:sz w:val="20"/>
          <w:szCs w:val="20"/>
        </w:rPr>
        <w:t xml:space="preserve"> depend on data inputs, formulae, models, correlations and assumptions that are subject to change over time, which changes, in addition to our consolidated financial results, could materially impact our risk exposures, our total RWA and our capital ratios </w:t>
      </w:r>
      <w:r>
        <w:rPr>
          <w:rFonts w:ascii="Arial" w:eastAsia="宋体" w:hAnsi="Arial" w:cs="Arial"/>
          <w:b/>
          <w:bCs/>
          <w:color w:val="000000"/>
          <w:sz w:val="20"/>
          <w:szCs w:val="20"/>
        </w:rPr>
        <w:t>from period to period.</w:t>
      </w:r>
    </w:p>
    <w:p w14:paraId="5F2C9DDE" w14:textId="77777777" w:rsidR="00E836FB" w:rsidRDefault="00994958">
      <w:pPr>
        <w:spacing w:before="60"/>
        <w:ind w:firstLine="450"/>
        <w:jc w:val="both"/>
        <w:textAlignment w:val="top"/>
      </w:pPr>
      <w:r>
        <w:rPr>
          <w:rFonts w:ascii="Arial" w:eastAsia="宋体" w:hAnsi="Arial" w:cs="Arial"/>
          <w:color w:val="000000"/>
          <w:sz w:val="20"/>
          <w:szCs w:val="20"/>
        </w:rPr>
        <w:t>To calculate our credit, market and operational risk exposures, our total RWA and our capital ratios for regulatory purposes, the Basel III rule involves the use of current and historical data, including our own loss data and similar</w:t>
      </w:r>
      <w:r>
        <w:rPr>
          <w:rFonts w:ascii="Arial" w:eastAsia="宋体" w:hAnsi="Arial" w:cs="Arial"/>
          <w:color w:val="000000"/>
          <w:sz w:val="20"/>
          <w:szCs w:val="20"/>
        </w:rPr>
        <w:t xml:space="preserve"> information from other industry participants, market volatility measures, interest rates and spreads, asset valuations, credit exposures and the creditworthiness of our counterparties. These calculations also involve the use of quantitative formulae, stat</w:t>
      </w:r>
      <w:r>
        <w:rPr>
          <w:rFonts w:ascii="Arial" w:eastAsia="宋体" w:hAnsi="Arial" w:cs="Arial"/>
          <w:color w:val="000000"/>
          <w:sz w:val="20"/>
          <w:szCs w:val="20"/>
        </w:rPr>
        <w:t>istical models, historical correlations and significant assumptions. We refer to the data, formulae, models, correlations and assumptions, as well as our related internal processes, as our “advanced systems.” While our advanced systems are generally quanti</w:t>
      </w:r>
      <w:r>
        <w:rPr>
          <w:rFonts w:ascii="Arial" w:eastAsia="宋体" w:hAnsi="Arial" w:cs="Arial"/>
          <w:color w:val="000000"/>
          <w:sz w:val="20"/>
          <w:szCs w:val="20"/>
        </w:rPr>
        <w:t xml:space="preserve">tative in nature, significant components involve the exercise of judgment based </w:t>
      </w:r>
    </w:p>
    <w:p w14:paraId="5F2C9DDF" w14:textId="77777777" w:rsidR="00E836FB" w:rsidRDefault="00994958">
      <w:pPr>
        <w:spacing w:before="60"/>
        <w:jc w:val="both"/>
        <w:textAlignment w:val="top"/>
      </w:pPr>
      <w:r>
        <w:rPr>
          <w:rFonts w:ascii="Arial" w:eastAsia="宋体" w:hAnsi="Arial" w:cs="Arial"/>
          <w:color w:val="000000"/>
          <w:sz w:val="20"/>
          <w:szCs w:val="20"/>
        </w:rPr>
        <w:t xml:space="preserve">on, among other factors, our and the financial services industry's evolving experience. Any of these judgments or other elements of our advanced systems may not, individually </w:t>
      </w:r>
      <w:r>
        <w:rPr>
          <w:rFonts w:ascii="Arial" w:eastAsia="宋体" w:hAnsi="Arial" w:cs="Arial"/>
          <w:color w:val="000000"/>
          <w:sz w:val="20"/>
          <w:szCs w:val="20"/>
        </w:rPr>
        <w:t>or collectively, precisely represent or calculate the scenarios, circumstances, outputs or other results for which they are designed or intended. Collectively, they represent only our estimate of associated risk.</w:t>
      </w:r>
    </w:p>
    <w:p w14:paraId="5F2C9DE0" w14:textId="77777777" w:rsidR="00E836FB" w:rsidRDefault="00994958">
      <w:pPr>
        <w:spacing w:before="60"/>
        <w:ind w:firstLine="450"/>
        <w:jc w:val="both"/>
        <w:textAlignment w:val="top"/>
      </w:pPr>
      <w:r>
        <w:rPr>
          <w:rFonts w:ascii="Arial" w:eastAsia="宋体" w:hAnsi="Arial" w:cs="Arial"/>
          <w:color w:val="000000"/>
          <w:sz w:val="20"/>
          <w:szCs w:val="20"/>
        </w:rPr>
        <w:t>In addition, our advanced systems are subje</w:t>
      </w:r>
      <w:r>
        <w:rPr>
          <w:rFonts w:ascii="Arial" w:eastAsia="宋体" w:hAnsi="Arial" w:cs="Arial"/>
          <w:color w:val="000000"/>
          <w:sz w:val="20"/>
          <w:szCs w:val="20"/>
        </w:rPr>
        <w:t>ct to update and periodic revalidation in response to changes in our business activities and our historical experiences, forces and events experienced by the market broadly or by individual financial institutions, changes in regulations and regulatory inte</w:t>
      </w:r>
      <w:r>
        <w:rPr>
          <w:rFonts w:ascii="Arial" w:eastAsia="宋体" w:hAnsi="Arial" w:cs="Arial"/>
          <w:color w:val="000000"/>
          <w:sz w:val="20"/>
          <w:szCs w:val="20"/>
        </w:rPr>
        <w:t>rpretations and other factors, and are also subject to continuing regulatory review and approval. For example, a significant operational loss experienced by another financial institution, even if we do not experience a related loss, could result in a mater</w:t>
      </w:r>
      <w:r>
        <w:rPr>
          <w:rFonts w:ascii="Arial" w:eastAsia="宋体" w:hAnsi="Arial" w:cs="Arial"/>
          <w:color w:val="000000"/>
          <w:sz w:val="20"/>
          <w:szCs w:val="20"/>
        </w:rPr>
        <w:t>ial change in the output of our advanced systems and a corresponding material change in our risk exposures, our total RWA and our capital ratios compared to prior periods. An operational loss that we experience could also result in a material change in our</w:t>
      </w:r>
      <w:r>
        <w:rPr>
          <w:rFonts w:ascii="Arial" w:eastAsia="宋体" w:hAnsi="Arial" w:cs="Arial"/>
          <w:color w:val="000000"/>
          <w:sz w:val="20"/>
          <w:szCs w:val="20"/>
        </w:rPr>
        <w:t xml:space="preserve"> capital requirements for operational risk under the advanced approaches, depending on the severity of the loss event, its characterization among the seven Basel-defined UOM, and the stability of the distributional approach for a particular UOM. This chang</w:t>
      </w:r>
      <w:r>
        <w:rPr>
          <w:rFonts w:ascii="Arial" w:eastAsia="宋体" w:hAnsi="Arial" w:cs="Arial"/>
          <w:color w:val="000000"/>
          <w:sz w:val="20"/>
          <w:szCs w:val="20"/>
        </w:rPr>
        <w:t>e in our capital requirements could be without direct correlation to the effects of the loss event or the timing of such effects on our results of operations. Due to the influence of changes in our advanced systems, whether resulting from changes in data i</w:t>
      </w:r>
      <w:r>
        <w:rPr>
          <w:rFonts w:ascii="Arial" w:eastAsia="宋体" w:hAnsi="Arial" w:cs="Arial"/>
          <w:color w:val="000000"/>
          <w:sz w:val="20"/>
          <w:szCs w:val="20"/>
        </w:rPr>
        <w:t xml:space="preserve">nputs, regulation or regulatory supervision or interpretation, specific to us or more general market, or individual financial institution-specific, activities or experiences, or other updates or factors, we expect that our advanced systems and our credit, </w:t>
      </w:r>
      <w:r>
        <w:rPr>
          <w:rFonts w:ascii="Arial" w:eastAsia="宋体" w:hAnsi="Arial" w:cs="Arial"/>
          <w:color w:val="000000"/>
          <w:sz w:val="20"/>
          <w:szCs w:val="20"/>
        </w:rPr>
        <w:t>market and operational risk exposures, our total RWA and our capital ratios calculated under the Basel III rule will change, and may be volatile, over time, and that those latter changes or volatility could be material as calculated and measured from perio</w:t>
      </w:r>
      <w:r>
        <w:rPr>
          <w:rFonts w:ascii="Arial" w:eastAsia="宋体" w:hAnsi="Arial" w:cs="Arial"/>
          <w:color w:val="000000"/>
          <w:sz w:val="20"/>
          <w:szCs w:val="20"/>
        </w:rPr>
        <w:t>d to period.</w:t>
      </w:r>
    </w:p>
    <w:p w14:paraId="5F2C9DE1" w14:textId="77777777" w:rsidR="00E836FB" w:rsidRDefault="00994958">
      <w:pPr>
        <w:ind w:firstLine="450"/>
        <w:jc w:val="right"/>
      </w:pPr>
      <w:r>
        <w:rPr>
          <w:rFonts w:ascii="Arial" w:eastAsia="宋体" w:hAnsi="Arial" w:cs="Arial"/>
          <w:color w:val="000000"/>
          <w:sz w:val="18"/>
          <w:szCs w:val="18"/>
        </w:rPr>
        <w:t>State Street Corporation | 43</w:t>
      </w:r>
    </w:p>
    <w:p w14:paraId="5F2C9DE2" w14:textId="77777777" w:rsidR="00E836FB" w:rsidRDefault="00E836FB">
      <w:pPr>
        <w:ind w:firstLine="450"/>
        <w:jc w:val="center"/>
      </w:pPr>
    </w:p>
    <w:p w14:paraId="5F2C9DE3" w14:textId="77777777" w:rsidR="00E836FB" w:rsidRDefault="00994958">
      <w:r>
        <w:pict w14:anchorId="5F2D6DAE">
          <v:rect id="_x0000_i1067" style="width:415.3pt;height:1.5pt" o:hralign="center" o:hrstd="t" o:hr="t" fillcolor="#a0a0a0" stroked="f"/>
        </w:pict>
      </w:r>
    </w:p>
    <w:p w14:paraId="5F2C9DE4" w14:textId="77777777" w:rsidR="00E836FB" w:rsidRDefault="00E836FB">
      <w:pPr>
        <w:ind w:firstLine="450"/>
      </w:pPr>
    </w:p>
    <w:p w14:paraId="5F2C9DE5" w14:textId="77777777" w:rsidR="00E836FB" w:rsidRDefault="00994958">
      <w:pPr>
        <w:spacing w:before="90"/>
        <w:jc w:val="both"/>
        <w:textAlignment w:val="top"/>
      </w:pPr>
      <w:r>
        <w:rPr>
          <w:rFonts w:ascii="Arial" w:eastAsia="宋体" w:hAnsi="Arial" w:cs="Arial"/>
          <w:b/>
          <w:bCs/>
          <w:color w:val="000000"/>
          <w:sz w:val="20"/>
          <w:szCs w:val="20"/>
        </w:rPr>
        <w:t>Changes in accounting standards may adversely affect our consolidated financial statements.</w:t>
      </w:r>
    </w:p>
    <w:p w14:paraId="5F2C9DE6" w14:textId="77777777" w:rsidR="00E836FB" w:rsidRDefault="00994958">
      <w:pPr>
        <w:spacing w:before="60"/>
        <w:ind w:firstLine="450"/>
        <w:jc w:val="both"/>
        <w:textAlignment w:val="top"/>
      </w:pPr>
      <w:r>
        <w:rPr>
          <w:rFonts w:ascii="Arial" w:eastAsia="宋体" w:hAnsi="Arial" w:cs="Arial"/>
          <w:color w:val="000000"/>
          <w:sz w:val="20"/>
          <w:szCs w:val="20"/>
        </w:rPr>
        <w:t>New accounting standards, or changes to existing accounting standards, resulting both from initiatives of the FASB as</w:t>
      </w:r>
      <w:r>
        <w:rPr>
          <w:rFonts w:ascii="Arial" w:eastAsia="宋体" w:hAnsi="Arial" w:cs="Arial"/>
          <w:color w:val="000000"/>
          <w:sz w:val="20"/>
          <w:szCs w:val="20"/>
        </w:rPr>
        <w:t xml:space="preserve"> well as changes in the interpretation of existing accounting standards potentially could affect our consolidated results of operations, cash flows and financial condition. These changes can materially affect how we record and report our consolidated resul</w:t>
      </w:r>
      <w:r>
        <w:rPr>
          <w:rFonts w:ascii="Arial" w:eastAsia="宋体" w:hAnsi="Arial" w:cs="Arial"/>
          <w:color w:val="000000"/>
          <w:sz w:val="20"/>
          <w:szCs w:val="20"/>
        </w:rPr>
        <w:t>ts of operations, cash flows, financial condition and other financial information. In some cases, we could elect, or be required, to apply a new or revised standard retroactively, resulting in the revised treatment of certain transactions or activities, an</w:t>
      </w:r>
      <w:r>
        <w:rPr>
          <w:rFonts w:ascii="Arial" w:eastAsia="宋体" w:hAnsi="Arial" w:cs="Arial"/>
          <w:color w:val="000000"/>
          <w:sz w:val="20"/>
          <w:szCs w:val="20"/>
        </w:rPr>
        <w:t>d, in some cases, the revision of our consolidated financial statements for prior periods. For additional information regarding changes in accounting standards, refer to the “Recent Accounting Developments” section of Note 1 to the consolidated financial s</w:t>
      </w:r>
      <w:r>
        <w:rPr>
          <w:rFonts w:ascii="Arial" w:eastAsia="宋体" w:hAnsi="Arial" w:cs="Arial"/>
          <w:color w:val="000000"/>
          <w:sz w:val="20"/>
          <w:szCs w:val="20"/>
        </w:rPr>
        <w:t>tatements in this Form 10-K.</w:t>
      </w:r>
    </w:p>
    <w:p w14:paraId="5F2C9DE7" w14:textId="77777777" w:rsidR="00E836FB" w:rsidRDefault="00994958">
      <w:pPr>
        <w:spacing w:before="90"/>
        <w:jc w:val="both"/>
        <w:textAlignment w:val="top"/>
      </w:pPr>
      <w:r>
        <w:rPr>
          <w:rFonts w:ascii="Arial" w:eastAsia="宋体" w:hAnsi="Arial" w:cs="Arial"/>
          <w:b/>
          <w:bCs/>
          <w:color w:val="000000"/>
          <w:sz w:val="20"/>
          <w:szCs w:val="20"/>
        </w:rPr>
        <w:t>Changes in tax laws, rules or regulations, challenges to our tax positions with respect to historical transactions, and changes in the composition of our pre-tax earnings may increase our effective tax rate and thus adversely a</w:t>
      </w:r>
      <w:r>
        <w:rPr>
          <w:rFonts w:ascii="Arial" w:eastAsia="宋体" w:hAnsi="Arial" w:cs="Arial"/>
          <w:b/>
          <w:bCs/>
          <w:color w:val="000000"/>
          <w:sz w:val="20"/>
          <w:szCs w:val="20"/>
        </w:rPr>
        <w:t>ffect our consolidated financial statements.</w:t>
      </w:r>
    </w:p>
    <w:p w14:paraId="5F2C9DE8" w14:textId="77777777" w:rsidR="00E836FB" w:rsidRDefault="00994958">
      <w:pPr>
        <w:spacing w:before="60"/>
        <w:ind w:firstLine="450"/>
        <w:jc w:val="both"/>
        <w:textAlignment w:val="top"/>
      </w:pPr>
      <w:r>
        <w:rPr>
          <w:rFonts w:ascii="Arial" w:eastAsia="宋体" w:hAnsi="Arial" w:cs="Arial"/>
          <w:color w:val="000000"/>
          <w:sz w:val="20"/>
          <w:szCs w:val="20"/>
        </w:rPr>
        <w:t>Our businesses can be directly or indirectly affected by new tax legislation, the expiration of existing tax laws or the interpretation of existing tax laws worldwide. The U.S. federal and state governments, inc</w:t>
      </w:r>
      <w:r>
        <w:rPr>
          <w:rFonts w:ascii="Arial" w:eastAsia="宋体" w:hAnsi="Arial" w:cs="Arial"/>
          <w:color w:val="000000"/>
          <w:sz w:val="20"/>
          <w:szCs w:val="20"/>
        </w:rPr>
        <w:t xml:space="preserve">luding Massachusetts, and jurisdictions around the world continue to review proposals to amend tax laws, rules and regulations applicable to our businesses that could have a negative impact on our capital or after-tax earnings. In the normal course of our </w:t>
      </w:r>
      <w:r>
        <w:rPr>
          <w:rFonts w:ascii="Arial" w:eastAsia="宋体" w:hAnsi="Arial" w:cs="Arial"/>
          <w:color w:val="000000"/>
          <w:sz w:val="20"/>
          <w:szCs w:val="20"/>
        </w:rPr>
        <w:t>business, we are subject to review by U.S. and non-U.S. tax authorities. A review by any such authority could result in an increase in our recorded tax liability. In addition to the aforementioned risks, our effective tax rate is dependent on the nature an</w:t>
      </w:r>
      <w:r>
        <w:rPr>
          <w:rFonts w:ascii="Arial" w:eastAsia="宋体" w:hAnsi="Arial" w:cs="Arial"/>
          <w:color w:val="000000"/>
          <w:sz w:val="20"/>
          <w:szCs w:val="20"/>
        </w:rPr>
        <w:t>d geographic composition of our pre-tax earnings and could be negatively affected by changes in these factors.</w:t>
      </w:r>
    </w:p>
    <w:p w14:paraId="5F2C9DE9" w14:textId="77777777" w:rsidR="00E836FB" w:rsidRDefault="00994958">
      <w:pPr>
        <w:spacing w:before="90"/>
        <w:jc w:val="both"/>
        <w:textAlignment w:val="top"/>
      </w:pPr>
      <w:r>
        <w:rPr>
          <w:rFonts w:ascii="Arial" w:eastAsia="宋体" w:hAnsi="Arial" w:cs="Arial"/>
          <w:b/>
          <w:bCs/>
          <w:color w:val="000000"/>
          <w:sz w:val="20"/>
          <w:szCs w:val="20"/>
        </w:rPr>
        <w:t xml:space="preserve">The market transition away from the use of the London Interbank Offered Rate (LIBOR) and other reference rates affected by reference rate reform </w:t>
      </w:r>
      <w:r>
        <w:rPr>
          <w:rFonts w:ascii="Arial" w:eastAsia="宋体" w:hAnsi="Arial" w:cs="Arial"/>
          <w:b/>
          <w:bCs/>
          <w:color w:val="000000"/>
          <w:sz w:val="20"/>
          <w:szCs w:val="20"/>
        </w:rPr>
        <w:t>as interest rate benchmarks may impose additional costs on us and may expose us to increased operational, model and financial risk.</w:t>
      </w:r>
    </w:p>
    <w:p w14:paraId="5F2C9DEA" w14:textId="77777777" w:rsidR="00E836FB" w:rsidRDefault="00994958">
      <w:pPr>
        <w:spacing w:before="60"/>
        <w:ind w:firstLine="450"/>
        <w:jc w:val="both"/>
        <w:textAlignment w:val="top"/>
      </w:pPr>
      <w:r>
        <w:rPr>
          <w:rFonts w:ascii="Arial" w:eastAsia="宋体" w:hAnsi="Arial" w:cs="Arial"/>
          <w:color w:val="000000"/>
          <w:sz w:val="20"/>
          <w:szCs w:val="20"/>
        </w:rPr>
        <w:t>Regulators globally have mandated that banks and other regulated financial institutions stop using the London Interbank Offered Rate (LIBOR - a floating benchmark interest rate for each of five major currencies) for all new financial contracts after Decemb</w:t>
      </w:r>
      <w:r>
        <w:rPr>
          <w:rFonts w:ascii="Arial" w:eastAsia="宋体" w:hAnsi="Arial" w:cs="Arial"/>
          <w:color w:val="000000"/>
          <w:sz w:val="20"/>
          <w:szCs w:val="20"/>
        </w:rPr>
        <w:t xml:space="preserve">er 31, 2021, with certain narrow exceptions. Legacy LIBOR contracts which remain outstanding after December 31, 2021 must be remediated by </w:t>
      </w:r>
    </w:p>
    <w:p w14:paraId="5F2C9DEB" w14:textId="77777777" w:rsidR="00E836FB" w:rsidRDefault="00994958">
      <w:pPr>
        <w:spacing w:before="60"/>
        <w:jc w:val="both"/>
        <w:textAlignment w:val="top"/>
      </w:pPr>
      <w:r>
        <w:rPr>
          <w:rFonts w:ascii="Arial" w:eastAsia="宋体" w:hAnsi="Arial" w:cs="Arial"/>
          <w:color w:val="000000"/>
          <w:sz w:val="20"/>
          <w:szCs w:val="20"/>
        </w:rPr>
        <w:t>market participants ahead of applicable deadlines using various mechanisms, including amendment, refinancing, implem</w:t>
      </w:r>
      <w:r>
        <w:rPr>
          <w:rFonts w:ascii="Arial" w:eastAsia="宋体" w:hAnsi="Arial" w:cs="Arial"/>
          <w:color w:val="000000"/>
          <w:sz w:val="20"/>
          <w:szCs w:val="20"/>
        </w:rPr>
        <w:t>entation of industry protocols and fallback rate provisions, and if applicable, remedial legislation at the state or national level. Multiple new alternative reference rates and related conventions have been developed for various financial products and nat</w:t>
      </w:r>
      <w:r>
        <w:rPr>
          <w:rFonts w:ascii="Arial" w:eastAsia="宋体" w:hAnsi="Arial" w:cs="Arial"/>
          <w:color w:val="000000"/>
          <w:sz w:val="20"/>
          <w:szCs w:val="20"/>
        </w:rPr>
        <w:t>ional currencies, including for derivatives contracts, loans and cash products.</w:t>
      </w:r>
    </w:p>
    <w:p w14:paraId="5F2C9DEC" w14:textId="77777777" w:rsidR="00E836FB" w:rsidRDefault="00994958">
      <w:pPr>
        <w:spacing w:before="60"/>
        <w:ind w:firstLine="450"/>
        <w:jc w:val="both"/>
        <w:textAlignment w:val="top"/>
      </w:pPr>
      <w:r>
        <w:rPr>
          <w:rFonts w:ascii="Arial" w:eastAsia="宋体" w:hAnsi="Arial" w:cs="Arial"/>
          <w:color w:val="000000"/>
          <w:sz w:val="20"/>
          <w:szCs w:val="20"/>
        </w:rPr>
        <w:t>Our failure or inability to timely plan and implement an effective LIBOR transition program to maintain operational and service continuity and to minimize the economic impact f</w:t>
      </w:r>
      <w:r>
        <w:rPr>
          <w:rFonts w:ascii="Arial" w:eastAsia="宋体" w:hAnsi="Arial" w:cs="Arial"/>
          <w:color w:val="000000"/>
          <w:sz w:val="20"/>
          <w:szCs w:val="20"/>
        </w:rPr>
        <w:t xml:space="preserve">or our clients, ourselves and other stakeholders could negatively impact our business and financial performance. Those dependencies include, without limitation, LIBOR-based securities and loans held in our investment portfolio, LIBOR-based preferred stock </w:t>
      </w:r>
      <w:r>
        <w:rPr>
          <w:rFonts w:ascii="Arial" w:eastAsia="宋体" w:hAnsi="Arial" w:cs="Arial"/>
          <w:color w:val="000000"/>
          <w:sz w:val="20"/>
          <w:szCs w:val="20"/>
        </w:rPr>
        <w:t>and long-term debt issued by us, and LIBOR-based client fee schedules and deposit pricing. Also, to mitigate any potential weaknesses in the underlying models, inadequate assumptions or reliance on poor or inaccurate data, our internal models which support</w:t>
      </w:r>
      <w:r>
        <w:rPr>
          <w:rFonts w:ascii="Arial" w:eastAsia="宋体" w:hAnsi="Arial" w:cs="Arial"/>
          <w:color w:val="000000"/>
          <w:sz w:val="20"/>
          <w:szCs w:val="20"/>
        </w:rPr>
        <w:t xml:space="preserve"> decision making and risk management may require adjustments.</w:t>
      </w:r>
    </w:p>
    <w:p w14:paraId="5F2C9DED" w14:textId="77777777" w:rsidR="00E836FB" w:rsidRDefault="00994958">
      <w:pPr>
        <w:spacing w:before="60"/>
        <w:ind w:firstLine="450"/>
        <w:jc w:val="both"/>
        <w:textAlignment w:val="top"/>
      </w:pPr>
      <w:r>
        <w:rPr>
          <w:rFonts w:ascii="Arial" w:eastAsia="宋体" w:hAnsi="Arial" w:cs="Arial"/>
          <w:color w:val="000000"/>
          <w:sz w:val="20"/>
          <w:szCs w:val="20"/>
        </w:rPr>
        <w:t>Assets held by our customers in the investment portfolios that we service, or in the investment portfolios that we manage for others, may have LIBOR-based terms. As such, we must enhance our pro</w:t>
      </w:r>
      <w:r>
        <w:rPr>
          <w:rFonts w:ascii="Arial" w:eastAsia="宋体" w:hAnsi="Arial" w:cs="Arial"/>
          <w:color w:val="000000"/>
          <w:sz w:val="20"/>
          <w:szCs w:val="20"/>
        </w:rPr>
        <w:t>cesses and systems to account for new alternative reference rates-based instruments and products as they come to market, the transition of existing LIBOR-based instruments to their fallback language, and uncertainty as to how such instruments should be val</w:t>
      </w:r>
      <w:r>
        <w:rPr>
          <w:rFonts w:ascii="Arial" w:eastAsia="宋体" w:hAnsi="Arial" w:cs="Arial"/>
          <w:color w:val="000000"/>
          <w:sz w:val="20"/>
          <w:szCs w:val="20"/>
        </w:rPr>
        <w:t xml:space="preserve">ued where such fallback language is unclear. These process and system requirements could adversely impact our business, which in some instances is dependent on critical inputs from third parties, who themselves must timely adapt to market changes. Failure </w:t>
      </w:r>
      <w:r>
        <w:rPr>
          <w:rFonts w:ascii="Arial" w:eastAsia="宋体" w:hAnsi="Arial" w:cs="Arial"/>
          <w:color w:val="000000"/>
          <w:sz w:val="20"/>
          <w:szCs w:val="20"/>
        </w:rPr>
        <w:t xml:space="preserve">to implement the terms of those instruments in a manner consistent with customer expectations could lead to disputes and operational issues. </w:t>
      </w:r>
    </w:p>
    <w:p w14:paraId="5F2C9DEE" w14:textId="77777777" w:rsidR="00E836FB" w:rsidRDefault="00994958">
      <w:pPr>
        <w:spacing w:before="60"/>
        <w:ind w:firstLine="450"/>
        <w:jc w:val="both"/>
        <w:textAlignment w:val="top"/>
      </w:pPr>
      <w:r>
        <w:rPr>
          <w:rFonts w:ascii="Arial" w:eastAsia="宋体" w:hAnsi="Arial" w:cs="Arial"/>
          <w:color w:val="000000"/>
          <w:sz w:val="20"/>
          <w:szCs w:val="20"/>
        </w:rPr>
        <w:t>Failure or perceived failure to adequately manage the LIBOR transition could also affect our ability to attract an</w:t>
      </w:r>
      <w:r>
        <w:rPr>
          <w:rFonts w:ascii="Arial" w:eastAsia="宋体" w:hAnsi="Arial" w:cs="Arial"/>
          <w:color w:val="000000"/>
          <w:sz w:val="20"/>
          <w:szCs w:val="20"/>
        </w:rPr>
        <w:t>d retain clients. Uncertainty relative to external developments necessary for the market transition away from LIBOR but outside of our control, such as the passage of remedial legislation, could further increase the costs and risks of the transition for us</w:t>
      </w:r>
      <w:r>
        <w:rPr>
          <w:rFonts w:ascii="Arial" w:eastAsia="宋体" w:hAnsi="Arial" w:cs="Arial"/>
          <w:color w:val="000000"/>
          <w:sz w:val="20"/>
          <w:szCs w:val="20"/>
        </w:rPr>
        <w:t xml:space="preserve"> or our subsidiaries.</w:t>
      </w:r>
    </w:p>
    <w:p w14:paraId="5F2C9DEF" w14:textId="77777777" w:rsidR="00E836FB" w:rsidRDefault="00994958">
      <w:pPr>
        <w:ind w:firstLine="450"/>
        <w:jc w:val="right"/>
      </w:pPr>
      <w:r>
        <w:rPr>
          <w:rFonts w:ascii="Arial" w:eastAsia="宋体" w:hAnsi="Arial" w:cs="Arial"/>
          <w:color w:val="000000"/>
          <w:sz w:val="18"/>
          <w:szCs w:val="18"/>
        </w:rPr>
        <w:t>State Street Corporation | 44</w:t>
      </w:r>
    </w:p>
    <w:p w14:paraId="5F2C9DF0" w14:textId="77777777" w:rsidR="00E836FB" w:rsidRDefault="00E836FB">
      <w:pPr>
        <w:ind w:firstLine="450"/>
        <w:jc w:val="center"/>
      </w:pPr>
    </w:p>
    <w:p w14:paraId="5F2C9DF1" w14:textId="77777777" w:rsidR="00E836FB" w:rsidRDefault="00994958">
      <w:r>
        <w:pict w14:anchorId="5F2D6DAF">
          <v:rect id="_x0000_i1068" style="width:415.3pt;height:1.5pt" o:hralign="center" o:hrstd="t" o:hr="t" fillcolor="#a0a0a0" stroked="f"/>
        </w:pict>
      </w:r>
    </w:p>
    <w:p w14:paraId="5F2C9DF2" w14:textId="77777777" w:rsidR="00E836FB" w:rsidRDefault="00E836FB">
      <w:pPr>
        <w:ind w:firstLine="450"/>
      </w:pPr>
    </w:p>
    <w:p w14:paraId="5F2C9DF3" w14:textId="77777777" w:rsidR="00E836FB" w:rsidRDefault="00994958">
      <w:pPr>
        <w:spacing w:before="90"/>
        <w:textAlignment w:val="top"/>
      </w:pPr>
      <w:r>
        <w:rPr>
          <w:rFonts w:ascii="Arial" w:eastAsia="宋体" w:hAnsi="Arial" w:cs="Arial"/>
          <w:b/>
          <w:bCs/>
          <w:color w:val="000000"/>
          <w:sz w:val="20"/>
          <w:szCs w:val="20"/>
        </w:rPr>
        <w:t>Operational Risks</w:t>
      </w:r>
    </w:p>
    <w:p w14:paraId="5F2C9DF4" w14:textId="77777777" w:rsidR="00E836FB" w:rsidRDefault="00994958">
      <w:pPr>
        <w:spacing w:before="90"/>
        <w:jc w:val="both"/>
        <w:textAlignment w:val="top"/>
      </w:pPr>
      <w:r>
        <w:rPr>
          <w:rFonts w:ascii="Arial" w:eastAsia="宋体" w:hAnsi="Arial" w:cs="Arial"/>
          <w:b/>
          <w:bCs/>
          <w:color w:val="000000"/>
          <w:sz w:val="20"/>
          <w:szCs w:val="20"/>
        </w:rPr>
        <w:t xml:space="preserve">Our controls and procedures may fail or be circumvented, our risk management policies and procedures may be inadequate, and operational risks could adversely affect our </w:t>
      </w:r>
      <w:r>
        <w:rPr>
          <w:rFonts w:ascii="Arial" w:eastAsia="宋体" w:hAnsi="Arial" w:cs="Arial"/>
          <w:b/>
          <w:bCs/>
          <w:color w:val="000000"/>
          <w:sz w:val="20"/>
          <w:szCs w:val="20"/>
        </w:rPr>
        <w:t>consolidated results of operations.</w:t>
      </w:r>
    </w:p>
    <w:p w14:paraId="5F2C9DF5" w14:textId="77777777" w:rsidR="00E836FB" w:rsidRDefault="00994958">
      <w:pPr>
        <w:spacing w:before="60"/>
        <w:ind w:firstLine="450"/>
        <w:jc w:val="both"/>
        <w:textAlignment w:val="top"/>
      </w:pPr>
      <w:r>
        <w:rPr>
          <w:rFonts w:ascii="Arial" w:eastAsia="宋体" w:hAnsi="Arial" w:cs="Arial"/>
          <w:color w:val="000000"/>
          <w:sz w:val="20"/>
          <w:szCs w:val="20"/>
        </w:rPr>
        <w:t>We have in the past failed and may in the future fail to identify and manage risks related to a variety of aspects of our business, including cybersecurity, information technology risk, operational risk and resiliency, i</w:t>
      </w:r>
      <w:r>
        <w:rPr>
          <w:rFonts w:ascii="Arial" w:eastAsia="宋体" w:hAnsi="Arial" w:cs="Arial"/>
          <w:color w:val="000000"/>
          <w:sz w:val="20"/>
          <w:szCs w:val="20"/>
        </w:rPr>
        <w:t>nterest rate risk, foreign exchange risk, trading risk, fiduciary risk, legal and compliance risk, liquidity risk and credit risk. We have adopted various controls, procedures, policies and systems to monitor and manage risk. We cannot provide assurance th</w:t>
      </w:r>
      <w:r>
        <w:rPr>
          <w:rFonts w:ascii="Arial" w:eastAsia="宋体" w:hAnsi="Arial" w:cs="Arial"/>
          <w:color w:val="000000"/>
          <w:sz w:val="20"/>
          <w:szCs w:val="20"/>
        </w:rPr>
        <w:t>at those controls, procedures, policies and systems are or will be adequate to identify and manage internal and external risks, including risks related to service providers, in our various businesses. The risk of individuals, either employees or contractor</w:t>
      </w:r>
      <w:r>
        <w:rPr>
          <w:rFonts w:ascii="Arial" w:eastAsia="宋体" w:hAnsi="Arial" w:cs="Arial"/>
          <w:color w:val="000000"/>
          <w:sz w:val="20"/>
          <w:szCs w:val="20"/>
        </w:rPr>
        <w:t>s, engaging in conduct harmful or misleading to clients or to us, such as consciously circumventing established control mechanisms to exceed trading or investment management limitations, committing fraud or improperly selling products or services to client</w:t>
      </w:r>
      <w:r>
        <w:rPr>
          <w:rFonts w:ascii="Arial" w:eastAsia="宋体" w:hAnsi="Arial" w:cs="Arial"/>
          <w:color w:val="000000"/>
          <w:sz w:val="20"/>
          <w:szCs w:val="20"/>
        </w:rPr>
        <w:t>s, is particularly challenging to manage through a control framework. In addition, we are subject to increased resiliency risk, requiring continuous reinvestment, enhancement and improvement in and of our information technology and operational infrastructu</w:t>
      </w:r>
      <w:r>
        <w:rPr>
          <w:rFonts w:ascii="Arial" w:eastAsia="宋体" w:hAnsi="Arial" w:cs="Arial"/>
          <w:color w:val="000000"/>
          <w:sz w:val="20"/>
          <w:szCs w:val="20"/>
        </w:rPr>
        <w:t>re, controls and personnel which may not be effectively or timely deployed or integrated. Moreover, the financial and reputational impact of control or conduct failures can be significant. Persistent or repeated issues with respect to controls, information</w:t>
      </w:r>
      <w:r>
        <w:rPr>
          <w:rFonts w:ascii="Arial" w:eastAsia="宋体" w:hAnsi="Arial" w:cs="Arial"/>
          <w:color w:val="000000"/>
          <w:sz w:val="20"/>
          <w:szCs w:val="20"/>
        </w:rPr>
        <w:t xml:space="preserve"> technology and operational resiliency or individual conduct have raised and may in the future raise concerns among regulators regarding our culture, governance and control environment. There can be no assurance that our efforts to address such risks will </w:t>
      </w:r>
      <w:r>
        <w:rPr>
          <w:rFonts w:ascii="Arial" w:eastAsia="宋体" w:hAnsi="Arial" w:cs="Arial"/>
          <w:color w:val="000000"/>
          <w:sz w:val="20"/>
          <w:szCs w:val="20"/>
        </w:rPr>
        <w:t>be effective. While we seek to contractually limit our financial exposure to operational risk, the degree of protection that we are able to achieve varies, and our potential exposure may be greater than the revenue we anticipate that we will earn from serv</w:t>
      </w:r>
      <w:r>
        <w:rPr>
          <w:rFonts w:ascii="Arial" w:eastAsia="宋体" w:hAnsi="Arial" w:cs="Arial"/>
          <w:color w:val="000000"/>
          <w:sz w:val="20"/>
          <w:szCs w:val="20"/>
        </w:rPr>
        <w:t>icing our clients.</w:t>
      </w:r>
    </w:p>
    <w:p w14:paraId="5F2C9DF6" w14:textId="77777777" w:rsidR="00E836FB" w:rsidRDefault="00994958">
      <w:pPr>
        <w:spacing w:before="60"/>
        <w:ind w:firstLine="450"/>
        <w:jc w:val="both"/>
        <w:textAlignment w:val="top"/>
      </w:pPr>
      <w:r>
        <w:rPr>
          <w:rFonts w:ascii="Arial" w:eastAsia="宋体" w:hAnsi="Arial" w:cs="Arial"/>
          <w:color w:val="000000"/>
          <w:sz w:val="20"/>
          <w:szCs w:val="20"/>
        </w:rPr>
        <w:t>In addition, our businesses and the markets in which we operate are continuously evolving. For example, in 2021, we established State Street Digital to focus on the development of digital assets and technologies. We will need to make add</w:t>
      </w:r>
      <w:r>
        <w:rPr>
          <w:rFonts w:ascii="Arial" w:eastAsia="宋体" w:hAnsi="Arial" w:cs="Arial"/>
          <w:color w:val="000000"/>
          <w:sz w:val="20"/>
          <w:szCs w:val="20"/>
        </w:rPr>
        <w:t>itional investments to develop the operational infrastructure and to enhance our compliance and risk management capabilities to support these businesses, which may increase the operating expenses of such businesses. Moreover, we may fail to identify or ful</w:t>
      </w:r>
      <w:r>
        <w:rPr>
          <w:rFonts w:ascii="Arial" w:eastAsia="宋体" w:hAnsi="Arial" w:cs="Arial"/>
          <w:color w:val="000000"/>
          <w:sz w:val="20"/>
          <w:szCs w:val="20"/>
        </w:rPr>
        <w:t xml:space="preserve">ly understand the implications of changes in our businesses or the financial markets and fail to adequately or timely </w:t>
      </w:r>
    </w:p>
    <w:p w14:paraId="5F2C9DF7" w14:textId="77777777" w:rsidR="00E836FB" w:rsidRDefault="00994958">
      <w:pPr>
        <w:spacing w:before="60"/>
        <w:jc w:val="both"/>
        <w:textAlignment w:val="top"/>
      </w:pPr>
      <w:r>
        <w:rPr>
          <w:rFonts w:ascii="Arial" w:eastAsia="宋体" w:hAnsi="Arial" w:cs="Arial"/>
          <w:color w:val="000000"/>
          <w:sz w:val="20"/>
          <w:szCs w:val="20"/>
        </w:rPr>
        <w:t>enhance our risk framework to address those changes. To the extent that our risk framework is ineffective, either because it fails to kee</w:t>
      </w:r>
      <w:r>
        <w:rPr>
          <w:rFonts w:ascii="Arial" w:eastAsia="宋体" w:hAnsi="Arial" w:cs="Arial"/>
          <w:color w:val="000000"/>
          <w:sz w:val="20"/>
          <w:szCs w:val="20"/>
        </w:rPr>
        <w:t xml:space="preserve">p pace with changes in the financial markets, regulatory or industry requirements, technology and cybersecurity developments, our businesses, our counterparties, clients or service providers or for other reasons, we could incur losses, suffer reputational </w:t>
      </w:r>
      <w:r>
        <w:rPr>
          <w:rFonts w:ascii="Arial" w:eastAsia="宋体" w:hAnsi="Arial" w:cs="Arial"/>
          <w:color w:val="000000"/>
          <w:sz w:val="20"/>
          <w:szCs w:val="20"/>
        </w:rPr>
        <w:t>damage or find ourselves out of compliance with applicable regulatory or contractual mandates or expectations, and subject to regulatory inquiry or action against us.</w:t>
      </w:r>
    </w:p>
    <w:p w14:paraId="5F2C9DF8" w14:textId="77777777" w:rsidR="00E836FB" w:rsidRDefault="00994958">
      <w:pPr>
        <w:spacing w:before="60"/>
        <w:ind w:firstLine="450"/>
        <w:jc w:val="both"/>
        <w:textAlignment w:val="top"/>
      </w:pPr>
      <w:r>
        <w:rPr>
          <w:rFonts w:ascii="Arial" w:eastAsia="宋体" w:hAnsi="Arial" w:cs="Arial"/>
          <w:color w:val="000000"/>
          <w:sz w:val="20"/>
          <w:szCs w:val="20"/>
        </w:rPr>
        <w:t xml:space="preserve">Operational risk is inherent in all of our business activities. As a leading provider of </w:t>
      </w:r>
      <w:r>
        <w:rPr>
          <w:rFonts w:ascii="Arial" w:eastAsia="宋体" w:hAnsi="Arial" w:cs="Arial"/>
          <w:color w:val="000000"/>
          <w:sz w:val="20"/>
          <w:szCs w:val="20"/>
        </w:rPr>
        <w:t>services to institutional investors, we provide a broad array of services, including research, investment management, trading services and investment servicing that expose us to operational risk. In addition, these services generate a broad array of comple</w:t>
      </w:r>
      <w:r>
        <w:rPr>
          <w:rFonts w:ascii="Arial" w:eastAsia="宋体" w:hAnsi="Arial" w:cs="Arial"/>
          <w:color w:val="000000"/>
          <w:sz w:val="20"/>
          <w:szCs w:val="20"/>
        </w:rPr>
        <w:t>x and specialized servicing, confidentiality and fiduciary requirements, many of which involve the opportunity for human, systems or process errors. We face the risk that the control policies, procedures and systems we have established to comply with our o</w:t>
      </w:r>
      <w:r>
        <w:rPr>
          <w:rFonts w:ascii="Arial" w:eastAsia="宋体" w:hAnsi="Arial" w:cs="Arial"/>
          <w:color w:val="000000"/>
          <w:sz w:val="20"/>
          <w:szCs w:val="20"/>
        </w:rPr>
        <w:t>perational or security requirements will fail, will be inadequate or will become outdated. We also face the potential for loss resulting from inadequate or failed internal processes, employee supervision or monitoring mechanisms, service-provider processes</w:t>
      </w:r>
      <w:r>
        <w:rPr>
          <w:rFonts w:ascii="Arial" w:eastAsia="宋体" w:hAnsi="Arial" w:cs="Arial"/>
          <w:color w:val="000000"/>
          <w:sz w:val="20"/>
          <w:szCs w:val="20"/>
        </w:rPr>
        <w:t xml:space="preserve"> or other systems or controls, which could materially affect our future consolidated results of operations. Given the volume and magnitude of transactions we process on a daily basis, operational losses represent a potentially significant financial risk fo</w:t>
      </w:r>
      <w:r>
        <w:rPr>
          <w:rFonts w:ascii="Arial" w:eastAsia="宋体" w:hAnsi="Arial" w:cs="Arial"/>
          <w:color w:val="000000"/>
          <w:sz w:val="20"/>
          <w:szCs w:val="20"/>
        </w:rPr>
        <w:t>r our business. Operational errors that result in us remitting funds to a failing or bankrupt entity may be irreversible, and may subject us to losses.</w:t>
      </w:r>
    </w:p>
    <w:p w14:paraId="5F2C9DF9" w14:textId="77777777" w:rsidR="00E836FB" w:rsidRDefault="00994958">
      <w:pPr>
        <w:spacing w:before="60"/>
        <w:ind w:firstLine="450"/>
        <w:jc w:val="both"/>
        <w:textAlignment w:val="top"/>
      </w:pPr>
      <w:r>
        <w:rPr>
          <w:rFonts w:ascii="Arial" w:eastAsia="宋体" w:hAnsi="Arial" w:cs="Arial"/>
          <w:color w:val="000000"/>
          <w:sz w:val="20"/>
          <w:szCs w:val="20"/>
        </w:rPr>
        <w:t>We may also be subject to disruptions from external events that are wholly or partially beyond our contr</w:t>
      </w:r>
      <w:r>
        <w:rPr>
          <w:rFonts w:ascii="Arial" w:eastAsia="宋体" w:hAnsi="Arial" w:cs="Arial"/>
          <w:color w:val="000000"/>
          <w:sz w:val="20"/>
          <w:szCs w:val="20"/>
        </w:rPr>
        <w:t>ol, which could cause delays or disruptions to operational functions, including information processing and financial market settlement functions. In addition, our clients, vendors and counterparties could suffer from such events. Should these events affect</w:t>
      </w:r>
      <w:r>
        <w:rPr>
          <w:rFonts w:ascii="Arial" w:eastAsia="宋体" w:hAnsi="Arial" w:cs="Arial"/>
          <w:color w:val="000000"/>
          <w:sz w:val="20"/>
          <w:szCs w:val="20"/>
        </w:rPr>
        <w:t xml:space="preserve"> us, or the clients, vendors or counterparties with which we conduct business, our consolidated results of operations could be negatively affected. When we record balance sheet accruals for probable and estimable loss contingencies related to operational l</w:t>
      </w:r>
      <w:r>
        <w:rPr>
          <w:rFonts w:ascii="Arial" w:eastAsia="宋体" w:hAnsi="Arial" w:cs="Arial"/>
          <w:color w:val="000000"/>
          <w:sz w:val="20"/>
          <w:szCs w:val="20"/>
        </w:rPr>
        <w:t>osses, we may be unable to accurately estimate our potential exposure, and any accruals we establish to cover operational losses may not be sufficient to cover our actual financial exposure, which could have a material adverse effect on our consolidated re</w:t>
      </w:r>
      <w:r>
        <w:rPr>
          <w:rFonts w:ascii="Arial" w:eastAsia="宋体" w:hAnsi="Arial" w:cs="Arial"/>
          <w:color w:val="000000"/>
          <w:sz w:val="20"/>
          <w:szCs w:val="20"/>
        </w:rPr>
        <w:t>sults of operations.</w:t>
      </w:r>
    </w:p>
    <w:p w14:paraId="5F2C9DFA" w14:textId="77777777" w:rsidR="00E836FB" w:rsidRDefault="00994958">
      <w:pPr>
        <w:ind w:firstLine="450"/>
        <w:jc w:val="right"/>
      </w:pPr>
      <w:r>
        <w:rPr>
          <w:rFonts w:ascii="Arial" w:eastAsia="宋体" w:hAnsi="Arial" w:cs="Arial"/>
          <w:color w:val="000000"/>
          <w:sz w:val="18"/>
          <w:szCs w:val="18"/>
        </w:rPr>
        <w:t>State Street Corporation | 45</w:t>
      </w:r>
    </w:p>
    <w:p w14:paraId="5F2C9DFB" w14:textId="77777777" w:rsidR="00E836FB" w:rsidRDefault="00E836FB">
      <w:pPr>
        <w:ind w:firstLine="450"/>
        <w:jc w:val="center"/>
      </w:pPr>
    </w:p>
    <w:p w14:paraId="5F2C9DFC" w14:textId="77777777" w:rsidR="00E836FB" w:rsidRDefault="00994958">
      <w:r>
        <w:pict w14:anchorId="5F2D6DB0">
          <v:rect id="_x0000_i1069" style="width:415.3pt;height:1.5pt" o:hralign="center" o:hrstd="t" o:hr="t" fillcolor="#a0a0a0" stroked="f"/>
        </w:pict>
      </w:r>
    </w:p>
    <w:p w14:paraId="5F2C9DFD" w14:textId="77777777" w:rsidR="00E836FB" w:rsidRDefault="00E836FB">
      <w:pPr>
        <w:ind w:firstLine="450"/>
      </w:pPr>
    </w:p>
    <w:p w14:paraId="5F2C9DFE" w14:textId="77777777" w:rsidR="00E836FB" w:rsidRDefault="00994958">
      <w:pPr>
        <w:spacing w:before="90"/>
        <w:jc w:val="both"/>
        <w:textAlignment w:val="top"/>
      </w:pPr>
      <w:r>
        <w:rPr>
          <w:rFonts w:ascii="Arial" w:eastAsia="宋体" w:hAnsi="Arial" w:cs="Arial"/>
          <w:b/>
          <w:bCs/>
          <w:color w:val="000000"/>
          <w:sz w:val="20"/>
          <w:szCs w:val="20"/>
        </w:rPr>
        <w:t>Cost shifting to non-U.S. jurisdictions and outsourcing may expose us to increased operational risk and reputational harm and may not result in expected cost savings.</w:t>
      </w:r>
    </w:p>
    <w:p w14:paraId="5F2C9DFF" w14:textId="77777777" w:rsidR="00E836FB" w:rsidRDefault="00994958">
      <w:pPr>
        <w:spacing w:before="60"/>
        <w:ind w:firstLine="450"/>
        <w:jc w:val="both"/>
        <w:textAlignment w:val="top"/>
      </w:pPr>
      <w:r>
        <w:rPr>
          <w:rFonts w:ascii="Arial" w:eastAsia="宋体" w:hAnsi="Arial" w:cs="Arial"/>
          <w:color w:val="000000"/>
          <w:sz w:val="20"/>
          <w:szCs w:val="20"/>
        </w:rPr>
        <w:t>We manage expenses by migrating ce</w:t>
      </w:r>
      <w:r>
        <w:rPr>
          <w:rFonts w:ascii="Arial" w:eastAsia="宋体" w:hAnsi="Arial" w:cs="Arial"/>
          <w:color w:val="000000"/>
          <w:sz w:val="20"/>
          <w:szCs w:val="20"/>
        </w:rPr>
        <w:t>rtain business processes and business support functions to lower-cost geographic locations, such as India, Poland and China, and by outsourcing to vendors and joint ventures in various jurisdictions. This effort exposes us to the risk that we may not maint</w:t>
      </w:r>
      <w:r>
        <w:rPr>
          <w:rFonts w:ascii="Arial" w:eastAsia="宋体" w:hAnsi="Arial" w:cs="Arial"/>
          <w:color w:val="000000"/>
          <w:sz w:val="20"/>
          <w:szCs w:val="20"/>
        </w:rPr>
        <w:t>ain service quality, control and effective management or business resiliency within these operations during and after transitions. These migrations also involve risks that our outsourcing vendors or joint ventures may not comply with their servicing and ot</w:t>
      </w:r>
      <w:r>
        <w:rPr>
          <w:rFonts w:ascii="Arial" w:eastAsia="宋体" w:hAnsi="Arial" w:cs="Arial"/>
          <w:color w:val="000000"/>
          <w:sz w:val="20"/>
          <w:szCs w:val="20"/>
        </w:rPr>
        <w:t>her contractual obligations to us, including with respect to indemnification and information security, and to the risk that we may not satisfy applicable regulatory responsibilities regarding the management and oversight of outsourcing providers, joint ven</w:t>
      </w:r>
      <w:r>
        <w:rPr>
          <w:rFonts w:ascii="Arial" w:eastAsia="宋体" w:hAnsi="Arial" w:cs="Arial"/>
          <w:color w:val="000000"/>
          <w:sz w:val="20"/>
          <w:szCs w:val="20"/>
        </w:rPr>
        <w:t>tures and other third parties. Our geographic footprint also exposes us to the relevant macroeconomic, political, legal and similar risks generally involved in doing business in the jurisdictions in which we establish lower-cost locations or joint ventures</w:t>
      </w:r>
      <w:r>
        <w:rPr>
          <w:rFonts w:ascii="Arial" w:eastAsia="宋体" w:hAnsi="Arial" w:cs="Arial"/>
          <w:color w:val="000000"/>
          <w:sz w:val="20"/>
          <w:szCs w:val="20"/>
        </w:rPr>
        <w:t xml:space="preserve"> or in which our outsourcing vendors locate their operations, particularly in locations where we have a concentration of our operational activities, such as India, Poland and China. The increased elements of risk that arise from certain operating processes</w:t>
      </w:r>
      <w:r>
        <w:rPr>
          <w:rFonts w:ascii="Arial" w:eastAsia="宋体" w:hAnsi="Arial" w:cs="Arial"/>
          <w:color w:val="000000"/>
          <w:sz w:val="20"/>
          <w:szCs w:val="20"/>
        </w:rPr>
        <w:t xml:space="preserve"> being conducted in some jurisdictions could lead to an increase in reputational risk. During periods of transition of operations, greater operational risk and client concerns exist with respect to maintaining a high level of service delivery and business </w:t>
      </w:r>
      <w:r>
        <w:rPr>
          <w:rFonts w:ascii="Arial" w:eastAsia="宋体" w:hAnsi="Arial" w:cs="Arial"/>
          <w:color w:val="000000"/>
          <w:sz w:val="20"/>
          <w:szCs w:val="20"/>
        </w:rPr>
        <w:t>continuity. The extent and pace at which we are able to move functions to lower-cost locations, joint ventures and outsourcing providers may also be affected by political, regulatory and client acceptance issues, including with respect to data use, storage</w:t>
      </w:r>
      <w:r>
        <w:rPr>
          <w:rFonts w:ascii="Arial" w:eastAsia="宋体" w:hAnsi="Arial" w:cs="Arial"/>
          <w:color w:val="000000"/>
          <w:sz w:val="20"/>
          <w:szCs w:val="20"/>
        </w:rPr>
        <w:t xml:space="preserve"> and security. Such relocation or outsourcing of functions also entails costs, such as technology, real estate and restructuring expenses, which may offset or exceed the expected financial benefits of the relocation or outsourcing. In addition, the financi</w:t>
      </w:r>
      <w:r>
        <w:rPr>
          <w:rFonts w:ascii="Arial" w:eastAsia="宋体" w:hAnsi="Arial" w:cs="Arial"/>
          <w:color w:val="000000"/>
          <w:sz w:val="20"/>
          <w:szCs w:val="20"/>
        </w:rPr>
        <w:t>al benefits of lower-cost locations and of outsourcings may diminish over time or could be offset in the event that the U.S. or other jurisdictions impose tax, trade barrier or other measures which seek to discourage the use of lower cost jurisdictions.</w:t>
      </w:r>
    </w:p>
    <w:p w14:paraId="5F2C9E00" w14:textId="77777777" w:rsidR="00E836FB" w:rsidRDefault="00994958">
      <w:pPr>
        <w:spacing w:before="90"/>
        <w:jc w:val="both"/>
        <w:textAlignment w:val="top"/>
      </w:pPr>
      <w:r>
        <w:rPr>
          <w:rFonts w:ascii="Arial" w:eastAsia="宋体" w:hAnsi="Arial" w:cs="Arial"/>
          <w:b/>
          <w:bCs/>
          <w:color w:val="000000"/>
          <w:sz w:val="20"/>
          <w:szCs w:val="20"/>
        </w:rPr>
        <w:t>Any failures of or damage to, attack on or unauthorized access to our information technology systems or facilities or disruptions to our continuous operations, including the systems, facilities or operations of third parties with which we do business, such</w:t>
      </w:r>
      <w:r>
        <w:rPr>
          <w:rFonts w:ascii="Arial" w:eastAsia="宋体" w:hAnsi="Arial" w:cs="Arial"/>
          <w:b/>
          <w:bCs/>
          <w:color w:val="000000"/>
          <w:sz w:val="20"/>
          <w:szCs w:val="20"/>
        </w:rPr>
        <w:t xml:space="preserve"> as resulting from cyber-attacks, could result in significant </w:t>
      </w:r>
    </w:p>
    <w:p w14:paraId="5F2C9E01" w14:textId="77777777" w:rsidR="00E836FB" w:rsidRDefault="00994958">
      <w:pPr>
        <w:spacing w:before="90"/>
        <w:jc w:val="both"/>
        <w:textAlignment w:val="top"/>
      </w:pPr>
      <w:r>
        <w:rPr>
          <w:rFonts w:ascii="Arial" w:eastAsia="宋体" w:hAnsi="Arial" w:cs="Arial"/>
          <w:b/>
          <w:bCs/>
          <w:color w:val="000000"/>
          <w:sz w:val="20"/>
          <w:szCs w:val="20"/>
        </w:rPr>
        <w:t>costs and reputational damage and impacts our ability to conduct our business activities.</w:t>
      </w:r>
    </w:p>
    <w:p w14:paraId="5F2C9E02" w14:textId="77777777" w:rsidR="00E836FB" w:rsidRDefault="00994958">
      <w:pPr>
        <w:spacing w:before="60"/>
        <w:ind w:firstLine="450"/>
        <w:jc w:val="both"/>
        <w:textAlignment w:val="top"/>
      </w:pPr>
      <w:r>
        <w:rPr>
          <w:rFonts w:ascii="Arial" w:eastAsia="宋体" w:hAnsi="Arial" w:cs="Arial"/>
          <w:color w:val="000000"/>
          <w:sz w:val="20"/>
          <w:szCs w:val="20"/>
        </w:rPr>
        <w:t>Our businesses depend on information technology infrastructure, both internal and external, to, among o</w:t>
      </w:r>
      <w:r>
        <w:rPr>
          <w:rFonts w:ascii="Arial" w:eastAsia="宋体" w:hAnsi="Arial" w:cs="Arial"/>
          <w:color w:val="000000"/>
          <w:sz w:val="20"/>
          <w:szCs w:val="20"/>
        </w:rPr>
        <w:t>ther things, record and process a large volume of increasingly complex transactions and other data, in many currencies, on a daily basis, across numerous and diverse markets and jurisdictions and to maintain that data securely. In recent years, several fin</w:t>
      </w:r>
      <w:r>
        <w:rPr>
          <w:rFonts w:ascii="Arial" w:eastAsia="宋体" w:hAnsi="Arial" w:cs="Arial"/>
          <w:color w:val="000000"/>
          <w:sz w:val="20"/>
          <w:szCs w:val="20"/>
        </w:rPr>
        <w:t>ancial services firms have suffered successful cyber-attacks launched both domestically and from abroad, resulting in the disruption of services to clients, loss or misappropriation of sensitive or private data and reputational harm. We also have been subj</w:t>
      </w:r>
      <w:r>
        <w:rPr>
          <w:rFonts w:ascii="Arial" w:eastAsia="宋体" w:hAnsi="Arial" w:cs="Arial"/>
          <w:color w:val="000000"/>
          <w:sz w:val="20"/>
          <w:szCs w:val="20"/>
        </w:rPr>
        <w:t>ected to cyber-attacks, and although we have not to our knowledge suffered a material breach or suspension of our systems, it is possible that we could suffer such a breach or suspension in the future or that we may be unaware of a prior attack. Cyber-thre</w:t>
      </w:r>
      <w:r>
        <w:rPr>
          <w:rFonts w:ascii="Arial" w:eastAsia="宋体" w:hAnsi="Arial" w:cs="Arial"/>
          <w:color w:val="000000"/>
          <w:sz w:val="20"/>
          <w:szCs w:val="20"/>
        </w:rPr>
        <w:t>ats are sophisticated and continually evolving. We may not implement effective systems and other measures to effectively identify, detect, prevent, mitigate, recover from or remediate the full diversity of cyber-threats or improve and adapt such systems an</w:t>
      </w:r>
      <w:r>
        <w:rPr>
          <w:rFonts w:ascii="Arial" w:eastAsia="宋体" w:hAnsi="Arial" w:cs="Arial"/>
          <w:color w:val="000000"/>
          <w:sz w:val="20"/>
          <w:szCs w:val="20"/>
        </w:rPr>
        <w:t>d measures as such threats evolve and advance.</w:t>
      </w:r>
    </w:p>
    <w:p w14:paraId="5F2C9E03" w14:textId="77777777" w:rsidR="00E836FB" w:rsidRDefault="00994958">
      <w:pPr>
        <w:spacing w:before="60"/>
        <w:ind w:firstLine="450"/>
        <w:jc w:val="both"/>
        <w:textAlignment w:val="top"/>
      </w:pPr>
      <w:r>
        <w:rPr>
          <w:rFonts w:ascii="Arial" w:eastAsia="宋体" w:hAnsi="Arial" w:cs="Arial"/>
          <w:color w:val="000000"/>
          <w:sz w:val="20"/>
          <w:szCs w:val="20"/>
        </w:rPr>
        <w:t xml:space="preserve">A cybersecurity incident, or a failure to protect our technology infrastructure, systems and information and our clients and others' information against cybersecurity threats, could result in the theft, loss, </w:t>
      </w:r>
      <w:r>
        <w:rPr>
          <w:rFonts w:ascii="Arial" w:eastAsia="宋体" w:hAnsi="Arial" w:cs="Arial"/>
          <w:color w:val="000000"/>
          <w:sz w:val="20"/>
          <w:szCs w:val="20"/>
        </w:rPr>
        <w:t>unauthorized access to, disclosure, misuse or alteration of information, system failures or outages or loss of access to information. The expectations of our clients and regulators with respect to the resiliency of our systems and the adequacy of our contr</w:t>
      </w:r>
      <w:r>
        <w:rPr>
          <w:rFonts w:ascii="Arial" w:eastAsia="宋体" w:hAnsi="Arial" w:cs="Arial"/>
          <w:color w:val="000000"/>
          <w:sz w:val="20"/>
          <w:szCs w:val="20"/>
        </w:rPr>
        <w:t>ol environment with respect to such systems has and is expected to increase as the risk of cyber-attacks, which is presently elevated due to the current work-from-home environment, and the consequences of those attacks become more pronounced. We may not be</w:t>
      </w:r>
      <w:r>
        <w:rPr>
          <w:rFonts w:ascii="Arial" w:eastAsia="宋体" w:hAnsi="Arial" w:cs="Arial"/>
          <w:color w:val="000000"/>
          <w:sz w:val="20"/>
          <w:szCs w:val="20"/>
        </w:rPr>
        <w:t xml:space="preserve"> successful in meeting those expectations or in our efforts to identify, detect, prevent, mitigate and respond to such cyber-incidents or for our systems to recover in a manner that does not disrupt our ability to provide services to our clients. The failu</w:t>
      </w:r>
      <w:r>
        <w:rPr>
          <w:rFonts w:ascii="Arial" w:eastAsia="宋体" w:hAnsi="Arial" w:cs="Arial"/>
          <w:color w:val="000000"/>
          <w:sz w:val="20"/>
          <w:szCs w:val="20"/>
        </w:rPr>
        <w:t>re to maintain an adequate technology infrastructure and applications with effective cybersecurity controls could impact operations, adversely affect our financial results, result in loss of business, damage our reputation or impact our ability to comply w</w:t>
      </w:r>
      <w:r>
        <w:rPr>
          <w:rFonts w:ascii="Arial" w:eastAsia="宋体" w:hAnsi="Arial" w:cs="Arial"/>
          <w:color w:val="000000"/>
          <w:sz w:val="20"/>
          <w:szCs w:val="20"/>
        </w:rPr>
        <w:t>ith regulatory obligations, leading to regulatory fines and sanctions. We may be required to expend significant additional resources to modify, investigate or remediate vulnerabilities or other exposures arising from cybersecurity threats.</w:t>
      </w:r>
    </w:p>
    <w:p w14:paraId="5F2C9E04" w14:textId="77777777" w:rsidR="00E836FB" w:rsidRDefault="00994958">
      <w:pPr>
        <w:ind w:firstLine="450"/>
        <w:jc w:val="right"/>
      </w:pPr>
      <w:r>
        <w:rPr>
          <w:rFonts w:ascii="Arial" w:eastAsia="宋体" w:hAnsi="Arial" w:cs="Arial"/>
          <w:color w:val="000000"/>
          <w:sz w:val="18"/>
          <w:szCs w:val="18"/>
        </w:rPr>
        <w:t>State Street Cor</w:t>
      </w:r>
      <w:r>
        <w:rPr>
          <w:rFonts w:ascii="Arial" w:eastAsia="宋体" w:hAnsi="Arial" w:cs="Arial"/>
          <w:color w:val="000000"/>
          <w:sz w:val="18"/>
          <w:szCs w:val="18"/>
        </w:rPr>
        <w:t>poration | 46</w:t>
      </w:r>
    </w:p>
    <w:p w14:paraId="5F2C9E05" w14:textId="77777777" w:rsidR="00E836FB" w:rsidRDefault="00E836FB">
      <w:pPr>
        <w:ind w:firstLine="450"/>
        <w:jc w:val="center"/>
      </w:pPr>
    </w:p>
    <w:p w14:paraId="5F2C9E06" w14:textId="77777777" w:rsidR="00E836FB" w:rsidRDefault="00994958">
      <w:r>
        <w:pict w14:anchorId="5F2D6DB1">
          <v:rect id="_x0000_i1070" style="width:415.3pt;height:1.5pt" o:hralign="center" o:hrstd="t" o:hr="t" fillcolor="#a0a0a0" stroked="f"/>
        </w:pict>
      </w:r>
    </w:p>
    <w:p w14:paraId="5F2C9E07" w14:textId="77777777" w:rsidR="00E836FB" w:rsidRDefault="00E836FB">
      <w:pPr>
        <w:ind w:firstLine="450"/>
      </w:pPr>
    </w:p>
    <w:p w14:paraId="5F2C9E08" w14:textId="77777777" w:rsidR="00E836FB" w:rsidRDefault="00994958">
      <w:pPr>
        <w:spacing w:before="60"/>
        <w:ind w:firstLine="450"/>
        <w:jc w:val="both"/>
        <w:textAlignment w:val="top"/>
      </w:pPr>
      <w:r>
        <w:rPr>
          <w:rFonts w:ascii="Arial" w:eastAsia="宋体" w:hAnsi="Arial" w:cs="Arial"/>
          <w:color w:val="000000"/>
          <w:sz w:val="20"/>
          <w:szCs w:val="20"/>
        </w:rPr>
        <w:t>Our computer, communications, data processing, networks, backup, business continuity, disaster recovery or other operating, information or technology systems, facilities and activities have suffered and in the future may suffer disruption</w:t>
      </w:r>
      <w:r>
        <w:rPr>
          <w:rFonts w:ascii="Arial" w:eastAsia="宋体" w:hAnsi="Arial" w:cs="Arial"/>
          <w:color w:val="000000"/>
          <w:sz w:val="20"/>
          <w:szCs w:val="20"/>
        </w:rPr>
        <w:t xml:space="preserve">s or otherwise fail to operate properly or become disabled, overloaded or damaged as a result of a number of factors, including events that are wholly or partially beyond our control, which can adversely affect our ability to process transactions, provide </w:t>
      </w:r>
      <w:r>
        <w:rPr>
          <w:rFonts w:ascii="Arial" w:eastAsia="宋体" w:hAnsi="Arial" w:cs="Arial"/>
          <w:color w:val="000000"/>
          <w:sz w:val="20"/>
          <w:szCs w:val="20"/>
        </w:rPr>
        <w:t>services or maintain systems availability, maintain information security, compliance and internal controls or otherwise appropriately conduct our business activities. For example, in addition to cyber-attacks, there could be sudden increases in transaction</w:t>
      </w:r>
      <w:r>
        <w:rPr>
          <w:rFonts w:ascii="Arial" w:eastAsia="宋体" w:hAnsi="Arial" w:cs="Arial"/>
          <w:color w:val="000000"/>
          <w:sz w:val="20"/>
          <w:szCs w:val="20"/>
        </w:rPr>
        <w:t xml:space="preserve"> or data volumes, electrical or telecommunications outages, natural disasters, or employee or contractor error or malfeasance. Third parties may also attempt to place individuals within State Street or fraudulently induce employees, vendors, clients or oth</w:t>
      </w:r>
      <w:r>
        <w:rPr>
          <w:rFonts w:ascii="Arial" w:eastAsia="宋体" w:hAnsi="Arial" w:cs="Arial"/>
          <w:color w:val="000000"/>
          <w:sz w:val="20"/>
          <w:szCs w:val="20"/>
        </w:rPr>
        <w:t>er users of our systems to disclose sensitive information in order to gain access to our data or that of our clients or other parties. Any such disruptions or failures may require us, among other things, to reconstruct lost data (which may not be possible)</w:t>
      </w:r>
      <w:r>
        <w:rPr>
          <w:rFonts w:ascii="Arial" w:eastAsia="宋体" w:hAnsi="Arial" w:cs="Arial"/>
          <w:color w:val="000000"/>
          <w:sz w:val="20"/>
          <w:szCs w:val="20"/>
        </w:rPr>
        <w:t>, reimburse our clients' costs associated with such disruption or failure, result in loss of client business or damage our information technology infrastructure or systems or those of our clients or other parties. While we have not in the past suffered mat</w:t>
      </w:r>
      <w:r>
        <w:rPr>
          <w:rFonts w:ascii="Arial" w:eastAsia="宋体" w:hAnsi="Arial" w:cs="Arial"/>
          <w:color w:val="000000"/>
          <w:sz w:val="20"/>
          <w:szCs w:val="20"/>
        </w:rPr>
        <w:t xml:space="preserve">erial harm or other adverse effects from such disruptions or failures, we may not successfully prevent, respond to or recover from such disruptions or failures in the future, and any such disruption or failure could adversely impact our ability to conduct </w:t>
      </w:r>
      <w:r>
        <w:rPr>
          <w:rFonts w:ascii="Arial" w:eastAsia="宋体" w:hAnsi="Arial" w:cs="Arial"/>
          <w:color w:val="000000"/>
          <w:sz w:val="20"/>
          <w:szCs w:val="20"/>
        </w:rPr>
        <w:t>our businesses, damage our reputation and cause losses, potentially materially.</w:t>
      </w:r>
    </w:p>
    <w:p w14:paraId="5F2C9E09" w14:textId="77777777" w:rsidR="00E836FB" w:rsidRDefault="00994958">
      <w:pPr>
        <w:spacing w:before="60"/>
        <w:ind w:firstLine="450"/>
        <w:jc w:val="both"/>
        <w:textAlignment w:val="top"/>
      </w:pPr>
      <w:r>
        <w:rPr>
          <w:rFonts w:ascii="Arial" w:eastAsia="宋体" w:hAnsi="Arial" w:cs="Arial"/>
          <w:color w:val="000000"/>
          <w:sz w:val="20"/>
          <w:szCs w:val="20"/>
        </w:rPr>
        <w:t>The third parties with which we do business, which facilitate our business activities, to whom we outsource operations or other activities, from whom we receive products or ser</w:t>
      </w:r>
      <w:r>
        <w:rPr>
          <w:rFonts w:ascii="Arial" w:eastAsia="宋体" w:hAnsi="Arial" w:cs="Arial"/>
          <w:color w:val="000000"/>
          <w:sz w:val="20"/>
          <w:szCs w:val="20"/>
        </w:rPr>
        <w:t>vices or with whom we otherwise engage or interact, including financial intermediaries and technology infrastructure and service providers, are also susceptible to the foregoing risks (including the third parties with which they are similarly interconnecte</w:t>
      </w:r>
      <w:r>
        <w:rPr>
          <w:rFonts w:ascii="Arial" w:eastAsia="宋体" w:hAnsi="Arial" w:cs="Arial"/>
          <w:color w:val="000000"/>
          <w:sz w:val="20"/>
          <w:szCs w:val="20"/>
        </w:rPr>
        <w:t>d or on which they otherwise rely), and our or their business operations and activities have been and may in the future be adversely affected, perhaps materially, by failures, terminations, errors or malfeasance by, or attacks or constraints on, one or mor</w:t>
      </w:r>
      <w:r>
        <w:rPr>
          <w:rFonts w:ascii="Arial" w:eastAsia="宋体" w:hAnsi="Arial" w:cs="Arial"/>
          <w:color w:val="000000"/>
          <w:sz w:val="20"/>
          <w:szCs w:val="20"/>
        </w:rPr>
        <w:t>e financial, technology, infrastructure or government institutions or intermediaries with whom we or they are interconnected or conduct business.</w:t>
      </w:r>
    </w:p>
    <w:p w14:paraId="5F2C9E0A" w14:textId="77777777" w:rsidR="00E836FB" w:rsidRDefault="00994958">
      <w:pPr>
        <w:spacing w:before="60"/>
        <w:ind w:firstLine="450"/>
        <w:jc w:val="both"/>
        <w:textAlignment w:val="top"/>
      </w:pPr>
      <w:r>
        <w:rPr>
          <w:rFonts w:ascii="Arial" w:eastAsia="宋体" w:hAnsi="Arial" w:cs="Arial"/>
          <w:color w:val="000000"/>
          <w:sz w:val="20"/>
          <w:szCs w:val="20"/>
        </w:rPr>
        <w:t>In particular, we, like other financial services firms, will continue to face increasing cyber-threats, includ</w:t>
      </w:r>
      <w:r>
        <w:rPr>
          <w:rFonts w:ascii="Arial" w:eastAsia="宋体" w:hAnsi="Arial" w:cs="Arial"/>
          <w:color w:val="000000"/>
          <w:sz w:val="20"/>
          <w:szCs w:val="20"/>
        </w:rPr>
        <w:t xml:space="preserve">ing computer viruses, malicious code, distributed denial of service attacks, phishing attacks, ransomware, hacker attacks, limited availability of </w:t>
      </w:r>
    </w:p>
    <w:p w14:paraId="5F2C9E0B" w14:textId="77777777" w:rsidR="00E836FB" w:rsidRDefault="00994958">
      <w:pPr>
        <w:spacing w:before="60"/>
        <w:jc w:val="both"/>
        <w:textAlignment w:val="top"/>
      </w:pPr>
      <w:r>
        <w:rPr>
          <w:rFonts w:ascii="Arial" w:eastAsia="宋体" w:hAnsi="Arial" w:cs="Arial"/>
          <w:color w:val="000000"/>
          <w:sz w:val="20"/>
          <w:szCs w:val="20"/>
        </w:rPr>
        <w:t xml:space="preserve">services, unauthorized access, information security breaches or employee or contractor error or malfeasance </w:t>
      </w:r>
      <w:r>
        <w:rPr>
          <w:rFonts w:ascii="Arial" w:eastAsia="宋体" w:hAnsi="Arial" w:cs="Arial"/>
          <w:color w:val="000000"/>
          <w:sz w:val="20"/>
          <w:szCs w:val="20"/>
        </w:rPr>
        <w:t>that could result in the unauthorized release, gathering, monitoring, misuse, loss or destruction of our, our clients' or other parties' confidential, personal, proprietary or other information or otherwise disrupt, compromise or damage our or our clients'</w:t>
      </w:r>
      <w:r>
        <w:rPr>
          <w:rFonts w:ascii="Arial" w:eastAsia="宋体" w:hAnsi="Arial" w:cs="Arial"/>
          <w:color w:val="000000"/>
          <w:sz w:val="20"/>
          <w:szCs w:val="20"/>
        </w:rPr>
        <w:t xml:space="preserve"> or other parties' business assets, operations and activities. These and similar types of threats are occurring globally with greater frequency and intensity, and we may not anticipate or implement effective preventative measures against, or identify and d</w:t>
      </w:r>
      <w:r>
        <w:rPr>
          <w:rFonts w:ascii="Arial" w:eastAsia="宋体" w:hAnsi="Arial" w:cs="Arial"/>
          <w:color w:val="000000"/>
          <w:sz w:val="20"/>
          <w:szCs w:val="20"/>
        </w:rPr>
        <w:t>etect one or more, such threats, particularly because the techniques used change frequently or may not be recognized until after they are launched. Our status as a G-SIB likely increases the risk that we are targeted by such cybersecurity threats. In addit</w:t>
      </w:r>
      <w:r>
        <w:rPr>
          <w:rFonts w:ascii="Arial" w:eastAsia="宋体" w:hAnsi="Arial" w:cs="Arial"/>
          <w:color w:val="000000"/>
          <w:sz w:val="20"/>
          <w:szCs w:val="20"/>
        </w:rPr>
        <w:t>ion, some of our service offerings, such as data warehousing, may also increase the risk we are, and the consequences of being, so targeted. We may be required to expend significant additional resources to modify, investigate or remediate vulnerabilities o</w:t>
      </w:r>
      <w:r>
        <w:rPr>
          <w:rFonts w:ascii="Arial" w:eastAsia="宋体" w:hAnsi="Arial" w:cs="Arial"/>
          <w:color w:val="000000"/>
          <w:sz w:val="20"/>
          <w:szCs w:val="20"/>
        </w:rPr>
        <w:t>r other exposures arising from cybersecurity threats. We therefore could experience significant related costs and legal and financial exposures, including lost or constrained ability to provide our services or maintain systems availability to clients, regu</w:t>
      </w:r>
      <w:r>
        <w:rPr>
          <w:rFonts w:ascii="Arial" w:eastAsia="宋体" w:hAnsi="Arial" w:cs="Arial"/>
          <w:color w:val="000000"/>
          <w:sz w:val="20"/>
          <w:szCs w:val="20"/>
        </w:rPr>
        <w:t>latory inquiries, enforcements, actions and fines, litigation, damage to our reputation or property and enhanced competition.</w:t>
      </w:r>
    </w:p>
    <w:p w14:paraId="5F2C9E0C" w14:textId="77777777" w:rsidR="00E836FB" w:rsidRDefault="00994958">
      <w:pPr>
        <w:spacing w:before="60"/>
        <w:ind w:firstLine="450"/>
        <w:jc w:val="both"/>
        <w:textAlignment w:val="top"/>
      </w:pPr>
      <w:r>
        <w:rPr>
          <w:rFonts w:ascii="Arial" w:eastAsia="宋体" w:hAnsi="Arial" w:cs="Arial"/>
          <w:color w:val="000000"/>
          <w:sz w:val="20"/>
          <w:szCs w:val="20"/>
        </w:rPr>
        <w:t>Due to our dependence on technology and the important role it plays in our business operations, we are attempting to improve and u</w:t>
      </w:r>
      <w:r>
        <w:rPr>
          <w:rFonts w:ascii="Arial" w:eastAsia="宋体" w:hAnsi="Arial" w:cs="Arial"/>
          <w:color w:val="000000"/>
          <w:sz w:val="20"/>
          <w:szCs w:val="20"/>
        </w:rPr>
        <w:t>pdate our information technology infrastructure, among other things: (1) as some of our systems are approaching the end of their useful life, are redundant or do not share data without reconciliation; (2) to be more efficient, meet increasing client and re</w:t>
      </w:r>
      <w:r>
        <w:rPr>
          <w:rFonts w:ascii="Arial" w:eastAsia="宋体" w:hAnsi="Arial" w:cs="Arial"/>
          <w:color w:val="000000"/>
          <w:sz w:val="20"/>
          <w:szCs w:val="20"/>
        </w:rPr>
        <w:t>gulatory security, resiliency and other expectations and support opportunities of growth; and (3) to enhance resiliency and maintain business continuity. Updating these systems involves material costs and often involves implementation, integration and secu</w:t>
      </w:r>
      <w:r>
        <w:rPr>
          <w:rFonts w:ascii="Arial" w:eastAsia="宋体" w:hAnsi="Arial" w:cs="Arial"/>
          <w:color w:val="000000"/>
          <w:sz w:val="20"/>
          <w:szCs w:val="20"/>
        </w:rPr>
        <w:t>rity risks, including risks that we may not adequately anticipate the market or technological trends, regulatory expectations or client needs or experience unexpected challenges that could cause financial, reputational and operational harm. Failing to prop</w:t>
      </w:r>
      <w:r>
        <w:rPr>
          <w:rFonts w:ascii="Arial" w:eastAsia="宋体" w:hAnsi="Arial" w:cs="Arial"/>
          <w:color w:val="000000"/>
          <w:sz w:val="20"/>
          <w:szCs w:val="20"/>
        </w:rPr>
        <w:t xml:space="preserve">erly respond to and invest in changes and advancements in technology can limit our ability to attract and retain clients, prevent us from offering similar products and services as those offered by our competitors, impair our ability to maintain continuous </w:t>
      </w:r>
      <w:r>
        <w:rPr>
          <w:rFonts w:ascii="Arial" w:eastAsia="宋体" w:hAnsi="Arial" w:cs="Arial"/>
          <w:color w:val="000000"/>
          <w:sz w:val="20"/>
          <w:szCs w:val="20"/>
        </w:rPr>
        <w:t>operations, inhibit our ability to meet regulatory requirements and subject us to regulatory inquires.</w:t>
      </w:r>
    </w:p>
    <w:p w14:paraId="5F2C9E0D" w14:textId="77777777" w:rsidR="00E836FB" w:rsidRDefault="00994958">
      <w:pPr>
        <w:ind w:firstLine="450"/>
        <w:jc w:val="right"/>
      </w:pPr>
      <w:r>
        <w:rPr>
          <w:rFonts w:ascii="Arial" w:eastAsia="宋体" w:hAnsi="Arial" w:cs="Arial"/>
          <w:color w:val="000000"/>
          <w:sz w:val="18"/>
          <w:szCs w:val="18"/>
        </w:rPr>
        <w:t>State Street Corporation | 47</w:t>
      </w:r>
    </w:p>
    <w:p w14:paraId="5F2C9E0E" w14:textId="77777777" w:rsidR="00E836FB" w:rsidRDefault="00E836FB">
      <w:pPr>
        <w:ind w:firstLine="450"/>
        <w:jc w:val="center"/>
      </w:pPr>
    </w:p>
    <w:p w14:paraId="5F2C9E0F" w14:textId="77777777" w:rsidR="00E836FB" w:rsidRDefault="00994958">
      <w:r>
        <w:pict w14:anchorId="5F2D6DB2">
          <v:rect id="_x0000_i1071" style="width:415.3pt;height:1.5pt" o:hralign="center" o:hrstd="t" o:hr="t" fillcolor="#a0a0a0" stroked="f"/>
        </w:pict>
      </w:r>
    </w:p>
    <w:p w14:paraId="5F2C9E10" w14:textId="77777777" w:rsidR="00E836FB" w:rsidRDefault="00E836FB">
      <w:pPr>
        <w:ind w:firstLine="450"/>
      </w:pPr>
    </w:p>
    <w:p w14:paraId="5F2C9E11" w14:textId="77777777" w:rsidR="00E836FB" w:rsidRDefault="00994958">
      <w:pPr>
        <w:spacing w:before="90"/>
        <w:jc w:val="both"/>
        <w:textAlignment w:val="top"/>
      </w:pPr>
      <w:r>
        <w:rPr>
          <w:rFonts w:ascii="Arial" w:eastAsia="宋体" w:hAnsi="Arial" w:cs="Arial"/>
          <w:b/>
          <w:bCs/>
          <w:color w:val="000000"/>
          <w:sz w:val="20"/>
          <w:szCs w:val="20"/>
        </w:rPr>
        <w:t>Long-term contracts expose us to pricing and performance risk.</w:t>
      </w:r>
    </w:p>
    <w:p w14:paraId="5F2C9E12" w14:textId="77777777" w:rsidR="00E836FB" w:rsidRDefault="00994958">
      <w:pPr>
        <w:spacing w:before="60"/>
        <w:ind w:firstLine="450"/>
        <w:jc w:val="both"/>
        <w:textAlignment w:val="top"/>
      </w:pPr>
      <w:r>
        <w:rPr>
          <w:rFonts w:ascii="Arial" w:eastAsia="宋体" w:hAnsi="Arial" w:cs="Arial"/>
          <w:color w:val="000000"/>
          <w:sz w:val="20"/>
          <w:szCs w:val="20"/>
        </w:rPr>
        <w:t>We frequently enter into long-term client servicing cont</w:t>
      </w:r>
      <w:r>
        <w:rPr>
          <w:rFonts w:ascii="Arial" w:eastAsia="宋体" w:hAnsi="Arial" w:cs="Arial"/>
          <w:color w:val="000000"/>
          <w:sz w:val="20"/>
          <w:szCs w:val="20"/>
        </w:rPr>
        <w:t>racts in our Investment Servicing business. These include outsourcing and other core services contracts and can involve information technology development. These arrangements generally set forth our fee schedule for the term of the contract and, absent a c</w:t>
      </w:r>
      <w:r>
        <w:rPr>
          <w:rFonts w:ascii="Arial" w:eastAsia="宋体" w:hAnsi="Arial" w:cs="Arial"/>
          <w:color w:val="000000"/>
          <w:sz w:val="20"/>
          <w:szCs w:val="20"/>
        </w:rPr>
        <w:t>hange in service requirements, do not permit us to re-price the contract for changes in our costs or for market pricing. The long-term contracts for these relationships require, in some cases, considerable up-front investment by us, including technology an</w:t>
      </w:r>
      <w:r>
        <w:rPr>
          <w:rFonts w:ascii="Arial" w:eastAsia="宋体" w:hAnsi="Arial" w:cs="Arial"/>
          <w:color w:val="000000"/>
          <w:sz w:val="20"/>
          <w:szCs w:val="20"/>
        </w:rPr>
        <w:t>d conversion costs, and carry the risk that pricing for the products and services we provide might not prove adequate to generate expected operating margins over the term of the contracts.</w:t>
      </w:r>
    </w:p>
    <w:p w14:paraId="5F2C9E13" w14:textId="77777777" w:rsidR="00E836FB" w:rsidRDefault="00994958">
      <w:pPr>
        <w:spacing w:before="60"/>
        <w:ind w:firstLine="450"/>
        <w:jc w:val="both"/>
        <w:textAlignment w:val="top"/>
      </w:pPr>
      <w:r>
        <w:rPr>
          <w:rFonts w:ascii="Arial" w:eastAsia="宋体" w:hAnsi="Arial" w:cs="Arial"/>
          <w:color w:val="000000"/>
          <w:sz w:val="20"/>
          <w:szCs w:val="20"/>
        </w:rPr>
        <w:t>The profitability of these contracts is largely a function of our a</w:t>
      </w:r>
      <w:r>
        <w:rPr>
          <w:rFonts w:ascii="Arial" w:eastAsia="宋体" w:hAnsi="Arial" w:cs="Arial"/>
          <w:color w:val="000000"/>
          <w:sz w:val="20"/>
          <w:szCs w:val="20"/>
        </w:rPr>
        <w:t>bility to accurately calculate pricing for our services, efficiently assume our contractual responsibilities in a timely manner, control our costs and maintain the relationship with the client for an adequate period of time to recover our up-front investme</w:t>
      </w:r>
      <w:r>
        <w:rPr>
          <w:rFonts w:ascii="Arial" w:eastAsia="宋体" w:hAnsi="Arial" w:cs="Arial"/>
          <w:color w:val="000000"/>
          <w:sz w:val="20"/>
          <w:szCs w:val="20"/>
        </w:rPr>
        <w:t>nt. Our estimate of the profitability of these arrangements can be adversely affected by declines in or inaccurate projections of the assets under the clients' management, whether due to general declines in the securities markets or client-specific issues.</w:t>
      </w:r>
      <w:r>
        <w:rPr>
          <w:rFonts w:ascii="Arial" w:eastAsia="宋体" w:hAnsi="Arial" w:cs="Arial"/>
          <w:color w:val="000000"/>
          <w:sz w:val="20"/>
          <w:szCs w:val="20"/>
        </w:rPr>
        <w:t xml:space="preserve"> In addition, the profitability of these arrangements may be based on our ability to cross-sell additional services to these clients, and we may be unable to do so. In addition, such contracts may permit early termination or reduction in services in the ev</w:t>
      </w:r>
      <w:r>
        <w:rPr>
          <w:rFonts w:ascii="Arial" w:eastAsia="宋体" w:hAnsi="Arial" w:cs="Arial"/>
          <w:color w:val="000000"/>
          <w:sz w:val="20"/>
          <w:szCs w:val="20"/>
        </w:rPr>
        <w:t>ent that certain service levels are not met, which termination or service reduction may result in loss of upfront investment in onboarding the client.</w:t>
      </w:r>
    </w:p>
    <w:p w14:paraId="5F2C9E14" w14:textId="77777777" w:rsidR="00E836FB" w:rsidRDefault="00994958">
      <w:pPr>
        <w:spacing w:before="60"/>
        <w:ind w:firstLine="450"/>
        <w:jc w:val="both"/>
        <w:textAlignment w:val="top"/>
      </w:pPr>
      <w:r>
        <w:rPr>
          <w:rFonts w:ascii="Arial" w:eastAsia="宋体" w:hAnsi="Arial" w:cs="Arial"/>
          <w:color w:val="000000"/>
          <w:sz w:val="20"/>
          <w:szCs w:val="20"/>
        </w:rPr>
        <w:t>Performance risk exists in each contract, given our dependence on successful conversion and implementatio</w:t>
      </w:r>
      <w:r>
        <w:rPr>
          <w:rFonts w:ascii="Arial" w:eastAsia="宋体" w:hAnsi="Arial" w:cs="Arial"/>
          <w:color w:val="000000"/>
          <w:sz w:val="20"/>
          <w:szCs w:val="20"/>
        </w:rPr>
        <w:t>n onto our own operating platforms of the service activities provided. Our failure to meet specified service levels or implementation timelines may also adversely affect our revenue from such arrangements, or permit early termination of the contracts by th</w:t>
      </w:r>
      <w:r>
        <w:rPr>
          <w:rFonts w:ascii="Arial" w:eastAsia="宋体" w:hAnsi="Arial" w:cs="Arial"/>
          <w:color w:val="000000"/>
          <w:sz w:val="20"/>
          <w:szCs w:val="20"/>
        </w:rPr>
        <w:t>e client. If the demand for these types of services were to decline, we could see our revenue decline.</w:t>
      </w:r>
    </w:p>
    <w:p w14:paraId="5F2C9E15" w14:textId="77777777" w:rsidR="00E836FB" w:rsidRDefault="00994958">
      <w:pPr>
        <w:spacing w:before="90"/>
        <w:jc w:val="both"/>
        <w:textAlignment w:val="top"/>
      </w:pPr>
      <w:r>
        <w:rPr>
          <w:rFonts w:ascii="Arial" w:eastAsia="宋体" w:hAnsi="Arial" w:cs="Arial"/>
          <w:b/>
          <w:bCs/>
          <w:color w:val="000000"/>
          <w:sz w:val="20"/>
          <w:szCs w:val="20"/>
        </w:rPr>
        <w:t>Our businesses may be negatively affected by adverse publicity or other reputational harm.</w:t>
      </w:r>
    </w:p>
    <w:p w14:paraId="5F2C9E16" w14:textId="77777777" w:rsidR="00E836FB" w:rsidRDefault="00994958">
      <w:pPr>
        <w:spacing w:before="60"/>
        <w:ind w:firstLine="450"/>
        <w:jc w:val="both"/>
        <w:textAlignment w:val="top"/>
      </w:pPr>
      <w:r>
        <w:rPr>
          <w:rFonts w:ascii="Arial" w:eastAsia="宋体" w:hAnsi="Arial" w:cs="Arial"/>
          <w:color w:val="000000"/>
          <w:sz w:val="20"/>
          <w:szCs w:val="20"/>
        </w:rPr>
        <w:t>Our relationship with many of our clients is predicated on our</w:t>
      </w:r>
      <w:r>
        <w:rPr>
          <w:rFonts w:ascii="Arial" w:eastAsia="宋体" w:hAnsi="Arial" w:cs="Arial"/>
          <w:color w:val="000000"/>
          <w:sz w:val="20"/>
          <w:szCs w:val="20"/>
        </w:rPr>
        <w:t xml:space="preserve"> reputation as a fiduciary and a service provider that adheres to the highest standards of ethics, service quality and regulatory compliance, as well as a leading provider of the products and services we offer. Adverse publicity, regulatory actions or fine</w:t>
      </w:r>
      <w:r>
        <w:rPr>
          <w:rFonts w:ascii="Arial" w:eastAsia="宋体" w:hAnsi="Arial" w:cs="Arial"/>
          <w:color w:val="000000"/>
          <w:sz w:val="20"/>
          <w:szCs w:val="20"/>
        </w:rPr>
        <w:t>s, litigation, operational failures, loss of client opportunities or market share or the failure to meet client expectations or fiduciary or other obligations could materially and adversely affect our reputation, our ability to attract and retain clients o</w:t>
      </w:r>
      <w:r>
        <w:rPr>
          <w:rFonts w:ascii="Arial" w:eastAsia="宋体" w:hAnsi="Arial" w:cs="Arial"/>
          <w:color w:val="000000"/>
          <w:sz w:val="20"/>
          <w:szCs w:val="20"/>
        </w:rPr>
        <w:t>r key employees or our sources of funding for the same or other businesses. For example, over the past decade we have experienced adverse publicity with respect to our indirect foreign exchange trading, and this adverse publicity has contributed to a shift</w:t>
      </w:r>
      <w:r>
        <w:rPr>
          <w:rFonts w:ascii="Arial" w:eastAsia="宋体" w:hAnsi="Arial" w:cs="Arial"/>
          <w:color w:val="000000"/>
          <w:sz w:val="20"/>
          <w:szCs w:val="20"/>
        </w:rPr>
        <w:t xml:space="preserve"> of client volume to other foreign exchange execution methods. Similarly, governmental actions and reputational issues in our transition management business in the U.K. have adversely affected our transition management revenue and, with criminal conviction</w:t>
      </w:r>
      <w:r>
        <w:rPr>
          <w:rFonts w:ascii="Arial" w:eastAsia="宋体" w:hAnsi="Arial" w:cs="Arial"/>
          <w:color w:val="000000"/>
          <w:sz w:val="20"/>
          <w:szCs w:val="20"/>
        </w:rPr>
        <w:t xml:space="preserve">s or guilty pleas of three of our former employees in 2018 and the deferred prosecution agreement we entered into with the in early 2017 and the related SEC settlement, these effects have the potential to continue. The client invoicing matter we announced </w:t>
      </w:r>
      <w:r>
        <w:rPr>
          <w:rFonts w:ascii="Arial" w:eastAsia="宋体" w:hAnsi="Arial" w:cs="Arial"/>
          <w:color w:val="000000"/>
          <w:sz w:val="20"/>
          <w:szCs w:val="20"/>
        </w:rPr>
        <w:t>in late 2015, and the related deferred prosecution agreement entered into in May 2021, have had similar effects. For additional information about these matters, see the risk factor "</w:t>
      </w:r>
      <w:r>
        <w:rPr>
          <w:rFonts w:ascii="Arial" w:eastAsia="宋体" w:hAnsi="Arial" w:cs="Arial"/>
          <w:i/>
          <w:iCs/>
          <w:color w:val="000000"/>
          <w:sz w:val="20"/>
          <w:szCs w:val="20"/>
        </w:rPr>
        <w:t>Our businesses may be adversely affected by government enforcement and lit</w:t>
      </w:r>
      <w:r>
        <w:rPr>
          <w:rFonts w:ascii="Arial" w:eastAsia="宋体" w:hAnsi="Arial" w:cs="Arial"/>
          <w:i/>
          <w:iCs/>
          <w:color w:val="000000"/>
          <w:sz w:val="20"/>
          <w:szCs w:val="20"/>
        </w:rPr>
        <w:t>igation.</w:t>
      </w:r>
      <w:r>
        <w:rPr>
          <w:rFonts w:ascii="Arial" w:eastAsia="宋体" w:hAnsi="Arial" w:cs="Arial"/>
          <w:color w:val="000000"/>
          <w:sz w:val="20"/>
          <w:szCs w:val="20"/>
        </w:rPr>
        <w:t>"</w:t>
      </w:r>
    </w:p>
    <w:p w14:paraId="5F2C9E17" w14:textId="77777777" w:rsidR="00E836FB" w:rsidRDefault="00994958">
      <w:pPr>
        <w:spacing w:before="60"/>
        <w:ind w:firstLine="450"/>
        <w:jc w:val="both"/>
        <w:textAlignment w:val="top"/>
      </w:pPr>
      <w:r>
        <w:rPr>
          <w:rFonts w:ascii="Arial" w:eastAsia="宋体" w:hAnsi="Arial" w:cs="Arial"/>
          <w:color w:val="000000"/>
          <w:sz w:val="20"/>
          <w:szCs w:val="20"/>
        </w:rPr>
        <w:t xml:space="preserve">Preserving and enhancing our reputation also depends on maintaining systems, procedures and controls that address known risks and regulatory requirements, as well as our ability to timely identify, understand and mitigate additional risks </w:t>
      </w:r>
      <w:r>
        <w:rPr>
          <w:rFonts w:ascii="Arial" w:eastAsia="宋体" w:hAnsi="Arial" w:cs="Arial"/>
          <w:color w:val="000000"/>
          <w:sz w:val="20"/>
          <w:szCs w:val="20"/>
        </w:rPr>
        <w:t>that arise due to changes in our businesses and the marketplaces in which we operate, the regulatory environment and client expectations.</w:t>
      </w:r>
    </w:p>
    <w:p w14:paraId="5F2C9E18" w14:textId="77777777" w:rsidR="00E836FB" w:rsidRDefault="00994958">
      <w:pPr>
        <w:spacing w:before="90"/>
        <w:jc w:val="both"/>
        <w:textAlignment w:val="top"/>
      </w:pPr>
      <w:r>
        <w:rPr>
          <w:rFonts w:ascii="Arial" w:eastAsia="宋体" w:hAnsi="Arial" w:cs="Arial"/>
          <w:b/>
          <w:bCs/>
          <w:color w:val="000000"/>
          <w:sz w:val="20"/>
          <w:szCs w:val="20"/>
        </w:rPr>
        <w:t>We may not be able to protect our intellectual property, and we are subject to claims of third-party intellectual prop</w:t>
      </w:r>
      <w:r>
        <w:rPr>
          <w:rFonts w:ascii="Arial" w:eastAsia="宋体" w:hAnsi="Arial" w:cs="Arial"/>
          <w:b/>
          <w:bCs/>
          <w:color w:val="000000"/>
          <w:sz w:val="20"/>
          <w:szCs w:val="20"/>
        </w:rPr>
        <w:t>erty rights.</w:t>
      </w:r>
    </w:p>
    <w:p w14:paraId="5F2C9E19" w14:textId="77777777" w:rsidR="00E836FB" w:rsidRDefault="00994958">
      <w:pPr>
        <w:spacing w:before="60"/>
        <w:ind w:firstLine="450"/>
        <w:jc w:val="both"/>
        <w:textAlignment w:val="top"/>
      </w:pPr>
      <w:r>
        <w:rPr>
          <w:rFonts w:ascii="Arial" w:eastAsia="宋体" w:hAnsi="Arial" w:cs="Arial"/>
          <w:color w:val="000000"/>
          <w:sz w:val="20"/>
          <w:szCs w:val="20"/>
        </w:rPr>
        <w:t>Our potential inability to protect our intellectual property and proprietary technology effectively may allow competitors to duplicate our technology and products and may adversely affect our ability to compete with them. To the extent that we</w:t>
      </w:r>
      <w:r>
        <w:rPr>
          <w:rFonts w:ascii="Arial" w:eastAsia="宋体" w:hAnsi="Arial" w:cs="Arial"/>
          <w:color w:val="000000"/>
          <w:sz w:val="20"/>
          <w:szCs w:val="20"/>
        </w:rPr>
        <w:t xml:space="preserve"> do not protect our intellectual property effectively through patents, maintaining trade secrets or other means in all of the jurisdictions in which we operate or market our products and services, other parties, including former employees, with knowledge o</w:t>
      </w:r>
      <w:r>
        <w:rPr>
          <w:rFonts w:ascii="Arial" w:eastAsia="宋体" w:hAnsi="Arial" w:cs="Arial"/>
          <w:color w:val="000000"/>
          <w:sz w:val="20"/>
          <w:szCs w:val="20"/>
        </w:rPr>
        <w:t xml:space="preserve">f our intellectual property may seek to exploit our intellectual property for their own or others' advantage. In addition, we </w:t>
      </w:r>
    </w:p>
    <w:p w14:paraId="5F2C9E1A" w14:textId="77777777" w:rsidR="00E836FB" w:rsidRDefault="00994958">
      <w:pPr>
        <w:ind w:firstLine="450"/>
        <w:jc w:val="right"/>
      </w:pPr>
      <w:r>
        <w:rPr>
          <w:rFonts w:ascii="Arial" w:eastAsia="宋体" w:hAnsi="Arial" w:cs="Arial"/>
          <w:color w:val="000000"/>
          <w:sz w:val="18"/>
          <w:szCs w:val="18"/>
        </w:rPr>
        <w:t>State Street Corporation | 48</w:t>
      </w:r>
    </w:p>
    <w:p w14:paraId="5F2C9E1B" w14:textId="77777777" w:rsidR="00E836FB" w:rsidRDefault="00E836FB">
      <w:pPr>
        <w:ind w:firstLine="450"/>
        <w:jc w:val="center"/>
      </w:pPr>
    </w:p>
    <w:p w14:paraId="5F2C9E1C" w14:textId="77777777" w:rsidR="00E836FB" w:rsidRDefault="00994958">
      <w:r>
        <w:pict w14:anchorId="5F2D6DB3">
          <v:rect id="_x0000_i1072" style="width:415.3pt;height:1.5pt" o:hralign="center" o:hrstd="t" o:hr="t" fillcolor="#a0a0a0" stroked="f"/>
        </w:pict>
      </w:r>
    </w:p>
    <w:p w14:paraId="5F2C9E1D" w14:textId="77777777" w:rsidR="00E836FB" w:rsidRDefault="00E836FB">
      <w:pPr>
        <w:ind w:firstLine="450"/>
      </w:pPr>
    </w:p>
    <w:p w14:paraId="5F2C9E1E" w14:textId="77777777" w:rsidR="00E836FB" w:rsidRDefault="00994958">
      <w:pPr>
        <w:spacing w:before="60"/>
        <w:jc w:val="both"/>
        <w:textAlignment w:val="top"/>
      </w:pPr>
      <w:r>
        <w:rPr>
          <w:rFonts w:ascii="Arial" w:eastAsia="宋体" w:hAnsi="Arial" w:cs="Arial"/>
          <w:color w:val="000000"/>
          <w:sz w:val="20"/>
          <w:szCs w:val="20"/>
        </w:rPr>
        <w:t>may infringe on claims of third-party patents, and we may face intellectual property challenges</w:t>
      </w:r>
      <w:r>
        <w:rPr>
          <w:rFonts w:ascii="Arial" w:eastAsia="宋体" w:hAnsi="Arial" w:cs="Arial"/>
          <w:color w:val="000000"/>
          <w:sz w:val="20"/>
          <w:szCs w:val="20"/>
        </w:rPr>
        <w:t xml:space="preserve"> from other parties, including clients or service providers with whom we may engage in the development or implementation of other products, services or solutions or to whose information we may have access for limited permitted purposes but with whom we als</w:t>
      </w:r>
      <w:r>
        <w:rPr>
          <w:rFonts w:ascii="Arial" w:eastAsia="宋体" w:hAnsi="Arial" w:cs="Arial"/>
          <w:color w:val="000000"/>
          <w:sz w:val="20"/>
          <w:szCs w:val="20"/>
        </w:rPr>
        <w:t>o compete. The risk of such infringement is enhanced in the current competitive “Fintech” environment, particularly with respect to our development of new products and services containing significant technology elements and dependencies, any of which could</w:t>
      </w:r>
      <w:r>
        <w:rPr>
          <w:rFonts w:ascii="Arial" w:eastAsia="宋体" w:hAnsi="Arial" w:cs="Arial"/>
          <w:color w:val="000000"/>
          <w:sz w:val="20"/>
          <w:szCs w:val="20"/>
        </w:rPr>
        <w:t xml:space="preserve"> become the subject of an infringement claim. We may not be successful in defending against any such challenges or in obtaining licenses to avoid or resolve any intellectual property disputes. Third-party intellectual rights, valid or not, may also impede </w:t>
      </w:r>
      <w:r>
        <w:rPr>
          <w:rFonts w:ascii="Arial" w:eastAsia="宋体" w:hAnsi="Arial" w:cs="Arial"/>
          <w:color w:val="000000"/>
          <w:sz w:val="20"/>
          <w:szCs w:val="20"/>
        </w:rPr>
        <w:t>our deployment of the full scope of our products and service capabilities in all jurisdictions in which we operate or market our products and services.</w:t>
      </w:r>
    </w:p>
    <w:p w14:paraId="5F2C9E1F" w14:textId="77777777" w:rsidR="00E836FB" w:rsidRDefault="00994958">
      <w:pPr>
        <w:spacing w:before="90"/>
        <w:jc w:val="both"/>
        <w:textAlignment w:val="top"/>
      </w:pPr>
      <w:r>
        <w:rPr>
          <w:rFonts w:ascii="Arial" w:eastAsia="宋体" w:hAnsi="Arial" w:cs="Arial"/>
          <w:b/>
          <w:bCs/>
          <w:color w:val="000000"/>
          <w:sz w:val="20"/>
          <w:szCs w:val="20"/>
        </w:rPr>
        <w:t xml:space="preserve">The quantitative models we use to manage our business may contain errors that result in inadequate risk </w:t>
      </w:r>
      <w:r>
        <w:rPr>
          <w:rFonts w:ascii="Arial" w:eastAsia="宋体" w:hAnsi="Arial" w:cs="Arial"/>
          <w:b/>
          <w:bCs/>
          <w:color w:val="000000"/>
          <w:sz w:val="20"/>
          <w:szCs w:val="20"/>
        </w:rPr>
        <w:t>assessments, inaccurate valuations or poor business and risk management decisions, and lapses in disclosure controls and procedures or internal control over financial reporting could occur, any of which could result in material harm.</w:t>
      </w:r>
    </w:p>
    <w:p w14:paraId="5F2C9E20" w14:textId="77777777" w:rsidR="00E836FB" w:rsidRDefault="00994958">
      <w:pPr>
        <w:spacing w:before="60"/>
        <w:ind w:firstLine="450"/>
        <w:jc w:val="both"/>
        <w:textAlignment w:val="top"/>
      </w:pPr>
      <w:r>
        <w:rPr>
          <w:rFonts w:ascii="Arial" w:eastAsia="宋体" w:hAnsi="Arial" w:cs="Arial"/>
          <w:color w:val="000000"/>
          <w:sz w:val="20"/>
          <w:szCs w:val="20"/>
        </w:rPr>
        <w:t>We use quantitative mo</w:t>
      </w:r>
      <w:r>
        <w:rPr>
          <w:rFonts w:ascii="Arial" w:eastAsia="宋体" w:hAnsi="Arial" w:cs="Arial"/>
          <w:color w:val="000000"/>
          <w:sz w:val="20"/>
          <w:szCs w:val="20"/>
        </w:rPr>
        <w:t>dels to help manage many different aspects of our businesses. As an input to our overall assessment of capital adequacy, we use models to measure the amount of credit risk, market risk, operational risk, interest rate risk and liquidity risk we face. Durin</w:t>
      </w:r>
      <w:r>
        <w:rPr>
          <w:rFonts w:ascii="Arial" w:eastAsia="宋体" w:hAnsi="Arial" w:cs="Arial"/>
          <w:color w:val="000000"/>
          <w:sz w:val="20"/>
          <w:szCs w:val="20"/>
        </w:rPr>
        <w:t>g the preparation of our consolidated financial statements, we sometimes use models to measure the value of asset and liability positions for which reliable market prices are not available. We also use models to support many different types of business dec</w:t>
      </w:r>
      <w:r>
        <w:rPr>
          <w:rFonts w:ascii="Arial" w:eastAsia="宋体" w:hAnsi="Arial" w:cs="Arial"/>
          <w:color w:val="000000"/>
          <w:sz w:val="20"/>
          <w:szCs w:val="20"/>
        </w:rPr>
        <w:t xml:space="preserve">isions including trading activities, investment, hedging, asset-and-liability management and whether to change business strategy. We also use artificial intelligence and machine learning models to automate or enhance certain business processes. Weaknesses </w:t>
      </w:r>
      <w:r>
        <w:rPr>
          <w:rFonts w:ascii="Arial" w:eastAsia="宋体" w:hAnsi="Arial" w:cs="Arial"/>
          <w:color w:val="000000"/>
          <w:sz w:val="20"/>
          <w:szCs w:val="20"/>
        </w:rPr>
        <w:t xml:space="preserve">in the underlying model, inadequate model assumptions, normal model limitations, inappropriate model use, weaknesses in model implementation or poor data quality, could result in unanticipated and adverse consequences, including material loss and material </w:t>
      </w:r>
      <w:r>
        <w:rPr>
          <w:rFonts w:ascii="Arial" w:eastAsia="宋体" w:hAnsi="Arial" w:cs="Arial"/>
          <w:color w:val="000000"/>
          <w:sz w:val="20"/>
          <w:szCs w:val="20"/>
        </w:rPr>
        <w:t>non-compliance with regulatory requirements or expectations. Because of our widespread usage of models, potential weaknesses in our MRM practices pose an ongoing risk to us.</w:t>
      </w:r>
    </w:p>
    <w:p w14:paraId="5F2C9E21" w14:textId="77777777" w:rsidR="00E836FB" w:rsidRDefault="00994958">
      <w:pPr>
        <w:spacing w:before="60"/>
        <w:ind w:firstLine="450"/>
        <w:jc w:val="both"/>
        <w:textAlignment w:val="top"/>
      </w:pPr>
      <w:r>
        <w:rPr>
          <w:rFonts w:ascii="Arial" w:eastAsia="宋体" w:hAnsi="Arial" w:cs="Arial"/>
          <w:color w:val="000000"/>
          <w:sz w:val="20"/>
          <w:szCs w:val="20"/>
        </w:rPr>
        <w:t>We also use quantitative models in our risk measurement and may fail to accurately</w:t>
      </w:r>
      <w:r>
        <w:rPr>
          <w:rFonts w:ascii="Arial" w:eastAsia="宋体" w:hAnsi="Arial" w:cs="Arial"/>
          <w:color w:val="000000"/>
          <w:sz w:val="20"/>
          <w:szCs w:val="20"/>
        </w:rPr>
        <w:t xml:space="preserve"> quantify the magnitude of the risks we face. Our measurement methodologies rely on many assumptions and historical analyses and correlations. These assumptions may be incorrect, and the historical correlations on which we rely may not continue to be relev</w:t>
      </w:r>
      <w:r>
        <w:rPr>
          <w:rFonts w:ascii="Arial" w:eastAsia="宋体" w:hAnsi="Arial" w:cs="Arial"/>
          <w:color w:val="000000"/>
          <w:sz w:val="20"/>
          <w:szCs w:val="20"/>
        </w:rPr>
        <w:t>ant. Consequently, the measurements that we make for regulatory purposes may not adequately capture or express the true risk profiles of our businesses. Moreover, as businesses and markets evolve, our measurements may not accurately reflect this evolution.</w:t>
      </w:r>
      <w:r>
        <w:rPr>
          <w:rFonts w:ascii="Arial" w:eastAsia="宋体" w:hAnsi="Arial" w:cs="Arial"/>
          <w:color w:val="000000"/>
          <w:sz w:val="20"/>
          <w:szCs w:val="20"/>
        </w:rPr>
        <w:t xml:space="preserve"> While our risk measures may indicate sufficient capitalization, they may underestimate the level of capital necessary to conduct our businesses.</w:t>
      </w:r>
    </w:p>
    <w:p w14:paraId="5F2C9E22" w14:textId="77777777" w:rsidR="00E836FB" w:rsidRDefault="00994958">
      <w:pPr>
        <w:spacing w:before="60"/>
        <w:ind w:firstLine="450"/>
        <w:jc w:val="both"/>
        <w:textAlignment w:val="top"/>
      </w:pPr>
      <w:r>
        <w:rPr>
          <w:rFonts w:ascii="Arial" w:eastAsia="宋体" w:hAnsi="Arial" w:cs="Arial"/>
          <w:color w:val="000000"/>
          <w:sz w:val="20"/>
          <w:szCs w:val="20"/>
        </w:rPr>
        <w:t>Additionally, our disclosure controls and procedures may not be effective in every circumstance, and, similarl</w:t>
      </w:r>
      <w:r>
        <w:rPr>
          <w:rFonts w:ascii="Arial" w:eastAsia="宋体" w:hAnsi="Arial" w:cs="Arial"/>
          <w:color w:val="000000"/>
          <w:sz w:val="20"/>
          <w:szCs w:val="20"/>
        </w:rPr>
        <w:t>y, it is possible we may identify a material weakness or significant deficiency in internal control over financial reporting. Any such lapses or deficiencies may materially and adversely affect our business and consolidated results of operations or consoli</w:t>
      </w:r>
      <w:r>
        <w:rPr>
          <w:rFonts w:ascii="Arial" w:eastAsia="宋体" w:hAnsi="Arial" w:cs="Arial"/>
          <w:color w:val="000000"/>
          <w:sz w:val="20"/>
          <w:szCs w:val="20"/>
        </w:rPr>
        <w:t>dated financial condition, restrict our ability to access the capital markets, require us to expend significant resources to correct the lapses or deficiencies, expose us to regulatory or legal proceedings, subject us to fines, penalties or judgments or ha</w:t>
      </w:r>
      <w:r>
        <w:rPr>
          <w:rFonts w:ascii="Arial" w:eastAsia="宋体" w:hAnsi="Arial" w:cs="Arial"/>
          <w:color w:val="000000"/>
          <w:sz w:val="20"/>
          <w:szCs w:val="20"/>
        </w:rPr>
        <w:t>rm our reputation.</w:t>
      </w:r>
    </w:p>
    <w:p w14:paraId="5F2C9E23" w14:textId="77777777" w:rsidR="00E836FB" w:rsidRDefault="00994958">
      <w:pPr>
        <w:spacing w:before="90"/>
        <w:jc w:val="both"/>
        <w:textAlignment w:val="top"/>
      </w:pPr>
      <w:r>
        <w:rPr>
          <w:rFonts w:ascii="Arial" w:eastAsia="宋体" w:hAnsi="Arial" w:cs="Arial"/>
          <w:b/>
          <w:bCs/>
          <w:color w:val="000000"/>
          <w:sz w:val="20"/>
          <w:szCs w:val="20"/>
        </w:rPr>
        <w:t>Our reputation and business prospects may be damaged if our clients incur substantial losses in investment pools that we sponsor or manage or are restricted in redeeming their interests in these investment pools.</w:t>
      </w:r>
    </w:p>
    <w:p w14:paraId="5F2C9E24" w14:textId="77777777" w:rsidR="00E836FB" w:rsidRDefault="00994958">
      <w:pPr>
        <w:spacing w:before="60"/>
        <w:ind w:firstLine="450"/>
        <w:jc w:val="both"/>
        <w:textAlignment w:val="top"/>
      </w:pPr>
      <w:r>
        <w:rPr>
          <w:rFonts w:ascii="Arial" w:eastAsia="宋体" w:hAnsi="Arial" w:cs="Arial"/>
          <w:color w:val="000000"/>
          <w:sz w:val="20"/>
          <w:szCs w:val="20"/>
        </w:rPr>
        <w:t>We manage assets on beha</w:t>
      </w:r>
      <w:r>
        <w:rPr>
          <w:rFonts w:ascii="Arial" w:eastAsia="宋体" w:hAnsi="Arial" w:cs="Arial"/>
          <w:color w:val="000000"/>
          <w:sz w:val="20"/>
          <w:szCs w:val="20"/>
        </w:rPr>
        <w:t>lf of clients in several forms, including in collective investment pools, money market funds, securities finance collateral pools, cash collateral and other cash products and short-term investment funds. Our management of collective investment pools on beh</w:t>
      </w:r>
      <w:r>
        <w:rPr>
          <w:rFonts w:ascii="Arial" w:eastAsia="宋体" w:hAnsi="Arial" w:cs="Arial"/>
          <w:color w:val="000000"/>
          <w:sz w:val="20"/>
          <w:szCs w:val="20"/>
        </w:rPr>
        <w:t>alf of clients exposes us to reputational risk and operational losses. If our clients incur substantial investment losses in these pools, receive redemptions as in-kind distributions rather than in cash, or experience significant under-performance relative</w:t>
      </w:r>
      <w:r>
        <w:rPr>
          <w:rFonts w:ascii="Arial" w:eastAsia="宋体" w:hAnsi="Arial" w:cs="Arial"/>
          <w:color w:val="000000"/>
          <w:sz w:val="20"/>
          <w:szCs w:val="20"/>
        </w:rPr>
        <w:t xml:space="preserve"> to the market or our competitors' products, our reputation could be significantly harmed, which harm could significantly and adversely affect the prospects of our associated business units. Because we often implement investment and operational decisions a</w:t>
      </w:r>
      <w:r>
        <w:rPr>
          <w:rFonts w:ascii="Arial" w:eastAsia="宋体" w:hAnsi="Arial" w:cs="Arial"/>
          <w:color w:val="000000"/>
          <w:sz w:val="20"/>
          <w:szCs w:val="20"/>
        </w:rPr>
        <w:t>nd actions over multiple investment pools to achieve scale, we face the risk that losses, even small losses, may have a significant effect in the aggregate.</w:t>
      </w:r>
    </w:p>
    <w:p w14:paraId="5F2C9E25" w14:textId="77777777" w:rsidR="00E836FB" w:rsidRDefault="00994958">
      <w:pPr>
        <w:ind w:firstLine="450"/>
        <w:jc w:val="right"/>
      </w:pPr>
      <w:r>
        <w:rPr>
          <w:rFonts w:ascii="Arial" w:eastAsia="宋体" w:hAnsi="Arial" w:cs="Arial"/>
          <w:color w:val="000000"/>
          <w:sz w:val="18"/>
          <w:szCs w:val="18"/>
        </w:rPr>
        <w:t>State Street Corporation | 49</w:t>
      </w:r>
    </w:p>
    <w:p w14:paraId="5F2C9E26" w14:textId="77777777" w:rsidR="00E836FB" w:rsidRDefault="00E836FB">
      <w:pPr>
        <w:ind w:firstLine="450"/>
        <w:jc w:val="center"/>
      </w:pPr>
    </w:p>
    <w:p w14:paraId="5F2C9E27" w14:textId="77777777" w:rsidR="00E836FB" w:rsidRDefault="00994958">
      <w:r>
        <w:pict w14:anchorId="5F2D6DB4">
          <v:rect id="_x0000_i1073" style="width:415.3pt;height:1.5pt" o:hralign="center" o:hrstd="t" o:hr="t" fillcolor="#a0a0a0" stroked="f"/>
        </w:pict>
      </w:r>
    </w:p>
    <w:p w14:paraId="5F2C9E28" w14:textId="77777777" w:rsidR="00E836FB" w:rsidRDefault="00E836FB">
      <w:pPr>
        <w:ind w:firstLine="450"/>
      </w:pPr>
    </w:p>
    <w:p w14:paraId="5F2C9E29" w14:textId="77777777" w:rsidR="00E836FB" w:rsidRDefault="00994958">
      <w:pPr>
        <w:spacing w:before="60"/>
        <w:ind w:firstLine="450"/>
        <w:jc w:val="both"/>
        <w:textAlignment w:val="top"/>
      </w:pPr>
      <w:r>
        <w:rPr>
          <w:rFonts w:ascii="Arial" w:eastAsia="宋体" w:hAnsi="Arial" w:cs="Arial"/>
          <w:color w:val="000000"/>
          <w:sz w:val="20"/>
          <w:szCs w:val="20"/>
        </w:rPr>
        <w:t>Within our Investment Management business, we manage investment p</w:t>
      </w:r>
      <w:r>
        <w:rPr>
          <w:rFonts w:ascii="Arial" w:eastAsia="宋体" w:hAnsi="Arial" w:cs="Arial"/>
          <w:color w:val="000000"/>
          <w:sz w:val="20"/>
          <w:szCs w:val="20"/>
        </w:rPr>
        <w:t xml:space="preserve">ools, such as mutual funds and collective investment funds that generally offer our clients the ability to withdraw their investments on short notice, generally daily or monthly. This feature requires that we manage those pools in a manner that takes into </w:t>
      </w:r>
      <w:r>
        <w:rPr>
          <w:rFonts w:ascii="Arial" w:eastAsia="宋体" w:hAnsi="Arial" w:cs="Arial"/>
          <w:color w:val="000000"/>
          <w:sz w:val="20"/>
          <w:szCs w:val="20"/>
        </w:rPr>
        <w:t>account both maximizing the long-term return on the investment pool and retaining sufficient liquidity to meet reasonably anticipated liquidity requirements of our clients. The importance of maintaining liquidity varies by product type, but it is a particu</w:t>
      </w:r>
      <w:r>
        <w:rPr>
          <w:rFonts w:ascii="Arial" w:eastAsia="宋体" w:hAnsi="Arial" w:cs="Arial"/>
          <w:color w:val="000000"/>
          <w:sz w:val="20"/>
          <w:szCs w:val="20"/>
        </w:rPr>
        <w:t xml:space="preserve">larly important feature in money market funds and other products designed to maintain a constant net asset value of $1.00. In the past, we have imposed restrictions on cash redemptions from the agency lending collateral pools, as the per-unit market value </w:t>
      </w:r>
      <w:r>
        <w:rPr>
          <w:rFonts w:ascii="Arial" w:eastAsia="宋体" w:hAnsi="Arial" w:cs="Arial"/>
          <w:color w:val="000000"/>
          <w:sz w:val="20"/>
          <w:szCs w:val="20"/>
        </w:rPr>
        <w:t>of those funds' assets had declined below the constant $1.00 the funds employ to effect purchase and redemption transactions. Both the decline of the funds' net asset value below $1.00 and the imposition of restrictions on redemptions had a significant cli</w:t>
      </w:r>
      <w:r>
        <w:rPr>
          <w:rFonts w:ascii="Arial" w:eastAsia="宋体" w:hAnsi="Arial" w:cs="Arial"/>
          <w:color w:val="000000"/>
          <w:sz w:val="20"/>
          <w:szCs w:val="20"/>
        </w:rPr>
        <w:t>ent, reputational and regulatory impact on us, and the recurrence of such or similar circumstances in the future could adversely impact our consolidated results of operations and financial condition. We have also in the past continued to process purchase a</w:t>
      </w:r>
      <w:r>
        <w:rPr>
          <w:rFonts w:ascii="Arial" w:eastAsia="宋体" w:hAnsi="Arial" w:cs="Arial"/>
          <w:color w:val="000000"/>
          <w:sz w:val="20"/>
          <w:szCs w:val="20"/>
        </w:rPr>
        <w:t xml:space="preserve">nd redemption of units of investment products designed to maintain a constant net asset value at $1.00 although the fair market value of the fund’s assets were less than $1.00. If in the future we were to continue to process purchases and redemptions from </w:t>
      </w:r>
      <w:r>
        <w:rPr>
          <w:rFonts w:ascii="Arial" w:eastAsia="宋体" w:hAnsi="Arial" w:cs="Arial"/>
          <w:color w:val="000000"/>
          <w:sz w:val="20"/>
          <w:szCs w:val="20"/>
        </w:rPr>
        <w:t>such products at $1.00 when the fair market value of our collateral pools' assets is less than $1.00, we could be exposed to significant liability.</w:t>
      </w:r>
    </w:p>
    <w:p w14:paraId="5F2C9E2A" w14:textId="77777777" w:rsidR="00E836FB" w:rsidRDefault="00994958">
      <w:pPr>
        <w:spacing w:before="60"/>
        <w:ind w:firstLine="450"/>
        <w:jc w:val="both"/>
        <w:textAlignment w:val="top"/>
      </w:pPr>
      <w:r>
        <w:rPr>
          <w:rFonts w:ascii="Arial" w:eastAsia="宋体" w:hAnsi="Arial" w:cs="Arial"/>
          <w:color w:val="000000"/>
          <w:sz w:val="20"/>
          <w:szCs w:val="20"/>
        </w:rPr>
        <w:t>If higher than normal demands for liquidity from our clients were to occur, managing the liquidity requireme</w:t>
      </w:r>
      <w:r>
        <w:rPr>
          <w:rFonts w:ascii="Arial" w:eastAsia="宋体" w:hAnsi="Arial" w:cs="Arial"/>
          <w:color w:val="000000"/>
          <w:sz w:val="20"/>
          <w:szCs w:val="20"/>
        </w:rPr>
        <w:t>nts of our collective investment pools could become more difficult. If such liquidity problems were to recur, our relationships with our clients may be adversely affected, and, we could, in certain circumstances, be required to consolidate the investment p</w:t>
      </w:r>
      <w:r>
        <w:rPr>
          <w:rFonts w:ascii="Arial" w:eastAsia="宋体" w:hAnsi="Arial" w:cs="Arial"/>
          <w:color w:val="000000"/>
          <w:sz w:val="20"/>
          <w:szCs w:val="20"/>
        </w:rPr>
        <w:t xml:space="preserve">ools into our consolidated statement of condition; levels of redemption activity could increase; and our consolidated results of operations and business prospects could be adversely affected. In addition, if a money market fund that we manage were to have </w:t>
      </w:r>
      <w:r>
        <w:rPr>
          <w:rFonts w:ascii="Arial" w:eastAsia="宋体" w:hAnsi="Arial" w:cs="Arial"/>
          <w:color w:val="000000"/>
          <w:sz w:val="20"/>
          <w:szCs w:val="20"/>
        </w:rPr>
        <w:t>unexpected liquidity demands from investors in the fund that exceeded available liquidity, the fund could be required to sell assets to meet those redemption requirements, and selling the assets held by the fund at a reasonable price, if at all, may then b</w:t>
      </w:r>
      <w:r>
        <w:rPr>
          <w:rFonts w:ascii="Arial" w:eastAsia="宋体" w:hAnsi="Arial" w:cs="Arial"/>
          <w:color w:val="000000"/>
          <w:sz w:val="20"/>
          <w:szCs w:val="20"/>
        </w:rPr>
        <w:t>e difficult.</w:t>
      </w:r>
    </w:p>
    <w:p w14:paraId="5F2C9E2B" w14:textId="77777777" w:rsidR="00E836FB" w:rsidRDefault="00994958">
      <w:pPr>
        <w:spacing w:before="60"/>
        <w:ind w:firstLine="450"/>
        <w:jc w:val="both"/>
        <w:textAlignment w:val="top"/>
      </w:pPr>
      <w:r>
        <w:rPr>
          <w:rFonts w:ascii="Arial" w:eastAsia="宋体" w:hAnsi="Arial" w:cs="Arial"/>
          <w:color w:val="000000"/>
          <w:sz w:val="20"/>
          <w:szCs w:val="20"/>
        </w:rPr>
        <w:t>Because of the size of the investment pools that we manage, we may not have the financial ability or regulatory authority to support the liquidity or other demands of our clients. Any decision by us to provide financial support to an investmen</w:t>
      </w:r>
      <w:r>
        <w:rPr>
          <w:rFonts w:ascii="Arial" w:eastAsia="宋体" w:hAnsi="Arial" w:cs="Arial"/>
          <w:color w:val="000000"/>
          <w:sz w:val="20"/>
          <w:szCs w:val="20"/>
        </w:rPr>
        <w:t xml:space="preserve">t pool to support our </w:t>
      </w:r>
    </w:p>
    <w:p w14:paraId="5F2C9E2C" w14:textId="77777777" w:rsidR="00E836FB" w:rsidRDefault="00994958">
      <w:pPr>
        <w:spacing w:before="60"/>
        <w:jc w:val="both"/>
        <w:textAlignment w:val="top"/>
      </w:pPr>
      <w:r>
        <w:rPr>
          <w:rFonts w:ascii="Arial" w:eastAsia="宋体" w:hAnsi="Arial" w:cs="Arial"/>
          <w:color w:val="000000"/>
          <w:sz w:val="20"/>
          <w:szCs w:val="20"/>
        </w:rPr>
        <w:t xml:space="preserve">reputation in circumstances where we are not statutorily or contractually obligated to do so could result in the recognition of significant losses, could adversely affect the regulatory view of our capital levels or plans and could, </w:t>
      </w:r>
      <w:r>
        <w:rPr>
          <w:rFonts w:ascii="Arial" w:eastAsia="宋体" w:hAnsi="Arial" w:cs="Arial"/>
          <w:color w:val="000000"/>
          <w:sz w:val="20"/>
          <w:szCs w:val="20"/>
        </w:rPr>
        <w:t>in some cases, require us to consolidate the investment pools into our consolidated statement of condition. Any failure of the pools to meet redemption requests, or under- performance of our pools relative to similar products offered by our competitors, co</w:t>
      </w:r>
      <w:r>
        <w:rPr>
          <w:rFonts w:ascii="Arial" w:eastAsia="宋体" w:hAnsi="Arial" w:cs="Arial"/>
          <w:color w:val="000000"/>
          <w:sz w:val="20"/>
          <w:szCs w:val="20"/>
        </w:rPr>
        <w:t>uld harm our business and our reputation.</w:t>
      </w:r>
    </w:p>
    <w:p w14:paraId="5F2C9E2D" w14:textId="77777777" w:rsidR="00E836FB" w:rsidRDefault="00994958">
      <w:pPr>
        <w:spacing w:before="90"/>
        <w:jc w:val="both"/>
        <w:textAlignment w:val="top"/>
      </w:pPr>
      <w:r>
        <w:rPr>
          <w:rFonts w:ascii="Arial" w:eastAsia="宋体" w:hAnsi="Arial" w:cs="Arial"/>
          <w:b/>
          <w:bCs/>
          <w:color w:val="000000"/>
          <w:sz w:val="20"/>
          <w:szCs w:val="20"/>
        </w:rPr>
        <w:t>We may incur losses arising from our investments in sponsored investment funds, which could be material to our consolidated results of operations in the periods incurred.</w:t>
      </w:r>
    </w:p>
    <w:p w14:paraId="5F2C9E2E" w14:textId="77777777" w:rsidR="00E836FB" w:rsidRDefault="00994958">
      <w:pPr>
        <w:spacing w:before="60"/>
        <w:ind w:firstLine="450"/>
        <w:jc w:val="both"/>
        <w:textAlignment w:val="top"/>
      </w:pPr>
      <w:r>
        <w:rPr>
          <w:rFonts w:ascii="Arial" w:eastAsia="宋体" w:hAnsi="Arial" w:cs="Arial"/>
          <w:color w:val="000000"/>
          <w:sz w:val="20"/>
          <w:szCs w:val="20"/>
        </w:rPr>
        <w:t xml:space="preserve">In the normal course of business, we </w:t>
      </w:r>
      <w:r>
        <w:rPr>
          <w:rFonts w:ascii="Arial" w:eastAsia="宋体" w:hAnsi="Arial" w:cs="Arial"/>
          <w:color w:val="000000"/>
          <w:sz w:val="20"/>
          <w:szCs w:val="20"/>
        </w:rPr>
        <w:t>manage various types of sponsored investment funds through State Street Global Advisors. The services we provide to these sponsored investment funds generate management fee revenue, as well as servicing fees from our other businesses. From time to time, we</w:t>
      </w:r>
      <w:r>
        <w:rPr>
          <w:rFonts w:ascii="Arial" w:eastAsia="宋体" w:hAnsi="Arial" w:cs="Arial"/>
          <w:color w:val="000000"/>
          <w:sz w:val="20"/>
          <w:szCs w:val="20"/>
        </w:rPr>
        <w:t xml:space="preserve"> may invest in the funds, which we refer to as seed capital, in order for the funds to establish a performance history for newly launched strategies. These funds may meet the definition of variable interest entities, as defined by U.S. GAAP, and if we are </w:t>
      </w:r>
      <w:r>
        <w:rPr>
          <w:rFonts w:ascii="Arial" w:eastAsia="宋体" w:hAnsi="Arial" w:cs="Arial"/>
          <w:color w:val="000000"/>
          <w:sz w:val="20"/>
          <w:szCs w:val="20"/>
        </w:rPr>
        <w:t>deemed to be the primary beneficiary of these funds, we may be required to consolidate these funds in our consolidated financial statements under U.S. GAAP. The funds follow specialized investment company accounting rules which prescribe fair value for the</w:t>
      </w:r>
      <w:r>
        <w:rPr>
          <w:rFonts w:ascii="Arial" w:eastAsia="宋体" w:hAnsi="Arial" w:cs="Arial"/>
          <w:color w:val="000000"/>
          <w:sz w:val="20"/>
          <w:szCs w:val="20"/>
        </w:rPr>
        <w:t xml:space="preserve"> underlying investment securities held by the funds.</w:t>
      </w:r>
    </w:p>
    <w:p w14:paraId="5F2C9E2F" w14:textId="77777777" w:rsidR="00E836FB" w:rsidRDefault="00994958">
      <w:pPr>
        <w:spacing w:before="60"/>
        <w:ind w:firstLine="450"/>
        <w:jc w:val="both"/>
        <w:textAlignment w:val="top"/>
      </w:pPr>
      <w:r>
        <w:rPr>
          <w:rFonts w:ascii="Arial" w:eastAsia="宋体" w:hAnsi="Arial" w:cs="Arial"/>
          <w:color w:val="000000"/>
          <w:sz w:val="20"/>
          <w:szCs w:val="20"/>
        </w:rPr>
        <w:t>In the aggregate, we expect any financial losses that we realize over time from these seed investments to be limited to the actual amount invested in the consolidated fund. However, in the event of a fun</w:t>
      </w:r>
      <w:r>
        <w:rPr>
          <w:rFonts w:ascii="Arial" w:eastAsia="宋体" w:hAnsi="Arial" w:cs="Arial"/>
          <w:color w:val="000000"/>
          <w:sz w:val="20"/>
          <w:szCs w:val="20"/>
        </w:rPr>
        <w:t xml:space="preserve">d wind-down, gross gains and losses of the fund may be recognized for financial accounting purposes in different periods during the time the fund is consolidated but not wholly owned. Although we expect the actual economic loss to be limited to the amount </w:t>
      </w:r>
      <w:r>
        <w:rPr>
          <w:rFonts w:ascii="Arial" w:eastAsia="宋体" w:hAnsi="Arial" w:cs="Arial"/>
          <w:color w:val="000000"/>
          <w:sz w:val="20"/>
          <w:szCs w:val="20"/>
        </w:rPr>
        <w:t>invested, our losses in any period for financial accounting purposes could exceed the value of our economic interests in the fund and could exceed the value of our initial seed capital investment.</w:t>
      </w:r>
    </w:p>
    <w:p w14:paraId="5F2C9E30" w14:textId="77777777" w:rsidR="00E836FB" w:rsidRDefault="00994958">
      <w:pPr>
        <w:spacing w:before="60"/>
        <w:ind w:firstLine="450"/>
        <w:jc w:val="both"/>
        <w:textAlignment w:val="top"/>
      </w:pPr>
      <w:r>
        <w:rPr>
          <w:rFonts w:ascii="Arial" w:eastAsia="宋体" w:hAnsi="Arial" w:cs="Arial"/>
          <w:color w:val="000000"/>
          <w:sz w:val="20"/>
          <w:szCs w:val="20"/>
        </w:rPr>
        <w:t>In instances where we are not deemed to be the primary bene</w:t>
      </w:r>
      <w:r>
        <w:rPr>
          <w:rFonts w:ascii="Arial" w:eastAsia="宋体" w:hAnsi="Arial" w:cs="Arial"/>
          <w:color w:val="000000"/>
          <w:sz w:val="20"/>
          <w:szCs w:val="20"/>
        </w:rPr>
        <w:t>ficiary of the sponsored investment fund, we do not include the funds in our consolidated financial statements. Our risk of loss associated with investment in these unconsolidated funds primarily represents our seed capital investment, which could become r</w:t>
      </w:r>
      <w:r>
        <w:rPr>
          <w:rFonts w:ascii="Arial" w:eastAsia="宋体" w:hAnsi="Arial" w:cs="Arial"/>
          <w:color w:val="000000"/>
          <w:sz w:val="20"/>
          <w:szCs w:val="20"/>
        </w:rPr>
        <w:t>ealized as a result of poor investment performance. However, the amount of loss we may recognize during any period would be limited to the carrying amount of our investment.</w:t>
      </w:r>
    </w:p>
    <w:p w14:paraId="5F2C9E31" w14:textId="77777777" w:rsidR="00E836FB" w:rsidRDefault="00994958">
      <w:pPr>
        <w:ind w:firstLine="450"/>
        <w:jc w:val="right"/>
      </w:pPr>
      <w:r>
        <w:rPr>
          <w:rFonts w:ascii="Arial" w:eastAsia="宋体" w:hAnsi="Arial" w:cs="Arial"/>
          <w:color w:val="000000"/>
          <w:sz w:val="18"/>
          <w:szCs w:val="18"/>
        </w:rPr>
        <w:t>State Street Corporation | 50</w:t>
      </w:r>
    </w:p>
    <w:p w14:paraId="5F2C9E32" w14:textId="77777777" w:rsidR="00E836FB" w:rsidRDefault="00E836FB">
      <w:pPr>
        <w:ind w:firstLine="450"/>
        <w:jc w:val="center"/>
      </w:pPr>
    </w:p>
    <w:p w14:paraId="5F2C9E33" w14:textId="77777777" w:rsidR="00E836FB" w:rsidRDefault="00994958">
      <w:r>
        <w:pict w14:anchorId="5F2D6DB5">
          <v:rect id="_x0000_i1074" style="width:415.3pt;height:1.5pt" o:hralign="center" o:hrstd="t" o:hr="t" fillcolor="#a0a0a0" stroked="f"/>
        </w:pict>
      </w:r>
    </w:p>
    <w:p w14:paraId="5F2C9E34" w14:textId="77777777" w:rsidR="00E836FB" w:rsidRDefault="00E836FB">
      <w:pPr>
        <w:ind w:firstLine="450"/>
      </w:pPr>
    </w:p>
    <w:p w14:paraId="5F2C9E35" w14:textId="77777777" w:rsidR="00E836FB" w:rsidRDefault="00994958">
      <w:pPr>
        <w:spacing w:before="90"/>
        <w:jc w:val="both"/>
        <w:textAlignment w:val="top"/>
      </w:pPr>
      <w:r>
        <w:rPr>
          <w:rFonts w:ascii="Arial" w:eastAsia="宋体" w:hAnsi="Arial" w:cs="Arial"/>
          <w:b/>
          <w:bCs/>
          <w:color w:val="000000"/>
          <w:sz w:val="20"/>
          <w:szCs w:val="20"/>
        </w:rPr>
        <w:t>Climate change may increase the frequency and se</w:t>
      </w:r>
      <w:r>
        <w:rPr>
          <w:rFonts w:ascii="Arial" w:eastAsia="宋体" w:hAnsi="Arial" w:cs="Arial"/>
          <w:b/>
          <w:bCs/>
          <w:color w:val="000000"/>
          <w:sz w:val="20"/>
          <w:szCs w:val="20"/>
        </w:rPr>
        <w:t>verity of major weather events and could adversely affect our business operations and resiliency, and related impacts to us, our clients, our counterparties and financial market participants could adversely affect our consolidated results of operations and</w:t>
      </w:r>
      <w:r>
        <w:rPr>
          <w:rFonts w:ascii="Arial" w:eastAsia="宋体" w:hAnsi="Arial" w:cs="Arial"/>
          <w:b/>
          <w:bCs/>
          <w:color w:val="000000"/>
          <w:sz w:val="20"/>
          <w:szCs w:val="20"/>
        </w:rPr>
        <w:t xml:space="preserve"> financial condition.</w:t>
      </w:r>
    </w:p>
    <w:p w14:paraId="5F2C9E36" w14:textId="77777777" w:rsidR="00E836FB" w:rsidRDefault="00994958">
      <w:pPr>
        <w:spacing w:before="60"/>
        <w:ind w:firstLine="450"/>
        <w:jc w:val="both"/>
        <w:textAlignment w:val="top"/>
      </w:pPr>
      <w:r>
        <w:rPr>
          <w:rFonts w:ascii="Arial" w:eastAsia="宋体" w:hAnsi="Arial" w:cs="Arial"/>
          <w:color w:val="000000"/>
          <w:sz w:val="20"/>
          <w:szCs w:val="20"/>
        </w:rPr>
        <w:t>Our businesses and the activities of our clients, our counterparties and financial market participants on which we and they rely could be adversely affected by major weather events, changing climate patterns or other disruptions cause</w:t>
      </w:r>
      <w:r>
        <w:rPr>
          <w:rFonts w:ascii="Arial" w:eastAsia="宋体" w:hAnsi="Arial" w:cs="Arial"/>
          <w:color w:val="000000"/>
          <w:sz w:val="20"/>
          <w:szCs w:val="20"/>
        </w:rPr>
        <w:t>d by climate change affecting the regions, countries and locations in which we or they have operations or other interests. Potential events or disruptions of this nature include significant rainfall, flooding, increased frequency or intensity of wildfires,</w:t>
      </w:r>
      <w:r>
        <w:rPr>
          <w:rFonts w:ascii="Arial" w:eastAsia="宋体" w:hAnsi="Arial" w:cs="Arial"/>
          <w:color w:val="000000"/>
          <w:sz w:val="20"/>
          <w:szCs w:val="20"/>
        </w:rPr>
        <w:t xml:space="preserve"> prolonged drought, rising sea levels and rising heat index. These events or disruptions, alone or in combination, also have the potential to strain or deplete infrastructure and response capabilities with respect to other weather events, such as hurricane</w:t>
      </w:r>
      <w:r>
        <w:rPr>
          <w:rFonts w:ascii="Arial" w:eastAsia="宋体" w:hAnsi="Arial" w:cs="Arial"/>
          <w:color w:val="000000"/>
          <w:sz w:val="20"/>
          <w:szCs w:val="20"/>
        </w:rPr>
        <w:t>s and other storms. The occurrence of any one or more of these events may negatively affect our or our clients’, our counterparties’ or financial markets participants’ (including providers of financial market infrastructure’s) facilities, operations or per</w:t>
      </w:r>
      <w:r>
        <w:rPr>
          <w:rFonts w:ascii="Arial" w:eastAsia="宋体" w:hAnsi="Arial" w:cs="Arial"/>
          <w:color w:val="000000"/>
          <w:sz w:val="20"/>
          <w:szCs w:val="20"/>
        </w:rPr>
        <w:t xml:space="preserve">sonnel or may otherwise disrupt our or their business activities and resiliency capabilities, including our or their provision of products and services or the value of our or their portfolio investments, perhaps materially. These consequences, including a </w:t>
      </w:r>
      <w:r>
        <w:rPr>
          <w:rFonts w:ascii="Arial" w:eastAsia="宋体" w:hAnsi="Arial" w:cs="Arial"/>
          <w:color w:val="000000"/>
          <w:sz w:val="20"/>
          <w:szCs w:val="20"/>
        </w:rPr>
        <w:t xml:space="preserve">reduction in asset values affecting the levels of our AUC/A or AUM and repricing of credit risk of our counterparties or reflected in our portfolio assets, could materially adversely affect our results of operations or financial condition. </w:t>
      </w:r>
    </w:p>
    <w:p w14:paraId="5F2C9E37" w14:textId="77777777" w:rsidR="00E836FB" w:rsidRDefault="00994958">
      <w:pPr>
        <w:spacing w:before="60"/>
        <w:ind w:firstLine="450"/>
        <w:jc w:val="both"/>
        <w:textAlignment w:val="top"/>
      </w:pPr>
      <w:r>
        <w:rPr>
          <w:rFonts w:ascii="Arial" w:eastAsia="宋体" w:hAnsi="Arial" w:cs="Arial"/>
          <w:color w:val="000000"/>
          <w:sz w:val="20"/>
          <w:szCs w:val="20"/>
        </w:rPr>
        <w:t>In addition, im</w:t>
      </w:r>
      <w:r>
        <w:rPr>
          <w:rFonts w:ascii="Arial" w:eastAsia="宋体" w:hAnsi="Arial" w:cs="Arial"/>
          <w:color w:val="000000"/>
          <w:sz w:val="20"/>
          <w:szCs w:val="20"/>
        </w:rPr>
        <w:t>pacts associated with climate change-related legislative and regulatory initiatives and the transition to a low carbon economy, including meeting new regulatory expectations, retrofitting of assets, purchasing carbon credits or paying carbon taxes, may res</w:t>
      </w:r>
      <w:r>
        <w:rPr>
          <w:rFonts w:ascii="Arial" w:eastAsia="宋体" w:hAnsi="Arial" w:cs="Arial"/>
          <w:color w:val="000000"/>
          <w:sz w:val="20"/>
          <w:szCs w:val="20"/>
        </w:rPr>
        <w:t>ult in operational changes and additional expenditures that could adversely affect us. Our reputation and business prospects may also be damaged if we do not, or are perceived not to, effectively prepare for the potential business and operational opportuni</w:t>
      </w:r>
      <w:r>
        <w:rPr>
          <w:rFonts w:ascii="Arial" w:eastAsia="宋体" w:hAnsi="Arial" w:cs="Arial"/>
          <w:color w:val="000000"/>
          <w:sz w:val="20"/>
          <w:szCs w:val="20"/>
        </w:rPr>
        <w:t>ties and risks associated with climate change, including through the development and marketing of effective and competitive new products and services designed to address our clients’ climate risk-related needs. These risks include negative market perceptio</w:t>
      </w:r>
      <w:r>
        <w:rPr>
          <w:rFonts w:ascii="Arial" w:eastAsia="宋体" w:hAnsi="Arial" w:cs="Arial"/>
          <w:color w:val="000000"/>
          <w:sz w:val="20"/>
          <w:szCs w:val="20"/>
        </w:rPr>
        <w:t xml:space="preserve">n, diminished sales effectiveness and regulatory and litigation consequences associated with greenwashing claims or driven by association with clients, industries or </w:t>
      </w:r>
    </w:p>
    <w:p w14:paraId="5F2C9E38" w14:textId="77777777" w:rsidR="00E836FB" w:rsidRDefault="00994958">
      <w:pPr>
        <w:spacing w:before="60"/>
        <w:jc w:val="both"/>
        <w:textAlignment w:val="top"/>
      </w:pPr>
      <w:r>
        <w:rPr>
          <w:rFonts w:ascii="Arial" w:eastAsia="宋体" w:hAnsi="Arial" w:cs="Arial"/>
          <w:color w:val="000000"/>
          <w:sz w:val="20"/>
          <w:szCs w:val="20"/>
        </w:rPr>
        <w:t>products that may be inconsistent with our stated positions on climate change issues.</w:t>
      </w:r>
    </w:p>
    <w:p w14:paraId="5F2C9E39" w14:textId="77777777" w:rsidR="00E836FB" w:rsidRDefault="00994958">
      <w:pPr>
        <w:spacing w:before="90"/>
        <w:jc w:val="both"/>
        <w:textAlignment w:val="top"/>
      </w:pPr>
      <w:r>
        <w:rPr>
          <w:rFonts w:ascii="Arial" w:eastAsia="宋体" w:hAnsi="Arial" w:cs="Arial"/>
          <w:b/>
          <w:bCs/>
          <w:color w:val="000000"/>
          <w:sz w:val="20"/>
          <w:szCs w:val="20"/>
        </w:rPr>
        <w:t xml:space="preserve">We </w:t>
      </w:r>
      <w:r>
        <w:rPr>
          <w:rFonts w:ascii="Arial" w:eastAsia="宋体" w:hAnsi="Arial" w:cs="Arial"/>
          <w:b/>
          <w:bCs/>
          <w:color w:val="000000"/>
          <w:sz w:val="20"/>
          <w:szCs w:val="20"/>
        </w:rPr>
        <w:t>may incur losses as a result of unforeseen events including terrorist attacks, natural disasters, the emergence of a new pandemic or acts of embezzlement.</w:t>
      </w:r>
    </w:p>
    <w:p w14:paraId="5F2C9E3A" w14:textId="77777777" w:rsidR="00E836FB" w:rsidRDefault="00994958">
      <w:pPr>
        <w:spacing w:before="60"/>
        <w:ind w:firstLine="450"/>
        <w:jc w:val="both"/>
        <w:textAlignment w:val="top"/>
      </w:pPr>
      <w:r>
        <w:rPr>
          <w:rFonts w:ascii="Arial" w:eastAsia="宋体" w:hAnsi="Arial" w:cs="Arial"/>
          <w:color w:val="000000"/>
          <w:sz w:val="20"/>
          <w:szCs w:val="20"/>
        </w:rPr>
        <w:t>Acts of terrorism, natural disasters or the emergence of a new pandemic could significantly affect ou</w:t>
      </w:r>
      <w:r>
        <w:rPr>
          <w:rFonts w:ascii="Arial" w:eastAsia="宋体" w:hAnsi="Arial" w:cs="Arial"/>
          <w:color w:val="000000"/>
          <w:sz w:val="20"/>
          <w:szCs w:val="20"/>
        </w:rPr>
        <w:t>r business. We have instituted disaster recovery and continuity plans to address risks from terrorism, natural disasters and pandemic; however, anticipating or addressing all potential contingencies is not possible for events of this nature. Acts of terror</w:t>
      </w:r>
      <w:r>
        <w:rPr>
          <w:rFonts w:ascii="Arial" w:eastAsia="宋体" w:hAnsi="Arial" w:cs="Arial"/>
          <w:color w:val="000000"/>
          <w:sz w:val="20"/>
          <w:szCs w:val="20"/>
        </w:rPr>
        <w:t>ism, either targeted or broad in scope, or natural disasters could damage our physical facilities, harm our employees and disrupt our operations. A pandemic, or concern about a possible pandemic, could lead to operational difficulties and impair our abilit</w:t>
      </w:r>
      <w:r>
        <w:rPr>
          <w:rFonts w:ascii="Arial" w:eastAsia="宋体" w:hAnsi="Arial" w:cs="Arial"/>
          <w:color w:val="000000"/>
          <w:sz w:val="20"/>
          <w:szCs w:val="20"/>
        </w:rPr>
        <w:t>y to manage our business. Acts of terrorism, natural disasters and pandemics could also negatively affect our clients, counterparties and service providers, as well as result in disruptions in general economic activity and the financial markets.</w:t>
      </w:r>
    </w:p>
    <w:p w14:paraId="5F2C9E3B" w14:textId="77777777" w:rsidR="00E836FB" w:rsidRDefault="00994958">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51</w:t>
      </w:r>
    </w:p>
    <w:p w14:paraId="5F2C9E3C" w14:textId="77777777" w:rsidR="00E836FB" w:rsidRDefault="00E836FB">
      <w:pPr>
        <w:ind w:firstLine="450"/>
        <w:jc w:val="center"/>
      </w:pPr>
    </w:p>
    <w:p w14:paraId="5F2C9E3D" w14:textId="77777777" w:rsidR="00E836FB" w:rsidRDefault="00994958">
      <w:r>
        <w:pict w14:anchorId="5F2D6DB6">
          <v:rect id="_x0000_i1075" style="width:415.3pt;height:1.5pt" o:hralign="center" o:hrstd="t" o:hr="t" fillcolor="#a0a0a0" stroked="f"/>
        </w:pict>
      </w:r>
    </w:p>
    <w:p w14:paraId="5F2C9E3E" w14:textId="77777777" w:rsidR="00E836FB" w:rsidRDefault="00E836FB">
      <w:pPr>
        <w:ind w:firstLine="450"/>
      </w:pPr>
    </w:p>
    <w:p w14:paraId="5F2C9E3F" w14:textId="77777777" w:rsidR="00E836FB" w:rsidRDefault="00994958">
      <w:pPr>
        <w:spacing w:before="90"/>
      </w:pPr>
      <w:r>
        <w:rPr>
          <w:rFonts w:ascii="Arial" w:eastAsia="宋体" w:hAnsi="Arial" w:cs="Arial"/>
          <w:b/>
          <w:bCs/>
          <w:color w:val="000000"/>
          <w:sz w:val="20"/>
          <w:szCs w:val="20"/>
        </w:rPr>
        <w:t>ITEM 1B. UNRESOLVED STAFF COMMENTS</w:t>
      </w:r>
    </w:p>
    <w:p w14:paraId="5F2C9E40" w14:textId="77777777" w:rsidR="00E836FB" w:rsidRDefault="00994958">
      <w:pPr>
        <w:spacing w:before="60"/>
        <w:ind w:firstLine="450"/>
      </w:pPr>
      <w:r>
        <w:rPr>
          <w:rFonts w:ascii="Arial" w:eastAsia="宋体" w:hAnsi="Arial" w:cs="Arial"/>
          <w:color w:val="000000"/>
          <w:sz w:val="20"/>
          <w:szCs w:val="20"/>
        </w:rPr>
        <w:t>None.</w:t>
      </w:r>
    </w:p>
    <w:p w14:paraId="5F2C9E41" w14:textId="77777777" w:rsidR="00E836FB" w:rsidRDefault="00994958">
      <w:pPr>
        <w:spacing w:before="90"/>
      </w:pPr>
      <w:r>
        <w:rPr>
          <w:rFonts w:ascii="Arial" w:eastAsia="宋体" w:hAnsi="Arial" w:cs="Arial"/>
          <w:b/>
          <w:bCs/>
          <w:color w:val="000000"/>
          <w:sz w:val="20"/>
          <w:szCs w:val="20"/>
        </w:rPr>
        <w:t>ITEM 2. PROPERTIES</w:t>
      </w:r>
    </w:p>
    <w:p w14:paraId="5F2C9E42" w14:textId="77777777" w:rsidR="00E836FB" w:rsidRDefault="00994958">
      <w:pPr>
        <w:spacing w:before="60"/>
        <w:ind w:firstLine="450"/>
        <w:jc w:val="both"/>
      </w:pPr>
      <w:r>
        <w:rPr>
          <w:rFonts w:ascii="Arial" w:eastAsia="宋体" w:hAnsi="Arial" w:cs="Arial"/>
          <w:color w:val="000000"/>
          <w:sz w:val="20"/>
          <w:szCs w:val="20"/>
        </w:rPr>
        <w:t xml:space="preserve">Our headquarters is located at State Street Financial Center, One Lincoln Street, Boston, Massachusetts, a 36-story leased office building. Various divisions of our </w:t>
      </w:r>
      <w:r>
        <w:rPr>
          <w:rFonts w:ascii="Arial" w:eastAsia="宋体" w:hAnsi="Arial" w:cs="Arial"/>
          <w:color w:val="000000"/>
          <w:sz w:val="20"/>
          <w:szCs w:val="20"/>
        </w:rPr>
        <w:t>two lines of business, as well as support functions, occupy space in this building. We occupy two buildings located in Quincy, Massachusetts, one of which we own and one of which we lease, along with the Channel Center, another leased office building locat</w:t>
      </w:r>
      <w:r>
        <w:rPr>
          <w:rFonts w:ascii="Arial" w:eastAsia="宋体" w:hAnsi="Arial" w:cs="Arial"/>
          <w:color w:val="000000"/>
          <w:sz w:val="20"/>
          <w:szCs w:val="20"/>
        </w:rPr>
        <w:t>ed in Boston, all of which function as our principal facilities.</w:t>
      </w:r>
    </w:p>
    <w:p w14:paraId="5F2C9E43" w14:textId="77777777" w:rsidR="00E836FB" w:rsidRDefault="00994958">
      <w:pPr>
        <w:ind w:firstLine="450"/>
        <w:jc w:val="both"/>
      </w:pPr>
      <w:r>
        <w:rPr>
          <w:rFonts w:ascii="Arial" w:eastAsia="宋体" w:hAnsi="Arial" w:cs="Arial"/>
          <w:color w:val="000000"/>
          <w:sz w:val="20"/>
          <w:szCs w:val="20"/>
        </w:rPr>
        <w:t>As of December 31, 2021 and 2020, we occupied a total of approximately 6.2 million and 6.5 million square feet of office space and related facilities worldwide, respectively, of which approxi</w:t>
      </w:r>
      <w:r>
        <w:rPr>
          <w:rFonts w:ascii="Arial" w:eastAsia="宋体" w:hAnsi="Arial" w:cs="Arial"/>
          <w:color w:val="000000"/>
          <w:sz w:val="20"/>
          <w:szCs w:val="20"/>
        </w:rPr>
        <w:t>mately 5.2 million and 5.5 million square feet were leased, respectively. The following table provides information regarding our principal office space and related facilities:</w:t>
      </w:r>
    </w:p>
    <w:tbl>
      <w:tblPr>
        <w:tblW w:w="5000" w:type="pct"/>
        <w:tblCellMar>
          <w:top w:w="15" w:type="dxa"/>
          <w:left w:w="15" w:type="dxa"/>
          <w:bottom w:w="15" w:type="dxa"/>
          <w:right w:w="15" w:type="dxa"/>
        </w:tblCellMar>
        <w:tblLook w:val="04A0" w:firstRow="1" w:lastRow="0" w:firstColumn="1" w:lastColumn="0" w:noHBand="0" w:noVBand="1"/>
      </w:tblPr>
      <w:tblGrid>
        <w:gridCol w:w="58"/>
        <w:gridCol w:w="1932"/>
        <w:gridCol w:w="37"/>
        <w:gridCol w:w="36"/>
        <w:gridCol w:w="36"/>
        <w:gridCol w:w="36"/>
        <w:gridCol w:w="41"/>
        <w:gridCol w:w="1918"/>
        <w:gridCol w:w="36"/>
        <w:gridCol w:w="36"/>
        <w:gridCol w:w="36"/>
        <w:gridCol w:w="36"/>
        <w:gridCol w:w="40"/>
        <w:gridCol w:w="1919"/>
        <w:gridCol w:w="36"/>
        <w:gridCol w:w="36"/>
        <w:gridCol w:w="36"/>
        <w:gridCol w:w="36"/>
        <w:gridCol w:w="40"/>
        <w:gridCol w:w="1919"/>
        <w:gridCol w:w="36"/>
      </w:tblGrid>
      <w:tr w:rsidR="00E836FB" w14:paraId="5F2C9E59" w14:textId="77777777">
        <w:tc>
          <w:tcPr>
            <w:tcW w:w="50" w:type="pct"/>
            <w:shd w:val="clear" w:color="auto" w:fill="auto"/>
            <w:vAlign w:val="bottom"/>
          </w:tcPr>
          <w:p w14:paraId="5F2C9E44" w14:textId="77777777" w:rsidR="00E836FB" w:rsidRDefault="00E836FB">
            <w:pPr>
              <w:rPr>
                <w:rFonts w:ascii="宋体"/>
              </w:rPr>
            </w:pPr>
          </w:p>
        </w:tc>
        <w:tc>
          <w:tcPr>
            <w:tcW w:w="1173" w:type="pct"/>
            <w:shd w:val="clear" w:color="auto" w:fill="auto"/>
            <w:vAlign w:val="bottom"/>
          </w:tcPr>
          <w:p w14:paraId="5F2C9E45" w14:textId="77777777" w:rsidR="00E836FB" w:rsidRDefault="00E836FB">
            <w:pPr>
              <w:rPr>
                <w:rFonts w:ascii="宋体"/>
              </w:rPr>
            </w:pPr>
          </w:p>
        </w:tc>
        <w:tc>
          <w:tcPr>
            <w:tcW w:w="5" w:type="pct"/>
            <w:shd w:val="clear" w:color="auto" w:fill="auto"/>
            <w:vAlign w:val="bottom"/>
          </w:tcPr>
          <w:p w14:paraId="5F2C9E46" w14:textId="77777777" w:rsidR="00E836FB" w:rsidRDefault="00E836FB">
            <w:pPr>
              <w:rPr>
                <w:rFonts w:ascii="宋体"/>
              </w:rPr>
            </w:pPr>
          </w:p>
        </w:tc>
        <w:tc>
          <w:tcPr>
            <w:tcW w:w="5" w:type="pct"/>
            <w:shd w:val="clear" w:color="auto" w:fill="auto"/>
            <w:vAlign w:val="bottom"/>
          </w:tcPr>
          <w:p w14:paraId="5F2C9E47" w14:textId="77777777" w:rsidR="00E836FB" w:rsidRDefault="00E836FB">
            <w:pPr>
              <w:rPr>
                <w:rFonts w:ascii="宋体"/>
              </w:rPr>
            </w:pPr>
          </w:p>
        </w:tc>
        <w:tc>
          <w:tcPr>
            <w:tcW w:w="26" w:type="pct"/>
            <w:shd w:val="clear" w:color="auto" w:fill="auto"/>
            <w:vAlign w:val="bottom"/>
          </w:tcPr>
          <w:p w14:paraId="5F2C9E48" w14:textId="77777777" w:rsidR="00E836FB" w:rsidRDefault="00E836FB">
            <w:pPr>
              <w:rPr>
                <w:rFonts w:ascii="宋体"/>
              </w:rPr>
            </w:pPr>
          </w:p>
        </w:tc>
        <w:tc>
          <w:tcPr>
            <w:tcW w:w="5" w:type="pct"/>
            <w:shd w:val="clear" w:color="auto" w:fill="auto"/>
            <w:vAlign w:val="bottom"/>
          </w:tcPr>
          <w:p w14:paraId="5F2C9E49" w14:textId="77777777" w:rsidR="00E836FB" w:rsidRDefault="00E836FB">
            <w:pPr>
              <w:rPr>
                <w:rFonts w:ascii="宋体"/>
              </w:rPr>
            </w:pPr>
          </w:p>
        </w:tc>
        <w:tc>
          <w:tcPr>
            <w:tcW w:w="50" w:type="pct"/>
            <w:shd w:val="clear" w:color="auto" w:fill="auto"/>
            <w:vAlign w:val="bottom"/>
          </w:tcPr>
          <w:p w14:paraId="5F2C9E4A" w14:textId="77777777" w:rsidR="00E836FB" w:rsidRDefault="00E836FB">
            <w:pPr>
              <w:rPr>
                <w:rFonts w:ascii="宋体"/>
              </w:rPr>
            </w:pPr>
          </w:p>
        </w:tc>
        <w:tc>
          <w:tcPr>
            <w:tcW w:w="1165" w:type="pct"/>
            <w:shd w:val="clear" w:color="auto" w:fill="auto"/>
            <w:vAlign w:val="bottom"/>
          </w:tcPr>
          <w:p w14:paraId="5F2C9E4B" w14:textId="77777777" w:rsidR="00E836FB" w:rsidRDefault="00E836FB">
            <w:pPr>
              <w:rPr>
                <w:rFonts w:ascii="宋体"/>
              </w:rPr>
            </w:pPr>
          </w:p>
        </w:tc>
        <w:tc>
          <w:tcPr>
            <w:tcW w:w="5" w:type="pct"/>
            <w:shd w:val="clear" w:color="auto" w:fill="auto"/>
            <w:vAlign w:val="bottom"/>
          </w:tcPr>
          <w:p w14:paraId="5F2C9E4C" w14:textId="77777777" w:rsidR="00E836FB" w:rsidRDefault="00E836FB">
            <w:pPr>
              <w:rPr>
                <w:rFonts w:ascii="宋体"/>
              </w:rPr>
            </w:pPr>
          </w:p>
        </w:tc>
        <w:tc>
          <w:tcPr>
            <w:tcW w:w="5" w:type="pct"/>
            <w:shd w:val="clear" w:color="auto" w:fill="auto"/>
            <w:vAlign w:val="bottom"/>
          </w:tcPr>
          <w:p w14:paraId="5F2C9E4D" w14:textId="77777777" w:rsidR="00E836FB" w:rsidRDefault="00E836FB">
            <w:pPr>
              <w:rPr>
                <w:rFonts w:ascii="宋体"/>
              </w:rPr>
            </w:pPr>
          </w:p>
        </w:tc>
        <w:tc>
          <w:tcPr>
            <w:tcW w:w="26" w:type="pct"/>
            <w:shd w:val="clear" w:color="auto" w:fill="auto"/>
            <w:vAlign w:val="bottom"/>
          </w:tcPr>
          <w:p w14:paraId="5F2C9E4E" w14:textId="77777777" w:rsidR="00E836FB" w:rsidRDefault="00E836FB">
            <w:pPr>
              <w:rPr>
                <w:rFonts w:ascii="宋体"/>
              </w:rPr>
            </w:pPr>
          </w:p>
        </w:tc>
        <w:tc>
          <w:tcPr>
            <w:tcW w:w="5" w:type="pct"/>
            <w:shd w:val="clear" w:color="auto" w:fill="auto"/>
            <w:vAlign w:val="bottom"/>
          </w:tcPr>
          <w:p w14:paraId="5F2C9E4F" w14:textId="77777777" w:rsidR="00E836FB" w:rsidRDefault="00E836FB">
            <w:pPr>
              <w:rPr>
                <w:rFonts w:ascii="宋体"/>
              </w:rPr>
            </w:pPr>
          </w:p>
        </w:tc>
        <w:tc>
          <w:tcPr>
            <w:tcW w:w="50" w:type="pct"/>
            <w:shd w:val="clear" w:color="auto" w:fill="auto"/>
            <w:vAlign w:val="bottom"/>
          </w:tcPr>
          <w:p w14:paraId="5F2C9E50" w14:textId="77777777" w:rsidR="00E836FB" w:rsidRDefault="00E836FB">
            <w:pPr>
              <w:rPr>
                <w:rFonts w:ascii="宋体"/>
              </w:rPr>
            </w:pPr>
          </w:p>
        </w:tc>
        <w:tc>
          <w:tcPr>
            <w:tcW w:w="1165" w:type="pct"/>
            <w:shd w:val="clear" w:color="auto" w:fill="auto"/>
            <w:vAlign w:val="bottom"/>
          </w:tcPr>
          <w:p w14:paraId="5F2C9E51" w14:textId="77777777" w:rsidR="00E836FB" w:rsidRDefault="00E836FB">
            <w:pPr>
              <w:rPr>
                <w:rFonts w:ascii="宋体"/>
              </w:rPr>
            </w:pPr>
          </w:p>
        </w:tc>
        <w:tc>
          <w:tcPr>
            <w:tcW w:w="5" w:type="pct"/>
            <w:shd w:val="clear" w:color="auto" w:fill="auto"/>
            <w:vAlign w:val="bottom"/>
          </w:tcPr>
          <w:p w14:paraId="5F2C9E52" w14:textId="77777777" w:rsidR="00E836FB" w:rsidRDefault="00E836FB">
            <w:pPr>
              <w:rPr>
                <w:rFonts w:ascii="宋体"/>
              </w:rPr>
            </w:pPr>
          </w:p>
        </w:tc>
        <w:tc>
          <w:tcPr>
            <w:tcW w:w="5" w:type="pct"/>
            <w:shd w:val="clear" w:color="auto" w:fill="auto"/>
            <w:vAlign w:val="bottom"/>
          </w:tcPr>
          <w:p w14:paraId="5F2C9E53" w14:textId="77777777" w:rsidR="00E836FB" w:rsidRDefault="00E836FB">
            <w:pPr>
              <w:rPr>
                <w:rFonts w:ascii="宋体"/>
              </w:rPr>
            </w:pPr>
          </w:p>
        </w:tc>
        <w:tc>
          <w:tcPr>
            <w:tcW w:w="26" w:type="pct"/>
            <w:shd w:val="clear" w:color="auto" w:fill="auto"/>
            <w:vAlign w:val="bottom"/>
          </w:tcPr>
          <w:p w14:paraId="5F2C9E54" w14:textId="77777777" w:rsidR="00E836FB" w:rsidRDefault="00E836FB">
            <w:pPr>
              <w:rPr>
                <w:rFonts w:ascii="宋体"/>
              </w:rPr>
            </w:pPr>
          </w:p>
        </w:tc>
        <w:tc>
          <w:tcPr>
            <w:tcW w:w="5" w:type="pct"/>
            <w:shd w:val="clear" w:color="auto" w:fill="auto"/>
            <w:vAlign w:val="bottom"/>
          </w:tcPr>
          <w:p w14:paraId="5F2C9E55" w14:textId="77777777" w:rsidR="00E836FB" w:rsidRDefault="00E836FB">
            <w:pPr>
              <w:rPr>
                <w:rFonts w:ascii="宋体"/>
              </w:rPr>
            </w:pPr>
          </w:p>
        </w:tc>
        <w:tc>
          <w:tcPr>
            <w:tcW w:w="50" w:type="pct"/>
            <w:shd w:val="clear" w:color="auto" w:fill="auto"/>
            <w:vAlign w:val="bottom"/>
          </w:tcPr>
          <w:p w14:paraId="5F2C9E56" w14:textId="77777777" w:rsidR="00E836FB" w:rsidRDefault="00E836FB">
            <w:pPr>
              <w:rPr>
                <w:rFonts w:ascii="宋体"/>
              </w:rPr>
            </w:pPr>
          </w:p>
        </w:tc>
        <w:tc>
          <w:tcPr>
            <w:tcW w:w="1165" w:type="pct"/>
            <w:shd w:val="clear" w:color="auto" w:fill="auto"/>
            <w:vAlign w:val="bottom"/>
          </w:tcPr>
          <w:p w14:paraId="5F2C9E57" w14:textId="77777777" w:rsidR="00E836FB" w:rsidRDefault="00E836FB">
            <w:pPr>
              <w:rPr>
                <w:rFonts w:ascii="宋体"/>
              </w:rPr>
            </w:pPr>
          </w:p>
        </w:tc>
        <w:tc>
          <w:tcPr>
            <w:tcW w:w="5" w:type="pct"/>
            <w:shd w:val="clear" w:color="auto" w:fill="auto"/>
            <w:vAlign w:val="bottom"/>
          </w:tcPr>
          <w:p w14:paraId="5F2C9E58" w14:textId="77777777" w:rsidR="00E836FB" w:rsidRDefault="00E836FB">
            <w:pPr>
              <w:rPr>
                <w:rFonts w:ascii="宋体"/>
              </w:rPr>
            </w:pPr>
          </w:p>
        </w:tc>
      </w:tr>
      <w:tr w:rsidR="00E836FB" w14:paraId="5F2C9E63" w14:textId="77777777">
        <w:tc>
          <w:tcPr>
            <w:tcW w:w="0" w:type="auto"/>
            <w:gridSpan w:val="3"/>
            <w:shd w:val="clear" w:color="auto" w:fill="auto"/>
            <w:tcMar>
              <w:top w:w="40" w:type="dxa"/>
              <w:left w:w="20" w:type="dxa"/>
              <w:bottom w:w="40" w:type="dxa"/>
              <w:right w:w="20" w:type="dxa"/>
            </w:tcMar>
            <w:vAlign w:val="bottom"/>
          </w:tcPr>
          <w:p w14:paraId="5F2C9E5A" w14:textId="77777777" w:rsidR="00E836FB" w:rsidRDefault="00994958">
            <w:pPr>
              <w:textAlignment w:val="bottom"/>
            </w:pPr>
            <w:r>
              <w:rPr>
                <w:rFonts w:ascii="Arial" w:eastAsia="宋体" w:hAnsi="Arial" w:cs="Arial"/>
                <w:b/>
                <w:bCs/>
                <w:color w:val="000000"/>
                <w:sz w:val="16"/>
                <w:szCs w:val="16"/>
              </w:rPr>
              <w:t>Principal Properties</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5F2C9E5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E5C" w14:textId="77777777" w:rsidR="00E836FB" w:rsidRDefault="00994958">
            <w:pPr>
              <w:jc w:val="center"/>
              <w:textAlignment w:val="bottom"/>
            </w:pPr>
            <w:r>
              <w:rPr>
                <w:rFonts w:ascii="Arial" w:eastAsia="宋体" w:hAnsi="Arial" w:cs="Arial"/>
                <w:b/>
                <w:bCs/>
                <w:color w:val="000000"/>
                <w:sz w:val="16"/>
                <w:szCs w:val="16"/>
              </w:rPr>
              <w:t>City</w:t>
            </w:r>
          </w:p>
        </w:tc>
        <w:tc>
          <w:tcPr>
            <w:tcW w:w="0" w:type="auto"/>
            <w:gridSpan w:val="3"/>
            <w:shd w:val="clear" w:color="auto" w:fill="auto"/>
            <w:tcMar>
              <w:top w:w="0" w:type="dxa"/>
              <w:left w:w="20" w:type="dxa"/>
              <w:bottom w:w="0" w:type="dxa"/>
              <w:right w:w="20" w:type="dxa"/>
            </w:tcMar>
            <w:vAlign w:val="bottom"/>
          </w:tcPr>
          <w:p w14:paraId="5F2C9E5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E5E" w14:textId="77777777" w:rsidR="00E836FB" w:rsidRDefault="00994958">
            <w:pPr>
              <w:jc w:val="center"/>
              <w:textAlignment w:val="bottom"/>
            </w:pPr>
            <w:r>
              <w:rPr>
                <w:rFonts w:ascii="Arial" w:eastAsia="宋体" w:hAnsi="Arial" w:cs="Arial"/>
                <w:b/>
                <w:bCs/>
                <w:color w:val="000000"/>
                <w:sz w:val="16"/>
                <w:szCs w:val="16"/>
              </w:rPr>
              <w:t>State/</w:t>
            </w:r>
          </w:p>
          <w:p w14:paraId="5F2C9E5F" w14:textId="77777777" w:rsidR="00E836FB" w:rsidRDefault="00994958">
            <w:pPr>
              <w:jc w:val="center"/>
              <w:textAlignment w:val="bottom"/>
            </w:pPr>
            <w:r>
              <w:rPr>
                <w:rFonts w:ascii="Arial" w:eastAsia="宋体" w:hAnsi="Arial" w:cs="Arial"/>
                <w:b/>
                <w:bCs/>
                <w:color w:val="000000"/>
                <w:sz w:val="16"/>
                <w:szCs w:val="16"/>
              </w:rPr>
              <w:t>Country</w:t>
            </w:r>
          </w:p>
        </w:tc>
        <w:tc>
          <w:tcPr>
            <w:tcW w:w="0" w:type="auto"/>
            <w:gridSpan w:val="3"/>
            <w:shd w:val="clear" w:color="auto" w:fill="auto"/>
            <w:tcMar>
              <w:top w:w="0" w:type="dxa"/>
              <w:left w:w="20" w:type="dxa"/>
              <w:bottom w:w="0" w:type="dxa"/>
              <w:right w:w="20" w:type="dxa"/>
            </w:tcMar>
            <w:vAlign w:val="bottom"/>
          </w:tcPr>
          <w:p w14:paraId="5F2C9E6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9E61" w14:textId="77777777" w:rsidR="00E836FB" w:rsidRDefault="00994958">
            <w:pPr>
              <w:jc w:val="center"/>
              <w:textAlignment w:val="bottom"/>
            </w:pPr>
            <w:r>
              <w:rPr>
                <w:rFonts w:ascii="Arial" w:eastAsia="宋体" w:hAnsi="Arial" w:cs="Arial"/>
                <w:b/>
                <w:bCs/>
                <w:color w:val="000000"/>
                <w:sz w:val="16"/>
                <w:szCs w:val="16"/>
              </w:rPr>
              <w:t>Owned/</w:t>
            </w:r>
          </w:p>
          <w:p w14:paraId="5F2C9E62" w14:textId="77777777" w:rsidR="00E836FB" w:rsidRDefault="00994958">
            <w:pPr>
              <w:jc w:val="center"/>
              <w:textAlignment w:val="bottom"/>
            </w:pPr>
            <w:r>
              <w:rPr>
                <w:rFonts w:ascii="Arial" w:eastAsia="宋体" w:hAnsi="Arial" w:cs="Arial"/>
                <w:b/>
                <w:bCs/>
                <w:color w:val="000000"/>
                <w:sz w:val="16"/>
                <w:szCs w:val="16"/>
              </w:rPr>
              <w:t>Leased</w:t>
            </w:r>
          </w:p>
        </w:tc>
      </w:tr>
      <w:tr w:rsidR="00E836FB" w14:paraId="5F2C9E6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9E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6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9E6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6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9E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6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9E6A" w14:textId="77777777" w:rsidR="00E836FB" w:rsidRDefault="00E836FB">
            <w:pPr>
              <w:rPr>
                <w:rFonts w:ascii="宋体"/>
              </w:rPr>
            </w:pPr>
          </w:p>
        </w:tc>
      </w:tr>
      <w:tr w:rsidR="00E836FB" w14:paraId="5F2C9E73" w14:textId="77777777">
        <w:tc>
          <w:tcPr>
            <w:tcW w:w="0" w:type="auto"/>
            <w:gridSpan w:val="3"/>
            <w:shd w:val="clear" w:color="auto" w:fill="auto"/>
            <w:tcMar>
              <w:top w:w="40" w:type="dxa"/>
              <w:left w:w="20" w:type="dxa"/>
              <w:bottom w:w="40" w:type="dxa"/>
              <w:right w:w="20" w:type="dxa"/>
            </w:tcMar>
            <w:vAlign w:val="bottom"/>
          </w:tcPr>
          <w:p w14:paraId="5F2C9E6C" w14:textId="77777777" w:rsidR="00E836FB" w:rsidRDefault="00994958">
            <w:pPr>
              <w:textAlignment w:val="bottom"/>
            </w:pPr>
            <w:r>
              <w:rPr>
                <w:rFonts w:ascii="Arial" w:eastAsia="宋体" w:hAnsi="Arial" w:cs="Arial"/>
                <w:b/>
                <w:bCs/>
                <w:color w:val="000000"/>
                <w:sz w:val="16"/>
                <w:szCs w:val="16"/>
              </w:rPr>
              <w:t>U.S. and Canada:</w:t>
            </w:r>
          </w:p>
        </w:tc>
        <w:tc>
          <w:tcPr>
            <w:tcW w:w="0" w:type="auto"/>
            <w:gridSpan w:val="3"/>
            <w:shd w:val="clear" w:color="auto" w:fill="auto"/>
            <w:tcMar>
              <w:top w:w="0" w:type="dxa"/>
              <w:left w:w="20" w:type="dxa"/>
              <w:bottom w:w="0" w:type="dxa"/>
              <w:right w:w="20" w:type="dxa"/>
            </w:tcMar>
            <w:vAlign w:val="bottom"/>
          </w:tcPr>
          <w:p w14:paraId="5F2C9E6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6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6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7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7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72" w14:textId="77777777" w:rsidR="00E836FB" w:rsidRDefault="00E836FB">
            <w:pPr>
              <w:rPr>
                <w:rFonts w:ascii="宋体"/>
              </w:rPr>
            </w:pPr>
          </w:p>
        </w:tc>
      </w:tr>
      <w:tr w:rsidR="00E836FB" w14:paraId="5F2C9E7B" w14:textId="77777777">
        <w:tc>
          <w:tcPr>
            <w:tcW w:w="0" w:type="auto"/>
            <w:gridSpan w:val="3"/>
            <w:shd w:val="clear" w:color="auto" w:fill="CCEEFF"/>
            <w:tcMar>
              <w:top w:w="40" w:type="dxa"/>
              <w:left w:w="20" w:type="dxa"/>
              <w:bottom w:w="40" w:type="dxa"/>
              <w:right w:w="20" w:type="dxa"/>
            </w:tcMar>
            <w:vAlign w:val="bottom"/>
          </w:tcPr>
          <w:p w14:paraId="5F2C9E74" w14:textId="77777777" w:rsidR="00E836FB" w:rsidRDefault="00994958">
            <w:pPr>
              <w:textAlignment w:val="bottom"/>
            </w:pPr>
            <w:r>
              <w:rPr>
                <w:rFonts w:ascii="Arial" w:eastAsia="宋体" w:hAnsi="Arial" w:cs="Arial"/>
                <w:color w:val="000000"/>
                <w:sz w:val="16"/>
                <w:szCs w:val="16"/>
              </w:rPr>
              <w:t>State Street Financial Center</w:t>
            </w:r>
          </w:p>
        </w:tc>
        <w:tc>
          <w:tcPr>
            <w:tcW w:w="0" w:type="auto"/>
            <w:gridSpan w:val="3"/>
            <w:shd w:val="clear" w:color="auto" w:fill="CCEEFF"/>
            <w:tcMar>
              <w:top w:w="0" w:type="dxa"/>
              <w:left w:w="20" w:type="dxa"/>
              <w:bottom w:w="0" w:type="dxa"/>
              <w:right w:w="20" w:type="dxa"/>
            </w:tcMar>
            <w:vAlign w:val="bottom"/>
          </w:tcPr>
          <w:p w14:paraId="5F2C9E7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76" w14:textId="77777777" w:rsidR="00E836FB" w:rsidRDefault="00994958">
            <w:pPr>
              <w:jc w:val="center"/>
              <w:textAlignment w:val="bottom"/>
            </w:pPr>
            <w:r>
              <w:rPr>
                <w:rFonts w:ascii="Arial" w:eastAsia="宋体" w:hAnsi="Arial" w:cs="Arial"/>
                <w:color w:val="000000"/>
                <w:sz w:val="16"/>
                <w:szCs w:val="16"/>
              </w:rPr>
              <w:t>Boston</w:t>
            </w:r>
          </w:p>
        </w:tc>
        <w:tc>
          <w:tcPr>
            <w:tcW w:w="0" w:type="auto"/>
            <w:gridSpan w:val="3"/>
            <w:shd w:val="clear" w:color="auto" w:fill="CCEEFF"/>
            <w:tcMar>
              <w:top w:w="0" w:type="dxa"/>
              <w:left w:w="20" w:type="dxa"/>
              <w:bottom w:w="0" w:type="dxa"/>
              <w:right w:w="20" w:type="dxa"/>
            </w:tcMar>
            <w:vAlign w:val="bottom"/>
          </w:tcPr>
          <w:p w14:paraId="5F2C9E7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78" w14:textId="77777777" w:rsidR="00E836FB" w:rsidRDefault="00994958">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vAlign w:val="bottom"/>
          </w:tcPr>
          <w:p w14:paraId="5F2C9E7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7A" w14:textId="77777777" w:rsidR="00E836FB" w:rsidRDefault="00994958">
            <w:pPr>
              <w:jc w:val="center"/>
              <w:textAlignment w:val="bottom"/>
            </w:pPr>
            <w:r>
              <w:rPr>
                <w:rFonts w:ascii="Arial" w:eastAsia="宋体" w:hAnsi="Arial" w:cs="Arial"/>
                <w:color w:val="000000"/>
                <w:sz w:val="16"/>
                <w:szCs w:val="16"/>
              </w:rPr>
              <w:t>Leased</w:t>
            </w:r>
          </w:p>
        </w:tc>
      </w:tr>
      <w:tr w:rsidR="00E836FB" w14:paraId="5F2C9E83" w14:textId="77777777">
        <w:tc>
          <w:tcPr>
            <w:tcW w:w="0" w:type="auto"/>
            <w:gridSpan w:val="3"/>
            <w:shd w:val="clear" w:color="auto" w:fill="FFFFFF"/>
            <w:tcMar>
              <w:top w:w="40" w:type="dxa"/>
              <w:left w:w="20" w:type="dxa"/>
              <w:bottom w:w="40" w:type="dxa"/>
              <w:right w:w="20" w:type="dxa"/>
            </w:tcMar>
            <w:vAlign w:val="bottom"/>
          </w:tcPr>
          <w:p w14:paraId="5F2C9E7C" w14:textId="77777777" w:rsidR="00E836FB" w:rsidRDefault="00994958">
            <w:pPr>
              <w:textAlignment w:val="bottom"/>
            </w:pPr>
            <w:r>
              <w:rPr>
                <w:rFonts w:ascii="Arial" w:eastAsia="宋体" w:hAnsi="Arial" w:cs="Arial"/>
                <w:color w:val="000000"/>
                <w:sz w:val="16"/>
                <w:szCs w:val="16"/>
              </w:rPr>
              <w:t>Channel Center</w:t>
            </w:r>
          </w:p>
        </w:tc>
        <w:tc>
          <w:tcPr>
            <w:tcW w:w="0" w:type="auto"/>
            <w:gridSpan w:val="3"/>
            <w:shd w:val="clear" w:color="auto" w:fill="FFFFFF"/>
            <w:tcMar>
              <w:top w:w="0" w:type="dxa"/>
              <w:left w:w="20" w:type="dxa"/>
              <w:bottom w:w="0" w:type="dxa"/>
              <w:right w:w="20" w:type="dxa"/>
            </w:tcMar>
            <w:vAlign w:val="bottom"/>
          </w:tcPr>
          <w:p w14:paraId="5F2C9E7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7E" w14:textId="77777777" w:rsidR="00E836FB" w:rsidRDefault="00994958">
            <w:pPr>
              <w:jc w:val="center"/>
              <w:textAlignment w:val="bottom"/>
            </w:pPr>
            <w:r>
              <w:rPr>
                <w:rFonts w:ascii="Arial" w:eastAsia="宋体" w:hAnsi="Arial" w:cs="Arial"/>
                <w:color w:val="000000"/>
                <w:sz w:val="16"/>
                <w:szCs w:val="16"/>
              </w:rPr>
              <w:t>Boston</w:t>
            </w:r>
          </w:p>
        </w:tc>
        <w:tc>
          <w:tcPr>
            <w:tcW w:w="0" w:type="auto"/>
            <w:gridSpan w:val="3"/>
            <w:shd w:val="clear" w:color="auto" w:fill="FFFFFF"/>
            <w:tcMar>
              <w:top w:w="0" w:type="dxa"/>
              <w:left w:w="20" w:type="dxa"/>
              <w:bottom w:w="0" w:type="dxa"/>
              <w:right w:w="20" w:type="dxa"/>
            </w:tcMar>
            <w:vAlign w:val="bottom"/>
          </w:tcPr>
          <w:p w14:paraId="5F2C9E7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80" w14:textId="77777777" w:rsidR="00E836FB" w:rsidRDefault="00994958">
            <w:pPr>
              <w:jc w:val="center"/>
              <w:textAlignment w:val="bottom"/>
            </w:pPr>
            <w:r>
              <w:rPr>
                <w:rFonts w:ascii="Arial" w:eastAsia="宋体" w:hAnsi="Arial" w:cs="Arial"/>
                <w:color w:val="000000"/>
                <w:sz w:val="16"/>
                <w:szCs w:val="16"/>
              </w:rPr>
              <w:t>MA</w:t>
            </w:r>
          </w:p>
        </w:tc>
        <w:tc>
          <w:tcPr>
            <w:tcW w:w="0" w:type="auto"/>
            <w:gridSpan w:val="3"/>
            <w:shd w:val="clear" w:color="auto" w:fill="FFFFFF"/>
            <w:tcMar>
              <w:top w:w="0" w:type="dxa"/>
              <w:left w:w="20" w:type="dxa"/>
              <w:bottom w:w="0" w:type="dxa"/>
              <w:right w:w="20" w:type="dxa"/>
            </w:tcMar>
            <w:vAlign w:val="bottom"/>
          </w:tcPr>
          <w:p w14:paraId="5F2C9E8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82" w14:textId="77777777" w:rsidR="00E836FB" w:rsidRDefault="00994958">
            <w:pPr>
              <w:jc w:val="center"/>
              <w:textAlignment w:val="bottom"/>
            </w:pPr>
            <w:r>
              <w:rPr>
                <w:rFonts w:ascii="Arial" w:eastAsia="宋体" w:hAnsi="Arial" w:cs="Arial"/>
                <w:color w:val="000000"/>
                <w:sz w:val="16"/>
                <w:szCs w:val="16"/>
              </w:rPr>
              <w:t>Leased</w:t>
            </w:r>
          </w:p>
        </w:tc>
      </w:tr>
      <w:tr w:rsidR="00E836FB" w14:paraId="5F2C9E8B" w14:textId="77777777">
        <w:tc>
          <w:tcPr>
            <w:tcW w:w="0" w:type="auto"/>
            <w:gridSpan w:val="3"/>
            <w:shd w:val="clear" w:color="auto" w:fill="CCEEFF"/>
            <w:tcMar>
              <w:top w:w="40" w:type="dxa"/>
              <w:left w:w="20" w:type="dxa"/>
              <w:bottom w:w="40" w:type="dxa"/>
              <w:right w:w="20" w:type="dxa"/>
            </w:tcMar>
            <w:vAlign w:val="bottom"/>
          </w:tcPr>
          <w:p w14:paraId="5F2C9E84" w14:textId="77777777" w:rsidR="00E836FB" w:rsidRDefault="00994958">
            <w:pPr>
              <w:textAlignment w:val="bottom"/>
            </w:pPr>
            <w:r>
              <w:rPr>
                <w:rFonts w:ascii="Arial" w:eastAsia="宋体" w:hAnsi="Arial" w:cs="Arial"/>
                <w:color w:val="000000"/>
                <w:sz w:val="16"/>
                <w:szCs w:val="16"/>
              </w:rPr>
              <w:t>District Avenue</w:t>
            </w:r>
          </w:p>
        </w:tc>
        <w:tc>
          <w:tcPr>
            <w:tcW w:w="0" w:type="auto"/>
            <w:gridSpan w:val="3"/>
            <w:shd w:val="clear" w:color="auto" w:fill="CCEEFF"/>
            <w:tcMar>
              <w:top w:w="0" w:type="dxa"/>
              <w:left w:w="20" w:type="dxa"/>
              <w:bottom w:w="0" w:type="dxa"/>
              <w:right w:w="20" w:type="dxa"/>
            </w:tcMar>
            <w:vAlign w:val="bottom"/>
          </w:tcPr>
          <w:p w14:paraId="5F2C9E8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86" w14:textId="77777777" w:rsidR="00E836FB" w:rsidRDefault="00994958">
            <w:pPr>
              <w:jc w:val="center"/>
              <w:textAlignment w:val="bottom"/>
            </w:pPr>
            <w:r>
              <w:rPr>
                <w:rFonts w:ascii="Arial" w:eastAsia="宋体" w:hAnsi="Arial" w:cs="Arial"/>
                <w:color w:val="000000"/>
                <w:sz w:val="16"/>
                <w:szCs w:val="16"/>
              </w:rPr>
              <w:t>Burlington</w:t>
            </w:r>
          </w:p>
        </w:tc>
        <w:tc>
          <w:tcPr>
            <w:tcW w:w="0" w:type="auto"/>
            <w:gridSpan w:val="3"/>
            <w:shd w:val="clear" w:color="auto" w:fill="CCEEFF"/>
            <w:tcMar>
              <w:top w:w="0" w:type="dxa"/>
              <w:left w:w="20" w:type="dxa"/>
              <w:bottom w:w="0" w:type="dxa"/>
              <w:right w:w="20" w:type="dxa"/>
            </w:tcMar>
            <w:vAlign w:val="bottom"/>
          </w:tcPr>
          <w:p w14:paraId="5F2C9E8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88" w14:textId="77777777" w:rsidR="00E836FB" w:rsidRDefault="00994958">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vAlign w:val="bottom"/>
          </w:tcPr>
          <w:p w14:paraId="5F2C9E8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8A" w14:textId="77777777" w:rsidR="00E836FB" w:rsidRDefault="00994958">
            <w:pPr>
              <w:jc w:val="center"/>
              <w:textAlignment w:val="bottom"/>
            </w:pPr>
            <w:r>
              <w:rPr>
                <w:rFonts w:ascii="Arial" w:eastAsia="宋体" w:hAnsi="Arial" w:cs="Arial"/>
                <w:color w:val="000000"/>
                <w:sz w:val="16"/>
                <w:szCs w:val="16"/>
              </w:rPr>
              <w:t>Leased</w:t>
            </w:r>
          </w:p>
        </w:tc>
      </w:tr>
      <w:tr w:rsidR="00E836FB" w14:paraId="5F2C9E93" w14:textId="77777777">
        <w:tc>
          <w:tcPr>
            <w:tcW w:w="0" w:type="auto"/>
            <w:gridSpan w:val="3"/>
            <w:shd w:val="clear" w:color="auto" w:fill="FFFFFF"/>
            <w:tcMar>
              <w:top w:w="40" w:type="dxa"/>
              <w:left w:w="20" w:type="dxa"/>
              <w:bottom w:w="40" w:type="dxa"/>
              <w:right w:w="20" w:type="dxa"/>
            </w:tcMar>
            <w:vAlign w:val="bottom"/>
          </w:tcPr>
          <w:p w14:paraId="5F2C9E8C" w14:textId="77777777" w:rsidR="00E836FB" w:rsidRDefault="00994958">
            <w:pPr>
              <w:textAlignment w:val="bottom"/>
            </w:pPr>
            <w:r>
              <w:rPr>
                <w:rFonts w:ascii="Arial" w:eastAsia="宋体" w:hAnsi="Arial" w:cs="Arial"/>
                <w:color w:val="000000"/>
                <w:sz w:val="16"/>
                <w:szCs w:val="16"/>
              </w:rPr>
              <w:t xml:space="preserve">Heritage Drive </w:t>
            </w:r>
          </w:p>
        </w:tc>
        <w:tc>
          <w:tcPr>
            <w:tcW w:w="0" w:type="auto"/>
            <w:gridSpan w:val="3"/>
            <w:shd w:val="clear" w:color="auto" w:fill="FFFFFF"/>
            <w:tcMar>
              <w:top w:w="0" w:type="dxa"/>
              <w:left w:w="20" w:type="dxa"/>
              <w:bottom w:w="0" w:type="dxa"/>
              <w:right w:w="20" w:type="dxa"/>
            </w:tcMar>
            <w:vAlign w:val="bottom"/>
          </w:tcPr>
          <w:p w14:paraId="5F2C9E8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8E" w14:textId="77777777" w:rsidR="00E836FB" w:rsidRDefault="00994958">
            <w:pPr>
              <w:jc w:val="center"/>
              <w:textAlignment w:val="bottom"/>
            </w:pPr>
            <w:r>
              <w:rPr>
                <w:rFonts w:ascii="Arial" w:eastAsia="宋体" w:hAnsi="Arial" w:cs="Arial"/>
                <w:color w:val="000000"/>
                <w:sz w:val="16"/>
                <w:szCs w:val="16"/>
              </w:rPr>
              <w:t>Quincy</w:t>
            </w:r>
          </w:p>
        </w:tc>
        <w:tc>
          <w:tcPr>
            <w:tcW w:w="0" w:type="auto"/>
            <w:gridSpan w:val="3"/>
            <w:shd w:val="clear" w:color="auto" w:fill="FFFFFF"/>
            <w:tcMar>
              <w:top w:w="0" w:type="dxa"/>
              <w:left w:w="20" w:type="dxa"/>
              <w:bottom w:w="0" w:type="dxa"/>
              <w:right w:w="20" w:type="dxa"/>
            </w:tcMar>
            <w:vAlign w:val="bottom"/>
          </w:tcPr>
          <w:p w14:paraId="5F2C9E8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90" w14:textId="77777777" w:rsidR="00E836FB" w:rsidRDefault="00994958">
            <w:pPr>
              <w:jc w:val="center"/>
              <w:textAlignment w:val="bottom"/>
            </w:pPr>
            <w:r>
              <w:rPr>
                <w:rFonts w:ascii="Arial" w:eastAsia="宋体" w:hAnsi="Arial" w:cs="Arial"/>
                <w:color w:val="000000"/>
                <w:sz w:val="16"/>
                <w:szCs w:val="16"/>
              </w:rPr>
              <w:t>MA</w:t>
            </w:r>
          </w:p>
        </w:tc>
        <w:tc>
          <w:tcPr>
            <w:tcW w:w="0" w:type="auto"/>
            <w:gridSpan w:val="3"/>
            <w:shd w:val="clear" w:color="auto" w:fill="FFFFFF"/>
            <w:tcMar>
              <w:top w:w="0" w:type="dxa"/>
              <w:left w:w="20" w:type="dxa"/>
              <w:bottom w:w="0" w:type="dxa"/>
              <w:right w:w="20" w:type="dxa"/>
            </w:tcMar>
            <w:vAlign w:val="bottom"/>
          </w:tcPr>
          <w:p w14:paraId="5F2C9E9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92" w14:textId="77777777" w:rsidR="00E836FB" w:rsidRDefault="00994958">
            <w:pPr>
              <w:jc w:val="center"/>
              <w:textAlignment w:val="bottom"/>
            </w:pPr>
            <w:r>
              <w:rPr>
                <w:rFonts w:ascii="Arial" w:eastAsia="宋体" w:hAnsi="Arial" w:cs="Arial"/>
                <w:color w:val="000000"/>
                <w:sz w:val="16"/>
                <w:szCs w:val="16"/>
              </w:rPr>
              <w:t>Leased</w:t>
            </w:r>
          </w:p>
        </w:tc>
      </w:tr>
      <w:tr w:rsidR="00E836FB" w14:paraId="5F2C9E9B" w14:textId="77777777">
        <w:tc>
          <w:tcPr>
            <w:tcW w:w="0" w:type="auto"/>
            <w:gridSpan w:val="3"/>
            <w:shd w:val="clear" w:color="auto" w:fill="CCEEFF"/>
            <w:tcMar>
              <w:top w:w="40" w:type="dxa"/>
              <w:left w:w="20" w:type="dxa"/>
              <w:bottom w:w="40" w:type="dxa"/>
              <w:right w:w="20" w:type="dxa"/>
            </w:tcMar>
            <w:vAlign w:val="bottom"/>
          </w:tcPr>
          <w:p w14:paraId="5F2C9E94" w14:textId="77777777" w:rsidR="00E836FB" w:rsidRDefault="00994958">
            <w:pPr>
              <w:textAlignment w:val="bottom"/>
            </w:pPr>
            <w:r>
              <w:rPr>
                <w:rFonts w:ascii="Arial" w:eastAsia="宋体" w:hAnsi="Arial" w:cs="Arial"/>
                <w:color w:val="000000"/>
                <w:sz w:val="16"/>
                <w:szCs w:val="16"/>
              </w:rPr>
              <w:t>John Adams Building</w:t>
            </w:r>
          </w:p>
        </w:tc>
        <w:tc>
          <w:tcPr>
            <w:tcW w:w="0" w:type="auto"/>
            <w:gridSpan w:val="3"/>
            <w:shd w:val="clear" w:color="auto" w:fill="CCEEFF"/>
            <w:tcMar>
              <w:top w:w="0" w:type="dxa"/>
              <w:left w:w="20" w:type="dxa"/>
              <w:bottom w:w="0" w:type="dxa"/>
              <w:right w:w="20" w:type="dxa"/>
            </w:tcMar>
            <w:vAlign w:val="bottom"/>
          </w:tcPr>
          <w:p w14:paraId="5F2C9E9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96" w14:textId="77777777" w:rsidR="00E836FB" w:rsidRDefault="00994958">
            <w:pPr>
              <w:jc w:val="center"/>
              <w:textAlignment w:val="bottom"/>
            </w:pPr>
            <w:r>
              <w:rPr>
                <w:rFonts w:ascii="Arial" w:eastAsia="宋体" w:hAnsi="Arial" w:cs="Arial"/>
                <w:color w:val="000000"/>
                <w:sz w:val="16"/>
                <w:szCs w:val="16"/>
              </w:rPr>
              <w:t>Quincy</w:t>
            </w:r>
          </w:p>
        </w:tc>
        <w:tc>
          <w:tcPr>
            <w:tcW w:w="0" w:type="auto"/>
            <w:gridSpan w:val="3"/>
            <w:shd w:val="clear" w:color="auto" w:fill="CCEEFF"/>
            <w:tcMar>
              <w:top w:w="0" w:type="dxa"/>
              <w:left w:w="20" w:type="dxa"/>
              <w:bottom w:w="0" w:type="dxa"/>
              <w:right w:w="20" w:type="dxa"/>
            </w:tcMar>
            <w:vAlign w:val="bottom"/>
          </w:tcPr>
          <w:p w14:paraId="5F2C9E9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98" w14:textId="77777777" w:rsidR="00E836FB" w:rsidRDefault="00994958">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vAlign w:val="bottom"/>
          </w:tcPr>
          <w:p w14:paraId="5F2C9E9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9A" w14:textId="77777777" w:rsidR="00E836FB" w:rsidRDefault="00994958">
            <w:pPr>
              <w:jc w:val="center"/>
              <w:textAlignment w:val="bottom"/>
            </w:pPr>
            <w:r>
              <w:rPr>
                <w:rFonts w:ascii="Arial" w:eastAsia="宋体" w:hAnsi="Arial" w:cs="Arial"/>
                <w:color w:val="000000"/>
                <w:sz w:val="16"/>
                <w:szCs w:val="16"/>
              </w:rPr>
              <w:t>Owned</w:t>
            </w:r>
          </w:p>
        </w:tc>
      </w:tr>
      <w:tr w:rsidR="00E836FB" w14:paraId="5F2C9EA3" w14:textId="77777777">
        <w:tc>
          <w:tcPr>
            <w:tcW w:w="0" w:type="auto"/>
            <w:gridSpan w:val="3"/>
            <w:shd w:val="clear" w:color="auto" w:fill="FFFFFF"/>
            <w:tcMar>
              <w:top w:w="40" w:type="dxa"/>
              <w:left w:w="20" w:type="dxa"/>
              <w:bottom w:w="40" w:type="dxa"/>
              <w:right w:w="20" w:type="dxa"/>
            </w:tcMar>
            <w:vAlign w:val="bottom"/>
          </w:tcPr>
          <w:p w14:paraId="5F2C9E9C" w14:textId="77777777" w:rsidR="00E836FB" w:rsidRDefault="00994958">
            <w:pPr>
              <w:textAlignment w:val="bottom"/>
            </w:pPr>
            <w:r>
              <w:rPr>
                <w:rFonts w:ascii="Arial" w:eastAsia="宋体" w:hAnsi="Arial" w:cs="Arial"/>
                <w:color w:val="000000"/>
                <w:sz w:val="16"/>
                <w:szCs w:val="16"/>
              </w:rPr>
              <w:t>Grafton Data Center</w:t>
            </w:r>
          </w:p>
        </w:tc>
        <w:tc>
          <w:tcPr>
            <w:tcW w:w="0" w:type="auto"/>
            <w:gridSpan w:val="3"/>
            <w:shd w:val="clear" w:color="auto" w:fill="FFFFFF"/>
            <w:tcMar>
              <w:top w:w="0" w:type="dxa"/>
              <w:left w:w="20" w:type="dxa"/>
              <w:bottom w:w="0" w:type="dxa"/>
              <w:right w:w="20" w:type="dxa"/>
            </w:tcMar>
            <w:vAlign w:val="bottom"/>
          </w:tcPr>
          <w:p w14:paraId="5F2C9E9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9E" w14:textId="77777777" w:rsidR="00E836FB" w:rsidRDefault="00994958">
            <w:pPr>
              <w:jc w:val="center"/>
              <w:textAlignment w:val="bottom"/>
            </w:pPr>
            <w:r>
              <w:rPr>
                <w:rFonts w:ascii="Arial" w:eastAsia="宋体" w:hAnsi="Arial" w:cs="Arial"/>
                <w:color w:val="000000"/>
                <w:sz w:val="16"/>
                <w:szCs w:val="16"/>
              </w:rPr>
              <w:t>Grafton</w:t>
            </w:r>
          </w:p>
        </w:tc>
        <w:tc>
          <w:tcPr>
            <w:tcW w:w="0" w:type="auto"/>
            <w:gridSpan w:val="3"/>
            <w:shd w:val="clear" w:color="auto" w:fill="FFFFFF"/>
            <w:tcMar>
              <w:top w:w="0" w:type="dxa"/>
              <w:left w:w="20" w:type="dxa"/>
              <w:bottom w:w="0" w:type="dxa"/>
              <w:right w:w="20" w:type="dxa"/>
            </w:tcMar>
            <w:vAlign w:val="bottom"/>
          </w:tcPr>
          <w:p w14:paraId="5F2C9E9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A0" w14:textId="77777777" w:rsidR="00E836FB" w:rsidRDefault="00994958">
            <w:pPr>
              <w:jc w:val="center"/>
              <w:textAlignment w:val="bottom"/>
            </w:pPr>
            <w:r>
              <w:rPr>
                <w:rFonts w:ascii="Arial" w:eastAsia="宋体" w:hAnsi="Arial" w:cs="Arial"/>
                <w:color w:val="000000"/>
                <w:sz w:val="16"/>
                <w:szCs w:val="16"/>
              </w:rPr>
              <w:t>MA</w:t>
            </w:r>
          </w:p>
        </w:tc>
        <w:tc>
          <w:tcPr>
            <w:tcW w:w="0" w:type="auto"/>
            <w:gridSpan w:val="3"/>
            <w:shd w:val="clear" w:color="auto" w:fill="FFFFFF"/>
            <w:tcMar>
              <w:top w:w="0" w:type="dxa"/>
              <w:left w:w="20" w:type="dxa"/>
              <w:bottom w:w="0" w:type="dxa"/>
              <w:right w:w="20" w:type="dxa"/>
            </w:tcMar>
            <w:vAlign w:val="bottom"/>
          </w:tcPr>
          <w:p w14:paraId="5F2C9EA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A2" w14:textId="77777777" w:rsidR="00E836FB" w:rsidRDefault="00994958">
            <w:pPr>
              <w:jc w:val="center"/>
              <w:textAlignment w:val="bottom"/>
            </w:pPr>
            <w:r>
              <w:rPr>
                <w:rFonts w:ascii="Arial" w:eastAsia="宋体" w:hAnsi="Arial" w:cs="Arial"/>
                <w:color w:val="000000"/>
                <w:sz w:val="16"/>
                <w:szCs w:val="16"/>
              </w:rPr>
              <w:t>Owned</w:t>
            </w:r>
          </w:p>
        </w:tc>
      </w:tr>
      <w:tr w:rsidR="00E836FB" w14:paraId="5F2C9EAB" w14:textId="77777777">
        <w:tc>
          <w:tcPr>
            <w:tcW w:w="0" w:type="auto"/>
            <w:gridSpan w:val="3"/>
            <w:shd w:val="clear" w:color="auto" w:fill="CCEEFF"/>
            <w:tcMar>
              <w:top w:w="40" w:type="dxa"/>
              <w:left w:w="20" w:type="dxa"/>
              <w:bottom w:w="40" w:type="dxa"/>
              <w:right w:w="20" w:type="dxa"/>
            </w:tcMar>
            <w:vAlign w:val="bottom"/>
          </w:tcPr>
          <w:p w14:paraId="5F2C9EA4" w14:textId="77777777" w:rsidR="00E836FB" w:rsidRDefault="00994958">
            <w:pPr>
              <w:textAlignment w:val="bottom"/>
            </w:pPr>
            <w:r>
              <w:rPr>
                <w:rFonts w:ascii="Arial" w:eastAsia="宋体" w:hAnsi="Arial" w:cs="Arial"/>
                <w:color w:val="000000"/>
                <w:sz w:val="16"/>
                <w:szCs w:val="16"/>
              </w:rPr>
              <w:t>Westborough Data Center</w:t>
            </w:r>
          </w:p>
        </w:tc>
        <w:tc>
          <w:tcPr>
            <w:tcW w:w="0" w:type="auto"/>
            <w:gridSpan w:val="3"/>
            <w:shd w:val="clear" w:color="auto" w:fill="CCEEFF"/>
            <w:tcMar>
              <w:top w:w="0" w:type="dxa"/>
              <w:left w:w="20" w:type="dxa"/>
              <w:bottom w:w="0" w:type="dxa"/>
              <w:right w:w="20" w:type="dxa"/>
            </w:tcMar>
            <w:vAlign w:val="bottom"/>
          </w:tcPr>
          <w:p w14:paraId="5F2C9EA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A6" w14:textId="77777777" w:rsidR="00E836FB" w:rsidRDefault="00994958">
            <w:pPr>
              <w:jc w:val="center"/>
              <w:textAlignment w:val="bottom"/>
            </w:pPr>
            <w:r>
              <w:rPr>
                <w:rFonts w:ascii="Arial" w:eastAsia="宋体" w:hAnsi="Arial" w:cs="Arial"/>
                <w:color w:val="000000"/>
                <w:sz w:val="16"/>
                <w:szCs w:val="16"/>
              </w:rPr>
              <w:t>Westborough</w:t>
            </w:r>
          </w:p>
        </w:tc>
        <w:tc>
          <w:tcPr>
            <w:tcW w:w="0" w:type="auto"/>
            <w:gridSpan w:val="3"/>
            <w:shd w:val="clear" w:color="auto" w:fill="CCEEFF"/>
            <w:tcMar>
              <w:top w:w="0" w:type="dxa"/>
              <w:left w:w="20" w:type="dxa"/>
              <w:bottom w:w="0" w:type="dxa"/>
              <w:right w:w="20" w:type="dxa"/>
            </w:tcMar>
            <w:vAlign w:val="bottom"/>
          </w:tcPr>
          <w:p w14:paraId="5F2C9EA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A8" w14:textId="77777777" w:rsidR="00E836FB" w:rsidRDefault="00994958">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vAlign w:val="bottom"/>
          </w:tcPr>
          <w:p w14:paraId="5F2C9EA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AA" w14:textId="77777777" w:rsidR="00E836FB" w:rsidRDefault="00994958">
            <w:pPr>
              <w:jc w:val="center"/>
              <w:textAlignment w:val="bottom"/>
            </w:pPr>
            <w:r>
              <w:rPr>
                <w:rFonts w:ascii="Arial" w:eastAsia="宋体" w:hAnsi="Arial" w:cs="Arial"/>
                <w:color w:val="000000"/>
                <w:sz w:val="16"/>
                <w:szCs w:val="16"/>
              </w:rPr>
              <w:t>Owned</w:t>
            </w:r>
          </w:p>
        </w:tc>
      </w:tr>
      <w:tr w:rsidR="00E836FB" w14:paraId="5F2C9EB3" w14:textId="77777777">
        <w:tc>
          <w:tcPr>
            <w:tcW w:w="0" w:type="auto"/>
            <w:gridSpan w:val="3"/>
            <w:shd w:val="clear" w:color="auto" w:fill="FFFFFF"/>
            <w:tcMar>
              <w:top w:w="40" w:type="dxa"/>
              <w:left w:w="20" w:type="dxa"/>
              <w:bottom w:w="40" w:type="dxa"/>
              <w:right w:w="20" w:type="dxa"/>
            </w:tcMar>
            <w:vAlign w:val="bottom"/>
          </w:tcPr>
          <w:p w14:paraId="5F2C9EAC" w14:textId="77777777" w:rsidR="00E836FB" w:rsidRDefault="00994958">
            <w:pPr>
              <w:textAlignment w:val="bottom"/>
            </w:pPr>
            <w:r>
              <w:rPr>
                <w:rFonts w:ascii="Arial" w:eastAsia="宋体" w:hAnsi="Arial" w:cs="Arial"/>
                <w:color w:val="000000"/>
                <w:sz w:val="16"/>
                <w:szCs w:val="16"/>
              </w:rPr>
              <w:t>Summer Street</w:t>
            </w:r>
          </w:p>
        </w:tc>
        <w:tc>
          <w:tcPr>
            <w:tcW w:w="0" w:type="auto"/>
            <w:gridSpan w:val="3"/>
            <w:shd w:val="clear" w:color="auto" w:fill="FFFFFF"/>
            <w:tcMar>
              <w:top w:w="0" w:type="dxa"/>
              <w:left w:w="20" w:type="dxa"/>
              <w:bottom w:w="0" w:type="dxa"/>
              <w:right w:w="20" w:type="dxa"/>
            </w:tcMar>
            <w:vAlign w:val="bottom"/>
          </w:tcPr>
          <w:p w14:paraId="5F2C9EA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AE" w14:textId="77777777" w:rsidR="00E836FB" w:rsidRDefault="00994958">
            <w:pPr>
              <w:jc w:val="center"/>
              <w:textAlignment w:val="bottom"/>
            </w:pPr>
            <w:r>
              <w:rPr>
                <w:rFonts w:ascii="Arial" w:eastAsia="宋体" w:hAnsi="Arial" w:cs="Arial"/>
                <w:color w:val="000000"/>
                <w:sz w:val="16"/>
                <w:szCs w:val="16"/>
              </w:rPr>
              <w:t>Stamford</w:t>
            </w:r>
          </w:p>
        </w:tc>
        <w:tc>
          <w:tcPr>
            <w:tcW w:w="0" w:type="auto"/>
            <w:gridSpan w:val="3"/>
            <w:shd w:val="clear" w:color="auto" w:fill="FFFFFF"/>
            <w:tcMar>
              <w:top w:w="0" w:type="dxa"/>
              <w:left w:w="20" w:type="dxa"/>
              <w:bottom w:w="0" w:type="dxa"/>
              <w:right w:w="20" w:type="dxa"/>
            </w:tcMar>
            <w:vAlign w:val="bottom"/>
          </w:tcPr>
          <w:p w14:paraId="5F2C9EA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B0" w14:textId="77777777" w:rsidR="00E836FB" w:rsidRDefault="00994958">
            <w:pPr>
              <w:jc w:val="center"/>
              <w:textAlignment w:val="bottom"/>
            </w:pPr>
            <w:r>
              <w:rPr>
                <w:rFonts w:ascii="Arial" w:eastAsia="宋体" w:hAnsi="Arial" w:cs="Arial"/>
                <w:color w:val="000000"/>
                <w:sz w:val="16"/>
                <w:szCs w:val="16"/>
              </w:rPr>
              <w:t>CT</w:t>
            </w:r>
          </w:p>
        </w:tc>
        <w:tc>
          <w:tcPr>
            <w:tcW w:w="0" w:type="auto"/>
            <w:gridSpan w:val="3"/>
            <w:shd w:val="clear" w:color="auto" w:fill="FFFFFF"/>
            <w:tcMar>
              <w:top w:w="0" w:type="dxa"/>
              <w:left w:w="20" w:type="dxa"/>
              <w:bottom w:w="0" w:type="dxa"/>
              <w:right w:w="20" w:type="dxa"/>
            </w:tcMar>
            <w:vAlign w:val="bottom"/>
          </w:tcPr>
          <w:p w14:paraId="5F2C9EB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B2" w14:textId="77777777" w:rsidR="00E836FB" w:rsidRDefault="00994958">
            <w:pPr>
              <w:jc w:val="center"/>
              <w:textAlignment w:val="bottom"/>
            </w:pPr>
            <w:r>
              <w:rPr>
                <w:rFonts w:ascii="Arial" w:eastAsia="宋体" w:hAnsi="Arial" w:cs="Arial"/>
                <w:color w:val="000000"/>
                <w:sz w:val="16"/>
                <w:szCs w:val="16"/>
              </w:rPr>
              <w:t>Leased</w:t>
            </w:r>
          </w:p>
        </w:tc>
      </w:tr>
      <w:tr w:rsidR="00E836FB" w14:paraId="5F2C9EBB" w14:textId="77777777">
        <w:tc>
          <w:tcPr>
            <w:tcW w:w="0" w:type="auto"/>
            <w:gridSpan w:val="3"/>
            <w:shd w:val="clear" w:color="auto" w:fill="CCEEFF"/>
            <w:tcMar>
              <w:top w:w="40" w:type="dxa"/>
              <w:left w:w="20" w:type="dxa"/>
              <w:bottom w:w="40" w:type="dxa"/>
              <w:right w:w="20" w:type="dxa"/>
            </w:tcMar>
            <w:vAlign w:val="bottom"/>
          </w:tcPr>
          <w:p w14:paraId="5F2C9EB4" w14:textId="77777777" w:rsidR="00E836FB" w:rsidRDefault="00994958">
            <w:pPr>
              <w:textAlignment w:val="bottom"/>
            </w:pPr>
            <w:r>
              <w:rPr>
                <w:rFonts w:ascii="Arial" w:eastAsia="宋体" w:hAnsi="Arial" w:cs="Arial"/>
                <w:color w:val="000000"/>
                <w:sz w:val="16"/>
                <w:szCs w:val="16"/>
              </w:rPr>
              <w:t>Pennsylvania Avenue</w:t>
            </w:r>
          </w:p>
        </w:tc>
        <w:tc>
          <w:tcPr>
            <w:tcW w:w="0" w:type="auto"/>
            <w:gridSpan w:val="3"/>
            <w:shd w:val="clear" w:color="auto" w:fill="CCEEFF"/>
            <w:tcMar>
              <w:top w:w="0" w:type="dxa"/>
              <w:left w:w="20" w:type="dxa"/>
              <w:bottom w:w="0" w:type="dxa"/>
              <w:right w:w="20" w:type="dxa"/>
            </w:tcMar>
            <w:vAlign w:val="bottom"/>
          </w:tcPr>
          <w:p w14:paraId="5F2C9EB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B6" w14:textId="77777777" w:rsidR="00E836FB" w:rsidRDefault="00994958">
            <w:pPr>
              <w:jc w:val="center"/>
              <w:textAlignment w:val="bottom"/>
            </w:pPr>
            <w:r>
              <w:rPr>
                <w:rFonts w:ascii="Arial" w:eastAsia="宋体" w:hAnsi="Arial" w:cs="Arial"/>
                <w:color w:val="000000"/>
                <w:sz w:val="16"/>
                <w:szCs w:val="16"/>
              </w:rPr>
              <w:t>Kansas City</w:t>
            </w:r>
          </w:p>
        </w:tc>
        <w:tc>
          <w:tcPr>
            <w:tcW w:w="0" w:type="auto"/>
            <w:gridSpan w:val="3"/>
            <w:shd w:val="clear" w:color="auto" w:fill="CCEEFF"/>
            <w:tcMar>
              <w:top w:w="0" w:type="dxa"/>
              <w:left w:w="20" w:type="dxa"/>
              <w:bottom w:w="0" w:type="dxa"/>
              <w:right w:w="20" w:type="dxa"/>
            </w:tcMar>
            <w:vAlign w:val="bottom"/>
          </w:tcPr>
          <w:p w14:paraId="5F2C9EB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B8" w14:textId="77777777" w:rsidR="00E836FB" w:rsidRDefault="00994958">
            <w:pPr>
              <w:jc w:val="center"/>
              <w:textAlignment w:val="bottom"/>
            </w:pPr>
            <w:r>
              <w:rPr>
                <w:rFonts w:ascii="Arial" w:eastAsia="宋体" w:hAnsi="Arial" w:cs="Arial"/>
                <w:color w:val="000000"/>
                <w:sz w:val="16"/>
                <w:szCs w:val="16"/>
              </w:rPr>
              <w:t>MO</w:t>
            </w:r>
          </w:p>
        </w:tc>
        <w:tc>
          <w:tcPr>
            <w:tcW w:w="0" w:type="auto"/>
            <w:gridSpan w:val="3"/>
            <w:shd w:val="clear" w:color="auto" w:fill="CCEEFF"/>
            <w:tcMar>
              <w:top w:w="0" w:type="dxa"/>
              <w:left w:w="20" w:type="dxa"/>
              <w:bottom w:w="0" w:type="dxa"/>
              <w:right w:w="20" w:type="dxa"/>
            </w:tcMar>
            <w:vAlign w:val="bottom"/>
          </w:tcPr>
          <w:p w14:paraId="5F2C9EB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BA" w14:textId="77777777" w:rsidR="00E836FB" w:rsidRDefault="00994958">
            <w:pPr>
              <w:jc w:val="center"/>
              <w:textAlignment w:val="bottom"/>
            </w:pPr>
            <w:r>
              <w:rPr>
                <w:rFonts w:ascii="Arial" w:eastAsia="宋体" w:hAnsi="Arial" w:cs="Arial"/>
                <w:color w:val="000000"/>
                <w:sz w:val="16"/>
                <w:szCs w:val="16"/>
              </w:rPr>
              <w:t>Leased</w:t>
            </w:r>
          </w:p>
        </w:tc>
      </w:tr>
      <w:tr w:rsidR="00E836FB" w14:paraId="5F2C9EC3" w14:textId="77777777">
        <w:trPr>
          <w:hidden/>
        </w:trPr>
        <w:tc>
          <w:tcPr>
            <w:tcW w:w="0" w:type="auto"/>
            <w:gridSpan w:val="3"/>
            <w:shd w:val="clear" w:color="auto" w:fill="auto"/>
            <w:vAlign w:val="bottom"/>
          </w:tcPr>
          <w:p w14:paraId="5F2C9EBC" w14:textId="77777777" w:rsidR="00E836FB" w:rsidRDefault="00E836FB">
            <w:pPr>
              <w:rPr>
                <w:rFonts w:ascii="宋体"/>
                <w:vanish/>
              </w:rPr>
            </w:pPr>
          </w:p>
        </w:tc>
        <w:tc>
          <w:tcPr>
            <w:tcW w:w="0" w:type="auto"/>
            <w:gridSpan w:val="3"/>
            <w:shd w:val="clear" w:color="auto" w:fill="auto"/>
            <w:vAlign w:val="bottom"/>
          </w:tcPr>
          <w:p w14:paraId="5F2C9EBD" w14:textId="77777777" w:rsidR="00E836FB" w:rsidRDefault="00E836FB">
            <w:pPr>
              <w:rPr>
                <w:rFonts w:ascii="宋体"/>
                <w:vanish/>
              </w:rPr>
            </w:pPr>
          </w:p>
        </w:tc>
        <w:tc>
          <w:tcPr>
            <w:tcW w:w="0" w:type="auto"/>
            <w:gridSpan w:val="3"/>
            <w:shd w:val="clear" w:color="auto" w:fill="auto"/>
            <w:vAlign w:val="bottom"/>
          </w:tcPr>
          <w:p w14:paraId="5F2C9EBE" w14:textId="77777777" w:rsidR="00E836FB" w:rsidRDefault="00E836FB">
            <w:pPr>
              <w:rPr>
                <w:rFonts w:ascii="宋体"/>
                <w:vanish/>
              </w:rPr>
            </w:pPr>
          </w:p>
        </w:tc>
        <w:tc>
          <w:tcPr>
            <w:tcW w:w="0" w:type="auto"/>
            <w:gridSpan w:val="3"/>
            <w:shd w:val="clear" w:color="auto" w:fill="auto"/>
            <w:vAlign w:val="bottom"/>
          </w:tcPr>
          <w:p w14:paraId="5F2C9EBF" w14:textId="77777777" w:rsidR="00E836FB" w:rsidRDefault="00E836FB">
            <w:pPr>
              <w:rPr>
                <w:rFonts w:ascii="宋体"/>
                <w:vanish/>
              </w:rPr>
            </w:pPr>
          </w:p>
        </w:tc>
        <w:tc>
          <w:tcPr>
            <w:tcW w:w="0" w:type="auto"/>
            <w:gridSpan w:val="3"/>
            <w:shd w:val="clear" w:color="auto" w:fill="auto"/>
            <w:vAlign w:val="bottom"/>
          </w:tcPr>
          <w:p w14:paraId="5F2C9EC0" w14:textId="77777777" w:rsidR="00E836FB" w:rsidRDefault="00E836FB">
            <w:pPr>
              <w:rPr>
                <w:rFonts w:ascii="宋体"/>
                <w:vanish/>
              </w:rPr>
            </w:pPr>
          </w:p>
        </w:tc>
        <w:tc>
          <w:tcPr>
            <w:tcW w:w="0" w:type="auto"/>
            <w:gridSpan w:val="3"/>
            <w:shd w:val="clear" w:color="auto" w:fill="auto"/>
            <w:vAlign w:val="bottom"/>
          </w:tcPr>
          <w:p w14:paraId="5F2C9EC1" w14:textId="77777777" w:rsidR="00E836FB" w:rsidRDefault="00E836FB">
            <w:pPr>
              <w:rPr>
                <w:rFonts w:ascii="宋体"/>
                <w:vanish/>
              </w:rPr>
            </w:pPr>
          </w:p>
        </w:tc>
        <w:tc>
          <w:tcPr>
            <w:tcW w:w="0" w:type="auto"/>
            <w:gridSpan w:val="3"/>
            <w:shd w:val="clear" w:color="auto" w:fill="auto"/>
            <w:vAlign w:val="bottom"/>
          </w:tcPr>
          <w:p w14:paraId="5F2C9EC2" w14:textId="77777777" w:rsidR="00E836FB" w:rsidRDefault="00E836FB">
            <w:pPr>
              <w:rPr>
                <w:rFonts w:ascii="宋体"/>
                <w:vanish/>
              </w:rPr>
            </w:pPr>
          </w:p>
        </w:tc>
      </w:tr>
      <w:tr w:rsidR="00E836FB" w14:paraId="5F2C9ECB" w14:textId="77777777">
        <w:trPr>
          <w:hidden/>
        </w:trPr>
        <w:tc>
          <w:tcPr>
            <w:tcW w:w="0" w:type="auto"/>
            <w:gridSpan w:val="3"/>
            <w:shd w:val="clear" w:color="auto" w:fill="auto"/>
            <w:vAlign w:val="bottom"/>
          </w:tcPr>
          <w:p w14:paraId="5F2C9EC4" w14:textId="77777777" w:rsidR="00E836FB" w:rsidRDefault="00E836FB">
            <w:pPr>
              <w:rPr>
                <w:rFonts w:ascii="宋体"/>
                <w:vanish/>
              </w:rPr>
            </w:pPr>
          </w:p>
        </w:tc>
        <w:tc>
          <w:tcPr>
            <w:tcW w:w="0" w:type="auto"/>
            <w:gridSpan w:val="3"/>
            <w:shd w:val="clear" w:color="auto" w:fill="auto"/>
            <w:vAlign w:val="bottom"/>
          </w:tcPr>
          <w:p w14:paraId="5F2C9EC5" w14:textId="77777777" w:rsidR="00E836FB" w:rsidRDefault="00E836FB">
            <w:pPr>
              <w:rPr>
                <w:rFonts w:ascii="宋体"/>
                <w:vanish/>
              </w:rPr>
            </w:pPr>
          </w:p>
        </w:tc>
        <w:tc>
          <w:tcPr>
            <w:tcW w:w="0" w:type="auto"/>
            <w:gridSpan w:val="3"/>
            <w:shd w:val="clear" w:color="auto" w:fill="auto"/>
            <w:vAlign w:val="bottom"/>
          </w:tcPr>
          <w:p w14:paraId="5F2C9EC6" w14:textId="77777777" w:rsidR="00E836FB" w:rsidRDefault="00E836FB">
            <w:pPr>
              <w:rPr>
                <w:rFonts w:ascii="宋体"/>
                <w:vanish/>
              </w:rPr>
            </w:pPr>
          </w:p>
        </w:tc>
        <w:tc>
          <w:tcPr>
            <w:tcW w:w="0" w:type="auto"/>
            <w:gridSpan w:val="3"/>
            <w:shd w:val="clear" w:color="auto" w:fill="auto"/>
            <w:vAlign w:val="bottom"/>
          </w:tcPr>
          <w:p w14:paraId="5F2C9EC7" w14:textId="77777777" w:rsidR="00E836FB" w:rsidRDefault="00E836FB">
            <w:pPr>
              <w:rPr>
                <w:rFonts w:ascii="宋体"/>
                <w:vanish/>
              </w:rPr>
            </w:pPr>
          </w:p>
        </w:tc>
        <w:tc>
          <w:tcPr>
            <w:tcW w:w="0" w:type="auto"/>
            <w:gridSpan w:val="3"/>
            <w:shd w:val="clear" w:color="auto" w:fill="auto"/>
            <w:vAlign w:val="bottom"/>
          </w:tcPr>
          <w:p w14:paraId="5F2C9EC8" w14:textId="77777777" w:rsidR="00E836FB" w:rsidRDefault="00E836FB">
            <w:pPr>
              <w:rPr>
                <w:rFonts w:ascii="宋体"/>
                <w:vanish/>
              </w:rPr>
            </w:pPr>
          </w:p>
        </w:tc>
        <w:tc>
          <w:tcPr>
            <w:tcW w:w="0" w:type="auto"/>
            <w:gridSpan w:val="3"/>
            <w:shd w:val="clear" w:color="auto" w:fill="auto"/>
            <w:vAlign w:val="bottom"/>
          </w:tcPr>
          <w:p w14:paraId="5F2C9EC9" w14:textId="77777777" w:rsidR="00E836FB" w:rsidRDefault="00E836FB">
            <w:pPr>
              <w:rPr>
                <w:rFonts w:ascii="宋体"/>
                <w:vanish/>
              </w:rPr>
            </w:pPr>
          </w:p>
        </w:tc>
        <w:tc>
          <w:tcPr>
            <w:tcW w:w="0" w:type="auto"/>
            <w:gridSpan w:val="3"/>
            <w:shd w:val="clear" w:color="auto" w:fill="auto"/>
            <w:vAlign w:val="bottom"/>
          </w:tcPr>
          <w:p w14:paraId="5F2C9ECA" w14:textId="77777777" w:rsidR="00E836FB" w:rsidRDefault="00E836FB">
            <w:pPr>
              <w:rPr>
                <w:rFonts w:ascii="宋体"/>
                <w:vanish/>
              </w:rPr>
            </w:pPr>
          </w:p>
        </w:tc>
      </w:tr>
      <w:tr w:rsidR="00E836FB" w14:paraId="5F2C9ED3" w14:textId="77777777">
        <w:tc>
          <w:tcPr>
            <w:tcW w:w="0" w:type="auto"/>
            <w:gridSpan w:val="3"/>
            <w:shd w:val="clear" w:color="auto" w:fill="FFFFFF"/>
            <w:tcMar>
              <w:top w:w="40" w:type="dxa"/>
              <w:left w:w="20" w:type="dxa"/>
              <w:bottom w:w="40" w:type="dxa"/>
              <w:right w:w="20" w:type="dxa"/>
            </w:tcMar>
            <w:vAlign w:val="bottom"/>
          </w:tcPr>
          <w:p w14:paraId="5F2C9ECC" w14:textId="77777777" w:rsidR="00E836FB" w:rsidRDefault="00994958">
            <w:pPr>
              <w:textAlignment w:val="bottom"/>
            </w:pPr>
            <w:r>
              <w:rPr>
                <w:rFonts w:ascii="Arial" w:eastAsia="宋体" w:hAnsi="Arial" w:cs="Arial"/>
                <w:color w:val="000000"/>
                <w:sz w:val="16"/>
                <w:szCs w:val="16"/>
              </w:rPr>
              <w:t xml:space="preserve">Adelaide Street East </w:t>
            </w:r>
          </w:p>
        </w:tc>
        <w:tc>
          <w:tcPr>
            <w:tcW w:w="0" w:type="auto"/>
            <w:gridSpan w:val="3"/>
            <w:shd w:val="clear" w:color="auto" w:fill="FFFFFF"/>
            <w:tcMar>
              <w:top w:w="0" w:type="dxa"/>
              <w:left w:w="20" w:type="dxa"/>
              <w:bottom w:w="0" w:type="dxa"/>
              <w:right w:w="20" w:type="dxa"/>
            </w:tcMar>
            <w:vAlign w:val="bottom"/>
          </w:tcPr>
          <w:p w14:paraId="5F2C9EC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CE" w14:textId="77777777" w:rsidR="00E836FB" w:rsidRDefault="00994958">
            <w:pPr>
              <w:jc w:val="center"/>
              <w:textAlignment w:val="bottom"/>
            </w:pPr>
            <w:r>
              <w:rPr>
                <w:rFonts w:ascii="Arial" w:eastAsia="宋体" w:hAnsi="Arial" w:cs="Arial"/>
                <w:color w:val="000000"/>
                <w:sz w:val="16"/>
                <w:szCs w:val="16"/>
              </w:rPr>
              <w:t>Toronto</w:t>
            </w:r>
          </w:p>
        </w:tc>
        <w:tc>
          <w:tcPr>
            <w:tcW w:w="0" w:type="auto"/>
            <w:gridSpan w:val="3"/>
            <w:shd w:val="clear" w:color="auto" w:fill="FFFFFF"/>
            <w:tcMar>
              <w:top w:w="0" w:type="dxa"/>
              <w:left w:w="20" w:type="dxa"/>
              <w:bottom w:w="0" w:type="dxa"/>
              <w:right w:w="20" w:type="dxa"/>
            </w:tcMar>
            <w:vAlign w:val="bottom"/>
          </w:tcPr>
          <w:p w14:paraId="5F2C9EC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D0" w14:textId="77777777" w:rsidR="00E836FB" w:rsidRDefault="00994958">
            <w:pPr>
              <w:jc w:val="center"/>
              <w:textAlignment w:val="bottom"/>
            </w:pPr>
            <w:r>
              <w:rPr>
                <w:rFonts w:ascii="Arial" w:eastAsia="宋体" w:hAnsi="Arial" w:cs="Arial"/>
                <w:color w:val="000000"/>
                <w:sz w:val="16"/>
                <w:szCs w:val="16"/>
              </w:rPr>
              <w:t>Canada</w:t>
            </w:r>
          </w:p>
        </w:tc>
        <w:tc>
          <w:tcPr>
            <w:tcW w:w="0" w:type="auto"/>
            <w:gridSpan w:val="3"/>
            <w:shd w:val="clear" w:color="auto" w:fill="FFFFFF"/>
            <w:tcMar>
              <w:top w:w="0" w:type="dxa"/>
              <w:left w:w="20" w:type="dxa"/>
              <w:bottom w:w="0" w:type="dxa"/>
              <w:right w:w="20" w:type="dxa"/>
            </w:tcMar>
            <w:vAlign w:val="bottom"/>
          </w:tcPr>
          <w:p w14:paraId="5F2C9ED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D2" w14:textId="77777777" w:rsidR="00E836FB" w:rsidRDefault="00994958">
            <w:pPr>
              <w:jc w:val="center"/>
              <w:textAlignment w:val="bottom"/>
            </w:pPr>
            <w:r>
              <w:rPr>
                <w:rFonts w:ascii="Arial" w:eastAsia="宋体" w:hAnsi="Arial" w:cs="Arial"/>
                <w:color w:val="000000"/>
                <w:sz w:val="16"/>
                <w:szCs w:val="16"/>
              </w:rPr>
              <w:t>Leased</w:t>
            </w:r>
          </w:p>
        </w:tc>
      </w:tr>
      <w:tr w:rsidR="00E836FB" w14:paraId="5F2C9EDB" w14:textId="77777777">
        <w:trPr>
          <w:trHeight w:val="60"/>
        </w:trPr>
        <w:tc>
          <w:tcPr>
            <w:tcW w:w="0" w:type="auto"/>
            <w:gridSpan w:val="3"/>
            <w:shd w:val="clear" w:color="auto" w:fill="auto"/>
            <w:tcMar>
              <w:top w:w="0" w:type="dxa"/>
              <w:left w:w="20" w:type="dxa"/>
              <w:bottom w:w="0" w:type="dxa"/>
              <w:right w:w="20" w:type="dxa"/>
            </w:tcMar>
            <w:vAlign w:val="bottom"/>
          </w:tcPr>
          <w:p w14:paraId="5F2C9ED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D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D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D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D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D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DA" w14:textId="77777777" w:rsidR="00E836FB" w:rsidRDefault="00E836FB">
            <w:pPr>
              <w:rPr>
                <w:rFonts w:ascii="宋体"/>
              </w:rPr>
            </w:pPr>
          </w:p>
        </w:tc>
      </w:tr>
      <w:tr w:rsidR="00E836FB" w14:paraId="5F2C9EDF" w14:textId="77777777">
        <w:tc>
          <w:tcPr>
            <w:tcW w:w="0" w:type="auto"/>
            <w:gridSpan w:val="15"/>
            <w:shd w:val="clear" w:color="auto" w:fill="auto"/>
            <w:tcMar>
              <w:top w:w="40" w:type="dxa"/>
              <w:left w:w="20" w:type="dxa"/>
              <w:bottom w:w="40" w:type="dxa"/>
              <w:right w:w="20" w:type="dxa"/>
            </w:tcMar>
            <w:vAlign w:val="bottom"/>
          </w:tcPr>
          <w:p w14:paraId="5F2C9EDC" w14:textId="77777777" w:rsidR="00E836FB" w:rsidRDefault="00994958">
            <w:pPr>
              <w:textAlignment w:val="bottom"/>
            </w:pPr>
            <w:r>
              <w:rPr>
                <w:rFonts w:ascii="Arial" w:eastAsia="宋体" w:hAnsi="Arial" w:cs="Arial"/>
                <w:b/>
                <w:bCs/>
                <w:color w:val="000000"/>
                <w:sz w:val="16"/>
                <w:szCs w:val="16"/>
              </w:rPr>
              <w:t xml:space="preserve">Europe, Middle East and </w:t>
            </w:r>
            <w:r>
              <w:rPr>
                <w:rFonts w:ascii="Arial" w:eastAsia="宋体" w:hAnsi="Arial" w:cs="Arial"/>
                <w:b/>
                <w:bCs/>
                <w:color w:val="000000"/>
                <w:sz w:val="16"/>
                <w:szCs w:val="16"/>
              </w:rPr>
              <w:t>Africa:</w:t>
            </w:r>
          </w:p>
        </w:tc>
        <w:tc>
          <w:tcPr>
            <w:tcW w:w="0" w:type="auto"/>
            <w:gridSpan w:val="3"/>
            <w:shd w:val="clear" w:color="auto" w:fill="auto"/>
            <w:tcMar>
              <w:top w:w="0" w:type="dxa"/>
              <w:left w:w="20" w:type="dxa"/>
              <w:bottom w:w="0" w:type="dxa"/>
              <w:right w:w="20" w:type="dxa"/>
            </w:tcMar>
            <w:vAlign w:val="bottom"/>
          </w:tcPr>
          <w:p w14:paraId="5F2C9ED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EDE" w14:textId="77777777" w:rsidR="00E836FB" w:rsidRDefault="00E836FB">
            <w:pPr>
              <w:rPr>
                <w:rFonts w:ascii="宋体"/>
              </w:rPr>
            </w:pPr>
          </w:p>
        </w:tc>
      </w:tr>
      <w:tr w:rsidR="00E836FB" w14:paraId="5F2C9EE7" w14:textId="77777777">
        <w:tc>
          <w:tcPr>
            <w:tcW w:w="0" w:type="auto"/>
            <w:gridSpan w:val="3"/>
            <w:shd w:val="clear" w:color="auto" w:fill="CCEEFF"/>
            <w:tcMar>
              <w:top w:w="40" w:type="dxa"/>
              <w:left w:w="20" w:type="dxa"/>
              <w:bottom w:w="40" w:type="dxa"/>
              <w:right w:w="20" w:type="dxa"/>
            </w:tcMar>
            <w:vAlign w:val="bottom"/>
          </w:tcPr>
          <w:p w14:paraId="5F2C9EE0" w14:textId="77777777" w:rsidR="00E836FB" w:rsidRDefault="00994958">
            <w:pPr>
              <w:textAlignment w:val="bottom"/>
            </w:pPr>
            <w:r>
              <w:rPr>
                <w:rFonts w:ascii="Arial" w:eastAsia="宋体" w:hAnsi="Arial" w:cs="Arial"/>
                <w:color w:val="000000"/>
                <w:sz w:val="16"/>
                <w:szCs w:val="16"/>
              </w:rPr>
              <w:t xml:space="preserve">Churchill Place </w:t>
            </w:r>
          </w:p>
        </w:tc>
        <w:tc>
          <w:tcPr>
            <w:tcW w:w="0" w:type="auto"/>
            <w:gridSpan w:val="3"/>
            <w:shd w:val="clear" w:color="auto" w:fill="CCEEFF"/>
            <w:tcMar>
              <w:top w:w="0" w:type="dxa"/>
              <w:left w:w="20" w:type="dxa"/>
              <w:bottom w:w="0" w:type="dxa"/>
              <w:right w:w="20" w:type="dxa"/>
            </w:tcMar>
            <w:vAlign w:val="bottom"/>
          </w:tcPr>
          <w:p w14:paraId="5F2C9EE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E2" w14:textId="77777777" w:rsidR="00E836FB" w:rsidRDefault="00994958">
            <w:pPr>
              <w:jc w:val="center"/>
              <w:textAlignment w:val="bottom"/>
            </w:pPr>
            <w:r>
              <w:rPr>
                <w:rFonts w:ascii="Arial" w:eastAsia="宋体" w:hAnsi="Arial" w:cs="Arial"/>
                <w:color w:val="000000"/>
                <w:sz w:val="16"/>
                <w:szCs w:val="16"/>
              </w:rPr>
              <w:t>London</w:t>
            </w:r>
          </w:p>
        </w:tc>
        <w:tc>
          <w:tcPr>
            <w:tcW w:w="0" w:type="auto"/>
            <w:gridSpan w:val="3"/>
            <w:shd w:val="clear" w:color="auto" w:fill="CCEEFF"/>
            <w:tcMar>
              <w:top w:w="0" w:type="dxa"/>
              <w:left w:w="20" w:type="dxa"/>
              <w:bottom w:w="0" w:type="dxa"/>
              <w:right w:w="20" w:type="dxa"/>
            </w:tcMar>
            <w:vAlign w:val="bottom"/>
          </w:tcPr>
          <w:p w14:paraId="5F2C9EE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E4" w14:textId="77777777" w:rsidR="00E836FB" w:rsidRDefault="00994958">
            <w:pPr>
              <w:jc w:val="center"/>
              <w:textAlignment w:val="bottom"/>
            </w:pPr>
            <w:r>
              <w:rPr>
                <w:rFonts w:ascii="Arial" w:eastAsia="宋体" w:hAnsi="Arial" w:cs="Arial"/>
                <w:color w:val="000000"/>
                <w:sz w:val="16"/>
                <w:szCs w:val="16"/>
              </w:rPr>
              <w:t>England</w:t>
            </w:r>
          </w:p>
        </w:tc>
        <w:tc>
          <w:tcPr>
            <w:tcW w:w="0" w:type="auto"/>
            <w:gridSpan w:val="3"/>
            <w:shd w:val="clear" w:color="auto" w:fill="CCEEFF"/>
            <w:tcMar>
              <w:top w:w="0" w:type="dxa"/>
              <w:left w:w="20" w:type="dxa"/>
              <w:bottom w:w="0" w:type="dxa"/>
              <w:right w:w="20" w:type="dxa"/>
            </w:tcMar>
            <w:vAlign w:val="bottom"/>
          </w:tcPr>
          <w:p w14:paraId="5F2C9EE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EE6" w14:textId="77777777" w:rsidR="00E836FB" w:rsidRDefault="00994958">
            <w:pPr>
              <w:jc w:val="center"/>
              <w:textAlignment w:val="bottom"/>
            </w:pPr>
            <w:r>
              <w:rPr>
                <w:rFonts w:ascii="Arial" w:eastAsia="宋体" w:hAnsi="Arial" w:cs="Arial"/>
                <w:color w:val="000000"/>
                <w:sz w:val="16"/>
                <w:szCs w:val="16"/>
              </w:rPr>
              <w:t>Leased</w:t>
            </w:r>
          </w:p>
        </w:tc>
      </w:tr>
      <w:tr w:rsidR="00E836FB" w14:paraId="5F2C9EEF" w14:textId="77777777">
        <w:trPr>
          <w:hidden/>
        </w:trPr>
        <w:tc>
          <w:tcPr>
            <w:tcW w:w="0" w:type="auto"/>
            <w:gridSpan w:val="3"/>
            <w:shd w:val="clear" w:color="auto" w:fill="auto"/>
            <w:vAlign w:val="bottom"/>
          </w:tcPr>
          <w:p w14:paraId="5F2C9EE8" w14:textId="77777777" w:rsidR="00E836FB" w:rsidRDefault="00E836FB">
            <w:pPr>
              <w:rPr>
                <w:rFonts w:ascii="宋体"/>
                <w:vanish/>
              </w:rPr>
            </w:pPr>
          </w:p>
        </w:tc>
        <w:tc>
          <w:tcPr>
            <w:tcW w:w="0" w:type="auto"/>
            <w:gridSpan w:val="3"/>
            <w:shd w:val="clear" w:color="auto" w:fill="auto"/>
            <w:vAlign w:val="bottom"/>
          </w:tcPr>
          <w:p w14:paraId="5F2C9EE9" w14:textId="77777777" w:rsidR="00E836FB" w:rsidRDefault="00E836FB">
            <w:pPr>
              <w:rPr>
                <w:rFonts w:ascii="宋体"/>
                <w:vanish/>
              </w:rPr>
            </w:pPr>
          </w:p>
        </w:tc>
        <w:tc>
          <w:tcPr>
            <w:tcW w:w="0" w:type="auto"/>
            <w:gridSpan w:val="3"/>
            <w:shd w:val="clear" w:color="auto" w:fill="auto"/>
            <w:vAlign w:val="bottom"/>
          </w:tcPr>
          <w:p w14:paraId="5F2C9EEA" w14:textId="77777777" w:rsidR="00E836FB" w:rsidRDefault="00E836FB">
            <w:pPr>
              <w:rPr>
                <w:rFonts w:ascii="宋体"/>
                <w:vanish/>
              </w:rPr>
            </w:pPr>
          </w:p>
        </w:tc>
        <w:tc>
          <w:tcPr>
            <w:tcW w:w="0" w:type="auto"/>
            <w:gridSpan w:val="3"/>
            <w:shd w:val="clear" w:color="auto" w:fill="auto"/>
            <w:vAlign w:val="bottom"/>
          </w:tcPr>
          <w:p w14:paraId="5F2C9EEB" w14:textId="77777777" w:rsidR="00E836FB" w:rsidRDefault="00E836FB">
            <w:pPr>
              <w:rPr>
                <w:rFonts w:ascii="宋体"/>
                <w:vanish/>
              </w:rPr>
            </w:pPr>
          </w:p>
        </w:tc>
        <w:tc>
          <w:tcPr>
            <w:tcW w:w="0" w:type="auto"/>
            <w:gridSpan w:val="3"/>
            <w:shd w:val="clear" w:color="auto" w:fill="auto"/>
            <w:vAlign w:val="bottom"/>
          </w:tcPr>
          <w:p w14:paraId="5F2C9EEC" w14:textId="77777777" w:rsidR="00E836FB" w:rsidRDefault="00E836FB">
            <w:pPr>
              <w:rPr>
                <w:rFonts w:ascii="宋体"/>
                <w:vanish/>
              </w:rPr>
            </w:pPr>
          </w:p>
        </w:tc>
        <w:tc>
          <w:tcPr>
            <w:tcW w:w="0" w:type="auto"/>
            <w:gridSpan w:val="3"/>
            <w:shd w:val="clear" w:color="auto" w:fill="auto"/>
            <w:vAlign w:val="bottom"/>
          </w:tcPr>
          <w:p w14:paraId="5F2C9EED" w14:textId="77777777" w:rsidR="00E836FB" w:rsidRDefault="00E836FB">
            <w:pPr>
              <w:rPr>
                <w:rFonts w:ascii="宋体"/>
                <w:vanish/>
              </w:rPr>
            </w:pPr>
          </w:p>
        </w:tc>
        <w:tc>
          <w:tcPr>
            <w:tcW w:w="0" w:type="auto"/>
            <w:gridSpan w:val="3"/>
            <w:shd w:val="clear" w:color="auto" w:fill="auto"/>
            <w:vAlign w:val="bottom"/>
          </w:tcPr>
          <w:p w14:paraId="5F2C9EEE" w14:textId="77777777" w:rsidR="00E836FB" w:rsidRDefault="00E836FB">
            <w:pPr>
              <w:rPr>
                <w:rFonts w:ascii="宋体"/>
                <w:vanish/>
              </w:rPr>
            </w:pPr>
          </w:p>
        </w:tc>
      </w:tr>
      <w:tr w:rsidR="00E836FB" w14:paraId="5F2C9EF7" w14:textId="77777777">
        <w:tc>
          <w:tcPr>
            <w:tcW w:w="0" w:type="auto"/>
            <w:gridSpan w:val="3"/>
            <w:shd w:val="clear" w:color="auto" w:fill="FFFFFF"/>
            <w:tcMar>
              <w:top w:w="40" w:type="dxa"/>
              <w:left w:w="20" w:type="dxa"/>
              <w:bottom w:w="40" w:type="dxa"/>
              <w:right w:w="20" w:type="dxa"/>
            </w:tcMar>
            <w:vAlign w:val="bottom"/>
          </w:tcPr>
          <w:p w14:paraId="5F2C9EF0" w14:textId="77777777" w:rsidR="00E836FB" w:rsidRDefault="00994958">
            <w:pPr>
              <w:textAlignment w:val="bottom"/>
            </w:pPr>
            <w:r>
              <w:rPr>
                <w:rFonts w:ascii="Arial" w:eastAsia="宋体" w:hAnsi="Arial" w:cs="Arial"/>
                <w:color w:val="000000"/>
                <w:sz w:val="16"/>
                <w:szCs w:val="16"/>
              </w:rPr>
              <w:t>Sir John Rogerson's Quay</w:t>
            </w:r>
          </w:p>
        </w:tc>
        <w:tc>
          <w:tcPr>
            <w:tcW w:w="0" w:type="auto"/>
            <w:gridSpan w:val="3"/>
            <w:shd w:val="clear" w:color="auto" w:fill="FFFFFF"/>
            <w:tcMar>
              <w:top w:w="0" w:type="dxa"/>
              <w:left w:w="20" w:type="dxa"/>
              <w:bottom w:w="0" w:type="dxa"/>
              <w:right w:w="20" w:type="dxa"/>
            </w:tcMar>
            <w:vAlign w:val="bottom"/>
          </w:tcPr>
          <w:p w14:paraId="5F2C9EF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F2" w14:textId="77777777" w:rsidR="00E836FB" w:rsidRDefault="00994958">
            <w:pPr>
              <w:jc w:val="center"/>
              <w:textAlignment w:val="bottom"/>
            </w:pPr>
            <w:r>
              <w:rPr>
                <w:rFonts w:ascii="Arial" w:eastAsia="宋体" w:hAnsi="Arial" w:cs="Arial"/>
                <w:color w:val="000000"/>
                <w:sz w:val="16"/>
                <w:szCs w:val="16"/>
              </w:rPr>
              <w:t>Dublin</w:t>
            </w:r>
          </w:p>
        </w:tc>
        <w:tc>
          <w:tcPr>
            <w:tcW w:w="0" w:type="auto"/>
            <w:gridSpan w:val="3"/>
            <w:shd w:val="clear" w:color="auto" w:fill="FFFFFF"/>
            <w:tcMar>
              <w:top w:w="0" w:type="dxa"/>
              <w:left w:w="20" w:type="dxa"/>
              <w:bottom w:w="0" w:type="dxa"/>
              <w:right w:w="20" w:type="dxa"/>
            </w:tcMar>
            <w:vAlign w:val="bottom"/>
          </w:tcPr>
          <w:p w14:paraId="5F2C9EF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F4" w14:textId="77777777" w:rsidR="00E836FB" w:rsidRDefault="00994958">
            <w:pPr>
              <w:jc w:val="center"/>
              <w:textAlignment w:val="bottom"/>
            </w:pPr>
            <w:r>
              <w:rPr>
                <w:rFonts w:ascii="Arial" w:eastAsia="宋体" w:hAnsi="Arial" w:cs="Arial"/>
                <w:color w:val="000000"/>
                <w:sz w:val="16"/>
                <w:szCs w:val="16"/>
              </w:rPr>
              <w:t>Ireland</w:t>
            </w:r>
          </w:p>
        </w:tc>
        <w:tc>
          <w:tcPr>
            <w:tcW w:w="0" w:type="auto"/>
            <w:gridSpan w:val="3"/>
            <w:shd w:val="clear" w:color="auto" w:fill="FFFFFF"/>
            <w:tcMar>
              <w:top w:w="0" w:type="dxa"/>
              <w:left w:w="20" w:type="dxa"/>
              <w:bottom w:w="0" w:type="dxa"/>
              <w:right w:w="20" w:type="dxa"/>
            </w:tcMar>
            <w:vAlign w:val="bottom"/>
          </w:tcPr>
          <w:p w14:paraId="5F2C9EF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EF6" w14:textId="77777777" w:rsidR="00E836FB" w:rsidRDefault="00994958">
            <w:pPr>
              <w:jc w:val="center"/>
              <w:textAlignment w:val="bottom"/>
            </w:pPr>
            <w:r>
              <w:rPr>
                <w:rFonts w:ascii="Arial" w:eastAsia="宋体" w:hAnsi="Arial" w:cs="Arial"/>
                <w:color w:val="000000"/>
                <w:sz w:val="16"/>
                <w:szCs w:val="16"/>
              </w:rPr>
              <w:t>Leased</w:t>
            </w:r>
          </w:p>
        </w:tc>
      </w:tr>
      <w:tr w:rsidR="00E836FB" w14:paraId="5F2C9EFF" w14:textId="77777777">
        <w:trPr>
          <w:hidden/>
        </w:trPr>
        <w:tc>
          <w:tcPr>
            <w:tcW w:w="0" w:type="auto"/>
            <w:gridSpan w:val="3"/>
            <w:shd w:val="clear" w:color="auto" w:fill="auto"/>
            <w:vAlign w:val="bottom"/>
          </w:tcPr>
          <w:p w14:paraId="5F2C9EF8" w14:textId="77777777" w:rsidR="00E836FB" w:rsidRDefault="00E836FB">
            <w:pPr>
              <w:rPr>
                <w:rFonts w:ascii="宋体"/>
                <w:vanish/>
              </w:rPr>
            </w:pPr>
          </w:p>
        </w:tc>
        <w:tc>
          <w:tcPr>
            <w:tcW w:w="0" w:type="auto"/>
            <w:gridSpan w:val="3"/>
            <w:shd w:val="clear" w:color="auto" w:fill="auto"/>
            <w:vAlign w:val="bottom"/>
          </w:tcPr>
          <w:p w14:paraId="5F2C9EF9" w14:textId="77777777" w:rsidR="00E836FB" w:rsidRDefault="00E836FB">
            <w:pPr>
              <w:rPr>
                <w:rFonts w:ascii="宋体"/>
                <w:vanish/>
              </w:rPr>
            </w:pPr>
          </w:p>
        </w:tc>
        <w:tc>
          <w:tcPr>
            <w:tcW w:w="0" w:type="auto"/>
            <w:gridSpan w:val="3"/>
            <w:shd w:val="clear" w:color="auto" w:fill="auto"/>
            <w:vAlign w:val="bottom"/>
          </w:tcPr>
          <w:p w14:paraId="5F2C9EFA" w14:textId="77777777" w:rsidR="00E836FB" w:rsidRDefault="00E836FB">
            <w:pPr>
              <w:rPr>
                <w:rFonts w:ascii="宋体"/>
                <w:vanish/>
              </w:rPr>
            </w:pPr>
          </w:p>
        </w:tc>
        <w:tc>
          <w:tcPr>
            <w:tcW w:w="0" w:type="auto"/>
            <w:gridSpan w:val="3"/>
            <w:shd w:val="clear" w:color="auto" w:fill="auto"/>
            <w:vAlign w:val="bottom"/>
          </w:tcPr>
          <w:p w14:paraId="5F2C9EFB" w14:textId="77777777" w:rsidR="00E836FB" w:rsidRDefault="00E836FB">
            <w:pPr>
              <w:rPr>
                <w:rFonts w:ascii="宋体"/>
                <w:vanish/>
              </w:rPr>
            </w:pPr>
          </w:p>
        </w:tc>
        <w:tc>
          <w:tcPr>
            <w:tcW w:w="0" w:type="auto"/>
            <w:gridSpan w:val="3"/>
            <w:shd w:val="clear" w:color="auto" w:fill="auto"/>
            <w:vAlign w:val="bottom"/>
          </w:tcPr>
          <w:p w14:paraId="5F2C9EFC" w14:textId="77777777" w:rsidR="00E836FB" w:rsidRDefault="00E836FB">
            <w:pPr>
              <w:rPr>
                <w:rFonts w:ascii="宋体"/>
                <w:vanish/>
              </w:rPr>
            </w:pPr>
          </w:p>
        </w:tc>
        <w:tc>
          <w:tcPr>
            <w:tcW w:w="0" w:type="auto"/>
            <w:gridSpan w:val="3"/>
            <w:shd w:val="clear" w:color="auto" w:fill="auto"/>
            <w:vAlign w:val="bottom"/>
          </w:tcPr>
          <w:p w14:paraId="5F2C9EFD" w14:textId="77777777" w:rsidR="00E836FB" w:rsidRDefault="00E836FB">
            <w:pPr>
              <w:rPr>
                <w:rFonts w:ascii="宋体"/>
                <w:vanish/>
              </w:rPr>
            </w:pPr>
          </w:p>
        </w:tc>
        <w:tc>
          <w:tcPr>
            <w:tcW w:w="0" w:type="auto"/>
            <w:gridSpan w:val="3"/>
            <w:shd w:val="clear" w:color="auto" w:fill="auto"/>
            <w:vAlign w:val="bottom"/>
          </w:tcPr>
          <w:p w14:paraId="5F2C9EFE" w14:textId="77777777" w:rsidR="00E836FB" w:rsidRDefault="00E836FB">
            <w:pPr>
              <w:rPr>
                <w:rFonts w:ascii="宋体"/>
                <w:vanish/>
              </w:rPr>
            </w:pPr>
          </w:p>
        </w:tc>
      </w:tr>
      <w:tr w:rsidR="00E836FB" w14:paraId="5F2C9F07" w14:textId="77777777">
        <w:tc>
          <w:tcPr>
            <w:tcW w:w="0" w:type="auto"/>
            <w:gridSpan w:val="3"/>
            <w:shd w:val="clear" w:color="auto" w:fill="CCEEFF"/>
            <w:tcMar>
              <w:top w:w="40" w:type="dxa"/>
              <w:left w:w="20" w:type="dxa"/>
              <w:bottom w:w="40" w:type="dxa"/>
              <w:right w:w="20" w:type="dxa"/>
            </w:tcMar>
            <w:vAlign w:val="bottom"/>
          </w:tcPr>
          <w:p w14:paraId="5F2C9F00" w14:textId="77777777" w:rsidR="00E836FB" w:rsidRDefault="00994958">
            <w:pPr>
              <w:textAlignment w:val="bottom"/>
            </w:pPr>
            <w:r>
              <w:rPr>
                <w:rFonts w:ascii="Arial" w:eastAsia="宋体" w:hAnsi="Arial" w:cs="Arial"/>
                <w:color w:val="000000"/>
                <w:sz w:val="16"/>
                <w:szCs w:val="16"/>
              </w:rPr>
              <w:t xml:space="preserve">Kirchberg </w:t>
            </w:r>
          </w:p>
        </w:tc>
        <w:tc>
          <w:tcPr>
            <w:tcW w:w="0" w:type="auto"/>
            <w:gridSpan w:val="3"/>
            <w:shd w:val="clear" w:color="auto" w:fill="CCEEFF"/>
            <w:tcMar>
              <w:top w:w="0" w:type="dxa"/>
              <w:left w:w="20" w:type="dxa"/>
              <w:bottom w:w="0" w:type="dxa"/>
              <w:right w:w="20" w:type="dxa"/>
            </w:tcMar>
            <w:vAlign w:val="bottom"/>
          </w:tcPr>
          <w:p w14:paraId="5F2C9F0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02" w14:textId="77777777" w:rsidR="00E836FB" w:rsidRDefault="00994958">
            <w:pPr>
              <w:jc w:val="center"/>
              <w:textAlignment w:val="bottom"/>
            </w:pPr>
            <w:r>
              <w:rPr>
                <w:rFonts w:ascii="Arial" w:eastAsia="宋体" w:hAnsi="Arial" w:cs="Arial"/>
                <w:color w:val="000000"/>
                <w:sz w:val="16"/>
                <w:szCs w:val="16"/>
              </w:rPr>
              <w:t>Luxembourg</w:t>
            </w:r>
          </w:p>
        </w:tc>
        <w:tc>
          <w:tcPr>
            <w:tcW w:w="0" w:type="auto"/>
            <w:gridSpan w:val="3"/>
            <w:shd w:val="clear" w:color="auto" w:fill="CCEEFF"/>
            <w:tcMar>
              <w:top w:w="0" w:type="dxa"/>
              <w:left w:w="20" w:type="dxa"/>
              <w:bottom w:w="0" w:type="dxa"/>
              <w:right w:w="20" w:type="dxa"/>
            </w:tcMar>
            <w:vAlign w:val="bottom"/>
          </w:tcPr>
          <w:p w14:paraId="5F2C9F0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04" w14:textId="77777777" w:rsidR="00E836FB" w:rsidRDefault="00994958">
            <w:pPr>
              <w:jc w:val="center"/>
              <w:textAlignment w:val="bottom"/>
            </w:pPr>
            <w:r>
              <w:rPr>
                <w:rFonts w:ascii="Arial" w:eastAsia="宋体" w:hAnsi="Arial" w:cs="Arial"/>
                <w:color w:val="000000"/>
                <w:sz w:val="16"/>
                <w:szCs w:val="16"/>
              </w:rPr>
              <w:t>Luxembourg</w:t>
            </w:r>
          </w:p>
        </w:tc>
        <w:tc>
          <w:tcPr>
            <w:tcW w:w="0" w:type="auto"/>
            <w:gridSpan w:val="3"/>
            <w:shd w:val="clear" w:color="auto" w:fill="CCEEFF"/>
            <w:tcMar>
              <w:top w:w="0" w:type="dxa"/>
              <w:left w:w="20" w:type="dxa"/>
              <w:bottom w:w="0" w:type="dxa"/>
              <w:right w:w="20" w:type="dxa"/>
            </w:tcMar>
            <w:vAlign w:val="bottom"/>
          </w:tcPr>
          <w:p w14:paraId="5F2C9F0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06" w14:textId="77777777" w:rsidR="00E836FB" w:rsidRDefault="00994958">
            <w:pPr>
              <w:jc w:val="center"/>
              <w:textAlignment w:val="bottom"/>
            </w:pPr>
            <w:r>
              <w:rPr>
                <w:rFonts w:ascii="Arial" w:eastAsia="宋体" w:hAnsi="Arial" w:cs="Arial"/>
                <w:color w:val="000000"/>
                <w:sz w:val="16"/>
                <w:szCs w:val="16"/>
              </w:rPr>
              <w:t>Leased</w:t>
            </w:r>
          </w:p>
        </w:tc>
      </w:tr>
      <w:tr w:rsidR="00E836FB" w14:paraId="5F2C9F0F" w14:textId="77777777">
        <w:tc>
          <w:tcPr>
            <w:tcW w:w="0" w:type="auto"/>
            <w:gridSpan w:val="3"/>
            <w:shd w:val="clear" w:color="auto" w:fill="FFFFFF"/>
            <w:tcMar>
              <w:top w:w="40" w:type="dxa"/>
              <w:left w:w="20" w:type="dxa"/>
              <w:bottom w:w="40" w:type="dxa"/>
              <w:right w:w="20" w:type="dxa"/>
            </w:tcMar>
            <w:vAlign w:val="bottom"/>
          </w:tcPr>
          <w:p w14:paraId="5F2C9F08" w14:textId="77777777" w:rsidR="00E836FB" w:rsidRDefault="00994958">
            <w:pPr>
              <w:textAlignment w:val="bottom"/>
            </w:pPr>
            <w:r>
              <w:rPr>
                <w:rFonts w:ascii="Arial" w:eastAsia="宋体" w:hAnsi="Arial" w:cs="Arial"/>
                <w:color w:val="000000"/>
                <w:sz w:val="16"/>
                <w:szCs w:val="16"/>
              </w:rPr>
              <w:t xml:space="preserve">Titanium Tower </w:t>
            </w:r>
          </w:p>
        </w:tc>
        <w:tc>
          <w:tcPr>
            <w:tcW w:w="0" w:type="auto"/>
            <w:gridSpan w:val="3"/>
            <w:shd w:val="clear" w:color="auto" w:fill="FFFFFF"/>
            <w:tcMar>
              <w:top w:w="0" w:type="dxa"/>
              <w:left w:w="20" w:type="dxa"/>
              <w:bottom w:w="0" w:type="dxa"/>
              <w:right w:w="20" w:type="dxa"/>
            </w:tcMar>
            <w:vAlign w:val="bottom"/>
          </w:tcPr>
          <w:p w14:paraId="5F2C9F09"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0A" w14:textId="77777777" w:rsidR="00E836FB" w:rsidRDefault="00994958">
            <w:pPr>
              <w:jc w:val="center"/>
              <w:textAlignment w:val="bottom"/>
            </w:pPr>
            <w:r>
              <w:rPr>
                <w:rFonts w:ascii="Arial" w:eastAsia="宋体" w:hAnsi="Arial" w:cs="Arial"/>
                <w:color w:val="000000"/>
                <w:sz w:val="16"/>
                <w:szCs w:val="16"/>
              </w:rPr>
              <w:t>Gdansk</w:t>
            </w:r>
          </w:p>
        </w:tc>
        <w:tc>
          <w:tcPr>
            <w:tcW w:w="0" w:type="auto"/>
            <w:gridSpan w:val="3"/>
            <w:shd w:val="clear" w:color="auto" w:fill="FFFFFF"/>
            <w:tcMar>
              <w:top w:w="0" w:type="dxa"/>
              <w:left w:w="20" w:type="dxa"/>
              <w:bottom w:w="0" w:type="dxa"/>
              <w:right w:w="20" w:type="dxa"/>
            </w:tcMar>
            <w:vAlign w:val="bottom"/>
          </w:tcPr>
          <w:p w14:paraId="5F2C9F0B"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0C" w14:textId="77777777" w:rsidR="00E836FB" w:rsidRDefault="00994958">
            <w:pPr>
              <w:jc w:val="center"/>
              <w:textAlignment w:val="bottom"/>
            </w:pPr>
            <w:r>
              <w:rPr>
                <w:rFonts w:ascii="Arial" w:eastAsia="宋体" w:hAnsi="Arial" w:cs="Arial"/>
                <w:color w:val="000000"/>
                <w:sz w:val="16"/>
                <w:szCs w:val="16"/>
              </w:rPr>
              <w:t>Poland</w:t>
            </w:r>
          </w:p>
        </w:tc>
        <w:tc>
          <w:tcPr>
            <w:tcW w:w="0" w:type="auto"/>
            <w:gridSpan w:val="3"/>
            <w:shd w:val="clear" w:color="auto" w:fill="FFFFFF"/>
            <w:tcMar>
              <w:top w:w="0" w:type="dxa"/>
              <w:left w:w="20" w:type="dxa"/>
              <w:bottom w:w="0" w:type="dxa"/>
              <w:right w:w="20" w:type="dxa"/>
            </w:tcMar>
            <w:vAlign w:val="bottom"/>
          </w:tcPr>
          <w:p w14:paraId="5F2C9F0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0E" w14:textId="77777777" w:rsidR="00E836FB" w:rsidRDefault="00994958">
            <w:pPr>
              <w:jc w:val="center"/>
              <w:textAlignment w:val="bottom"/>
            </w:pPr>
            <w:r>
              <w:rPr>
                <w:rFonts w:ascii="Arial" w:eastAsia="宋体" w:hAnsi="Arial" w:cs="Arial"/>
                <w:color w:val="000000"/>
                <w:sz w:val="16"/>
                <w:szCs w:val="16"/>
              </w:rPr>
              <w:t>Leased</w:t>
            </w:r>
          </w:p>
        </w:tc>
      </w:tr>
      <w:tr w:rsidR="00E836FB" w14:paraId="5F2C9F17" w14:textId="77777777">
        <w:tc>
          <w:tcPr>
            <w:tcW w:w="0" w:type="auto"/>
            <w:gridSpan w:val="3"/>
            <w:shd w:val="clear" w:color="auto" w:fill="CCEEFF"/>
            <w:tcMar>
              <w:top w:w="40" w:type="dxa"/>
              <w:left w:w="20" w:type="dxa"/>
              <w:bottom w:w="40" w:type="dxa"/>
              <w:right w:w="20" w:type="dxa"/>
            </w:tcMar>
            <w:vAlign w:val="bottom"/>
          </w:tcPr>
          <w:p w14:paraId="5F2C9F10" w14:textId="77777777" w:rsidR="00E836FB" w:rsidRDefault="00994958">
            <w:pPr>
              <w:textAlignment w:val="bottom"/>
            </w:pPr>
            <w:r>
              <w:rPr>
                <w:rFonts w:ascii="Arial" w:eastAsia="宋体" w:hAnsi="Arial" w:cs="Arial"/>
                <w:color w:val="000000"/>
                <w:sz w:val="16"/>
                <w:szCs w:val="16"/>
              </w:rPr>
              <w:t>BIG</w:t>
            </w:r>
          </w:p>
        </w:tc>
        <w:tc>
          <w:tcPr>
            <w:tcW w:w="0" w:type="auto"/>
            <w:gridSpan w:val="3"/>
            <w:shd w:val="clear" w:color="auto" w:fill="CCEEFF"/>
            <w:tcMar>
              <w:top w:w="0" w:type="dxa"/>
              <w:left w:w="20" w:type="dxa"/>
              <w:bottom w:w="0" w:type="dxa"/>
              <w:right w:w="20" w:type="dxa"/>
            </w:tcMar>
            <w:vAlign w:val="bottom"/>
          </w:tcPr>
          <w:p w14:paraId="5F2C9F1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12" w14:textId="77777777" w:rsidR="00E836FB" w:rsidRDefault="00994958">
            <w:pPr>
              <w:jc w:val="center"/>
              <w:textAlignment w:val="bottom"/>
            </w:pPr>
            <w:r>
              <w:rPr>
                <w:rFonts w:ascii="Arial" w:eastAsia="宋体" w:hAnsi="Arial" w:cs="Arial"/>
                <w:color w:val="000000"/>
                <w:sz w:val="16"/>
                <w:szCs w:val="16"/>
              </w:rPr>
              <w:t>Krakow</w:t>
            </w:r>
          </w:p>
        </w:tc>
        <w:tc>
          <w:tcPr>
            <w:tcW w:w="0" w:type="auto"/>
            <w:gridSpan w:val="3"/>
            <w:shd w:val="clear" w:color="auto" w:fill="CCEEFF"/>
            <w:tcMar>
              <w:top w:w="0" w:type="dxa"/>
              <w:left w:w="20" w:type="dxa"/>
              <w:bottom w:w="0" w:type="dxa"/>
              <w:right w:w="20" w:type="dxa"/>
            </w:tcMar>
            <w:vAlign w:val="bottom"/>
          </w:tcPr>
          <w:p w14:paraId="5F2C9F1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14" w14:textId="77777777" w:rsidR="00E836FB" w:rsidRDefault="00994958">
            <w:pPr>
              <w:jc w:val="center"/>
              <w:textAlignment w:val="bottom"/>
            </w:pPr>
            <w:r>
              <w:rPr>
                <w:rFonts w:ascii="Arial" w:eastAsia="宋体" w:hAnsi="Arial" w:cs="Arial"/>
                <w:color w:val="000000"/>
                <w:sz w:val="16"/>
                <w:szCs w:val="16"/>
              </w:rPr>
              <w:t>Poland</w:t>
            </w:r>
          </w:p>
        </w:tc>
        <w:tc>
          <w:tcPr>
            <w:tcW w:w="0" w:type="auto"/>
            <w:gridSpan w:val="3"/>
            <w:shd w:val="clear" w:color="auto" w:fill="CCEEFF"/>
            <w:tcMar>
              <w:top w:w="0" w:type="dxa"/>
              <w:left w:w="20" w:type="dxa"/>
              <w:bottom w:w="0" w:type="dxa"/>
              <w:right w:w="20" w:type="dxa"/>
            </w:tcMar>
            <w:vAlign w:val="bottom"/>
          </w:tcPr>
          <w:p w14:paraId="5F2C9F1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16" w14:textId="77777777" w:rsidR="00E836FB" w:rsidRDefault="00994958">
            <w:pPr>
              <w:jc w:val="center"/>
              <w:textAlignment w:val="bottom"/>
            </w:pPr>
            <w:r>
              <w:rPr>
                <w:rFonts w:ascii="Arial" w:eastAsia="宋体" w:hAnsi="Arial" w:cs="Arial"/>
                <w:color w:val="000000"/>
                <w:sz w:val="16"/>
                <w:szCs w:val="16"/>
              </w:rPr>
              <w:t>Leased</w:t>
            </w:r>
          </w:p>
        </w:tc>
      </w:tr>
      <w:tr w:rsidR="00E836FB" w14:paraId="5F2C9F1F" w14:textId="77777777">
        <w:tc>
          <w:tcPr>
            <w:tcW w:w="0" w:type="auto"/>
            <w:gridSpan w:val="3"/>
            <w:shd w:val="clear" w:color="auto" w:fill="FFFFFF"/>
            <w:tcMar>
              <w:top w:w="40" w:type="dxa"/>
              <w:left w:w="20" w:type="dxa"/>
              <w:bottom w:w="40" w:type="dxa"/>
              <w:right w:w="20" w:type="dxa"/>
            </w:tcMar>
            <w:vAlign w:val="bottom"/>
          </w:tcPr>
          <w:p w14:paraId="5F2C9F18" w14:textId="77777777" w:rsidR="00E836FB" w:rsidRDefault="00994958">
            <w:pPr>
              <w:textAlignment w:val="bottom"/>
            </w:pPr>
            <w:r>
              <w:rPr>
                <w:rFonts w:ascii="Arial" w:eastAsia="宋体" w:hAnsi="Arial" w:cs="Arial"/>
                <w:color w:val="000000"/>
                <w:sz w:val="16"/>
                <w:szCs w:val="16"/>
              </w:rPr>
              <w:t>CBK</w:t>
            </w:r>
          </w:p>
        </w:tc>
        <w:tc>
          <w:tcPr>
            <w:tcW w:w="0" w:type="auto"/>
            <w:gridSpan w:val="3"/>
            <w:shd w:val="clear" w:color="auto" w:fill="FFFFFF"/>
            <w:tcMar>
              <w:top w:w="0" w:type="dxa"/>
              <w:left w:w="20" w:type="dxa"/>
              <w:bottom w:w="0" w:type="dxa"/>
              <w:right w:w="20" w:type="dxa"/>
            </w:tcMar>
            <w:vAlign w:val="bottom"/>
          </w:tcPr>
          <w:p w14:paraId="5F2C9F19"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1A" w14:textId="77777777" w:rsidR="00E836FB" w:rsidRDefault="00994958">
            <w:pPr>
              <w:jc w:val="center"/>
              <w:textAlignment w:val="bottom"/>
            </w:pPr>
            <w:r>
              <w:rPr>
                <w:rFonts w:ascii="Arial" w:eastAsia="宋体" w:hAnsi="Arial" w:cs="Arial"/>
                <w:color w:val="000000"/>
                <w:sz w:val="16"/>
                <w:szCs w:val="16"/>
              </w:rPr>
              <w:t>Krakow</w:t>
            </w:r>
          </w:p>
        </w:tc>
        <w:tc>
          <w:tcPr>
            <w:tcW w:w="0" w:type="auto"/>
            <w:gridSpan w:val="3"/>
            <w:shd w:val="clear" w:color="auto" w:fill="FFFFFF"/>
            <w:tcMar>
              <w:top w:w="0" w:type="dxa"/>
              <w:left w:w="20" w:type="dxa"/>
              <w:bottom w:w="0" w:type="dxa"/>
              <w:right w:w="20" w:type="dxa"/>
            </w:tcMar>
            <w:vAlign w:val="bottom"/>
          </w:tcPr>
          <w:p w14:paraId="5F2C9F1B"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1C" w14:textId="77777777" w:rsidR="00E836FB" w:rsidRDefault="00994958">
            <w:pPr>
              <w:jc w:val="center"/>
              <w:textAlignment w:val="bottom"/>
            </w:pPr>
            <w:r>
              <w:rPr>
                <w:rFonts w:ascii="Arial" w:eastAsia="宋体" w:hAnsi="Arial" w:cs="Arial"/>
                <w:color w:val="000000"/>
                <w:sz w:val="16"/>
                <w:szCs w:val="16"/>
              </w:rPr>
              <w:t>Poland</w:t>
            </w:r>
          </w:p>
        </w:tc>
        <w:tc>
          <w:tcPr>
            <w:tcW w:w="0" w:type="auto"/>
            <w:gridSpan w:val="3"/>
            <w:shd w:val="clear" w:color="auto" w:fill="FFFFFF"/>
            <w:tcMar>
              <w:top w:w="0" w:type="dxa"/>
              <w:left w:w="20" w:type="dxa"/>
              <w:bottom w:w="0" w:type="dxa"/>
              <w:right w:w="20" w:type="dxa"/>
            </w:tcMar>
            <w:vAlign w:val="bottom"/>
          </w:tcPr>
          <w:p w14:paraId="5F2C9F1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1E" w14:textId="77777777" w:rsidR="00E836FB" w:rsidRDefault="00994958">
            <w:pPr>
              <w:jc w:val="center"/>
              <w:textAlignment w:val="bottom"/>
            </w:pPr>
            <w:r>
              <w:rPr>
                <w:rFonts w:ascii="Arial" w:eastAsia="宋体" w:hAnsi="Arial" w:cs="Arial"/>
                <w:color w:val="000000"/>
                <w:sz w:val="16"/>
                <w:szCs w:val="16"/>
              </w:rPr>
              <w:t>Leased</w:t>
            </w:r>
          </w:p>
        </w:tc>
      </w:tr>
      <w:tr w:rsidR="00E836FB" w14:paraId="5F2C9F27" w14:textId="77777777">
        <w:trPr>
          <w:trHeight w:val="60"/>
        </w:trPr>
        <w:tc>
          <w:tcPr>
            <w:tcW w:w="0" w:type="auto"/>
            <w:gridSpan w:val="3"/>
            <w:shd w:val="clear" w:color="auto" w:fill="auto"/>
            <w:tcMar>
              <w:top w:w="0" w:type="dxa"/>
              <w:left w:w="20" w:type="dxa"/>
              <w:bottom w:w="0" w:type="dxa"/>
              <w:right w:w="20" w:type="dxa"/>
            </w:tcMar>
            <w:vAlign w:val="bottom"/>
          </w:tcPr>
          <w:p w14:paraId="5F2C9F2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6" w14:textId="77777777" w:rsidR="00E836FB" w:rsidRDefault="00E836FB">
            <w:pPr>
              <w:rPr>
                <w:rFonts w:ascii="宋体"/>
              </w:rPr>
            </w:pPr>
          </w:p>
        </w:tc>
      </w:tr>
      <w:tr w:rsidR="00E836FB" w14:paraId="5F2C9F2F" w14:textId="77777777">
        <w:tc>
          <w:tcPr>
            <w:tcW w:w="0" w:type="auto"/>
            <w:gridSpan w:val="3"/>
            <w:shd w:val="clear" w:color="auto" w:fill="auto"/>
            <w:tcMar>
              <w:top w:w="40" w:type="dxa"/>
              <w:left w:w="20" w:type="dxa"/>
              <w:bottom w:w="40" w:type="dxa"/>
              <w:right w:w="20" w:type="dxa"/>
            </w:tcMar>
            <w:vAlign w:val="bottom"/>
          </w:tcPr>
          <w:p w14:paraId="5F2C9F28" w14:textId="77777777" w:rsidR="00E836FB" w:rsidRDefault="00994958">
            <w:pPr>
              <w:textAlignment w:val="bottom"/>
            </w:pPr>
            <w:r>
              <w:rPr>
                <w:rFonts w:ascii="Arial" w:eastAsia="宋体" w:hAnsi="Arial" w:cs="Arial"/>
                <w:b/>
                <w:bCs/>
                <w:color w:val="000000"/>
                <w:sz w:val="16"/>
                <w:szCs w:val="16"/>
              </w:rPr>
              <w:t>Asia Pacific:</w:t>
            </w:r>
          </w:p>
        </w:tc>
        <w:tc>
          <w:tcPr>
            <w:tcW w:w="0" w:type="auto"/>
            <w:gridSpan w:val="3"/>
            <w:shd w:val="clear" w:color="auto" w:fill="auto"/>
            <w:tcMar>
              <w:top w:w="0" w:type="dxa"/>
              <w:left w:w="20" w:type="dxa"/>
              <w:bottom w:w="0" w:type="dxa"/>
              <w:right w:w="20" w:type="dxa"/>
            </w:tcMar>
            <w:vAlign w:val="bottom"/>
          </w:tcPr>
          <w:p w14:paraId="5F2C9F2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2E" w14:textId="77777777" w:rsidR="00E836FB" w:rsidRDefault="00E836FB">
            <w:pPr>
              <w:rPr>
                <w:rFonts w:ascii="宋体"/>
              </w:rPr>
            </w:pPr>
          </w:p>
        </w:tc>
      </w:tr>
      <w:tr w:rsidR="00E836FB" w14:paraId="5F2C9F37" w14:textId="77777777">
        <w:trPr>
          <w:hidden/>
        </w:trPr>
        <w:tc>
          <w:tcPr>
            <w:tcW w:w="0" w:type="auto"/>
            <w:gridSpan w:val="3"/>
            <w:shd w:val="clear" w:color="auto" w:fill="auto"/>
            <w:vAlign w:val="bottom"/>
          </w:tcPr>
          <w:p w14:paraId="5F2C9F30" w14:textId="77777777" w:rsidR="00E836FB" w:rsidRDefault="00E836FB">
            <w:pPr>
              <w:rPr>
                <w:rFonts w:ascii="宋体"/>
                <w:vanish/>
              </w:rPr>
            </w:pPr>
          </w:p>
        </w:tc>
        <w:tc>
          <w:tcPr>
            <w:tcW w:w="0" w:type="auto"/>
            <w:gridSpan w:val="3"/>
            <w:shd w:val="clear" w:color="auto" w:fill="auto"/>
            <w:vAlign w:val="bottom"/>
          </w:tcPr>
          <w:p w14:paraId="5F2C9F31" w14:textId="77777777" w:rsidR="00E836FB" w:rsidRDefault="00E836FB">
            <w:pPr>
              <w:rPr>
                <w:rFonts w:ascii="宋体"/>
                <w:vanish/>
              </w:rPr>
            </w:pPr>
          </w:p>
        </w:tc>
        <w:tc>
          <w:tcPr>
            <w:tcW w:w="0" w:type="auto"/>
            <w:gridSpan w:val="3"/>
            <w:shd w:val="clear" w:color="auto" w:fill="auto"/>
            <w:vAlign w:val="bottom"/>
          </w:tcPr>
          <w:p w14:paraId="5F2C9F32" w14:textId="77777777" w:rsidR="00E836FB" w:rsidRDefault="00E836FB">
            <w:pPr>
              <w:rPr>
                <w:rFonts w:ascii="宋体"/>
                <w:vanish/>
              </w:rPr>
            </w:pPr>
          </w:p>
        </w:tc>
        <w:tc>
          <w:tcPr>
            <w:tcW w:w="0" w:type="auto"/>
            <w:gridSpan w:val="3"/>
            <w:shd w:val="clear" w:color="auto" w:fill="auto"/>
            <w:vAlign w:val="bottom"/>
          </w:tcPr>
          <w:p w14:paraId="5F2C9F33" w14:textId="77777777" w:rsidR="00E836FB" w:rsidRDefault="00E836FB">
            <w:pPr>
              <w:rPr>
                <w:rFonts w:ascii="宋体"/>
                <w:vanish/>
              </w:rPr>
            </w:pPr>
          </w:p>
        </w:tc>
        <w:tc>
          <w:tcPr>
            <w:tcW w:w="0" w:type="auto"/>
            <w:gridSpan w:val="3"/>
            <w:shd w:val="clear" w:color="auto" w:fill="auto"/>
            <w:vAlign w:val="bottom"/>
          </w:tcPr>
          <w:p w14:paraId="5F2C9F34" w14:textId="77777777" w:rsidR="00E836FB" w:rsidRDefault="00E836FB">
            <w:pPr>
              <w:rPr>
                <w:rFonts w:ascii="宋体"/>
                <w:vanish/>
              </w:rPr>
            </w:pPr>
          </w:p>
        </w:tc>
        <w:tc>
          <w:tcPr>
            <w:tcW w:w="0" w:type="auto"/>
            <w:gridSpan w:val="3"/>
            <w:shd w:val="clear" w:color="auto" w:fill="auto"/>
            <w:vAlign w:val="bottom"/>
          </w:tcPr>
          <w:p w14:paraId="5F2C9F35" w14:textId="77777777" w:rsidR="00E836FB" w:rsidRDefault="00E836FB">
            <w:pPr>
              <w:rPr>
                <w:rFonts w:ascii="宋体"/>
                <w:vanish/>
              </w:rPr>
            </w:pPr>
          </w:p>
        </w:tc>
        <w:tc>
          <w:tcPr>
            <w:tcW w:w="0" w:type="auto"/>
            <w:gridSpan w:val="3"/>
            <w:shd w:val="clear" w:color="auto" w:fill="auto"/>
            <w:vAlign w:val="bottom"/>
          </w:tcPr>
          <w:p w14:paraId="5F2C9F36" w14:textId="77777777" w:rsidR="00E836FB" w:rsidRDefault="00E836FB">
            <w:pPr>
              <w:rPr>
                <w:rFonts w:ascii="宋体"/>
                <w:vanish/>
              </w:rPr>
            </w:pPr>
          </w:p>
        </w:tc>
      </w:tr>
      <w:tr w:rsidR="00E836FB" w14:paraId="5F2C9F3F" w14:textId="77777777">
        <w:tc>
          <w:tcPr>
            <w:tcW w:w="0" w:type="auto"/>
            <w:gridSpan w:val="3"/>
            <w:shd w:val="clear" w:color="auto" w:fill="CCEEFF"/>
            <w:tcMar>
              <w:top w:w="40" w:type="dxa"/>
              <w:left w:w="20" w:type="dxa"/>
              <w:bottom w:w="40" w:type="dxa"/>
              <w:right w:w="20" w:type="dxa"/>
            </w:tcMar>
            <w:vAlign w:val="bottom"/>
          </w:tcPr>
          <w:p w14:paraId="5F2C9F38" w14:textId="77777777" w:rsidR="00E836FB" w:rsidRDefault="00994958">
            <w:pPr>
              <w:textAlignment w:val="bottom"/>
            </w:pPr>
            <w:r>
              <w:rPr>
                <w:rFonts w:ascii="Arial" w:eastAsia="宋体" w:hAnsi="Arial" w:cs="Arial"/>
                <w:color w:val="000000"/>
                <w:sz w:val="16"/>
                <w:szCs w:val="16"/>
              </w:rPr>
              <w:t>San Dun</w:t>
            </w:r>
          </w:p>
        </w:tc>
        <w:tc>
          <w:tcPr>
            <w:tcW w:w="0" w:type="auto"/>
            <w:gridSpan w:val="3"/>
            <w:shd w:val="clear" w:color="auto" w:fill="CCEEFF"/>
            <w:tcMar>
              <w:top w:w="0" w:type="dxa"/>
              <w:left w:w="20" w:type="dxa"/>
              <w:bottom w:w="0" w:type="dxa"/>
              <w:right w:w="20" w:type="dxa"/>
            </w:tcMar>
            <w:vAlign w:val="bottom"/>
          </w:tcPr>
          <w:p w14:paraId="5F2C9F3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3A" w14:textId="77777777" w:rsidR="00E836FB" w:rsidRDefault="00994958">
            <w:pPr>
              <w:jc w:val="center"/>
              <w:textAlignment w:val="bottom"/>
            </w:pPr>
            <w:r>
              <w:rPr>
                <w:rFonts w:ascii="Arial" w:eastAsia="宋体" w:hAnsi="Arial" w:cs="Arial"/>
                <w:color w:val="000000"/>
                <w:sz w:val="16"/>
                <w:szCs w:val="16"/>
              </w:rPr>
              <w:t>Hangzhou</w:t>
            </w:r>
          </w:p>
        </w:tc>
        <w:tc>
          <w:tcPr>
            <w:tcW w:w="0" w:type="auto"/>
            <w:gridSpan w:val="3"/>
            <w:shd w:val="clear" w:color="auto" w:fill="CCEEFF"/>
            <w:tcMar>
              <w:top w:w="0" w:type="dxa"/>
              <w:left w:w="20" w:type="dxa"/>
              <w:bottom w:w="0" w:type="dxa"/>
              <w:right w:w="20" w:type="dxa"/>
            </w:tcMar>
            <w:vAlign w:val="bottom"/>
          </w:tcPr>
          <w:p w14:paraId="5F2C9F3B"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3C" w14:textId="77777777" w:rsidR="00E836FB" w:rsidRDefault="00994958">
            <w:pPr>
              <w:jc w:val="center"/>
              <w:textAlignment w:val="bottom"/>
            </w:pPr>
            <w:r>
              <w:rPr>
                <w:rFonts w:ascii="Arial" w:eastAsia="宋体" w:hAnsi="Arial" w:cs="Arial"/>
                <w:color w:val="000000"/>
                <w:sz w:val="16"/>
                <w:szCs w:val="16"/>
              </w:rPr>
              <w:t>China</w:t>
            </w:r>
          </w:p>
        </w:tc>
        <w:tc>
          <w:tcPr>
            <w:tcW w:w="0" w:type="auto"/>
            <w:gridSpan w:val="3"/>
            <w:shd w:val="clear" w:color="auto" w:fill="CCEEFF"/>
            <w:tcMar>
              <w:top w:w="0" w:type="dxa"/>
              <w:left w:w="20" w:type="dxa"/>
              <w:bottom w:w="0" w:type="dxa"/>
              <w:right w:w="20" w:type="dxa"/>
            </w:tcMar>
            <w:vAlign w:val="bottom"/>
          </w:tcPr>
          <w:p w14:paraId="5F2C9F3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3E" w14:textId="77777777" w:rsidR="00E836FB" w:rsidRDefault="00994958">
            <w:pPr>
              <w:jc w:val="center"/>
              <w:textAlignment w:val="bottom"/>
            </w:pPr>
            <w:r>
              <w:rPr>
                <w:rFonts w:ascii="Arial" w:eastAsia="宋体" w:hAnsi="Arial" w:cs="Arial"/>
                <w:color w:val="000000"/>
                <w:sz w:val="16"/>
                <w:szCs w:val="16"/>
              </w:rPr>
              <w:t>Leased</w:t>
            </w:r>
          </w:p>
        </w:tc>
      </w:tr>
      <w:tr w:rsidR="00E836FB" w14:paraId="5F2C9F47" w14:textId="77777777">
        <w:tc>
          <w:tcPr>
            <w:tcW w:w="0" w:type="auto"/>
            <w:gridSpan w:val="3"/>
            <w:shd w:val="clear" w:color="auto" w:fill="FFFFFF"/>
            <w:tcMar>
              <w:top w:w="40" w:type="dxa"/>
              <w:left w:w="20" w:type="dxa"/>
              <w:bottom w:w="40" w:type="dxa"/>
              <w:right w:w="20" w:type="dxa"/>
            </w:tcMar>
            <w:vAlign w:val="bottom"/>
          </w:tcPr>
          <w:p w14:paraId="5F2C9F40" w14:textId="77777777" w:rsidR="00E836FB" w:rsidRDefault="00994958">
            <w:pPr>
              <w:textAlignment w:val="bottom"/>
            </w:pPr>
            <w:r>
              <w:rPr>
                <w:rFonts w:ascii="Arial" w:eastAsia="宋体" w:hAnsi="Arial" w:cs="Arial"/>
                <w:color w:val="000000"/>
                <w:sz w:val="16"/>
                <w:szCs w:val="16"/>
              </w:rPr>
              <w:t>Tian Tang</w:t>
            </w:r>
          </w:p>
        </w:tc>
        <w:tc>
          <w:tcPr>
            <w:tcW w:w="0" w:type="auto"/>
            <w:gridSpan w:val="3"/>
            <w:shd w:val="clear" w:color="auto" w:fill="FFFFFF"/>
            <w:tcMar>
              <w:top w:w="0" w:type="dxa"/>
              <w:left w:w="20" w:type="dxa"/>
              <w:bottom w:w="0" w:type="dxa"/>
              <w:right w:w="20" w:type="dxa"/>
            </w:tcMar>
            <w:vAlign w:val="bottom"/>
          </w:tcPr>
          <w:p w14:paraId="5F2C9F4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42" w14:textId="77777777" w:rsidR="00E836FB" w:rsidRDefault="00994958">
            <w:pPr>
              <w:jc w:val="center"/>
              <w:textAlignment w:val="bottom"/>
            </w:pPr>
            <w:r>
              <w:rPr>
                <w:rFonts w:ascii="Arial" w:eastAsia="宋体" w:hAnsi="Arial" w:cs="Arial"/>
                <w:color w:val="000000"/>
                <w:sz w:val="16"/>
                <w:szCs w:val="16"/>
              </w:rPr>
              <w:t>Hangzhou</w:t>
            </w:r>
          </w:p>
        </w:tc>
        <w:tc>
          <w:tcPr>
            <w:tcW w:w="0" w:type="auto"/>
            <w:gridSpan w:val="3"/>
            <w:shd w:val="clear" w:color="auto" w:fill="FFFFFF"/>
            <w:tcMar>
              <w:top w:w="0" w:type="dxa"/>
              <w:left w:w="20" w:type="dxa"/>
              <w:bottom w:w="0" w:type="dxa"/>
              <w:right w:w="20" w:type="dxa"/>
            </w:tcMar>
            <w:vAlign w:val="bottom"/>
          </w:tcPr>
          <w:p w14:paraId="5F2C9F4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44" w14:textId="77777777" w:rsidR="00E836FB" w:rsidRDefault="00994958">
            <w:pPr>
              <w:jc w:val="center"/>
              <w:textAlignment w:val="bottom"/>
            </w:pPr>
            <w:r>
              <w:rPr>
                <w:rFonts w:ascii="Arial" w:eastAsia="宋体" w:hAnsi="Arial" w:cs="Arial"/>
                <w:color w:val="000000"/>
                <w:sz w:val="16"/>
                <w:szCs w:val="16"/>
              </w:rPr>
              <w:t>China</w:t>
            </w:r>
          </w:p>
        </w:tc>
        <w:tc>
          <w:tcPr>
            <w:tcW w:w="0" w:type="auto"/>
            <w:gridSpan w:val="3"/>
            <w:shd w:val="clear" w:color="auto" w:fill="FFFFFF"/>
            <w:tcMar>
              <w:top w:w="0" w:type="dxa"/>
              <w:left w:w="20" w:type="dxa"/>
              <w:bottom w:w="0" w:type="dxa"/>
              <w:right w:w="20" w:type="dxa"/>
            </w:tcMar>
            <w:vAlign w:val="bottom"/>
          </w:tcPr>
          <w:p w14:paraId="5F2C9F4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46" w14:textId="77777777" w:rsidR="00E836FB" w:rsidRDefault="00994958">
            <w:pPr>
              <w:jc w:val="center"/>
              <w:textAlignment w:val="bottom"/>
            </w:pPr>
            <w:r>
              <w:rPr>
                <w:rFonts w:ascii="Arial" w:eastAsia="宋体" w:hAnsi="Arial" w:cs="Arial"/>
                <w:color w:val="000000"/>
                <w:sz w:val="16"/>
                <w:szCs w:val="16"/>
              </w:rPr>
              <w:t>Leased</w:t>
            </w:r>
          </w:p>
        </w:tc>
      </w:tr>
      <w:tr w:rsidR="00E836FB" w14:paraId="5F2C9F4F" w14:textId="77777777">
        <w:tc>
          <w:tcPr>
            <w:tcW w:w="0" w:type="auto"/>
            <w:gridSpan w:val="3"/>
            <w:shd w:val="clear" w:color="auto" w:fill="CCEEFF"/>
            <w:tcMar>
              <w:top w:w="40" w:type="dxa"/>
              <w:left w:w="20" w:type="dxa"/>
              <w:bottom w:w="40" w:type="dxa"/>
              <w:right w:w="20" w:type="dxa"/>
            </w:tcMar>
            <w:vAlign w:val="bottom"/>
          </w:tcPr>
          <w:p w14:paraId="5F2C9F48" w14:textId="77777777" w:rsidR="00E836FB" w:rsidRDefault="00994958">
            <w:pPr>
              <w:textAlignment w:val="bottom"/>
            </w:pPr>
            <w:r>
              <w:rPr>
                <w:rFonts w:ascii="Arial" w:eastAsia="宋体" w:hAnsi="Arial" w:cs="Arial"/>
                <w:color w:val="000000"/>
                <w:sz w:val="16"/>
                <w:szCs w:val="16"/>
              </w:rPr>
              <w:t>Ecoworld 6B</w:t>
            </w:r>
          </w:p>
        </w:tc>
        <w:tc>
          <w:tcPr>
            <w:tcW w:w="0" w:type="auto"/>
            <w:gridSpan w:val="3"/>
            <w:shd w:val="clear" w:color="auto" w:fill="CCEEFF"/>
            <w:tcMar>
              <w:top w:w="0" w:type="dxa"/>
              <w:left w:w="20" w:type="dxa"/>
              <w:bottom w:w="0" w:type="dxa"/>
              <w:right w:w="20" w:type="dxa"/>
            </w:tcMar>
            <w:vAlign w:val="bottom"/>
          </w:tcPr>
          <w:p w14:paraId="5F2C9F4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4A" w14:textId="77777777" w:rsidR="00E836FB" w:rsidRDefault="00994958">
            <w:pPr>
              <w:jc w:val="center"/>
              <w:textAlignment w:val="bottom"/>
            </w:pPr>
            <w:r>
              <w:rPr>
                <w:rFonts w:ascii="Arial" w:eastAsia="宋体" w:hAnsi="Arial" w:cs="Arial"/>
                <w:color w:val="000000"/>
                <w:sz w:val="16"/>
                <w:szCs w:val="16"/>
              </w:rPr>
              <w:t>Bangalore</w:t>
            </w:r>
          </w:p>
        </w:tc>
        <w:tc>
          <w:tcPr>
            <w:tcW w:w="0" w:type="auto"/>
            <w:gridSpan w:val="3"/>
            <w:shd w:val="clear" w:color="auto" w:fill="CCEEFF"/>
            <w:tcMar>
              <w:top w:w="0" w:type="dxa"/>
              <w:left w:w="20" w:type="dxa"/>
              <w:bottom w:w="0" w:type="dxa"/>
              <w:right w:w="20" w:type="dxa"/>
            </w:tcMar>
            <w:vAlign w:val="bottom"/>
          </w:tcPr>
          <w:p w14:paraId="5F2C9F4B"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4C" w14:textId="77777777" w:rsidR="00E836FB" w:rsidRDefault="00994958">
            <w:pPr>
              <w:jc w:val="center"/>
              <w:textAlignment w:val="bottom"/>
            </w:pPr>
            <w:r>
              <w:rPr>
                <w:rFonts w:ascii="Arial" w:eastAsia="宋体" w:hAnsi="Arial" w:cs="Arial"/>
                <w:color w:val="000000"/>
                <w:sz w:val="16"/>
                <w:szCs w:val="16"/>
              </w:rPr>
              <w:t>India</w:t>
            </w:r>
          </w:p>
        </w:tc>
        <w:tc>
          <w:tcPr>
            <w:tcW w:w="0" w:type="auto"/>
            <w:gridSpan w:val="3"/>
            <w:shd w:val="clear" w:color="auto" w:fill="CCEEFF"/>
            <w:tcMar>
              <w:top w:w="0" w:type="dxa"/>
              <w:left w:w="20" w:type="dxa"/>
              <w:bottom w:w="0" w:type="dxa"/>
              <w:right w:w="20" w:type="dxa"/>
            </w:tcMar>
            <w:vAlign w:val="bottom"/>
          </w:tcPr>
          <w:p w14:paraId="5F2C9F4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4E" w14:textId="77777777" w:rsidR="00E836FB" w:rsidRDefault="00994958">
            <w:pPr>
              <w:jc w:val="center"/>
              <w:textAlignment w:val="bottom"/>
            </w:pPr>
            <w:r>
              <w:rPr>
                <w:rFonts w:ascii="Arial" w:eastAsia="宋体" w:hAnsi="Arial" w:cs="Arial"/>
                <w:color w:val="000000"/>
                <w:sz w:val="16"/>
                <w:szCs w:val="16"/>
              </w:rPr>
              <w:t>Leased</w:t>
            </w:r>
          </w:p>
        </w:tc>
      </w:tr>
      <w:tr w:rsidR="00E836FB" w14:paraId="5F2C9F57" w14:textId="77777777">
        <w:tc>
          <w:tcPr>
            <w:tcW w:w="0" w:type="auto"/>
            <w:gridSpan w:val="3"/>
            <w:shd w:val="clear" w:color="auto" w:fill="FFFFFF"/>
            <w:tcMar>
              <w:top w:w="40" w:type="dxa"/>
              <w:left w:w="20" w:type="dxa"/>
              <w:bottom w:w="40" w:type="dxa"/>
              <w:right w:w="20" w:type="dxa"/>
            </w:tcMar>
            <w:vAlign w:val="bottom"/>
          </w:tcPr>
          <w:p w14:paraId="5F2C9F50" w14:textId="77777777" w:rsidR="00E836FB" w:rsidRDefault="00994958">
            <w:pPr>
              <w:textAlignment w:val="bottom"/>
            </w:pPr>
            <w:r>
              <w:rPr>
                <w:rFonts w:ascii="Arial" w:eastAsia="宋体" w:hAnsi="Arial" w:cs="Arial"/>
                <w:color w:val="000000"/>
                <w:sz w:val="16"/>
                <w:szCs w:val="16"/>
              </w:rPr>
              <w:t>Ecoworld 7</w:t>
            </w:r>
          </w:p>
        </w:tc>
        <w:tc>
          <w:tcPr>
            <w:tcW w:w="0" w:type="auto"/>
            <w:gridSpan w:val="3"/>
            <w:shd w:val="clear" w:color="auto" w:fill="FFFFFF"/>
            <w:tcMar>
              <w:top w:w="0" w:type="dxa"/>
              <w:left w:w="20" w:type="dxa"/>
              <w:bottom w:w="0" w:type="dxa"/>
              <w:right w:w="20" w:type="dxa"/>
            </w:tcMar>
            <w:vAlign w:val="bottom"/>
          </w:tcPr>
          <w:p w14:paraId="5F2C9F5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52" w14:textId="77777777" w:rsidR="00E836FB" w:rsidRDefault="00994958">
            <w:pPr>
              <w:jc w:val="center"/>
              <w:textAlignment w:val="bottom"/>
            </w:pPr>
            <w:r>
              <w:rPr>
                <w:rFonts w:ascii="Arial" w:eastAsia="宋体" w:hAnsi="Arial" w:cs="Arial"/>
                <w:color w:val="000000"/>
                <w:sz w:val="16"/>
                <w:szCs w:val="16"/>
              </w:rPr>
              <w:t>Bangalore</w:t>
            </w:r>
          </w:p>
        </w:tc>
        <w:tc>
          <w:tcPr>
            <w:tcW w:w="0" w:type="auto"/>
            <w:gridSpan w:val="3"/>
            <w:shd w:val="clear" w:color="auto" w:fill="FFFFFF"/>
            <w:tcMar>
              <w:top w:w="0" w:type="dxa"/>
              <w:left w:w="20" w:type="dxa"/>
              <w:bottom w:w="0" w:type="dxa"/>
              <w:right w:w="20" w:type="dxa"/>
            </w:tcMar>
            <w:vAlign w:val="bottom"/>
          </w:tcPr>
          <w:p w14:paraId="5F2C9F5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54" w14:textId="77777777" w:rsidR="00E836FB" w:rsidRDefault="00994958">
            <w:pPr>
              <w:jc w:val="center"/>
              <w:textAlignment w:val="bottom"/>
            </w:pPr>
            <w:r>
              <w:rPr>
                <w:rFonts w:ascii="Arial" w:eastAsia="宋体" w:hAnsi="Arial" w:cs="Arial"/>
                <w:color w:val="000000"/>
                <w:sz w:val="16"/>
                <w:szCs w:val="16"/>
              </w:rPr>
              <w:t>India</w:t>
            </w:r>
          </w:p>
        </w:tc>
        <w:tc>
          <w:tcPr>
            <w:tcW w:w="0" w:type="auto"/>
            <w:gridSpan w:val="3"/>
            <w:shd w:val="clear" w:color="auto" w:fill="FFFFFF"/>
            <w:tcMar>
              <w:top w:w="0" w:type="dxa"/>
              <w:left w:w="20" w:type="dxa"/>
              <w:bottom w:w="0" w:type="dxa"/>
              <w:right w:w="20" w:type="dxa"/>
            </w:tcMar>
            <w:vAlign w:val="bottom"/>
          </w:tcPr>
          <w:p w14:paraId="5F2C9F5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9F56" w14:textId="77777777" w:rsidR="00E836FB" w:rsidRDefault="00994958">
            <w:pPr>
              <w:jc w:val="center"/>
              <w:textAlignment w:val="bottom"/>
            </w:pPr>
            <w:r>
              <w:rPr>
                <w:rFonts w:ascii="Arial" w:eastAsia="宋体" w:hAnsi="Arial" w:cs="Arial"/>
                <w:color w:val="000000"/>
                <w:sz w:val="16"/>
                <w:szCs w:val="16"/>
              </w:rPr>
              <w:t>Leased</w:t>
            </w:r>
          </w:p>
        </w:tc>
      </w:tr>
      <w:tr w:rsidR="00E836FB" w14:paraId="5F2C9F5F" w14:textId="77777777">
        <w:tc>
          <w:tcPr>
            <w:tcW w:w="0" w:type="auto"/>
            <w:gridSpan w:val="3"/>
            <w:shd w:val="clear" w:color="auto" w:fill="CCEEFF"/>
            <w:tcMar>
              <w:top w:w="40" w:type="dxa"/>
              <w:left w:w="20" w:type="dxa"/>
              <w:bottom w:w="40" w:type="dxa"/>
              <w:right w:w="20" w:type="dxa"/>
            </w:tcMar>
            <w:vAlign w:val="bottom"/>
          </w:tcPr>
          <w:p w14:paraId="5F2C9F58" w14:textId="77777777" w:rsidR="00E836FB" w:rsidRDefault="00994958">
            <w:pPr>
              <w:textAlignment w:val="bottom"/>
            </w:pPr>
            <w:r>
              <w:rPr>
                <w:rFonts w:ascii="Arial" w:eastAsia="宋体" w:hAnsi="Arial" w:cs="Arial"/>
                <w:color w:val="000000"/>
                <w:sz w:val="16"/>
                <w:szCs w:val="16"/>
              </w:rPr>
              <w:t>Knowledge City Salarpuria</w:t>
            </w:r>
          </w:p>
        </w:tc>
        <w:tc>
          <w:tcPr>
            <w:tcW w:w="0" w:type="auto"/>
            <w:gridSpan w:val="3"/>
            <w:shd w:val="clear" w:color="auto" w:fill="CCEEFF"/>
            <w:tcMar>
              <w:top w:w="0" w:type="dxa"/>
              <w:left w:w="20" w:type="dxa"/>
              <w:bottom w:w="0" w:type="dxa"/>
              <w:right w:w="20" w:type="dxa"/>
            </w:tcMar>
            <w:vAlign w:val="bottom"/>
          </w:tcPr>
          <w:p w14:paraId="5F2C9F5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5A" w14:textId="77777777" w:rsidR="00E836FB" w:rsidRDefault="00994958">
            <w:pPr>
              <w:jc w:val="center"/>
              <w:textAlignment w:val="bottom"/>
            </w:pPr>
            <w:r>
              <w:rPr>
                <w:rFonts w:ascii="Arial" w:eastAsia="宋体" w:hAnsi="Arial" w:cs="Arial"/>
                <w:color w:val="000000"/>
                <w:sz w:val="16"/>
                <w:szCs w:val="16"/>
              </w:rPr>
              <w:t>Hyderabad</w:t>
            </w:r>
          </w:p>
        </w:tc>
        <w:tc>
          <w:tcPr>
            <w:tcW w:w="0" w:type="auto"/>
            <w:gridSpan w:val="3"/>
            <w:shd w:val="clear" w:color="auto" w:fill="CCEEFF"/>
            <w:tcMar>
              <w:top w:w="0" w:type="dxa"/>
              <w:left w:w="20" w:type="dxa"/>
              <w:bottom w:w="0" w:type="dxa"/>
              <w:right w:w="20" w:type="dxa"/>
            </w:tcMar>
            <w:vAlign w:val="bottom"/>
          </w:tcPr>
          <w:p w14:paraId="5F2C9F5B"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5C" w14:textId="77777777" w:rsidR="00E836FB" w:rsidRDefault="00994958">
            <w:pPr>
              <w:jc w:val="center"/>
              <w:textAlignment w:val="bottom"/>
            </w:pPr>
            <w:r>
              <w:rPr>
                <w:rFonts w:ascii="Arial" w:eastAsia="宋体" w:hAnsi="Arial" w:cs="Arial"/>
                <w:color w:val="000000"/>
                <w:sz w:val="16"/>
                <w:szCs w:val="16"/>
              </w:rPr>
              <w:t>India</w:t>
            </w:r>
          </w:p>
        </w:tc>
        <w:tc>
          <w:tcPr>
            <w:tcW w:w="0" w:type="auto"/>
            <w:gridSpan w:val="3"/>
            <w:shd w:val="clear" w:color="auto" w:fill="CCEEFF"/>
            <w:tcMar>
              <w:top w:w="0" w:type="dxa"/>
              <w:left w:w="20" w:type="dxa"/>
              <w:bottom w:w="0" w:type="dxa"/>
              <w:right w:w="20" w:type="dxa"/>
            </w:tcMar>
            <w:vAlign w:val="bottom"/>
          </w:tcPr>
          <w:p w14:paraId="5F2C9F5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9F5E" w14:textId="77777777" w:rsidR="00E836FB" w:rsidRDefault="00994958">
            <w:pPr>
              <w:jc w:val="center"/>
              <w:textAlignment w:val="bottom"/>
            </w:pPr>
            <w:r>
              <w:rPr>
                <w:rFonts w:ascii="Arial" w:eastAsia="宋体" w:hAnsi="Arial" w:cs="Arial"/>
                <w:color w:val="000000"/>
                <w:sz w:val="16"/>
                <w:szCs w:val="16"/>
              </w:rPr>
              <w:t>Leased</w:t>
            </w:r>
          </w:p>
        </w:tc>
      </w:tr>
      <w:tr w:rsidR="00E836FB" w14:paraId="5F2C9F67" w14:textId="77777777">
        <w:trPr>
          <w:hidden/>
        </w:trPr>
        <w:tc>
          <w:tcPr>
            <w:tcW w:w="0" w:type="auto"/>
            <w:gridSpan w:val="3"/>
            <w:shd w:val="clear" w:color="auto" w:fill="auto"/>
            <w:vAlign w:val="bottom"/>
          </w:tcPr>
          <w:p w14:paraId="5F2C9F60" w14:textId="77777777" w:rsidR="00E836FB" w:rsidRDefault="00E836FB">
            <w:pPr>
              <w:rPr>
                <w:rFonts w:ascii="宋体"/>
                <w:vanish/>
              </w:rPr>
            </w:pPr>
          </w:p>
        </w:tc>
        <w:tc>
          <w:tcPr>
            <w:tcW w:w="0" w:type="auto"/>
            <w:gridSpan w:val="3"/>
            <w:shd w:val="clear" w:color="auto" w:fill="auto"/>
            <w:vAlign w:val="bottom"/>
          </w:tcPr>
          <w:p w14:paraId="5F2C9F61" w14:textId="77777777" w:rsidR="00E836FB" w:rsidRDefault="00E836FB">
            <w:pPr>
              <w:rPr>
                <w:rFonts w:ascii="宋体"/>
                <w:vanish/>
              </w:rPr>
            </w:pPr>
          </w:p>
        </w:tc>
        <w:tc>
          <w:tcPr>
            <w:tcW w:w="0" w:type="auto"/>
            <w:gridSpan w:val="3"/>
            <w:shd w:val="clear" w:color="auto" w:fill="auto"/>
            <w:vAlign w:val="bottom"/>
          </w:tcPr>
          <w:p w14:paraId="5F2C9F62" w14:textId="77777777" w:rsidR="00E836FB" w:rsidRDefault="00E836FB">
            <w:pPr>
              <w:rPr>
                <w:rFonts w:ascii="宋体"/>
                <w:vanish/>
              </w:rPr>
            </w:pPr>
          </w:p>
        </w:tc>
        <w:tc>
          <w:tcPr>
            <w:tcW w:w="0" w:type="auto"/>
            <w:gridSpan w:val="3"/>
            <w:shd w:val="clear" w:color="auto" w:fill="auto"/>
            <w:vAlign w:val="bottom"/>
          </w:tcPr>
          <w:p w14:paraId="5F2C9F63" w14:textId="77777777" w:rsidR="00E836FB" w:rsidRDefault="00E836FB">
            <w:pPr>
              <w:rPr>
                <w:rFonts w:ascii="宋体"/>
                <w:vanish/>
              </w:rPr>
            </w:pPr>
          </w:p>
        </w:tc>
        <w:tc>
          <w:tcPr>
            <w:tcW w:w="0" w:type="auto"/>
            <w:gridSpan w:val="3"/>
            <w:shd w:val="clear" w:color="auto" w:fill="auto"/>
            <w:vAlign w:val="bottom"/>
          </w:tcPr>
          <w:p w14:paraId="5F2C9F64" w14:textId="77777777" w:rsidR="00E836FB" w:rsidRDefault="00E836FB">
            <w:pPr>
              <w:rPr>
                <w:rFonts w:ascii="宋体"/>
                <w:vanish/>
              </w:rPr>
            </w:pPr>
          </w:p>
        </w:tc>
        <w:tc>
          <w:tcPr>
            <w:tcW w:w="0" w:type="auto"/>
            <w:gridSpan w:val="3"/>
            <w:shd w:val="clear" w:color="auto" w:fill="auto"/>
            <w:vAlign w:val="bottom"/>
          </w:tcPr>
          <w:p w14:paraId="5F2C9F65" w14:textId="77777777" w:rsidR="00E836FB" w:rsidRDefault="00E836FB">
            <w:pPr>
              <w:rPr>
                <w:rFonts w:ascii="宋体"/>
                <w:vanish/>
              </w:rPr>
            </w:pPr>
          </w:p>
        </w:tc>
        <w:tc>
          <w:tcPr>
            <w:tcW w:w="0" w:type="auto"/>
            <w:gridSpan w:val="3"/>
            <w:shd w:val="clear" w:color="auto" w:fill="auto"/>
            <w:vAlign w:val="bottom"/>
          </w:tcPr>
          <w:p w14:paraId="5F2C9F66" w14:textId="77777777" w:rsidR="00E836FB" w:rsidRDefault="00E836FB">
            <w:pPr>
              <w:rPr>
                <w:rFonts w:ascii="宋体"/>
                <w:vanish/>
              </w:rPr>
            </w:pPr>
          </w:p>
        </w:tc>
      </w:tr>
    </w:tbl>
    <w:p w14:paraId="5F2C9F68" w14:textId="77777777" w:rsidR="00E836FB" w:rsidRDefault="00E836F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1904"/>
        <w:gridCol w:w="36"/>
        <w:gridCol w:w="69"/>
        <w:gridCol w:w="1126"/>
        <w:gridCol w:w="36"/>
        <w:gridCol w:w="70"/>
        <w:gridCol w:w="4978"/>
        <w:gridCol w:w="36"/>
      </w:tblGrid>
      <w:tr w:rsidR="00E836FB" w14:paraId="5F2C9F72" w14:textId="77777777">
        <w:tc>
          <w:tcPr>
            <w:tcW w:w="50" w:type="pct"/>
            <w:shd w:val="clear" w:color="auto" w:fill="auto"/>
            <w:vAlign w:val="bottom"/>
          </w:tcPr>
          <w:p w14:paraId="5F2C9F69" w14:textId="77777777" w:rsidR="00E836FB" w:rsidRDefault="00E836FB">
            <w:pPr>
              <w:rPr>
                <w:rFonts w:ascii="宋体"/>
              </w:rPr>
            </w:pPr>
          </w:p>
        </w:tc>
        <w:tc>
          <w:tcPr>
            <w:tcW w:w="1152" w:type="pct"/>
            <w:shd w:val="clear" w:color="auto" w:fill="auto"/>
            <w:vAlign w:val="bottom"/>
          </w:tcPr>
          <w:p w14:paraId="5F2C9F6A" w14:textId="77777777" w:rsidR="00E836FB" w:rsidRDefault="00E836FB">
            <w:pPr>
              <w:rPr>
                <w:rFonts w:ascii="宋体"/>
              </w:rPr>
            </w:pPr>
          </w:p>
        </w:tc>
        <w:tc>
          <w:tcPr>
            <w:tcW w:w="5" w:type="pct"/>
            <w:shd w:val="clear" w:color="auto" w:fill="auto"/>
            <w:vAlign w:val="bottom"/>
          </w:tcPr>
          <w:p w14:paraId="5F2C9F6B" w14:textId="77777777" w:rsidR="00E836FB" w:rsidRDefault="00E836FB">
            <w:pPr>
              <w:rPr>
                <w:rFonts w:ascii="宋体"/>
              </w:rPr>
            </w:pPr>
          </w:p>
        </w:tc>
        <w:tc>
          <w:tcPr>
            <w:tcW w:w="50" w:type="pct"/>
            <w:shd w:val="clear" w:color="auto" w:fill="auto"/>
            <w:vAlign w:val="bottom"/>
          </w:tcPr>
          <w:p w14:paraId="5F2C9F6C" w14:textId="77777777" w:rsidR="00E836FB" w:rsidRDefault="00E836FB">
            <w:pPr>
              <w:rPr>
                <w:rFonts w:ascii="宋体"/>
              </w:rPr>
            </w:pPr>
          </w:p>
        </w:tc>
        <w:tc>
          <w:tcPr>
            <w:tcW w:w="684" w:type="pct"/>
            <w:shd w:val="clear" w:color="auto" w:fill="auto"/>
            <w:vAlign w:val="bottom"/>
          </w:tcPr>
          <w:p w14:paraId="5F2C9F6D" w14:textId="77777777" w:rsidR="00E836FB" w:rsidRDefault="00E836FB">
            <w:pPr>
              <w:rPr>
                <w:rFonts w:ascii="宋体"/>
              </w:rPr>
            </w:pPr>
          </w:p>
        </w:tc>
        <w:tc>
          <w:tcPr>
            <w:tcW w:w="5" w:type="pct"/>
            <w:shd w:val="clear" w:color="auto" w:fill="auto"/>
            <w:vAlign w:val="bottom"/>
          </w:tcPr>
          <w:p w14:paraId="5F2C9F6E" w14:textId="77777777" w:rsidR="00E836FB" w:rsidRDefault="00E836FB">
            <w:pPr>
              <w:rPr>
                <w:rFonts w:ascii="宋体"/>
              </w:rPr>
            </w:pPr>
          </w:p>
        </w:tc>
        <w:tc>
          <w:tcPr>
            <w:tcW w:w="50" w:type="pct"/>
            <w:shd w:val="clear" w:color="auto" w:fill="auto"/>
            <w:vAlign w:val="bottom"/>
          </w:tcPr>
          <w:p w14:paraId="5F2C9F6F" w14:textId="77777777" w:rsidR="00E836FB" w:rsidRDefault="00E836FB">
            <w:pPr>
              <w:rPr>
                <w:rFonts w:ascii="宋体"/>
              </w:rPr>
            </w:pPr>
          </w:p>
        </w:tc>
        <w:tc>
          <w:tcPr>
            <w:tcW w:w="2997" w:type="pct"/>
            <w:shd w:val="clear" w:color="auto" w:fill="auto"/>
            <w:vAlign w:val="bottom"/>
          </w:tcPr>
          <w:p w14:paraId="5F2C9F70" w14:textId="77777777" w:rsidR="00E836FB" w:rsidRDefault="00E836FB">
            <w:pPr>
              <w:rPr>
                <w:rFonts w:ascii="宋体"/>
              </w:rPr>
            </w:pPr>
          </w:p>
        </w:tc>
        <w:tc>
          <w:tcPr>
            <w:tcW w:w="5" w:type="pct"/>
            <w:shd w:val="clear" w:color="auto" w:fill="auto"/>
            <w:vAlign w:val="bottom"/>
          </w:tcPr>
          <w:p w14:paraId="5F2C9F71" w14:textId="77777777" w:rsidR="00E836FB" w:rsidRDefault="00E836FB">
            <w:pPr>
              <w:rPr>
                <w:rFonts w:ascii="宋体"/>
              </w:rPr>
            </w:pPr>
          </w:p>
        </w:tc>
      </w:tr>
      <w:tr w:rsidR="00E836FB" w14:paraId="5F2C9F7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9F7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7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9F75" w14:textId="77777777" w:rsidR="00E836FB" w:rsidRDefault="00E836FB">
            <w:pPr>
              <w:rPr>
                <w:rFonts w:ascii="宋体"/>
              </w:rPr>
            </w:pPr>
          </w:p>
        </w:tc>
      </w:tr>
    </w:tbl>
    <w:p w14:paraId="5F2C9F77" w14:textId="77777777" w:rsidR="00E836FB" w:rsidRDefault="00994958">
      <w:pPr>
        <w:jc w:val="both"/>
      </w:pPr>
      <w:r>
        <w:rPr>
          <w:rFonts w:ascii="Arial" w:eastAsia="宋体" w:hAnsi="Arial" w:cs="Arial"/>
          <w:color w:val="000000"/>
          <w:sz w:val="9"/>
          <w:szCs w:val="9"/>
        </w:rPr>
        <w:t>(1)</w:t>
      </w:r>
      <w:r>
        <w:rPr>
          <w:rFonts w:ascii="Arial" w:eastAsia="宋体" w:hAnsi="Arial" w:cs="Arial"/>
          <w:color w:val="000000"/>
          <w:sz w:val="14"/>
          <w:szCs w:val="14"/>
        </w:rPr>
        <w:t xml:space="preserve"> We lease other properties in the above regions which consist of 35 locations in Americas, 31 locations in Europe, Middle East and Africa (EMEA) and 35 locations in APAC.</w:t>
      </w:r>
    </w:p>
    <w:p w14:paraId="5F2C9F78" w14:textId="77777777" w:rsidR="00E836FB" w:rsidRDefault="00994958">
      <w:pPr>
        <w:spacing w:before="90"/>
        <w:jc w:val="both"/>
      </w:pPr>
      <w:r>
        <w:rPr>
          <w:rFonts w:ascii="Arial" w:eastAsia="宋体" w:hAnsi="Arial" w:cs="Arial"/>
          <w:b/>
          <w:bCs/>
          <w:color w:val="000000"/>
          <w:sz w:val="20"/>
          <w:szCs w:val="20"/>
        </w:rPr>
        <w:t>ITEM 3. LEGAL PROCEEDINGS</w:t>
      </w:r>
    </w:p>
    <w:p w14:paraId="5F2C9F79" w14:textId="77777777" w:rsidR="00E836FB" w:rsidRDefault="00994958">
      <w:pPr>
        <w:spacing w:before="60"/>
        <w:ind w:firstLine="450"/>
        <w:jc w:val="both"/>
      </w:pPr>
      <w:r>
        <w:rPr>
          <w:rFonts w:ascii="Arial" w:eastAsia="宋体" w:hAnsi="Arial" w:cs="Arial"/>
          <w:color w:val="000000"/>
          <w:sz w:val="20"/>
          <w:szCs w:val="20"/>
        </w:rPr>
        <w:t>The information required by this Item is provided under "Le</w:t>
      </w:r>
      <w:r>
        <w:rPr>
          <w:rFonts w:ascii="Arial" w:eastAsia="宋体" w:hAnsi="Arial" w:cs="Arial"/>
          <w:color w:val="000000"/>
          <w:sz w:val="20"/>
          <w:szCs w:val="20"/>
        </w:rPr>
        <w:t>gal and Regulatory Matters" in Note 13 to the consolidated financial statements in this Form 10-K, and is incorporated herein by reference.</w:t>
      </w:r>
    </w:p>
    <w:p w14:paraId="5F2C9F7A" w14:textId="77777777" w:rsidR="00E836FB" w:rsidRDefault="00994958">
      <w:pPr>
        <w:spacing w:before="90"/>
      </w:pPr>
      <w:r>
        <w:rPr>
          <w:rFonts w:ascii="Arial" w:eastAsia="宋体" w:hAnsi="Arial" w:cs="Arial"/>
          <w:b/>
          <w:bCs/>
          <w:color w:val="000000"/>
          <w:sz w:val="20"/>
          <w:szCs w:val="20"/>
        </w:rPr>
        <w:t>ITEM 4.     MINE SAFETY DISCLOSURES</w:t>
      </w:r>
    </w:p>
    <w:p w14:paraId="5F2C9F7B" w14:textId="77777777" w:rsidR="00E836FB" w:rsidRDefault="00994958">
      <w:pPr>
        <w:spacing w:before="60"/>
        <w:ind w:firstLine="450"/>
      </w:pPr>
      <w:r>
        <w:rPr>
          <w:rFonts w:ascii="Arial" w:eastAsia="宋体" w:hAnsi="Arial" w:cs="Arial"/>
          <w:color w:val="000000"/>
          <w:sz w:val="20"/>
          <w:szCs w:val="20"/>
        </w:rPr>
        <w:t>Not applicable.</w:t>
      </w:r>
    </w:p>
    <w:p w14:paraId="5F2C9F7C" w14:textId="77777777" w:rsidR="00E836FB" w:rsidRDefault="00994958">
      <w:pPr>
        <w:ind w:firstLine="450"/>
        <w:jc w:val="right"/>
      </w:pPr>
      <w:r>
        <w:rPr>
          <w:rFonts w:ascii="Arial" w:eastAsia="宋体" w:hAnsi="Arial" w:cs="Arial"/>
          <w:color w:val="000000"/>
          <w:sz w:val="18"/>
          <w:szCs w:val="18"/>
        </w:rPr>
        <w:t>State Street Corporation | 52</w:t>
      </w:r>
    </w:p>
    <w:p w14:paraId="5F2C9F7D" w14:textId="77777777" w:rsidR="00E836FB" w:rsidRDefault="00E836FB">
      <w:pPr>
        <w:ind w:firstLine="450"/>
        <w:jc w:val="center"/>
      </w:pPr>
    </w:p>
    <w:p w14:paraId="5F2C9F7E" w14:textId="77777777" w:rsidR="00E836FB" w:rsidRDefault="00994958">
      <w:r>
        <w:pict w14:anchorId="5F2D6DB7">
          <v:rect id="_x0000_i1076" style="width:415.3pt;height:1.5pt" o:hralign="center" o:hrstd="t" o:hr="t" fillcolor="#a0a0a0" stroked="f"/>
        </w:pict>
      </w:r>
    </w:p>
    <w:p w14:paraId="5F2C9F7F" w14:textId="77777777" w:rsidR="00E836FB" w:rsidRDefault="00E836FB">
      <w:pPr>
        <w:ind w:firstLine="450"/>
      </w:pPr>
    </w:p>
    <w:p w14:paraId="5F2C9F80" w14:textId="77777777" w:rsidR="00E836FB" w:rsidRDefault="00994958">
      <w:pPr>
        <w:spacing w:before="90"/>
        <w:jc w:val="both"/>
        <w:textAlignment w:val="top"/>
      </w:pPr>
      <w:r>
        <w:rPr>
          <w:rFonts w:ascii="Arial" w:eastAsia="宋体" w:hAnsi="Arial" w:cs="Arial"/>
          <w:b/>
          <w:bCs/>
          <w:color w:val="000000"/>
          <w:sz w:val="20"/>
          <w:szCs w:val="20"/>
        </w:rPr>
        <w:t>INFORMATION ABOUT OUR EXECUTIV</w:t>
      </w:r>
      <w:r>
        <w:rPr>
          <w:rFonts w:ascii="Arial" w:eastAsia="宋体" w:hAnsi="Arial" w:cs="Arial"/>
          <w:b/>
          <w:bCs/>
          <w:color w:val="000000"/>
          <w:sz w:val="20"/>
          <w:szCs w:val="20"/>
        </w:rPr>
        <w:t xml:space="preserve">E OFFICERS </w:t>
      </w:r>
    </w:p>
    <w:p w14:paraId="5F2C9F81"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certain information with respect to each of our executive officers as of February 17, 2022.</w:t>
      </w:r>
    </w:p>
    <w:tbl>
      <w:tblPr>
        <w:tblW w:w="5000" w:type="pct"/>
        <w:tblCellMar>
          <w:top w:w="15" w:type="dxa"/>
          <w:left w:w="15" w:type="dxa"/>
          <w:bottom w:w="15" w:type="dxa"/>
          <w:right w:w="15" w:type="dxa"/>
        </w:tblCellMar>
        <w:tblLook w:val="04A0" w:firstRow="1" w:lastRow="0" w:firstColumn="1" w:lastColumn="0" w:noHBand="0" w:noVBand="1"/>
      </w:tblPr>
      <w:tblGrid>
        <w:gridCol w:w="58"/>
        <w:gridCol w:w="2951"/>
        <w:gridCol w:w="39"/>
        <w:gridCol w:w="36"/>
        <w:gridCol w:w="62"/>
        <w:gridCol w:w="36"/>
        <w:gridCol w:w="58"/>
        <w:gridCol w:w="722"/>
        <w:gridCol w:w="36"/>
        <w:gridCol w:w="36"/>
        <w:gridCol w:w="62"/>
        <w:gridCol w:w="36"/>
        <w:gridCol w:w="59"/>
        <w:gridCol w:w="4106"/>
        <w:gridCol w:w="39"/>
      </w:tblGrid>
      <w:tr w:rsidR="00E836FB" w14:paraId="5F2C9F91" w14:textId="77777777">
        <w:tc>
          <w:tcPr>
            <w:tcW w:w="50" w:type="pct"/>
            <w:shd w:val="clear" w:color="auto" w:fill="auto"/>
            <w:vAlign w:val="bottom"/>
          </w:tcPr>
          <w:p w14:paraId="5F2C9F82" w14:textId="77777777" w:rsidR="00E836FB" w:rsidRDefault="00E836FB">
            <w:pPr>
              <w:rPr>
                <w:rFonts w:ascii="宋体"/>
              </w:rPr>
            </w:pPr>
          </w:p>
        </w:tc>
        <w:tc>
          <w:tcPr>
            <w:tcW w:w="1784" w:type="pct"/>
            <w:shd w:val="clear" w:color="auto" w:fill="auto"/>
            <w:vAlign w:val="bottom"/>
          </w:tcPr>
          <w:p w14:paraId="5F2C9F83" w14:textId="77777777" w:rsidR="00E836FB" w:rsidRDefault="00E836FB">
            <w:pPr>
              <w:rPr>
                <w:rFonts w:ascii="宋体"/>
              </w:rPr>
            </w:pPr>
          </w:p>
        </w:tc>
        <w:tc>
          <w:tcPr>
            <w:tcW w:w="5" w:type="pct"/>
            <w:shd w:val="clear" w:color="auto" w:fill="auto"/>
            <w:vAlign w:val="bottom"/>
          </w:tcPr>
          <w:p w14:paraId="5F2C9F84" w14:textId="77777777" w:rsidR="00E836FB" w:rsidRDefault="00E836FB">
            <w:pPr>
              <w:rPr>
                <w:rFonts w:ascii="宋体"/>
              </w:rPr>
            </w:pPr>
          </w:p>
        </w:tc>
        <w:tc>
          <w:tcPr>
            <w:tcW w:w="5" w:type="pct"/>
            <w:shd w:val="clear" w:color="auto" w:fill="auto"/>
            <w:vAlign w:val="bottom"/>
          </w:tcPr>
          <w:p w14:paraId="5F2C9F85" w14:textId="77777777" w:rsidR="00E836FB" w:rsidRDefault="00E836FB">
            <w:pPr>
              <w:rPr>
                <w:rFonts w:ascii="宋体"/>
              </w:rPr>
            </w:pPr>
          </w:p>
        </w:tc>
        <w:tc>
          <w:tcPr>
            <w:tcW w:w="52" w:type="pct"/>
            <w:shd w:val="clear" w:color="auto" w:fill="auto"/>
            <w:vAlign w:val="bottom"/>
          </w:tcPr>
          <w:p w14:paraId="5F2C9F86" w14:textId="77777777" w:rsidR="00E836FB" w:rsidRDefault="00E836FB">
            <w:pPr>
              <w:rPr>
                <w:rFonts w:ascii="宋体"/>
              </w:rPr>
            </w:pPr>
          </w:p>
        </w:tc>
        <w:tc>
          <w:tcPr>
            <w:tcW w:w="5" w:type="pct"/>
            <w:shd w:val="clear" w:color="auto" w:fill="auto"/>
            <w:vAlign w:val="bottom"/>
          </w:tcPr>
          <w:p w14:paraId="5F2C9F87" w14:textId="77777777" w:rsidR="00E836FB" w:rsidRDefault="00E836FB">
            <w:pPr>
              <w:rPr>
                <w:rFonts w:ascii="宋体"/>
              </w:rPr>
            </w:pPr>
          </w:p>
        </w:tc>
        <w:tc>
          <w:tcPr>
            <w:tcW w:w="50" w:type="pct"/>
            <w:shd w:val="clear" w:color="auto" w:fill="auto"/>
            <w:vAlign w:val="bottom"/>
          </w:tcPr>
          <w:p w14:paraId="5F2C9F88" w14:textId="77777777" w:rsidR="00E836FB" w:rsidRDefault="00E836FB">
            <w:pPr>
              <w:rPr>
                <w:rFonts w:ascii="宋体"/>
              </w:rPr>
            </w:pPr>
          </w:p>
        </w:tc>
        <w:tc>
          <w:tcPr>
            <w:tcW w:w="448" w:type="pct"/>
            <w:shd w:val="clear" w:color="auto" w:fill="auto"/>
            <w:vAlign w:val="bottom"/>
          </w:tcPr>
          <w:p w14:paraId="5F2C9F89" w14:textId="77777777" w:rsidR="00E836FB" w:rsidRDefault="00E836FB">
            <w:pPr>
              <w:rPr>
                <w:rFonts w:ascii="宋体"/>
              </w:rPr>
            </w:pPr>
          </w:p>
        </w:tc>
        <w:tc>
          <w:tcPr>
            <w:tcW w:w="5" w:type="pct"/>
            <w:shd w:val="clear" w:color="auto" w:fill="auto"/>
            <w:vAlign w:val="bottom"/>
          </w:tcPr>
          <w:p w14:paraId="5F2C9F8A" w14:textId="77777777" w:rsidR="00E836FB" w:rsidRDefault="00E836FB">
            <w:pPr>
              <w:rPr>
                <w:rFonts w:ascii="宋体"/>
              </w:rPr>
            </w:pPr>
          </w:p>
        </w:tc>
        <w:tc>
          <w:tcPr>
            <w:tcW w:w="5" w:type="pct"/>
            <w:shd w:val="clear" w:color="auto" w:fill="auto"/>
            <w:vAlign w:val="bottom"/>
          </w:tcPr>
          <w:p w14:paraId="5F2C9F8B" w14:textId="77777777" w:rsidR="00E836FB" w:rsidRDefault="00E836FB">
            <w:pPr>
              <w:rPr>
                <w:rFonts w:ascii="宋体"/>
              </w:rPr>
            </w:pPr>
          </w:p>
        </w:tc>
        <w:tc>
          <w:tcPr>
            <w:tcW w:w="52" w:type="pct"/>
            <w:shd w:val="clear" w:color="auto" w:fill="auto"/>
            <w:vAlign w:val="bottom"/>
          </w:tcPr>
          <w:p w14:paraId="5F2C9F8C" w14:textId="77777777" w:rsidR="00E836FB" w:rsidRDefault="00E836FB">
            <w:pPr>
              <w:rPr>
                <w:rFonts w:ascii="宋体"/>
              </w:rPr>
            </w:pPr>
          </w:p>
        </w:tc>
        <w:tc>
          <w:tcPr>
            <w:tcW w:w="5" w:type="pct"/>
            <w:shd w:val="clear" w:color="auto" w:fill="auto"/>
            <w:vAlign w:val="bottom"/>
          </w:tcPr>
          <w:p w14:paraId="5F2C9F8D" w14:textId="77777777" w:rsidR="00E836FB" w:rsidRDefault="00E836FB">
            <w:pPr>
              <w:rPr>
                <w:rFonts w:ascii="宋体"/>
              </w:rPr>
            </w:pPr>
          </w:p>
        </w:tc>
        <w:tc>
          <w:tcPr>
            <w:tcW w:w="50" w:type="pct"/>
            <w:shd w:val="clear" w:color="auto" w:fill="auto"/>
            <w:vAlign w:val="bottom"/>
          </w:tcPr>
          <w:p w14:paraId="5F2C9F8E" w14:textId="77777777" w:rsidR="00E836FB" w:rsidRDefault="00E836FB">
            <w:pPr>
              <w:rPr>
                <w:rFonts w:ascii="宋体"/>
              </w:rPr>
            </w:pPr>
          </w:p>
        </w:tc>
        <w:tc>
          <w:tcPr>
            <w:tcW w:w="2476" w:type="pct"/>
            <w:shd w:val="clear" w:color="auto" w:fill="auto"/>
            <w:vAlign w:val="bottom"/>
          </w:tcPr>
          <w:p w14:paraId="5F2C9F8F" w14:textId="77777777" w:rsidR="00E836FB" w:rsidRDefault="00E836FB">
            <w:pPr>
              <w:rPr>
                <w:rFonts w:ascii="宋体"/>
              </w:rPr>
            </w:pPr>
          </w:p>
        </w:tc>
        <w:tc>
          <w:tcPr>
            <w:tcW w:w="5" w:type="pct"/>
            <w:shd w:val="clear" w:color="auto" w:fill="auto"/>
            <w:vAlign w:val="bottom"/>
          </w:tcPr>
          <w:p w14:paraId="5F2C9F90" w14:textId="77777777" w:rsidR="00E836FB" w:rsidRDefault="00E836FB">
            <w:pPr>
              <w:rPr>
                <w:rFonts w:ascii="宋体"/>
              </w:rPr>
            </w:pPr>
          </w:p>
        </w:tc>
      </w:tr>
      <w:tr w:rsidR="00E836FB" w14:paraId="5F2C9F97" w14:textId="77777777">
        <w:tc>
          <w:tcPr>
            <w:tcW w:w="0" w:type="auto"/>
            <w:gridSpan w:val="3"/>
            <w:shd w:val="clear" w:color="auto" w:fill="auto"/>
            <w:tcMar>
              <w:top w:w="40" w:type="dxa"/>
              <w:left w:w="20" w:type="dxa"/>
              <w:bottom w:w="40" w:type="dxa"/>
              <w:right w:w="20" w:type="dxa"/>
            </w:tcMar>
            <w:vAlign w:val="center"/>
          </w:tcPr>
          <w:p w14:paraId="5F2C9F92" w14:textId="77777777" w:rsidR="00E836FB" w:rsidRDefault="00994958">
            <w:pPr>
              <w:jc w:val="center"/>
              <w:textAlignment w:val="center"/>
            </w:pPr>
            <w:r>
              <w:rPr>
                <w:rFonts w:ascii="Arial" w:eastAsia="宋体" w:hAnsi="Arial" w:cs="Arial"/>
                <w:b/>
                <w:bCs/>
                <w:color w:val="000000"/>
                <w:sz w:val="16"/>
                <w:szCs w:val="16"/>
              </w:rPr>
              <w:t>Name</w:t>
            </w:r>
          </w:p>
        </w:tc>
        <w:tc>
          <w:tcPr>
            <w:tcW w:w="0" w:type="auto"/>
            <w:gridSpan w:val="3"/>
            <w:shd w:val="clear" w:color="auto" w:fill="auto"/>
            <w:tcMar>
              <w:top w:w="0" w:type="dxa"/>
              <w:left w:w="20" w:type="dxa"/>
              <w:bottom w:w="0" w:type="dxa"/>
              <w:right w:w="20" w:type="dxa"/>
            </w:tcMar>
            <w:vAlign w:val="bottom"/>
          </w:tcPr>
          <w:p w14:paraId="5F2C9F9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C9F94" w14:textId="77777777" w:rsidR="00E836FB" w:rsidRDefault="00994958">
            <w:pPr>
              <w:jc w:val="center"/>
              <w:textAlignment w:val="center"/>
            </w:pPr>
            <w:r>
              <w:rPr>
                <w:rFonts w:ascii="Arial" w:eastAsia="宋体" w:hAnsi="Arial" w:cs="Arial"/>
                <w:b/>
                <w:bCs/>
                <w:color w:val="000000"/>
                <w:sz w:val="16"/>
                <w:szCs w:val="16"/>
              </w:rPr>
              <w:t>Age</w:t>
            </w:r>
          </w:p>
        </w:tc>
        <w:tc>
          <w:tcPr>
            <w:tcW w:w="0" w:type="auto"/>
            <w:gridSpan w:val="3"/>
            <w:shd w:val="clear" w:color="auto" w:fill="auto"/>
            <w:tcMar>
              <w:top w:w="0" w:type="dxa"/>
              <w:left w:w="20" w:type="dxa"/>
              <w:bottom w:w="0" w:type="dxa"/>
              <w:right w:w="20" w:type="dxa"/>
            </w:tcMar>
            <w:vAlign w:val="bottom"/>
          </w:tcPr>
          <w:p w14:paraId="5F2C9F9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C9F96" w14:textId="77777777" w:rsidR="00E836FB" w:rsidRDefault="00994958">
            <w:pPr>
              <w:jc w:val="center"/>
              <w:textAlignment w:val="center"/>
            </w:pPr>
            <w:r>
              <w:rPr>
                <w:rFonts w:ascii="Arial" w:eastAsia="宋体" w:hAnsi="Arial" w:cs="Arial"/>
                <w:b/>
                <w:bCs/>
                <w:color w:val="000000"/>
                <w:sz w:val="16"/>
                <w:szCs w:val="16"/>
              </w:rPr>
              <w:t>Position</w:t>
            </w:r>
          </w:p>
        </w:tc>
      </w:tr>
      <w:tr w:rsidR="00E836FB" w14:paraId="5F2C9F9D"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9F98" w14:textId="77777777" w:rsidR="00E836FB" w:rsidRDefault="00994958">
            <w:pPr>
              <w:textAlignment w:val="center"/>
            </w:pPr>
            <w:r>
              <w:rPr>
                <w:rFonts w:ascii="Arial" w:eastAsia="宋体" w:hAnsi="Arial" w:cs="Arial"/>
                <w:color w:val="000000"/>
                <w:sz w:val="16"/>
                <w:szCs w:val="16"/>
              </w:rPr>
              <w:t>Ronald P. O'Hanley</w:t>
            </w:r>
          </w:p>
        </w:tc>
        <w:tc>
          <w:tcPr>
            <w:tcW w:w="0" w:type="auto"/>
            <w:gridSpan w:val="3"/>
            <w:shd w:val="clear" w:color="auto" w:fill="CCEEFF"/>
            <w:tcMar>
              <w:top w:w="0" w:type="dxa"/>
              <w:left w:w="20" w:type="dxa"/>
              <w:bottom w:w="0" w:type="dxa"/>
              <w:right w:w="20" w:type="dxa"/>
            </w:tcMar>
            <w:vAlign w:val="bottom"/>
          </w:tcPr>
          <w:p w14:paraId="5F2C9F99"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9F9A" w14:textId="77777777" w:rsidR="00E836FB" w:rsidRDefault="00994958">
            <w:pPr>
              <w:jc w:val="center"/>
              <w:textAlignment w:val="center"/>
            </w:pPr>
            <w:r>
              <w:rPr>
                <w:rFonts w:ascii="Arial" w:eastAsia="宋体" w:hAnsi="Arial" w:cs="Arial"/>
                <w:color w:val="000000"/>
                <w:sz w:val="16"/>
                <w:szCs w:val="16"/>
              </w:rPr>
              <w:t>65</w:t>
            </w:r>
          </w:p>
        </w:tc>
        <w:tc>
          <w:tcPr>
            <w:tcW w:w="0" w:type="auto"/>
            <w:gridSpan w:val="3"/>
            <w:shd w:val="clear" w:color="auto" w:fill="CCEEFF"/>
            <w:tcMar>
              <w:top w:w="0" w:type="dxa"/>
              <w:left w:w="20" w:type="dxa"/>
              <w:bottom w:w="0" w:type="dxa"/>
              <w:right w:w="20" w:type="dxa"/>
            </w:tcMar>
            <w:vAlign w:val="bottom"/>
          </w:tcPr>
          <w:p w14:paraId="5F2C9F9B"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9F9C" w14:textId="77777777" w:rsidR="00E836FB" w:rsidRDefault="00994958">
            <w:pPr>
              <w:textAlignment w:val="center"/>
            </w:pPr>
            <w:r>
              <w:rPr>
                <w:rFonts w:ascii="Arial" w:eastAsia="宋体" w:hAnsi="Arial" w:cs="Arial"/>
                <w:color w:val="000000"/>
                <w:sz w:val="16"/>
                <w:szCs w:val="16"/>
              </w:rPr>
              <w:t xml:space="preserve">Chairman, President and Chief Executive Officer </w:t>
            </w:r>
          </w:p>
        </w:tc>
      </w:tr>
      <w:tr w:rsidR="00E836FB" w14:paraId="5F2C9FA3" w14:textId="77777777">
        <w:tc>
          <w:tcPr>
            <w:tcW w:w="0" w:type="auto"/>
            <w:gridSpan w:val="3"/>
            <w:shd w:val="clear" w:color="auto" w:fill="FFFFFF"/>
            <w:tcMar>
              <w:top w:w="40" w:type="dxa"/>
              <w:left w:w="20" w:type="dxa"/>
              <w:bottom w:w="40" w:type="dxa"/>
              <w:right w:w="20" w:type="dxa"/>
            </w:tcMar>
            <w:vAlign w:val="center"/>
          </w:tcPr>
          <w:p w14:paraId="5F2C9F9E" w14:textId="77777777" w:rsidR="00E836FB" w:rsidRDefault="00994958">
            <w:pPr>
              <w:textAlignment w:val="center"/>
            </w:pPr>
            <w:r>
              <w:rPr>
                <w:rFonts w:ascii="Arial" w:eastAsia="宋体" w:hAnsi="Arial" w:cs="Arial"/>
                <w:color w:val="000000"/>
                <w:sz w:val="16"/>
                <w:szCs w:val="16"/>
              </w:rPr>
              <w:t>Eric W. Aboaf</w:t>
            </w:r>
          </w:p>
        </w:tc>
        <w:tc>
          <w:tcPr>
            <w:tcW w:w="0" w:type="auto"/>
            <w:gridSpan w:val="3"/>
            <w:shd w:val="clear" w:color="auto" w:fill="FFFFFF"/>
            <w:tcMar>
              <w:top w:w="0" w:type="dxa"/>
              <w:left w:w="20" w:type="dxa"/>
              <w:bottom w:w="0" w:type="dxa"/>
              <w:right w:w="20" w:type="dxa"/>
            </w:tcMar>
            <w:vAlign w:val="bottom"/>
          </w:tcPr>
          <w:p w14:paraId="5F2C9F9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A0" w14:textId="77777777" w:rsidR="00E836FB" w:rsidRDefault="00994958">
            <w:pPr>
              <w:jc w:val="center"/>
              <w:textAlignment w:val="center"/>
            </w:pPr>
            <w:r>
              <w:rPr>
                <w:rFonts w:ascii="Arial" w:eastAsia="宋体" w:hAnsi="Arial" w:cs="Arial"/>
                <w:color w:val="000000"/>
                <w:sz w:val="16"/>
                <w:szCs w:val="16"/>
              </w:rPr>
              <w:t>57</w:t>
            </w:r>
          </w:p>
        </w:tc>
        <w:tc>
          <w:tcPr>
            <w:tcW w:w="0" w:type="auto"/>
            <w:gridSpan w:val="3"/>
            <w:shd w:val="clear" w:color="auto" w:fill="FFFFFF"/>
            <w:tcMar>
              <w:top w:w="0" w:type="dxa"/>
              <w:left w:w="20" w:type="dxa"/>
              <w:bottom w:w="0" w:type="dxa"/>
              <w:right w:w="20" w:type="dxa"/>
            </w:tcMar>
            <w:vAlign w:val="bottom"/>
          </w:tcPr>
          <w:p w14:paraId="5F2C9FA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A2" w14:textId="77777777" w:rsidR="00E836FB" w:rsidRDefault="00994958">
            <w:pPr>
              <w:textAlignment w:val="center"/>
            </w:pPr>
            <w:r>
              <w:rPr>
                <w:rFonts w:ascii="Arial" w:eastAsia="宋体" w:hAnsi="Arial" w:cs="Arial"/>
                <w:color w:val="000000"/>
                <w:sz w:val="16"/>
                <w:szCs w:val="16"/>
              </w:rPr>
              <w:t>Executive Vice President and Chief Financial Officer</w:t>
            </w:r>
          </w:p>
        </w:tc>
      </w:tr>
      <w:tr w:rsidR="00E836FB" w14:paraId="5F2C9FA9" w14:textId="77777777">
        <w:tc>
          <w:tcPr>
            <w:tcW w:w="0" w:type="auto"/>
            <w:gridSpan w:val="3"/>
            <w:shd w:val="clear" w:color="auto" w:fill="CCEEFF"/>
            <w:tcMar>
              <w:top w:w="40" w:type="dxa"/>
              <w:left w:w="20" w:type="dxa"/>
              <w:bottom w:w="40" w:type="dxa"/>
              <w:right w:w="20" w:type="dxa"/>
            </w:tcMar>
            <w:vAlign w:val="center"/>
          </w:tcPr>
          <w:p w14:paraId="5F2C9FA4" w14:textId="77777777" w:rsidR="00E836FB" w:rsidRDefault="00994958">
            <w:pPr>
              <w:textAlignment w:val="center"/>
            </w:pPr>
            <w:r>
              <w:rPr>
                <w:rFonts w:ascii="Arial" w:eastAsia="宋体" w:hAnsi="Arial" w:cs="Arial"/>
                <w:color w:val="000000"/>
                <w:sz w:val="16"/>
                <w:szCs w:val="16"/>
              </w:rPr>
              <w:t>Ian W. Appleyard</w:t>
            </w:r>
          </w:p>
        </w:tc>
        <w:tc>
          <w:tcPr>
            <w:tcW w:w="0" w:type="auto"/>
            <w:gridSpan w:val="3"/>
            <w:shd w:val="clear" w:color="auto" w:fill="CCEEFF"/>
            <w:tcMar>
              <w:top w:w="0" w:type="dxa"/>
              <w:left w:w="20" w:type="dxa"/>
              <w:bottom w:w="0" w:type="dxa"/>
              <w:right w:w="20" w:type="dxa"/>
            </w:tcMar>
            <w:vAlign w:val="bottom"/>
          </w:tcPr>
          <w:p w14:paraId="5F2C9FA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A6" w14:textId="77777777" w:rsidR="00E836FB" w:rsidRDefault="00994958">
            <w:pPr>
              <w:jc w:val="center"/>
              <w:textAlignment w:val="center"/>
            </w:pPr>
            <w:r>
              <w:rPr>
                <w:rFonts w:ascii="Arial" w:eastAsia="宋体" w:hAnsi="Arial" w:cs="Arial"/>
                <w:color w:val="000000"/>
                <w:sz w:val="16"/>
                <w:szCs w:val="16"/>
              </w:rPr>
              <w:t>57</w:t>
            </w:r>
          </w:p>
        </w:tc>
        <w:tc>
          <w:tcPr>
            <w:tcW w:w="0" w:type="auto"/>
            <w:gridSpan w:val="3"/>
            <w:shd w:val="clear" w:color="auto" w:fill="CCEEFF"/>
            <w:tcMar>
              <w:top w:w="0" w:type="dxa"/>
              <w:left w:w="20" w:type="dxa"/>
              <w:bottom w:w="0" w:type="dxa"/>
              <w:right w:w="20" w:type="dxa"/>
            </w:tcMar>
            <w:vAlign w:val="bottom"/>
          </w:tcPr>
          <w:p w14:paraId="5F2C9FA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A8" w14:textId="77777777" w:rsidR="00E836FB" w:rsidRDefault="00994958">
            <w:pPr>
              <w:textAlignment w:val="center"/>
            </w:pPr>
            <w:r>
              <w:rPr>
                <w:rFonts w:ascii="Arial" w:eastAsia="宋体" w:hAnsi="Arial" w:cs="Arial"/>
                <w:color w:val="000000"/>
                <w:sz w:val="16"/>
                <w:szCs w:val="16"/>
              </w:rPr>
              <w:t>Executive Vice President, Global Controller and Chief Accounting Officer</w:t>
            </w:r>
          </w:p>
        </w:tc>
      </w:tr>
      <w:tr w:rsidR="00E836FB" w14:paraId="5F2C9FAF" w14:textId="77777777">
        <w:tc>
          <w:tcPr>
            <w:tcW w:w="0" w:type="auto"/>
            <w:gridSpan w:val="3"/>
            <w:shd w:val="clear" w:color="auto" w:fill="FFFFFF"/>
            <w:tcMar>
              <w:top w:w="40" w:type="dxa"/>
              <w:left w:w="20" w:type="dxa"/>
              <w:bottom w:w="40" w:type="dxa"/>
              <w:right w:w="20" w:type="dxa"/>
            </w:tcMar>
            <w:vAlign w:val="center"/>
          </w:tcPr>
          <w:p w14:paraId="5F2C9FAA" w14:textId="77777777" w:rsidR="00E836FB" w:rsidRDefault="00994958">
            <w:pPr>
              <w:textAlignment w:val="center"/>
            </w:pPr>
            <w:r>
              <w:rPr>
                <w:rFonts w:ascii="Arial" w:eastAsia="宋体" w:hAnsi="Arial" w:cs="Arial"/>
                <w:color w:val="000000"/>
                <w:sz w:val="16"/>
                <w:szCs w:val="16"/>
              </w:rPr>
              <w:t>Francisco Aristeguieta</w:t>
            </w:r>
          </w:p>
        </w:tc>
        <w:tc>
          <w:tcPr>
            <w:tcW w:w="0" w:type="auto"/>
            <w:gridSpan w:val="3"/>
            <w:shd w:val="clear" w:color="auto" w:fill="FFFFFF"/>
            <w:tcMar>
              <w:top w:w="0" w:type="dxa"/>
              <w:left w:w="20" w:type="dxa"/>
              <w:bottom w:w="0" w:type="dxa"/>
              <w:right w:w="20" w:type="dxa"/>
            </w:tcMar>
            <w:vAlign w:val="bottom"/>
          </w:tcPr>
          <w:p w14:paraId="5F2C9FAB"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AC" w14:textId="77777777" w:rsidR="00E836FB" w:rsidRDefault="00994958">
            <w:pPr>
              <w:jc w:val="center"/>
              <w:textAlignment w:val="center"/>
            </w:pPr>
            <w:r>
              <w:rPr>
                <w:rFonts w:ascii="Arial" w:eastAsia="宋体" w:hAnsi="Arial" w:cs="Arial"/>
                <w:color w:val="000000"/>
                <w:sz w:val="16"/>
                <w:szCs w:val="16"/>
              </w:rPr>
              <w:t>56</w:t>
            </w:r>
          </w:p>
        </w:tc>
        <w:tc>
          <w:tcPr>
            <w:tcW w:w="0" w:type="auto"/>
            <w:gridSpan w:val="3"/>
            <w:shd w:val="clear" w:color="auto" w:fill="FFFFFF"/>
            <w:tcMar>
              <w:top w:w="0" w:type="dxa"/>
              <w:left w:w="20" w:type="dxa"/>
              <w:bottom w:w="0" w:type="dxa"/>
              <w:right w:w="20" w:type="dxa"/>
            </w:tcMar>
            <w:vAlign w:val="bottom"/>
          </w:tcPr>
          <w:p w14:paraId="5F2C9FA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AE" w14:textId="77777777" w:rsidR="00E836FB" w:rsidRDefault="00994958">
            <w:pPr>
              <w:textAlignment w:val="center"/>
            </w:pPr>
            <w:r>
              <w:rPr>
                <w:rFonts w:ascii="Arial" w:eastAsia="宋体" w:hAnsi="Arial" w:cs="Arial"/>
                <w:color w:val="000000"/>
                <w:sz w:val="16"/>
                <w:szCs w:val="16"/>
              </w:rPr>
              <w:t>Executive Vice President and Chief Executive Officer of State Street Institutional Services</w:t>
            </w:r>
          </w:p>
        </w:tc>
      </w:tr>
      <w:tr w:rsidR="00E836FB" w14:paraId="5F2C9FB5" w14:textId="77777777">
        <w:tc>
          <w:tcPr>
            <w:tcW w:w="0" w:type="auto"/>
            <w:gridSpan w:val="3"/>
            <w:shd w:val="clear" w:color="auto" w:fill="CCEEFF"/>
            <w:tcMar>
              <w:top w:w="40" w:type="dxa"/>
              <w:left w:w="20" w:type="dxa"/>
              <w:bottom w:w="40" w:type="dxa"/>
              <w:right w:w="20" w:type="dxa"/>
            </w:tcMar>
            <w:vAlign w:val="center"/>
          </w:tcPr>
          <w:p w14:paraId="5F2C9FB0" w14:textId="77777777" w:rsidR="00E836FB" w:rsidRDefault="00994958">
            <w:pPr>
              <w:textAlignment w:val="center"/>
            </w:pPr>
            <w:r>
              <w:rPr>
                <w:rFonts w:ascii="Arial" w:eastAsia="宋体" w:hAnsi="Arial" w:cs="Arial"/>
                <w:color w:val="000000"/>
                <w:sz w:val="16"/>
                <w:szCs w:val="16"/>
              </w:rPr>
              <w:t>Andrew J. Erickson</w:t>
            </w:r>
          </w:p>
        </w:tc>
        <w:tc>
          <w:tcPr>
            <w:tcW w:w="0" w:type="auto"/>
            <w:gridSpan w:val="3"/>
            <w:shd w:val="clear" w:color="auto" w:fill="CCEEFF"/>
            <w:tcMar>
              <w:top w:w="0" w:type="dxa"/>
              <w:left w:w="20" w:type="dxa"/>
              <w:bottom w:w="0" w:type="dxa"/>
              <w:right w:w="20" w:type="dxa"/>
            </w:tcMar>
            <w:vAlign w:val="bottom"/>
          </w:tcPr>
          <w:p w14:paraId="5F2C9FB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B2" w14:textId="77777777" w:rsidR="00E836FB" w:rsidRDefault="00994958">
            <w:pPr>
              <w:jc w:val="center"/>
              <w:textAlignment w:val="center"/>
            </w:pPr>
            <w:r>
              <w:rPr>
                <w:rFonts w:ascii="Arial" w:eastAsia="宋体" w:hAnsi="Arial" w:cs="Arial"/>
                <w:color w:val="000000"/>
                <w:sz w:val="16"/>
                <w:szCs w:val="16"/>
              </w:rPr>
              <w:t>52</w:t>
            </w:r>
          </w:p>
        </w:tc>
        <w:tc>
          <w:tcPr>
            <w:tcW w:w="0" w:type="auto"/>
            <w:gridSpan w:val="3"/>
            <w:shd w:val="clear" w:color="auto" w:fill="CCEEFF"/>
            <w:tcMar>
              <w:top w:w="0" w:type="dxa"/>
              <w:left w:w="20" w:type="dxa"/>
              <w:bottom w:w="0" w:type="dxa"/>
              <w:right w:w="20" w:type="dxa"/>
            </w:tcMar>
            <w:vAlign w:val="bottom"/>
          </w:tcPr>
          <w:p w14:paraId="5F2C9FB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B4" w14:textId="77777777" w:rsidR="00E836FB" w:rsidRDefault="00994958">
            <w:pPr>
              <w:textAlignment w:val="center"/>
            </w:pPr>
            <w:r>
              <w:rPr>
                <w:rFonts w:ascii="Arial" w:eastAsia="宋体" w:hAnsi="Arial" w:cs="Arial"/>
                <w:color w:val="000000"/>
                <w:sz w:val="16"/>
                <w:szCs w:val="16"/>
              </w:rPr>
              <w:t>Executive Vice President, Chief Productivity Officer and Head of International</w:t>
            </w:r>
          </w:p>
        </w:tc>
      </w:tr>
      <w:tr w:rsidR="00E836FB" w14:paraId="5F2C9FBB" w14:textId="77777777">
        <w:tc>
          <w:tcPr>
            <w:tcW w:w="0" w:type="auto"/>
            <w:gridSpan w:val="3"/>
            <w:shd w:val="clear" w:color="auto" w:fill="FFFFFF"/>
            <w:tcMar>
              <w:top w:w="40" w:type="dxa"/>
              <w:left w:w="20" w:type="dxa"/>
              <w:bottom w:w="40" w:type="dxa"/>
              <w:right w:w="20" w:type="dxa"/>
            </w:tcMar>
            <w:vAlign w:val="center"/>
          </w:tcPr>
          <w:p w14:paraId="5F2C9FB6" w14:textId="77777777" w:rsidR="00E836FB" w:rsidRDefault="00994958">
            <w:pPr>
              <w:textAlignment w:val="center"/>
            </w:pPr>
            <w:r>
              <w:rPr>
                <w:rFonts w:ascii="Arial" w:eastAsia="宋体" w:hAnsi="Arial" w:cs="Arial"/>
                <w:color w:val="000000"/>
                <w:sz w:val="16"/>
                <w:szCs w:val="16"/>
              </w:rPr>
              <w:t>Kathryn M. Horgan</w:t>
            </w:r>
          </w:p>
        </w:tc>
        <w:tc>
          <w:tcPr>
            <w:tcW w:w="0" w:type="auto"/>
            <w:gridSpan w:val="3"/>
            <w:shd w:val="clear" w:color="auto" w:fill="FFFFFF"/>
            <w:tcMar>
              <w:top w:w="0" w:type="dxa"/>
              <w:left w:w="20" w:type="dxa"/>
              <w:bottom w:w="0" w:type="dxa"/>
              <w:right w:w="20" w:type="dxa"/>
            </w:tcMar>
            <w:vAlign w:val="bottom"/>
          </w:tcPr>
          <w:p w14:paraId="5F2C9FB7"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B8" w14:textId="77777777" w:rsidR="00E836FB" w:rsidRDefault="00994958">
            <w:pPr>
              <w:jc w:val="center"/>
              <w:textAlignment w:val="center"/>
            </w:pPr>
            <w:r>
              <w:rPr>
                <w:rFonts w:ascii="Arial" w:eastAsia="宋体" w:hAnsi="Arial" w:cs="Arial"/>
                <w:color w:val="000000"/>
                <w:sz w:val="16"/>
                <w:szCs w:val="16"/>
              </w:rPr>
              <w:t>56</w:t>
            </w:r>
          </w:p>
        </w:tc>
        <w:tc>
          <w:tcPr>
            <w:tcW w:w="0" w:type="auto"/>
            <w:gridSpan w:val="3"/>
            <w:shd w:val="clear" w:color="auto" w:fill="FFFFFF"/>
            <w:tcMar>
              <w:top w:w="0" w:type="dxa"/>
              <w:left w:w="20" w:type="dxa"/>
              <w:bottom w:w="0" w:type="dxa"/>
              <w:right w:w="20" w:type="dxa"/>
            </w:tcMar>
            <w:vAlign w:val="bottom"/>
          </w:tcPr>
          <w:p w14:paraId="5F2C9FB9"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BA" w14:textId="77777777" w:rsidR="00E836FB" w:rsidRDefault="00994958">
            <w:pPr>
              <w:textAlignment w:val="center"/>
            </w:pPr>
            <w:r>
              <w:rPr>
                <w:rFonts w:ascii="Arial" w:eastAsia="宋体" w:hAnsi="Arial" w:cs="Arial"/>
                <w:color w:val="000000"/>
                <w:sz w:val="16"/>
                <w:szCs w:val="16"/>
              </w:rPr>
              <w:t xml:space="preserve">Executive Vice President and </w:t>
            </w:r>
            <w:r>
              <w:rPr>
                <w:rFonts w:ascii="Arial" w:eastAsia="宋体" w:hAnsi="Arial" w:cs="Arial"/>
                <w:color w:val="000000"/>
                <w:sz w:val="16"/>
                <w:szCs w:val="16"/>
              </w:rPr>
              <w:t>Chief Human Resources and Citizenship Officer</w:t>
            </w:r>
          </w:p>
        </w:tc>
      </w:tr>
      <w:tr w:rsidR="00E836FB" w14:paraId="5F2C9FC1" w14:textId="77777777">
        <w:tc>
          <w:tcPr>
            <w:tcW w:w="0" w:type="auto"/>
            <w:gridSpan w:val="3"/>
            <w:shd w:val="clear" w:color="auto" w:fill="CCEEFF"/>
            <w:tcMar>
              <w:top w:w="40" w:type="dxa"/>
              <w:left w:w="20" w:type="dxa"/>
              <w:bottom w:w="40" w:type="dxa"/>
              <w:right w:w="20" w:type="dxa"/>
            </w:tcMar>
            <w:vAlign w:val="center"/>
          </w:tcPr>
          <w:p w14:paraId="5F2C9FBC" w14:textId="77777777" w:rsidR="00E836FB" w:rsidRDefault="00994958">
            <w:pPr>
              <w:textAlignment w:val="center"/>
            </w:pPr>
            <w:r>
              <w:rPr>
                <w:rFonts w:ascii="Arial" w:eastAsia="宋体" w:hAnsi="Arial" w:cs="Arial"/>
                <w:color w:val="000000"/>
                <w:sz w:val="16"/>
                <w:szCs w:val="16"/>
              </w:rPr>
              <w:t>Bradford Hu</w:t>
            </w:r>
          </w:p>
        </w:tc>
        <w:tc>
          <w:tcPr>
            <w:tcW w:w="0" w:type="auto"/>
            <w:gridSpan w:val="3"/>
            <w:shd w:val="clear" w:color="auto" w:fill="CCEEFF"/>
            <w:tcMar>
              <w:top w:w="0" w:type="dxa"/>
              <w:left w:w="20" w:type="dxa"/>
              <w:bottom w:w="0" w:type="dxa"/>
              <w:right w:w="20" w:type="dxa"/>
            </w:tcMar>
            <w:vAlign w:val="bottom"/>
          </w:tcPr>
          <w:p w14:paraId="5F2C9FB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BE" w14:textId="77777777" w:rsidR="00E836FB" w:rsidRDefault="00994958">
            <w:pPr>
              <w:jc w:val="center"/>
              <w:textAlignment w:val="center"/>
            </w:pPr>
            <w:r>
              <w:rPr>
                <w:rFonts w:ascii="Arial" w:eastAsia="宋体" w:hAnsi="Arial" w:cs="Arial"/>
                <w:color w:val="000000"/>
                <w:sz w:val="16"/>
                <w:szCs w:val="16"/>
              </w:rPr>
              <w:t>58</w:t>
            </w:r>
          </w:p>
        </w:tc>
        <w:tc>
          <w:tcPr>
            <w:tcW w:w="0" w:type="auto"/>
            <w:gridSpan w:val="3"/>
            <w:shd w:val="clear" w:color="auto" w:fill="CCEEFF"/>
            <w:tcMar>
              <w:top w:w="0" w:type="dxa"/>
              <w:left w:w="20" w:type="dxa"/>
              <w:bottom w:w="0" w:type="dxa"/>
              <w:right w:w="20" w:type="dxa"/>
            </w:tcMar>
            <w:vAlign w:val="bottom"/>
          </w:tcPr>
          <w:p w14:paraId="5F2C9FB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C0" w14:textId="77777777" w:rsidR="00E836FB" w:rsidRDefault="00994958">
            <w:pPr>
              <w:textAlignment w:val="center"/>
            </w:pPr>
            <w:r>
              <w:rPr>
                <w:rFonts w:ascii="Arial" w:eastAsia="宋体" w:hAnsi="Arial" w:cs="Arial"/>
                <w:color w:val="000000"/>
                <w:sz w:val="16"/>
                <w:szCs w:val="16"/>
              </w:rPr>
              <w:t>Executive Vice President and Chief Risk Officer</w:t>
            </w:r>
          </w:p>
        </w:tc>
      </w:tr>
      <w:tr w:rsidR="00E836FB" w14:paraId="5F2C9FC7" w14:textId="77777777">
        <w:tc>
          <w:tcPr>
            <w:tcW w:w="0" w:type="auto"/>
            <w:gridSpan w:val="3"/>
            <w:shd w:val="clear" w:color="auto" w:fill="FFFFFF"/>
            <w:tcMar>
              <w:top w:w="40" w:type="dxa"/>
              <w:left w:w="20" w:type="dxa"/>
              <w:bottom w:w="40" w:type="dxa"/>
              <w:right w:w="20" w:type="dxa"/>
            </w:tcMar>
            <w:vAlign w:val="center"/>
          </w:tcPr>
          <w:p w14:paraId="5F2C9FC2" w14:textId="77777777" w:rsidR="00E836FB" w:rsidRDefault="00994958">
            <w:pPr>
              <w:textAlignment w:val="center"/>
            </w:pPr>
            <w:r>
              <w:rPr>
                <w:rFonts w:ascii="Arial" w:eastAsia="宋体" w:hAnsi="Arial" w:cs="Arial"/>
                <w:color w:val="000000"/>
                <w:sz w:val="16"/>
                <w:szCs w:val="16"/>
              </w:rPr>
              <w:t>Louis D. Maiuri</w:t>
            </w:r>
          </w:p>
        </w:tc>
        <w:tc>
          <w:tcPr>
            <w:tcW w:w="0" w:type="auto"/>
            <w:gridSpan w:val="3"/>
            <w:shd w:val="clear" w:color="auto" w:fill="FFFFFF"/>
            <w:tcMar>
              <w:top w:w="0" w:type="dxa"/>
              <w:left w:w="20" w:type="dxa"/>
              <w:bottom w:w="0" w:type="dxa"/>
              <w:right w:w="20" w:type="dxa"/>
            </w:tcMar>
            <w:vAlign w:val="bottom"/>
          </w:tcPr>
          <w:p w14:paraId="5F2C9FC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C4" w14:textId="77777777" w:rsidR="00E836FB" w:rsidRDefault="00994958">
            <w:pPr>
              <w:jc w:val="center"/>
              <w:textAlignment w:val="center"/>
            </w:pPr>
            <w:r>
              <w:rPr>
                <w:rFonts w:ascii="Arial" w:eastAsia="宋体" w:hAnsi="Arial" w:cs="Arial"/>
                <w:color w:val="000000"/>
                <w:sz w:val="16"/>
                <w:szCs w:val="16"/>
              </w:rPr>
              <w:t>57</w:t>
            </w:r>
          </w:p>
        </w:tc>
        <w:tc>
          <w:tcPr>
            <w:tcW w:w="0" w:type="auto"/>
            <w:gridSpan w:val="3"/>
            <w:shd w:val="clear" w:color="auto" w:fill="FFFFFF"/>
            <w:tcMar>
              <w:top w:w="0" w:type="dxa"/>
              <w:left w:w="20" w:type="dxa"/>
              <w:bottom w:w="0" w:type="dxa"/>
              <w:right w:w="20" w:type="dxa"/>
            </w:tcMar>
            <w:vAlign w:val="bottom"/>
          </w:tcPr>
          <w:p w14:paraId="5F2C9FC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C6" w14:textId="77777777" w:rsidR="00E836FB" w:rsidRDefault="00994958">
            <w:pPr>
              <w:textAlignment w:val="center"/>
            </w:pPr>
            <w:r>
              <w:rPr>
                <w:rFonts w:ascii="Arial" w:eastAsia="宋体" w:hAnsi="Arial" w:cs="Arial"/>
                <w:color w:val="000000"/>
                <w:sz w:val="16"/>
                <w:szCs w:val="16"/>
              </w:rPr>
              <w:t>Executive Vice President and Chief Operating Officer</w:t>
            </w:r>
          </w:p>
        </w:tc>
      </w:tr>
      <w:tr w:rsidR="00E836FB" w14:paraId="5F2C9FCD" w14:textId="77777777">
        <w:tc>
          <w:tcPr>
            <w:tcW w:w="0" w:type="auto"/>
            <w:gridSpan w:val="3"/>
            <w:shd w:val="clear" w:color="auto" w:fill="CCEEFF"/>
            <w:tcMar>
              <w:top w:w="40" w:type="dxa"/>
              <w:left w:w="20" w:type="dxa"/>
              <w:bottom w:w="40" w:type="dxa"/>
              <w:right w:w="20" w:type="dxa"/>
            </w:tcMar>
            <w:vAlign w:val="center"/>
          </w:tcPr>
          <w:p w14:paraId="5F2C9FC8" w14:textId="77777777" w:rsidR="00E836FB" w:rsidRDefault="00994958">
            <w:pPr>
              <w:textAlignment w:val="center"/>
            </w:pPr>
            <w:r>
              <w:rPr>
                <w:rFonts w:ascii="Arial" w:eastAsia="宋体" w:hAnsi="Arial" w:cs="Arial"/>
                <w:color w:val="000000"/>
                <w:sz w:val="16"/>
                <w:szCs w:val="16"/>
              </w:rPr>
              <w:t>David C. Phelan</w:t>
            </w:r>
          </w:p>
        </w:tc>
        <w:tc>
          <w:tcPr>
            <w:tcW w:w="0" w:type="auto"/>
            <w:gridSpan w:val="3"/>
            <w:shd w:val="clear" w:color="auto" w:fill="CCEEFF"/>
            <w:tcMar>
              <w:top w:w="0" w:type="dxa"/>
              <w:left w:w="20" w:type="dxa"/>
              <w:bottom w:w="0" w:type="dxa"/>
              <w:right w:w="20" w:type="dxa"/>
            </w:tcMar>
            <w:vAlign w:val="bottom"/>
          </w:tcPr>
          <w:p w14:paraId="5F2C9FC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CA" w14:textId="77777777" w:rsidR="00E836FB" w:rsidRDefault="00994958">
            <w:pPr>
              <w:jc w:val="center"/>
              <w:textAlignment w:val="center"/>
            </w:pPr>
            <w:r>
              <w:rPr>
                <w:rFonts w:ascii="Arial" w:eastAsia="宋体" w:hAnsi="Arial" w:cs="Arial"/>
                <w:color w:val="000000"/>
                <w:sz w:val="16"/>
                <w:szCs w:val="16"/>
              </w:rPr>
              <w:t>64</w:t>
            </w:r>
          </w:p>
        </w:tc>
        <w:tc>
          <w:tcPr>
            <w:tcW w:w="0" w:type="auto"/>
            <w:gridSpan w:val="3"/>
            <w:shd w:val="clear" w:color="auto" w:fill="CCEEFF"/>
            <w:tcMar>
              <w:top w:w="0" w:type="dxa"/>
              <w:left w:w="20" w:type="dxa"/>
              <w:bottom w:w="0" w:type="dxa"/>
              <w:right w:w="20" w:type="dxa"/>
            </w:tcMar>
            <w:vAlign w:val="bottom"/>
          </w:tcPr>
          <w:p w14:paraId="5F2C9FCB"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CC" w14:textId="77777777" w:rsidR="00E836FB" w:rsidRDefault="00994958">
            <w:pPr>
              <w:textAlignment w:val="center"/>
            </w:pPr>
            <w:r>
              <w:rPr>
                <w:rFonts w:ascii="Arial" w:eastAsia="宋体" w:hAnsi="Arial" w:cs="Arial"/>
                <w:color w:val="000000"/>
                <w:sz w:val="16"/>
                <w:szCs w:val="16"/>
              </w:rPr>
              <w:t xml:space="preserve">Executive Vice President, General </w:t>
            </w:r>
            <w:r>
              <w:rPr>
                <w:rFonts w:ascii="Arial" w:eastAsia="宋体" w:hAnsi="Arial" w:cs="Arial"/>
                <w:color w:val="000000"/>
                <w:sz w:val="16"/>
                <w:szCs w:val="16"/>
              </w:rPr>
              <w:t>Counsel and Secretary</w:t>
            </w:r>
          </w:p>
        </w:tc>
      </w:tr>
      <w:tr w:rsidR="00E836FB" w14:paraId="5F2C9FD3" w14:textId="77777777">
        <w:tc>
          <w:tcPr>
            <w:tcW w:w="0" w:type="auto"/>
            <w:gridSpan w:val="3"/>
            <w:shd w:val="clear" w:color="auto" w:fill="FFFFFF"/>
            <w:tcMar>
              <w:top w:w="40" w:type="dxa"/>
              <w:left w:w="20" w:type="dxa"/>
              <w:bottom w:w="40" w:type="dxa"/>
              <w:right w:w="20" w:type="dxa"/>
            </w:tcMar>
            <w:vAlign w:val="center"/>
          </w:tcPr>
          <w:p w14:paraId="5F2C9FCE" w14:textId="77777777" w:rsidR="00E836FB" w:rsidRDefault="00994958">
            <w:pPr>
              <w:textAlignment w:val="center"/>
            </w:pPr>
            <w:r>
              <w:rPr>
                <w:rFonts w:ascii="Arial" w:eastAsia="宋体" w:hAnsi="Arial" w:cs="Arial"/>
                <w:color w:val="000000"/>
                <w:sz w:val="16"/>
                <w:szCs w:val="16"/>
              </w:rPr>
              <w:t>Michael L. Richards</w:t>
            </w:r>
          </w:p>
        </w:tc>
        <w:tc>
          <w:tcPr>
            <w:tcW w:w="0" w:type="auto"/>
            <w:gridSpan w:val="3"/>
            <w:shd w:val="clear" w:color="auto" w:fill="FFFFFF"/>
            <w:tcMar>
              <w:top w:w="0" w:type="dxa"/>
              <w:left w:w="20" w:type="dxa"/>
              <w:bottom w:w="0" w:type="dxa"/>
              <w:right w:w="20" w:type="dxa"/>
            </w:tcMar>
            <w:vAlign w:val="bottom"/>
          </w:tcPr>
          <w:p w14:paraId="5F2C9FC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D0" w14:textId="77777777" w:rsidR="00E836FB" w:rsidRDefault="00994958">
            <w:pPr>
              <w:jc w:val="center"/>
              <w:textAlignment w:val="center"/>
            </w:pPr>
            <w:r>
              <w:rPr>
                <w:rFonts w:ascii="Arial" w:eastAsia="宋体" w:hAnsi="Arial" w:cs="Arial"/>
                <w:color w:val="000000"/>
                <w:sz w:val="16"/>
                <w:szCs w:val="16"/>
              </w:rPr>
              <w:t>63</w:t>
            </w:r>
          </w:p>
        </w:tc>
        <w:tc>
          <w:tcPr>
            <w:tcW w:w="0" w:type="auto"/>
            <w:gridSpan w:val="3"/>
            <w:shd w:val="clear" w:color="auto" w:fill="FFFFFF"/>
            <w:tcMar>
              <w:top w:w="0" w:type="dxa"/>
              <w:left w:w="20" w:type="dxa"/>
              <w:bottom w:w="0" w:type="dxa"/>
              <w:right w:w="20" w:type="dxa"/>
            </w:tcMar>
            <w:vAlign w:val="bottom"/>
          </w:tcPr>
          <w:p w14:paraId="5F2C9FD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9FD2" w14:textId="77777777" w:rsidR="00E836FB" w:rsidRDefault="00994958">
            <w:pPr>
              <w:textAlignment w:val="center"/>
            </w:pPr>
            <w:r>
              <w:rPr>
                <w:rFonts w:ascii="Arial" w:eastAsia="宋体" w:hAnsi="Arial" w:cs="Arial"/>
                <w:color w:val="000000"/>
                <w:sz w:val="16"/>
                <w:szCs w:val="16"/>
              </w:rPr>
              <w:t>Executive Vice President and Chief Administrative Officer</w:t>
            </w:r>
          </w:p>
        </w:tc>
      </w:tr>
      <w:tr w:rsidR="00E836FB" w14:paraId="5F2C9FD9" w14:textId="77777777">
        <w:tc>
          <w:tcPr>
            <w:tcW w:w="0" w:type="auto"/>
            <w:gridSpan w:val="3"/>
            <w:shd w:val="clear" w:color="auto" w:fill="CCEEFF"/>
            <w:tcMar>
              <w:top w:w="40" w:type="dxa"/>
              <w:left w:w="20" w:type="dxa"/>
              <w:bottom w:w="40" w:type="dxa"/>
              <w:right w:w="20" w:type="dxa"/>
            </w:tcMar>
            <w:vAlign w:val="center"/>
          </w:tcPr>
          <w:p w14:paraId="5F2C9FD4" w14:textId="77777777" w:rsidR="00E836FB" w:rsidRDefault="00994958">
            <w:pPr>
              <w:textAlignment w:val="center"/>
            </w:pPr>
            <w:r>
              <w:rPr>
                <w:rFonts w:ascii="Arial" w:eastAsia="宋体" w:hAnsi="Arial" w:cs="Arial"/>
                <w:color w:val="000000"/>
                <w:sz w:val="16"/>
                <w:szCs w:val="16"/>
              </w:rPr>
              <w:t>Cyrus Taraporevala</w:t>
            </w:r>
          </w:p>
        </w:tc>
        <w:tc>
          <w:tcPr>
            <w:tcW w:w="0" w:type="auto"/>
            <w:gridSpan w:val="3"/>
            <w:shd w:val="clear" w:color="auto" w:fill="CCEEFF"/>
            <w:tcMar>
              <w:top w:w="0" w:type="dxa"/>
              <w:left w:w="20" w:type="dxa"/>
              <w:bottom w:w="0" w:type="dxa"/>
              <w:right w:w="20" w:type="dxa"/>
            </w:tcMar>
            <w:vAlign w:val="bottom"/>
          </w:tcPr>
          <w:p w14:paraId="5F2C9FD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D6" w14:textId="77777777" w:rsidR="00E836FB" w:rsidRDefault="00994958">
            <w:pPr>
              <w:jc w:val="center"/>
              <w:textAlignment w:val="center"/>
            </w:pPr>
            <w:r>
              <w:rPr>
                <w:rFonts w:ascii="Arial" w:eastAsia="宋体" w:hAnsi="Arial" w:cs="Arial"/>
                <w:color w:val="000000"/>
                <w:sz w:val="16"/>
                <w:szCs w:val="16"/>
              </w:rPr>
              <w:t>55</w:t>
            </w:r>
          </w:p>
        </w:tc>
        <w:tc>
          <w:tcPr>
            <w:tcW w:w="0" w:type="auto"/>
            <w:gridSpan w:val="3"/>
            <w:shd w:val="clear" w:color="auto" w:fill="CCEEFF"/>
            <w:tcMar>
              <w:top w:w="0" w:type="dxa"/>
              <w:left w:w="20" w:type="dxa"/>
              <w:bottom w:w="0" w:type="dxa"/>
              <w:right w:w="20" w:type="dxa"/>
            </w:tcMar>
            <w:vAlign w:val="bottom"/>
          </w:tcPr>
          <w:p w14:paraId="5F2C9FD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9FD8" w14:textId="77777777" w:rsidR="00E836FB" w:rsidRDefault="00994958">
            <w:pPr>
              <w:textAlignment w:val="center"/>
            </w:pPr>
            <w:r>
              <w:rPr>
                <w:rFonts w:ascii="Arial" w:eastAsia="宋体" w:hAnsi="Arial" w:cs="Arial"/>
                <w:color w:val="000000"/>
                <w:sz w:val="16"/>
                <w:szCs w:val="16"/>
              </w:rPr>
              <w:t>President and Chief Executive Officer, State Street Global Advisors</w:t>
            </w:r>
          </w:p>
        </w:tc>
      </w:tr>
    </w:tbl>
    <w:p w14:paraId="5F2C9FDA" w14:textId="77777777" w:rsidR="00E836FB" w:rsidRDefault="00994958">
      <w:pPr>
        <w:spacing w:before="60"/>
        <w:ind w:firstLine="450"/>
        <w:jc w:val="both"/>
        <w:textAlignment w:val="top"/>
      </w:pPr>
      <w:r>
        <w:rPr>
          <w:rFonts w:ascii="Arial" w:eastAsia="宋体" w:hAnsi="Arial" w:cs="Arial"/>
          <w:color w:val="000000"/>
          <w:sz w:val="20"/>
          <w:szCs w:val="20"/>
        </w:rPr>
        <w:t xml:space="preserve">All executive officers are appointed by the Board of </w:t>
      </w:r>
      <w:r>
        <w:rPr>
          <w:rFonts w:ascii="Arial" w:eastAsia="宋体" w:hAnsi="Arial" w:cs="Arial"/>
          <w:color w:val="000000"/>
          <w:sz w:val="20"/>
          <w:szCs w:val="20"/>
        </w:rPr>
        <w:t>Directors and hold office at the discretion of the Board. No family relationships exist among any of our directors and executive officers.</w:t>
      </w:r>
    </w:p>
    <w:p w14:paraId="5F2C9FDB" w14:textId="77777777" w:rsidR="00E836FB" w:rsidRDefault="00994958">
      <w:pPr>
        <w:spacing w:before="60"/>
        <w:ind w:firstLine="450"/>
        <w:jc w:val="both"/>
        <w:textAlignment w:val="top"/>
      </w:pPr>
      <w:r>
        <w:rPr>
          <w:rFonts w:ascii="Arial" w:eastAsia="宋体" w:hAnsi="Arial" w:cs="Arial"/>
          <w:color w:val="000000"/>
          <w:sz w:val="20"/>
          <w:szCs w:val="20"/>
        </w:rPr>
        <w:t>Mr. O'Hanley joined State Street in April 2015 and since January 1, 2019 has served as the President and Chief Execut</w:t>
      </w:r>
      <w:r>
        <w:rPr>
          <w:rFonts w:ascii="Arial" w:eastAsia="宋体" w:hAnsi="Arial" w:cs="Arial"/>
          <w:color w:val="000000"/>
          <w:sz w:val="20"/>
          <w:szCs w:val="20"/>
        </w:rPr>
        <w:t xml:space="preserve">ive Officer. He was appointed Chairman of the Board effective January 1, 2020. Prior to this role Mr. O'Hanley served as President and Chief Operating Officer from November 2017 to December 2018 and served as Vice Chairman from January 1, 2017 to November </w:t>
      </w:r>
      <w:r>
        <w:rPr>
          <w:rFonts w:ascii="Arial" w:eastAsia="宋体" w:hAnsi="Arial" w:cs="Arial"/>
          <w:color w:val="000000"/>
          <w:sz w:val="20"/>
          <w:szCs w:val="20"/>
        </w:rPr>
        <w:t>2017. He served as the Chief Executive Officer and President of State Street Global Advisors, the investment management arm of State Street Corporation, from April 2015 to November 2017. Prior to joining State Street, Mr. O'Hanley was president of Asset Ma</w:t>
      </w:r>
      <w:r>
        <w:rPr>
          <w:rFonts w:ascii="Arial" w:eastAsia="宋体" w:hAnsi="Arial" w:cs="Arial"/>
          <w:color w:val="000000"/>
          <w:sz w:val="20"/>
          <w:szCs w:val="20"/>
        </w:rPr>
        <w:t>nagement &amp; Corporate Services for Fidelity Investments, a financial and mutual fund services corporation, from 2010 to February 2014. From 1997 to 2010, Mr. O'Hanley served in various positions at Bank of New York Mellon, a global banking and financial ser</w:t>
      </w:r>
      <w:r>
        <w:rPr>
          <w:rFonts w:ascii="Arial" w:eastAsia="宋体" w:hAnsi="Arial" w:cs="Arial"/>
          <w:color w:val="000000"/>
          <w:sz w:val="20"/>
          <w:szCs w:val="20"/>
        </w:rPr>
        <w:t>vices corporation, serving as president and chief executive officer of BNY Asset Management in Boston from 2007 to 2010.</w:t>
      </w:r>
    </w:p>
    <w:p w14:paraId="5F2C9FDC" w14:textId="77777777" w:rsidR="00E836FB" w:rsidRDefault="00994958">
      <w:pPr>
        <w:spacing w:before="60"/>
        <w:ind w:firstLine="450"/>
        <w:jc w:val="both"/>
        <w:textAlignment w:val="top"/>
      </w:pPr>
      <w:r>
        <w:rPr>
          <w:rFonts w:ascii="Arial" w:eastAsia="宋体" w:hAnsi="Arial" w:cs="Arial"/>
          <w:color w:val="000000"/>
          <w:sz w:val="20"/>
          <w:szCs w:val="20"/>
        </w:rPr>
        <w:t>Mr. Aboaf joined State Street in December 2016 as Executive Vice President and has served as Executive Vice President and Chief Financi</w:t>
      </w:r>
      <w:r>
        <w:rPr>
          <w:rFonts w:ascii="Arial" w:eastAsia="宋体" w:hAnsi="Arial" w:cs="Arial"/>
          <w:color w:val="000000"/>
          <w:sz w:val="20"/>
          <w:szCs w:val="20"/>
        </w:rPr>
        <w:t xml:space="preserve">al Officer since February 2017. Prior to joining State Street, Mr. </w:t>
      </w:r>
    </w:p>
    <w:p w14:paraId="5F2C9FDD" w14:textId="77777777" w:rsidR="00E836FB" w:rsidRDefault="00994958">
      <w:pPr>
        <w:spacing w:before="60"/>
        <w:jc w:val="both"/>
        <w:textAlignment w:val="top"/>
      </w:pPr>
      <w:r>
        <w:rPr>
          <w:rFonts w:ascii="Arial" w:eastAsia="宋体" w:hAnsi="Arial" w:cs="Arial"/>
          <w:color w:val="000000"/>
          <w:sz w:val="20"/>
          <w:szCs w:val="20"/>
        </w:rPr>
        <w:t>Aboaf served as chief financial officer of Citizens Financial Group, a financial services and retail banking firm, from April 2015 to December 2016, with responsibility for all finance fun</w:t>
      </w:r>
      <w:r>
        <w:rPr>
          <w:rFonts w:ascii="Arial" w:eastAsia="宋体" w:hAnsi="Arial" w:cs="Arial"/>
          <w:color w:val="000000"/>
          <w:sz w:val="20"/>
          <w:szCs w:val="20"/>
        </w:rPr>
        <w:t>ctions and corporate development. From 2003 to March 2015, he served in several senior management positions for Citigroup, a global investment banking and financial services corporation, including as global treasurer and as the chief financial officer of t</w:t>
      </w:r>
      <w:r>
        <w:rPr>
          <w:rFonts w:ascii="Arial" w:eastAsia="宋体" w:hAnsi="Arial" w:cs="Arial"/>
          <w:color w:val="000000"/>
          <w:sz w:val="20"/>
          <w:szCs w:val="20"/>
        </w:rPr>
        <w:t>he institutional client group, which included the custody business.</w:t>
      </w:r>
    </w:p>
    <w:p w14:paraId="5F2C9FDE" w14:textId="77777777" w:rsidR="00E836FB" w:rsidRDefault="00994958">
      <w:pPr>
        <w:spacing w:before="60"/>
        <w:ind w:firstLine="450"/>
        <w:jc w:val="both"/>
        <w:textAlignment w:val="top"/>
      </w:pPr>
      <w:r>
        <w:rPr>
          <w:rFonts w:ascii="Arial" w:eastAsia="宋体" w:hAnsi="Arial" w:cs="Arial"/>
          <w:color w:val="000000"/>
          <w:sz w:val="20"/>
          <w:szCs w:val="20"/>
        </w:rPr>
        <w:t>Mr. Appleyard joined State Street in May 2018 as Executive Vice President, Global Controller and Chief Accounting Officer. Prior to joining State Street, Mr. Appleyard served as managing d</w:t>
      </w:r>
      <w:r>
        <w:rPr>
          <w:rFonts w:ascii="Arial" w:eastAsia="宋体" w:hAnsi="Arial" w:cs="Arial"/>
          <w:color w:val="000000"/>
          <w:sz w:val="20"/>
          <w:szCs w:val="20"/>
        </w:rPr>
        <w:t>irector in group finance for Credit Suisse, a provider of financial services, from May 2013 to April 2018 and held several senior management positions with Credit Suisse after joining in September 2008. Prior to Credit Suisse, Mr. Appleyard held senior pos</w:t>
      </w:r>
      <w:r>
        <w:rPr>
          <w:rFonts w:ascii="Arial" w:eastAsia="宋体" w:hAnsi="Arial" w:cs="Arial"/>
          <w:color w:val="000000"/>
          <w:sz w:val="20"/>
          <w:szCs w:val="20"/>
        </w:rPr>
        <w:t>itions at HSBC and JPMorgan.</w:t>
      </w:r>
    </w:p>
    <w:p w14:paraId="5F2C9FDF" w14:textId="77777777" w:rsidR="00E836FB" w:rsidRDefault="00994958">
      <w:pPr>
        <w:spacing w:before="60"/>
        <w:ind w:firstLine="450"/>
        <w:jc w:val="both"/>
        <w:textAlignment w:val="top"/>
      </w:pPr>
      <w:r>
        <w:rPr>
          <w:rFonts w:ascii="Arial" w:eastAsia="宋体" w:hAnsi="Arial" w:cs="Arial"/>
          <w:color w:val="000000"/>
          <w:sz w:val="20"/>
          <w:szCs w:val="20"/>
        </w:rPr>
        <w:t>Mr. Aristeguieta joined State Street in July 2019 and since June 2020 has served as Chief Executive Officer of State Street Institutional Services. Prior to this role, he served as Executive Vice President and Chief Executive O</w:t>
      </w:r>
      <w:r>
        <w:rPr>
          <w:rFonts w:ascii="Arial" w:eastAsia="宋体" w:hAnsi="Arial" w:cs="Arial"/>
          <w:color w:val="000000"/>
          <w:sz w:val="20"/>
          <w:szCs w:val="20"/>
        </w:rPr>
        <w:t>fficer of International Business from July 2019 to June 2020. Prior to joining State Street, Mr. Aristeguieta was Chief Executive Officer of Citigroup Asia, an international investment banking and financial services provider, from June 2015 to June 2019. P</w:t>
      </w:r>
      <w:r>
        <w:rPr>
          <w:rFonts w:ascii="Arial" w:eastAsia="宋体" w:hAnsi="Arial" w:cs="Arial"/>
          <w:color w:val="000000"/>
          <w:sz w:val="20"/>
          <w:szCs w:val="20"/>
        </w:rPr>
        <w:t>rior to that role, he served as Chief Executive Officer of Citigroup Latin America from January 2013 to June 2015 and before that he led Citigroup’s Transaction Services Group in Latin America encompassing securities servicing, trade and cash management, a</w:t>
      </w:r>
      <w:r>
        <w:rPr>
          <w:rFonts w:ascii="Arial" w:eastAsia="宋体" w:hAnsi="Arial" w:cs="Arial"/>
          <w:color w:val="000000"/>
          <w:sz w:val="20"/>
          <w:szCs w:val="20"/>
        </w:rPr>
        <w:t>nd served as vice chairman of Banco de Chile.</w:t>
      </w:r>
    </w:p>
    <w:p w14:paraId="5F2C9FE0" w14:textId="77777777" w:rsidR="00E836FB" w:rsidRDefault="00994958">
      <w:pPr>
        <w:spacing w:before="60"/>
        <w:ind w:firstLine="450"/>
        <w:jc w:val="both"/>
        <w:textAlignment w:val="top"/>
      </w:pPr>
      <w:r>
        <w:rPr>
          <w:rFonts w:ascii="Arial" w:eastAsia="宋体" w:hAnsi="Arial" w:cs="Arial"/>
          <w:color w:val="000000"/>
          <w:sz w:val="20"/>
          <w:szCs w:val="20"/>
        </w:rPr>
        <w:t>Mr. Erickson joined State Street in April 1991 and since June 2020 has served as Executive Vice President, Chief Productivity Officer and head of State Street's International business. Prior to this role, he se</w:t>
      </w:r>
      <w:r>
        <w:rPr>
          <w:rFonts w:ascii="Arial" w:eastAsia="宋体" w:hAnsi="Arial" w:cs="Arial"/>
          <w:color w:val="000000"/>
          <w:sz w:val="20"/>
          <w:szCs w:val="20"/>
        </w:rPr>
        <w:t>rved as Executive Vice President and head of the Global Services business from November 2017 to June 2020. Prior to this role and commencing in June 2016, he served as Executive Vice President and head of Investment Services business in the Americas. Prior</w:t>
      </w:r>
      <w:r>
        <w:rPr>
          <w:rFonts w:ascii="Arial" w:eastAsia="宋体" w:hAnsi="Arial" w:cs="Arial"/>
          <w:color w:val="000000"/>
          <w:sz w:val="20"/>
          <w:szCs w:val="20"/>
        </w:rPr>
        <w:t xml:space="preserve"> to that role, Mr. Erickson was the head of the Global Services business in Asia Pacific from April 2014 to June 2016 and prior to that was head of North Asia for Global Services from 2010 to April 2014. Mr. Erickson has also held several other positions w</w:t>
      </w:r>
      <w:r>
        <w:rPr>
          <w:rFonts w:ascii="Arial" w:eastAsia="宋体" w:hAnsi="Arial" w:cs="Arial"/>
          <w:color w:val="000000"/>
          <w:sz w:val="20"/>
          <w:szCs w:val="20"/>
        </w:rPr>
        <w:t>ithin State Street during his over 25 years with State Street.</w:t>
      </w:r>
    </w:p>
    <w:p w14:paraId="5F2C9FE1" w14:textId="77777777" w:rsidR="00E836FB" w:rsidRDefault="00994958">
      <w:pPr>
        <w:spacing w:before="60"/>
        <w:ind w:firstLine="450"/>
        <w:jc w:val="both"/>
        <w:textAlignment w:val="top"/>
      </w:pPr>
      <w:r>
        <w:rPr>
          <w:rFonts w:ascii="Arial" w:eastAsia="宋体" w:hAnsi="Arial" w:cs="Arial"/>
          <w:color w:val="000000"/>
          <w:sz w:val="20"/>
          <w:szCs w:val="20"/>
        </w:rPr>
        <w:t>Ms. Horgan joined State Street in April 2009 and has served as Executive Vice President and Chief Human Resources and Citizenship Officer since March 2017. Prior to this role, she served as Chi</w:t>
      </w:r>
      <w:r>
        <w:rPr>
          <w:rFonts w:ascii="Arial" w:eastAsia="宋体" w:hAnsi="Arial" w:cs="Arial"/>
          <w:color w:val="000000"/>
          <w:sz w:val="20"/>
          <w:szCs w:val="20"/>
        </w:rPr>
        <w:t xml:space="preserve">ef Operating Officer for State Street's Global Human Resources division from 2011 to March 2017 and </w:t>
      </w:r>
    </w:p>
    <w:p w14:paraId="5F2C9FE2" w14:textId="77777777" w:rsidR="00E836FB" w:rsidRDefault="00994958">
      <w:pPr>
        <w:ind w:firstLine="450"/>
        <w:jc w:val="right"/>
      </w:pPr>
      <w:r>
        <w:rPr>
          <w:rFonts w:ascii="Arial" w:eastAsia="宋体" w:hAnsi="Arial" w:cs="Arial"/>
          <w:color w:val="000000"/>
          <w:sz w:val="18"/>
          <w:szCs w:val="18"/>
        </w:rPr>
        <w:t>State Street Corporation | 53</w:t>
      </w:r>
    </w:p>
    <w:p w14:paraId="5F2C9FE3" w14:textId="77777777" w:rsidR="00E836FB" w:rsidRDefault="00E836FB">
      <w:pPr>
        <w:ind w:firstLine="450"/>
        <w:jc w:val="center"/>
      </w:pPr>
    </w:p>
    <w:p w14:paraId="5F2C9FE4" w14:textId="77777777" w:rsidR="00E836FB" w:rsidRDefault="00994958">
      <w:r>
        <w:pict w14:anchorId="5F2D6DB8">
          <v:rect id="_x0000_i1077" style="width:415.3pt;height:1.5pt" o:hralign="center" o:hrstd="t" o:hr="t" fillcolor="#a0a0a0" stroked="f"/>
        </w:pict>
      </w:r>
    </w:p>
    <w:p w14:paraId="5F2C9FE5" w14:textId="77777777" w:rsidR="00E836FB" w:rsidRDefault="00E836FB">
      <w:pPr>
        <w:ind w:firstLine="450"/>
      </w:pPr>
    </w:p>
    <w:p w14:paraId="5F2C9FE6" w14:textId="77777777" w:rsidR="00E836FB" w:rsidRDefault="00994958">
      <w:pPr>
        <w:spacing w:before="60"/>
        <w:jc w:val="both"/>
        <w:textAlignment w:val="top"/>
      </w:pPr>
      <w:r>
        <w:rPr>
          <w:rFonts w:ascii="Arial" w:eastAsia="宋体" w:hAnsi="Arial" w:cs="Arial"/>
          <w:color w:val="000000"/>
          <w:sz w:val="20"/>
          <w:szCs w:val="20"/>
        </w:rPr>
        <w:t xml:space="preserve">since 2012 has served as an Executive Vice President. Prior to 2011, Ms. Horgan served as the Senior Vice </w:t>
      </w:r>
      <w:r>
        <w:rPr>
          <w:rFonts w:ascii="Arial" w:eastAsia="宋体" w:hAnsi="Arial" w:cs="Arial"/>
          <w:color w:val="000000"/>
          <w:sz w:val="20"/>
          <w:szCs w:val="20"/>
        </w:rPr>
        <w:t xml:space="preserve">President of Human Resources for State Street Global Advisors. Before joining State Street, Ms. Horgan was the Executive Vice President of human resources for Old Mutual Asset Management, a global, diversified multi-boutique asset management company, from </w:t>
      </w:r>
      <w:r>
        <w:rPr>
          <w:rFonts w:ascii="Arial" w:eastAsia="宋体" w:hAnsi="Arial" w:cs="Arial"/>
          <w:color w:val="000000"/>
          <w:sz w:val="20"/>
          <w:szCs w:val="20"/>
        </w:rPr>
        <w:t>2006 to 2009.</w:t>
      </w:r>
    </w:p>
    <w:p w14:paraId="5F2C9FE7" w14:textId="77777777" w:rsidR="00E836FB" w:rsidRDefault="00994958">
      <w:pPr>
        <w:spacing w:before="60"/>
        <w:ind w:firstLine="450"/>
        <w:jc w:val="both"/>
        <w:textAlignment w:val="top"/>
      </w:pPr>
      <w:r>
        <w:rPr>
          <w:rFonts w:ascii="Arial" w:eastAsia="宋体" w:hAnsi="Arial" w:cs="Arial"/>
          <w:color w:val="000000"/>
          <w:sz w:val="20"/>
          <w:szCs w:val="20"/>
        </w:rPr>
        <w:t xml:space="preserve">Mr. Hu joined State Street in November 2021 as Executive Vice President and has served as Executive Vice President and Chief Risk Officer since January 2022. Prior to joining State Street, Mr. Hu was Chief Risk Officer of Citigroup, a global </w:t>
      </w:r>
      <w:r>
        <w:rPr>
          <w:rFonts w:ascii="Arial" w:eastAsia="宋体" w:hAnsi="Arial" w:cs="Arial"/>
          <w:color w:val="000000"/>
          <w:sz w:val="20"/>
          <w:szCs w:val="20"/>
        </w:rPr>
        <w:t>investment banking and financial services corporation, from January 2013 to December 2020, and Chief Risk Officer of Citi Asia-Pacific, from August 2008 to December 2012. Prior to that, Mr. Hu held several senior leadership roles at Morgan Stanley in the G</w:t>
      </w:r>
      <w:r>
        <w:rPr>
          <w:rFonts w:ascii="Arial" w:eastAsia="宋体" w:hAnsi="Arial" w:cs="Arial"/>
          <w:color w:val="000000"/>
          <w:sz w:val="20"/>
          <w:szCs w:val="20"/>
        </w:rPr>
        <w:t>lobal Equity, Global Capital Markets and Investment Banking divisions.</w:t>
      </w:r>
    </w:p>
    <w:p w14:paraId="5F2C9FE8" w14:textId="77777777" w:rsidR="00E836FB" w:rsidRDefault="00994958">
      <w:pPr>
        <w:spacing w:before="60"/>
        <w:ind w:firstLine="450"/>
        <w:jc w:val="both"/>
        <w:textAlignment w:val="top"/>
      </w:pPr>
      <w:r>
        <w:rPr>
          <w:rFonts w:ascii="Arial" w:eastAsia="宋体" w:hAnsi="Arial" w:cs="Arial"/>
          <w:color w:val="000000"/>
          <w:sz w:val="20"/>
          <w:szCs w:val="20"/>
        </w:rPr>
        <w:t>Mr. Maiuri joined State Street in October 2013 and since February 2019 has served as Executive Vice President and Chief Operating Officer. Prior to this role, Mr. Maiuri served as Execu</w:t>
      </w:r>
      <w:r>
        <w:rPr>
          <w:rFonts w:ascii="Arial" w:eastAsia="宋体" w:hAnsi="Arial" w:cs="Arial"/>
          <w:color w:val="000000"/>
          <w:sz w:val="20"/>
          <w:szCs w:val="20"/>
        </w:rPr>
        <w:t>tive Vice President and head of State Street Global Markets from June 2016 to February 2019 and head of State Street Global Exchange from July 2015 to January 2017. From 2013 to July 2015, he led State Street's Securities Finance division. Before joining S</w:t>
      </w:r>
      <w:r>
        <w:rPr>
          <w:rFonts w:ascii="Arial" w:eastAsia="宋体" w:hAnsi="Arial" w:cs="Arial"/>
          <w:color w:val="000000"/>
          <w:sz w:val="20"/>
          <w:szCs w:val="20"/>
        </w:rPr>
        <w:t>tate Street, Mr. Maiuri served as executive vice president and deputy chief executive officer of asset servicing at BNY Mellon, a global banking and financial services corporation, from 2009 to 2013.</w:t>
      </w:r>
    </w:p>
    <w:p w14:paraId="5F2C9FE9" w14:textId="77777777" w:rsidR="00E836FB" w:rsidRDefault="00994958">
      <w:pPr>
        <w:spacing w:before="60"/>
        <w:ind w:firstLine="450"/>
        <w:jc w:val="both"/>
        <w:textAlignment w:val="top"/>
      </w:pPr>
      <w:r>
        <w:rPr>
          <w:rFonts w:ascii="Arial" w:eastAsia="宋体" w:hAnsi="Arial" w:cs="Arial"/>
          <w:color w:val="000000"/>
          <w:sz w:val="20"/>
          <w:szCs w:val="20"/>
        </w:rPr>
        <w:t>Mr. Phelan joined State Street in 2006 as Executive Vice</w:t>
      </w:r>
      <w:r>
        <w:rPr>
          <w:rFonts w:ascii="Arial" w:eastAsia="宋体" w:hAnsi="Arial" w:cs="Arial"/>
          <w:color w:val="000000"/>
          <w:sz w:val="20"/>
          <w:szCs w:val="20"/>
        </w:rPr>
        <w:t xml:space="preserve"> President and General Counsel. In July 2020, Mr. Phelan’s responsibilities were expanded to include State Street’s regulatory, security and corporate administration functions globally. He also serves as State Street’s Corporate Secretary. Prior to joining</w:t>
      </w:r>
      <w:r>
        <w:rPr>
          <w:rFonts w:ascii="Arial" w:eastAsia="宋体" w:hAnsi="Arial" w:cs="Arial"/>
          <w:color w:val="000000"/>
          <w:sz w:val="20"/>
          <w:szCs w:val="20"/>
        </w:rPr>
        <w:t xml:space="preserve"> State Street, Mr. Phelan served as a senior partner at Wilmer Cutler Pickering Hale and Dorr LLP from 1993 to 2006. </w:t>
      </w:r>
    </w:p>
    <w:p w14:paraId="5F2C9FEA" w14:textId="77777777" w:rsidR="00E836FB" w:rsidRDefault="00994958">
      <w:pPr>
        <w:spacing w:before="60"/>
        <w:ind w:firstLine="450"/>
        <w:jc w:val="both"/>
        <w:textAlignment w:val="top"/>
      </w:pPr>
      <w:r>
        <w:rPr>
          <w:rFonts w:ascii="Arial" w:eastAsia="宋体" w:hAnsi="Arial" w:cs="Arial"/>
          <w:color w:val="000000"/>
          <w:sz w:val="20"/>
          <w:szCs w:val="20"/>
        </w:rPr>
        <w:t>Mr. Richards joined State Street in June 2014 and since April 2020 has served as Executive Vice President and Chief Administrative Officer</w:t>
      </w:r>
      <w:r>
        <w:rPr>
          <w:rFonts w:ascii="Arial" w:eastAsia="宋体" w:hAnsi="Arial" w:cs="Arial"/>
          <w:color w:val="000000"/>
          <w:sz w:val="20"/>
          <w:szCs w:val="20"/>
        </w:rPr>
        <w:t>. Prior to that role, he served as Executive Vice President and General Auditor from June 2014 to April 2020. Prior to joining State Street, Mr. Richards was a partner at Ernst &amp; Young and was responsible for managing their Banking Capital Markets practice</w:t>
      </w:r>
      <w:r>
        <w:rPr>
          <w:rFonts w:ascii="Arial" w:eastAsia="宋体" w:hAnsi="Arial" w:cs="Arial"/>
          <w:color w:val="000000"/>
          <w:sz w:val="20"/>
          <w:szCs w:val="20"/>
        </w:rPr>
        <w:t xml:space="preserve"> in the United States.</w:t>
      </w:r>
    </w:p>
    <w:p w14:paraId="5F2C9FEB" w14:textId="77777777" w:rsidR="00E836FB" w:rsidRDefault="00994958">
      <w:pPr>
        <w:spacing w:before="60"/>
        <w:ind w:firstLine="450"/>
        <w:jc w:val="both"/>
        <w:textAlignment w:val="top"/>
      </w:pPr>
      <w:r>
        <w:rPr>
          <w:rFonts w:ascii="Arial" w:eastAsia="宋体" w:hAnsi="Arial" w:cs="Arial"/>
          <w:color w:val="000000"/>
          <w:sz w:val="20"/>
          <w:szCs w:val="20"/>
        </w:rPr>
        <w:t>Mr. Taraporevala joined State Street in April 2016 and since November 2017 has served as President and Chief Executive Officer of State Street Global Advisors. He joined State Street Global Advisors as Executive Vice President and Gl</w:t>
      </w:r>
      <w:r>
        <w:rPr>
          <w:rFonts w:ascii="Arial" w:eastAsia="宋体" w:hAnsi="Arial" w:cs="Arial"/>
          <w:color w:val="000000"/>
          <w:sz w:val="20"/>
          <w:szCs w:val="20"/>
        </w:rPr>
        <w:t xml:space="preserve">obal Head of Product and Marketing. Prior to joining State Street Global Advisors, Mr. Taraporevala was the </w:t>
      </w:r>
    </w:p>
    <w:p w14:paraId="5F2C9FEC" w14:textId="77777777" w:rsidR="00E836FB" w:rsidRDefault="00994958">
      <w:pPr>
        <w:spacing w:before="60"/>
        <w:jc w:val="both"/>
        <w:textAlignment w:val="top"/>
      </w:pPr>
      <w:r>
        <w:rPr>
          <w:rFonts w:ascii="Arial" w:eastAsia="宋体" w:hAnsi="Arial" w:cs="Arial"/>
          <w:color w:val="000000"/>
          <w:sz w:val="20"/>
          <w:szCs w:val="20"/>
        </w:rPr>
        <w:t xml:space="preserve">head of Retail Managed Accounts and Life Insurance &amp; Annuities for Fidelity Investments from 2012 to October 2015. Prior to that, Mr. Taraporevala </w:t>
      </w:r>
      <w:r>
        <w:rPr>
          <w:rFonts w:ascii="Arial" w:eastAsia="宋体" w:hAnsi="Arial" w:cs="Arial"/>
          <w:color w:val="000000"/>
          <w:sz w:val="20"/>
          <w:szCs w:val="20"/>
        </w:rPr>
        <w:t>held senior leadership roles at BNY Mellon Asset Management, including executive director of North American distribution.</w:t>
      </w:r>
    </w:p>
    <w:p w14:paraId="5F2C9FED" w14:textId="77777777" w:rsidR="00E836FB" w:rsidRDefault="00994958">
      <w:pPr>
        <w:spacing w:before="180"/>
        <w:textAlignment w:val="top"/>
      </w:pPr>
      <w:r>
        <w:rPr>
          <w:rFonts w:ascii="Arial" w:eastAsia="宋体" w:hAnsi="Arial" w:cs="Arial"/>
          <w:b/>
          <w:bCs/>
          <w:color w:val="000000"/>
          <w:sz w:val="20"/>
          <w:szCs w:val="20"/>
        </w:rPr>
        <w:t>PART II</w:t>
      </w:r>
    </w:p>
    <w:p w14:paraId="5F2C9FEE" w14:textId="77777777" w:rsidR="00E836FB" w:rsidRDefault="00994958">
      <w:pPr>
        <w:spacing w:before="90"/>
        <w:jc w:val="both"/>
        <w:textAlignment w:val="top"/>
      </w:pPr>
      <w:r>
        <w:rPr>
          <w:rFonts w:ascii="Arial" w:eastAsia="宋体" w:hAnsi="Arial" w:cs="Arial"/>
          <w:b/>
          <w:bCs/>
          <w:color w:val="000000"/>
          <w:sz w:val="20"/>
          <w:szCs w:val="20"/>
        </w:rPr>
        <w:t>ITEM 5. MARKET FOR REGISTRANT’S COMMON EQUITY, RELATED STOCKHOLDER MATTERS AND ISSUER PURCHASES OF EQUITY SECURITIES</w:t>
      </w:r>
    </w:p>
    <w:p w14:paraId="5F2C9FEF" w14:textId="77777777" w:rsidR="00E836FB" w:rsidRDefault="00994958">
      <w:pPr>
        <w:spacing w:before="180"/>
        <w:jc w:val="both"/>
        <w:textAlignment w:val="top"/>
      </w:pPr>
      <w:r>
        <w:rPr>
          <w:rFonts w:ascii="Arial" w:eastAsia="宋体" w:hAnsi="Arial" w:cs="Arial"/>
          <w:b/>
          <w:bCs/>
          <w:color w:val="000000"/>
          <w:sz w:val="20"/>
          <w:szCs w:val="20"/>
        </w:rPr>
        <w:t>MARKET FO</w:t>
      </w:r>
      <w:r>
        <w:rPr>
          <w:rFonts w:ascii="Arial" w:eastAsia="宋体" w:hAnsi="Arial" w:cs="Arial"/>
          <w:b/>
          <w:bCs/>
          <w:color w:val="000000"/>
          <w:sz w:val="20"/>
          <w:szCs w:val="20"/>
        </w:rPr>
        <w:t>R REGISTRANT'S COMMON EQUITY</w:t>
      </w:r>
    </w:p>
    <w:p w14:paraId="5F2C9FF0" w14:textId="77777777" w:rsidR="00E836FB" w:rsidRDefault="00994958">
      <w:pPr>
        <w:spacing w:before="60"/>
        <w:ind w:firstLine="450"/>
        <w:jc w:val="both"/>
        <w:textAlignment w:val="top"/>
      </w:pPr>
      <w:r>
        <w:rPr>
          <w:rFonts w:ascii="Arial" w:eastAsia="宋体" w:hAnsi="Arial" w:cs="Arial"/>
          <w:color w:val="000000"/>
          <w:sz w:val="20"/>
          <w:szCs w:val="20"/>
        </w:rPr>
        <w:t>Our common stock is listed on the New York Stock Exchange under the ticker symbol STT. There were 2,196 shareholders of record as of January 31, 2022.</w:t>
      </w:r>
    </w:p>
    <w:p w14:paraId="5F2C9FF1" w14:textId="77777777" w:rsidR="00E836FB" w:rsidRDefault="00994958">
      <w:pPr>
        <w:spacing w:before="60"/>
        <w:ind w:firstLine="450"/>
        <w:jc w:val="both"/>
        <w:textAlignment w:val="top"/>
      </w:pPr>
      <w:r>
        <w:rPr>
          <w:rFonts w:ascii="Arial" w:eastAsia="宋体" w:hAnsi="Arial" w:cs="Arial"/>
          <w:color w:val="000000"/>
          <w:sz w:val="20"/>
          <w:szCs w:val="20"/>
        </w:rPr>
        <w:t>In January 2021, our Board authorized a share repurchase program for the pur</w:t>
      </w:r>
      <w:r>
        <w:rPr>
          <w:rFonts w:ascii="Arial" w:eastAsia="宋体" w:hAnsi="Arial" w:cs="Arial"/>
          <w:color w:val="000000"/>
          <w:sz w:val="20"/>
          <w:szCs w:val="20"/>
        </w:rPr>
        <w:t>chase of up to $475 million of our common stock through March 31, 2021. We repurchased $475 million of our common stock in the first quarter of 2021. In April 2021, our Board authorized a common share repurchase program for the repurchase of up to $425 mil</w:t>
      </w:r>
      <w:r>
        <w:rPr>
          <w:rFonts w:ascii="Arial" w:eastAsia="宋体" w:hAnsi="Arial" w:cs="Arial"/>
          <w:color w:val="000000"/>
          <w:sz w:val="20"/>
          <w:szCs w:val="20"/>
        </w:rPr>
        <w:t>lion of our common stock through June 30, 2021, in compliance with the limit set by the Federal Reserve. We repurchased $425 million of our common stock in the second quarter of 2021. In July 2021, our Board authorized a share repurchase program for the re</w:t>
      </w:r>
      <w:r>
        <w:rPr>
          <w:rFonts w:ascii="Arial" w:eastAsia="宋体" w:hAnsi="Arial" w:cs="Arial"/>
          <w:color w:val="000000"/>
          <w:sz w:val="20"/>
          <w:szCs w:val="20"/>
        </w:rPr>
        <w:t>purchase of up to $3.0 billion of our common stock through the end of 2022.</w:t>
      </w:r>
    </w:p>
    <w:p w14:paraId="5F2C9FF2" w14:textId="77777777" w:rsidR="00E836FB" w:rsidRDefault="00994958">
      <w:pPr>
        <w:spacing w:before="60"/>
        <w:ind w:firstLine="450"/>
        <w:jc w:val="both"/>
        <w:textAlignment w:val="top"/>
      </w:pPr>
      <w:r>
        <w:rPr>
          <w:rFonts w:ascii="Arial" w:eastAsia="宋体" w:hAnsi="Arial" w:cs="Arial"/>
          <w:color w:val="000000"/>
          <w:sz w:val="20"/>
          <w:szCs w:val="20"/>
        </w:rPr>
        <w:t>In September 2021, we completed a public offering of approximately 21.7 million shares of our common stock. The offering price was $87.60 per share and net proceeds totaled approxi</w:t>
      </w:r>
      <w:r>
        <w:rPr>
          <w:rFonts w:ascii="Arial" w:eastAsia="宋体" w:hAnsi="Arial" w:cs="Arial"/>
          <w:color w:val="000000"/>
          <w:sz w:val="20"/>
          <w:szCs w:val="20"/>
        </w:rPr>
        <w:t>mately $1.9 billion. We expect to use these net proceeds to finance our planned acquisition of the BBH Investor Services business.</w:t>
      </w:r>
    </w:p>
    <w:p w14:paraId="5F2C9FF3" w14:textId="77777777" w:rsidR="00E836FB" w:rsidRDefault="00994958">
      <w:pPr>
        <w:spacing w:before="60"/>
        <w:ind w:firstLine="450"/>
        <w:jc w:val="both"/>
        <w:textAlignment w:val="top"/>
      </w:pPr>
      <w:r>
        <w:rPr>
          <w:rFonts w:ascii="Arial" w:eastAsia="宋体" w:hAnsi="Arial" w:cs="Arial"/>
          <w:color w:val="000000"/>
          <w:sz w:val="20"/>
          <w:szCs w:val="20"/>
        </w:rPr>
        <w:t xml:space="preserve">In connection with our planned acquisition of the BBH Investor Services business, we did not repurchase any common stock </w:t>
      </w:r>
      <w:r>
        <w:rPr>
          <w:rFonts w:ascii="Arial" w:eastAsia="宋体" w:hAnsi="Arial" w:cs="Arial"/>
          <w:color w:val="000000"/>
          <w:sz w:val="20"/>
          <w:szCs w:val="20"/>
        </w:rPr>
        <w:t>during the third and fourth quarters of 2021 under the common share repurchase plan approved by our Board in July 2021, and we do not intend to repurchase any common stock during the first quarter of 2022. We intend to resume our common share repurchases d</w:t>
      </w:r>
      <w:r>
        <w:rPr>
          <w:rFonts w:ascii="Arial" w:eastAsia="宋体" w:hAnsi="Arial" w:cs="Arial"/>
          <w:color w:val="000000"/>
          <w:sz w:val="20"/>
          <w:szCs w:val="20"/>
        </w:rPr>
        <w:t>uring the second quarter of 2022</w:t>
      </w:r>
    </w:p>
    <w:p w14:paraId="5F2C9FF4" w14:textId="77777777" w:rsidR="00E836FB" w:rsidRDefault="00994958">
      <w:pPr>
        <w:spacing w:before="60"/>
        <w:ind w:firstLine="450"/>
        <w:jc w:val="both"/>
        <w:textAlignment w:val="top"/>
      </w:pPr>
      <w:r>
        <w:rPr>
          <w:rFonts w:ascii="Arial" w:eastAsia="宋体" w:hAnsi="Arial" w:cs="Arial"/>
          <w:color w:val="000000"/>
          <w:sz w:val="20"/>
          <w:szCs w:val="20"/>
        </w:rPr>
        <w:t>Stock purchases may be made using various types of mechanisms, including open market purchases or transactions off market, and may be made under Rule 10b5-1 trading programs. The timing of stock purchases, types of transact</w:t>
      </w:r>
      <w:r>
        <w:rPr>
          <w:rFonts w:ascii="Arial" w:eastAsia="宋体" w:hAnsi="Arial" w:cs="Arial"/>
          <w:color w:val="000000"/>
          <w:sz w:val="20"/>
          <w:szCs w:val="20"/>
        </w:rPr>
        <w:t>ions and number of shares purchased will depend on several factors, including market conditions, our capital position, our financial performance and investment opportunities. Our common stock purchase program does not have specific price targets and may be</w:t>
      </w:r>
      <w:r>
        <w:rPr>
          <w:rFonts w:ascii="Arial" w:eastAsia="宋体" w:hAnsi="Arial" w:cs="Arial"/>
          <w:color w:val="000000"/>
          <w:sz w:val="20"/>
          <w:szCs w:val="20"/>
        </w:rPr>
        <w:t xml:space="preserve"> </w:t>
      </w:r>
    </w:p>
    <w:p w14:paraId="5F2C9FF5" w14:textId="77777777" w:rsidR="00E836FB" w:rsidRDefault="00994958">
      <w:pPr>
        <w:ind w:firstLine="450"/>
        <w:jc w:val="right"/>
      </w:pPr>
      <w:r>
        <w:rPr>
          <w:rFonts w:ascii="Arial" w:eastAsia="宋体" w:hAnsi="Arial" w:cs="Arial"/>
          <w:color w:val="000000"/>
          <w:sz w:val="18"/>
          <w:szCs w:val="18"/>
        </w:rPr>
        <w:t>State Street Corporation | 54</w:t>
      </w:r>
    </w:p>
    <w:p w14:paraId="5F2C9FF6" w14:textId="77777777" w:rsidR="00E836FB" w:rsidRDefault="00E836FB">
      <w:pPr>
        <w:ind w:firstLine="450"/>
        <w:jc w:val="center"/>
      </w:pPr>
    </w:p>
    <w:p w14:paraId="5F2C9FF7" w14:textId="77777777" w:rsidR="00E836FB" w:rsidRDefault="00994958">
      <w:r>
        <w:pict w14:anchorId="5F2D6DB9">
          <v:rect id="_x0000_i1078" style="width:415.3pt;height:1.5pt" o:hralign="center" o:hrstd="t" o:hr="t" fillcolor="#a0a0a0" stroked="f"/>
        </w:pict>
      </w:r>
    </w:p>
    <w:p w14:paraId="5F2C9FF8" w14:textId="77777777" w:rsidR="00E836FB" w:rsidRDefault="00E836FB">
      <w:pPr>
        <w:ind w:firstLine="450"/>
      </w:pPr>
    </w:p>
    <w:p w14:paraId="5F2C9FF9" w14:textId="77777777" w:rsidR="00E836FB" w:rsidRDefault="00994958">
      <w:pPr>
        <w:spacing w:before="60"/>
        <w:jc w:val="both"/>
        <w:textAlignment w:val="top"/>
      </w:pPr>
      <w:r>
        <w:rPr>
          <w:rFonts w:ascii="Arial" w:eastAsia="宋体" w:hAnsi="Arial" w:cs="Arial"/>
          <w:color w:val="000000"/>
          <w:sz w:val="20"/>
          <w:szCs w:val="20"/>
        </w:rPr>
        <w:t xml:space="preserve">suspended at any time. We may employ third-party broker/dealers to acquire shares on the open market in connection with our common stock purchase programs. The common stock purchase program does not have specific </w:t>
      </w:r>
      <w:r>
        <w:rPr>
          <w:rFonts w:ascii="Arial" w:eastAsia="宋体" w:hAnsi="Arial" w:cs="Arial"/>
          <w:color w:val="000000"/>
          <w:sz w:val="20"/>
          <w:szCs w:val="20"/>
        </w:rPr>
        <w:t>price targets and may be suspended at any time.</w:t>
      </w:r>
    </w:p>
    <w:p w14:paraId="5F2C9FFA" w14:textId="77777777" w:rsidR="00E836FB" w:rsidRDefault="00994958">
      <w:pPr>
        <w:spacing w:before="60"/>
        <w:ind w:firstLine="450"/>
        <w:jc w:val="both"/>
        <w:textAlignment w:val="top"/>
      </w:pPr>
      <w:r>
        <w:rPr>
          <w:rFonts w:ascii="Arial" w:eastAsia="宋体" w:hAnsi="Arial" w:cs="Arial"/>
          <w:color w:val="000000"/>
          <w:sz w:val="20"/>
          <w:szCs w:val="20"/>
        </w:rPr>
        <w:t>Additional information about our common stock, including Board authorization with respect to purchases by us of our common stock, is provided under "Capital" in “Financial Condition” in our Management's Discu</w:t>
      </w:r>
      <w:r>
        <w:rPr>
          <w:rFonts w:ascii="Arial" w:eastAsia="宋体" w:hAnsi="Arial" w:cs="Arial"/>
          <w:color w:val="000000"/>
          <w:sz w:val="20"/>
          <w:szCs w:val="20"/>
        </w:rPr>
        <w:t>ssion and Analysis and in Note 15 to the consolidated financial statements in this Form 10-K, and is incorporated herein by reference.</w:t>
      </w:r>
    </w:p>
    <w:p w14:paraId="5F2C9FFB" w14:textId="77777777" w:rsidR="00E836FB" w:rsidRDefault="00994958">
      <w:pPr>
        <w:spacing w:before="90"/>
        <w:jc w:val="both"/>
        <w:textAlignment w:val="top"/>
      </w:pPr>
      <w:r>
        <w:rPr>
          <w:rFonts w:ascii="Arial" w:eastAsia="宋体" w:hAnsi="Arial" w:cs="Arial"/>
          <w:b/>
          <w:bCs/>
          <w:color w:val="000000"/>
          <w:sz w:val="20"/>
          <w:szCs w:val="20"/>
        </w:rPr>
        <w:t>RELATED STOCKHOLDER MATTERS</w:t>
      </w:r>
    </w:p>
    <w:p w14:paraId="5F2C9FFC" w14:textId="77777777" w:rsidR="00E836FB" w:rsidRDefault="00994958">
      <w:pPr>
        <w:spacing w:before="60"/>
        <w:ind w:firstLine="450"/>
        <w:jc w:val="both"/>
        <w:textAlignment w:val="top"/>
      </w:pPr>
      <w:r>
        <w:rPr>
          <w:rFonts w:ascii="Arial" w:eastAsia="宋体" w:hAnsi="Arial" w:cs="Arial"/>
          <w:color w:val="000000"/>
          <w:sz w:val="20"/>
          <w:szCs w:val="20"/>
        </w:rPr>
        <w:t>As a bank holding company, our Parent Company is a legal entity separate and distinct from it</w:t>
      </w:r>
      <w:r>
        <w:rPr>
          <w:rFonts w:ascii="Arial" w:eastAsia="宋体" w:hAnsi="Arial" w:cs="Arial"/>
          <w:color w:val="000000"/>
          <w:sz w:val="20"/>
          <w:szCs w:val="20"/>
        </w:rPr>
        <w:t>s principal banking subsidiary, State Street Bank, and its non-banking subsidiaries. The right of the Parent Company to participate as a shareholder in any distribution of assets of State Street Bank upon its liquidation, reorganization or otherwise is sub</w:t>
      </w:r>
      <w:r>
        <w:rPr>
          <w:rFonts w:ascii="Arial" w:eastAsia="宋体" w:hAnsi="Arial" w:cs="Arial"/>
          <w:color w:val="000000"/>
          <w:sz w:val="20"/>
          <w:szCs w:val="20"/>
        </w:rPr>
        <w:t xml:space="preserve">ject to the prior claims by creditors of State Street Bank, including obligations for federal funds purchased and securities sold under repurchase agreements and deposit liabilities. </w:t>
      </w:r>
    </w:p>
    <w:p w14:paraId="5F2C9FFD" w14:textId="77777777" w:rsidR="00E836FB" w:rsidRDefault="00994958">
      <w:pPr>
        <w:spacing w:before="60"/>
        <w:ind w:firstLine="450"/>
        <w:jc w:val="both"/>
        <w:textAlignment w:val="top"/>
      </w:pPr>
      <w:r>
        <w:rPr>
          <w:rFonts w:ascii="Arial" w:eastAsia="宋体" w:hAnsi="Arial" w:cs="Arial"/>
          <w:color w:val="000000"/>
          <w:sz w:val="20"/>
          <w:szCs w:val="20"/>
        </w:rPr>
        <w:t>Payment of dividends by State Street Bank is subject to the provisions o</w:t>
      </w:r>
      <w:r>
        <w:rPr>
          <w:rFonts w:ascii="Arial" w:eastAsia="宋体" w:hAnsi="Arial" w:cs="Arial"/>
          <w:color w:val="000000"/>
          <w:sz w:val="20"/>
          <w:szCs w:val="20"/>
        </w:rPr>
        <w:t xml:space="preserve">f the Massachusetts banking law, which provide that State Street Bank's Board of Directors may declare, from State Street Bank's "net profits," as defined below, cash dividends annually, semi-annually or quarterly (but not more frequently) and can declare </w:t>
      </w:r>
      <w:r>
        <w:rPr>
          <w:rFonts w:ascii="Arial" w:eastAsia="宋体" w:hAnsi="Arial" w:cs="Arial"/>
          <w:color w:val="000000"/>
          <w:sz w:val="20"/>
          <w:szCs w:val="20"/>
        </w:rPr>
        <w:t>non-cash dividends at any time. Under Massachusetts banking law, for purposes of determining the amount of cash dividends that are payable by State Street Bank, “net profits” is defined as an amount equal to the remainder of all earnings from current opera</w:t>
      </w:r>
      <w:r>
        <w:rPr>
          <w:rFonts w:ascii="Arial" w:eastAsia="宋体" w:hAnsi="Arial" w:cs="Arial"/>
          <w:color w:val="000000"/>
          <w:sz w:val="20"/>
          <w:szCs w:val="20"/>
        </w:rPr>
        <w:t>tions plus actual recoveries on loans and investments and other assets, after deducting from the total thereof all current operating expenses, actual losses, accrued dividends on preferred stock, if any, and all federal and state taxes.</w:t>
      </w:r>
    </w:p>
    <w:p w14:paraId="5F2C9FFE" w14:textId="77777777" w:rsidR="00E836FB" w:rsidRDefault="00994958">
      <w:pPr>
        <w:spacing w:before="60"/>
        <w:ind w:firstLine="450"/>
        <w:jc w:val="both"/>
        <w:textAlignment w:val="top"/>
      </w:pPr>
      <w:r>
        <w:rPr>
          <w:rFonts w:ascii="Arial" w:eastAsia="宋体" w:hAnsi="Arial" w:cs="Arial"/>
          <w:color w:val="000000"/>
          <w:sz w:val="20"/>
          <w:szCs w:val="20"/>
        </w:rPr>
        <w:t>No dividends may be</w:t>
      </w:r>
      <w:r>
        <w:rPr>
          <w:rFonts w:ascii="Arial" w:eastAsia="宋体" w:hAnsi="Arial" w:cs="Arial"/>
          <w:color w:val="000000"/>
          <w:sz w:val="20"/>
          <w:szCs w:val="20"/>
        </w:rPr>
        <w:t xml:space="preserve"> declared, credited or paid so long as there is any impairment of State Street Bank's capital stock. The approval of the Massachusetts Commissioner of Banks is required if the total of all dividends declared by State Street Bank in any calendar year would </w:t>
      </w:r>
      <w:r>
        <w:rPr>
          <w:rFonts w:ascii="Arial" w:eastAsia="宋体" w:hAnsi="Arial" w:cs="Arial"/>
          <w:color w:val="000000"/>
          <w:sz w:val="20"/>
          <w:szCs w:val="20"/>
        </w:rPr>
        <w:t>exceed the total of its net profits for that year combined with its retained net profits for the preceding two years, less any required transfer to surplus or to a fund for the retirement of any preferred stock.</w:t>
      </w:r>
    </w:p>
    <w:p w14:paraId="5F2C9FFF" w14:textId="77777777" w:rsidR="00E836FB" w:rsidRDefault="00994958">
      <w:pPr>
        <w:spacing w:before="60"/>
        <w:ind w:firstLine="450"/>
        <w:jc w:val="both"/>
        <w:textAlignment w:val="top"/>
      </w:pPr>
      <w:r>
        <w:rPr>
          <w:rFonts w:ascii="Arial" w:eastAsia="宋体" w:hAnsi="Arial" w:cs="Arial"/>
          <w:color w:val="000000"/>
          <w:sz w:val="20"/>
          <w:szCs w:val="20"/>
        </w:rPr>
        <w:t>Under Federal Reserve regulations, the appro</w:t>
      </w:r>
      <w:r>
        <w:rPr>
          <w:rFonts w:ascii="Arial" w:eastAsia="宋体" w:hAnsi="Arial" w:cs="Arial"/>
          <w:color w:val="000000"/>
          <w:sz w:val="20"/>
          <w:szCs w:val="20"/>
        </w:rPr>
        <w:t>val of the Federal Reserve would be required for the payment of dividends by State Street Bank if the total amount of all dividends declared by State Street Bank in any calendar year, including any proposed dividend, would exceed the total of its net incom</w:t>
      </w:r>
      <w:r>
        <w:rPr>
          <w:rFonts w:ascii="Arial" w:eastAsia="宋体" w:hAnsi="Arial" w:cs="Arial"/>
          <w:color w:val="000000"/>
          <w:sz w:val="20"/>
          <w:szCs w:val="20"/>
        </w:rPr>
        <w:t xml:space="preserve">e for such calendar year as reported in State Street Bank's </w:t>
      </w:r>
      <w:r>
        <w:rPr>
          <w:rFonts w:ascii="Arial" w:eastAsia="宋体" w:hAnsi="Arial" w:cs="Arial"/>
          <w:i/>
          <w:iCs/>
          <w:color w:val="000000"/>
          <w:sz w:val="20"/>
          <w:szCs w:val="20"/>
        </w:rPr>
        <w:t>Consolidated Reports of Condition and Income for a Bank with Domestic and Foreign Offices Only - FFIEC 031</w:t>
      </w:r>
      <w:r>
        <w:rPr>
          <w:rFonts w:ascii="Arial" w:eastAsia="宋体" w:hAnsi="Arial" w:cs="Arial"/>
          <w:color w:val="000000"/>
          <w:sz w:val="20"/>
          <w:szCs w:val="20"/>
        </w:rPr>
        <w:t>, commonly referred to as the “Call Report,” as submitted through the Federal Financial In</w:t>
      </w:r>
      <w:r>
        <w:rPr>
          <w:rFonts w:ascii="Arial" w:eastAsia="宋体" w:hAnsi="Arial" w:cs="Arial"/>
          <w:color w:val="000000"/>
          <w:sz w:val="20"/>
          <w:szCs w:val="20"/>
        </w:rPr>
        <w:t>stitutions Examination Council and provided to the Federal Reserve, plus its “retained net income” for the preceding two calendar years. For these purposes, “retained net income,” as of any date of determination, is defined as an amount equal to State Stre</w:t>
      </w:r>
      <w:r>
        <w:rPr>
          <w:rFonts w:ascii="Arial" w:eastAsia="宋体" w:hAnsi="Arial" w:cs="Arial"/>
          <w:color w:val="000000"/>
          <w:sz w:val="20"/>
          <w:szCs w:val="20"/>
        </w:rPr>
        <w:t>et Bank's net income (as reported in its Call Reports for the calendar year in which retained net income is being determined) less any dividends declared during such year. In determining the amount of dividends that are payable, the total of State Street B</w:t>
      </w:r>
      <w:r>
        <w:rPr>
          <w:rFonts w:ascii="Arial" w:eastAsia="宋体" w:hAnsi="Arial" w:cs="Arial"/>
          <w:color w:val="000000"/>
          <w:sz w:val="20"/>
          <w:szCs w:val="20"/>
        </w:rPr>
        <w:t>ank's net income for the current year and its retained net income for the preceding two calendar years is reduced by any net losses incurred in the current or preceding two-year period and by any required transfers to surplus or to a fund for the retiremen</w:t>
      </w:r>
      <w:r>
        <w:rPr>
          <w:rFonts w:ascii="Arial" w:eastAsia="宋体" w:hAnsi="Arial" w:cs="Arial"/>
          <w:color w:val="000000"/>
          <w:sz w:val="20"/>
          <w:szCs w:val="20"/>
        </w:rPr>
        <w:t xml:space="preserve">t of preferred stock. </w:t>
      </w:r>
    </w:p>
    <w:p w14:paraId="5F2CA000" w14:textId="77777777" w:rsidR="00E836FB" w:rsidRDefault="00994958">
      <w:pPr>
        <w:spacing w:before="60"/>
        <w:ind w:firstLine="450"/>
        <w:jc w:val="both"/>
        <w:textAlignment w:val="top"/>
      </w:pPr>
      <w:r>
        <w:rPr>
          <w:rFonts w:ascii="Arial" w:eastAsia="宋体" w:hAnsi="Arial" w:cs="Arial"/>
          <w:color w:val="000000"/>
          <w:sz w:val="20"/>
          <w:szCs w:val="20"/>
        </w:rPr>
        <w:t>Prior Federal Reserve approval also must be obtained if a proposed dividend would exceed State Street Bank's “undivided profits” (retained earnings) as reported in its Call Reports. State Street Bank may include in its undivided prof</w:t>
      </w:r>
      <w:r>
        <w:rPr>
          <w:rFonts w:ascii="Arial" w:eastAsia="宋体" w:hAnsi="Arial" w:cs="Arial"/>
          <w:color w:val="000000"/>
          <w:sz w:val="20"/>
          <w:szCs w:val="20"/>
        </w:rPr>
        <w:t xml:space="preserve">its amounts contained in its surplus account, if the amounts reflect transfers of undivided profits made in prior periods and if the Federal Reserve's approval for the transfer back to undivided profits has been obtained. </w:t>
      </w:r>
    </w:p>
    <w:p w14:paraId="5F2CA001" w14:textId="77777777" w:rsidR="00E836FB" w:rsidRDefault="00994958">
      <w:pPr>
        <w:spacing w:before="60"/>
        <w:ind w:firstLine="450"/>
        <w:jc w:val="both"/>
        <w:textAlignment w:val="top"/>
      </w:pPr>
      <w:r>
        <w:rPr>
          <w:rFonts w:ascii="Arial" w:eastAsia="宋体" w:hAnsi="Arial" w:cs="Arial"/>
          <w:color w:val="000000"/>
          <w:sz w:val="20"/>
          <w:szCs w:val="20"/>
        </w:rPr>
        <w:t xml:space="preserve">Under the PCA provisions adopted </w:t>
      </w:r>
      <w:r>
        <w:rPr>
          <w:rFonts w:ascii="Arial" w:eastAsia="宋体" w:hAnsi="Arial" w:cs="Arial"/>
          <w:color w:val="000000"/>
          <w:sz w:val="20"/>
          <w:szCs w:val="20"/>
        </w:rPr>
        <w:t xml:space="preserve">pursuant to the FDIC Improvement Act of 1991, State Street Bank may not pay a dividend when it is deemed, under the PCA framework, to be under-capitalized, or when the payment of the dividend would cause State Street Bank to be under-capitalized. If State </w:t>
      </w:r>
      <w:r>
        <w:rPr>
          <w:rFonts w:ascii="Arial" w:eastAsia="宋体" w:hAnsi="Arial" w:cs="Arial"/>
          <w:color w:val="000000"/>
          <w:sz w:val="20"/>
          <w:szCs w:val="20"/>
        </w:rPr>
        <w:t>Street Bank is under-capitalized for purposes of the PCA framework, it must cease paying dividends for so long as it is deemed to be under-capitalized. Once earnings have begun to improve and an adequate capital position has been restored, dividend payment</w:t>
      </w:r>
      <w:r>
        <w:rPr>
          <w:rFonts w:ascii="Arial" w:eastAsia="宋体" w:hAnsi="Arial" w:cs="Arial"/>
          <w:color w:val="000000"/>
          <w:sz w:val="20"/>
          <w:szCs w:val="20"/>
        </w:rPr>
        <w:t xml:space="preserve">s may resume in accordance with federal and state statutory limitations and guidelines. </w:t>
      </w:r>
    </w:p>
    <w:p w14:paraId="5F2CA002" w14:textId="77777777" w:rsidR="00E836FB" w:rsidRDefault="00994958">
      <w:pPr>
        <w:ind w:firstLine="450"/>
        <w:jc w:val="right"/>
      </w:pPr>
      <w:r>
        <w:rPr>
          <w:rFonts w:ascii="Arial" w:eastAsia="宋体" w:hAnsi="Arial" w:cs="Arial"/>
          <w:color w:val="000000"/>
          <w:sz w:val="18"/>
          <w:szCs w:val="18"/>
        </w:rPr>
        <w:t>State Street Corporation | 55</w:t>
      </w:r>
    </w:p>
    <w:p w14:paraId="5F2CA003" w14:textId="77777777" w:rsidR="00E836FB" w:rsidRDefault="00E836FB">
      <w:pPr>
        <w:ind w:firstLine="450"/>
        <w:jc w:val="center"/>
      </w:pPr>
    </w:p>
    <w:p w14:paraId="5F2CA004" w14:textId="77777777" w:rsidR="00E836FB" w:rsidRDefault="00994958">
      <w:r>
        <w:pict w14:anchorId="5F2D6DBA">
          <v:rect id="_x0000_i1079" style="width:415.3pt;height:1.5pt" o:hralign="center" o:hrstd="t" o:hr="t" fillcolor="#a0a0a0" stroked="f"/>
        </w:pict>
      </w:r>
    </w:p>
    <w:p w14:paraId="5F2CA005" w14:textId="77777777" w:rsidR="00E836FB" w:rsidRDefault="00E836FB">
      <w:pPr>
        <w:ind w:firstLine="450"/>
      </w:pPr>
    </w:p>
    <w:p w14:paraId="5F2CA006" w14:textId="77777777" w:rsidR="00E836FB" w:rsidRDefault="00994958">
      <w:pPr>
        <w:ind w:firstLine="450"/>
        <w:jc w:val="both"/>
      </w:pPr>
      <w:r>
        <w:rPr>
          <w:rFonts w:ascii="Arial" w:eastAsia="宋体" w:hAnsi="Arial" w:cs="Arial"/>
          <w:color w:val="000000"/>
          <w:sz w:val="20"/>
          <w:szCs w:val="20"/>
        </w:rPr>
        <w:t xml:space="preserve">For a discussion of the role of the Federal Reserve and its regulations in connection with the Parent Company’s capital planning and </w:t>
      </w:r>
      <w:r>
        <w:rPr>
          <w:rFonts w:ascii="Arial" w:eastAsia="宋体" w:hAnsi="Arial" w:cs="Arial"/>
          <w:color w:val="000000"/>
          <w:sz w:val="20"/>
          <w:szCs w:val="20"/>
        </w:rPr>
        <w:t xml:space="preserve">dividend practices, see “Capital Planning, Stress Tests and Dividends” in “Supervision and Regulation” in “Item 1. Business”. Information about dividends declared by our Parent Company and dividends from our subsidiary banks is provided under "Capital" in </w:t>
      </w:r>
      <w:r>
        <w:rPr>
          <w:rFonts w:ascii="Arial" w:eastAsia="宋体" w:hAnsi="Arial" w:cs="Arial"/>
          <w:color w:val="000000"/>
          <w:sz w:val="20"/>
          <w:szCs w:val="20"/>
        </w:rPr>
        <w:t>“Financial Condition” in our Management's Discussion and Analysis, and in Note 15 to the consolidated financial statements in this Form 10-K, and is incorporated herein by reference. Future dividend payments of State Street Bank and our non-banking subsidi</w:t>
      </w:r>
      <w:r>
        <w:rPr>
          <w:rFonts w:ascii="Arial" w:eastAsia="宋体" w:hAnsi="Arial" w:cs="Arial"/>
          <w:color w:val="000000"/>
          <w:sz w:val="20"/>
          <w:szCs w:val="20"/>
        </w:rPr>
        <w:t>aries cannot be determined at this time. In addition, refer to “Capital Planning, Stress Tests and Dividends” in "Supervision and Regulation" in Business in this Form 10-K and the risk factor “</w:t>
      </w:r>
      <w:r>
        <w:rPr>
          <w:rFonts w:ascii="Arial" w:eastAsia="宋体" w:hAnsi="Arial" w:cs="Arial"/>
          <w:i/>
          <w:iCs/>
          <w:color w:val="000000"/>
          <w:sz w:val="20"/>
          <w:szCs w:val="20"/>
        </w:rPr>
        <w:t>Our business and capital-related activities, including our abil</w:t>
      </w:r>
      <w:r>
        <w:rPr>
          <w:rFonts w:ascii="Arial" w:eastAsia="宋体" w:hAnsi="Arial" w:cs="Arial"/>
          <w:i/>
          <w:iCs/>
          <w:color w:val="000000"/>
          <w:sz w:val="20"/>
          <w:szCs w:val="20"/>
        </w:rPr>
        <w:t>ity to return capital to shareholders and repurchase our capital stock, may be adversely affected by our implementation of regulatory capital and liquidity standards that we must meet or in the event our capital plan or post-stress capital ratios are deter</w:t>
      </w:r>
      <w:r>
        <w:rPr>
          <w:rFonts w:ascii="Arial" w:eastAsia="宋体" w:hAnsi="Arial" w:cs="Arial"/>
          <w:i/>
          <w:iCs/>
          <w:color w:val="000000"/>
          <w:sz w:val="20"/>
          <w:szCs w:val="20"/>
        </w:rPr>
        <w:t>mined to be insufficient as a result of regulatory capital stress testing</w:t>
      </w:r>
      <w:r>
        <w:rPr>
          <w:rFonts w:ascii="Arial" w:eastAsia="宋体" w:hAnsi="Arial" w:cs="Arial"/>
          <w:color w:val="000000"/>
          <w:sz w:val="20"/>
          <w:szCs w:val="20"/>
        </w:rPr>
        <w:t>” in Risk Factors in this Form 10-K.</w:t>
      </w:r>
    </w:p>
    <w:p w14:paraId="5F2CA007" w14:textId="77777777" w:rsidR="00E836FB" w:rsidRDefault="00994958">
      <w:pPr>
        <w:spacing w:before="60"/>
        <w:ind w:firstLine="450"/>
        <w:jc w:val="both"/>
      </w:pPr>
      <w:r>
        <w:rPr>
          <w:rFonts w:ascii="Arial" w:eastAsia="宋体" w:hAnsi="Arial" w:cs="Arial"/>
          <w:color w:val="000000"/>
          <w:sz w:val="20"/>
          <w:szCs w:val="20"/>
        </w:rPr>
        <w:t>Information about our equity compensation plans is in Security Ownership of Certain Beneficial Owners and Management and Related Stockholder Matte</w:t>
      </w:r>
      <w:r>
        <w:rPr>
          <w:rFonts w:ascii="Arial" w:eastAsia="宋体" w:hAnsi="Arial" w:cs="Arial"/>
          <w:color w:val="000000"/>
          <w:sz w:val="20"/>
          <w:szCs w:val="20"/>
        </w:rPr>
        <w:t>rs, and in Note 18 to the consolidated financial statements in this Form 10-K, and is incorporated herein by reference.</w:t>
      </w:r>
    </w:p>
    <w:p w14:paraId="5F2CA008" w14:textId="77777777" w:rsidR="00E836FB" w:rsidRDefault="00994958">
      <w:pPr>
        <w:spacing w:before="90"/>
        <w:jc w:val="both"/>
      </w:pPr>
      <w:r>
        <w:rPr>
          <w:rFonts w:ascii="Arial" w:eastAsia="宋体" w:hAnsi="Arial" w:cs="Arial"/>
          <w:b/>
          <w:bCs/>
          <w:color w:val="000000"/>
          <w:sz w:val="20"/>
          <w:szCs w:val="20"/>
        </w:rPr>
        <w:t>SHAREHOLDER RETURN PERFORMANCE PRESENTATION</w:t>
      </w:r>
    </w:p>
    <w:p w14:paraId="5F2CA009" w14:textId="77777777" w:rsidR="00E836FB" w:rsidRDefault="00994958">
      <w:pPr>
        <w:spacing w:before="60"/>
        <w:ind w:firstLine="450"/>
        <w:jc w:val="both"/>
      </w:pPr>
      <w:r>
        <w:rPr>
          <w:rFonts w:ascii="Arial" w:eastAsia="宋体" w:hAnsi="Arial" w:cs="Arial"/>
          <w:color w:val="000000"/>
          <w:sz w:val="20"/>
          <w:szCs w:val="20"/>
        </w:rPr>
        <w:t>The graph presented below compares the cumulative total shareholder return on our common sto</w:t>
      </w:r>
      <w:r>
        <w:rPr>
          <w:rFonts w:ascii="Arial" w:eastAsia="宋体" w:hAnsi="Arial" w:cs="Arial"/>
          <w:color w:val="000000"/>
          <w:sz w:val="20"/>
          <w:szCs w:val="20"/>
        </w:rPr>
        <w:t>ck to the cumulative total return of the S&amp;P 500 Index, the S&amp;P Financial Index and the KBW Bank Index over a five-year period. The cumulative total shareholder return assumes the investment of $100 in our common stock and in each index on December 31, 201</w:t>
      </w:r>
      <w:r>
        <w:rPr>
          <w:rFonts w:ascii="Arial" w:eastAsia="宋体" w:hAnsi="Arial" w:cs="Arial"/>
          <w:color w:val="000000"/>
          <w:sz w:val="20"/>
          <w:szCs w:val="20"/>
        </w:rPr>
        <w:t>6. It also assumes reinvestment of common stock dividends.</w:t>
      </w:r>
    </w:p>
    <w:p w14:paraId="5F2CA00A" w14:textId="77777777" w:rsidR="00E836FB" w:rsidRDefault="00994958">
      <w:pPr>
        <w:spacing w:before="60"/>
        <w:ind w:firstLine="450"/>
        <w:jc w:val="both"/>
      </w:pPr>
      <w:r>
        <w:rPr>
          <w:rFonts w:ascii="Arial" w:eastAsia="宋体" w:hAnsi="Arial" w:cs="Arial"/>
          <w:color w:val="000000"/>
          <w:sz w:val="20"/>
          <w:szCs w:val="20"/>
        </w:rPr>
        <w:t xml:space="preserve">The S&amp;P Financial Index is a publicly available, capitalization-weighted index, comprised of 67 of the Standard &amp; Poor’s 500 companies, representing 26 diversified financial services companies, 22 </w:t>
      </w:r>
      <w:r>
        <w:rPr>
          <w:rFonts w:ascii="Arial" w:eastAsia="宋体" w:hAnsi="Arial" w:cs="Arial"/>
          <w:color w:val="000000"/>
          <w:sz w:val="20"/>
          <w:szCs w:val="20"/>
        </w:rPr>
        <w:t>insurance companies and 19 banking companies. The KBW Bank Index is a modified cap-weighted index consisting of 24 exchange-listed stocks, representing national money center banks and leading regional institutions. The Peer Group is composed of The Bank of</w:t>
      </w:r>
      <w:r>
        <w:rPr>
          <w:rFonts w:ascii="Arial" w:eastAsia="宋体" w:hAnsi="Arial" w:cs="Arial"/>
          <w:color w:val="000000"/>
          <w:sz w:val="20"/>
          <w:szCs w:val="20"/>
        </w:rPr>
        <w:t xml:space="preserve"> New York Mellon Corporation and Northern Trust Corporation. The Peer Group is expected to replace either or both of the KBW Bank Index or the S&amp;P Financial Index in future periods as we believe it reflects a more useful comparison of our most direct peer </w:t>
      </w:r>
      <w:r>
        <w:rPr>
          <w:rFonts w:ascii="Arial" w:eastAsia="宋体" w:hAnsi="Arial" w:cs="Arial"/>
          <w:color w:val="000000"/>
          <w:sz w:val="20"/>
          <w:szCs w:val="20"/>
        </w:rPr>
        <w:t>group.</w:t>
      </w:r>
    </w:p>
    <w:p w14:paraId="5F2CA00B" w14:textId="77777777" w:rsidR="00E836FB" w:rsidRDefault="00994958">
      <w:pPr>
        <w:spacing w:before="60"/>
        <w:ind w:firstLine="45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/State Street /./Inline XBRL Viewer3_files/stt-20211231_g1.jpg"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F2D6DBB" wp14:editId="5F2D6DBC">
            <wp:extent cx="304800" cy="304800"/>
            <wp:effectExtent l="0" t="0" r="0" b="0"/>
            <wp:docPr id="8"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9" descr="IMG_256"/>
                    <pic:cNvPicPr>
                      <a:picLocks noChangeAspect="1"/>
                    </pic:cNvPicPr>
                  </pic:nvPicPr>
                  <pic:blipFill>
                    <a:blip r:embed="rId95"/>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3553" w:type="pct"/>
        <w:tblCellMar>
          <w:top w:w="15" w:type="dxa"/>
          <w:left w:w="15" w:type="dxa"/>
          <w:bottom w:w="15" w:type="dxa"/>
          <w:right w:w="15" w:type="dxa"/>
        </w:tblCellMar>
        <w:tblLook w:val="04A0" w:firstRow="1" w:lastRow="0" w:firstColumn="1" w:lastColumn="0" w:noHBand="0" w:noVBand="1"/>
      </w:tblPr>
      <w:tblGrid>
        <w:gridCol w:w="37"/>
        <w:gridCol w:w="1783"/>
        <w:gridCol w:w="36"/>
        <w:gridCol w:w="109"/>
        <w:gridCol w:w="493"/>
        <w:gridCol w:w="36"/>
        <w:gridCol w:w="36"/>
        <w:gridCol w:w="36"/>
        <w:gridCol w:w="36"/>
        <w:gridCol w:w="109"/>
        <w:gridCol w:w="432"/>
        <w:gridCol w:w="36"/>
        <w:gridCol w:w="36"/>
        <w:gridCol w:w="36"/>
        <w:gridCol w:w="36"/>
        <w:gridCol w:w="110"/>
        <w:gridCol w:w="433"/>
        <w:gridCol w:w="36"/>
        <w:gridCol w:w="36"/>
        <w:gridCol w:w="36"/>
        <w:gridCol w:w="36"/>
        <w:gridCol w:w="109"/>
        <w:gridCol w:w="433"/>
        <w:gridCol w:w="36"/>
        <w:gridCol w:w="36"/>
        <w:gridCol w:w="36"/>
        <w:gridCol w:w="36"/>
        <w:gridCol w:w="109"/>
        <w:gridCol w:w="433"/>
        <w:gridCol w:w="36"/>
        <w:gridCol w:w="36"/>
        <w:gridCol w:w="36"/>
        <w:gridCol w:w="36"/>
        <w:gridCol w:w="109"/>
        <w:gridCol w:w="433"/>
        <w:gridCol w:w="36"/>
      </w:tblGrid>
      <w:tr w:rsidR="00E836FB" w14:paraId="5F2CA030" w14:textId="77777777">
        <w:tc>
          <w:tcPr>
            <w:tcW w:w="50" w:type="pct"/>
            <w:shd w:val="clear" w:color="auto" w:fill="auto"/>
            <w:vAlign w:val="bottom"/>
          </w:tcPr>
          <w:p w14:paraId="5F2CA00C" w14:textId="77777777" w:rsidR="00E836FB" w:rsidRDefault="00E836FB">
            <w:pPr>
              <w:rPr>
                <w:rFonts w:ascii="宋体"/>
              </w:rPr>
            </w:pPr>
          </w:p>
        </w:tc>
        <w:tc>
          <w:tcPr>
            <w:tcW w:w="1591" w:type="pct"/>
            <w:shd w:val="clear" w:color="auto" w:fill="auto"/>
            <w:vAlign w:val="bottom"/>
          </w:tcPr>
          <w:p w14:paraId="5F2CA00D" w14:textId="77777777" w:rsidR="00E836FB" w:rsidRDefault="00E836FB">
            <w:pPr>
              <w:rPr>
                <w:rFonts w:ascii="宋体"/>
              </w:rPr>
            </w:pPr>
          </w:p>
        </w:tc>
        <w:tc>
          <w:tcPr>
            <w:tcW w:w="5" w:type="pct"/>
            <w:shd w:val="clear" w:color="auto" w:fill="auto"/>
            <w:vAlign w:val="bottom"/>
          </w:tcPr>
          <w:p w14:paraId="5F2CA00E" w14:textId="77777777" w:rsidR="00E836FB" w:rsidRDefault="00E836FB">
            <w:pPr>
              <w:rPr>
                <w:rFonts w:ascii="宋体"/>
              </w:rPr>
            </w:pPr>
          </w:p>
        </w:tc>
        <w:tc>
          <w:tcPr>
            <w:tcW w:w="50" w:type="pct"/>
            <w:shd w:val="clear" w:color="auto" w:fill="auto"/>
            <w:vAlign w:val="bottom"/>
          </w:tcPr>
          <w:p w14:paraId="5F2CA00F" w14:textId="77777777" w:rsidR="00E836FB" w:rsidRDefault="00E836FB">
            <w:pPr>
              <w:rPr>
                <w:rFonts w:ascii="宋体"/>
              </w:rPr>
            </w:pPr>
          </w:p>
        </w:tc>
        <w:tc>
          <w:tcPr>
            <w:tcW w:w="469" w:type="pct"/>
            <w:shd w:val="clear" w:color="auto" w:fill="auto"/>
            <w:vAlign w:val="bottom"/>
          </w:tcPr>
          <w:p w14:paraId="5F2CA010" w14:textId="77777777" w:rsidR="00E836FB" w:rsidRDefault="00E836FB">
            <w:pPr>
              <w:rPr>
                <w:rFonts w:ascii="宋体"/>
              </w:rPr>
            </w:pPr>
          </w:p>
        </w:tc>
        <w:tc>
          <w:tcPr>
            <w:tcW w:w="5" w:type="pct"/>
            <w:shd w:val="clear" w:color="auto" w:fill="auto"/>
            <w:vAlign w:val="bottom"/>
          </w:tcPr>
          <w:p w14:paraId="5F2CA011" w14:textId="77777777" w:rsidR="00E836FB" w:rsidRDefault="00E836FB">
            <w:pPr>
              <w:rPr>
                <w:rFonts w:ascii="宋体"/>
              </w:rPr>
            </w:pPr>
          </w:p>
        </w:tc>
        <w:tc>
          <w:tcPr>
            <w:tcW w:w="5" w:type="pct"/>
            <w:shd w:val="clear" w:color="auto" w:fill="auto"/>
            <w:vAlign w:val="bottom"/>
          </w:tcPr>
          <w:p w14:paraId="5F2CA012" w14:textId="77777777" w:rsidR="00E836FB" w:rsidRDefault="00E836FB">
            <w:pPr>
              <w:rPr>
                <w:rFonts w:ascii="宋体"/>
              </w:rPr>
            </w:pPr>
          </w:p>
        </w:tc>
        <w:tc>
          <w:tcPr>
            <w:tcW w:w="31" w:type="pct"/>
            <w:shd w:val="clear" w:color="auto" w:fill="auto"/>
            <w:vAlign w:val="bottom"/>
          </w:tcPr>
          <w:p w14:paraId="5F2CA013" w14:textId="77777777" w:rsidR="00E836FB" w:rsidRDefault="00E836FB">
            <w:pPr>
              <w:rPr>
                <w:rFonts w:ascii="宋体"/>
              </w:rPr>
            </w:pPr>
          </w:p>
        </w:tc>
        <w:tc>
          <w:tcPr>
            <w:tcW w:w="5" w:type="pct"/>
            <w:shd w:val="clear" w:color="auto" w:fill="auto"/>
            <w:vAlign w:val="bottom"/>
          </w:tcPr>
          <w:p w14:paraId="5F2CA014" w14:textId="77777777" w:rsidR="00E836FB" w:rsidRDefault="00E836FB">
            <w:pPr>
              <w:rPr>
                <w:rFonts w:ascii="宋体"/>
              </w:rPr>
            </w:pPr>
          </w:p>
        </w:tc>
        <w:tc>
          <w:tcPr>
            <w:tcW w:w="50" w:type="pct"/>
            <w:shd w:val="clear" w:color="auto" w:fill="auto"/>
            <w:vAlign w:val="bottom"/>
          </w:tcPr>
          <w:p w14:paraId="5F2CA015" w14:textId="77777777" w:rsidR="00E836FB" w:rsidRDefault="00E836FB">
            <w:pPr>
              <w:rPr>
                <w:rFonts w:ascii="宋体"/>
              </w:rPr>
            </w:pPr>
          </w:p>
        </w:tc>
        <w:tc>
          <w:tcPr>
            <w:tcW w:w="469" w:type="pct"/>
            <w:shd w:val="clear" w:color="auto" w:fill="auto"/>
            <w:vAlign w:val="bottom"/>
          </w:tcPr>
          <w:p w14:paraId="5F2CA016" w14:textId="77777777" w:rsidR="00E836FB" w:rsidRDefault="00E836FB">
            <w:pPr>
              <w:rPr>
                <w:rFonts w:ascii="宋体"/>
              </w:rPr>
            </w:pPr>
          </w:p>
        </w:tc>
        <w:tc>
          <w:tcPr>
            <w:tcW w:w="5" w:type="pct"/>
            <w:shd w:val="clear" w:color="auto" w:fill="auto"/>
            <w:vAlign w:val="bottom"/>
          </w:tcPr>
          <w:p w14:paraId="5F2CA017" w14:textId="77777777" w:rsidR="00E836FB" w:rsidRDefault="00E836FB">
            <w:pPr>
              <w:rPr>
                <w:rFonts w:ascii="宋体"/>
              </w:rPr>
            </w:pPr>
          </w:p>
        </w:tc>
        <w:tc>
          <w:tcPr>
            <w:tcW w:w="5" w:type="pct"/>
            <w:shd w:val="clear" w:color="auto" w:fill="auto"/>
            <w:vAlign w:val="bottom"/>
          </w:tcPr>
          <w:p w14:paraId="5F2CA018" w14:textId="77777777" w:rsidR="00E836FB" w:rsidRDefault="00E836FB">
            <w:pPr>
              <w:rPr>
                <w:rFonts w:ascii="宋体"/>
              </w:rPr>
            </w:pPr>
          </w:p>
        </w:tc>
        <w:tc>
          <w:tcPr>
            <w:tcW w:w="31" w:type="pct"/>
            <w:shd w:val="clear" w:color="auto" w:fill="auto"/>
            <w:vAlign w:val="bottom"/>
          </w:tcPr>
          <w:p w14:paraId="5F2CA019" w14:textId="77777777" w:rsidR="00E836FB" w:rsidRDefault="00E836FB">
            <w:pPr>
              <w:rPr>
                <w:rFonts w:ascii="宋体"/>
              </w:rPr>
            </w:pPr>
          </w:p>
        </w:tc>
        <w:tc>
          <w:tcPr>
            <w:tcW w:w="5" w:type="pct"/>
            <w:shd w:val="clear" w:color="auto" w:fill="auto"/>
            <w:vAlign w:val="bottom"/>
          </w:tcPr>
          <w:p w14:paraId="5F2CA01A" w14:textId="77777777" w:rsidR="00E836FB" w:rsidRDefault="00E836FB">
            <w:pPr>
              <w:rPr>
                <w:rFonts w:ascii="宋体"/>
              </w:rPr>
            </w:pPr>
          </w:p>
        </w:tc>
        <w:tc>
          <w:tcPr>
            <w:tcW w:w="50" w:type="pct"/>
            <w:shd w:val="clear" w:color="auto" w:fill="auto"/>
            <w:vAlign w:val="bottom"/>
          </w:tcPr>
          <w:p w14:paraId="5F2CA01B" w14:textId="77777777" w:rsidR="00E836FB" w:rsidRDefault="00E836FB">
            <w:pPr>
              <w:rPr>
                <w:rFonts w:ascii="宋体"/>
              </w:rPr>
            </w:pPr>
          </w:p>
        </w:tc>
        <w:tc>
          <w:tcPr>
            <w:tcW w:w="469" w:type="pct"/>
            <w:shd w:val="clear" w:color="auto" w:fill="auto"/>
            <w:vAlign w:val="bottom"/>
          </w:tcPr>
          <w:p w14:paraId="5F2CA01C" w14:textId="77777777" w:rsidR="00E836FB" w:rsidRDefault="00E836FB">
            <w:pPr>
              <w:rPr>
                <w:rFonts w:ascii="宋体"/>
              </w:rPr>
            </w:pPr>
          </w:p>
        </w:tc>
        <w:tc>
          <w:tcPr>
            <w:tcW w:w="5" w:type="pct"/>
            <w:shd w:val="clear" w:color="auto" w:fill="auto"/>
            <w:vAlign w:val="bottom"/>
          </w:tcPr>
          <w:p w14:paraId="5F2CA01D" w14:textId="77777777" w:rsidR="00E836FB" w:rsidRDefault="00E836FB">
            <w:pPr>
              <w:rPr>
                <w:rFonts w:ascii="宋体"/>
              </w:rPr>
            </w:pPr>
          </w:p>
        </w:tc>
        <w:tc>
          <w:tcPr>
            <w:tcW w:w="5" w:type="pct"/>
            <w:shd w:val="clear" w:color="auto" w:fill="auto"/>
            <w:vAlign w:val="bottom"/>
          </w:tcPr>
          <w:p w14:paraId="5F2CA01E" w14:textId="77777777" w:rsidR="00E836FB" w:rsidRDefault="00E836FB">
            <w:pPr>
              <w:rPr>
                <w:rFonts w:ascii="宋体"/>
              </w:rPr>
            </w:pPr>
          </w:p>
        </w:tc>
        <w:tc>
          <w:tcPr>
            <w:tcW w:w="31" w:type="pct"/>
            <w:shd w:val="clear" w:color="auto" w:fill="auto"/>
            <w:vAlign w:val="bottom"/>
          </w:tcPr>
          <w:p w14:paraId="5F2CA01F" w14:textId="77777777" w:rsidR="00E836FB" w:rsidRDefault="00E836FB">
            <w:pPr>
              <w:rPr>
                <w:rFonts w:ascii="宋体"/>
              </w:rPr>
            </w:pPr>
          </w:p>
        </w:tc>
        <w:tc>
          <w:tcPr>
            <w:tcW w:w="5" w:type="pct"/>
            <w:shd w:val="clear" w:color="auto" w:fill="auto"/>
            <w:vAlign w:val="bottom"/>
          </w:tcPr>
          <w:p w14:paraId="5F2CA020" w14:textId="77777777" w:rsidR="00E836FB" w:rsidRDefault="00E836FB">
            <w:pPr>
              <w:rPr>
                <w:rFonts w:ascii="宋体"/>
              </w:rPr>
            </w:pPr>
          </w:p>
        </w:tc>
        <w:tc>
          <w:tcPr>
            <w:tcW w:w="50" w:type="pct"/>
            <w:shd w:val="clear" w:color="auto" w:fill="auto"/>
            <w:vAlign w:val="bottom"/>
          </w:tcPr>
          <w:p w14:paraId="5F2CA021" w14:textId="77777777" w:rsidR="00E836FB" w:rsidRDefault="00E836FB">
            <w:pPr>
              <w:rPr>
                <w:rFonts w:ascii="宋体"/>
              </w:rPr>
            </w:pPr>
          </w:p>
        </w:tc>
        <w:tc>
          <w:tcPr>
            <w:tcW w:w="469" w:type="pct"/>
            <w:shd w:val="clear" w:color="auto" w:fill="auto"/>
            <w:vAlign w:val="bottom"/>
          </w:tcPr>
          <w:p w14:paraId="5F2CA022" w14:textId="77777777" w:rsidR="00E836FB" w:rsidRDefault="00E836FB">
            <w:pPr>
              <w:rPr>
                <w:rFonts w:ascii="宋体"/>
              </w:rPr>
            </w:pPr>
          </w:p>
        </w:tc>
        <w:tc>
          <w:tcPr>
            <w:tcW w:w="5" w:type="pct"/>
            <w:shd w:val="clear" w:color="auto" w:fill="auto"/>
            <w:vAlign w:val="bottom"/>
          </w:tcPr>
          <w:p w14:paraId="5F2CA023" w14:textId="77777777" w:rsidR="00E836FB" w:rsidRDefault="00E836FB">
            <w:pPr>
              <w:rPr>
                <w:rFonts w:ascii="宋体"/>
              </w:rPr>
            </w:pPr>
          </w:p>
        </w:tc>
        <w:tc>
          <w:tcPr>
            <w:tcW w:w="5" w:type="pct"/>
            <w:shd w:val="clear" w:color="auto" w:fill="auto"/>
            <w:vAlign w:val="bottom"/>
          </w:tcPr>
          <w:p w14:paraId="5F2CA024" w14:textId="77777777" w:rsidR="00E836FB" w:rsidRDefault="00E836FB">
            <w:pPr>
              <w:rPr>
                <w:rFonts w:ascii="宋体"/>
              </w:rPr>
            </w:pPr>
          </w:p>
        </w:tc>
        <w:tc>
          <w:tcPr>
            <w:tcW w:w="31" w:type="pct"/>
            <w:shd w:val="clear" w:color="auto" w:fill="auto"/>
            <w:vAlign w:val="bottom"/>
          </w:tcPr>
          <w:p w14:paraId="5F2CA025" w14:textId="77777777" w:rsidR="00E836FB" w:rsidRDefault="00E836FB">
            <w:pPr>
              <w:rPr>
                <w:rFonts w:ascii="宋体"/>
              </w:rPr>
            </w:pPr>
          </w:p>
        </w:tc>
        <w:tc>
          <w:tcPr>
            <w:tcW w:w="5" w:type="pct"/>
            <w:shd w:val="clear" w:color="auto" w:fill="auto"/>
            <w:vAlign w:val="bottom"/>
          </w:tcPr>
          <w:p w14:paraId="5F2CA026" w14:textId="77777777" w:rsidR="00E836FB" w:rsidRDefault="00E836FB">
            <w:pPr>
              <w:rPr>
                <w:rFonts w:ascii="宋体"/>
              </w:rPr>
            </w:pPr>
          </w:p>
        </w:tc>
        <w:tc>
          <w:tcPr>
            <w:tcW w:w="50" w:type="pct"/>
            <w:shd w:val="clear" w:color="auto" w:fill="auto"/>
            <w:vAlign w:val="bottom"/>
          </w:tcPr>
          <w:p w14:paraId="5F2CA027" w14:textId="77777777" w:rsidR="00E836FB" w:rsidRDefault="00E836FB">
            <w:pPr>
              <w:rPr>
                <w:rFonts w:ascii="宋体"/>
              </w:rPr>
            </w:pPr>
          </w:p>
        </w:tc>
        <w:tc>
          <w:tcPr>
            <w:tcW w:w="469" w:type="pct"/>
            <w:shd w:val="clear" w:color="auto" w:fill="auto"/>
            <w:vAlign w:val="bottom"/>
          </w:tcPr>
          <w:p w14:paraId="5F2CA028" w14:textId="77777777" w:rsidR="00E836FB" w:rsidRDefault="00E836FB">
            <w:pPr>
              <w:rPr>
                <w:rFonts w:ascii="宋体"/>
              </w:rPr>
            </w:pPr>
          </w:p>
        </w:tc>
        <w:tc>
          <w:tcPr>
            <w:tcW w:w="5" w:type="pct"/>
            <w:shd w:val="clear" w:color="auto" w:fill="auto"/>
            <w:vAlign w:val="bottom"/>
          </w:tcPr>
          <w:p w14:paraId="5F2CA029" w14:textId="77777777" w:rsidR="00E836FB" w:rsidRDefault="00E836FB">
            <w:pPr>
              <w:rPr>
                <w:rFonts w:ascii="宋体"/>
              </w:rPr>
            </w:pPr>
          </w:p>
        </w:tc>
        <w:tc>
          <w:tcPr>
            <w:tcW w:w="5" w:type="pct"/>
            <w:shd w:val="clear" w:color="auto" w:fill="auto"/>
            <w:vAlign w:val="bottom"/>
          </w:tcPr>
          <w:p w14:paraId="5F2CA02A" w14:textId="77777777" w:rsidR="00E836FB" w:rsidRDefault="00E836FB">
            <w:pPr>
              <w:rPr>
                <w:rFonts w:ascii="宋体"/>
              </w:rPr>
            </w:pPr>
          </w:p>
        </w:tc>
        <w:tc>
          <w:tcPr>
            <w:tcW w:w="31" w:type="pct"/>
            <w:shd w:val="clear" w:color="auto" w:fill="auto"/>
            <w:vAlign w:val="bottom"/>
          </w:tcPr>
          <w:p w14:paraId="5F2CA02B" w14:textId="77777777" w:rsidR="00E836FB" w:rsidRDefault="00E836FB">
            <w:pPr>
              <w:rPr>
                <w:rFonts w:ascii="宋体"/>
              </w:rPr>
            </w:pPr>
          </w:p>
        </w:tc>
        <w:tc>
          <w:tcPr>
            <w:tcW w:w="5" w:type="pct"/>
            <w:shd w:val="clear" w:color="auto" w:fill="auto"/>
            <w:vAlign w:val="bottom"/>
          </w:tcPr>
          <w:p w14:paraId="5F2CA02C" w14:textId="77777777" w:rsidR="00E836FB" w:rsidRDefault="00E836FB">
            <w:pPr>
              <w:rPr>
                <w:rFonts w:ascii="宋体"/>
              </w:rPr>
            </w:pPr>
          </w:p>
        </w:tc>
        <w:tc>
          <w:tcPr>
            <w:tcW w:w="50" w:type="pct"/>
            <w:shd w:val="clear" w:color="auto" w:fill="auto"/>
            <w:vAlign w:val="bottom"/>
          </w:tcPr>
          <w:p w14:paraId="5F2CA02D" w14:textId="77777777" w:rsidR="00E836FB" w:rsidRDefault="00E836FB">
            <w:pPr>
              <w:rPr>
                <w:rFonts w:ascii="宋体"/>
              </w:rPr>
            </w:pPr>
          </w:p>
        </w:tc>
        <w:tc>
          <w:tcPr>
            <w:tcW w:w="469" w:type="pct"/>
            <w:shd w:val="clear" w:color="auto" w:fill="auto"/>
            <w:vAlign w:val="bottom"/>
          </w:tcPr>
          <w:p w14:paraId="5F2CA02E" w14:textId="77777777" w:rsidR="00E836FB" w:rsidRDefault="00E836FB">
            <w:pPr>
              <w:rPr>
                <w:rFonts w:ascii="宋体"/>
              </w:rPr>
            </w:pPr>
          </w:p>
        </w:tc>
        <w:tc>
          <w:tcPr>
            <w:tcW w:w="5" w:type="pct"/>
            <w:shd w:val="clear" w:color="auto" w:fill="auto"/>
            <w:vAlign w:val="bottom"/>
          </w:tcPr>
          <w:p w14:paraId="5F2CA02F" w14:textId="77777777" w:rsidR="00E836FB" w:rsidRDefault="00E836FB">
            <w:pPr>
              <w:rPr>
                <w:rFonts w:ascii="宋体"/>
              </w:rPr>
            </w:pPr>
          </w:p>
        </w:tc>
      </w:tr>
      <w:tr w:rsidR="00E836FB" w14:paraId="5F2CA03D" w14:textId="77777777">
        <w:tc>
          <w:tcPr>
            <w:tcW w:w="0" w:type="auto"/>
            <w:gridSpan w:val="3"/>
            <w:shd w:val="clear" w:color="auto" w:fill="auto"/>
            <w:tcMar>
              <w:top w:w="0" w:type="dxa"/>
              <w:left w:w="20" w:type="dxa"/>
              <w:bottom w:w="0" w:type="dxa"/>
              <w:right w:w="20" w:type="dxa"/>
            </w:tcMar>
            <w:vAlign w:val="bottom"/>
          </w:tcPr>
          <w:p w14:paraId="5F2CA03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32" w14:textId="77777777" w:rsidR="00E836FB" w:rsidRDefault="00994958">
            <w:pPr>
              <w:jc w:val="center"/>
              <w:textAlignment w:val="bottom"/>
            </w:pPr>
            <w:r>
              <w:rPr>
                <w:rFonts w:ascii="Arial" w:eastAsia="宋体" w:hAnsi="Arial" w:cs="Arial"/>
                <w:b/>
                <w:bCs/>
                <w:color w:val="000000"/>
                <w:sz w:val="16"/>
                <w:szCs w:val="16"/>
              </w:rPr>
              <w:t>2016</w:t>
            </w:r>
          </w:p>
        </w:tc>
        <w:tc>
          <w:tcPr>
            <w:tcW w:w="0" w:type="auto"/>
            <w:gridSpan w:val="3"/>
            <w:shd w:val="clear" w:color="auto" w:fill="auto"/>
            <w:tcMar>
              <w:top w:w="0" w:type="dxa"/>
              <w:left w:w="20" w:type="dxa"/>
              <w:bottom w:w="0" w:type="dxa"/>
              <w:right w:w="20" w:type="dxa"/>
            </w:tcMar>
            <w:vAlign w:val="bottom"/>
          </w:tcPr>
          <w:p w14:paraId="5F2CA03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34" w14:textId="77777777" w:rsidR="00E836FB" w:rsidRDefault="00994958">
            <w:pPr>
              <w:jc w:val="center"/>
              <w:textAlignment w:val="bottom"/>
            </w:pPr>
            <w:r>
              <w:rPr>
                <w:rFonts w:ascii="Arial" w:eastAsia="宋体" w:hAnsi="Arial" w:cs="Arial"/>
                <w:b/>
                <w:bCs/>
                <w:color w:val="000000"/>
                <w:sz w:val="16"/>
                <w:szCs w:val="16"/>
              </w:rPr>
              <w:t>2017</w:t>
            </w:r>
          </w:p>
        </w:tc>
        <w:tc>
          <w:tcPr>
            <w:tcW w:w="0" w:type="auto"/>
            <w:gridSpan w:val="3"/>
            <w:shd w:val="clear" w:color="auto" w:fill="auto"/>
            <w:tcMar>
              <w:top w:w="0" w:type="dxa"/>
              <w:left w:w="20" w:type="dxa"/>
              <w:bottom w:w="0" w:type="dxa"/>
              <w:right w:w="20" w:type="dxa"/>
            </w:tcMar>
            <w:vAlign w:val="bottom"/>
          </w:tcPr>
          <w:p w14:paraId="5F2CA03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36" w14:textId="77777777" w:rsidR="00E836FB" w:rsidRDefault="00994958">
            <w:pPr>
              <w:jc w:val="center"/>
              <w:textAlignment w:val="bottom"/>
            </w:pPr>
            <w:r>
              <w:rPr>
                <w:rFonts w:ascii="Arial" w:eastAsia="宋体" w:hAnsi="Arial" w:cs="Arial"/>
                <w:b/>
                <w:bCs/>
                <w:color w:val="000000"/>
                <w:sz w:val="16"/>
                <w:szCs w:val="16"/>
              </w:rPr>
              <w:t>2018</w:t>
            </w:r>
          </w:p>
        </w:tc>
        <w:tc>
          <w:tcPr>
            <w:tcW w:w="0" w:type="auto"/>
            <w:gridSpan w:val="3"/>
            <w:shd w:val="clear" w:color="auto" w:fill="auto"/>
            <w:tcMar>
              <w:top w:w="0" w:type="dxa"/>
              <w:left w:w="20" w:type="dxa"/>
              <w:bottom w:w="0" w:type="dxa"/>
              <w:right w:w="20" w:type="dxa"/>
            </w:tcMar>
            <w:vAlign w:val="bottom"/>
          </w:tcPr>
          <w:p w14:paraId="5F2CA03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38" w14:textId="77777777" w:rsidR="00E836FB" w:rsidRDefault="00994958">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5F2CA03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3A"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F2CA03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3C" w14:textId="77777777" w:rsidR="00E836FB" w:rsidRDefault="00994958">
            <w:pPr>
              <w:jc w:val="center"/>
              <w:textAlignment w:val="bottom"/>
            </w:pPr>
            <w:r>
              <w:rPr>
                <w:rFonts w:ascii="Arial" w:eastAsia="宋体" w:hAnsi="Arial" w:cs="Arial"/>
                <w:b/>
                <w:bCs/>
                <w:color w:val="000000"/>
                <w:sz w:val="16"/>
                <w:szCs w:val="16"/>
              </w:rPr>
              <w:t>2021</w:t>
            </w:r>
          </w:p>
        </w:tc>
      </w:tr>
      <w:tr w:rsidR="00E836FB" w14:paraId="5F2CA056" w14:textId="77777777">
        <w:tc>
          <w:tcPr>
            <w:tcW w:w="0" w:type="auto"/>
            <w:gridSpan w:val="3"/>
            <w:shd w:val="clear" w:color="auto" w:fill="CCEEFF"/>
            <w:tcMar>
              <w:top w:w="40" w:type="dxa"/>
              <w:left w:w="20" w:type="dxa"/>
              <w:bottom w:w="40" w:type="dxa"/>
              <w:right w:w="20" w:type="dxa"/>
            </w:tcMar>
          </w:tcPr>
          <w:p w14:paraId="5F2CA03E" w14:textId="77777777" w:rsidR="00E836FB" w:rsidRDefault="00994958">
            <w:pPr>
              <w:textAlignment w:val="top"/>
            </w:pPr>
            <w:r>
              <w:rPr>
                <w:rFonts w:ascii="Arial" w:eastAsia="宋体" w:hAnsi="Arial" w:cs="Arial"/>
                <w:color w:val="000000"/>
                <w:sz w:val="16"/>
                <w:szCs w:val="16"/>
              </w:rPr>
              <w:t>State Street Corporation</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03F"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040" w14:textId="77777777" w:rsidR="00E836FB" w:rsidRDefault="00994958">
            <w:pPr>
              <w:jc w:val="right"/>
              <w:textAlignment w:val="bottom"/>
            </w:pPr>
            <w:r>
              <w:rPr>
                <w:rFonts w:ascii="Arial" w:eastAsia="宋体" w:hAnsi="Arial" w:cs="Arial"/>
                <w:color w:val="000000"/>
                <w:sz w:val="16"/>
                <w:szCs w:val="16"/>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4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043"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044" w14:textId="77777777" w:rsidR="00E836FB" w:rsidRDefault="00994958">
            <w:pPr>
              <w:jc w:val="right"/>
              <w:textAlignment w:val="bottom"/>
            </w:pPr>
            <w:r>
              <w:rPr>
                <w:rFonts w:ascii="Arial" w:eastAsia="宋体" w:hAnsi="Arial" w:cs="Arial"/>
                <w:color w:val="000000"/>
                <w:sz w:val="16"/>
                <w:szCs w:val="16"/>
              </w:rPr>
              <w:t>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4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047"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048" w14:textId="77777777" w:rsidR="00E836FB" w:rsidRDefault="00994958">
            <w:pPr>
              <w:jc w:val="right"/>
              <w:textAlignment w:val="bottom"/>
            </w:pPr>
            <w:r>
              <w:rPr>
                <w:rFonts w:ascii="Arial" w:eastAsia="宋体" w:hAnsi="Arial" w:cs="Arial"/>
                <w:color w:val="000000"/>
                <w:sz w:val="16"/>
                <w:szCs w:val="16"/>
              </w:rPr>
              <w:t>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49" w14:textId="77777777" w:rsidR="00E836FB" w:rsidRDefault="00E83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A04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04B"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04C" w14:textId="77777777" w:rsidR="00E836FB" w:rsidRDefault="00994958">
            <w:pPr>
              <w:jc w:val="right"/>
              <w:textAlignment w:val="bottom"/>
            </w:pPr>
            <w:r>
              <w:rPr>
                <w:rFonts w:ascii="Arial" w:eastAsia="宋体" w:hAnsi="Arial" w:cs="Arial"/>
                <w:color w:val="000000"/>
                <w:sz w:val="16"/>
                <w:szCs w:val="16"/>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4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04F"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050" w14:textId="77777777" w:rsidR="00E836FB" w:rsidRDefault="00994958">
            <w:pPr>
              <w:jc w:val="right"/>
              <w:textAlignment w:val="bottom"/>
            </w:pPr>
            <w:r>
              <w:rPr>
                <w:rFonts w:ascii="Arial" w:eastAsia="宋体" w:hAnsi="Arial" w:cs="Arial"/>
                <w:color w:val="000000"/>
                <w:sz w:val="16"/>
                <w:szCs w:val="16"/>
              </w:rPr>
              <w:t>104 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5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053"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054" w14:textId="77777777" w:rsidR="00E836FB" w:rsidRDefault="00994958">
            <w:pPr>
              <w:jc w:val="right"/>
              <w:textAlignment w:val="bottom"/>
            </w:pPr>
            <w:r>
              <w:rPr>
                <w:rFonts w:ascii="Arial" w:eastAsia="宋体" w:hAnsi="Arial" w:cs="Arial"/>
                <w:b/>
                <w:bCs/>
                <w:color w:val="000000"/>
                <w:sz w:val="16"/>
                <w:szCs w:val="16"/>
              </w:rPr>
              <w:t>136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55" w14:textId="77777777" w:rsidR="00E836FB" w:rsidRDefault="00E836FB">
            <w:pPr>
              <w:jc w:val="right"/>
              <w:rPr>
                <w:rFonts w:ascii="宋体"/>
              </w:rPr>
            </w:pPr>
          </w:p>
        </w:tc>
      </w:tr>
      <w:tr w:rsidR="00E836FB" w14:paraId="5F2CA069" w14:textId="77777777">
        <w:tc>
          <w:tcPr>
            <w:tcW w:w="0" w:type="auto"/>
            <w:gridSpan w:val="3"/>
            <w:shd w:val="clear" w:color="auto" w:fill="FFFFFF"/>
            <w:tcMar>
              <w:top w:w="40" w:type="dxa"/>
              <w:left w:w="20" w:type="dxa"/>
              <w:bottom w:w="40" w:type="dxa"/>
              <w:right w:w="20" w:type="dxa"/>
            </w:tcMar>
          </w:tcPr>
          <w:p w14:paraId="5F2CA057" w14:textId="77777777" w:rsidR="00E836FB" w:rsidRDefault="00994958">
            <w:pPr>
              <w:textAlignment w:val="top"/>
            </w:pPr>
            <w:r>
              <w:rPr>
                <w:rFonts w:ascii="Arial" w:eastAsia="宋体" w:hAnsi="Arial" w:cs="Arial"/>
                <w:color w:val="000000"/>
                <w:sz w:val="16"/>
                <w:szCs w:val="16"/>
              </w:rPr>
              <w:t>S&amp;P 500 Index</w:t>
            </w:r>
          </w:p>
        </w:tc>
        <w:tc>
          <w:tcPr>
            <w:tcW w:w="0" w:type="auto"/>
            <w:gridSpan w:val="2"/>
            <w:shd w:val="clear" w:color="auto" w:fill="FFFFFF"/>
            <w:tcMar>
              <w:top w:w="40" w:type="dxa"/>
              <w:left w:w="20" w:type="dxa"/>
              <w:bottom w:w="40" w:type="dxa"/>
              <w:right w:w="0" w:type="dxa"/>
            </w:tcMar>
            <w:vAlign w:val="bottom"/>
          </w:tcPr>
          <w:p w14:paraId="5F2CA058" w14:textId="77777777" w:rsidR="00E836FB" w:rsidRDefault="00994958">
            <w:pPr>
              <w:jc w:val="right"/>
              <w:textAlignment w:val="bottom"/>
            </w:pPr>
            <w:r>
              <w:rPr>
                <w:rFonts w:ascii="Arial" w:eastAsia="宋体" w:hAnsi="Arial" w:cs="Arial"/>
                <w:color w:val="000000"/>
                <w:sz w:val="16"/>
                <w:szCs w:val="16"/>
              </w:rPr>
              <w:t>100 </w:t>
            </w:r>
          </w:p>
        </w:tc>
        <w:tc>
          <w:tcPr>
            <w:tcW w:w="0" w:type="auto"/>
            <w:shd w:val="clear" w:color="auto" w:fill="FFFFFF"/>
            <w:tcMar>
              <w:top w:w="40" w:type="dxa"/>
              <w:left w:w="0" w:type="dxa"/>
              <w:bottom w:w="40" w:type="dxa"/>
              <w:right w:w="20" w:type="dxa"/>
            </w:tcMar>
            <w:vAlign w:val="bottom"/>
          </w:tcPr>
          <w:p w14:paraId="5F2CA05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5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5B" w14:textId="77777777" w:rsidR="00E836FB" w:rsidRDefault="00994958">
            <w:pPr>
              <w:jc w:val="right"/>
              <w:textAlignment w:val="bottom"/>
            </w:pPr>
            <w:r>
              <w:rPr>
                <w:rFonts w:ascii="Arial" w:eastAsia="宋体" w:hAnsi="Arial" w:cs="Arial"/>
                <w:color w:val="000000"/>
                <w:sz w:val="16"/>
                <w:szCs w:val="16"/>
              </w:rPr>
              <w:t>122 </w:t>
            </w:r>
          </w:p>
        </w:tc>
        <w:tc>
          <w:tcPr>
            <w:tcW w:w="0" w:type="auto"/>
            <w:shd w:val="clear" w:color="auto" w:fill="FFFFFF"/>
            <w:tcMar>
              <w:top w:w="40" w:type="dxa"/>
              <w:left w:w="0" w:type="dxa"/>
              <w:bottom w:w="40" w:type="dxa"/>
              <w:right w:w="20" w:type="dxa"/>
            </w:tcMar>
            <w:vAlign w:val="bottom"/>
          </w:tcPr>
          <w:p w14:paraId="5F2CA05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5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5E" w14:textId="77777777" w:rsidR="00E836FB" w:rsidRDefault="00994958">
            <w:pPr>
              <w:jc w:val="right"/>
              <w:textAlignment w:val="bottom"/>
            </w:pPr>
            <w:r>
              <w:rPr>
                <w:rFonts w:ascii="Arial" w:eastAsia="宋体" w:hAnsi="Arial" w:cs="Arial"/>
                <w:color w:val="000000"/>
                <w:sz w:val="16"/>
                <w:szCs w:val="16"/>
              </w:rPr>
              <w:t>116 </w:t>
            </w:r>
          </w:p>
        </w:tc>
        <w:tc>
          <w:tcPr>
            <w:tcW w:w="0" w:type="auto"/>
            <w:shd w:val="clear" w:color="auto" w:fill="FFFFFF"/>
            <w:tcMar>
              <w:top w:w="40" w:type="dxa"/>
              <w:left w:w="0" w:type="dxa"/>
              <w:bottom w:w="40" w:type="dxa"/>
              <w:right w:w="20" w:type="dxa"/>
            </w:tcMar>
            <w:vAlign w:val="bottom"/>
          </w:tcPr>
          <w:p w14:paraId="5F2CA0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61" w14:textId="77777777" w:rsidR="00E836FB" w:rsidRDefault="00994958">
            <w:pPr>
              <w:jc w:val="right"/>
              <w:textAlignment w:val="bottom"/>
            </w:pPr>
            <w:r>
              <w:rPr>
                <w:rFonts w:ascii="Arial" w:eastAsia="宋体" w:hAnsi="Arial" w:cs="Arial"/>
                <w:color w:val="000000"/>
                <w:sz w:val="16"/>
                <w:szCs w:val="16"/>
              </w:rPr>
              <w:t>153 </w:t>
            </w:r>
          </w:p>
        </w:tc>
        <w:tc>
          <w:tcPr>
            <w:tcW w:w="0" w:type="auto"/>
            <w:shd w:val="clear" w:color="auto" w:fill="FFFFFF"/>
            <w:tcMar>
              <w:top w:w="40" w:type="dxa"/>
              <w:left w:w="0" w:type="dxa"/>
              <w:bottom w:w="40" w:type="dxa"/>
              <w:right w:w="20" w:type="dxa"/>
            </w:tcMar>
            <w:vAlign w:val="bottom"/>
          </w:tcPr>
          <w:p w14:paraId="5F2CA0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64" w14:textId="77777777" w:rsidR="00E836FB" w:rsidRDefault="00994958">
            <w:pPr>
              <w:jc w:val="right"/>
              <w:textAlignment w:val="bottom"/>
            </w:pPr>
            <w:r>
              <w:rPr>
                <w:rFonts w:ascii="Arial" w:eastAsia="宋体" w:hAnsi="Arial" w:cs="Arial"/>
                <w:color w:val="000000"/>
                <w:sz w:val="16"/>
                <w:szCs w:val="16"/>
              </w:rPr>
              <w:t>181 </w:t>
            </w:r>
          </w:p>
        </w:tc>
        <w:tc>
          <w:tcPr>
            <w:tcW w:w="0" w:type="auto"/>
            <w:shd w:val="clear" w:color="auto" w:fill="FFFFFF"/>
            <w:tcMar>
              <w:top w:w="40" w:type="dxa"/>
              <w:left w:w="0" w:type="dxa"/>
              <w:bottom w:w="40" w:type="dxa"/>
              <w:right w:w="20" w:type="dxa"/>
            </w:tcMar>
            <w:vAlign w:val="bottom"/>
          </w:tcPr>
          <w:p w14:paraId="5F2CA0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67" w14:textId="77777777" w:rsidR="00E836FB" w:rsidRDefault="00994958">
            <w:pPr>
              <w:jc w:val="right"/>
              <w:textAlignment w:val="bottom"/>
            </w:pPr>
            <w:r>
              <w:rPr>
                <w:rFonts w:ascii="Arial" w:eastAsia="宋体" w:hAnsi="Arial" w:cs="Arial"/>
                <w:b/>
                <w:bCs/>
                <w:color w:val="000000"/>
                <w:sz w:val="16"/>
                <w:szCs w:val="16"/>
              </w:rPr>
              <w:t>233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A068" w14:textId="77777777" w:rsidR="00E836FB" w:rsidRDefault="00E836FB">
            <w:pPr>
              <w:jc w:val="right"/>
              <w:rPr>
                <w:rFonts w:ascii="宋体"/>
              </w:rPr>
            </w:pPr>
          </w:p>
        </w:tc>
      </w:tr>
      <w:tr w:rsidR="00E836FB" w14:paraId="5F2CA07C" w14:textId="77777777">
        <w:tc>
          <w:tcPr>
            <w:tcW w:w="0" w:type="auto"/>
            <w:gridSpan w:val="3"/>
            <w:shd w:val="clear" w:color="auto" w:fill="CCEEFF"/>
            <w:tcMar>
              <w:top w:w="40" w:type="dxa"/>
              <w:left w:w="20" w:type="dxa"/>
              <w:bottom w:w="40" w:type="dxa"/>
              <w:right w:w="20" w:type="dxa"/>
            </w:tcMar>
          </w:tcPr>
          <w:p w14:paraId="5F2CA06A" w14:textId="77777777" w:rsidR="00E836FB" w:rsidRDefault="00994958">
            <w:pPr>
              <w:textAlignment w:val="top"/>
            </w:pPr>
            <w:r>
              <w:rPr>
                <w:rFonts w:ascii="Arial" w:eastAsia="宋体" w:hAnsi="Arial" w:cs="Arial"/>
                <w:color w:val="000000"/>
                <w:sz w:val="16"/>
                <w:szCs w:val="16"/>
              </w:rPr>
              <w:t>S&amp;P Financial Index</w:t>
            </w:r>
          </w:p>
        </w:tc>
        <w:tc>
          <w:tcPr>
            <w:tcW w:w="0" w:type="auto"/>
            <w:gridSpan w:val="2"/>
            <w:shd w:val="clear" w:color="auto" w:fill="CCEEFF"/>
            <w:tcMar>
              <w:top w:w="40" w:type="dxa"/>
              <w:left w:w="20" w:type="dxa"/>
              <w:bottom w:w="40" w:type="dxa"/>
              <w:right w:w="0" w:type="dxa"/>
            </w:tcMar>
            <w:vAlign w:val="bottom"/>
          </w:tcPr>
          <w:p w14:paraId="5F2CA06B" w14:textId="77777777" w:rsidR="00E836FB" w:rsidRDefault="00994958">
            <w:pPr>
              <w:jc w:val="right"/>
              <w:textAlignment w:val="bottom"/>
            </w:pPr>
            <w:r>
              <w:rPr>
                <w:rFonts w:ascii="Arial" w:eastAsia="宋体" w:hAnsi="Arial" w:cs="Arial"/>
                <w:color w:val="000000"/>
                <w:sz w:val="16"/>
                <w:szCs w:val="16"/>
              </w:rPr>
              <w:t>100 </w:t>
            </w:r>
          </w:p>
        </w:tc>
        <w:tc>
          <w:tcPr>
            <w:tcW w:w="0" w:type="auto"/>
            <w:shd w:val="clear" w:color="auto" w:fill="CCEEFF"/>
            <w:tcMar>
              <w:top w:w="40" w:type="dxa"/>
              <w:left w:w="0" w:type="dxa"/>
              <w:bottom w:w="40" w:type="dxa"/>
              <w:right w:w="20" w:type="dxa"/>
            </w:tcMar>
            <w:vAlign w:val="bottom"/>
          </w:tcPr>
          <w:p w14:paraId="5F2CA0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6E" w14:textId="77777777" w:rsidR="00E836FB" w:rsidRDefault="00994958">
            <w:pPr>
              <w:jc w:val="right"/>
              <w:textAlignment w:val="bottom"/>
            </w:pPr>
            <w:r>
              <w:rPr>
                <w:rFonts w:ascii="Arial" w:eastAsia="宋体" w:hAnsi="Arial" w:cs="Arial"/>
                <w:color w:val="000000"/>
                <w:sz w:val="16"/>
                <w:szCs w:val="16"/>
              </w:rPr>
              <w:t>122 </w:t>
            </w:r>
          </w:p>
        </w:tc>
        <w:tc>
          <w:tcPr>
            <w:tcW w:w="0" w:type="auto"/>
            <w:shd w:val="clear" w:color="auto" w:fill="CCEEFF"/>
            <w:tcMar>
              <w:top w:w="40" w:type="dxa"/>
              <w:left w:w="0" w:type="dxa"/>
              <w:bottom w:w="40" w:type="dxa"/>
              <w:right w:w="20" w:type="dxa"/>
            </w:tcMar>
            <w:vAlign w:val="bottom"/>
          </w:tcPr>
          <w:p w14:paraId="5F2CA0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71" w14:textId="77777777" w:rsidR="00E836FB" w:rsidRDefault="00994958">
            <w:pPr>
              <w:jc w:val="right"/>
              <w:textAlignment w:val="bottom"/>
            </w:pPr>
            <w:r>
              <w:rPr>
                <w:rFonts w:ascii="Arial" w:eastAsia="宋体" w:hAnsi="Arial" w:cs="Arial"/>
                <w:color w:val="000000"/>
                <w:sz w:val="16"/>
                <w:szCs w:val="16"/>
              </w:rPr>
              <w:t>106 </w:t>
            </w:r>
          </w:p>
        </w:tc>
        <w:tc>
          <w:tcPr>
            <w:tcW w:w="0" w:type="auto"/>
            <w:shd w:val="clear" w:color="auto" w:fill="CCEEFF"/>
            <w:tcMar>
              <w:top w:w="40" w:type="dxa"/>
              <w:left w:w="0" w:type="dxa"/>
              <w:bottom w:w="40" w:type="dxa"/>
              <w:right w:w="20" w:type="dxa"/>
            </w:tcMar>
            <w:vAlign w:val="bottom"/>
          </w:tcPr>
          <w:p w14:paraId="5F2CA0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74" w14:textId="77777777" w:rsidR="00E836FB" w:rsidRDefault="00994958">
            <w:pPr>
              <w:jc w:val="right"/>
              <w:textAlignment w:val="bottom"/>
            </w:pPr>
            <w:r>
              <w:rPr>
                <w:rFonts w:ascii="Arial" w:eastAsia="宋体" w:hAnsi="Arial" w:cs="Arial"/>
                <w:color w:val="000000"/>
                <w:sz w:val="16"/>
                <w:szCs w:val="16"/>
              </w:rPr>
              <w:t>140 </w:t>
            </w:r>
          </w:p>
        </w:tc>
        <w:tc>
          <w:tcPr>
            <w:tcW w:w="0" w:type="auto"/>
            <w:shd w:val="clear" w:color="auto" w:fill="CCEEFF"/>
            <w:tcMar>
              <w:top w:w="40" w:type="dxa"/>
              <w:left w:w="0" w:type="dxa"/>
              <w:bottom w:w="40" w:type="dxa"/>
              <w:right w:w="20" w:type="dxa"/>
            </w:tcMar>
            <w:vAlign w:val="bottom"/>
          </w:tcPr>
          <w:p w14:paraId="5F2CA0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7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77" w14:textId="77777777" w:rsidR="00E836FB" w:rsidRDefault="00994958">
            <w:pPr>
              <w:jc w:val="right"/>
              <w:textAlignment w:val="bottom"/>
            </w:pPr>
            <w:r>
              <w:rPr>
                <w:rFonts w:ascii="Arial" w:eastAsia="宋体" w:hAnsi="Arial" w:cs="Arial"/>
                <w:color w:val="000000"/>
                <w:sz w:val="16"/>
                <w:szCs w:val="16"/>
              </w:rPr>
              <w:t>138 </w:t>
            </w:r>
          </w:p>
        </w:tc>
        <w:tc>
          <w:tcPr>
            <w:tcW w:w="0" w:type="auto"/>
            <w:shd w:val="clear" w:color="auto" w:fill="CCEEFF"/>
            <w:tcMar>
              <w:top w:w="40" w:type="dxa"/>
              <w:left w:w="0" w:type="dxa"/>
              <w:bottom w:w="40" w:type="dxa"/>
              <w:right w:w="20" w:type="dxa"/>
            </w:tcMar>
            <w:vAlign w:val="bottom"/>
          </w:tcPr>
          <w:p w14:paraId="5F2CA0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7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7A" w14:textId="77777777" w:rsidR="00E836FB" w:rsidRDefault="00994958">
            <w:pPr>
              <w:jc w:val="right"/>
              <w:textAlignment w:val="bottom"/>
            </w:pPr>
            <w:r>
              <w:rPr>
                <w:rFonts w:ascii="Arial" w:eastAsia="宋体" w:hAnsi="Arial" w:cs="Arial"/>
                <w:b/>
                <w:bCs/>
                <w:color w:val="000000"/>
                <w:sz w:val="16"/>
                <w:szCs w:val="16"/>
              </w:rPr>
              <w:t>186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A07B" w14:textId="77777777" w:rsidR="00E836FB" w:rsidRDefault="00E836FB">
            <w:pPr>
              <w:jc w:val="right"/>
              <w:rPr>
                <w:rFonts w:ascii="宋体"/>
              </w:rPr>
            </w:pPr>
          </w:p>
        </w:tc>
      </w:tr>
      <w:tr w:rsidR="00E836FB" w14:paraId="5F2CA08F" w14:textId="77777777">
        <w:tc>
          <w:tcPr>
            <w:tcW w:w="0" w:type="auto"/>
            <w:gridSpan w:val="3"/>
            <w:shd w:val="clear" w:color="auto" w:fill="FFFFFF"/>
            <w:tcMar>
              <w:top w:w="40" w:type="dxa"/>
              <w:left w:w="20" w:type="dxa"/>
              <w:bottom w:w="40" w:type="dxa"/>
              <w:right w:w="20" w:type="dxa"/>
            </w:tcMar>
          </w:tcPr>
          <w:p w14:paraId="5F2CA07D" w14:textId="77777777" w:rsidR="00E836FB" w:rsidRDefault="00994958">
            <w:pPr>
              <w:textAlignment w:val="top"/>
            </w:pPr>
            <w:r>
              <w:rPr>
                <w:rFonts w:ascii="Arial" w:eastAsia="宋体" w:hAnsi="Arial" w:cs="Arial"/>
                <w:color w:val="000000"/>
                <w:sz w:val="16"/>
                <w:szCs w:val="16"/>
              </w:rPr>
              <w:t>KBW Bank Index</w:t>
            </w:r>
          </w:p>
        </w:tc>
        <w:tc>
          <w:tcPr>
            <w:tcW w:w="0" w:type="auto"/>
            <w:gridSpan w:val="2"/>
            <w:shd w:val="clear" w:color="auto" w:fill="FFFFFF"/>
            <w:tcMar>
              <w:top w:w="40" w:type="dxa"/>
              <w:left w:w="20" w:type="dxa"/>
              <w:bottom w:w="40" w:type="dxa"/>
              <w:right w:w="0" w:type="dxa"/>
            </w:tcMar>
            <w:vAlign w:val="bottom"/>
          </w:tcPr>
          <w:p w14:paraId="5F2CA07E" w14:textId="77777777" w:rsidR="00E836FB" w:rsidRDefault="00994958">
            <w:pPr>
              <w:jc w:val="right"/>
              <w:textAlignment w:val="bottom"/>
            </w:pPr>
            <w:r>
              <w:rPr>
                <w:rFonts w:ascii="Arial" w:eastAsia="宋体" w:hAnsi="Arial" w:cs="Arial"/>
                <w:color w:val="000000"/>
                <w:sz w:val="16"/>
                <w:szCs w:val="16"/>
              </w:rPr>
              <w:t>100 </w:t>
            </w:r>
          </w:p>
        </w:tc>
        <w:tc>
          <w:tcPr>
            <w:tcW w:w="0" w:type="auto"/>
            <w:shd w:val="clear" w:color="auto" w:fill="FFFFFF"/>
            <w:tcMar>
              <w:top w:w="40" w:type="dxa"/>
              <w:left w:w="0" w:type="dxa"/>
              <w:bottom w:w="40" w:type="dxa"/>
              <w:right w:w="20" w:type="dxa"/>
            </w:tcMar>
            <w:vAlign w:val="bottom"/>
          </w:tcPr>
          <w:p w14:paraId="5F2CA0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8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81" w14:textId="77777777" w:rsidR="00E836FB" w:rsidRDefault="00994958">
            <w:pPr>
              <w:jc w:val="right"/>
              <w:textAlignment w:val="bottom"/>
            </w:pPr>
            <w:r>
              <w:rPr>
                <w:rFonts w:ascii="Arial" w:eastAsia="宋体" w:hAnsi="Arial" w:cs="Arial"/>
                <w:color w:val="000000"/>
                <w:sz w:val="16"/>
                <w:szCs w:val="16"/>
              </w:rPr>
              <w:t>119 </w:t>
            </w:r>
          </w:p>
        </w:tc>
        <w:tc>
          <w:tcPr>
            <w:tcW w:w="0" w:type="auto"/>
            <w:shd w:val="clear" w:color="auto" w:fill="FFFFFF"/>
            <w:tcMar>
              <w:top w:w="40" w:type="dxa"/>
              <w:left w:w="0" w:type="dxa"/>
              <w:bottom w:w="40" w:type="dxa"/>
              <w:right w:w="20" w:type="dxa"/>
            </w:tcMar>
            <w:vAlign w:val="bottom"/>
          </w:tcPr>
          <w:p w14:paraId="5F2CA0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8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84" w14:textId="77777777" w:rsidR="00E836FB" w:rsidRDefault="00994958">
            <w:pPr>
              <w:jc w:val="right"/>
              <w:textAlignment w:val="bottom"/>
            </w:pPr>
            <w:r>
              <w:rPr>
                <w:rFonts w:ascii="Arial" w:eastAsia="宋体" w:hAnsi="Arial" w:cs="Arial"/>
                <w:color w:val="000000"/>
                <w:sz w:val="16"/>
                <w:szCs w:val="16"/>
              </w:rPr>
              <w:t>98 </w:t>
            </w:r>
          </w:p>
        </w:tc>
        <w:tc>
          <w:tcPr>
            <w:tcW w:w="0" w:type="auto"/>
            <w:shd w:val="clear" w:color="auto" w:fill="FFFFFF"/>
            <w:tcMar>
              <w:top w:w="40" w:type="dxa"/>
              <w:left w:w="0" w:type="dxa"/>
              <w:bottom w:w="40" w:type="dxa"/>
              <w:right w:w="20" w:type="dxa"/>
            </w:tcMar>
            <w:vAlign w:val="bottom"/>
          </w:tcPr>
          <w:p w14:paraId="5F2CA0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8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87" w14:textId="77777777" w:rsidR="00E836FB" w:rsidRDefault="00994958">
            <w:pPr>
              <w:jc w:val="right"/>
              <w:textAlignment w:val="bottom"/>
            </w:pPr>
            <w:r>
              <w:rPr>
                <w:rFonts w:ascii="Arial" w:eastAsia="宋体" w:hAnsi="Arial" w:cs="Arial"/>
                <w:color w:val="000000"/>
                <w:sz w:val="16"/>
                <w:szCs w:val="16"/>
              </w:rPr>
              <w:t>133 </w:t>
            </w:r>
          </w:p>
        </w:tc>
        <w:tc>
          <w:tcPr>
            <w:tcW w:w="0" w:type="auto"/>
            <w:shd w:val="clear" w:color="auto" w:fill="FFFFFF"/>
            <w:tcMar>
              <w:top w:w="40" w:type="dxa"/>
              <w:left w:w="0" w:type="dxa"/>
              <w:bottom w:w="40" w:type="dxa"/>
              <w:right w:w="20" w:type="dxa"/>
            </w:tcMar>
            <w:vAlign w:val="bottom"/>
          </w:tcPr>
          <w:p w14:paraId="5F2CA0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8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8A" w14:textId="77777777" w:rsidR="00E836FB" w:rsidRDefault="00994958">
            <w:pPr>
              <w:jc w:val="right"/>
              <w:textAlignment w:val="bottom"/>
            </w:pPr>
            <w:r>
              <w:rPr>
                <w:rFonts w:ascii="Arial" w:eastAsia="宋体" w:hAnsi="Arial" w:cs="Arial"/>
                <w:color w:val="000000"/>
                <w:sz w:val="16"/>
                <w:szCs w:val="16"/>
              </w:rPr>
              <w:t>119 </w:t>
            </w:r>
          </w:p>
        </w:tc>
        <w:tc>
          <w:tcPr>
            <w:tcW w:w="0" w:type="auto"/>
            <w:shd w:val="clear" w:color="auto" w:fill="FFFFFF"/>
            <w:tcMar>
              <w:top w:w="40" w:type="dxa"/>
              <w:left w:w="0" w:type="dxa"/>
              <w:bottom w:w="40" w:type="dxa"/>
              <w:right w:w="20" w:type="dxa"/>
            </w:tcMar>
            <w:vAlign w:val="bottom"/>
          </w:tcPr>
          <w:p w14:paraId="5F2CA0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8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8D" w14:textId="77777777" w:rsidR="00E836FB" w:rsidRDefault="00994958">
            <w:pPr>
              <w:jc w:val="right"/>
              <w:textAlignment w:val="bottom"/>
            </w:pPr>
            <w:r>
              <w:rPr>
                <w:rFonts w:ascii="Arial" w:eastAsia="宋体" w:hAnsi="Arial" w:cs="Arial"/>
                <w:b/>
                <w:bCs/>
                <w:color w:val="000000"/>
                <w:sz w:val="16"/>
                <w:szCs w:val="16"/>
              </w:rPr>
              <w:t>165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A08E" w14:textId="77777777" w:rsidR="00E836FB" w:rsidRDefault="00E836FB">
            <w:pPr>
              <w:jc w:val="right"/>
              <w:rPr>
                <w:rFonts w:ascii="宋体"/>
              </w:rPr>
            </w:pPr>
          </w:p>
        </w:tc>
      </w:tr>
      <w:tr w:rsidR="00E836FB" w14:paraId="5F2CA0A2" w14:textId="77777777">
        <w:tc>
          <w:tcPr>
            <w:tcW w:w="0" w:type="auto"/>
            <w:gridSpan w:val="3"/>
            <w:shd w:val="clear" w:color="auto" w:fill="CCEEFF"/>
            <w:tcMar>
              <w:top w:w="40" w:type="dxa"/>
              <w:left w:w="20" w:type="dxa"/>
              <w:bottom w:w="40" w:type="dxa"/>
              <w:right w:w="20" w:type="dxa"/>
            </w:tcMar>
          </w:tcPr>
          <w:p w14:paraId="5F2CA090" w14:textId="77777777" w:rsidR="00E836FB" w:rsidRDefault="00994958">
            <w:pPr>
              <w:textAlignment w:val="top"/>
            </w:pPr>
            <w:r>
              <w:rPr>
                <w:rFonts w:ascii="Arial" w:eastAsia="宋体" w:hAnsi="Arial" w:cs="Arial"/>
                <w:color w:val="000000"/>
                <w:sz w:val="16"/>
                <w:szCs w:val="16"/>
              </w:rPr>
              <w:t>Peer group</w:t>
            </w:r>
          </w:p>
        </w:tc>
        <w:tc>
          <w:tcPr>
            <w:tcW w:w="0" w:type="auto"/>
            <w:gridSpan w:val="2"/>
            <w:shd w:val="clear" w:color="auto" w:fill="CCEEFF"/>
            <w:tcMar>
              <w:top w:w="40" w:type="dxa"/>
              <w:left w:w="20" w:type="dxa"/>
              <w:bottom w:w="40" w:type="dxa"/>
              <w:right w:w="0" w:type="dxa"/>
            </w:tcMar>
            <w:vAlign w:val="bottom"/>
          </w:tcPr>
          <w:p w14:paraId="5F2CA091" w14:textId="77777777" w:rsidR="00E836FB" w:rsidRDefault="00994958">
            <w:pPr>
              <w:jc w:val="right"/>
              <w:textAlignment w:val="bottom"/>
            </w:pPr>
            <w:r>
              <w:rPr>
                <w:rFonts w:ascii="Arial" w:eastAsia="宋体" w:hAnsi="Arial" w:cs="Arial"/>
                <w:color w:val="000000"/>
                <w:sz w:val="16"/>
                <w:szCs w:val="16"/>
              </w:rPr>
              <w:t>100 </w:t>
            </w:r>
          </w:p>
        </w:tc>
        <w:tc>
          <w:tcPr>
            <w:tcW w:w="0" w:type="auto"/>
            <w:shd w:val="clear" w:color="auto" w:fill="CCEEFF"/>
            <w:tcMar>
              <w:top w:w="40" w:type="dxa"/>
              <w:left w:w="0" w:type="dxa"/>
              <w:bottom w:w="40" w:type="dxa"/>
              <w:right w:w="20" w:type="dxa"/>
            </w:tcMar>
            <w:vAlign w:val="bottom"/>
          </w:tcPr>
          <w:p w14:paraId="5F2CA0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9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94" w14:textId="77777777" w:rsidR="00E836FB" w:rsidRDefault="00994958">
            <w:pPr>
              <w:jc w:val="right"/>
              <w:textAlignment w:val="bottom"/>
            </w:pPr>
            <w:r>
              <w:rPr>
                <w:rFonts w:ascii="Arial" w:eastAsia="宋体" w:hAnsi="Arial" w:cs="Arial"/>
                <w:color w:val="000000"/>
                <w:sz w:val="16"/>
                <w:szCs w:val="16"/>
              </w:rPr>
              <w:t>115 </w:t>
            </w:r>
          </w:p>
        </w:tc>
        <w:tc>
          <w:tcPr>
            <w:tcW w:w="0" w:type="auto"/>
            <w:shd w:val="clear" w:color="auto" w:fill="CCEEFF"/>
            <w:tcMar>
              <w:top w:w="40" w:type="dxa"/>
              <w:left w:w="0" w:type="dxa"/>
              <w:bottom w:w="40" w:type="dxa"/>
              <w:right w:w="20" w:type="dxa"/>
            </w:tcMar>
            <w:vAlign w:val="bottom"/>
          </w:tcPr>
          <w:p w14:paraId="5F2CA0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9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97" w14:textId="77777777" w:rsidR="00E836FB" w:rsidRDefault="00994958">
            <w:pPr>
              <w:jc w:val="right"/>
              <w:textAlignment w:val="bottom"/>
            </w:pPr>
            <w:r>
              <w:rPr>
                <w:rFonts w:ascii="Arial" w:eastAsia="宋体" w:hAnsi="Arial" w:cs="Arial"/>
                <w:color w:val="000000"/>
                <w:sz w:val="16"/>
                <w:szCs w:val="16"/>
              </w:rPr>
              <w:t>101 </w:t>
            </w:r>
          </w:p>
        </w:tc>
        <w:tc>
          <w:tcPr>
            <w:tcW w:w="0" w:type="auto"/>
            <w:shd w:val="clear" w:color="auto" w:fill="CCEEFF"/>
            <w:tcMar>
              <w:top w:w="40" w:type="dxa"/>
              <w:left w:w="0" w:type="dxa"/>
              <w:bottom w:w="40" w:type="dxa"/>
              <w:right w:w="20" w:type="dxa"/>
            </w:tcMar>
            <w:vAlign w:val="bottom"/>
          </w:tcPr>
          <w:p w14:paraId="5F2CA0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9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9A" w14:textId="77777777" w:rsidR="00E836FB" w:rsidRDefault="00994958">
            <w:pPr>
              <w:jc w:val="right"/>
              <w:textAlignment w:val="bottom"/>
            </w:pPr>
            <w:r>
              <w:rPr>
                <w:rFonts w:ascii="Arial" w:eastAsia="宋体" w:hAnsi="Arial" w:cs="Arial"/>
                <w:color w:val="000000"/>
                <w:sz w:val="16"/>
                <w:szCs w:val="16"/>
              </w:rPr>
              <w:t>117 </w:t>
            </w:r>
          </w:p>
        </w:tc>
        <w:tc>
          <w:tcPr>
            <w:tcW w:w="0" w:type="auto"/>
            <w:shd w:val="clear" w:color="auto" w:fill="CCEEFF"/>
            <w:tcMar>
              <w:top w:w="40" w:type="dxa"/>
              <w:left w:w="0" w:type="dxa"/>
              <w:bottom w:w="40" w:type="dxa"/>
              <w:right w:w="20" w:type="dxa"/>
            </w:tcMar>
            <w:vAlign w:val="bottom"/>
          </w:tcPr>
          <w:p w14:paraId="5F2CA0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9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9D" w14:textId="77777777" w:rsidR="00E836FB" w:rsidRDefault="00994958">
            <w:pPr>
              <w:jc w:val="right"/>
              <w:textAlignment w:val="bottom"/>
            </w:pPr>
            <w:r>
              <w:rPr>
                <w:rFonts w:ascii="Arial" w:eastAsia="宋体" w:hAnsi="Arial" w:cs="Arial"/>
                <w:color w:val="000000"/>
                <w:sz w:val="16"/>
                <w:szCs w:val="16"/>
              </w:rPr>
              <w:t>104 </w:t>
            </w:r>
          </w:p>
        </w:tc>
        <w:tc>
          <w:tcPr>
            <w:tcW w:w="0" w:type="auto"/>
            <w:shd w:val="clear" w:color="auto" w:fill="CCEEFF"/>
            <w:tcMar>
              <w:top w:w="40" w:type="dxa"/>
              <w:left w:w="0" w:type="dxa"/>
              <w:bottom w:w="40" w:type="dxa"/>
              <w:right w:w="20" w:type="dxa"/>
            </w:tcMar>
            <w:vAlign w:val="bottom"/>
          </w:tcPr>
          <w:p w14:paraId="5F2CA0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9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A0" w14:textId="77777777" w:rsidR="00E836FB" w:rsidRDefault="00994958">
            <w:pPr>
              <w:jc w:val="right"/>
              <w:textAlignment w:val="bottom"/>
            </w:pPr>
            <w:r>
              <w:rPr>
                <w:rFonts w:ascii="Arial" w:eastAsia="宋体" w:hAnsi="Arial" w:cs="Arial"/>
                <w:b/>
                <w:bCs/>
                <w:color w:val="000000"/>
                <w:sz w:val="16"/>
                <w:szCs w:val="16"/>
              </w:rPr>
              <w:t>142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A0A1" w14:textId="77777777" w:rsidR="00E836FB" w:rsidRDefault="00E836FB">
            <w:pPr>
              <w:jc w:val="right"/>
              <w:rPr>
                <w:rFonts w:ascii="宋体"/>
              </w:rPr>
            </w:pPr>
          </w:p>
        </w:tc>
      </w:tr>
    </w:tbl>
    <w:p w14:paraId="5F2CA0A3" w14:textId="77777777" w:rsidR="00E836FB" w:rsidRDefault="00994958">
      <w:pPr>
        <w:spacing w:before="60"/>
        <w:ind w:firstLine="450"/>
        <w:jc w:val="both"/>
      </w:pPr>
      <w:r>
        <w:rPr>
          <w:rFonts w:ascii="Arial" w:eastAsia="宋体" w:hAnsi="Arial" w:cs="Arial"/>
          <w:color w:val="000000"/>
          <w:sz w:val="20"/>
          <w:szCs w:val="20"/>
        </w:rPr>
        <w:t>The table presented below compares the cumulative total shareholder return on our common stock to the cumulative to</w:t>
      </w:r>
      <w:r>
        <w:rPr>
          <w:rFonts w:ascii="Arial" w:eastAsia="宋体" w:hAnsi="Arial" w:cs="Arial"/>
          <w:color w:val="000000"/>
          <w:sz w:val="20"/>
          <w:szCs w:val="20"/>
        </w:rPr>
        <w:t>tal return of the S&amp;P 500 Index, the S&amp;P Financial Index, the KBW Bank Index and a Peer Group over a one-year, three-year and five-year period.</w:t>
      </w:r>
    </w:p>
    <w:tbl>
      <w:tblPr>
        <w:tblW w:w="3545" w:type="pct"/>
        <w:tblCellMar>
          <w:top w:w="15" w:type="dxa"/>
          <w:left w:w="15" w:type="dxa"/>
          <w:bottom w:w="15" w:type="dxa"/>
          <w:right w:w="15" w:type="dxa"/>
        </w:tblCellMar>
        <w:tblLook w:val="04A0" w:firstRow="1" w:lastRow="0" w:firstColumn="1" w:lastColumn="0" w:noHBand="0" w:noVBand="1"/>
      </w:tblPr>
      <w:tblGrid>
        <w:gridCol w:w="37"/>
        <w:gridCol w:w="1770"/>
        <w:gridCol w:w="36"/>
        <w:gridCol w:w="37"/>
        <w:gridCol w:w="1105"/>
        <w:gridCol w:w="163"/>
        <w:gridCol w:w="36"/>
        <w:gridCol w:w="36"/>
        <w:gridCol w:w="36"/>
        <w:gridCol w:w="37"/>
        <w:gridCol w:w="1055"/>
        <w:gridCol w:w="163"/>
        <w:gridCol w:w="36"/>
        <w:gridCol w:w="36"/>
        <w:gridCol w:w="36"/>
        <w:gridCol w:w="37"/>
        <w:gridCol w:w="1055"/>
        <w:gridCol w:w="163"/>
        <w:gridCol w:w="36"/>
      </w:tblGrid>
      <w:tr w:rsidR="00E836FB" w14:paraId="5F2CA0B7" w14:textId="77777777">
        <w:tc>
          <w:tcPr>
            <w:tcW w:w="50" w:type="pct"/>
            <w:shd w:val="clear" w:color="auto" w:fill="auto"/>
            <w:vAlign w:val="bottom"/>
          </w:tcPr>
          <w:p w14:paraId="5F2CA0A4" w14:textId="77777777" w:rsidR="00E836FB" w:rsidRDefault="00E836FB">
            <w:pPr>
              <w:rPr>
                <w:rFonts w:ascii="宋体"/>
              </w:rPr>
            </w:pPr>
          </w:p>
        </w:tc>
        <w:tc>
          <w:tcPr>
            <w:tcW w:w="1594" w:type="pct"/>
            <w:shd w:val="clear" w:color="auto" w:fill="auto"/>
            <w:vAlign w:val="bottom"/>
          </w:tcPr>
          <w:p w14:paraId="5F2CA0A5" w14:textId="77777777" w:rsidR="00E836FB" w:rsidRDefault="00E836FB">
            <w:pPr>
              <w:rPr>
                <w:rFonts w:ascii="宋体"/>
              </w:rPr>
            </w:pPr>
          </w:p>
        </w:tc>
        <w:tc>
          <w:tcPr>
            <w:tcW w:w="5" w:type="pct"/>
            <w:shd w:val="clear" w:color="auto" w:fill="auto"/>
            <w:vAlign w:val="bottom"/>
          </w:tcPr>
          <w:p w14:paraId="5F2CA0A6" w14:textId="77777777" w:rsidR="00E836FB" w:rsidRDefault="00E836FB">
            <w:pPr>
              <w:rPr>
                <w:rFonts w:ascii="宋体"/>
              </w:rPr>
            </w:pPr>
          </w:p>
        </w:tc>
        <w:tc>
          <w:tcPr>
            <w:tcW w:w="50" w:type="pct"/>
            <w:shd w:val="clear" w:color="auto" w:fill="auto"/>
            <w:vAlign w:val="bottom"/>
          </w:tcPr>
          <w:p w14:paraId="5F2CA0A7" w14:textId="77777777" w:rsidR="00E836FB" w:rsidRDefault="00E836FB">
            <w:pPr>
              <w:rPr>
                <w:rFonts w:ascii="宋体"/>
              </w:rPr>
            </w:pPr>
          </w:p>
        </w:tc>
        <w:tc>
          <w:tcPr>
            <w:tcW w:w="1027" w:type="pct"/>
            <w:shd w:val="clear" w:color="auto" w:fill="auto"/>
            <w:vAlign w:val="bottom"/>
          </w:tcPr>
          <w:p w14:paraId="5F2CA0A8" w14:textId="77777777" w:rsidR="00E836FB" w:rsidRDefault="00E836FB">
            <w:pPr>
              <w:rPr>
                <w:rFonts w:ascii="宋体"/>
              </w:rPr>
            </w:pPr>
          </w:p>
        </w:tc>
        <w:tc>
          <w:tcPr>
            <w:tcW w:w="5" w:type="pct"/>
            <w:shd w:val="clear" w:color="auto" w:fill="auto"/>
            <w:vAlign w:val="bottom"/>
          </w:tcPr>
          <w:p w14:paraId="5F2CA0A9" w14:textId="77777777" w:rsidR="00E836FB" w:rsidRDefault="00E836FB">
            <w:pPr>
              <w:rPr>
                <w:rFonts w:ascii="宋体"/>
              </w:rPr>
            </w:pPr>
          </w:p>
        </w:tc>
        <w:tc>
          <w:tcPr>
            <w:tcW w:w="5" w:type="pct"/>
            <w:shd w:val="clear" w:color="auto" w:fill="auto"/>
            <w:vAlign w:val="bottom"/>
          </w:tcPr>
          <w:p w14:paraId="5F2CA0AA" w14:textId="77777777" w:rsidR="00E836FB" w:rsidRDefault="00E836FB">
            <w:pPr>
              <w:rPr>
                <w:rFonts w:ascii="宋体"/>
              </w:rPr>
            </w:pPr>
          </w:p>
        </w:tc>
        <w:tc>
          <w:tcPr>
            <w:tcW w:w="41" w:type="pct"/>
            <w:shd w:val="clear" w:color="auto" w:fill="auto"/>
            <w:vAlign w:val="bottom"/>
          </w:tcPr>
          <w:p w14:paraId="5F2CA0AB" w14:textId="77777777" w:rsidR="00E836FB" w:rsidRDefault="00E836FB">
            <w:pPr>
              <w:rPr>
                <w:rFonts w:ascii="宋体"/>
              </w:rPr>
            </w:pPr>
          </w:p>
        </w:tc>
        <w:tc>
          <w:tcPr>
            <w:tcW w:w="5" w:type="pct"/>
            <w:shd w:val="clear" w:color="auto" w:fill="auto"/>
            <w:vAlign w:val="bottom"/>
          </w:tcPr>
          <w:p w14:paraId="5F2CA0AC" w14:textId="77777777" w:rsidR="00E836FB" w:rsidRDefault="00E836FB">
            <w:pPr>
              <w:rPr>
                <w:rFonts w:ascii="宋体"/>
              </w:rPr>
            </w:pPr>
          </w:p>
        </w:tc>
        <w:tc>
          <w:tcPr>
            <w:tcW w:w="50" w:type="pct"/>
            <w:shd w:val="clear" w:color="auto" w:fill="auto"/>
            <w:vAlign w:val="bottom"/>
          </w:tcPr>
          <w:p w14:paraId="5F2CA0AD" w14:textId="77777777" w:rsidR="00E836FB" w:rsidRDefault="00E836FB">
            <w:pPr>
              <w:rPr>
                <w:rFonts w:ascii="宋体"/>
              </w:rPr>
            </w:pPr>
          </w:p>
        </w:tc>
        <w:tc>
          <w:tcPr>
            <w:tcW w:w="1027" w:type="pct"/>
            <w:shd w:val="clear" w:color="auto" w:fill="auto"/>
            <w:vAlign w:val="bottom"/>
          </w:tcPr>
          <w:p w14:paraId="5F2CA0AE" w14:textId="77777777" w:rsidR="00E836FB" w:rsidRDefault="00E836FB">
            <w:pPr>
              <w:rPr>
                <w:rFonts w:ascii="宋体"/>
              </w:rPr>
            </w:pPr>
          </w:p>
        </w:tc>
        <w:tc>
          <w:tcPr>
            <w:tcW w:w="5" w:type="pct"/>
            <w:shd w:val="clear" w:color="auto" w:fill="auto"/>
            <w:vAlign w:val="bottom"/>
          </w:tcPr>
          <w:p w14:paraId="5F2CA0AF" w14:textId="77777777" w:rsidR="00E836FB" w:rsidRDefault="00E836FB">
            <w:pPr>
              <w:rPr>
                <w:rFonts w:ascii="宋体"/>
              </w:rPr>
            </w:pPr>
          </w:p>
        </w:tc>
        <w:tc>
          <w:tcPr>
            <w:tcW w:w="5" w:type="pct"/>
            <w:shd w:val="clear" w:color="auto" w:fill="auto"/>
            <w:vAlign w:val="bottom"/>
          </w:tcPr>
          <w:p w14:paraId="5F2CA0B0" w14:textId="77777777" w:rsidR="00E836FB" w:rsidRDefault="00E836FB">
            <w:pPr>
              <w:rPr>
                <w:rFonts w:ascii="宋体"/>
              </w:rPr>
            </w:pPr>
          </w:p>
        </w:tc>
        <w:tc>
          <w:tcPr>
            <w:tcW w:w="41" w:type="pct"/>
            <w:shd w:val="clear" w:color="auto" w:fill="auto"/>
            <w:vAlign w:val="bottom"/>
          </w:tcPr>
          <w:p w14:paraId="5F2CA0B1" w14:textId="77777777" w:rsidR="00E836FB" w:rsidRDefault="00E836FB">
            <w:pPr>
              <w:rPr>
                <w:rFonts w:ascii="宋体"/>
              </w:rPr>
            </w:pPr>
          </w:p>
        </w:tc>
        <w:tc>
          <w:tcPr>
            <w:tcW w:w="5" w:type="pct"/>
            <w:shd w:val="clear" w:color="auto" w:fill="auto"/>
            <w:vAlign w:val="bottom"/>
          </w:tcPr>
          <w:p w14:paraId="5F2CA0B2" w14:textId="77777777" w:rsidR="00E836FB" w:rsidRDefault="00E836FB">
            <w:pPr>
              <w:rPr>
                <w:rFonts w:ascii="宋体"/>
              </w:rPr>
            </w:pPr>
          </w:p>
        </w:tc>
        <w:tc>
          <w:tcPr>
            <w:tcW w:w="50" w:type="pct"/>
            <w:shd w:val="clear" w:color="auto" w:fill="auto"/>
            <w:vAlign w:val="bottom"/>
          </w:tcPr>
          <w:p w14:paraId="5F2CA0B3" w14:textId="77777777" w:rsidR="00E836FB" w:rsidRDefault="00E836FB">
            <w:pPr>
              <w:rPr>
                <w:rFonts w:ascii="宋体"/>
              </w:rPr>
            </w:pPr>
          </w:p>
        </w:tc>
        <w:tc>
          <w:tcPr>
            <w:tcW w:w="1027" w:type="pct"/>
            <w:shd w:val="clear" w:color="auto" w:fill="auto"/>
            <w:vAlign w:val="bottom"/>
          </w:tcPr>
          <w:p w14:paraId="5F2CA0B4" w14:textId="77777777" w:rsidR="00E836FB" w:rsidRDefault="00E836FB">
            <w:pPr>
              <w:rPr>
                <w:rFonts w:ascii="宋体"/>
              </w:rPr>
            </w:pPr>
          </w:p>
        </w:tc>
        <w:tc>
          <w:tcPr>
            <w:tcW w:w="5" w:type="pct"/>
            <w:shd w:val="clear" w:color="auto" w:fill="auto"/>
            <w:vAlign w:val="bottom"/>
          </w:tcPr>
          <w:p w14:paraId="5F2CA0B5" w14:textId="77777777" w:rsidR="00E836FB" w:rsidRDefault="00E836FB">
            <w:pPr>
              <w:rPr>
                <w:rFonts w:ascii="宋体"/>
              </w:rPr>
            </w:pPr>
          </w:p>
        </w:tc>
        <w:tc>
          <w:tcPr>
            <w:tcW w:w="0" w:type="auto"/>
            <w:shd w:val="clear" w:color="auto" w:fill="auto"/>
            <w:vAlign w:val="bottom"/>
          </w:tcPr>
          <w:p w14:paraId="5F2CA0B6" w14:textId="77777777" w:rsidR="00E836FB" w:rsidRDefault="00E836FB">
            <w:pPr>
              <w:rPr>
                <w:rFonts w:ascii="宋体"/>
                <w:vanish/>
              </w:rPr>
            </w:pPr>
          </w:p>
        </w:tc>
      </w:tr>
      <w:tr w:rsidR="00E836FB" w14:paraId="5F2CA0BF" w14:textId="77777777">
        <w:tc>
          <w:tcPr>
            <w:tcW w:w="0" w:type="auto"/>
            <w:gridSpan w:val="3"/>
            <w:shd w:val="clear" w:color="auto" w:fill="auto"/>
            <w:tcMar>
              <w:top w:w="0" w:type="dxa"/>
              <w:left w:w="20" w:type="dxa"/>
              <w:bottom w:w="0" w:type="dxa"/>
              <w:right w:w="20" w:type="dxa"/>
            </w:tcMar>
            <w:vAlign w:val="bottom"/>
          </w:tcPr>
          <w:p w14:paraId="5F2CA0B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B9" w14:textId="77777777" w:rsidR="00E836FB" w:rsidRDefault="00994958">
            <w:pPr>
              <w:jc w:val="center"/>
              <w:textAlignment w:val="bottom"/>
            </w:pPr>
            <w:r>
              <w:rPr>
                <w:rFonts w:ascii="Arial" w:eastAsia="宋体" w:hAnsi="Arial" w:cs="Arial"/>
                <w:b/>
                <w:bCs/>
                <w:color w:val="000000"/>
                <w:sz w:val="16"/>
                <w:szCs w:val="16"/>
              </w:rPr>
              <w:t>1 year</w:t>
            </w:r>
          </w:p>
        </w:tc>
        <w:tc>
          <w:tcPr>
            <w:tcW w:w="0" w:type="auto"/>
            <w:gridSpan w:val="3"/>
            <w:shd w:val="clear" w:color="auto" w:fill="auto"/>
            <w:tcMar>
              <w:top w:w="0" w:type="dxa"/>
              <w:left w:w="20" w:type="dxa"/>
              <w:bottom w:w="0" w:type="dxa"/>
              <w:right w:w="20" w:type="dxa"/>
            </w:tcMar>
            <w:vAlign w:val="bottom"/>
          </w:tcPr>
          <w:p w14:paraId="5F2CA0B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BB" w14:textId="77777777" w:rsidR="00E836FB" w:rsidRDefault="00994958">
            <w:pPr>
              <w:jc w:val="center"/>
              <w:textAlignment w:val="bottom"/>
            </w:pPr>
            <w:r>
              <w:rPr>
                <w:rFonts w:ascii="Arial" w:eastAsia="宋体" w:hAnsi="Arial" w:cs="Arial"/>
                <w:b/>
                <w:bCs/>
                <w:color w:val="000000"/>
                <w:sz w:val="16"/>
                <w:szCs w:val="16"/>
              </w:rPr>
              <w:t>3 years</w:t>
            </w:r>
          </w:p>
        </w:tc>
        <w:tc>
          <w:tcPr>
            <w:tcW w:w="0" w:type="auto"/>
            <w:gridSpan w:val="3"/>
            <w:shd w:val="clear" w:color="auto" w:fill="auto"/>
            <w:tcMar>
              <w:top w:w="0" w:type="dxa"/>
              <w:left w:w="20" w:type="dxa"/>
              <w:bottom w:w="0" w:type="dxa"/>
              <w:right w:w="20" w:type="dxa"/>
            </w:tcMar>
            <w:vAlign w:val="bottom"/>
          </w:tcPr>
          <w:p w14:paraId="5F2CA0B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0BD" w14:textId="77777777" w:rsidR="00E836FB" w:rsidRDefault="00994958">
            <w:pPr>
              <w:jc w:val="center"/>
              <w:textAlignment w:val="bottom"/>
            </w:pPr>
            <w:r>
              <w:rPr>
                <w:rFonts w:ascii="Arial" w:eastAsia="宋体" w:hAnsi="Arial" w:cs="Arial"/>
                <w:b/>
                <w:bCs/>
                <w:color w:val="000000"/>
                <w:sz w:val="16"/>
                <w:szCs w:val="16"/>
              </w:rPr>
              <w:t>5 years</w:t>
            </w:r>
          </w:p>
        </w:tc>
        <w:tc>
          <w:tcPr>
            <w:tcW w:w="0" w:type="auto"/>
            <w:shd w:val="clear" w:color="auto" w:fill="auto"/>
            <w:vAlign w:val="bottom"/>
          </w:tcPr>
          <w:p w14:paraId="5F2CA0BE" w14:textId="77777777" w:rsidR="00E836FB" w:rsidRDefault="00E836FB">
            <w:pPr>
              <w:rPr>
                <w:rFonts w:ascii="宋体"/>
                <w:vanish/>
              </w:rPr>
            </w:pPr>
          </w:p>
        </w:tc>
      </w:tr>
      <w:tr w:rsidR="00E836FB" w14:paraId="5F2CA0CA" w14:textId="77777777">
        <w:tc>
          <w:tcPr>
            <w:tcW w:w="0" w:type="auto"/>
            <w:gridSpan w:val="3"/>
            <w:shd w:val="clear" w:color="auto" w:fill="CCEEFF"/>
            <w:tcMar>
              <w:top w:w="40" w:type="dxa"/>
              <w:left w:w="20" w:type="dxa"/>
              <w:bottom w:w="40" w:type="dxa"/>
              <w:right w:w="20" w:type="dxa"/>
            </w:tcMar>
          </w:tcPr>
          <w:p w14:paraId="5F2CA0C0" w14:textId="77777777" w:rsidR="00E836FB" w:rsidRDefault="00994958">
            <w:pPr>
              <w:textAlignment w:val="top"/>
            </w:pPr>
            <w:r>
              <w:rPr>
                <w:rFonts w:ascii="Arial" w:eastAsia="宋体" w:hAnsi="Arial" w:cs="Arial"/>
                <w:color w:val="000000"/>
                <w:sz w:val="16"/>
                <w:szCs w:val="16"/>
              </w:rPr>
              <w:t>State Street Corporation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0C1" w14:textId="77777777" w:rsidR="00E836FB" w:rsidRDefault="00994958">
            <w:pPr>
              <w:jc w:val="right"/>
              <w:textAlignment w:val="bottom"/>
            </w:pPr>
            <w:r>
              <w:rPr>
                <w:rFonts w:ascii="Arial" w:eastAsia="宋体" w:hAnsi="Arial" w:cs="Arial"/>
                <w:color w:val="000000"/>
                <w:sz w:val="16"/>
                <w:szCs w:val="16"/>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C2"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CCEEFF"/>
            <w:tcMar>
              <w:top w:w="0" w:type="dxa"/>
              <w:left w:w="20" w:type="dxa"/>
              <w:bottom w:w="0" w:type="dxa"/>
              <w:right w:w="20" w:type="dxa"/>
            </w:tcMar>
            <w:vAlign w:val="bottom"/>
          </w:tcPr>
          <w:p w14:paraId="5F2CA0C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0C4" w14:textId="77777777" w:rsidR="00E836FB" w:rsidRDefault="00994958">
            <w:pPr>
              <w:jc w:val="right"/>
              <w:textAlignment w:val="bottom"/>
            </w:pPr>
            <w:r>
              <w:rPr>
                <w:rFonts w:ascii="Arial" w:eastAsia="宋体" w:hAnsi="Arial" w:cs="Arial"/>
                <w:color w:val="000000"/>
                <w:sz w:val="16"/>
                <w:szCs w:val="16"/>
              </w:rPr>
              <w:t>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C5"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CCEEFF"/>
            <w:tcMar>
              <w:top w:w="0" w:type="dxa"/>
              <w:left w:w="20" w:type="dxa"/>
              <w:bottom w:w="0" w:type="dxa"/>
              <w:right w:w="20" w:type="dxa"/>
            </w:tcMar>
            <w:vAlign w:val="bottom"/>
          </w:tcPr>
          <w:p w14:paraId="5F2CA0C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0C7" w14:textId="77777777" w:rsidR="00E836FB" w:rsidRDefault="00994958">
            <w:pPr>
              <w:jc w:val="right"/>
              <w:textAlignment w:val="bottom"/>
            </w:pPr>
            <w:r>
              <w:rPr>
                <w:rFonts w:ascii="Arial" w:eastAsia="宋体" w:hAnsi="Arial" w:cs="Arial"/>
                <w:color w:val="000000"/>
                <w:sz w:val="16"/>
                <w:szCs w:val="16"/>
              </w:rPr>
              <w:t>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0C8" w14:textId="77777777" w:rsidR="00E836FB" w:rsidRDefault="00994958">
            <w:pPr>
              <w:jc w:val="right"/>
              <w:textAlignment w:val="bottom"/>
            </w:pPr>
            <w:r>
              <w:rPr>
                <w:rFonts w:ascii="Arial" w:eastAsia="宋体" w:hAnsi="Arial" w:cs="Arial"/>
                <w:color w:val="000000"/>
                <w:sz w:val="16"/>
                <w:szCs w:val="16"/>
              </w:rPr>
              <w:t>%</w:t>
            </w:r>
          </w:p>
        </w:tc>
        <w:tc>
          <w:tcPr>
            <w:tcW w:w="0" w:type="auto"/>
            <w:shd w:val="clear" w:color="auto" w:fill="auto"/>
            <w:vAlign w:val="bottom"/>
          </w:tcPr>
          <w:p w14:paraId="5F2CA0C9" w14:textId="77777777" w:rsidR="00E836FB" w:rsidRDefault="00E836FB">
            <w:pPr>
              <w:rPr>
                <w:rFonts w:ascii="宋体"/>
                <w:vanish/>
              </w:rPr>
            </w:pPr>
          </w:p>
        </w:tc>
      </w:tr>
      <w:tr w:rsidR="00E836FB" w14:paraId="5F2CA0D5" w14:textId="77777777">
        <w:tc>
          <w:tcPr>
            <w:tcW w:w="0" w:type="auto"/>
            <w:gridSpan w:val="3"/>
            <w:shd w:val="clear" w:color="auto" w:fill="FFFFFF"/>
            <w:tcMar>
              <w:top w:w="40" w:type="dxa"/>
              <w:left w:w="20" w:type="dxa"/>
              <w:bottom w:w="40" w:type="dxa"/>
              <w:right w:w="20" w:type="dxa"/>
            </w:tcMar>
          </w:tcPr>
          <w:p w14:paraId="5F2CA0CB" w14:textId="77777777" w:rsidR="00E836FB" w:rsidRDefault="00994958">
            <w:pPr>
              <w:textAlignment w:val="top"/>
            </w:pPr>
            <w:r>
              <w:rPr>
                <w:rFonts w:ascii="Arial" w:eastAsia="宋体" w:hAnsi="Arial" w:cs="Arial"/>
                <w:color w:val="000000"/>
                <w:sz w:val="16"/>
                <w:szCs w:val="16"/>
              </w:rPr>
              <w:t>S&amp;P 500 In</w:t>
            </w:r>
            <w:r>
              <w:rPr>
                <w:rFonts w:ascii="Arial" w:eastAsia="宋体" w:hAnsi="Arial" w:cs="Arial"/>
                <w:color w:val="000000"/>
                <w:sz w:val="16"/>
                <w:szCs w:val="16"/>
              </w:rPr>
              <w:t>dex</w:t>
            </w:r>
          </w:p>
        </w:tc>
        <w:tc>
          <w:tcPr>
            <w:tcW w:w="0" w:type="auto"/>
            <w:gridSpan w:val="2"/>
            <w:shd w:val="clear" w:color="auto" w:fill="FFFFFF"/>
            <w:tcMar>
              <w:top w:w="40" w:type="dxa"/>
              <w:left w:w="20" w:type="dxa"/>
              <w:bottom w:w="40" w:type="dxa"/>
              <w:right w:w="0" w:type="dxa"/>
            </w:tcMar>
            <w:vAlign w:val="bottom"/>
          </w:tcPr>
          <w:p w14:paraId="5F2CA0CC" w14:textId="77777777" w:rsidR="00E836FB" w:rsidRDefault="00994958">
            <w:pPr>
              <w:jc w:val="right"/>
              <w:textAlignment w:val="bottom"/>
            </w:pPr>
            <w:r>
              <w:rPr>
                <w:rFonts w:ascii="Arial" w:eastAsia="宋体" w:hAnsi="Arial" w:cs="Arial"/>
                <w:color w:val="000000"/>
                <w:sz w:val="16"/>
                <w:szCs w:val="16"/>
              </w:rPr>
              <w:t>29 </w:t>
            </w:r>
          </w:p>
        </w:tc>
        <w:tc>
          <w:tcPr>
            <w:tcW w:w="0" w:type="auto"/>
            <w:shd w:val="clear" w:color="auto" w:fill="FFFFFF"/>
            <w:tcMar>
              <w:top w:w="40" w:type="dxa"/>
              <w:left w:w="0" w:type="dxa"/>
              <w:bottom w:w="40" w:type="dxa"/>
              <w:right w:w="20" w:type="dxa"/>
            </w:tcMar>
            <w:vAlign w:val="bottom"/>
          </w:tcPr>
          <w:p w14:paraId="5F2CA0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CF" w14:textId="77777777" w:rsidR="00E836FB" w:rsidRDefault="00994958">
            <w:pPr>
              <w:jc w:val="right"/>
              <w:textAlignment w:val="bottom"/>
            </w:pPr>
            <w:r>
              <w:rPr>
                <w:rFonts w:ascii="Arial" w:eastAsia="宋体" w:hAnsi="Arial" w:cs="Arial"/>
                <w:color w:val="000000"/>
                <w:sz w:val="16"/>
                <w:szCs w:val="16"/>
              </w:rPr>
              <w:t>100 </w:t>
            </w:r>
          </w:p>
        </w:tc>
        <w:tc>
          <w:tcPr>
            <w:tcW w:w="0" w:type="auto"/>
            <w:shd w:val="clear" w:color="auto" w:fill="FFFFFF"/>
            <w:tcMar>
              <w:top w:w="40" w:type="dxa"/>
              <w:left w:w="0" w:type="dxa"/>
              <w:bottom w:w="40" w:type="dxa"/>
              <w:right w:w="20" w:type="dxa"/>
            </w:tcMar>
            <w:vAlign w:val="bottom"/>
          </w:tcPr>
          <w:p w14:paraId="5F2CA0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D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D2" w14:textId="77777777" w:rsidR="00E836FB" w:rsidRDefault="00994958">
            <w:pPr>
              <w:jc w:val="right"/>
              <w:textAlignment w:val="bottom"/>
            </w:pPr>
            <w:r>
              <w:rPr>
                <w:rFonts w:ascii="Arial" w:eastAsia="宋体" w:hAnsi="Arial" w:cs="Arial"/>
                <w:color w:val="000000"/>
                <w:sz w:val="16"/>
                <w:szCs w:val="16"/>
              </w:rPr>
              <w:t>133 </w:t>
            </w:r>
          </w:p>
        </w:tc>
        <w:tc>
          <w:tcPr>
            <w:tcW w:w="0" w:type="auto"/>
            <w:shd w:val="clear" w:color="auto" w:fill="FFFFFF"/>
            <w:tcMar>
              <w:top w:w="40" w:type="dxa"/>
              <w:left w:w="0" w:type="dxa"/>
              <w:bottom w:w="40" w:type="dxa"/>
              <w:right w:w="20" w:type="dxa"/>
            </w:tcMar>
            <w:vAlign w:val="bottom"/>
          </w:tcPr>
          <w:p w14:paraId="5F2CA0D3" w14:textId="77777777" w:rsidR="00E836FB" w:rsidRDefault="00E836FB">
            <w:pPr>
              <w:jc w:val="right"/>
              <w:rPr>
                <w:rFonts w:ascii="宋体"/>
              </w:rPr>
            </w:pPr>
          </w:p>
        </w:tc>
        <w:tc>
          <w:tcPr>
            <w:tcW w:w="0" w:type="auto"/>
            <w:shd w:val="clear" w:color="auto" w:fill="auto"/>
            <w:vAlign w:val="bottom"/>
          </w:tcPr>
          <w:p w14:paraId="5F2CA0D4" w14:textId="77777777" w:rsidR="00E836FB" w:rsidRDefault="00E836FB">
            <w:pPr>
              <w:rPr>
                <w:rFonts w:ascii="宋体"/>
                <w:vanish/>
              </w:rPr>
            </w:pPr>
          </w:p>
        </w:tc>
      </w:tr>
      <w:tr w:rsidR="00E836FB" w14:paraId="5F2CA0E0" w14:textId="77777777">
        <w:tc>
          <w:tcPr>
            <w:tcW w:w="0" w:type="auto"/>
            <w:gridSpan w:val="3"/>
            <w:shd w:val="clear" w:color="auto" w:fill="CCEEFF"/>
            <w:tcMar>
              <w:top w:w="40" w:type="dxa"/>
              <w:left w:w="20" w:type="dxa"/>
              <w:bottom w:w="40" w:type="dxa"/>
              <w:right w:w="20" w:type="dxa"/>
            </w:tcMar>
          </w:tcPr>
          <w:p w14:paraId="5F2CA0D6" w14:textId="77777777" w:rsidR="00E836FB" w:rsidRDefault="00994958">
            <w:pPr>
              <w:textAlignment w:val="top"/>
            </w:pPr>
            <w:r>
              <w:rPr>
                <w:rFonts w:ascii="Arial" w:eastAsia="宋体" w:hAnsi="Arial" w:cs="Arial"/>
                <w:color w:val="000000"/>
                <w:sz w:val="16"/>
                <w:szCs w:val="16"/>
              </w:rPr>
              <w:t>S&amp;P Financial Index</w:t>
            </w:r>
          </w:p>
        </w:tc>
        <w:tc>
          <w:tcPr>
            <w:tcW w:w="0" w:type="auto"/>
            <w:gridSpan w:val="2"/>
            <w:shd w:val="clear" w:color="auto" w:fill="CCEEFF"/>
            <w:tcMar>
              <w:top w:w="40" w:type="dxa"/>
              <w:left w:w="20" w:type="dxa"/>
              <w:bottom w:w="40" w:type="dxa"/>
              <w:right w:w="0" w:type="dxa"/>
            </w:tcMar>
            <w:vAlign w:val="bottom"/>
          </w:tcPr>
          <w:p w14:paraId="5F2CA0D7" w14:textId="77777777" w:rsidR="00E836FB" w:rsidRDefault="00994958">
            <w:pPr>
              <w:jc w:val="right"/>
              <w:textAlignment w:val="bottom"/>
            </w:pPr>
            <w:r>
              <w:rPr>
                <w:rFonts w:ascii="Arial" w:eastAsia="宋体" w:hAnsi="Arial" w:cs="Arial"/>
                <w:color w:val="000000"/>
                <w:sz w:val="16"/>
                <w:szCs w:val="16"/>
              </w:rPr>
              <w:t>35 </w:t>
            </w:r>
          </w:p>
        </w:tc>
        <w:tc>
          <w:tcPr>
            <w:tcW w:w="0" w:type="auto"/>
            <w:shd w:val="clear" w:color="auto" w:fill="CCEEFF"/>
            <w:tcMar>
              <w:top w:w="40" w:type="dxa"/>
              <w:left w:w="0" w:type="dxa"/>
              <w:bottom w:w="40" w:type="dxa"/>
              <w:right w:w="20" w:type="dxa"/>
            </w:tcMar>
            <w:vAlign w:val="bottom"/>
          </w:tcPr>
          <w:p w14:paraId="5F2CA0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DA" w14:textId="77777777" w:rsidR="00E836FB" w:rsidRDefault="00994958">
            <w:pPr>
              <w:jc w:val="right"/>
              <w:textAlignment w:val="bottom"/>
            </w:pPr>
            <w:r>
              <w:rPr>
                <w:rFonts w:ascii="Arial" w:eastAsia="宋体" w:hAnsi="Arial" w:cs="Arial"/>
                <w:color w:val="000000"/>
                <w:sz w:val="16"/>
                <w:szCs w:val="16"/>
              </w:rPr>
              <w:t>75 </w:t>
            </w:r>
          </w:p>
        </w:tc>
        <w:tc>
          <w:tcPr>
            <w:tcW w:w="0" w:type="auto"/>
            <w:shd w:val="clear" w:color="auto" w:fill="CCEEFF"/>
            <w:tcMar>
              <w:top w:w="40" w:type="dxa"/>
              <w:left w:w="0" w:type="dxa"/>
              <w:bottom w:w="40" w:type="dxa"/>
              <w:right w:w="20" w:type="dxa"/>
            </w:tcMar>
            <w:vAlign w:val="bottom"/>
          </w:tcPr>
          <w:p w14:paraId="5F2CA0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D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DD" w14:textId="77777777" w:rsidR="00E836FB" w:rsidRDefault="00994958">
            <w:pPr>
              <w:jc w:val="right"/>
              <w:textAlignment w:val="bottom"/>
            </w:pPr>
            <w:r>
              <w:rPr>
                <w:rFonts w:ascii="Arial" w:eastAsia="宋体" w:hAnsi="Arial" w:cs="Arial"/>
                <w:color w:val="000000"/>
                <w:sz w:val="16"/>
                <w:szCs w:val="16"/>
              </w:rPr>
              <w:t>86 </w:t>
            </w:r>
          </w:p>
        </w:tc>
        <w:tc>
          <w:tcPr>
            <w:tcW w:w="0" w:type="auto"/>
            <w:shd w:val="clear" w:color="auto" w:fill="CCEEFF"/>
            <w:tcMar>
              <w:top w:w="40" w:type="dxa"/>
              <w:left w:w="0" w:type="dxa"/>
              <w:bottom w:w="40" w:type="dxa"/>
              <w:right w:w="20" w:type="dxa"/>
            </w:tcMar>
            <w:vAlign w:val="bottom"/>
          </w:tcPr>
          <w:p w14:paraId="5F2CA0DE" w14:textId="77777777" w:rsidR="00E836FB" w:rsidRDefault="00E836FB">
            <w:pPr>
              <w:jc w:val="right"/>
              <w:rPr>
                <w:rFonts w:ascii="宋体"/>
              </w:rPr>
            </w:pPr>
          </w:p>
        </w:tc>
        <w:tc>
          <w:tcPr>
            <w:tcW w:w="0" w:type="auto"/>
            <w:shd w:val="clear" w:color="auto" w:fill="auto"/>
            <w:vAlign w:val="bottom"/>
          </w:tcPr>
          <w:p w14:paraId="5F2CA0DF" w14:textId="77777777" w:rsidR="00E836FB" w:rsidRDefault="00E836FB">
            <w:pPr>
              <w:rPr>
                <w:rFonts w:ascii="宋体"/>
                <w:vanish/>
              </w:rPr>
            </w:pPr>
          </w:p>
        </w:tc>
      </w:tr>
      <w:tr w:rsidR="00E836FB" w14:paraId="5F2CA0EB" w14:textId="77777777">
        <w:tc>
          <w:tcPr>
            <w:tcW w:w="0" w:type="auto"/>
            <w:gridSpan w:val="3"/>
            <w:shd w:val="clear" w:color="auto" w:fill="FFFFFF"/>
            <w:tcMar>
              <w:top w:w="40" w:type="dxa"/>
              <w:left w:w="20" w:type="dxa"/>
              <w:bottom w:w="40" w:type="dxa"/>
              <w:right w:w="20" w:type="dxa"/>
            </w:tcMar>
          </w:tcPr>
          <w:p w14:paraId="5F2CA0E1" w14:textId="77777777" w:rsidR="00E836FB" w:rsidRDefault="00994958">
            <w:pPr>
              <w:textAlignment w:val="top"/>
            </w:pPr>
            <w:r>
              <w:rPr>
                <w:rFonts w:ascii="Arial" w:eastAsia="宋体" w:hAnsi="Arial" w:cs="Arial"/>
                <w:color w:val="000000"/>
                <w:sz w:val="16"/>
                <w:szCs w:val="16"/>
              </w:rPr>
              <w:t>KBW Bank Index</w:t>
            </w:r>
          </w:p>
        </w:tc>
        <w:tc>
          <w:tcPr>
            <w:tcW w:w="0" w:type="auto"/>
            <w:gridSpan w:val="2"/>
            <w:shd w:val="clear" w:color="auto" w:fill="FFFFFF"/>
            <w:tcMar>
              <w:top w:w="40" w:type="dxa"/>
              <w:left w:w="20" w:type="dxa"/>
              <w:bottom w:w="40" w:type="dxa"/>
              <w:right w:w="0" w:type="dxa"/>
            </w:tcMar>
            <w:vAlign w:val="bottom"/>
          </w:tcPr>
          <w:p w14:paraId="5F2CA0E2" w14:textId="77777777" w:rsidR="00E836FB" w:rsidRDefault="00994958">
            <w:pPr>
              <w:jc w:val="right"/>
              <w:textAlignment w:val="bottom"/>
            </w:pPr>
            <w:r>
              <w:rPr>
                <w:rFonts w:ascii="Arial" w:eastAsia="宋体" w:hAnsi="Arial" w:cs="Arial"/>
                <w:color w:val="000000"/>
                <w:sz w:val="16"/>
                <w:szCs w:val="16"/>
              </w:rPr>
              <w:t>38 </w:t>
            </w:r>
          </w:p>
        </w:tc>
        <w:tc>
          <w:tcPr>
            <w:tcW w:w="0" w:type="auto"/>
            <w:shd w:val="clear" w:color="auto" w:fill="FFFFFF"/>
            <w:tcMar>
              <w:top w:w="40" w:type="dxa"/>
              <w:left w:w="0" w:type="dxa"/>
              <w:bottom w:w="40" w:type="dxa"/>
              <w:right w:w="20" w:type="dxa"/>
            </w:tcMar>
            <w:vAlign w:val="bottom"/>
          </w:tcPr>
          <w:p w14:paraId="5F2CA0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E5" w14:textId="77777777" w:rsidR="00E836FB" w:rsidRDefault="00994958">
            <w:pPr>
              <w:jc w:val="right"/>
              <w:textAlignment w:val="bottom"/>
            </w:pPr>
            <w:r>
              <w:rPr>
                <w:rFonts w:ascii="Arial" w:eastAsia="宋体" w:hAnsi="Arial" w:cs="Arial"/>
                <w:color w:val="000000"/>
                <w:sz w:val="16"/>
                <w:szCs w:val="16"/>
              </w:rPr>
              <w:t>69 </w:t>
            </w:r>
          </w:p>
        </w:tc>
        <w:tc>
          <w:tcPr>
            <w:tcW w:w="0" w:type="auto"/>
            <w:shd w:val="clear" w:color="auto" w:fill="FFFFFF"/>
            <w:tcMar>
              <w:top w:w="40" w:type="dxa"/>
              <w:left w:w="0" w:type="dxa"/>
              <w:bottom w:w="40" w:type="dxa"/>
              <w:right w:w="20" w:type="dxa"/>
            </w:tcMar>
            <w:vAlign w:val="bottom"/>
          </w:tcPr>
          <w:p w14:paraId="5F2CA0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0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0E8" w14:textId="77777777" w:rsidR="00E836FB" w:rsidRDefault="00994958">
            <w:pPr>
              <w:jc w:val="right"/>
              <w:textAlignment w:val="bottom"/>
            </w:pPr>
            <w:r>
              <w:rPr>
                <w:rFonts w:ascii="Arial" w:eastAsia="宋体" w:hAnsi="Arial" w:cs="Arial"/>
                <w:color w:val="000000"/>
                <w:sz w:val="16"/>
                <w:szCs w:val="16"/>
              </w:rPr>
              <w:t>65 </w:t>
            </w:r>
          </w:p>
        </w:tc>
        <w:tc>
          <w:tcPr>
            <w:tcW w:w="0" w:type="auto"/>
            <w:shd w:val="clear" w:color="auto" w:fill="FFFFFF"/>
            <w:tcMar>
              <w:top w:w="40" w:type="dxa"/>
              <w:left w:w="0" w:type="dxa"/>
              <w:bottom w:w="40" w:type="dxa"/>
              <w:right w:w="20" w:type="dxa"/>
            </w:tcMar>
            <w:vAlign w:val="bottom"/>
          </w:tcPr>
          <w:p w14:paraId="5F2CA0E9" w14:textId="77777777" w:rsidR="00E836FB" w:rsidRDefault="00E836FB">
            <w:pPr>
              <w:jc w:val="right"/>
              <w:rPr>
                <w:rFonts w:ascii="宋体"/>
              </w:rPr>
            </w:pPr>
          </w:p>
        </w:tc>
        <w:tc>
          <w:tcPr>
            <w:tcW w:w="0" w:type="auto"/>
            <w:shd w:val="clear" w:color="auto" w:fill="auto"/>
            <w:vAlign w:val="bottom"/>
          </w:tcPr>
          <w:p w14:paraId="5F2CA0EA" w14:textId="77777777" w:rsidR="00E836FB" w:rsidRDefault="00E836FB">
            <w:pPr>
              <w:rPr>
                <w:rFonts w:ascii="宋体"/>
                <w:vanish/>
              </w:rPr>
            </w:pPr>
          </w:p>
        </w:tc>
      </w:tr>
      <w:tr w:rsidR="00E836FB" w14:paraId="5F2CA0F6" w14:textId="77777777">
        <w:tc>
          <w:tcPr>
            <w:tcW w:w="0" w:type="auto"/>
            <w:gridSpan w:val="3"/>
            <w:shd w:val="clear" w:color="auto" w:fill="CCEEFF"/>
            <w:tcMar>
              <w:top w:w="40" w:type="dxa"/>
              <w:left w:w="20" w:type="dxa"/>
              <w:bottom w:w="40" w:type="dxa"/>
              <w:right w:w="20" w:type="dxa"/>
            </w:tcMar>
          </w:tcPr>
          <w:p w14:paraId="5F2CA0EC" w14:textId="77777777" w:rsidR="00E836FB" w:rsidRDefault="00994958">
            <w:pPr>
              <w:textAlignment w:val="top"/>
            </w:pPr>
            <w:r>
              <w:rPr>
                <w:rFonts w:ascii="Arial" w:eastAsia="宋体" w:hAnsi="Arial" w:cs="Arial"/>
                <w:color w:val="000000"/>
                <w:sz w:val="16"/>
                <w:szCs w:val="16"/>
              </w:rPr>
              <w:t>Peer group</w:t>
            </w:r>
          </w:p>
        </w:tc>
        <w:tc>
          <w:tcPr>
            <w:tcW w:w="0" w:type="auto"/>
            <w:gridSpan w:val="2"/>
            <w:shd w:val="clear" w:color="auto" w:fill="CCEEFF"/>
            <w:tcMar>
              <w:top w:w="40" w:type="dxa"/>
              <w:left w:w="20" w:type="dxa"/>
              <w:bottom w:w="40" w:type="dxa"/>
              <w:right w:w="0" w:type="dxa"/>
            </w:tcMar>
            <w:vAlign w:val="bottom"/>
          </w:tcPr>
          <w:p w14:paraId="5F2CA0ED" w14:textId="77777777" w:rsidR="00E836FB" w:rsidRDefault="00994958">
            <w:pPr>
              <w:jc w:val="right"/>
              <w:textAlignment w:val="bottom"/>
            </w:pPr>
            <w:r>
              <w:rPr>
                <w:rFonts w:ascii="Arial" w:eastAsia="宋体" w:hAnsi="Arial" w:cs="Arial"/>
                <w:color w:val="000000"/>
                <w:sz w:val="16"/>
                <w:szCs w:val="16"/>
              </w:rPr>
              <w:t>38 </w:t>
            </w:r>
          </w:p>
        </w:tc>
        <w:tc>
          <w:tcPr>
            <w:tcW w:w="0" w:type="auto"/>
            <w:shd w:val="clear" w:color="auto" w:fill="CCEEFF"/>
            <w:tcMar>
              <w:top w:w="40" w:type="dxa"/>
              <w:left w:w="0" w:type="dxa"/>
              <w:bottom w:w="40" w:type="dxa"/>
              <w:right w:w="20" w:type="dxa"/>
            </w:tcMar>
            <w:vAlign w:val="bottom"/>
          </w:tcPr>
          <w:p w14:paraId="5F2CA0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F0" w14:textId="77777777" w:rsidR="00E836FB" w:rsidRDefault="00994958">
            <w:pPr>
              <w:jc w:val="right"/>
              <w:textAlignment w:val="bottom"/>
            </w:pPr>
            <w:r>
              <w:rPr>
                <w:rFonts w:ascii="Arial" w:eastAsia="宋体" w:hAnsi="Arial" w:cs="Arial"/>
                <w:color w:val="000000"/>
                <w:sz w:val="16"/>
                <w:szCs w:val="16"/>
              </w:rPr>
              <w:t>40 </w:t>
            </w:r>
          </w:p>
        </w:tc>
        <w:tc>
          <w:tcPr>
            <w:tcW w:w="0" w:type="auto"/>
            <w:shd w:val="clear" w:color="auto" w:fill="CCEEFF"/>
            <w:tcMar>
              <w:top w:w="40" w:type="dxa"/>
              <w:left w:w="0" w:type="dxa"/>
              <w:bottom w:w="40" w:type="dxa"/>
              <w:right w:w="20" w:type="dxa"/>
            </w:tcMar>
            <w:vAlign w:val="bottom"/>
          </w:tcPr>
          <w:p w14:paraId="5F2CA0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0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0F3" w14:textId="77777777" w:rsidR="00E836FB" w:rsidRDefault="00994958">
            <w:pPr>
              <w:jc w:val="right"/>
              <w:textAlignment w:val="bottom"/>
            </w:pPr>
            <w:r>
              <w:rPr>
                <w:rFonts w:ascii="Arial" w:eastAsia="宋体" w:hAnsi="Arial" w:cs="Arial"/>
                <w:color w:val="000000"/>
                <w:sz w:val="16"/>
                <w:szCs w:val="16"/>
              </w:rPr>
              <w:t>42 </w:t>
            </w:r>
          </w:p>
        </w:tc>
        <w:tc>
          <w:tcPr>
            <w:tcW w:w="0" w:type="auto"/>
            <w:shd w:val="clear" w:color="auto" w:fill="CCEEFF"/>
            <w:tcMar>
              <w:top w:w="40" w:type="dxa"/>
              <w:left w:w="0" w:type="dxa"/>
              <w:bottom w:w="40" w:type="dxa"/>
              <w:right w:w="20" w:type="dxa"/>
            </w:tcMar>
            <w:vAlign w:val="bottom"/>
          </w:tcPr>
          <w:p w14:paraId="5F2CA0F4" w14:textId="77777777" w:rsidR="00E836FB" w:rsidRDefault="00E836FB">
            <w:pPr>
              <w:jc w:val="right"/>
              <w:rPr>
                <w:rFonts w:ascii="宋体"/>
              </w:rPr>
            </w:pPr>
          </w:p>
        </w:tc>
        <w:tc>
          <w:tcPr>
            <w:tcW w:w="0" w:type="auto"/>
            <w:shd w:val="clear" w:color="auto" w:fill="auto"/>
            <w:vAlign w:val="bottom"/>
          </w:tcPr>
          <w:p w14:paraId="5F2CA0F5" w14:textId="77777777" w:rsidR="00E836FB" w:rsidRDefault="00E836FB">
            <w:pPr>
              <w:rPr>
                <w:rFonts w:ascii="宋体"/>
                <w:vanish/>
              </w:rPr>
            </w:pPr>
          </w:p>
        </w:tc>
      </w:tr>
    </w:tbl>
    <w:p w14:paraId="5F2CA0F7" w14:textId="77777777" w:rsidR="00E836FB" w:rsidRDefault="00994958">
      <w:pPr>
        <w:ind w:firstLine="450"/>
        <w:jc w:val="right"/>
      </w:pPr>
      <w:r>
        <w:rPr>
          <w:rFonts w:ascii="Arial" w:eastAsia="宋体" w:hAnsi="Arial" w:cs="Arial"/>
          <w:color w:val="000000"/>
          <w:sz w:val="18"/>
          <w:szCs w:val="18"/>
        </w:rPr>
        <w:t>State Street Corporation | 56</w:t>
      </w:r>
    </w:p>
    <w:p w14:paraId="5F2CA0F8" w14:textId="77777777" w:rsidR="00E836FB" w:rsidRDefault="00E836FB">
      <w:pPr>
        <w:ind w:firstLine="450"/>
        <w:jc w:val="center"/>
      </w:pPr>
    </w:p>
    <w:p w14:paraId="5F2CA0F9" w14:textId="77777777" w:rsidR="00E836FB" w:rsidRDefault="00994958">
      <w:r>
        <w:pict w14:anchorId="5F2D6DBD">
          <v:rect id="_x0000_i1080" style="width:415.3pt;height:1.5pt" o:hralign="center" o:hrstd="t" o:hr="t" fillcolor="#a0a0a0" stroked="f"/>
        </w:pict>
      </w:r>
    </w:p>
    <w:p w14:paraId="5F2CA0FA" w14:textId="77777777" w:rsidR="00E836FB" w:rsidRDefault="00E836FB">
      <w:pPr>
        <w:ind w:firstLine="450"/>
      </w:pPr>
    </w:p>
    <w:p w14:paraId="5F2CA0FB" w14:textId="77777777" w:rsidR="00E836FB" w:rsidRDefault="00994958">
      <w:pPr>
        <w:spacing w:before="90"/>
        <w:jc w:val="both"/>
      </w:pPr>
      <w:r>
        <w:rPr>
          <w:rFonts w:ascii="Arial" w:eastAsia="宋体" w:hAnsi="Arial" w:cs="Arial"/>
          <w:b/>
          <w:bCs/>
          <w:color w:val="000000"/>
          <w:sz w:val="20"/>
          <w:szCs w:val="20"/>
        </w:rPr>
        <w:t xml:space="preserve">ITEM 6. [RESERVED] </w:t>
      </w:r>
    </w:p>
    <w:p w14:paraId="5F2CA0FC" w14:textId="77777777" w:rsidR="00E836FB" w:rsidRDefault="00994958">
      <w:pPr>
        <w:spacing w:before="90"/>
        <w:jc w:val="both"/>
        <w:textAlignment w:val="top"/>
      </w:pPr>
      <w:r>
        <w:rPr>
          <w:rFonts w:ascii="Arial" w:eastAsia="宋体" w:hAnsi="Arial" w:cs="Arial"/>
          <w:b/>
          <w:bCs/>
          <w:color w:val="000000"/>
          <w:sz w:val="20"/>
          <w:szCs w:val="20"/>
        </w:rPr>
        <w:t xml:space="preserve">ITEM 7. MANAGEMENT’S DISCUSSION AND ANALYSIS OF FINANCIAL </w:t>
      </w:r>
      <w:r>
        <w:rPr>
          <w:rFonts w:ascii="Arial" w:eastAsia="宋体" w:hAnsi="Arial" w:cs="Arial"/>
          <w:b/>
          <w:bCs/>
          <w:color w:val="000000"/>
          <w:sz w:val="20"/>
          <w:szCs w:val="20"/>
        </w:rPr>
        <w:t>CONDITION AND RESULTS OF OPERATIONS</w:t>
      </w:r>
    </w:p>
    <w:p w14:paraId="5F2CA0FD" w14:textId="77777777" w:rsidR="00E836FB" w:rsidRDefault="00994958">
      <w:pPr>
        <w:spacing w:before="90"/>
        <w:jc w:val="both"/>
      </w:pPr>
      <w:r>
        <w:rPr>
          <w:rFonts w:ascii="Arial" w:eastAsia="宋体" w:hAnsi="Arial" w:cs="Arial"/>
          <w:b/>
          <w:bCs/>
          <w:color w:val="000000"/>
          <w:sz w:val="20"/>
          <w:szCs w:val="20"/>
        </w:rPr>
        <w:t>GENERAL</w:t>
      </w:r>
    </w:p>
    <w:p w14:paraId="5F2CA0FE" w14:textId="77777777" w:rsidR="00E836FB" w:rsidRDefault="00994958">
      <w:pPr>
        <w:spacing w:before="60"/>
        <w:ind w:firstLine="450"/>
        <w:jc w:val="both"/>
        <w:textAlignment w:val="top"/>
      </w:pPr>
      <w:r>
        <w:rPr>
          <w:rFonts w:ascii="Arial" w:eastAsia="宋体" w:hAnsi="Arial" w:cs="Arial"/>
          <w:color w:val="000000"/>
          <w:sz w:val="20"/>
          <w:szCs w:val="20"/>
        </w:rPr>
        <w:t>As of December 31, 2021, we had consolidated total assets of $314.62 billion, consolidated total deposits of $255.04 billion, consolidated total shareholders' equity of $27.36 billion and approximately 39,000 emp</w:t>
      </w:r>
      <w:r>
        <w:rPr>
          <w:rFonts w:ascii="Arial" w:eastAsia="宋体" w:hAnsi="Arial" w:cs="Arial"/>
          <w:color w:val="000000"/>
          <w:sz w:val="20"/>
          <w:szCs w:val="20"/>
        </w:rPr>
        <w:t>loyees. We operate in more than 100 geographic markets worldwide, including the U.S., Canada, Latin America, Europe, the Middle East and Asia.</w:t>
      </w:r>
    </w:p>
    <w:p w14:paraId="5F2CA0FF" w14:textId="77777777" w:rsidR="00E836FB" w:rsidRDefault="00994958">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w:t>
      </w:r>
      <w:r>
        <w:rPr>
          <w:rFonts w:ascii="Arial" w:eastAsia="宋体" w:hAnsi="Arial" w:cs="Arial"/>
          <w:color w:val="000000"/>
          <w:sz w:val="20"/>
          <w:szCs w:val="20"/>
        </w:rPr>
        <w:t xml:space="preserve">e defined based on products and services provided. For the description of our lines of business, refer to "Lines of Business” in Item 1 in this Form 10-K. </w:t>
      </w:r>
    </w:p>
    <w:p w14:paraId="5F2CA100" w14:textId="77777777" w:rsidR="00E836FB" w:rsidRDefault="00994958">
      <w:pPr>
        <w:spacing w:before="60"/>
        <w:ind w:firstLine="450"/>
        <w:jc w:val="both"/>
        <w:textAlignment w:val="top"/>
      </w:pPr>
      <w:r>
        <w:rPr>
          <w:rFonts w:ascii="Arial" w:eastAsia="宋体" w:hAnsi="Arial" w:cs="Arial"/>
          <w:color w:val="000000"/>
          <w:sz w:val="20"/>
          <w:szCs w:val="20"/>
        </w:rPr>
        <w:t>For financial and other information about our lines of business, refer to “Line of Business Informat</w:t>
      </w:r>
      <w:r>
        <w:rPr>
          <w:rFonts w:ascii="Arial" w:eastAsia="宋体" w:hAnsi="Arial" w:cs="Arial"/>
          <w:color w:val="000000"/>
          <w:sz w:val="20"/>
          <w:szCs w:val="20"/>
        </w:rPr>
        <w:t>ion” in this Management's Discussion and Analysis and Note 24 to the consolidated financial statements in this Form 10-K.</w:t>
      </w:r>
    </w:p>
    <w:p w14:paraId="5F2CA101" w14:textId="77777777" w:rsidR="00E836FB" w:rsidRDefault="00994958">
      <w:pPr>
        <w:spacing w:before="60"/>
        <w:ind w:firstLine="450"/>
        <w:jc w:val="both"/>
        <w:textAlignment w:val="top"/>
      </w:pPr>
      <w:r>
        <w:rPr>
          <w:rFonts w:ascii="Arial" w:eastAsia="宋体" w:hAnsi="Arial" w:cs="Arial"/>
          <w:color w:val="000000"/>
          <w:sz w:val="20"/>
          <w:szCs w:val="20"/>
        </w:rPr>
        <w:t>This Management's Discussion and Analysis should be read in conjunction with the consolidated financial statements and accompanying no</w:t>
      </w:r>
      <w:r>
        <w:rPr>
          <w:rFonts w:ascii="Arial" w:eastAsia="宋体" w:hAnsi="Arial" w:cs="Arial"/>
          <w:color w:val="000000"/>
          <w:sz w:val="20"/>
          <w:szCs w:val="20"/>
        </w:rPr>
        <w:t>tes to consolidated financial statements in this Form 10-K. Certain previously reported amounts presented in this Form 10-K have been reclassified to conform to current-period presentation.</w:t>
      </w:r>
    </w:p>
    <w:p w14:paraId="5F2CA102" w14:textId="77777777" w:rsidR="00E836FB" w:rsidRDefault="00994958">
      <w:pPr>
        <w:spacing w:before="60"/>
        <w:ind w:firstLine="450"/>
        <w:jc w:val="both"/>
        <w:textAlignment w:val="top"/>
      </w:pPr>
      <w:r>
        <w:rPr>
          <w:rFonts w:ascii="Arial" w:eastAsia="宋体" w:hAnsi="Arial" w:cs="Arial"/>
          <w:color w:val="000000"/>
          <w:sz w:val="20"/>
          <w:szCs w:val="20"/>
        </w:rPr>
        <w:t>We prepare our consolidated financial statements in conformity wit</w:t>
      </w:r>
      <w:r>
        <w:rPr>
          <w:rFonts w:ascii="Arial" w:eastAsia="宋体" w:hAnsi="Arial" w:cs="Arial"/>
          <w:color w:val="000000"/>
          <w:sz w:val="20"/>
          <w:szCs w:val="20"/>
        </w:rPr>
        <w:t>h U.S. GAAP. The preparation of financial statements in conformity with U.S. GAAP requires management to make estimates and assumptions in its application of certain accounting policies that materially affect the reported amounts of assets, liabilities, eq</w:t>
      </w:r>
      <w:r>
        <w:rPr>
          <w:rFonts w:ascii="Arial" w:eastAsia="宋体" w:hAnsi="Arial" w:cs="Arial"/>
          <w:color w:val="000000"/>
          <w:sz w:val="20"/>
          <w:szCs w:val="20"/>
        </w:rPr>
        <w:t>uity, revenue and expenses.</w:t>
      </w:r>
    </w:p>
    <w:p w14:paraId="5F2CA103" w14:textId="77777777" w:rsidR="00E836FB" w:rsidRDefault="00994958">
      <w:pPr>
        <w:spacing w:before="60"/>
        <w:ind w:firstLine="450"/>
        <w:jc w:val="both"/>
        <w:textAlignment w:val="top"/>
      </w:pPr>
      <w:r>
        <w:rPr>
          <w:rFonts w:ascii="Arial" w:eastAsia="宋体" w:hAnsi="Arial" w:cs="Arial"/>
          <w:color w:val="000000"/>
          <w:sz w:val="20"/>
          <w:szCs w:val="20"/>
        </w:rPr>
        <w:t>The significant accounting policies that require us to make judgments, estimates and assumptions that are difficult, subjective or complex about matters that are uncertain and may change in subsequent periods include:</w:t>
      </w:r>
    </w:p>
    <w:p w14:paraId="5F2CA104" w14:textId="77777777" w:rsidR="00E836FB" w:rsidRDefault="00994958">
      <w:pPr>
        <w:spacing w:before="60"/>
        <w:ind w:hanging="360"/>
        <w:textAlignment w:val="top"/>
      </w:pPr>
      <w:r>
        <w:rPr>
          <w:rFonts w:ascii="Arial" w:eastAsia="宋体" w:hAnsi="Arial" w:cs="Arial"/>
          <w:color w:val="000000"/>
          <w:sz w:val="20"/>
          <w:szCs w:val="20"/>
        </w:rPr>
        <w:t>•accountin</w:t>
      </w:r>
      <w:r>
        <w:rPr>
          <w:rFonts w:ascii="Arial" w:eastAsia="宋体" w:hAnsi="Arial" w:cs="Arial"/>
          <w:color w:val="000000"/>
          <w:sz w:val="20"/>
          <w:szCs w:val="20"/>
        </w:rPr>
        <w:t>g for fair value measurements;</w:t>
      </w:r>
    </w:p>
    <w:p w14:paraId="5F2CA105" w14:textId="77777777" w:rsidR="00E836FB" w:rsidRDefault="00994958">
      <w:pPr>
        <w:spacing w:before="60"/>
        <w:ind w:hanging="360"/>
        <w:textAlignment w:val="top"/>
      </w:pPr>
      <w:r>
        <w:rPr>
          <w:rFonts w:ascii="Arial" w:eastAsia="宋体" w:hAnsi="Arial" w:cs="Arial"/>
          <w:color w:val="000000"/>
          <w:sz w:val="20"/>
          <w:szCs w:val="20"/>
        </w:rPr>
        <w:t>•allowance for credit losses;</w:t>
      </w:r>
    </w:p>
    <w:p w14:paraId="5F2CA106" w14:textId="77777777" w:rsidR="00E836FB" w:rsidRDefault="00994958">
      <w:pPr>
        <w:spacing w:before="60"/>
        <w:ind w:hanging="360"/>
        <w:textAlignment w:val="top"/>
      </w:pPr>
      <w:r>
        <w:rPr>
          <w:rFonts w:ascii="Arial" w:eastAsia="宋体" w:hAnsi="Arial" w:cs="Arial"/>
          <w:color w:val="000000"/>
          <w:sz w:val="20"/>
          <w:szCs w:val="20"/>
        </w:rPr>
        <w:t>•impairment of goodwill and other intangible assets; and</w:t>
      </w:r>
    </w:p>
    <w:p w14:paraId="5F2CA107" w14:textId="77777777" w:rsidR="00E836FB" w:rsidRDefault="00994958">
      <w:pPr>
        <w:spacing w:before="60"/>
        <w:ind w:hanging="360"/>
        <w:textAlignment w:val="top"/>
      </w:pPr>
      <w:r>
        <w:rPr>
          <w:rFonts w:ascii="Arial" w:eastAsia="宋体" w:hAnsi="Arial" w:cs="Arial"/>
          <w:color w:val="000000"/>
          <w:sz w:val="20"/>
          <w:szCs w:val="20"/>
        </w:rPr>
        <w:t>•contingencies.</w:t>
      </w:r>
    </w:p>
    <w:p w14:paraId="5F2CA108" w14:textId="77777777" w:rsidR="00E836FB" w:rsidRDefault="00994958">
      <w:pPr>
        <w:spacing w:before="60"/>
        <w:ind w:firstLine="450"/>
        <w:jc w:val="both"/>
        <w:textAlignment w:val="top"/>
      </w:pPr>
      <w:r>
        <w:rPr>
          <w:rFonts w:ascii="Arial" w:eastAsia="宋体" w:hAnsi="Arial" w:cs="Arial"/>
          <w:color w:val="000000"/>
          <w:sz w:val="20"/>
          <w:szCs w:val="20"/>
        </w:rPr>
        <w:t>These significant accounting policies require the most subjective or complex judgments, and underlying estimates and assum</w:t>
      </w:r>
      <w:r>
        <w:rPr>
          <w:rFonts w:ascii="Arial" w:eastAsia="宋体" w:hAnsi="Arial" w:cs="Arial"/>
          <w:color w:val="000000"/>
          <w:sz w:val="20"/>
          <w:szCs w:val="20"/>
        </w:rPr>
        <w:t xml:space="preserve">ptions could be subject to revision as new information becomes available. Additional information about these </w:t>
      </w:r>
    </w:p>
    <w:p w14:paraId="5F2CA109" w14:textId="77777777" w:rsidR="00E836FB" w:rsidRDefault="00994958">
      <w:pPr>
        <w:spacing w:before="60"/>
        <w:jc w:val="both"/>
        <w:textAlignment w:val="top"/>
      </w:pPr>
      <w:r>
        <w:rPr>
          <w:rFonts w:ascii="Arial" w:eastAsia="宋体" w:hAnsi="Arial" w:cs="Arial"/>
          <w:color w:val="000000"/>
          <w:sz w:val="20"/>
          <w:szCs w:val="20"/>
        </w:rPr>
        <w:t>significant accounting policies is included under “Significant Accounting Estimates” in this Management's Discussion and Analysis.</w:t>
      </w:r>
    </w:p>
    <w:p w14:paraId="5F2CA10A" w14:textId="77777777" w:rsidR="00E836FB" w:rsidRDefault="00994958">
      <w:pPr>
        <w:spacing w:before="60"/>
        <w:ind w:firstLine="450"/>
        <w:jc w:val="both"/>
        <w:textAlignment w:val="top"/>
      </w:pPr>
      <w:r>
        <w:rPr>
          <w:rFonts w:ascii="Arial" w:eastAsia="宋体" w:hAnsi="Arial" w:cs="Arial"/>
          <w:color w:val="000000"/>
          <w:sz w:val="20"/>
          <w:szCs w:val="20"/>
        </w:rPr>
        <w:t>Certain financi</w:t>
      </w:r>
      <w:r>
        <w:rPr>
          <w:rFonts w:ascii="Arial" w:eastAsia="宋体" w:hAnsi="Arial" w:cs="Arial"/>
          <w:color w:val="000000"/>
          <w:sz w:val="20"/>
          <w:szCs w:val="20"/>
        </w:rPr>
        <w:t>al information provided in this Form 10-K, including this Management's Discussion and Analysis, is prepared on both a U.S. GAAP, or reported basis, and a non-GAAP basis, including certain non-GAAP measures used in the calculation of identified regulatory r</w:t>
      </w:r>
      <w:r>
        <w:rPr>
          <w:rFonts w:ascii="Arial" w:eastAsia="宋体" w:hAnsi="Arial" w:cs="Arial"/>
          <w:color w:val="000000"/>
          <w:sz w:val="20"/>
          <w:szCs w:val="20"/>
        </w:rPr>
        <w:t>atios. We measure and compare certain financial information on a non-GAAP basis, including information that management uses in evaluating our business and activities. Non-GAAP financial information should be considered in addition to, and not as a substitu</w:t>
      </w:r>
      <w:r>
        <w:rPr>
          <w:rFonts w:ascii="Arial" w:eastAsia="宋体" w:hAnsi="Arial" w:cs="Arial"/>
          <w:color w:val="000000"/>
          <w:sz w:val="20"/>
          <w:szCs w:val="20"/>
        </w:rPr>
        <w:t>te for or superior to, financial information prepared in conformity with U.S. GAAP. Any non-GAAP financial information presented in this Form 10-K, including this Management’s Discussion and Analysis, is reconciled to its most directly comparable currently</w:t>
      </w:r>
      <w:r>
        <w:rPr>
          <w:rFonts w:ascii="Arial" w:eastAsia="宋体" w:hAnsi="Arial" w:cs="Arial"/>
          <w:color w:val="000000"/>
          <w:sz w:val="20"/>
          <w:szCs w:val="20"/>
        </w:rPr>
        <w:t xml:space="preserve"> applicable regulatory ratio or U.S. GAAP-basis measure. We further believe that our presentation of fully taxable-equivalent NII, a non-GAAP measure, which reports non-taxable revenue, such as interest income associated with tax-exempt investment securiti</w:t>
      </w:r>
      <w:r>
        <w:rPr>
          <w:rFonts w:ascii="Arial" w:eastAsia="宋体" w:hAnsi="Arial" w:cs="Arial"/>
          <w:color w:val="000000"/>
          <w:sz w:val="20"/>
          <w:szCs w:val="20"/>
        </w:rPr>
        <w:t>es, on a fully taxable-equivalent basis, facilitates an investor's understanding and analysis of our underlying financial performance and trends.</w:t>
      </w:r>
    </w:p>
    <w:p w14:paraId="5F2CA10B" w14:textId="77777777" w:rsidR="00E836FB" w:rsidRDefault="00994958">
      <w:pPr>
        <w:spacing w:before="60"/>
        <w:ind w:firstLine="450"/>
        <w:jc w:val="both"/>
        <w:textAlignment w:val="top"/>
      </w:pPr>
      <w:r>
        <w:rPr>
          <w:rFonts w:ascii="Arial" w:eastAsia="宋体" w:hAnsi="Arial" w:cs="Arial"/>
          <w:color w:val="000000"/>
          <w:sz w:val="20"/>
          <w:szCs w:val="20"/>
        </w:rPr>
        <w:t>This Management's Discussion and Analysis contains statements that are considered "forward-looking statements"</w:t>
      </w:r>
      <w:r>
        <w:rPr>
          <w:rFonts w:ascii="Arial" w:eastAsia="宋体" w:hAnsi="Arial" w:cs="Arial"/>
          <w:color w:val="000000"/>
          <w:sz w:val="20"/>
          <w:szCs w:val="20"/>
        </w:rPr>
        <w:t xml:space="preserve"> within the meaning of U.S. securities laws. Forward-looking statements include statements about our goals and expectations regarding our business, financial and capital condition, results of operations, strategies, cost savings and transformation initiati</w:t>
      </w:r>
      <w:r>
        <w:rPr>
          <w:rFonts w:ascii="Arial" w:eastAsia="宋体" w:hAnsi="Arial" w:cs="Arial"/>
          <w:color w:val="000000"/>
          <w:sz w:val="20"/>
          <w:szCs w:val="20"/>
        </w:rPr>
        <w:t xml:space="preserve">ves, investment portfolio performance, dividend and stock purchase programs, outcomes of legal proceedings, market growth, acquisitions (including, without limitation, our planned acquisition of Brown Brothers Harriman's Investor Services business), joint </w:t>
      </w:r>
      <w:r>
        <w:rPr>
          <w:rFonts w:ascii="Arial" w:eastAsia="宋体" w:hAnsi="Arial" w:cs="Arial"/>
          <w:color w:val="000000"/>
          <w:sz w:val="20"/>
          <w:szCs w:val="20"/>
        </w:rPr>
        <w:t>ventures and divestitures, client growth and new technologies, services and opportunities, as well as industry, governmental, regulatory, economic and market trends, initiatives and developments, the business environment and other matters that do not relat</w:t>
      </w:r>
      <w:r>
        <w:rPr>
          <w:rFonts w:ascii="Arial" w:eastAsia="宋体" w:hAnsi="Arial" w:cs="Arial"/>
          <w:color w:val="000000"/>
          <w:sz w:val="20"/>
          <w:szCs w:val="20"/>
        </w:rPr>
        <w:t>e strictly to historical facts. These forward-looking statements involve certain risks and uncertainties which could cause actual results to differ materially. We undertake no obligation to revise the forward-looking statements contained in this Management</w:t>
      </w:r>
      <w:r>
        <w:rPr>
          <w:rFonts w:ascii="Arial" w:eastAsia="宋体" w:hAnsi="Arial" w:cs="Arial"/>
          <w:color w:val="000000"/>
          <w:sz w:val="20"/>
          <w:szCs w:val="20"/>
        </w:rPr>
        <w:t xml:space="preserve">'s Discussion and Analysis to reflect events after the </w:t>
      </w:r>
    </w:p>
    <w:p w14:paraId="5F2CA10C" w14:textId="77777777" w:rsidR="00E836FB" w:rsidRDefault="00994958">
      <w:pPr>
        <w:ind w:firstLine="450"/>
        <w:jc w:val="right"/>
      </w:pPr>
      <w:r>
        <w:rPr>
          <w:rFonts w:ascii="Arial" w:eastAsia="宋体" w:hAnsi="Arial" w:cs="Arial"/>
          <w:color w:val="000000"/>
          <w:sz w:val="18"/>
          <w:szCs w:val="18"/>
        </w:rPr>
        <w:t>State Street Corporation | 57</w:t>
      </w:r>
    </w:p>
    <w:p w14:paraId="5F2CA10D" w14:textId="77777777" w:rsidR="00E836FB" w:rsidRDefault="00E836FB">
      <w:pPr>
        <w:ind w:firstLine="450"/>
        <w:jc w:val="center"/>
      </w:pPr>
    </w:p>
    <w:p w14:paraId="5F2CA10E" w14:textId="77777777" w:rsidR="00E836FB" w:rsidRDefault="00994958">
      <w:r>
        <w:pict w14:anchorId="5F2D6DBE">
          <v:rect id="_x0000_i1081" style="width:415.3pt;height:1.5pt" o:hralign="center" o:hrstd="t" o:hr="t" fillcolor="#a0a0a0" stroked="f"/>
        </w:pict>
      </w:r>
    </w:p>
    <w:p w14:paraId="5F2CA10F"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A110" w14:textId="77777777" w:rsidR="00E836FB" w:rsidRDefault="00994958">
      <w:pPr>
        <w:ind w:firstLine="450"/>
        <w:jc w:val="center"/>
      </w:pPr>
      <w:r>
        <w:rPr>
          <w:rFonts w:ascii="Arial" w:eastAsia="宋体" w:hAnsi="Arial" w:cs="Arial"/>
          <w:b/>
          <w:bCs/>
          <w:color w:val="000000"/>
          <w:sz w:val="20"/>
          <w:szCs w:val="20"/>
        </w:rPr>
        <w:t>AND RESULTS OF OPERATIONS</w:t>
      </w:r>
    </w:p>
    <w:p w14:paraId="5F2CA111" w14:textId="77777777" w:rsidR="00E836FB" w:rsidRDefault="00994958">
      <w:pPr>
        <w:spacing w:before="60"/>
        <w:jc w:val="both"/>
        <w:textAlignment w:val="top"/>
      </w:pPr>
      <w:r>
        <w:rPr>
          <w:rFonts w:ascii="Arial" w:eastAsia="宋体" w:hAnsi="Arial" w:cs="Arial"/>
          <w:color w:val="000000"/>
          <w:sz w:val="20"/>
          <w:szCs w:val="20"/>
        </w:rPr>
        <w:t xml:space="preserve">time we file this Form 10-K with the SEC. Additional information about </w:t>
      </w:r>
      <w:r>
        <w:rPr>
          <w:rFonts w:ascii="Arial" w:eastAsia="宋体" w:hAnsi="Arial" w:cs="Arial"/>
          <w:color w:val="000000"/>
          <w:sz w:val="20"/>
          <w:szCs w:val="20"/>
        </w:rPr>
        <w:t>forward-looking statements and related risks and uncertainties is provided in "Forward-Looking Statements", "Risk Factors Summary" and "Risk Factors" in this Form 10-K.</w:t>
      </w:r>
    </w:p>
    <w:p w14:paraId="5F2CA112" w14:textId="77777777" w:rsidR="00E836FB" w:rsidRDefault="00994958">
      <w:pPr>
        <w:spacing w:before="60"/>
        <w:ind w:firstLine="450"/>
        <w:jc w:val="both"/>
        <w:textAlignment w:val="top"/>
      </w:pPr>
      <w:r>
        <w:rPr>
          <w:rFonts w:ascii="Arial" w:eastAsia="宋体" w:hAnsi="Arial" w:cs="Arial"/>
          <w:color w:val="000000"/>
          <w:sz w:val="20"/>
          <w:szCs w:val="20"/>
        </w:rPr>
        <w:t>We provide additional disclosures required by applicable bank regulatory standards, inc</w:t>
      </w:r>
      <w:r>
        <w:rPr>
          <w:rFonts w:ascii="Arial" w:eastAsia="宋体" w:hAnsi="Arial" w:cs="Arial"/>
          <w:color w:val="000000"/>
          <w:sz w:val="20"/>
          <w:szCs w:val="20"/>
        </w:rPr>
        <w:t>luding supplemental qualitative and quantitative information with respect to regulatory capital (including market risk associated with our trading activities) and the liquidity coverage ratio, summary results of State Street-run stress tests which we condu</w:t>
      </w:r>
      <w:r>
        <w:rPr>
          <w:rFonts w:ascii="Arial" w:eastAsia="宋体" w:hAnsi="Arial" w:cs="Arial"/>
          <w:color w:val="000000"/>
          <w:sz w:val="20"/>
          <w:szCs w:val="20"/>
        </w:rPr>
        <w:t>ct under the Dodd-Frank Act and resolution plan disclosures required under the Dodd-Frank Act. These additional disclosures are available on the “Investor Relations” section of our website under "Filings and Reports."</w:t>
      </w:r>
    </w:p>
    <w:p w14:paraId="5F2CA113" w14:textId="77777777" w:rsidR="00E836FB" w:rsidRDefault="00994958">
      <w:pPr>
        <w:spacing w:before="60"/>
        <w:ind w:firstLine="450"/>
        <w:jc w:val="both"/>
        <w:textAlignment w:val="top"/>
      </w:pPr>
      <w:r>
        <w:rPr>
          <w:rFonts w:ascii="Arial" w:eastAsia="宋体" w:hAnsi="Arial" w:cs="Arial"/>
          <w:color w:val="000000"/>
          <w:sz w:val="20"/>
          <w:szCs w:val="20"/>
        </w:rPr>
        <w:t>In this Form 10-K, we reference variou</w:t>
      </w:r>
      <w:r>
        <w:rPr>
          <w:rFonts w:ascii="Arial" w:eastAsia="宋体" w:hAnsi="Arial" w:cs="Arial"/>
          <w:color w:val="000000"/>
          <w:sz w:val="20"/>
          <w:szCs w:val="20"/>
        </w:rPr>
        <w:t>s information and materials available on our corporate website. We have included our website address in this report as an inactive textual reference only. Information on our website is not incorporated by reference in this Form 10-K.</w:t>
      </w:r>
    </w:p>
    <w:p w14:paraId="5F2CA114" w14:textId="77777777" w:rsidR="00E836FB" w:rsidRDefault="00994958">
      <w:pPr>
        <w:spacing w:before="60"/>
        <w:ind w:firstLine="450"/>
        <w:jc w:val="both"/>
        <w:textAlignment w:val="top"/>
      </w:pPr>
      <w:r>
        <w:rPr>
          <w:rFonts w:ascii="Arial" w:eastAsia="宋体" w:hAnsi="Arial" w:cs="Arial"/>
          <w:color w:val="000000"/>
          <w:sz w:val="20"/>
          <w:szCs w:val="20"/>
        </w:rPr>
        <w:t>We use acronyms and ot</w:t>
      </w:r>
      <w:r>
        <w:rPr>
          <w:rFonts w:ascii="Arial" w:eastAsia="宋体" w:hAnsi="Arial" w:cs="Arial"/>
          <w:color w:val="000000"/>
          <w:sz w:val="20"/>
          <w:szCs w:val="20"/>
        </w:rPr>
        <w:t>her defined terms for certain business terms and abbreviations, as defined on the acronyms list and glossary in this Form 10-K.</w:t>
      </w:r>
    </w:p>
    <w:p w14:paraId="5F2CA115" w14:textId="77777777" w:rsidR="00E836FB" w:rsidRDefault="00994958">
      <w:pPr>
        <w:spacing w:before="90"/>
        <w:jc w:val="both"/>
        <w:textAlignment w:val="top"/>
      </w:pPr>
      <w:r>
        <w:rPr>
          <w:rFonts w:ascii="Arial" w:eastAsia="宋体" w:hAnsi="Arial" w:cs="Arial"/>
          <w:b/>
          <w:bCs/>
          <w:color w:val="000000"/>
          <w:sz w:val="20"/>
          <w:szCs w:val="20"/>
        </w:rPr>
        <w:t>OVERVIEW OF FINANCIAL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480"/>
        <w:gridCol w:w="37"/>
        <w:gridCol w:w="98"/>
        <w:gridCol w:w="1126"/>
        <w:gridCol w:w="145"/>
        <w:gridCol w:w="36"/>
        <w:gridCol w:w="36"/>
        <w:gridCol w:w="36"/>
        <w:gridCol w:w="99"/>
        <w:gridCol w:w="1084"/>
        <w:gridCol w:w="145"/>
        <w:gridCol w:w="36"/>
        <w:gridCol w:w="36"/>
        <w:gridCol w:w="36"/>
        <w:gridCol w:w="99"/>
        <w:gridCol w:w="1084"/>
        <w:gridCol w:w="145"/>
        <w:gridCol w:w="36"/>
        <w:gridCol w:w="36"/>
        <w:gridCol w:w="36"/>
        <w:gridCol w:w="36"/>
        <w:gridCol w:w="36"/>
        <w:gridCol w:w="36"/>
        <w:gridCol w:w="36"/>
        <w:gridCol w:w="36"/>
        <w:gridCol w:w="36"/>
        <w:gridCol w:w="36"/>
        <w:gridCol w:w="36"/>
        <w:gridCol w:w="36"/>
        <w:gridCol w:w="36"/>
        <w:gridCol w:w="36"/>
        <w:gridCol w:w="36"/>
      </w:tblGrid>
      <w:tr w:rsidR="00E836FB" w14:paraId="5F2CA12D" w14:textId="77777777">
        <w:tc>
          <w:tcPr>
            <w:tcW w:w="50" w:type="pct"/>
            <w:shd w:val="clear" w:color="auto" w:fill="auto"/>
            <w:vAlign w:val="bottom"/>
          </w:tcPr>
          <w:p w14:paraId="5F2CA116" w14:textId="77777777" w:rsidR="00E836FB" w:rsidRDefault="00E836FB">
            <w:pPr>
              <w:rPr>
                <w:rFonts w:ascii="宋体"/>
              </w:rPr>
            </w:pPr>
          </w:p>
        </w:tc>
        <w:tc>
          <w:tcPr>
            <w:tcW w:w="2319" w:type="pct"/>
            <w:shd w:val="clear" w:color="auto" w:fill="auto"/>
            <w:vAlign w:val="bottom"/>
          </w:tcPr>
          <w:p w14:paraId="5F2CA117" w14:textId="77777777" w:rsidR="00E836FB" w:rsidRDefault="00E836FB">
            <w:pPr>
              <w:rPr>
                <w:rFonts w:ascii="宋体"/>
              </w:rPr>
            </w:pPr>
          </w:p>
        </w:tc>
        <w:tc>
          <w:tcPr>
            <w:tcW w:w="5" w:type="pct"/>
            <w:shd w:val="clear" w:color="auto" w:fill="auto"/>
            <w:vAlign w:val="bottom"/>
          </w:tcPr>
          <w:p w14:paraId="5F2CA118" w14:textId="77777777" w:rsidR="00E836FB" w:rsidRDefault="00E836FB">
            <w:pPr>
              <w:rPr>
                <w:rFonts w:ascii="宋体"/>
              </w:rPr>
            </w:pPr>
          </w:p>
        </w:tc>
        <w:tc>
          <w:tcPr>
            <w:tcW w:w="50" w:type="pct"/>
            <w:shd w:val="clear" w:color="auto" w:fill="auto"/>
            <w:vAlign w:val="bottom"/>
          </w:tcPr>
          <w:p w14:paraId="5F2CA119" w14:textId="77777777" w:rsidR="00E836FB" w:rsidRDefault="00E836FB">
            <w:pPr>
              <w:rPr>
                <w:rFonts w:ascii="宋体"/>
              </w:rPr>
            </w:pPr>
          </w:p>
        </w:tc>
        <w:tc>
          <w:tcPr>
            <w:tcW w:w="778" w:type="pct"/>
            <w:shd w:val="clear" w:color="auto" w:fill="auto"/>
            <w:vAlign w:val="bottom"/>
          </w:tcPr>
          <w:p w14:paraId="5F2CA11A" w14:textId="77777777" w:rsidR="00E836FB" w:rsidRDefault="00E836FB">
            <w:pPr>
              <w:rPr>
                <w:rFonts w:ascii="宋体"/>
              </w:rPr>
            </w:pPr>
          </w:p>
        </w:tc>
        <w:tc>
          <w:tcPr>
            <w:tcW w:w="5" w:type="pct"/>
            <w:shd w:val="clear" w:color="auto" w:fill="auto"/>
            <w:vAlign w:val="bottom"/>
          </w:tcPr>
          <w:p w14:paraId="5F2CA11B" w14:textId="77777777" w:rsidR="00E836FB" w:rsidRDefault="00E836FB">
            <w:pPr>
              <w:rPr>
                <w:rFonts w:ascii="宋体"/>
              </w:rPr>
            </w:pPr>
          </w:p>
        </w:tc>
        <w:tc>
          <w:tcPr>
            <w:tcW w:w="5" w:type="pct"/>
            <w:shd w:val="clear" w:color="auto" w:fill="auto"/>
            <w:vAlign w:val="bottom"/>
          </w:tcPr>
          <w:p w14:paraId="5F2CA11C" w14:textId="77777777" w:rsidR="00E836FB" w:rsidRDefault="00E836FB">
            <w:pPr>
              <w:rPr>
                <w:rFonts w:ascii="宋体"/>
              </w:rPr>
            </w:pPr>
          </w:p>
        </w:tc>
        <w:tc>
          <w:tcPr>
            <w:tcW w:w="52" w:type="pct"/>
            <w:shd w:val="clear" w:color="auto" w:fill="auto"/>
            <w:vAlign w:val="bottom"/>
          </w:tcPr>
          <w:p w14:paraId="5F2CA11D" w14:textId="77777777" w:rsidR="00E836FB" w:rsidRDefault="00E836FB">
            <w:pPr>
              <w:rPr>
                <w:rFonts w:ascii="宋体"/>
              </w:rPr>
            </w:pPr>
          </w:p>
        </w:tc>
        <w:tc>
          <w:tcPr>
            <w:tcW w:w="5" w:type="pct"/>
            <w:shd w:val="clear" w:color="auto" w:fill="auto"/>
            <w:vAlign w:val="bottom"/>
          </w:tcPr>
          <w:p w14:paraId="5F2CA11E" w14:textId="77777777" w:rsidR="00E836FB" w:rsidRDefault="00E836FB">
            <w:pPr>
              <w:rPr>
                <w:rFonts w:ascii="宋体"/>
              </w:rPr>
            </w:pPr>
          </w:p>
        </w:tc>
        <w:tc>
          <w:tcPr>
            <w:tcW w:w="50" w:type="pct"/>
            <w:shd w:val="clear" w:color="auto" w:fill="auto"/>
            <w:vAlign w:val="bottom"/>
          </w:tcPr>
          <w:p w14:paraId="5F2CA11F" w14:textId="77777777" w:rsidR="00E836FB" w:rsidRDefault="00E836FB">
            <w:pPr>
              <w:rPr>
                <w:rFonts w:ascii="宋体"/>
              </w:rPr>
            </w:pPr>
          </w:p>
        </w:tc>
        <w:tc>
          <w:tcPr>
            <w:tcW w:w="778" w:type="pct"/>
            <w:shd w:val="clear" w:color="auto" w:fill="auto"/>
            <w:vAlign w:val="bottom"/>
          </w:tcPr>
          <w:p w14:paraId="5F2CA120" w14:textId="77777777" w:rsidR="00E836FB" w:rsidRDefault="00E836FB">
            <w:pPr>
              <w:rPr>
                <w:rFonts w:ascii="宋体"/>
              </w:rPr>
            </w:pPr>
          </w:p>
        </w:tc>
        <w:tc>
          <w:tcPr>
            <w:tcW w:w="5" w:type="pct"/>
            <w:shd w:val="clear" w:color="auto" w:fill="auto"/>
            <w:vAlign w:val="bottom"/>
          </w:tcPr>
          <w:p w14:paraId="5F2CA121" w14:textId="77777777" w:rsidR="00E836FB" w:rsidRDefault="00E836FB">
            <w:pPr>
              <w:rPr>
                <w:rFonts w:ascii="宋体"/>
              </w:rPr>
            </w:pPr>
          </w:p>
        </w:tc>
        <w:tc>
          <w:tcPr>
            <w:tcW w:w="5" w:type="pct"/>
            <w:shd w:val="clear" w:color="auto" w:fill="auto"/>
            <w:vAlign w:val="bottom"/>
          </w:tcPr>
          <w:p w14:paraId="5F2CA122" w14:textId="77777777" w:rsidR="00E836FB" w:rsidRDefault="00E836FB">
            <w:pPr>
              <w:rPr>
                <w:rFonts w:ascii="宋体"/>
              </w:rPr>
            </w:pPr>
          </w:p>
        </w:tc>
        <w:tc>
          <w:tcPr>
            <w:tcW w:w="52" w:type="pct"/>
            <w:shd w:val="clear" w:color="auto" w:fill="auto"/>
            <w:vAlign w:val="bottom"/>
          </w:tcPr>
          <w:p w14:paraId="5F2CA123" w14:textId="77777777" w:rsidR="00E836FB" w:rsidRDefault="00E836FB">
            <w:pPr>
              <w:rPr>
                <w:rFonts w:ascii="宋体"/>
              </w:rPr>
            </w:pPr>
          </w:p>
        </w:tc>
        <w:tc>
          <w:tcPr>
            <w:tcW w:w="5" w:type="pct"/>
            <w:shd w:val="clear" w:color="auto" w:fill="auto"/>
            <w:vAlign w:val="bottom"/>
          </w:tcPr>
          <w:p w14:paraId="5F2CA124" w14:textId="77777777" w:rsidR="00E836FB" w:rsidRDefault="00E836FB">
            <w:pPr>
              <w:rPr>
                <w:rFonts w:ascii="宋体"/>
              </w:rPr>
            </w:pPr>
          </w:p>
        </w:tc>
        <w:tc>
          <w:tcPr>
            <w:tcW w:w="50" w:type="pct"/>
            <w:shd w:val="clear" w:color="auto" w:fill="auto"/>
            <w:vAlign w:val="bottom"/>
          </w:tcPr>
          <w:p w14:paraId="5F2CA125" w14:textId="77777777" w:rsidR="00E836FB" w:rsidRDefault="00E836FB">
            <w:pPr>
              <w:rPr>
                <w:rFonts w:ascii="宋体"/>
              </w:rPr>
            </w:pPr>
          </w:p>
        </w:tc>
        <w:tc>
          <w:tcPr>
            <w:tcW w:w="778" w:type="pct"/>
            <w:shd w:val="clear" w:color="auto" w:fill="auto"/>
            <w:vAlign w:val="bottom"/>
          </w:tcPr>
          <w:p w14:paraId="5F2CA126" w14:textId="77777777" w:rsidR="00E836FB" w:rsidRDefault="00E836FB">
            <w:pPr>
              <w:rPr>
                <w:rFonts w:ascii="宋体"/>
              </w:rPr>
            </w:pPr>
          </w:p>
        </w:tc>
        <w:tc>
          <w:tcPr>
            <w:tcW w:w="5" w:type="pct"/>
            <w:shd w:val="clear" w:color="auto" w:fill="auto"/>
            <w:vAlign w:val="bottom"/>
          </w:tcPr>
          <w:p w14:paraId="5F2CA127" w14:textId="77777777" w:rsidR="00E836FB" w:rsidRDefault="00E836FB">
            <w:pPr>
              <w:rPr>
                <w:rFonts w:ascii="宋体"/>
              </w:rPr>
            </w:pPr>
          </w:p>
        </w:tc>
        <w:tc>
          <w:tcPr>
            <w:tcW w:w="0" w:type="auto"/>
            <w:gridSpan w:val="3"/>
            <w:shd w:val="clear" w:color="auto" w:fill="auto"/>
            <w:vAlign w:val="bottom"/>
          </w:tcPr>
          <w:p w14:paraId="5F2CA128" w14:textId="77777777" w:rsidR="00E836FB" w:rsidRDefault="00E836FB">
            <w:pPr>
              <w:rPr>
                <w:rFonts w:ascii="宋体"/>
                <w:vanish/>
              </w:rPr>
            </w:pPr>
          </w:p>
        </w:tc>
        <w:tc>
          <w:tcPr>
            <w:tcW w:w="0" w:type="auto"/>
            <w:gridSpan w:val="3"/>
            <w:shd w:val="clear" w:color="auto" w:fill="auto"/>
            <w:vAlign w:val="bottom"/>
          </w:tcPr>
          <w:p w14:paraId="5F2CA129" w14:textId="77777777" w:rsidR="00E836FB" w:rsidRDefault="00E836FB">
            <w:pPr>
              <w:rPr>
                <w:rFonts w:ascii="宋体"/>
                <w:vanish/>
              </w:rPr>
            </w:pPr>
          </w:p>
        </w:tc>
        <w:tc>
          <w:tcPr>
            <w:tcW w:w="0" w:type="auto"/>
            <w:gridSpan w:val="3"/>
            <w:shd w:val="clear" w:color="auto" w:fill="auto"/>
            <w:vAlign w:val="bottom"/>
          </w:tcPr>
          <w:p w14:paraId="5F2CA12A" w14:textId="77777777" w:rsidR="00E836FB" w:rsidRDefault="00E836FB">
            <w:pPr>
              <w:rPr>
                <w:rFonts w:ascii="宋体"/>
                <w:vanish/>
              </w:rPr>
            </w:pPr>
          </w:p>
        </w:tc>
        <w:tc>
          <w:tcPr>
            <w:tcW w:w="0" w:type="auto"/>
            <w:gridSpan w:val="3"/>
            <w:shd w:val="clear" w:color="auto" w:fill="auto"/>
            <w:vAlign w:val="bottom"/>
          </w:tcPr>
          <w:p w14:paraId="5F2CA12B" w14:textId="77777777" w:rsidR="00E836FB" w:rsidRDefault="00E836FB">
            <w:pPr>
              <w:rPr>
                <w:rFonts w:ascii="宋体"/>
                <w:vanish/>
              </w:rPr>
            </w:pPr>
          </w:p>
        </w:tc>
        <w:tc>
          <w:tcPr>
            <w:tcW w:w="0" w:type="auto"/>
            <w:gridSpan w:val="3"/>
            <w:shd w:val="clear" w:color="auto" w:fill="auto"/>
            <w:vAlign w:val="bottom"/>
          </w:tcPr>
          <w:p w14:paraId="5F2CA12C" w14:textId="77777777" w:rsidR="00E836FB" w:rsidRDefault="00E836FB">
            <w:pPr>
              <w:rPr>
                <w:rFonts w:ascii="宋体"/>
                <w:vanish/>
              </w:rPr>
            </w:pPr>
          </w:p>
        </w:tc>
      </w:tr>
      <w:tr w:rsidR="00E836FB" w14:paraId="5F2CA13E" w14:textId="77777777">
        <w:tc>
          <w:tcPr>
            <w:tcW w:w="0" w:type="auto"/>
            <w:gridSpan w:val="18"/>
            <w:shd w:val="clear" w:color="auto" w:fill="auto"/>
            <w:tcMar>
              <w:top w:w="40" w:type="dxa"/>
              <w:left w:w="20" w:type="dxa"/>
              <w:bottom w:w="40" w:type="dxa"/>
              <w:right w:w="20" w:type="dxa"/>
            </w:tcMar>
            <w:vAlign w:val="bottom"/>
          </w:tcPr>
          <w:p w14:paraId="5F2CA12E" w14:textId="77777777" w:rsidR="00E836FB" w:rsidRDefault="00994958">
            <w:pPr>
              <w:textAlignment w:val="bottom"/>
            </w:pPr>
            <w:r>
              <w:rPr>
                <w:rFonts w:ascii="Arial" w:eastAsia="宋体" w:hAnsi="Arial" w:cs="Arial"/>
                <w:b/>
                <w:bCs/>
                <w:color w:val="000000"/>
                <w:sz w:val="18"/>
                <w:szCs w:val="18"/>
              </w:rPr>
              <w:t>TABLE 1: OVERVIEW OF FINANCIAL RESULTS</w:t>
            </w:r>
          </w:p>
        </w:tc>
        <w:tc>
          <w:tcPr>
            <w:tcW w:w="0" w:type="auto"/>
            <w:shd w:val="clear" w:color="auto" w:fill="auto"/>
            <w:vAlign w:val="bottom"/>
          </w:tcPr>
          <w:p w14:paraId="5F2CA12F" w14:textId="77777777" w:rsidR="00E836FB" w:rsidRDefault="00E836FB">
            <w:pPr>
              <w:rPr>
                <w:rFonts w:ascii="宋体"/>
              </w:rPr>
            </w:pPr>
          </w:p>
        </w:tc>
        <w:tc>
          <w:tcPr>
            <w:tcW w:w="0" w:type="auto"/>
            <w:shd w:val="clear" w:color="auto" w:fill="auto"/>
            <w:vAlign w:val="bottom"/>
          </w:tcPr>
          <w:p w14:paraId="5F2CA130" w14:textId="77777777" w:rsidR="00E836FB" w:rsidRDefault="00E836FB">
            <w:pPr>
              <w:rPr>
                <w:rFonts w:ascii="宋体"/>
              </w:rPr>
            </w:pPr>
          </w:p>
        </w:tc>
        <w:tc>
          <w:tcPr>
            <w:tcW w:w="0" w:type="auto"/>
            <w:shd w:val="clear" w:color="auto" w:fill="auto"/>
            <w:vAlign w:val="bottom"/>
          </w:tcPr>
          <w:p w14:paraId="5F2CA131" w14:textId="77777777" w:rsidR="00E836FB" w:rsidRDefault="00E836FB">
            <w:pPr>
              <w:rPr>
                <w:rFonts w:ascii="宋体"/>
              </w:rPr>
            </w:pPr>
          </w:p>
        </w:tc>
        <w:tc>
          <w:tcPr>
            <w:tcW w:w="0" w:type="auto"/>
            <w:shd w:val="clear" w:color="auto" w:fill="auto"/>
            <w:vAlign w:val="bottom"/>
          </w:tcPr>
          <w:p w14:paraId="5F2CA132" w14:textId="77777777" w:rsidR="00E836FB" w:rsidRDefault="00E836FB">
            <w:pPr>
              <w:rPr>
                <w:rFonts w:ascii="宋体"/>
              </w:rPr>
            </w:pPr>
          </w:p>
        </w:tc>
        <w:tc>
          <w:tcPr>
            <w:tcW w:w="0" w:type="auto"/>
            <w:shd w:val="clear" w:color="auto" w:fill="auto"/>
            <w:vAlign w:val="bottom"/>
          </w:tcPr>
          <w:p w14:paraId="5F2CA133" w14:textId="77777777" w:rsidR="00E836FB" w:rsidRDefault="00E836FB">
            <w:pPr>
              <w:rPr>
                <w:rFonts w:ascii="宋体"/>
              </w:rPr>
            </w:pPr>
          </w:p>
        </w:tc>
        <w:tc>
          <w:tcPr>
            <w:tcW w:w="0" w:type="auto"/>
            <w:shd w:val="clear" w:color="auto" w:fill="auto"/>
            <w:vAlign w:val="bottom"/>
          </w:tcPr>
          <w:p w14:paraId="5F2CA134" w14:textId="77777777" w:rsidR="00E836FB" w:rsidRDefault="00E836FB">
            <w:pPr>
              <w:rPr>
                <w:rFonts w:ascii="宋体"/>
              </w:rPr>
            </w:pPr>
          </w:p>
        </w:tc>
        <w:tc>
          <w:tcPr>
            <w:tcW w:w="0" w:type="auto"/>
            <w:shd w:val="clear" w:color="auto" w:fill="auto"/>
            <w:vAlign w:val="bottom"/>
          </w:tcPr>
          <w:p w14:paraId="5F2CA135" w14:textId="77777777" w:rsidR="00E836FB" w:rsidRDefault="00E836FB">
            <w:pPr>
              <w:rPr>
                <w:rFonts w:ascii="宋体"/>
              </w:rPr>
            </w:pPr>
          </w:p>
        </w:tc>
        <w:tc>
          <w:tcPr>
            <w:tcW w:w="0" w:type="auto"/>
            <w:shd w:val="clear" w:color="auto" w:fill="auto"/>
            <w:vAlign w:val="bottom"/>
          </w:tcPr>
          <w:p w14:paraId="5F2CA136" w14:textId="77777777" w:rsidR="00E836FB" w:rsidRDefault="00E836FB">
            <w:pPr>
              <w:rPr>
                <w:rFonts w:ascii="宋体"/>
              </w:rPr>
            </w:pPr>
          </w:p>
        </w:tc>
        <w:tc>
          <w:tcPr>
            <w:tcW w:w="0" w:type="auto"/>
            <w:shd w:val="clear" w:color="auto" w:fill="auto"/>
            <w:vAlign w:val="bottom"/>
          </w:tcPr>
          <w:p w14:paraId="5F2CA137" w14:textId="77777777" w:rsidR="00E836FB" w:rsidRDefault="00E836FB">
            <w:pPr>
              <w:rPr>
                <w:rFonts w:ascii="宋体"/>
              </w:rPr>
            </w:pPr>
          </w:p>
        </w:tc>
        <w:tc>
          <w:tcPr>
            <w:tcW w:w="0" w:type="auto"/>
            <w:shd w:val="clear" w:color="auto" w:fill="auto"/>
            <w:vAlign w:val="bottom"/>
          </w:tcPr>
          <w:p w14:paraId="5F2CA138" w14:textId="77777777" w:rsidR="00E836FB" w:rsidRDefault="00E836FB">
            <w:pPr>
              <w:rPr>
                <w:rFonts w:ascii="宋体"/>
              </w:rPr>
            </w:pPr>
          </w:p>
        </w:tc>
        <w:tc>
          <w:tcPr>
            <w:tcW w:w="0" w:type="auto"/>
            <w:shd w:val="clear" w:color="auto" w:fill="auto"/>
            <w:vAlign w:val="bottom"/>
          </w:tcPr>
          <w:p w14:paraId="5F2CA139" w14:textId="77777777" w:rsidR="00E836FB" w:rsidRDefault="00E836FB">
            <w:pPr>
              <w:rPr>
                <w:rFonts w:ascii="宋体"/>
              </w:rPr>
            </w:pPr>
          </w:p>
        </w:tc>
        <w:tc>
          <w:tcPr>
            <w:tcW w:w="0" w:type="auto"/>
            <w:shd w:val="clear" w:color="auto" w:fill="auto"/>
            <w:vAlign w:val="bottom"/>
          </w:tcPr>
          <w:p w14:paraId="5F2CA13A" w14:textId="77777777" w:rsidR="00E836FB" w:rsidRDefault="00E836FB">
            <w:pPr>
              <w:rPr>
                <w:rFonts w:ascii="宋体"/>
              </w:rPr>
            </w:pPr>
          </w:p>
        </w:tc>
        <w:tc>
          <w:tcPr>
            <w:tcW w:w="0" w:type="auto"/>
            <w:shd w:val="clear" w:color="auto" w:fill="auto"/>
            <w:vAlign w:val="bottom"/>
          </w:tcPr>
          <w:p w14:paraId="5F2CA13B" w14:textId="77777777" w:rsidR="00E836FB" w:rsidRDefault="00E836FB">
            <w:pPr>
              <w:rPr>
                <w:rFonts w:ascii="宋体"/>
              </w:rPr>
            </w:pPr>
          </w:p>
        </w:tc>
        <w:tc>
          <w:tcPr>
            <w:tcW w:w="0" w:type="auto"/>
            <w:shd w:val="clear" w:color="auto" w:fill="auto"/>
            <w:vAlign w:val="bottom"/>
          </w:tcPr>
          <w:p w14:paraId="5F2CA13C" w14:textId="77777777" w:rsidR="00E836FB" w:rsidRDefault="00E836FB">
            <w:pPr>
              <w:rPr>
                <w:rFonts w:ascii="宋体"/>
              </w:rPr>
            </w:pPr>
          </w:p>
        </w:tc>
        <w:tc>
          <w:tcPr>
            <w:tcW w:w="0" w:type="auto"/>
            <w:shd w:val="clear" w:color="auto" w:fill="auto"/>
            <w:vAlign w:val="bottom"/>
          </w:tcPr>
          <w:p w14:paraId="5F2CA13D" w14:textId="77777777" w:rsidR="00E836FB" w:rsidRDefault="00E836FB">
            <w:pPr>
              <w:rPr>
                <w:rFonts w:ascii="宋体"/>
              </w:rPr>
            </w:pPr>
          </w:p>
        </w:tc>
      </w:tr>
      <w:tr w:rsidR="00E836FB" w14:paraId="5F2CA146" w14:textId="77777777">
        <w:tc>
          <w:tcPr>
            <w:tcW w:w="0" w:type="auto"/>
            <w:gridSpan w:val="3"/>
            <w:shd w:val="clear" w:color="auto" w:fill="auto"/>
            <w:tcMar>
              <w:top w:w="0" w:type="dxa"/>
              <w:left w:w="20" w:type="dxa"/>
              <w:bottom w:w="0" w:type="dxa"/>
              <w:right w:w="20" w:type="dxa"/>
            </w:tcMar>
            <w:vAlign w:val="bottom"/>
          </w:tcPr>
          <w:p w14:paraId="5F2CA13F"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A140"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vAlign w:val="bottom"/>
          </w:tcPr>
          <w:p w14:paraId="5F2CA141" w14:textId="77777777" w:rsidR="00E836FB" w:rsidRDefault="00E836FB">
            <w:pPr>
              <w:rPr>
                <w:rFonts w:ascii="宋体"/>
                <w:vanish/>
              </w:rPr>
            </w:pPr>
          </w:p>
        </w:tc>
        <w:tc>
          <w:tcPr>
            <w:tcW w:w="0" w:type="auto"/>
            <w:gridSpan w:val="3"/>
            <w:shd w:val="clear" w:color="auto" w:fill="auto"/>
            <w:vAlign w:val="bottom"/>
          </w:tcPr>
          <w:p w14:paraId="5F2CA142" w14:textId="77777777" w:rsidR="00E836FB" w:rsidRDefault="00E836FB">
            <w:pPr>
              <w:rPr>
                <w:rFonts w:ascii="宋体"/>
                <w:vanish/>
              </w:rPr>
            </w:pPr>
          </w:p>
        </w:tc>
        <w:tc>
          <w:tcPr>
            <w:tcW w:w="0" w:type="auto"/>
            <w:gridSpan w:val="3"/>
            <w:shd w:val="clear" w:color="auto" w:fill="auto"/>
            <w:vAlign w:val="bottom"/>
          </w:tcPr>
          <w:p w14:paraId="5F2CA143" w14:textId="77777777" w:rsidR="00E836FB" w:rsidRDefault="00E836FB">
            <w:pPr>
              <w:rPr>
                <w:rFonts w:ascii="宋体"/>
                <w:vanish/>
              </w:rPr>
            </w:pPr>
          </w:p>
        </w:tc>
        <w:tc>
          <w:tcPr>
            <w:tcW w:w="0" w:type="auto"/>
            <w:gridSpan w:val="3"/>
            <w:shd w:val="clear" w:color="auto" w:fill="auto"/>
            <w:vAlign w:val="bottom"/>
          </w:tcPr>
          <w:p w14:paraId="5F2CA144" w14:textId="77777777" w:rsidR="00E836FB" w:rsidRDefault="00E836FB">
            <w:pPr>
              <w:rPr>
                <w:rFonts w:ascii="宋体"/>
                <w:vanish/>
              </w:rPr>
            </w:pPr>
          </w:p>
        </w:tc>
        <w:tc>
          <w:tcPr>
            <w:tcW w:w="0" w:type="auto"/>
            <w:gridSpan w:val="3"/>
            <w:shd w:val="clear" w:color="auto" w:fill="auto"/>
            <w:vAlign w:val="bottom"/>
          </w:tcPr>
          <w:p w14:paraId="5F2CA145" w14:textId="77777777" w:rsidR="00E836FB" w:rsidRDefault="00E836FB">
            <w:pPr>
              <w:rPr>
                <w:rFonts w:ascii="宋体"/>
                <w:vanish/>
              </w:rPr>
            </w:pPr>
          </w:p>
        </w:tc>
      </w:tr>
      <w:tr w:rsidR="00E836FB" w14:paraId="5F2CA152" w14:textId="77777777">
        <w:tc>
          <w:tcPr>
            <w:tcW w:w="0" w:type="auto"/>
            <w:gridSpan w:val="3"/>
            <w:shd w:val="clear" w:color="auto" w:fill="auto"/>
            <w:tcMar>
              <w:top w:w="40" w:type="dxa"/>
              <w:left w:w="20" w:type="dxa"/>
              <w:bottom w:w="40" w:type="dxa"/>
              <w:right w:w="20" w:type="dxa"/>
            </w:tcMar>
            <w:vAlign w:val="bottom"/>
          </w:tcPr>
          <w:p w14:paraId="5F2CA147" w14:textId="77777777" w:rsidR="00E836FB" w:rsidRDefault="00994958">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148"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14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14A"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14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14C"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vAlign w:val="bottom"/>
          </w:tcPr>
          <w:p w14:paraId="5F2CA14D" w14:textId="77777777" w:rsidR="00E836FB" w:rsidRDefault="00E836FB">
            <w:pPr>
              <w:rPr>
                <w:rFonts w:ascii="宋体"/>
                <w:vanish/>
              </w:rPr>
            </w:pPr>
          </w:p>
        </w:tc>
        <w:tc>
          <w:tcPr>
            <w:tcW w:w="0" w:type="auto"/>
            <w:gridSpan w:val="3"/>
            <w:shd w:val="clear" w:color="auto" w:fill="auto"/>
            <w:vAlign w:val="bottom"/>
          </w:tcPr>
          <w:p w14:paraId="5F2CA14E" w14:textId="77777777" w:rsidR="00E836FB" w:rsidRDefault="00E836FB">
            <w:pPr>
              <w:rPr>
                <w:rFonts w:ascii="宋体"/>
                <w:vanish/>
              </w:rPr>
            </w:pPr>
          </w:p>
        </w:tc>
        <w:tc>
          <w:tcPr>
            <w:tcW w:w="0" w:type="auto"/>
            <w:gridSpan w:val="3"/>
            <w:shd w:val="clear" w:color="auto" w:fill="auto"/>
            <w:vAlign w:val="bottom"/>
          </w:tcPr>
          <w:p w14:paraId="5F2CA14F" w14:textId="77777777" w:rsidR="00E836FB" w:rsidRDefault="00E836FB">
            <w:pPr>
              <w:rPr>
                <w:rFonts w:ascii="宋体"/>
                <w:vanish/>
              </w:rPr>
            </w:pPr>
          </w:p>
        </w:tc>
        <w:tc>
          <w:tcPr>
            <w:tcW w:w="0" w:type="auto"/>
            <w:gridSpan w:val="3"/>
            <w:shd w:val="clear" w:color="auto" w:fill="auto"/>
            <w:vAlign w:val="bottom"/>
          </w:tcPr>
          <w:p w14:paraId="5F2CA150" w14:textId="77777777" w:rsidR="00E836FB" w:rsidRDefault="00E836FB">
            <w:pPr>
              <w:rPr>
                <w:rFonts w:ascii="宋体"/>
                <w:vanish/>
              </w:rPr>
            </w:pPr>
          </w:p>
        </w:tc>
        <w:tc>
          <w:tcPr>
            <w:tcW w:w="0" w:type="auto"/>
            <w:gridSpan w:val="3"/>
            <w:shd w:val="clear" w:color="auto" w:fill="auto"/>
            <w:vAlign w:val="bottom"/>
          </w:tcPr>
          <w:p w14:paraId="5F2CA151" w14:textId="77777777" w:rsidR="00E836FB" w:rsidRDefault="00E836FB">
            <w:pPr>
              <w:rPr>
                <w:rFonts w:ascii="宋体"/>
                <w:vanish/>
              </w:rPr>
            </w:pPr>
          </w:p>
        </w:tc>
      </w:tr>
      <w:tr w:rsidR="00E836FB" w14:paraId="5F2CA164" w14:textId="77777777">
        <w:tc>
          <w:tcPr>
            <w:tcW w:w="0" w:type="auto"/>
            <w:gridSpan w:val="3"/>
            <w:shd w:val="clear" w:color="auto" w:fill="CCEEFF"/>
            <w:tcMar>
              <w:top w:w="40" w:type="dxa"/>
              <w:left w:w="20" w:type="dxa"/>
              <w:bottom w:w="40" w:type="dxa"/>
              <w:right w:w="20" w:type="dxa"/>
            </w:tcMar>
            <w:vAlign w:val="bottom"/>
          </w:tcPr>
          <w:p w14:paraId="5F2CA153" w14:textId="77777777" w:rsidR="00E836FB" w:rsidRDefault="00994958">
            <w:pPr>
              <w:textAlignment w:val="bottom"/>
            </w:pPr>
            <w:r>
              <w:rPr>
                <w:rFonts w:ascii="Arial" w:eastAsia="宋体" w:hAnsi="Arial" w:cs="Arial"/>
                <w:color w:val="000000"/>
                <w:sz w:val="14"/>
                <w:szCs w:val="14"/>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15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155" w14:textId="77777777" w:rsidR="00E836FB" w:rsidRDefault="00994958">
            <w:pPr>
              <w:jc w:val="right"/>
              <w:textAlignment w:val="bottom"/>
            </w:pPr>
            <w:r>
              <w:rPr>
                <w:rFonts w:ascii="Arial" w:eastAsia="宋体" w:hAnsi="Arial" w:cs="Arial"/>
                <w:b/>
                <w:bCs/>
                <w:color w:val="000000"/>
                <w:sz w:val="14"/>
                <w:szCs w:val="14"/>
              </w:rPr>
              <w:t>10,012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5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15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159" w14:textId="77777777" w:rsidR="00E836FB" w:rsidRDefault="00994958">
            <w:pPr>
              <w:jc w:val="right"/>
              <w:textAlignment w:val="bottom"/>
            </w:pPr>
            <w:r>
              <w:rPr>
                <w:rFonts w:ascii="Arial" w:eastAsia="宋体" w:hAnsi="Arial" w:cs="Arial"/>
                <w:color w:val="000000"/>
                <w:sz w:val="14"/>
                <w:szCs w:val="14"/>
              </w:rPr>
              <w:t>9,499 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5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15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15D" w14:textId="77777777" w:rsidR="00E836FB" w:rsidRDefault="00994958">
            <w:pPr>
              <w:jc w:val="right"/>
              <w:textAlignment w:val="bottom"/>
            </w:pPr>
            <w:r>
              <w:rPr>
                <w:rFonts w:ascii="Arial" w:eastAsia="宋体" w:hAnsi="Arial" w:cs="Arial"/>
                <w:color w:val="000000"/>
                <w:sz w:val="14"/>
                <w:szCs w:val="14"/>
              </w:rPr>
              <w:t>9,147 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5E" w14:textId="77777777" w:rsidR="00E836FB" w:rsidRDefault="00E836FB">
            <w:pPr>
              <w:jc w:val="right"/>
              <w:rPr>
                <w:rFonts w:ascii="宋体"/>
              </w:rPr>
            </w:pPr>
          </w:p>
        </w:tc>
        <w:tc>
          <w:tcPr>
            <w:tcW w:w="0" w:type="auto"/>
            <w:gridSpan w:val="3"/>
            <w:shd w:val="clear" w:color="auto" w:fill="auto"/>
            <w:vAlign w:val="bottom"/>
          </w:tcPr>
          <w:p w14:paraId="5F2CA15F" w14:textId="77777777" w:rsidR="00E836FB" w:rsidRDefault="00E836FB">
            <w:pPr>
              <w:rPr>
                <w:rFonts w:ascii="宋体"/>
                <w:vanish/>
              </w:rPr>
            </w:pPr>
          </w:p>
        </w:tc>
        <w:tc>
          <w:tcPr>
            <w:tcW w:w="0" w:type="auto"/>
            <w:gridSpan w:val="3"/>
            <w:shd w:val="clear" w:color="auto" w:fill="auto"/>
            <w:vAlign w:val="bottom"/>
          </w:tcPr>
          <w:p w14:paraId="5F2CA160" w14:textId="77777777" w:rsidR="00E836FB" w:rsidRDefault="00E836FB">
            <w:pPr>
              <w:rPr>
                <w:rFonts w:ascii="宋体"/>
                <w:vanish/>
              </w:rPr>
            </w:pPr>
          </w:p>
        </w:tc>
        <w:tc>
          <w:tcPr>
            <w:tcW w:w="0" w:type="auto"/>
            <w:gridSpan w:val="3"/>
            <w:shd w:val="clear" w:color="auto" w:fill="auto"/>
            <w:vAlign w:val="bottom"/>
          </w:tcPr>
          <w:p w14:paraId="5F2CA161" w14:textId="77777777" w:rsidR="00E836FB" w:rsidRDefault="00E836FB">
            <w:pPr>
              <w:rPr>
                <w:rFonts w:ascii="宋体"/>
                <w:vanish/>
              </w:rPr>
            </w:pPr>
          </w:p>
        </w:tc>
        <w:tc>
          <w:tcPr>
            <w:tcW w:w="0" w:type="auto"/>
            <w:gridSpan w:val="3"/>
            <w:shd w:val="clear" w:color="auto" w:fill="auto"/>
            <w:vAlign w:val="bottom"/>
          </w:tcPr>
          <w:p w14:paraId="5F2CA162" w14:textId="77777777" w:rsidR="00E836FB" w:rsidRDefault="00E836FB">
            <w:pPr>
              <w:rPr>
                <w:rFonts w:ascii="宋体"/>
                <w:vanish/>
              </w:rPr>
            </w:pPr>
          </w:p>
        </w:tc>
        <w:tc>
          <w:tcPr>
            <w:tcW w:w="0" w:type="auto"/>
            <w:gridSpan w:val="3"/>
            <w:shd w:val="clear" w:color="auto" w:fill="auto"/>
            <w:vAlign w:val="bottom"/>
          </w:tcPr>
          <w:p w14:paraId="5F2CA163" w14:textId="77777777" w:rsidR="00E836FB" w:rsidRDefault="00E836FB">
            <w:pPr>
              <w:rPr>
                <w:rFonts w:ascii="宋体"/>
                <w:vanish/>
              </w:rPr>
            </w:pPr>
          </w:p>
        </w:tc>
      </w:tr>
      <w:tr w:rsidR="00E836FB" w14:paraId="5F2CA173" w14:textId="77777777">
        <w:tc>
          <w:tcPr>
            <w:tcW w:w="0" w:type="auto"/>
            <w:gridSpan w:val="3"/>
            <w:shd w:val="clear" w:color="auto" w:fill="FFFFFF"/>
            <w:tcMar>
              <w:top w:w="40" w:type="dxa"/>
              <w:left w:w="20" w:type="dxa"/>
              <w:bottom w:w="40" w:type="dxa"/>
              <w:right w:w="20" w:type="dxa"/>
            </w:tcMar>
            <w:vAlign w:val="bottom"/>
          </w:tcPr>
          <w:p w14:paraId="5F2CA165"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5F2CA166" w14:textId="77777777" w:rsidR="00E836FB" w:rsidRDefault="00994958">
            <w:pPr>
              <w:jc w:val="right"/>
              <w:textAlignment w:val="bottom"/>
            </w:pPr>
            <w:r>
              <w:rPr>
                <w:rFonts w:ascii="Arial" w:eastAsia="宋体" w:hAnsi="Arial" w:cs="Arial"/>
                <w:b/>
                <w:bCs/>
                <w:color w:val="000000"/>
                <w:sz w:val="14"/>
                <w:szCs w:val="14"/>
              </w:rPr>
              <w:t>1,905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16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6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169" w14:textId="77777777" w:rsidR="00E836FB" w:rsidRDefault="00994958">
            <w:pPr>
              <w:jc w:val="right"/>
              <w:textAlignment w:val="bottom"/>
            </w:pPr>
            <w:r>
              <w:rPr>
                <w:rFonts w:ascii="Arial" w:eastAsia="宋体" w:hAnsi="Arial" w:cs="Arial"/>
                <w:color w:val="000000"/>
                <w:sz w:val="14"/>
                <w:szCs w:val="14"/>
              </w:rPr>
              <w:t>2,200 </w:t>
            </w:r>
          </w:p>
        </w:tc>
        <w:tc>
          <w:tcPr>
            <w:tcW w:w="0" w:type="auto"/>
            <w:shd w:val="clear" w:color="auto" w:fill="FFFFFF"/>
            <w:tcMar>
              <w:top w:w="40" w:type="dxa"/>
              <w:left w:w="0" w:type="dxa"/>
              <w:bottom w:w="40" w:type="dxa"/>
              <w:right w:w="20" w:type="dxa"/>
            </w:tcMar>
            <w:vAlign w:val="bottom"/>
          </w:tcPr>
          <w:p w14:paraId="5F2CA16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6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16C" w14:textId="77777777" w:rsidR="00E836FB" w:rsidRDefault="00994958">
            <w:pPr>
              <w:jc w:val="right"/>
              <w:textAlignment w:val="bottom"/>
            </w:pPr>
            <w:r>
              <w:rPr>
                <w:rFonts w:ascii="Arial" w:eastAsia="宋体" w:hAnsi="Arial" w:cs="Arial"/>
                <w:color w:val="000000"/>
                <w:sz w:val="14"/>
                <w:szCs w:val="14"/>
              </w:rPr>
              <w:t>2,566 </w:t>
            </w:r>
          </w:p>
        </w:tc>
        <w:tc>
          <w:tcPr>
            <w:tcW w:w="0" w:type="auto"/>
            <w:shd w:val="clear" w:color="auto" w:fill="FFFFFF"/>
            <w:tcMar>
              <w:top w:w="40" w:type="dxa"/>
              <w:left w:w="0" w:type="dxa"/>
              <w:bottom w:w="40" w:type="dxa"/>
              <w:right w:w="20" w:type="dxa"/>
            </w:tcMar>
            <w:vAlign w:val="bottom"/>
          </w:tcPr>
          <w:p w14:paraId="5F2CA16D" w14:textId="77777777" w:rsidR="00E836FB" w:rsidRDefault="00E836FB">
            <w:pPr>
              <w:jc w:val="right"/>
              <w:rPr>
                <w:rFonts w:ascii="宋体"/>
              </w:rPr>
            </w:pPr>
          </w:p>
        </w:tc>
        <w:tc>
          <w:tcPr>
            <w:tcW w:w="0" w:type="auto"/>
            <w:gridSpan w:val="3"/>
            <w:shd w:val="clear" w:color="auto" w:fill="auto"/>
            <w:vAlign w:val="bottom"/>
          </w:tcPr>
          <w:p w14:paraId="5F2CA16E" w14:textId="77777777" w:rsidR="00E836FB" w:rsidRDefault="00E836FB">
            <w:pPr>
              <w:rPr>
                <w:rFonts w:ascii="宋体"/>
                <w:vanish/>
              </w:rPr>
            </w:pPr>
          </w:p>
        </w:tc>
        <w:tc>
          <w:tcPr>
            <w:tcW w:w="0" w:type="auto"/>
            <w:gridSpan w:val="3"/>
            <w:shd w:val="clear" w:color="auto" w:fill="auto"/>
            <w:vAlign w:val="bottom"/>
          </w:tcPr>
          <w:p w14:paraId="5F2CA16F" w14:textId="77777777" w:rsidR="00E836FB" w:rsidRDefault="00E836FB">
            <w:pPr>
              <w:rPr>
                <w:rFonts w:ascii="宋体"/>
                <w:vanish/>
              </w:rPr>
            </w:pPr>
          </w:p>
        </w:tc>
        <w:tc>
          <w:tcPr>
            <w:tcW w:w="0" w:type="auto"/>
            <w:gridSpan w:val="3"/>
            <w:shd w:val="clear" w:color="auto" w:fill="auto"/>
            <w:vAlign w:val="bottom"/>
          </w:tcPr>
          <w:p w14:paraId="5F2CA170" w14:textId="77777777" w:rsidR="00E836FB" w:rsidRDefault="00E836FB">
            <w:pPr>
              <w:rPr>
                <w:rFonts w:ascii="宋体"/>
                <w:vanish/>
              </w:rPr>
            </w:pPr>
          </w:p>
        </w:tc>
        <w:tc>
          <w:tcPr>
            <w:tcW w:w="0" w:type="auto"/>
            <w:gridSpan w:val="3"/>
            <w:shd w:val="clear" w:color="auto" w:fill="auto"/>
            <w:vAlign w:val="bottom"/>
          </w:tcPr>
          <w:p w14:paraId="5F2CA171" w14:textId="77777777" w:rsidR="00E836FB" w:rsidRDefault="00E836FB">
            <w:pPr>
              <w:rPr>
                <w:rFonts w:ascii="宋体"/>
                <w:vanish/>
              </w:rPr>
            </w:pPr>
          </w:p>
        </w:tc>
        <w:tc>
          <w:tcPr>
            <w:tcW w:w="0" w:type="auto"/>
            <w:gridSpan w:val="3"/>
            <w:shd w:val="clear" w:color="auto" w:fill="auto"/>
            <w:vAlign w:val="bottom"/>
          </w:tcPr>
          <w:p w14:paraId="5F2CA172" w14:textId="77777777" w:rsidR="00E836FB" w:rsidRDefault="00E836FB">
            <w:pPr>
              <w:rPr>
                <w:rFonts w:ascii="宋体"/>
                <w:vanish/>
              </w:rPr>
            </w:pPr>
          </w:p>
        </w:tc>
      </w:tr>
      <w:tr w:rsidR="00E836FB" w14:paraId="5F2CA182" w14:textId="77777777">
        <w:tc>
          <w:tcPr>
            <w:tcW w:w="0" w:type="auto"/>
            <w:gridSpan w:val="3"/>
            <w:shd w:val="clear" w:color="auto" w:fill="CCEEFF"/>
            <w:tcMar>
              <w:top w:w="40" w:type="dxa"/>
              <w:left w:w="20" w:type="dxa"/>
              <w:bottom w:w="40" w:type="dxa"/>
              <w:right w:w="20" w:type="dxa"/>
            </w:tcMar>
            <w:vAlign w:val="bottom"/>
          </w:tcPr>
          <w:p w14:paraId="5F2CA174" w14:textId="77777777" w:rsidR="00E836FB" w:rsidRDefault="00994958">
            <w:pPr>
              <w:textAlignment w:val="bottom"/>
            </w:pPr>
            <w:r>
              <w:rPr>
                <w:rFonts w:ascii="Arial" w:eastAsia="宋体" w:hAnsi="Arial" w:cs="Arial"/>
                <w:color w:val="000000"/>
                <w:sz w:val="14"/>
                <w:szCs w:val="14"/>
              </w:rPr>
              <w:t>Total other</w:t>
            </w:r>
            <w:r>
              <w:rPr>
                <w:rFonts w:ascii="Arial" w:eastAsia="宋体" w:hAnsi="Arial" w:cs="Arial"/>
                <w:color w:val="000000"/>
                <w:sz w:val="14"/>
                <w:szCs w:val="14"/>
              </w:rPr>
              <w:t xml:space="preserve"> income</w:t>
            </w:r>
          </w:p>
        </w:tc>
        <w:tc>
          <w:tcPr>
            <w:tcW w:w="0" w:type="auto"/>
            <w:gridSpan w:val="2"/>
            <w:shd w:val="clear" w:color="auto" w:fill="CCEEFF"/>
            <w:tcMar>
              <w:top w:w="40" w:type="dxa"/>
              <w:left w:w="20" w:type="dxa"/>
              <w:bottom w:w="40" w:type="dxa"/>
              <w:right w:w="0" w:type="dxa"/>
            </w:tcMar>
            <w:vAlign w:val="bottom"/>
          </w:tcPr>
          <w:p w14:paraId="5F2CA175" w14:textId="77777777" w:rsidR="00E836FB" w:rsidRDefault="00994958">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1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7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178"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F2CA1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7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17B"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CCEEFF"/>
            <w:tcMar>
              <w:top w:w="40" w:type="dxa"/>
              <w:left w:w="0" w:type="dxa"/>
              <w:bottom w:w="40" w:type="dxa"/>
              <w:right w:w="20" w:type="dxa"/>
            </w:tcMar>
            <w:vAlign w:val="bottom"/>
          </w:tcPr>
          <w:p w14:paraId="5F2CA17C" w14:textId="77777777" w:rsidR="00E836FB" w:rsidRDefault="00E836FB">
            <w:pPr>
              <w:jc w:val="right"/>
              <w:rPr>
                <w:rFonts w:ascii="宋体"/>
              </w:rPr>
            </w:pPr>
          </w:p>
        </w:tc>
        <w:tc>
          <w:tcPr>
            <w:tcW w:w="0" w:type="auto"/>
            <w:gridSpan w:val="3"/>
            <w:shd w:val="clear" w:color="auto" w:fill="auto"/>
            <w:vAlign w:val="bottom"/>
          </w:tcPr>
          <w:p w14:paraId="5F2CA17D" w14:textId="77777777" w:rsidR="00E836FB" w:rsidRDefault="00E836FB">
            <w:pPr>
              <w:rPr>
                <w:rFonts w:ascii="宋体"/>
                <w:vanish/>
              </w:rPr>
            </w:pPr>
          </w:p>
        </w:tc>
        <w:tc>
          <w:tcPr>
            <w:tcW w:w="0" w:type="auto"/>
            <w:gridSpan w:val="3"/>
            <w:shd w:val="clear" w:color="auto" w:fill="auto"/>
            <w:vAlign w:val="bottom"/>
          </w:tcPr>
          <w:p w14:paraId="5F2CA17E" w14:textId="77777777" w:rsidR="00E836FB" w:rsidRDefault="00E836FB">
            <w:pPr>
              <w:rPr>
                <w:rFonts w:ascii="宋体"/>
                <w:vanish/>
              </w:rPr>
            </w:pPr>
          </w:p>
        </w:tc>
        <w:tc>
          <w:tcPr>
            <w:tcW w:w="0" w:type="auto"/>
            <w:gridSpan w:val="3"/>
            <w:shd w:val="clear" w:color="auto" w:fill="auto"/>
            <w:vAlign w:val="bottom"/>
          </w:tcPr>
          <w:p w14:paraId="5F2CA17F" w14:textId="77777777" w:rsidR="00E836FB" w:rsidRDefault="00E836FB">
            <w:pPr>
              <w:rPr>
                <w:rFonts w:ascii="宋体"/>
                <w:vanish/>
              </w:rPr>
            </w:pPr>
          </w:p>
        </w:tc>
        <w:tc>
          <w:tcPr>
            <w:tcW w:w="0" w:type="auto"/>
            <w:gridSpan w:val="3"/>
            <w:shd w:val="clear" w:color="auto" w:fill="auto"/>
            <w:vAlign w:val="bottom"/>
          </w:tcPr>
          <w:p w14:paraId="5F2CA180" w14:textId="77777777" w:rsidR="00E836FB" w:rsidRDefault="00E836FB">
            <w:pPr>
              <w:rPr>
                <w:rFonts w:ascii="宋体"/>
                <w:vanish/>
              </w:rPr>
            </w:pPr>
          </w:p>
        </w:tc>
        <w:tc>
          <w:tcPr>
            <w:tcW w:w="0" w:type="auto"/>
            <w:gridSpan w:val="3"/>
            <w:shd w:val="clear" w:color="auto" w:fill="auto"/>
            <w:vAlign w:val="bottom"/>
          </w:tcPr>
          <w:p w14:paraId="5F2CA181" w14:textId="77777777" w:rsidR="00E836FB" w:rsidRDefault="00E836FB">
            <w:pPr>
              <w:rPr>
                <w:rFonts w:ascii="宋体"/>
                <w:vanish/>
              </w:rPr>
            </w:pPr>
          </w:p>
        </w:tc>
      </w:tr>
      <w:tr w:rsidR="00E836FB" w14:paraId="5F2CA191" w14:textId="77777777">
        <w:tc>
          <w:tcPr>
            <w:tcW w:w="0" w:type="auto"/>
            <w:gridSpan w:val="3"/>
            <w:shd w:val="clear" w:color="auto" w:fill="FFFFFF"/>
            <w:tcMar>
              <w:top w:w="40" w:type="dxa"/>
              <w:left w:w="20" w:type="dxa"/>
              <w:bottom w:w="40" w:type="dxa"/>
              <w:right w:w="20" w:type="dxa"/>
            </w:tcMar>
            <w:vAlign w:val="bottom"/>
          </w:tcPr>
          <w:p w14:paraId="5F2CA183" w14:textId="77777777" w:rsidR="00E836FB" w:rsidRDefault="00994958">
            <w:pPr>
              <w:textAlignment w:val="bottom"/>
            </w:pPr>
            <w:r>
              <w:rPr>
                <w:rFonts w:ascii="Arial" w:eastAsia="宋体" w:hAnsi="Arial" w:cs="Arial"/>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184" w14:textId="77777777" w:rsidR="00E836FB" w:rsidRDefault="00994958">
            <w:pPr>
              <w:jc w:val="right"/>
              <w:textAlignment w:val="bottom"/>
            </w:pPr>
            <w:r>
              <w:rPr>
                <w:rFonts w:ascii="Arial" w:eastAsia="宋体" w:hAnsi="Arial" w:cs="Arial"/>
                <w:b/>
                <w:bCs/>
                <w:color w:val="000000"/>
                <w:sz w:val="14"/>
                <w:szCs w:val="14"/>
              </w:rPr>
              <w:t>12,027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1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8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187" w14:textId="77777777" w:rsidR="00E836FB" w:rsidRDefault="00994958">
            <w:pPr>
              <w:jc w:val="right"/>
              <w:textAlignment w:val="bottom"/>
            </w:pPr>
            <w:r>
              <w:rPr>
                <w:rFonts w:ascii="Arial" w:eastAsia="宋体" w:hAnsi="Arial" w:cs="Arial"/>
                <w:color w:val="000000"/>
                <w:sz w:val="14"/>
                <w:szCs w:val="14"/>
              </w:rPr>
              <w:t>11,703 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1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8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18A" w14:textId="77777777" w:rsidR="00E836FB" w:rsidRDefault="00994958">
            <w:pPr>
              <w:jc w:val="right"/>
              <w:textAlignment w:val="bottom"/>
            </w:pPr>
            <w:r>
              <w:rPr>
                <w:rFonts w:ascii="Arial" w:eastAsia="宋体" w:hAnsi="Arial" w:cs="Arial"/>
                <w:color w:val="000000"/>
                <w:sz w:val="14"/>
                <w:szCs w:val="14"/>
              </w:rPr>
              <w:t>11,756 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18B" w14:textId="77777777" w:rsidR="00E836FB" w:rsidRDefault="00E836FB">
            <w:pPr>
              <w:jc w:val="right"/>
              <w:rPr>
                <w:rFonts w:ascii="宋体"/>
              </w:rPr>
            </w:pPr>
          </w:p>
        </w:tc>
        <w:tc>
          <w:tcPr>
            <w:tcW w:w="0" w:type="auto"/>
            <w:gridSpan w:val="3"/>
            <w:shd w:val="clear" w:color="auto" w:fill="auto"/>
            <w:vAlign w:val="bottom"/>
          </w:tcPr>
          <w:p w14:paraId="5F2CA18C" w14:textId="77777777" w:rsidR="00E836FB" w:rsidRDefault="00E836FB">
            <w:pPr>
              <w:rPr>
                <w:rFonts w:ascii="宋体"/>
                <w:vanish/>
              </w:rPr>
            </w:pPr>
          </w:p>
        </w:tc>
        <w:tc>
          <w:tcPr>
            <w:tcW w:w="0" w:type="auto"/>
            <w:gridSpan w:val="3"/>
            <w:shd w:val="clear" w:color="auto" w:fill="auto"/>
            <w:vAlign w:val="bottom"/>
          </w:tcPr>
          <w:p w14:paraId="5F2CA18D" w14:textId="77777777" w:rsidR="00E836FB" w:rsidRDefault="00E836FB">
            <w:pPr>
              <w:rPr>
                <w:rFonts w:ascii="宋体"/>
                <w:vanish/>
              </w:rPr>
            </w:pPr>
          </w:p>
        </w:tc>
        <w:tc>
          <w:tcPr>
            <w:tcW w:w="0" w:type="auto"/>
            <w:gridSpan w:val="3"/>
            <w:shd w:val="clear" w:color="auto" w:fill="auto"/>
            <w:vAlign w:val="bottom"/>
          </w:tcPr>
          <w:p w14:paraId="5F2CA18E" w14:textId="77777777" w:rsidR="00E836FB" w:rsidRDefault="00E836FB">
            <w:pPr>
              <w:rPr>
                <w:rFonts w:ascii="宋体"/>
                <w:vanish/>
              </w:rPr>
            </w:pPr>
          </w:p>
        </w:tc>
        <w:tc>
          <w:tcPr>
            <w:tcW w:w="0" w:type="auto"/>
            <w:gridSpan w:val="3"/>
            <w:shd w:val="clear" w:color="auto" w:fill="auto"/>
            <w:vAlign w:val="bottom"/>
          </w:tcPr>
          <w:p w14:paraId="5F2CA18F" w14:textId="77777777" w:rsidR="00E836FB" w:rsidRDefault="00E836FB">
            <w:pPr>
              <w:rPr>
                <w:rFonts w:ascii="宋体"/>
                <w:vanish/>
              </w:rPr>
            </w:pPr>
          </w:p>
        </w:tc>
        <w:tc>
          <w:tcPr>
            <w:tcW w:w="0" w:type="auto"/>
            <w:gridSpan w:val="3"/>
            <w:shd w:val="clear" w:color="auto" w:fill="auto"/>
            <w:vAlign w:val="bottom"/>
          </w:tcPr>
          <w:p w14:paraId="5F2CA190" w14:textId="77777777" w:rsidR="00E836FB" w:rsidRDefault="00E836FB">
            <w:pPr>
              <w:rPr>
                <w:rFonts w:ascii="宋体"/>
                <w:vanish/>
              </w:rPr>
            </w:pPr>
          </w:p>
        </w:tc>
      </w:tr>
      <w:tr w:rsidR="00E836FB" w14:paraId="5F2CA1A0" w14:textId="77777777">
        <w:tc>
          <w:tcPr>
            <w:tcW w:w="0" w:type="auto"/>
            <w:gridSpan w:val="3"/>
            <w:shd w:val="clear" w:color="auto" w:fill="CCEEFF"/>
            <w:tcMar>
              <w:top w:w="40" w:type="dxa"/>
              <w:left w:w="20" w:type="dxa"/>
              <w:bottom w:w="40" w:type="dxa"/>
              <w:right w:w="20" w:type="dxa"/>
            </w:tcMar>
            <w:vAlign w:val="bottom"/>
          </w:tcPr>
          <w:p w14:paraId="5F2CA192" w14:textId="77777777" w:rsidR="00E836FB" w:rsidRDefault="00994958">
            <w:pPr>
              <w:textAlignment w:val="bottom"/>
            </w:pPr>
            <w:r>
              <w:rPr>
                <w:rFonts w:ascii="Arial" w:eastAsia="宋体" w:hAnsi="Arial" w:cs="Arial"/>
                <w:color w:val="000000"/>
                <w:sz w:val="14"/>
                <w:szCs w:val="14"/>
              </w:rPr>
              <w:t>Provision for credit losses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CA193" w14:textId="77777777" w:rsidR="00E836FB" w:rsidRDefault="00994958">
            <w:pPr>
              <w:jc w:val="right"/>
              <w:textAlignment w:val="bottom"/>
            </w:pPr>
            <w:r>
              <w:rPr>
                <w:rFonts w:ascii="Arial" w:eastAsia="宋体" w:hAnsi="Arial" w:cs="Arial"/>
                <w:b/>
                <w:bCs/>
                <w:color w:val="000000"/>
                <w:sz w:val="14"/>
                <w:szCs w:val="14"/>
              </w:rPr>
              <w:t>(33)</w:t>
            </w:r>
          </w:p>
        </w:tc>
        <w:tc>
          <w:tcPr>
            <w:tcW w:w="0" w:type="auto"/>
            <w:shd w:val="clear" w:color="auto" w:fill="CCEEFF"/>
            <w:tcMar>
              <w:top w:w="40" w:type="dxa"/>
              <w:left w:w="0" w:type="dxa"/>
              <w:bottom w:w="40" w:type="dxa"/>
              <w:right w:w="20" w:type="dxa"/>
            </w:tcMar>
            <w:vAlign w:val="bottom"/>
          </w:tcPr>
          <w:p w14:paraId="5F2CA1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9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196" w14:textId="77777777" w:rsidR="00E836FB" w:rsidRDefault="00994958">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5F2CA1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199"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F2CA19A" w14:textId="77777777" w:rsidR="00E836FB" w:rsidRDefault="00E836FB">
            <w:pPr>
              <w:jc w:val="right"/>
              <w:rPr>
                <w:rFonts w:ascii="宋体"/>
              </w:rPr>
            </w:pPr>
          </w:p>
        </w:tc>
        <w:tc>
          <w:tcPr>
            <w:tcW w:w="0" w:type="auto"/>
            <w:gridSpan w:val="3"/>
            <w:shd w:val="clear" w:color="auto" w:fill="auto"/>
            <w:vAlign w:val="bottom"/>
          </w:tcPr>
          <w:p w14:paraId="5F2CA19B" w14:textId="77777777" w:rsidR="00E836FB" w:rsidRDefault="00E836FB">
            <w:pPr>
              <w:rPr>
                <w:rFonts w:ascii="宋体"/>
                <w:vanish/>
              </w:rPr>
            </w:pPr>
          </w:p>
        </w:tc>
        <w:tc>
          <w:tcPr>
            <w:tcW w:w="0" w:type="auto"/>
            <w:gridSpan w:val="3"/>
            <w:shd w:val="clear" w:color="auto" w:fill="auto"/>
            <w:vAlign w:val="bottom"/>
          </w:tcPr>
          <w:p w14:paraId="5F2CA19C" w14:textId="77777777" w:rsidR="00E836FB" w:rsidRDefault="00E836FB">
            <w:pPr>
              <w:rPr>
                <w:rFonts w:ascii="宋体"/>
                <w:vanish/>
              </w:rPr>
            </w:pPr>
          </w:p>
        </w:tc>
        <w:tc>
          <w:tcPr>
            <w:tcW w:w="0" w:type="auto"/>
            <w:gridSpan w:val="3"/>
            <w:shd w:val="clear" w:color="auto" w:fill="auto"/>
            <w:vAlign w:val="bottom"/>
          </w:tcPr>
          <w:p w14:paraId="5F2CA19D" w14:textId="77777777" w:rsidR="00E836FB" w:rsidRDefault="00E836FB">
            <w:pPr>
              <w:rPr>
                <w:rFonts w:ascii="宋体"/>
                <w:vanish/>
              </w:rPr>
            </w:pPr>
          </w:p>
        </w:tc>
        <w:tc>
          <w:tcPr>
            <w:tcW w:w="0" w:type="auto"/>
            <w:gridSpan w:val="3"/>
            <w:shd w:val="clear" w:color="auto" w:fill="auto"/>
            <w:vAlign w:val="bottom"/>
          </w:tcPr>
          <w:p w14:paraId="5F2CA19E" w14:textId="77777777" w:rsidR="00E836FB" w:rsidRDefault="00E836FB">
            <w:pPr>
              <w:rPr>
                <w:rFonts w:ascii="宋体"/>
                <w:vanish/>
              </w:rPr>
            </w:pPr>
          </w:p>
        </w:tc>
        <w:tc>
          <w:tcPr>
            <w:tcW w:w="0" w:type="auto"/>
            <w:gridSpan w:val="3"/>
            <w:shd w:val="clear" w:color="auto" w:fill="auto"/>
            <w:vAlign w:val="bottom"/>
          </w:tcPr>
          <w:p w14:paraId="5F2CA19F" w14:textId="77777777" w:rsidR="00E836FB" w:rsidRDefault="00E836FB">
            <w:pPr>
              <w:rPr>
                <w:rFonts w:ascii="宋体"/>
                <w:vanish/>
              </w:rPr>
            </w:pPr>
          </w:p>
        </w:tc>
      </w:tr>
      <w:tr w:rsidR="00E836FB" w14:paraId="5F2CA1AF" w14:textId="77777777">
        <w:tc>
          <w:tcPr>
            <w:tcW w:w="0" w:type="auto"/>
            <w:gridSpan w:val="3"/>
            <w:shd w:val="clear" w:color="auto" w:fill="FFFFFF"/>
            <w:tcMar>
              <w:top w:w="40" w:type="dxa"/>
              <w:left w:w="20" w:type="dxa"/>
              <w:bottom w:w="40" w:type="dxa"/>
              <w:right w:w="20" w:type="dxa"/>
            </w:tcMar>
            <w:vAlign w:val="bottom"/>
          </w:tcPr>
          <w:p w14:paraId="5F2CA1A1" w14:textId="77777777" w:rsidR="00E836FB" w:rsidRDefault="00994958">
            <w:pPr>
              <w:textAlignment w:val="bottom"/>
            </w:pPr>
            <w:r>
              <w:rPr>
                <w:rFonts w:ascii="Arial" w:eastAsia="宋体" w:hAnsi="Arial" w:cs="Arial"/>
                <w:color w:val="000000"/>
                <w:sz w:val="14"/>
                <w:szCs w:val="14"/>
              </w:rPr>
              <w:t>Total expen</w:t>
            </w:r>
            <w:r>
              <w:rPr>
                <w:rFonts w:ascii="Arial" w:eastAsia="宋体" w:hAnsi="Arial" w:cs="Arial"/>
                <w:color w:val="000000"/>
                <w:sz w:val="14"/>
                <w:szCs w:val="14"/>
              </w:rPr>
              <w:t>ses</w:t>
            </w:r>
          </w:p>
        </w:tc>
        <w:tc>
          <w:tcPr>
            <w:tcW w:w="0" w:type="auto"/>
            <w:gridSpan w:val="2"/>
            <w:shd w:val="clear" w:color="auto" w:fill="FFFFFF"/>
            <w:tcMar>
              <w:top w:w="40" w:type="dxa"/>
              <w:left w:w="20" w:type="dxa"/>
              <w:bottom w:w="40" w:type="dxa"/>
              <w:right w:w="0" w:type="dxa"/>
            </w:tcMar>
            <w:vAlign w:val="bottom"/>
          </w:tcPr>
          <w:p w14:paraId="5F2CA1A2" w14:textId="77777777" w:rsidR="00E836FB" w:rsidRDefault="00994958">
            <w:pPr>
              <w:jc w:val="right"/>
              <w:textAlignment w:val="bottom"/>
            </w:pPr>
            <w:r>
              <w:rPr>
                <w:rFonts w:ascii="Arial" w:eastAsia="宋体" w:hAnsi="Arial" w:cs="Arial"/>
                <w:b/>
                <w:bCs/>
                <w:color w:val="000000"/>
                <w:sz w:val="14"/>
                <w:szCs w:val="14"/>
              </w:rPr>
              <w:t>8,889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1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1A5" w14:textId="77777777" w:rsidR="00E836FB" w:rsidRDefault="00994958">
            <w:pPr>
              <w:jc w:val="right"/>
              <w:textAlignment w:val="bottom"/>
            </w:pPr>
            <w:r>
              <w:rPr>
                <w:rFonts w:ascii="Arial" w:eastAsia="宋体" w:hAnsi="Arial" w:cs="Arial"/>
                <w:color w:val="000000"/>
                <w:sz w:val="14"/>
                <w:szCs w:val="14"/>
              </w:rPr>
              <w:t>8,716 </w:t>
            </w:r>
          </w:p>
        </w:tc>
        <w:tc>
          <w:tcPr>
            <w:tcW w:w="0" w:type="auto"/>
            <w:shd w:val="clear" w:color="auto" w:fill="FFFFFF"/>
            <w:tcMar>
              <w:top w:w="40" w:type="dxa"/>
              <w:left w:w="0" w:type="dxa"/>
              <w:bottom w:w="40" w:type="dxa"/>
              <w:right w:w="20" w:type="dxa"/>
            </w:tcMar>
            <w:vAlign w:val="bottom"/>
          </w:tcPr>
          <w:p w14:paraId="5F2CA1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1A8" w14:textId="77777777" w:rsidR="00E836FB" w:rsidRDefault="00994958">
            <w:pPr>
              <w:jc w:val="right"/>
              <w:textAlignment w:val="bottom"/>
            </w:pPr>
            <w:r>
              <w:rPr>
                <w:rFonts w:ascii="Arial" w:eastAsia="宋体" w:hAnsi="Arial" w:cs="Arial"/>
                <w:color w:val="000000"/>
                <w:sz w:val="14"/>
                <w:szCs w:val="14"/>
              </w:rPr>
              <w:t>9,034 </w:t>
            </w:r>
          </w:p>
        </w:tc>
        <w:tc>
          <w:tcPr>
            <w:tcW w:w="0" w:type="auto"/>
            <w:shd w:val="clear" w:color="auto" w:fill="FFFFFF"/>
            <w:tcMar>
              <w:top w:w="40" w:type="dxa"/>
              <w:left w:w="0" w:type="dxa"/>
              <w:bottom w:w="40" w:type="dxa"/>
              <w:right w:w="20" w:type="dxa"/>
            </w:tcMar>
            <w:vAlign w:val="bottom"/>
          </w:tcPr>
          <w:p w14:paraId="5F2CA1A9" w14:textId="77777777" w:rsidR="00E836FB" w:rsidRDefault="00E836FB">
            <w:pPr>
              <w:jc w:val="right"/>
              <w:rPr>
                <w:rFonts w:ascii="宋体"/>
              </w:rPr>
            </w:pPr>
          </w:p>
        </w:tc>
        <w:tc>
          <w:tcPr>
            <w:tcW w:w="0" w:type="auto"/>
            <w:gridSpan w:val="3"/>
            <w:shd w:val="clear" w:color="auto" w:fill="auto"/>
            <w:vAlign w:val="bottom"/>
          </w:tcPr>
          <w:p w14:paraId="5F2CA1AA" w14:textId="77777777" w:rsidR="00E836FB" w:rsidRDefault="00E836FB">
            <w:pPr>
              <w:rPr>
                <w:rFonts w:ascii="宋体"/>
                <w:vanish/>
              </w:rPr>
            </w:pPr>
          </w:p>
        </w:tc>
        <w:tc>
          <w:tcPr>
            <w:tcW w:w="0" w:type="auto"/>
            <w:gridSpan w:val="3"/>
            <w:shd w:val="clear" w:color="auto" w:fill="auto"/>
            <w:vAlign w:val="bottom"/>
          </w:tcPr>
          <w:p w14:paraId="5F2CA1AB" w14:textId="77777777" w:rsidR="00E836FB" w:rsidRDefault="00E836FB">
            <w:pPr>
              <w:rPr>
                <w:rFonts w:ascii="宋体"/>
                <w:vanish/>
              </w:rPr>
            </w:pPr>
          </w:p>
        </w:tc>
        <w:tc>
          <w:tcPr>
            <w:tcW w:w="0" w:type="auto"/>
            <w:gridSpan w:val="3"/>
            <w:shd w:val="clear" w:color="auto" w:fill="auto"/>
            <w:vAlign w:val="bottom"/>
          </w:tcPr>
          <w:p w14:paraId="5F2CA1AC" w14:textId="77777777" w:rsidR="00E836FB" w:rsidRDefault="00E836FB">
            <w:pPr>
              <w:rPr>
                <w:rFonts w:ascii="宋体"/>
                <w:vanish/>
              </w:rPr>
            </w:pPr>
          </w:p>
        </w:tc>
        <w:tc>
          <w:tcPr>
            <w:tcW w:w="0" w:type="auto"/>
            <w:gridSpan w:val="3"/>
            <w:shd w:val="clear" w:color="auto" w:fill="auto"/>
            <w:vAlign w:val="bottom"/>
          </w:tcPr>
          <w:p w14:paraId="5F2CA1AD" w14:textId="77777777" w:rsidR="00E836FB" w:rsidRDefault="00E836FB">
            <w:pPr>
              <w:rPr>
                <w:rFonts w:ascii="宋体"/>
                <w:vanish/>
              </w:rPr>
            </w:pPr>
          </w:p>
        </w:tc>
        <w:tc>
          <w:tcPr>
            <w:tcW w:w="0" w:type="auto"/>
            <w:gridSpan w:val="3"/>
            <w:shd w:val="clear" w:color="auto" w:fill="auto"/>
            <w:vAlign w:val="bottom"/>
          </w:tcPr>
          <w:p w14:paraId="5F2CA1AE" w14:textId="77777777" w:rsidR="00E836FB" w:rsidRDefault="00E836FB">
            <w:pPr>
              <w:rPr>
                <w:rFonts w:ascii="宋体"/>
                <w:vanish/>
              </w:rPr>
            </w:pPr>
          </w:p>
        </w:tc>
      </w:tr>
      <w:tr w:rsidR="00E836FB" w14:paraId="5F2CA1BE" w14:textId="77777777">
        <w:tc>
          <w:tcPr>
            <w:tcW w:w="0" w:type="auto"/>
            <w:gridSpan w:val="3"/>
            <w:shd w:val="clear" w:color="auto" w:fill="CCEEFF"/>
            <w:tcMar>
              <w:top w:w="40" w:type="dxa"/>
              <w:left w:w="20" w:type="dxa"/>
              <w:bottom w:w="40" w:type="dxa"/>
              <w:right w:w="20" w:type="dxa"/>
            </w:tcMar>
            <w:vAlign w:val="bottom"/>
          </w:tcPr>
          <w:p w14:paraId="5F2CA1B0" w14:textId="77777777" w:rsidR="00E836FB" w:rsidRDefault="00994958">
            <w:pPr>
              <w:textAlignment w:val="bottom"/>
            </w:pPr>
            <w:r>
              <w:rPr>
                <w:rFonts w:ascii="Arial" w:eastAsia="宋体" w:hAnsi="Arial" w:cs="Arial"/>
                <w:color w:val="000000"/>
                <w:sz w:val="14"/>
                <w:szCs w:val="14"/>
              </w:rPr>
              <w:t>Income before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1B1" w14:textId="77777777" w:rsidR="00E836FB" w:rsidRDefault="00994958">
            <w:pPr>
              <w:jc w:val="right"/>
              <w:textAlignment w:val="bottom"/>
            </w:pPr>
            <w:r>
              <w:rPr>
                <w:rFonts w:ascii="Arial" w:eastAsia="宋体" w:hAnsi="Arial" w:cs="Arial"/>
                <w:b/>
                <w:bCs/>
                <w:color w:val="000000"/>
                <w:sz w:val="14"/>
                <w:szCs w:val="14"/>
              </w:rPr>
              <w:t>3,171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B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B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1B4" w14:textId="77777777" w:rsidR="00E836FB" w:rsidRDefault="00994958">
            <w:pPr>
              <w:jc w:val="right"/>
              <w:textAlignment w:val="bottom"/>
            </w:pPr>
            <w:r>
              <w:rPr>
                <w:rFonts w:ascii="Arial" w:eastAsia="宋体" w:hAnsi="Arial" w:cs="Arial"/>
                <w:color w:val="000000"/>
                <w:sz w:val="14"/>
                <w:szCs w:val="14"/>
              </w:rPr>
              <w:t>2,899 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B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1B7" w14:textId="77777777" w:rsidR="00E836FB" w:rsidRDefault="00994958">
            <w:pPr>
              <w:jc w:val="right"/>
              <w:textAlignment w:val="bottom"/>
            </w:pPr>
            <w:r>
              <w:rPr>
                <w:rFonts w:ascii="Arial" w:eastAsia="宋体" w:hAnsi="Arial" w:cs="Arial"/>
                <w:color w:val="000000"/>
                <w:sz w:val="14"/>
                <w:szCs w:val="14"/>
              </w:rPr>
              <w:t>2,712 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B8" w14:textId="77777777" w:rsidR="00E836FB" w:rsidRDefault="00E836FB">
            <w:pPr>
              <w:jc w:val="right"/>
              <w:rPr>
                <w:rFonts w:ascii="宋体"/>
              </w:rPr>
            </w:pPr>
          </w:p>
        </w:tc>
        <w:tc>
          <w:tcPr>
            <w:tcW w:w="0" w:type="auto"/>
            <w:gridSpan w:val="3"/>
            <w:shd w:val="clear" w:color="auto" w:fill="auto"/>
            <w:vAlign w:val="bottom"/>
          </w:tcPr>
          <w:p w14:paraId="5F2CA1B9" w14:textId="77777777" w:rsidR="00E836FB" w:rsidRDefault="00E836FB">
            <w:pPr>
              <w:rPr>
                <w:rFonts w:ascii="宋体"/>
                <w:vanish/>
              </w:rPr>
            </w:pPr>
          </w:p>
        </w:tc>
        <w:tc>
          <w:tcPr>
            <w:tcW w:w="0" w:type="auto"/>
            <w:gridSpan w:val="3"/>
            <w:shd w:val="clear" w:color="auto" w:fill="auto"/>
            <w:vAlign w:val="bottom"/>
          </w:tcPr>
          <w:p w14:paraId="5F2CA1BA" w14:textId="77777777" w:rsidR="00E836FB" w:rsidRDefault="00E836FB">
            <w:pPr>
              <w:rPr>
                <w:rFonts w:ascii="宋体"/>
                <w:vanish/>
              </w:rPr>
            </w:pPr>
          </w:p>
        </w:tc>
        <w:tc>
          <w:tcPr>
            <w:tcW w:w="0" w:type="auto"/>
            <w:gridSpan w:val="3"/>
            <w:shd w:val="clear" w:color="auto" w:fill="auto"/>
            <w:vAlign w:val="bottom"/>
          </w:tcPr>
          <w:p w14:paraId="5F2CA1BB" w14:textId="77777777" w:rsidR="00E836FB" w:rsidRDefault="00E836FB">
            <w:pPr>
              <w:rPr>
                <w:rFonts w:ascii="宋体"/>
                <w:vanish/>
              </w:rPr>
            </w:pPr>
          </w:p>
        </w:tc>
        <w:tc>
          <w:tcPr>
            <w:tcW w:w="0" w:type="auto"/>
            <w:gridSpan w:val="3"/>
            <w:shd w:val="clear" w:color="auto" w:fill="auto"/>
            <w:vAlign w:val="bottom"/>
          </w:tcPr>
          <w:p w14:paraId="5F2CA1BC" w14:textId="77777777" w:rsidR="00E836FB" w:rsidRDefault="00E836FB">
            <w:pPr>
              <w:rPr>
                <w:rFonts w:ascii="宋体"/>
                <w:vanish/>
              </w:rPr>
            </w:pPr>
          </w:p>
        </w:tc>
        <w:tc>
          <w:tcPr>
            <w:tcW w:w="0" w:type="auto"/>
            <w:gridSpan w:val="3"/>
            <w:shd w:val="clear" w:color="auto" w:fill="auto"/>
            <w:vAlign w:val="bottom"/>
          </w:tcPr>
          <w:p w14:paraId="5F2CA1BD" w14:textId="77777777" w:rsidR="00E836FB" w:rsidRDefault="00E836FB">
            <w:pPr>
              <w:rPr>
                <w:rFonts w:ascii="宋体"/>
                <w:vanish/>
              </w:rPr>
            </w:pPr>
          </w:p>
        </w:tc>
      </w:tr>
      <w:tr w:rsidR="00E836FB" w14:paraId="5F2CA1CD" w14:textId="77777777">
        <w:tc>
          <w:tcPr>
            <w:tcW w:w="0" w:type="auto"/>
            <w:gridSpan w:val="3"/>
            <w:shd w:val="clear" w:color="auto" w:fill="FFFFFF"/>
            <w:tcMar>
              <w:top w:w="40" w:type="dxa"/>
              <w:left w:w="20" w:type="dxa"/>
              <w:bottom w:w="40" w:type="dxa"/>
              <w:right w:w="20" w:type="dxa"/>
            </w:tcMar>
            <w:vAlign w:val="bottom"/>
          </w:tcPr>
          <w:p w14:paraId="5F2CA1BF" w14:textId="77777777" w:rsidR="00E836FB" w:rsidRDefault="00994958">
            <w:pPr>
              <w:textAlignment w:val="bottom"/>
            </w:pPr>
            <w:r>
              <w:rPr>
                <w:rFonts w:ascii="Arial" w:eastAsia="宋体" w:hAnsi="Arial" w:cs="Arial"/>
                <w:color w:val="000000"/>
                <w:sz w:val="14"/>
                <w:szCs w:val="14"/>
              </w:rPr>
              <w:t xml:space="preserve">Income tax expense </w:t>
            </w:r>
          </w:p>
        </w:tc>
        <w:tc>
          <w:tcPr>
            <w:tcW w:w="0" w:type="auto"/>
            <w:gridSpan w:val="2"/>
            <w:shd w:val="clear" w:color="auto" w:fill="FFFFFF"/>
            <w:tcMar>
              <w:top w:w="40" w:type="dxa"/>
              <w:left w:w="20" w:type="dxa"/>
              <w:bottom w:w="40" w:type="dxa"/>
              <w:right w:w="0" w:type="dxa"/>
            </w:tcMar>
            <w:vAlign w:val="bottom"/>
          </w:tcPr>
          <w:p w14:paraId="5F2CA1C0" w14:textId="77777777" w:rsidR="00E836FB" w:rsidRDefault="00994958">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1C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C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1C3" w14:textId="77777777" w:rsidR="00E836FB" w:rsidRDefault="00994958">
            <w:pPr>
              <w:jc w:val="right"/>
              <w:textAlignment w:val="bottom"/>
            </w:pPr>
            <w:r>
              <w:rPr>
                <w:rFonts w:ascii="Arial" w:eastAsia="宋体" w:hAnsi="Arial" w:cs="Arial"/>
                <w:color w:val="000000"/>
                <w:sz w:val="14"/>
                <w:szCs w:val="14"/>
              </w:rPr>
              <w:t>479 </w:t>
            </w:r>
          </w:p>
        </w:tc>
        <w:tc>
          <w:tcPr>
            <w:tcW w:w="0" w:type="auto"/>
            <w:shd w:val="clear" w:color="auto" w:fill="FFFFFF"/>
            <w:tcMar>
              <w:top w:w="40" w:type="dxa"/>
              <w:left w:w="0" w:type="dxa"/>
              <w:bottom w:w="40" w:type="dxa"/>
              <w:right w:w="20" w:type="dxa"/>
            </w:tcMar>
            <w:vAlign w:val="bottom"/>
          </w:tcPr>
          <w:p w14:paraId="5F2CA1C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1C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1C6" w14:textId="77777777" w:rsidR="00E836FB" w:rsidRDefault="00994958">
            <w:pPr>
              <w:jc w:val="right"/>
              <w:textAlignment w:val="bottom"/>
            </w:pPr>
            <w:r>
              <w:rPr>
                <w:rFonts w:ascii="Arial" w:eastAsia="宋体" w:hAnsi="Arial" w:cs="Arial"/>
                <w:color w:val="000000"/>
                <w:sz w:val="14"/>
                <w:szCs w:val="14"/>
              </w:rPr>
              <w:t>470 </w:t>
            </w:r>
          </w:p>
        </w:tc>
        <w:tc>
          <w:tcPr>
            <w:tcW w:w="0" w:type="auto"/>
            <w:shd w:val="clear" w:color="auto" w:fill="FFFFFF"/>
            <w:tcMar>
              <w:top w:w="40" w:type="dxa"/>
              <w:left w:w="0" w:type="dxa"/>
              <w:bottom w:w="40" w:type="dxa"/>
              <w:right w:w="20" w:type="dxa"/>
            </w:tcMar>
            <w:vAlign w:val="bottom"/>
          </w:tcPr>
          <w:p w14:paraId="5F2CA1C7" w14:textId="77777777" w:rsidR="00E836FB" w:rsidRDefault="00E836FB">
            <w:pPr>
              <w:jc w:val="right"/>
              <w:rPr>
                <w:rFonts w:ascii="宋体"/>
              </w:rPr>
            </w:pPr>
          </w:p>
        </w:tc>
        <w:tc>
          <w:tcPr>
            <w:tcW w:w="0" w:type="auto"/>
            <w:gridSpan w:val="3"/>
            <w:shd w:val="clear" w:color="auto" w:fill="auto"/>
            <w:vAlign w:val="bottom"/>
          </w:tcPr>
          <w:p w14:paraId="5F2CA1C8" w14:textId="77777777" w:rsidR="00E836FB" w:rsidRDefault="00E836FB">
            <w:pPr>
              <w:rPr>
                <w:rFonts w:ascii="宋体"/>
                <w:vanish/>
              </w:rPr>
            </w:pPr>
          </w:p>
        </w:tc>
        <w:tc>
          <w:tcPr>
            <w:tcW w:w="0" w:type="auto"/>
            <w:gridSpan w:val="3"/>
            <w:shd w:val="clear" w:color="auto" w:fill="auto"/>
            <w:vAlign w:val="bottom"/>
          </w:tcPr>
          <w:p w14:paraId="5F2CA1C9" w14:textId="77777777" w:rsidR="00E836FB" w:rsidRDefault="00E836FB">
            <w:pPr>
              <w:rPr>
                <w:rFonts w:ascii="宋体"/>
                <w:vanish/>
              </w:rPr>
            </w:pPr>
          </w:p>
        </w:tc>
        <w:tc>
          <w:tcPr>
            <w:tcW w:w="0" w:type="auto"/>
            <w:gridSpan w:val="3"/>
            <w:shd w:val="clear" w:color="auto" w:fill="auto"/>
            <w:vAlign w:val="bottom"/>
          </w:tcPr>
          <w:p w14:paraId="5F2CA1CA" w14:textId="77777777" w:rsidR="00E836FB" w:rsidRDefault="00E836FB">
            <w:pPr>
              <w:rPr>
                <w:rFonts w:ascii="宋体"/>
                <w:vanish/>
              </w:rPr>
            </w:pPr>
          </w:p>
        </w:tc>
        <w:tc>
          <w:tcPr>
            <w:tcW w:w="0" w:type="auto"/>
            <w:gridSpan w:val="3"/>
            <w:shd w:val="clear" w:color="auto" w:fill="auto"/>
            <w:vAlign w:val="bottom"/>
          </w:tcPr>
          <w:p w14:paraId="5F2CA1CB" w14:textId="77777777" w:rsidR="00E836FB" w:rsidRDefault="00E836FB">
            <w:pPr>
              <w:rPr>
                <w:rFonts w:ascii="宋体"/>
                <w:vanish/>
              </w:rPr>
            </w:pPr>
          </w:p>
        </w:tc>
        <w:tc>
          <w:tcPr>
            <w:tcW w:w="0" w:type="auto"/>
            <w:gridSpan w:val="3"/>
            <w:shd w:val="clear" w:color="auto" w:fill="auto"/>
            <w:vAlign w:val="bottom"/>
          </w:tcPr>
          <w:p w14:paraId="5F2CA1CC" w14:textId="77777777" w:rsidR="00E836FB" w:rsidRDefault="00E836FB">
            <w:pPr>
              <w:rPr>
                <w:rFonts w:ascii="宋体"/>
                <w:vanish/>
              </w:rPr>
            </w:pPr>
          </w:p>
        </w:tc>
      </w:tr>
      <w:tr w:rsidR="00E836FB" w14:paraId="5F2CA1D9" w14:textId="77777777">
        <w:trPr>
          <w:hidden/>
        </w:trPr>
        <w:tc>
          <w:tcPr>
            <w:tcW w:w="0" w:type="auto"/>
            <w:gridSpan w:val="3"/>
            <w:shd w:val="clear" w:color="auto" w:fill="auto"/>
            <w:vAlign w:val="bottom"/>
          </w:tcPr>
          <w:p w14:paraId="5F2CA1CE" w14:textId="77777777" w:rsidR="00E836FB" w:rsidRDefault="00E836FB">
            <w:pPr>
              <w:rPr>
                <w:rFonts w:ascii="宋体"/>
                <w:vanish/>
              </w:rPr>
            </w:pPr>
          </w:p>
        </w:tc>
        <w:tc>
          <w:tcPr>
            <w:tcW w:w="0" w:type="auto"/>
            <w:gridSpan w:val="3"/>
            <w:shd w:val="clear" w:color="auto" w:fill="auto"/>
            <w:vAlign w:val="bottom"/>
          </w:tcPr>
          <w:p w14:paraId="5F2CA1CF" w14:textId="77777777" w:rsidR="00E836FB" w:rsidRDefault="00E836FB">
            <w:pPr>
              <w:rPr>
                <w:rFonts w:ascii="宋体"/>
                <w:vanish/>
              </w:rPr>
            </w:pPr>
          </w:p>
        </w:tc>
        <w:tc>
          <w:tcPr>
            <w:tcW w:w="0" w:type="auto"/>
            <w:gridSpan w:val="3"/>
            <w:shd w:val="clear" w:color="auto" w:fill="auto"/>
            <w:vAlign w:val="bottom"/>
          </w:tcPr>
          <w:p w14:paraId="5F2CA1D0" w14:textId="77777777" w:rsidR="00E836FB" w:rsidRDefault="00E836FB">
            <w:pPr>
              <w:rPr>
                <w:rFonts w:ascii="宋体"/>
                <w:vanish/>
              </w:rPr>
            </w:pPr>
          </w:p>
        </w:tc>
        <w:tc>
          <w:tcPr>
            <w:tcW w:w="0" w:type="auto"/>
            <w:gridSpan w:val="3"/>
            <w:shd w:val="clear" w:color="auto" w:fill="auto"/>
            <w:vAlign w:val="bottom"/>
          </w:tcPr>
          <w:p w14:paraId="5F2CA1D1" w14:textId="77777777" w:rsidR="00E836FB" w:rsidRDefault="00E836FB">
            <w:pPr>
              <w:rPr>
                <w:rFonts w:ascii="宋体"/>
                <w:vanish/>
              </w:rPr>
            </w:pPr>
          </w:p>
        </w:tc>
        <w:tc>
          <w:tcPr>
            <w:tcW w:w="0" w:type="auto"/>
            <w:gridSpan w:val="3"/>
            <w:shd w:val="clear" w:color="auto" w:fill="auto"/>
            <w:vAlign w:val="bottom"/>
          </w:tcPr>
          <w:p w14:paraId="5F2CA1D2" w14:textId="77777777" w:rsidR="00E836FB" w:rsidRDefault="00E836FB">
            <w:pPr>
              <w:rPr>
                <w:rFonts w:ascii="宋体"/>
                <w:vanish/>
              </w:rPr>
            </w:pPr>
          </w:p>
        </w:tc>
        <w:tc>
          <w:tcPr>
            <w:tcW w:w="0" w:type="auto"/>
            <w:gridSpan w:val="3"/>
            <w:shd w:val="clear" w:color="auto" w:fill="auto"/>
            <w:vAlign w:val="bottom"/>
          </w:tcPr>
          <w:p w14:paraId="5F2CA1D3" w14:textId="77777777" w:rsidR="00E836FB" w:rsidRDefault="00E836FB">
            <w:pPr>
              <w:rPr>
                <w:rFonts w:ascii="宋体"/>
                <w:vanish/>
              </w:rPr>
            </w:pPr>
          </w:p>
        </w:tc>
        <w:tc>
          <w:tcPr>
            <w:tcW w:w="0" w:type="auto"/>
            <w:gridSpan w:val="3"/>
            <w:shd w:val="clear" w:color="auto" w:fill="auto"/>
            <w:vAlign w:val="bottom"/>
          </w:tcPr>
          <w:p w14:paraId="5F2CA1D4" w14:textId="77777777" w:rsidR="00E836FB" w:rsidRDefault="00E836FB">
            <w:pPr>
              <w:rPr>
                <w:rFonts w:ascii="宋体"/>
                <w:vanish/>
              </w:rPr>
            </w:pPr>
          </w:p>
        </w:tc>
        <w:tc>
          <w:tcPr>
            <w:tcW w:w="0" w:type="auto"/>
            <w:gridSpan w:val="3"/>
            <w:shd w:val="clear" w:color="auto" w:fill="auto"/>
            <w:vAlign w:val="bottom"/>
          </w:tcPr>
          <w:p w14:paraId="5F2CA1D5" w14:textId="77777777" w:rsidR="00E836FB" w:rsidRDefault="00E836FB">
            <w:pPr>
              <w:rPr>
                <w:rFonts w:ascii="宋体"/>
                <w:vanish/>
              </w:rPr>
            </w:pPr>
          </w:p>
        </w:tc>
        <w:tc>
          <w:tcPr>
            <w:tcW w:w="0" w:type="auto"/>
            <w:gridSpan w:val="3"/>
            <w:shd w:val="clear" w:color="auto" w:fill="auto"/>
            <w:vAlign w:val="bottom"/>
          </w:tcPr>
          <w:p w14:paraId="5F2CA1D6" w14:textId="77777777" w:rsidR="00E836FB" w:rsidRDefault="00E836FB">
            <w:pPr>
              <w:rPr>
                <w:rFonts w:ascii="宋体"/>
                <w:vanish/>
              </w:rPr>
            </w:pPr>
          </w:p>
        </w:tc>
        <w:tc>
          <w:tcPr>
            <w:tcW w:w="0" w:type="auto"/>
            <w:gridSpan w:val="3"/>
            <w:shd w:val="clear" w:color="auto" w:fill="auto"/>
            <w:vAlign w:val="bottom"/>
          </w:tcPr>
          <w:p w14:paraId="5F2CA1D7" w14:textId="77777777" w:rsidR="00E836FB" w:rsidRDefault="00E836FB">
            <w:pPr>
              <w:rPr>
                <w:rFonts w:ascii="宋体"/>
                <w:vanish/>
              </w:rPr>
            </w:pPr>
          </w:p>
        </w:tc>
        <w:tc>
          <w:tcPr>
            <w:tcW w:w="0" w:type="auto"/>
            <w:gridSpan w:val="3"/>
            <w:shd w:val="clear" w:color="auto" w:fill="auto"/>
            <w:vAlign w:val="bottom"/>
          </w:tcPr>
          <w:p w14:paraId="5F2CA1D8" w14:textId="77777777" w:rsidR="00E836FB" w:rsidRDefault="00E836FB">
            <w:pPr>
              <w:rPr>
                <w:rFonts w:ascii="宋体"/>
                <w:vanish/>
              </w:rPr>
            </w:pPr>
          </w:p>
        </w:tc>
      </w:tr>
      <w:tr w:rsidR="00E836FB" w14:paraId="5F2CA1EB" w14:textId="77777777">
        <w:tc>
          <w:tcPr>
            <w:tcW w:w="0" w:type="auto"/>
            <w:gridSpan w:val="3"/>
            <w:shd w:val="clear" w:color="auto" w:fill="CCEEFF"/>
            <w:tcMar>
              <w:top w:w="40" w:type="dxa"/>
              <w:left w:w="20" w:type="dxa"/>
              <w:bottom w:w="40" w:type="dxa"/>
              <w:right w:w="20" w:type="dxa"/>
            </w:tcMar>
            <w:vAlign w:val="bottom"/>
          </w:tcPr>
          <w:p w14:paraId="5F2CA1DA" w14:textId="77777777" w:rsidR="00E836FB" w:rsidRDefault="00994958">
            <w:pPr>
              <w:textAlignment w:val="bottom"/>
            </w:pPr>
            <w:r>
              <w:rPr>
                <w:rFonts w:ascii="Arial" w:eastAsia="宋体" w:hAnsi="Arial" w:cs="Arial"/>
                <w:color w:val="000000"/>
                <w:sz w:val="14"/>
                <w:szCs w:val="14"/>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1D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1DC" w14:textId="77777777" w:rsidR="00E836FB" w:rsidRDefault="00994958">
            <w:pPr>
              <w:jc w:val="right"/>
              <w:textAlignment w:val="bottom"/>
            </w:pPr>
            <w:r>
              <w:rPr>
                <w:rFonts w:ascii="Arial" w:eastAsia="宋体" w:hAnsi="Arial" w:cs="Arial"/>
                <w:b/>
                <w:bCs/>
                <w:color w:val="000000"/>
                <w:sz w:val="14"/>
                <w:szCs w:val="14"/>
              </w:rPr>
              <w:t>2,693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D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D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1D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1E0" w14:textId="77777777" w:rsidR="00E836FB" w:rsidRDefault="00994958">
            <w:pPr>
              <w:jc w:val="right"/>
              <w:textAlignment w:val="bottom"/>
            </w:pPr>
            <w:r>
              <w:rPr>
                <w:rFonts w:ascii="Arial" w:eastAsia="宋体" w:hAnsi="Arial" w:cs="Arial"/>
                <w:color w:val="000000"/>
                <w:sz w:val="14"/>
                <w:szCs w:val="14"/>
              </w:rPr>
              <w:t>2,420 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E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1E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1E4" w14:textId="77777777" w:rsidR="00E836FB" w:rsidRDefault="00994958">
            <w:pPr>
              <w:jc w:val="right"/>
              <w:textAlignment w:val="bottom"/>
            </w:pPr>
            <w:r>
              <w:rPr>
                <w:rFonts w:ascii="Arial" w:eastAsia="宋体" w:hAnsi="Arial" w:cs="Arial"/>
                <w:color w:val="000000"/>
                <w:sz w:val="14"/>
                <w:szCs w:val="14"/>
              </w:rPr>
              <w:t>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1E5" w14:textId="77777777" w:rsidR="00E836FB" w:rsidRDefault="00E836FB">
            <w:pPr>
              <w:jc w:val="right"/>
              <w:rPr>
                <w:rFonts w:ascii="宋体"/>
              </w:rPr>
            </w:pPr>
          </w:p>
        </w:tc>
        <w:tc>
          <w:tcPr>
            <w:tcW w:w="0" w:type="auto"/>
            <w:gridSpan w:val="3"/>
            <w:shd w:val="clear" w:color="auto" w:fill="auto"/>
            <w:vAlign w:val="bottom"/>
          </w:tcPr>
          <w:p w14:paraId="5F2CA1E6" w14:textId="77777777" w:rsidR="00E836FB" w:rsidRDefault="00E836FB">
            <w:pPr>
              <w:rPr>
                <w:rFonts w:ascii="宋体"/>
                <w:vanish/>
              </w:rPr>
            </w:pPr>
          </w:p>
        </w:tc>
        <w:tc>
          <w:tcPr>
            <w:tcW w:w="0" w:type="auto"/>
            <w:gridSpan w:val="3"/>
            <w:shd w:val="clear" w:color="auto" w:fill="auto"/>
            <w:vAlign w:val="bottom"/>
          </w:tcPr>
          <w:p w14:paraId="5F2CA1E7" w14:textId="77777777" w:rsidR="00E836FB" w:rsidRDefault="00E836FB">
            <w:pPr>
              <w:rPr>
                <w:rFonts w:ascii="宋体"/>
                <w:vanish/>
              </w:rPr>
            </w:pPr>
          </w:p>
        </w:tc>
        <w:tc>
          <w:tcPr>
            <w:tcW w:w="0" w:type="auto"/>
            <w:gridSpan w:val="3"/>
            <w:shd w:val="clear" w:color="auto" w:fill="auto"/>
            <w:vAlign w:val="bottom"/>
          </w:tcPr>
          <w:p w14:paraId="5F2CA1E8" w14:textId="77777777" w:rsidR="00E836FB" w:rsidRDefault="00E836FB">
            <w:pPr>
              <w:rPr>
                <w:rFonts w:ascii="宋体"/>
                <w:vanish/>
              </w:rPr>
            </w:pPr>
          </w:p>
        </w:tc>
        <w:tc>
          <w:tcPr>
            <w:tcW w:w="0" w:type="auto"/>
            <w:gridSpan w:val="3"/>
            <w:shd w:val="clear" w:color="auto" w:fill="auto"/>
            <w:vAlign w:val="bottom"/>
          </w:tcPr>
          <w:p w14:paraId="5F2CA1E9" w14:textId="77777777" w:rsidR="00E836FB" w:rsidRDefault="00E836FB">
            <w:pPr>
              <w:rPr>
                <w:rFonts w:ascii="宋体"/>
                <w:vanish/>
              </w:rPr>
            </w:pPr>
          </w:p>
        </w:tc>
        <w:tc>
          <w:tcPr>
            <w:tcW w:w="0" w:type="auto"/>
            <w:gridSpan w:val="3"/>
            <w:shd w:val="clear" w:color="auto" w:fill="auto"/>
            <w:vAlign w:val="bottom"/>
          </w:tcPr>
          <w:p w14:paraId="5F2CA1EA" w14:textId="77777777" w:rsidR="00E836FB" w:rsidRDefault="00E836FB">
            <w:pPr>
              <w:rPr>
                <w:rFonts w:ascii="宋体"/>
                <w:vanish/>
              </w:rPr>
            </w:pPr>
          </w:p>
        </w:tc>
      </w:tr>
      <w:tr w:rsidR="00E836FB" w14:paraId="5F2CA1F7" w14:textId="77777777">
        <w:tc>
          <w:tcPr>
            <w:tcW w:w="0" w:type="auto"/>
            <w:gridSpan w:val="3"/>
            <w:shd w:val="clear" w:color="auto" w:fill="FFFFFF"/>
            <w:tcMar>
              <w:top w:w="40" w:type="dxa"/>
              <w:left w:w="20" w:type="dxa"/>
              <w:bottom w:w="40" w:type="dxa"/>
              <w:right w:w="20" w:type="dxa"/>
            </w:tcMar>
            <w:vAlign w:val="bottom"/>
          </w:tcPr>
          <w:p w14:paraId="5F2CA1EC" w14:textId="77777777" w:rsidR="00E836FB" w:rsidRDefault="00994958">
            <w:pPr>
              <w:textAlignment w:val="bottom"/>
            </w:pPr>
            <w:r>
              <w:rPr>
                <w:rFonts w:ascii="Arial" w:eastAsia="宋体" w:hAnsi="Arial" w:cs="Arial"/>
                <w:color w:val="000000"/>
                <w:sz w:val="14"/>
                <w:szCs w:val="14"/>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A1E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1EE"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A1E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1F0"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A1F1" w14:textId="77777777" w:rsidR="00E836FB" w:rsidRDefault="00E836FB">
            <w:pPr>
              <w:rPr>
                <w:rFonts w:ascii="宋体"/>
              </w:rPr>
            </w:pPr>
          </w:p>
        </w:tc>
        <w:tc>
          <w:tcPr>
            <w:tcW w:w="0" w:type="auto"/>
            <w:gridSpan w:val="3"/>
            <w:shd w:val="clear" w:color="auto" w:fill="auto"/>
            <w:vAlign w:val="bottom"/>
          </w:tcPr>
          <w:p w14:paraId="5F2CA1F2" w14:textId="77777777" w:rsidR="00E836FB" w:rsidRDefault="00E836FB">
            <w:pPr>
              <w:rPr>
                <w:rFonts w:ascii="宋体"/>
                <w:vanish/>
              </w:rPr>
            </w:pPr>
          </w:p>
        </w:tc>
        <w:tc>
          <w:tcPr>
            <w:tcW w:w="0" w:type="auto"/>
            <w:gridSpan w:val="3"/>
            <w:shd w:val="clear" w:color="auto" w:fill="auto"/>
            <w:vAlign w:val="bottom"/>
          </w:tcPr>
          <w:p w14:paraId="5F2CA1F3" w14:textId="77777777" w:rsidR="00E836FB" w:rsidRDefault="00E836FB">
            <w:pPr>
              <w:rPr>
                <w:rFonts w:ascii="宋体"/>
                <w:vanish/>
              </w:rPr>
            </w:pPr>
          </w:p>
        </w:tc>
        <w:tc>
          <w:tcPr>
            <w:tcW w:w="0" w:type="auto"/>
            <w:gridSpan w:val="3"/>
            <w:shd w:val="clear" w:color="auto" w:fill="auto"/>
            <w:vAlign w:val="bottom"/>
          </w:tcPr>
          <w:p w14:paraId="5F2CA1F4" w14:textId="77777777" w:rsidR="00E836FB" w:rsidRDefault="00E836FB">
            <w:pPr>
              <w:rPr>
                <w:rFonts w:ascii="宋体"/>
                <w:vanish/>
              </w:rPr>
            </w:pPr>
          </w:p>
        </w:tc>
        <w:tc>
          <w:tcPr>
            <w:tcW w:w="0" w:type="auto"/>
            <w:gridSpan w:val="3"/>
            <w:shd w:val="clear" w:color="auto" w:fill="auto"/>
            <w:vAlign w:val="bottom"/>
          </w:tcPr>
          <w:p w14:paraId="5F2CA1F5" w14:textId="77777777" w:rsidR="00E836FB" w:rsidRDefault="00E836FB">
            <w:pPr>
              <w:rPr>
                <w:rFonts w:ascii="宋体"/>
                <w:vanish/>
              </w:rPr>
            </w:pPr>
          </w:p>
        </w:tc>
        <w:tc>
          <w:tcPr>
            <w:tcW w:w="0" w:type="auto"/>
            <w:gridSpan w:val="3"/>
            <w:shd w:val="clear" w:color="auto" w:fill="auto"/>
            <w:vAlign w:val="bottom"/>
          </w:tcPr>
          <w:p w14:paraId="5F2CA1F6" w14:textId="77777777" w:rsidR="00E836FB" w:rsidRDefault="00E836FB">
            <w:pPr>
              <w:rPr>
                <w:rFonts w:ascii="宋体"/>
                <w:vanish/>
              </w:rPr>
            </w:pPr>
          </w:p>
        </w:tc>
      </w:tr>
      <w:tr w:rsidR="00E836FB" w14:paraId="5F2CA209" w14:textId="77777777">
        <w:tc>
          <w:tcPr>
            <w:tcW w:w="0" w:type="auto"/>
            <w:gridSpan w:val="3"/>
            <w:shd w:val="clear" w:color="auto" w:fill="CCEEFF"/>
            <w:tcMar>
              <w:top w:w="40" w:type="dxa"/>
              <w:left w:w="20" w:type="dxa"/>
              <w:bottom w:w="40" w:type="dxa"/>
              <w:right w:w="20" w:type="dxa"/>
            </w:tcMar>
            <w:vAlign w:val="bottom"/>
          </w:tcPr>
          <w:p w14:paraId="5F2CA1F8" w14:textId="77777777" w:rsidR="00E836FB" w:rsidRDefault="00994958">
            <w:pPr>
              <w:textAlignment w:val="bottom"/>
            </w:pPr>
            <w:r>
              <w:rPr>
                <w:rFonts w:ascii="Arial" w:eastAsia="宋体" w:hAnsi="Arial" w:cs="Arial"/>
                <w:color w:val="000000"/>
                <w:sz w:val="14"/>
                <w:szCs w:val="14"/>
              </w:rPr>
              <w:t>Dividends on preferred stock</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F2CA1F9"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A1FA" w14:textId="77777777" w:rsidR="00E836FB" w:rsidRDefault="00994958">
            <w:pPr>
              <w:jc w:val="right"/>
              <w:textAlignment w:val="bottom"/>
            </w:pPr>
            <w:r>
              <w:rPr>
                <w:rFonts w:ascii="Arial" w:eastAsia="宋体" w:hAnsi="Arial" w:cs="Arial"/>
                <w:b/>
                <w:bCs/>
                <w:color w:val="000000"/>
                <w:sz w:val="14"/>
                <w:szCs w:val="14"/>
              </w:rPr>
              <w:t>(119)</w:t>
            </w:r>
          </w:p>
        </w:tc>
        <w:tc>
          <w:tcPr>
            <w:tcW w:w="0" w:type="auto"/>
            <w:shd w:val="clear" w:color="auto" w:fill="CCEEFF"/>
            <w:tcMar>
              <w:top w:w="40" w:type="dxa"/>
              <w:left w:w="0" w:type="dxa"/>
              <w:bottom w:w="40" w:type="dxa"/>
              <w:right w:w="20" w:type="dxa"/>
            </w:tcMar>
            <w:vAlign w:val="bottom"/>
          </w:tcPr>
          <w:p w14:paraId="5F2CA1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1F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1F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A1FE" w14:textId="77777777" w:rsidR="00E836FB" w:rsidRDefault="00994958">
            <w:pPr>
              <w:jc w:val="right"/>
              <w:textAlignment w:val="bottom"/>
            </w:pPr>
            <w:r>
              <w:rPr>
                <w:rFonts w:ascii="Arial" w:eastAsia="宋体" w:hAnsi="Arial" w:cs="Arial"/>
                <w:color w:val="000000"/>
                <w:sz w:val="14"/>
                <w:szCs w:val="14"/>
              </w:rPr>
              <w:t>(162)</w:t>
            </w:r>
          </w:p>
        </w:tc>
        <w:tc>
          <w:tcPr>
            <w:tcW w:w="0" w:type="auto"/>
            <w:shd w:val="clear" w:color="auto" w:fill="CCEEFF"/>
            <w:tcMar>
              <w:top w:w="40" w:type="dxa"/>
              <w:left w:w="0" w:type="dxa"/>
              <w:bottom w:w="40" w:type="dxa"/>
              <w:right w:w="20" w:type="dxa"/>
            </w:tcMar>
            <w:vAlign w:val="bottom"/>
          </w:tcPr>
          <w:p w14:paraId="5F2CA1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0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20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A202" w14:textId="77777777" w:rsidR="00E836FB" w:rsidRDefault="00994958">
            <w:pPr>
              <w:jc w:val="right"/>
              <w:textAlignment w:val="bottom"/>
            </w:pPr>
            <w:r>
              <w:rPr>
                <w:rFonts w:ascii="Arial" w:eastAsia="宋体" w:hAnsi="Arial" w:cs="Arial"/>
                <w:color w:val="000000"/>
                <w:sz w:val="14"/>
                <w:szCs w:val="14"/>
              </w:rPr>
              <w:t>(232)</w:t>
            </w:r>
          </w:p>
        </w:tc>
        <w:tc>
          <w:tcPr>
            <w:tcW w:w="0" w:type="auto"/>
            <w:shd w:val="clear" w:color="auto" w:fill="CCEEFF"/>
            <w:tcMar>
              <w:top w:w="40" w:type="dxa"/>
              <w:left w:w="0" w:type="dxa"/>
              <w:bottom w:w="40" w:type="dxa"/>
              <w:right w:w="20" w:type="dxa"/>
            </w:tcMar>
            <w:vAlign w:val="bottom"/>
          </w:tcPr>
          <w:p w14:paraId="5F2CA203" w14:textId="77777777" w:rsidR="00E836FB" w:rsidRDefault="00E836FB">
            <w:pPr>
              <w:jc w:val="right"/>
              <w:rPr>
                <w:rFonts w:ascii="宋体"/>
              </w:rPr>
            </w:pPr>
          </w:p>
        </w:tc>
        <w:tc>
          <w:tcPr>
            <w:tcW w:w="0" w:type="auto"/>
            <w:gridSpan w:val="3"/>
            <w:shd w:val="clear" w:color="auto" w:fill="auto"/>
            <w:vAlign w:val="bottom"/>
          </w:tcPr>
          <w:p w14:paraId="5F2CA204" w14:textId="77777777" w:rsidR="00E836FB" w:rsidRDefault="00E836FB">
            <w:pPr>
              <w:rPr>
                <w:rFonts w:ascii="宋体"/>
                <w:vanish/>
              </w:rPr>
            </w:pPr>
          </w:p>
        </w:tc>
        <w:tc>
          <w:tcPr>
            <w:tcW w:w="0" w:type="auto"/>
            <w:gridSpan w:val="3"/>
            <w:shd w:val="clear" w:color="auto" w:fill="auto"/>
            <w:vAlign w:val="bottom"/>
          </w:tcPr>
          <w:p w14:paraId="5F2CA205" w14:textId="77777777" w:rsidR="00E836FB" w:rsidRDefault="00E836FB">
            <w:pPr>
              <w:rPr>
                <w:rFonts w:ascii="宋体"/>
                <w:vanish/>
              </w:rPr>
            </w:pPr>
          </w:p>
        </w:tc>
        <w:tc>
          <w:tcPr>
            <w:tcW w:w="0" w:type="auto"/>
            <w:gridSpan w:val="3"/>
            <w:shd w:val="clear" w:color="auto" w:fill="auto"/>
            <w:vAlign w:val="bottom"/>
          </w:tcPr>
          <w:p w14:paraId="5F2CA206" w14:textId="77777777" w:rsidR="00E836FB" w:rsidRDefault="00E836FB">
            <w:pPr>
              <w:rPr>
                <w:rFonts w:ascii="宋体"/>
                <w:vanish/>
              </w:rPr>
            </w:pPr>
          </w:p>
        </w:tc>
        <w:tc>
          <w:tcPr>
            <w:tcW w:w="0" w:type="auto"/>
            <w:gridSpan w:val="3"/>
            <w:shd w:val="clear" w:color="auto" w:fill="auto"/>
            <w:vAlign w:val="bottom"/>
          </w:tcPr>
          <w:p w14:paraId="5F2CA207" w14:textId="77777777" w:rsidR="00E836FB" w:rsidRDefault="00E836FB">
            <w:pPr>
              <w:rPr>
                <w:rFonts w:ascii="宋体"/>
                <w:vanish/>
              </w:rPr>
            </w:pPr>
          </w:p>
        </w:tc>
        <w:tc>
          <w:tcPr>
            <w:tcW w:w="0" w:type="auto"/>
            <w:gridSpan w:val="3"/>
            <w:shd w:val="clear" w:color="auto" w:fill="auto"/>
            <w:vAlign w:val="bottom"/>
          </w:tcPr>
          <w:p w14:paraId="5F2CA208" w14:textId="77777777" w:rsidR="00E836FB" w:rsidRDefault="00E836FB">
            <w:pPr>
              <w:rPr>
                <w:rFonts w:ascii="宋体"/>
                <w:vanish/>
              </w:rPr>
            </w:pPr>
          </w:p>
        </w:tc>
      </w:tr>
      <w:tr w:rsidR="00E836FB" w14:paraId="5F2CA218" w14:textId="77777777">
        <w:tc>
          <w:tcPr>
            <w:tcW w:w="0" w:type="auto"/>
            <w:gridSpan w:val="3"/>
            <w:shd w:val="clear" w:color="auto" w:fill="FFFFFF"/>
            <w:tcMar>
              <w:top w:w="40" w:type="dxa"/>
              <w:left w:w="20" w:type="dxa"/>
              <w:bottom w:w="40" w:type="dxa"/>
              <w:right w:w="20" w:type="dxa"/>
            </w:tcMar>
            <w:vAlign w:val="bottom"/>
          </w:tcPr>
          <w:p w14:paraId="5F2CA20A" w14:textId="77777777" w:rsidR="00E836FB" w:rsidRDefault="00994958">
            <w:pPr>
              <w:textAlignment w:val="bottom"/>
            </w:pPr>
            <w:r>
              <w:rPr>
                <w:rFonts w:ascii="Arial" w:eastAsia="宋体" w:hAnsi="Arial" w:cs="Arial"/>
                <w:color w:val="000000"/>
                <w:sz w:val="14"/>
                <w:szCs w:val="14"/>
              </w:rPr>
              <w:t>Earnings allocated to participating securities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CA20B"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F2CA2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0E"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A2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11"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A212" w14:textId="77777777" w:rsidR="00E836FB" w:rsidRDefault="00E836FB">
            <w:pPr>
              <w:jc w:val="right"/>
              <w:rPr>
                <w:rFonts w:ascii="宋体"/>
              </w:rPr>
            </w:pPr>
          </w:p>
        </w:tc>
        <w:tc>
          <w:tcPr>
            <w:tcW w:w="0" w:type="auto"/>
            <w:gridSpan w:val="3"/>
            <w:shd w:val="clear" w:color="auto" w:fill="auto"/>
            <w:vAlign w:val="bottom"/>
          </w:tcPr>
          <w:p w14:paraId="5F2CA213" w14:textId="77777777" w:rsidR="00E836FB" w:rsidRDefault="00E836FB">
            <w:pPr>
              <w:rPr>
                <w:rFonts w:ascii="宋体"/>
                <w:vanish/>
              </w:rPr>
            </w:pPr>
          </w:p>
        </w:tc>
        <w:tc>
          <w:tcPr>
            <w:tcW w:w="0" w:type="auto"/>
            <w:gridSpan w:val="3"/>
            <w:shd w:val="clear" w:color="auto" w:fill="auto"/>
            <w:vAlign w:val="bottom"/>
          </w:tcPr>
          <w:p w14:paraId="5F2CA214" w14:textId="77777777" w:rsidR="00E836FB" w:rsidRDefault="00E836FB">
            <w:pPr>
              <w:rPr>
                <w:rFonts w:ascii="宋体"/>
                <w:vanish/>
              </w:rPr>
            </w:pPr>
          </w:p>
        </w:tc>
        <w:tc>
          <w:tcPr>
            <w:tcW w:w="0" w:type="auto"/>
            <w:gridSpan w:val="3"/>
            <w:shd w:val="clear" w:color="auto" w:fill="auto"/>
            <w:vAlign w:val="bottom"/>
          </w:tcPr>
          <w:p w14:paraId="5F2CA215" w14:textId="77777777" w:rsidR="00E836FB" w:rsidRDefault="00E836FB">
            <w:pPr>
              <w:rPr>
                <w:rFonts w:ascii="宋体"/>
                <w:vanish/>
              </w:rPr>
            </w:pPr>
          </w:p>
        </w:tc>
        <w:tc>
          <w:tcPr>
            <w:tcW w:w="0" w:type="auto"/>
            <w:gridSpan w:val="3"/>
            <w:shd w:val="clear" w:color="auto" w:fill="auto"/>
            <w:vAlign w:val="bottom"/>
          </w:tcPr>
          <w:p w14:paraId="5F2CA216" w14:textId="77777777" w:rsidR="00E836FB" w:rsidRDefault="00E836FB">
            <w:pPr>
              <w:rPr>
                <w:rFonts w:ascii="宋体"/>
                <w:vanish/>
              </w:rPr>
            </w:pPr>
          </w:p>
        </w:tc>
        <w:tc>
          <w:tcPr>
            <w:tcW w:w="0" w:type="auto"/>
            <w:gridSpan w:val="3"/>
            <w:shd w:val="clear" w:color="auto" w:fill="auto"/>
            <w:vAlign w:val="bottom"/>
          </w:tcPr>
          <w:p w14:paraId="5F2CA217" w14:textId="77777777" w:rsidR="00E836FB" w:rsidRDefault="00E836FB">
            <w:pPr>
              <w:rPr>
                <w:rFonts w:ascii="宋体"/>
                <w:vanish/>
              </w:rPr>
            </w:pPr>
          </w:p>
        </w:tc>
      </w:tr>
      <w:tr w:rsidR="00E836FB" w14:paraId="5F2CA22A" w14:textId="77777777">
        <w:tc>
          <w:tcPr>
            <w:tcW w:w="0" w:type="auto"/>
            <w:gridSpan w:val="3"/>
            <w:shd w:val="clear" w:color="auto" w:fill="CCEEFF"/>
            <w:tcMar>
              <w:top w:w="40" w:type="dxa"/>
              <w:left w:w="20" w:type="dxa"/>
              <w:bottom w:w="40" w:type="dxa"/>
              <w:right w:w="20" w:type="dxa"/>
            </w:tcMar>
            <w:vAlign w:val="bottom"/>
          </w:tcPr>
          <w:p w14:paraId="5F2CA219" w14:textId="77777777" w:rsidR="00E836FB" w:rsidRDefault="00994958">
            <w:pPr>
              <w:textAlignment w:val="bottom"/>
            </w:pPr>
            <w:r>
              <w:rPr>
                <w:rFonts w:ascii="Arial" w:eastAsia="宋体" w:hAnsi="Arial" w:cs="Arial"/>
                <w:color w:val="000000"/>
                <w:sz w:val="14"/>
                <w:szCs w:val="14"/>
              </w:rPr>
              <w:t xml:space="preserve">Net income </w:t>
            </w:r>
            <w:r>
              <w:rPr>
                <w:rFonts w:ascii="Arial" w:eastAsia="宋体" w:hAnsi="Arial" w:cs="Arial"/>
                <w:color w:val="000000"/>
                <w:sz w:val="14"/>
                <w:szCs w:val="14"/>
              </w:rPr>
              <w:t>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21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21B" w14:textId="77777777" w:rsidR="00E836FB" w:rsidRDefault="00994958">
            <w:pPr>
              <w:jc w:val="right"/>
              <w:textAlignment w:val="bottom"/>
            </w:pPr>
            <w:r>
              <w:rPr>
                <w:rFonts w:ascii="Arial" w:eastAsia="宋体" w:hAnsi="Arial" w:cs="Arial"/>
                <w:b/>
                <w:bCs/>
                <w:color w:val="000000"/>
                <w:sz w:val="14"/>
                <w:szCs w:val="14"/>
              </w:rPr>
              <w:t>2,572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2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1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21E"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21F" w14:textId="77777777" w:rsidR="00E836FB" w:rsidRDefault="00994958">
            <w:pPr>
              <w:jc w:val="right"/>
              <w:textAlignment w:val="bottom"/>
            </w:pPr>
            <w:r>
              <w:rPr>
                <w:rFonts w:ascii="Arial" w:eastAsia="宋体" w:hAnsi="Arial" w:cs="Arial"/>
                <w:color w:val="000000"/>
                <w:sz w:val="14"/>
                <w:szCs w:val="14"/>
              </w:rPr>
              <w:t>2,257 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2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2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222"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223" w14:textId="77777777" w:rsidR="00E836FB" w:rsidRDefault="00994958">
            <w:pPr>
              <w:jc w:val="right"/>
              <w:textAlignment w:val="bottom"/>
            </w:pPr>
            <w:r>
              <w:rPr>
                <w:rFonts w:ascii="Arial" w:eastAsia="宋体" w:hAnsi="Arial" w:cs="Arial"/>
                <w:color w:val="000000"/>
                <w:sz w:val="14"/>
                <w:szCs w:val="14"/>
              </w:rPr>
              <w:t>2,009 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224" w14:textId="77777777" w:rsidR="00E836FB" w:rsidRDefault="00E836FB">
            <w:pPr>
              <w:jc w:val="right"/>
              <w:rPr>
                <w:rFonts w:ascii="宋体"/>
              </w:rPr>
            </w:pPr>
          </w:p>
        </w:tc>
        <w:tc>
          <w:tcPr>
            <w:tcW w:w="0" w:type="auto"/>
            <w:gridSpan w:val="3"/>
            <w:shd w:val="clear" w:color="auto" w:fill="auto"/>
            <w:vAlign w:val="bottom"/>
          </w:tcPr>
          <w:p w14:paraId="5F2CA225" w14:textId="77777777" w:rsidR="00E836FB" w:rsidRDefault="00E836FB">
            <w:pPr>
              <w:rPr>
                <w:rFonts w:ascii="宋体"/>
                <w:vanish/>
              </w:rPr>
            </w:pPr>
          </w:p>
        </w:tc>
        <w:tc>
          <w:tcPr>
            <w:tcW w:w="0" w:type="auto"/>
            <w:gridSpan w:val="3"/>
            <w:shd w:val="clear" w:color="auto" w:fill="auto"/>
            <w:vAlign w:val="bottom"/>
          </w:tcPr>
          <w:p w14:paraId="5F2CA226" w14:textId="77777777" w:rsidR="00E836FB" w:rsidRDefault="00E836FB">
            <w:pPr>
              <w:rPr>
                <w:rFonts w:ascii="宋体"/>
                <w:vanish/>
              </w:rPr>
            </w:pPr>
          </w:p>
        </w:tc>
        <w:tc>
          <w:tcPr>
            <w:tcW w:w="0" w:type="auto"/>
            <w:gridSpan w:val="3"/>
            <w:shd w:val="clear" w:color="auto" w:fill="auto"/>
            <w:vAlign w:val="bottom"/>
          </w:tcPr>
          <w:p w14:paraId="5F2CA227" w14:textId="77777777" w:rsidR="00E836FB" w:rsidRDefault="00E836FB">
            <w:pPr>
              <w:rPr>
                <w:rFonts w:ascii="宋体"/>
                <w:vanish/>
              </w:rPr>
            </w:pPr>
          </w:p>
        </w:tc>
        <w:tc>
          <w:tcPr>
            <w:tcW w:w="0" w:type="auto"/>
            <w:gridSpan w:val="3"/>
            <w:shd w:val="clear" w:color="auto" w:fill="auto"/>
            <w:vAlign w:val="bottom"/>
          </w:tcPr>
          <w:p w14:paraId="5F2CA228" w14:textId="77777777" w:rsidR="00E836FB" w:rsidRDefault="00E836FB">
            <w:pPr>
              <w:rPr>
                <w:rFonts w:ascii="宋体"/>
                <w:vanish/>
              </w:rPr>
            </w:pPr>
          </w:p>
        </w:tc>
        <w:tc>
          <w:tcPr>
            <w:tcW w:w="0" w:type="auto"/>
            <w:gridSpan w:val="3"/>
            <w:shd w:val="clear" w:color="auto" w:fill="auto"/>
            <w:vAlign w:val="bottom"/>
          </w:tcPr>
          <w:p w14:paraId="5F2CA229" w14:textId="77777777" w:rsidR="00E836FB" w:rsidRDefault="00E836FB">
            <w:pPr>
              <w:rPr>
                <w:rFonts w:ascii="宋体"/>
                <w:vanish/>
              </w:rPr>
            </w:pPr>
          </w:p>
        </w:tc>
      </w:tr>
      <w:tr w:rsidR="00E836FB" w14:paraId="5F2CA236" w14:textId="77777777">
        <w:tc>
          <w:tcPr>
            <w:tcW w:w="0" w:type="auto"/>
            <w:gridSpan w:val="3"/>
            <w:shd w:val="clear" w:color="auto" w:fill="FFFFFF"/>
            <w:tcMar>
              <w:top w:w="40" w:type="dxa"/>
              <w:left w:w="20" w:type="dxa"/>
              <w:bottom w:w="40" w:type="dxa"/>
              <w:right w:w="20" w:type="dxa"/>
            </w:tcMar>
            <w:vAlign w:val="bottom"/>
          </w:tcPr>
          <w:p w14:paraId="5F2CA22B" w14:textId="77777777" w:rsidR="00E836FB" w:rsidRDefault="00994958">
            <w:pPr>
              <w:textAlignment w:val="bottom"/>
            </w:pPr>
            <w:r>
              <w:rPr>
                <w:rFonts w:ascii="Arial" w:eastAsia="宋体" w:hAnsi="Arial" w:cs="Arial"/>
                <w:color w:val="000000"/>
                <w:sz w:val="14"/>
                <w:szCs w:val="14"/>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A22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22D"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A22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22F"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A230" w14:textId="77777777" w:rsidR="00E836FB" w:rsidRDefault="00E836FB">
            <w:pPr>
              <w:rPr>
                <w:rFonts w:ascii="宋体"/>
              </w:rPr>
            </w:pPr>
          </w:p>
        </w:tc>
        <w:tc>
          <w:tcPr>
            <w:tcW w:w="0" w:type="auto"/>
            <w:gridSpan w:val="3"/>
            <w:shd w:val="clear" w:color="auto" w:fill="auto"/>
            <w:vAlign w:val="bottom"/>
          </w:tcPr>
          <w:p w14:paraId="5F2CA231" w14:textId="77777777" w:rsidR="00E836FB" w:rsidRDefault="00E836FB">
            <w:pPr>
              <w:rPr>
                <w:rFonts w:ascii="宋体"/>
                <w:vanish/>
              </w:rPr>
            </w:pPr>
          </w:p>
        </w:tc>
        <w:tc>
          <w:tcPr>
            <w:tcW w:w="0" w:type="auto"/>
            <w:gridSpan w:val="3"/>
            <w:shd w:val="clear" w:color="auto" w:fill="auto"/>
            <w:vAlign w:val="bottom"/>
          </w:tcPr>
          <w:p w14:paraId="5F2CA232" w14:textId="77777777" w:rsidR="00E836FB" w:rsidRDefault="00E836FB">
            <w:pPr>
              <w:rPr>
                <w:rFonts w:ascii="宋体"/>
                <w:vanish/>
              </w:rPr>
            </w:pPr>
          </w:p>
        </w:tc>
        <w:tc>
          <w:tcPr>
            <w:tcW w:w="0" w:type="auto"/>
            <w:gridSpan w:val="3"/>
            <w:shd w:val="clear" w:color="auto" w:fill="auto"/>
            <w:vAlign w:val="bottom"/>
          </w:tcPr>
          <w:p w14:paraId="5F2CA233" w14:textId="77777777" w:rsidR="00E836FB" w:rsidRDefault="00E836FB">
            <w:pPr>
              <w:rPr>
                <w:rFonts w:ascii="宋体"/>
                <w:vanish/>
              </w:rPr>
            </w:pPr>
          </w:p>
        </w:tc>
        <w:tc>
          <w:tcPr>
            <w:tcW w:w="0" w:type="auto"/>
            <w:gridSpan w:val="3"/>
            <w:shd w:val="clear" w:color="auto" w:fill="auto"/>
            <w:vAlign w:val="bottom"/>
          </w:tcPr>
          <w:p w14:paraId="5F2CA234" w14:textId="77777777" w:rsidR="00E836FB" w:rsidRDefault="00E836FB">
            <w:pPr>
              <w:rPr>
                <w:rFonts w:ascii="宋体"/>
                <w:vanish/>
              </w:rPr>
            </w:pPr>
          </w:p>
        </w:tc>
        <w:tc>
          <w:tcPr>
            <w:tcW w:w="0" w:type="auto"/>
            <w:gridSpan w:val="3"/>
            <w:shd w:val="clear" w:color="auto" w:fill="auto"/>
            <w:vAlign w:val="bottom"/>
          </w:tcPr>
          <w:p w14:paraId="5F2CA235" w14:textId="77777777" w:rsidR="00E836FB" w:rsidRDefault="00E836FB">
            <w:pPr>
              <w:rPr>
                <w:rFonts w:ascii="宋体"/>
                <w:vanish/>
              </w:rPr>
            </w:pPr>
          </w:p>
        </w:tc>
      </w:tr>
      <w:tr w:rsidR="00E836FB" w14:paraId="5F2CA248" w14:textId="77777777">
        <w:tc>
          <w:tcPr>
            <w:tcW w:w="0" w:type="auto"/>
            <w:gridSpan w:val="3"/>
            <w:shd w:val="clear" w:color="auto" w:fill="CCEEFF"/>
            <w:tcMar>
              <w:top w:w="40" w:type="dxa"/>
              <w:left w:w="245" w:type="dxa"/>
              <w:bottom w:w="40" w:type="dxa"/>
              <w:right w:w="20" w:type="dxa"/>
            </w:tcMar>
            <w:vAlign w:val="bottom"/>
          </w:tcPr>
          <w:p w14:paraId="5F2CA237" w14:textId="77777777" w:rsidR="00E836FB" w:rsidRDefault="00994958">
            <w:pPr>
              <w:textAlignment w:val="bottom"/>
            </w:pPr>
            <w:r>
              <w:rPr>
                <w:rFonts w:ascii="Arial" w:eastAsia="宋体" w:hAnsi="Arial" w:cs="Arial"/>
                <w:color w:val="000000"/>
                <w:sz w:val="14"/>
                <w:szCs w:val="14"/>
              </w:rPr>
              <w:t>Basic</w:t>
            </w:r>
          </w:p>
        </w:tc>
        <w:tc>
          <w:tcPr>
            <w:tcW w:w="0" w:type="auto"/>
            <w:shd w:val="clear" w:color="auto" w:fill="CCEEFF"/>
            <w:tcMar>
              <w:top w:w="40" w:type="dxa"/>
              <w:left w:w="20" w:type="dxa"/>
              <w:bottom w:w="40" w:type="dxa"/>
              <w:right w:w="0" w:type="dxa"/>
            </w:tcMar>
            <w:vAlign w:val="bottom"/>
          </w:tcPr>
          <w:p w14:paraId="5F2CA23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A239" w14:textId="77777777" w:rsidR="00E836FB" w:rsidRDefault="00994958">
            <w:pPr>
              <w:jc w:val="right"/>
              <w:textAlignment w:val="bottom"/>
            </w:pPr>
            <w:r>
              <w:rPr>
                <w:rFonts w:ascii="Arial" w:eastAsia="宋体" w:hAnsi="Arial" w:cs="Arial"/>
                <w:b/>
                <w:bCs/>
                <w:color w:val="000000"/>
                <w:sz w:val="14"/>
                <w:szCs w:val="14"/>
              </w:rPr>
              <w:t>7.30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2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3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23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A23D" w14:textId="77777777" w:rsidR="00E836FB" w:rsidRDefault="00994958">
            <w:pPr>
              <w:jc w:val="right"/>
              <w:textAlignment w:val="bottom"/>
            </w:pPr>
            <w:r>
              <w:rPr>
                <w:rFonts w:ascii="Arial" w:eastAsia="宋体" w:hAnsi="Arial" w:cs="Arial"/>
                <w:color w:val="000000"/>
                <w:sz w:val="14"/>
                <w:szCs w:val="14"/>
              </w:rPr>
              <w:t>6.40 </w:t>
            </w:r>
          </w:p>
        </w:tc>
        <w:tc>
          <w:tcPr>
            <w:tcW w:w="0" w:type="auto"/>
            <w:shd w:val="clear" w:color="auto" w:fill="CCEEFF"/>
            <w:tcMar>
              <w:top w:w="40" w:type="dxa"/>
              <w:left w:w="0" w:type="dxa"/>
              <w:bottom w:w="40" w:type="dxa"/>
              <w:right w:w="20" w:type="dxa"/>
            </w:tcMar>
            <w:vAlign w:val="bottom"/>
          </w:tcPr>
          <w:p w14:paraId="5F2CA2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3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24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A241" w14:textId="77777777" w:rsidR="00E836FB" w:rsidRDefault="00994958">
            <w:pPr>
              <w:jc w:val="right"/>
              <w:textAlignment w:val="bottom"/>
            </w:pPr>
            <w:r>
              <w:rPr>
                <w:rFonts w:ascii="Arial" w:eastAsia="宋体" w:hAnsi="Arial" w:cs="Arial"/>
                <w:color w:val="000000"/>
                <w:sz w:val="14"/>
                <w:szCs w:val="14"/>
              </w:rPr>
              <w:t>5.43 </w:t>
            </w:r>
          </w:p>
        </w:tc>
        <w:tc>
          <w:tcPr>
            <w:tcW w:w="0" w:type="auto"/>
            <w:shd w:val="clear" w:color="auto" w:fill="CCEEFF"/>
            <w:tcMar>
              <w:top w:w="40" w:type="dxa"/>
              <w:left w:w="0" w:type="dxa"/>
              <w:bottom w:w="40" w:type="dxa"/>
              <w:right w:w="20" w:type="dxa"/>
            </w:tcMar>
            <w:vAlign w:val="bottom"/>
          </w:tcPr>
          <w:p w14:paraId="5F2CA242" w14:textId="77777777" w:rsidR="00E836FB" w:rsidRDefault="00E836FB">
            <w:pPr>
              <w:jc w:val="right"/>
              <w:rPr>
                <w:rFonts w:ascii="宋体"/>
              </w:rPr>
            </w:pPr>
          </w:p>
        </w:tc>
        <w:tc>
          <w:tcPr>
            <w:tcW w:w="0" w:type="auto"/>
            <w:gridSpan w:val="3"/>
            <w:shd w:val="clear" w:color="auto" w:fill="auto"/>
            <w:vAlign w:val="bottom"/>
          </w:tcPr>
          <w:p w14:paraId="5F2CA243" w14:textId="77777777" w:rsidR="00E836FB" w:rsidRDefault="00E836FB">
            <w:pPr>
              <w:rPr>
                <w:rFonts w:ascii="宋体"/>
                <w:vanish/>
              </w:rPr>
            </w:pPr>
          </w:p>
        </w:tc>
        <w:tc>
          <w:tcPr>
            <w:tcW w:w="0" w:type="auto"/>
            <w:gridSpan w:val="3"/>
            <w:shd w:val="clear" w:color="auto" w:fill="auto"/>
            <w:vAlign w:val="bottom"/>
          </w:tcPr>
          <w:p w14:paraId="5F2CA244" w14:textId="77777777" w:rsidR="00E836FB" w:rsidRDefault="00E836FB">
            <w:pPr>
              <w:rPr>
                <w:rFonts w:ascii="宋体"/>
                <w:vanish/>
              </w:rPr>
            </w:pPr>
          </w:p>
        </w:tc>
        <w:tc>
          <w:tcPr>
            <w:tcW w:w="0" w:type="auto"/>
            <w:gridSpan w:val="3"/>
            <w:shd w:val="clear" w:color="auto" w:fill="auto"/>
            <w:vAlign w:val="bottom"/>
          </w:tcPr>
          <w:p w14:paraId="5F2CA245" w14:textId="77777777" w:rsidR="00E836FB" w:rsidRDefault="00E836FB">
            <w:pPr>
              <w:rPr>
                <w:rFonts w:ascii="宋体"/>
                <w:vanish/>
              </w:rPr>
            </w:pPr>
          </w:p>
        </w:tc>
        <w:tc>
          <w:tcPr>
            <w:tcW w:w="0" w:type="auto"/>
            <w:gridSpan w:val="3"/>
            <w:shd w:val="clear" w:color="auto" w:fill="auto"/>
            <w:vAlign w:val="bottom"/>
          </w:tcPr>
          <w:p w14:paraId="5F2CA246" w14:textId="77777777" w:rsidR="00E836FB" w:rsidRDefault="00E836FB">
            <w:pPr>
              <w:rPr>
                <w:rFonts w:ascii="宋体"/>
                <w:vanish/>
              </w:rPr>
            </w:pPr>
          </w:p>
        </w:tc>
        <w:tc>
          <w:tcPr>
            <w:tcW w:w="0" w:type="auto"/>
            <w:gridSpan w:val="3"/>
            <w:shd w:val="clear" w:color="auto" w:fill="auto"/>
            <w:vAlign w:val="bottom"/>
          </w:tcPr>
          <w:p w14:paraId="5F2CA247" w14:textId="77777777" w:rsidR="00E836FB" w:rsidRDefault="00E836FB">
            <w:pPr>
              <w:rPr>
                <w:rFonts w:ascii="宋体"/>
                <w:vanish/>
              </w:rPr>
            </w:pPr>
          </w:p>
        </w:tc>
      </w:tr>
      <w:tr w:rsidR="00E836FB" w14:paraId="5F2CA257" w14:textId="77777777">
        <w:tc>
          <w:tcPr>
            <w:tcW w:w="0" w:type="auto"/>
            <w:gridSpan w:val="3"/>
            <w:shd w:val="clear" w:color="auto" w:fill="FFFFFF"/>
            <w:tcMar>
              <w:top w:w="40" w:type="dxa"/>
              <w:left w:w="245" w:type="dxa"/>
              <w:bottom w:w="40" w:type="dxa"/>
              <w:right w:w="20" w:type="dxa"/>
            </w:tcMar>
            <w:vAlign w:val="bottom"/>
          </w:tcPr>
          <w:p w14:paraId="5F2CA249" w14:textId="77777777" w:rsidR="00E836FB" w:rsidRDefault="00994958">
            <w:pPr>
              <w:textAlignment w:val="bottom"/>
            </w:pPr>
            <w:r>
              <w:rPr>
                <w:rFonts w:ascii="Arial" w:eastAsia="宋体" w:hAnsi="Arial" w:cs="Arial"/>
                <w:color w:val="000000"/>
                <w:sz w:val="14"/>
                <w:szCs w:val="14"/>
              </w:rPr>
              <w:t>Diluted</w:t>
            </w:r>
          </w:p>
        </w:tc>
        <w:tc>
          <w:tcPr>
            <w:tcW w:w="0" w:type="auto"/>
            <w:gridSpan w:val="2"/>
            <w:shd w:val="clear" w:color="auto" w:fill="FFFFFF"/>
            <w:tcMar>
              <w:top w:w="40" w:type="dxa"/>
              <w:left w:w="20" w:type="dxa"/>
              <w:bottom w:w="40" w:type="dxa"/>
              <w:right w:w="0" w:type="dxa"/>
            </w:tcMar>
            <w:vAlign w:val="bottom"/>
          </w:tcPr>
          <w:p w14:paraId="5F2CA24A" w14:textId="77777777" w:rsidR="00E836FB" w:rsidRDefault="00994958">
            <w:pPr>
              <w:jc w:val="right"/>
              <w:textAlignment w:val="bottom"/>
            </w:pPr>
            <w:r>
              <w:rPr>
                <w:rFonts w:ascii="Arial" w:eastAsia="宋体" w:hAnsi="Arial" w:cs="Arial"/>
                <w:b/>
                <w:bCs/>
                <w:color w:val="000000"/>
                <w:sz w:val="14"/>
                <w:szCs w:val="14"/>
              </w:rPr>
              <w:t>7.19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2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4D" w14:textId="77777777" w:rsidR="00E836FB" w:rsidRDefault="00994958">
            <w:pPr>
              <w:jc w:val="right"/>
              <w:textAlignment w:val="bottom"/>
            </w:pPr>
            <w:r>
              <w:rPr>
                <w:rFonts w:ascii="Arial" w:eastAsia="宋体" w:hAnsi="Arial" w:cs="Arial"/>
                <w:color w:val="000000"/>
                <w:sz w:val="14"/>
                <w:szCs w:val="14"/>
              </w:rPr>
              <w:t>6.32 </w:t>
            </w:r>
          </w:p>
        </w:tc>
        <w:tc>
          <w:tcPr>
            <w:tcW w:w="0" w:type="auto"/>
            <w:shd w:val="clear" w:color="auto" w:fill="FFFFFF"/>
            <w:tcMar>
              <w:top w:w="40" w:type="dxa"/>
              <w:left w:w="0" w:type="dxa"/>
              <w:bottom w:w="40" w:type="dxa"/>
              <w:right w:w="20" w:type="dxa"/>
            </w:tcMar>
            <w:vAlign w:val="bottom"/>
          </w:tcPr>
          <w:p w14:paraId="5F2CA2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50" w14:textId="77777777" w:rsidR="00E836FB" w:rsidRDefault="00994958">
            <w:pPr>
              <w:jc w:val="right"/>
              <w:textAlignment w:val="bottom"/>
            </w:pPr>
            <w:r>
              <w:rPr>
                <w:rFonts w:ascii="Arial" w:eastAsia="宋体" w:hAnsi="Arial" w:cs="Arial"/>
                <w:color w:val="000000"/>
                <w:sz w:val="14"/>
                <w:szCs w:val="14"/>
              </w:rPr>
              <w:t>5.38 </w:t>
            </w:r>
          </w:p>
        </w:tc>
        <w:tc>
          <w:tcPr>
            <w:tcW w:w="0" w:type="auto"/>
            <w:shd w:val="clear" w:color="auto" w:fill="FFFFFF"/>
            <w:tcMar>
              <w:top w:w="40" w:type="dxa"/>
              <w:left w:w="0" w:type="dxa"/>
              <w:bottom w:w="40" w:type="dxa"/>
              <w:right w:w="20" w:type="dxa"/>
            </w:tcMar>
            <w:vAlign w:val="bottom"/>
          </w:tcPr>
          <w:p w14:paraId="5F2CA251" w14:textId="77777777" w:rsidR="00E836FB" w:rsidRDefault="00E836FB">
            <w:pPr>
              <w:jc w:val="right"/>
              <w:rPr>
                <w:rFonts w:ascii="宋体"/>
              </w:rPr>
            </w:pPr>
          </w:p>
        </w:tc>
        <w:tc>
          <w:tcPr>
            <w:tcW w:w="0" w:type="auto"/>
            <w:gridSpan w:val="3"/>
            <w:shd w:val="clear" w:color="auto" w:fill="auto"/>
            <w:vAlign w:val="bottom"/>
          </w:tcPr>
          <w:p w14:paraId="5F2CA252" w14:textId="77777777" w:rsidR="00E836FB" w:rsidRDefault="00E836FB">
            <w:pPr>
              <w:rPr>
                <w:rFonts w:ascii="宋体"/>
                <w:vanish/>
              </w:rPr>
            </w:pPr>
          </w:p>
        </w:tc>
        <w:tc>
          <w:tcPr>
            <w:tcW w:w="0" w:type="auto"/>
            <w:gridSpan w:val="3"/>
            <w:shd w:val="clear" w:color="auto" w:fill="auto"/>
            <w:vAlign w:val="bottom"/>
          </w:tcPr>
          <w:p w14:paraId="5F2CA253" w14:textId="77777777" w:rsidR="00E836FB" w:rsidRDefault="00E836FB">
            <w:pPr>
              <w:rPr>
                <w:rFonts w:ascii="宋体"/>
                <w:vanish/>
              </w:rPr>
            </w:pPr>
          </w:p>
        </w:tc>
        <w:tc>
          <w:tcPr>
            <w:tcW w:w="0" w:type="auto"/>
            <w:gridSpan w:val="3"/>
            <w:shd w:val="clear" w:color="auto" w:fill="auto"/>
            <w:vAlign w:val="bottom"/>
          </w:tcPr>
          <w:p w14:paraId="5F2CA254" w14:textId="77777777" w:rsidR="00E836FB" w:rsidRDefault="00E836FB">
            <w:pPr>
              <w:rPr>
                <w:rFonts w:ascii="宋体"/>
                <w:vanish/>
              </w:rPr>
            </w:pPr>
          </w:p>
        </w:tc>
        <w:tc>
          <w:tcPr>
            <w:tcW w:w="0" w:type="auto"/>
            <w:gridSpan w:val="3"/>
            <w:shd w:val="clear" w:color="auto" w:fill="auto"/>
            <w:vAlign w:val="bottom"/>
          </w:tcPr>
          <w:p w14:paraId="5F2CA255" w14:textId="77777777" w:rsidR="00E836FB" w:rsidRDefault="00E836FB">
            <w:pPr>
              <w:rPr>
                <w:rFonts w:ascii="宋体"/>
                <w:vanish/>
              </w:rPr>
            </w:pPr>
          </w:p>
        </w:tc>
        <w:tc>
          <w:tcPr>
            <w:tcW w:w="0" w:type="auto"/>
            <w:gridSpan w:val="3"/>
            <w:shd w:val="clear" w:color="auto" w:fill="auto"/>
            <w:vAlign w:val="bottom"/>
          </w:tcPr>
          <w:p w14:paraId="5F2CA256" w14:textId="77777777" w:rsidR="00E836FB" w:rsidRDefault="00E836FB">
            <w:pPr>
              <w:rPr>
                <w:rFonts w:ascii="宋体"/>
                <w:vanish/>
              </w:rPr>
            </w:pPr>
          </w:p>
        </w:tc>
      </w:tr>
      <w:tr w:rsidR="00E836FB" w14:paraId="5F2CA263" w14:textId="77777777">
        <w:tc>
          <w:tcPr>
            <w:tcW w:w="0" w:type="auto"/>
            <w:gridSpan w:val="3"/>
            <w:shd w:val="clear" w:color="auto" w:fill="CCEEFF"/>
            <w:tcMar>
              <w:top w:w="40" w:type="dxa"/>
              <w:left w:w="20" w:type="dxa"/>
              <w:bottom w:w="40" w:type="dxa"/>
              <w:right w:w="20" w:type="dxa"/>
            </w:tcMar>
            <w:vAlign w:val="bottom"/>
          </w:tcPr>
          <w:p w14:paraId="5F2CA258" w14:textId="77777777" w:rsidR="00E836FB" w:rsidRDefault="00994958">
            <w:pPr>
              <w:textAlignment w:val="bottom"/>
            </w:pPr>
            <w:r>
              <w:rPr>
                <w:rFonts w:ascii="Arial" w:eastAsia="宋体" w:hAnsi="Arial" w:cs="Arial"/>
                <w:color w:val="000000"/>
                <w:sz w:val="14"/>
                <w:szCs w:val="14"/>
              </w:rPr>
              <w:t>Averag</w:t>
            </w:r>
            <w:r>
              <w:rPr>
                <w:rFonts w:ascii="Arial" w:eastAsia="宋体" w:hAnsi="Arial" w:cs="Arial"/>
                <w:color w:val="000000"/>
                <w:sz w:val="14"/>
                <w:szCs w:val="14"/>
              </w:rPr>
              <w:t>e common shares outstanding (in thousands):</w:t>
            </w:r>
          </w:p>
        </w:tc>
        <w:tc>
          <w:tcPr>
            <w:tcW w:w="0" w:type="auto"/>
            <w:gridSpan w:val="3"/>
            <w:shd w:val="clear" w:color="auto" w:fill="CCEEFF"/>
            <w:tcMar>
              <w:top w:w="0" w:type="dxa"/>
              <w:left w:w="20" w:type="dxa"/>
              <w:bottom w:w="0" w:type="dxa"/>
              <w:right w:w="20" w:type="dxa"/>
            </w:tcMar>
            <w:vAlign w:val="bottom"/>
          </w:tcPr>
          <w:p w14:paraId="5F2CA25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25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25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25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25D" w14:textId="77777777" w:rsidR="00E836FB" w:rsidRDefault="00E836FB">
            <w:pPr>
              <w:rPr>
                <w:rFonts w:ascii="宋体"/>
              </w:rPr>
            </w:pPr>
          </w:p>
        </w:tc>
        <w:tc>
          <w:tcPr>
            <w:tcW w:w="0" w:type="auto"/>
            <w:gridSpan w:val="3"/>
            <w:shd w:val="clear" w:color="auto" w:fill="auto"/>
            <w:vAlign w:val="bottom"/>
          </w:tcPr>
          <w:p w14:paraId="5F2CA25E" w14:textId="77777777" w:rsidR="00E836FB" w:rsidRDefault="00E836FB">
            <w:pPr>
              <w:rPr>
                <w:rFonts w:ascii="宋体"/>
                <w:vanish/>
              </w:rPr>
            </w:pPr>
          </w:p>
        </w:tc>
        <w:tc>
          <w:tcPr>
            <w:tcW w:w="0" w:type="auto"/>
            <w:gridSpan w:val="3"/>
            <w:shd w:val="clear" w:color="auto" w:fill="auto"/>
            <w:vAlign w:val="bottom"/>
          </w:tcPr>
          <w:p w14:paraId="5F2CA25F" w14:textId="77777777" w:rsidR="00E836FB" w:rsidRDefault="00E836FB">
            <w:pPr>
              <w:rPr>
                <w:rFonts w:ascii="宋体"/>
                <w:vanish/>
              </w:rPr>
            </w:pPr>
          </w:p>
        </w:tc>
        <w:tc>
          <w:tcPr>
            <w:tcW w:w="0" w:type="auto"/>
            <w:gridSpan w:val="3"/>
            <w:shd w:val="clear" w:color="auto" w:fill="auto"/>
            <w:vAlign w:val="bottom"/>
          </w:tcPr>
          <w:p w14:paraId="5F2CA260" w14:textId="77777777" w:rsidR="00E836FB" w:rsidRDefault="00E836FB">
            <w:pPr>
              <w:rPr>
                <w:rFonts w:ascii="宋体"/>
                <w:vanish/>
              </w:rPr>
            </w:pPr>
          </w:p>
        </w:tc>
        <w:tc>
          <w:tcPr>
            <w:tcW w:w="0" w:type="auto"/>
            <w:gridSpan w:val="3"/>
            <w:shd w:val="clear" w:color="auto" w:fill="auto"/>
            <w:vAlign w:val="bottom"/>
          </w:tcPr>
          <w:p w14:paraId="5F2CA261" w14:textId="77777777" w:rsidR="00E836FB" w:rsidRDefault="00E836FB">
            <w:pPr>
              <w:rPr>
                <w:rFonts w:ascii="宋体"/>
                <w:vanish/>
              </w:rPr>
            </w:pPr>
          </w:p>
        </w:tc>
        <w:tc>
          <w:tcPr>
            <w:tcW w:w="0" w:type="auto"/>
            <w:gridSpan w:val="3"/>
            <w:shd w:val="clear" w:color="auto" w:fill="auto"/>
            <w:vAlign w:val="bottom"/>
          </w:tcPr>
          <w:p w14:paraId="5F2CA262" w14:textId="77777777" w:rsidR="00E836FB" w:rsidRDefault="00E836FB">
            <w:pPr>
              <w:rPr>
                <w:rFonts w:ascii="宋体"/>
                <w:vanish/>
              </w:rPr>
            </w:pPr>
          </w:p>
        </w:tc>
      </w:tr>
      <w:tr w:rsidR="00E836FB" w14:paraId="5F2CA272" w14:textId="77777777">
        <w:tc>
          <w:tcPr>
            <w:tcW w:w="0" w:type="auto"/>
            <w:gridSpan w:val="3"/>
            <w:shd w:val="clear" w:color="auto" w:fill="FFFFFF"/>
            <w:tcMar>
              <w:top w:w="40" w:type="dxa"/>
              <w:left w:w="245" w:type="dxa"/>
              <w:bottom w:w="40" w:type="dxa"/>
              <w:right w:w="20" w:type="dxa"/>
            </w:tcMar>
            <w:vAlign w:val="bottom"/>
          </w:tcPr>
          <w:p w14:paraId="5F2CA264" w14:textId="77777777" w:rsidR="00E836FB" w:rsidRDefault="00994958">
            <w:pPr>
              <w:textAlignment w:val="bottom"/>
            </w:pPr>
            <w:r>
              <w:rPr>
                <w:rFonts w:ascii="Arial" w:eastAsia="宋体" w:hAnsi="Arial" w:cs="Arial"/>
                <w:color w:val="000000"/>
                <w:sz w:val="14"/>
                <w:szCs w:val="14"/>
              </w:rPr>
              <w:t>Basic</w:t>
            </w:r>
          </w:p>
        </w:tc>
        <w:tc>
          <w:tcPr>
            <w:tcW w:w="0" w:type="auto"/>
            <w:gridSpan w:val="2"/>
            <w:shd w:val="clear" w:color="auto" w:fill="FFFFFF"/>
            <w:tcMar>
              <w:top w:w="40" w:type="dxa"/>
              <w:left w:w="20" w:type="dxa"/>
              <w:bottom w:w="40" w:type="dxa"/>
              <w:right w:w="0" w:type="dxa"/>
            </w:tcMar>
            <w:vAlign w:val="bottom"/>
          </w:tcPr>
          <w:p w14:paraId="5F2CA265" w14:textId="77777777" w:rsidR="00E836FB" w:rsidRDefault="00994958">
            <w:pPr>
              <w:jc w:val="right"/>
              <w:textAlignment w:val="bottom"/>
            </w:pPr>
            <w:r>
              <w:rPr>
                <w:rFonts w:ascii="Arial" w:eastAsia="宋体" w:hAnsi="Arial" w:cs="Arial"/>
                <w:b/>
                <w:bCs/>
                <w:color w:val="000000"/>
                <w:sz w:val="14"/>
                <w:szCs w:val="14"/>
              </w:rPr>
              <w:t>352,565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2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68" w14:textId="77777777" w:rsidR="00E836FB" w:rsidRDefault="00994958">
            <w:pPr>
              <w:jc w:val="right"/>
              <w:textAlignment w:val="bottom"/>
            </w:pPr>
            <w:r>
              <w:rPr>
                <w:rFonts w:ascii="Arial" w:eastAsia="宋体" w:hAnsi="Arial" w:cs="Arial"/>
                <w:color w:val="000000"/>
                <w:sz w:val="14"/>
                <w:szCs w:val="14"/>
              </w:rPr>
              <w:t>352,865 </w:t>
            </w:r>
          </w:p>
        </w:tc>
        <w:tc>
          <w:tcPr>
            <w:tcW w:w="0" w:type="auto"/>
            <w:shd w:val="clear" w:color="auto" w:fill="FFFFFF"/>
            <w:tcMar>
              <w:top w:w="40" w:type="dxa"/>
              <w:left w:w="0" w:type="dxa"/>
              <w:bottom w:w="40" w:type="dxa"/>
              <w:right w:w="20" w:type="dxa"/>
            </w:tcMar>
            <w:vAlign w:val="bottom"/>
          </w:tcPr>
          <w:p w14:paraId="5F2CA2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6B" w14:textId="77777777" w:rsidR="00E836FB" w:rsidRDefault="00994958">
            <w:pPr>
              <w:jc w:val="right"/>
              <w:textAlignment w:val="bottom"/>
            </w:pPr>
            <w:r>
              <w:rPr>
                <w:rFonts w:ascii="Arial" w:eastAsia="宋体" w:hAnsi="Arial" w:cs="Arial"/>
                <w:color w:val="000000"/>
                <w:sz w:val="14"/>
                <w:szCs w:val="14"/>
              </w:rPr>
              <w:t>369,911 </w:t>
            </w:r>
          </w:p>
        </w:tc>
        <w:tc>
          <w:tcPr>
            <w:tcW w:w="0" w:type="auto"/>
            <w:shd w:val="clear" w:color="auto" w:fill="FFFFFF"/>
            <w:tcMar>
              <w:top w:w="40" w:type="dxa"/>
              <w:left w:w="0" w:type="dxa"/>
              <w:bottom w:w="40" w:type="dxa"/>
              <w:right w:w="20" w:type="dxa"/>
            </w:tcMar>
            <w:vAlign w:val="bottom"/>
          </w:tcPr>
          <w:p w14:paraId="5F2CA26C" w14:textId="77777777" w:rsidR="00E836FB" w:rsidRDefault="00E836FB">
            <w:pPr>
              <w:jc w:val="right"/>
              <w:rPr>
                <w:rFonts w:ascii="宋体"/>
              </w:rPr>
            </w:pPr>
          </w:p>
        </w:tc>
        <w:tc>
          <w:tcPr>
            <w:tcW w:w="0" w:type="auto"/>
            <w:gridSpan w:val="3"/>
            <w:shd w:val="clear" w:color="auto" w:fill="auto"/>
            <w:vAlign w:val="bottom"/>
          </w:tcPr>
          <w:p w14:paraId="5F2CA26D" w14:textId="77777777" w:rsidR="00E836FB" w:rsidRDefault="00E836FB">
            <w:pPr>
              <w:rPr>
                <w:rFonts w:ascii="宋体"/>
                <w:vanish/>
              </w:rPr>
            </w:pPr>
          </w:p>
        </w:tc>
        <w:tc>
          <w:tcPr>
            <w:tcW w:w="0" w:type="auto"/>
            <w:gridSpan w:val="3"/>
            <w:shd w:val="clear" w:color="auto" w:fill="auto"/>
            <w:vAlign w:val="bottom"/>
          </w:tcPr>
          <w:p w14:paraId="5F2CA26E" w14:textId="77777777" w:rsidR="00E836FB" w:rsidRDefault="00E836FB">
            <w:pPr>
              <w:rPr>
                <w:rFonts w:ascii="宋体"/>
                <w:vanish/>
              </w:rPr>
            </w:pPr>
          </w:p>
        </w:tc>
        <w:tc>
          <w:tcPr>
            <w:tcW w:w="0" w:type="auto"/>
            <w:gridSpan w:val="3"/>
            <w:shd w:val="clear" w:color="auto" w:fill="auto"/>
            <w:vAlign w:val="bottom"/>
          </w:tcPr>
          <w:p w14:paraId="5F2CA26F" w14:textId="77777777" w:rsidR="00E836FB" w:rsidRDefault="00E836FB">
            <w:pPr>
              <w:rPr>
                <w:rFonts w:ascii="宋体"/>
                <w:vanish/>
              </w:rPr>
            </w:pPr>
          </w:p>
        </w:tc>
        <w:tc>
          <w:tcPr>
            <w:tcW w:w="0" w:type="auto"/>
            <w:gridSpan w:val="3"/>
            <w:shd w:val="clear" w:color="auto" w:fill="auto"/>
            <w:vAlign w:val="bottom"/>
          </w:tcPr>
          <w:p w14:paraId="5F2CA270" w14:textId="77777777" w:rsidR="00E836FB" w:rsidRDefault="00E836FB">
            <w:pPr>
              <w:rPr>
                <w:rFonts w:ascii="宋体"/>
                <w:vanish/>
              </w:rPr>
            </w:pPr>
          </w:p>
        </w:tc>
        <w:tc>
          <w:tcPr>
            <w:tcW w:w="0" w:type="auto"/>
            <w:gridSpan w:val="3"/>
            <w:shd w:val="clear" w:color="auto" w:fill="auto"/>
            <w:vAlign w:val="bottom"/>
          </w:tcPr>
          <w:p w14:paraId="5F2CA271" w14:textId="77777777" w:rsidR="00E836FB" w:rsidRDefault="00E836FB">
            <w:pPr>
              <w:rPr>
                <w:rFonts w:ascii="宋体"/>
                <w:vanish/>
              </w:rPr>
            </w:pPr>
          </w:p>
        </w:tc>
      </w:tr>
      <w:tr w:rsidR="00E836FB" w14:paraId="5F2CA281" w14:textId="77777777">
        <w:tc>
          <w:tcPr>
            <w:tcW w:w="0" w:type="auto"/>
            <w:gridSpan w:val="3"/>
            <w:shd w:val="clear" w:color="auto" w:fill="CCEEFF"/>
            <w:tcMar>
              <w:top w:w="40" w:type="dxa"/>
              <w:left w:w="245" w:type="dxa"/>
              <w:bottom w:w="40" w:type="dxa"/>
              <w:right w:w="20" w:type="dxa"/>
            </w:tcMar>
            <w:vAlign w:val="bottom"/>
          </w:tcPr>
          <w:p w14:paraId="5F2CA273" w14:textId="77777777" w:rsidR="00E836FB" w:rsidRDefault="00994958">
            <w:pPr>
              <w:textAlignment w:val="bottom"/>
            </w:pPr>
            <w:r>
              <w:rPr>
                <w:rFonts w:ascii="Arial" w:eastAsia="宋体" w:hAnsi="Arial" w:cs="Arial"/>
                <w:color w:val="000000"/>
                <w:sz w:val="14"/>
                <w:szCs w:val="14"/>
              </w:rPr>
              <w:t>Dilute</w:t>
            </w:r>
            <w:r>
              <w:rPr>
                <w:rFonts w:ascii="Arial" w:eastAsia="宋体" w:hAnsi="Arial" w:cs="Arial"/>
                <w:color w:val="000000"/>
                <w:sz w:val="14"/>
                <w:szCs w:val="14"/>
              </w:rPr>
              <w:t>d</w:t>
            </w:r>
          </w:p>
        </w:tc>
        <w:tc>
          <w:tcPr>
            <w:tcW w:w="0" w:type="auto"/>
            <w:gridSpan w:val="2"/>
            <w:shd w:val="clear" w:color="auto" w:fill="CCEEFF"/>
            <w:tcMar>
              <w:top w:w="40" w:type="dxa"/>
              <w:left w:w="20" w:type="dxa"/>
              <w:bottom w:w="40" w:type="dxa"/>
              <w:right w:w="0" w:type="dxa"/>
            </w:tcMar>
            <w:vAlign w:val="bottom"/>
          </w:tcPr>
          <w:p w14:paraId="5F2CA274" w14:textId="77777777" w:rsidR="00E836FB" w:rsidRDefault="00994958">
            <w:pPr>
              <w:jc w:val="right"/>
              <w:textAlignment w:val="bottom"/>
            </w:pPr>
            <w:r>
              <w:rPr>
                <w:rFonts w:ascii="Arial" w:eastAsia="宋体" w:hAnsi="Arial" w:cs="Arial"/>
                <w:b/>
                <w:bCs/>
                <w:color w:val="000000"/>
                <w:sz w:val="14"/>
                <w:szCs w:val="14"/>
              </w:rPr>
              <w:t>357,962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2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7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77" w14:textId="77777777" w:rsidR="00E836FB" w:rsidRDefault="00994958">
            <w:pPr>
              <w:jc w:val="right"/>
              <w:textAlignment w:val="bottom"/>
            </w:pPr>
            <w:r>
              <w:rPr>
                <w:rFonts w:ascii="Arial" w:eastAsia="宋体" w:hAnsi="Arial" w:cs="Arial"/>
                <w:color w:val="000000"/>
                <w:sz w:val="14"/>
                <w:szCs w:val="14"/>
              </w:rPr>
              <w:t>357,106 </w:t>
            </w:r>
          </w:p>
        </w:tc>
        <w:tc>
          <w:tcPr>
            <w:tcW w:w="0" w:type="auto"/>
            <w:shd w:val="clear" w:color="auto" w:fill="CCEEFF"/>
            <w:tcMar>
              <w:top w:w="40" w:type="dxa"/>
              <w:left w:w="0" w:type="dxa"/>
              <w:bottom w:w="40" w:type="dxa"/>
              <w:right w:w="20" w:type="dxa"/>
            </w:tcMar>
            <w:vAlign w:val="bottom"/>
          </w:tcPr>
          <w:p w14:paraId="5F2CA2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7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7A" w14:textId="77777777" w:rsidR="00E836FB" w:rsidRDefault="00994958">
            <w:pPr>
              <w:jc w:val="right"/>
              <w:textAlignment w:val="bottom"/>
            </w:pPr>
            <w:r>
              <w:rPr>
                <w:rFonts w:ascii="Arial" w:eastAsia="宋体" w:hAnsi="Arial" w:cs="Arial"/>
                <w:color w:val="000000"/>
                <w:sz w:val="14"/>
                <w:szCs w:val="14"/>
              </w:rPr>
              <w:t>373,666 </w:t>
            </w:r>
          </w:p>
        </w:tc>
        <w:tc>
          <w:tcPr>
            <w:tcW w:w="0" w:type="auto"/>
            <w:shd w:val="clear" w:color="auto" w:fill="CCEEFF"/>
            <w:tcMar>
              <w:top w:w="40" w:type="dxa"/>
              <w:left w:w="0" w:type="dxa"/>
              <w:bottom w:w="40" w:type="dxa"/>
              <w:right w:w="20" w:type="dxa"/>
            </w:tcMar>
            <w:vAlign w:val="bottom"/>
          </w:tcPr>
          <w:p w14:paraId="5F2CA27B" w14:textId="77777777" w:rsidR="00E836FB" w:rsidRDefault="00E836FB">
            <w:pPr>
              <w:jc w:val="right"/>
              <w:rPr>
                <w:rFonts w:ascii="宋体"/>
              </w:rPr>
            </w:pPr>
          </w:p>
        </w:tc>
        <w:tc>
          <w:tcPr>
            <w:tcW w:w="0" w:type="auto"/>
            <w:gridSpan w:val="3"/>
            <w:shd w:val="clear" w:color="auto" w:fill="auto"/>
            <w:vAlign w:val="bottom"/>
          </w:tcPr>
          <w:p w14:paraId="5F2CA27C" w14:textId="77777777" w:rsidR="00E836FB" w:rsidRDefault="00E836FB">
            <w:pPr>
              <w:rPr>
                <w:rFonts w:ascii="宋体"/>
                <w:vanish/>
              </w:rPr>
            </w:pPr>
          </w:p>
        </w:tc>
        <w:tc>
          <w:tcPr>
            <w:tcW w:w="0" w:type="auto"/>
            <w:gridSpan w:val="3"/>
            <w:shd w:val="clear" w:color="auto" w:fill="auto"/>
            <w:vAlign w:val="bottom"/>
          </w:tcPr>
          <w:p w14:paraId="5F2CA27D" w14:textId="77777777" w:rsidR="00E836FB" w:rsidRDefault="00E836FB">
            <w:pPr>
              <w:rPr>
                <w:rFonts w:ascii="宋体"/>
                <w:vanish/>
              </w:rPr>
            </w:pPr>
          </w:p>
        </w:tc>
        <w:tc>
          <w:tcPr>
            <w:tcW w:w="0" w:type="auto"/>
            <w:gridSpan w:val="3"/>
            <w:shd w:val="clear" w:color="auto" w:fill="auto"/>
            <w:vAlign w:val="bottom"/>
          </w:tcPr>
          <w:p w14:paraId="5F2CA27E" w14:textId="77777777" w:rsidR="00E836FB" w:rsidRDefault="00E836FB">
            <w:pPr>
              <w:rPr>
                <w:rFonts w:ascii="宋体"/>
                <w:vanish/>
              </w:rPr>
            </w:pPr>
          </w:p>
        </w:tc>
        <w:tc>
          <w:tcPr>
            <w:tcW w:w="0" w:type="auto"/>
            <w:gridSpan w:val="3"/>
            <w:shd w:val="clear" w:color="auto" w:fill="auto"/>
            <w:vAlign w:val="bottom"/>
          </w:tcPr>
          <w:p w14:paraId="5F2CA27F" w14:textId="77777777" w:rsidR="00E836FB" w:rsidRDefault="00E836FB">
            <w:pPr>
              <w:rPr>
                <w:rFonts w:ascii="宋体"/>
                <w:vanish/>
              </w:rPr>
            </w:pPr>
          </w:p>
        </w:tc>
        <w:tc>
          <w:tcPr>
            <w:tcW w:w="0" w:type="auto"/>
            <w:gridSpan w:val="3"/>
            <w:shd w:val="clear" w:color="auto" w:fill="auto"/>
            <w:vAlign w:val="bottom"/>
          </w:tcPr>
          <w:p w14:paraId="5F2CA280" w14:textId="77777777" w:rsidR="00E836FB" w:rsidRDefault="00E836FB">
            <w:pPr>
              <w:rPr>
                <w:rFonts w:ascii="宋体"/>
                <w:vanish/>
              </w:rPr>
            </w:pPr>
          </w:p>
        </w:tc>
      </w:tr>
      <w:tr w:rsidR="00E836FB" w14:paraId="5F2CA293" w14:textId="77777777">
        <w:tc>
          <w:tcPr>
            <w:tcW w:w="0" w:type="auto"/>
            <w:gridSpan w:val="3"/>
            <w:shd w:val="clear" w:color="auto" w:fill="FFFFFF"/>
            <w:tcMar>
              <w:top w:w="40" w:type="dxa"/>
              <w:left w:w="20" w:type="dxa"/>
              <w:bottom w:w="40" w:type="dxa"/>
              <w:right w:w="20" w:type="dxa"/>
            </w:tcMar>
            <w:vAlign w:val="bottom"/>
          </w:tcPr>
          <w:p w14:paraId="5F2CA282" w14:textId="77777777" w:rsidR="00E836FB" w:rsidRDefault="00994958">
            <w:pPr>
              <w:textAlignment w:val="bottom"/>
            </w:pPr>
            <w:r>
              <w:rPr>
                <w:rFonts w:ascii="Arial" w:eastAsia="宋体" w:hAnsi="Arial" w:cs="Arial"/>
                <w:color w:val="000000"/>
                <w:sz w:val="14"/>
                <w:szCs w:val="14"/>
              </w:rPr>
              <w:t>Cash dividends declared per common share</w:t>
            </w:r>
          </w:p>
        </w:tc>
        <w:tc>
          <w:tcPr>
            <w:tcW w:w="0" w:type="auto"/>
            <w:shd w:val="clear" w:color="auto" w:fill="FFFFFF"/>
            <w:tcMar>
              <w:top w:w="40" w:type="dxa"/>
              <w:left w:w="20" w:type="dxa"/>
              <w:bottom w:w="40" w:type="dxa"/>
              <w:right w:w="0" w:type="dxa"/>
            </w:tcMar>
            <w:vAlign w:val="bottom"/>
          </w:tcPr>
          <w:p w14:paraId="5F2CA283"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5F2CA284" w14:textId="77777777" w:rsidR="00E836FB" w:rsidRDefault="00994958">
            <w:pPr>
              <w:jc w:val="right"/>
              <w:textAlignment w:val="bottom"/>
            </w:pPr>
            <w:r>
              <w:rPr>
                <w:rFonts w:ascii="Arial" w:eastAsia="宋体" w:hAnsi="Arial" w:cs="Arial"/>
                <w:b/>
                <w:bCs/>
                <w:color w:val="000000"/>
                <w:sz w:val="14"/>
                <w:szCs w:val="14"/>
              </w:rPr>
              <w:t>2.18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2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86"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A28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CA288" w14:textId="77777777" w:rsidR="00E836FB" w:rsidRDefault="00994958">
            <w:pPr>
              <w:jc w:val="right"/>
              <w:textAlignment w:val="bottom"/>
            </w:pPr>
            <w:r>
              <w:rPr>
                <w:rFonts w:ascii="Arial" w:eastAsia="宋体" w:hAnsi="Arial" w:cs="Arial"/>
                <w:color w:val="000000"/>
                <w:sz w:val="14"/>
                <w:szCs w:val="14"/>
              </w:rPr>
              <w:t>2.08 </w:t>
            </w:r>
          </w:p>
        </w:tc>
        <w:tc>
          <w:tcPr>
            <w:tcW w:w="0" w:type="auto"/>
            <w:shd w:val="clear" w:color="auto" w:fill="FFFFFF"/>
            <w:tcMar>
              <w:top w:w="40" w:type="dxa"/>
              <w:left w:w="0" w:type="dxa"/>
              <w:bottom w:w="40" w:type="dxa"/>
              <w:right w:w="20" w:type="dxa"/>
            </w:tcMar>
            <w:vAlign w:val="bottom"/>
          </w:tcPr>
          <w:p w14:paraId="5F2CA2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8A"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A28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CA28C" w14:textId="77777777" w:rsidR="00E836FB" w:rsidRDefault="00994958">
            <w:pPr>
              <w:jc w:val="right"/>
              <w:textAlignment w:val="bottom"/>
            </w:pPr>
            <w:r>
              <w:rPr>
                <w:rFonts w:ascii="Arial" w:eastAsia="宋体" w:hAnsi="Arial" w:cs="Arial"/>
                <w:color w:val="000000"/>
                <w:sz w:val="14"/>
                <w:szCs w:val="14"/>
              </w:rPr>
              <w:t>1.98 </w:t>
            </w:r>
          </w:p>
        </w:tc>
        <w:tc>
          <w:tcPr>
            <w:tcW w:w="0" w:type="auto"/>
            <w:shd w:val="clear" w:color="auto" w:fill="FFFFFF"/>
            <w:tcMar>
              <w:top w:w="40" w:type="dxa"/>
              <w:left w:w="0" w:type="dxa"/>
              <w:bottom w:w="40" w:type="dxa"/>
              <w:right w:w="20" w:type="dxa"/>
            </w:tcMar>
            <w:vAlign w:val="bottom"/>
          </w:tcPr>
          <w:p w14:paraId="5F2CA28D" w14:textId="77777777" w:rsidR="00E836FB" w:rsidRDefault="00E836FB">
            <w:pPr>
              <w:jc w:val="right"/>
              <w:rPr>
                <w:rFonts w:ascii="宋体"/>
              </w:rPr>
            </w:pPr>
          </w:p>
        </w:tc>
        <w:tc>
          <w:tcPr>
            <w:tcW w:w="0" w:type="auto"/>
            <w:gridSpan w:val="3"/>
            <w:shd w:val="clear" w:color="auto" w:fill="auto"/>
            <w:vAlign w:val="bottom"/>
          </w:tcPr>
          <w:p w14:paraId="5F2CA28E" w14:textId="77777777" w:rsidR="00E836FB" w:rsidRDefault="00E836FB">
            <w:pPr>
              <w:rPr>
                <w:rFonts w:ascii="宋体"/>
                <w:vanish/>
              </w:rPr>
            </w:pPr>
          </w:p>
        </w:tc>
        <w:tc>
          <w:tcPr>
            <w:tcW w:w="0" w:type="auto"/>
            <w:gridSpan w:val="3"/>
            <w:shd w:val="clear" w:color="auto" w:fill="auto"/>
            <w:vAlign w:val="bottom"/>
          </w:tcPr>
          <w:p w14:paraId="5F2CA28F" w14:textId="77777777" w:rsidR="00E836FB" w:rsidRDefault="00E836FB">
            <w:pPr>
              <w:rPr>
                <w:rFonts w:ascii="宋体"/>
                <w:vanish/>
              </w:rPr>
            </w:pPr>
          </w:p>
        </w:tc>
        <w:tc>
          <w:tcPr>
            <w:tcW w:w="0" w:type="auto"/>
            <w:gridSpan w:val="3"/>
            <w:shd w:val="clear" w:color="auto" w:fill="auto"/>
            <w:vAlign w:val="bottom"/>
          </w:tcPr>
          <w:p w14:paraId="5F2CA290" w14:textId="77777777" w:rsidR="00E836FB" w:rsidRDefault="00E836FB">
            <w:pPr>
              <w:rPr>
                <w:rFonts w:ascii="宋体"/>
                <w:vanish/>
              </w:rPr>
            </w:pPr>
          </w:p>
        </w:tc>
        <w:tc>
          <w:tcPr>
            <w:tcW w:w="0" w:type="auto"/>
            <w:gridSpan w:val="3"/>
            <w:shd w:val="clear" w:color="auto" w:fill="auto"/>
            <w:vAlign w:val="bottom"/>
          </w:tcPr>
          <w:p w14:paraId="5F2CA291" w14:textId="77777777" w:rsidR="00E836FB" w:rsidRDefault="00E836FB">
            <w:pPr>
              <w:rPr>
                <w:rFonts w:ascii="宋体"/>
                <w:vanish/>
              </w:rPr>
            </w:pPr>
          </w:p>
        </w:tc>
        <w:tc>
          <w:tcPr>
            <w:tcW w:w="0" w:type="auto"/>
            <w:gridSpan w:val="3"/>
            <w:shd w:val="clear" w:color="auto" w:fill="auto"/>
            <w:vAlign w:val="bottom"/>
          </w:tcPr>
          <w:p w14:paraId="5F2CA292" w14:textId="77777777" w:rsidR="00E836FB" w:rsidRDefault="00E836FB">
            <w:pPr>
              <w:rPr>
                <w:rFonts w:ascii="宋体"/>
                <w:vanish/>
              </w:rPr>
            </w:pPr>
          </w:p>
        </w:tc>
      </w:tr>
      <w:tr w:rsidR="00E836FB" w14:paraId="5F2CA2A2" w14:textId="77777777">
        <w:tc>
          <w:tcPr>
            <w:tcW w:w="0" w:type="auto"/>
            <w:gridSpan w:val="3"/>
            <w:shd w:val="clear" w:color="auto" w:fill="CCEEFF"/>
            <w:tcMar>
              <w:top w:w="40" w:type="dxa"/>
              <w:left w:w="20" w:type="dxa"/>
              <w:bottom w:w="40" w:type="dxa"/>
              <w:right w:w="20" w:type="dxa"/>
            </w:tcMar>
            <w:vAlign w:val="bottom"/>
          </w:tcPr>
          <w:p w14:paraId="5F2CA294" w14:textId="77777777" w:rsidR="00E836FB" w:rsidRDefault="00994958">
            <w:pPr>
              <w:textAlignment w:val="bottom"/>
            </w:pPr>
            <w:r>
              <w:rPr>
                <w:rFonts w:ascii="Arial" w:eastAsia="宋体" w:hAnsi="Arial" w:cs="Arial"/>
                <w:color w:val="000000"/>
                <w:sz w:val="14"/>
                <w:szCs w:val="14"/>
              </w:rPr>
              <w:t>Return on average common equity</w:t>
            </w:r>
          </w:p>
        </w:tc>
        <w:tc>
          <w:tcPr>
            <w:tcW w:w="0" w:type="auto"/>
            <w:gridSpan w:val="2"/>
            <w:shd w:val="clear" w:color="auto" w:fill="CCEEFF"/>
            <w:tcMar>
              <w:top w:w="40" w:type="dxa"/>
              <w:left w:w="20" w:type="dxa"/>
              <w:bottom w:w="40" w:type="dxa"/>
              <w:right w:w="0" w:type="dxa"/>
            </w:tcMar>
            <w:vAlign w:val="bottom"/>
          </w:tcPr>
          <w:p w14:paraId="5F2CA295" w14:textId="77777777" w:rsidR="00E836FB" w:rsidRDefault="00994958">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296"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A29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98" w14:textId="77777777" w:rsidR="00E836FB" w:rsidRDefault="00994958">
            <w:pPr>
              <w:jc w:val="right"/>
              <w:textAlignment w:val="bottom"/>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bottom"/>
          </w:tcPr>
          <w:p w14:paraId="5F2CA299"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A29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9B" w14:textId="77777777" w:rsidR="00E836FB" w:rsidRDefault="00994958">
            <w:pPr>
              <w:jc w:val="right"/>
              <w:textAlignment w:val="bottom"/>
            </w:pPr>
            <w:r>
              <w:rPr>
                <w:rFonts w:ascii="Arial" w:eastAsia="宋体" w:hAnsi="Arial" w:cs="Arial"/>
                <w:color w:val="000000"/>
                <w:sz w:val="14"/>
                <w:szCs w:val="14"/>
              </w:rPr>
              <w:t>9.4 </w:t>
            </w:r>
          </w:p>
        </w:tc>
        <w:tc>
          <w:tcPr>
            <w:tcW w:w="0" w:type="auto"/>
            <w:shd w:val="clear" w:color="auto" w:fill="CCEEFF"/>
            <w:tcMar>
              <w:top w:w="40" w:type="dxa"/>
              <w:left w:w="0" w:type="dxa"/>
              <w:bottom w:w="40" w:type="dxa"/>
              <w:right w:w="20" w:type="dxa"/>
            </w:tcMar>
            <w:vAlign w:val="bottom"/>
          </w:tcPr>
          <w:p w14:paraId="5F2CA29C"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A29D" w14:textId="77777777" w:rsidR="00E836FB" w:rsidRDefault="00E836FB">
            <w:pPr>
              <w:rPr>
                <w:rFonts w:ascii="宋体"/>
                <w:vanish/>
              </w:rPr>
            </w:pPr>
          </w:p>
        </w:tc>
        <w:tc>
          <w:tcPr>
            <w:tcW w:w="0" w:type="auto"/>
            <w:gridSpan w:val="3"/>
            <w:shd w:val="clear" w:color="auto" w:fill="auto"/>
            <w:vAlign w:val="bottom"/>
          </w:tcPr>
          <w:p w14:paraId="5F2CA29E" w14:textId="77777777" w:rsidR="00E836FB" w:rsidRDefault="00E836FB">
            <w:pPr>
              <w:rPr>
                <w:rFonts w:ascii="宋体"/>
                <w:vanish/>
              </w:rPr>
            </w:pPr>
          </w:p>
        </w:tc>
        <w:tc>
          <w:tcPr>
            <w:tcW w:w="0" w:type="auto"/>
            <w:gridSpan w:val="3"/>
            <w:shd w:val="clear" w:color="auto" w:fill="auto"/>
            <w:vAlign w:val="bottom"/>
          </w:tcPr>
          <w:p w14:paraId="5F2CA29F" w14:textId="77777777" w:rsidR="00E836FB" w:rsidRDefault="00E836FB">
            <w:pPr>
              <w:rPr>
                <w:rFonts w:ascii="宋体"/>
                <w:vanish/>
              </w:rPr>
            </w:pPr>
          </w:p>
        </w:tc>
        <w:tc>
          <w:tcPr>
            <w:tcW w:w="0" w:type="auto"/>
            <w:gridSpan w:val="3"/>
            <w:shd w:val="clear" w:color="auto" w:fill="auto"/>
            <w:vAlign w:val="bottom"/>
          </w:tcPr>
          <w:p w14:paraId="5F2CA2A0" w14:textId="77777777" w:rsidR="00E836FB" w:rsidRDefault="00E836FB">
            <w:pPr>
              <w:rPr>
                <w:rFonts w:ascii="宋体"/>
                <w:vanish/>
              </w:rPr>
            </w:pPr>
          </w:p>
        </w:tc>
        <w:tc>
          <w:tcPr>
            <w:tcW w:w="0" w:type="auto"/>
            <w:gridSpan w:val="3"/>
            <w:shd w:val="clear" w:color="auto" w:fill="auto"/>
            <w:vAlign w:val="bottom"/>
          </w:tcPr>
          <w:p w14:paraId="5F2CA2A1" w14:textId="77777777" w:rsidR="00E836FB" w:rsidRDefault="00E836FB">
            <w:pPr>
              <w:rPr>
                <w:rFonts w:ascii="宋体"/>
                <w:vanish/>
              </w:rPr>
            </w:pPr>
          </w:p>
        </w:tc>
      </w:tr>
      <w:tr w:rsidR="00E836FB" w14:paraId="5F2CA2B1" w14:textId="77777777">
        <w:tc>
          <w:tcPr>
            <w:tcW w:w="0" w:type="auto"/>
            <w:gridSpan w:val="3"/>
            <w:shd w:val="clear" w:color="auto" w:fill="FFFFFF"/>
            <w:tcMar>
              <w:top w:w="40" w:type="dxa"/>
              <w:left w:w="20" w:type="dxa"/>
              <w:bottom w:w="40" w:type="dxa"/>
              <w:right w:w="20" w:type="dxa"/>
            </w:tcMar>
            <w:vAlign w:val="bottom"/>
          </w:tcPr>
          <w:p w14:paraId="5F2CA2A3" w14:textId="77777777" w:rsidR="00E836FB" w:rsidRDefault="00994958">
            <w:pPr>
              <w:textAlignment w:val="bottom"/>
            </w:pPr>
            <w:r>
              <w:rPr>
                <w:rFonts w:ascii="Arial" w:eastAsia="宋体" w:hAnsi="Arial" w:cs="Arial"/>
                <w:color w:val="000000"/>
                <w:sz w:val="14"/>
                <w:szCs w:val="14"/>
              </w:rPr>
              <w:t>Pre-tax mar</w:t>
            </w:r>
            <w:r>
              <w:rPr>
                <w:rFonts w:ascii="Arial" w:eastAsia="宋体" w:hAnsi="Arial" w:cs="Arial"/>
                <w:color w:val="000000"/>
                <w:sz w:val="14"/>
                <w:szCs w:val="14"/>
              </w:rPr>
              <w:t>gin</w:t>
            </w:r>
          </w:p>
        </w:tc>
        <w:tc>
          <w:tcPr>
            <w:tcW w:w="0" w:type="auto"/>
            <w:gridSpan w:val="2"/>
            <w:shd w:val="clear" w:color="auto" w:fill="FFFFFF"/>
            <w:tcMar>
              <w:top w:w="40" w:type="dxa"/>
              <w:left w:w="20" w:type="dxa"/>
              <w:bottom w:w="40" w:type="dxa"/>
              <w:right w:w="0" w:type="dxa"/>
            </w:tcMar>
            <w:vAlign w:val="bottom"/>
          </w:tcPr>
          <w:p w14:paraId="5F2CA2A4" w14:textId="77777777" w:rsidR="00E836FB" w:rsidRDefault="00994958">
            <w:pPr>
              <w:jc w:val="right"/>
              <w:textAlignment w:val="bottom"/>
            </w:pPr>
            <w:r>
              <w:rPr>
                <w:rFonts w:ascii="Arial" w:eastAsia="宋体" w:hAnsi="Arial" w:cs="Arial"/>
                <w:b/>
                <w:bCs/>
                <w:color w:val="000000"/>
                <w:sz w:val="14"/>
                <w:szCs w:val="14"/>
              </w:rPr>
              <w:t>26.4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2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A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A7" w14:textId="77777777" w:rsidR="00E836FB" w:rsidRDefault="00994958">
            <w:pPr>
              <w:jc w:val="right"/>
              <w:textAlignment w:val="bottom"/>
            </w:pPr>
            <w:r>
              <w:rPr>
                <w:rFonts w:ascii="Arial" w:eastAsia="宋体" w:hAnsi="Arial" w:cs="Arial"/>
                <w:color w:val="000000"/>
                <w:sz w:val="14"/>
                <w:szCs w:val="14"/>
              </w:rPr>
              <w:t>24.8 </w:t>
            </w:r>
          </w:p>
        </w:tc>
        <w:tc>
          <w:tcPr>
            <w:tcW w:w="0" w:type="auto"/>
            <w:shd w:val="clear" w:color="auto" w:fill="FFFFFF"/>
            <w:tcMar>
              <w:top w:w="40" w:type="dxa"/>
              <w:left w:w="0" w:type="dxa"/>
              <w:bottom w:w="40" w:type="dxa"/>
              <w:right w:w="20" w:type="dxa"/>
            </w:tcMar>
            <w:vAlign w:val="bottom"/>
          </w:tcPr>
          <w:p w14:paraId="5F2CA2A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A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AA" w14:textId="77777777" w:rsidR="00E836FB" w:rsidRDefault="00994958">
            <w:pPr>
              <w:jc w:val="right"/>
              <w:textAlignment w:val="bottom"/>
            </w:pPr>
            <w:r>
              <w:rPr>
                <w:rFonts w:ascii="Arial" w:eastAsia="宋体" w:hAnsi="Arial" w:cs="Arial"/>
                <w:color w:val="000000"/>
                <w:sz w:val="14"/>
                <w:szCs w:val="14"/>
              </w:rPr>
              <w:t>23.1 </w:t>
            </w:r>
          </w:p>
        </w:tc>
        <w:tc>
          <w:tcPr>
            <w:tcW w:w="0" w:type="auto"/>
            <w:shd w:val="clear" w:color="auto" w:fill="FFFFFF"/>
            <w:tcMar>
              <w:top w:w="40" w:type="dxa"/>
              <w:left w:w="0" w:type="dxa"/>
              <w:bottom w:w="40" w:type="dxa"/>
              <w:right w:w="20" w:type="dxa"/>
            </w:tcMar>
            <w:vAlign w:val="bottom"/>
          </w:tcPr>
          <w:p w14:paraId="5F2CA2AB" w14:textId="77777777" w:rsidR="00E836FB" w:rsidRDefault="00E836FB">
            <w:pPr>
              <w:jc w:val="right"/>
              <w:rPr>
                <w:rFonts w:ascii="宋体"/>
              </w:rPr>
            </w:pPr>
          </w:p>
        </w:tc>
        <w:tc>
          <w:tcPr>
            <w:tcW w:w="0" w:type="auto"/>
            <w:gridSpan w:val="3"/>
            <w:shd w:val="clear" w:color="auto" w:fill="auto"/>
            <w:vAlign w:val="bottom"/>
          </w:tcPr>
          <w:p w14:paraId="5F2CA2AC" w14:textId="77777777" w:rsidR="00E836FB" w:rsidRDefault="00E836FB">
            <w:pPr>
              <w:rPr>
                <w:rFonts w:ascii="宋体"/>
                <w:vanish/>
              </w:rPr>
            </w:pPr>
          </w:p>
        </w:tc>
        <w:tc>
          <w:tcPr>
            <w:tcW w:w="0" w:type="auto"/>
            <w:gridSpan w:val="3"/>
            <w:shd w:val="clear" w:color="auto" w:fill="auto"/>
            <w:vAlign w:val="bottom"/>
          </w:tcPr>
          <w:p w14:paraId="5F2CA2AD" w14:textId="77777777" w:rsidR="00E836FB" w:rsidRDefault="00E836FB">
            <w:pPr>
              <w:rPr>
                <w:rFonts w:ascii="宋体"/>
                <w:vanish/>
              </w:rPr>
            </w:pPr>
          </w:p>
        </w:tc>
        <w:tc>
          <w:tcPr>
            <w:tcW w:w="0" w:type="auto"/>
            <w:gridSpan w:val="3"/>
            <w:shd w:val="clear" w:color="auto" w:fill="auto"/>
            <w:vAlign w:val="bottom"/>
          </w:tcPr>
          <w:p w14:paraId="5F2CA2AE" w14:textId="77777777" w:rsidR="00E836FB" w:rsidRDefault="00E836FB">
            <w:pPr>
              <w:rPr>
                <w:rFonts w:ascii="宋体"/>
                <w:vanish/>
              </w:rPr>
            </w:pPr>
          </w:p>
        </w:tc>
        <w:tc>
          <w:tcPr>
            <w:tcW w:w="0" w:type="auto"/>
            <w:gridSpan w:val="3"/>
            <w:shd w:val="clear" w:color="auto" w:fill="auto"/>
            <w:vAlign w:val="bottom"/>
          </w:tcPr>
          <w:p w14:paraId="5F2CA2AF" w14:textId="77777777" w:rsidR="00E836FB" w:rsidRDefault="00E836FB">
            <w:pPr>
              <w:rPr>
                <w:rFonts w:ascii="宋体"/>
                <w:vanish/>
              </w:rPr>
            </w:pPr>
          </w:p>
        </w:tc>
        <w:tc>
          <w:tcPr>
            <w:tcW w:w="0" w:type="auto"/>
            <w:gridSpan w:val="3"/>
            <w:shd w:val="clear" w:color="auto" w:fill="auto"/>
            <w:vAlign w:val="bottom"/>
          </w:tcPr>
          <w:p w14:paraId="5F2CA2B0" w14:textId="77777777" w:rsidR="00E836FB" w:rsidRDefault="00E836FB">
            <w:pPr>
              <w:rPr>
                <w:rFonts w:ascii="宋体"/>
                <w:vanish/>
              </w:rPr>
            </w:pPr>
          </w:p>
        </w:tc>
      </w:tr>
      <w:tr w:rsidR="00E836FB" w14:paraId="5F2CA2C0" w14:textId="77777777">
        <w:tc>
          <w:tcPr>
            <w:tcW w:w="0" w:type="auto"/>
            <w:gridSpan w:val="3"/>
            <w:shd w:val="clear" w:color="auto" w:fill="CCEEFF"/>
            <w:tcMar>
              <w:top w:w="40" w:type="dxa"/>
              <w:left w:w="20" w:type="dxa"/>
              <w:bottom w:w="40" w:type="dxa"/>
              <w:right w:w="20" w:type="dxa"/>
            </w:tcMar>
            <w:vAlign w:val="bottom"/>
          </w:tcPr>
          <w:p w14:paraId="5F2CA2B2" w14:textId="77777777" w:rsidR="00E836FB" w:rsidRDefault="00994958">
            <w:pPr>
              <w:textAlignment w:val="bottom"/>
            </w:pPr>
            <w:r>
              <w:rPr>
                <w:rFonts w:ascii="Arial" w:eastAsia="宋体" w:hAnsi="Arial" w:cs="Arial"/>
                <w:color w:val="000000"/>
                <w:sz w:val="14"/>
                <w:szCs w:val="14"/>
              </w:rPr>
              <w:t>Return on a</w:t>
            </w:r>
            <w:r>
              <w:rPr>
                <w:rFonts w:ascii="Arial" w:eastAsia="宋体" w:hAnsi="Arial" w:cs="Arial"/>
                <w:color w:val="000000"/>
                <w:sz w:val="14"/>
                <w:szCs w:val="14"/>
              </w:rPr>
              <w:t>verage assets</w:t>
            </w:r>
          </w:p>
        </w:tc>
        <w:tc>
          <w:tcPr>
            <w:tcW w:w="0" w:type="auto"/>
            <w:gridSpan w:val="2"/>
            <w:shd w:val="clear" w:color="auto" w:fill="CCEEFF"/>
            <w:tcMar>
              <w:top w:w="40" w:type="dxa"/>
              <w:left w:w="20" w:type="dxa"/>
              <w:bottom w:w="40" w:type="dxa"/>
              <w:right w:w="0" w:type="dxa"/>
            </w:tcMar>
            <w:vAlign w:val="bottom"/>
          </w:tcPr>
          <w:p w14:paraId="5F2CA2B3" w14:textId="77777777" w:rsidR="00E836FB" w:rsidRDefault="00994958">
            <w:pPr>
              <w:jc w:val="right"/>
              <w:textAlignment w:val="bottom"/>
            </w:pPr>
            <w:r>
              <w:rPr>
                <w:rFonts w:ascii="Arial" w:eastAsia="宋体" w:hAnsi="Arial" w:cs="Arial"/>
                <w:b/>
                <w:bCs/>
                <w:color w:val="000000"/>
                <w:sz w:val="14"/>
                <w:szCs w:val="14"/>
              </w:rPr>
              <w:t>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2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B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B6" w14:textId="77777777" w:rsidR="00E836FB" w:rsidRDefault="00994958">
            <w:pPr>
              <w:jc w:val="right"/>
              <w:textAlignment w:val="bottom"/>
            </w:pPr>
            <w:r>
              <w:rPr>
                <w:rFonts w:ascii="Arial" w:eastAsia="宋体" w:hAnsi="Arial" w:cs="Arial"/>
                <w:color w:val="000000"/>
                <w:sz w:val="14"/>
                <w:szCs w:val="14"/>
              </w:rPr>
              <w:t>0.9 </w:t>
            </w:r>
          </w:p>
        </w:tc>
        <w:tc>
          <w:tcPr>
            <w:tcW w:w="0" w:type="auto"/>
            <w:shd w:val="clear" w:color="auto" w:fill="CCEEFF"/>
            <w:tcMar>
              <w:top w:w="40" w:type="dxa"/>
              <w:left w:w="0" w:type="dxa"/>
              <w:bottom w:w="40" w:type="dxa"/>
              <w:right w:w="20" w:type="dxa"/>
            </w:tcMar>
            <w:vAlign w:val="bottom"/>
          </w:tcPr>
          <w:p w14:paraId="5F2CA2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B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B9"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F2CA2BA" w14:textId="77777777" w:rsidR="00E836FB" w:rsidRDefault="00E836FB">
            <w:pPr>
              <w:jc w:val="right"/>
              <w:rPr>
                <w:rFonts w:ascii="宋体"/>
              </w:rPr>
            </w:pPr>
          </w:p>
        </w:tc>
        <w:tc>
          <w:tcPr>
            <w:tcW w:w="0" w:type="auto"/>
            <w:gridSpan w:val="3"/>
            <w:shd w:val="clear" w:color="auto" w:fill="auto"/>
            <w:vAlign w:val="bottom"/>
          </w:tcPr>
          <w:p w14:paraId="5F2CA2BB" w14:textId="77777777" w:rsidR="00E836FB" w:rsidRDefault="00E836FB">
            <w:pPr>
              <w:rPr>
                <w:rFonts w:ascii="宋体"/>
                <w:vanish/>
              </w:rPr>
            </w:pPr>
          </w:p>
        </w:tc>
        <w:tc>
          <w:tcPr>
            <w:tcW w:w="0" w:type="auto"/>
            <w:gridSpan w:val="3"/>
            <w:shd w:val="clear" w:color="auto" w:fill="auto"/>
            <w:vAlign w:val="bottom"/>
          </w:tcPr>
          <w:p w14:paraId="5F2CA2BC" w14:textId="77777777" w:rsidR="00E836FB" w:rsidRDefault="00E836FB">
            <w:pPr>
              <w:rPr>
                <w:rFonts w:ascii="宋体"/>
                <w:vanish/>
              </w:rPr>
            </w:pPr>
          </w:p>
        </w:tc>
        <w:tc>
          <w:tcPr>
            <w:tcW w:w="0" w:type="auto"/>
            <w:gridSpan w:val="3"/>
            <w:shd w:val="clear" w:color="auto" w:fill="auto"/>
            <w:vAlign w:val="bottom"/>
          </w:tcPr>
          <w:p w14:paraId="5F2CA2BD" w14:textId="77777777" w:rsidR="00E836FB" w:rsidRDefault="00E836FB">
            <w:pPr>
              <w:rPr>
                <w:rFonts w:ascii="宋体"/>
                <w:vanish/>
              </w:rPr>
            </w:pPr>
          </w:p>
        </w:tc>
        <w:tc>
          <w:tcPr>
            <w:tcW w:w="0" w:type="auto"/>
            <w:gridSpan w:val="3"/>
            <w:shd w:val="clear" w:color="auto" w:fill="auto"/>
            <w:vAlign w:val="bottom"/>
          </w:tcPr>
          <w:p w14:paraId="5F2CA2BE" w14:textId="77777777" w:rsidR="00E836FB" w:rsidRDefault="00E836FB">
            <w:pPr>
              <w:rPr>
                <w:rFonts w:ascii="宋体"/>
                <w:vanish/>
              </w:rPr>
            </w:pPr>
          </w:p>
        </w:tc>
        <w:tc>
          <w:tcPr>
            <w:tcW w:w="0" w:type="auto"/>
            <w:gridSpan w:val="3"/>
            <w:shd w:val="clear" w:color="auto" w:fill="auto"/>
            <w:vAlign w:val="bottom"/>
          </w:tcPr>
          <w:p w14:paraId="5F2CA2BF" w14:textId="77777777" w:rsidR="00E836FB" w:rsidRDefault="00E836FB">
            <w:pPr>
              <w:rPr>
                <w:rFonts w:ascii="宋体"/>
                <w:vanish/>
              </w:rPr>
            </w:pPr>
          </w:p>
        </w:tc>
      </w:tr>
      <w:tr w:rsidR="00E836FB" w14:paraId="5F2CA2CF" w14:textId="77777777">
        <w:tc>
          <w:tcPr>
            <w:tcW w:w="0" w:type="auto"/>
            <w:gridSpan w:val="3"/>
            <w:shd w:val="clear" w:color="auto" w:fill="FFFFFF"/>
            <w:tcMar>
              <w:top w:w="40" w:type="dxa"/>
              <w:left w:w="20" w:type="dxa"/>
              <w:bottom w:w="40" w:type="dxa"/>
              <w:right w:w="20" w:type="dxa"/>
            </w:tcMar>
            <w:vAlign w:val="bottom"/>
          </w:tcPr>
          <w:p w14:paraId="5F2CA2C1" w14:textId="77777777" w:rsidR="00E836FB" w:rsidRDefault="00994958">
            <w:pPr>
              <w:textAlignment w:val="bottom"/>
            </w:pPr>
            <w:r>
              <w:rPr>
                <w:rFonts w:ascii="Arial" w:eastAsia="宋体" w:hAnsi="Arial" w:cs="Arial"/>
                <w:color w:val="000000"/>
                <w:sz w:val="14"/>
                <w:szCs w:val="14"/>
              </w:rPr>
              <w:t>Common dividend payout</w:t>
            </w:r>
          </w:p>
        </w:tc>
        <w:tc>
          <w:tcPr>
            <w:tcW w:w="0" w:type="auto"/>
            <w:gridSpan w:val="2"/>
            <w:shd w:val="clear" w:color="auto" w:fill="FFFFFF"/>
            <w:tcMar>
              <w:top w:w="40" w:type="dxa"/>
              <w:left w:w="20" w:type="dxa"/>
              <w:bottom w:w="40" w:type="dxa"/>
              <w:right w:w="0" w:type="dxa"/>
            </w:tcMar>
            <w:vAlign w:val="bottom"/>
          </w:tcPr>
          <w:p w14:paraId="5F2CA2C2" w14:textId="77777777" w:rsidR="00E836FB" w:rsidRDefault="00994958">
            <w:pPr>
              <w:jc w:val="right"/>
              <w:textAlignment w:val="bottom"/>
            </w:pPr>
            <w:r>
              <w:rPr>
                <w:rFonts w:ascii="Arial" w:eastAsia="宋体" w:hAnsi="Arial" w:cs="Arial"/>
                <w:b/>
                <w:bCs/>
                <w:color w:val="000000"/>
                <w:sz w:val="14"/>
                <w:szCs w:val="14"/>
              </w:rPr>
              <w:t>30.3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2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C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C5" w14:textId="77777777" w:rsidR="00E836FB" w:rsidRDefault="00994958">
            <w:pPr>
              <w:jc w:val="right"/>
              <w:textAlignment w:val="bottom"/>
            </w:pPr>
            <w:r>
              <w:rPr>
                <w:rFonts w:ascii="Arial" w:eastAsia="宋体" w:hAnsi="Arial" w:cs="Arial"/>
                <w:color w:val="000000"/>
                <w:sz w:val="14"/>
                <w:szCs w:val="14"/>
              </w:rPr>
              <w:t>32.9 </w:t>
            </w:r>
          </w:p>
        </w:tc>
        <w:tc>
          <w:tcPr>
            <w:tcW w:w="0" w:type="auto"/>
            <w:shd w:val="clear" w:color="auto" w:fill="FFFFFF"/>
            <w:tcMar>
              <w:top w:w="40" w:type="dxa"/>
              <w:left w:w="0" w:type="dxa"/>
              <w:bottom w:w="40" w:type="dxa"/>
              <w:right w:w="20" w:type="dxa"/>
            </w:tcMar>
            <w:vAlign w:val="bottom"/>
          </w:tcPr>
          <w:p w14:paraId="5F2CA2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2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2C8" w14:textId="77777777" w:rsidR="00E836FB" w:rsidRDefault="00994958">
            <w:pPr>
              <w:jc w:val="right"/>
              <w:textAlignment w:val="bottom"/>
            </w:pPr>
            <w:r>
              <w:rPr>
                <w:rFonts w:ascii="Arial" w:eastAsia="宋体" w:hAnsi="Arial" w:cs="Arial"/>
                <w:color w:val="000000"/>
                <w:sz w:val="14"/>
                <w:szCs w:val="14"/>
              </w:rPr>
              <w:t>36.8 </w:t>
            </w:r>
          </w:p>
        </w:tc>
        <w:tc>
          <w:tcPr>
            <w:tcW w:w="0" w:type="auto"/>
            <w:shd w:val="clear" w:color="auto" w:fill="FFFFFF"/>
            <w:tcMar>
              <w:top w:w="40" w:type="dxa"/>
              <w:left w:w="0" w:type="dxa"/>
              <w:bottom w:w="40" w:type="dxa"/>
              <w:right w:w="20" w:type="dxa"/>
            </w:tcMar>
            <w:vAlign w:val="bottom"/>
          </w:tcPr>
          <w:p w14:paraId="5F2CA2C9" w14:textId="77777777" w:rsidR="00E836FB" w:rsidRDefault="00E836FB">
            <w:pPr>
              <w:jc w:val="right"/>
              <w:rPr>
                <w:rFonts w:ascii="宋体"/>
              </w:rPr>
            </w:pPr>
          </w:p>
        </w:tc>
        <w:tc>
          <w:tcPr>
            <w:tcW w:w="0" w:type="auto"/>
            <w:gridSpan w:val="3"/>
            <w:shd w:val="clear" w:color="auto" w:fill="auto"/>
            <w:vAlign w:val="bottom"/>
          </w:tcPr>
          <w:p w14:paraId="5F2CA2CA" w14:textId="77777777" w:rsidR="00E836FB" w:rsidRDefault="00E836FB">
            <w:pPr>
              <w:rPr>
                <w:rFonts w:ascii="宋体"/>
                <w:vanish/>
              </w:rPr>
            </w:pPr>
          </w:p>
        </w:tc>
        <w:tc>
          <w:tcPr>
            <w:tcW w:w="0" w:type="auto"/>
            <w:gridSpan w:val="3"/>
            <w:shd w:val="clear" w:color="auto" w:fill="auto"/>
            <w:vAlign w:val="bottom"/>
          </w:tcPr>
          <w:p w14:paraId="5F2CA2CB" w14:textId="77777777" w:rsidR="00E836FB" w:rsidRDefault="00E836FB">
            <w:pPr>
              <w:rPr>
                <w:rFonts w:ascii="宋体"/>
                <w:vanish/>
              </w:rPr>
            </w:pPr>
          </w:p>
        </w:tc>
        <w:tc>
          <w:tcPr>
            <w:tcW w:w="0" w:type="auto"/>
            <w:gridSpan w:val="3"/>
            <w:shd w:val="clear" w:color="auto" w:fill="auto"/>
            <w:vAlign w:val="bottom"/>
          </w:tcPr>
          <w:p w14:paraId="5F2CA2CC" w14:textId="77777777" w:rsidR="00E836FB" w:rsidRDefault="00E836FB">
            <w:pPr>
              <w:rPr>
                <w:rFonts w:ascii="宋体"/>
                <w:vanish/>
              </w:rPr>
            </w:pPr>
          </w:p>
        </w:tc>
        <w:tc>
          <w:tcPr>
            <w:tcW w:w="0" w:type="auto"/>
            <w:gridSpan w:val="3"/>
            <w:shd w:val="clear" w:color="auto" w:fill="auto"/>
            <w:vAlign w:val="bottom"/>
          </w:tcPr>
          <w:p w14:paraId="5F2CA2CD" w14:textId="77777777" w:rsidR="00E836FB" w:rsidRDefault="00E836FB">
            <w:pPr>
              <w:rPr>
                <w:rFonts w:ascii="宋体"/>
                <w:vanish/>
              </w:rPr>
            </w:pPr>
          </w:p>
        </w:tc>
        <w:tc>
          <w:tcPr>
            <w:tcW w:w="0" w:type="auto"/>
            <w:gridSpan w:val="3"/>
            <w:shd w:val="clear" w:color="auto" w:fill="auto"/>
            <w:vAlign w:val="bottom"/>
          </w:tcPr>
          <w:p w14:paraId="5F2CA2CE" w14:textId="77777777" w:rsidR="00E836FB" w:rsidRDefault="00E836FB">
            <w:pPr>
              <w:rPr>
                <w:rFonts w:ascii="宋体"/>
                <w:vanish/>
              </w:rPr>
            </w:pPr>
          </w:p>
        </w:tc>
      </w:tr>
      <w:tr w:rsidR="00E836FB" w14:paraId="5F2CA2DE" w14:textId="77777777">
        <w:tc>
          <w:tcPr>
            <w:tcW w:w="0" w:type="auto"/>
            <w:gridSpan w:val="3"/>
            <w:shd w:val="clear" w:color="auto" w:fill="CCEEFF"/>
            <w:tcMar>
              <w:top w:w="40" w:type="dxa"/>
              <w:left w:w="20" w:type="dxa"/>
              <w:bottom w:w="40" w:type="dxa"/>
              <w:right w:w="20" w:type="dxa"/>
            </w:tcMar>
            <w:vAlign w:val="bottom"/>
          </w:tcPr>
          <w:p w14:paraId="5F2CA2D0" w14:textId="77777777" w:rsidR="00E836FB" w:rsidRDefault="00994958">
            <w:pPr>
              <w:textAlignment w:val="bottom"/>
            </w:pPr>
            <w:r>
              <w:rPr>
                <w:rFonts w:ascii="Arial" w:eastAsia="宋体" w:hAnsi="Arial" w:cs="Arial"/>
                <w:color w:val="000000"/>
                <w:sz w:val="14"/>
                <w:szCs w:val="14"/>
              </w:rPr>
              <w:t>Average com</w:t>
            </w:r>
            <w:r>
              <w:rPr>
                <w:rFonts w:ascii="Arial" w:eastAsia="宋体" w:hAnsi="Arial" w:cs="Arial"/>
                <w:color w:val="000000"/>
                <w:sz w:val="14"/>
                <w:szCs w:val="14"/>
              </w:rPr>
              <w:t>mon equity to average total assets</w:t>
            </w:r>
          </w:p>
        </w:tc>
        <w:tc>
          <w:tcPr>
            <w:tcW w:w="0" w:type="auto"/>
            <w:gridSpan w:val="2"/>
            <w:shd w:val="clear" w:color="auto" w:fill="CCEEFF"/>
            <w:tcMar>
              <w:top w:w="40" w:type="dxa"/>
              <w:left w:w="20" w:type="dxa"/>
              <w:bottom w:w="40" w:type="dxa"/>
              <w:right w:w="0" w:type="dxa"/>
            </w:tcMar>
            <w:vAlign w:val="bottom"/>
          </w:tcPr>
          <w:p w14:paraId="5F2CA2D1" w14:textId="77777777" w:rsidR="00E836FB" w:rsidRDefault="00994958">
            <w:pPr>
              <w:jc w:val="right"/>
              <w:textAlignment w:val="bottom"/>
            </w:pPr>
            <w:r>
              <w:rPr>
                <w:rFonts w:ascii="Arial" w:eastAsia="宋体" w:hAnsi="Arial" w:cs="Arial"/>
                <w:b/>
                <w:bCs/>
                <w:color w:val="000000"/>
                <w:sz w:val="14"/>
                <w:szCs w:val="14"/>
              </w:rPr>
              <w:t>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2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D4" w14:textId="77777777" w:rsidR="00E836FB" w:rsidRDefault="00994958">
            <w:pPr>
              <w:jc w:val="right"/>
              <w:textAlignment w:val="bottom"/>
            </w:pPr>
            <w:r>
              <w:rPr>
                <w:rFonts w:ascii="Arial" w:eastAsia="宋体" w:hAnsi="Arial" w:cs="Arial"/>
                <w:color w:val="000000"/>
                <w:sz w:val="14"/>
                <w:szCs w:val="14"/>
              </w:rPr>
              <w:t>8.3 </w:t>
            </w:r>
          </w:p>
        </w:tc>
        <w:tc>
          <w:tcPr>
            <w:tcW w:w="0" w:type="auto"/>
            <w:shd w:val="clear" w:color="auto" w:fill="CCEEFF"/>
            <w:tcMar>
              <w:top w:w="40" w:type="dxa"/>
              <w:left w:w="0" w:type="dxa"/>
              <w:bottom w:w="40" w:type="dxa"/>
              <w:right w:w="20" w:type="dxa"/>
            </w:tcMar>
            <w:vAlign w:val="bottom"/>
          </w:tcPr>
          <w:p w14:paraId="5F2CA2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2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2D7" w14:textId="77777777" w:rsidR="00E836FB" w:rsidRDefault="00994958">
            <w:pPr>
              <w:jc w:val="right"/>
              <w:textAlignment w:val="bottom"/>
            </w:pPr>
            <w:r>
              <w:rPr>
                <w:rFonts w:ascii="Arial" w:eastAsia="宋体" w:hAnsi="Arial" w:cs="Arial"/>
                <w:color w:val="000000"/>
                <w:sz w:val="14"/>
                <w:szCs w:val="14"/>
              </w:rPr>
              <w:t>9.6 </w:t>
            </w:r>
          </w:p>
        </w:tc>
        <w:tc>
          <w:tcPr>
            <w:tcW w:w="0" w:type="auto"/>
            <w:shd w:val="clear" w:color="auto" w:fill="CCEEFF"/>
            <w:tcMar>
              <w:top w:w="40" w:type="dxa"/>
              <w:left w:w="0" w:type="dxa"/>
              <w:bottom w:w="40" w:type="dxa"/>
              <w:right w:w="20" w:type="dxa"/>
            </w:tcMar>
            <w:vAlign w:val="bottom"/>
          </w:tcPr>
          <w:p w14:paraId="5F2CA2D8" w14:textId="77777777" w:rsidR="00E836FB" w:rsidRDefault="00E836FB">
            <w:pPr>
              <w:jc w:val="right"/>
              <w:rPr>
                <w:rFonts w:ascii="宋体"/>
              </w:rPr>
            </w:pPr>
          </w:p>
        </w:tc>
        <w:tc>
          <w:tcPr>
            <w:tcW w:w="0" w:type="auto"/>
            <w:gridSpan w:val="3"/>
            <w:shd w:val="clear" w:color="auto" w:fill="auto"/>
            <w:vAlign w:val="bottom"/>
          </w:tcPr>
          <w:p w14:paraId="5F2CA2D9" w14:textId="77777777" w:rsidR="00E836FB" w:rsidRDefault="00E836FB">
            <w:pPr>
              <w:rPr>
                <w:rFonts w:ascii="宋体"/>
                <w:vanish/>
              </w:rPr>
            </w:pPr>
          </w:p>
        </w:tc>
        <w:tc>
          <w:tcPr>
            <w:tcW w:w="0" w:type="auto"/>
            <w:gridSpan w:val="3"/>
            <w:shd w:val="clear" w:color="auto" w:fill="auto"/>
            <w:vAlign w:val="bottom"/>
          </w:tcPr>
          <w:p w14:paraId="5F2CA2DA" w14:textId="77777777" w:rsidR="00E836FB" w:rsidRDefault="00E836FB">
            <w:pPr>
              <w:rPr>
                <w:rFonts w:ascii="宋体"/>
                <w:vanish/>
              </w:rPr>
            </w:pPr>
          </w:p>
        </w:tc>
        <w:tc>
          <w:tcPr>
            <w:tcW w:w="0" w:type="auto"/>
            <w:gridSpan w:val="3"/>
            <w:shd w:val="clear" w:color="auto" w:fill="auto"/>
            <w:vAlign w:val="bottom"/>
          </w:tcPr>
          <w:p w14:paraId="5F2CA2DB" w14:textId="77777777" w:rsidR="00E836FB" w:rsidRDefault="00E836FB">
            <w:pPr>
              <w:rPr>
                <w:rFonts w:ascii="宋体"/>
                <w:vanish/>
              </w:rPr>
            </w:pPr>
          </w:p>
        </w:tc>
        <w:tc>
          <w:tcPr>
            <w:tcW w:w="0" w:type="auto"/>
            <w:gridSpan w:val="3"/>
            <w:shd w:val="clear" w:color="auto" w:fill="auto"/>
            <w:vAlign w:val="bottom"/>
          </w:tcPr>
          <w:p w14:paraId="5F2CA2DC" w14:textId="77777777" w:rsidR="00E836FB" w:rsidRDefault="00E836FB">
            <w:pPr>
              <w:rPr>
                <w:rFonts w:ascii="宋体"/>
                <w:vanish/>
              </w:rPr>
            </w:pPr>
          </w:p>
        </w:tc>
        <w:tc>
          <w:tcPr>
            <w:tcW w:w="0" w:type="auto"/>
            <w:gridSpan w:val="3"/>
            <w:shd w:val="clear" w:color="auto" w:fill="auto"/>
            <w:vAlign w:val="bottom"/>
          </w:tcPr>
          <w:p w14:paraId="5F2CA2DD" w14:textId="77777777" w:rsidR="00E836FB" w:rsidRDefault="00E836FB">
            <w:pPr>
              <w:rPr>
                <w:rFonts w:ascii="宋体"/>
                <w:vanish/>
              </w:rPr>
            </w:pPr>
          </w:p>
        </w:tc>
      </w:tr>
      <w:tr w:rsidR="00E836FB" w14:paraId="5F2CA2EA" w14:textId="77777777">
        <w:trPr>
          <w:hidden/>
        </w:trPr>
        <w:tc>
          <w:tcPr>
            <w:tcW w:w="0" w:type="auto"/>
            <w:gridSpan w:val="3"/>
            <w:shd w:val="clear" w:color="auto" w:fill="auto"/>
            <w:vAlign w:val="bottom"/>
          </w:tcPr>
          <w:p w14:paraId="5F2CA2DF" w14:textId="77777777" w:rsidR="00E836FB" w:rsidRDefault="00E836FB">
            <w:pPr>
              <w:rPr>
                <w:rFonts w:ascii="宋体"/>
                <w:vanish/>
              </w:rPr>
            </w:pPr>
          </w:p>
        </w:tc>
        <w:tc>
          <w:tcPr>
            <w:tcW w:w="0" w:type="auto"/>
            <w:gridSpan w:val="3"/>
            <w:shd w:val="clear" w:color="auto" w:fill="auto"/>
            <w:vAlign w:val="bottom"/>
          </w:tcPr>
          <w:p w14:paraId="5F2CA2E0" w14:textId="77777777" w:rsidR="00E836FB" w:rsidRDefault="00E836FB">
            <w:pPr>
              <w:rPr>
                <w:rFonts w:ascii="宋体"/>
                <w:vanish/>
              </w:rPr>
            </w:pPr>
          </w:p>
        </w:tc>
        <w:tc>
          <w:tcPr>
            <w:tcW w:w="0" w:type="auto"/>
            <w:gridSpan w:val="3"/>
            <w:shd w:val="clear" w:color="auto" w:fill="auto"/>
            <w:vAlign w:val="bottom"/>
          </w:tcPr>
          <w:p w14:paraId="5F2CA2E1" w14:textId="77777777" w:rsidR="00E836FB" w:rsidRDefault="00E836FB">
            <w:pPr>
              <w:rPr>
                <w:rFonts w:ascii="宋体"/>
                <w:vanish/>
              </w:rPr>
            </w:pPr>
          </w:p>
        </w:tc>
        <w:tc>
          <w:tcPr>
            <w:tcW w:w="0" w:type="auto"/>
            <w:gridSpan w:val="3"/>
            <w:shd w:val="clear" w:color="auto" w:fill="auto"/>
            <w:vAlign w:val="bottom"/>
          </w:tcPr>
          <w:p w14:paraId="5F2CA2E2" w14:textId="77777777" w:rsidR="00E836FB" w:rsidRDefault="00E836FB">
            <w:pPr>
              <w:rPr>
                <w:rFonts w:ascii="宋体"/>
                <w:vanish/>
              </w:rPr>
            </w:pPr>
          </w:p>
        </w:tc>
        <w:tc>
          <w:tcPr>
            <w:tcW w:w="0" w:type="auto"/>
            <w:gridSpan w:val="3"/>
            <w:shd w:val="clear" w:color="auto" w:fill="auto"/>
            <w:vAlign w:val="bottom"/>
          </w:tcPr>
          <w:p w14:paraId="5F2CA2E3" w14:textId="77777777" w:rsidR="00E836FB" w:rsidRDefault="00E836FB">
            <w:pPr>
              <w:rPr>
                <w:rFonts w:ascii="宋体"/>
                <w:vanish/>
              </w:rPr>
            </w:pPr>
          </w:p>
        </w:tc>
        <w:tc>
          <w:tcPr>
            <w:tcW w:w="0" w:type="auto"/>
            <w:gridSpan w:val="3"/>
            <w:shd w:val="clear" w:color="auto" w:fill="auto"/>
            <w:vAlign w:val="bottom"/>
          </w:tcPr>
          <w:p w14:paraId="5F2CA2E4" w14:textId="77777777" w:rsidR="00E836FB" w:rsidRDefault="00E836FB">
            <w:pPr>
              <w:rPr>
                <w:rFonts w:ascii="宋体"/>
                <w:vanish/>
              </w:rPr>
            </w:pPr>
          </w:p>
        </w:tc>
        <w:tc>
          <w:tcPr>
            <w:tcW w:w="0" w:type="auto"/>
            <w:gridSpan w:val="3"/>
            <w:shd w:val="clear" w:color="auto" w:fill="auto"/>
            <w:vAlign w:val="bottom"/>
          </w:tcPr>
          <w:p w14:paraId="5F2CA2E5" w14:textId="77777777" w:rsidR="00E836FB" w:rsidRDefault="00E836FB">
            <w:pPr>
              <w:rPr>
                <w:rFonts w:ascii="宋体"/>
                <w:vanish/>
              </w:rPr>
            </w:pPr>
          </w:p>
        </w:tc>
        <w:tc>
          <w:tcPr>
            <w:tcW w:w="0" w:type="auto"/>
            <w:gridSpan w:val="3"/>
            <w:shd w:val="clear" w:color="auto" w:fill="auto"/>
            <w:vAlign w:val="bottom"/>
          </w:tcPr>
          <w:p w14:paraId="5F2CA2E6" w14:textId="77777777" w:rsidR="00E836FB" w:rsidRDefault="00E836FB">
            <w:pPr>
              <w:rPr>
                <w:rFonts w:ascii="宋体"/>
                <w:vanish/>
              </w:rPr>
            </w:pPr>
          </w:p>
        </w:tc>
        <w:tc>
          <w:tcPr>
            <w:tcW w:w="0" w:type="auto"/>
            <w:gridSpan w:val="3"/>
            <w:shd w:val="clear" w:color="auto" w:fill="auto"/>
            <w:vAlign w:val="bottom"/>
          </w:tcPr>
          <w:p w14:paraId="5F2CA2E7" w14:textId="77777777" w:rsidR="00E836FB" w:rsidRDefault="00E836FB">
            <w:pPr>
              <w:rPr>
                <w:rFonts w:ascii="宋体"/>
                <w:vanish/>
              </w:rPr>
            </w:pPr>
          </w:p>
        </w:tc>
        <w:tc>
          <w:tcPr>
            <w:tcW w:w="0" w:type="auto"/>
            <w:gridSpan w:val="3"/>
            <w:shd w:val="clear" w:color="auto" w:fill="auto"/>
            <w:vAlign w:val="bottom"/>
          </w:tcPr>
          <w:p w14:paraId="5F2CA2E8" w14:textId="77777777" w:rsidR="00E836FB" w:rsidRDefault="00E836FB">
            <w:pPr>
              <w:rPr>
                <w:rFonts w:ascii="宋体"/>
                <w:vanish/>
              </w:rPr>
            </w:pPr>
          </w:p>
        </w:tc>
        <w:tc>
          <w:tcPr>
            <w:tcW w:w="0" w:type="auto"/>
            <w:gridSpan w:val="3"/>
            <w:shd w:val="clear" w:color="auto" w:fill="auto"/>
            <w:vAlign w:val="bottom"/>
          </w:tcPr>
          <w:p w14:paraId="5F2CA2E9" w14:textId="77777777" w:rsidR="00E836FB" w:rsidRDefault="00E836FB">
            <w:pPr>
              <w:rPr>
                <w:rFonts w:ascii="宋体"/>
                <w:vanish/>
              </w:rPr>
            </w:pPr>
          </w:p>
        </w:tc>
      </w:tr>
      <w:tr w:rsidR="00E836FB" w14:paraId="5F2CA2FA" w14:textId="77777777">
        <w:trPr>
          <w:hidden/>
        </w:trPr>
        <w:tc>
          <w:tcPr>
            <w:tcW w:w="0" w:type="auto"/>
            <w:gridSpan w:val="3"/>
            <w:shd w:val="clear" w:color="auto" w:fill="auto"/>
            <w:vAlign w:val="bottom"/>
          </w:tcPr>
          <w:p w14:paraId="5F2CA2EB" w14:textId="77777777" w:rsidR="00E836FB" w:rsidRDefault="00E836FB">
            <w:pPr>
              <w:rPr>
                <w:rFonts w:ascii="宋体"/>
                <w:vanish/>
              </w:rPr>
            </w:pPr>
          </w:p>
        </w:tc>
        <w:tc>
          <w:tcPr>
            <w:tcW w:w="0" w:type="auto"/>
            <w:gridSpan w:val="3"/>
            <w:shd w:val="clear" w:color="auto" w:fill="auto"/>
            <w:vAlign w:val="bottom"/>
          </w:tcPr>
          <w:p w14:paraId="5F2CA2EC" w14:textId="77777777" w:rsidR="00E836FB" w:rsidRDefault="00E836FB">
            <w:pPr>
              <w:rPr>
                <w:rFonts w:ascii="宋体"/>
                <w:vanish/>
              </w:rPr>
            </w:pPr>
          </w:p>
        </w:tc>
        <w:tc>
          <w:tcPr>
            <w:tcW w:w="0" w:type="auto"/>
            <w:gridSpan w:val="3"/>
            <w:shd w:val="clear" w:color="auto" w:fill="auto"/>
            <w:vAlign w:val="bottom"/>
          </w:tcPr>
          <w:p w14:paraId="5F2CA2ED" w14:textId="77777777" w:rsidR="00E836FB" w:rsidRDefault="00E836FB">
            <w:pPr>
              <w:rPr>
                <w:rFonts w:ascii="宋体"/>
                <w:vanish/>
              </w:rPr>
            </w:pPr>
          </w:p>
        </w:tc>
        <w:tc>
          <w:tcPr>
            <w:tcW w:w="0" w:type="auto"/>
            <w:gridSpan w:val="3"/>
            <w:shd w:val="clear" w:color="auto" w:fill="auto"/>
            <w:vAlign w:val="bottom"/>
          </w:tcPr>
          <w:p w14:paraId="5F2CA2EE" w14:textId="77777777" w:rsidR="00E836FB" w:rsidRDefault="00E836FB">
            <w:pPr>
              <w:rPr>
                <w:rFonts w:ascii="宋体"/>
                <w:vanish/>
              </w:rPr>
            </w:pPr>
          </w:p>
        </w:tc>
        <w:tc>
          <w:tcPr>
            <w:tcW w:w="0" w:type="auto"/>
            <w:gridSpan w:val="3"/>
            <w:shd w:val="clear" w:color="auto" w:fill="auto"/>
            <w:vAlign w:val="bottom"/>
          </w:tcPr>
          <w:p w14:paraId="5F2CA2EF" w14:textId="77777777" w:rsidR="00E836FB" w:rsidRDefault="00E836FB">
            <w:pPr>
              <w:rPr>
                <w:rFonts w:ascii="宋体"/>
                <w:vanish/>
              </w:rPr>
            </w:pPr>
          </w:p>
        </w:tc>
        <w:tc>
          <w:tcPr>
            <w:tcW w:w="0" w:type="auto"/>
            <w:gridSpan w:val="3"/>
            <w:shd w:val="clear" w:color="auto" w:fill="auto"/>
            <w:vAlign w:val="bottom"/>
          </w:tcPr>
          <w:p w14:paraId="5F2CA2F0" w14:textId="77777777" w:rsidR="00E836FB" w:rsidRDefault="00E836FB">
            <w:pPr>
              <w:rPr>
                <w:rFonts w:ascii="宋体"/>
                <w:vanish/>
              </w:rPr>
            </w:pPr>
          </w:p>
        </w:tc>
        <w:tc>
          <w:tcPr>
            <w:tcW w:w="0" w:type="auto"/>
            <w:gridSpan w:val="3"/>
            <w:shd w:val="clear" w:color="auto" w:fill="auto"/>
            <w:vAlign w:val="bottom"/>
          </w:tcPr>
          <w:p w14:paraId="5F2CA2F1" w14:textId="77777777" w:rsidR="00E836FB" w:rsidRDefault="00E836FB">
            <w:pPr>
              <w:rPr>
                <w:rFonts w:ascii="宋体"/>
                <w:vanish/>
              </w:rPr>
            </w:pPr>
          </w:p>
        </w:tc>
        <w:tc>
          <w:tcPr>
            <w:tcW w:w="0" w:type="auto"/>
            <w:gridSpan w:val="3"/>
            <w:shd w:val="clear" w:color="auto" w:fill="auto"/>
            <w:vAlign w:val="bottom"/>
          </w:tcPr>
          <w:p w14:paraId="5F2CA2F2" w14:textId="77777777" w:rsidR="00E836FB" w:rsidRDefault="00E836FB">
            <w:pPr>
              <w:rPr>
                <w:rFonts w:ascii="宋体"/>
                <w:vanish/>
              </w:rPr>
            </w:pPr>
          </w:p>
        </w:tc>
        <w:tc>
          <w:tcPr>
            <w:tcW w:w="0" w:type="auto"/>
            <w:gridSpan w:val="3"/>
            <w:shd w:val="clear" w:color="auto" w:fill="auto"/>
            <w:vAlign w:val="bottom"/>
          </w:tcPr>
          <w:p w14:paraId="5F2CA2F3" w14:textId="77777777" w:rsidR="00E836FB" w:rsidRDefault="00E836FB">
            <w:pPr>
              <w:rPr>
                <w:rFonts w:ascii="宋体"/>
                <w:vanish/>
              </w:rPr>
            </w:pPr>
          </w:p>
        </w:tc>
        <w:tc>
          <w:tcPr>
            <w:tcW w:w="0" w:type="auto"/>
            <w:shd w:val="clear" w:color="auto" w:fill="auto"/>
            <w:vAlign w:val="bottom"/>
          </w:tcPr>
          <w:p w14:paraId="5F2CA2F4" w14:textId="77777777" w:rsidR="00E836FB" w:rsidRDefault="00E836FB">
            <w:pPr>
              <w:rPr>
                <w:rFonts w:ascii="宋体"/>
              </w:rPr>
            </w:pPr>
          </w:p>
        </w:tc>
        <w:tc>
          <w:tcPr>
            <w:tcW w:w="0" w:type="auto"/>
            <w:shd w:val="clear" w:color="auto" w:fill="auto"/>
            <w:vAlign w:val="bottom"/>
          </w:tcPr>
          <w:p w14:paraId="5F2CA2F5" w14:textId="77777777" w:rsidR="00E836FB" w:rsidRDefault="00E836FB">
            <w:pPr>
              <w:rPr>
                <w:rFonts w:ascii="宋体"/>
              </w:rPr>
            </w:pPr>
          </w:p>
        </w:tc>
        <w:tc>
          <w:tcPr>
            <w:tcW w:w="0" w:type="auto"/>
            <w:shd w:val="clear" w:color="auto" w:fill="auto"/>
            <w:vAlign w:val="bottom"/>
          </w:tcPr>
          <w:p w14:paraId="5F2CA2F6" w14:textId="77777777" w:rsidR="00E836FB" w:rsidRDefault="00E836FB">
            <w:pPr>
              <w:rPr>
                <w:rFonts w:ascii="宋体"/>
              </w:rPr>
            </w:pPr>
          </w:p>
        </w:tc>
        <w:tc>
          <w:tcPr>
            <w:tcW w:w="0" w:type="auto"/>
            <w:shd w:val="clear" w:color="auto" w:fill="auto"/>
            <w:vAlign w:val="bottom"/>
          </w:tcPr>
          <w:p w14:paraId="5F2CA2F7" w14:textId="77777777" w:rsidR="00E836FB" w:rsidRDefault="00E836FB">
            <w:pPr>
              <w:rPr>
                <w:rFonts w:ascii="宋体"/>
              </w:rPr>
            </w:pPr>
          </w:p>
        </w:tc>
        <w:tc>
          <w:tcPr>
            <w:tcW w:w="0" w:type="auto"/>
            <w:shd w:val="clear" w:color="auto" w:fill="auto"/>
            <w:vAlign w:val="bottom"/>
          </w:tcPr>
          <w:p w14:paraId="5F2CA2F8" w14:textId="77777777" w:rsidR="00E836FB" w:rsidRDefault="00E836FB">
            <w:pPr>
              <w:rPr>
                <w:rFonts w:ascii="宋体"/>
              </w:rPr>
            </w:pPr>
          </w:p>
        </w:tc>
        <w:tc>
          <w:tcPr>
            <w:tcW w:w="0" w:type="auto"/>
            <w:shd w:val="clear" w:color="auto" w:fill="auto"/>
            <w:vAlign w:val="bottom"/>
          </w:tcPr>
          <w:p w14:paraId="5F2CA2F9" w14:textId="77777777" w:rsidR="00E836FB" w:rsidRDefault="00E836FB">
            <w:pPr>
              <w:rPr>
                <w:rFonts w:ascii="宋体"/>
              </w:rPr>
            </w:pPr>
          </w:p>
        </w:tc>
      </w:tr>
      <w:tr w:rsidR="00E836FB" w14:paraId="5F2CA306" w14:textId="77777777">
        <w:trPr>
          <w:hidden/>
        </w:trPr>
        <w:tc>
          <w:tcPr>
            <w:tcW w:w="0" w:type="auto"/>
            <w:gridSpan w:val="3"/>
            <w:shd w:val="clear" w:color="auto" w:fill="auto"/>
            <w:vAlign w:val="bottom"/>
          </w:tcPr>
          <w:p w14:paraId="5F2CA2FB" w14:textId="77777777" w:rsidR="00E836FB" w:rsidRDefault="00E836FB">
            <w:pPr>
              <w:rPr>
                <w:rFonts w:ascii="宋体"/>
                <w:vanish/>
              </w:rPr>
            </w:pPr>
          </w:p>
        </w:tc>
        <w:tc>
          <w:tcPr>
            <w:tcW w:w="0" w:type="auto"/>
            <w:gridSpan w:val="3"/>
            <w:shd w:val="clear" w:color="auto" w:fill="auto"/>
            <w:vAlign w:val="bottom"/>
          </w:tcPr>
          <w:p w14:paraId="5F2CA2FC" w14:textId="77777777" w:rsidR="00E836FB" w:rsidRDefault="00E836FB">
            <w:pPr>
              <w:rPr>
                <w:rFonts w:ascii="宋体"/>
                <w:vanish/>
              </w:rPr>
            </w:pPr>
          </w:p>
        </w:tc>
        <w:tc>
          <w:tcPr>
            <w:tcW w:w="0" w:type="auto"/>
            <w:gridSpan w:val="3"/>
            <w:shd w:val="clear" w:color="auto" w:fill="auto"/>
            <w:vAlign w:val="bottom"/>
          </w:tcPr>
          <w:p w14:paraId="5F2CA2FD" w14:textId="77777777" w:rsidR="00E836FB" w:rsidRDefault="00E836FB">
            <w:pPr>
              <w:rPr>
                <w:rFonts w:ascii="宋体"/>
                <w:vanish/>
              </w:rPr>
            </w:pPr>
          </w:p>
        </w:tc>
        <w:tc>
          <w:tcPr>
            <w:tcW w:w="0" w:type="auto"/>
            <w:gridSpan w:val="3"/>
            <w:shd w:val="clear" w:color="auto" w:fill="auto"/>
            <w:vAlign w:val="bottom"/>
          </w:tcPr>
          <w:p w14:paraId="5F2CA2FE" w14:textId="77777777" w:rsidR="00E836FB" w:rsidRDefault="00E836FB">
            <w:pPr>
              <w:rPr>
                <w:rFonts w:ascii="宋体"/>
                <w:vanish/>
              </w:rPr>
            </w:pPr>
          </w:p>
        </w:tc>
        <w:tc>
          <w:tcPr>
            <w:tcW w:w="0" w:type="auto"/>
            <w:gridSpan w:val="3"/>
            <w:shd w:val="clear" w:color="auto" w:fill="auto"/>
            <w:vAlign w:val="bottom"/>
          </w:tcPr>
          <w:p w14:paraId="5F2CA2FF" w14:textId="77777777" w:rsidR="00E836FB" w:rsidRDefault="00E836FB">
            <w:pPr>
              <w:rPr>
                <w:rFonts w:ascii="宋体"/>
                <w:vanish/>
              </w:rPr>
            </w:pPr>
          </w:p>
        </w:tc>
        <w:tc>
          <w:tcPr>
            <w:tcW w:w="0" w:type="auto"/>
            <w:gridSpan w:val="3"/>
            <w:shd w:val="clear" w:color="auto" w:fill="auto"/>
            <w:vAlign w:val="bottom"/>
          </w:tcPr>
          <w:p w14:paraId="5F2CA300" w14:textId="77777777" w:rsidR="00E836FB" w:rsidRDefault="00E836FB">
            <w:pPr>
              <w:rPr>
                <w:rFonts w:ascii="宋体"/>
                <w:vanish/>
              </w:rPr>
            </w:pPr>
          </w:p>
        </w:tc>
        <w:tc>
          <w:tcPr>
            <w:tcW w:w="0" w:type="auto"/>
            <w:gridSpan w:val="3"/>
            <w:shd w:val="clear" w:color="auto" w:fill="auto"/>
            <w:vAlign w:val="bottom"/>
          </w:tcPr>
          <w:p w14:paraId="5F2CA301" w14:textId="77777777" w:rsidR="00E836FB" w:rsidRDefault="00E836FB">
            <w:pPr>
              <w:rPr>
                <w:rFonts w:ascii="宋体"/>
                <w:vanish/>
              </w:rPr>
            </w:pPr>
          </w:p>
        </w:tc>
        <w:tc>
          <w:tcPr>
            <w:tcW w:w="0" w:type="auto"/>
            <w:gridSpan w:val="3"/>
            <w:shd w:val="clear" w:color="auto" w:fill="auto"/>
            <w:vAlign w:val="bottom"/>
          </w:tcPr>
          <w:p w14:paraId="5F2CA302" w14:textId="77777777" w:rsidR="00E836FB" w:rsidRDefault="00E836FB">
            <w:pPr>
              <w:rPr>
                <w:rFonts w:ascii="宋体"/>
                <w:vanish/>
              </w:rPr>
            </w:pPr>
          </w:p>
        </w:tc>
        <w:tc>
          <w:tcPr>
            <w:tcW w:w="0" w:type="auto"/>
            <w:gridSpan w:val="3"/>
            <w:shd w:val="clear" w:color="auto" w:fill="auto"/>
            <w:vAlign w:val="bottom"/>
          </w:tcPr>
          <w:p w14:paraId="5F2CA303" w14:textId="77777777" w:rsidR="00E836FB" w:rsidRDefault="00E836FB">
            <w:pPr>
              <w:rPr>
                <w:rFonts w:ascii="宋体"/>
                <w:vanish/>
              </w:rPr>
            </w:pPr>
          </w:p>
        </w:tc>
        <w:tc>
          <w:tcPr>
            <w:tcW w:w="0" w:type="auto"/>
            <w:gridSpan w:val="3"/>
            <w:shd w:val="clear" w:color="auto" w:fill="auto"/>
            <w:vAlign w:val="bottom"/>
          </w:tcPr>
          <w:p w14:paraId="5F2CA304" w14:textId="77777777" w:rsidR="00E836FB" w:rsidRDefault="00E836FB">
            <w:pPr>
              <w:rPr>
                <w:rFonts w:ascii="宋体"/>
                <w:vanish/>
              </w:rPr>
            </w:pPr>
          </w:p>
        </w:tc>
        <w:tc>
          <w:tcPr>
            <w:tcW w:w="0" w:type="auto"/>
            <w:gridSpan w:val="3"/>
            <w:shd w:val="clear" w:color="auto" w:fill="auto"/>
            <w:vAlign w:val="bottom"/>
          </w:tcPr>
          <w:p w14:paraId="5F2CA305" w14:textId="77777777" w:rsidR="00E836FB" w:rsidRDefault="00E836FB">
            <w:pPr>
              <w:rPr>
                <w:rFonts w:ascii="宋体"/>
                <w:vanish/>
              </w:rPr>
            </w:pPr>
          </w:p>
        </w:tc>
      </w:tr>
      <w:tr w:rsidR="00E836FB" w14:paraId="5F2CA312" w14:textId="77777777">
        <w:trPr>
          <w:hidden/>
        </w:trPr>
        <w:tc>
          <w:tcPr>
            <w:tcW w:w="0" w:type="auto"/>
            <w:gridSpan w:val="3"/>
            <w:shd w:val="clear" w:color="auto" w:fill="auto"/>
            <w:vAlign w:val="bottom"/>
          </w:tcPr>
          <w:p w14:paraId="5F2CA307" w14:textId="77777777" w:rsidR="00E836FB" w:rsidRDefault="00E836FB">
            <w:pPr>
              <w:rPr>
                <w:rFonts w:ascii="宋体"/>
                <w:vanish/>
              </w:rPr>
            </w:pPr>
          </w:p>
        </w:tc>
        <w:tc>
          <w:tcPr>
            <w:tcW w:w="0" w:type="auto"/>
            <w:gridSpan w:val="3"/>
            <w:shd w:val="clear" w:color="auto" w:fill="auto"/>
            <w:vAlign w:val="bottom"/>
          </w:tcPr>
          <w:p w14:paraId="5F2CA308" w14:textId="77777777" w:rsidR="00E836FB" w:rsidRDefault="00E836FB">
            <w:pPr>
              <w:rPr>
                <w:rFonts w:ascii="宋体"/>
                <w:vanish/>
              </w:rPr>
            </w:pPr>
          </w:p>
        </w:tc>
        <w:tc>
          <w:tcPr>
            <w:tcW w:w="0" w:type="auto"/>
            <w:gridSpan w:val="3"/>
            <w:shd w:val="clear" w:color="auto" w:fill="auto"/>
            <w:vAlign w:val="bottom"/>
          </w:tcPr>
          <w:p w14:paraId="5F2CA309" w14:textId="77777777" w:rsidR="00E836FB" w:rsidRDefault="00E836FB">
            <w:pPr>
              <w:rPr>
                <w:rFonts w:ascii="宋体"/>
                <w:vanish/>
              </w:rPr>
            </w:pPr>
          </w:p>
        </w:tc>
        <w:tc>
          <w:tcPr>
            <w:tcW w:w="0" w:type="auto"/>
            <w:gridSpan w:val="3"/>
            <w:shd w:val="clear" w:color="auto" w:fill="auto"/>
            <w:vAlign w:val="bottom"/>
          </w:tcPr>
          <w:p w14:paraId="5F2CA30A" w14:textId="77777777" w:rsidR="00E836FB" w:rsidRDefault="00E836FB">
            <w:pPr>
              <w:rPr>
                <w:rFonts w:ascii="宋体"/>
                <w:vanish/>
              </w:rPr>
            </w:pPr>
          </w:p>
        </w:tc>
        <w:tc>
          <w:tcPr>
            <w:tcW w:w="0" w:type="auto"/>
            <w:gridSpan w:val="3"/>
            <w:shd w:val="clear" w:color="auto" w:fill="auto"/>
            <w:vAlign w:val="bottom"/>
          </w:tcPr>
          <w:p w14:paraId="5F2CA30B" w14:textId="77777777" w:rsidR="00E836FB" w:rsidRDefault="00E836FB">
            <w:pPr>
              <w:rPr>
                <w:rFonts w:ascii="宋体"/>
                <w:vanish/>
              </w:rPr>
            </w:pPr>
          </w:p>
        </w:tc>
        <w:tc>
          <w:tcPr>
            <w:tcW w:w="0" w:type="auto"/>
            <w:gridSpan w:val="3"/>
            <w:shd w:val="clear" w:color="auto" w:fill="auto"/>
            <w:vAlign w:val="bottom"/>
          </w:tcPr>
          <w:p w14:paraId="5F2CA30C" w14:textId="77777777" w:rsidR="00E836FB" w:rsidRDefault="00E836FB">
            <w:pPr>
              <w:rPr>
                <w:rFonts w:ascii="宋体"/>
                <w:vanish/>
              </w:rPr>
            </w:pPr>
          </w:p>
        </w:tc>
        <w:tc>
          <w:tcPr>
            <w:tcW w:w="0" w:type="auto"/>
            <w:gridSpan w:val="3"/>
            <w:shd w:val="clear" w:color="auto" w:fill="auto"/>
            <w:vAlign w:val="bottom"/>
          </w:tcPr>
          <w:p w14:paraId="5F2CA30D" w14:textId="77777777" w:rsidR="00E836FB" w:rsidRDefault="00E836FB">
            <w:pPr>
              <w:rPr>
                <w:rFonts w:ascii="宋体"/>
                <w:vanish/>
              </w:rPr>
            </w:pPr>
          </w:p>
        </w:tc>
        <w:tc>
          <w:tcPr>
            <w:tcW w:w="0" w:type="auto"/>
            <w:gridSpan w:val="3"/>
            <w:shd w:val="clear" w:color="auto" w:fill="auto"/>
            <w:vAlign w:val="bottom"/>
          </w:tcPr>
          <w:p w14:paraId="5F2CA30E" w14:textId="77777777" w:rsidR="00E836FB" w:rsidRDefault="00E836FB">
            <w:pPr>
              <w:rPr>
                <w:rFonts w:ascii="宋体"/>
                <w:vanish/>
              </w:rPr>
            </w:pPr>
          </w:p>
        </w:tc>
        <w:tc>
          <w:tcPr>
            <w:tcW w:w="0" w:type="auto"/>
            <w:gridSpan w:val="3"/>
            <w:shd w:val="clear" w:color="auto" w:fill="auto"/>
            <w:vAlign w:val="bottom"/>
          </w:tcPr>
          <w:p w14:paraId="5F2CA30F" w14:textId="77777777" w:rsidR="00E836FB" w:rsidRDefault="00E836FB">
            <w:pPr>
              <w:rPr>
                <w:rFonts w:ascii="宋体"/>
                <w:vanish/>
              </w:rPr>
            </w:pPr>
          </w:p>
        </w:tc>
        <w:tc>
          <w:tcPr>
            <w:tcW w:w="0" w:type="auto"/>
            <w:gridSpan w:val="3"/>
            <w:shd w:val="clear" w:color="auto" w:fill="auto"/>
            <w:vAlign w:val="bottom"/>
          </w:tcPr>
          <w:p w14:paraId="5F2CA310" w14:textId="77777777" w:rsidR="00E836FB" w:rsidRDefault="00E836FB">
            <w:pPr>
              <w:rPr>
                <w:rFonts w:ascii="宋体"/>
                <w:vanish/>
              </w:rPr>
            </w:pPr>
          </w:p>
        </w:tc>
        <w:tc>
          <w:tcPr>
            <w:tcW w:w="0" w:type="auto"/>
            <w:gridSpan w:val="3"/>
            <w:shd w:val="clear" w:color="auto" w:fill="auto"/>
            <w:vAlign w:val="bottom"/>
          </w:tcPr>
          <w:p w14:paraId="5F2CA311" w14:textId="77777777" w:rsidR="00E836FB" w:rsidRDefault="00E836FB">
            <w:pPr>
              <w:rPr>
                <w:rFonts w:ascii="宋体"/>
                <w:vanish/>
              </w:rPr>
            </w:pPr>
          </w:p>
        </w:tc>
      </w:tr>
      <w:tr w:rsidR="00E836FB" w14:paraId="5F2CA31E" w14:textId="77777777">
        <w:trPr>
          <w:hidden/>
        </w:trPr>
        <w:tc>
          <w:tcPr>
            <w:tcW w:w="0" w:type="auto"/>
            <w:gridSpan w:val="3"/>
            <w:shd w:val="clear" w:color="auto" w:fill="auto"/>
            <w:vAlign w:val="bottom"/>
          </w:tcPr>
          <w:p w14:paraId="5F2CA313" w14:textId="77777777" w:rsidR="00E836FB" w:rsidRDefault="00E836FB">
            <w:pPr>
              <w:rPr>
                <w:rFonts w:ascii="宋体"/>
                <w:vanish/>
              </w:rPr>
            </w:pPr>
          </w:p>
        </w:tc>
        <w:tc>
          <w:tcPr>
            <w:tcW w:w="0" w:type="auto"/>
            <w:gridSpan w:val="3"/>
            <w:shd w:val="clear" w:color="auto" w:fill="auto"/>
            <w:vAlign w:val="bottom"/>
          </w:tcPr>
          <w:p w14:paraId="5F2CA314" w14:textId="77777777" w:rsidR="00E836FB" w:rsidRDefault="00E836FB">
            <w:pPr>
              <w:rPr>
                <w:rFonts w:ascii="宋体"/>
                <w:vanish/>
              </w:rPr>
            </w:pPr>
          </w:p>
        </w:tc>
        <w:tc>
          <w:tcPr>
            <w:tcW w:w="0" w:type="auto"/>
            <w:gridSpan w:val="3"/>
            <w:shd w:val="clear" w:color="auto" w:fill="auto"/>
            <w:vAlign w:val="bottom"/>
          </w:tcPr>
          <w:p w14:paraId="5F2CA315" w14:textId="77777777" w:rsidR="00E836FB" w:rsidRDefault="00E836FB">
            <w:pPr>
              <w:rPr>
                <w:rFonts w:ascii="宋体"/>
                <w:vanish/>
              </w:rPr>
            </w:pPr>
          </w:p>
        </w:tc>
        <w:tc>
          <w:tcPr>
            <w:tcW w:w="0" w:type="auto"/>
            <w:gridSpan w:val="3"/>
            <w:shd w:val="clear" w:color="auto" w:fill="auto"/>
            <w:vAlign w:val="bottom"/>
          </w:tcPr>
          <w:p w14:paraId="5F2CA316" w14:textId="77777777" w:rsidR="00E836FB" w:rsidRDefault="00E836FB">
            <w:pPr>
              <w:rPr>
                <w:rFonts w:ascii="宋体"/>
                <w:vanish/>
              </w:rPr>
            </w:pPr>
          </w:p>
        </w:tc>
        <w:tc>
          <w:tcPr>
            <w:tcW w:w="0" w:type="auto"/>
            <w:gridSpan w:val="3"/>
            <w:shd w:val="clear" w:color="auto" w:fill="auto"/>
            <w:vAlign w:val="bottom"/>
          </w:tcPr>
          <w:p w14:paraId="5F2CA317" w14:textId="77777777" w:rsidR="00E836FB" w:rsidRDefault="00E836FB">
            <w:pPr>
              <w:rPr>
                <w:rFonts w:ascii="宋体"/>
                <w:vanish/>
              </w:rPr>
            </w:pPr>
          </w:p>
        </w:tc>
        <w:tc>
          <w:tcPr>
            <w:tcW w:w="0" w:type="auto"/>
            <w:gridSpan w:val="3"/>
            <w:shd w:val="clear" w:color="auto" w:fill="auto"/>
            <w:vAlign w:val="bottom"/>
          </w:tcPr>
          <w:p w14:paraId="5F2CA318" w14:textId="77777777" w:rsidR="00E836FB" w:rsidRDefault="00E836FB">
            <w:pPr>
              <w:rPr>
                <w:rFonts w:ascii="宋体"/>
                <w:vanish/>
              </w:rPr>
            </w:pPr>
          </w:p>
        </w:tc>
        <w:tc>
          <w:tcPr>
            <w:tcW w:w="0" w:type="auto"/>
            <w:gridSpan w:val="3"/>
            <w:shd w:val="clear" w:color="auto" w:fill="auto"/>
            <w:vAlign w:val="bottom"/>
          </w:tcPr>
          <w:p w14:paraId="5F2CA319" w14:textId="77777777" w:rsidR="00E836FB" w:rsidRDefault="00E836FB">
            <w:pPr>
              <w:rPr>
                <w:rFonts w:ascii="宋体"/>
                <w:vanish/>
              </w:rPr>
            </w:pPr>
          </w:p>
        </w:tc>
        <w:tc>
          <w:tcPr>
            <w:tcW w:w="0" w:type="auto"/>
            <w:gridSpan w:val="3"/>
            <w:shd w:val="clear" w:color="auto" w:fill="auto"/>
            <w:vAlign w:val="bottom"/>
          </w:tcPr>
          <w:p w14:paraId="5F2CA31A" w14:textId="77777777" w:rsidR="00E836FB" w:rsidRDefault="00E836FB">
            <w:pPr>
              <w:rPr>
                <w:rFonts w:ascii="宋体"/>
                <w:vanish/>
              </w:rPr>
            </w:pPr>
          </w:p>
        </w:tc>
        <w:tc>
          <w:tcPr>
            <w:tcW w:w="0" w:type="auto"/>
            <w:gridSpan w:val="3"/>
            <w:shd w:val="clear" w:color="auto" w:fill="auto"/>
            <w:vAlign w:val="bottom"/>
          </w:tcPr>
          <w:p w14:paraId="5F2CA31B" w14:textId="77777777" w:rsidR="00E836FB" w:rsidRDefault="00E836FB">
            <w:pPr>
              <w:rPr>
                <w:rFonts w:ascii="宋体"/>
                <w:vanish/>
              </w:rPr>
            </w:pPr>
          </w:p>
        </w:tc>
        <w:tc>
          <w:tcPr>
            <w:tcW w:w="0" w:type="auto"/>
            <w:gridSpan w:val="3"/>
            <w:shd w:val="clear" w:color="auto" w:fill="auto"/>
            <w:vAlign w:val="bottom"/>
          </w:tcPr>
          <w:p w14:paraId="5F2CA31C" w14:textId="77777777" w:rsidR="00E836FB" w:rsidRDefault="00E836FB">
            <w:pPr>
              <w:rPr>
                <w:rFonts w:ascii="宋体"/>
                <w:vanish/>
              </w:rPr>
            </w:pPr>
          </w:p>
        </w:tc>
        <w:tc>
          <w:tcPr>
            <w:tcW w:w="0" w:type="auto"/>
            <w:gridSpan w:val="3"/>
            <w:shd w:val="clear" w:color="auto" w:fill="auto"/>
            <w:vAlign w:val="bottom"/>
          </w:tcPr>
          <w:p w14:paraId="5F2CA31D" w14:textId="77777777" w:rsidR="00E836FB" w:rsidRDefault="00E836FB">
            <w:pPr>
              <w:rPr>
                <w:rFonts w:ascii="宋体"/>
                <w:vanish/>
              </w:rPr>
            </w:pPr>
          </w:p>
        </w:tc>
      </w:tr>
      <w:tr w:rsidR="00E836FB" w14:paraId="5F2CA32A" w14:textId="77777777">
        <w:trPr>
          <w:hidden/>
        </w:trPr>
        <w:tc>
          <w:tcPr>
            <w:tcW w:w="0" w:type="auto"/>
            <w:gridSpan w:val="3"/>
            <w:shd w:val="clear" w:color="auto" w:fill="auto"/>
            <w:vAlign w:val="bottom"/>
          </w:tcPr>
          <w:p w14:paraId="5F2CA31F" w14:textId="77777777" w:rsidR="00E836FB" w:rsidRDefault="00E836FB">
            <w:pPr>
              <w:rPr>
                <w:rFonts w:ascii="宋体"/>
                <w:vanish/>
              </w:rPr>
            </w:pPr>
          </w:p>
        </w:tc>
        <w:tc>
          <w:tcPr>
            <w:tcW w:w="0" w:type="auto"/>
            <w:gridSpan w:val="3"/>
            <w:shd w:val="clear" w:color="auto" w:fill="auto"/>
            <w:vAlign w:val="bottom"/>
          </w:tcPr>
          <w:p w14:paraId="5F2CA320" w14:textId="77777777" w:rsidR="00E836FB" w:rsidRDefault="00E836FB">
            <w:pPr>
              <w:rPr>
                <w:rFonts w:ascii="宋体"/>
                <w:vanish/>
              </w:rPr>
            </w:pPr>
          </w:p>
        </w:tc>
        <w:tc>
          <w:tcPr>
            <w:tcW w:w="0" w:type="auto"/>
            <w:gridSpan w:val="3"/>
            <w:shd w:val="clear" w:color="auto" w:fill="auto"/>
            <w:vAlign w:val="bottom"/>
          </w:tcPr>
          <w:p w14:paraId="5F2CA321" w14:textId="77777777" w:rsidR="00E836FB" w:rsidRDefault="00E836FB">
            <w:pPr>
              <w:rPr>
                <w:rFonts w:ascii="宋体"/>
                <w:vanish/>
              </w:rPr>
            </w:pPr>
          </w:p>
        </w:tc>
        <w:tc>
          <w:tcPr>
            <w:tcW w:w="0" w:type="auto"/>
            <w:gridSpan w:val="3"/>
            <w:shd w:val="clear" w:color="auto" w:fill="auto"/>
            <w:vAlign w:val="bottom"/>
          </w:tcPr>
          <w:p w14:paraId="5F2CA322" w14:textId="77777777" w:rsidR="00E836FB" w:rsidRDefault="00E836FB">
            <w:pPr>
              <w:rPr>
                <w:rFonts w:ascii="宋体"/>
                <w:vanish/>
              </w:rPr>
            </w:pPr>
          </w:p>
        </w:tc>
        <w:tc>
          <w:tcPr>
            <w:tcW w:w="0" w:type="auto"/>
            <w:gridSpan w:val="3"/>
            <w:shd w:val="clear" w:color="auto" w:fill="auto"/>
            <w:vAlign w:val="bottom"/>
          </w:tcPr>
          <w:p w14:paraId="5F2CA323" w14:textId="77777777" w:rsidR="00E836FB" w:rsidRDefault="00E836FB">
            <w:pPr>
              <w:rPr>
                <w:rFonts w:ascii="宋体"/>
                <w:vanish/>
              </w:rPr>
            </w:pPr>
          </w:p>
        </w:tc>
        <w:tc>
          <w:tcPr>
            <w:tcW w:w="0" w:type="auto"/>
            <w:gridSpan w:val="3"/>
            <w:shd w:val="clear" w:color="auto" w:fill="auto"/>
            <w:vAlign w:val="bottom"/>
          </w:tcPr>
          <w:p w14:paraId="5F2CA324" w14:textId="77777777" w:rsidR="00E836FB" w:rsidRDefault="00E836FB">
            <w:pPr>
              <w:rPr>
                <w:rFonts w:ascii="宋体"/>
                <w:vanish/>
              </w:rPr>
            </w:pPr>
          </w:p>
        </w:tc>
        <w:tc>
          <w:tcPr>
            <w:tcW w:w="0" w:type="auto"/>
            <w:gridSpan w:val="3"/>
            <w:shd w:val="clear" w:color="auto" w:fill="auto"/>
            <w:vAlign w:val="bottom"/>
          </w:tcPr>
          <w:p w14:paraId="5F2CA325" w14:textId="77777777" w:rsidR="00E836FB" w:rsidRDefault="00E836FB">
            <w:pPr>
              <w:rPr>
                <w:rFonts w:ascii="宋体"/>
                <w:vanish/>
              </w:rPr>
            </w:pPr>
          </w:p>
        </w:tc>
        <w:tc>
          <w:tcPr>
            <w:tcW w:w="0" w:type="auto"/>
            <w:gridSpan w:val="3"/>
            <w:shd w:val="clear" w:color="auto" w:fill="auto"/>
            <w:vAlign w:val="bottom"/>
          </w:tcPr>
          <w:p w14:paraId="5F2CA326" w14:textId="77777777" w:rsidR="00E836FB" w:rsidRDefault="00E836FB">
            <w:pPr>
              <w:rPr>
                <w:rFonts w:ascii="宋体"/>
                <w:vanish/>
              </w:rPr>
            </w:pPr>
          </w:p>
        </w:tc>
        <w:tc>
          <w:tcPr>
            <w:tcW w:w="0" w:type="auto"/>
            <w:gridSpan w:val="3"/>
            <w:shd w:val="clear" w:color="auto" w:fill="auto"/>
            <w:vAlign w:val="bottom"/>
          </w:tcPr>
          <w:p w14:paraId="5F2CA327" w14:textId="77777777" w:rsidR="00E836FB" w:rsidRDefault="00E836FB">
            <w:pPr>
              <w:rPr>
                <w:rFonts w:ascii="宋体"/>
                <w:vanish/>
              </w:rPr>
            </w:pPr>
          </w:p>
        </w:tc>
        <w:tc>
          <w:tcPr>
            <w:tcW w:w="0" w:type="auto"/>
            <w:gridSpan w:val="3"/>
            <w:shd w:val="clear" w:color="auto" w:fill="auto"/>
            <w:vAlign w:val="bottom"/>
          </w:tcPr>
          <w:p w14:paraId="5F2CA328" w14:textId="77777777" w:rsidR="00E836FB" w:rsidRDefault="00E836FB">
            <w:pPr>
              <w:rPr>
                <w:rFonts w:ascii="宋体"/>
                <w:vanish/>
              </w:rPr>
            </w:pPr>
          </w:p>
        </w:tc>
        <w:tc>
          <w:tcPr>
            <w:tcW w:w="0" w:type="auto"/>
            <w:gridSpan w:val="3"/>
            <w:shd w:val="clear" w:color="auto" w:fill="auto"/>
            <w:vAlign w:val="bottom"/>
          </w:tcPr>
          <w:p w14:paraId="5F2CA329" w14:textId="77777777" w:rsidR="00E836FB" w:rsidRDefault="00E836FB">
            <w:pPr>
              <w:rPr>
                <w:rFonts w:ascii="宋体"/>
                <w:vanish/>
              </w:rPr>
            </w:pPr>
          </w:p>
        </w:tc>
      </w:tr>
      <w:tr w:rsidR="00E836FB" w14:paraId="5F2CA336" w14:textId="77777777">
        <w:trPr>
          <w:hidden/>
        </w:trPr>
        <w:tc>
          <w:tcPr>
            <w:tcW w:w="0" w:type="auto"/>
            <w:gridSpan w:val="3"/>
            <w:shd w:val="clear" w:color="auto" w:fill="auto"/>
            <w:vAlign w:val="bottom"/>
          </w:tcPr>
          <w:p w14:paraId="5F2CA32B" w14:textId="77777777" w:rsidR="00E836FB" w:rsidRDefault="00E836FB">
            <w:pPr>
              <w:rPr>
                <w:rFonts w:ascii="宋体"/>
                <w:vanish/>
              </w:rPr>
            </w:pPr>
          </w:p>
        </w:tc>
        <w:tc>
          <w:tcPr>
            <w:tcW w:w="0" w:type="auto"/>
            <w:gridSpan w:val="3"/>
            <w:shd w:val="clear" w:color="auto" w:fill="auto"/>
            <w:vAlign w:val="bottom"/>
          </w:tcPr>
          <w:p w14:paraId="5F2CA32C" w14:textId="77777777" w:rsidR="00E836FB" w:rsidRDefault="00E836FB">
            <w:pPr>
              <w:rPr>
                <w:rFonts w:ascii="宋体"/>
                <w:vanish/>
              </w:rPr>
            </w:pPr>
          </w:p>
        </w:tc>
        <w:tc>
          <w:tcPr>
            <w:tcW w:w="0" w:type="auto"/>
            <w:gridSpan w:val="3"/>
            <w:shd w:val="clear" w:color="auto" w:fill="auto"/>
            <w:vAlign w:val="bottom"/>
          </w:tcPr>
          <w:p w14:paraId="5F2CA32D" w14:textId="77777777" w:rsidR="00E836FB" w:rsidRDefault="00E836FB">
            <w:pPr>
              <w:rPr>
                <w:rFonts w:ascii="宋体"/>
                <w:vanish/>
              </w:rPr>
            </w:pPr>
          </w:p>
        </w:tc>
        <w:tc>
          <w:tcPr>
            <w:tcW w:w="0" w:type="auto"/>
            <w:gridSpan w:val="3"/>
            <w:shd w:val="clear" w:color="auto" w:fill="auto"/>
            <w:vAlign w:val="bottom"/>
          </w:tcPr>
          <w:p w14:paraId="5F2CA32E" w14:textId="77777777" w:rsidR="00E836FB" w:rsidRDefault="00E836FB">
            <w:pPr>
              <w:rPr>
                <w:rFonts w:ascii="宋体"/>
                <w:vanish/>
              </w:rPr>
            </w:pPr>
          </w:p>
        </w:tc>
        <w:tc>
          <w:tcPr>
            <w:tcW w:w="0" w:type="auto"/>
            <w:gridSpan w:val="3"/>
            <w:shd w:val="clear" w:color="auto" w:fill="auto"/>
            <w:vAlign w:val="bottom"/>
          </w:tcPr>
          <w:p w14:paraId="5F2CA32F" w14:textId="77777777" w:rsidR="00E836FB" w:rsidRDefault="00E836FB">
            <w:pPr>
              <w:rPr>
                <w:rFonts w:ascii="宋体"/>
                <w:vanish/>
              </w:rPr>
            </w:pPr>
          </w:p>
        </w:tc>
        <w:tc>
          <w:tcPr>
            <w:tcW w:w="0" w:type="auto"/>
            <w:gridSpan w:val="3"/>
            <w:shd w:val="clear" w:color="auto" w:fill="auto"/>
            <w:vAlign w:val="bottom"/>
          </w:tcPr>
          <w:p w14:paraId="5F2CA330" w14:textId="77777777" w:rsidR="00E836FB" w:rsidRDefault="00E836FB">
            <w:pPr>
              <w:rPr>
                <w:rFonts w:ascii="宋体"/>
                <w:vanish/>
              </w:rPr>
            </w:pPr>
          </w:p>
        </w:tc>
        <w:tc>
          <w:tcPr>
            <w:tcW w:w="0" w:type="auto"/>
            <w:gridSpan w:val="3"/>
            <w:shd w:val="clear" w:color="auto" w:fill="auto"/>
            <w:vAlign w:val="bottom"/>
          </w:tcPr>
          <w:p w14:paraId="5F2CA331" w14:textId="77777777" w:rsidR="00E836FB" w:rsidRDefault="00E836FB">
            <w:pPr>
              <w:rPr>
                <w:rFonts w:ascii="宋体"/>
                <w:vanish/>
              </w:rPr>
            </w:pPr>
          </w:p>
        </w:tc>
        <w:tc>
          <w:tcPr>
            <w:tcW w:w="0" w:type="auto"/>
            <w:gridSpan w:val="3"/>
            <w:shd w:val="clear" w:color="auto" w:fill="auto"/>
            <w:vAlign w:val="bottom"/>
          </w:tcPr>
          <w:p w14:paraId="5F2CA332" w14:textId="77777777" w:rsidR="00E836FB" w:rsidRDefault="00E836FB">
            <w:pPr>
              <w:rPr>
                <w:rFonts w:ascii="宋体"/>
                <w:vanish/>
              </w:rPr>
            </w:pPr>
          </w:p>
        </w:tc>
        <w:tc>
          <w:tcPr>
            <w:tcW w:w="0" w:type="auto"/>
            <w:gridSpan w:val="3"/>
            <w:shd w:val="clear" w:color="auto" w:fill="auto"/>
            <w:vAlign w:val="bottom"/>
          </w:tcPr>
          <w:p w14:paraId="5F2CA333" w14:textId="77777777" w:rsidR="00E836FB" w:rsidRDefault="00E836FB">
            <w:pPr>
              <w:rPr>
                <w:rFonts w:ascii="宋体"/>
                <w:vanish/>
              </w:rPr>
            </w:pPr>
          </w:p>
        </w:tc>
        <w:tc>
          <w:tcPr>
            <w:tcW w:w="0" w:type="auto"/>
            <w:gridSpan w:val="3"/>
            <w:shd w:val="clear" w:color="auto" w:fill="auto"/>
            <w:vAlign w:val="bottom"/>
          </w:tcPr>
          <w:p w14:paraId="5F2CA334" w14:textId="77777777" w:rsidR="00E836FB" w:rsidRDefault="00E836FB">
            <w:pPr>
              <w:rPr>
                <w:rFonts w:ascii="宋体"/>
                <w:vanish/>
              </w:rPr>
            </w:pPr>
          </w:p>
        </w:tc>
        <w:tc>
          <w:tcPr>
            <w:tcW w:w="0" w:type="auto"/>
            <w:gridSpan w:val="3"/>
            <w:shd w:val="clear" w:color="auto" w:fill="auto"/>
            <w:vAlign w:val="bottom"/>
          </w:tcPr>
          <w:p w14:paraId="5F2CA335" w14:textId="77777777" w:rsidR="00E836FB" w:rsidRDefault="00E836FB">
            <w:pPr>
              <w:rPr>
                <w:rFonts w:ascii="宋体"/>
                <w:vanish/>
              </w:rPr>
            </w:pPr>
          </w:p>
        </w:tc>
      </w:tr>
      <w:tr w:rsidR="00E836FB" w14:paraId="5F2CA342" w14:textId="77777777">
        <w:trPr>
          <w:hidden/>
        </w:trPr>
        <w:tc>
          <w:tcPr>
            <w:tcW w:w="0" w:type="auto"/>
            <w:gridSpan w:val="3"/>
            <w:shd w:val="clear" w:color="auto" w:fill="auto"/>
            <w:vAlign w:val="bottom"/>
          </w:tcPr>
          <w:p w14:paraId="5F2CA337" w14:textId="77777777" w:rsidR="00E836FB" w:rsidRDefault="00E836FB">
            <w:pPr>
              <w:rPr>
                <w:rFonts w:ascii="宋体"/>
                <w:vanish/>
              </w:rPr>
            </w:pPr>
          </w:p>
        </w:tc>
        <w:tc>
          <w:tcPr>
            <w:tcW w:w="0" w:type="auto"/>
            <w:gridSpan w:val="3"/>
            <w:shd w:val="clear" w:color="auto" w:fill="auto"/>
            <w:vAlign w:val="bottom"/>
          </w:tcPr>
          <w:p w14:paraId="5F2CA338" w14:textId="77777777" w:rsidR="00E836FB" w:rsidRDefault="00E836FB">
            <w:pPr>
              <w:rPr>
                <w:rFonts w:ascii="宋体"/>
                <w:vanish/>
              </w:rPr>
            </w:pPr>
          </w:p>
        </w:tc>
        <w:tc>
          <w:tcPr>
            <w:tcW w:w="0" w:type="auto"/>
            <w:gridSpan w:val="3"/>
            <w:shd w:val="clear" w:color="auto" w:fill="auto"/>
            <w:vAlign w:val="bottom"/>
          </w:tcPr>
          <w:p w14:paraId="5F2CA339" w14:textId="77777777" w:rsidR="00E836FB" w:rsidRDefault="00E836FB">
            <w:pPr>
              <w:rPr>
                <w:rFonts w:ascii="宋体"/>
                <w:vanish/>
              </w:rPr>
            </w:pPr>
          </w:p>
        </w:tc>
        <w:tc>
          <w:tcPr>
            <w:tcW w:w="0" w:type="auto"/>
            <w:gridSpan w:val="3"/>
            <w:shd w:val="clear" w:color="auto" w:fill="auto"/>
            <w:vAlign w:val="bottom"/>
          </w:tcPr>
          <w:p w14:paraId="5F2CA33A" w14:textId="77777777" w:rsidR="00E836FB" w:rsidRDefault="00E836FB">
            <w:pPr>
              <w:rPr>
                <w:rFonts w:ascii="宋体"/>
                <w:vanish/>
              </w:rPr>
            </w:pPr>
          </w:p>
        </w:tc>
        <w:tc>
          <w:tcPr>
            <w:tcW w:w="0" w:type="auto"/>
            <w:gridSpan w:val="3"/>
            <w:shd w:val="clear" w:color="auto" w:fill="auto"/>
            <w:vAlign w:val="bottom"/>
          </w:tcPr>
          <w:p w14:paraId="5F2CA33B" w14:textId="77777777" w:rsidR="00E836FB" w:rsidRDefault="00E836FB">
            <w:pPr>
              <w:rPr>
                <w:rFonts w:ascii="宋体"/>
                <w:vanish/>
              </w:rPr>
            </w:pPr>
          </w:p>
        </w:tc>
        <w:tc>
          <w:tcPr>
            <w:tcW w:w="0" w:type="auto"/>
            <w:gridSpan w:val="3"/>
            <w:shd w:val="clear" w:color="auto" w:fill="auto"/>
            <w:vAlign w:val="bottom"/>
          </w:tcPr>
          <w:p w14:paraId="5F2CA33C" w14:textId="77777777" w:rsidR="00E836FB" w:rsidRDefault="00E836FB">
            <w:pPr>
              <w:rPr>
                <w:rFonts w:ascii="宋体"/>
                <w:vanish/>
              </w:rPr>
            </w:pPr>
          </w:p>
        </w:tc>
        <w:tc>
          <w:tcPr>
            <w:tcW w:w="0" w:type="auto"/>
            <w:gridSpan w:val="3"/>
            <w:shd w:val="clear" w:color="auto" w:fill="auto"/>
            <w:vAlign w:val="bottom"/>
          </w:tcPr>
          <w:p w14:paraId="5F2CA33D" w14:textId="77777777" w:rsidR="00E836FB" w:rsidRDefault="00E836FB">
            <w:pPr>
              <w:rPr>
                <w:rFonts w:ascii="宋体"/>
                <w:vanish/>
              </w:rPr>
            </w:pPr>
          </w:p>
        </w:tc>
        <w:tc>
          <w:tcPr>
            <w:tcW w:w="0" w:type="auto"/>
            <w:gridSpan w:val="3"/>
            <w:shd w:val="clear" w:color="auto" w:fill="auto"/>
            <w:vAlign w:val="bottom"/>
          </w:tcPr>
          <w:p w14:paraId="5F2CA33E" w14:textId="77777777" w:rsidR="00E836FB" w:rsidRDefault="00E836FB">
            <w:pPr>
              <w:rPr>
                <w:rFonts w:ascii="宋体"/>
                <w:vanish/>
              </w:rPr>
            </w:pPr>
          </w:p>
        </w:tc>
        <w:tc>
          <w:tcPr>
            <w:tcW w:w="0" w:type="auto"/>
            <w:gridSpan w:val="3"/>
            <w:shd w:val="clear" w:color="auto" w:fill="auto"/>
            <w:vAlign w:val="bottom"/>
          </w:tcPr>
          <w:p w14:paraId="5F2CA33F" w14:textId="77777777" w:rsidR="00E836FB" w:rsidRDefault="00E836FB">
            <w:pPr>
              <w:rPr>
                <w:rFonts w:ascii="宋体"/>
                <w:vanish/>
              </w:rPr>
            </w:pPr>
          </w:p>
        </w:tc>
        <w:tc>
          <w:tcPr>
            <w:tcW w:w="0" w:type="auto"/>
            <w:gridSpan w:val="3"/>
            <w:shd w:val="clear" w:color="auto" w:fill="auto"/>
            <w:vAlign w:val="bottom"/>
          </w:tcPr>
          <w:p w14:paraId="5F2CA340" w14:textId="77777777" w:rsidR="00E836FB" w:rsidRDefault="00E836FB">
            <w:pPr>
              <w:rPr>
                <w:rFonts w:ascii="宋体"/>
                <w:vanish/>
              </w:rPr>
            </w:pPr>
          </w:p>
        </w:tc>
        <w:tc>
          <w:tcPr>
            <w:tcW w:w="0" w:type="auto"/>
            <w:gridSpan w:val="3"/>
            <w:shd w:val="clear" w:color="auto" w:fill="auto"/>
            <w:vAlign w:val="bottom"/>
          </w:tcPr>
          <w:p w14:paraId="5F2CA341" w14:textId="77777777" w:rsidR="00E836FB" w:rsidRDefault="00E836FB">
            <w:pPr>
              <w:rPr>
                <w:rFonts w:ascii="宋体"/>
                <w:vanish/>
              </w:rPr>
            </w:pPr>
          </w:p>
        </w:tc>
      </w:tr>
      <w:tr w:rsidR="00E836FB" w14:paraId="5F2CA34E" w14:textId="77777777">
        <w:trPr>
          <w:hidden/>
        </w:trPr>
        <w:tc>
          <w:tcPr>
            <w:tcW w:w="0" w:type="auto"/>
            <w:gridSpan w:val="3"/>
            <w:shd w:val="clear" w:color="auto" w:fill="auto"/>
            <w:vAlign w:val="bottom"/>
          </w:tcPr>
          <w:p w14:paraId="5F2CA343" w14:textId="77777777" w:rsidR="00E836FB" w:rsidRDefault="00E836FB">
            <w:pPr>
              <w:rPr>
                <w:rFonts w:ascii="宋体"/>
                <w:vanish/>
              </w:rPr>
            </w:pPr>
          </w:p>
        </w:tc>
        <w:tc>
          <w:tcPr>
            <w:tcW w:w="0" w:type="auto"/>
            <w:gridSpan w:val="3"/>
            <w:shd w:val="clear" w:color="auto" w:fill="auto"/>
            <w:vAlign w:val="bottom"/>
          </w:tcPr>
          <w:p w14:paraId="5F2CA344" w14:textId="77777777" w:rsidR="00E836FB" w:rsidRDefault="00E836FB">
            <w:pPr>
              <w:rPr>
                <w:rFonts w:ascii="宋体"/>
                <w:vanish/>
              </w:rPr>
            </w:pPr>
          </w:p>
        </w:tc>
        <w:tc>
          <w:tcPr>
            <w:tcW w:w="0" w:type="auto"/>
            <w:gridSpan w:val="3"/>
            <w:shd w:val="clear" w:color="auto" w:fill="auto"/>
            <w:vAlign w:val="bottom"/>
          </w:tcPr>
          <w:p w14:paraId="5F2CA345" w14:textId="77777777" w:rsidR="00E836FB" w:rsidRDefault="00E836FB">
            <w:pPr>
              <w:rPr>
                <w:rFonts w:ascii="宋体"/>
                <w:vanish/>
              </w:rPr>
            </w:pPr>
          </w:p>
        </w:tc>
        <w:tc>
          <w:tcPr>
            <w:tcW w:w="0" w:type="auto"/>
            <w:gridSpan w:val="3"/>
            <w:shd w:val="clear" w:color="auto" w:fill="auto"/>
            <w:vAlign w:val="bottom"/>
          </w:tcPr>
          <w:p w14:paraId="5F2CA346" w14:textId="77777777" w:rsidR="00E836FB" w:rsidRDefault="00E836FB">
            <w:pPr>
              <w:rPr>
                <w:rFonts w:ascii="宋体"/>
                <w:vanish/>
              </w:rPr>
            </w:pPr>
          </w:p>
        </w:tc>
        <w:tc>
          <w:tcPr>
            <w:tcW w:w="0" w:type="auto"/>
            <w:gridSpan w:val="3"/>
            <w:shd w:val="clear" w:color="auto" w:fill="auto"/>
            <w:vAlign w:val="bottom"/>
          </w:tcPr>
          <w:p w14:paraId="5F2CA347" w14:textId="77777777" w:rsidR="00E836FB" w:rsidRDefault="00E836FB">
            <w:pPr>
              <w:rPr>
                <w:rFonts w:ascii="宋体"/>
                <w:vanish/>
              </w:rPr>
            </w:pPr>
          </w:p>
        </w:tc>
        <w:tc>
          <w:tcPr>
            <w:tcW w:w="0" w:type="auto"/>
            <w:gridSpan w:val="3"/>
            <w:shd w:val="clear" w:color="auto" w:fill="auto"/>
            <w:vAlign w:val="bottom"/>
          </w:tcPr>
          <w:p w14:paraId="5F2CA348" w14:textId="77777777" w:rsidR="00E836FB" w:rsidRDefault="00E836FB">
            <w:pPr>
              <w:rPr>
                <w:rFonts w:ascii="宋体"/>
                <w:vanish/>
              </w:rPr>
            </w:pPr>
          </w:p>
        </w:tc>
        <w:tc>
          <w:tcPr>
            <w:tcW w:w="0" w:type="auto"/>
            <w:gridSpan w:val="3"/>
            <w:shd w:val="clear" w:color="auto" w:fill="auto"/>
            <w:vAlign w:val="bottom"/>
          </w:tcPr>
          <w:p w14:paraId="5F2CA349" w14:textId="77777777" w:rsidR="00E836FB" w:rsidRDefault="00E836FB">
            <w:pPr>
              <w:rPr>
                <w:rFonts w:ascii="宋体"/>
                <w:vanish/>
              </w:rPr>
            </w:pPr>
          </w:p>
        </w:tc>
        <w:tc>
          <w:tcPr>
            <w:tcW w:w="0" w:type="auto"/>
            <w:gridSpan w:val="3"/>
            <w:shd w:val="clear" w:color="auto" w:fill="auto"/>
            <w:vAlign w:val="bottom"/>
          </w:tcPr>
          <w:p w14:paraId="5F2CA34A" w14:textId="77777777" w:rsidR="00E836FB" w:rsidRDefault="00E836FB">
            <w:pPr>
              <w:rPr>
                <w:rFonts w:ascii="宋体"/>
                <w:vanish/>
              </w:rPr>
            </w:pPr>
          </w:p>
        </w:tc>
        <w:tc>
          <w:tcPr>
            <w:tcW w:w="0" w:type="auto"/>
            <w:gridSpan w:val="3"/>
            <w:shd w:val="clear" w:color="auto" w:fill="auto"/>
            <w:vAlign w:val="bottom"/>
          </w:tcPr>
          <w:p w14:paraId="5F2CA34B" w14:textId="77777777" w:rsidR="00E836FB" w:rsidRDefault="00E836FB">
            <w:pPr>
              <w:rPr>
                <w:rFonts w:ascii="宋体"/>
                <w:vanish/>
              </w:rPr>
            </w:pPr>
          </w:p>
        </w:tc>
        <w:tc>
          <w:tcPr>
            <w:tcW w:w="0" w:type="auto"/>
            <w:gridSpan w:val="3"/>
            <w:shd w:val="clear" w:color="auto" w:fill="auto"/>
            <w:vAlign w:val="bottom"/>
          </w:tcPr>
          <w:p w14:paraId="5F2CA34C" w14:textId="77777777" w:rsidR="00E836FB" w:rsidRDefault="00E836FB">
            <w:pPr>
              <w:rPr>
                <w:rFonts w:ascii="宋体"/>
                <w:vanish/>
              </w:rPr>
            </w:pPr>
          </w:p>
        </w:tc>
        <w:tc>
          <w:tcPr>
            <w:tcW w:w="0" w:type="auto"/>
            <w:gridSpan w:val="3"/>
            <w:shd w:val="clear" w:color="auto" w:fill="auto"/>
            <w:vAlign w:val="bottom"/>
          </w:tcPr>
          <w:p w14:paraId="5F2CA34D" w14:textId="77777777" w:rsidR="00E836FB" w:rsidRDefault="00E836FB">
            <w:pPr>
              <w:rPr>
                <w:rFonts w:ascii="宋体"/>
                <w:vanish/>
              </w:rPr>
            </w:pPr>
          </w:p>
        </w:tc>
      </w:tr>
      <w:tr w:rsidR="00E836FB" w14:paraId="5F2CA35A" w14:textId="77777777">
        <w:trPr>
          <w:hidden/>
        </w:trPr>
        <w:tc>
          <w:tcPr>
            <w:tcW w:w="0" w:type="auto"/>
            <w:gridSpan w:val="3"/>
            <w:shd w:val="clear" w:color="auto" w:fill="auto"/>
            <w:vAlign w:val="bottom"/>
          </w:tcPr>
          <w:p w14:paraId="5F2CA34F" w14:textId="77777777" w:rsidR="00E836FB" w:rsidRDefault="00E836FB">
            <w:pPr>
              <w:rPr>
                <w:rFonts w:ascii="宋体"/>
                <w:vanish/>
              </w:rPr>
            </w:pPr>
          </w:p>
        </w:tc>
        <w:tc>
          <w:tcPr>
            <w:tcW w:w="0" w:type="auto"/>
            <w:gridSpan w:val="3"/>
            <w:shd w:val="clear" w:color="auto" w:fill="auto"/>
            <w:vAlign w:val="bottom"/>
          </w:tcPr>
          <w:p w14:paraId="5F2CA350" w14:textId="77777777" w:rsidR="00E836FB" w:rsidRDefault="00E836FB">
            <w:pPr>
              <w:rPr>
                <w:rFonts w:ascii="宋体"/>
                <w:vanish/>
              </w:rPr>
            </w:pPr>
          </w:p>
        </w:tc>
        <w:tc>
          <w:tcPr>
            <w:tcW w:w="0" w:type="auto"/>
            <w:gridSpan w:val="3"/>
            <w:shd w:val="clear" w:color="auto" w:fill="auto"/>
            <w:vAlign w:val="bottom"/>
          </w:tcPr>
          <w:p w14:paraId="5F2CA351" w14:textId="77777777" w:rsidR="00E836FB" w:rsidRDefault="00E836FB">
            <w:pPr>
              <w:rPr>
                <w:rFonts w:ascii="宋体"/>
                <w:vanish/>
              </w:rPr>
            </w:pPr>
          </w:p>
        </w:tc>
        <w:tc>
          <w:tcPr>
            <w:tcW w:w="0" w:type="auto"/>
            <w:gridSpan w:val="3"/>
            <w:shd w:val="clear" w:color="auto" w:fill="auto"/>
            <w:vAlign w:val="bottom"/>
          </w:tcPr>
          <w:p w14:paraId="5F2CA352" w14:textId="77777777" w:rsidR="00E836FB" w:rsidRDefault="00E836FB">
            <w:pPr>
              <w:rPr>
                <w:rFonts w:ascii="宋体"/>
                <w:vanish/>
              </w:rPr>
            </w:pPr>
          </w:p>
        </w:tc>
        <w:tc>
          <w:tcPr>
            <w:tcW w:w="0" w:type="auto"/>
            <w:gridSpan w:val="3"/>
            <w:shd w:val="clear" w:color="auto" w:fill="auto"/>
            <w:vAlign w:val="bottom"/>
          </w:tcPr>
          <w:p w14:paraId="5F2CA353" w14:textId="77777777" w:rsidR="00E836FB" w:rsidRDefault="00E836FB">
            <w:pPr>
              <w:rPr>
                <w:rFonts w:ascii="宋体"/>
                <w:vanish/>
              </w:rPr>
            </w:pPr>
          </w:p>
        </w:tc>
        <w:tc>
          <w:tcPr>
            <w:tcW w:w="0" w:type="auto"/>
            <w:gridSpan w:val="3"/>
            <w:shd w:val="clear" w:color="auto" w:fill="auto"/>
            <w:vAlign w:val="bottom"/>
          </w:tcPr>
          <w:p w14:paraId="5F2CA354" w14:textId="77777777" w:rsidR="00E836FB" w:rsidRDefault="00E836FB">
            <w:pPr>
              <w:rPr>
                <w:rFonts w:ascii="宋体"/>
                <w:vanish/>
              </w:rPr>
            </w:pPr>
          </w:p>
        </w:tc>
        <w:tc>
          <w:tcPr>
            <w:tcW w:w="0" w:type="auto"/>
            <w:gridSpan w:val="3"/>
            <w:shd w:val="clear" w:color="auto" w:fill="auto"/>
            <w:vAlign w:val="bottom"/>
          </w:tcPr>
          <w:p w14:paraId="5F2CA355" w14:textId="77777777" w:rsidR="00E836FB" w:rsidRDefault="00E836FB">
            <w:pPr>
              <w:rPr>
                <w:rFonts w:ascii="宋体"/>
                <w:vanish/>
              </w:rPr>
            </w:pPr>
          </w:p>
        </w:tc>
        <w:tc>
          <w:tcPr>
            <w:tcW w:w="0" w:type="auto"/>
            <w:gridSpan w:val="3"/>
            <w:shd w:val="clear" w:color="auto" w:fill="auto"/>
            <w:vAlign w:val="bottom"/>
          </w:tcPr>
          <w:p w14:paraId="5F2CA356" w14:textId="77777777" w:rsidR="00E836FB" w:rsidRDefault="00E836FB">
            <w:pPr>
              <w:rPr>
                <w:rFonts w:ascii="宋体"/>
                <w:vanish/>
              </w:rPr>
            </w:pPr>
          </w:p>
        </w:tc>
        <w:tc>
          <w:tcPr>
            <w:tcW w:w="0" w:type="auto"/>
            <w:gridSpan w:val="3"/>
            <w:shd w:val="clear" w:color="auto" w:fill="auto"/>
            <w:vAlign w:val="bottom"/>
          </w:tcPr>
          <w:p w14:paraId="5F2CA357" w14:textId="77777777" w:rsidR="00E836FB" w:rsidRDefault="00E836FB">
            <w:pPr>
              <w:rPr>
                <w:rFonts w:ascii="宋体"/>
                <w:vanish/>
              </w:rPr>
            </w:pPr>
          </w:p>
        </w:tc>
        <w:tc>
          <w:tcPr>
            <w:tcW w:w="0" w:type="auto"/>
            <w:gridSpan w:val="3"/>
            <w:shd w:val="clear" w:color="auto" w:fill="auto"/>
            <w:vAlign w:val="bottom"/>
          </w:tcPr>
          <w:p w14:paraId="5F2CA358" w14:textId="77777777" w:rsidR="00E836FB" w:rsidRDefault="00E836FB">
            <w:pPr>
              <w:rPr>
                <w:rFonts w:ascii="宋体"/>
                <w:vanish/>
              </w:rPr>
            </w:pPr>
          </w:p>
        </w:tc>
        <w:tc>
          <w:tcPr>
            <w:tcW w:w="0" w:type="auto"/>
            <w:gridSpan w:val="3"/>
            <w:shd w:val="clear" w:color="auto" w:fill="auto"/>
            <w:vAlign w:val="bottom"/>
          </w:tcPr>
          <w:p w14:paraId="5F2CA359" w14:textId="77777777" w:rsidR="00E836FB" w:rsidRDefault="00E836FB">
            <w:pPr>
              <w:rPr>
                <w:rFonts w:ascii="宋体"/>
                <w:vanish/>
              </w:rPr>
            </w:pPr>
          </w:p>
        </w:tc>
      </w:tr>
      <w:tr w:rsidR="00E836FB" w14:paraId="5F2CA366" w14:textId="77777777">
        <w:trPr>
          <w:hidden/>
        </w:trPr>
        <w:tc>
          <w:tcPr>
            <w:tcW w:w="0" w:type="auto"/>
            <w:gridSpan w:val="3"/>
            <w:shd w:val="clear" w:color="auto" w:fill="auto"/>
            <w:vAlign w:val="bottom"/>
          </w:tcPr>
          <w:p w14:paraId="5F2CA35B" w14:textId="77777777" w:rsidR="00E836FB" w:rsidRDefault="00E836FB">
            <w:pPr>
              <w:rPr>
                <w:rFonts w:ascii="宋体"/>
                <w:vanish/>
              </w:rPr>
            </w:pPr>
          </w:p>
        </w:tc>
        <w:tc>
          <w:tcPr>
            <w:tcW w:w="0" w:type="auto"/>
            <w:gridSpan w:val="3"/>
            <w:shd w:val="clear" w:color="auto" w:fill="auto"/>
            <w:vAlign w:val="bottom"/>
          </w:tcPr>
          <w:p w14:paraId="5F2CA35C" w14:textId="77777777" w:rsidR="00E836FB" w:rsidRDefault="00E836FB">
            <w:pPr>
              <w:rPr>
                <w:rFonts w:ascii="宋体"/>
                <w:vanish/>
              </w:rPr>
            </w:pPr>
          </w:p>
        </w:tc>
        <w:tc>
          <w:tcPr>
            <w:tcW w:w="0" w:type="auto"/>
            <w:gridSpan w:val="3"/>
            <w:shd w:val="clear" w:color="auto" w:fill="auto"/>
            <w:vAlign w:val="bottom"/>
          </w:tcPr>
          <w:p w14:paraId="5F2CA35D" w14:textId="77777777" w:rsidR="00E836FB" w:rsidRDefault="00E836FB">
            <w:pPr>
              <w:rPr>
                <w:rFonts w:ascii="宋体"/>
                <w:vanish/>
              </w:rPr>
            </w:pPr>
          </w:p>
        </w:tc>
        <w:tc>
          <w:tcPr>
            <w:tcW w:w="0" w:type="auto"/>
            <w:gridSpan w:val="3"/>
            <w:shd w:val="clear" w:color="auto" w:fill="auto"/>
            <w:vAlign w:val="bottom"/>
          </w:tcPr>
          <w:p w14:paraId="5F2CA35E" w14:textId="77777777" w:rsidR="00E836FB" w:rsidRDefault="00E836FB">
            <w:pPr>
              <w:rPr>
                <w:rFonts w:ascii="宋体"/>
                <w:vanish/>
              </w:rPr>
            </w:pPr>
          </w:p>
        </w:tc>
        <w:tc>
          <w:tcPr>
            <w:tcW w:w="0" w:type="auto"/>
            <w:gridSpan w:val="3"/>
            <w:shd w:val="clear" w:color="auto" w:fill="auto"/>
            <w:vAlign w:val="bottom"/>
          </w:tcPr>
          <w:p w14:paraId="5F2CA35F" w14:textId="77777777" w:rsidR="00E836FB" w:rsidRDefault="00E836FB">
            <w:pPr>
              <w:rPr>
                <w:rFonts w:ascii="宋体"/>
                <w:vanish/>
              </w:rPr>
            </w:pPr>
          </w:p>
        </w:tc>
        <w:tc>
          <w:tcPr>
            <w:tcW w:w="0" w:type="auto"/>
            <w:gridSpan w:val="3"/>
            <w:shd w:val="clear" w:color="auto" w:fill="auto"/>
            <w:vAlign w:val="bottom"/>
          </w:tcPr>
          <w:p w14:paraId="5F2CA360" w14:textId="77777777" w:rsidR="00E836FB" w:rsidRDefault="00E836FB">
            <w:pPr>
              <w:rPr>
                <w:rFonts w:ascii="宋体"/>
                <w:vanish/>
              </w:rPr>
            </w:pPr>
          </w:p>
        </w:tc>
        <w:tc>
          <w:tcPr>
            <w:tcW w:w="0" w:type="auto"/>
            <w:gridSpan w:val="3"/>
            <w:shd w:val="clear" w:color="auto" w:fill="auto"/>
            <w:vAlign w:val="bottom"/>
          </w:tcPr>
          <w:p w14:paraId="5F2CA361" w14:textId="77777777" w:rsidR="00E836FB" w:rsidRDefault="00E836FB">
            <w:pPr>
              <w:rPr>
                <w:rFonts w:ascii="宋体"/>
                <w:vanish/>
              </w:rPr>
            </w:pPr>
          </w:p>
        </w:tc>
        <w:tc>
          <w:tcPr>
            <w:tcW w:w="0" w:type="auto"/>
            <w:gridSpan w:val="3"/>
            <w:shd w:val="clear" w:color="auto" w:fill="auto"/>
            <w:vAlign w:val="bottom"/>
          </w:tcPr>
          <w:p w14:paraId="5F2CA362" w14:textId="77777777" w:rsidR="00E836FB" w:rsidRDefault="00E836FB">
            <w:pPr>
              <w:rPr>
                <w:rFonts w:ascii="宋体"/>
                <w:vanish/>
              </w:rPr>
            </w:pPr>
          </w:p>
        </w:tc>
        <w:tc>
          <w:tcPr>
            <w:tcW w:w="0" w:type="auto"/>
            <w:gridSpan w:val="3"/>
            <w:shd w:val="clear" w:color="auto" w:fill="auto"/>
            <w:vAlign w:val="bottom"/>
          </w:tcPr>
          <w:p w14:paraId="5F2CA363" w14:textId="77777777" w:rsidR="00E836FB" w:rsidRDefault="00E836FB">
            <w:pPr>
              <w:rPr>
                <w:rFonts w:ascii="宋体"/>
                <w:vanish/>
              </w:rPr>
            </w:pPr>
          </w:p>
        </w:tc>
        <w:tc>
          <w:tcPr>
            <w:tcW w:w="0" w:type="auto"/>
            <w:gridSpan w:val="3"/>
            <w:shd w:val="clear" w:color="auto" w:fill="auto"/>
            <w:vAlign w:val="bottom"/>
          </w:tcPr>
          <w:p w14:paraId="5F2CA364" w14:textId="77777777" w:rsidR="00E836FB" w:rsidRDefault="00E836FB">
            <w:pPr>
              <w:rPr>
                <w:rFonts w:ascii="宋体"/>
                <w:vanish/>
              </w:rPr>
            </w:pPr>
          </w:p>
        </w:tc>
        <w:tc>
          <w:tcPr>
            <w:tcW w:w="0" w:type="auto"/>
            <w:gridSpan w:val="3"/>
            <w:shd w:val="clear" w:color="auto" w:fill="auto"/>
            <w:vAlign w:val="bottom"/>
          </w:tcPr>
          <w:p w14:paraId="5F2CA365" w14:textId="77777777" w:rsidR="00E836FB" w:rsidRDefault="00E836FB">
            <w:pPr>
              <w:rPr>
                <w:rFonts w:ascii="宋体"/>
                <w:vanish/>
              </w:rPr>
            </w:pPr>
          </w:p>
        </w:tc>
      </w:tr>
      <w:tr w:rsidR="00E836FB" w14:paraId="5F2CA372" w14:textId="77777777">
        <w:trPr>
          <w:hidden/>
        </w:trPr>
        <w:tc>
          <w:tcPr>
            <w:tcW w:w="0" w:type="auto"/>
            <w:gridSpan w:val="3"/>
            <w:shd w:val="clear" w:color="auto" w:fill="auto"/>
            <w:vAlign w:val="bottom"/>
          </w:tcPr>
          <w:p w14:paraId="5F2CA367" w14:textId="77777777" w:rsidR="00E836FB" w:rsidRDefault="00E836FB">
            <w:pPr>
              <w:rPr>
                <w:rFonts w:ascii="宋体"/>
                <w:vanish/>
              </w:rPr>
            </w:pPr>
          </w:p>
        </w:tc>
        <w:tc>
          <w:tcPr>
            <w:tcW w:w="0" w:type="auto"/>
            <w:gridSpan w:val="3"/>
            <w:shd w:val="clear" w:color="auto" w:fill="auto"/>
            <w:vAlign w:val="bottom"/>
          </w:tcPr>
          <w:p w14:paraId="5F2CA368" w14:textId="77777777" w:rsidR="00E836FB" w:rsidRDefault="00E836FB">
            <w:pPr>
              <w:rPr>
                <w:rFonts w:ascii="宋体"/>
                <w:vanish/>
              </w:rPr>
            </w:pPr>
          </w:p>
        </w:tc>
        <w:tc>
          <w:tcPr>
            <w:tcW w:w="0" w:type="auto"/>
            <w:gridSpan w:val="3"/>
            <w:shd w:val="clear" w:color="auto" w:fill="auto"/>
            <w:vAlign w:val="bottom"/>
          </w:tcPr>
          <w:p w14:paraId="5F2CA369" w14:textId="77777777" w:rsidR="00E836FB" w:rsidRDefault="00E836FB">
            <w:pPr>
              <w:rPr>
                <w:rFonts w:ascii="宋体"/>
                <w:vanish/>
              </w:rPr>
            </w:pPr>
          </w:p>
        </w:tc>
        <w:tc>
          <w:tcPr>
            <w:tcW w:w="0" w:type="auto"/>
            <w:gridSpan w:val="3"/>
            <w:shd w:val="clear" w:color="auto" w:fill="auto"/>
            <w:vAlign w:val="bottom"/>
          </w:tcPr>
          <w:p w14:paraId="5F2CA36A" w14:textId="77777777" w:rsidR="00E836FB" w:rsidRDefault="00E836FB">
            <w:pPr>
              <w:rPr>
                <w:rFonts w:ascii="宋体"/>
                <w:vanish/>
              </w:rPr>
            </w:pPr>
          </w:p>
        </w:tc>
        <w:tc>
          <w:tcPr>
            <w:tcW w:w="0" w:type="auto"/>
            <w:gridSpan w:val="3"/>
            <w:shd w:val="clear" w:color="auto" w:fill="auto"/>
            <w:vAlign w:val="bottom"/>
          </w:tcPr>
          <w:p w14:paraId="5F2CA36B" w14:textId="77777777" w:rsidR="00E836FB" w:rsidRDefault="00E836FB">
            <w:pPr>
              <w:rPr>
                <w:rFonts w:ascii="宋体"/>
                <w:vanish/>
              </w:rPr>
            </w:pPr>
          </w:p>
        </w:tc>
        <w:tc>
          <w:tcPr>
            <w:tcW w:w="0" w:type="auto"/>
            <w:gridSpan w:val="3"/>
            <w:shd w:val="clear" w:color="auto" w:fill="auto"/>
            <w:vAlign w:val="bottom"/>
          </w:tcPr>
          <w:p w14:paraId="5F2CA36C" w14:textId="77777777" w:rsidR="00E836FB" w:rsidRDefault="00E836FB">
            <w:pPr>
              <w:rPr>
                <w:rFonts w:ascii="宋体"/>
                <w:vanish/>
              </w:rPr>
            </w:pPr>
          </w:p>
        </w:tc>
        <w:tc>
          <w:tcPr>
            <w:tcW w:w="0" w:type="auto"/>
            <w:gridSpan w:val="3"/>
            <w:shd w:val="clear" w:color="auto" w:fill="auto"/>
            <w:vAlign w:val="bottom"/>
          </w:tcPr>
          <w:p w14:paraId="5F2CA36D" w14:textId="77777777" w:rsidR="00E836FB" w:rsidRDefault="00E836FB">
            <w:pPr>
              <w:rPr>
                <w:rFonts w:ascii="宋体"/>
                <w:vanish/>
              </w:rPr>
            </w:pPr>
          </w:p>
        </w:tc>
        <w:tc>
          <w:tcPr>
            <w:tcW w:w="0" w:type="auto"/>
            <w:gridSpan w:val="3"/>
            <w:shd w:val="clear" w:color="auto" w:fill="auto"/>
            <w:vAlign w:val="bottom"/>
          </w:tcPr>
          <w:p w14:paraId="5F2CA36E" w14:textId="77777777" w:rsidR="00E836FB" w:rsidRDefault="00E836FB">
            <w:pPr>
              <w:rPr>
                <w:rFonts w:ascii="宋体"/>
                <w:vanish/>
              </w:rPr>
            </w:pPr>
          </w:p>
        </w:tc>
        <w:tc>
          <w:tcPr>
            <w:tcW w:w="0" w:type="auto"/>
            <w:gridSpan w:val="3"/>
            <w:shd w:val="clear" w:color="auto" w:fill="auto"/>
            <w:vAlign w:val="bottom"/>
          </w:tcPr>
          <w:p w14:paraId="5F2CA36F" w14:textId="77777777" w:rsidR="00E836FB" w:rsidRDefault="00E836FB">
            <w:pPr>
              <w:rPr>
                <w:rFonts w:ascii="宋体"/>
                <w:vanish/>
              </w:rPr>
            </w:pPr>
          </w:p>
        </w:tc>
        <w:tc>
          <w:tcPr>
            <w:tcW w:w="0" w:type="auto"/>
            <w:gridSpan w:val="3"/>
            <w:shd w:val="clear" w:color="auto" w:fill="auto"/>
            <w:vAlign w:val="bottom"/>
          </w:tcPr>
          <w:p w14:paraId="5F2CA370" w14:textId="77777777" w:rsidR="00E836FB" w:rsidRDefault="00E836FB">
            <w:pPr>
              <w:rPr>
                <w:rFonts w:ascii="宋体"/>
                <w:vanish/>
              </w:rPr>
            </w:pPr>
          </w:p>
        </w:tc>
        <w:tc>
          <w:tcPr>
            <w:tcW w:w="0" w:type="auto"/>
            <w:gridSpan w:val="3"/>
            <w:shd w:val="clear" w:color="auto" w:fill="auto"/>
            <w:vAlign w:val="bottom"/>
          </w:tcPr>
          <w:p w14:paraId="5F2CA371" w14:textId="77777777" w:rsidR="00E836FB" w:rsidRDefault="00E836FB">
            <w:pPr>
              <w:rPr>
                <w:rFonts w:ascii="宋体"/>
                <w:vanish/>
              </w:rPr>
            </w:pPr>
          </w:p>
        </w:tc>
      </w:tr>
      <w:tr w:rsidR="00E836FB" w14:paraId="5F2CA37E" w14:textId="77777777">
        <w:trPr>
          <w:hidden/>
        </w:trPr>
        <w:tc>
          <w:tcPr>
            <w:tcW w:w="0" w:type="auto"/>
            <w:gridSpan w:val="3"/>
            <w:shd w:val="clear" w:color="auto" w:fill="auto"/>
            <w:vAlign w:val="bottom"/>
          </w:tcPr>
          <w:p w14:paraId="5F2CA373" w14:textId="77777777" w:rsidR="00E836FB" w:rsidRDefault="00E836FB">
            <w:pPr>
              <w:rPr>
                <w:rFonts w:ascii="宋体"/>
                <w:vanish/>
              </w:rPr>
            </w:pPr>
          </w:p>
        </w:tc>
        <w:tc>
          <w:tcPr>
            <w:tcW w:w="0" w:type="auto"/>
            <w:gridSpan w:val="3"/>
            <w:shd w:val="clear" w:color="auto" w:fill="auto"/>
            <w:vAlign w:val="bottom"/>
          </w:tcPr>
          <w:p w14:paraId="5F2CA374" w14:textId="77777777" w:rsidR="00E836FB" w:rsidRDefault="00E836FB">
            <w:pPr>
              <w:rPr>
                <w:rFonts w:ascii="宋体"/>
                <w:vanish/>
              </w:rPr>
            </w:pPr>
          </w:p>
        </w:tc>
        <w:tc>
          <w:tcPr>
            <w:tcW w:w="0" w:type="auto"/>
            <w:gridSpan w:val="3"/>
            <w:shd w:val="clear" w:color="auto" w:fill="auto"/>
            <w:vAlign w:val="bottom"/>
          </w:tcPr>
          <w:p w14:paraId="5F2CA375" w14:textId="77777777" w:rsidR="00E836FB" w:rsidRDefault="00E836FB">
            <w:pPr>
              <w:rPr>
                <w:rFonts w:ascii="宋体"/>
                <w:vanish/>
              </w:rPr>
            </w:pPr>
          </w:p>
        </w:tc>
        <w:tc>
          <w:tcPr>
            <w:tcW w:w="0" w:type="auto"/>
            <w:gridSpan w:val="3"/>
            <w:shd w:val="clear" w:color="auto" w:fill="auto"/>
            <w:vAlign w:val="bottom"/>
          </w:tcPr>
          <w:p w14:paraId="5F2CA376" w14:textId="77777777" w:rsidR="00E836FB" w:rsidRDefault="00E836FB">
            <w:pPr>
              <w:rPr>
                <w:rFonts w:ascii="宋体"/>
                <w:vanish/>
              </w:rPr>
            </w:pPr>
          </w:p>
        </w:tc>
        <w:tc>
          <w:tcPr>
            <w:tcW w:w="0" w:type="auto"/>
            <w:gridSpan w:val="3"/>
            <w:shd w:val="clear" w:color="auto" w:fill="auto"/>
            <w:vAlign w:val="bottom"/>
          </w:tcPr>
          <w:p w14:paraId="5F2CA377" w14:textId="77777777" w:rsidR="00E836FB" w:rsidRDefault="00E836FB">
            <w:pPr>
              <w:rPr>
                <w:rFonts w:ascii="宋体"/>
                <w:vanish/>
              </w:rPr>
            </w:pPr>
          </w:p>
        </w:tc>
        <w:tc>
          <w:tcPr>
            <w:tcW w:w="0" w:type="auto"/>
            <w:gridSpan w:val="3"/>
            <w:shd w:val="clear" w:color="auto" w:fill="auto"/>
            <w:vAlign w:val="bottom"/>
          </w:tcPr>
          <w:p w14:paraId="5F2CA378" w14:textId="77777777" w:rsidR="00E836FB" w:rsidRDefault="00E836FB">
            <w:pPr>
              <w:rPr>
                <w:rFonts w:ascii="宋体"/>
                <w:vanish/>
              </w:rPr>
            </w:pPr>
          </w:p>
        </w:tc>
        <w:tc>
          <w:tcPr>
            <w:tcW w:w="0" w:type="auto"/>
            <w:gridSpan w:val="3"/>
            <w:shd w:val="clear" w:color="auto" w:fill="auto"/>
            <w:vAlign w:val="bottom"/>
          </w:tcPr>
          <w:p w14:paraId="5F2CA379" w14:textId="77777777" w:rsidR="00E836FB" w:rsidRDefault="00E836FB">
            <w:pPr>
              <w:rPr>
                <w:rFonts w:ascii="宋体"/>
                <w:vanish/>
              </w:rPr>
            </w:pPr>
          </w:p>
        </w:tc>
        <w:tc>
          <w:tcPr>
            <w:tcW w:w="0" w:type="auto"/>
            <w:gridSpan w:val="3"/>
            <w:shd w:val="clear" w:color="auto" w:fill="auto"/>
            <w:vAlign w:val="bottom"/>
          </w:tcPr>
          <w:p w14:paraId="5F2CA37A" w14:textId="77777777" w:rsidR="00E836FB" w:rsidRDefault="00E836FB">
            <w:pPr>
              <w:rPr>
                <w:rFonts w:ascii="宋体"/>
                <w:vanish/>
              </w:rPr>
            </w:pPr>
          </w:p>
        </w:tc>
        <w:tc>
          <w:tcPr>
            <w:tcW w:w="0" w:type="auto"/>
            <w:gridSpan w:val="3"/>
            <w:shd w:val="clear" w:color="auto" w:fill="auto"/>
            <w:vAlign w:val="bottom"/>
          </w:tcPr>
          <w:p w14:paraId="5F2CA37B" w14:textId="77777777" w:rsidR="00E836FB" w:rsidRDefault="00E836FB">
            <w:pPr>
              <w:rPr>
                <w:rFonts w:ascii="宋体"/>
                <w:vanish/>
              </w:rPr>
            </w:pPr>
          </w:p>
        </w:tc>
        <w:tc>
          <w:tcPr>
            <w:tcW w:w="0" w:type="auto"/>
            <w:gridSpan w:val="3"/>
            <w:shd w:val="clear" w:color="auto" w:fill="auto"/>
            <w:vAlign w:val="bottom"/>
          </w:tcPr>
          <w:p w14:paraId="5F2CA37C" w14:textId="77777777" w:rsidR="00E836FB" w:rsidRDefault="00E836FB">
            <w:pPr>
              <w:rPr>
                <w:rFonts w:ascii="宋体"/>
                <w:vanish/>
              </w:rPr>
            </w:pPr>
          </w:p>
        </w:tc>
        <w:tc>
          <w:tcPr>
            <w:tcW w:w="0" w:type="auto"/>
            <w:gridSpan w:val="3"/>
            <w:shd w:val="clear" w:color="auto" w:fill="auto"/>
            <w:vAlign w:val="bottom"/>
          </w:tcPr>
          <w:p w14:paraId="5F2CA37D" w14:textId="77777777" w:rsidR="00E836FB" w:rsidRDefault="00E836FB">
            <w:pPr>
              <w:rPr>
                <w:rFonts w:ascii="宋体"/>
                <w:vanish/>
              </w:rPr>
            </w:pPr>
          </w:p>
        </w:tc>
      </w:tr>
      <w:tr w:rsidR="00E836FB" w14:paraId="5F2CA38A" w14:textId="77777777">
        <w:trPr>
          <w:hidden/>
        </w:trPr>
        <w:tc>
          <w:tcPr>
            <w:tcW w:w="0" w:type="auto"/>
            <w:gridSpan w:val="3"/>
            <w:shd w:val="clear" w:color="auto" w:fill="auto"/>
            <w:vAlign w:val="bottom"/>
          </w:tcPr>
          <w:p w14:paraId="5F2CA37F" w14:textId="77777777" w:rsidR="00E836FB" w:rsidRDefault="00E836FB">
            <w:pPr>
              <w:rPr>
                <w:rFonts w:ascii="宋体"/>
                <w:vanish/>
              </w:rPr>
            </w:pPr>
          </w:p>
        </w:tc>
        <w:tc>
          <w:tcPr>
            <w:tcW w:w="0" w:type="auto"/>
            <w:gridSpan w:val="3"/>
            <w:shd w:val="clear" w:color="auto" w:fill="auto"/>
            <w:vAlign w:val="bottom"/>
          </w:tcPr>
          <w:p w14:paraId="5F2CA380" w14:textId="77777777" w:rsidR="00E836FB" w:rsidRDefault="00E836FB">
            <w:pPr>
              <w:rPr>
                <w:rFonts w:ascii="宋体"/>
                <w:vanish/>
              </w:rPr>
            </w:pPr>
          </w:p>
        </w:tc>
        <w:tc>
          <w:tcPr>
            <w:tcW w:w="0" w:type="auto"/>
            <w:gridSpan w:val="3"/>
            <w:shd w:val="clear" w:color="auto" w:fill="auto"/>
            <w:vAlign w:val="bottom"/>
          </w:tcPr>
          <w:p w14:paraId="5F2CA381" w14:textId="77777777" w:rsidR="00E836FB" w:rsidRDefault="00E836FB">
            <w:pPr>
              <w:rPr>
                <w:rFonts w:ascii="宋体"/>
                <w:vanish/>
              </w:rPr>
            </w:pPr>
          </w:p>
        </w:tc>
        <w:tc>
          <w:tcPr>
            <w:tcW w:w="0" w:type="auto"/>
            <w:gridSpan w:val="3"/>
            <w:shd w:val="clear" w:color="auto" w:fill="auto"/>
            <w:vAlign w:val="bottom"/>
          </w:tcPr>
          <w:p w14:paraId="5F2CA382" w14:textId="77777777" w:rsidR="00E836FB" w:rsidRDefault="00E836FB">
            <w:pPr>
              <w:rPr>
                <w:rFonts w:ascii="宋体"/>
                <w:vanish/>
              </w:rPr>
            </w:pPr>
          </w:p>
        </w:tc>
        <w:tc>
          <w:tcPr>
            <w:tcW w:w="0" w:type="auto"/>
            <w:gridSpan w:val="3"/>
            <w:shd w:val="clear" w:color="auto" w:fill="auto"/>
            <w:vAlign w:val="bottom"/>
          </w:tcPr>
          <w:p w14:paraId="5F2CA383" w14:textId="77777777" w:rsidR="00E836FB" w:rsidRDefault="00E836FB">
            <w:pPr>
              <w:rPr>
                <w:rFonts w:ascii="宋体"/>
                <w:vanish/>
              </w:rPr>
            </w:pPr>
          </w:p>
        </w:tc>
        <w:tc>
          <w:tcPr>
            <w:tcW w:w="0" w:type="auto"/>
            <w:gridSpan w:val="3"/>
            <w:shd w:val="clear" w:color="auto" w:fill="auto"/>
            <w:vAlign w:val="bottom"/>
          </w:tcPr>
          <w:p w14:paraId="5F2CA384" w14:textId="77777777" w:rsidR="00E836FB" w:rsidRDefault="00E836FB">
            <w:pPr>
              <w:rPr>
                <w:rFonts w:ascii="宋体"/>
                <w:vanish/>
              </w:rPr>
            </w:pPr>
          </w:p>
        </w:tc>
        <w:tc>
          <w:tcPr>
            <w:tcW w:w="0" w:type="auto"/>
            <w:gridSpan w:val="3"/>
            <w:shd w:val="clear" w:color="auto" w:fill="auto"/>
            <w:vAlign w:val="bottom"/>
          </w:tcPr>
          <w:p w14:paraId="5F2CA385" w14:textId="77777777" w:rsidR="00E836FB" w:rsidRDefault="00E836FB">
            <w:pPr>
              <w:rPr>
                <w:rFonts w:ascii="宋体"/>
                <w:vanish/>
              </w:rPr>
            </w:pPr>
          </w:p>
        </w:tc>
        <w:tc>
          <w:tcPr>
            <w:tcW w:w="0" w:type="auto"/>
            <w:gridSpan w:val="3"/>
            <w:shd w:val="clear" w:color="auto" w:fill="auto"/>
            <w:vAlign w:val="bottom"/>
          </w:tcPr>
          <w:p w14:paraId="5F2CA386" w14:textId="77777777" w:rsidR="00E836FB" w:rsidRDefault="00E836FB">
            <w:pPr>
              <w:rPr>
                <w:rFonts w:ascii="宋体"/>
                <w:vanish/>
              </w:rPr>
            </w:pPr>
          </w:p>
        </w:tc>
        <w:tc>
          <w:tcPr>
            <w:tcW w:w="0" w:type="auto"/>
            <w:gridSpan w:val="3"/>
            <w:shd w:val="clear" w:color="auto" w:fill="auto"/>
            <w:vAlign w:val="bottom"/>
          </w:tcPr>
          <w:p w14:paraId="5F2CA387" w14:textId="77777777" w:rsidR="00E836FB" w:rsidRDefault="00E836FB">
            <w:pPr>
              <w:rPr>
                <w:rFonts w:ascii="宋体"/>
                <w:vanish/>
              </w:rPr>
            </w:pPr>
          </w:p>
        </w:tc>
        <w:tc>
          <w:tcPr>
            <w:tcW w:w="0" w:type="auto"/>
            <w:gridSpan w:val="3"/>
            <w:shd w:val="clear" w:color="auto" w:fill="auto"/>
            <w:vAlign w:val="bottom"/>
          </w:tcPr>
          <w:p w14:paraId="5F2CA388" w14:textId="77777777" w:rsidR="00E836FB" w:rsidRDefault="00E836FB">
            <w:pPr>
              <w:rPr>
                <w:rFonts w:ascii="宋体"/>
                <w:vanish/>
              </w:rPr>
            </w:pPr>
          </w:p>
        </w:tc>
        <w:tc>
          <w:tcPr>
            <w:tcW w:w="0" w:type="auto"/>
            <w:gridSpan w:val="3"/>
            <w:shd w:val="clear" w:color="auto" w:fill="auto"/>
            <w:vAlign w:val="bottom"/>
          </w:tcPr>
          <w:p w14:paraId="5F2CA389" w14:textId="77777777" w:rsidR="00E836FB" w:rsidRDefault="00E836FB">
            <w:pPr>
              <w:rPr>
                <w:rFonts w:ascii="宋体"/>
                <w:vanish/>
              </w:rPr>
            </w:pPr>
          </w:p>
        </w:tc>
      </w:tr>
      <w:tr w:rsidR="00E836FB" w14:paraId="5F2CA396" w14:textId="77777777">
        <w:trPr>
          <w:hidden/>
        </w:trPr>
        <w:tc>
          <w:tcPr>
            <w:tcW w:w="0" w:type="auto"/>
            <w:gridSpan w:val="3"/>
            <w:shd w:val="clear" w:color="auto" w:fill="auto"/>
            <w:vAlign w:val="bottom"/>
          </w:tcPr>
          <w:p w14:paraId="5F2CA38B" w14:textId="77777777" w:rsidR="00E836FB" w:rsidRDefault="00E836FB">
            <w:pPr>
              <w:rPr>
                <w:rFonts w:ascii="宋体"/>
                <w:vanish/>
              </w:rPr>
            </w:pPr>
          </w:p>
        </w:tc>
        <w:tc>
          <w:tcPr>
            <w:tcW w:w="0" w:type="auto"/>
            <w:gridSpan w:val="3"/>
            <w:shd w:val="clear" w:color="auto" w:fill="auto"/>
            <w:vAlign w:val="bottom"/>
          </w:tcPr>
          <w:p w14:paraId="5F2CA38C" w14:textId="77777777" w:rsidR="00E836FB" w:rsidRDefault="00E836FB">
            <w:pPr>
              <w:rPr>
                <w:rFonts w:ascii="宋体"/>
                <w:vanish/>
              </w:rPr>
            </w:pPr>
          </w:p>
        </w:tc>
        <w:tc>
          <w:tcPr>
            <w:tcW w:w="0" w:type="auto"/>
            <w:gridSpan w:val="3"/>
            <w:shd w:val="clear" w:color="auto" w:fill="auto"/>
            <w:vAlign w:val="bottom"/>
          </w:tcPr>
          <w:p w14:paraId="5F2CA38D" w14:textId="77777777" w:rsidR="00E836FB" w:rsidRDefault="00E836FB">
            <w:pPr>
              <w:rPr>
                <w:rFonts w:ascii="宋体"/>
                <w:vanish/>
              </w:rPr>
            </w:pPr>
          </w:p>
        </w:tc>
        <w:tc>
          <w:tcPr>
            <w:tcW w:w="0" w:type="auto"/>
            <w:gridSpan w:val="3"/>
            <w:shd w:val="clear" w:color="auto" w:fill="auto"/>
            <w:vAlign w:val="bottom"/>
          </w:tcPr>
          <w:p w14:paraId="5F2CA38E" w14:textId="77777777" w:rsidR="00E836FB" w:rsidRDefault="00E836FB">
            <w:pPr>
              <w:rPr>
                <w:rFonts w:ascii="宋体"/>
                <w:vanish/>
              </w:rPr>
            </w:pPr>
          </w:p>
        </w:tc>
        <w:tc>
          <w:tcPr>
            <w:tcW w:w="0" w:type="auto"/>
            <w:gridSpan w:val="3"/>
            <w:shd w:val="clear" w:color="auto" w:fill="auto"/>
            <w:vAlign w:val="bottom"/>
          </w:tcPr>
          <w:p w14:paraId="5F2CA38F" w14:textId="77777777" w:rsidR="00E836FB" w:rsidRDefault="00E836FB">
            <w:pPr>
              <w:rPr>
                <w:rFonts w:ascii="宋体"/>
                <w:vanish/>
              </w:rPr>
            </w:pPr>
          </w:p>
        </w:tc>
        <w:tc>
          <w:tcPr>
            <w:tcW w:w="0" w:type="auto"/>
            <w:gridSpan w:val="3"/>
            <w:shd w:val="clear" w:color="auto" w:fill="auto"/>
            <w:vAlign w:val="bottom"/>
          </w:tcPr>
          <w:p w14:paraId="5F2CA390" w14:textId="77777777" w:rsidR="00E836FB" w:rsidRDefault="00E836FB">
            <w:pPr>
              <w:rPr>
                <w:rFonts w:ascii="宋体"/>
                <w:vanish/>
              </w:rPr>
            </w:pPr>
          </w:p>
        </w:tc>
        <w:tc>
          <w:tcPr>
            <w:tcW w:w="0" w:type="auto"/>
            <w:gridSpan w:val="3"/>
            <w:shd w:val="clear" w:color="auto" w:fill="auto"/>
            <w:vAlign w:val="bottom"/>
          </w:tcPr>
          <w:p w14:paraId="5F2CA391" w14:textId="77777777" w:rsidR="00E836FB" w:rsidRDefault="00E836FB">
            <w:pPr>
              <w:rPr>
                <w:rFonts w:ascii="宋体"/>
                <w:vanish/>
              </w:rPr>
            </w:pPr>
          </w:p>
        </w:tc>
        <w:tc>
          <w:tcPr>
            <w:tcW w:w="0" w:type="auto"/>
            <w:gridSpan w:val="3"/>
            <w:shd w:val="clear" w:color="auto" w:fill="auto"/>
            <w:vAlign w:val="bottom"/>
          </w:tcPr>
          <w:p w14:paraId="5F2CA392" w14:textId="77777777" w:rsidR="00E836FB" w:rsidRDefault="00E836FB">
            <w:pPr>
              <w:rPr>
                <w:rFonts w:ascii="宋体"/>
                <w:vanish/>
              </w:rPr>
            </w:pPr>
          </w:p>
        </w:tc>
        <w:tc>
          <w:tcPr>
            <w:tcW w:w="0" w:type="auto"/>
            <w:gridSpan w:val="3"/>
            <w:shd w:val="clear" w:color="auto" w:fill="auto"/>
            <w:vAlign w:val="bottom"/>
          </w:tcPr>
          <w:p w14:paraId="5F2CA393" w14:textId="77777777" w:rsidR="00E836FB" w:rsidRDefault="00E836FB">
            <w:pPr>
              <w:rPr>
                <w:rFonts w:ascii="宋体"/>
                <w:vanish/>
              </w:rPr>
            </w:pPr>
          </w:p>
        </w:tc>
        <w:tc>
          <w:tcPr>
            <w:tcW w:w="0" w:type="auto"/>
            <w:gridSpan w:val="3"/>
            <w:shd w:val="clear" w:color="auto" w:fill="auto"/>
            <w:vAlign w:val="bottom"/>
          </w:tcPr>
          <w:p w14:paraId="5F2CA394" w14:textId="77777777" w:rsidR="00E836FB" w:rsidRDefault="00E836FB">
            <w:pPr>
              <w:rPr>
                <w:rFonts w:ascii="宋体"/>
                <w:vanish/>
              </w:rPr>
            </w:pPr>
          </w:p>
        </w:tc>
        <w:tc>
          <w:tcPr>
            <w:tcW w:w="0" w:type="auto"/>
            <w:gridSpan w:val="3"/>
            <w:shd w:val="clear" w:color="auto" w:fill="auto"/>
            <w:vAlign w:val="bottom"/>
          </w:tcPr>
          <w:p w14:paraId="5F2CA395" w14:textId="77777777" w:rsidR="00E836FB" w:rsidRDefault="00E836FB">
            <w:pPr>
              <w:rPr>
                <w:rFonts w:ascii="宋体"/>
                <w:vanish/>
              </w:rPr>
            </w:pPr>
          </w:p>
        </w:tc>
      </w:tr>
      <w:tr w:rsidR="00E836FB" w14:paraId="5F2CA3A2" w14:textId="77777777">
        <w:trPr>
          <w:hidden/>
        </w:trPr>
        <w:tc>
          <w:tcPr>
            <w:tcW w:w="0" w:type="auto"/>
            <w:gridSpan w:val="3"/>
            <w:shd w:val="clear" w:color="auto" w:fill="auto"/>
            <w:vAlign w:val="bottom"/>
          </w:tcPr>
          <w:p w14:paraId="5F2CA397" w14:textId="77777777" w:rsidR="00E836FB" w:rsidRDefault="00E836FB">
            <w:pPr>
              <w:rPr>
                <w:rFonts w:ascii="宋体"/>
                <w:vanish/>
              </w:rPr>
            </w:pPr>
          </w:p>
        </w:tc>
        <w:tc>
          <w:tcPr>
            <w:tcW w:w="0" w:type="auto"/>
            <w:gridSpan w:val="3"/>
            <w:shd w:val="clear" w:color="auto" w:fill="auto"/>
            <w:vAlign w:val="bottom"/>
          </w:tcPr>
          <w:p w14:paraId="5F2CA398" w14:textId="77777777" w:rsidR="00E836FB" w:rsidRDefault="00E836FB">
            <w:pPr>
              <w:rPr>
                <w:rFonts w:ascii="宋体"/>
                <w:vanish/>
              </w:rPr>
            </w:pPr>
          </w:p>
        </w:tc>
        <w:tc>
          <w:tcPr>
            <w:tcW w:w="0" w:type="auto"/>
            <w:gridSpan w:val="3"/>
            <w:shd w:val="clear" w:color="auto" w:fill="auto"/>
            <w:vAlign w:val="bottom"/>
          </w:tcPr>
          <w:p w14:paraId="5F2CA399" w14:textId="77777777" w:rsidR="00E836FB" w:rsidRDefault="00E836FB">
            <w:pPr>
              <w:rPr>
                <w:rFonts w:ascii="宋体"/>
                <w:vanish/>
              </w:rPr>
            </w:pPr>
          </w:p>
        </w:tc>
        <w:tc>
          <w:tcPr>
            <w:tcW w:w="0" w:type="auto"/>
            <w:gridSpan w:val="3"/>
            <w:shd w:val="clear" w:color="auto" w:fill="auto"/>
            <w:vAlign w:val="bottom"/>
          </w:tcPr>
          <w:p w14:paraId="5F2CA39A" w14:textId="77777777" w:rsidR="00E836FB" w:rsidRDefault="00E836FB">
            <w:pPr>
              <w:rPr>
                <w:rFonts w:ascii="宋体"/>
                <w:vanish/>
              </w:rPr>
            </w:pPr>
          </w:p>
        </w:tc>
        <w:tc>
          <w:tcPr>
            <w:tcW w:w="0" w:type="auto"/>
            <w:gridSpan w:val="3"/>
            <w:shd w:val="clear" w:color="auto" w:fill="auto"/>
            <w:vAlign w:val="bottom"/>
          </w:tcPr>
          <w:p w14:paraId="5F2CA39B" w14:textId="77777777" w:rsidR="00E836FB" w:rsidRDefault="00E836FB">
            <w:pPr>
              <w:rPr>
                <w:rFonts w:ascii="宋体"/>
                <w:vanish/>
              </w:rPr>
            </w:pPr>
          </w:p>
        </w:tc>
        <w:tc>
          <w:tcPr>
            <w:tcW w:w="0" w:type="auto"/>
            <w:gridSpan w:val="3"/>
            <w:shd w:val="clear" w:color="auto" w:fill="auto"/>
            <w:vAlign w:val="bottom"/>
          </w:tcPr>
          <w:p w14:paraId="5F2CA39C" w14:textId="77777777" w:rsidR="00E836FB" w:rsidRDefault="00E836FB">
            <w:pPr>
              <w:rPr>
                <w:rFonts w:ascii="宋体"/>
                <w:vanish/>
              </w:rPr>
            </w:pPr>
          </w:p>
        </w:tc>
        <w:tc>
          <w:tcPr>
            <w:tcW w:w="0" w:type="auto"/>
            <w:gridSpan w:val="3"/>
            <w:shd w:val="clear" w:color="auto" w:fill="auto"/>
            <w:vAlign w:val="bottom"/>
          </w:tcPr>
          <w:p w14:paraId="5F2CA39D" w14:textId="77777777" w:rsidR="00E836FB" w:rsidRDefault="00E836FB">
            <w:pPr>
              <w:rPr>
                <w:rFonts w:ascii="宋体"/>
                <w:vanish/>
              </w:rPr>
            </w:pPr>
          </w:p>
        </w:tc>
        <w:tc>
          <w:tcPr>
            <w:tcW w:w="0" w:type="auto"/>
            <w:gridSpan w:val="3"/>
            <w:shd w:val="clear" w:color="auto" w:fill="auto"/>
            <w:vAlign w:val="bottom"/>
          </w:tcPr>
          <w:p w14:paraId="5F2CA39E" w14:textId="77777777" w:rsidR="00E836FB" w:rsidRDefault="00E836FB">
            <w:pPr>
              <w:rPr>
                <w:rFonts w:ascii="宋体"/>
                <w:vanish/>
              </w:rPr>
            </w:pPr>
          </w:p>
        </w:tc>
        <w:tc>
          <w:tcPr>
            <w:tcW w:w="0" w:type="auto"/>
            <w:gridSpan w:val="3"/>
            <w:shd w:val="clear" w:color="auto" w:fill="auto"/>
            <w:vAlign w:val="bottom"/>
          </w:tcPr>
          <w:p w14:paraId="5F2CA39F" w14:textId="77777777" w:rsidR="00E836FB" w:rsidRDefault="00E836FB">
            <w:pPr>
              <w:rPr>
                <w:rFonts w:ascii="宋体"/>
                <w:vanish/>
              </w:rPr>
            </w:pPr>
          </w:p>
        </w:tc>
        <w:tc>
          <w:tcPr>
            <w:tcW w:w="0" w:type="auto"/>
            <w:gridSpan w:val="3"/>
            <w:shd w:val="clear" w:color="auto" w:fill="auto"/>
            <w:vAlign w:val="bottom"/>
          </w:tcPr>
          <w:p w14:paraId="5F2CA3A0" w14:textId="77777777" w:rsidR="00E836FB" w:rsidRDefault="00E836FB">
            <w:pPr>
              <w:rPr>
                <w:rFonts w:ascii="宋体"/>
                <w:vanish/>
              </w:rPr>
            </w:pPr>
          </w:p>
        </w:tc>
        <w:tc>
          <w:tcPr>
            <w:tcW w:w="0" w:type="auto"/>
            <w:gridSpan w:val="3"/>
            <w:shd w:val="clear" w:color="auto" w:fill="auto"/>
            <w:vAlign w:val="bottom"/>
          </w:tcPr>
          <w:p w14:paraId="5F2CA3A1" w14:textId="77777777" w:rsidR="00E836FB" w:rsidRDefault="00E836FB">
            <w:pPr>
              <w:rPr>
                <w:rFonts w:ascii="宋体"/>
                <w:vanish/>
              </w:rPr>
            </w:pPr>
          </w:p>
        </w:tc>
      </w:tr>
      <w:tr w:rsidR="00E836FB" w14:paraId="5F2CA3AE" w14:textId="77777777">
        <w:trPr>
          <w:hidden/>
        </w:trPr>
        <w:tc>
          <w:tcPr>
            <w:tcW w:w="0" w:type="auto"/>
            <w:gridSpan w:val="3"/>
            <w:shd w:val="clear" w:color="auto" w:fill="auto"/>
            <w:vAlign w:val="bottom"/>
          </w:tcPr>
          <w:p w14:paraId="5F2CA3A3" w14:textId="77777777" w:rsidR="00E836FB" w:rsidRDefault="00E836FB">
            <w:pPr>
              <w:rPr>
                <w:rFonts w:ascii="宋体"/>
                <w:vanish/>
              </w:rPr>
            </w:pPr>
          </w:p>
        </w:tc>
        <w:tc>
          <w:tcPr>
            <w:tcW w:w="0" w:type="auto"/>
            <w:gridSpan w:val="3"/>
            <w:shd w:val="clear" w:color="auto" w:fill="auto"/>
            <w:vAlign w:val="bottom"/>
          </w:tcPr>
          <w:p w14:paraId="5F2CA3A4" w14:textId="77777777" w:rsidR="00E836FB" w:rsidRDefault="00E836FB">
            <w:pPr>
              <w:rPr>
                <w:rFonts w:ascii="宋体"/>
                <w:vanish/>
              </w:rPr>
            </w:pPr>
          </w:p>
        </w:tc>
        <w:tc>
          <w:tcPr>
            <w:tcW w:w="0" w:type="auto"/>
            <w:gridSpan w:val="3"/>
            <w:shd w:val="clear" w:color="auto" w:fill="auto"/>
            <w:vAlign w:val="bottom"/>
          </w:tcPr>
          <w:p w14:paraId="5F2CA3A5" w14:textId="77777777" w:rsidR="00E836FB" w:rsidRDefault="00E836FB">
            <w:pPr>
              <w:rPr>
                <w:rFonts w:ascii="宋体"/>
                <w:vanish/>
              </w:rPr>
            </w:pPr>
          </w:p>
        </w:tc>
        <w:tc>
          <w:tcPr>
            <w:tcW w:w="0" w:type="auto"/>
            <w:gridSpan w:val="3"/>
            <w:shd w:val="clear" w:color="auto" w:fill="auto"/>
            <w:vAlign w:val="bottom"/>
          </w:tcPr>
          <w:p w14:paraId="5F2CA3A6" w14:textId="77777777" w:rsidR="00E836FB" w:rsidRDefault="00E836FB">
            <w:pPr>
              <w:rPr>
                <w:rFonts w:ascii="宋体"/>
                <w:vanish/>
              </w:rPr>
            </w:pPr>
          </w:p>
        </w:tc>
        <w:tc>
          <w:tcPr>
            <w:tcW w:w="0" w:type="auto"/>
            <w:gridSpan w:val="3"/>
            <w:shd w:val="clear" w:color="auto" w:fill="auto"/>
            <w:vAlign w:val="bottom"/>
          </w:tcPr>
          <w:p w14:paraId="5F2CA3A7" w14:textId="77777777" w:rsidR="00E836FB" w:rsidRDefault="00E836FB">
            <w:pPr>
              <w:rPr>
                <w:rFonts w:ascii="宋体"/>
                <w:vanish/>
              </w:rPr>
            </w:pPr>
          </w:p>
        </w:tc>
        <w:tc>
          <w:tcPr>
            <w:tcW w:w="0" w:type="auto"/>
            <w:gridSpan w:val="3"/>
            <w:shd w:val="clear" w:color="auto" w:fill="auto"/>
            <w:vAlign w:val="bottom"/>
          </w:tcPr>
          <w:p w14:paraId="5F2CA3A8" w14:textId="77777777" w:rsidR="00E836FB" w:rsidRDefault="00E836FB">
            <w:pPr>
              <w:rPr>
                <w:rFonts w:ascii="宋体"/>
                <w:vanish/>
              </w:rPr>
            </w:pPr>
          </w:p>
        </w:tc>
        <w:tc>
          <w:tcPr>
            <w:tcW w:w="0" w:type="auto"/>
            <w:gridSpan w:val="3"/>
            <w:shd w:val="clear" w:color="auto" w:fill="auto"/>
            <w:vAlign w:val="bottom"/>
          </w:tcPr>
          <w:p w14:paraId="5F2CA3A9" w14:textId="77777777" w:rsidR="00E836FB" w:rsidRDefault="00E836FB">
            <w:pPr>
              <w:rPr>
                <w:rFonts w:ascii="宋体"/>
                <w:vanish/>
              </w:rPr>
            </w:pPr>
          </w:p>
        </w:tc>
        <w:tc>
          <w:tcPr>
            <w:tcW w:w="0" w:type="auto"/>
            <w:gridSpan w:val="3"/>
            <w:shd w:val="clear" w:color="auto" w:fill="auto"/>
            <w:vAlign w:val="bottom"/>
          </w:tcPr>
          <w:p w14:paraId="5F2CA3AA" w14:textId="77777777" w:rsidR="00E836FB" w:rsidRDefault="00E836FB">
            <w:pPr>
              <w:rPr>
                <w:rFonts w:ascii="宋体"/>
                <w:vanish/>
              </w:rPr>
            </w:pPr>
          </w:p>
        </w:tc>
        <w:tc>
          <w:tcPr>
            <w:tcW w:w="0" w:type="auto"/>
            <w:gridSpan w:val="3"/>
            <w:shd w:val="clear" w:color="auto" w:fill="auto"/>
            <w:vAlign w:val="bottom"/>
          </w:tcPr>
          <w:p w14:paraId="5F2CA3AB" w14:textId="77777777" w:rsidR="00E836FB" w:rsidRDefault="00E836FB">
            <w:pPr>
              <w:rPr>
                <w:rFonts w:ascii="宋体"/>
                <w:vanish/>
              </w:rPr>
            </w:pPr>
          </w:p>
        </w:tc>
        <w:tc>
          <w:tcPr>
            <w:tcW w:w="0" w:type="auto"/>
            <w:gridSpan w:val="3"/>
            <w:shd w:val="clear" w:color="auto" w:fill="auto"/>
            <w:vAlign w:val="bottom"/>
          </w:tcPr>
          <w:p w14:paraId="5F2CA3AC" w14:textId="77777777" w:rsidR="00E836FB" w:rsidRDefault="00E836FB">
            <w:pPr>
              <w:rPr>
                <w:rFonts w:ascii="宋体"/>
                <w:vanish/>
              </w:rPr>
            </w:pPr>
          </w:p>
        </w:tc>
        <w:tc>
          <w:tcPr>
            <w:tcW w:w="0" w:type="auto"/>
            <w:gridSpan w:val="3"/>
            <w:shd w:val="clear" w:color="auto" w:fill="auto"/>
            <w:vAlign w:val="bottom"/>
          </w:tcPr>
          <w:p w14:paraId="5F2CA3AD" w14:textId="77777777" w:rsidR="00E836FB" w:rsidRDefault="00E836FB">
            <w:pPr>
              <w:rPr>
                <w:rFonts w:ascii="宋体"/>
                <w:vanish/>
              </w:rPr>
            </w:pPr>
          </w:p>
        </w:tc>
      </w:tr>
      <w:tr w:rsidR="00E836FB" w14:paraId="5F2CA3BA" w14:textId="77777777">
        <w:trPr>
          <w:hidden/>
        </w:trPr>
        <w:tc>
          <w:tcPr>
            <w:tcW w:w="0" w:type="auto"/>
            <w:gridSpan w:val="3"/>
            <w:shd w:val="clear" w:color="auto" w:fill="auto"/>
            <w:vAlign w:val="bottom"/>
          </w:tcPr>
          <w:p w14:paraId="5F2CA3AF" w14:textId="77777777" w:rsidR="00E836FB" w:rsidRDefault="00E836FB">
            <w:pPr>
              <w:rPr>
                <w:rFonts w:ascii="宋体"/>
                <w:vanish/>
              </w:rPr>
            </w:pPr>
          </w:p>
        </w:tc>
        <w:tc>
          <w:tcPr>
            <w:tcW w:w="0" w:type="auto"/>
            <w:gridSpan w:val="3"/>
            <w:shd w:val="clear" w:color="auto" w:fill="auto"/>
            <w:vAlign w:val="bottom"/>
          </w:tcPr>
          <w:p w14:paraId="5F2CA3B0" w14:textId="77777777" w:rsidR="00E836FB" w:rsidRDefault="00E836FB">
            <w:pPr>
              <w:rPr>
                <w:rFonts w:ascii="宋体"/>
                <w:vanish/>
              </w:rPr>
            </w:pPr>
          </w:p>
        </w:tc>
        <w:tc>
          <w:tcPr>
            <w:tcW w:w="0" w:type="auto"/>
            <w:gridSpan w:val="3"/>
            <w:shd w:val="clear" w:color="auto" w:fill="auto"/>
            <w:vAlign w:val="bottom"/>
          </w:tcPr>
          <w:p w14:paraId="5F2CA3B1" w14:textId="77777777" w:rsidR="00E836FB" w:rsidRDefault="00E836FB">
            <w:pPr>
              <w:rPr>
                <w:rFonts w:ascii="宋体"/>
                <w:vanish/>
              </w:rPr>
            </w:pPr>
          </w:p>
        </w:tc>
        <w:tc>
          <w:tcPr>
            <w:tcW w:w="0" w:type="auto"/>
            <w:gridSpan w:val="3"/>
            <w:shd w:val="clear" w:color="auto" w:fill="auto"/>
            <w:vAlign w:val="bottom"/>
          </w:tcPr>
          <w:p w14:paraId="5F2CA3B2" w14:textId="77777777" w:rsidR="00E836FB" w:rsidRDefault="00E836FB">
            <w:pPr>
              <w:rPr>
                <w:rFonts w:ascii="宋体"/>
                <w:vanish/>
              </w:rPr>
            </w:pPr>
          </w:p>
        </w:tc>
        <w:tc>
          <w:tcPr>
            <w:tcW w:w="0" w:type="auto"/>
            <w:gridSpan w:val="3"/>
            <w:shd w:val="clear" w:color="auto" w:fill="auto"/>
            <w:vAlign w:val="bottom"/>
          </w:tcPr>
          <w:p w14:paraId="5F2CA3B3" w14:textId="77777777" w:rsidR="00E836FB" w:rsidRDefault="00E836FB">
            <w:pPr>
              <w:rPr>
                <w:rFonts w:ascii="宋体"/>
                <w:vanish/>
              </w:rPr>
            </w:pPr>
          </w:p>
        </w:tc>
        <w:tc>
          <w:tcPr>
            <w:tcW w:w="0" w:type="auto"/>
            <w:gridSpan w:val="3"/>
            <w:shd w:val="clear" w:color="auto" w:fill="auto"/>
            <w:vAlign w:val="bottom"/>
          </w:tcPr>
          <w:p w14:paraId="5F2CA3B4" w14:textId="77777777" w:rsidR="00E836FB" w:rsidRDefault="00E836FB">
            <w:pPr>
              <w:rPr>
                <w:rFonts w:ascii="宋体"/>
                <w:vanish/>
              </w:rPr>
            </w:pPr>
          </w:p>
        </w:tc>
        <w:tc>
          <w:tcPr>
            <w:tcW w:w="0" w:type="auto"/>
            <w:gridSpan w:val="3"/>
            <w:shd w:val="clear" w:color="auto" w:fill="auto"/>
            <w:vAlign w:val="bottom"/>
          </w:tcPr>
          <w:p w14:paraId="5F2CA3B5" w14:textId="77777777" w:rsidR="00E836FB" w:rsidRDefault="00E836FB">
            <w:pPr>
              <w:rPr>
                <w:rFonts w:ascii="宋体"/>
                <w:vanish/>
              </w:rPr>
            </w:pPr>
          </w:p>
        </w:tc>
        <w:tc>
          <w:tcPr>
            <w:tcW w:w="0" w:type="auto"/>
            <w:gridSpan w:val="3"/>
            <w:shd w:val="clear" w:color="auto" w:fill="auto"/>
            <w:vAlign w:val="bottom"/>
          </w:tcPr>
          <w:p w14:paraId="5F2CA3B6" w14:textId="77777777" w:rsidR="00E836FB" w:rsidRDefault="00E836FB">
            <w:pPr>
              <w:rPr>
                <w:rFonts w:ascii="宋体"/>
                <w:vanish/>
              </w:rPr>
            </w:pPr>
          </w:p>
        </w:tc>
        <w:tc>
          <w:tcPr>
            <w:tcW w:w="0" w:type="auto"/>
            <w:gridSpan w:val="3"/>
            <w:shd w:val="clear" w:color="auto" w:fill="auto"/>
            <w:vAlign w:val="bottom"/>
          </w:tcPr>
          <w:p w14:paraId="5F2CA3B7" w14:textId="77777777" w:rsidR="00E836FB" w:rsidRDefault="00E836FB">
            <w:pPr>
              <w:rPr>
                <w:rFonts w:ascii="宋体"/>
                <w:vanish/>
              </w:rPr>
            </w:pPr>
          </w:p>
        </w:tc>
        <w:tc>
          <w:tcPr>
            <w:tcW w:w="0" w:type="auto"/>
            <w:gridSpan w:val="3"/>
            <w:shd w:val="clear" w:color="auto" w:fill="auto"/>
            <w:vAlign w:val="bottom"/>
          </w:tcPr>
          <w:p w14:paraId="5F2CA3B8" w14:textId="77777777" w:rsidR="00E836FB" w:rsidRDefault="00E836FB">
            <w:pPr>
              <w:rPr>
                <w:rFonts w:ascii="宋体"/>
                <w:vanish/>
              </w:rPr>
            </w:pPr>
          </w:p>
        </w:tc>
        <w:tc>
          <w:tcPr>
            <w:tcW w:w="0" w:type="auto"/>
            <w:gridSpan w:val="3"/>
            <w:shd w:val="clear" w:color="auto" w:fill="auto"/>
            <w:vAlign w:val="bottom"/>
          </w:tcPr>
          <w:p w14:paraId="5F2CA3B9" w14:textId="77777777" w:rsidR="00E836FB" w:rsidRDefault="00E836FB">
            <w:pPr>
              <w:rPr>
                <w:rFonts w:ascii="宋体"/>
                <w:vanish/>
              </w:rPr>
            </w:pPr>
          </w:p>
        </w:tc>
      </w:tr>
      <w:tr w:rsidR="00E836FB" w14:paraId="5F2CA3C6" w14:textId="77777777">
        <w:trPr>
          <w:hidden/>
        </w:trPr>
        <w:tc>
          <w:tcPr>
            <w:tcW w:w="0" w:type="auto"/>
            <w:gridSpan w:val="3"/>
            <w:shd w:val="clear" w:color="auto" w:fill="auto"/>
            <w:vAlign w:val="bottom"/>
          </w:tcPr>
          <w:p w14:paraId="5F2CA3BB" w14:textId="77777777" w:rsidR="00E836FB" w:rsidRDefault="00E836FB">
            <w:pPr>
              <w:rPr>
                <w:rFonts w:ascii="宋体"/>
                <w:vanish/>
              </w:rPr>
            </w:pPr>
          </w:p>
        </w:tc>
        <w:tc>
          <w:tcPr>
            <w:tcW w:w="0" w:type="auto"/>
            <w:gridSpan w:val="3"/>
            <w:shd w:val="clear" w:color="auto" w:fill="auto"/>
            <w:vAlign w:val="bottom"/>
          </w:tcPr>
          <w:p w14:paraId="5F2CA3BC" w14:textId="77777777" w:rsidR="00E836FB" w:rsidRDefault="00E836FB">
            <w:pPr>
              <w:rPr>
                <w:rFonts w:ascii="宋体"/>
                <w:vanish/>
              </w:rPr>
            </w:pPr>
          </w:p>
        </w:tc>
        <w:tc>
          <w:tcPr>
            <w:tcW w:w="0" w:type="auto"/>
            <w:gridSpan w:val="3"/>
            <w:shd w:val="clear" w:color="auto" w:fill="auto"/>
            <w:vAlign w:val="bottom"/>
          </w:tcPr>
          <w:p w14:paraId="5F2CA3BD" w14:textId="77777777" w:rsidR="00E836FB" w:rsidRDefault="00E836FB">
            <w:pPr>
              <w:rPr>
                <w:rFonts w:ascii="宋体"/>
                <w:vanish/>
              </w:rPr>
            </w:pPr>
          </w:p>
        </w:tc>
        <w:tc>
          <w:tcPr>
            <w:tcW w:w="0" w:type="auto"/>
            <w:gridSpan w:val="3"/>
            <w:shd w:val="clear" w:color="auto" w:fill="auto"/>
            <w:vAlign w:val="bottom"/>
          </w:tcPr>
          <w:p w14:paraId="5F2CA3BE" w14:textId="77777777" w:rsidR="00E836FB" w:rsidRDefault="00E836FB">
            <w:pPr>
              <w:rPr>
                <w:rFonts w:ascii="宋体"/>
                <w:vanish/>
              </w:rPr>
            </w:pPr>
          </w:p>
        </w:tc>
        <w:tc>
          <w:tcPr>
            <w:tcW w:w="0" w:type="auto"/>
            <w:gridSpan w:val="3"/>
            <w:shd w:val="clear" w:color="auto" w:fill="auto"/>
            <w:vAlign w:val="bottom"/>
          </w:tcPr>
          <w:p w14:paraId="5F2CA3BF" w14:textId="77777777" w:rsidR="00E836FB" w:rsidRDefault="00E836FB">
            <w:pPr>
              <w:rPr>
                <w:rFonts w:ascii="宋体"/>
                <w:vanish/>
              </w:rPr>
            </w:pPr>
          </w:p>
        </w:tc>
        <w:tc>
          <w:tcPr>
            <w:tcW w:w="0" w:type="auto"/>
            <w:gridSpan w:val="3"/>
            <w:shd w:val="clear" w:color="auto" w:fill="auto"/>
            <w:vAlign w:val="bottom"/>
          </w:tcPr>
          <w:p w14:paraId="5F2CA3C0" w14:textId="77777777" w:rsidR="00E836FB" w:rsidRDefault="00E836FB">
            <w:pPr>
              <w:rPr>
                <w:rFonts w:ascii="宋体"/>
                <w:vanish/>
              </w:rPr>
            </w:pPr>
          </w:p>
        </w:tc>
        <w:tc>
          <w:tcPr>
            <w:tcW w:w="0" w:type="auto"/>
            <w:gridSpan w:val="3"/>
            <w:shd w:val="clear" w:color="auto" w:fill="auto"/>
            <w:vAlign w:val="bottom"/>
          </w:tcPr>
          <w:p w14:paraId="5F2CA3C1" w14:textId="77777777" w:rsidR="00E836FB" w:rsidRDefault="00E836FB">
            <w:pPr>
              <w:rPr>
                <w:rFonts w:ascii="宋体"/>
                <w:vanish/>
              </w:rPr>
            </w:pPr>
          </w:p>
        </w:tc>
        <w:tc>
          <w:tcPr>
            <w:tcW w:w="0" w:type="auto"/>
            <w:gridSpan w:val="3"/>
            <w:shd w:val="clear" w:color="auto" w:fill="auto"/>
            <w:vAlign w:val="bottom"/>
          </w:tcPr>
          <w:p w14:paraId="5F2CA3C2" w14:textId="77777777" w:rsidR="00E836FB" w:rsidRDefault="00E836FB">
            <w:pPr>
              <w:rPr>
                <w:rFonts w:ascii="宋体"/>
                <w:vanish/>
              </w:rPr>
            </w:pPr>
          </w:p>
        </w:tc>
        <w:tc>
          <w:tcPr>
            <w:tcW w:w="0" w:type="auto"/>
            <w:gridSpan w:val="3"/>
            <w:shd w:val="clear" w:color="auto" w:fill="auto"/>
            <w:vAlign w:val="bottom"/>
          </w:tcPr>
          <w:p w14:paraId="5F2CA3C3" w14:textId="77777777" w:rsidR="00E836FB" w:rsidRDefault="00E836FB">
            <w:pPr>
              <w:rPr>
                <w:rFonts w:ascii="宋体"/>
                <w:vanish/>
              </w:rPr>
            </w:pPr>
          </w:p>
        </w:tc>
        <w:tc>
          <w:tcPr>
            <w:tcW w:w="0" w:type="auto"/>
            <w:gridSpan w:val="3"/>
            <w:shd w:val="clear" w:color="auto" w:fill="auto"/>
            <w:vAlign w:val="bottom"/>
          </w:tcPr>
          <w:p w14:paraId="5F2CA3C4" w14:textId="77777777" w:rsidR="00E836FB" w:rsidRDefault="00E836FB">
            <w:pPr>
              <w:rPr>
                <w:rFonts w:ascii="宋体"/>
                <w:vanish/>
              </w:rPr>
            </w:pPr>
          </w:p>
        </w:tc>
        <w:tc>
          <w:tcPr>
            <w:tcW w:w="0" w:type="auto"/>
            <w:gridSpan w:val="3"/>
            <w:shd w:val="clear" w:color="auto" w:fill="auto"/>
            <w:vAlign w:val="bottom"/>
          </w:tcPr>
          <w:p w14:paraId="5F2CA3C5" w14:textId="77777777" w:rsidR="00E836FB" w:rsidRDefault="00E836FB">
            <w:pPr>
              <w:rPr>
                <w:rFonts w:ascii="宋体"/>
                <w:vanish/>
              </w:rPr>
            </w:pPr>
          </w:p>
        </w:tc>
      </w:tr>
      <w:tr w:rsidR="00E836FB" w14:paraId="5F2CA3D2" w14:textId="77777777">
        <w:trPr>
          <w:hidden/>
        </w:trPr>
        <w:tc>
          <w:tcPr>
            <w:tcW w:w="0" w:type="auto"/>
            <w:gridSpan w:val="3"/>
            <w:shd w:val="clear" w:color="auto" w:fill="auto"/>
            <w:vAlign w:val="bottom"/>
          </w:tcPr>
          <w:p w14:paraId="5F2CA3C7" w14:textId="77777777" w:rsidR="00E836FB" w:rsidRDefault="00E836FB">
            <w:pPr>
              <w:rPr>
                <w:rFonts w:ascii="宋体"/>
                <w:vanish/>
              </w:rPr>
            </w:pPr>
          </w:p>
        </w:tc>
        <w:tc>
          <w:tcPr>
            <w:tcW w:w="0" w:type="auto"/>
            <w:gridSpan w:val="3"/>
            <w:shd w:val="clear" w:color="auto" w:fill="auto"/>
            <w:vAlign w:val="bottom"/>
          </w:tcPr>
          <w:p w14:paraId="5F2CA3C8" w14:textId="77777777" w:rsidR="00E836FB" w:rsidRDefault="00E836FB">
            <w:pPr>
              <w:rPr>
                <w:rFonts w:ascii="宋体"/>
                <w:vanish/>
              </w:rPr>
            </w:pPr>
          </w:p>
        </w:tc>
        <w:tc>
          <w:tcPr>
            <w:tcW w:w="0" w:type="auto"/>
            <w:gridSpan w:val="3"/>
            <w:shd w:val="clear" w:color="auto" w:fill="auto"/>
            <w:vAlign w:val="bottom"/>
          </w:tcPr>
          <w:p w14:paraId="5F2CA3C9" w14:textId="77777777" w:rsidR="00E836FB" w:rsidRDefault="00E836FB">
            <w:pPr>
              <w:rPr>
                <w:rFonts w:ascii="宋体"/>
                <w:vanish/>
              </w:rPr>
            </w:pPr>
          </w:p>
        </w:tc>
        <w:tc>
          <w:tcPr>
            <w:tcW w:w="0" w:type="auto"/>
            <w:gridSpan w:val="3"/>
            <w:shd w:val="clear" w:color="auto" w:fill="auto"/>
            <w:vAlign w:val="bottom"/>
          </w:tcPr>
          <w:p w14:paraId="5F2CA3CA" w14:textId="77777777" w:rsidR="00E836FB" w:rsidRDefault="00E836FB">
            <w:pPr>
              <w:rPr>
                <w:rFonts w:ascii="宋体"/>
                <w:vanish/>
              </w:rPr>
            </w:pPr>
          </w:p>
        </w:tc>
        <w:tc>
          <w:tcPr>
            <w:tcW w:w="0" w:type="auto"/>
            <w:gridSpan w:val="3"/>
            <w:shd w:val="clear" w:color="auto" w:fill="auto"/>
            <w:vAlign w:val="bottom"/>
          </w:tcPr>
          <w:p w14:paraId="5F2CA3CB" w14:textId="77777777" w:rsidR="00E836FB" w:rsidRDefault="00E836FB">
            <w:pPr>
              <w:rPr>
                <w:rFonts w:ascii="宋体"/>
                <w:vanish/>
              </w:rPr>
            </w:pPr>
          </w:p>
        </w:tc>
        <w:tc>
          <w:tcPr>
            <w:tcW w:w="0" w:type="auto"/>
            <w:gridSpan w:val="3"/>
            <w:shd w:val="clear" w:color="auto" w:fill="auto"/>
            <w:vAlign w:val="bottom"/>
          </w:tcPr>
          <w:p w14:paraId="5F2CA3CC" w14:textId="77777777" w:rsidR="00E836FB" w:rsidRDefault="00E836FB">
            <w:pPr>
              <w:rPr>
                <w:rFonts w:ascii="宋体"/>
                <w:vanish/>
              </w:rPr>
            </w:pPr>
          </w:p>
        </w:tc>
        <w:tc>
          <w:tcPr>
            <w:tcW w:w="0" w:type="auto"/>
            <w:gridSpan w:val="3"/>
            <w:shd w:val="clear" w:color="auto" w:fill="auto"/>
            <w:vAlign w:val="bottom"/>
          </w:tcPr>
          <w:p w14:paraId="5F2CA3CD" w14:textId="77777777" w:rsidR="00E836FB" w:rsidRDefault="00E836FB">
            <w:pPr>
              <w:rPr>
                <w:rFonts w:ascii="宋体"/>
                <w:vanish/>
              </w:rPr>
            </w:pPr>
          </w:p>
        </w:tc>
        <w:tc>
          <w:tcPr>
            <w:tcW w:w="0" w:type="auto"/>
            <w:gridSpan w:val="3"/>
            <w:shd w:val="clear" w:color="auto" w:fill="auto"/>
            <w:vAlign w:val="bottom"/>
          </w:tcPr>
          <w:p w14:paraId="5F2CA3CE" w14:textId="77777777" w:rsidR="00E836FB" w:rsidRDefault="00E836FB">
            <w:pPr>
              <w:rPr>
                <w:rFonts w:ascii="宋体"/>
                <w:vanish/>
              </w:rPr>
            </w:pPr>
          </w:p>
        </w:tc>
        <w:tc>
          <w:tcPr>
            <w:tcW w:w="0" w:type="auto"/>
            <w:gridSpan w:val="3"/>
            <w:shd w:val="clear" w:color="auto" w:fill="auto"/>
            <w:vAlign w:val="bottom"/>
          </w:tcPr>
          <w:p w14:paraId="5F2CA3CF" w14:textId="77777777" w:rsidR="00E836FB" w:rsidRDefault="00E836FB">
            <w:pPr>
              <w:rPr>
                <w:rFonts w:ascii="宋体"/>
                <w:vanish/>
              </w:rPr>
            </w:pPr>
          </w:p>
        </w:tc>
        <w:tc>
          <w:tcPr>
            <w:tcW w:w="0" w:type="auto"/>
            <w:gridSpan w:val="3"/>
            <w:shd w:val="clear" w:color="auto" w:fill="auto"/>
            <w:vAlign w:val="bottom"/>
          </w:tcPr>
          <w:p w14:paraId="5F2CA3D0" w14:textId="77777777" w:rsidR="00E836FB" w:rsidRDefault="00E836FB">
            <w:pPr>
              <w:rPr>
                <w:rFonts w:ascii="宋体"/>
                <w:vanish/>
              </w:rPr>
            </w:pPr>
          </w:p>
        </w:tc>
        <w:tc>
          <w:tcPr>
            <w:tcW w:w="0" w:type="auto"/>
            <w:gridSpan w:val="3"/>
            <w:shd w:val="clear" w:color="auto" w:fill="auto"/>
            <w:vAlign w:val="bottom"/>
          </w:tcPr>
          <w:p w14:paraId="5F2CA3D1" w14:textId="77777777" w:rsidR="00E836FB" w:rsidRDefault="00E836FB">
            <w:pPr>
              <w:rPr>
                <w:rFonts w:ascii="宋体"/>
                <w:vanish/>
              </w:rPr>
            </w:pPr>
          </w:p>
        </w:tc>
      </w:tr>
      <w:tr w:rsidR="00E836FB" w14:paraId="5F2CA3DE" w14:textId="77777777">
        <w:trPr>
          <w:hidden/>
        </w:trPr>
        <w:tc>
          <w:tcPr>
            <w:tcW w:w="0" w:type="auto"/>
            <w:gridSpan w:val="3"/>
            <w:shd w:val="clear" w:color="auto" w:fill="auto"/>
            <w:vAlign w:val="bottom"/>
          </w:tcPr>
          <w:p w14:paraId="5F2CA3D3" w14:textId="77777777" w:rsidR="00E836FB" w:rsidRDefault="00E836FB">
            <w:pPr>
              <w:rPr>
                <w:rFonts w:ascii="宋体"/>
                <w:vanish/>
              </w:rPr>
            </w:pPr>
          </w:p>
        </w:tc>
        <w:tc>
          <w:tcPr>
            <w:tcW w:w="0" w:type="auto"/>
            <w:gridSpan w:val="3"/>
            <w:shd w:val="clear" w:color="auto" w:fill="auto"/>
            <w:vAlign w:val="bottom"/>
          </w:tcPr>
          <w:p w14:paraId="5F2CA3D4" w14:textId="77777777" w:rsidR="00E836FB" w:rsidRDefault="00E836FB">
            <w:pPr>
              <w:rPr>
                <w:rFonts w:ascii="宋体"/>
                <w:vanish/>
              </w:rPr>
            </w:pPr>
          </w:p>
        </w:tc>
        <w:tc>
          <w:tcPr>
            <w:tcW w:w="0" w:type="auto"/>
            <w:gridSpan w:val="3"/>
            <w:shd w:val="clear" w:color="auto" w:fill="auto"/>
            <w:vAlign w:val="bottom"/>
          </w:tcPr>
          <w:p w14:paraId="5F2CA3D5" w14:textId="77777777" w:rsidR="00E836FB" w:rsidRDefault="00E836FB">
            <w:pPr>
              <w:rPr>
                <w:rFonts w:ascii="宋体"/>
                <w:vanish/>
              </w:rPr>
            </w:pPr>
          </w:p>
        </w:tc>
        <w:tc>
          <w:tcPr>
            <w:tcW w:w="0" w:type="auto"/>
            <w:gridSpan w:val="3"/>
            <w:shd w:val="clear" w:color="auto" w:fill="auto"/>
            <w:vAlign w:val="bottom"/>
          </w:tcPr>
          <w:p w14:paraId="5F2CA3D6" w14:textId="77777777" w:rsidR="00E836FB" w:rsidRDefault="00E836FB">
            <w:pPr>
              <w:rPr>
                <w:rFonts w:ascii="宋体"/>
                <w:vanish/>
              </w:rPr>
            </w:pPr>
          </w:p>
        </w:tc>
        <w:tc>
          <w:tcPr>
            <w:tcW w:w="0" w:type="auto"/>
            <w:gridSpan w:val="3"/>
            <w:shd w:val="clear" w:color="auto" w:fill="auto"/>
            <w:vAlign w:val="bottom"/>
          </w:tcPr>
          <w:p w14:paraId="5F2CA3D7" w14:textId="77777777" w:rsidR="00E836FB" w:rsidRDefault="00E836FB">
            <w:pPr>
              <w:rPr>
                <w:rFonts w:ascii="宋体"/>
                <w:vanish/>
              </w:rPr>
            </w:pPr>
          </w:p>
        </w:tc>
        <w:tc>
          <w:tcPr>
            <w:tcW w:w="0" w:type="auto"/>
            <w:gridSpan w:val="3"/>
            <w:shd w:val="clear" w:color="auto" w:fill="auto"/>
            <w:vAlign w:val="bottom"/>
          </w:tcPr>
          <w:p w14:paraId="5F2CA3D8" w14:textId="77777777" w:rsidR="00E836FB" w:rsidRDefault="00E836FB">
            <w:pPr>
              <w:rPr>
                <w:rFonts w:ascii="宋体"/>
                <w:vanish/>
              </w:rPr>
            </w:pPr>
          </w:p>
        </w:tc>
        <w:tc>
          <w:tcPr>
            <w:tcW w:w="0" w:type="auto"/>
            <w:gridSpan w:val="3"/>
            <w:shd w:val="clear" w:color="auto" w:fill="auto"/>
            <w:vAlign w:val="bottom"/>
          </w:tcPr>
          <w:p w14:paraId="5F2CA3D9" w14:textId="77777777" w:rsidR="00E836FB" w:rsidRDefault="00E836FB">
            <w:pPr>
              <w:rPr>
                <w:rFonts w:ascii="宋体"/>
                <w:vanish/>
              </w:rPr>
            </w:pPr>
          </w:p>
        </w:tc>
        <w:tc>
          <w:tcPr>
            <w:tcW w:w="0" w:type="auto"/>
            <w:gridSpan w:val="3"/>
            <w:shd w:val="clear" w:color="auto" w:fill="auto"/>
            <w:vAlign w:val="bottom"/>
          </w:tcPr>
          <w:p w14:paraId="5F2CA3DA" w14:textId="77777777" w:rsidR="00E836FB" w:rsidRDefault="00E836FB">
            <w:pPr>
              <w:rPr>
                <w:rFonts w:ascii="宋体"/>
                <w:vanish/>
              </w:rPr>
            </w:pPr>
          </w:p>
        </w:tc>
        <w:tc>
          <w:tcPr>
            <w:tcW w:w="0" w:type="auto"/>
            <w:gridSpan w:val="3"/>
            <w:shd w:val="clear" w:color="auto" w:fill="auto"/>
            <w:vAlign w:val="bottom"/>
          </w:tcPr>
          <w:p w14:paraId="5F2CA3DB" w14:textId="77777777" w:rsidR="00E836FB" w:rsidRDefault="00E836FB">
            <w:pPr>
              <w:rPr>
                <w:rFonts w:ascii="宋体"/>
                <w:vanish/>
              </w:rPr>
            </w:pPr>
          </w:p>
        </w:tc>
        <w:tc>
          <w:tcPr>
            <w:tcW w:w="0" w:type="auto"/>
            <w:gridSpan w:val="3"/>
            <w:shd w:val="clear" w:color="auto" w:fill="auto"/>
            <w:vAlign w:val="bottom"/>
          </w:tcPr>
          <w:p w14:paraId="5F2CA3DC" w14:textId="77777777" w:rsidR="00E836FB" w:rsidRDefault="00E836FB">
            <w:pPr>
              <w:rPr>
                <w:rFonts w:ascii="宋体"/>
                <w:vanish/>
              </w:rPr>
            </w:pPr>
          </w:p>
        </w:tc>
        <w:tc>
          <w:tcPr>
            <w:tcW w:w="0" w:type="auto"/>
            <w:gridSpan w:val="3"/>
            <w:shd w:val="clear" w:color="auto" w:fill="auto"/>
            <w:vAlign w:val="bottom"/>
          </w:tcPr>
          <w:p w14:paraId="5F2CA3DD" w14:textId="77777777" w:rsidR="00E836FB" w:rsidRDefault="00E836FB">
            <w:pPr>
              <w:rPr>
                <w:rFonts w:ascii="宋体"/>
                <w:vanish/>
              </w:rPr>
            </w:pPr>
          </w:p>
        </w:tc>
      </w:tr>
      <w:tr w:rsidR="00E836FB" w14:paraId="5F2CA3EA" w14:textId="77777777">
        <w:trPr>
          <w:hidden/>
        </w:trPr>
        <w:tc>
          <w:tcPr>
            <w:tcW w:w="0" w:type="auto"/>
            <w:gridSpan w:val="3"/>
            <w:shd w:val="clear" w:color="auto" w:fill="auto"/>
            <w:vAlign w:val="bottom"/>
          </w:tcPr>
          <w:p w14:paraId="5F2CA3DF" w14:textId="77777777" w:rsidR="00E836FB" w:rsidRDefault="00E836FB">
            <w:pPr>
              <w:rPr>
                <w:rFonts w:ascii="宋体"/>
                <w:vanish/>
              </w:rPr>
            </w:pPr>
          </w:p>
        </w:tc>
        <w:tc>
          <w:tcPr>
            <w:tcW w:w="0" w:type="auto"/>
            <w:gridSpan w:val="3"/>
            <w:shd w:val="clear" w:color="auto" w:fill="auto"/>
            <w:vAlign w:val="bottom"/>
          </w:tcPr>
          <w:p w14:paraId="5F2CA3E0" w14:textId="77777777" w:rsidR="00E836FB" w:rsidRDefault="00E836FB">
            <w:pPr>
              <w:rPr>
                <w:rFonts w:ascii="宋体"/>
                <w:vanish/>
              </w:rPr>
            </w:pPr>
          </w:p>
        </w:tc>
        <w:tc>
          <w:tcPr>
            <w:tcW w:w="0" w:type="auto"/>
            <w:gridSpan w:val="3"/>
            <w:shd w:val="clear" w:color="auto" w:fill="auto"/>
            <w:vAlign w:val="bottom"/>
          </w:tcPr>
          <w:p w14:paraId="5F2CA3E1" w14:textId="77777777" w:rsidR="00E836FB" w:rsidRDefault="00E836FB">
            <w:pPr>
              <w:rPr>
                <w:rFonts w:ascii="宋体"/>
                <w:vanish/>
              </w:rPr>
            </w:pPr>
          </w:p>
        </w:tc>
        <w:tc>
          <w:tcPr>
            <w:tcW w:w="0" w:type="auto"/>
            <w:gridSpan w:val="3"/>
            <w:shd w:val="clear" w:color="auto" w:fill="auto"/>
            <w:vAlign w:val="bottom"/>
          </w:tcPr>
          <w:p w14:paraId="5F2CA3E2" w14:textId="77777777" w:rsidR="00E836FB" w:rsidRDefault="00E836FB">
            <w:pPr>
              <w:rPr>
                <w:rFonts w:ascii="宋体"/>
                <w:vanish/>
              </w:rPr>
            </w:pPr>
          </w:p>
        </w:tc>
        <w:tc>
          <w:tcPr>
            <w:tcW w:w="0" w:type="auto"/>
            <w:gridSpan w:val="3"/>
            <w:shd w:val="clear" w:color="auto" w:fill="auto"/>
            <w:vAlign w:val="bottom"/>
          </w:tcPr>
          <w:p w14:paraId="5F2CA3E3" w14:textId="77777777" w:rsidR="00E836FB" w:rsidRDefault="00E836FB">
            <w:pPr>
              <w:rPr>
                <w:rFonts w:ascii="宋体"/>
                <w:vanish/>
              </w:rPr>
            </w:pPr>
          </w:p>
        </w:tc>
        <w:tc>
          <w:tcPr>
            <w:tcW w:w="0" w:type="auto"/>
            <w:gridSpan w:val="3"/>
            <w:shd w:val="clear" w:color="auto" w:fill="auto"/>
            <w:vAlign w:val="bottom"/>
          </w:tcPr>
          <w:p w14:paraId="5F2CA3E4" w14:textId="77777777" w:rsidR="00E836FB" w:rsidRDefault="00E836FB">
            <w:pPr>
              <w:rPr>
                <w:rFonts w:ascii="宋体"/>
                <w:vanish/>
              </w:rPr>
            </w:pPr>
          </w:p>
        </w:tc>
        <w:tc>
          <w:tcPr>
            <w:tcW w:w="0" w:type="auto"/>
            <w:gridSpan w:val="3"/>
            <w:shd w:val="clear" w:color="auto" w:fill="auto"/>
            <w:vAlign w:val="bottom"/>
          </w:tcPr>
          <w:p w14:paraId="5F2CA3E5" w14:textId="77777777" w:rsidR="00E836FB" w:rsidRDefault="00E836FB">
            <w:pPr>
              <w:rPr>
                <w:rFonts w:ascii="宋体"/>
                <w:vanish/>
              </w:rPr>
            </w:pPr>
          </w:p>
        </w:tc>
        <w:tc>
          <w:tcPr>
            <w:tcW w:w="0" w:type="auto"/>
            <w:gridSpan w:val="3"/>
            <w:shd w:val="clear" w:color="auto" w:fill="auto"/>
            <w:vAlign w:val="bottom"/>
          </w:tcPr>
          <w:p w14:paraId="5F2CA3E6" w14:textId="77777777" w:rsidR="00E836FB" w:rsidRDefault="00E836FB">
            <w:pPr>
              <w:rPr>
                <w:rFonts w:ascii="宋体"/>
                <w:vanish/>
              </w:rPr>
            </w:pPr>
          </w:p>
        </w:tc>
        <w:tc>
          <w:tcPr>
            <w:tcW w:w="0" w:type="auto"/>
            <w:gridSpan w:val="3"/>
            <w:shd w:val="clear" w:color="auto" w:fill="auto"/>
            <w:vAlign w:val="bottom"/>
          </w:tcPr>
          <w:p w14:paraId="5F2CA3E7" w14:textId="77777777" w:rsidR="00E836FB" w:rsidRDefault="00E836FB">
            <w:pPr>
              <w:rPr>
                <w:rFonts w:ascii="宋体"/>
                <w:vanish/>
              </w:rPr>
            </w:pPr>
          </w:p>
        </w:tc>
        <w:tc>
          <w:tcPr>
            <w:tcW w:w="0" w:type="auto"/>
            <w:gridSpan w:val="3"/>
            <w:shd w:val="clear" w:color="auto" w:fill="auto"/>
            <w:vAlign w:val="bottom"/>
          </w:tcPr>
          <w:p w14:paraId="5F2CA3E8" w14:textId="77777777" w:rsidR="00E836FB" w:rsidRDefault="00E836FB">
            <w:pPr>
              <w:rPr>
                <w:rFonts w:ascii="宋体"/>
                <w:vanish/>
              </w:rPr>
            </w:pPr>
          </w:p>
        </w:tc>
        <w:tc>
          <w:tcPr>
            <w:tcW w:w="0" w:type="auto"/>
            <w:gridSpan w:val="3"/>
            <w:shd w:val="clear" w:color="auto" w:fill="auto"/>
            <w:vAlign w:val="bottom"/>
          </w:tcPr>
          <w:p w14:paraId="5F2CA3E9" w14:textId="77777777" w:rsidR="00E836FB" w:rsidRDefault="00E836FB">
            <w:pPr>
              <w:rPr>
                <w:rFonts w:ascii="宋体"/>
                <w:vanish/>
              </w:rPr>
            </w:pPr>
          </w:p>
        </w:tc>
      </w:tr>
      <w:tr w:rsidR="00E836FB" w14:paraId="5F2CA3F6" w14:textId="77777777">
        <w:trPr>
          <w:hidden/>
        </w:trPr>
        <w:tc>
          <w:tcPr>
            <w:tcW w:w="0" w:type="auto"/>
            <w:gridSpan w:val="3"/>
            <w:shd w:val="clear" w:color="auto" w:fill="auto"/>
            <w:vAlign w:val="bottom"/>
          </w:tcPr>
          <w:p w14:paraId="5F2CA3EB" w14:textId="77777777" w:rsidR="00E836FB" w:rsidRDefault="00E836FB">
            <w:pPr>
              <w:rPr>
                <w:rFonts w:ascii="宋体"/>
                <w:vanish/>
              </w:rPr>
            </w:pPr>
          </w:p>
        </w:tc>
        <w:tc>
          <w:tcPr>
            <w:tcW w:w="0" w:type="auto"/>
            <w:gridSpan w:val="3"/>
            <w:shd w:val="clear" w:color="auto" w:fill="auto"/>
            <w:vAlign w:val="bottom"/>
          </w:tcPr>
          <w:p w14:paraId="5F2CA3EC" w14:textId="77777777" w:rsidR="00E836FB" w:rsidRDefault="00E836FB">
            <w:pPr>
              <w:rPr>
                <w:rFonts w:ascii="宋体"/>
                <w:vanish/>
              </w:rPr>
            </w:pPr>
          </w:p>
        </w:tc>
        <w:tc>
          <w:tcPr>
            <w:tcW w:w="0" w:type="auto"/>
            <w:gridSpan w:val="3"/>
            <w:shd w:val="clear" w:color="auto" w:fill="auto"/>
            <w:vAlign w:val="bottom"/>
          </w:tcPr>
          <w:p w14:paraId="5F2CA3ED" w14:textId="77777777" w:rsidR="00E836FB" w:rsidRDefault="00E836FB">
            <w:pPr>
              <w:rPr>
                <w:rFonts w:ascii="宋体"/>
                <w:vanish/>
              </w:rPr>
            </w:pPr>
          </w:p>
        </w:tc>
        <w:tc>
          <w:tcPr>
            <w:tcW w:w="0" w:type="auto"/>
            <w:gridSpan w:val="3"/>
            <w:shd w:val="clear" w:color="auto" w:fill="auto"/>
            <w:vAlign w:val="bottom"/>
          </w:tcPr>
          <w:p w14:paraId="5F2CA3EE" w14:textId="77777777" w:rsidR="00E836FB" w:rsidRDefault="00E836FB">
            <w:pPr>
              <w:rPr>
                <w:rFonts w:ascii="宋体"/>
                <w:vanish/>
              </w:rPr>
            </w:pPr>
          </w:p>
        </w:tc>
        <w:tc>
          <w:tcPr>
            <w:tcW w:w="0" w:type="auto"/>
            <w:gridSpan w:val="3"/>
            <w:shd w:val="clear" w:color="auto" w:fill="auto"/>
            <w:vAlign w:val="bottom"/>
          </w:tcPr>
          <w:p w14:paraId="5F2CA3EF" w14:textId="77777777" w:rsidR="00E836FB" w:rsidRDefault="00E836FB">
            <w:pPr>
              <w:rPr>
                <w:rFonts w:ascii="宋体"/>
                <w:vanish/>
              </w:rPr>
            </w:pPr>
          </w:p>
        </w:tc>
        <w:tc>
          <w:tcPr>
            <w:tcW w:w="0" w:type="auto"/>
            <w:gridSpan w:val="3"/>
            <w:shd w:val="clear" w:color="auto" w:fill="auto"/>
            <w:vAlign w:val="bottom"/>
          </w:tcPr>
          <w:p w14:paraId="5F2CA3F0" w14:textId="77777777" w:rsidR="00E836FB" w:rsidRDefault="00E836FB">
            <w:pPr>
              <w:rPr>
                <w:rFonts w:ascii="宋体"/>
                <w:vanish/>
              </w:rPr>
            </w:pPr>
          </w:p>
        </w:tc>
        <w:tc>
          <w:tcPr>
            <w:tcW w:w="0" w:type="auto"/>
            <w:gridSpan w:val="3"/>
            <w:shd w:val="clear" w:color="auto" w:fill="auto"/>
            <w:vAlign w:val="bottom"/>
          </w:tcPr>
          <w:p w14:paraId="5F2CA3F1" w14:textId="77777777" w:rsidR="00E836FB" w:rsidRDefault="00E836FB">
            <w:pPr>
              <w:rPr>
                <w:rFonts w:ascii="宋体"/>
                <w:vanish/>
              </w:rPr>
            </w:pPr>
          </w:p>
        </w:tc>
        <w:tc>
          <w:tcPr>
            <w:tcW w:w="0" w:type="auto"/>
            <w:gridSpan w:val="3"/>
            <w:shd w:val="clear" w:color="auto" w:fill="auto"/>
            <w:vAlign w:val="bottom"/>
          </w:tcPr>
          <w:p w14:paraId="5F2CA3F2" w14:textId="77777777" w:rsidR="00E836FB" w:rsidRDefault="00E836FB">
            <w:pPr>
              <w:rPr>
                <w:rFonts w:ascii="宋体"/>
                <w:vanish/>
              </w:rPr>
            </w:pPr>
          </w:p>
        </w:tc>
        <w:tc>
          <w:tcPr>
            <w:tcW w:w="0" w:type="auto"/>
            <w:gridSpan w:val="3"/>
            <w:shd w:val="clear" w:color="auto" w:fill="auto"/>
            <w:vAlign w:val="bottom"/>
          </w:tcPr>
          <w:p w14:paraId="5F2CA3F3" w14:textId="77777777" w:rsidR="00E836FB" w:rsidRDefault="00E836FB">
            <w:pPr>
              <w:rPr>
                <w:rFonts w:ascii="宋体"/>
                <w:vanish/>
              </w:rPr>
            </w:pPr>
          </w:p>
        </w:tc>
        <w:tc>
          <w:tcPr>
            <w:tcW w:w="0" w:type="auto"/>
            <w:gridSpan w:val="3"/>
            <w:shd w:val="clear" w:color="auto" w:fill="auto"/>
            <w:vAlign w:val="bottom"/>
          </w:tcPr>
          <w:p w14:paraId="5F2CA3F4" w14:textId="77777777" w:rsidR="00E836FB" w:rsidRDefault="00E836FB">
            <w:pPr>
              <w:rPr>
                <w:rFonts w:ascii="宋体"/>
                <w:vanish/>
              </w:rPr>
            </w:pPr>
          </w:p>
        </w:tc>
        <w:tc>
          <w:tcPr>
            <w:tcW w:w="0" w:type="auto"/>
            <w:gridSpan w:val="3"/>
            <w:shd w:val="clear" w:color="auto" w:fill="auto"/>
            <w:vAlign w:val="bottom"/>
          </w:tcPr>
          <w:p w14:paraId="5F2CA3F5" w14:textId="77777777" w:rsidR="00E836FB" w:rsidRDefault="00E836FB">
            <w:pPr>
              <w:rPr>
                <w:rFonts w:ascii="宋体"/>
                <w:vanish/>
              </w:rPr>
            </w:pPr>
          </w:p>
        </w:tc>
      </w:tr>
      <w:tr w:rsidR="00E836FB" w14:paraId="5F2CA402" w14:textId="77777777">
        <w:trPr>
          <w:hidden/>
        </w:trPr>
        <w:tc>
          <w:tcPr>
            <w:tcW w:w="0" w:type="auto"/>
            <w:gridSpan w:val="3"/>
            <w:shd w:val="clear" w:color="auto" w:fill="auto"/>
            <w:vAlign w:val="bottom"/>
          </w:tcPr>
          <w:p w14:paraId="5F2CA3F7" w14:textId="77777777" w:rsidR="00E836FB" w:rsidRDefault="00E836FB">
            <w:pPr>
              <w:rPr>
                <w:rFonts w:ascii="宋体"/>
                <w:vanish/>
              </w:rPr>
            </w:pPr>
          </w:p>
        </w:tc>
        <w:tc>
          <w:tcPr>
            <w:tcW w:w="0" w:type="auto"/>
            <w:gridSpan w:val="3"/>
            <w:shd w:val="clear" w:color="auto" w:fill="auto"/>
            <w:vAlign w:val="bottom"/>
          </w:tcPr>
          <w:p w14:paraId="5F2CA3F8" w14:textId="77777777" w:rsidR="00E836FB" w:rsidRDefault="00E836FB">
            <w:pPr>
              <w:rPr>
                <w:rFonts w:ascii="宋体"/>
                <w:vanish/>
              </w:rPr>
            </w:pPr>
          </w:p>
        </w:tc>
        <w:tc>
          <w:tcPr>
            <w:tcW w:w="0" w:type="auto"/>
            <w:gridSpan w:val="3"/>
            <w:shd w:val="clear" w:color="auto" w:fill="auto"/>
            <w:vAlign w:val="bottom"/>
          </w:tcPr>
          <w:p w14:paraId="5F2CA3F9" w14:textId="77777777" w:rsidR="00E836FB" w:rsidRDefault="00E836FB">
            <w:pPr>
              <w:rPr>
                <w:rFonts w:ascii="宋体"/>
                <w:vanish/>
              </w:rPr>
            </w:pPr>
          </w:p>
        </w:tc>
        <w:tc>
          <w:tcPr>
            <w:tcW w:w="0" w:type="auto"/>
            <w:gridSpan w:val="3"/>
            <w:shd w:val="clear" w:color="auto" w:fill="auto"/>
            <w:vAlign w:val="bottom"/>
          </w:tcPr>
          <w:p w14:paraId="5F2CA3FA" w14:textId="77777777" w:rsidR="00E836FB" w:rsidRDefault="00E836FB">
            <w:pPr>
              <w:rPr>
                <w:rFonts w:ascii="宋体"/>
                <w:vanish/>
              </w:rPr>
            </w:pPr>
          </w:p>
        </w:tc>
        <w:tc>
          <w:tcPr>
            <w:tcW w:w="0" w:type="auto"/>
            <w:gridSpan w:val="3"/>
            <w:shd w:val="clear" w:color="auto" w:fill="auto"/>
            <w:vAlign w:val="bottom"/>
          </w:tcPr>
          <w:p w14:paraId="5F2CA3FB" w14:textId="77777777" w:rsidR="00E836FB" w:rsidRDefault="00E836FB">
            <w:pPr>
              <w:rPr>
                <w:rFonts w:ascii="宋体"/>
                <w:vanish/>
              </w:rPr>
            </w:pPr>
          </w:p>
        </w:tc>
        <w:tc>
          <w:tcPr>
            <w:tcW w:w="0" w:type="auto"/>
            <w:gridSpan w:val="3"/>
            <w:shd w:val="clear" w:color="auto" w:fill="auto"/>
            <w:vAlign w:val="bottom"/>
          </w:tcPr>
          <w:p w14:paraId="5F2CA3FC" w14:textId="77777777" w:rsidR="00E836FB" w:rsidRDefault="00E836FB">
            <w:pPr>
              <w:rPr>
                <w:rFonts w:ascii="宋体"/>
                <w:vanish/>
              </w:rPr>
            </w:pPr>
          </w:p>
        </w:tc>
        <w:tc>
          <w:tcPr>
            <w:tcW w:w="0" w:type="auto"/>
            <w:gridSpan w:val="3"/>
            <w:shd w:val="clear" w:color="auto" w:fill="auto"/>
            <w:vAlign w:val="bottom"/>
          </w:tcPr>
          <w:p w14:paraId="5F2CA3FD" w14:textId="77777777" w:rsidR="00E836FB" w:rsidRDefault="00E836FB">
            <w:pPr>
              <w:rPr>
                <w:rFonts w:ascii="宋体"/>
                <w:vanish/>
              </w:rPr>
            </w:pPr>
          </w:p>
        </w:tc>
        <w:tc>
          <w:tcPr>
            <w:tcW w:w="0" w:type="auto"/>
            <w:gridSpan w:val="3"/>
            <w:shd w:val="clear" w:color="auto" w:fill="auto"/>
            <w:vAlign w:val="bottom"/>
          </w:tcPr>
          <w:p w14:paraId="5F2CA3FE" w14:textId="77777777" w:rsidR="00E836FB" w:rsidRDefault="00E836FB">
            <w:pPr>
              <w:rPr>
                <w:rFonts w:ascii="宋体"/>
                <w:vanish/>
              </w:rPr>
            </w:pPr>
          </w:p>
        </w:tc>
        <w:tc>
          <w:tcPr>
            <w:tcW w:w="0" w:type="auto"/>
            <w:gridSpan w:val="3"/>
            <w:shd w:val="clear" w:color="auto" w:fill="auto"/>
            <w:vAlign w:val="bottom"/>
          </w:tcPr>
          <w:p w14:paraId="5F2CA3FF" w14:textId="77777777" w:rsidR="00E836FB" w:rsidRDefault="00E836FB">
            <w:pPr>
              <w:rPr>
                <w:rFonts w:ascii="宋体"/>
                <w:vanish/>
              </w:rPr>
            </w:pPr>
          </w:p>
        </w:tc>
        <w:tc>
          <w:tcPr>
            <w:tcW w:w="0" w:type="auto"/>
            <w:gridSpan w:val="3"/>
            <w:shd w:val="clear" w:color="auto" w:fill="auto"/>
            <w:vAlign w:val="bottom"/>
          </w:tcPr>
          <w:p w14:paraId="5F2CA400" w14:textId="77777777" w:rsidR="00E836FB" w:rsidRDefault="00E836FB">
            <w:pPr>
              <w:rPr>
                <w:rFonts w:ascii="宋体"/>
                <w:vanish/>
              </w:rPr>
            </w:pPr>
          </w:p>
        </w:tc>
        <w:tc>
          <w:tcPr>
            <w:tcW w:w="0" w:type="auto"/>
            <w:gridSpan w:val="3"/>
            <w:shd w:val="clear" w:color="auto" w:fill="auto"/>
            <w:vAlign w:val="bottom"/>
          </w:tcPr>
          <w:p w14:paraId="5F2CA401" w14:textId="77777777" w:rsidR="00E836FB" w:rsidRDefault="00E836FB">
            <w:pPr>
              <w:rPr>
                <w:rFonts w:ascii="宋体"/>
                <w:vanish/>
              </w:rPr>
            </w:pPr>
          </w:p>
        </w:tc>
      </w:tr>
      <w:tr w:rsidR="00E836FB" w14:paraId="5F2CA40E" w14:textId="77777777">
        <w:trPr>
          <w:hidden/>
        </w:trPr>
        <w:tc>
          <w:tcPr>
            <w:tcW w:w="0" w:type="auto"/>
            <w:gridSpan w:val="3"/>
            <w:shd w:val="clear" w:color="auto" w:fill="auto"/>
            <w:vAlign w:val="bottom"/>
          </w:tcPr>
          <w:p w14:paraId="5F2CA403" w14:textId="77777777" w:rsidR="00E836FB" w:rsidRDefault="00E836FB">
            <w:pPr>
              <w:rPr>
                <w:rFonts w:ascii="宋体"/>
                <w:vanish/>
              </w:rPr>
            </w:pPr>
          </w:p>
        </w:tc>
        <w:tc>
          <w:tcPr>
            <w:tcW w:w="0" w:type="auto"/>
            <w:gridSpan w:val="3"/>
            <w:shd w:val="clear" w:color="auto" w:fill="auto"/>
            <w:vAlign w:val="bottom"/>
          </w:tcPr>
          <w:p w14:paraId="5F2CA404" w14:textId="77777777" w:rsidR="00E836FB" w:rsidRDefault="00E836FB">
            <w:pPr>
              <w:rPr>
                <w:rFonts w:ascii="宋体"/>
                <w:vanish/>
              </w:rPr>
            </w:pPr>
          </w:p>
        </w:tc>
        <w:tc>
          <w:tcPr>
            <w:tcW w:w="0" w:type="auto"/>
            <w:gridSpan w:val="3"/>
            <w:shd w:val="clear" w:color="auto" w:fill="auto"/>
            <w:vAlign w:val="bottom"/>
          </w:tcPr>
          <w:p w14:paraId="5F2CA405" w14:textId="77777777" w:rsidR="00E836FB" w:rsidRDefault="00E836FB">
            <w:pPr>
              <w:rPr>
                <w:rFonts w:ascii="宋体"/>
                <w:vanish/>
              </w:rPr>
            </w:pPr>
          </w:p>
        </w:tc>
        <w:tc>
          <w:tcPr>
            <w:tcW w:w="0" w:type="auto"/>
            <w:gridSpan w:val="3"/>
            <w:shd w:val="clear" w:color="auto" w:fill="auto"/>
            <w:vAlign w:val="bottom"/>
          </w:tcPr>
          <w:p w14:paraId="5F2CA406" w14:textId="77777777" w:rsidR="00E836FB" w:rsidRDefault="00E836FB">
            <w:pPr>
              <w:rPr>
                <w:rFonts w:ascii="宋体"/>
                <w:vanish/>
              </w:rPr>
            </w:pPr>
          </w:p>
        </w:tc>
        <w:tc>
          <w:tcPr>
            <w:tcW w:w="0" w:type="auto"/>
            <w:gridSpan w:val="3"/>
            <w:shd w:val="clear" w:color="auto" w:fill="auto"/>
            <w:vAlign w:val="bottom"/>
          </w:tcPr>
          <w:p w14:paraId="5F2CA407" w14:textId="77777777" w:rsidR="00E836FB" w:rsidRDefault="00E836FB">
            <w:pPr>
              <w:rPr>
                <w:rFonts w:ascii="宋体"/>
                <w:vanish/>
              </w:rPr>
            </w:pPr>
          </w:p>
        </w:tc>
        <w:tc>
          <w:tcPr>
            <w:tcW w:w="0" w:type="auto"/>
            <w:gridSpan w:val="3"/>
            <w:shd w:val="clear" w:color="auto" w:fill="auto"/>
            <w:vAlign w:val="bottom"/>
          </w:tcPr>
          <w:p w14:paraId="5F2CA408" w14:textId="77777777" w:rsidR="00E836FB" w:rsidRDefault="00E836FB">
            <w:pPr>
              <w:rPr>
                <w:rFonts w:ascii="宋体"/>
                <w:vanish/>
              </w:rPr>
            </w:pPr>
          </w:p>
        </w:tc>
        <w:tc>
          <w:tcPr>
            <w:tcW w:w="0" w:type="auto"/>
            <w:gridSpan w:val="3"/>
            <w:shd w:val="clear" w:color="auto" w:fill="auto"/>
            <w:vAlign w:val="bottom"/>
          </w:tcPr>
          <w:p w14:paraId="5F2CA409" w14:textId="77777777" w:rsidR="00E836FB" w:rsidRDefault="00E836FB">
            <w:pPr>
              <w:rPr>
                <w:rFonts w:ascii="宋体"/>
                <w:vanish/>
              </w:rPr>
            </w:pPr>
          </w:p>
        </w:tc>
        <w:tc>
          <w:tcPr>
            <w:tcW w:w="0" w:type="auto"/>
            <w:gridSpan w:val="3"/>
            <w:shd w:val="clear" w:color="auto" w:fill="auto"/>
            <w:vAlign w:val="bottom"/>
          </w:tcPr>
          <w:p w14:paraId="5F2CA40A" w14:textId="77777777" w:rsidR="00E836FB" w:rsidRDefault="00E836FB">
            <w:pPr>
              <w:rPr>
                <w:rFonts w:ascii="宋体"/>
                <w:vanish/>
              </w:rPr>
            </w:pPr>
          </w:p>
        </w:tc>
        <w:tc>
          <w:tcPr>
            <w:tcW w:w="0" w:type="auto"/>
            <w:gridSpan w:val="3"/>
            <w:shd w:val="clear" w:color="auto" w:fill="auto"/>
            <w:vAlign w:val="bottom"/>
          </w:tcPr>
          <w:p w14:paraId="5F2CA40B" w14:textId="77777777" w:rsidR="00E836FB" w:rsidRDefault="00E836FB">
            <w:pPr>
              <w:rPr>
                <w:rFonts w:ascii="宋体"/>
                <w:vanish/>
              </w:rPr>
            </w:pPr>
          </w:p>
        </w:tc>
        <w:tc>
          <w:tcPr>
            <w:tcW w:w="0" w:type="auto"/>
            <w:gridSpan w:val="3"/>
            <w:shd w:val="clear" w:color="auto" w:fill="auto"/>
            <w:vAlign w:val="bottom"/>
          </w:tcPr>
          <w:p w14:paraId="5F2CA40C" w14:textId="77777777" w:rsidR="00E836FB" w:rsidRDefault="00E836FB">
            <w:pPr>
              <w:rPr>
                <w:rFonts w:ascii="宋体"/>
                <w:vanish/>
              </w:rPr>
            </w:pPr>
          </w:p>
        </w:tc>
        <w:tc>
          <w:tcPr>
            <w:tcW w:w="0" w:type="auto"/>
            <w:gridSpan w:val="3"/>
            <w:shd w:val="clear" w:color="auto" w:fill="auto"/>
            <w:vAlign w:val="bottom"/>
          </w:tcPr>
          <w:p w14:paraId="5F2CA40D" w14:textId="77777777" w:rsidR="00E836FB" w:rsidRDefault="00E836FB">
            <w:pPr>
              <w:rPr>
                <w:rFonts w:ascii="宋体"/>
                <w:vanish/>
              </w:rPr>
            </w:pPr>
          </w:p>
        </w:tc>
      </w:tr>
      <w:tr w:rsidR="00E836FB" w14:paraId="5F2CA41A" w14:textId="77777777">
        <w:trPr>
          <w:hidden/>
        </w:trPr>
        <w:tc>
          <w:tcPr>
            <w:tcW w:w="0" w:type="auto"/>
            <w:gridSpan w:val="3"/>
            <w:shd w:val="clear" w:color="auto" w:fill="auto"/>
            <w:vAlign w:val="bottom"/>
          </w:tcPr>
          <w:p w14:paraId="5F2CA40F" w14:textId="77777777" w:rsidR="00E836FB" w:rsidRDefault="00E836FB">
            <w:pPr>
              <w:rPr>
                <w:rFonts w:ascii="宋体"/>
                <w:vanish/>
              </w:rPr>
            </w:pPr>
          </w:p>
        </w:tc>
        <w:tc>
          <w:tcPr>
            <w:tcW w:w="0" w:type="auto"/>
            <w:gridSpan w:val="3"/>
            <w:shd w:val="clear" w:color="auto" w:fill="auto"/>
            <w:vAlign w:val="bottom"/>
          </w:tcPr>
          <w:p w14:paraId="5F2CA410" w14:textId="77777777" w:rsidR="00E836FB" w:rsidRDefault="00E836FB">
            <w:pPr>
              <w:rPr>
                <w:rFonts w:ascii="宋体"/>
                <w:vanish/>
              </w:rPr>
            </w:pPr>
          </w:p>
        </w:tc>
        <w:tc>
          <w:tcPr>
            <w:tcW w:w="0" w:type="auto"/>
            <w:gridSpan w:val="3"/>
            <w:shd w:val="clear" w:color="auto" w:fill="auto"/>
            <w:vAlign w:val="bottom"/>
          </w:tcPr>
          <w:p w14:paraId="5F2CA411" w14:textId="77777777" w:rsidR="00E836FB" w:rsidRDefault="00E836FB">
            <w:pPr>
              <w:rPr>
                <w:rFonts w:ascii="宋体"/>
                <w:vanish/>
              </w:rPr>
            </w:pPr>
          </w:p>
        </w:tc>
        <w:tc>
          <w:tcPr>
            <w:tcW w:w="0" w:type="auto"/>
            <w:gridSpan w:val="3"/>
            <w:shd w:val="clear" w:color="auto" w:fill="auto"/>
            <w:vAlign w:val="bottom"/>
          </w:tcPr>
          <w:p w14:paraId="5F2CA412" w14:textId="77777777" w:rsidR="00E836FB" w:rsidRDefault="00E836FB">
            <w:pPr>
              <w:rPr>
                <w:rFonts w:ascii="宋体"/>
                <w:vanish/>
              </w:rPr>
            </w:pPr>
          </w:p>
        </w:tc>
        <w:tc>
          <w:tcPr>
            <w:tcW w:w="0" w:type="auto"/>
            <w:gridSpan w:val="3"/>
            <w:shd w:val="clear" w:color="auto" w:fill="auto"/>
            <w:vAlign w:val="bottom"/>
          </w:tcPr>
          <w:p w14:paraId="5F2CA413" w14:textId="77777777" w:rsidR="00E836FB" w:rsidRDefault="00E836FB">
            <w:pPr>
              <w:rPr>
                <w:rFonts w:ascii="宋体"/>
                <w:vanish/>
              </w:rPr>
            </w:pPr>
          </w:p>
        </w:tc>
        <w:tc>
          <w:tcPr>
            <w:tcW w:w="0" w:type="auto"/>
            <w:gridSpan w:val="3"/>
            <w:shd w:val="clear" w:color="auto" w:fill="auto"/>
            <w:vAlign w:val="bottom"/>
          </w:tcPr>
          <w:p w14:paraId="5F2CA414" w14:textId="77777777" w:rsidR="00E836FB" w:rsidRDefault="00E836FB">
            <w:pPr>
              <w:rPr>
                <w:rFonts w:ascii="宋体"/>
                <w:vanish/>
              </w:rPr>
            </w:pPr>
          </w:p>
        </w:tc>
        <w:tc>
          <w:tcPr>
            <w:tcW w:w="0" w:type="auto"/>
            <w:gridSpan w:val="3"/>
            <w:shd w:val="clear" w:color="auto" w:fill="auto"/>
            <w:vAlign w:val="bottom"/>
          </w:tcPr>
          <w:p w14:paraId="5F2CA415" w14:textId="77777777" w:rsidR="00E836FB" w:rsidRDefault="00E836FB">
            <w:pPr>
              <w:rPr>
                <w:rFonts w:ascii="宋体"/>
                <w:vanish/>
              </w:rPr>
            </w:pPr>
          </w:p>
        </w:tc>
        <w:tc>
          <w:tcPr>
            <w:tcW w:w="0" w:type="auto"/>
            <w:gridSpan w:val="3"/>
            <w:shd w:val="clear" w:color="auto" w:fill="auto"/>
            <w:vAlign w:val="bottom"/>
          </w:tcPr>
          <w:p w14:paraId="5F2CA416" w14:textId="77777777" w:rsidR="00E836FB" w:rsidRDefault="00E836FB">
            <w:pPr>
              <w:rPr>
                <w:rFonts w:ascii="宋体"/>
                <w:vanish/>
              </w:rPr>
            </w:pPr>
          </w:p>
        </w:tc>
        <w:tc>
          <w:tcPr>
            <w:tcW w:w="0" w:type="auto"/>
            <w:gridSpan w:val="3"/>
            <w:shd w:val="clear" w:color="auto" w:fill="auto"/>
            <w:vAlign w:val="bottom"/>
          </w:tcPr>
          <w:p w14:paraId="5F2CA417" w14:textId="77777777" w:rsidR="00E836FB" w:rsidRDefault="00E836FB">
            <w:pPr>
              <w:rPr>
                <w:rFonts w:ascii="宋体"/>
                <w:vanish/>
              </w:rPr>
            </w:pPr>
          </w:p>
        </w:tc>
        <w:tc>
          <w:tcPr>
            <w:tcW w:w="0" w:type="auto"/>
            <w:gridSpan w:val="3"/>
            <w:shd w:val="clear" w:color="auto" w:fill="auto"/>
            <w:vAlign w:val="bottom"/>
          </w:tcPr>
          <w:p w14:paraId="5F2CA418" w14:textId="77777777" w:rsidR="00E836FB" w:rsidRDefault="00E836FB">
            <w:pPr>
              <w:rPr>
                <w:rFonts w:ascii="宋体"/>
                <w:vanish/>
              </w:rPr>
            </w:pPr>
          </w:p>
        </w:tc>
        <w:tc>
          <w:tcPr>
            <w:tcW w:w="0" w:type="auto"/>
            <w:gridSpan w:val="3"/>
            <w:shd w:val="clear" w:color="auto" w:fill="auto"/>
            <w:vAlign w:val="bottom"/>
          </w:tcPr>
          <w:p w14:paraId="5F2CA419" w14:textId="77777777" w:rsidR="00E836FB" w:rsidRDefault="00E836FB">
            <w:pPr>
              <w:rPr>
                <w:rFonts w:ascii="宋体"/>
                <w:vanish/>
              </w:rPr>
            </w:pPr>
          </w:p>
        </w:tc>
      </w:tr>
    </w:tbl>
    <w:p w14:paraId="5F2CA41B"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28"/>
        <w:gridCol w:w="36"/>
        <w:gridCol w:w="69"/>
        <w:gridCol w:w="3198"/>
        <w:gridCol w:w="36"/>
      </w:tblGrid>
      <w:tr w:rsidR="00E836FB" w14:paraId="5F2CA422" w14:textId="77777777">
        <w:tc>
          <w:tcPr>
            <w:tcW w:w="50" w:type="pct"/>
            <w:shd w:val="clear" w:color="auto" w:fill="auto"/>
            <w:vAlign w:val="bottom"/>
          </w:tcPr>
          <w:p w14:paraId="5F2CA41C" w14:textId="77777777" w:rsidR="00E836FB" w:rsidRDefault="00E836FB">
            <w:pPr>
              <w:rPr>
                <w:rFonts w:ascii="宋体"/>
              </w:rPr>
            </w:pPr>
          </w:p>
        </w:tc>
        <w:tc>
          <w:tcPr>
            <w:tcW w:w="2963" w:type="pct"/>
            <w:shd w:val="clear" w:color="auto" w:fill="auto"/>
            <w:vAlign w:val="bottom"/>
          </w:tcPr>
          <w:p w14:paraId="5F2CA41D" w14:textId="77777777" w:rsidR="00E836FB" w:rsidRDefault="00E836FB">
            <w:pPr>
              <w:rPr>
                <w:rFonts w:ascii="宋体"/>
              </w:rPr>
            </w:pPr>
          </w:p>
        </w:tc>
        <w:tc>
          <w:tcPr>
            <w:tcW w:w="5" w:type="pct"/>
            <w:shd w:val="clear" w:color="auto" w:fill="auto"/>
            <w:vAlign w:val="bottom"/>
          </w:tcPr>
          <w:p w14:paraId="5F2CA41E" w14:textId="77777777" w:rsidR="00E836FB" w:rsidRDefault="00E836FB">
            <w:pPr>
              <w:rPr>
                <w:rFonts w:ascii="宋体"/>
              </w:rPr>
            </w:pPr>
          </w:p>
        </w:tc>
        <w:tc>
          <w:tcPr>
            <w:tcW w:w="50" w:type="pct"/>
            <w:shd w:val="clear" w:color="auto" w:fill="auto"/>
            <w:vAlign w:val="bottom"/>
          </w:tcPr>
          <w:p w14:paraId="5F2CA41F" w14:textId="77777777" w:rsidR="00E836FB" w:rsidRDefault="00E836FB">
            <w:pPr>
              <w:rPr>
                <w:rFonts w:ascii="宋体"/>
              </w:rPr>
            </w:pPr>
          </w:p>
        </w:tc>
        <w:tc>
          <w:tcPr>
            <w:tcW w:w="1926" w:type="pct"/>
            <w:shd w:val="clear" w:color="auto" w:fill="auto"/>
            <w:vAlign w:val="bottom"/>
          </w:tcPr>
          <w:p w14:paraId="5F2CA420" w14:textId="77777777" w:rsidR="00E836FB" w:rsidRDefault="00E836FB">
            <w:pPr>
              <w:rPr>
                <w:rFonts w:ascii="宋体"/>
              </w:rPr>
            </w:pPr>
          </w:p>
        </w:tc>
        <w:tc>
          <w:tcPr>
            <w:tcW w:w="5" w:type="pct"/>
            <w:shd w:val="clear" w:color="auto" w:fill="auto"/>
            <w:vAlign w:val="bottom"/>
          </w:tcPr>
          <w:p w14:paraId="5F2CA421" w14:textId="77777777" w:rsidR="00E836FB" w:rsidRDefault="00E836FB">
            <w:pPr>
              <w:rPr>
                <w:rFonts w:ascii="宋体"/>
              </w:rPr>
            </w:pPr>
          </w:p>
        </w:tc>
      </w:tr>
      <w:tr w:rsidR="00E836FB" w14:paraId="5F2CA42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4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424" w14:textId="77777777" w:rsidR="00E836FB" w:rsidRDefault="00E836FB">
            <w:pPr>
              <w:rPr>
                <w:rFonts w:ascii="宋体"/>
              </w:rPr>
            </w:pPr>
          </w:p>
        </w:tc>
      </w:tr>
    </w:tbl>
    <w:p w14:paraId="5F2CA426" w14:textId="77777777" w:rsidR="00E836FB" w:rsidRDefault="00994958">
      <w:pPr>
        <w:spacing w:before="4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We adopted ASU 2016-13, Financial Instruments-Credit Losses (ASC 326): Measurement of Credit Losses on Financial Instruments, on January 1, 2020. </w:t>
      </w:r>
    </w:p>
    <w:p w14:paraId="5F2CA427" w14:textId="77777777" w:rsidR="00E836FB" w:rsidRDefault="00994958">
      <w:pPr>
        <w:spacing w:before="4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Additional information about our preferred stock dividends is provided in Note 15 to the </w:t>
      </w:r>
      <w:r>
        <w:rPr>
          <w:rFonts w:ascii="Arial" w:eastAsia="宋体" w:hAnsi="Arial" w:cs="Arial"/>
          <w:color w:val="000000"/>
          <w:sz w:val="13"/>
          <w:szCs w:val="13"/>
        </w:rPr>
        <w:t>consolidated financial statements in this Form 10-K.</w:t>
      </w:r>
    </w:p>
    <w:p w14:paraId="5F2CA428" w14:textId="77777777" w:rsidR="00E836FB" w:rsidRDefault="00994958">
      <w:pPr>
        <w:spacing w:before="4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 xml:space="preserve">Represents the portion of net income available to common equity allocated to participating securities, composed of unvested and fully vested SERP (Supplemental executive retirement plans) shares and </w:t>
      </w:r>
      <w:r>
        <w:rPr>
          <w:rFonts w:ascii="Arial" w:eastAsia="宋体" w:hAnsi="Arial" w:cs="Arial"/>
          <w:color w:val="000000"/>
          <w:sz w:val="13"/>
          <w:szCs w:val="13"/>
        </w:rPr>
        <w:t>fully vested deferred director stock awards, which are equity-based awards that contain non-forfeitable rights to dividends, and are considered to participate with the common stock in undistributed earnings.</w:t>
      </w:r>
    </w:p>
    <w:p w14:paraId="5F2CA429" w14:textId="77777777" w:rsidR="00E836FB" w:rsidRDefault="00994958">
      <w:pPr>
        <w:ind w:firstLine="450"/>
        <w:jc w:val="right"/>
      </w:pPr>
      <w:r>
        <w:rPr>
          <w:rFonts w:ascii="Arial" w:eastAsia="宋体" w:hAnsi="Arial" w:cs="Arial"/>
          <w:color w:val="000000"/>
          <w:sz w:val="18"/>
          <w:szCs w:val="18"/>
        </w:rPr>
        <w:t>State Street Corporation | 58</w:t>
      </w:r>
    </w:p>
    <w:p w14:paraId="5F2CA42A" w14:textId="77777777" w:rsidR="00E836FB" w:rsidRDefault="00E836FB">
      <w:pPr>
        <w:ind w:firstLine="450"/>
        <w:jc w:val="center"/>
      </w:pPr>
    </w:p>
    <w:p w14:paraId="5F2CA42B" w14:textId="77777777" w:rsidR="00E836FB" w:rsidRDefault="00994958">
      <w:r>
        <w:pict w14:anchorId="5F2D6DBF">
          <v:rect id="_x0000_i1082" style="width:415.3pt;height:1.5pt" o:hralign="center" o:hrstd="t" o:hr="t" fillcolor="#a0a0a0" stroked="f"/>
        </w:pict>
      </w:r>
    </w:p>
    <w:p w14:paraId="5F2CA42C" w14:textId="77777777" w:rsidR="00E836FB" w:rsidRDefault="00994958">
      <w:pPr>
        <w:ind w:firstLine="450"/>
        <w:jc w:val="center"/>
      </w:pPr>
      <w:r>
        <w:rPr>
          <w:rFonts w:ascii="Arial" w:eastAsia="宋体" w:hAnsi="Arial" w:cs="Arial"/>
          <w:b/>
          <w:bCs/>
          <w:color w:val="000000"/>
          <w:sz w:val="20"/>
          <w:szCs w:val="20"/>
        </w:rPr>
        <w:t>MANAGEMENT’S DI</w:t>
      </w:r>
      <w:r>
        <w:rPr>
          <w:rFonts w:ascii="Arial" w:eastAsia="宋体" w:hAnsi="Arial" w:cs="Arial"/>
          <w:b/>
          <w:bCs/>
          <w:color w:val="000000"/>
          <w:sz w:val="20"/>
          <w:szCs w:val="20"/>
        </w:rPr>
        <w:t>SCUSSION AND ANALYSIS OF FINANCIAL CONDITION</w:t>
      </w:r>
    </w:p>
    <w:p w14:paraId="5F2CA42D" w14:textId="77777777" w:rsidR="00E836FB" w:rsidRDefault="00994958">
      <w:pPr>
        <w:ind w:firstLine="450"/>
        <w:jc w:val="center"/>
      </w:pPr>
      <w:r>
        <w:rPr>
          <w:rFonts w:ascii="Arial" w:eastAsia="宋体" w:hAnsi="Arial" w:cs="Arial"/>
          <w:b/>
          <w:bCs/>
          <w:color w:val="000000"/>
          <w:sz w:val="20"/>
          <w:szCs w:val="20"/>
        </w:rPr>
        <w:t>AND RESULTS OF OPERATIONS</w:t>
      </w:r>
    </w:p>
    <w:p w14:paraId="5F2CA42E" w14:textId="77777777" w:rsidR="00E836FB" w:rsidRDefault="00994958">
      <w:pPr>
        <w:spacing w:before="60"/>
        <w:ind w:firstLine="450"/>
        <w:jc w:val="both"/>
        <w:textAlignment w:val="top"/>
      </w:pPr>
      <w:r>
        <w:rPr>
          <w:rFonts w:ascii="Arial" w:eastAsia="宋体" w:hAnsi="Arial" w:cs="Arial"/>
          <w:color w:val="000000"/>
          <w:sz w:val="20"/>
          <w:szCs w:val="20"/>
        </w:rPr>
        <w:t>The following “Financial Results and Highlights” section provides information related to significant events, as well as highlights of our consolidated financial results for the year end</w:t>
      </w:r>
      <w:r>
        <w:rPr>
          <w:rFonts w:ascii="Arial" w:eastAsia="宋体" w:hAnsi="Arial" w:cs="Arial"/>
          <w:color w:val="000000"/>
          <w:sz w:val="20"/>
          <w:szCs w:val="20"/>
        </w:rPr>
        <w:t>ed December 31, 2021 presented in Table 1: Overview of Financial Results. More detailed information about our consolidated financial results, including the comparison of our financial results for the year ended December 31, 2021 to those for the year ended</w:t>
      </w:r>
      <w:r>
        <w:rPr>
          <w:rFonts w:ascii="Arial" w:eastAsia="宋体" w:hAnsi="Arial" w:cs="Arial"/>
          <w:color w:val="000000"/>
          <w:sz w:val="20"/>
          <w:szCs w:val="20"/>
        </w:rPr>
        <w:t xml:space="preserve"> December 31, 2020, is provided under “Consolidated Results of Operations”, "Line of Business Information" and "Capital" which follows these sections, as well as in our consolidated financial statements in this Form 10-K.</w:t>
      </w:r>
    </w:p>
    <w:p w14:paraId="5F2CA42F" w14:textId="77777777" w:rsidR="00E836FB" w:rsidRDefault="00994958">
      <w:pPr>
        <w:spacing w:before="60"/>
        <w:ind w:firstLine="450"/>
        <w:jc w:val="both"/>
        <w:textAlignment w:val="top"/>
      </w:pPr>
      <w:r>
        <w:rPr>
          <w:rFonts w:ascii="Arial" w:eastAsia="宋体" w:hAnsi="Arial" w:cs="Arial"/>
          <w:color w:val="000000"/>
          <w:sz w:val="20"/>
          <w:szCs w:val="20"/>
        </w:rPr>
        <w:t>The comparison of our financial re</w:t>
      </w:r>
      <w:r>
        <w:rPr>
          <w:rFonts w:ascii="Arial" w:eastAsia="宋体" w:hAnsi="Arial" w:cs="Arial"/>
          <w:color w:val="000000"/>
          <w:sz w:val="20"/>
          <w:szCs w:val="20"/>
        </w:rPr>
        <w:t>sults for the year ended December 31, 2020 to those for the year ended December 31, 2019 is included in our Management's Discussion and Analysis in the Annual Report on Form 10-K for the fiscal year ended December 31, 2020 filed with the SEC on February 19</w:t>
      </w:r>
      <w:r>
        <w:rPr>
          <w:rFonts w:ascii="Arial" w:eastAsia="宋体" w:hAnsi="Arial" w:cs="Arial"/>
          <w:color w:val="000000"/>
          <w:sz w:val="20"/>
          <w:szCs w:val="20"/>
        </w:rPr>
        <w:t>, 2021.</w:t>
      </w:r>
    </w:p>
    <w:p w14:paraId="5F2CA430" w14:textId="77777777" w:rsidR="00E836FB" w:rsidRDefault="00994958">
      <w:pPr>
        <w:spacing w:before="60"/>
        <w:ind w:firstLine="450"/>
        <w:jc w:val="both"/>
        <w:textAlignment w:val="top"/>
      </w:pPr>
      <w:r>
        <w:rPr>
          <w:rFonts w:ascii="Arial" w:eastAsia="宋体" w:hAnsi="Arial" w:cs="Arial"/>
          <w:color w:val="000000"/>
          <w:sz w:val="20"/>
          <w:szCs w:val="20"/>
        </w:rPr>
        <w:t>In this Management’s Discussion and Analysis, where we describe the effects of changes in foreign currency translation, those effects are determined by applying applicable weighted average FX rates from the relevant 2020 period to the relevant 2021</w:t>
      </w:r>
      <w:r>
        <w:rPr>
          <w:rFonts w:ascii="Arial" w:eastAsia="宋体" w:hAnsi="Arial" w:cs="Arial"/>
          <w:color w:val="000000"/>
          <w:sz w:val="20"/>
          <w:szCs w:val="20"/>
        </w:rPr>
        <w:t xml:space="preserve"> period results.</w:t>
      </w:r>
    </w:p>
    <w:p w14:paraId="5F2CA431" w14:textId="77777777" w:rsidR="00E836FB" w:rsidRDefault="00994958">
      <w:pPr>
        <w:spacing w:before="90"/>
        <w:jc w:val="both"/>
        <w:textAlignment w:val="top"/>
      </w:pPr>
      <w:r>
        <w:rPr>
          <w:rFonts w:ascii="Arial" w:eastAsia="宋体" w:hAnsi="Arial" w:cs="Arial"/>
          <w:b/>
          <w:bCs/>
          <w:color w:val="000000"/>
          <w:sz w:val="20"/>
          <w:szCs w:val="20"/>
        </w:rPr>
        <w:t>Financial Results and Highlights</w:t>
      </w:r>
    </w:p>
    <w:p w14:paraId="5F2CA432" w14:textId="77777777" w:rsidR="00E836FB" w:rsidRDefault="00994958">
      <w:pPr>
        <w:spacing w:before="60"/>
        <w:ind w:hanging="360"/>
        <w:jc w:val="both"/>
        <w:textAlignment w:val="top"/>
      </w:pPr>
      <w:r>
        <w:rPr>
          <w:rFonts w:ascii="Arial" w:eastAsia="宋体" w:hAnsi="Arial" w:cs="Arial"/>
          <w:color w:val="000000"/>
          <w:sz w:val="20"/>
          <w:szCs w:val="20"/>
        </w:rPr>
        <w:t>•2021 financial performance:</w:t>
      </w:r>
    </w:p>
    <w:p w14:paraId="5F2CA433"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EPS of $7.19 in 2021 increased 14% compared to $6.32 in 2020.</w:t>
      </w:r>
    </w:p>
    <w:p w14:paraId="5F2CA434"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Total fee revenue was up 5% in 2021 compared to 2020, including 1% due to currency translation. </w:t>
      </w:r>
    </w:p>
    <w:p w14:paraId="5F2CA435"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Servicing and m</w:t>
      </w:r>
      <w:r>
        <w:rPr>
          <w:rFonts w:ascii="Arial" w:eastAsia="宋体" w:hAnsi="Arial" w:cs="Arial"/>
          <w:color w:val="000000"/>
          <w:sz w:val="20"/>
          <w:szCs w:val="20"/>
        </w:rPr>
        <w:t>anagement fee revenues were up 7% and 9%, respectively, in 2021 compared to 2020.</w:t>
      </w:r>
    </w:p>
    <w:p w14:paraId="5F2CA436"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 2021, return on equity of 10.7% increased from 10.0% in 2020, primarily due to an increase in net income available to common shareholders. Pre-tax margin of 26.4% in 2021</w:t>
      </w:r>
      <w:r>
        <w:rPr>
          <w:rFonts w:ascii="Arial" w:eastAsia="宋体" w:hAnsi="Arial" w:cs="Arial"/>
          <w:color w:val="000000"/>
          <w:sz w:val="20"/>
          <w:szCs w:val="20"/>
        </w:rPr>
        <w:t xml:space="preserve"> increased from 24.8% in 2020, primarily due to an increase in total revenue.</w:t>
      </w:r>
    </w:p>
    <w:p w14:paraId="5F2CA437"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Positive operating leverage of 0.8% points in 2021. Operating leverage represents the difference between the percentage change in total revenue and the percentage change in tota</w:t>
      </w:r>
      <w:r>
        <w:rPr>
          <w:rFonts w:ascii="Arial" w:eastAsia="宋体" w:hAnsi="Arial" w:cs="Arial"/>
          <w:color w:val="000000"/>
          <w:sz w:val="20"/>
          <w:szCs w:val="20"/>
        </w:rPr>
        <w:t>l expenses, in each case relative to the prior year period.</w:t>
      </w:r>
    </w:p>
    <w:p w14:paraId="5F2CA438"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Positive fee operating leverage of 3.4% points in 2021. Fee operating leverage represents the difference between the percentage change in total fee revenue and the percentage change in total expe</w:t>
      </w:r>
      <w:r>
        <w:rPr>
          <w:rFonts w:ascii="Arial" w:eastAsia="宋体" w:hAnsi="Arial" w:cs="Arial"/>
          <w:color w:val="000000"/>
          <w:sz w:val="20"/>
          <w:szCs w:val="20"/>
        </w:rPr>
        <w:t>nses, in each case relative to the prior year period.</w:t>
      </w:r>
    </w:p>
    <w:p w14:paraId="5F2CA439" w14:textId="77777777" w:rsidR="00E836FB" w:rsidRDefault="00994958">
      <w:pPr>
        <w:spacing w:before="60"/>
        <w:ind w:hanging="360"/>
        <w:jc w:val="both"/>
        <w:textAlignment w:val="top"/>
      </w:pPr>
      <w:r>
        <w:rPr>
          <w:rFonts w:ascii="Arial" w:eastAsia="宋体" w:hAnsi="Arial" w:cs="Arial"/>
          <w:color w:val="000000"/>
          <w:sz w:val="20"/>
          <w:szCs w:val="20"/>
        </w:rPr>
        <w:t>•In September 2021, we announced that we had entered into a definitive agreement to acquire the BBH Investor Services business for $3.5 billion in cash. This announced acquisition is subject to regulato</w:t>
      </w:r>
      <w:r>
        <w:rPr>
          <w:rFonts w:ascii="Arial" w:eastAsia="宋体" w:hAnsi="Arial" w:cs="Arial"/>
          <w:color w:val="000000"/>
          <w:sz w:val="20"/>
          <w:szCs w:val="20"/>
        </w:rPr>
        <w:t xml:space="preserve">ry approvals and the satisfaction or waiver of other closing conditions. </w:t>
      </w:r>
    </w:p>
    <w:p w14:paraId="5F2CA43A"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expect to finance the planned acquisition of the BBH Investor Services business primarily with the proceeds of $1.9 billion from a common stock offering completed in September 20</w:t>
      </w:r>
      <w:r>
        <w:rPr>
          <w:rFonts w:ascii="Arial" w:eastAsia="宋体" w:hAnsi="Arial" w:cs="Arial"/>
          <w:color w:val="000000"/>
          <w:sz w:val="20"/>
          <w:szCs w:val="20"/>
        </w:rPr>
        <w:t xml:space="preserve">21, a temporary suspension of repurchases of our common stock and with cash on hand. </w:t>
      </w:r>
    </w:p>
    <w:p w14:paraId="5F2CA43B" w14:textId="77777777" w:rsidR="00E836FB" w:rsidRDefault="00994958">
      <w:pPr>
        <w:spacing w:before="60"/>
        <w:ind w:hanging="360"/>
        <w:jc w:val="both"/>
        <w:textAlignment w:val="top"/>
      </w:pPr>
      <w:r>
        <w:rPr>
          <w:rFonts w:ascii="Arial" w:eastAsia="宋体" w:hAnsi="Arial" w:cs="Arial"/>
          <w:color w:val="000000"/>
          <w:sz w:val="20"/>
          <w:szCs w:val="20"/>
        </w:rPr>
        <w:t>•During 2021, our business and financial results continued to reflect effects of the COVID-19 pandemic:</w:t>
      </w:r>
    </w:p>
    <w:p w14:paraId="5F2CA43C"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Approximately 79% of our employees globally continued to work rem</w:t>
      </w:r>
      <w:r>
        <w:rPr>
          <w:rFonts w:ascii="Arial" w:eastAsia="宋体" w:hAnsi="Arial" w:cs="Arial"/>
          <w:color w:val="000000"/>
          <w:sz w:val="20"/>
          <w:szCs w:val="20"/>
        </w:rPr>
        <w:t>otely as of December 31, 2021.</w:t>
      </w:r>
    </w:p>
    <w:p w14:paraId="5F2CA43D"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continued to experience high levels of client deposits in 2021 amidst the Federal Reserve's expansionary monetary policy and growth in AUC/A.</w:t>
      </w:r>
    </w:p>
    <w:p w14:paraId="5F2CA43E" w14:textId="77777777" w:rsidR="00E836FB" w:rsidRDefault="00994958">
      <w:pPr>
        <w:spacing w:before="60"/>
        <w:jc w:val="both"/>
        <w:textAlignment w:val="top"/>
      </w:pPr>
      <w:r>
        <w:rPr>
          <w:rFonts w:ascii="Arial" w:eastAsia="宋体" w:hAnsi="Arial" w:cs="Arial"/>
          <w:b/>
          <w:bCs/>
          <w:i/>
          <w:iCs/>
          <w:color w:val="000000"/>
          <w:sz w:val="20"/>
          <w:szCs w:val="20"/>
        </w:rPr>
        <w:t>Revenue</w:t>
      </w:r>
    </w:p>
    <w:p w14:paraId="5F2CA43F" w14:textId="77777777" w:rsidR="00E836FB" w:rsidRDefault="00994958">
      <w:pPr>
        <w:spacing w:before="60"/>
        <w:ind w:hanging="360"/>
        <w:jc w:val="both"/>
        <w:textAlignment w:val="top"/>
      </w:pPr>
      <w:r>
        <w:rPr>
          <w:rFonts w:ascii="Arial" w:eastAsia="宋体" w:hAnsi="Arial" w:cs="Arial"/>
          <w:color w:val="000000"/>
          <w:sz w:val="20"/>
          <w:szCs w:val="20"/>
        </w:rPr>
        <w:t xml:space="preserve">•Total revenue increased 3% in 2021 compared to 2020. Total fee </w:t>
      </w:r>
      <w:r>
        <w:rPr>
          <w:rFonts w:ascii="Arial" w:eastAsia="宋体" w:hAnsi="Arial" w:cs="Arial"/>
          <w:color w:val="000000"/>
          <w:sz w:val="20"/>
          <w:szCs w:val="20"/>
        </w:rPr>
        <w:t>revenue increased 5% in 2021 compared to 2020, driven by increases across servicing fees, management fees, securities finance and software and processing fees.</w:t>
      </w:r>
    </w:p>
    <w:p w14:paraId="5F2CA440" w14:textId="77777777" w:rsidR="00E836FB" w:rsidRDefault="00994958">
      <w:pPr>
        <w:spacing w:before="60"/>
        <w:ind w:hanging="360"/>
        <w:jc w:val="both"/>
        <w:textAlignment w:val="top"/>
      </w:pPr>
      <w:r>
        <w:rPr>
          <w:rFonts w:ascii="Arial" w:eastAsia="宋体" w:hAnsi="Arial" w:cs="Arial"/>
          <w:color w:val="000000"/>
          <w:sz w:val="20"/>
          <w:szCs w:val="20"/>
        </w:rPr>
        <w:t>•Servicing fee revenue increased 7% in 2021 compared to 2020, primarily due to higher average eq</w:t>
      </w:r>
      <w:r>
        <w:rPr>
          <w:rFonts w:ascii="Arial" w:eastAsia="宋体" w:hAnsi="Arial" w:cs="Arial"/>
          <w:color w:val="000000"/>
          <w:sz w:val="20"/>
          <w:szCs w:val="20"/>
        </w:rPr>
        <w:t>uity market levels, client activity and flows, and net new business, partially offset by normal pricing headwinds.</w:t>
      </w:r>
    </w:p>
    <w:p w14:paraId="5F2CA441" w14:textId="77777777" w:rsidR="00E836FB" w:rsidRDefault="00994958">
      <w:pPr>
        <w:spacing w:before="60"/>
        <w:ind w:hanging="360"/>
        <w:jc w:val="both"/>
        <w:textAlignment w:val="top"/>
      </w:pPr>
      <w:r>
        <w:rPr>
          <w:rFonts w:ascii="Arial" w:eastAsia="宋体" w:hAnsi="Arial" w:cs="Arial"/>
          <w:color w:val="000000"/>
          <w:sz w:val="20"/>
          <w:szCs w:val="20"/>
        </w:rPr>
        <w:t>•Management fee revenue increased 9% in 2021 compared to 2020, primarily due to higher average equity market levels and net inflows from ETFs</w:t>
      </w:r>
      <w:r>
        <w:rPr>
          <w:rFonts w:ascii="Arial" w:eastAsia="宋体" w:hAnsi="Arial" w:cs="Arial"/>
          <w:color w:val="000000"/>
          <w:sz w:val="20"/>
          <w:szCs w:val="20"/>
        </w:rPr>
        <w:t xml:space="preserve">, partially offset by a previously reported idiosyncratic institutional client asset reallocation expected to be primarily reflected in 2022, and higher money market fee waivers. </w:t>
      </w:r>
    </w:p>
    <w:p w14:paraId="5F2CA442" w14:textId="77777777" w:rsidR="00E836FB" w:rsidRDefault="00994958">
      <w:pPr>
        <w:ind w:firstLine="450"/>
        <w:jc w:val="right"/>
      </w:pPr>
      <w:r>
        <w:rPr>
          <w:rFonts w:ascii="Arial" w:eastAsia="宋体" w:hAnsi="Arial" w:cs="Arial"/>
          <w:color w:val="000000"/>
          <w:sz w:val="18"/>
          <w:szCs w:val="18"/>
        </w:rPr>
        <w:t>State Street Corporation | 59</w:t>
      </w:r>
    </w:p>
    <w:p w14:paraId="5F2CA443" w14:textId="77777777" w:rsidR="00E836FB" w:rsidRDefault="00E836FB">
      <w:pPr>
        <w:ind w:firstLine="450"/>
        <w:jc w:val="center"/>
      </w:pPr>
    </w:p>
    <w:p w14:paraId="5F2CA444" w14:textId="77777777" w:rsidR="00E836FB" w:rsidRDefault="00994958">
      <w:r>
        <w:pict w14:anchorId="5F2D6DC0">
          <v:rect id="_x0000_i1083" style="width:415.3pt;height:1.5pt" o:hralign="center" o:hrstd="t" o:hr="t" fillcolor="#a0a0a0" stroked="f"/>
        </w:pict>
      </w:r>
    </w:p>
    <w:p w14:paraId="5F2CA445" w14:textId="77777777" w:rsidR="00E836FB" w:rsidRDefault="00994958">
      <w:pPr>
        <w:ind w:firstLine="450"/>
        <w:jc w:val="center"/>
      </w:pPr>
      <w:r>
        <w:rPr>
          <w:rFonts w:ascii="Arial" w:eastAsia="宋体" w:hAnsi="Arial" w:cs="Arial"/>
          <w:b/>
          <w:bCs/>
          <w:color w:val="000000"/>
          <w:sz w:val="20"/>
          <w:szCs w:val="20"/>
        </w:rPr>
        <w:t>MANAGEMENT’S DISCUSSION AND ANALYSIS OF FIN</w:t>
      </w:r>
      <w:r>
        <w:rPr>
          <w:rFonts w:ascii="Arial" w:eastAsia="宋体" w:hAnsi="Arial" w:cs="Arial"/>
          <w:b/>
          <w:bCs/>
          <w:color w:val="000000"/>
          <w:sz w:val="20"/>
          <w:szCs w:val="20"/>
        </w:rPr>
        <w:t>ANCIAL CONDITION</w:t>
      </w:r>
    </w:p>
    <w:p w14:paraId="5F2CA446" w14:textId="77777777" w:rsidR="00E836FB" w:rsidRDefault="00994958">
      <w:pPr>
        <w:ind w:firstLine="450"/>
        <w:jc w:val="center"/>
      </w:pPr>
      <w:r>
        <w:rPr>
          <w:rFonts w:ascii="Arial" w:eastAsia="宋体" w:hAnsi="Arial" w:cs="Arial"/>
          <w:b/>
          <w:bCs/>
          <w:color w:val="000000"/>
          <w:sz w:val="20"/>
          <w:szCs w:val="20"/>
        </w:rPr>
        <w:t>AND RESULTS OF OPERATIONS</w:t>
      </w:r>
    </w:p>
    <w:p w14:paraId="5F2CA447"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Foreign exchange trading services revenue decreased 11% in 2021 compared to 2020, primarily due to lower FX volatility, as compared to the high levels of volatility experienced in 2020 due to the COVID-19 pandemi</w:t>
      </w:r>
      <w:r>
        <w:rPr>
          <w:rFonts w:ascii="Arial" w:eastAsia="宋体" w:hAnsi="Arial" w:cs="Arial"/>
          <w:color w:val="000000"/>
          <w:sz w:val="20"/>
          <w:szCs w:val="20"/>
        </w:rPr>
        <w:t>c, partially offset by higher client FX volumes.</w:t>
      </w:r>
    </w:p>
    <w:p w14:paraId="5F2CA448" w14:textId="77777777" w:rsidR="00E836FB" w:rsidRDefault="00994958">
      <w:pPr>
        <w:spacing w:before="60"/>
        <w:ind w:hanging="360"/>
        <w:jc w:val="both"/>
        <w:textAlignment w:val="top"/>
      </w:pPr>
      <w:r>
        <w:rPr>
          <w:rFonts w:ascii="Arial" w:eastAsia="宋体" w:hAnsi="Arial" w:cs="Arial"/>
          <w:color w:val="000000"/>
          <w:sz w:val="20"/>
          <w:szCs w:val="20"/>
        </w:rPr>
        <w:t>•Securities finance revenue increased 17% in 2021 compared to 2020, reflecting higher client securities loan balances and new business wins in enhanced custody, partially offset by lower spreads.</w:t>
      </w:r>
    </w:p>
    <w:p w14:paraId="5F2CA449"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Software a</w:t>
      </w:r>
      <w:r>
        <w:rPr>
          <w:rFonts w:ascii="Arial" w:eastAsia="宋体" w:hAnsi="Arial" w:cs="Arial"/>
          <w:color w:val="000000"/>
          <w:sz w:val="20"/>
          <w:szCs w:val="20"/>
        </w:rPr>
        <w:t>nd processing fees revenue increased 7% in 2021 compared to 2020, primarily due to higher CRD revenues.</w:t>
      </w:r>
    </w:p>
    <w:p w14:paraId="5F2CA44A" w14:textId="77777777" w:rsidR="00E836FB" w:rsidRDefault="00994958">
      <w:pPr>
        <w:spacing w:before="60"/>
        <w:ind w:hanging="360"/>
        <w:jc w:val="both"/>
        <w:textAlignment w:val="top"/>
      </w:pPr>
      <w:r>
        <w:rPr>
          <w:rFonts w:ascii="Arial" w:eastAsia="宋体" w:hAnsi="Arial" w:cs="Arial"/>
          <w:i/>
          <w:iCs/>
          <w:color w:val="000000"/>
          <w:sz w:val="22"/>
          <w:szCs w:val="22"/>
        </w:rPr>
        <w:t>•</w:t>
      </w:r>
      <w:r>
        <w:rPr>
          <w:rFonts w:ascii="Arial" w:eastAsia="宋体" w:hAnsi="Arial" w:cs="Arial"/>
          <w:color w:val="000000"/>
          <w:sz w:val="20"/>
          <w:szCs w:val="20"/>
        </w:rPr>
        <w:t xml:space="preserve">NII decreased 13% in 2021 compared to 2020, primarily due to lower investment portfolio yields, partially offset by growth in the investment portfolio </w:t>
      </w:r>
      <w:r>
        <w:rPr>
          <w:rFonts w:ascii="Arial" w:eastAsia="宋体" w:hAnsi="Arial" w:cs="Arial"/>
          <w:color w:val="000000"/>
          <w:sz w:val="20"/>
          <w:szCs w:val="20"/>
        </w:rPr>
        <w:t>and deposits, and higher loan balances.</w:t>
      </w:r>
    </w:p>
    <w:p w14:paraId="5F2CA44B" w14:textId="77777777" w:rsidR="00E836FB" w:rsidRDefault="00994958">
      <w:pPr>
        <w:spacing w:before="60"/>
        <w:jc w:val="both"/>
        <w:textAlignment w:val="top"/>
      </w:pPr>
      <w:r>
        <w:rPr>
          <w:rFonts w:ascii="Arial" w:eastAsia="宋体" w:hAnsi="Arial" w:cs="Arial"/>
          <w:b/>
          <w:bCs/>
          <w:i/>
          <w:iCs/>
          <w:color w:val="000000"/>
          <w:sz w:val="20"/>
          <w:szCs w:val="20"/>
        </w:rPr>
        <w:t>Provision for Credit Losses</w:t>
      </w:r>
    </w:p>
    <w:p w14:paraId="5F2CA44C" w14:textId="77777777" w:rsidR="00E836FB" w:rsidRDefault="00994958">
      <w:pPr>
        <w:spacing w:before="60"/>
        <w:ind w:hanging="360"/>
        <w:jc w:val="both"/>
        <w:textAlignment w:val="top"/>
      </w:pPr>
      <w:r>
        <w:rPr>
          <w:rFonts w:ascii="Arial" w:eastAsia="宋体" w:hAnsi="Arial" w:cs="Arial"/>
          <w:color w:val="000000"/>
          <w:sz w:val="20"/>
          <w:szCs w:val="20"/>
        </w:rPr>
        <w:t>•There was a $33 million release of credit reserves in 2021, compared to an expense of $88 million in 2020, which is primarily driven by observed and expected improvements in both credit q</w:t>
      </w:r>
      <w:r>
        <w:rPr>
          <w:rFonts w:ascii="Arial" w:eastAsia="宋体" w:hAnsi="Arial" w:cs="Arial"/>
          <w:color w:val="000000"/>
          <w:sz w:val="20"/>
          <w:szCs w:val="20"/>
        </w:rPr>
        <w:t xml:space="preserve">uality and economic outlook. </w:t>
      </w:r>
    </w:p>
    <w:p w14:paraId="5F2CA44D" w14:textId="77777777" w:rsidR="00E836FB" w:rsidRDefault="00994958">
      <w:pPr>
        <w:spacing w:before="60"/>
        <w:jc w:val="both"/>
        <w:textAlignment w:val="top"/>
      </w:pPr>
      <w:r>
        <w:rPr>
          <w:rFonts w:ascii="Arial" w:eastAsia="宋体" w:hAnsi="Arial" w:cs="Arial"/>
          <w:b/>
          <w:bCs/>
          <w:i/>
          <w:iCs/>
          <w:color w:val="000000"/>
          <w:sz w:val="20"/>
          <w:szCs w:val="20"/>
        </w:rPr>
        <w:t>Expenses</w:t>
      </w:r>
    </w:p>
    <w:p w14:paraId="5F2CA44E" w14:textId="77777777" w:rsidR="00E836FB" w:rsidRDefault="00994958">
      <w:pPr>
        <w:spacing w:before="60"/>
        <w:ind w:hanging="360"/>
        <w:jc w:val="both"/>
        <w:textAlignment w:val="top"/>
      </w:pPr>
      <w:r>
        <w:rPr>
          <w:rFonts w:ascii="Arial" w:eastAsia="宋体" w:hAnsi="Arial" w:cs="Arial"/>
          <w:color w:val="000000"/>
          <w:sz w:val="20"/>
          <w:szCs w:val="20"/>
        </w:rPr>
        <w:t xml:space="preserve">•Total expenses increased 2% in 2021 compared to 2020, primarily reflecting the impact of notable items and currency translation. Currency translation increased expenses by 1% in 2021 compared to 2020. </w:t>
      </w:r>
    </w:p>
    <w:p w14:paraId="5F2CA44F" w14:textId="77777777" w:rsidR="00E836FB" w:rsidRDefault="00994958">
      <w:pPr>
        <w:spacing w:before="60"/>
        <w:jc w:val="both"/>
        <w:textAlignment w:val="top"/>
      </w:pPr>
      <w:r>
        <w:rPr>
          <w:rFonts w:ascii="Arial" w:eastAsia="宋体" w:hAnsi="Arial" w:cs="Arial"/>
          <w:b/>
          <w:bCs/>
          <w:i/>
          <w:iCs/>
          <w:color w:val="000000"/>
          <w:sz w:val="20"/>
          <w:szCs w:val="20"/>
        </w:rPr>
        <w:t>Notable items</w:t>
      </w:r>
    </w:p>
    <w:p w14:paraId="5F2CA450" w14:textId="77777777" w:rsidR="00E836FB" w:rsidRDefault="00994958">
      <w:pPr>
        <w:spacing w:before="60"/>
        <w:ind w:hanging="360"/>
        <w:jc w:val="both"/>
        <w:textAlignment w:val="top"/>
      </w:pPr>
      <w:r>
        <w:rPr>
          <w:rFonts w:ascii="Arial" w:eastAsia="宋体" w:hAnsi="Arial" w:cs="Arial"/>
          <w:color w:val="000000"/>
          <w:sz w:val="20"/>
          <w:szCs w:val="20"/>
        </w:rPr>
        <w:t>•The impact of notable items in 2021 includes:</w:t>
      </w:r>
    </w:p>
    <w:p w14:paraId="5F2CA451"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$53 million gain on the sale of a majority share of our Wealth Management Services (WMS) business, recorded in other income;</w:t>
      </w:r>
    </w:p>
    <w:p w14:paraId="5F2CA452"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$58 million gain on sale of investment securities related to a one-time transfer o</w:t>
      </w:r>
      <w:r>
        <w:rPr>
          <w:rFonts w:ascii="Arial" w:eastAsia="宋体" w:hAnsi="Arial" w:cs="Arial"/>
          <w:color w:val="000000"/>
          <w:sz w:val="20"/>
          <w:szCs w:val="20"/>
        </w:rPr>
        <w:t>f LIBOR and Euro Interbank Offered Rate based securities from HTM to AFS, and the subsequent sale of the majority of those securities in 2021;</w:t>
      </w:r>
    </w:p>
    <w:p w14:paraId="5F2CA453"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net repositioning release of approximately $3 million, consisting of $32 million release of previously accrued s</w:t>
      </w:r>
      <w:r>
        <w:rPr>
          <w:rFonts w:ascii="Arial" w:eastAsia="宋体" w:hAnsi="Arial" w:cs="Arial"/>
          <w:color w:val="000000"/>
          <w:sz w:val="20"/>
          <w:szCs w:val="20"/>
        </w:rPr>
        <w:t>everance charges, partially offset by $29 million of occupancy charges related to footprint optimization;</w:t>
      </w:r>
    </w:p>
    <w:p w14:paraId="5F2CA454"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deferred compensation expense acceleration of approximately </w:t>
      </w:r>
    </w:p>
    <w:p w14:paraId="5F2CA455" w14:textId="77777777" w:rsidR="00E836FB" w:rsidRDefault="00994958">
      <w:pPr>
        <w:spacing w:before="60"/>
        <w:jc w:val="both"/>
        <w:textAlignment w:val="top"/>
      </w:pPr>
      <w:r>
        <w:rPr>
          <w:rFonts w:ascii="Arial" w:eastAsia="宋体" w:hAnsi="Arial" w:cs="Arial"/>
          <w:color w:val="000000"/>
          <w:sz w:val="20"/>
          <w:szCs w:val="20"/>
        </w:rPr>
        <w:t xml:space="preserve">$147 million associated with an amendment of certain outstanding deferred cash </w:t>
      </w:r>
      <w:r>
        <w:rPr>
          <w:rFonts w:ascii="Arial" w:eastAsia="宋体" w:hAnsi="Arial" w:cs="Arial"/>
          <w:color w:val="000000"/>
          <w:sz w:val="20"/>
          <w:szCs w:val="20"/>
        </w:rPr>
        <w:t>incentive compensation awards;</w:t>
      </w:r>
    </w:p>
    <w:p w14:paraId="5F2CA456"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$65 million, of which $53 million related to CRD and $13 million related to our planned acquisition of the BBH Investor Services business;</w:t>
      </w:r>
    </w:p>
    <w:p w14:paraId="5F2CA457"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net legal and other expenses of</w:t>
      </w:r>
      <w:r>
        <w:rPr>
          <w:rFonts w:ascii="Arial" w:eastAsia="宋体" w:hAnsi="Arial" w:cs="Arial"/>
          <w:color w:val="000000"/>
          <w:sz w:val="20"/>
          <w:szCs w:val="20"/>
        </w:rPr>
        <w:t xml:space="preserve"> approximately $18 million, including $20 million in information systems and communications, $8 million in transaction processing services and $1 million in other expenses, partially offset by a legal accrual release of approximately $11 million associated</w:t>
      </w:r>
      <w:r>
        <w:rPr>
          <w:rFonts w:ascii="Arial" w:eastAsia="宋体" w:hAnsi="Arial" w:cs="Arial"/>
          <w:color w:val="000000"/>
          <w:sz w:val="20"/>
          <w:szCs w:val="20"/>
        </w:rPr>
        <w:t xml:space="preserve"> with a settlement related to the invoicing matter; and</w:t>
      </w:r>
    </w:p>
    <w:p w14:paraId="5F2CA458"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costs of $5 million due to the partial redemption of outstanding Series F non-cumulative perpetual preferred stock representing the difference between the redemption value and the net carrying value </w:t>
      </w:r>
      <w:r>
        <w:rPr>
          <w:rFonts w:ascii="Arial" w:eastAsia="宋体" w:hAnsi="Arial" w:cs="Arial"/>
          <w:color w:val="000000"/>
          <w:sz w:val="20"/>
          <w:szCs w:val="20"/>
        </w:rPr>
        <w:t>of the preferred stock.</w:t>
      </w:r>
    </w:p>
    <w:p w14:paraId="5F2CA459" w14:textId="77777777" w:rsidR="00E836FB" w:rsidRDefault="00994958">
      <w:pPr>
        <w:spacing w:before="60"/>
        <w:ind w:hanging="360"/>
        <w:jc w:val="both"/>
        <w:textAlignment w:val="top"/>
      </w:pPr>
      <w:r>
        <w:rPr>
          <w:rFonts w:ascii="Arial" w:eastAsia="宋体" w:hAnsi="Arial" w:cs="Arial"/>
          <w:color w:val="000000"/>
          <w:sz w:val="20"/>
          <w:szCs w:val="20"/>
        </w:rPr>
        <w:t>•The impact of notable items in 2020 includes:</w:t>
      </w:r>
    </w:p>
    <w:p w14:paraId="5F2CA45A"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repositioning charges of approximately $133 million, consisting of $82 million of compensation and employee benefits expenses and $51 million of occupancy costs;</w:t>
      </w:r>
    </w:p>
    <w:p w14:paraId="5F2CA45B"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$50 million, primarily related to CRD;</w:t>
      </w:r>
    </w:p>
    <w:p w14:paraId="5F2CA45C"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 $9 million accrual release; and</w:t>
      </w:r>
    </w:p>
    <w:p w14:paraId="5F2CA45D"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costs of $9 million due to the redemption of all outstanding Series C non-cumulative perpetual preferred stock representing the</w:t>
      </w:r>
      <w:r>
        <w:rPr>
          <w:rFonts w:ascii="Arial" w:eastAsia="宋体" w:hAnsi="Arial" w:cs="Arial"/>
          <w:color w:val="000000"/>
          <w:sz w:val="20"/>
          <w:szCs w:val="20"/>
        </w:rPr>
        <w:t xml:space="preserve"> difference between the redemption value and the net carrying value of the preferred stock.</w:t>
      </w:r>
    </w:p>
    <w:p w14:paraId="5F2CA45E" w14:textId="77777777" w:rsidR="00E836FB" w:rsidRDefault="00994958">
      <w:pPr>
        <w:ind w:firstLine="450"/>
        <w:jc w:val="right"/>
      </w:pPr>
      <w:r>
        <w:rPr>
          <w:rFonts w:ascii="Arial" w:eastAsia="宋体" w:hAnsi="Arial" w:cs="Arial"/>
          <w:color w:val="000000"/>
          <w:sz w:val="18"/>
          <w:szCs w:val="18"/>
        </w:rPr>
        <w:t>State Street Corporation | 60</w:t>
      </w:r>
    </w:p>
    <w:p w14:paraId="5F2CA45F" w14:textId="77777777" w:rsidR="00E836FB" w:rsidRDefault="00E836FB">
      <w:pPr>
        <w:ind w:firstLine="450"/>
        <w:jc w:val="center"/>
      </w:pPr>
    </w:p>
    <w:p w14:paraId="5F2CA460" w14:textId="77777777" w:rsidR="00E836FB" w:rsidRDefault="00994958">
      <w:r>
        <w:pict w14:anchorId="5F2D6DC1">
          <v:rect id="_x0000_i1084" style="width:415.3pt;height:1.5pt" o:hralign="center" o:hrstd="t" o:hr="t" fillcolor="#a0a0a0" stroked="f"/>
        </w:pict>
      </w:r>
    </w:p>
    <w:p w14:paraId="5F2CA461"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A462" w14:textId="77777777" w:rsidR="00E836FB" w:rsidRDefault="00994958">
      <w:pPr>
        <w:ind w:firstLine="450"/>
        <w:jc w:val="center"/>
      </w:pPr>
      <w:r>
        <w:rPr>
          <w:rFonts w:ascii="Arial" w:eastAsia="宋体" w:hAnsi="Arial" w:cs="Arial"/>
          <w:b/>
          <w:bCs/>
          <w:color w:val="000000"/>
          <w:sz w:val="20"/>
          <w:szCs w:val="20"/>
        </w:rPr>
        <w:t>AND RESULTS OF OPERATIONS</w:t>
      </w:r>
    </w:p>
    <w:p w14:paraId="5F2CA463" w14:textId="77777777" w:rsidR="00E836FB" w:rsidRDefault="00994958">
      <w:pPr>
        <w:spacing w:before="60"/>
        <w:jc w:val="both"/>
        <w:textAlignment w:val="top"/>
      </w:pPr>
      <w:r>
        <w:rPr>
          <w:rFonts w:ascii="Arial" w:eastAsia="宋体" w:hAnsi="Arial" w:cs="Arial"/>
          <w:b/>
          <w:bCs/>
          <w:i/>
          <w:iCs/>
          <w:color w:val="000000"/>
          <w:sz w:val="20"/>
          <w:szCs w:val="20"/>
        </w:rPr>
        <w:t>AUC/A and AUM</w:t>
      </w:r>
    </w:p>
    <w:p w14:paraId="5F2CA464" w14:textId="77777777" w:rsidR="00E836FB" w:rsidRDefault="00994958">
      <w:pPr>
        <w:spacing w:before="60"/>
        <w:ind w:hanging="360"/>
        <w:jc w:val="both"/>
        <w:textAlignment w:val="top"/>
      </w:pPr>
      <w:r>
        <w:rPr>
          <w:rFonts w:ascii="Arial" w:eastAsia="宋体" w:hAnsi="Arial" w:cs="Arial"/>
          <w:color w:val="000000"/>
          <w:sz w:val="22"/>
          <w:szCs w:val="22"/>
        </w:rPr>
        <w:t>•</w:t>
      </w:r>
      <w:r>
        <w:rPr>
          <w:rFonts w:ascii="Arial" w:eastAsia="宋体" w:hAnsi="Arial" w:cs="Arial"/>
          <w:color w:val="000000"/>
          <w:sz w:val="20"/>
          <w:szCs w:val="20"/>
        </w:rPr>
        <w:t>AUC/A of $43.68 trillion incre</w:t>
      </w:r>
      <w:r>
        <w:rPr>
          <w:rFonts w:ascii="Arial" w:eastAsia="宋体" w:hAnsi="Arial" w:cs="Arial"/>
          <w:color w:val="000000"/>
          <w:sz w:val="20"/>
          <w:szCs w:val="20"/>
        </w:rPr>
        <w:t>ased 13% as of December 31, 2021, compared to December 31, 2020, primarily due to higher market levels, client flows and net new business growth. In 2021, newly announced asset servicing mandates totaled approximately $3.52 trillion, with State Street Alph</w:t>
      </w:r>
      <w:r>
        <w:rPr>
          <w:rFonts w:ascii="Arial" w:eastAsia="宋体" w:hAnsi="Arial" w:cs="Arial"/>
          <w:color w:val="000000"/>
          <w:sz w:val="20"/>
          <w:szCs w:val="20"/>
        </w:rPr>
        <w:t>a</w:t>
      </w:r>
      <w:r>
        <w:rPr>
          <w:rFonts w:ascii="Arial" w:eastAsia="宋体" w:hAnsi="Arial" w:cs="Arial"/>
          <w:color w:val="000000"/>
          <w:sz w:val="13"/>
          <w:szCs w:val="13"/>
        </w:rPr>
        <w:t xml:space="preserve">SM </w:t>
      </w:r>
      <w:r>
        <w:rPr>
          <w:rFonts w:ascii="Arial" w:eastAsia="宋体" w:hAnsi="Arial" w:cs="Arial"/>
          <w:color w:val="000000"/>
          <w:sz w:val="20"/>
          <w:szCs w:val="20"/>
        </w:rPr>
        <w:t>representing a large proportion of the wins. Servicing assets remaining to be installed in future periods totaled approximately $2.80 trillion as of December 31, 2021.</w:t>
      </w:r>
    </w:p>
    <w:p w14:paraId="5F2CA465" w14:textId="77777777" w:rsidR="00E836FB" w:rsidRDefault="00994958">
      <w:pPr>
        <w:spacing w:before="60"/>
        <w:ind w:hanging="360"/>
        <w:jc w:val="both"/>
        <w:textAlignment w:val="top"/>
      </w:pPr>
      <w:r>
        <w:rPr>
          <w:rFonts w:ascii="Arial" w:eastAsia="宋体" w:hAnsi="Arial" w:cs="Arial"/>
          <w:color w:val="000000"/>
          <w:sz w:val="22"/>
          <w:szCs w:val="22"/>
        </w:rPr>
        <w:t>•</w:t>
      </w:r>
      <w:r>
        <w:rPr>
          <w:rFonts w:ascii="Arial" w:eastAsia="宋体" w:hAnsi="Arial" w:cs="Arial"/>
          <w:color w:val="000000"/>
          <w:sz w:val="20"/>
          <w:szCs w:val="20"/>
        </w:rPr>
        <w:t>AUM of $4.14 trillion increased 19% as of December 31, 2021, compared to December 3</w:t>
      </w:r>
      <w:r>
        <w:rPr>
          <w:rFonts w:ascii="Arial" w:eastAsia="宋体" w:hAnsi="Arial" w:cs="Arial"/>
          <w:color w:val="000000"/>
          <w:sz w:val="20"/>
          <w:szCs w:val="20"/>
        </w:rPr>
        <w:t>1, 2020, primarily due to higher market levels and net inflows, primarily from ETFs.</w:t>
      </w:r>
    </w:p>
    <w:p w14:paraId="5F2CA466" w14:textId="77777777" w:rsidR="00E836FB" w:rsidRDefault="00994958">
      <w:pPr>
        <w:spacing w:before="60"/>
        <w:jc w:val="both"/>
        <w:textAlignment w:val="top"/>
      </w:pPr>
      <w:r>
        <w:rPr>
          <w:rFonts w:ascii="Arial" w:eastAsia="宋体" w:hAnsi="Arial" w:cs="Arial"/>
          <w:b/>
          <w:bCs/>
          <w:i/>
          <w:iCs/>
          <w:color w:val="000000"/>
          <w:sz w:val="20"/>
          <w:szCs w:val="20"/>
        </w:rPr>
        <w:t xml:space="preserve">Capital </w:t>
      </w:r>
    </w:p>
    <w:p w14:paraId="5F2CA467" w14:textId="77777777" w:rsidR="00E836FB" w:rsidRDefault="00994958">
      <w:pPr>
        <w:spacing w:before="60"/>
        <w:ind w:hanging="360"/>
        <w:jc w:val="both"/>
        <w:textAlignment w:val="top"/>
      </w:pPr>
      <w:r>
        <w:rPr>
          <w:rFonts w:ascii="Arial" w:eastAsia="宋体" w:hAnsi="Arial" w:cs="Arial"/>
          <w:color w:val="000000"/>
          <w:sz w:val="20"/>
          <w:szCs w:val="20"/>
        </w:rPr>
        <w:t>•In 2021, we returned a total of approximately $1.7 billion to our shareholders in the form of common stock dividends paid and share repurchases.</w:t>
      </w:r>
    </w:p>
    <w:p w14:paraId="5F2CA468" w14:textId="77777777" w:rsidR="00E836FB" w:rsidRDefault="00994958">
      <w:pPr>
        <w:spacing w:before="60"/>
        <w:ind w:hanging="360"/>
        <w:jc w:val="both"/>
        <w:textAlignment w:val="top"/>
      </w:pPr>
      <w:r>
        <w:rPr>
          <w:rFonts w:ascii="Arial" w:eastAsia="宋体" w:hAnsi="Arial" w:cs="Arial"/>
          <w:color w:val="000000"/>
          <w:sz w:val="20"/>
          <w:szCs w:val="20"/>
        </w:rPr>
        <w:t>•We declared agg</w:t>
      </w:r>
      <w:r>
        <w:rPr>
          <w:rFonts w:ascii="Arial" w:eastAsia="宋体" w:hAnsi="Arial" w:cs="Arial"/>
          <w:color w:val="000000"/>
          <w:sz w:val="20"/>
          <w:szCs w:val="20"/>
        </w:rPr>
        <w:t>regate common stock dividends of $2.18 per share, totaling $779 million in 2021 compared to $2.08 per share, totaling $734 million in 2020.</w:t>
      </w:r>
    </w:p>
    <w:p w14:paraId="5F2CA469" w14:textId="77777777" w:rsidR="00E836FB" w:rsidRDefault="00994958">
      <w:pPr>
        <w:spacing w:before="60"/>
        <w:ind w:hanging="360"/>
        <w:jc w:val="both"/>
        <w:textAlignment w:val="top"/>
      </w:pPr>
      <w:r>
        <w:rPr>
          <w:rFonts w:ascii="Arial" w:eastAsia="宋体" w:hAnsi="Arial" w:cs="Arial"/>
          <w:color w:val="000000"/>
          <w:sz w:val="20"/>
          <w:szCs w:val="20"/>
        </w:rPr>
        <w:t>•In 2021, we purchased an aggregate of 11.2 million shares of common stock, under share repurchase programs approved</w:t>
      </w:r>
      <w:r>
        <w:rPr>
          <w:rFonts w:ascii="Arial" w:eastAsia="宋体" w:hAnsi="Arial" w:cs="Arial"/>
          <w:color w:val="000000"/>
          <w:sz w:val="20"/>
          <w:szCs w:val="20"/>
        </w:rPr>
        <w:t xml:space="preserve"> by our Board, at an average per share cost of $80.00 and an aggregate cost of approximately $900 million.</w:t>
      </w:r>
    </w:p>
    <w:p w14:paraId="5F2CA46A" w14:textId="77777777" w:rsidR="00E836FB" w:rsidRDefault="00994958">
      <w:pPr>
        <w:spacing w:before="60"/>
        <w:ind w:hanging="360"/>
        <w:jc w:val="both"/>
        <w:textAlignment w:val="top"/>
      </w:pPr>
      <w:r>
        <w:rPr>
          <w:rFonts w:ascii="Arial" w:eastAsia="宋体" w:hAnsi="Arial" w:cs="Arial"/>
          <w:color w:val="000000"/>
          <w:sz w:val="20"/>
          <w:szCs w:val="20"/>
        </w:rPr>
        <w:t>•In July 2021, our Board authorized a common share repurchase plan of up to $3.0 billion of our common stock through the end of 2022; however, as not</w:t>
      </w:r>
      <w:r>
        <w:rPr>
          <w:rFonts w:ascii="Arial" w:eastAsia="宋体" w:hAnsi="Arial" w:cs="Arial"/>
          <w:color w:val="000000"/>
          <w:sz w:val="20"/>
          <w:szCs w:val="20"/>
        </w:rPr>
        <w:t>ed above, in connection with our planned acquisition of the BBH Investor Services business, we did not repurchase any common stock during the third and fourth quarters of 2021. We do not intend to repurchase any common stock during the first quarter of 202</w:t>
      </w:r>
      <w:r>
        <w:rPr>
          <w:rFonts w:ascii="Arial" w:eastAsia="宋体" w:hAnsi="Arial" w:cs="Arial"/>
          <w:color w:val="000000"/>
          <w:sz w:val="20"/>
          <w:szCs w:val="20"/>
        </w:rPr>
        <w:t>2. We intend to resume our common share repurchases during the second quarter of 2022.</w:t>
      </w:r>
    </w:p>
    <w:p w14:paraId="5F2CA46B" w14:textId="77777777" w:rsidR="00E836FB" w:rsidRDefault="00994958">
      <w:pPr>
        <w:spacing w:before="60"/>
        <w:ind w:hanging="360"/>
        <w:jc w:val="both"/>
        <w:textAlignment w:val="top"/>
      </w:pPr>
      <w:r>
        <w:rPr>
          <w:rFonts w:ascii="Arial" w:eastAsia="宋体" w:hAnsi="Arial" w:cs="Arial"/>
          <w:color w:val="000000"/>
          <w:sz w:val="20"/>
          <w:szCs w:val="20"/>
        </w:rPr>
        <w:t>•In September 2021, we completed a public offering of approximately 21.7 million shares of our common stock. The offering price was $87.60 per share and net proceeds tot</w:t>
      </w:r>
      <w:r>
        <w:rPr>
          <w:rFonts w:ascii="Arial" w:eastAsia="宋体" w:hAnsi="Arial" w:cs="Arial"/>
          <w:color w:val="000000"/>
          <w:sz w:val="20"/>
          <w:szCs w:val="20"/>
        </w:rPr>
        <w:t>aled approximately $1.9 billion. As noted above, we expect to use these net proceeds to finance our planned acquisition of the BBH Investor Services business.</w:t>
      </w:r>
    </w:p>
    <w:p w14:paraId="5F2CA46C" w14:textId="77777777" w:rsidR="00E836FB" w:rsidRDefault="00994958">
      <w:pPr>
        <w:spacing w:before="60"/>
        <w:ind w:hanging="360"/>
        <w:jc w:val="both"/>
        <w:textAlignment w:val="top"/>
      </w:pPr>
      <w:r>
        <w:rPr>
          <w:rFonts w:ascii="Arial" w:eastAsia="宋体" w:hAnsi="Arial" w:cs="Arial"/>
          <w:color w:val="000000"/>
          <w:sz w:val="20"/>
          <w:szCs w:val="20"/>
        </w:rPr>
        <w:t>•Our standardized CET1 capital ratio increased to 14.3% as of December 31, 2021, compared to 12.3</w:t>
      </w:r>
      <w:r>
        <w:rPr>
          <w:rFonts w:ascii="Arial" w:eastAsia="宋体" w:hAnsi="Arial" w:cs="Arial"/>
          <w:color w:val="000000"/>
          <w:sz w:val="20"/>
          <w:szCs w:val="20"/>
        </w:rPr>
        <w:t>% as of December 31, 2020, primarily due to higher retained earnings and the issuance of common stock in September 2021. Our Tier 1 leverage ratio decreased to 6.1% as of December 31, 2021 compared to 6.4% as of December 31, 2020. We expect both our CET1 c</w:t>
      </w:r>
      <w:r>
        <w:rPr>
          <w:rFonts w:ascii="Arial" w:eastAsia="宋体" w:hAnsi="Arial" w:cs="Arial"/>
          <w:color w:val="000000"/>
          <w:sz w:val="20"/>
          <w:szCs w:val="20"/>
        </w:rPr>
        <w:t>apital and Tier 1 leverage ratios to be at or near the lower end of our target ranges of 10-11% and 5.25-5.75%, respectively, for the first half of 2022, assuming a closing of our planned acquisition of the BBH Investor Services business during that period</w:t>
      </w:r>
      <w:r>
        <w:rPr>
          <w:rFonts w:ascii="Arial" w:eastAsia="宋体" w:hAnsi="Arial" w:cs="Arial"/>
          <w:color w:val="000000"/>
          <w:sz w:val="20"/>
          <w:szCs w:val="20"/>
        </w:rPr>
        <w:t xml:space="preserve"> and inclusive of the implementation of SA-CCR.</w:t>
      </w:r>
    </w:p>
    <w:p w14:paraId="5F2CA46D" w14:textId="77777777" w:rsidR="00E836FB" w:rsidRDefault="00994958">
      <w:pPr>
        <w:spacing w:before="60"/>
        <w:ind w:hanging="360"/>
        <w:jc w:val="both"/>
        <w:textAlignment w:val="top"/>
      </w:pPr>
      <w:r>
        <w:rPr>
          <w:rFonts w:ascii="Arial" w:eastAsia="宋体" w:hAnsi="Arial" w:cs="Arial"/>
          <w:i/>
          <w:iCs/>
          <w:color w:val="000000"/>
          <w:sz w:val="20"/>
          <w:szCs w:val="20"/>
        </w:rPr>
        <w:t>•</w:t>
      </w:r>
      <w:r>
        <w:rPr>
          <w:rFonts w:ascii="Arial" w:eastAsia="宋体" w:hAnsi="Arial" w:cs="Arial"/>
          <w:color w:val="000000"/>
          <w:sz w:val="20"/>
          <w:szCs w:val="20"/>
        </w:rPr>
        <w:t xml:space="preserve">On March 15, 2021, we redeemed an aggregate of $500 million, or 5,000 of the 7,500 outstanding shares, of our noncumulative perpetual preferred stock, Series F, for cash at a redemption price of </w:t>
      </w:r>
      <w:r>
        <w:rPr>
          <w:rFonts w:ascii="Arial" w:eastAsia="宋体" w:hAnsi="Arial" w:cs="Arial"/>
          <w:color w:val="000000"/>
          <w:sz w:val="20"/>
          <w:szCs w:val="20"/>
        </w:rPr>
        <w:t>$100,000 per share (equivalent to $1,000 per depositary share) plus all declared and unpaid dividends.</w:t>
      </w:r>
    </w:p>
    <w:p w14:paraId="5F2CA46E" w14:textId="77777777" w:rsidR="00E836FB" w:rsidRDefault="00994958">
      <w:pPr>
        <w:spacing w:before="60"/>
        <w:ind w:firstLine="720"/>
        <w:jc w:val="both"/>
        <w:textAlignment w:val="top"/>
      </w:pPr>
      <w:r>
        <w:rPr>
          <w:rFonts w:ascii="Arial" w:eastAsia="宋体" w:hAnsi="Arial" w:cs="Arial"/>
          <w:b/>
          <w:bCs/>
          <w:i/>
          <w:iCs/>
          <w:color w:val="000000"/>
          <w:sz w:val="20"/>
          <w:szCs w:val="20"/>
        </w:rPr>
        <w:t>Debt Issuances</w:t>
      </w:r>
    </w:p>
    <w:p w14:paraId="5F2CA46F" w14:textId="77777777" w:rsidR="00E836FB" w:rsidRDefault="00994958">
      <w:pPr>
        <w:spacing w:before="60"/>
        <w:ind w:hanging="360"/>
        <w:jc w:val="both"/>
        <w:textAlignment w:val="top"/>
      </w:pPr>
      <w:r>
        <w:rPr>
          <w:rFonts w:ascii="Arial" w:eastAsia="宋体" w:hAnsi="Arial" w:cs="Arial"/>
          <w:color w:val="000000"/>
          <w:sz w:val="20"/>
          <w:szCs w:val="20"/>
        </w:rPr>
        <w:t>•On March 3, 2021, we issued $850 million aggregate principal amount of 2.200% Senior Subordinated Notes due 2031.</w:t>
      </w:r>
    </w:p>
    <w:p w14:paraId="5F2CA470" w14:textId="77777777" w:rsidR="00E836FB" w:rsidRDefault="00994958">
      <w:pPr>
        <w:spacing w:before="60"/>
        <w:ind w:hanging="360"/>
        <w:jc w:val="both"/>
        <w:textAlignment w:val="top"/>
      </w:pPr>
      <w:r>
        <w:rPr>
          <w:rFonts w:ascii="Arial" w:eastAsia="宋体" w:hAnsi="Arial" w:cs="Arial"/>
          <w:color w:val="000000"/>
          <w:sz w:val="20"/>
          <w:szCs w:val="20"/>
        </w:rPr>
        <w:t xml:space="preserve">•On November 18, 2021, </w:t>
      </w:r>
      <w:r>
        <w:rPr>
          <w:rFonts w:ascii="Arial" w:eastAsia="宋体" w:hAnsi="Arial" w:cs="Arial"/>
          <w:color w:val="000000"/>
          <w:sz w:val="20"/>
          <w:szCs w:val="20"/>
        </w:rPr>
        <w:t>we issued $500 million aggregate principal amount of 1.684% Fixed-to-Floating Rate Senior Notes due 2027.</w:t>
      </w:r>
    </w:p>
    <w:p w14:paraId="5F2CA471" w14:textId="77777777" w:rsidR="00E836FB" w:rsidRDefault="00994958">
      <w:pPr>
        <w:spacing w:before="60"/>
        <w:ind w:hanging="360"/>
        <w:jc w:val="both"/>
        <w:textAlignment w:val="top"/>
      </w:pPr>
      <w:r>
        <w:rPr>
          <w:rFonts w:ascii="Arial" w:eastAsia="宋体" w:hAnsi="Arial" w:cs="Arial"/>
          <w:color w:val="000000"/>
          <w:sz w:val="20"/>
          <w:szCs w:val="20"/>
        </w:rPr>
        <w:t>•On February 7, 2022, we issued $300 million aggregate principal amount of fixed-to-floating rate senior notes due 2026, $650 million aggregate princi</w:t>
      </w:r>
      <w:r>
        <w:rPr>
          <w:rFonts w:ascii="Arial" w:eastAsia="宋体" w:hAnsi="Arial" w:cs="Arial"/>
          <w:color w:val="000000"/>
          <w:sz w:val="20"/>
          <w:szCs w:val="20"/>
        </w:rPr>
        <w:t>pal amount of fixed-to-floating rate senior notes due 2028 and $550 million aggregate principal amount of fixed-to-floating rate senior notes due 2033.</w:t>
      </w:r>
    </w:p>
    <w:p w14:paraId="5F2CA472" w14:textId="77777777" w:rsidR="00E836FB" w:rsidRDefault="00994958">
      <w:pPr>
        <w:ind w:firstLine="450"/>
        <w:jc w:val="right"/>
      </w:pPr>
      <w:r>
        <w:rPr>
          <w:rFonts w:ascii="Arial" w:eastAsia="宋体" w:hAnsi="Arial" w:cs="Arial"/>
          <w:color w:val="000000"/>
          <w:sz w:val="18"/>
          <w:szCs w:val="18"/>
        </w:rPr>
        <w:t>State Street Corporation | 61</w:t>
      </w:r>
    </w:p>
    <w:p w14:paraId="5F2CA473" w14:textId="77777777" w:rsidR="00E836FB" w:rsidRDefault="00E836FB">
      <w:pPr>
        <w:ind w:firstLine="450"/>
        <w:jc w:val="center"/>
      </w:pPr>
    </w:p>
    <w:p w14:paraId="5F2CA474" w14:textId="77777777" w:rsidR="00E836FB" w:rsidRDefault="00994958">
      <w:r>
        <w:pict w14:anchorId="5F2D6DC2">
          <v:rect id="_x0000_i1085" style="width:415.3pt;height:1.5pt" o:hralign="center" o:hrstd="t" o:hr="t" fillcolor="#a0a0a0" stroked="f"/>
        </w:pict>
      </w:r>
    </w:p>
    <w:p w14:paraId="5F2CA475"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A476" w14:textId="77777777" w:rsidR="00E836FB" w:rsidRDefault="00994958">
      <w:pPr>
        <w:ind w:firstLine="450"/>
        <w:jc w:val="center"/>
      </w:pPr>
      <w:r>
        <w:rPr>
          <w:rFonts w:ascii="Arial" w:eastAsia="宋体" w:hAnsi="Arial" w:cs="Arial"/>
          <w:b/>
          <w:bCs/>
          <w:color w:val="000000"/>
          <w:sz w:val="20"/>
          <w:szCs w:val="20"/>
        </w:rPr>
        <w:t>AND RESULTS</w:t>
      </w:r>
      <w:r>
        <w:rPr>
          <w:rFonts w:ascii="Arial" w:eastAsia="宋体" w:hAnsi="Arial" w:cs="Arial"/>
          <w:b/>
          <w:bCs/>
          <w:color w:val="000000"/>
          <w:sz w:val="20"/>
          <w:szCs w:val="20"/>
        </w:rPr>
        <w:t xml:space="preserve"> OF OPERATIONS</w:t>
      </w:r>
    </w:p>
    <w:p w14:paraId="5F2CA477" w14:textId="77777777" w:rsidR="00E836FB" w:rsidRDefault="00994958">
      <w:pPr>
        <w:spacing w:before="90"/>
        <w:jc w:val="both"/>
      </w:pPr>
      <w:r>
        <w:rPr>
          <w:rFonts w:ascii="Arial" w:eastAsia="宋体" w:hAnsi="Arial" w:cs="Arial"/>
          <w:b/>
          <w:bCs/>
          <w:color w:val="000000"/>
          <w:sz w:val="20"/>
          <w:szCs w:val="20"/>
        </w:rPr>
        <w:t>CONSOLIDATED RESULTS OF OPERATIONS</w:t>
      </w:r>
    </w:p>
    <w:p w14:paraId="5F2CA478" w14:textId="77777777" w:rsidR="00E836FB" w:rsidRDefault="00994958">
      <w:pPr>
        <w:spacing w:before="60" w:after="60"/>
        <w:ind w:firstLine="450"/>
        <w:jc w:val="both"/>
      </w:pPr>
      <w:r>
        <w:rPr>
          <w:rFonts w:ascii="Arial" w:eastAsia="宋体" w:hAnsi="Arial" w:cs="Arial"/>
          <w:color w:val="000000"/>
          <w:sz w:val="20"/>
          <w:szCs w:val="20"/>
        </w:rPr>
        <w:t>This section discusses our consolidated results of operations for 2021 compared to 2020 and should be read in conjunction with the consolidated financial statements and accompanying notes to the consolidate</w:t>
      </w:r>
      <w:r>
        <w:rPr>
          <w:rFonts w:ascii="Arial" w:eastAsia="宋体" w:hAnsi="Arial" w:cs="Arial"/>
          <w:color w:val="000000"/>
          <w:sz w:val="20"/>
          <w:szCs w:val="20"/>
        </w:rPr>
        <w:t>d financial statements in this Form 10-K.</w:t>
      </w:r>
    </w:p>
    <w:p w14:paraId="5F2CA479" w14:textId="77777777" w:rsidR="00E836FB" w:rsidRDefault="00994958">
      <w:pPr>
        <w:spacing w:before="90"/>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3030"/>
        <w:gridCol w:w="37"/>
        <w:gridCol w:w="98"/>
        <w:gridCol w:w="821"/>
        <w:gridCol w:w="36"/>
        <w:gridCol w:w="36"/>
        <w:gridCol w:w="36"/>
        <w:gridCol w:w="36"/>
        <w:gridCol w:w="98"/>
        <w:gridCol w:w="777"/>
        <w:gridCol w:w="36"/>
        <w:gridCol w:w="36"/>
        <w:gridCol w:w="36"/>
        <w:gridCol w:w="36"/>
        <w:gridCol w:w="98"/>
        <w:gridCol w:w="777"/>
        <w:gridCol w:w="36"/>
        <w:gridCol w:w="36"/>
        <w:gridCol w:w="36"/>
        <w:gridCol w:w="36"/>
        <w:gridCol w:w="48"/>
        <w:gridCol w:w="763"/>
        <w:gridCol w:w="145"/>
        <w:gridCol w:w="36"/>
        <w:gridCol w:w="36"/>
        <w:gridCol w:w="36"/>
        <w:gridCol w:w="36"/>
        <w:gridCol w:w="36"/>
        <w:gridCol w:w="36"/>
        <w:gridCol w:w="48"/>
        <w:gridCol w:w="765"/>
        <w:gridCol w:w="145"/>
      </w:tblGrid>
      <w:tr w:rsidR="00E836FB" w14:paraId="5F2CA499" w14:textId="77777777">
        <w:tc>
          <w:tcPr>
            <w:tcW w:w="50" w:type="pct"/>
            <w:shd w:val="clear" w:color="auto" w:fill="auto"/>
            <w:vAlign w:val="bottom"/>
          </w:tcPr>
          <w:p w14:paraId="5F2CA47A" w14:textId="77777777" w:rsidR="00E836FB" w:rsidRDefault="00E836FB">
            <w:pPr>
              <w:rPr>
                <w:rFonts w:ascii="宋体"/>
              </w:rPr>
            </w:pPr>
          </w:p>
        </w:tc>
        <w:tc>
          <w:tcPr>
            <w:tcW w:w="1874" w:type="pct"/>
            <w:shd w:val="clear" w:color="auto" w:fill="auto"/>
            <w:vAlign w:val="bottom"/>
          </w:tcPr>
          <w:p w14:paraId="5F2CA47B" w14:textId="77777777" w:rsidR="00E836FB" w:rsidRDefault="00E836FB">
            <w:pPr>
              <w:rPr>
                <w:rFonts w:ascii="宋体"/>
              </w:rPr>
            </w:pPr>
          </w:p>
        </w:tc>
        <w:tc>
          <w:tcPr>
            <w:tcW w:w="5" w:type="pct"/>
            <w:shd w:val="clear" w:color="auto" w:fill="auto"/>
            <w:vAlign w:val="bottom"/>
          </w:tcPr>
          <w:p w14:paraId="5F2CA47C" w14:textId="77777777" w:rsidR="00E836FB" w:rsidRDefault="00E836FB">
            <w:pPr>
              <w:rPr>
                <w:rFonts w:ascii="宋体"/>
              </w:rPr>
            </w:pPr>
          </w:p>
        </w:tc>
        <w:tc>
          <w:tcPr>
            <w:tcW w:w="50" w:type="pct"/>
            <w:shd w:val="clear" w:color="auto" w:fill="auto"/>
            <w:vAlign w:val="bottom"/>
          </w:tcPr>
          <w:p w14:paraId="5F2CA47D" w14:textId="77777777" w:rsidR="00E836FB" w:rsidRDefault="00E836FB">
            <w:pPr>
              <w:rPr>
                <w:rFonts w:ascii="宋体"/>
              </w:rPr>
            </w:pPr>
          </w:p>
        </w:tc>
        <w:tc>
          <w:tcPr>
            <w:tcW w:w="529" w:type="pct"/>
            <w:shd w:val="clear" w:color="auto" w:fill="auto"/>
            <w:vAlign w:val="bottom"/>
          </w:tcPr>
          <w:p w14:paraId="5F2CA47E" w14:textId="77777777" w:rsidR="00E836FB" w:rsidRDefault="00E836FB">
            <w:pPr>
              <w:rPr>
                <w:rFonts w:ascii="宋体"/>
              </w:rPr>
            </w:pPr>
          </w:p>
        </w:tc>
        <w:tc>
          <w:tcPr>
            <w:tcW w:w="5" w:type="pct"/>
            <w:shd w:val="clear" w:color="auto" w:fill="auto"/>
            <w:vAlign w:val="bottom"/>
          </w:tcPr>
          <w:p w14:paraId="5F2CA47F" w14:textId="77777777" w:rsidR="00E836FB" w:rsidRDefault="00E836FB">
            <w:pPr>
              <w:rPr>
                <w:rFonts w:ascii="宋体"/>
              </w:rPr>
            </w:pPr>
          </w:p>
        </w:tc>
        <w:tc>
          <w:tcPr>
            <w:tcW w:w="5" w:type="pct"/>
            <w:shd w:val="clear" w:color="auto" w:fill="auto"/>
            <w:vAlign w:val="bottom"/>
          </w:tcPr>
          <w:p w14:paraId="5F2CA480" w14:textId="77777777" w:rsidR="00E836FB" w:rsidRDefault="00E836FB">
            <w:pPr>
              <w:rPr>
                <w:rFonts w:ascii="宋体"/>
              </w:rPr>
            </w:pPr>
          </w:p>
        </w:tc>
        <w:tc>
          <w:tcPr>
            <w:tcW w:w="26" w:type="pct"/>
            <w:shd w:val="clear" w:color="auto" w:fill="auto"/>
            <w:vAlign w:val="bottom"/>
          </w:tcPr>
          <w:p w14:paraId="5F2CA481" w14:textId="77777777" w:rsidR="00E836FB" w:rsidRDefault="00E836FB">
            <w:pPr>
              <w:rPr>
                <w:rFonts w:ascii="宋体"/>
              </w:rPr>
            </w:pPr>
          </w:p>
        </w:tc>
        <w:tc>
          <w:tcPr>
            <w:tcW w:w="5" w:type="pct"/>
            <w:shd w:val="clear" w:color="auto" w:fill="auto"/>
            <w:vAlign w:val="bottom"/>
          </w:tcPr>
          <w:p w14:paraId="5F2CA482" w14:textId="77777777" w:rsidR="00E836FB" w:rsidRDefault="00E836FB">
            <w:pPr>
              <w:rPr>
                <w:rFonts w:ascii="宋体"/>
              </w:rPr>
            </w:pPr>
          </w:p>
        </w:tc>
        <w:tc>
          <w:tcPr>
            <w:tcW w:w="50" w:type="pct"/>
            <w:shd w:val="clear" w:color="auto" w:fill="auto"/>
            <w:vAlign w:val="bottom"/>
          </w:tcPr>
          <w:p w14:paraId="5F2CA483" w14:textId="77777777" w:rsidR="00E836FB" w:rsidRDefault="00E836FB">
            <w:pPr>
              <w:rPr>
                <w:rFonts w:ascii="宋体"/>
              </w:rPr>
            </w:pPr>
          </w:p>
        </w:tc>
        <w:tc>
          <w:tcPr>
            <w:tcW w:w="529" w:type="pct"/>
            <w:shd w:val="clear" w:color="auto" w:fill="auto"/>
            <w:vAlign w:val="bottom"/>
          </w:tcPr>
          <w:p w14:paraId="5F2CA484" w14:textId="77777777" w:rsidR="00E836FB" w:rsidRDefault="00E836FB">
            <w:pPr>
              <w:rPr>
                <w:rFonts w:ascii="宋体"/>
              </w:rPr>
            </w:pPr>
          </w:p>
        </w:tc>
        <w:tc>
          <w:tcPr>
            <w:tcW w:w="5" w:type="pct"/>
            <w:shd w:val="clear" w:color="auto" w:fill="auto"/>
            <w:vAlign w:val="bottom"/>
          </w:tcPr>
          <w:p w14:paraId="5F2CA485" w14:textId="77777777" w:rsidR="00E836FB" w:rsidRDefault="00E836FB">
            <w:pPr>
              <w:rPr>
                <w:rFonts w:ascii="宋体"/>
              </w:rPr>
            </w:pPr>
          </w:p>
        </w:tc>
        <w:tc>
          <w:tcPr>
            <w:tcW w:w="5" w:type="pct"/>
            <w:shd w:val="clear" w:color="auto" w:fill="auto"/>
            <w:vAlign w:val="bottom"/>
          </w:tcPr>
          <w:p w14:paraId="5F2CA486" w14:textId="77777777" w:rsidR="00E836FB" w:rsidRDefault="00E836FB">
            <w:pPr>
              <w:rPr>
                <w:rFonts w:ascii="宋体"/>
              </w:rPr>
            </w:pPr>
          </w:p>
        </w:tc>
        <w:tc>
          <w:tcPr>
            <w:tcW w:w="26" w:type="pct"/>
            <w:shd w:val="clear" w:color="auto" w:fill="auto"/>
            <w:vAlign w:val="bottom"/>
          </w:tcPr>
          <w:p w14:paraId="5F2CA487" w14:textId="77777777" w:rsidR="00E836FB" w:rsidRDefault="00E836FB">
            <w:pPr>
              <w:rPr>
                <w:rFonts w:ascii="宋体"/>
              </w:rPr>
            </w:pPr>
          </w:p>
        </w:tc>
        <w:tc>
          <w:tcPr>
            <w:tcW w:w="5" w:type="pct"/>
            <w:shd w:val="clear" w:color="auto" w:fill="auto"/>
            <w:vAlign w:val="bottom"/>
          </w:tcPr>
          <w:p w14:paraId="5F2CA488" w14:textId="77777777" w:rsidR="00E836FB" w:rsidRDefault="00E836FB">
            <w:pPr>
              <w:rPr>
                <w:rFonts w:ascii="宋体"/>
              </w:rPr>
            </w:pPr>
          </w:p>
        </w:tc>
        <w:tc>
          <w:tcPr>
            <w:tcW w:w="50" w:type="pct"/>
            <w:shd w:val="clear" w:color="auto" w:fill="auto"/>
            <w:vAlign w:val="bottom"/>
          </w:tcPr>
          <w:p w14:paraId="5F2CA489" w14:textId="77777777" w:rsidR="00E836FB" w:rsidRDefault="00E836FB">
            <w:pPr>
              <w:rPr>
                <w:rFonts w:ascii="宋体"/>
              </w:rPr>
            </w:pPr>
          </w:p>
        </w:tc>
        <w:tc>
          <w:tcPr>
            <w:tcW w:w="529" w:type="pct"/>
            <w:shd w:val="clear" w:color="auto" w:fill="auto"/>
            <w:vAlign w:val="bottom"/>
          </w:tcPr>
          <w:p w14:paraId="5F2CA48A" w14:textId="77777777" w:rsidR="00E836FB" w:rsidRDefault="00E836FB">
            <w:pPr>
              <w:rPr>
                <w:rFonts w:ascii="宋体"/>
              </w:rPr>
            </w:pPr>
          </w:p>
        </w:tc>
        <w:tc>
          <w:tcPr>
            <w:tcW w:w="5" w:type="pct"/>
            <w:shd w:val="clear" w:color="auto" w:fill="auto"/>
            <w:vAlign w:val="bottom"/>
          </w:tcPr>
          <w:p w14:paraId="5F2CA48B" w14:textId="77777777" w:rsidR="00E836FB" w:rsidRDefault="00E836FB">
            <w:pPr>
              <w:rPr>
                <w:rFonts w:ascii="宋体"/>
              </w:rPr>
            </w:pPr>
          </w:p>
        </w:tc>
        <w:tc>
          <w:tcPr>
            <w:tcW w:w="5" w:type="pct"/>
            <w:shd w:val="clear" w:color="auto" w:fill="auto"/>
            <w:vAlign w:val="bottom"/>
          </w:tcPr>
          <w:p w14:paraId="5F2CA48C" w14:textId="77777777" w:rsidR="00E836FB" w:rsidRDefault="00E836FB">
            <w:pPr>
              <w:rPr>
                <w:rFonts w:ascii="宋体"/>
              </w:rPr>
            </w:pPr>
          </w:p>
        </w:tc>
        <w:tc>
          <w:tcPr>
            <w:tcW w:w="26" w:type="pct"/>
            <w:shd w:val="clear" w:color="auto" w:fill="auto"/>
            <w:vAlign w:val="bottom"/>
          </w:tcPr>
          <w:p w14:paraId="5F2CA48D" w14:textId="77777777" w:rsidR="00E836FB" w:rsidRDefault="00E836FB">
            <w:pPr>
              <w:rPr>
                <w:rFonts w:ascii="宋体"/>
              </w:rPr>
            </w:pPr>
          </w:p>
        </w:tc>
        <w:tc>
          <w:tcPr>
            <w:tcW w:w="5" w:type="pct"/>
            <w:shd w:val="clear" w:color="auto" w:fill="auto"/>
            <w:vAlign w:val="bottom"/>
          </w:tcPr>
          <w:p w14:paraId="5F2CA48E" w14:textId="77777777" w:rsidR="00E836FB" w:rsidRDefault="00E836FB">
            <w:pPr>
              <w:rPr>
                <w:rFonts w:ascii="宋体"/>
              </w:rPr>
            </w:pPr>
          </w:p>
        </w:tc>
        <w:tc>
          <w:tcPr>
            <w:tcW w:w="50" w:type="pct"/>
            <w:shd w:val="clear" w:color="auto" w:fill="auto"/>
            <w:vAlign w:val="bottom"/>
          </w:tcPr>
          <w:p w14:paraId="5F2CA48F" w14:textId="77777777" w:rsidR="00E836FB" w:rsidRDefault="00E836FB">
            <w:pPr>
              <w:rPr>
                <w:rFonts w:ascii="宋体"/>
              </w:rPr>
            </w:pPr>
          </w:p>
        </w:tc>
        <w:tc>
          <w:tcPr>
            <w:tcW w:w="529" w:type="pct"/>
            <w:shd w:val="clear" w:color="auto" w:fill="auto"/>
            <w:vAlign w:val="bottom"/>
          </w:tcPr>
          <w:p w14:paraId="5F2CA490" w14:textId="77777777" w:rsidR="00E836FB" w:rsidRDefault="00E836FB">
            <w:pPr>
              <w:rPr>
                <w:rFonts w:ascii="宋体"/>
              </w:rPr>
            </w:pPr>
          </w:p>
        </w:tc>
        <w:tc>
          <w:tcPr>
            <w:tcW w:w="5" w:type="pct"/>
            <w:shd w:val="clear" w:color="auto" w:fill="auto"/>
            <w:vAlign w:val="bottom"/>
          </w:tcPr>
          <w:p w14:paraId="5F2CA491" w14:textId="77777777" w:rsidR="00E836FB" w:rsidRDefault="00E836FB">
            <w:pPr>
              <w:rPr>
                <w:rFonts w:ascii="宋体"/>
              </w:rPr>
            </w:pPr>
          </w:p>
        </w:tc>
        <w:tc>
          <w:tcPr>
            <w:tcW w:w="0" w:type="auto"/>
            <w:gridSpan w:val="3"/>
            <w:shd w:val="clear" w:color="auto" w:fill="auto"/>
            <w:vAlign w:val="bottom"/>
          </w:tcPr>
          <w:p w14:paraId="5F2CA492" w14:textId="77777777" w:rsidR="00E836FB" w:rsidRDefault="00E836FB">
            <w:pPr>
              <w:rPr>
                <w:rFonts w:ascii="宋体"/>
                <w:vanish/>
              </w:rPr>
            </w:pPr>
          </w:p>
        </w:tc>
        <w:tc>
          <w:tcPr>
            <w:tcW w:w="5" w:type="pct"/>
            <w:shd w:val="clear" w:color="auto" w:fill="auto"/>
            <w:vAlign w:val="bottom"/>
          </w:tcPr>
          <w:p w14:paraId="5F2CA493" w14:textId="77777777" w:rsidR="00E836FB" w:rsidRDefault="00E836FB">
            <w:pPr>
              <w:rPr>
                <w:rFonts w:ascii="宋体"/>
              </w:rPr>
            </w:pPr>
          </w:p>
        </w:tc>
        <w:tc>
          <w:tcPr>
            <w:tcW w:w="26" w:type="pct"/>
            <w:shd w:val="clear" w:color="auto" w:fill="auto"/>
            <w:vAlign w:val="bottom"/>
          </w:tcPr>
          <w:p w14:paraId="5F2CA494" w14:textId="77777777" w:rsidR="00E836FB" w:rsidRDefault="00E836FB">
            <w:pPr>
              <w:rPr>
                <w:rFonts w:ascii="宋体"/>
              </w:rPr>
            </w:pPr>
          </w:p>
        </w:tc>
        <w:tc>
          <w:tcPr>
            <w:tcW w:w="5" w:type="pct"/>
            <w:shd w:val="clear" w:color="auto" w:fill="auto"/>
            <w:vAlign w:val="bottom"/>
          </w:tcPr>
          <w:p w14:paraId="5F2CA495" w14:textId="77777777" w:rsidR="00E836FB" w:rsidRDefault="00E836FB">
            <w:pPr>
              <w:rPr>
                <w:rFonts w:ascii="宋体"/>
              </w:rPr>
            </w:pPr>
          </w:p>
        </w:tc>
        <w:tc>
          <w:tcPr>
            <w:tcW w:w="50" w:type="pct"/>
            <w:shd w:val="clear" w:color="auto" w:fill="auto"/>
            <w:vAlign w:val="bottom"/>
          </w:tcPr>
          <w:p w14:paraId="5F2CA496" w14:textId="77777777" w:rsidR="00E836FB" w:rsidRDefault="00E836FB">
            <w:pPr>
              <w:rPr>
                <w:rFonts w:ascii="宋体"/>
              </w:rPr>
            </w:pPr>
          </w:p>
        </w:tc>
        <w:tc>
          <w:tcPr>
            <w:tcW w:w="530" w:type="pct"/>
            <w:shd w:val="clear" w:color="auto" w:fill="auto"/>
            <w:vAlign w:val="bottom"/>
          </w:tcPr>
          <w:p w14:paraId="5F2CA497" w14:textId="77777777" w:rsidR="00E836FB" w:rsidRDefault="00E836FB">
            <w:pPr>
              <w:rPr>
                <w:rFonts w:ascii="宋体"/>
              </w:rPr>
            </w:pPr>
          </w:p>
        </w:tc>
        <w:tc>
          <w:tcPr>
            <w:tcW w:w="5" w:type="pct"/>
            <w:shd w:val="clear" w:color="auto" w:fill="auto"/>
            <w:vAlign w:val="bottom"/>
          </w:tcPr>
          <w:p w14:paraId="5F2CA498" w14:textId="77777777" w:rsidR="00E836FB" w:rsidRDefault="00E836FB">
            <w:pPr>
              <w:rPr>
                <w:rFonts w:ascii="宋体"/>
              </w:rPr>
            </w:pPr>
          </w:p>
        </w:tc>
      </w:tr>
      <w:tr w:rsidR="00E836FB" w14:paraId="5F2CA49E" w14:textId="77777777">
        <w:tc>
          <w:tcPr>
            <w:tcW w:w="0" w:type="auto"/>
            <w:gridSpan w:val="30"/>
            <w:shd w:val="clear" w:color="auto" w:fill="auto"/>
            <w:tcMar>
              <w:top w:w="40" w:type="dxa"/>
              <w:left w:w="20" w:type="dxa"/>
              <w:bottom w:w="40" w:type="dxa"/>
              <w:right w:w="20" w:type="dxa"/>
            </w:tcMar>
            <w:vAlign w:val="bottom"/>
          </w:tcPr>
          <w:p w14:paraId="5F2CA49A" w14:textId="77777777" w:rsidR="00E836FB" w:rsidRDefault="00994958">
            <w:pPr>
              <w:textAlignment w:val="bottom"/>
            </w:pPr>
            <w:r>
              <w:rPr>
                <w:rFonts w:ascii="Arial" w:eastAsia="宋体" w:hAnsi="Arial" w:cs="Arial"/>
                <w:b/>
                <w:bCs/>
                <w:color w:val="000000"/>
                <w:sz w:val="16"/>
                <w:szCs w:val="16"/>
              </w:rPr>
              <w:t>TABLE 2: TOTAL REVENUE</w:t>
            </w:r>
          </w:p>
        </w:tc>
        <w:tc>
          <w:tcPr>
            <w:tcW w:w="0" w:type="auto"/>
            <w:shd w:val="clear" w:color="auto" w:fill="auto"/>
            <w:vAlign w:val="bottom"/>
          </w:tcPr>
          <w:p w14:paraId="5F2CA49B" w14:textId="77777777" w:rsidR="00E836FB" w:rsidRDefault="00E836FB">
            <w:pPr>
              <w:rPr>
                <w:rFonts w:ascii="宋体"/>
              </w:rPr>
            </w:pPr>
          </w:p>
        </w:tc>
        <w:tc>
          <w:tcPr>
            <w:tcW w:w="0" w:type="auto"/>
            <w:shd w:val="clear" w:color="auto" w:fill="auto"/>
            <w:vAlign w:val="bottom"/>
          </w:tcPr>
          <w:p w14:paraId="5F2CA49C" w14:textId="77777777" w:rsidR="00E836FB" w:rsidRDefault="00E836FB">
            <w:pPr>
              <w:rPr>
                <w:rFonts w:ascii="宋体"/>
              </w:rPr>
            </w:pPr>
          </w:p>
        </w:tc>
        <w:tc>
          <w:tcPr>
            <w:tcW w:w="0" w:type="auto"/>
            <w:shd w:val="clear" w:color="auto" w:fill="auto"/>
            <w:vAlign w:val="bottom"/>
          </w:tcPr>
          <w:p w14:paraId="5F2CA49D" w14:textId="77777777" w:rsidR="00E836FB" w:rsidRDefault="00E836FB">
            <w:pPr>
              <w:rPr>
                <w:rFonts w:ascii="宋体"/>
              </w:rPr>
            </w:pPr>
          </w:p>
        </w:tc>
      </w:tr>
      <w:tr w:rsidR="00E836FB" w14:paraId="5F2CA4B2" w14:textId="77777777">
        <w:trPr>
          <w:hidden/>
        </w:trPr>
        <w:tc>
          <w:tcPr>
            <w:tcW w:w="0" w:type="auto"/>
            <w:gridSpan w:val="3"/>
            <w:shd w:val="clear" w:color="auto" w:fill="auto"/>
            <w:vAlign w:val="bottom"/>
          </w:tcPr>
          <w:p w14:paraId="5F2CA49F" w14:textId="77777777" w:rsidR="00E836FB" w:rsidRDefault="00E836FB">
            <w:pPr>
              <w:rPr>
                <w:rFonts w:ascii="宋体"/>
                <w:vanish/>
              </w:rPr>
            </w:pPr>
          </w:p>
        </w:tc>
        <w:tc>
          <w:tcPr>
            <w:tcW w:w="0" w:type="auto"/>
            <w:gridSpan w:val="3"/>
            <w:shd w:val="clear" w:color="auto" w:fill="auto"/>
            <w:vAlign w:val="bottom"/>
          </w:tcPr>
          <w:p w14:paraId="5F2CA4A0" w14:textId="77777777" w:rsidR="00E836FB" w:rsidRDefault="00E836FB">
            <w:pPr>
              <w:rPr>
                <w:rFonts w:ascii="宋体"/>
                <w:vanish/>
              </w:rPr>
            </w:pPr>
          </w:p>
        </w:tc>
        <w:tc>
          <w:tcPr>
            <w:tcW w:w="0" w:type="auto"/>
            <w:gridSpan w:val="3"/>
            <w:shd w:val="clear" w:color="auto" w:fill="auto"/>
            <w:vAlign w:val="bottom"/>
          </w:tcPr>
          <w:p w14:paraId="5F2CA4A1" w14:textId="77777777" w:rsidR="00E836FB" w:rsidRDefault="00E836FB">
            <w:pPr>
              <w:rPr>
                <w:rFonts w:ascii="宋体"/>
                <w:vanish/>
              </w:rPr>
            </w:pPr>
          </w:p>
        </w:tc>
        <w:tc>
          <w:tcPr>
            <w:tcW w:w="0" w:type="auto"/>
            <w:gridSpan w:val="3"/>
            <w:shd w:val="clear" w:color="auto" w:fill="auto"/>
            <w:vAlign w:val="bottom"/>
          </w:tcPr>
          <w:p w14:paraId="5F2CA4A2" w14:textId="77777777" w:rsidR="00E836FB" w:rsidRDefault="00E836FB">
            <w:pPr>
              <w:rPr>
                <w:rFonts w:ascii="宋体"/>
                <w:vanish/>
              </w:rPr>
            </w:pPr>
          </w:p>
        </w:tc>
        <w:tc>
          <w:tcPr>
            <w:tcW w:w="0" w:type="auto"/>
            <w:gridSpan w:val="3"/>
            <w:shd w:val="clear" w:color="auto" w:fill="auto"/>
            <w:vAlign w:val="bottom"/>
          </w:tcPr>
          <w:p w14:paraId="5F2CA4A3" w14:textId="77777777" w:rsidR="00E836FB" w:rsidRDefault="00E836FB">
            <w:pPr>
              <w:rPr>
                <w:rFonts w:ascii="宋体"/>
                <w:vanish/>
              </w:rPr>
            </w:pPr>
          </w:p>
        </w:tc>
        <w:tc>
          <w:tcPr>
            <w:tcW w:w="0" w:type="auto"/>
            <w:gridSpan w:val="3"/>
            <w:shd w:val="clear" w:color="auto" w:fill="auto"/>
            <w:vAlign w:val="bottom"/>
          </w:tcPr>
          <w:p w14:paraId="5F2CA4A4" w14:textId="77777777" w:rsidR="00E836FB" w:rsidRDefault="00E836FB">
            <w:pPr>
              <w:rPr>
                <w:rFonts w:ascii="宋体"/>
                <w:vanish/>
              </w:rPr>
            </w:pPr>
          </w:p>
        </w:tc>
        <w:tc>
          <w:tcPr>
            <w:tcW w:w="0" w:type="auto"/>
            <w:gridSpan w:val="3"/>
            <w:shd w:val="clear" w:color="auto" w:fill="auto"/>
            <w:vAlign w:val="bottom"/>
          </w:tcPr>
          <w:p w14:paraId="5F2CA4A5" w14:textId="77777777" w:rsidR="00E836FB" w:rsidRDefault="00E836FB">
            <w:pPr>
              <w:rPr>
                <w:rFonts w:ascii="宋体"/>
                <w:vanish/>
              </w:rPr>
            </w:pPr>
          </w:p>
        </w:tc>
        <w:tc>
          <w:tcPr>
            <w:tcW w:w="0" w:type="auto"/>
            <w:shd w:val="clear" w:color="auto" w:fill="auto"/>
            <w:vAlign w:val="bottom"/>
          </w:tcPr>
          <w:p w14:paraId="5F2CA4A6" w14:textId="77777777" w:rsidR="00E836FB" w:rsidRDefault="00E836FB">
            <w:pPr>
              <w:rPr>
                <w:rFonts w:ascii="宋体"/>
              </w:rPr>
            </w:pPr>
          </w:p>
        </w:tc>
        <w:tc>
          <w:tcPr>
            <w:tcW w:w="0" w:type="auto"/>
            <w:shd w:val="clear" w:color="auto" w:fill="auto"/>
            <w:vAlign w:val="bottom"/>
          </w:tcPr>
          <w:p w14:paraId="5F2CA4A7" w14:textId="77777777" w:rsidR="00E836FB" w:rsidRDefault="00E836FB">
            <w:pPr>
              <w:rPr>
                <w:rFonts w:ascii="宋体"/>
              </w:rPr>
            </w:pPr>
          </w:p>
        </w:tc>
        <w:tc>
          <w:tcPr>
            <w:tcW w:w="0" w:type="auto"/>
            <w:shd w:val="clear" w:color="auto" w:fill="auto"/>
            <w:vAlign w:val="bottom"/>
          </w:tcPr>
          <w:p w14:paraId="5F2CA4A8" w14:textId="77777777" w:rsidR="00E836FB" w:rsidRDefault="00E836FB">
            <w:pPr>
              <w:rPr>
                <w:rFonts w:ascii="宋体"/>
              </w:rPr>
            </w:pPr>
          </w:p>
        </w:tc>
        <w:tc>
          <w:tcPr>
            <w:tcW w:w="0" w:type="auto"/>
            <w:shd w:val="clear" w:color="auto" w:fill="auto"/>
            <w:vAlign w:val="bottom"/>
          </w:tcPr>
          <w:p w14:paraId="5F2CA4A9" w14:textId="77777777" w:rsidR="00E836FB" w:rsidRDefault="00E836FB">
            <w:pPr>
              <w:rPr>
                <w:rFonts w:ascii="宋体"/>
              </w:rPr>
            </w:pPr>
          </w:p>
        </w:tc>
        <w:tc>
          <w:tcPr>
            <w:tcW w:w="0" w:type="auto"/>
            <w:shd w:val="clear" w:color="auto" w:fill="auto"/>
            <w:vAlign w:val="bottom"/>
          </w:tcPr>
          <w:p w14:paraId="5F2CA4AA" w14:textId="77777777" w:rsidR="00E836FB" w:rsidRDefault="00E836FB">
            <w:pPr>
              <w:rPr>
                <w:rFonts w:ascii="宋体"/>
              </w:rPr>
            </w:pPr>
          </w:p>
        </w:tc>
        <w:tc>
          <w:tcPr>
            <w:tcW w:w="0" w:type="auto"/>
            <w:shd w:val="clear" w:color="auto" w:fill="auto"/>
            <w:vAlign w:val="bottom"/>
          </w:tcPr>
          <w:p w14:paraId="5F2CA4AB" w14:textId="77777777" w:rsidR="00E836FB" w:rsidRDefault="00E836FB">
            <w:pPr>
              <w:rPr>
                <w:rFonts w:ascii="宋体"/>
              </w:rPr>
            </w:pPr>
          </w:p>
        </w:tc>
        <w:tc>
          <w:tcPr>
            <w:tcW w:w="0" w:type="auto"/>
            <w:shd w:val="clear" w:color="auto" w:fill="auto"/>
            <w:vAlign w:val="bottom"/>
          </w:tcPr>
          <w:p w14:paraId="5F2CA4AC" w14:textId="77777777" w:rsidR="00E836FB" w:rsidRDefault="00E836FB">
            <w:pPr>
              <w:rPr>
                <w:rFonts w:ascii="宋体"/>
              </w:rPr>
            </w:pPr>
          </w:p>
        </w:tc>
        <w:tc>
          <w:tcPr>
            <w:tcW w:w="0" w:type="auto"/>
            <w:shd w:val="clear" w:color="auto" w:fill="auto"/>
            <w:vAlign w:val="bottom"/>
          </w:tcPr>
          <w:p w14:paraId="5F2CA4AD" w14:textId="77777777" w:rsidR="00E836FB" w:rsidRDefault="00E836FB">
            <w:pPr>
              <w:rPr>
                <w:rFonts w:ascii="宋体"/>
              </w:rPr>
            </w:pPr>
          </w:p>
        </w:tc>
        <w:tc>
          <w:tcPr>
            <w:tcW w:w="0" w:type="auto"/>
            <w:shd w:val="clear" w:color="auto" w:fill="auto"/>
            <w:vAlign w:val="bottom"/>
          </w:tcPr>
          <w:p w14:paraId="5F2CA4AE" w14:textId="77777777" w:rsidR="00E836FB" w:rsidRDefault="00E836FB">
            <w:pPr>
              <w:rPr>
                <w:rFonts w:ascii="宋体"/>
              </w:rPr>
            </w:pPr>
          </w:p>
        </w:tc>
        <w:tc>
          <w:tcPr>
            <w:tcW w:w="0" w:type="auto"/>
            <w:shd w:val="clear" w:color="auto" w:fill="auto"/>
            <w:vAlign w:val="bottom"/>
          </w:tcPr>
          <w:p w14:paraId="5F2CA4AF" w14:textId="77777777" w:rsidR="00E836FB" w:rsidRDefault="00E836FB">
            <w:pPr>
              <w:rPr>
                <w:rFonts w:ascii="宋体"/>
              </w:rPr>
            </w:pPr>
          </w:p>
        </w:tc>
        <w:tc>
          <w:tcPr>
            <w:tcW w:w="0" w:type="auto"/>
            <w:shd w:val="clear" w:color="auto" w:fill="auto"/>
            <w:vAlign w:val="bottom"/>
          </w:tcPr>
          <w:p w14:paraId="5F2CA4B0" w14:textId="77777777" w:rsidR="00E836FB" w:rsidRDefault="00E836FB">
            <w:pPr>
              <w:rPr>
                <w:rFonts w:ascii="宋体"/>
              </w:rPr>
            </w:pPr>
          </w:p>
        </w:tc>
        <w:tc>
          <w:tcPr>
            <w:tcW w:w="0" w:type="auto"/>
            <w:shd w:val="clear" w:color="auto" w:fill="auto"/>
            <w:vAlign w:val="bottom"/>
          </w:tcPr>
          <w:p w14:paraId="5F2CA4B1" w14:textId="77777777" w:rsidR="00E836FB" w:rsidRDefault="00E836FB">
            <w:pPr>
              <w:rPr>
                <w:rFonts w:ascii="宋体"/>
              </w:rPr>
            </w:pPr>
          </w:p>
        </w:tc>
      </w:tr>
      <w:tr w:rsidR="00E836FB" w14:paraId="5F2CA4BE" w14:textId="77777777">
        <w:trPr>
          <w:hidden/>
        </w:trPr>
        <w:tc>
          <w:tcPr>
            <w:tcW w:w="0" w:type="auto"/>
            <w:gridSpan w:val="3"/>
            <w:shd w:val="clear" w:color="auto" w:fill="auto"/>
            <w:vAlign w:val="bottom"/>
          </w:tcPr>
          <w:p w14:paraId="5F2CA4B3" w14:textId="77777777" w:rsidR="00E836FB" w:rsidRDefault="00E836FB">
            <w:pPr>
              <w:rPr>
                <w:rFonts w:ascii="宋体"/>
                <w:vanish/>
              </w:rPr>
            </w:pPr>
          </w:p>
        </w:tc>
        <w:tc>
          <w:tcPr>
            <w:tcW w:w="0" w:type="auto"/>
            <w:gridSpan w:val="3"/>
            <w:shd w:val="clear" w:color="auto" w:fill="auto"/>
            <w:vAlign w:val="bottom"/>
          </w:tcPr>
          <w:p w14:paraId="5F2CA4B4" w14:textId="77777777" w:rsidR="00E836FB" w:rsidRDefault="00E836FB">
            <w:pPr>
              <w:rPr>
                <w:rFonts w:ascii="宋体"/>
                <w:vanish/>
              </w:rPr>
            </w:pPr>
          </w:p>
        </w:tc>
        <w:tc>
          <w:tcPr>
            <w:tcW w:w="0" w:type="auto"/>
            <w:gridSpan w:val="3"/>
            <w:shd w:val="clear" w:color="auto" w:fill="auto"/>
            <w:vAlign w:val="bottom"/>
          </w:tcPr>
          <w:p w14:paraId="5F2CA4B5" w14:textId="77777777" w:rsidR="00E836FB" w:rsidRDefault="00E836FB">
            <w:pPr>
              <w:rPr>
                <w:rFonts w:ascii="宋体"/>
                <w:vanish/>
              </w:rPr>
            </w:pPr>
          </w:p>
        </w:tc>
        <w:tc>
          <w:tcPr>
            <w:tcW w:w="0" w:type="auto"/>
            <w:gridSpan w:val="3"/>
            <w:shd w:val="clear" w:color="auto" w:fill="auto"/>
            <w:vAlign w:val="bottom"/>
          </w:tcPr>
          <w:p w14:paraId="5F2CA4B6" w14:textId="77777777" w:rsidR="00E836FB" w:rsidRDefault="00E836FB">
            <w:pPr>
              <w:rPr>
                <w:rFonts w:ascii="宋体"/>
                <w:vanish/>
              </w:rPr>
            </w:pPr>
          </w:p>
        </w:tc>
        <w:tc>
          <w:tcPr>
            <w:tcW w:w="0" w:type="auto"/>
            <w:gridSpan w:val="3"/>
            <w:shd w:val="clear" w:color="auto" w:fill="auto"/>
            <w:vAlign w:val="bottom"/>
          </w:tcPr>
          <w:p w14:paraId="5F2CA4B7" w14:textId="77777777" w:rsidR="00E836FB" w:rsidRDefault="00E836FB">
            <w:pPr>
              <w:rPr>
                <w:rFonts w:ascii="宋体"/>
                <w:vanish/>
              </w:rPr>
            </w:pPr>
          </w:p>
        </w:tc>
        <w:tc>
          <w:tcPr>
            <w:tcW w:w="0" w:type="auto"/>
            <w:gridSpan w:val="3"/>
            <w:shd w:val="clear" w:color="auto" w:fill="auto"/>
            <w:vAlign w:val="bottom"/>
          </w:tcPr>
          <w:p w14:paraId="5F2CA4B8" w14:textId="77777777" w:rsidR="00E836FB" w:rsidRDefault="00E836FB">
            <w:pPr>
              <w:rPr>
                <w:rFonts w:ascii="宋体"/>
                <w:vanish/>
              </w:rPr>
            </w:pPr>
          </w:p>
        </w:tc>
        <w:tc>
          <w:tcPr>
            <w:tcW w:w="0" w:type="auto"/>
            <w:gridSpan w:val="3"/>
            <w:shd w:val="clear" w:color="auto" w:fill="auto"/>
            <w:vAlign w:val="bottom"/>
          </w:tcPr>
          <w:p w14:paraId="5F2CA4B9" w14:textId="77777777" w:rsidR="00E836FB" w:rsidRDefault="00E836FB">
            <w:pPr>
              <w:rPr>
                <w:rFonts w:ascii="宋体"/>
                <w:vanish/>
              </w:rPr>
            </w:pPr>
          </w:p>
        </w:tc>
        <w:tc>
          <w:tcPr>
            <w:tcW w:w="0" w:type="auto"/>
            <w:gridSpan w:val="3"/>
            <w:shd w:val="clear" w:color="auto" w:fill="auto"/>
            <w:vAlign w:val="bottom"/>
          </w:tcPr>
          <w:p w14:paraId="5F2CA4BA" w14:textId="77777777" w:rsidR="00E836FB" w:rsidRDefault="00E836FB">
            <w:pPr>
              <w:rPr>
                <w:rFonts w:ascii="宋体"/>
                <w:vanish/>
              </w:rPr>
            </w:pPr>
          </w:p>
        </w:tc>
        <w:tc>
          <w:tcPr>
            <w:tcW w:w="0" w:type="auto"/>
            <w:gridSpan w:val="3"/>
            <w:shd w:val="clear" w:color="auto" w:fill="auto"/>
            <w:vAlign w:val="bottom"/>
          </w:tcPr>
          <w:p w14:paraId="5F2CA4BB" w14:textId="77777777" w:rsidR="00E836FB" w:rsidRDefault="00E836FB">
            <w:pPr>
              <w:rPr>
                <w:rFonts w:ascii="宋体"/>
                <w:vanish/>
              </w:rPr>
            </w:pPr>
          </w:p>
        </w:tc>
        <w:tc>
          <w:tcPr>
            <w:tcW w:w="0" w:type="auto"/>
            <w:gridSpan w:val="3"/>
            <w:shd w:val="clear" w:color="auto" w:fill="auto"/>
            <w:vAlign w:val="bottom"/>
          </w:tcPr>
          <w:p w14:paraId="5F2CA4BC" w14:textId="77777777" w:rsidR="00E836FB" w:rsidRDefault="00E836FB">
            <w:pPr>
              <w:rPr>
                <w:rFonts w:ascii="宋体"/>
                <w:vanish/>
              </w:rPr>
            </w:pPr>
          </w:p>
        </w:tc>
        <w:tc>
          <w:tcPr>
            <w:tcW w:w="0" w:type="auto"/>
            <w:gridSpan w:val="3"/>
            <w:shd w:val="clear" w:color="auto" w:fill="auto"/>
            <w:vAlign w:val="bottom"/>
          </w:tcPr>
          <w:p w14:paraId="5F2CA4BD" w14:textId="77777777" w:rsidR="00E836FB" w:rsidRDefault="00E836FB">
            <w:pPr>
              <w:rPr>
                <w:rFonts w:ascii="宋体"/>
                <w:vanish/>
              </w:rPr>
            </w:pPr>
          </w:p>
        </w:tc>
      </w:tr>
      <w:tr w:rsidR="00E836FB" w14:paraId="5F2CA4CA" w14:textId="77777777">
        <w:trPr>
          <w:hidden/>
        </w:trPr>
        <w:tc>
          <w:tcPr>
            <w:tcW w:w="0" w:type="auto"/>
            <w:gridSpan w:val="3"/>
            <w:shd w:val="clear" w:color="auto" w:fill="auto"/>
            <w:vAlign w:val="bottom"/>
          </w:tcPr>
          <w:p w14:paraId="5F2CA4BF" w14:textId="77777777" w:rsidR="00E836FB" w:rsidRDefault="00E836FB">
            <w:pPr>
              <w:rPr>
                <w:rFonts w:ascii="宋体"/>
                <w:vanish/>
              </w:rPr>
            </w:pPr>
          </w:p>
        </w:tc>
        <w:tc>
          <w:tcPr>
            <w:tcW w:w="0" w:type="auto"/>
            <w:gridSpan w:val="3"/>
            <w:shd w:val="clear" w:color="auto" w:fill="auto"/>
            <w:vAlign w:val="bottom"/>
          </w:tcPr>
          <w:p w14:paraId="5F2CA4C0" w14:textId="77777777" w:rsidR="00E836FB" w:rsidRDefault="00E836FB">
            <w:pPr>
              <w:rPr>
                <w:rFonts w:ascii="宋体"/>
                <w:vanish/>
              </w:rPr>
            </w:pPr>
          </w:p>
        </w:tc>
        <w:tc>
          <w:tcPr>
            <w:tcW w:w="0" w:type="auto"/>
            <w:gridSpan w:val="3"/>
            <w:shd w:val="clear" w:color="auto" w:fill="auto"/>
            <w:vAlign w:val="bottom"/>
          </w:tcPr>
          <w:p w14:paraId="5F2CA4C1" w14:textId="77777777" w:rsidR="00E836FB" w:rsidRDefault="00E836FB">
            <w:pPr>
              <w:rPr>
                <w:rFonts w:ascii="宋体"/>
                <w:vanish/>
              </w:rPr>
            </w:pPr>
          </w:p>
        </w:tc>
        <w:tc>
          <w:tcPr>
            <w:tcW w:w="0" w:type="auto"/>
            <w:gridSpan w:val="3"/>
            <w:shd w:val="clear" w:color="auto" w:fill="auto"/>
            <w:vAlign w:val="bottom"/>
          </w:tcPr>
          <w:p w14:paraId="5F2CA4C2" w14:textId="77777777" w:rsidR="00E836FB" w:rsidRDefault="00E836FB">
            <w:pPr>
              <w:rPr>
                <w:rFonts w:ascii="宋体"/>
                <w:vanish/>
              </w:rPr>
            </w:pPr>
          </w:p>
        </w:tc>
        <w:tc>
          <w:tcPr>
            <w:tcW w:w="0" w:type="auto"/>
            <w:gridSpan w:val="3"/>
            <w:shd w:val="clear" w:color="auto" w:fill="auto"/>
            <w:vAlign w:val="bottom"/>
          </w:tcPr>
          <w:p w14:paraId="5F2CA4C3" w14:textId="77777777" w:rsidR="00E836FB" w:rsidRDefault="00E836FB">
            <w:pPr>
              <w:rPr>
                <w:rFonts w:ascii="宋体"/>
                <w:vanish/>
              </w:rPr>
            </w:pPr>
          </w:p>
        </w:tc>
        <w:tc>
          <w:tcPr>
            <w:tcW w:w="0" w:type="auto"/>
            <w:gridSpan w:val="3"/>
            <w:shd w:val="clear" w:color="auto" w:fill="auto"/>
            <w:vAlign w:val="bottom"/>
          </w:tcPr>
          <w:p w14:paraId="5F2CA4C4" w14:textId="77777777" w:rsidR="00E836FB" w:rsidRDefault="00E836FB">
            <w:pPr>
              <w:rPr>
                <w:rFonts w:ascii="宋体"/>
                <w:vanish/>
              </w:rPr>
            </w:pPr>
          </w:p>
        </w:tc>
        <w:tc>
          <w:tcPr>
            <w:tcW w:w="0" w:type="auto"/>
            <w:gridSpan w:val="3"/>
            <w:shd w:val="clear" w:color="auto" w:fill="auto"/>
            <w:vAlign w:val="bottom"/>
          </w:tcPr>
          <w:p w14:paraId="5F2CA4C5" w14:textId="77777777" w:rsidR="00E836FB" w:rsidRDefault="00E836FB">
            <w:pPr>
              <w:rPr>
                <w:rFonts w:ascii="宋体"/>
                <w:vanish/>
              </w:rPr>
            </w:pPr>
          </w:p>
        </w:tc>
        <w:tc>
          <w:tcPr>
            <w:tcW w:w="0" w:type="auto"/>
            <w:gridSpan w:val="3"/>
            <w:shd w:val="clear" w:color="auto" w:fill="auto"/>
            <w:vAlign w:val="bottom"/>
          </w:tcPr>
          <w:p w14:paraId="5F2CA4C6" w14:textId="77777777" w:rsidR="00E836FB" w:rsidRDefault="00E836FB">
            <w:pPr>
              <w:rPr>
                <w:rFonts w:ascii="宋体"/>
                <w:vanish/>
              </w:rPr>
            </w:pPr>
          </w:p>
        </w:tc>
        <w:tc>
          <w:tcPr>
            <w:tcW w:w="0" w:type="auto"/>
            <w:gridSpan w:val="3"/>
            <w:shd w:val="clear" w:color="auto" w:fill="auto"/>
            <w:vAlign w:val="bottom"/>
          </w:tcPr>
          <w:p w14:paraId="5F2CA4C7" w14:textId="77777777" w:rsidR="00E836FB" w:rsidRDefault="00E836FB">
            <w:pPr>
              <w:rPr>
                <w:rFonts w:ascii="宋体"/>
                <w:vanish/>
              </w:rPr>
            </w:pPr>
          </w:p>
        </w:tc>
        <w:tc>
          <w:tcPr>
            <w:tcW w:w="0" w:type="auto"/>
            <w:gridSpan w:val="3"/>
            <w:shd w:val="clear" w:color="auto" w:fill="auto"/>
            <w:vAlign w:val="bottom"/>
          </w:tcPr>
          <w:p w14:paraId="5F2CA4C8" w14:textId="77777777" w:rsidR="00E836FB" w:rsidRDefault="00E836FB">
            <w:pPr>
              <w:rPr>
                <w:rFonts w:ascii="宋体"/>
                <w:vanish/>
              </w:rPr>
            </w:pPr>
          </w:p>
        </w:tc>
        <w:tc>
          <w:tcPr>
            <w:tcW w:w="0" w:type="auto"/>
            <w:gridSpan w:val="3"/>
            <w:shd w:val="clear" w:color="auto" w:fill="auto"/>
            <w:vAlign w:val="bottom"/>
          </w:tcPr>
          <w:p w14:paraId="5F2CA4C9" w14:textId="77777777" w:rsidR="00E836FB" w:rsidRDefault="00E836FB">
            <w:pPr>
              <w:rPr>
                <w:rFonts w:ascii="宋体"/>
                <w:vanish/>
              </w:rPr>
            </w:pPr>
          </w:p>
        </w:tc>
      </w:tr>
      <w:tr w:rsidR="00E836FB" w14:paraId="5F2CA4D6" w14:textId="77777777">
        <w:trPr>
          <w:hidden/>
        </w:trPr>
        <w:tc>
          <w:tcPr>
            <w:tcW w:w="0" w:type="auto"/>
            <w:gridSpan w:val="3"/>
            <w:shd w:val="clear" w:color="auto" w:fill="auto"/>
            <w:vAlign w:val="bottom"/>
          </w:tcPr>
          <w:p w14:paraId="5F2CA4CB" w14:textId="77777777" w:rsidR="00E836FB" w:rsidRDefault="00E836FB">
            <w:pPr>
              <w:rPr>
                <w:rFonts w:ascii="宋体"/>
                <w:vanish/>
              </w:rPr>
            </w:pPr>
          </w:p>
        </w:tc>
        <w:tc>
          <w:tcPr>
            <w:tcW w:w="0" w:type="auto"/>
            <w:gridSpan w:val="3"/>
            <w:shd w:val="clear" w:color="auto" w:fill="auto"/>
            <w:vAlign w:val="bottom"/>
          </w:tcPr>
          <w:p w14:paraId="5F2CA4CC" w14:textId="77777777" w:rsidR="00E836FB" w:rsidRDefault="00E836FB">
            <w:pPr>
              <w:rPr>
                <w:rFonts w:ascii="宋体"/>
                <w:vanish/>
              </w:rPr>
            </w:pPr>
          </w:p>
        </w:tc>
        <w:tc>
          <w:tcPr>
            <w:tcW w:w="0" w:type="auto"/>
            <w:gridSpan w:val="3"/>
            <w:shd w:val="clear" w:color="auto" w:fill="auto"/>
            <w:vAlign w:val="bottom"/>
          </w:tcPr>
          <w:p w14:paraId="5F2CA4CD" w14:textId="77777777" w:rsidR="00E836FB" w:rsidRDefault="00E836FB">
            <w:pPr>
              <w:rPr>
                <w:rFonts w:ascii="宋体"/>
                <w:vanish/>
              </w:rPr>
            </w:pPr>
          </w:p>
        </w:tc>
        <w:tc>
          <w:tcPr>
            <w:tcW w:w="0" w:type="auto"/>
            <w:gridSpan w:val="3"/>
            <w:shd w:val="clear" w:color="auto" w:fill="auto"/>
            <w:vAlign w:val="bottom"/>
          </w:tcPr>
          <w:p w14:paraId="5F2CA4CE" w14:textId="77777777" w:rsidR="00E836FB" w:rsidRDefault="00E836FB">
            <w:pPr>
              <w:rPr>
                <w:rFonts w:ascii="宋体"/>
                <w:vanish/>
              </w:rPr>
            </w:pPr>
          </w:p>
        </w:tc>
        <w:tc>
          <w:tcPr>
            <w:tcW w:w="0" w:type="auto"/>
            <w:gridSpan w:val="3"/>
            <w:shd w:val="clear" w:color="auto" w:fill="auto"/>
            <w:vAlign w:val="bottom"/>
          </w:tcPr>
          <w:p w14:paraId="5F2CA4CF" w14:textId="77777777" w:rsidR="00E836FB" w:rsidRDefault="00E836FB">
            <w:pPr>
              <w:rPr>
                <w:rFonts w:ascii="宋体"/>
                <w:vanish/>
              </w:rPr>
            </w:pPr>
          </w:p>
        </w:tc>
        <w:tc>
          <w:tcPr>
            <w:tcW w:w="0" w:type="auto"/>
            <w:gridSpan w:val="3"/>
            <w:shd w:val="clear" w:color="auto" w:fill="auto"/>
            <w:vAlign w:val="bottom"/>
          </w:tcPr>
          <w:p w14:paraId="5F2CA4D0" w14:textId="77777777" w:rsidR="00E836FB" w:rsidRDefault="00E836FB">
            <w:pPr>
              <w:rPr>
                <w:rFonts w:ascii="宋体"/>
                <w:vanish/>
              </w:rPr>
            </w:pPr>
          </w:p>
        </w:tc>
        <w:tc>
          <w:tcPr>
            <w:tcW w:w="0" w:type="auto"/>
            <w:gridSpan w:val="3"/>
            <w:shd w:val="clear" w:color="auto" w:fill="auto"/>
            <w:vAlign w:val="bottom"/>
          </w:tcPr>
          <w:p w14:paraId="5F2CA4D1" w14:textId="77777777" w:rsidR="00E836FB" w:rsidRDefault="00E836FB">
            <w:pPr>
              <w:rPr>
                <w:rFonts w:ascii="宋体"/>
                <w:vanish/>
              </w:rPr>
            </w:pPr>
          </w:p>
        </w:tc>
        <w:tc>
          <w:tcPr>
            <w:tcW w:w="0" w:type="auto"/>
            <w:gridSpan w:val="3"/>
            <w:shd w:val="clear" w:color="auto" w:fill="auto"/>
            <w:vAlign w:val="bottom"/>
          </w:tcPr>
          <w:p w14:paraId="5F2CA4D2" w14:textId="77777777" w:rsidR="00E836FB" w:rsidRDefault="00E836FB">
            <w:pPr>
              <w:rPr>
                <w:rFonts w:ascii="宋体"/>
                <w:vanish/>
              </w:rPr>
            </w:pPr>
          </w:p>
        </w:tc>
        <w:tc>
          <w:tcPr>
            <w:tcW w:w="0" w:type="auto"/>
            <w:gridSpan w:val="3"/>
            <w:shd w:val="clear" w:color="auto" w:fill="auto"/>
            <w:vAlign w:val="bottom"/>
          </w:tcPr>
          <w:p w14:paraId="5F2CA4D3" w14:textId="77777777" w:rsidR="00E836FB" w:rsidRDefault="00E836FB">
            <w:pPr>
              <w:rPr>
                <w:rFonts w:ascii="宋体"/>
                <w:vanish/>
              </w:rPr>
            </w:pPr>
          </w:p>
        </w:tc>
        <w:tc>
          <w:tcPr>
            <w:tcW w:w="0" w:type="auto"/>
            <w:gridSpan w:val="3"/>
            <w:shd w:val="clear" w:color="auto" w:fill="auto"/>
            <w:vAlign w:val="bottom"/>
          </w:tcPr>
          <w:p w14:paraId="5F2CA4D4" w14:textId="77777777" w:rsidR="00E836FB" w:rsidRDefault="00E836FB">
            <w:pPr>
              <w:rPr>
                <w:rFonts w:ascii="宋体"/>
                <w:vanish/>
              </w:rPr>
            </w:pPr>
          </w:p>
        </w:tc>
        <w:tc>
          <w:tcPr>
            <w:tcW w:w="0" w:type="auto"/>
            <w:gridSpan w:val="3"/>
            <w:shd w:val="clear" w:color="auto" w:fill="auto"/>
            <w:vAlign w:val="bottom"/>
          </w:tcPr>
          <w:p w14:paraId="5F2CA4D5" w14:textId="77777777" w:rsidR="00E836FB" w:rsidRDefault="00E836FB">
            <w:pPr>
              <w:rPr>
                <w:rFonts w:ascii="宋体"/>
                <w:vanish/>
              </w:rPr>
            </w:pPr>
          </w:p>
        </w:tc>
      </w:tr>
      <w:tr w:rsidR="00E836FB" w14:paraId="5F2CA4E2" w14:textId="77777777">
        <w:trPr>
          <w:hidden/>
        </w:trPr>
        <w:tc>
          <w:tcPr>
            <w:tcW w:w="0" w:type="auto"/>
            <w:gridSpan w:val="3"/>
            <w:shd w:val="clear" w:color="auto" w:fill="auto"/>
            <w:vAlign w:val="bottom"/>
          </w:tcPr>
          <w:p w14:paraId="5F2CA4D7" w14:textId="77777777" w:rsidR="00E836FB" w:rsidRDefault="00E836FB">
            <w:pPr>
              <w:rPr>
                <w:rFonts w:ascii="宋体"/>
                <w:vanish/>
              </w:rPr>
            </w:pPr>
          </w:p>
        </w:tc>
        <w:tc>
          <w:tcPr>
            <w:tcW w:w="0" w:type="auto"/>
            <w:gridSpan w:val="3"/>
            <w:shd w:val="clear" w:color="auto" w:fill="auto"/>
            <w:vAlign w:val="bottom"/>
          </w:tcPr>
          <w:p w14:paraId="5F2CA4D8" w14:textId="77777777" w:rsidR="00E836FB" w:rsidRDefault="00E836FB">
            <w:pPr>
              <w:rPr>
                <w:rFonts w:ascii="宋体"/>
                <w:vanish/>
              </w:rPr>
            </w:pPr>
          </w:p>
        </w:tc>
        <w:tc>
          <w:tcPr>
            <w:tcW w:w="0" w:type="auto"/>
            <w:gridSpan w:val="3"/>
            <w:shd w:val="clear" w:color="auto" w:fill="auto"/>
            <w:vAlign w:val="bottom"/>
          </w:tcPr>
          <w:p w14:paraId="5F2CA4D9" w14:textId="77777777" w:rsidR="00E836FB" w:rsidRDefault="00E836FB">
            <w:pPr>
              <w:rPr>
                <w:rFonts w:ascii="宋体"/>
                <w:vanish/>
              </w:rPr>
            </w:pPr>
          </w:p>
        </w:tc>
        <w:tc>
          <w:tcPr>
            <w:tcW w:w="0" w:type="auto"/>
            <w:gridSpan w:val="3"/>
            <w:shd w:val="clear" w:color="auto" w:fill="auto"/>
            <w:vAlign w:val="bottom"/>
          </w:tcPr>
          <w:p w14:paraId="5F2CA4DA" w14:textId="77777777" w:rsidR="00E836FB" w:rsidRDefault="00E836FB">
            <w:pPr>
              <w:rPr>
                <w:rFonts w:ascii="宋体"/>
                <w:vanish/>
              </w:rPr>
            </w:pPr>
          </w:p>
        </w:tc>
        <w:tc>
          <w:tcPr>
            <w:tcW w:w="0" w:type="auto"/>
            <w:gridSpan w:val="3"/>
            <w:shd w:val="clear" w:color="auto" w:fill="auto"/>
            <w:vAlign w:val="bottom"/>
          </w:tcPr>
          <w:p w14:paraId="5F2CA4DB" w14:textId="77777777" w:rsidR="00E836FB" w:rsidRDefault="00E836FB">
            <w:pPr>
              <w:rPr>
                <w:rFonts w:ascii="宋体"/>
                <w:vanish/>
              </w:rPr>
            </w:pPr>
          </w:p>
        </w:tc>
        <w:tc>
          <w:tcPr>
            <w:tcW w:w="0" w:type="auto"/>
            <w:gridSpan w:val="3"/>
            <w:shd w:val="clear" w:color="auto" w:fill="auto"/>
            <w:vAlign w:val="bottom"/>
          </w:tcPr>
          <w:p w14:paraId="5F2CA4DC" w14:textId="77777777" w:rsidR="00E836FB" w:rsidRDefault="00E836FB">
            <w:pPr>
              <w:rPr>
                <w:rFonts w:ascii="宋体"/>
                <w:vanish/>
              </w:rPr>
            </w:pPr>
          </w:p>
        </w:tc>
        <w:tc>
          <w:tcPr>
            <w:tcW w:w="0" w:type="auto"/>
            <w:gridSpan w:val="3"/>
            <w:shd w:val="clear" w:color="auto" w:fill="auto"/>
            <w:vAlign w:val="bottom"/>
          </w:tcPr>
          <w:p w14:paraId="5F2CA4DD" w14:textId="77777777" w:rsidR="00E836FB" w:rsidRDefault="00E836FB">
            <w:pPr>
              <w:rPr>
                <w:rFonts w:ascii="宋体"/>
                <w:vanish/>
              </w:rPr>
            </w:pPr>
          </w:p>
        </w:tc>
        <w:tc>
          <w:tcPr>
            <w:tcW w:w="0" w:type="auto"/>
            <w:gridSpan w:val="3"/>
            <w:shd w:val="clear" w:color="auto" w:fill="auto"/>
            <w:vAlign w:val="bottom"/>
          </w:tcPr>
          <w:p w14:paraId="5F2CA4DE" w14:textId="77777777" w:rsidR="00E836FB" w:rsidRDefault="00E836FB">
            <w:pPr>
              <w:rPr>
                <w:rFonts w:ascii="宋体"/>
                <w:vanish/>
              </w:rPr>
            </w:pPr>
          </w:p>
        </w:tc>
        <w:tc>
          <w:tcPr>
            <w:tcW w:w="0" w:type="auto"/>
            <w:gridSpan w:val="3"/>
            <w:shd w:val="clear" w:color="auto" w:fill="auto"/>
            <w:vAlign w:val="bottom"/>
          </w:tcPr>
          <w:p w14:paraId="5F2CA4DF" w14:textId="77777777" w:rsidR="00E836FB" w:rsidRDefault="00E836FB">
            <w:pPr>
              <w:rPr>
                <w:rFonts w:ascii="宋体"/>
                <w:vanish/>
              </w:rPr>
            </w:pPr>
          </w:p>
        </w:tc>
        <w:tc>
          <w:tcPr>
            <w:tcW w:w="0" w:type="auto"/>
            <w:gridSpan w:val="3"/>
            <w:shd w:val="clear" w:color="auto" w:fill="auto"/>
            <w:vAlign w:val="bottom"/>
          </w:tcPr>
          <w:p w14:paraId="5F2CA4E0" w14:textId="77777777" w:rsidR="00E836FB" w:rsidRDefault="00E836FB">
            <w:pPr>
              <w:rPr>
                <w:rFonts w:ascii="宋体"/>
                <w:vanish/>
              </w:rPr>
            </w:pPr>
          </w:p>
        </w:tc>
        <w:tc>
          <w:tcPr>
            <w:tcW w:w="0" w:type="auto"/>
            <w:gridSpan w:val="3"/>
            <w:shd w:val="clear" w:color="auto" w:fill="auto"/>
            <w:vAlign w:val="bottom"/>
          </w:tcPr>
          <w:p w14:paraId="5F2CA4E1" w14:textId="77777777" w:rsidR="00E836FB" w:rsidRDefault="00E836FB">
            <w:pPr>
              <w:rPr>
                <w:rFonts w:ascii="宋体"/>
                <w:vanish/>
              </w:rPr>
            </w:pPr>
          </w:p>
        </w:tc>
      </w:tr>
      <w:tr w:rsidR="00E836FB" w14:paraId="5F2CA4EE" w14:textId="77777777">
        <w:trPr>
          <w:hidden/>
        </w:trPr>
        <w:tc>
          <w:tcPr>
            <w:tcW w:w="0" w:type="auto"/>
            <w:gridSpan w:val="3"/>
            <w:shd w:val="clear" w:color="auto" w:fill="auto"/>
            <w:vAlign w:val="bottom"/>
          </w:tcPr>
          <w:p w14:paraId="5F2CA4E3" w14:textId="77777777" w:rsidR="00E836FB" w:rsidRDefault="00E836FB">
            <w:pPr>
              <w:rPr>
                <w:rFonts w:ascii="宋体"/>
                <w:vanish/>
              </w:rPr>
            </w:pPr>
          </w:p>
        </w:tc>
        <w:tc>
          <w:tcPr>
            <w:tcW w:w="0" w:type="auto"/>
            <w:gridSpan w:val="3"/>
            <w:shd w:val="clear" w:color="auto" w:fill="auto"/>
            <w:vAlign w:val="bottom"/>
          </w:tcPr>
          <w:p w14:paraId="5F2CA4E4" w14:textId="77777777" w:rsidR="00E836FB" w:rsidRDefault="00E836FB">
            <w:pPr>
              <w:rPr>
                <w:rFonts w:ascii="宋体"/>
                <w:vanish/>
              </w:rPr>
            </w:pPr>
          </w:p>
        </w:tc>
        <w:tc>
          <w:tcPr>
            <w:tcW w:w="0" w:type="auto"/>
            <w:gridSpan w:val="3"/>
            <w:shd w:val="clear" w:color="auto" w:fill="auto"/>
            <w:vAlign w:val="bottom"/>
          </w:tcPr>
          <w:p w14:paraId="5F2CA4E5" w14:textId="77777777" w:rsidR="00E836FB" w:rsidRDefault="00E836FB">
            <w:pPr>
              <w:rPr>
                <w:rFonts w:ascii="宋体"/>
                <w:vanish/>
              </w:rPr>
            </w:pPr>
          </w:p>
        </w:tc>
        <w:tc>
          <w:tcPr>
            <w:tcW w:w="0" w:type="auto"/>
            <w:gridSpan w:val="3"/>
            <w:shd w:val="clear" w:color="auto" w:fill="auto"/>
            <w:vAlign w:val="bottom"/>
          </w:tcPr>
          <w:p w14:paraId="5F2CA4E6" w14:textId="77777777" w:rsidR="00E836FB" w:rsidRDefault="00E836FB">
            <w:pPr>
              <w:rPr>
                <w:rFonts w:ascii="宋体"/>
                <w:vanish/>
              </w:rPr>
            </w:pPr>
          </w:p>
        </w:tc>
        <w:tc>
          <w:tcPr>
            <w:tcW w:w="0" w:type="auto"/>
            <w:gridSpan w:val="3"/>
            <w:shd w:val="clear" w:color="auto" w:fill="auto"/>
            <w:vAlign w:val="bottom"/>
          </w:tcPr>
          <w:p w14:paraId="5F2CA4E7" w14:textId="77777777" w:rsidR="00E836FB" w:rsidRDefault="00E836FB">
            <w:pPr>
              <w:rPr>
                <w:rFonts w:ascii="宋体"/>
                <w:vanish/>
              </w:rPr>
            </w:pPr>
          </w:p>
        </w:tc>
        <w:tc>
          <w:tcPr>
            <w:tcW w:w="0" w:type="auto"/>
            <w:gridSpan w:val="3"/>
            <w:shd w:val="clear" w:color="auto" w:fill="auto"/>
            <w:vAlign w:val="bottom"/>
          </w:tcPr>
          <w:p w14:paraId="5F2CA4E8" w14:textId="77777777" w:rsidR="00E836FB" w:rsidRDefault="00E836FB">
            <w:pPr>
              <w:rPr>
                <w:rFonts w:ascii="宋体"/>
                <w:vanish/>
              </w:rPr>
            </w:pPr>
          </w:p>
        </w:tc>
        <w:tc>
          <w:tcPr>
            <w:tcW w:w="0" w:type="auto"/>
            <w:gridSpan w:val="3"/>
            <w:shd w:val="clear" w:color="auto" w:fill="auto"/>
            <w:vAlign w:val="bottom"/>
          </w:tcPr>
          <w:p w14:paraId="5F2CA4E9" w14:textId="77777777" w:rsidR="00E836FB" w:rsidRDefault="00E836FB">
            <w:pPr>
              <w:rPr>
                <w:rFonts w:ascii="宋体"/>
                <w:vanish/>
              </w:rPr>
            </w:pPr>
          </w:p>
        </w:tc>
        <w:tc>
          <w:tcPr>
            <w:tcW w:w="0" w:type="auto"/>
            <w:gridSpan w:val="3"/>
            <w:shd w:val="clear" w:color="auto" w:fill="auto"/>
            <w:vAlign w:val="bottom"/>
          </w:tcPr>
          <w:p w14:paraId="5F2CA4EA" w14:textId="77777777" w:rsidR="00E836FB" w:rsidRDefault="00E836FB">
            <w:pPr>
              <w:rPr>
                <w:rFonts w:ascii="宋体"/>
                <w:vanish/>
              </w:rPr>
            </w:pPr>
          </w:p>
        </w:tc>
        <w:tc>
          <w:tcPr>
            <w:tcW w:w="0" w:type="auto"/>
            <w:gridSpan w:val="3"/>
            <w:shd w:val="clear" w:color="auto" w:fill="auto"/>
            <w:vAlign w:val="bottom"/>
          </w:tcPr>
          <w:p w14:paraId="5F2CA4EB" w14:textId="77777777" w:rsidR="00E836FB" w:rsidRDefault="00E836FB">
            <w:pPr>
              <w:rPr>
                <w:rFonts w:ascii="宋体"/>
                <w:vanish/>
              </w:rPr>
            </w:pPr>
          </w:p>
        </w:tc>
        <w:tc>
          <w:tcPr>
            <w:tcW w:w="0" w:type="auto"/>
            <w:gridSpan w:val="3"/>
            <w:shd w:val="clear" w:color="auto" w:fill="auto"/>
            <w:vAlign w:val="bottom"/>
          </w:tcPr>
          <w:p w14:paraId="5F2CA4EC" w14:textId="77777777" w:rsidR="00E836FB" w:rsidRDefault="00E836FB">
            <w:pPr>
              <w:rPr>
                <w:rFonts w:ascii="宋体"/>
                <w:vanish/>
              </w:rPr>
            </w:pPr>
          </w:p>
        </w:tc>
        <w:tc>
          <w:tcPr>
            <w:tcW w:w="0" w:type="auto"/>
            <w:gridSpan w:val="3"/>
            <w:shd w:val="clear" w:color="auto" w:fill="auto"/>
            <w:vAlign w:val="bottom"/>
          </w:tcPr>
          <w:p w14:paraId="5F2CA4ED" w14:textId="77777777" w:rsidR="00E836FB" w:rsidRDefault="00E836FB">
            <w:pPr>
              <w:rPr>
                <w:rFonts w:ascii="宋体"/>
                <w:vanish/>
              </w:rPr>
            </w:pPr>
          </w:p>
        </w:tc>
      </w:tr>
      <w:tr w:rsidR="00E836FB" w14:paraId="5F2CA4FA" w14:textId="77777777">
        <w:trPr>
          <w:hidden/>
        </w:trPr>
        <w:tc>
          <w:tcPr>
            <w:tcW w:w="0" w:type="auto"/>
            <w:gridSpan w:val="3"/>
            <w:shd w:val="clear" w:color="auto" w:fill="auto"/>
            <w:vAlign w:val="bottom"/>
          </w:tcPr>
          <w:p w14:paraId="5F2CA4EF" w14:textId="77777777" w:rsidR="00E836FB" w:rsidRDefault="00E836FB">
            <w:pPr>
              <w:rPr>
                <w:rFonts w:ascii="宋体"/>
                <w:vanish/>
              </w:rPr>
            </w:pPr>
          </w:p>
        </w:tc>
        <w:tc>
          <w:tcPr>
            <w:tcW w:w="0" w:type="auto"/>
            <w:gridSpan w:val="3"/>
            <w:shd w:val="clear" w:color="auto" w:fill="auto"/>
            <w:vAlign w:val="bottom"/>
          </w:tcPr>
          <w:p w14:paraId="5F2CA4F0" w14:textId="77777777" w:rsidR="00E836FB" w:rsidRDefault="00E836FB">
            <w:pPr>
              <w:rPr>
                <w:rFonts w:ascii="宋体"/>
                <w:vanish/>
              </w:rPr>
            </w:pPr>
          </w:p>
        </w:tc>
        <w:tc>
          <w:tcPr>
            <w:tcW w:w="0" w:type="auto"/>
            <w:gridSpan w:val="3"/>
            <w:shd w:val="clear" w:color="auto" w:fill="auto"/>
            <w:vAlign w:val="bottom"/>
          </w:tcPr>
          <w:p w14:paraId="5F2CA4F1" w14:textId="77777777" w:rsidR="00E836FB" w:rsidRDefault="00E836FB">
            <w:pPr>
              <w:rPr>
                <w:rFonts w:ascii="宋体"/>
                <w:vanish/>
              </w:rPr>
            </w:pPr>
          </w:p>
        </w:tc>
        <w:tc>
          <w:tcPr>
            <w:tcW w:w="0" w:type="auto"/>
            <w:gridSpan w:val="3"/>
            <w:shd w:val="clear" w:color="auto" w:fill="auto"/>
            <w:vAlign w:val="bottom"/>
          </w:tcPr>
          <w:p w14:paraId="5F2CA4F2" w14:textId="77777777" w:rsidR="00E836FB" w:rsidRDefault="00E836FB">
            <w:pPr>
              <w:rPr>
                <w:rFonts w:ascii="宋体"/>
                <w:vanish/>
              </w:rPr>
            </w:pPr>
          </w:p>
        </w:tc>
        <w:tc>
          <w:tcPr>
            <w:tcW w:w="0" w:type="auto"/>
            <w:gridSpan w:val="3"/>
            <w:shd w:val="clear" w:color="auto" w:fill="auto"/>
            <w:vAlign w:val="bottom"/>
          </w:tcPr>
          <w:p w14:paraId="5F2CA4F3" w14:textId="77777777" w:rsidR="00E836FB" w:rsidRDefault="00E836FB">
            <w:pPr>
              <w:rPr>
                <w:rFonts w:ascii="宋体"/>
                <w:vanish/>
              </w:rPr>
            </w:pPr>
          </w:p>
        </w:tc>
        <w:tc>
          <w:tcPr>
            <w:tcW w:w="0" w:type="auto"/>
            <w:gridSpan w:val="3"/>
            <w:shd w:val="clear" w:color="auto" w:fill="auto"/>
            <w:vAlign w:val="bottom"/>
          </w:tcPr>
          <w:p w14:paraId="5F2CA4F4" w14:textId="77777777" w:rsidR="00E836FB" w:rsidRDefault="00E836FB">
            <w:pPr>
              <w:rPr>
                <w:rFonts w:ascii="宋体"/>
                <w:vanish/>
              </w:rPr>
            </w:pPr>
          </w:p>
        </w:tc>
        <w:tc>
          <w:tcPr>
            <w:tcW w:w="0" w:type="auto"/>
            <w:gridSpan w:val="3"/>
            <w:shd w:val="clear" w:color="auto" w:fill="auto"/>
            <w:vAlign w:val="bottom"/>
          </w:tcPr>
          <w:p w14:paraId="5F2CA4F5" w14:textId="77777777" w:rsidR="00E836FB" w:rsidRDefault="00E836FB">
            <w:pPr>
              <w:rPr>
                <w:rFonts w:ascii="宋体"/>
                <w:vanish/>
              </w:rPr>
            </w:pPr>
          </w:p>
        </w:tc>
        <w:tc>
          <w:tcPr>
            <w:tcW w:w="0" w:type="auto"/>
            <w:gridSpan w:val="3"/>
            <w:shd w:val="clear" w:color="auto" w:fill="auto"/>
            <w:vAlign w:val="bottom"/>
          </w:tcPr>
          <w:p w14:paraId="5F2CA4F6" w14:textId="77777777" w:rsidR="00E836FB" w:rsidRDefault="00E836FB">
            <w:pPr>
              <w:rPr>
                <w:rFonts w:ascii="宋体"/>
                <w:vanish/>
              </w:rPr>
            </w:pPr>
          </w:p>
        </w:tc>
        <w:tc>
          <w:tcPr>
            <w:tcW w:w="0" w:type="auto"/>
            <w:gridSpan w:val="3"/>
            <w:shd w:val="clear" w:color="auto" w:fill="auto"/>
            <w:vAlign w:val="bottom"/>
          </w:tcPr>
          <w:p w14:paraId="5F2CA4F7" w14:textId="77777777" w:rsidR="00E836FB" w:rsidRDefault="00E836FB">
            <w:pPr>
              <w:rPr>
                <w:rFonts w:ascii="宋体"/>
                <w:vanish/>
              </w:rPr>
            </w:pPr>
          </w:p>
        </w:tc>
        <w:tc>
          <w:tcPr>
            <w:tcW w:w="0" w:type="auto"/>
            <w:gridSpan w:val="3"/>
            <w:shd w:val="clear" w:color="auto" w:fill="auto"/>
            <w:vAlign w:val="bottom"/>
          </w:tcPr>
          <w:p w14:paraId="5F2CA4F8" w14:textId="77777777" w:rsidR="00E836FB" w:rsidRDefault="00E836FB">
            <w:pPr>
              <w:rPr>
                <w:rFonts w:ascii="宋体"/>
                <w:vanish/>
              </w:rPr>
            </w:pPr>
          </w:p>
        </w:tc>
        <w:tc>
          <w:tcPr>
            <w:tcW w:w="0" w:type="auto"/>
            <w:gridSpan w:val="3"/>
            <w:shd w:val="clear" w:color="auto" w:fill="auto"/>
            <w:vAlign w:val="bottom"/>
          </w:tcPr>
          <w:p w14:paraId="5F2CA4F9" w14:textId="77777777" w:rsidR="00E836FB" w:rsidRDefault="00E836FB">
            <w:pPr>
              <w:rPr>
                <w:rFonts w:ascii="宋体"/>
                <w:vanish/>
              </w:rPr>
            </w:pPr>
          </w:p>
        </w:tc>
      </w:tr>
      <w:tr w:rsidR="00E836FB" w14:paraId="5F2CA506" w14:textId="77777777">
        <w:trPr>
          <w:hidden/>
        </w:trPr>
        <w:tc>
          <w:tcPr>
            <w:tcW w:w="0" w:type="auto"/>
            <w:gridSpan w:val="3"/>
            <w:shd w:val="clear" w:color="auto" w:fill="auto"/>
            <w:vAlign w:val="bottom"/>
          </w:tcPr>
          <w:p w14:paraId="5F2CA4FB" w14:textId="77777777" w:rsidR="00E836FB" w:rsidRDefault="00E836FB">
            <w:pPr>
              <w:rPr>
                <w:rFonts w:ascii="宋体"/>
                <w:vanish/>
              </w:rPr>
            </w:pPr>
          </w:p>
        </w:tc>
        <w:tc>
          <w:tcPr>
            <w:tcW w:w="0" w:type="auto"/>
            <w:gridSpan w:val="3"/>
            <w:shd w:val="clear" w:color="auto" w:fill="auto"/>
            <w:vAlign w:val="bottom"/>
          </w:tcPr>
          <w:p w14:paraId="5F2CA4FC" w14:textId="77777777" w:rsidR="00E836FB" w:rsidRDefault="00E836FB">
            <w:pPr>
              <w:rPr>
                <w:rFonts w:ascii="宋体"/>
                <w:vanish/>
              </w:rPr>
            </w:pPr>
          </w:p>
        </w:tc>
        <w:tc>
          <w:tcPr>
            <w:tcW w:w="0" w:type="auto"/>
            <w:gridSpan w:val="3"/>
            <w:shd w:val="clear" w:color="auto" w:fill="auto"/>
            <w:vAlign w:val="bottom"/>
          </w:tcPr>
          <w:p w14:paraId="5F2CA4FD" w14:textId="77777777" w:rsidR="00E836FB" w:rsidRDefault="00E836FB">
            <w:pPr>
              <w:rPr>
                <w:rFonts w:ascii="宋体"/>
                <w:vanish/>
              </w:rPr>
            </w:pPr>
          </w:p>
        </w:tc>
        <w:tc>
          <w:tcPr>
            <w:tcW w:w="0" w:type="auto"/>
            <w:gridSpan w:val="3"/>
            <w:shd w:val="clear" w:color="auto" w:fill="auto"/>
            <w:vAlign w:val="bottom"/>
          </w:tcPr>
          <w:p w14:paraId="5F2CA4FE" w14:textId="77777777" w:rsidR="00E836FB" w:rsidRDefault="00E836FB">
            <w:pPr>
              <w:rPr>
                <w:rFonts w:ascii="宋体"/>
                <w:vanish/>
              </w:rPr>
            </w:pPr>
          </w:p>
        </w:tc>
        <w:tc>
          <w:tcPr>
            <w:tcW w:w="0" w:type="auto"/>
            <w:gridSpan w:val="3"/>
            <w:shd w:val="clear" w:color="auto" w:fill="auto"/>
            <w:vAlign w:val="bottom"/>
          </w:tcPr>
          <w:p w14:paraId="5F2CA4FF" w14:textId="77777777" w:rsidR="00E836FB" w:rsidRDefault="00E836FB">
            <w:pPr>
              <w:rPr>
                <w:rFonts w:ascii="宋体"/>
                <w:vanish/>
              </w:rPr>
            </w:pPr>
          </w:p>
        </w:tc>
        <w:tc>
          <w:tcPr>
            <w:tcW w:w="0" w:type="auto"/>
            <w:gridSpan w:val="3"/>
            <w:shd w:val="clear" w:color="auto" w:fill="auto"/>
            <w:vAlign w:val="bottom"/>
          </w:tcPr>
          <w:p w14:paraId="5F2CA500" w14:textId="77777777" w:rsidR="00E836FB" w:rsidRDefault="00E836FB">
            <w:pPr>
              <w:rPr>
                <w:rFonts w:ascii="宋体"/>
                <w:vanish/>
              </w:rPr>
            </w:pPr>
          </w:p>
        </w:tc>
        <w:tc>
          <w:tcPr>
            <w:tcW w:w="0" w:type="auto"/>
            <w:gridSpan w:val="3"/>
            <w:shd w:val="clear" w:color="auto" w:fill="auto"/>
            <w:vAlign w:val="bottom"/>
          </w:tcPr>
          <w:p w14:paraId="5F2CA501" w14:textId="77777777" w:rsidR="00E836FB" w:rsidRDefault="00E836FB">
            <w:pPr>
              <w:rPr>
                <w:rFonts w:ascii="宋体"/>
                <w:vanish/>
              </w:rPr>
            </w:pPr>
          </w:p>
        </w:tc>
        <w:tc>
          <w:tcPr>
            <w:tcW w:w="0" w:type="auto"/>
            <w:gridSpan w:val="3"/>
            <w:shd w:val="clear" w:color="auto" w:fill="auto"/>
            <w:vAlign w:val="bottom"/>
          </w:tcPr>
          <w:p w14:paraId="5F2CA502" w14:textId="77777777" w:rsidR="00E836FB" w:rsidRDefault="00E836FB">
            <w:pPr>
              <w:rPr>
                <w:rFonts w:ascii="宋体"/>
                <w:vanish/>
              </w:rPr>
            </w:pPr>
          </w:p>
        </w:tc>
        <w:tc>
          <w:tcPr>
            <w:tcW w:w="0" w:type="auto"/>
            <w:gridSpan w:val="3"/>
            <w:shd w:val="clear" w:color="auto" w:fill="auto"/>
            <w:vAlign w:val="bottom"/>
          </w:tcPr>
          <w:p w14:paraId="5F2CA503" w14:textId="77777777" w:rsidR="00E836FB" w:rsidRDefault="00E836FB">
            <w:pPr>
              <w:rPr>
                <w:rFonts w:ascii="宋体"/>
                <w:vanish/>
              </w:rPr>
            </w:pPr>
          </w:p>
        </w:tc>
        <w:tc>
          <w:tcPr>
            <w:tcW w:w="0" w:type="auto"/>
            <w:gridSpan w:val="3"/>
            <w:shd w:val="clear" w:color="auto" w:fill="auto"/>
            <w:vAlign w:val="bottom"/>
          </w:tcPr>
          <w:p w14:paraId="5F2CA504" w14:textId="77777777" w:rsidR="00E836FB" w:rsidRDefault="00E836FB">
            <w:pPr>
              <w:rPr>
                <w:rFonts w:ascii="宋体"/>
                <w:vanish/>
              </w:rPr>
            </w:pPr>
          </w:p>
        </w:tc>
        <w:tc>
          <w:tcPr>
            <w:tcW w:w="0" w:type="auto"/>
            <w:gridSpan w:val="3"/>
            <w:shd w:val="clear" w:color="auto" w:fill="auto"/>
            <w:vAlign w:val="bottom"/>
          </w:tcPr>
          <w:p w14:paraId="5F2CA505" w14:textId="77777777" w:rsidR="00E836FB" w:rsidRDefault="00E836FB">
            <w:pPr>
              <w:rPr>
                <w:rFonts w:ascii="宋体"/>
                <w:vanish/>
              </w:rPr>
            </w:pPr>
          </w:p>
        </w:tc>
      </w:tr>
      <w:tr w:rsidR="00E836FB" w14:paraId="5F2CA512" w14:textId="77777777">
        <w:trPr>
          <w:hidden/>
        </w:trPr>
        <w:tc>
          <w:tcPr>
            <w:tcW w:w="0" w:type="auto"/>
            <w:gridSpan w:val="3"/>
            <w:shd w:val="clear" w:color="auto" w:fill="auto"/>
            <w:vAlign w:val="bottom"/>
          </w:tcPr>
          <w:p w14:paraId="5F2CA507" w14:textId="77777777" w:rsidR="00E836FB" w:rsidRDefault="00E836FB">
            <w:pPr>
              <w:rPr>
                <w:rFonts w:ascii="宋体"/>
                <w:vanish/>
              </w:rPr>
            </w:pPr>
          </w:p>
        </w:tc>
        <w:tc>
          <w:tcPr>
            <w:tcW w:w="0" w:type="auto"/>
            <w:gridSpan w:val="3"/>
            <w:shd w:val="clear" w:color="auto" w:fill="auto"/>
            <w:vAlign w:val="bottom"/>
          </w:tcPr>
          <w:p w14:paraId="5F2CA508" w14:textId="77777777" w:rsidR="00E836FB" w:rsidRDefault="00E836FB">
            <w:pPr>
              <w:rPr>
                <w:rFonts w:ascii="宋体"/>
                <w:vanish/>
              </w:rPr>
            </w:pPr>
          </w:p>
        </w:tc>
        <w:tc>
          <w:tcPr>
            <w:tcW w:w="0" w:type="auto"/>
            <w:gridSpan w:val="3"/>
            <w:shd w:val="clear" w:color="auto" w:fill="auto"/>
            <w:vAlign w:val="bottom"/>
          </w:tcPr>
          <w:p w14:paraId="5F2CA509" w14:textId="77777777" w:rsidR="00E836FB" w:rsidRDefault="00E836FB">
            <w:pPr>
              <w:rPr>
                <w:rFonts w:ascii="宋体"/>
                <w:vanish/>
              </w:rPr>
            </w:pPr>
          </w:p>
        </w:tc>
        <w:tc>
          <w:tcPr>
            <w:tcW w:w="0" w:type="auto"/>
            <w:gridSpan w:val="3"/>
            <w:shd w:val="clear" w:color="auto" w:fill="auto"/>
            <w:vAlign w:val="bottom"/>
          </w:tcPr>
          <w:p w14:paraId="5F2CA50A" w14:textId="77777777" w:rsidR="00E836FB" w:rsidRDefault="00E836FB">
            <w:pPr>
              <w:rPr>
                <w:rFonts w:ascii="宋体"/>
                <w:vanish/>
              </w:rPr>
            </w:pPr>
          </w:p>
        </w:tc>
        <w:tc>
          <w:tcPr>
            <w:tcW w:w="0" w:type="auto"/>
            <w:gridSpan w:val="3"/>
            <w:shd w:val="clear" w:color="auto" w:fill="auto"/>
            <w:vAlign w:val="bottom"/>
          </w:tcPr>
          <w:p w14:paraId="5F2CA50B" w14:textId="77777777" w:rsidR="00E836FB" w:rsidRDefault="00E836FB">
            <w:pPr>
              <w:rPr>
                <w:rFonts w:ascii="宋体"/>
                <w:vanish/>
              </w:rPr>
            </w:pPr>
          </w:p>
        </w:tc>
        <w:tc>
          <w:tcPr>
            <w:tcW w:w="0" w:type="auto"/>
            <w:gridSpan w:val="3"/>
            <w:shd w:val="clear" w:color="auto" w:fill="auto"/>
            <w:vAlign w:val="bottom"/>
          </w:tcPr>
          <w:p w14:paraId="5F2CA50C" w14:textId="77777777" w:rsidR="00E836FB" w:rsidRDefault="00E836FB">
            <w:pPr>
              <w:rPr>
                <w:rFonts w:ascii="宋体"/>
                <w:vanish/>
              </w:rPr>
            </w:pPr>
          </w:p>
        </w:tc>
        <w:tc>
          <w:tcPr>
            <w:tcW w:w="0" w:type="auto"/>
            <w:gridSpan w:val="3"/>
            <w:shd w:val="clear" w:color="auto" w:fill="auto"/>
            <w:vAlign w:val="bottom"/>
          </w:tcPr>
          <w:p w14:paraId="5F2CA50D" w14:textId="77777777" w:rsidR="00E836FB" w:rsidRDefault="00E836FB">
            <w:pPr>
              <w:rPr>
                <w:rFonts w:ascii="宋体"/>
                <w:vanish/>
              </w:rPr>
            </w:pPr>
          </w:p>
        </w:tc>
        <w:tc>
          <w:tcPr>
            <w:tcW w:w="0" w:type="auto"/>
            <w:gridSpan w:val="3"/>
            <w:shd w:val="clear" w:color="auto" w:fill="auto"/>
            <w:vAlign w:val="bottom"/>
          </w:tcPr>
          <w:p w14:paraId="5F2CA50E" w14:textId="77777777" w:rsidR="00E836FB" w:rsidRDefault="00E836FB">
            <w:pPr>
              <w:rPr>
                <w:rFonts w:ascii="宋体"/>
                <w:vanish/>
              </w:rPr>
            </w:pPr>
          </w:p>
        </w:tc>
        <w:tc>
          <w:tcPr>
            <w:tcW w:w="0" w:type="auto"/>
            <w:gridSpan w:val="3"/>
            <w:shd w:val="clear" w:color="auto" w:fill="auto"/>
            <w:vAlign w:val="bottom"/>
          </w:tcPr>
          <w:p w14:paraId="5F2CA50F" w14:textId="77777777" w:rsidR="00E836FB" w:rsidRDefault="00E836FB">
            <w:pPr>
              <w:rPr>
                <w:rFonts w:ascii="宋体"/>
                <w:vanish/>
              </w:rPr>
            </w:pPr>
          </w:p>
        </w:tc>
        <w:tc>
          <w:tcPr>
            <w:tcW w:w="0" w:type="auto"/>
            <w:gridSpan w:val="3"/>
            <w:shd w:val="clear" w:color="auto" w:fill="auto"/>
            <w:vAlign w:val="bottom"/>
          </w:tcPr>
          <w:p w14:paraId="5F2CA510" w14:textId="77777777" w:rsidR="00E836FB" w:rsidRDefault="00E836FB">
            <w:pPr>
              <w:rPr>
                <w:rFonts w:ascii="宋体"/>
                <w:vanish/>
              </w:rPr>
            </w:pPr>
          </w:p>
        </w:tc>
        <w:tc>
          <w:tcPr>
            <w:tcW w:w="0" w:type="auto"/>
            <w:gridSpan w:val="3"/>
            <w:shd w:val="clear" w:color="auto" w:fill="auto"/>
            <w:vAlign w:val="bottom"/>
          </w:tcPr>
          <w:p w14:paraId="5F2CA511" w14:textId="77777777" w:rsidR="00E836FB" w:rsidRDefault="00E836FB">
            <w:pPr>
              <w:rPr>
                <w:rFonts w:ascii="宋体"/>
                <w:vanish/>
              </w:rPr>
            </w:pPr>
          </w:p>
        </w:tc>
      </w:tr>
      <w:tr w:rsidR="00E836FB" w14:paraId="5F2CA51E" w14:textId="77777777">
        <w:trPr>
          <w:hidden/>
        </w:trPr>
        <w:tc>
          <w:tcPr>
            <w:tcW w:w="0" w:type="auto"/>
            <w:gridSpan w:val="3"/>
            <w:shd w:val="clear" w:color="auto" w:fill="auto"/>
            <w:vAlign w:val="bottom"/>
          </w:tcPr>
          <w:p w14:paraId="5F2CA513" w14:textId="77777777" w:rsidR="00E836FB" w:rsidRDefault="00E836FB">
            <w:pPr>
              <w:rPr>
                <w:rFonts w:ascii="宋体"/>
                <w:vanish/>
              </w:rPr>
            </w:pPr>
          </w:p>
        </w:tc>
        <w:tc>
          <w:tcPr>
            <w:tcW w:w="0" w:type="auto"/>
            <w:gridSpan w:val="3"/>
            <w:shd w:val="clear" w:color="auto" w:fill="auto"/>
            <w:vAlign w:val="bottom"/>
          </w:tcPr>
          <w:p w14:paraId="5F2CA514" w14:textId="77777777" w:rsidR="00E836FB" w:rsidRDefault="00E836FB">
            <w:pPr>
              <w:rPr>
                <w:rFonts w:ascii="宋体"/>
                <w:vanish/>
              </w:rPr>
            </w:pPr>
          </w:p>
        </w:tc>
        <w:tc>
          <w:tcPr>
            <w:tcW w:w="0" w:type="auto"/>
            <w:gridSpan w:val="3"/>
            <w:shd w:val="clear" w:color="auto" w:fill="auto"/>
            <w:vAlign w:val="bottom"/>
          </w:tcPr>
          <w:p w14:paraId="5F2CA515" w14:textId="77777777" w:rsidR="00E836FB" w:rsidRDefault="00E836FB">
            <w:pPr>
              <w:rPr>
                <w:rFonts w:ascii="宋体"/>
                <w:vanish/>
              </w:rPr>
            </w:pPr>
          </w:p>
        </w:tc>
        <w:tc>
          <w:tcPr>
            <w:tcW w:w="0" w:type="auto"/>
            <w:gridSpan w:val="3"/>
            <w:shd w:val="clear" w:color="auto" w:fill="auto"/>
            <w:vAlign w:val="bottom"/>
          </w:tcPr>
          <w:p w14:paraId="5F2CA516" w14:textId="77777777" w:rsidR="00E836FB" w:rsidRDefault="00E836FB">
            <w:pPr>
              <w:rPr>
                <w:rFonts w:ascii="宋体"/>
                <w:vanish/>
              </w:rPr>
            </w:pPr>
          </w:p>
        </w:tc>
        <w:tc>
          <w:tcPr>
            <w:tcW w:w="0" w:type="auto"/>
            <w:gridSpan w:val="3"/>
            <w:shd w:val="clear" w:color="auto" w:fill="auto"/>
            <w:vAlign w:val="bottom"/>
          </w:tcPr>
          <w:p w14:paraId="5F2CA517" w14:textId="77777777" w:rsidR="00E836FB" w:rsidRDefault="00E836FB">
            <w:pPr>
              <w:rPr>
                <w:rFonts w:ascii="宋体"/>
                <w:vanish/>
              </w:rPr>
            </w:pPr>
          </w:p>
        </w:tc>
        <w:tc>
          <w:tcPr>
            <w:tcW w:w="0" w:type="auto"/>
            <w:gridSpan w:val="3"/>
            <w:shd w:val="clear" w:color="auto" w:fill="auto"/>
            <w:vAlign w:val="bottom"/>
          </w:tcPr>
          <w:p w14:paraId="5F2CA518" w14:textId="77777777" w:rsidR="00E836FB" w:rsidRDefault="00E836FB">
            <w:pPr>
              <w:rPr>
                <w:rFonts w:ascii="宋体"/>
                <w:vanish/>
              </w:rPr>
            </w:pPr>
          </w:p>
        </w:tc>
        <w:tc>
          <w:tcPr>
            <w:tcW w:w="0" w:type="auto"/>
            <w:gridSpan w:val="3"/>
            <w:shd w:val="clear" w:color="auto" w:fill="auto"/>
            <w:vAlign w:val="bottom"/>
          </w:tcPr>
          <w:p w14:paraId="5F2CA519" w14:textId="77777777" w:rsidR="00E836FB" w:rsidRDefault="00E836FB">
            <w:pPr>
              <w:rPr>
                <w:rFonts w:ascii="宋体"/>
                <w:vanish/>
              </w:rPr>
            </w:pPr>
          </w:p>
        </w:tc>
        <w:tc>
          <w:tcPr>
            <w:tcW w:w="0" w:type="auto"/>
            <w:gridSpan w:val="3"/>
            <w:shd w:val="clear" w:color="auto" w:fill="auto"/>
            <w:vAlign w:val="bottom"/>
          </w:tcPr>
          <w:p w14:paraId="5F2CA51A" w14:textId="77777777" w:rsidR="00E836FB" w:rsidRDefault="00E836FB">
            <w:pPr>
              <w:rPr>
                <w:rFonts w:ascii="宋体"/>
                <w:vanish/>
              </w:rPr>
            </w:pPr>
          </w:p>
        </w:tc>
        <w:tc>
          <w:tcPr>
            <w:tcW w:w="0" w:type="auto"/>
            <w:gridSpan w:val="3"/>
            <w:shd w:val="clear" w:color="auto" w:fill="auto"/>
            <w:vAlign w:val="bottom"/>
          </w:tcPr>
          <w:p w14:paraId="5F2CA51B" w14:textId="77777777" w:rsidR="00E836FB" w:rsidRDefault="00E836FB">
            <w:pPr>
              <w:rPr>
                <w:rFonts w:ascii="宋体"/>
                <w:vanish/>
              </w:rPr>
            </w:pPr>
          </w:p>
        </w:tc>
        <w:tc>
          <w:tcPr>
            <w:tcW w:w="0" w:type="auto"/>
            <w:gridSpan w:val="3"/>
            <w:shd w:val="clear" w:color="auto" w:fill="auto"/>
            <w:vAlign w:val="bottom"/>
          </w:tcPr>
          <w:p w14:paraId="5F2CA51C" w14:textId="77777777" w:rsidR="00E836FB" w:rsidRDefault="00E836FB">
            <w:pPr>
              <w:rPr>
                <w:rFonts w:ascii="宋体"/>
                <w:vanish/>
              </w:rPr>
            </w:pPr>
          </w:p>
        </w:tc>
        <w:tc>
          <w:tcPr>
            <w:tcW w:w="0" w:type="auto"/>
            <w:gridSpan w:val="3"/>
            <w:shd w:val="clear" w:color="auto" w:fill="auto"/>
            <w:vAlign w:val="bottom"/>
          </w:tcPr>
          <w:p w14:paraId="5F2CA51D" w14:textId="77777777" w:rsidR="00E836FB" w:rsidRDefault="00E836FB">
            <w:pPr>
              <w:rPr>
                <w:rFonts w:ascii="宋体"/>
                <w:vanish/>
              </w:rPr>
            </w:pPr>
          </w:p>
        </w:tc>
      </w:tr>
      <w:tr w:rsidR="00E836FB" w14:paraId="5F2CA52A" w14:textId="77777777">
        <w:trPr>
          <w:hidden/>
        </w:trPr>
        <w:tc>
          <w:tcPr>
            <w:tcW w:w="0" w:type="auto"/>
            <w:gridSpan w:val="3"/>
            <w:shd w:val="clear" w:color="auto" w:fill="auto"/>
            <w:vAlign w:val="bottom"/>
          </w:tcPr>
          <w:p w14:paraId="5F2CA51F" w14:textId="77777777" w:rsidR="00E836FB" w:rsidRDefault="00E836FB">
            <w:pPr>
              <w:rPr>
                <w:rFonts w:ascii="宋体"/>
                <w:vanish/>
              </w:rPr>
            </w:pPr>
          </w:p>
        </w:tc>
        <w:tc>
          <w:tcPr>
            <w:tcW w:w="0" w:type="auto"/>
            <w:gridSpan w:val="3"/>
            <w:shd w:val="clear" w:color="auto" w:fill="auto"/>
            <w:vAlign w:val="bottom"/>
          </w:tcPr>
          <w:p w14:paraId="5F2CA520" w14:textId="77777777" w:rsidR="00E836FB" w:rsidRDefault="00E836FB">
            <w:pPr>
              <w:rPr>
                <w:rFonts w:ascii="宋体"/>
                <w:vanish/>
              </w:rPr>
            </w:pPr>
          </w:p>
        </w:tc>
        <w:tc>
          <w:tcPr>
            <w:tcW w:w="0" w:type="auto"/>
            <w:gridSpan w:val="3"/>
            <w:shd w:val="clear" w:color="auto" w:fill="auto"/>
            <w:vAlign w:val="bottom"/>
          </w:tcPr>
          <w:p w14:paraId="5F2CA521" w14:textId="77777777" w:rsidR="00E836FB" w:rsidRDefault="00E836FB">
            <w:pPr>
              <w:rPr>
                <w:rFonts w:ascii="宋体"/>
                <w:vanish/>
              </w:rPr>
            </w:pPr>
          </w:p>
        </w:tc>
        <w:tc>
          <w:tcPr>
            <w:tcW w:w="0" w:type="auto"/>
            <w:gridSpan w:val="3"/>
            <w:shd w:val="clear" w:color="auto" w:fill="auto"/>
            <w:vAlign w:val="bottom"/>
          </w:tcPr>
          <w:p w14:paraId="5F2CA522" w14:textId="77777777" w:rsidR="00E836FB" w:rsidRDefault="00E836FB">
            <w:pPr>
              <w:rPr>
                <w:rFonts w:ascii="宋体"/>
                <w:vanish/>
              </w:rPr>
            </w:pPr>
          </w:p>
        </w:tc>
        <w:tc>
          <w:tcPr>
            <w:tcW w:w="0" w:type="auto"/>
            <w:gridSpan w:val="3"/>
            <w:shd w:val="clear" w:color="auto" w:fill="auto"/>
            <w:vAlign w:val="bottom"/>
          </w:tcPr>
          <w:p w14:paraId="5F2CA523" w14:textId="77777777" w:rsidR="00E836FB" w:rsidRDefault="00E836FB">
            <w:pPr>
              <w:rPr>
                <w:rFonts w:ascii="宋体"/>
                <w:vanish/>
              </w:rPr>
            </w:pPr>
          </w:p>
        </w:tc>
        <w:tc>
          <w:tcPr>
            <w:tcW w:w="0" w:type="auto"/>
            <w:gridSpan w:val="3"/>
            <w:shd w:val="clear" w:color="auto" w:fill="auto"/>
            <w:vAlign w:val="bottom"/>
          </w:tcPr>
          <w:p w14:paraId="5F2CA524" w14:textId="77777777" w:rsidR="00E836FB" w:rsidRDefault="00E836FB">
            <w:pPr>
              <w:rPr>
                <w:rFonts w:ascii="宋体"/>
                <w:vanish/>
              </w:rPr>
            </w:pPr>
          </w:p>
        </w:tc>
        <w:tc>
          <w:tcPr>
            <w:tcW w:w="0" w:type="auto"/>
            <w:gridSpan w:val="3"/>
            <w:shd w:val="clear" w:color="auto" w:fill="auto"/>
            <w:vAlign w:val="bottom"/>
          </w:tcPr>
          <w:p w14:paraId="5F2CA525" w14:textId="77777777" w:rsidR="00E836FB" w:rsidRDefault="00E836FB">
            <w:pPr>
              <w:rPr>
                <w:rFonts w:ascii="宋体"/>
                <w:vanish/>
              </w:rPr>
            </w:pPr>
          </w:p>
        </w:tc>
        <w:tc>
          <w:tcPr>
            <w:tcW w:w="0" w:type="auto"/>
            <w:gridSpan w:val="3"/>
            <w:shd w:val="clear" w:color="auto" w:fill="auto"/>
            <w:vAlign w:val="bottom"/>
          </w:tcPr>
          <w:p w14:paraId="5F2CA526" w14:textId="77777777" w:rsidR="00E836FB" w:rsidRDefault="00E836FB">
            <w:pPr>
              <w:rPr>
                <w:rFonts w:ascii="宋体"/>
                <w:vanish/>
              </w:rPr>
            </w:pPr>
          </w:p>
        </w:tc>
        <w:tc>
          <w:tcPr>
            <w:tcW w:w="0" w:type="auto"/>
            <w:gridSpan w:val="3"/>
            <w:shd w:val="clear" w:color="auto" w:fill="auto"/>
            <w:vAlign w:val="bottom"/>
          </w:tcPr>
          <w:p w14:paraId="5F2CA527" w14:textId="77777777" w:rsidR="00E836FB" w:rsidRDefault="00E836FB">
            <w:pPr>
              <w:rPr>
                <w:rFonts w:ascii="宋体"/>
                <w:vanish/>
              </w:rPr>
            </w:pPr>
          </w:p>
        </w:tc>
        <w:tc>
          <w:tcPr>
            <w:tcW w:w="0" w:type="auto"/>
            <w:gridSpan w:val="3"/>
            <w:shd w:val="clear" w:color="auto" w:fill="auto"/>
            <w:vAlign w:val="bottom"/>
          </w:tcPr>
          <w:p w14:paraId="5F2CA528" w14:textId="77777777" w:rsidR="00E836FB" w:rsidRDefault="00E836FB">
            <w:pPr>
              <w:rPr>
                <w:rFonts w:ascii="宋体"/>
                <w:vanish/>
              </w:rPr>
            </w:pPr>
          </w:p>
        </w:tc>
        <w:tc>
          <w:tcPr>
            <w:tcW w:w="0" w:type="auto"/>
            <w:gridSpan w:val="3"/>
            <w:shd w:val="clear" w:color="auto" w:fill="auto"/>
            <w:vAlign w:val="bottom"/>
          </w:tcPr>
          <w:p w14:paraId="5F2CA529" w14:textId="77777777" w:rsidR="00E836FB" w:rsidRDefault="00E836FB">
            <w:pPr>
              <w:rPr>
                <w:rFonts w:ascii="宋体"/>
                <w:vanish/>
              </w:rPr>
            </w:pPr>
          </w:p>
        </w:tc>
      </w:tr>
      <w:tr w:rsidR="00E836FB" w14:paraId="5F2CA536" w14:textId="77777777">
        <w:trPr>
          <w:hidden/>
        </w:trPr>
        <w:tc>
          <w:tcPr>
            <w:tcW w:w="0" w:type="auto"/>
            <w:gridSpan w:val="3"/>
            <w:shd w:val="clear" w:color="auto" w:fill="auto"/>
            <w:vAlign w:val="bottom"/>
          </w:tcPr>
          <w:p w14:paraId="5F2CA52B" w14:textId="77777777" w:rsidR="00E836FB" w:rsidRDefault="00E836FB">
            <w:pPr>
              <w:rPr>
                <w:rFonts w:ascii="宋体"/>
                <w:vanish/>
              </w:rPr>
            </w:pPr>
          </w:p>
        </w:tc>
        <w:tc>
          <w:tcPr>
            <w:tcW w:w="0" w:type="auto"/>
            <w:gridSpan w:val="3"/>
            <w:shd w:val="clear" w:color="auto" w:fill="auto"/>
            <w:vAlign w:val="bottom"/>
          </w:tcPr>
          <w:p w14:paraId="5F2CA52C" w14:textId="77777777" w:rsidR="00E836FB" w:rsidRDefault="00E836FB">
            <w:pPr>
              <w:rPr>
                <w:rFonts w:ascii="宋体"/>
                <w:vanish/>
              </w:rPr>
            </w:pPr>
          </w:p>
        </w:tc>
        <w:tc>
          <w:tcPr>
            <w:tcW w:w="0" w:type="auto"/>
            <w:gridSpan w:val="3"/>
            <w:shd w:val="clear" w:color="auto" w:fill="auto"/>
            <w:vAlign w:val="bottom"/>
          </w:tcPr>
          <w:p w14:paraId="5F2CA52D" w14:textId="77777777" w:rsidR="00E836FB" w:rsidRDefault="00E836FB">
            <w:pPr>
              <w:rPr>
                <w:rFonts w:ascii="宋体"/>
                <w:vanish/>
              </w:rPr>
            </w:pPr>
          </w:p>
        </w:tc>
        <w:tc>
          <w:tcPr>
            <w:tcW w:w="0" w:type="auto"/>
            <w:gridSpan w:val="3"/>
            <w:shd w:val="clear" w:color="auto" w:fill="auto"/>
            <w:vAlign w:val="bottom"/>
          </w:tcPr>
          <w:p w14:paraId="5F2CA52E" w14:textId="77777777" w:rsidR="00E836FB" w:rsidRDefault="00E836FB">
            <w:pPr>
              <w:rPr>
                <w:rFonts w:ascii="宋体"/>
                <w:vanish/>
              </w:rPr>
            </w:pPr>
          </w:p>
        </w:tc>
        <w:tc>
          <w:tcPr>
            <w:tcW w:w="0" w:type="auto"/>
            <w:gridSpan w:val="3"/>
            <w:shd w:val="clear" w:color="auto" w:fill="auto"/>
            <w:vAlign w:val="bottom"/>
          </w:tcPr>
          <w:p w14:paraId="5F2CA52F" w14:textId="77777777" w:rsidR="00E836FB" w:rsidRDefault="00E836FB">
            <w:pPr>
              <w:rPr>
                <w:rFonts w:ascii="宋体"/>
                <w:vanish/>
              </w:rPr>
            </w:pPr>
          </w:p>
        </w:tc>
        <w:tc>
          <w:tcPr>
            <w:tcW w:w="0" w:type="auto"/>
            <w:gridSpan w:val="3"/>
            <w:shd w:val="clear" w:color="auto" w:fill="auto"/>
            <w:vAlign w:val="bottom"/>
          </w:tcPr>
          <w:p w14:paraId="5F2CA530" w14:textId="77777777" w:rsidR="00E836FB" w:rsidRDefault="00E836FB">
            <w:pPr>
              <w:rPr>
                <w:rFonts w:ascii="宋体"/>
                <w:vanish/>
              </w:rPr>
            </w:pPr>
          </w:p>
        </w:tc>
        <w:tc>
          <w:tcPr>
            <w:tcW w:w="0" w:type="auto"/>
            <w:gridSpan w:val="3"/>
            <w:shd w:val="clear" w:color="auto" w:fill="auto"/>
            <w:vAlign w:val="bottom"/>
          </w:tcPr>
          <w:p w14:paraId="5F2CA531" w14:textId="77777777" w:rsidR="00E836FB" w:rsidRDefault="00E836FB">
            <w:pPr>
              <w:rPr>
                <w:rFonts w:ascii="宋体"/>
                <w:vanish/>
              </w:rPr>
            </w:pPr>
          </w:p>
        </w:tc>
        <w:tc>
          <w:tcPr>
            <w:tcW w:w="0" w:type="auto"/>
            <w:gridSpan w:val="3"/>
            <w:shd w:val="clear" w:color="auto" w:fill="auto"/>
            <w:vAlign w:val="bottom"/>
          </w:tcPr>
          <w:p w14:paraId="5F2CA532" w14:textId="77777777" w:rsidR="00E836FB" w:rsidRDefault="00E836FB">
            <w:pPr>
              <w:rPr>
                <w:rFonts w:ascii="宋体"/>
                <w:vanish/>
              </w:rPr>
            </w:pPr>
          </w:p>
        </w:tc>
        <w:tc>
          <w:tcPr>
            <w:tcW w:w="0" w:type="auto"/>
            <w:gridSpan w:val="3"/>
            <w:shd w:val="clear" w:color="auto" w:fill="auto"/>
            <w:vAlign w:val="bottom"/>
          </w:tcPr>
          <w:p w14:paraId="5F2CA533" w14:textId="77777777" w:rsidR="00E836FB" w:rsidRDefault="00E836FB">
            <w:pPr>
              <w:rPr>
                <w:rFonts w:ascii="宋体"/>
                <w:vanish/>
              </w:rPr>
            </w:pPr>
          </w:p>
        </w:tc>
        <w:tc>
          <w:tcPr>
            <w:tcW w:w="0" w:type="auto"/>
            <w:gridSpan w:val="3"/>
            <w:shd w:val="clear" w:color="auto" w:fill="auto"/>
            <w:vAlign w:val="bottom"/>
          </w:tcPr>
          <w:p w14:paraId="5F2CA534" w14:textId="77777777" w:rsidR="00E836FB" w:rsidRDefault="00E836FB">
            <w:pPr>
              <w:rPr>
                <w:rFonts w:ascii="宋体"/>
                <w:vanish/>
              </w:rPr>
            </w:pPr>
          </w:p>
        </w:tc>
        <w:tc>
          <w:tcPr>
            <w:tcW w:w="0" w:type="auto"/>
            <w:gridSpan w:val="3"/>
            <w:shd w:val="clear" w:color="auto" w:fill="auto"/>
            <w:vAlign w:val="bottom"/>
          </w:tcPr>
          <w:p w14:paraId="5F2CA535" w14:textId="77777777" w:rsidR="00E836FB" w:rsidRDefault="00E836FB">
            <w:pPr>
              <w:rPr>
                <w:rFonts w:ascii="宋体"/>
                <w:vanish/>
              </w:rPr>
            </w:pPr>
          </w:p>
        </w:tc>
      </w:tr>
      <w:tr w:rsidR="00E836FB" w14:paraId="5F2CA542" w14:textId="77777777">
        <w:trPr>
          <w:hidden/>
        </w:trPr>
        <w:tc>
          <w:tcPr>
            <w:tcW w:w="0" w:type="auto"/>
            <w:gridSpan w:val="3"/>
            <w:shd w:val="clear" w:color="auto" w:fill="auto"/>
            <w:vAlign w:val="bottom"/>
          </w:tcPr>
          <w:p w14:paraId="5F2CA537" w14:textId="77777777" w:rsidR="00E836FB" w:rsidRDefault="00E836FB">
            <w:pPr>
              <w:rPr>
                <w:rFonts w:ascii="宋体"/>
                <w:vanish/>
              </w:rPr>
            </w:pPr>
          </w:p>
        </w:tc>
        <w:tc>
          <w:tcPr>
            <w:tcW w:w="0" w:type="auto"/>
            <w:gridSpan w:val="3"/>
            <w:shd w:val="clear" w:color="auto" w:fill="auto"/>
            <w:vAlign w:val="bottom"/>
          </w:tcPr>
          <w:p w14:paraId="5F2CA538" w14:textId="77777777" w:rsidR="00E836FB" w:rsidRDefault="00E836FB">
            <w:pPr>
              <w:rPr>
                <w:rFonts w:ascii="宋体"/>
                <w:vanish/>
              </w:rPr>
            </w:pPr>
          </w:p>
        </w:tc>
        <w:tc>
          <w:tcPr>
            <w:tcW w:w="0" w:type="auto"/>
            <w:gridSpan w:val="3"/>
            <w:shd w:val="clear" w:color="auto" w:fill="auto"/>
            <w:vAlign w:val="bottom"/>
          </w:tcPr>
          <w:p w14:paraId="5F2CA539" w14:textId="77777777" w:rsidR="00E836FB" w:rsidRDefault="00E836FB">
            <w:pPr>
              <w:rPr>
                <w:rFonts w:ascii="宋体"/>
                <w:vanish/>
              </w:rPr>
            </w:pPr>
          </w:p>
        </w:tc>
        <w:tc>
          <w:tcPr>
            <w:tcW w:w="0" w:type="auto"/>
            <w:gridSpan w:val="3"/>
            <w:shd w:val="clear" w:color="auto" w:fill="auto"/>
            <w:vAlign w:val="bottom"/>
          </w:tcPr>
          <w:p w14:paraId="5F2CA53A" w14:textId="77777777" w:rsidR="00E836FB" w:rsidRDefault="00E836FB">
            <w:pPr>
              <w:rPr>
                <w:rFonts w:ascii="宋体"/>
                <w:vanish/>
              </w:rPr>
            </w:pPr>
          </w:p>
        </w:tc>
        <w:tc>
          <w:tcPr>
            <w:tcW w:w="0" w:type="auto"/>
            <w:gridSpan w:val="3"/>
            <w:shd w:val="clear" w:color="auto" w:fill="auto"/>
            <w:vAlign w:val="bottom"/>
          </w:tcPr>
          <w:p w14:paraId="5F2CA53B" w14:textId="77777777" w:rsidR="00E836FB" w:rsidRDefault="00E836FB">
            <w:pPr>
              <w:rPr>
                <w:rFonts w:ascii="宋体"/>
                <w:vanish/>
              </w:rPr>
            </w:pPr>
          </w:p>
        </w:tc>
        <w:tc>
          <w:tcPr>
            <w:tcW w:w="0" w:type="auto"/>
            <w:gridSpan w:val="3"/>
            <w:shd w:val="clear" w:color="auto" w:fill="auto"/>
            <w:vAlign w:val="bottom"/>
          </w:tcPr>
          <w:p w14:paraId="5F2CA53C" w14:textId="77777777" w:rsidR="00E836FB" w:rsidRDefault="00E836FB">
            <w:pPr>
              <w:rPr>
                <w:rFonts w:ascii="宋体"/>
                <w:vanish/>
              </w:rPr>
            </w:pPr>
          </w:p>
        </w:tc>
        <w:tc>
          <w:tcPr>
            <w:tcW w:w="0" w:type="auto"/>
            <w:gridSpan w:val="3"/>
            <w:shd w:val="clear" w:color="auto" w:fill="auto"/>
            <w:vAlign w:val="bottom"/>
          </w:tcPr>
          <w:p w14:paraId="5F2CA53D" w14:textId="77777777" w:rsidR="00E836FB" w:rsidRDefault="00E836FB">
            <w:pPr>
              <w:rPr>
                <w:rFonts w:ascii="宋体"/>
                <w:vanish/>
              </w:rPr>
            </w:pPr>
          </w:p>
        </w:tc>
        <w:tc>
          <w:tcPr>
            <w:tcW w:w="0" w:type="auto"/>
            <w:gridSpan w:val="3"/>
            <w:shd w:val="clear" w:color="auto" w:fill="auto"/>
            <w:vAlign w:val="bottom"/>
          </w:tcPr>
          <w:p w14:paraId="5F2CA53E" w14:textId="77777777" w:rsidR="00E836FB" w:rsidRDefault="00E836FB">
            <w:pPr>
              <w:rPr>
                <w:rFonts w:ascii="宋体"/>
                <w:vanish/>
              </w:rPr>
            </w:pPr>
          </w:p>
        </w:tc>
        <w:tc>
          <w:tcPr>
            <w:tcW w:w="0" w:type="auto"/>
            <w:gridSpan w:val="3"/>
            <w:shd w:val="clear" w:color="auto" w:fill="auto"/>
            <w:vAlign w:val="bottom"/>
          </w:tcPr>
          <w:p w14:paraId="5F2CA53F" w14:textId="77777777" w:rsidR="00E836FB" w:rsidRDefault="00E836FB">
            <w:pPr>
              <w:rPr>
                <w:rFonts w:ascii="宋体"/>
                <w:vanish/>
              </w:rPr>
            </w:pPr>
          </w:p>
        </w:tc>
        <w:tc>
          <w:tcPr>
            <w:tcW w:w="0" w:type="auto"/>
            <w:gridSpan w:val="3"/>
            <w:shd w:val="clear" w:color="auto" w:fill="auto"/>
            <w:vAlign w:val="bottom"/>
          </w:tcPr>
          <w:p w14:paraId="5F2CA540" w14:textId="77777777" w:rsidR="00E836FB" w:rsidRDefault="00E836FB">
            <w:pPr>
              <w:rPr>
                <w:rFonts w:ascii="宋体"/>
                <w:vanish/>
              </w:rPr>
            </w:pPr>
          </w:p>
        </w:tc>
        <w:tc>
          <w:tcPr>
            <w:tcW w:w="0" w:type="auto"/>
            <w:gridSpan w:val="3"/>
            <w:shd w:val="clear" w:color="auto" w:fill="auto"/>
            <w:vAlign w:val="bottom"/>
          </w:tcPr>
          <w:p w14:paraId="5F2CA541" w14:textId="77777777" w:rsidR="00E836FB" w:rsidRDefault="00E836FB">
            <w:pPr>
              <w:rPr>
                <w:rFonts w:ascii="宋体"/>
                <w:vanish/>
              </w:rPr>
            </w:pPr>
          </w:p>
        </w:tc>
      </w:tr>
      <w:tr w:rsidR="00E836FB" w14:paraId="5F2CA54E" w14:textId="77777777">
        <w:trPr>
          <w:hidden/>
        </w:trPr>
        <w:tc>
          <w:tcPr>
            <w:tcW w:w="0" w:type="auto"/>
            <w:gridSpan w:val="3"/>
            <w:shd w:val="clear" w:color="auto" w:fill="auto"/>
            <w:vAlign w:val="bottom"/>
          </w:tcPr>
          <w:p w14:paraId="5F2CA543" w14:textId="77777777" w:rsidR="00E836FB" w:rsidRDefault="00E836FB">
            <w:pPr>
              <w:rPr>
                <w:rFonts w:ascii="宋体"/>
                <w:vanish/>
              </w:rPr>
            </w:pPr>
          </w:p>
        </w:tc>
        <w:tc>
          <w:tcPr>
            <w:tcW w:w="0" w:type="auto"/>
            <w:gridSpan w:val="3"/>
            <w:shd w:val="clear" w:color="auto" w:fill="auto"/>
            <w:vAlign w:val="bottom"/>
          </w:tcPr>
          <w:p w14:paraId="5F2CA544" w14:textId="77777777" w:rsidR="00E836FB" w:rsidRDefault="00E836FB">
            <w:pPr>
              <w:rPr>
                <w:rFonts w:ascii="宋体"/>
                <w:vanish/>
              </w:rPr>
            </w:pPr>
          </w:p>
        </w:tc>
        <w:tc>
          <w:tcPr>
            <w:tcW w:w="0" w:type="auto"/>
            <w:gridSpan w:val="3"/>
            <w:shd w:val="clear" w:color="auto" w:fill="auto"/>
            <w:vAlign w:val="bottom"/>
          </w:tcPr>
          <w:p w14:paraId="5F2CA545" w14:textId="77777777" w:rsidR="00E836FB" w:rsidRDefault="00E836FB">
            <w:pPr>
              <w:rPr>
                <w:rFonts w:ascii="宋体"/>
                <w:vanish/>
              </w:rPr>
            </w:pPr>
          </w:p>
        </w:tc>
        <w:tc>
          <w:tcPr>
            <w:tcW w:w="0" w:type="auto"/>
            <w:gridSpan w:val="3"/>
            <w:shd w:val="clear" w:color="auto" w:fill="auto"/>
            <w:vAlign w:val="bottom"/>
          </w:tcPr>
          <w:p w14:paraId="5F2CA546" w14:textId="77777777" w:rsidR="00E836FB" w:rsidRDefault="00E836FB">
            <w:pPr>
              <w:rPr>
                <w:rFonts w:ascii="宋体"/>
                <w:vanish/>
              </w:rPr>
            </w:pPr>
          </w:p>
        </w:tc>
        <w:tc>
          <w:tcPr>
            <w:tcW w:w="0" w:type="auto"/>
            <w:gridSpan w:val="3"/>
            <w:shd w:val="clear" w:color="auto" w:fill="auto"/>
            <w:vAlign w:val="bottom"/>
          </w:tcPr>
          <w:p w14:paraId="5F2CA547" w14:textId="77777777" w:rsidR="00E836FB" w:rsidRDefault="00E836FB">
            <w:pPr>
              <w:rPr>
                <w:rFonts w:ascii="宋体"/>
                <w:vanish/>
              </w:rPr>
            </w:pPr>
          </w:p>
        </w:tc>
        <w:tc>
          <w:tcPr>
            <w:tcW w:w="0" w:type="auto"/>
            <w:gridSpan w:val="3"/>
            <w:shd w:val="clear" w:color="auto" w:fill="auto"/>
            <w:vAlign w:val="bottom"/>
          </w:tcPr>
          <w:p w14:paraId="5F2CA548" w14:textId="77777777" w:rsidR="00E836FB" w:rsidRDefault="00E836FB">
            <w:pPr>
              <w:rPr>
                <w:rFonts w:ascii="宋体"/>
                <w:vanish/>
              </w:rPr>
            </w:pPr>
          </w:p>
        </w:tc>
        <w:tc>
          <w:tcPr>
            <w:tcW w:w="0" w:type="auto"/>
            <w:gridSpan w:val="3"/>
            <w:shd w:val="clear" w:color="auto" w:fill="auto"/>
            <w:vAlign w:val="bottom"/>
          </w:tcPr>
          <w:p w14:paraId="5F2CA549" w14:textId="77777777" w:rsidR="00E836FB" w:rsidRDefault="00E836FB">
            <w:pPr>
              <w:rPr>
                <w:rFonts w:ascii="宋体"/>
                <w:vanish/>
              </w:rPr>
            </w:pPr>
          </w:p>
        </w:tc>
        <w:tc>
          <w:tcPr>
            <w:tcW w:w="0" w:type="auto"/>
            <w:gridSpan w:val="3"/>
            <w:shd w:val="clear" w:color="auto" w:fill="auto"/>
            <w:vAlign w:val="bottom"/>
          </w:tcPr>
          <w:p w14:paraId="5F2CA54A" w14:textId="77777777" w:rsidR="00E836FB" w:rsidRDefault="00E836FB">
            <w:pPr>
              <w:rPr>
                <w:rFonts w:ascii="宋体"/>
                <w:vanish/>
              </w:rPr>
            </w:pPr>
          </w:p>
        </w:tc>
        <w:tc>
          <w:tcPr>
            <w:tcW w:w="0" w:type="auto"/>
            <w:gridSpan w:val="3"/>
            <w:shd w:val="clear" w:color="auto" w:fill="auto"/>
            <w:vAlign w:val="bottom"/>
          </w:tcPr>
          <w:p w14:paraId="5F2CA54B" w14:textId="77777777" w:rsidR="00E836FB" w:rsidRDefault="00E836FB">
            <w:pPr>
              <w:rPr>
                <w:rFonts w:ascii="宋体"/>
                <w:vanish/>
              </w:rPr>
            </w:pPr>
          </w:p>
        </w:tc>
        <w:tc>
          <w:tcPr>
            <w:tcW w:w="0" w:type="auto"/>
            <w:gridSpan w:val="3"/>
            <w:shd w:val="clear" w:color="auto" w:fill="auto"/>
            <w:vAlign w:val="bottom"/>
          </w:tcPr>
          <w:p w14:paraId="5F2CA54C" w14:textId="77777777" w:rsidR="00E836FB" w:rsidRDefault="00E836FB">
            <w:pPr>
              <w:rPr>
                <w:rFonts w:ascii="宋体"/>
                <w:vanish/>
              </w:rPr>
            </w:pPr>
          </w:p>
        </w:tc>
        <w:tc>
          <w:tcPr>
            <w:tcW w:w="0" w:type="auto"/>
            <w:gridSpan w:val="3"/>
            <w:shd w:val="clear" w:color="auto" w:fill="auto"/>
            <w:vAlign w:val="bottom"/>
          </w:tcPr>
          <w:p w14:paraId="5F2CA54D" w14:textId="77777777" w:rsidR="00E836FB" w:rsidRDefault="00E836FB">
            <w:pPr>
              <w:rPr>
                <w:rFonts w:ascii="宋体"/>
                <w:vanish/>
              </w:rPr>
            </w:pPr>
          </w:p>
        </w:tc>
      </w:tr>
      <w:tr w:rsidR="00E836FB" w14:paraId="5F2CA55A" w14:textId="77777777">
        <w:trPr>
          <w:hidden/>
        </w:trPr>
        <w:tc>
          <w:tcPr>
            <w:tcW w:w="0" w:type="auto"/>
            <w:gridSpan w:val="3"/>
            <w:shd w:val="clear" w:color="auto" w:fill="auto"/>
            <w:vAlign w:val="bottom"/>
          </w:tcPr>
          <w:p w14:paraId="5F2CA54F" w14:textId="77777777" w:rsidR="00E836FB" w:rsidRDefault="00E836FB">
            <w:pPr>
              <w:rPr>
                <w:rFonts w:ascii="宋体"/>
                <w:vanish/>
              </w:rPr>
            </w:pPr>
          </w:p>
        </w:tc>
        <w:tc>
          <w:tcPr>
            <w:tcW w:w="0" w:type="auto"/>
            <w:gridSpan w:val="3"/>
            <w:shd w:val="clear" w:color="auto" w:fill="auto"/>
            <w:vAlign w:val="bottom"/>
          </w:tcPr>
          <w:p w14:paraId="5F2CA550" w14:textId="77777777" w:rsidR="00E836FB" w:rsidRDefault="00E836FB">
            <w:pPr>
              <w:rPr>
                <w:rFonts w:ascii="宋体"/>
                <w:vanish/>
              </w:rPr>
            </w:pPr>
          </w:p>
        </w:tc>
        <w:tc>
          <w:tcPr>
            <w:tcW w:w="0" w:type="auto"/>
            <w:gridSpan w:val="3"/>
            <w:shd w:val="clear" w:color="auto" w:fill="auto"/>
            <w:vAlign w:val="bottom"/>
          </w:tcPr>
          <w:p w14:paraId="5F2CA551" w14:textId="77777777" w:rsidR="00E836FB" w:rsidRDefault="00E836FB">
            <w:pPr>
              <w:rPr>
                <w:rFonts w:ascii="宋体"/>
                <w:vanish/>
              </w:rPr>
            </w:pPr>
          </w:p>
        </w:tc>
        <w:tc>
          <w:tcPr>
            <w:tcW w:w="0" w:type="auto"/>
            <w:gridSpan w:val="3"/>
            <w:shd w:val="clear" w:color="auto" w:fill="auto"/>
            <w:vAlign w:val="bottom"/>
          </w:tcPr>
          <w:p w14:paraId="5F2CA552" w14:textId="77777777" w:rsidR="00E836FB" w:rsidRDefault="00E836FB">
            <w:pPr>
              <w:rPr>
                <w:rFonts w:ascii="宋体"/>
                <w:vanish/>
              </w:rPr>
            </w:pPr>
          </w:p>
        </w:tc>
        <w:tc>
          <w:tcPr>
            <w:tcW w:w="0" w:type="auto"/>
            <w:gridSpan w:val="3"/>
            <w:shd w:val="clear" w:color="auto" w:fill="auto"/>
            <w:vAlign w:val="bottom"/>
          </w:tcPr>
          <w:p w14:paraId="5F2CA553" w14:textId="77777777" w:rsidR="00E836FB" w:rsidRDefault="00E836FB">
            <w:pPr>
              <w:rPr>
                <w:rFonts w:ascii="宋体"/>
                <w:vanish/>
              </w:rPr>
            </w:pPr>
          </w:p>
        </w:tc>
        <w:tc>
          <w:tcPr>
            <w:tcW w:w="0" w:type="auto"/>
            <w:gridSpan w:val="3"/>
            <w:shd w:val="clear" w:color="auto" w:fill="auto"/>
            <w:vAlign w:val="bottom"/>
          </w:tcPr>
          <w:p w14:paraId="5F2CA554" w14:textId="77777777" w:rsidR="00E836FB" w:rsidRDefault="00E836FB">
            <w:pPr>
              <w:rPr>
                <w:rFonts w:ascii="宋体"/>
                <w:vanish/>
              </w:rPr>
            </w:pPr>
          </w:p>
        </w:tc>
        <w:tc>
          <w:tcPr>
            <w:tcW w:w="0" w:type="auto"/>
            <w:gridSpan w:val="3"/>
            <w:shd w:val="clear" w:color="auto" w:fill="auto"/>
            <w:vAlign w:val="bottom"/>
          </w:tcPr>
          <w:p w14:paraId="5F2CA555" w14:textId="77777777" w:rsidR="00E836FB" w:rsidRDefault="00E836FB">
            <w:pPr>
              <w:rPr>
                <w:rFonts w:ascii="宋体"/>
                <w:vanish/>
              </w:rPr>
            </w:pPr>
          </w:p>
        </w:tc>
        <w:tc>
          <w:tcPr>
            <w:tcW w:w="0" w:type="auto"/>
            <w:gridSpan w:val="3"/>
            <w:shd w:val="clear" w:color="auto" w:fill="auto"/>
            <w:vAlign w:val="bottom"/>
          </w:tcPr>
          <w:p w14:paraId="5F2CA556" w14:textId="77777777" w:rsidR="00E836FB" w:rsidRDefault="00E836FB">
            <w:pPr>
              <w:rPr>
                <w:rFonts w:ascii="宋体"/>
                <w:vanish/>
              </w:rPr>
            </w:pPr>
          </w:p>
        </w:tc>
        <w:tc>
          <w:tcPr>
            <w:tcW w:w="0" w:type="auto"/>
            <w:gridSpan w:val="3"/>
            <w:shd w:val="clear" w:color="auto" w:fill="auto"/>
            <w:vAlign w:val="bottom"/>
          </w:tcPr>
          <w:p w14:paraId="5F2CA557" w14:textId="77777777" w:rsidR="00E836FB" w:rsidRDefault="00E836FB">
            <w:pPr>
              <w:rPr>
                <w:rFonts w:ascii="宋体"/>
                <w:vanish/>
              </w:rPr>
            </w:pPr>
          </w:p>
        </w:tc>
        <w:tc>
          <w:tcPr>
            <w:tcW w:w="0" w:type="auto"/>
            <w:gridSpan w:val="3"/>
            <w:shd w:val="clear" w:color="auto" w:fill="auto"/>
            <w:vAlign w:val="bottom"/>
          </w:tcPr>
          <w:p w14:paraId="5F2CA558" w14:textId="77777777" w:rsidR="00E836FB" w:rsidRDefault="00E836FB">
            <w:pPr>
              <w:rPr>
                <w:rFonts w:ascii="宋体"/>
                <w:vanish/>
              </w:rPr>
            </w:pPr>
          </w:p>
        </w:tc>
        <w:tc>
          <w:tcPr>
            <w:tcW w:w="0" w:type="auto"/>
            <w:gridSpan w:val="3"/>
            <w:shd w:val="clear" w:color="auto" w:fill="auto"/>
            <w:vAlign w:val="bottom"/>
          </w:tcPr>
          <w:p w14:paraId="5F2CA559" w14:textId="77777777" w:rsidR="00E836FB" w:rsidRDefault="00E836FB">
            <w:pPr>
              <w:rPr>
                <w:rFonts w:ascii="宋体"/>
                <w:vanish/>
              </w:rPr>
            </w:pPr>
          </w:p>
        </w:tc>
      </w:tr>
      <w:tr w:rsidR="00E836FB" w14:paraId="5F2CA562" w14:textId="77777777">
        <w:trPr>
          <w:trHeight w:val="220"/>
        </w:trPr>
        <w:tc>
          <w:tcPr>
            <w:tcW w:w="0" w:type="auto"/>
            <w:gridSpan w:val="3"/>
            <w:shd w:val="clear" w:color="auto" w:fill="auto"/>
            <w:tcMar>
              <w:top w:w="0" w:type="dxa"/>
              <w:left w:w="20" w:type="dxa"/>
              <w:bottom w:w="0" w:type="dxa"/>
              <w:right w:w="20" w:type="dxa"/>
            </w:tcMar>
            <w:vAlign w:val="bottom"/>
          </w:tcPr>
          <w:p w14:paraId="5F2CA55B"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A55C"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vAlign w:val="bottom"/>
          </w:tcPr>
          <w:p w14:paraId="5F2CA55D"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A55E" w14:textId="77777777" w:rsidR="00E836FB" w:rsidRDefault="00994958">
            <w:pPr>
              <w:jc w:val="center"/>
              <w:textAlignment w:val="bottom"/>
            </w:pPr>
            <w:r>
              <w:rPr>
                <w:rFonts w:ascii="Arial" w:eastAsia="宋体" w:hAnsi="Arial" w:cs="Arial"/>
                <w:b/>
                <w:bCs/>
                <w:color w:val="000000"/>
                <w:sz w:val="14"/>
                <w:szCs w:val="14"/>
              </w:rPr>
              <w:t>% Change 2021 vs. 2020</w:t>
            </w:r>
          </w:p>
        </w:tc>
        <w:tc>
          <w:tcPr>
            <w:tcW w:w="0" w:type="auto"/>
            <w:gridSpan w:val="3"/>
            <w:shd w:val="clear" w:color="auto" w:fill="auto"/>
            <w:vAlign w:val="bottom"/>
          </w:tcPr>
          <w:p w14:paraId="5F2CA55F"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A560"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A561" w14:textId="77777777" w:rsidR="00E836FB" w:rsidRDefault="00994958">
            <w:pPr>
              <w:jc w:val="center"/>
              <w:textAlignment w:val="bottom"/>
            </w:pPr>
            <w:r>
              <w:rPr>
                <w:rFonts w:ascii="Arial" w:eastAsia="宋体" w:hAnsi="Arial" w:cs="Arial"/>
                <w:b/>
                <w:bCs/>
                <w:color w:val="000000"/>
                <w:sz w:val="14"/>
                <w:szCs w:val="14"/>
              </w:rPr>
              <w:t>% Change 2020 vs. 2019</w:t>
            </w:r>
          </w:p>
        </w:tc>
      </w:tr>
      <w:tr w:rsidR="00E836FB" w14:paraId="5F2CA56E" w14:textId="77777777">
        <w:trPr>
          <w:trHeight w:val="220"/>
        </w:trPr>
        <w:tc>
          <w:tcPr>
            <w:tcW w:w="0" w:type="auto"/>
            <w:gridSpan w:val="3"/>
            <w:shd w:val="clear" w:color="auto" w:fill="auto"/>
            <w:tcMar>
              <w:top w:w="40" w:type="dxa"/>
              <w:left w:w="20" w:type="dxa"/>
              <w:bottom w:w="40" w:type="dxa"/>
              <w:right w:w="20" w:type="dxa"/>
            </w:tcMar>
            <w:vAlign w:val="bottom"/>
          </w:tcPr>
          <w:p w14:paraId="5F2CA563" w14:textId="77777777" w:rsidR="00E836FB" w:rsidRDefault="00994958">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564"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56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566"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56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568"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5F2CA569"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A56A" w14:textId="77777777" w:rsidR="00E836FB" w:rsidRDefault="00E836FB">
            <w:pPr>
              <w:jc w:val="center"/>
              <w:rPr>
                <w:rFonts w:ascii="宋体"/>
              </w:rPr>
            </w:pPr>
          </w:p>
        </w:tc>
        <w:tc>
          <w:tcPr>
            <w:tcW w:w="0" w:type="auto"/>
            <w:gridSpan w:val="3"/>
            <w:shd w:val="clear" w:color="auto" w:fill="auto"/>
            <w:vAlign w:val="bottom"/>
          </w:tcPr>
          <w:p w14:paraId="5F2CA56B"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A56C"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A56D" w14:textId="77777777" w:rsidR="00E836FB" w:rsidRDefault="00E836FB">
            <w:pPr>
              <w:jc w:val="center"/>
              <w:rPr>
                <w:rFonts w:ascii="宋体"/>
              </w:rPr>
            </w:pPr>
          </w:p>
        </w:tc>
      </w:tr>
      <w:tr w:rsidR="00E836FB" w14:paraId="5F2CA57A" w14:textId="77777777">
        <w:tc>
          <w:tcPr>
            <w:tcW w:w="0" w:type="auto"/>
            <w:gridSpan w:val="3"/>
            <w:shd w:val="clear" w:color="auto" w:fill="FFFFFF"/>
            <w:tcMar>
              <w:top w:w="40" w:type="dxa"/>
              <w:left w:w="20" w:type="dxa"/>
              <w:bottom w:w="40" w:type="dxa"/>
              <w:right w:w="20" w:type="dxa"/>
            </w:tcMar>
            <w:vAlign w:val="bottom"/>
          </w:tcPr>
          <w:p w14:paraId="5F2CA56F" w14:textId="77777777" w:rsidR="00E836FB" w:rsidRDefault="00994958">
            <w:pPr>
              <w:textAlignment w:val="bottom"/>
            </w:pPr>
            <w:r>
              <w:rPr>
                <w:rFonts w:ascii="Arial" w:eastAsia="宋体" w:hAnsi="Arial" w:cs="Arial"/>
                <w:color w:val="000000"/>
                <w:sz w:val="14"/>
                <w:szCs w:val="14"/>
              </w:rPr>
              <w:t>Fee revenue: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A5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57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A57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573"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A57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57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A576" w14:textId="77777777" w:rsidR="00E836FB" w:rsidRDefault="00E836FB">
            <w:pPr>
              <w:rPr>
                <w:rFonts w:ascii="宋体"/>
              </w:rPr>
            </w:pPr>
          </w:p>
        </w:tc>
        <w:tc>
          <w:tcPr>
            <w:tcW w:w="0" w:type="auto"/>
            <w:gridSpan w:val="3"/>
            <w:shd w:val="clear" w:color="auto" w:fill="auto"/>
            <w:vAlign w:val="bottom"/>
          </w:tcPr>
          <w:p w14:paraId="5F2CA577"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57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A579" w14:textId="77777777" w:rsidR="00E836FB" w:rsidRDefault="00E836FB">
            <w:pPr>
              <w:rPr>
                <w:rFonts w:ascii="宋体"/>
              </w:rPr>
            </w:pPr>
          </w:p>
        </w:tc>
      </w:tr>
      <w:tr w:rsidR="00E836FB" w14:paraId="5F2CA58E" w14:textId="77777777">
        <w:tc>
          <w:tcPr>
            <w:tcW w:w="0" w:type="auto"/>
            <w:gridSpan w:val="3"/>
            <w:shd w:val="clear" w:color="auto" w:fill="CCEEFF"/>
            <w:tcMar>
              <w:top w:w="40" w:type="dxa"/>
              <w:left w:w="20" w:type="dxa"/>
              <w:bottom w:w="40" w:type="dxa"/>
              <w:right w:w="20" w:type="dxa"/>
            </w:tcMar>
            <w:vAlign w:val="bottom"/>
          </w:tcPr>
          <w:p w14:paraId="5F2CA57B" w14:textId="77777777" w:rsidR="00E836FB" w:rsidRDefault="00994958">
            <w:pPr>
              <w:textAlignment w:val="bottom"/>
            </w:pPr>
            <w:r>
              <w:rPr>
                <w:rFonts w:ascii="Arial" w:eastAsia="宋体" w:hAnsi="Arial" w:cs="Arial"/>
                <w:color w:val="000000"/>
                <w:sz w:val="14"/>
                <w:szCs w:val="14"/>
              </w:rPr>
              <w:t>Servicing fees</w:t>
            </w:r>
          </w:p>
        </w:tc>
        <w:tc>
          <w:tcPr>
            <w:tcW w:w="0" w:type="auto"/>
            <w:shd w:val="clear" w:color="auto" w:fill="CCEEFF"/>
            <w:tcMar>
              <w:top w:w="40" w:type="dxa"/>
              <w:left w:w="20" w:type="dxa"/>
              <w:bottom w:w="40" w:type="dxa"/>
              <w:right w:w="0" w:type="dxa"/>
            </w:tcMar>
            <w:vAlign w:val="bottom"/>
          </w:tcPr>
          <w:p w14:paraId="5F2CA57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A57D" w14:textId="77777777" w:rsidR="00E836FB" w:rsidRDefault="00994958">
            <w:pPr>
              <w:jc w:val="right"/>
              <w:textAlignment w:val="bottom"/>
            </w:pPr>
            <w:r>
              <w:rPr>
                <w:rFonts w:ascii="Arial" w:eastAsia="宋体" w:hAnsi="Arial" w:cs="Arial"/>
                <w:b/>
                <w:bCs/>
                <w:color w:val="000000"/>
                <w:sz w:val="14"/>
                <w:szCs w:val="14"/>
              </w:rPr>
              <w:t>5,549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5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7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58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A581" w14:textId="77777777" w:rsidR="00E836FB" w:rsidRDefault="00994958">
            <w:pPr>
              <w:jc w:val="right"/>
              <w:textAlignment w:val="bottom"/>
            </w:pPr>
            <w:r>
              <w:rPr>
                <w:rFonts w:ascii="Arial" w:eastAsia="宋体" w:hAnsi="Arial" w:cs="Arial"/>
                <w:color w:val="000000"/>
                <w:sz w:val="14"/>
                <w:szCs w:val="14"/>
              </w:rPr>
              <w:t>5,167 </w:t>
            </w:r>
          </w:p>
        </w:tc>
        <w:tc>
          <w:tcPr>
            <w:tcW w:w="0" w:type="auto"/>
            <w:shd w:val="clear" w:color="auto" w:fill="CCEEFF"/>
            <w:tcMar>
              <w:top w:w="40" w:type="dxa"/>
              <w:left w:w="0" w:type="dxa"/>
              <w:bottom w:w="40" w:type="dxa"/>
              <w:right w:w="20" w:type="dxa"/>
            </w:tcMar>
            <w:vAlign w:val="bottom"/>
          </w:tcPr>
          <w:p w14:paraId="5F2CA5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8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58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A585" w14:textId="77777777" w:rsidR="00E836FB" w:rsidRDefault="00994958">
            <w:pPr>
              <w:jc w:val="right"/>
              <w:textAlignment w:val="bottom"/>
            </w:pPr>
            <w:r>
              <w:rPr>
                <w:rFonts w:ascii="Arial" w:eastAsia="宋体" w:hAnsi="Arial" w:cs="Arial"/>
                <w:color w:val="000000"/>
                <w:sz w:val="14"/>
                <w:szCs w:val="14"/>
              </w:rPr>
              <w:t>5,074 </w:t>
            </w:r>
          </w:p>
        </w:tc>
        <w:tc>
          <w:tcPr>
            <w:tcW w:w="0" w:type="auto"/>
            <w:shd w:val="clear" w:color="auto" w:fill="CCEEFF"/>
            <w:tcMar>
              <w:top w:w="40" w:type="dxa"/>
              <w:left w:w="0" w:type="dxa"/>
              <w:bottom w:w="40" w:type="dxa"/>
              <w:right w:w="20" w:type="dxa"/>
            </w:tcMar>
            <w:vAlign w:val="bottom"/>
          </w:tcPr>
          <w:p w14:paraId="5F2CA5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8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88" w14:textId="77777777" w:rsidR="00E836FB" w:rsidRDefault="00994958">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5F2CA589"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A58A"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58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8C"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CA58D" w14:textId="77777777" w:rsidR="00E836FB" w:rsidRDefault="00994958">
            <w:pPr>
              <w:jc w:val="right"/>
              <w:textAlignment w:val="bottom"/>
            </w:pPr>
            <w:r>
              <w:rPr>
                <w:rFonts w:ascii="Arial" w:eastAsia="宋体" w:hAnsi="Arial" w:cs="Arial"/>
                <w:color w:val="000000"/>
                <w:sz w:val="14"/>
                <w:szCs w:val="14"/>
              </w:rPr>
              <w:t>%</w:t>
            </w:r>
          </w:p>
        </w:tc>
      </w:tr>
      <w:tr w:rsidR="00E836FB" w14:paraId="5F2CA59F" w14:textId="77777777">
        <w:tc>
          <w:tcPr>
            <w:tcW w:w="0" w:type="auto"/>
            <w:gridSpan w:val="3"/>
            <w:shd w:val="clear" w:color="auto" w:fill="FFFFFF"/>
            <w:tcMar>
              <w:top w:w="40" w:type="dxa"/>
              <w:left w:w="20" w:type="dxa"/>
              <w:bottom w:w="40" w:type="dxa"/>
              <w:right w:w="20" w:type="dxa"/>
            </w:tcMar>
            <w:vAlign w:val="bottom"/>
          </w:tcPr>
          <w:p w14:paraId="5F2CA58F" w14:textId="77777777" w:rsidR="00E836FB" w:rsidRDefault="00994958">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F2CA590" w14:textId="77777777" w:rsidR="00E836FB" w:rsidRDefault="00994958">
            <w:pPr>
              <w:jc w:val="right"/>
              <w:textAlignment w:val="bottom"/>
            </w:pPr>
            <w:r>
              <w:rPr>
                <w:rFonts w:ascii="Arial" w:eastAsia="宋体" w:hAnsi="Arial" w:cs="Arial"/>
                <w:b/>
                <w:bCs/>
                <w:color w:val="000000"/>
                <w:sz w:val="14"/>
                <w:szCs w:val="14"/>
              </w:rPr>
              <w:t>2,053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5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93" w14:textId="77777777" w:rsidR="00E836FB" w:rsidRDefault="00994958">
            <w:pPr>
              <w:jc w:val="right"/>
              <w:textAlignment w:val="bottom"/>
            </w:pPr>
            <w:r>
              <w:rPr>
                <w:rFonts w:ascii="Arial" w:eastAsia="宋体" w:hAnsi="Arial" w:cs="Arial"/>
                <w:color w:val="000000"/>
                <w:sz w:val="14"/>
                <w:szCs w:val="14"/>
              </w:rPr>
              <w:t>1,880 </w:t>
            </w:r>
          </w:p>
        </w:tc>
        <w:tc>
          <w:tcPr>
            <w:tcW w:w="0" w:type="auto"/>
            <w:shd w:val="clear" w:color="auto" w:fill="FFFFFF"/>
            <w:tcMar>
              <w:top w:w="40" w:type="dxa"/>
              <w:left w:w="0" w:type="dxa"/>
              <w:bottom w:w="40" w:type="dxa"/>
              <w:right w:w="20" w:type="dxa"/>
            </w:tcMar>
            <w:vAlign w:val="bottom"/>
          </w:tcPr>
          <w:p w14:paraId="5F2CA5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9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96" w14:textId="77777777" w:rsidR="00E836FB" w:rsidRDefault="00994958">
            <w:pPr>
              <w:jc w:val="right"/>
              <w:textAlignment w:val="bottom"/>
            </w:pPr>
            <w:r>
              <w:rPr>
                <w:rFonts w:ascii="Arial" w:eastAsia="宋体" w:hAnsi="Arial" w:cs="Arial"/>
                <w:color w:val="000000"/>
                <w:sz w:val="14"/>
                <w:szCs w:val="14"/>
              </w:rPr>
              <w:t>1,824 </w:t>
            </w:r>
          </w:p>
        </w:tc>
        <w:tc>
          <w:tcPr>
            <w:tcW w:w="0" w:type="auto"/>
            <w:shd w:val="clear" w:color="auto" w:fill="FFFFFF"/>
            <w:tcMar>
              <w:top w:w="40" w:type="dxa"/>
              <w:left w:w="0" w:type="dxa"/>
              <w:bottom w:w="40" w:type="dxa"/>
              <w:right w:w="20" w:type="dxa"/>
            </w:tcMar>
            <w:vAlign w:val="bottom"/>
          </w:tcPr>
          <w:p w14:paraId="5F2CA59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9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99" w14:textId="77777777" w:rsidR="00E836FB" w:rsidRDefault="00994958">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5F2CA59A" w14:textId="77777777" w:rsidR="00E836FB" w:rsidRDefault="00E836FB">
            <w:pPr>
              <w:jc w:val="right"/>
              <w:rPr>
                <w:rFonts w:ascii="宋体"/>
              </w:rPr>
            </w:pPr>
          </w:p>
        </w:tc>
        <w:tc>
          <w:tcPr>
            <w:tcW w:w="0" w:type="auto"/>
            <w:gridSpan w:val="3"/>
            <w:shd w:val="clear" w:color="auto" w:fill="auto"/>
            <w:vAlign w:val="bottom"/>
          </w:tcPr>
          <w:p w14:paraId="5F2CA59B"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59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9D"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F2CA59E" w14:textId="77777777" w:rsidR="00E836FB" w:rsidRDefault="00E836FB">
            <w:pPr>
              <w:jc w:val="right"/>
              <w:rPr>
                <w:rFonts w:ascii="宋体"/>
              </w:rPr>
            </w:pPr>
          </w:p>
        </w:tc>
      </w:tr>
      <w:tr w:rsidR="00E836FB" w14:paraId="5F2CA5B0" w14:textId="77777777">
        <w:tc>
          <w:tcPr>
            <w:tcW w:w="0" w:type="auto"/>
            <w:gridSpan w:val="3"/>
            <w:shd w:val="clear" w:color="auto" w:fill="CCEEFF"/>
            <w:tcMar>
              <w:top w:w="40" w:type="dxa"/>
              <w:left w:w="20" w:type="dxa"/>
              <w:bottom w:w="40" w:type="dxa"/>
              <w:right w:w="20" w:type="dxa"/>
            </w:tcMar>
            <w:vAlign w:val="bottom"/>
          </w:tcPr>
          <w:p w14:paraId="5F2CA5A0" w14:textId="77777777" w:rsidR="00E836FB" w:rsidRDefault="00994958">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5F2CA5A1" w14:textId="77777777" w:rsidR="00E836FB" w:rsidRDefault="00994958">
            <w:pPr>
              <w:jc w:val="right"/>
              <w:textAlignment w:val="bottom"/>
            </w:pPr>
            <w:r>
              <w:rPr>
                <w:rFonts w:ascii="Arial" w:eastAsia="宋体" w:hAnsi="Arial" w:cs="Arial"/>
                <w:b/>
                <w:bCs/>
                <w:color w:val="000000"/>
                <w:sz w:val="14"/>
                <w:szCs w:val="14"/>
              </w:rPr>
              <w:t>1,211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5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A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A4" w14:textId="77777777" w:rsidR="00E836FB" w:rsidRDefault="00994958">
            <w:pPr>
              <w:jc w:val="right"/>
              <w:textAlignment w:val="bottom"/>
            </w:pPr>
            <w:r>
              <w:rPr>
                <w:rFonts w:ascii="Arial" w:eastAsia="宋体" w:hAnsi="Arial" w:cs="Arial"/>
                <w:color w:val="000000"/>
                <w:sz w:val="14"/>
                <w:szCs w:val="14"/>
              </w:rPr>
              <w:t>1,363 </w:t>
            </w:r>
          </w:p>
        </w:tc>
        <w:tc>
          <w:tcPr>
            <w:tcW w:w="0" w:type="auto"/>
            <w:shd w:val="clear" w:color="auto" w:fill="CCEEFF"/>
            <w:tcMar>
              <w:top w:w="40" w:type="dxa"/>
              <w:left w:w="0" w:type="dxa"/>
              <w:bottom w:w="40" w:type="dxa"/>
              <w:right w:w="20" w:type="dxa"/>
            </w:tcMar>
            <w:vAlign w:val="bottom"/>
          </w:tcPr>
          <w:p w14:paraId="5F2CA5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A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A7" w14:textId="77777777" w:rsidR="00E836FB" w:rsidRDefault="00994958">
            <w:pPr>
              <w:jc w:val="right"/>
              <w:textAlignment w:val="bottom"/>
            </w:pPr>
            <w:r>
              <w:rPr>
                <w:rFonts w:ascii="Arial" w:eastAsia="宋体" w:hAnsi="Arial" w:cs="Arial"/>
                <w:color w:val="000000"/>
                <w:sz w:val="14"/>
                <w:szCs w:val="14"/>
              </w:rPr>
              <w:t>1,058 </w:t>
            </w:r>
          </w:p>
        </w:tc>
        <w:tc>
          <w:tcPr>
            <w:tcW w:w="0" w:type="auto"/>
            <w:shd w:val="clear" w:color="auto" w:fill="CCEEFF"/>
            <w:tcMar>
              <w:top w:w="40" w:type="dxa"/>
              <w:left w:w="0" w:type="dxa"/>
              <w:bottom w:w="40" w:type="dxa"/>
              <w:right w:w="20" w:type="dxa"/>
            </w:tcMar>
            <w:vAlign w:val="bottom"/>
          </w:tcPr>
          <w:p w14:paraId="5F2CA5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A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AA" w14:textId="77777777" w:rsidR="00E836FB" w:rsidRDefault="00994958">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5F2CA5AB" w14:textId="77777777" w:rsidR="00E836FB" w:rsidRDefault="00E836FB">
            <w:pPr>
              <w:jc w:val="right"/>
              <w:rPr>
                <w:rFonts w:ascii="宋体"/>
              </w:rPr>
            </w:pPr>
          </w:p>
        </w:tc>
        <w:tc>
          <w:tcPr>
            <w:tcW w:w="0" w:type="auto"/>
            <w:gridSpan w:val="3"/>
            <w:shd w:val="clear" w:color="auto" w:fill="auto"/>
            <w:vAlign w:val="bottom"/>
          </w:tcPr>
          <w:p w14:paraId="5F2CA5AC"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5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AE" w14:textId="77777777" w:rsidR="00E836FB" w:rsidRDefault="00994958">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5F2CA5AF" w14:textId="77777777" w:rsidR="00E836FB" w:rsidRDefault="00E836FB">
            <w:pPr>
              <w:jc w:val="right"/>
              <w:rPr>
                <w:rFonts w:ascii="宋体"/>
              </w:rPr>
            </w:pPr>
          </w:p>
        </w:tc>
      </w:tr>
      <w:tr w:rsidR="00E836FB" w14:paraId="5F2CA5C1" w14:textId="77777777">
        <w:tc>
          <w:tcPr>
            <w:tcW w:w="0" w:type="auto"/>
            <w:gridSpan w:val="3"/>
            <w:shd w:val="clear" w:color="auto" w:fill="FFFFFF"/>
            <w:tcMar>
              <w:top w:w="40" w:type="dxa"/>
              <w:left w:w="20" w:type="dxa"/>
              <w:bottom w:w="40" w:type="dxa"/>
              <w:right w:w="20" w:type="dxa"/>
            </w:tcMar>
            <w:vAlign w:val="bottom"/>
          </w:tcPr>
          <w:p w14:paraId="5F2CA5B1" w14:textId="77777777" w:rsidR="00E836FB" w:rsidRDefault="00994958">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F2CA5B2" w14:textId="77777777" w:rsidR="00E836FB" w:rsidRDefault="00994958">
            <w:pPr>
              <w:jc w:val="right"/>
              <w:textAlignment w:val="bottom"/>
            </w:pPr>
            <w:r>
              <w:rPr>
                <w:rFonts w:ascii="Arial" w:eastAsia="宋体" w:hAnsi="Arial" w:cs="Arial"/>
                <w:b/>
                <w:bCs/>
                <w:color w:val="000000"/>
                <w:sz w:val="14"/>
                <w:szCs w:val="14"/>
              </w:rPr>
              <w:t>416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5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B5" w14:textId="77777777" w:rsidR="00E836FB" w:rsidRDefault="00994958">
            <w:pPr>
              <w:jc w:val="right"/>
              <w:textAlignment w:val="bottom"/>
            </w:pPr>
            <w:r>
              <w:rPr>
                <w:rFonts w:ascii="Arial" w:eastAsia="宋体" w:hAnsi="Arial" w:cs="Arial"/>
                <w:color w:val="000000"/>
                <w:sz w:val="14"/>
                <w:szCs w:val="14"/>
              </w:rPr>
              <w:t>356 </w:t>
            </w:r>
          </w:p>
        </w:tc>
        <w:tc>
          <w:tcPr>
            <w:tcW w:w="0" w:type="auto"/>
            <w:shd w:val="clear" w:color="auto" w:fill="FFFFFF"/>
            <w:tcMar>
              <w:top w:w="40" w:type="dxa"/>
              <w:left w:w="0" w:type="dxa"/>
              <w:bottom w:w="40" w:type="dxa"/>
              <w:right w:w="20" w:type="dxa"/>
            </w:tcMar>
            <w:vAlign w:val="bottom"/>
          </w:tcPr>
          <w:p w14:paraId="5F2CA5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B8" w14:textId="77777777" w:rsidR="00E836FB" w:rsidRDefault="00994958">
            <w:pPr>
              <w:jc w:val="right"/>
              <w:textAlignment w:val="bottom"/>
            </w:pPr>
            <w:r>
              <w:rPr>
                <w:rFonts w:ascii="Arial" w:eastAsia="宋体" w:hAnsi="Arial" w:cs="Arial"/>
                <w:color w:val="000000"/>
                <w:sz w:val="14"/>
                <w:szCs w:val="14"/>
              </w:rPr>
              <w:t>471 </w:t>
            </w:r>
          </w:p>
        </w:tc>
        <w:tc>
          <w:tcPr>
            <w:tcW w:w="0" w:type="auto"/>
            <w:shd w:val="clear" w:color="auto" w:fill="FFFFFF"/>
            <w:tcMar>
              <w:top w:w="40" w:type="dxa"/>
              <w:left w:w="0" w:type="dxa"/>
              <w:bottom w:w="40" w:type="dxa"/>
              <w:right w:w="20" w:type="dxa"/>
            </w:tcMar>
            <w:vAlign w:val="bottom"/>
          </w:tcPr>
          <w:p w14:paraId="5F2CA5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BB" w14:textId="77777777" w:rsidR="00E836FB" w:rsidRDefault="00994958">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5F2CA5BC" w14:textId="77777777" w:rsidR="00E836FB" w:rsidRDefault="00E836FB">
            <w:pPr>
              <w:jc w:val="right"/>
              <w:rPr>
                <w:rFonts w:ascii="宋体"/>
              </w:rPr>
            </w:pPr>
          </w:p>
        </w:tc>
        <w:tc>
          <w:tcPr>
            <w:tcW w:w="0" w:type="auto"/>
            <w:gridSpan w:val="3"/>
            <w:shd w:val="clear" w:color="auto" w:fill="auto"/>
            <w:vAlign w:val="bottom"/>
          </w:tcPr>
          <w:p w14:paraId="5F2CA5BD"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5B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BF" w14:textId="77777777" w:rsidR="00E836FB" w:rsidRDefault="00994958">
            <w:pPr>
              <w:jc w:val="right"/>
              <w:textAlignment w:val="bottom"/>
            </w:pPr>
            <w:r>
              <w:rPr>
                <w:rFonts w:ascii="Arial" w:eastAsia="宋体" w:hAnsi="Arial" w:cs="Arial"/>
                <w:color w:val="000000"/>
                <w:sz w:val="14"/>
                <w:szCs w:val="14"/>
              </w:rPr>
              <w:t>(24)</w:t>
            </w:r>
          </w:p>
        </w:tc>
        <w:tc>
          <w:tcPr>
            <w:tcW w:w="0" w:type="auto"/>
            <w:shd w:val="clear" w:color="auto" w:fill="FFFFFF"/>
            <w:tcMar>
              <w:top w:w="40" w:type="dxa"/>
              <w:left w:w="0" w:type="dxa"/>
              <w:bottom w:w="40" w:type="dxa"/>
              <w:right w:w="20" w:type="dxa"/>
            </w:tcMar>
            <w:vAlign w:val="bottom"/>
          </w:tcPr>
          <w:p w14:paraId="5F2CA5C0" w14:textId="77777777" w:rsidR="00E836FB" w:rsidRDefault="00E836FB">
            <w:pPr>
              <w:jc w:val="right"/>
              <w:rPr>
                <w:rFonts w:ascii="宋体"/>
              </w:rPr>
            </w:pPr>
          </w:p>
        </w:tc>
      </w:tr>
      <w:tr w:rsidR="00E836FB" w14:paraId="5F2CA5D2" w14:textId="77777777">
        <w:tc>
          <w:tcPr>
            <w:tcW w:w="0" w:type="auto"/>
            <w:gridSpan w:val="3"/>
            <w:shd w:val="clear" w:color="auto" w:fill="CCEEFF"/>
            <w:tcMar>
              <w:top w:w="40" w:type="dxa"/>
              <w:left w:w="20" w:type="dxa"/>
              <w:bottom w:w="40" w:type="dxa"/>
              <w:right w:w="20" w:type="dxa"/>
            </w:tcMar>
            <w:vAlign w:val="bottom"/>
          </w:tcPr>
          <w:p w14:paraId="5F2CA5C2" w14:textId="77777777" w:rsidR="00E836FB" w:rsidRDefault="00994958">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5F2CA5C3" w14:textId="77777777" w:rsidR="00E836FB" w:rsidRDefault="00994958">
            <w:pPr>
              <w:jc w:val="right"/>
              <w:textAlignment w:val="bottom"/>
            </w:pPr>
            <w:r>
              <w:rPr>
                <w:rFonts w:ascii="Arial" w:eastAsia="宋体" w:hAnsi="Arial" w:cs="Arial"/>
                <w:b/>
                <w:bCs/>
                <w:color w:val="000000"/>
                <w:sz w:val="14"/>
                <w:szCs w:val="14"/>
              </w:rPr>
              <w:t>783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5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C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C6" w14:textId="77777777" w:rsidR="00E836FB" w:rsidRDefault="00994958">
            <w:pPr>
              <w:jc w:val="right"/>
              <w:textAlignment w:val="bottom"/>
            </w:pPr>
            <w:r>
              <w:rPr>
                <w:rFonts w:ascii="Arial" w:eastAsia="宋体" w:hAnsi="Arial" w:cs="Arial"/>
                <w:color w:val="000000"/>
                <w:sz w:val="14"/>
                <w:szCs w:val="14"/>
              </w:rPr>
              <w:t>733 </w:t>
            </w:r>
          </w:p>
        </w:tc>
        <w:tc>
          <w:tcPr>
            <w:tcW w:w="0" w:type="auto"/>
            <w:shd w:val="clear" w:color="auto" w:fill="CCEEFF"/>
            <w:tcMar>
              <w:top w:w="40" w:type="dxa"/>
              <w:left w:w="0" w:type="dxa"/>
              <w:bottom w:w="40" w:type="dxa"/>
              <w:right w:w="20" w:type="dxa"/>
            </w:tcMar>
            <w:vAlign w:val="bottom"/>
          </w:tcPr>
          <w:p w14:paraId="5F2CA5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C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C9" w14:textId="77777777" w:rsidR="00E836FB" w:rsidRDefault="00994958">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5F2CA5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5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CC" w14:textId="77777777" w:rsidR="00E836FB" w:rsidRDefault="00994958">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5F2CA5CD" w14:textId="77777777" w:rsidR="00E836FB" w:rsidRDefault="00E836FB">
            <w:pPr>
              <w:jc w:val="right"/>
              <w:rPr>
                <w:rFonts w:ascii="宋体"/>
              </w:rPr>
            </w:pPr>
          </w:p>
        </w:tc>
        <w:tc>
          <w:tcPr>
            <w:tcW w:w="0" w:type="auto"/>
            <w:gridSpan w:val="3"/>
            <w:shd w:val="clear" w:color="auto" w:fill="auto"/>
            <w:vAlign w:val="bottom"/>
          </w:tcPr>
          <w:p w14:paraId="5F2CA5CE"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5C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5D0"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CA5D1" w14:textId="77777777" w:rsidR="00E836FB" w:rsidRDefault="00E836FB">
            <w:pPr>
              <w:jc w:val="right"/>
              <w:rPr>
                <w:rFonts w:ascii="宋体"/>
              </w:rPr>
            </w:pPr>
          </w:p>
        </w:tc>
      </w:tr>
      <w:tr w:rsidR="00E836FB" w14:paraId="5F2CA5E3" w14:textId="77777777">
        <w:tc>
          <w:tcPr>
            <w:tcW w:w="0" w:type="auto"/>
            <w:gridSpan w:val="3"/>
            <w:shd w:val="clear" w:color="auto" w:fill="FFFFFF"/>
            <w:tcMar>
              <w:top w:w="40" w:type="dxa"/>
              <w:left w:w="20" w:type="dxa"/>
              <w:bottom w:w="40" w:type="dxa"/>
              <w:right w:w="20" w:type="dxa"/>
            </w:tcMar>
            <w:vAlign w:val="bottom"/>
          </w:tcPr>
          <w:p w14:paraId="5F2CA5D3" w14:textId="77777777" w:rsidR="00E836FB" w:rsidRDefault="00994958">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5D4" w14:textId="77777777" w:rsidR="00E836FB" w:rsidRDefault="00994958">
            <w:pPr>
              <w:jc w:val="right"/>
              <w:textAlignment w:val="bottom"/>
            </w:pPr>
            <w:r>
              <w:rPr>
                <w:rFonts w:ascii="Arial" w:eastAsia="宋体" w:hAnsi="Arial" w:cs="Arial"/>
                <w:b/>
                <w:bCs/>
                <w:color w:val="000000"/>
                <w:sz w:val="14"/>
                <w:szCs w:val="14"/>
              </w:rPr>
              <w:t>10,012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5D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D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5D7" w14:textId="77777777" w:rsidR="00E836FB" w:rsidRDefault="00994958">
            <w:pPr>
              <w:jc w:val="right"/>
              <w:textAlignment w:val="bottom"/>
            </w:pPr>
            <w:r>
              <w:rPr>
                <w:rFonts w:ascii="Arial" w:eastAsia="宋体" w:hAnsi="Arial" w:cs="Arial"/>
                <w:color w:val="000000"/>
                <w:sz w:val="14"/>
                <w:szCs w:val="14"/>
              </w:rPr>
              <w:t>9,499 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5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D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5DA" w14:textId="77777777" w:rsidR="00E836FB" w:rsidRDefault="00994958">
            <w:pPr>
              <w:jc w:val="right"/>
              <w:textAlignment w:val="bottom"/>
            </w:pPr>
            <w:r>
              <w:rPr>
                <w:rFonts w:ascii="Arial" w:eastAsia="宋体" w:hAnsi="Arial" w:cs="Arial"/>
                <w:color w:val="000000"/>
                <w:sz w:val="14"/>
                <w:szCs w:val="14"/>
              </w:rPr>
              <w:t>9,147 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5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D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DD" w14:textId="77777777" w:rsidR="00E836FB" w:rsidRDefault="00994958">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5F2CA5DE" w14:textId="77777777" w:rsidR="00E836FB" w:rsidRDefault="00E836FB">
            <w:pPr>
              <w:jc w:val="right"/>
              <w:rPr>
                <w:rFonts w:ascii="宋体"/>
              </w:rPr>
            </w:pPr>
          </w:p>
        </w:tc>
        <w:tc>
          <w:tcPr>
            <w:tcW w:w="0" w:type="auto"/>
            <w:gridSpan w:val="3"/>
            <w:shd w:val="clear" w:color="auto" w:fill="auto"/>
            <w:vAlign w:val="bottom"/>
          </w:tcPr>
          <w:p w14:paraId="5F2CA5DF"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5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E1"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CA5E2" w14:textId="77777777" w:rsidR="00E836FB" w:rsidRDefault="00E836FB">
            <w:pPr>
              <w:jc w:val="right"/>
              <w:rPr>
                <w:rFonts w:ascii="宋体"/>
              </w:rPr>
            </w:pPr>
          </w:p>
        </w:tc>
      </w:tr>
      <w:tr w:rsidR="00E836FB" w14:paraId="5F2CA5EF" w14:textId="77777777">
        <w:tc>
          <w:tcPr>
            <w:tcW w:w="0" w:type="auto"/>
            <w:gridSpan w:val="3"/>
            <w:shd w:val="clear" w:color="auto" w:fill="CCEEFF"/>
            <w:tcMar>
              <w:top w:w="40" w:type="dxa"/>
              <w:left w:w="20" w:type="dxa"/>
              <w:bottom w:w="40" w:type="dxa"/>
              <w:right w:w="20" w:type="dxa"/>
            </w:tcMar>
            <w:vAlign w:val="bottom"/>
          </w:tcPr>
          <w:p w14:paraId="5F2CA5E4"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vAlign w:val="bottom"/>
          </w:tcPr>
          <w:p w14:paraId="5F2CA5E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5E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5E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5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5E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5E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5EB" w14:textId="77777777" w:rsidR="00E836FB" w:rsidRDefault="00E836FB">
            <w:pPr>
              <w:rPr>
                <w:rFonts w:ascii="宋体"/>
              </w:rPr>
            </w:pPr>
          </w:p>
        </w:tc>
        <w:tc>
          <w:tcPr>
            <w:tcW w:w="0" w:type="auto"/>
            <w:gridSpan w:val="3"/>
            <w:shd w:val="clear" w:color="auto" w:fill="auto"/>
            <w:vAlign w:val="bottom"/>
          </w:tcPr>
          <w:p w14:paraId="5F2CA5EC"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5E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5EE" w14:textId="77777777" w:rsidR="00E836FB" w:rsidRDefault="00E836FB">
            <w:pPr>
              <w:rPr>
                <w:rFonts w:ascii="宋体"/>
              </w:rPr>
            </w:pPr>
          </w:p>
        </w:tc>
      </w:tr>
      <w:tr w:rsidR="00E836FB" w14:paraId="5F2CA600" w14:textId="77777777">
        <w:tc>
          <w:tcPr>
            <w:tcW w:w="0" w:type="auto"/>
            <w:gridSpan w:val="3"/>
            <w:shd w:val="clear" w:color="auto" w:fill="FFFFFF"/>
            <w:tcMar>
              <w:top w:w="40" w:type="dxa"/>
              <w:left w:w="20" w:type="dxa"/>
              <w:bottom w:w="40" w:type="dxa"/>
              <w:right w:w="20" w:type="dxa"/>
            </w:tcMar>
            <w:vAlign w:val="bottom"/>
          </w:tcPr>
          <w:p w14:paraId="5F2CA5F0" w14:textId="77777777" w:rsidR="00E836FB" w:rsidRDefault="00994958">
            <w:pPr>
              <w:textAlignment w:val="bottom"/>
            </w:pPr>
            <w:r>
              <w:rPr>
                <w:rFonts w:ascii="Arial" w:eastAsia="宋体" w:hAnsi="Arial" w:cs="Arial"/>
                <w:color w:val="000000"/>
                <w:sz w:val="14"/>
                <w:szCs w:val="14"/>
              </w:rPr>
              <w:t>Interest income</w:t>
            </w:r>
          </w:p>
        </w:tc>
        <w:tc>
          <w:tcPr>
            <w:tcW w:w="0" w:type="auto"/>
            <w:gridSpan w:val="2"/>
            <w:shd w:val="clear" w:color="auto" w:fill="FFFFFF"/>
            <w:tcMar>
              <w:top w:w="40" w:type="dxa"/>
              <w:left w:w="20" w:type="dxa"/>
              <w:bottom w:w="40" w:type="dxa"/>
              <w:right w:w="0" w:type="dxa"/>
            </w:tcMar>
            <w:vAlign w:val="bottom"/>
          </w:tcPr>
          <w:p w14:paraId="5F2CA5F1" w14:textId="77777777" w:rsidR="00E836FB" w:rsidRDefault="00994958">
            <w:pPr>
              <w:jc w:val="right"/>
              <w:textAlignment w:val="bottom"/>
            </w:pPr>
            <w:r>
              <w:rPr>
                <w:rFonts w:ascii="Arial" w:eastAsia="宋体" w:hAnsi="Arial" w:cs="Arial"/>
                <w:b/>
                <w:bCs/>
                <w:color w:val="000000"/>
                <w:sz w:val="14"/>
                <w:szCs w:val="14"/>
              </w:rPr>
              <w:t>1,908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5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F4" w14:textId="77777777" w:rsidR="00E836FB" w:rsidRDefault="00994958">
            <w:pPr>
              <w:jc w:val="right"/>
              <w:textAlignment w:val="bottom"/>
            </w:pPr>
            <w:r>
              <w:rPr>
                <w:rFonts w:ascii="Arial" w:eastAsia="宋体" w:hAnsi="Arial" w:cs="Arial"/>
                <w:color w:val="000000"/>
                <w:sz w:val="14"/>
                <w:szCs w:val="14"/>
              </w:rPr>
              <w:t>2,575 </w:t>
            </w:r>
          </w:p>
        </w:tc>
        <w:tc>
          <w:tcPr>
            <w:tcW w:w="0" w:type="auto"/>
            <w:shd w:val="clear" w:color="auto" w:fill="FFFFFF"/>
            <w:tcMar>
              <w:top w:w="40" w:type="dxa"/>
              <w:left w:w="0" w:type="dxa"/>
              <w:bottom w:w="40" w:type="dxa"/>
              <w:right w:w="20" w:type="dxa"/>
            </w:tcMar>
            <w:vAlign w:val="bottom"/>
          </w:tcPr>
          <w:p w14:paraId="5F2CA5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F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F7" w14:textId="77777777" w:rsidR="00E836FB" w:rsidRDefault="00994958">
            <w:pPr>
              <w:jc w:val="right"/>
              <w:textAlignment w:val="bottom"/>
            </w:pPr>
            <w:r>
              <w:rPr>
                <w:rFonts w:ascii="Arial" w:eastAsia="宋体" w:hAnsi="Arial" w:cs="Arial"/>
                <w:color w:val="000000"/>
                <w:sz w:val="14"/>
                <w:szCs w:val="14"/>
              </w:rPr>
              <w:t>3,941 </w:t>
            </w:r>
          </w:p>
        </w:tc>
        <w:tc>
          <w:tcPr>
            <w:tcW w:w="0" w:type="auto"/>
            <w:shd w:val="clear" w:color="auto" w:fill="FFFFFF"/>
            <w:tcMar>
              <w:top w:w="40" w:type="dxa"/>
              <w:left w:w="0" w:type="dxa"/>
              <w:bottom w:w="40" w:type="dxa"/>
              <w:right w:w="20" w:type="dxa"/>
            </w:tcMar>
            <w:vAlign w:val="bottom"/>
          </w:tcPr>
          <w:p w14:paraId="5F2CA5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5F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FA" w14:textId="77777777" w:rsidR="00E836FB" w:rsidRDefault="00994958">
            <w:pPr>
              <w:jc w:val="right"/>
              <w:textAlignment w:val="bottom"/>
            </w:pPr>
            <w:r>
              <w:rPr>
                <w:rFonts w:ascii="Arial" w:eastAsia="宋体" w:hAnsi="Arial" w:cs="Arial"/>
                <w:color w:val="000000"/>
                <w:sz w:val="14"/>
                <w:szCs w:val="14"/>
              </w:rPr>
              <w:t>(26)</w:t>
            </w:r>
          </w:p>
        </w:tc>
        <w:tc>
          <w:tcPr>
            <w:tcW w:w="0" w:type="auto"/>
            <w:shd w:val="clear" w:color="auto" w:fill="FFFFFF"/>
            <w:tcMar>
              <w:top w:w="40" w:type="dxa"/>
              <w:left w:w="0" w:type="dxa"/>
              <w:bottom w:w="40" w:type="dxa"/>
              <w:right w:w="20" w:type="dxa"/>
            </w:tcMar>
            <w:vAlign w:val="bottom"/>
          </w:tcPr>
          <w:p w14:paraId="5F2CA5FB" w14:textId="77777777" w:rsidR="00E836FB" w:rsidRDefault="00E836FB">
            <w:pPr>
              <w:jc w:val="right"/>
              <w:rPr>
                <w:rFonts w:ascii="宋体"/>
              </w:rPr>
            </w:pPr>
          </w:p>
        </w:tc>
        <w:tc>
          <w:tcPr>
            <w:tcW w:w="0" w:type="auto"/>
            <w:gridSpan w:val="3"/>
            <w:shd w:val="clear" w:color="auto" w:fill="auto"/>
            <w:vAlign w:val="bottom"/>
          </w:tcPr>
          <w:p w14:paraId="5F2CA5FC"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5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5FE" w14:textId="77777777" w:rsidR="00E836FB" w:rsidRDefault="00994958">
            <w:pPr>
              <w:jc w:val="right"/>
              <w:textAlignment w:val="bottom"/>
            </w:pPr>
            <w:r>
              <w:rPr>
                <w:rFonts w:ascii="Arial" w:eastAsia="宋体" w:hAnsi="Arial" w:cs="Arial"/>
                <w:color w:val="000000"/>
                <w:sz w:val="14"/>
                <w:szCs w:val="14"/>
              </w:rPr>
              <w:t>(35)</w:t>
            </w:r>
          </w:p>
        </w:tc>
        <w:tc>
          <w:tcPr>
            <w:tcW w:w="0" w:type="auto"/>
            <w:shd w:val="clear" w:color="auto" w:fill="FFFFFF"/>
            <w:tcMar>
              <w:top w:w="40" w:type="dxa"/>
              <w:left w:w="0" w:type="dxa"/>
              <w:bottom w:w="40" w:type="dxa"/>
              <w:right w:w="20" w:type="dxa"/>
            </w:tcMar>
            <w:vAlign w:val="bottom"/>
          </w:tcPr>
          <w:p w14:paraId="5F2CA5FF" w14:textId="77777777" w:rsidR="00E836FB" w:rsidRDefault="00E836FB">
            <w:pPr>
              <w:jc w:val="right"/>
              <w:rPr>
                <w:rFonts w:ascii="宋体"/>
              </w:rPr>
            </w:pPr>
          </w:p>
        </w:tc>
      </w:tr>
      <w:tr w:rsidR="00E836FB" w14:paraId="5F2CA611" w14:textId="77777777">
        <w:tc>
          <w:tcPr>
            <w:tcW w:w="0" w:type="auto"/>
            <w:gridSpan w:val="3"/>
            <w:shd w:val="clear" w:color="auto" w:fill="CCEEFF"/>
            <w:tcMar>
              <w:top w:w="40" w:type="dxa"/>
              <w:left w:w="20" w:type="dxa"/>
              <w:bottom w:w="40" w:type="dxa"/>
              <w:right w:w="20" w:type="dxa"/>
            </w:tcMar>
            <w:vAlign w:val="bottom"/>
          </w:tcPr>
          <w:p w14:paraId="5F2CA601" w14:textId="77777777" w:rsidR="00E836FB" w:rsidRDefault="00994958">
            <w:pPr>
              <w:textAlignment w:val="bottom"/>
            </w:pPr>
            <w:r>
              <w:rPr>
                <w:rFonts w:ascii="Arial" w:eastAsia="宋体" w:hAnsi="Arial" w:cs="Arial"/>
                <w:color w:val="000000"/>
                <w:sz w:val="14"/>
                <w:szCs w:val="14"/>
              </w:rPr>
              <w:t>Interest expense</w:t>
            </w:r>
          </w:p>
        </w:tc>
        <w:tc>
          <w:tcPr>
            <w:tcW w:w="0" w:type="auto"/>
            <w:gridSpan w:val="2"/>
            <w:shd w:val="clear" w:color="auto" w:fill="CCEEFF"/>
            <w:tcMar>
              <w:top w:w="40" w:type="dxa"/>
              <w:left w:w="20" w:type="dxa"/>
              <w:bottom w:w="40" w:type="dxa"/>
              <w:right w:w="0" w:type="dxa"/>
            </w:tcMar>
            <w:vAlign w:val="bottom"/>
          </w:tcPr>
          <w:p w14:paraId="5F2CA602"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6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05" w14:textId="77777777" w:rsidR="00E836FB" w:rsidRDefault="00994958">
            <w:pPr>
              <w:jc w:val="right"/>
              <w:textAlignment w:val="bottom"/>
            </w:pPr>
            <w:r>
              <w:rPr>
                <w:rFonts w:ascii="Arial" w:eastAsia="宋体" w:hAnsi="Arial" w:cs="Arial"/>
                <w:color w:val="000000"/>
                <w:sz w:val="14"/>
                <w:szCs w:val="14"/>
              </w:rPr>
              <w:t>375 </w:t>
            </w:r>
          </w:p>
        </w:tc>
        <w:tc>
          <w:tcPr>
            <w:tcW w:w="0" w:type="auto"/>
            <w:shd w:val="clear" w:color="auto" w:fill="CCEEFF"/>
            <w:tcMar>
              <w:top w:w="40" w:type="dxa"/>
              <w:left w:w="0" w:type="dxa"/>
              <w:bottom w:w="40" w:type="dxa"/>
              <w:right w:w="20" w:type="dxa"/>
            </w:tcMar>
            <w:vAlign w:val="bottom"/>
          </w:tcPr>
          <w:p w14:paraId="5F2CA6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08" w14:textId="77777777" w:rsidR="00E836FB" w:rsidRDefault="00994958">
            <w:pPr>
              <w:jc w:val="right"/>
              <w:textAlignment w:val="bottom"/>
            </w:pPr>
            <w:r>
              <w:rPr>
                <w:rFonts w:ascii="Arial" w:eastAsia="宋体" w:hAnsi="Arial" w:cs="Arial"/>
                <w:color w:val="000000"/>
                <w:sz w:val="14"/>
                <w:szCs w:val="14"/>
              </w:rPr>
              <w:t>1,375 </w:t>
            </w:r>
          </w:p>
        </w:tc>
        <w:tc>
          <w:tcPr>
            <w:tcW w:w="0" w:type="auto"/>
            <w:shd w:val="clear" w:color="auto" w:fill="CCEEFF"/>
            <w:tcMar>
              <w:top w:w="40" w:type="dxa"/>
              <w:left w:w="0" w:type="dxa"/>
              <w:bottom w:w="40" w:type="dxa"/>
              <w:right w:w="20" w:type="dxa"/>
            </w:tcMar>
            <w:vAlign w:val="bottom"/>
          </w:tcPr>
          <w:p w14:paraId="5F2CA6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0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0B" w14:textId="77777777" w:rsidR="00E836FB" w:rsidRDefault="00994958">
            <w:pPr>
              <w:jc w:val="right"/>
              <w:textAlignment w:val="bottom"/>
            </w:pPr>
            <w:r>
              <w:rPr>
                <w:rFonts w:ascii="Arial" w:eastAsia="宋体" w:hAnsi="Arial" w:cs="Arial"/>
                <w:color w:val="000000"/>
                <w:sz w:val="14"/>
                <w:szCs w:val="14"/>
              </w:rPr>
              <w:t>(99)</w:t>
            </w:r>
          </w:p>
        </w:tc>
        <w:tc>
          <w:tcPr>
            <w:tcW w:w="0" w:type="auto"/>
            <w:shd w:val="clear" w:color="auto" w:fill="CCEEFF"/>
            <w:tcMar>
              <w:top w:w="40" w:type="dxa"/>
              <w:left w:w="0" w:type="dxa"/>
              <w:bottom w:w="40" w:type="dxa"/>
              <w:right w:w="20" w:type="dxa"/>
            </w:tcMar>
            <w:vAlign w:val="bottom"/>
          </w:tcPr>
          <w:p w14:paraId="5F2CA60C" w14:textId="77777777" w:rsidR="00E836FB" w:rsidRDefault="00E836FB">
            <w:pPr>
              <w:jc w:val="right"/>
              <w:rPr>
                <w:rFonts w:ascii="宋体"/>
              </w:rPr>
            </w:pPr>
          </w:p>
        </w:tc>
        <w:tc>
          <w:tcPr>
            <w:tcW w:w="0" w:type="auto"/>
            <w:gridSpan w:val="3"/>
            <w:shd w:val="clear" w:color="auto" w:fill="auto"/>
            <w:vAlign w:val="bottom"/>
          </w:tcPr>
          <w:p w14:paraId="5F2CA60D"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60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0F" w14:textId="77777777" w:rsidR="00E836FB" w:rsidRDefault="00994958">
            <w:pPr>
              <w:jc w:val="right"/>
              <w:textAlignment w:val="bottom"/>
            </w:pPr>
            <w:r>
              <w:rPr>
                <w:rFonts w:ascii="Arial" w:eastAsia="宋体" w:hAnsi="Arial" w:cs="Arial"/>
                <w:color w:val="000000"/>
                <w:sz w:val="14"/>
                <w:szCs w:val="14"/>
              </w:rPr>
              <w:t>(73)</w:t>
            </w:r>
          </w:p>
        </w:tc>
        <w:tc>
          <w:tcPr>
            <w:tcW w:w="0" w:type="auto"/>
            <w:shd w:val="clear" w:color="auto" w:fill="CCEEFF"/>
            <w:tcMar>
              <w:top w:w="40" w:type="dxa"/>
              <w:left w:w="0" w:type="dxa"/>
              <w:bottom w:w="40" w:type="dxa"/>
              <w:right w:w="20" w:type="dxa"/>
            </w:tcMar>
            <w:vAlign w:val="bottom"/>
          </w:tcPr>
          <w:p w14:paraId="5F2CA610" w14:textId="77777777" w:rsidR="00E836FB" w:rsidRDefault="00E836FB">
            <w:pPr>
              <w:jc w:val="right"/>
              <w:rPr>
                <w:rFonts w:ascii="宋体"/>
              </w:rPr>
            </w:pPr>
          </w:p>
        </w:tc>
      </w:tr>
      <w:tr w:rsidR="00E836FB" w14:paraId="5F2CA622" w14:textId="77777777">
        <w:tc>
          <w:tcPr>
            <w:tcW w:w="0" w:type="auto"/>
            <w:gridSpan w:val="3"/>
            <w:shd w:val="clear" w:color="auto" w:fill="FFFFFF"/>
            <w:tcMar>
              <w:top w:w="40" w:type="dxa"/>
              <w:left w:w="20" w:type="dxa"/>
              <w:bottom w:w="40" w:type="dxa"/>
              <w:right w:w="20" w:type="dxa"/>
            </w:tcMar>
            <w:vAlign w:val="bottom"/>
          </w:tcPr>
          <w:p w14:paraId="5F2CA612"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613" w14:textId="77777777" w:rsidR="00E836FB" w:rsidRDefault="00994958">
            <w:pPr>
              <w:jc w:val="right"/>
              <w:textAlignment w:val="bottom"/>
            </w:pPr>
            <w:r>
              <w:rPr>
                <w:rFonts w:ascii="Arial" w:eastAsia="宋体" w:hAnsi="Arial" w:cs="Arial"/>
                <w:b/>
                <w:bCs/>
                <w:color w:val="000000"/>
                <w:sz w:val="14"/>
                <w:szCs w:val="14"/>
              </w:rPr>
              <w:t>1,905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61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1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616" w14:textId="77777777" w:rsidR="00E836FB" w:rsidRDefault="00994958">
            <w:pPr>
              <w:jc w:val="right"/>
              <w:textAlignment w:val="bottom"/>
            </w:pPr>
            <w:r>
              <w:rPr>
                <w:rFonts w:ascii="Arial" w:eastAsia="宋体" w:hAnsi="Arial" w:cs="Arial"/>
                <w:color w:val="000000"/>
                <w:sz w:val="14"/>
                <w:szCs w:val="14"/>
              </w:rPr>
              <w:t>2,200 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61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1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619" w14:textId="77777777" w:rsidR="00E836FB" w:rsidRDefault="00994958">
            <w:pPr>
              <w:jc w:val="right"/>
              <w:textAlignment w:val="bottom"/>
            </w:pPr>
            <w:r>
              <w:rPr>
                <w:rFonts w:ascii="Arial" w:eastAsia="宋体" w:hAnsi="Arial" w:cs="Arial"/>
                <w:color w:val="000000"/>
                <w:sz w:val="14"/>
                <w:szCs w:val="14"/>
              </w:rPr>
              <w:t>2,566 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61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1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61C" w14:textId="77777777" w:rsidR="00E836FB" w:rsidRDefault="00994958">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5F2CA61D" w14:textId="77777777" w:rsidR="00E836FB" w:rsidRDefault="00E836FB">
            <w:pPr>
              <w:jc w:val="right"/>
              <w:rPr>
                <w:rFonts w:ascii="宋体"/>
              </w:rPr>
            </w:pPr>
          </w:p>
        </w:tc>
        <w:tc>
          <w:tcPr>
            <w:tcW w:w="0" w:type="auto"/>
            <w:gridSpan w:val="3"/>
            <w:shd w:val="clear" w:color="auto" w:fill="auto"/>
            <w:vAlign w:val="bottom"/>
          </w:tcPr>
          <w:p w14:paraId="5F2CA61E"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61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620" w14:textId="77777777" w:rsidR="00E836FB" w:rsidRDefault="00994958">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5F2CA621" w14:textId="77777777" w:rsidR="00E836FB" w:rsidRDefault="00E836FB">
            <w:pPr>
              <w:jc w:val="right"/>
              <w:rPr>
                <w:rFonts w:ascii="宋体"/>
              </w:rPr>
            </w:pPr>
          </w:p>
        </w:tc>
      </w:tr>
      <w:tr w:rsidR="00E836FB" w14:paraId="5F2CA62E" w14:textId="77777777">
        <w:tc>
          <w:tcPr>
            <w:tcW w:w="0" w:type="auto"/>
            <w:gridSpan w:val="3"/>
            <w:shd w:val="clear" w:color="auto" w:fill="CCEEFF"/>
            <w:tcMar>
              <w:top w:w="40" w:type="dxa"/>
              <w:left w:w="20" w:type="dxa"/>
              <w:bottom w:w="40" w:type="dxa"/>
              <w:right w:w="20" w:type="dxa"/>
            </w:tcMar>
            <w:vAlign w:val="bottom"/>
          </w:tcPr>
          <w:p w14:paraId="5F2CA623" w14:textId="77777777" w:rsidR="00E836FB" w:rsidRDefault="00994958">
            <w:pPr>
              <w:textAlignment w:val="bottom"/>
            </w:pPr>
            <w:r>
              <w:rPr>
                <w:rFonts w:ascii="Arial" w:eastAsia="宋体" w:hAnsi="Arial" w:cs="Arial"/>
                <w:color w:val="000000"/>
                <w:sz w:val="14"/>
                <w:szCs w:val="14"/>
              </w:rPr>
              <w:t>Other income:</w:t>
            </w:r>
          </w:p>
        </w:tc>
        <w:tc>
          <w:tcPr>
            <w:tcW w:w="0" w:type="auto"/>
            <w:gridSpan w:val="3"/>
            <w:shd w:val="clear" w:color="auto" w:fill="CCEEFF"/>
            <w:tcMar>
              <w:top w:w="0" w:type="dxa"/>
              <w:left w:w="20" w:type="dxa"/>
              <w:bottom w:w="0" w:type="dxa"/>
              <w:right w:w="20" w:type="dxa"/>
            </w:tcMar>
            <w:vAlign w:val="bottom"/>
          </w:tcPr>
          <w:p w14:paraId="5F2CA62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62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62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62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62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62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62A" w14:textId="77777777" w:rsidR="00E836FB" w:rsidRDefault="00E836FB">
            <w:pPr>
              <w:rPr>
                <w:rFonts w:ascii="宋体"/>
              </w:rPr>
            </w:pPr>
          </w:p>
        </w:tc>
        <w:tc>
          <w:tcPr>
            <w:tcW w:w="0" w:type="auto"/>
            <w:gridSpan w:val="3"/>
            <w:shd w:val="clear" w:color="auto" w:fill="auto"/>
            <w:vAlign w:val="bottom"/>
          </w:tcPr>
          <w:p w14:paraId="5F2CA62B"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62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A62D" w14:textId="77777777" w:rsidR="00E836FB" w:rsidRDefault="00E836FB">
            <w:pPr>
              <w:rPr>
                <w:rFonts w:ascii="宋体"/>
              </w:rPr>
            </w:pPr>
          </w:p>
        </w:tc>
      </w:tr>
      <w:tr w:rsidR="00E836FB" w14:paraId="5F2CA63D" w14:textId="77777777">
        <w:tc>
          <w:tcPr>
            <w:tcW w:w="0" w:type="auto"/>
            <w:gridSpan w:val="3"/>
            <w:shd w:val="clear" w:color="auto" w:fill="FFFFFF"/>
            <w:tcMar>
              <w:top w:w="40" w:type="dxa"/>
              <w:left w:w="20" w:type="dxa"/>
              <w:bottom w:w="40" w:type="dxa"/>
              <w:right w:w="20" w:type="dxa"/>
            </w:tcMar>
            <w:vAlign w:val="bottom"/>
          </w:tcPr>
          <w:p w14:paraId="5F2CA62F" w14:textId="77777777" w:rsidR="00E836FB" w:rsidRDefault="00994958">
            <w:pPr>
              <w:textAlignment w:val="bottom"/>
            </w:pPr>
            <w:r>
              <w:rPr>
                <w:rFonts w:ascii="Arial" w:eastAsia="宋体" w:hAnsi="Arial" w:cs="Arial"/>
                <w:color w:val="000000"/>
                <w:sz w:val="14"/>
                <w:szCs w:val="14"/>
              </w:rPr>
              <w:t>Gains (losses) related to investment securities, net</w:t>
            </w:r>
          </w:p>
        </w:tc>
        <w:tc>
          <w:tcPr>
            <w:tcW w:w="0" w:type="auto"/>
            <w:gridSpan w:val="2"/>
            <w:shd w:val="clear" w:color="auto" w:fill="FFFFFF"/>
            <w:tcMar>
              <w:top w:w="40" w:type="dxa"/>
              <w:left w:w="20" w:type="dxa"/>
              <w:bottom w:w="40" w:type="dxa"/>
              <w:right w:w="0" w:type="dxa"/>
            </w:tcMar>
            <w:vAlign w:val="bottom"/>
          </w:tcPr>
          <w:p w14:paraId="5F2CA630" w14:textId="77777777" w:rsidR="00E836FB" w:rsidRDefault="00994958">
            <w:pPr>
              <w:jc w:val="right"/>
              <w:textAlignment w:val="bottom"/>
            </w:pPr>
            <w:r>
              <w:rPr>
                <w:rFonts w:ascii="Arial" w:eastAsia="宋体" w:hAnsi="Arial" w:cs="Arial"/>
                <w:b/>
                <w:bCs/>
                <w:color w:val="000000"/>
                <w:sz w:val="14"/>
                <w:szCs w:val="14"/>
              </w:rPr>
              <w:t>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6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3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633"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CA6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3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636"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A6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38" w14:textId="77777777" w:rsidR="00E836FB" w:rsidRDefault="00E836FB">
            <w:pPr>
              <w:rPr>
                <w:rFonts w:ascii="宋体"/>
              </w:rPr>
            </w:pPr>
          </w:p>
        </w:tc>
        <w:tc>
          <w:tcPr>
            <w:tcW w:w="0" w:type="auto"/>
            <w:gridSpan w:val="3"/>
            <w:shd w:val="clear" w:color="auto" w:fill="FFFFFF"/>
            <w:tcMar>
              <w:top w:w="40" w:type="dxa"/>
              <w:left w:w="20" w:type="dxa"/>
              <w:bottom w:w="40" w:type="dxa"/>
              <w:right w:w="140" w:type="dxa"/>
            </w:tcMar>
            <w:vAlign w:val="bottom"/>
          </w:tcPr>
          <w:p w14:paraId="5F2CA639" w14:textId="77777777" w:rsidR="00E836FB" w:rsidRDefault="00994958">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F2CA63A"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63B" w14:textId="77777777" w:rsidR="00E836FB" w:rsidRDefault="00E836FB">
            <w:pPr>
              <w:rPr>
                <w:rFonts w:ascii="宋体"/>
              </w:rPr>
            </w:pPr>
          </w:p>
        </w:tc>
        <w:tc>
          <w:tcPr>
            <w:tcW w:w="0" w:type="auto"/>
            <w:gridSpan w:val="3"/>
            <w:shd w:val="clear" w:color="auto" w:fill="FFFFFF"/>
            <w:tcMar>
              <w:top w:w="40" w:type="dxa"/>
              <w:left w:w="20" w:type="dxa"/>
              <w:bottom w:w="40" w:type="dxa"/>
              <w:right w:w="140" w:type="dxa"/>
            </w:tcMar>
            <w:vAlign w:val="bottom"/>
          </w:tcPr>
          <w:p w14:paraId="5F2CA63C" w14:textId="77777777" w:rsidR="00E836FB" w:rsidRDefault="00994958">
            <w:pPr>
              <w:jc w:val="right"/>
              <w:textAlignment w:val="bottom"/>
            </w:pPr>
            <w:r>
              <w:rPr>
                <w:rFonts w:ascii="Arial" w:eastAsia="宋体" w:hAnsi="Arial" w:cs="Arial"/>
                <w:color w:val="000000"/>
                <w:sz w:val="14"/>
                <w:szCs w:val="14"/>
              </w:rPr>
              <w:t>nm</w:t>
            </w:r>
          </w:p>
        </w:tc>
      </w:tr>
      <w:tr w:rsidR="00E836FB" w14:paraId="5F2CA64C" w14:textId="77777777">
        <w:tc>
          <w:tcPr>
            <w:tcW w:w="0" w:type="auto"/>
            <w:gridSpan w:val="3"/>
            <w:shd w:val="clear" w:color="auto" w:fill="CCEEFF"/>
            <w:tcMar>
              <w:top w:w="40" w:type="dxa"/>
              <w:left w:w="20" w:type="dxa"/>
              <w:bottom w:w="40" w:type="dxa"/>
              <w:right w:w="20" w:type="dxa"/>
            </w:tcMar>
            <w:vAlign w:val="bottom"/>
          </w:tcPr>
          <w:p w14:paraId="5F2CA63E" w14:textId="77777777" w:rsidR="00E836FB" w:rsidRDefault="00994958">
            <w:pPr>
              <w:textAlignment w:val="bottom"/>
            </w:pPr>
            <w:r>
              <w:rPr>
                <w:rFonts w:ascii="Arial" w:eastAsia="宋体" w:hAnsi="Arial" w:cs="Arial"/>
                <w:color w:val="000000"/>
                <w:sz w:val="14"/>
                <w:szCs w:val="14"/>
              </w:rPr>
              <w:t>Other income</w:t>
            </w:r>
          </w:p>
        </w:tc>
        <w:tc>
          <w:tcPr>
            <w:tcW w:w="0" w:type="auto"/>
            <w:gridSpan w:val="2"/>
            <w:shd w:val="clear" w:color="auto" w:fill="CCEEFF"/>
            <w:tcMar>
              <w:top w:w="40" w:type="dxa"/>
              <w:left w:w="20" w:type="dxa"/>
              <w:bottom w:w="40" w:type="dxa"/>
              <w:right w:w="0" w:type="dxa"/>
            </w:tcMar>
            <w:vAlign w:val="bottom"/>
          </w:tcPr>
          <w:p w14:paraId="5F2CA63F" w14:textId="77777777" w:rsidR="00E836FB" w:rsidRDefault="00994958">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6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4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4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6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4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45" w14:textId="77777777" w:rsidR="00E836FB" w:rsidRDefault="00994958">
            <w:pPr>
              <w:jc w:val="right"/>
              <w:textAlignment w:val="bottom"/>
            </w:pPr>
            <w:r>
              <w:rPr>
                <w:rFonts w:ascii="Arial" w:eastAsia="宋体" w:hAnsi="Arial" w:cs="Arial"/>
                <w:color w:val="000000"/>
                <w:sz w:val="14"/>
                <w:szCs w:val="14"/>
              </w:rPr>
              <w:t>44 </w:t>
            </w:r>
          </w:p>
        </w:tc>
        <w:tc>
          <w:tcPr>
            <w:tcW w:w="0" w:type="auto"/>
            <w:shd w:val="clear" w:color="auto" w:fill="CCEEFF"/>
            <w:tcMar>
              <w:top w:w="40" w:type="dxa"/>
              <w:left w:w="0" w:type="dxa"/>
              <w:bottom w:w="40" w:type="dxa"/>
              <w:right w:w="20" w:type="dxa"/>
            </w:tcMar>
            <w:vAlign w:val="bottom"/>
          </w:tcPr>
          <w:p w14:paraId="5F2CA6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47"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A648" w14:textId="77777777" w:rsidR="00E836FB" w:rsidRDefault="00994958">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F2CA649"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64A"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A64B" w14:textId="77777777" w:rsidR="00E836FB" w:rsidRDefault="00994958">
            <w:pPr>
              <w:jc w:val="right"/>
              <w:textAlignment w:val="bottom"/>
            </w:pPr>
            <w:r>
              <w:rPr>
                <w:rFonts w:ascii="Arial" w:eastAsia="宋体" w:hAnsi="Arial" w:cs="Arial"/>
                <w:color w:val="000000"/>
                <w:sz w:val="14"/>
                <w:szCs w:val="14"/>
              </w:rPr>
              <w:t>nm</w:t>
            </w:r>
          </w:p>
        </w:tc>
      </w:tr>
      <w:tr w:rsidR="00E836FB" w14:paraId="5F2CA65B" w14:textId="77777777">
        <w:tc>
          <w:tcPr>
            <w:tcW w:w="0" w:type="auto"/>
            <w:gridSpan w:val="3"/>
            <w:shd w:val="clear" w:color="auto" w:fill="FFFFFF"/>
            <w:tcMar>
              <w:top w:w="40" w:type="dxa"/>
              <w:left w:w="20" w:type="dxa"/>
              <w:bottom w:w="40" w:type="dxa"/>
              <w:right w:w="20" w:type="dxa"/>
            </w:tcMar>
            <w:vAlign w:val="bottom"/>
          </w:tcPr>
          <w:p w14:paraId="5F2CA64D" w14:textId="77777777" w:rsidR="00E836FB" w:rsidRDefault="00994958">
            <w:pPr>
              <w:textAlignment w:val="bottom"/>
            </w:pPr>
            <w:r>
              <w:rPr>
                <w:rFonts w:ascii="Arial" w:eastAsia="宋体" w:hAnsi="Arial" w:cs="Arial"/>
                <w:color w:val="000000"/>
                <w:sz w:val="14"/>
                <w:szCs w:val="14"/>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64E" w14:textId="77777777" w:rsidR="00E836FB" w:rsidRDefault="00994958">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64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5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651" w14:textId="77777777" w:rsidR="00E836FB" w:rsidRDefault="00994958">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6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5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654" w14:textId="77777777" w:rsidR="00E836FB" w:rsidRDefault="00994958">
            <w:pPr>
              <w:jc w:val="right"/>
              <w:textAlignment w:val="bottom"/>
            </w:pPr>
            <w:r>
              <w:rPr>
                <w:rFonts w:ascii="Arial" w:eastAsia="宋体" w:hAnsi="Arial" w:cs="Arial"/>
                <w:color w:val="000000"/>
                <w:sz w:val="14"/>
                <w:szCs w:val="14"/>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65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656" w14:textId="77777777" w:rsidR="00E836FB" w:rsidRDefault="00E836FB">
            <w:pPr>
              <w:rPr>
                <w:rFonts w:ascii="宋体"/>
              </w:rPr>
            </w:pPr>
          </w:p>
        </w:tc>
        <w:tc>
          <w:tcPr>
            <w:tcW w:w="0" w:type="auto"/>
            <w:gridSpan w:val="3"/>
            <w:shd w:val="clear" w:color="auto" w:fill="FFFFFF"/>
            <w:tcMar>
              <w:top w:w="40" w:type="dxa"/>
              <w:left w:w="20" w:type="dxa"/>
              <w:bottom w:w="40" w:type="dxa"/>
              <w:right w:w="140" w:type="dxa"/>
            </w:tcMar>
            <w:vAlign w:val="bottom"/>
          </w:tcPr>
          <w:p w14:paraId="5F2CA657" w14:textId="77777777" w:rsidR="00E836FB" w:rsidRDefault="00994958">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F2CA658"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A659" w14:textId="77777777" w:rsidR="00E836FB" w:rsidRDefault="00E836FB">
            <w:pPr>
              <w:rPr>
                <w:rFonts w:ascii="宋体"/>
              </w:rPr>
            </w:pPr>
          </w:p>
        </w:tc>
        <w:tc>
          <w:tcPr>
            <w:tcW w:w="0" w:type="auto"/>
            <w:gridSpan w:val="3"/>
            <w:shd w:val="clear" w:color="auto" w:fill="FFFFFF"/>
            <w:tcMar>
              <w:top w:w="40" w:type="dxa"/>
              <w:left w:w="20" w:type="dxa"/>
              <w:bottom w:w="40" w:type="dxa"/>
              <w:right w:w="140" w:type="dxa"/>
            </w:tcMar>
            <w:vAlign w:val="bottom"/>
          </w:tcPr>
          <w:p w14:paraId="5F2CA65A" w14:textId="77777777" w:rsidR="00E836FB" w:rsidRDefault="00994958">
            <w:pPr>
              <w:jc w:val="right"/>
              <w:textAlignment w:val="bottom"/>
            </w:pPr>
            <w:r>
              <w:rPr>
                <w:rFonts w:ascii="Arial" w:eastAsia="宋体" w:hAnsi="Arial" w:cs="Arial"/>
                <w:color w:val="000000"/>
                <w:sz w:val="14"/>
                <w:szCs w:val="14"/>
              </w:rPr>
              <w:t>nm</w:t>
            </w:r>
          </w:p>
        </w:tc>
      </w:tr>
      <w:tr w:rsidR="00E836FB" w14:paraId="5F2CA66F" w14:textId="77777777">
        <w:tc>
          <w:tcPr>
            <w:tcW w:w="0" w:type="auto"/>
            <w:gridSpan w:val="3"/>
            <w:shd w:val="clear" w:color="auto" w:fill="CCEEFF"/>
            <w:tcMar>
              <w:top w:w="40" w:type="dxa"/>
              <w:left w:w="20" w:type="dxa"/>
              <w:bottom w:w="40" w:type="dxa"/>
              <w:right w:w="20" w:type="dxa"/>
            </w:tcMar>
            <w:vAlign w:val="bottom"/>
          </w:tcPr>
          <w:p w14:paraId="5F2CA65C" w14:textId="77777777" w:rsidR="00E836FB" w:rsidRDefault="00994958">
            <w:pPr>
              <w:textAlignment w:val="bottom"/>
            </w:pPr>
            <w:r>
              <w:rPr>
                <w:rFonts w:ascii="Arial" w:eastAsia="宋体" w:hAnsi="Arial" w:cs="Arial"/>
                <w:color w:val="000000"/>
                <w:sz w:val="14"/>
                <w:szCs w:val="14"/>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65D"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65E" w14:textId="77777777" w:rsidR="00E836FB" w:rsidRDefault="00994958">
            <w:pPr>
              <w:jc w:val="right"/>
              <w:textAlignment w:val="bottom"/>
            </w:pPr>
            <w:r>
              <w:rPr>
                <w:rFonts w:ascii="Arial" w:eastAsia="宋体" w:hAnsi="Arial" w:cs="Arial"/>
                <w:b/>
                <w:bCs/>
                <w:color w:val="000000"/>
                <w:sz w:val="14"/>
                <w:szCs w:val="14"/>
              </w:rPr>
              <w:t>12,027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6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60"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66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662" w14:textId="77777777" w:rsidR="00E836FB" w:rsidRDefault="00994958">
            <w:pPr>
              <w:jc w:val="right"/>
              <w:textAlignment w:val="bottom"/>
            </w:pPr>
            <w:r>
              <w:rPr>
                <w:rFonts w:ascii="Arial" w:eastAsia="宋体" w:hAnsi="Arial" w:cs="Arial"/>
                <w:color w:val="000000"/>
                <w:sz w:val="14"/>
                <w:szCs w:val="14"/>
              </w:rPr>
              <w:t>11,703 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6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64"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66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666" w14:textId="77777777" w:rsidR="00E836FB" w:rsidRDefault="00994958">
            <w:pPr>
              <w:jc w:val="right"/>
              <w:textAlignment w:val="bottom"/>
            </w:pPr>
            <w:r>
              <w:rPr>
                <w:rFonts w:ascii="Arial" w:eastAsia="宋体" w:hAnsi="Arial" w:cs="Arial"/>
                <w:color w:val="000000"/>
                <w:sz w:val="14"/>
                <w:szCs w:val="14"/>
              </w:rPr>
              <w:t>11,756 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6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6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69"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F2CA66A" w14:textId="77777777" w:rsidR="00E836FB" w:rsidRDefault="00E836FB">
            <w:pPr>
              <w:jc w:val="right"/>
              <w:rPr>
                <w:rFonts w:ascii="宋体"/>
              </w:rPr>
            </w:pPr>
          </w:p>
        </w:tc>
        <w:tc>
          <w:tcPr>
            <w:tcW w:w="0" w:type="auto"/>
            <w:gridSpan w:val="3"/>
            <w:shd w:val="clear" w:color="auto" w:fill="auto"/>
            <w:vAlign w:val="bottom"/>
          </w:tcPr>
          <w:p w14:paraId="5F2CA66B"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66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66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66E" w14:textId="77777777" w:rsidR="00E836FB" w:rsidRDefault="00E836FB">
            <w:pPr>
              <w:jc w:val="right"/>
              <w:rPr>
                <w:rFonts w:ascii="宋体"/>
              </w:rPr>
            </w:pPr>
          </w:p>
        </w:tc>
      </w:tr>
    </w:tbl>
    <w:p w14:paraId="5F2CA670"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CA677" w14:textId="77777777">
        <w:tc>
          <w:tcPr>
            <w:tcW w:w="50" w:type="pct"/>
            <w:shd w:val="clear" w:color="auto" w:fill="auto"/>
            <w:vAlign w:val="bottom"/>
          </w:tcPr>
          <w:p w14:paraId="5F2CA671" w14:textId="77777777" w:rsidR="00E836FB" w:rsidRDefault="00E836FB">
            <w:pPr>
              <w:rPr>
                <w:rFonts w:ascii="宋体"/>
              </w:rPr>
            </w:pPr>
          </w:p>
        </w:tc>
        <w:tc>
          <w:tcPr>
            <w:tcW w:w="1348" w:type="pct"/>
            <w:shd w:val="clear" w:color="auto" w:fill="auto"/>
            <w:vAlign w:val="bottom"/>
          </w:tcPr>
          <w:p w14:paraId="5F2CA672" w14:textId="77777777" w:rsidR="00E836FB" w:rsidRDefault="00E836FB">
            <w:pPr>
              <w:rPr>
                <w:rFonts w:ascii="宋体"/>
              </w:rPr>
            </w:pPr>
          </w:p>
        </w:tc>
        <w:tc>
          <w:tcPr>
            <w:tcW w:w="5" w:type="pct"/>
            <w:shd w:val="clear" w:color="auto" w:fill="auto"/>
            <w:vAlign w:val="bottom"/>
          </w:tcPr>
          <w:p w14:paraId="5F2CA673" w14:textId="77777777" w:rsidR="00E836FB" w:rsidRDefault="00E836FB">
            <w:pPr>
              <w:rPr>
                <w:rFonts w:ascii="宋体"/>
              </w:rPr>
            </w:pPr>
          </w:p>
        </w:tc>
        <w:tc>
          <w:tcPr>
            <w:tcW w:w="50" w:type="pct"/>
            <w:shd w:val="clear" w:color="auto" w:fill="auto"/>
            <w:vAlign w:val="bottom"/>
          </w:tcPr>
          <w:p w14:paraId="5F2CA674" w14:textId="77777777" w:rsidR="00E836FB" w:rsidRDefault="00E836FB">
            <w:pPr>
              <w:rPr>
                <w:rFonts w:ascii="宋体"/>
              </w:rPr>
            </w:pPr>
          </w:p>
        </w:tc>
        <w:tc>
          <w:tcPr>
            <w:tcW w:w="3541" w:type="pct"/>
            <w:shd w:val="clear" w:color="auto" w:fill="auto"/>
            <w:vAlign w:val="bottom"/>
          </w:tcPr>
          <w:p w14:paraId="5F2CA675" w14:textId="77777777" w:rsidR="00E836FB" w:rsidRDefault="00E836FB">
            <w:pPr>
              <w:rPr>
                <w:rFonts w:ascii="宋体"/>
              </w:rPr>
            </w:pPr>
          </w:p>
        </w:tc>
        <w:tc>
          <w:tcPr>
            <w:tcW w:w="5" w:type="pct"/>
            <w:shd w:val="clear" w:color="auto" w:fill="auto"/>
            <w:vAlign w:val="bottom"/>
          </w:tcPr>
          <w:p w14:paraId="5F2CA676" w14:textId="77777777" w:rsidR="00E836FB" w:rsidRDefault="00E836FB">
            <w:pPr>
              <w:rPr>
                <w:rFonts w:ascii="宋体"/>
              </w:rPr>
            </w:pPr>
          </w:p>
        </w:tc>
      </w:tr>
      <w:tr w:rsidR="00E836FB" w14:paraId="5F2CA67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67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679" w14:textId="77777777" w:rsidR="00E836FB" w:rsidRDefault="00E836FB">
            <w:pPr>
              <w:rPr>
                <w:rFonts w:ascii="宋体"/>
              </w:rPr>
            </w:pPr>
          </w:p>
        </w:tc>
      </w:tr>
    </w:tbl>
    <w:p w14:paraId="5F2CA67B" w14:textId="77777777" w:rsidR="00E836FB" w:rsidRDefault="00994958">
      <w:pPr>
        <w:spacing w:before="60"/>
        <w:jc w:val="both"/>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5F2CA67C" w14:textId="77777777" w:rsidR="00E836FB" w:rsidRDefault="00994958">
      <w:pPr>
        <w:spacing w:before="60"/>
      </w:pPr>
      <w:r>
        <w:rPr>
          <w:rFonts w:ascii="Arial" w:eastAsia="宋体" w:hAnsi="Arial" w:cs="Arial"/>
          <w:b/>
          <w:bCs/>
          <w:i/>
          <w:iCs/>
          <w:color w:val="000000"/>
          <w:sz w:val="20"/>
          <w:szCs w:val="20"/>
        </w:rPr>
        <w:t>Fee Revenue</w:t>
      </w:r>
    </w:p>
    <w:p w14:paraId="5F2CA67D" w14:textId="77777777" w:rsidR="00E836FB" w:rsidRDefault="00994958">
      <w:pPr>
        <w:spacing w:before="60"/>
        <w:ind w:firstLine="450"/>
        <w:jc w:val="both"/>
      </w:pPr>
      <w:r>
        <w:rPr>
          <w:rFonts w:ascii="Arial" w:eastAsia="宋体" w:hAnsi="Arial" w:cs="Arial"/>
          <w:color w:val="000000"/>
          <w:sz w:val="20"/>
          <w:szCs w:val="20"/>
        </w:rPr>
        <w:t xml:space="preserve">Table 2: Total Revenue, </w:t>
      </w:r>
      <w:r>
        <w:rPr>
          <w:rFonts w:ascii="Arial" w:eastAsia="宋体" w:hAnsi="Arial" w:cs="Arial"/>
          <w:color w:val="000000"/>
          <w:sz w:val="20"/>
          <w:szCs w:val="20"/>
        </w:rPr>
        <w:t>provides the breakout of fee revenue for the years ended December 31, 2021, 2020 and 2019. Servicing and management fees collectively made up approximately 76%, 74% and 75% of the total fee revenue in 2021, 2020 and 2019, respectively.</w:t>
      </w:r>
    </w:p>
    <w:p w14:paraId="5F2CA67E" w14:textId="77777777" w:rsidR="00E836FB" w:rsidRDefault="00994958">
      <w:pPr>
        <w:spacing w:before="60"/>
      </w:pPr>
      <w:r>
        <w:rPr>
          <w:rFonts w:ascii="Arial" w:eastAsia="宋体" w:hAnsi="Arial" w:cs="Arial"/>
          <w:b/>
          <w:bCs/>
          <w:i/>
          <w:iCs/>
          <w:color w:val="000000"/>
          <w:sz w:val="20"/>
          <w:szCs w:val="20"/>
        </w:rPr>
        <w:t>Servicing Fee Revenu</w:t>
      </w:r>
      <w:r>
        <w:rPr>
          <w:rFonts w:ascii="Arial" w:eastAsia="宋体" w:hAnsi="Arial" w:cs="Arial"/>
          <w:b/>
          <w:bCs/>
          <w:i/>
          <w:iCs/>
          <w:color w:val="000000"/>
          <w:sz w:val="20"/>
          <w:szCs w:val="20"/>
        </w:rPr>
        <w:t>e</w:t>
      </w:r>
    </w:p>
    <w:p w14:paraId="5F2CA67F" w14:textId="77777777" w:rsidR="00E836FB" w:rsidRDefault="00994958">
      <w:pPr>
        <w:spacing w:before="60"/>
        <w:ind w:firstLine="450"/>
        <w:jc w:val="both"/>
      </w:pPr>
      <w:r>
        <w:rPr>
          <w:rFonts w:ascii="Arial" w:eastAsia="宋体" w:hAnsi="Arial" w:cs="Arial"/>
          <w:color w:val="000000"/>
          <w:sz w:val="20"/>
          <w:szCs w:val="20"/>
        </w:rPr>
        <w:t>Generally, our servicing fee revenues are affected by several factors including changes in market valuations, client activity and asset flows, net new business and the manner in which we price our services. We provide a range of services to clients, incl</w:t>
      </w:r>
      <w:r>
        <w:rPr>
          <w:rFonts w:ascii="Arial" w:eastAsia="宋体" w:hAnsi="Arial" w:cs="Arial"/>
          <w:color w:val="000000"/>
          <w:sz w:val="20"/>
          <w:szCs w:val="20"/>
        </w:rPr>
        <w:t>uding core custody, accounting, reporting and administration, and middle office services. The nature and mix of services provided and the asset classes for which the services are performed affect our servicing fees. The basis for fees will differ across re</w:t>
      </w:r>
      <w:r>
        <w:rPr>
          <w:rFonts w:ascii="Arial" w:eastAsia="宋体" w:hAnsi="Arial" w:cs="Arial"/>
          <w:color w:val="000000"/>
          <w:sz w:val="20"/>
          <w:szCs w:val="20"/>
        </w:rPr>
        <w:t xml:space="preserve">gions and clients. </w:t>
      </w:r>
    </w:p>
    <w:p w14:paraId="5F2CA680" w14:textId="77777777" w:rsidR="00E836FB" w:rsidRDefault="00994958">
      <w:pPr>
        <w:spacing w:before="90"/>
      </w:pPr>
      <w:r>
        <w:rPr>
          <w:rFonts w:ascii="Arial" w:eastAsia="宋体" w:hAnsi="Arial" w:cs="Arial"/>
          <w:i/>
          <w:iCs/>
          <w:color w:val="000000"/>
          <w:sz w:val="20"/>
          <w:szCs w:val="20"/>
        </w:rPr>
        <w:t>Changes in Market Valuations</w:t>
      </w:r>
    </w:p>
    <w:p w14:paraId="5F2CA681" w14:textId="77777777" w:rsidR="00E836FB" w:rsidRDefault="00994958">
      <w:pPr>
        <w:spacing w:before="60"/>
        <w:ind w:firstLine="450"/>
        <w:jc w:val="both"/>
      </w:pPr>
      <w:r>
        <w:rPr>
          <w:rFonts w:ascii="Arial" w:eastAsia="宋体" w:hAnsi="Arial" w:cs="Arial"/>
          <w:color w:val="000000"/>
          <w:sz w:val="20"/>
          <w:szCs w:val="20"/>
        </w:rPr>
        <w:t>Our servicing fee revenue is impacted by both our levels and the geographic and product mix of our AUC/A. Increases or decreases in market valuations have a corresponding impact on the level of our AUC/A and</w:t>
      </w:r>
      <w:r>
        <w:rPr>
          <w:rFonts w:ascii="Arial" w:eastAsia="宋体" w:hAnsi="Arial" w:cs="Arial"/>
          <w:color w:val="000000"/>
          <w:sz w:val="20"/>
          <w:szCs w:val="20"/>
        </w:rPr>
        <w:t xml:space="preserve"> servicing fee revenues, though the degree of impact will vary depending on asset types and classes and geography of assets held within our clients’ portfolios. For certain asset classes where the valuation process is more complex, including alternative in</w:t>
      </w:r>
      <w:r>
        <w:rPr>
          <w:rFonts w:ascii="Arial" w:eastAsia="宋体" w:hAnsi="Arial" w:cs="Arial"/>
          <w:color w:val="000000"/>
          <w:sz w:val="20"/>
          <w:szCs w:val="20"/>
        </w:rPr>
        <w:t>vestments, or where our valuation is dependent on third party information, AUC/A is reported on a lag, typically one-month. For those asset classes, the impact of market levels on our reported AUC/A does not reflect current period-end market levels.</w:t>
      </w:r>
    </w:p>
    <w:p w14:paraId="5F2CA682" w14:textId="77777777" w:rsidR="00E836FB" w:rsidRDefault="00994958">
      <w:pPr>
        <w:spacing w:before="60"/>
        <w:ind w:firstLine="450"/>
        <w:jc w:val="both"/>
      </w:pPr>
      <w:r>
        <w:rPr>
          <w:rFonts w:ascii="Arial" w:eastAsia="宋体" w:hAnsi="Arial" w:cs="Arial"/>
          <w:color w:val="000000"/>
          <w:sz w:val="20"/>
          <w:szCs w:val="20"/>
        </w:rPr>
        <w:t>Over t</w:t>
      </w:r>
      <w:r>
        <w:rPr>
          <w:rFonts w:ascii="Arial" w:eastAsia="宋体" w:hAnsi="Arial" w:cs="Arial"/>
          <w:color w:val="000000"/>
          <w:sz w:val="20"/>
          <w:szCs w:val="20"/>
        </w:rPr>
        <w:t>he five years ended December 31, 2021, we estimate that worldwide market valuations impacted our servicing fee revenues by approximately 3% on average with a range of 0% to 7% annually and approximately 7% and 2% in 2021 and 2020, respectively. See Table 3</w:t>
      </w:r>
      <w:r>
        <w:rPr>
          <w:rFonts w:ascii="Arial" w:eastAsia="宋体" w:hAnsi="Arial" w:cs="Arial"/>
          <w:color w:val="000000"/>
          <w:sz w:val="20"/>
          <w:szCs w:val="20"/>
        </w:rPr>
        <w:t>: Daily Averages, Month-End Averages and Year-End Equity Indices for selected indices. While the specific indices presented are indicative of general market trends, the asset types and classes relevant to individual client portfolios can and do differ, and</w:t>
      </w:r>
      <w:r>
        <w:rPr>
          <w:rFonts w:ascii="Arial" w:eastAsia="宋体" w:hAnsi="Arial" w:cs="Arial"/>
          <w:color w:val="000000"/>
          <w:sz w:val="20"/>
          <w:szCs w:val="20"/>
        </w:rPr>
        <w:t xml:space="preserve"> the performance of associated relevant indices and of client portfolios can therefore differ from the performance of the indices presented. In addition, our asset classifications may differ from those industry classifications presented.</w:t>
      </w:r>
    </w:p>
    <w:p w14:paraId="5F2CA683" w14:textId="77777777" w:rsidR="00E836FB" w:rsidRDefault="00994958">
      <w:pPr>
        <w:spacing w:before="60"/>
        <w:ind w:firstLine="450"/>
        <w:jc w:val="both"/>
      </w:pPr>
      <w:r>
        <w:rPr>
          <w:rFonts w:ascii="Arial" w:eastAsia="宋体" w:hAnsi="Arial" w:cs="Arial"/>
          <w:color w:val="000000"/>
          <w:sz w:val="20"/>
          <w:szCs w:val="20"/>
        </w:rPr>
        <w:t xml:space="preserve">Assuming that all </w:t>
      </w:r>
      <w:r>
        <w:rPr>
          <w:rFonts w:ascii="Arial" w:eastAsia="宋体" w:hAnsi="Arial" w:cs="Arial"/>
          <w:color w:val="000000"/>
          <w:sz w:val="20"/>
          <w:szCs w:val="20"/>
        </w:rPr>
        <w:t>other factors remain constant, including client activity, asset flows and pricing, we estimate, using relevant information as of December 31, 2021 that a 10% increase or decrease in worldwide equity valuations, on a weighted average basis, over the relevan</w:t>
      </w:r>
      <w:r>
        <w:rPr>
          <w:rFonts w:ascii="Arial" w:eastAsia="宋体" w:hAnsi="Arial" w:cs="Arial"/>
          <w:color w:val="000000"/>
          <w:sz w:val="20"/>
          <w:szCs w:val="20"/>
        </w:rPr>
        <w:t xml:space="preserve">t periods for which our servicing fees are calculated, would result in a corresponding change in our total servicing fee revenues, on average and over multiple quarters, </w:t>
      </w:r>
    </w:p>
    <w:p w14:paraId="5F2CA684" w14:textId="77777777" w:rsidR="00E836FB" w:rsidRDefault="00994958">
      <w:pPr>
        <w:ind w:firstLine="450"/>
        <w:jc w:val="right"/>
      </w:pPr>
      <w:r>
        <w:rPr>
          <w:rFonts w:ascii="Arial" w:eastAsia="宋体" w:hAnsi="Arial" w:cs="Arial"/>
          <w:color w:val="000000"/>
          <w:sz w:val="18"/>
          <w:szCs w:val="18"/>
        </w:rPr>
        <w:t>State Street Corporation | 62</w:t>
      </w:r>
    </w:p>
    <w:p w14:paraId="5F2CA685" w14:textId="77777777" w:rsidR="00E836FB" w:rsidRDefault="00E836FB">
      <w:pPr>
        <w:ind w:firstLine="450"/>
        <w:jc w:val="center"/>
      </w:pPr>
    </w:p>
    <w:p w14:paraId="5F2CA686" w14:textId="77777777" w:rsidR="00E836FB" w:rsidRDefault="00994958">
      <w:r>
        <w:pict w14:anchorId="5F2D6DC3">
          <v:rect id="_x0000_i1086" style="width:415.3pt;height:1.5pt" o:hralign="center" o:hrstd="t" o:hr="t" fillcolor="#a0a0a0" stroked="f"/>
        </w:pict>
      </w:r>
    </w:p>
    <w:p w14:paraId="5F2CA687" w14:textId="77777777" w:rsidR="00E836FB" w:rsidRDefault="00994958">
      <w:pPr>
        <w:ind w:firstLine="450"/>
        <w:jc w:val="center"/>
      </w:pPr>
      <w:r>
        <w:rPr>
          <w:rFonts w:ascii="Arial" w:eastAsia="宋体" w:hAnsi="Arial" w:cs="Arial"/>
          <w:b/>
          <w:bCs/>
          <w:color w:val="000000"/>
          <w:sz w:val="20"/>
          <w:szCs w:val="20"/>
        </w:rPr>
        <w:t>MANAGEMENT’S DISCUSSION AND ANALYSIS OF FINANCIAL CO</w:t>
      </w:r>
      <w:r>
        <w:rPr>
          <w:rFonts w:ascii="Arial" w:eastAsia="宋体" w:hAnsi="Arial" w:cs="Arial"/>
          <w:b/>
          <w:bCs/>
          <w:color w:val="000000"/>
          <w:sz w:val="20"/>
          <w:szCs w:val="20"/>
        </w:rPr>
        <w:t>NDITION</w:t>
      </w:r>
    </w:p>
    <w:p w14:paraId="5F2CA688" w14:textId="77777777" w:rsidR="00E836FB" w:rsidRDefault="00994958">
      <w:pPr>
        <w:ind w:firstLine="450"/>
        <w:jc w:val="center"/>
      </w:pPr>
      <w:r>
        <w:rPr>
          <w:rFonts w:ascii="Arial" w:eastAsia="宋体" w:hAnsi="Arial" w:cs="Arial"/>
          <w:b/>
          <w:bCs/>
          <w:color w:val="000000"/>
          <w:sz w:val="20"/>
          <w:szCs w:val="20"/>
        </w:rPr>
        <w:t>AND RESULTS OF OPERATIONS</w:t>
      </w:r>
    </w:p>
    <w:p w14:paraId="5F2CA689" w14:textId="77777777" w:rsidR="00E836FB" w:rsidRDefault="00994958">
      <w:pPr>
        <w:spacing w:before="60"/>
        <w:jc w:val="both"/>
      </w:pPr>
      <w:r>
        <w:rPr>
          <w:rFonts w:ascii="Arial" w:eastAsia="宋体" w:hAnsi="Arial" w:cs="Arial"/>
          <w:color w:val="000000"/>
          <w:sz w:val="20"/>
          <w:szCs w:val="20"/>
        </w:rPr>
        <w:t>of approximately 3%. We estimate, similarly assuming all other factors remain constant and using relevant information as of December 31, 2021, that changes in worldwide fixed income markets, which on a weighted average bas</w:t>
      </w:r>
      <w:r>
        <w:rPr>
          <w:rFonts w:ascii="Arial" w:eastAsia="宋体" w:hAnsi="Arial" w:cs="Arial"/>
          <w:color w:val="000000"/>
          <w:sz w:val="20"/>
          <w:szCs w:val="20"/>
        </w:rPr>
        <w:t>is and over time are typically less volatile than worldwide equity markets, have a significantly smaller impact on our servicing fee revenues on average and over time.</w:t>
      </w:r>
    </w:p>
    <w:tbl>
      <w:tblPr>
        <w:tblW w:w="4956" w:type="pct"/>
        <w:tblCellMar>
          <w:top w:w="15" w:type="dxa"/>
          <w:left w:w="15" w:type="dxa"/>
          <w:bottom w:w="15" w:type="dxa"/>
          <w:right w:w="15" w:type="dxa"/>
        </w:tblCellMar>
        <w:tblLook w:val="04A0" w:firstRow="1" w:lastRow="0" w:firstColumn="1" w:lastColumn="0" w:noHBand="0" w:noVBand="1"/>
      </w:tblPr>
      <w:tblGrid>
        <w:gridCol w:w="37"/>
        <w:gridCol w:w="1796"/>
        <w:gridCol w:w="36"/>
        <w:gridCol w:w="54"/>
        <w:gridCol w:w="458"/>
        <w:gridCol w:w="38"/>
        <w:gridCol w:w="37"/>
        <w:gridCol w:w="37"/>
        <w:gridCol w:w="37"/>
        <w:gridCol w:w="54"/>
        <w:gridCol w:w="405"/>
        <w:gridCol w:w="38"/>
        <w:gridCol w:w="37"/>
        <w:gridCol w:w="37"/>
        <w:gridCol w:w="37"/>
        <w:gridCol w:w="92"/>
        <w:gridCol w:w="615"/>
        <w:gridCol w:w="147"/>
        <w:gridCol w:w="36"/>
        <w:gridCol w:w="36"/>
        <w:gridCol w:w="36"/>
        <w:gridCol w:w="54"/>
        <w:gridCol w:w="358"/>
        <w:gridCol w:w="38"/>
        <w:gridCol w:w="37"/>
        <w:gridCol w:w="37"/>
        <w:gridCol w:w="37"/>
        <w:gridCol w:w="54"/>
        <w:gridCol w:w="409"/>
        <w:gridCol w:w="38"/>
        <w:gridCol w:w="37"/>
        <w:gridCol w:w="37"/>
        <w:gridCol w:w="37"/>
        <w:gridCol w:w="92"/>
        <w:gridCol w:w="615"/>
        <w:gridCol w:w="147"/>
        <w:gridCol w:w="36"/>
        <w:gridCol w:w="36"/>
        <w:gridCol w:w="36"/>
        <w:gridCol w:w="54"/>
        <w:gridCol w:w="358"/>
        <w:gridCol w:w="38"/>
        <w:gridCol w:w="37"/>
        <w:gridCol w:w="37"/>
        <w:gridCol w:w="37"/>
        <w:gridCol w:w="54"/>
        <w:gridCol w:w="409"/>
        <w:gridCol w:w="38"/>
        <w:gridCol w:w="37"/>
        <w:gridCol w:w="37"/>
        <w:gridCol w:w="37"/>
        <w:gridCol w:w="92"/>
        <w:gridCol w:w="616"/>
        <w:gridCol w:w="147"/>
      </w:tblGrid>
      <w:tr w:rsidR="00E836FB" w14:paraId="5F2CA6C0" w14:textId="77777777">
        <w:tc>
          <w:tcPr>
            <w:tcW w:w="50" w:type="pct"/>
            <w:shd w:val="clear" w:color="auto" w:fill="auto"/>
            <w:vAlign w:val="bottom"/>
          </w:tcPr>
          <w:p w14:paraId="5F2CA68A" w14:textId="77777777" w:rsidR="00E836FB" w:rsidRDefault="00E836FB">
            <w:pPr>
              <w:rPr>
                <w:rFonts w:ascii="宋体"/>
              </w:rPr>
            </w:pPr>
          </w:p>
        </w:tc>
        <w:tc>
          <w:tcPr>
            <w:tcW w:w="1132" w:type="pct"/>
            <w:shd w:val="clear" w:color="auto" w:fill="auto"/>
            <w:vAlign w:val="bottom"/>
          </w:tcPr>
          <w:p w14:paraId="5F2CA68B" w14:textId="77777777" w:rsidR="00E836FB" w:rsidRDefault="00E836FB">
            <w:pPr>
              <w:rPr>
                <w:rFonts w:ascii="宋体"/>
              </w:rPr>
            </w:pPr>
          </w:p>
        </w:tc>
        <w:tc>
          <w:tcPr>
            <w:tcW w:w="5" w:type="pct"/>
            <w:shd w:val="clear" w:color="auto" w:fill="auto"/>
            <w:vAlign w:val="bottom"/>
          </w:tcPr>
          <w:p w14:paraId="5F2CA68C" w14:textId="77777777" w:rsidR="00E836FB" w:rsidRDefault="00E836FB">
            <w:pPr>
              <w:rPr>
                <w:rFonts w:ascii="宋体"/>
              </w:rPr>
            </w:pPr>
          </w:p>
        </w:tc>
        <w:tc>
          <w:tcPr>
            <w:tcW w:w="50" w:type="pct"/>
            <w:shd w:val="clear" w:color="auto" w:fill="auto"/>
            <w:vAlign w:val="bottom"/>
          </w:tcPr>
          <w:p w14:paraId="5F2CA68D" w14:textId="77777777" w:rsidR="00E836FB" w:rsidRDefault="00E836FB">
            <w:pPr>
              <w:rPr>
                <w:rFonts w:ascii="宋体"/>
              </w:rPr>
            </w:pPr>
          </w:p>
        </w:tc>
        <w:tc>
          <w:tcPr>
            <w:tcW w:w="335" w:type="pct"/>
            <w:shd w:val="clear" w:color="auto" w:fill="auto"/>
            <w:vAlign w:val="bottom"/>
          </w:tcPr>
          <w:p w14:paraId="5F2CA68E" w14:textId="77777777" w:rsidR="00E836FB" w:rsidRDefault="00E836FB">
            <w:pPr>
              <w:rPr>
                <w:rFonts w:ascii="宋体"/>
              </w:rPr>
            </w:pPr>
          </w:p>
        </w:tc>
        <w:tc>
          <w:tcPr>
            <w:tcW w:w="5" w:type="pct"/>
            <w:shd w:val="clear" w:color="auto" w:fill="auto"/>
            <w:vAlign w:val="bottom"/>
          </w:tcPr>
          <w:p w14:paraId="5F2CA68F" w14:textId="77777777" w:rsidR="00E836FB" w:rsidRDefault="00E836FB">
            <w:pPr>
              <w:rPr>
                <w:rFonts w:ascii="宋体"/>
              </w:rPr>
            </w:pPr>
          </w:p>
        </w:tc>
        <w:tc>
          <w:tcPr>
            <w:tcW w:w="5" w:type="pct"/>
            <w:shd w:val="clear" w:color="auto" w:fill="auto"/>
            <w:vAlign w:val="bottom"/>
          </w:tcPr>
          <w:p w14:paraId="5F2CA690" w14:textId="77777777" w:rsidR="00E836FB" w:rsidRDefault="00E836FB">
            <w:pPr>
              <w:rPr>
                <w:rFonts w:ascii="宋体"/>
              </w:rPr>
            </w:pPr>
          </w:p>
        </w:tc>
        <w:tc>
          <w:tcPr>
            <w:tcW w:w="26" w:type="pct"/>
            <w:shd w:val="clear" w:color="auto" w:fill="auto"/>
            <w:vAlign w:val="bottom"/>
          </w:tcPr>
          <w:p w14:paraId="5F2CA691" w14:textId="77777777" w:rsidR="00E836FB" w:rsidRDefault="00E836FB">
            <w:pPr>
              <w:rPr>
                <w:rFonts w:ascii="宋体"/>
              </w:rPr>
            </w:pPr>
          </w:p>
        </w:tc>
        <w:tc>
          <w:tcPr>
            <w:tcW w:w="5" w:type="pct"/>
            <w:shd w:val="clear" w:color="auto" w:fill="auto"/>
            <w:vAlign w:val="bottom"/>
          </w:tcPr>
          <w:p w14:paraId="5F2CA692" w14:textId="77777777" w:rsidR="00E836FB" w:rsidRDefault="00E836FB">
            <w:pPr>
              <w:rPr>
                <w:rFonts w:ascii="宋体"/>
              </w:rPr>
            </w:pPr>
          </w:p>
        </w:tc>
        <w:tc>
          <w:tcPr>
            <w:tcW w:w="50" w:type="pct"/>
            <w:shd w:val="clear" w:color="auto" w:fill="auto"/>
            <w:vAlign w:val="bottom"/>
          </w:tcPr>
          <w:p w14:paraId="5F2CA693" w14:textId="77777777" w:rsidR="00E836FB" w:rsidRDefault="00E836FB">
            <w:pPr>
              <w:rPr>
                <w:rFonts w:ascii="宋体"/>
              </w:rPr>
            </w:pPr>
          </w:p>
        </w:tc>
        <w:tc>
          <w:tcPr>
            <w:tcW w:w="335" w:type="pct"/>
            <w:shd w:val="clear" w:color="auto" w:fill="auto"/>
            <w:vAlign w:val="bottom"/>
          </w:tcPr>
          <w:p w14:paraId="5F2CA694" w14:textId="77777777" w:rsidR="00E836FB" w:rsidRDefault="00E836FB">
            <w:pPr>
              <w:rPr>
                <w:rFonts w:ascii="宋体"/>
              </w:rPr>
            </w:pPr>
          </w:p>
        </w:tc>
        <w:tc>
          <w:tcPr>
            <w:tcW w:w="5" w:type="pct"/>
            <w:shd w:val="clear" w:color="auto" w:fill="auto"/>
            <w:vAlign w:val="bottom"/>
          </w:tcPr>
          <w:p w14:paraId="5F2CA695" w14:textId="77777777" w:rsidR="00E836FB" w:rsidRDefault="00E836FB">
            <w:pPr>
              <w:rPr>
                <w:rFonts w:ascii="宋体"/>
              </w:rPr>
            </w:pPr>
          </w:p>
        </w:tc>
        <w:tc>
          <w:tcPr>
            <w:tcW w:w="5" w:type="pct"/>
            <w:shd w:val="clear" w:color="auto" w:fill="auto"/>
            <w:vAlign w:val="bottom"/>
          </w:tcPr>
          <w:p w14:paraId="5F2CA696" w14:textId="77777777" w:rsidR="00E836FB" w:rsidRDefault="00E836FB">
            <w:pPr>
              <w:rPr>
                <w:rFonts w:ascii="宋体"/>
              </w:rPr>
            </w:pPr>
          </w:p>
        </w:tc>
        <w:tc>
          <w:tcPr>
            <w:tcW w:w="26" w:type="pct"/>
            <w:shd w:val="clear" w:color="auto" w:fill="auto"/>
            <w:vAlign w:val="bottom"/>
          </w:tcPr>
          <w:p w14:paraId="5F2CA697" w14:textId="77777777" w:rsidR="00E836FB" w:rsidRDefault="00E836FB">
            <w:pPr>
              <w:rPr>
                <w:rFonts w:ascii="宋体"/>
              </w:rPr>
            </w:pPr>
          </w:p>
        </w:tc>
        <w:tc>
          <w:tcPr>
            <w:tcW w:w="5" w:type="pct"/>
            <w:shd w:val="clear" w:color="auto" w:fill="auto"/>
            <w:vAlign w:val="bottom"/>
          </w:tcPr>
          <w:p w14:paraId="5F2CA698" w14:textId="77777777" w:rsidR="00E836FB" w:rsidRDefault="00E836FB">
            <w:pPr>
              <w:rPr>
                <w:rFonts w:ascii="宋体"/>
              </w:rPr>
            </w:pPr>
          </w:p>
        </w:tc>
        <w:tc>
          <w:tcPr>
            <w:tcW w:w="50" w:type="pct"/>
            <w:shd w:val="clear" w:color="auto" w:fill="auto"/>
            <w:vAlign w:val="bottom"/>
          </w:tcPr>
          <w:p w14:paraId="5F2CA699" w14:textId="77777777" w:rsidR="00E836FB" w:rsidRDefault="00E836FB">
            <w:pPr>
              <w:rPr>
                <w:rFonts w:ascii="宋体"/>
              </w:rPr>
            </w:pPr>
          </w:p>
        </w:tc>
        <w:tc>
          <w:tcPr>
            <w:tcW w:w="335" w:type="pct"/>
            <w:shd w:val="clear" w:color="auto" w:fill="auto"/>
            <w:vAlign w:val="bottom"/>
          </w:tcPr>
          <w:p w14:paraId="5F2CA69A" w14:textId="77777777" w:rsidR="00E836FB" w:rsidRDefault="00E836FB">
            <w:pPr>
              <w:rPr>
                <w:rFonts w:ascii="宋体"/>
              </w:rPr>
            </w:pPr>
          </w:p>
        </w:tc>
        <w:tc>
          <w:tcPr>
            <w:tcW w:w="5" w:type="pct"/>
            <w:shd w:val="clear" w:color="auto" w:fill="auto"/>
            <w:vAlign w:val="bottom"/>
          </w:tcPr>
          <w:p w14:paraId="5F2CA69B" w14:textId="77777777" w:rsidR="00E836FB" w:rsidRDefault="00E836FB">
            <w:pPr>
              <w:rPr>
                <w:rFonts w:ascii="宋体"/>
              </w:rPr>
            </w:pPr>
          </w:p>
        </w:tc>
        <w:tc>
          <w:tcPr>
            <w:tcW w:w="5" w:type="pct"/>
            <w:shd w:val="clear" w:color="auto" w:fill="auto"/>
            <w:vAlign w:val="bottom"/>
          </w:tcPr>
          <w:p w14:paraId="5F2CA69C" w14:textId="77777777" w:rsidR="00E836FB" w:rsidRDefault="00E836FB">
            <w:pPr>
              <w:rPr>
                <w:rFonts w:ascii="宋体"/>
              </w:rPr>
            </w:pPr>
          </w:p>
        </w:tc>
        <w:tc>
          <w:tcPr>
            <w:tcW w:w="26" w:type="pct"/>
            <w:shd w:val="clear" w:color="auto" w:fill="auto"/>
            <w:vAlign w:val="bottom"/>
          </w:tcPr>
          <w:p w14:paraId="5F2CA69D" w14:textId="77777777" w:rsidR="00E836FB" w:rsidRDefault="00E836FB">
            <w:pPr>
              <w:rPr>
                <w:rFonts w:ascii="宋体"/>
              </w:rPr>
            </w:pPr>
          </w:p>
        </w:tc>
        <w:tc>
          <w:tcPr>
            <w:tcW w:w="5" w:type="pct"/>
            <w:shd w:val="clear" w:color="auto" w:fill="auto"/>
            <w:vAlign w:val="bottom"/>
          </w:tcPr>
          <w:p w14:paraId="5F2CA69E" w14:textId="77777777" w:rsidR="00E836FB" w:rsidRDefault="00E836FB">
            <w:pPr>
              <w:rPr>
                <w:rFonts w:ascii="宋体"/>
              </w:rPr>
            </w:pPr>
          </w:p>
        </w:tc>
        <w:tc>
          <w:tcPr>
            <w:tcW w:w="50" w:type="pct"/>
            <w:shd w:val="clear" w:color="auto" w:fill="auto"/>
            <w:vAlign w:val="bottom"/>
          </w:tcPr>
          <w:p w14:paraId="5F2CA69F" w14:textId="77777777" w:rsidR="00E836FB" w:rsidRDefault="00E836FB">
            <w:pPr>
              <w:rPr>
                <w:rFonts w:ascii="宋体"/>
              </w:rPr>
            </w:pPr>
          </w:p>
        </w:tc>
        <w:tc>
          <w:tcPr>
            <w:tcW w:w="335" w:type="pct"/>
            <w:shd w:val="clear" w:color="auto" w:fill="auto"/>
            <w:vAlign w:val="bottom"/>
          </w:tcPr>
          <w:p w14:paraId="5F2CA6A0" w14:textId="77777777" w:rsidR="00E836FB" w:rsidRDefault="00E836FB">
            <w:pPr>
              <w:rPr>
                <w:rFonts w:ascii="宋体"/>
              </w:rPr>
            </w:pPr>
          </w:p>
        </w:tc>
        <w:tc>
          <w:tcPr>
            <w:tcW w:w="5" w:type="pct"/>
            <w:shd w:val="clear" w:color="auto" w:fill="auto"/>
            <w:vAlign w:val="bottom"/>
          </w:tcPr>
          <w:p w14:paraId="5F2CA6A1" w14:textId="77777777" w:rsidR="00E836FB" w:rsidRDefault="00E836FB">
            <w:pPr>
              <w:rPr>
                <w:rFonts w:ascii="宋体"/>
              </w:rPr>
            </w:pPr>
          </w:p>
        </w:tc>
        <w:tc>
          <w:tcPr>
            <w:tcW w:w="5" w:type="pct"/>
            <w:shd w:val="clear" w:color="auto" w:fill="auto"/>
            <w:vAlign w:val="bottom"/>
          </w:tcPr>
          <w:p w14:paraId="5F2CA6A2" w14:textId="77777777" w:rsidR="00E836FB" w:rsidRDefault="00E836FB">
            <w:pPr>
              <w:rPr>
                <w:rFonts w:ascii="宋体"/>
              </w:rPr>
            </w:pPr>
          </w:p>
        </w:tc>
        <w:tc>
          <w:tcPr>
            <w:tcW w:w="26" w:type="pct"/>
            <w:shd w:val="clear" w:color="auto" w:fill="auto"/>
            <w:vAlign w:val="bottom"/>
          </w:tcPr>
          <w:p w14:paraId="5F2CA6A3" w14:textId="77777777" w:rsidR="00E836FB" w:rsidRDefault="00E836FB">
            <w:pPr>
              <w:rPr>
                <w:rFonts w:ascii="宋体"/>
              </w:rPr>
            </w:pPr>
          </w:p>
        </w:tc>
        <w:tc>
          <w:tcPr>
            <w:tcW w:w="5" w:type="pct"/>
            <w:shd w:val="clear" w:color="auto" w:fill="auto"/>
            <w:vAlign w:val="bottom"/>
          </w:tcPr>
          <w:p w14:paraId="5F2CA6A4" w14:textId="77777777" w:rsidR="00E836FB" w:rsidRDefault="00E836FB">
            <w:pPr>
              <w:rPr>
                <w:rFonts w:ascii="宋体"/>
              </w:rPr>
            </w:pPr>
          </w:p>
        </w:tc>
        <w:tc>
          <w:tcPr>
            <w:tcW w:w="50" w:type="pct"/>
            <w:shd w:val="clear" w:color="auto" w:fill="auto"/>
            <w:vAlign w:val="bottom"/>
          </w:tcPr>
          <w:p w14:paraId="5F2CA6A5" w14:textId="77777777" w:rsidR="00E836FB" w:rsidRDefault="00E836FB">
            <w:pPr>
              <w:rPr>
                <w:rFonts w:ascii="宋体"/>
              </w:rPr>
            </w:pPr>
          </w:p>
        </w:tc>
        <w:tc>
          <w:tcPr>
            <w:tcW w:w="335" w:type="pct"/>
            <w:shd w:val="clear" w:color="auto" w:fill="auto"/>
            <w:vAlign w:val="bottom"/>
          </w:tcPr>
          <w:p w14:paraId="5F2CA6A6" w14:textId="77777777" w:rsidR="00E836FB" w:rsidRDefault="00E836FB">
            <w:pPr>
              <w:rPr>
                <w:rFonts w:ascii="宋体"/>
              </w:rPr>
            </w:pPr>
          </w:p>
        </w:tc>
        <w:tc>
          <w:tcPr>
            <w:tcW w:w="5" w:type="pct"/>
            <w:shd w:val="clear" w:color="auto" w:fill="auto"/>
            <w:vAlign w:val="bottom"/>
          </w:tcPr>
          <w:p w14:paraId="5F2CA6A7" w14:textId="77777777" w:rsidR="00E836FB" w:rsidRDefault="00E836FB">
            <w:pPr>
              <w:rPr>
                <w:rFonts w:ascii="宋体"/>
              </w:rPr>
            </w:pPr>
          </w:p>
        </w:tc>
        <w:tc>
          <w:tcPr>
            <w:tcW w:w="5" w:type="pct"/>
            <w:shd w:val="clear" w:color="auto" w:fill="auto"/>
            <w:vAlign w:val="bottom"/>
          </w:tcPr>
          <w:p w14:paraId="5F2CA6A8" w14:textId="77777777" w:rsidR="00E836FB" w:rsidRDefault="00E836FB">
            <w:pPr>
              <w:rPr>
                <w:rFonts w:ascii="宋体"/>
              </w:rPr>
            </w:pPr>
          </w:p>
        </w:tc>
        <w:tc>
          <w:tcPr>
            <w:tcW w:w="26" w:type="pct"/>
            <w:shd w:val="clear" w:color="auto" w:fill="auto"/>
            <w:vAlign w:val="bottom"/>
          </w:tcPr>
          <w:p w14:paraId="5F2CA6A9" w14:textId="77777777" w:rsidR="00E836FB" w:rsidRDefault="00E836FB">
            <w:pPr>
              <w:rPr>
                <w:rFonts w:ascii="宋体"/>
              </w:rPr>
            </w:pPr>
          </w:p>
        </w:tc>
        <w:tc>
          <w:tcPr>
            <w:tcW w:w="5" w:type="pct"/>
            <w:shd w:val="clear" w:color="auto" w:fill="auto"/>
            <w:vAlign w:val="bottom"/>
          </w:tcPr>
          <w:p w14:paraId="5F2CA6AA" w14:textId="77777777" w:rsidR="00E836FB" w:rsidRDefault="00E836FB">
            <w:pPr>
              <w:rPr>
                <w:rFonts w:ascii="宋体"/>
              </w:rPr>
            </w:pPr>
          </w:p>
        </w:tc>
        <w:tc>
          <w:tcPr>
            <w:tcW w:w="50" w:type="pct"/>
            <w:shd w:val="clear" w:color="auto" w:fill="auto"/>
            <w:vAlign w:val="bottom"/>
          </w:tcPr>
          <w:p w14:paraId="5F2CA6AB" w14:textId="77777777" w:rsidR="00E836FB" w:rsidRDefault="00E836FB">
            <w:pPr>
              <w:rPr>
                <w:rFonts w:ascii="宋体"/>
              </w:rPr>
            </w:pPr>
          </w:p>
        </w:tc>
        <w:tc>
          <w:tcPr>
            <w:tcW w:w="335" w:type="pct"/>
            <w:shd w:val="clear" w:color="auto" w:fill="auto"/>
            <w:vAlign w:val="bottom"/>
          </w:tcPr>
          <w:p w14:paraId="5F2CA6AC" w14:textId="77777777" w:rsidR="00E836FB" w:rsidRDefault="00E836FB">
            <w:pPr>
              <w:rPr>
                <w:rFonts w:ascii="宋体"/>
              </w:rPr>
            </w:pPr>
          </w:p>
        </w:tc>
        <w:tc>
          <w:tcPr>
            <w:tcW w:w="5" w:type="pct"/>
            <w:shd w:val="clear" w:color="auto" w:fill="auto"/>
            <w:vAlign w:val="bottom"/>
          </w:tcPr>
          <w:p w14:paraId="5F2CA6AD" w14:textId="77777777" w:rsidR="00E836FB" w:rsidRDefault="00E836FB">
            <w:pPr>
              <w:rPr>
                <w:rFonts w:ascii="宋体"/>
              </w:rPr>
            </w:pPr>
          </w:p>
        </w:tc>
        <w:tc>
          <w:tcPr>
            <w:tcW w:w="5" w:type="pct"/>
            <w:shd w:val="clear" w:color="auto" w:fill="auto"/>
            <w:vAlign w:val="bottom"/>
          </w:tcPr>
          <w:p w14:paraId="5F2CA6AE" w14:textId="77777777" w:rsidR="00E836FB" w:rsidRDefault="00E836FB">
            <w:pPr>
              <w:rPr>
                <w:rFonts w:ascii="宋体"/>
              </w:rPr>
            </w:pPr>
          </w:p>
        </w:tc>
        <w:tc>
          <w:tcPr>
            <w:tcW w:w="26" w:type="pct"/>
            <w:shd w:val="clear" w:color="auto" w:fill="auto"/>
            <w:vAlign w:val="bottom"/>
          </w:tcPr>
          <w:p w14:paraId="5F2CA6AF" w14:textId="77777777" w:rsidR="00E836FB" w:rsidRDefault="00E836FB">
            <w:pPr>
              <w:rPr>
                <w:rFonts w:ascii="宋体"/>
              </w:rPr>
            </w:pPr>
          </w:p>
        </w:tc>
        <w:tc>
          <w:tcPr>
            <w:tcW w:w="5" w:type="pct"/>
            <w:shd w:val="clear" w:color="auto" w:fill="auto"/>
            <w:vAlign w:val="bottom"/>
          </w:tcPr>
          <w:p w14:paraId="5F2CA6B0" w14:textId="77777777" w:rsidR="00E836FB" w:rsidRDefault="00E836FB">
            <w:pPr>
              <w:rPr>
                <w:rFonts w:ascii="宋体"/>
              </w:rPr>
            </w:pPr>
          </w:p>
        </w:tc>
        <w:tc>
          <w:tcPr>
            <w:tcW w:w="50" w:type="pct"/>
            <w:shd w:val="clear" w:color="auto" w:fill="auto"/>
            <w:vAlign w:val="bottom"/>
          </w:tcPr>
          <w:p w14:paraId="5F2CA6B1" w14:textId="77777777" w:rsidR="00E836FB" w:rsidRDefault="00E836FB">
            <w:pPr>
              <w:rPr>
                <w:rFonts w:ascii="宋体"/>
              </w:rPr>
            </w:pPr>
          </w:p>
        </w:tc>
        <w:tc>
          <w:tcPr>
            <w:tcW w:w="335" w:type="pct"/>
            <w:shd w:val="clear" w:color="auto" w:fill="auto"/>
            <w:vAlign w:val="bottom"/>
          </w:tcPr>
          <w:p w14:paraId="5F2CA6B2" w14:textId="77777777" w:rsidR="00E836FB" w:rsidRDefault="00E836FB">
            <w:pPr>
              <w:rPr>
                <w:rFonts w:ascii="宋体"/>
              </w:rPr>
            </w:pPr>
          </w:p>
        </w:tc>
        <w:tc>
          <w:tcPr>
            <w:tcW w:w="5" w:type="pct"/>
            <w:shd w:val="clear" w:color="auto" w:fill="auto"/>
            <w:vAlign w:val="bottom"/>
          </w:tcPr>
          <w:p w14:paraId="5F2CA6B3" w14:textId="77777777" w:rsidR="00E836FB" w:rsidRDefault="00E836FB">
            <w:pPr>
              <w:rPr>
                <w:rFonts w:ascii="宋体"/>
              </w:rPr>
            </w:pPr>
          </w:p>
        </w:tc>
        <w:tc>
          <w:tcPr>
            <w:tcW w:w="5" w:type="pct"/>
            <w:shd w:val="clear" w:color="auto" w:fill="auto"/>
            <w:vAlign w:val="bottom"/>
          </w:tcPr>
          <w:p w14:paraId="5F2CA6B4" w14:textId="77777777" w:rsidR="00E836FB" w:rsidRDefault="00E836FB">
            <w:pPr>
              <w:rPr>
                <w:rFonts w:ascii="宋体"/>
              </w:rPr>
            </w:pPr>
          </w:p>
        </w:tc>
        <w:tc>
          <w:tcPr>
            <w:tcW w:w="26" w:type="pct"/>
            <w:shd w:val="clear" w:color="auto" w:fill="auto"/>
            <w:vAlign w:val="bottom"/>
          </w:tcPr>
          <w:p w14:paraId="5F2CA6B5" w14:textId="77777777" w:rsidR="00E836FB" w:rsidRDefault="00E836FB">
            <w:pPr>
              <w:rPr>
                <w:rFonts w:ascii="宋体"/>
              </w:rPr>
            </w:pPr>
          </w:p>
        </w:tc>
        <w:tc>
          <w:tcPr>
            <w:tcW w:w="5" w:type="pct"/>
            <w:shd w:val="clear" w:color="auto" w:fill="auto"/>
            <w:vAlign w:val="bottom"/>
          </w:tcPr>
          <w:p w14:paraId="5F2CA6B6" w14:textId="77777777" w:rsidR="00E836FB" w:rsidRDefault="00E836FB">
            <w:pPr>
              <w:rPr>
                <w:rFonts w:ascii="宋体"/>
              </w:rPr>
            </w:pPr>
          </w:p>
        </w:tc>
        <w:tc>
          <w:tcPr>
            <w:tcW w:w="50" w:type="pct"/>
            <w:shd w:val="clear" w:color="auto" w:fill="auto"/>
            <w:vAlign w:val="bottom"/>
          </w:tcPr>
          <w:p w14:paraId="5F2CA6B7" w14:textId="77777777" w:rsidR="00E836FB" w:rsidRDefault="00E836FB">
            <w:pPr>
              <w:rPr>
                <w:rFonts w:ascii="宋体"/>
              </w:rPr>
            </w:pPr>
          </w:p>
        </w:tc>
        <w:tc>
          <w:tcPr>
            <w:tcW w:w="335" w:type="pct"/>
            <w:shd w:val="clear" w:color="auto" w:fill="auto"/>
            <w:vAlign w:val="bottom"/>
          </w:tcPr>
          <w:p w14:paraId="5F2CA6B8" w14:textId="77777777" w:rsidR="00E836FB" w:rsidRDefault="00E836FB">
            <w:pPr>
              <w:rPr>
                <w:rFonts w:ascii="宋体"/>
              </w:rPr>
            </w:pPr>
          </w:p>
        </w:tc>
        <w:tc>
          <w:tcPr>
            <w:tcW w:w="5" w:type="pct"/>
            <w:shd w:val="clear" w:color="auto" w:fill="auto"/>
            <w:vAlign w:val="bottom"/>
          </w:tcPr>
          <w:p w14:paraId="5F2CA6B9" w14:textId="77777777" w:rsidR="00E836FB" w:rsidRDefault="00E836FB">
            <w:pPr>
              <w:rPr>
                <w:rFonts w:ascii="宋体"/>
              </w:rPr>
            </w:pPr>
          </w:p>
        </w:tc>
        <w:tc>
          <w:tcPr>
            <w:tcW w:w="5" w:type="pct"/>
            <w:shd w:val="clear" w:color="auto" w:fill="auto"/>
            <w:vAlign w:val="bottom"/>
          </w:tcPr>
          <w:p w14:paraId="5F2CA6BA" w14:textId="77777777" w:rsidR="00E836FB" w:rsidRDefault="00E836FB">
            <w:pPr>
              <w:rPr>
                <w:rFonts w:ascii="宋体"/>
              </w:rPr>
            </w:pPr>
          </w:p>
        </w:tc>
        <w:tc>
          <w:tcPr>
            <w:tcW w:w="26" w:type="pct"/>
            <w:shd w:val="clear" w:color="auto" w:fill="auto"/>
            <w:vAlign w:val="bottom"/>
          </w:tcPr>
          <w:p w14:paraId="5F2CA6BB" w14:textId="77777777" w:rsidR="00E836FB" w:rsidRDefault="00E836FB">
            <w:pPr>
              <w:rPr>
                <w:rFonts w:ascii="宋体"/>
              </w:rPr>
            </w:pPr>
          </w:p>
        </w:tc>
        <w:tc>
          <w:tcPr>
            <w:tcW w:w="5" w:type="pct"/>
            <w:shd w:val="clear" w:color="auto" w:fill="auto"/>
            <w:vAlign w:val="bottom"/>
          </w:tcPr>
          <w:p w14:paraId="5F2CA6BC" w14:textId="77777777" w:rsidR="00E836FB" w:rsidRDefault="00E836FB">
            <w:pPr>
              <w:rPr>
                <w:rFonts w:ascii="宋体"/>
              </w:rPr>
            </w:pPr>
          </w:p>
        </w:tc>
        <w:tc>
          <w:tcPr>
            <w:tcW w:w="50" w:type="pct"/>
            <w:shd w:val="clear" w:color="auto" w:fill="auto"/>
            <w:vAlign w:val="bottom"/>
          </w:tcPr>
          <w:p w14:paraId="5F2CA6BD" w14:textId="77777777" w:rsidR="00E836FB" w:rsidRDefault="00E836FB">
            <w:pPr>
              <w:rPr>
                <w:rFonts w:ascii="宋体"/>
              </w:rPr>
            </w:pPr>
          </w:p>
        </w:tc>
        <w:tc>
          <w:tcPr>
            <w:tcW w:w="336" w:type="pct"/>
            <w:shd w:val="clear" w:color="auto" w:fill="auto"/>
            <w:vAlign w:val="bottom"/>
          </w:tcPr>
          <w:p w14:paraId="5F2CA6BE" w14:textId="77777777" w:rsidR="00E836FB" w:rsidRDefault="00E836FB">
            <w:pPr>
              <w:rPr>
                <w:rFonts w:ascii="宋体"/>
              </w:rPr>
            </w:pPr>
          </w:p>
        </w:tc>
        <w:tc>
          <w:tcPr>
            <w:tcW w:w="5" w:type="pct"/>
            <w:shd w:val="clear" w:color="auto" w:fill="auto"/>
            <w:vAlign w:val="bottom"/>
          </w:tcPr>
          <w:p w14:paraId="5F2CA6BF" w14:textId="77777777" w:rsidR="00E836FB" w:rsidRDefault="00E836FB">
            <w:pPr>
              <w:rPr>
                <w:rFonts w:ascii="宋体"/>
              </w:rPr>
            </w:pPr>
          </w:p>
        </w:tc>
      </w:tr>
      <w:tr w:rsidR="00E836FB" w14:paraId="5F2CA6C2" w14:textId="77777777">
        <w:tc>
          <w:tcPr>
            <w:tcW w:w="0" w:type="auto"/>
            <w:gridSpan w:val="54"/>
            <w:shd w:val="clear" w:color="auto" w:fill="auto"/>
            <w:tcMar>
              <w:top w:w="40" w:type="dxa"/>
              <w:left w:w="20" w:type="dxa"/>
              <w:bottom w:w="40" w:type="dxa"/>
              <w:right w:w="20" w:type="dxa"/>
            </w:tcMar>
            <w:vAlign w:val="bottom"/>
          </w:tcPr>
          <w:p w14:paraId="5F2CA6C1" w14:textId="77777777" w:rsidR="00E836FB" w:rsidRDefault="00994958">
            <w:pPr>
              <w:textAlignment w:val="bottom"/>
            </w:pPr>
            <w:r>
              <w:rPr>
                <w:rFonts w:ascii="Arial" w:eastAsia="宋体" w:hAnsi="Arial" w:cs="Arial"/>
                <w:b/>
                <w:bCs/>
                <w:color w:val="000000"/>
                <w:sz w:val="16"/>
                <w:szCs w:val="16"/>
              </w:rPr>
              <w:t>TABLE 3: DAILY AVERAGES, MONTH-END AVERAGES AND YEAR-END EQUITY INDICES</w:t>
            </w:r>
            <w:r>
              <w:rPr>
                <w:rFonts w:ascii="Arial" w:eastAsia="宋体" w:hAnsi="Arial" w:cs="Arial"/>
                <w:b/>
                <w:bCs/>
                <w:color w:val="000000"/>
                <w:sz w:val="10"/>
                <w:szCs w:val="10"/>
              </w:rPr>
              <w:t>(1)</w:t>
            </w:r>
          </w:p>
        </w:tc>
      </w:tr>
      <w:tr w:rsidR="00E836FB" w14:paraId="5F2CA6C9" w14:textId="77777777">
        <w:tc>
          <w:tcPr>
            <w:tcW w:w="0" w:type="auto"/>
            <w:gridSpan w:val="3"/>
            <w:shd w:val="clear" w:color="auto" w:fill="auto"/>
            <w:tcMar>
              <w:top w:w="0" w:type="dxa"/>
              <w:left w:w="20" w:type="dxa"/>
              <w:bottom w:w="0" w:type="dxa"/>
              <w:right w:w="20" w:type="dxa"/>
            </w:tcMar>
            <w:vAlign w:val="bottom"/>
          </w:tcPr>
          <w:p w14:paraId="5F2CA6C3" w14:textId="77777777" w:rsidR="00E836FB" w:rsidRDefault="00E836F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F2CA6C4" w14:textId="77777777" w:rsidR="00E836FB" w:rsidRDefault="00994958">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vAlign w:val="bottom"/>
          </w:tcPr>
          <w:p w14:paraId="5F2CA6C5" w14:textId="77777777" w:rsidR="00E836FB" w:rsidRDefault="00E836F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F2CA6C6" w14:textId="77777777" w:rsidR="00E836FB" w:rsidRDefault="00994958">
            <w:pPr>
              <w:jc w:val="center"/>
              <w:textAlignment w:val="bottom"/>
            </w:pPr>
            <w:r>
              <w:rPr>
                <w:rFonts w:ascii="Arial" w:eastAsia="宋体" w:hAnsi="Arial" w:cs="Arial"/>
                <w:b/>
                <w:bCs/>
                <w:color w:val="000000"/>
                <w:sz w:val="14"/>
                <w:szCs w:val="14"/>
              </w:rPr>
              <w:t>Month-End Averages of Indices</w:t>
            </w:r>
          </w:p>
        </w:tc>
        <w:tc>
          <w:tcPr>
            <w:tcW w:w="0" w:type="auto"/>
            <w:gridSpan w:val="3"/>
            <w:shd w:val="clear" w:color="auto" w:fill="auto"/>
            <w:tcMar>
              <w:top w:w="0" w:type="dxa"/>
              <w:left w:w="20" w:type="dxa"/>
              <w:bottom w:w="0" w:type="dxa"/>
              <w:right w:w="20" w:type="dxa"/>
            </w:tcMar>
            <w:vAlign w:val="bottom"/>
          </w:tcPr>
          <w:p w14:paraId="5F2CA6C7" w14:textId="77777777" w:rsidR="00E836FB" w:rsidRDefault="00E836F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F2CA6C8" w14:textId="77777777" w:rsidR="00E836FB" w:rsidRDefault="00994958">
            <w:pPr>
              <w:jc w:val="center"/>
              <w:textAlignment w:val="bottom"/>
            </w:pPr>
            <w:r>
              <w:rPr>
                <w:rFonts w:ascii="Arial" w:eastAsia="宋体" w:hAnsi="Arial" w:cs="Arial"/>
                <w:b/>
                <w:bCs/>
                <w:color w:val="000000"/>
                <w:sz w:val="14"/>
                <w:szCs w:val="14"/>
              </w:rPr>
              <w:t>Year-End Indices</w:t>
            </w:r>
          </w:p>
        </w:tc>
      </w:tr>
      <w:tr w:rsidR="00E836FB" w14:paraId="5F2CA6D0" w14:textId="77777777">
        <w:tc>
          <w:tcPr>
            <w:tcW w:w="0" w:type="auto"/>
            <w:gridSpan w:val="3"/>
            <w:shd w:val="clear" w:color="auto" w:fill="auto"/>
            <w:tcMar>
              <w:top w:w="0" w:type="dxa"/>
              <w:left w:w="20" w:type="dxa"/>
              <w:bottom w:w="0" w:type="dxa"/>
              <w:right w:w="20" w:type="dxa"/>
            </w:tcMar>
            <w:vAlign w:val="bottom"/>
          </w:tcPr>
          <w:p w14:paraId="5F2CA6CA"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A6CB"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vAlign w:val="bottom"/>
          </w:tcPr>
          <w:p w14:paraId="5F2CA6CC"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A6CD"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vAlign w:val="bottom"/>
          </w:tcPr>
          <w:p w14:paraId="5F2CA6CE"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A6CF" w14:textId="77777777" w:rsidR="00E836FB" w:rsidRDefault="00994958">
            <w:pPr>
              <w:jc w:val="center"/>
              <w:textAlignment w:val="bottom"/>
            </w:pPr>
            <w:r>
              <w:rPr>
                <w:rFonts w:ascii="Arial" w:eastAsia="宋体" w:hAnsi="Arial" w:cs="Arial"/>
                <w:b/>
                <w:bCs/>
                <w:color w:val="000000"/>
                <w:sz w:val="14"/>
                <w:szCs w:val="14"/>
              </w:rPr>
              <w:t>Years Ended December 31,</w:t>
            </w:r>
          </w:p>
        </w:tc>
      </w:tr>
      <w:tr w:rsidR="00E836FB" w14:paraId="5F2CA6E3" w14:textId="77777777">
        <w:tc>
          <w:tcPr>
            <w:tcW w:w="0" w:type="auto"/>
            <w:gridSpan w:val="3"/>
            <w:shd w:val="clear" w:color="auto" w:fill="auto"/>
            <w:tcMar>
              <w:top w:w="0" w:type="dxa"/>
              <w:left w:w="20" w:type="dxa"/>
              <w:bottom w:w="0" w:type="dxa"/>
              <w:right w:w="20" w:type="dxa"/>
            </w:tcMar>
            <w:vAlign w:val="bottom"/>
          </w:tcPr>
          <w:p w14:paraId="5F2CA6D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D2"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6D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D4"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6D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D6" w14:textId="77777777" w:rsidR="00E836FB" w:rsidRDefault="00994958">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5F2CA6D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D8"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6D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DA"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6D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DC" w14:textId="77777777" w:rsidR="00E836FB" w:rsidRDefault="00994958">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5F2CA6D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DE"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6D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E0"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6E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6E2" w14:textId="77777777" w:rsidR="00E836FB" w:rsidRDefault="00994958">
            <w:pPr>
              <w:jc w:val="center"/>
              <w:textAlignment w:val="bottom"/>
            </w:pPr>
            <w:r>
              <w:rPr>
                <w:rFonts w:ascii="Arial" w:eastAsia="宋体" w:hAnsi="Arial" w:cs="Arial"/>
                <w:b/>
                <w:bCs/>
                <w:color w:val="000000"/>
                <w:sz w:val="14"/>
                <w:szCs w:val="14"/>
              </w:rPr>
              <w:t>% Change</w:t>
            </w:r>
          </w:p>
        </w:tc>
      </w:tr>
      <w:tr w:rsidR="00994958" w14:paraId="5F2CA6FF" w14:textId="77777777">
        <w:tc>
          <w:tcPr>
            <w:tcW w:w="0" w:type="auto"/>
            <w:gridSpan w:val="3"/>
            <w:shd w:val="clear" w:color="auto" w:fill="CCEEFF"/>
            <w:tcMar>
              <w:top w:w="40" w:type="dxa"/>
              <w:left w:w="20" w:type="dxa"/>
              <w:bottom w:w="40" w:type="dxa"/>
              <w:right w:w="20" w:type="dxa"/>
            </w:tcMar>
            <w:vAlign w:val="center"/>
          </w:tcPr>
          <w:p w14:paraId="5F2CA6E4" w14:textId="77777777" w:rsidR="00E836FB" w:rsidRDefault="00994958">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E5" w14:textId="77777777" w:rsidR="00E836FB" w:rsidRDefault="00994958">
            <w:pPr>
              <w:jc w:val="right"/>
              <w:textAlignment w:val="center"/>
            </w:pPr>
            <w:r>
              <w:rPr>
                <w:rFonts w:ascii="Arial" w:eastAsia="宋体" w:hAnsi="Arial" w:cs="Arial"/>
                <w:b/>
                <w:bCs/>
                <w:color w:val="000000"/>
                <w:sz w:val="14"/>
                <w:szCs w:val="14"/>
              </w:rPr>
              <w:t>4,273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E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E8" w14:textId="77777777" w:rsidR="00E836FB" w:rsidRDefault="00994958">
            <w:pPr>
              <w:jc w:val="right"/>
              <w:textAlignment w:val="center"/>
            </w:pPr>
            <w:r>
              <w:rPr>
                <w:rFonts w:ascii="Arial" w:eastAsia="宋体" w:hAnsi="Arial" w:cs="Arial"/>
                <w:color w:val="000000"/>
                <w:sz w:val="14"/>
                <w:szCs w:val="14"/>
              </w:rPr>
              <w:t>3,218 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E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EB" w14:textId="77777777" w:rsidR="00E836FB" w:rsidRDefault="00994958">
            <w:pPr>
              <w:jc w:val="right"/>
              <w:textAlignment w:val="center"/>
            </w:pPr>
            <w:r>
              <w:rPr>
                <w:rFonts w:ascii="Arial" w:eastAsia="宋体" w:hAnsi="Arial" w:cs="Arial"/>
                <w:color w:val="000000"/>
                <w:sz w:val="14"/>
                <w:szCs w:val="14"/>
              </w:rPr>
              <w:t>33 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EC"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A6E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EE" w14:textId="77777777" w:rsidR="00E836FB" w:rsidRDefault="00994958">
            <w:pPr>
              <w:jc w:val="right"/>
              <w:textAlignment w:val="center"/>
            </w:pPr>
            <w:r>
              <w:rPr>
                <w:rFonts w:ascii="Arial" w:eastAsia="宋体" w:hAnsi="Arial" w:cs="Arial"/>
                <w:b/>
                <w:bCs/>
                <w:color w:val="000000"/>
                <w:sz w:val="14"/>
                <w:szCs w:val="14"/>
              </w:rPr>
              <w:t>4,279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F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F1" w14:textId="77777777" w:rsidR="00E836FB" w:rsidRDefault="00994958">
            <w:pPr>
              <w:jc w:val="right"/>
              <w:textAlignment w:val="center"/>
            </w:pPr>
            <w:r>
              <w:rPr>
                <w:rFonts w:ascii="Arial" w:eastAsia="宋体" w:hAnsi="Arial" w:cs="Arial"/>
                <w:color w:val="000000"/>
                <w:sz w:val="14"/>
                <w:szCs w:val="14"/>
              </w:rPr>
              <w:t>3,217 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F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F4" w14:textId="77777777" w:rsidR="00E836FB" w:rsidRDefault="00994958">
            <w:pPr>
              <w:jc w:val="right"/>
              <w:textAlignment w:val="center"/>
            </w:pPr>
            <w:r>
              <w:rPr>
                <w:rFonts w:ascii="Arial" w:eastAsia="宋体" w:hAnsi="Arial" w:cs="Arial"/>
                <w:color w:val="000000"/>
                <w:sz w:val="14"/>
                <w:szCs w:val="14"/>
              </w:rPr>
              <w:t>33 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F5"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A6F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F7" w14:textId="77777777" w:rsidR="00E836FB" w:rsidRDefault="00994958">
            <w:pPr>
              <w:jc w:val="right"/>
              <w:textAlignment w:val="center"/>
            </w:pPr>
            <w:r>
              <w:rPr>
                <w:rFonts w:ascii="Arial" w:eastAsia="宋体" w:hAnsi="Arial" w:cs="Arial"/>
                <w:b/>
                <w:bCs/>
                <w:color w:val="000000"/>
                <w:sz w:val="14"/>
                <w:szCs w:val="14"/>
              </w:rPr>
              <w:t>4,766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F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FA" w14:textId="77777777" w:rsidR="00E836FB" w:rsidRDefault="00994958">
            <w:pPr>
              <w:jc w:val="right"/>
              <w:textAlignment w:val="center"/>
            </w:pPr>
            <w:r>
              <w:rPr>
                <w:rFonts w:ascii="Arial" w:eastAsia="宋体" w:hAnsi="Arial" w:cs="Arial"/>
                <w:color w:val="000000"/>
                <w:sz w:val="14"/>
                <w:szCs w:val="14"/>
              </w:rPr>
              <w:t>3,756 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6F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6FD" w14:textId="77777777" w:rsidR="00E836FB" w:rsidRDefault="00994958">
            <w:pPr>
              <w:jc w:val="right"/>
              <w:textAlignment w:val="center"/>
            </w:pPr>
            <w:r>
              <w:rPr>
                <w:rFonts w:ascii="Arial" w:eastAsia="宋体" w:hAnsi="Arial" w:cs="Arial"/>
                <w:color w:val="000000"/>
                <w:sz w:val="14"/>
                <w:szCs w:val="14"/>
              </w:rPr>
              <w:t>27 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6FE" w14:textId="77777777" w:rsidR="00E836FB" w:rsidRDefault="00994958">
            <w:pPr>
              <w:jc w:val="right"/>
              <w:textAlignment w:val="center"/>
            </w:pPr>
            <w:r>
              <w:rPr>
                <w:rFonts w:ascii="Arial" w:eastAsia="宋体" w:hAnsi="Arial" w:cs="Arial"/>
                <w:color w:val="000000"/>
                <w:sz w:val="14"/>
                <w:szCs w:val="14"/>
              </w:rPr>
              <w:t>%</w:t>
            </w:r>
          </w:p>
        </w:tc>
      </w:tr>
      <w:tr w:rsidR="00994958" w14:paraId="5F2CA71B" w14:textId="77777777">
        <w:tc>
          <w:tcPr>
            <w:tcW w:w="0" w:type="auto"/>
            <w:gridSpan w:val="3"/>
            <w:shd w:val="clear" w:color="auto" w:fill="FFFFFF"/>
            <w:tcMar>
              <w:top w:w="40" w:type="dxa"/>
              <w:left w:w="20" w:type="dxa"/>
              <w:bottom w:w="40" w:type="dxa"/>
              <w:right w:w="20" w:type="dxa"/>
            </w:tcMar>
            <w:vAlign w:val="center"/>
          </w:tcPr>
          <w:p w14:paraId="5F2CA700" w14:textId="77777777" w:rsidR="00E836FB" w:rsidRDefault="00994958">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5F2CA701" w14:textId="77777777" w:rsidR="00E836FB" w:rsidRDefault="00994958">
            <w:pPr>
              <w:jc w:val="right"/>
              <w:textAlignment w:val="center"/>
            </w:pPr>
            <w:r>
              <w:rPr>
                <w:rFonts w:ascii="Arial" w:eastAsia="宋体" w:hAnsi="Arial" w:cs="Arial"/>
                <w:b/>
                <w:bCs/>
                <w:color w:val="000000"/>
                <w:sz w:val="14"/>
                <w:szCs w:val="14"/>
              </w:rPr>
              <w:t>2,289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CA7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04" w14:textId="77777777" w:rsidR="00E836FB" w:rsidRDefault="00994958">
            <w:pPr>
              <w:jc w:val="right"/>
              <w:textAlignment w:val="center"/>
            </w:pPr>
            <w:r>
              <w:rPr>
                <w:rFonts w:ascii="Arial" w:eastAsia="宋体" w:hAnsi="Arial" w:cs="Arial"/>
                <w:color w:val="000000"/>
                <w:sz w:val="14"/>
                <w:szCs w:val="14"/>
              </w:rPr>
              <w:t>1,854 </w:t>
            </w:r>
          </w:p>
        </w:tc>
        <w:tc>
          <w:tcPr>
            <w:tcW w:w="0" w:type="auto"/>
            <w:shd w:val="clear" w:color="auto" w:fill="FFFFFF"/>
            <w:tcMar>
              <w:top w:w="40" w:type="dxa"/>
              <w:left w:w="0" w:type="dxa"/>
              <w:bottom w:w="40" w:type="dxa"/>
              <w:right w:w="20" w:type="dxa"/>
            </w:tcMar>
            <w:vAlign w:val="center"/>
          </w:tcPr>
          <w:p w14:paraId="5F2CA7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07" w14:textId="77777777" w:rsidR="00E836FB" w:rsidRDefault="00994958">
            <w:pPr>
              <w:jc w:val="right"/>
              <w:textAlignment w:val="center"/>
            </w:pPr>
            <w:r>
              <w:rPr>
                <w:rFonts w:ascii="Arial" w:eastAsia="宋体" w:hAnsi="Arial" w:cs="Arial"/>
                <w:color w:val="000000"/>
                <w:sz w:val="14"/>
                <w:szCs w:val="14"/>
              </w:rPr>
              <w:t>23 </w:t>
            </w:r>
          </w:p>
        </w:tc>
        <w:tc>
          <w:tcPr>
            <w:tcW w:w="0" w:type="auto"/>
            <w:shd w:val="clear" w:color="auto" w:fill="FFFFFF"/>
            <w:tcMar>
              <w:top w:w="40" w:type="dxa"/>
              <w:left w:w="0" w:type="dxa"/>
              <w:bottom w:w="40" w:type="dxa"/>
              <w:right w:w="20" w:type="dxa"/>
            </w:tcMar>
            <w:vAlign w:val="center"/>
          </w:tcPr>
          <w:p w14:paraId="5F2CA7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0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0A" w14:textId="77777777" w:rsidR="00E836FB" w:rsidRDefault="00994958">
            <w:pPr>
              <w:jc w:val="right"/>
              <w:textAlignment w:val="center"/>
            </w:pPr>
            <w:r>
              <w:rPr>
                <w:rFonts w:ascii="Arial" w:eastAsia="宋体" w:hAnsi="Arial" w:cs="Arial"/>
                <w:b/>
                <w:bCs/>
                <w:color w:val="000000"/>
                <w:sz w:val="14"/>
                <w:szCs w:val="14"/>
              </w:rPr>
              <w:t>2,272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CA7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0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0D" w14:textId="77777777" w:rsidR="00E836FB" w:rsidRDefault="00994958">
            <w:pPr>
              <w:jc w:val="right"/>
              <w:textAlignment w:val="center"/>
            </w:pPr>
            <w:r>
              <w:rPr>
                <w:rFonts w:ascii="Arial" w:eastAsia="宋体" w:hAnsi="Arial" w:cs="Arial"/>
                <w:color w:val="000000"/>
                <w:sz w:val="14"/>
                <w:szCs w:val="14"/>
              </w:rPr>
              <w:t>1,841 </w:t>
            </w:r>
          </w:p>
        </w:tc>
        <w:tc>
          <w:tcPr>
            <w:tcW w:w="0" w:type="auto"/>
            <w:shd w:val="clear" w:color="auto" w:fill="FFFFFF"/>
            <w:tcMar>
              <w:top w:w="40" w:type="dxa"/>
              <w:left w:w="0" w:type="dxa"/>
              <w:bottom w:w="40" w:type="dxa"/>
              <w:right w:w="20" w:type="dxa"/>
            </w:tcMar>
            <w:vAlign w:val="center"/>
          </w:tcPr>
          <w:p w14:paraId="5F2CA70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0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10" w14:textId="77777777" w:rsidR="00E836FB" w:rsidRDefault="00994958">
            <w:pPr>
              <w:jc w:val="right"/>
              <w:textAlignment w:val="center"/>
            </w:pPr>
            <w:r>
              <w:rPr>
                <w:rFonts w:ascii="Arial" w:eastAsia="宋体" w:hAnsi="Arial" w:cs="Arial"/>
                <w:color w:val="000000"/>
                <w:sz w:val="14"/>
                <w:szCs w:val="14"/>
              </w:rPr>
              <w:t>23 </w:t>
            </w:r>
          </w:p>
        </w:tc>
        <w:tc>
          <w:tcPr>
            <w:tcW w:w="0" w:type="auto"/>
            <w:shd w:val="clear" w:color="auto" w:fill="FFFFFF"/>
            <w:tcMar>
              <w:top w:w="40" w:type="dxa"/>
              <w:left w:w="0" w:type="dxa"/>
              <w:bottom w:w="40" w:type="dxa"/>
              <w:right w:w="20" w:type="dxa"/>
            </w:tcMar>
            <w:vAlign w:val="center"/>
          </w:tcPr>
          <w:p w14:paraId="5F2CA71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1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13" w14:textId="77777777" w:rsidR="00E836FB" w:rsidRDefault="00994958">
            <w:pPr>
              <w:jc w:val="right"/>
              <w:textAlignment w:val="center"/>
            </w:pPr>
            <w:r>
              <w:rPr>
                <w:rFonts w:ascii="Arial" w:eastAsia="宋体" w:hAnsi="Arial" w:cs="Arial"/>
                <w:b/>
                <w:bCs/>
                <w:color w:val="000000"/>
                <w:sz w:val="14"/>
                <w:szCs w:val="14"/>
              </w:rPr>
              <w:t>2,336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CA71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1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16" w14:textId="77777777" w:rsidR="00E836FB" w:rsidRDefault="00994958">
            <w:pPr>
              <w:jc w:val="right"/>
              <w:textAlignment w:val="center"/>
            </w:pPr>
            <w:r>
              <w:rPr>
                <w:rFonts w:ascii="Arial" w:eastAsia="宋体" w:hAnsi="Arial" w:cs="Arial"/>
                <w:color w:val="000000"/>
                <w:sz w:val="14"/>
                <w:szCs w:val="14"/>
              </w:rPr>
              <w:t>2,148 </w:t>
            </w:r>
          </w:p>
        </w:tc>
        <w:tc>
          <w:tcPr>
            <w:tcW w:w="0" w:type="auto"/>
            <w:shd w:val="clear" w:color="auto" w:fill="FFFFFF"/>
            <w:tcMar>
              <w:top w:w="40" w:type="dxa"/>
              <w:left w:w="0" w:type="dxa"/>
              <w:bottom w:w="40" w:type="dxa"/>
              <w:right w:w="20" w:type="dxa"/>
            </w:tcMar>
            <w:vAlign w:val="center"/>
          </w:tcPr>
          <w:p w14:paraId="5F2CA71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1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19" w14:textId="77777777" w:rsidR="00E836FB" w:rsidRDefault="00994958">
            <w:pPr>
              <w:jc w:val="right"/>
              <w:textAlignment w:val="center"/>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center"/>
          </w:tcPr>
          <w:p w14:paraId="5F2CA71A" w14:textId="77777777" w:rsidR="00E836FB" w:rsidRDefault="00E836FB">
            <w:pPr>
              <w:jc w:val="right"/>
              <w:rPr>
                <w:rFonts w:ascii="宋体"/>
              </w:rPr>
            </w:pPr>
          </w:p>
        </w:tc>
      </w:tr>
      <w:tr w:rsidR="00994958" w14:paraId="5F2CA737" w14:textId="77777777">
        <w:tc>
          <w:tcPr>
            <w:tcW w:w="0" w:type="auto"/>
            <w:gridSpan w:val="3"/>
            <w:shd w:val="clear" w:color="auto" w:fill="CCEEFF"/>
            <w:tcMar>
              <w:top w:w="40" w:type="dxa"/>
              <w:left w:w="20" w:type="dxa"/>
              <w:bottom w:w="40" w:type="dxa"/>
              <w:right w:w="20" w:type="dxa"/>
            </w:tcMar>
            <w:vAlign w:val="center"/>
          </w:tcPr>
          <w:p w14:paraId="5F2CA71C" w14:textId="77777777" w:rsidR="00E836FB" w:rsidRDefault="00994958">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5F2CA71D" w14:textId="77777777" w:rsidR="00E836FB" w:rsidRDefault="00994958">
            <w:pPr>
              <w:jc w:val="right"/>
              <w:textAlignment w:val="center"/>
            </w:pPr>
            <w:r>
              <w:rPr>
                <w:rFonts w:ascii="Arial" w:eastAsia="宋体" w:hAnsi="Arial" w:cs="Arial"/>
                <w:b/>
                <w:bCs/>
                <w:color w:val="000000"/>
                <w:sz w:val="14"/>
                <w:szCs w:val="14"/>
              </w:rPr>
              <w:t>1,315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CA7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1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20" w14:textId="77777777" w:rsidR="00E836FB" w:rsidRDefault="00994958">
            <w:pPr>
              <w:jc w:val="right"/>
              <w:textAlignment w:val="center"/>
            </w:pPr>
            <w:r>
              <w:rPr>
                <w:rFonts w:ascii="Arial" w:eastAsia="宋体" w:hAnsi="Arial" w:cs="Arial"/>
                <w:color w:val="000000"/>
                <w:sz w:val="14"/>
                <w:szCs w:val="14"/>
              </w:rPr>
              <w:t>1,059 </w:t>
            </w:r>
          </w:p>
        </w:tc>
        <w:tc>
          <w:tcPr>
            <w:tcW w:w="0" w:type="auto"/>
            <w:shd w:val="clear" w:color="auto" w:fill="CCEEFF"/>
            <w:tcMar>
              <w:top w:w="40" w:type="dxa"/>
              <w:left w:w="0" w:type="dxa"/>
              <w:bottom w:w="40" w:type="dxa"/>
              <w:right w:w="20" w:type="dxa"/>
            </w:tcMar>
            <w:vAlign w:val="center"/>
          </w:tcPr>
          <w:p w14:paraId="5F2CA72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2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23" w14:textId="77777777" w:rsidR="00E836FB" w:rsidRDefault="00994958">
            <w:pPr>
              <w:jc w:val="right"/>
              <w:textAlignment w:val="center"/>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center"/>
          </w:tcPr>
          <w:p w14:paraId="5F2CA7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2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26" w14:textId="77777777" w:rsidR="00E836FB" w:rsidRDefault="00994958">
            <w:pPr>
              <w:jc w:val="right"/>
              <w:textAlignment w:val="center"/>
            </w:pPr>
            <w:r>
              <w:rPr>
                <w:rFonts w:ascii="Arial" w:eastAsia="宋体" w:hAnsi="Arial" w:cs="Arial"/>
                <w:b/>
                <w:bCs/>
                <w:color w:val="000000"/>
                <w:sz w:val="14"/>
                <w:szCs w:val="14"/>
              </w:rPr>
              <w:t>1,303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CA72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2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29" w14:textId="77777777" w:rsidR="00E836FB" w:rsidRDefault="00994958">
            <w:pPr>
              <w:jc w:val="right"/>
              <w:textAlignment w:val="center"/>
            </w:pPr>
            <w:r>
              <w:rPr>
                <w:rFonts w:ascii="Arial" w:eastAsia="宋体" w:hAnsi="Arial" w:cs="Arial"/>
                <w:color w:val="000000"/>
                <w:sz w:val="14"/>
                <w:szCs w:val="14"/>
              </w:rPr>
              <w:t>1,052 </w:t>
            </w:r>
          </w:p>
        </w:tc>
        <w:tc>
          <w:tcPr>
            <w:tcW w:w="0" w:type="auto"/>
            <w:shd w:val="clear" w:color="auto" w:fill="CCEEFF"/>
            <w:tcMar>
              <w:top w:w="40" w:type="dxa"/>
              <w:left w:w="0" w:type="dxa"/>
              <w:bottom w:w="40" w:type="dxa"/>
              <w:right w:w="20" w:type="dxa"/>
            </w:tcMar>
            <w:vAlign w:val="center"/>
          </w:tcPr>
          <w:p w14:paraId="5F2CA7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2C" w14:textId="77777777" w:rsidR="00E836FB" w:rsidRDefault="00994958">
            <w:pPr>
              <w:jc w:val="right"/>
              <w:textAlignment w:val="center"/>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center"/>
          </w:tcPr>
          <w:p w14:paraId="5F2CA72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2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2F" w14:textId="77777777" w:rsidR="00E836FB" w:rsidRDefault="00994958">
            <w:pPr>
              <w:jc w:val="right"/>
              <w:textAlignment w:val="center"/>
            </w:pPr>
            <w:r>
              <w:rPr>
                <w:rFonts w:ascii="Arial" w:eastAsia="宋体" w:hAnsi="Arial" w:cs="Arial"/>
                <w:b/>
                <w:bCs/>
                <w:color w:val="000000"/>
                <w:sz w:val="14"/>
                <w:szCs w:val="14"/>
              </w:rPr>
              <w:t>1,232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CA7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3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32" w14:textId="77777777" w:rsidR="00E836FB" w:rsidRDefault="00994958">
            <w:pPr>
              <w:jc w:val="right"/>
              <w:textAlignment w:val="center"/>
            </w:pPr>
            <w:r>
              <w:rPr>
                <w:rFonts w:ascii="Arial" w:eastAsia="宋体" w:hAnsi="Arial" w:cs="Arial"/>
                <w:color w:val="000000"/>
                <w:sz w:val="14"/>
                <w:szCs w:val="14"/>
              </w:rPr>
              <w:t>1,291 </w:t>
            </w:r>
          </w:p>
        </w:tc>
        <w:tc>
          <w:tcPr>
            <w:tcW w:w="0" w:type="auto"/>
            <w:shd w:val="clear" w:color="auto" w:fill="CCEEFF"/>
            <w:tcMar>
              <w:top w:w="40" w:type="dxa"/>
              <w:left w:w="0" w:type="dxa"/>
              <w:bottom w:w="40" w:type="dxa"/>
              <w:right w:w="20" w:type="dxa"/>
            </w:tcMar>
            <w:vAlign w:val="center"/>
          </w:tcPr>
          <w:p w14:paraId="5F2CA7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3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A735" w14:textId="77777777" w:rsidR="00E836FB" w:rsidRDefault="00994958">
            <w:pPr>
              <w:jc w:val="right"/>
              <w:textAlignment w:val="center"/>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center"/>
          </w:tcPr>
          <w:p w14:paraId="5F2CA736" w14:textId="77777777" w:rsidR="00E836FB" w:rsidRDefault="00E836FB">
            <w:pPr>
              <w:jc w:val="right"/>
              <w:rPr>
                <w:rFonts w:ascii="宋体"/>
              </w:rPr>
            </w:pPr>
          </w:p>
        </w:tc>
      </w:tr>
      <w:tr w:rsidR="00E836FB" w14:paraId="5F2CA74A" w14:textId="77777777">
        <w:trPr>
          <w:hidden/>
        </w:trPr>
        <w:tc>
          <w:tcPr>
            <w:tcW w:w="0" w:type="auto"/>
            <w:gridSpan w:val="3"/>
            <w:shd w:val="clear" w:color="auto" w:fill="auto"/>
            <w:vAlign w:val="bottom"/>
          </w:tcPr>
          <w:p w14:paraId="5F2CA738" w14:textId="77777777" w:rsidR="00E836FB" w:rsidRDefault="00E836FB">
            <w:pPr>
              <w:rPr>
                <w:rFonts w:ascii="宋体"/>
                <w:vanish/>
              </w:rPr>
            </w:pPr>
          </w:p>
        </w:tc>
        <w:tc>
          <w:tcPr>
            <w:tcW w:w="0" w:type="auto"/>
            <w:gridSpan w:val="3"/>
            <w:shd w:val="clear" w:color="auto" w:fill="auto"/>
            <w:vAlign w:val="bottom"/>
          </w:tcPr>
          <w:p w14:paraId="5F2CA739" w14:textId="77777777" w:rsidR="00E836FB" w:rsidRDefault="00E836FB">
            <w:pPr>
              <w:rPr>
                <w:rFonts w:ascii="宋体"/>
                <w:vanish/>
              </w:rPr>
            </w:pPr>
          </w:p>
        </w:tc>
        <w:tc>
          <w:tcPr>
            <w:tcW w:w="0" w:type="auto"/>
            <w:gridSpan w:val="3"/>
            <w:shd w:val="clear" w:color="auto" w:fill="auto"/>
            <w:vAlign w:val="bottom"/>
          </w:tcPr>
          <w:p w14:paraId="5F2CA73A" w14:textId="77777777" w:rsidR="00E836FB" w:rsidRDefault="00E836FB">
            <w:pPr>
              <w:rPr>
                <w:rFonts w:ascii="宋体"/>
                <w:vanish/>
              </w:rPr>
            </w:pPr>
          </w:p>
        </w:tc>
        <w:tc>
          <w:tcPr>
            <w:tcW w:w="0" w:type="auto"/>
            <w:gridSpan w:val="3"/>
            <w:shd w:val="clear" w:color="auto" w:fill="auto"/>
            <w:vAlign w:val="bottom"/>
          </w:tcPr>
          <w:p w14:paraId="5F2CA73B" w14:textId="77777777" w:rsidR="00E836FB" w:rsidRDefault="00E836FB">
            <w:pPr>
              <w:rPr>
                <w:rFonts w:ascii="宋体"/>
                <w:vanish/>
              </w:rPr>
            </w:pPr>
          </w:p>
        </w:tc>
        <w:tc>
          <w:tcPr>
            <w:tcW w:w="0" w:type="auto"/>
            <w:gridSpan w:val="3"/>
            <w:shd w:val="clear" w:color="auto" w:fill="auto"/>
            <w:vAlign w:val="bottom"/>
          </w:tcPr>
          <w:p w14:paraId="5F2CA73C" w14:textId="77777777" w:rsidR="00E836FB" w:rsidRDefault="00E836FB">
            <w:pPr>
              <w:rPr>
                <w:rFonts w:ascii="宋体"/>
                <w:vanish/>
              </w:rPr>
            </w:pPr>
          </w:p>
        </w:tc>
        <w:tc>
          <w:tcPr>
            <w:tcW w:w="0" w:type="auto"/>
            <w:gridSpan w:val="3"/>
            <w:shd w:val="clear" w:color="auto" w:fill="auto"/>
            <w:vAlign w:val="bottom"/>
          </w:tcPr>
          <w:p w14:paraId="5F2CA73D" w14:textId="77777777" w:rsidR="00E836FB" w:rsidRDefault="00E836FB">
            <w:pPr>
              <w:rPr>
                <w:rFonts w:ascii="宋体"/>
                <w:vanish/>
              </w:rPr>
            </w:pPr>
          </w:p>
        </w:tc>
        <w:tc>
          <w:tcPr>
            <w:tcW w:w="0" w:type="auto"/>
            <w:gridSpan w:val="3"/>
            <w:shd w:val="clear" w:color="auto" w:fill="auto"/>
            <w:vAlign w:val="bottom"/>
          </w:tcPr>
          <w:p w14:paraId="5F2CA73E" w14:textId="77777777" w:rsidR="00E836FB" w:rsidRDefault="00E836FB">
            <w:pPr>
              <w:rPr>
                <w:rFonts w:ascii="宋体"/>
                <w:vanish/>
              </w:rPr>
            </w:pPr>
          </w:p>
        </w:tc>
        <w:tc>
          <w:tcPr>
            <w:tcW w:w="0" w:type="auto"/>
            <w:gridSpan w:val="3"/>
            <w:shd w:val="clear" w:color="auto" w:fill="auto"/>
            <w:vAlign w:val="bottom"/>
          </w:tcPr>
          <w:p w14:paraId="5F2CA73F" w14:textId="77777777" w:rsidR="00E836FB" w:rsidRDefault="00E836FB">
            <w:pPr>
              <w:rPr>
                <w:rFonts w:ascii="宋体"/>
                <w:vanish/>
              </w:rPr>
            </w:pPr>
          </w:p>
        </w:tc>
        <w:tc>
          <w:tcPr>
            <w:tcW w:w="0" w:type="auto"/>
            <w:gridSpan w:val="3"/>
            <w:shd w:val="clear" w:color="auto" w:fill="auto"/>
            <w:vAlign w:val="bottom"/>
          </w:tcPr>
          <w:p w14:paraId="5F2CA740" w14:textId="77777777" w:rsidR="00E836FB" w:rsidRDefault="00E836FB">
            <w:pPr>
              <w:rPr>
                <w:rFonts w:ascii="宋体"/>
                <w:vanish/>
              </w:rPr>
            </w:pPr>
          </w:p>
        </w:tc>
        <w:tc>
          <w:tcPr>
            <w:tcW w:w="0" w:type="auto"/>
            <w:gridSpan w:val="3"/>
            <w:shd w:val="clear" w:color="auto" w:fill="auto"/>
            <w:vAlign w:val="bottom"/>
          </w:tcPr>
          <w:p w14:paraId="5F2CA741" w14:textId="77777777" w:rsidR="00E836FB" w:rsidRDefault="00E836FB">
            <w:pPr>
              <w:rPr>
                <w:rFonts w:ascii="宋体"/>
                <w:vanish/>
              </w:rPr>
            </w:pPr>
          </w:p>
        </w:tc>
        <w:tc>
          <w:tcPr>
            <w:tcW w:w="0" w:type="auto"/>
            <w:gridSpan w:val="3"/>
            <w:shd w:val="clear" w:color="auto" w:fill="auto"/>
            <w:vAlign w:val="bottom"/>
          </w:tcPr>
          <w:p w14:paraId="5F2CA742" w14:textId="77777777" w:rsidR="00E836FB" w:rsidRDefault="00E836FB">
            <w:pPr>
              <w:rPr>
                <w:rFonts w:ascii="宋体"/>
                <w:vanish/>
              </w:rPr>
            </w:pPr>
          </w:p>
        </w:tc>
        <w:tc>
          <w:tcPr>
            <w:tcW w:w="0" w:type="auto"/>
            <w:gridSpan w:val="3"/>
            <w:shd w:val="clear" w:color="auto" w:fill="auto"/>
            <w:vAlign w:val="bottom"/>
          </w:tcPr>
          <w:p w14:paraId="5F2CA743" w14:textId="77777777" w:rsidR="00E836FB" w:rsidRDefault="00E836FB">
            <w:pPr>
              <w:rPr>
                <w:rFonts w:ascii="宋体"/>
                <w:vanish/>
              </w:rPr>
            </w:pPr>
          </w:p>
        </w:tc>
        <w:tc>
          <w:tcPr>
            <w:tcW w:w="0" w:type="auto"/>
            <w:gridSpan w:val="3"/>
            <w:shd w:val="clear" w:color="auto" w:fill="auto"/>
            <w:vAlign w:val="bottom"/>
          </w:tcPr>
          <w:p w14:paraId="5F2CA744" w14:textId="77777777" w:rsidR="00E836FB" w:rsidRDefault="00E836FB">
            <w:pPr>
              <w:rPr>
                <w:rFonts w:ascii="宋体"/>
                <w:vanish/>
              </w:rPr>
            </w:pPr>
          </w:p>
        </w:tc>
        <w:tc>
          <w:tcPr>
            <w:tcW w:w="0" w:type="auto"/>
            <w:gridSpan w:val="3"/>
            <w:shd w:val="clear" w:color="auto" w:fill="auto"/>
            <w:vAlign w:val="bottom"/>
          </w:tcPr>
          <w:p w14:paraId="5F2CA745" w14:textId="77777777" w:rsidR="00E836FB" w:rsidRDefault="00E836FB">
            <w:pPr>
              <w:rPr>
                <w:rFonts w:ascii="宋体"/>
                <w:vanish/>
              </w:rPr>
            </w:pPr>
          </w:p>
        </w:tc>
        <w:tc>
          <w:tcPr>
            <w:tcW w:w="0" w:type="auto"/>
            <w:gridSpan w:val="3"/>
            <w:shd w:val="clear" w:color="auto" w:fill="auto"/>
            <w:vAlign w:val="bottom"/>
          </w:tcPr>
          <w:p w14:paraId="5F2CA746" w14:textId="77777777" w:rsidR="00E836FB" w:rsidRDefault="00E836FB">
            <w:pPr>
              <w:rPr>
                <w:rFonts w:ascii="宋体"/>
                <w:vanish/>
              </w:rPr>
            </w:pPr>
          </w:p>
        </w:tc>
        <w:tc>
          <w:tcPr>
            <w:tcW w:w="0" w:type="auto"/>
            <w:gridSpan w:val="3"/>
            <w:shd w:val="clear" w:color="auto" w:fill="auto"/>
            <w:vAlign w:val="bottom"/>
          </w:tcPr>
          <w:p w14:paraId="5F2CA747" w14:textId="77777777" w:rsidR="00E836FB" w:rsidRDefault="00E836FB">
            <w:pPr>
              <w:rPr>
                <w:rFonts w:ascii="宋体"/>
                <w:vanish/>
              </w:rPr>
            </w:pPr>
          </w:p>
        </w:tc>
        <w:tc>
          <w:tcPr>
            <w:tcW w:w="0" w:type="auto"/>
            <w:gridSpan w:val="3"/>
            <w:shd w:val="clear" w:color="auto" w:fill="auto"/>
            <w:vAlign w:val="bottom"/>
          </w:tcPr>
          <w:p w14:paraId="5F2CA748" w14:textId="77777777" w:rsidR="00E836FB" w:rsidRDefault="00E836FB">
            <w:pPr>
              <w:rPr>
                <w:rFonts w:ascii="宋体"/>
                <w:vanish/>
              </w:rPr>
            </w:pPr>
          </w:p>
        </w:tc>
        <w:tc>
          <w:tcPr>
            <w:tcW w:w="0" w:type="auto"/>
            <w:gridSpan w:val="3"/>
            <w:shd w:val="clear" w:color="auto" w:fill="auto"/>
            <w:vAlign w:val="bottom"/>
          </w:tcPr>
          <w:p w14:paraId="5F2CA749" w14:textId="77777777" w:rsidR="00E836FB" w:rsidRDefault="00E836FB">
            <w:pPr>
              <w:rPr>
                <w:rFonts w:ascii="宋体"/>
                <w:vanish/>
              </w:rPr>
            </w:pPr>
          </w:p>
        </w:tc>
      </w:tr>
    </w:tbl>
    <w:p w14:paraId="5F2CA74B"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CA752" w14:textId="77777777">
        <w:tc>
          <w:tcPr>
            <w:tcW w:w="50" w:type="pct"/>
            <w:shd w:val="clear" w:color="auto" w:fill="auto"/>
            <w:vAlign w:val="bottom"/>
          </w:tcPr>
          <w:p w14:paraId="5F2CA74C" w14:textId="77777777" w:rsidR="00E836FB" w:rsidRDefault="00E836FB">
            <w:pPr>
              <w:rPr>
                <w:rFonts w:ascii="宋体"/>
              </w:rPr>
            </w:pPr>
          </w:p>
        </w:tc>
        <w:tc>
          <w:tcPr>
            <w:tcW w:w="1348" w:type="pct"/>
            <w:shd w:val="clear" w:color="auto" w:fill="auto"/>
            <w:vAlign w:val="bottom"/>
          </w:tcPr>
          <w:p w14:paraId="5F2CA74D" w14:textId="77777777" w:rsidR="00E836FB" w:rsidRDefault="00E836FB">
            <w:pPr>
              <w:rPr>
                <w:rFonts w:ascii="宋体"/>
              </w:rPr>
            </w:pPr>
          </w:p>
        </w:tc>
        <w:tc>
          <w:tcPr>
            <w:tcW w:w="5" w:type="pct"/>
            <w:shd w:val="clear" w:color="auto" w:fill="auto"/>
            <w:vAlign w:val="bottom"/>
          </w:tcPr>
          <w:p w14:paraId="5F2CA74E" w14:textId="77777777" w:rsidR="00E836FB" w:rsidRDefault="00E836FB">
            <w:pPr>
              <w:rPr>
                <w:rFonts w:ascii="宋体"/>
              </w:rPr>
            </w:pPr>
          </w:p>
        </w:tc>
        <w:tc>
          <w:tcPr>
            <w:tcW w:w="50" w:type="pct"/>
            <w:shd w:val="clear" w:color="auto" w:fill="auto"/>
            <w:vAlign w:val="bottom"/>
          </w:tcPr>
          <w:p w14:paraId="5F2CA74F" w14:textId="77777777" w:rsidR="00E836FB" w:rsidRDefault="00E836FB">
            <w:pPr>
              <w:rPr>
                <w:rFonts w:ascii="宋体"/>
              </w:rPr>
            </w:pPr>
          </w:p>
        </w:tc>
        <w:tc>
          <w:tcPr>
            <w:tcW w:w="3541" w:type="pct"/>
            <w:shd w:val="clear" w:color="auto" w:fill="auto"/>
            <w:vAlign w:val="bottom"/>
          </w:tcPr>
          <w:p w14:paraId="5F2CA750" w14:textId="77777777" w:rsidR="00E836FB" w:rsidRDefault="00E836FB">
            <w:pPr>
              <w:rPr>
                <w:rFonts w:ascii="宋体"/>
              </w:rPr>
            </w:pPr>
          </w:p>
        </w:tc>
        <w:tc>
          <w:tcPr>
            <w:tcW w:w="5" w:type="pct"/>
            <w:shd w:val="clear" w:color="auto" w:fill="auto"/>
            <w:vAlign w:val="bottom"/>
          </w:tcPr>
          <w:p w14:paraId="5F2CA751" w14:textId="77777777" w:rsidR="00E836FB" w:rsidRDefault="00E836FB">
            <w:pPr>
              <w:rPr>
                <w:rFonts w:ascii="宋体"/>
              </w:rPr>
            </w:pPr>
          </w:p>
        </w:tc>
      </w:tr>
      <w:tr w:rsidR="00E836FB" w14:paraId="5F2CA75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7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754" w14:textId="77777777" w:rsidR="00E836FB" w:rsidRDefault="00E836FB">
            <w:pPr>
              <w:rPr>
                <w:rFonts w:ascii="宋体"/>
              </w:rPr>
            </w:pPr>
          </w:p>
        </w:tc>
      </w:tr>
    </w:tbl>
    <w:p w14:paraId="5F2CA756" w14:textId="77777777" w:rsidR="00E836FB" w:rsidRDefault="00994958">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The index names listed in the table are service marks of their respective owners.</w:t>
      </w:r>
    </w:p>
    <w:tbl>
      <w:tblPr>
        <w:tblW w:w="5000" w:type="pct"/>
        <w:tblCellMar>
          <w:top w:w="15" w:type="dxa"/>
          <w:left w:w="15" w:type="dxa"/>
          <w:bottom w:w="15" w:type="dxa"/>
          <w:right w:w="15" w:type="dxa"/>
        </w:tblCellMar>
        <w:tblLook w:val="04A0" w:firstRow="1" w:lastRow="0" w:firstColumn="1" w:lastColumn="0" w:noHBand="0" w:noVBand="1"/>
      </w:tblPr>
      <w:tblGrid>
        <w:gridCol w:w="49"/>
        <w:gridCol w:w="4177"/>
        <w:gridCol w:w="38"/>
        <w:gridCol w:w="49"/>
        <w:gridCol w:w="1178"/>
        <w:gridCol w:w="38"/>
        <w:gridCol w:w="37"/>
        <w:gridCol w:w="37"/>
        <w:gridCol w:w="37"/>
        <w:gridCol w:w="39"/>
        <w:gridCol w:w="1162"/>
        <w:gridCol w:w="38"/>
        <w:gridCol w:w="37"/>
        <w:gridCol w:w="36"/>
        <w:gridCol w:w="36"/>
        <w:gridCol w:w="46"/>
        <w:gridCol w:w="1157"/>
        <w:gridCol w:w="145"/>
      </w:tblGrid>
      <w:tr w:rsidR="00E836FB" w14:paraId="5F2CA769" w14:textId="77777777">
        <w:tc>
          <w:tcPr>
            <w:tcW w:w="50" w:type="pct"/>
            <w:shd w:val="clear" w:color="auto" w:fill="auto"/>
            <w:vAlign w:val="bottom"/>
          </w:tcPr>
          <w:p w14:paraId="5F2CA757" w14:textId="77777777" w:rsidR="00E836FB" w:rsidRDefault="00E836FB">
            <w:pPr>
              <w:rPr>
                <w:rFonts w:ascii="宋体"/>
              </w:rPr>
            </w:pPr>
          </w:p>
        </w:tc>
        <w:tc>
          <w:tcPr>
            <w:tcW w:w="2525" w:type="pct"/>
            <w:shd w:val="clear" w:color="auto" w:fill="auto"/>
            <w:vAlign w:val="bottom"/>
          </w:tcPr>
          <w:p w14:paraId="5F2CA758" w14:textId="77777777" w:rsidR="00E836FB" w:rsidRDefault="00E836FB">
            <w:pPr>
              <w:rPr>
                <w:rFonts w:ascii="宋体"/>
              </w:rPr>
            </w:pPr>
          </w:p>
        </w:tc>
        <w:tc>
          <w:tcPr>
            <w:tcW w:w="5" w:type="pct"/>
            <w:shd w:val="clear" w:color="auto" w:fill="auto"/>
            <w:vAlign w:val="bottom"/>
          </w:tcPr>
          <w:p w14:paraId="5F2CA759" w14:textId="77777777" w:rsidR="00E836FB" w:rsidRDefault="00E836FB">
            <w:pPr>
              <w:rPr>
                <w:rFonts w:ascii="宋体"/>
              </w:rPr>
            </w:pPr>
          </w:p>
        </w:tc>
        <w:tc>
          <w:tcPr>
            <w:tcW w:w="50" w:type="pct"/>
            <w:shd w:val="clear" w:color="auto" w:fill="auto"/>
            <w:vAlign w:val="bottom"/>
          </w:tcPr>
          <w:p w14:paraId="5F2CA75A" w14:textId="77777777" w:rsidR="00E836FB" w:rsidRDefault="00E836FB">
            <w:pPr>
              <w:rPr>
                <w:rFonts w:ascii="宋体"/>
              </w:rPr>
            </w:pPr>
          </w:p>
        </w:tc>
        <w:tc>
          <w:tcPr>
            <w:tcW w:w="727" w:type="pct"/>
            <w:shd w:val="clear" w:color="auto" w:fill="auto"/>
            <w:vAlign w:val="bottom"/>
          </w:tcPr>
          <w:p w14:paraId="5F2CA75B" w14:textId="77777777" w:rsidR="00E836FB" w:rsidRDefault="00E836FB">
            <w:pPr>
              <w:rPr>
                <w:rFonts w:ascii="宋体"/>
              </w:rPr>
            </w:pPr>
          </w:p>
        </w:tc>
        <w:tc>
          <w:tcPr>
            <w:tcW w:w="5" w:type="pct"/>
            <w:shd w:val="clear" w:color="auto" w:fill="auto"/>
            <w:vAlign w:val="bottom"/>
          </w:tcPr>
          <w:p w14:paraId="5F2CA75C" w14:textId="77777777" w:rsidR="00E836FB" w:rsidRDefault="00E836FB">
            <w:pPr>
              <w:rPr>
                <w:rFonts w:ascii="宋体"/>
              </w:rPr>
            </w:pPr>
          </w:p>
        </w:tc>
        <w:tc>
          <w:tcPr>
            <w:tcW w:w="5" w:type="pct"/>
            <w:shd w:val="clear" w:color="auto" w:fill="auto"/>
            <w:vAlign w:val="bottom"/>
          </w:tcPr>
          <w:p w14:paraId="5F2CA75D" w14:textId="77777777" w:rsidR="00E836FB" w:rsidRDefault="00E836FB">
            <w:pPr>
              <w:rPr>
                <w:rFonts w:ascii="宋体"/>
              </w:rPr>
            </w:pPr>
          </w:p>
        </w:tc>
        <w:tc>
          <w:tcPr>
            <w:tcW w:w="26" w:type="pct"/>
            <w:shd w:val="clear" w:color="auto" w:fill="auto"/>
            <w:vAlign w:val="bottom"/>
          </w:tcPr>
          <w:p w14:paraId="5F2CA75E" w14:textId="77777777" w:rsidR="00E836FB" w:rsidRDefault="00E836FB">
            <w:pPr>
              <w:rPr>
                <w:rFonts w:ascii="宋体"/>
              </w:rPr>
            </w:pPr>
          </w:p>
        </w:tc>
        <w:tc>
          <w:tcPr>
            <w:tcW w:w="5" w:type="pct"/>
            <w:shd w:val="clear" w:color="auto" w:fill="auto"/>
            <w:vAlign w:val="bottom"/>
          </w:tcPr>
          <w:p w14:paraId="5F2CA75F" w14:textId="77777777" w:rsidR="00E836FB" w:rsidRDefault="00E836FB">
            <w:pPr>
              <w:rPr>
                <w:rFonts w:ascii="宋体"/>
              </w:rPr>
            </w:pPr>
          </w:p>
        </w:tc>
        <w:tc>
          <w:tcPr>
            <w:tcW w:w="50" w:type="pct"/>
            <w:shd w:val="clear" w:color="auto" w:fill="auto"/>
            <w:vAlign w:val="bottom"/>
          </w:tcPr>
          <w:p w14:paraId="5F2CA760" w14:textId="77777777" w:rsidR="00E836FB" w:rsidRDefault="00E836FB">
            <w:pPr>
              <w:rPr>
                <w:rFonts w:ascii="宋体"/>
              </w:rPr>
            </w:pPr>
          </w:p>
        </w:tc>
        <w:tc>
          <w:tcPr>
            <w:tcW w:w="727" w:type="pct"/>
            <w:shd w:val="clear" w:color="auto" w:fill="auto"/>
            <w:vAlign w:val="bottom"/>
          </w:tcPr>
          <w:p w14:paraId="5F2CA761" w14:textId="77777777" w:rsidR="00E836FB" w:rsidRDefault="00E836FB">
            <w:pPr>
              <w:rPr>
                <w:rFonts w:ascii="宋体"/>
              </w:rPr>
            </w:pPr>
          </w:p>
        </w:tc>
        <w:tc>
          <w:tcPr>
            <w:tcW w:w="5" w:type="pct"/>
            <w:shd w:val="clear" w:color="auto" w:fill="auto"/>
            <w:vAlign w:val="bottom"/>
          </w:tcPr>
          <w:p w14:paraId="5F2CA762" w14:textId="77777777" w:rsidR="00E836FB" w:rsidRDefault="00E836FB">
            <w:pPr>
              <w:rPr>
                <w:rFonts w:ascii="宋体"/>
              </w:rPr>
            </w:pPr>
          </w:p>
        </w:tc>
        <w:tc>
          <w:tcPr>
            <w:tcW w:w="5" w:type="pct"/>
            <w:shd w:val="clear" w:color="auto" w:fill="auto"/>
            <w:vAlign w:val="bottom"/>
          </w:tcPr>
          <w:p w14:paraId="5F2CA763" w14:textId="77777777" w:rsidR="00E836FB" w:rsidRDefault="00E836FB">
            <w:pPr>
              <w:rPr>
                <w:rFonts w:ascii="宋体"/>
              </w:rPr>
            </w:pPr>
          </w:p>
        </w:tc>
        <w:tc>
          <w:tcPr>
            <w:tcW w:w="26" w:type="pct"/>
            <w:shd w:val="clear" w:color="auto" w:fill="auto"/>
            <w:vAlign w:val="bottom"/>
          </w:tcPr>
          <w:p w14:paraId="5F2CA764" w14:textId="77777777" w:rsidR="00E836FB" w:rsidRDefault="00E836FB">
            <w:pPr>
              <w:rPr>
                <w:rFonts w:ascii="宋体"/>
              </w:rPr>
            </w:pPr>
          </w:p>
        </w:tc>
        <w:tc>
          <w:tcPr>
            <w:tcW w:w="5" w:type="pct"/>
            <w:shd w:val="clear" w:color="auto" w:fill="auto"/>
            <w:vAlign w:val="bottom"/>
          </w:tcPr>
          <w:p w14:paraId="5F2CA765" w14:textId="77777777" w:rsidR="00E836FB" w:rsidRDefault="00E836FB">
            <w:pPr>
              <w:rPr>
                <w:rFonts w:ascii="宋体"/>
              </w:rPr>
            </w:pPr>
          </w:p>
        </w:tc>
        <w:tc>
          <w:tcPr>
            <w:tcW w:w="50" w:type="pct"/>
            <w:shd w:val="clear" w:color="auto" w:fill="auto"/>
            <w:vAlign w:val="bottom"/>
          </w:tcPr>
          <w:p w14:paraId="5F2CA766" w14:textId="77777777" w:rsidR="00E836FB" w:rsidRDefault="00E836FB">
            <w:pPr>
              <w:rPr>
                <w:rFonts w:ascii="宋体"/>
              </w:rPr>
            </w:pPr>
          </w:p>
        </w:tc>
        <w:tc>
          <w:tcPr>
            <w:tcW w:w="727" w:type="pct"/>
            <w:shd w:val="clear" w:color="auto" w:fill="auto"/>
            <w:vAlign w:val="bottom"/>
          </w:tcPr>
          <w:p w14:paraId="5F2CA767" w14:textId="77777777" w:rsidR="00E836FB" w:rsidRDefault="00E836FB">
            <w:pPr>
              <w:rPr>
                <w:rFonts w:ascii="宋体"/>
              </w:rPr>
            </w:pPr>
          </w:p>
        </w:tc>
        <w:tc>
          <w:tcPr>
            <w:tcW w:w="5" w:type="pct"/>
            <w:shd w:val="clear" w:color="auto" w:fill="auto"/>
            <w:vAlign w:val="bottom"/>
          </w:tcPr>
          <w:p w14:paraId="5F2CA768" w14:textId="77777777" w:rsidR="00E836FB" w:rsidRDefault="00E836FB">
            <w:pPr>
              <w:rPr>
                <w:rFonts w:ascii="宋体"/>
              </w:rPr>
            </w:pPr>
          </w:p>
        </w:tc>
      </w:tr>
      <w:tr w:rsidR="00E836FB" w14:paraId="5F2CA76B" w14:textId="77777777">
        <w:tc>
          <w:tcPr>
            <w:tcW w:w="0" w:type="auto"/>
            <w:gridSpan w:val="18"/>
            <w:shd w:val="clear" w:color="auto" w:fill="auto"/>
            <w:tcMar>
              <w:top w:w="40" w:type="dxa"/>
              <w:left w:w="20" w:type="dxa"/>
              <w:bottom w:w="40" w:type="dxa"/>
              <w:right w:w="20" w:type="dxa"/>
            </w:tcMar>
            <w:vAlign w:val="bottom"/>
          </w:tcPr>
          <w:p w14:paraId="5F2CA76A" w14:textId="77777777" w:rsidR="00E836FB" w:rsidRDefault="00994958">
            <w:pPr>
              <w:textAlignment w:val="bottom"/>
            </w:pPr>
            <w:r>
              <w:rPr>
                <w:rFonts w:ascii="Arial" w:eastAsia="宋体" w:hAnsi="Arial" w:cs="Arial"/>
                <w:b/>
                <w:bCs/>
                <w:color w:val="000000"/>
                <w:sz w:val="16"/>
                <w:szCs w:val="16"/>
              </w:rPr>
              <w:t>TABLE 4: YEAR-END DEBT INDICES</w:t>
            </w:r>
            <w:r>
              <w:rPr>
                <w:rFonts w:ascii="Arial" w:eastAsia="宋体" w:hAnsi="Arial" w:cs="Arial"/>
                <w:b/>
                <w:bCs/>
                <w:color w:val="000000"/>
                <w:sz w:val="10"/>
                <w:szCs w:val="10"/>
              </w:rPr>
              <w:t>(1)</w:t>
            </w:r>
          </w:p>
        </w:tc>
      </w:tr>
      <w:tr w:rsidR="00E836FB" w14:paraId="5F2CA76E" w14:textId="77777777">
        <w:tc>
          <w:tcPr>
            <w:tcW w:w="0" w:type="auto"/>
            <w:gridSpan w:val="3"/>
            <w:shd w:val="clear" w:color="auto" w:fill="auto"/>
            <w:tcMar>
              <w:top w:w="0" w:type="dxa"/>
              <w:left w:w="20" w:type="dxa"/>
              <w:bottom w:w="0" w:type="dxa"/>
              <w:right w:w="20" w:type="dxa"/>
            </w:tcMar>
            <w:vAlign w:val="bottom"/>
          </w:tcPr>
          <w:p w14:paraId="5F2CA76C"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A76D" w14:textId="77777777" w:rsidR="00E836FB" w:rsidRDefault="00994958">
            <w:pPr>
              <w:jc w:val="center"/>
              <w:textAlignment w:val="bottom"/>
            </w:pPr>
            <w:r>
              <w:rPr>
                <w:rFonts w:ascii="Arial" w:eastAsia="宋体" w:hAnsi="Arial" w:cs="Arial"/>
                <w:b/>
                <w:bCs/>
                <w:color w:val="000000"/>
                <w:sz w:val="14"/>
                <w:szCs w:val="14"/>
              </w:rPr>
              <w:t>As of December 31,</w:t>
            </w:r>
          </w:p>
        </w:tc>
      </w:tr>
      <w:tr w:rsidR="00E836FB" w14:paraId="5F2CA775" w14:textId="77777777">
        <w:tc>
          <w:tcPr>
            <w:tcW w:w="0" w:type="auto"/>
            <w:gridSpan w:val="3"/>
            <w:shd w:val="clear" w:color="auto" w:fill="auto"/>
            <w:tcMar>
              <w:top w:w="0" w:type="dxa"/>
              <w:left w:w="20" w:type="dxa"/>
              <w:bottom w:w="0" w:type="dxa"/>
              <w:right w:w="20" w:type="dxa"/>
            </w:tcMar>
            <w:vAlign w:val="bottom"/>
          </w:tcPr>
          <w:p w14:paraId="5F2CA76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770"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77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772"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77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774" w14:textId="77777777" w:rsidR="00E836FB" w:rsidRDefault="00994958">
            <w:pPr>
              <w:jc w:val="center"/>
              <w:textAlignment w:val="bottom"/>
            </w:pPr>
            <w:r>
              <w:rPr>
                <w:rFonts w:ascii="Arial" w:eastAsia="宋体" w:hAnsi="Arial" w:cs="Arial"/>
                <w:b/>
                <w:bCs/>
                <w:color w:val="000000"/>
                <w:sz w:val="14"/>
                <w:szCs w:val="14"/>
              </w:rPr>
              <w:t>% Change</w:t>
            </w:r>
          </w:p>
        </w:tc>
      </w:tr>
      <w:tr w:rsidR="00E836FB" w14:paraId="5F2CA77F" w14:textId="77777777">
        <w:tc>
          <w:tcPr>
            <w:tcW w:w="0" w:type="auto"/>
            <w:gridSpan w:val="3"/>
            <w:shd w:val="clear" w:color="auto" w:fill="CCEEFF"/>
            <w:tcMar>
              <w:top w:w="40" w:type="dxa"/>
              <w:left w:w="20" w:type="dxa"/>
              <w:bottom w:w="40" w:type="dxa"/>
              <w:right w:w="20" w:type="dxa"/>
            </w:tcMar>
            <w:vAlign w:val="center"/>
          </w:tcPr>
          <w:p w14:paraId="5F2CA776" w14:textId="77777777" w:rsidR="00E836FB" w:rsidRDefault="00994958">
            <w:pPr>
              <w:textAlignment w:val="center"/>
            </w:pPr>
            <w:r>
              <w:rPr>
                <w:rFonts w:ascii="Arial" w:eastAsia="宋体" w:hAnsi="Arial" w:cs="Arial"/>
                <w:color w:val="000000"/>
                <w:sz w:val="14"/>
                <w:szCs w:val="14"/>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777" w14:textId="77777777" w:rsidR="00E836FB" w:rsidRDefault="00994958">
            <w:pPr>
              <w:jc w:val="right"/>
              <w:textAlignment w:val="center"/>
            </w:pPr>
            <w:r>
              <w:rPr>
                <w:rFonts w:ascii="Arial" w:eastAsia="宋体" w:hAnsi="Arial" w:cs="Arial"/>
                <w:b/>
                <w:bCs/>
                <w:color w:val="000000"/>
                <w:sz w:val="14"/>
                <w:szCs w:val="14"/>
              </w:rPr>
              <w:t>2,355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7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7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77A" w14:textId="77777777" w:rsidR="00E836FB" w:rsidRDefault="00994958">
            <w:pPr>
              <w:jc w:val="right"/>
              <w:textAlignment w:val="center"/>
            </w:pPr>
            <w:r>
              <w:rPr>
                <w:rFonts w:ascii="Arial" w:eastAsia="宋体" w:hAnsi="Arial" w:cs="Arial"/>
                <w:color w:val="000000"/>
                <w:sz w:val="14"/>
                <w:szCs w:val="14"/>
              </w:rPr>
              <w:t>2,392 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77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7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A77D" w14:textId="77777777" w:rsidR="00E836FB" w:rsidRDefault="00994958">
            <w:pPr>
              <w:jc w:val="right"/>
              <w:textAlignment w:val="center"/>
            </w:pPr>
            <w:r>
              <w:rPr>
                <w:rFonts w:ascii="Arial" w:eastAsia="宋体" w:hAnsi="Arial" w:cs="Arial"/>
                <w:color w:val="000000"/>
                <w:sz w:val="14"/>
                <w:szCs w:val="14"/>
              </w:rPr>
              <w:t>(2)</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A77E" w14:textId="77777777" w:rsidR="00E836FB" w:rsidRDefault="00994958">
            <w:pPr>
              <w:jc w:val="right"/>
              <w:textAlignment w:val="center"/>
            </w:pPr>
            <w:r>
              <w:rPr>
                <w:rFonts w:ascii="Arial" w:eastAsia="宋体" w:hAnsi="Arial" w:cs="Arial"/>
                <w:color w:val="000000"/>
                <w:sz w:val="14"/>
                <w:szCs w:val="14"/>
              </w:rPr>
              <w:t>%</w:t>
            </w:r>
          </w:p>
        </w:tc>
      </w:tr>
      <w:tr w:rsidR="00E836FB" w14:paraId="5F2CA789" w14:textId="77777777">
        <w:tc>
          <w:tcPr>
            <w:tcW w:w="0" w:type="auto"/>
            <w:gridSpan w:val="3"/>
            <w:shd w:val="clear" w:color="auto" w:fill="FFFFFF"/>
            <w:tcMar>
              <w:top w:w="40" w:type="dxa"/>
              <w:left w:w="20" w:type="dxa"/>
              <w:bottom w:w="40" w:type="dxa"/>
              <w:right w:w="20" w:type="dxa"/>
            </w:tcMar>
            <w:vAlign w:val="center"/>
          </w:tcPr>
          <w:p w14:paraId="5F2CA780" w14:textId="77777777" w:rsidR="00E836FB" w:rsidRDefault="00994958">
            <w:pPr>
              <w:textAlignment w:val="center"/>
            </w:pPr>
            <w:r>
              <w:rPr>
                <w:rFonts w:ascii="Arial" w:eastAsia="宋体" w:hAnsi="Arial" w:cs="Arial"/>
                <w:color w:val="000000"/>
                <w:sz w:val="14"/>
                <w:szCs w:val="14"/>
              </w:rPr>
              <w:t>Barcla</w:t>
            </w:r>
            <w:r>
              <w:rPr>
                <w:rFonts w:ascii="Arial" w:eastAsia="宋体" w:hAnsi="Arial" w:cs="Arial"/>
                <w:color w:val="000000"/>
                <w:sz w:val="14"/>
                <w:szCs w:val="14"/>
              </w:rPr>
              <w:t>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5F2CA781" w14:textId="77777777" w:rsidR="00E836FB" w:rsidRDefault="00994958">
            <w:pPr>
              <w:jc w:val="right"/>
              <w:textAlignment w:val="center"/>
            </w:pPr>
            <w:r>
              <w:rPr>
                <w:rFonts w:ascii="Arial" w:eastAsia="宋体" w:hAnsi="Arial" w:cs="Arial"/>
                <w:b/>
                <w:bCs/>
                <w:color w:val="000000"/>
                <w:sz w:val="14"/>
                <w:szCs w:val="14"/>
              </w:rPr>
              <w:t>532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CA7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8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A784" w14:textId="77777777" w:rsidR="00E836FB" w:rsidRDefault="00994958">
            <w:pPr>
              <w:jc w:val="right"/>
              <w:textAlignment w:val="center"/>
            </w:pPr>
            <w:r>
              <w:rPr>
                <w:rFonts w:ascii="Arial" w:eastAsia="宋体" w:hAnsi="Arial" w:cs="Arial"/>
                <w:color w:val="000000"/>
                <w:sz w:val="14"/>
                <w:szCs w:val="14"/>
              </w:rPr>
              <w:t>559 </w:t>
            </w:r>
          </w:p>
        </w:tc>
        <w:tc>
          <w:tcPr>
            <w:tcW w:w="0" w:type="auto"/>
            <w:shd w:val="clear" w:color="auto" w:fill="FFFFFF"/>
            <w:tcMar>
              <w:top w:w="40" w:type="dxa"/>
              <w:left w:w="0" w:type="dxa"/>
              <w:bottom w:w="40" w:type="dxa"/>
              <w:right w:w="20" w:type="dxa"/>
            </w:tcMar>
            <w:vAlign w:val="center"/>
          </w:tcPr>
          <w:p w14:paraId="5F2CA7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86"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center"/>
          </w:tcPr>
          <w:p w14:paraId="5F2CA787" w14:textId="77777777" w:rsidR="00E836FB" w:rsidRDefault="00994958">
            <w:pPr>
              <w:jc w:val="right"/>
              <w:textAlignment w:val="center"/>
            </w:pPr>
            <w:r>
              <w:rPr>
                <w:rFonts w:ascii="Arial" w:eastAsia="宋体" w:hAnsi="Arial" w:cs="Arial"/>
                <w:color w:val="000000"/>
                <w:sz w:val="14"/>
                <w:szCs w:val="14"/>
              </w:rPr>
              <w:t>(5)</w:t>
            </w:r>
          </w:p>
        </w:tc>
        <w:tc>
          <w:tcPr>
            <w:tcW w:w="0" w:type="auto"/>
            <w:shd w:val="clear" w:color="auto" w:fill="auto"/>
            <w:tcMar>
              <w:top w:w="40" w:type="dxa"/>
              <w:left w:w="0" w:type="dxa"/>
              <w:bottom w:w="40" w:type="dxa"/>
              <w:right w:w="20" w:type="dxa"/>
            </w:tcMar>
            <w:vAlign w:val="center"/>
          </w:tcPr>
          <w:p w14:paraId="5F2CA788" w14:textId="77777777" w:rsidR="00E836FB" w:rsidRDefault="00E836FB">
            <w:pPr>
              <w:jc w:val="right"/>
              <w:rPr>
                <w:rFonts w:ascii="宋体"/>
              </w:rPr>
            </w:pPr>
          </w:p>
        </w:tc>
      </w:tr>
    </w:tbl>
    <w:p w14:paraId="5F2CA78A"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CA791" w14:textId="77777777">
        <w:tc>
          <w:tcPr>
            <w:tcW w:w="50" w:type="pct"/>
            <w:shd w:val="clear" w:color="auto" w:fill="auto"/>
            <w:vAlign w:val="bottom"/>
          </w:tcPr>
          <w:p w14:paraId="5F2CA78B" w14:textId="77777777" w:rsidR="00E836FB" w:rsidRDefault="00E836FB">
            <w:pPr>
              <w:rPr>
                <w:rFonts w:ascii="宋体"/>
              </w:rPr>
            </w:pPr>
          </w:p>
        </w:tc>
        <w:tc>
          <w:tcPr>
            <w:tcW w:w="1348" w:type="pct"/>
            <w:shd w:val="clear" w:color="auto" w:fill="auto"/>
            <w:vAlign w:val="bottom"/>
          </w:tcPr>
          <w:p w14:paraId="5F2CA78C" w14:textId="77777777" w:rsidR="00E836FB" w:rsidRDefault="00E836FB">
            <w:pPr>
              <w:rPr>
                <w:rFonts w:ascii="宋体"/>
              </w:rPr>
            </w:pPr>
          </w:p>
        </w:tc>
        <w:tc>
          <w:tcPr>
            <w:tcW w:w="5" w:type="pct"/>
            <w:shd w:val="clear" w:color="auto" w:fill="auto"/>
            <w:vAlign w:val="bottom"/>
          </w:tcPr>
          <w:p w14:paraId="5F2CA78D" w14:textId="77777777" w:rsidR="00E836FB" w:rsidRDefault="00E836FB">
            <w:pPr>
              <w:rPr>
                <w:rFonts w:ascii="宋体"/>
              </w:rPr>
            </w:pPr>
          </w:p>
        </w:tc>
        <w:tc>
          <w:tcPr>
            <w:tcW w:w="50" w:type="pct"/>
            <w:shd w:val="clear" w:color="auto" w:fill="auto"/>
            <w:vAlign w:val="bottom"/>
          </w:tcPr>
          <w:p w14:paraId="5F2CA78E" w14:textId="77777777" w:rsidR="00E836FB" w:rsidRDefault="00E836FB">
            <w:pPr>
              <w:rPr>
                <w:rFonts w:ascii="宋体"/>
              </w:rPr>
            </w:pPr>
          </w:p>
        </w:tc>
        <w:tc>
          <w:tcPr>
            <w:tcW w:w="3541" w:type="pct"/>
            <w:shd w:val="clear" w:color="auto" w:fill="auto"/>
            <w:vAlign w:val="bottom"/>
          </w:tcPr>
          <w:p w14:paraId="5F2CA78F" w14:textId="77777777" w:rsidR="00E836FB" w:rsidRDefault="00E836FB">
            <w:pPr>
              <w:rPr>
                <w:rFonts w:ascii="宋体"/>
              </w:rPr>
            </w:pPr>
          </w:p>
        </w:tc>
        <w:tc>
          <w:tcPr>
            <w:tcW w:w="5" w:type="pct"/>
            <w:shd w:val="clear" w:color="auto" w:fill="auto"/>
            <w:vAlign w:val="bottom"/>
          </w:tcPr>
          <w:p w14:paraId="5F2CA790" w14:textId="77777777" w:rsidR="00E836FB" w:rsidRDefault="00E836FB">
            <w:pPr>
              <w:rPr>
                <w:rFonts w:ascii="宋体"/>
              </w:rPr>
            </w:pPr>
          </w:p>
        </w:tc>
      </w:tr>
      <w:tr w:rsidR="00E836FB" w14:paraId="5F2CA79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7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793" w14:textId="77777777" w:rsidR="00E836FB" w:rsidRDefault="00E836FB">
            <w:pPr>
              <w:rPr>
                <w:rFonts w:ascii="宋体"/>
              </w:rPr>
            </w:pPr>
          </w:p>
        </w:tc>
      </w:tr>
    </w:tbl>
    <w:p w14:paraId="5F2CA795" w14:textId="77777777" w:rsidR="00E836FB" w:rsidRDefault="00994958">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The index names listed in the table are service marks of their respective owners.</w:t>
      </w:r>
    </w:p>
    <w:p w14:paraId="5F2CA796" w14:textId="77777777" w:rsidR="00E836FB" w:rsidRDefault="00994958">
      <w:pPr>
        <w:spacing w:before="60"/>
      </w:pPr>
      <w:r>
        <w:rPr>
          <w:rFonts w:ascii="Arial" w:eastAsia="宋体" w:hAnsi="Arial" w:cs="Arial"/>
          <w:i/>
          <w:iCs/>
          <w:color w:val="000000"/>
          <w:sz w:val="20"/>
          <w:szCs w:val="20"/>
        </w:rPr>
        <w:t>Client Activity and Asset Flows</w:t>
      </w:r>
    </w:p>
    <w:p w14:paraId="5F2CA797" w14:textId="77777777" w:rsidR="00E836FB" w:rsidRDefault="00994958">
      <w:pPr>
        <w:spacing w:before="60"/>
        <w:ind w:firstLine="450"/>
        <w:jc w:val="both"/>
      </w:pPr>
      <w:r>
        <w:rPr>
          <w:rFonts w:ascii="Arial" w:eastAsia="宋体" w:hAnsi="Arial" w:cs="Arial"/>
          <w:color w:val="000000"/>
          <w:sz w:val="20"/>
          <w:szCs w:val="20"/>
        </w:rPr>
        <w:t xml:space="preserve">Client activity and asset flows are impacted by the number of </w:t>
      </w:r>
      <w:r>
        <w:rPr>
          <w:rFonts w:ascii="Arial" w:eastAsia="宋体" w:hAnsi="Arial" w:cs="Arial"/>
          <w:color w:val="000000"/>
          <w:sz w:val="20"/>
          <w:szCs w:val="20"/>
        </w:rPr>
        <w:t>transactions we execute on behalf of our clients, including FX settlements, equity and derivative trades, and wire transfer activity, as well as actions by our clients to change the asset class in which their assets are invested. Our servicing fee revenues</w:t>
      </w:r>
      <w:r>
        <w:rPr>
          <w:rFonts w:ascii="Arial" w:eastAsia="宋体" w:hAnsi="Arial" w:cs="Arial"/>
          <w:color w:val="000000"/>
          <w:sz w:val="20"/>
          <w:szCs w:val="20"/>
        </w:rPr>
        <w:t xml:space="preserve"> are impacted by a number of factors, including transaction volumes, asset levels and asset classes in which funds are invested, as well as industry trends associated with these client-related activities.</w:t>
      </w:r>
    </w:p>
    <w:p w14:paraId="5F2CA798" w14:textId="77777777" w:rsidR="00E836FB" w:rsidRDefault="00994958">
      <w:pPr>
        <w:spacing w:before="60"/>
        <w:ind w:firstLine="450"/>
        <w:jc w:val="both"/>
      </w:pPr>
      <w:r>
        <w:rPr>
          <w:rFonts w:ascii="Arial" w:eastAsia="宋体" w:hAnsi="Arial" w:cs="Arial"/>
          <w:color w:val="000000"/>
          <w:sz w:val="20"/>
          <w:szCs w:val="20"/>
        </w:rPr>
        <w:t>Our clients may change the asset classes in which t</w:t>
      </w:r>
      <w:r>
        <w:rPr>
          <w:rFonts w:ascii="Arial" w:eastAsia="宋体" w:hAnsi="Arial" w:cs="Arial"/>
          <w:color w:val="000000"/>
          <w:sz w:val="20"/>
          <w:szCs w:val="20"/>
        </w:rPr>
        <w:t>heir assets are invested, based on their market outlook, risk acceptance tolerance or other considerations. Over the five years ended December 31, 2021, we estimate that client activity and asset flows, together, impacted our servicing fee revenues by appr</w:t>
      </w:r>
      <w:r>
        <w:rPr>
          <w:rFonts w:ascii="Arial" w:eastAsia="宋体" w:hAnsi="Arial" w:cs="Arial"/>
          <w:color w:val="000000"/>
          <w:sz w:val="20"/>
          <w:szCs w:val="20"/>
        </w:rPr>
        <w:t xml:space="preserve">oximately 0% on average with a range of (1)% to 2% annually and approximately 0% and 2% in 2021 and 2020, respectively. See Table 5: Industry Asset Flows for selected asset flow information. While the asset flows presented are indicative of general market </w:t>
      </w:r>
      <w:r>
        <w:rPr>
          <w:rFonts w:ascii="Arial" w:eastAsia="宋体" w:hAnsi="Arial" w:cs="Arial"/>
          <w:color w:val="000000"/>
          <w:sz w:val="20"/>
          <w:szCs w:val="20"/>
        </w:rPr>
        <w:t>trends, the asset types and classes relevant to individual client portfolios can and do differ, and our flows may differ from those market trends. In addition, our asset classifications may differ from those industry classifications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859"/>
        <w:gridCol w:w="37"/>
        <w:gridCol w:w="104"/>
        <w:gridCol w:w="1506"/>
        <w:gridCol w:w="36"/>
        <w:gridCol w:w="36"/>
        <w:gridCol w:w="36"/>
        <w:gridCol w:w="36"/>
        <w:gridCol w:w="104"/>
        <w:gridCol w:w="1507"/>
        <w:gridCol w:w="36"/>
      </w:tblGrid>
      <w:tr w:rsidR="00E836FB" w14:paraId="5F2CA7A5" w14:textId="77777777">
        <w:tc>
          <w:tcPr>
            <w:tcW w:w="50" w:type="pct"/>
            <w:shd w:val="clear" w:color="auto" w:fill="auto"/>
            <w:vAlign w:val="bottom"/>
          </w:tcPr>
          <w:p w14:paraId="5F2CA799" w14:textId="77777777" w:rsidR="00E836FB" w:rsidRDefault="00E836FB">
            <w:pPr>
              <w:rPr>
                <w:rFonts w:ascii="宋体"/>
              </w:rPr>
            </w:pPr>
          </w:p>
        </w:tc>
        <w:tc>
          <w:tcPr>
            <w:tcW w:w="2942" w:type="pct"/>
            <w:shd w:val="clear" w:color="auto" w:fill="auto"/>
            <w:vAlign w:val="bottom"/>
          </w:tcPr>
          <w:p w14:paraId="5F2CA79A" w14:textId="77777777" w:rsidR="00E836FB" w:rsidRDefault="00E836FB">
            <w:pPr>
              <w:rPr>
                <w:rFonts w:ascii="宋体"/>
              </w:rPr>
            </w:pPr>
          </w:p>
        </w:tc>
        <w:tc>
          <w:tcPr>
            <w:tcW w:w="5" w:type="pct"/>
            <w:shd w:val="clear" w:color="auto" w:fill="auto"/>
            <w:vAlign w:val="bottom"/>
          </w:tcPr>
          <w:p w14:paraId="5F2CA79B" w14:textId="77777777" w:rsidR="00E836FB" w:rsidRDefault="00E836FB">
            <w:pPr>
              <w:rPr>
                <w:rFonts w:ascii="宋体"/>
              </w:rPr>
            </w:pPr>
          </w:p>
        </w:tc>
        <w:tc>
          <w:tcPr>
            <w:tcW w:w="50" w:type="pct"/>
            <w:shd w:val="clear" w:color="auto" w:fill="auto"/>
            <w:vAlign w:val="bottom"/>
          </w:tcPr>
          <w:p w14:paraId="5F2CA79C" w14:textId="77777777" w:rsidR="00E836FB" w:rsidRDefault="00E836FB">
            <w:pPr>
              <w:rPr>
                <w:rFonts w:ascii="宋体"/>
              </w:rPr>
            </w:pPr>
          </w:p>
        </w:tc>
        <w:tc>
          <w:tcPr>
            <w:tcW w:w="931" w:type="pct"/>
            <w:shd w:val="clear" w:color="auto" w:fill="auto"/>
            <w:vAlign w:val="bottom"/>
          </w:tcPr>
          <w:p w14:paraId="5F2CA79D" w14:textId="77777777" w:rsidR="00E836FB" w:rsidRDefault="00E836FB">
            <w:pPr>
              <w:rPr>
                <w:rFonts w:ascii="宋体"/>
              </w:rPr>
            </w:pPr>
          </w:p>
        </w:tc>
        <w:tc>
          <w:tcPr>
            <w:tcW w:w="5" w:type="pct"/>
            <w:shd w:val="clear" w:color="auto" w:fill="auto"/>
            <w:vAlign w:val="bottom"/>
          </w:tcPr>
          <w:p w14:paraId="5F2CA79E" w14:textId="77777777" w:rsidR="00E836FB" w:rsidRDefault="00E836FB">
            <w:pPr>
              <w:rPr>
                <w:rFonts w:ascii="宋体"/>
              </w:rPr>
            </w:pPr>
          </w:p>
        </w:tc>
        <w:tc>
          <w:tcPr>
            <w:tcW w:w="5" w:type="pct"/>
            <w:shd w:val="clear" w:color="auto" w:fill="auto"/>
            <w:vAlign w:val="bottom"/>
          </w:tcPr>
          <w:p w14:paraId="5F2CA79F" w14:textId="77777777" w:rsidR="00E836FB" w:rsidRDefault="00E836FB">
            <w:pPr>
              <w:rPr>
                <w:rFonts w:ascii="宋体"/>
              </w:rPr>
            </w:pPr>
          </w:p>
        </w:tc>
        <w:tc>
          <w:tcPr>
            <w:tcW w:w="19" w:type="pct"/>
            <w:shd w:val="clear" w:color="auto" w:fill="auto"/>
            <w:vAlign w:val="bottom"/>
          </w:tcPr>
          <w:p w14:paraId="5F2CA7A0" w14:textId="77777777" w:rsidR="00E836FB" w:rsidRDefault="00E836FB">
            <w:pPr>
              <w:rPr>
                <w:rFonts w:ascii="宋体"/>
              </w:rPr>
            </w:pPr>
          </w:p>
        </w:tc>
        <w:tc>
          <w:tcPr>
            <w:tcW w:w="5" w:type="pct"/>
            <w:shd w:val="clear" w:color="auto" w:fill="auto"/>
            <w:vAlign w:val="bottom"/>
          </w:tcPr>
          <w:p w14:paraId="5F2CA7A1" w14:textId="77777777" w:rsidR="00E836FB" w:rsidRDefault="00E836FB">
            <w:pPr>
              <w:rPr>
                <w:rFonts w:ascii="宋体"/>
              </w:rPr>
            </w:pPr>
          </w:p>
        </w:tc>
        <w:tc>
          <w:tcPr>
            <w:tcW w:w="50" w:type="pct"/>
            <w:shd w:val="clear" w:color="auto" w:fill="auto"/>
            <w:vAlign w:val="bottom"/>
          </w:tcPr>
          <w:p w14:paraId="5F2CA7A2" w14:textId="77777777" w:rsidR="00E836FB" w:rsidRDefault="00E836FB">
            <w:pPr>
              <w:rPr>
                <w:rFonts w:ascii="宋体"/>
              </w:rPr>
            </w:pPr>
          </w:p>
        </w:tc>
        <w:tc>
          <w:tcPr>
            <w:tcW w:w="931" w:type="pct"/>
            <w:shd w:val="clear" w:color="auto" w:fill="auto"/>
            <w:vAlign w:val="bottom"/>
          </w:tcPr>
          <w:p w14:paraId="5F2CA7A3" w14:textId="77777777" w:rsidR="00E836FB" w:rsidRDefault="00E836FB">
            <w:pPr>
              <w:rPr>
                <w:rFonts w:ascii="宋体"/>
              </w:rPr>
            </w:pPr>
          </w:p>
        </w:tc>
        <w:tc>
          <w:tcPr>
            <w:tcW w:w="5" w:type="pct"/>
            <w:shd w:val="clear" w:color="auto" w:fill="auto"/>
            <w:vAlign w:val="bottom"/>
          </w:tcPr>
          <w:p w14:paraId="5F2CA7A4" w14:textId="77777777" w:rsidR="00E836FB" w:rsidRDefault="00E836FB">
            <w:pPr>
              <w:rPr>
                <w:rFonts w:ascii="宋体"/>
              </w:rPr>
            </w:pPr>
          </w:p>
        </w:tc>
      </w:tr>
      <w:tr w:rsidR="00E836FB" w14:paraId="5F2CA7A7" w14:textId="77777777">
        <w:tc>
          <w:tcPr>
            <w:tcW w:w="0" w:type="auto"/>
            <w:gridSpan w:val="12"/>
            <w:shd w:val="clear" w:color="auto" w:fill="auto"/>
            <w:tcMar>
              <w:top w:w="40" w:type="dxa"/>
              <w:left w:w="20" w:type="dxa"/>
              <w:bottom w:w="40" w:type="dxa"/>
              <w:right w:w="20" w:type="dxa"/>
            </w:tcMar>
            <w:vAlign w:val="bottom"/>
          </w:tcPr>
          <w:p w14:paraId="5F2CA7A6" w14:textId="77777777" w:rsidR="00E836FB" w:rsidRDefault="00994958">
            <w:pPr>
              <w:textAlignment w:val="bottom"/>
            </w:pPr>
            <w:r>
              <w:rPr>
                <w:rFonts w:ascii="Arial" w:eastAsia="宋体" w:hAnsi="Arial" w:cs="Arial"/>
                <w:b/>
                <w:bCs/>
                <w:color w:val="000000"/>
                <w:sz w:val="16"/>
                <w:szCs w:val="16"/>
              </w:rPr>
              <w:t>TABLE 5: INDUSTRY ASSET FLOWS</w:t>
            </w:r>
          </w:p>
        </w:tc>
      </w:tr>
      <w:tr w:rsidR="00E836FB" w14:paraId="5F2CA7AA" w14:textId="77777777">
        <w:tc>
          <w:tcPr>
            <w:tcW w:w="0" w:type="auto"/>
            <w:gridSpan w:val="3"/>
            <w:shd w:val="clear" w:color="auto" w:fill="auto"/>
            <w:tcMar>
              <w:top w:w="0" w:type="dxa"/>
              <w:left w:w="20" w:type="dxa"/>
              <w:bottom w:w="0" w:type="dxa"/>
              <w:right w:w="20" w:type="dxa"/>
            </w:tcMar>
            <w:vAlign w:val="bottom"/>
          </w:tcPr>
          <w:p w14:paraId="5F2CA7A8"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A7A9" w14:textId="77777777" w:rsidR="00E836FB" w:rsidRDefault="00994958">
            <w:pPr>
              <w:jc w:val="center"/>
              <w:textAlignment w:val="bottom"/>
            </w:pPr>
            <w:r>
              <w:rPr>
                <w:rFonts w:ascii="Arial" w:eastAsia="宋体" w:hAnsi="Arial" w:cs="Arial"/>
                <w:b/>
                <w:bCs/>
                <w:color w:val="000000"/>
                <w:sz w:val="15"/>
                <w:szCs w:val="15"/>
              </w:rPr>
              <w:t>Years Ended December 31,</w:t>
            </w:r>
          </w:p>
        </w:tc>
      </w:tr>
      <w:tr w:rsidR="00E836FB" w14:paraId="5F2CA7AF" w14:textId="77777777">
        <w:tc>
          <w:tcPr>
            <w:tcW w:w="0" w:type="auto"/>
            <w:gridSpan w:val="3"/>
            <w:shd w:val="clear" w:color="auto" w:fill="auto"/>
            <w:tcMar>
              <w:top w:w="40" w:type="dxa"/>
              <w:left w:w="20" w:type="dxa"/>
              <w:bottom w:w="40" w:type="dxa"/>
              <w:right w:w="20" w:type="dxa"/>
            </w:tcMar>
            <w:vAlign w:val="bottom"/>
          </w:tcPr>
          <w:p w14:paraId="5F2CA7AB" w14:textId="77777777" w:rsidR="00E836FB" w:rsidRDefault="00994958">
            <w:pPr>
              <w:textAlignment w:val="bottom"/>
            </w:pPr>
            <w:r>
              <w:rPr>
                <w:rFonts w:ascii="Arial" w:eastAsia="宋体" w:hAnsi="Arial" w:cs="Arial"/>
                <w:b/>
                <w:bCs/>
                <w:color w:val="000000"/>
                <w:sz w:val="15"/>
                <w:szCs w:val="15"/>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7AC" w14:textId="77777777" w:rsidR="00E836FB" w:rsidRDefault="00994958">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7A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A7AE" w14:textId="77777777" w:rsidR="00E836FB" w:rsidRDefault="00994958">
            <w:pPr>
              <w:jc w:val="center"/>
              <w:textAlignment w:val="bottom"/>
            </w:pPr>
            <w:r>
              <w:rPr>
                <w:rFonts w:ascii="Arial" w:eastAsia="宋体" w:hAnsi="Arial" w:cs="Arial"/>
                <w:b/>
                <w:bCs/>
                <w:color w:val="000000"/>
                <w:sz w:val="15"/>
                <w:szCs w:val="15"/>
              </w:rPr>
              <w:t>2020</w:t>
            </w:r>
          </w:p>
        </w:tc>
      </w:tr>
      <w:tr w:rsidR="00E836FB" w14:paraId="5F2CA7B4" w14:textId="77777777">
        <w:tc>
          <w:tcPr>
            <w:tcW w:w="0" w:type="auto"/>
            <w:gridSpan w:val="3"/>
            <w:shd w:val="clear" w:color="auto" w:fill="auto"/>
            <w:tcMar>
              <w:top w:w="40" w:type="dxa"/>
              <w:left w:w="20" w:type="dxa"/>
              <w:bottom w:w="40" w:type="dxa"/>
              <w:right w:w="20" w:type="dxa"/>
            </w:tcMar>
            <w:vAlign w:val="bottom"/>
          </w:tcPr>
          <w:p w14:paraId="5F2CA7B0" w14:textId="77777777" w:rsidR="00E836FB" w:rsidRDefault="00994958">
            <w:pPr>
              <w:textAlignment w:val="bottom"/>
            </w:pPr>
            <w:r>
              <w:rPr>
                <w:rFonts w:ascii="Arial" w:eastAsia="宋体" w:hAnsi="Arial" w:cs="Arial"/>
                <w:b/>
                <w:bCs/>
                <w:color w:val="000000"/>
                <w:sz w:val="15"/>
                <w:szCs w:val="15"/>
              </w:rPr>
              <w:t>North America - (US Domiciled) - 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7B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7B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A7B3" w14:textId="77777777" w:rsidR="00E836FB" w:rsidRDefault="00E836FB">
            <w:pPr>
              <w:rPr>
                <w:rFonts w:ascii="宋体"/>
              </w:rPr>
            </w:pPr>
          </w:p>
        </w:tc>
      </w:tr>
      <w:tr w:rsidR="00E836FB" w14:paraId="5F2CA7BD" w14:textId="77777777">
        <w:tc>
          <w:tcPr>
            <w:tcW w:w="0" w:type="auto"/>
            <w:gridSpan w:val="3"/>
            <w:shd w:val="clear" w:color="auto" w:fill="CCEEFF"/>
            <w:tcMar>
              <w:top w:w="40" w:type="dxa"/>
              <w:left w:w="20" w:type="dxa"/>
              <w:bottom w:w="40" w:type="dxa"/>
              <w:right w:w="20" w:type="dxa"/>
            </w:tcMar>
            <w:vAlign w:val="bottom"/>
          </w:tcPr>
          <w:p w14:paraId="5F2CA7B5" w14:textId="77777777" w:rsidR="00E836FB" w:rsidRDefault="00994958">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5F2CA7B6"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A7B7" w14:textId="77777777" w:rsidR="00E836FB" w:rsidRDefault="00994958">
            <w:pPr>
              <w:jc w:val="right"/>
              <w:textAlignment w:val="bottom"/>
            </w:pPr>
            <w:r>
              <w:rPr>
                <w:rFonts w:ascii="Arial" w:eastAsia="宋体" w:hAnsi="Arial" w:cs="Arial"/>
                <w:b/>
                <w:bCs/>
                <w:color w:val="000000"/>
                <w:sz w:val="15"/>
                <w:szCs w:val="15"/>
              </w:rPr>
              <w:t>564.2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7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B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7BA"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A7BB" w14:textId="77777777" w:rsidR="00E836FB" w:rsidRDefault="00994958">
            <w:pPr>
              <w:jc w:val="right"/>
              <w:textAlignment w:val="bottom"/>
            </w:pPr>
            <w:r>
              <w:rPr>
                <w:rFonts w:ascii="Arial" w:eastAsia="宋体" w:hAnsi="Arial" w:cs="Arial"/>
                <w:color w:val="000000"/>
                <w:sz w:val="15"/>
                <w:szCs w:val="15"/>
              </w:rPr>
              <w:t>(88.3)</w:t>
            </w:r>
          </w:p>
        </w:tc>
        <w:tc>
          <w:tcPr>
            <w:tcW w:w="0" w:type="auto"/>
            <w:shd w:val="clear" w:color="auto" w:fill="CCEEFF"/>
            <w:tcMar>
              <w:top w:w="40" w:type="dxa"/>
              <w:left w:w="0" w:type="dxa"/>
              <w:bottom w:w="40" w:type="dxa"/>
              <w:right w:w="20" w:type="dxa"/>
            </w:tcMar>
            <w:vAlign w:val="bottom"/>
          </w:tcPr>
          <w:p w14:paraId="5F2CA7BC" w14:textId="77777777" w:rsidR="00E836FB" w:rsidRDefault="00E836FB">
            <w:pPr>
              <w:jc w:val="right"/>
              <w:rPr>
                <w:rFonts w:ascii="宋体"/>
              </w:rPr>
            </w:pPr>
          </w:p>
        </w:tc>
      </w:tr>
      <w:tr w:rsidR="00E836FB" w14:paraId="5F2CA7C4" w14:textId="77777777">
        <w:tc>
          <w:tcPr>
            <w:tcW w:w="0" w:type="auto"/>
            <w:gridSpan w:val="3"/>
            <w:shd w:val="clear" w:color="auto" w:fill="FFFFFF"/>
            <w:tcMar>
              <w:top w:w="40" w:type="dxa"/>
              <w:left w:w="155" w:type="dxa"/>
              <w:bottom w:w="40" w:type="dxa"/>
              <w:right w:w="20" w:type="dxa"/>
            </w:tcMar>
            <w:vAlign w:val="bottom"/>
          </w:tcPr>
          <w:p w14:paraId="5F2CA7BE" w14:textId="77777777" w:rsidR="00E836FB" w:rsidRDefault="00994958">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5F2CA7BF" w14:textId="77777777" w:rsidR="00E836FB" w:rsidRDefault="00994958">
            <w:pPr>
              <w:jc w:val="right"/>
              <w:textAlignment w:val="bottom"/>
            </w:pPr>
            <w:r>
              <w:rPr>
                <w:rFonts w:ascii="Arial" w:eastAsia="宋体" w:hAnsi="Arial" w:cs="Arial"/>
                <w:b/>
                <w:bCs/>
                <w:color w:val="000000"/>
                <w:sz w:val="15"/>
                <w:szCs w:val="15"/>
              </w:rPr>
              <w:t>423.8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7C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C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7C2" w14:textId="77777777" w:rsidR="00E836FB" w:rsidRDefault="00994958">
            <w:pPr>
              <w:jc w:val="right"/>
              <w:textAlignment w:val="bottom"/>
            </w:pPr>
            <w:r>
              <w:rPr>
                <w:rFonts w:ascii="Arial" w:eastAsia="宋体" w:hAnsi="Arial" w:cs="Arial"/>
                <w:color w:val="000000"/>
                <w:sz w:val="15"/>
                <w:szCs w:val="15"/>
              </w:rPr>
              <w:t>676.1 </w:t>
            </w:r>
          </w:p>
        </w:tc>
        <w:tc>
          <w:tcPr>
            <w:tcW w:w="0" w:type="auto"/>
            <w:shd w:val="clear" w:color="auto" w:fill="FFFFFF"/>
            <w:tcMar>
              <w:top w:w="40" w:type="dxa"/>
              <w:left w:w="0" w:type="dxa"/>
              <w:bottom w:w="40" w:type="dxa"/>
              <w:right w:w="20" w:type="dxa"/>
            </w:tcMar>
            <w:vAlign w:val="bottom"/>
          </w:tcPr>
          <w:p w14:paraId="5F2CA7C3" w14:textId="77777777" w:rsidR="00E836FB" w:rsidRDefault="00E836FB">
            <w:pPr>
              <w:jc w:val="right"/>
              <w:rPr>
                <w:rFonts w:ascii="宋体"/>
              </w:rPr>
            </w:pPr>
          </w:p>
        </w:tc>
      </w:tr>
      <w:tr w:rsidR="00E836FB" w14:paraId="5F2CA7CB" w14:textId="77777777">
        <w:tc>
          <w:tcPr>
            <w:tcW w:w="0" w:type="auto"/>
            <w:gridSpan w:val="3"/>
            <w:shd w:val="clear" w:color="auto" w:fill="CCEEFF"/>
            <w:tcMar>
              <w:top w:w="40" w:type="dxa"/>
              <w:left w:w="155" w:type="dxa"/>
              <w:bottom w:w="40" w:type="dxa"/>
              <w:right w:w="20" w:type="dxa"/>
            </w:tcMar>
            <w:vAlign w:val="bottom"/>
          </w:tcPr>
          <w:p w14:paraId="5F2CA7C5" w14:textId="77777777" w:rsidR="00E836FB" w:rsidRDefault="00994958">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5F2CA7C6" w14:textId="77777777" w:rsidR="00E836FB" w:rsidRDefault="00994958">
            <w:pPr>
              <w:jc w:val="right"/>
              <w:textAlignment w:val="bottom"/>
            </w:pPr>
            <w:r>
              <w:rPr>
                <w:rFonts w:ascii="Arial" w:eastAsia="宋体" w:hAnsi="Arial" w:cs="Arial"/>
                <w:b/>
                <w:bCs/>
                <w:color w:val="000000"/>
                <w:sz w:val="15"/>
                <w:szCs w:val="15"/>
              </w:rPr>
              <w:t>543.4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7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C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7C9" w14:textId="77777777" w:rsidR="00E836FB" w:rsidRDefault="00994958">
            <w:pPr>
              <w:jc w:val="right"/>
              <w:textAlignment w:val="bottom"/>
            </w:pPr>
            <w:r>
              <w:rPr>
                <w:rFonts w:ascii="Arial" w:eastAsia="宋体" w:hAnsi="Arial" w:cs="Arial"/>
                <w:color w:val="000000"/>
                <w:sz w:val="15"/>
                <w:szCs w:val="15"/>
              </w:rPr>
              <w:t>271.6 </w:t>
            </w:r>
          </w:p>
        </w:tc>
        <w:tc>
          <w:tcPr>
            <w:tcW w:w="0" w:type="auto"/>
            <w:shd w:val="clear" w:color="auto" w:fill="CCEEFF"/>
            <w:tcMar>
              <w:top w:w="40" w:type="dxa"/>
              <w:left w:w="0" w:type="dxa"/>
              <w:bottom w:w="40" w:type="dxa"/>
              <w:right w:w="20" w:type="dxa"/>
            </w:tcMar>
            <w:vAlign w:val="bottom"/>
          </w:tcPr>
          <w:p w14:paraId="5F2CA7CA" w14:textId="77777777" w:rsidR="00E836FB" w:rsidRDefault="00E836FB">
            <w:pPr>
              <w:jc w:val="right"/>
              <w:rPr>
                <w:rFonts w:ascii="宋体"/>
              </w:rPr>
            </w:pPr>
          </w:p>
        </w:tc>
      </w:tr>
      <w:tr w:rsidR="00E836FB" w14:paraId="5F2CA7D4" w14:textId="77777777">
        <w:tc>
          <w:tcPr>
            <w:tcW w:w="0" w:type="auto"/>
            <w:gridSpan w:val="3"/>
            <w:shd w:val="clear" w:color="auto" w:fill="FFFFFF"/>
            <w:tcMar>
              <w:top w:w="40" w:type="dxa"/>
              <w:left w:w="20" w:type="dxa"/>
              <w:bottom w:w="40" w:type="dxa"/>
              <w:right w:w="20" w:type="dxa"/>
            </w:tcMar>
            <w:vAlign w:val="bottom"/>
          </w:tcPr>
          <w:p w14:paraId="5F2CA7CC" w14:textId="77777777" w:rsidR="00E836FB" w:rsidRDefault="00994958">
            <w:pPr>
              <w:textAlignment w:val="bottom"/>
            </w:pPr>
            <w:r>
              <w:rPr>
                <w:rFonts w:ascii="Arial" w:eastAsia="宋体" w:hAnsi="Arial" w:cs="Arial"/>
                <w:b/>
                <w:bCs/>
                <w:color w:val="000000"/>
                <w:sz w:val="15"/>
                <w:szCs w:val="15"/>
              </w:rPr>
              <w:t>Total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A7CD"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A7CE" w14:textId="77777777" w:rsidR="00E836FB" w:rsidRDefault="00994958">
            <w:pPr>
              <w:jc w:val="right"/>
              <w:textAlignment w:val="bottom"/>
            </w:pPr>
            <w:r>
              <w:rPr>
                <w:rFonts w:ascii="Arial" w:eastAsia="宋体" w:hAnsi="Arial" w:cs="Arial"/>
                <w:b/>
                <w:bCs/>
                <w:color w:val="000000"/>
                <w:sz w:val="15"/>
                <w:szCs w:val="15"/>
              </w:rPr>
              <w:t>1,531.4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7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D0"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A7D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A7D2" w14:textId="77777777" w:rsidR="00E836FB" w:rsidRDefault="00994958">
            <w:pPr>
              <w:jc w:val="right"/>
              <w:textAlignment w:val="bottom"/>
            </w:pPr>
            <w:r>
              <w:rPr>
                <w:rFonts w:ascii="Arial" w:eastAsia="宋体" w:hAnsi="Arial" w:cs="Arial"/>
                <w:color w:val="000000"/>
                <w:sz w:val="15"/>
                <w:szCs w:val="15"/>
              </w:rPr>
              <w:t>859.4 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7D3" w14:textId="77777777" w:rsidR="00E836FB" w:rsidRDefault="00E836FB">
            <w:pPr>
              <w:jc w:val="right"/>
              <w:rPr>
                <w:rFonts w:ascii="宋体"/>
              </w:rPr>
            </w:pPr>
          </w:p>
        </w:tc>
      </w:tr>
      <w:tr w:rsidR="00E836FB" w14:paraId="5F2CA7D9" w14:textId="77777777">
        <w:trPr>
          <w:trHeight w:val="60"/>
        </w:trPr>
        <w:tc>
          <w:tcPr>
            <w:tcW w:w="0" w:type="auto"/>
            <w:gridSpan w:val="3"/>
            <w:shd w:val="clear" w:color="auto" w:fill="auto"/>
            <w:tcMar>
              <w:top w:w="0" w:type="dxa"/>
              <w:left w:w="20" w:type="dxa"/>
              <w:bottom w:w="0" w:type="dxa"/>
              <w:right w:w="20" w:type="dxa"/>
            </w:tcMar>
            <w:vAlign w:val="bottom"/>
          </w:tcPr>
          <w:p w14:paraId="5F2CA7D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A7D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7D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A7D8" w14:textId="77777777" w:rsidR="00E836FB" w:rsidRDefault="00E836FB">
            <w:pPr>
              <w:rPr>
                <w:rFonts w:ascii="宋体"/>
              </w:rPr>
            </w:pPr>
          </w:p>
        </w:tc>
      </w:tr>
      <w:tr w:rsidR="00E836FB" w14:paraId="5F2CA7DE" w14:textId="77777777">
        <w:tc>
          <w:tcPr>
            <w:tcW w:w="0" w:type="auto"/>
            <w:gridSpan w:val="3"/>
            <w:shd w:val="clear" w:color="auto" w:fill="FFFFFF"/>
            <w:tcMar>
              <w:top w:w="40" w:type="dxa"/>
              <w:left w:w="20" w:type="dxa"/>
              <w:bottom w:w="40" w:type="dxa"/>
              <w:right w:w="20" w:type="dxa"/>
            </w:tcMar>
            <w:vAlign w:val="bottom"/>
          </w:tcPr>
          <w:p w14:paraId="5F2CA7DA" w14:textId="77777777" w:rsidR="00E836FB" w:rsidRDefault="00994958">
            <w:pPr>
              <w:textAlignment w:val="bottom"/>
            </w:pPr>
            <w:r>
              <w:rPr>
                <w:rFonts w:ascii="Arial" w:eastAsia="宋体" w:hAnsi="Arial" w:cs="Arial"/>
                <w:b/>
                <w:bCs/>
                <w:color w:val="000000"/>
                <w:sz w:val="15"/>
                <w:szCs w:val="15"/>
              </w:rPr>
              <w:t>Europe - 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vAlign w:val="bottom"/>
          </w:tcPr>
          <w:p w14:paraId="5F2CA7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A7D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7DD" w14:textId="77777777" w:rsidR="00E836FB" w:rsidRDefault="00E836FB">
            <w:pPr>
              <w:rPr>
                <w:rFonts w:ascii="宋体"/>
              </w:rPr>
            </w:pPr>
          </w:p>
        </w:tc>
      </w:tr>
      <w:tr w:rsidR="00E836FB" w14:paraId="5F2CA7E7" w14:textId="77777777">
        <w:tc>
          <w:tcPr>
            <w:tcW w:w="0" w:type="auto"/>
            <w:gridSpan w:val="3"/>
            <w:shd w:val="clear" w:color="auto" w:fill="CCEEFF"/>
            <w:tcMar>
              <w:top w:w="40" w:type="dxa"/>
              <w:left w:w="20" w:type="dxa"/>
              <w:bottom w:w="40" w:type="dxa"/>
              <w:right w:w="20" w:type="dxa"/>
            </w:tcMar>
            <w:vAlign w:val="bottom"/>
          </w:tcPr>
          <w:p w14:paraId="5F2CA7DF" w14:textId="77777777" w:rsidR="00E836FB" w:rsidRDefault="00994958">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5F2CA7E0"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A7E1" w14:textId="77777777" w:rsidR="00E836FB" w:rsidRDefault="00994958">
            <w:pPr>
              <w:jc w:val="right"/>
              <w:textAlignment w:val="bottom"/>
            </w:pPr>
            <w:r>
              <w:rPr>
                <w:rFonts w:ascii="Arial" w:eastAsia="宋体" w:hAnsi="Arial" w:cs="Arial"/>
                <w:b/>
                <w:bCs/>
                <w:color w:val="000000"/>
                <w:sz w:val="15"/>
                <w:szCs w:val="15"/>
              </w:rPr>
              <w:t>801.0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7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E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7E4"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A7E5" w14:textId="77777777" w:rsidR="00E836FB" w:rsidRDefault="00994958">
            <w:pPr>
              <w:jc w:val="right"/>
              <w:textAlignment w:val="bottom"/>
            </w:pPr>
            <w:r>
              <w:rPr>
                <w:rFonts w:ascii="Arial" w:eastAsia="宋体" w:hAnsi="Arial" w:cs="Arial"/>
                <w:color w:val="000000"/>
                <w:sz w:val="15"/>
                <w:szCs w:val="15"/>
              </w:rPr>
              <w:t>414.4 </w:t>
            </w:r>
          </w:p>
        </w:tc>
        <w:tc>
          <w:tcPr>
            <w:tcW w:w="0" w:type="auto"/>
            <w:shd w:val="clear" w:color="auto" w:fill="CCEEFF"/>
            <w:tcMar>
              <w:top w:w="40" w:type="dxa"/>
              <w:left w:w="0" w:type="dxa"/>
              <w:bottom w:w="40" w:type="dxa"/>
              <w:right w:w="20" w:type="dxa"/>
            </w:tcMar>
            <w:vAlign w:val="bottom"/>
          </w:tcPr>
          <w:p w14:paraId="5F2CA7E6" w14:textId="77777777" w:rsidR="00E836FB" w:rsidRDefault="00E836FB">
            <w:pPr>
              <w:jc w:val="right"/>
              <w:rPr>
                <w:rFonts w:ascii="宋体"/>
              </w:rPr>
            </w:pPr>
          </w:p>
        </w:tc>
      </w:tr>
      <w:tr w:rsidR="00E836FB" w14:paraId="5F2CA7EE" w14:textId="77777777">
        <w:tc>
          <w:tcPr>
            <w:tcW w:w="0" w:type="auto"/>
            <w:gridSpan w:val="3"/>
            <w:shd w:val="clear" w:color="auto" w:fill="FFFFFF"/>
            <w:tcMar>
              <w:top w:w="40" w:type="dxa"/>
              <w:left w:w="155" w:type="dxa"/>
              <w:bottom w:w="40" w:type="dxa"/>
              <w:right w:w="20" w:type="dxa"/>
            </w:tcMar>
            <w:vAlign w:val="bottom"/>
          </w:tcPr>
          <w:p w14:paraId="5F2CA7E8" w14:textId="77777777" w:rsidR="00E836FB" w:rsidRDefault="00994958">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5F2CA7E9" w14:textId="77777777" w:rsidR="00E836FB" w:rsidRDefault="00994958">
            <w:pPr>
              <w:jc w:val="right"/>
              <w:textAlignment w:val="bottom"/>
            </w:pPr>
            <w:r>
              <w:rPr>
                <w:rFonts w:ascii="Arial" w:eastAsia="宋体" w:hAnsi="Arial" w:cs="Arial"/>
                <w:b/>
                <w:bCs/>
                <w:color w:val="000000"/>
                <w:sz w:val="15"/>
                <w:szCs w:val="15"/>
              </w:rPr>
              <w:t>(56.0)</w:t>
            </w:r>
          </w:p>
        </w:tc>
        <w:tc>
          <w:tcPr>
            <w:tcW w:w="0" w:type="auto"/>
            <w:shd w:val="clear" w:color="auto" w:fill="FFFFFF"/>
            <w:tcMar>
              <w:top w:w="40" w:type="dxa"/>
              <w:left w:w="0" w:type="dxa"/>
              <w:bottom w:w="40" w:type="dxa"/>
              <w:right w:w="20" w:type="dxa"/>
            </w:tcMar>
            <w:vAlign w:val="bottom"/>
          </w:tcPr>
          <w:p w14:paraId="5F2CA7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7E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7EC" w14:textId="77777777" w:rsidR="00E836FB" w:rsidRDefault="00994958">
            <w:pPr>
              <w:jc w:val="right"/>
              <w:textAlignment w:val="bottom"/>
            </w:pPr>
            <w:r>
              <w:rPr>
                <w:rFonts w:ascii="Arial" w:eastAsia="宋体" w:hAnsi="Arial" w:cs="Arial"/>
                <w:color w:val="000000"/>
                <w:sz w:val="15"/>
                <w:szCs w:val="15"/>
              </w:rPr>
              <w:t>283.1 </w:t>
            </w:r>
          </w:p>
        </w:tc>
        <w:tc>
          <w:tcPr>
            <w:tcW w:w="0" w:type="auto"/>
            <w:shd w:val="clear" w:color="auto" w:fill="FFFFFF"/>
            <w:tcMar>
              <w:top w:w="40" w:type="dxa"/>
              <w:left w:w="0" w:type="dxa"/>
              <w:bottom w:w="40" w:type="dxa"/>
              <w:right w:w="20" w:type="dxa"/>
            </w:tcMar>
            <w:vAlign w:val="bottom"/>
          </w:tcPr>
          <w:p w14:paraId="5F2CA7ED" w14:textId="77777777" w:rsidR="00E836FB" w:rsidRDefault="00E836FB">
            <w:pPr>
              <w:jc w:val="right"/>
              <w:rPr>
                <w:rFonts w:ascii="宋体"/>
              </w:rPr>
            </w:pPr>
          </w:p>
        </w:tc>
      </w:tr>
      <w:tr w:rsidR="00E836FB" w14:paraId="5F2CA7F5" w14:textId="77777777">
        <w:tc>
          <w:tcPr>
            <w:tcW w:w="0" w:type="auto"/>
            <w:gridSpan w:val="3"/>
            <w:shd w:val="clear" w:color="auto" w:fill="CCEEFF"/>
            <w:tcMar>
              <w:top w:w="40" w:type="dxa"/>
              <w:left w:w="155" w:type="dxa"/>
              <w:bottom w:w="40" w:type="dxa"/>
              <w:right w:w="20" w:type="dxa"/>
            </w:tcMar>
            <w:vAlign w:val="bottom"/>
          </w:tcPr>
          <w:p w14:paraId="5F2CA7EF" w14:textId="77777777" w:rsidR="00E836FB" w:rsidRDefault="00994958">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5F2CA7F0" w14:textId="77777777" w:rsidR="00E836FB" w:rsidRDefault="00994958">
            <w:pPr>
              <w:jc w:val="right"/>
              <w:textAlignment w:val="bottom"/>
            </w:pPr>
            <w:r>
              <w:rPr>
                <w:rFonts w:ascii="Arial" w:eastAsia="宋体" w:hAnsi="Arial" w:cs="Arial"/>
                <w:b/>
                <w:bCs/>
                <w:color w:val="000000"/>
                <w:sz w:val="15"/>
                <w:szCs w:val="15"/>
              </w:rPr>
              <w:t>183.7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7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7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7F3" w14:textId="77777777" w:rsidR="00E836FB" w:rsidRDefault="00994958">
            <w:pPr>
              <w:jc w:val="right"/>
              <w:textAlignment w:val="bottom"/>
            </w:pPr>
            <w:r>
              <w:rPr>
                <w:rFonts w:ascii="Arial" w:eastAsia="宋体" w:hAnsi="Arial" w:cs="Arial"/>
                <w:color w:val="000000"/>
                <w:sz w:val="15"/>
                <w:szCs w:val="15"/>
              </w:rPr>
              <w:t>113.7 </w:t>
            </w:r>
          </w:p>
        </w:tc>
        <w:tc>
          <w:tcPr>
            <w:tcW w:w="0" w:type="auto"/>
            <w:shd w:val="clear" w:color="auto" w:fill="CCEEFF"/>
            <w:tcMar>
              <w:top w:w="40" w:type="dxa"/>
              <w:left w:w="0" w:type="dxa"/>
              <w:bottom w:w="40" w:type="dxa"/>
              <w:right w:w="20" w:type="dxa"/>
            </w:tcMar>
            <w:vAlign w:val="bottom"/>
          </w:tcPr>
          <w:p w14:paraId="5F2CA7F4" w14:textId="77777777" w:rsidR="00E836FB" w:rsidRDefault="00E836FB">
            <w:pPr>
              <w:jc w:val="right"/>
              <w:rPr>
                <w:rFonts w:ascii="宋体"/>
              </w:rPr>
            </w:pPr>
          </w:p>
        </w:tc>
      </w:tr>
      <w:tr w:rsidR="00E836FB" w14:paraId="5F2CA7FA" w14:textId="77777777">
        <w:trPr>
          <w:hidden/>
        </w:trPr>
        <w:tc>
          <w:tcPr>
            <w:tcW w:w="0" w:type="auto"/>
            <w:gridSpan w:val="3"/>
            <w:shd w:val="clear" w:color="auto" w:fill="auto"/>
            <w:vAlign w:val="bottom"/>
          </w:tcPr>
          <w:p w14:paraId="5F2CA7F6" w14:textId="77777777" w:rsidR="00E836FB" w:rsidRDefault="00E836FB">
            <w:pPr>
              <w:rPr>
                <w:rFonts w:ascii="宋体"/>
                <w:vanish/>
              </w:rPr>
            </w:pPr>
          </w:p>
        </w:tc>
        <w:tc>
          <w:tcPr>
            <w:tcW w:w="0" w:type="auto"/>
            <w:gridSpan w:val="3"/>
            <w:shd w:val="clear" w:color="auto" w:fill="auto"/>
            <w:vAlign w:val="bottom"/>
          </w:tcPr>
          <w:p w14:paraId="5F2CA7F7" w14:textId="77777777" w:rsidR="00E836FB" w:rsidRDefault="00E836FB">
            <w:pPr>
              <w:rPr>
                <w:rFonts w:ascii="宋体"/>
                <w:vanish/>
              </w:rPr>
            </w:pPr>
          </w:p>
        </w:tc>
        <w:tc>
          <w:tcPr>
            <w:tcW w:w="0" w:type="auto"/>
            <w:gridSpan w:val="3"/>
            <w:shd w:val="clear" w:color="auto" w:fill="auto"/>
            <w:vAlign w:val="bottom"/>
          </w:tcPr>
          <w:p w14:paraId="5F2CA7F8" w14:textId="77777777" w:rsidR="00E836FB" w:rsidRDefault="00E836FB">
            <w:pPr>
              <w:rPr>
                <w:rFonts w:ascii="宋体"/>
                <w:vanish/>
              </w:rPr>
            </w:pPr>
          </w:p>
        </w:tc>
        <w:tc>
          <w:tcPr>
            <w:tcW w:w="0" w:type="auto"/>
            <w:gridSpan w:val="3"/>
            <w:shd w:val="clear" w:color="auto" w:fill="auto"/>
            <w:vAlign w:val="bottom"/>
          </w:tcPr>
          <w:p w14:paraId="5F2CA7F9" w14:textId="77777777" w:rsidR="00E836FB" w:rsidRDefault="00E836FB">
            <w:pPr>
              <w:rPr>
                <w:rFonts w:ascii="宋体"/>
                <w:vanish/>
              </w:rPr>
            </w:pPr>
          </w:p>
        </w:tc>
      </w:tr>
      <w:tr w:rsidR="00E836FB" w14:paraId="5F2CA7FF" w14:textId="77777777">
        <w:trPr>
          <w:hidden/>
        </w:trPr>
        <w:tc>
          <w:tcPr>
            <w:tcW w:w="0" w:type="auto"/>
            <w:gridSpan w:val="3"/>
            <w:shd w:val="clear" w:color="auto" w:fill="auto"/>
            <w:vAlign w:val="bottom"/>
          </w:tcPr>
          <w:p w14:paraId="5F2CA7FB" w14:textId="77777777" w:rsidR="00E836FB" w:rsidRDefault="00E836FB">
            <w:pPr>
              <w:rPr>
                <w:rFonts w:ascii="宋体"/>
                <w:vanish/>
              </w:rPr>
            </w:pPr>
          </w:p>
        </w:tc>
        <w:tc>
          <w:tcPr>
            <w:tcW w:w="0" w:type="auto"/>
            <w:gridSpan w:val="3"/>
            <w:shd w:val="clear" w:color="auto" w:fill="auto"/>
            <w:vAlign w:val="bottom"/>
          </w:tcPr>
          <w:p w14:paraId="5F2CA7FC" w14:textId="77777777" w:rsidR="00E836FB" w:rsidRDefault="00E836FB">
            <w:pPr>
              <w:rPr>
                <w:rFonts w:ascii="宋体"/>
                <w:vanish/>
              </w:rPr>
            </w:pPr>
          </w:p>
        </w:tc>
        <w:tc>
          <w:tcPr>
            <w:tcW w:w="0" w:type="auto"/>
            <w:gridSpan w:val="3"/>
            <w:shd w:val="clear" w:color="auto" w:fill="auto"/>
            <w:vAlign w:val="bottom"/>
          </w:tcPr>
          <w:p w14:paraId="5F2CA7FD" w14:textId="77777777" w:rsidR="00E836FB" w:rsidRDefault="00E836FB">
            <w:pPr>
              <w:rPr>
                <w:rFonts w:ascii="宋体"/>
                <w:vanish/>
              </w:rPr>
            </w:pPr>
          </w:p>
        </w:tc>
        <w:tc>
          <w:tcPr>
            <w:tcW w:w="0" w:type="auto"/>
            <w:gridSpan w:val="3"/>
            <w:shd w:val="clear" w:color="auto" w:fill="auto"/>
            <w:vAlign w:val="bottom"/>
          </w:tcPr>
          <w:p w14:paraId="5F2CA7FE" w14:textId="77777777" w:rsidR="00E836FB" w:rsidRDefault="00E836FB">
            <w:pPr>
              <w:rPr>
                <w:rFonts w:ascii="宋体"/>
                <w:vanish/>
              </w:rPr>
            </w:pPr>
          </w:p>
        </w:tc>
      </w:tr>
      <w:tr w:rsidR="00E836FB" w14:paraId="5F2CA808" w14:textId="77777777">
        <w:tc>
          <w:tcPr>
            <w:tcW w:w="0" w:type="auto"/>
            <w:gridSpan w:val="3"/>
            <w:shd w:val="clear" w:color="auto" w:fill="FFFFFF"/>
            <w:tcMar>
              <w:top w:w="40" w:type="dxa"/>
              <w:left w:w="20" w:type="dxa"/>
              <w:bottom w:w="40" w:type="dxa"/>
              <w:right w:w="20" w:type="dxa"/>
            </w:tcMar>
            <w:vAlign w:val="bottom"/>
          </w:tcPr>
          <w:p w14:paraId="5F2CA800" w14:textId="77777777" w:rsidR="00E836FB" w:rsidRDefault="00994958">
            <w:pPr>
              <w:textAlignment w:val="bottom"/>
            </w:pPr>
            <w:r>
              <w:rPr>
                <w:rFonts w:ascii="Arial" w:eastAsia="宋体" w:hAnsi="Arial" w:cs="Arial"/>
                <w:b/>
                <w:bCs/>
                <w:color w:val="000000"/>
                <w:sz w:val="15"/>
                <w:szCs w:val="15"/>
              </w:rPr>
              <w:t>Total Flows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F2CA801"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F2CA802" w14:textId="77777777" w:rsidR="00E836FB" w:rsidRDefault="00994958">
            <w:pPr>
              <w:jc w:val="right"/>
              <w:textAlignment w:val="bottom"/>
            </w:pPr>
            <w:r>
              <w:rPr>
                <w:rFonts w:ascii="Arial" w:eastAsia="宋体" w:hAnsi="Arial" w:cs="Arial"/>
                <w:b/>
                <w:bCs/>
                <w:color w:val="000000"/>
                <w:sz w:val="15"/>
                <w:szCs w:val="15"/>
              </w:rPr>
              <w:t>928.7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F2CA8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0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80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806" w14:textId="77777777" w:rsidR="00E836FB" w:rsidRDefault="00994958">
            <w:pPr>
              <w:jc w:val="right"/>
              <w:textAlignment w:val="bottom"/>
            </w:pPr>
            <w:r>
              <w:rPr>
                <w:rFonts w:ascii="Arial" w:eastAsia="宋体" w:hAnsi="Arial" w:cs="Arial"/>
                <w:color w:val="000000"/>
                <w:sz w:val="15"/>
                <w:szCs w:val="15"/>
              </w:rPr>
              <w:t>811.2 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807" w14:textId="77777777" w:rsidR="00E836FB" w:rsidRDefault="00E836FB">
            <w:pPr>
              <w:jc w:val="right"/>
              <w:rPr>
                <w:rFonts w:ascii="宋体"/>
              </w:rPr>
            </w:pPr>
          </w:p>
        </w:tc>
      </w:tr>
    </w:tbl>
    <w:p w14:paraId="5F2CA809" w14:textId="77777777" w:rsidR="00E836FB" w:rsidRDefault="00E836FB">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E836FB" w14:paraId="5F2CA813" w14:textId="77777777">
        <w:tc>
          <w:tcPr>
            <w:tcW w:w="50" w:type="pct"/>
            <w:shd w:val="clear" w:color="auto" w:fill="auto"/>
            <w:vAlign w:val="bottom"/>
          </w:tcPr>
          <w:p w14:paraId="5F2CA80A" w14:textId="77777777" w:rsidR="00E836FB" w:rsidRDefault="00E836FB">
            <w:pPr>
              <w:rPr>
                <w:rFonts w:ascii="宋体"/>
              </w:rPr>
            </w:pPr>
          </w:p>
        </w:tc>
        <w:tc>
          <w:tcPr>
            <w:tcW w:w="2963" w:type="pct"/>
            <w:shd w:val="clear" w:color="auto" w:fill="auto"/>
            <w:vAlign w:val="bottom"/>
          </w:tcPr>
          <w:p w14:paraId="5F2CA80B" w14:textId="77777777" w:rsidR="00E836FB" w:rsidRDefault="00E836FB">
            <w:pPr>
              <w:rPr>
                <w:rFonts w:ascii="宋体"/>
              </w:rPr>
            </w:pPr>
          </w:p>
        </w:tc>
        <w:tc>
          <w:tcPr>
            <w:tcW w:w="5" w:type="pct"/>
            <w:shd w:val="clear" w:color="auto" w:fill="auto"/>
            <w:vAlign w:val="bottom"/>
          </w:tcPr>
          <w:p w14:paraId="5F2CA80C" w14:textId="77777777" w:rsidR="00E836FB" w:rsidRDefault="00E836FB">
            <w:pPr>
              <w:rPr>
                <w:rFonts w:ascii="宋体"/>
              </w:rPr>
            </w:pPr>
          </w:p>
        </w:tc>
        <w:tc>
          <w:tcPr>
            <w:tcW w:w="5" w:type="pct"/>
            <w:shd w:val="clear" w:color="auto" w:fill="auto"/>
            <w:vAlign w:val="bottom"/>
          </w:tcPr>
          <w:p w14:paraId="5F2CA80D" w14:textId="77777777" w:rsidR="00E836FB" w:rsidRDefault="00E836FB">
            <w:pPr>
              <w:rPr>
                <w:rFonts w:ascii="宋体"/>
              </w:rPr>
            </w:pPr>
          </w:p>
        </w:tc>
        <w:tc>
          <w:tcPr>
            <w:tcW w:w="68" w:type="pct"/>
            <w:shd w:val="clear" w:color="auto" w:fill="auto"/>
            <w:vAlign w:val="bottom"/>
          </w:tcPr>
          <w:p w14:paraId="5F2CA80E" w14:textId="77777777" w:rsidR="00E836FB" w:rsidRDefault="00E836FB">
            <w:pPr>
              <w:rPr>
                <w:rFonts w:ascii="宋体"/>
              </w:rPr>
            </w:pPr>
          </w:p>
        </w:tc>
        <w:tc>
          <w:tcPr>
            <w:tcW w:w="5" w:type="pct"/>
            <w:shd w:val="clear" w:color="auto" w:fill="auto"/>
            <w:vAlign w:val="bottom"/>
          </w:tcPr>
          <w:p w14:paraId="5F2CA80F" w14:textId="77777777" w:rsidR="00E836FB" w:rsidRDefault="00E836FB">
            <w:pPr>
              <w:rPr>
                <w:rFonts w:ascii="宋体"/>
              </w:rPr>
            </w:pPr>
          </w:p>
        </w:tc>
        <w:tc>
          <w:tcPr>
            <w:tcW w:w="50" w:type="pct"/>
            <w:shd w:val="clear" w:color="auto" w:fill="auto"/>
            <w:vAlign w:val="bottom"/>
          </w:tcPr>
          <w:p w14:paraId="5F2CA810" w14:textId="77777777" w:rsidR="00E836FB" w:rsidRDefault="00E836FB">
            <w:pPr>
              <w:rPr>
                <w:rFonts w:ascii="宋体"/>
              </w:rPr>
            </w:pPr>
          </w:p>
        </w:tc>
        <w:tc>
          <w:tcPr>
            <w:tcW w:w="1847" w:type="pct"/>
            <w:shd w:val="clear" w:color="auto" w:fill="auto"/>
            <w:vAlign w:val="bottom"/>
          </w:tcPr>
          <w:p w14:paraId="5F2CA811" w14:textId="77777777" w:rsidR="00E836FB" w:rsidRDefault="00E836FB">
            <w:pPr>
              <w:rPr>
                <w:rFonts w:ascii="宋体"/>
              </w:rPr>
            </w:pPr>
          </w:p>
        </w:tc>
        <w:tc>
          <w:tcPr>
            <w:tcW w:w="5" w:type="pct"/>
            <w:shd w:val="clear" w:color="auto" w:fill="auto"/>
            <w:vAlign w:val="bottom"/>
          </w:tcPr>
          <w:p w14:paraId="5F2CA812" w14:textId="77777777" w:rsidR="00E836FB" w:rsidRDefault="00E836FB">
            <w:pPr>
              <w:rPr>
                <w:rFonts w:ascii="宋体"/>
              </w:rPr>
            </w:pPr>
          </w:p>
        </w:tc>
      </w:tr>
      <w:tr w:rsidR="00E836FB" w14:paraId="5F2CA81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8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81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816" w14:textId="77777777" w:rsidR="00E836FB" w:rsidRDefault="00E836FB">
            <w:pPr>
              <w:rPr>
                <w:rFonts w:ascii="宋体"/>
              </w:rPr>
            </w:pPr>
          </w:p>
        </w:tc>
      </w:tr>
    </w:tbl>
    <w:p w14:paraId="5F2CA818" w14:textId="77777777" w:rsidR="00E836FB" w:rsidRDefault="00994958">
      <w:pPr>
        <w:spacing w:before="60"/>
        <w:jc w:val="both"/>
      </w:pPr>
      <w:r>
        <w:rPr>
          <w:rFonts w:ascii="Arial" w:eastAsia="宋体" w:hAnsi="Arial" w:cs="Arial"/>
          <w:color w:val="000000"/>
          <w:sz w:val="8"/>
          <w:szCs w:val="8"/>
        </w:rPr>
        <w:t xml:space="preserve">(1) </w:t>
      </w:r>
      <w:r>
        <w:rPr>
          <w:rFonts w:ascii="Arial" w:eastAsia="宋体" w:hAnsi="Arial" w:cs="Arial"/>
          <w:color w:val="000000"/>
          <w:sz w:val="12"/>
          <w:szCs w:val="12"/>
        </w:rPr>
        <w:t>Industry data is provided for illustrative purposes only. It is not intended to reflect our activity or our clients' activity and is indicative of only segments of the entire industry.</w:t>
      </w:r>
    </w:p>
    <w:p w14:paraId="5F2CA819" w14:textId="77777777" w:rsidR="00E836FB" w:rsidRDefault="00994958">
      <w:pPr>
        <w:spacing w:before="60"/>
        <w:jc w:val="both"/>
      </w:pPr>
      <w:r>
        <w:rPr>
          <w:rFonts w:ascii="Arial" w:eastAsia="宋体" w:hAnsi="Arial" w:cs="Arial"/>
          <w:color w:val="000000"/>
          <w:sz w:val="8"/>
          <w:szCs w:val="8"/>
        </w:rPr>
        <w:t xml:space="preserve">(2) </w:t>
      </w:r>
      <w:r>
        <w:rPr>
          <w:rFonts w:ascii="Arial" w:eastAsia="宋体" w:hAnsi="Arial" w:cs="Arial"/>
          <w:color w:val="000000"/>
          <w:sz w:val="12"/>
          <w:szCs w:val="12"/>
        </w:rPr>
        <w:t xml:space="preserve">Source: </w:t>
      </w:r>
      <w:r>
        <w:rPr>
          <w:rFonts w:ascii="Arial" w:eastAsia="宋体" w:hAnsi="Arial" w:cs="Arial"/>
          <w:color w:val="000000"/>
          <w:sz w:val="12"/>
          <w:szCs w:val="12"/>
        </w:rPr>
        <w:t xml:space="preserve">Morningstar. The data includes long-term mutual funds, ETFs and money market funds. Mutual fund data represents estimates of net new cash flow, which is new sales minus redemptions combined with net exchanges, while ETF data represents net issuance, which </w:t>
      </w:r>
      <w:r>
        <w:rPr>
          <w:rFonts w:ascii="Arial" w:eastAsia="宋体" w:hAnsi="Arial" w:cs="Arial"/>
          <w:color w:val="000000"/>
          <w:sz w:val="12"/>
          <w:szCs w:val="12"/>
        </w:rPr>
        <w:t>is gross issuance less gross redemptions. Data for Fund of Funds, Feeder funds and Obsolete funds were excluded from the series to prevent double counting. Data is from the Morningstar Direct Asset Flows database.</w:t>
      </w:r>
    </w:p>
    <w:p w14:paraId="5F2CA81A" w14:textId="77777777" w:rsidR="00E836FB" w:rsidRDefault="00994958">
      <w:pPr>
        <w:spacing w:before="60"/>
        <w:jc w:val="both"/>
      </w:pPr>
      <w:r>
        <w:rPr>
          <w:rFonts w:ascii="Arial" w:eastAsia="宋体" w:hAnsi="Arial" w:cs="Arial"/>
          <w:color w:val="000000"/>
          <w:sz w:val="8"/>
          <w:szCs w:val="8"/>
        </w:rPr>
        <w:t>(3)</w:t>
      </w:r>
      <w:r>
        <w:rPr>
          <w:rFonts w:ascii="Arial" w:eastAsia="宋体" w:hAnsi="Arial" w:cs="Arial"/>
          <w:color w:val="000000"/>
          <w:sz w:val="12"/>
          <w:szCs w:val="12"/>
        </w:rPr>
        <w:t xml:space="preserve"> The year ended December 31, 2021 data </w:t>
      </w:r>
      <w:r>
        <w:rPr>
          <w:rFonts w:ascii="Arial" w:eastAsia="宋体" w:hAnsi="Arial" w:cs="Arial"/>
          <w:color w:val="000000"/>
          <w:sz w:val="12"/>
          <w:szCs w:val="12"/>
        </w:rPr>
        <w:t xml:space="preserve">for North America (US domiciled) includes Morningstar direct actuals for January 2021 through November 2021 and Morningstar direct estimates for December 2021. </w:t>
      </w:r>
    </w:p>
    <w:p w14:paraId="5F2CA81B" w14:textId="77777777" w:rsidR="00E836FB" w:rsidRDefault="00994958">
      <w:pPr>
        <w:spacing w:before="60"/>
        <w:jc w:val="both"/>
      </w:pPr>
      <w:r>
        <w:rPr>
          <w:rFonts w:ascii="Arial" w:eastAsia="宋体" w:hAnsi="Arial" w:cs="Arial"/>
          <w:color w:val="000000"/>
          <w:sz w:val="8"/>
          <w:szCs w:val="8"/>
        </w:rPr>
        <w:t xml:space="preserve">(4) </w:t>
      </w:r>
      <w:r>
        <w:rPr>
          <w:rFonts w:ascii="Arial" w:eastAsia="宋体" w:hAnsi="Arial" w:cs="Arial"/>
          <w:color w:val="000000"/>
          <w:sz w:val="12"/>
          <w:szCs w:val="12"/>
        </w:rPr>
        <w:t>The long-term fund flows reported by Morningstar direct in North America are composed of US</w:t>
      </w:r>
      <w:r>
        <w:rPr>
          <w:rFonts w:ascii="Arial" w:eastAsia="宋体" w:hAnsi="Arial" w:cs="Arial"/>
          <w:color w:val="000000"/>
          <w:sz w:val="12"/>
          <w:szCs w:val="12"/>
        </w:rPr>
        <w:t xml:space="preserve"> domiciled market flows mainly in Equities, Allocation and Fixed-Income asset classes. The long-term fund flows reported by Morningstar direct in EMEA are composed of the European market flows mainly in Equities, Allocation and Fixed-Income asset classes.</w:t>
      </w:r>
    </w:p>
    <w:p w14:paraId="5F2CA81C" w14:textId="77777777" w:rsidR="00E836FB" w:rsidRDefault="00994958">
      <w:pPr>
        <w:spacing w:before="60"/>
        <w:jc w:val="both"/>
      </w:pPr>
      <w:r>
        <w:rPr>
          <w:rFonts w:ascii="Arial" w:eastAsia="宋体" w:hAnsi="Arial" w:cs="Arial"/>
          <w:color w:val="000000"/>
          <w:sz w:val="8"/>
          <w:szCs w:val="8"/>
        </w:rPr>
        <w:t xml:space="preserve">(5) </w:t>
      </w:r>
      <w:r>
        <w:rPr>
          <w:rFonts w:ascii="Arial" w:eastAsia="宋体" w:hAnsi="Arial" w:cs="Arial"/>
          <w:color w:val="000000"/>
          <w:sz w:val="12"/>
          <w:szCs w:val="12"/>
        </w:rPr>
        <w:t>The year ended December 31, 2021 data for Europe is on a rolling twelve month basis for December 2020 through November 2021, sourced by Morningstar.</w:t>
      </w:r>
    </w:p>
    <w:p w14:paraId="5F2CA81D" w14:textId="77777777" w:rsidR="00E836FB" w:rsidRDefault="00994958">
      <w:pPr>
        <w:ind w:firstLine="450"/>
        <w:jc w:val="right"/>
      </w:pPr>
      <w:r>
        <w:rPr>
          <w:rFonts w:ascii="Arial" w:eastAsia="宋体" w:hAnsi="Arial" w:cs="Arial"/>
          <w:color w:val="000000"/>
          <w:sz w:val="18"/>
          <w:szCs w:val="18"/>
        </w:rPr>
        <w:t>State Street Corporation | 63</w:t>
      </w:r>
    </w:p>
    <w:p w14:paraId="5F2CA81E" w14:textId="77777777" w:rsidR="00E836FB" w:rsidRDefault="00E836FB">
      <w:pPr>
        <w:ind w:firstLine="450"/>
        <w:jc w:val="center"/>
      </w:pPr>
    </w:p>
    <w:p w14:paraId="5F2CA81F" w14:textId="77777777" w:rsidR="00E836FB" w:rsidRDefault="00994958">
      <w:r>
        <w:pict w14:anchorId="5F2D6DC4">
          <v:rect id="_x0000_i1087" style="width:415.3pt;height:1.5pt" o:hralign="center" o:hrstd="t" o:hr="t" fillcolor="#a0a0a0" stroked="f"/>
        </w:pict>
      </w:r>
    </w:p>
    <w:p w14:paraId="5F2CA820"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A821" w14:textId="77777777" w:rsidR="00E836FB" w:rsidRDefault="00994958">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5F2CA822" w14:textId="77777777" w:rsidR="00E836FB" w:rsidRDefault="00994958">
      <w:pPr>
        <w:spacing w:before="60"/>
        <w:jc w:val="both"/>
        <w:textAlignment w:val="top"/>
      </w:pPr>
      <w:r>
        <w:rPr>
          <w:rFonts w:ascii="Arial" w:eastAsia="宋体" w:hAnsi="Arial" w:cs="Arial"/>
          <w:i/>
          <w:iCs/>
          <w:color w:val="000000"/>
          <w:sz w:val="20"/>
          <w:szCs w:val="20"/>
        </w:rPr>
        <w:t>Net New Business</w:t>
      </w:r>
    </w:p>
    <w:p w14:paraId="5F2CA823" w14:textId="77777777" w:rsidR="00E836FB" w:rsidRDefault="00994958">
      <w:pPr>
        <w:ind w:firstLine="450"/>
        <w:jc w:val="both"/>
        <w:textAlignment w:val="top"/>
      </w:pPr>
      <w:r>
        <w:rPr>
          <w:rFonts w:ascii="Arial" w:eastAsia="宋体" w:hAnsi="Arial" w:cs="Arial"/>
          <w:color w:val="000000"/>
          <w:sz w:val="20"/>
          <w:szCs w:val="20"/>
        </w:rPr>
        <w:t>Over the five years ended December 31, 2021, net new business, which includes business both won and lost, has affected our servicing fee revenues by approximately 1% on average with a range of 0% to 3% annually and ap</w:t>
      </w:r>
      <w:r>
        <w:rPr>
          <w:rFonts w:ascii="Arial" w:eastAsia="宋体" w:hAnsi="Arial" w:cs="Arial"/>
          <w:color w:val="000000"/>
          <w:sz w:val="20"/>
          <w:szCs w:val="20"/>
        </w:rPr>
        <w:t>proximately 1% and 0% in 2021 and 2020, respectively. Gross investment servicing mandates were $3.52 trillion in 2021 and $1.8 trillion per year on average over the past five years. Over the five years ended December 31, 2021, gross annual investment servi</w:t>
      </w:r>
      <w:r>
        <w:rPr>
          <w:rFonts w:ascii="Arial" w:eastAsia="宋体" w:hAnsi="Arial" w:cs="Arial"/>
          <w:color w:val="000000"/>
          <w:sz w:val="20"/>
          <w:szCs w:val="20"/>
        </w:rPr>
        <w:t xml:space="preserve">cing mandates ranged from $750 billion to $3.5 trillion. </w:t>
      </w:r>
    </w:p>
    <w:p w14:paraId="5F2CA824" w14:textId="77777777" w:rsidR="00E836FB" w:rsidRDefault="00994958">
      <w:pPr>
        <w:spacing w:before="60"/>
        <w:ind w:firstLine="450"/>
        <w:jc w:val="both"/>
        <w:textAlignment w:val="top"/>
      </w:pPr>
      <w:r>
        <w:rPr>
          <w:rFonts w:ascii="Arial" w:eastAsia="宋体" w:hAnsi="Arial" w:cs="Arial"/>
          <w:color w:val="000000"/>
          <w:sz w:val="20"/>
          <w:szCs w:val="20"/>
        </w:rPr>
        <w:t>Servicing fee revenue associated with new servicing mandates may vary based on the breadth of services provided, the time required to install the assets, and the types of assets installed.</w:t>
      </w:r>
    </w:p>
    <w:p w14:paraId="5F2CA825" w14:textId="77777777" w:rsidR="00E836FB" w:rsidRDefault="00994958">
      <w:pPr>
        <w:ind w:firstLine="450"/>
        <w:jc w:val="both"/>
        <w:textAlignment w:val="top"/>
      </w:pPr>
      <w:r>
        <w:rPr>
          <w:rFonts w:ascii="Arial" w:eastAsia="宋体" w:hAnsi="Arial" w:cs="Arial"/>
          <w:color w:val="000000"/>
          <w:sz w:val="20"/>
          <w:szCs w:val="20"/>
        </w:rPr>
        <w:t>Revenues associated with new mandates are not reflected in our servicing fee revenue until the assets have been installed. Our installation timeline, in general, can range from 6 to 36 months, with the average installation timeline being approximately 9 to</w:t>
      </w:r>
      <w:r>
        <w:rPr>
          <w:rFonts w:ascii="Arial" w:eastAsia="宋体" w:hAnsi="Arial" w:cs="Arial"/>
          <w:color w:val="000000"/>
          <w:sz w:val="20"/>
          <w:szCs w:val="20"/>
        </w:rPr>
        <w:t xml:space="preserve"> 12 months over the past 2 years. Our more complex installations, including new State Street Alpha mandates, will generally be on the longer end of that range. With respect to the current asset mandates of approximately $2.80 trillion that are yet to be in</w:t>
      </w:r>
      <w:r>
        <w:rPr>
          <w:rFonts w:ascii="Arial" w:eastAsia="宋体" w:hAnsi="Arial" w:cs="Arial"/>
          <w:color w:val="000000"/>
          <w:sz w:val="20"/>
          <w:szCs w:val="20"/>
        </w:rPr>
        <w:t>stalled as of December 31, 2021, we expect the conversion will occur over the coming 12 to 24 months.</w:t>
      </w:r>
    </w:p>
    <w:p w14:paraId="5F2CA826" w14:textId="77777777" w:rsidR="00E836FB" w:rsidRDefault="00994958">
      <w:pPr>
        <w:spacing w:before="60"/>
        <w:jc w:val="both"/>
        <w:textAlignment w:val="top"/>
      </w:pPr>
      <w:r>
        <w:rPr>
          <w:rFonts w:ascii="Arial" w:eastAsia="宋体" w:hAnsi="Arial" w:cs="Arial"/>
          <w:i/>
          <w:iCs/>
          <w:color w:val="000000"/>
          <w:sz w:val="20"/>
          <w:szCs w:val="20"/>
        </w:rPr>
        <w:t>Pricing</w:t>
      </w:r>
    </w:p>
    <w:p w14:paraId="5F2CA827" w14:textId="77777777" w:rsidR="00E836FB" w:rsidRDefault="00994958">
      <w:pPr>
        <w:spacing w:before="60"/>
        <w:ind w:firstLine="450"/>
        <w:jc w:val="both"/>
        <w:textAlignment w:val="top"/>
      </w:pPr>
      <w:r>
        <w:rPr>
          <w:rFonts w:ascii="Arial" w:eastAsia="宋体" w:hAnsi="Arial" w:cs="Arial"/>
          <w:color w:val="000000"/>
          <w:sz w:val="20"/>
          <w:szCs w:val="20"/>
        </w:rPr>
        <w:t>The industry in which we operate has historically faced pricing pressure, and our servicing fee revenues are also affected by such pressures today</w:t>
      </w:r>
      <w:r>
        <w:rPr>
          <w:rFonts w:ascii="Arial" w:eastAsia="宋体" w:hAnsi="Arial" w:cs="Arial"/>
          <w:color w:val="000000"/>
          <w:sz w:val="20"/>
          <w:szCs w:val="20"/>
        </w:rPr>
        <w:t>. Consequently, no assumption should be drawn as to future revenue run rate from announced servicing wins, as the amount of revenue associated with AUC/A can vary materially. On average, over the five years ended December 31, 2021, we estimate that pricing</w:t>
      </w:r>
      <w:r>
        <w:rPr>
          <w:rFonts w:ascii="Arial" w:eastAsia="宋体" w:hAnsi="Arial" w:cs="Arial"/>
          <w:color w:val="000000"/>
          <w:sz w:val="20"/>
          <w:szCs w:val="20"/>
        </w:rPr>
        <w:t xml:space="preserve"> pressure with respect to existing clients has impacted our servicing fees by approximately (2)% annually, with the impact ranging from (1)% to (4)% in any given year, and approximately (2)% in both 2021 and 2020. Pricing concessions can be a part of a con</w:t>
      </w:r>
      <w:r>
        <w:rPr>
          <w:rFonts w:ascii="Arial" w:eastAsia="宋体" w:hAnsi="Arial" w:cs="Arial"/>
          <w:color w:val="000000"/>
          <w:sz w:val="20"/>
          <w:szCs w:val="20"/>
        </w:rPr>
        <w:t>tract renegotiation with a client including terms that may benefit us, such as extending the term of our relationship with the client, expanding the scope of services that we provide or reducing our dependency on manual processes through the standardizatio</w:t>
      </w:r>
      <w:r>
        <w:rPr>
          <w:rFonts w:ascii="Arial" w:eastAsia="宋体" w:hAnsi="Arial" w:cs="Arial"/>
          <w:color w:val="000000"/>
          <w:sz w:val="20"/>
          <w:szCs w:val="20"/>
        </w:rPr>
        <w:t>n of the services we provide. The timing of the impact of additional revenue generated by anticipated additional services, and the amount of revenue generated, may differ from expectations due to the impact of pricing concessions on existing services due t</w:t>
      </w:r>
      <w:r>
        <w:rPr>
          <w:rFonts w:ascii="Arial" w:eastAsia="宋体" w:hAnsi="Arial" w:cs="Arial"/>
          <w:color w:val="000000"/>
          <w:sz w:val="20"/>
          <w:szCs w:val="20"/>
        </w:rPr>
        <w:t xml:space="preserve">o the necessary time required to onboard those new services, the nature of those services and client </w:t>
      </w:r>
    </w:p>
    <w:p w14:paraId="5F2CA828" w14:textId="77777777" w:rsidR="00E836FB" w:rsidRDefault="00994958">
      <w:pPr>
        <w:spacing w:before="60"/>
        <w:jc w:val="both"/>
        <w:textAlignment w:val="top"/>
      </w:pPr>
      <w:r>
        <w:rPr>
          <w:rFonts w:ascii="Arial" w:eastAsia="宋体" w:hAnsi="Arial" w:cs="Arial"/>
          <w:color w:val="000000"/>
          <w:sz w:val="20"/>
          <w:szCs w:val="20"/>
        </w:rPr>
        <w:t>investment practices and other factors. These same market pressures also impact the fees we negotiate when we win business from new clients.</w:t>
      </w:r>
    </w:p>
    <w:p w14:paraId="5F2CA829" w14:textId="77777777" w:rsidR="00E836FB" w:rsidRDefault="00994958">
      <w:pPr>
        <w:spacing w:before="60"/>
        <w:ind w:firstLine="450"/>
        <w:jc w:val="both"/>
        <w:textAlignment w:val="top"/>
      </w:pPr>
      <w:r>
        <w:rPr>
          <w:rFonts w:ascii="Arial" w:eastAsia="宋体" w:hAnsi="Arial" w:cs="Arial"/>
          <w:color w:val="000000"/>
          <w:sz w:val="20"/>
          <w:szCs w:val="20"/>
        </w:rPr>
        <w:t>In order to o</w:t>
      </w:r>
      <w:r>
        <w:rPr>
          <w:rFonts w:ascii="Arial" w:eastAsia="宋体" w:hAnsi="Arial" w:cs="Arial"/>
          <w:color w:val="000000"/>
          <w:sz w:val="20"/>
          <w:szCs w:val="20"/>
        </w:rPr>
        <w:t>ffset the typical client attrition and normal pricing headwinds, we estimate that we need at least $1.5 trillion of new AUC/A per year; although, notwithstanding increases in AUC/A, servicing fees remain subject to several factors, including changes in mar</w:t>
      </w:r>
      <w:r>
        <w:rPr>
          <w:rFonts w:ascii="Arial" w:eastAsia="宋体" w:hAnsi="Arial" w:cs="Arial"/>
          <w:color w:val="000000"/>
          <w:sz w:val="20"/>
          <w:szCs w:val="20"/>
        </w:rPr>
        <w:t>ket valuations, client activity and asset flows, the manner in which we price our services, the nature of the assets being serviced and the type of services and the other factors described in this Form 10-K.</w:t>
      </w:r>
    </w:p>
    <w:p w14:paraId="5F2CA82A" w14:textId="77777777" w:rsidR="00E836FB" w:rsidRDefault="00994958">
      <w:pPr>
        <w:spacing w:before="60"/>
        <w:ind w:firstLine="450"/>
        <w:jc w:val="both"/>
        <w:textAlignment w:val="top"/>
      </w:pPr>
      <w:r>
        <w:rPr>
          <w:rFonts w:ascii="Arial" w:eastAsia="宋体" w:hAnsi="Arial" w:cs="Arial"/>
          <w:color w:val="000000"/>
          <w:sz w:val="20"/>
          <w:szCs w:val="20"/>
        </w:rPr>
        <w:t xml:space="preserve">Historically, and based on an indicative sample </w:t>
      </w:r>
      <w:r>
        <w:rPr>
          <w:rFonts w:ascii="Arial" w:eastAsia="宋体" w:hAnsi="Arial" w:cs="Arial"/>
          <w:color w:val="000000"/>
          <w:sz w:val="20"/>
          <w:szCs w:val="20"/>
        </w:rPr>
        <w:t>of revenue, we estimate that approximately 55%, on average, of our servicing fee revenues have been variable due to changes in asset valuations including changes in daily average valuations of AUC/A; another 15%, on average, of our servicing fees are impac</w:t>
      </w:r>
      <w:r>
        <w:rPr>
          <w:rFonts w:ascii="Arial" w:eastAsia="宋体" w:hAnsi="Arial" w:cs="Arial"/>
          <w:color w:val="000000"/>
          <w:sz w:val="20"/>
          <w:szCs w:val="20"/>
        </w:rPr>
        <w:t xml:space="preserve">ted by the volume of activity in the funds we serve; and the remaining approximately 30% of our servicing fees tend not to be variable in nature nor impacted by market fluctuations or values. </w:t>
      </w:r>
    </w:p>
    <w:p w14:paraId="5F2CA82B" w14:textId="77777777" w:rsidR="00E836FB" w:rsidRDefault="00994958">
      <w:pPr>
        <w:spacing w:before="60"/>
        <w:ind w:firstLine="450"/>
        <w:jc w:val="both"/>
        <w:textAlignment w:val="top"/>
      </w:pPr>
      <w:r>
        <w:rPr>
          <w:rFonts w:ascii="Arial" w:eastAsia="宋体" w:hAnsi="Arial" w:cs="Arial"/>
          <w:color w:val="000000"/>
          <w:sz w:val="20"/>
          <w:szCs w:val="20"/>
        </w:rPr>
        <w:t>Based on the impact of the above, client activity and asset flo</w:t>
      </w:r>
      <w:r>
        <w:rPr>
          <w:rFonts w:ascii="Arial" w:eastAsia="宋体" w:hAnsi="Arial" w:cs="Arial"/>
          <w:color w:val="000000"/>
          <w:sz w:val="20"/>
          <w:szCs w:val="20"/>
        </w:rPr>
        <w:t xml:space="preserve">ws, net new business and pricing, noted drivers of our servicing fee revenue will vary depending on the mix of products and services we provide to our clients. The full impact of changes in market valuations and the volume of activity in the funds may not </w:t>
      </w:r>
      <w:r>
        <w:rPr>
          <w:rFonts w:ascii="Arial" w:eastAsia="宋体" w:hAnsi="Arial" w:cs="Arial"/>
          <w:color w:val="000000"/>
          <w:sz w:val="20"/>
          <w:szCs w:val="20"/>
        </w:rPr>
        <w:t>be fully reflected in our servicing fee revenues in the periods in which the changes occur, particularly in periods of higher volatility.</w:t>
      </w:r>
    </w:p>
    <w:p w14:paraId="5F2CA82C" w14:textId="77777777" w:rsidR="00E836FB" w:rsidRDefault="00994958">
      <w:pPr>
        <w:spacing w:before="60"/>
        <w:ind w:firstLine="450"/>
        <w:jc w:val="both"/>
        <w:textAlignment w:val="top"/>
      </w:pPr>
      <w:r>
        <w:rPr>
          <w:rFonts w:ascii="Arial" w:eastAsia="宋体" w:hAnsi="Arial" w:cs="Arial"/>
          <w:color w:val="000000"/>
          <w:sz w:val="20"/>
          <w:szCs w:val="20"/>
        </w:rPr>
        <w:t xml:space="preserve">Servicing fees, as presented in Table 2: Total Revenue, increased 7% in 2021 compared to 2020 primarily due to higher </w:t>
      </w:r>
      <w:r>
        <w:rPr>
          <w:rFonts w:ascii="Arial" w:eastAsia="宋体" w:hAnsi="Arial" w:cs="Arial"/>
          <w:color w:val="000000"/>
          <w:sz w:val="20"/>
          <w:szCs w:val="20"/>
        </w:rPr>
        <w:t>average equity market levels, client activity and flows, and net new business, partially offset by normal pricing headwinds. FX rates impacted servicing fees positively by 1% in 2021 relative to 2020 and 0.4% in 2020 relative to 2019.</w:t>
      </w:r>
    </w:p>
    <w:p w14:paraId="5F2CA82D" w14:textId="77777777" w:rsidR="00E836FB" w:rsidRDefault="00994958">
      <w:pPr>
        <w:spacing w:before="60"/>
        <w:ind w:firstLine="450"/>
        <w:jc w:val="both"/>
        <w:textAlignment w:val="top"/>
      </w:pPr>
      <w:r>
        <w:rPr>
          <w:rFonts w:ascii="Arial" w:eastAsia="宋体" w:hAnsi="Arial" w:cs="Arial"/>
          <w:color w:val="000000"/>
          <w:sz w:val="20"/>
          <w:szCs w:val="20"/>
        </w:rPr>
        <w:t>Servicing fees genera</w:t>
      </w:r>
      <w:r>
        <w:rPr>
          <w:rFonts w:ascii="Arial" w:eastAsia="宋体" w:hAnsi="Arial" w:cs="Arial"/>
          <w:color w:val="000000"/>
          <w:sz w:val="20"/>
          <w:szCs w:val="20"/>
        </w:rPr>
        <w:t>ted outside the U.S. were approximately 48% of total servicing fees in 2021, compared to approximately 47% in each of 2020 and 2019.</w:t>
      </w:r>
    </w:p>
    <w:p w14:paraId="5F2CA82E" w14:textId="77777777" w:rsidR="00E836FB" w:rsidRDefault="00E836FB">
      <w:pPr>
        <w:spacing w:before="60"/>
        <w:ind w:firstLine="450"/>
        <w:jc w:val="both"/>
        <w:textAlignment w:val="top"/>
      </w:pPr>
    </w:p>
    <w:p w14:paraId="5F2CA82F" w14:textId="77777777" w:rsidR="00E836FB" w:rsidRDefault="00E836FB">
      <w:pPr>
        <w:spacing w:before="60"/>
        <w:ind w:firstLine="450"/>
        <w:jc w:val="both"/>
        <w:textAlignment w:val="top"/>
      </w:pPr>
    </w:p>
    <w:p w14:paraId="5F2CA830" w14:textId="77777777" w:rsidR="00E836FB" w:rsidRDefault="00E836FB">
      <w:pPr>
        <w:spacing w:before="60"/>
        <w:ind w:firstLine="450"/>
        <w:jc w:val="both"/>
        <w:textAlignment w:val="top"/>
      </w:pPr>
    </w:p>
    <w:p w14:paraId="5F2CA831" w14:textId="77777777" w:rsidR="00E836FB" w:rsidRDefault="00E836FB">
      <w:pPr>
        <w:spacing w:before="60"/>
        <w:ind w:firstLine="450"/>
        <w:jc w:val="both"/>
        <w:textAlignment w:val="top"/>
      </w:pPr>
    </w:p>
    <w:p w14:paraId="5F2CA832" w14:textId="77777777" w:rsidR="00E836FB" w:rsidRDefault="00E836FB">
      <w:pPr>
        <w:spacing w:before="60"/>
        <w:ind w:firstLine="450"/>
        <w:jc w:val="both"/>
        <w:textAlignment w:val="top"/>
      </w:pPr>
    </w:p>
    <w:p w14:paraId="5F2CA833" w14:textId="77777777" w:rsidR="00E836FB" w:rsidRDefault="00E836FB">
      <w:pPr>
        <w:spacing w:before="60"/>
        <w:ind w:firstLine="450"/>
        <w:jc w:val="both"/>
        <w:textAlignment w:val="top"/>
      </w:pPr>
    </w:p>
    <w:p w14:paraId="5F2CA834" w14:textId="77777777" w:rsidR="00E836FB" w:rsidRDefault="00E836FB">
      <w:pPr>
        <w:spacing w:before="60"/>
        <w:ind w:firstLine="450"/>
        <w:jc w:val="both"/>
        <w:textAlignment w:val="top"/>
      </w:pPr>
    </w:p>
    <w:p w14:paraId="5F2CA835" w14:textId="77777777" w:rsidR="00E836FB" w:rsidRDefault="00E836FB">
      <w:pPr>
        <w:spacing w:before="60"/>
        <w:ind w:firstLine="450"/>
        <w:jc w:val="both"/>
        <w:textAlignment w:val="top"/>
      </w:pPr>
    </w:p>
    <w:p w14:paraId="5F2CA836" w14:textId="77777777" w:rsidR="00E836FB" w:rsidRDefault="00E836FB">
      <w:pPr>
        <w:spacing w:before="60"/>
        <w:ind w:firstLine="450"/>
        <w:jc w:val="both"/>
        <w:textAlignment w:val="top"/>
      </w:pPr>
    </w:p>
    <w:p w14:paraId="5F2CA837" w14:textId="77777777" w:rsidR="00E836FB" w:rsidRDefault="00994958">
      <w:pPr>
        <w:ind w:firstLine="450"/>
        <w:jc w:val="right"/>
      </w:pPr>
      <w:r>
        <w:rPr>
          <w:rFonts w:ascii="Arial" w:eastAsia="宋体" w:hAnsi="Arial" w:cs="Arial"/>
          <w:color w:val="000000"/>
          <w:sz w:val="18"/>
          <w:szCs w:val="18"/>
        </w:rPr>
        <w:t>State Street Corporation | 64</w:t>
      </w:r>
    </w:p>
    <w:p w14:paraId="5F2CA838" w14:textId="77777777" w:rsidR="00E836FB" w:rsidRDefault="00E836FB">
      <w:pPr>
        <w:ind w:firstLine="450"/>
        <w:jc w:val="center"/>
      </w:pPr>
    </w:p>
    <w:p w14:paraId="5F2CA839" w14:textId="77777777" w:rsidR="00E836FB" w:rsidRDefault="00994958">
      <w:r>
        <w:pict w14:anchorId="5F2D6DC5">
          <v:rect id="_x0000_i1088" style="width:415.3pt;height:1.5pt" o:hralign="center" o:hrstd="t" o:hr="t" fillcolor="#a0a0a0" stroked="f"/>
        </w:pict>
      </w:r>
    </w:p>
    <w:p w14:paraId="5F2CA83A"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A83B" w14:textId="77777777" w:rsidR="00E836FB" w:rsidRDefault="00994958">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1635"/>
        <w:gridCol w:w="37"/>
        <w:gridCol w:w="99"/>
        <w:gridCol w:w="1202"/>
        <w:gridCol w:w="37"/>
        <w:gridCol w:w="36"/>
        <w:gridCol w:w="36"/>
        <w:gridCol w:w="36"/>
        <w:gridCol w:w="99"/>
        <w:gridCol w:w="1156"/>
        <w:gridCol w:w="37"/>
        <w:gridCol w:w="36"/>
        <w:gridCol w:w="36"/>
        <w:gridCol w:w="36"/>
        <w:gridCol w:w="99"/>
        <w:gridCol w:w="1156"/>
        <w:gridCol w:w="37"/>
        <w:gridCol w:w="36"/>
        <w:gridCol w:w="36"/>
        <w:gridCol w:w="36"/>
        <w:gridCol w:w="36"/>
        <w:gridCol w:w="36"/>
        <w:gridCol w:w="36"/>
        <w:gridCol w:w="36"/>
        <w:gridCol w:w="46"/>
        <w:gridCol w:w="764"/>
        <w:gridCol w:w="145"/>
        <w:gridCol w:w="36"/>
        <w:gridCol w:w="36"/>
        <w:gridCol w:w="36"/>
        <w:gridCol w:w="46"/>
        <w:gridCol w:w="766"/>
        <w:gridCol w:w="145"/>
        <w:gridCol w:w="36"/>
        <w:gridCol w:w="36"/>
        <w:gridCol w:w="36"/>
        <w:gridCol w:w="36"/>
        <w:gridCol w:w="36"/>
        <w:gridCol w:w="36"/>
      </w:tblGrid>
      <w:tr w:rsidR="00E836FB" w14:paraId="5F2CA860" w14:textId="77777777">
        <w:tc>
          <w:tcPr>
            <w:tcW w:w="50" w:type="pct"/>
            <w:shd w:val="clear" w:color="auto" w:fill="auto"/>
            <w:vAlign w:val="bottom"/>
          </w:tcPr>
          <w:p w14:paraId="5F2CA83C" w14:textId="77777777" w:rsidR="00E836FB" w:rsidRDefault="00E836FB">
            <w:pPr>
              <w:rPr>
                <w:rFonts w:ascii="宋体"/>
              </w:rPr>
            </w:pPr>
          </w:p>
        </w:tc>
        <w:tc>
          <w:tcPr>
            <w:tcW w:w="1063" w:type="pct"/>
            <w:shd w:val="clear" w:color="auto" w:fill="auto"/>
            <w:vAlign w:val="bottom"/>
          </w:tcPr>
          <w:p w14:paraId="5F2CA83D" w14:textId="77777777" w:rsidR="00E836FB" w:rsidRDefault="00E836FB">
            <w:pPr>
              <w:rPr>
                <w:rFonts w:ascii="宋体"/>
              </w:rPr>
            </w:pPr>
          </w:p>
        </w:tc>
        <w:tc>
          <w:tcPr>
            <w:tcW w:w="5" w:type="pct"/>
            <w:shd w:val="clear" w:color="auto" w:fill="auto"/>
            <w:vAlign w:val="bottom"/>
          </w:tcPr>
          <w:p w14:paraId="5F2CA83E" w14:textId="77777777" w:rsidR="00E836FB" w:rsidRDefault="00E836FB">
            <w:pPr>
              <w:rPr>
                <w:rFonts w:ascii="宋体"/>
              </w:rPr>
            </w:pPr>
          </w:p>
        </w:tc>
        <w:tc>
          <w:tcPr>
            <w:tcW w:w="50" w:type="pct"/>
            <w:shd w:val="clear" w:color="auto" w:fill="auto"/>
            <w:vAlign w:val="bottom"/>
          </w:tcPr>
          <w:p w14:paraId="5F2CA83F" w14:textId="77777777" w:rsidR="00E836FB" w:rsidRDefault="00E836FB">
            <w:pPr>
              <w:rPr>
                <w:rFonts w:ascii="宋体"/>
              </w:rPr>
            </w:pPr>
          </w:p>
        </w:tc>
        <w:tc>
          <w:tcPr>
            <w:tcW w:w="785" w:type="pct"/>
            <w:shd w:val="clear" w:color="auto" w:fill="auto"/>
            <w:vAlign w:val="bottom"/>
          </w:tcPr>
          <w:p w14:paraId="5F2CA840" w14:textId="77777777" w:rsidR="00E836FB" w:rsidRDefault="00E836FB">
            <w:pPr>
              <w:rPr>
                <w:rFonts w:ascii="宋体"/>
              </w:rPr>
            </w:pPr>
          </w:p>
        </w:tc>
        <w:tc>
          <w:tcPr>
            <w:tcW w:w="5" w:type="pct"/>
            <w:shd w:val="clear" w:color="auto" w:fill="auto"/>
            <w:vAlign w:val="bottom"/>
          </w:tcPr>
          <w:p w14:paraId="5F2CA841" w14:textId="77777777" w:rsidR="00E836FB" w:rsidRDefault="00E836FB">
            <w:pPr>
              <w:rPr>
                <w:rFonts w:ascii="宋体"/>
              </w:rPr>
            </w:pPr>
          </w:p>
        </w:tc>
        <w:tc>
          <w:tcPr>
            <w:tcW w:w="5" w:type="pct"/>
            <w:shd w:val="clear" w:color="auto" w:fill="auto"/>
            <w:vAlign w:val="bottom"/>
          </w:tcPr>
          <w:p w14:paraId="5F2CA842" w14:textId="77777777" w:rsidR="00E836FB" w:rsidRDefault="00E836FB">
            <w:pPr>
              <w:rPr>
                <w:rFonts w:ascii="宋体"/>
              </w:rPr>
            </w:pPr>
          </w:p>
        </w:tc>
        <w:tc>
          <w:tcPr>
            <w:tcW w:w="26" w:type="pct"/>
            <w:shd w:val="clear" w:color="auto" w:fill="auto"/>
            <w:vAlign w:val="bottom"/>
          </w:tcPr>
          <w:p w14:paraId="5F2CA843" w14:textId="77777777" w:rsidR="00E836FB" w:rsidRDefault="00E836FB">
            <w:pPr>
              <w:rPr>
                <w:rFonts w:ascii="宋体"/>
              </w:rPr>
            </w:pPr>
          </w:p>
        </w:tc>
        <w:tc>
          <w:tcPr>
            <w:tcW w:w="5" w:type="pct"/>
            <w:shd w:val="clear" w:color="auto" w:fill="auto"/>
            <w:vAlign w:val="bottom"/>
          </w:tcPr>
          <w:p w14:paraId="5F2CA844" w14:textId="77777777" w:rsidR="00E836FB" w:rsidRDefault="00E836FB">
            <w:pPr>
              <w:rPr>
                <w:rFonts w:ascii="宋体"/>
              </w:rPr>
            </w:pPr>
          </w:p>
        </w:tc>
        <w:tc>
          <w:tcPr>
            <w:tcW w:w="50" w:type="pct"/>
            <w:shd w:val="clear" w:color="auto" w:fill="auto"/>
            <w:vAlign w:val="bottom"/>
          </w:tcPr>
          <w:p w14:paraId="5F2CA845" w14:textId="77777777" w:rsidR="00E836FB" w:rsidRDefault="00E836FB">
            <w:pPr>
              <w:rPr>
                <w:rFonts w:ascii="宋体"/>
              </w:rPr>
            </w:pPr>
          </w:p>
        </w:tc>
        <w:tc>
          <w:tcPr>
            <w:tcW w:w="785" w:type="pct"/>
            <w:shd w:val="clear" w:color="auto" w:fill="auto"/>
            <w:vAlign w:val="bottom"/>
          </w:tcPr>
          <w:p w14:paraId="5F2CA846" w14:textId="77777777" w:rsidR="00E836FB" w:rsidRDefault="00E836FB">
            <w:pPr>
              <w:rPr>
                <w:rFonts w:ascii="宋体"/>
              </w:rPr>
            </w:pPr>
          </w:p>
        </w:tc>
        <w:tc>
          <w:tcPr>
            <w:tcW w:w="5" w:type="pct"/>
            <w:shd w:val="clear" w:color="auto" w:fill="auto"/>
            <w:vAlign w:val="bottom"/>
          </w:tcPr>
          <w:p w14:paraId="5F2CA847" w14:textId="77777777" w:rsidR="00E836FB" w:rsidRDefault="00E836FB">
            <w:pPr>
              <w:rPr>
                <w:rFonts w:ascii="宋体"/>
              </w:rPr>
            </w:pPr>
          </w:p>
        </w:tc>
        <w:tc>
          <w:tcPr>
            <w:tcW w:w="5" w:type="pct"/>
            <w:shd w:val="clear" w:color="auto" w:fill="auto"/>
            <w:vAlign w:val="bottom"/>
          </w:tcPr>
          <w:p w14:paraId="5F2CA848" w14:textId="77777777" w:rsidR="00E836FB" w:rsidRDefault="00E836FB">
            <w:pPr>
              <w:rPr>
                <w:rFonts w:ascii="宋体"/>
              </w:rPr>
            </w:pPr>
          </w:p>
        </w:tc>
        <w:tc>
          <w:tcPr>
            <w:tcW w:w="26" w:type="pct"/>
            <w:shd w:val="clear" w:color="auto" w:fill="auto"/>
            <w:vAlign w:val="bottom"/>
          </w:tcPr>
          <w:p w14:paraId="5F2CA849" w14:textId="77777777" w:rsidR="00E836FB" w:rsidRDefault="00E836FB">
            <w:pPr>
              <w:rPr>
                <w:rFonts w:ascii="宋体"/>
              </w:rPr>
            </w:pPr>
          </w:p>
        </w:tc>
        <w:tc>
          <w:tcPr>
            <w:tcW w:w="5" w:type="pct"/>
            <w:shd w:val="clear" w:color="auto" w:fill="auto"/>
            <w:vAlign w:val="bottom"/>
          </w:tcPr>
          <w:p w14:paraId="5F2CA84A" w14:textId="77777777" w:rsidR="00E836FB" w:rsidRDefault="00E836FB">
            <w:pPr>
              <w:rPr>
                <w:rFonts w:ascii="宋体"/>
              </w:rPr>
            </w:pPr>
          </w:p>
        </w:tc>
        <w:tc>
          <w:tcPr>
            <w:tcW w:w="50" w:type="pct"/>
            <w:shd w:val="clear" w:color="auto" w:fill="auto"/>
            <w:vAlign w:val="bottom"/>
          </w:tcPr>
          <w:p w14:paraId="5F2CA84B" w14:textId="77777777" w:rsidR="00E836FB" w:rsidRDefault="00E836FB">
            <w:pPr>
              <w:rPr>
                <w:rFonts w:ascii="宋体"/>
              </w:rPr>
            </w:pPr>
          </w:p>
        </w:tc>
        <w:tc>
          <w:tcPr>
            <w:tcW w:w="785" w:type="pct"/>
            <w:shd w:val="clear" w:color="auto" w:fill="auto"/>
            <w:vAlign w:val="bottom"/>
          </w:tcPr>
          <w:p w14:paraId="5F2CA84C" w14:textId="77777777" w:rsidR="00E836FB" w:rsidRDefault="00E836FB">
            <w:pPr>
              <w:rPr>
                <w:rFonts w:ascii="宋体"/>
              </w:rPr>
            </w:pPr>
          </w:p>
        </w:tc>
        <w:tc>
          <w:tcPr>
            <w:tcW w:w="5" w:type="pct"/>
            <w:shd w:val="clear" w:color="auto" w:fill="auto"/>
            <w:vAlign w:val="bottom"/>
          </w:tcPr>
          <w:p w14:paraId="5F2CA84D" w14:textId="77777777" w:rsidR="00E836FB" w:rsidRDefault="00E836FB">
            <w:pPr>
              <w:rPr>
                <w:rFonts w:ascii="宋体"/>
              </w:rPr>
            </w:pPr>
          </w:p>
        </w:tc>
        <w:tc>
          <w:tcPr>
            <w:tcW w:w="5" w:type="pct"/>
            <w:shd w:val="clear" w:color="auto" w:fill="auto"/>
            <w:vAlign w:val="bottom"/>
          </w:tcPr>
          <w:p w14:paraId="5F2CA84E" w14:textId="77777777" w:rsidR="00E836FB" w:rsidRDefault="00E836FB">
            <w:pPr>
              <w:rPr>
                <w:rFonts w:ascii="宋体"/>
              </w:rPr>
            </w:pPr>
          </w:p>
        </w:tc>
        <w:tc>
          <w:tcPr>
            <w:tcW w:w="26" w:type="pct"/>
            <w:shd w:val="clear" w:color="auto" w:fill="auto"/>
            <w:vAlign w:val="bottom"/>
          </w:tcPr>
          <w:p w14:paraId="5F2CA84F" w14:textId="77777777" w:rsidR="00E836FB" w:rsidRDefault="00E836FB">
            <w:pPr>
              <w:rPr>
                <w:rFonts w:ascii="宋体"/>
              </w:rPr>
            </w:pPr>
          </w:p>
        </w:tc>
        <w:tc>
          <w:tcPr>
            <w:tcW w:w="5" w:type="pct"/>
            <w:shd w:val="clear" w:color="auto" w:fill="auto"/>
            <w:vAlign w:val="bottom"/>
          </w:tcPr>
          <w:p w14:paraId="5F2CA850" w14:textId="77777777" w:rsidR="00E836FB" w:rsidRDefault="00E836FB">
            <w:pPr>
              <w:rPr>
                <w:rFonts w:ascii="宋体"/>
              </w:rPr>
            </w:pPr>
          </w:p>
        </w:tc>
        <w:tc>
          <w:tcPr>
            <w:tcW w:w="0" w:type="auto"/>
            <w:shd w:val="clear" w:color="auto" w:fill="auto"/>
            <w:vAlign w:val="bottom"/>
          </w:tcPr>
          <w:p w14:paraId="5F2CA851" w14:textId="77777777" w:rsidR="00E836FB" w:rsidRDefault="00E836FB">
            <w:pPr>
              <w:rPr>
                <w:rFonts w:ascii="宋体"/>
                <w:vanish/>
              </w:rPr>
            </w:pPr>
          </w:p>
        </w:tc>
        <w:tc>
          <w:tcPr>
            <w:tcW w:w="0" w:type="auto"/>
            <w:shd w:val="clear" w:color="auto" w:fill="auto"/>
            <w:vAlign w:val="bottom"/>
          </w:tcPr>
          <w:p w14:paraId="5F2CA852" w14:textId="77777777" w:rsidR="00E836FB" w:rsidRDefault="00E836FB">
            <w:pPr>
              <w:rPr>
                <w:rFonts w:ascii="宋体"/>
                <w:vanish/>
              </w:rPr>
            </w:pPr>
          </w:p>
        </w:tc>
        <w:tc>
          <w:tcPr>
            <w:tcW w:w="0" w:type="auto"/>
            <w:shd w:val="clear" w:color="auto" w:fill="auto"/>
            <w:vAlign w:val="bottom"/>
          </w:tcPr>
          <w:p w14:paraId="5F2CA853" w14:textId="77777777" w:rsidR="00E836FB" w:rsidRDefault="00E836FB">
            <w:pPr>
              <w:rPr>
                <w:rFonts w:ascii="宋体"/>
                <w:vanish/>
              </w:rPr>
            </w:pPr>
          </w:p>
        </w:tc>
        <w:tc>
          <w:tcPr>
            <w:tcW w:w="0" w:type="auto"/>
            <w:shd w:val="clear" w:color="auto" w:fill="auto"/>
            <w:vAlign w:val="bottom"/>
          </w:tcPr>
          <w:p w14:paraId="5F2CA854" w14:textId="77777777" w:rsidR="00E836FB" w:rsidRDefault="00E836FB">
            <w:pPr>
              <w:rPr>
                <w:rFonts w:ascii="宋体"/>
                <w:vanish/>
              </w:rPr>
            </w:pPr>
          </w:p>
        </w:tc>
        <w:tc>
          <w:tcPr>
            <w:tcW w:w="50" w:type="pct"/>
            <w:shd w:val="clear" w:color="auto" w:fill="auto"/>
            <w:vAlign w:val="bottom"/>
          </w:tcPr>
          <w:p w14:paraId="5F2CA855" w14:textId="77777777" w:rsidR="00E836FB" w:rsidRDefault="00E836FB">
            <w:pPr>
              <w:rPr>
                <w:rFonts w:ascii="宋体"/>
              </w:rPr>
            </w:pPr>
          </w:p>
        </w:tc>
        <w:tc>
          <w:tcPr>
            <w:tcW w:w="551" w:type="pct"/>
            <w:shd w:val="clear" w:color="auto" w:fill="auto"/>
            <w:vAlign w:val="bottom"/>
          </w:tcPr>
          <w:p w14:paraId="5F2CA856" w14:textId="77777777" w:rsidR="00E836FB" w:rsidRDefault="00E836FB">
            <w:pPr>
              <w:rPr>
                <w:rFonts w:ascii="宋体"/>
              </w:rPr>
            </w:pPr>
          </w:p>
        </w:tc>
        <w:tc>
          <w:tcPr>
            <w:tcW w:w="5" w:type="pct"/>
            <w:shd w:val="clear" w:color="auto" w:fill="auto"/>
            <w:vAlign w:val="bottom"/>
          </w:tcPr>
          <w:p w14:paraId="5F2CA857" w14:textId="77777777" w:rsidR="00E836FB" w:rsidRDefault="00E836FB">
            <w:pPr>
              <w:rPr>
                <w:rFonts w:ascii="宋体"/>
              </w:rPr>
            </w:pPr>
          </w:p>
        </w:tc>
        <w:tc>
          <w:tcPr>
            <w:tcW w:w="5" w:type="pct"/>
            <w:shd w:val="clear" w:color="auto" w:fill="auto"/>
            <w:vAlign w:val="bottom"/>
          </w:tcPr>
          <w:p w14:paraId="5F2CA858" w14:textId="77777777" w:rsidR="00E836FB" w:rsidRDefault="00E836FB">
            <w:pPr>
              <w:rPr>
                <w:rFonts w:ascii="宋体"/>
              </w:rPr>
            </w:pPr>
          </w:p>
        </w:tc>
        <w:tc>
          <w:tcPr>
            <w:tcW w:w="26" w:type="pct"/>
            <w:shd w:val="clear" w:color="auto" w:fill="auto"/>
            <w:vAlign w:val="bottom"/>
          </w:tcPr>
          <w:p w14:paraId="5F2CA859" w14:textId="77777777" w:rsidR="00E836FB" w:rsidRDefault="00E836FB">
            <w:pPr>
              <w:rPr>
                <w:rFonts w:ascii="宋体"/>
              </w:rPr>
            </w:pPr>
          </w:p>
        </w:tc>
        <w:tc>
          <w:tcPr>
            <w:tcW w:w="5" w:type="pct"/>
            <w:shd w:val="clear" w:color="auto" w:fill="auto"/>
            <w:vAlign w:val="bottom"/>
          </w:tcPr>
          <w:p w14:paraId="5F2CA85A" w14:textId="77777777" w:rsidR="00E836FB" w:rsidRDefault="00E836FB">
            <w:pPr>
              <w:rPr>
                <w:rFonts w:ascii="宋体"/>
              </w:rPr>
            </w:pPr>
          </w:p>
        </w:tc>
        <w:tc>
          <w:tcPr>
            <w:tcW w:w="50" w:type="pct"/>
            <w:shd w:val="clear" w:color="auto" w:fill="auto"/>
            <w:vAlign w:val="bottom"/>
          </w:tcPr>
          <w:p w14:paraId="5F2CA85B" w14:textId="77777777" w:rsidR="00E836FB" w:rsidRDefault="00E836FB">
            <w:pPr>
              <w:rPr>
                <w:rFonts w:ascii="宋体"/>
              </w:rPr>
            </w:pPr>
          </w:p>
        </w:tc>
        <w:tc>
          <w:tcPr>
            <w:tcW w:w="552" w:type="pct"/>
            <w:shd w:val="clear" w:color="auto" w:fill="auto"/>
            <w:vAlign w:val="bottom"/>
          </w:tcPr>
          <w:p w14:paraId="5F2CA85C" w14:textId="77777777" w:rsidR="00E836FB" w:rsidRDefault="00E836FB">
            <w:pPr>
              <w:rPr>
                <w:rFonts w:ascii="宋体"/>
              </w:rPr>
            </w:pPr>
          </w:p>
        </w:tc>
        <w:tc>
          <w:tcPr>
            <w:tcW w:w="5" w:type="pct"/>
            <w:shd w:val="clear" w:color="auto" w:fill="auto"/>
            <w:vAlign w:val="bottom"/>
          </w:tcPr>
          <w:p w14:paraId="5F2CA85D" w14:textId="77777777" w:rsidR="00E836FB" w:rsidRDefault="00E836FB">
            <w:pPr>
              <w:rPr>
                <w:rFonts w:ascii="宋体"/>
              </w:rPr>
            </w:pPr>
          </w:p>
        </w:tc>
        <w:tc>
          <w:tcPr>
            <w:tcW w:w="0" w:type="auto"/>
            <w:gridSpan w:val="3"/>
            <w:shd w:val="clear" w:color="auto" w:fill="auto"/>
            <w:vAlign w:val="bottom"/>
          </w:tcPr>
          <w:p w14:paraId="5F2CA85E" w14:textId="77777777" w:rsidR="00E836FB" w:rsidRDefault="00E836FB">
            <w:pPr>
              <w:rPr>
                <w:rFonts w:ascii="宋体"/>
                <w:vanish/>
              </w:rPr>
            </w:pPr>
          </w:p>
        </w:tc>
        <w:tc>
          <w:tcPr>
            <w:tcW w:w="0" w:type="auto"/>
            <w:gridSpan w:val="3"/>
            <w:shd w:val="clear" w:color="auto" w:fill="auto"/>
            <w:vAlign w:val="bottom"/>
          </w:tcPr>
          <w:p w14:paraId="5F2CA85F" w14:textId="77777777" w:rsidR="00E836FB" w:rsidRDefault="00E836FB">
            <w:pPr>
              <w:rPr>
                <w:rFonts w:ascii="宋体"/>
                <w:vanish/>
              </w:rPr>
            </w:pPr>
          </w:p>
        </w:tc>
      </w:tr>
      <w:tr w:rsidR="00E836FB" w14:paraId="5F2CA870" w14:textId="77777777">
        <w:tc>
          <w:tcPr>
            <w:tcW w:w="0" w:type="auto"/>
            <w:gridSpan w:val="24"/>
            <w:shd w:val="clear" w:color="auto" w:fill="auto"/>
            <w:tcMar>
              <w:top w:w="40" w:type="dxa"/>
              <w:left w:w="20" w:type="dxa"/>
              <w:bottom w:w="40" w:type="dxa"/>
              <w:right w:w="20" w:type="dxa"/>
            </w:tcMar>
            <w:vAlign w:val="bottom"/>
          </w:tcPr>
          <w:p w14:paraId="5F2CA861" w14:textId="77777777" w:rsidR="00E836FB" w:rsidRDefault="00994958">
            <w:pPr>
              <w:textAlignment w:val="bottom"/>
            </w:pPr>
            <w:r>
              <w:rPr>
                <w:rFonts w:ascii="Arial" w:eastAsia="宋体" w:hAnsi="Arial" w:cs="Arial"/>
                <w:b/>
                <w:bCs/>
                <w:color w:val="000000"/>
                <w:sz w:val="16"/>
                <w:szCs w:val="16"/>
              </w:rPr>
              <w:t>TABLE 6: ASSETS UNDER CUSTODY AND/OR ADMINISTRATION BY PRODUCT</w:t>
            </w:r>
            <w:r>
              <w:rPr>
                <w:rFonts w:ascii="Arial" w:eastAsia="宋体" w:hAnsi="Arial" w:cs="Arial"/>
                <w:b/>
                <w:bCs/>
                <w:color w:val="000000"/>
                <w:sz w:val="10"/>
                <w:szCs w:val="10"/>
              </w:rPr>
              <w:t>(1)(2)</w:t>
            </w:r>
          </w:p>
        </w:tc>
        <w:tc>
          <w:tcPr>
            <w:tcW w:w="0" w:type="auto"/>
            <w:shd w:val="clear" w:color="auto" w:fill="auto"/>
            <w:vAlign w:val="bottom"/>
          </w:tcPr>
          <w:p w14:paraId="5F2CA862" w14:textId="77777777" w:rsidR="00E836FB" w:rsidRDefault="00E836FB">
            <w:pPr>
              <w:rPr>
                <w:rFonts w:ascii="宋体"/>
                <w:vanish/>
              </w:rPr>
            </w:pPr>
          </w:p>
        </w:tc>
        <w:tc>
          <w:tcPr>
            <w:tcW w:w="0" w:type="auto"/>
            <w:gridSpan w:val="3"/>
            <w:shd w:val="clear" w:color="auto" w:fill="auto"/>
            <w:vAlign w:val="bottom"/>
          </w:tcPr>
          <w:p w14:paraId="5F2CA863" w14:textId="77777777" w:rsidR="00E836FB" w:rsidRDefault="00E836FB">
            <w:pPr>
              <w:rPr>
                <w:rFonts w:ascii="宋体"/>
                <w:vanish/>
              </w:rPr>
            </w:pPr>
          </w:p>
        </w:tc>
        <w:tc>
          <w:tcPr>
            <w:tcW w:w="0" w:type="auto"/>
            <w:shd w:val="clear" w:color="auto" w:fill="auto"/>
            <w:vAlign w:val="bottom"/>
          </w:tcPr>
          <w:p w14:paraId="5F2CA864" w14:textId="77777777" w:rsidR="00E836FB" w:rsidRDefault="00E836FB">
            <w:pPr>
              <w:rPr>
                <w:rFonts w:ascii="宋体"/>
              </w:rPr>
            </w:pPr>
          </w:p>
        </w:tc>
        <w:tc>
          <w:tcPr>
            <w:tcW w:w="0" w:type="auto"/>
            <w:shd w:val="clear" w:color="auto" w:fill="auto"/>
            <w:vAlign w:val="bottom"/>
          </w:tcPr>
          <w:p w14:paraId="5F2CA865" w14:textId="77777777" w:rsidR="00E836FB" w:rsidRDefault="00E836FB">
            <w:pPr>
              <w:rPr>
                <w:rFonts w:ascii="宋体"/>
              </w:rPr>
            </w:pPr>
          </w:p>
        </w:tc>
        <w:tc>
          <w:tcPr>
            <w:tcW w:w="0" w:type="auto"/>
            <w:shd w:val="clear" w:color="auto" w:fill="auto"/>
            <w:vAlign w:val="bottom"/>
          </w:tcPr>
          <w:p w14:paraId="5F2CA866" w14:textId="77777777" w:rsidR="00E836FB" w:rsidRDefault="00E836FB">
            <w:pPr>
              <w:rPr>
                <w:rFonts w:ascii="宋体"/>
              </w:rPr>
            </w:pPr>
          </w:p>
        </w:tc>
        <w:tc>
          <w:tcPr>
            <w:tcW w:w="0" w:type="auto"/>
            <w:shd w:val="clear" w:color="auto" w:fill="auto"/>
            <w:vAlign w:val="bottom"/>
          </w:tcPr>
          <w:p w14:paraId="5F2CA867" w14:textId="77777777" w:rsidR="00E836FB" w:rsidRDefault="00E836FB">
            <w:pPr>
              <w:rPr>
                <w:rFonts w:ascii="宋体"/>
              </w:rPr>
            </w:pPr>
          </w:p>
        </w:tc>
        <w:tc>
          <w:tcPr>
            <w:tcW w:w="0" w:type="auto"/>
            <w:shd w:val="clear" w:color="auto" w:fill="auto"/>
            <w:vAlign w:val="bottom"/>
          </w:tcPr>
          <w:p w14:paraId="5F2CA868" w14:textId="77777777" w:rsidR="00E836FB" w:rsidRDefault="00E836FB">
            <w:pPr>
              <w:rPr>
                <w:rFonts w:ascii="宋体"/>
              </w:rPr>
            </w:pPr>
          </w:p>
        </w:tc>
        <w:tc>
          <w:tcPr>
            <w:tcW w:w="0" w:type="auto"/>
            <w:shd w:val="clear" w:color="auto" w:fill="auto"/>
            <w:vAlign w:val="bottom"/>
          </w:tcPr>
          <w:p w14:paraId="5F2CA869" w14:textId="77777777" w:rsidR="00E836FB" w:rsidRDefault="00E836FB">
            <w:pPr>
              <w:rPr>
                <w:rFonts w:ascii="宋体"/>
              </w:rPr>
            </w:pPr>
          </w:p>
        </w:tc>
        <w:tc>
          <w:tcPr>
            <w:tcW w:w="0" w:type="auto"/>
            <w:shd w:val="clear" w:color="auto" w:fill="auto"/>
            <w:vAlign w:val="bottom"/>
          </w:tcPr>
          <w:p w14:paraId="5F2CA86A" w14:textId="77777777" w:rsidR="00E836FB" w:rsidRDefault="00E836FB">
            <w:pPr>
              <w:rPr>
                <w:rFonts w:ascii="宋体"/>
              </w:rPr>
            </w:pPr>
          </w:p>
        </w:tc>
        <w:tc>
          <w:tcPr>
            <w:tcW w:w="0" w:type="auto"/>
            <w:shd w:val="clear" w:color="auto" w:fill="auto"/>
            <w:vAlign w:val="bottom"/>
          </w:tcPr>
          <w:p w14:paraId="5F2CA86B" w14:textId="77777777" w:rsidR="00E836FB" w:rsidRDefault="00E836FB">
            <w:pPr>
              <w:rPr>
                <w:rFonts w:ascii="宋体"/>
              </w:rPr>
            </w:pPr>
          </w:p>
        </w:tc>
        <w:tc>
          <w:tcPr>
            <w:tcW w:w="0" w:type="auto"/>
            <w:shd w:val="clear" w:color="auto" w:fill="auto"/>
            <w:vAlign w:val="bottom"/>
          </w:tcPr>
          <w:p w14:paraId="5F2CA86C" w14:textId="77777777" w:rsidR="00E836FB" w:rsidRDefault="00E836FB">
            <w:pPr>
              <w:rPr>
                <w:rFonts w:ascii="宋体"/>
              </w:rPr>
            </w:pPr>
          </w:p>
        </w:tc>
        <w:tc>
          <w:tcPr>
            <w:tcW w:w="0" w:type="auto"/>
            <w:shd w:val="clear" w:color="auto" w:fill="auto"/>
            <w:vAlign w:val="bottom"/>
          </w:tcPr>
          <w:p w14:paraId="5F2CA86D" w14:textId="77777777" w:rsidR="00E836FB" w:rsidRDefault="00E836FB">
            <w:pPr>
              <w:rPr>
                <w:rFonts w:ascii="宋体"/>
              </w:rPr>
            </w:pPr>
          </w:p>
        </w:tc>
        <w:tc>
          <w:tcPr>
            <w:tcW w:w="0" w:type="auto"/>
            <w:shd w:val="clear" w:color="auto" w:fill="auto"/>
            <w:vAlign w:val="bottom"/>
          </w:tcPr>
          <w:p w14:paraId="5F2CA86E" w14:textId="77777777" w:rsidR="00E836FB" w:rsidRDefault="00E836FB">
            <w:pPr>
              <w:rPr>
                <w:rFonts w:ascii="宋体"/>
              </w:rPr>
            </w:pPr>
          </w:p>
        </w:tc>
        <w:tc>
          <w:tcPr>
            <w:tcW w:w="0" w:type="auto"/>
            <w:shd w:val="clear" w:color="auto" w:fill="auto"/>
            <w:vAlign w:val="bottom"/>
          </w:tcPr>
          <w:p w14:paraId="5F2CA86F" w14:textId="77777777" w:rsidR="00E836FB" w:rsidRDefault="00E836FB">
            <w:pPr>
              <w:rPr>
                <w:rFonts w:ascii="宋体"/>
              </w:rPr>
            </w:pPr>
          </w:p>
        </w:tc>
      </w:tr>
      <w:tr w:rsidR="00E836FB" w14:paraId="5F2CA881" w14:textId="77777777">
        <w:tc>
          <w:tcPr>
            <w:tcW w:w="0" w:type="auto"/>
            <w:gridSpan w:val="3"/>
            <w:shd w:val="clear" w:color="auto" w:fill="auto"/>
            <w:tcMar>
              <w:top w:w="40" w:type="dxa"/>
              <w:left w:w="20" w:type="dxa"/>
              <w:bottom w:w="40" w:type="dxa"/>
              <w:right w:w="20" w:type="dxa"/>
            </w:tcMar>
            <w:vAlign w:val="bottom"/>
          </w:tcPr>
          <w:p w14:paraId="5F2CA871" w14:textId="77777777" w:rsidR="00E836FB" w:rsidRDefault="00994958">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5F2CA872" w14:textId="77777777" w:rsidR="00E836FB" w:rsidRDefault="00994958">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5F2CA87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874" w14:textId="77777777" w:rsidR="00E836FB" w:rsidRDefault="00994958">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vAlign w:val="bottom"/>
          </w:tcPr>
          <w:p w14:paraId="5F2CA87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876" w14:textId="77777777" w:rsidR="00E836FB" w:rsidRDefault="00994958">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top w:w="0" w:type="dxa"/>
              <w:left w:w="20" w:type="dxa"/>
              <w:bottom w:w="0" w:type="dxa"/>
              <w:right w:w="20" w:type="dxa"/>
            </w:tcMar>
            <w:vAlign w:val="bottom"/>
          </w:tcPr>
          <w:p w14:paraId="5F2CA877" w14:textId="77777777" w:rsidR="00E836FB" w:rsidRDefault="00E836FB">
            <w:pPr>
              <w:rPr>
                <w:rFonts w:ascii="宋体"/>
              </w:rPr>
            </w:pPr>
          </w:p>
        </w:tc>
        <w:tc>
          <w:tcPr>
            <w:tcW w:w="0" w:type="auto"/>
            <w:shd w:val="clear" w:color="auto" w:fill="auto"/>
            <w:vAlign w:val="bottom"/>
          </w:tcPr>
          <w:p w14:paraId="5F2CA878" w14:textId="77777777" w:rsidR="00E836FB" w:rsidRDefault="00E836FB">
            <w:pPr>
              <w:rPr>
                <w:rFonts w:ascii="宋体"/>
                <w:vanish/>
              </w:rPr>
            </w:pPr>
          </w:p>
        </w:tc>
        <w:tc>
          <w:tcPr>
            <w:tcW w:w="0" w:type="auto"/>
            <w:shd w:val="clear" w:color="auto" w:fill="auto"/>
            <w:vAlign w:val="bottom"/>
          </w:tcPr>
          <w:p w14:paraId="5F2CA879" w14:textId="77777777" w:rsidR="00E836FB" w:rsidRDefault="00E836FB">
            <w:pPr>
              <w:rPr>
                <w:rFonts w:ascii="宋体"/>
                <w:vanish/>
              </w:rPr>
            </w:pPr>
          </w:p>
        </w:tc>
        <w:tc>
          <w:tcPr>
            <w:tcW w:w="0" w:type="auto"/>
            <w:shd w:val="clear" w:color="auto" w:fill="auto"/>
            <w:vAlign w:val="bottom"/>
          </w:tcPr>
          <w:p w14:paraId="5F2CA87A" w14:textId="77777777" w:rsidR="00E836FB" w:rsidRDefault="00E836FB">
            <w:pPr>
              <w:rPr>
                <w:rFonts w:ascii="宋体"/>
                <w:vanish/>
              </w:rPr>
            </w:pPr>
          </w:p>
        </w:tc>
        <w:tc>
          <w:tcPr>
            <w:tcW w:w="0" w:type="auto"/>
            <w:shd w:val="clear" w:color="auto" w:fill="auto"/>
            <w:vAlign w:val="bottom"/>
          </w:tcPr>
          <w:p w14:paraId="5F2CA87B" w14:textId="77777777" w:rsidR="00E836FB" w:rsidRDefault="00E836FB">
            <w:pPr>
              <w:rPr>
                <w:rFonts w:ascii="宋体"/>
                <w:vanish/>
              </w:rPr>
            </w:pPr>
          </w:p>
        </w:tc>
        <w:tc>
          <w:tcPr>
            <w:tcW w:w="0" w:type="auto"/>
            <w:gridSpan w:val="3"/>
            <w:shd w:val="clear" w:color="auto" w:fill="auto"/>
            <w:tcMar>
              <w:top w:w="40" w:type="dxa"/>
              <w:left w:w="20" w:type="dxa"/>
              <w:bottom w:w="40" w:type="dxa"/>
              <w:right w:w="20" w:type="dxa"/>
            </w:tcMar>
            <w:vAlign w:val="bottom"/>
          </w:tcPr>
          <w:p w14:paraId="5F2CA87C" w14:textId="77777777" w:rsidR="00E836FB" w:rsidRDefault="00994958">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2021 vs. 2020</w:t>
            </w:r>
          </w:p>
        </w:tc>
        <w:tc>
          <w:tcPr>
            <w:tcW w:w="0" w:type="auto"/>
            <w:gridSpan w:val="3"/>
            <w:shd w:val="clear" w:color="auto" w:fill="auto"/>
            <w:tcMar>
              <w:top w:w="0" w:type="dxa"/>
              <w:left w:w="20" w:type="dxa"/>
              <w:bottom w:w="0" w:type="dxa"/>
              <w:right w:w="20" w:type="dxa"/>
            </w:tcMar>
            <w:vAlign w:val="bottom"/>
          </w:tcPr>
          <w:p w14:paraId="5F2CA87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87E" w14:textId="77777777" w:rsidR="00E836FB" w:rsidRDefault="00994958">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2020 vs. 2019</w:t>
            </w:r>
          </w:p>
        </w:tc>
        <w:tc>
          <w:tcPr>
            <w:tcW w:w="0" w:type="auto"/>
            <w:gridSpan w:val="3"/>
            <w:shd w:val="clear" w:color="auto" w:fill="auto"/>
            <w:vAlign w:val="bottom"/>
          </w:tcPr>
          <w:p w14:paraId="5F2CA87F" w14:textId="77777777" w:rsidR="00E836FB" w:rsidRDefault="00E836FB">
            <w:pPr>
              <w:rPr>
                <w:rFonts w:ascii="宋体"/>
                <w:vanish/>
              </w:rPr>
            </w:pPr>
          </w:p>
        </w:tc>
        <w:tc>
          <w:tcPr>
            <w:tcW w:w="0" w:type="auto"/>
            <w:gridSpan w:val="3"/>
            <w:shd w:val="clear" w:color="auto" w:fill="auto"/>
            <w:vAlign w:val="bottom"/>
          </w:tcPr>
          <w:p w14:paraId="5F2CA880" w14:textId="77777777" w:rsidR="00E836FB" w:rsidRDefault="00E836FB">
            <w:pPr>
              <w:rPr>
                <w:rFonts w:ascii="宋体"/>
                <w:vanish/>
              </w:rPr>
            </w:pPr>
          </w:p>
        </w:tc>
      </w:tr>
      <w:tr w:rsidR="00E836FB" w14:paraId="5F2CA89A" w14:textId="77777777">
        <w:tc>
          <w:tcPr>
            <w:tcW w:w="0" w:type="auto"/>
            <w:gridSpan w:val="3"/>
            <w:shd w:val="clear" w:color="auto" w:fill="CCEEFF"/>
            <w:tcMar>
              <w:top w:w="40" w:type="dxa"/>
              <w:left w:w="20" w:type="dxa"/>
              <w:bottom w:w="40" w:type="dxa"/>
              <w:right w:w="20" w:type="dxa"/>
            </w:tcMar>
            <w:vAlign w:val="bottom"/>
          </w:tcPr>
          <w:p w14:paraId="5F2CA882" w14:textId="77777777" w:rsidR="00E836FB" w:rsidRDefault="00994958">
            <w:pPr>
              <w:textAlignment w:val="bottom"/>
            </w:pPr>
            <w:r>
              <w:rPr>
                <w:rFonts w:ascii="Arial" w:eastAsia="宋体" w:hAnsi="Arial" w:cs="Arial"/>
                <w:color w:val="000000"/>
                <w:sz w:val="14"/>
                <w:szCs w:val="14"/>
              </w:rPr>
              <w:t>Collective funds, including ETFs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88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884" w14:textId="77777777" w:rsidR="00E836FB" w:rsidRDefault="00994958">
            <w:pPr>
              <w:jc w:val="right"/>
              <w:textAlignment w:val="bottom"/>
            </w:pPr>
            <w:r>
              <w:rPr>
                <w:rFonts w:ascii="Arial" w:eastAsia="宋体" w:hAnsi="Arial" w:cs="Arial"/>
                <w:b/>
                <w:bCs/>
                <w:color w:val="000000"/>
                <w:sz w:val="14"/>
                <w:szCs w:val="14"/>
              </w:rPr>
              <w:t>15,722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8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8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88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888" w14:textId="77777777" w:rsidR="00E836FB" w:rsidRDefault="00994958">
            <w:pPr>
              <w:jc w:val="right"/>
              <w:textAlignment w:val="bottom"/>
            </w:pPr>
            <w:r>
              <w:rPr>
                <w:rFonts w:ascii="Arial" w:eastAsia="宋体" w:hAnsi="Arial" w:cs="Arial"/>
                <w:color w:val="000000"/>
                <w:sz w:val="14"/>
                <w:szCs w:val="14"/>
              </w:rPr>
              <w:t>13,387 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8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8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88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88C" w14:textId="77777777" w:rsidR="00E836FB" w:rsidRDefault="00994958">
            <w:pPr>
              <w:jc w:val="right"/>
              <w:textAlignment w:val="bottom"/>
            </w:pPr>
            <w:r>
              <w:rPr>
                <w:rFonts w:ascii="Arial" w:eastAsia="宋体" w:hAnsi="Arial" w:cs="Arial"/>
                <w:color w:val="000000"/>
                <w:sz w:val="14"/>
                <w:szCs w:val="14"/>
              </w:rPr>
              <w:t>11,986 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8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8E" w14:textId="77777777" w:rsidR="00E836FB" w:rsidRDefault="00E836FB">
            <w:pPr>
              <w:rPr>
                <w:rFonts w:ascii="宋体"/>
              </w:rPr>
            </w:pPr>
          </w:p>
        </w:tc>
        <w:tc>
          <w:tcPr>
            <w:tcW w:w="0" w:type="auto"/>
            <w:shd w:val="clear" w:color="auto" w:fill="auto"/>
            <w:vAlign w:val="bottom"/>
          </w:tcPr>
          <w:p w14:paraId="5F2CA88F" w14:textId="77777777" w:rsidR="00E836FB" w:rsidRDefault="00E836FB">
            <w:pPr>
              <w:rPr>
                <w:rFonts w:ascii="宋体"/>
                <w:vanish/>
              </w:rPr>
            </w:pPr>
          </w:p>
        </w:tc>
        <w:tc>
          <w:tcPr>
            <w:tcW w:w="0" w:type="auto"/>
            <w:shd w:val="clear" w:color="auto" w:fill="auto"/>
            <w:vAlign w:val="bottom"/>
          </w:tcPr>
          <w:p w14:paraId="5F2CA890" w14:textId="77777777" w:rsidR="00E836FB" w:rsidRDefault="00E836FB">
            <w:pPr>
              <w:rPr>
                <w:rFonts w:ascii="宋体"/>
                <w:vanish/>
              </w:rPr>
            </w:pPr>
          </w:p>
        </w:tc>
        <w:tc>
          <w:tcPr>
            <w:tcW w:w="0" w:type="auto"/>
            <w:shd w:val="clear" w:color="auto" w:fill="auto"/>
            <w:vAlign w:val="bottom"/>
          </w:tcPr>
          <w:p w14:paraId="5F2CA891" w14:textId="77777777" w:rsidR="00E836FB" w:rsidRDefault="00E836FB">
            <w:pPr>
              <w:rPr>
                <w:rFonts w:ascii="宋体"/>
                <w:vanish/>
              </w:rPr>
            </w:pPr>
          </w:p>
        </w:tc>
        <w:tc>
          <w:tcPr>
            <w:tcW w:w="0" w:type="auto"/>
            <w:shd w:val="clear" w:color="auto" w:fill="auto"/>
            <w:vAlign w:val="bottom"/>
          </w:tcPr>
          <w:p w14:paraId="5F2CA892"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893" w14:textId="77777777" w:rsidR="00E836FB" w:rsidRDefault="00994958">
            <w:pPr>
              <w:jc w:val="right"/>
              <w:textAlignment w:val="bottom"/>
            </w:pPr>
            <w:r>
              <w:rPr>
                <w:rFonts w:ascii="Arial" w:eastAsia="宋体" w:hAnsi="Arial" w:cs="Arial"/>
                <w:color w:val="000000"/>
                <w:sz w:val="14"/>
                <w:szCs w:val="14"/>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894"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A89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896" w14:textId="77777777" w:rsidR="00E836FB" w:rsidRDefault="00994958">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897"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A898" w14:textId="77777777" w:rsidR="00E836FB" w:rsidRDefault="00E836FB">
            <w:pPr>
              <w:rPr>
                <w:rFonts w:ascii="宋体"/>
                <w:vanish/>
              </w:rPr>
            </w:pPr>
          </w:p>
        </w:tc>
        <w:tc>
          <w:tcPr>
            <w:tcW w:w="0" w:type="auto"/>
            <w:gridSpan w:val="3"/>
            <w:shd w:val="clear" w:color="auto" w:fill="auto"/>
            <w:vAlign w:val="bottom"/>
          </w:tcPr>
          <w:p w14:paraId="5F2CA899" w14:textId="77777777" w:rsidR="00E836FB" w:rsidRDefault="00E836FB">
            <w:pPr>
              <w:rPr>
                <w:rFonts w:ascii="宋体"/>
                <w:vanish/>
              </w:rPr>
            </w:pPr>
          </w:p>
        </w:tc>
      </w:tr>
      <w:tr w:rsidR="00E836FB" w14:paraId="5F2CA8B0" w14:textId="77777777">
        <w:tc>
          <w:tcPr>
            <w:tcW w:w="0" w:type="auto"/>
            <w:gridSpan w:val="3"/>
            <w:shd w:val="clear" w:color="auto" w:fill="FFFFFF"/>
            <w:tcMar>
              <w:top w:w="40" w:type="dxa"/>
              <w:left w:w="20" w:type="dxa"/>
              <w:bottom w:w="40" w:type="dxa"/>
              <w:right w:w="20" w:type="dxa"/>
            </w:tcMar>
            <w:vAlign w:val="bottom"/>
          </w:tcPr>
          <w:p w14:paraId="5F2CA89B" w14:textId="77777777" w:rsidR="00E836FB" w:rsidRDefault="00994958">
            <w:pPr>
              <w:textAlignment w:val="bottom"/>
            </w:pPr>
            <w:r>
              <w:rPr>
                <w:rFonts w:ascii="Arial" w:eastAsia="宋体" w:hAnsi="Arial" w:cs="Arial"/>
                <w:color w:val="000000"/>
                <w:sz w:val="14"/>
                <w:szCs w:val="14"/>
              </w:rPr>
              <w:t>Mutual funds</w:t>
            </w:r>
          </w:p>
        </w:tc>
        <w:tc>
          <w:tcPr>
            <w:tcW w:w="0" w:type="auto"/>
            <w:gridSpan w:val="2"/>
            <w:shd w:val="clear" w:color="auto" w:fill="FFFFFF"/>
            <w:tcMar>
              <w:top w:w="40" w:type="dxa"/>
              <w:left w:w="20" w:type="dxa"/>
              <w:bottom w:w="40" w:type="dxa"/>
              <w:right w:w="0" w:type="dxa"/>
            </w:tcMar>
            <w:vAlign w:val="bottom"/>
          </w:tcPr>
          <w:p w14:paraId="5F2CA89C" w14:textId="77777777" w:rsidR="00E836FB" w:rsidRDefault="00994958">
            <w:pPr>
              <w:jc w:val="right"/>
              <w:textAlignment w:val="bottom"/>
            </w:pPr>
            <w:r>
              <w:rPr>
                <w:rFonts w:ascii="Arial" w:eastAsia="宋体" w:hAnsi="Arial" w:cs="Arial"/>
                <w:b/>
                <w:bCs/>
                <w:color w:val="000000"/>
                <w:sz w:val="14"/>
                <w:szCs w:val="14"/>
              </w:rPr>
              <w:t>11,575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8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89F" w14:textId="77777777" w:rsidR="00E836FB" w:rsidRDefault="00994958">
            <w:pPr>
              <w:jc w:val="right"/>
              <w:textAlignment w:val="bottom"/>
            </w:pPr>
            <w:r>
              <w:rPr>
                <w:rFonts w:ascii="Arial" w:eastAsia="宋体" w:hAnsi="Arial" w:cs="Arial"/>
                <w:color w:val="000000"/>
                <w:sz w:val="14"/>
                <w:szCs w:val="14"/>
              </w:rPr>
              <w:t>9,810 </w:t>
            </w:r>
          </w:p>
        </w:tc>
        <w:tc>
          <w:tcPr>
            <w:tcW w:w="0" w:type="auto"/>
            <w:shd w:val="clear" w:color="auto" w:fill="FFFFFF"/>
            <w:tcMar>
              <w:top w:w="40" w:type="dxa"/>
              <w:left w:w="0" w:type="dxa"/>
              <w:bottom w:w="40" w:type="dxa"/>
              <w:right w:w="20" w:type="dxa"/>
            </w:tcMar>
            <w:vAlign w:val="bottom"/>
          </w:tcPr>
          <w:p w14:paraId="5F2CA8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8A2" w14:textId="77777777" w:rsidR="00E836FB" w:rsidRDefault="00994958">
            <w:pPr>
              <w:jc w:val="right"/>
              <w:textAlignment w:val="bottom"/>
            </w:pPr>
            <w:r>
              <w:rPr>
                <w:rFonts w:ascii="Arial" w:eastAsia="宋体" w:hAnsi="Arial" w:cs="Arial"/>
                <w:color w:val="000000"/>
                <w:sz w:val="14"/>
                <w:szCs w:val="14"/>
              </w:rPr>
              <w:t>8,316 </w:t>
            </w:r>
          </w:p>
        </w:tc>
        <w:tc>
          <w:tcPr>
            <w:tcW w:w="0" w:type="auto"/>
            <w:shd w:val="clear" w:color="auto" w:fill="FFFFFF"/>
            <w:tcMar>
              <w:top w:w="40" w:type="dxa"/>
              <w:left w:w="0" w:type="dxa"/>
              <w:bottom w:w="40" w:type="dxa"/>
              <w:right w:w="20" w:type="dxa"/>
            </w:tcMar>
            <w:vAlign w:val="bottom"/>
          </w:tcPr>
          <w:p w14:paraId="5F2CA8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A4" w14:textId="77777777" w:rsidR="00E836FB" w:rsidRDefault="00E836FB">
            <w:pPr>
              <w:rPr>
                <w:rFonts w:ascii="宋体"/>
              </w:rPr>
            </w:pPr>
          </w:p>
        </w:tc>
        <w:tc>
          <w:tcPr>
            <w:tcW w:w="0" w:type="auto"/>
            <w:shd w:val="clear" w:color="auto" w:fill="auto"/>
            <w:vAlign w:val="bottom"/>
          </w:tcPr>
          <w:p w14:paraId="5F2CA8A5" w14:textId="77777777" w:rsidR="00E836FB" w:rsidRDefault="00E836FB">
            <w:pPr>
              <w:rPr>
                <w:rFonts w:ascii="宋体"/>
                <w:vanish/>
              </w:rPr>
            </w:pPr>
          </w:p>
        </w:tc>
        <w:tc>
          <w:tcPr>
            <w:tcW w:w="0" w:type="auto"/>
            <w:shd w:val="clear" w:color="auto" w:fill="auto"/>
            <w:vAlign w:val="bottom"/>
          </w:tcPr>
          <w:p w14:paraId="5F2CA8A6" w14:textId="77777777" w:rsidR="00E836FB" w:rsidRDefault="00E836FB">
            <w:pPr>
              <w:rPr>
                <w:rFonts w:ascii="宋体"/>
                <w:vanish/>
              </w:rPr>
            </w:pPr>
          </w:p>
        </w:tc>
        <w:tc>
          <w:tcPr>
            <w:tcW w:w="0" w:type="auto"/>
            <w:shd w:val="clear" w:color="auto" w:fill="auto"/>
            <w:vAlign w:val="bottom"/>
          </w:tcPr>
          <w:p w14:paraId="5F2CA8A7" w14:textId="77777777" w:rsidR="00E836FB" w:rsidRDefault="00E836FB">
            <w:pPr>
              <w:rPr>
                <w:rFonts w:ascii="宋体"/>
                <w:vanish/>
              </w:rPr>
            </w:pPr>
          </w:p>
        </w:tc>
        <w:tc>
          <w:tcPr>
            <w:tcW w:w="0" w:type="auto"/>
            <w:shd w:val="clear" w:color="auto" w:fill="auto"/>
            <w:vAlign w:val="bottom"/>
          </w:tcPr>
          <w:p w14:paraId="5F2CA8A8"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8A9"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5F2CA8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A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8AC"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5F2CA8AD" w14:textId="77777777" w:rsidR="00E836FB" w:rsidRDefault="00E836FB">
            <w:pPr>
              <w:jc w:val="right"/>
              <w:rPr>
                <w:rFonts w:ascii="宋体"/>
              </w:rPr>
            </w:pPr>
          </w:p>
        </w:tc>
        <w:tc>
          <w:tcPr>
            <w:tcW w:w="0" w:type="auto"/>
            <w:gridSpan w:val="3"/>
            <w:shd w:val="clear" w:color="auto" w:fill="auto"/>
            <w:vAlign w:val="bottom"/>
          </w:tcPr>
          <w:p w14:paraId="5F2CA8AE" w14:textId="77777777" w:rsidR="00E836FB" w:rsidRDefault="00E836FB">
            <w:pPr>
              <w:rPr>
                <w:rFonts w:ascii="宋体"/>
                <w:vanish/>
              </w:rPr>
            </w:pPr>
          </w:p>
        </w:tc>
        <w:tc>
          <w:tcPr>
            <w:tcW w:w="0" w:type="auto"/>
            <w:gridSpan w:val="3"/>
            <w:shd w:val="clear" w:color="auto" w:fill="auto"/>
            <w:vAlign w:val="bottom"/>
          </w:tcPr>
          <w:p w14:paraId="5F2CA8AF" w14:textId="77777777" w:rsidR="00E836FB" w:rsidRDefault="00E836FB">
            <w:pPr>
              <w:rPr>
                <w:rFonts w:ascii="宋体"/>
                <w:vanish/>
              </w:rPr>
            </w:pPr>
          </w:p>
        </w:tc>
      </w:tr>
      <w:tr w:rsidR="00E836FB" w14:paraId="5F2CA8C6" w14:textId="77777777">
        <w:tc>
          <w:tcPr>
            <w:tcW w:w="0" w:type="auto"/>
            <w:gridSpan w:val="3"/>
            <w:shd w:val="clear" w:color="auto" w:fill="CCEEFF"/>
            <w:tcMar>
              <w:top w:w="40" w:type="dxa"/>
              <w:left w:w="20" w:type="dxa"/>
              <w:bottom w:w="40" w:type="dxa"/>
              <w:right w:w="20" w:type="dxa"/>
            </w:tcMar>
            <w:vAlign w:val="bottom"/>
          </w:tcPr>
          <w:p w14:paraId="5F2CA8B1" w14:textId="77777777" w:rsidR="00E836FB" w:rsidRDefault="00994958">
            <w:pPr>
              <w:textAlignment w:val="bottom"/>
            </w:pPr>
            <w:r>
              <w:rPr>
                <w:rFonts w:ascii="Arial" w:eastAsia="宋体" w:hAnsi="Arial" w:cs="Arial"/>
                <w:color w:val="000000"/>
                <w:sz w:val="14"/>
                <w:szCs w:val="14"/>
              </w:rPr>
              <w:t>Pension products</w:t>
            </w:r>
          </w:p>
        </w:tc>
        <w:tc>
          <w:tcPr>
            <w:tcW w:w="0" w:type="auto"/>
            <w:gridSpan w:val="2"/>
            <w:shd w:val="clear" w:color="auto" w:fill="CCEEFF"/>
            <w:tcMar>
              <w:top w:w="40" w:type="dxa"/>
              <w:left w:w="20" w:type="dxa"/>
              <w:bottom w:w="40" w:type="dxa"/>
              <w:right w:w="0" w:type="dxa"/>
            </w:tcMar>
            <w:vAlign w:val="bottom"/>
          </w:tcPr>
          <w:p w14:paraId="5F2CA8B2" w14:textId="77777777" w:rsidR="00E836FB" w:rsidRDefault="00994958">
            <w:pPr>
              <w:jc w:val="right"/>
              <w:textAlignment w:val="bottom"/>
            </w:pPr>
            <w:r>
              <w:rPr>
                <w:rFonts w:ascii="Arial" w:eastAsia="宋体" w:hAnsi="Arial" w:cs="Arial"/>
                <w:b/>
                <w:bCs/>
                <w:color w:val="000000"/>
                <w:sz w:val="14"/>
                <w:szCs w:val="14"/>
              </w:rPr>
              <w:t>8,443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8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B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8B5" w14:textId="77777777" w:rsidR="00E836FB" w:rsidRDefault="00994958">
            <w:pPr>
              <w:jc w:val="right"/>
              <w:textAlignment w:val="bottom"/>
            </w:pPr>
            <w:r>
              <w:rPr>
                <w:rFonts w:ascii="Arial" w:eastAsia="宋体" w:hAnsi="Arial" w:cs="Arial"/>
                <w:color w:val="000000"/>
                <w:sz w:val="14"/>
                <w:szCs w:val="14"/>
              </w:rPr>
              <w:t>7,594 </w:t>
            </w:r>
          </w:p>
        </w:tc>
        <w:tc>
          <w:tcPr>
            <w:tcW w:w="0" w:type="auto"/>
            <w:shd w:val="clear" w:color="auto" w:fill="CCEEFF"/>
            <w:tcMar>
              <w:top w:w="40" w:type="dxa"/>
              <w:left w:w="0" w:type="dxa"/>
              <w:bottom w:w="40" w:type="dxa"/>
              <w:right w:w="20" w:type="dxa"/>
            </w:tcMar>
            <w:vAlign w:val="bottom"/>
          </w:tcPr>
          <w:p w14:paraId="5F2CA8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8B8" w14:textId="77777777" w:rsidR="00E836FB" w:rsidRDefault="00994958">
            <w:pPr>
              <w:jc w:val="right"/>
              <w:textAlignment w:val="bottom"/>
            </w:pPr>
            <w:r>
              <w:rPr>
                <w:rFonts w:ascii="Arial" w:eastAsia="宋体" w:hAnsi="Arial" w:cs="Arial"/>
                <w:color w:val="000000"/>
                <w:sz w:val="14"/>
                <w:szCs w:val="14"/>
              </w:rPr>
              <w:t>6,919 </w:t>
            </w:r>
          </w:p>
        </w:tc>
        <w:tc>
          <w:tcPr>
            <w:tcW w:w="0" w:type="auto"/>
            <w:shd w:val="clear" w:color="auto" w:fill="CCEEFF"/>
            <w:tcMar>
              <w:top w:w="40" w:type="dxa"/>
              <w:left w:w="0" w:type="dxa"/>
              <w:bottom w:w="40" w:type="dxa"/>
              <w:right w:w="20" w:type="dxa"/>
            </w:tcMar>
            <w:vAlign w:val="bottom"/>
          </w:tcPr>
          <w:p w14:paraId="5F2CA8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BA" w14:textId="77777777" w:rsidR="00E836FB" w:rsidRDefault="00E836FB">
            <w:pPr>
              <w:rPr>
                <w:rFonts w:ascii="宋体"/>
              </w:rPr>
            </w:pPr>
          </w:p>
        </w:tc>
        <w:tc>
          <w:tcPr>
            <w:tcW w:w="0" w:type="auto"/>
            <w:shd w:val="clear" w:color="auto" w:fill="auto"/>
            <w:vAlign w:val="bottom"/>
          </w:tcPr>
          <w:p w14:paraId="5F2CA8BB" w14:textId="77777777" w:rsidR="00E836FB" w:rsidRDefault="00E836FB">
            <w:pPr>
              <w:rPr>
                <w:rFonts w:ascii="宋体"/>
                <w:vanish/>
              </w:rPr>
            </w:pPr>
          </w:p>
        </w:tc>
        <w:tc>
          <w:tcPr>
            <w:tcW w:w="0" w:type="auto"/>
            <w:shd w:val="clear" w:color="auto" w:fill="auto"/>
            <w:vAlign w:val="bottom"/>
          </w:tcPr>
          <w:p w14:paraId="5F2CA8BC" w14:textId="77777777" w:rsidR="00E836FB" w:rsidRDefault="00E836FB">
            <w:pPr>
              <w:rPr>
                <w:rFonts w:ascii="宋体"/>
                <w:vanish/>
              </w:rPr>
            </w:pPr>
          </w:p>
        </w:tc>
        <w:tc>
          <w:tcPr>
            <w:tcW w:w="0" w:type="auto"/>
            <w:shd w:val="clear" w:color="auto" w:fill="auto"/>
            <w:vAlign w:val="bottom"/>
          </w:tcPr>
          <w:p w14:paraId="5F2CA8BD" w14:textId="77777777" w:rsidR="00E836FB" w:rsidRDefault="00E836FB">
            <w:pPr>
              <w:rPr>
                <w:rFonts w:ascii="宋体"/>
                <w:vanish/>
              </w:rPr>
            </w:pPr>
          </w:p>
        </w:tc>
        <w:tc>
          <w:tcPr>
            <w:tcW w:w="0" w:type="auto"/>
            <w:shd w:val="clear" w:color="auto" w:fill="auto"/>
            <w:vAlign w:val="bottom"/>
          </w:tcPr>
          <w:p w14:paraId="5F2CA8BE"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8BF" w14:textId="77777777" w:rsidR="00E836FB" w:rsidRDefault="00994958">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5F2CA8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8C2"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F2CA8C3" w14:textId="77777777" w:rsidR="00E836FB" w:rsidRDefault="00E836FB">
            <w:pPr>
              <w:jc w:val="right"/>
              <w:rPr>
                <w:rFonts w:ascii="宋体"/>
              </w:rPr>
            </w:pPr>
          </w:p>
        </w:tc>
        <w:tc>
          <w:tcPr>
            <w:tcW w:w="0" w:type="auto"/>
            <w:gridSpan w:val="3"/>
            <w:shd w:val="clear" w:color="auto" w:fill="auto"/>
            <w:vAlign w:val="bottom"/>
          </w:tcPr>
          <w:p w14:paraId="5F2CA8C4" w14:textId="77777777" w:rsidR="00E836FB" w:rsidRDefault="00E836FB">
            <w:pPr>
              <w:rPr>
                <w:rFonts w:ascii="宋体"/>
                <w:vanish/>
              </w:rPr>
            </w:pPr>
          </w:p>
        </w:tc>
        <w:tc>
          <w:tcPr>
            <w:tcW w:w="0" w:type="auto"/>
            <w:gridSpan w:val="3"/>
            <w:shd w:val="clear" w:color="auto" w:fill="auto"/>
            <w:vAlign w:val="bottom"/>
          </w:tcPr>
          <w:p w14:paraId="5F2CA8C5" w14:textId="77777777" w:rsidR="00E836FB" w:rsidRDefault="00E836FB">
            <w:pPr>
              <w:rPr>
                <w:rFonts w:ascii="宋体"/>
                <w:vanish/>
              </w:rPr>
            </w:pPr>
          </w:p>
        </w:tc>
      </w:tr>
      <w:tr w:rsidR="00E836FB" w14:paraId="5F2CA8DC" w14:textId="77777777">
        <w:tc>
          <w:tcPr>
            <w:tcW w:w="0" w:type="auto"/>
            <w:gridSpan w:val="3"/>
            <w:shd w:val="clear" w:color="auto" w:fill="FFFFFF"/>
            <w:tcMar>
              <w:top w:w="40" w:type="dxa"/>
              <w:left w:w="20" w:type="dxa"/>
              <w:bottom w:w="40" w:type="dxa"/>
              <w:right w:w="20" w:type="dxa"/>
            </w:tcMar>
            <w:vAlign w:val="bottom"/>
          </w:tcPr>
          <w:p w14:paraId="5F2CA8C7" w14:textId="77777777" w:rsidR="00E836FB" w:rsidRDefault="00994958">
            <w:pPr>
              <w:textAlignment w:val="bottom"/>
            </w:pPr>
            <w:r>
              <w:rPr>
                <w:rFonts w:ascii="Arial" w:eastAsia="宋体" w:hAnsi="Arial" w:cs="Arial"/>
                <w:color w:val="000000"/>
                <w:sz w:val="14"/>
                <w:szCs w:val="14"/>
              </w:rPr>
              <w:t>Insurance and other products</w:t>
            </w:r>
          </w:p>
        </w:tc>
        <w:tc>
          <w:tcPr>
            <w:tcW w:w="0" w:type="auto"/>
            <w:gridSpan w:val="2"/>
            <w:shd w:val="clear" w:color="auto" w:fill="FFFFFF"/>
            <w:tcMar>
              <w:top w:w="40" w:type="dxa"/>
              <w:left w:w="20" w:type="dxa"/>
              <w:bottom w:w="40" w:type="dxa"/>
              <w:right w:w="0" w:type="dxa"/>
            </w:tcMar>
            <w:vAlign w:val="bottom"/>
          </w:tcPr>
          <w:p w14:paraId="5F2CA8C8" w14:textId="77777777" w:rsidR="00E836FB" w:rsidRDefault="00994958">
            <w:pPr>
              <w:jc w:val="right"/>
              <w:textAlignment w:val="bottom"/>
            </w:pPr>
            <w:r>
              <w:rPr>
                <w:rFonts w:ascii="Arial" w:eastAsia="宋体" w:hAnsi="Arial" w:cs="Arial"/>
                <w:b/>
                <w:bCs/>
                <w:color w:val="000000"/>
                <w:sz w:val="14"/>
                <w:szCs w:val="14"/>
              </w:rPr>
              <w:t>7,938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8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C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8CB" w14:textId="77777777" w:rsidR="00E836FB" w:rsidRDefault="00994958">
            <w:pPr>
              <w:jc w:val="right"/>
              <w:textAlignment w:val="bottom"/>
            </w:pPr>
            <w:r>
              <w:rPr>
                <w:rFonts w:ascii="Arial" w:eastAsia="宋体" w:hAnsi="Arial" w:cs="Arial"/>
                <w:color w:val="000000"/>
                <w:sz w:val="14"/>
                <w:szCs w:val="14"/>
              </w:rPr>
              <w:t>8,000 </w:t>
            </w:r>
          </w:p>
        </w:tc>
        <w:tc>
          <w:tcPr>
            <w:tcW w:w="0" w:type="auto"/>
            <w:shd w:val="clear" w:color="auto" w:fill="FFFFFF"/>
            <w:tcMar>
              <w:top w:w="40" w:type="dxa"/>
              <w:left w:w="0" w:type="dxa"/>
              <w:bottom w:w="40" w:type="dxa"/>
              <w:right w:w="20" w:type="dxa"/>
            </w:tcMar>
            <w:vAlign w:val="bottom"/>
          </w:tcPr>
          <w:p w14:paraId="5F2CA8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C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8CE" w14:textId="77777777" w:rsidR="00E836FB" w:rsidRDefault="00994958">
            <w:pPr>
              <w:jc w:val="right"/>
              <w:textAlignment w:val="bottom"/>
            </w:pPr>
            <w:r>
              <w:rPr>
                <w:rFonts w:ascii="Arial" w:eastAsia="宋体" w:hAnsi="Arial" w:cs="Arial"/>
                <w:color w:val="000000"/>
                <w:sz w:val="14"/>
                <w:szCs w:val="14"/>
              </w:rPr>
              <w:t>7,137 </w:t>
            </w:r>
          </w:p>
        </w:tc>
        <w:tc>
          <w:tcPr>
            <w:tcW w:w="0" w:type="auto"/>
            <w:shd w:val="clear" w:color="auto" w:fill="FFFFFF"/>
            <w:tcMar>
              <w:top w:w="40" w:type="dxa"/>
              <w:left w:w="0" w:type="dxa"/>
              <w:bottom w:w="40" w:type="dxa"/>
              <w:right w:w="20" w:type="dxa"/>
            </w:tcMar>
            <w:vAlign w:val="bottom"/>
          </w:tcPr>
          <w:p w14:paraId="5F2CA8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D0" w14:textId="77777777" w:rsidR="00E836FB" w:rsidRDefault="00E836FB">
            <w:pPr>
              <w:rPr>
                <w:rFonts w:ascii="宋体"/>
              </w:rPr>
            </w:pPr>
          </w:p>
        </w:tc>
        <w:tc>
          <w:tcPr>
            <w:tcW w:w="0" w:type="auto"/>
            <w:shd w:val="clear" w:color="auto" w:fill="auto"/>
            <w:vAlign w:val="bottom"/>
          </w:tcPr>
          <w:p w14:paraId="5F2CA8D1" w14:textId="77777777" w:rsidR="00E836FB" w:rsidRDefault="00E836FB">
            <w:pPr>
              <w:rPr>
                <w:rFonts w:ascii="宋体"/>
                <w:vanish/>
              </w:rPr>
            </w:pPr>
          </w:p>
        </w:tc>
        <w:tc>
          <w:tcPr>
            <w:tcW w:w="0" w:type="auto"/>
            <w:shd w:val="clear" w:color="auto" w:fill="auto"/>
            <w:vAlign w:val="bottom"/>
          </w:tcPr>
          <w:p w14:paraId="5F2CA8D2" w14:textId="77777777" w:rsidR="00E836FB" w:rsidRDefault="00E836FB">
            <w:pPr>
              <w:rPr>
                <w:rFonts w:ascii="宋体"/>
                <w:vanish/>
              </w:rPr>
            </w:pPr>
          </w:p>
        </w:tc>
        <w:tc>
          <w:tcPr>
            <w:tcW w:w="0" w:type="auto"/>
            <w:shd w:val="clear" w:color="auto" w:fill="auto"/>
            <w:vAlign w:val="bottom"/>
          </w:tcPr>
          <w:p w14:paraId="5F2CA8D3" w14:textId="77777777" w:rsidR="00E836FB" w:rsidRDefault="00E836FB">
            <w:pPr>
              <w:rPr>
                <w:rFonts w:ascii="宋体"/>
                <w:vanish/>
              </w:rPr>
            </w:pPr>
          </w:p>
        </w:tc>
        <w:tc>
          <w:tcPr>
            <w:tcW w:w="0" w:type="auto"/>
            <w:shd w:val="clear" w:color="auto" w:fill="auto"/>
            <w:vAlign w:val="bottom"/>
          </w:tcPr>
          <w:p w14:paraId="5F2CA8D4"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8D5"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A8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8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8D8" w14:textId="77777777" w:rsidR="00E836FB" w:rsidRDefault="00994958">
            <w:pPr>
              <w:jc w:val="right"/>
              <w:textAlignment w:val="bottom"/>
            </w:pPr>
            <w:r>
              <w:rPr>
                <w:rFonts w:ascii="Arial" w:eastAsia="宋体" w:hAnsi="Arial" w:cs="Arial"/>
                <w:color w:val="000000"/>
                <w:sz w:val="14"/>
                <w:szCs w:val="14"/>
              </w:rPr>
              <w:t>12 </w:t>
            </w:r>
          </w:p>
        </w:tc>
        <w:tc>
          <w:tcPr>
            <w:tcW w:w="0" w:type="auto"/>
            <w:shd w:val="clear" w:color="auto" w:fill="FFFFFF"/>
            <w:tcMar>
              <w:top w:w="40" w:type="dxa"/>
              <w:left w:w="0" w:type="dxa"/>
              <w:bottom w:w="40" w:type="dxa"/>
              <w:right w:w="20" w:type="dxa"/>
            </w:tcMar>
            <w:vAlign w:val="bottom"/>
          </w:tcPr>
          <w:p w14:paraId="5F2CA8D9" w14:textId="77777777" w:rsidR="00E836FB" w:rsidRDefault="00E836FB">
            <w:pPr>
              <w:jc w:val="right"/>
              <w:rPr>
                <w:rFonts w:ascii="宋体"/>
              </w:rPr>
            </w:pPr>
          </w:p>
        </w:tc>
        <w:tc>
          <w:tcPr>
            <w:tcW w:w="0" w:type="auto"/>
            <w:gridSpan w:val="3"/>
            <w:shd w:val="clear" w:color="auto" w:fill="auto"/>
            <w:vAlign w:val="bottom"/>
          </w:tcPr>
          <w:p w14:paraId="5F2CA8DA" w14:textId="77777777" w:rsidR="00E836FB" w:rsidRDefault="00E836FB">
            <w:pPr>
              <w:rPr>
                <w:rFonts w:ascii="宋体"/>
                <w:vanish/>
              </w:rPr>
            </w:pPr>
          </w:p>
        </w:tc>
        <w:tc>
          <w:tcPr>
            <w:tcW w:w="0" w:type="auto"/>
            <w:gridSpan w:val="3"/>
            <w:shd w:val="clear" w:color="auto" w:fill="auto"/>
            <w:vAlign w:val="bottom"/>
          </w:tcPr>
          <w:p w14:paraId="5F2CA8DB" w14:textId="77777777" w:rsidR="00E836FB" w:rsidRDefault="00E836FB">
            <w:pPr>
              <w:rPr>
                <w:rFonts w:ascii="宋体"/>
                <w:vanish/>
              </w:rPr>
            </w:pPr>
          </w:p>
        </w:tc>
      </w:tr>
      <w:tr w:rsidR="00E836FB" w14:paraId="5F2CA8F5" w14:textId="77777777">
        <w:tc>
          <w:tcPr>
            <w:tcW w:w="0" w:type="auto"/>
            <w:gridSpan w:val="3"/>
            <w:shd w:val="clear" w:color="auto" w:fill="CCEEFF"/>
            <w:tcMar>
              <w:top w:w="40" w:type="dxa"/>
              <w:left w:w="20" w:type="dxa"/>
              <w:bottom w:w="40" w:type="dxa"/>
              <w:right w:w="20" w:type="dxa"/>
            </w:tcMar>
            <w:vAlign w:val="bottom"/>
          </w:tcPr>
          <w:p w14:paraId="5F2CA8DD" w14:textId="77777777" w:rsidR="00E836FB" w:rsidRDefault="00994958">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8D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8DF" w14:textId="77777777" w:rsidR="00E836FB" w:rsidRDefault="00994958">
            <w:pPr>
              <w:jc w:val="right"/>
              <w:textAlignment w:val="bottom"/>
            </w:pPr>
            <w:r>
              <w:rPr>
                <w:rFonts w:ascii="Arial" w:eastAsia="宋体" w:hAnsi="Arial" w:cs="Arial"/>
                <w:b/>
                <w:bCs/>
                <w:color w:val="000000"/>
                <w:sz w:val="14"/>
                <w:szCs w:val="14"/>
              </w:rPr>
              <w:t>43,678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8E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E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8E2"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8E3" w14:textId="77777777" w:rsidR="00E836FB" w:rsidRDefault="00994958">
            <w:pPr>
              <w:jc w:val="right"/>
              <w:textAlignment w:val="bottom"/>
            </w:pPr>
            <w:r>
              <w:rPr>
                <w:rFonts w:ascii="Arial" w:eastAsia="宋体" w:hAnsi="Arial" w:cs="Arial"/>
                <w:color w:val="000000"/>
                <w:sz w:val="14"/>
                <w:szCs w:val="14"/>
              </w:rPr>
              <w:t>38,791 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8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E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8E6"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8E7" w14:textId="77777777" w:rsidR="00E836FB" w:rsidRDefault="00994958">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8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E9" w14:textId="77777777" w:rsidR="00E836FB" w:rsidRDefault="00E836FB">
            <w:pPr>
              <w:rPr>
                <w:rFonts w:ascii="宋体"/>
              </w:rPr>
            </w:pPr>
          </w:p>
        </w:tc>
        <w:tc>
          <w:tcPr>
            <w:tcW w:w="0" w:type="auto"/>
            <w:shd w:val="clear" w:color="auto" w:fill="auto"/>
            <w:vAlign w:val="bottom"/>
          </w:tcPr>
          <w:p w14:paraId="5F2CA8EA" w14:textId="77777777" w:rsidR="00E836FB" w:rsidRDefault="00E836FB">
            <w:pPr>
              <w:rPr>
                <w:rFonts w:ascii="宋体"/>
                <w:vanish/>
              </w:rPr>
            </w:pPr>
          </w:p>
        </w:tc>
        <w:tc>
          <w:tcPr>
            <w:tcW w:w="0" w:type="auto"/>
            <w:shd w:val="clear" w:color="auto" w:fill="auto"/>
            <w:vAlign w:val="bottom"/>
          </w:tcPr>
          <w:p w14:paraId="5F2CA8EB" w14:textId="77777777" w:rsidR="00E836FB" w:rsidRDefault="00E836FB">
            <w:pPr>
              <w:rPr>
                <w:rFonts w:ascii="宋体"/>
                <w:vanish/>
              </w:rPr>
            </w:pPr>
          </w:p>
        </w:tc>
        <w:tc>
          <w:tcPr>
            <w:tcW w:w="0" w:type="auto"/>
            <w:shd w:val="clear" w:color="auto" w:fill="auto"/>
            <w:vAlign w:val="bottom"/>
          </w:tcPr>
          <w:p w14:paraId="5F2CA8EC" w14:textId="77777777" w:rsidR="00E836FB" w:rsidRDefault="00E836FB">
            <w:pPr>
              <w:rPr>
                <w:rFonts w:ascii="宋体"/>
                <w:vanish/>
              </w:rPr>
            </w:pPr>
          </w:p>
        </w:tc>
        <w:tc>
          <w:tcPr>
            <w:tcW w:w="0" w:type="auto"/>
            <w:shd w:val="clear" w:color="auto" w:fill="auto"/>
            <w:vAlign w:val="bottom"/>
          </w:tcPr>
          <w:p w14:paraId="5F2CA8ED"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8EE"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5F2CA8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8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8F1"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5F2CA8F2" w14:textId="77777777" w:rsidR="00E836FB" w:rsidRDefault="00E836FB">
            <w:pPr>
              <w:jc w:val="right"/>
              <w:rPr>
                <w:rFonts w:ascii="宋体"/>
              </w:rPr>
            </w:pPr>
          </w:p>
        </w:tc>
        <w:tc>
          <w:tcPr>
            <w:tcW w:w="0" w:type="auto"/>
            <w:gridSpan w:val="3"/>
            <w:shd w:val="clear" w:color="auto" w:fill="auto"/>
            <w:vAlign w:val="bottom"/>
          </w:tcPr>
          <w:p w14:paraId="5F2CA8F3" w14:textId="77777777" w:rsidR="00E836FB" w:rsidRDefault="00E836FB">
            <w:pPr>
              <w:rPr>
                <w:rFonts w:ascii="宋体"/>
                <w:vanish/>
              </w:rPr>
            </w:pPr>
          </w:p>
        </w:tc>
        <w:tc>
          <w:tcPr>
            <w:tcW w:w="0" w:type="auto"/>
            <w:gridSpan w:val="3"/>
            <w:shd w:val="clear" w:color="auto" w:fill="auto"/>
            <w:vAlign w:val="bottom"/>
          </w:tcPr>
          <w:p w14:paraId="5F2CA8F4" w14:textId="77777777" w:rsidR="00E836FB" w:rsidRDefault="00E836FB">
            <w:pPr>
              <w:rPr>
                <w:rFonts w:ascii="宋体"/>
                <w:vanish/>
              </w:rPr>
            </w:pPr>
          </w:p>
        </w:tc>
      </w:tr>
    </w:tbl>
    <w:p w14:paraId="5F2CA8F6"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601"/>
        <w:gridCol w:w="36"/>
        <w:gridCol w:w="99"/>
        <w:gridCol w:w="1178"/>
        <w:gridCol w:w="37"/>
        <w:gridCol w:w="36"/>
        <w:gridCol w:w="36"/>
        <w:gridCol w:w="36"/>
        <w:gridCol w:w="99"/>
        <w:gridCol w:w="1130"/>
        <w:gridCol w:w="37"/>
        <w:gridCol w:w="36"/>
        <w:gridCol w:w="36"/>
        <w:gridCol w:w="36"/>
        <w:gridCol w:w="99"/>
        <w:gridCol w:w="1130"/>
        <w:gridCol w:w="37"/>
        <w:gridCol w:w="36"/>
        <w:gridCol w:w="36"/>
        <w:gridCol w:w="36"/>
        <w:gridCol w:w="36"/>
        <w:gridCol w:w="36"/>
        <w:gridCol w:w="36"/>
        <w:gridCol w:w="36"/>
        <w:gridCol w:w="36"/>
        <w:gridCol w:w="46"/>
        <w:gridCol w:w="747"/>
        <w:gridCol w:w="145"/>
        <w:gridCol w:w="36"/>
        <w:gridCol w:w="36"/>
        <w:gridCol w:w="36"/>
        <w:gridCol w:w="36"/>
        <w:gridCol w:w="36"/>
        <w:gridCol w:w="36"/>
        <w:gridCol w:w="46"/>
        <w:gridCol w:w="748"/>
        <w:gridCol w:w="145"/>
        <w:gridCol w:w="36"/>
        <w:gridCol w:w="36"/>
        <w:gridCol w:w="36"/>
        <w:gridCol w:w="36"/>
        <w:gridCol w:w="36"/>
        <w:gridCol w:w="36"/>
      </w:tblGrid>
      <w:tr w:rsidR="00E836FB" w14:paraId="5F2CA91D" w14:textId="77777777">
        <w:tc>
          <w:tcPr>
            <w:tcW w:w="50" w:type="pct"/>
            <w:shd w:val="clear" w:color="auto" w:fill="auto"/>
            <w:vAlign w:val="bottom"/>
          </w:tcPr>
          <w:p w14:paraId="5F2CA8F7" w14:textId="77777777" w:rsidR="00E836FB" w:rsidRDefault="00E836FB">
            <w:pPr>
              <w:rPr>
                <w:rFonts w:ascii="宋体"/>
              </w:rPr>
            </w:pPr>
          </w:p>
        </w:tc>
        <w:tc>
          <w:tcPr>
            <w:tcW w:w="1063" w:type="pct"/>
            <w:shd w:val="clear" w:color="auto" w:fill="auto"/>
            <w:vAlign w:val="bottom"/>
          </w:tcPr>
          <w:p w14:paraId="5F2CA8F8" w14:textId="77777777" w:rsidR="00E836FB" w:rsidRDefault="00E836FB">
            <w:pPr>
              <w:rPr>
                <w:rFonts w:ascii="宋体"/>
              </w:rPr>
            </w:pPr>
          </w:p>
        </w:tc>
        <w:tc>
          <w:tcPr>
            <w:tcW w:w="5" w:type="pct"/>
            <w:shd w:val="clear" w:color="auto" w:fill="auto"/>
            <w:vAlign w:val="bottom"/>
          </w:tcPr>
          <w:p w14:paraId="5F2CA8F9" w14:textId="77777777" w:rsidR="00E836FB" w:rsidRDefault="00E836FB">
            <w:pPr>
              <w:rPr>
                <w:rFonts w:ascii="宋体"/>
              </w:rPr>
            </w:pPr>
          </w:p>
        </w:tc>
        <w:tc>
          <w:tcPr>
            <w:tcW w:w="50" w:type="pct"/>
            <w:shd w:val="clear" w:color="auto" w:fill="auto"/>
            <w:vAlign w:val="bottom"/>
          </w:tcPr>
          <w:p w14:paraId="5F2CA8FA" w14:textId="77777777" w:rsidR="00E836FB" w:rsidRDefault="00E836FB">
            <w:pPr>
              <w:rPr>
                <w:rFonts w:ascii="宋体"/>
              </w:rPr>
            </w:pPr>
          </w:p>
        </w:tc>
        <w:tc>
          <w:tcPr>
            <w:tcW w:w="785" w:type="pct"/>
            <w:shd w:val="clear" w:color="auto" w:fill="auto"/>
            <w:vAlign w:val="bottom"/>
          </w:tcPr>
          <w:p w14:paraId="5F2CA8FB" w14:textId="77777777" w:rsidR="00E836FB" w:rsidRDefault="00E836FB">
            <w:pPr>
              <w:rPr>
                <w:rFonts w:ascii="宋体"/>
              </w:rPr>
            </w:pPr>
          </w:p>
        </w:tc>
        <w:tc>
          <w:tcPr>
            <w:tcW w:w="5" w:type="pct"/>
            <w:shd w:val="clear" w:color="auto" w:fill="auto"/>
            <w:vAlign w:val="bottom"/>
          </w:tcPr>
          <w:p w14:paraId="5F2CA8FC" w14:textId="77777777" w:rsidR="00E836FB" w:rsidRDefault="00E836FB">
            <w:pPr>
              <w:rPr>
                <w:rFonts w:ascii="宋体"/>
              </w:rPr>
            </w:pPr>
          </w:p>
        </w:tc>
        <w:tc>
          <w:tcPr>
            <w:tcW w:w="5" w:type="pct"/>
            <w:shd w:val="clear" w:color="auto" w:fill="auto"/>
            <w:vAlign w:val="bottom"/>
          </w:tcPr>
          <w:p w14:paraId="5F2CA8FD" w14:textId="77777777" w:rsidR="00E836FB" w:rsidRDefault="00E836FB">
            <w:pPr>
              <w:rPr>
                <w:rFonts w:ascii="宋体"/>
              </w:rPr>
            </w:pPr>
          </w:p>
        </w:tc>
        <w:tc>
          <w:tcPr>
            <w:tcW w:w="26" w:type="pct"/>
            <w:shd w:val="clear" w:color="auto" w:fill="auto"/>
            <w:vAlign w:val="bottom"/>
          </w:tcPr>
          <w:p w14:paraId="5F2CA8FE" w14:textId="77777777" w:rsidR="00E836FB" w:rsidRDefault="00E836FB">
            <w:pPr>
              <w:rPr>
                <w:rFonts w:ascii="宋体"/>
              </w:rPr>
            </w:pPr>
          </w:p>
        </w:tc>
        <w:tc>
          <w:tcPr>
            <w:tcW w:w="5" w:type="pct"/>
            <w:shd w:val="clear" w:color="auto" w:fill="auto"/>
            <w:vAlign w:val="bottom"/>
          </w:tcPr>
          <w:p w14:paraId="5F2CA8FF" w14:textId="77777777" w:rsidR="00E836FB" w:rsidRDefault="00E836FB">
            <w:pPr>
              <w:rPr>
                <w:rFonts w:ascii="宋体"/>
              </w:rPr>
            </w:pPr>
          </w:p>
        </w:tc>
        <w:tc>
          <w:tcPr>
            <w:tcW w:w="50" w:type="pct"/>
            <w:shd w:val="clear" w:color="auto" w:fill="auto"/>
            <w:vAlign w:val="bottom"/>
          </w:tcPr>
          <w:p w14:paraId="5F2CA900" w14:textId="77777777" w:rsidR="00E836FB" w:rsidRDefault="00E836FB">
            <w:pPr>
              <w:rPr>
                <w:rFonts w:ascii="宋体"/>
              </w:rPr>
            </w:pPr>
          </w:p>
        </w:tc>
        <w:tc>
          <w:tcPr>
            <w:tcW w:w="785" w:type="pct"/>
            <w:shd w:val="clear" w:color="auto" w:fill="auto"/>
            <w:vAlign w:val="bottom"/>
          </w:tcPr>
          <w:p w14:paraId="5F2CA901" w14:textId="77777777" w:rsidR="00E836FB" w:rsidRDefault="00E836FB">
            <w:pPr>
              <w:rPr>
                <w:rFonts w:ascii="宋体"/>
              </w:rPr>
            </w:pPr>
          </w:p>
        </w:tc>
        <w:tc>
          <w:tcPr>
            <w:tcW w:w="5" w:type="pct"/>
            <w:shd w:val="clear" w:color="auto" w:fill="auto"/>
            <w:vAlign w:val="bottom"/>
          </w:tcPr>
          <w:p w14:paraId="5F2CA902" w14:textId="77777777" w:rsidR="00E836FB" w:rsidRDefault="00E836FB">
            <w:pPr>
              <w:rPr>
                <w:rFonts w:ascii="宋体"/>
              </w:rPr>
            </w:pPr>
          </w:p>
        </w:tc>
        <w:tc>
          <w:tcPr>
            <w:tcW w:w="5" w:type="pct"/>
            <w:shd w:val="clear" w:color="auto" w:fill="auto"/>
            <w:vAlign w:val="bottom"/>
          </w:tcPr>
          <w:p w14:paraId="5F2CA903" w14:textId="77777777" w:rsidR="00E836FB" w:rsidRDefault="00E836FB">
            <w:pPr>
              <w:rPr>
                <w:rFonts w:ascii="宋体"/>
              </w:rPr>
            </w:pPr>
          </w:p>
        </w:tc>
        <w:tc>
          <w:tcPr>
            <w:tcW w:w="26" w:type="pct"/>
            <w:shd w:val="clear" w:color="auto" w:fill="auto"/>
            <w:vAlign w:val="bottom"/>
          </w:tcPr>
          <w:p w14:paraId="5F2CA904" w14:textId="77777777" w:rsidR="00E836FB" w:rsidRDefault="00E836FB">
            <w:pPr>
              <w:rPr>
                <w:rFonts w:ascii="宋体"/>
              </w:rPr>
            </w:pPr>
          </w:p>
        </w:tc>
        <w:tc>
          <w:tcPr>
            <w:tcW w:w="5" w:type="pct"/>
            <w:shd w:val="clear" w:color="auto" w:fill="auto"/>
            <w:vAlign w:val="bottom"/>
          </w:tcPr>
          <w:p w14:paraId="5F2CA905" w14:textId="77777777" w:rsidR="00E836FB" w:rsidRDefault="00E836FB">
            <w:pPr>
              <w:rPr>
                <w:rFonts w:ascii="宋体"/>
              </w:rPr>
            </w:pPr>
          </w:p>
        </w:tc>
        <w:tc>
          <w:tcPr>
            <w:tcW w:w="50" w:type="pct"/>
            <w:shd w:val="clear" w:color="auto" w:fill="auto"/>
            <w:vAlign w:val="bottom"/>
          </w:tcPr>
          <w:p w14:paraId="5F2CA906" w14:textId="77777777" w:rsidR="00E836FB" w:rsidRDefault="00E836FB">
            <w:pPr>
              <w:rPr>
                <w:rFonts w:ascii="宋体"/>
              </w:rPr>
            </w:pPr>
          </w:p>
        </w:tc>
        <w:tc>
          <w:tcPr>
            <w:tcW w:w="785" w:type="pct"/>
            <w:shd w:val="clear" w:color="auto" w:fill="auto"/>
            <w:vAlign w:val="bottom"/>
          </w:tcPr>
          <w:p w14:paraId="5F2CA907" w14:textId="77777777" w:rsidR="00E836FB" w:rsidRDefault="00E836FB">
            <w:pPr>
              <w:rPr>
                <w:rFonts w:ascii="宋体"/>
              </w:rPr>
            </w:pPr>
          </w:p>
        </w:tc>
        <w:tc>
          <w:tcPr>
            <w:tcW w:w="5" w:type="pct"/>
            <w:shd w:val="clear" w:color="auto" w:fill="auto"/>
            <w:vAlign w:val="bottom"/>
          </w:tcPr>
          <w:p w14:paraId="5F2CA908" w14:textId="77777777" w:rsidR="00E836FB" w:rsidRDefault="00E836FB">
            <w:pPr>
              <w:rPr>
                <w:rFonts w:ascii="宋体"/>
              </w:rPr>
            </w:pPr>
          </w:p>
        </w:tc>
        <w:tc>
          <w:tcPr>
            <w:tcW w:w="0" w:type="auto"/>
            <w:shd w:val="clear" w:color="auto" w:fill="auto"/>
            <w:vAlign w:val="bottom"/>
          </w:tcPr>
          <w:p w14:paraId="5F2CA909" w14:textId="77777777" w:rsidR="00E836FB" w:rsidRDefault="00E836FB">
            <w:pPr>
              <w:rPr>
                <w:rFonts w:ascii="宋体"/>
                <w:vanish/>
              </w:rPr>
            </w:pPr>
          </w:p>
        </w:tc>
        <w:tc>
          <w:tcPr>
            <w:tcW w:w="0" w:type="auto"/>
            <w:shd w:val="clear" w:color="auto" w:fill="auto"/>
            <w:vAlign w:val="bottom"/>
          </w:tcPr>
          <w:p w14:paraId="5F2CA90A" w14:textId="77777777" w:rsidR="00E836FB" w:rsidRDefault="00E836FB">
            <w:pPr>
              <w:rPr>
                <w:rFonts w:ascii="宋体"/>
                <w:vanish/>
              </w:rPr>
            </w:pPr>
          </w:p>
        </w:tc>
        <w:tc>
          <w:tcPr>
            <w:tcW w:w="0" w:type="auto"/>
            <w:shd w:val="clear" w:color="auto" w:fill="auto"/>
            <w:vAlign w:val="bottom"/>
          </w:tcPr>
          <w:p w14:paraId="5F2CA90B" w14:textId="77777777" w:rsidR="00E836FB" w:rsidRDefault="00E836FB">
            <w:pPr>
              <w:rPr>
                <w:rFonts w:ascii="宋体"/>
                <w:vanish/>
              </w:rPr>
            </w:pPr>
          </w:p>
        </w:tc>
        <w:tc>
          <w:tcPr>
            <w:tcW w:w="0" w:type="auto"/>
            <w:shd w:val="clear" w:color="auto" w:fill="auto"/>
            <w:vAlign w:val="bottom"/>
          </w:tcPr>
          <w:p w14:paraId="5F2CA90C" w14:textId="77777777" w:rsidR="00E836FB" w:rsidRDefault="00E836FB">
            <w:pPr>
              <w:rPr>
                <w:rFonts w:ascii="宋体"/>
                <w:vanish/>
              </w:rPr>
            </w:pPr>
          </w:p>
        </w:tc>
        <w:tc>
          <w:tcPr>
            <w:tcW w:w="0" w:type="auto"/>
            <w:shd w:val="clear" w:color="auto" w:fill="auto"/>
            <w:vAlign w:val="bottom"/>
          </w:tcPr>
          <w:p w14:paraId="5F2CA90D" w14:textId="77777777" w:rsidR="00E836FB" w:rsidRDefault="00E836FB">
            <w:pPr>
              <w:rPr>
                <w:rFonts w:ascii="宋体"/>
                <w:vanish/>
              </w:rPr>
            </w:pPr>
          </w:p>
        </w:tc>
        <w:tc>
          <w:tcPr>
            <w:tcW w:w="5" w:type="pct"/>
            <w:shd w:val="clear" w:color="auto" w:fill="auto"/>
            <w:vAlign w:val="bottom"/>
          </w:tcPr>
          <w:p w14:paraId="5F2CA90E" w14:textId="77777777" w:rsidR="00E836FB" w:rsidRDefault="00E836FB">
            <w:pPr>
              <w:rPr>
                <w:rFonts w:ascii="宋体"/>
              </w:rPr>
            </w:pPr>
          </w:p>
        </w:tc>
        <w:tc>
          <w:tcPr>
            <w:tcW w:w="26" w:type="pct"/>
            <w:shd w:val="clear" w:color="auto" w:fill="auto"/>
            <w:vAlign w:val="bottom"/>
          </w:tcPr>
          <w:p w14:paraId="5F2CA90F" w14:textId="77777777" w:rsidR="00E836FB" w:rsidRDefault="00E836FB">
            <w:pPr>
              <w:rPr>
                <w:rFonts w:ascii="宋体"/>
              </w:rPr>
            </w:pPr>
          </w:p>
        </w:tc>
        <w:tc>
          <w:tcPr>
            <w:tcW w:w="5" w:type="pct"/>
            <w:shd w:val="clear" w:color="auto" w:fill="auto"/>
            <w:vAlign w:val="bottom"/>
          </w:tcPr>
          <w:p w14:paraId="5F2CA910" w14:textId="77777777" w:rsidR="00E836FB" w:rsidRDefault="00E836FB">
            <w:pPr>
              <w:rPr>
                <w:rFonts w:ascii="宋体"/>
              </w:rPr>
            </w:pPr>
          </w:p>
        </w:tc>
        <w:tc>
          <w:tcPr>
            <w:tcW w:w="50" w:type="pct"/>
            <w:shd w:val="clear" w:color="auto" w:fill="auto"/>
            <w:vAlign w:val="bottom"/>
          </w:tcPr>
          <w:p w14:paraId="5F2CA911" w14:textId="77777777" w:rsidR="00E836FB" w:rsidRDefault="00E836FB">
            <w:pPr>
              <w:rPr>
                <w:rFonts w:ascii="宋体"/>
              </w:rPr>
            </w:pPr>
          </w:p>
        </w:tc>
        <w:tc>
          <w:tcPr>
            <w:tcW w:w="551" w:type="pct"/>
            <w:shd w:val="clear" w:color="auto" w:fill="auto"/>
            <w:vAlign w:val="bottom"/>
          </w:tcPr>
          <w:p w14:paraId="5F2CA912" w14:textId="77777777" w:rsidR="00E836FB" w:rsidRDefault="00E836FB">
            <w:pPr>
              <w:rPr>
                <w:rFonts w:ascii="宋体"/>
              </w:rPr>
            </w:pPr>
          </w:p>
        </w:tc>
        <w:tc>
          <w:tcPr>
            <w:tcW w:w="5" w:type="pct"/>
            <w:shd w:val="clear" w:color="auto" w:fill="auto"/>
            <w:vAlign w:val="bottom"/>
          </w:tcPr>
          <w:p w14:paraId="5F2CA913" w14:textId="77777777" w:rsidR="00E836FB" w:rsidRDefault="00E836FB">
            <w:pPr>
              <w:rPr>
                <w:rFonts w:ascii="宋体"/>
              </w:rPr>
            </w:pPr>
          </w:p>
        </w:tc>
        <w:tc>
          <w:tcPr>
            <w:tcW w:w="5" w:type="pct"/>
            <w:shd w:val="clear" w:color="auto" w:fill="auto"/>
            <w:vAlign w:val="bottom"/>
          </w:tcPr>
          <w:p w14:paraId="5F2CA914" w14:textId="77777777" w:rsidR="00E836FB" w:rsidRDefault="00E836FB">
            <w:pPr>
              <w:rPr>
                <w:rFonts w:ascii="宋体"/>
              </w:rPr>
            </w:pPr>
          </w:p>
        </w:tc>
        <w:tc>
          <w:tcPr>
            <w:tcW w:w="26" w:type="pct"/>
            <w:shd w:val="clear" w:color="auto" w:fill="auto"/>
            <w:vAlign w:val="bottom"/>
          </w:tcPr>
          <w:p w14:paraId="5F2CA915" w14:textId="77777777" w:rsidR="00E836FB" w:rsidRDefault="00E836FB">
            <w:pPr>
              <w:rPr>
                <w:rFonts w:ascii="宋体"/>
              </w:rPr>
            </w:pPr>
          </w:p>
        </w:tc>
        <w:tc>
          <w:tcPr>
            <w:tcW w:w="5" w:type="pct"/>
            <w:shd w:val="clear" w:color="auto" w:fill="auto"/>
            <w:vAlign w:val="bottom"/>
          </w:tcPr>
          <w:p w14:paraId="5F2CA916" w14:textId="77777777" w:rsidR="00E836FB" w:rsidRDefault="00E836FB">
            <w:pPr>
              <w:rPr>
                <w:rFonts w:ascii="宋体"/>
              </w:rPr>
            </w:pPr>
          </w:p>
        </w:tc>
        <w:tc>
          <w:tcPr>
            <w:tcW w:w="0" w:type="auto"/>
            <w:gridSpan w:val="3"/>
            <w:shd w:val="clear" w:color="auto" w:fill="auto"/>
            <w:vAlign w:val="bottom"/>
          </w:tcPr>
          <w:p w14:paraId="5F2CA917" w14:textId="77777777" w:rsidR="00E836FB" w:rsidRDefault="00E836FB">
            <w:pPr>
              <w:rPr>
                <w:rFonts w:ascii="宋体"/>
                <w:vanish/>
              </w:rPr>
            </w:pPr>
          </w:p>
        </w:tc>
        <w:tc>
          <w:tcPr>
            <w:tcW w:w="50" w:type="pct"/>
            <w:shd w:val="clear" w:color="auto" w:fill="auto"/>
            <w:vAlign w:val="bottom"/>
          </w:tcPr>
          <w:p w14:paraId="5F2CA918" w14:textId="77777777" w:rsidR="00E836FB" w:rsidRDefault="00E836FB">
            <w:pPr>
              <w:rPr>
                <w:rFonts w:ascii="宋体"/>
              </w:rPr>
            </w:pPr>
          </w:p>
        </w:tc>
        <w:tc>
          <w:tcPr>
            <w:tcW w:w="552" w:type="pct"/>
            <w:shd w:val="clear" w:color="auto" w:fill="auto"/>
            <w:vAlign w:val="bottom"/>
          </w:tcPr>
          <w:p w14:paraId="5F2CA919" w14:textId="77777777" w:rsidR="00E836FB" w:rsidRDefault="00E836FB">
            <w:pPr>
              <w:rPr>
                <w:rFonts w:ascii="宋体"/>
              </w:rPr>
            </w:pPr>
          </w:p>
        </w:tc>
        <w:tc>
          <w:tcPr>
            <w:tcW w:w="5" w:type="pct"/>
            <w:shd w:val="clear" w:color="auto" w:fill="auto"/>
            <w:vAlign w:val="bottom"/>
          </w:tcPr>
          <w:p w14:paraId="5F2CA91A" w14:textId="77777777" w:rsidR="00E836FB" w:rsidRDefault="00E836FB">
            <w:pPr>
              <w:rPr>
                <w:rFonts w:ascii="宋体"/>
              </w:rPr>
            </w:pPr>
          </w:p>
        </w:tc>
        <w:tc>
          <w:tcPr>
            <w:tcW w:w="0" w:type="auto"/>
            <w:gridSpan w:val="3"/>
            <w:shd w:val="clear" w:color="auto" w:fill="auto"/>
            <w:vAlign w:val="bottom"/>
          </w:tcPr>
          <w:p w14:paraId="5F2CA91B" w14:textId="77777777" w:rsidR="00E836FB" w:rsidRDefault="00E836FB">
            <w:pPr>
              <w:rPr>
                <w:rFonts w:ascii="宋体"/>
                <w:vanish/>
              </w:rPr>
            </w:pPr>
          </w:p>
        </w:tc>
        <w:tc>
          <w:tcPr>
            <w:tcW w:w="0" w:type="auto"/>
            <w:gridSpan w:val="3"/>
            <w:shd w:val="clear" w:color="auto" w:fill="auto"/>
            <w:vAlign w:val="bottom"/>
          </w:tcPr>
          <w:p w14:paraId="5F2CA91C" w14:textId="77777777" w:rsidR="00E836FB" w:rsidRDefault="00E836FB">
            <w:pPr>
              <w:rPr>
                <w:rFonts w:ascii="宋体"/>
                <w:vanish/>
              </w:rPr>
            </w:pPr>
          </w:p>
        </w:tc>
      </w:tr>
      <w:tr w:rsidR="00E836FB" w14:paraId="5F2CA933" w14:textId="77777777">
        <w:tc>
          <w:tcPr>
            <w:tcW w:w="0" w:type="auto"/>
            <w:gridSpan w:val="22"/>
            <w:shd w:val="clear" w:color="auto" w:fill="auto"/>
            <w:tcMar>
              <w:top w:w="40" w:type="dxa"/>
              <w:left w:w="20" w:type="dxa"/>
              <w:bottom w:w="40" w:type="dxa"/>
              <w:right w:w="20" w:type="dxa"/>
            </w:tcMar>
            <w:vAlign w:val="bottom"/>
          </w:tcPr>
          <w:p w14:paraId="5F2CA91E" w14:textId="77777777" w:rsidR="00E836FB" w:rsidRDefault="00994958">
            <w:pPr>
              <w:textAlignment w:val="bottom"/>
            </w:pPr>
            <w:r>
              <w:rPr>
                <w:rFonts w:ascii="Arial" w:eastAsia="宋体" w:hAnsi="Arial" w:cs="Arial"/>
                <w:b/>
                <w:bCs/>
                <w:color w:val="000000"/>
                <w:sz w:val="16"/>
                <w:szCs w:val="16"/>
              </w:rPr>
              <w:t>TABLE 7: ASSETS UNDER CUSTODY AND/OR ADMINISTRATION BY ASSET CLASS</w:t>
            </w:r>
            <w:r>
              <w:rPr>
                <w:rFonts w:ascii="Arial" w:eastAsia="宋体" w:hAnsi="Arial" w:cs="Arial"/>
                <w:b/>
                <w:bCs/>
                <w:color w:val="000000"/>
                <w:sz w:val="10"/>
                <w:szCs w:val="10"/>
              </w:rPr>
              <w:t>(2)</w:t>
            </w:r>
          </w:p>
        </w:tc>
        <w:tc>
          <w:tcPr>
            <w:tcW w:w="0" w:type="auto"/>
            <w:shd w:val="clear" w:color="auto" w:fill="auto"/>
            <w:vAlign w:val="bottom"/>
          </w:tcPr>
          <w:p w14:paraId="5F2CA91F" w14:textId="77777777" w:rsidR="00E836FB" w:rsidRDefault="00E836FB">
            <w:pPr>
              <w:rPr>
                <w:rFonts w:ascii="宋体"/>
                <w:vanish/>
              </w:rPr>
            </w:pPr>
          </w:p>
        </w:tc>
        <w:tc>
          <w:tcPr>
            <w:tcW w:w="0" w:type="auto"/>
            <w:gridSpan w:val="3"/>
            <w:shd w:val="clear" w:color="auto" w:fill="auto"/>
            <w:vAlign w:val="bottom"/>
          </w:tcPr>
          <w:p w14:paraId="5F2CA920" w14:textId="77777777" w:rsidR="00E836FB" w:rsidRDefault="00E836FB">
            <w:pPr>
              <w:rPr>
                <w:rFonts w:ascii="宋体"/>
                <w:vanish/>
              </w:rPr>
            </w:pPr>
          </w:p>
        </w:tc>
        <w:tc>
          <w:tcPr>
            <w:tcW w:w="0" w:type="auto"/>
            <w:shd w:val="clear" w:color="auto" w:fill="auto"/>
            <w:vAlign w:val="bottom"/>
          </w:tcPr>
          <w:p w14:paraId="5F2CA921" w14:textId="77777777" w:rsidR="00E836FB" w:rsidRDefault="00E836FB">
            <w:pPr>
              <w:rPr>
                <w:rFonts w:ascii="宋体"/>
              </w:rPr>
            </w:pPr>
          </w:p>
        </w:tc>
        <w:tc>
          <w:tcPr>
            <w:tcW w:w="0" w:type="auto"/>
            <w:shd w:val="clear" w:color="auto" w:fill="auto"/>
            <w:vAlign w:val="bottom"/>
          </w:tcPr>
          <w:p w14:paraId="5F2CA922" w14:textId="77777777" w:rsidR="00E836FB" w:rsidRDefault="00E836FB">
            <w:pPr>
              <w:rPr>
                <w:rFonts w:ascii="宋体"/>
              </w:rPr>
            </w:pPr>
          </w:p>
        </w:tc>
        <w:tc>
          <w:tcPr>
            <w:tcW w:w="0" w:type="auto"/>
            <w:shd w:val="clear" w:color="auto" w:fill="auto"/>
            <w:vAlign w:val="bottom"/>
          </w:tcPr>
          <w:p w14:paraId="5F2CA923" w14:textId="77777777" w:rsidR="00E836FB" w:rsidRDefault="00E836FB">
            <w:pPr>
              <w:rPr>
                <w:rFonts w:ascii="宋体"/>
              </w:rPr>
            </w:pPr>
          </w:p>
        </w:tc>
        <w:tc>
          <w:tcPr>
            <w:tcW w:w="0" w:type="auto"/>
            <w:shd w:val="clear" w:color="auto" w:fill="auto"/>
            <w:vAlign w:val="bottom"/>
          </w:tcPr>
          <w:p w14:paraId="5F2CA924" w14:textId="77777777" w:rsidR="00E836FB" w:rsidRDefault="00E836FB">
            <w:pPr>
              <w:rPr>
                <w:rFonts w:ascii="宋体"/>
              </w:rPr>
            </w:pPr>
          </w:p>
        </w:tc>
        <w:tc>
          <w:tcPr>
            <w:tcW w:w="0" w:type="auto"/>
            <w:shd w:val="clear" w:color="auto" w:fill="auto"/>
            <w:vAlign w:val="bottom"/>
          </w:tcPr>
          <w:p w14:paraId="5F2CA925" w14:textId="77777777" w:rsidR="00E836FB" w:rsidRDefault="00E836FB">
            <w:pPr>
              <w:rPr>
                <w:rFonts w:ascii="宋体"/>
              </w:rPr>
            </w:pPr>
          </w:p>
        </w:tc>
        <w:tc>
          <w:tcPr>
            <w:tcW w:w="0" w:type="auto"/>
            <w:shd w:val="clear" w:color="auto" w:fill="auto"/>
            <w:vAlign w:val="bottom"/>
          </w:tcPr>
          <w:p w14:paraId="5F2CA926" w14:textId="77777777" w:rsidR="00E836FB" w:rsidRDefault="00E836FB">
            <w:pPr>
              <w:rPr>
                <w:rFonts w:ascii="宋体"/>
              </w:rPr>
            </w:pPr>
          </w:p>
        </w:tc>
        <w:tc>
          <w:tcPr>
            <w:tcW w:w="0" w:type="auto"/>
            <w:shd w:val="clear" w:color="auto" w:fill="auto"/>
            <w:vAlign w:val="bottom"/>
          </w:tcPr>
          <w:p w14:paraId="5F2CA927" w14:textId="77777777" w:rsidR="00E836FB" w:rsidRDefault="00E836FB">
            <w:pPr>
              <w:rPr>
                <w:rFonts w:ascii="宋体"/>
              </w:rPr>
            </w:pPr>
          </w:p>
        </w:tc>
        <w:tc>
          <w:tcPr>
            <w:tcW w:w="0" w:type="auto"/>
            <w:shd w:val="clear" w:color="auto" w:fill="auto"/>
            <w:vAlign w:val="bottom"/>
          </w:tcPr>
          <w:p w14:paraId="5F2CA928" w14:textId="77777777" w:rsidR="00E836FB" w:rsidRDefault="00E836FB">
            <w:pPr>
              <w:rPr>
                <w:rFonts w:ascii="宋体"/>
              </w:rPr>
            </w:pPr>
          </w:p>
        </w:tc>
        <w:tc>
          <w:tcPr>
            <w:tcW w:w="0" w:type="auto"/>
            <w:shd w:val="clear" w:color="auto" w:fill="auto"/>
            <w:vAlign w:val="bottom"/>
          </w:tcPr>
          <w:p w14:paraId="5F2CA929" w14:textId="77777777" w:rsidR="00E836FB" w:rsidRDefault="00E836FB">
            <w:pPr>
              <w:rPr>
                <w:rFonts w:ascii="宋体"/>
              </w:rPr>
            </w:pPr>
          </w:p>
        </w:tc>
        <w:tc>
          <w:tcPr>
            <w:tcW w:w="0" w:type="auto"/>
            <w:shd w:val="clear" w:color="auto" w:fill="auto"/>
            <w:vAlign w:val="bottom"/>
          </w:tcPr>
          <w:p w14:paraId="5F2CA92A" w14:textId="77777777" w:rsidR="00E836FB" w:rsidRDefault="00E836FB">
            <w:pPr>
              <w:rPr>
                <w:rFonts w:ascii="宋体"/>
              </w:rPr>
            </w:pPr>
          </w:p>
        </w:tc>
        <w:tc>
          <w:tcPr>
            <w:tcW w:w="0" w:type="auto"/>
            <w:shd w:val="clear" w:color="auto" w:fill="auto"/>
            <w:vAlign w:val="bottom"/>
          </w:tcPr>
          <w:p w14:paraId="5F2CA92B" w14:textId="77777777" w:rsidR="00E836FB" w:rsidRDefault="00E836FB">
            <w:pPr>
              <w:rPr>
                <w:rFonts w:ascii="宋体"/>
              </w:rPr>
            </w:pPr>
          </w:p>
        </w:tc>
        <w:tc>
          <w:tcPr>
            <w:tcW w:w="0" w:type="auto"/>
            <w:shd w:val="clear" w:color="auto" w:fill="auto"/>
            <w:vAlign w:val="bottom"/>
          </w:tcPr>
          <w:p w14:paraId="5F2CA92C" w14:textId="77777777" w:rsidR="00E836FB" w:rsidRDefault="00E836FB">
            <w:pPr>
              <w:rPr>
                <w:rFonts w:ascii="宋体"/>
              </w:rPr>
            </w:pPr>
          </w:p>
        </w:tc>
        <w:tc>
          <w:tcPr>
            <w:tcW w:w="0" w:type="auto"/>
            <w:shd w:val="clear" w:color="auto" w:fill="auto"/>
            <w:vAlign w:val="bottom"/>
          </w:tcPr>
          <w:p w14:paraId="5F2CA92D" w14:textId="77777777" w:rsidR="00E836FB" w:rsidRDefault="00E836FB">
            <w:pPr>
              <w:rPr>
                <w:rFonts w:ascii="宋体"/>
              </w:rPr>
            </w:pPr>
          </w:p>
        </w:tc>
        <w:tc>
          <w:tcPr>
            <w:tcW w:w="0" w:type="auto"/>
            <w:shd w:val="clear" w:color="auto" w:fill="auto"/>
            <w:vAlign w:val="bottom"/>
          </w:tcPr>
          <w:p w14:paraId="5F2CA92E" w14:textId="77777777" w:rsidR="00E836FB" w:rsidRDefault="00E836FB">
            <w:pPr>
              <w:rPr>
                <w:rFonts w:ascii="宋体"/>
              </w:rPr>
            </w:pPr>
          </w:p>
        </w:tc>
        <w:tc>
          <w:tcPr>
            <w:tcW w:w="0" w:type="auto"/>
            <w:shd w:val="clear" w:color="auto" w:fill="auto"/>
            <w:vAlign w:val="bottom"/>
          </w:tcPr>
          <w:p w14:paraId="5F2CA92F" w14:textId="77777777" w:rsidR="00E836FB" w:rsidRDefault="00E836FB">
            <w:pPr>
              <w:rPr>
                <w:rFonts w:ascii="宋体"/>
              </w:rPr>
            </w:pPr>
          </w:p>
        </w:tc>
        <w:tc>
          <w:tcPr>
            <w:tcW w:w="0" w:type="auto"/>
            <w:shd w:val="clear" w:color="auto" w:fill="auto"/>
            <w:vAlign w:val="bottom"/>
          </w:tcPr>
          <w:p w14:paraId="5F2CA930" w14:textId="77777777" w:rsidR="00E836FB" w:rsidRDefault="00E836FB">
            <w:pPr>
              <w:rPr>
                <w:rFonts w:ascii="宋体"/>
              </w:rPr>
            </w:pPr>
          </w:p>
        </w:tc>
        <w:tc>
          <w:tcPr>
            <w:tcW w:w="0" w:type="auto"/>
            <w:shd w:val="clear" w:color="auto" w:fill="auto"/>
            <w:vAlign w:val="bottom"/>
          </w:tcPr>
          <w:p w14:paraId="5F2CA931" w14:textId="77777777" w:rsidR="00E836FB" w:rsidRDefault="00E836FB">
            <w:pPr>
              <w:rPr>
                <w:rFonts w:ascii="宋体"/>
              </w:rPr>
            </w:pPr>
          </w:p>
        </w:tc>
        <w:tc>
          <w:tcPr>
            <w:tcW w:w="0" w:type="auto"/>
            <w:shd w:val="clear" w:color="auto" w:fill="auto"/>
            <w:vAlign w:val="bottom"/>
          </w:tcPr>
          <w:p w14:paraId="5F2CA932" w14:textId="77777777" w:rsidR="00E836FB" w:rsidRDefault="00E836FB">
            <w:pPr>
              <w:rPr>
                <w:rFonts w:ascii="宋体"/>
              </w:rPr>
            </w:pPr>
          </w:p>
        </w:tc>
      </w:tr>
      <w:tr w:rsidR="00E836FB" w14:paraId="5F2CA946" w14:textId="77777777">
        <w:tc>
          <w:tcPr>
            <w:tcW w:w="0" w:type="auto"/>
            <w:gridSpan w:val="3"/>
            <w:shd w:val="clear" w:color="auto" w:fill="auto"/>
            <w:tcMar>
              <w:top w:w="40" w:type="dxa"/>
              <w:left w:w="20" w:type="dxa"/>
              <w:bottom w:w="40" w:type="dxa"/>
              <w:right w:w="20" w:type="dxa"/>
            </w:tcMar>
            <w:vAlign w:val="bottom"/>
          </w:tcPr>
          <w:p w14:paraId="5F2CA934" w14:textId="77777777" w:rsidR="00E836FB" w:rsidRDefault="00994958">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billions)</w:t>
            </w:r>
          </w:p>
        </w:tc>
        <w:tc>
          <w:tcPr>
            <w:tcW w:w="0" w:type="auto"/>
            <w:gridSpan w:val="3"/>
            <w:shd w:val="clear" w:color="auto" w:fill="auto"/>
            <w:tcMar>
              <w:top w:w="40" w:type="dxa"/>
              <w:left w:w="20" w:type="dxa"/>
              <w:bottom w:w="40" w:type="dxa"/>
              <w:right w:w="20" w:type="dxa"/>
            </w:tcMar>
            <w:vAlign w:val="bottom"/>
          </w:tcPr>
          <w:p w14:paraId="5F2CA935" w14:textId="77777777" w:rsidR="00E836FB" w:rsidRDefault="00994958">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5F2CA93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937" w14:textId="77777777" w:rsidR="00E836FB" w:rsidRDefault="00994958">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vAlign w:val="bottom"/>
          </w:tcPr>
          <w:p w14:paraId="5F2CA93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939" w14:textId="77777777" w:rsidR="00E836FB" w:rsidRDefault="00994958">
            <w:pPr>
              <w:jc w:val="center"/>
              <w:textAlignment w:val="bottom"/>
            </w:pPr>
            <w:r>
              <w:rPr>
                <w:rFonts w:ascii="Arial" w:eastAsia="宋体" w:hAnsi="Arial" w:cs="Arial"/>
                <w:b/>
                <w:bCs/>
                <w:color w:val="000000"/>
                <w:sz w:val="14"/>
                <w:szCs w:val="14"/>
              </w:rPr>
              <w:t>December 31, 2019</w:t>
            </w:r>
          </w:p>
        </w:tc>
        <w:tc>
          <w:tcPr>
            <w:tcW w:w="0" w:type="auto"/>
            <w:shd w:val="clear" w:color="auto" w:fill="auto"/>
            <w:vAlign w:val="bottom"/>
          </w:tcPr>
          <w:p w14:paraId="5F2CA93A" w14:textId="77777777" w:rsidR="00E836FB" w:rsidRDefault="00E836FB">
            <w:pPr>
              <w:rPr>
                <w:rFonts w:ascii="宋体"/>
                <w:vanish/>
              </w:rPr>
            </w:pPr>
          </w:p>
        </w:tc>
        <w:tc>
          <w:tcPr>
            <w:tcW w:w="0" w:type="auto"/>
            <w:shd w:val="clear" w:color="auto" w:fill="auto"/>
            <w:vAlign w:val="bottom"/>
          </w:tcPr>
          <w:p w14:paraId="5F2CA93B" w14:textId="77777777" w:rsidR="00E836FB" w:rsidRDefault="00E836FB">
            <w:pPr>
              <w:rPr>
                <w:rFonts w:ascii="宋体"/>
                <w:vanish/>
              </w:rPr>
            </w:pPr>
          </w:p>
        </w:tc>
        <w:tc>
          <w:tcPr>
            <w:tcW w:w="0" w:type="auto"/>
            <w:shd w:val="clear" w:color="auto" w:fill="auto"/>
            <w:vAlign w:val="bottom"/>
          </w:tcPr>
          <w:p w14:paraId="5F2CA93C" w14:textId="77777777" w:rsidR="00E836FB" w:rsidRDefault="00E836FB">
            <w:pPr>
              <w:rPr>
                <w:rFonts w:ascii="宋体"/>
                <w:vanish/>
              </w:rPr>
            </w:pPr>
          </w:p>
        </w:tc>
        <w:tc>
          <w:tcPr>
            <w:tcW w:w="0" w:type="auto"/>
            <w:shd w:val="clear" w:color="auto" w:fill="auto"/>
            <w:vAlign w:val="bottom"/>
          </w:tcPr>
          <w:p w14:paraId="5F2CA93D" w14:textId="77777777" w:rsidR="00E836FB" w:rsidRDefault="00E836FB">
            <w:pPr>
              <w:rPr>
                <w:rFonts w:ascii="宋体"/>
                <w:vanish/>
              </w:rPr>
            </w:pPr>
          </w:p>
        </w:tc>
        <w:tc>
          <w:tcPr>
            <w:tcW w:w="0" w:type="auto"/>
            <w:shd w:val="clear" w:color="auto" w:fill="auto"/>
            <w:vAlign w:val="bottom"/>
          </w:tcPr>
          <w:p w14:paraId="5F2CA93E"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A93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940" w14:textId="77777777" w:rsidR="00E836FB" w:rsidRDefault="00994958">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2021 vs. 2020</w:t>
            </w:r>
          </w:p>
        </w:tc>
        <w:tc>
          <w:tcPr>
            <w:tcW w:w="0" w:type="auto"/>
            <w:gridSpan w:val="3"/>
            <w:shd w:val="clear" w:color="auto" w:fill="auto"/>
            <w:tcMar>
              <w:top w:w="0" w:type="dxa"/>
              <w:left w:w="20" w:type="dxa"/>
              <w:bottom w:w="0" w:type="dxa"/>
              <w:right w:w="20" w:type="dxa"/>
            </w:tcMar>
            <w:vAlign w:val="bottom"/>
          </w:tcPr>
          <w:p w14:paraId="5F2CA941" w14:textId="77777777" w:rsidR="00E836FB" w:rsidRDefault="00E836FB">
            <w:pPr>
              <w:rPr>
                <w:rFonts w:ascii="宋体"/>
              </w:rPr>
            </w:pPr>
          </w:p>
        </w:tc>
        <w:tc>
          <w:tcPr>
            <w:tcW w:w="0" w:type="auto"/>
            <w:gridSpan w:val="3"/>
            <w:shd w:val="clear" w:color="auto" w:fill="auto"/>
            <w:vAlign w:val="bottom"/>
          </w:tcPr>
          <w:p w14:paraId="5F2CA942" w14:textId="77777777" w:rsidR="00E836FB" w:rsidRDefault="00E836FB">
            <w:pPr>
              <w:rPr>
                <w:rFonts w:ascii="宋体"/>
                <w:vanish/>
              </w:rPr>
            </w:pPr>
          </w:p>
        </w:tc>
        <w:tc>
          <w:tcPr>
            <w:tcW w:w="0" w:type="auto"/>
            <w:gridSpan w:val="3"/>
            <w:shd w:val="clear" w:color="auto" w:fill="auto"/>
            <w:tcMar>
              <w:top w:w="40" w:type="dxa"/>
              <w:left w:w="20" w:type="dxa"/>
              <w:bottom w:w="40" w:type="dxa"/>
              <w:right w:w="20" w:type="dxa"/>
            </w:tcMar>
            <w:vAlign w:val="bottom"/>
          </w:tcPr>
          <w:p w14:paraId="5F2CA943" w14:textId="77777777" w:rsidR="00E836FB" w:rsidRDefault="00994958">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2020 vs. 2019</w:t>
            </w:r>
          </w:p>
        </w:tc>
        <w:tc>
          <w:tcPr>
            <w:tcW w:w="0" w:type="auto"/>
            <w:gridSpan w:val="3"/>
            <w:shd w:val="clear" w:color="auto" w:fill="auto"/>
            <w:vAlign w:val="bottom"/>
          </w:tcPr>
          <w:p w14:paraId="5F2CA944" w14:textId="77777777" w:rsidR="00E836FB" w:rsidRDefault="00E836FB">
            <w:pPr>
              <w:rPr>
                <w:rFonts w:ascii="宋体"/>
                <w:vanish/>
              </w:rPr>
            </w:pPr>
          </w:p>
        </w:tc>
        <w:tc>
          <w:tcPr>
            <w:tcW w:w="0" w:type="auto"/>
            <w:gridSpan w:val="3"/>
            <w:shd w:val="clear" w:color="auto" w:fill="auto"/>
            <w:vAlign w:val="bottom"/>
          </w:tcPr>
          <w:p w14:paraId="5F2CA945" w14:textId="77777777" w:rsidR="00E836FB" w:rsidRDefault="00E836FB">
            <w:pPr>
              <w:rPr>
                <w:rFonts w:ascii="宋体"/>
                <w:vanish/>
              </w:rPr>
            </w:pPr>
          </w:p>
        </w:tc>
      </w:tr>
      <w:tr w:rsidR="00E836FB" w14:paraId="5F2CA961" w14:textId="77777777">
        <w:tc>
          <w:tcPr>
            <w:tcW w:w="0" w:type="auto"/>
            <w:gridSpan w:val="3"/>
            <w:shd w:val="clear" w:color="auto" w:fill="CCEEFF"/>
            <w:tcMar>
              <w:top w:w="40" w:type="dxa"/>
              <w:left w:w="20" w:type="dxa"/>
              <w:bottom w:w="40" w:type="dxa"/>
              <w:right w:w="20" w:type="dxa"/>
            </w:tcMar>
            <w:vAlign w:val="bottom"/>
          </w:tcPr>
          <w:p w14:paraId="5F2CA947" w14:textId="77777777" w:rsidR="00E836FB" w:rsidRDefault="00994958">
            <w:pPr>
              <w:textAlignment w:val="bottom"/>
            </w:pPr>
            <w:r>
              <w:rPr>
                <w:rFonts w:ascii="Arial" w:eastAsia="宋体" w:hAnsi="Arial" w:cs="Arial"/>
                <w:color w:val="000000"/>
                <w:sz w:val="14"/>
                <w:szCs w:val="14"/>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94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949" w14:textId="77777777" w:rsidR="00E836FB" w:rsidRDefault="00994958">
            <w:pPr>
              <w:jc w:val="right"/>
              <w:textAlignment w:val="bottom"/>
            </w:pPr>
            <w:r>
              <w:rPr>
                <w:rFonts w:ascii="Arial" w:eastAsia="宋体" w:hAnsi="Arial" w:cs="Arial"/>
                <w:b/>
                <w:bCs/>
                <w:color w:val="000000"/>
                <w:sz w:val="14"/>
                <w:szCs w:val="14"/>
              </w:rPr>
              <w:t>25,974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4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4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94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94D" w14:textId="77777777" w:rsidR="00E836FB" w:rsidRDefault="00994958">
            <w:pPr>
              <w:jc w:val="right"/>
              <w:textAlignment w:val="bottom"/>
            </w:pPr>
            <w:r>
              <w:rPr>
                <w:rFonts w:ascii="Arial" w:eastAsia="宋体" w:hAnsi="Arial" w:cs="Arial"/>
                <w:color w:val="000000"/>
                <w:sz w:val="14"/>
                <w:szCs w:val="14"/>
              </w:rPr>
              <w:t>21,626 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4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4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95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951" w14:textId="77777777" w:rsidR="00E836FB" w:rsidRDefault="00994958">
            <w:pPr>
              <w:jc w:val="right"/>
              <w:textAlignment w:val="bottom"/>
            </w:pPr>
            <w:r>
              <w:rPr>
                <w:rFonts w:ascii="Arial" w:eastAsia="宋体" w:hAnsi="Arial" w:cs="Arial"/>
                <w:color w:val="000000"/>
                <w:sz w:val="14"/>
                <w:szCs w:val="14"/>
              </w:rPr>
              <w:t>19,301 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52" w14:textId="77777777" w:rsidR="00E836FB" w:rsidRDefault="00E836FB">
            <w:pPr>
              <w:jc w:val="right"/>
              <w:rPr>
                <w:rFonts w:ascii="宋体"/>
              </w:rPr>
            </w:pPr>
          </w:p>
        </w:tc>
        <w:tc>
          <w:tcPr>
            <w:tcW w:w="0" w:type="auto"/>
            <w:shd w:val="clear" w:color="auto" w:fill="auto"/>
            <w:vAlign w:val="bottom"/>
          </w:tcPr>
          <w:p w14:paraId="5F2CA953" w14:textId="77777777" w:rsidR="00E836FB" w:rsidRDefault="00E836FB">
            <w:pPr>
              <w:rPr>
                <w:rFonts w:ascii="宋体"/>
                <w:vanish/>
              </w:rPr>
            </w:pPr>
          </w:p>
        </w:tc>
        <w:tc>
          <w:tcPr>
            <w:tcW w:w="0" w:type="auto"/>
            <w:shd w:val="clear" w:color="auto" w:fill="auto"/>
            <w:vAlign w:val="bottom"/>
          </w:tcPr>
          <w:p w14:paraId="5F2CA954" w14:textId="77777777" w:rsidR="00E836FB" w:rsidRDefault="00E836FB">
            <w:pPr>
              <w:rPr>
                <w:rFonts w:ascii="宋体"/>
                <w:vanish/>
              </w:rPr>
            </w:pPr>
          </w:p>
        </w:tc>
        <w:tc>
          <w:tcPr>
            <w:tcW w:w="0" w:type="auto"/>
            <w:shd w:val="clear" w:color="auto" w:fill="auto"/>
            <w:vAlign w:val="bottom"/>
          </w:tcPr>
          <w:p w14:paraId="5F2CA955" w14:textId="77777777" w:rsidR="00E836FB" w:rsidRDefault="00E836FB">
            <w:pPr>
              <w:rPr>
                <w:rFonts w:ascii="宋体"/>
                <w:vanish/>
              </w:rPr>
            </w:pPr>
          </w:p>
        </w:tc>
        <w:tc>
          <w:tcPr>
            <w:tcW w:w="0" w:type="auto"/>
            <w:shd w:val="clear" w:color="auto" w:fill="auto"/>
            <w:vAlign w:val="bottom"/>
          </w:tcPr>
          <w:p w14:paraId="5F2CA956" w14:textId="77777777" w:rsidR="00E836FB" w:rsidRDefault="00E836FB">
            <w:pPr>
              <w:rPr>
                <w:rFonts w:ascii="宋体"/>
                <w:vanish/>
              </w:rPr>
            </w:pPr>
          </w:p>
        </w:tc>
        <w:tc>
          <w:tcPr>
            <w:tcW w:w="0" w:type="auto"/>
            <w:shd w:val="clear" w:color="auto" w:fill="auto"/>
            <w:vAlign w:val="bottom"/>
          </w:tcPr>
          <w:p w14:paraId="5F2CA957"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95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959" w14:textId="77777777" w:rsidR="00E836FB" w:rsidRDefault="00994958">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5A"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A95B" w14:textId="77777777" w:rsidR="00E836FB" w:rsidRDefault="00E836FB">
            <w:pPr>
              <w:rPr>
                <w:rFonts w:ascii="宋体"/>
              </w:rPr>
            </w:pPr>
          </w:p>
        </w:tc>
        <w:tc>
          <w:tcPr>
            <w:tcW w:w="0" w:type="auto"/>
            <w:gridSpan w:val="3"/>
            <w:shd w:val="clear" w:color="auto" w:fill="auto"/>
            <w:vAlign w:val="bottom"/>
          </w:tcPr>
          <w:p w14:paraId="5F2CA95C"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95D" w14:textId="77777777" w:rsidR="00E836FB" w:rsidRDefault="00994958">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5E"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A95F" w14:textId="77777777" w:rsidR="00E836FB" w:rsidRDefault="00E836FB">
            <w:pPr>
              <w:rPr>
                <w:rFonts w:ascii="宋体"/>
                <w:vanish/>
              </w:rPr>
            </w:pPr>
          </w:p>
        </w:tc>
        <w:tc>
          <w:tcPr>
            <w:tcW w:w="0" w:type="auto"/>
            <w:gridSpan w:val="3"/>
            <w:shd w:val="clear" w:color="auto" w:fill="auto"/>
            <w:vAlign w:val="bottom"/>
          </w:tcPr>
          <w:p w14:paraId="5F2CA960" w14:textId="77777777" w:rsidR="00E836FB" w:rsidRDefault="00E836FB">
            <w:pPr>
              <w:rPr>
                <w:rFonts w:ascii="宋体"/>
                <w:vanish/>
              </w:rPr>
            </w:pPr>
          </w:p>
        </w:tc>
      </w:tr>
      <w:tr w:rsidR="00E836FB" w14:paraId="5F2CA979" w14:textId="77777777">
        <w:tc>
          <w:tcPr>
            <w:tcW w:w="0" w:type="auto"/>
            <w:gridSpan w:val="3"/>
            <w:shd w:val="clear" w:color="auto" w:fill="FFFFFF"/>
            <w:tcMar>
              <w:top w:w="40" w:type="dxa"/>
              <w:left w:w="20" w:type="dxa"/>
              <w:bottom w:w="40" w:type="dxa"/>
              <w:right w:w="20" w:type="dxa"/>
            </w:tcMar>
            <w:vAlign w:val="bottom"/>
          </w:tcPr>
          <w:p w14:paraId="5F2CA962" w14:textId="77777777" w:rsidR="00E836FB" w:rsidRDefault="00994958">
            <w:pPr>
              <w:textAlignment w:val="bottom"/>
            </w:pPr>
            <w:r>
              <w:rPr>
                <w:rFonts w:ascii="Arial" w:eastAsia="宋体" w:hAnsi="Arial" w:cs="Arial"/>
                <w:color w:val="000000"/>
                <w:sz w:val="14"/>
                <w:szCs w:val="14"/>
              </w:rPr>
              <w:t>Fixed-income</w:t>
            </w:r>
          </w:p>
        </w:tc>
        <w:tc>
          <w:tcPr>
            <w:tcW w:w="0" w:type="auto"/>
            <w:gridSpan w:val="2"/>
            <w:shd w:val="clear" w:color="auto" w:fill="FFFFFF"/>
            <w:tcMar>
              <w:top w:w="40" w:type="dxa"/>
              <w:left w:w="20" w:type="dxa"/>
              <w:bottom w:w="40" w:type="dxa"/>
              <w:right w:w="0" w:type="dxa"/>
            </w:tcMar>
            <w:vAlign w:val="bottom"/>
          </w:tcPr>
          <w:p w14:paraId="5F2CA963" w14:textId="77777777" w:rsidR="00E836FB" w:rsidRDefault="00994958">
            <w:pPr>
              <w:jc w:val="right"/>
              <w:textAlignment w:val="bottom"/>
            </w:pPr>
            <w:r>
              <w:rPr>
                <w:rFonts w:ascii="Arial" w:eastAsia="宋体" w:hAnsi="Arial" w:cs="Arial"/>
                <w:b/>
                <w:bCs/>
                <w:color w:val="000000"/>
                <w:sz w:val="14"/>
                <w:szCs w:val="14"/>
              </w:rPr>
              <w:t>12,587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96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96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966" w14:textId="77777777" w:rsidR="00E836FB" w:rsidRDefault="00994958">
            <w:pPr>
              <w:jc w:val="right"/>
              <w:textAlignment w:val="bottom"/>
            </w:pPr>
            <w:r>
              <w:rPr>
                <w:rFonts w:ascii="Arial" w:eastAsia="宋体" w:hAnsi="Arial" w:cs="Arial"/>
                <w:color w:val="000000"/>
                <w:sz w:val="14"/>
                <w:szCs w:val="14"/>
              </w:rPr>
              <w:t>12,834 </w:t>
            </w:r>
          </w:p>
        </w:tc>
        <w:tc>
          <w:tcPr>
            <w:tcW w:w="0" w:type="auto"/>
            <w:shd w:val="clear" w:color="auto" w:fill="FFFFFF"/>
            <w:tcMar>
              <w:top w:w="40" w:type="dxa"/>
              <w:left w:w="0" w:type="dxa"/>
              <w:bottom w:w="40" w:type="dxa"/>
              <w:right w:w="20" w:type="dxa"/>
            </w:tcMar>
            <w:vAlign w:val="bottom"/>
          </w:tcPr>
          <w:p w14:paraId="5F2CA96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96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969" w14:textId="77777777" w:rsidR="00E836FB" w:rsidRDefault="00994958">
            <w:pPr>
              <w:jc w:val="right"/>
              <w:textAlignment w:val="bottom"/>
            </w:pPr>
            <w:r>
              <w:rPr>
                <w:rFonts w:ascii="Arial" w:eastAsia="宋体" w:hAnsi="Arial" w:cs="Arial"/>
                <w:color w:val="000000"/>
                <w:sz w:val="14"/>
                <w:szCs w:val="14"/>
              </w:rPr>
              <w:t>10,766 </w:t>
            </w:r>
          </w:p>
        </w:tc>
        <w:tc>
          <w:tcPr>
            <w:tcW w:w="0" w:type="auto"/>
            <w:shd w:val="clear" w:color="auto" w:fill="FFFFFF"/>
            <w:tcMar>
              <w:top w:w="40" w:type="dxa"/>
              <w:left w:w="0" w:type="dxa"/>
              <w:bottom w:w="40" w:type="dxa"/>
              <w:right w:w="20" w:type="dxa"/>
            </w:tcMar>
            <w:vAlign w:val="bottom"/>
          </w:tcPr>
          <w:p w14:paraId="5F2CA96A" w14:textId="77777777" w:rsidR="00E836FB" w:rsidRDefault="00E836FB">
            <w:pPr>
              <w:jc w:val="right"/>
              <w:rPr>
                <w:rFonts w:ascii="宋体"/>
              </w:rPr>
            </w:pPr>
          </w:p>
        </w:tc>
        <w:tc>
          <w:tcPr>
            <w:tcW w:w="0" w:type="auto"/>
            <w:shd w:val="clear" w:color="auto" w:fill="auto"/>
            <w:vAlign w:val="bottom"/>
          </w:tcPr>
          <w:p w14:paraId="5F2CA96B" w14:textId="77777777" w:rsidR="00E836FB" w:rsidRDefault="00E836FB">
            <w:pPr>
              <w:rPr>
                <w:rFonts w:ascii="宋体"/>
                <w:vanish/>
              </w:rPr>
            </w:pPr>
          </w:p>
        </w:tc>
        <w:tc>
          <w:tcPr>
            <w:tcW w:w="0" w:type="auto"/>
            <w:shd w:val="clear" w:color="auto" w:fill="auto"/>
            <w:vAlign w:val="bottom"/>
          </w:tcPr>
          <w:p w14:paraId="5F2CA96C" w14:textId="77777777" w:rsidR="00E836FB" w:rsidRDefault="00E836FB">
            <w:pPr>
              <w:rPr>
                <w:rFonts w:ascii="宋体"/>
                <w:vanish/>
              </w:rPr>
            </w:pPr>
          </w:p>
        </w:tc>
        <w:tc>
          <w:tcPr>
            <w:tcW w:w="0" w:type="auto"/>
            <w:shd w:val="clear" w:color="auto" w:fill="auto"/>
            <w:vAlign w:val="bottom"/>
          </w:tcPr>
          <w:p w14:paraId="5F2CA96D" w14:textId="77777777" w:rsidR="00E836FB" w:rsidRDefault="00E836FB">
            <w:pPr>
              <w:rPr>
                <w:rFonts w:ascii="宋体"/>
                <w:vanish/>
              </w:rPr>
            </w:pPr>
          </w:p>
        </w:tc>
        <w:tc>
          <w:tcPr>
            <w:tcW w:w="0" w:type="auto"/>
            <w:shd w:val="clear" w:color="auto" w:fill="auto"/>
            <w:vAlign w:val="bottom"/>
          </w:tcPr>
          <w:p w14:paraId="5F2CA96E" w14:textId="77777777" w:rsidR="00E836FB" w:rsidRDefault="00E836FB">
            <w:pPr>
              <w:rPr>
                <w:rFonts w:ascii="宋体"/>
                <w:vanish/>
              </w:rPr>
            </w:pPr>
          </w:p>
        </w:tc>
        <w:tc>
          <w:tcPr>
            <w:tcW w:w="0" w:type="auto"/>
            <w:shd w:val="clear" w:color="auto" w:fill="auto"/>
            <w:vAlign w:val="bottom"/>
          </w:tcPr>
          <w:p w14:paraId="5F2CA96F"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A9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971" w14:textId="77777777" w:rsidR="00E836FB" w:rsidRDefault="00994958">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5F2CA972"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A973" w14:textId="77777777" w:rsidR="00E836FB" w:rsidRDefault="00E836FB">
            <w:pPr>
              <w:rPr>
                <w:rFonts w:ascii="宋体"/>
              </w:rPr>
            </w:pPr>
          </w:p>
        </w:tc>
        <w:tc>
          <w:tcPr>
            <w:tcW w:w="0" w:type="auto"/>
            <w:gridSpan w:val="3"/>
            <w:shd w:val="clear" w:color="auto" w:fill="auto"/>
            <w:vAlign w:val="bottom"/>
          </w:tcPr>
          <w:p w14:paraId="5F2CA974" w14:textId="77777777" w:rsidR="00E836FB" w:rsidRDefault="00E836FB">
            <w:pPr>
              <w:rPr>
                <w:rFonts w:ascii="宋体"/>
                <w:vanish/>
              </w:rPr>
            </w:pPr>
          </w:p>
        </w:tc>
        <w:tc>
          <w:tcPr>
            <w:tcW w:w="0" w:type="auto"/>
            <w:gridSpan w:val="2"/>
            <w:shd w:val="clear" w:color="auto" w:fill="auto"/>
            <w:tcMar>
              <w:top w:w="40" w:type="dxa"/>
              <w:left w:w="20" w:type="dxa"/>
              <w:bottom w:w="40" w:type="dxa"/>
              <w:right w:w="0" w:type="dxa"/>
            </w:tcMar>
            <w:vAlign w:val="bottom"/>
          </w:tcPr>
          <w:p w14:paraId="5F2CA975" w14:textId="77777777" w:rsidR="00E836FB" w:rsidRDefault="00994958">
            <w:pPr>
              <w:jc w:val="right"/>
              <w:textAlignment w:val="bottom"/>
            </w:pPr>
            <w:r>
              <w:rPr>
                <w:rFonts w:ascii="Arial" w:eastAsia="宋体" w:hAnsi="Arial" w:cs="Arial"/>
                <w:color w:val="000000"/>
                <w:sz w:val="14"/>
                <w:szCs w:val="14"/>
              </w:rPr>
              <w:t>19 </w:t>
            </w:r>
          </w:p>
        </w:tc>
        <w:tc>
          <w:tcPr>
            <w:tcW w:w="0" w:type="auto"/>
            <w:shd w:val="clear" w:color="auto" w:fill="auto"/>
            <w:tcMar>
              <w:top w:w="40" w:type="dxa"/>
              <w:left w:w="0" w:type="dxa"/>
              <w:bottom w:w="40" w:type="dxa"/>
              <w:right w:w="20" w:type="dxa"/>
            </w:tcMar>
            <w:vAlign w:val="bottom"/>
          </w:tcPr>
          <w:p w14:paraId="5F2CA976" w14:textId="77777777" w:rsidR="00E836FB" w:rsidRDefault="00E836FB">
            <w:pPr>
              <w:jc w:val="right"/>
              <w:rPr>
                <w:rFonts w:ascii="宋体"/>
              </w:rPr>
            </w:pPr>
          </w:p>
        </w:tc>
        <w:tc>
          <w:tcPr>
            <w:tcW w:w="0" w:type="auto"/>
            <w:gridSpan w:val="3"/>
            <w:shd w:val="clear" w:color="auto" w:fill="auto"/>
            <w:vAlign w:val="bottom"/>
          </w:tcPr>
          <w:p w14:paraId="5F2CA977" w14:textId="77777777" w:rsidR="00E836FB" w:rsidRDefault="00E836FB">
            <w:pPr>
              <w:rPr>
                <w:rFonts w:ascii="宋体"/>
                <w:vanish/>
              </w:rPr>
            </w:pPr>
          </w:p>
        </w:tc>
        <w:tc>
          <w:tcPr>
            <w:tcW w:w="0" w:type="auto"/>
            <w:gridSpan w:val="3"/>
            <w:shd w:val="clear" w:color="auto" w:fill="auto"/>
            <w:vAlign w:val="bottom"/>
          </w:tcPr>
          <w:p w14:paraId="5F2CA978" w14:textId="77777777" w:rsidR="00E836FB" w:rsidRDefault="00E836FB">
            <w:pPr>
              <w:rPr>
                <w:rFonts w:ascii="宋体"/>
                <w:vanish/>
              </w:rPr>
            </w:pPr>
          </w:p>
        </w:tc>
      </w:tr>
      <w:tr w:rsidR="00E836FB" w14:paraId="5F2CA991" w14:textId="77777777">
        <w:tc>
          <w:tcPr>
            <w:tcW w:w="0" w:type="auto"/>
            <w:gridSpan w:val="3"/>
            <w:shd w:val="clear" w:color="auto" w:fill="CCEEFF"/>
            <w:tcMar>
              <w:top w:w="40" w:type="dxa"/>
              <w:left w:w="20" w:type="dxa"/>
              <w:bottom w:w="40" w:type="dxa"/>
              <w:right w:w="20" w:type="dxa"/>
            </w:tcMar>
            <w:vAlign w:val="bottom"/>
          </w:tcPr>
          <w:p w14:paraId="5F2CA97A" w14:textId="77777777" w:rsidR="00E836FB" w:rsidRDefault="00994958">
            <w:pPr>
              <w:textAlignment w:val="bottom"/>
            </w:pPr>
            <w:r>
              <w:rPr>
                <w:rFonts w:ascii="Arial" w:eastAsia="宋体" w:hAnsi="Arial" w:cs="Arial"/>
                <w:color w:val="000000"/>
                <w:sz w:val="14"/>
                <w:szCs w:val="14"/>
              </w:rPr>
              <w:t>Short-term and other investments</w:t>
            </w:r>
          </w:p>
        </w:tc>
        <w:tc>
          <w:tcPr>
            <w:tcW w:w="0" w:type="auto"/>
            <w:gridSpan w:val="2"/>
            <w:shd w:val="clear" w:color="auto" w:fill="CCEEFF"/>
            <w:tcMar>
              <w:top w:w="40" w:type="dxa"/>
              <w:left w:w="20" w:type="dxa"/>
              <w:bottom w:w="40" w:type="dxa"/>
              <w:right w:w="0" w:type="dxa"/>
            </w:tcMar>
            <w:vAlign w:val="bottom"/>
          </w:tcPr>
          <w:p w14:paraId="5F2CA97B" w14:textId="77777777" w:rsidR="00E836FB" w:rsidRDefault="00994958">
            <w:pPr>
              <w:jc w:val="right"/>
              <w:textAlignment w:val="bottom"/>
            </w:pPr>
            <w:r>
              <w:rPr>
                <w:rFonts w:ascii="Arial" w:eastAsia="宋体" w:hAnsi="Arial" w:cs="Arial"/>
                <w:b/>
                <w:bCs/>
                <w:color w:val="000000"/>
                <w:sz w:val="14"/>
                <w:szCs w:val="14"/>
              </w:rPr>
              <w:t>5,117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9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7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97E" w14:textId="77777777" w:rsidR="00E836FB" w:rsidRDefault="00994958">
            <w:pPr>
              <w:jc w:val="right"/>
              <w:textAlignment w:val="bottom"/>
            </w:pPr>
            <w:r>
              <w:rPr>
                <w:rFonts w:ascii="Arial" w:eastAsia="宋体" w:hAnsi="Arial" w:cs="Arial"/>
                <w:color w:val="000000"/>
                <w:sz w:val="14"/>
                <w:szCs w:val="14"/>
              </w:rPr>
              <w:t>4,331 </w:t>
            </w:r>
          </w:p>
        </w:tc>
        <w:tc>
          <w:tcPr>
            <w:tcW w:w="0" w:type="auto"/>
            <w:shd w:val="clear" w:color="auto" w:fill="CCEEFF"/>
            <w:tcMar>
              <w:top w:w="40" w:type="dxa"/>
              <w:left w:w="0" w:type="dxa"/>
              <w:bottom w:w="40" w:type="dxa"/>
              <w:right w:w="20" w:type="dxa"/>
            </w:tcMar>
            <w:vAlign w:val="bottom"/>
          </w:tcPr>
          <w:p w14:paraId="5F2CA9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8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981" w14:textId="77777777" w:rsidR="00E836FB" w:rsidRDefault="00994958">
            <w:pPr>
              <w:jc w:val="right"/>
              <w:textAlignment w:val="bottom"/>
            </w:pPr>
            <w:r>
              <w:rPr>
                <w:rFonts w:ascii="Arial" w:eastAsia="宋体" w:hAnsi="Arial" w:cs="Arial"/>
                <w:color w:val="000000"/>
                <w:sz w:val="14"/>
                <w:szCs w:val="14"/>
              </w:rPr>
              <w:t>4,291 </w:t>
            </w:r>
          </w:p>
        </w:tc>
        <w:tc>
          <w:tcPr>
            <w:tcW w:w="0" w:type="auto"/>
            <w:shd w:val="clear" w:color="auto" w:fill="CCEEFF"/>
            <w:tcMar>
              <w:top w:w="40" w:type="dxa"/>
              <w:left w:w="0" w:type="dxa"/>
              <w:bottom w:w="40" w:type="dxa"/>
              <w:right w:w="20" w:type="dxa"/>
            </w:tcMar>
            <w:vAlign w:val="bottom"/>
          </w:tcPr>
          <w:p w14:paraId="5F2CA982" w14:textId="77777777" w:rsidR="00E836FB" w:rsidRDefault="00E836FB">
            <w:pPr>
              <w:jc w:val="right"/>
              <w:rPr>
                <w:rFonts w:ascii="宋体"/>
              </w:rPr>
            </w:pPr>
          </w:p>
        </w:tc>
        <w:tc>
          <w:tcPr>
            <w:tcW w:w="0" w:type="auto"/>
            <w:shd w:val="clear" w:color="auto" w:fill="auto"/>
            <w:vAlign w:val="bottom"/>
          </w:tcPr>
          <w:p w14:paraId="5F2CA983" w14:textId="77777777" w:rsidR="00E836FB" w:rsidRDefault="00E836FB">
            <w:pPr>
              <w:rPr>
                <w:rFonts w:ascii="宋体"/>
                <w:vanish/>
              </w:rPr>
            </w:pPr>
          </w:p>
        </w:tc>
        <w:tc>
          <w:tcPr>
            <w:tcW w:w="0" w:type="auto"/>
            <w:shd w:val="clear" w:color="auto" w:fill="auto"/>
            <w:vAlign w:val="bottom"/>
          </w:tcPr>
          <w:p w14:paraId="5F2CA984" w14:textId="77777777" w:rsidR="00E836FB" w:rsidRDefault="00E836FB">
            <w:pPr>
              <w:rPr>
                <w:rFonts w:ascii="宋体"/>
                <w:vanish/>
              </w:rPr>
            </w:pPr>
          </w:p>
        </w:tc>
        <w:tc>
          <w:tcPr>
            <w:tcW w:w="0" w:type="auto"/>
            <w:shd w:val="clear" w:color="auto" w:fill="auto"/>
            <w:vAlign w:val="bottom"/>
          </w:tcPr>
          <w:p w14:paraId="5F2CA985" w14:textId="77777777" w:rsidR="00E836FB" w:rsidRDefault="00E836FB">
            <w:pPr>
              <w:rPr>
                <w:rFonts w:ascii="宋体"/>
                <w:vanish/>
              </w:rPr>
            </w:pPr>
          </w:p>
        </w:tc>
        <w:tc>
          <w:tcPr>
            <w:tcW w:w="0" w:type="auto"/>
            <w:shd w:val="clear" w:color="auto" w:fill="auto"/>
            <w:vAlign w:val="bottom"/>
          </w:tcPr>
          <w:p w14:paraId="5F2CA986" w14:textId="77777777" w:rsidR="00E836FB" w:rsidRDefault="00E836FB">
            <w:pPr>
              <w:rPr>
                <w:rFonts w:ascii="宋体"/>
                <w:vanish/>
              </w:rPr>
            </w:pPr>
          </w:p>
        </w:tc>
        <w:tc>
          <w:tcPr>
            <w:tcW w:w="0" w:type="auto"/>
            <w:shd w:val="clear" w:color="auto" w:fill="auto"/>
            <w:vAlign w:val="bottom"/>
          </w:tcPr>
          <w:p w14:paraId="5F2CA987"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A98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989"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5F2CA9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8B" w14:textId="77777777" w:rsidR="00E836FB" w:rsidRDefault="00E836FB">
            <w:pPr>
              <w:rPr>
                <w:rFonts w:ascii="宋体"/>
              </w:rPr>
            </w:pPr>
          </w:p>
        </w:tc>
        <w:tc>
          <w:tcPr>
            <w:tcW w:w="0" w:type="auto"/>
            <w:gridSpan w:val="3"/>
            <w:shd w:val="clear" w:color="auto" w:fill="auto"/>
            <w:vAlign w:val="bottom"/>
          </w:tcPr>
          <w:p w14:paraId="5F2CA98C"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98D"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F2CA98E" w14:textId="77777777" w:rsidR="00E836FB" w:rsidRDefault="00E836FB">
            <w:pPr>
              <w:jc w:val="right"/>
              <w:rPr>
                <w:rFonts w:ascii="宋体"/>
              </w:rPr>
            </w:pPr>
          </w:p>
        </w:tc>
        <w:tc>
          <w:tcPr>
            <w:tcW w:w="0" w:type="auto"/>
            <w:gridSpan w:val="3"/>
            <w:shd w:val="clear" w:color="auto" w:fill="auto"/>
            <w:vAlign w:val="bottom"/>
          </w:tcPr>
          <w:p w14:paraId="5F2CA98F" w14:textId="77777777" w:rsidR="00E836FB" w:rsidRDefault="00E836FB">
            <w:pPr>
              <w:rPr>
                <w:rFonts w:ascii="宋体"/>
                <w:vanish/>
              </w:rPr>
            </w:pPr>
          </w:p>
        </w:tc>
        <w:tc>
          <w:tcPr>
            <w:tcW w:w="0" w:type="auto"/>
            <w:gridSpan w:val="3"/>
            <w:shd w:val="clear" w:color="auto" w:fill="auto"/>
            <w:vAlign w:val="bottom"/>
          </w:tcPr>
          <w:p w14:paraId="5F2CA990" w14:textId="77777777" w:rsidR="00E836FB" w:rsidRDefault="00E836FB">
            <w:pPr>
              <w:rPr>
                <w:rFonts w:ascii="宋体"/>
                <w:vanish/>
              </w:rPr>
            </w:pPr>
          </w:p>
        </w:tc>
      </w:tr>
      <w:tr w:rsidR="00E836FB" w14:paraId="5F2CA9AC" w14:textId="77777777">
        <w:tc>
          <w:tcPr>
            <w:tcW w:w="0" w:type="auto"/>
            <w:gridSpan w:val="3"/>
            <w:shd w:val="clear" w:color="auto" w:fill="FFFFFF"/>
            <w:tcMar>
              <w:top w:w="40" w:type="dxa"/>
              <w:left w:w="20" w:type="dxa"/>
              <w:bottom w:w="40" w:type="dxa"/>
              <w:right w:w="20" w:type="dxa"/>
            </w:tcMar>
            <w:vAlign w:val="bottom"/>
          </w:tcPr>
          <w:p w14:paraId="5F2CA992" w14:textId="77777777" w:rsidR="00E836FB" w:rsidRDefault="00994958">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99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994" w14:textId="77777777" w:rsidR="00E836FB" w:rsidRDefault="00994958">
            <w:pPr>
              <w:jc w:val="right"/>
              <w:textAlignment w:val="bottom"/>
            </w:pPr>
            <w:r>
              <w:rPr>
                <w:rFonts w:ascii="Arial" w:eastAsia="宋体" w:hAnsi="Arial" w:cs="Arial"/>
                <w:b/>
                <w:bCs/>
                <w:color w:val="000000"/>
                <w:sz w:val="14"/>
                <w:szCs w:val="14"/>
              </w:rPr>
              <w:t>43,678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9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996"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99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998" w14:textId="77777777" w:rsidR="00E836FB" w:rsidRDefault="00994958">
            <w:pPr>
              <w:jc w:val="right"/>
              <w:textAlignment w:val="bottom"/>
            </w:pPr>
            <w:r>
              <w:rPr>
                <w:rFonts w:ascii="Arial" w:eastAsia="宋体" w:hAnsi="Arial" w:cs="Arial"/>
                <w:color w:val="000000"/>
                <w:sz w:val="14"/>
                <w:szCs w:val="14"/>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9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99A"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99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99C" w14:textId="77777777" w:rsidR="00E836FB" w:rsidRDefault="00994958">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99D" w14:textId="77777777" w:rsidR="00E836FB" w:rsidRDefault="00E836FB">
            <w:pPr>
              <w:jc w:val="right"/>
              <w:rPr>
                <w:rFonts w:ascii="宋体"/>
              </w:rPr>
            </w:pPr>
          </w:p>
        </w:tc>
        <w:tc>
          <w:tcPr>
            <w:tcW w:w="0" w:type="auto"/>
            <w:shd w:val="clear" w:color="auto" w:fill="auto"/>
            <w:vAlign w:val="bottom"/>
          </w:tcPr>
          <w:p w14:paraId="5F2CA99E" w14:textId="77777777" w:rsidR="00E836FB" w:rsidRDefault="00E836FB">
            <w:pPr>
              <w:rPr>
                <w:rFonts w:ascii="宋体"/>
                <w:vanish/>
              </w:rPr>
            </w:pPr>
          </w:p>
        </w:tc>
        <w:tc>
          <w:tcPr>
            <w:tcW w:w="0" w:type="auto"/>
            <w:shd w:val="clear" w:color="auto" w:fill="auto"/>
            <w:vAlign w:val="bottom"/>
          </w:tcPr>
          <w:p w14:paraId="5F2CA99F" w14:textId="77777777" w:rsidR="00E836FB" w:rsidRDefault="00E836FB">
            <w:pPr>
              <w:rPr>
                <w:rFonts w:ascii="宋体"/>
                <w:vanish/>
              </w:rPr>
            </w:pPr>
          </w:p>
        </w:tc>
        <w:tc>
          <w:tcPr>
            <w:tcW w:w="0" w:type="auto"/>
            <w:shd w:val="clear" w:color="auto" w:fill="auto"/>
            <w:vAlign w:val="bottom"/>
          </w:tcPr>
          <w:p w14:paraId="5F2CA9A0" w14:textId="77777777" w:rsidR="00E836FB" w:rsidRDefault="00E836FB">
            <w:pPr>
              <w:rPr>
                <w:rFonts w:ascii="宋体"/>
                <w:vanish/>
              </w:rPr>
            </w:pPr>
          </w:p>
        </w:tc>
        <w:tc>
          <w:tcPr>
            <w:tcW w:w="0" w:type="auto"/>
            <w:shd w:val="clear" w:color="auto" w:fill="auto"/>
            <w:vAlign w:val="bottom"/>
          </w:tcPr>
          <w:p w14:paraId="5F2CA9A1" w14:textId="77777777" w:rsidR="00E836FB" w:rsidRDefault="00E836FB">
            <w:pPr>
              <w:rPr>
                <w:rFonts w:ascii="宋体"/>
                <w:vanish/>
              </w:rPr>
            </w:pPr>
          </w:p>
        </w:tc>
        <w:tc>
          <w:tcPr>
            <w:tcW w:w="0" w:type="auto"/>
            <w:shd w:val="clear" w:color="auto" w:fill="auto"/>
            <w:vAlign w:val="bottom"/>
          </w:tcPr>
          <w:p w14:paraId="5F2CA9A2"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A9A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9A4"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5F2CA9A5"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A9A6" w14:textId="77777777" w:rsidR="00E836FB" w:rsidRDefault="00E836FB">
            <w:pPr>
              <w:rPr>
                <w:rFonts w:ascii="宋体"/>
              </w:rPr>
            </w:pPr>
          </w:p>
        </w:tc>
        <w:tc>
          <w:tcPr>
            <w:tcW w:w="0" w:type="auto"/>
            <w:gridSpan w:val="3"/>
            <w:shd w:val="clear" w:color="auto" w:fill="auto"/>
            <w:vAlign w:val="bottom"/>
          </w:tcPr>
          <w:p w14:paraId="5F2CA9A7" w14:textId="77777777" w:rsidR="00E836FB" w:rsidRDefault="00E836FB">
            <w:pPr>
              <w:rPr>
                <w:rFonts w:ascii="宋体"/>
                <w:vanish/>
              </w:rPr>
            </w:pPr>
          </w:p>
        </w:tc>
        <w:tc>
          <w:tcPr>
            <w:tcW w:w="0" w:type="auto"/>
            <w:gridSpan w:val="2"/>
            <w:shd w:val="clear" w:color="auto" w:fill="auto"/>
            <w:tcMar>
              <w:top w:w="40" w:type="dxa"/>
              <w:left w:w="20" w:type="dxa"/>
              <w:bottom w:w="40" w:type="dxa"/>
              <w:right w:w="0" w:type="dxa"/>
            </w:tcMar>
            <w:vAlign w:val="bottom"/>
          </w:tcPr>
          <w:p w14:paraId="5F2CA9A8"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auto"/>
            <w:tcMar>
              <w:top w:w="40" w:type="dxa"/>
              <w:left w:w="0" w:type="dxa"/>
              <w:bottom w:w="40" w:type="dxa"/>
              <w:right w:w="20" w:type="dxa"/>
            </w:tcMar>
            <w:vAlign w:val="bottom"/>
          </w:tcPr>
          <w:p w14:paraId="5F2CA9A9" w14:textId="77777777" w:rsidR="00E836FB" w:rsidRDefault="00E836FB">
            <w:pPr>
              <w:jc w:val="right"/>
              <w:rPr>
                <w:rFonts w:ascii="宋体"/>
              </w:rPr>
            </w:pPr>
          </w:p>
        </w:tc>
        <w:tc>
          <w:tcPr>
            <w:tcW w:w="0" w:type="auto"/>
            <w:gridSpan w:val="3"/>
            <w:shd w:val="clear" w:color="auto" w:fill="auto"/>
            <w:vAlign w:val="bottom"/>
          </w:tcPr>
          <w:p w14:paraId="5F2CA9AA" w14:textId="77777777" w:rsidR="00E836FB" w:rsidRDefault="00E836FB">
            <w:pPr>
              <w:rPr>
                <w:rFonts w:ascii="宋体"/>
                <w:vanish/>
              </w:rPr>
            </w:pPr>
          </w:p>
        </w:tc>
        <w:tc>
          <w:tcPr>
            <w:tcW w:w="0" w:type="auto"/>
            <w:gridSpan w:val="3"/>
            <w:shd w:val="clear" w:color="auto" w:fill="auto"/>
            <w:vAlign w:val="bottom"/>
          </w:tcPr>
          <w:p w14:paraId="5F2CA9AB" w14:textId="77777777" w:rsidR="00E836FB" w:rsidRDefault="00E836FB">
            <w:pPr>
              <w:rPr>
                <w:rFonts w:ascii="宋体"/>
                <w:vanish/>
              </w:rPr>
            </w:pPr>
          </w:p>
        </w:tc>
      </w:tr>
    </w:tbl>
    <w:p w14:paraId="5F2CA9AD"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1664"/>
        <w:gridCol w:w="37"/>
        <w:gridCol w:w="99"/>
        <w:gridCol w:w="1224"/>
        <w:gridCol w:w="37"/>
        <w:gridCol w:w="36"/>
        <w:gridCol w:w="36"/>
        <w:gridCol w:w="36"/>
        <w:gridCol w:w="99"/>
        <w:gridCol w:w="1179"/>
        <w:gridCol w:w="37"/>
        <w:gridCol w:w="36"/>
        <w:gridCol w:w="36"/>
        <w:gridCol w:w="36"/>
        <w:gridCol w:w="99"/>
        <w:gridCol w:w="1179"/>
        <w:gridCol w:w="37"/>
        <w:gridCol w:w="36"/>
        <w:gridCol w:w="36"/>
        <w:gridCol w:w="36"/>
        <w:gridCol w:w="46"/>
        <w:gridCol w:w="784"/>
        <w:gridCol w:w="145"/>
        <w:gridCol w:w="36"/>
        <w:gridCol w:w="36"/>
        <w:gridCol w:w="36"/>
        <w:gridCol w:w="46"/>
        <w:gridCol w:w="788"/>
        <w:gridCol w:w="145"/>
        <w:gridCol w:w="36"/>
        <w:gridCol w:w="36"/>
        <w:gridCol w:w="36"/>
        <w:gridCol w:w="36"/>
        <w:gridCol w:w="36"/>
        <w:gridCol w:w="36"/>
      </w:tblGrid>
      <w:tr w:rsidR="00E836FB" w14:paraId="5F2CA9D2" w14:textId="77777777">
        <w:tc>
          <w:tcPr>
            <w:tcW w:w="50" w:type="pct"/>
            <w:shd w:val="clear" w:color="auto" w:fill="auto"/>
            <w:vAlign w:val="bottom"/>
          </w:tcPr>
          <w:p w14:paraId="5F2CA9AE" w14:textId="77777777" w:rsidR="00E836FB" w:rsidRDefault="00E836FB">
            <w:pPr>
              <w:rPr>
                <w:rFonts w:ascii="宋体"/>
              </w:rPr>
            </w:pPr>
          </w:p>
        </w:tc>
        <w:tc>
          <w:tcPr>
            <w:tcW w:w="1063" w:type="pct"/>
            <w:shd w:val="clear" w:color="auto" w:fill="auto"/>
            <w:vAlign w:val="bottom"/>
          </w:tcPr>
          <w:p w14:paraId="5F2CA9AF" w14:textId="77777777" w:rsidR="00E836FB" w:rsidRDefault="00E836FB">
            <w:pPr>
              <w:rPr>
                <w:rFonts w:ascii="宋体"/>
              </w:rPr>
            </w:pPr>
          </w:p>
        </w:tc>
        <w:tc>
          <w:tcPr>
            <w:tcW w:w="5" w:type="pct"/>
            <w:shd w:val="clear" w:color="auto" w:fill="auto"/>
            <w:vAlign w:val="bottom"/>
          </w:tcPr>
          <w:p w14:paraId="5F2CA9B0" w14:textId="77777777" w:rsidR="00E836FB" w:rsidRDefault="00E836FB">
            <w:pPr>
              <w:rPr>
                <w:rFonts w:ascii="宋体"/>
              </w:rPr>
            </w:pPr>
          </w:p>
        </w:tc>
        <w:tc>
          <w:tcPr>
            <w:tcW w:w="50" w:type="pct"/>
            <w:shd w:val="clear" w:color="auto" w:fill="auto"/>
            <w:vAlign w:val="bottom"/>
          </w:tcPr>
          <w:p w14:paraId="5F2CA9B1" w14:textId="77777777" w:rsidR="00E836FB" w:rsidRDefault="00E836FB">
            <w:pPr>
              <w:rPr>
                <w:rFonts w:ascii="宋体"/>
              </w:rPr>
            </w:pPr>
          </w:p>
        </w:tc>
        <w:tc>
          <w:tcPr>
            <w:tcW w:w="785" w:type="pct"/>
            <w:shd w:val="clear" w:color="auto" w:fill="auto"/>
            <w:vAlign w:val="bottom"/>
          </w:tcPr>
          <w:p w14:paraId="5F2CA9B2" w14:textId="77777777" w:rsidR="00E836FB" w:rsidRDefault="00E836FB">
            <w:pPr>
              <w:rPr>
                <w:rFonts w:ascii="宋体"/>
              </w:rPr>
            </w:pPr>
          </w:p>
        </w:tc>
        <w:tc>
          <w:tcPr>
            <w:tcW w:w="5" w:type="pct"/>
            <w:shd w:val="clear" w:color="auto" w:fill="auto"/>
            <w:vAlign w:val="bottom"/>
          </w:tcPr>
          <w:p w14:paraId="5F2CA9B3" w14:textId="77777777" w:rsidR="00E836FB" w:rsidRDefault="00E836FB">
            <w:pPr>
              <w:rPr>
                <w:rFonts w:ascii="宋体"/>
              </w:rPr>
            </w:pPr>
          </w:p>
        </w:tc>
        <w:tc>
          <w:tcPr>
            <w:tcW w:w="5" w:type="pct"/>
            <w:shd w:val="clear" w:color="auto" w:fill="auto"/>
            <w:vAlign w:val="bottom"/>
          </w:tcPr>
          <w:p w14:paraId="5F2CA9B4" w14:textId="77777777" w:rsidR="00E836FB" w:rsidRDefault="00E836FB">
            <w:pPr>
              <w:rPr>
                <w:rFonts w:ascii="宋体"/>
              </w:rPr>
            </w:pPr>
          </w:p>
        </w:tc>
        <w:tc>
          <w:tcPr>
            <w:tcW w:w="26" w:type="pct"/>
            <w:shd w:val="clear" w:color="auto" w:fill="auto"/>
            <w:vAlign w:val="bottom"/>
          </w:tcPr>
          <w:p w14:paraId="5F2CA9B5" w14:textId="77777777" w:rsidR="00E836FB" w:rsidRDefault="00E836FB">
            <w:pPr>
              <w:rPr>
                <w:rFonts w:ascii="宋体"/>
              </w:rPr>
            </w:pPr>
          </w:p>
        </w:tc>
        <w:tc>
          <w:tcPr>
            <w:tcW w:w="5" w:type="pct"/>
            <w:shd w:val="clear" w:color="auto" w:fill="auto"/>
            <w:vAlign w:val="bottom"/>
          </w:tcPr>
          <w:p w14:paraId="5F2CA9B6" w14:textId="77777777" w:rsidR="00E836FB" w:rsidRDefault="00E836FB">
            <w:pPr>
              <w:rPr>
                <w:rFonts w:ascii="宋体"/>
              </w:rPr>
            </w:pPr>
          </w:p>
        </w:tc>
        <w:tc>
          <w:tcPr>
            <w:tcW w:w="50" w:type="pct"/>
            <w:shd w:val="clear" w:color="auto" w:fill="auto"/>
            <w:vAlign w:val="bottom"/>
          </w:tcPr>
          <w:p w14:paraId="5F2CA9B7" w14:textId="77777777" w:rsidR="00E836FB" w:rsidRDefault="00E836FB">
            <w:pPr>
              <w:rPr>
                <w:rFonts w:ascii="宋体"/>
              </w:rPr>
            </w:pPr>
          </w:p>
        </w:tc>
        <w:tc>
          <w:tcPr>
            <w:tcW w:w="785" w:type="pct"/>
            <w:shd w:val="clear" w:color="auto" w:fill="auto"/>
            <w:vAlign w:val="bottom"/>
          </w:tcPr>
          <w:p w14:paraId="5F2CA9B8" w14:textId="77777777" w:rsidR="00E836FB" w:rsidRDefault="00E836FB">
            <w:pPr>
              <w:rPr>
                <w:rFonts w:ascii="宋体"/>
              </w:rPr>
            </w:pPr>
          </w:p>
        </w:tc>
        <w:tc>
          <w:tcPr>
            <w:tcW w:w="5" w:type="pct"/>
            <w:shd w:val="clear" w:color="auto" w:fill="auto"/>
            <w:vAlign w:val="bottom"/>
          </w:tcPr>
          <w:p w14:paraId="5F2CA9B9" w14:textId="77777777" w:rsidR="00E836FB" w:rsidRDefault="00E836FB">
            <w:pPr>
              <w:rPr>
                <w:rFonts w:ascii="宋体"/>
              </w:rPr>
            </w:pPr>
          </w:p>
        </w:tc>
        <w:tc>
          <w:tcPr>
            <w:tcW w:w="5" w:type="pct"/>
            <w:shd w:val="clear" w:color="auto" w:fill="auto"/>
            <w:vAlign w:val="bottom"/>
          </w:tcPr>
          <w:p w14:paraId="5F2CA9BA" w14:textId="77777777" w:rsidR="00E836FB" w:rsidRDefault="00E836FB">
            <w:pPr>
              <w:rPr>
                <w:rFonts w:ascii="宋体"/>
              </w:rPr>
            </w:pPr>
          </w:p>
        </w:tc>
        <w:tc>
          <w:tcPr>
            <w:tcW w:w="26" w:type="pct"/>
            <w:shd w:val="clear" w:color="auto" w:fill="auto"/>
            <w:vAlign w:val="bottom"/>
          </w:tcPr>
          <w:p w14:paraId="5F2CA9BB" w14:textId="77777777" w:rsidR="00E836FB" w:rsidRDefault="00E836FB">
            <w:pPr>
              <w:rPr>
                <w:rFonts w:ascii="宋体"/>
              </w:rPr>
            </w:pPr>
          </w:p>
        </w:tc>
        <w:tc>
          <w:tcPr>
            <w:tcW w:w="5" w:type="pct"/>
            <w:shd w:val="clear" w:color="auto" w:fill="auto"/>
            <w:vAlign w:val="bottom"/>
          </w:tcPr>
          <w:p w14:paraId="5F2CA9BC" w14:textId="77777777" w:rsidR="00E836FB" w:rsidRDefault="00E836FB">
            <w:pPr>
              <w:rPr>
                <w:rFonts w:ascii="宋体"/>
              </w:rPr>
            </w:pPr>
          </w:p>
        </w:tc>
        <w:tc>
          <w:tcPr>
            <w:tcW w:w="50" w:type="pct"/>
            <w:shd w:val="clear" w:color="auto" w:fill="auto"/>
            <w:vAlign w:val="bottom"/>
          </w:tcPr>
          <w:p w14:paraId="5F2CA9BD" w14:textId="77777777" w:rsidR="00E836FB" w:rsidRDefault="00E836FB">
            <w:pPr>
              <w:rPr>
                <w:rFonts w:ascii="宋体"/>
              </w:rPr>
            </w:pPr>
          </w:p>
        </w:tc>
        <w:tc>
          <w:tcPr>
            <w:tcW w:w="785" w:type="pct"/>
            <w:shd w:val="clear" w:color="auto" w:fill="auto"/>
            <w:vAlign w:val="bottom"/>
          </w:tcPr>
          <w:p w14:paraId="5F2CA9BE" w14:textId="77777777" w:rsidR="00E836FB" w:rsidRDefault="00E836FB">
            <w:pPr>
              <w:rPr>
                <w:rFonts w:ascii="宋体"/>
              </w:rPr>
            </w:pPr>
          </w:p>
        </w:tc>
        <w:tc>
          <w:tcPr>
            <w:tcW w:w="5" w:type="pct"/>
            <w:shd w:val="clear" w:color="auto" w:fill="auto"/>
            <w:vAlign w:val="bottom"/>
          </w:tcPr>
          <w:p w14:paraId="5F2CA9BF" w14:textId="77777777" w:rsidR="00E836FB" w:rsidRDefault="00E836FB">
            <w:pPr>
              <w:rPr>
                <w:rFonts w:ascii="宋体"/>
              </w:rPr>
            </w:pPr>
          </w:p>
        </w:tc>
        <w:tc>
          <w:tcPr>
            <w:tcW w:w="5" w:type="pct"/>
            <w:shd w:val="clear" w:color="auto" w:fill="auto"/>
            <w:vAlign w:val="bottom"/>
          </w:tcPr>
          <w:p w14:paraId="5F2CA9C0" w14:textId="77777777" w:rsidR="00E836FB" w:rsidRDefault="00E836FB">
            <w:pPr>
              <w:rPr>
                <w:rFonts w:ascii="宋体"/>
              </w:rPr>
            </w:pPr>
          </w:p>
        </w:tc>
        <w:tc>
          <w:tcPr>
            <w:tcW w:w="26" w:type="pct"/>
            <w:shd w:val="clear" w:color="auto" w:fill="auto"/>
            <w:vAlign w:val="bottom"/>
          </w:tcPr>
          <w:p w14:paraId="5F2CA9C1" w14:textId="77777777" w:rsidR="00E836FB" w:rsidRDefault="00E836FB">
            <w:pPr>
              <w:rPr>
                <w:rFonts w:ascii="宋体"/>
              </w:rPr>
            </w:pPr>
          </w:p>
        </w:tc>
        <w:tc>
          <w:tcPr>
            <w:tcW w:w="5" w:type="pct"/>
            <w:shd w:val="clear" w:color="auto" w:fill="auto"/>
            <w:vAlign w:val="bottom"/>
          </w:tcPr>
          <w:p w14:paraId="5F2CA9C2" w14:textId="77777777" w:rsidR="00E836FB" w:rsidRDefault="00E836FB">
            <w:pPr>
              <w:rPr>
                <w:rFonts w:ascii="宋体"/>
              </w:rPr>
            </w:pPr>
          </w:p>
        </w:tc>
        <w:tc>
          <w:tcPr>
            <w:tcW w:w="50" w:type="pct"/>
            <w:shd w:val="clear" w:color="auto" w:fill="auto"/>
            <w:vAlign w:val="bottom"/>
          </w:tcPr>
          <w:p w14:paraId="5F2CA9C3" w14:textId="77777777" w:rsidR="00E836FB" w:rsidRDefault="00E836FB">
            <w:pPr>
              <w:rPr>
                <w:rFonts w:ascii="宋体"/>
              </w:rPr>
            </w:pPr>
          </w:p>
        </w:tc>
        <w:tc>
          <w:tcPr>
            <w:tcW w:w="551" w:type="pct"/>
            <w:shd w:val="clear" w:color="auto" w:fill="auto"/>
            <w:vAlign w:val="bottom"/>
          </w:tcPr>
          <w:p w14:paraId="5F2CA9C4" w14:textId="77777777" w:rsidR="00E836FB" w:rsidRDefault="00E836FB">
            <w:pPr>
              <w:rPr>
                <w:rFonts w:ascii="宋体"/>
              </w:rPr>
            </w:pPr>
          </w:p>
        </w:tc>
        <w:tc>
          <w:tcPr>
            <w:tcW w:w="5" w:type="pct"/>
            <w:shd w:val="clear" w:color="auto" w:fill="auto"/>
            <w:vAlign w:val="bottom"/>
          </w:tcPr>
          <w:p w14:paraId="5F2CA9C5" w14:textId="77777777" w:rsidR="00E836FB" w:rsidRDefault="00E836FB">
            <w:pPr>
              <w:rPr>
                <w:rFonts w:ascii="宋体"/>
              </w:rPr>
            </w:pPr>
          </w:p>
        </w:tc>
        <w:tc>
          <w:tcPr>
            <w:tcW w:w="5" w:type="pct"/>
            <w:shd w:val="clear" w:color="auto" w:fill="auto"/>
            <w:vAlign w:val="bottom"/>
          </w:tcPr>
          <w:p w14:paraId="5F2CA9C6" w14:textId="77777777" w:rsidR="00E836FB" w:rsidRDefault="00E836FB">
            <w:pPr>
              <w:rPr>
                <w:rFonts w:ascii="宋体"/>
              </w:rPr>
            </w:pPr>
          </w:p>
        </w:tc>
        <w:tc>
          <w:tcPr>
            <w:tcW w:w="26" w:type="pct"/>
            <w:shd w:val="clear" w:color="auto" w:fill="auto"/>
            <w:vAlign w:val="bottom"/>
          </w:tcPr>
          <w:p w14:paraId="5F2CA9C7" w14:textId="77777777" w:rsidR="00E836FB" w:rsidRDefault="00E836FB">
            <w:pPr>
              <w:rPr>
                <w:rFonts w:ascii="宋体"/>
              </w:rPr>
            </w:pPr>
          </w:p>
        </w:tc>
        <w:tc>
          <w:tcPr>
            <w:tcW w:w="5" w:type="pct"/>
            <w:shd w:val="clear" w:color="auto" w:fill="auto"/>
            <w:vAlign w:val="bottom"/>
          </w:tcPr>
          <w:p w14:paraId="5F2CA9C8" w14:textId="77777777" w:rsidR="00E836FB" w:rsidRDefault="00E836FB">
            <w:pPr>
              <w:rPr>
                <w:rFonts w:ascii="宋体"/>
              </w:rPr>
            </w:pPr>
          </w:p>
        </w:tc>
        <w:tc>
          <w:tcPr>
            <w:tcW w:w="50" w:type="pct"/>
            <w:shd w:val="clear" w:color="auto" w:fill="auto"/>
            <w:vAlign w:val="bottom"/>
          </w:tcPr>
          <w:p w14:paraId="5F2CA9C9" w14:textId="77777777" w:rsidR="00E836FB" w:rsidRDefault="00E836FB">
            <w:pPr>
              <w:rPr>
                <w:rFonts w:ascii="宋体"/>
              </w:rPr>
            </w:pPr>
          </w:p>
        </w:tc>
        <w:tc>
          <w:tcPr>
            <w:tcW w:w="552" w:type="pct"/>
            <w:shd w:val="clear" w:color="auto" w:fill="auto"/>
            <w:vAlign w:val="bottom"/>
          </w:tcPr>
          <w:p w14:paraId="5F2CA9CA" w14:textId="77777777" w:rsidR="00E836FB" w:rsidRDefault="00E836FB">
            <w:pPr>
              <w:rPr>
                <w:rFonts w:ascii="宋体"/>
              </w:rPr>
            </w:pPr>
          </w:p>
        </w:tc>
        <w:tc>
          <w:tcPr>
            <w:tcW w:w="5" w:type="pct"/>
            <w:shd w:val="clear" w:color="auto" w:fill="auto"/>
            <w:vAlign w:val="bottom"/>
          </w:tcPr>
          <w:p w14:paraId="5F2CA9CB" w14:textId="77777777" w:rsidR="00E836FB" w:rsidRDefault="00E836FB">
            <w:pPr>
              <w:rPr>
                <w:rFonts w:ascii="宋体"/>
              </w:rPr>
            </w:pPr>
          </w:p>
        </w:tc>
        <w:tc>
          <w:tcPr>
            <w:tcW w:w="0" w:type="auto"/>
            <w:shd w:val="clear" w:color="auto" w:fill="auto"/>
            <w:vAlign w:val="bottom"/>
          </w:tcPr>
          <w:p w14:paraId="5F2CA9CC" w14:textId="77777777" w:rsidR="00E836FB" w:rsidRDefault="00E836FB">
            <w:pPr>
              <w:rPr>
                <w:rFonts w:ascii="宋体"/>
                <w:vanish/>
              </w:rPr>
            </w:pPr>
          </w:p>
        </w:tc>
        <w:tc>
          <w:tcPr>
            <w:tcW w:w="0" w:type="auto"/>
            <w:shd w:val="clear" w:color="auto" w:fill="auto"/>
            <w:vAlign w:val="bottom"/>
          </w:tcPr>
          <w:p w14:paraId="5F2CA9CD" w14:textId="77777777" w:rsidR="00E836FB" w:rsidRDefault="00E836FB">
            <w:pPr>
              <w:rPr>
                <w:rFonts w:ascii="宋体"/>
                <w:vanish/>
              </w:rPr>
            </w:pPr>
          </w:p>
        </w:tc>
        <w:tc>
          <w:tcPr>
            <w:tcW w:w="0" w:type="auto"/>
            <w:shd w:val="clear" w:color="auto" w:fill="auto"/>
            <w:vAlign w:val="bottom"/>
          </w:tcPr>
          <w:p w14:paraId="5F2CA9CE" w14:textId="77777777" w:rsidR="00E836FB" w:rsidRDefault="00E836FB">
            <w:pPr>
              <w:rPr>
                <w:rFonts w:ascii="宋体"/>
                <w:vanish/>
              </w:rPr>
            </w:pPr>
          </w:p>
        </w:tc>
        <w:tc>
          <w:tcPr>
            <w:tcW w:w="0" w:type="auto"/>
            <w:shd w:val="clear" w:color="auto" w:fill="auto"/>
            <w:vAlign w:val="bottom"/>
          </w:tcPr>
          <w:p w14:paraId="5F2CA9CF" w14:textId="77777777" w:rsidR="00E836FB" w:rsidRDefault="00E836FB">
            <w:pPr>
              <w:rPr>
                <w:rFonts w:ascii="宋体"/>
                <w:vanish/>
              </w:rPr>
            </w:pPr>
          </w:p>
        </w:tc>
        <w:tc>
          <w:tcPr>
            <w:tcW w:w="0" w:type="auto"/>
            <w:shd w:val="clear" w:color="auto" w:fill="auto"/>
            <w:vAlign w:val="bottom"/>
          </w:tcPr>
          <w:p w14:paraId="5F2CA9D0" w14:textId="77777777" w:rsidR="00E836FB" w:rsidRDefault="00E836FB">
            <w:pPr>
              <w:rPr>
                <w:rFonts w:ascii="宋体"/>
                <w:vanish/>
              </w:rPr>
            </w:pPr>
          </w:p>
        </w:tc>
        <w:tc>
          <w:tcPr>
            <w:tcW w:w="0" w:type="auto"/>
            <w:shd w:val="clear" w:color="auto" w:fill="auto"/>
            <w:vAlign w:val="bottom"/>
          </w:tcPr>
          <w:p w14:paraId="5F2CA9D1" w14:textId="77777777" w:rsidR="00E836FB" w:rsidRDefault="00E836FB">
            <w:pPr>
              <w:rPr>
                <w:rFonts w:ascii="宋体"/>
                <w:vanish/>
              </w:rPr>
            </w:pPr>
          </w:p>
        </w:tc>
      </w:tr>
      <w:tr w:rsidR="00E836FB" w14:paraId="5F2CA9DA" w14:textId="77777777">
        <w:tc>
          <w:tcPr>
            <w:tcW w:w="0" w:type="auto"/>
            <w:gridSpan w:val="30"/>
            <w:shd w:val="clear" w:color="auto" w:fill="auto"/>
            <w:tcMar>
              <w:top w:w="40" w:type="dxa"/>
              <w:left w:w="20" w:type="dxa"/>
              <w:bottom w:w="40" w:type="dxa"/>
              <w:right w:w="20" w:type="dxa"/>
            </w:tcMar>
            <w:vAlign w:val="bottom"/>
          </w:tcPr>
          <w:p w14:paraId="5F2CA9D3" w14:textId="77777777" w:rsidR="00E836FB" w:rsidRDefault="00994958">
            <w:pPr>
              <w:textAlignment w:val="bottom"/>
            </w:pPr>
            <w:r>
              <w:rPr>
                <w:rFonts w:ascii="Arial" w:eastAsia="宋体" w:hAnsi="Arial" w:cs="Arial"/>
                <w:b/>
                <w:bCs/>
                <w:color w:val="000000"/>
                <w:sz w:val="16"/>
                <w:szCs w:val="16"/>
              </w:rPr>
              <w:t>TABLE 8: ASSETS UNDER CUSTODY AND/OR ADMINISTRATION BY GEOGRAPHY</w:t>
            </w:r>
            <w:r>
              <w:rPr>
                <w:rFonts w:ascii="Arial" w:eastAsia="宋体" w:hAnsi="Arial" w:cs="Arial"/>
                <w:b/>
                <w:bCs/>
                <w:color w:val="000000"/>
                <w:sz w:val="10"/>
                <w:szCs w:val="10"/>
              </w:rPr>
              <w:t>(2)(3)</w:t>
            </w:r>
          </w:p>
        </w:tc>
        <w:tc>
          <w:tcPr>
            <w:tcW w:w="0" w:type="auto"/>
            <w:shd w:val="clear" w:color="auto" w:fill="auto"/>
            <w:vAlign w:val="bottom"/>
          </w:tcPr>
          <w:p w14:paraId="5F2CA9D4" w14:textId="77777777" w:rsidR="00E836FB" w:rsidRDefault="00E836FB">
            <w:pPr>
              <w:rPr>
                <w:rFonts w:ascii="宋体"/>
                <w:vanish/>
              </w:rPr>
            </w:pPr>
          </w:p>
        </w:tc>
        <w:tc>
          <w:tcPr>
            <w:tcW w:w="0" w:type="auto"/>
            <w:shd w:val="clear" w:color="auto" w:fill="auto"/>
            <w:vAlign w:val="bottom"/>
          </w:tcPr>
          <w:p w14:paraId="5F2CA9D5" w14:textId="77777777" w:rsidR="00E836FB" w:rsidRDefault="00E836FB">
            <w:pPr>
              <w:rPr>
                <w:rFonts w:ascii="宋体"/>
                <w:vanish/>
              </w:rPr>
            </w:pPr>
          </w:p>
        </w:tc>
        <w:tc>
          <w:tcPr>
            <w:tcW w:w="0" w:type="auto"/>
            <w:shd w:val="clear" w:color="auto" w:fill="auto"/>
            <w:vAlign w:val="bottom"/>
          </w:tcPr>
          <w:p w14:paraId="5F2CA9D6" w14:textId="77777777" w:rsidR="00E836FB" w:rsidRDefault="00E836FB">
            <w:pPr>
              <w:rPr>
                <w:rFonts w:ascii="宋体"/>
                <w:vanish/>
              </w:rPr>
            </w:pPr>
          </w:p>
        </w:tc>
        <w:tc>
          <w:tcPr>
            <w:tcW w:w="0" w:type="auto"/>
            <w:shd w:val="clear" w:color="auto" w:fill="auto"/>
            <w:vAlign w:val="bottom"/>
          </w:tcPr>
          <w:p w14:paraId="5F2CA9D7" w14:textId="77777777" w:rsidR="00E836FB" w:rsidRDefault="00E836FB">
            <w:pPr>
              <w:rPr>
                <w:rFonts w:ascii="宋体"/>
                <w:vanish/>
              </w:rPr>
            </w:pPr>
          </w:p>
        </w:tc>
        <w:tc>
          <w:tcPr>
            <w:tcW w:w="0" w:type="auto"/>
            <w:shd w:val="clear" w:color="auto" w:fill="auto"/>
            <w:vAlign w:val="bottom"/>
          </w:tcPr>
          <w:p w14:paraId="5F2CA9D8" w14:textId="77777777" w:rsidR="00E836FB" w:rsidRDefault="00E836FB">
            <w:pPr>
              <w:rPr>
                <w:rFonts w:ascii="宋体"/>
                <w:vanish/>
              </w:rPr>
            </w:pPr>
          </w:p>
        </w:tc>
        <w:tc>
          <w:tcPr>
            <w:tcW w:w="0" w:type="auto"/>
            <w:shd w:val="clear" w:color="auto" w:fill="auto"/>
            <w:vAlign w:val="bottom"/>
          </w:tcPr>
          <w:p w14:paraId="5F2CA9D9" w14:textId="77777777" w:rsidR="00E836FB" w:rsidRDefault="00E836FB">
            <w:pPr>
              <w:rPr>
                <w:rFonts w:ascii="宋体"/>
                <w:vanish/>
              </w:rPr>
            </w:pPr>
          </w:p>
        </w:tc>
      </w:tr>
      <w:tr w:rsidR="00E836FB" w14:paraId="5F2CA9EB" w14:textId="77777777">
        <w:tc>
          <w:tcPr>
            <w:tcW w:w="0" w:type="auto"/>
            <w:gridSpan w:val="3"/>
            <w:shd w:val="clear" w:color="auto" w:fill="auto"/>
            <w:tcMar>
              <w:top w:w="40" w:type="dxa"/>
              <w:left w:w="20" w:type="dxa"/>
              <w:bottom w:w="40" w:type="dxa"/>
              <w:right w:w="20" w:type="dxa"/>
            </w:tcMar>
            <w:vAlign w:val="bottom"/>
          </w:tcPr>
          <w:p w14:paraId="5F2CA9DB" w14:textId="77777777" w:rsidR="00E836FB" w:rsidRDefault="00994958">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5F2CA9DC" w14:textId="77777777" w:rsidR="00E836FB" w:rsidRDefault="00994958">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5F2CA9D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9DE" w14:textId="77777777" w:rsidR="00E836FB" w:rsidRDefault="00994958">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vAlign w:val="bottom"/>
          </w:tcPr>
          <w:p w14:paraId="5F2CA9D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9E0" w14:textId="77777777" w:rsidR="00E836FB" w:rsidRDefault="00994958">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top w:w="0" w:type="dxa"/>
              <w:left w:w="20" w:type="dxa"/>
              <w:bottom w:w="0" w:type="dxa"/>
              <w:right w:w="20" w:type="dxa"/>
            </w:tcMar>
            <w:vAlign w:val="bottom"/>
          </w:tcPr>
          <w:p w14:paraId="5F2CA9E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9E2" w14:textId="77777777" w:rsidR="00E836FB" w:rsidRDefault="00994958">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2021 vs. 2020</w:t>
            </w:r>
          </w:p>
        </w:tc>
        <w:tc>
          <w:tcPr>
            <w:tcW w:w="0" w:type="auto"/>
            <w:gridSpan w:val="3"/>
            <w:shd w:val="clear" w:color="auto" w:fill="auto"/>
            <w:tcMar>
              <w:top w:w="0" w:type="dxa"/>
              <w:left w:w="20" w:type="dxa"/>
              <w:bottom w:w="0" w:type="dxa"/>
              <w:right w:w="20" w:type="dxa"/>
            </w:tcMar>
            <w:vAlign w:val="bottom"/>
          </w:tcPr>
          <w:p w14:paraId="5F2CA9E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9E4" w14:textId="77777777" w:rsidR="00E836FB" w:rsidRDefault="00994958">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2020 vs. 2019</w:t>
            </w:r>
          </w:p>
        </w:tc>
        <w:tc>
          <w:tcPr>
            <w:tcW w:w="0" w:type="auto"/>
            <w:shd w:val="clear" w:color="auto" w:fill="auto"/>
            <w:vAlign w:val="bottom"/>
          </w:tcPr>
          <w:p w14:paraId="5F2CA9E5" w14:textId="77777777" w:rsidR="00E836FB" w:rsidRDefault="00E836FB">
            <w:pPr>
              <w:rPr>
                <w:rFonts w:ascii="宋体"/>
                <w:vanish/>
              </w:rPr>
            </w:pPr>
          </w:p>
        </w:tc>
        <w:tc>
          <w:tcPr>
            <w:tcW w:w="0" w:type="auto"/>
            <w:shd w:val="clear" w:color="auto" w:fill="auto"/>
            <w:vAlign w:val="bottom"/>
          </w:tcPr>
          <w:p w14:paraId="5F2CA9E6" w14:textId="77777777" w:rsidR="00E836FB" w:rsidRDefault="00E836FB">
            <w:pPr>
              <w:rPr>
                <w:rFonts w:ascii="宋体"/>
                <w:vanish/>
              </w:rPr>
            </w:pPr>
          </w:p>
        </w:tc>
        <w:tc>
          <w:tcPr>
            <w:tcW w:w="0" w:type="auto"/>
            <w:shd w:val="clear" w:color="auto" w:fill="auto"/>
            <w:vAlign w:val="bottom"/>
          </w:tcPr>
          <w:p w14:paraId="5F2CA9E7" w14:textId="77777777" w:rsidR="00E836FB" w:rsidRDefault="00E836FB">
            <w:pPr>
              <w:rPr>
                <w:rFonts w:ascii="宋体"/>
                <w:vanish/>
              </w:rPr>
            </w:pPr>
          </w:p>
        </w:tc>
        <w:tc>
          <w:tcPr>
            <w:tcW w:w="0" w:type="auto"/>
            <w:shd w:val="clear" w:color="auto" w:fill="auto"/>
            <w:vAlign w:val="bottom"/>
          </w:tcPr>
          <w:p w14:paraId="5F2CA9E8" w14:textId="77777777" w:rsidR="00E836FB" w:rsidRDefault="00E836FB">
            <w:pPr>
              <w:rPr>
                <w:rFonts w:ascii="宋体"/>
                <w:vanish/>
              </w:rPr>
            </w:pPr>
          </w:p>
        </w:tc>
        <w:tc>
          <w:tcPr>
            <w:tcW w:w="0" w:type="auto"/>
            <w:shd w:val="clear" w:color="auto" w:fill="auto"/>
            <w:vAlign w:val="bottom"/>
          </w:tcPr>
          <w:p w14:paraId="5F2CA9E9" w14:textId="77777777" w:rsidR="00E836FB" w:rsidRDefault="00E836FB">
            <w:pPr>
              <w:rPr>
                <w:rFonts w:ascii="宋体"/>
                <w:vanish/>
              </w:rPr>
            </w:pPr>
          </w:p>
        </w:tc>
        <w:tc>
          <w:tcPr>
            <w:tcW w:w="0" w:type="auto"/>
            <w:shd w:val="clear" w:color="auto" w:fill="auto"/>
            <w:vAlign w:val="bottom"/>
          </w:tcPr>
          <w:p w14:paraId="5F2CA9EA" w14:textId="77777777" w:rsidR="00E836FB" w:rsidRDefault="00E836FB">
            <w:pPr>
              <w:rPr>
                <w:rFonts w:ascii="宋体"/>
                <w:vanish/>
              </w:rPr>
            </w:pPr>
          </w:p>
        </w:tc>
      </w:tr>
      <w:tr w:rsidR="00E836FB" w14:paraId="5F2CAA04" w14:textId="77777777">
        <w:tc>
          <w:tcPr>
            <w:tcW w:w="0" w:type="auto"/>
            <w:gridSpan w:val="3"/>
            <w:shd w:val="clear" w:color="auto" w:fill="CCEEFF"/>
            <w:tcMar>
              <w:top w:w="40" w:type="dxa"/>
              <w:left w:w="20" w:type="dxa"/>
              <w:bottom w:w="40" w:type="dxa"/>
              <w:right w:w="20" w:type="dxa"/>
            </w:tcMar>
            <w:vAlign w:val="bottom"/>
          </w:tcPr>
          <w:p w14:paraId="5F2CA9EC" w14:textId="77777777" w:rsidR="00E836FB" w:rsidRDefault="00994958">
            <w:pPr>
              <w:textAlignment w:val="bottom"/>
            </w:pPr>
            <w:r>
              <w:rPr>
                <w:rFonts w:ascii="Arial" w:eastAsia="宋体" w:hAnsi="Arial" w:cs="Arial"/>
                <w:color w:val="000000"/>
                <w:sz w:val="14"/>
                <w:szCs w:val="14"/>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9ED"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9EE" w14:textId="77777777" w:rsidR="00E836FB" w:rsidRDefault="00994958">
            <w:pPr>
              <w:jc w:val="right"/>
              <w:textAlignment w:val="bottom"/>
            </w:pPr>
            <w:r>
              <w:rPr>
                <w:rFonts w:ascii="Arial" w:eastAsia="宋体" w:hAnsi="Arial" w:cs="Arial"/>
                <w:b/>
                <w:bCs/>
                <w:color w:val="000000"/>
                <w:sz w:val="14"/>
                <w:szCs w:val="14"/>
              </w:rPr>
              <w:t>32,427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F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9F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9F2" w14:textId="77777777" w:rsidR="00E836FB" w:rsidRDefault="00994958">
            <w:pPr>
              <w:jc w:val="right"/>
              <w:textAlignment w:val="bottom"/>
            </w:pPr>
            <w:r>
              <w:rPr>
                <w:rFonts w:ascii="Arial" w:eastAsia="宋体" w:hAnsi="Arial" w:cs="Arial"/>
                <w:color w:val="000000"/>
                <w:sz w:val="14"/>
                <w:szCs w:val="14"/>
              </w:rPr>
              <w:t>28,245 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F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F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9F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9F6" w14:textId="77777777" w:rsidR="00E836FB" w:rsidRDefault="00994958">
            <w:pPr>
              <w:jc w:val="right"/>
              <w:textAlignment w:val="bottom"/>
            </w:pPr>
            <w:r>
              <w:rPr>
                <w:rFonts w:ascii="Arial" w:eastAsia="宋体" w:hAnsi="Arial" w:cs="Arial"/>
                <w:color w:val="000000"/>
                <w:sz w:val="14"/>
                <w:szCs w:val="14"/>
              </w:rPr>
              <w:t>25,018 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9F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9F9" w14:textId="77777777" w:rsidR="00E836FB" w:rsidRDefault="00994958">
            <w:pPr>
              <w:jc w:val="right"/>
              <w:textAlignment w:val="bottom"/>
            </w:pPr>
            <w:r>
              <w:rPr>
                <w:rFonts w:ascii="Arial" w:eastAsia="宋体" w:hAnsi="Arial" w:cs="Arial"/>
                <w:color w:val="000000"/>
                <w:sz w:val="14"/>
                <w:szCs w:val="14"/>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FA"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A9F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9FC" w14:textId="77777777" w:rsidR="00E836FB" w:rsidRDefault="00994958">
            <w:pPr>
              <w:jc w:val="right"/>
              <w:textAlignment w:val="bottom"/>
            </w:pPr>
            <w:r>
              <w:rPr>
                <w:rFonts w:ascii="Arial" w:eastAsia="宋体" w:hAnsi="Arial" w:cs="Arial"/>
                <w:color w:val="000000"/>
                <w:sz w:val="14"/>
                <w:szCs w:val="14"/>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9FD" w14:textId="77777777" w:rsidR="00E836FB" w:rsidRDefault="00994958">
            <w:pPr>
              <w:jc w:val="right"/>
              <w:textAlignment w:val="bottom"/>
            </w:pPr>
            <w:r>
              <w:rPr>
                <w:rFonts w:ascii="Arial" w:eastAsia="宋体" w:hAnsi="Arial" w:cs="Arial"/>
                <w:color w:val="000000"/>
                <w:sz w:val="14"/>
                <w:szCs w:val="14"/>
              </w:rPr>
              <w:t>%</w:t>
            </w:r>
          </w:p>
        </w:tc>
        <w:tc>
          <w:tcPr>
            <w:tcW w:w="0" w:type="auto"/>
            <w:shd w:val="clear" w:color="auto" w:fill="auto"/>
            <w:vAlign w:val="bottom"/>
          </w:tcPr>
          <w:p w14:paraId="5F2CA9FE" w14:textId="77777777" w:rsidR="00E836FB" w:rsidRDefault="00E836FB">
            <w:pPr>
              <w:rPr>
                <w:rFonts w:ascii="宋体"/>
                <w:vanish/>
              </w:rPr>
            </w:pPr>
          </w:p>
        </w:tc>
        <w:tc>
          <w:tcPr>
            <w:tcW w:w="0" w:type="auto"/>
            <w:shd w:val="clear" w:color="auto" w:fill="auto"/>
            <w:vAlign w:val="bottom"/>
          </w:tcPr>
          <w:p w14:paraId="5F2CA9FF" w14:textId="77777777" w:rsidR="00E836FB" w:rsidRDefault="00E836FB">
            <w:pPr>
              <w:rPr>
                <w:rFonts w:ascii="宋体"/>
                <w:vanish/>
              </w:rPr>
            </w:pPr>
          </w:p>
        </w:tc>
        <w:tc>
          <w:tcPr>
            <w:tcW w:w="0" w:type="auto"/>
            <w:shd w:val="clear" w:color="auto" w:fill="auto"/>
            <w:vAlign w:val="bottom"/>
          </w:tcPr>
          <w:p w14:paraId="5F2CAA00" w14:textId="77777777" w:rsidR="00E836FB" w:rsidRDefault="00E836FB">
            <w:pPr>
              <w:rPr>
                <w:rFonts w:ascii="宋体"/>
                <w:vanish/>
              </w:rPr>
            </w:pPr>
          </w:p>
        </w:tc>
        <w:tc>
          <w:tcPr>
            <w:tcW w:w="0" w:type="auto"/>
            <w:shd w:val="clear" w:color="auto" w:fill="auto"/>
            <w:vAlign w:val="bottom"/>
          </w:tcPr>
          <w:p w14:paraId="5F2CAA01" w14:textId="77777777" w:rsidR="00E836FB" w:rsidRDefault="00E836FB">
            <w:pPr>
              <w:rPr>
                <w:rFonts w:ascii="宋体"/>
                <w:vanish/>
              </w:rPr>
            </w:pPr>
          </w:p>
        </w:tc>
        <w:tc>
          <w:tcPr>
            <w:tcW w:w="0" w:type="auto"/>
            <w:shd w:val="clear" w:color="auto" w:fill="auto"/>
            <w:vAlign w:val="bottom"/>
          </w:tcPr>
          <w:p w14:paraId="5F2CAA02" w14:textId="77777777" w:rsidR="00E836FB" w:rsidRDefault="00E836FB">
            <w:pPr>
              <w:rPr>
                <w:rFonts w:ascii="宋体"/>
                <w:vanish/>
              </w:rPr>
            </w:pPr>
          </w:p>
        </w:tc>
        <w:tc>
          <w:tcPr>
            <w:tcW w:w="0" w:type="auto"/>
            <w:shd w:val="clear" w:color="auto" w:fill="auto"/>
            <w:vAlign w:val="bottom"/>
          </w:tcPr>
          <w:p w14:paraId="5F2CAA03" w14:textId="77777777" w:rsidR="00E836FB" w:rsidRDefault="00E836FB">
            <w:pPr>
              <w:rPr>
                <w:rFonts w:ascii="宋体"/>
                <w:vanish/>
              </w:rPr>
            </w:pPr>
          </w:p>
        </w:tc>
      </w:tr>
      <w:tr w:rsidR="00E836FB" w14:paraId="5F2CAA1A" w14:textId="77777777">
        <w:tc>
          <w:tcPr>
            <w:tcW w:w="0" w:type="auto"/>
            <w:gridSpan w:val="3"/>
            <w:shd w:val="clear" w:color="auto" w:fill="FFFFFF"/>
            <w:tcMar>
              <w:top w:w="40" w:type="dxa"/>
              <w:left w:w="20" w:type="dxa"/>
              <w:bottom w:w="40" w:type="dxa"/>
              <w:right w:w="20" w:type="dxa"/>
            </w:tcMar>
            <w:vAlign w:val="bottom"/>
          </w:tcPr>
          <w:p w14:paraId="5F2CAA05" w14:textId="77777777" w:rsidR="00E836FB" w:rsidRDefault="00994958">
            <w:pPr>
              <w:textAlignment w:val="bottom"/>
            </w:pPr>
            <w:r>
              <w:rPr>
                <w:rFonts w:ascii="Arial" w:eastAsia="宋体" w:hAnsi="Arial" w:cs="Arial"/>
                <w:color w:val="000000"/>
                <w:sz w:val="14"/>
                <w:szCs w:val="14"/>
              </w:rPr>
              <w:t>Europe/Middle East/Africa</w:t>
            </w:r>
          </w:p>
        </w:tc>
        <w:tc>
          <w:tcPr>
            <w:tcW w:w="0" w:type="auto"/>
            <w:gridSpan w:val="2"/>
            <w:shd w:val="clear" w:color="auto" w:fill="FFFFFF"/>
            <w:tcMar>
              <w:top w:w="40" w:type="dxa"/>
              <w:left w:w="20" w:type="dxa"/>
              <w:bottom w:w="40" w:type="dxa"/>
              <w:right w:w="0" w:type="dxa"/>
            </w:tcMar>
            <w:vAlign w:val="bottom"/>
          </w:tcPr>
          <w:p w14:paraId="5F2CAA06" w14:textId="77777777" w:rsidR="00E836FB" w:rsidRDefault="00994958">
            <w:pPr>
              <w:jc w:val="right"/>
              <w:textAlignment w:val="bottom"/>
            </w:pPr>
            <w:r>
              <w:rPr>
                <w:rFonts w:ascii="Arial" w:eastAsia="宋体" w:hAnsi="Arial" w:cs="Arial"/>
                <w:b/>
                <w:bCs/>
                <w:color w:val="000000"/>
                <w:sz w:val="14"/>
                <w:szCs w:val="14"/>
              </w:rPr>
              <w:t>8,599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A0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0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09" w14:textId="77777777" w:rsidR="00E836FB" w:rsidRDefault="00994958">
            <w:pPr>
              <w:jc w:val="right"/>
              <w:textAlignment w:val="bottom"/>
            </w:pPr>
            <w:r>
              <w:rPr>
                <w:rFonts w:ascii="Arial" w:eastAsia="宋体" w:hAnsi="Arial" w:cs="Arial"/>
                <w:color w:val="000000"/>
                <w:sz w:val="14"/>
                <w:szCs w:val="14"/>
              </w:rPr>
              <w:t>8,101 </w:t>
            </w:r>
          </w:p>
        </w:tc>
        <w:tc>
          <w:tcPr>
            <w:tcW w:w="0" w:type="auto"/>
            <w:shd w:val="clear" w:color="auto" w:fill="FFFFFF"/>
            <w:tcMar>
              <w:top w:w="40" w:type="dxa"/>
              <w:left w:w="0" w:type="dxa"/>
              <w:bottom w:w="40" w:type="dxa"/>
              <w:right w:w="20" w:type="dxa"/>
            </w:tcMar>
            <w:vAlign w:val="bottom"/>
          </w:tcPr>
          <w:p w14:paraId="5F2CAA0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0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0C" w14:textId="77777777" w:rsidR="00E836FB" w:rsidRDefault="00994958">
            <w:pPr>
              <w:jc w:val="right"/>
              <w:textAlignment w:val="bottom"/>
            </w:pPr>
            <w:r>
              <w:rPr>
                <w:rFonts w:ascii="Arial" w:eastAsia="宋体" w:hAnsi="Arial" w:cs="Arial"/>
                <w:color w:val="000000"/>
                <w:sz w:val="14"/>
                <w:szCs w:val="14"/>
              </w:rPr>
              <w:t>7,325 </w:t>
            </w:r>
          </w:p>
        </w:tc>
        <w:tc>
          <w:tcPr>
            <w:tcW w:w="0" w:type="auto"/>
            <w:shd w:val="clear" w:color="auto" w:fill="FFFFFF"/>
            <w:tcMar>
              <w:top w:w="40" w:type="dxa"/>
              <w:left w:w="0" w:type="dxa"/>
              <w:bottom w:w="40" w:type="dxa"/>
              <w:right w:w="20" w:type="dxa"/>
            </w:tcMar>
            <w:vAlign w:val="bottom"/>
          </w:tcPr>
          <w:p w14:paraId="5F2CAA0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0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0F" w14:textId="77777777" w:rsidR="00E836FB" w:rsidRDefault="00994958">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5F2CAA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1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12" w14:textId="77777777" w:rsidR="00E836FB" w:rsidRDefault="00994958">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5F2CAA13" w14:textId="77777777" w:rsidR="00E836FB" w:rsidRDefault="00E836FB">
            <w:pPr>
              <w:jc w:val="right"/>
              <w:rPr>
                <w:rFonts w:ascii="宋体"/>
              </w:rPr>
            </w:pPr>
          </w:p>
        </w:tc>
        <w:tc>
          <w:tcPr>
            <w:tcW w:w="0" w:type="auto"/>
            <w:shd w:val="clear" w:color="auto" w:fill="auto"/>
            <w:vAlign w:val="bottom"/>
          </w:tcPr>
          <w:p w14:paraId="5F2CAA14" w14:textId="77777777" w:rsidR="00E836FB" w:rsidRDefault="00E836FB">
            <w:pPr>
              <w:rPr>
                <w:rFonts w:ascii="宋体"/>
                <w:vanish/>
              </w:rPr>
            </w:pPr>
          </w:p>
        </w:tc>
        <w:tc>
          <w:tcPr>
            <w:tcW w:w="0" w:type="auto"/>
            <w:shd w:val="clear" w:color="auto" w:fill="auto"/>
            <w:vAlign w:val="bottom"/>
          </w:tcPr>
          <w:p w14:paraId="5F2CAA15" w14:textId="77777777" w:rsidR="00E836FB" w:rsidRDefault="00E836FB">
            <w:pPr>
              <w:rPr>
                <w:rFonts w:ascii="宋体"/>
                <w:vanish/>
              </w:rPr>
            </w:pPr>
          </w:p>
        </w:tc>
        <w:tc>
          <w:tcPr>
            <w:tcW w:w="0" w:type="auto"/>
            <w:shd w:val="clear" w:color="auto" w:fill="auto"/>
            <w:vAlign w:val="bottom"/>
          </w:tcPr>
          <w:p w14:paraId="5F2CAA16" w14:textId="77777777" w:rsidR="00E836FB" w:rsidRDefault="00E836FB">
            <w:pPr>
              <w:rPr>
                <w:rFonts w:ascii="宋体"/>
                <w:vanish/>
              </w:rPr>
            </w:pPr>
          </w:p>
        </w:tc>
        <w:tc>
          <w:tcPr>
            <w:tcW w:w="0" w:type="auto"/>
            <w:shd w:val="clear" w:color="auto" w:fill="auto"/>
            <w:vAlign w:val="bottom"/>
          </w:tcPr>
          <w:p w14:paraId="5F2CAA17" w14:textId="77777777" w:rsidR="00E836FB" w:rsidRDefault="00E836FB">
            <w:pPr>
              <w:rPr>
                <w:rFonts w:ascii="宋体"/>
                <w:vanish/>
              </w:rPr>
            </w:pPr>
          </w:p>
        </w:tc>
        <w:tc>
          <w:tcPr>
            <w:tcW w:w="0" w:type="auto"/>
            <w:shd w:val="clear" w:color="auto" w:fill="auto"/>
            <w:vAlign w:val="bottom"/>
          </w:tcPr>
          <w:p w14:paraId="5F2CAA18" w14:textId="77777777" w:rsidR="00E836FB" w:rsidRDefault="00E836FB">
            <w:pPr>
              <w:rPr>
                <w:rFonts w:ascii="宋体"/>
                <w:vanish/>
              </w:rPr>
            </w:pPr>
          </w:p>
        </w:tc>
        <w:tc>
          <w:tcPr>
            <w:tcW w:w="0" w:type="auto"/>
            <w:shd w:val="clear" w:color="auto" w:fill="auto"/>
            <w:vAlign w:val="bottom"/>
          </w:tcPr>
          <w:p w14:paraId="5F2CAA19" w14:textId="77777777" w:rsidR="00E836FB" w:rsidRDefault="00E836FB">
            <w:pPr>
              <w:rPr>
                <w:rFonts w:ascii="宋体"/>
                <w:vanish/>
              </w:rPr>
            </w:pPr>
          </w:p>
        </w:tc>
      </w:tr>
      <w:tr w:rsidR="00E836FB" w14:paraId="5F2CAA30" w14:textId="77777777">
        <w:tc>
          <w:tcPr>
            <w:tcW w:w="0" w:type="auto"/>
            <w:gridSpan w:val="3"/>
            <w:shd w:val="clear" w:color="auto" w:fill="CCEEFF"/>
            <w:tcMar>
              <w:top w:w="40" w:type="dxa"/>
              <w:left w:w="20" w:type="dxa"/>
              <w:bottom w:w="40" w:type="dxa"/>
              <w:right w:w="20" w:type="dxa"/>
            </w:tcMar>
            <w:vAlign w:val="bottom"/>
          </w:tcPr>
          <w:p w14:paraId="5F2CAA1B" w14:textId="77777777" w:rsidR="00E836FB" w:rsidRDefault="00994958">
            <w:pPr>
              <w:textAlignment w:val="bottom"/>
            </w:pPr>
            <w:r>
              <w:rPr>
                <w:rFonts w:ascii="Arial" w:eastAsia="宋体" w:hAnsi="Arial" w:cs="Arial"/>
                <w:color w:val="000000"/>
                <w:sz w:val="14"/>
                <w:szCs w:val="14"/>
              </w:rPr>
              <w:t>Asia/Pacific</w:t>
            </w:r>
          </w:p>
        </w:tc>
        <w:tc>
          <w:tcPr>
            <w:tcW w:w="0" w:type="auto"/>
            <w:gridSpan w:val="2"/>
            <w:shd w:val="clear" w:color="auto" w:fill="CCEEFF"/>
            <w:tcMar>
              <w:top w:w="40" w:type="dxa"/>
              <w:left w:w="20" w:type="dxa"/>
              <w:bottom w:w="40" w:type="dxa"/>
              <w:right w:w="0" w:type="dxa"/>
            </w:tcMar>
            <w:vAlign w:val="bottom"/>
          </w:tcPr>
          <w:p w14:paraId="5F2CAA1C" w14:textId="77777777" w:rsidR="00E836FB" w:rsidRDefault="00994958">
            <w:pPr>
              <w:jc w:val="right"/>
              <w:textAlignment w:val="bottom"/>
            </w:pPr>
            <w:r>
              <w:rPr>
                <w:rFonts w:ascii="Arial" w:eastAsia="宋体" w:hAnsi="Arial" w:cs="Arial"/>
                <w:b/>
                <w:bCs/>
                <w:color w:val="000000"/>
                <w:sz w:val="14"/>
                <w:szCs w:val="14"/>
              </w:rPr>
              <w:t>2,652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A1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1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A1F" w14:textId="77777777" w:rsidR="00E836FB" w:rsidRDefault="00994958">
            <w:pPr>
              <w:jc w:val="right"/>
              <w:textAlignment w:val="bottom"/>
            </w:pPr>
            <w:r>
              <w:rPr>
                <w:rFonts w:ascii="Arial" w:eastAsia="宋体" w:hAnsi="Arial" w:cs="Arial"/>
                <w:color w:val="000000"/>
                <w:sz w:val="14"/>
                <w:szCs w:val="14"/>
              </w:rPr>
              <w:t>2,445 </w:t>
            </w:r>
          </w:p>
        </w:tc>
        <w:tc>
          <w:tcPr>
            <w:tcW w:w="0" w:type="auto"/>
            <w:shd w:val="clear" w:color="auto" w:fill="CCEEFF"/>
            <w:tcMar>
              <w:top w:w="40" w:type="dxa"/>
              <w:left w:w="0" w:type="dxa"/>
              <w:bottom w:w="40" w:type="dxa"/>
              <w:right w:w="20" w:type="dxa"/>
            </w:tcMar>
            <w:vAlign w:val="bottom"/>
          </w:tcPr>
          <w:p w14:paraId="5F2CAA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2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A22" w14:textId="77777777" w:rsidR="00E836FB" w:rsidRDefault="00994958">
            <w:pPr>
              <w:jc w:val="right"/>
              <w:textAlignment w:val="bottom"/>
            </w:pPr>
            <w:r>
              <w:rPr>
                <w:rFonts w:ascii="Arial" w:eastAsia="宋体" w:hAnsi="Arial" w:cs="Arial"/>
                <w:color w:val="000000"/>
                <w:sz w:val="14"/>
                <w:szCs w:val="14"/>
              </w:rPr>
              <w:t>2,015 </w:t>
            </w:r>
          </w:p>
        </w:tc>
        <w:tc>
          <w:tcPr>
            <w:tcW w:w="0" w:type="auto"/>
            <w:shd w:val="clear" w:color="auto" w:fill="CCEEFF"/>
            <w:tcMar>
              <w:top w:w="40" w:type="dxa"/>
              <w:left w:w="0" w:type="dxa"/>
              <w:bottom w:w="40" w:type="dxa"/>
              <w:right w:w="20" w:type="dxa"/>
            </w:tcMar>
            <w:vAlign w:val="bottom"/>
          </w:tcPr>
          <w:p w14:paraId="5F2CAA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2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A25" w14:textId="77777777" w:rsidR="00E836FB" w:rsidRDefault="00994958">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5F2CAA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2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A28" w14:textId="77777777" w:rsidR="00E836FB" w:rsidRDefault="00994958">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5F2CAA29" w14:textId="77777777" w:rsidR="00E836FB" w:rsidRDefault="00E836FB">
            <w:pPr>
              <w:jc w:val="right"/>
              <w:rPr>
                <w:rFonts w:ascii="宋体"/>
              </w:rPr>
            </w:pPr>
          </w:p>
        </w:tc>
        <w:tc>
          <w:tcPr>
            <w:tcW w:w="0" w:type="auto"/>
            <w:shd w:val="clear" w:color="auto" w:fill="auto"/>
            <w:vAlign w:val="bottom"/>
          </w:tcPr>
          <w:p w14:paraId="5F2CAA2A" w14:textId="77777777" w:rsidR="00E836FB" w:rsidRDefault="00E836FB">
            <w:pPr>
              <w:rPr>
                <w:rFonts w:ascii="宋体"/>
                <w:vanish/>
              </w:rPr>
            </w:pPr>
          </w:p>
        </w:tc>
        <w:tc>
          <w:tcPr>
            <w:tcW w:w="0" w:type="auto"/>
            <w:shd w:val="clear" w:color="auto" w:fill="auto"/>
            <w:vAlign w:val="bottom"/>
          </w:tcPr>
          <w:p w14:paraId="5F2CAA2B" w14:textId="77777777" w:rsidR="00E836FB" w:rsidRDefault="00E836FB">
            <w:pPr>
              <w:rPr>
                <w:rFonts w:ascii="宋体"/>
                <w:vanish/>
              </w:rPr>
            </w:pPr>
          </w:p>
        </w:tc>
        <w:tc>
          <w:tcPr>
            <w:tcW w:w="0" w:type="auto"/>
            <w:shd w:val="clear" w:color="auto" w:fill="auto"/>
            <w:vAlign w:val="bottom"/>
          </w:tcPr>
          <w:p w14:paraId="5F2CAA2C" w14:textId="77777777" w:rsidR="00E836FB" w:rsidRDefault="00E836FB">
            <w:pPr>
              <w:rPr>
                <w:rFonts w:ascii="宋体"/>
                <w:vanish/>
              </w:rPr>
            </w:pPr>
          </w:p>
        </w:tc>
        <w:tc>
          <w:tcPr>
            <w:tcW w:w="0" w:type="auto"/>
            <w:shd w:val="clear" w:color="auto" w:fill="auto"/>
            <w:vAlign w:val="bottom"/>
          </w:tcPr>
          <w:p w14:paraId="5F2CAA2D" w14:textId="77777777" w:rsidR="00E836FB" w:rsidRDefault="00E836FB">
            <w:pPr>
              <w:rPr>
                <w:rFonts w:ascii="宋体"/>
                <w:vanish/>
              </w:rPr>
            </w:pPr>
          </w:p>
        </w:tc>
        <w:tc>
          <w:tcPr>
            <w:tcW w:w="0" w:type="auto"/>
            <w:shd w:val="clear" w:color="auto" w:fill="auto"/>
            <w:vAlign w:val="bottom"/>
          </w:tcPr>
          <w:p w14:paraId="5F2CAA2E" w14:textId="77777777" w:rsidR="00E836FB" w:rsidRDefault="00E836FB">
            <w:pPr>
              <w:rPr>
                <w:rFonts w:ascii="宋体"/>
                <w:vanish/>
              </w:rPr>
            </w:pPr>
          </w:p>
        </w:tc>
        <w:tc>
          <w:tcPr>
            <w:tcW w:w="0" w:type="auto"/>
            <w:shd w:val="clear" w:color="auto" w:fill="auto"/>
            <w:vAlign w:val="bottom"/>
          </w:tcPr>
          <w:p w14:paraId="5F2CAA2F" w14:textId="77777777" w:rsidR="00E836FB" w:rsidRDefault="00E836FB">
            <w:pPr>
              <w:rPr>
                <w:rFonts w:ascii="宋体"/>
                <w:vanish/>
              </w:rPr>
            </w:pPr>
          </w:p>
        </w:tc>
      </w:tr>
      <w:tr w:rsidR="00E836FB" w14:paraId="5F2CAA49" w14:textId="77777777">
        <w:tc>
          <w:tcPr>
            <w:tcW w:w="0" w:type="auto"/>
            <w:gridSpan w:val="3"/>
            <w:shd w:val="clear" w:color="auto" w:fill="FFFFFF"/>
            <w:tcMar>
              <w:top w:w="40" w:type="dxa"/>
              <w:left w:w="20" w:type="dxa"/>
              <w:bottom w:w="40" w:type="dxa"/>
              <w:right w:w="20" w:type="dxa"/>
            </w:tcMar>
            <w:vAlign w:val="bottom"/>
          </w:tcPr>
          <w:p w14:paraId="5F2CAA31" w14:textId="77777777" w:rsidR="00E836FB" w:rsidRDefault="00994958">
            <w:pPr>
              <w:textAlignment w:val="bottom"/>
            </w:pPr>
            <w:r>
              <w:rPr>
                <w:rFonts w:ascii="Arial" w:eastAsia="宋体" w:hAnsi="Arial" w:cs="Arial"/>
                <w:b/>
                <w:bCs/>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A3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A33" w14:textId="77777777" w:rsidR="00E836FB" w:rsidRDefault="00994958">
            <w:pPr>
              <w:jc w:val="right"/>
              <w:textAlignment w:val="bottom"/>
            </w:pPr>
            <w:r>
              <w:rPr>
                <w:rFonts w:ascii="Arial" w:eastAsia="宋体" w:hAnsi="Arial" w:cs="Arial"/>
                <w:b/>
                <w:bCs/>
                <w:color w:val="000000"/>
                <w:sz w:val="14"/>
                <w:szCs w:val="14"/>
              </w:rPr>
              <w:t>43,678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A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35"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A36"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A37" w14:textId="77777777" w:rsidR="00E836FB" w:rsidRDefault="00994958">
            <w:pPr>
              <w:jc w:val="right"/>
              <w:textAlignment w:val="bottom"/>
            </w:pPr>
            <w:r>
              <w:rPr>
                <w:rFonts w:ascii="Arial" w:eastAsia="宋体" w:hAnsi="Arial" w:cs="Arial"/>
                <w:color w:val="000000"/>
                <w:sz w:val="14"/>
                <w:szCs w:val="14"/>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A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39"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A3A"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A3B" w14:textId="77777777" w:rsidR="00E836FB" w:rsidRDefault="00994958">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A3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3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3E"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5F2CAA3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4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41"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5F2CAA42" w14:textId="77777777" w:rsidR="00E836FB" w:rsidRDefault="00E836FB">
            <w:pPr>
              <w:jc w:val="right"/>
              <w:rPr>
                <w:rFonts w:ascii="宋体"/>
              </w:rPr>
            </w:pPr>
          </w:p>
        </w:tc>
        <w:tc>
          <w:tcPr>
            <w:tcW w:w="0" w:type="auto"/>
            <w:shd w:val="clear" w:color="auto" w:fill="auto"/>
            <w:vAlign w:val="bottom"/>
          </w:tcPr>
          <w:p w14:paraId="5F2CAA43" w14:textId="77777777" w:rsidR="00E836FB" w:rsidRDefault="00E836FB">
            <w:pPr>
              <w:rPr>
                <w:rFonts w:ascii="宋体"/>
                <w:vanish/>
              </w:rPr>
            </w:pPr>
          </w:p>
        </w:tc>
        <w:tc>
          <w:tcPr>
            <w:tcW w:w="0" w:type="auto"/>
            <w:shd w:val="clear" w:color="auto" w:fill="auto"/>
            <w:vAlign w:val="bottom"/>
          </w:tcPr>
          <w:p w14:paraId="5F2CAA44" w14:textId="77777777" w:rsidR="00E836FB" w:rsidRDefault="00E836FB">
            <w:pPr>
              <w:rPr>
                <w:rFonts w:ascii="宋体"/>
                <w:vanish/>
              </w:rPr>
            </w:pPr>
          </w:p>
        </w:tc>
        <w:tc>
          <w:tcPr>
            <w:tcW w:w="0" w:type="auto"/>
            <w:shd w:val="clear" w:color="auto" w:fill="auto"/>
            <w:vAlign w:val="bottom"/>
          </w:tcPr>
          <w:p w14:paraId="5F2CAA45" w14:textId="77777777" w:rsidR="00E836FB" w:rsidRDefault="00E836FB">
            <w:pPr>
              <w:rPr>
                <w:rFonts w:ascii="宋体"/>
                <w:vanish/>
              </w:rPr>
            </w:pPr>
          </w:p>
        </w:tc>
        <w:tc>
          <w:tcPr>
            <w:tcW w:w="0" w:type="auto"/>
            <w:shd w:val="clear" w:color="auto" w:fill="auto"/>
            <w:vAlign w:val="bottom"/>
          </w:tcPr>
          <w:p w14:paraId="5F2CAA46" w14:textId="77777777" w:rsidR="00E836FB" w:rsidRDefault="00E836FB">
            <w:pPr>
              <w:rPr>
                <w:rFonts w:ascii="宋体"/>
                <w:vanish/>
              </w:rPr>
            </w:pPr>
          </w:p>
        </w:tc>
        <w:tc>
          <w:tcPr>
            <w:tcW w:w="0" w:type="auto"/>
            <w:shd w:val="clear" w:color="auto" w:fill="auto"/>
            <w:vAlign w:val="bottom"/>
          </w:tcPr>
          <w:p w14:paraId="5F2CAA47" w14:textId="77777777" w:rsidR="00E836FB" w:rsidRDefault="00E836FB">
            <w:pPr>
              <w:rPr>
                <w:rFonts w:ascii="宋体"/>
                <w:vanish/>
              </w:rPr>
            </w:pPr>
          </w:p>
        </w:tc>
        <w:tc>
          <w:tcPr>
            <w:tcW w:w="0" w:type="auto"/>
            <w:shd w:val="clear" w:color="auto" w:fill="auto"/>
            <w:vAlign w:val="bottom"/>
          </w:tcPr>
          <w:p w14:paraId="5F2CAA48" w14:textId="77777777" w:rsidR="00E836FB" w:rsidRDefault="00E836FB">
            <w:pPr>
              <w:rPr>
                <w:rFonts w:ascii="宋体"/>
                <w:vanish/>
              </w:rPr>
            </w:pPr>
          </w:p>
        </w:tc>
      </w:tr>
    </w:tbl>
    <w:p w14:paraId="5F2CAA4A"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CAA51" w14:textId="77777777">
        <w:tc>
          <w:tcPr>
            <w:tcW w:w="50" w:type="pct"/>
            <w:shd w:val="clear" w:color="auto" w:fill="auto"/>
            <w:vAlign w:val="bottom"/>
          </w:tcPr>
          <w:p w14:paraId="5F2CAA4B" w14:textId="77777777" w:rsidR="00E836FB" w:rsidRDefault="00E836FB">
            <w:pPr>
              <w:rPr>
                <w:rFonts w:ascii="宋体"/>
              </w:rPr>
            </w:pPr>
          </w:p>
        </w:tc>
        <w:tc>
          <w:tcPr>
            <w:tcW w:w="1348" w:type="pct"/>
            <w:shd w:val="clear" w:color="auto" w:fill="auto"/>
            <w:vAlign w:val="bottom"/>
          </w:tcPr>
          <w:p w14:paraId="5F2CAA4C" w14:textId="77777777" w:rsidR="00E836FB" w:rsidRDefault="00E836FB">
            <w:pPr>
              <w:rPr>
                <w:rFonts w:ascii="宋体"/>
              </w:rPr>
            </w:pPr>
          </w:p>
        </w:tc>
        <w:tc>
          <w:tcPr>
            <w:tcW w:w="5" w:type="pct"/>
            <w:shd w:val="clear" w:color="auto" w:fill="auto"/>
            <w:vAlign w:val="bottom"/>
          </w:tcPr>
          <w:p w14:paraId="5F2CAA4D" w14:textId="77777777" w:rsidR="00E836FB" w:rsidRDefault="00E836FB">
            <w:pPr>
              <w:rPr>
                <w:rFonts w:ascii="宋体"/>
              </w:rPr>
            </w:pPr>
          </w:p>
        </w:tc>
        <w:tc>
          <w:tcPr>
            <w:tcW w:w="50" w:type="pct"/>
            <w:shd w:val="clear" w:color="auto" w:fill="auto"/>
            <w:vAlign w:val="bottom"/>
          </w:tcPr>
          <w:p w14:paraId="5F2CAA4E" w14:textId="77777777" w:rsidR="00E836FB" w:rsidRDefault="00E836FB">
            <w:pPr>
              <w:rPr>
                <w:rFonts w:ascii="宋体"/>
              </w:rPr>
            </w:pPr>
          </w:p>
        </w:tc>
        <w:tc>
          <w:tcPr>
            <w:tcW w:w="3541" w:type="pct"/>
            <w:shd w:val="clear" w:color="auto" w:fill="auto"/>
            <w:vAlign w:val="bottom"/>
          </w:tcPr>
          <w:p w14:paraId="5F2CAA4F" w14:textId="77777777" w:rsidR="00E836FB" w:rsidRDefault="00E836FB">
            <w:pPr>
              <w:rPr>
                <w:rFonts w:ascii="宋体"/>
              </w:rPr>
            </w:pPr>
          </w:p>
        </w:tc>
        <w:tc>
          <w:tcPr>
            <w:tcW w:w="5" w:type="pct"/>
            <w:shd w:val="clear" w:color="auto" w:fill="auto"/>
            <w:vAlign w:val="bottom"/>
          </w:tcPr>
          <w:p w14:paraId="5F2CAA50" w14:textId="77777777" w:rsidR="00E836FB" w:rsidRDefault="00E836FB">
            <w:pPr>
              <w:rPr>
                <w:rFonts w:ascii="宋体"/>
              </w:rPr>
            </w:pPr>
          </w:p>
        </w:tc>
      </w:tr>
      <w:tr w:rsidR="00E836FB" w14:paraId="5F2CAA5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A5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A53" w14:textId="77777777" w:rsidR="00E836FB" w:rsidRDefault="00E836FB">
            <w:pPr>
              <w:rPr>
                <w:rFonts w:ascii="宋体"/>
              </w:rPr>
            </w:pPr>
          </w:p>
        </w:tc>
      </w:tr>
    </w:tbl>
    <w:p w14:paraId="5F2CAA55" w14:textId="77777777" w:rsidR="00E836FB" w:rsidRDefault="00994958">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Certain previously </w:t>
      </w:r>
      <w:r>
        <w:rPr>
          <w:rFonts w:ascii="Arial" w:eastAsia="宋体" w:hAnsi="Arial" w:cs="Arial"/>
          <w:color w:val="000000"/>
          <w:sz w:val="14"/>
          <w:szCs w:val="14"/>
        </w:rPr>
        <w:t>reported amounts presented have been reclassified to conform to current-period presentation.</w:t>
      </w:r>
    </w:p>
    <w:p w14:paraId="5F2CAA56" w14:textId="77777777" w:rsidR="00E836FB" w:rsidRDefault="00994958">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Consistent with past practice, AUC/A values for certain asset classes are based on a lag, typically one-month.</w:t>
      </w:r>
    </w:p>
    <w:p w14:paraId="5F2CAA57" w14:textId="77777777" w:rsidR="00E836FB" w:rsidRDefault="00994958">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Geographic mix is generally based on the dom</w:t>
      </w:r>
      <w:r>
        <w:rPr>
          <w:rFonts w:ascii="Arial" w:eastAsia="宋体" w:hAnsi="Arial" w:cs="Arial"/>
          <w:color w:val="000000"/>
          <w:sz w:val="14"/>
          <w:szCs w:val="14"/>
        </w:rPr>
        <w:t>icile of the entity servicing the funds and is not necessarily representative of the underlying asset mix.</w:t>
      </w:r>
    </w:p>
    <w:p w14:paraId="5F2CAA58" w14:textId="77777777" w:rsidR="00E836FB" w:rsidRDefault="00994958">
      <w:pPr>
        <w:spacing w:before="60"/>
        <w:ind w:firstLine="450"/>
        <w:jc w:val="both"/>
      </w:pPr>
      <w:r>
        <w:rPr>
          <w:rFonts w:ascii="Arial" w:eastAsia="宋体" w:hAnsi="Arial" w:cs="Arial"/>
          <w:color w:val="000000"/>
          <w:sz w:val="20"/>
          <w:szCs w:val="20"/>
        </w:rPr>
        <w:t>Asset servicing mandates newly announced in 2021 totaled approximately $3.52 trillion, with State Street Alpha representing a large proportion of the</w:t>
      </w:r>
      <w:r>
        <w:rPr>
          <w:rFonts w:ascii="Arial" w:eastAsia="宋体" w:hAnsi="Arial" w:cs="Arial"/>
          <w:color w:val="000000"/>
          <w:sz w:val="20"/>
          <w:szCs w:val="20"/>
        </w:rPr>
        <w:t xml:space="preserve"> wins. Servicing assets remaining to be installed in future periods totaled approximately $2.80 trillion as of December 31, 2021, which will be reflected in AUC/A in future periods after installation and will generate servicing fee revenue in subsequent pe</w:t>
      </w:r>
      <w:r>
        <w:rPr>
          <w:rFonts w:ascii="Arial" w:eastAsia="宋体" w:hAnsi="Arial" w:cs="Arial"/>
          <w:color w:val="000000"/>
          <w:sz w:val="20"/>
          <w:szCs w:val="20"/>
        </w:rPr>
        <w:t xml:space="preserve">riods. The full revenue impact of such mandates will be realized as the assets are installed and additional services are added over that period. </w:t>
      </w:r>
    </w:p>
    <w:p w14:paraId="5F2CAA59" w14:textId="77777777" w:rsidR="00E836FB" w:rsidRDefault="00994958">
      <w:pPr>
        <w:spacing w:before="60"/>
        <w:ind w:firstLine="450"/>
        <w:jc w:val="both"/>
      </w:pPr>
      <w:r>
        <w:rPr>
          <w:rFonts w:ascii="Arial" w:eastAsia="宋体" w:hAnsi="Arial" w:cs="Arial"/>
          <w:color w:val="000000"/>
          <w:sz w:val="20"/>
          <w:szCs w:val="20"/>
        </w:rPr>
        <w:t>New asset servicing mandates may be subject to completion of definitive agreements, approval of applicable boards and shareholders and customary regulatory approvals. New asset servicing mandates and servicing assets remaining to be installed in future per</w:t>
      </w:r>
      <w:r>
        <w:rPr>
          <w:rFonts w:ascii="Arial" w:eastAsia="宋体" w:hAnsi="Arial" w:cs="Arial"/>
          <w:color w:val="000000"/>
          <w:sz w:val="20"/>
          <w:szCs w:val="20"/>
        </w:rPr>
        <w:t xml:space="preserve">iods exclude certain new business which has been contracted, but for which the client has not yet provided permission to publicly disclose and the expected installation date extends beyond one quarter. These excluded assets, which from time to time may be </w:t>
      </w:r>
      <w:r>
        <w:rPr>
          <w:rFonts w:ascii="Arial" w:eastAsia="宋体" w:hAnsi="Arial" w:cs="Arial"/>
          <w:color w:val="000000"/>
          <w:sz w:val="20"/>
          <w:szCs w:val="20"/>
        </w:rPr>
        <w:t>significant, will be included in new asset servicing mandates and reflected in servicing assets remaining to be installed in the period in which the client provides its permission. Servicing mandates and servicing assets remaining to be installed in future</w:t>
      </w:r>
      <w:r>
        <w:rPr>
          <w:rFonts w:ascii="Arial" w:eastAsia="宋体" w:hAnsi="Arial" w:cs="Arial"/>
          <w:color w:val="000000"/>
          <w:sz w:val="20"/>
          <w:szCs w:val="20"/>
        </w:rPr>
        <w:t xml:space="preserve"> periods are presented on a gross basis and therefore also do not include the impact of clients who have notified us during the period of their intent to terminate or reduce their relationship with us, which may from time to time be significant. </w:t>
      </w:r>
    </w:p>
    <w:p w14:paraId="5F2CAA5A" w14:textId="77777777" w:rsidR="00E836FB" w:rsidRDefault="00994958">
      <w:pPr>
        <w:spacing w:before="60"/>
        <w:ind w:firstLine="450"/>
        <w:jc w:val="both"/>
      </w:pPr>
      <w:r>
        <w:rPr>
          <w:rFonts w:ascii="Arial" w:eastAsia="宋体" w:hAnsi="Arial" w:cs="Arial"/>
          <w:color w:val="000000"/>
          <w:sz w:val="20"/>
          <w:szCs w:val="20"/>
        </w:rPr>
        <w:t>With resp</w:t>
      </w:r>
      <w:r>
        <w:rPr>
          <w:rFonts w:ascii="Arial" w:eastAsia="宋体" w:hAnsi="Arial" w:cs="Arial"/>
          <w:color w:val="000000"/>
          <w:sz w:val="20"/>
          <w:szCs w:val="20"/>
        </w:rPr>
        <w:t>ect to these new servicing mandates, once installed we may provide various services, including accounting, bank loan servicing, compliance reporting and monitoring, custody, depository banking services, FX, fund administration, hedge fund servicing, middle</w:t>
      </w:r>
      <w:r>
        <w:rPr>
          <w:rFonts w:ascii="Arial" w:eastAsia="宋体" w:hAnsi="Arial" w:cs="Arial"/>
          <w:color w:val="000000"/>
          <w:sz w:val="20"/>
          <w:szCs w:val="20"/>
        </w:rPr>
        <w:t xml:space="preserve"> office outsourcing, performance and analytics, private equity administration, real estate administration, securities finance, transfer agency and wealth management services. Revenues associated with new servicing mandates may vary based on the breadth of </w:t>
      </w:r>
      <w:r>
        <w:rPr>
          <w:rFonts w:ascii="Arial" w:eastAsia="宋体" w:hAnsi="Arial" w:cs="Arial"/>
          <w:color w:val="000000"/>
          <w:sz w:val="20"/>
          <w:szCs w:val="20"/>
        </w:rPr>
        <w:t>services provided and the timing of installation, and the types of assets.</w:t>
      </w:r>
    </w:p>
    <w:p w14:paraId="5F2CAA5B" w14:textId="77777777" w:rsidR="00E836FB" w:rsidRDefault="00994958">
      <w:pPr>
        <w:spacing w:before="60"/>
        <w:ind w:firstLine="450"/>
        <w:jc w:val="both"/>
      </w:pPr>
      <w:r>
        <w:rPr>
          <w:rFonts w:ascii="Arial" w:eastAsia="宋体" w:hAnsi="Arial" w:cs="Arial"/>
          <w:color w:val="000000"/>
          <w:sz w:val="20"/>
          <w:szCs w:val="20"/>
        </w:rPr>
        <w:t>As a result of a decision to diversify providers, one of our large asset servicing clients has advised us it expects to move a significant portion of its ETF assets currently with S</w:t>
      </w:r>
      <w:r>
        <w:rPr>
          <w:rFonts w:ascii="Arial" w:eastAsia="宋体" w:hAnsi="Arial" w:cs="Arial"/>
          <w:color w:val="000000"/>
          <w:sz w:val="20"/>
          <w:szCs w:val="20"/>
        </w:rPr>
        <w:t>tate Street to one or more other providers, pending necessary approvals. We expect to continue as a significant service provider for this client after this transition and for the client to continue to be meaningful to our business. The transition is expect</w:t>
      </w:r>
      <w:r>
        <w:rPr>
          <w:rFonts w:ascii="Arial" w:eastAsia="宋体" w:hAnsi="Arial" w:cs="Arial"/>
          <w:color w:val="000000"/>
          <w:sz w:val="20"/>
          <w:szCs w:val="20"/>
        </w:rPr>
        <w:t>ed to begin in 2022, but will principally occur in 2023 and 2024. For the year ended December 31, 2021, the fee revenue associated with the transitioning assets represented approximately 1.9% of our total fee revenue. The actual total revenue and income im</w:t>
      </w:r>
      <w:r>
        <w:rPr>
          <w:rFonts w:ascii="Arial" w:eastAsia="宋体" w:hAnsi="Arial" w:cs="Arial"/>
          <w:color w:val="000000"/>
          <w:sz w:val="20"/>
          <w:szCs w:val="20"/>
        </w:rPr>
        <w:t>pact of this transition will reflect a range of factors, including potential growth in our continuing business with the client and expense reductions associated with the transition.</w:t>
      </w:r>
    </w:p>
    <w:p w14:paraId="5F2CAA5C" w14:textId="77777777" w:rsidR="00E836FB" w:rsidRDefault="00994958">
      <w:pPr>
        <w:ind w:firstLine="450"/>
        <w:jc w:val="right"/>
      </w:pPr>
      <w:r>
        <w:rPr>
          <w:rFonts w:ascii="Arial" w:eastAsia="宋体" w:hAnsi="Arial" w:cs="Arial"/>
          <w:color w:val="000000"/>
          <w:sz w:val="18"/>
          <w:szCs w:val="18"/>
        </w:rPr>
        <w:t>State Street Corporation | 65</w:t>
      </w:r>
    </w:p>
    <w:p w14:paraId="5F2CAA5D" w14:textId="77777777" w:rsidR="00E836FB" w:rsidRDefault="00E836FB">
      <w:pPr>
        <w:ind w:firstLine="450"/>
        <w:jc w:val="center"/>
      </w:pPr>
    </w:p>
    <w:p w14:paraId="5F2CAA5E" w14:textId="77777777" w:rsidR="00E836FB" w:rsidRDefault="00994958">
      <w:r>
        <w:pict w14:anchorId="5F2D6DC6">
          <v:rect id="_x0000_i1089" style="width:415.3pt;height:1.5pt" o:hralign="center" o:hrstd="t" o:hr="t" fillcolor="#a0a0a0" stroked="f"/>
        </w:pict>
      </w:r>
    </w:p>
    <w:p w14:paraId="5F2CAA5F" w14:textId="77777777" w:rsidR="00E836FB" w:rsidRDefault="00994958">
      <w:pPr>
        <w:ind w:firstLine="450"/>
        <w:jc w:val="center"/>
      </w:pPr>
      <w:r>
        <w:rPr>
          <w:rFonts w:ascii="Arial" w:eastAsia="宋体" w:hAnsi="Arial" w:cs="Arial"/>
          <w:b/>
          <w:bCs/>
          <w:color w:val="000000"/>
          <w:sz w:val="20"/>
          <w:szCs w:val="20"/>
        </w:rPr>
        <w:t>MANAGEMENT’S DISCUSSION AND ANALYSIS OF F</w:t>
      </w:r>
      <w:r>
        <w:rPr>
          <w:rFonts w:ascii="Arial" w:eastAsia="宋体" w:hAnsi="Arial" w:cs="Arial"/>
          <w:b/>
          <w:bCs/>
          <w:color w:val="000000"/>
          <w:sz w:val="20"/>
          <w:szCs w:val="20"/>
        </w:rPr>
        <w:t>INANCIAL CONDITION</w:t>
      </w:r>
    </w:p>
    <w:p w14:paraId="5F2CAA60" w14:textId="77777777" w:rsidR="00E836FB" w:rsidRDefault="00994958">
      <w:pPr>
        <w:ind w:firstLine="450"/>
        <w:jc w:val="center"/>
      </w:pPr>
      <w:r>
        <w:rPr>
          <w:rFonts w:ascii="Arial" w:eastAsia="宋体" w:hAnsi="Arial" w:cs="Arial"/>
          <w:b/>
          <w:bCs/>
          <w:color w:val="000000"/>
          <w:sz w:val="20"/>
          <w:szCs w:val="20"/>
        </w:rPr>
        <w:t>AND RESULTS OF OPERATIONS</w:t>
      </w:r>
    </w:p>
    <w:p w14:paraId="5F2CAA61" w14:textId="77777777" w:rsidR="00E836FB" w:rsidRDefault="00E836FB">
      <w:pPr>
        <w:spacing w:before="60"/>
        <w:ind w:firstLine="450"/>
        <w:jc w:val="both"/>
      </w:pPr>
    </w:p>
    <w:p w14:paraId="5F2CAA62" w14:textId="77777777" w:rsidR="00E836FB" w:rsidRDefault="00994958">
      <w:pPr>
        <w:spacing w:before="60"/>
        <w:jc w:val="both"/>
      </w:pPr>
      <w:r>
        <w:rPr>
          <w:rFonts w:ascii="Arial" w:eastAsia="宋体" w:hAnsi="Arial" w:cs="Arial"/>
          <w:b/>
          <w:bCs/>
          <w:i/>
          <w:iCs/>
          <w:color w:val="000000"/>
          <w:sz w:val="20"/>
          <w:szCs w:val="20"/>
        </w:rPr>
        <w:t>Management Fee Revenue</w:t>
      </w:r>
    </w:p>
    <w:p w14:paraId="5F2CAA63" w14:textId="77777777" w:rsidR="00E836FB" w:rsidRDefault="00994958">
      <w:pPr>
        <w:spacing w:before="60"/>
        <w:ind w:firstLine="450"/>
        <w:jc w:val="both"/>
        <w:textAlignment w:val="top"/>
      </w:pPr>
      <w:r>
        <w:rPr>
          <w:rFonts w:ascii="Arial" w:eastAsia="宋体" w:hAnsi="Arial" w:cs="Arial"/>
          <w:color w:val="000000"/>
          <w:sz w:val="20"/>
          <w:szCs w:val="20"/>
        </w:rPr>
        <w:t xml:space="preserve">Management fees generally are affected by our level of AUM, which we report based on month-end valuations. Management fees for certain components of managed assets, such as ETFs, </w:t>
      </w:r>
      <w:r>
        <w:rPr>
          <w:rFonts w:ascii="Arial" w:eastAsia="宋体" w:hAnsi="Arial" w:cs="Arial"/>
          <w:color w:val="000000"/>
          <w:sz w:val="20"/>
          <w:szCs w:val="20"/>
        </w:rPr>
        <w:t>mutual funds and UCITS, are affected by daily average valuations of AUM. Management fee revenue is more sensitive to market valuations than servicing fee revenue, as a higher proportion of the underlying services provided, and the associated management fee</w:t>
      </w:r>
      <w:r>
        <w:rPr>
          <w:rFonts w:ascii="Arial" w:eastAsia="宋体" w:hAnsi="Arial" w:cs="Arial"/>
          <w:color w:val="000000"/>
          <w:sz w:val="20"/>
          <w:szCs w:val="20"/>
        </w:rPr>
        <w:t>s earned, are dependent on equity and fixed-income security valuations. Additional factors, such as the relative mix of assets managed, may have a significant effect on our management fee revenue. While certain management fees are directly determined by th</w:t>
      </w:r>
      <w:r>
        <w:rPr>
          <w:rFonts w:ascii="Arial" w:eastAsia="宋体" w:hAnsi="Arial" w:cs="Arial"/>
          <w:color w:val="000000"/>
          <w:sz w:val="20"/>
          <w:szCs w:val="20"/>
        </w:rPr>
        <w:t>e values of AUM and the investment strategies employed, management fees may reflect other factors, including performance fee arrangements, as well as our relationship pricing for clients. In addition, in a prolonged low-interest rate environment, such as w</w:t>
      </w:r>
      <w:r>
        <w:rPr>
          <w:rFonts w:ascii="Arial" w:eastAsia="宋体" w:hAnsi="Arial" w:cs="Arial"/>
          <w:color w:val="000000"/>
          <w:sz w:val="20"/>
          <w:szCs w:val="20"/>
        </w:rPr>
        <w:t>e are currently experiencing, we have waived and may in the future waive certain fees for our clients for money market products.</w:t>
      </w:r>
    </w:p>
    <w:p w14:paraId="5F2CAA64" w14:textId="77777777" w:rsidR="00E836FB" w:rsidRDefault="00994958">
      <w:pPr>
        <w:spacing w:before="60"/>
        <w:ind w:firstLine="450"/>
        <w:jc w:val="both"/>
        <w:textAlignment w:val="top"/>
      </w:pPr>
      <w:r>
        <w:rPr>
          <w:rFonts w:ascii="Arial" w:eastAsia="宋体" w:hAnsi="Arial" w:cs="Arial"/>
          <w:color w:val="000000"/>
          <w:sz w:val="20"/>
          <w:szCs w:val="20"/>
        </w:rPr>
        <w:t>The impact of State Street Global Advisors gross money market fund fee waivers on total management fee revenue was approximatel</w:t>
      </w:r>
      <w:r>
        <w:rPr>
          <w:rFonts w:ascii="Arial" w:eastAsia="宋体" w:hAnsi="Arial" w:cs="Arial"/>
          <w:color w:val="000000"/>
          <w:sz w:val="20"/>
          <w:szCs w:val="20"/>
        </w:rPr>
        <w:t>y $80 million in 2021. Following the first expected rate hike by the Federal Reserve, we expect the impact of gross money market fee waivers on our management fees would be largely mitigated in the subsequent quarterly periods.</w:t>
      </w:r>
    </w:p>
    <w:p w14:paraId="5F2CAA65" w14:textId="77777777" w:rsidR="00E836FB" w:rsidRDefault="00994958">
      <w:pPr>
        <w:spacing w:before="60"/>
        <w:ind w:firstLine="450"/>
        <w:jc w:val="both"/>
        <w:textAlignment w:val="top"/>
      </w:pPr>
      <w:r>
        <w:rPr>
          <w:rFonts w:ascii="Arial" w:eastAsia="宋体" w:hAnsi="Arial" w:cs="Arial"/>
          <w:color w:val="000000"/>
          <w:sz w:val="20"/>
          <w:szCs w:val="20"/>
        </w:rPr>
        <w:t xml:space="preserve">Asset-based management fees </w:t>
      </w:r>
      <w:r>
        <w:rPr>
          <w:rFonts w:ascii="Arial" w:eastAsia="宋体" w:hAnsi="Arial" w:cs="Arial"/>
          <w:color w:val="000000"/>
          <w:sz w:val="20"/>
          <w:szCs w:val="20"/>
        </w:rPr>
        <w:t>for passively managed products, to which our AUM is currently primarily weighted, are generally charged at a lower fee on AUM than for actively managed products. Actively managed products may also include performance fee arrangements which are recorded whe</w:t>
      </w:r>
      <w:r>
        <w:rPr>
          <w:rFonts w:ascii="Arial" w:eastAsia="宋体" w:hAnsi="Arial" w:cs="Arial"/>
          <w:color w:val="000000"/>
          <w:sz w:val="20"/>
          <w:szCs w:val="20"/>
        </w:rPr>
        <w:t xml:space="preserve">n the fee is earned, based on predetermined benchmarks associated with the applicable account's performance. </w:t>
      </w:r>
    </w:p>
    <w:p w14:paraId="5F2CAA66" w14:textId="77777777" w:rsidR="00E836FB" w:rsidRDefault="00994958">
      <w:pPr>
        <w:spacing w:before="60"/>
        <w:ind w:firstLine="450"/>
        <w:jc w:val="both"/>
        <w:textAlignment w:val="top"/>
      </w:pPr>
      <w:r>
        <w:rPr>
          <w:rFonts w:ascii="Arial" w:eastAsia="宋体" w:hAnsi="Arial" w:cs="Arial"/>
          <w:color w:val="000000"/>
          <w:sz w:val="20"/>
          <w:szCs w:val="20"/>
        </w:rPr>
        <w:t>In light of the above, we estimate, using relevant information as of December 31, 2021 and assuming that all other factors remain constant, includ</w:t>
      </w:r>
      <w:r>
        <w:rPr>
          <w:rFonts w:ascii="Arial" w:eastAsia="宋体" w:hAnsi="Arial" w:cs="Arial"/>
          <w:color w:val="000000"/>
          <w:sz w:val="20"/>
          <w:szCs w:val="20"/>
        </w:rPr>
        <w:t>ing the impact of business won and lost and client flows, that:</w:t>
      </w:r>
    </w:p>
    <w:p w14:paraId="5F2CAA67" w14:textId="77777777" w:rsidR="00E836FB" w:rsidRDefault="00994958">
      <w:pPr>
        <w:spacing w:before="60"/>
        <w:ind w:hanging="360"/>
        <w:jc w:val="both"/>
        <w:textAlignment w:val="top"/>
      </w:pPr>
      <w:r>
        <w:rPr>
          <w:rFonts w:ascii="Arial" w:eastAsia="宋体" w:hAnsi="Arial" w:cs="Arial"/>
          <w:color w:val="000000"/>
          <w:sz w:val="20"/>
          <w:szCs w:val="20"/>
        </w:rPr>
        <w:t>•A 10% increase or decrease in worldwide equity valuations, on a weighted average basis, over the relevant periods for which our management fees are calculated, would result in a corresponding</w:t>
      </w:r>
      <w:r>
        <w:rPr>
          <w:rFonts w:ascii="Arial" w:eastAsia="宋体" w:hAnsi="Arial" w:cs="Arial"/>
          <w:color w:val="000000"/>
          <w:sz w:val="20"/>
          <w:szCs w:val="20"/>
        </w:rPr>
        <w:t xml:space="preserve"> change in our total management fee revenues, on average and over multiple quarters, of approximately 5%; and</w:t>
      </w:r>
    </w:p>
    <w:p w14:paraId="5F2CAA68" w14:textId="77777777" w:rsidR="00E836FB" w:rsidRDefault="00994958">
      <w:pPr>
        <w:ind w:hanging="360"/>
        <w:jc w:val="both"/>
        <w:textAlignment w:val="top"/>
      </w:pPr>
      <w:r>
        <w:rPr>
          <w:rFonts w:ascii="Arial" w:eastAsia="宋体" w:hAnsi="Arial" w:cs="Arial"/>
          <w:color w:val="000000"/>
          <w:sz w:val="20"/>
          <w:szCs w:val="20"/>
        </w:rPr>
        <w:t xml:space="preserve">•changes in worldwide fixed income markets, which on a weighted average basis and over time are typically less volatile than worldwide </w:t>
      </w:r>
    </w:p>
    <w:p w14:paraId="5F2CAA69" w14:textId="77777777" w:rsidR="00E836FB" w:rsidRDefault="00994958">
      <w:pPr>
        <w:jc w:val="both"/>
        <w:textAlignment w:val="top"/>
      </w:pPr>
      <w:r>
        <w:rPr>
          <w:rFonts w:ascii="Arial" w:eastAsia="宋体" w:hAnsi="Arial" w:cs="Arial"/>
          <w:color w:val="000000"/>
          <w:sz w:val="20"/>
          <w:szCs w:val="20"/>
        </w:rPr>
        <w:t>equity mar</w:t>
      </w:r>
      <w:r>
        <w:rPr>
          <w:rFonts w:ascii="Arial" w:eastAsia="宋体" w:hAnsi="Arial" w:cs="Arial"/>
          <w:color w:val="000000"/>
          <w:sz w:val="20"/>
          <w:szCs w:val="20"/>
        </w:rPr>
        <w:t>kets, will have a significantly smaller impact on our management fee revenues on average and over time.</w:t>
      </w:r>
    </w:p>
    <w:p w14:paraId="5F2CAA6A" w14:textId="77777777" w:rsidR="00E836FB" w:rsidRDefault="00994958">
      <w:pPr>
        <w:spacing w:before="60"/>
        <w:ind w:firstLine="450"/>
        <w:jc w:val="both"/>
        <w:textAlignment w:val="top"/>
      </w:pPr>
      <w:r>
        <w:rPr>
          <w:rFonts w:ascii="Arial" w:eastAsia="宋体" w:hAnsi="Arial" w:cs="Arial"/>
          <w:color w:val="000000"/>
          <w:sz w:val="20"/>
          <w:szCs w:val="20"/>
        </w:rPr>
        <w:t>Daily averages, month-end averages and year-end indices demonstrate worldwide changes in equity and debt markets that affect our management fee revenue.</w:t>
      </w:r>
      <w:r>
        <w:rPr>
          <w:rFonts w:ascii="Arial" w:eastAsia="宋体" w:hAnsi="Arial" w:cs="Arial"/>
          <w:color w:val="000000"/>
          <w:sz w:val="20"/>
          <w:szCs w:val="20"/>
        </w:rPr>
        <w:t xml:space="preserve"> Year-end indices affect the values of AUM as of those dates. See Table 3: Daily Averages, Month-End Averages and Year-End Equity Indices for selected indices. While the specific indices presented are indicative of general market trends, the asset types an</w:t>
      </w:r>
      <w:r>
        <w:rPr>
          <w:rFonts w:ascii="Arial" w:eastAsia="宋体" w:hAnsi="Arial" w:cs="Arial"/>
          <w:color w:val="000000"/>
          <w:sz w:val="20"/>
          <w:szCs w:val="20"/>
        </w:rPr>
        <w:t>d classes relevant to individual client portfolios can and do differ, and the performance of associated relevant indices and of client portfolios can therefore differ from the performance of the indices presented. In addition, our asset classifications may</w:t>
      </w:r>
      <w:r>
        <w:rPr>
          <w:rFonts w:ascii="Arial" w:eastAsia="宋体" w:hAnsi="Arial" w:cs="Arial"/>
          <w:color w:val="000000"/>
          <w:sz w:val="20"/>
          <w:szCs w:val="20"/>
        </w:rPr>
        <w:t xml:space="preserve"> differ from those industry classifications presented.</w:t>
      </w:r>
    </w:p>
    <w:p w14:paraId="5F2CAA6B" w14:textId="77777777" w:rsidR="00E836FB" w:rsidRDefault="00994958">
      <w:pPr>
        <w:spacing w:before="60"/>
        <w:ind w:firstLine="450"/>
        <w:jc w:val="both"/>
        <w:textAlignment w:val="top"/>
      </w:pPr>
      <w:r>
        <w:rPr>
          <w:rFonts w:ascii="Arial" w:eastAsia="宋体" w:hAnsi="Arial" w:cs="Arial"/>
          <w:color w:val="000000"/>
          <w:sz w:val="20"/>
          <w:szCs w:val="20"/>
        </w:rPr>
        <w:t>Management fees increased 9% in 2021 compared to 2020, primarily due to higher average equity market levels and net inflows from ETFs, partially offset by a previously reported idiosyncratic institutio</w:t>
      </w:r>
      <w:r>
        <w:rPr>
          <w:rFonts w:ascii="Arial" w:eastAsia="宋体" w:hAnsi="Arial" w:cs="Arial"/>
          <w:color w:val="000000"/>
          <w:sz w:val="20"/>
          <w:szCs w:val="20"/>
        </w:rPr>
        <w:t xml:space="preserve">nal client asset reallocation expected to be primarily reflected in 2022, and higher money market fee waivers. </w:t>
      </w:r>
    </w:p>
    <w:p w14:paraId="5F2CAA6C" w14:textId="77777777" w:rsidR="00E836FB" w:rsidRDefault="00994958">
      <w:pPr>
        <w:spacing w:before="60"/>
        <w:ind w:firstLine="450"/>
        <w:jc w:val="both"/>
        <w:textAlignment w:val="top"/>
      </w:pPr>
      <w:r>
        <w:rPr>
          <w:rFonts w:ascii="Arial" w:eastAsia="宋体" w:hAnsi="Arial" w:cs="Arial"/>
          <w:color w:val="000000"/>
          <w:sz w:val="20"/>
          <w:szCs w:val="20"/>
        </w:rPr>
        <w:t>Management fees generated outside the U.S. were approximately 26% of total management fees in 2021, compared to approximately 26% and 27% in 202</w:t>
      </w:r>
      <w:r>
        <w:rPr>
          <w:rFonts w:ascii="Arial" w:eastAsia="宋体" w:hAnsi="Arial" w:cs="Arial"/>
          <w:color w:val="000000"/>
          <w:sz w:val="20"/>
          <w:szCs w:val="20"/>
        </w:rPr>
        <w:t>0 and 2019, respectively.</w:t>
      </w:r>
    </w:p>
    <w:p w14:paraId="5F2CAA6D" w14:textId="77777777" w:rsidR="00E836FB" w:rsidRDefault="00994958">
      <w:pPr>
        <w:ind w:firstLine="450"/>
        <w:jc w:val="right"/>
      </w:pPr>
      <w:r>
        <w:rPr>
          <w:rFonts w:ascii="Arial" w:eastAsia="宋体" w:hAnsi="Arial" w:cs="Arial"/>
          <w:color w:val="000000"/>
          <w:sz w:val="18"/>
          <w:szCs w:val="18"/>
        </w:rPr>
        <w:t>State Street Corporation | 66</w:t>
      </w:r>
    </w:p>
    <w:p w14:paraId="5F2CAA6E" w14:textId="77777777" w:rsidR="00E836FB" w:rsidRDefault="00E836FB">
      <w:pPr>
        <w:ind w:firstLine="450"/>
        <w:jc w:val="center"/>
      </w:pPr>
    </w:p>
    <w:p w14:paraId="5F2CAA6F" w14:textId="77777777" w:rsidR="00E836FB" w:rsidRDefault="00994958">
      <w:r>
        <w:pict w14:anchorId="5F2D6DC7">
          <v:rect id="_x0000_i1090" style="width:415.3pt;height:1.5pt" o:hralign="center" o:hrstd="t" o:hr="t" fillcolor="#a0a0a0" stroked="f"/>
        </w:pict>
      </w:r>
    </w:p>
    <w:p w14:paraId="5F2CAA70"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AA71" w14:textId="77777777" w:rsidR="00E836FB" w:rsidRDefault="00994958">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1948"/>
        <w:gridCol w:w="37"/>
        <w:gridCol w:w="105"/>
        <w:gridCol w:w="1040"/>
        <w:gridCol w:w="37"/>
        <w:gridCol w:w="36"/>
        <w:gridCol w:w="36"/>
        <w:gridCol w:w="36"/>
        <w:gridCol w:w="105"/>
        <w:gridCol w:w="991"/>
        <w:gridCol w:w="37"/>
        <w:gridCol w:w="36"/>
        <w:gridCol w:w="36"/>
        <w:gridCol w:w="36"/>
        <w:gridCol w:w="105"/>
        <w:gridCol w:w="992"/>
        <w:gridCol w:w="37"/>
        <w:gridCol w:w="36"/>
        <w:gridCol w:w="36"/>
        <w:gridCol w:w="36"/>
        <w:gridCol w:w="36"/>
        <w:gridCol w:w="36"/>
        <w:gridCol w:w="36"/>
        <w:gridCol w:w="36"/>
        <w:gridCol w:w="46"/>
        <w:gridCol w:w="833"/>
        <w:gridCol w:w="154"/>
        <w:gridCol w:w="36"/>
        <w:gridCol w:w="36"/>
        <w:gridCol w:w="36"/>
        <w:gridCol w:w="46"/>
        <w:gridCol w:w="833"/>
        <w:gridCol w:w="154"/>
        <w:gridCol w:w="36"/>
        <w:gridCol w:w="36"/>
        <w:gridCol w:w="36"/>
        <w:gridCol w:w="36"/>
        <w:gridCol w:w="36"/>
        <w:gridCol w:w="36"/>
      </w:tblGrid>
      <w:tr w:rsidR="00E836FB" w14:paraId="5F2CAA96" w14:textId="77777777">
        <w:tc>
          <w:tcPr>
            <w:tcW w:w="50" w:type="pct"/>
            <w:shd w:val="clear" w:color="auto" w:fill="auto"/>
            <w:vAlign w:val="bottom"/>
          </w:tcPr>
          <w:p w14:paraId="5F2CAA72" w14:textId="77777777" w:rsidR="00E836FB" w:rsidRDefault="00E836FB">
            <w:pPr>
              <w:rPr>
                <w:rFonts w:ascii="宋体"/>
              </w:rPr>
            </w:pPr>
          </w:p>
        </w:tc>
        <w:tc>
          <w:tcPr>
            <w:tcW w:w="1266" w:type="pct"/>
            <w:shd w:val="clear" w:color="auto" w:fill="auto"/>
            <w:vAlign w:val="bottom"/>
          </w:tcPr>
          <w:p w14:paraId="5F2CAA73" w14:textId="77777777" w:rsidR="00E836FB" w:rsidRDefault="00E836FB">
            <w:pPr>
              <w:rPr>
                <w:rFonts w:ascii="宋体"/>
              </w:rPr>
            </w:pPr>
          </w:p>
        </w:tc>
        <w:tc>
          <w:tcPr>
            <w:tcW w:w="5" w:type="pct"/>
            <w:shd w:val="clear" w:color="auto" w:fill="auto"/>
            <w:vAlign w:val="bottom"/>
          </w:tcPr>
          <w:p w14:paraId="5F2CAA74" w14:textId="77777777" w:rsidR="00E836FB" w:rsidRDefault="00E836FB">
            <w:pPr>
              <w:rPr>
                <w:rFonts w:ascii="宋体"/>
              </w:rPr>
            </w:pPr>
          </w:p>
        </w:tc>
        <w:tc>
          <w:tcPr>
            <w:tcW w:w="50" w:type="pct"/>
            <w:shd w:val="clear" w:color="auto" w:fill="auto"/>
            <w:vAlign w:val="bottom"/>
          </w:tcPr>
          <w:p w14:paraId="5F2CAA75" w14:textId="77777777" w:rsidR="00E836FB" w:rsidRDefault="00E836FB">
            <w:pPr>
              <w:rPr>
                <w:rFonts w:ascii="宋体"/>
              </w:rPr>
            </w:pPr>
          </w:p>
        </w:tc>
        <w:tc>
          <w:tcPr>
            <w:tcW w:w="686" w:type="pct"/>
            <w:shd w:val="clear" w:color="auto" w:fill="auto"/>
            <w:vAlign w:val="bottom"/>
          </w:tcPr>
          <w:p w14:paraId="5F2CAA76" w14:textId="77777777" w:rsidR="00E836FB" w:rsidRDefault="00E836FB">
            <w:pPr>
              <w:rPr>
                <w:rFonts w:ascii="宋体"/>
              </w:rPr>
            </w:pPr>
          </w:p>
        </w:tc>
        <w:tc>
          <w:tcPr>
            <w:tcW w:w="5" w:type="pct"/>
            <w:shd w:val="clear" w:color="auto" w:fill="auto"/>
            <w:vAlign w:val="bottom"/>
          </w:tcPr>
          <w:p w14:paraId="5F2CAA77" w14:textId="77777777" w:rsidR="00E836FB" w:rsidRDefault="00E836FB">
            <w:pPr>
              <w:rPr>
                <w:rFonts w:ascii="宋体"/>
              </w:rPr>
            </w:pPr>
          </w:p>
        </w:tc>
        <w:tc>
          <w:tcPr>
            <w:tcW w:w="5" w:type="pct"/>
            <w:shd w:val="clear" w:color="auto" w:fill="auto"/>
            <w:vAlign w:val="bottom"/>
          </w:tcPr>
          <w:p w14:paraId="5F2CAA78" w14:textId="77777777" w:rsidR="00E836FB" w:rsidRDefault="00E836FB">
            <w:pPr>
              <w:rPr>
                <w:rFonts w:ascii="宋体"/>
              </w:rPr>
            </w:pPr>
          </w:p>
        </w:tc>
        <w:tc>
          <w:tcPr>
            <w:tcW w:w="26" w:type="pct"/>
            <w:shd w:val="clear" w:color="auto" w:fill="auto"/>
            <w:vAlign w:val="bottom"/>
          </w:tcPr>
          <w:p w14:paraId="5F2CAA79" w14:textId="77777777" w:rsidR="00E836FB" w:rsidRDefault="00E836FB">
            <w:pPr>
              <w:rPr>
                <w:rFonts w:ascii="宋体"/>
              </w:rPr>
            </w:pPr>
          </w:p>
        </w:tc>
        <w:tc>
          <w:tcPr>
            <w:tcW w:w="5" w:type="pct"/>
            <w:shd w:val="clear" w:color="auto" w:fill="auto"/>
            <w:vAlign w:val="bottom"/>
          </w:tcPr>
          <w:p w14:paraId="5F2CAA7A" w14:textId="77777777" w:rsidR="00E836FB" w:rsidRDefault="00E836FB">
            <w:pPr>
              <w:rPr>
                <w:rFonts w:ascii="宋体"/>
              </w:rPr>
            </w:pPr>
          </w:p>
        </w:tc>
        <w:tc>
          <w:tcPr>
            <w:tcW w:w="50" w:type="pct"/>
            <w:shd w:val="clear" w:color="auto" w:fill="auto"/>
            <w:vAlign w:val="bottom"/>
          </w:tcPr>
          <w:p w14:paraId="5F2CAA7B" w14:textId="77777777" w:rsidR="00E836FB" w:rsidRDefault="00E836FB">
            <w:pPr>
              <w:rPr>
                <w:rFonts w:ascii="宋体"/>
              </w:rPr>
            </w:pPr>
          </w:p>
        </w:tc>
        <w:tc>
          <w:tcPr>
            <w:tcW w:w="686" w:type="pct"/>
            <w:shd w:val="clear" w:color="auto" w:fill="auto"/>
            <w:vAlign w:val="bottom"/>
          </w:tcPr>
          <w:p w14:paraId="5F2CAA7C" w14:textId="77777777" w:rsidR="00E836FB" w:rsidRDefault="00E836FB">
            <w:pPr>
              <w:rPr>
                <w:rFonts w:ascii="宋体"/>
              </w:rPr>
            </w:pPr>
          </w:p>
        </w:tc>
        <w:tc>
          <w:tcPr>
            <w:tcW w:w="5" w:type="pct"/>
            <w:shd w:val="clear" w:color="auto" w:fill="auto"/>
            <w:vAlign w:val="bottom"/>
          </w:tcPr>
          <w:p w14:paraId="5F2CAA7D" w14:textId="77777777" w:rsidR="00E836FB" w:rsidRDefault="00E836FB">
            <w:pPr>
              <w:rPr>
                <w:rFonts w:ascii="宋体"/>
              </w:rPr>
            </w:pPr>
          </w:p>
        </w:tc>
        <w:tc>
          <w:tcPr>
            <w:tcW w:w="5" w:type="pct"/>
            <w:shd w:val="clear" w:color="auto" w:fill="auto"/>
            <w:vAlign w:val="bottom"/>
          </w:tcPr>
          <w:p w14:paraId="5F2CAA7E" w14:textId="77777777" w:rsidR="00E836FB" w:rsidRDefault="00E836FB">
            <w:pPr>
              <w:rPr>
                <w:rFonts w:ascii="宋体"/>
              </w:rPr>
            </w:pPr>
          </w:p>
        </w:tc>
        <w:tc>
          <w:tcPr>
            <w:tcW w:w="26" w:type="pct"/>
            <w:shd w:val="clear" w:color="auto" w:fill="auto"/>
            <w:vAlign w:val="bottom"/>
          </w:tcPr>
          <w:p w14:paraId="5F2CAA7F" w14:textId="77777777" w:rsidR="00E836FB" w:rsidRDefault="00E836FB">
            <w:pPr>
              <w:rPr>
                <w:rFonts w:ascii="宋体"/>
              </w:rPr>
            </w:pPr>
          </w:p>
        </w:tc>
        <w:tc>
          <w:tcPr>
            <w:tcW w:w="5" w:type="pct"/>
            <w:shd w:val="clear" w:color="auto" w:fill="auto"/>
            <w:vAlign w:val="bottom"/>
          </w:tcPr>
          <w:p w14:paraId="5F2CAA80" w14:textId="77777777" w:rsidR="00E836FB" w:rsidRDefault="00E836FB">
            <w:pPr>
              <w:rPr>
                <w:rFonts w:ascii="宋体"/>
              </w:rPr>
            </w:pPr>
          </w:p>
        </w:tc>
        <w:tc>
          <w:tcPr>
            <w:tcW w:w="50" w:type="pct"/>
            <w:shd w:val="clear" w:color="auto" w:fill="auto"/>
            <w:vAlign w:val="bottom"/>
          </w:tcPr>
          <w:p w14:paraId="5F2CAA81" w14:textId="77777777" w:rsidR="00E836FB" w:rsidRDefault="00E836FB">
            <w:pPr>
              <w:rPr>
                <w:rFonts w:ascii="宋体"/>
              </w:rPr>
            </w:pPr>
          </w:p>
        </w:tc>
        <w:tc>
          <w:tcPr>
            <w:tcW w:w="686" w:type="pct"/>
            <w:shd w:val="clear" w:color="auto" w:fill="auto"/>
            <w:vAlign w:val="bottom"/>
          </w:tcPr>
          <w:p w14:paraId="5F2CAA82" w14:textId="77777777" w:rsidR="00E836FB" w:rsidRDefault="00E836FB">
            <w:pPr>
              <w:rPr>
                <w:rFonts w:ascii="宋体"/>
              </w:rPr>
            </w:pPr>
          </w:p>
        </w:tc>
        <w:tc>
          <w:tcPr>
            <w:tcW w:w="5" w:type="pct"/>
            <w:shd w:val="clear" w:color="auto" w:fill="auto"/>
            <w:vAlign w:val="bottom"/>
          </w:tcPr>
          <w:p w14:paraId="5F2CAA83" w14:textId="77777777" w:rsidR="00E836FB" w:rsidRDefault="00E836FB">
            <w:pPr>
              <w:rPr>
                <w:rFonts w:ascii="宋体"/>
              </w:rPr>
            </w:pPr>
          </w:p>
        </w:tc>
        <w:tc>
          <w:tcPr>
            <w:tcW w:w="5" w:type="pct"/>
            <w:shd w:val="clear" w:color="auto" w:fill="auto"/>
            <w:vAlign w:val="bottom"/>
          </w:tcPr>
          <w:p w14:paraId="5F2CAA84" w14:textId="77777777" w:rsidR="00E836FB" w:rsidRDefault="00E836FB">
            <w:pPr>
              <w:rPr>
                <w:rFonts w:ascii="宋体"/>
              </w:rPr>
            </w:pPr>
          </w:p>
        </w:tc>
        <w:tc>
          <w:tcPr>
            <w:tcW w:w="26" w:type="pct"/>
            <w:shd w:val="clear" w:color="auto" w:fill="auto"/>
            <w:vAlign w:val="bottom"/>
          </w:tcPr>
          <w:p w14:paraId="5F2CAA85" w14:textId="77777777" w:rsidR="00E836FB" w:rsidRDefault="00E836FB">
            <w:pPr>
              <w:rPr>
                <w:rFonts w:ascii="宋体"/>
              </w:rPr>
            </w:pPr>
          </w:p>
        </w:tc>
        <w:tc>
          <w:tcPr>
            <w:tcW w:w="5" w:type="pct"/>
            <w:shd w:val="clear" w:color="auto" w:fill="auto"/>
            <w:vAlign w:val="bottom"/>
          </w:tcPr>
          <w:p w14:paraId="5F2CAA86" w14:textId="77777777" w:rsidR="00E836FB" w:rsidRDefault="00E836FB">
            <w:pPr>
              <w:rPr>
                <w:rFonts w:ascii="宋体"/>
              </w:rPr>
            </w:pPr>
          </w:p>
        </w:tc>
        <w:tc>
          <w:tcPr>
            <w:tcW w:w="0" w:type="auto"/>
            <w:shd w:val="clear" w:color="auto" w:fill="auto"/>
            <w:vAlign w:val="bottom"/>
          </w:tcPr>
          <w:p w14:paraId="5F2CAA87" w14:textId="77777777" w:rsidR="00E836FB" w:rsidRDefault="00E836FB">
            <w:pPr>
              <w:rPr>
                <w:rFonts w:ascii="宋体"/>
                <w:vanish/>
              </w:rPr>
            </w:pPr>
          </w:p>
        </w:tc>
        <w:tc>
          <w:tcPr>
            <w:tcW w:w="0" w:type="auto"/>
            <w:shd w:val="clear" w:color="auto" w:fill="auto"/>
            <w:vAlign w:val="bottom"/>
          </w:tcPr>
          <w:p w14:paraId="5F2CAA88" w14:textId="77777777" w:rsidR="00E836FB" w:rsidRDefault="00E836FB">
            <w:pPr>
              <w:rPr>
                <w:rFonts w:ascii="宋体"/>
                <w:vanish/>
              </w:rPr>
            </w:pPr>
          </w:p>
        </w:tc>
        <w:tc>
          <w:tcPr>
            <w:tcW w:w="0" w:type="auto"/>
            <w:shd w:val="clear" w:color="auto" w:fill="auto"/>
            <w:vAlign w:val="bottom"/>
          </w:tcPr>
          <w:p w14:paraId="5F2CAA89" w14:textId="77777777" w:rsidR="00E836FB" w:rsidRDefault="00E836FB">
            <w:pPr>
              <w:rPr>
                <w:rFonts w:ascii="宋体"/>
                <w:vanish/>
              </w:rPr>
            </w:pPr>
          </w:p>
        </w:tc>
        <w:tc>
          <w:tcPr>
            <w:tcW w:w="0" w:type="auto"/>
            <w:shd w:val="clear" w:color="auto" w:fill="auto"/>
            <w:vAlign w:val="bottom"/>
          </w:tcPr>
          <w:p w14:paraId="5F2CAA8A" w14:textId="77777777" w:rsidR="00E836FB" w:rsidRDefault="00E836FB">
            <w:pPr>
              <w:rPr>
                <w:rFonts w:ascii="宋体"/>
                <w:vanish/>
              </w:rPr>
            </w:pPr>
          </w:p>
        </w:tc>
        <w:tc>
          <w:tcPr>
            <w:tcW w:w="50" w:type="pct"/>
            <w:shd w:val="clear" w:color="auto" w:fill="auto"/>
            <w:vAlign w:val="bottom"/>
          </w:tcPr>
          <w:p w14:paraId="5F2CAA8B" w14:textId="77777777" w:rsidR="00E836FB" w:rsidRDefault="00E836FB">
            <w:pPr>
              <w:rPr>
                <w:rFonts w:ascii="宋体"/>
              </w:rPr>
            </w:pPr>
          </w:p>
        </w:tc>
        <w:tc>
          <w:tcPr>
            <w:tcW w:w="598" w:type="pct"/>
            <w:shd w:val="clear" w:color="auto" w:fill="auto"/>
            <w:vAlign w:val="bottom"/>
          </w:tcPr>
          <w:p w14:paraId="5F2CAA8C" w14:textId="77777777" w:rsidR="00E836FB" w:rsidRDefault="00E836FB">
            <w:pPr>
              <w:rPr>
                <w:rFonts w:ascii="宋体"/>
              </w:rPr>
            </w:pPr>
          </w:p>
        </w:tc>
        <w:tc>
          <w:tcPr>
            <w:tcW w:w="5" w:type="pct"/>
            <w:shd w:val="clear" w:color="auto" w:fill="auto"/>
            <w:vAlign w:val="bottom"/>
          </w:tcPr>
          <w:p w14:paraId="5F2CAA8D" w14:textId="77777777" w:rsidR="00E836FB" w:rsidRDefault="00E836FB">
            <w:pPr>
              <w:rPr>
                <w:rFonts w:ascii="宋体"/>
              </w:rPr>
            </w:pPr>
          </w:p>
        </w:tc>
        <w:tc>
          <w:tcPr>
            <w:tcW w:w="5" w:type="pct"/>
            <w:shd w:val="clear" w:color="auto" w:fill="auto"/>
            <w:vAlign w:val="bottom"/>
          </w:tcPr>
          <w:p w14:paraId="5F2CAA8E" w14:textId="77777777" w:rsidR="00E836FB" w:rsidRDefault="00E836FB">
            <w:pPr>
              <w:rPr>
                <w:rFonts w:ascii="宋体"/>
              </w:rPr>
            </w:pPr>
          </w:p>
        </w:tc>
        <w:tc>
          <w:tcPr>
            <w:tcW w:w="26" w:type="pct"/>
            <w:shd w:val="clear" w:color="auto" w:fill="auto"/>
            <w:vAlign w:val="bottom"/>
          </w:tcPr>
          <w:p w14:paraId="5F2CAA8F" w14:textId="77777777" w:rsidR="00E836FB" w:rsidRDefault="00E836FB">
            <w:pPr>
              <w:rPr>
                <w:rFonts w:ascii="宋体"/>
              </w:rPr>
            </w:pPr>
          </w:p>
        </w:tc>
        <w:tc>
          <w:tcPr>
            <w:tcW w:w="5" w:type="pct"/>
            <w:shd w:val="clear" w:color="auto" w:fill="auto"/>
            <w:vAlign w:val="bottom"/>
          </w:tcPr>
          <w:p w14:paraId="5F2CAA90" w14:textId="77777777" w:rsidR="00E836FB" w:rsidRDefault="00E836FB">
            <w:pPr>
              <w:rPr>
                <w:rFonts w:ascii="宋体"/>
              </w:rPr>
            </w:pPr>
          </w:p>
        </w:tc>
        <w:tc>
          <w:tcPr>
            <w:tcW w:w="50" w:type="pct"/>
            <w:shd w:val="clear" w:color="auto" w:fill="auto"/>
            <w:vAlign w:val="bottom"/>
          </w:tcPr>
          <w:p w14:paraId="5F2CAA91" w14:textId="77777777" w:rsidR="00E836FB" w:rsidRDefault="00E836FB">
            <w:pPr>
              <w:rPr>
                <w:rFonts w:ascii="宋体"/>
              </w:rPr>
            </w:pPr>
          </w:p>
        </w:tc>
        <w:tc>
          <w:tcPr>
            <w:tcW w:w="598" w:type="pct"/>
            <w:shd w:val="clear" w:color="auto" w:fill="auto"/>
            <w:vAlign w:val="bottom"/>
          </w:tcPr>
          <w:p w14:paraId="5F2CAA92" w14:textId="77777777" w:rsidR="00E836FB" w:rsidRDefault="00E836FB">
            <w:pPr>
              <w:rPr>
                <w:rFonts w:ascii="宋体"/>
              </w:rPr>
            </w:pPr>
          </w:p>
        </w:tc>
        <w:tc>
          <w:tcPr>
            <w:tcW w:w="5" w:type="pct"/>
            <w:shd w:val="clear" w:color="auto" w:fill="auto"/>
            <w:vAlign w:val="bottom"/>
          </w:tcPr>
          <w:p w14:paraId="5F2CAA93" w14:textId="77777777" w:rsidR="00E836FB" w:rsidRDefault="00E836FB">
            <w:pPr>
              <w:rPr>
                <w:rFonts w:ascii="宋体"/>
              </w:rPr>
            </w:pPr>
          </w:p>
        </w:tc>
        <w:tc>
          <w:tcPr>
            <w:tcW w:w="0" w:type="auto"/>
            <w:gridSpan w:val="3"/>
            <w:shd w:val="clear" w:color="auto" w:fill="auto"/>
            <w:vAlign w:val="bottom"/>
          </w:tcPr>
          <w:p w14:paraId="5F2CAA94" w14:textId="77777777" w:rsidR="00E836FB" w:rsidRDefault="00E836FB">
            <w:pPr>
              <w:rPr>
                <w:rFonts w:ascii="宋体"/>
                <w:vanish/>
              </w:rPr>
            </w:pPr>
          </w:p>
        </w:tc>
        <w:tc>
          <w:tcPr>
            <w:tcW w:w="0" w:type="auto"/>
            <w:gridSpan w:val="3"/>
            <w:shd w:val="clear" w:color="auto" w:fill="auto"/>
            <w:vAlign w:val="bottom"/>
          </w:tcPr>
          <w:p w14:paraId="5F2CAA95" w14:textId="77777777" w:rsidR="00E836FB" w:rsidRDefault="00E836FB">
            <w:pPr>
              <w:rPr>
                <w:rFonts w:ascii="宋体"/>
                <w:vanish/>
              </w:rPr>
            </w:pPr>
          </w:p>
        </w:tc>
      </w:tr>
      <w:tr w:rsidR="00E836FB" w14:paraId="5F2CAAA6" w14:textId="77777777">
        <w:tc>
          <w:tcPr>
            <w:tcW w:w="0" w:type="auto"/>
            <w:gridSpan w:val="24"/>
            <w:shd w:val="clear" w:color="auto" w:fill="auto"/>
            <w:tcMar>
              <w:top w:w="40" w:type="dxa"/>
              <w:left w:w="20" w:type="dxa"/>
              <w:bottom w:w="40" w:type="dxa"/>
              <w:right w:w="20" w:type="dxa"/>
            </w:tcMar>
            <w:vAlign w:val="bottom"/>
          </w:tcPr>
          <w:p w14:paraId="5F2CAA97" w14:textId="77777777" w:rsidR="00E836FB" w:rsidRDefault="00994958">
            <w:pPr>
              <w:textAlignment w:val="bottom"/>
            </w:pPr>
            <w:r>
              <w:rPr>
                <w:rFonts w:ascii="Arial" w:eastAsia="宋体" w:hAnsi="Arial" w:cs="Arial"/>
                <w:b/>
                <w:bCs/>
                <w:color w:val="000000"/>
                <w:sz w:val="16"/>
                <w:szCs w:val="16"/>
              </w:rPr>
              <w:t>TABLE 9: ASSETS UNDER MANAGEMENT BY ASSET CLASS AND INVESTMENT APPROACH</w:t>
            </w:r>
          </w:p>
        </w:tc>
        <w:tc>
          <w:tcPr>
            <w:tcW w:w="0" w:type="auto"/>
            <w:shd w:val="clear" w:color="auto" w:fill="auto"/>
            <w:vAlign w:val="bottom"/>
          </w:tcPr>
          <w:p w14:paraId="5F2CAA98" w14:textId="77777777" w:rsidR="00E836FB" w:rsidRDefault="00E836FB">
            <w:pPr>
              <w:rPr>
                <w:rFonts w:ascii="宋体"/>
                <w:vanish/>
              </w:rPr>
            </w:pPr>
          </w:p>
        </w:tc>
        <w:tc>
          <w:tcPr>
            <w:tcW w:w="0" w:type="auto"/>
            <w:gridSpan w:val="3"/>
            <w:shd w:val="clear" w:color="auto" w:fill="auto"/>
            <w:vAlign w:val="bottom"/>
          </w:tcPr>
          <w:p w14:paraId="5F2CAA99" w14:textId="77777777" w:rsidR="00E836FB" w:rsidRDefault="00E836FB">
            <w:pPr>
              <w:rPr>
                <w:rFonts w:ascii="宋体"/>
                <w:vanish/>
              </w:rPr>
            </w:pPr>
          </w:p>
        </w:tc>
        <w:tc>
          <w:tcPr>
            <w:tcW w:w="0" w:type="auto"/>
            <w:shd w:val="clear" w:color="auto" w:fill="auto"/>
            <w:vAlign w:val="bottom"/>
          </w:tcPr>
          <w:p w14:paraId="5F2CAA9A" w14:textId="77777777" w:rsidR="00E836FB" w:rsidRDefault="00E836FB">
            <w:pPr>
              <w:rPr>
                <w:rFonts w:ascii="宋体"/>
              </w:rPr>
            </w:pPr>
          </w:p>
        </w:tc>
        <w:tc>
          <w:tcPr>
            <w:tcW w:w="0" w:type="auto"/>
            <w:shd w:val="clear" w:color="auto" w:fill="auto"/>
            <w:vAlign w:val="bottom"/>
          </w:tcPr>
          <w:p w14:paraId="5F2CAA9B" w14:textId="77777777" w:rsidR="00E836FB" w:rsidRDefault="00E836FB">
            <w:pPr>
              <w:rPr>
                <w:rFonts w:ascii="宋体"/>
              </w:rPr>
            </w:pPr>
          </w:p>
        </w:tc>
        <w:tc>
          <w:tcPr>
            <w:tcW w:w="0" w:type="auto"/>
            <w:shd w:val="clear" w:color="auto" w:fill="auto"/>
            <w:vAlign w:val="bottom"/>
          </w:tcPr>
          <w:p w14:paraId="5F2CAA9C" w14:textId="77777777" w:rsidR="00E836FB" w:rsidRDefault="00E836FB">
            <w:pPr>
              <w:rPr>
                <w:rFonts w:ascii="宋体"/>
              </w:rPr>
            </w:pPr>
          </w:p>
        </w:tc>
        <w:tc>
          <w:tcPr>
            <w:tcW w:w="0" w:type="auto"/>
            <w:shd w:val="clear" w:color="auto" w:fill="auto"/>
            <w:vAlign w:val="bottom"/>
          </w:tcPr>
          <w:p w14:paraId="5F2CAA9D" w14:textId="77777777" w:rsidR="00E836FB" w:rsidRDefault="00E836FB">
            <w:pPr>
              <w:rPr>
                <w:rFonts w:ascii="宋体"/>
              </w:rPr>
            </w:pPr>
          </w:p>
        </w:tc>
        <w:tc>
          <w:tcPr>
            <w:tcW w:w="0" w:type="auto"/>
            <w:shd w:val="clear" w:color="auto" w:fill="auto"/>
            <w:vAlign w:val="bottom"/>
          </w:tcPr>
          <w:p w14:paraId="5F2CAA9E" w14:textId="77777777" w:rsidR="00E836FB" w:rsidRDefault="00E836FB">
            <w:pPr>
              <w:rPr>
                <w:rFonts w:ascii="宋体"/>
              </w:rPr>
            </w:pPr>
          </w:p>
        </w:tc>
        <w:tc>
          <w:tcPr>
            <w:tcW w:w="0" w:type="auto"/>
            <w:shd w:val="clear" w:color="auto" w:fill="auto"/>
            <w:vAlign w:val="bottom"/>
          </w:tcPr>
          <w:p w14:paraId="5F2CAA9F" w14:textId="77777777" w:rsidR="00E836FB" w:rsidRDefault="00E836FB">
            <w:pPr>
              <w:rPr>
                <w:rFonts w:ascii="宋体"/>
              </w:rPr>
            </w:pPr>
          </w:p>
        </w:tc>
        <w:tc>
          <w:tcPr>
            <w:tcW w:w="0" w:type="auto"/>
            <w:shd w:val="clear" w:color="auto" w:fill="auto"/>
            <w:vAlign w:val="bottom"/>
          </w:tcPr>
          <w:p w14:paraId="5F2CAAA0" w14:textId="77777777" w:rsidR="00E836FB" w:rsidRDefault="00E836FB">
            <w:pPr>
              <w:rPr>
                <w:rFonts w:ascii="宋体"/>
              </w:rPr>
            </w:pPr>
          </w:p>
        </w:tc>
        <w:tc>
          <w:tcPr>
            <w:tcW w:w="0" w:type="auto"/>
            <w:shd w:val="clear" w:color="auto" w:fill="auto"/>
            <w:vAlign w:val="bottom"/>
          </w:tcPr>
          <w:p w14:paraId="5F2CAAA1" w14:textId="77777777" w:rsidR="00E836FB" w:rsidRDefault="00E836FB">
            <w:pPr>
              <w:rPr>
                <w:rFonts w:ascii="宋体"/>
              </w:rPr>
            </w:pPr>
          </w:p>
        </w:tc>
        <w:tc>
          <w:tcPr>
            <w:tcW w:w="0" w:type="auto"/>
            <w:shd w:val="clear" w:color="auto" w:fill="auto"/>
            <w:vAlign w:val="bottom"/>
          </w:tcPr>
          <w:p w14:paraId="5F2CAAA2" w14:textId="77777777" w:rsidR="00E836FB" w:rsidRDefault="00E836FB">
            <w:pPr>
              <w:rPr>
                <w:rFonts w:ascii="宋体"/>
              </w:rPr>
            </w:pPr>
          </w:p>
        </w:tc>
        <w:tc>
          <w:tcPr>
            <w:tcW w:w="0" w:type="auto"/>
            <w:shd w:val="clear" w:color="auto" w:fill="auto"/>
            <w:vAlign w:val="bottom"/>
          </w:tcPr>
          <w:p w14:paraId="5F2CAAA3" w14:textId="77777777" w:rsidR="00E836FB" w:rsidRDefault="00E836FB">
            <w:pPr>
              <w:rPr>
                <w:rFonts w:ascii="宋体"/>
              </w:rPr>
            </w:pPr>
          </w:p>
        </w:tc>
        <w:tc>
          <w:tcPr>
            <w:tcW w:w="0" w:type="auto"/>
            <w:shd w:val="clear" w:color="auto" w:fill="auto"/>
            <w:vAlign w:val="bottom"/>
          </w:tcPr>
          <w:p w14:paraId="5F2CAAA4" w14:textId="77777777" w:rsidR="00E836FB" w:rsidRDefault="00E836FB">
            <w:pPr>
              <w:rPr>
                <w:rFonts w:ascii="宋体"/>
              </w:rPr>
            </w:pPr>
          </w:p>
        </w:tc>
        <w:tc>
          <w:tcPr>
            <w:tcW w:w="0" w:type="auto"/>
            <w:shd w:val="clear" w:color="auto" w:fill="auto"/>
            <w:vAlign w:val="bottom"/>
          </w:tcPr>
          <w:p w14:paraId="5F2CAAA5" w14:textId="77777777" w:rsidR="00E836FB" w:rsidRDefault="00E836FB">
            <w:pPr>
              <w:rPr>
                <w:rFonts w:ascii="宋体"/>
              </w:rPr>
            </w:pPr>
          </w:p>
        </w:tc>
      </w:tr>
      <w:tr w:rsidR="00E836FB" w14:paraId="5F2CAAB7" w14:textId="77777777">
        <w:tc>
          <w:tcPr>
            <w:tcW w:w="0" w:type="auto"/>
            <w:gridSpan w:val="3"/>
            <w:shd w:val="clear" w:color="auto" w:fill="auto"/>
            <w:tcMar>
              <w:top w:w="40" w:type="dxa"/>
              <w:left w:w="20" w:type="dxa"/>
              <w:bottom w:w="40" w:type="dxa"/>
              <w:right w:w="20" w:type="dxa"/>
            </w:tcMar>
            <w:vAlign w:val="bottom"/>
          </w:tcPr>
          <w:p w14:paraId="5F2CAAA7" w14:textId="77777777" w:rsidR="00E836FB" w:rsidRDefault="00994958">
            <w:pPr>
              <w:textAlignment w:val="bottom"/>
            </w:pPr>
            <w:r>
              <w:rPr>
                <w:rFonts w:ascii="Arial" w:eastAsia="宋体" w:hAnsi="Arial" w:cs="Arial"/>
                <w:b/>
                <w:bCs/>
                <w:color w:val="000000"/>
                <w:sz w:val="15"/>
                <w:szCs w:val="15"/>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CAAA8"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CAAA9" w14:textId="77777777" w:rsidR="00E836FB" w:rsidRDefault="00E83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CAAAA" w14:textId="77777777" w:rsidR="00E836FB" w:rsidRDefault="00994958">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F2CAAAB" w14:textId="77777777" w:rsidR="00E836FB" w:rsidRDefault="00E83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CAAAC" w14:textId="77777777" w:rsidR="00E836FB" w:rsidRDefault="00994958">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top w:w="0" w:type="dxa"/>
              <w:left w:w="20" w:type="dxa"/>
              <w:bottom w:w="0" w:type="dxa"/>
              <w:right w:w="20" w:type="dxa"/>
            </w:tcMar>
            <w:vAlign w:val="bottom"/>
          </w:tcPr>
          <w:p w14:paraId="5F2CAAAD" w14:textId="77777777" w:rsidR="00E836FB" w:rsidRDefault="00E836FB">
            <w:pPr>
              <w:rPr>
                <w:rFonts w:ascii="宋体"/>
              </w:rPr>
            </w:pPr>
          </w:p>
        </w:tc>
        <w:tc>
          <w:tcPr>
            <w:tcW w:w="0" w:type="auto"/>
            <w:shd w:val="clear" w:color="auto" w:fill="auto"/>
            <w:vAlign w:val="bottom"/>
          </w:tcPr>
          <w:p w14:paraId="5F2CAAAE" w14:textId="77777777" w:rsidR="00E836FB" w:rsidRDefault="00E836FB">
            <w:pPr>
              <w:rPr>
                <w:rFonts w:ascii="宋体"/>
                <w:vanish/>
              </w:rPr>
            </w:pPr>
          </w:p>
        </w:tc>
        <w:tc>
          <w:tcPr>
            <w:tcW w:w="0" w:type="auto"/>
            <w:shd w:val="clear" w:color="auto" w:fill="auto"/>
            <w:vAlign w:val="bottom"/>
          </w:tcPr>
          <w:p w14:paraId="5F2CAAAF" w14:textId="77777777" w:rsidR="00E836FB" w:rsidRDefault="00E836FB">
            <w:pPr>
              <w:rPr>
                <w:rFonts w:ascii="宋体"/>
                <w:vanish/>
              </w:rPr>
            </w:pPr>
          </w:p>
        </w:tc>
        <w:tc>
          <w:tcPr>
            <w:tcW w:w="0" w:type="auto"/>
            <w:shd w:val="clear" w:color="auto" w:fill="auto"/>
            <w:vAlign w:val="bottom"/>
          </w:tcPr>
          <w:p w14:paraId="5F2CAAB0" w14:textId="77777777" w:rsidR="00E836FB" w:rsidRDefault="00E836FB">
            <w:pPr>
              <w:rPr>
                <w:rFonts w:ascii="宋体"/>
                <w:vanish/>
              </w:rPr>
            </w:pPr>
          </w:p>
        </w:tc>
        <w:tc>
          <w:tcPr>
            <w:tcW w:w="0" w:type="auto"/>
            <w:shd w:val="clear" w:color="auto" w:fill="auto"/>
            <w:vAlign w:val="bottom"/>
          </w:tcPr>
          <w:p w14:paraId="5F2CAAB1" w14:textId="77777777" w:rsidR="00E836FB" w:rsidRDefault="00E836FB">
            <w:pPr>
              <w:rPr>
                <w:rFonts w:ascii="宋体"/>
                <w:vanish/>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CAAB2" w14:textId="77777777" w:rsidR="00E836FB" w:rsidRDefault="00994958">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2021 vs. 2020</w:t>
            </w:r>
          </w:p>
        </w:tc>
        <w:tc>
          <w:tcPr>
            <w:tcW w:w="0" w:type="auto"/>
            <w:gridSpan w:val="3"/>
            <w:shd w:val="clear" w:color="auto" w:fill="auto"/>
            <w:tcMar>
              <w:top w:w="0" w:type="dxa"/>
              <w:left w:w="20" w:type="dxa"/>
              <w:bottom w:w="0" w:type="dxa"/>
              <w:right w:w="20" w:type="dxa"/>
            </w:tcMar>
            <w:vAlign w:val="bottom"/>
          </w:tcPr>
          <w:p w14:paraId="5F2CAAB3" w14:textId="77777777" w:rsidR="00E836FB" w:rsidRDefault="00E83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CAAB4" w14:textId="77777777" w:rsidR="00E836FB" w:rsidRDefault="00994958">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2020 vs. 2019</w:t>
            </w:r>
          </w:p>
        </w:tc>
        <w:tc>
          <w:tcPr>
            <w:tcW w:w="0" w:type="auto"/>
            <w:gridSpan w:val="3"/>
            <w:shd w:val="clear" w:color="auto" w:fill="auto"/>
            <w:vAlign w:val="bottom"/>
          </w:tcPr>
          <w:p w14:paraId="5F2CAAB5" w14:textId="77777777" w:rsidR="00E836FB" w:rsidRDefault="00E836FB">
            <w:pPr>
              <w:rPr>
                <w:rFonts w:ascii="宋体"/>
                <w:vanish/>
              </w:rPr>
            </w:pPr>
          </w:p>
        </w:tc>
        <w:tc>
          <w:tcPr>
            <w:tcW w:w="0" w:type="auto"/>
            <w:gridSpan w:val="3"/>
            <w:shd w:val="clear" w:color="auto" w:fill="auto"/>
            <w:vAlign w:val="bottom"/>
          </w:tcPr>
          <w:p w14:paraId="5F2CAAB6" w14:textId="77777777" w:rsidR="00E836FB" w:rsidRDefault="00E836FB">
            <w:pPr>
              <w:rPr>
                <w:rFonts w:ascii="宋体"/>
                <w:vanish/>
              </w:rPr>
            </w:pPr>
          </w:p>
        </w:tc>
      </w:tr>
      <w:tr w:rsidR="00E836FB" w14:paraId="5F2CAAC7" w14:textId="77777777">
        <w:tc>
          <w:tcPr>
            <w:tcW w:w="0" w:type="auto"/>
            <w:gridSpan w:val="24"/>
            <w:shd w:val="clear" w:color="auto" w:fill="auto"/>
            <w:tcMar>
              <w:top w:w="40" w:type="dxa"/>
              <w:left w:w="20" w:type="dxa"/>
              <w:bottom w:w="40" w:type="dxa"/>
              <w:right w:w="20" w:type="dxa"/>
            </w:tcMar>
            <w:vAlign w:val="bottom"/>
          </w:tcPr>
          <w:p w14:paraId="5F2CAAB8" w14:textId="77777777" w:rsidR="00E836FB" w:rsidRDefault="00994958">
            <w:pPr>
              <w:textAlignment w:val="bottom"/>
            </w:pPr>
            <w:r>
              <w:rPr>
                <w:rFonts w:ascii="Arial" w:eastAsia="宋体" w:hAnsi="Arial" w:cs="Arial"/>
                <w:color w:val="000000"/>
                <w:sz w:val="15"/>
                <w:szCs w:val="15"/>
              </w:rPr>
              <w:t>Equity:</w:t>
            </w:r>
          </w:p>
        </w:tc>
        <w:tc>
          <w:tcPr>
            <w:tcW w:w="0" w:type="auto"/>
            <w:shd w:val="clear" w:color="auto" w:fill="auto"/>
            <w:vAlign w:val="bottom"/>
          </w:tcPr>
          <w:p w14:paraId="5F2CAAB9" w14:textId="77777777" w:rsidR="00E836FB" w:rsidRDefault="00E836FB">
            <w:pPr>
              <w:rPr>
                <w:rFonts w:ascii="宋体"/>
                <w:vanish/>
              </w:rPr>
            </w:pPr>
          </w:p>
        </w:tc>
        <w:tc>
          <w:tcPr>
            <w:tcW w:w="0" w:type="auto"/>
            <w:gridSpan w:val="3"/>
            <w:shd w:val="clear" w:color="auto" w:fill="auto"/>
            <w:vAlign w:val="bottom"/>
          </w:tcPr>
          <w:p w14:paraId="5F2CAABA" w14:textId="77777777" w:rsidR="00E836FB" w:rsidRDefault="00E836FB">
            <w:pPr>
              <w:rPr>
                <w:rFonts w:ascii="宋体"/>
                <w:vanish/>
              </w:rPr>
            </w:pPr>
          </w:p>
        </w:tc>
        <w:tc>
          <w:tcPr>
            <w:tcW w:w="0" w:type="auto"/>
            <w:shd w:val="clear" w:color="auto" w:fill="auto"/>
            <w:vAlign w:val="bottom"/>
          </w:tcPr>
          <w:p w14:paraId="5F2CAABB" w14:textId="77777777" w:rsidR="00E836FB" w:rsidRDefault="00E836FB">
            <w:pPr>
              <w:rPr>
                <w:rFonts w:ascii="宋体"/>
              </w:rPr>
            </w:pPr>
          </w:p>
        </w:tc>
        <w:tc>
          <w:tcPr>
            <w:tcW w:w="0" w:type="auto"/>
            <w:shd w:val="clear" w:color="auto" w:fill="auto"/>
            <w:vAlign w:val="bottom"/>
          </w:tcPr>
          <w:p w14:paraId="5F2CAABC" w14:textId="77777777" w:rsidR="00E836FB" w:rsidRDefault="00E836FB">
            <w:pPr>
              <w:rPr>
                <w:rFonts w:ascii="宋体"/>
              </w:rPr>
            </w:pPr>
          </w:p>
        </w:tc>
        <w:tc>
          <w:tcPr>
            <w:tcW w:w="0" w:type="auto"/>
            <w:shd w:val="clear" w:color="auto" w:fill="auto"/>
            <w:vAlign w:val="bottom"/>
          </w:tcPr>
          <w:p w14:paraId="5F2CAABD" w14:textId="77777777" w:rsidR="00E836FB" w:rsidRDefault="00E836FB">
            <w:pPr>
              <w:rPr>
                <w:rFonts w:ascii="宋体"/>
              </w:rPr>
            </w:pPr>
          </w:p>
        </w:tc>
        <w:tc>
          <w:tcPr>
            <w:tcW w:w="0" w:type="auto"/>
            <w:shd w:val="clear" w:color="auto" w:fill="auto"/>
            <w:vAlign w:val="bottom"/>
          </w:tcPr>
          <w:p w14:paraId="5F2CAABE" w14:textId="77777777" w:rsidR="00E836FB" w:rsidRDefault="00E836FB">
            <w:pPr>
              <w:rPr>
                <w:rFonts w:ascii="宋体"/>
              </w:rPr>
            </w:pPr>
          </w:p>
        </w:tc>
        <w:tc>
          <w:tcPr>
            <w:tcW w:w="0" w:type="auto"/>
            <w:shd w:val="clear" w:color="auto" w:fill="auto"/>
            <w:vAlign w:val="bottom"/>
          </w:tcPr>
          <w:p w14:paraId="5F2CAABF" w14:textId="77777777" w:rsidR="00E836FB" w:rsidRDefault="00E836FB">
            <w:pPr>
              <w:rPr>
                <w:rFonts w:ascii="宋体"/>
              </w:rPr>
            </w:pPr>
          </w:p>
        </w:tc>
        <w:tc>
          <w:tcPr>
            <w:tcW w:w="0" w:type="auto"/>
            <w:shd w:val="clear" w:color="auto" w:fill="auto"/>
            <w:vAlign w:val="bottom"/>
          </w:tcPr>
          <w:p w14:paraId="5F2CAAC0" w14:textId="77777777" w:rsidR="00E836FB" w:rsidRDefault="00E836FB">
            <w:pPr>
              <w:rPr>
                <w:rFonts w:ascii="宋体"/>
              </w:rPr>
            </w:pPr>
          </w:p>
        </w:tc>
        <w:tc>
          <w:tcPr>
            <w:tcW w:w="0" w:type="auto"/>
            <w:shd w:val="clear" w:color="auto" w:fill="auto"/>
            <w:vAlign w:val="bottom"/>
          </w:tcPr>
          <w:p w14:paraId="5F2CAAC1" w14:textId="77777777" w:rsidR="00E836FB" w:rsidRDefault="00E836FB">
            <w:pPr>
              <w:rPr>
                <w:rFonts w:ascii="宋体"/>
              </w:rPr>
            </w:pPr>
          </w:p>
        </w:tc>
        <w:tc>
          <w:tcPr>
            <w:tcW w:w="0" w:type="auto"/>
            <w:shd w:val="clear" w:color="auto" w:fill="auto"/>
            <w:vAlign w:val="bottom"/>
          </w:tcPr>
          <w:p w14:paraId="5F2CAAC2" w14:textId="77777777" w:rsidR="00E836FB" w:rsidRDefault="00E836FB">
            <w:pPr>
              <w:rPr>
                <w:rFonts w:ascii="宋体"/>
              </w:rPr>
            </w:pPr>
          </w:p>
        </w:tc>
        <w:tc>
          <w:tcPr>
            <w:tcW w:w="0" w:type="auto"/>
            <w:shd w:val="clear" w:color="auto" w:fill="auto"/>
            <w:vAlign w:val="bottom"/>
          </w:tcPr>
          <w:p w14:paraId="5F2CAAC3" w14:textId="77777777" w:rsidR="00E836FB" w:rsidRDefault="00E836FB">
            <w:pPr>
              <w:rPr>
                <w:rFonts w:ascii="宋体"/>
              </w:rPr>
            </w:pPr>
          </w:p>
        </w:tc>
        <w:tc>
          <w:tcPr>
            <w:tcW w:w="0" w:type="auto"/>
            <w:shd w:val="clear" w:color="auto" w:fill="auto"/>
            <w:vAlign w:val="bottom"/>
          </w:tcPr>
          <w:p w14:paraId="5F2CAAC4" w14:textId="77777777" w:rsidR="00E836FB" w:rsidRDefault="00E836FB">
            <w:pPr>
              <w:rPr>
                <w:rFonts w:ascii="宋体"/>
              </w:rPr>
            </w:pPr>
          </w:p>
        </w:tc>
        <w:tc>
          <w:tcPr>
            <w:tcW w:w="0" w:type="auto"/>
            <w:shd w:val="clear" w:color="auto" w:fill="auto"/>
            <w:vAlign w:val="bottom"/>
          </w:tcPr>
          <w:p w14:paraId="5F2CAAC5" w14:textId="77777777" w:rsidR="00E836FB" w:rsidRDefault="00E836FB">
            <w:pPr>
              <w:rPr>
                <w:rFonts w:ascii="宋体"/>
              </w:rPr>
            </w:pPr>
          </w:p>
        </w:tc>
        <w:tc>
          <w:tcPr>
            <w:tcW w:w="0" w:type="auto"/>
            <w:shd w:val="clear" w:color="auto" w:fill="auto"/>
            <w:vAlign w:val="bottom"/>
          </w:tcPr>
          <w:p w14:paraId="5F2CAAC6" w14:textId="77777777" w:rsidR="00E836FB" w:rsidRDefault="00E836FB">
            <w:pPr>
              <w:rPr>
                <w:rFonts w:ascii="宋体"/>
              </w:rPr>
            </w:pPr>
          </w:p>
        </w:tc>
      </w:tr>
      <w:tr w:rsidR="00E836FB" w14:paraId="5F2CAAE0" w14:textId="77777777">
        <w:tc>
          <w:tcPr>
            <w:tcW w:w="0" w:type="auto"/>
            <w:gridSpan w:val="3"/>
            <w:shd w:val="clear" w:color="auto" w:fill="CCEEFF"/>
            <w:tcMar>
              <w:top w:w="40" w:type="dxa"/>
              <w:left w:w="20" w:type="dxa"/>
              <w:bottom w:w="40" w:type="dxa"/>
              <w:right w:w="20" w:type="dxa"/>
            </w:tcMar>
            <w:vAlign w:val="bottom"/>
          </w:tcPr>
          <w:p w14:paraId="5F2CAAC8" w14:textId="77777777" w:rsidR="00E836FB" w:rsidRDefault="00994958">
            <w:pPr>
              <w:textAlignment w:val="bottom"/>
            </w:pPr>
            <w:r>
              <w:rPr>
                <w:rFonts w:ascii="Arial" w:eastAsia="宋体" w:hAnsi="Arial" w:cs="Arial"/>
                <w:color w:val="000000"/>
                <w:sz w:val="15"/>
                <w:szCs w:val="15"/>
              </w:rPr>
              <w:t>  Active</w:t>
            </w:r>
          </w:p>
        </w:tc>
        <w:tc>
          <w:tcPr>
            <w:tcW w:w="0" w:type="auto"/>
            <w:shd w:val="clear" w:color="auto" w:fill="CCEEFF"/>
            <w:tcMar>
              <w:top w:w="40" w:type="dxa"/>
              <w:left w:w="20" w:type="dxa"/>
              <w:bottom w:w="40" w:type="dxa"/>
              <w:right w:w="0" w:type="dxa"/>
            </w:tcMar>
            <w:vAlign w:val="bottom"/>
          </w:tcPr>
          <w:p w14:paraId="5F2CAAC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AACA" w14:textId="77777777" w:rsidR="00E836FB" w:rsidRDefault="00994958">
            <w:pPr>
              <w:jc w:val="right"/>
              <w:textAlignment w:val="bottom"/>
            </w:pPr>
            <w:r>
              <w:rPr>
                <w:rFonts w:ascii="Arial" w:eastAsia="宋体" w:hAnsi="Arial" w:cs="Arial"/>
                <w:b/>
                <w:bCs/>
                <w:color w:val="000000"/>
                <w:sz w:val="15"/>
                <w:szCs w:val="15"/>
              </w:rPr>
              <w:t>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A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C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ACD"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AACE" w14:textId="77777777" w:rsidR="00E836FB" w:rsidRDefault="00994958">
            <w:pPr>
              <w:jc w:val="right"/>
              <w:textAlignment w:val="bottom"/>
            </w:pPr>
            <w:r>
              <w:rPr>
                <w:rFonts w:ascii="Arial" w:eastAsia="宋体" w:hAnsi="Arial" w:cs="Arial"/>
                <w:color w:val="000000"/>
                <w:sz w:val="15"/>
                <w:szCs w:val="15"/>
              </w:rPr>
              <w:t>85 </w:t>
            </w:r>
          </w:p>
        </w:tc>
        <w:tc>
          <w:tcPr>
            <w:tcW w:w="0" w:type="auto"/>
            <w:shd w:val="clear" w:color="auto" w:fill="CCEEFF"/>
            <w:tcMar>
              <w:top w:w="40" w:type="dxa"/>
              <w:left w:w="0" w:type="dxa"/>
              <w:bottom w:w="40" w:type="dxa"/>
              <w:right w:w="20" w:type="dxa"/>
            </w:tcMar>
            <w:vAlign w:val="bottom"/>
          </w:tcPr>
          <w:p w14:paraId="5F2CAA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D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AAD1"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AAD2" w14:textId="77777777" w:rsidR="00E836FB" w:rsidRDefault="00994958">
            <w:pPr>
              <w:jc w:val="right"/>
              <w:textAlignment w:val="bottom"/>
            </w:pPr>
            <w:r>
              <w:rPr>
                <w:rFonts w:ascii="Arial" w:eastAsia="宋体" w:hAnsi="Arial" w:cs="Arial"/>
                <w:color w:val="000000"/>
                <w:sz w:val="15"/>
                <w:szCs w:val="15"/>
              </w:rPr>
              <w:t>90 </w:t>
            </w:r>
          </w:p>
        </w:tc>
        <w:tc>
          <w:tcPr>
            <w:tcW w:w="0" w:type="auto"/>
            <w:shd w:val="clear" w:color="auto" w:fill="CCEEFF"/>
            <w:tcMar>
              <w:top w:w="40" w:type="dxa"/>
              <w:left w:w="0" w:type="dxa"/>
              <w:bottom w:w="40" w:type="dxa"/>
              <w:right w:w="20" w:type="dxa"/>
            </w:tcMar>
            <w:vAlign w:val="bottom"/>
          </w:tcPr>
          <w:p w14:paraId="5F2CAA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D4" w14:textId="77777777" w:rsidR="00E836FB" w:rsidRDefault="00E836FB">
            <w:pPr>
              <w:rPr>
                <w:rFonts w:ascii="宋体"/>
              </w:rPr>
            </w:pPr>
          </w:p>
        </w:tc>
        <w:tc>
          <w:tcPr>
            <w:tcW w:w="0" w:type="auto"/>
            <w:shd w:val="clear" w:color="auto" w:fill="auto"/>
            <w:vAlign w:val="bottom"/>
          </w:tcPr>
          <w:p w14:paraId="5F2CAAD5" w14:textId="77777777" w:rsidR="00E836FB" w:rsidRDefault="00E836FB">
            <w:pPr>
              <w:rPr>
                <w:rFonts w:ascii="宋体"/>
                <w:vanish/>
              </w:rPr>
            </w:pPr>
          </w:p>
        </w:tc>
        <w:tc>
          <w:tcPr>
            <w:tcW w:w="0" w:type="auto"/>
            <w:shd w:val="clear" w:color="auto" w:fill="auto"/>
            <w:vAlign w:val="bottom"/>
          </w:tcPr>
          <w:p w14:paraId="5F2CAAD6" w14:textId="77777777" w:rsidR="00E836FB" w:rsidRDefault="00E836FB">
            <w:pPr>
              <w:rPr>
                <w:rFonts w:ascii="宋体"/>
                <w:vanish/>
              </w:rPr>
            </w:pPr>
          </w:p>
        </w:tc>
        <w:tc>
          <w:tcPr>
            <w:tcW w:w="0" w:type="auto"/>
            <w:shd w:val="clear" w:color="auto" w:fill="auto"/>
            <w:vAlign w:val="bottom"/>
          </w:tcPr>
          <w:p w14:paraId="5F2CAAD7" w14:textId="77777777" w:rsidR="00E836FB" w:rsidRDefault="00E836FB">
            <w:pPr>
              <w:rPr>
                <w:rFonts w:ascii="宋体"/>
                <w:vanish/>
              </w:rPr>
            </w:pPr>
          </w:p>
        </w:tc>
        <w:tc>
          <w:tcPr>
            <w:tcW w:w="0" w:type="auto"/>
            <w:shd w:val="clear" w:color="auto" w:fill="auto"/>
            <w:vAlign w:val="bottom"/>
          </w:tcPr>
          <w:p w14:paraId="5F2CAAD8"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AD9" w14:textId="77777777" w:rsidR="00E836FB" w:rsidRDefault="00994958">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5F2CAADA" w14:textId="77777777" w:rsidR="00E836FB" w:rsidRDefault="00994958">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AAD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ADC" w14:textId="77777777" w:rsidR="00E836FB" w:rsidRDefault="00994958">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5F2CAADD" w14:textId="77777777" w:rsidR="00E836FB" w:rsidRDefault="00994958">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5F2CAADE" w14:textId="77777777" w:rsidR="00E836FB" w:rsidRDefault="00E836FB">
            <w:pPr>
              <w:rPr>
                <w:rFonts w:ascii="宋体"/>
                <w:vanish/>
              </w:rPr>
            </w:pPr>
          </w:p>
        </w:tc>
        <w:tc>
          <w:tcPr>
            <w:tcW w:w="0" w:type="auto"/>
            <w:gridSpan w:val="3"/>
            <w:shd w:val="clear" w:color="auto" w:fill="auto"/>
            <w:vAlign w:val="bottom"/>
          </w:tcPr>
          <w:p w14:paraId="5F2CAADF" w14:textId="77777777" w:rsidR="00E836FB" w:rsidRDefault="00E836FB">
            <w:pPr>
              <w:rPr>
                <w:rFonts w:ascii="宋体"/>
                <w:vanish/>
              </w:rPr>
            </w:pPr>
          </w:p>
        </w:tc>
      </w:tr>
      <w:tr w:rsidR="00E836FB" w14:paraId="5F2CAAF6" w14:textId="77777777">
        <w:tc>
          <w:tcPr>
            <w:tcW w:w="0" w:type="auto"/>
            <w:gridSpan w:val="3"/>
            <w:shd w:val="clear" w:color="auto" w:fill="FFFFFF"/>
            <w:tcMar>
              <w:top w:w="40" w:type="dxa"/>
              <w:left w:w="20" w:type="dxa"/>
              <w:bottom w:w="40" w:type="dxa"/>
              <w:right w:w="20" w:type="dxa"/>
            </w:tcMar>
            <w:vAlign w:val="bottom"/>
          </w:tcPr>
          <w:p w14:paraId="5F2CAAE1" w14:textId="77777777" w:rsidR="00E836FB" w:rsidRDefault="00994958">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5F2CAAE2" w14:textId="77777777" w:rsidR="00E836FB" w:rsidRDefault="00994958">
            <w:pPr>
              <w:jc w:val="right"/>
              <w:textAlignment w:val="bottom"/>
            </w:pPr>
            <w:r>
              <w:rPr>
                <w:rFonts w:ascii="Arial" w:eastAsia="宋体" w:hAnsi="Arial" w:cs="Arial"/>
                <w:b/>
                <w:bCs/>
                <w:color w:val="000000"/>
                <w:sz w:val="15"/>
                <w:szCs w:val="15"/>
              </w:rPr>
              <w:t>2,594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A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E5" w14:textId="77777777" w:rsidR="00E836FB" w:rsidRDefault="00994958">
            <w:pPr>
              <w:jc w:val="right"/>
              <w:textAlignment w:val="bottom"/>
            </w:pPr>
            <w:r>
              <w:rPr>
                <w:rFonts w:ascii="Arial" w:eastAsia="宋体" w:hAnsi="Arial" w:cs="Arial"/>
                <w:color w:val="000000"/>
                <w:sz w:val="15"/>
                <w:szCs w:val="15"/>
              </w:rPr>
              <w:t>2,086 </w:t>
            </w:r>
          </w:p>
        </w:tc>
        <w:tc>
          <w:tcPr>
            <w:tcW w:w="0" w:type="auto"/>
            <w:shd w:val="clear" w:color="auto" w:fill="FFFFFF"/>
            <w:tcMar>
              <w:top w:w="40" w:type="dxa"/>
              <w:left w:w="0" w:type="dxa"/>
              <w:bottom w:w="40" w:type="dxa"/>
              <w:right w:w="20" w:type="dxa"/>
            </w:tcMar>
            <w:vAlign w:val="bottom"/>
          </w:tcPr>
          <w:p w14:paraId="5F2CAA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E8" w14:textId="77777777" w:rsidR="00E836FB" w:rsidRDefault="00994958">
            <w:pPr>
              <w:jc w:val="right"/>
              <w:textAlignment w:val="bottom"/>
            </w:pPr>
            <w:r>
              <w:rPr>
                <w:rFonts w:ascii="Arial" w:eastAsia="宋体" w:hAnsi="Arial" w:cs="Arial"/>
                <w:color w:val="000000"/>
                <w:sz w:val="15"/>
                <w:szCs w:val="15"/>
              </w:rPr>
              <w:t>1,900 </w:t>
            </w:r>
          </w:p>
        </w:tc>
        <w:tc>
          <w:tcPr>
            <w:tcW w:w="0" w:type="auto"/>
            <w:shd w:val="clear" w:color="auto" w:fill="FFFFFF"/>
            <w:tcMar>
              <w:top w:w="40" w:type="dxa"/>
              <w:left w:w="0" w:type="dxa"/>
              <w:bottom w:w="40" w:type="dxa"/>
              <w:right w:w="20" w:type="dxa"/>
            </w:tcMar>
            <w:vAlign w:val="bottom"/>
          </w:tcPr>
          <w:p w14:paraId="5F2CAA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EA" w14:textId="77777777" w:rsidR="00E836FB" w:rsidRDefault="00E836FB">
            <w:pPr>
              <w:rPr>
                <w:rFonts w:ascii="宋体"/>
              </w:rPr>
            </w:pPr>
          </w:p>
        </w:tc>
        <w:tc>
          <w:tcPr>
            <w:tcW w:w="0" w:type="auto"/>
            <w:shd w:val="clear" w:color="auto" w:fill="auto"/>
            <w:vAlign w:val="bottom"/>
          </w:tcPr>
          <w:p w14:paraId="5F2CAAEB" w14:textId="77777777" w:rsidR="00E836FB" w:rsidRDefault="00E836FB">
            <w:pPr>
              <w:rPr>
                <w:rFonts w:ascii="宋体"/>
                <w:vanish/>
              </w:rPr>
            </w:pPr>
          </w:p>
        </w:tc>
        <w:tc>
          <w:tcPr>
            <w:tcW w:w="0" w:type="auto"/>
            <w:shd w:val="clear" w:color="auto" w:fill="auto"/>
            <w:vAlign w:val="bottom"/>
          </w:tcPr>
          <w:p w14:paraId="5F2CAAEC" w14:textId="77777777" w:rsidR="00E836FB" w:rsidRDefault="00E836FB">
            <w:pPr>
              <w:rPr>
                <w:rFonts w:ascii="宋体"/>
                <w:vanish/>
              </w:rPr>
            </w:pPr>
          </w:p>
        </w:tc>
        <w:tc>
          <w:tcPr>
            <w:tcW w:w="0" w:type="auto"/>
            <w:shd w:val="clear" w:color="auto" w:fill="auto"/>
            <w:vAlign w:val="bottom"/>
          </w:tcPr>
          <w:p w14:paraId="5F2CAAED" w14:textId="77777777" w:rsidR="00E836FB" w:rsidRDefault="00E836FB">
            <w:pPr>
              <w:rPr>
                <w:rFonts w:ascii="宋体"/>
                <w:vanish/>
              </w:rPr>
            </w:pPr>
          </w:p>
        </w:tc>
        <w:tc>
          <w:tcPr>
            <w:tcW w:w="0" w:type="auto"/>
            <w:shd w:val="clear" w:color="auto" w:fill="auto"/>
            <w:vAlign w:val="bottom"/>
          </w:tcPr>
          <w:p w14:paraId="5F2CAAEE"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AEF" w14:textId="77777777" w:rsidR="00E836FB" w:rsidRDefault="00994958">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5F2CAA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AF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AF2" w14:textId="77777777" w:rsidR="00E836FB" w:rsidRDefault="00994958">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5F2CAAF3" w14:textId="77777777" w:rsidR="00E836FB" w:rsidRDefault="00E836FB">
            <w:pPr>
              <w:jc w:val="right"/>
              <w:rPr>
                <w:rFonts w:ascii="宋体"/>
              </w:rPr>
            </w:pPr>
          </w:p>
        </w:tc>
        <w:tc>
          <w:tcPr>
            <w:tcW w:w="0" w:type="auto"/>
            <w:gridSpan w:val="3"/>
            <w:shd w:val="clear" w:color="auto" w:fill="auto"/>
            <w:vAlign w:val="bottom"/>
          </w:tcPr>
          <w:p w14:paraId="5F2CAAF4" w14:textId="77777777" w:rsidR="00E836FB" w:rsidRDefault="00E836FB">
            <w:pPr>
              <w:rPr>
                <w:rFonts w:ascii="宋体"/>
                <w:vanish/>
              </w:rPr>
            </w:pPr>
          </w:p>
        </w:tc>
        <w:tc>
          <w:tcPr>
            <w:tcW w:w="0" w:type="auto"/>
            <w:gridSpan w:val="3"/>
            <w:shd w:val="clear" w:color="auto" w:fill="auto"/>
            <w:vAlign w:val="bottom"/>
          </w:tcPr>
          <w:p w14:paraId="5F2CAAF5" w14:textId="77777777" w:rsidR="00E836FB" w:rsidRDefault="00E836FB">
            <w:pPr>
              <w:rPr>
                <w:rFonts w:ascii="宋体"/>
                <w:vanish/>
              </w:rPr>
            </w:pPr>
          </w:p>
        </w:tc>
      </w:tr>
      <w:tr w:rsidR="00E836FB" w14:paraId="5F2CAB0C" w14:textId="77777777">
        <w:tc>
          <w:tcPr>
            <w:tcW w:w="0" w:type="auto"/>
            <w:gridSpan w:val="3"/>
            <w:shd w:val="clear" w:color="auto" w:fill="CCEEFF"/>
            <w:tcMar>
              <w:top w:w="40" w:type="dxa"/>
              <w:left w:w="20" w:type="dxa"/>
              <w:bottom w:w="40" w:type="dxa"/>
              <w:right w:w="20" w:type="dxa"/>
            </w:tcMar>
            <w:vAlign w:val="bottom"/>
          </w:tcPr>
          <w:p w14:paraId="5F2CAAF7" w14:textId="77777777" w:rsidR="00E836FB" w:rsidRDefault="00994958">
            <w:pPr>
              <w:textAlignment w:val="bottom"/>
            </w:pPr>
            <w:r>
              <w:rPr>
                <w:rFonts w:ascii="Arial" w:eastAsia="宋体" w:hAnsi="Arial" w:cs="Arial"/>
                <w:color w:val="000000"/>
                <w:sz w:val="15"/>
                <w:szCs w:val="15"/>
              </w:rPr>
              <w:t>Total equity</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AF8" w14:textId="77777777" w:rsidR="00E836FB" w:rsidRDefault="00994958">
            <w:pPr>
              <w:jc w:val="right"/>
              <w:textAlignment w:val="bottom"/>
            </w:pPr>
            <w:r>
              <w:rPr>
                <w:rFonts w:ascii="Arial" w:eastAsia="宋体" w:hAnsi="Arial" w:cs="Arial"/>
                <w:b/>
                <w:bCs/>
                <w:color w:val="000000"/>
                <w:sz w:val="15"/>
                <w:szCs w:val="15"/>
              </w:rPr>
              <w:t>2,674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A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F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AFB" w14:textId="77777777" w:rsidR="00E836FB" w:rsidRDefault="00994958">
            <w:pPr>
              <w:jc w:val="right"/>
              <w:textAlignment w:val="bottom"/>
            </w:pPr>
            <w:r>
              <w:rPr>
                <w:rFonts w:ascii="Arial" w:eastAsia="宋体" w:hAnsi="Arial" w:cs="Arial"/>
                <w:color w:val="000000"/>
                <w:sz w:val="15"/>
                <w:szCs w:val="15"/>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A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AF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AFE" w14:textId="77777777" w:rsidR="00E836FB" w:rsidRDefault="00994958">
            <w:pPr>
              <w:jc w:val="right"/>
              <w:textAlignment w:val="bottom"/>
            </w:pPr>
            <w:r>
              <w:rPr>
                <w:rFonts w:ascii="Arial" w:eastAsia="宋体" w:hAnsi="Arial" w:cs="Arial"/>
                <w:color w:val="000000"/>
                <w:sz w:val="15"/>
                <w:szCs w:val="15"/>
              </w:rPr>
              <w:t>1,990 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A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00" w14:textId="77777777" w:rsidR="00E836FB" w:rsidRDefault="00E836FB">
            <w:pPr>
              <w:rPr>
                <w:rFonts w:ascii="宋体"/>
              </w:rPr>
            </w:pPr>
          </w:p>
        </w:tc>
        <w:tc>
          <w:tcPr>
            <w:tcW w:w="0" w:type="auto"/>
            <w:shd w:val="clear" w:color="auto" w:fill="auto"/>
            <w:vAlign w:val="bottom"/>
          </w:tcPr>
          <w:p w14:paraId="5F2CAB01" w14:textId="77777777" w:rsidR="00E836FB" w:rsidRDefault="00E836FB">
            <w:pPr>
              <w:rPr>
                <w:rFonts w:ascii="宋体"/>
                <w:vanish/>
              </w:rPr>
            </w:pPr>
          </w:p>
        </w:tc>
        <w:tc>
          <w:tcPr>
            <w:tcW w:w="0" w:type="auto"/>
            <w:shd w:val="clear" w:color="auto" w:fill="auto"/>
            <w:vAlign w:val="bottom"/>
          </w:tcPr>
          <w:p w14:paraId="5F2CAB02" w14:textId="77777777" w:rsidR="00E836FB" w:rsidRDefault="00E836FB">
            <w:pPr>
              <w:rPr>
                <w:rFonts w:ascii="宋体"/>
                <w:vanish/>
              </w:rPr>
            </w:pPr>
          </w:p>
        </w:tc>
        <w:tc>
          <w:tcPr>
            <w:tcW w:w="0" w:type="auto"/>
            <w:shd w:val="clear" w:color="auto" w:fill="auto"/>
            <w:vAlign w:val="bottom"/>
          </w:tcPr>
          <w:p w14:paraId="5F2CAB03" w14:textId="77777777" w:rsidR="00E836FB" w:rsidRDefault="00E836FB">
            <w:pPr>
              <w:rPr>
                <w:rFonts w:ascii="宋体"/>
                <w:vanish/>
              </w:rPr>
            </w:pPr>
          </w:p>
        </w:tc>
        <w:tc>
          <w:tcPr>
            <w:tcW w:w="0" w:type="auto"/>
            <w:shd w:val="clear" w:color="auto" w:fill="auto"/>
            <w:vAlign w:val="bottom"/>
          </w:tcPr>
          <w:p w14:paraId="5F2CAB04"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B05" w14:textId="77777777" w:rsidR="00E836FB" w:rsidRDefault="00994958">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5F2CAB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08" w14:textId="77777777" w:rsidR="00E836FB" w:rsidRDefault="00994958">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5F2CAB09" w14:textId="77777777" w:rsidR="00E836FB" w:rsidRDefault="00E836FB">
            <w:pPr>
              <w:jc w:val="right"/>
              <w:rPr>
                <w:rFonts w:ascii="宋体"/>
              </w:rPr>
            </w:pPr>
          </w:p>
        </w:tc>
        <w:tc>
          <w:tcPr>
            <w:tcW w:w="0" w:type="auto"/>
            <w:gridSpan w:val="3"/>
            <w:shd w:val="clear" w:color="auto" w:fill="auto"/>
            <w:vAlign w:val="bottom"/>
          </w:tcPr>
          <w:p w14:paraId="5F2CAB0A" w14:textId="77777777" w:rsidR="00E836FB" w:rsidRDefault="00E836FB">
            <w:pPr>
              <w:rPr>
                <w:rFonts w:ascii="宋体"/>
                <w:vanish/>
              </w:rPr>
            </w:pPr>
          </w:p>
        </w:tc>
        <w:tc>
          <w:tcPr>
            <w:tcW w:w="0" w:type="auto"/>
            <w:gridSpan w:val="3"/>
            <w:shd w:val="clear" w:color="auto" w:fill="auto"/>
            <w:vAlign w:val="bottom"/>
          </w:tcPr>
          <w:p w14:paraId="5F2CAB0B" w14:textId="77777777" w:rsidR="00E836FB" w:rsidRDefault="00E836FB">
            <w:pPr>
              <w:rPr>
                <w:rFonts w:ascii="宋体"/>
                <w:vanish/>
              </w:rPr>
            </w:pPr>
          </w:p>
        </w:tc>
      </w:tr>
      <w:tr w:rsidR="00E836FB" w14:paraId="5F2CAB1C" w14:textId="77777777">
        <w:tc>
          <w:tcPr>
            <w:tcW w:w="0" w:type="auto"/>
            <w:gridSpan w:val="24"/>
            <w:shd w:val="clear" w:color="auto" w:fill="FFFFFF"/>
            <w:tcMar>
              <w:top w:w="40" w:type="dxa"/>
              <w:left w:w="20" w:type="dxa"/>
              <w:bottom w:w="40" w:type="dxa"/>
              <w:right w:w="20" w:type="dxa"/>
            </w:tcMar>
            <w:vAlign w:val="bottom"/>
          </w:tcPr>
          <w:p w14:paraId="5F2CAB0D" w14:textId="77777777" w:rsidR="00E836FB" w:rsidRDefault="00994958">
            <w:pPr>
              <w:textAlignment w:val="bottom"/>
            </w:pPr>
            <w:r>
              <w:rPr>
                <w:rFonts w:ascii="Arial" w:eastAsia="宋体" w:hAnsi="Arial" w:cs="Arial"/>
                <w:color w:val="000000"/>
                <w:sz w:val="15"/>
                <w:szCs w:val="15"/>
              </w:rPr>
              <w:t>Fixed-income:</w:t>
            </w:r>
          </w:p>
        </w:tc>
        <w:tc>
          <w:tcPr>
            <w:tcW w:w="0" w:type="auto"/>
            <w:shd w:val="clear" w:color="auto" w:fill="auto"/>
            <w:vAlign w:val="bottom"/>
          </w:tcPr>
          <w:p w14:paraId="5F2CAB0E" w14:textId="77777777" w:rsidR="00E836FB" w:rsidRDefault="00E836FB">
            <w:pPr>
              <w:rPr>
                <w:rFonts w:ascii="宋体"/>
                <w:vanish/>
              </w:rPr>
            </w:pPr>
          </w:p>
        </w:tc>
        <w:tc>
          <w:tcPr>
            <w:tcW w:w="0" w:type="auto"/>
            <w:gridSpan w:val="3"/>
            <w:shd w:val="clear" w:color="auto" w:fill="auto"/>
            <w:vAlign w:val="bottom"/>
          </w:tcPr>
          <w:p w14:paraId="5F2CAB0F" w14:textId="77777777" w:rsidR="00E836FB" w:rsidRDefault="00E836FB">
            <w:pPr>
              <w:rPr>
                <w:rFonts w:ascii="宋体"/>
                <w:vanish/>
              </w:rPr>
            </w:pPr>
          </w:p>
        </w:tc>
        <w:tc>
          <w:tcPr>
            <w:tcW w:w="0" w:type="auto"/>
            <w:shd w:val="clear" w:color="auto" w:fill="auto"/>
            <w:vAlign w:val="bottom"/>
          </w:tcPr>
          <w:p w14:paraId="5F2CAB10" w14:textId="77777777" w:rsidR="00E836FB" w:rsidRDefault="00E836FB">
            <w:pPr>
              <w:rPr>
                <w:rFonts w:ascii="宋体"/>
              </w:rPr>
            </w:pPr>
          </w:p>
        </w:tc>
        <w:tc>
          <w:tcPr>
            <w:tcW w:w="0" w:type="auto"/>
            <w:shd w:val="clear" w:color="auto" w:fill="auto"/>
            <w:vAlign w:val="bottom"/>
          </w:tcPr>
          <w:p w14:paraId="5F2CAB11" w14:textId="77777777" w:rsidR="00E836FB" w:rsidRDefault="00E836FB">
            <w:pPr>
              <w:rPr>
                <w:rFonts w:ascii="宋体"/>
              </w:rPr>
            </w:pPr>
          </w:p>
        </w:tc>
        <w:tc>
          <w:tcPr>
            <w:tcW w:w="0" w:type="auto"/>
            <w:shd w:val="clear" w:color="auto" w:fill="auto"/>
            <w:vAlign w:val="bottom"/>
          </w:tcPr>
          <w:p w14:paraId="5F2CAB12" w14:textId="77777777" w:rsidR="00E836FB" w:rsidRDefault="00E836FB">
            <w:pPr>
              <w:rPr>
                <w:rFonts w:ascii="宋体"/>
              </w:rPr>
            </w:pPr>
          </w:p>
        </w:tc>
        <w:tc>
          <w:tcPr>
            <w:tcW w:w="0" w:type="auto"/>
            <w:shd w:val="clear" w:color="auto" w:fill="auto"/>
            <w:vAlign w:val="bottom"/>
          </w:tcPr>
          <w:p w14:paraId="5F2CAB13" w14:textId="77777777" w:rsidR="00E836FB" w:rsidRDefault="00E836FB">
            <w:pPr>
              <w:rPr>
                <w:rFonts w:ascii="宋体"/>
              </w:rPr>
            </w:pPr>
          </w:p>
        </w:tc>
        <w:tc>
          <w:tcPr>
            <w:tcW w:w="0" w:type="auto"/>
            <w:shd w:val="clear" w:color="auto" w:fill="auto"/>
            <w:vAlign w:val="bottom"/>
          </w:tcPr>
          <w:p w14:paraId="5F2CAB14" w14:textId="77777777" w:rsidR="00E836FB" w:rsidRDefault="00E836FB">
            <w:pPr>
              <w:rPr>
                <w:rFonts w:ascii="宋体"/>
              </w:rPr>
            </w:pPr>
          </w:p>
        </w:tc>
        <w:tc>
          <w:tcPr>
            <w:tcW w:w="0" w:type="auto"/>
            <w:shd w:val="clear" w:color="auto" w:fill="auto"/>
            <w:vAlign w:val="bottom"/>
          </w:tcPr>
          <w:p w14:paraId="5F2CAB15" w14:textId="77777777" w:rsidR="00E836FB" w:rsidRDefault="00E836FB">
            <w:pPr>
              <w:rPr>
                <w:rFonts w:ascii="宋体"/>
              </w:rPr>
            </w:pPr>
          </w:p>
        </w:tc>
        <w:tc>
          <w:tcPr>
            <w:tcW w:w="0" w:type="auto"/>
            <w:shd w:val="clear" w:color="auto" w:fill="auto"/>
            <w:vAlign w:val="bottom"/>
          </w:tcPr>
          <w:p w14:paraId="5F2CAB16" w14:textId="77777777" w:rsidR="00E836FB" w:rsidRDefault="00E836FB">
            <w:pPr>
              <w:rPr>
                <w:rFonts w:ascii="宋体"/>
              </w:rPr>
            </w:pPr>
          </w:p>
        </w:tc>
        <w:tc>
          <w:tcPr>
            <w:tcW w:w="0" w:type="auto"/>
            <w:shd w:val="clear" w:color="auto" w:fill="auto"/>
            <w:vAlign w:val="bottom"/>
          </w:tcPr>
          <w:p w14:paraId="5F2CAB17" w14:textId="77777777" w:rsidR="00E836FB" w:rsidRDefault="00E836FB">
            <w:pPr>
              <w:rPr>
                <w:rFonts w:ascii="宋体"/>
              </w:rPr>
            </w:pPr>
          </w:p>
        </w:tc>
        <w:tc>
          <w:tcPr>
            <w:tcW w:w="0" w:type="auto"/>
            <w:shd w:val="clear" w:color="auto" w:fill="auto"/>
            <w:vAlign w:val="bottom"/>
          </w:tcPr>
          <w:p w14:paraId="5F2CAB18" w14:textId="77777777" w:rsidR="00E836FB" w:rsidRDefault="00E836FB">
            <w:pPr>
              <w:rPr>
                <w:rFonts w:ascii="宋体"/>
              </w:rPr>
            </w:pPr>
          </w:p>
        </w:tc>
        <w:tc>
          <w:tcPr>
            <w:tcW w:w="0" w:type="auto"/>
            <w:shd w:val="clear" w:color="auto" w:fill="auto"/>
            <w:vAlign w:val="bottom"/>
          </w:tcPr>
          <w:p w14:paraId="5F2CAB19" w14:textId="77777777" w:rsidR="00E836FB" w:rsidRDefault="00E836FB">
            <w:pPr>
              <w:rPr>
                <w:rFonts w:ascii="宋体"/>
              </w:rPr>
            </w:pPr>
          </w:p>
        </w:tc>
        <w:tc>
          <w:tcPr>
            <w:tcW w:w="0" w:type="auto"/>
            <w:shd w:val="clear" w:color="auto" w:fill="auto"/>
            <w:vAlign w:val="bottom"/>
          </w:tcPr>
          <w:p w14:paraId="5F2CAB1A" w14:textId="77777777" w:rsidR="00E836FB" w:rsidRDefault="00E836FB">
            <w:pPr>
              <w:rPr>
                <w:rFonts w:ascii="宋体"/>
              </w:rPr>
            </w:pPr>
          </w:p>
        </w:tc>
        <w:tc>
          <w:tcPr>
            <w:tcW w:w="0" w:type="auto"/>
            <w:shd w:val="clear" w:color="auto" w:fill="auto"/>
            <w:vAlign w:val="bottom"/>
          </w:tcPr>
          <w:p w14:paraId="5F2CAB1B" w14:textId="77777777" w:rsidR="00E836FB" w:rsidRDefault="00E836FB">
            <w:pPr>
              <w:rPr>
                <w:rFonts w:ascii="宋体"/>
              </w:rPr>
            </w:pPr>
          </w:p>
        </w:tc>
      </w:tr>
      <w:tr w:rsidR="00E836FB" w14:paraId="5F2CAB32" w14:textId="77777777">
        <w:tc>
          <w:tcPr>
            <w:tcW w:w="0" w:type="auto"/>
            <w:gridSpan w:val="3"/>
            <w:shd w:val="clear" w:color="auto" w:fill="CCEEFF"/>
            <w:tcMar>
              <w:top w:w="40" w:type="dxa"/>
              <w:left w:w="20" w:type="dxa"/>
              <w:bottom w:w="40" w:type="dxa"/>
              <w:right w:w="20" w:type="dxa"/>
            </w:tcMar>
            <w:vAlign w:val="bottom"/>
          </w:tcPr>
          <w:p w14:paraId="5F2CAB1D" w14:textId="77777777" w:rsidR="00E836FB" w:rsidRDefault="00994958">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5F2CAB1E" w14:textId="77777777" w:rsidR="00E836FB" w:rsidRDefault="00994958">
            <w:pPr>
              <w:jc w:val="right"/>
              <w:textAlignment w:val="bottom"/>
            </w:pPr>
            <w:r>
              <w:rPr>
                <w:rFonts w:ascii="Arial" w:eastAsia="宋体" w:hAnsi="Arial" w:cs="Arial"/>
                <w:b/>
                <w:bCs/>
                <w:color w:val="000000"/>
                <w:sz w:val="15"/>
                <w:szCs w:val="15"/>
              </w:rPr>
              <w:t>103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B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2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21" w14:textId="77777777" w:rsidR="00E836FB" w:rsidRDefault="00994958">
            <w:pPr>
              <w:jc w:val="right"/>
              <w:textAlignment w:val="bottom"/>
            </w:pPr>
            <w:r>
              <w:rPr>
                <w:rFonts w:ascii="Arial" w:eastAsia="宋体" w:hAnsi="Arial" w:cs="Arial"/>
                <w:color w:val="000000"/>
                <w:sz w:val="15"/>
                <w:szCs w:val="15"/>
              </w:rPr>
              <w:t>90 </w:t>
            </w:r>
          </w:p>
        </w:tc>
        <w:tc>
          <w:tcPr>
            <w:tcW w:w="0" w:type="auto"/>
            <w:shd w:val="clear" w:color="auto" w:fill="CCEEFF"/>
            <w:tcMar>
              <w:top w:w="40" w:type="dxa"/>
              <w:left w:w="0" w:type="dxa"/>
              <w:bottom w:w="40" w:type="dxa"/>
              <w:right w:w="20" w:type="dxa"/>
            </w:tcMar>
            <w:vAlign w:val="bottom"/>
          </w:tcPr>
          <w:p w14:paraId="5F2CAB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2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24" w14:textId="77777777" w:rsidR="00E836FB" w:rsidRDefault="00994958">
            <w:pPr>
              <w:jc w:val="right"/>
              <w:textAlignment w:val="bottom"/>
            </w:pPr>
            <w:r>
              <w:rPr>
                <w:rFonts w:ascii="Arial" w:eastAsia="宋体" w:hAnsi="Arial" w:cs="Arial"/>
                <w:color w:val="000000"/>
                <w:sz w:val="15"/>
                <w:szCs w:val="15"/>
              </w:rPr>
              <w:t>87 </w:t>
            </w:r>
          </w:p>
        </w:tc>
        <w:tc>
          <w:tcPr>
            <w:tcW w:w="0" w:type="auto"/>
            <w:shd w:val="clear" w:color="auto" w:fill="CCEEFF"/>
            <w:tcMar>
              <w:top w:w="40" w:type="dxa"/>
              <w:left w:w="0" w:type="dxa"/>
              <w:bottom w:w="40" w:type="dxa"/>
              <w:right w:w="20" w:type="dxa"/>
            </w:tcMar>
            <w:vAlign w:val="bottom"/>
          </w:tcPr>
          <w:p w14:paraId="5F2CAB2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26" w14:textId="77777777" w:rsidR="00E836FB" w:rsidRDefault="00E836FB">
            <w:pPr>
              <w:rPr>
                <w:rFonts w:ascii="宋体"/>
              </w:rPr>
            </w:pPr>
          </w:p>
        </w:tc>
        <w:tc>
          <w:tcPr>
            <w:tcW w:w="0" w:type="auto"/>
            <w:shd w:val="clear" w:color="auto" w:fill="auto"/>
            <w:vAlign w:val="bottom"/>
          </w:tcPr>
          <w:p w14:paraId="5F2CAB27" w14:textId="77777777" w:rsidR="00E836FB" w:rsidRDefault="00E836FB">
            <w:pPr>
              <w:rPr>
                <w:rFonts w:ascii="宋体"/>
                <w:vanish/>
              </w:rPr>
            </w:pPr>
          </w:p>
        </w:tc>
        <w:tc>
          <w:tcPr>
            <w:tcW w:w="0" w:type="auto"/>
            <w:shd w:val="clear" w:color="auto" w:fill="auto"/>
            <w:vAlign w:val="bottom"/>
          </w:tcPr>
          <w:p w14:paraId="5F2CAB28" w14:textId="77777777" w:rsidR="00E836FB" w:rsidRDefault="00E836FB">
            <w:pPr>
              <w:rPr>
                <w:rFonts w:ascii="宋体"/>
                <w:vanish/>
              </w:rPr>
            </w:pPr>
          </w:p>
        </w:tc>
        <w:tc>
          <w:tcPr>
            <w:tcW w:w="0" w:type="auto"/>
            <w:shd w:val="clear" w:color="auto" w:fill="auto"/>
            <w:vAlign w:val="bottom"/>
          </w:tcPr>
          <w:p w14:paraId="5F2CAB29" w14:textId="77777777" w:rsidR="00E836FB" w:rsidRDefault="00E836FB">
            <w:pPr>
              <w:rPr>
                <w:rFonts w:ascii="宋体"/>
                <w:vanish/>
              </w:rPr>
            </w:pPr>
          </w:p>
        </w:tc>
        <w:tc>
          <w:tcPr>
            <w:tcW w:w="0" w:type="auto"/>
            <w:shd w:val="clear" w:color="auto" w:fill="auto"/>
            <w:vAlign w:val="bottom"/>
          </w:tcPr>
          <w:p w14:paraId="5F2CAB2A"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B2B" w14:textId="77777777" w:rsidR="00E836FB" w:rsidRDefault="00994958">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5F2CAB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2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2E"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F2CAB2F" w14:textId="77777777" w:rsidR="00E836FB" w:rsidRDefault="00E836FB">
            <w:pPr>
              <w:jc w:val="right"/>
              <w:rPr>
                <w:rFonts w:ascii="宋体"/>
              </w:rPr>
            </w:pPr>
          </w:p>
        </w:tc>
        <w:tc>
          <w:tcPr>
            <w:tcW w:w="0" w:type="auto"/>
            <w:gridSpan w:val="3"/>
            <w:shd w:val="clear" w:color="auto" w:fill="auto"/>
            <w:vAlign w:val="bottom"/>
          </w:tcPr>
          <w:p w14:paraId="5F2CAB30" w14:textId="77777777" w:rsidR="00E836FB" w:rsidRDefault="00E836FB">
            <w:pPr>
              <w:rPr>
                <w:rFonts w:ascii="宋体"/>
                <w:vanish/>
              </w:rPr>
            </w:pPr>
          </w:p>
        </w:tc>
        <w:tc>
          <w:tcPr>
            <w:tcW w:w="0" w:type="auto"/>
            <w:gridSpan w:val="3"/>
            <w:shd w:val="clear" w:color="auto" w:fill="auto"/>
            <w:vAlign w:val="bottom"/>
          </w:tcPr>
          <w:p w14:paraId="5F2CAB31" w14:textId="77777777" w:rsidR="00E836FB" w:rsidRDefault="00E836FB">
            <w:pPr>
              <w:rPr>
                <w:rFonts w:ascii="宋体"/>
                <w:vanish/>
              </w:rPr>
            </w:pPr>
          </w:p>
        </w:tc>
      </w:tr>
      <w:tr w:rsidR="00E836FB" w14:paraId="5F2CAB48" w14:textId="77777777">
        <w:tc>
          <w:tcPr>
            <w:tcW w:w="0" w:type="auto"/>
            <w:gridSpan w:val="3"/>
            <w:shd w:val="clear" w:color="auto" w:fill="FFFFFF"/>
            <w:tcMar>
              <w:top w:w="40" w:type="dxa"/>
              <w:left w:w="20" w:type="dxa"/>
              <w:bottom w:w="40" w:type="dxa"/>
              <w:right w:w="20" w:type="dxa"/>
            </w:tcMar>
            <w:vAlign w:val="bottom"/>
          </w:tcPr>
          <w:p w14:paraId="5F2CAB33" w14:textId="77777777" w:rsidR="00E836FB" w:rsidRDefault="00994958">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5F2CAB34" w14:textId="77777777" w:rsidR="00E836FB" w:rsidRDefault="00994958">
            <w:pPr>
              <w:jc w:val="right"/>
              <w:textAlignment w:val="bottom"/>
            </w:pPr>
            <w:r>
              <w:rPr>
                <w:rFonts w:ascii="Arial" w:eastAsia="宋体" w:hAnsi="Arial" w:cs="Arial"/>
                <w:b/>
                <w:bCs/>
                <w:color w:val="000000"/>
                <w:sz w:val="15"/>
                <w:szCs w:val="15"/>
              </w:rPr>
              <w:t>520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B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37" w14:textId="77777777" w:rsidR="00E836FB" w:rsidRDefault="00994958">
            <w:pPr>
              <w:jc w:val="right"/>
              <w:textAlignment w:val="bottom"/>
            </w:pPr>
            <w:r>
              <w:rPr>
                <w:rFonts w:ascii="Arial" w:eastAsia="宋体" w:hAnsi="Arial" w:cs="Arial"/>
                <w:color w:val="000000"/>
                <w:sz w:val="15"/>
                <w:szCs w:val="15"/>
              </w:rPr>
              <w:t>459 </w:t>
            </w:r>
          </w:p>
        </w:tc>
        <w:tc>
          <w:tcPr>
            <w:tcW w:w="0" w:type="auto"/>
            <w:shd w:val="clear" w:color="auto" w:fill="FFFFFF"/>
            <w:tcMar>
              <w:top w:w="40" w:type="dxa"/>
              <w:left w:w="0" w:type="dxa"/>
              <w:bottom w:w="40" w:type="dxa"/>
              <w:right w:w="20" w:type="dxa"/>
            </w:tcMar>
            <w:vAlign w:val="bottom"/>
          </w:tcPr>
          <w:p w14:paraId="5F2CAB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3A" w14:textId="77777777" w:rsidR="00E836FB" w:rsidRDefault="00994958">
            <w:pPr>
              <w:jc w:val="right"/>
              <w:textAlignment w:val="bottom"/>
            </w:pPr>
            <w:r>
              <w:rPr>
                <w:rFonts w:ascii="Arial" w:eastAsia="宋体" w:hAnsi="Arial" w:cs="Arial"/>
                <w:color w:val="000000"/>
                <w:sz w:val="15"/>
                <w:szCs w:val="15"/>
              </w:rPr>
              <w:t>392 </w:t>
            </w:r>
          </w:p>
        </w:tc>
        <w:tc>
          <w:tcPr>
            <w:tcW w:w="0" w:type="auto"/>
            <w:shd w:val="clear" w:color="auto" w:fill="FFFFFF"/>
            <w:tcMar>
              <w:top w:w="40" w:type="dxa"/>
              <w:left w:w="0" w:type="dxa"/>
              <w:bottom w:w="40" w:type="dxa"/>
              <w:right w:w="20" w:type="dxa"/>
            </w:tcMar>
            <w:vAlign w:val="bottom"/>
          </w:tcPr>
          <w:p w14:paraId="5F2CAB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3C" w14:textId="77777777" w:rsidR="00E836FB" w:rsidRDefault="00E836FB">
            <w:pPr>
              <w:rPr>
                <w:rFonts w:ascii="宋体"/>
              </w:rPr>
            </w:pPr>
          </w:p>
        </w:tc>
        <w:tc>
          <w:tcPr>
            <w:tcW w:w="0" w:type="auto"/>
            <w:shd w:val="clear" w:color="auto" w:fill="auto"/>
            <w:vAlign w:val="bottom"/>
          </w:tcPr>
          <w:p w14:paraId="5F2CAB3D" w14:textId="77777777" w:rsidR="00E836FB" w:rsidRDefault="00E836FB">
            <w:pPr>
              <w:rPr>
                <w:rFonts w:ascii="宋体"/>
                <w:vanish/>
              </w:rPr>
            </w:pPr>
          </w:p>
        </w:tc>
        <w:tc>
          <w:tcPr>
            <w:tcW w:w="0" w:type="auto"/>
            <w:shd w:val="clear" w:color="auto" w:fill="auto"/>
            <w:vAlign w:val="bottom"/>
          </w:tcPr>
          <w:p w14:paraId="5F2CAB3E" w14:textId="77777777" w:rsidR="00E836FB" w:rsidRDefault="00E836FB">
            <w:pPr>
              <w:rPr>
                <w:rFonts w:ascii="宋体"/>
                <w:vanish/>
              </w:rPr>
            </w:pPr>
          </w:p>
        </w:tc>
        <w:tc>
          <w:tcPr>
            <w:tcW w:w="0" w:type="auto"/>
            <w:shd w:val="clear" w:color="auto" w:fill="auto"/>
            <w:vAlign w:val="bottom"/>
          </w:tcPr>
          <w:p w14:paraId="5F2CAB3F" w14:textId="77777777" w:rsidR="00E836FB" w:rsidRDefault="00E836FB">
            <w:pPr>
              <w:rPr>
                <w:rFonts w:ascii="宋体"/>
                <w:vanish/>
              </w:rPr>
            </w:pPr>
          </w:p>
        </w:tc>
        <w:tc>
          <w:tcPr>
            <w:tcW w:w="0" w:type="auto"/>
            <w:shd w:val="clear" w:color="auto" w:fill="auto"/>
            <w:vAlign w:val="bottom"/>
          </w:tcPr>
          <w:p w14:paraId="5F2CAB40"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B41" w14:textId="77777777" w:rsidR="00E836FB" w:rsidRDefault="00994958">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5F2CAB4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4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44" w14:textId="77777777" w:rsidR="00E836FB" w:rsidRDefault="00994958">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5F2CAB45" w14:textId="77777777" w:rsidR="00E836FB" w:rsidRDefault="00E836FB">
            <w:pPr>
              <w:jc w:val="right"/>
              <w:rPr>
                <w:rFonts w:ascii="宋体"/>
              </w:rPr>
            </w:pPr>
          </w:p>
        </w:tc>
        <w:tc>
          <w:tcPr>
            <w:tcW w:w="0" w:type="auto"/>
            <w:gridSpan w:val="3"/>
            <w:shd w:val="clear" w:color="auto" w:fill="auto"/>
            <w:vAlign w:val="bottom"/>
          </w:tcPr>
          <w:p w14:paraId="5F2CAB46" w14:textId="77777777" w:rsidR="00E836FB" w:rsidRDefault="00E836FB">
            <w:pPr>
              <w:rPr>
                <w:rFonts w:ascii="宋体"/>
                <w:vanish/>
              </w:rPr>
            </w:pPr>
          </w:p>
        </w:tc>
        <w:tc>
          <w:tcPr>
            <w:tcW w:w="0" w:type="auto"/>
            <w:gridSpan w:val="3"/>
            <w:shd w:val="clear" w:color="auto" w:fill="auto"/>
            <w:vAlign w:val="bottom"/>
          </w:tcPr>
          <w:p w14:paraId="5F2CAB47" w14:textId="77777777" w:rsidR="00E836FB" w:rsidRDefault="00E836FB">
            <w:pPr>
              <w:rPr>
                <w:rFonts w:ascii="宋体"/>
                <w:vanish/>
              </w:rPr>
            </w:pPr>
          </w:p>
        </w:tc>
      </w:tr>
      <w:tr w:rsidR="00E836FB" w14:paraId="5F2CAB5E" w14:textId="77777777">
        <w:tc>
          <w:tcPr>
            <w:tcW w:w="0" w:type="auto"/>
            <w:gridSpan w:val="3"/>
            <w:shd w:val="clear" w:color="auto" w:fill="CCEEFF"/>
            <w:tcMar>
              <w:top w:w="40" w:type="dxa"/>
              <w:left w:w="20" w:type="dxa"/>
              <w:bottom w:w="40" w:type="dxa"/>
              <w:right w:w="20" w:type="dxa"/>
            </w:tcMar>
            <w:vAlign w:val="bottom"/>
          </w:tcPr>
          <w:p w14:paraId="5F2CAB49" w14:textId="77777777" w:rsidR="00E836FB" w:rsidRDefault="00994958">
            <w:pPr>
              <w:textAlignment w:val="bottom"/>
            </w:pPr>
            <w:r>
              <w:rPr>
                <w:rFonts w:ascii="Arial" w:eastAsia="宋体" w:hAnsi="Arial" w:cs="Arial"/>
                <w:color w:val="000000"/>
                <w:sz w:val="15"/>
                <w:szCs w:val="15"/>
              </w:rPr>
              <w:t>Total fixed-income</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B4A" w14:textId="77777777" w:rsidR="00E836FB" w:rsidRDefault="00994958">
            <w:pPr>
              <w:jc w:val="right"/>
              <w:textAlignment w:val="bottom"/>
            </w:pPr>
            <w:r>
              <w:rPr>
                <w:rFonts w:ascii="Arial" w:eastAsia="宋体" w:hAnsi="Arial" w:cs="Arial"/>
                <w:b/>
                <w:bCs/>
                <w:color w:val="000000"/>
                <w:sz w:val="15"/>
                <w:szCs w:val="15"/>
              </w:rPr>
              <w:t>623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B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4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B4D" w14:textId="77777777" w:rsidR="00E836FB" w:rsidRDefault="00994958">
            <w:pPr>
              <w:jc w:val="right"/>
              <w:textAlignment w:val="bottom"/>
            </w:pPr>
            <w:r>
              <w:rPr>
                <w:rFonts w:ascii="Arial" w:eastAsia="宋体" w:hAnsi="Arial" w:cs="Arial"/>
                <w:color w:val="000000"/>
                <w:sz w:val="15"/>
                <w:szCs w:val="15"/>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B4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4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B50" w14:textId="77777777" w:rsidR="00E836FB" w:rsidRDefault="00994958">
            <w:pPr>
              <w:jc w:val="right"/>
              <w:textAlignment w:val="bottom"/>
            </w:pPr>
            <w:r>
              <w:rPr>
                <w:rFonts w:ascii="Arial" w:eastAsia="宋体" w:hAnsi="Arial" w:cs="Arial"/>
                <w:color w:val="000000"/>
                <w:sz w:val="15"/>
                <w:szCs w:val="15"/>
              </w:rPr>
              <w:t>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B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52" w14:textId="77777777" w:rsidR="00E836FB" w:rsidRDefault="00E836FB">
            <w:pPr>
              <w:rPr>
                <w:rFonts w:ascii="宋体"/>
              </w:rPr>
            </w:pPr>
          </w:p>
        </w:tc>
        <w:tc>
          <w:tcPr>
            <w:tcW w:w="0" w:type="auto"/>
            <w:shd w:val="clear" w:color="auto" w:fill="auto"/>
            <w:vAlign w:val="bottom"/>
          </w:tcPr>
          <w:p w14:paraId="5F2CAB53" w14:textId="77777777" w:rsidR="00E836FB" w:rsidRDefault="00E836FB">
            <w:pPr>
              <w:rPr>
                <w:rFonts w:ascii="宋体"/>
                <w:vanish/>
              </w:rPr>
            </w:pPr>
          </w:p>
        </w:tc>
        <w:tc>
          <w:tcPr>
            <w:tcW w:w="0" w:type="auto"/>
            <w:shd w:val="clear" w:color="auto" w:fill="auto"/>
            <w:vAlign w:val="bottom"/>
          </w:tcPr>
          <w:p w14:paraId="5F2CAB54" w14:textId="77777777" w:rsidR="00E836FB" w:rsidRDefault="00E836FB">
            <w:pPr>
              <w:rPr>
                <w:rFonts w:ascii="宋体"/>
                <w:vanish/>
              </w:rPr>
            </w:pPr>
          </w:p>
        </w:tc>
        <w:tc>
          <w:tcPr>
            <w:tcW w:w="0" w:type="auto"/>
            <w:shd w:val="clear" w:color="auto" w:fill="auto"/>
            <w:vAlign w:val="bottom"/>
          </w:tcPr>
          <w:p w14:paraId="5F2CAB55" w14:textId="77777777" w:rsidR="00E836FB" w:rsidRDefault="00E836FB">
            <w:pPr>
              <w:rPr>
                <w:rFonts w:ascii="宋体"/>
                <w:vanish/>
              </w:rPr>
            </w:pPr>
          </w:p>
        </w:tc>
        <w:tc>
          <w:tcPr>
            <w:tcW w:w="0" w:type="auto"/>
            <w:shd w:val="clear" w:color="auto" w:fill="auto"/>
            <w:vAlign w:val="bottom"/>
          </w:tcPr>
          <w:p w14:paraId="5F2CAB56"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B57" w14:textId="77777777" w:rsidR="00E836FB" w:rsidRDefault="00994958">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5F2CAB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5A" w14:textId="77777777" w:rsidR="00E836FB" w:rsidRDefault="00994958">
            <w:pPr>
              <w:jc w:val="right"/>
              <w:textAlignment w:val="bottom"/>
            </w:pPr>
            <w:r>
              <w:rPr>
                <w:rFonts w:ascii="Arial" w:eastAsia="宋体" w:hAnsi="Arial" w:cs="Arial"/>
                <w:color w:val="000000"/>
                <w:sz w:val="15"/>
                <w:szCs w:val="15"/>
              </w:rPr>
              <w:t>15 </w:t>
            </w:r>
          </w:p>
        </w:tc>
        <w:tc>
          <w:tcPr>
            <w:tcW w:w="0" w:type="auto"/>
            <w:shd w:val="clear" w:color="auto" w:fill="CCEEFF"/>
            <w:tcMar>
              <w:top w:w="40" w:type="dxa"/>
              <w:left w:w="0" w:type="dxa"/>
              <w:bottom w:w="40" w:type="dxa"/>
              <w:right w:w="20" w:type="dxa"/>
            </w:tcMar>
            <w:vAlign w:val="bottom"/>
          </w:tcPr>
          <w:p w14:paraId="5F2CAB5B" w14:textId="77777777" w:rsidR="00E836FB" w:rsidRDefault="00E836FB">
            <w:pPr>
              <w:jc w:val="right"/>
              <w:rPr>
                <w:rFonts w:ascii="宋体"/>
              </w:rPr>
            </w:pPr>
          </w:p>
        </w:tc>
        <w:tc>
          <w:tcPr>
            <w:tcW w:w="0" w:type="auto"/>
            <w:gridSpan w:val="3"/>
            <w:shd w:val="clear" w:color="auto" w:fill="auto"/>
            <w:vAlign w:val="bottom"/>
          </w:tcPr>
          <w:p w14:paraId="5F2CAB5C" w14:textId="77777777" w:rsidR="00E836FB" w:rsidRDefault="00E836FB">
            <w:pPr>
              <w:rPr>
                <w:rFonts w:ascii="宋体"/>
                <w:vanish/>
              </w:rPr>
            </w:pPr>
          </w:p>
        </w:tc>
        <w:tc>
          <w:tcPr>
            <w:tcW w:w="0" w:type="auto"/>
            <w:gridSpan w:val="3"/>
            <w:shd w:val="clear" w:color="auto" w:fill="auto"/>
            <w:vAlign w:val="bottom"/>
          </w:tcPr>
          <w:p w14:paraId="5F2CAB5D" w14:textId="77777777" w:rsidR="00E836FB" w:rsidRDefault="00E836FB">
            <w:pPr>
              <w:rPr>
                <w:rFonts w:ascii="宋体"/>
                <w:vanish/>
              </w:rPr>
            </w:pPr>
          </w:p>
        </w:tc>
      </w:tr>
      <w:tr w:rsidR="00E836FB" w14:paraId="5F2CAB74" w14:textId="77777777">
        <w:tc>
          <w:tcPr>
            <w:tcW w:w="0" w:type="auto"/>
            <w:gridSpan w:val="3"/>
            <w:shd w:val="clear" w:color="auto" w:fill="FFFFFF"/>
            <w:tcMar>
              <w:top w:w="40" w:type="dxa"/>
              <w:left w:w="20" w:type="dxa"/>
              <w:bottom w:w="40" w:type="dxa"/>
              <w:right w:w="20" w:type="dxa"/>
            </w:tcMar>
            <w:vAlign w:val="bottom"/>
          </w:tcPr>
          <w:p w14:paraId="5F2CAB5F" w14:textId="77777777" w:rsidR="00E836FB" w:rsidRDefault="00994958">
            <w:pPr>
              <w:textAlignment w:val="bottom"/>
            </w:pPr>
            <w:r>
              <w:rPr>
                <w:rFonts w:ascii="Arial" w:eastAsia="宋体" w:hAnsi="Arial" w:cs="Arial"/>
                <w:color w:val="000000"/>
                <w:sz w:val="15"/>
                <w:szCs w:val="15"/>
              </w:rPr>
              <w:t>Cash</w:t>
            </w:r>
            <w:r>
              <w:rPr>
                <w:rFonts w:ascii="Arial" w:eastAsia="宋体" w:hAnsi="Arial" w:cs="Arial"/>
                <w:color w:val="000000"/>
                <w:sz w:val="9"/>
                <w:szCs w:val="9"/>
              </w:rPr>
              <w:t>(1)(2)</w:t>
            </w:r>
          </w:p>
        </w:tc>
        <w:tc>
          <w:tcPr>
            <w:tcW w:w="0" w:type="auto"/>
            <w:gridSpan w:val="2"/>
            <w:shd w:val="clear" w:color="auto" w:fill="FFFFFF"/>
            <w:tcMar>
              <w:top w:w="40" w:type="dxa"/>
              <w:left w:w="20" w:type="dxa"/>
              <w:bottom w:w="40" w:type="dxa"/>
              <w:right w:w="0" w:type="dxa"/>
            </w:tcMar>
            <w:vAlign w:val="bottom"/>
          </w:tcPr>
          <w:p w14:paraId="5F2CAB60" w14:textId="77777777" w:rsidR="00E836FB" w:rsidRDefault="00994958">
            <w:pPr>
              <w:jc w:val="right"/>
              <w:textAlignment w:val="bottom"/>
            </w:pPr>
            <w:r>
              <w:rPr>
                <w:rFonts w:ascii="Arial" w:eastAsia="宋体" w:hAnsi="Arial" w:cs="Arial"/>
                <w:b/>
                <w:bCs/>
                <w:color w:val="000000"/>
                <w:sz w:val="15"/>
                <w:szCs w:val="15"/>
              </w:rPr>
              <w:t>368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B6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6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63" w14:textId="77777777" w:rsidR="00E836FB" w:rsidRDefault="00994958">
            <w:pPr>
              <w:jc w:val="right"/>
              <w:textAlignment w:val="bottom"/>
            </w:pPr>
            <w:r>
              <w:rPr>
                <w:rFonts w:ascii="Arial" w:eastAsia="宋体" w:hAnsi="Arial" w:cs="Arial"/>
                <w:color w:val="000000"/>
                <w:sz w:val="15"/>
                <w:szCs w:val="15"/>
              </w:rPr>
              <w:t>349 </w:t>
            </w:r>
          </w:p>
        </w:tc>
        <w:tc>
          <w:tcPr>
            <w:tcW w:w="0" w:type="auto"/>
            <w:shd w:val="clear" w:color="auto" w:fill="FFFFFF"/>
            <w:tcMar>
              <w:top w:w="40" w:type="dxa"/>
              <w:left w:w="0" w:type="dxa"/>
              <w:bottom w:w="40" w:type="dxa"/>
              <w:right w:w="20" w:type="dxa"/>
            </w:tcMar>
            <w:vAlign w:val="bottom"/>
          </w:tcPr>
          <w:p w14:paraId="5F2CAB6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6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66" w14:textId="77777777" w:rsidR="00E836FB" w:rsidRDefault="00994958">
            <w:pPr>
              <w:jc w:val="right"/>
              <w:textAlignment w:val="bottom"/>
            </w:pPr>
            <w:r>
              <w:rPr>
                <w:rFonts w:ascii="Arial" w:eastAsia="宋体" w:hAnsi="Arial" w:cs="Arial"/>
                <w:color w:val="000000"/>
                <w:sz w:val="15"/>
                <w:szCs w:val="15"/>
              </w:rPr>
              <w:t>317 </w:t>
            </w:r>
          </w:p>
        </w:tc>
        <w:tc>
          <w:tcPr>
            <w:tcW w:w="0" w:type="auto"/>
            <w:shd w:val="clear" w:color="auto" w:fill="FFFFFF"/>
            <w:tcMar>
              <w:top w:w="40" w:type="dxa"/>
              <w:left w:w="0" w:type="dxa"/>
              <w:bottom w:w="40" w:type="dxa"/>
              <w:right w:w="20" w:type="dxa"/>
            </w:tcMar>
            <w:vAlign w:val="bottom"/>
          </w:tcPr>
          <w:p w14:paraId="5F2CAB6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68" w14:textId="77777777" w:rsidR="00E836FB" w:rsidRDefault="00E836FB">
            <w:pPr>
              <w:rPr>
                <w:rFonts w:ascii="宋体"/>
              </w:rPr>
            </w:pPr>
          </w:p>
        </w:tc>
        <w:tc>
          <w:tcPr>
            <w:tcW w:w="0" w:type="auto"/>
            <w:shd w:val="clear" w:color="auto" w:fill="auto"/>
            <w:vAlign w:val="bottom"/>
          </w:tcPr>
          <w:p w14:paraId="5F2CAB69" w14:textId="77777777" w:rsidR="00E836FB" w:rsidRDefault="00E836FB">
            <w:pPr>
              <w:rPr>
                <w:rFonts w:ascii="宋体"/>
                <w:vanish/>
              </w:rPr>
            </w:pPr>
          </w:p>
        </w:tc>
        <w:tc>
          <w:tcPr>
            <w:tcW w:w="0" w:type="auto"/>
            <w:shd w:val="clear" w:color="auto" w:fill="auto"/>
            <w:vAlign w:val="bottom"/>
          </w:tcPr>
          <w:p w14:paraId="5F2CAB6A" w14:textId="77777777" w:rsidR="00E836FB" w:rsidRDefault="00E836FB">
            <w:pPr>
              <w:rPr>
                <w:rFonts w:ascii="宋体"/>
                <w:vanish/>
              </w:rPr>
            </w:pPr>
          </w:p>
        </w:tc>
        <w:tc>
          <w:tcPr>
            <w:tcW w:w="0" w:type="auto"/>
            <w:shd w:val="clear" w:color="auto" w:fill="auto"/>
            <w:vAlign w:val="bottom"/>
          </w:tcPr>
          <w:p w14:paraId="5F2CAB6B" w14:textId="77777777" w:rsidR="00E836FB" w:rsidRDefault="00E836FB">
            <w:pPr>
              <w:rPr>
                <w:rFonts w:ascii="宋体"/>
                <w:vanish/>
              </w:rPr>
            </w:pPr>
          </w:p>
        </w:tc>
        <w:tc>
          <w:tcPr>
            <w:tcW w:w="0" w:type="auto"/>
            <w:shd w:val="clear" w:color="auto" w:fill="auto"/>
            <w:vAlign w:val="bottom"/>
          </w:tcPr>
          <w:p w14:paraId="5F2CAB6C"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B6D" w14:textId="77777777" w:rsidR="00E836FB" w:rsidRDefault="00994958">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5F2CAB6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6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70" w14:textId="77777777" w:rsidR="00E836FB" w:rsidRDefault="00994958">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5F2CAB71" w14:textId="77777777" w:rsidR="00E836FB" w:rsidRDefault="00E836FB">
            <w:pPr>
              <w:jc w:val="right"/>
              <w:rPr>
                <w:rFonts w:ascii="宋体"/>
              </w:rPr>
            </w:pPr>
          </w:p>
        </w:tc>
        <w:tc>
          <w:tcPr>
            <w:tcW w:w="0" w:type="auto"/>
            <w:gridSpan w:val="3"/>
            <w:shd w:val="clear" w:color="auto" w:fill="auto"/>
            <w:vAlign w:val="bottom"/>
          </w:tcPr>
          <w:p w14:paraId="5F2CAB72" w14:textId="77777777" w:rsidR="00E836FB" w:rsidRDefault="00E836FB">
            <w:pPr>
              <w:rPr>
                <w:rFonts w:ascii="宋体"/>
                <w:vanish/>
              </w:rPr>
            </w:pPr>
          </w:p>
        </w:tc>
        <w:tc>
          <w:tcPr>
            <w:tcW w:w="0" w:type="auto"/>
            <w:gridSpan w:val="3"/>
            <w:shd w:val="clear" w:color="auto" w:fill="auto"/>
            <w:vAlign w:val="bottom"/>
          </w:tcPr>
          <w:p w14:paraId="5F2CAB73" w14:textId="77777777" w:rsidR="00E836FB" w:rsidRDefault="00E836FB">
            <w:pPr>
              <w:rPr>
                <w:rFonts w:ascii="宋体"/>
                <w:vanish/>
              </w:rPr>
            </w:pPr>
          </w:p>
        </w:tc>
      </w:tr>
      <w:tr w:rsidR="00E836FB" w14:paraId="5F2CAB84" w14:textId="77777777">
        <w:tc>
          <w:tcPr>
            <w:tcW w:w="0" w:type="auto"/>
            <w:gridSpan w:val="24"/>
            <w:shd w:val="clear" w:color="auto" w:fill="CCEEFF"/>
            <w:tcMar>
              <w:top w:w="40" w:type="dxa"/>
              <w:left w:w="20" w:type="dxa"/>
              <w:bottom w:w="40" w:type="dxa"/>
              <w:right w:w="20" w:type="dxa"/>
            </w:tcMar>
            <w:vAlign w:val="bottom"/>
          </w:tcPr>
          <w:p w14:paraId="5F2CAB75" w14:textId="77777777" w:rsidR="00E836FB" w:rsidRDefault="00994958">
            <w:pPr>
              <w:textAlignment w:val="bottom"/>
            </w:pPr>
            <w:r>
              <w:rPr>
                <w:rFonts w:ascii="Arial" w:eastAsia="宋体" w:hAnsi="Arial" w:cs="Arial"/>
                <w:color w:val="000000"/>
                <w:sz w:val="15"/>
                <w:szCs w:val="15"/>
              </w:rPr>
              <w:t>Multi-asset-class solutions:</w:t>
            </w:r>
          </w:p>
        </w:tc>
        <w:tc>
          <w:tcPr>
            <w:tcW w:w="0" w:type="auto"/>
            <w:shd w:val="clear" w:color="auto" w:fill="auto"/>
            <w:vAlign w:val="bottom"/>
          </w:tcPr>
          <w:p w14:paraId="5F2CAB76" w14:textId="77777777" w:rsidR="00E836FB" w:rsidRDefault="00E836FB">
            <w:pPr>
              <w:rPr>
                <w:rFonts w:ascii="宋体"/>
                <w:vanish/>
              </w:rPr>
            </w:pPr>
          </w:p>
        </w:tc>
        <w:tc>
          <w:tcPr>
            <w:tcW w:w="0" w:type="auto"/>
            <w:gridSpan w:val="3"/>
            <w:shd w:val="clear" w:color="auto" w:fill="auto"/>
            <w:vAlign w:val="bottom"/>
          </w:tcPr>
          <w:p w14:paraId="5F2CAB77" w14:textId="77777777" w:rsidR="00E836FB" w:rsidRDefault="00E836FB">
            <w:pPr>
              <w:rPr>
                <w:rFonts w:ascii="宋体"/>
                <w:vanish/>
              </w:rPr>
            </w:pPr>
          </w:p>
        </w:tc>
        <w:tc>
          <w:tcPr>
            <w:tcW w:w="0" w:type="auto"/>
            <w:shd w:val="clear" w:color="auto" w:fill="auto"/>
            <w:vAlign w:val="bottom"/>
          </w:tcPr>
          <w:p w14:paraId="5F2CAB78" w14:textId="77777777" w:rsidR="00E836FB" w:rsidRDefault="00E836FB">
            <w:pPr>
              <w:rPr>
                <w:rFonts w:ascii="宋体"/>
              </w:rPr>
            </w:pPr>
          </w:p>
        </w:tc>
        <w:tc>
          <w:tcPr>
            <w:tcW w:w="0" w:type="auto"/>
            <w:shd w:val="clear" w:color="auto" w:fill="auto"/>
            <w:vAlign w:val="bottom"/>
          </w:tcPr>
          <w:p w14:paraId="5F2CAB79" w14:textId="77777777" w:rsidR="00E836FB" w:rsidRDefault="00E836FB">
            <w:pPr>
              <w:rPr>
                <w:rFonts w:ascii="宋体"/>
              </w:rPr>
            </w:pPr>
          </w:p>
        </w:tc>
        <w:tc>
          <w:tcPr>
            <w:tcW w:w="0" w:type="auto"/>
            <w:shd w:val="clear" w:color="auto" w:fill="auto"/>
            <w:vAlign w:val="bottom"/>
          </w:tcPr>
          <w:p w14:paraId="5F2CAB7A" w14:textId="77777777" w:rsidR="00E836FB" w:rsidRDefault="00E836FB">
            <w:pPr>
              <w:rPr>
                <w:rFonts w:ascii="宋体"/>
              </w:rPr>
            </w:pPr>
          </w:p>
        </w:tc>
        <w:tc>
          <w:tcPr>
            <w:tcW w:w="0" w:type="auto"/>
            <w:shd w:val="clear" w:color="auto" w:fill="auto"/>
            <w:vAlign w:val="bottom"/>
          </w:tcPr>
          <w:p w14:paraId="5F2CAB7B" w14:textId="77777777" w:rsidR="00E836FB" w:rsidRDefault="00E836FB">
            <w:pPr>
              <w:rPr>
                <w:rFonts w:ascii="宋体"/>
              </w:rPr>
            </w:pPr>
          </w:p>
        </w:tc>
        <w:tc>
          <w:tcPr>
            <w:tcW w:w="0" w:type="auto"/>
            <w:shd w:val="clear" w:color="auto" w:fill="auto"/>
            <w:vAlign w:val="bottom"/>
          </w:tcPr>
          <w:p w14:paraId="5F2CAB7C" w14:textId="77777777" w:rsidR="00E836FB" w:rsidRDefault="00E836FB">
            <w:pPr>
              <w:rPr>
                <w:rFonts w:ascii="宋体"/>
              </w:rPr>
            </w:pPr>
          </w:p>
        </w:tc>
        <w:tc>
          <w:tcPr>
            <w:tcW w:w="0" w:type="auto"/>
            <w:shd w:val="clear" w:color="auto" w:fill="auto"/>
            <w:vAlign w:val="bottom"/>
          </w:tcPr>
          <w:p w14:paraId="5F2CAB7D" w14:textId="77777777" w:rsidR="00E836FB" w:rsidRDefault="00E836FB">
            <w:pPr>
              <w:rPr>
                <w:rFonts w:ascii="宋体"/>
              </w:rPr>
            </w:pPr>
          </w:p>
        </w:tc>
        <w:tc>
          <w:tcPr>
            <w:tcW w:w="0" w:type="auto"/>
            <w:shd w:val="clear" w:color="auto" w:fill="auto"/>
            <w:vAlign w:val="bottom"/>
          </w:tcPr>
          <w:p w14:paraId="5F2CAB7E" w14:textId="77777777" w:rsidR="00E836FB" w:rsidRDefault="00E836FB">
            <w:pPr>
              <w:rPr>
                <w:rFonts w:ascii="宋体"/>
              </w:rPr>
            </w:pPr>
          </w:p>
        </w:tc>
        <w:tc>
          <w:tcPr>
            <w:tcW w:w="0" w:type="auto"/>
            <w:shd w:val="clear" w:color="auto" w:fill="auto"/>
            <w:vAlign w:val="bottom"/>
          </w:tcPr>
          <w:p w14:paraId="5F2CAB7F" w14:textId="77777777" w:rsidR="00E836FB" w:rsidRDefault="00E836FB">
            <w:pPr>
              <w:rPr>
                <w:rFonts w:ascii="宋体"/>
              </w:rPr>
            </w:pPr>
          </w:p>
        </w:tc>
        <w:tc>
          <w:tcPr>
            <w:tcW w:w="0" w:type="auto"/>
            <w:shd w:val="clear" w:color="auto" w:fill="auto"/>
            <w:vAlign w:val="bottom"/>
          </w:tcPr>
          <w:p w14:paraId="5F2CAB80" w14:textId="77777777" w:rsidR="00E836FB" w:rsidRDefault="00E836FB">
            <w:pPr>
              <w:rPr>
                <w:rFonts w:ascii="宋体"/>
              </w:rPr>
            </w:pPr>
          </w:p>
        </w:tc>
        <w:tc>
          <w:tcPr>
            <w:tcW w:w="0" w:type="auto"/>
            <w:shd w:val="clear" w:color="auto" w:fill="auto"/>
            <w:vAlign w:val="bottom"/>
          </w:tcPr>
          <w:p w14:paraId="5F2CAB81" w14:textId="77777777" w:rsidR="00E836FB" w:rsidRDefault="00E836FB">
            <w:pPr>
              <w:rPr>
                <w:rFonts w:ascii="宋体"/>
              </w:rPr>
            </w:pPr>
          </w:p>
        </w:tc>
        <w:tc>
          <w:tcPr>
            <w:tcW w:w="0" w:type="auto"/>
            <w:shd w:val="clear" w:color="auto" w:fill="auto"/>
            <w:vAlign w:val="bottom"/>
          </w:tcPr>
          <w:p w14:paraId="5F2CAB82" w14:textId="77777777" w:rsidR="00E836FB" w:rsidRDefault="00E836FB">
            <w:pPr>
              <w:rPr>
                <w:rFonts w:ascii="宋体"/>
              </w:rPr>
            </w:pPr>
          </w:p>
        </w:tc>
        <w:tc>
          <w:tcPr>
            <w:tcW w:w="0" w:type="auto"/>
            <w:shd w:val="clear" w:color="auto" w:fill="auto"/>
            <w:vAlign w:val="bottom"/>
          </w:tcPr>
          <w:p w14:paraId="5F2CAB83" w14:textId="77777777" w:rsidR="00E836FB" w:rsidRDefault="00E836FB">
            <w:pPr>
              <w:rPr>
                <w:rFonts w:ascii="宋体"/>
              </w:rPr>
            </w:pPr>
          </w:p>
        </w:tc>
      </w:tr>
      <w:tr w:rsidR="00E836FB" w14:paraId="5F2CAB9A" w14:textId="77777777">
        <w:tc>
          <w:tcPr>
            <w:tcW w:w="0" w:type="auto"/>
            <w:gridSpan w:val="3"/>
            <w:shd w:val="clear" w:color="auto" w:fill="FFFFFF"/>
            <w:tcMar>
              <w:top w:w="40" w:type="dxa"/>
              <w:left w:w="20" w:type="dxa"/>
              <w:bottom w:w="40" w:type="dxa"/>
              <w:right w:w="20" w:type="dxa"/>
            </w:tcMar>
            <w:vAlign w:val="bottom"/>
          </w:tcPr>
          <w:p w14:paraId="5F2CAB85" w14:textId="77777777" w:rsidR="00E836FB" w:rsidRDefault="00994958">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5F2CAB86" w14:textId="77777777" w:rsidR="00E836FB" w:rsidRDefault="00994958">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B8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8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89" w14:textId="77777777" w:rsidR="00E836FB" w:rsidRDefault="00994958">
            <w:pPr>
              <w:jc w:val="right"/>
              <w:textAlignment w:val="bottom"/>
            </w:pPr>
            <w:r>
              <w:rPr>
                <w:rFonts w:ascii="Arial" w:eastAsia="宋体" w:hAnsi="Arial" w:cs="Arial"/>
                <w:color w:val="000000"/>
                <w:sz w:val="15"/>
                <w:szCs w:val="15"/>
              </w:rPr>
              <w:t>40 </w:t>
            </w:r>
          </w:p>
        </w:tc>
        <w:tc>
          <w:tcPr>
            <w:tcW w:w="0" w:type="auto"/>
            <w:shd w:val="clear" w:color="auto" w:fill="FFFFFF"/>
            <w:tcMar>
              <w:top w:w="40" w:type="dxa"/>
              <w:left w:w="0" w:type="dxa"/>
              <w:bottom w:w="40" w:type="dxa"/>
              <w:right w:w="20" w:type="dxa"/>
            </w:tcMar>
            <w:vAlign w:val="bottom"/>
          </w:tcPr>
          <w:p w14:paraId="5F2CAB8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8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8C" w14:textId="77777777" w:rsidR="00E836FB" w:rsidRDefault="00994958">
            <w:pPr>
              <w:jc w:val="right"/>
              <w:textAlignment w:val="bottom"/>
            </w:pPr>
            <w:r>
              <w:rPr>
                <w:rFonts w:ascii="Arial" w:eastAsia="宋体" w:hAnsi="Arial" w:cs="Arial"/>
                <w:color w:val="000000"/>
                <w:sz w:val="15"/>
                <w:szCs w:val="15"/>
              </w:rPr>
              <w:t>41 </w:t>
            </w:r>
          </w:p>
        </w:tc>
        <w:tc>
          <w:tcPr>
            <w:tcW w:w="0" w:type="auto"/>
            <w:shd w:val="clear" w:color="auto" w:fill="FFFFFF"/>
            <w:tcMar>
              <w:top w:w="40" w:type="dxa"/>
              <w:left w:w="0" w:type="dxa"/>
              <w:bottom w:w="40" w:type="dxa"/>
              <w:right w:w="20" w:type="dxa"/>
            </w:tcMar>
            <w:vAlign w:val="bottom"/>
          </w:tcPr>
          <w:p w14:paraId="5F2CAB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8E" w14:textId="77777777" w:rsidR="00E836FB" w:rsidRDefault="00E836FB">
            <w:pPr>
              <w:rPr>
                <w:rFonts w:ascii="宋体"/>
              </w:rPr>
            </w:pPr>
          </w:p>
        </w:tc>
        <w:tc>
          <w:tcPr>
            <w:tcW w:w="0" w:type="auto"/>
            <w:shd w:val="clear" w:color="auto" w:fill="auto"/>
            <w:vAlign w:val="bottom"/>
          </w:tcPr>
          <w:p w14:paraId="5F2CAB8F" w14:textId="77777777" w:rsidR="00E836FB" w:rsidRDefault="00E836FB">
            <w:pPr>
              <w:rPr>
                <w:rFonts w:ascii="宋体"/>
                <w:vanish/>
              </w:rPr>
            </w:pPr>
          </w:p>
        </w:tc>
        <w:tc>
          <w:tcPr>
            <w:tcW w:w="0" w:type="auto"/>
            <w:shd w:val="clear" w:color="auto" w:fill="auto"/>
            <w:vAlign w:val="bottom"/>
          </w:tcPr>
          <w:p w14:paraId="5F2CAB90" w14:textId="77777777" w:rsidR="00E836FB" w:rsidRDefault="00E836FB">
            <w:pPr>
              <w:rPr>
                <w:rFonts w:ascii="宋体"/>
                <w:vanish/>
              </w:rPr>
            </w:pPr>
          </w:p>
        </w:tc>
        <w:tc>
          <w:tcPr>
            <w:tcW w:w="0" w:type="auto"/>
            <w:shd w:val="clear" w:color="auto" w:fill="auto"/>
            <w:vAlign w:val="bottom"/>
          </w:tcPr>
          <w:p w14:paraId="5F2CAB91" w14:textId="77777777" w:rsidR="00E836FB" w:rsidRDefault="00E836FB">
            <w:pPr>
              <w:rPr>
                <w:rFonts w:ascii="宋体"/>
                <w:vanish/>
              </w:rPr>
            </w:pPr>
          </w:p>
        </w:tc>
        <w:tc>
          <w:tcPr>
            <w:tcW w:w="0" w:type="auto"/>
            <w:shd w:val="clear" w:color="auto" w:fill="auto"/>
            <w:vAlign w:val="bottom"/>
          </w:tcPr>
          <w:p w14:paraId="5F2CAB92"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B93" w14:textId="77777777" w:rsidR="00E836FB" w:rsidRDefault="00994958">
            <w:pPr>
              <w:jc w:val="right"/>
              <w:textAlignment w:val="bottom"/>
            </w:pPr>
            <w:r>
              <w:rPr>
                <w:rFonts w:ascii="Arial" w:eastAsia="宋体" w:hAnsi="Arial" w:cs="Arial"/>
                <w:color w:val="000000"/>
                <w:sz w:val="15"/>
                <w:szCs w:val="15"/>
              </w:rPr>
              <w:t>(15)</w:t>
            </w:r>
          </w:p>
        </w:tc>
        <w:tc>
          <w:tcPr>
            <w:tcW w:w="0" w:type="auto"/>
            <w:shd w:val="clear" w:color="auto" w:fill="FFFFFF"/>
            <w:tcMar>
              <w:top w:w="40" w:type="dxa"/>
              <w:left w:w="0" w:type="dxa"/>
              <w:bottom w:w="40" w:type="dxa"/>
              <w:right w:w="20" w:type="dxa"/>
            </w:tcMar>
            <w:vAlign w:val="bottom"/>
          </w:tcPr>
          <w:p w14:paraId="5F2CAB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9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96" w14:textId="77777777" w:rsidR="00E836FB" w:rsidRDefault="00994958">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5F2CAB97" w14:textId="77777777" w:rsidR="00E836FB" w:rsidRDefault="00E836FB">
            <w:pPr>
              <w:jc w:val="right"/>
              <w:rPr>
                <w:rFonts w:ascii="宋体"/>
              </w:rPr>
            </w:pPr>
          </w:p>
        </w:tc>
        <w:tc>
          <w:tcPr>
            <w:tcW w:w="0" w:type="auto"/>
            <w:gridSpan w:val="3"/>
            <w:shd w:val="clear" w:color="auto" w:fill="auto"/>
            <w:vAlign w:val="bottom"/>
          </w:tcPr>
          <w:p w14:paraId="5F2CAB98" w14:textId="77777777" w:rsidR="00E836FB" w:rsidRDefault="00E836FB">
            <w:pPr>
              <w:rPr>
                <w:rFonts w:ascii="宋体"/>
                <w:vanish/>
              </w:rPr>
            </w:pPr>
          </w:p>
        </w:tc>
        <w:tc>
          <w:tcPr>
            <w:tcW w:w="0" w:type="auto"/>
            <w:gridSpan w:val="3"/>
            <w:shd w:val="clear" w:color="auto" w:fill="auto"/>
            <w:vAlign w:val="bottom"/>
          </w:tcPr>
          <w:p w14:paraId="5F2CAB99" w14:textId="77777777" w:rsidR="00E836FB" w:rsidRDefault="00E836FB">
            <w:pPr>
              <w:rPr>
                <w:rFonts w:ascii="宋体"/>
                <w:vanish/>
              </w:rPr>
            </w:pPr>
          </w:p>
        </w:tc>
      </w:tr>
      <w:tr w:rsidR="00E836FB" w14:paraId="5F2CABB0" w14:textId="77777777">
        <w:tc>
          <w:tcPr>
            <w:tcW w:w="0" w:type="auto"/>
            <w:gridSpan w:val="3"/>
            <w:shd w:val="clear" w:color="auto" w:fill="CCEEFF"/>
            <w:tcMar>
              <w:top w:w="40" w:type="dxa"/>
              <w:left w:w="20" w:type="dxa"/>
              <w:bottom w:w="40" w:type="dxa"/>
              <w:right w:w="20" w:type="dxa"/>
            </w:tcMar>
            <w:vAlign w:val="bottom"/>
          </w:tcPr>
          <w:p w14:paraId="5F2CAB9B" w14:textId="77777777" w:rsidR="00E836FB" w:rsidRDefault="00994958">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5F2CAB9C" w14:textId="77777777" w:rsidR="00E836FB" w:rsidRDefault="00994958">
            <w:pPr>
              <w:jc w:val="right"/>
              <w:textAlignment w:val="bottom"/>
            </w:pPr>
            <w:r>
              <w:rPr>
                <w:rFonts w:ascii="Arial" w:eastAsia="宋体" w:hAnsi="Arial" w:cs="Arial"/>
                <w:b/>
                <w:bCs/>
                <w:color w:val="000000"/>
                <w:sz w:val="15"/>
                <w:szCs w:val="15"/>
              </w:rPr>
              <w:t>188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B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9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9F" w14:textId="77777777" w:rsidR="00E836FB" w:rsidRDefault="00994958">
            <w:pPr>
              <w:jc w:val="right"/>
              <w:textAlignment w:val="bottom"/>
            </w:pPr>
            <w:r>
              <w:rPr>
                <w:rFonts w:ascii="Arial" w:eastAsia="宋体" w:hAnsi="Arial" w:cs="Arial"/>
                <w:color w:val="000000"/>
                <w:sz w:val="15"/>
                <w:szCs w:val="15"/>
              </w:rPr>
              <w:t>146 </w:t>
            </w:r>
          </w:p>
        </w:tc>
        <w:tc>
          <w:tcPr>
            <w:tcW w:w="0" w:type="auto"/>
            <w:shd w:val="clear" w:color="auto" w:fill="CCEEFF"/>
            <w:tcMar>
              <w:top w:w="40" w:type="dxa"/>
              <w:left w:w="0" w:type="dxa"/>
              <w:bottom w:w="40" w:type="dxa"/>
              <w:right w:w="20" w:type="dxa"/>
            </w:tcMar>
            <w:vAlign w:val="bottom"/>
          </w:tcPr>
          <w:p w14:paraId="5F2CAB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A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A2" w14:textId="77777777" w:rsidR="00E836FB" w:rsidRDefault="00994958">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5F2CAB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A4" w14:textId="77777777" w:rsidR="00E836FB" w:rsidRDefault="00E836FB">
            <w:pPr>
              <w:rPr>
                <w:rFonts w:ascii="宋体"/>
              </w:rPr>
            </w:pPr>
          </w:p>
        </w:tc>
        <w:tc>
          <w:tcPr>
            <w:tcW w:w="0" w:type="auto"/>
            <w:shd w:val="clear" w:color="auto" w:fill="auto"/>
            <w:vAlign w:val="bottom"/>
          </w:tcPr>
          <w:p w14:paraId="5F2CABA5" w14:textId="77777777" w:rsidR="00E836FB" w:rsidRDefault="00E836FB">
            <w:pPr>
              <w:rPr>
                <w:rFonts w:ascii="宋体"/>
                <w:vanish/>
              </w:rPr>
            </w:pPr>
          </w:p>
        </w:tc>
        <w:tc>
          <w:tcPr>
            <w:tcW w:w="0" w:type="auto"/>
            <w:shd w:val="clear" w:color="auto" w:fill="auto"/>
            <w:vAlign w:val="bottom"/>
          </w:tcPr>
          <w:p w14:paraId="5F2CABA6" w14:textId="77777777" w:rsidR="00E836FB" w:rsidRDefault="00E836FB">
            <w:pPr>
              <w:rPr>
                <w:rFonts w:ascii="宋体"/>
                <w:vanish/>
              </w:rPr>
            </w:pPr>
          </w:p>
        </w:tc>
        <w:tc>
          <w:tcPr>
            <w:tcW w:w="0" w:type="auto"/>
            <w:shd w:val="clear" w:color="auto" w:fill="auto"/>
            <w:vAlign w:val="bottom"/>
          </w:tcPr>
          <w:p w14:paraId="5F2CABA7" w14:textId="77777777" w:rsidR="00E836FB" w:rsidRDefault="00E836FB">
            <w:pPr>
              <w:rPr>
                <w:rFonts w:ascii="宋体"/>
                <w:vanish/>
              </w:rPr>
            </w:pPr>
          </w:p>
        </w:tc>
        <w:tc>
          <w:tcPr>
            <w:tcW w:w="0" w:type="auto"/>
            <w:shd w:val="clear" w:color="auto" w:fill="auto"/>
            <w:vAlign w:val="bottom"/>
          </w:tcPr>
          <w:p w14:paraId="5F2CABA8"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BA9" w14:textId="77777777" w:rsidR="00E836FB" w:rsidRDefault="00994958">
            <w:pPr>
              <w:jc w:val="right"/>
              <w:textAlignment w:val="bottom"/>
            </w:pPr>
            <w:r>
              <w:rPr>
                <w:rFonts w:ascii="Arial" w:eastAsia="宋体" w:hAnsi="Arial" w:cs="Arial"/>
                <w:color w:val="000000"/>
                <w:sz w:val="15"/>
                <w:szCs w:val="15"/>
              </w:rPr>
              <w:t>29 </w:t>
            </w:r>
          </w:p>
        </w:tc>
        <w:tc>
          <w:tcPr>
            <w:tcW w:w="0" w:type="auto"/>
            <w:shd w:val="clear" w:color="auto" w:fill="CCEEFF"/>
            <w:tcMar>
              <w:top w:w="40" w:type="dxa"/>
              <w:left w:w="0" w:type="dxa"/>
              <w:bottom w:w="40" w:type="dxa"/>
              <w:right w:w="20" w:type="dxa"/>
            </w:tcMar>
            <w:vAlign w:val="bottom"/>
          </w:tcPr>
          <w:p w14:paraId="5F2CAB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A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AC" w14:textId="77777777" w:rsidR="00E836FB" w:rsidRDefault="00994958">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5F2CABAD" w14:textId="77777777" w:rsidR="00E836FB" w:rsidRDefault="00E836FB">
            <w:pPr>
              <w:jc w:val="right"/>
              <w:rPr>
                <w:rFonts w:ascii="宋体"/>
              </w:rPr>
            </w:pPr>
          </w:p>
        </w:tc>
        <w:tc>
          <w:tcPr>
            <w:tcW w:w="0" w:type="auto"/>
            <w:gridSpan w:val="3"/>
            <w:shd w:val="clear" w:color="auto" w:fill="auto"/>
            <w:vAlign w:val="bottom"/>
          </w:tcPr>
          <w:p w14:paraId="5F2CABAE" w14:textId="77777777" w:rsidR="00E836FB" w:rsidRDefault="00E836FB">
            <w:pPr>
              <w:rPr>
                <w:rFonts w:ascii="宋体"/>
                <w:vanish/>
              </w:rPr>
            </w:pPr>
          </w:p>
        </w:tc>
        <w:tc>
          <w:tcPr>
            <w:tcW w:w="0" w:type="auto"/>
            <w:gridSpan w:val="3"/>
            <w:shd w:val="clear" w:color="auto" w:fill="auto"/>
            <w:vAlign w:val="bottom"/>
          </w:tcPr>
          <w:p w14:paraId="5F2CABAF" w14:textId="77777777" w:rsidR="00E836FB" w:rsidRDefault="00E836FB">
            <w:pPr>
              <w:rPr>
                <w:rFonts w:ascii="宋体"/>
                <w:vanish/>
              </w:rPr>
            </w:pPr>
          </w:p>
        </w:tc>
      </w:tr>
      <w:tr w:rsidR="00E836FB" w14:paraId="5F2CABC6" w14:textId="77777777">
        <w:tc>
          <w:tcPr>
            <w:tcW w:w="0" w:type="auto"/>
            <w:gridSpan w:val="3"/>
            <w:shd w:val="clear" w:color="auto" w:fill="FFFFFF"/>
            <w:tcMar>
              <w:top w:w="40" w:type="dxa"/>
              <w:left w:w="20" w:type="dxa"/>
              <w:bottom w:w="40" w:type="dxa"/>
              <w:right w:w="20" w:type="dxa"/>
            </w:tcMar>
            <w:vAlign w:val="bottom"/>
          </w:tcPr>
          <w:p w14:paraId="5F2CABB1" w14:textId="77777777" w:rsidR="00E836FB" w:rsidRDefault="00994958">
            <w:pPr>
              <w:textAlignment w:val="bottom"/>
            </w:pPr>
            <w:r>
              <w:rPr>
                <w:rFonts w:ascii="Arial" w:eastAsia="宋体" w:hAnsi="Arial" w:cs="Arial"/>
                <w:color w:val="000000"/>
                <w:sz w:val="15"/>
                <w:szCs w:val="15"/>
              </w:rPr>
              <w:t>Total multi-asset-class solutions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BB2" w14:textId="77777777" w:rsidR="00E836FB" w:rsidRDefault="00994958">
            <w:pPr>
              <w:jc w:val="right"/>
              <w:textAlignment w:val="bottom"/>
            </w:pPr>
            <w:r>
              <w:rPr>
                <w:rFonts w:ascii="Arial" w:eastAsia="宋体" w:hAnsi="Arial" w:cs="Arial"/>
                <w:b/>
                <w:bCs/>
                <w:color w:val="000000"/>
                <w:sz w:val="15"/>
                <w:szCs w:val="15"/>
              </w:rPr>
              <w:t>222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B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B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BB5" w14:textId="77777777" w:rsidR="00E836FB" w:rsidRDefault="00994958">
            <w:pPr>
              <w:jc w:val="right"/>
              <w:textAlignment w:val="bottom"/>
            </w:pPr>
            <w:r>
              <w:rPr>
                <w:rFonts w:ascii="Arial" w:eastAsia="宋体" w:hAnsi="Arial" w:cs="Arial"/>
                <w:color w:val="000000"/>
                <w:sz w:val="15"/>
                <w:szCs w:val="15"/>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B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B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BB8" w14:textId="77777777" w:rsidR="00E836FB" w:rsidRDefault="00994958">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B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BA" w14:textId="77777777" w:rsidR="00E836FB" w:rsidRDefault="00E836FB">
            <w:pPr>
              <w:rPr>
                <w:rFonts w:ascii="宋体"/>
              </w:rPr>
            </w:pPr>
          </w:p>
        </w:tc>
        <w:tc>
          <w:tcPr>
            <w:tcW w:w="0" w:type="auto"/>
            <w:shd w:val="clear" w:color="auto" w:fill="auto"/>
            <w:vAlign w:val="bottom"/>
          </w:tcPr>
          <w:p w14:paraId="5F2CABBB" w14:textId="77777777" w:rsidR="00E836FB" w:rsidRDefault="00E836FB">
            <w:pPr>
              <w:rPr>
                <w:rFonts w:ascii="宋体"/>
                <w:vanish/>
              </w:rPr>
            </w:pPr>
          </w:p>
        </w:tc>
        <w:tc>
          <w:tcPr>
            <w:tcW w:w="0" w:type="auto"/>
            <w:shd w:val="clear" w:color="auto" w:fill="auto"/>
            <w:vAlign w:val="bottom"/>
          </w:tcPr>
          <w:p w14:paraId="5F2CABBC" w14:textId="77777777" w:rsidR="00E836FB" w:rsidRDefault="00E836FB">
            <w:pPr>
              <w:rPr>
                <w:rFonts w:ascii="宋体"/>
                <w:vanish/>
              </w:rPr>
            </w:pPr>
          </w:p>
        </w:tc>
        <w:tc>
          <w:tcPr>
            <w:tcW w:w="0" w:type="auto"/>
            <w:shd w:val="clear" w:color="auto" w:fill="auto"/>
            <w:vAlign w:val="bottom"/>
          </w:tcPr>
          <w:p w14:paraId="5F2CABBD" w14:textId="77777777" w:rsidR="00E836FB" w:rsidRDefault="00E836FB">
            <w:pPr>
              <w:rPr>
                <w:rFonts w:ascii="宋体"/>
                <w:vanish/>
              </w:rPr>
            </w:pPr>
          </w:p>
        </w:tc>
        <w:tc>
          <w:tcPr>
            <w:tcW w:w="0" w:type="auto"/>
            <w:shd w:val="clear" w:color="auto" w:fill="auto"/>
            <w:vAlign w:val="bottom"/>
          </w:tcPr>
          <w:p w14:paraId="5F2CABBE"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BBF" w14:textId="77777777" w:rsidR="00E836FB" w:rsidRDefault="00994958">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5F2CABC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C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C2" w14:textId="77777777" w:rsidR="00E836FB" w:rsidRDefault="00994958">
            <w:pPr>
              <w:jc w:val="right"/>
              <w:textAlignment w:val="bottom"/>
            </w:pPr>
            <w:r>
              <w:rPr>
                <w:rFonts w:ascii="Arial" w:eastAsia="宋体" w:hAnsi="Arial" w:cs="Arial"/>
                <w:color w:val="000000"/>
                <w:sz w:val="15"/>
                <w:szCs w:val="15"/>
              </w:rPr>
              <w:t>18 </w:t>
            </w:r>
          </w:p>
        </w:tc>
        <w:tc>
          <w:tcPr>
            <w:tcW w:w="0" w:type="auto"/>
            <w:shd w:val="clear" w:color="auto" w:fill="FFFFFF"/>
            <w:tcMar>
              <w:top w:w="40" w:type="dxa"/>
              <w:left w:w="0" w:type="dxa"/>
              <w:bottom w:w="40" w:type="dxa"/>
              <w:right w:w="20" w:type="dxa"/>
            </w:tcMar>
            <w:vAlign w:val="bottom"/>
          </w:tcPr>
          <w:p w14:paraId="5F2CABC3" w14:textId="77777777" w:rsidR="00E836FB" w:rsidRDefault="00E836FB">
            <w:pPr>
              <w:jc w:val="right"/>
              <w:rPr>
                <w:rFonts w:ascii="宋体"/>
              </w:rPr>
            </w:pPr>
          </w:p>
        </w:tc>
        <w:tc>
          <w:tcPr>
            <w:tcW w:w="0" w:type="auto"/>
            <w:gridSpan w:val="3"/>
            <w:shd w:val="clear" w:color="auto" w:fill="auto"/>
            <w:vAlign w:val="bottom"/>
          </w:tcPr>
          <w:p w14:paraId="5F2CABC4" w14:textId="77777777" w:rsidR="00E836FB" w:rsidRDefault="00E836FB">
            <w:pPr>
              <w:rPr>
                <w:rFonts w:ascii="宋体"/>
                <w:vanish/>
              </w:rPr>
            </w:pPr>
          </w:p>
        </w:tc>
        <w:tc>
          <w:tcPr>
            <w:tcW w:w="0" w:type="auto"/>
            <w:gridSpan w:val="3"/>
            <w:shd w:val="clear" w:color="auto" w:fill="auto"/>
            <w:vAlign w:val="bottom"/>
          </w:tcPr>
          <w:p w14:paraId="5F2CABC5" w14:textId="77777777" w:rsidR="00E836FB" w:rsidRDefault="00E836FB">
            <w:pPr>
              <w:rPr>
                <w:rFonts w:ascii="宋体"/>
                <w:vanish/>
              </w:rPr>
            </w:pPr>
          </w:p>
        </w:tc>
      </w:tr>
      <w:tr w:rsidR="00E836FB" w14:paraId="5F2CABD6" w14:textId="77777777">
        <w:tc>
          <w:tcPr>
            <w:tcW w:w="0" w:type="auto"/>
            <w:gridSpan w:val="24"/>
            <w:shd w:val="clear" w:color="auto" w:fill="CCEEFF"/>
            <w:tcMar>
              <w:top w:w="40" w:type="dxa"/>
              <w:left w:w="20" w:type="dxa"/>
              <w:bottom w:w="40" w:type="dxa"/>
              <w:right w:w="20" w:type="dxa"/>
            </w:tcMar>
            <w:vAlign w:val="bottom"/>
          </w:tcPr>
          <w:p w14:paraId="5F2CABC7" w14:textId="77777777" w:rsidR="00E836FB" w:rsidRDefault="00994958">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(3)</w:t>
            </w:r>
            <w:r>
              <w:rPr>
                <w:rFonts w:ascii="Arial" w:eastAsia="宋体" w:hAnsi="Arial" w:cs="Arial"/>
                <w:color w:val="000000"/>
                <w:sz w:val="15"/>
                <w:szCs w:val="15"/>
              </w:rPr>
              <w:t>:</w:t>
            </w:r>
          </w:p>
        </w:tc>
        <w:tc>
          <w:tcPr>
            <w:tcW w:w="0" w:type="auto"/>
            <w:shd w:val="clear" w:color="auto" w:fill="auto"/>
            <w:vAlign w:val="bottom"/>
          </w:tcPr>
          <w:p w14:paraId="5F2CABC8" w14:textId="77777777" w:rsidR="00E836FB" w:rsidRDefault="00E836FB">
            <w:pPr>
              <w:rPr>
                <w:rFonts w:ascii="宋体"/>
                <w:vanish/>
              </w:rPr>
            </w:pPr>
          </w:p>
        </w:tc>
        <w:tc>
          <w:tcPr>
            <w:tcW w:w="0" w:type="auto"/>
            <w:gridSpan w:val="3"/>
            <w:shd w:val="clear" w:color="auto" w:fill="auto"/>
            <w:vAlign w:val="bottom"/>
          </w:tcPr>
          <w:p w14:paraId="5F2CABC9" w14:textId="77777777" w:rsidR="00E836FB" w:rsidRDefault="00E836FB">
            <w:pPr>
              <w:rPr>
                <w:rFonts w:ascii="宋体"/>
                <w:vanish/>
              </w:rPr>
            </w:pPr>
          </w:p>
        </w:tc>
        <w:tc>
          <w:tcPr>
            <w:tcW w:w="0" w:type="auto"/>
            <w:shd w:val="clear" w:color="auto" w:fill="auto"/>
            <w:vAlign w:val="bottom"/>
          </w:tcPr>
          <w:p w14:paraId="5F2CABCA" w14:textId="77777777" w:rsidR="00E836FB" w:rsidRDefault="00E836FB">
            <w:pPr>
              <w:rPr>
                <w:rFonts w:ascii="宋体"/>
              </w:rPr>
            </w:pPr>
          </w:p>
        </w:tc>
        <w:tc>
          <w:tcPr>
            <w:tcW w:w="0" w:type="auto"/>
            <w:shd w:val="clear" w:color="auto" w:fill="auto"/>
            <w:vAlign w:val="bottom"/>
          </w:tcPr>
          <w:p w14:paraId="5F2CABCB" w14:textId="77777777" w:rsidR="00E836FB" w:rsidRDefault="00E836FB">
            <w:pPr>
              <w:rPr>
                <w:rFonts w:ascii="宋体"/>
              </w:rPr>
            </w:pPr>
          </w:p>
        </w:tc>
        <w:tc>
          <w:tcPr>
            <w:tcW w:w="0" w:type="auto"/>
            <w:shd w:val="clear" w:color="auto" w:fill="auto"/>
            <w:vAlign w:val="bottom"/>
          </w:tcPr>
          <w:p w14:paraId="5F2CABCC" w14:textId="77777777" w:rsidR="00E836FB" w:rsidRDefault="00E836FB">
            <w:pPr>
              <w:rPr>
                <w:rFonts w:ascii="宋体"/>
              </w:rPr>
            </w:pPr>
          </w:p>
        </w:tc>
        <w:tc>
          <w:tcPr>
            <w:tcW w:w="0" w:type="auto"/>
            <w:shd w:val="clear" w:color="auto" w:fill="auto"/>
            <w:vAlign w:val="bottom"/>
          </w:tcPr>
          <w:p w14:paraId="5F2CABCD" w14:textId="77777777" w:rsidR="00E836FB" w:rsidRDefault="00E836FB">
            <w:pPr>
              <w:rPr>
                <w:rFonts w:ascii="宋体"/>
              </w:rPr>
            </w:pPr>
          </w:p>
        </w:tc>
        <w:tc>
          <w:tcPr>
            <w:tcW w:w="0" w:type="auto"/>
            <w:shd w:val="clear" w:color="auto" w:fill="auto"/>
            <w:vAlign w:val="bottom"/>
          </w:tcPr>
          <w:p w14:paraId="5F2CABCE" w14:textId="77777777" w:rsidR="00E836FB" w:rsidRDefault="00E836FB">
            <w:pPr>
              <w:rPr>
                <w:rFonts w:ascii="宋体"/>
              </w:rPr>
            </w:pPr>
          </w:p>
        </w:tc>
        <w:tc>
          <w:tcPr>
            <w:tcW w:w="0" w:type="auto"/>
            <w:shd w:val="clear" w:color="auto" w:fill="auto"/>
            <w:vAlign w:val="bottom"/>
          </w:tcPr>
          <w:p w14:paraId="5F2CABCF" w14:textId="77777777" w:rsidR="00E836FB" w:rsidRDefault="00E836FB">
            <w:pPr>
              <w:rPr>
                <w:rFonts w:ascii="宋体"/>
              </w:rPr>
            </w:pPr>
          </w:p>
        </w:tc>
        <w:tc>
          <w:tcPr>
            <w:tcW w:w="0" w:type="auto"/>
            <w:shd w:val="clear" w:color="auto" w:fill="auto"/>
            <w:vAlign w:val="bottom"/>
          </w:tcPr>
          <w:p w14:paraId="5F2CABD0" w14:textId="77777777" w:rsidR="00E836FB" w:rsidRDefault="00E836FB">
            <w:pPr>
              <w:rPr>
                <w:rFonts w:ascii="宋体"/>
              </w:rPr>
            </w:pPr>
          </w:p>
        </w:tc>
        <w:tc>
          <w:tcPr>
            <w:tcW w:w="0" w:type="auto"/>
            <w:shd w:val="clear" w:color="auto" w:fill="auto"/>
            <w:vAlign w:val="bottom"/>
          </w:tcPr>
          <w:p w14:paraId="5F2CABD1" w14:textId="77777777" w:rsidR="00E836FB" w:rsidRDefault="00E836FB">
            <w:pPr>
              <w:rPr>
                <w:rFonts w:ascii="宋体"/>
              </w:rPr>
            </w:pPr>
          </w:p>
        </w:tc>
        <w:tc>
          <w:tcPr>
            <w:tcW w:w="0" w:type="auto"/>
            <w:shd w:val="clear" w:color="auto" w:fill="auto"/>
            <w:vAlign w:val="bottom"/>
          </w:tcPr>
          <w:p w14:paraId="5F2CABD2" w14:textId="77777777" w:rsidR="00E836FB" w:rsidRDefault="00E836FB">
            <w:pPr>
              <w:rPr>
                <w:rFonts w:ascii="宋体"/>
              </w:rPr>
            </w:pPr>
          </w:p>
        </w:tc>
        <w:tc>
          <w:tcPr>
            <w:tcW w:w="0" w:type="auto"/>
            <w:shd w:val="clear" w:color="auto" w:fill="auto"/>
            <w:vAlign w:val="bottom"/>
          </w:tcPr>
          <w:p w14:paraId="5F2CABD3" w14:textId="77777777" w:rsidR="00E836FB" w:rsidRDefault="00E836FB">
            <w:pPr>
              <w:rPr>
                <w:rFonts w:ascii="宋体"/>
              </w:rPr>
            </w:pPr>
          </w:p>
        </w:tc>
        <w:tc>
          <w:tcPr>
            <w:tcW w:w="0" w:type="auto"/>
            <w:shd w:val="clear" w:color="auto" w:fill="auto"/>
            <w:vAlign w:val="bottom"/>
          </w:tcPr>
          <w:p w14:paraId="5F2CABD4" w14:textId="77777777" w:rsidR="00E836FB" w:rsidRDefault="00E836FB">
            <w:pPr>
              <w:rPr>
                <w:rFonts w:ascii="宋体"/>
              </w:rPr>
            </w:pPr>
          </w:p>
        </w:tc>
        <w:tc>
          <w:tcPr>
            <w:tcW w:w="0" w:type="auto"/>
            <w:shd w:val="clear" w:color="auto" w:fill="auto"/>
            <w:vAlign w:val="bottom"/>
          </w:tcPr>
          <w:p w14:paraId="5F2CABD5" w14:textId="77777777" w:rsidR="00E836FB" w:rsidRDefault="00E836FB">
            <w:pPr>
              <w:rPr>
                <w:rFonts w:ascii="宋体"/>
              </w:rPr>
            </w:pPr>
          </w:p>
        </w:tc>
      </w:tr>
      <w:tr w:rsidR="00E836FB" w14:paraId="5F2CABEC" w14:textId="77777777">
        <w:tc>
          <w:tcPr>
            <w:tcW w:w="0" w:type="auto"/>
            <w:gridSpan w:val="3"/>
            <w:shd w:val="clear" w:color="auto" w:fill="FFFFFF"/>
            <w:tcMar>
              <w:top w:w="40" w:type="dxa"/>
              <w:left w:w="20" w:type="dxa"/>
              <w:bottom w:w="40" w:type="dxa"/>
              <w:right w:w="20" w:type="dxa"/>
            </w:tcMar>
            <w:vAlign w:val="bottom"/>
          </w:tcPr>
          <w:p w14:paraId="5F2CABD7" w14:textId="77777777" w:rsidR="00E836FB" w:rsidRDefault="00994958">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5F2CABD8" w14:textId="77777777" w:rsidR="00E836FB" w:rsidRDefault="00994958">
            <w:pPr>
              <w:jc w:val="right"/>
              <w:textAlignment w:val="bottom"/>
            </w:pPr>
            <w:r>
              <w:rPr>
                <w:rFonts w:ascii="Arial" w:eastAsia="宋体" w:hAnsi="Arial" w:cs="Arial"/>
                <w:b/>
                <w:bCs/>
                <w:color w:val="000000"/>
                <w:sz w:val="15"/>
                <w:szCs w:val="15"/>
              </w:rPr>
              <w:t>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B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D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DB" w14:textId="77777777" w:rsidR="00E836FB" w:rsidRDefault="00994958">
            <w:pPr>
              <w:jc w:val="right"/>
              <w:textAlignment w:val="bottom"/>
            </w:pPr>
            <w:r>
              <w:rPr>
                <w:rFonts w:ascii="Arial" w:eastAsia="宋体" w:hAnsi="Arial" w:cs="Arial"/>
                <w:color w:val="000000"/>
                <w:sz w:val="15"/>
                <w:szCs w:val="15"/>
              </w:rPr>
              <w:t>39 </w:t>
            </w:r>
          </w:p>
        </w:tc>
        <w:tc>
          <w:tcPr>
            <w:tcW w:w="0" w:type="auto"/>
            <w:shd w:val="clear" w:color="auto" w:fill="FFFFFF"/>
            <w:tcMar>
              <w:top w:w="40" w:type="dxa"/>
              <w:left w:w="0" w:type="dxa"/>
              <w:bottom w:w="40" w:type="dxa"/>
              <w:right w:w="20" w:type="dxa"/>
            </w:tcMar>
            <w:vAlign w:val="bottom"/>
          </w:tcPr>
          <w:p w14:paraId="5F2CABD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D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DE" w14:textId="77777777" w:rsidR="00E836FB" w:rsidRDefault="00994958">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5F2CAB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E0" w14:textId="77777777" w:rsidR="00E836FB" w:rsidRDefault="00E836FB">
            <w:pPr>
              <w:rPr>
                <w:rFonts w:ascii="宋体"/>
              </w:rPr>
            </w:pPr>
          </w:p>
        </w:tc>
        <w:tc>
          <w:tcPr>
            <w:tcW w:w="0" w:type="auto"/>
            <w:shd w:val="clear" w:color="auto" w:fill="auto"/>
            <w:vAlign w:val="bottom"/>
          </w:tcPr>
          <w:p w14:paraId="5F2CABE1" w14:textId="77777777" w:rsidR="00E836FB" w:rsidRDefault="00E836FB">
            <w:pPr>
              <w:rPr>
                <w:rFonts w:ascii="宋体"/>
                <w:vanish/>
              </w:rPr>
            </w:pPr>
          </w:p>
        </w:tc>
        <w:tc>
          <w:tcPr>
            <w:tcW w:w="0" w:type="auto"/>
            <w:shd w:val="clear" w:color="auto" w:fill="auto"/>
            <w:vAlign w:val="bottom"/>
          </w:tcPr>
          <w:p w14:paraId="5F2CABE2" w14:textId="77777777" w:rsidR="00E836FB" w:rsidRDefault="00E836FB">
            <w:pPr>
              <w:rPr>
                <w:rFonts w:ascii="宋体"/>
                <w:vanish/>
              </w:rPr>
            </w:pPr>
          </w:p>
        </w:tc>
        <w:tc>
          <w:tcPr>
            <w:tcW w:w="0" w:type="auto"/>
            <w:shd w:val="clear" w:color="auto" w:fill="auto"/>
            <w:vAlign w:val="bottom"/>
          </w:tcPr>
          <w:p w14:paraId="5F2CABE3" w14:textId="77777777" w:rsidR="00E836FB" w:rsidRDefault="00E836FB">
            <w:pPr>
              <w:rPr>
                <w:rFonts w:ascii="宋体"/>
                <w:vanish/>
              </w:rPr>
            </w:pPr>
          </w:p>
        </w:tc>
        <w:tc>
          <w:tcPr>
            <w:tcW w:w="0" w:type="auto"/>
            <w:shd w:val="clear" w:color="auto" w:fill="auto"/>
            <w:vAlign w:val="bottom"/>
          </w:tcPr>
          <w:p w14:paraId="5F2CABE4"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BE5" w14:textId="77777777" w:rsidR="00E836FB" w:rsidRDefault="00994958">
            <w:pPr>
              <w:jc w:val="right"/>
              <w:textAlignment w:val="bottom"/>
            </w:pPr>
            <w:r>
              <w:rPr>
                <w:rFonts w:ascii="Arial" w:eastAsia="宋体" w:hAnsi="Arial" w:cs="Arial"/>
                <w:color w:val="000000"/>
                <w:sz w:val="15"/>
                <w:szCs w:val="15"/>
              </w:rPr>
              <w:t>44 </w:t>
            </w:r>
          </w:p>
        </w:tc>
        <w:tc>
          <w:tcPr>
            <w:tcW w:w="0" w:type="auto"/>
            <w:shd w:val="clear" w:color="auto" w:fill="FFFFFF"/>
            <w:tcMar>
              <w:top w:w="40" w:type="dxa"/>
              <w:left w:w="0" w:type="dxa"/>
              <w:bottom w:w="40" w:type="dxa"/>
              <w:right w:w="20" w:type="dxa"/>
            </w:tcMar>
            <w:vAlign w:val="bottom"/>
          </w:tcPr>
          <w:p w14:paraId="5F2CAB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B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BE8" w14:textId="77777777" w:rsidR="00E836FB" w:rsidRDefault="00994958">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5F2CABE9" w14:textId="77777777" w:rsidR="00E836FB" w:rsidRDefault="00E836FB">
            <w:pPr>
              <w:jc w:val="right"/>
              <w:rPr>
                <w:rFonts w:ascii="宋体"/>
              </w:rPr>
            </w:pPr>
          </w:p>
        </w:tc>
        <w:tc>
          <w:tcPr>
            <w:tcW w:w="0" w:type="auto"/>
            <w:gridSpan w:val="3"/>
            <w:shd w:val="clear" w:color="auto" w:fill="auto"/>
            <w:vAlign w:val="bottom"/>
          </w:tcPr>
          <w:p w14:paraId="5F2CABEA" w14:textId="77777777" w:rsidR="00E836FB" w:rsidRDefault="00E836FB">
            <w:pPr>
              <w:rPr>
                <w:rFonts w:ascii="宋体"/>
                <w:vanish/>
              </w:rPr>
            </w:pPr>
          </w:p>
        </w:tc>
        <w:tc>
          <w:tcPr>
            <w:tcW w:w="0" w:type="auto"/>
            <w:gridSpan w:val="3"/>
            <w:shd w:val="clear" w:color="auto" w:fill="auto"/>
            <w:vAlign w:val="bottom"/>
          </w:tcPr>
          <w:p w14:paraId="5F2CABEB" w14:textId="77777777" w:rsidR="00E836FB" w:rsidRDefault="00E836FB">
            <w:pPr>
              <w:rPr>
                <w:rFonts w:ascii="宋体"/>
                <w:vanish/>
              </w:rPr>
            </w:pPr>
          </w:p>
        </w:tc>
      </w:tr>
      <w:tr w:rsidR="00E836FB" w14:paraId="5F2CAC02" w14:textId="77777777">
        <w:tc>
          <w:tcPr>
            <w:tcW w:w="0" w:type="auto"/>
            <w:gridSpan w:val="3"/>
            <w:shd w:val="clear" w:color="auto" w:fill="CCEEFF"/>
            <w:tcMar>
              <w:top w:w="40" w:type="dxa"/>
              <w:left w:w="20" w:type="dxa"/>
              <w:bottom w:w="40" w:type="dxa"/>
              <w:right w:w="20" w:type="dxa"/>
            </w:tcMar>
            <w:vAlign w:val="bottom"/>
          </w:tcPr>
          <w:p w14:paraId="5F2CABED" w14:textId="77777777" w:rsidR="00E836FB" w:rsidRDefault="00994958">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5F2CABEE" w14:textId="77777777" w:rsidR="00E836FB" w:rsidRDefault="00994958">
            <w:pPr>
              <w:jc w:val="right"/>
              <w:textAlignment w:val="bottom"/>
            </w:pPr>
            <w:r>
              <w:rPr>
                <w:rFonts w:ascii="Arial" w:eastAsia="宋体" w:hAnsi="Arial" w:cs="Arial"/>
                <w:b/>
                <w:bCs/>
                <w:color w:val="000000"/>
                <w:sz w:val="15"/>
                <w:szCs w:val="15"/>
              </w:rPr>
              <w:t>195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B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F1" w14:textId="77777777" w:rsidR="00E836FB" w:rsidRDefault="00994958">
            <w:pPr>
              <w:jc w:val="right"/>
              <w:textAlignment w:val="bottom"/>
            </w:pPr>
            <w:r>
              <w:rPr>
                <w:rFonts w:ascii="Arial" w:eastAsia="宋体" w:hAnsi="Arial" w:cs="Arial"/>
                <w:color w:val="000000"/>
                <w:sz w:val="15"/>
                <w:szCs w:val="15"/>
              </w:rPr>
              <w:t>173 </w:t>
            </w:r>
          </w:p>
        </w:tc>
        <w:tc>
          <w:tcPr>
            <w:tcW w:w="0" w:type="auto"/>
            <w:shd w:val="clear" w:color="auto" w:fill="CCEEFF"/>
            <w:tcMar>
              <w:top w:w="40" w:type="dxa"/>
              <w:left w:w="0" w:type="dxa"/>
              <w:bottom w:w="40" w:type="dxa"/>
              <w:right w:w="20" w:type="dxa"/>
            </w:tcMar>
            <w:vAlign w:val="bottom"/>
          </w:tcPr>
          <w:p w14:paraId="5F2CAB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F4" w14:textId="77777777" w:rsidR="00E836FB" w:rsidRDefault="00994958">
            <w:pPr>
              <w:jc w:val="right"/>
              <w:textAlignment w:val="bottom"/>
            </w:pPr>
            <w:r>
              <w:rPr>
                <w:rFonts w:ascii="Arial" w:eastAsia="宋体" w:hAnsi="Arial" w:cs="Arial"/>
                <w:color w:val="000000"/>
                <w:sz w:val="15"/>
                <w:szCs w:val="15"/>
              </w:rPr>
              <w:t>143 </w:t>
            </w:r>
          </w:p>
        </w:tc>
        <w:tc>
          <w:tcPr>
            <w:tcW w:w="0" w:type="auto"/>
            <w:shd w:val="clear" w:color="auto" w:fill="CCEEFF"/>
            <w:tcMar>
              <w:top w:w="40" w:type="dxa"/>
              <w:left w:w="0" w:type="dxa"/>
              <w:bottom w:w="40" w:type="dxa"/>
              <w:right w:w="20" w:type="dxa"/>
            </w:tcMar>
            <w:vAlign w:val="bottom"/>
          </w:tcPr>
          <w:p w14:paraId="5F2CAB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F6" w14:textId="77777777" w:rsidR="00E836FB" w:rsidRDefault="00E836FB">
            <w:pPr>
              <w:rPr>
                <w:rFonts w:ascii="宋体"/>
              </w:rPr>
            </w:pPr>
          </w:p>
        </w:tc>
        <w:tc>
          <w:tcPr>
            <w:tcW w:w="0" w:type="auto"/>
            <w:shd w:val="clear" w:color="auto" w:fill="auto"/>
            <w:vAlign w:val="bottom"/>
          </w:tcPr>
          <w:p w14:paraId="5F2CABF7" w14:textId="77777777" w:rsidR="00E836FB" w:rsidRDefault="00E836FB">
            <w:pPr>
              <w:rPr>
                <w:rFonts w:ascii="宋体"/>
                <w:vanish/>
              </w:rPr>
            </w:pPr>
          </w:p>
        </w:tc>
        <w:tc>
          <w:tcPr>
            <w:tcW w:w="0" w:type="auto"/>
            <w:shd w:val="clear" w:color="auto" w:fill="auto"/>
            <w:vAlign w:val="bottom"/>
          </w:tcPr>
          <w:p w14:paraId="5F2CABF8" w14:textId="77777777" w:rsidR="00E836FB" w:rsidRDefault="00E836FB">
            <w:pPr>
              <w:rPr>
                <w:rFonts w:ascii="宋体"/>
                <w:vanish/>
              </w:rPr>
            </w:pPr>
          </w:p>
        </w:tc>
        <w:tc>
          <w:tcPr>
            <w:tcW w:w="0" w:type="auto"/>
            <w:shd w:val="clear" w:color="auto" w:fill="auto"/>
            <w:vAlign w:val="bottom"/>
          </w:tcPr>
          <w:p w14:paraId="5F2CABF9" w14:textId="77777777" w:rsidR="00E836FB" w:rsidRDefault="00E836FB">
            <w:pPr>
              <w:rPr>
                <w:rFonts w:ascii="宋体"/>
                <w:vanish/>
              </w:rPr>
            </w:pPr>
          </w:p>
        </w:tc>
        <w:tc>
          <w:tcPr>
            <w:tcW w:w="0" w:type="auto"/>
            <w:shd w:val="clear" w:color="auto" w:fill="auto"/>
            <w:vAlign w:val="bottom"/>
          </w:tcPr>
          <w:p w14:paraId="5F2CABFA"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BFB" w14:textId="77777777" w:rsidR="00E836FB" w:rsidRDefault="00994958">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5F2CAB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B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BFE" w14:textId="77777777" w:rsidR="00E836FB" w:rsidRDefault="00994958">
            <w:pPr>
              <w:jc w:val="right"/>
              <w:textAlignment w:val="bottom"/>
            </w:pPr>
            <w:r>
              <w:rPr>
                <w:rFonts w:ascii="Arial" w:eastAsia="宋体" w:hAnsi="Arial" w:cs="Arial"/>
                <w:color w:val="000000"/>
                <w:sz w:val="15"/>
                <w:szCs w:val="15"/>
              </w:rPr>
              <w:t>21 </w:t>
            </w:r>
          </w:p>
        </w:tc>
        <w:tc>
          <w:tcPr>
            <w:tcW w:w="0" w:type="auto"/>
            <w:shd w:val="clear" w:color="auto" w:fill="CCEEFF"/>
            <w:tcMar>
              <w:top w:w="40" w:type="dxa"/>
              <w:left w:w="0" w:type="dxa"/>
              <w:bottom w:w="40" w:type="dxa"/>
              <w:right w:w="20" w:type="dxa"/>
            </w:tcMar>
            <w:vAlign w:val="bottom"/>
          </w:tcPr>
          <w:p w14:paraId="5F2CABFF" w14:textId="77777777" w:rsidR="00E836FB" w:rsidRDefault="00E836FB">
            <w:pPr>
              <w:jc w:val="right"/>
              <w:rPr>
                <w:rFonts w:ascii="宋体"/>
              </w:rPr>
            </w:pPr>
          </w:p>
        </w:tc>
        <w:tc>
          <w:tcPr>
            <w:tcW w:w="0" w:type="auto"/>
            <w:gridSpan w:val="3"/>
            <w:shd w:val="clear" w:color="auto" w:fill="auto"/>
            <w:vAlign w:val="bottom"/>
          </w:tcPr>
          <w:p w14:paraId="5F2CAC00" w14:textId="77777777" w:rsidR="00E836FB" w:rsidRDefault="00E836FB">
            <w:pPr>
              <w:rPr>
                <w:rFonts w:ascii="宋体"/>
                <w:vanish/>
              </w:rPr>
            </w:pPr>
          </w:p>
        </w:tc>
        <w:tc>
          <w:tcPr>
            <w:tcW w:w="0" w:type="auto"/>
            <w:gridSpan w:val="3"/>
            <w:shd w:val="clear" w:color="auto" w:fill="auto"/>
            <w:vAlign w:val="bottom"/>
          </w:tcPr>
          <w:p w14:paraId="5F2CAC01" w14:textId="77777777" w:rsidR="00E836FB" w:rsidRDefault="00E836FB">
            <w:pPr>
              <w:rPr>
                <w:rFonts w:ascii="宋体"/>
                <w:vanish/>
              </w:rPr>
            </w:pPr>
          </w:p>
        </w:tc>
      </w:tr>
      <w:tr w:rsidR="00E836FB" w14:paraId="5F2CAC18" w14:textId="77777777">
        <w:tc>
          <w:tcPr>
            <w:tcW w:w="0" w:type="auto"/>
            <w:gridSpan w:val="3"/>
            <w:shd w:val="clear" w:color="auto" w:fill="FFFFFF"/>
            <w:tcMar>
              <w:top w:w="40" w:type="dxa"/>
              <w:left w:w="20" w:type="dxa"/>
              <w:bottom w:w="40" w:type="dxa"/>
              <w:right w:w="20" w:type="dxa"/>
            </w:tcMar>
            <w:vAlign w:val="bottom"/>
          </w:tcPr>
          <w:p w14:paraId="5F2CAC03" w14:textId="77777777" w:rsidR="00E836FB" w:rsidRDefault="00994958">
            <w:pPr>
              <w:textAlignment w:val="bottom"/>
            </w:pPr>
            <w:r>
              <w:rPr>
                <w:rFonts w:ascii="Arial" w:eastAsia="宋体" w:hAnsi="Arial" w:cs="Arial"/>
                <w:color w:val="000000"/>
                <w:sz w:val="15"/>
                <w:szCs w:val="15"/>
              </w:rPr>
              <w:t>Total alternative investments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C04" w14:textId="77777777" w:rsidR="00E836FB" w:rsidRDefault="00994958">
            <w:pPr>
              <w:jc w:val="right"/>
              <w:textAlignment w:val="bottom"/>
            </w:pPr>
            <w:r>
              <w:rPr>
                <w:rFonts w:ascii="Arial" w:eastAsia="宋体" w:hAnsi="Arial" w:cs="Arial"/>
                <w:b/>
                <w:bCs/>
                <w:color w:val="000000"/>
                <w:sz w:val="15"/>
                <w:szCs w:val="15"/>
              </w:rPr>
              <w:t>251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C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0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C07" w14:textId="77777777" w:rsidR="00E836FB" w:rsidRDefault="00994958">
            <w:pPr>
              <w:jc w:val="right"/>
              <w:textAlignment w:val="bottom"/>
            </w:pPr>
            <w:r>
              <w:rPr>
                <w:rFonts w:ascii="Arial" w:eastAsia="宋体" w:hAnsi="Arial" w:cs="Arial"/>
                <w:color w:val="000000"/>
                <w:sz w:val="15"/>
                <w:szCs w:val="15"/>
              </w:rPr>
              <w:t>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C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0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C0A" w14:textId="77777777" w:rsidR="00E836FB" w:rsidRDefault="00994958">
            <w:pPr>
              <w:jc w:val="right"/>
              <w:textAlignment w:val="bottom"/>
            </w:pPr>
            <w:r>
              <w:rPr>
                <w:rFonts w:ascii="Arial" w:eastAsia="宋体" w:hAnsi="Arial" w:cs="Arial"/>
                <w:color w:val="000000"/>
                <w:sz w:val="15"/>
                <w:szCs w:val="15"/>
              </w:rPr>
              <w:t>173 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C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0C" w14:textId="77777777" w:rsidR="00E836FB" w:rsidRDefault="00E836FB">
            <w:pPr>
              <w:rPr>
                <w:rFonts w:ascii="宋体"/>
              </w:rPr>
            </w:pPr>
          </w:p>
        </w:tc>
        <w:tc>
          <w:tcPr>
            <w:tcW w:w="0" w:type="auto"/>
            <w:shd w:val="clear" w:color="auto" w:fill="auto"/>
            <w:vAlign w:val="bottom"/>
          </w:tcPr>
          <w:p w14:paraId="5F2CAC0D" w14:textId="77777777" w:rsidR="00E836FB" w:rsidRDefault="00E836FB">
            <w:pPr>
              <w:rPr>
                <w:rFonts w:ascii="宋体"/>
                <w:vanish/>
              </w:rPr>
            </w:pPr>
          </w:p>
        </w:tc>
        <w:tc>
          <w:tcPr>
            <w:tcW w:w="0" w:type="auto"/>
            <w:shd w:val="clear" w:color="auto" w:fill="auto"/>
            <w:vAlign w:val="bottom"/>
          </w:tcPr>
          <w:p w14:paraId="5F2CAC0E" w14:textId="77777777" w:rsidR="00E836FB" w:rsidRDefault="00E836FB">
            <w:pPr>
              <w:rPr>
                <w:rFonts w:ascii="宋体"/>
                <w:vanish/>
              </w:rPr>
            </w:pPr>
          </w:p>
        </w:tc>
        <w:tc>
          <w:tcPr>
            <w:tcW w:w="0" w:type="auto"/>
            <w:shd w:val="clear" w:color="auto" w:fill="auto"/>
            <w:vAlign w:val="bottom"/>
          </w:tcPr>
          <w:p w14:paraId="5F2CAC0F" w14:textId="77777777" w:rsidR="00E836FB" w:rsidRDefault="00E836FB">
            <w:pPr>
              <w:rPr>
                <w:rFonts w:ascii="宋体"/>
                <w:vanish/>
              </w:rPr>
            </w:pPr>
          </w:p>
        </w:tc>
        <w:tc>
          <w:tcPr>
            <w:tcW w:w="0" w:type="auto"/>
            <w:shd w:val="clear" w:color="auto" w:fill="auto"/>
            <w:vAlign w:val="bottom"/>
          </w:tcPr>
          <w:p w14:paraId="5F2CAC10"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C11" w14:textId="77777777" w:rsidR="00E836FB" w:rsidRDefault="00994958">
            <w:pPr>
              <w:jc w:val="right"/>
              <w:textAlignment w:val="bottom"/>
            </w:pPr>
            <w:r>
              <w:rPr>
                <w:rFonts w:ascii="Arial" w:eastAsia="宋体" w:hAnsi="Arial" w:cs="Arial"/>
                <w:color w:val="000000"/>
                <w:sz w:val="15"/>
                <w:szCs w:val="15"/>
              </w:rPr>
              <w:t>18 </w:t>
            </w:r>
          </w:p>
        </w:tc>
        <w:tc>
          <w:tcPr>
            <w:tcW w:w="0" w:type="auto"/>
            <w:shd w:val="clear" w:color="auto" w:fill="FFFFFF"/>
            <w:tcMar>
              <w:top w:w="40" w:type="dxa"/>
              <w:left w:w="0" w:type="dxa"/>
              <w:bottom w:w="40" w:type="dxa"/>
              <w:right w:w="20" w:type="dxa"/>
            </w:tcMar>
            <w:vAlign w:val="bottom"/>
          </w:tcPr>
          <w:p w14:paraId="5F2CAC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C14" w14:textId="77777777" w:rsidR="00E836FB" w:rsidRDefault="00994958">
            <w:pPr>
              <w:jc w:val="right"/>
              <w:textAlignment w:val="bottom"/>
            </w:pPr>
            <w:r>
              <w:rPr>
                <w:rFonts w:ascii="Arial" w:eastAsia="宋体" w:hAnsi="Arial" w:cs="Arial"/>
                <w:color w:val="000000"/>
                <w:sz w:val="15"/>
                <w:szCs w:val="15"/>
              </w:rPr>
              <w:t>23 </w:t>
            </w:r>
          </w:p>
        </w:tc>
        <w:tc>
          <w:tcPr>
            <w:tcW w:w="0" w:type="auto"/>
            <w:shd w:val="clear" w:color="auto" w:fill="FFFFFF"/>
            <w:tcMar>
              <w:top w:w="40" w:type="dxa"/>
              <w:left w:w="0" w:type="dxa"/>
              <w:bottom w:w="40" w:type="dxa"/>
              <w:right w:w="20" w:type="dxa"/>
            </w:tcMar>
            <w:vAlign w:val="bottom"/>
          </w:tcPr>
          <w:p w14:paraId="5F2CAC15" w14:textId="77777777" w:rsidR="00E836FB" w:rsidRDefault="00E836FB">
            <w:pPr>
              <w:jc w:val="right"/>
              <w:rPr>
                <w:rFonts w:ascii="宋体"/>
              </w:rPr>
            </w:pPr>
          </w:p>
        </w:tc>
        <w:tc>
          <w:tcPr>
            <w:tcW w:w="0" w:type="auto"/>
            <w:gridSpan w:val="3"/>
            <w:shd w:val="clear" w:color="auto" w:fill="auto"/>
            <w:vAlign w:val="bottom"/>
          </w:tcPr>
          <w:p w14:paraId="5F2CAC16" w14:textId="77777777" w:rsidR="00E836FB" w:rsidRDefault="00E836FB">
            <w:pPr>
              <w:rPr>
                <w:rFonts w:ascii="宋体"/>
                <w:vanish/>
              </w:rPr>
            </w:pPr>
          </w:p>
        </w:tc>
        <w:tc>
          <w:tcPr>
            <w:tcW w:w="0" w:type="auto"/>
            <w:gridSpan w:val="3"/>
            <w:shd w:val="clear" w:color="auto" w:fill="auto"/>
            <w:vAlign w:val="bottom"/>
          </w:tcPr>
          <w:p w14:paraId="5F2CAC17" w14:textId="77777777" w:rsidR="00E836FB" w:rsidRDefault="00E836FB">
            <w:pPr>
              <w:rPr>
                <w:rFonts w:ascii="宋体"/>
                <w:vanish/>
              </w:rPr>
            </w:pPr>
          </w:p>
        </w:tc>
      </w:tr>
      <w:tr w:rsidR="00E836FB" w14:paraId="5F2CAC31" w14:textId="77777777">
        <w:tc>
          <w:tcPr>
            <w:tcW w:w="0" w:type="auto"/>
            <w:gridSpan w:val="3"/>
            <w:shd w:val="clear" w:color="auto" w:fill="CCEEFF"/>
            <w:tcMar>
              <w:top w:w="40" w:type="dxa"/>
              <w:left w:w="20" w:type="dxa"/>
              <w:bottom w:w="40" w:type="dxa"/>
              <w:right w:w="20" w:type="dxa"/>
            </w:tcMar>
            <w:vAlign w:val="bottom"/>
          </w:tcPr>
          <w:p w14:paraId="5F2CAC19" w14:textId="77777777" w:rsidR="00E836FB" w:rsidRDefault="00994958">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C1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C1B" w14:textId="77777777" w:rsidR="00E836FB" w:rsidRDefault="00994958">
            <w:pPr>
              <w:jc w:val="right"/>
              <w:textAlignment w:val="bottom"/>
            </w:pPr>
            <w:r>
              <w:rPr>
                <w:rFonts w:ascii="Arial" w:eastAsia="宋体" w:hAnsi="Arial" w:cs="Arial"/>
                <w:b/>
                <w:bCs/>
                <w:color w:val="000000"/>
                <w:sz w:val="15"/>
                <w:szCs w:val="15"/>
              </w:rPr>
              <w:t>4,138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C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1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C1E"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C1F" w14:textId="77777777" w:rsidR="00E836FB" w:rsidRDefault="00994958">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C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2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C22"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C23" w14:textId="77777777" w:rsidR="00E836FB" w:rsidRDefault="00994958">
            <w:pPr>
              <w:jc w:val="right"/>
              <w:textAlignment w:val="bottom"/>
            </w:pPr>
            <w:r>
              <w:rPr>
                <w:rFonts w:ascii="Arial" w:eastAsia="宋体" w:hAnsi="Arial" w:cs="Arial"/>
                <w:color w:val="000000"/>
                <w:sz w:val="15"/>
                <w:szCs w:val="15"/>
              </w:rPr>
              <w:t>3,116 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C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25" w14:textId="77777777" w:rsidR="00E836FB" w:rsidRDefault="00E836FB">
            <w:pPr>
              <w:rPr>
                <w:rFonts w:ascii="宋体"/>
              </w:rPr>
            </w:pPr>
          </w:p>
        </w:tc>
        <w:tc>
          <w:tcPr>
            <w:tcW w:w="0" w:type="auto"/>
            <w:shd w:val="clear" w:color="auto" w:fill="auto"/>
            <w:vAlign w:val="bottom"/>
          </w:tcPr>
          <w:p w14:paraId="5F2CAC26" w14:textId="77777777" w:rsidR="00E836FB" w:rsidRDefault="00E836FB">
            <w:pPr>
              <w:rPr>
                <w:rFonts w:ascii="宋体"/>
                <w:vanish/>
              </w:rPr>
            </w:pPr>
          </w:p>
        </w:tc>
        <w:tc>
          <w:tcPr>
            <w:tcW w:w="0" w:type="auto"/>
            <w:shd w:val="clear" w:color="auto" w:fill="auto"/>
            <w:vAlign w:val="bottom"/>
          </w:tcPr>
          <w:p w14:paraId="5F2CAC27" w14:textId="77777777" w:rsidR="00E836FB" w:rsidRDefault="00E836FB">
            <w:pPr>
              <w:rPr>
                <w:rFonts w:ascii="宋体"/>
                <w:vanish/>
              </w:rPr>
            </w:pPr>
          </w:p>
        </w:tc>
        <w:tc>
          <w:tcPr>
            <w:tcW w:w="0" w:type="auto"/>
            <w:shd w:val="clear" w:color="auto" w:fill="auto"/>
            <w:vAlign w:val="bottom"/>
          </w:tcPr>
          <w:p w14:paraId="5F2CAC28" w14:textId="77777777" w:rsidR="00E836FB" w:rsidRDefault="00E836FB">
            <w:pPr>
              <w:rPr>
                <w:rFonts w:ascii="宋体"/>
                <w:vanish/>
              </w:rPr>
            </w:pPr>
          </w:p>
        </w:tc>
        <w:tc>
          <w:tcPr>
            <w:tcW w:w="0" w:type="auto"/>
            <w:shd w:val="clear" w:color="auto" w:fill="auto"/>
            <w:vAlign w:val="bottom"/>
          </w:tcPr>
          <w:p w14:paraId="5F2CAC29"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C2A" w14:textId="77777777" w:rsidR="00E836FB" w:rsidRDefault="00994958">
            <w:pPr>
              <w:jc w:val="right"/>
              <w:textAlignment w:val="bottom"/>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bottom"/>
          </w:tcPr>
          <w:p w14:paraId="5F2CAC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2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C2D" w14:textId="77777777" w:rsidR="00E836FB" w:rsidRDefault="00994958">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5F2CAC2E" w14:textId="77777777" w:rsidR="00E836FB" w:rsidRDefault="00E836FB">
            <w:pPr>
              <w:jc w:val="right"/>
              <w:rPr>
                <w:rFonts w:ascii="宋体"/>
              </w:rPr>
            </w:pPr>
          </w:p>
        </w:tc>
        <w:tc>
          <w:tcPr>
            <w:tcW w:w="0" w:type="auto"/>
            <w:gridSpan w:val="3"/>
            <w:shd w:val="clear" w:color="auto" w:fill="auto"/>
            <w:vAlign w:val="bottom"/>
          </w:tcPr>
          <w:p w14:paraId="5F2CAC2F" w14:textId="77777777" w:rsidR="00E836FB" w:rsidRDefault="00E836FB">
            <w:pPr>
              <w:rPr>
                <w:rFonts w:ascii="宋体"/>
                <w:vanish/>
              </w:rPr>
            </w:pPr>
          </w:p>
        </w:tc>
        <w:tc>
          <w:tcPr>
            <w:tcW w:w="0" w:type="auto"/>
            <w:gridSpan w:val="3"/>
            <w:shd w:val="clear" w:color="auto" w:fill="auto"/>
            <w:vAlign w:val="bottom"/>
          </w:tcPr>
          <w:p w14:paraId="5F2CAC30" w14:textId="77777777" w:rsidR="00E836FB" w:rsidRDefault="00E836FB">
            <w:pPr>
              <w:rPr>
                <w:rFonts w:ascii="宋体"/>
                <w:vanish/>
              </w:rPr>
            </w:pPr>
          </w:p>
        </w:tc>
      </w:tr>
    </w:tbl>
    <w:p w14:paraId="5F2CAC32" w14:textId="77777777" w:rsidR="00E836FB" w:rsidRDefault="00E836FB">
      <w:pPr>
        <w:rPr>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CAC39" w14:textId="77777777">
        <w:trPr>
          <w:jc w:val="right"/>
        </w:trPr>
        <w:tc>
          <w:tcPr>
            <w:tcW w:w="50" w:type="pct"/>
            <w:shd w:val="clear" w:color="auto" w:fill="auto"/>
            <w:vAlign w:val="bottom"/>
          </w:tcPr>
          <w:p w14:paraId="5F2CAC33" w14:textId="77777777" w:rsidR="00E836FB" w:rsidRDefault="00E836FB">
            <w:pPr>
              <w:rPr>
                <w:rFonts w:ascii="宋体"/>
              </w:rPr>
            </w:pPr>
          </w:p>
        </w:tc>
        <w:tc>
          <w:tcPr>
            <w:tcW w:w="1348" w:type="pct"/>
            <w:shd w:val="clear" w:color="auto" w:fill="auto"/>
            <w:vAlign w:val="bottom"/>
          </w:tcPr>
          <w:p w14:paraId="5F2CAC34" w14:textId="77777777" w:rsidR="00E836FB" w:rsidRDefault="00E836FB">
            <w:pPr>
              <w:rPr>
                <w:rFonts w:ascii="宋体"/>
              </w:rPr>
            </w:pPr>
          </w:p>
        </w:tc>
        <w:tc>
          <w:tcPr>
            <w:tcW w:w="5" w:type="pct"/>
            <w:shd w:val="clear" w:color="auto" w:fill="auto"/>
            <w:vAlign w:val="bottom"/>
          </w:tcPr>
          <w:p w14:paraId="5F2CAC35" w14:textId="77777777" w:rsidR="00E836FB" w:rsidRDefault="00E836FB">
            <w:pPr>
              <w:rPr>
                <w:rFonts w:ascii="宋体"/>
              </w:rPr>
            </w:pPr>
          </w:p>
        </w:tc>
        <w:tc>
          <w:tcPr>
            <w:tcW w:w="50" w:type="pct"/>
            <w:shd w:val="clear" w:color="auto" w:fill="auto"/>
            <w:vAlign w:val="bottom"/>
          </w:tcPr>
          <w:p w14:paraId="5F2CAC36" w14:textId="77777777" w:rsidR="00E836FB" w:rsidRDefault="00E836FB">
            <w:pPr>
              <w:rPr>
                <w:rFonts w:ascii="宋体"/>
              </w:rPr>
            </w:pPr>
          </w:p>
        </w:tc>
        <w:tc>
          <w:tcPr>
            <w:tcW w:w="3541" w:type="pct"/>
            <w:shd w:val="clear" w:color="auto" w:fill="auto"/>
            <w:vAlign w:val="bottom"/>
          </w:tcPr>
          <w:p w14:paraId="5F2CAC37" w14:textId="77777777" w:rsidR="00E836FB" w:rsidRDefault="00E836FB">
            <w:pPr>
              <w:rPr>
                <w:rFonts w:ascii="宋体"/>
              </w:rPr>
            </w:pPr>
          </w:p>
        </w:tc>
        <w:tc>
          <w:tcPr>
            <w:tcW w:w="5" w:type="pct"/>
            <w:shd w:val="clear" w:color="auto" w:fill="auto"/>
            <w:vAlign w:val="bottom"/>
          </w:tcPr>
          <w:p w14:paraId="5F2CAC38" w14:textId="77777777" w:rsidR="00E836FB" w:rsidRDefault="00E836FB">
            <w:pPr>
              <w:rPr>
                <w:rFonts w:ascii="宋体"/>
              </w:rPr>
            </w:pPr>
          </w:p>
        </w:tc>
      </w:tr>
      <w:tr w:rsidR="00E836FB" w14:paraId="5F2CAC3C" w14:textId="77777777">
        <w:trPr>
          <w:trHeight w:val="60"/>
          <w:jc w:val="right"/>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C3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C3B" w14:textId="77777777" w:rsidR="00E836FB" w:rsidRDefault="00E836FB">
            <w:pPr>
              <w:rPr>
                <w:rFonts w:ascii="宋体"/>
              </w:rPr>
            </w:pPr>
          </w:p>
        </w:tc>
      </w:tr>
    </w:tbl>
    <w:p w14:paraId="5F2CAC3D" w14:textId="77777777" w:rsidR="00E836FB" w:rsidRDefault="00994958">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3"/>
          <w:szCs w:val="13"/>
        </w:rPr>
        <w:t>as no impact to the total level of reported AUM.</w:t>
      </w:r>
    </w:p>
    <w:p w14:paraId="5F2CAC3E" w14:textId="77777777" w:rsidR="00E836FB" w:rsidRDefault="00994958">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both floating- and constant-net-asset-value portfolios held in commingled structures or separate accounts.</w:t>
      </w:r>
    </w:p>
    <w:p w14:paraId="5F2CAC3F" w14:textId="77777777" w:rsidR="00E836FB" w:rsidRDefault="00994958">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Includes real estate investment trusts, currency and commodities, including SPDR® G</w:t>
      </w:r>
      <w:r>
        <w:rPr>
          <w:rFonts w:ascii="Arial" w:eastAsia="宋体" w:hAnsi="Arial" w:cs="Arial"/>
          <w:color w:val="000000"/>
          <w:sz w:val="13"/>
          <w:szCs w:val="13"/>
        </w:rPr>
        <w:t>old Shares and SPDR® Gold MiniSharesSM Trust. We are not the investment manager for the SPDR® Gold Shares and SPDR®Gold MiniSharesSM Trust, but act as the marketing agent.</w:t>
      </w:r>
    </w:p>
    <w:tbl>
      <w:tblPr>
        <w:tblW w:w="4978" w:type="pct"/>
        <w:tblCellMar>
          <w:top w:w="15" w:type="dxa"/>
          <w:left w:w="15" w:type="dxa"/>
          <w:bottom w:w="15" w:type="dxa"/>
          <w:right w:w="15" w:type="dxa"/>
        </w:tblCellMar>
        <w:tblLook w:val="04A0" w:firstRow="1" w:lastRow="0" w:firstColumn="1" w:lastColumn="0" w:noHBand="0" w:noVBand="1"/>
      </w:tblPr>
      <w:tblGrid>
        <w:gridCol w:w="39"/>
        <w:gridCol w:w="1924"/>
        <w:gridCol w:w="36"/>
        <w:gridCol w:w="105"/>
        <w:gridCol w:w="1026"/>
        <w:gridCol w:w="37"/>
        <w:gridCol w:w="36"/>
        <w:gridCol w:w="36"/>
        <w:gridCol w:w="36"/>
        <w:gridCol w:w="105"/>
        <w:gridCol w:w="976"/>
        <w:gridCol w:w="37"/>
        <w:gridCol w:w="36"/>
        <w:gridCol w:w="36"/>
        <w:gridCol w:w="36"/>
        <w:gridCol w:w="105"/>
        <w:gridCol w:w="976"/>
        <w:gridCol w:w="37"/>
        <w:gridCol w:w="36"/>
        <w:gridCol w:w="36"/>
        <w:gridCol w:w="36"/>
        <w:gridCol w:w="46"/>
        <w:gridCol w:w="815"/>
        <w:gridCol w:w="154"/>
        <w:gridCol w:w="36"/>
        <w:gridCol w:w="36"/>
        <w:gridCol w:w="36"/>
        <w:gridCol w:w="46"/>
        <w:gridCol w:w="817"/>
        <w:gridCol w:w="154"/>
        <w:gridCol w:w="36"/>
        <w:gridCol w:w="36"/>
        <w:gridCol w:w="36"/>
        <w:gridCol w:w="36"/>
        <w:gridCol w:w="36"/>
        <w:gridCol w:w="36"/>
        <w:gridCol w:w="36"/>
        <w:gridCol w:w="36"/>
        <w:gridCol w:w="36"/>
        <w:gridCol w:w="36"/>
        <w:gridCol w:w="36"/>
        <w:gridCol w:w="36"/>
      </w:tblGrid>
      <w:tr w:rsidR="00E836FB" w14:paraId="5F2CAC62" w14:textId="77777777">
        <w:tc>
          <w:tcPr>
            <w:tcW w:w="50" w:type="pct"/>
            <w:shd w:val="clear" w:color="auto" w:fill="auto"/>
            <w:vAlign w:val="bottom"/>
          </w:tcPr>
          <w:p w14:paraId="5F2CAC40" w14:textId="77777777" w:rsidR="00E836FB" w:rsidRDefault="00E836FB">
            <w:pPr>
              <w:rPr>
                <w:rFonts w:ascii="宋体"/>
              </w:rPr>
            </w:pPr>
          </w:p>
        </w:tc>
        <w:tc>
          <w:tcPr>
            <w:tcW w:w="1266" w:type="pct"/>
            <w:shd w:val="clear" w:color="auto" w:fill="auto"/>
            <w:vAlign w:val="bottom"/>
          </w:tcPr>
          <w:p w14:paraId="5F2CAC41" w14:textId="77777777" w:rsidR="00E836FB" w:rsidRDefault="00E836FB">
            <w:pPr>
              <w:rPr>
                <w:rFonts w:ascii="宋体"/>
              </w:rPr>
            </w:pPr>
          </w:p>
        </w:tc>
        <w:tc>
          <w:tcPr>
            <w:tcW w:w="5" w:type="pct"/>
            <w:shd w:val="clear" w:color="auto" w:fill="auto"/>
            <w:vAlign w:val="bottom"/>
          </w:tcPr>
          <w:p w14:paraId="5F2CAC42" w14:textId="77777777" w:rsidR="00E836FB" w:rsidRDefault="00E836FB">
            <w:pPr>
              <w:rPr>
                <w:rFonts w:ascii="宋体"/>
              </w:rPr>
            </w:pPr>
          </w:p>
        </w:tc>
        <w:tc>
          <w:tcPr>
            <w:tcW w:w="50" w:type="pct"/>
            <w:shd w:val="clear" w:color="auto" w:fill="auto"/>
            <w:vAlign w:val="bottom"/>
          </w:tcPr>
          <w:p w14:paraId="5F2CAC43" w14:textId="77777777" w:rsidR="00E836FB" w:rsidRDefault="00E836FB">
            <w:pPr>
              <w:rPr>
                <w:rFonts w:ascii="宋体"/>
              </w:rPr>
            </w:pPr>
          </w:p>
        </w:tc>
        <w:tc>
          <w:tcPr>
            <w:tcW w:w="686" w:type="pct"/>
            <w:shd w:val="clear" w:color="auto" w:fill="auto"/>
            <w:vAlign w:val="bottom"/>
          </w:tcPr>
          <w:p w14:paraId="5F2CAC44" w14:textId="77777777" w:rsidR="00E836FB" w:rsidRDefault="00E836FB">
            <w:pPr>
              <w:rPr>
                <w:rFonts w:ascii="宋体"/>
              </w:rPr>
            </w:pPr>
          </w:p>
        </w:tc>
        <w:tc>
          <w:tcPr>
            <w:tcW w:w="5" w:type="pct"/>
            <w:shd w:val="clear" w:color="auto" w:fill="auto"/>
            <w:vAlign w:val="bottom"/>
          </w:tcPr>
          <w:p w14:paraId="5F2CAC45" w14:textId="77777777" w:rsidR="00E836FB" w:rsidRDefault="00E836FB">
            <w:pPr>
              <w:rPr>
                <w:rFonts w:ascii="宋体"/>
              </w:rPr>
            </w:pPr>
          </w:p>
        </w:tc>
        <w:tc>
          <w:tcPr>
            <w:tcW w:w="5" w:type="pct"/>
            <w:shd w:val="clear" w:color="auto" w:fill="auto"/>
            <w:vAlign w:val="bottom"/>
          </w:tcPr>
          <w:p w14:paraId="5F2CAC46" w14:textId="77777777" w:rsidR="00E836FB" w:rsidRDefault="00E836FB">
            <w:pPr>
              <w:rPr>
                <w:rFonts w:ascii="宋体"/>
              </w:rPr>
            </w:pPr>
          </w:p>
        </w:tc>
        <w:tc>
          <w:tcPr>
            <w:tcW w:w="26" w:type="pct"/>
            <w:shd w:val="clear" w:color="auto" w:fill="auto"/>
            <w:vAlign w:val="bottom"/>
          </w:tcPr>
          <w:p w14:paraId="5F2CAC47" w14:textId="77777777" w:rsidR="00E836FB" w:rsidRDefault="00E836FB">
            <w:pPr>
              <w:rPr>
                <w:rFonts w:ascii="宋体"/>
              </w:rPr>
            </w:pPr>
          </w:p>
        </w:tc>
        <w:tc>
          <w:tcPr>
            <w:tcW w:w="5" w:type="pct"/>
            <w:shd w:val="clear" w:color="auto" w:fill="auto"/>
            <w:vAlign w:val="bottom"/>
          </w:tcPr>
          <w:p w14:paraId="5F2CAC48" w14:textId="77777777" w:rsidR="00E836FB" w:rsidRDefault="00E836FB">
            <w:pPr>
              <w:rPr>
                <w:rFonts w:ascii="宋体"/>
              </w:rPr>
            </w:pPr>
          </w:p>
        </w:tc>
        <w:tc>
          <w:tcPr>
            <w:tcW w:w="50" w:type="pct"/>
            <w:shd w:val="clear" w:color="auto" w:fill="auto"/>
            <w:vAlign w:val="bottom"/>
          </w:tcPr>
          <w:p w14:paraId="5F2CAC49" w14:textId="77777777" w:rsidR="00E836FB" w:rsidRDefault="00E836FB">
            <w:pPr>
              <w:rPr>
                <w:rFonts w:ascii="宋体"/>
              </w:rPr>
            </w:pPr>
          </w:p>
        </w:tc>
        <w:tc>
          <w:tcPr>
            <w:tcW w:w="686" w:type="pct"/>
            <w:shd w:val="clear" w:color="auto" w:fill="auto"/>
            <w:vAlign w:val="bottom"/>
          </w:tcPr>
          <w:p w14:paraId="5F2CAC4A" w14:textId="77777777" w:rsidR="00E836FB" w:rsidRDefault="00E836FB">
            <w:pPr>
              <w:rPr>
                <w:rFonts w:ascii="宋体"/>
              </w:rPr>
            </w:pPr>
          </w:p>
        </w:tc>
        <w:tc>
          <w:tcPr>
            <w:tcW w:w="5" w:type="pct"/>
            <w:shd w:val="clear" w:color="auto" w:fill="auto"/>
            <w:vAlign w:val="bottom"/>
          </w:tcPr>
          <w:p w14:paraId="5F2CAC4B" w14:textId="77777777" w:rsidR="00E836FB" w:rsidRDefault="00E836FB">
            <w:pPr>
              <w:rPr>
                <w:rFonts w:ascii="宋体"/>
              </w:rPr>
            </w:pPr>
          </w:p>
        </w:tc>
        <w:tc>
          <w:tcPr>
            <w:tcW w:w="5" w:type="pct"/>
            <w:shd w:val="clear" w:color="auto" w:fill="auto"/>
            <w:vAlign w:val="bottom"/>
          </w:tcPr>
          <w:p w14:paraId="5F2CAC4C" w14:textId="77777777" w:rsidR="00E836FB" w:rsidRDefault="00E836FB">
            <w:pPr>
              <w:rPr>
                <w:rFonts w:ascii="宋体"/>
              </w:rPr>
            </w:pPr>
          </w:p>
        </w:tc>
        <w:tc>
          <w:tcPr>
            <w:tcW w:w="26" w:type="pct"/>
            <w:shd w:val="clear" w:color="auto" w:fill="auto"/>
            <w:vAlign w:val="bottom"/>
          </w:tcPr>
          <w:p w14:paraId="5F2CAC4D" w14:textId="77777777" w:rsidR="00E836FB" w:rsidRDefault="00E836FB">
            <w:pPr>
              <w:rPr>
                <w:rFonts w:ascii="宋体"/>
              </w:rPr>
            </w:pPr>
          </w:p>
        </w:tc>
        <w:tc>
          <w:tcPr>
            <w:tcW w:w="5" w:type="pct"/>
            <w:shd w:val="clear" w:color="auto" w:fill="auto"/>
            <w:vAlign w:val="bottom"/>
          </w:tcPr>
          <w:p w14:paraId="5F2CAC4E" w14:textId="77777777" w:rsidR="00E836FB" w:rsidRDefault="00E836FB">
            <w:pPr>
              <w:rPr>
                <w:rFonts w:ascii="宋体"/>
              </w:rPr>
            </w:pPr>
          </w:p>
        </w:tc>
        <w:tc>
          <w:tcPr>
            <w:tcW w:w="50" w:type="pct"/>
            <w:shd w:val="clear" w:color="auto" w:fill="auto"/>
            <w:vAlign w:val="bottom"/>
          </w:tcPr>
          <w:p w14:paraId="5F2CAC4F" w14:textId="77777777" w:rsidR="00E836FB" w:rsidRDefault="00E836FB">
            <w:pPr>
              <w:rPr>
                <w:rFonts w:ascii="宋体"/>
              </w:rPr>
            </w:pPr>
          </w:p>
        </w:tc>
        <w:tc>
          <w:tcPr>
            <w:tcW w:w="686" w:type="pct"/>
            <w:shd w:val="clear" w:color="auto" w:fill="auto"/>
            <w:vAlign w:val="bottom"/>
          </w:tcPr>
          <w:p w14:paraId="5F2CAC50" w14:textId="77777777" w:rsidR="00E836FB" w:rsidRDefault="00E836FB">
            <w:pPr>
              <w:rPr>
                <w:rFonts w:ascii="宋体"/>
              </w:rPr>
            </w:pPr>
          </w:p>
        </w:tc>
        <w:tc>
          <w:tcPr>
            <w:tcW w:w="5" w:type="pct"/>
            <w:shd w:val="clear" w:color="auto" w:fill="auto"/>
            <w:vAlign w:val="bottom"/>
          </w:tcPr>
          <w:p w14:paraId="5F2CAC51" w14:textId="77777777" w:rsidR="00E836FB" w:rsidRDefault="00E836FB">
            <w:pPr>
              <w:rPr>
                <w:rFonts w:ascii="宋体"/>
              </w:rPr>
            </w:pPr>
          </w:p>
        </w:tc>
        <w:tc>
          <w:tcPr>
            <w:tcW w:w="5" w:type="pct"/>
            <w:shd w:val="clear" w:color="auto" w:fill="auto"/>
            <w:vAlign w:val="bottom"/>
          </w:tcPr>
          <w:p w14:paraId="5F2CAC52" w14:textId="77777777" w:rsidR="00E836FB" w:rsidRDefault="00E836FB">
            <w:pPr>
              <w:rPr>
                <w:rFonts w:ascii="宋体"/>
              </w:rPr>
            </w:pPr>
          </w:p>
        </w:tc>
        <w:tc>
          <w:tcPr>
            <w:tcW w:w="26" w:type="pct"/>
            <w:shd w:val="clear" w:color="auto" w:fill="auto"/>
            <w:vAlign w:val="bottom"/>
          </w:tcPr>
          <w:p w14:paraId="5F2CAC53" w14:textId="77777777" w:rsidR="00E836FB" w:rsidRDefault="00E836FB">
            <w:pPr>
              <w:rPr>
                <w:rFonts w:ascii="宋体"/>
              </w:rPr>
            </w:pPr>
          </w:p>
        </w:tc>
        <w:tc>
          <w:tcPr>
            <w:tcW w:w="5" w:type="pct"/>
            <w:shd w:val="clear" w:color="auto" w:fill="auto"/>
            <w:vAlign w:val="bottom"/>
          </w:tcPr>
          <w:p w14:paraId="5F2CAC54" w14:textId="77777777" w:rsidR="00E836FB" w:rsidRDefault="00E836FB">
            <w:pPr>
              <w:rPr>
                <w:rFonts w:ascii="宋体"/>
              </w:rPr>
            </w:pPr>
          </w:p>
        </w:tc>
        <w:tc>
          <w:tcPr>
            <w:tcW w:w="50" w:type="pct"/>
            <w:shd w:val="clear" w:color="auto" w:fill="auto"/>
            <w:vAlign w:val="bottom"/>
          </w:tcPr>
          <w:p w14:paraId="5F2CAC55" w14:textId="77777777" w:rsidR="00E836FB" w:rsidRDefault="00E836FB">
            <w:pPr>
              <w:rPr>
                <w:rFonts w:ascii="宋体"/>
              </w:rPr>
            </w:pPr>
          </w:p>
        </w:tc>
        <w:tc>
          <w:tcPr>
            <w:tcW w:w="598" w:type="pct"/>
            <w:shd w:val="clear" w:color="auto" w:fill="auto"/>
            <w:vAlign w:val="bottom"/>
          </w:tcPr>
          <w:p w14:paraId="5F2CAC56" w14:textId="77777777" w:rsidR="00E836FB" w:rsidRDefault="00E836FB">
            <w:pPr>
              <w:rPr>
                <w:rFonts w:ascii="宋体"/>
              </w:rPr>
            </w:pPr>
          </w:p>
        </w:tc>
        <w:tc>
          <w:tcPr>
            <w:tcW w:w="5" w:type="pct"/>
            <w:shd w:val="clear" w:color="auto" w:fill="auto"/>
            <w:vAlign w:val="bottom"/>
          </w:tcPr>
          <w:p w14:paraId="5F2CAC57" w14:textId="77777777" w:rsidR="00E836FB" w:rsidRDefault="00E836FB">
            <w:pPr>
              <w:rPr>
                <w:rFonts w:ascii="宋体"/>
              </w:rPr>
            </w:pPr>
          </w:p>
        </w:tc>
        <w:tc>
          <w:tcPr>
            <w:tcW w:w="5" w:type="pct"/>
            <w:shd w:val="clear" w:color="auto" w:fill="auto"/>
            <w:vAlign w:val="bottom"/>
          </w:tcPr>
          <w:p w14:paraId="5F2CAC58" w14:textId="77777777" w:rsidR="00E836FB" w:rsidRDefault="00E836FB">
            <w:pPr>
              <w:rPr>
                <w:rFonts w:ascii="宋体"/>
              </w:rPr>
            </w:pPr>
          </w:p>
        </w:tc>
        <w:tc>
          <w:tcPr>
            <w:tcW w:w="26" w:type="pct"/>
            <w:shd w:val="clear" w:color="auto" w:fill="auto"/>
            <w:vAlign w:val="bottom"/>
          </w:tcPr>
          <w:p w14:paraId="5F2CAC59" w14:textId="77777777" w:rsidR="00E836FB" w:rsidRDefault="00E836FB">
            <w:pPr>
              <w:rPr>
                <w:rFonts w:ascii="宋体"/>
              </w:rPr>
            </w:pPr>
          </w:p>
        </w:tc>
        <w:tc>
          <w:tcPr>
            <w:tcW w:w="5" w:type="pct"/>
            <w:shd w:val="clear" w:color="auto" w:fill="auto"/>
            <w:vAlign w:val="bottom"/>
          </w:tcPr>
          <w:p w14:paraId="5F2CAC5A" w14:textId="77777777" w:rsidR="00E836FB" w:rsidRDefault="00E836FB">
            <w:pPr>
              <w:rPr>
                <w:rFonts w:ascii="宋体"/>
              </w:rPr>
            </w:pPr>
          </w:p>
        </w:tc>
        <w:tc>
          <w:tcPr>
            <w:tcW w:w="50" w:type="pct"/>
            <w:shd w:val="clear" w:color="auto" w:fill="auto"/>
            <w:vAlign w:val="bottom"/>
          </w:tcPr>
          <w:p w14:paraId="5F2CAC5B" w14:textId="77777777" w:rsidR="00E836FB" w:rsidRDefault="00E836FB">
            <w:pPr>
              <w:rPr>
                <w:rFonts w:ascii="宋体"/>
              </w:rPr>
            </w:pPr>
          </w:p>
        </w:tc>
        <w:tc>
          <w:tcPr>
            <w:tcW w:w="598" w:type="pct"/>
            <w:shd w:val="clear" w:color="auto" w:fill="auto"/>
            <w:vAlign w:val="bottom"/>
          </w:tcPr>
          <w:p w14:paraId="5F2CAC5C" w14:textId="77777777" w:rsidR="00E836FB" w:rsidRDefault="00E836FB">
            <w:pPr>
              <w:rPr>
                <w:rFonts w:ascii="宋体"/>
              </w:rPr>
            </w:pPr>
          </w:p>
        </w:tc>
        <w:tc>
          <w:tcPr>
            <w:tcW w:w="5" w:type="pct"/>
            <w:shd w:val="clear" w:color="auto" w:fill="auto"/>
            <w:vAlign w:val="bottom"/>
          </w:tcPr>
          <w:p w14:paraId="5F2CAC5D" w14:textId="77777777" w:rsidR="00E836FB" w:rsidRDefault="00E836FB">
            <w:pPr>
              <w:rPr>
                <w:rFonts w:ascii="宋体"/>
              </w:rPr>
            </w:pPr>
          </w:p>
        </w:tc>
        <w:tc>
          <w:tcPr>
            <w:tcW w:w="0" w:type="auto"/>
            <w:gridSpan w:val="3"/>
            <w:shd w:val="clear" w:color="auto" w:fill="auto"/>
            <w:vAlign w:val="bottom"/>
          </w:tcPr>
          <w:p w14:paraId="5F2CAC5E" w14:textId="77777777" w:rsidR="00E836FB" w:rsidRDefault="00E836FB">
            <w:pPr>
              <w:rPr>
                <w:rFonts w:ascii="宋体"/>
                <w:vanish/>
              </w:rPr>
            </w:pPr>
          </w:p>
        </w:tc>
        <w:tc>
          <w:tcPr>
            <w:tcW w:w="0" w:type="auto"/>
            <w:gridSpan w:val="3"/>
            <w:shd w:val="clear" w:color="auto" w:fill="auto"/>
            <w:vAlign w:val="bottom"/>
          </w:tcPr>
          <w:p w14:paraId="5F2CAC5F" w14:textId="77777777" w:rsidR="00E836FB" w:rsidRDefault="00E836FB">
            <w:pPr>
              <w:rPr>
                <w:rFonts w:ascii="宋体"/>
                <w:vanish/>
              </w:rPr>
            </w:pPr>
          </w:p>
        </w:tc>
        <w:tc>
          <w:tcPr>
            <w:tcW w:w="0" w:type="auto"/>
            <w:gridSpan w:val="3"/>
            <w:shd w:val="clear" w:color="auto" w:fill="auto"/>
            <w:vAlign w:val="bottom"/>
          </w:tcPr>
          <w:p w14:paraId="5F2CAC60" w14:textId="77777777" w:rsidR="00E836FB" w:rsidRDefault="00E836FB">
            <w:pPr>
              <w:rPr>
                <w:rFonts w:ascii="宋体"/>
                <w:vanish/>
              </w:rPr>
            </w:pPr>
          </w:p>
        </w:tc>
        <w:tc>
          <w:tcPr>
            <w:tcW w:w="0" w:type="auto"/>
            <w:gridSpan w:val="3"/>
            <w:shd w:val="clear" w:color="auto" w:fill="auto"/>
            <w:vAlign w:val="bottom"/>
          </w:tcPr>
          <w:p w14:paraId="5F2CAC61" w14:textId="77777777" w:rsidR="00E836FB" w:rsidRDefault="00E836FB">
            <w:pPr>
              <w:rPr>
                <w:rFonts w:ascii="宋体"/>
                <w:vanish/>
              </w:rPr>
            </w:pPr>
          </w:p>
        </w:tc>
      </w:tr>
      <w:tr w:rsidR="00E836FB" w14:paraId="5F2CAC70" w14:textId="77777777">
        <w:tc>
          <w:tcPr>
            <w:tcW w:w="0" w:type="auto"/>
            <w:gridSpan w:val="30"/>
            <w:shd w:val="clear" w:color="auto" w:fill="auto"/>
            <w:tcMar>
              <w:top w:w="40" w:type="dxa"/>
              <w:left w:w="20" w:type="dxa"/>
              <w:bottom w:w="40" w:type="dxa"/>
              <w:right w:w="20" w:type="dxa"/>
            </w:tcMar>
            <w:vAlign w:val="bottom"/>
          </w:tcPr>
          <w:p w14:paraId="5F2CAC63" w14:textId="77777777" w:rsidR="00E836FB" w:rsidRDefault="00994958">
            <w:pPr>
              <w:textAlignment w:val="bottom"/>
            </w:pPr>
            <w:r>
              <w:rPr>
                <w:rFonts w:ascii="Arial" w:eastAsia="宋体" w:hAnsi="Arial" w:cs="Arial"/>
                <w:b/>
                <w:bCs/>
                <w:color w:val="000000"/>
                <w:sz w:val="16"/>
                <w:szCs w:val="16"/>
              </w:rPr>
              <w:t>TABLE 10: GEOGRAPHIC MIX OF ASSETS UNDER MANAGEMENT</w:t>
            </w:r>
            <w:r>
              <w:rPr>
                <w:rFonts w:ascii="Arial" w:eastAsia="宋体" w:hAnsi="Arial" w:cs="Arial"/>
                <w:b/>
                <w:bCs/>
                <w:color w:val="000000"/>
                <w:sz w:val="10"/>
                <w:szCs w:val="10"/>
              </w:rPr>
              <w:t>(1)</w:t>
            </w:r>
          </w:p>
        </w:tc>
        <w:tc>
          <w:tcPr>
            <w:tcW w:w="0" w:type="auto"/>
            <w:shd w:val="clear" w:color="auto" w:fill="auto"/>
            <w:vAlign w:val="bottom"/>
          </w:tcPr>
          <w:p w14:paraId="5F2CAC64" w14:textId="77777777" w:rsidR="00E836FB" w:rsidRDefault="00E836FB">
            <w:pPr>
              <w:rPr>
                <w:rFonts w:ascii="宋体"/>
              </w:rPr>
            </w:pPr>
          </w:p>
        </w:tc>
        <w:tc>
          <w:tcPr>
            <w:tcW w:w="0" w:type="auto"/>
            <w:shd w:val="clear" w:color="auto" w:fill="auto"/>
            <w:vAlign w:val="bottom"/>
          </w:tcPr>
          <w:p w14:paraId="5F2CAC65" w14:textId="77777777" w:rsidR="00E836FB" w:rsidRDefault="00E836FB">
            <w:pPr>
              <w:rPr>
                <w:rFonts w:ascii="宋体"/>
              </w:rPr>
            </w:pPr>
          </w:p>
        </w:tc>
        <w:tc>
          <w:tcPr>
            <w:tcW w:w="0" w:type="auto"/>
            <w:shd w:val="clear" w:color="auto" w:fill="auto"/>
            <w:vAlign w:val="bottom"/>
          </w:tcPr>
          <w:p w14:paraId="5F2CAC66" w14:textId="77777777" w:rsidR="00E836FB" w:rsidRDefault="00E836FB">
            <w:pPr>
              <w:rPr>
                <w:rFonts w:ascii="宋体"/>
              </w:rPr>
            </w:pPr>
          </w:p>
        </w:tc>
        <w:tc>
          <w:tcPr>
            <w:tcW w:w="0" w:type="auto"/>
            <w:shd w:val="clear" w:color="auto" w:fill="auto"/>
            <w:vAlign w:val="bottom"/>
          </w:tcPr>
          <w:p w14:paraId="5F2CAC67" w14:textId="77777777" w:rsidR="00E836FB" w:rsidRDefault="00E836FB">
            <w:pPr>
              <w:rPr>
                <w:rFonts w:ascii="宋体"/>
              </w:rPr>
            </w:pPr>
          </w:p>
        </w:tc>
        <w:tc>
          <w:tcPr>
            <w:tcW w:w="0" w:type="auto"/>
            <w:shd w:val="clear" w:color="auto" w:fill="auto"/>
            <w:vAlign w:val="bottom"/>
          </w:tcPr>
          <w:p w14:paraId="5F2CAC68" w14:textId="77777777" w:rsidR="00E836FB" w:rsidRDefault="00E836FB">
            <w:pPr>
              <w:rPr>
                <w:rFonts w:ascii="宋体"/>
              </w:rPr>
            </w:pPr>
          </w:p>
        </w:tc>
        <w:tc>
          <w:tcPr>
            <w:tcW w:w="0" w:type="auto"/>
            <w:shd w:val="clear" w:color="auto" w:fill="auto"/>
            <w:vAlign w:val="bottom"/>
          </w:tcPr>
          <w:p w14:paraId="5F2CAC69" w14:textId="77777777" w:rsidR="00E836FB" w:rsidRDefault="00E836FB">
            <w:pPr>
              <w:rPr>
                <w:rFonts w:ascii="宋体"/>
              </w:rPr>
            </w:pPr>
          </w:p>
        </w:tc>
        <w:tc>
          <w:tcPr>
            <w:tcW w:w="0" w:type="auto"/>
            <w:shd w:val="clear" w:color="auto" w:fill="auto"/>
            <w:vAlign w:val="bottom"/>
          </w:tcPr>
          <w:p w14:paraId="5F2CAC6A" w14:textId="77777777" w:rsidR="00E836FB" w:rsidRDefault="00E836FB">
            <w:pPr>
              <w:rPr>
                <w:rFonts w:ascii="宋体"/>
              </w:rPr>
            </w:pPr>
          </w:p>
        </w:tc>
        <w:tc>
          <w:tcPr>
            <w:tcW w:w="0" w:type="auto"/>
            <w:shd w:val="clear" w:color="auto" w:fill="auto"/>
            <w:vAlign w:val="bottom"/>
          </w:tcPr>
          <w:p w14:paraId="5F2CAC6B" w14:textId="77777777" w:rsidR="00E836FB" w:rsidRDefault="00E836FB">
            <w:pPr>
              <w:rPr>
                <w:rFonts w:ascii="宋体"/>
              </w:rPr>
            </w:pPr>
          </w:p>
        </w:tc>
        <w:tc>
          <w:tcPr>
            <w:tcW w:w="0" w:type="auto"/>
            <w:shd w:val="clear" w:color="auto" w:fill="auto"/>
            <w:vAlign w:val="bottom"/>
          </w:tcPr>
          <w:p w14:paraId="5F2CAC6C" w14:textId="77777777" w:rsidR="00E836FB" w:rsidRDefault="00E836FB">
            <w:pPr>
              <w:rPr>
                <w:rFonts w:ascii="宋体"/>
              </w:rPr>
            </w:pPr>
          </w:p>
        </w:tc>
        <w:tc>
          <w:tcPr>
            <w:tcW w:w="0" w:type="auto"/>
            <w:shd w:val="clear" w:color="auto" w:fill="auto"/>
            <w:vAlign w:val="bottom"/>
          </w:tcPr>
          <w:p w14:paraId="5F2CAC6D" w14:textId="77777777" w:rsidR="00E836FB" w:rsidRDefault="00E836FB">
            <w:pPr>
              <w:rPr>
                <w:rFonts w:ascii="宋体"/>
              </w:rPr>
            </w:pPr>
          </w:p>
        </w:tc>
        <w:tc>
          <w:tcPr>
            <w:tcW w:w="0" w:type="auto"/>
            <w:shd w:val="clear" w:color="auto" w:fill="auto"/>
            <w:vAlign w:val="bottom"/>
          </w:tcPr>
          <w:p w14:paraId="5F2CAC6E" w14:textId="77777777" w:rsidR="00E836FB" w:rsidRDefault="00E836FB">
            <w:pPr>
              <w:rPr>
                <w:rFonts w:ascii="宋体"/>
              </w:rPr>
            </w:pPr>
          </w:p>
        </w:tc>
        <w:tc>
          <w:tcPr>
            <w:tcW w:w="0" w:type="auto"/>
            <w:shd w:val="clear" w:color="auto" w:fill="auto"/>
            <w:vAlign w:val="bottom"/>
          </w:tcPr>
          <w:p w14:paraId="5F2CAC6F" w14:textId="77777777" w:rsidR="00E836FB" w:rsidRDefault="00E836FB">
            <w:pPr>
              <w:rPr>
                <w:rFonts w:ascii="宋体"/>
              </w:rPr>
            </w:pPr>
          </w:p>
        </w:tc>
      </w:tr>
      <w:tr w:rsidR="00E836FB" w14:paraId="5F2CAC7F" w14:textId="77777777">
        <w:tc>
          <w:tcPr>
            <w:tcW w:w="0" w:type="auto"/>
            <w:gridSpan w:val="3"/>
            <w:shd w:val="clear" w:color="auto" w:fill="auto"/>
            <w:tcMar>
              <w:top w:w="40" w:type="dxa"/>
              <w:left w:w="20" w:type="dxa"/>
              <w:bottom w:w="40" w:type="dxa"/>
              <w:right w:w="20" w:type="dxa"/>
            </w:tcMar>
            <w:vAlign w:val="bottom"/>
          </w:tcPr>
          <w:p w14:paraId="5F2CAC71" w14:textId="77777777" w:rsidR="00E836FB" w:rsidRDefault="00994958">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F2CAC72"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CAC7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C74" w14:textId="77777777" w:rsidR="00E836FB" w:rsidRDefault="00994958">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F2CAC7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C76" w14:textId="77777777" w:rsidR="00E836FB" w:rsidRDefault="00994958">
            <w:pPr>
              <w:jc w:val="center"/>
              <w:textAlignment w:val="bottom"/>
            </w:pPr>
            <w:r>
              <w:rPr>
                <w:rFonts w:ascii="Arial" w:eastAsia="宋体" w:hAnsi="Arial" w:cs="Arial"/>
                <w:b/>
                <w:bCs/>
                <w:color w:val="000000"/>
                <w:sz w:val="15"/>
                <w:szCs w:val="15"/>
              </w:rPr>
              <w:t xml:space="preserve">December 31, </w:t>
            </w:r>
            <w:r>
              <w:rPr>
                <w:rFonts w:ascii="Arial" w:eastAsia="宋体" w:hAnsi="Arial" w:cs="Arial"/>
                <w:b/>
                <w:bCs/>
                <w:color w:val="000000"/>
                <w:sz w:val="15"/>
                <w:szCs w:val="15"/>
              </w:rPr>
              <w:t>2019</w:t>
            </w:r>
          </w:p>
        </w:tc>
        <w:tc>
          <w:tcPr>
            <w:tcW w:w="0" w:type="auto"/>
            <w:gridSpan w:val="3"/>
            <w:shd w:val="clear" w:color="auto" w:fill="auto"/>
            <w:tcMar>
              <w:top w:w="0" w:type="dxa"/>
              <w:left w:w="20" w:type="dxa"/>
              <w:bottom w:w="0" w:type="dxa"/>
              <w:right w:w="20" w:type="dxa"/>
            </w:tcMar>
            <w:vAlign w:val="bottom"/>
          </w:tcPr>
          <w:p w14:paraId="5F2CAC7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C78" w14:textId="77777777" w:rsidR="00E836FB" w:rsidRDefault="00994958">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2021 vs. 2020</w:t>
            </w:r>
          </w:p>
        </w:tc>
        <w:tc>
          <w:tcPr>
            <w:tcW w:w="0" w:type="auto"/>
            <w:gridSpan w:val="3"/>
            <w:shd w:val="clear" w:color="auto" w:fill="auto"/>
            <w:tcMar>
              <w:top w:w="0" w:type="dxa"/>
              <w:left w:w="20" w:type="dxa"/>
              <w:bottom w:w="0" w:type="dxa"/>
              <w:right w:w="20" w:type="dxa"/>
            </w:tcMar>
            <w:vAlign w:val="bottom"/>
          </w:tcPr>
          <w:p w14:paraId="5F2CAC7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C7A" w14:textId="77777777" w:rsidR="00E836FB" w:rsidRDefault="00994958">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2020 vs. 2019</w:t>
            </w:r>
          </w:p>
        </w:tc>
        <w:tc>
          <w:tcPr>
            <w:tcW w:w="0" w:type="auto"/>
            <w:gridSpan w:val="3"/>
            <w:shd w:val="clear" w:color="auto" w:fill="auto"/>
            <w:vAlign w:val="bottom"/>
          </w:tcPr>
          <w:p w14:paraId="5F2CAC7B" w14:textId="77777777" w:rsidR="00E836FB" w:rsidRDefault="00E836FB">
            <w:pPr>
              <w:rPr>
                <w:rFonts w:ascii="宋体"/>
                <w:vanish/>
              </w:rPr>
            </w:pPr>
          </w:p>
        </w:tc>
        <w:tc>
          <w:tcPr>
            <w:tcW w:w="0" w:type="auto"/>
            <w:gridSpan w:val="3"/>
            <w:shd w:val="clear" w:color="auto" w:fill="auto"/>
            <w:vAlign w:val="bottom"/>
          </w:tcPr>
          <w:p w14:paraId="5F2CAC7C" w14:textId="77777777" w:rsidR="00E836FB" w:rsidRDefault="00E836FB">
            <w:pPr>
              <w:rPr>
                <w:rFonts w:ascii="宋体"/>
                <w:vanish/>
              </w:rPr>
            </w:pPr>
          </w:p>
        </w:tc>
        <w:tc>
          <w:tcPr>
            <w:tcW w:w="0" w:type="auto"/>
            <w:gridSpan w:val="3"/>
            <w:shd w:val="clear" w:color="auto" w:fill="auto"/>
            <w:vAlign w:val="bottom"/>
          </w:tcPr>
          <w:p w14:paraId="5F2CAC7D" w14:textId="77777777" w:rsidR="00E836FB" w:rsidRDefault="00E836FB">
            <w:pPr>
              <w:rPr>
                <w:rFonts w:ascii="宋体"/>
                <w:vanish/>
              </w:rPr>
            </w:pPr>
          </w:p>
        </w:tc>
        <w:tc>
          <w:tcPr>
            <w:tcW w:w="0" w:type="auto"/>
            <w:gridSpan w:val="3"/>
            <w:shd w:val="clear" w:color="auto" w:fill="auto"/>
            <w:vAlign w:val="bottom"/>
          </w:tcPr>
          <w:p w14:paraId="5F2CAC7E" w14:textId="77777777" w:rsidR="00E836FB" w:rsidRDefault="00E836FB">
            <w:pPr>
              <w:rPr>
                <w:rFonts w:ascii="宋体"/>
                <w:vanish/>
              </w:rPr>
            </w:pPr>
          </w:p>
        </w:tc>
      </w:tr>
      <w:tr w:rsidR="00E836FB" w14:paraId="5F2CAC96" w14:textId="77777777">
        <w:tc>
          <w:tcPr>
            <w:tcW w:w="0" w:type="auto"/>
            <w:gridSpan w:val="3"/>
            <w:shd w:val="clear" w:color="auto" w:fill="CCEEFF"/>
            <w:tcMar>
              <w:top w:w="40" w:type="dxa"/>
              <w:left w:w="20" w:type="dxa"/>
              <w:bottom w:w="40" w:type="dxa"/>
              <w:right w:w="20" w:type="dxa"/>
            </w:tcMar>
            <w:vAlign w:val="bottom"/>
          </w:tcPr>
          <w:p w14:paraId="5F2CAC80" w14:textId="77777777" w:rsidR="00E836FB" w:rsidRDefault="00994958">
            <w:pPr>
              <w:textAlignment w:val="bottom"/>
            </w:pPr>
            <w:r>
              <w:rPr>
                <w:rFonts w:ascii="Arial" w:eastAsia="宋体" w:hAnsi="Arial" w:cs="Arial"/>
                <w:color w:val="000000"/>
                <w:sz w:val="15"/>
                <w:szCs w:val="15"/>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C81"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C82" w14:textId="77777777" w:rsidR="00E836FB" w:rsidRDefault="00994958">
            <w:pPr>
              <w:jc w:val="right"/>
              <w:textAlignment w:val="bottom"/>
            </w:pPr>
            <w:r>
              <w:rPr>
                <w:rFonts w:ascii="Arial" w:eastAsia="宋体" w:hAnsi="Arial" w:cs="Arial"/>
                <w:b/>
                <w:bCs/>
                <w:color w:val="000000"/>
                <w:sz w:val="15"/>
                <w:szCs w:val="15"/>
              </w:rPr>
              <w:t>2,931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C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8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C8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C86" w14:textId="77777777" w:rsidR="00E836FB" w:rsidRDefault="00994958">
            <w:pPr>
              <w:jc w:val="right"/>
              <w:textAlignment w:val="bottom"/>
            </w:pPr>
            <w:r>
              <w:rPr>
                <w:rFonts w:ascii="Arial" w:eastAsia="宋体" w:hAnsi="Arial" w:cs="Arial"/>
                <w:color w:val="000000"/>
                <w:sz w:val="15"/>
                <w:szCs w:val="15"/>
              </w:rPr>
              <w:t>2,411 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C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8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C8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C8A" w14:textId="77777777" w:rsidR="00E836FB" w:rsidRDefault="00994958">
            <w:pPr>
              <w:jc w:val="right"/>
              <w:textAlignment w:val="bottom"/>
            </w:pPr>
            <w:r>
              <w:rPr>
                <w:rFonts w:ascii="Arial" w:eastAsia="宋体" w:hAnsi="Arial" w:cs="Arial"/>
                <w:color w:val="000000"/>
                <w:sz w:val="15"/>
                <w:szCs w:val="15"/>
              </w:rPr>
              <w:t>2,114 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C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8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C8D" w14:textId="77777777" w:rsidR="00E836FB" w:rsidRDefault="00994958">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C8E" w14:textId="77777777" w:rsidR="00E836FB" w:rsidRDefault="00994958">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AC8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C90" w14:textId="77777777" w:rsidR="00E836FB" w:rsidRDefault="00994958">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C91" w14:textId="77777777" w:rsidR="00E836FB" w:rsidRDefault="00994958">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5F2CAC92" w14:textId="77777777" w:rsidR="00E836FB" w:rsidRDefault="00E836FB">
            <w:pPr>
              <w:rPr>
                <w:rFonts w:ascii="宋体"/>
                <w:vanish/>
              </w:rPr>
            </w:pPr>
          </w:p>
        </w:tc>
        <w:tc>
          <w:tcPr>
            <w:tcW w:w="0" w:type="auto"/>
            <w:gridSpan w:val="3"/>
            <w:shd w:val="clear" w:color="auto" w:fill="auto"/>
            <w:vAlign w:val="bottom"/>
          </w:tcPr>
          <w:p w14:paraId="5F2CAC93" w14:textId="77777777" w:rsidR="00E836FB" w:rsidRDefault="00E836FB">
            <w:pPr>
              <w:rPr>
                <w:rFonts w:ascii="宋体"/>
                <w:vanish/>
              </w:rPr>
            </w:pPr>
          </w:p>
        </w:tc>
        <w:tc>
          <w:tcPr>
            <w:tcW w:w="0" w:type="auto"/>
            <w:gridSpan w:val="3"/>
            <w:shd w:val="clear" w:color="auto" w:fill="auto"/>
            <w:vAlign w:val="bottom"/>
          </w:tcPr>
          <w:p w14:paraId="5F2CAC94" w14:textId="77777777" w:rsidR="00E836FB" w:rsidRDefault="00E836FB">
            <w:pPr>
              <w:rPr>
                <w:rFonts w:ascii="宋体"/>
                <w:vanish/>
              </w:rPr>
            </w:pPr>
          </w:p>
        </w:tc>
        <w:tc>
          <w:tcPr>
            <w:tcW w:w="0" w:type="auto"/>
            <w:gridSpan w:val="3"/>
            <w:shd w:val="clear" w:color="auto" w:fill="auto"/>
            <w:vAlign w:val="bottom"/>
          </w:tcPr>
          <w:p w14:paraId="5F2CAC95" w14:textId="77777777" w:rsidR="00E836FB" w:rsidRDefault="00E836FB">
            <w:pPr>
              <w:rPr>
                <w:rFonts w:ascii="宋体"/>
                <w:vanish/>
              </w:rPr>
            </w:pPr>
          </w:p>
        </w:tc>
      </w:tr>
      <w:tr w:rsidR="00E836FB" w14:paraId="5F2CACAA" w14:textId="77777777">
        <w:tc>
          <w:tcPr>
            <w:tcW w:w="0" w:type="auto"/>
            <w:gridSpan w:val="3"/>
            <w:shd w:val="clear" w:color="auto" w:fill="FFFFFF"/>
            <w:tcMar>
              <w:top w:w="40" w:type="dxa"/>
              <w:left w:w="20" w:type="dxa"/>
              <w:bottom w:w="40" w:type="dxa"/>
              <w:right w:w="20" w:type="dxa"/>
            </w:tcMar>
            <w:vAlign w:val="bottom"/>
          </w:tcPr>
          <w:p w14:paraId="5F2CAC97" w14:textId="77777777" w:rsidR="00E836FB" w:rsidRDefault="00994958">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5F2CAC98" w14:textId="77777777" w:rsidR="00E836FB" w:rsidRDefault="00994958">
            <w:pPr>
              <w:jc w:val="right"/>
              <w:textAlignment w:val="bottom"/>
            </w:pPr>
            <w:r>
              <w:rPr>
                <w:rFonts w:ascii="Arial" w:eastAsia="宋体" w:hAnsi="Arial" w:cs="Arial"/>
                <w:b/>
                <w:bCs/>
                <w:color w:val="000000"/>
                <w:sz w:val="15"/>
                <w:szCs w:val="15"/>
              </w:rPr>
              <w:t>592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C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C9B" w14:textId="77777777" w:rsidR="00E836FB" w:rsidRDefault="00994958">
            <w:pPr>
              <w:jc w:val="right"/>
              <w:textAlignment w:val="bottom"/>
            </w:pPr>
            <w:r>
              <w:rPr>
                <w:rFonts w:ascii="Arial" w:eastAsia="宋体" w:hAnsi="Arial" w:cs="Arial"/>
                <w:color w:val="000000"/>
                <w:sz w:val="15"/>
                <w:szCs w:val="15"/>
              </w:rPr>
              <w:t>512 </w:t>
            </w:r>
          </w:p>
        </w:tc>
        <w:tc>
          <w:tcPr>
            <w:tcW w:w="0" w:type="auto"/>
            <w:shd w:val="clear" w:color="auto" w:fill="FFFFFF"/>
            <w:tcMar>
              <w:top w:w="40" w:type="dxa"/>
              <w:left w:w="0" w:type="dxa"/>
              <w:bottom w:w="40" w:type="dxa"/>
              <w:right w:w="20" w:type="dxa"/>
            </w:tcMar>
            <w:vAlign w:val="bottom"/>
          </w:tcPr>
          <w:p w14:paraId="5F2CAC9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9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C9E" w14:textId="77777777" w:rsidR="00E836FB" w:rsidRDefault="00994958">
            <w:pPr>
              <w:jc w:val="right"/>
              <w:textAlignment w:val="bottom"/>
            </w:pPr>
            <w:r>
              <w:rPr>
                <w:rFonts w:ascii="Arial" w:eastAsia="宋体" w:hAnsi="Arial" w:cs="Arial"/>
                <w:color w:val="000000"/>
                <w:sz w:val="15"/>
                <w:szCs w:val="15"/>
              </w:rPr>
              <w:t>493 </w:t>
            </w:r>
          </w:p>
        </w:tc>
        <w:tc>
          <w:tcPr>
            <w:tcW w:w="0" w:type="auto"/>
            <w:shd w:val="clear" w:color="auto" w:fill="FFFFFF"/>
            <w:tcMar>
              <w:top w:w="40" w:type="dxa"/>
              <w:left w:w="0" w:type="dxa"/>
              <w:bottom w:w="40" w:type="dxa"/>
              <w:right w:w="20" w:type="dxa"/>
            </w:tcMar>
            <w:vAlign w:val="bottom"/>
          </w:tcPr>
          <w:p w14:paraId="5F2CAC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CA1" w14:textId="77777777" w:rsidR="00E836FB" w:rsidRDefault="00994958">
            <w:pPr>
              <w:jc w:val="right"/>
              <w:textAlignment w:val="bottom"/>
            </w:pPr>
            <w:r>
              <w:rPr>
                <w:rFonts w:ascii="Arial" w:eastAsia="宋体" w:hAnsi="Arial" w:cs="Arial"/>
                <w:color w:val="000000"/>
                <w:sz w:val="15"/>
                <w:szCs w:val="15"/>
              </w:rPr>
              <w:t>16 </w:t>
            </w:r>
          </w:p>
        </w:tc>
        <w:tc>
          <w:tcPr>
            <w:tcW w:w="0" w:type="auto"/>
            <w:shd w:val="clear" w:color="auto" w:fill="FFFFFF"/>
            <w:tcMar>
              <w:top w:w="40" w:type="dxa"/>
              <w:left w:w="0" w:type="dxa"/>
              <w:bottom w:w="40" w:type="dxa"/>
              <w:right w:w="20" w:type="dxa"/>
            </w:tcMar>
            <w:vAlign w:val="bottom"/>
          </w:tcPr>
          <w:p w14:paraId="5F2CAC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A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CA4"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F2CACA5" w14:textId="77777777" w:rsidR="00E836FB" w:rsidRDefault="00E836FB">
            <w:pPr>
              <w:jc w:val="right"/>
              <w:rPr>
                <w:rFonts w:ascii="宋体"/>
              </w:rPr>
            </w:pPr>
          </w:p>
        </w:tc>
        <w:tc>
          <w:tcPr>
            <w:tcW w:w="0" w:type="auto"/>
            <w:gridSpan w:val="3"/>
            <w:shd w:val="clear" w:color="auto" w:fill="auto"/>
            <w:vAlign w:val="bottom"/>
          </w:tcPr>
          <w:p w14:paraId="5F2CACA6" w14:textId="77777777" w:rsidR="00E836FB" w:rsidRDefault="00E836FB">
            <w:pPr>
              <w:rPr>
                <w:rFonts w:ascii="宋体"/>
                <w:vanish/>
              </w:rPr>
            </w:pPr>
          </w:p>
        </w:tc>
        <w:tc>
          <w:tcPr>
            <w:tcW w:w="0" w:type="auto"/>
            <w:gridSpan w:val="3"/>
            <w:shd w:val="clear" w:color="auto" w:fill="auto"/>
            <w:vAlign w:val="bottom"/>
          </w:tcPr>
          <w:p w14:paraId="5F2CACA7" w14:textId="77777777" w:rsidR="00E836FB" w:rsidRDefault="00E836FB">
            <w:pPr>
              <w:rPr>
                <w:rFonts w:ascii="宋体"/>
                <w:vanish/>
              </w:rPr>
            </w:pPr>
          </w:p>
        </w:tc>
        <w:tc>
          <w:tcPr>
            <w:tcW w:w="0" w:type="auto"/>
            <w:gridSpan w:val="3"/>
            <w:shd w:val="clear" w:color="auto" w:fill="auto"/>
            <w:vAlign w:val="bottom"/>
          </w:tcPr>
          <w:p w14:paraId="5F2CACA8" w14:textId="77777777" w:rsidR="00E836FB" w:rsidRDefault="00E836FB">
            <w:pPr>
              <w:rPr>
                <w:rFonts w:ascii="宋体"/>
                <w:vanish/>
              </w:rPr>
            </w:pPr>
          </w:p>
        </w:tc>
        <w:tc>
          <w:tcPr>
            <w:tcW w:w="0" w:type="auto"/>
            <w:gridSpan w:val="3"/>
            <w:shd w:val="clear" w:color="auto" w:fill="auto"/>
            <w:vAlign w:val="bottom"/>
          </w:tcPr>
          <w:p w14:paraId="5F2CACA9" w14:textId="77777777" w:rsidR="00E836FB" w:rsidRDefault="00E836FB">
            <w:pPr>
              <w:rPr>
                <w:rFonts w:ascii="宋体"/>
                <w:vanish/>
              </w:rPr>
            </w:pPr>
          </w:p>
        </w:tc>
      </w:tr>
      <w:tr w:rsidR="00E836FB" w14:paraId="5F2CACBE" w14:textId="77777777">
        <w:tc>
          <w:tcPr>
            <w:tcW w:w="0" w:type="auto"/>
            <w:gridSpan w:val="3"/>
            <w:shd w:val="clear" w:color="auto" w:fill="CCEEFF"/>
            <w:tcMar>
              <w:top w:w="40" w:type="dxa"/>
              <w:left w:w="20" w:type="dxa"/>
              <w:bottom w:w="40" w:type="dxa"/>
              <w:right w:w="20" w:type="dxa"/>
            </w:tcMar>
            <w:vAlign w:val="bottom"/>
          </w:tcPr>
          <w:p w14:paraId="5F2CACAB" w14:textId="77777777" w:rsidR="00E836FB" w:rsidRDefault="00994958">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5F2CACAC" w14:textId="77777777" w:rsidR="00E836FB" w:rsidRDefault="00994958">
            <w:pPr>
              <w:jc w:val="right"/>
              <w:textAlignment w:val="bottom"/>
            </w:pPr>
            <w:r>
              <w:rPr>
                <w:rFonts w:ascii="Arial" w:eastAsia="宋体" w:hAnsi="Arial" w:cs="Arial"/>
                <w:b/>
                <w:bCs/>
                <w:color w:val="000000"/>
                <w:sz w:val="15"/>
                <w:szCs w:val="15"/>
              </w:rPr>
              <w:t>615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C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A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CAF" w14:textId="77777777" w:rsidR="00E836FB" w:rsidRDefault="00994958">
            <w:pPr>
              <w:jc w:val="right"/>
              <w:textAlignment w:val="bottom"/>
            </w:pPr>
            <w:r>
              <w:rPr>
                <w:rFonts w:ascii="Arial" w:eastAsia="宋体" w:hAnsi="Arial" w:cs="Arial"/>
                <w:color w:val="000000"/>
                <w:sz w:val="15"/>
                <w:szCs w:val="15"/>
              </w:rPr>
              <w:t>544 </w:t>
            </w:r>
          </w:p>
        </w:tc>
        <w:tc>
          <w:tcPr>
            <w:tcW w:w="0" w:type="auto"/>
            <w:shd w:val="clear" w:color="auto" w:fill="CCEEFF"/>
            <w:tcMar>
              <w:top w:w="40" w:type="dxa"/>
              <w:left w:w="0" w:type="dxa"/>
              <w:bottom w:w="40" w:type="dxa"/>
              <w:right w:w="20" w:type="dxa"/>
            </w:tcMar>
            <w:vAlign w:val="bottom"/>
          </w:tcPr>
          <w:p w14:paraId="5F2CAC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B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CB2" w14:textId="77777777" w:rsidR="00E836FB" w:rsidRDefault="00994958">
            <w:pPr>
              <w:jc w:val="right"/>
              <w:textAlignment w:val="bottom"/>
            </w:pPr>
            <w:r>
              <w:rPr>
                <w:rFonts w:ascii="Arial" w:eastAsia="宋体" w:hAnsi="Arial" w:cs="Arial"/>
                <w:color w:val="000000"/>
                <w:sz w:val="15"/>
                <w:szCs w:val="15"/>
              </w:rPr>
              <w:t>509 </w:t>
            </w:r>
          </w:p>
        </w:tc>
        <w:tc>
          <w:tcPr>
            <w:tcW w:w="0" w:type="auto"/>
            <w:shd w:val="clear" w:color="auto" w:fill="CCEEFF"/>
            <w:tcMar>
              <w:top w:w="40" w:type="dxa"/>
              <w:left w:w="0" w:type="dxa"/>
              <w:bottom w:w="40" w:type="dxa"/>
              <w:right w:w="20" w:type="dxa"/>
            </w:tcMar>
            <w:vAlign w:val="bottom"/>
          </w:tcPr>
          <w:p w14:paraId="5F2CAC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B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CB5" w14:textId="77777777" w:rsidR="00E836FB" w:rsidRDefault="00994958">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5F2CAC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C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CB8" w14:textId="77777777" w:rsidR="00E836FB" w:rsidRDefault="00994958">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5F2CACB9" w14:textId="77777777" w:rsidR="00E836FB" w:rsidRDefault="00E836FB">
            <w:pPr>
              <w:jc w:val="right"/>
              <w:rPr>
                <w:rFonts w:ascii="宋体"/>
              </w:rPr>
            </w:pPr>
          </w:p>
        </w:tc>
        <w:tc>
          <w:tcPr>
            <w:tcW w:w="0" w:type="auto"/>
            <w:gridSpan w:val="3"/>
            <w:shd w:val="clear" w:color="auto" w:fill="auto"/>
            <w:vAlign w:val="bottom"/>
          </w:tcPr>
          <w:p w14:paraId="5F2CACBA" w14:textId="77777777" w:rsidR="00E836FB" w:rsidRDefault="00E836FB">
            <w:pPr>
              <w:rPr>
                <w:rFonts w:ascii="宋体"/>
                <w:vanish/>
              </w:rPr>
            </w:pPr>
          </w:p>
        </w:tc>
        <w:tc>
          <w:tcPr>
            <w:tcW w:w="0" w:type="auto"/>
            <w:gridSpan w:val="3"/>
            <w:shd w:val="clear" w:color="auto" w:fill="auto"/>
            <w:vAlign w:val="bottom"/>
          </w:tcPr>
          <w:p w14:paraId="5F2CACBB" w14:textId="77777777" w:rsidR="00E836FB" w:rsidRDefault="00E836FB">
            <w:pPr>
              <w:rPr>
                <w:rFonts w:ascii="宋体"/>
                <w:vanish/>
              </w:rPr>
            </w:pPr>
          </w:p>
        </w:tc>
        <w:tc>
          <w:tcPr>
            <w:tcW w:w="0" w:type="auto"/>
            <w:gridSpan w:val="3"/>
            <w:shd w:val="clear" w:color="auto" w:fill="auto"/>
            <w:vAlign w:val="bottom"/>
          </w:tcPr>
          <w:p w14:paraId="5F2CACBC" w14:textId="77777777" w:rsidR="00E836FB" w:rsidRDefault="00E836FB">
            <w:pPr>
              <w:rPr>
                <w:rFonts w:ascii="宋体"/>
                <w:vanish/>
              </w:rPr>
            </w:pPr>
          </w:p>
        </w:tc>
        <w:tc>
          <w:tcPr>
            <w:tcW w:w="0" w:type="auto"/>
            <w:gridSpan w:val="3"/>
            <w:shd w:val="clear" w:color="auto" w:fill="auto"/>
            <w:vAlign w:val="bottom"/>
          </w:tcPr>
          <w:p w14:paraId="5F2CACBD" w14:textId="77777777" w:rsidR="00E836FB" w:rsidRDefault="00E836FB">
            <w:pPr>
              <w:rPr>
                <w:rFonts w:ascii="宋体"/>
                <w:vanish/>
              </w:rPr>
            </w:pPr>
          </w:p>
        </w:tc>
      </w:tr>
      <w:tr w:rsidR="00E836FB" w14:paraId="5F2CACD5" w14:textId="77777777">
        <w:tc>
          <w:tcPr>
            <w:tcW w:w="0" w:type="auto"/>
            <w:gridSpan w:val="3"/>
            <w:shd w:val="clear" w:color="auto" w:fill="FFFFFF"/>
            <w:tcMar>
              <w:top w:w="40" w:type="dxa"/>
              <w:left w:w="20" w:type="dxa"/>
              <w:bottom w:w="40" w:type="dxa"/>
              <w:right w:w="20" w:type="dxa"/>
            </w:tcMar>
            <w:vAlign w:val="bottom"/>
          </w:tcPr>
          <w:p w14:paraId="5F2CACBF" w14:textId="77777777" w:rsidR="00E836FB" w:rsidRDefault="00994958">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CC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CC1" w14:textId="77777777" w:rsidR="00E836FB" w:rsidRDefault="00994958">
            <w:pPr>
              <w:jc w:val="right"/>
              <w:textAlignment w:val="bottom"/>
            </w:pPr>
            <w:r>
              <w:rPr>
                <w:rFonts w:ascii="Arial" w:eastAsia="宋体" w:hAnsi="Arial" w:cs="Arial"/>
                <w:b/>
                <w:bCs/>
                <w:color w:val="000000"/>
                <w:sz w:val="15"/>
                <w:szCs w:val="15"/>
              </w:rPr>
              <w:t>4,138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C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C3"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CC4"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CC5" w14:textId="77777777" w:rsidR="00E836FB" w:rsidRDefault="00994958">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C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C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ACC8"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ACC9" w14:textId="77777777" w:rsidR="00E836FB" w:rsidRDefault="00994958">
            <w:pPr>
              <w:jc w:val="right"/>
              <w:textAlignment w:val="bottom"/>
            </w:pPr>
            <w:r>
              <w:rPr>
                <w:rFonts w:ascii="Arial" w:eastAsia="宋体" w:hAnsi="Arial" w:cs="Arial"/>
                <w:color w:val="000000"/>
                <w:sz w:val="15"/>
                <w:szCs w:val="15"/>
              </w:rPr>
              <w:t>3,116 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AC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C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CCC" w14:textId="77777777" w:rsidR="00E836FB" w:rsidRDefault="00994958">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5F2CAC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C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CCF" w14:textId="77777777" w:rsidR="00E836FB" w:rsidRDefault="00994958">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5F2CACD0" w14:textId="77777777" w:rsidR="00E836FB" w:rsidRDefault="00E836FB">
            <w:pPr>
              <w:jc w:val="right"/>
              <w:rPr>
                <w:rFonts w:ascii="宋体"/>
              </w:rPr>
            </w:pPr>
          </w:p>
        </w:tc>
        <w:tc>
          <w:tcPr>
            <w:tcW w:w="0" w:type="auto"/>
            <w:gridSpan w:val="3"/>
            <w:shd w:val="clear" w:color="auto" w:fill="auto"/>
            <w:vAlign w:val="bottom"/>
          </w:tcPr>
          <w:p w14:paraId="5F2CACD1" w14:textId="77777777" w:rsidR="00E836FB" w:rsidRDefault="00E836FB">
            <w:pPr>
              <w:rPr>
                <w:rFonts w:ascii="宋体"/>
                <w:vanish/>
              </w:rPr>
            </w:pPr>
          </w:p>
        </w:tc>
        <w:tc>
          <w:tcPr>
            <w:tcW w:w="0" w:type="auto"/>
            <w:gridSpan w:val="3"/>
            <w:shd w:val="clear" w:color="auto" w:fill="auto"/>
            <w:vAlign w:val="bottom"/>
          </w:tcPr>
          <w:p w14:paraId="5F2CACD2" w14:textId="77777777" w:rsidR="00E836FB" w:rsidRDefault="00E836FB">
            <w:pPr>
              <w:rPr>
                <w:rFonts w:ascii="宋体"/>
                <w:vanish/>
              </w:rPr>
            </w:pPr>
          </w:p>
        </w:tc>
        <w:tc>
          <w:tcPr>
            <w:tcW w:w="0" w:type="auto"/>
            <w:gridSpan w:val="3"/>
            <w:shd w:val="clear" w:color="auto" w:fill="auto"/>
            <w:vAlign w:val="bottom"/>
          </w:tcPr>
          <w:p w14:paraId="5F2CACD3" w14:textId="77777777" w:rsidR="00E836FB" w:rsidRDefault="00E836FB">
            <w:pPr>
              <w:rPr>
                <w:rFonts w:ascii="宋体"/>
                <w:vanish/>
              </w:rPr>
            </w:pPr>
          </w:p>
        </w:tc>
        <w:tc>
          <w:tcPr>
            <w:tcW w:w="0" w:type="auto"/>
            <w:gridSpan w:val="3"/>
            <w:shd w:val="clear" w:color="auto" w:fill="auto"/>
            <w:vAlign w:val="bottom"/>
          </w:tcPr>
          <w:p w14:paraId="5F2CACD4" w14:textId="77777777" w:rsidR="00E836FB" w:rsidRDefault="00E836FB">
            <w:pPr>
              <w:rPr>
                <w:rFonts w:ascii="宋体"/>
                <w:vanish/>
              </w:rPr>
            </w:pPr>
          </w:p>
        </w:tc>
      </w:tr>
    </w:tbl>
    <w:p w14:paraId="5F2CACD6"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7"/>
        <w:gridCol w:w="69"/>
        <w:gridCol w:w="5892"/>
        <w:gridCol w:w="36"/>
      </w:tblGrid>
      <w:tr w:rsidR="00E836FB" w14:paraId="5F2CACDD" w14:textId="77777777">
        <w:tc>
          <w:tcPr>
            <w:tcW w:w="50" w:type="pct"/>
            <w:shd w:val="clear" w:color="auto" w:fill="auto"/>
            <w:vAlign w:val="bottom"/>
          </w:tcPr>
          <w:p w14:paraId="5F2CACD7" w14:textId="77777777" w:rsidR="00E836FB" w:rsidRDefault="00E836FB">
            <w:pPr>
              <w:rPr>
                <w:rFonts w:ascii="宋体"/>
              </w:rPr>
            </w:pPr>
          </w:p>
        </w:tc>
        <w:tc>
          <w:tcPr>
            <w:tcW w:w="1348" w:type="pct"/>
            <w:shd w:val="clear" w:color="auto" w:fill="auto"/>
            <w:vAlign w:val="bottom"/>
          </w:tcPr>
          <w:p w14:paraId="5F2CACD8" w14:textId="77777777" w:rsidR="00E836FB" w:rsidRDefault="00E836FB">
            <w:pPr>
              <w:rPr>
                <w:rFonts w:ascii="宋体"/>
              </w:rPr>
            </w:pPr>
          </w:p>
        </w:tc>
        <w:tc>
          <w:tcPr>
            <w:tcW w:w="5" w:type="pct"/>
            <w:shd w:val="clear" w:color="auto" w:fill="auto"/>
            <w:vAlign w:val="bottom"/>
          </w:tcPr>
          <w:p w14:paraId="5F2CACD9" w14:textId="77777777" w:rsidR="00E836FB" w:rsidRDefault="00E836FB">
            <w:pPr>
              <w:rPr>
                <w:rFonts w:ascii="宋体"/>
              </w:rPr>
            </w:pPr>
          </w:p>
        </w:tc>
        <w:tc>
          <w:tcPr>
            <w:tcW w:w="50" w:type="pct"/>
            <w:shd w:val="clear" w:color="auto" w:fill="auto"/>
            <w:vAlign w:val="bottom"/>
          </w:tcPr>
          <w:p w14:paraId="5F2CACDA" w14:textId="77777777" w:rsidR="00E836FB" w:rsidRDefault="00E836FB">
            <w:pPr>
              <w:rPr>
                <w:rFonts w:ascii="宋体"/>
              </w:rPr>
            </w:pPr>
          </w:p>
        </w:tc>
        <w:tc>
          <w:tcPr>
            <w:tcW w:w="3541" w:type="pct"/>
            <w:shd w:val="clear" w:color="auto" w:fill="auto"/>
            <w:vAlign w:val="bottom"/>
          </w:tcPr>
          <w:p w14:paraId="5F2CACDB" w14:textId="77777777" w:rsidR="00E836FB" w:rsidRDefault="00E836FB">
            <w:pPr>
              <w:rPr>
                <w:rFonts w:ascii="宋体"/>
              </w:rPr>
            </w:pPr>
          </w:p>
        </w:tc>
        <w:tc>
          <w:tcPr>
            <w:tcW w:w="5" w:type="pct"/>
            <w:shd w:val="clear" w:color="auto" w:fill="auto"/>
            <w:vAlign w:val="bottom"/>
          </w:tcPr>
          <w:p w14:paraId="5F2CACDC" w14:textId="77777777" w:rsidR="00E836FB" w:rsidRDefault="00E836FB">
            <w:pPr>
              <w:rPr>
                <w:rFonts w:ascii="宋体"/>
              </w:rPr>
            </w:pPr>
          </w:p>
        </w:tc>
      </w:tr>
      <w:tr w:rsidR="00E836FB" w14:paraId="5F2CACE0" w14:textId="77777777">
        <w:trPr>
          <w:trHeight w:val="60"/>
        </w:trPr>
        <w:tc>
          <w:tcPr>
            <w:tcW w:w="0" w:type="auto"/>
            <w:gridSpan w:val="3"/>
            <w:shd w:val="clear" w:color="auto" w:fill="auto"/>
            <w:tcMar>
              <w:top w:w="0" w:type="dxa"/>
              <w:left w:w="20" w:type="dxa"/>
              <w:bottom w:w="0" w:type="dxa"/>
              <w:right w:w="20" w:type="dxa"/>
            </w:tcMar>
            <w:vAlign w:val="bottom"/>
          </w:tcPr>
          <w:p w14:paraId="5F2CACD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CDF" w14:textId="77777777" w:rsidR="00E836FB" w:rsidRDefault="00E836FB">
            <w:pPr>
              <w:rPr>
                <w:rFonts w:ascii="宋体"/>
              </w:rPr>
            </w:pPr>
          </w:p>
        </w:tc>
      </w:tr>
      <w:tr w:rsidR="00E836FB" w14:paraId="5F2CACE2" w14:textId="77777777">
        <w:tc>
          <w:tcPr>
            <w:tcW w:w="0" w:type="auto"/>
            <w:gridSpan w:val="6"/>
            <w:tcBorders>
              <w:top w:val="single" w:sz="8" w:space="0" w:color="000000"/>
            </w:tcBorders>
            <w:shd w:val="clear" w:color="auto" w:fill="auto"/>
            <w:tcMar>
              <w:top w:w="40" w:type="dxa"/>
              <w:left w:w="20" w:type="dxa"/>
              <w:bottom w:w="40" w:type="dxa"/>
              <w:right w:w="20" w:type="dxa"/>
            </w:tcMar>
            <w:vAlign w:val="bottom"/>
          </w:tcPr>
          <w:p w14:paraId="5F2CACE1" w14:textId="77777777" w:rsidR="00E836FB" w:rsidRDefault="00994958">
            <w:pPr>
              <w:spacing w:before="60"/>
              <w:jc w:val="both"/>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Geographic mix is based on client </w:t>
            </w:r>
            <w:r>
              <w:rPr>
                <w:rFonts w:ascii="Arial" w:eastAsia="宋体" w:hAnsi="Arial" w:cs="Arial"/>
                <w:color w:val="000000"/>
                <w:sz w:val="13"/>
                <w:szCs w:val="13"/>
              </w:rPr>
              <w:t>location or fund management location.</w:t>
            </w:r>
          </w:p>
        </w:tc>
      </w:tr>
    </w:tbl>
    <w:p w14:paraId="5F2CACE3" w14:textId="77777777" w:rsidR="00E836FB" w:rsidRDefault="00994958">
      <w:pPr>
        <w:spacing w:before="60"/>
        <w:jc w:val="both"/>
      </w:pPr>
      <w:r>
        <w:rPr>
          <w:rFonts w:ascii="Arial" w:eastAsia="宋体" w:hAnsi="Arial" w:cs="Arial"/>
          <w:color w:val="000000"/>
          <w:sz w:val="13"/>
          <w:szCs w:val="13"/>
        </w:rPr>
        <w:t>.</w:t>
      </w:r>
    </w:p>
    <w:tbl>
      <w:tblPr>
        <w:tblW w:w="4978" w:type="pct"/>
        <w:tblCellMar>
          <w:top w:w="15" w:type="dxa"/>
          <w:left w:w="15" w:type="dxa"/>
          <w:bottom w:w="15" w:type="dxa"/>
          <w:right w:w="15" w:type="dxa"/>
        </w:tblCellMar>
        <w:tblLook w:val="04A0" w:firstRow="1" w:lastRow="0" w:firstColumn="1" w:lastColumn="0" w:noHBand="0" w:noVBand="1"/>
      </w:tblPr>
      <w:tblGrid>
        <w:gridCol w:w="50"/>
        <w:gridCol w:w="1933"/>
        <w:gridCol w:w="38"/>
        <w:gridCol w:w="105"/>
        <w:gridCol w:w="1035"/>
        <w:gridCol w:w="37"/>
        <w:gridCol w:w="36"/>
        <w:gridCol w:w="36"/>
        <w:gridCol w:w="36"/>
        <w:gridCol w:w="105"/>
        <w:gridCol w:w="985"/>
        <w:gridCol w:w="37"/>
        <w:gridCol w:w="36"/>
        <w:gridCol w:w="36"/>
        <w:gridCol w:w="36"/>
        <w:gridCol w:w="105"/>
        <w:gridCol w:w="985"/>
        <w:gridCol w:w="37"/>
        <w:gridCol w:w="36"/>
        <w:gridCol w:w="36"/>
        <w:gridCol w:w="36"/>
        <w:gridCol w:w="36"/>
        <w:gridCol w:w="36"/>
        <w:gridCol w:w="36"/>
        <w:gridCol w:w="36"/>
        <w:gridCol w:w="46"/>
        <w:gridCol w:w="827"/>
        <w:gridCol w:w="154"/>
        <w:gridCol w:w="36"/>
        <w:gridCol w:w="36"/>
        <w:gridCol w:w="36"/>
        <w:gridCol w:w="46"/>
        <w:gridCol w:w="828"/>
        <w:gridCol w:w="154"/>
        <w:gridCol w:w="36"/>
        <w:gridCol w:w="36"/>
        <w:gridCol w:w="36"/>
        <w:gridCol w:w="36"/>
        <w:gridCol w:w="36"/>
        <w:gridCol w:w="36"/>
      </w:tblGrid>
      <w:tr w:rsidR="00E836FB" w14:paraId="5F2CAD08" w14:textId="77777777">
        <w:tc>
          <w:tcPr>
            <w:tcW w:w="50" w:type="pct"/>
            <w:shd w:val="clear" w:color="auto" w:fill="auto"/>
            <w:vAlign w:val="bottom"/>
          </w:tcPr>
          <w:p w14:paraId="5F2CACE4" w14:textId="77777777" w:rsidR="00E836FB" w:rsidRDefault="00E836FB">
            <w:pPr>
              <w:rPr>
                <w:rFonts w:ascii="宋体"/>
              </w:rPr>
            </w:pPr>
          </w:p>
        </w:tc>
        <w:tc>
          <w:tcPr>
            <w:tcW w:w="1266" w:type="pct"/>
            <w:shd w:val="clear" w:color="auto" w:fill="auto"/>
            <w:vAlign w:val="bottom"/>
          </w:tcPr>
          <w:p w14:paraId="5F2CACE5" w14:textId="77777777" w:rsidR="00E836FB" w:rsidRDefault="00E836FB">
            <w:pPr>
              <w:rPr>
                <w:rFonts w:ascii="宋体"/>
              </w:rPr>
            </w:pPr>
          </w:p>
        </w:tc>
        <w:tc>
          <w:tcPr>
            <w:tcW w:w="5" w:type="pct"/>
            <w:shd w:val="clear" w:color="auto" w:fill="auto"/>
            <w:vAlign w:val="bottom"/>
          </w:tcPr>
          <w:p w14:paraId="5F2CACE6" w14:textId="77777777" w:rsidR="00E836FB" w:rsidRDefault="00E836FB">
            <w:pPr>
              <w:rPr>
                <w:rFonts w:ascii="宋体"/>
              </w:rPr>
            </w:pPr>
          </w:p>
        </w:tc>
        <w:tc>
          <w:tcPr>
            <w:tcW w:w="50" w:type="pct"/>
            <w:shd w:val="clear" w:color="auto" w:fill="auto"/>
            <w:vAlign w:val="bottom"/>
          </w:tcPr>
          <w:p w14:paraId="5F2CACE7" w14:textId="77777777" w:rsidR="00E836FB" w:rsidRDefault="00E836FB">
            <w:pPr>
              <w:rPr>
                <w:rFonts w:ascii="宋体"/>
              </w:rPr>
            </w:pPr>
          </w:p>
        </w:tc>
        <w:tc>
          <w:tcPr>
            <w:tcW w:w="686" w:type="pct"/>
            <w:shd w:val="clear" w:color="auto" w:fill="auto"/>
            <w:vAlign w:val="bottom"/>
          </w:tcPr>
          <w:p w14:paraId="5F2CACE8" w14:textId="77777777" w:rsidR="00E836FB" w:rsidRDefault="00E836FB">
            <w:pPr>
              <w:rPr>
                <w:rFonts w:ascii="宋体"/>
              </w:rPr>
            </w:pPr>
          </w:p>
        </w:tc>
        <w:tc>
          <w:tcPr>
            <w:tcW w:w="5" w:type="pct"/>
            <w:shd w:val="clear" w:color="auto" w:fill="auto"/>
            <w:vAlign w:val="bottom"/>
          </w:tcPr>
          <w:p w14:paraId="5F2CACE9" w14:textId="77777777" w:rsidR="00E836FB" w:rsidRDefault="00E836FB">
            <w:pPr>
              <w:rPr>
                <w:rFonts w:ascii="宋体"/>
              </w:rPr>
            </w:pPr>
          </w:p>
        </w:tc>
        <w:tc>
          <w:tcPr>
            <w:tcW w:w="5" w:type="pct"/>
            <w:shd w:val="clear" w:color="auto" w:fill="auto"/>
            <w:vAlign w:val="bottom"/>
          </w:tcPr>
          <w:p w14:paraId="5F2CACEA" w14:textId="77777777" w:rsidR="00E836FB" w:rsidRDefault="00E836FB">
            <w:pPr>
              <w:rPr>
                <w:rFonts w:ascii="宋体"/>
              </w:rPr>
            </w:pPr>
          </w:p>
        </w:tc>
        <w:tc>
          <w:tcPr>
            <w:tcW w:w="26" w:type="pct"/>
            <w:shd w:val="clear" w:color="auto" w:fill="auto"/>
            <w:vAlign w:val="bottom"/>
          </w:tcPr>
          <w:p w14:paraId="5F2CACEB" w14:textId="77777777" w:rsidR="00E836FB" w:rsidRDefault="00E836FB">
            <w:pPr>
              <w:rPr>
                <w:rFonts w:ascii="宋体"/>
              </w:rPr>
            </w:pPr>
          </w:p>
        </w:tc>
        <w:tc>
          <w:tcPr>
            <w:tcW w:w="5" w:type="pct"/>
            <w:shd w:val="clear" w:color="auto" w:fill="auto"/>
            <w:vAlign w:val="bottom"/>
          </w:tcPr>
          <w:p w14:paraId="5F2CACEC" w14:textId="77777777" w:rsidR="00E836FB" w:rsidRDefault="00E836FB">
            <w:pPr>
              <w:rPr>
                <w:rFonts w:ascii="宋体"/>
              </w:rPr>
            </w:pPr>
          </w:p>
        </w:tc>
        <w:tc>
          <w:tcPr>
            <w:tcW w:w="50" w:type="pct"/>
            <w:shd w:val="clear" w:color="auto" w:fill="auto"/>
            <w:vAlign w:val="bottom"/>
          </w:tcPr>
          <w:p w14:paraId="5F2CACED" w14:textId="77777777" w:rsidR="00E836FB" w:rsidRDefault="00E836FB">
            <w:pPr>
              <w:rPr>
                <w:rFonts w:ascii="宋体"/>
              </w:rPr>
            </w:pPr>
          </w:p>
        </w:tc>
        <w:tc>
          <w:tcPr>
            <w:tcW w:w="686" w:type="pct"/>
            <w:shd w:val="clear" w:color="auto" w:fill="auto"/>
            <w:vAlign w:val="bottom"/>
          </w:tcPr>
          <w:p w14:paraId="5F2CACEE" w14:textId="77777777" w:rsidR="00E836FB" w:rsidRDefault="00E836FB">
            <w:pPr>
              <w:rPr>
                <w:rFonts w:ascii="宋体"/>
              </w:rPr>
            </w:pPr>
          </w:p>
        </w:tc>
        <w:tc>
          <w:tcPr>
            <w:tcW w:w="5" w:type="pct"/>
            <w:shd w:val="clear" w:color="auto" w:fill="auto"/>
            <w:vAlign w:val="bottom"/>
          </w:tcPr>
          <w:p w14:paraId="5F2CACEF" w14:textId="77777777" w:rsidR="00E836FB" w:rsidRDefault="00E836FB">
            <w:pPr>
              <w:rPr>
                <w:rFonts w:ascii="宋体"/>
              </w:rPr>
            </w:pPr>
          </w:p>
        </w:tc>
        <w:tc>
          <w:tcPr>
            <w:tcW w:w="5" w:type="pct"/>
            <w:shd w:val="clear" w:color="auto" w:fill="auto"/>
            <w:vAlign w:val="bottom"/>
          </w:tcPr>
          <w:p w14:paraId="5F2CACF0" w14:textId="77777777" w:rsidR="00E836FB" w:rsidRDefault="00E836FB">
            <w:pPr>
              <w:rPr>
                <w:rFonts w:ascii="宋体"/>
              </w:rPr>
            </w:pPr>
          </w:p>
        </w:tc>
        <w:tc>
          <w:tcPr>
            <w:tcW w:w="26" w:type="pct"/>
            <w:shd w:val="clear" w:color="auto" w:fill="auto"/>
            <w:vAlign w:val="bottom"/>
          </w:tcPr>
          <w:p w14:paraId="5F2CACF1" w14:textId="77777777" w:rsidR="00E836FB" w:rsidRDefault="00E836FB">
            <w:pPr>
              <w:rPr>
                <w:rFonts w:ascii="宋体"/>
              </w:rPr>
            </w:pPr>
          </w:p>
        </w:tc>
        <w:tc>
          <w:tcPr>
            <w:tcW w:w="5" w:type="pct"/>
            <w:shd w:val="clear" w:color="auto" w:fill="auto"/>
            <w:vAlign w:val="bottom"/>
          </w:tcPr>
          <w:p w14:paraId="5F2CACF2" w14:textId="77777777" w:rsidR="00E836FB" w:rsidRDefault="00E836FB">
            <w:pPr>
              <w:rPr>
                <w:rFonts w:ascii="宋体"/>
              </w:rPr>
            </w:pPr>
          </w:p>
        </w:tc>
        <w:tc>
          <w:tcPr>
            <w:tcW w:w="50" w:type="pct"/>
            <w:shd w:val="clear" w:color="auto" w:fill="auto"/>
            <w:vAlign w:val="bottom"/>
          </w:tcPr>
          <w:p w14:paraId="5F2CACF3" w14:textId="77777777" w:rsidR="00E836FB" w:rsidRDefault="00E836FB">
            <w:pPr>
              <w:rPr>
                <w:rFonts w:ascii="宋体"/>
              </w:rPr>
            </w:pPr>
          </w:p>
        </w:tc>
        <w:tc>
          <w:tcPr>
            <w:tcW w:w="686" w:type="pct"/>
            <w:shd w:val="clear" w:color="auto" w:fill="auto"/>
            <w:vAlign w:val="bottom"/>
          </w:tcPr>
          <w:p w14:paraId="5F2CACF4" w14:textId="77777777" w:rsidR="00E836FB" w:rsidRDefault="00E836FB">
            <w:pPr>
              <w:rPr>
                <w:rFonts w:ascii="宋体"/>
              </w:rPr>
            </w:pPr>
          </w:p>
        </w:tc>
        <w:tc>
          <w:tcPr>
            <w:tcW w:w="5" w:type="pct"/>
            <w:shd w:val="clear" w:color="auto" w:fill="auto"/>
            <w:vAlign w:val="bottom"/>
          </w:tcPr>
          <w:p w14:paraId="5F2CACF5" w14:textId="77777777" w:rsidR="00E836FB" w:rsidRDefault="00E836FB">
            <w:pPr>
              <w:rPr>
                <w:rFonts w:ascii="宋体"/>
              </w:rPr>
            </w:pPr>
          </w:p>
        </w:tc>
        <w:tc>
          <w:tcPr>
            <w:tcW w:w="5" w:type="pct"/>
            <w:shd w:val="clear" w:color="auto" w:fill="auto"/>
            <w:vAlign w:val="bottom"/>
          </w:tcPr>
          <w:p w14:paraId="5F2CACF6" w14:textId="77777777" w:rsidR="00E836FB" w:rsidRDefault="00E836FB">
            <w:pPr>
              <w:rPr>
                <w:rFonts w:ascii="宋体"/>
              </w:rPr>
            </w:pPr>
          </w:p>
        </w:tc>
        <w:tc>
          <w:tcPr>
            <w:tcW w:w="26" w:type="pct"/>
            <w:shd w:val="clear" w:color="auto" w:fill="auto"/>
            <w:vAlign w:val="bottom"/>
          </w:tcPr>
          <w:p w14:paraId="5F2CACF7" w14:textId="77777777" w:rsidR="00E836FB" w:rsidRDefault="00E836FB">
            <w:pPr>
              <w:rPr>
                <w:rFonts w:ascii="宋体"/>
              </w:rPr>
            </w:pPr>
          </w:p>
        </w:tc>
        <w:tc>
          <w:tcPr>
            <w:tcW w:w="5" w:type="pct"/>
            <w:shd w:val="clear" w:color="auto" w:fill="auto"/>
            <w:vAlign w:val="bottom"/>
          </w:tcPr>
          <w:p w14:paraId="5F2CACF8" w14:textId="77777777" w:rsidR="00E836FB" w:rsidRDefault="00E836FB">
            <w:pPr>
              <w:rPr>
                <w:rFonts w:ascii="宋体"/>
              </w:rPr>
            </w:pPr>
          </w:p>
        </w:tc>
        <w:tc>
          <w:tcPr>
            <w:tcW w:w="0" w:type="auto"/>
            <w:shd w:val="clear" w:color="auto" w:fill="auto"/>
            <w:vAlign w:val="bottom"/>
          </w:tcPr>
          <w:p w14:paraId="5F2CACF9" w14:textId="77777777" w:rsidR="00E836FB" w:rsidRDefault="00E836FB">
            <w:pPr>
              <w:rPr>
                <w:rFonts w:ascii="宋体"/>
                <w:vanish/>
              </w:rPr>
            </w:pPr>
          </w:p>
        </w:tc>
        <w:tc>
          <w:tcPr>
            <w:tcW w:w="0" w:type="auto"/>
            <w:shd w:val="clear" w:color="auto" w:fill="auto"/>
            <w:vAlign w:val="bottom"/>
          </w:tcPr>
          <w:p w14:paraId="5F2CACFA" w14:textId="77777777" w:rsidR="00E836FB" w:rsidRDefault="00E836FB">
            <w:pPr>
              <w:rPr>
                <w:rFonts w:ascii="宋体"/>
                <w:vanish/>
              </w:rPr>
            </w:pPr>
          </w:p>
        </w:tc>
        <w:tc>
          <w:tcPr>
            <w:tcW w:w="0" w:type="auto"/>
            <w:shd w:val="clear" w:color="auto" w:fill="auto"/>
            <w:vAlign w:val="bottom"/>
          </w:tcPr>
          <w:p w14:paraId="5F2CACFB" w14:textId="77777777" w:rsidR="00E836FB" w:rsidRDefault="00E836FB">
            <w:pPr>
              <w:rPr>
                <w:rFonts w:ascii="宋体"/>
                <w:vanish/>
              </w:rPr>
            </w:pPr>
          </w:p>
        </w:tc>
        <w:tc>
          <w:tcPr>
            <w:tcW w:w="0" w:type="auto"/>
            <w:shd w:val="clear" w:color="auto" w:fill="auto"/>
            <w:vAlign w:val="bottom"/>
          </w:tcPr>
          <w:p w14:paraId="5F2CACFC" w14:textId="77777777" w:rsidR="00E836FB" w:rsidRDefault="00E836FB">
            <w:pPr>
              <w:rPr>
                <w:rFonts w:ascii="宋体"/>
                <w:vanish/>
              </w:rPr>
            </w:pPr>
          </w:p>
        </w:tc>
        <w:tc>
          <w:tcPr>
            <w:tcW w:w="50" w:type="pct"/>
            <w:shd w:val="clear" w:color="auto" w:fill="auto"/>
            <w:vAlign w:val="bottom"/>
          </w:tcPr>
          <w:p w14:paraId="5F2CACFD" w14:textId="77777777" w:rsidR="00E836FB" w:rsidRDefault="00E836FB">
            <w:pPr>
              <w:rPr>
                <w:rFonts w:ascii="宋体"/>
              </w:rPr>
            </w:pPr>
          </w:p>
        </w:tc>
        <w:tc>
          <w:tcPr>
            <w:tcW w:w="598" w:type="pct"/>
            <w:shd w:val="clear" w:color="auto" w:fill="auto"/>
            <w:vAlign w:val="bottom"/>
          </w:tcPr>
          <w:p w14:paraId="5F2CACFE" w14:textId="77777777" w:rsidR="00E836FB" w:rsidRDefault="00E836FB">
            <w:pPr>
              <w:rPr>
                <w:rFonts w:ascii="宋体"/>
              </w:rPr>
            </w:pPr>
          </w:p>
        </w:tc>
        <w:tc>
          <w:tcPr>
            <w:tcW w:w="5" w:type="pct"/>
            <w:shd w:val="clear" w:color="auto" w:fill="auto"/>
            <w:vAlign w:val="bottom"/>
          </w:tcPr>
          <w:p w14:paraId="5F2CACFF" w14:textId="77777777" w:rsidR="00E836FB" w:rsidRDefault="00E836FB">
            <w:pPr>
              <w:rPr>
                <w:rFonts w:ascii="宋体"/>
              </w:rPr>
            </w:pPr>
          </w:p>
        </w:tc>
        <w:tc>
          <w:tcPr>
            <w:tcW w:w="5" w:type="pct"/>
            <w:shd w:val="clear" w:color="auto" w:fill="auto"/>
            <w:vAlign w:val="bottom"/>
          </w:tcPr>
          <w:p w14:paraId="5F2CAD00" w14:textId="77777777" w:rsidR="00E836FB" w:rsidRDefault="00E836FB">
            <w:pPr>
              <w:rPr>
                <w:rFonts w:ascii="宋体"/>
              </w:rPr>
            </w:pPr>
          </w:p>
        </w:tc>
        <w:tc>
          <w:tcPr>
            <w:tcW w:w="26" w:type="pct"/>
            <w:shd w:val="clear" w:color="auto" w:fill="auto"/>
            <w:vAlign w:val="bottom"/>
          </w:tcPr>
          <w:p w14:paraId="5F2CAD01" w14:textId="77777777" w:rsidR="00E836FB" w:rsidRDefault="00E836FB">
            <w:pPr>
              <w:rPr>
                <w:rFonts w:ascii="宋体"/>
              </w:rPr>
            </w:pPr>
          </w:p>
        </w:tc>
        <w:tc>
          <w:tcPr>
            <w:tcW w:w="5" w:type="pct"/>
            <w:shd w:val="clear" w:color="auto" w:fill="auto"/>
            <w:vAlign w:val="bottom"/>
          </w:tcPr>
          <w:p w14:paraId="5F2CAD02" w14:textId="77777777" w:rsidR="00E836FB" w:rsidRDefault="00E836FB">
            <w:pPr>
              <w:rPr>
                <w:rFonts w:ascii="宋体"/>
              </w:rPr>
            </w:pPr>
          </w:p>
        </w:tc>
        <w:tc>
          <w:tcPr>
            <w:tcW w:w="50" w:type="pct"/>
            <w:shd w:val="clear" w:color="auto" w:fill="auto"/>
            <w:vAlign w:val="bottom"/>
          </w:tcPr>
          <w:p w14:paraId="5F2CAD03" w14:textId="77777777" w:rsidR="00E836FB" w:rsidRDefault="00E836FB">
            <w:pPr>
              <w:rPr>
                <w:rFonts w:ascii="宋体"/>
              </w:rPr>
            </w:pPr>
          </w:p>
        </w:tc>
        <w:tc>
          <w:tcPr>
            <w:tcW w:w="598" w:type="pct"/>
            <w:shd w:val="clear" w:color="auto" w:fill="auto"/>
            <w:vAlign w:val="bottom"/>
          </w:tcPr>
          <w:p w14:paraId="5F2CAD04" w14:textId="77777777" w:rsidR="00E836FB" w:rsidRDefault="00E836FB">
            <w:pPr>
              <w:rPr>
                <w:rFonts w:ascii="宋体"/>
              </w:rPr>
            </w:pPr>
          </w:p>
        </w:tc>
        <w:tc>
          <w:tcPr>
            <w:tcW w:w="5" w:type="pct"/>
            <w:shd w:val="clear" w:color="auto" w:fill="auto"/>
            <w:vAlign w:val="bottom"/>
          </w:tcPr>
          <w:p w14:paraId="5F2CAD05" w14:textId="77777777" w:rsidR="00E836FB" w:rsidRDefault="00E836FB">
            <w:pPr>
              <w:rPr>
                <w:rFonts w:ascii="宋体"/>
              </w:rPr>
            </w:pPr>
          </w:p>
        </w:tc>
        <w:tc>
          <w:tcPr>
            <w:tcW w:w="0" w:type="auto"/>
            <w:gridSpan w:val="3"/>
            <w:shd w:val="clear" w:color="auto" w:fill="auto"/>
            <w:vAlign w:val="bottom"/>
          </w:tcPr>
          <w:p w14:paraId="5F2CAD06" w14:textId="77777777" w:rsidR="00E836FB" w:rsidRDefault="00E836FB">
            <w:pPr>
              <w:rPr>
                <w:rFonts w:ascii="宋体"/>
                <w:vanish/>
              </w:rPr>
            </w:pPr>
          </w:p>
        </w:tc>
        <w:tc>
          <w:tcPr>
            <w:tcW w:w="0" w:type="auto"/>
            <w:gridSpan w:val="3"/>
            <w:shd w:val="clear" w:color="auto" w:fill="auto"/>
            <w:vAlign w:val="bottom"/>
          </w:tcPr>
          <w:p w14:paraId="5F2CAD07" w14:textId="77777777" w:rsidR="00E836FB" w:rsidRDefault="00E836FB">
            <w:pPr>
              <w:rPr>
                <w:rFonts w:ascii="宋体"/>
                <w:vanish/>
              </w:rPr>
            </w:pPr>
          </w:p>
        </w:tc>
      </w:tr>
      <w:tr w:rsidR="00E836FB" w14:paraId="5F2CAD18" w14:textId="77777777">
        <w:tc>
          <w:tcPr>
            <w:tcW w:w="0" w:type="auto"/>
            <w:gridSpan w:val="24"/>
            <w:shd w:val="clear" w:color="auto" w:fill="auto"/>
            <w:tcMar>
              <w:top w:w="40" w:type="dxa"/>
              <w:left w:w="20" w:type="dxa"/>
              <w:bottom w:w="40" w:type="dxa"/>
              <w:right w:w="20" w:type="dxa"/>
            </w:tcMar>
            <w:vAlign w:val="bottom"/>
          </w:tcPr>
          <w:p w14:paraId="5F2CAD09" w14:textId="77777777" w:rsidR="00E836FB" w:rsidRDefault="00994958">
            <w:pPr>
              <w:textAlignment w:val="bottom"/>
            </w:pPr>
            <w:r>
              <w:rPr>
                <w:rFonts w:ascii="Arial" w:eastAsia="宋体" w:hAnsi="Arial" w:cs="Arial"/>
                <w:b/>
                <w:bCs/>
                <w:color w:val="000000"/>
                <w:sz w:val="16"/>
                <w:szCs w:val="16"/>
              </w:rPr>
              <w:t>TABLE 11: EXCHANGE - TRADED FUNDS BY ASSET CLASS</w:t>
            </w:r>
            <w:r>
              <w:rPr>
                <w:rFonts w:ascii="Arial" w:eastAsia="宋体" w:hAnsi="Arial" w:cs="Arial"/>
                <w:b/>
                <w:bCs/>
                <w:color w:val="000000"/>
                <w:sz w:val="10"/>
                <w:szCs w:val="10"/>
              </w:rPr>
              <w:t>(1)</w:t>
            </w:r>
          </w:p>
        </w:tc>
        <w:tc>
          <w:tcPr>
            <w:tcW w:w="0" w:type="auto"/>
            <w:shd w:val="clear" w:color="auto" w:fill="auto"/>
            <w:vAlign w:val="bottom"/>
          </w:tcPr>
          <w:p w14:paraId="5F2CAD0A" w14:textId="77777777" w:rsidR="00E836FB" w:rsidRDefault="00E836FB">
            <w:pPr>
              <w:rPr>
                <w:rFonts w:ascii="宋体"/>
                <w:vanish/>
              </w:rPr>
            </w:pPr>
          </w:p>
        </w:tc>
        <w:tc>
          <w:tcPr>
            <w:tcW w:w="0" w:type="auto"/>
            <w:gridSpan w:val="3"/>
            <w:shd w:val="clear" w:color="auto" w:fill="auto"/>
            <w:vAlign w:val="bottom"/>
          </w:tcPr>
          <w:p w14:paraId="5F2CAD0B" w14:textId="77777777" w:rsidR="00E836FB" w:rsidRDefault="00E836FB">
            <w:pPr>
              <w:rPr>
                <w:rFonts w:ascii="宋体"/>
                <w:vanish/>
              </w:rPr>
            </w:pPr>
          </w:p>
        </w:tc>
        <w:tc>
          <w:tcPr>
            <w:tcW w:w="0" w:type="auto"/>
            <w:shd w:val="clear" w:color="auto" w:fill="auto"/>
            <w:vAlign w:val="bottom"/>
          </w:tcPr>
          <w:p w14:paraId="5F2CAD0C" w14:textId="77777777" w:rsidR="00E836FB" w:rsidRDefault="00E836FB">
            <w:pPr>
              <w:rPr>
                <w:rFonts w:ascii="宋体"/>
              </w:rPr>
            </w:pPr>
          </w:p>
        </w:tc>
        <w:tc>
          <w:tcPr>
            <w:tcW w:w="0" w:type="auto"/>
            <w:shd w:val="clear" w:color="auto" w:fill="auto"/>
            <w:vAlign w:val="bottom"/>
          </w:tcPr>
          <w:p w14:paraId="5F2CAD0D" w14:textId="77777777" w:rsidR="00E836FB" w:rsidRDefault="00E836FB">
            <w:pPr>
              <w:rPr>
                <w:rFonts w:ascii="宋体"/>
              </w:rPr>
            </w:pPr>
          </w:p>
        </w:tc>
        <w:tc>
          <w:tcPr>
            <w:tcW w:w="0" w:type="auto"/>
            <w:shd w:val="clear" w:color="auto" w:fill="auto"/>
            <w:vAlign w:val="bottom"/>
          </w:tcPr>
          <w:p w14:paraId="5F2CAD0E" w14:textId="77777777" w:rsidR="00E836FB" w:rsidRDefault="00E836FB">
            <w:pPr>
              <w:rPr>
                <w:rFonts w:ascii="宋体"/>
              </w:rPr>
            </w:pPr>
          </w:p>
        </w:tc>
        <w:tc>
          <w:tcPr>
            <w:tcW w:w="0" w:type="auto"/>
            <w:shd w:val="clear" w:color="auto" w:fill="auto"/>
            <w:vAlign w:val="bottom"/>
          </w:tcPr>
          <w:p w14:paraId="5F2CAD0F" w14:textId="77777777" w:rsidR="00E836FB" w:rsidRDefault="00E836FB">
            <w:pPr>
              <w:rPr>
                <w:rFonts w:ascii="宋体"/>
              </w:rPr>
            </w:pPr>
          </w:p>
        </w:tc>
        <w:tc>
          <w:tcPr>
            <w:tcW w:w="0" w:type="auto"/>
            <w:shd w:val="clear" w:color="auto" w:fill="auto"/>
            <w:vAlign w:val="bottom"/>
          </w:tcPr>
          <w:p w14:paraId="5F2CAD10" w14:textId="77777777" w:rsidR="00E836FB" w:rsidRDefault="00E836FB">
            <w:pPr>
              <w:rPr>
                <w:rFonts w:ascii="宋体"/>
              </w:rPr>
            </w:pPr>
          </w:p>
        </w:tc>
        <w:tc>
          <w:tcPr>
            <w:tcW w:w="0" w:type="auto"/>
            <w:shd w:val="clear" w:color="auto" w:fill="auto"/>
            <w:vAlign w:val="bottom"/>
          </w:tcPr>
          <w:p w14:paraId="5F2CAD11" w14:textId="77777777" w:rsidR="00E836FB" w:rsidRDefault="00E836FB">
            <w:pPr>
              <w:rPr>
                <w:rFonts w:ascii="宋体"/>
              </w:rPr>
            </w:pPr>
          </w:p>
        </w:tc>
        <w:tc>
          <w:tcPr>
            <w:tcW w:w="0" w:type="auto"/>
            <w:shd w:val="clear" w:color="auto" w:fill="auto"/>
            <w:vAlign w:val="bottom"/>
          </w:tcPr>
          <w:p w14:paraId="5F2CAD12" w14:textId="77777777" w:rsidR="00E836FB" w:rsidRDefault="00E836FB">
            <w:pPr>
              <w:rPr>
                <w:rFonts w:ascii="宋体"/>
              </w:rPr>
            </w:pPr>
          </w:p>
        </w:tc>
        <w:tc>
          <w:tcPr>
            <w:tcW w:w="0" w:type="auto"/>
            <w:shd w:val="clear" w:color="auto" w:fill="auto"/>
            <w:vAlign w:val="bottom"/>
          </w:tcPr>
          <w:p w14:paraId="5F2CAD13" w14:textId="77777777" w:rsidR="00E836FB" w:rsidRDefault="00E836FB">
            <w:pPr>
              <w:rPr>
                <w:rFonts w:ascii="宋体"/>
              </w:rPr>
            </w:pPr>
          </w:p>
        </w:tc>
        <w:tc>
          <w:tcPr>
            <w:tcW w:w="0" w:type="auto"/>
            <w:shd w:val="clear" w:color="auto" w:fill="auto"/>
            <w:vAlign w:val="bottom"/>
          </w:tcPr>
          <w:p w14:paraId="5F2CAD14" w14:textId="77777777" w:rsidR="00E836FB" w:rsidRDefault="00E836FB">
            <w:pPr>
              <w:rPr>
                <w:rFonts w:ascii="宋体"/>
              </w:rPr>
            </w:pPr>
          </w:p>
        </w:tc>
        <w:tc>
          <w:tcPr>
            <w:tcW w:w="0" w:type="auto"/>
            <w:shd w:val="clear" w:color="auto" w:fill="auto"/>
            <w:vAlign w:val="bottom"/>
          </w:tcPr>
          <w:p w14:paraId="5F2CAD15" w14:textId="77777777" w:rsidR="00E836FB" w:rsidRDefault="00E836FB">
            <w:pPr>
              <w:rPr>
                <w:rFonts w:ascii="宋体"/>
              </w:rPr>
            </w:pPr>
          </w:p>
        </w:tc>
        <w:tc>
          <w:tcPr>
            <w:tcW w:w="0" w:type="auto"/>
            <w:shd w:val="clear" w:color="auto" w:fill="auto"/>
            <w:vAlign w:val="bottom"/>
          </w:tcPr>
          <w:p w14:paraId="5F2CAD16" w14:textId="77777777" w:rsidR="00E836FB" w:rsidRDefault="00E836FB">
            <w:pPr>
              <w:rPr>
                <w:rFonts w:ascii="宋体"/>
              </w:rPr>
            </w:pPr>
          </w:p>
        </w:tc>
        <w:tc>
          <w:tcPr>
            <w:tcW w:w="0" w:type="auto"/>
            <w:shd w:val="clear" w:color="auto" w:fill="auto"/>
            <w:vAlign w:val="bottom"/>
          </w:tcPr>
          <w:p w14:paraId="5F2CAD17" w14:textId="77777777" w:rsidR="00E836FB" w:rsidRDefault="00E836FB">
            <w:pPr>
              <w:rPr>
                <w:rFonts w:ascii="宋体"/>
              </w:rPr>
            </w:pPr>
          </w:p>
        </w:tc>
      </w:tr>
      <w:tr w:rsidR="00E836FB" w14:paraId="5F2CAD29" w14:textId="77777777">
        <w:tc>
          <w:tcPr>
            <w:tcW w:w="0" w:type="auto"/>
            <w:gridSpan w:val="3"/>
            <w:shd w:val="clear" w:color="auto" w:fill="auto"/>
            <w:tcMar>
              <w:top w:w="40" w:type="dxa"/>
              <w:left w:w="20" w:type="dxa"/>
              <w:bottom w:w="40" w:type="dxa"/>
              <w:right w:w="20" w:type="dxa"/>
            </w:tcMar>
            <w:vAlign w:val="bottom"/>
          </w:tcPr>
          <w:p w14:paraId="5F2CAD19" w14:textId="77777777" w:rsidR="00E836FB" w:rsidRDefault="00994958">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F2CAD1A"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CAD1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1C" w14:textId="77777777" w:rsidR="00E836FB" w:rsidRDefault="00994958">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F2CAD1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1E" w14:textId="77777777" w:rsidR="00E836FB" w:rsidRDefault="00994958">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top w:w="0" w:type="dxa"/>
              <w:left w:w="20" w:type="dxa"/>
              <w:bottom w:w="0" w:type="dxa"/>
              <w:right w:w="20" w:type="dxa"/>
            </w:tcMar>
            <w:vAlign w:val="bottom"/>
          </w:tcPr>
          <w:p w14:paraId="5F2CAD1F" w14:textId="77777777" w:rsidR="00E836FB" w:rsidRDefault="00E836FB">
            <w:pPr>
              <w:rPr>
                <w:rFonts w:ascii="宋体"/>
              </w:rPr>
            </w:pPr>
          </w:p>
        </w:tc>
        <w:tc>
          <w:tcPr>
            <w:tcW w:w="0" w:type="auto"/>
            <w:shd w:val="clear" w:color="auto" w:fill="auto"/>
            <w:vAlign w:val="bottom"/>
          </w:tcPr>
          <w:p w14:paraId="5F2CAD20" w14:textId="77777777" w:rsidR="00E836FB" w:rsidRDefault="00E836FB">
            <w:pPr>
              <w:rPr>
                <w:rFonts w:ascii="宋体"/>
                <w:vanish/>
              </w:rPr>
            </w:pPr>
          </w:p>
        </w:tc>
        <w:tc>
          <w:tcPr>
            <w:tcW w:w="0" w:type="auto"/>
            <w:shd w:val="clear" w:color="auto" w:fill="auto"/>
            <w:vAlign w:val="bottom"/>
          </w:tcPr>
          <w:p w14:paraId="5F2CAD21" w14:textId="77777777" w:rsidR="00E836FB" w:rsidRDefault="00E836FB">
            <w:pPr>
              <w:rPr>
                <w:rFonts w:ascii="宋体"/>
                <w:vanish/>
              </w:rPr>
            </w:pPr>
          </w:p>
        </w:tc>
        <w:tc>
          <w:tcPr>
            <w:tcW w:w="0" w:type="auto"/>
            <w:shd w:val="clear" w:color="auto" w:fill="auto"/>
            <w:vAlign w:val="bottom"/>
          </w:tcPr>
          <w:p w14:paraId="5F2CAD22" w14:textId="77777777" w:rsidR="00E836FB" w:rsidRDefault="00E836FB">
            <w:pPr>
              <w:rPr>
                <w:rFonts w:ascii="宋体"/>
                <w:vanish/>
              </w:rPr>
            </w:pPr>
          </w:p>
        </w:tc>
        <w:tc>
          <w:tcPr>
            <w:tcW w:w="0" w:type="auto"/>
            <w:shd w:val="clear" w:color="auto" w:fill="auto"/>
            <w:vAlign w:val="bottom"/>
          </w:tcPr>
          <w:p w14:paraId="5F2CAD23" w14:textId="77777777" w:rsidR="00E836FB" w:rsidRDefault="00E836FB">
            <w:pPr>
              <w:rPr>
                <w:rFonts w:ascii="宋体"/>
                <w:vanish/>
              </w:rPr>
            </w:pPr>
          </w:p>
        </w:tc>
        <w:tc>
          <w:tcPr>
            <w:tcW w:w="0" w:type="auto"/>
            <w:gridSpan w:val="3"/>
            <w:shd w:val="clear" w:color="auto" w:fill="auto"/>
            <w:tcMar>
              <w:top w:w="40" w:type="dxa"/>
              <w:left w:w="20" w:type="dxa"/>
              <w:bottom w:w="40" w:type="dxa"/>
              <w:right w:w="20" w:type="dxa"/>
            </w:tcMar>
            <w:vAlign w:val="bottom"/>
          </w:tcPr>
          <w:p w14:paraId="5F2CAD24" w14:textId="77777777" w:rsidR="00E836FB" w:rsidRDefault="00994958">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2021 vs. 2020</w:t>
            </w:r>
          </w:p>
        </w:tc>
        <w:tc>
          <w:tcPr>
            <w:tcW w:w="0" w:type="auto"/>
            <w:gridSpan w:val="3"/>
            <w:shd w:val="clear" w:color="auto" w:fill="auto"/>
            <w:tcMar>
              <w:top w:w="0" w:type="dxa"/>
              <w:left w:w="20" w:type="dxa"/>
              <w:bottom w:w="0" w:type="dxa"/>
              <w:right w:w="20" w:type="dxa"/>
            </w:tcMar>
            <w:vAlign w:val="bottom"/>
          </w:tcPr>
          <w:p w14:paraId="5F2CAD2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26" w14:textId="77777777" w:rsidR="00E836FB" w:rsidRDefault="00994958">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2020 vs. 2019</w:t>
            </w:r>
          </w:p>
        </w:tc>
        <w:tc>
          <w:tcPr>
            <w:tcW w:w="0" w:type="auto"/>
            <w:gridSpan w:val="3"/>
            <w:shd w:val="clear" w:color="auto" w:fill="auto"/>
            <w:vAlign w:val="bottom"/>
          </w:tcPr>
          <w:p w14:paraId="5F2CAD27" w14:textId="77777777" w:rsidR="00E836FB" w:rsidRDefault="00E836FB">
            <w:pPr>
              <w:rPr>
                <w:rFonts w:ascii="宋体"/>
                <w:vanish/>
              </w:rPr>
            </w:pPr>
          </w:p>
        </w:tc>
        <w:tc>
          <w:tcPr>
            <w:tcW w:w="0" w:type="auto"/>
            <w:gridSpan w:val="3"/>
            <w:shd w:val="clear" w:color="auto" w:fill="auto"/>
            <w:vAlign w:val="bottom"/>
          </w:tcPr>
          <w:p w14:paraId="5F2CAD28" w14:textId="77777777" w:rsidR="00E836FB" w:rsidRDefault="00E836FB">
            <w:pPr>
              <w:rPr>
                <w:rFonts w:ascii="宋体"/>
                <w:vanish/>
              </w:rPr>
            </w:pPr>
          </w:p>
        </w:tc>
      </w:tr>
      <w:tr w:rsidR="00E836FB" w14:paraId="5F2CAD42" w14:textId="77777777">
        <w:tc>
          <w:tcPr>
            <w:tcW w:w="0" w:type="auto"/>
            <w:gridSpan w:val="3"/>
            <w:shd w:val="clear" w:color="auto" w:fill="CCEEFF"/>
            <w:tcMar>
              <w:top w:w="40" w:type="dxa"/>
              <w:left w:w="20" w:type="dxa"/>
              <w:bottom w:w="40" w:type="dxa"/>
              <w:right w:w="20" w:type="dxa"/>
            </w:tcMar>
            <w:vAlign w:val="bottom"/>
          </w:tcPr>
          <w:p w14:paraId="5F2CAD2A" w14:textId="77777777" w:rsidR="00E836FB" w:rsidRDefault="00994958">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D2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D2C" w14:textId="77777777" w:rsidR="00E836FB" w:rsidRDefault="00994958">
            <w:pPr>
              <w:jc w:val="right"/>
              <w:textAlignment w:val="bottom"/>
            </w:pPr>
            <w:r>
              <w:rPr>
                <w:rFonts w:ascii="Arial" w:eastAsia="宋体" w:hAnsi="Arial" w:cs="Arial"/>
                <w:b/>
                <w:bCs/>
                <w:color w:val="000000"/>
                <w:sz w:val="15"/>
                <w:szCs w:val="15"/>
              </w:rPr>
              <w:t>72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D2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2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D2F"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D30" w14:textId="77777777" w:rsidR="00E836FB" w:rsidRDefault="00994958">
            <w:pPr>
              <w:jc w:val="right"/>
              <w:textAlignment w:val="bottom"/>
            </w:pPr>
            <w:r>
              <w:rPr>
                <w:rFonts w:ascii="Arial" w:eastAsia="宋体" w:hAnsi="Arial" w:cs="Arial"/>
                <w:color w:val="000000"/>
                <w:sz w:val="15"/>
                <w:szCs w:val="15"/>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D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3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D3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D34" w14:textId="77777777" w:rsidR="00E836FB" w:rsidRDefault="00994958">
            <w:pPr>
              <w:jc w:val="right"/>
              <w:textAlignment w:val="bottom"/>
            </w:pPr>
            <w:r>
              <w:rPr>
                <w:rFonts w:ascii="Arial" w:eastAsia="宋体" w:hAnsi="Arial" w:cs="Arial"/>
                <w:color w:val="000000"/>
                <w:sz w:val="15"/>
                <w:szCs w:val="15"/>
              </w:rPr>
              <w:t>56 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D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36" w14:textId="77777777" w:rsidR="00E836FB" w:rsidRDefault="00E836FB">
            <w:pPr>
              <w:rPr>
                <w:rFonts w:ascii="宋体"/>
              </w:rPr>
            </w:pPr>
          </w:p>
        </w:tc>
        <w:tc>
          <w:tcPr>
            <w:tcW w:w="0" w:type="auto"/>
            <w:shd w:val="clear" w:color="auto" w:fill="auto"/>
            <w:vAlign w:val="bottom"/>
          </w:tcPr>
          <w:p w14:paraId="5F2CAD37" w14:textId="77777777" w:rsidR="00E836FB" w:rsidRDefault="00E836FB">
            <w:pPr>
              <w:rPr>
                <w:rFonts w:ascii="宋体"/>
                <w:vanish/>
              </w:rPr>
            </w:pPr>
          </w:p>
        </w:tc>
        <w:tc>
          <w:tcPr>
            <w:tcW w:w="0" w:type="auto"/>
            <w:shd w:val="clear" w:color="auto" w:fill="auto"/>
            <w:vAlign w:val="bottom"/>
          </w:tcPr>
          <w:p w14:paraId="5F2CAD38" w14:textId="77777777" w:rsidR="00E836FB" w:rsidRDefault="00E836FB">
            <w:pPr>
              <w:rPr>
                <w:rFonts w:ascii="宋体"/>
                <w:vanish/>
              </w:rPr>
            </w:pPr>
          </w:p>
        </w:tc>
        <w:tc>
          <w:tcPr>
            <w:tcW w:w="0" w:type="auto"/>
            <w:shd w:val="clear" w:color="auto" w:fill="auto"/>
            <w:vAlign w:val="bottom"/>
          </w:tcPr>
          <w:p w14:paraId="5F2CAD39" w14:textId="77777777" w:rsidR="00E836FB" w:rsidRDefault="00E836FB">
            <w:pPr>
              <w:rPr>
                <w:rFonts w:ascii="宋体"/>
                <w:vanish/>
              </w:rPr>
            </w:pPr>
          </w:p>
        </w:tc>
        <w:tc>
          <w:tcPr>
            <w:tcW w:w="0" w:type="auto"/>
            <w:shd w:val="clear" w:color="auto" w:fill="auto"/>
            <w:vAlign w:val="bottom"/>
          </w:tcPr>
          <w:p w14:paraId="5F2CAD3A"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D3B" w14:textId="77777777" w:rsidR="00E836FB" w:rsidRDefault="00994958">
            <w:pPr>
              <w:jc w:val="right"/>
              <w:textAlignment w:val="bottom"/>
            </w:pPr>
            <w:r>
              <w:rPr>
                <w:rFonts w:ascii="Arial" w:eastAsia="宋体" w:hAnsi="Arial" w:cs="Arial"/>
                <w:color w:val="000000"/>
                <w:sz w:val="15"/>
                <w:szCs w:val="15"/>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D3C" w14:textId="77777777" w:rsidR="00E836FB" w:rsidRDefault="00994958">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AD3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D3E" w14:textId="77777777" w:rsidR="00E836FB" w:rsidRDefault="00994958">
            <w:pPr>
              <w:jc w:val="right"/>
              <w:textAlignment w:val="bottom"/>
            </w:pPr>
            <w:r>
              <w:rPr>
                <w:rFonts w:ascii="Arial" w:eastAsia="宋体" w:hAnsi="Arial" w:cs="Arial"/>
                <w:color w:val="000000"/>
                <w:sz w:val="15"/>
                <w:szCs w:val="15"/>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D3F" w14:textId="77777777" w:rsidR="00E836FB" w:rsidRDefault="00994958">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5F2CAD40" w14:textId="77777777" w:rsidR="00E836FB" w:rsidRDefault="00E836FB">
            <w:pPr>
              <w:rPr>
                <w:rFonts w:ascii="宋体"/>
                <w:vanish/>
              </w:rPr>
            </w:pPr>
          </w:p>
        </w:tc>
        <w:tc>
          <w:tcPr>
            <w:tcW w:w="0" w:type="auto"/>
            <w:gridSpan w:val="3"/>
            <w:shd w:val="clear" w:color="auto" w:fill="auto"/>
            <w:vAlign w:val="bottom"/>
          </w:tcPr>
          <w:p w14:paraId="5F2CAD41" w14:textId="77777777" w:rsidR="00E836FB" w:rsidRDefault="00E836FB">
            <w:pPr>
              <w:rPr>
                <w:rFonts w:ascii="宋体"/>
                <w:vanish/>
              </w:rPr>
            </w:pPr>
          </w:p>
        </w:tc>
      </w:tr>
      <w:tr w:rsidR="00E836FB" w14:paraId="5F2CAD53" w14:textId="77777777">
        <w:trPr>
          <w:hidden/>
        </w:trPr>
        <w:tc>
          <w:tcPr>
            <w:tcW w:w="0" w:type="auto"/>
            <w:gridSpan w:val="3"/>
            <w:shd w:val="clear" w:color="auto" w:fill="auto"/>
            <w:vAlign w:val="bottom"/>
          </w:tcPr>
          <w:p w14:paraId="5F2CAD43" w14:textId="77777777" w:rsidR="00E836FB" w:rsidRDefault="00E836FB">
            <w:pPr>
              <w:rPr>
                <w:rFonts w:ascii="宋体"/>
                <w:vanish/>
              </w:rPr>
            </w:pPr>
          </w:p>
        </w:tc>
        <w:tc>
          <w:tcPr>
            <w:tcW w:w="0" w:type="auto"/>
            <w:gridSpan w:val="3"/>
            <w:shd w:val="clear" w:color="auto" w:fill="auto"/>
            <w:vAlign w:val="bottom"/>
          </w:tcPr>
          <w:p w14:paraId="5F2CAD44" w14:textId="77777777" w:rsidR="00E836FB" w:rsidRDefault="00E836FB">
            <w:pPr>
              <w:rPr>
                <w:rFonts w:ascii="宋体"/>
                <w:vanish/>
              </w:rPr>
            </w:pPr>
          </w:p>
        </w:tc>
        <w:tc>
          <w:tcPr>
            <w:tcW w:w="0" w:type="auto"/>
            <w:gridSpan w:val="3"/>
            <w:shd w:val="clear" w:color="auto" w:fill="auto"/>
            <w:vAlign w:val="bottom"/>
          </w:tcPr>
          <w:p w14:paraId="5F2CAD45" w14:textId="77777777" w:rsidR="00E836FB" w:rsidRDefault="00E836FB">
            <w:pPr>
              <w:rPr>
                <w:rFonts w:ascii="宋体"/>
                <w:vanish/>
              </w:rPr>
            </w:pPr>
          </w:p>
        </w:tc>
        <w:tc>
          <w:tcPr>
            <w:tcW w:w="0" w:type="auto"/>
            <w:gridSpan w:val="3"/>
            <w:shd w:val="clear" w:color="auto" w:fill="auto"/>
            <w:vAlign w:val="bottom"/>
          </w:tcPr>
          <w:p w14:paraId="5F2CAD46" w14:textId="77777777" w:rsidR="00E836FB" w:rsidRDefault="00E836FB">
            <w:pPr>
              <w:rPr>
                <w:rFonts w:ascii="宋体"/>
                <w:vanish/>
              </w:rPr>
            </w:pPr>
          </w:p>
        </w:tc>
        <w:tc>
          <w:tcPr>
            <w:tcW w:w="0" w:type="auto"/>
            <w:gridSpan w:val="3"/>
            <w:shd w:val="clear" w:color="auto" w:fill="auto"/>
            <w:vAlign w:val="bottom"/>
          </w:tcPr>
          <w:p w14:paraId="5F2CAD47" w14:textId="77777777" w:rsidR="00E836FB" w:rsidRDefault="00E836FB">
            <w:pPr>
              <w:rPr>
                <w:rFonts w:ascii="宋体"/>
                <w:vanish/>
              </w:rPr>
            </w:pPr>
          </w:p>
        </w:tc>
        <w:tc>
          <w:tcPr>
            <w:tcW w:w="0" w:type="auto"/>
            <w:gridSpan w:val="3"/>
            <w:shd w:val="clear" w:color="auto" w:fill="auto"/>
            <w:vAlign w:val="bottom"/>
          </w:tcPr>
          <w:p w14:paraId="5F2CAD48" w14:textId="77777777" w:rsidR="00E836FB" w:rsidRDefault="00E836FB">
            <w:pPr>
              <w:rPr>
                <w:rFonts w:ascii="宋体"/>
                <w:vanish/>
              </w:rPr>
            </w:pPr>
          </w:p>
        </w:tc>
        <w:tc>
          <w:tcPr>
            <w:tcW w:w="0" w:type="auto"/>
            <w:gridSpan w:val="3"/>
            <w:shd w:val="clear" w:color="auto" w:fill="auto"/>
            <w:vAlign w:val="bottom"/>
          </w:tcPr>
          <w:p w14:paraId="5F2CAD49" w14:textId="77777777" w:rsidR="00E836FB" w:rsidRDefault="00E836FB">
            <w:pPr>
              <w:rPr>
                <w:rFonts w:ascii="宋体"/>
                <w:vanish/>
              </w:rPr>
            </w:pPr>
          </w:p>
        </w:tc>
        <w:tc>
          <w:tcPr>
            <w:tcW w:w="0" w:type="auto"/>
            <w:shd w:val="clear" w:color="auto" w:fill="auto"/>
            <w:vAlign w:val="bottom"/>
          </w:tcPr>
          <w:p w14:paraId="5F2CAD4A" w14:textId="77777777" w:rsidR="00E836FB" w:rsidRDefault="00E836FB">
            <w:pPr>
              <w:rPr>
                <w:rFonts w:ascii="宋体"/>
                <w:vanish/>
              </w:rPr>
            </w:pPr>
          </w:p>
        </w:tc>
        <w:tc>
          <w:tcPr>
            <w:tcW w:w="0" w:type="auto"/>
            <w:shd w:val="clear" w:color="auto" w:fill="auto"/>
            <w:vAlign w:val="bottom"/>
          </w:tcPr>
          <w:p w14:paraId="5F2CAD4B" w14:textId="77777777" w:rsidR="00E836FB" w:rsidRDefault="00E836FB">
            <w:pPr>
              <w:rPr>
                <w:rFonts w:ascii="宋体"/>
                <w:vanish/>
              </w:rPr>
            </w:pPr>
          </w:p>
        </w:tc>
        <w:tc>
          <w:tcPr>
            <w:tcW w:w="0" w:type="auto"/>
            <w:shd w:val="clear" w:color="auto" w:fill="auto"/>
            <w:vAlign w:val="bottom"/>
          </w:tcPr>
          <w:p w14:paraId="5F2CAD4C" w14:textId="77777777" w:rsidR="00E836FB" w:rsidRDefault="00E836FB">
            <w:pPr>
              <w:rPr>
                <w:rFonts w:ascii="宋体"/>
                <w:vanish/>
              </w:rPr>
            </w:pPr>
          </w:p>
        </w:tc>
        <w:tc>
          <w:tcPr>
            <w:tcW w:w="0" w:type="auto"/>
            <w:shd w:val="clear" w:color="auto" w:fill="auto"/>
            <w:vAlign w:val="bottom"/>
          </w:tcPr>
          <w:p w14:paraId="5F2CAD4D" w14:textId="77777777" w:rsidR="00E836FB" w:rsidRDefault="00E836FB">
            <w:pPr>
              <w:rPr>
                <w:rFonts w:ascii="宋体"/>
                <w:vanish/>
              </w:rPr>
            </w:pPr>
          </w:p>
        </w:tc>
        <w:tc>
          <w:tcPr>
            <w:tcW w:w="0" w:type="auto"/>
            <w:gridSpan w:val="3"/>
            <w:shd w:val="clear" w:color="auto" w:fill="auto"/>
            <w:vAlign w:val="bottom"/>
          </w:tcPr>
          <w:p w14:paraId="5F2CAD4E" w14:textId="77777777" w:rsidR="00E836FB" w:rsidRDefault="00E836FB">
            <w:pPr>
              <w:rPr>
                <w:rFonts w:ascii="宋体"/>
                <w:vanish/>
              </w:rPr>
            </w:pPr>
          </w:p>
        </w:tc>
        <w:tc>
          <w:tcPr>
            <w:tcW w:w="0" w:type="auto"/>
            <w:gridSpan w:val="3"/>
            <w:shd w:val="clear" w:color="auto" w:fill="auto"/>
            <w:vAlign w:val="bottom"/>
          </w:tcPr>
          <w:p w14:paraId="5F2CAD4F" w14:textId="77777777" w:rsidR="00E836FB" w:rsidRDefault="00E836FB">
            <w:pPr>
              <w:rPr>
                <w:rFonts w:ascii="宋体"/>
                <w:vanish/>
              </w:rPr>
            </w:pPr>
          </w:p>
        </w:tc>
        <w:tc>
          <w:tcPr>
            <w:tcW w:w="0" w:type="auto"/>
            <w:gridSpan w:val="3"/>
            <w:shd w:val="clear" w:color="auto" w:fill="auto"/>
            <w:vAlign w:val="bottom"/>
          </w:tcPr>
          <w:p w14:paraId="5F2CAD50" w14:textId="77777777" w:rsidR="00E836FB" w:rsidRDefault="00E836FB">
            <w:pPr>
              <w:rPr>
                <w:rFonts w:ascii="宋体"/>
                <w:vanish/>
              </w:rPr>
            </w:pPr>
          </w:p>
        </w:tc>
        <w:tc>
          <w:tcPr>
            <w:tcW w:w="0" w:type="auto"/>
            <w:gridSpan w:val="3"/>
            <w:shd w:val="clear" w:color="auto" w:fill="auto"/>
            <w:vAlign w:val="bottom"/>
          </w:tcPr>
          <w:p w14:paraId="5F2CAD51" w14:textId="77777777" w:rsidR="00E836FB" w:rsidRDefault="00E836FB">
            <w:pPr>
              <w:rPr>
                <w:rFonts w:ascii="宋体"/>
                <w:vanish/>
              </w:rPr>
            </w:pPr>
          </w:p>
        </w:tc>
        <w:tc>
          <w:tcPr>
            <w:tcW w:w="0" w:type="auto"/>
            <w:gridSpan w:val="3"/>
            <w:shd w:val="clear" w:color="auto" w:fill="auto"/>
            <w:vAlign w:val="bottom"/>
          </w:tcPr>
          <w:p w14:paraId="5F2CAD52" w14:textId="77777777" w:rsidR="00E836FB" w:rsidRDefault="00E836FB">
            <w:pPr>
              <w:rPr>
                <w:rFonts w:ascii="宋体"/>
                <w:vanish/>
              </w:rPr>
            </w:pPr>
          </w:p>
        </w:tc>
      </w:tr>
      <w:tr w:rsidR="00E836FB" w14:paraId="5F2CAD69" w14:textId="77777777">
        <w:tc>
          <w:tcPr>
            <w:tcW w:w="0" w:type="auto"/>
            <w:gridSpan w:val="3"/>
            <w:shd w:val="clear" w:color="auto" w:fill="FFFFFF"/>
            <w:tcMar>
              <w:top w:w="40" w:type="dxa"/>
              <w:left w:w="20" w:type="dxa"/>
              <w:bottom w:w="40" w:type="dxa"/>
              <w:right w:w="20" w:type="dxa"/>
            </w:tcMar>
            <w:vAlign w:val="bottom"/>
          </w:tcPr>
          <w:p w14:paraId="5F2CAD54" w14:textId="77777777" w:rsidR="00E836FB" w:rsidRDefault="00994958">
            <w:pPr>
              <w:textAlignment w:val="bottom"/>
            </w:pPr>
            <w:r>
              <w:rPr>
                <w:rFonts w:ascii="Arial" w:eastAsia="宋体" w:hAnsi="Arial" w:cs="Arial"/>
                <w:color w:val="000000"/>
                <w:sz w:val="15"/>
                <w:szCs w:val="15"/>
              </w:rPr>
              <w:t>Equity</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CAD55" w14:textId="77777777" w:rsidR="00E836FB" w:rsidRDefault="00994958">
            <w:pPr>
              <w:jc w:val="right"/>
              <w:textAlignment w:val="bottom"/>
            </w:pPr>
            <w:r>
              <w:rPr>
                <w:rFonts w:ascii="Arial" w:eastAsia="宋体" w:hAnsi="Arial" w:cs="Arial"/>
                <w:b/>
                <w:bCs/>
                <w:color w:val="000000"/>
                <w:sz w:val="15"/>
                <w:szCs w:val="15"/>
              </w:rPr>
              <w:t>970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D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5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D58" w14:textId="77777777" w:rsidR="00E836FB" w:rsidRDefault="00994958">
            <w:pPr>
              <w:jc w:val="right"/>
              <w:textAlignment w:val="bottom"/>
            </w:pPr>
            <w:r>
              <w:rPr>
                <w:rFonts w:ascii="Arial" w:eastAsia="宋体" w:hAnsi="Arial" w:cs="Arial"/>
                <w:color w:val="000000"/>
                <w:sz w:val="15"/>
                <w:szCs w:val="15"/>
              </w:rPr>
              <w:t>708 </w:t>
            </w:r>
          </w:p>
        </w:tc>
        <w:tc>
          <w:tcPr>
            <w:tcW w:w="0" w:type="auto"/>
            <w:shd w:val="clear" w:color="auto" w:fill="FFFFFF"/>
            <w:tcMar>
              <w:top w:w="40" w:type="dxa"/>
              <w:left w:w="0" w:type="dxa"/>
              <w:bottom w:w="40" w:type="dxa"/>
              <w:right w:w="20" w:type="dxa"/>
            </w:tcMar>
            <w:vAlign w:val="bottom"/>
          </w:tcPr>
          <w:p w14:paraId="5F2CAD5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5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D5B" w14:textId="77777777" w:rsidR="00E836FB" w:rsidRDefault="00994958">
            <w:pPr>
              <w:jc w:val="right"/>
              <w:textAlignment w:val="bottom"/>
            </w:pPr>
            <w:r>
              <w:rPr>
                <w:rFonts w:ascii="Arial" w:eastAsia="宋体" w:hAnsi="Arial" w:cs="Arial"/>
                <w:color w:val="000000"/>
                <w:sz w:val="15"/>
                <w:szCs w:val="15"/>
              </w:rPr>
              <w:t>617 </w:t>
            </w:r>
          </w:p>
        </w:tc>
        <w:tc>
          <w:tcPr>
            <w:tcW w:w="0" w:type="auto"/>
            <w:shd w:val="clear" w:color="auto" w:fill="FFFFFF"/>
            <w:tcMar>
              <w:top w:w="40" w:type="dxa"/>
              <w:left w:w="0" w:type="dxa"/>
              <w:bottom w:w="40" w:type="dxa"/>
              <w:right w:w="20" w:type="dxa"/>
            </w:tcMar>
            <w:vAlign w:val="bottom"/>
          </w:tcPr>
          <w:p w14:paraId="5F2CAD5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5D" w14:textId="77777777" w:rsidR="00E836FB" w:rsidRDefault="00E836FB">
            <w:pPr>
              <w:rPr>
                <w:rFonts w:ascii="宋体"/>
              </w:rPr>
            </w:pPr>
          </w:p>
        </w:tc>
        <w:tc>
          <w:tcPr>
            <w:tcW w:w="0" w:type="auto"/>
            <w:shd w:val="clear" w:color="auto" w:fill="auto"/>
            <w:vAlign w:val="bottom"/>
          </w:tcPr>
          <w:p w14:paraId="5F2CAD5E" w14:textId="77777777" w:rsidR="00E836FB" w:rsidRDefault="00E836FB">
            <w:pPr>
              <w:rPr>
                <w:rFonts w:ascii="宋体"/>
                <w:vanish/>
              </w:rPr>
            </w:pPr>
          </w:p>
        </w:tc>
        <w:tc>
          <w:tcPr>
            <w:tcW w:w="0" w:type="auto"/>
            <w:shd w:val="clear" w:color="auto" w:fill="auto"/>
            <w:vAlign w:val="bottom"/>
          </w:tcPr>
          <w:p w14:paraId="5F2CAD5F" w14:textId="77777777" w:rsidR="00E836FB" w:rsidRDefault="00E836FB">
            <w:pPr>
              <w:rPr>
                <w:rFonts w:ascii="宋体"/>
                <w:vanish/>
              </w:rPr>
            </w:pPr>
          </w:p>
        </w:tc>
        <w:tc>
          <w:tcPr>
            <w:tcW w:w="0" w:type="auto"/>
            <w:shd w:val="clear" w:color="auto" w:fill="auto"/>
            <w:vAlign w:val="bottom"/>
          </w:tcPr>
          <w:p w14:paraId="5F2CAD60" w14:textId="77777777" w:rsidR="00E836FB" w:rsidRDefault="00E836FB">
            <w:pPr>
              <w:rPr>
                <w:rFonts w:ascii="宋体"/>
                <w:vanish/>
              </w:rPr>
            </w:pPr>
          </w:p>
        </w:tc>
        <w:tc>
          <w:tcPr>
            <w:tcW w:w="0" w:type="auto"/>
            <w:shd w:val="clear" w:color="auto" w:fill="auto"/>
            <w:vAlign w:val="bottom"/>
          </w:tcPr>
          <w:p w14:paraId="5F2CAD61"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D62" w14:textId="77777777" w:rsidR="00E836FB" w:rsidRDefault="00994958">
            <w:pPr>
              <w:jc w:val="right"/>
              <w:textAlignment w:val="bottom"/>
            </w:pPr>
            <w:r>
              <w:rPr>
                <w:rFonts w:ascii="Arial" w:eastAsia="宋体" w:hAnsi="Arial" w:cs="Arial"/>
                <w:color w:val="000000"/>
                <w:sz w:val="15"/>
                <w:szCs w:val="15"/>
              </w:rPr>
              <w:t>37 </w:t>
            </w:r>
          </w:p>
        </w:tc>
        <w:tc>
          <w:tcPr>
            <w:tcW w:w="0" w:type="auto"/>
            <w:shd w:val="clear" w:color="auto" w:fill="FFFFFF"/>
            <w:tcMar>
              <w:top w:w="40" w:type="dxa"/>
              <w:left w:w="0" w:type="dxa"/>
              <w:bottom w:w="40" w:type="dxa"/>
              <w:right w:w="20" w:type="dxa"/>
            </w:tcMar>
            <w:vAlign w:val="bottom"/>
          </w:tcPr>
          <w:p w14:paraId="5F2CAD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D65" w14:textId="77777777" w:rsidR="00E836FB" w:rsidRDefault="00994958">
            <w:pPr>
              <w:jc w:val="right"/>
              <w:textAlignment w:val="bottom"/>
            </w:pPr>
            <w:r>
              <w:rPr>
                <w:rFonts w:ascii="Arial" w:eastAsia="宋体" w:hAnsi="Arial" w:cs="Arial"/>
                <w:color w:val="000000"/>
                <w:sz w:val="15"/>
                <w:szCs w:val="15"/>
              </w:rPr>
              <w:t>15 </w:t>
            </w:r>
          </w:p>
        </w:tc>
        <w:tc>
          <w:tcPr>
            <w:tcW w:w="0" w:type="auto"/>
            <w:shd w:val="clear" w:color="auto" w:fill="FFFFFF"/>
            <w:tcMar>
              <w:top w:w="40" w:type="dxa"/>
              <w:left w:w="0" w:type="dxa"/>
              <w:bottom w:w="40" w:type="dxa"/>
              <w:right w:w="20" w:type="dxa"/>
            </w:tcMar>
            <w:vAlign w:val="bottom"/>
          </w:tcPr>
          <w:p w14:paraId="5F2CAD66" w14:textId="77777777" w:rsidR="00E836FB" w:rsidRDefault="00E836FB">
            <w:pPr>
              <w:jc w:val="right"/>
              <w:rPr>
                <w:rFonts w:ascii="宋体"/>
              </w:rPr>
            </w:pPr>
          </w:p>
        </w:tc>
        <w:tc>
          <w:tcPr>
            <w:tcW w:w="0" w:type="auto"/>
            <w:gridSpan w:val="3"/>
            <w:shd w:val="clear" w:color="auto" w:fill="auto"/>
            <w:vAlign w:val="bottom"/>
          </w:tcPr>
          <w:p w14:paraId="5F2CAD67" w14:textId="77777777" w:rsidR="00E836FB" w:rsidRDefault="00E836FB">
            <w:pPr>
              <w:rPr>
                <w:rFonts w:ascii="宋体"/>
                <w:vanish/>
              </w:rPr>
            </w:pPr>
          </w:p>
        </w:tc>
        <w:tc>
          <w:tcPr>
            <w:tcW w:w="0" w:type="auto"/>
            <w:gridSpan w:val="3"/>
            <w:shd w:val="clear" w:color="auto" w:fill="auto"/>
            <w:vAlign w:val="bottom"/>
          </w:tcPr>
          <w:p w14:paraId="5F2CAD68" w14:textId="77777777" w:rsidR="00E836FB" w:rsidRDefault="00E836FB">
            <w:pPr>
              <w:rPr>
                <w:rFonts w:ascii="宋体"/>
                <w:vanish/>
              </w:rPr>
            </w:pPr>
          </w:p>
        </w:tc>
      </w:tr>
      <w:tr w:rsidR="00E836FB" w14:paraId="5F2CAD7D" w14:textId="77777777">
        <w:tc>
          <w:tcPr>
            <w:tcW w:w="0" w:type="auto"/>
            <w:gridSpan w:val="3"/>
            <w:shd w:val="clear" w:color="auto" w:fill="CCEEFF"/>
            <w:tcMar>
              <w:top w:w="40" w:type="dxa"/>
              <w:left w:w="20" w:type="dxa"/>
              <w:bottom w:w="40" w:type="dxa"/>
              <w:right w:w="20" w:type="dxa"/>
            </w:tcMar>
            <w:vAlign w:val="bottom"/>
          </w:tcPr>
          <w:p w14:paraId="5F2CAD6A" w14:textId="77777777" w:rsidR="00E836FB" w:rsidRDefault="00994958">
            <w:pPr>
              <w:textAlignment w:val="bottom"/>
            </w:pPr>
            <w:r>
              <w:rPr>
                <w:rFonts w:ascii="Arial" w:eastAsia="宋体" w:hAnsi="Arial" w:cs="Arial"/>
                <w:color w:val="000000"/>
                <w:sz w:val="15"/>
                <w:szCs w:val="15"/>
              </w:rPr>
              <w:t>Multi Asset</w:t>
            </w:r>
          </w:p>
        </w:tc>
        <w:tc>
          <w:tcPr>
            <w:tcW w:w="0" w:type="auto"/>
            <w:gridSpan w:val="2"/>
            <w:shd w:val="clear" w:color="auto" w:fill="CCEEFF"/>
            <w:tcMar>
              <w:top w:w="40" w:type="dxa"/>
              <w:left w:w="20" w:type="dxa"/>
              <w:bottom w:w="40" w:type="dxa"/>
              <w:right w:w="0" w:type="dxa"/>
            </w:tcMar>
            <w:vAlign w:val="bottom"/>
          </w:tcPr>
          <w:p w14:paraId="5F2CAD6B"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D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D6E"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AD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D71"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CAD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73" w14:textId="77777777" w:rsidR="00E836FB" w:rsidRDefault="00E836FB">
            <w:pPr>
              <w:rPr>
                <w:rFonts w:ascii="宋体"/>
              </w:rPr>
            </w:pPr>
          </w:p>
        </w:tc>
        <w:tc>
          <w:tcPr>
            <w:tcW w:w="0" w:type="auto"/>
            <w:shd w:val="clear" w:color="auto" w:fill="auto"/>
            <w:vAlign w:val="bottom"/>
          </w:tcPr>
          <w:p w14:paraId="5F2CAD74" w14:textId="77777777" w:rsidR="00E836FB" w:rsidRDefault="00E836FB">
            <w:pPr>
              <w:rPr>
                <w:rFonts w:ascii="宋体"/>
                <w:vanish/>
              </w:rPr>
            </w:pPr>
          </w:p>
        </w:tc>
        <w:tc>
          <w:tcPr>
            <w:tcW w:w="0" w:type="auto"/>
            <w:shd w:val="clear" w:color="auto" w:fill="auto"/>
            <w:vAlign w:val="bottom"/>
          </w:tcPr>
          <w:p w14:paraId="5F2CAD75" w14:textId="77777777" w:rsidR="00E836FB" w:rsidRDefault="00E836FB">
            <w:pPr>
              <w:rPr>
                <w:rFonts w:ascii="宋体"/>
                <w:vanish/>
              </w:rPr>
            </w:pPr>
          </w:p>
        </w:tc>
        <w:tc>
          <w:tcPr>
            <w:tcW w:w="0" w:type="auto"/>
            <w:shd w:val="clear" w:color="auto" w:fill="auto"/>
            <w:vAlign w:val="bottom"/>
          </w:tcPr>
          <w:p w14:paraId="5F2CAD76" w14:textId="77777777" w:rsidR="00E836FB" w:rsidRDefault="00E836FB">
            <w:pPr>
              <w:rPr>
                <w:rFonts w:ascii="宋体"/>
                <w:vanish/>
              </w:rPr>
            </w:pPr>
          </w:p>
        </w:tc>
        <w:tc>
          <w:tcPr>
            <w:tcW w:w="0" w:type="auto"/>
            <w:shd w:val="clear" w:color="auto" w:fill="auto"/>
            <w:vAlign w:val="bottom"/>
          </w:tcPr>
          <w:p w14:paraId="5F2CAD77" w14:textId="77777777" w:rsidR="00E836FB" w:rsidRDefault="00E836FB">
            <w:pPr>
              <w:rPr>
                <w:rFonts w:ascii="宋体"/>
                <w:vanish/>
              </w:rPr>
            </w:pPr>
          </w:p>
        </w:tc>
        <w:tc>
          <w:tcPr>
            <w:tcW w:w="0" w:type="auto"/>
            <w:gridSpan w:val="3"/>
            <w:shd w:val="clear" w:color="auto" w:fill="CCEEFF"/>
            <w:tcMar>
              <w:top w:w="40" w:type="dxa"/>
              <w:left w:w="20" w:type="dxa"/>
              <w:bottom w:w="40" w:type="dxa"/>
              <w:right w:w="20" w:type="dxa"/>
            </w:tcMar>
            <w:vAlign w:val="bottom"/>
          </w:tcPr>
          <w:p w14:paraId="5F2CAD78" w14:textId="77777777" w:rsidR="00E836FB" w:rsidRDefault="00994958">
            <w:pPr>
              <w:jc w:val="right"/>
              <w:textAlignment w:val="bottom"/>
            </w:pPr>
            <w:r>
              <w:rPr>
                <w:rFonts w:ascii="Arial" w:eastAsia="宋体" w:hAnsi="Arial" w:cs="Arial"/>
                <w:color w:val="000000"/>
                <w:sz w:val="15"/>
                <w:szCs w:val="15"/>
              </w:rPr>
              <w:t>nm</w:t>
            </w:r>
          </w:p>
        </w:tc>
        <w:tc>
          <w:tcPr>
            <w:tcW w:w="0" w:type="auto"/>
            <w:gridSpan w:val="3"/>
            <w:shd w:val="clear" w:color="auto" w:fill="CCEEFF"/>
            <w:tcMar>
              <w:top w:w="0" w:type="dxa"/>
              <w:left w:w="20" w:type="dxa"/>
              <w:bottom w:w="0" w:type="dxa"/>
              <w:right w:w="20" w:type="dxa"/>
            </w:tcMar>
            <w:vAlign w:val="bottom"/>
          </w:tcPr>
          <w:p w14:paraId="5F2CAD7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AD7A" w14:textId="77777777" w:rsidR="00E836FB" w:rsidRDefault="00994958">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5F2CAD7B" w14:textId="77777777" w:rsidR="00E836FB" w:rsidRDefault="00E836FB">
            <w:pPr>
              <w:rPr>
                <w:rFonts w:ascii="宋体"/>
                <w:vanish/>
              </w:rPr>
            </w:pPr>
          </w:p>
        </w:tc>
        <w:tc>
          <w:tcPr>
            <w:tcW w:w="0" w:type="auto"/>
            <w:gridSpan w:val="3"/>
            <w:shd w:val="clear" w:color="auto" w:fill="auto"/>
            <w:vAlign w:val="bottom"/>
          </w:tcPr>
          <w:p w14:paraId="5F2CAD7C" w14:textId="77777777" w:rsidR="00E836FB" w:rsidRDefault="00E836FB">
            <w:pPr>
              <w:rPr>
                <w:rFonts w:ascii="宋体"/>
                <w:vanish/>
              </w:rPr>
            </w:pPr>
          </w:p>
        </w:tc>
      </w:tr>
      <w:tr w:rsidR="00E836FB" w14:paraId="5F2CAD93" w14:textId="77777777">
        <w:tc>
          <w:tcPr>
            <w:tcW w:w="0" w:type="auto"/>
            <w:gridSpan w:val="3"/>
            <w:shd w:val="clear" w:color="auto" w:fill="FFFFFF"/>
            <w:tcMar>
              <w:top w:w="40" w:type="dxa"/>
              <w:left w:w="20" w:type="dxa"/>
              <w:bottom w:w="40" w:type="dxa"/>
              <w:right w:w="20" w:type="dxa"/>
            </w:tcMar>
            <w:vAlign w:val="bottom"/>
          </w:tcPr>
          <w:p w14:paraId="5F2CAD7E" w14:textId="77777777" w:rsidR="00E836FB" w:rsidRDefault="00994958">
            <w:pPr>
              <w:textAlignment w:val="bottom"/>
            </w:pPr>
            <w:r>
              <w:rPr>
                <w:rFonts w:ascii="Arial" w:eastAsia="宋体" w:hAnsi="Arial" w:cs="Arial"/>
                <w:color w:val="000000"/>
                <w:sz w:val="15"/>
                <w:szCs w:val="15"/>
              </w:rPr>
              <w:t>Fixed-Income</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CAD7F" w14:textId="77777777" w:rsidR="00E836FB" w:rsidRDefault="00994958">
            <w:pPr>
              <w:jc w:val="right"/>
              <w:textAlignment w:val="bottom"/>
            </w:pPr>
            <w:r>
              <w:rPr>
                <w:rFonts w:ascii="Arial" w:eastAsia="宋体" w:hAnsi="Arial" w:cs="Arial"/>
                <w:b/>
                <w:bCs/>
                <w:color w:val="000000"/>
                <w:sz w:val="15"/>
                <w:szCs w:val="15"/>
              </w:rPr>
              <w:t>135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AD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8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D82" w14:textId="77777777" w:rsidR="00E836FB" w:rsidRDefault="00994958">
            <w:pPr>
              <w:jc w:val="right"/>
              <w:textAlignment w:val="bottom"/>
            </w:pPr>
            <w:r>
              <w:rPr>
                <w:rFonts w:ascii="Arial" w:eastAsia="宋体" w:hAnsi="Arial" w:cs="Arial"/>
                <w:color w:val="000000"/>
                <w:sz w:val="15"/>
                <w:szCs w:val="15"/>
              </w:rPr>
              <w:t>115 </w:t>
            </w:r>
          </w:p>
        </w:tc>
        <w:tc>
          <w:tcPr>
            <w:tcW w:w="0" w:type="auto"/>
            <w:shd w:val="clear" w:color="auto" w:fill="FFFFFF"/>
            <w:tcMar>
              <w:top w:w="40" w:type="dxa"/>
              <w:left w:w="0" w:type="dxa"/>
              <w:bottom w:w="40" w:type="dxa"/>
              <w:right w:w="20" w:type="dxa"/>
            </w:tcMar>
            <w:vAlign w:val="bottom"/>
          </w:tcPr>
          <w:p w14:paraId="5F2CAD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8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D85" w14:textId="77777777" w:rsidR="00E836FB" w:rsidRDefault="00994958">
            <w:pPr>
              <w:jc w:val="right"/>
              <w:textAlignment w:val="bottom"/>
            </w:pPr>
            <w:r>
              <w:rPr>
                <w:rFonts w:ascii="Arial" w:eastAsia="宋体" w:hAnsi="Arial" w:cs="Arial"/>
                <w:color w:val="000000"/>
                <w:sz w:val="15"/>
                <w:szCs w:val="15"/>
              </w:rPr>
              <w:t>94 </w:t>
            </w:r>
          </w:p>
        </w:tc>
        <w:tc>
          <w:tcPr>
            <w:tcW w:w="0" w:type="auto"/>
            <w:shd w:val="clear" w:color="auto" w:fill="FFFFFF"/>
            <w:tcMar>
              <w:top w:w="40" w:type="dxa"/>
              <w:left w:w="0" w:type="dxa"/>
              <w:bottom w:w="40" w:type="dxa"/>
              <w:right w:w="20" w:type="dxa"/>
            </w:tcMar>
            <w:vAlign w:val="bottom"/>
          </w:tcPr>
          <w:p w14:paraId="5F2CAD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87" w14:textId="77777777" w:rsidR="00E836FB" w:rsidRDefault="00E836FB">
            <w:pPr>
              <w:rPr>
                <w:rFonts w:ascii="宋体"/>
              </w:rPr>
            </w:pPr>
          </w:p>
        </w:tc>
        <w:tc>
          <w:tcPr>
            <w:tcW w:w="0" w:type="auto"/>
            <w:shd w:val="clear" w:color="auto" w:fill="auto"/>
            <w:vAlign w:val="bottom"/>
          </w:tcPr>
          <w:p w14:paraId="5F2CAD88" w14:textId="77777777" w:rsidR="00E836FB" w:rsidRDefault="00E836FB">
            <w:pPr>
              <w:rPr>
                <w:rFonts w:ascii="宋体"/>
                <w:vanish/>
              </w:rPr>
            </w:pPr>
          </w:p>
        </w:tc>
        <w:tc>
          <w:tcPr>
            <w:tcW w:w="0" w:type="auto"/>
            <w:shd w:val="clear" w:color="auto" w:fill="auto"/>
            <w:vAlign w:val="bottom"/>
          </w:tcPr>
          <w:p w14:paraId="5F2CAD89" w14:textId="77777777" w:rsidR="00E836FB" w:rsidRDefault="00E836FB">
            <w:pPr>
              <w:rPr>
                <w:rFonts w:ascii="宋体"/>
                <w:vanish/>
              </w:rPr>
            </w:pPr>
          </w:p>
        </w:tc>
        <w:tc>
          <w:tcPr>
            <w:tcW w:w="0" w:type="auto"/>
            <w:shd w:val="clear" w:color="auto" w:fill="auto"/>
            <w:vAlign w:val="bottom"/>
          </w:tcPr>
          <w:p w14:paraId="5F2CAD8A" w14:textId="77777777" w:rsidR="00E836FB" w:rsidRDefault="00E836FB">
            <w:pPr>
              <w:rPr>
                <w:rFonts w:ascii="宋体"/>
                <w:vanish/>
              </w:rPr>
            </w:pPr>
          </w:p>
        </w:tc>
        <w:tc>
          <w:tcPr>
            <w:tcW w:w="0" w:type="auto"/>
            <w:shd w:val="clear" w:color="auto" w:fill="auto"/>
            <w:vAlign w:val="bottom"/>
          </w:tcPr>
          <w:p w14:paraId="5F2CAD8B"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AD8C" w14:textId="77777777" w:rsidR="00E836FB" w:rsidRDefault="00994958">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5F2CAD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D8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D8F" w14:textId="77777777" w:rsidR="00E836FB" w:rsidRDefault="00994958">
            <w:pPr>
              <w:jc w:val="right"/>
              <w:textAlignment w:val="bottom"/>
            </w:pPr>
            <w:r>
              <w:rPr>
                <w:rFonts w:ascii="Arial" w:eastAsia="宋体" w:hAnsi="Arial" w:cs="Arial"/>
                <w:color w:val="000000"/>
                <w:sz w:val="15"/>
                <w:szCs w:val="15"/>
              </w:rPr>
              <w:t>22 </w:t>
            </w:r>
          </w:p>
        </w:tc>
        <w:tc>
          <w:tcPr>
            <w:tcW w:w="0" w:type="auto"/>
            <w:shd w:val="clear" w:color="auto" w:fill="FFFFFF"/>
            <w:tcMar>
              <w:top w:w="40" w:type="dxa"/>
              <w:left w:w="0" w:type="dxa"/>
              <w:bottom w:w="40" w:type="dxa"/>
              <w:right w:w="20" w:type="dxa"/>
            </w:tcMar>
            <w:vAlign w:val="bottom"/>
          </w:tcPr>
          <w:p w14:paraId="5F2CAD90" w14:textId="77777777" w:rsidR="00E836FB" w:rsidRDefault="00E836FB">
            <w:pPr>
              <w:jc w:val="right"/>
              <w:rPr>
                <w:rFonts w:ascii="宋体"/>
              </w:rPr>
            </w:pPr>
          </w:p>
        </w:tc>
        <w:tc>
          <w:tcPr>
            <w:tcW w:w="0" w:type="auto"/>
            <w:gridSpan w:val="3"/>
            <w:shd w:val="clear" w:color="auto" w:fill="auto"/>
            <w:vAlign w:val="bottom"/>
          </w:tcPr>
          <w:p w14:paraId="5F2CAD91" w14:textId="77777777" w:rsidR="00E836FB" w:rsidRDefault="00E836FB">
            <w:pPr>
              <w:rPr>
                <w:rFonts w:ascii="宋体"/>
                <w:vanish/>
              </w:rPr>
            </w:pPr>
          </w:p>
        </w:tc>
        <w:tc>
          <w:tcPr>
            <w:tcW w:w="0" w:type="auto"/>
            <w:gridSpan w:val="3"/>
            <w:shd w:val="clear" w:color="auto" w:fill="auto"/>
            <w:vAlign w:val="bottom"/>
          </w:tcPr>
          <w:p w14:paraId="5F2CAD92" w14:textId="77777777" w:rsidR="00E836FB" w:rsidRDefault="00E836FB">
            <w:pPr>
              <w:rPr>
                <w:rFonts w:ascii="宋体"/>
                <w:vanish/>
              </w:rPr>
            </w:pPr>
          </w:p>
        </w:tc>
      </w:tr>
      <w:tr w:rsidR="00E836FB" w14:paraId="5F2CADAC" w14:textId="77777777">
        <w:tc>
          <w:tcPr>
            <w:tcW w:w="0" w:type="auto"/>
            <w:gridSpan w:val="3"/>
            <w:shd w:val="clear" w:color="auto" w:fill="CCEEFF"/>
            <w:tcMar>
              <w:top w:w="40" w:type="dxa"/>
              <w:left w:w="20" w:type="dxa"/>
              <w:bottom w:w="40" w:type="dxa"/>
              <w:right w:w="20" w:type="dxa"/>
            </w:tcMar>
            <w:vAlign w:val="bottom"/>
          </w:tcPr>
          <w:p w14:paraId="5F2CAD94" w14:textId="77777777" w:rsidR="00E836FB" w:rsidRDefault="00994958">
            <w:pPr>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D95"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D96" w14:textId="77777777" w:rsidR="00E836FB" w:rsidRDefault="00994958">
            <w:pPr>
              <w:jc w:val="right"/>
              <w:textAlignment w:val="bottom"/>
            </w:pPr>
            <w:r>
              <w:rPr>
                <w:rFonts w:ascii="Arial" w:eastAsia="宋体" w:hAnsi="Arial" w:cs="Arial"/>
                <w:b/>
                <w:bCs/>
                <w:color w:val="000000"/>
                <w:sz w:val="15"/>
                <w:szCs w:val="15"/>
              </w:rPr>
              <w:t>1,178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D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9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D9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D9A" w14:textId="77777777" w:rsidR="00E836FB" w:rsidRDefault="00994958">
            <w:pPr>
              <w:jc w:val="right"/>
              <w:textAlignment w:val="bottom"/>
            </w:pPr>
            <w:r>
              <w:rPr>
                <w:rFonts w:ascii="Arial" w:eastAsia="宋体" w:hAnsi="Arial" w:cs="Arial"/>
                <w:color w:val="000000"/>
                <w:sz w:val="15"/>
                <w:szCs w:val="15"/>
              </w:rPr>
              <w:t>906 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D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9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AD9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AD9E" w14:textId="77777777" w:rsidR="00E836FB" w:rsidRDefault="00994958">
            <w:pPr>
              <w:jc w:val="right"/>
              <w:textAlignment w:val="bottom"/>
            </w:pPr>
            <w:r>
              <w:rPr>
                <w:rFonts w:ascii="Arial" w:eastAsia="宋体" w:hAnsi="Arial" w:cs="Arial"/>
                <w:color w:val="000000"/>
                <w:sz w:val="15"/>
                <w:szCs w:val="15"/>
              </w:rPr>
              <w:t>768 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AD9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A0" w14:textId="77777777" w:rsidR="00E836FB" w:rsidRDefault="00E836FB">
            <w:pPr>
              <w:rPr>
                <w:rFonts w:ascii="宋体"/>
              </w:rPr>
            </w:pPr>
          </w:p>
        </w:tc>
        <w:tc>
          <w:tcPr>
            <w:tcW w:w="0" w:type="auto"/>
            <w:shd w:val="clear" w:color="auto" w:fill="auto"/>
            <w:vAlign w:val="bottom"/>
          </w:tcPr>
          <w:p w14:paraId="5F2CADA1" w14:textId="77777777" w:rsidR="00E836FB" w:rsidRDefault="00E836FB">
            <w:pPr>
              <w:rPr>
                <w:rFonts w:ascii="宋体"/>
                <w:vanish/>
              </w:rPr>
            </w:pPr>
          </w:p>
        </w:tc>
        <w:tc>
          <w:tcPr>
            <w:tcW w:w="0" w:type="auto"/>
            <w:shd w:val="clear" w:color="auto" w:fill="auto"/>
            <w:vAlign w:val="bottom"/>
          </w:tcPr>
          <w:p w14:paraId="5F2CADA2" w14:textId="77777777" w:rsidR="00E836FB" w:rsidRDefault="00E836FB">
            <w:pPr>
              <w:rPr>
                <w:rFonts w:ascii="宋体"/>
                <w:vanish/>
              </w:rPr>
            </w:pPr>
          </w:p>
        </w:tc>
        <w:tc>
          <w:tcPr>
            <w:tcW w:w="0" w:type="auto"/>
            <w:shd w:val="clear" w:color="auto" w:fill="auto"/>
            <w:vAlign w:val="bottom"/>
          </w:tcPr>
          <w:p w14:paraId="5F2CADA3" w14:textId="77777777" w:rsidR="00E836FB" w:rsidRDefault="00E836FB">
            <w:pPr>
              <w:rPr>
                <w:rFonts w:ascii="宋体"/>
                <w:vanish/>
              </w:rPr>
            </w:pPr>
          </w:p>
        </w:tc>
        <w:tc>
          <w:tcPr>
            <w:tcW w:w="0" w:type="auto"/>
            <w:shd w:val="clear" w:color="auto" w:fill="auto"/>
            <w:vAlign w:val="bottom"/>
          </w:tcPr>
          <w:p w14:paraId="5F2CADA4"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ADA5" w14:textId="77777777" w:rsidR="00E836FB" w:rsidRDefault="00994958">
            <w:pPr>
              <w:jc w:val="right"/>
              <w:textAlignment w:val="bottom"/>
            </w:pPr>
            <w:r>
              <w:rPr>
                <w:rFonts w:ascii="Arial" w:eastAsia="宋体" w:hAnsi="Arial" w:cs="Arial"/>
                <w:color w:val="000000"/>
                <w:sz w:val="15"/>
                <w:szCs w:val="15"/>
              </w:rPr>
              <w:t>30 </w:t>
            </w:r>
          </w:p>
        </w:tc>
        <w:tc>
          <w:tcPr>
            <w:tcW w:w="0" w:type="auto"/>
            <w:shd w:val="clear" w:color="auto" w:fill="CCEEFF"/>
            <w:tcMar>
              <w:top w:w="40" w:type="dxa"/>
              <w:left w:w="0" w:type="dxa"/>
              <w:bottom w:w="40" w:type="dxa"/>
              <w:right w:w="20" w:type="dxa"/>
            </w:tcMar>
            <w:vAlign w:val="bottom"/>
          </w:tcPr>
          <w:p w14:paraId="5F2CAD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DA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DA8" w14:textId="77777777" w:rsidR="00E836FB" w:rsidRDefault="00994958">
            <w:pPr>
              <w:jc w:val="right"/>
              <w:textAlignment w:val="bottom"/>
            </w:pPr>
            <w:r>
              <w:rPr>
                <w:rFonts w:ascii="Arial" w:eastAsia="宋体" w:hAnsi="Arial" w:cs="Arial"/>
                <w:color w:val="000000"/>
                <w:sz w:val="15"/>
                <w:szCs w:val="15"/>
              </w:rPr>
              <w:t>18 </w:t>
            </w:r>
          </w:p>
        </w:tc>
        <w:tc>
          <w:tcPr>
            <w:tcW w:w="0" w:type="auto"/>
            <w:shd w:val="clear" w:color="auto" w:fill="CCEEFF"/>
            <w:tcMar>
              <w:top w:w="40" w:type="dxa"/>
              <w:left w:w="0" w:type="dxa"/>
              <w:bottom w:w="40" w:type="dxa"/>
              <w:right w:w="20" w:type="dxa"/>
            </w:tcMar>
            <w:vAlign w:val="bottom"/>
          </w:tcPr>
          <w:p w14:paraId="5F2CADA9" w14:textId="77777777" w:rsidR="00E836FB" w:rsidRDefault="00E836FB">
            <w:pPr>
              <w:jc w:val="right"/>
              <w:rPr>
                <w:rFonts w:ascii="宋体"/>
              </w:rPr>
            </w:pPr>
          </w:p>
        </w:tc>
        <w:tc>
          <w:tcPr>
            <w:tcW w:w="0" w:type="auto"/>
            <w:gridSpan w:val="3"/>
            <w:shd w:val="clear" w:color="auto" w:fill="auto"/>
            <w:vAlign w:val="bottom"/>
          </w:tcPr>
          <w:p w14:paraId="5F2CADAA" w14:textId="77777777" w:rsidR="00E836FB" w:rsidRDefault="00E836FB">
            <w:pPr>
              <w:rPr>
                <w:rFonts w:ascii="宋体"/>
                <w:vanish/>
              </w:rPr>
            </w:pPr>
          </w:p>
        </w:tc>
        <w:tc>
          <w:tcPr>
            <w:tcW w:w="0" w:type="auto"/>
            <w:gridSpan w:val="3"/>
            <w:shd w:val="clear" w:color="auto" w:fill="auto"/>
            <w:vAlign w:val="bottom"/>
          </w:tcPr>
          <w:p w14:paraId="5F2CADAB" w14:textId="77777777" w:rsidR="00E836FB" w:rsidRDefault="00E836FB">
            <w:pPr>
              <w:rPr>
                <w:rFonts w:ascii="宋体"/>
                <w:vanish/>
              </w:rPr>
            </w:pPr>
          </w:p>
        </w:tc>
      </w:tr>
    </w:tbl>
    <w:p w14:paraId="5F2CADAD"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CADB4" w14:textId="77777777">
        <w:tc>
          <w:tcPr>
            <w:tcW w:w="50" w:type="pct"/>
            <w:shd w:val="clear" w:color="auto" w:fill="auto"/>
            <w:vAlign w:val="bottom"/>
          </w:tcPr>
          <w:p w14:paraId="5F2CADAE" w14:textId="77777777" w:rsidR="00E836FB" w:rsidRDefault="00E836FB">
            <w:pPr>
              <w:rPr>
                <w:rFonts w:ascii="宋体"/>
              </w:rPr>
            </w:pPr>
          </w:p>
        </w:tc>
        <w:tc>
          <w:tcPr>
            <w:tcW w:w="1348" w:type="pct"/>
            <w:shd w:val="clear" w:color="auto" w:fill="auto"/>
            <w:vAlign w:val="bottom"/>
          </w:tcPr>
          <w:p w14:paraId="5F2CADAF" w14:textId="77777777" w:rsidR="00E836FB" w:rsidRDefault="00E836FB">
            <w:pPr>
              <w:rPr>
                <w:rFonts w:ascii="宋体"/>
              </w:rPr>
            </w:pPr>
          </w:p>
        </w:tc>
        <w:tc>
          <w:tcPr>
            <w:tcW w:w="5" w:type="pct"/>
            <w:shd w:val="clear" w:color="auto" w:fill="auto"/>
            <w:vAlign w:val="bottom"/>
          </w:tcPr>
          <w:p w14:paraId="5F2CADB0" w14:textId="77777777" w:rsidR="00E836FB" w:rsidRDefault="00E836FB">
            <w:pPr>
              <w:rPr>
                <w:rFonts w:ascii="宋体"/>
              </w:rPr>
            </w:pPr>
          </w:p>
        </w:tc>
        <w:tc>
          <w:tcPr>
            <w:tcW w:w="50" w:type="pct"/>
            <w:shd w:val="clear" w:color="auto" w:fill="auto"/>
            <w:vAlign w:val="bottom"/>
          </w:tcPr>
          <w:p w14:paraId="5F2CADB1" w14:textId="77777777" w:rsidR="00E836FB" w:rsidRDefault="00E836FB">
            <w:pPr>
              <w:rPr>
                <w:rFonts w:ascii="宋体"/>
              </w:rPr>
            </w:pPr>
          </w:p>
        </w:tc>
        <w:tc>
          <w:tcPr>
            <w:tcW w:w="3541" w:type="pct"/>
            <w:shd w:val="clear" w:color="auto" w:fill="auto"/>
            <w:vAlign w:val="bottom"/>
          </w:tcPr>
          <w:p w14:paraId="5F2CADB2" w14:textId="77777777" w:rsidR="00E836FB" w:rsidRDefault="00E836FB">
            <w:pPr>
              <w:rPr>
                <w:rFonts w:ascii="宋体"/>
              </w:rPr>
            </w:pPr>
          </w:p>
        </w:tc>
        <w:tc>
          <w:tcPr>
            <w:tcW w:w="5" w:type="pct"/>
            <w:shd w:val="clear" w:color="auto" w:fill="auto"/>
            <w:vAlign w:val="bottom"/>
          </w:tcPr>
          <w:p w14:paraId="5F2CADB3" w14:textId="77777777" w:rsidR="00E836FB" w:rsidRDefault="00E836FB">
            <w:pPr>
              <w:rPr>
                <w:rFonts w:ascii="宋体"/>
              </w:rPr>
            </w:pPr>
          </w:p>
        </w:tc>
      </w:tr>
      <w:tr w:rsidR="00E836FB" w14:paraId="5F2CADB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ADB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ADB6" w14:textId="77777777" w:rsidR="00E836FB" w:rsidRDefault="00E836FB">
            <w:pPr>
              <w:rPr>
                <w:rFonts w:ascii="宋体"/>
              </w:rPr>
            </w:pPr>
          </w:p>
        </w:tc>
      </w:tr>
    </w:tbl>
    <w:p w14:paraId="5F2CADB8" w14:textId="77777777" w:rsidR="00E836FB" w:rsidRDefault="00994958">
      <w:pPr>
        <w:spacing w:before="60"/>
      </w:pPr>
      <w:r>
        <w:rPr>
          <w:rFonts w:ascii="Arial" w:eastAsia="宋体" w:hAnsi="Arial" w:cs="Arial"/>
          <w:color w:val="000000"/>
          <w:sz w:val="8"/>
          <w:szCs w:val="8"/>
        </w:rPr>
        <w:t xml:space="preserve">(1) </w:t>
      </w:r>
      <w:r>
        <w:rPr>
          <w:rFonts w:ascii="Arial" w:eastAsia="宋体" w:hAnsi="Arial" w:cs="Arial"/>
          <w:color w:val="000000"/>
          <w:sz w:val="13"/>
          <w:szCs w:val="13"/>
        </w:rPr>
        <w:t xml:space="preserve">ETFs are a component of </w:t>
      </w:r>
      <w:r>
        <w:rPr>
          <w:rFonts w:ascii="Arial" w:eastAsia="宋体" w:hAnsi="Arial" w:cs="Arial"/>
          <w:color w:val="000000"/>
          <w:sz w:val="13"/>
          <w:szCs w:val="13"/>
        </w:rPr>
        <w:t>AUM presented in the preceding table.</w:t>
      </w:r>
    </w:p>
    <w:p w14:paraId="5F2CADB9" w14:textId="77777777" w:rsidR="00E836FB" w:rsidRDefault="00994958">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p w14:paraId="5F2CADBA" w14:textId="77777777" w:rsidR="00E836FB" w:rsidRDefault="00994958">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The implementation of an improved internal data management system for product level data in the fir</w:t>
      </w:r>
      <w:r>
        <w:rPr>
          <w:rFonts w:ascii="Arial" w:eastAsia="宋体" w:hAnsi="Arial" w:cs="Arial"/>
          <w:color w:val="000000"/>
          <w:sz w:val="13"/>
          <w:szCs w:val="13"/>
        </w:rPr>
        <w:t>st quarter of 2021 resulted in some AUM reclassifications between the categories presented for prior periods to align with the current presentation. There was no impact to the total level of reported AUM.</w:t>
      </w:r>
    </w:p>
    <w:p w14:paraId="5F2CADBB" w14:textId="77777777" w:rsidR="00E836FB" w:rsidRDefault="00E836FB">
      <w:pPr>
        <w:spacing w:before="60"/>
        <w:jc w:val="both"/>
      </w:pPr>
    </w:p>
    <w:p w14:paraId="5F2CADBC" w14:textId="77777777" w:rsidR="00E836FB" w:rsidRDefault="00994958">
      <w:pPr>
        <w:ind w:firstLine="450"/>
        <w:jc w:val="right"/>
      </w:pPr>
      <w:r>
        <w:rPr>
          <w:rFonts w:ascii="Arial" w:eastAsia="宋体" w:hAnsi="Arial" w:cs="Arial"/>
          <w:color w:val="000000"/>
          <w:sz w:val="18"/>
          <w:szCs w:val="18"/>
        </w:rPr>
        <w:t>State Street Corporation | 67</w:t>
      </w:r>
    </w:p>
    <w:p w14:paraId="5F2CADBD" w14:textId="77777777" w:rsidR="00E836FB" w:rsidRDefault="00E836FB">
      <w:pPr>
        <w:ind w:firstLine="450"/>
        <w:jc w:val="center"/>
      </w:pPr>
    </w:p>
    <w:p w14:paraId="5F2CADBE" w14:textId="77777777" w:rsidR="00E836FB" w:rsidRDefault="00994958">
      <w:r>
        <w:pict w14:anchorId="5F2D6DC8">
          <v:rect id="_x0000_i1091" style="width:415.3pt;height:1.5pt" o:hralign="center" o:hrstd="t" o:hr="t" fillcolor="#a0a0a0" stroked="f"/>
        </w:pict>
      </w:r>
    </w:p>
    <w:p w14:paraId="5F2CADBF" w14:textId="77777777" w:rsidR="00E836FB" w:rsidRDefault="00994958">
      <w:pPr>
        <w:ind w:firstLine="450"/>
        <w:jc w:val="center"/>
      </w:pPr>
      <w:r>
        <w:rPr>
          <w:rFonts w:ascii="Arial" w:eastAsia="宋体" w:hAnsi="Arial" w:cs="Arial"/>
          <w:b/>
          <w:bCs/>
          <w:color w:val="000000"/>
          <w:sz w:val="20"/>
          <w:szCs w:val="20"/>
        </w:rPr>
        <w:t>MANAGEMENT’S DISC</w:t>
      </w:r>
      <w:r>
        <w:rPr>
          <w:rFonts w:ascii="Arial" w:eastAsia="宋体" w:hAnsi="Arial" w:cs="Arial"/>
          <w:b/>
          <w:bCs/>
          <w:color w:val="000000"/>
          <w:sz w:val="20"/>
          <w:szCs w:val="20"/>
        </w:rPr>
        <w:t>USSION AND ANALYSIS OF FINANCIAL CONDITION</w:t>
      </w:r>
    </w:p>
    <w:p w14:paraId="5F2CADC0" w14:textId="77777777" w:rsidR="00E836FB" w:rsidRDefault="00994958">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417"/>
        <w:gridCol w:w="38"/>
        <w:gridCol w:w="99"/>
        <w:gridCol w:w="517"/>
        <w:gridCol w:w="37"/>
        <w:gridCol w:w="36"/>
        <w:gridCol w:w="36"/>
        <w:gridCol w:w="36"/>
        <w:gridCol w:w="121"/>
        <w:gridCol w:w="920"/>
        <w:gridCol w:w="36"/>
        <w:gridCol w:w="36"/>
        <w:gridCol w:w="36"/>
        <w:gridCol w:w="36"/>
        <w:gridCol w:w="99"/>
        <w:gridCol w:w="518"/>
        <w:gridCol w:w="37"/>
        <w:gridCol w:w="36"/>
        <w:gridCol w:w="36"/>
        <w:gridCol w:w="36"/>
        <w:gridCol w:w="106"/>
        <w:gridCol w:w="1099"/>
        <w:gridCol w:w="36"/>
        <w:gridCol w:w="36"/>
        <w:gridCol w:w="36"/>
        <w:gridCol w:w="36"/>
        <w:gridCol w:w="99"/>
        <w:gridCol w:w="982"/>
        <w:gridCol w:w="36"/>
        <w:gridCol w:w="36"/>
        <w:gridCol w:w="36"/>
        <w:gridCol w:w="36"/>
        <w:gridCol w:w="98"/>
        <w:gridCol w:w="390"/>
        <w:gridCol w:w="36"/>
        <w:gridCol w:w="36"/>
      </w:tblGrid>
      <w:tr w:rsidR="00E836FB" w14:paraId="5F2CADE6" w14:textId="77777777">
        <w:tc>
          <w:tcPr>
            <w:tcW w:w="50" w:type="pct"/>
            <w:shd w:val="clear" w:color="auto" w:fill="auto"/>
            <w:vAlign w:val="bottom"/>
          </w:tcPr>
          <w:p w14:paraId="5F2CADC1" w14:textId="77777777" w:rsidR="00E836FB" w:rsidRDefault="00E836FB">
            <w:pPr>
              <w:rPr>
                <w:rFonts w:ascii="宋体"/>
              </w:rPr>
            </w:pPr>
          </w:p>
        </w:tc>
        <w:tc>
          <w:tcPr>
            <w:tcW w:w="1823" w:type="pct"/>
            <w:shd w:val="clear" w:color="auto" w:fill="auto"/>
            <w:vAlign w:val="bottom"/>
          </w:tcPr>
          <w:p w14:paraId="5F2CADC2" w14:textId="77777777" w:rsidR="00E836FB" w:rsidRDefault="00E836FB">
            <w:pPr>
              <w:rPr>
                <w:rFonts w:ascii="宋体"/>
              </w:rPr>
            </w:pPr>
          </w:p>
        </w:tc>
        <w:tc>
          <w:tcPr>
            <w:tcW w:w="5" w:type="pct"/>
            <w:shd w:val="clear" w:color="auto" w:fill="auto"/>
            <w:vAlign w:val="bottom"/>
          </w:tcPr>
          <w:p w14:paraId="5F2CADC3" w14:textId="77777777" w:rsidR="00E836FB" w:rsidRDefault="00E836FB">
            <w:pPr>
              <w:rPr>
                <w:rFonts w:ascii="宋体"/>
              </w:rPr>
            </w:pPr>
          </w:p>
        </w:tc>
        <w:tc>
          <w:tcPr>
            <w:tcW w:w="50" w:type="pct"/>
            <w:shd w:val="clear" w:color="auto" w:fill="auto"/>
            <w:vAlign w:val="bottom"/>
          </w:tcPr>
          <w:p w14:paraId="5F2CADC4" w14:textId="77777777" w:rsidR="00E836FB" w:rsidRDefault="00E836FB">
            <w:pPr>
              <w:rPr>
                <w:rFonts w:ascii="宋体"/>
              </w:rPr>
            </w:pPr>
          </w:p>
        </w:tc>
        <w:tc>
          <w:tcPr>
            <w:tcW w:w="463" w:type="pct"/>
            <w:shd w:val="clear" w:color="auto" w:fill="auto"/>
            <w:vAlign w:val="bottom"/>
          </w:tcPr>
          <w:p w14:paraId="5F2CADC5" w14:textId="77777777" w:rsidR="00E836FB" w:rsidRDefault="00E836FB">
            <w:pPr>
              <w:rPr>
                <w:rFonts w:ascii="宋体"/>
              </w:rPr>
            </w:pPr>
          </w:p>
        </w:tc>
        <w:tc>
          <w:tcPr>
            <w:tcW w:w="5" w:type="pct"/>
            <w:shd w:val="clear" w:color="auto" w:fill="auto"/>
            <w:vAlign w:val="bottom"/>
          </w:tcPr>
          <w:p w14:paraId="5F2CADC6" w14:textId="77777777" w:rsidR="00E836FB" w:rsidRDefault="00E836FB">
            <w:pPr>
              <w:rPr>
                <w:rFonts w:ascii="宋体"/>
              </w:rPr>
            </w:pPr>
          </w:p>
        </w:tc>
        <w:tc>
          <w:tcPr>
            <w:tcW w:w="5" w:type="pct"/>
            <w:shd w:val="clear" w:color="auto" w:fill="auto"/>
            <w:vAlign w:val="bottom"/>
          </w:tcPr>
          <w:p w14:paraId="5F2CADC7" w14:textId="77777777" w:rsidR="00E836FB" w:rsidRDefault="00E836FB">
            <w:pPr>
              <w:rPr>
                <w:rFonts w:ascii="宋体"/>
              </w:rPr>
            </w:pPr>
          </w:p>
        </w:tc>
        <w:tc>
          <w:tcPr>
            <w:tcW w:w="19" w:type="pct"/>
            <w:shd w:val="clear" w:color="auto" w:fill="auto"/>
            <w:vAlign w:val="bottom"/>
          </w:tcPr>
          <w:p w14:paraId="5F2CADC8" w14:textId="77777777" w:rsidR="00E836FB" w:rsidRDefault="00E836FB">
            <w:pPr>
              <w:rPr>
                <w:rFonts w:ascii="宋体"/>
              </w:rPr>
            </w:pPr>
          </w:p>
        </w:tc>
        <w:tc>
          <w:tcPr>
            <w:tcW w:w="5" w:type="pct"/>
            <w:shd w:val="clear" w:color="auto" w:fill="auto"/>
            <w:vAlign w:val="bottom"/>
          </w:tcPr>
          <w:p w14:paraId="5F2CADC9" w14:textId="77777777" w:rsidR="00E836FB" w:rsidRDefault="00E836FB">
            <w:pPr>
              <w:rPr>
                <w:rFonts w:ascii="宋体"/>
              </w:rPr>
            </w:pPr>
          </w:p>
        </w:tc>
        <w:tc>
          <w:tcPr>
            <w:tcW w:w="50" w:type="pct"/>
            <w:shd w:val="clear" w:color="auto" w:fill="auto"/>
            <w:vAlign w:val="bottom"/>
          </w:tcPr>
          <w:p w14:paraId="5F2CADCA" w14:textId="77777777" w:rsidR="00E836FB" w:rsidRDefault="00E836FB">
            <w:pPr>
              <w:rPr>
                <w:rFonts w:ascii="宋体"/>
              </w:rPr>
            </w:pPr>
          </w:p>
        </w:tc>
        <w:tc>
          <w:tcPr>
            <w:tcW w:w="383" w:type="pct"/>
            <w:shd w:val="clear" w:color="auto" w:fill="auto"/>
            <w:vAlign w:val="bottom"/>
          </w:tcPr>
          <w:p w14:paraId="5F2CADCB" w14:textId="77777777" w:rsidR="00E836FB" w:rsidRDefault="00E836FB">
            <w:pPr>
              <w:rPr>
                <w:rFonts w:ascii="宋体"/>
              </w:rPr>
            </w:pPr>
          </w:p>
        </w:tc>
        <w:tc>
          <w:tcPr>
            <w:tcW w:w="5" w:type="pct"/>
            <w:shd w:val="clear" w:color="auto" w:fill="auto"/>
            <w:vAlign w:val="bottom"/>
          </w:tcPr>
          <w:p w14:paraId="5F2CADCC" w14:textId="77777777" w:rsidR="00E836FB" w:rsidRDefault="00E836FB">
            <w:pPr>
              <w:rPr>
                <w:rFonts w:ascii="宋体"/>
              </w:rPr>
            </w:pPr>
          </w:p>
        </w:tc>
        <w:tc>
          <w:tcPr>
            <w:tcW w:w="5" w:type="pct"/>
            <w:shd w:val="clear" w:color="auto" w:fill="auto"/>
            <w:vAlign w:val="bottom"/>
          </w:tcPr>
          <w:p w14:paraId="5F2CADCD" w14:textId="77777777" w:rsidR="00E836FB" w:rsidRDefault="00E836FB">
            <w:pPr>
              <w:rPr>
                <w:rFonts w:ascii="宋体"/>
              </w:rPr>
            </w:pPr>
          </w:p>
        </w:tc>
        <w:tc>
          <w:tcPr>
            <w:tcW w:w="19" w:type="pct"/>
            <w:shd w:val="clear" w:color="auto" w:fill="auto"/>
            <w:vAlign w:val="bottom"/>
          </w:tcPr>
          <w:p w14:paraId="5F2CADCE" w14:textId="77777777" w:rsidR="00E836FB" w:rsidRDefault="00E836FB">
            <w:pPr>
              <w:rPr>
                <w:rFonts w:ascii="宋体"/>
              </w:rPr>
            </w:pPr>
          </w:p>
        </w:tc>
        <w:tc>
          <w:tcPr>
            <w:tcW w:w="5" w:type="pct"/>
            <w:shd w:val="clear" w:color="auto" w:fill="auto"/>
            <w:vAlign w:val="bottom"/>
          </w:tcPr>
          <w:p w14:paraId="5F2CADCF" w14:textId="77777777" w:rsidR="00E836FB" w:rsidRDefault="00E836FB">
            <w:pPr>
              <w:rPr>
                <w:rFonts w:ascii="宋体"/>
              </w:rPr>
            </w:pPr>
          </w:p>
        </w:tc>
        <w:tc>
          <w:tcPr>
            <w:tcW w:w="50" w:type="pct"/>
            <w:shd w:val="clear" w:color="auto" w:fill="auto"/>
            <w:vAlign w:val="bottom"/>
          </w:tcPr>
          <w:p w14:paraId="5F2CADD0" w14:textId="77777777" w:rsidR="00E836FB" w:rsidRDefault="00E836FB">
            <w:pPr>
              <w:rPr>
                <w:rFonts w:ascii="宋体"/>
              </w:rPr>
            </w:pPr>
          </w:p>
        </w:tc>
        <w:tc>
          <w:tcPr>
            <w:tcW w:w="332" w:type="pct"/>
            <w:shd w:val="clear" w:color="auto" w:fill="auto"/>
            <w:vAlign w:val="bottom"/>
          </w:tcPr>
          <w:p w14:paraId="5F2CADD1" w14:textId="77777777" w:rsidR="00E836FB" w:rsidRDefault="00E836FB">
            <w:pPr>
              <w:rPr>
                <w:rFonts w:ascii="宋体"/>
              </w:rPr>
            </w:pPr>
          </w:p>
        </w:tc>
        <w:tc>
          <w:tcPr>
            <w:tcW w:w="5" w:type="pct"/>
            <w:shd w:val="clear" w:color="auto" w:fill="auto"/>
            <w:vAlign w:val="bottom"/>
          </w:tcPr>
          <w:p w14:paraId="5F2CADD2" w14:textId="77777777" w:rsidR="00E836FB" w:rsidRDefault="00E836FB">
            <w:pPr>
              <w:rPr>
                <w:rFonts w:ascii="宋体"/>
              </w:rPr>
            </w:pPr>
          </w:p>
        </w:tc>
        <w:tc>
          <w:tcPr>
            <w:tcW w:w="5" w:type="pct"/>
            <w:shd w:val="clear" w:color="auto" w:fill="auto"/>
            <w:vAlign w:val="bottom"/>
          </w:tcPr>
          <w:p w14:paraId="5F2CADD3" w14:textId="77777777" w:rsidR="00E836FB" w:rsidRDefault="00E836FB">
            <w:pPr>
              <w:rPr>
                <w:rFonts w:ascii="宋体"/>
              </w:rPr>
            </w:pPr>
          </w:p>
        </w:tc>
        <w:tc>
          <w:tcPr>
            <w:tcW w:w="19" w:type="pct"/>
            <w:shd w:val="clear" w:color="auto" w:fill="auto"/>
            <w:vAlign w:val="bottom"/>
          </w:tcPr>
          <w:p w14:paraId="5F2CADD4" w14:textId="77777777" w:rsidR="00E836FB" w:rsidRDefault="00E836FB">
            <w:pPr>
              <w:rPr>
                <w:rFonts w:ascii="宋体"/>
              </w:rPr>
            </w:pPr>
          </w:p>
        </w:tc>
        <w:tc>
          <w:tcPr>
            <w:tcW w:w="5" w:type="pct"/>
            <w:shd w:val="clear" w:color="auto" w:fill="auto"/>
            <w:vAlign w:val="bottom"/>
          </w:tcPr>
          <w:p w14:paraId="5F2CADD5" w14:textId="77777777" w:rsidR="00E836FB" w:rsidRDefault="00E836FB">
            <w:pPr>
              <w:rPr>
                <w:rFonts w:ascii="宋体"/>
              </w:rPr>
            </w:pPr>
          </w:p>
        </w:tc>
        <w:tc>
          <w:tcPr>
            <w:tcW w:w="50" w:type="pct"/>
            <w:shd w:val="clear" w:color="auto" w:fill="auto"/>
            <w:vAlign w:val="bottom"/>
          </w:tcPr>
          <w:p w14:paraId="5F2CADD6" w14:textId="77777777" w:rsidR="00E836FB" w:rsidRDefault="00E836FB">
            <w:pPr>
              <w:rPr>
                <w:rFonts w:ascii="宋体"/>
              </w:rPr>
            </w:pPr>
          </w:p>
        </w:tc>
        <w:tc>
          <w:tcPr>
            <w:tcW w:w="522" w:type="pct"/>
            <w:shd w:val="clear" w:color="auto" w:fill="auto"/>
            <w:vAlign w:val="bottom"/>
          </w:tcPr>
          <w:p w14:paraId="5F2CADD7" w14:textId="77777777" w:rsidR="00E836FB" w:rsidRDefault="00E836FB">
            <w:pPr>
              <w:rPr>
                <w:rFonts w:ascii="宋体"/>
              </w:rPr>
            </w:pPr>
          </w:p>
        </w:tc>
        <w:tc>
          <w:tcPr>
            <w:tcW w:w="5" w:type="pct"/>
            <w:shd w:val="clear" w:color="auto" w:fill="auto"/>
            <w:vAlign w:val="bottom"/>
          </w:tcPr>
          <w:p w14:paraId="5F2CADD8" w14:textId="77777777" w:rsidR="00E836FB" w:rsidRDefault="00E836FB">
            <w:pPr>
              <w:rPr>
                <w:rFonts w:ascii="宋体"/>
              </w:rPr>
            </w:pPr>
          </w:p>
        </w:tc>
        <w:tc>
          <w:tcPr>
            <w:tcW w:w="5" w:type="pct"/>
            <w:shd w:val="clear" w:color="auto" w:fill="auto"/>
            <w:vAlign w:val="bottom"/>
          </w:tcPr>
          <w:p w14:paraId="5F2CADD9" w14:textId="77777777" w:rsidR="00E836FB" w:rsidRDefault="00E836FB">
            <w:pPr>
              <w:rPr>
                <w:rFonts w:ascii="宋体"/>
              </w:rPr>
            </w:pPr>
          </w:p>
        </w:tc>
        <w:tc>
          <w:tcPr>
            <w:tcW w:w="19" w:type="pct"/>
            <w:shd w:val="clear" w:color="auto" w:fill="auto"/>
            <w:vAlign w:val="bottom"/>
          </w:tcPr>
          <w:p w14:paraId="5F2CADDA" w14:textId="77777777" w:rsidR="00E836FB" w:rsidRDefault="00E836FB">
            <w:pPr>
              <w:rPr>
                <w:rFonts w:ascii="宋体"/>
              </w:rPr>
            </w:pPr>
          </w:p>
        </w:tc>
        <w:tc>
          <w:tcPr>
            <w:tcW w:w="5" w:type="pct"/>
            <w:shd w:val="clear" w:color="auto" w:fill="auto"/>
            <w:vAlign w:val="bottom"/>
          </w:tcPr>
          <w:p w14:paraId="5F2CADDB" w14:textId="77777777" w:rsidR="00E836FB" w:rsidRDefault="00E836FB">
            <w:pPr>
              <w:rPr>
                <w:rFonts w:ascii="宋体"/>
              </w:rPr>
            </w:pPr>
          </w:p>
        </w:tc>
        <w:tc>
          <w:tcPr>
            <w:tcW w:w="50" w:type="pct"/>
            <w:shd w:val="clear" w:color="auto" w:fill="auto"/>
            <w:vAlign w:val="bottom"/>
          </w:tcPr>
          <w:p w14:paraId="5F2CADDC" w14:textId="77777777" w:rsidR="00E836FB" w:rsidRDefault="00E836FB">
            <w:pPr>
              <w:rPr>
                <w:rFonts w:ascii="宋体"/>
              </w:rPr>
            </w:pPr>
          </w:p>
        </w:tc>
        <w:tc>
          <w:tcPr>
            <w:tcW w:w="566" w:type="pct"/>
            <w:shd w:val="clear" w:color="auto" w:fill="auto"/>
            <w:vAlign w:val="bottom"/>
          </w:tcPr>
          <w:p w14:paraId="5F2CADDD" w14:textId="77777777" w:rsidR="00E836FB" w:rsidRDefault="00E836FB">
            <w:pPr>
              <w:rPr>
                <w:rFonts w:ascii="宋体"/>
              </w:rPr>
            </w:pPr>
          </w:p>
        </w:tc>
        <w:tc>
          <w:tcPr>
            <w:tcW w:w="5" w:type="pct"/>
            <w:shd w:val="clear" w:color="auto" w:fill="auto"/>
            <w:vAlign w:val="bottom"/>
          </w:tcPr>
          <w:p w14:paraId="5F2CADDE" w14:textId="77777777" w:rsidR="00E836FB" w:rsidRDefault="00E836FB">
            <w:pPr>
              <w:rPr>
                <w:rFonts w:ascii="宋体"/>
              </w:rPr>
            </w:pPr>
          </w:p>
        </w:tc>
        <w:tc>
          <w:tcPr>
            <w:tcW w:w="5" w:type="pct"/>
            <w:shd w:val="clear" w:color="auto" w:fill="auto"/>
            <w:vAlign w:val="bottom"/>
          </w:tcPr>
          <w:p w14:paraId="5F2CADDF" w14:textId="77777777" w:rsidR="00E836FB" w:rsidRDefault="00E836FB">
            <w:pPr>
              <w:rPr>
                <w:rFonts w:ascii="宋体"/>
              </w:rPr>
            </w:pPr>
          </w:p>
        </w:tc>
        <w:tc>
          <w:tcPr>
            <w:tcW w:w="19" w:type="pct"/>
            <w:shd w:val="clear" w:color="auto" w:fill="auto"/>
            <w:vAlign w:val="bottom"/>
          </w:tcPr>
          <w:p w14:paraId="5F2CADE0" w14:textId="77777777" w:rsidR="00E836FB" w:rsidRDefault="00E836FB">
            <w:pPr>
              <w:rPr>
                <w:rFonts w:ascii="宋体"/>
              </w:rPr>
            </w:pPr>
          </w:p>
        </w:tc>
        <w:tc>
          <w:tcPr>
            <w:tcW w:w="5" w:type="pct"/>
            <w:shd w:val="clear" w:color="auto" w:fill="auto"/>
            <w:vAlign w:val="bottom"/>
          </w:tcPr>
          <w:p w14:paraId="5F2CADE1" w14:textId="77777777" w:rsidR="00E836FB" w:rsidRDefault="00E836FB">
            <w:pPr>
              <w:rPr>
                <w:rFonts w:ascii="宋体"/>
              </w:rPr>
            </w:pPr>
          </w:p>
        </w:tc>
        <w:tc>
          <w:tcPr>
            <w:tcW w:w="50" w:type="pct"/>
            <w:shd w:val="clear" w:color="auto" w:fill="auto"/>
            <w:vAlign w:val="bottom"/>
          </w:tcPr>
          <w:p w14:paraId="5F2CADE2" w14:textId="77777777" w:rsidR="00E836FB" w:rsidRDefault="00E836FB">
            <w:pPr>
              <w:rPr>
                <w:rFonts w:ascii="宋体"/>
              </w:rPr>
            </w:pPr>
          </w:p>
        </w:tc>
        <w:tc>
          <w:tcPr>
            <w:tcW w:w="376" w:type="pct"/>
            <w:shd w:val="clear" w:color="auto" w:fill="auto"/>
            <w:vAlign w:val="bottom"/>
          </w:tcPr>
          <w:p w14:paraId="5F2CADE3" w14:textId="77777777" w:rsidR="00E836FB" w:rsidRDefault="00E836FB">
            <w:pPr>
              <w:rPr>
                <w:rFonts w:ascii="宋体"/>
              </w:rPr>
            </w:pPr>
          </w:p>
        </w:tc>
        <w:tc>
          <w:tcPr>
            <w:tcW w:w="5" w:type="pct"/>
            <w:shd w:val="clear" w:color="auto" w:fill="auto"/>
            <w:vAlign w:val="bottom"/>
          </w:tcPr>
          <w:p w14:paraId="5F2CADE4" w14:textId="77777777" w:rsidR="00E836FB" w:rsidRDefault="00E836FB">
            <w:pPr>
              <w:rPr>
                <w:rFonts w:ascii="宋体"/>
              </w:rPr>
            </w:pPr>
          </w:p>
        </w:tc>
        <w:tc>
          <w:tcPr>
            <w:tcW w:w="0" w:type="auto"/>
            <w:shd w:val="clear" w:color="auto" w:fill="auto"/>
            <w:vAlign w:val="bottom"/>
          </w:tcPr>
          <w:p w14:paraId="5F2CADE5" w14:textId="77777777" w:rsidR="00E836FB" w:rsidRDefault="00E836FB">
            <w:pPr>
              <w:rPr>
                <w:rFonts w:ascii="宋体"/>
                <w:vanish/>
              </w:rPr>
            </w:pPr>
          </w:p>
        </w:tc>
      </w:tr>
      <w:tr w:rsidR="00E836FB" w14:paraId="5F2CADE9" w14:textId="77777777">
        <w:tc>
          <w:tcPr>
            <w:tcW w:w="0" w:type="auto"/>
            <w:gridSpan w:val="36"/>
            <w:shd w:val="clear" w:color="auto" w:fill="auto"/>
            <w:tcMar>
              <w:top w:w="40" w:type="dxa"/>
              <w:left w:w="20" w:type="dxa"/>
              <w:bottom w:w="40" w:type="dxa"/>
              <w:right w:w="20" w:type="dxa"/>
            </w:tcMar>
            <w:vAlign w:val="bottom"/>
          </w:tcPr>
          <w:p w14:paraId="5F2CADE7" w14:textId="77777777" w:rsidR="00E836FB" w:rsidRDefault="00994958">
            <w:pPr>
              <w:textAlignment w:val="bottom"/>
            </w:pPr>
            <w:r>
              <w:rPr>
                <w:rFonts w:ascii="Arial" w:eastAsia="宋体" w:hAnsi="Arial" w:cs="Arial"/>
                <w:b/>
                <w:bCs/>
                <w:color w:val="000000"/>
                <w:sz w:val="16"/>
                <w:szCs w:val="16"/>
              </w:rPr>
              <w:t>TABLE 12: ACTIVITY IN ASSETS UNDER MANAGEMENT BY PRODUCT CATEGORY</w:t>
            </w:r>
          </w:p>
        </w:tc>
        <w:tc>
          <w:tcPr>
            <w:tcW w:w="0" w:type="auto"/>
            <w:shd w:val="clear" w:color="auto" w:fill="auto"/>
            <w:vAlign w:val="bottom"/>
          </w:tcPr>
          <w:p w14:paraId="5F2CADE8" w14:textId="77777777" w:rsidR="00E836FB" w:rsidRDefault="00E836FB">
            <w:pPr>
              <w:rPr>
                <w:rFonts w:ascii="宋体"/>
                <w:vanish/>
              </w:rPr>
            </w:pPr>
          </w:p>
        </w:tc>
      </w:tr>
      <w:tr w:rsidR="00E836FB" w14:paraId="5F2CADF7" w14:textId="77777777">
        <w:tc>
          <w:tcPr>
            <w:tcW w:w="0" w:type="auto"/>
            <w:gridSpan w:val="3"/>
            <w:shd w:val="clear" w:color="auto" w:fill="auto"/>
            <w:tcMar>
              <w:top w:w="40" w:type="dxa"/>
              <w:left w:w="20" w:type="dxa"/>
              <w:bottom w:w="40" w:type="dxa"/>
              <w:right w:w="20" w:type="dxa"/>
            </w:tcMar>
            <w:vAlign w:val="bottom"/>
          </w:tcPr>
          <w:p w14:paraId="5F2CADEA" w14:textId="77777777" w:rsidR="00E836FB" w:rsidRDefault="00994958">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5F2CADEB" w14:textId="77777777" w:rsidR="00E836FB" w:rsidRDefault="00994958">
            <w:pPr>
              <w:jc w:val="center"/>
              <w:textAlignment w:val="bottom"/>
            </w:pPr>
            <w:r>
              <w:rPr>
                <w:rFonts w:ascii="Arial" w:eastAsia="宋体" w:hAnsi="Arial" w:cs="Arial"/>
                <w:b/>
                <w:bCs/>
                <w:color w:val="000000"/>
                <w:sz w:val="14"/>
                <w:szCs w:val="14"/>
              </w:rPr>
              <w:t>Equity</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CADE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ED" w14:textId="77777777" w:rsidR="00E836FB" w:rsidRDefault="00994958">
            <w:pPr>
              <w:jc w:val="center"/>
              <w:textAlignment w:val="bottom"/>
            </w:pPr>
            <w:r>
              <w:rPr>
                <w:rFonts w:ascii="Arial" w:eastAsia="宋体" w:hAnsi="Arial" w:cs="Arial"/>
                <w:b/>
                <w:bCs/>
                <w:color w:val="000000"/>
                <w:sz w:val="14"/>
                <w:szCs w:val="14"/>
              </w:rPr>
              <w:t>Fixed-Income</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CADE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EF" w14:textId="77777777" w:rsidR="00E836FB" w:rsidRDefault="00994958">
            <w:pPr>
              <w:jc w:val="center"/>
              <w:textAlignment w:val="bottom"/>
            </w:pPr>
            <w:r>
              <w:rPr>
                <w:rFonts w:ascii="Arial" w:eastAsia="宋体" w:hAnsi="Arial" w:cs="Arial"/>
                <w:b/>
                <w:bCs/>
                <w:color w:val="000000"/>
                <w:sz w:val="14"/>
                <w:szCs w:val="14"/>
              </w:rPr>
              <w:t>Cash</w:t>
            </w:r>
            <w:r>
              <w:rPr>
                <w:rFonts w:ascii="Arial" w:eastAsia="宋体" w:hAnsi="Arial" w:cs="Arial"/>
                <w:b/>
                <w:bCs/>
                <w:color w:val="000000"/>
                <w:sz w:val="9"/>
                <w:szCs w:val="9"/>
              </w:rPr>
              <w:t>(1)(2)</w:t>
            </w:r>
          </w:p>
        </w:tc>
        <w:tc>
          <w:tcPr>
            <w:tcW w:w="0" w:type="auto"/>
            <w:gridSpan w:val="3"/>
            <w:shd w:val="clear" w:color="auto" w:fill="auto"/>
            <w:tcMar>
              <w:top w:w="0" w:type="dxa"/>
              <w:left w:w="20" w:type="dxa"/>
              <w:bottom w:w="0" w:type="dxa"/>
              <w:right w:w="20" w:type="dxa"/>
            </w:tcMar>
            <w:vAlign w:val="bottom"/>
          </w:tcPr>
          <w:p w14:paraId="5F2CADF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F1" w14:textId="77777777" w:rsidR="00E836FB" w:rsidRDefault="00994958">
            <w:pPr>
              <w:jc w:val="center"/>
              <w:textAlignment w:val="bottom"/>
            </w:pPr>
            <w:r>
              <w:rPr>
                <w:rFonts w:ascii="Arial" w:eastAsia="宋体" w:hAnsi="Arial" w:cs="Arial"/>
                <w:b/>
                <w:bCs/>
                <w:color w:val="000000"/>
                <w:sz w:val="14"/>
                <w:szCs w:val="14"/>
              </w:rPr>
              <w:t>Multi-Asset-Class Solutions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CADF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F3" w14:textId="77777777" w:rsidR="00E836FB" w:rsidRDefault="00994958">
            <w:pPr>
              <w:jc w:val="center"/>
              <w:textAlignment w:val="bottom"/>
            </w:pPr>
            <w:r>
              <w:rPr>
                <w:rFonts w:ascii="Arial" w:eastAsia="宋体" w:hAnsi="Arial" w:cs="Arial"/>
                <w:b/>
                <w:bCs/>
                <w:color w:val="000000"/>
                <w:sz w:val="14"/>
                <w:szCs w:val="14"/>
              </w:rPr>
              <w:t>Alternative Investments</w:t>
            </w:r>
            <w:r>
              <w:rPr>
                <w:rFonts w:ascii="Arial" w:eastAsia="宋体" w:hAnsi="Arial" w:cs="Arial"/>
                <w:b/>
                <w:bCs/>
                <w:color w:val="000000"/>
                <w:sz w:val="9"/>
                <w:szCs w:val="9"/>
              </w:rPr>
              <w:t>(1)(3)</w:t>
            </w:r>
          </w:p>
        </w:tc>
        <w:tc>
          <w:tcPr>
            <w:tcW w:w="0" w:type="auto"/>
            <w:gridSpan w:val="3"/>
            <w:shd w:val="clear" w:color="auto" w:fill="auto"/>
            <w:tcMar>
              <w:top w:w="0" w:type="dxa"/>
              <w:left w:w="20" w:type="dxa"/>
              <w:bottom w:w="0" w:type="dxa"/>
              <w:right w:w="20" w:type="dxa"/>
            </w:tcMar>
            <w:vAlign w:val="bottom"/>
          </w:tcPr>
          <w:p w14:paraId="5F2CADF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ADF5" w14:textId="77777777" w:rsidR="00E836FB" w:rsidRDefault="00994958">
            <w:pPr>
              <w:jc w:val="center"/>
              <w:textAlignment w:val="bottom"/>
            </w:pPr>
            <w:r>
              <w:rPr>
                <w:rFonts w:ascii="Arial" w:eastAsia="宋体" w:hAnsi="Arial" w:cs="Arial"/>
                <w:b/>
                <w:bCs/>
                <w:color w:val="000000"/>
                <w:sz w:val="14"/>
                <w:szCs w:val="14"/>
              </w:rPr>
              <w:t>Total</w:t>
            </w:r>
          </w:p>
        </w:tc>
        <w:tc>
          <w:tcPr>
            <w:tcW w:w="0" w:type="auto"/>
            <w:shd w:val="clear" w:color="auto" w:fill="auto"/>
            <w:vAlign w:val="bottom"/>
          </w:tcPr>
          <w:p w14:paraId="5F2CADF6" w14:textId="77777777" w:rsidR="00E836FB" w:rsidRDefault="00E836FB">
            <w:pPr>
              <w:rPr>
                <w:rFonts w:ascii="宋体"/>
                <w:vanish/>
              </w:rPr>
            </w:pPr>
          </w:p>
        </w:tc>
      </w:tr>
      <w:tr w:rsidR="00E836FB" w14:paraId="5F2CAE05" w14:textId="77777777">
        <w:trPr>
          <w:hidden/>
        </w:trPr>
        <w:tc>
          <w:tcPr>
            <w:tcW w:w="0" w:type="auto"/>
            <w:gridSpan w:val="3"/>
            <w:shd w:val="clear" w:color="auto" w:fill="auto"/>
            <w:vAlign w:val="bottom"/>
          </w:tcPr>
          <w:p w14:paraId="5F2CADF8" w14:textId="77777777" w:rsidR="00E836FB" w:rsidRDefault="00E836FB">
            <w:pPr>
              <w:rPr>
                <w:rFonts w:ascii="宋体"/>
                <w:vanish/>
              </w:rPr>
            </w:pPr>
          </w:p>
        </w:tc>
        <w:tc>
          <w:tcPr>
            <w:tcW w:w="0" w:type="auto"/>
            <w:gridSpan w:val="3"/>
            <w:shd w:val="clear" w:color="auto" w:fill="auto"/>
            <w:vAlign w:val="bottom"/>
          </w:tcPr>
          <w:p w14:paraId="5F2CADF9" w14:textId="77777777" w:rsidR="00E836FB" w:rsidRDefault="00E836FB">
            <w:pPr>
              <w:rPr>
                <w:rFonts w:ascii="宋体"/>
                <w:vanish/>
              </w:rPr>
            </w:pPr>
          </w:p>
        </w:tc>
        <w:tc>
          <w:tcPr>
            <w:tcW w:w="0" w:type="auto"/>
            <w:gridSpan w:val="3"/>
            <w:shd w:val="clear" w:color="auto" w:fill="auto"/>
            <w:vAlign w:val="bottom"/>
          </w:tcPr>
          <w:p w14:paraId="5F2CADFA" w14:textId="77777777" w:rsidR="00E836FB" w:rsidRDefault="00E836FB">
            <w:pPr>
              <w:rPr>
                <w:rFonts w:ascii="宋体"/>
                <w:vanish/>
              </w:rPr>
            </w:pPr>
          </w:p>
        </w:tc>
        <w:tc>
          <w:tcPr>
            <w:tcW w:w="0" w:type="auto"/>
            <w:gridSpan w:val="3"/>
            <w:shd w:val="clear" w:color="auto" w:fill="auto"/>
            <w:vAlign w:val="bottom"/>
          </w:tcPr>
          <w:p w14:paraId="5F2CADFB" w14:textId="77777777" w:rsidR="00E836FB" w:rsidRDefault="00E836FB">
            <w:pPr>
              <w:rPr>
                <w:rFonts w:ascii="宋体"/>
                <w:vanish/>
              </w:rPr>
            </w:pPr>
          </w:p>
        </w:tc>
        <w:tc>
          <w:tcPr>
            <w:tcW w:w="0" w:type="auto"/>
            <w:gridSpan w:val="3"/>
            <w:shd w:val="clear" w:color="auto" w:fill="auto"/>
            <w:vAlign w:val="bottom"/>
          </w:tcPr>
          <w:p w14:paraId="5F2CADFC" w14:textId="77777777" w:rsidR="00E836FB" w:rsidRDefault="00E836FB">
            <w:pPr>
              <w:rPr>
                <w:rFonts w:ascii="宋体"/>
                <w:vanish/>
              </w:rPr>
            </w:pPr>
          </w:p>
        </w:tc>
        <w:tc>
          <w:tcPr>
            <w:tcW w:w="0" w:type="auto"/>
            <w:gridSpan w:val="3"/>
            <w:shd w:val="clear" w:color="auto" w:fill="auto"/>
            <w:vAlign w:val="bottom"/>
          </w:tcPr>
          <w:p w14:paraId="5F2CADFD" w14:textId="77777777" w:rsidR="00E836FB" w:rsidRDefault="00E836FB">
            <w:pPr>
              <w:rPr>
                <w:rFonts w:ascii="宋体"/>
                <w:vanish/>
              </w:rPr>
            </w:pPr>
          </w:p>
        </w:tc>
        <w:tc>
          <w:tcPr>
            <w:tcW w:w="0" w:type="auto"/>
            <w:gridSpan w:val="3"/>
            <w:shd w:val="clear" w:color="auto" w:fill="auto"/>
            <w:vAlign w:val="bottom"/>
          </w:tcPr>
          <w:p w14:paraId="5F2CADFE" w14:textId="77777777" w:rsidR="00E836FB" w:rsidRDefault="00E836FB">
            <w:pPr>
              <w:rPr>
                <w:rFonts w:ascii="宋体"/>
                <w:vanish/>
              </w:rPr>
            </w:pPr>
          </w:p>
        </w:tc>
        <w:tc>
          <w:tcPr>
            <w:tcW w:w="0" w:type="auto"/>
            <w:gridSpan w:val="3"/>
            <w:shd w:val="clear" w:color="auto" w:fill="auto"/>
            <w:vAlign w:val="bottom"/>
          </w:tcPr>
          <w:p w14:paraId="5F2CADFF" w14:textId="77777777" w:rsidR="00E836FB" w:rsidRDefault="00E836FB">
            <w:pPr>
              <w:rPr>
                <w:rFonts w:ascii="宋体"/>
                <w:vanish/>
              </w:rPr>
            </w:pPr>
          </w:p>
        </w:tc>
        <w:tc>
          <w:tcPr>
            <w:tcW w:w="0" w:type="auto"/>
            <w:gridSpan w:val="3"/>
            <w:shd w:val="clear" w:color="auto" w:fill="auto"/>
            <w:vAlign w:val="bottom"/>
          </w:tcPr>
          <w:p w14:paraId="5F2CAE00" w14:textId="77777777" w:rsidR="00E836FB" w:rsidRDefault="00E836FB">
            <w:pPr>
              <w:rPr>
                <w:rFonts w:ascii="宋体"/>
                <w:vanish/>
              </w:rPr>
            </w:pPr>
          </w:p>
        </w:tc>
        <w:tc>
          <w:tcPr>
            <w:tcW w:w="0" w:type="auto"/>
            <w:gridSpan w:val="3"/>
            <w:shd w:val="clear" w:color="auto" w:fill="auto"/>
            <w:vAlign w:val="bottom"/>
          </w:tcPr>
          <w:p w14:paraId="5F2CAE01" w14:textId="77777777" w:rsidR="00E836FB" w:rsidRDefault="00E836FB">
            <w:pPr>
              <w:rPr>
                <w:rFonts w:ascii="宋体"/>
                <w:vanish/>
              </w:rPr>
            </w:pPr>
          </w:p>
        </w:tc>
        <w:tc>
          <w:tcPr>
            <w:tcW w:w="0" w:type="auto"/>
            <w:gridSpan w:val="3"/>
            <w:shd w:val="clear" w:color="auto" w:fill="auto"/>
            <w:vAlign w:val="bottom"/>
          </w:tcPr>
          <w:p w14:paraId="5F2CAE02" w14:textId="77777777" w:rsidR="00E836FB" w:rsidRDefault="00E836FB">
            <w:pPr>
              <w:rPr>
                <w:rFonts w:ascii="宋体"/>
                <w:vanish/>
              </w:rPr>
            </w:pPr>
          </w:p>
        </w:tc>
        <w:tc>
          <w:tcPr>
            <w:tcW w:w="0" w:type="auto"/>
            <w:gridSpan w:val="3"/>
            <w:shd w:val="clear" w:color="auto" w:fill="auto"/>
            <w:vAlign w:val="bottom"/>
          </w:tcPr>
          <w:p w14:paraId="5F2CAE03" w14:textId="77777777" w:rsidR="00E836FB" w:rsidRDefault="00E836FB">
            <w:pPr>
              <w:rPr>
                <w:rFonts w:ascii="宋体"/>
                <w:vanish/>
              </w:rPr>
            </w:pPr>
          </w:p>
        </w:tc>
        <w:tc>
          <w:tcPr>
            <w:tcW w:w="0" w:type="auto"/>
            <w:shd w:val="clear" w:color="auto" w:fill="auto"/>
            <w:vAlign w:val="bottom"/>
          </w:tcPr>
          <w:p w14:paraId="5F2CAE04" w14:textId="77777777" w:rsidR="00E836FB" w:rsidRDefault="00E836FB">
            <w:pPr>
              <w:rPr>
                <w:rFonts w:ascii="宋体"/>
                <w:vanish/>
              </w:rPr>
            </w:pPr>
          </w:p>
        </w:tc>
      </w:tr>
      <w:tr w:rsidR="00E836FB" w14:paraId="5F2CAE13" w14:textId="77777777">
        <w:trPr>
          <w:hidden/>
        </w:trPr>
        <w:tc>
          <w:tcPr>
            <w:tcW w:w="0" w:type="auto"/>
            <w:gridSpan w:val="3"/>
            <w:shd w:val="clear" w:color="auto" w:fill="auto"/>
            <w:vAlign w:val="bottom"/>
          </w:tcPr>
          <w:p w14:paraId="5F2CAE06" w14:textId="77777777" w:rsidR="00E836FB" w:rsidRDefault="00E836FB">
            <w:pPr>
              <w:rPr>
                <w:rFonts w:ascii="宋体"/>
                <w:vanish/>
              </w:rPr>
            </w:pPr>
          </w:p>
        </w:tc>
        <w:tc>
          <w:tcPr>
            <w:tcW w:w="0" w:type="auto"/>
            <w:gridSpan w:val="3"/>
            <w:shd w:val="clear" w:color="auto" w:fill="auto"/>
            <w:vAlign w:val="bottom"/>
          </w:tcPr>
          <w:p w14:paraId="5F2CAE07" w14:textId="77777777" w:rsidR="00E836FB" w:rsidRDefault="00E836FB">
            <w:pPr>
              <w:rPr>
                <w:rFonts w:ascii="宋体"/>
                <w:vanish/>
              </w:rPr>
            </w:pPr>
          </w:p>
        </w:tc>
        <w:tc>
          <w:tcPr>
            <w:tcW w:w="0" w:type="auto"/>
            <w:gridSpan w:val="3"/>
            <w:shd w:val="clear" w:color="auto" w:fill="auto"/>
            <w:vAlign w:val="bottom"/>
          </w:tcPr>
          <w:p w14:paraId="5F2CAE08" w14:textId="77777777" w:rsidR="00E836FB" w:rsidRDefault="00E836FB">
            <w:pPr>
              <w:rPr>
                <w:rFonts w:ascii="宋体"/>
                <w:vanish/>
              </w:rPr>
            </w:pPr>
          </w:p>
        </w:tc>
        <w:tc>
          <w:tcPr>
            <w:tcW w:w="0" w:type="auto"/>
            <w:gridSpan w:val="3"/>
            <w:shd w:val="clear" w:color="auto" w:fill="auto"/>
            <w:vAlign w:val="bottom"/>
          </w:tcPr>
          <w:p w14:paraId="5F2CAE09" w14:textId="77777777" w:rsidR="00E836FB" w:rsidRDefault="00E836FB">
            <w:pPr>
              <w:rPr>
                <w:rFonts w:ascii="宋体"/>
                <w:vanish/>
              </w:rPr>
            </w:pPr>
          </w:p>
        </w:tc>
        <w:tc>
          <w:tcPr>
            <w:tcW w:w="0" w:type="auto"/>
            <w:gridSpan w:val="3"/>
            <w:shd w:val="clear" w:color="auto" w:fill="auto"/>
            <w:vAlign w:val="bottom"/>
          </w:tcPr>
          <w:p w14:paraId="5F2CAE0A" w14:textId="77777777" w:rsidR="00E836FB" w:rsidRDefault="00E836FB">
            <w:pPr>
              <w:rPr>
                <w:rFonts w:ascii="宋体"/>
                <w:vanish/>
              </w:rPr>
            </w:pPr>
          </w:p>
        </w:tc>
        <w:tc>
          <w:tcPr>
            <w:tcW w:w="0" w:type="auto"/>
            <w:gridSpan w:val="3"/>
            <w:shd w:val="clear" w:color="auto" w:fill="auto"/>
            <w:vAlign w:val="bottom"/>
          </w:tcPr>
          <w:p w14:paraId="5F2CAE0B" w14:textId="77777777" w:rsidR="00E836FB" w:rsidRDefault="00E836FB">
            <w:pPr>
              <w:rPr>
                <w:rFonts w:ascii="宋体"/>
                <w:vanish/>
              </w:rPr>
            </w:pPr>
          </w:p>
        </w:tc>
        <w:tc>
          <w:tcPr>
            <w:tcW w:w="0" w:type="auto"/>
            <w:gridSpan w:val="3"/>
            <w:shd w:val="clear" w:color="auto" w:fill="auto"/>
            <w:vAlign w:val="bottom"/>
          </w:tcPr>
          <w:p w14:paraId="5F2CAE0C" w14:textId="77777777" w:rsidR="00E836FB" w:rsidRDefault="00E836FB">
            <w:pPr>
              <w:rPr>
                <w:rFonts w:ascii="宋体"/>
                <w:vanish/>
              </w:rPr>
            </w:pPr>
          </w:p>
        </w:tc>
        <w:tc>
          <w:tcPr>
            <w:tcW w:w="0" w:type="auto"/>
            <w:gridSpan w:val="3"/>
            <w:shd w:val="clear" w:color="auto" w:fill="auto"/>
            <w:vAlign w:val="bottom"/>
          </w:tcPr>
          <w:p w14:paraId="5F2CAE0D" w14:textId="77777777" w:rsidR="00E836FB" w:rsidRDefault="00E836FB">
            <w:pPr>
              <w:rPr>
                <w:rFonts w:ascii="宋体"/>
                <w:vanish/>
              </w:rPr>
            </w:pPr>
          </w:p>
        </w:tc>
        <w:tc>
          <w:tcPr>
            <w:tcW w:w="0" w:type="auto"/>
            <w:gridSpan w:val="3"/>
            <w:shd w:val="clear" w:color="auto" w:fill="auto"/>
            <w:vAlign w:val="bottom"/>
          </w:tcPr>
          <w:p w14:paraId="5F2CAE0E" w14:textId="77777777" w:rsidR="00E836FB" w:rsidRDefault="00E836FB">
            <w:pPr>
              <w:rPr>
                <w:rFonts w:ascii="宋体"/>
                <w:vanish/>
              </w:rPr>
            </w:pPr>
          </w:p>
        </w:tc>
        <w:tc>
          <w:tcPr>
            <w:tcW w:w="0" w:type="auto"/>
            <w:gridSpan w:val="3"/>
            <w:shd w:val="clear" w:color="auto" w:fill="auto"/>
            <w:vAlign w:val="bottom"/>
          </w:tcPr>
          <w:p w14:paraId="5F2CAE0F" w14:textId="77777777" w:rsidR="00E836FB" w:rsidRDefault="00E836FB">
            <w:pPr>
              <w:rPr>
                <w:rFonts w:ascii="宋体"/>
                <w:vanish/>
              </w:rPr>
            </w:pPr>
          </w:p>
        </w:tc>
        <w:tc>
          <w:tcPr>
            <w:tcW w:w="0" w:type="auto"/>
            <w:gridSpan w:val="3"/>
            <w:shd w:val="clear" w:color="auto" w:fill="auto"/>
            <w:vAlign w:val="bottom"/>
          </w:tcPr>
          <w:p w14:paraId="5F2CAE10" w14:textId="77777777" w:rsidR="00E836FB" w:rsidRDefault="00E836FB">
            <w:pPr>
              <w:rPr>
                <w:rFonts w:ascii="宋体"/>
                <w:vanish/>
              </w:rPr>
            </w:pPr>
          </w:p>
        </w:tc>
        <w:tc>
          <w:tcPr>
            <w:tcW w:w="0" w:type="auto"/>
            <w:gridSpan w:val="3"/>
            <w:shd w:val="clear" w:color="auto" w:fill="auto"/>
            <w:vAlign w:val="bottom"/>
          </w:tcPr>
          <w:p w14:paraId="5F2CAE11" w14:textId="77777777" w:rsidR="00E836FB" w:rsidRDefault="00E836FB">
            <w:pPr>
              <w:rPr>
                <w:rFonts w:ascii="宋体"/>
                <w:vanish/>
              </w:rPr>
            </w:pPr>
          </w:p>
        </w:tc>
        <w:tc>
          <w:tcPr>
            <w:tcW w:w="0" w:type="auto"/>
            <w:shd w:val="clear" w:color="auto" w:fill="auto"/>
            <w:vAlign w:val="bottom"/>
          </w:tcPr>
          <w:p w14:paraId="5F2CAE12" w14:textId="77777777" w:rsidR="00E836FB" w:rsidRDefault="00E836FB">
            <w:pPr>
              <w:rPr>
                <w:rFonts w:ascii="宋体"/>
                <w:vanish/>
              </w:rPr>
            </w:pPr>
          </w:p>
        </w:tc>
      </w:tr>
      <w:tr w:rsidR="00E836FB" w14:paraId="5F2CAE21" w14:textId="77777777">
        <w:trPr>
          <w:hidden/>
        </w:trPr>
        <w:tc>
          <w:tcPr>
            <w:tcW w:w="0" w:type="auto"/>
            <w:gridSpan w:val="3"/>
            <w:shd w:val="clear" w:color="auto" w:fill="auto"/>
            <w:vAlign w:val="bottom"/>
          </w:tcPr>
          <w:p w14:paraId="5F2CAE14" w14:textId="77777777" w:rsidR="00E836FB" w:rsidRDefault="00E836FB">
            <w:pPr>
              <w:rPr>
                <w:rFonts w:ascii="宋体"/>
                <w:vanish/>
              </w:rPr>
            </w:pPr>
          </w:p>
        </w:tc>
        <w:tc>
          <w:tcPr>
            <w:tcW w:w="0" w:type="auto"/>
            <w:gridSpan w:val="3"/>
            <w:shd w:val="clear" w:color="auto" w:fill="auto"/>
            <w:vAlign w:val="bottom"/>
          </w:tcPr>
          <w:p w14:paraId="5F2CAE15" w14:textId="77777777" w:rsidR="00E836FB" w:rsidRDefault="00E836FB">
            <w:pPr>
              <w:rPr>
                <w:rFonts w:ascii="宋体"/>
                <w:vanish/>
              </w:rPr>
            </w:pPr>
          </w:p>
        </w:tc>
        <w:tc>
          <w:tcPr>
            <w:tcW w:w="0" w:type="auto"/>
            <w:gridSpan w:val="3"/>
            <w:shd w:val="clear" w:color="auto" w:fill="auto"/>
            <w:vAlign w:val="bottom"/>
          </w:tcPr>
          <w:p w14:paraId="5F2CAE16" w14:textId="77777777" w:rsidR="00E836FB" w:rsidRDefault="00E836FB">
            <w:pPr>
              <w:rPr>
                <w:rFonts w:ascii="宋体"/>
                <w:vanish/>
              </w:rPr>
            </w:pPr>
          </w:p>
        </w:tc>
        <w:tc>
          <w:tcPr>
            <w:tcW w:w="0" w:type="auto"/>
            <w:gridSpan w:val="3"/>
            <w:shd w:val="clear" w:color="auto" w:fill="auto"/>
            <w:vAlign w:val="bottom"/>
          </w:tcPr>
          <w:p w14:paraId="5F2CAE17" w14:textId="77777777" w:rsidR="00E836FB" w:rsidRDefault="00E836FB">
            <w:pPr>
              <w:rPr>
                <w:rFonts w:ascii="宋体"/>
                <w:vanish/>
              </w:rPr>
            </w:pPr>
          </w:p>
        </w:tc>
        <w:tc>
          <w:tcPr>
            <w:tcW w:w="0" w:type="auto"/>
            <w:gridSpan w:val="3"/>
            <w:shd w:val="clear" w:color="auto" w:fill="auto"/>
            <w:vAlign w:val="bottom"/>
          </w:tcPr>
          <w:p w14:paraId="5F2CAE18" w14:textId="77777777" w:rsidR="00E836FB" w:rsidRDefault="00E836FB">
            <w:pPr>
              <w:rPr>
                <w:rFonts w:ascii="宋体"/>
                <w:vanish/>
              </w:rPr>
            </w:pPr>
          </w:p>
        </w:tc>
        <w:tc>
          <w:tcPr>
            <w:tcW w:w="0" w:type="auto"/>
            <w:gridSpan w:val="3"/>
            <w:shd w:val="clear" w:color="auto" w:fill="auto"/>
            <w:vAlign w:val="bottom"/>
          </w:tcPr>
          <w:p w14:paraId="5F2CAE19" w14:textId="77777777" w:rsidR="00E836FB" w:rsidRDefault="00E836FB">
            <w:pPr>
              <w:rPr>
                <w:rFonts w:ascii="宋体"/>
                <w:vanish/>
              </w:rPr>
            </w:pPr>
          </w:p>
        </w:tc>
        <w:tc>
          <w:tcPr>
            <w:tcW w:w="0" w:type="auto"/>
            <w:gridSpan w:val="3"/>
            <w:shd w:val="clear" w:color="auto" w:fill="auto"/>
            <w:vAlign w:val="bottom"/>
          </w:tcPr>
          <w:p w14:paraId="5F2CAE1A" w14:textId="77777777" w:rsidR="00E836FB" w:rsidRDefault="00E836FB">
            <w:pPr>
              <w:rPr>
                <w:rFonts w:ascii="宋体"/>
                <w:vanish/>
              </w:rPr>
            </w:pPr>
          </w:p>
        </w:tc>
        <w:tc>
          <w:tcPr>
            <w:tcW w:w="0" w:type="auto"/>
            <w:gridSpan w:val="3"/>
            <w:shd w:val="clear" w:color="auto" w:fill="auto"/>
            <w:vAlign w:val="bottom"/>
          </w:tcPr>
          <w:p w14:paraId="5F2CAE1B" w14:textId="77777777" w:rsidR="00E836FB" w:rsidRDefault="00E836FB">
            <w:pPr>
              <w:rPr>
                <w:rFonts w:ascii="宋体"/>
                <w:vanish/>
              </w:rPr>
            </w:pPr>
          </w:p>
        </w:tc>
        <w:tc>
          <w:tcPr>
            <w:tcW w:w="0" w:type="auto"/>
            <w:gridSpan w:val="3"/>
            <w:shd w:val="clear" w:color="auto" w:fill="auto"/>
            <w:vAlign w:val="bottom"/>
          </w:tcPr>
          <w:p w14:paraId="5F2CAE1C" w14:textId="77777777" w:rsidR="00E836FB" w:rsidRDefault="00E836FB">
            <w:pPr>
              <w:rPr>
                <w:rFonts w:ascii="宋体"/>
                <w:vanish/>
              </w:rPr>
            </w:pPr>
          </w:p>
        </w:tc>
        <w:tc>
          <w:tcPr>
            <w:tcW w:w="0" w:type="auto"/>
            <w:gridSpan w:val="3"/>
            <w:shd w:val="clear" w:color="auto" w:fill="auto"/>
            <w:vAlign w:val="bottom"/>
          </w:tcPr>
          <w:p w14:paraId="5F2CAE1D" w14:textId="77777777" w:rsidR="00E836FB" w:rsidRDefault="00E836FB">
            <w:pPr>
              <w:rPr>
                <w:rFonts w:ascii="宋体"/>
                <w:vanish/>
              </w:rPr>
            </w:pPr>
          </w:p>
        </w:tc>
        <w:tc>
          <w:tcPr>
            <w:tcW w:w="0" w:type="auto"/>
            <w:gridSpan w:val="3"/>
            <w:shd w:val="clear" w:color="auto" w:fill="auto"/>
            <w:vAlign w:val="bottom"/>
          </w:tcPr>
          <w:p w14:paraId="5F2CAE1E" w14:textId="77777777" w:rsidR="00E836FB" w:rsidRDefault="00E836FB">
            <w:pPr>
              <w:rPr>
                <w:rFonts w:ascii="宋体"/>
                <w:vanish/>
              </w:rPr>
            </w:pPr>
          </w:p>
        </w:tc>
        <w:tc>
          <w:tcPr>
            <w:tcW w:w="0" w:type="auto"/>
            <w:gridSpan w:val="3"/>
            <w:shd w:val="clear" w:color="auto" w:fill="auto"/>
            <w:vAlign w:val="bottom"/>
          </w:tcPr>
          <w:p w14:paraId="5F2CAE1F" w14:textId="77777777" w:rsidR="00E836FB" w:rsidRDefault="00E836FB">
            <w:pPr>
              <w:rPr>
                <w:rFonts w:ascii="宋体"/>
                <w:vanish/>
              </w:rPr>
            </w:pPr>
          </w:p>
        </w:tc>
        <w:tc>
          <w:tcPr>
            <w:tcW w:w="0" w:type="auto"/>
            <w:shd w:val="clear" w:color="auto" w:fill="auto"/>
            <w:vAlign w:val="bottom"/>
          </w:tcPr>
          <w:p w14:paraId="5F2CAE20" w14:textId="77777777" w:rsidR="00E836FB" w:rsidRDefault="00E836FB">
            <w:pPr>
              <w:rPr>
                <w:rFonts w:ascii="宋体"/>
                <w:vanish/>
              </w:rPr>
            </w:pPr>
          </w:p>
        </w:tc>
      </w:tr>
      <w:tr w:rsidR="00E836FB" w14:paraId="5F2CAE2F" w14:textId="77777777">
        <w:trPr>
          <w:hidden/>
        </w:trPr>
        <w:tc>
          <w:tcPr>
            <w:tcW w:w="0" w:type="auto"/>
            <w:gridSpan w:val="3"/>
            <w:shd w:val="clear" w:color="auto" w:fill="auto"/>
            <w:vAlign w:val="bottom"/>
          </w:tcPr>
          <w:p w14:paraId="5F2CAE22" w14:textId="77777777" w:rsidR="00E836FB" w:rsidRDefault="00E836FB">
            <w:pPr>
              <w:rPr>
                <w:rFonts w:ascii="宋体"/>
                <w:vanish/>
              </w:rPr>
            </w:pPr>
          </w:p>
        </w:tc>
        <w:tc>
          <w:tcPr>
            <w:tcW w:w="0" w:type="auto"/>
            <w:gridSpan w:val="3"/>
            <w:shd w:val="clear" w:color="auto" w:fill="auto"/>
            <w:vAlign w:val="bottom"/>
          </w:tcPr>
          <w:p w14:paraId="5F2CAE23" w14:textId="77777777" w:rsidR="00E836FB" w:rsidRDefault="00E836FB">
            <w:pPr>
              <w:rPr>
                <w:rFonts w:ascii="宋体"/>
                <w:vanish/>
              </w:rPr>
            </w:pPr>
          </w:p>
        </w:tc>
        <w:tc>
          <w:tcPr>
            <w:tcW w:w="0" w:type="auto"/>
            <w:gridSpan w:val="3"/>
            <w:shd w:val="clear" w:color="auto" w:fill="auto"/>
            <w:vAlign w:val="bottom"/>
          </w:tcPr>
          <w:p w14:paraId="5F2CAE24" w14:textId="77777777" w:rsidR="00E836FB" w:rsidRDefault="00E836FB">
            <w:pPr>
              <w:rPr>
                <w:rFonts w:ascii="宋体"/>
                <w:vanish/>
              </w:rPr>
            </w:pPr>
          </w:p>
        </w:tc>
        <w:tc>
          <w:tcPr>
            <w:tcW w:w="0" w:type="auto"/>
            <w:gridSpan w:val="3"/>
            <w:shd w:val="clear" w:color="auto" w:fill="auto"/>
            <w:vAlign w:val="bottom"/>
          </w:tcPr>
          <w:p w14:paraId="5F2CAE25" w14:textId="77777777" w:rsidR="00E836FB" w:rsidRDefault="00E836FB">
            <w:pPr>
              <w:rPr>
                <w:rFonts w:ascii="宋体"/>
                <w:vanish/>
              </w:rPr>
            </w:pPr>
          </w:p>
        </w:tc>
        <w:tc>
          <w:tcPr>
            <w:tcW w:w="0" w:type="auto"/>
            <w:gridSpan w:val="3"/>
            <w:shd w:val="clear" w:color="auto" w:fill="auto"/>
            <w:vAlign w:val="bottom"/>
          </w:tcPr>
          <w:p w14:paraId="5F2CAE26" w14:textId="77777777" w:rsidR="00E836FB" w:rsidRDefault="00E836FB">
            <w:pPr>
              <w:rPr>
                <w:rFonts w:ascii="宋体"/>
                <w:vanish/>
              </w:rPr>
            </w:pPr>
          </w:p>
        </w:tc>
        <w:tc>
          <w:tcPr>
            <w:tcW w:w="0" w:type="auto"/>
            <w:gridSpan w:val="3"/>
            <w:shd w:val="clear" w:color="auto" w:fill="auto"/>
            <w:vAlign w:val="bottom"/>
          </w:tcPr>
          <w:p w14:paraId="5F2CAE27" w14:textId="77777777" w:rsidR="00E836FB" w:rsidRDefault="00E836FB">
            <w:pPr>
              <w:rPr>
                <w:rFonts w:ascii="宋体"/>
                <w:vanish/>
              </w:rPr>
            </w:pPr>
          </w:p>
        </w:tc>
        <w:tc>
          <w:tcPr>
            <w:tcW w:w="0" w:type="auto"/>
            <w:gridSpan w:val="3"/>
            <w:shd w:val="clear" w:color="auto" w:fill="auto"/>
            <w:vAlign w:val="bottom"/>
          </w:tcPr>
          <w:p w14:paraId="5F2CAE28" w14:textId="77777777" w:rsidR="00E836FB" w:rsidRDefault="00E836FB">
            <w:pPr>
              <w:rPr>
                <w:rFonts w:ascii="宋体"/>
                <w:vanish/>
              </w:rPr>
            </w:pPr>
          </w:p>
        </w:tc>
        <w:tc>
          <w:tcPr>
            <w:tcW w:w="0" w:type="auto"/>
            <w:gridSpan w:val="3"/>
            <w:shd w:val="clear" w:color="auto" w:fill="auto"/>
            <w:vAlign w:val="bottom"/>
          </w:tcPr>
          <w:p w14:paraId="5F2CAE29" w14:textId="77777777" w:rsidR="00E836FB" w:rsidRDefault="00E836FB">
            <w:pPr>
              <w:rPr>
                <w:rFonts w:ascii="宋体"/>
                <w:vanish/>
              </w:rPr>
            </w:pPr>
          </w:p>
        </w:tc>
        <w:tc>
          <w:tcPr>
            <w:tcW w:w="0" w:type="auto"/>
            <w:gridSpan w:val="3"/>
            <w:shd w:val="clear" w:color="auto" w:fill="auto"/>
            <w:vAlign w:val="bottom"/>
          </w:tcPr>
          <w:p w14:paraId="5F2CAE2A" w14:textId="77777777" w:rsidR="00E836FB" w:rsidRDefault="00E836FB">
            <w:pPr>
              <w:rPr>
                <w:rFonts w:ascii="宋体"/>
                <w:vanish/>
              </w:rPr>
            </w:pPr>
          </w:p>
        </w:tc>
        <w:tc>
          <w:tcPr>
            <w:tcW w:w="0" w:type="auto"/>
            <w:gridSpan w:val="3"/>
            <w:shd w:val="clear" w:color="auto" w:fill="auto"/>
            <w:vAlign w:val="bottom"/>
          </w:tcPr>
          <w:p w14:paraId="5F2CAE2B" w14:textId="77777777" w:rsidR="00E836FB" w:rsidRDefault="00E836FB">
            <w:pPr>
              <w:rPr>
                <w:rFonts w:ascii="宋体"/>
                <w:vanish/>
              </w:rPr>
            </w:pPr>
          </w:p>
        </w:tc>
        <w:tc>
          <w:tcPr>
            <w:tcW w:w="0" w:type="auto"/>
            <w:gridSpan w:val="3"/>
            <w:shd w:val="clear" w:color="auto" w:fill="auto"/>
            <w:vAlign w:val="bottom"/>
          </w:tcPr>
          <w:p w14:paraId="5F2CAE2C" w14:textId="77777777" w:rsidR="00E836FB" w:rsidRDefault="00E836FB">
            <w:pPr>
              <w:rPr>
                <w:rFonts w:ascii="宋体"/>
                <w:vanish/>
              </w:rPr>
            </w:pPr>
          </w:p>
        </w:tc>
        <w:tc>
          <w:tcPr>
            <w:tcW w:w="0" w:type="auto"/>
            <w:gridSpan w:val="3"/>
            <w:shd w:val="clear" w:color="auto" w:fill="auto"/>
            <w:vAlign w:val="bottom"/>
          </w:tcPr>
          <w:p w14:paraId="5F2CAE2D" w14:textId="77777777" w:rsidR="00E836FB" w:rsidRDefault="00E836FB">
            <w:pPr>
              <w:rPr>
                <w:rFonts w:ascii="宋体"/>
                <w:vanish/>
              </w:rPr>
            </w:pPr>
          </w:p>
        </w:tc>
        <w:tc>
          <w:tcPr>
            <w:tcW w:w="0" w:type="auto"/>
            <w:shd w:val="clear" w:color="auto" w:fill="auto"/>
            <w:vAlign w:val="bottom"/>
          </w:tcPr>
          <w:p w14:paraId="5F2CAE2E" w14:textId="77777777" w:rsidR="00E836FB" w:rsidRDefault="00E836FB">
            <w:pPr>
              <w:rPr>
                <w:rFonts w:ascii="宋体"/>
                <w:vanish/>
              </w:rPr>
            </w:pPr>
          </w:p>
        </w:tc>
      </w:tr>
      <w:tr w:rsidR="00E836FB" w14:paraId="5F2CAE3D" w14:textId="77777777">
        <w:trPr>
          <w:hidden/>
        </w:trPr>
        <w:tc>
          <w:tcPr>
            <w:tcW w:w="0" w:type="auto"/>
            <w:gridSpan w:val="3"/>
            <w:shd w:val="clear" w:color="auto" w:fill="auto"/>
            <w:vAlign w:val="bottom"/>
          </w:tcPr>
          <w:p w14:paraId="5F2CAE30" w14:textId="77777777" w:rsidR="00E836FB" w:rsidRDefault="00E836FB">
            <w:pPr>
              <w:rPr>
                <w:rFonts w:ascii="宋体"/>
                <w:vanish/>
              </w:rPr>
            </w:pPr>
          </w:p>
        </w:tc>
        <w:tc>
          <w:tcPr>
            <w:tcW w:w="0" w:type="auto"/>
            <w:gridSpan w:val="3"/>
            <w:shd w:val="clear" w:color="auto" w:fill="auto"/>
            <w:vAlign w:val="bottom"/>
          </w:tcPr>
          <w:p w14:paraId="5F2CAE31" w14:textId="77777777" w:rsidR="00E836FB" w:rsidRDefault="00E836FB">
            <w:pPr>
              <w:rPr>
                <w:rFonts w:ascii="宋体"/>
                <w:vanish/>
              </w:rPr>
            </w:pPr>
          </w:p>
        </w:tc>
        <w:tc>
          <w:tcPr>
            <w:tcW w:w="0" w:type="auto"/>
            <w:gridSpan w:val="3"/>
            <w:shd w:val="clear" w:color="auto" w:fill="auto"/>
            <w:vAlign w:val="bottom"/>
          </w:tcPr>
          <w:p w14:paraId="5F2CAE32" w14:textId="77777777" w:rsidR="00E836FB" w:rsidRDefault="00E836FB">
            <w:pPr>
              <w:rPr>
                <w:rFonts w:ascii="宋体"/>
                <w:vanish/>
              </w:rPr>
            </w:pPr>
          </w:p>
        </w:tc>
        <w:tc>
          <w:tcPr>
            <w:tcW w:w="0" w:type="auto"/>
            <w:gridSpan w:val="3"/>
            <w:shd w:val="clear" w:color="auto" w:fill="auto"/>
            <w:vAlign w:val="bottom"/>
          </w:tcPr>
          <w:p w14:paraId="5F2CAE33" w14:textId="77777777" w:rsidR="00E836FB" w:rsidRDefault="00E836FB">
            <w:pPr>
              <w:rPr>
                <w:rFonts w:ascii="宋体"/>
                <w:vanish/>
              </w:rPr>
            </w:pPr>
          </w:p>
        </w:tc>
        <w:tc>
          <w:tcPr>
            <w:tcW w:w="0" w:type="auto"/>
            <w:gridSpan w:val="3"/>
            <w:shd w:val="clear" w:color="auto" w:fill="auto"/>
            <w:vAlign w:val="bottom"/>
          </w:tcPr>
          <w:p w14:paraId="5F2CAE34" w14:textId="77777777" w:rsidR="00E836FB" w:rsidRDefault="00E836FB">
            <w:pPr>
              <w:rPr>
                <w:rFonts w:ascii="宋体"/>
                <w:vanish/>
              </w:rPr>
            </w:pPr>
          </w:p>
        </w:tc>
        <w:tc>
          <w:tcPr>
            <w:tcW w:w="0" w:type="auto"/>
            <w:gridSpan w:val="3"/>
            <w:shd w:val="clear" w:color="auto" w:fill="auto"/>
            <w:vAlign w:val="bottom"/>
          </w:tcPr>
          <w:p w14:paraId="5F2CAE35" w14:textId="77777777" w:rsidR="00E836FB" w:rsidRDefault="00E836FB">
            <w:pPr>
              <w:rPr>
                <w:rFonts w:ascii="宋体"/>
                <w:vanish/>
              </w:rPr>
            </w:pPr>
          </w:p>
        </w:tc>
        <w:tc>
          <w:tcPr>
            <w:tcW w:w="0" w:type="auto"/>
            <w:gridSpan w:val="3"/>
            <w:shd w:val="clear" w:color="auto" w:fill="auto"/>
            <w:vAlign w:val="bottom"/>
          </w:tcPr>
          <w:p w14:paraId="5F2CAE36" w14:textId="77777777" w:rsidR="00E836FB" w:rsidRDefault="00E836FB">
            <w:pPr>
              <w:rPr>
                <w:rFonts w:ascii="宋体"/>
                <w:vanish/>
              </w:rPr>
            </w:pPr>
          </w:p>
        </w:tc>
        <w:tc>
          <w:tcPr>
            <w:tcW w:w="0" w:type="auto"/>
            <w:gridSpan w:val="3"/>
            <w:shd w:val="clear" w:color="auto" w:fill="auto"/>
            <w:vAlign w:val="bottom"/>
          </w:tcPr>
          <w:p w14:paraId="5F2CAE37" w14:textId="77777777" w:rsidR="00E836FB" w:rsidRDefault="00E836FB">
            <w:pPr>
              <w:rPr>
                <w:rFonts w:ascii="宋体"/>
                <w:vanish/>
              </w:rPr>
            </w:pPr>
          </w:p>
        </w:tc>
        <w:tc>
          <w:tcPr>
            <w:tcW w:w="0" w:type="auto"/>
            <w:gridSpan w:val="3"/>
            <w:shd w:val="clear" w:color="auto" w:fill="auto"/>
            <w:vAlign w:val="bottom"/>
          </w:tcPr>
          <w:p w14:paraId="5F2CAE38" w14:textId="77777777" w:rsidR="00E836FB" w:rsidRDefault="00E836FB">
            <w:pPr>
              <w:rPr>
                <w:rFonts w:ascii="宋体"/>
                <w:vanish/>
              </w:rPr>
            </w:pPr>
          </w:p>
        </w:tc>
        <w:tc>
          <w:tcPr>
            <w:tcW w:w="0" w:type="auto"/>
            <w:gridSpan w:val="3"/>
            <w:shd w:val="clear" w:color="auto" w:fill="auto"/>
            <w:vAlign w:val="bottom"/>
          </w:tcPr>
          <w:p w14:paraId="5F2CAE39" w14:textId="77777777" w:rsidR="00E836FB" w:rsidRDefault="00E836FB">
            <w:pPr>
              <w:rPr>
                <w:rFonts w:ascii="宋体"/>
                <w:vanish/>
              </w:rPr>
            </w:pPr>
          </w:p>
        </w:tc>
        <w:tc>
          <w:tcPr>
            <w:tcW w:w="0" w:type="auto"/>
            <w:gridSpan w:val="3"/>
            <w:shd w:val="clear" w:color="auto" w:fill="auto"/>
            <w:vAlign w:val="bottom"/>
          </w:tcPr>
          <w:p w14:paraId="5F2CAE3A" w14:textId="77777777" w:rsidR="00E836FB" w:rsidRDefault="00E836FB">
            <w:pPr>
              <w:rPr>
                <w:rFonts w:ascii="宋体"/>
                <w:vanish/>
              </w:rPr>
            </w:pPr>
          </w:p>
        </w:tc>
        <w:tc>
          <w:tcPr>
            <w:tcW w:w="0" w:type="auto"/>
            <w:gridSpan w:val="3"/>
            <w:shd w:val="clear" w:color="auto" w:fill="auto"/>
            <w:vAlign w:val="bottom"/>
          </w:tcPr>
          <w:p w14:paraId="5F2CAE3B" w14:textId="77777777" w:rsidR="00E836FB" w:rsidRDefault="00E836FB">
            <w:pPr>
              <w:rPr>
                <w:rFonts w:ascii="宋体"/>
                <w:vanish/>
              </w:rPr>
            </w:pPr>
          </w:p>
        </w:tc>
        <w:tc>
          <w:tcPr>
            <w:tcW w:w="0" w:type="auto"/>
            <w:shd w:val="clear" w:color="auto" w:fill="auto"/>
            <w:vAlign w:val="bottom"/>
          </w:tcPr>
          <w:p w14:paraId="5F2CAE3C" w14:textId="77777777" w:rsidR="00E836FB" w:rsidRDefault="00E836FB">
            <w:pPr>
              <w:rPr>
                <w:rFonts w:ascii="宋体"/>
                <w:vanish/>
              </w:rPr>
            </w:pPr>
          </w:p>
        </w:tc>
      </w:tr>
      <w:tr w:rsidR="00E836FB" w14:paraId="5F2CAE4B" w14:textId="77777777">
        <w:trPr>
          <w:hidden/>
        </w:trPr>
        <w:tc>
          <w:tcPr>
            <w:tcW w:w="0" w:type="auto"/>
            <w:gridSpan w:val="3"/>
            <w:shd w:val="clear" w:color="auto" w:fill="auto"/>
            <w:vAlign w:val="bottom"/>
          </w:tcPr>
          <w:p w14:paraId="5F2CAE3E" w14:textId="77777777" w:rsidR="00E836FB" w:rsidRDefault="00E836FB">
            <w:pPr>
              <w:rPr>
                <w:rFonts w:ascii="宋体"/>
                <w:vanish/>
              </w:rPr>
            </w:pPr>
          </w:p>
        </w:tc>
        <w:tc>
          <w:tcPr>
            <w:tcW w:w="0" w:type="auto"/>
            <w:gridSpan w:val="3"/>
            <w:shd w:val="clear" w:color="auto" w:fill="auto"/>
            <w:vAlign w:val="bottom"/>
          </w:tcPr>
          <w:p w14:paraId="5F2CAE3F" w14:textId="77777777" w:rsidR="00E836FB" w:rsidRDefault="00E836FB">
            <w:pPr>
              <w:rPr>
                <w:rFonts w:ascii="宋体"/>
                <w:vanish/>
              </w:rPr>
            </w:pPr>
          </w:p>
        </w:tc>
        <w:tc>
          <w:tcPr>
            <w:tcW w:w="0" w:type="auto"/>
            <w:gridSpan w:val="3"/>
            <w:shd w:val="clear" w:color="auto" w:fill="auto"/>
            <w:vAlign w:val="bottom"/>
          </w:tcPr>
          <w:p w14:paraId="5F2CAE40" w14:textId="77777777" w:rsidR="00E836FB" w:rsidRDefault="00E836FB">
            <w:pPr>
              <w:rPr>
                <w:rFonts w:ascii="宋体"/>
                <w:vanish/>
              </w:rPr>
            </w:pPr>
          </w:p>
        </w:tc>
        <w:tc>
          <w:tcPr>
            <w:tcW w:w="0" w:type="auto"/>
            <w:gridSpan w:val="3"/>
            <w:shd w:val="clear" w:color="auto" w:fill="auto"/>
            <w:vAlign w:val="bottom"/>
          </w:tcPr>
          <w:p w14:paraId="5F2CAE41" w14:textId="77777777" w:rsidR="00E836FB" w:rsidRDefault="00E836FB">
            <w:pPr>
              <w:rPr>
                <w:rFonts w:ascii="宋体"/>
                <w:vanish/>
              </w:rPr>
            </w:pPr>
          </w:p>
        </w:tc>
        <w:tc>
          <w:tcPr>
            <w:tcW w:w="0" w:type="auto"/>
            <w:gridSpan w:val="3"/>
            <w:shd w:val="clear" w:color="auto" w:fill="auto"/>
            <w:vAlign w:val="bottom"/>
          </w:tcPr>
          <w:p w14:paraId="5F2CAE42" w14:textId="77777777" w:rsidR="00E836FB" w:rsidRDefault="00E836FB">
            <w:pPr>
              <w:rPr>
                <w:rFonts w:ascii="宋体"/>
                <w:vanish/>
              </w:rPr>
            </w:pPr>
          </w:p>
        </w:tc>
        <w:tc>
          <w:tcPr>
            <w:tcW w:w="0" w:type="auto"/>
            <w:gridSpan w:val="3"/>
            <w:shd w:val="clear" w:color="auto" w:fill="auto"/>
            <w:vAlign w:val="bottom"/>
          </w:tcPr>
          <w:p w14:paraId="5F2CAE43" w14:textId="77777777" w:rsidR="00E836FB" w:rsidRDefault="00E836FB">
            <w:pPr>
              <w:rPr>
                <w:rFonts w:ascii="宋体"/>
                <w:vanish/>
              </w:rPr>
            </w:pPr>
          </w:p>
        </w:tc>
        <w:tc>
          <w:tcPr>
            <w:tcW w:w="0" w:type="auto"/>
            <w:gridSpan w:val="3"/>
            <w:shd w:val="clear" w:color="auto" w:fill="auto"/>
            <w:vAlign w:val="bottom"/>
          </w:tcPr>
          <w:p w14:paraId="5F2CAE44" w14:textId="77777777" w:rsidR="00E836FB" w:rsidRDefault="00E836FB">
            <w:pPr>
              <w:rPr>
                <w:rFonts w:ascii="宋体"/>
                <w:vanish/>
              </w:rPr>
            </w:pPr>
          </w:p>
        </w:tc>
        <w:tc>
          <w:tcPr>
            <w:tcW w:w="0" w:type="auto"/>
            <w:gridSpan w:val="3"/>
            <w:shd w:val="clear" w:color="auto" w:fill="auto"/>
            <w:vAlign w:val="bottom"/>
          </w:tcPr>
          <w:p w14:paraId="5F2CAE45" w14:textId="77777777" w:rsidR="00E836FB" w:rsidRDefault="00E836FB">
            <w:pPr>
              <w:rPr>
                <w:rFonts w:ascii="宋体"/>
                <w:vanish/>
              </w:rPr>
            </w:pPr>
          </w:p>
        </w:tc>
        <w:tc>
          <w:tcPr>
            <w:tcW w:w="0" w:type="auto"/>
            <w:gridSpan w:val="3"/>
            <w:shd w:val="clear" w:color="auto" w:fill="auto"/>
            <w:vAlign w:val="bottom"/>
          </w:tcPr>
          <w:p w14:paraId="5F2CAE46" w14:textId="77777777" w:rsidR="00E836FB" w:rsidRDefault="00E836FB">
            <w:pPr>
              <w:rPr>
                <w:rFonts w:ascii="宋体"/>
                <w:vanish/>
              </w:rPr>
            </w:pPr>
          </w:p>
        </w:tc>
        <w:tc>
          <w:tcPr>
            <w:tcW w:w="0" w:type="auto"/>
            <w:gridSpan w:val="3"/>
            <w:shd w:val="clear" w:color="auto" w:fill="auto"/>
            <w:vAlign w:val="bottom"/>
          </w:tcPr>
          <w:p w14:paraId="5F2CAE47" w14:textId="77777777" w:rsidR="00E836FB" w:rsidRDefault="00E836FB">
            <w:pPr>
              <w:rPr>
                <w:rFonts w:ascii="宋体"/>
                <w:vanish/>
              </w:rPr>
            </w:pPr>
          </w:p>
        </w:tc>
        <w:tc>
          <w:tcPr>
            <w:tcW w:w="0" w:type="auto"/>
            <w:gridSpan w:val="3"/>
            <w:shd w:val="clear" w:color="auto" w:fill="auto"/>
            <w:vAlign w:val="bottom"/>
          </w:tcPr>
          <w:p w14:paraId="5F2CAE48" w14:textId="77777777" w:rsidR="00E836FB" w:rsidRDefault="00E836FB">
            <w:pPr>
              <w:rPr>
                <w:rFonts w:ascii="宋体"/>
                <w:vanish/>
              </w:rPr>
            </w:pPr>
          </w:p>
        </w:tc>
        <w:tc>
          <w:tcPr>
            <w:tcW w:w="0" w:type="auto"/>
            <w:gridSpan w:val="3"/>
            <w:shd w:val="clear" w:color="auto" w:fill="auto"/>
            <w:vAlign w:val="bottom"/>
          </w:tcPr>
          <w:p w14:paraId="5F2CAE49" w14:textId="77777777" w:rsidR="00E836FB" w:rsidRDefault="00E836FB">
            <w:pPr>
              <w:rPr>
                <w:rFonts w:ascii="宋体"/>
                <w:vanish/>
              </w:rPr>
            </w:pPr>
          </w:p>
        </w:tc>
        <w:tc>
          <w:tcPr>
            <w:tcW w:w="0" w:type="auto"/>
            <w:shd w:val="clear" w:color="auto" w:fill="auto"/>
            <w:vAlign w:val="bottom"/>
          </w:tcPr>
          <w:p w14:paraId="5F2CAE4A" w14:textId="77777777" w:rsidR="00E836FB" w:rsidRDefault="00E836FB">
            <w:pPr>
              <w:rPr>
                <w:rFonts w:ascii="宋体"/>
                <w:vanish/>
              </w:rPr>
            </w:pPr>
          </w:p>
        </w:tc>
      </w:tr>
      <w:tr w:rsidR="00E836FB" w14:paraId="5F2CAE59" w14:textId="77777777">
        <w:trPr>
          <w:hidden/>
        </w:trPr>
        <w:tc>
          <w:tcPr>
            <w:tcW w:w="0" w:type="auto"/>
            <w:gridSpan w:val="3"/>
            <w:shd w:val="clear" w:color="auto" w:fill="auto"/>
            <w:vAlign w:val="bottom"/>
          </w:tcPr>
          <w:p w14:paraId="5F2CAE4C" w14:textId="77777777" w:rsidR="00E836FB" w:rsidRDefault="00E836FB">
            <w:pPr>
              <w:rPr>
                <w:rFonts w:ascii="宋体"/>
                <w:vanish/>
              </w:rPr>
            </w:pPr>
          </w:p>
        </w:tc>
        <w:tc>
          <w:tcPr>
            <w:tcW w:w="0" w:type="auto"/>
            <w:gridSpan w:val="3"/>
            <w:shd w:val="clear" w:color="auto" w:fill="auto"/>
            <w:vAlign w:val="bottom"/>
          </w:tcPr>
          <w:p w14:paraId="5F2CAE4D" w14:textId="77777777" w:rsidR="00E836FB" w:rsidRDefault="00E836FB">
            <w:pPr>
              <w:rPr>
                <w:rFonts w:ascii="宋体"/>
                <w:vanish/>
              </w:rPr>
            </w:pPr>
          </w:p>
        </w:tc>
        <w:tc>
          <w:tcPr>
            <w:tcW w:w="0" w:type="auto"/>
            <w:gridSpan w:val="3"/>
            <w:shd w:val="clear" w:color="auto" w:fill="auto"/>
            <w:vAlign w:val="bottom"/>
          </w:tcPr>
          <w:p w14:paraId="5F2CAE4E" w14:textId="77777777" w:rsidR="00E836FB" w:rsidRDefault="00E836FB">
            <w:pPr>
              <w:rPr>
                <w:rFonts w:ascii="宋体"/>
                <w:vanish/>
              </w:rPr>
            </w:pPr>
          </w:p>
        </w:tc>
        <w:tc>
          <w:tcPr>
            <w:tcW w:w="0" w:type="auto"/>
            <w:gridSpan w:val="3"/>
            <w:shd w:val="clear" w:color="auto" w:fill="auto"/>
            <w:vAlign w:val="bottom"/>
          </w:tcPr>
          <w:p w14:paraId="5F2CAE4F" w14:textId="77777777" w:rsidR="00E836FB" w:rsidRDefault="00E836FB">
            <w:pPr>
              <w:rPr>
                <w:rFonts w:ascii="宋体"/>
                <w:vanish/>
              </w:rPr>
            </w:pPr>
          </w:p>
        </w:tc>
        <w:tc>
          <w:tcPr>
            <w:tcW w:w="0" w:type="auto"/>
            <w:gridSpan w:val="3"/>
            <w:shd w:val="clear" w:color="auto" w:fill="auto"/>
            <w:vAlign w:val="bottom"/>
          </w:tcPr>
          <w:p w14:paraId="5F2CAE50" w14:textId="77777777" w:rsidR="00E836FB" w:rsidRDefault="00E836FB">
            <w:pPr>
              <w:rPr>
                <w:rFonts w:ascii="宋体"/>
                <w:vanish/>
              </w:rPr>
            </w:pPr>
          </w:p>
        </w:tc>
        <w:tc>
          <w:tcPr>
            <w:tcW w:w="0" w:type="auto"/>
            <w:gridSpan w:val="3"/>
            <w:shd w:val="clear" w:color="auto" w:fill="auto"/>
            <w:vAlign w:val="bottom"/>
          </w:tcPr>
          <w:p w14:paraId="5F2CAE51" w14:textId="77777777" w:rsidR="00E836FB" w:rsidRDefault="00E836FB">
            <w:pPr>
              <w:rPr>
                <w:rFonts w:ascii="宋体"/>
                <w:vanish/>
              </w:rPr>
            </w:pPr>
          </w:p>
        </w:tc>
        <w:tc>
          <w:tcPr>
            <w:tcW w:w="0" w:type="auto"/>
            <w:gridSpan w:val="3"/>
            <w:shd w:val="clear" w:color="auto" w:fill="auto"/>
            <w:vAlign w:val="bottom"/>
          </w:tcPr>
          <w:p w14:paraId="5F2CAE52" w14:textId="77777777" w:rsidR="00E836FB" w:rsidRDefault="00E836FB">
            <w:pPr>
              <w:rPr>
                <w:rFonts w:ascii="宋体"/>
                <w:vanish/>
              </w:rPr>
            </w:pPr>
          </w:p>
        </w:tc>
        <w:tc>
          <w:tcPr>
            <w:tcW w:w="0" w:type="auto"/>
            <w:gridSpan w:val="3"/>
            <w:shd w:val="clear" w:color="auto" w:fill="auto"/>
            <w:vAlign w:val="bottom"/>
          </w:tcPr>
          <w:p w14:paraId="5F2CAE53" w14:textId="77777777" w:rsidR="00E836FB" w:rsidRDefault="00E836FB">
            <w:pPr>
              <w:rPr>
                <w:rFonts w:ascii="宋体"/>
                <w:vanish/>
              </w:rPr>
            </w:pPr>
          </w:p>
        </w:tc>
        <w:tc>
          <w:tcPr>
            <w:tcW w:w="0" w:type="auto"/>
            <w:gridSpan w:val="3"/>
            <w:shd w:val="clear" w:color="auto" w:fill="auto"/>
            <w:vAlign w:val="bottom"/>
          </w:tcPr>
          <w:p w14:paraId="5F2CAE54" w14:textId="77777777" w:rsidR="00E836FB" w:rsidRDefault="00E836FB">
            <w:pPr>
              <w:rPr>
                <w:rFonts w:ascii="宋体"/>
                <w:vanish/>
              </w:rPr>
            </w:pPr>
          </w:p>
        </w:tc>
        <w:tc>
          <w:tcPr>
            <w:tcW w:w="0" w:type="auto"/>
            <w:gridSpan w:val="3"/>
            <w:shd w:val="clear" w:color="auto" w:fill="auto"/>
            <w:vAlign w:val="bottom"/>
          </w:tcPr>
          <w:p w14:paraId="5F2CAE55" w14:textId="77777777" w:rsidR="00E836FB" w:rsidRDefault="00E836FB">
            <w:pPr>
              <w:rPr>
                <w:rFonts w:ascii="宋体"/>
                <w:vanish/>
              </w:rPr>
            </w:pPr>
          </w:p>
        </w:tc>
        <w:tc>
          <w:tcPr>
            <w:tcW w:w="0" w:type="auto"/>
            <w:gridSpan w:val="3"/>
            <w:shd w:val="clear" w:color="auto" w:fill="auto"/>
            <w:vAlign w:val="bottom"/>
          </w:tcPr>
          <w:p w14:paraId="5F2CAE56" w14:textId="77777777" w:rsidR="00E836FB" w:rsidRDefault="00E836FB">
            <w:pPr>
              <w:rPr>
                <w:rFonts w:ascii="宋体"/>
                <w:vanish/>
              </w:rPr>
            </w:pPr>
          </w:p>
        </w:tc>
        <w:tc>
          <w:tcPr>
            <w:tcW w:w="0" w:type="auto"/>
            <w:gridSpan w:val="3"/>
            <w:shd w:val="clear" w:color="auto" w:fill="auto"/>
            <w:vAlign w:val="bottom"/>
          </w:tcPr>
          <w:p w14:paraId="5F2CAE57" w14:textId="77777777" w:rsidR="00E836FB" w:rsidRDefault="00E836FB">
            <w:pPr>
              <w:rPr>
                <w:rFonts w:ascii="宋体"/>
                <w:vanish/>
              </w:rPr>
            </w:pPr>
          </w:p>
        </w:tc>
        <w:tc>
          <w:tcPr>
            <w:tcW w:w="0" w:type="auto"/>
            <w:shd w:val="clear" w:color="auto" w:fill="auto"/>
            <w:vAlign w:val="bottom"/>
          </w:tcPr>
          <w:p w14:paraId="5F2CAE58" w14:textId="77777777" w:rsidR="00E836FB" w:rsidRDefault="00E836FB">
            <w:pPr>
              <w:rPr>
                <w:rFonts w:ascii="宋体"/>
                <w:vanish/>
              </w:rPr>
            </w:pPr>
          </w:p>
        </w:tc>
      </w:tr>
      <w:tr w:rsidR="00E836FB" w14:paraId="5F2CAE67" w14:textId="77777777">
        <w:trPr>
          <w:hidden/>
        </w:trPr>
        <w:tc>
          <w:tcPr>
            <w:tcW w:w="0" w:type="auto"/>
            <w:gridSpan w:val="3"/>
            <w:shd w:val="clear" w:color="auto" w:fill="auto"/>
            <w:vAlign w:val="bottom"/>
          </w:tcPr>
          <w:p w14:paraId="5F2CAE5A" w14:textId="77777777" w:rsidR="00E836FB" w:rsidRDefault="00E836FB">
            <w:pPr>
              <w:rPr>
                <w:rFonts w:ascii="宋体"/>
                <w:vanish/>
              </w:rPr>
            </w:pPr>
          </w:p>
        </w:tc>
        <w:tc>
          <w:tcPr>
            <w:tcW w:w="0" w:type="auto"/>
            <w:gridSpan w:val="3"/>
            <w:shd w:val="clear" w:color="auto" w:fill="auto"/>
            <w:vAlign w:val="bottom"/>
          </w:tcPr>
          <w:p w14:paraId="5F2CAE5B" w14:textId="77777777" w:rsidR="00E836FB" w:rsidRDefault="00E836FB">
            <w:pPr>
              <w:rPr>
                <w:rFonts w:ascii="宋体"/>
                <w:vanish/>
              </w:rPr>
            </w:pPr>
          </w:p>
        </w:tc>
        <w:tc>
          <w:tcPr>
            <w:tcW w:w="0" w:type="auto"/>
            <w:gridSpan w:val="3"/>
            <w:shd w:val="clear" w:color="auto" w:fill="auto"/>
            <w:vAlign w:val="bottom"/>
          </w:tcPr>
          <w:p w14:paraId="5F2CAE5C" w14:textId="77777777" w:rsidR="00E836FB" w:rsidRDefault="00E836FB">
            <w:pPr>
              <w:rPr>
                <w:rFonts w:ascii="宋体"/>
                <w:vanish/>
              </w:rPr>
            </w:pPr>
          </w:p>
        </w:tc>
        <w:tc>
          <w:tcPr>
            <w:tcW w:w="0" w:type="auto"/>
            <w:gridSpan w:val="3"/>
            <w:shd w:val="clear" w:color="auto" w:fill="auto"/>
            <w:vAlign w:val="bottom"/>
          </w:tcPr>
          <w:p w14:paraId="5F2CAE5D" w14:textId="77777777" w:rsidR="00E836FB" w:rsidRDefault="00E836FB">
            <w:pPr>
              <w:rPr>
                <w:rFonts w:ascii="宋体"/>
                <w:vanish/>
              </w:rPr>
            </w:pPr>
          </w:p>
        </w:tc>
        <w:tc>
          <w:tcPr>
            <w:tcW w:w="0" w:type="auto"/>
            <w:gridSpan w:val="3"/>
            <w:shd w:val="clear" w:color="auto" w:fill="auto"/>
            <w:vAlign w:val="bottom"/>
          </w:tcPr>
          <w:p w14:paraId="5F2CAE5E" w14:textId="77777777" w:rsidR="00E836FB" w:rsidRDefault="00E836FB">
            <w:pPr>
              <w:rPr>
                <w:rFonts w:ascii="宋体"/>
                <w:vanish/>
              </w:rPr>
            </w:pPr>
          </w:p>
        </w:tc>
        <w:tc>
          <w:tcPr>
            <w:tcW w:w="0" w:type="auto"/>
            <w:gridSpan w:val="3"/>
            <w:shd w:val="clear" w:color="auto" w:fill="auto"/>
            <w:vAlign w:val="bottom"/>
          </w:tcPr>
          <w:p w14:paraId="5F2CAE5F" w14:textId="77777777" w:rsidR="00E836FB" w:rsidRDefault="00E836FB">
            <w:pPr>
              <w:rPr>
                <w:rFonts w:ascii="宋体"/>
                <w:vanish/>
              </w:rPr>
            </w:pPr>
          </w:p>
        </w:tc>
        <w:tc>
          <w:tcPr>
            <w:tcW w:w="0" w:type="auto"/>
            <w:gridSpan w:val="3"/>
            <w:shd w:val="clear" w:color="auto" w:fill="auto"/>
            <w:vAlign w:val="bottom"/>
          </w:tcPr>
          <w:p w14:paraId="5F2CAE60" w14:textId="77777777" w:rsidR="00E836FB" w:rsidRDefault="00E836FB">
            <w:pPr>
              <w:rPr>
                <w:rFonts w:ascii="宋体"/>
                <w:vanish/>
              </w:rPr>
            </w:pPr>
          </w:p>
        </w:tc>
        <w:tc>
          <w:tcPr>
            <w:tcW w:w="0" w:type="auto"/>
            <w:gridSpan w:val="3"/>
            <w:shd w:val="clear" w:color="auto" w:fill="auto"/>
            <w:vAlign w:val="bottom"/>
          </w:tcPr>
          <w:p w14:paraId="5F2CAE61" w14:textId="77777777" w:rsidR="00E836FB" w:rsidRDefault="00E836FB">
            <w:pPr>
              <w:rPr>
                <w:rFonts w:ascii="宋体"/>
                <w:vanish/>
              </w:rPr>
            </w:pPr>
          </w:p>
        </w:tc>
        <w:tc>
          <w:tcPr>
            <w:tcW w:w="0" w:type="auto"/>
            <w:gridSpan w:val="3"/>
            <w:shd w:val="clear" w:color="auto" w:fill="auto"/>
            <w:vAlign w:val="bottom"/>
          </w:tcPr>
          <w:p w14:paraId="5F2CAE62" w14:textId="77777777" w:rsidR="00E836FB" w:rsidRDefault="00E836FB">
            <w:pPr>
              <w:rPr>
                <w:rFonts w:ascii="宋体"/>
                <w:vanish/>
              </w:rPr>
            </w:pPr>
          </w:p>
        </w:tc>
        <w:tc>
          <w:tcPr>
            <w:tcW w:w="0" w:type="auto"/>
            <w:gridSpan w:val="3"/>
            <w:shd w:val="clear" w:color="auto" w:fill="auto"/>
            <w:vAlign w:val="bottom"/>
          </w:tcPr>
          <w:p w14:paraId="5F2CAE63" w14:textId="77777777" w:rsidR="00E836FB" w:rsidRDefault="00E836FB">
            <w:pPr>
              <w:rPr>
                <w:rFonts w:ascii="宋体"/>
                <w:vanish/>
              </w:rPr>
            </w:pPr>
          </w:p>
        </w:tc>
        <w:tc>
          <w:tcPr>
            <w:tcW w:w="0" w:type="auto"/>
            <w:gridSpan w:val="3"/>
            <w:shd w:val="clear" w:color="auto" w:fill="auto"/>
            <w:vAlign w:val="bottom"/>
          </w:tcPr>
          <w:p w14:paraId="5F2CAE64" w14:textId="77777777" w:rsidR="00E836FB" w:rsidRDefault="00E836FB">
            <w:pPr>
              <w:rPr>
                <w:rFonts w:ascii="宋体"/>
                <w:vanish/>
              </w:rPr>
            </w:pPr>
          </w:p>
        </w:tc>
        <w:tc>
          <w:tcPr>
            <w:tcW w:w="0" w:type="auto"/>
            <w:gridSpan w:val="3"/>
            <w:shd w:val="clear" w:color="auto" w:fill="auto"/>
            <w:vAlign w:val="bottom"/>
          </w:tcPr>
          <w:p w14:paraId="5F2CAE65" w14:textId="77777777" w:rsidR="00E836FB" w:rsidRDefault="00E836FB">
            <w:pPr>
              <w:rPr>
                <w:rFonts w:ascii="宋体"/>
                <w:vanish/>
              </w:rPr>
            </w:pPr>
          </w:p>
        </w:tc>
        <w:tc>
          <w:tcPr>
            <w:tcW w:w="0" w:type="auto"/>
            <w:shd w:val="clear" w:color="auto" w:fill="auto"/>
            <w:vAlign w:val="bottom"/>
          </w:tcPr>
          <w:p w14:paraId="5F2CAE66" w14:textId="77777777" w:rsidR="00E836FB" w:rsidRDefault="00E836FB">
            <w:pPr>
              <w:rPr>
                <w:rFonts w:ascii="宋体"/>
                <w:vanish/>
              </w:rPr>
            </w:pPr>
          </w:p>
        </w:tc>
      </w:tr>
      <w:tr w:rsidR="00E836FB" w14:paraId="5F2CAE75" w14:textId="77777777">
        <w:trPr>
          <w:hidden/>
        </w:trPr>
        <w:tc>
          <w:tcPr>
            <w:tcW w:w="0" w:type="auto"/>
            <w:gridSpan w:val="3"/>
            <w:shd w:val="clear" w:color="auto" w:fill="auto"/>
            <w:vAlign w:val="bottom"/>
          </w:tcPr>
          <w:p w14:paraId="5F2CAE68" w14:textId="77777777" w:rsidR="00E836FB" w:rsidRDefault="00E836FB">
            <w:pPr>
              <w:rPr>
                <w:rFonts w:ascii="宋体"/>
                <w:vanish/>
              </w:rPr>
            </w:pPr>
          </w:p>
        </w:tc>
        <w:tc>
          <w:tcPr>
            <w:tcW w:w="0" w:type="auto"/>
            <w:gridSpan w:val="3"/>
            <w:shd w:val="clear" w:color="auto" w:fill="auto"/>
            <w:vAlign w:val="bottom"/>
          </w:tcPr>
          <w:p w14:paraId="5F2CAE69" w14:textId="77777777" w:rsidR="00E836FB" w:rsidRDefault="00E836FB">
            <w:pPr>
              <w:rPr>
                <w:rFonts w:ascii="宋体"/>
                <w:vanish/>
              </w:rPr>
            </w:pPr>
          </w:p>
        </w:tc>
        <w:tc>
          <w:tcPr>
            <w:tcW w:w="0" w:type="auto"/>
            <w:gridSpan w:val="3"/>
            <w:shd w:val="clear" w:color="auto" w:fill="auto"/>
            <w:vAlign w:val="bottom"/>
          </w:tcPr>
          <w:p w14:paraId="5F2CAE6A" w14:textId="77777777" w:rsidR="00E836FB" w:rsidRDefault="00E836FB">
            <w:pPr>
              <w:rPr>
                <w:rFonts w:ascii="宋体"/>
                <w:vanish/>
              </w:rPr>
            </w:pPr>
          </w:p>
        </w:tc>
        <w:tc>
          <w:tcPr>
            <w:tcW w:w="0" w:type="auto"/>
            <w:gridSpan w:val="3"/>
            <w:shd w:val="clear" w:color="auto" w:fill="auto"/>
            <w:vAlign w:val="bottom"/>
          </w:tcPr>
          <w:p w14:paraId="5F2CAE6B" w14:textId="77777777" w:rsidR="00E836FB" w:rsidRDefault="00E836FB">
            <w:pPr>
              <w:rPr>
                <w:rFonts w:ascii="宋体"/>
                <w:vanish/>
              </w:rPr>
            </w:pPr>
          </w:p>
        </w:tc>
        <w:tc>
          <w:tcPr>
            <w:tcW w:w="0" w:type="auto"/>
            <w:gridSpan w:val="3"/>
            <w:shd w:val="clear" w:color="auto" w:fill="auto"/>
            <w:vAlign w:val="bottom"/>
          </w:tcPr>
          <w:p w14:paraId="5F2CAE6C" w14:textId="77777777" w:rsidR="00E836FB" w:rsidRDefault="00E836FB">
            <w:pPr>
              <w:rPr>
                <w:rFonts w:ascii="宋体"/>
                <w:vanish/>
              </w:rPr>
            </w:pPr>
          </w:p>
        </w:tc>
        <w:tc>
          <w:tcPr>
            <w:tcW w:w="0" w:type="auto"/>
            <w:gridSpan w:val="3"/>
            <w:shd w:val="clear" w:color="auto" w:fill="auto"/>
            <w:vAlign w:val="bottom"/>
          </w:tcPr>
          <w:p w14:paraId="5F2CAE6D" w14:textId="77777777" w:rsidR="00E836FB" w:rsidRDefault="00E836FB">
            <w:pPr>
              <w:rPr>
                <w:rFonts w:ascii="宋体"/>
                <w:vanish/>
              </w:rPr>
            </w:pPr>
          </w:p>
        </w:tc>
        <w:tc>
          <w:tcPr>
            <w:tcW w:w="0" w:type="auto"/>
            <w:gridSpan w:val="3"/>
            <w:shd w:val="clear" w:color="auto" w:fill="auto"/>
            <w:vAlign w:val="bottom"/>
          </w:tcPr>
          <w:p w14:paraId="5F2CAE6E" w14:textId="77777777" w:rsidR="00E836FB" w:rsidRDefault="00E836FB">
            <w:pPr>
              <w:rPr>
                <w:rFonts w:ascii="宋体"/>
                <w:vanish/>
              </w:rPr>
            </w:pPr>
          </w:p>
        </w:tc>
        <w:tc>
          <w:tcPr>
            <w:tcW w:w="0" w:type="auto"/>
            <w:gridSpan w:val="3"/>
            <w:shd w:val="clear" w:color="auto" w:fill="auto"/>
            <w:vAlign w:val="bottom"/>
          </w:tcPr>
          <w:p w14:paraId="5F2CAE6F" w14:textId="77777777" w:rsidR="00E836FB" w:rsidRDefault="00E836FB">
            <w:pPr>
              <w:rPr>
                <w:rFonts w:ascii="宋体"/>
                <w:vanish/>
              </w:rPr>
            </w:pPr>
          </w:p>
        </w:tc>
        <w:tc>
          <w:tcPr>
            <w:tcW w:w="0" w:type="auto"/>
            <w:gridSpan w:val="3"/>
            <w:shd w:val="clear" w:color="auto" w:fill="auto"/>
            <w:vAlign w:val="bottom"/>
          </w:tcPr>
          <w:p w14:paraId="5F2CAE70" w14:textId="77777777" w:rsidR="00E836FB" w:rsidRDefault="00E836FB">
            <w:pPr>
              <w:rPr>
                <w:rFonts w:ascii="宋体"/>
                <w:vanish/>
              </w:rPr>
            </w:pPr>
          </w:p>
        </w:tc>
        <w:tc>
          <w:tcPr>
            <w:tcW w:w="0" w:type="auto"/>
            <w:gridSpan w:val="3"/>
            <w:shd w:val="clear" w:color="auto" w:fill="auto"/>
            <w:vAlign w:val="bottom"/>
          </w:tcPr>
          <w:p w14:paraId="5F2CAE71" w14:textId="77777777" w:rsidR="00E836FB" w:rsidRDefault="00E836FB">
            <w:pPr>
              <w:rPr>
                <w:rFonts w:ascii="宋体"/>
                <w:vanish/>
              </w:rPr>
            </w:pPr>
          </w:p>
        </w:tc>
        <w:tc>
          <w:tcPr>
            <w:tcW w:w="0" w:type="auto"/>
            <w:gridSpan w:val="3"/>
            <w:shd w:val="clear" w:color="auto" w:fill="auto"/>
            <w:vAlign w:val="bottom"/>
          </w:tcPr>
          <w:p w14:paraId="5F2CAE72" w14:textId="77777777" w:rsidR="00E836FB" w:rsidRDefault="00E836FB">
            <w:pPr>
              <w:rPr>
                <w:rFonts w:ascii="宋体"/>
                <w:vanish/>
              </w:rPr>
            </w:pPr>
          </w:p>
        </w:tc>
        <w:tc>
          <w:tcPr>
            <w:tcW w:w="0" w:type="auto"/>
            <w:gridSpan w:val="3"/>
            <w:shd w:val="clear" w:color="auto" w:fill="auto"/>
            <w:vAlign w:val="bottom"/>
          </w:tcPr>
          <w:p w14:paraId="5F2CAE73" w14:textId="77777777" w:rsidR="00E836FB" w:rsidRDefault="00E836FB">
            <w:pPr>
              <w:rPr>
                <w:rFonts w:ascii="宋体"/>
                <w:vanish/>
              </w:rPr>
            </w:pPr>
          </w:p>
        </w:tc>
        <w:tc>
          <w:tcPr>
            <w:tcW w:w="0" w:type="auto"/>
            <w:shd w:val="clear" w:color="auto" w:fill="auto"/>
            <w:vAlign w:val="bottom"/>
          </w:tcPr>
          <w:p w14:paraId="5F2CAE74" w14:textId="77777777" w:rsidR="00E836FB" w:rsidRDefault="00E836FB">
            <w:pPr>
              <w:rPr>
                <w:rFonts w:ascii="宋体"/>
                <w:vanish/>
              </w:rPr>
            </w:pPr>
          </w:p>
        </w:tc>
      </w:tr>
      <w:tr w:rsidR="00E836FB" w14:paraId="5F2CAE83" w14:textId="77777777">
        <w:trPr>
          <w:hidden/>
        </w:trPr>
        <w:tc>
          <w:tcPr>
            <w:tcW w:w="0" w:type="auto"/>
            <w:gridSpan w:val="3"/>
            <w:shd w:val="clear" w:color="auto" w:fill="auto"/>
            <w:vAlign w:val="bottom"/>
          </w:tcPr>
          <w:p w14:paraId="5F2CAE76" w14:textId="77777777" w:rsidR="00E836FB" w:rsidRDefault="00E836FB">
            <w:pPr>
              <w:rPr>
                <w:rFonts w:ascii="宋体"/>
                <w:vanish/>
              </w:rPr>
            </w:pPr>
          </w:p>
        </w:tc>
        <w:tc>
          <w:tcPr>
            <w:tcW w:w="0" w:type="auto"/>
            <w:gridSpan w:val="3"/>
            <w:shd w:val="clear" w:color="auto" w:fill="auto"/>
            <w:vAlign w:val="bottom"/>
          </w:tcPr>
          <w:p w14:paraId="5F2CAE77" w14:textId="77777777" w:rsidR="00E836FB" w:rsidRDefault="00E836FB">
            <w:pPr>
              <w:rPr>
                <w:rFonts w:ascii="宋体"/>
                <w:vanish/>
              </w:rPr>
            </w:pPr>
          </w:p>
        </w:tc>
        <w:tc>
          <w:tcPr>
            <w:tcW w:w="0" w:type="auto"/>
            <w:gridSpan w:val="3"/>
            <w:shd w:val="clear" w:color="auto" w:fill="auto"/>
            <w:vAlign w:val="bottom"/>
          </w:tcPr>
          <w:p w14:paraId="5F2CAE78" w14:textId="77777777" w:rsidR="00E836FB" w:rsidRDefault="00E836FB">
            <w:pPr>
              <w:rPr>
                <w:rFonts w:ascii="宋体"/>
                <w:vanish/>
              </w:rPr>
            </w:pPr>
          </w:p>
        </w:tc>
        <w:tc>
          <w:tcPr>
            <w:tcW w:w="0" w:type="auto"/>
            <w:gridSpan w:val="3"/>
            <w:shd w:val="clear" w:color="auto" w:fill="auto"/>
            <w:vAlign w:val="bottom"/>
          </w:tcPr>
          <w:p w14:paraId="5F2CAE79" w14:textId="77777777" w:rsidR="00E836FB" w:rsidRDefault="00E836FB">
            <w:pPr>
              <w:rPr>
                <w:rFonts w:ascii="宋体"/>
                <w:vanish/>
              </w:rPr>
            </w:pPr>
          </w:p>
        </w:tc>
        <w:tc>
          <w:tcPr>
            <w:tcW w:w="0" w:type="auto"/>
            <w:gridSpan w:val="3"/>
            <w:shd w:val="clear" w:color="auto" w:fill="auto"/>
            <w:vAlign w:val="bottom"/>
          </w:tcPr>
          <w:p w14:paraId="5F2CAE7A" w14:textId="77777777" w:rsidR="00E836FB" w:rsidRDefault="00E836FB">
            <w:pPr>
              <w:rPr>
                <w:rFonts w:ascii="宋体"/>
                <w:vanish/>
              </w:rPr>
            </w:pPr>
          </w:p>
        </w:tc>
        <w:tc>
          <w:tcPr>
            <w:tcW w:w="0" w:type="auto"/>
            <w:gridSpan w:val="3"/>
            <w:shd w:val="clear" w:color="auto" w:fill="auto"/>
            <w:vAlign w:val="bottom"/>
          </w:tcPr>
          <w:p w14:paraId="5F2CAE7B" w14:textId="77777777" w:rsidR="00E836FB" w:rsidRDefault="00E836FB">
            <w:pPr>
              <w:rPr>
                <w:rFonts w:ascii="宋体"/>
                <w:vanish/>
              </w:rPr>
            </w:pPr>
          </w:p>
        </w:tc>
        <w:tc>
          <w:tcPr>
            <w:tcW w:w="0" w:type="auto"/>
            <w:gridSpan w:val="3"/>
            <w:shd w:val="clear" w:color="auto" w:fill="auto"/>
            <w:vAlign w:val="bottom"/>
          </w:tcPr>
          <w:p w14:paraId="5F2CAE7C" w14:textId="77777777" w:rsidR="00E836FB" w:rsidRDefault="00E836FB">
            <w:pPr>
              <w:rPr>
                <w:rFonts w:ascii="宋体"/>
                <w:vanish/>
              </w:rPr>
            </w:pPr>
          </w:p>
        </w:tc>
        <w:tc>
          <w:tcPr>
            <w:tcW w:w="0" w:type="auto"/>
            <w:gridSpan w:val="3"/>
            <w:shd w:val="clear" w:color="auto" w:fill="auto"/>
            <w:vAlign w:val="bottom"/>
          </w:tcPr>
          <w:p w14:paraId="5F2CAE7D" w14:textId="77777777" w:rsidR="00E836FB" w:rsidRDefault="00E836FB">
            <w:pPr>
              <w:rPr>
                <w:rFonts w:ascii="宋体"/>
                <w:vanish/>
              </w:rPr>
            </w:pPr>
          </w:p>
        </w:tc>
        <w:tc>
          <w:tcPr>
            <w:tcW w:w="0" w:type="auto"/>
            <w:gridSpan w:val="3"/>
            <w:shd w:val="clear" w:color="auto" w:fill="auto"/>
            <w:vAlign w:val="bottom"/>
          </w:tcPr>
          <w:p w14:paraId="5F2CAE7E" w14:textId="77777777" w:rsidR="00E836FB" w:rsidRDefault="00E836FB">
            <w:pPr>
              <w:rPr>
                <w:rFonts w:ascii="宋体"/>
                <w:vanish/>
              </w:rPr>
            </w:pPr>
          </w:p>
        </w:tc>
        <w:tc>
          <w:tcPr>
            <w:tcW w:w="0" w:type="auto"/>
            <w:gridSpan w:val="3"/>
            <w:shd w:val="clear" w:color="auto" w:fill="auto"/>
            <w:vAlign w:val="bottom"/>
          </w:tcPr>
          <w:p w14:paraId="5F2CAE7F" w14:textId="77777777" w:rsidR="00E836FB" w:rsidRDefault="00E836FB">
            <w:pPr>
              <w:rPr>
                <w:rFonts w:ascii="宋体"/>
                <w:vanish/>
              </w:rPr>
            </w:pPr>
          </w:p>
        </w:tc>
        <w:tc>
          <w:tcPr>
            <w:tcW w:w="0" w:type="auto"/>
            <w:gridSpan w:val="3"/>
            <w:shd w:val="clear" w:color="auto" w:fill="auto"/>
            <w:vAlign w:val="bottom"/>
          </w:tcPr>
          <w:p w14:paraId="5F2CAE80" w14:textId="77777777" w:rsidR="00E836FB" w:rsidRDefault="00E836FB">
            <w:pPr>
              <w:rPr>
                <w:rFonts w:ascii="宋体"/>
                <w:vanish/>
              </w:rPr>
            </w:pPr>
          </w:p>
        </w:tc>
        <w:tc>
          <w:tcPr>
            <w:tcW w:w="0" w:type="auto"/>
            <w:gridSpan w:val="3"/>
            <w:shd w:val="clear" w:color="auto" w:fill="auto"/>
            <w:vAlign w:val="bottom"/>
          </w:tcPr>
          <w:p w14:paraId="5F2CAE81" w14:textId="77777777" w:rsidR="00E836FB" w:rsidRDefault="00E836FB">
            <w:pPr>
              <w:rPr>
                <w:rFonts w:ascii="宋体"/>
                <w:vanish/>
              </w:rPr>
            </w:pPr>
          </w:p>
        </w:tc>
        <w:tc>
          <w:tcPr>
            <w:tcW w:w="0" w:type="auto"/>
            <w:shd w:val="clear" w:color="auto" w:fill="auto"/>
            <w:vAlign w:val="bottom"/>
          </w:tcPr>
          <w:p w14:paraId="5F2CAE82" w14:textId="77777777" w:rsidR="00E836FB" w:rsidRDefault="00E836FB">
            <w:pPr>
              <w:rPr>
                <w:rFonts w:ascii="宋体"/>
                <w:vanish/>
              </w:rPr>
            </w:pPr>
          </w:p>
        </w:tc>
      </w:tr>
      <w:tr w:rsidR="00E836FB" w14:paraId="5F2CAE91" w14:textId="77777777">
        <w:trPr>
          <w:hidden/>
        </w:trPr>
        <w:tc>
          <w:tcPr>
            <w:tcW w:w="0" w:type="auto"/>
            <w:gridSpan w:val="3"/>
            <w:shd w:val="clear" w:color="auto" w:fill="auto"/>
            <w:vAlign w:val="bottom"/>
          </w:tcPr>
          <w:p w14:paraId="5F2CAE84" w14:textId="77777777" w:rsidR="00E836FB" w:rsidRDefault="00E836FB">
            <w:pPr>
              <w:rPr>
                <w:rFonts w:ascii="宋体"/>
                <w:vanish/>
              </w:rPr>
            </w:pPr>
          </w:p>
        </w:tc>
        <w:tc>
          <w:tcPr>
            <w:tcW w:w="0" w:type="auto"/>
            <w:gridSpan w:val="3"/>
            <w:shd w:val="clear" w:color="auto" w:fill="auto"/>
            <w:vAlign w:val="bottom"/>
          </w:tcPr>
          <w:p w14:paraId="5F2CAE85" w14:textId="77777777" w:rsidR="00E836FB" w:rsidRDefault="00E836FB">
            <w:pPr>
              <w:rPr>
                <w:rFonts w:ascii="宋体"/>
                <w:vanish/>
              </w:rPr>
            </w:pPr>
          </w:p>
        </w:tc>
        <w:tc>
          <w:tcPr>
            <w:tcW w:w="0" w:type="auto"/>
            <w:gridSpan w:val="3"/>
            <w:shd w:val="clear" w:color="auto" w:fill="auto"/>
            <w:vAlign w:val="bottom"/>
          </w:tcPr>
          <w:p w14:paraId="5F2CAE86" w14:textId="77777777" w:rsidR="00E836FB" w:rsidRDefault="00E836FB">
            <w:pPr>
              <w:rPr>
                <w:rFonts w:ascii="宋体"/>
                <w:vanish/>
              </w:rPr>
            </w:pPr>
          </w:p>
        </w:tc>
        <w:tc>
          <w:tcPr>
            <w:tcW w:w="0" w:type="auto"/>
            <w:gridSpan w:val="3"/>
            <w:shd w:val="clear" w:color="auto" w:fill="auto"/>
            <w:vAlign w:val="bottom"/>
          </w:tcPr>
          <w:p w14:paraId="5F2CAE87" w14:textId="77777777" w:rsidR="00E836FB" w:rsidRDefault="00E836FB">
            <w:pPr>
              <w:rPr>
                <w:rFonts w:ascii="宋体"/>
                <w:vanish/>
              </w:rPr>
            </w:pPr>
          </w:p>
        </w:tc>
        <w:tc>
          <w:tcPr>
            <w:tcW w:w="0" w:type="auto"/>
            <w:gridSpan w:val="3"/>
            <w:shd w:val="clear" w:color="auto" w:fill="auto"/>
            <w:vAlign w:val="bottom"/>
          </w:tcPr>
          <w:p w14:paraId="5F2CAE88" w14:textId="77777777" w:rsidR="00E836FB" w:rsidRDefault="00E836FB">
            <w:pPr>
              <w:rPr>
                <w:rFonts w:ascii="宋体"/>
                <w:vanish/>
              </w:rPr>
            </w:pPr>
          </w:p>
        </w:tc>
        <w:tc>
          <w:tcPr>
            <w:tcW w:w="0" w:type="auto"/>
            <w:gridSpan w:val="3"/>
            <w:shd w:val="clear" w:color="auto" w:fill="auto"/>
            <w:vAlign w:val="bottom"/>
          </w:tcPr>
          <w:p w14:paraId="5F2CAE89" w14:textId="77777777" w:rsidR="00E836FB" w:rsidRDefault="00E836FB">
            <w:pPr>
              <w:rPr>
                <w:rFonts w:ascii="宋体"/>
                <w:vanish/>
              </w:rPr>
            </w:pPr>
          </w:p>
        </w:tc>
        <w:tc>
          <w:tcPr>
            <w:tcW w:w="0" w:type="auto"/>
            <w:gridSpan w:val="3"/>
            <w:shd w:val="clear" w:color="auto" w:fill="auto"/>
            <w:vAlign w:val="bottom"/>
          </w:tcPr>
          <w:p w14:paraId="5F2CAE8A" w14:textId="77777777" w:rsidR="00E836FB" w:rsidRDefault="00E836FB">
            <w:pPr>
              <w:rPr>
                <w:rFonts w:ascii="宋体"/>
                <w:vanish/>
              </w:rPr>
            </w:pPr>
          </w:p>
        </w:tc>
        <w:tc>
          <w:tcPr>
            <w:tcW w:w="0" w:type="auto"/>
            <w:gridSpan w:val="3"/>
            <w:shd w:val="clear" w:color="auto" w:fill="auto"/>
            <w:vAlign w:val="bottom"/>
          </w:tcPr>
          <w:p w14:paraId="5F2CAE8B" w14:textId="77777777" w:rsidR="00E836FB" w:rsidRDefault="00E836FB">
            <w:pPr>
              <w:rPr>
                <w:rFonts w:ascii="宋体"/>
                <w:vanish/>
              </w:rPr>
            </w:pPr>
          </w:p>
        </w:tc>
        <w:tc>
          <w:tcPr>
            <w:tcW w:w="0" w:type="auto"/>
            <w:gridSpan w:val="3"/>
            <w:shd w:val="clear" w:color="auto" w:fill="auto"/>
            <w:vAlign w:val="bottom"/>
          </w:tcPr>
          <w:p w14:paraId="5F2CAE8C" w14:textId="77777777" w:rsidR="00E836FB" w:rsidRDefault="00E836FB">
            <w:pPr>
              <w:rPr>
                <w:rFonts w:ascii="宋体"/>
                <w:vanish/>
              </w:rPr>
            </w:pPr>
          </w:p>
        </w:tc>
        <w:tc>
          <w:tcPr>
            <w:tcW w:w="0" w:type="auto"/>
            <w:gridSpan w:val="3"/>
            <w:shd w:val="clear" w:color="auto" w:fill="auto"/>
            <w:vAlign w:val="bottom"/>
          </w:tcPr>
          <w:p w14:paraId="5F2CAE8D" w14:textId="77777777" w:rsidR="00E836FB" w:rsidRDefault="00E836FB">
            <w:pPr>
              <w:rPr>
                <w:rFonts w:ascii="宋体"/>
                <w:vanish/>
              </w:rPr>
            </w:pPr>
          </w:p>
        </w:tc>
        <w:tc>
          <w:tcPr>
            <w:tcW w:w="0" w:type="auto"/>
            <w:gridSpan w:val="3"/>
            <w:shd w:val="clear" w:color="auto" w:fill="auto"/>
            <w:vAlign w:val="bottom"/>
          </w:tcPr>
          <w:p w14:paraId="5F2CAE8E" w14:textId="77777777" w:rsidR="00E836FB" w:rsidRDefault="00E836FB">
            <w:pPr>
              <w:rPr>
                <w:rFonts w:ascii="宋体"/>
                <w:vanish/>
              </w:rPr>
            </w:pPr>
          </w:p>
        </w:tc>
        <w:tc>
          <w:tcPr>
            <w:tcW w:w="0" w:type="auto"/>
            <w:gridSpan w:val="3"/>
            <w:shd w:val="clear" w:color="auto" w:fill="auto"/>
            <w:vAlign w:val="bottom"/>
          </w:tcPr>
          <w:p w14:paraId="5F2CAE8F" w14:textId="77777777" w:rsidR="00E836FB" w:rsidRDefault="00E836FB">
            <w:pPr>
              <w:rPr>
                <w:rFonts w:ascii="宋体"/>
                <w:vanish/>
              </w:rPr>
            </w:pPr>
          </w:p>
        </w:tc>
        <w:tc>
          <w:tcPr>
            <w:tcW w:w="0" w:type="auto"/>
            <w:shd w:val="clear" w:color="auto" w:fill="auto"/>
            <w:vAlign w:val="bottom"/>
          </w:tcPr>
          <w:p w14:paraId="5F2CAE90" w14:textId="77777777" w:rsidR="00E836FB" w:rsidRDefault="00E836FB">
            <w:pPr>
              <w:rPr>
                <w:rFonts w:ascii="宋体"/>
                <w:vanish/>
              </w:rPr>
            </w:pPr>
          </w:p>
        </w:tc>
      </w:tr>
      <w:tr w:rsidR="00E836FB" w14:paraId="5F2CAE9F" w14:textId="77777777">
        <w:trPr>
          <w:hidden/>
        </w:trPr>
        <w:tc>
          <w:tcPr>
            <w:tcW w:w="0" w:type="auto"/>
            <w:gridSpan w:val="3"/>
            <w:shd w:val="clear" w:color="auto" w:fill="auto"/>
            <w:vAlign w:val="bottom"/>
          </w:tcPr>
          <w:p w14:paraId="5F2CAE92" w14:textId="77777777" w:rsidR="00E836FB" w:rsidRDefault="00E836FB">
            <w:pPr>
              <w:rPr>
                <w:rFonts w:ascii="宋体"/>
                <w:vanish/>
              </w:rPr>
            </w:pPr>
          </w:p>
        </w:tc>
        <w:tc>
          <w:tcPr>
            <w:tcW w:w="0" w:type="auto"/>
            <w:gridSpan w:val="3"/>
            <w:shd w:val="clear" w:color="auto" w:fill="auto"/>
            <w:vAlign w:val="bottom"/>
          </w:tcPr>
          <w:p w14:paraId="5F2CAE93" w14:textId="77777777" w:rsidR="00E836FB" w:rsidRDefault="00E836FB">
            <w:pPr>
              <w:rPr>
                <w:rFonts w:ascii="宋体"/>
                <w:vanish/>
              </w:rPr>
            </w:pPr>
          </w:p>
        </w:tc>
        <w:tc>
          <w:tcPr>
            <w:tcW w:w="0" w:type="auto"/>
            <w:gridSpan w:val="3"/>
            <w:shd w:val="clear" w:color="auto" w:fill="auto"/>
            <w:vAlign w:val="bottom"/>
          </w:tcPr>
          <w:p w14:paraId="5F2CAE94" w14:textId="77777777" w:rsidR="00E836FB" w:rsidRDefault="00E836FB">
            <w:pPr>
              <w:rPr>
                <w:rFonts w:ascii="宋体"/>
                <w:vanish/>
              </w:rPr>
            </w:pPr>
          </w:p>
        </w:tc>
        <w:tc>
          <w:tcPr>
            <w:tcW w:w="0" w:type="auto"/>
            <w:gridSpan w:val="3"/>
            <w:shd w:val="clear" w:color="auto" w:fill="auto"/>
            <w:vAlign w:val="bottom"/>
          </w:tcPr>
          <w:p w14:paraId="5F2CAE95" w14:textId="77777777" w:rsidR="00E836FB" w:rsidRDefault="00E836FB">
            <w:pPr>
              <w:rPr>
                <w:rFonts w:ascii="宋体"/>
                <w:vanish/>
              </w:rPr>
            </w:pPr>
          </w:p>
        </w:tc>
        <w:tc>
          <w:tcPr>
            <w:tcW w:w="0" w:type="auto"/>
            <w:gridSpan w:val="3"/>
            <w:shd w:val="clear" w:color="auto" w:fill="auto"/>
            <w:vAlign w:val="bottom"/>
          </w:tcPr>
          <w:p w14:paraId="5F2CAE96" w14:textId="77777777" w:rsidR="00E836FB" w:rsidRDefault="00E836FB">
            <w:pPr>
              <w:rPr>
                <w:rFonts w:ascii="宋体"/>
                <w:vanish/>
              </w:rPr>
            </w:pPr>
          </w:p>
        </w:tc>
        <w:tc>
          <w:tcPr>
            <w:tcW w:w="0" w:type="auto"/>
            <w:gridSpan w:val="3"/>
            <w:shd w:val="clear" w:color="auto" w:fill="auto"/>
            <w:vAlign w:val="bottom"/>
          </w:tcPr>
          <w:p w14:paraId="5F2CAE97" w14:textId="77777777" w:rsidR="00E836FB" w:rsidRDefault="00E836FB">
            <w:pPr>
              <w:rPr>
                <w:rFonts w:ascii="宋体"/>
                <w:vanish/>
              </w:rPr>
            </w:pPr>
          </w:p>
        </w:tc>
        <w:tc>
          <w:tcPr>
            <w:tcW w:w="0" w:type="auto"/>
            <w:gridSpan w:val="3"/>
            <w:shd w:val="clear" w:color="auto" w:fill="auto"/>
            <w:vAlign w:val="bottom"/>
          </w:tcPr>
          <w:p w14:paraId="5F2CAE98" w14:textId="77777777" w:rsidR="00E836FB" w:rsidRDefault="00E836FB">
            <w:pPr>
              <w:rPr>
                <w:rFonts w:ascii="宋体"/>
                <w:vanish/>
              </w:rPr>
            </w:pPr>
          </w:p>
        </w:tc>
        <w:tc>
          <w:tcPr>
            <w:tcW w:w="0" w:type="auto"/>
            <w:gridSpan w:val="3"/>
            <w:shd w:val="clear" w:color="auto" w:fill="auto"/>
            <w:vAlign w:val="bottom"/>
          </w:tcPr>
          <w:p w14:paraId="5F2CAE99" w14:textId="77777777" w:rsidR="00E836FB" w:rsidRDefault="00E836FB">
            <w:pPr>
              <w:rPr>
                <w:rFonts w:ascii="宋体"/>
                <w:vanish/>
              </w:rPr>
            </w:pPr>
          </w:p>
        </w:tc>
        <w:tc>
          <w:tcPr>
            <w:tcW w:w="0" w:type="auto"/>
            <w:gridSpan w:val="3"/>
            <w:shd w:val="clear" w:color="auto" w:fill="auto"/>
            <w:vAlign w:val="bottom"/>
          </w:tcPr>
          <w:p w14:paraId="5F2CAE9A" w14:textId="77777777" w:rsidR="00E836FB" w:rsidRDefault="00E836FB">
            <w:pPr>
              <w:rPr>
                <w:rFonts w:ascii="宋体"/>
                <w:vanish/>
              </w:rPr>
            </w:pPr>
          </w:p>
        </w:tc>
        <w:tc>
          <w:tcPr>
            <w:tcW w:w="0" w:type="auto"/>
            <w:gridSpan w:val="3"/>
            <w:shd w:val="clear" w:color="auto" w:fill="auto"/>
            <w:vAlign w:val="bottom"/>
          </w:tcPr>
          <w:p w14:paraId="5F2CAE9B" w14:textId="77777777" w:rsidR="00E836FB" w:rsidRDefault="00E836FB">
            <w:pPr>
              <w:rPr>
                <w:rFonts w:ascii="宋体"/>
                <w:vanish/>
              </w:rPr>
            </w:pPr>
          </w:p>
        </w:tc>
        <w:tc>
          <w:tcPr>
            <w:tcW w:w="0" w:type="auto"/>
            <w:gridSpan w:val="3"/>
            <w:shd w:val="clear" w:color="auto" w:fill="auto"/>
            <w:vAlign w:val="bottom"/>
          </w:tcPr>
          <w:p w14:paraId="5F2CAE9C" w14:textId="77777777" w:rsidR="00E836FB" w:rsidRDefault="00E836FB">
            <w:pPr>
              <w:rPr>
                <w:rFonts w:ascii="宋体"/>
                <w:vanish/>
              </w:rPr>
            </w:pPr>
          </w:p>
        </w:tc>
        <w:tc>
          <w:tcPr>
            <w:tcW w:w="0" w:type="auto"/>
            <w:gridSpan w:val="3"/>
            <w:shd w:val="clear" w:color="auto" w:fill="auto"/>
            <w:vAlign w:val="bottom"/>
          </w:tcPr>
          <w:p w14:paraId="5F2CAE9D" w14:textId="77777777" w:rsidR="00E836FB" w:rsidRDefault="00E836FB">
            <w:pPr>
              <w:rPr>
                <w:rFonts w:ascii="宋体"/>
                <w:vanish/>
              </w:rPr>
            </w:pPr>
          </w:p>
        </w:tc>
        <w:tc>
          <w:tcPr>
            <w:tcW w:w="0" w:type="auto"/>
            <w:shd w:val="clear" w:color="auto" w:fill="auto"/>
            <w:vAlign w:val="bottom"/>
          </w:tcPr>
          <w:p w14:paraId="5F2CAE9E" w14:textId="77777777" w:rsidR="00E836FB" w:rsidRDefault="00E836FB">
            <w:pPr>
              <w:rPr>
                <w:rFonts w:ascii="宋体"/>
                <w:vanish/>
              </w:rPr>
            </w:pPr>
          </w:p>
        </w:tc>
      </w:tr>
      <w:tr w:rsidR="00E836FB" w14:paraId="5F2CAEAD" w14:textId="77777777">
        <w:trPr>
          <w:hidden/>
        </w:trPr>
        <w:tc>
          <w:tcPr>
            <w:tcW w:w="0" w:type="auto"/>
            <w:gridSpan w:val="3"/>
            <w:shd w:val="clear" w:color="auto" w:fill="auto"/>
            <w:vAlign w:val="bottom"/>
          </w:tcPr>
          <w:p w14:paraId="5F2CAEA0" w14:textId="77777777" w:rsidR="00E836FB" w:rsidRDefault="00E836FB">
            <w:pPr>
              <w:rPr>
                <w:rFonts w:ascii="宋体"/>
                <w:vanish/>
              </w:rPr>
            </w:pPr>
          </w:p>
        </w:tc>
        <w:tc>
          <w:tcPr>
            <w:tcW w:w="0" w:type="auto"/>
            <w:gridSpan w:val="3"/>
            <w:shd w:val="clear" w:color="auto" w:fill="auto"/>
            <w:vAlign w:val="bottom"/>
          </w:tcPr>
          <w:p w14:paraId="5F2CAEA1" w14:textId="77777777" w:rsidR="00E836FB" w:rsidRDefault="00E836FB">
            <w:pPr>
              <w:rPr>
                <w:rFonts w:ascii="宋体"/>
                <w:vanish/>
              </w:rPr>
            </w:pPr>
          </w:p>
        </w:tc>
        <w:tc>
          <w:tcPr>
            <w:tcW w:w="0" w:type="auto"/>
            <w:gridSpan w:val="3"/>
            <w:shd w:val="clear" w:color="auto" w:fill="auto"/>
            <w:vAlign w:val="bottom"/>
          </w:tcPr>
          <w:p w14:paraId="5F2CAEA2" w14:textId="77777777" w:rsidR="00E836FB" w:rsidRDefault="00E836FB">
            <w:pPr>
              <w:rPr>
                <w:rFonts w:ascii="宋体"/>
                <w:vanish/>
              </w:rPr>
            </w:pPr>
          </w:p>
        </w:tc>
        <w:tc>
          <w:tcPr>
            <w:tcW w:w="0" w:type="auto"/>
            <w:gridSpan w:val="3"/>
            <w:shd w:val="clear" w:color="auto" w:fill="auto"/>
            <w:vAlign w:val="bottom"/>
          </w:tcPr>
          <w:p w14:paraId="5F2CAEA3" w14:textId="77777777" w:rsidR="00E836FB" w:rsidRDefault="00E836FB">
            <w:pPr>
              <w:rPr>
                <w:rFonts w:ascii="宋体"/>
                <w:vanish/>
              </w:rPr>
            </w:pPr>
          </w:p>
        </w:tc>
        <w:tc>
          <w:tcPr>
            <w:tcW w:w="0" w:type="auto"/>
            <w:gridSpan w:val="3"/>
            <w:shd w:val="clear" w:color="auto" w:fill="auto"/>
            <w:vAlign w:val="bottom"/>
          </w:tcPr>
          <w:p w14:paraId="5F2CAEA4" w14:textId="77777777" w:rsidR="00E836FB" w:rsidRDefault="00E836FB">
            <w:pPr>
              <w:rPr>
                <w:rFonts w:ascii="宋体"/>
                <w:vanish/>
              </w:rPr>
            </w:pPr>
          </w:p>
        </w:tc>
        <w:tc>
          <w:tcPr>
            <w:tcW w:w="0" w:type="auto"/>
            <w:gridSpan w:val="3"/>
            <w:shd w:val="clear" w:color="auto" w:fill="auto"/>
            <w:vAlign w:val="bottom"/>
          </w:tcPr>
          <w:p w14:paraId="5F2CAEA5" w14:textId="77777777" w:rsidR="00E836FB" w:rsidRDefault="00E836FB">
            <w:pPr>
              <w:rPr>
                <w:rFonts w:ascii="宋体"/>
                <w:vanish/>
              </w:rPr>
            </w:pPr>
          </w:p>
        </w:tc>
        <w:tc>
          <w:tcPr>
            <w:tcW w:w="0" w:type="auto"/>
            <w:gridSpan w:val="3"/>
            <w:shd w:val="clear" w:color="auto" w:fill="auto"/>
            <w:vAlign w:val="bottom"/>
          </w:tcPr>
          <w:p w14:paraId="5F2CAEA6" w14:textId="77777777" w:rsidR="00E836FB" w:rsidRDefault="00E836FB">
            <w:pPr>
              <w:rPr>
                <w:rFonts w:ascii="宋体"/>
                <w:vanish/>
              </w:rPr>
            </w:pPr>
          </w:p>
        </w:tc>
        <w:tc>
          <w:tcPr>
            <w:tcW w:w="0" w:type="auto"/>
            <w:gridSpan w:val="3"/>
            <w:shd w:val="clear" w:color="auto" w:fill="auto"/>
            <w:vAlign w:val="bottom"/>
          </w:tcPr>
          <w:p w14:paraId="5F2CAEA7" w14:textId="77777777" w:rsidR="00E836FB" w:rsidRDefault="00E836FB">
            <w:pPr>
              <w:rPr>
                <w:rFonts w:ascii="宋体"/>
                <w:vanish/>
              </w:rPr>
            </w:pPr>
          </w:p>
        </w:tc>
        <w:tc>
          <w:tcPr>
            <w:tcW w:w="0" w:type="auto"/>
            <w:gridSpan w:val="3"/>
            <w:shd w:val="clear" w:color="auto" w:fill="auto"/>
            <w:vAlign w:val="bottom"/>
          </w:tcPr>
          <w:p w14:paraId="5F2CAEA8" w14:textId="77777777" w:rsidR="00E836FB" w:rsidRDefault="00E836FB">
            <w:pPr>
              <w:rPr>
                <w:rFonts w:ascii="宋体"/>
                <w:vanish/>
              </w:rPr>
            </w:pPr>
          </w:p>
        </w:tc>
        <w:tc>
          <w:tcPr>
            <w:tcW w:w="0" w:type="auto"/>
            <w:gridSpan w:val="3"/>
            <w:shd w:val="clear" w:color="auto" w:fill="auto"/>
            <w:vAlign w:val="bottom"/>
          </w:tcPr>
          <w:p w14:paraId="5F2CAEA9" w14:textId="77777777" w:rsidR="00E836FB" w:rsidRDefault="00E836FB">
            <w:pPr>
              <w:rPr>
                <w:rFonts w:ascii="宋体"/>
                <w:vanish/>
              </w:rPr>
            </w:pPr>
          </w:p>
        </w:tc>
        <w:tc>
          <w:tcPr>
            <w:tcW w:w="0" w:type="auto"/>
            <w:gridSpan w:val="3"/>
            <w:shd w:val="clear" w:color="auto" w:fill="auto"/>
            <w:vAlign w:val="bottom"/>
          </w:tcPr>
          <w:p w14:paraId="5F2CAEAA" w14:textId="77777777" w:rsidR="00E836FB" w:rsidRDefault="00E836FB">
            <w:pPr>
              <w:rPr>
                <w:rFonts w:ascii="宋体"/>
                <w:vanish/>
              </w:rPr>
            </w:pPr>
          </w:p>
        </w:tc>
        <w:tc>
          <w:tcPr>
            <w:tcW w:w="0" w:type="auto"/>
            <w:gridSpan w:val="3"/>
            <w:shd w:val="clear" w:color="auto" w:fill="auto"/>
            <w:vAlign w:val="bottom"/>
          </w:tcPr>
          <w:p w14:paraId="5F2CAEAB" w14:textId="77777777" w:rsidR="00E836FB" w:rsidRDefault="00E836FB">
            <w:pPr>
              <w:rPr>
                <w:rFonts w:ascii="宋体"/>
                <w:vanish/>
              </w:rPr>
            </w:pPr>
          </w:p>
        </w:tc>
        <w:tc>
          <w:tcPr>
            <w:tcW w:w="0" w:type="auto"/>
            <w:shd w:val="clear" w:color="auto" w:fill="auto"/>
            <w:vAlign w:val="bottom"/>
          </w:tcPr>
          <w:p w14:paraId="5F2CAEAC" w14:textId="77777777" w:rsidR="00E836FB" w:rsidRDefault="00E836FB">
            <w:pPr>
              <w:rPr>
                <w:rFonts w:ascii="宋体"/>
                <w:vanish/>
              </w:rPr>
            </w:pPr>
          </w:p>
        </w:tc>
      </w:tr>
      <w:tr w:rsidR="00E836FB" w14:paraId="5F2CAEBB" w14:textId="77777777">
        <w:trPr>
          <w:hidden/>
        </w:trPr>
        <w:tc>
          <w:tcPr>
            <w:tcW w:w="0" w:type="auto"/>
            <w:gridSpan w:val="3"/>
            <w:shd w:val="clear" w:color="auto" w:fill="auto"/>
            <w:vAlign w:val="bottom"/>
          </w:tcPr>
          <w:p w14:paraId="5F2CAEAE" w14:textId="77777777" w:rsidR="00E836FB" w:rsidRDefault="00E836FB">
            <w:pPr>
              <w:rPr>
                <w:rFonts w:ascii="宋体"/>
                <w:vanish/>
              </w:rPr>
            </w:pPr>
          </w:p>
        </w:tc>
        <w:tc>
          <w:tcPr>
            <w:tcW w:w="0" w:type="auto"/>
            <w:gridSpan w:val="3"/>
            <w:shd w:val="clear" w:color="auto" w:fill="auto"/>
            <w:vAlign w:val="bottom"/>
          </w:tcPr>
          <w:p w14:paraId="5F2CAEAF" w14:textId="77777777" w:rsidR="00E836FB" w:rsidRDefault="00E836FB">
            <w:pPr>
              <w:rPr>
                <w:rFonts w:ascii="宋体"/>
                <w:vanish/>
              </w:rPr>
            </w:pPr>
          </w:p>
        </w:tc>
        <w:tc>
          <w:tcPr>
            <w:tcW w:w="0" w:type="auto"/>
            <w:gridSpan w:val="3"/>
            <w:shd w:val="clear" w:color="auto" w:fill="auto"/>
            <w:vAlign w:val="bottom"/>
          </w:tcPr>
          <w:p w14:paraId="5F2CAEB0" w14:textId="77777777" w:rsidR="00E836FB" w:rsidRDefault="00E836FB">
            <w:pPr>
              <w:rPr>
                <w:rFonts w:ascii="宋体"/>
                <w:vanish/>
              </w:rPr>
            </w:pPr>
          </w:p>
        </w:tc>
        <w:tc>
          <w:tcPr>
            <w:tcW w:w="0" w:type="auto"/>
            <w:gridSpan w:val="3"/>
            <w:shd w:val="clear" w:color="auto" w:fill="auto"/>
            <w:vAlign w:val="bottom"/>
          </w:tcPr>
          <w:p w14:paraId="5F2CAEB1" w14:textId="77777777" w:rsidR="00E836FB" w:rsidRDefault="00E836FB">
            <w:pPr>
              <w:rPr>
                <w:rFonts w:ascii="宋体"/>
                <w:vanish/>
              </w:rPr>
            </w:pPr>
          </w:p>
        </w:tc>
        <w:tc>
          <w:tcPr>
            <w:tcW w:w="0" w:type="auto"/>
            <w:gridSpan w:val="3"/>
            <w:shd w:val="clear" w:color="auto" w:fill="auto"/>
            <w:vAlign w:val="bottom"/>
          </w:tcPr>
          <w:p w14:paraId="5F2CAEB2" w14:textId="77777777" w:rsidR="00E836FB" w:rsidRDefault="00E836FB">
            <w:pPr>
              <w:rPr>
                <w:rFonts w:ascii="宋体"/>
                <w:vanish/>
              </w:rPr>
            </w:pPr>
          </w:p>
        </w:tc>
        <w:tc>
          <w:tcPr>
            <w:tcW w:w="0" w:type="auto"/>
            <w:gridSpan w:val="3"/>
            <w:shd w:val="clear" w:color="auto" w:fill="auto"/>
            <w:vAlign w:val="bottom"/>
          </w:tcPr>
          <w:p w14:paraId="5F2CAEB3" w14:textId="77777777" w:rsidR="00E836FB" w:rsidRDefault="00E836FB">
            <w:pPr>
              <w:rPr>
                <w:rFonts w:ascii="宋体"/>
                <w:vanish/>
              </w:rPr>
            </w:pPr>
          </w:p>
        </w:tc>
        <w:tc>
          <w:tcPr>
            <w:tcW w:w="0" w:type="auto"/>
            <w:gridSpan w:val="3"/>
            <w:shd w:val="clear" w:color="auto" w:fill="auto"/>
            <w:vAlign w:val="bottom"/>
          </w:tcPr>
          <w:p w14:paraId="5F2CAEB4" w14:textId="77777777" w:rsidR="00E836FB" w:rsidRDefault="00E836FB">
            <w:pPr>
              <w:rPr>
                <w:rFonts w:ascii="宋体"/>
                <w:vanish/>
              </w:rPr>
            </w:pPr>
          </w:p>
        </w:tc>
        <w:tc>
          <w:tcPr>
            <w:tcW w:w="0" w:type="auto"/>
            <w:gridSpan w:val="3"/>
            <w:shd w:val="clear" w:color="auto" w:fill="auto"/>
            <w:vAlign w:val="bottom"/>
          </w:tcPr>
          <w:p w14:paraId="5F2CAEB5" w14:textId="77777777" w:rsidR="00E836FB" w:rsidRDefault="00E836FB">
            <w:pPr>
              <w:rPr>
                <w:rFonts w:ascii="宋体"/>
                <w:vanish/>
              </w:rPr>
            </w:pPr>
          </w:p>
        </w:tc>
        <w:tc>
          <w:tcPr>
            <w:tcW w:w="0" w:type="auto"/>
            <w:gridSpan w:val="3"/>
            <w:shd w:val="clear" w:color="auto" w:fill="auto"/>
            <w:vAlign w:val="bottom"/>
          </w:tcPr>
          <w:p w14:paraId="5F2CAEB6" w14:textId="77777777" w:rsidR="00E836FB" w:rsidRDefault="00E836FB">
            <w:pPr>
              <w:rPr>
                <w:rFonts w:ascii="宋体"/>
                <w:vanish/>
              </w:rPr>
            </w:pPr>
          </w:p>
        </w:tc>
        <w:tc>
          <w:tcPr>
            <w:tcW w:w="0" w:type="auto"/>
            <w:gridSpan w:val="3"/>
            <w:shd w:val="clear" w:color="auto" w:fill="auto"/>
            <w:vAlign w:val="bottom"/>
          </w:tcPr>
          <w:p w14:paraId="5F2CAEB7" w14:textId="77777777" w:rsidR="00E836FB" w:rsidRDefault="00E836FB">
            <w:pPr>
              <w:rPr>
                <w:rFonts w:ascii="宋体"/>
                <w:vanish/>
              </w:rPr>
            </w:pPr>
          </w:p>
        </w:tc>
        <w:tc>
          <w:tcPr>
            <w:tcW w:w="0" w:type="auto"/>
            <w:gridSpan w:val="3"/>
            <w:shd w:val="clear" w:color="auto" w:fill="auto"/>
            <w:vAlign w:val="bottom"/>
          </w:tcPr>
          <w:p w14:paraId="5F2CAEB8" w14:textId="77777777" w:rsidR="00E836FB" w:rsidRDefault="00E836FB">
            <w:pPr>
              <w:rPr>
                <w:rFonts w:ascii="宋体"/>
                <w:vanish/>
              </w:rPr>
            </w:pPr>
          </w:p>
        </w:tc>
        <w:tc>
          <w:tcPr>
            <w:tcW w:w="0" w:type="auto"/>
            <w:gridSpan w:val="3"/>
            <w:shd w:val="clear" w:color="auto" w:fill="auto"/>
            <w:vAlign w:val="bottom"/>
          </w:tcPr>
          <w:p w14:paraId="5F2CAEB9" w14:textId="77777777" w:rsidR="00E836FB" w:rsidRDefault="00E836FB">
            <w:pPr>
              <w:rPr>
                <w:rFonts w:ascii="宋体"/>
                <w:vanish/>
              </w:rPr>
            </w:pPr>
          </w:p>
        </w:tc>
        <w:tc>
          <w:tcPr>
            <w:tcW w:w="0" w:type="auto"/>
            <w:shd w:val="clear" w:color="auto" w:fill="auto"/>
            <w:vAlign w:val="bottom"/>
          </w:tcPr>
          <w:p w14:paraId="5F2CAEBA" w14:textId="77777777" w:rsidR="00E836FB" w:rsidRDefault="00E836FB">
            <w:pPr>
              <w:rPr>
                <w:rFonts w:ascii="宋体"/>
                <w:vanish/>
              </w:rPr>
            </w:pPr>
          </w:p>
        </w:tc>
      </w:tr>
      <w:tr w:rsidR="00E836FB" w14:paraId="5F2CAEC9" w14:textId="77777777">
        <w:trPr>
          <w:hidden/>
        </w:trPr>
        <w:tc>
          <w:tcPr>
            <w:tcW w:w="0" w:type="auto"/>
            <w:gridSpan w:val="3"/>
            <w:shd w:val="clear" w:color="auto" w:fill="auto"/>
            <w:vAlign w:val="bottom"/>
          </w:tcPr>
          <w:p w14:paraId="5F2CAEBC" w14:textId="77777777" w:rsidR="00E836FB" w:rsidRDefault="00E836FB">
            <w:pPr>
              <w:rPr>
                <w:rFonts w:ascii="宋体"/>
                <w:vanish/>
              </w:rPr>
            </w:pPr>
          </w:p>
        </w:tc>
        <w:tc>
          <w:tcPr>
            <w:tcW w:w="0" w:type="auto"/>
            <w:gridSpan w:val="3"/>
            <w:shd w:val="clear" w:color="auto" w:fill="auto"/>
            <w:vAlign w:val="bottom"/>
          </w:tcPr>
          <w:p w14:paraId="5F2CAEBD" w14:textId="77777777" w:rsidR="00E836FB" w:rsidRDefault="00E836FB">
            <w:pPr>
              <w:rPr>
                <w:rFonts w:ascii="宋体"/>
                <w:vanish/>
              </w:rPr>
            </w:pPr>
          </w:p>
        </w:tc>
        <w:tc>
          <w:tcPr>
            <w:tcW w:w="0" w:type="auto"/>
            <w:gridSpan w:val="3"/>
            <w:shd w:val="clear" w:color="auto" w:fill="auto"/>
            <w:vAlign w:val="bottom"/>
          </w:tcPr>
          <w:p w14:paraId="5F2CAEBE" w14:textId="77777777" w:rsidR="00E836FB" w:rsidRDefault="00E836FB">
            <w:pPr>
              <w:rPr>
                <w:rFonts w:ascii="宋体"/>
                <w:vanish/>
              </w:rPr>
            </w:pPr>
          </w:p>
        </w:tc>
        <w:tc>
          <w:tcPr>
            <w:tcW w:w="0" w:type="auto"/>
            <w:gridSpan w:val="3"/>
            <w:shd w:val="clear" w:color="auto" w:fill="auto"/>
            <w:vAlign w:val="bottom"/>
          </w:tcPr>
          <w:p w14:paraId="5F2CAEBF" w14:textId="77777777" w:rsidR="00E836FB" w:rsidRDefault="00E836FB">
            <w:pPr>
              <w:rPr>
                <w:rFonts w:ascii="宋体"/>
                <w:vanish/>
              </w:rPr>
            </w:pPr>
          </w:p>
        </w:tc>
        <w:tc>
          <w:tcPr>
            <w:tcW w:w="0" w:type="auto"/>
            <w:gridSpan w:val="3"/>
            <w:shd w:val="clear" w:color="auto" w:fill="auto"/>
            <w:vAlign w:val="bottom"/>
          </w:tcPr>
          <w:p w14:paraId="5F2CAEC0" w14:textId="77777777" w:rsidR="00E836FB" w:rsidRDefault="00E836FB">
            <w:pPr>
              <w:rPr>
                <w:rFonts w:ascii="宋体"/>
                <w:vanish/>
              </w:rPr>
            </w:pPr>
          </w:p>
        </w:tc>
        <w:tc>
          <w:tcPr>
            <w:tcW w:w="0" w:type="auto"/>
            <w:gridSpan w:val="3"/>
            <w:shd w:val="clear" w:color="auto" w:fill="auto"/>
            <w:vAlign w:val="bottom"/>
          </w:tcPr>
          <w:p w14:paraId="5F2CAEC1" w14:textId="77777777" w:rsidR="00E836FB" w:rsidRDefault="00E836FB">
            <w:pPr>
              <w:rPr>
                <w:rFonts w:ascii="宋体"/>
                <w:vanish/>
              </w:rPr>
            </w:pPr>
          </w:p>
        </w:tc>
        <w:tc>
          <w:tcPr>
            <w:tcW w:w="0" w:type="auto"/>
            <w:gridSpan w:val="3"/>
            <w:shd w:val="clear" w:color="auto" w:fill="auto"/>
            <w:vAlign w:val="bottom"/>
          </w:tcPr>
          <w:p w14:paraId="5F2CAEC2" w14:textId="77777777" w:rsidR="00E836FB" w:rsidRDefault="00E836FB">
            <w:pPr>
              <w:rPr>
                <w:rFonts w:ascii="宋体"/>
                <w:vanish/>
              </w:rPr>
            </w:pPr>
          </w:p>
        </w:tc>
        <w:tc>
          <w:tcPr>
            <w:tcW w:w="0" w:type="auto"/>
            <w:gridSpan w:val="3"/>
            <w:shd w:val="clear" w:color="auto" w:fill="auto"/>
            <w:vAlign w:val="bottom"/>
          </w:tcPr>
          <w:p w14:paraId="5F2CAEC3" w14:textId="77777777" w:rsidR="00E836FB" w:rsidRDefault="00E836FB">
            <w:pPr>
              <w:rPr>
                <w:rFonts w:ascii="宋体"/>
                <w:vanish/>
              </w:rPr>
            </w:pPr>
          </w:p>
        </w:tc>
        <w:tc>
          <w:tcPr>
            <w:tcW w:w="0" w:type="auto"/>
            <w:gridSpan w:val="3"/>
            <w:shd w:val="clear" w:color="auto" w:fill="auto"/>
            <w:vAlign w:val="bottom"/>
          </w:tcPr>
          <w:p w14:paraId="5F2CAEC4" w14:textId="77777777" w:rsidR="00E836FB" w:rsidRDefault="00E836FB">
            <w:pPr>
              <w:rPr>
                <w:rFonts w:ascii="宋体"/>
                <w:vanish/>
              </w:rPr>
            </w:pPr>
          </w:p>
        </w:tc>
        <w:tc>
          <w:tcPr>
            <w:tcW w:w="0" w:type="auto"/>
            <w:gridSpan w:val="3"/>
            <w:shd w:val="clear" w:color="auto" w:fill="auto"/>
            <w:vAlign w:val="bottom"/>
          </w:tcPr>
          <w:p w14:paraId="5F2CAEC5" w14:textId="77777777" w:rsidR="00E836FB" w:rsidRDefault="00E836FB">
            <w:pPr>
              <w:rPr>
                <w:rFonts w:ascii="宋体"/>
                <w:vanish/>
              </w:rPr>
            </w:pPr>
          </w:p>
        </w:tc>
        <w:tc>
          <w:tcPr>
            <w:tcW w:w="0" w:type="auto"/>
            <w:gridSpan w:val="3"/>
            <w:shd w:val="clear" w:color="auto" w:fill="auto"/>
            <w:vAlign w:val="bottom"/>
          </w:tcPr>
          <w:p w14:paraId="5F2CAEC6" w14:textId="77777777" w:rsidR="00E836FB" w:rsidRDefault="00E836FB">
            <w:pPr>
              <w:rPr>
                <w:rFonts w:ascii="宋体"/>
                <w:vanish/>
              </w:rPr>
            </w:pPr>
          </w:p>
        </w:tc>
        <w:tc>
          <w:tcPr>
            <w:tcW w:w="0" w:type="auto"/>
            <w:gridSpan w:val="3"/>
            <w:shd w:val="clear" w:color="auto" w:fill="auto"/>
            <w:vAlign w:val="bottom"/>
          </w:tcPr>
          <w:p w14:paraId="5F2CAEC7" w14:textId="77777777" w:rsidR="00E836FB" w:rsidRDefault="00E836FB">
            <w:pPr>
              <w:rPr>
                <w:rFonts w:ascii="宋体"/>
                <w:vanish/>
              </w:rPr>
            </w:pPr>
          </w:p>
        </w:tc>
        <w:tc>
          <w:tcPr>
            <w:tcW w:w="0" w:type="auto"/>
            <w:shd w:val="clear" w:color="auto" w:fill="auto"/>
            <w:vAlign w:val="bottom"/>
          </w:tcPr>
          <w:p w14:paraId="5F2CAEC8" w14:textId="77777777" w:rsidR="00E836FB" w:rsidRDefault="00E836FB">
            <w:pPr>
              <w:rPr>
                <w:rFonts w:ascii="宋体"/>
                <w:vanish/>
              </w:rPr>
            </w:pPr>
          </w:p>
        </w:tc>
      </w:tr>
      <w:tr w:rsidR="00E836FB" w14:paraId="5F2CAED7" w14:textId="77777777">
        <w:trPr>
          <w:hidden/>
        </w:trPr>
        <w:tc>
          <w:tcPr>
            <w:tcW w:w="0" w:type="auto"/>
            <w:gridSpan w:val="3"/>
            <w:shd w:val="clear" w:color="auto" w:fill="auto"/>
            <w:vAlign w:val="bottom"/>
          </w:tcPr>
          <w:p w14:paraId="5F2CAECA" w14:textId="77777777" w:rsidR="00E836FB" w:rsidRDefault="00E836FB">
            <w:pPr>
              <w:rPr>
                <w:rFonts w:ascii="宋体"/>
                <w:vanish/>
              </w:rPr>
            </w:pPr>
          </w:p>
        </w:tc>
        <w:tc>
          <w:tcPr>
            <w:tcW w:w="0" w:type="auto"/>
            <w:gridSpan w:val="3"/>
            <w:shd w:val="clear" w:color="auto" w:fill="auto"/>
            <w:vAlign w:val="bottom"/>
          </w:tcPr>
          <w:p w14:paraId="5F2CAECB" w14:textId="77777777" w:rsidR="00E836FB" w:rsidRDefault="00E836FB">
            <w:pPr>
              <w:rPr>
                <w:rFonts w:ascii="宋体"/>
                <w:vanish/>
              </w:rPr>
            </w:pPr>
          </w:p>
        </w:tc>
        <w:tc>
          <w:tcPr>
            <w:tcW w:w="0" w:type="auto"/>
            <w:gridSpan w:val="3"/>
            <w:shd w:val="clear" w:color="auto" w:fill="auto"/>
            <w:vAlign w:val="bottom"/>
          </w:tcPr>
          <w:p w14:paraId="5F2CAECC" w14:textId="77777777" w:rsidR="00E836FB" w:rsidRDefault="00E836FB">
            <w:pPr>
              <w:rPr>
                <w:rFonts w:ascii="宋体"/>
                <w:vanish/>
              </w:rPr>
            </w:pPr>
          </w:p>
        </w:tc>
        <w:tc>
          <w:tcPr>
            <w:tcW w:w="0" w:type="auto"/>
            <w:gridSpan w:val="3"/>
            <w:shd w:val="clear" w:color="auto" w:fill="auto"/>
            <w:vAlign w:val="bottom"/>
          </w:tcPr>
          <w:p w14:paraId="5F2CAECD" w14:textId="77777777" w:rsidR="00E836FB" w:rsidRDefault="00E836FB">
            <w:pPr>
              <w:rPr>
                <w:rFonts w:ascii="宋体"/>
                <w:vanish/>
              </w:rPr>
            </w:pPr>
          </w:p>
        </w:tc>
        <w:tc>
          <w:tcPr>
            <w:tcW w:w="0" w:type="auto"/>
            <w:gridSpan w:val="3"/>
            <w:shd w:val="clear" w:color="auto" w:fill="auto"/>
            <w:vAlign w:val="bottom"/>
          </w:tcPr>
          <w:p w14:paraId="5F2CAECE" w14:textId="77777777" w:rsidR="00E836FB" w:rsidRDefault="00E836FB">
            <w:pPr>
              <w:rPr>
                <w:rFonts w:ascii="宋体"/>
                <w:vanish/>
              </w:rPr>
            </w:pPr>
          </w:p>
        </w:tc>
        <w:tc>
          <w:tcPr>
            <w:tcW w:w="0" w:type="auto"/>
            <w:gridSpan w:val="3"/>
            <w:shd w:val="clear" w:color="auto" w:fill="auto"/>
            <w:vAlign w:val="bottom"/>
          </w:tcPr>
          <w:p w14:paraId="5F2CAECF" w14:textId="77777777" w:rsidR="00E836FB" w:rsidRDefault="00E836FB">
            <w:pPr>
              <w:rPr>
                <w:rFonts w:ascii="宋体"/>
                <w:vanish/>
              </w:rPr>
            </w:pPr>
          </w:p>
        </w:tc>
        <w:tc>
          <w:tcPr>
            <w:tcW w:w="0" w:type="auto"/>
            <w:gridSpan w:val="3"/>
            <w:shd w:val="clear" w:color="auto" w:fill="auto"/>
            <w:vAlign w:val="bottom"/>
          </w:tcPr>
          <w:p w14:paraId="5F2CAED0" w14:textId="77777777" w:rsidR="00E836FB" w:rsidRDefault="00E836FB">
            <w:pPr>
              <w:rPr>
                <w:rFonts w:ascii="宋体"/>
                <w:vanish/>
              </w:rPr>
            </w:pPr>
          </w:p>
        </w:tc>
        <w:tc>
          <w:tcPr>
            <w:tcW w:w="0" w:type="auto"/>
            <w:gridSpan w:val="3"/>
            <w:shd w:val="clear" w:color="auto" w:fill="auto"/>
            <w:vAlign w:val="bottom"/>
          </w:tcPr>
          <w:p w14:paraId="5F2CAED1" w14:textId="77777777" w:rsidR="00E836FB" w:rsidRDefault="00E836FB">
            <w:pPr>
              <w:rPr>
                <w:rFonts w:ascii="宋体"/>
                <w:vanish/>
              </w:rPr>
            </w:pPr>
          </w:p>
        </w:tc>
        <w:tc>
          <w:tcPr>
            <w:tcW w:w="0" w:type="auto"/>
            <w:gridSpan w:val="3"/>
            <w:shd w:val="clear" w:color="auto" w:fill="auto"/>
            <w:vAlign w:val="bottom"/>
          </w:tcPr>
          <w:p w14:paraId="5F2CAED2" w14:textId="77777777" w:rsidR="00E836FB" w:rsidRDefault="00E836FB">
            <w:pPr>
              <w:rPr>
                <w:rFonts w:ascii="宋体"/>
                <w:vanish/>
              </w:rPr>
            </w:pPr>
          </w:p>
        </w:tc>
        <w:tc>
          <w:tcPr>
            <w:tcW w:w="0" w:type="auto"/>
            <w:gridSpan w:val="3"/>
            <w:shd w:val="clear" w:color="auto" w:fill="auto"/>
            <w:vAlign w:val="bottom"/>
          </w:tcPr>
          <w:p w14:paraId="5F2CAED3" w14:textId="77777777" w:rsidR="00E836FB" w:rsidRDefault="00E836FB">
            <w:pPr>
              <w:rPr>
                <w:rFonts w:ascii="宋体"/>
                <w:vanish/>
              </w:rPr>
            </w:pPr>
          </w:p>
        </w:tc>
        <w:tc>
          <w:tcPr>
            <w:tcW w:w="0" w:type="auto"/>
            <w:gridSpan w:val="3"/>
            <w:shd w:val="clear" w:color="auto" w:fill="auto"/>
            <w:vAlign w:val="bottom"/>
          </w:tcPr>
          <w:p w14:paraId="5F2CAED4" w14:textId="77777777" w:rsidR="00E836FB" w:rsidRDefault="00E836FB">
            <w:pPr>
              <w:rPr>
                <w:rFonts w:ascii="宋体"/>
                <w:vanish/>
              </w:rPr>
            </w:pPr>
          </w:p>
        </w:tc>
        <w:tc>
          <w:tcPr>
            <w:tcW w:w="0" w:type="auto"/>
            <w:gridSpan w:val="3"/>
            <w:shd w:val="clear" w:color="auto" w:fill="auto"/>
            <w:vAlign w:val="bottom"/>
          </w:tcPr>
          <w:p w14:paraId="5F2CAED5" w14:textId="77777777" w:rsidR="00E836FB" w:rsidRDefault="00E836FB">
            <w:pPr>
              <w:rPr>
                <w:rFonts w:ascii="宋体"/>
                <w:vanish/>
              </w:rPr>
            </w:pPr>
          </w:p>
        </w:tc>
        <w:tc>
          <w:tcPr>
            <w:tcW w:w="0" w:type="auto"/>
            <w:shd w:val="clear" w:color="auto" w:fill="auto"/>
            <w:vAlign w:val="bottom"/>
          </w:tcPr>
          <w:p w14:paraId="5F2CAED6" w14:textId="77777777" w:rsidR="00E836FB" w:rsidRDefault="00E836FB">
            <w:pPr>
              <w:rPr>
                <w:rFonts w:ascii="宋体"/>
                <w:vanish/>
              </w:rPr>
            </w:pPr>
          </w:p>
        </w:tc>
      </w:tr>
      <w:tr w:rsidR="00E836FB" w14:paraId="5F2CAEE5" w14:textId="77777777">
        <w:trPr>
          <w:hidden/>
        </w:trPr>
        <w:tc>
          <w:tcPr>
            <w:tcW w:w="0" w:type="auto"/>
            <w:gridSpan w:val="3"/>
            <w:shd w:val="clear" w:color="auto" w:fill="auto"/>
            <w:vAlign w:val="bottom"/>
          </w:tcPr>
          <w:p w14:paraId="5F2CAED8" w14:textId="77777777" w:rsidR="00E836FB" w:rsidRDefault="00E836FB">
            <w:pPr>
              <w:rPr>
                <w:rFonts w:ascii="宋体"/>
                <w:vanish/>
              </w:rPr>
            </w:pPr>
          </w:p>
        </w:tc>
        <w:tc>
          <w:tcPr>
            <w:tcW w:w="0" w:type="auto"/>
            <w:gridSpan w:val="3"/>
            <w:shd w:val="clear" w:color="auto" w:fill="auto"/>
            <w:vAlign w:val="bottom"/>
          </w:tcPr>
          <w:p w14:paraId="5F2CAED9" w14:textId="77777777" w:rsidR="00E836FB" w:rsidRDefault="00E836FB">
            <w:pPr>
              <w:rPr>
                <w:rFonts w:ascii="宋体"/>
                <w:vanish/>
              </w:rPr>
            </w:pPr>
          </w:p>
        </w:tc>
        <w:tc>
          <w:tcPr>
            <w:tcW w:w="0" w:type="auto"/>
            <w:gridSpan w:val="3"/>
            <w:shd w:val="clear" w:color="auto" w:fill="auto"/>
            <w:vAlign w:val="bottom"/>
          </w:tcPr>
          <w:p w14:paraId="5F2CAEDA" w14:textId="77777777" w:rsidR="00E836FB" w:rsidRDefault="00E836FB">
            <w:pPr>
              <w:rPr>
                <w:rFonts w:ascii="宋体"/>
                <w:vanish/>
              </w:rPr>
            </w:pPr>
          </w:p>
        </w:tc>
        <w:tc>
          <w:tcPr>
            <w:tcW w:w="0" w:type="auto"/>
            <w:gridSpan w:val="3"/>
            <w:shd w:val="clear" w:color="auto" w:fill="auto"/>
            <w:vAlign w:val="bottom"/>
          </w:tcPr>
          <w:p w14:paraId="5F2CAEDB" w14:textId="77777777" w:rsidR="00E836FB" w:rsidRDefault="00E836FB">
            <w:pPr>
              <w:rPr>
                <w:rFonts w:ascii="宋体"/>
                <w:vanish/>
              </w:rPr>
            </w:pPr>
          </w:p>
        </w:tc>
        <w:tc>
          <w:tcPr>
            <w:tcW w:w="0" w:type="auto"/>
            <w:gridSpan w:val="3"/>
            <w:shd w:val="clear" w:color="auto" w:fill="auto"/>
            <w:vAlign w:val="bottom"/>
          </w:tcPr>
          <w:p w14:paraId="5F2CAEDC" w14:textId="77777777" w:rsidR="00E836FB" w:rsidRDefault="00E836FB">
            <w:pPr>
              <w:rPr>
                <w:rFonts w:ascii="宋体"/>
                <w:vanish/>
              </w:rPr>
            </w:pPr>
          </w:p>
        </w:tc>
        <w:tc>
          <w:tcPr>
            <w:tcW w:w="0" w:type="auto"/>
            <w:gridSpan w:val="3"/>
            <w:shd w:val="clear" w:color="auto" w:fill="auto"/>
            <w:vAlign w:val="bottom"/>
          </w:tcPr>
          <w:p w14:paraId="5F2CAEDD" w14:textId="77777777" w:rsidR="00E836FB" w:rsidRDefault="00E836FB">
            <w:pPr>
              <w:rPr>
                <w:rFonts w:ascii="宋体"/>
                <w:vanish/>
              </w:rPr>
            </w:pPr>
          </w:p>
        </w:tc>
        <w:tc>
          <w:tcPr>
            <w:tcW w:w="0" w:type="auto"/>
            <w:gridSpan w:val="3"/>
            <w:shd w:val="clear" w:color="auto" w:fill="auto"/>
            <w:vAlign w:val="bottom"/>
          </w:tcPr>
          <w:p w14:paraId="5F2CAEDE" w14:textId="77777777" w:rsidR="00E836FB" w:rsidRDefault="00E836FB">
            <w:pPr>
              <w:rPr>
                <w:rFonts w:ascii="宋体"/>
                <w:vanish/>
              </w:rPr>
            </w:pPr>
          </w:p>
        </w:tc>
        <w:tc>
          <w:tcPr>
            <w:tcW w:w="0" w:type="auto"/>
            <w:gridSpan w:val="3"/>
            <w:shd w:val="clear" w:color="auto" w:fill="auto"/>
            <w:vAlign w:val="bottom"/>
          </w:tcPr>
          <w:p w14:paraId="5F2CAEDF" w14:textId="77777777" w:rsidR="00E836FB" w:rsidRDefault="00E836FB">
            <w:pPr>
              <w:rPr>
                <w:rFonts w:ascii="宋体"/>
                <w:vanish/>
              </w:rPr>
            </w:pPr>
          </w:p>
        </w:tc>
        <w:tc>
          <w:tcPr>
            <w:tcW w:w="0" w:type="auto"/>
            <w:gridSpan w:val="3"/>
            <w:shd w:val="clear" w:color="auto" w:fill="auto"/>
            <w:vAlign w:val="bottom"/>
          </w:tcPr>
          <w:p w14:paraId="5F2CAEE0" w14:textId="77777777" w:rsidR="00E836FB" w:rsidRDefault="00E836FB">
            <w:pPr>
              <w:rPr>
                <w:rFonts w:ascii="宋体"/>
                <w:vanish/>
              </w:rPr>
            </w:pPr>
          </w:p>
        </w:tc>
        <w:tc>
          <w:tcPr>
            <w:tcW w:w="0" w:type="auto"/>
            <w:gridSpan w:val="3"/>
            <w:shd w:val="clear" w:color="auto" w:fill="auto"/>
            <w:vAlign w:val="bottom"/>
          </w:tcPr>
          <w:p w14:paraId="5F2CAEE1" w14:textId="77777777" w:rsidR="00E836FB" w:rsidRDefault="00E836FB">
            <w:pPr>
              <w:rPr>
                <w:rFonts w:ascii="宋体"/>
                <w:vanish/>
              </w:rPr>
            </w:pPr>
          </w:p>
        </w:tc>
        <w:tc>
          <w:tcPr>
            <w:tcW w:w="0" w:type="auto"/>
            <w:gridSpan w:val="3"/>
            <w:shd w:val="clear" w:color="auto" w:fill="auto"/>
            <w:vAlign w:val="bottom"/>
          </w:tcPr>
          <w:p w14:paraId="5F2CAEE2" w14:textId="77777777" w:rsidR="00E836FB" w:rsidRDefault="00E836FB">
            <w:pPr>
              <w:rPr>
                <w:rFonts w:ascii="宋体"/>
                <w:vanish/>
              </w:rPr>
            </w:pPr>
          </w:p>
        </w:tc>
        <w:tc>
          <w:tcPr>
            <w:tcW w:w="0" w:type="auto"/>
            <w:gridSpan w:val="3"/>
            <w:shd w:val="clear" w:color="auto" w:fill="auto"/>
            <w:vAlign w:val="bottom"/>
          </w:tcPr>
          <w:p w14:paraId="5F2CAEE3" w14:textId="77777777" w:rsidR="00E836FB" w:rsidRDefault="00E836FB">
            <w:pPr>
              <w:rPr>
                <w:rFonts w:ascii="宋体"/>
                <w:vanish/>
              </w:rPr>
            </w:pPr>
          </w:p>
        </w:tc>
        <w:tc>
          <w:tcPr>
            <w:tcW w:w="0" w:type="auto"/>
            <w:shd w:val="clear" w:color="auto" w:fill="auto"/>
            <w:vAlign w:val="bottom"/>
          </w:tcPr>
          <w:p w14:paraId="5F2CAEE4" w14:textId="77777777" w:rsidR="00E836FB" w:rsidRDefault="00E836FB">
            <w:pPr>
              <w:rPr>
                <w:rFonts w:ascii="宋体"/>
                <w:vanish/>
              </w:rPr>
            </w:pPr>
          </w:p>
        </w:tc>
      </w:tr>
      <w:tr w:rsidR="00E836FB" w14:paraId="5F2CAEFF" w14:textId="77777777">
        <w:tc>
          <w:tcPr>
            <w:tcW w:w="0" w:type="auto"/>
            <w:gridSpan w:val="3"/>
            <w:shd w:val="clear" w:color="auto" w:fill="CCEEFF"/>
            <w:tcMar>
              <w:top w:w="40" w:type="dxa"/>
              <w:left w:w="20" w:type="dxa"/>
              <w:bottom w:w="40" w:type="dxa"/>
              <w:right w:w="20" w:type="dxa"/>
            </w:tcMar>
            <w:vAlign w:val="bottom"/>
          </w:tcPr>
          <w:p w14:paraId="5F2CAEE6" w14:textId="77777777" w:rsidR="00E836FB" w:rsidRDefault="00994958">
            <w:pPr>
              <w:textAlignment w:val="bottom"/>
            </w:pPr>
            <w:r>
              <w:rPr>
                <w:rFonts w:ascii="Arial" w:eastAsia="宋体" w:hAnsi="Arial" w:cs="Arial"/>
                <w:b/>
                <w:bCs/>
                <w:color w:val="000000"/>
                <w:sz w:val="14"/>
                <w:szCs w:val="14"/>
              </w:rPr>
              <w:t>Balance as of December 31, 2018</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EE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EE8" w14:textId="77777777" w:rsidR="00E836FB" w:rsidRDefault="00994958">
            <w:pPr>
              <w:jc w:val="right"/>
              <w:textAlignment w:val="bottom"/>
            </w:pPr>
            <w:r>
              <w:rPr>
                <w:rFonts w:ascii="Arial" w:eastAsia="宋体" w:hAnsi="Arial" w:cs="Arial"/>
                <w:color w:val="000000"/>
                <w:sz w:val="14"/>
                <w:szCs w:val="14"/>
              </w:rPr>
              <w:t>1,542 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E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EE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EE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EEC" w14:textId="77777777" w:rsidR="00E836FB" w:rsidRDefault="00994958">
            <w:pPr>
              <w:jc w:val="right"/>
              <w:textAlignment w:val="bottom"/>
            </w:pPr>
            <w:r>
              <w:rPr>
                <w:rFonts w:ascii="Arial" w:eastAsia="宋体" w:hAnsi="Arial" w:cs="Arial"/>
                <w:color w:val="000000"/>
                <w:sz w:val="14"/>
                <w:szCs w:val="14"/>
              </w:rPr>
              <w:t>432 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E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EE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EE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EF0" w14:textId="77777777" w:rsidR="00E836FB" w:rsidRDefault="00994958">
            <w:pPr>
              <w:jc w:val="right"/>
              <w:textAlignment w:val="bottom"/>
            </w:pPr>
            <w:r>
              <w:rPr>
                <w:rFonts w:ascii="Arial" w:eastAsia="宋体" w:hAnsi="Arial" w:cs="Arial"/>
                <w:color w:val="000000"/>
                <w:sz w:val="14"/>
                <w:szCs w:val="14"/>
              </w:rPr>
              <w:t>280 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E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EF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EF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EF4" w14:textId="77777777" w:rsidR="00E836FB" w:rsidRDefault="00994958">
            <w:pPr>
              <w:jc w:val="right"/>
              <w:textAlignment w:val="bottom"/>
            </w:pPr>
            <w:r>
              <w:rPr>
                <w:rFonts w:ascii="Arial" w:eastAsia="宋体" w:hAnsi="Arial" w:cs="Arial"/>
                <w:color w:val="000000"/>
                <w:sz w:val="14"/>
                <w:szCs w:val="14"/>
              </w:rPr>
              <w:t>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E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EF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EF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EF8" w14:textId="77777777" w:rsidR="00E836FB" w:rsidRDefault="00994958">
            <w:pPr>
              <w:jc w:val="right"/>
              <w:textAlignment w:val="bottom"/>
            </w:pPr>
            <w:r>
              <w:rPr>
                <w:rFonts w:ascii="Arial" w:eastAsia="宋体" w:hAnsi="Arial" w:cs="Arial"/>
                <w:color w:val="000000"/>
                <w:sz w:val="14"/>
                <w:szCs w:val="14"/>
              </w:rPr>
              <w:t>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E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EF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EF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EFC" w14:textId="77777777" w:rsidR="00E836FB" w:rsidRDefault="00994958">
            <w:pPr>
              <w:jc w:val="right"/>
              <w:textAlignment w:val="bottom"/>
            </w:pPr>
            <w:r>
              <w:rPr>
                <w:rFonts w:ascii="Arial" w:eastAsia="宋体" w:hAnsi="Arial" w:cs="Arial"/>
                <w:color w:val="000000"/>
                <w:sz w:val="14"/>
                <w:szCs w:val="14"/>
              </w:rPr>
              <w:t>2,511 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EFD" w14:textId="77777777" w:rsidR="00E836FB" w:rsidRDefault="00E836FB">
            <w:pPr>
              <w:jc w:val="right"/>
              <w:rPr>
                <w:rFonts w:ascii="宋体"/>
              </w:rPr>
            </w:pPr>
          </w:p>
        </w:tc>
        <w:tc>
          <w:tcPr>
            <w:tcW w:w="0" w:type="auto"/>
            <w:shd w:val="clear" w:color="auto" w:fill="auto"/>
            <w:vAlign w:val="bottom"/>
          </w:tcPr>
          <w:p w14:paraId="5F2CAEFE" w14:textId="77777777" w:rsidR="00E836FB" w:rsidRDefault="00E836FB">
            <w:pPr>
              <w:rPr>
                <w:rFonts w:ascii="宋体"/>
                <w:vanish/>
              </w:rPr>
            </w:pPr>
          </w:p>
        </w:tc>
      </w:tr>
      <w:tr w:rsidR="00E836FB" w14:paraId="5F2CAF13" w14:textId="77777777">
        <w:tc>
          <w:tcPr>
            <w:tcW w:w="0" w:type="auto"/>
            <w:gridSpan w:val="3"/>
            <w:shd w:val="clear" w:color="auto" w:fill="auto"/>
            <w:tcMar>
              <w:top w:w="40" w:type="dxa"/>
              <w:left w:w="20" w:type="dxa"/>
              <w:bottom w:w="40" w:type="dxa"/>
              <w:right w:w="20" w:type="dxa"/>
            </w:tcMar>
            <w:vAlign w:val="bottom"/>
          </w:tcPr>
          <w:p w14:paraId="5F2CAF00" w14:textId="77777777" w:rsidR="00E836FB" w:rsidRDefault="00994958">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F2CAF01" w14:textId="77777777" w:rsidR="00E836FB" w:rsidRDefault="00994958">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F2CAF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04" w14:textId="77777777" w:rsidR="00E836FB" w:rsidRDefault="00994958">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5F2CAF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0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0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0A"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CAF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0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0D" w14:textId="77777777" w:rsidR="00E836FB" w:rsidRDefault="00994958">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F2CAF0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0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10" w14:textId="77777777" w:rsidR="00E836FB" w:rsidRDefault="00994958">
            <w:pPr>
              <w:jc w:val="right"/>
              <w:textAlignment w:val="bottom"/>
            </w:pPr>
            <w:r>
              <w:rPr>
                <w:rFonts w:ascii="Arial" w:eastAsia="宋体" w:hAnsi="Arial" w:cs="Arial"/>
                <w:color w:val="000000"/>
                <w:sz w:val="14"/>
                <w:szCs w:val="14"/>
              </w:rPr>
              <w:t>38 </w:t>
            </w:r>
          </w:p>
        </w:tc>
        <w:tc>
          <w:tcPr>
            <w:tcW w:w="0" w:type="auto"/>
            <w:shd w:val="clear" w:color="auto" w:fill="FFFFFF"/>
            <w:tcMar>
              <w:top w:w="40" w:type="dxa"/>
              <w:left w:w="0" w:type="dxa"/>
              <w:bottom w:w="40" w:type="dxa"/>
              <w:right w:w="20" w:type="dxa"/>
            </w:tcMar>
            <w:vAlign w:val="bottom"/>
          </w:tcPr>
          <w:p w14:paraId="5F2CAF11" w14:textId="77777777" w:rsidR="00E836FB" w:rsidRDefault="00E836FB">
            <w:pPr>
              <w:jc w:val="right"/>
              <w:rPr>
                <w:rFonts w:ascii="宋体"/>
              </w:rPr>
            </w:pPr>
          </w:p>
        </w:tc>
        <w:tc>
          <w:tcPr>
            <w:tcW w:w="0" w:type="auto"/>
            <w:shd w:val="clear" w:color="auto" w:fill="auto"/>
            <w:vAlign w:val="bottom"/>
          </w:tcPr>
          <w:p w14:paraId="5F2CAF12" w14:textId="77777777" w:rsidR="00E836FB" w:rsidRDefault="00E836FB">
            <w:pPr>
              <w:rPr>
                <w:rFonts w:ascii="宋体"/>
                <w:vanish/>
              </w:rPr>
            </w:pPr>
          </w:p>
        </w:tc>
      </w:tr>
      <w:tr w:rsidR="00E836FB" w14:paraId="5F2CAF27" w14:textId="77777777">
        <w:tc>
          <w:tcPr>
            <w:tcW w:w="0" w:type="auto"/>
            <w:gridSpan w:val="3"/>
            <w:shd w:val="clear" w:color="auto" w:fill="CCEEFF"/>
            <w:tcMar>
              <w:top w:w="40" w:type="dxa"/>
              <w:left w:w="20" w:type="dxa"/>
              <w:bottom w:w="40" w:type="dxa"/>
              <w:right w:w="20" w:type="dxa"/>
            </w:tcMar>
            <w:vAlign w:val="bottom"/>
          </w:tcPr>
          <w:p w14:paraId="5F2CAF14" w14:textId="77777777" w:rsidR="00E836FB" w:rsidRDefault="00994958">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5F2CAF15" w14:textId="77777777" w:rsidR="00E836FB" w:rsidRDefault="00994958">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F2CAF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1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18" w14:textId="77777777" w:rsidR="00E836FB" w:rsidRDefault="00994958">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5F2CAF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1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1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F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1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1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F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2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21" w14:textId="77777777" w:rsidR="00E836FB" w:rsidRDefault="00994958">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5F2CAF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2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24" w14:textId="77777777" w:rsidR="00E836FB" w:rsidRDefault="00994958">
            <w:pPr>
              <w:jc w:val="right"/>
              <w:textAlignment w:val="bottom"/>
            </w:pPr>
            <w:r>
              <w:rPr>
                <w:rFonts w:ascii="Arial" w:eastAsia="宋体" w:hAnsi="Arial" w:cs="Arial"/>
                <w:color w:val="000000"/>
                <w:sz w:val="14"/>
                <w:szCs w:val="14"/>
              </w:rPr>
              <w:t>34 </w:t>
            </w:r>
          </w:p>
        </w:tc>
        <w:tc>
          <w:tcPr>
            <w:tcW w:w="0" w:type="auto"/>
            <w:shd w:val="clear" w:color="auto" w:fill="CCEEFF"/>
            <w:tcMar>
              <w:top w:w="40" w:type="dxa"/>
              <w:left w:w="0" w:type="dxa"/>
              <w:bottom w:w="40" w:type="dxa"/>
              <w:right w:w="20" w:type="dxa"/>
            </w:tcMar>
            <w:vAlign w:val="bottom"/>
          </w:tcPr>
          <w:p w14:paraId="5F2CAF25" w14:textId="77777777" w:rsidR="00E836FB" w:rsidRDefault="00E836FB">
            <w:pPr>
              <w:jc w:val="right"/>
              <w:rPr>
                <w:rFonts w:ascii="宋体"/>
              </w:rPr>
            </w:pPr>
          </w:p>
        </w:tc>
        <w:tc>
          <w:tcPr>
            <w:tcW w:w="0" w:type="auto"/>
            <w:shd w:val="clear" w:color="auto" w:fill="auto"/>
            <w:vAlign w:val="bottom"/>
          </w:tcPr>
          <w:p w14:paraId="5F2CAF26" w14:textId="77777777" w:rsidR="00E836FB" w:rsidRDefault="00E836FB">
            <w:pPr>
              <w:rPr>
                <w:rFonts w:ascii="宋体"/>
                <w:vanish/>
              </w:rPr>
            </w:pPr>
          </w:p>
        </w:tc>
      </w:tr>
      <w:tr w:rsidR="00E836FB" w14:paraId="5F2CAF3B" w14:textId="77777777">
        <w:tc>
          <w:tcPr>
            <w:tcW w:w="0" w:type="auto"/>
            <w:gridSpan w:val="3"/>
            <w:shd w:val="clear" w:color="auto" w:fill="auto"/>
            <w:tcMar>
              <w:top w:w="40" w:type="dxa"/>
              <w:left w:w="20" w:type="dxa"/>
              <w:bottom w:w="40" w:type="dxa"/>
              <w:right w:w="20" w:type="dxa"/>
            </w:tcMar>
            <w:vAlign w:val="bottom"/>
          </w:tcPr>
          <w:p w14:paraId="5F2CAF28" w14:textId="77777777" w:rsidR="00E836FB" w:rsidRDefault="00994958">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5F2CAF2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2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2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2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2F" w14:textId="77777777" w:rsidR="00E836FB" w:rsidRDefault="00994958">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F2CAF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3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3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3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3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38" w14:textId="77777777" w:rsidR="00E836FB" w:rsidRDefault="00994958">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F2CAF39" w14:textId="77777777" w:rsidR="00E836FB" w:rsidRDefault="00E836FB">
            <w:pPr>
              <w:jc w:val="right"/>
              <w:rPr>
                <w:rFonts w:ascii="宋体"/>
              </w:rPr>
            </w:pPr>
          </w:p>
        </w:tc>
        <w:tc>
          <w:tcPr>
            <w:tcW w:w="0" w:type="auto"/>
            <w:shd w:val="clear" w:color="auto" w:fill="auto"/>
            <w:vAlign w:val="bottom"/>
          </w:tcPr>
          <w:p w14:paraId="5F2CAF3A" w14:textId="77777777" w:rsidR="00E836FB" w:rsidRDefault="00E836FB">
            <w:pPr>
              <w:rPr>
                <w:rFonts w:ascii="宋体"/>
                <w:vanish/>
              </w:rPr>
            </w:pPr>
          </w:p>
        </w:tc>
      </w:tr>
      <w:tr w:rsidR="00E836FB" w14:paraId="5F2CAF4F" w14:textId="77777777">
        <w:tc>
          <w:tcPr>
            <w:tcW w:w="0" w:type="auto"/>
            <w:gridSpan w:val="3"/>
            <w:shd w:val="clear" w:color="auto" w:fill="CCEEFF"/>
            <w:tcMar>
              <w:top w:w="40" w:type="dxa"/>
              <w:left w:w="20" w:type="dxa"/>
              <w:bottom w:w="40" w:type="dxa"/>
              <w:right w:w="20" w:type="dxa"/>
            </w:tcMar>
            <w:vAlign w:val="bottom"/>
          </w:tcPr>
          <w:p w14:paraId="5F2CAF3C" w14:textId="77777777" w:rsidR="00E836FB" w:rsidRDefault="00994958">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3D" w14:textId="77777777" w:rsidR="00E836FB" w:rsidRDefault="00994958">
            <w:pPr>
              <w:jc w:val="right"/>
              <w:textAlignment w:val="bottom"/>
            </w:pPr>
            <w:r>
              <w:rPr>
                <w:rFonts w:ascii="Arial" w:eastAsia="宋体" w:hAnsi="Arial" w:cs="Arial"/>
                <w:color w:val="000000"/>
                <w:sz w:val="14"/>
                <w:szCs w:val="14"/>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3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40" w14:textId="77777777" w:rsidR="00E836FB" w:rsidRDefault="00994958">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4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43" w14:textId="77777777" w:rsidR="00E836FB" w:rsidRDefault="00994958">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4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46" w14:textId="77777777" w:rsidR="00E836FB" w:rsidRDefault="00994958">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4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49" w14:textId="77777777" w:rsidR="00E836FB" w:rsidRDefault="00994958">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4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4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4C" w14:textId="77777777" w:rsidR="00E836FB" w:rsidRDefault="00994958">
            <w:pPr>
              <w:jc w:val="right"/>
              <w:textAlignment w:val="bottom"/>
            </w:pPr>
            <w:r>
              <w:rPr>
                <w:rFonts w:ascii="Arial" w:eastAsia="宋体" w:hAnsi="Arial" w:cs="Arial"/>
                <w:color w:val="000000"/>
                <w:sz w:val="14"/>
                <w:szCs w:val="14"/>
              </w:rPr>
              <w:t>103 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4D" w14:textId="77777777" w:rsidR="00E836FB" w:rsidRDefault="00E836FB">
            <w:pPr>
              <w:jc w:val="right"/>
              <w:rPr>
                <w:rFonts w:ascii="宋体"/>
              </w:rPr>
            </w:pPr>
          </w:p>
        </w:tc>
        <w:tc>
          <w:tcPr>
            <w:tcW w:w="0" w:type="auto"/>
            <w:shd w:val="clear" w:color="auto" w:fill="auto"/>
            <w:vAlign w:val="bottom"/>
          </w:tcPr>
          <w:p w14:paraId="5F2CAF4E" w14:textId="77777777" w:rsidR="00E836FB" w:rsidRDefault="00E836FB">
            <w:pPr>
              <w:rPr>
                <w:rFonts w:ascii="宋体"/>
                <w:vanish/>
              </w:rPr>
            </w:pPr>
          </w:p>
        </w:tc>
      </w:tr>
      <w:tr w:rsidR="00E836FB" w14:paraId="5F2CAF63" w14:textId="77777777">
        <w:tc>
          <w:tcPr>
            <w:tcW w:w="0" w:type="auto"/>
            <w:gridSpan w:val="3"/>
            <w:shd w:val="clear" w:color="auto" w:fill="auto"/>
            <w:tcMar>
              <w:top w:w="40" w:type="dxa"/>
              <w:left w:w="20" w:type="dxa"/>
              <w:bottom w:w="40" w:type="dxa"/>
              <w:right w:w="20" w:type="dxa"/>
            </w:tcMar>
            <w:vAlign w:val="bottom"/>
          </w:tcPr>
          <w:p w14:paraId="5F2CAF50" w14:textId="77777777" w:rsidR="00E836FB" w:rsidRDefault="00994958">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5F2CAF51" w14:textId="77777777" w:rsidR="00E836FB" w:rsidRDefault="00994958">
            <w:pPr>
              <w:jc w:val="right"/>
              <w:textAlignment w:val="bottom"/>
            </w:pPr>
            <w:r>
              <w:rPr>
                <w:rFonts w:ascii="Arial" w:eastAsia="宋体" w:hAnsi="Arial" w:cs="Arial"/>
                <w:color w:val="000000"/>
                <w:sz w:val="14"/>
                <w:szCs w:val="14"/>
              </w:rPr>
              <w:t>406 </w:t>
            </w:r>
          </w:p>
        </w:tc>
        <w:tc>
          <w:tcPr>
            <w:tcW w:w="0" w:type="auto"/>
            <w:shd w:val="clear" w:color="auto" w:fill="FFFFFF"/>
            <w:tcMar>
              <w:top w:w="40" w:type="dxa"/>
              <w:left w:w="0" w:type="dxa"/>
              <w:bottom w:w="40" w:type="dxa"/>
              <w:right w:w="20" w:type="dxa"/>
            </w:tcMar>
            <w:vAlign w:val="bottom"/>
          </w:tcPr>
          <w:p w14:paraId="5F2CAF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5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54" w14:textId="77777777" w:rsidR="00E836FB" w:rsidRDefault="00994958">
            <w:pPr>
              <w:jc w:val="right"/>
              <w:textAlignment w:val="bottom"/>
            </w:pPr>
            <w:r>
              <w:rPr>
                <w:rFonts w:ascii="Arial" w:eastAsia="宋体" w:hAnsi="Arial" w:cs="Arial"/>
                <w:color w:val="000000"/>
                <w:sz w:val="14"/>
                <w:szCs w:val="14"/>
              </w:rPr>
              <w:t>36 </w:t>
            </w:r>
          </w:p>
        </w:tc>
        <w:tc>
          <w:tcPr>
            <w:tcW w:w="0" w:type="auto"/>
            <w:shd w:val="clear" w:color="auto" w:fill="FFFFFF"/>
            <w:tcMar>
              <w:top w:w="40" w:type="dxa"/>
              <w:left w:w="0" w:type="dxa"/>
              <w:bottom w:w="40" w:type="dxa"/>
              <w:right w:w="20" w:type="dxa"/>
            </w:tcMar>
            <w:vAlign w:val="bottom"/>
          </w:tcPr>
          <w:p w14:paraId="5F2CAF5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5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57" w14:textId="77777777" w:rsidR="00E836FB" w:rsidRDefault="00994958">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5F2CAF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5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5A"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FFFFFF"/>
            <w:tcMar>
              <w:top w:w="40" w:type="dxa"/>
              <w:left w:w="0" w:type="dxa"/>
              <w:bottom w:w="40" w:type="dxa"/>
              <w:right w:w="20" w:type="dxa"/>
            </w:tcMar>
            <w:vAlign w:val="bottom"/>
          </w:tcPr>
          <w:p w14:paraId="5F2CAF5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5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5D" w14:textId="77777777" w:rsidR="00E836FB" w:rsidRDefault="00994958">
            <w:pPr>
              <w:jc w:val="right"/>
              <w:textAlignment w:val="bottom"/>
            </w:pPr>
            <w:r>
              <w:rPr>
                <w:rFonts w:ascii="Arial" w:eastAsia="宋体" w:hAnsi="Arial" w:cs="Arial"/>
                <w:color w:val="000000"/>
                <w:sz w:val="14"/>
                <w:szCs w:val="14"/>
              </w:rPr>
              <w:t>28 </w:t>
            </w:r>
          </w:p>
        </w:tc>
        <w:tc>
          <w:tcPr>
            <w:tcW w:w="0" w:type="auto"/>
            <w:shd w:val="clear" w:color="auto" w:fill="FFFFFF"/>
            <w:tcMar>
              <w:top w:w="40" w:type="dxa"/>
              <w:left w:w="0" w:type="dxa"/>
              <w:bottom w:w="40" w:type="dxa"/>
              <w:right w:w="20" w:type="dxa"/>
            </w:tcMar>
            <w:vAlign w:val="bottom"/>
          </w:tcPr>
          <w:p w14:paraId="5F2CAF5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5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60" w14:textId="77777777" w:rsidR="00E836FB" w:rsidRDefault="00994958">
            <w:pPr>
              <w:jc w:val="right"/>
              <w:textAlignment w:val="bottom"/>
            </w:pPr>
            <w:r>
              <w:rPr>
                <w:rFonts w:ascii="Arial" w:eastAsia="宋体" w:hAnsi="Arial" w:cs="Arial"/>
                <w:color w:val="000000"/>
                <w:sz w:val="14"/>
                <w:szCs w:val="14"/>
              </w:rPr>
              <w:t>496 </w:t>
            </w:r>
          </w:p>
        </w:tc>
        <w:tc>
          <w:tcPr>
            <w:tcW w:w="0" w:type="auto"/>
            <w:shd w:val="clear" w:color="auto" w:fill="FFFFFF"/>
            <w:tcMar>
              <w:top w:w="40" w:type="dxa"/>
              <w:left w:w="0" w:type="dxa"/>
              <w:bottom w:w="40" w:type="dxa"/>
              <w:right w:w="20" w:type="dxa"/>
            </w:tcMar>
            <w:vAlign w:val="bottom"/>
          </w:tcPr>
          <w:p w14:paraId="5F2CAF61" w14:textId="77777777" w:rsidR="00E836FB" w:rsidRDefault="00E836FB">
            <w:pPr>
              <w:jc w:val="right"/>
              <w:rPr>
                <w:rFonts w:ascii="宋体"/>
              </w:rPr>
            </w:pPr>
          </w:p>
        </w:tc>
        <w:tc>
          <w:tcPr>
            <w:tcW w:w="0" w:type="auto"/>
            <w:shd w:val="clear" w:color="auto" w:fill="auto"/>
            <w:vAlign w:val="bottom"/>
          </w:tcPr>
          <w:p w14:paraId="5F2CAF62" w14:textId="77777777" w:rsidR="00E836FB" w:rsidRDefault="00E836FB">
            <w:pPr>
              <w:rPr>
                <w:rFonts w:ascii="宋体"/>
                <w:vanish/>
              </w:rPr>
            </w:pPr>
          </w:p>
        </w:tc>
      </w:tr>
      <w:tr w:rsidR="00E836FB" w14:paraId="5F2CAF77" w14:textId="77777777">
        <w:tc>
          <w:tcPr>
            <w:tcW w:w="0" w:type="auto"/>
            <w:gridSpan w:val="3"/>
            <w:shd w:val="clear" w:color="auto" w:fill="CCEEFF"/>
            <w:tcMar>
              <w:top w:w="40" w:type="dxa"/>
              <w:left w:w="20" w:type="dxa"/>
              <w:bottom w:w="40" w:type="dxa"/>
              <w:right w:w="20" w:type="dxa"/>
            </w:tcMar>
            <w:vAlign w:val="bottom"/>
          </w:tcPr>
          <w:p w14:paraId="5F2CAF64" w14:textId="77777777" w:rsidR="00E836FB" w:rsidRDefault="00994958">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5F2CAF65"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F2CAF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68"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F2CAF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6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6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F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6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F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71"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F2CAF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74" w14:textId="77777777" w:rsidR="00E836FB" w:rsidRDefault="00994958">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5F2CAF75" w14:textId="77777777" w:rsidR="00E836FB" w:rsidRDefault="00E836FB">
            <w:pPr>
              <w:jc w:val="right"/>
              <w:rPr>
                <w:rFonts w:ascii="宋体"/>
              </w:rPr>
            </w:pPr>
          </w:p>
        </w:tc>
        <w:tc>
          <w:tcPr>
            <w:tcW w:w="0" w:type="auto"/>
            <w:shd w:val="clear" w:color="auto" w:fill="auto"/>
            <w:vAlign w:val="bottom"/>
          </w:tcPr>
          <w:p w14:paraId="5F2CAF76" w14:textId="77777777" w:rsidR="00E836FB" w:rsidRDefault="00E836FB">
            <w:pPr>
              <w:rPr>
                <w:rFonts w:ascii="宋体"/>
                <w:vanish/>
              </w:rPr>
            </w:pPr>
          </w:p>
        </w:tc>
      </w:tr>
      <w:tr w:rsidR="00E836FB" w14:paraId="5F2CAF8B" w14:textId="77777777">
        <w:tc>
          <w:tcPr>
            <w:tcW w:w="0" w:type="auto"/>
            <w:gridSpan w:val="3"/>
            <w:shd w:val="clear" w:color="auto" w:fill="auto"/>
            <w:tcMar>
              <w:top w:w="40" w:type="dxa"/>
              <w:left w:w="20" w:type="dxa"/>
              <w:bottom w:w="40" w:type="dxa"/>
              <w:right w:w="20" w:type="dxa"/>
            </w:tcMar>
            <w:vAlign w:val="bottom"/>
          </w:tcPr>
          <w:p w14:paraId="5F2CAF78" w14:textId="77777777" w:rsidR="00E836FB" w:rsidRDefault="00994958">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F79" w14:textId="77777777" w:rsidR="00E836FB" w:rsidRDefault="00994958">
            <w:pPr>
              <w:jc w:val="right"/>
              <w:textAlignment w:val="bottom"/>
            </w:pPr>
            <w:r>
              <w:rPr>
                <w:rFonts w:ascii="Arial" w:eastAsia="宋体" w:hAnsi="Arial" w:cs="Arial"/>
                <w:color w:val="000000"/>
                <w:sz w:val="14"/>
                <w:szCs w:val="14"/>
              </w:rPr>
              <w:t>410 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F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7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F7C" w14:textId="77777777" w:rsidR="00E836FB" w:rsidRDefault="00994958">
            <w:pPr>
              <w:jc w:val="right"/>
              <w:textAlignment w:val="bottom"/>
            </w:pPr>
            <w:r>
              <w:rPr>
                <w:rFonts w:ascii="Arial" w:eastAsia="宋体" w:hAnsi="Arial" w:cs="Arial"/>
                <w:color w:val="000000"/>
                <w:sz w:val="14"/>
                <w:szCs w:val="14"/>
              </w:rPr>
              <w:t>37 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F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7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F7F" w14:textId="77777777" w:rsidR="00E836FB" w:rsidRDefault="00994958">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F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8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F82" w14:textId="77777777" w:rsidR="00E836FB" w:rsidRDefault="00994958">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F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8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F85" w14:textId="77777777" w:rsidR="00E836FB" w:rsidRDefault="00994958">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F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8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AF88" w14:textId="77777777" w:rsidR="00E836FB" w:rsidRDefault="00994958">
            <w:pPr>
              <w:jc w:val="right"/>
              <w:textAlignment w:val="bottom"/>
            </w:pPr>
            <w:r>
              <w:rPr>
                <w:rFonts w:ascii="Arial" w:eastAsia="宋体" w:hAnsi="Arial" w:cs="Arial"/>
                <w:color w:val="000000"/>
                <w:sz w:val="14"/>
                <w:szCs w:val="14"/>
              </w:rPr>
              <w:t>502 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AF89" w14:textId="77777777" w:rsidR="00E836FB" w:rsidRDefault="00E836FB">
            <w:pPr>
              <w:jc w:val="right"/>
              <w:rPr>
                <w:rFonts w:ascii="宋体"/>
              </w:rPr>
            </w:pPr>
          </w:p>
        </w:tc>
        <w:tc>
          <w:tcPr>
            <w:tcW w:w="0" w:type="auto"/>
            <w:shd w:val="clear" w:color="auto" w:fill="auto"/>
            <w:vAlign w:val="bottom"/>
          </w:tcPr>
          <w:p w14:paraId="5F2CAF8A" w14:textId="77777777" w:rsidR="00E836FB" w:rsidRDefault="00E836FB">
            <w:pPr>
              <w:rPr>
                <w:rFonts w:ascii="宋体"/>
                <w:vanish/>
              </w:rPr>
            </w:pPr>
          </w:p>
        </w:tc>
      </w:tr>
      <w:tr w:rsidR="00E836FB" w14:paraId="5F2CAF99" w14:textId="77777777">
        <w:trPr>
          <w:hidden/>
        </w:trPr>
        <w:tc>
          <w:tcPr>
            <w:tcW w:w="0" w:type="auto"/>
            <w:gridSpan w:val="3"/>
            <w:shd w:val="clear" w:color="auto" w:fill="auto"/>
            <w:vAlign w:val="bottom"/>
          </w:tcPr>
          <w:p w14:paraId="5F2CAF8C" w14:textId="77777777" w:rsidR="00E836FB" w:rsidRDefault="00E836FB">
            <w:pPr>
              <w:rPr>
                <w:rFonts w:ascii="宋体"/>
                <w:vanish/>
              </w:rPr>
            </w:pPr>
          </w:p>
        </w:tc>
        <w:tc>
          <w:tcPr>
            <w:tcW w:w="0" w:type="auto"/>
            <w:gridSpan w:val="3"/>
            <w:shd w:val="clear" w:color="auto" w:fill="auto"/>
            <w:vAlign w:val="bottom"/>
          </w:tcPr>
          <w:p w14:paraId="5F2CAF8D" w14:textId="77777777" w:rsidR="00E836FB" w:rsidRDefault="00E836FB">
            <w:pPr>
              <w:rPr>
                <w:rFonts w:ascii="宋体"/>
                <w:vanish/>
              </w:rPr>
            </w:pPr>
          </w:p>
        </w:tc>
        <w:tc>
          <w:tcPr>
            <w:tcW w:w="0" w:type="auto"/>
            <w:gridSpan w:val="3"/>
            <w:shd w:val="clear" w:color="auto" w:fill="auto"/>
            <w:vAlign w:val="bottom"/>
          </w:tcPr>
          <w:p w14:paraId="5F2CAF8E" w14:textId="77777777" w:rsidR="00E836FB" w:rsidRDefault="00E836FB">
            <w:pPr>
              <w:rPr>
                <w:rFonts w:ascii="宋体"/>
                <w:vanish/>
              </w:rPr>
            </w:pPr>
          </w:p>
        </w:tc>
        <w:tc>
          <w:tcPr>
            <w:tcW w:w="0" w:type="auto"/>
            <w:gridSpan w:val="3"/>
            <w:shd w:val="clear" w:color="auto" w:fill="auto"/>
            <w:vAlign w:val="bottom"/>
          </w:tcPr>
          <w:p w14:paraId="5F2CAF8F" w14:textId="77777777" w:rsidR="00E836FB" w:rsidRDefault="00E836FB">
            <w:pPr>
              <w:rPr>
                <w:rFonts w:ascii="宋体"/>
                <w:vanish/>
              </w:rPr>
            </w:pPr>
          </w:p>
        </w:tc>
        <w:tc>
          <w:tcPr>
            <w:tcW w:w="0" w:type="auto"/>
            <w:gridSpan w:val="3"/>
            <w:shd w:val="clear" w:color="auto" w:fill="auto"/>
            <w:vAlign w:val="bottom"/>
          </w:tcPr>
          <w:p w14:paraId="5F2CAF90" w14:textId="77777777" w:rsidR="00E836FB" w:rsidRDefault="00E836FB">
            <w:pPr>
              <w:rPr>
                <w:rFonts w:ascii="宋体"/>
                <w:vanish/>
              </w:rPr>
            </w:pPr>
          </w:p>
        </w:tc>
        <w:tc>
          <w:tcPr>
            <w:tcW w:w="0" w:type="auto"/>
            <w:gridSpan w:val="3"/>
            <w:shd w:val="clear" w:color="auto" w:fill="auto"/>
            <w:vAlign w:val="bottom"/>
          </w:tcPr>
          <w:p w14:paraId="5F2CAF91" w14:textId="77777777" w:rsidR="00E836FB" w:rsidRDefault="00E836FB">
            <w:pPr>
              <w:rPr>
                <w:rFonts w:ascii="宋体"/>
                <w:vanish/>
              </w:rPr>
            </w:pPr>
          </w:p>
        </w:tc>
        <w:tc>
          <w:tcPr>
            <w:tcW w:w="0" w:type="auto"/>
            <w:gridSpan w:val="3"/>
            <w:shd w:val="clear" w:color="auto" w:fill="auto"/>
            <w:vAlign w:val="bottom"/>
          </w:tcPr>
          <w:p w14:paraId="5F2CAF92" w14:textId="77777777" w:rsidR="00E836FB" w:rsidRDefault="00E836FB">
            <w:pPr>
              <w:rPr>
                <w:rFonts w:ascii="宋体"/>
                <w:vanish/>
              </w:rPr>
            </w:pPr>
          </w:p>
        </w:tc>
        <w:tc>
          <w:tcPr>
            <w:tcW w:w="0" w:type="auto"/>
            <w:gridSpan w:val="3"/>
            <w:shd w:val="clear" w:color="auto" w:fill="auto"/>
            <w:vAlign w:val="bottom"/>
          </w:tcPr>
          <w:p w14:paraId="5F2CAF93" w14:textId="77777777" w:rsidR="00E836FB" w:rsidRDefault="00E836FB">
            <w:pPr>
              <w:rPr>
                <w:rFonts w:ascii="宋体"/>
                <w:vanish/>
              </w:rPr>
            </w:pPr>
          </w:p>
        </w:tc>
        <w:tc>
          <w:tcPr>
            <w:tcW w:w="0" w:type="auto"/>
            <w:gridSpan w:val="3"/>
            <w:shd w:val="clear" w:color="auto" w:fill="auto"/>
            <w:vAlign w:val="bottom"/>
          </w:tcPr>
          <w:p w14:paraId="5F2CAF94" w14:textId="77777777" w:rsidR="00E836FB" w:rsidRDefault="00E836FB">
            <w:pPr>
              <w:rPr>
                <w:rFonts w:ascii="宋体"/>
                <w:vanish/>
              </w:rPr>
            </w:pPr>
          </w:p>
        </w:tc>
        <w:tc>
          <w:tcPr>
            <w:tcW w:w="0" w:type="auto"/>
            <w:gridSpan w:val="3"/>
            <w:shd w:val="clear" w:color="auto" w:fill="auto"/>
            <w:vAlign w:val="bottom"/>
          </w:tcPr>
          <w:p w14:paraId="5F2CAF95" w14:textId="77777777" w:rsidR="00E836FB" w:rsidRDefault="00E836FB">
            <w:pPr>
              <w:rPr>
                <w:rFonts w:ascii="宋体"/>
                <w:vanish/>
              </w:rPr>
            </w:pPr>
          </w:p>
        </w:tc>
        <w:tc>
          <w:tcPr>
            <w:tcW w:w="0" w:type="auto"/>
            <w:gridSpan w:val="3"/>
            <w:shd w:val="clear" w:color="auto" w:fill="auto"/>
            <w:vAlign w:val="bottom"/>
          </w:tcPr>
          <w:p w14:paraId="5F2CAF96" w14:textId="77777777" w:rsidR="00E836FB" w:rsidRDefault="00E836FB">
            <w:pPr>
              <w:rPr>
                <w:rFonts w:ascii="宋体"/>
                <w:vanish/>
              </w:rPr>
            </w:pPr>
          </w:p>
        </w:tc>
        <w:tc>
          <w:tcPr>
            <w:tcW w:w="0" w:type="auto"/>
            <w:gridSpan w:val="3"/>
            <w:shd w:val="clear" w:color="auto" w:fill="auto"/>
            <w:vAlign w:val="bottom"/>
          </w:tcPr>
          <w:p w14:paraId="5F2CAF97" w14:textId="77777777" w:rsidR="00E836FB" w:rsidRDefault="00E836FB">
            <w:pPr>
              <w:rPr>
                <w:rFonts w:ascii="宋体"/>
                <w:vanish/>
              </w:rPr>
            </w:pPr>
          </w:p>
        </w:tc>
        <w:tc>
          <w:tcPr>
            <w:tcW w:w="0" w:type="auto"/>
            <w:shd w:val="clear" w:color="auto" w:fill="auto"/>
            <w:vAlign w:val="bottom"/>
          </w:tcPr>
          <w:p w14:paraId="5F2CAF98" w14:textId="77777777" w:rsidR="00E836FB" w:rsidRDefault="00E836FB">
            <w:pPr>
              <w:rPr>
                <w:rFonts w:ascii="宋体"/>
                <w:vanish/>
              </w:rPr>
            </w:pPr>
          </w:p>
        </w:tc>
      </w:tr>
      <w:tr w:rsidR="00E836FB" w14:paraId="5F2CAFB3" w14:textId="77777777">
        <w:tc>
          <w:tcPr>
            <w:tcW w:w="0" w:type="auto"/>
            <w:gridSpan w:val="3"/>
            <w:shd w:val="clear" w:color="auto" w:fill="CCEEFF"/>
            <w:tcMar>
              <w:top w:w="40" w:type="dxa"/>
              <w:left w:w="20" w:type="dxa"/>
              <w:bottom w:w="40" w:type="dxa"/>
              <w:right w:w="20" w:type="dxa"/>
            </w:tcMar>
            <w:vAlign w:val="bottom"/>
          </w:tcPr>
          <w:p w14:paraId="5F2CAF9A" w14:textId="77777777" w:rsidR="00E836FB" w:rsidRDefault="00994958">
            <w:pPr>
              <w:textAlignment w:val="bottom"/>
            </w:pPr>
            <w:r>
              <w:rPr>
                <w:rFonts w:ascii="Arial" w:eastAsia="宋体" w:hAnsi="Arial" w:cs="Arial"/>
                <w:b/>
                <w:bCs/>
                <w:color w:val="000000"/>
                <w:sz w:val="14"/>
                <w:szCs w:val="14"/>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AF9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F9C" w14:textId="77777777" w:rsidR="00E836FB" w:rsidRDefault="00994958">
            <w:pPr>
              <w:jc w:val="right"/>
              <w:textAlignment w:val="bottom"/>
            </w:pPr>
            <w:r>
              <w:rPr>
                <w:rFonts w:ascii="Arial" w:eastAsia="宋体" w:hAnsi="Arial" w:cs="Arial"/>
                <w:color w:val="000000"/>
                <w:sz w:val="14"/>
                <w:szCs w:val="14"/>
              </w:rPr>
              <w:t>1,990 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9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F9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FA0" w14:textId="77777777" w:rsidR="00E836FB" w:rsidRDefault="00994958">
            <w:pPr>
              <w:jc w:val="right"/>
              <w:textAlignment w:val="bottom"/>
            </w:pPr>
            <w:r>
              <w:rPr>
                <w:rFonts w:ascii="Arial" w:eastAsia="宋体" w:hAnsi="Arial" w:cs="Arial"/>
                <w:color w:val="000000"/>
                <w:sz w:val="14"/>
                <w:szCs w:val="14"/>
              </w:rPr>
              <w:t>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A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FA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FA4" w14:textId="77777777" w:rsidR="00E836FB" w:rsidRDefault="00994958">
            <w:pPr>
              <w:jc w:val="right"/>
              <w:textAlignment w:val="bottom"/>
            </w:pPr>
            <w:r>
              <w:rPr>
                <w:rFonts w:ascii="Arial" w:eastAsia="宋体" w:hAnsi="Arial" w:cs="Arial"/>
                <w:color w:val="000000"/>
                <w:sz w:val="14"/>
                <w:szCs w:val="14"/>
              </w:rPr>
              <w:t>317 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A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FA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FA8" w14:textId="77777777" w:rsidR="00E836FB" w:rsidRDefault="00994958">
            <w:pPr>
              <w:jc w:val="right"/>
              <w:textAlignment w:val="bottom"/>
            </w:pPr>
            <w:r>
              <w:rPr>
                <w:rFonts w:ascii="Arial" w:eastAsia="宋体" w:hAnsi="Arial" w:cs="Arial"/>
                <w:color w:val="000000"/>
                <w:sz w:val="14"/>
                <w:szCs w:val="14"/>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A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FA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FAC" w14:textId="77777777" w:rsidR="00E836FB" w:rsidRDefault="00994958">
            <w:pPr>
              <w:jc w:val="right"/>
              <w:textAlignment w:val="bottom"/>
            </w:pPr>
            <w:r>
              <w:rPr>
                <w:rFonts w:ascii="Arial" w:eastAsia="宋体" w:hAnsi="Arial" w:cs="Arial"/>
                <w:color w:val="000000"/>
                <w:sz w:val="14"/>
                <w:szCs w:val="14"/>
              </w:rPr>
              <w:t>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A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AFA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AFB0" w14:textId="77777777" w:rsidR="00E836FB" w:rsidRDefault="00994958">
            <w:pPr>
              <w:jc w:val="right"/>
              <w:textAlignment w:val="bottom"/>
            </w:pPr>
            <w:r>
              <w:rPr>
                <w:rFonts w:ascii="Arial" w:eastAsia="宋体" w:hAnsi="Arial" w:cs="Arial"/>
                <w:color w:val="000000"/>
                <w:sz w:val="14"/>
                <w:szCs w:val="14"/>
              </w:rPr>
              <w:t>3,116 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B1" w14:textId="77777777" w:rsidR="00E836FB" w:rsidRDefault="00E836FB">
            <w:pPr>
              <w:jc w:val="right"/>
              <w:rPr>
                <w:rFonts w:ascii="宋体"/>
              </w:rPr>
            </w:pPr>
          </w:p>
        </w:tc>
        <w:tc>
          <w:tcPr>
            <w:tcW w:w="0" w:type="auto"/>
            <w:shd w:val="clear" w:color="auto" w:fill="auto"/>
            <w:vAlign w:val="bottom"/>
          </w:tcPr>
          <w:p w14:paraId="5F2CAFB2" w14:textId="77777777" w:rsidR="00E836FB" w:rsidRDefault="00E836FB">
            <w:pPr>
              <w:rPr>
                <w:rFonts w:ascii="宋体"/>
                <w:vanish/>
              </w:rPr>
            </w:pPr>
          </w:p>
        </w:tc>
      </w:tr>
      <w:tr w:rsidR="00E836FB" w14:paraId="5F2CAFC7" w14:textId="77777777">
        <w:tc>
          <w:tcPr>
            <w:tcW w:w="0" w:type="auto"/>
            <w:gridSpan w:val="3"/>
            <w:shd w:val="clear" w:color="auto" w:fill="auto"/>
            <w:tcMar>
              <w:top w:w="40" w:type="dxa"/>
              <w:left w:w="20" w:type="dxa"/>
              <w:bottom w:w="40" w:type="dxa"/>
              <w:right w:w="20" w:type="dxa"/>
            </w:tcMar>
            <w:vAlign w:val="bottom"/>
          </w:tcPr>
          <w:p w14:paraId="5F2CAFB4" w14:textId="77777777" w:rsidR="00E836FB" w:rsidRDefault="00994958">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F2CAFB5" w14:textId="77777777" w:rsidR="00E836FB" w:rsidRDefault="00994958">
            <w:pPr>
              <w:jc w:val="right"/>
              <w:textAlignment w:val="bottom"/>
            </w:pPr>
            <w:r>
              <w:rPr>
                <w:rFonts w:ascii="Arial" w:eastAsia="宋体" w:hAnsi="Arial" w:cs="Arial"/>
                <w:color w:val="000000"/>
                <w:sz w:val="14"/>
                <w:szCs w:val="14"/>
              </w:rPr>
              <w:t>(101)</w:t>
            </w:r>
          </w:p>
        </w:tc>
        <w:tc>
          <w:tcPr>
            <w:tcW w:w="0" w:type="auto"/>
            <w:shd w:val="clear" w:color="auto" w:fill="FFFFFF"/>
            <w:tcMar>
              <w:top w:w="40" w:type="dxa"/>
              <w:left w:w="0" w:type="dxa"/>
              <w:bottom w:w="40" w:type="dxa"/>
              <w:right w:w="20" w:type="dxa"/>
            </w:tcMar>
            <w:vAlign w:val="bottom"/>
          </w:tcPr>
          <w:p w14:paraId="5F2CAF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B8"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CAF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BB"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AF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BE" w14:textId="77777777" w:rsidR="00E836FB" w:rsidRDefault="00994958">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5F2CAF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C1" w14:textId="77777777" w:rsidR="00E836FB" w:rsidRDefault="00994958">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5F2CAF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C4" w14:textId="77777777" w:rsidR="00E836FB" w:rsidRDefault="00994958">
            <w:pPr>
              <w:jc w:val="right"/>
              <w:textAlignment w:val="bottom"/>
            </w:pPr>
            <w:r>
              <w:rPr>
                <w:rFonts w:ascii="Arial" w:eastAsia="宋体" w:hAnsi="Arial" w:cs="Arial"/>
                <w:color w:val="000000"/>
                <w:sz w:val="14"/>
                <w:szCs w:val="14"/>
              </w:rPr>
              <w:t>(100)</w:t>
            </w:r>
          </w:p>
        </w:tc>
        <w:tc>
          <w:tcPr>
            <w:tcW w:w="0" w:type="auto"/>
            <w:shd w:val="clear" w:color="auto" w:fill="FFFFFF"/>
            <w:tcMar>
              <w:top w:w="40" w:type="dxa"/>
              <w:left w:w="0" w:type="dxa"/>
              <w:bottom w:w="40" w:type="dxa"/>
              <w:right w:w="20" w:type="dxa"/>
            </w:tcMar>
            <w:vAlign w:val="bottom"/>
          </w:tcPr>
          <w:p w14:paraId="5F2CAFC5" w14:textId="77777777" w:rsidR="00E836FB" w:rsidRDefault="00E836FB">
            <w:pPr>
              <w:jc w:val="right"/>
              <w:rPr>
                <w:rFonts w:ascii="宋体"/>
              </w:rPr>
            </w:pPr>
          </w:p>
        </w:tc>
        <w:tc>
          <w:tcPr>
            <w:tcW w:w="0" w:type="auto"/>
            <w:shd w:val="clear" w:color="auto" w:fill="auto"/>
            <w:vAlign w:val="bottom"/>
          </w:tcPr>
          <w:p w14:paraId="5F2CAFC6" w14:textId="77777777" w:rsidR="00E836FB" w:rsidRDefault="00E836FB">
            <w:pPr>
              <w:rPr>
                <w:rFonts w:ascii="宋体"/>
                <w:vanish/>
              </w:rPr>
            </w:pPr>
          </w:p>
        </w:tc>
      </w:tr>
      <w:tr w:rsidR="00E836FB" w14:paraId="5F2CAFDB" w14:textId="77777777">
        <w:tc>
          <w:tcPr>
            <w:tcW w:w="0" w:type="auto"/>
            <w:gridSpan w:val="3"/>
            <w:shd w:val="clear" w:color="auto" w:fill="CCEEFF"/>
            <w:tcMar>
              <w:top w:w="40" w:type="dxa"/>
              <w:left w:w="20" w:type="dxa"/>
              <w:bottom w:w="40" w:type="dxa"/>
              <w:right w:w="20" w:type="dxa"/>
            </w:tcMar>
            <w:vAlign w:val="bottom"/>
          </w:tcPr>
          <w:p w14:paraId="5F2CAFC8" w14:textId="77777777" w:rsidR="00E836FB" w:rsidRDefault="00994958">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5F2CAFC9" w14:textId="77777777" w:rsidR="00E836FB" w:rsidRDefault="00994958">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F2CAF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CC" w14:textId="77777777" w:rsidR="00E836FB" w:rsidRDefault="00994958">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5F2CAF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C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C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F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D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AF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D5" w14:textId="77777777" w:rsidR="00E836FB" w:rsidRDefault="00994958">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5F2CAF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D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AFD8" w14:textId="77777777" w:rsidR="00E836FB" w:rsidRDefault="00994958">
            <w:pPr>
              <w:jc w:val="right"/>
              <w:textAlignment w:val="bottom"/>
            </w:pPr>
            <w:r>
              <w:rPr>
                <w:rFonts w:ascii="Arial" w:eastAsia="宋体" w:hAnsi="Arial" w:cs="Arial"/>
                <w:color w:val="000000"/>
                <w:sz w:val="14"/>
                <w:szCs w:val="14"/>
              </w:rPr>
              <w:t>44 </w:t>
            </w:r>
          </w:p>
        </w:tc>
        <w:tc>
          <w:tcPr>
            <w:tcW w:w="0" w:type="auto"/>
            <w:shd w:val="clear" w:color="auto" w:fill="CCEEFF"/>
            <w:tcMar>
              <w:top w:w="40" w:type="dxa"/>
              <w:left w:w="0" w:type="dxa"/>
              <w:bottom w:w="40" w:type="dxa"/>
              <w:right w:w="20" w:type="dxa"/>
            </w:tcMar>
            <w:vAlign w:val="bottom"/>
          </w:tcPr>
          <w:p w14:paraId="5F2CAFD9" w14:textId="77777777" w:rsidR="00E836FB" w:rsidRDefault="00E836FB">
            <w:pPr>
              <w:jc w:val="right"/>
              <w:rPr>
                <w:rFonts w:ascii="宋体"/>
              </w:rPr>
            </w:pPr>
          </w:p>
        </w:tc>
        <w:tc>
          <w:tcPr>
            <w:tcW w:w="0" w:type="auto"/>
            <w:shd w:val="clear" w:color="auto" w:fill="auto"/>
            <w:vAlign w:val="bottom"/>
          </w:tcPr>
          <w:p w14:paraId="5F2CAFDA" w14:textId="77777777" w:rsidR="00E836FB" w:rsidRDefault="00E836FB">
            <w:pPr>
              <w:rPr>
                <w:rFonts w:ascii="宋体"/>
                <w:vanish/>
              </w:rPr>
            </w:pPr>
          </w:p>
        </w:tc>
      </w:tr>
      <w:tr w:rsidR="00E836FB" w14:paraId="5F2CAFEF" w14:textId="77777777">
        <w:tc>
          <w:tcPr>
            <w:tcW w:w="0" w:type="auto"/>
            <w:gridSpan w:val="3"/>
            <w:shd w:val="clear" w:color="auto" w:fill="auto"/>
            <w:tcMar>
              <w:top w:w="40" w:type="dxa"/>
              <w:left w:w="20" w:type="dxa"/>
              <w:bottom w:w="40" w:type="dxa"/>
              <w:right w:w="20" w:type="dxa"/>
            </w:tcMar>
            <w:vAlign w:val="bottom"/>
          </w:tcPr>
          <w:p w14:paraId="5F2CAFDC" w14:textId="77777777" w:rsidR="00E836FB" w:rsidRDefault="00994958">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5F2CAFD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D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E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E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E3" w14:textId="77777777" w:rsidR="00E836FB" w:rsidRDefault="00994958">
            <w:pPr>
              <w:jc w:val="right"/>
              <w:textAlignment w:val="bottom"/>
            </w:pPr>
            <w:r>
              <w:rPr>
                <w:rFonts w:ascii="Arial" w:eastAsia="宋体" w:hAnsi="Arial" w:cs="Arial"/>
                <w:color w:val="000000"/>
                <w:sz w:val="14"/>
                <w:szCs w:val="14"/>
              </w:rPr>
              <w:t>32 </w:t>
            </w:r>
          </w:p>
        </w:tc>
        <w:tc>
          <w:tcPr>
            <w:tcW w:w="0" w:type="auto"/>
            <w:shd w:val="clear" w:color="auto" w:fill="FFFFFF"/>
            <w:tcMar>
              <w:top w:w="40" w:type="dxa"/>
              <w:left w:w="0" w:type="dxa"/>
              <w:bottom w:w="40" w:type="dxa"/>
              <w:right w:w="20" w:type="dxa"/>
            </w:tcMar>
            <w:vAlign w:val="bottom"/>
          </w:tcPr>
          <w:p w14:paraId="5F2CAFE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E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E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E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AF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AFE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AFEC" w14:textId="77777777" w:rsidR="00E836FB" w:rsidRDefault="00994958">
            <w:pPr>
              <w:jc w:val="right"/>
              <w:textAlignment w:val="bottom"/>
            </w:pPr>
            <w:r>
              <w:rPr>
                <w:rFonts w:ascii="Arial" w:eastAsia="宋体" w:hAnsi="Arial" w:cs="Arial"/>
                <w:color w:val="000000"/>
                <w:sz w:val="14"/>
                <w:szCs w:val="14"/>
              </w:rPr>
              <w:t>32 </w:t>
            </w:r>
          </w:p>
        </w:tc>
        <w:tc>
          <w:tcPr>
            <w:tcW w:w="0" w:type="auto"/>
            <w:shd w:val="clear" w:color="auto" w:fill="FFFFFF"/>
            <w:tcMar>
              <w:top w:w="40" w:type="dxa"/>
              <w:left w:w="0" w:type="dxa"/>
              <w:bottom w:w="40" w:type="dxa"/>
              <w:right w:w="20" w:type="dxa"/>
            </w:tcMar>
            <w:vAlign w:val="bottom"/>
          </w:tcPr>
          <w:p w14:paraId="5F2CAFED" w14:textId="77777777" w:rsidR="00E836FB" w:rsidRDefault="00E836FB">
            <w:pPr>
              <w:jc w:val="right"/>
              <w:rPr>
                <w:rFonts w:ascii="宋体"/>
              </w:rPr>
            </w:pPr>
          </w:p>
        </w:tc>
        <w:tc>
          <w:tcPr>
            <w:tcW w:w="0" w:type="auto"/>
            <w:shd w:val="clear" w:color="auto" w:fill="auto"/>
            <w:vAlign w:val="bottom"/>
          </w:tcPr>
          <w:p w14:paraId="5F2CAFEE" w14:textId="77777777" w:rsidR="00E836FB" w:rsidRDefault="00E836FB">
            <w:pPr>
              <w:rPr>
                <w:rFonts w:ascii="宋体"/>
                <w:vanish/>
              </w:rPr>
            </w:pPr>
          </w:p>
        </w:tc>
      </w:tr>
      <w:tr w:rsidR="00E836FB" w14:paraId="5F2CB003" w14:textId="77777777">
        <w:tc>
          <w:tcPr>
            <w:tcW w:w="0" w:type="auto"/>
            <w:gridSpan w:val="3"/>
            <w:shd w:val="clear" w:color="auto" w:fill="CCEEFF"/>
            <w:tcMar>
              <w:top w:w="40" w:type="dxa"/>
              <w:left w:w="20" w:type="dxa"/>
              <w:bottom w:w="40" w:type="dxa"/>
              <w:right w:w="20" w:type="dxa"/>
            </w:tcMar>
            <w:vAlign w:val="bottom"/>
          </w:tcPr>
          <w:p w14:paraId="5F2CAFF0" w14:textId="77777777" w:rsidR="00E836FB" w:rsidRDefault="00994958">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F1" w14:textId="77777777" w:rsidR="00E836FB" w:rsidRDefault="00994958">
            <w:pPr>
              <w:jc w:val="right"/>
              <w:textAlignment w:val="bottom"/>
            </w:pPr>
            <w:r>
              <w:rPr>
                <w:rFonts w:ascii="Arial" w:eastAsia="宋体" w:hAnsi="Arial" w:cs="Arial"/>
                <w:color w:val="000000"/>
                <w:sz w:val="14"/>
                <w:szCs w:val="14"/>
              </w:rPr>
              <w:t>(89)</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F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F4" w14:textId="77777777" w:rsidR="00E836FB" w:rsidRDefault="00994958">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F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F7" w14:textId="77777777" w:rsidR="00E836FB" w:rsidRDefault="00994958">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F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FA" w14:textId="77777777" w:rsidR="00E836FB" w:rsidRDefault="00994958">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F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AFFD" w14:textId="77777777" w:rsidR="00E836FB" w:rsidRDefault="00994958">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AF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AFF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000" w14:textId="77777777" w:rsidR="00E836FB" w:rsidRDefault="00994958">
            <w:pPr>
              <w:jc w:val="right"/>
              <w:textAlignment w:val="bottom"/>
            </w:pPr>
            <w:r>
              <w:rPr>
                <w:rFonts w:ascii="Arial" w:eastAsia="宋体" w:hAnsi="Arial" w:cs="Arial"/>
                <w:color w:val="000000"/>
                <w:sz w:val="14"/>
                <w:szCs w:val="14"/>
              </w:rPr>
              <w:t>(24)</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01" w14:textId="77777777" w:rsidR="00E836FB" w:rsidRDefault="00E836FB">
            <w:pPr>
              <w:jc w:val="right"/>
              <w:rPr>
                <w:rFonts w:ascii="宋体"/>
              </w:rPr>
            </w:pPr>
          </w:p>
        </w:tc>
        <w:tc>
          <w:tcPr>
            <w:tcW w:w="0" w:type="auto"/>
            <w:shd w:val="clear" w:color="auto" w:fill="auto"/>
            <w:vAlign w:val="bottom"/>
          </w:tcPr>
          <w:p w14:paraId="5F2CB002" w14:textId="77777777" w:rsidR="00E836FB" w:rsidRDefault="00E836FB">
            <w:pPr>
              <w:rPr>
                <w:rFonts w:ascii="宋体"/>
                <w:vanish/>
              </w:rPr>
            </w:pPr>
          </w:p>
        </w:tc>
      </w:tr>
      <w:tr w:rsidR="00E836FB" w14:paraId="5F2CB017" w14:textId="77777777">
        <w:tc>
          <w:tcPr>
            <w:tcW w:w="0" w:type="auto"/>
            <w:gridSpan w:val="3"/>
            <w:shd w:val="clear" w:color="auto" w:fill="auto"/>
            <w:tcMar>
              <w:top w:w="40" w:type="dxa"/>
              <w:left w:w="20" w:type="dxa"/>
              <w:bottom w:w="40" w:type="dxa"/>
              <w:right w:w="20" w:type="dxa"/>
            </w:tcMar>
            <w:vAlign w:val="bottom"/>
          </w:tcPr>
          <w:p w14:paraId="5F2CB004" w14:textId="77777777" w:rsidR="00E836FB" w:rsidRDefault="00994958">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5F2CB005" w14:textId="77777777" w:rsidR="00E836FB" w:rsidRDefault="00994958">
            <w:pPr>
              <w:jc w:val="right"/>
              <w:textAlignment w:val="bottom"/>
            </w:pPr>
            <w:r>
              <w:rPr>
                <w:rFonts w:ascii="Arial" w:eastAsia="宋体" w:hAnsi="Arial" w:cs="Arial"/>
                <w:color w:val="000000"/>
                <w:sz w:val="14"/>
                <w:szCs w:val="14"/>
              </w:rPr>
              <w:t>241 </w:t>
            </w:r>
          </w:p>
        </w:tc>
        <w:tc>
          <w:tcPr>
            <w:tcW w:w="0" w:type="auto"/>
            <w:shd w:val="clear" w:color="auto" w:fill="FFFFFF"/>
            <w:tcMar>
              <w:top w:w="40" w:type="dxa"/>
              <w:left w:w="0" w:type="dxa"/>
              <w:bottom w:w="40" w:type="dxa"/>
              <w:right w:w="20" w:type="dxa"/>
            </w:tcMar>
            <w:vAlign w:val="bottom"/>
          </w:tcPr>
          <w:p w14:paraId="5F2CB00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0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08" w14:textId="77777777" w:rsidR="00E836FB" w:rsidRDefault="00994958">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F2CB0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0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0B"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B0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0E"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5F2CB0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11" w14:textId="77777777" w:rsidR="00E836FB" w:rsidRDefault="00994958">
            <w:pPr>
              <w:jc w:val="right"/>
              <w:textAlignment w:val="bottom"/>
            </w:pPr>
            <w:r>
              <w:rPr>
                <w:rFonts w:ascii="Arial" w:eastAsia="宋体" w:hAnsi="Arial" w:cs="Arial"/>
                <w:color w:val="000000"/>
                <w:sz w:val="14"/>
                <w:szCs w:val="14"/>
              </w:rPr>
              <w:t>30 </w:t>
            </w:r>
          </w:p>
        </w:tc>
        <w:tc>
          <w:tcPr>
            <w:tcW w:w="0" w:type="auto"/>
            <w:shd w:val="clear" w:color="auto" w:fill="FFFFFF"/>
            <w:tcMar>
              <w:top w:w="40" w:type="dxa"/>
              <w:left w:w="0" w:type="dxa"/>
              <w:bottom w:w="40" w:type="dxa"/>
              <w:right w:w="20" w:type="dxa"/>
            </w:tcMar>
            <w:vAlign w:val="bottom"/>
          </w:tcPr>
          <w:p w14:paraId="5F2CB0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14" w14:textId="77777777" w:rsidR="00E836FB" w:rsidRDefault="00994958">
            <w:pPr>
              <w:jc w:val="right"/>
              <w:textAlignment w:val="bottom"/>
            </w:pPr>
            <w:r>
              <w:rPr>
                <w:rFonts w:ascii="Arial" w:eastAsia="宋体" w:hAnsi="Arial" w:cs="Arial"/>
                <w:color w:val="000000"/>
                <w:sz w:val="14"/>
                <w:szCs w:val="14"/>
              </w:rPr>
              <w:t>330 </w:t>
            </w:r>
          </w:p>
        </w:tc>
        <w:tc>
          <w:tcPr>
            <w:tcW w:w="0" w:type="auto"/>
            <w:shd w:val="clear" w:color="auto" w:fill="FFFFFF"/>
            <w:tcMar>
              <w:top w:w="40" w:type="dxa"/>
              <w:left w:w="0" w:type="dxa"/>
              <w:bottom w:w="40" w:type="dxa"/>
              <w:right w:w="20" w:type="dxa"/>
            </w:tcMar>
            <w:vAlign w:val="bottom"/>
          </w:tcPr>
          <w:p w14:paraId="5F2CB015" w14:textId="77777777" w:rsidR="00E836FB" w:rsidRDefault="00E836FB">
            <w:pPr>
              <w:jc w:val="right"/>
              <w:rPr>
                <w:rFonts w:ascii="宋体"/>
              </w:rPr>
            </w:pPr>
          </w:p>
        </w:tc>
        <w:tc>
          <w:tcPr>
            <w:tcW w:w="0" w:type="auto"/>
            <w:shd w:val="clear" w:color="auto" w:fill="auto"/>
            <w:vAlign w:val="bottom"/>
          </w:tcPr>
          <w:p w14:paraId="5F2CB016" w14:textId="77777777" w:rsidR="00E836FB" w:rsidRDefault="00E836FB">
            <w:pPr>
              <w:rPr>
                <w:rFonts w:ascii="宋体"/>
                <w:vanish/>
              </w:rPr>
            </w:pPr>
          </w:p>
        </w:tc>
      </w:tr>
      <w:tr w:rsidR="00E836FB" w14:paraId="5F2CB02B" w14:textId="77777777">
        <w:tc>
          <w:tcPr>
            <w:tcW w:w="0" w:type="auto"/>
            <w:gridSpan w:val="3"/>
            <w:shd w:val="clear" w:color="auto" w:fill="CCEEFF"/>
            <w:tcMar>
              <w:top w:w="40" w:type="dxa"/>
              <w:left w:w="20" w:type="dxa"/>
              <w:bottom w:w="40" w:type="dxa"/>
              <w:right w:w="20" w:type="dxa"/>
            </w:tcMar>
            <w:vAlign w:val="bottom"/>
          </w:tcPr>
          <w:p w14:paraId="5F2CB018" w14:textId="77777777" w:rsidR="00E836FB" w:rsidRDefault="00994958">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5F2CB019" w14:textId="77777777" w:rsidR="00E836FB" w:rsidRDefault="00994958">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5F2CB0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1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1C" w14:textId="77777777" w:rsidR="00E836FB" w:rsidRDefault="00994958">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5F2CB01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1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1F"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CB0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2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22"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CB0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2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25"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F2CB0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2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28" w14:textId="77777777" w:rsidR="00E836FB" w:rsidRDefault="00994958">
            <w:pPr>
              <w:jc w:val="right"/>
              <w:textAlignment w:val="bottom"/>
            </w:pPr>
            <w:r>
              <w:rPr>
                <w:rFonts w:ascii="Arial" w:eastAsia="宋体" w:hAnsi="Arial" w:cs="Arial"/>
                <w:color w:val="000000"/>
                <w:sz w:val="14"/>
                <w:szCs w:val="14"/>
              </w:rPr>
              <w:t>45 </w:t>
            </w:r>
          </w:p>
        </w:tc>
        <w:tc>
          <w:tcPr>
            <w:tcW w:w="0" w:type="auto"/>
            <w:shd w:val="clear" w:color="auto" w:fill="CCEEFF"/>
            <w:tcMar>
              <w:top w:w="40" w:type="dxa"/>
              <w:left w:w="0" w:type="dxa"/>
              <w:bottom w:w="40" w:type="dxa"/>
              <w:right w:w="20" w:type="dxa"/>
            </w:tcMar>
            <w:vAlign w:val="bottom"/>
          </w:tcPr>
          <w:p w14:paraId="5F2CB029" w14:textId="77777777" w:rsidR="00E836FB" w:rsidRDefault="00E836FB">
            <w:pPr>
              <w:jc w:val="right"/>
              <w:rPr>
                <w:rFonts w:ascii="宋体"/>
              </w:rPr>
            </w:pPr>
          </w:p>
        </w:tc>
        <w:tc>
          <w:tcPr>
            <w:tcW w:w="0" w:type="auto"/>
            <w:shd w:val="clear" w:color="auto" w:fill="auto"/>
            <w:vAlign w:val="bottom"/>
          </w:tcPr>
          <w:p w14:paraId="5F2CB02A" w14:textId="77777777" w:rsidR="00E836FB" w:rsidRDefault="00E836FB">
            <w:pPr>
              <w:rPr>
                <w:rFonts w:ascii="宋体"/>
                <w:vanish/>
              </w:rPr>
            </w:pPr>
          </w:p>
        </w:tc>
      </w:tr>
      <w:tr w:rsidR="00E836FB" w14:paraId="5F2CB03F" w14:textId="77777777">
        <w:tc>
          <w:tcPr>
            <w:tcW w:w="0" w:type="auto"/>
            <w:gridSpan w:val="3"/>
            <w:shd w:val="clear" w:color="auto" w:fill="auto"/>
            <w:tcMar>
              <w:top w:w="40" w:type="dxa"/>
              <w:left w:w="20" w:type="dxa"/>
              <w:bottom w:w="40" w:type="dxa"/>
              <w:right w:w="20" w:type="dxa"/>
            </w:tcMar>
            <w:vAlign w:val="bottom"/>
          </w:tcPr>
          <w:p w14:paraId="5F2CB02C" w14:textId="77777777" w:rsidR="00E836FB" w:rsidRDefault="00994958">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2D" w14:textId="77777777" w:rsidR="00E836FB" w:rsidRDefault="00994958">
            <w:pPr>
              <w:jc w:val="right"/>
              <w:textAlignment w:val="bottom"/>
            </w:pPr>
            <w:r>
              <w:rPr>
                <w:rFonts w:ascii="Arial" w:eastAsia="宋体" w:hAnsi="Arial" w:cs="Arial"/>
                <w:color w:val="000000"/>
                <w:sz w:val="14"/>
                <w:szCs w:val="14"/>
              </w:rPr>
              <w:t>270 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2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2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30" w14:textId="77777777" w:rsidR="00E836FB" w:rsidRDefault="00994958">
            <w:pPr>
              <w:jc w:val="right"/>
              <w:textAlignment w:val="bottom"/>
            </w:pPr>
            <w:r>
              <w:rPr>
                <w:rFonts w:ascii="Arial" w:eastAsia="宋体" w:hAnsi="Arial" w:cs="Arial"/>
                <w:color w:val="000000"/>
                <w:sz w:val="14"/>
                <w:szCs w:val="14"/>
              </w:rPr>
              <w:t>50 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3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33" w14:textId="77777777" w:rsidR="00E836FB" w:rsidRDefault="00994958">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3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36" w14:textId="77777777" w:rsidR="00E836FB" w:rsidRDefault="00994958">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3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39" w14:textId="77777777" w:rsidR="00E836FB" w:rsidRDefault="00994958">
            <w:pPr>
              <w:jc w:val="right"/>
              <w:textAlignment w:val="bottom"/>
            </w:pPr>
            <w:r>
              <w:rPr>
                <w:rFonts w:ascii="Arial" w:eastAsia="宋体" w:hAnsi="Arial" w:cs="Arial"/>
                <w:color w:val="000000"/>
                <w:sz w:val="14"/>
                <w:szCs w:val="14"/>
              </w:rPr>
              <w:t>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3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3C" w14:textId="77777777" w:rsidR="00E836FB" w:rsidRDefault="00994958">
            <w:pPr>
              <w:jc w:val="right"/>
              <w:textAlignment w:val="bottom"/>
            </w:pPr>
            <w:r>
              <w:rPr>
                <w:rFonts w:ascii="Arial" w:eastAsia="宋体" w:hAnsi="Arial" w:cs="Arial"/>
                <w:color w:val="000000"/>
                <w:sz w:val="14"/>
                <w:szCs w:val="14"/>
              </w:rPr>
              <w:t>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3D" w14:textId="77777777" w:rsidR="00E836FB" w:rsidRDefault="00E836FB">
            <w:pPr>
              <w:jc w:val="right"/>
              <w:rPr>
                <w:rFonts w:ascii="宋体"/>
              </w:rPr>
            </w:pPr>
          </w:p>
        </w:tc>
        <w:tc>
          <w:tcPr>
            <w:tcW w:w="0" w:type="auto"/>
            <w:shd w:val="clear" w:color="auto" w:fill="auto"/>
            <w:vAlign w:val="bottom"/>
          </w:tcPr>
          <w:p w14:paraId="5F2CB03E" w14:textId="77777777" w:rsidR="00E836FB" w:rsidRDefault="00E836FB">
            <w:pPr>
              <w:rPr>
                <w:rFonts w:ascii="宋体"/>
                <w:vanish/>
              </w:rPr>
            </w:pPr>
          </w:p>
        </w:tc>
      </w:tr>
      <w:tr w:rsidR="00E836FB" w14:paraId="5F2CB059" w14:textId="77777777">
        <w:tc>
          <w:tcPr>
            <w:tcW w:w="0" w:type="auto"/>
            <w:gridSpan w:val="3"/>
            <w:shd w:val="clear" w:color="auto" w:fill="CCEEFF"/>
            <w:tcMar>
              <w:top w:w="40" w:type="dxa"/>
              <w:left w:w="20" w:type="dxa"/>
              <w:bottom w:w="40" w:type="dxa"/>
              <w:right w:w="20" w:type="dxa"/>
            </w:tcMar>
            <w:vAlign w:val="bottom"/>
          </w:tcPr>
          <w:p w14:paraId="5F2CB040" w14:textId="77777777" w:rsidR="00E836FB" w:rsidRDefault="00994958">
            <w:pPr>
              <w:textAlignment w:val="bottom"/>
            </w:pPr>
            <w:r>
              <w:rPr>
                <w:rFonts w:ascii="Arial" w:eastAsia="宋体" w:hAnsi="Arial" w:cs="Arial"/>
                <w:b/>
                <w:bCs/>
                <w:color w:val="000000"/>
                <w:sz w:val="14"/>
                <w:szCs w:val="14"/>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B04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042" w14:textId="77777777" w:rsidR="00E836FB" w:rsidRDefault="00994958">
            <w:pPr>
              <w:jc w:val="right"/>
              <w:textAlignment w:val="bottom"/>
            </w:pPr>
            <w:r>
              <w:rPr>
                <w:rFonts w:ascii="Arial" w:eastAsia="宋体" w:hAnsi="Arial" w:cs="Arial"/>
                <w:color w:val="000000"/>
                <w:sz w:val="14"/>
                <w:szCs w:val="14"/>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4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04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046" w14:textId="77777777" w:rsidR="00E836FB" w:rsidRDefault="00994958">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4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04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04A" w14:textId="77777777" w:rsidR="00E836FB" w:rsidRDefault="00994958">
            <w:pPr>
              <w:jc w:val="right"/>
              <w:textAlignment w:val="bottom"/>
            </w:pPr>
            <w:r>
              <w:rPr>
                <w:rFonts w:ascii="Arial" w:eastAsia="宋体" w:hAnsi="Arial" w:cs="Arial"/>
                <w:color w:val="000000"/>
                <w:sz w:val="14"/>
                <w:szCs w:val="14"/>
              </w:rPr>
              <w:t>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4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04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04E" w14:textId="77777777" w:rsidR="00E836FB" w:rsidRDefault="00994958">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5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05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052" w14:textId="77777777" w:rsidR="00E836FB" w:rsidRDefault="00994958">
            <w:pPr>
              <w:jc w:val="right"/>
              <w:textAlignment w:val="bottom"/>
            </w:pPr>
            <w:r>
              <w:rPr>
                <w:rFonts w:ascii="Arial" w:eastAsia="宋体" w:hAnsi="Arial" w:cs="Arial"/>
                <w:color w:val="000000"/>
                <w:sz w:val="14"/>
                <w:szCs w:val="14"/>
              </w:rPr>
              <w:t>212 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5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05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056" w14:textId="77777777" w:rsidR="00E836FB" w:rsidRDefault="00994958">
            <w:pPr>
              <w:jc w:val="right"/>
              <w:textAlignment w:val="bottom"/>
            </w:pPr>
            <w:r>
              <w:rPr>
                <w:rFonts w:ascii="Arial" w:eastAsia="宋体" w:hAnsi="Arial" w:cs="Arial"/>
                <w:color w:val="000000"/>
                <w:sz w:val="14"/>
                <w:szCs w:val="14"/>
              </w:rPr>
              <w:t>3,467 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57" w14:textId="77777777" w:rsidR="00E836FB" w:rsidRDefault="00E836FB">
            <w:pPr>
              <w:jc w:val="right"/>
              <w:rPr>
                <w:rFonts w:ascii="宋体"/>
              </w:rPr>
            </w:pPr>
          </w:p>
        </w:tc>
        <w:tc>
          <w:tcPr>
            <w:tcW w:w="0" w:type="auto"/>
            <w:shd w:val="clear" w:color="auto" w:fill="auto"/>
            <w:vAlign w:val="bottom"/>
          </w:tcPr>
          <w:p w14:paraId="5F2CB058" w14:textId="77777777" w:rsidR="00E836FB" w:rsidRDefault="00E836FB">
            <w:pPr>
              <w:rPr>
                <w:rFonts w:ascii="宋体"/>
                <w:vanish/>
              </w:rPr>
            </w:pPr>
          </w:p>
        </w:tc>
      </w:tr>
      <w:tr w:rsidR="00E836FB" w14:paraId="5F2CB06D" w14:textId="77777777">
        <w:tc>
          <w:tcPr>
            <w:tcW w:w="0" w:type="auto"/>
            <w:gridSpan w:val="3"/>
            <w:shd w:val="clear" w:color="auto" w:fill="FFFFFF"/>
            <w:tcMar>
              <w:top w:w="40" w:type="dxa"/>
              <w:left w:w="20" w:type="dxa"/>
              <w:bottom w:w="40" w:type="dxa"/>
              <w:right w:w="20" w:type="dxa"/>
            </w:tcMar>
            <w:vAlign w:val="bottom"/>
          </w:tcPr>
          <w:p w14:paraId="5F2CB05A" w14:textId="77777777" w:rsidR="00E836FB" w:rsidRDefault="00994958">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F2CB05B" w14:textId="77777777" w:rsidR="00E836FB" w:rsidRDefault="00994958">
            <w:pPr>
              <w:jc w:val="right"/>
              <w:textAlignment w:val="bottom"/>
            </w:pPr>
            <w:r>
              <w:rPr>
                <w:rFonts w:ascii="Arial" w:eastAsia="宋体" w:hAnsi="Arial" w:cs="Arial"/>
                <w:b/>
                <w:bCs/>
                <w:color w:val="000000"/>
                <w:sz w:val="14"/>
                <w:szCs w:val="14"/>
              </w:rPr>
              <w:t>(25)</w:t>
            </w:r>
          </w:p>
        </w:tc>
        <w:tc>
          <w:tcPr>
            <w:tcW w:w="0" w:type="auto"/>
            <w:shd w:val="clear" w:color="auto" w:fill="FFFFFF"/>
            <w:tcMar>
              <w:top w:w="40" w:type="dxa"/>
              <w:left w:w="0" w:type="dxa"/>
              <w:bottom w:w="40" w:type="dxa"/>
              <w:right w:w="20" w:type="dxa"/>
            </w:tcMar>
            <w:vAlign w:val="bottom"/>
          </w:tcPr>
          <w:p w14:paraId="5F2CB05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5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5E" w14:textId="77777777" w:rsidR="00E836FB" w:rsidRDefault="00994958">
            <w:pPr>
              <w:jc w:val="right"/>
              <w:textAlignment w:val="bottom"/>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61"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F2CB0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64" w14:textId="77777777" w:rsidR="00E836FB" w:rsidRDefault="00994958">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67" w14:textId="77777777" w:rsidR="00E836FB" w:rsidRDefault="00994958">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6A" w14:textId="77777777" w:rsidR="00E836FB" w:rsidRDefault="00994958">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6B" w14:textId="77777777" w:rsidR="00E836FB" w:rsidRDefault="00E836FB">
            <w:pPr>
              <w:jc w:val="right"/>
              <w:rPr>
                <w:rFonts w:ascii="宋体"/>
              </w:rPr>
            </w:pPr>
          </w:p>
        </w:tc>
        <w:tc>
          <w:tcPr>
            <w:tcW w:w="0" w:type="auto"/>
            <w:shd w:val="clear" w:color="auto" w:fill="auto"/>
            <w:vAlign w:val="bottom"/>
          </w:tcPr>
          <w:p w14:paraId="5F2CB06C" w14:textId="77777777" w:rsidR="00E836FB" w:rsidRDefault="00E836FB">
            <w:pPr>
              <w:rPr>
                <w:rFonts w:ascii="宋体"/>
                <w:vanish/>
              </w:rPr>
            </w:pPr>
          </w:p>
        </w:tc>
      </w:tr>
      <w:tr w:rsidR="00E836FB" w14:paraId="5F2CB081" w14:textId="77777777">
        <w:tc>
          <w:tcPr>
            <w:tcW w:w="0" w:type="auto"/>
            <w:gridSpan w:val="3"/>
            <w:shd w:val="clear" w:color="auto" w:fill="CCEEFF"/>
            <w:tcMar>
              <w:top w:w="40" w:type="dxa"/>
              <w:left w:w="20" w:type="dxa"/>
              <w:bottom w:w="40" w:type="dxa"/>
              <w:right w:w="20" w:type="dxa"/>
            </w:tcMar>
            <w:vAlign w:val="bottom"/>
          </w:tcPr>
          <w:p w14:paraId="5F2CB06E" w14:textId="77777777" w:rsidR="00E836FB" w:rsidRDefault="00994958">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5F2CB06F" w14:textId="77777777" w:rsidR="00E836FB" w:rsidRDefault="00994958">
            <w:pPr>
              <w:jc w:val="right"/>
              <w:textAlignment w:val="bottom"/>
            </w:pPr>
            <w:r>
              <w:rPr>
                <w:rFonts w:ascii="Arial" w:eastAsia="宋体" w:hAnsi="Arial" w:cs="Arial"/>
                <w:b/>
                <w:bCs/>
                <w:color w:val="000000"/>
                <w:sz w:val="14"/>
                <w:szCs w:val="14"/>
              </w:rPr>
              <w:t>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0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7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72" w14:textId="77777777" w:rsidR="00E836FB" w:rsidRDefault="00994958">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0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7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7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0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7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7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0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7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7B" w14:textId="77777777" w:rsidR="00E836FB" w:rsidRDefault="00994958">
            <w:pPr>
              <w:jc w:val="right"/>
              <w:textAlignment w:val="bottom"/>
            </w:pPr>
            <w:r>
              <w:rPr>
                <w:rFonts w:ascii="Arial" w:eastAsia="宋体" w:hAnsi="Arial" w:cs="Arial"/>
                <w:b/>
                <w:bCs/>
                <w:color w:val="000000"/>
                <w:sz w:val="14"/>
                <w:szCs w:val="14"/>
              </w:rPr>
              <w:t>(10)</w:t>
            </w:r>
          </w:p>
        </w:tc>
        <w:tc>
          <w:tcPr>
            <w:tcW w:w="0" w:type="auto"/>
            <w:shd w:val="clear" w:color="auto" w:fill="CCEEFF"/>
            <w:tcMar>
              <w:top w:w="40" w:type="dxa"/>
              <w:left w:w="0" w:type="dxa"/>
              <w:bottom w:w="40" w:type="dxa"/>
              <w:right w:w="20" w:type="dxa"/>
            </w:tcMar>
            <w:vAlign w:val="bottom"/>
          </w:tcPr>
          <w:p w14:paraId="5F2CB0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7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7E" w14:textId="77777777" w:rsidR="00E836FB" w:rsidRDefault="00994958">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07F" w14:textId="77777777" w:rsidR="00E836FB" w:rsidRDefault="00E836FB">
            <w:pPr>
              <w:jc w:val="right"/>
              <w:rPr>
                <w:rFonts w:ascii="宋体"/>
              </w:rPr>
            </w:pPr>
          </w:p>
        </w:tc>
        <w:tc>
          <w:tcPr>
            <w:tcW w:w="0" w:type="auto"/>
            <w:shd w:val="clear" w:color="auto" w:fill="auto"/>
            <w:vAlign w:val="bottom"/>
          </w:tcPr>
          <w:p w14:paraId="5F2CB080" w14:textId="77777777" w:rsidR="00E836FB" w:rsidRDefault="00E836FB">
            <w:pPr>
              <w:rPr>
                <w:rFonts w:ascii="宋体"/>
                <w:vanish/>
              </w:rPr>
            </w:pPr>
          </w:p>
        </w:tc>
      </w:tr>
      <w:tr w:rsidR="00E836FB" w14:paraId="5F2CB095" w14:textId="77777777">
        <w:tc>
          <w:tcPr>
            <w:tcW w:w="0" w:type="auto"/>
            <w:gridSpan w:val="3"/>
            <w:shd w:val="clear" w:color="auto" w:fill="FFFFFF"/>
            <w:tcMar>
              <w:top w:w="40" w:type="dxa"/>
              <w:left w:w="20" w:type="dxa"/>
              <w:bottom w:w="40" w:type="dxa"/>
              <w:right w:w="20" w:type="dxa"/>
            </w:tcMar>
            <w:vAlign w:val="bottom"/>
          </w:tcPr>
          <w:p w14:paraId="5F2CB082" w14:textId="77777777" w:rsidR="00E836FB" w:rsidRDefault="00994958">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5F2CB08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8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8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8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8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8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89" w14:textId="77777777" w:rsidR="00E836FB" w:rsidRDefault="00994958">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8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8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8C"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8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8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9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9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92" w14:textId="77777777" w:rsidR="00E836FB" w:rsidRDefault="00994958">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93" w14:textId="77777777" w:rsidR="00E836FB" w:rsidRDefault="00E836FB">
            <w:pPr>
              <w:jc w:val="right"/>
              <w:rPr>
                <w:rFonts w:ascii="宋体"/>
              </w:rPr>
            </w:pPr>
          </w:p>
        </w:tc>
        <w:tc>
          <w:tcPr>
            <w:tcW w:w="0" w:type="auto"/>
            <w:shd w:val="clear" w:color="auto" w:fill="auto"/>
            <w:vAlign w:val="bottom"/>
          </w:tcPr>
          <w:p w14:paraId="5F2CB094" w14:textId="77777777" w:rsidR="00E836FB" w:rsidRDefault="00E836FB">
            <w:pPr>
              <w:rPr>
                <w:rFonts w:ascii="宋体"/>
                <w:vanish/>
              </w:rPr>
            </w:pPr>
          </w:p>
        </w:tc>
      </w:tr>
      <w:tr w:rsidR="00E836FB" w14:paraId="5F2CB0A9" w14:textId="77777777">
        <w:tc>
          <w:tcPr>
            <w:tcW w:w="0" w:type="auto"/>
            <w:gridSpan w:val="3"/>
            <w:shd w:val="clear" w:color="auto" w:fill="CCEEFF"/>
            <w:tcMar>
              <w:top w:w="40" w:type="dxa"/>
              <w:left w:w="20" w:type="dxa"/>
              <w:bottom w:w="40" w:type="dxa"/>
              <w:right w:w="20" w:type="dxa"/>
            </w:tcMar>
            <w:vAlign w:val="bottom"/>
          </w:tcPr>
          <w:p w14:paraId="5F2CB096" w14:textId="77777777" w:rsidR="00E836FB" w:rsidRDefault="00994958">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097" w14:textId="77777777" w:rsidR="00E836FB" w:rsidRDefault="00994958">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9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09A" w14:textId="77777777" w:rsidR="00E836FB" w:rsidRDefault="00994958">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9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09D" w14:textId="77777777" w:rsidR="00E836FB" w:rsidRDefault="00994958">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9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0A0" w14:textId="77777777" w:rsidR="00E836FB" w:rsidRDefault="00994958">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A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0A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A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0A6" w14:textId="77777777" w:rsidR="00E836FB" w:rsidRDefault="00994958">
            <w:pPr>
              <w:jc w:val="right"/>
              <w:textAlignment w:val="bottom"/>
            </w:pPr>
            <w:r>
              <w:rPr>
                <w:rFonts w:ascii="Arial" w:eastAsia="宋体" w:hAnsi="Arial" w:cs="Arial"/>
                <w:b/>
                <w:bCs/>
                <w:color w:val="000000"/>
                <w:sz w:val="14"/>
                <w:szCs w:val="14"/>
              </w:rPr>
              <w:t>196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0A7" w14:textId="77777777" w:rsidR="00E836FB" w:rsidRDefault="00E836FB">
            <w:pPr>
              <w:jc w:val="right"/>
              <w:rPr>
                <w:rFonts w:ascii="宋体"/>
              </w:rPr>
            </w:pPr>
          </w:p>
        </w:tc>
        <w:tc>
          <w:tcPr>
            <w:tcW w:w="0" w:type="auto"/>
            <w:shd w:val="clear" w:color="auto" w:fill="auto"/>
            <w:vAlign w:val="bottom"/>
          </w:tcPr>
          <w:p w14:paraId="5F2CB0A8" w14:textId="77777777" w:rsidR="00E836FB" w:rsidRDefault="00E836FB">
            <w:pPr>
              <w:rPr>
                <w:rFonts w:ascii="宋体"/>
                <w:vanish/>
              </w:rPr>
            </w:pPr>
          </w:p>
        </w:tc>
      </w:tr>
      <w:tr w:rsidR="00E836FB" w14:paraId="5F2CB0BD" w14:textId="77777777">
        <w:tc>
          <w:tcPr>
            <w:tcW w:w="0" w:type="auto"/>
            <w:gridSpan w:val="3"/>
            <w:shd w:val="clear" w:color="auto" w:fill="FFFFFF"/>
            <w:tcMar>
              <w:top w:w="40" w:type="dxa"/>
              <w:left w:w="20" w:type="dxa"/>
              <w:bottom w:w="40" w:type="dxa"/>
              <w:right w:w="20" w:type="dxa"/>
            </w:tcMar>
            <w:vAlign w:val="bottom"/>
          </w:tcPr>
          <w:p w14:paraId="5F2CB0AA" w14:textId="77777777" w:rsidR="00E836FB" w:rsidRDefault="00994958">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5F2CB0AB" w14:textId="77777777" w:rsidR="00E836FB" w:rsidRDefault="00994958">
            <w:pPr>
              <w:jc w:val="right"/>
              <w:textAlignment w:val="bottom"/>
            </w:pPr>
            <w:r>
              <w:rPr>
                <w:rFonts w:ascii="Arial" w:eastAsia="宋体" w:hAnsi="Arial" w:cs="Arial"/>
                <w:b/>
                <w:bCs/>
                <w:color w:val="000000"/>
                <w:sz w:val="14"/>
                <w:szCs w:val="14"/>
              </w:rPr>
              <w:t>476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A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AE" w14:textId="77777777" w:rsidR="00E836FB" w:rsidRDefault="00994958">
            <w:pPr>
              <w:jc w:val="right"/>
              <w:textAlignment w:val="bottom"/>
            </w:pPr>
            <w:r>
              <w:rPr>
                <w:rFonts w:ascii="Arial" w:eastAsia="宋体" w:hAnsi="Arial" w:cs="Arial"/>
                <w:b/>
                <w:bCs/>
                <w:color w:val="000000"/>
                <w:sz w:val="14"/>
                <w:szCs w:val="14"/>
              </w:rPr>
              <w:t>(7)</w:t>
            </w:r>
          </w:p>
        </w:tc>
        <w:tc>
          <w:tcPr>
            <w:tcW w:w="0" w:type="auto"/>
            <w:shd w:val="clear" w:color="auto" w:fill="FFFFFF"/>
            <w:tcMar>
              <w:top w:w="40" w:type="dxa"/>
              <w:left w:w="0" w:type="dxa"/>
              <w:bottom w:w="40" w:type="dxa"/>
              <w:right w:w="20" w:type="dxa"/>
            </w:tcMar>
            <w:vAlign w:val="bottom"/>
          </w:tcPr>
          <w:p w14:paraId="5F2CB0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B1" w14:textId="77777777" w:rsidR="00E836FB" w:rsidRDefault="00994958">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B4" w14:textId="77777777" w:rsidR="00E836FB" w:rsidRDefault="00994958">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B7" w14:textId="77777777" w:rsidR="00E836FB" w:rsidRDefault="00994958">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0BA" w14:textId="77777777" w:rsidR="00E836FB" w:rsidRDefault="00994958">
            <w:pPr>
              <w:jc w:val="right"/>
              <w:textAlignment w:val="bottom"/>
            </w:pPr>
            <w:r>
              <w:rPr>
                <w:rFonts w:ascii="Arial" w:eastAsia="宋体" w:hAnsi="Arial" w:cs="Arial"/>
                <w:b/>
                <w:bCs/>
                <w:color w:val="000000"/>
                <w:sz w:val="14"/>
                <w:szCs w:val="14"/>
              </w:rPr>
              <w:t>536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0BB" w14:textId="77777777" w:rsidR="00E836FB" w:rsidRDefault="00E836FB">
            <w:pPr>
              <w:jc w:val="right"/>
              <w:rPr>
                <w:rFonts w:ascii="宋体"/>
              </w:rPr>
            </w:pPr>
          </w:p>
        </w:tc>
        <w:tc>
          <w:tcPr>
            <w:tcW w:w="0" w:type="auto"/>
            <w:shd w:val="clear" w:color="auto" w:fill="auto"/>
            <w:vAlign w:val="bottom"/>
          </w:tcPr>
          <w:p w14:paraId="5F2CB0BC" w14:textId="77777777" w:rsidR="00E836FB" w:rsidRDefault="00E836FB">
            <w:pPr>
              <w:rPr>
                <w:rFonts w:ascii="宋体"/>
                <w:vanish/>
              </w:rPr>
            </w:pPr>
          </w:p>
        </w:tc>
      </w:tr>
      <w:tr w:rsidR="00E836FB" w14:paraId="5F2CB0D1" w14:textId="77777777">
        <w:tc>
          <w:tcPr>
            <w:tcW w:w="0" w:type="auto"/>
            <w:gridSpan w:val="3"/>
            <w:shd w:val="clear" w:color="auto" w:fill="CCEEFF"/>
            <w:tcMar>
              <w:top w:w="40" w:type="dxa"/>
              <w:left w:w="20" w:type="dxa"/>
              <w:bottom w:w="40" w:type="dxa"/>
              <w:right w:w="20" w:type="dxa"/>
            </w:tcMar>
            <w:vAlign w:val="bottom"/>
          </w:tcPr>
          <w:p w14:paraId="5F2CB0BE" w14:textId="77777777" w:rsidR="00E836FB" w:rsidRDefault="00994958">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5F2CB0BF" w14:textId="77777777" w:rsidR="00E836FB" w:rsidRDefault="00994958">
            <w:pPr>
              <w:jc w:val="right"/>
              <w:textAlignment w:val="bottom"/>
            </w:pPr>
            <w:r>
              <w:rPr>
                <w:rFonts w:ascii="Arial" w:eastAsia="宋体" w:hAnsi="Arial" w:cs="Arial"/>
                <w:b/>
                <w:bCs/>
                <w:color w:val="000000"/>
                <w:sz w:val="14"/>
                <w:szCs w:val="14"/>
              </w:rPr>
              <w:t>(42)</w:t>
            </w:r>
          </w:p>
        </w:tc>
        <w:tc>
          <w:tcPr>
            <w:tcW w:w="0" w:type="auto"/>
            <w:shd w:val="clear" w:color="auto" w:fill="CCEEFF"/>
            <w:tcMar>
              <w:top w:w="40" w:type="dxa"/>
              <w:left w:w="0" w:type="dxa"/>
              <w:bottom w:w="40" w:type="dxa"/>
              <w:right w:w="20" w:type="dxa"/>
            </w:tcMar>
            <w:vAlign w:val="bottom"/>
          </w:tcPr>
          <w:p w14:paraId="5F2CB0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C2" w14:textId="77777777" w:rsidR="00E836FB" w:rsidRDefault="00994958">
            <w:pPr>
              <w:jc w:val="right"/>
              <w:textAlignment w:val="bottom"/>
            </w:pPr>
            <w:r>
              <w:rPr>
                <w:rFonts w:ascii="Arial" w:eastAsia="宋体" w:hAnsi="Arial" w:cs="Arial"/>
                <w:b/>
                <w:bCs/>
                <w:color w:val="000000"/>
                <w:sz w:val="14"/>
                <w:szCs w:val="14"/>
              </w:rPr>
              <w:t>(12)</w:t>
            </w:r>
          </w:p>
        </w:tc>
        <w:tc>
          <w:tcPr>
            <w:tcW w:w="0" w:type="auto"/>
            <w:shd w:val="clear" w:color="auto" w:fill="CCEEFF"/>
            <w:tcMar>
              <w:top w:w="40" w:type="dxa"/>
              <w:left w:w="0" w:type="dxa"/>
              <w:bottom w:w="40" w:type="dxa"/>
              <w:right w:w="20" w:type="dxa"/>
            </w:tcMar>
            <w:vAlign w:val="bottom"/>
          </w:tcPr>
          <w:p w14:paraId="5F2CB0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C5"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F2CB0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C8"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5F2CB0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CB" w14:textId="77777777" w:rsidR="00E836FB" w:rsidRDefault="00994958">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5F2CB0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0CE" w14:textId="77777777" w:rsidR="00E836FB" w:rsidRDefault="00994958">
            <w:pPr>
              <w:jc w:val="right"/>
              <w:textAlignment w:val="bottom"/>
            </w:pPr>
            <w:r>
              <w:rPr>
                <w:rFonts w:ascii="Arial" w:eastAsia="宋体" w:hAnsi="Arial" w:cs="Arial"/>
                <w:b/>
                <w:bCs/>
                <w:color w:val="000000"/>
                <w:sz w:val="14"/>
                <w:szCs w:val="14"/>
              </w:rPr>
              <w:t>(61)</w:t>
            </w:r>
          </w:p>
        </w:tc>
        <w:tc>
          <w:tcPr>
            <w:tcW w:w="0" w:type="auto"/>
            <w:shd w:val="clear" w:color="auto" w:fill="CCEEFF"/>
            <w:tcMar>
              <w:top w:w="40" w:type="dxa"/>
              <w:left w:w="0" w:type="dxa"/>
              <w:bottom w:w="40" w:type="dxa"/>
              <w:right w:w="20" w:type="dxa"/>
            </w:tcMar>
            <w:vAlign w:val="bottom"/>
          </w:tcPr>
          <w:p w14:paraId="5F2CB0CF" w14:textId="77777777" w:rsidR="00E836FB" w:rsidRDefault="00E836FB">
            <w:pPr>
              <w:jc w:val="right"/>
              <w:rPr>
                <w:rFonts w:ascii="宋体"/>
              </w:rPr>
            </w:pPr>
          </w:p>
        </w:tc>
        <w:tc>
          <w:tcPr>
            <w:tcW w:w="0" w:type="auto"/>
            <w:shd w:val="clear" w:color="auto" w:fill="auto"/>
            <w:vAlign w:val="bottom"/>
          </w:tcPr>
          <w:p w14:paraId="5F2CB0D0" w14:textId="77777777" w:rsidR="00E836FB" w:rsidRDefault="00E836FB">
            <w:pPr>
              <w:rPr>
                <w:rFonts w:ascii="宋体"/>
                <w:vanish/>
              </w:rPr>
            </w:pPr>
          </w:p>
        </w:tc>
      </w:tr>
      <w:tr w:rsidR="00E836FB" w14:paraId="5F2CB0E5" w14:textId="77777777">
        <w:tc>
          <w:tcPr>
            <w:tcW w:w="0" w:type="auto"/>
            <w:gridSpan w:val="3"/>
            <w:shd w:val="clear" w:color="auto" w:fill="FFFFFF"/>
            <w:tcMar>
              <w:top w:w="40" w:type="dxa"/>
              <w:left w:w="20" w:type="dxa"/>
              <w:bottom w:w="40" w:type="dxa"/>
              <w:right w:w="20" w:type="dxa"/>
            </w:tcMar>
            <w:vAlign w:val="bottom"/>
          </w:tcPr>
          <w:p w14:paraId="5F2CB0D2" w14:textId="77777777" w:rsidR="00E836FB" w:rsidRDefault="00994958">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D3" w14:textId="77777777" w:rsidR="00E836FB" w:rsidRDefault="00994958">
            <w:pPr>
              <w:jc w:val="right"/>
              <w:textAlignment w:val="bottom"/>
            </w:pPr>
            <w:r>
              <w:rPr>
                <w:rFonts w:ascii="Arial" w:eastAsia="宋体" w:hAnsi="Arial" w:cs="Arial"/>
                <w:b/>
                <w:bCs/>
                <w:color w:val="000000"/>
                <w:sz w:val="14"/>
                <w:szCs w:val="14"/>
              </w:rPr>
              <w:t>434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D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D6" w14:textId="77777777" w:rsidR="00E836FB" w:rsidRDefault="00994958">
            <w:pPr>
              <w:jc w:val="right"/>
              <w:textAlignment w:val="bottom"/>
            </w:pPr>
            <w:r>
              <w:rPr>
                <w:rFonts w:ascii="Arial" w:eastAsia="宋体" w:hAnsi="Arial" w:cs="Arial"/>
                <w:b/>
                <w:bCs/>
                <w:color w:val="000000"/>
                <w:sz w:val="14"/>
                <w:szCs w:val="14"/>
              </w:rPr>
              <w:t>(19)</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D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D9"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D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DC" w14:textId="77777777" w:rsidR="00E836FB" w:rsidRDefault="00994958">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D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DF" w14:textId="77777777" w:rsidR="00E836FB" w:rsidRDefault="00994958">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0E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0E2" w14:textId="77777777" w:rsidR="00E836FB" w:rsidRDefault="00994958">
            <w:pPr>
              <w:jc w:val="right"/>
              <w:textAlignment w:val="bottom"/>
            </w:pPr>
            <w:r>
              <w:rPr>
                <w:rFonts w:ascii="Arial" w:eastAsia="宋体" w:hAnsi="Arial" w:cs="Arial"/>
                <w:b/>
                <w:bCs/>
                <w:color w:val="000000"/>
                <w:sz w:val="14"/>
                <w:szCs w:val="14"/>
              </w:rPr>
              <w:t>475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0E3" w14:textId="77777777" w:rsidR="00E836FB" w:rsidRDefault="00E836FB">
            <w:pPr>
              <w:jc w:val="right"/>
              <w:rPr>
                <w:rFonts w:ascii="宋体"/>
              </w:rPr>
            </w:pPr>
          </w:p>
        </w:tc>
        <w:tc>
          <w:tcPr>
            <w:tcW w:w="0" w:type="auto"/>
            <w:shd w:val="clear" w:color="auto" w:fill="auto"/>
            <w:vAlign w:val="bottom"/>
          </w:tcPr>
          <w:p w14:paraId="5F2CB0E4" w14:textId="77777777" w:rsidR="00E836FB" w:rsidRDefault="00E836FB">
            <w:pPr>
              <w:rPr>
                <w:rFonts w:ascii="宋体"/>
                <w:vanish/>
              </w:rPr>
            </w:pPr>
          </w:p>
        </w:tc>
      </w:tr>
      <w:tr w:rsidR="00E836FB" w14:paraId="5F2CB0FF" w14:textId="77777777">
        <w:tc>
          <w:tcPr>
            <w:tcW w:w="0" w:type="auto"/>
            <w:gridSpan w:val="3"/>
            <w:shd w:val="clear" w:color="auto" w:fill="CCEEFF"/>
            <w:tcMar>
              <w:top w:w="40" w:type="dxa"/>
              <w:left w:w="20" w:type="dxa"/>
              <w:bottom w:w="40" w:type="dxa"/>
              <w:right w:w="20" w:type="dxa"/>
            </w:tcMar>
            <w:vAlign w:val="bottom"/>
          </w:tcPr>
          <w:p w14:paraId="5F2CB0E6" w14:textId="77777777" w:rsidR="00E836FB" w:rsidRDefault="00994958">
            <w:pPr>
              <w:textAlignment w:val="bottom"/>
            </w:pPr>
            <w:r>
              <w:rPr>
                <w:rFonts w:ascii="Arial" w:eastAsia="宋体" w:hAnsi="Arial" w:cs="Arial"/>
                <w:b/>
                <w:bCs/>
                <w:color w:val="000000"/>
                <w:sz w:val="14"/>
                <w:szCs w:val="14"/>
              </w:rPr>
              <w:t>Balance as of December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0E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0E8" w14:textId="77777777" w:rsidR="00E836FB" w:rsidRDefault="00994958">
            <w:pPr>
              <w:jc w:val="right"/>
              <w:textAlignment w:val="bottom"/>
            </w:pPr>
            <w:r>
              <w:rPr>
                <w:rFonts w:ascii="Arial" w:eastAsia="宋体" w:hAnsi="Arial" w:cs="Arial"/>
                <w:b/>
                <w:bCs/>
                <w:color w:val="000000"/>
                <w:sz w:val="14"/>
                <w:szCs w:val="14"/>
              </w:rPr>
              <w:t>2,674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0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E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0E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0EC" w14:textId="77777777" w:rsidR="00E836FB" w:rsidRDefault="00994958">
            <w:pPr>
              <w:jc w:val="right"/>
              <w:textAlignment w:val="bottom"/>
            </w:pPr>
            <w:r>
              <w:rPr>
                <w:rFonts w:ascii="Arial" w:eastAsia="宋体" w:hAnsi="Arial" w:cs="Arial"/>
                <w:b/>
                <w:bCs/>
                <w:color w:val="000000"/>
                <w:sz w:val="14"/>
                <w:szCs w:val="14"/>
              </w:rPr>
              <w:t>623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0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E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0EF"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0F0" w14:textId="77777777" w:rsidR="00E836FB" w:rsidRDefault="00994958">
            <w:pPr>
              <w:jc w:val="right"/>
              <w:textAlignment w:val="bottom"/>
            </w:pPr>
            <w:r>
              <w:rPr>
                <w:rFonts w:ascii="Arial" w:eastAsia="宋体" w:hAnsi="Arial" w:cs="Arial"/>
                <w:b/>
                <w:bCs/>
                <w:color w:val="000000"/>
                <w:sz w:val="14"/>
                <w:szCs w:val="14"/>
              </w:rPr>
              <w:t>368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0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F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0F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0F4" w14:textId="77777777" w:rsidR="00E836FB" w:rsidRDefault="00994958">
            <w:pPr>
              <w:jc w:val="right"/>
              <w:textAlignment w:val="bottom"/>
            </w:pPr>
            <w:r>
              <w:rPr>
                <w:rFonts w:ascii="Arial" w:eastAsia="宋体" w:hAnsi="Arial" w:cs="Arial"/>
                <w:b/>
                <w:bCs/>
                <w:color w:val="000000"/>
                <w:sz w:val="14"/>
                <w:szCs w:val="14"/>
              </w:rPr>
              <w:t>222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0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F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0F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0F8" w14:textId="77777777" w:rsidR="00E836FB" w:rsidRDefault="00994958">
            <w:pPr>
              <w:jc w:val="right"/>
              <w:textAlignment w:val="bottom"/>
            </w:pPr>
            <w:r>
              <w:rPr>
                <w:rFonts w:ascii="Arial" w:eastAsia="宋体" w:hAnsi="Arial" w:cs="Arial"/>
                <w:b/>
                <w:bCs/>
                <w:color w:val="000000"/>
                <w:sz w:val="14"/>
                <w:szCs w:val="14"/>
              </w:rPr>
              <w:t>251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0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0F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0F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0FC" w14:textId="77777777" w:rsidR="00E836FB" w:rsidRDefault="00994958">
            <w:pPr>
              <w:jc w:val="right"/>
              <w:textAlignment w:val="bottom"/>
            </w:pPr>
            <w:r>
              <w:rPr>
                <w:rFonts w:ascii="Arial" w:eastAsia="宋体" w:hAnsi="Arial" w:cs="Arial"/>
                <w:b/>
                <w:bCs/>
                <w:color w:val="000000"/>
                <w:sz w:val="14"/>
                <w:szCs w:val="14"/>
              </w:rPr>
              <w:t>4,138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0FD" w14:textId="77777777" w:rsidR="00E836FB" w:rsidRDefault="00E836FB">
            <w:pPr>
              <w:jc w:val="right"/>
              <w:rPr>
                <w:rFonts w:ascii="宋体"/>
              </w:rPr>
            </w:pPr>
          </w:p>
        </w:tc>
        <w:tc>
          <w:tcPr>
            <w:tcW w:w="0" w:type="auto"/>
            <w:shd w:val="clear" w:color="auto" w:fill="auto"/>
            <w:vAlign w:val="bottom"/>
          </w:tcPr>
          <w:p w14:paraId="5F2CB0FE" w14:textId="77777777" w:rsidR="00E836FB" w:rsidRDefault="00E836FB">
            <w:pPr>
              <w:rPr>
                <w:rFonts w:ascii="宋体"/>
                <w:vanish/>
              </w:rPr>
            </w:pPr>
          </w:p>
        </w:tc>
      </w:tr>
    </w:tbl>
    <w:p w14:paraId="5F2CB100"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E836FB" w14:paraId="5F2CB107" w14:textId="77777777">
        <w:tc>
          <w:tcPr>
            <w:tcW w:w="50" w:type="pct"/>
            <w:shd w:val="clear" w:color="auto" w:fill="auto"/>
            <w:vAlign w:val="bottom"/>
          </w:tcPr>
          <w:p w14:paraId="5F2CB101" w14:textId="77777777" w:rsidR="00E836FB" w:rsidRDefault="00E836FB">
            <w:pPr>
              <w:rPr>
                <w:rFonts w:ascii="宋体"/>
              </w:rPr>
            </w:pPr>
          </w:p>
        </w:tc>
        <w:tc>
          <w:tcPr>
            <w:tcW w:w="1209" w:type="pct"/>
            <w:shd w:val="clear" w:color="auto" w:fill="auto"/>
            <w:vAlign w:val="bottom"/>
          </w:tcPr>
          <w:p w14:paraId="5F2CB102" w14:textId="77777777" w:rsidR="00E836FB" w:rsidRDefault="00E836FB">
            <w:pPr>
              <w:rPr>
                <w:rFonts w:ascii="宋体"/>
              </w:rPr>
            </w:pPr>
          </w:p>
        </w:tc>
        <w:tc>
          <w:tcPr>
            <w:tcW w:w="5" w:type="pct"/>
            <w:shd w:val="clear" w:color="auto" w:fill="auto"/>
            <w:vAlign w:val="bottom"/>
          </w:tcPr>
          <w:p w14:paraId="5F2CB103" w14:textId="77777777" w:rsidR="00E836FB" w:rsidRDefault="00E836FB">
            <w:pPr>
              <w:rPr>
                <w:rFonts w:ascii="宋体"/>
              </w:rPr>
            </w:pPr>
          </w:p>
        </w:tc>
        <w:tc>
          <w:tcPr>
            <w:tcW w:w="50" w:type="pct"/>
            <w:shd w:val="clear" w:color="auto" w:fill="auto"/>
            <w:vAlign w:val="bottom"/>
          </w:tcPr>
          <w:p w14:paraId="5F2CB104" w14:textId="77777777" w:rsidR="00E836FB" w:rsidRDefault="00E836FB">
            <w:pPr>
              <w:rPr>
                <w:rFonts w:ascii="宋体"/>
              </w:rPr>
            </w:pPr>
          </w:p>
        </w:tc>
        <w:tc>
          <w:tcPr>
            <w:tcW w:w="3680" w:type="pct"/>
            <w:shd w:val="clear" w:color="auto" w:fill="auto"/>
            <w:vAlign w:val="bottom"/>
          </w:tcPr>
          <w:p w14:paraId="5F2CB105" w14:textId="77777777" w:rsidR="00E836FB" w:rsidRDefault="00E836FB">
            <w:pPr>
              <w:rPr>
                <w:rFonts w:ascii="宋体"/>
              </w:rPr>
            </w:pPr>
          </w:p>
        </w:tc>
        <w:tc>
          <w:tcPr>
            <w:tcW w:w="5" w:type="pct"/>
            <w:shd w:val="clear" w:color="auto" w:fill="auto"/>
            <w:vAlign w:val="bottom"/>
          </w:tcPr>
          <w:p w14:paraId="5F2CB106" w14:textId="77777777" w:rsidR="00E836FB" w:rsidRDefault="00E836FB">
            <w:pPr>
              <w:rPr>
                <w:rFonts w:ascii="宋体"/>
              </w:rPr>
            </w:pPr>
          </w:p>
        </w:tc>
      </w:tr>
      <w:tr w:rsidR="00E836FB" w14:paraId="5F2CB10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B10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109" w14:textId="77777777" w:rsidR="00E836FB" w:rsidRDefault="00E836FB">
            <w:pPr>
              <w:rPr>
                <w:rFonts w:ascii="宋体"/>
              </w:rPr>
            </w:pPr>
          </w:p>
        </w:tc>
      </w:tr>
    </w:tbl>
    <w:p w14:paraId="5F2CB10B" w14:textId="77777777" w:rsidR="00E836FB" w:rsidRDefault="00994958">
      <w:pPr>
        <w:spacing w:before="20"/>
        <w:jc w:val="both"/>
      </w:pPr>
      <w:r>
        <w:rPr>
          <w:rFonts w:ascii="Arial" w:eastAsia="宋体" w:hAnsi="Arial" w:cs="Arial"/>
          <w:color w:val="000000"/>
          <w:sz w:val="8"/>
          <w:szCs w:val="8"/>
        </w:rPr>
        <w:t>(1)</w:t>
      </w:r>
      <w:r>
        <w:rPr>
          <w:rFonts w:ascii="Arial" w:eastAsia="宋体" w:hAnsi="Arial" w:cs="Arial"/>
          <w:color w:val="000000"/>
          <w:sz w:val="13"/>
          <w:szCs w:val="13"/>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3"/>
          <w:szCs w:val="13"/>
        </w:rPr>
        <w:t>as no impact to the total level of reported AUM.</w:t>
      </w:r>
    </w:p>
    <w:p w14:paraId="5F2CB10C" w14:textId="77777777" w:rsidR="00E836FB" w:rsidRDefault="00994958">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both floating- and constant-net-asset-value portfolios held in commingled structures or separate accounts.</w:t>
      </w:r>
    </w:p>
    <w:p w14:paraId="5F2CB10D" w14:textId="77777777" w:rsidR="00E836FB" w:rsidRDefault="00994958">
      <w:pPr>
        <w:spacing w:before="20"/>
        <w:jc w:val="both"/>
      </w:pPr>
      <w:r>
        <w:rPr>
          <w:rFonts w:ascii="Arial" w:eastAsia="宋体" w:hAnsi="Arial" w:cs="Arial"/>
          <w:color w:val="000000"/>
          <w:sz w:val="8"/>
          <w:szCs w:val="8"/>
        </w:rPr>
        <w:t xml:space="preserve">(3)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w:t>
      </w:r>
      <w:r>
        <w:rPr>
          <w:rFonts w:ascii="Arial" w:eastAsia="宋体" w:hAnsi="Arial" w:cs="Arial"/>
          <w:color w:val="000000"/>
          <w:sz w:val="13"/>
          <w:szCs w:val="13"/>
        </w:rPr>
        <w:t>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MiniSharesSM Trust, but act as the marketing agent.</w:t>
      </w:r>
    </w:p>
    <w:p w14:paraId="5F2CB10E" w14:textId="77777777" w:rsidR="00E836FB" w:rsidRDefault="00994958">
      <w:pPr>
        <w:spacing w:before="20"/>
        <w:jc w:val="both"/>
      </w:pPr>
      <w:r>
        <w:rPr>
          <w:rFonts w:ascii="Arial" w:eastAsia="宋体" w:hAnsi="Arial" w:cs="Arial"/>
          <w:color w:val="000000"/>
          <w:sz w:val="8"/>
          <w:szCs w:val="8"/>
        </w:rPr>
        <w:t xml:space="preserve">(4) </w:t>
      </w:r>
      <w:r>
        <w:rPr>
          <w:rFonts w:ascii="Arial" w:eastAsia="宋体" w:hAnsi="Arial" w:cs="Arial"/>
          <w:color w:val="000000"/>
          <w:sz w:val="13"/>
          <w:szCs w:val="13"/>
        </w:rPr>
        <w:t>Amounts represent long-term portfolios, excluding ETFs.</w:t>
      </w:r>
    </w:p>
    <w:p w14:paraId="5F2CB10F" w14:textId="77777777" w:rsidR="00E836FB" w:rsidRDefault="00994958">
      <w:pPr>
        <w:spacing w:before="60"/>
        <w:jc w:val="both"/>
      </w:pPr>
      <w:r>
        <w:rPr>
          <w:rFonts w:ascii="Arial" w:eastAsia="宋体" w:hAnsi="Arial" w:cs="Arial"/>
          <w:b/>
          <w:bCs/>
          <w:i/>
          <w:iCs/>
          <w:color w:val="000000"/>
          <w:sz w:val="20"/>
          <w:szCs w:val="20"/>
        </w:rPr>
        <w:t>Foreign Exchange Trading</w:t>
      </w:r>
      <w:r>
        <w:rPr>
          <w:rFonts w:ascii="Arial" w:eastAsia="宋体" w:hAnsi="Arial" w:cs="Arial"/>
          <w:b/>
          <w:bCs/>
          <w:i/>
          <w:iCs/>
          <w:color w:val="000000"/>
          <w:sz w:val="20"/>
          <w:szCs w:val="20"/>
        </w:rPr>
        <w:t xml:space="preserve"> Services</w:t>
      </w:r>
    </w:p>
    <w:p w14:paraId="5F2CB110" w14:textId="77777777" w:rsidR="00E836FB" w:rsidRDefault="00994958">
      <w:pPr>
        <w:ind w:firstLine="450"/>
        <w:jc w:val="both"/>
      </w:pPr>
      <w:r>
        <w:rPr>
          <w:rFonts w:ascii="Arial" w:eastAsia="宋体" w:hAnsi="Arial" w:cs="Arial"/>
          <w:color w:val="000000"/>
          <w:sz w:val="20"/>
          <w:szCs w:val="20"/>
        </w:rPr>
        <w:t xml:space="preserve">Foreign exchange trading services revenue, as presented in Table 2: Total Revenue, decreased 11% in 2021 compared to 2020, primarily due to lower FX volatility, as compared to the high levels of volatility experienced in 2020 due to the COVID-19 </w:t>
      </w:r>
      <w:r>
        <w:rPr>
          <w:rFonts w:ascii="Arial" w:eastAsia="宋体" w:hAnsi="Arial" w:cs="Arial"/>
          <w:color w:val="000000"/>
          <w:sz w:val="20"/>
          <w:szCs w:val="20"/>
        </w:rPr>
        <w:t>pandemic, partially offset by higher client FX volumes. Foreign exchange trading services revenue comprises revenue generated by FX trading and revenue generated by brokerage and other trading services, which made up 67% and 33%, respectively, of foreign e</w:t>
      </w:r>
      <w:r>
        <w:rPr>
          <w:rFonts w:ascii="Arial" w:eastAsia="宋体" w:hAnsi="Arial" w:cs="Arial"/>
          <w:color w:val="000000"/>
          <w:sz w:val="20"/>
          <w:szCs w:val="20"/>
        </w:rPr>
        <w:t xml:space="preserve">xchange trading services revenue in 2021, and 68% and 32%, respectively in 2020. The impact of gross money market fund fee waivers on foreign exchange trading services was $53 million in 2021, compared to $8 million in 2020. This represents a reduction in </w:t>
      </w:r>
      <w:r>
        <w:rPr>
          <w:rFonts w:ascii="Arial" w:eastAsia="宋体" w:hAnsi="Arial" w:cs="Arial"/>
          <w:color w:val="000000"/>
          <w:sz w:val="20"/>
          <w:szCs w:val="20"/>
        </w:rPr>
        <w:t>revenue on the Fund Connect platform due to the impact of fee waivers by participating money market funds, including State Street Global Advisors funds.</w:t>
      </w:r>
    </w:p>
    <w:p w14:paraId="5F2CB111" w14:textId="77777777" w:rsidR="00E836FB" w:rsidRDefault="00994958">
      <w:pPr>
        <w:spacing w:before="60"/>
        <w:ind w:firstLine="450"/>
        <w:jc w:val="both"/>
      </w:pPr>
      <w:r>
        <w:rPr>
          <w:rFonts w:ascii="Arial" w:eastAsia="宋体" w:hAnsi="Arial" w:cs="Arial"/>
          <w:color w:val="000000"/>
          <w:sz w:val="20"/>
          <w:szCs w:val="20"/>
        </w:rPr>
        <w:t xml:space="preserve">We primarily earn FX trading revenue by acting as a principal market-maker through both "direct </w:t>
      </w:r>
      <w:r>
        <w:rPr>
          <w:rFonts w:ascii="Arial" w:eastAsia="宋体" w:hAnsi="Arial" w:cs="Arial"/>
          <w:color w:val="000000"/>
          <w:sz w:val="20"/>
          <w:szCs w:val="20"/>
        </w:rPr>
        <w:t>sales and trading” and “indirect FX trading.”</w:t>
      </w:r>
    </w:p>
    <w:p w14:paraId="5F2CB112" w14:textId="77777777" w:rsidR="00E836FB" w:rsidRDefault="00994958">
      <w:pPr>
        <w:spacing w:before="60"/>
        <w:ind w:hanging="360"/>
        <w:jc w:val="both"/>
      </w:pPr>
      <w:r>
        <w:rPr>
          <w:rFonts w:ascii="Arial" w:eastAsia="宋体" w:hAnsi="Arial" w:cs="Arial"/>
          <w:color w:val="000000"/>
          <w:sz w:val="20"/>
          <w:szCs w:val="20"/>
        </w:rPr>
        <w:t>•Direct sales and trading: Represent FX transactions at negotiated rates with clients and investment managers that contact our trading desk directly. These principal market-making activities include transaction</w:t>
      </w:r>
      <w:r>
        <w:rPr>
          <w:rFonts w:ascii="Arial" w:eastAsia="宋体" w:hAnsi="Arial" w:cs="Arial"/>
          <w:color w:val="000000"/>
          <w:sz w:val="20"/>
          <w:szCs w:val="20"/>
        </w:rPr>
        <w:t>s for funds serviced by third party custodians or prime brokers, as well as those funds under custody with us.</w:t>
      </w:r>
    </w:p>
    <w:p w14:paraId="5F2CB113" w14:textId="77777777" w:rsidR="00E836FB" w:rsidRDefault="00994958">
      <w:pPr>
        <w:spacing w:before="60"/>
        <w:ind w:hanging="360"/>
        <w:jc w:val="both"/>
      </w:pPr>
      <w:r>
        <w:rPr>
          <w:rFonts w:ascii="Arial" w:eastAsia="宋体" w:hAnsi="Arial" w:cs="Arial"/>
          <w:color w:val="000000"/>
          <w:sz w:val="20"/>
          <w:szCs w:val="20"/>
        </w:rPr>
        <w:t>•Indirect FX trading: Represents FX transactions with clients, for which we are the funds' custodian, or their investment managers, routed to our</w:t>
      </w:r>
      <w:r>
        <w:rPr>
          <w:rFonts w:ascii="Arial" w:eastAsia="宋体" w:hAnsi="Arial" w:cs="Arial"/>
          <w:color w:val="000000"/>
          <w:sz w:val="20"/>
          <w:szCs w:val="20"/>
        </w:rPr>
        <w:t xml:space="preserve"> FX desk through our asset-servicing operation. We execute indirect FX trades as a principal at rates disclosed to our clients.</w:t>
      </w:r>
    </w:p>
    <w:p w14:paraId="5F2CB114" w14:textId="77777777" w:rsidR="00E836FB" w:rsidRDefault="00994958">
      <w:pPr>
        <w:spacing w:before="60"/>
        <w:ind w:firstLine="450"/>
        <w:jc w:val="both"/>
      </w:pPr>
      <w:r>
        <w:rPr>
          <w:rFonts w:ascii="Arial" w:eastAsia="宋体" w:hAnsi="Arial" w:cs="Arial"/>
          <w:color w:val="000000"/>
          <w:sz w:val="20"/>
          <w:szCs w:val="20"/>
        </w:rPr>
        <w:t>Our FX trading revenue is influenced by multiple factors, including: the volume and type of client FX transactions and related s</w:t>
      </w:r>
      <w:r>
        <w:rPr>
          <w:rFonts w:ascii="Arial" w:eastAsia="宋体" w:hAnsi="Arial" w:cs="Arial"/>
          <w:color w:val="000000"/>
          <w:sz w:val="20"/>
          <w:szCs w:val="20"/>
        </w:rPr>
        <w:t>preads; currency volatility, reflecting market conditions; and our management of exchange rate, interest rate and other market risks associated with our FX activities. The relative impact of these factors on our total FX trading revenues often differs from</w:t>
      </w:r>
      <w:r>
        <w:rPr>
          <w:rFonts w:ascii="Arial" w:eastAsia="宋体" w:hAnsi="Arial" w:cs="Arial"/>
          <w:color w:val="000000"/>
          <w:sz w:val="20"/>
          <w:szCs w:val="20"/>
        </w:rPr>
        <w:t xml:space="preserve"> period to period. For example, assuming all other factors remain constant, increases or decreases in volumes or bid-offer spreads across product mix tend to result in increases or decreases, as the case may be, in client-related FX revenue. </w:t>
      </w:r>
    </w:p>
    <w:p w14:paraId="5F2CB115" w14:textId="77777777" w:rsidR="00E836FB" w:rsidRDefault="00994958">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68</w:t>
      </w:r>
    </w:p>
    <w:p w14:paraId="5F2CB116" w14:textId="77777777" w:rsidR="00E836FB" w:rsidRDefault="00E836FB">
      <w:pPr>
        <w:ind w:firstLine="450"/>
        <w:jc w:val="center"/>
      </w:pPr>
    </w:p>
    <w:p w14:paraId="5F2CB117" w14:textId="77777777" w:rsidR="00E836FB" w:rsidRDefault="00994958">
      <w:r>
        <w:pict w14:anchorId="5F2D6DC9">
          <v:rect id="_x0000_i1092" style="width:415.3pt;height:1.5pt" o:hralign="center" o:hrstd="t" o:hr="t" fillcolor="#a0a0a0" stroked="f"/>
        </w:pict>
      </w:r>
    </w:p>
    <w:p w14:paraId="5F2CB118"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119" w14:textId="77777777" w:rsidR="00E836FB" w:rsidRDefault="00994958">
      <w:pPr>
        <w:ind w:firstLine="450"/>
        <w:jc w:val="center"/>
      </w:pPr>
      <w:r>
        <w:rPr>
          <w:rFonts w:ascii="Arial" w:eastAsia="宋体" w:hAnsi="Arial" w:cs="Arial"/>
          <w:b/>
          <w:bCs/>
          <w:color w:val="000000"/>
          <w:sz w:val="20"/>
          <w:szCs w:val="20"/>
        </w:rPr>
        <w:t>AND RESULTS OF OPERATIONS</w:t>
      </w:r>
    </w:p>
    <w:p w14:paraId="5F2CB11A" w14:textId="77777777" w:rsidR="00E836FB" w:rsidRDefault="00994958">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not affiliated with us, transition from indirect FX trading to either direct sales and trading execution, including our “Street FX” service, or</w:t>
      </w:r>
      <w:r>
        <w:rPr>
          <w:rFonts w:ascii="Arial" w:eastAsia="宋体" w:hAnsi="Arial" w:cs="Arial"/>
          <w:color w:val="000000"/>
          <w:sz w:val="20"/>
          <w:szCs w:val="20"/>
        </w:rPr>
        <w:t xml:space="preserve"> to one of our electronic trading platforms. Street FX, in which we continue to act as a principal market-maker, enables our clients to define their FX execution strategy and automate the FX trade execution process, both for funds under custody with us as </w:t>
      </w:r>
      <w:r>
        <w:rPr>
          <w:rFonts w:ascii="Arial" w:eastAsia="宋体" w:hAnsi="Arial" w:cs="Arial"/>
          <w:color w:val="000000"/>
          <w:sz w:val="20"/>
          <w:szCs w:val="20"/>
        </w:rPr>
        <w:t xml:space="preserve">well as those under custody at another bank. </w:t>
      </w:r>
    </w:p>
    <w:p w14:paraId="5F2CB11B" w14:textId="77777777" w:rsidR="00E836FB" w:rsidRDefault="00994958">
      <w:pPr>
        <w:spacing w:before="60"/>
        <w:ind w:firstLine="450"/>
        <w:jc w:val="both"/>
        <w:textAlignment w:val="top"/>
      </w:pPr>
      <w:r>
        <w:rPr>
          <w:rFonts w:ascii="Arial" w:eastAsia="宋体" w:hAnsi="Arial" w:cs="Arial"/>
          <w:color w:val="000000"/>
          <w:sz w:val="20"/>
          <w:szCs w:val="20"/>
        </w:rPr>
        <w:t xml:space="preserve">We also earn foreign exchange trading services revenue through "electronic FX services" and "other trading, transition management and brokerage revenue." </w:t>
      </w:r>
    </w:p>
    <w:p w14:paraId="5F2CB11C" w14:textId="77777777" w:rsidR="00E836FB" w:rsidRDefault="00994958">
      <w:pPr>
        <w:spacing w:before="60"/>
        <w:ind w:hanging="360"/>
        <w:jc w:val="both"/>
        <w:textAlignment w:val="top"/>
      </w:pPr>
      <w:r>
        <w:rPr>
          <w:rFonts w:ascii="Arial" w:eastAsia="宋体" w:hAnsi="Arial" w:cs="Arial"/>
          <w:color w:val="000000"/>
          <w:sz w:val="20"/>
          <w:szCs w:val="20"/>
        </w:rPr>
        <w:t>•Electronic FX services: Our clients may choose to exec</w:t>
      </w:r>
      <w:r>
        <w:rPr>
          <w:rFonts w:ascii="Arial" w:eastAsia="宋体" w:hAnsi="Arial" w:cs="Arial"/>
          <w:color w:val="000000"/>
          <w:sz w:val="20"/>
          <w:szCs w:val="20"/>
        </w:rPr>
        <w:t>ute FX transactions through one of our electronic trading platforms. These transactions generate revenue through a “click” fee.</w:t>
      </w:r>
    </w:p>
    <w:p w14:paraId="5F2CB11D" w14:textId="77777777" w:rsidR="00E836FB" w:rsidRDefault="00994958">
      <w:pPr>
        <w:spacing w:before="60"/>
        <w:ind w:hanging="360"/>
        <w:jc w:val="both"/>
        <w:textAlignment w:val="top"/>
      </w:pPr>
      <w:r>
        <w:rPr>
          <w:rFonts w:ascii="Arial" w:eastAsia="宋体" w:hAnsi="Arial" w:cs="Arial"/>
          <w:color w:val="000000"/>
          <w:sz w:val="20"/>
          <w:szCs w:val="20"/>
        </w:rPr>
        <w:t>•Other trading, transition management and brokerage revenue: As our clients look to us to enhance and preserve portfolio values,</w:t>
      </w:r>
      <w:r>
        <w:rPr>
          <w:rFonts w:ascii="Arial" w:eastAsia="宋体" w:hAnsi="Arial" w:cs="Arial"/>
          <w:color w:val="000000"/>
          <w:sz w:val="20"/>
          <w:szCs w:val="20"/>
        </w:rPr>
        <w:t xml:space="preserve"> they may choose to utilize our Transition or Currency Management capabilities or transact with our Equity Trade execution group. These transactions, which are not limited to foreign exchange, generate revenue via commissions charged for trades transacted </w:t>
      </w:r>
      <w:r>
        <w:rPr>
          <w:rFonts w:ascii="Arial" w:eastAsia="宋体" w:hAnsi="Arial" w:cs="Arial"/>
          <w:color w:val="000000"/>
          <w:sz w:val="20"/>
          <w:szCs w:val="20"/>
        </w:rPr>
        <w:t xml:space="preserve">during the management of these portfolios. </w:t>
      </w:r>
    </w:p>
    <w:p w14:paraId="5F2CB11E" w14:textId="77777777" w:rsidR="00E836FB" w:rsidRDefault="00994958">
      <w:pPr>
        <w:ind w:firstLine="450"/>
        <w:jc w:val="both"/>
        <w:textAlignment w:val="top"/>
      </w:pPr>
      <w:r>
        <w:rPr>
          <w:rFonts w:ascii="Arial" w:eastAsia="宋体" w:hAnsi="Arial" w:cs="Arial"/>
          <w:color w:val="000000"/>
          <w:sz w:val="20"/>
          <w:szCs w:val="20"/>
        </w:rPr>
        <w:t>Fund Connect is another one of our electronic trading platforms: it is a global trading, analytics and cash management tool with access to more than 400 money market funds from leading providers.</w:t>
      </w:r>
    </w:p>
    <w:p w14:paraId="5F2CB11F" w14:textId="77777777" w:rsidR="00E836FB" w:rsidRDefault="00994958">
      <w:pPr>
        <w:spacing w:before="60"/>
        <w:jc w:val="both"/>
        <w:textAlignment w:val="top"/>
      </w:pPr>
      <w:r>
        <w:rPr>
          <w:rFonts w:ascii="Arial" w:eastAsia="宋体" w:hAnsi="Arial" w:cs="Arial"/>
          <w:b/>
          <w:bCs/>
          <w:i/>
          <w:iCs/>
          <w:color w:val="000000"/>
          <w:sz w:val="20"/>
          <w:szCs w:val="20"/>
        </w:rPr>
        <w:t>Securities Finan</w:t>
      </w:r>
      <w:r>
        <w:rPr>
          <w:rFonts w:ascii="Arial" w:eastAsia="宋体" w:hAnsi="Arial" w:cs="Arial"/>
          <w:b/>
          <w:bCs/>
          <w:i/>
          <w:iCs/>
          <w:color w:val="000000"/>
          <w:sz w:val="20"/>
          <w:szCs w:val="20"/>
        </w:rPr>
        <w:t>ce</w:t>
      </w:r>
    </w:p>
    <w:p w14:paraId="5F2CB120" w14:textId="77777777" w:rsidR="00E836FB" w:rsidRDefault="00994958">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5F2CB121" w14:textId="77777777" w:rsidR="00E836FB" w:rsidRDefault="00994958">
      <w:pPr>
        <w:spacing w:before="60"/>
        <w:ind w:hanging="360"/>
        <w:jc w:val="both"/>
        <w:textAlignment w:val="top"/>
      </w:pPr>
      <w:r>
        <w:rPr>
          <w:rFonts w:ascii="Arial" w:eastAsia="宋体" w:hAnsi="Arial" w:cs="Arial"/>
          <w:color w:val="000000"/>
          <w:sz w:val="20"/>
          <w:szCs w:val="20"/>
        </w:rPr>
        <w:t>(1) an agency lending program for State Street Global Advisors managed investment funds with a broad range of investment objectives, which we refer to as the State Street Global Advisors len</w:t>
      </w:r>
      <w:r>
        <w:rPr>
          <w:rFonts w:ascii="Arial" w:eastAsia="宋体" w:hAnsi="Arial" w:cs="Arial"/>
          <w:color w:val="000000"/>
          <w:sz w:val="20"/>
          <w:szCs w:val="20"/>
        </w:rPr>
        <w:t xml:space="preserve">ding funds; </w:t>
      </w:r>
    </w:p>
    <w:p w14:paraId="5F2CB122" w14:textId="77777777" w:rsidR="00E836FB" w:rsidRDefault="00994958">
      <w:pPr>
        <w:spacing w:before="60"/>
        <w:ind w:hanging="360"/>
        <w:jc w:val="both"/>
        <w:textAlignment w:val="top"/>
      </w:pPr>
      <w:r>
        <w:rPr>
          <w:rFonts w:ascii="Arial" w:eastAsia="宋体" w:hAnsi="Arial" w:cs="Arial"/>
          <w:color w:val="000000"/>
          <w:sz w:val="20"/>
          <w:szCs w:val="20"/>
        </w:rPr>
        <w:t xml:space="preserve">(2) an agency lending program for third-party investment managers and asset owners, which we refer to as the agency lending funds; and </w:t>
      </w:r>
    </w:p>
    <w:p w14:paraId="5F2CB123" w14:textId="77777777" w:rsidR="00E836FB" w:rsidRDefault="00994958">
      <w:pPr>
        <w:spacing w:before="60"/>
        <w:ind w:hanging="360"/>
        <w:jc w:val="both"/>
        <w:textAlignment w:val="top"/>
      </w:pPr>
      <w:r>
        <w:rPr>
          <w:rFonts w:ascii="Arial" w:eastAsia="宋体" w:hAnsi="Arial" w:cs="Arial"/>
          <w:color w:val="000000"/>
          <w:sz w:val="20"/>
          <w:szCs w:val="20"/>
        </w:rPr>
        <w:t>(3) security lending transactions which we enter into as principal, which we refer to as our enhanced custo</w:t>
      </w:r>
      <w:r>
        <w:rPr>
          <w:rFonts w:ascii="Arial" w:eastAsia="宋体" w:hAnsi="Arial" w:cs="Arial"/>
          <w:color w:val="000000"/>
          <w:sz w:val="20"/>
          <w:szCs w:val="20"/>
        </w:rPr>
        <w:t>dy business.</w:t>
      </w:r>
    </w:p>
    <w:p w14:paraId="5F2CB124" w14:textId="77777777" w:rsidR="00E836FB" w:rsidRDefault="00994958">
      <w:pPr>
        <w:spacing w:before="60"/>
        <w:ind w:firstLine="450"/>
        <w:jc w:val="both"/>
        <w:textAlignment w:val="top"/>
      </w:pPr>
      <w:r>
        <w:rPr>
          <w:rFonts w:ascii="Arial" w:eastAsia="宋体" w:hAnsi="Arial" w:cs="Arial"/>
          <w:color w:val="000000"/>
          <w:sz w:val="20"/>
          <w:szCs w:val="20"/>
        </w:rPr>
        <w:t>Securities finance revenue earned from our agency lending activities, which is composed of our split of both the spreads related to cash collateral and the fees related to non-cash collateral, is principally a function of the volume of securit</w:t>
      </w:r>
      <w:r>
        <w:rPr>
          <w:rFonts w:ascii="Arial" w:eastAsia="宋体" w:hAnsi="Arial" w:cs="Arial"/>
          <w:color w:val="000000"/>
          <w:sz w:val="20"/>
          <w:szCs w:val="20"/>
        </w:rPr>
        <w:t xml:space="preserve">ies on loan, the </w:t>
      </w:r>
    </w:p>
    <w:p w14:paraId="5F2CB125" w14:textId="77777777" w:rsidR="00E836FB" w:rsidRDefault="00994958">
      <w:pPr>
        <w:spacing w:before="60"/>
        <w:jc w:val="both"/>
        <w:textAlignment w:val="top"/>
      </w:pPr>
      <w:r>
        <w:rPr>
          <w:rFonts w:ascii="Arial" w:eastAsia="宋体" w:hAnsi="Arial" w:cs="Arial"/>
          <w:color w:val="000000"/>
          <w:sz w:val="20"/>
          <w:szCs w:val="20"/>
        </w:rPr>
        <w:t>interest rate spreads and fees earned on the underlying collateral and our share of the fee split.</w:t>
      </w:r>
    </w:p>
    <w:p w14:paraId="5F2CB126" w14:textId="77777777" w:rsidR="00E836FB" w:rsidRDefault="00994958">
      <w:pPr>
        <w:spacing w:before="60"/>
        <w:ind w:firstLine="450"/>
        <w:jc w:val="both"/>
        <w:textAlignment w:val="top"/>
      </w:pPr>
      <w:r>
        <w:rPr>
          <w:rFonts w:ascii="Arial" w:eastAsia="宋体" w:hAnsi="Arial" w:cs="Arial"/>
          <w:color w:val="000000"/>
          <w:sz w:val="20"/>
          <w:szCs w:val="20"/>
        </w:rPr>
        <w:t>As principal, our enhanced custody business borrows securities from the lending client or other market participants and then lends such sec</w:t>
      </w:r>
      <w:r>
        <w:rPr>
          <w:rFonts w:ascii="Arial" w:eastAsia="宋体" w:hAnsi="Arial" w:cs="Arial"/>
          <w:color w:val="000000"/>
          <w:sz w:val="20"/>
          <w:szCs w:val="20"/>
        </w:rPr>
        <w:t>urities to the subsequent borrower, either our client or a broker/dealer. We act as principal when the lending client is unable to, or elects not to, transact directly with the market and execute the transaction and furnish the securities. In our role as p</w:t>
      </w:r>
      <w:r>
        <w:rPr>
          <w:rFonts w:ascii="Arial" w:eastAsia="宋体" w:hAnsi="Arial" w:cs="Arial"/>
          <w:color w:val="000000"/>
          <w:sz w:val="20"/>
          <w:szCs w:val="20"/>
        </w:rPr>
        <w:t>rincipal, we provide support to the transaction through our credit rating. While we source a significant proportion of the securities furnished by us in our role as principal from third parties, we have the ability to source securities through assets under</w:t>
      </w:r>
      <w:r>
        <w:rPr>
          <w:rFonts w:ascii="Arial" w:eastAsia="宋体" w:hAnsi="Arial" w:cs="Arial"/>
          <w:color w:val="000000"/>
          <w:sz w:val="20"/>
          <w:szCs w:val="20"/>
        </w:rPr>
        <w:t xml:space="preserve"> custody from clients who have designated us as an eligible borrower.</w:t>
      </w:r>
    </w:p>
    <w:p w14:paraId="5F2CB127" w14:textId="77777777" w:rsidR="00E836FB" w:rsidRDefault="00994958">
      <w:pPr>
        <w:spacing w:before="60"/>
        <w:ind w:firstLine="450"/>
        <w:jc w:val="both"/>
        <w:textAlignment w:val="top"/>
      </w:pPr>
      <w:r>
        <w:rPr>
          <w:rFonts w:ascii="Arial" w:eastAsia="宋体" w:hAnsi="Arial" w:cs="Arial"/>
          <w:color w:val="000000"/>
          <w:sz w:val="20"/>
          <w:szCs w:val="20"/>
        </w:rPr>
        <w:t>Securities finance revenue, as presented in Table 2: Total Revenue, increased 17% in 2021 compared to 2020, primarily driven by higher client securities loan balances and new business wi</w:t>
      </w:r>
      <w:r>
        <w:rPr>
          <w:rFonts w:ascii="Arial" w:eastAsia="宋体" w:hAnsi="Arial" w:cs="Arial"/>
          <w:color w:val="000000"/>
          <w:sz w:val="20"/>
          <w:szCs w:val="20"/>
        </w:rPr>
        <w:t>ns in enhanced custody, partially offset by lower spreads.</w:t>
      </w:r>
    </w:p>
    <w:p w14:paraId="5F2CB128" w14:textId="77777777" w:rsidR="00E836FB" w:rsidRDefault="00994958">
      <w:pPr>
        <w:spacing w:before="60"/>
        <w:ind w:firstLine="450"/>
        <w:jc w:val="both"/>
        <w:textAlignment w:val="top"/>
      </w:pPr>
      <w:r>
        <w:rPr>
          <w:rFonts w:ascii="Arial" w:eastAsia="宋体" w:hAnsi="Arial" w:cs="Arial"/>
          <w:color w:val="000000"/>
          <w:sz w:val="20"/>
          <w:szCs w:val="20"/>
        </w:rPr>
        <w:t>Market influences may continue to affect client demand for securities finance, and as a result our revenue from, and the profitability of, our securities lending activities in future periods. In ad</w:t>
      </w:r>
      <w:r>
        <w:rPr>
          <w:rFonts w:ascii="Arial" w:eastAsia="宋体" w:hAnsi="Arial" w:cs="Arial"/>
          <w:color w:val="000000"/>
          <w:sz w:val="20"/>
          <w:szCs w:val="20"/>
        </w:rPr>
        <w:t>dition, the constantly evolving regulatory environment, including revised or proposed capital and liquidity standards, interpretations of those standards, and our own balance sheet management activities, may influence modifications to the way in which we d</w:t>
      </w:r>
      <w:r>
        <w:rPr>
          <w:rFonts w:ascii="Arial" w:eastAsia="宋体" w:hAnsi="Arial" w:cs="Arial"/>
          <w:color w:val="000000"/>
          <w:sz w:val="20"/>
          <w:szCs w:val="20"/>
        </w:rPr>
        <w:t>eliver our agency lending or enhanced custody businesses, the volume of our securities lending activity and related revenue and profitability in future periods.</w:t>
      </w:r>
    </w:p>
    <w:p w14:paraId="5F2CB129" w14:textId="77777777" w:rsidR="00E836FB" w:rsidRDefault="00994958">
      <w:pPr>
        <w:spacing w:before="60"/>
        <w:jc w:val="both"/>
        <w:textAlignment w:val="top"/>
      </w:pPr>
      <w:r>
        <w:rPr>
          <w:rFonts w:ascii="Arial" w:eastAsia="宋体" w:hAnsi="Arial" w:cs="Arial"/>
          <w:b/>
          <w:bCs/>
          <w:i/>
          <w:iCs/>
          <w:color w:val="000000"/>
          <w:sz w:val="20"/>
          <w:szCs w:val="20"/>
        </w:rPr>
        <w:t>Software and Processing Fees</w:t>
      </w:r>
    </w:p>
    <w:p w14:paraId="5F2CB12A" w14:textId="77777777" w:rsidR="00E836FB" w:rsidRDefault="00994958">
      <w:pPr>
        <w:spacing w:before="60"/>
        <w:ind w:firstLine="450"/>
        <w:jc w:val="both"/>
        <w:textAlignment w:val="top"/>
      </w:pPr>
      <w:r>
        <w:rPr>
          <w:rFonts w:ascii="Arial" w:eastAsia="宋体" w:hAnsi="Arial" w:cs="Arial"/>
          <w:color w:val="000000"/>
          <w:sz w:val="20"/>
          <w:szCs w:val="20"/>
        </w:rPr>
        <w:t>Software and processing fees revenue includes diverse types of fee</w:t>
      </w:r>
      <w:r>
        <w:rPr>
          <w:rFonts w:ascii="Arial" w:eastAsia="宋体" w:hAnsi="Arial" w:cs="Arial"/>
          <w:color w:val="000000"/>
          <w:sz w:val="20"/>
          <w:szCs w:val="20"/>
        </w:rPr>
        <w:t>s and revenue, including fees from software licensing and maintenance, fees from our structured products business and other revenue including equity income from our joint venture investments, market-related adjustments and income associated with certain ta</w:t>
      </w:r>
      <w:r>
        <w:rPr>
          <w:rFonts w:ascii="Arial" w:eastAsia="宋体" w:hAnsi="Arial" w:cs="Arial"/>
          <w:color w:val="000000"/>
          <w:sz w:val="20"/>
          <w:szCs w:val="20"/>
        </w:rPr>
        <w:t>x-advantaged investments.</w:t>
      </w:r>
    </w:p>
    <w:p w14:paraId="5F2CB12B" w14:textId="77777777" w:rsidR="00E836FB" w:rsidRDefault="00994958">
      <w:pPr>
        <w:spacing w:before="60"/>
        <w:ind w:firstLine="450"/>
        <w:jc w:val="both"/>
        <w:textAlignment w:val="top"/>
      </w:pPr>
      <w:r>
        <w:rPr>
          <w:rFonts w:ascii="Arial" w:eastAsia="宋体" w:hAnsi="Arial" w:cs="Arial"/>
          <w:color w:val="000000"/>
          <w:sz w:val="20"/>
          <w:szCs w:val="20"/>
        </w:rPr>
        <w:t>Software and processing fees revenue, presented in Table 2: Total Revenue, increased 7% in 2021 compared to 2020 and includes approximately $435 million and $406 million from CRD in 2021 and 2020, respectively. CRD contributed app</w:t>
      </w:r>
      <w:r>
        <w:rPr>
          <w:rFonts w:ascii="Arial" w:eastAsia="宋体" w:hAnsi="Arial" w:cs="Arial"/>
          <w:color w:val="000000"/>
          <w:sz w:val="20"/>
          <w:szCs w:val="20"/>
        </w:rPr>
        <w:t>roximately $13 million and $14 million in brokerage and other trading services within foreign exchange trading services in 2021, and 2020, respectively, and $448 million in total revenue in 2021, compared to $420 million in 2020. The increase in revenue is</w:t>
      </w:r>
      <w:r>
        <w:rPr>
          <w:rFonts w:ascii="Arial" w:eastAsia="宋体" w:hAnsi="Arial" w:cs="Arial"/>
          <w:color w:val="000000"/>
          <w:sz w:val="20"/>
          <w:szCs w:val="20"/>
        </w:rPr>
        <w:t xml:space="preserve"> primarily driven by software as a service (SaaS) and professional services revenue. In addition, CRD revenue with affiliated entities, which is eliminated in our consolidated financial statements, was $62 million and $39 million in 2021 and 2020, respecti</w:t>
      </w:r>
      <w:r>
        <w:rPr>
          <w:rFonts w:ascii="Arial" w:eastAsia="宋体" w:hAnsi="Arial" w:cs="Arial"/>
          <w:color w:val="000000"/>
          <w:sz w:val="20"/>
          <w:szCs w:val="20"/>
        </w:rPr>
        <w:t xml:space="preserve">vely. </w:t>
      </w:r>
    </w:p>
    <w:p w14:paraId="5F2CB12C" w14:textId="77777777" w:rsidR="00E836FB" w:rsidRDefault="00994958">
      <w:pPr>
        <w:ind w:firstLine="450"/>
        <w:jc w:val="right"/>
      </w:pPr>
      <w:r>
        <w:rPr>
          <w:rFonts w:ascii="Arial" w:eastAsia="宋体" w:hAnsi="Arial" w:cs="Arial"/>
          <w:color w:val="000000"/>
          <w:sz w:val="18"/>
          <w:szCs w:val="18"/>
        </w:rPr>
        <w:t>State Street Corporation | 69</w:t>
      </w:r>
    </w:p>
    <w:p w14:paraId="5F2CB12D" w14:textId="77777777" w:rsidR="00E836FB" w:rsidRDefault="00E836FB">
      <w:pPr>
        <w:ind w:firstLine="450"/>
        <w:jc w:val="center"/>
      </w:pPr>
    </w:p>
    <w:p w14:paraId="5F2CB12E" w14:textId="77777777" w:rsidR="00E836FB" w:rsidRDefault="00994958">
      <w:r>
        <w:pict w14:anchorId="5F2D6DCA">
          <v:rect id="_x0000_i1093" style="width:415.3pt;height:1.5pt" o:hralign="center" o:hrstd="t" o:hr="t" fillcolor="#a0a0a0" stroked="f"/>
        </w:pict>
      </w:r>
    </w:p>
    <w:p w14:paraId="5F2CB12F"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130" w14:textId="77777777" w:rsidR="00E836FB" w:rsidRDefault="00994958">
      <w:pPr>
        <w:ind w:firstLine="450"/>
        <w:jc w:val="center"/>
      </w:pPr>
      <w:r>
        <w:rPr>
          <w:rFonts w:ascii="Arial" w:eastAsia="宋体" w:hAnsi="Arial" w:cs="Arial"/>
          <w:b/>
          <w:bCs/>
          <w:color w:val="000000"/>
          <w:sz w:val="20"/>
          <w:szCs w:val="20"/>
        </w:rPr>
        <w:t>AND RESULTS OF OPERATIONS</w:t>
      </w:r>
    </w:p>
    <w:p w14:paraId="5F2CB131" w14:textId="77777777" w:rsidR="00E836FB" w:rsidRDefault="00994958">
      <w:pPr>
        <w:spacing w:before="60"/>
        <w:jc w:val="both"/>
        <w:textAlignment w:val="top"/>
      </w:pPr>
      <w:r>
        <w:rPr>
          <w:rFonts w:ascii="Arial" w:eastAsia="宋体" w:hAnsi="Arial" w:cs="Arial"/>
          <w:color w:val="000000"/>
          <w:sz w:val="20"/>
          <w:szCs w:val="20"/>
        </w:rPr>
        <w:t>Revenue related to the front office solutions provided by CRD is primarily driven by the sale of term software licenses and SaaS, including professional services such as consulting and implementation services, software support and maintenance. Approximatel</w:t>
      </w:r>
      <w:r>
        <w:rPr>
          <w:rFonts w:ascii="Arial" w:eastAsia="宋体" w:hAnsi="Arial" w:cs="Arial"/>
          <w:color w:val="000000"/>
          <w:sz w:val="20"/>
          <w:szCs w:val="20"/>
        </w:rPr>
        <w:t>y 50%-70% of revenue associated with a sale of software to be installed on-premises is recognized at a point in time when the customer benefits from obtaining access to and use of the software license, with the percentage varying based on the length of the</w:t>
      </w:r>
      <w:r>
        <w:rPr>
          <w:rFonts w:ascii="Arial" w:eastAsia="宋体" w:hAnsi="Arial" w:cs="Arial"/>
          <w:color w:val="000000"/>
          <w:sz w:val="20"/>
          <w:szCs w:val="20"/>
        </w:rPr>
        <w:t xml:space="preserve"> contract and other contractual terms. The remainder of revenue for on-premise installations is recognized over the length of the contract as maintenance and other services are provided. Upon renewal of an on-premises software contract, the same pattern of</w:t>
      </w:r>
      <w:r>
        <w:rPr>
          <w:rFonts w:ascii="Arial" w:eastAsia="宋体" w:hAnsi="Arial" w:cs="Arial"/>
          <w:color w:val="000000"/>
          <w:sz w:val="20"/>
          <w:szCs w:val="20"/>
        </w:rPr>
        <w:t xml:space="preserve"> revenue recognition is followed with 50%-70% recognized upon renewal and the balance recognized over the term of the contract. Revenue for a SaaS related arrangement, where the customer does not take possession of the software, is recognized over the term</w:t>
      </w:r>
      <w:r>
        <w:rPr>
          <w:rFonts w:ascii="Arial" w:eastAsia="宋体" w:hAnsi="Arial" w:cs="Arial"/>
          <w:color w:val="000000"/>
          <w:sz w:val="20"/>
          <w:szCs w:val="20"/>
        </w:rPr>
        <w:t xml:space="preserve"> of the contract as services are provided. Upon renewal of a SaaS arrangement, revenue continues to be recognized as services are provided under the new contract. As a result of these differences in how portions of CRD revenue are accounted for, CRD revenu</w:t>
      </w:r>
      <w:r>
        <w:rPr>
          <w:rFonts w:ascii="Arial" w:eastAsia="宋体" w:hAnsi="Arial" w:cs="Arial"/>
          <w:color w:val="000000"/>
          <w:sz w:val="20"/>
          <w:szCs w:val="20"/>
        </w:rPr>
        <w:t xml:space="preserve">e may vary more than other business units quarter to quarter. </w:t>
      </w:r>
    </w:p>
    <w:p w14:paraId="5F2CB132" w14:textId="77777777" w:rsidR="00E836FB" w:rsidRDefault="00994958">
      <w:pPr>
        <w:spacing w:before="60"/>
        <w:ind w:firstLine="450"/>
        <w:jc w:val="both"/>
        <w:textAlignment w:val="top"/>
      </w:pPr>
      <w:r>
        <w:rPr>
          <w:rFonts w:ascii="Arial" w:eastAsia="宋体" w:hAnsi="Arial" w:cs="Arial"/>
          <w:color w:val="000000"/>
          <w:sz w:val="20"/>
          <w:szCs w:val="20"/>
        </w:rPr>
        <w:t>Amortization of tax advantage investments negatively impacted software and processing fees by approximately $94 million and $88 million in 2021 and 2020, respectively.</w:t>
      </w:r>
    </w:p>
    <w:p w14:paraId="5F2CB133" w14:textId="77777777" w:rsidR="00E836FB" w:rsidRDefault="00994958">
      <w:pPr>
        <w:spacing w:before="60"/>
        <w:ind w:firstLine="450"/>
        <w:jc w:val="both"/>
        <w:textAlignment w:val="top"/>
      </w:pPr>
      <w:r>
        <w:rPr>
          <w:rFonts w:ascii="Arial" w:eastAsia="宋体" w:hAnsi="Arial" w:cs="Arial"/>
          <w:color w:val="000000"/>
          <w:sz w:val="20"/>
          <w:szCs w:val="20"/>
        </w:rPr>
        <w:t>In addition, FX and marke</w:t>
      </w:r>
      <w:r>
        <w:rPr>
          <w:rFonts w:ascii="Arial" w:eastAsia="宋体" w:hAnsi="Arial" w:cs="Arial"/>
          <w:color w:val="000000"/>
          <w:sz w:val="20"/>
          <w:szCs w:val="20"/>
        </w:rPr>
        <w:t>t-related adjustments, which also includes certain fair value adjustments, impacted software and processing fees by approximately $20 million and $26 million in 2021 and 2020, respectively.</w:t>
      </w:r>
    </w:p>
    <w:p w14:paraId="5F2CB134" w14:textId="77777777" w:rsidR="00E836FB" w:rsidRDefault="00994958">
      <w:pPr>
        <w:ind w:firstLine="450"/>
        <w:jc w:val="both"/>
        <w:textAlignment w:val="top"/>
      </w:pPr>
      <w:r>
        <w:rPr>
          <w:rFonts w:ascii="Arial" w:eastAsia="宋体" w:hAnsi="Arial" w:cs="Arial"/>
          <w:color w:val="000000"/>
          <w:sz w:val="20"/>
          <w:szCs w:val="20"/>
        </w:rPr>
        <w:t>Additional information about fee revenue is provided under "Line o</w:t>
      </w:r>
      <w:r>
        <w:rPr>
          <w:rFonts w:ascii="Arial" w:eastAsia="宋体" w:hAnsi="Arial" w:cs="Arial"/>
          <w:color w:val="000000"/>
          <w:sz w:val="20"/>
          <w:szCs w:val="20"/>
        </w:rPr>
        <w:t>f Business Information" included in this Management's Discussion and Analysis.</w:t>
      </w:r>
    </w:p>
    <w:p w14:paraId="5F2CB135" w14:textId="77777777" w:rsidR="00E836FB" w:rsidRDefault="00994958">
      <w:pPr>
        <w:spacing w:before="60"/>
        <w:jc w:val="both"/>
        <w:textAlignment w:val="top"/>
      </w:pPr>
      <w:r>
        <w:rPr>
          <w:rFonts w:ascii="Arial" w:eastAsia="宋体" w:hAnsi="Arial" w:cs="Arial"/>
          <w:b/>
          <w:bCs/>
          <w:i/>
          <w:iCs/>
          <w:color w:val="000000"/>
          <w:sz w:val="20"/>
          <w:szCs w:val="20"/>
        </w:rPr>
        <w:t>Net Interest Income</w:t>
      </w:r>
    </w:p>
    <w:p w14:paraId="5F2CB136" w14:textId="77777777" w:rsidR="00E836FB" w:rsidRDefault="00994958">
      <w:pPr>
        <w:spacing w:before="60"/>
        <w:ind w:firstLine="450"/>
        <w:jc w:val="both"/>
        <w:textAlignment w:val="top"/>
      </w:pPr>
      <w:r>
        <w:rPr>
          <w:rFonts w:ascii="Arial" w:eastAsia="宋体" w:hAnsi="Arial" w:cs="Arial"/>
          <w:color w:val="000000"/>
          <w:sz w:val="20"/>
          <w:szCs w:val="20"/>
        </w:rPr>
        <w:t xml:space="preserve">See Table 2: Total Revenue, for the breakout of interest income and interest expense for the years ended December 31, 2021, 2020 and 2019. </w:t>
      </w:r>
    </w:p>
    <w:p w14:paraId="5F2CB137" w14:textId="77777777" w:rsidR="00E836FB" w:rsidRDefault="00994958">
      <w:pPr>
        <w:spacing w:before="60"/>
        <w:ind w:firstLine="450"/>
        <w:jc w:val="both"/>
        <w:textAlignment w:val="top"/>
      </w:pPr>
      <w:r>
        <w:rPr>
          <w:rFonts w:ascii="Arial" w:eastAsia="宋体" w:hAnsi="Arial" w:cs="Arial"/>
          <w:color w:val="000000"/>
          <w:sz w:val="20"/>
          <w:szCs w:val="20"/>
        </w:rPr>
        <w:t>NII is defined as</w:t>
      </w:r>
      <w:r>
        <w:rPr>
          <w:rFonts w:ascii="Arial" w:eastAsia="宋体" w:hAnsi="Arial" w:cs="Arial"/>
          <w:color w:val="000000"/>
          <w:sz w:val="20"/>
          <w:szCs w:val="20"/>
        </w:rPr>
        <w:t xml:space="preserve"> interest income earned on interest-earning assets less interest expense incurred on interest-bearing liabilities. Interest-earning assets, which principally consist of investment securities, interest-bearing deposits with banks, loans, resale agreements a</w:t>
      </w:r>
      <w:r>
        <w:rPr>
          <w:rFonts w:ascii="Arial" w:eastAsia="宋体" w:hAnsi="Arial" w:cs="Arial"/>
          <w:color w:val="000000"/>
          <w:sz w:val="20"/>
          <w:szCs w:val="20"/>
        </w:rPr>
        <w:t>nd other liquid assets, are financed primarily by client deposits, short-term borrowings and long-term debt.</w:t>
      </w:r>
    </w:p>
    <w:p w14:paraId="5F2CB138" w14:textId="77777777" w:rsidR="00E836FB" w:rsidRDefault="00994958">
      <w:pPr>
        <w:spacing w:before="60"/>
        <w:ind w:firstLine="450"/>
        <w:jc w:val="both"/>
        <w:textAlignment w:val="top"/>
      </w:pPr>
      <w:r>
        <w:rPr>
          <w:rFonts w:ascii="Arial" w:eastAsia="宋体" w:hAnsi="Arial" w:cs="Arial"/>
          <w:color w:val="000000"/>
          <w:sz w:val="20"/>
          <w:szCs w:val="20"/>
        </w:rPr>
        <w:t>NIM represents the relationship between annualized FTE NII and average total interest-earning assets for the period. It is calculated by dividing F</w:t>
      </w:r>
      <w:r>
        <w:rPr>
          <w:rFonts w:ascii="Arial" w:eastAsia="宋体" w:hAnsi="Arial" w:cs="Arial"/>
          <w:color w:val="000000"/>
          <w:sz w:val="20"/>
          <w:szCs w:val="20"/>
        </w:rPr>
        <w:t xml:space="preserve">TE NII by average interest-earning assets. Revenue that </w:t>
      </w:r>
    </w:p>
    <w:p w14:paraId="5F2CB139" w14:textId="77777777" w:rsidR="00E836FB" w:rsidRDefault="00994958">
      <w:pPr>
        <w:spacing w:before="60"/>
        <w:jc w:val="both"/>
        <w:textAlignment w:val="top"/>
      </w:pPr>
      <w:r>
        <w:rPr>
          <w:rFonts w:ascii="Arial" w:eastAsia="宋体" w:hAnsi="Arial" w:cs="Arial"/>
          <w:color w:val="000000"/>
          <w:sz w:val="20"/>
          <w:szCs w:val="20"/>
        </w:rPr>
        <w:t>is exempt from income taxes, mainly earned from certain investment securities (state and political subdivisions), is adjusted to a FTE basis using the U.S. federal and state statutory income tax rate</w:t>
      </w:r>
      <w:r>
        <w:rPr>
          <w:rFonts w:ascii="Arial" w:eastAsia="宋体" w:hAnsi="Arial" w:cs="Arial"/>
          <w:color w:val="000000"/>
          <w:sz w:val="20"/>
          <w:szCs w:val="20"/>
        </w:rPr>
        <w:t>s.</w:t>
      </w:r>
    </w:p>
    <w:p w14:paraId="5F2CB13A" w14:textId="77777777" w:rsidR="00E836FB" w:rsidRDefault="00994958">
      <w:pPr>
        <w:spacing w:before="60"/>
        <w:ind w:firstLine="450"/>
        <w:jc w:val="both"/>
        <w:textAlignment w:val="top"/>
      </w:pPr>
      <w:r>
        <w:rPr>
          <w:rFonts w:ascii="Arial" w:eastAsia="宋体" w:hAnsi="Arial" w:cs="Arial"/>
          <w:color w:val="000000"/>
          <w:sz w:val="20"/>
          <w:szCs w:val="20"/>
        </w:rPr>
        <w:t>NII on an FTE basis decreased in 2021 compared to 2020, primarily due to lower investment portfolio yields, partially offset by growth in the investment portfolio, deposits, and higher loan balances.</w:t>
      </w:r>
    </w:p>
    <w:p w14:paraId="5F2CB13B" w14:textId="77777777" w:rsidR="00E836FB" w:rsidRDefault="00994958">
      <w:pPr>
        <w:spacing w:before="60"/>
        <w:ind w:firstLine="450"/>
        <w:jc w:val="both"/>
        <w:textAlignment w:val="top"/>
      </w:pPr>
      <w:r>
        <w:rPr>
          <w:rFonts w:ascii="Arial" w:eastAsia="宋体" w:hAnsi="Arial" w:cs="Arial"/>
          <w:color w:val="000000"/>
          <w:sz w:val="20"/>
          <w:szCs w:val="20"/>
        </w:rPr>
        <w:t>Investment securities net premium amortization, which</w:t>
      </w:r>
      <w:r>
        <w:rPr>
          <w:rFonts w:ascii="Arial" w:eastAsia="宋体" w:hAnsi="Arial" w:cs="Arial"/>
          <w:color w:val="000000"/>
          <w:sz w:val="20"/>
          <w:szCs w:val="20"/>
        </w:rPr>
        <w:t xml:space="preserve"> is included in interest income, was $556 million in 2021, compared to $575 million in 2020 and $434 million in 2019. The decrease in MBS premium amortization is primarily due to lower prepayments.</w:t>
      </w:r>
    </w:p>
    <w:p w14:paraId="5F2CB13C" w14:textId="77777777" w:rsidR="00E836FB" w:rsidRDefault="00994958">
      <w:pPr>
        <w:spacing w:before="60"/>
        <w:ind w:firstLine="450"/>
        <w:jc w:val="both"/>
        <w:textAlignment w:val="top"/>
      </w:pPr>
      <w:r>
        <w:rPr>
          <w:rFonts w:ascii="Arial" w:eastAsia="宋体" w:hAnsi="Arial" w:cs="Arial"/>
          <w:color w:val="000000"/>
          <w:sz w:val="20"/>
          <w:szCs w:val="20"/>
        </w:rPr>
        <w:t>Interest income related to debt securities is recognized i</w:t>
      </w:r>
      <w:r>
        <w:rPr>
          <w:rFonts w:ascii="Arial" w:eastAsia="宋体" w:hAnsi="Arial" w:cs="Arial"/>
          <w:color w:val="000000"/>
          <w:sz w:val="20"/>
          <w:szCs w:val="20"/>
        </w:rPr>
        <w:t>n our consolidated statement of income using the effective interest method, or on a basis approximating a level rate of return over the contractual or estimated life of the security. The rate of return considers any non-refundable fees or costs, as well as</w:t>
      </w:r>
      <w:r>
        <w:rPr>
          <w:rFonts w:ascii="Arial" w:eastAsia="宋体" w:hAnsi="Arial" w:cs="Arial"/>
          <w:color w:val="000000"/>
          <w:sz w:val="20"/>
          <w:szCs w:val="20"/>
        </w:rPr>
        <w:t xml:space="preserve"> purchase premiums or discounts, resulting in amortization or accretion, accordingly. The amortization of premiums and accretion of discounts are adjusted for prepayments when they occur, which primarily impact mortgage-backed securities.</w:t>
      </w:r>
    </w:p>
    <w:p w14:paraId="5F2CB13D" w14:textId="77777777" w:rsidR="00E836FB" w:rsidRDefault="00994958">
      <w:pPr>
        <w:ind w:firstLine="450"/>
        <w:jc w:val="right"/>
      </w:pPr>
      <w:r>
        <w:rPr>
          <w:rFonts w:ascii="Arial" w:eastAsia="宋体" w:hAnsi="Arial" w:cs="Arial"/>
          <w:color w:val="000000"/>
          <w:sz w:val="18"/>
          <w:szCs w:val="18"/>
        </w:rPr>
        <w:t>State Street Corp</w:t>
      </w:r>
      <w:r>
        <w:rPr>
          <w:rFonts w:ascii="Arial" w:eastAsia="宋体" w:hAnsi="Arial" w:cs="Arial"/>
          <w:color w:val="000000"/>
          <w:sz w:val="18"/>
          <w:szCs w:val="18"/>
        </w:rPr>
        <w:t>oration | 70</w:t>
      </w:r>
    </w:p>
    <w:p w14:paraId="5F2CB13E" w14:textId="77777777" w:rsidR="00E836FB" w:rsidRDefault="00E836FB">
      <w:pPr>
        <w:ind w:firstLine="450"/>
        <w:jc w:val="center"/>
      </w:pPr>
    </w:p>
    <w:p w14:paraId="5F2CB13F" w14:textId="77777777" w:rsidR="00E836FB" w:rsidRDefault="00994958">
      <w:r>
        <w:pict w14:anchorId="5F2D6DCB">
          <v:rect id="_x0000_i1094" style="width:415.3pt;height:1.5pt" o:hralign="center" o:hrstd="t" o:hr="t" fillcolor="#a0a0a0" stroked="f"/>
        </w:pict>
      </w:r>
    </w:p>
    <w:p w14:paraId="5F2CB140"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141" w14:textId="77777777" w:rsidR="00E836FB" w:rsidRDefault="00994958">
      <w:pPr>
        <w:ind w:firstLine="450"/>
        <w:jc w:val="center"/>
      </w:pPr>
      <w:r>
        <w:rPr>
          <w:rFonts w:ascii="Arial" w:eastAsia="宋体" w:hAnsi="Arial" w:cs="Arial"/>
          <w:b/>
          <w:bCs/>
          <w:color w:val="000000"/>
          <w:sz w:val="20"/>
          <w:szCs w:val="20"/>
        </w:rPr>
        <w:t>AND RESULTS OF OPERATIONS</w:t>
      </w:r>
    </w:p>
    <w:p w14:paraId="5F2CB142" w14:textId="77777777" w:rsidR="00E836FB" w:rsidRDefault="00994958">
      <w:pPr>
        <w:spacing w:before="60"/>
        <w:ind w:firstLine="450"/>
        <w:jc w:val="both"/>
      </w:pPr>
      <w:r>
        <w:rPr>
          <w:rFonts w:ascii="Arial" w:eastAsia="宋体" w:hAnsi="Arial" w:cs="Arial"/>
          <w:color w:val="000000"/>
          <w:sz w:val="20"/>
          <w:szCs w:val="20"/>
        </w:rPr>
        <w:t>The following table presents the investment securities amortizable purchase premium net of discount accretion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41"/>
        <w:gridCol w:w="1515"/>
        <w:gridCol w:w="38"/>
        <w:gridCol w:w="98"/>
        <w:gridCol w:w="431"/>
        <w:gridCol w:w="36"/>
        <w:gridCol w:w="36"/>
        <w:gridCol w:w="36"/>
        <w:gridCol w:w="36"/>
        <w:gridCol w:w="99"/>
        <w:gridCol w:w="578"/>
        <w:gridCol w:w="36"/>
        <w:gridCol w:w="36"/>
        <w:gridCol w:w="36"/>
        <w:gridCol w:w="36"/>
        <w:gridCol w:w="98"/>
        <w:gridCol w:w="431"/>
        <w:gridCol w:w="36"/>
        <w:gridCol w:w="36"/>
        <w:gridCol w:w="36"/>
        <w:gridCol w:w="36"/>
        <w:gridCol w:w="98"/>
        <w:gridCol w:w="431"/>
        <w:gridCol w:w="36"/>
        <w:gridCol w:w="36"/>
        <w:gridCol w:w="36"/>
        <w:gridCol w:w="36"/>
        <w:gridCol w:w="99"/>
        <w:gridCol w:w="578"/>
        <w:gridCol w:w="36"/>
        <w:gridCol w:w="36"/>
        <w:gridCol w:w="36"/>
        <w:gridCol w:w="36"/>
        <w:gridCol w:w="98"/>
        <w:gridCol w:w="431"/>
        <w:gridCol w:w="36"/>
        <w:gridCol w:w="36"/>
        <w:gridCol w:w="36"/>
        <w:gridCol w:w="36"/>
        <w:gridCol w:w="98"/>
        <w:gridCol w:w="431"/>
        <w:gridCol w:w="36"/>
        <w:gridCol w:w="36"/>
        <w:gridCol w:w="36"/>
        <w:gridCol w:w="36"/>
        <w:gridCol w:w="99"/>
        <w:gridCol w:w="578"/>
        <w:gridCol w:w="36"/>
        <w:gridCol w:w="36"/>
        <w:gridCol w:w="36"/>
        <w:gridCol w:w="36"/>
        <w:gridCol w:w="98"/>
        <w:gridCol w:w="431"/>
        <w:gridCol w:w="36"/>
        <w:gridCol w:w="36"/>
        <w:gridCol w:w="36"/>
        <w:gridCol w:w="36"/>
        <w:gridCol w:w="36"/>
        <w:gridCol w:w="36"/>
        <w:gridCol w:w="36"/>
        <w:gridCol w:w="36"/>
        <w:gridCol w:w="36"/>
        <w:gridCol w:w="36"/>
      </w:tblGrid>
      <w:tr w:rsidR="00E836FB" w14:paraId="5F2CB17D" w14:textId="77777777">
        <w:tc>
          <w:tcPr>
            <w:tcW w:w="50" w:type="pct"/>
            <w:shd w:val="clear" w:color="auto" w:fill="auto"/>
            <w:vAlign w:val="bottom"/>
          </w:tcPr>
          <w:p w14:paraId="5F2CB143" w14:textId="77777777" w:rsidR="00E836FB" w:rsidRDefault="00E836FB">
            <w:pPr>
              <w:rPr>
                <w:rFonts w:ascii="宋体"/>
              </w:rPr>
            </w:pPr>
          </w:p>
        </w:tc>
        <w:tc>
          <w:tcPr>
            <w:tcW w:w="1081" w:type="pct"/>
            <w:shd w:val="clear" w:color="auto" w:fill="auto"/>
            <w:vAlign w:val="bottom"/>
          </w:tcPr>
          <w:p w14:paraId="5F2CB144" w14:textId="77777777" w:rsidR="00E836FB" w:rsidRDefault="00E836FB">
            <w:pPr>
              <w:rPr>
                <w:rFonts w:ascii="宋体"/>
              </w:rPr>
            </w:pPr>
          </w:p>
        </w:tc>
        <w:tc>
          <w:tcPr>
            <w:tcW w:w="5" w:type="pct"/>
            <w:shd w:val="clear" w:color="auto" w:fill="auto"/>
            <w:vAlign w:val="bottom"/>
          </w:tcPr>
          <w:p w14:paraId="5F2CB145" w14:textId="77777777" w:rsidR="00E836FB" w:rsidRDefault="00E836FB">
            <w:pPr>
              <w:rPr>
                <w:rFonts w:ascii="宋体"/>
              </w:rPr>
            </w:pPr>
          </w:p>
        </w:tc>
        <w:tc>
          <w:tcPr>
            <w:tcW w:w="50" w:type="pct"/>
            <w:shd w:val="clear" w:color="auto" w:fill="auto"/>
            <w:vAlign w:val="bottom"/>
          </w:tcPr>
          <w:p w14:paraId="5F2CB146" w14:textId="77777777" w:rsidR="00E836FB" w:rsidRDefault="00E836FB">
            <w:pPr>
              <w:rPr>
                <w:rFonts w:ascii="宋体"/>
              </w:rPr>
            </w:pPr>
          </w:p>
        </w:tc>
        <w:tc>
          <w:tcPr>
            <w:tcW w:w="348" w:type="pct"/>
            <w:shd w:val="clear" w:color="auto" w:fill="auto"/>
            <w:vAlign w:val="bottom"/>
          </w:tcPr>
          <w:p w14:paraId="5F2CB147" w14:textId="77777777" w:rsidR="00E836FB" w:rsidRDefault="00E836FB">
            <w:pPr>
              <w:rPr>
                <w:rFonts w:ascii="宋体"/>
              </w:rPr>
            </w:pPr>
          </w:p>
        </w:tc>
        <w:tc>
          <w:tcPr>
            <w:tcW w:w="5" w:type="pct"/>
            <w:shd w:val="clear" w:color="auto" w:fill="auto"/>
            <w:vAlign w:val="bottom"/>
          </w:tcPr>
          <w:p w14:paraId="5F2CB148" w14:textId="77777777" w:rsidR="00E836FB" w:rsidRDefault="00E836FB">
            <w:pPr>
              <w:rPr>
                <w:rFonts w:ascii="宋体"/>
              </w:rPr>
            </w:pPr>
          </w:p>
        </w:tc>
        <w:tc>
          <w:tcPr>
            <w:tcW w:w="5" w:type="pct"/>
            <w:shd w:val="clear" w:color="auto" w:fill="auto"/>
            <w:vAlign w:val="bottom"/>
          </w:tcPr>
          <w:p w14:paraId="5F2CB149" w14:textId="77777777" w:rsidR="00E836FB" w:rsidRDefault="00E836FB">
            <w:pPr>
              <w:rPr>
                <w:rFonts w:ascii="宋体"/>
              </w:rPr>
            </w:pPr>
          </w:p>
        </w:tc>
        <w:tc>
          <w:tcPr>
            <w:tcW w:w="19" w:type="pct"/>
            <w:shd w:val="clear" w:color="auto" w:fill="auto"/>
            <w:vAlign w:val="bottom"/>
          </w:tcPr>
          <w:p w14:paraId="5F2CB14A" w14:textId="77777777" w:rsidR="00E836FB" w:rsidRDefault="00E836FB">
            <w:pPr>
              <w:rPr>
                <w:rFonts w:ascii="宋体"/>
              </w:rPr>
            </w:pPr>
          </w:p>
        </w:tc>
        <w:tc>
          <w:tcPr>
            <w:tcW w:w="5" w:type="pct"/>
            <w:shd w:val="clear" w:color="auto" w:fill="auto"/>
            <w:vAlign w:val="bottom"/>
          </w:tcPr>
          <w:p w14:paraId="5F2CB14B" w14:textId="77777777" w:rsidR="00E836FB" w:rsidRDefault="00E836FB">
            <w:pPr>
              <w:rPr>
                <w:rFonts w:ascii="宋体"/>
              </w:rPr>
            </w:pPr>
          </w:p>
        </w:tc>
        <w:tc>
          <w:tcPr>
            <w:tcW w:w="50" w:type="pct"/>
            <w:shd w:val="clear" w:color="auto" w:fill="auto"/>
            <w:vAlign w:val="bottom"/>
          </w:tcPr>
          <w:p w14:paraId="5F2CB14C" w14:textId="77777777" w:rsidR="00E836FB" w:rsidRDefault="00E836FB">
            <w:pPr>
              <w:rPr>
                <w:rFonts w:ascii="宋体"/>
              </w:rPr>
            </w:pPr>
          </w:p>
        </w:tc>
        <w:tc>
          <w:tcPr>
            <w:tcW w:w="348" w:type="pct"/>
            <w:shd w:val="clear" w:color="auto" w:fill="auto"/>
            <w:vAlign w:val="bottom"/>
          </w:tcPr>
          <w:p w14:paraId="5F2CB14D" w14:textId="77777777" w:rsidR="00E836FB" w:rsidRDefault="00E836FB">
            <w:pPr>
              <w:rPr>
                <w:rFonts w:ascii="宋体"/>
              </w:rPr>
            </w:pPr>
          </w:p>
        </w:tc>
        <w:tc>
          <w:tcPr>
            <w:tcW w:w="5" w:type="pct"/>
            <w:shd w:val="clear" w:color="auto" w:fill="auto"/>
            <w:vAlign w:val="bottom"/>
          </w:tcPr>
          <w:p w14:paraId="5F2CB14E" w14:textId="77777777" w:rsidR="00E836FB" w:rsidRDefault="00E836FB">
            <w:pPr>
              <w:rPr>
                <w:rFonts w:ascii="宋体"/>
              </w:rPr>
            </w:pPr>
          </w:p>
        </w:tc>
        <w:tc>
          <w:tcPr>
            <w:tcW w:w="5" w:type="pct"/>
            <w:shd w:val="clear" w:color="auto" w:fill="auto"/>
            <w:vAlign w:val="bottom"/>
          </w:tcPr>
          <w:p w14:paraId="5F2CB14F" w14:textId="77777777" w:rsidR="00E836FB" w:rsidRDefault="00E836FB">
            <w:pPr>
              <w:rPr>
                <w:rFonts w:ascii="宋体"/>
              </w:rPr>
            </w:pPr>
          </w:p>
        </w:tc>
        <w:tc>
          <w:tcPr>
            <w:tcW w:w="19" w:type="pct"/>
            <w:shd w:val="clear" w:color="auto" w:fill="auto"/>
            <w:vAlign w:val="bottom"/>
          </w:tcPr>
          <w:p w14:paraId="5F2CB150" w14:textId="77777777" w:rsidR="00E836FB" w:rsidRDefault="00E836FB">
            <w:pPr>
              <w:rPr>
                <w:rFonts w:ascii="宋体"/>
              </w:rPr>
            </w:pPr>
          </w:p>
        </w:tc>
        <w:tc>
          <w:tcPr>
            <w:tcW w:w="5" w:type="pct"/>
            <w:shd w:val="clear" w:color="auto" w:fill="auto"/>
            <w:vAlign w:val="bottom"/>
          </w:tcPr>
          <w:p w14:paraId="5F2CB151" w14:textId="77777777" w:rsidR="00E836FB" w:rsidRDefault="00E836FB">
            <w:pPr>
              <w:rPr>
                <w:rFonts w:ascii="宋体"/>
              </w:rPr>
            </w:pPr>
          </w:p>
        </w:tc>
        <w:tc>
          <w:tcPr>
            <w:tcW w:w="50" w:type="pct"/>
            <w:shd w:val="clear" w:color="auto" w:fill="auto"/>
            <w:vAlign w:val="bottom"/>
          </w:tcPr>
          <w:p w14:paraId="5F2CB152" w14:textId="77777777" w:rsidR="00E836FB" w:rsidRDefault="00E836FB">
            <w:pPr>
              <w:rPr>
                <w:rFonts w:ascii="宋体"/>
              </w:rPr>
            </w:pPr>
          </w:p>
        </w:tc>
        <w:tc>
          <w:tcPr>
            <w:tcW w:w="348" w:type="pct"/>
            <w:shd w:val="clear" w:color="auto" w:fill="auto"/>
            <w:vAlign w:val="bottom"/>
          </w:tcPr>
          <w:p w14:paraId="5F2CB153" w14:textId="77777777" w:rsidR="00E836FB" w:rsidRDefault="00E836FB">
            <w:pPr>
              <w:rPr>
                <w:rFonts w:ascii="宋体"/>
              </w:rPr>
            </w:pPr>
          </w:p>
        </w:tc>
        <w:tc>
          <w:tcPr>
            <w:tcW w:w="5" w:type="pct"/>
            <w:shd w:val="clear" w:color="auto" w:fill="auto"/>
            <w:vAlign w:val="bottom"/>
          </w:tcPr>
          <w:p w14:paraId="5F2CB154" w14:textId="77777777" w:rsidR="00E836FB" w:rsidRDefault="00E836FB">
            <w:pPr>
              <w:rPr>
                <w:rFonts w:ascii="宋体"/>
              </w:rPr>
            </w:pPr>
          </w:p>
        </w:tc>
        <w:tc>
          <w:tcPr>
            <w:tcW w:w="5" w:type="pct"/>
            <w:shd w:val="clear" w:color="auto" w:fill="auto"/>
            <w:vAlign w:val="bottom"/>
          </w:tcPr>
          <w:p w14:paraId="5F2CB155" w14:textId="77777777" w:rsidR="00E836FB" w:rsidRDefault="00E836FB">
            <w:pPr>
              <w:rPr>
                <w:rFonts w:ascii="宋体"/>
              </w:rPr>
            </w:pPr>
          </w:p>
        </w:tc>
        <w:tc>
          <w:tcPr>
            <w:tcW w:w="19" w:type="pct"/>
            <w:shd w:val="clear" w:color="auto" w:fill="auto"/>
            <w:vAlign w:val="bottom"/>
          </w:tcPr>
          <w:p w14:paraId="5F2CB156" w14:textId="77777777" w:rsidR="00E836FB" w:rsidRDefault="00E836FB">
            <w:pPr>
              <w:rPr>
                <w:rFonts w:ascii="宋体"/>
              </w:rPr>
            </w:pPr>
          </w:p>
        </w:tc>
        <w:tc>
          <w:tcPr>
            <w:tcW w:w="5" w:type="pct"/>
            <w:shd w:val="clear" w:color="auto" w:fill="auto"/>
            <w:vAlign w:val="bottom"/>
          </w:tcPr>
          <w:p w14:paraId="5F2CB157" w14:textId="77777777" w:rsidR="00E836FB" w:rsidRDefault="00E836FB">
            <w:pPr>
              <w:rPr>
                <w:rFonts w:ascii="宋体"/>
              </w:rPr>
            </w:pPr>
          </w:p>
        </w:tc>
        <w:tc>
          <w:tcPr>
            <w:tcW w:w="50" w:type="pct"/>
            <w:shd w:val="clear" w:color="auto" w:fill="auto"/>
            <w:vAlign w:val="bottom"/>
          </w:tcPr>
          <w:p w14:paraId="5F2CB158" w14:textId="77777777" w:rsidR="00E836FB" w:rsidRDefault="00E836FB">
            <w:pPr>
              <w:rPr>
                <w:rFonts w:ascii="宋体"/>
              </w:rPr>
            </w:pPr>
          </w:p>
        </w:tc>
        <w:tc>
          <w:tcPr>
            <w:tcW w:w="348" w:type="pct"/>
            <w:shd w:val="clear" w:color="auto" w:fill="auto"/>
            <w:vAlign w:val="bottom"/>
          </w:tcPr>
          <w:p w14:paraId="5F2CB159" w14:textId="77777777" w:rsidR="00E836FB" w:rsidRDefault="00E836FB">
            <w:pPr>
              <w:rPr>
                <w:rFonts w:ascii="宋体"/>
              </w:rPr>
            </w:pPr>
          </w:p>
        </w:tc>
        <w:tc>
          <w:tcPr>
            <w:tcW w:w="5" w:type="pct"/>
            <w:shd w:val="clear" w:color="auto" w:fill="auto"/>
            <w:vAlign w:val="bottom"/>
          </w:tcPr>
          <w:p w14:paraId="5F2CB15A" w14:textId="77777777" w:rsidR="00E836FB" w:rsidRDefault="00E836FB">
            <w:pPr>
              <w:rPr>
                <w:rFonts w:ascii="宋体"/>
              </w:rPr>
            </w:pPr>
          </w:p>
        </w:tc>
        <w:tc>
          <w:tcPr>
            <w:tcW w:w="5" w:type="pct"/>
            <w:shd w:val="clear" w:color="auto" w:fill="auto"/>
            <w:vAlign w:val="bottom"/>
          </w:tcPr>
          <w:p w14:paraId="5F2CB15B" w14:textId="77777777" w:rsidR="00E836FB" w:rsidRDefault="00E836FB">
            <w:pPr>
              <w:rPr>
                <w:rFonts w:ascii="宋体"/>
              </w:rPr>
            </w:pPr>
          </w:p>
        </w:tc>
        <w:tc>
          <w:tcPr>
            <w:tcW w:w="19" w:type="pct"/>
            <w:shd w:val="clear" w:color="auto" w:fill="auto"/>
            <w:vAlign w:val="bottom"/>
          </w:tcPr>
          <w:p w14:paraId="5F2CB15C" w14:textId="77777777" w:rsidR="00E836FB" w:rsidRDefault="00E836FB">
            <w:pPr>
              <w:rPr>
                <w:rFonts w:ascii="宋体"/>
              </w:rPr>
            </w:pPr>
          </w:p>
        </w:tc>
        <w:tc>
          <w:tcPr>
            <w:tcW w:w="5" w:type="pct"/>
            <w:shd w:val="clear" w:color="auto" w:fill="auto"/>
            <w:vAlign w:val="bottom"/>
          </w:tcPr>
          <w:p w14:paraId="5F2CB15D" w14:textId="77777777" w:rsidR="00E836FB" w:rsidRDefault="00E836FB">
            <w:pPr>
              <w:rPr>
                <w:rFonts w:ascii="宋体"/>
              </w:rPr>
            </w:pPr>
          </w:p>
        </w:tc>
        <w:tc>
          <w:tcPr>
            <w:tcW w:w="50" w:type="pct"/>
            <w:shd w:val="clear" w:color="auto" w:fill="auto"/>
            <w:vAlign w:val="bottom"/>
          </w:tcPr>
          <w:p w14:paraId="5F2CB15E" w14:textId="77777777" w:rsidR="00E836FB" w:rsidRDefault="00E836FB">
            <w:pPr>
              <w:rPr>
                <w:rFonts w:ascii="宋体"/>
              </w:rPr>
            </w:pPr>
          </w:p>
        </w:tc>
        <w:tc>
          <w:tcPr>
            <w:tcW w:w="348" w:type="pct"/>
            <w:shd w:val="clear" w:color="auto" w:fill="auto"/>
            <w:vAlign w:val="bottom"/>
          </w:tcPr>
          <w:p w14:paraId="5F2CB15F" w14:textId="77777777" w:rsidR="00E836FB" w:rsidRDefault="00E836FB">
            <w:pPr>
              <w:rPr>
                <w:rFonts w:ascii="宋体"/>
              </w:rPr>
            </w:pPr>
          </w:p>
        </w:tc>
        <w:tc>
          <w:tcPr>
            <w:tcW w:w="5" w:type="pct"/>
            <w:shd w:val="clear" w:color="auto" w:fill="auto"/>
            <w:vAlign w:val="bottom"/>
          </w:tcPr>
          <w:p w14:paraId="5F2CB160" w14:textId="77777777" w:rsidR="00E836FB" w:rsidRDefault="00E836FB">
            <w:pPr>
              <w:rPr>
                <w:rFonts w:ascii="宋体"/>
              </w:rPr>
            </w:pPr>
          </w:p>
        </w:tc>
        <w:tc>
          <w:tcPr>
            <w:tcW w:w="5" w:type="pct"/>
            <w:shd w:val="clear" w:color="auto" w:fill="auto"/>
            <w:vAlign w:val="bottom"/>
          </w:tcPr>
          <w:p w14:paraId="5F2CB161" w14:textId="77777777" w:rsidR="00E836FB" w:rsidRDefault="00E836FB">
            <w:pPr>
              <w:rPr>
                <w:rFonts w:ascii="宋体"/>
              </w:rPr>
            </w:pPr>
          </w:p>
        </w:tc>
        <w:tc>
          <w:tcPr>
            <w:tcW w:w="19" w:type="pct"/>
            <w:shd w:val="clear" w:color="auto" w:fill="auto"/>
            <w:vAlign w:val="bottom"/>
          </w:tcPr>
          <w:p w14:paraId="5F2CB162" w14:textId="77777777" w:rsidR="00E836FB" w:rsidRDefault="00E836FB">
            <w:pPr>
              <w:rPr>
                <w:rFonts w:ascii="宋体"/>
              </w:rPr>
            </w:pPr>
          </w:p>
        </w:tc>
        <w:tc>
          <w:tcPr>
            <w:tcW w:w="5" w:type="pct"/>
            <w:shd w:val="clear" w:color="auto" w:fill="auto"/>
            <w:vAlign w:val="bottom"/>
          </w:tcPr>
          <w:p w14:paraId="5F2CB163" w14:textId="77777777" w:rsidR="00E836FB" w:rsidRDefault="00E836FB">
            <w:pPr>
              <w:rPr>
                <w:rFonts w:ascii="宋体"/>
              </w:rPr>
            </w:pPr>
          </w:p>
        </w:tc>
        <w:tc>
          <w:tcPr>
            <w:tcW w:w="50" w:type="pct"/>
            <w:shd w:val="clear" w:color="auto" w:fill="auto"/>
            <w:vAlign w:val="bottom"/>
          </w:tcPr>
          <w:p w14:paraId="5F2CB164" w14:textId="77777777" w:rsidR="00E836FB" w:rsidRDefault="00E836FB">
            <w:pPr>
              <w:rPr>
                <w:rFonts w:ascii="宋体"/>
              </w:rPr>
            </w:pPr>
          </w:p>
        </w:tc>
        <w:tc>
          <w:tcPr>
            <w:tcW w:w="348" w:type="pct"/>
            <w:shd w:val="clear" w:color="auto" w:fill="auto"/>
            <w:vAlign w:val="bottom"/>
          </w:tcPr>
          <w:p w14:paraId="5F2CB165" w14:textId="77777777" w:rsidR="00E836FB" w:rsidRDefault="00E836FB">
            <w:pPr>
              <w:rPr>
                <w:rFonts w:ascii="宋体"/>
              </w:rPr>
            </w:pPr>
          </w:p>
        </w:tc>
        <w:tc>
          <w:tcPr>
            <w:tcW w:w="5" w:type="pct"/>
            <w:shd w:val="clear" w:color="auto" w:fill="auto"/>
            <w:vAlign w:val="bottom"/>
          </w:tcPr>
          <w:p w14:paraId="5F2CB166" w14:textId="77777777" w:rsidR="00E836FB" w:rsidRDefault="00E836FB">
            <w:pPr>
              <w:rPr>
                <w:rFonts w:ascii="宋体"/>
              </w:rPr>
            </w:pPr>
          </w:p>
        </w:tc>
        <w:tc>
          <w:tcPr>
            <w:tcW w:w="5" w:type="pct"/>
            <w:shd w:val="clear" w:color="auto" w:fill="auto"/>
            <w:vAlign w:val="bottom"/>
          </w:tcPr>
          <w:p w14:paraId="5F2CB167" w14:textId="77777777" w:rsidR="00E836FB" w:rsidRDefault="00E836FB">
            <w:pPr>
              <w:rPr>
                <w:rFonts w:ascii="宋体"/>
              </w:rPr>
            </w:pPr>
          </w:p>
        </w:tc>
        <w:tc>
          <w:tcPr>
            <w:tcW w:w="19" w:type="pct"/>
            <w:shd w:val="clear" w:color="auto" w:fill="auto"/>
            <w:vAlign w:val="bottom"/>
          </w:tcPr>
          <w:p w14:paraId="5F2CB168" w14:textId="77777777" w:rsidR="00E836FB" w:rsidRDefault="00E836FB">
            <w:pPr>
              <w:rPr>
                <w:rFonts w:ascii="宋体"/>
              </w:rPr>
            </w:pPr>
          </w:p>
        </w:tc>
        <w:tc>
          <w:tcPr>
            <w:tcW w:w="5" w:type="pct"/>
            <w:shd w:val="clear" w:color="auto" w:fill="auto"/>
            <w:vAlign w:val="bottom"/>
          </w:tcPr>
          <w:p w14:paraId="5F2CB169" w14:textId="77777777" w:rsidR="00E836FB" w:rsidRDefault="00E836FB">
            <w:pPr>
              <w:rPr>
                <w:rFonts w:ascii="宋体"/>
              </w:rPr>
            </w:pPr>
          </w:p>
        </w:tc>
        <w:tc>
          <w:tcPr>
            <w:tcW w:w="50" w:type="pct"/>
            <w:shd w:val="clear" w:color="auto" w:fill="auto"/>
            <w:vAlign w:val="bottom"/>
          </w:tcPr>
          <w:p w14:paraId="5F2CB16A" w14:textId="77777777" w:rsidR="00E836FB" w:rsidRDefault="00E836FB">
            <w:pPr>
              <w:rPr>
                <w:rFonts w:ascii="宋体"/>
              </w:rPr>
            </w:pPr>
          </w:p>
        </w:tc>
        <w:tc>
          <w:tcPr>
            <w:tcW w:w="348" w:type="pct"/>
            <w:shd w:val="clear" w:color="auto" w:fill="auto"/>
            <w:vAlign w:val="bottom"/>
          </w:tcPr>
          <w:p w14:paraId="5F2CB16B" w14:textId="77777777" w:rsidR="00E836FB" w:rsidRDefault="00E836FB">
            <w:pPr>
              <w:rPr>
                <w:rFonts w:ascii="宋体"/>
              </w:rPr>
            </w:pPr>
          </w:p>
        </w:tc>
        <w:tc>
          <w:tcPr>
            <w:tcW w:w="5" w:type="pct"/>
            <w:shd w:val="clear" w:color="auto" w:fill="auto"/>
            <w:vAlign w:val="bottom"/>
          </w:tcPr>
          <w:p w14:paraId="5F2CB16C" w14:textId="77777777" w:rsidR="00E836FB" w:rsidRDefault="00E836FB">
            <w:pPr>
              <w:rPr>
                <w:rFonts w:ascii="宋体"/>
              </w:rPr>
            </w:pPr>
          </w:p>
        </w:tc>
        <w:tc>
          <w:tcPr>
            <w:tcW w:w="5" w:type="pct"/>
            <w:shd w:val="clear" w:color="auto" w:fill="auto"/>
            <w:vAlign w:val="bottom"/>
          </w:tcPr>
          <w:p w14:paraId="5F2CB16D" w14:textId="77777777" w:rsidR="00E836FB" w:rsidRDefault="00E836FB">
            <w:pPr>
              <w:rPr>
                <w:rFonts w:ascii="宋体"/>
              </w:rPr>
            </w:pPr>
          </w:p>
        </w:tc>
        <w:tc>
          <w:tcPr>
            <w:tcW w:w="19" w:type="pct"/>
            <w:shd w:val="clear" w:color="auto" w:fill="auto"/>
            <w:vAlign w:val="bottom"/>
          </w:tcPr>
          <w:p w14:paraId="5F2CB16E" w14:textId="77777777" w:rsidR="00E836FB" w:rsidRDefault="00E836FB">
            <w:pPr>
              <w:rPr>
                <w:rFonts w:ascii="宋体"/>
              </w:rPr>
            </w:pPr>
          </w:p>
        </w:tc>
        <w:tc>
          <w:tcPr>
            <w:tcW w:w="5" w:type="pct"/>
            <w:shd w:val="clear" w:color="auto" w:fill="auto"/>
            <w:vAlign w:val="bottom"/>
          </w:tcPr>
          <w:p w14:paraId="5F2CB16F" w14:textId="77777777" w:rsidR="00E836FB" w:rsidRDefault="00E836FB">
            <w:pPr>
              <w:rPr>
                <w:rFonts w:ascii="宋体"/>
              </w:rPr>
            </w:pPr>
          </w:p>
        </w:tc>
        <w:tc>
          <w:tcPr>
            <w:tcW w:w="50" w:type="pct"/>
            <w:shd w:val="clear" w:color="auto" w:fill="auto"/>
            <w:vAlign w:val="bottom"/>
          </w:tcPr>
          <w:p w14:paraId="5F2CB170" w14:textId="77777777" w:rsidR="00E836FB" w:rsidRDefault="00E836FB">
            <w:pPr>
              <w:rPr>
                <w:rFonts w:ascii="宋体"/>
              </w:rPr>
            </w:pPr>
          </w:p>
        </w:tc>
        <w:tc>
          <w:tcPr>
            <w:tcW w:w="348" w:type="pct"/>
            <w:shd w:val="clear" w:color="auto" w:fill="auto"/>
            <w:vAlign w:val="bottom"/>
          </w:tcPr>
          <w:p w14:paraId="5F2CB171" w14:textId="77777777" w:rsidR="00E836FB" w:rsidRDefault="00E836FB">
            <w:pPr>
              <w:rPr>
                <w:rFonts w:ascii="宋体"/>
              </w:rPr>
            </w:pPr>
          </w:p>
        </w:tc>
        <w:tc>
          <w:tcPr>
            <w:tcW w:w="5" w:type="pct"/>
            <w:shd w:val="clear" w:color="auto" w:fill="auto"/>
            <w:vAlign w:val="bottom"/>
          </w:tcPr>
          <w:p w14:paraId="5F2CB172" w14:textId="77777777" w:rsidR="00E836FB" w:rsidRDefault="00E836FB">
            <w:pPr>
              <w:rPr>
                <w:rFonts w:ascii="宋体"/>
              </w:rPr>
            </w:pPr>
          </w:p>
        </w:tc>
        <w:tc>
          <w:tcPr>
            <w:tcW w:w="5" w:type="pct"/>
            <w:shd w:val="clear" w:color="auto" w:fill="auto"/>
            <w:vAlign w:val="bottom"/>
          </w:tcPr>
          <w:p w14:paraId="5F2CB173" w14:textId="77777777" w:rsidR="00E836FB" w:rsidRDefault="00E836FB">
            <w:pPr>
              <w:rPr>
                <w:rFonts w:ascii="宋体"/>
              </w:rPr>
            </w:pPr>
          </w:p>
        </w:tc>
        <w:tc>
          <w:tcPr>
            <w:tcW w:w="19" w:type="pct"/>
            <w:shd w:val="clear" w:color="auto" w:fill="auto"/>
            <w:vAlign w:val="bottom"/>
          </w:tcPr>
          <w:p w14:paraId="5F2CB174" w14:textId="77777777" w:rsidR="00E836FB" w:rsidRDefault="00E836FB">
            <w:pPr>
              <w:rPr>
                <w:rFonts w:ascii="宋体"/>
              </w:rPr>
            </w:pPr>
          </w:p>
        </w:tc>
        <w:tc>
          <w:tcPr>
            <w:tcW w:w="5" w:type="pct"/>
            <w:shd w:val="clear" w:color="auto" w:fill="auto"/>
            <w:vAlign w:val="bottom"/>
          </w:tcPr>
          <w:p w14:paraId="5F2CB175" w14:textId="77777777" w:rsidR="00E836FB" w:rsidRDefault="00E836FB">
            <w:pPr>
              <w:rPr>
                <w:rFonts w:ascii="宋体"/>
              </w:rPr>
            </w:pPr>
          </w:p>
        </w:tc>
        <w:tc>
          <w:tcPr>
            <w:tcW w:w="50" w:type="pct"/>
            <w:shd w:val="clear" w:color="auto" w:fill="auto"/>
            <w:vAlign w:val="bottom"/>
          </w:tcPr>
          <w:p w14:paraId="5F2CB176" w14:textId="77777777" w:rsidR="00E836FB" w:rsidRDefault="00E836FB">
            <w:pPr>
              <w:rPr>
                <w:rFonts w:ascii="宋体"/>
              </w:rPr>
            </w:pPr>
          </w:p>
        </w:tc>
        <w:tc>
          <w:tcPr>
            <w:tcW w:w="348" w:type="pct"/>
            <w:shd w:val="clear" w:color="auto" w:fill="auto"/>
            <w:vAlign w:val="bottom"/>
          </w:tcPr>
          <w:p w14:paraId="5F2CB177" w14:textId="77777777" w:rsidR="00E836FB" w:rsidRDefault="00E836FB">
            <w:pPr>
              <w:rPr>
                <w:rFonts w:ascii="宋体"/>
              </w:rPr>
            </w:pPr>
          </w:p>
        </w:tc>
        <w:tc>
          <w:tcPr>
            <w:tcW w:w="5" w:type="pct"/>
            <w:shd w:val="clear" w:color="auto" w:fill="auto"/>
            <w:vAlign w:val="bottom"/>
          </w:tcPr>
          <w:p w14:paraId="5F2CB178" w14:textId="77777777" w:rsidR="00E836FB" w:rsidRDefault="00E836FB">
            <w:pPr>
              <w:rPr>
                <w:rFonts w:ascii="宋体"/>
              </w:rPr>
            </w:pPr>
          </w:p>
        </w:tc>
        <w:tc>
          <w:tcPr>
            <w:tcW w:w="0" w:type="auto"/>
            <w:gridSpan w:val="3"/>
            <w:shd w:val="clear" w:color="auto" w:fill="auto"/>
            <w:vAlign w:val="bottom"/>
          </w:tcPr>
          <w:p w14:paraId="5F2CB179" w14:textId="77777777" w:rsidR="00E836FB" w:rsidRDefault="00E836FB">
            <w:pPr>
              <w:rPr>
                <w:rFonts w:ascii="宋体"/>
                <w:vanish/>
              </w:rPr>
            </w:pPr>
          </w:p>
        </w:tc>
        <w:tc>
          <w:tcPr>
            <w:tcW w:w="0" w:type="auto"/>
            <w:gridSpan w:val="3"/>
            <w:shd w:val="clear" w:color="auto" w:fill="auto"/>
            <w:vAlign w:val="bottom"/>
          </w:tcPr>
          <w:p w14:paraId="5F2CB17A" w14:textId="77777777" w:rsidR="00E836FB" w:rsidRDefault="00E836FB">
            <w:pPr>
              <w:rPr>
                <w:rFonts w:ascii="宋体"/>
                <w:vanish/>
              </w:rPr>
            </w:pPr>
          </w:p>
        </w:tc>
        <w:tc>
          <w:tcPr>
            <w:tcW w:w="0" w:type="auto"/>
            <w:gridSpan w:val="2"/>
            <w:shd w:val="clear" w:color="auto" w:fill="auto"/>
            <w:vAlign w:val="bottom"/>
          </w:tcPr>
          <w:p w14:paraId="5F2CB17B" w14:textId="77777777" w:rsidR="00E836FB" w:rsidRDefault="00E836FB">
            <w:pPr>
              <w:rPr>
                <w:rFonts w:ascii="宋体"/>
                <w:vanish/>
              </w:rPr>
            </w:pPr>
          </w:p>
        </w:tc>
        <w:tc>
          <w:tcPr>
            <w:tcW w:w="0" w:type="auto"/>
            <w:shd w:val="clear" w:color="auto" w:fill="auto"/>
            <w:vAlign w:val="bottom"/>
          </w:tcPr>
          <w:p w14:paraId="5F2CB17C" w14:textId="77777777" w:rsidR="00E836FB" w:rsidRDefault="00E836FB">
            <w:pPr>
              <w:rPr>
                <w:rFonts w:ascii="宋体"/>
                <w:vanish/>
              </w:rPr>
            </w:pPr>
          </w:p>
        </w:tc>
      </w:tr>
      <w:tr w:rsidR="00E836FB" w14:paraId="5F2CB187" w14:textId="77777777">
        <w:tc>
          <w:tcPr>
            <w:tcW w:w="0" w:type="auto"/>
            <w:gridSpan w:val="42"/>
            <w:shd w:val="clear" w:color="auto" w:fill="auto"/>
            <w:tcMar>
              <w:top w:w="40" w:type="dxa"/>
              <w:left w:w="20" w:type="dxa"/>
              <w:bottom w:w="40" w:type="dxa"/>
              <w:right w:w="20" w:type="dxa"/>
            </w:tcMar>
            <w:vAlign w:val="bottom"/>
          </w:tcPr>
          <w:p w14:paraId="5F2CB17E" w14:textId="77777777" w:rsidR="00E836FB" w:rsidRDefault="00994958">
            <w:pPr>
              <w:jc w:val="both"/>
              <w:textAlignment w:val="bottom"/>
            </w:pPr>
            <w:r>
              <w:rPr>
                <w:rFonts w:ascii="Arial" w:eastAsia="宋体" w:hAnsi="Arial" w:cs="Arial"/>
                <w:b/>
                <w:bCs/>
                <w:color w:val="000000"/>
                <w:sz w:val="16"/>
                <w:szCs w:val="16"/>
              </w:rPr>
              <w:t>TABLE 13: INVESTMENT SECURITIES NET PREMIUM AMORTIZATION</w:t>
            </w:r>
          </w:p>
        </w:tc>
        <w:tc>
          <w:tcPr>
            <w:tcW w:w="0" w:type="auto"/>
            <w:gridSpan w:val="3"/>
            <w:shd w:val="clear" w:color="auto" w:fill="auto"/>
            <w:tcMar>
              <w:top w:w="0" w:type="dxa"/>
              <w:left w:w="20" w:type="dxa"/>
              <w:bottom w:w="0" w:type="dxa"/>
              <w:right w:w="20" w:type="dxa"/>
            </w:tcMar>
            <w:vAlign w:val="bottom"/>
          </w:tcPr>
          <w:p w14:paraId="5F2CB17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1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18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182" w14:textId="77777777" w:rsidR="00E836FB" w:rsidRDefault="00E836FB">
            <w:pPr>
              <w:rPr>
                <w:rFonts w:ascii="宋体"/>
              </w:rPr>
            </w:pPr>
          </w:p>
        </w:tc>
        <w:tc>
          <w:tcPr>
            <w:tcW w:w="0" w:type="auto"/>
            <w:gridSpan w:val="3"/>
            <w:shd w:val="clear" w:color="auto" w:fill="auto"/>
            <w:vAlign w:val="bottom"/>
          </w:tcPr>
          <w:p w14:paraId="5F2CB183" w14:textId="77777777" w:rsidR="00E836FB" w:rsidRDefault="00E836FB">
            <w:pPr>
              <w:rPr>
                <w:rFonts w:ascii="宋体"/>
                <w:vanish/>
              </w:rPr>
            </w:pPr>
          </w:p>
        </w:tc>
        <w:tc>
          <w:tcPr>
            <w:tcW w:w="0" w:type="auto"/>
            <w:gridSpan w:val="3"/>
            <w:shd w:val="clear" w:color="auto" w:fill="auto"/>
            <w:vAlign w:val="bottom"/>
          </w:tcPr>
          <w:p w14:paraId="5F2CB184" w14:textId="77777777" w:rsidR="00E836FB" w:rsidRDefault="00E836FB">
            <w:pPr>
              <w:rPr>
                <w:rFonts w:ascii="宋体"/>
                <w:vanish/>
              </w:rPr>
            </w:pPr>
          </w:p>
        </w:tc>
        <w:tc>
          <w:tcPr>
            <w:tcW w:w="0" w:type="auto"/>
            <w:gridSpan w:val="2"/>
            <w:shd w:val="clear" w:color="auto" w:fill="auto"/>
            <w:vAlign w:val="bottom"/>
          </w:tcPr>
          <w:p w14:paraId="5F2CB185" w14:textId="77777777" w:rsidR="00E836FB" w:rsidRDefault="00E836FB">
            <w:pPr>
              <w:rPr>
                <w:rFonts w:ascii="宋体"/>
                <w:vanish/>
              </w:rPr>
            </w:pPr>
          </w:p>
        </w:tc>
        <w:tc>
          <w:tcPr>
            <w:tcW w:w="0" w:type="auto"/>
            <w:shd w:val="clear" w:color="auto" w:fill="auto"/>
            <w:vAlign w:val="bottom"/>
          </w:tcPr>
          <w:p w14:paraId="5F2CB186" w14:textId="77777777" w:rsidR="00E836FB" w:rsidRDefault="00E836FB">
            <w:pPr>
              <w:rPr>
                <w:rFonts w:ascii="宋体"/>
                <w:vanish/>
              </w:rPr>
            </w:pPr>
          </w:p>
        </w:tc>
      </w:tr>
      <w:tr w:rsidR="00E836FB" w14:paraId="5F2CB1C3" w14:textId="77777777">
        <w:trPr>
          <w:hidden/>
        </w:trPr>
        <w:tc>
          <w:tcPr>
            <w:tcW w:w="0" w:type="auto"/>
            <w:gridSpan w:val="3"/>
            <w:shd w:val="clear" w:color="auto" w:fill="auto"/>
            <w:vAlign w:val="bottom"/>
          </w:tcPr>
          <w:p w14:paraId="5F2CB188" w14:textId="77777777" w:rsidR="00E836FB" w:rsidRDefault="00E836FB">
            <w:pPr>
              <w:rPr>
                <w:rFonts w:ascii="宋体"/>
                <w:vanish/>
              </w:rPr>
            </w:pPr>
          </w:p>
        </w:tc>
        <w:tc>
          <w:tcPr>
            <w:tcW w:w="0" w:type="auto"/>
            <w:gridSpan w:val="3"/>
            <w:shd w:val="clear" w:color="auto" w:fill="auto"/>
            <w:vAlign w:val="bottom"/>
          </w:tcPr>
          <w:p w14:paraId="5F2CB189" w14:textId="77777777" w:rsidR="00E836FB" w:rsidRDefault="00E836FB">
            <w:pPr>
              <w:rPr>
                <w:rFonts w:ascii="宋体"/>
                <w:vanish/>
              </w:rPr>
            </w:pPr>
          </w:p>
        </w:tc>
        <w:tc>
          <w:tcPr>
            <w:tcW w:w="0" w:type="auto"/>
            <w:shd w:val="clear" w:color="auto" w:fill="auto"/>
            <w:vAlign w:val="bottom"/>
          </w:tcPr>
          <w:p w14:paraId="5F2CB18A" w14:textId="77777777" w:rsidR="00E836FB" w:rsidRDefault="00E836FB">
            <w:pPr>
              <w:rPr>
                <w:rFonts w:ascii="宋体"/>
              </w:rPr>
            </w:pPr>
          </w:p>
        </w:tc>
        <w:tc>
          <w:tcPr>
            <w:tcW w:w="0" w:type="auto"/>
            <w:shd w:val="clear" w:color="auto" w:fill="auto"/>
            <w:vAlign w:val="bottom"/>
          </w:tcPr>
          <w:p w14:paraId="5F2CB18B" w14:textId="77777777" w:rsidR="00E836FB" w:rsidRDefault="00E836FB">
            <w:pPr>
              <w:rPr>
                <w:rFonts w:ascii="宋体"/>
              </w:rPr>
            </w:pPr>
          </w:p>
        </w:tc>
        <w:tc>
          <w:tcPr>
            <w:tcW w:w="0" w:type="auto"/>
            <w:shd w:val="clear" w:color="auto" w:fill="auto"/>
            <w:vAlign w:val="bottom"/>
          </w:tcPr>
          <w:p w14:paraId="5F2CB18C" w14:textId="77777777" w:rsidR="00E836FB" w:rsidRDefault="00E836FB">
            <w:pPr>
              <w:rPr>
                <w:rFonts w:ascii="宋体"/>
              </w:rPr>
            </w:pPr>
          </w:p>
        </w:tc>
        <w:tc>
          <w:tcPr>
            <w:tcW w:w="0" w:type="auto"/>
            <w:shd w:val="clear" w:color="auto" w:fill="auto"/>
            <w:vAlign w:val="bottom"/>
          </w:tcPr>
          <w:p w14:paraId="5F2CB18D" w14:textId="77777777" w:rsidR="00E836FB" w:rsidRDefault="00E836FB">
            <w:pPr>
              <w:rPr>
                <w:rFonts w:ascii="宋体"/>
              </w:rPr>
            </w:pPr>
          </w:p>
        </w:tc>
        <w:tc>
          <w:tcPr>
            <w:tcW w:w="0" w:type="auto"/>
            <w:shd w:val="clear" w:color="auto" w:fill="auto"/>
            <w:vAlign w:val="bottom"/>
          </w:tcPr>
          <w:p w14:paraId="5F2CB18E" w14:textId="77777777" w:rsidR="00E836FB" w:rsidRDefault="00E836FB">
            <w:pPr>
              <w:rPr>
                <w:rFonts w:ascii="宋体"/>
              </w:rPr>
            </w:pPr>
          </w:p>
        </w:tc>
        <w:tc>
          <w:tcPr>
            <w:tcW w:w="0" w:type="auto"/>
            <w:shd w:val="clear" w:color="auto" w:fill="auto"/>
            <w:vAlign w:val="bottom"/>
          </w:tcPr>
          <w:p w14:paraId="5F2CB18F" w14:textId="77777777" w:rsidR="00E836FB" w:rsidRDefault="00E836FB">
            <w:pPr>
              <w:rPr>
                <w:rFonts w:ascii="宋体"/>
              </w:rPr>
            </w:pPr>
          </w:p>
        </w:tc>
        <w:tc>
          <w:tcPr>
            <w:tcW w:w="0" w:type="auto"/>
            <w:shd w:val="clear" w:color="auto" w:fill="auto"/>
            <w:vAlign w:val="bottom"/>
          </w:tcPr>
          <w:p w14:paraId="5F2CB190" w14:textId="77777777" w:rsidR="00E836FB" w:rsidRDefault="00E836FB">
            <w:pPr>
              <w:rPr>
                <w:rFonts w:ascii="宋体"/>
              </w:rPr>
            </w:pPr>
          </w:p>
        </w:tc>
        <w:tc>
          <w:tcPr>
            <w:tcW w:w="0" w:type="auto"/>
            <w:shd w:val="clear" w:color="auto" w:fill="auto"/>
            <w:vAlign w:val="bottom"/>
          </w:tcPr>
          <w:p w14:paraId="5F2CB191" w14:textId="77777777" w:rsidR="00E836FB" w:rsidRDefault="00E836FB">
            <w:pPr>
              <w:rPr>
                <w:rFonts w:ascii="宋体"/>
              </w:rPr>
            </w:pPr>
          </w:p>
        </w:tc>
        <w:tc>
          <w:tcPr>
            <w:tcW w:w="0" w:type="auto"/>
            <w:shd w:val="clear" w:color="auto" w:fill="auto"/>
            <w:vAlign w:val="bottom"/>
          </w:tcPr>
          <w:p w14:paraId="5F2CB192" w14:textId="77777777" w:rsidR="00E836FB" w:rsidRDefault="00E836FB">
            <w:pPr>
              <w:rPr>
                <w:rFonts w:ascii="宋体"/>
              </w:rPr>
            </w:pPr>
          </w:p>
        </w:tc>
        <w:tc>
          <w:tcPr>
            <w:tcW w:w="0" w:type="auto"/>
            <w:shd w:val="clear" w:color="auto" w:fill="auto"/>
            <w:vAlign w:val="bottom"/>
          </w:tcPr>
          <w:p w14:paraId="5F2CB193" w14:textId="77777777" w:rsidR="00E836FB" w:rsidRDefault="00E836FB">
            <w:pPr>
              <w:rPr>
                <w:rFonts w:ascii="宋体"/>
              </w:rPr>
            </w:pPr>
          </w:p>
        </w:tc>
        <w:tc>
          <w:tcPr>
            <w:tcW w:w="0" w:type="auto"/>
            <w:shd w:val="clear" w:color="auto" w:fill="auto"/>
            <w:vAlign w:val="bottom"/>
          </w:tcPr>
          <w:p w14:paraId="5F2CB194" w14:textId="77777777" w:rsidR="00E836FB" w:rsidRDefault="00E836FB">
            <w:pPr>
              <w:rPr>
                <w:rFonts w:ascii="宋体"/>
              </w:rPr>
            </w:pPr>
          </w:p>
        </w:tc>
        <w:tc>
          <w:tcPr>
            <w:tcW w:w="0" w:type="auto"/>
            <w:shd w:val="clear" w:color="auto" w:fill="auto"/>
            <w:vAlign w:val="bottom"/>
          </w:tcPr>
          <w:p w14:paraId="5F2CB195" w14:textId="77777777" w:rsidR="00E836FB" w:rsidRDefault="00E836FB">
            <w:pPr>
              <w:rPr>
                <w:rFonts w:ascii="宋体"/>
              </w:rPr>
            </w:pPr>
          </w:p>
        </w:tc>
        <w:tc>
          <w:tcPr>
            <w:tcW w:w="0" w:type="auto"/>
            <w:shd w:val="clear" w:color="auto" w:fill="auto"/>
            <w:vAlign w:val="bottom"/>
          </w:tcPr>
          <w:p w14:paraId="5F2CB196" w14:textId="77777777" w:rsidR="00E836FB" w:rsidRDefault="00E836FB">
            <w:pPr>
              <w:rPr>
                <w:rFonts w:ascii="宋体"/>
              </w:rPr>
            </w:pPr>
          </w:p>
        </w:tc>
        <w:tc>
          <w:tcPr>
            <w:tcW w:w="0" w:type="auto"/>
            <w:shd w:val="clear" w:color="auto" w:fill="auto"/>
            <w:vAlign w:val="bottom"/>
          </w:tcPr>
          <w:p w14:paraId="5F2CB197" w14:textId="77777777" w:rsidR="00E836FB" w:rsidRDefault="00E836FB">
            <w:pPr>
              <w:rPr>
                <w:rFonts w:ascii="宋体"/>
              </w:rPr>
            </w:pPr>
          </w:p>
        </w:tc>
        <w:tc>
          <w:tcPr>
            <w:tcW w:w="0" w:type="auto"/>
            <w:shd w:val="clear" w:color="auto" w:fill="auto"/>
            <w:vAlign w:val="bottom"/>
          </w:tcPr>
          <w:p w14:paraId="5F2CB198" w14:textId="77777777" w:rsidR="00E836FB" w:rsidRDefault="00E836FB">
            <w:pPr>
              <w:rPr>
                <w:rFonts w:ascii="宋体"/>
              </w:rPr>
            </w:pPr>
          </w:p>
        </w:tc>
        <w:tc>
          <w:tcPr>
            <w:tcW w:w="0" w:type="auto"/>
            <w:shd w:val="clear" w:color="auto" w:fill="auto"/>
            <w:vAlign w:val="bottom"/>
          </w:tcPr>
          <w:p w14:paraId="5F2CB199" w14:textId="77777777" w:rsidR="00E836FB" w:rsidRDefault="00E836FB">
            <w:pPr>
              <w:rPr>
                <w:rFonts w:ascii="宋体"/>
              </w:rPr>
            </w:pPr>
          </w:p>
        </w:tc>
        <w:tc>
          <w:tcPr>
            <w:tcW w:w="0" w:type="auto"/>
            <w:shd w:val="clear" w:color="auto" w:fill="auto"/>
            <w:vAlign w:val="bottom"/>
          </w:tcPr>
          <w:p w14:paraId="5F2CB19A" w14:textId="77777777" w:rsidR="00E836FB" w:rsidRDefault="00E836FB">
            <w:pPr>
              <w:rPr>
                <w:rFonts w:ascii="宋体"/>
              </w:rPr>
            </w:pPr>
          </w:p>
        </w:tc>
        <w:tc>
          <w:tcPr>
            <w:tcW w:w="0" w:type="auto"/>
            <w:shd w:val="clear" w:color="auto" w:fill="auto"/>
            <w:vAlign w:val="bottom"/>
          </w:tcPr>
          <w:p w14:paraId="5F2CB19B" w14:textId="77777777" w:rsidR="00E836FB" w:rsidRDefault="00E836FB">
            <w:pPr>
              <w:rPr>
                <w:rFonts w:ascii="宋体"/>
              </w:rPr>
            </w:pPr>
          </w:p>
        </w:tc>
        <w:tc>
          <w:tcPr>
            <w:tcW w:w="0" w:type="auto"/>
            <w:shd w:val="clear" w:color="auto" w:fill="auto"/>
            <w:vAlign w:val="bottom"/>
          </w:tcPr>
          <w:p w14:paraId="5F2CB19C" w14:textId="77777777" w:rsidR="00E836FB" w:rsidRDefault="00E836FB">
            <w:pPr>
              <w:rPr>
                <w:rFonts w:ascii="宋体"/>
              </w:rPr>
            </w:pPr>
          </w:p>
        </w:tc>
        <w:tc>
          <w:tcPr>
            <w:tcW w:w="0" w:type="auto"/>
            <w:shd w:val="clear" w:color="auto" w:fill="auto"/>
            <w:vAlign w:val="bottom"/>
          </w:tcPr>
          <w:p w14:paraId="5F2CB19D" w14:textId="77777777" w:rsidR="00E836FB" w:rsidRDefault="00E836FB">
            <w:pPr>
              <w:rPr>
                <w:rFonts w:ascii="宋体"/>
              </w:rPr>
            </w:pPr>
          </w:p>
        </w:tc>
        <w:tc>
          <w:tcPr>
            <w:tcW w:w="0" w:type="auto"/>
            <w:shd w:val="clear" w:color="auto" w:fill="auto"/>
            <w:vAlign w:val="bottom"/>
          </w:tcPr>
          <w:p w14:paraId="5F2CB19E" w14:textId="77777777" w:rsidR="00E836FB" w:rsidRDefault="00E836FB">
            <w:pPr>
              <w:rPr>
                <w:rFonts w:ascii="宋体"/>
              </w:rPr>
            </w:pPr>
          </w:p>
        </w:tc>
        <w:tc>
          <w:tcPr>
            <w:tcW w:w="0" w:type="auto"/>
            <w:shd w:val="clear" w:color="auto" w:fill="auto"/>
            <w:vAlign w:val="bottom"/>
          </w:tcPr>
          <w:p w14:paraId="5F2CB19F" w14:textId="77777777" w:rsidR="00E836FB" w:rsidRDefault="00E836FB">
            <w:pPr>
              <w:rPr>
                <w:rFonts w:ascii="宋体"/>
              </w:rPr>
            </w:pPr>
          </w:p>
        </w:tc>
        <w:tc>
          <w:tcPr>
            <w:tcW w:w="0" w:type="auto"/>
            <w:shd w:val="clear" w:color="auto" w:fill="auto"/>
            <w:vAlign w:val="bottom"/>
          </w:tcPr>
          <w:p w14:paraId="5F2CB1A0" w14:textId="77777777" w:rsidR="00E836FB" w:rsidRDefault="00E836FB">
            <w:pPr>
              <w:rPr>
                <w:rFonts w:ascii="宋体"/>
              </w:rPr>
            </w:pPr>
          </w:p>
        </w:tc>
        <w:tc>
          <w:tcPr>
            <w:tcW w:w="0" w:type="auto"/>
            <w:shd w:val="clear" w:color="auto" w:fill="auto"/>
            <w:vAlign w:val="bottom"/>
          </w:tcPr>
          <w:p w14:paraId="5F2CB1A1" w14:textId="77777777" w:rsidR="00E836FB" w:rsidRDefault="00E836FB">
            <w:pPr>
              <w:rPr>
                <w:rFonts w:ascii="宋体"/>
              </w:rPr>
            </w:pPr>
          </w:p>
        </w:tc>
        <w:tc>
          <w:tcPr>
            <w:tcW w:w="0" w:type="auto"/>
            <w:shd w:val="clear" w:color="auto" w:fill="auto"/>
            <w:vAlign w:val="bottom"/>
          </w:tcPr>
          <w:p w14:paraId="5F2CB1A2" w14:textId="77777777" w:rsidR="00E836FB" w:rsidRDefault="00E836FB">
            <w:pPr>
              <w:rPr>
                <w:rFonts w:ascii="宋体"/>
              </w:rPr>
            </w:pPr>
          </w:p>
        </w:tc>
        <w:tc>
          <w:tcPr>
            <w:tcW w:w="0" w:type="auto"/>
            <w:shd w:val="clear" w:color="auto" w:fill="auto"/>
            <w:vAlign w:val="bottom"/>
          </w:tcPr>
          <w:p w14:paraId="5F2CB1A3" w14:textId="77777777" w:rsidR="00E836FB" w:rsidRDefault="00E836FB">
            <w:pPr>
              <w:rPr>
                <w:rFonts w:ascii="宋体"/>
              </w:rPr>
            </w:pPr>
          </w:p>
        </w:tc>
        <w:tc>
          <w:tcPr>
            <w:tcW w:w="0" w:type="auto"/>
            <w:shd w:val="clear" w:color="auto" w:fill="auto"/>
            <w:vAlign w:val="bottom"/>
          </w:tcPr>
          <w:p w14:paraId="5F2CB1A4" w14:textId="77777777" w:rsidR="00E836FB" w:rsidRDefault="00E836FB">
            <w:pPr>
              <w:rPr>
                <w:rFonts w:ascii="宋体"/>
              </w:rPr>
            </w:pPr>
          </w:p>
        </w:tc>
        <w:tc>
          <w:tcPr>
            <w:tcW w:w="0" w:type="auto"/>
            <w:shd w:val="clear" w:color="auto" w:fill="auto"/>
            <w:vAlign w:val="bottom"/>
          </w:tcPr>
          <w:p w14:paraId="5F2CB1A5" w14:textId="77777777" w:rsidR="00E836FB" w:rsidRDefault="00E836FB">
            <w:pPr>
              <w:rPr>
                <w:rFonts w:ascii="宋体"/>
              </w:rPr>
            </w:pPr>
          </w:p>
        </w:tc>
        <w:tc>
          <w:tcPr>
            <w:tcW w:w="0" w:type="auto"/>
            <w:shd w:val="clear" w:color="auto" w:fill="auto"/>
            <w:vAlign w:val="bottom"/>
          </w:tcPr>
          <w:p w14:paraId="5F2CB1A6" w14:textId="77777777" w:rsidR="00E836FB" w:rsidRDefault="00E836FB">
            <w:pPr>
              <w:rPr>
                <w:rFonts w:ascii="宋体"/>
              </w:rPr>
            </w:pPr>
          </w:p>
        </w:tc>
        <w:tc>
          <w:tcPr>
            <w:tcW w:w="0" w:type="auto"/>
            <w:shd w:val="clear" w:color="auto" w:fill="auto"/>
            <w:vAlign w:val="bottom"/>
          </w:tcPr>
          <w:p w14:paraId="5F2CB1A7" w14:textId="77777777" w:rsidR="00E836FB" w:rsidRDefault="00E836FB">
            <w:pPr>
              <w:rPr>
                <w:rFonts w:ascii="宋体"/>
              </w:rPr>
            </w:pPr>
          </w:p>
        </w:tc>
        <w:tc>
          <w:tcPr>
            <w:tcW w:w="0" w:type="auto"/>
            <w:shd w:val="clear" w:color="auto" w:fill="auto"/>
            <w:vAlign w:val="bottom"/>
          </w:tcPr>
          <w:p w14:paraId="5F2CB1A8" w14:textId="77777777" w:rsidR="00E836FB" w:rsidRDefault="00E836FB">
            <w:pPr>
              <w:rPr>
                <w:rFonts w:ascii="宋体"/>
              </w:rPr>
            </w:pPr>
          </w:p>
        </w:tc>
        <w:tc>
          <w:tcPr>
            <w:tcW w:w="0" w:type="auto"/>
            <w:shd w:val="clear" w:color="auto" w:fill="auto"/>
            <w:vAlign w:val="bottom"/>
          </w:tcPr>
          <w:p w14:paraId="5F2CB1A9" w14:textId="77777777" w:rsidR="00E836FB" w:rsidRDefault="00E836FB">
            <w:pPr>
              <w:rPr>
                <w:rFonts w:ascii="宋体"/>
              </w:rPr>
            </w:pPr>
          </w:p>
        </w:tc>
        <w:tc>
          <w:tcPr>
            <w:tcW w:w="0" w:type="auto"/>
            <w:shd w:val="clear" w:color="auto" w:fill="auto"/>
            <w:vAlign w:val="bottom"/>
          </w:tcPr>
          <w:p w14:paraId="5F2CB1AA" w14:textId="77777777" w:rsidR="00E836FB" w:rsidRDefault="00E836FB">
            <w:pPr>
              <w:rPr>
                <w:rFonts w:ascii="宋体"/>
              </w:rPr>
            </w:pPr>
          </w:p>
        </w:tc>
        <w:tc>
          <w:tcPr>
            <w:tcW w:w="0" w:type="auto"/>
            <w:shd w:val="clear" w:color="auto" w:fill="auto"/>
            <w:vAlign w:val="bottom"/>
          </w:tcPr>
          <w:p w14:paraId="5F2CB1AB" w14:textId="77777777" w:rsidR="00E836FB" w:rsidRDefault="00E836FB">
            <w:pPr>
              <w:rPr>
                <w:rFonts w:ascii="宋体"/>
              </w:rPr>
            </w:pPr>
          </w:p>
        </w:tc>
        <w:tc>
          <w:tcPr>
            <w:tcW w:w="0" w:type="auto"/>
            <w:shd w:val="clear" w:color="auto" w:fill="auto"/>
            <w:vAlign w:val="bottom"/>
          </w:tcPr>
          <w:p w14:paraId="5F2CB1AC" w14:textId="77777777" w:rsidR="00E836FB" w:rsidRDefault="00E836FB">
            <w:pPr>
              <w:rPr>
                <w:rFonts w:ascii="宋体"/>
              </w:rPr>
            </w:pPr>
          </w:p>
        </w:tc>
        <w:tc>
          <w:tcPr>
            <w:tcW w:w="0" w:type="auto"/>
            <w:shd w:val="clear" w:color="auto" w:fill="auto"/>
            <w:vAlign w:val="bottom"/>
          </w:tcPr>
          <w:p w14:paraId="5F2CB1AD" w14:textId="77777777" w:rsidR="00E836FB" w:rsidRDefault="00E836FB">
            <w:pPr>
              <w:rPr>
                <w:rFonts w:ascii="宋体"/>
              </w:rPr>
            </w:pPr>
          </w:p>
        </w:tc>
        <w:tc>
          <w:tcPr>
            <w:tcW w:w="0" w:type="auto"/>
            <w:shd w:val="clear" w:color="auto" w:fill="auto"/>
            <w:vAlign w:val="bottom"/>
          </w:tcPr>
          <w:p w14:paraId="5F2CB1AE" w14:textId="77777777" w:rsidR="00E836FB" w:rsidRDefault="00E836FB">
            <w:pPr>
              <w:rPr>
                <w:rFonts w:ascii="宋体"/>
              </w:rPr>
            </w:pPr>
          </w:p>
        </w:tc>
        <w:tc>
          <w:tcPr>
            <w:tcW w:w="0" w:type="auto"/>
            <w:shd w:val="clear" w:color="auto" w:fill="auto"/>
            <w:vAlign w:val="bottom"/>
          </w:tcPr>
          <w:p w14:paraId="5F2CB1AF" w14:textId="77777777" w:rsidR="00E836FB" w:rsidRDefault="00E836FB">
            <w:pPr>
              <w:rPr>
                <w:rFonts w:ascii="宋体"/>
              </w:rPr>
            </w:pPr>
          </w:p>
        </w:tc>
        <w:tc>
          <w:tcPr>
            <w:tcW w:w="0" w:type="auto"/>
            <w:shd w:val="clear" w:color="auto" w:fill="auto"/>
            <w:vAlign w:val="bottom"/>
          </w:tcPr>
          <w:p w14:paraId="5F2CB1B0" w14:textId="77777777" w:rsidR="00E836FB" w:rsidRDefault="00E836FB">
            <w:pPr>
              <w:rPr>
                <w:rFonts w:ascii="宋体"/>
              </w:rPr>
            </w:pPr>
          </w:p>
        </w:tc>
        <w:tc>
          <w:tcPr>
            <w:tcW w:w="0" w:type="auto"/>
            <w:shd w:val="clear" w:color="auto" w:fill="auto"/>
            <w:vAlign w:val="bottom"/>
          </w:tcPr>
          <w:p w14:paraId="5F2CB1B1" w14:textId="77777777" w:rsidR="00E836FB" w:rsidRDefault="00E836FB">
            <w:pPr>
              <w:rPr>
                <w:rFonts w:ascii="宋体"/>
              </w:rPr>
            </w:pPr>
          </w:p>
        </w:tc>
        <w:tc>
          <w:tcPr>
            <w:tcW w:w="0" w:type="auto"/>
            <w:shd w:val="clear" w:color="auto" w:fill="auto"/>
            <w:vAlign w:val="bottom"/>
          </w:tcPr>
          <w:p w14:paraId="5F2CB1B2" w14:textId="77777777" w:rsidR="00E836FB" w:rsidRDefault="00E836FB">
            <w:pPr>
              <w:rPr>
                <w:rFonts w:ascii="宋体"/>
              </w:rPr>
            </w:pPr>
          </w:p>
        </w:tc>
        <w:tc>
          <w:tcPr>
            <w:tcW w:w="0" w:type="auto"/>
            <w:shd w:val="clear" w:color="auto" w:fill="auto"/>
            <w:vAlign w:val="bottom"/>
          </w:tcPr>
          <w:p w14:paraId="5F2CB1B3" w14:textId="77777777" w:rsidR="00E836FB" w:rsidRDefault="00E836FB">
            <w:pPr>
              <w:rPr>
                <w:rFonts w:ascii="宋体"/>
              </w:rPr>
            </w:pPr>
          </w:p>
        </w:tc>
        <w:tc>
          <w:tcPr>
            <w:tcW w:w="0" w:type="auto"/>
            <w:shd w:val="clear" w:color="auto" w:fill="auto"/>
            <w:vAlign w:val="bottom"/>
          </w:tcPr>
          <w:p w14:paraId="5F2CB1B4" w14:textId="77777777" w:rsidR="00E836FB" w:rsidRDefault="00E836FB">
            <w:pPr>
              <w:rPr>
                <w:rFonts w:ascii="宋体"/>
              </w:rPr>
            </w:pPr>
          </w:p>
        </w:tc>
        <w:tc>
          <w:tcPr>
            <w:tcW w:w="0" w:type="auto"/>
            <w:shd w:val="clear" w:color="auto" w:fill="auto"/>
            <w:vAlign w:val="bottom"/>
          </w:tcPr>
          <w:p w14:paraId="5F2CB1B5" w14:textId="77777777" w:rsidR="00E836FB" w:rsidRDefault="00E836FB">
            <w:pPr>
              <w:rPr>
                <w:rFonts w:ascii="宋体"/>
              </w:rPr>
            </w:pPr>
          </w:p>
        </w:tc>
        <w:tc>
          <w:tcPr>
            <w:tcW w:w="0" w:type="auto"/>
            <w:shd w:val="clear" w:color="auto" w:fill="auto"/>
            <w:vAlign w:val="bottom"/>
          </w:tcPr>
          <w:p w14:paraId="5F2CB1B6" w14:textId="77777777" w:rsidR="00E836FB" w:rsidRDefault="00E836FB">
            <w:pPr>
              <w:rPr>
                <w:rFonts w:ascii="宋体"/>
              </w:rPr>
            </w:pPr>
          </w:p>
        </w:tc>
        <w:tc>
          <w:tcPr>
            <w:tcW w:w="0" w:type="auto"/>
            <w:shd w:val="clear" w:color="auto" w:fill="auto"/>
            <w:vAlign w:val="bottom"/>
          </w:tcPr>
          <w:p w14:paraId="5F2CB1B7" w14:textId="77777777" w:rsidR="00E836FB" w:rsidRDefault="00E836FB">
            <w:pPr>
              <w:rPr>
                <w:rFonts w:ascii="宋体"/>
              </w:rPr>
            </w:pPr>
          </w:p>
        </w:tc>
        <w:tc>
          <w:tcPr>
            <w:tcW w:w="0" w:type="auto"/>
            <w:shd w:val="clear" w:color="auto" w:fill="auto"/>
            <w:vAlign w:val="bottom"/>
          </w:tcPr>
          <w:p w14:paraId="5F2CB1B8" w14:textId="77777777" w:rsidR="00E836FB" w:rsidRDefault="00E836FB">
            <w:pPr>
              <w:rPr>
                <w:rFonts w:ascii="宋体"/>
              </w:rPr>
            </w:pPr>
          </w:p>
        </w:tc>
        <w:tc>
          <w:tcPr>
            <w:tcW w:w="0" w:type="auto"/>
            <w:shd w:val="clear" w:color="auto" w:fill="auto"/>
            <w:vAlign w:val="bottom"/>
          </w:tcPr>
          <w:p w14:paraId="5F2CB1B9" w14:textId="77777777" w:rsidR="00E836FB" w:rsidRDefault="00E836FB">
            <w:pPr>
              <w:rPr>
                <w:rFonts w:ascii="宋体"/>
              </w:rPr>
            </w:pPr>
          </w:p>
        </w:tc>
        <w:tc>
          <w:tcPr>
            <w:tcW w:w="0" w:type="auto"/>
            <w:shd w:val="clear" w:color="auto" w:fill="auto"/>
            <w:vAlign w:val="bottom"/>
          </w:tcPr>
          <w:p w14:paraId="5F2CB1BA" w14:textId="77777777" w:rsidR="00E836FB" w:rsidRDefault="00E836FB">
            <w:pPr>
              <w:rPr>
                <w:rFonts w:ascii="宋体"/>
              </w:rPr>
            </w:pPr>
          </w:p>
        </w:tc>
        <w:tc>
          <w:tcPr>
            <w:tcW w:w="0" w:type="auto"/>
            <w:shd w:val="clear" w:color="auto" w:fill="auto"/>
            <w:vAlign w:val="bottom"/>
          </w:tcPr>
          <w:p w14:paraId="5F2CB1BB" w14:textId="77777777" w:rsidR="00E836FB" w:rsidRDefault="00E836FB">
            <w:pPr>
              <w:rPr>
                <w:rFonts w:ascii="宋体"/>
              </w:rPr>
            </w:pPr>
          </w:p>
        </w:tc>
        <w:tc>
          <w:tcPr>
            <w:tcW w:w="0" w:type="auto"/>
            <w:shd w:val="clear" w:color="auto" w:fill="auto"/>
            <w:vAlign w:val="bottom"/>
          </w:tcPr>
          <w:p w14:paraId="5F2CB1BC" w14:textId="77777777" w:rsidR="00E836FB" w:rsidRDefault="00E836FB">
            <w:pPr>
              <w:rPr>
                <w:rFonts w:ascii="宋体"/>
              </w:rPr>
            </w:pPr>
          </w:p>
        </w:tc>
        <w:tc>
          <w:tcPr>
            <w:tcW w:w="0" w:type="auto"/>
            <w:shd w:val="clear" w:color="auto" w:fill="auto"/>
            <w:vAlign w:val="bottom"/>
          </w:tcPr>
          <w:p w14:paraId="5F2CB1BD" w14:textId="77777777" w:rsidR="00E836FB" w:rsidRDefault="00E836FB">
            <w:pPr>
              <w:rPr>
                <w:rFonts w:ascii="宋体"/>
              </w:rPr>
            </w:pPr>
          </w:p>
        </w:tc>
        <w:tc>
          <w:tcPr>
            <w:tcW w:w="0" w:type="auto"/>
            <w:shd w:val="clear" w:color="auto" w:fill="auto"/>
            <w:vAlign w:val="bottom"/>
          </w:tcPr>
          <w:p w14:paraId="5F2CB1BE" w14:textId="77777777" w:rsidR="00E836FB" w:rsidRDefault="00E836FB">
            <w:pPr>
              <w:rPr>
                <w:rFonts w:ascii="宋体"/>
              </w:rPr>
            </w:pPr>
          </w:p>
        </w:tc>
        <w:tc>
          <w:tcPr>
            <w:tcW w:w="0" w:type="auto"/>
            <w:shd w:val="clear" w:color="auto" w:fill="auto"/>
            <w:vAlign w:val="bottom"/>
          </w:tcPr>
          <w:p w14:paraId="5F2CB1BF" w14:textId="77777777" w:rsidR="00E836FB" w:rsidRDefault="00E836FB">
            <w:pPr>
              <w:rPr>
                <w:rFonts w:ascii="宋体"/>
              </w:rPr>
            </w:pPr>
          </w:p>
        </w:tc>
        <w:tc>
          <w:tcPr>
            <w:tcW w:w="0" w:type="auto"/>
            <w:shd w:val="clear" w:color="auto" w:fill="auto"/>
            <w:vAlign w:val="bottom"/>
          </w:tcPr>
          <w:p w14:paraId="5F2CB1C0" w14:textId="77777777" w:rsidR="00E836FB" w:rsidRDefault="00E836FB">
            <w:pPr>
              <w:rPr>
                <w:rFonts w:ascii="宋体"/>
              </w:rPr>
            </w:pPr>
          </w:p>
        </w:tc>
        <w:tc>
          <w:tcPr>
            <w:tcW w:w="0" w:type="auto"/>
            <w:shd w:val="clear" w:color="auto" w:fill="auto"/>
            <w:vAlign w:val="bottom"/>
          </w:tcPr>
          <w:p w14:paraId="5F2CB1C1" w14:textId="77777777" w:rsidR="00E836FB" w:rsidRDefault="00E836FB">
            <w:pPr>
              <w:rPr>
                <w:rFonts w:ascii="宋体"/>
              </w:rPr>
            </w:pPr>
          </w:p>
        </w:tc>
        <w:tc>
          <w:tcPr>
            <w:tcW w:w="0" w:type="auto"/>
            <w:shd w:val="clear" w:color="auto" w:fill="auto"/>
            <w:vAlign w:val="bottom"/>
          </w:tcPr>
          <w:p w14:paraId="5F2CB1C2" w14:textId="77777777" w:rsidR="00E836FB" w:rsidRDefault="00E836FB">
            <w:pPr>
              <w:rPr>
                <w:rFonts w:ascii="宋体"/>
              </w:rPr>
            </w:pPr>
          </w:p>
        </w:tc>
      </w:tr>
      <w:tr w:rsidR="00E836FB" w14:paraId="5F2CB1DA" w14:textId="77777777">
        <w:trPr>
          <w:hidden/>
        </w:trPr>
        <w:tc>
          <w:tcPr>
            <w:tcW w:w="0" w:type="auto"/>
            <w:gridSpan w:val="3"/>
            <w:shd w:val="clear" w:color="auto" w:fill="auto"/>
            <w:vAlign w:val="bottom"/>
          </w:tcPr>
          <w:p w14:paraId="5F2CB1C4" w14:textId="77777777" w:rsidR="00E836FB" w:rsidRDefault="00E836FB">
            <w:pPr>
              <w:rPr>
                <w:rFonts w:ascii="宋体"/>
                <w:vanish/>
              </w:rPr>
            </w:pPr>
          </w:p>
        </w:tc>
        <w:tc>
          <w:tcPr>
            <w:tcW w:w="0" w:type="auto"/>
            <w:gridSpan w:val="3"/>
            <w:shd w:val="clear" w:color="auto" w:fill="auto"/>
            <w:vAlign w:val="bottom"/>
          </w:tcPr>
          <w:p w14:paraId="5F2CB1C5" w14:textId="77777777" w:rsidR="00E836FB" w:rsidRDefault="00E836FB">
            <w:pPr>
              <w:rPr>
                <w:rFonts w:ascii="宋体"/>
                <w:vanish/>
              </w:rPr>
            </w:pPr>
          </w:p>
        </w:tc>
        <w:tc>
          <w:tcPr>
            <w:tcW w:w="0" w:type="auto"/>
            <w:gridSpan w:val="3"/>
            <w:shd w:val="clear" w:color="auto" w:fill="auto"/>
            <w:vAlign w:val="bottom"/>
          </w:tcPr>
          <w:p w14:paraId="5F2CB1C6" w14:textId="77777777" w:rsidR="00E836FB" w:rsidRDefault="00E836FB">
            <w:pPr>
              <w:rPr>
                <w:rFonts w:ascii="宋体"/>
                <w:vanish/>
              </w:rPr>
            </w:pPr>
          </w:p>
        </w:tc>
        <w:tc>
          <w:tcPr>
            <w:tcW w:w="0" w:type="auto"/>
            <w:gridSpan w:val="3"/>
            <w:shd w:val="clear" w:color="auto" w:fill="auto"/>
            <w:vAlign w:val="bottom"/>
          </w:tcPr>
          <w:p w14:paraId="5F2CB1C7" w14:textId="77777777" w:rsidR="00E836FB" w:rsidRDefault="00E836FB">
            <w:pPr>
              <w:rPr>
                <w:rFonts w:ascii="宋体"/>
                <w:vanish/>
              </w:rPr>
            </w:pPr>
          </w:p>
        </w:tc>
        <w:tc>
          <w:tcPr>
            <w:tcW w:w="0" w:type="auto"/>
            <w:gridSpan w:val="3"/>
            <w:shd w:val="clear" w:color="auto" w:fill="auto"/>
            <w:vAlign w:val="bottom"/>
          </w:tcPr>
          <w:p w14:paraId="5F2CB1C8" w14:textId="77777777" w:rsidR="00E836FB" w:rsidRDefault="00E836FB">
            <w:pPr>
              <w:rPr>
                <w:rFonts w:ascii="宋体"/>
                <w:vanish/>
              </w:rPr>
            </w:pPr>
          </w:p>
        </w:tc>
        <w:tc>
          <w:tcPr>
            <w:tcW w:w="0" w:type="auto"/>
            <w:gridSpan w:val="3"/>
            <w:shd w:val="clear" w:color="auto" w:fill="auto"/>
            <w:vAlign w:val="bottom"/>
          </w:tcPr>
          <w:p w14:paraId="5F2CB1C9" w14:textId="77777777" w:rsidR="00E836FB" w:rsidRDefault="00E836FB">
            <w:pPr>
              <w:rPr>
                <w:rFonts w:ascii="宋体"/>
                <w:vanish/>
              </w:rPr>
            </w:pPr>
          </w:p>
        </w:tc>
        <w:tc>
          <w:tcPr>
            <w:tcW w:w="0" w:type="auto"/>
            <w:gridSpan w:val="3"/>
            <w:shd w:val="clear" w:color="auto" w:fill="auto"/>
            <w:vAlign w:val="bottom"/>
          </w:tcPr>
          <w:p w14:paraId="5F2CB1CA" w14:textId="77777777" w:rsidR="00E836FB" w:rsidRDefault="00E836FB">
            <w:pPr>
              <w:rPr>
                <w:rFonts w:ascii="宋体"/>
                <w:vanish/>
              </w:rPr>
            </w:pPr>
          </w:p>
        </w:tc>
        <w:tc>
          <w:tcPr>
            <w:tcW w:w="0" w:type="auto"/>
            <w:gridSpan w:val="3"/>
            <w:shd w:val="clear" w:color="auto" w:fill="auto"/>
            <w:vAlign w:val="bottom"/>
          </w:tcPr>
          <w:p w14:paraId="5F2CB1CB" w14:textId="77777777" w:rsidR="00E836FB" w:rsidRDefault="00E836FB">
            <w:pPr>
              <w:rPr>
                <w:rFonts w:ascii="宋体"/>
                <w:vanish/>
              </w:rPr>
            </w:pPr>
          </w:p>
        </w:tc>
        <w:tc>
          <w:tcPr>
            <w:tcW w:w="0" w:type="auto"/>
            <w:gridSpan w:val="3"/>
            <w:shd w:val="clear" w:color="auto" w:fill="auto"/>
            <w:vAlign w:val="bottom"/>
          </w:tcPr>
          <w:p w14:paraId="5F2CB1CC" w14:textId="77777777" w:rsidR="00E836FB" w:rsidRDefault="00E836FB">
            <w:pPr>
              <w:rPr>
                <w:rFonts w:ascii="宋体"/>
                <w:vanish/>
              </w:rPr>
            </w:pPr>
          </w:p>
        </w:tc>
        <w:tc>
          <w:tcPr>
            <w:tcW w:w="0" w:type="auto"/>
            <w:gridSpan w:val="3"/>
            <w:shd w:val="clear" w:color="auto" w:fill="auto"/>
            <w:vAlign w:val="bottom"/>
          </w:tcPr>
          <w:p w14:paraId="5F2CB1CD" w14:textId="77777777" w:rsidR="00E836FB" w:rsidRDefault="00E836FB">
            <w:pPr>
              <w:rPr>
                <w:rFonts w:ascii="宋体"/>
                <w:vanish/>
              </w:rPr>
            </w:pPr>
          </w:p>
        </w:tc>
        <w:tc>
          <w:tcPr>
            <w:tcW w:w="0" w:type="auto"/>
            <w:gridSpan w:val="3"/>
            <w:shd w:val="clear" w:color="auto" w:fill="auto"/>
            <w:vAlign w:val="bottom"/>
          </w:tcPr>
          <w:p w14:paraId="5F2CB1CE" w14:textId="77777777" w:rsidR="00E836FB" w:rsidRDefault="00E836FB">
            <w:pPr>
              <w:rPr>
                <w:rFonts w:ascii="宋体"/>
                <w:vanish/>
              </w:rPr>
            </w:pPr>
          </w:p>
        </w:tc>
        <w:tc>
          <w:tcPr>
            <w:tcW w:w="0" w:type="auto"/>
            <w:gridSpan w:val="3"/>
            <w:shd w:val="clear" w:color="auto" w:fill="auto"/>
            <w:vAlign w:val="bottom"/>
          </w:tcPr>
          <w:p w14:paraId="5F2CB1CF" w14:textId="77777777" w:rsidR="00E836FB" w:rsidRDefault="00E836FB">
            <w:pPr>
              <w:rPr>
                <w:rFonts w:ascii="宋体"/>
                <w:vanish/>
              </w:rPr>
            </w:pPr>
          </w:p>
        </w:tc>
        <w:tc>
          <w:tcPr>
            <w:tcW w:w="0" w:type="auto"/>
            <w:gridSpan w:val="3"/>
            <w:shd w:val="clear" w:color="auto" w:fill="auto"/>
            <w:vAlign w:val="bottom"/>
          </w:tcPr>
          <w:p w14:paraId="5F2CB1D0" w14:textId="77777777" w:rsidR="00E836FB" w:rsidRDefault="00E836FB">
            <w:pPr>
              <w:rPr>
                <w:rFonts w:ascii="宋体"/>
                <w:vanish/>
              </w:rPr>
            </w:pPr>
          </w:p>
        </w:tc>
        <w:tc>
          <w:tcPr>
            <w:tcW w:w="0" w:type="auto"/>
            <w:gridSpan w:val="3"/>
            <w:shd w:val="clear" w:color="auto" w:fill="auto"/>
            <w:vAlign w:val="bottom"/>
          </w:tcPr>
          <w:p w14:paraId="5F2CB1D1" w14:textId="77777777" w:rsidR="00E836FB" w:rsidRDefault="00E836FB">
            <w:pPr>
              <w:rPr>
                <w:rFonts w:ascii="宋体"/>
                <w:vanish/>
              </w:rPr>
            </w:pPr>
          </w:p>
        </w:tc>
        <w:tc>
          <w:tcPr>
            <w:tcW w:w="0" w:type="auto"/>
            <w:gridSpan w:val="3"/>
            <w:shd w:val="clear" w:color="auto" w:fill="auto"/>
            <w:vAlign w:val="bottom"/>
          </w:tcPr>
          <w:p w14:paraId="5F2CB1D2" w14:textId="77777777" w:rsidR="00E836FB" w:rsidRDefault="00E836FB">
            <w:pPr>
              <w:rPr>
                <w:rFonts w:ascii="宋体"/>
                <w:vanish/>
              </w:rPr>
            </w:pPr>
          </w:p>
        </w:tc>
        <w:tc>
          <w:tcPr>
            <w:tcW w:w="0" w:type="auto"/>
            <w:gridSpan w:val="3"/>
            <w:shd w:val="clear" w:color="auto" w:fill="auto"/>
            <w:vAlign w:val="bottom"/>
          </w:tcPr>
          <w:p w14:paraId="5F2CB1D3" w14:textId="77777777" w:rsidR="00E836FB" w:rsidRDefault="00E836FB">
            <w:pPr>
              <w:rPr>
                <w:rFonts w:ascii="宋体"/>
                <w:vanish/>
              </w:rPr>
            </w:pPr>
          </w:p>
        </w:tc>
        <w:tc>
          <w:tcPr>
            <w:tcW w:w="0" w:type="auto"/>
            <w:gridSpan w:val="3"/>
            <w:shd w:val="clear" w:color="auto" w:fill="auto"/>
            <w:vAlign w:val="bottom"/>
          </w:tcPr>
          <w:p w14:paraId="5F2CB1D4" w14:textId="77777777" w:rsidR="00E836FB" w:rsidRDefault="00E836FB">
            <w:pPr>
              <w:rPr>
                <w:rFonts w:ascii="宋体"/>
                <w:vanish/>
              </w:rPr>
            </w:pPr>
          </w:p>
        </w:tc>
        <w:tc>
          <w:tcPr>
            <w:tcW w:w="0" w:type="auto"/>
            <w:gridSpan w:val="3"/>
            <w:shd w:val="clear" w:color="auto" w:fill="auto"/>
            <w:vAlign w:val="bottom"/>
          </w:tcPr>
          <w:p w14:paraId="5F2CB1D5" w14:textId="77777777" w:rsidR="00E836FB" w:rsidRDefault="00E836FB">
            <w:pPr>
              <w:rPr>
                <w:rFonts w:ascii="宋体"/>
                <w:vanish/>
              </w:rPr>
            </w:pPr>
          </w:p>
        </w:tc>
        <w:tc>
          <w:tcPr>
            <w:tcW w:w="0" w:type="auto"/>
            <w:gridSpan w:val="3"/>
            <w:shd w:val="clear" w:color="auto" w:fill="auto"/>
            <w:vAlign w:val="bottom"/>
          </w:tcPr>
          <w:p w14:paraId="5F2CB1D6" w14:textId="77777777" w:rsidR="00E836FB" w:rsidRDefault="00E836FB">
            <w:pPr>
              <w:rPr>
                <w:rFonts w:ascii="宋体"/>
                <w:vanish/>
              </w:rPr>
            </w:pPr>
          </w:p>
        </w:tc>
        <w:tc>
          <w:tcPr>
            <w:tcW w:w="0" w:type="auto"/>
            <w:gridSpan w:val="3"/>
            <w:shd w:val="clear" w:color="auto" w:fill="auto"/>
            <w:vAlign w:val="bottom"/>
          </w:tcPr>
          <w:p w14:paraId="5F2CB1D7" w14:textId="77777777" w:rsidR="00E836FB" w:rsidRDefault="00E836FB">
            <w:pPr>
              <w:rPr>
                <w:rFonts w:ascii="宋体"/>
                <w:vanish/>
              </w:rPr>
            </w:pPr>
          </w:p>
        </w:tc>
        <w:tc>
          <w:tcPr>
            <w:tcW w:w="0" w:type="auto"/>
            <w:gridSpan w:val="2"/>
            <w:shd w:val="clear" w:color="auto" w:fill="auto"/>
            <w:vAlign w:val="bottom"/>
          </w:tcPr>
          <w:p w14:paraId="5F2CB1D8" w14:textId="77777777" w:rsidR="00E836FB" w:rsidRDefault="00E836FB">
            <w:pPr>
              <w:rPr>
                <w:rFonts w:ascii="宋体"/>
                <w:vanish/>
              </w:rPr>
            </w:pPr>
          </w:p>
        </w:tc>
        <w:tc>
          <w:tcPr>
            <w:tcW w:w="0" w:type="auto"/>
            <w:shd w:val="clear" w:color="auto" w:fill="auto"/>
            <w:vAlign w:val="bottom"/>
          </w:tcPr>
          <w:p w14:paraId="5F2CB1D9" w14:textId="77777777" w:rsidR="00E836FB" w:rsidRDefault="00E836FB">
            <w:pPr>
              <w:rPr>
                <w:rFonts w:ascii="宋体"/>
                <w:vanish/>
              </w:rPr>
            </w:pPr>
          </w:p>
        </w:tc>
      </w:tr>
      <w:tr w:rsidR="00E836FB" w14:paraId="5F2CB1F1" w14:textId="77777777">
        <w:trPr>
          <w:hidden/>
        </w:trPr>
        <w:tc>
          <w:tcPr>
            <w:tcW w:w="0" w:type="auto"/>
            <w:gridSpan w:val="3"/>
            <w:shd w:val="clear" w:color="auto" w:fill="auto"/>
            <w:vAlign w:val="bottom"/>
          </w:tcPr>
          <w:p w14:paraId="5F2CB1DB" w14:textId="77777777" w:rsidR="00E836FB" w:rsidRDefault="00E836FB">
            <w:pPr>
              <w:rPr>
                <w:rFonts w:ascii="宋体"/>
                <w:vanish/>
              </w:rPr>
            </w:pPr>
          </w:p>
        </w:tc>
        <w:tc>
          <w:tcPr>
            <w:tcW w:w="0" w:type="auto"/>
            <w:gridSpan w:val="3"/>
            <w:shd w:val="clear" w:color="auto" w:fill="auto"/>
            <w:vAlign w:val="bottom"/>
          </w:tcPr>
          <w:p w14:paraId="5F2CB1DC" w14:textId="77777777" w:rsidR="00E836FB" w:rsidRDefault="00E836FB">
            <w:pPr>
              <w:rPr>
                <w:rFonts w:ascii="宋体"/>
                <w:vanish/>
              </w:rPr>
            </w:pPr>
          </w:p>
        </w:tc>
        <w:tc>
          <w:tcPr>
            <w:tcW w:w="0" w:type="auto"/>
            <w:gridSpan w:val="3"/>
            <w:shd w:val="clear" w:color="auto" w:fill="auto"/>
            <w:vAlign w:val="bottom"/>
          </w:tcPr>
          <w:p w14:paraId="5F2CB1DD" w14:textId="77777777" w:rsidR="00E836FB" w:rsidRDefault="00E836FB">
            <w:pPr>
              <w:rPr>
                <w:rFonts w:ascii="宋体"/>
                <w:vanish/>
              </w:rPr>
            </w:pPr>
          </w:p>
        </w:tc>
        <w:tc>
          <w:tcPr>
            <w:tcW w:w="0" w:type="auto"/>
            <w:gridSpan w:val="3"/>
            <w:shd w:val="clear" w:color="auto" w:fill="auto"/>
            <w:vAlign w:val="bottom"/>
          </w:tcPr>
          <w:p w14:paraId="5F2CB1DE" w14:textId="77777777" w:rsidR="00E836FB" w:rsidRDefault="00E836FB">
            <w:pPr>
              <w:rPr>
                <w:rFonts w:ascii="宋体"/>
                <w:vanish/>
              </w:rPr>
            </w:pPr>
          </w:p>
        </w:tc>
        <w:tc>
          <w:tcPr>
            <w:tcW w:w="0" w:type="auto"/>
            <w:gridSpan w:val="3"/>
            <w:shd w:val="clear" w:color="auto" w:fill="auto"/>
            <w:vAlign w:val="bottom"/>
          </w:tcPr>
          <w:p w14:paraId="5F2CB1DF" w14:textId="77777777" w:rsidR="00E836FB" w:rsidRDefault="00E836FB">
            <w:pPr>
              <w:rPr>
                <w:rFonts w:ascii="宋体"/>
                <w:vanish/>
              </w:rPr>
            </w:pPr>
          </w:p>
        </w:tc>
        <w:tc>
          <w:tcPr>
            <w:tcW w:w="0" w:type="auto"/>
            <w:gridSpan w:val="3"/>
            <w:shd w:val="clear" w:color="auto" w:fill="auto"/>
            <w:vAlign w:val="bottom"/>
          </w:tcPr>
          <w:p w14:paraId="5F2CB1E0" w14:textId="77777777" w:rsidR="00E836FB" w:rsidRDefault="00E836FB">
            <w:pPr>
              <w:rPr>
                <w:rFonts w:ascii="宋体"/>
                <w:vanish/>
              </w:rPr>
            </w:pPr>
          </w:p>
        </w:tc>
        <w:tc>
          <w:tcPr>
            <w:tcW w:w="0" w:type="auto"/>
            <w:gridSpan w:val="3"/>
            <w:shd w:val="clear" w:color="auto" w:fill="auto"/>
            <w:vAlign w:val="bottom"/>
          </w:tcPr>
          <w:p w14:paraId="5F2CB1E1" w14:textId="77777777" w:rsidR="00E836FB" w:rsidRDefault="00E836FB">
            <w:pPr>
              <w:rPr>
                <w:rFonts w:ascii="宋体"/>
                <w:vanish/>
              </w:rPr>
            </w:pPr>
          </w:p>
        </w:tc>
        <w:tc>
          <w:tcPr>
            <w:tcW w:w="0" w:type="auto"/>
            <w:gridSpan w:val="3"/>
            <w:shd w:val="clear" w:color="auto" w:fill="auto"/>
            <w:vAlign w:val="bottom"/>
          </w:tcPr>
          <w:p w14:paraId="5F2CB1E2" w14:textId="77777777" w:rsidR="00E836FB" w:rsidRDefault="00E836FB">
            <w:pPr>
              <w:rPr>
                <w:rFonts w:ascii="宋体"/>
                <w:vanish/>
              </w:rPr>
            </w:pPr>
          </w:p>
        </w:tc>
        <w:tc>
          <w:tcPr>
            <w:tcW w:w="0" w:type="auto"/>
            <w:gridSpan w:val="3"/>
            <w:shd w:val="clear" w:color="auto" w:fill="auto"/>
            <w:vAlign w:val="bottom"/>
          </w:tcPr>
          <w:p w14:paraId="5F2CB1E3" w14:textId="77777777" w:rsidR="00E836FB" w:rsidRDefault="00E836FB">
            <w:pPr>
              <w:rPr>
                <w:rFonts w:ascii="宋体"/>
                <w:vanish/>
              </w:rPr>
            </w:pPr>
          </w:p>
        </w:tc>
        <w:tc>
          <w:tcPr>
            <w:tcW w:w="0" w:type="auto"/>
            <w:gridSpan w:val="3"/>
            <w:shd w:val="clear" w:color="auto" w:fill="auto"/>
            <w:vAlign w:val="bottom"/>
          </w:tcPr>
          <w:p w14:paraId="5F2CB1E4" w14:textId="77777777" w:rsidR="00E836FB" w:rsidRDefault="00E836FB">
            <w:pPr>
              <w:rPr>
                <w:rFonts w:ascii="宋体"/>
                <w:vanish/>
              </w:rPr>
            </w:pPr>
          </w:p>
        </w:tc>
        <w:tc>
          <w:tcPr>
            <w:tcW w:w="0" w:type="auto"/>
            <w:gridSpan w:val="3"/>
            <w:shd w:val="clear" w:color="auto" w:fill="auto"/>
            <w:vAlign w:val="bottom"/>
          </w:tcPr>
          <w:p w14:paraId="5F2CB1E5" w14:textId="77777777" w:rsidR="00E836FB" w:rsidRDefault="00E836FB">
            <w:pPr>
              <w:rPr>
                <w:rFonts w:ascii="宋体"/>
                <w:vanish/>
              </w:rPr>
            </w:pPr>
          </w:p>
        </w:tc>
        <w:tc>
          <w:tcPr>
            <w:tcW w:w="0" w:type="auto"/>
            <w:gridSpan w:val="3"/>
            <w:shd w:val="clear" w:color="auto" w:fill="auto"/>
            <w:vAlign w:val="bottom"/>
          </w:tcPr>
          <w:p w14:paraId="5F2CB1E6" w14:textId="77777777" w:rsidR="00E836FB" w:rsidRDefault="00E836FB">
            <w:pPr>
              <w:rPr>
                <w:rFonts w:ascii="宋体"/>
                <w:vanish/>
              </w:rPr>
            </w:pPr>
          </w:p>
        </w:tc>
        <w:tc>
          <w:tcPr>
            <w:tcW w:w="0" w:type="auto"/>
            <w:gridSpan w:val="3"/>
            <w:shd w:val="clear" w:color="auto" w:fill="auto"/>
            <w:vAlign w:val="bottom"/>
          </w:tcPr>
          <w:p w14:paraId="5F2CB1E7" w14:textId="77777777" w:rsidR="00E836FB" w:rsidRDefault="00E836FB">
            <w:pPr>
              <w:rPr>
                <w:rFonts w:ascii="宋体"/>
                <w:vanish/>
              </w:rPr>
            </w:pPr>
          </w:p>
        </w:tc>
        <w:tc>
          <w:tcPr>
            <w:tcW w:w="0" w:type="auto"/>
            <w:gridSpan w:val="3"/>
            <w:shd w:val="clear" w:color="auto" w:fill="auto"/>
            <w:vAlign w:val="bottom"/>
          </w:tcPr>
          <w:p w14:paraId="5F2CB1E8" w14:textId="77777777" w:rsidR="00E836FB" w:rsidRDefault="00E836FB">
            <w:pPr>
              <w:rPr>
                <w:rFonts w:ascii="宋体"/>
                <w:vanish/>
              </w:rPr>
            </w:pPr>
          </w:p>
        </w:tc>
        <w:tc>
          <w:tcPr>
            <w:tcW w:w="0" w:type="auto"/>
            <w:gridSpan w:val="3"/>
            <w:shd w:val="clear" w:color="auto" w:fill="auto"/>
            <w:vAlign w:val="bottom"/>
          </w:tcPr>
          <w:p w14:paraId="5F2CB1E9" w14:textId="77777777" w:rsidR="00E836FB" w:rsidRDefault="00E836FB">
            <w:pPr>
              <w:rPr>
                <w:rFonts w:ascii="宋体"/>
                <w:vanish/>
              </w:rPr>
            </w:pPr>
          </w:p>
        </w:tc>
        <w:tc>
          <w:tcPr>
            <w:tcW w:w="0" w:type="auto"/>
            <w:gridSpan w:val="3"/>
            <w:shd w:val="clear" w:color="auto" w:fill="auto"/>
            <w:vAlign w:val="bottom"/>
          </w:tcPr>
          <w:p w14:paraId="5F2CB1EA" w14:textId="77777777" w:rsidR="00E836FB" w:rsidRDefault="00E836FB">
            <w:pPr>
              <w:rPr>
                <w:rFonts w:ascii="宋体"/>
                <w:vanish/>
              </w:rPr>
            </w:pPr>
          </w:p>
        </w:tc>
        <w:tc>
          <w:tcPr>
            <w:tcW w:w="0" w:type="auto"/>
            <w:gridSpan w:val="3"/>
            <w:shd w:val="clear" w:color="auto" w:fill="auto"/>
            <w:vAlign w:val="bottom"/>
          </w:tcPr>
          <w:p w14:paraId="5F2CB1EB" w14:textId="77777777" w:rsidR="00E836FB" w:rsidRDefault="00E836FB">
            <w:pPr>
              <w:rPr>
                <w:rFonts w:ascii="宋体"/>
                <w:vanish/>
              </w:rPr>
            </w:pPr>
          </w:p>
        </w:tc>
        <w:tc>
          <w:tcPr>
            <w:tcW w:w="0" w:type="auto"/>
            <w:gridSpan w:val="3"/>
            <w:shd w:val="clear" w:color="auto" w:fill="auto"/>
            <w:vAlign w:val="bottom"/>
          </w:tcPr>
          <w:p w14:paraId="5F2CB1EC" w14:textId="77777777" w:rsidR="00E836FB" w:rsidRDefault="00E836FB">
            <w:pPr>
              <w:rPr>
                <w:rFonts w:ascii="宋体"/>
                <w:vanish/>
              </w:rPr>
            </w:pPr>
          </w:p>
        </w:tc>
        <w:tc>
          <w:tcPr>
            <w:tcW w:w="0" w:type="auto"/>
            <w:gridSpan w:val="3"/>
            <w:shd w:val="clear" w:color="auto" w:fill="auto"/>
            <w:vAlign w:val="bottom"/>
          </w:tcPr>
          <w:p w14:paraId="5F2CB1ED" w14:textId="77777777" w:rsidR="00E836FB" w:rsidRDefault="00E836FB">
            <w:pPr>
              <w:rPr>
                <w:rFonts w:ascii="宋体"/>
                <w:vanish/>
              </w:rPr>
            </w:pPr>
          </w:p>
        </w:tc>
        <w:tc>
          <w:tcPr>
            <w:tcW w:w="0" w:type="auto"/>
            <w:gridSpan w:val="3"/>
            <w:shd w:val="clear" w:color="auto" w:fill="auto"/>
            <w:vAlign w:val="bottom"/>
          </w:tcPr>
          <w:p w14:paraId="5F2CB1EE" w14:textId="77777777" w:rsidR="00E836FB" w:rsidRDefault="00E836FB">
            <w:pPr>
              <w:rPr>
                <w:rFonts w:ascii="宋体"/>
                <w:vanish/>
              </w:rPr>
            </w:pPr>
          </w:p>
        </w:tc>
        <w:tc>
          <w:tcPr>
            <w:tcW w:w="0" w:type="auto"/>
            <w:gridSpan w:val="2"/>
            <w:shd w:val="clear" w:color="auto" w:fill="auto"/>
            <w:vAlign w:val="bottom"/>
          </w:tcPr>
          <w:p w14:paraId="5F2CB1EF" w14:textId="77777777" w:rsidR="00E836FB" w:rsidRDefault="00E836FB">
            <w:pPr>
              <w:rPr>
                <w:rFonts w:ascii="宋体"/>
                <w:vanish/>
              </w:rPr>
            </w:pPr>
          </w:p>
        </w:tc>
        <w:tc>
          <w:tcPr>
            <w:tcW w:w="0" w:type="auto"/>
            <w:shd w:val="clear" w:color="auto" w:fill="auto"/>
            <w:vAlign w:val="bottom"/>
          </w:tcPr>
          <w:p w14:paraId="5F2CB1F0" w14:textId="77777777" w:rsidR="00E836FB" w:rsidRDefault="00E836FB">
            <w:pPr>
              <w:rPr>
                <w:rFonts w:ascii="宋体"/>
                <w:vanish/>
              </w:rPr>
            </w:pPr>
          </w:p>
        </w:tc>
      </w:tr>
      <w:tr w:rsidR="00E836FB" w14:paraId="5F2CB208" w14:textId="77777777">
        <w:trPr>
          <w:hidden/>
        </w:trPr>
        <w:tc>
          <w:tcPr>
            <w:tcW w:w="0" w:type="auto"/>
            <w:gridSpan w:val="3"/>
            <w:shd w:val="clear" w:color="auto" w:fill="auto"/>
            <w:vAlign w:val="bottom"/>
          </w:tcPr>
          <w:p w14:paraId="5F2CB1F2" w14:textId="77777777" w:rsidR="00E836FB" w:rsidRDefault="00E836FB">
            <w:pPr>
              <w:rPr>
                <w:rFonts w:ascii="宋体"/>
                <w:vanish/>
              </w:rPr>
            </w:pPr>
          </w:p>
        </w:tc>
        <w:tc>
          <w:tcPr>
            <w:tcW w:w="0" w:type="auto"/>
            <w:gridSpan w:val="3"/>
            <w:shd w:val="clear" w:color="auto" w:fill="auto"/>
            <w:vAlign w:val="bottom"/>
          </w:tcPr>
          <w:p w14:paraId="5F2CB1F3" w14:textId="77777777" w:rsidR="00E836FB" w:rsidRDefault="00E836FB">
            <w:pPr>
              <w:rPr>
                <w:rFonts w:ascii="宋体"/>
                <w:vanish/>
              </w:rPr>
            </w:pPr>
          </w:p>
        </w:tc>
        <w:tc>
          <w:tcPr>
            <w:tcW w:w="0" w:type="auto"/>
            <w:gridSpan w:val="3"/>
            <w:shd w:val="clear" w:color="auto" w:fill="auto"/>
            <w:vAlign w:val="bottom"/>
          </w:tcPr>
          <w:p w14:paraId="5F2CB1F4" w14:textId="77777777" w:rsidR="00E836FB" w:rsidRDefault="00E836FB">
            <w:pPr>
              <w:rPr>
                <w:rFonts w:ascii="宋体"/>
                <w:vanish/>
              </w:rPr>
            </w:pPr>
          </w:p>
        </w:tc>
        <w:tc>
          <w:tcPr>
            <w:tcW w:w="0" w:type="auto"/>
            <w:gridSpan w:val="3"/>
            <w:shd w:val="clear" w:color="auto" w:fill="auto"/>
            <w:vAlign w:val="bottom"/>
          </w:tcPr>
          <w:p w14:paraId="5F2CB1F5" w14:textId="77777777" w:rsidR="00E836FB" w:rsidRDefault="00E836FB">
            <w:pPr>
              <w:rPr>
                <w:rFonts w:ascii="宋体"/>
                <w:vanish/>
              </w:rPr>
            </w:pPr>
          </w:p>
        </w:tc>
        <w:tc>
          <w:tcPr>
            <w:tcW w:w="0" w:type="auto"/>
            <w:gridSpan w:val="3"/>
            <w:shd w:val="clear" w:color="auto" w:fill="auto"/>
            <w:vAlign w:val="bottom"/>
          </w:tcPr>
          <w:p w14:paraId="5F2CB1F6" w14:textId="77777777" w:rsidR="00E836FB" w:rsidRDefault="00E836FB">
            <w:pPr>
              <w:rPr>
                <w:rFonts w:ascii="宋体"/>
                <w:vanish/>
              </w:rPr>
            </w:pPr>
          </w:p>
        </w:tc>
        <w:tc>
          <w:tcPr>
            <w:tcW w:w="0" w:type="auto"/>
            <w:gridSpan w:val="3"/>
            <w:shd w:val="clear" w:color="auto" w:fill="auto"/>
            <w:vAlign w:val="bottom"/>
          </w:tcPr>
          <w:p w14:paraId="5F2CB1F7" w14:textId="77777777" w:rsidR="00E836FB" w:rsidRDefault="00E836FB">
            <w:pPr>
              <w:rPr>
                <w:rFonts w:ascii="宋体"/>
                <w:vanish/>
              </w:rPr>
            </w:pPr>
          </w:p>
        </w:tc>
        <w:tc>
          <w:tcPr>
            <w:tcW w:w="0" w:type="auto"/>
            <w:gridSpan w:val="3"/>
            <w:shd w:val="clear" w:color="auto" w:fill="auto"/>
            <w:vAlign w:val="bottom"/>
          </w:tcPr>
          <w:p w14:paraId="5F2CB1F8" w14:textId="77777777" w:rsidR="00E836FB" w:rsidRDefault="00E836FB">
            <w:pPr>
              <w:rPr>
                <w:rFonts w:ascii="宋体"/>
                <w:vanish/>
              </w:rPr>
            </w:pPr>
          </w:p>
        </w:tc>
        <w:tc>
          <w:tcPr>
            <w:tcW w:w="0" w:type="auto"/>
            <w:gridSpan w:val="3"/>
            <w:shd w:val="clear" w:color="auto" w:fill="auto"/>
            <w:vAlign w:val="bottom"/>
          </w:tcPr>
          <w:p w14:paraId="5F2CB1F9" w14:textId="77777777" w:rsidR="00E836FB" w:rsidRDefault="00E836FB">
            <w:pPr>
              <w:rPr>
                <w:rFonts w:ascii="宋体"/>
                <w:vanish/>
              </w:rPr>
            </w:pPr>
          </w:p>
        </w:tc>
        <w:tc>
          <w:tcPr>
            <w:tcW w:w="0" w:type="auto"/>
            <w:gridSpan w:val="3"/>
            <w:shd w:val="clear" w:color="auto" w:fill="auto"/>
            <w:vAlign w:val="bottom"/>
          </w:tcPr>
          <w:p w14:paraId="5F2CB1FA" w14:textId="77777777" w:rsidR="00E836FB" w:rsidRDefault="00E836FB">
            <w:pPr>
              <w:rPr>
                <w:rFonts w:ascii="宋体"/>
                <w:vanish/>
              </w:rPr>
            </w:pPr>
          </w:p>
        </w:tc>
        <w:tc>
          <w:tcPr>
            <w:tcW w:w="0" w:type="auto"/>
            <w:gridSpan w:val="3"/>
            <w:shd w:val="clear" w:color="auto" w:fill="auto"/>
            <w:vAlign w:val="bottom"/>
          </w:tcPr>
          <w:p w14:paraId="5F2CB1FB" w14:textId="77777777" w:rsidR="00E836FB" w:rsidRDefault="00E836FB">
            <w:pPr>
              <w:rPr>
                <w:rFonts w:ascii="宋体"/>
                <w:vanish/>
              </w:rPr>
            </w:pPr>
          </w:p>
        </w:tc>
        <w:tc>
          <w:tcPr>
            <w:tcW w:w="0" w:type="auto"/>
            <w:gridSpan w:val="3"/>
            <w:shd w:val="clear" w:color="auto" w:fill="auto"/>
            <w:vAlign w:val="bottom"/>
          </w:tcPr>
          <w:p w14:paraId="5F2CB1FC" w14:textId="77777777" w:rsidR="00E836FB" w:rsidRDefault="00E836FB">
            <w:pPr>
              <w:rPr>
                <w:rFonts w:ascii="宋体"/>
                <w:vanish/>
              </w:rPr>
            </w:pPr>
          </w:p>
        </w:tc>
        <w:tc>
          <w:tcPr>
            <w:tcW w:w="0" w:type="auto"/>
            <w:gridSpan w:val="3"/>
            <w:shd w:val="clear" w:color="auto" w:fill="auto"/>
            <w:vAlign w:val="bottom"/>
          </w:tcPr>
          <w:p w14:paraId="5F2CB1FD" w14:textId="77777777" w:rsidR="00E836FB" w:rsidRDefault="00E836FB">
            <w:pPr>
              <w:rPr>
                <w:rFonts w:ascii="宋体"/>
                <w:vanish/>
              </w:rPr>
            </w:pPr>
          </w:p>
        </w:tc>
        <w:tc>
          <w:tcPr>
            <w:tcW w:w="0" w:type="auto"/>
            <w:gridSpan w:val="3"/>
            <w:shd w:val="clear" w:color="auto" w:fill="auto"/>
            <w:vAlign w:val="bottom"/>
          </w:tcPr>
          <w:p w14:paraId="5F2CB1FE" w14:textId="77777777" w:rsidR="00E836FB" w:rsidRDefault="00E836FB">
            <w:pPr>
              <w:rPr>
                <w:rFonts w:ascii="宋体"/>
                <w:vanish/>
              </w:rPr>
            </w:pPr>
          </w:p>
        </w:tc>
        <w:tc>
          <w:tcPr>
            <w:tcW w:w="0" w:type="auto"/>
            <w:gridSpan w:val="3"/>
            <w:shd w:val="clear" w:color="auto" w:fill="auto"/>
            <w:vAlign w:val="bottom"/>
          </w:tcPr>
          <w:p w14:paraId="5F2CB1FF" w14:textId="77777777" w:rsidR="00E836FB" w:rsidRDefault="00E836FB">
            <w:pPr>
              <w:rPr>
                <w:rFonts w:ascii="宋体"/>
                <w:vanish/>
              </w:rPr>
            </w:pPr>
          </w:p>
        </w:tc>
        <w:tc>
          <w:tcPr>
            <w:tcW w:w="0" w:type="auto"/>
            <w:gridSpan w:val="3"/>
            <w:shd w:val="clear" w:color="auto" w:fill="auto"/>
            <w:vAlign w:val="bottom"/>
          </w:tcPr>
          <w:p w14:paraId="5F2CB200" w14:textId="77777777" w:rsidR="00E836FB" w:rsidRDefault="00E836FB">
            <w:pPr>
              <w:rPr>
                <w:rFonts w:ascii="宋体"/>
                <w:vanish/>
              </w:rPr>
            </w:pPr>
          </w:p>
        </w:tc>
        <w:tc>
          <w:tcPr>
            <w:tcW w:w="0" w:type="auto"/>
            <w:gridSpan w:val="3"/>
            <w:shd w:val="clear" w:color="auto" w:fill="auto"/>
            <w:vAlign w:val="bottom"/>
          </w:tcPr>
          <w:p w14:paraId="5F2CB201" w14:textId="77777777" w:rsidR="00E836FB" w:rsidRDefault="00E836FB">
            <w:pPr>
              <w:rPr>
                <w:rFonts w:ascii="宋体"/>
                <w:vanish/>
              </w:rPr>
            </w:pPr>
          </w:p>
        </w:tc>
        <w:tc>
          <w:tcPr>
            <w:tcW w:w="0" w:type="auto"/>
            <w:gridSpan w:val="3"/>
            <w:shd w:val="clear" w:color="auto" w:fill="auto"/>
            <w:vAlign w:val="bottom"/>
          </w:tcPr>
          <w:p w14:paraId="5F2CB202" w14:textId="77777777" w:rsidR="00E836FB" w:rsidRDefault="00E836FB">
            <w:pPr>
              <w:rPr>
                <w:rFonts w:ascii="宋体"/>
                <w:vanish/>
              </w:rPr>
            </w:pPr>
          </w:p>
        </w:tc>
        <w:tc>
          <w:tcPr>
            <w:tcW w:w="0" w:type="auto"/>
            <w:gridSpan w:val="3"/>
            <w:shd w:val="clear" w:color="auto" w:fill="auto"/>
            <w:vAlign w:val="bottom"/>
          </w:tcPr>
          <w:p w14:paraId="5F2CB203" w14:textId="77777777" w:rsidR="00E836FB" w:rsidRDefault="00E836FB">
            <w:pPr>
              <w:rPr>
                <w:rFonts w:ascii="宋体"/>
                <w:vanish/>
              </w:rPr>
            </w:pPr>
          </w:p>
        </w:tc>
        <w:tc>
          <w:tcPr>
            <w:tcW w:w="0" w:type="auto"/>
            <w:gridSpan w:val="3"/>
            <w:shd w:val="clear" w:color="auto" w:fill="auto"/>
            <w:vAlign w:val="bottom"/>
          </w:tcPr>
          <w:p w14:paraId="5F2CB204" w14:textId="77777777" w:rsidR="00E836FB" w:rsidRDefault="00E836FB">
            <w:pPr>
              <w:rPr>
                <w:rFonts w:ascii="宋体"/>
                <w:vanish/>
              </w:rPr>
            </w:pPr>
          </w:p>
        </w:tc>
        <w:tc>
          <w:tcPr>
            <w:tcW w:w="0" w:type="auto"/>
            <w:gridSpan w:val="3"/>
            <w:shd w:val="clear" w:color="auto" w:fill="auto"/>
            <w:vAlign w:val="bottom"/>
          </w:tcPr>
          <w:p w14:paraId="5F2CB205" w14:textId="77777777" w:rsidR="00E836FB" w:rsidRDefault="00E836FB">
            <w:pPr>
              <w:rPr>
                <w:rFonts w:ascii="宋体"/>
                <w:vanish/>
              </w:rPr>
            </w:pPr>
          </w:p>
        </w:tc>
        <w:tc>
          <w:tcPr>
            <w:tcW w:w="0" w:type="auto"/>
            <w:gridSpan w:val="2"/>
            <w:shd w:val="clear" w:color="auto" w:fill="auto"/>
            <w:vAlign w:val="bottom"/>
          </w:tcPr>
          <w:p w14:paraId="5F2CB206" w14:textId="77777777" w:rsidR="00E836FB" w:rsidRDefault="00E836FB">
            <w:pPr>
              <w:rPr>
                <w:rFonts w:ascii="宋体"/>
                <w:vanish/>
              </w:rPr>
            </w:pPr>
          </w:p>
        </w:tc>
        <w:tc>
          <w:tcPr>
            <w:tcW w:w="0" w:type="auto"/>
            <w:shd w:val="clear" w:color="auto" w:fill="auto"/>
            <w:vAlign w:val="bottom"/>
          </w:tcPr>
          <w:p w14:paraId="5F2CB207" w14:textId="77777777" w:rsidR="00E836FB" w:rsidRDefault="00E836FB">
            <w:pPr>
              <w:rPr>
                <w:rFonts w:ascii="宋体"/>
                <w:vanish/>
              </w:rPr>
            </w:pPr>
          </w:p>
        </w:tc>
      </w:tr>
      <w:tr w:rsidR="00E836FB" w14:paraId="5F2CB21F" w14:textId="77777777">
        <w:trPr>
          <w:hidden/>
        </w:trPr>
        <w:tc>
          <w:tcPr>
            <w:tcW w:w="0" w:type="auto"/>
            <w:gridSpan w:val="3"/>
            <w:shd w:val="clear" w:color="auto" w:fill="auto"/>
            <w:vAlign w:val="bottom"/>
          </w:tcPr>
          <w:p w14:paraId="5F2CB209" w14:textId="77777777" w:rsidR="00E836FB" w:rsidRDefault="00E836FB">
            <w:pPr>
              <w:rPr>
                <w:rFonts w:ascii="宋体"/>
                <w:vanish/>
              </w:rPr>
            </w:pPr>
          </w:p>
        </w:tc>
        <w:tc>
          <w:tcPr>
            <w:tcW w:w="0" w:type="auto"/>
            <w:gridSpan w:val="3"/>
            <w:shd w:val="clear" w:color="auto" w:fill="auto"/>
            <w:vAlign w:val="bottom"/>
          </w:tcPr>
          <w:p w14:paraId="5F2CB20A" w14:textId="77777777" w:rsidR="00E836FB" w:rsidRDefault="00E836FB">
            <w:pPr>
              <w:rPr>
                <w:rFonts w:ascii="宋体"/>
                <w:vanish/>
              </w:rPr>
            </w:pPr>
          </w:p>
        </w:tc>
        <w:tc>
          <w:tcPr>
            <w:tcW w:w="0" w:type="auto"/>
            <w:gridSpan w:val="3"/>
            <w:shd w:val="clear" w:color="auto" w:fill="auto"/>
            <w:vAlign w:val="bottom"/>
          </w:tcPr>
          <w:p w14:paraId="5F2CB20B" w14:textId="77777777" w:rsidR="00E836FB" w:rsidRDefault="00E836FB">
            <w:pPr>
              <w:rPr>
                <w:rFonts w:ascii="宋体"/>
                <w:vanish/>
              </w:rPr>
            </w:pPr>
          </w:p>
        </w:tc>
        <w:tc>
          <w:tcPr>
            <w:tcW w:w="0" w:type="auto"/>
            <w:gridSpan w:val="3"/>
            <w:shd w:val="clear" w:color="auto" w:fill="auto"/>
            <w:vAlign w:val="bottom"/>
          </w:tcPr>
          <w:p w14:paraId="5F2CB20C" w14:textId="77777777" w:rsidR="00E836FB" w:rsidRDefault="00E836FB">
            <w:pPr>
              <w:rPr>
                <w:rFonts w:ascii="宋体"/>
                <w:vanish/>
              </w:rPr>
            </w:pPr>
          </w:p>
        </w:tc>
        <w:tc>
          <w:tcPr>
            <w:tcW w:w="0" w:type="auto"/>
            <w:gridSpan w:val="3"/>
            <w:shd w:val="clear" w:color="auto" w:fill="auto"/>
            <w:vAlign w:val="bottom"/>
          </w:tcPr>
          <w:p w14:paraId="5F2CB20D" w14:textId="77777777" w:rsidR="00E836FB" w:rsidRDefault="00E836FB">
            <w:pPr>
              <w:rPr>
                <w:rFonts w:ascii="宋体"/>
                <w:vanish/>
              </w:rPr>
            </w:pPr>
          </w:p>
        </w:tc>
        <w:tc>
          <w:tcPr>
            <w:tcW w:w="0" w:type="auto"/>
            <w:gridSpan w:val="3"/>
            <w:shd w:val="clear" w:color="auto" w:fill="auto"/>
            <w:vAlign w:val="bottom"/>
          </w:tcPr>
          <w:p w14:paraId="5F2CB20E" w14:textId="77777777" w:rsidR="00E836FB" w:rsidRDefault="00E836FB">
            <w:pPr>
              <w:rPr>
                <w:rFonts w:ascii="宋体"/>
                <w:vanish/>
              </w:rPr>
            </w:pPr>
          </w:p>
        </w:tc>
        <w:tc>
          <w:tcPr>
            <w:tcW w:w="0" w:type="auto"/>
            <w:gridSpan w:val="3"/>
            <w:shd w:val="clear" w:color="auto" w:fill="auto"/>
            <w:vAlign w:val="bottom"/>
          </w:tcPr>
          <w:p w14:paraId="5F2CB20F" w14:textId="77777777" w:rsidR="00E836FB" w:rsidRDefault="00E836FB">
            <w:pPr>
              <w:rPr>
                <w:rFonts w:ascii="宋体"/>
                <w:vanish/>
              </w:rPr>
            </w:pPr>
          </w:p>
        </w:tc>
        <w:tc>
          <w:tcPr>
            <w:tcW w:w="0" w:type="auto"/>
            <w:gridSpan w:val="3"/>
            <w:shd w:val="clear" w:color="auto" w:fill="auto"/>
            <w:vAlign w:val="bottom"/>
          </w:tcPr>
          <w:p w14:paraId="5F2CB210" w14:textId="77777777" w:rsidR="00E836FB" w:rsidRDefault="00E836FB">
            <w:pPr>
              <w:rPr>
                <w:rFonts w:ascii="宋体"/>
                <w:vanish/>
              </w:rPr>
            </w:pPr>
          </w:p>
        </w:tc>
        <w:tc>
          <w:tcPr>
            <w:tcW w:w="0" w:type="auto"/>
            <w:gridSpan w:val="3"/>
            <w:shd w:val="clear" w:color="auto" w:fill="auto"/>
            <w:vAlign w:val="bottom"/>
          </w:tcPr>
          <w:p w14:paraId="5F2CB211" w14:textId="77777777" w:rsidR="00E836FB" w:rsidRDefault="00E836FB">
            <w:pPr>
              <w:rPr>
                <w:rFonts w:ascii="宋体"/>
                <w:vanish/>
              </w:rPr>
            </w:pPr>
          </w:p>
        </w:tc>
        <w:tc>
          <w:tcPr>
            <w:tcW w:w="0" w:type="auto"/>
            <w:gridSpan w:val="3"/>
            <w:shd w:val="clear" w:color="auto" w:fill="auto"/>
            <w:vAlign w:val="bottom"/>
          </w:tcPr>
          <w:p w14:paraId="5F2CB212" w14:textId="77777777" w:rsidR="00E836FB" w:rsidRDefault="00E836FB">
            <w:pPr>
              <w:rPr>
                <w:rFonts w:ascii="宋体"/>
                <w:vanish/>
              </w:rPr>
            </w:pPr>
          </w:p>
        </w:tc>
        <w:tc>
          <w:tcPr>
            <w:tcW w:w="0" w:type="auto"/>
            <w:gridSpan w:val="3"/>
            <w:shd w:val="clear" w:color="auto" w:fill="auto"/>
            <w:vAlign w:val="bottom"/>
          </w:tcPr>
          <w:p w14:paraId="5F2CB213" w14:textId="77777777" w:rsidR="00E836FB" w:rsidRDefault="00E836FB">
            <w:pPr>
              <w:rPr>
                <w:rFonts w:ascii="宋体"/>
                <w:vanish/>
              </w:rPr>
            </w:pPr>
          </w:p>
        </w:tc>
        <w:tc>
          <w:tcPr>
            <w:tcW w:w="0" w:type="auto"/>
            <w:gridSpan w:val="3"/>
            <w:shd w:val="clear" w:color="auto" w:fill="auto"/>
            <w:vAlign w:val="bottom"/>
          </w:tcPr>
          <w:p w14:paraId="5F2CB214" w14:textId="77777777" w:rsidR="00E836FB" w:rsidRDefault="00E836FB">
            <w:pPr>
              <w:rPr>
                <w:rFonts w:ascii="宋体"/>
                <w:vanish/>
              </w:rPr>
            </w:pPr>
          </w:p>
        </w:tc>
        <w:tc>
          <w:tcPr>
            <w:tcW w:w="0" w:type="auto"/>
            <w:gridSpan w:val="3"/>
            <w:shd w:val="clear" w:color="auto" w:fill="auto"/>
            <w:vAlign w:val="bottom"/>
          </w:tcPr>
          <w:p w14:paraId="5F2CB215" w14:textId="77777777" w:rsidR="00E836FB" w:rsidRDefault="00E836FB">
            <w:pPr>
              <w:rPr>
                <w:rFonts w:ascii="宋体"/>
                <w:vanish/>
              </w:rPr>
            </w:pPr>
          </w:p>
        </w:tc>
        <w:tc>
          <w:tcPr>
            <w:tcW w:w="0" w:type="auto"/>
            <w:gridSpan w:val="3"/>
            <w:shd w:val="clear" w:color="auto" w:fill="auto"/>
            <w:vAlign w:val="bottom"/>
          </w:tcPr>
          <w:p w14:paraId="5F2CB216" w14:textId="77777777" w:rsidR="00E836FB" w:rsidRDefault="00E836FB">
            <w:pPr>
              <w:rPr>
                <w:rFonts w:ascii="宋体"/>
                <w:vanish/>
              </w:rPr>
            </w:pPr>
          </w:p>
        </w:tc>
        <w:tc>
          <w:tcPr>
            <w:tcW w:w="0" w:type="auto"/>
            <w:gridSpan w:val="3"/>
            <w:shd w:val="clear" w:color="auto" w:fill="auto"/>
            <w:vAlign w:val="bottom"/>
          </w:tcPr>
          <w:p w14:paraId="5F2CB217" w14:textId="77777777" w:rsidR="00E836FB" w:rsidRDefault="00E836FB">
            <w:pPr>
              <w:rPr>
                <w:rFonts w:ascii="宋体"/>
                <w:vanish/>
              </w:rPr>
            </w:pPr>
          </w:p>
        </w:tc>
        <w:tc>
          <w:tcPr>
            <w:tcW w:w="0" w:type="auto"/>
            <w:gridSpan w:val="3"/>
            <w:shd w:val="clear" w:color="auto" w:fill="auto"/>
            <w:vAlign w:val="bottom"/>
          </w:tcPr>
          <w:p w14:paraId="5F2CB218" w14:textId="77777777" w:rsidR="00E836FB" w:rsidRDefault="00E836FB">
            <w:pPr>
              <w:rPr>
                <w:rFonts w:ascii="宋体"/>
                <w:vanish/>
              </w:rPr>
            </w:pPr>
          </w:p>
        </w:tc>
        <w:tc>
          <w:tcPr>
            <w:tcW w:w="0" w:type="auto"/>
            <w:gridSpan w:val="3"/>
            <w:shd w:val="clear" w:color="auto" w:fill="auto"/>
            <w:vAlign w:val="bottom"/>
          </w:tcPr>
          <w:p w14:paraId="5F2CB219" w14:textId="77777777" w:rsidR="00E836FB" w:rsidRDefault="00E836FB">
            <w:pPr>
              <w:rPr>
                <w:rFonts w:ascii="宋体"/>
                <w:vanish/>
              </w:rPr>
            </w:pPr>
          </w:p>
        </w:tc>
        <w:tc>
          <w:tcPr>
            <w:tcW w:w="0" w:type="auto"/>
            <w:gridSpan w:val="3"/>
            <w:shd w:val="clear" w:color="auto" w:fill="auto"/>
            <w:vAlign w:val="bottom"/>
          </w:tcPr>
          <w:p w14:paraId="5F2CB21A" w14:textId="77777777" w:rsidR="00E836FB" w:rsidRDefault="00E836FB">
            <w:pPr>
              <w:rPr>
                <w:rFonts w:ascii="宋体"/>
                <w:vanish/>
              </w:rPr>
            </w:pPr>
          </w:p>
        </w:tc>
        <w:tc>
          <w:tcPr>
            <w:tcW w:w="0" w:type="auto"/>
            <w:gridSpan w:val="3"/>
            <w:shd w:val="clear" w:color="auto" w:fill="auto"/>
            <w:vAlign w:val="bottom"/>
          </w:tcPr>
          <w:p w14:paraId="5F2CB21B" w14:textId="77777777" w:rsidR="00E836FB" w:rsidRDefault="00E836FB">
            <w:pPr>
              <w:rPr>
                <w:rFonts w:ascii="宋体"/>
                <w:vanish/>
              </w:rPr>
            </w:pPr>
          </w:p>
        </w:tc>
        <w:tc>
          <w:tcPr>
            <w:tcW w:w="0" w:type="auto"/>
            <w:gridSpan w:val="3"/>
            <w:shd w:val="clear" w:color="auto" w:fill="auto"/>
            <w:vAlign w:val="bottom"/>
          </w:tcPr>
          <w:p w14:paraId="5F2CB21C" w14:textId="77777777" w:rsidR="00E836FB" w:rsidRDefault="00E836FB">
            <w:pPr>
              <w:rPr>
                <w:rFonts w:ascii="宋体"/>
                <w:vanish/>
              </w:rPr>
            </w:pPr>
          </w:p>
        </w:tc>
        <w:tc>
          <w:tcPr>
            <w:tcW w:w="0" w:type="auto"/>
            <w:gridSpan w:val="2"/>
            <w:shd w:val="clear" w:color="auto" w:fill="auto"/>
            <w:vAlign w:val="bottom"/>
          </w:tcPr>
          <w:p w14:paraId="5F2CB21D" w14:textId="77777777" w:rsidR="00E836FB" w:rsidRDefault="00E836FB">
            <w:pPr>
              <w:rPr>
                <w:rFonts w:ascii="宋体"/>
                <w:vanish/>
              </w:rPr>
            </w:pPr>
          </w:p>
        </w:tc>
        <w:tc>
          <w:tcPr>
            <w:tcW w:w="0" w:type="auto"/>
            <w:shd w:val="clear" w:color="auto" w:fill="auto"/>
            <w:vAlign w:val="bottom"/>
          </w:tcPr>
          <w:p w14:paraId="5F2CB21E" w14:textId="77777777" w:rsidR="00E836FB" w:rsidRDefault="00E836FB">
            <w:pPr>
              <w:rPr>
                <w:rFonts w:ascii="宋体"/>
                <w:vanish/>
              </w:rPr>
            </w:pPr>
          </w:p>
        </w:tc>
      </w:tr>
      <w:tr w:rsidR="00E836FB" w14:paraId="5F2CB236" w14:textId="77777777">
        <w:trPr>
          <w:hidden/>
        </w:trPr>
        <w:tc>
          <w:tcPr>
            <w:tcW w:w="0" w:type="auto"/>
            <w:gridSpan w:val="3"/>
            <w:shd w:val="clear" w:color="auto" w:fill="auto"/>
            <w:vAlign w:val="bottom"/>
          </w:tcPr>
          <w:p w14:paraId="5F2CB220" w14:textId="77777777" w:rsidR="00E836FB" w:rsidRDefault="00E836FB">
            <w:pPr>
              <w:rPr>
                <w:rFonts w:ascii="宋体"/>
                <w:vanish/>
              </w:rPr>
            </w:pPr>
          </w:p>
        </w:tc>
        <w:tc>
          <w:tcPr>
            <w:tcW w:w="0" w:type="auto"/>
            <w:gridSpan w:val="3"/>
            <w:shd w:val="clear" w:color="auto" w:fill="auto"/>
            <w:vAlign w:val="bottom"/>
          </w:tcPr>
          <w:p w14:paraId="5F2CB221" w14:textId="77777777" w:rsidR="00E836FB" w:rsidRDefault="00E836FB">
            <w:pPr>
              <w:rPr>
                <w:rFonts w:ascii="宋体"/>
                <w:vanish/>
              </w:rPr>
            </w:pPr>
          </w:p>
        </w:tc>
        <w:tc>
          <w:tcPr>
            <w:tcW w:w="0" w:type="auto"/>
            <w:gridSpan w:val="3"/>
            <w:shd w:val="clear" w:color="auto" w:fill="auto"/>
            <w:vAlign w:val="bottom"/>
          </w:tcPr>
          <w:p w14:paraId="5F2CB222" w14:textId="77777777" w:rsidR="00E836FB" w:rsidRDefault="00E836FB">
            <w:pPr>
              <w:rPr>
                <w:rFonts w:ascii="宋体"/>
                <w:vanish/>
              </w:rPr>
            </w:pPr>
          </w:p>
        </w:tc>
        <w:tc>
          <w:tcPr>
            <w:tcW w:w="0" w:type="auto"/>
            <w:gridSpan w:val="3"/>
            <w:shd w:val="clear" w:color="auto" w:fill="auto"/>
            <w:vAlign w:val="bottom"/>
          </w:tcPr>
          <w:p w14:paraId="5F2CB223" w14:textId="77777777" w:rsidR="00E836FB" w:rsidRDefault="00E836FB">
            <w:pPr>
              <w:rPr>
                <w:rFonts w:ascii="宋体"/>
                <w:vanish/>
              </w:rPr>
            </w:pPr>
          </w:p>
        </w:tc>
        <w:tc>
          <w:tcPr>
            <w:tcW w:w="0" w:type="auto"/>
            <w:gridSpan w:val="3"/>
            <w:shd w:val="clear" w:color="auto" w:fill="auto"/>
            <w:vAlign w:val="bottom"/>
          </w:tcPr>
          <w:p w14:paraId="5F2CB224" w14:textId="77777777" w:rsidR="00E836FB" w:rsidRDefault="00E836FB">
            <w:pPr>
              <w:rPr>
                <w:rFonts w:ascii="宋体"/>
                <w:vanish/>
              </w:rPr>
            </w:pPr>
          </w:p>
        </w:tc>
        <w:tc>
          <w:tcPr>
            <w:tcW w:w="0" w:type="auto"/>
            <w:gridSpan w:val="3"/>
            <w:shd w:val="clear" w:color="auto" w:fill="auto"/>
            <w:vAlign w:val="bottom"/>
          </w:tcPr>
          <w:p w14:paraId="5F2CB225" w14:textId="77777777" w:rsidR="00E836FB" w:rsidRDefault="00E836FB">
            <w:pPr>
              <w:rPr>
                <w:rFonts w:ascii="宋体"/>
                <w:vanish/>
              </w:rPr>
            </w:pPr>
          </w:p>
        </w:tc>
        <w:tc>
          <w:tcPr>
            <w:tcW w:w="0" w:type="auto"/>
            <w:gridSpan w:val="3"/>
            <w:shd w:val="clear" w:color="auto" w:fill="auto"/>
            <w:vAlign w:val="bottom"/>
          </w:tcPr>
          <w:p w14:paraId="5F2CB226" w14:textId="77777777" w:rsidR="00E836FB" w:rsidRDefault="00E836FB">
            <w:pPr>
              <w:rPr>
                <w:rFonts w:ascii="宋体"/>
                <w:vanish/>
              </w:rPr>
            </w:pPr>
          </w:p>
        </w:tc>
        <w:tc>
          <w:tcPr>
            <w:tcW w:w="0" w:type="auto"/>
            <w:gridSpan w:val="3"/>
            <w:shd w:val="clear" w:color="auto" w:fill="auto"/>
            <w:vAlign w:val="bottom"/>
          </w:tcPr>
          <w:p w14:paraId="5F2CB227" w14:textId="77777777" w:rsidR="00E836FB" w:rsidRDefault="00E836FB">
            <w:pPr>
              <w:rPr>
                <w:rFonts w:ascii="宋体"/>
                <w:vanish/>
              </w:rPr>
            </w:pPr>
          </w:p>
        </w:tc>
        <w:tc>
          <w:tcPr>
            <w:tcW w:w="0" w:type="auto"/>
            <w:gridSpan w:val="3"/>
            <w:shd w:val="clear" w:color="auto" w:fill="auto"/>
            <w:vAlign w:val="bottom"/>
          </w:tcPr>
          <w:p w14:paraId="5F2CB228" w14:textId="77777777" w:rsidR="00E836FB" w:rsidRDefault="00E836FB">
            <w:pPr>
              <w:rPr>
                <w:rFonts w:ascii="宋体"/>
                <w:vanish/>
              </w:rPr>
            </w:pPr>
          </w:p>
        </w:tc>
        <w:tc>
          <w:tcPr>
            <w:tcW w:w="0" w:type="auto"/>
            <w:gridSpan w:val="3"/>
            <w:shd w:val="clear" w:color="auto" w:fill="auto"/>
            <w:vAlign w:val="bottom"/>
          </w:tcPr>
          <w:p w14:paraId="5F2CB229" w14:textId="77777777" w:rsidR="00E836FB" w:rsidRDefault="00E836FB">
            <w:pPr>
              <w:rPr>
                <w:rFonts w:ascii="宋体"/>
                <w:vanish/>
              </w:rPr>
            </w:pPr>
          </w:p>
        </w:tc>
        <w:tc>
          <w:tcPr>
            <w:tcW w:w="0" w:type="auto"/>
            <w:gridSpan w:val="3"/>
            <w:shd w:val="clear" w:color="auto" w:fill="auto"/>
            <w:vAlign w:val="bottom"/>
          </w:tcPr>
          <w:p w14:paraId="5F2CB22A" w14:textId="77777777" w:rsidR="00E836FB" w:rsidRDefault="00E836FB">
            <w:pPr>
              <w:rPr>
                <w:rFonts w:ascii="宋体"/>
                <w:vanish/>
              </w:rPr>
            </w:pPr>
          </w:p>
        </w:tc>
        <w:tc>
          <w:tcPr>
            <w:tcW w:w="0" w:type="auto"/>
            <w:gridSpan w:val="3"/>
            <w:shd w:val="clear" w:color="auto" w:fill="auto"/>
            <w:vAlign w:val="bottom"/>
          </w:tcPr>
          <w:p w14:paraId="5F2CB22B" w14:textId="77777777" w:rsidR="00E836FB" w:rsidRDefault="00E836FB">
            <w:pPr>
              <w:rPr>
                <w:rFonts w:ascii="宋体"/>
                <w:vanish/>
              </w:rPr>
            </w:pPr>
          </w:p>
        </w:tc>
        <w:tc>
          <w:tcPr>
            <w:tcW w:w="0" w:type="auto"/>
            <w:gridSpan w:val="3"/>
            <w:shd w:val="clear" w:color="auto" w:fill="auto"/>
            <w:vAlign w:val="bottom"/>
          </w:tcPr>
          <w:p w14:paraId="5F2CB22C" w14:textId="77777777" w:rsidR="00E836FB" w:rsidRDefault="00E836FB">
            <w:pPr>
              <w:rPr>
                <w:rFonts w:ascii="宋体"/>
                <w:vanish/>
              </w:rPr>
            </w:pPr>
          </w:p>
        </w:tc>
        <w:tc>
          <w:tcPr>
            <w:tcW w:w="0" w:type="auto"/>
            <w:gridSpan w:val="3"/>
            <w:shd w:val="clear" w:color="auto" w:fill="auto"/>
            <w:vAlign w:val="bottom"/>
          </w:tcPr>
          <w:p w14:paraId="5F2CB22D" w14:textId="77777777" w:rsidR="00E836FB" w:rsidRDefault="00E836FB">
            <w:pPr>
              <w:rPr>
                <w:rFonts w:ascii="宋体"/>
                <w:vanish/>
              </w:rPr>
            </w:pPr>
          </w:p>
        </w:tc>
        <w:tc>
          <w:tcPr>
            <w:tcW w:w="0" w:type="auto"/>
            <w:gridSpan w:val="3"/>
            <w:shd w:val="clear" w:color="auto" w:fill="auto"/>
            <w:vAlign w:val="bottom"/>
          </w:tcPr>
          <w:p w14:paraId="5F2CB22E" w14:textId="77777777" w:rsidR="00E836FB" w:rsidRDefault="00E836FB">
            <w:pPr>
              <w:rPr>
                <w:rFonts w:ascii="宋体"/>
                <w:vanish/>
              </w:rPr>
            </w:pPr>
          </w:p>
        </w:tc>
        <w:tc>
          <w:tcPr>
            <w:tcW w:w="0" w:type="auto"/>
            <w:gridSpan w:val="3"/>
            <w:shd w:val="clear" w:color="auto" w:fill="auto"/>
            <w:vAlign w:val="bottom"/>
          </w:tcPr>
          <w:p w14:paraId="5F2CB22F" w14:textId="77777777" w:rsidR="00E836FB" w:rsidRDefault="00E836FB">
            <w:pPr>
              <w:rPr>
                <w:rFonts w:ascii="宋体"/>
                <w:vanish/>
              </w:rPr>
            </w:pPr>
          </w:p>
        </w:tc>
        <w:tc>
          <w:tcPr>
            <w:tcW w:w="0" w:type="auto"/>
            <w:gridSpan w:val="3"/>
            <w:shd w:val="clear" w:color="auto" w:fill="auto"/>
            <w:vAlign w:val="bottom"/>
          </w:tcPr>
          <w:p w14:paraId="5F2CB230" w14:textId="77777777" w:rsidR="00E836FB" w:rsidRDefault="00E836FB">
            <w:pPr>
              <w:rPr>
                <w:rFonts w:ascii="宋体"/>
                <w:vanish/>
              </w:rPr>
            </w:pPr>
          </w:p>
        </w:tc>
        <w:tc>
          <w:tcPr>
            <w:tcW w:w="0" w:type="auto"/>
            <w:gridSpan w:val="3"/>
            <w:shd w:val="clear" w:color="auto" w:fill="auto"/>
            <w:vAlign w:val="bottom"/>
          </w:tcPr>
          <w:p w14:paraId="5F2CB231" w14:textId="77777777" w:rsidR="00E836FB" w:rsidRDefault="00E836FB">
            <w:pPr>
              <w:rPr>
                <w:rFonts w:ascii="宋体"/>
                <w:vanish/>
              </w:rPr>
            </w:pPr>
          </w:p>
        </w:tc>
        <w:tc>
          <w:tcPr>
            <w:tcW w:w="0" w:type="auto"/>
            <w:gridSpan w:val="3"/>
            <w:shd w:val="clear" w:color="auto" w:fill="auto"/>
            <w:vAlign w:val="bottom"/>
          </w:tcPr>
          <w:p w14:paraId="5F2CB232" w14:textId="77777777" w:rsidR="00E836FB" w:rsidRDefault="00E836FB">
            <w:pPr>
              <w:rPr>
                <w:rFonts w:ascii="宋体"/>
                <w:vanish/>
              </w:rPr>
            </w:pPr>
          </w:p>
        </w:tc>
        <w:tc>
          <w:tcPr>
            <w:tcW w:w="0" w:type="auto"/>
            <w:gridSpan w:val="3"/>
            <w:shd w:val="clear" w:color="auto" w:fill="auto"/>
            <w:vAlign w:val="bottom"/>
          </w:tcPr>
          <w:p w14:paraId="5F2CB233" w14:textId="77777777" w:rsidR="00E836FB" w:rsidRDefault="00E836FB">
            <w:pPr>
              <w:rPr>
                <w:rFonts w:ascii="宋体"/>
                <w:vanish/>
              </w:rPr>
            </w:pPr>
          </w:p>
        </w:tc>
        <w:tc>
          <w:tcPr>
            <w:tcW w:w="0" w:type="auto"/>
            <w:gridSpan w:val="2"/>
            <w:shd w:val="clear" w:color="auto" w:fill="auto"/>
            <w:vAlign w:val="bottom"/>
          </w:tcPr>
          <w:p w14:paraId="5F2CB234" w14:textId="77777777" w:rsidR="00E836FB" w:rsidRDefault="00E836FB">
            <w:pPr>
              <w:rPr>
                <w:rFonts w:ascii="宋体"/>
                <w:vanish/>
              </w:rPr>
            </w:pPr>
          </w:p>
        </w:tc>
        <w:tc>
          <w:tcPr>
            <w:tcW w:w="0" w:type="auto"/>
            <w:shd w:val="clear" w:color="auto" w:fill="auto"/>
            <w:vAlign w:val="bottom"/>
          </w:tcPr>
          <w:p w14:paraId="5F2CB235" w14:textId="77777777" w:rsidR="00E836FB" w:rsidRDefault="00E836FB">
            <w:pPr>
              <w:rPr>
                <w:rFonts w:ascii="宋体"/>
                <w:vanish/>
              </w:rPr>
            </w:pPr>
          </w:p>
        </w:tc>
      </w:tr>
      <w:tr w:rsidR="00E836FB" w14:paraId="5F2CB24D" w14:textId="77777777">
        <w:trPr>
          <w:hidden/>
        </w:trPr>
        <w:tc>
          <w:tcPr>
            <w:tcW w:w="0" w:type="auto"/>
            <w:gridSpan w:val="3"/>
            <w:shd w:val="clear" w:color="auto" w:fill="auto"/>
            <w:vAlign w:val="bottom"/>
          </w:tcPr>
          <w:p w14:paraId="5F2CB237" w14:textId="77777777" w:rsidR="00E836FB" w:rsidRDefault="00E836FB">
            <w:pPr>
              <w:rPr>
                <w:rFonts w:ascii="宋体"/>
                <w:vanish/>
              </w:rPr>
            </w:pPr>
          </w:p>
        </w:tc>
        <w:tc>
          <w:tcPr>
            <w:tcW w:w="0" w:type="auto"/>
            <w:gridSpan w:val="3"/>
            <w:shd w:val="clear" w:color="auto" w:fill="auto"/>
            <w:vAlign w:val="bottom"/>
          </w:tcPr>
          <w:p w14:paraId="5F2CB238" w14:textId="77777777" w:rsidR="00E836FB" w:rsidRDefault="00E836FB">
            <w:pPr>
              <w:rPr>
                <w:rFonts w:ascii="宋体"/>
                <w:vanish/>
              </w:rPr>
            </w:pPr>
          </w:p>
        </w:tc>
        <w:tc>
          <w:tcPr>
            <w:tcW w:w="0" w:type="auto"/>
            <w:gridSpan w:val="3"/>
            <w:shd w:val="clear" w:color="auto" w:fill="auto"/>
            <w:vAlign w:val="bottom"/>
          </w:tcPr>
          <w:p w14:paraId="5F2CB239" w14:textId="77777777" w:rsidR="00E836FB" w:rsidRDefault="00E836FB">
            <w:pPr>
              <w:rPr>
                <w:rFonts w:ascii="宋体"/>
                <w:vanish/>
              </w:rPr>
            </w:pPr>
          </w:p>
        </w:tc>
        <w:tc>
          <w:tcPr>
            <w:tcW w:w="0" w:type="auto"/>
            <w:gridSpan w:val="3"/>
            <w:shd w:val="clear" w:color="auto" w:fill="auto"/>
            <w:vAlign w:val="bottom"/>
          </w:tcPr>
          <w:p w14:paraId="5F2CB23A" w14:textId="77777777" w:rsidR="00E836FB" w:rsidRDefault="00E836FB">
            <w:pPr>
              <w:rPr>
                <w:rFonts w:ascii="宋体"/>
                <w:vanish/>
              </w:rPr>
            </w:pPr>
          </w:p>
        </w:tc>
        <w:tc>
          <w:tcPr>
            <w:tcW w:w="0" w:type="auto"/>
            <w:gridSpan w:val="3"/>
            <w:shd w:val="clear" w:color="auto" w:fill="auto"/>
            <w:vAlign w:val="bottom"/>
          </w:tcPr>
          <w:p w14:paraId="5F2CB23B" w14:textId="77777777" w:rsidR="00E836FB" w:rsidRDefault="00E836FB">
            <w:pPr>
              <w:rPr>
                <w:rFonts w:ascii="宋体"/>
                <w:vanish/>
              </w:rPr>
            </w:pPr>
          </w:p>
        </w:tc>
        <w:tc>
          <w:tcPr>
            <w:tcW w:w="0" w:type="auto"/>
            <w:gridSpan w:val="3"/>
            <w:shd w:val="clear" w:color="auto" w:fill="auto"/>
            <w:vAlign w:val="bottom"/>
          </w:tcPr>
          <w:p w14:paraId="5F2CB23C" w14:textId="77777777" w:rsidR="00E836FB" w:rsidRDefault="00E836FB">
            <w:pPr>
              <w:rPr>
                <w:rFonts w:ascii="宋体"/>
                <w:vanish/>
              </w:rPr>
            </w:pPr>
          </w:p>
        </w:tc>
        <w:tc>
          <w:tcPr>
            <w:tcW w:w="0" w:type="auto"/>
            <w:gridSpan w:val="3"/>
            <w:shd w:val="clear" w:color="auto" w:fill="auto"/>
            <w:vAlign w:val="bottom"/>
          </w:tcPr>
          <w:p w14:paraId="5F2CB23D" w14:textId="77777777" w:rsidR="00E836FB" w:rsidRDefault="00E836FB">
            <w:pPr>
              <w:rPr>
                <w:rFonts w:ascii="宋体"/>
                <w:vanish/>
              </w:rPr>
            </w:pPr>
          </w:p>
        </w:tc>
        <w:tc>
          <w:tcPr>
            <w:tcW w:w="0" w:type="auto"/>
            <w:gridSpan w:val="3"/>
            <w:shd w:val="clear" w:color="auto" w:fill="auto"/>
            <w:vAlign w:val="bottom"/>
          </w:tcPr>
          <w:p w14:paraId="5F2CB23E" w14:textId="77777777" w:rsidR="00E836FB" w:rsidRDefault="00E836FB">
            <w:pPr>
              <w:rPr>
                <w:rFonts w:ascii="宋体"/>
                <w:vanish/>
              </w:rPr>
            </w:pPr>
          </w:p>
        </w:tc>
        <w:tc>
          <w:tcPr>
            <w:tcW w:w="0" w:type="auto"/>
            <w:gridSpan w:val="3"/>
            <w:shd w:val="clear" w:color="auto" w:fill="auto"/>
            <w:vAlign w:val="bottom"/>
          </w:tcPr>
          <w:p w14:paraId="5F2CB23F" w14:textId="77777777" w:rsidR="00E836FB" w:rsidRDefault="00E836FB">
            <w:pPr>
              <w:rPr>
                <w:rFonts w:ascii="宋体"/>
                <w:vanish/>
              </w:rPr>
            </w:pPr>
          </w:p>
        </w:tc>
        <w:tc>
          <w:tcPr>
            <w:tcW w:w="0" w:type="auto"/>
            <w:gridSpan w:val="3"/>
            <w:shd w:val="clear" w:color="auto" w:fill="auto"/>
            <w:vAlign w:val="bottom"/>
          </w:tcPr>
          <w:p w14:paraId="5F2CB240" w14:textId="77777777" w:rsidR="00E836FB" w:rsidRDefault="00E836FB">
            <w:pPr>
              <w:rPr>
                <w:rFonts w:ascii="宋体"/>
                <w:vanish/>
              </w:rPr>
            </w:pPr>
          </w:p>
        </w:tc>
        <w:tc>
          <w:tcPr>
            <w:tcW w:w="0" w:type="auto"/>
            <w:gridSpan w:val="3"/>
            <w:shd w:val="clear" w:color="auto" w:fill="auto"/>
            <w:vAlign w:val="bottom"/>
          </w:tcPr>
          <w:p w14:paraId="5F2CB241" w14:textId="77777777" w:rsidR="00E836FB" w:rsidRDefault="00E836FB">
            <w:pPr>
              <w:rPr>
                <w:rFonts w:ascii="宋体"/>
                <w:vanish/>
              </w:rPr>
            </w:pPr>
          </w:p>
        </w:tc>
        <w:tc>
          <w:tcPr>
            <w:tcW w:w="0" w:type="auto"/>
            <w:gridSpan w:val="3"/>
            <w:shd w:val="clear" w:color="auto" w:fill="auto"/>
            <w:vAlign w:val="bottom"/>
          </w:tcPr>
          <w:p w14:paraId="5F2CB242" w14:textId="77777777" w:rsidR="00E836FB" w:rsidRDefault="00E836FB">
            <w:pPr>
              <w:rPr>
                <w:rFonts w:ascii="宋体"/>
                <w:vanish/>
              </w:rPr>
            </w:pPr>
          </w:p>
        </w:tc>
        <w:tc>
          <w:tcPr>
            <w:tcW w:w="0" w:type="auto"/>
            <w:gridSpan w:val="3"/>
            <w:shd w:val="clear" w:color="auto" w:fill="auto"/>
            <w:vAlign w:val="bottom"/>
          </w:tcPr>
          <w:p w14:paraId="5F2CB243" w14:textId="77777777" w:rsidR="00E836FB" w:rsidRDefault="00E836FB">
            <w:pPr>
              <w:rPr>
                <w:rFonts w:ascii="宋体"/>
                <w:vanish/>
              </w:rPr>
            </w:pPr>
          </w:p>
        </w:tc>
        <w:tc>
          <w:tcPr>
            <w:tcW w:w="0" w:type="auto"/>
            <w:gridSpan w:val="3"/>
            <w:shd w:val="clear" w:color="auto" w:fill="auto"/>
            <w:vAlign w:val="bottom"/>
          </w:tcPr>
          <w:p w14:paraId="5F2CB244" w14:textId="77777777" w:rsidR="00E836FB" w:rsidRDefault="00E836FB">
            <w:pPr>
              <w:rPr>
                <w:rFonts w:ascii="宋体"/>
                <w:vanish/>
              </w:rPr>
            </w:pPr>
          </w:p>
        </w:tc>
        <w:tc>
          <w:tcPr>
            <w:tcW w:w="0" w:type="auto"/>
            <w:gridSpan w:val="3"/>
            <w:shd w:val="clear" w:color="auto" w:fill="auto"/>
            <w:vAlign w:val="bottom"/>
          </w:tcPr>
          <w:p w14:paraId="5F2CB245" w14:textId="77777777" w:rsidR="00E836FB" w:rsidRDefault="00E836FB">
            <w:pPr>
              <w:rPr>
                <w:rFonts w:ascii="宋体"/>
                <w:vanish/>
              </w:rPr>
            </w:pPr>
          </w:p>
        </w:tc>
        <w:tc>
          <w:tcPr>
            <w:tcW w:w="0" w:type="auto"/>
            <w:gridSpan w:val="3"/>
            <w:shd w:val="clear" w:color="auto" w:fill="auto"/>
            <w:vAlign w:val="bottom"/>
          </w:tcPr>
          <w:p w14:paraId="5F2CB246" w14:textId="77777777" w:rsidR="00E836FB" w:rsidRDefault="00E836FB">
            <w:pPr>
              <w:rPr>
                <w:rFonts w:ascii="宋体"/>
                <w:vanish/>
              </w:rPr>
            </w:pPr>
          </w:p>
        </w:tc>
        <w:tc>
          <w:tcPr>
            <w:tcW w:w="0" w:type="auto"/>
            <w:gridSpan w:val="3"/>
            <w:shd w:val="clear" w:color="auto" w:fill="auto"/>
            <w:vAlign w:val="bottom"/>
          </w:tcPr>
          <w:p w14:paraId="5F2CB247" w14:textId="77777777" w:rsidR="00E836FB" w:rsidRDefault="00E836FB">
            <w:pPr>
              <w:rPr>
                <w:rFonts w:ascii="宋体"/>
                <w:vanish/>
              </w:rPr>
            </w:pPr>
          </w:p>
        </w:tc>
        <w:tc>
          <w:tcPr>
            <w:tcW w:w="0" w:type="auto"/>
            <w:gridSpan w:val="3"/>
            <w:shd w:val="clear" w:color="auto" w:fill="auto"/>
            <w:vAlign w:val="bottom"/>
          </w:tcPr>
          <w:p w14:paraId="5F2CB248" w14:textId="77777777" w:rsidR="00E836FB" w:rsidRDefault="00E836FB">
            <w:pPr>
              <w:rPr>
                <w:rFonts w:ascii="宋体"/>
                <w:vanish/>
              </w:rPr>
            </w:pPr>
          </w:p>
        </w:tc>
        <w:tc>
          <w:tcPr>
            <w:tcW w:w="0" w:type="auto"/>
            <w:gridSpan w:val="3"/>
            <w:shd w:val="clear" w:color="auto" w:fill="auto"/>
            <w:vAlign w:val="bottom"/>
          </w:tcPr>
          <w:p w14:paraId="5F2CB249" w14:textId="77777777" w:rsidR="00E836FB" w:rsidRDefault="00E836FB">
            <w:pPr>
              <w:rPr>
                <w:rFonts w:ascii="宋体"/>
                <w:vanish/>
              </w:rPr>
            </w:pPr>
          </w:p>
        </w:tc>
        <w:tc>
          <w:tcPr>
            <w:tcW w:w="0" w:type="auto"/>
            <w:gridSpan w:val="3"/>
            <w:shd w:val="clear" w:color="auto" w:fill="auto"/>
            <w:vAlign w:val="bottom"/>
          </w:tcPr>
          <w:p w14:paraId="5F2CB24A" w14:textId="77777777" w:rsidR="00E836FB" w:rsidRDefault="00E836FB">
            <w:pPr>
              <w:rPr>
                <w:rFonts w:ascii="宋体"/>
                <w:vanish/>
              </w:rPr>
            </w:pPr>
          </w:p>
        </w:tc>
        <w:tc>
          <w:tcPr>
            <w:tcW w:w="0" w:type="auto"/>
            <w:gridSpan w:val="2"/>
            <w:shd w:val="clear" w:color="auto" w:fill="auto"/>
            <w:vAlign w:val="bottom"/>
          </w:tcPr>
          <w:p w14:paraId="5F2CB24B" w14:textId="77777777" w:rsidR="00E836FB" w:rsidRDefault="00E836FB">
            <w:pPr>
              <w:rPr>
                <w:rFonts w:ascii="宋体"/>
                <w:vanish/>
              </w:rPr>
            </w:pPr>
          </w:p>
        </w:tc>
        <w:tc>
          <w:tcPr>
            <w:tcW w:w="0" w:type="auto"/>
            <w:shd w:val="clear" w:color="auto" w:fill="auto"/>
            <w:vAlign w:val="bottom"/>
          </w:tcPr>
          <w:p w14:paraId="5F2CB24C" w14:textId="77777777" w:rsidR="00E836FB" w:rsidRDefault="00E836FB">
            <w:pPr>
              <w:rPr>
                <w:rFonts w:ascii="宋体"/>
                <w:vanish/>
              </w:rPr>
            </w:pPr>
          </w:p>
        </w:tc>
      </w:tr>
      <w:tr w:rsidR="00E836FB" w14:paraId="5F2CB264" w14:textId="77777777">
        <w:trPr>
          <w:hidden/>
        </w:trPr>
        <w:tc>
          <w:tcPr>
            <w:tcW w:w="0" w:type="auto"/>
            <w:gridSpan w:val="3"/>
            <w:shd w:val="clear" w:color="auto" w:fill="auto"/>
            <w:vAlign w:val="bottom"/>
          </w:tcPr>
          <w:p w14:paraId="5F2CB24E" w14:textId="77777777" w:rsidR="00E836FB" w:rsidRDefault="00E836FB">
            <w:pPr>
              <w:rPr>
                <w:rFonts w:ascii="宋体"/>
                <w:vanish/>
              </w:rPr>
            </w:pPr>
          </w:p>
        </w:tc>
        <w:tc>
          <w:tcPr>
            <w:tcW w:w="0" w:type="auto"/>
            <w:gridSpan w:val="3"/>
            <w:shd w:val="clear" w:color="auto" w:fill="auto"/>
            <w:vAlign w:val="bottom"/>
          </w:tcPr>
          <w:p w14:paraId="5F2CB24F" w14:textId="77777777" w:rsidR="00E836FB" w:rsidRDefault="00E836FB">
            <w:pPr>
              <w:rPr>
                <w:rFonts w:ascii="宋体"/>
                <w:vanish/>
              </w:rPr>
            </w:pPr>
          </w:p>
        </w:tc>
        <w:tc>
          <w:tcPr>
            <w:tcW w:w="0" w:type="auto"/>
            <w:gridSpan w:val="3"/>
            <w:shd w:val="clear" w:color="auto" w:fill="auto"/>
            <w:vAlign w:val="bottom"/>
          </w:tcPr>
          <w:p w14:paraId="5F2CB250" w14:textId="77777777" w:rsidR="00E836FB" w:rsidRDefault="00E836FB">
            <w:pPr>
              <w:rPr>
                <w:rFonts w:ascii="宋体"/>
                <w:vanish/>
              </w:rPr>
            </w:pPr>
          </w:p>
        </w:tc>
        <w:tc>
          <w:tcPr>
            <w:tcW w:w="0" w:type="auto"/>
            <w:gridSpan w:val="3"/>
            <w:shd w:val="clear" w:color="auto" w:fill="auto"/>
            <w:vAlign w:val="bottom"/>
          </w:tcPr>
          <w:p w14:paraId="5F2CB251" w14:textId="77777777" w:rsidR="00E836FB" w:rsidRDefault="00E836FB">
            <w:pPr>
              <w:rPr>
                <w:rFonts w:ascii="宋体"/>
                <w:vanish/>
              </w:rPr>
            </w:pPr>
          </w:p>
        </w:tc>
        <w:tc>
          <w:tcPr>
            <w:tcW w:w="0" w:type="auto"/>
            <w:gridSpan w:val="3"/>
            <w:shd w:val="clear" w:color="auto" w:fill="auto"/>
            <w:vAlign w:val="bottom"/>
          </w:tcPr>
          <w:p w14:paraId="5F2CB252" w14:textId="77777777" w:rsidR="00E836FB" w:rsidRDefault="00E836FB">
            <w:pPr>
              <w:rPr>
                <w:rFonts w:ascii="宋体"/>
                <w:vanish/>
              </w:rPr>
            </w:pPr>
          </w:p>
        </w:tc>
        <w:tc>
          <w:tcPr>
            <w:tcW w:w="0" w:type="auto"/>
            <w:gridSpan w:val="3"/>
            <w:shd w:val="clear" w:color="auto" w:fill="auto"/>
            <w:vAlign w:val="bottom"/>
          </w:tcPr>
          <w:p w14:paraId="5F2CB253" w14:textId="77777777" w:rsidR="00E836FB" w:rsidRDefault="00E836FB">
            <w:pPr>
              <w:rPr>
                <w:rFonts w:ascii="宋体"/>
                <w:vanish/>
              </w:rPr>
            </w:pPr>
          </w:p>
        </w:tc>
        <w:tc>
          <w:tcPr>
            <w:tcW w:w="0" w:type="auto"/>
            <w:gridSpan w:val="3"/>
            <w:shd w:val="clear" w:color="auto" w:fill="auto"/>
            <w:vAlign w:val="bottom"/>
          </w:tcPr>
          <w:p w14:paraId="5F2CB254" w14:textId="77777777" w:rsidR="00E836FB" w:rsidRDefault="00E836FB">
            <w:pPr>
              <w:rPr>
                <w:rFonts w:ascii="宋体"/>
                <w:vanish/>
              </w:rPr>
            </w:pPr>
          </w:p>
        </w:tc>
        <w:tc>
          <w:tcPr>
            <w:tcW w:w="0" w:type="auto"/>
            <w:gridSpan w:val="3"/>
            <w:shd w:val="clear" w:color="auto" w:fill="auto"/>
            <w:vAlign w:val="bottom"/>
          </w:tcPr>
          <w:p w14:paraId="5F2CB255" w14:textId="77777777" w:rsidR="00E836FB" w:rsidRDefault="00E836FB">
            <w:pPr>
              <w:rPr>
                <w:rFonts w:ascii="宋体"/>
                <w:vanish/>
              </w:rPr>
            </w:pPr>
          </w:p>
        </w:tc>
        <w:tc>
          <w:tcPr>
            <w:tcW w:w="0" w:type="auto"/>
            <w:gridSpan w:val="3"/>
            <w:shd w:val="clear" w:color="auto" w:fill="auto"/>
            <w:vAlign w:val="bottom"/>
          </w:tcPr>
          <w:p w14:paraId="5F2CB256" w14:textId="77777777" w:rsidR="00E836FB" w:rsidRDefault="00E836FB">
            <w:pPr>
              <w:rPr>
                <w:rFonts w:ascii="宋体"/>
                <w:vanish/>
              </w:rPr>
            </w:pPr>
          </w:p>
        </w:tc>
        <w:tc>
          <w:tcPr>
            <w:tcW w:w="0" w:type="auto"/>
            <w:gridSpan w:val="3"/>
            <w:shd w:val="clear" w:color="auto" w:fill="auto"/>
            <w:vAlign w:val="bottom"/>
          </w:tcPr>
          <w:p w14:paraId="5F2CB257" w14:textId="77777777" w:rsidR="00E836FB" w:rsidRDefault="00E836FB">
            <w:pPr>
              <w:rPr>
                <w:rFonts w:ascii="宋体"/>
                <w:vanish/>
              </w:rPr>
            </w:pPr>
          </w:p>
        </w:tc>
        <w:tc>
          <w:tcPr>
            <w:tcW w:w="0" w:type="auto"/>
            <w:gridSpan w:val="3"/>
            <w:shd w:val="clear" w:color="auto" w:fill="auto"/>
            <w:vAlign w:val="bottom"/>
          </w:tcPr>
          <w:p w14:paraId="5F2CB258" w14:textId="77777777" w:rsidR="00E836FB" w:rsidRDefault="00E836FB">
            <w:pPr>
              <w:rPr>
                <w:rFonts w:ascii="宋体"/>
                <w:vanish/>
              </w:rPr>
            </w:pPr>
          </w:p>
        </w:tc>
        <w:tc>
          <w:tcPr>
            <w:tcW w:w="0" w:type="auto"/>
            <w:gridSpan w:val="3"/>
            <w:shd w:val="clear" w:color="auto" w:fill="auto"/>
            <w:vAlign w:val="bottom"/>
          </w:tcPr>
          <w:p w14:paraId="5F2CB259" w14:textId="77777777" w:rsidR="00E836FB" w:rsidRDefault="00E836FB">
            <w:pPr>
              <w:rPr>
                <w:rFonts w:ascii="宋体"/>
                <w:vanish/>
              </w:rPr>
            </w:pPr>
          </w:p>
        </w:tc>
        <w:tc>
          <w:tcPr>
            <w:tcW w:w="0" w:type="auto"/>
            <w:gridSpan w:val="3"/>
            <w:shd w:val="clear" w:color="auto" w:fill="auto"/>
            <w:vAlign w:val="bottom"/>
          </w:tcPr>
          <w:p w14:paraId="5F2CB25A" w14:textId="77777777" w:rsidR="00E836FB" w:rsidRDefault="00E836FB">
            <w:pPr>
              <w:rPr>
                <w:rFonts w:ascii="宋体"/>
                <w:vanish/>
              </w:rPr>
            </w:pPr>
          </w:p>
        </w:tc>
        <w:tc>
          <w:tcPr>
            <w:tcW w:w="0" w:type="auto"/>
            <w:gridSpan w:val="3"/>
            <w:shd w:val="clear" w:color="auto" w:fill="auto"/>
            <w:vAlign w:val="bottom"/>
          </w:tcPr>
          <w:p w14:paraId="5F2CB25B" w14:textId="77777777" w:rsidR="00E836FB" w:rsidRDefault="00E836FB">
            <w:pPr>
              <w:rPr>
                <w:rFonts w:ascii="宋体"/>
                <w:vanish/>
              </w:rPr>
            </w:pPr>
          </w:p>
        </w:tc>
        <w:tc>
          <w:tcPr>
            <w:tcW w:w="0" w:type="auto"/>
            <w:gridSpan w:val="3"/>
            <w:shd w:val="clear" w:color="auto" w:fill="auto"/>
            <w:vAlign w:val="bottom"/>
          </w:tcPr>
          <w:p w14:paraId="5F2CB25C" w14:textId="77777777" w:rsidR="00E836FB" w:rsidRDefault="00E836FB">
            <w:pPr>
              <w:rPr>
                <w:rFonts w:ascii="宋体"/>
                <w:vanish/>
              </w:rPr>
            </w:pPr>
          </w:p>
        </w:tc>
        <w:tc>
          <w:tcPr>
            <w:tcW w:w="0" w:type="auto"/>
            <w:gridSpan w:val="3"/>
            <w:shd w:val="clear" w:color="auto" w:fill="auto"/>
            <w:vAlign w:val="bottom"/>
          </w:tcPr>
          <w:p w14:paraId="5F2CB25D" w14:textId="77777777" w:rsidR="00E836FB" w:rsidRDefault="00E836FB">
            <w:pPr>
              <w:rPr>
                <w:rFonts w:ascii="宋体"/>
                <w:vanish/>
              </w:rPr>
            </w:pPr>
          </w:p>
        </w:tc>
        <w:tc>
          <w:tcPr>
            <w:tcW w:w="0" w:type="auto"/>
            <w:gridSpan w:val="3"/>
            <w:shd w:val="clear" w:color="auto" w:fill="auto"/>
            <w:vAlign w:val="bottom"/>
          </w:tcPr>
          <w:p w14:paraId="5F2CB25E" w14:textId="77777777" w:rsidR="00E836FB" w:rsidRDefault="00E836FB">
            <w:pPr>
              <w:rPr>
                <w:rFonts w:ascii="宋体"/>
                <w:vanish/>
              </w:rPr>
            </w:pPr>
          </w:p>
        </w:tc>
        <w:tc>
          <w:tcPr>
            <w:tcW w:w="0" w:type="auto"/>
            <w:gridSpan w:val="3"/>
            <w:shd w:val="clear" w:color="auto" w:fill="auto"/>
            <w:vAlign w:val="bottom"/>
          </w:tcPr>
          <w:p w14:paraId="5F2CB25F" w14:textId="77777777" w:rsidR="00E836FB" w:rsidRDefault="00E836FB">
            <w:pPr>
              <w:rPr>
                <w:rFonts w:ascii="宋体"/>
                <w:vanish/>
              </w:rPr>
            </w:pPr>
          </w:p>
        </w:tc>
        <w:tc>
          <w:tcPr>
            <w:tcW w:w="0" w:type="auto"/>
            <w:gridSpan w:val="3"/>
            <w:shd w:val="clear" w:color="auto" w:fill="auto"/>
            <w:vAlign w:val="bottom"/>
          </w:tcPr>
          <w:p w14:paraId="5F2CB260" w14:textId="77777777" w:rsidR="00E836FB" w:rsidRDefault="00E836FB">
            <w:pPr>
              <w:rPr>
                <w:rFonts w:ascii="宋体"/>
                <w:vanish/>
              </w:rPr>
            </w:pPr>
          </w:p>
        </w:tc>
        <w:tc>
          <w:tcPr>
            <w:tcW w:w="0" w:type="auto"/>
            <w:gridSpan w:val="3"/>
            <w:shd w:val="clear" w:color="auto" w:fill="auto"/>
            <w:vAlign w:val="bottom"/>
          </w:tcPr>
          <w:p w14:paraId="5F2CB261" w14:textId="77777777" w:rsidR="00E836FB" w:rsidRDefault="00E836FB">
            <w:pPr>
              <w:rPr>
                <w:rFonts w:ascii="宋体"/>
                <w:vanish/>
              </w:rPr>
            </w:pPr>
          </w:p>
        </w:tc>
        <w:tc>
          <w:tcPr>
            <w:tcW w:w="0" w:type="auto"/>
            <w:gridSpan w:val="2"/>
            <w:shd w:val="clear" w:color="auto" w:fill="auto"/>
            <w:vAlign w:val="bottom"/>
          </w:tcPr>
          <w:p w14:paraId="5F2CB262" w14:textId="77777777" w:rsidR="00E836FB" w:rsidRDefault="00E836FB">
            <w:pPr>
              <w:rPr>
                <w:rFonts w:ascii="宋体"/>
                <w:vanish/>
              </w:rPr>
            </w:pPr>
          </w:p>
        </w:tc>
        <w:tc>
          <w:tcPr>
            <w:tcW w:w="0" w:type="auto"/>
            <w:shd w:val="clear" w:color="auto" w:fill="auto"/>
            <w:vAlign w:val="bottom"/>
          </w:tcPr>
          <w:p w14:paraId="5F2CB263" w14:textId="77777777" w:rsidR="00E836FB" w:rsidRDefault="00E836FB">
            <w:pPr>
              <w:rPr>
                <w:rFonts w:ascii="宋体"/>
                <w:vanish/>
              </w:rPr>
            </w:pPr>
          </w:p>
        </w:tc>
      </w:tr>
      <w:tr w:rsidR="00E836FB" w14:paraId="5F2CB26B" w14:textId="77777777">
        <w:tc>
          <w:tcPr>
            <w:tcW w:w="0" w:type="auto"/>
            <w:gridSpan w:val="3"/>
            <w:shd w:val="clear" w:color="auto" w:fill="auto"/>
            <w:tcMar>
              <w:top w:w="0" w:type="dxa"/>
              <w:left w:w="20" w:type="dxa"/>
              <w:bottom w:w="0" w:type="dxa"/>
              <w:right w:w="20" w:type="dxa"/>
            </w:tcMar>
            <w:vAlign w:val="bottom"/>
          </w:tcPr>
          <w:p w14:paraId="5F2CB265" w14:textId="77777777" w:rsidR="00E836FB" w:rsidRDefault="00E836FB">
            <w:pPr>
              <w:rPr>
                <w:rFonts w:ascii="宋体"/>
              </w:rPr>
            </w:pPr>
          </w:p>
        </w:tc>
        <w:tc>
          <w:tcPr>
            <w:tcW w:w="0" w:type="auto"/>
            <w:gridSpan w:val="51"/>
            <w:tcBorders>
              <w:bottom w:val="single" w:sz="8" w:space="0" w:color="000000"/>
            </w:tcBorders>
            <w:shd w:val="clear" w:color="auto" w:fill="auto"/>
            <w:tcMar>
              <w:top w:w="40" w:type="dxa"/>
              <w:left w:w="20" w:type="dxa"/>
              <w:bottom w:w="40" w:type="dxa"/>
              <w:right w:w="20" w:type="dxa"/>
            </w:tcMar>
            <w:vAlign w:val="bottom"/>
          </w:tcPr>
          <w:p w14:paraId="5F2CB266"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vAlign w:val="bottom"/>
          </w:tcPr>
          <w:p w14:paraId="5F2CB267" w14:textId="77777777" w:rsidR="00E836FB" w:rsidRDefault="00E836FB">
            <w:pPr>
              <w:rPr>
                <w:rFonts w:ascii="宋体"/>
                <w:vanish/>
              </w:rPr>
            </w:pPr>
          </w:p>
        </w:tc>
        <w:tc>
          <w:tcPr>
            <w:tcW w:w="0" w:type="auto"/>
            <w:gridSpan w:val="3"/>
            <w:shd w:val="clear" w:color="auto" w:fill="auto"/>
            <w:vAlign w:val="bottom"/>
          </w:tcPr>
          <w:p w14:paraId="5F2CB268" w14:textId="77777777" w:rsidR="00E836FB" w:rsidRDefault="00E836FB">
            <w:pPr>
              <w:rPr>
                <w:rFonts w:ascii="宋体"/>
                <w:vanish/>
              </w:rPr>
            </w:pPr>
          </w:p>
        </w:tc>
        <w:tc>
          <w:tcPr>
            <w:tcW w:w="0" w:type="auto"/>
            <w:gridSpan w:val="2"/>
            <w:shd w:val="clear" w:color="auto" w:fill="auto"/>
            <w:vAlign w:val="bottom"/>
          </w:tcPr>
          <w:p w14:paraId="5F2CB269" w14:textId="77777777" w:rsidR="00E836FB" w:rsidRDefault="00E836FB">
            <w:pPr>
              <w:rPr>
                <w:rFonts w:ascii="宋体"/>
                <w:vanish/>
              </w:rPr>
            </w:pPr>
          </w:p>
        </w:tc>
        <w:tc>
          <w:tcPr>
            <w:tcW w:w="0" w:type="auto"/>
            <w:shd w:val="clear" w:color="auto" w:fill="auto"/>
            <w:vAlign w:val="bottom"/>
          </w:tcPr>
          <w:p w14:paraId="5F2CB26A" w14:textId="77777777" w:rsidR="00E836FB" w:rsidRDefault="00E836FB">
            <w:pPr>
              <w:rPr>
                <w:rFonts w:ascii="宋体"/>
                <w:vanish/>
              </w:rPr>
            </w:pPr>
          </w:p>
        </w:tc>
      </w:tr>
      <w:tr w:rsidR="00E836FB" w14:paraId="5F2CB276" w14:textId="77777777">
        <w:tc>
          <w:tcPr>
            <w:tcW w:w="0" w:type="auto"/>
            <w:gridSpan w:val="3"/>
            <w:shd w:val="clear" w:color="auto" w:fill="auto"/>
            <w:tcMar>
              <w:top w:w="0" w:type="dxa"/>
              <w:left w:w="20" w:type="dxa"/>
              <w:bottom w:w="0" w:type="dxa"/>
              <w:right w:w="20" w:type="dxa"/>
            </w:tcMar>
            <w:vAlign w:val="bottom"/>
          </w:tcPr>
          <w:p w14:paraId="5F2CB26C"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B26D"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6E"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B26F"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70"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B271"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vAlign w:val="bottom"/>
          </w:tcPr>
          <w:p w14:paraId="5F2CB272" w14:textId="77777777" w:rsidR="00E836FB" w:rsidRDefault="00E836FB">
            <w:pPr>
              <w:rPr>
                <w:rFonts w:ascii="宋体"/>
                <w:vanish/>
              </w:rPr>
            </w:pPr>
          </w:p>
        </w:tc>
        <w:tc>
          <w:tcPr>
            <w:tcW w:w="0" w:type="auto"/>
            <w:gridSpan w:val="3"/>
            <w:shd w:val="clear" w:color="auto" w:fill="auto"/>
            <w:vAlign w:val="bottom"/>
          </w:tcPr>
          <w:p w14:paraId="5F2CB273" w14:textId="77777777" w:rsidR="00E836FB" w:rsidRDefault="00E836FB">
            <w:pPr>
              <w:rPr>
                <w:rFonts w:ascii="宋体"/>
                <w:vanish/>
              </w:rPr>
            </w:pPr>
          </w:p>
        </w:tc>
        <w:tc>
          <w:tcPr>
            <w:tcW w:w="0" w:type="auto"/>
            <w:gridSpan w:val="2"/>
            <w:shd w:val="clear" w:color="auto" w:fill="auto"/>
            <w:vAlign w:val="bottom"/>
          </w:tcPr>
          <w:p w14:paraId="5F2CB274" w14:textId="77777777" w:rsidR="00E836FB" w:rsidRDefault="00E836FB">
            <w:pPr>
              <w:rPr>
                <w:rFonts w:ascii="宋体"/>
                <w:vanish/>
              </w:rPr>
            </w:pPr>
          </w:p>
        </w:tc>
        <w:tc>
          <w:tcPr>
            <w:tcW w:w="0" w:type="auto"/>
            <w:shd w:val="clear" w:color="auto" w:fill="auto"/>
            <w:vAlign w:val="bottom"/>
          </w:tcPr>
          <w:p w14:paraId="5F2CB275" w14:textId="77777777" w:rsidR="00E836FB" w:rsidRDefault="00E836FB">
            <w:pPr>
              <w:rPr>
                <w:rFonts w:ascii="宋体"/>
                <w:vanish/>
              </w:rPr>
            </w:pPr>
          </w:p>
        </w:tc>
      </w:tr>
      <w:tr w:rsidR="00E836FB" w14:paraId="5F2CB28D" w14:textId="77777777">
        <w:tc>
          <w:tcPr>
            <w:tcW w:w="0" w:type="auto"/>
            <w:gridSpan w:val="3"/>
            <w:shd w:val="clear" w:color="auto" w:fill="auto"/>
            <w:tcMar>
              <w:top w:w="40" w:type="dxa"/>
              <w:left w:w="20" w:type="dxa"/>
              <w:bottom w:w="40" w:type="dxa"/>
              <w:right w:w="20" w:type="dxa"/>
            </w:tcMar>
            <w:vAlign w:val="bottom"/>
          </w:tcPr>
          <w:p w14:paraId="5F2CB277" w14:textId="77777777" w:rsidR="00E836FB" w:rsidRDefault="00994958">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78" w14:textId="77777777" w:rsidR="00E836FB" w:rsidRDefault="00994958">
            <w:pPr>
              <w:jc w:val="center"/>
              <w:textAlignment w:val="bottom"/>
            </w:pPr>
            <w:r>
              <w:rPr>
                <w:rFonts w:ascii="Arial" w:eastAsia="宋体" w:hAnsi="Arial" w:cs="Arial"/>
                <w:b/>
                <w:bCs/>
                <w:color w:val="000000"/>
                <w:sz w:val="14"/>
                <w:szCs w:val="14"/>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7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7A" w14:textId="77777777" w:rsidR="00E836FB" w:rsidRDefault="00994958">
            <w:pPr>
              <w:jc w:val="center"/>
              <w:textAlignment w:val="bottom"/>
            </w:pPr>
            <w:r>
              <w:rPr>
                <w:rFonts w:ascii="Arial" w:eastAsia="宋体" w:hAnsi="Arial" w:cs="Arial"/>
                <w:b/>
                <w:bCs/>
                <w:color w:val="000000"/>
                <w:sz w:val="14"/>
                <w:szCs w:val="14"/>
              </w:rPr>
              <w:t>Non-MBS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7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7C" w14:textId="77777777" w:rsidR="00E836FB" w:rsidRDefault="00994958">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CB27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7E" w14:textId="77777777" w:rsidR="00E836FB" w:rsidRDefault="00994958">
            <w:pPr>
              <w:jc w:val="center"/>
              <w:textAlignment w:val="bottom"/>
            </w:pPr>
            <w:r>
              <w:rPr>
                <w:rFonts w:ascii="Arial" w:eastAsia="宋体" w:hAnsi="Arial" w:cs="Arial"/>
                <w:b/>
                <w:bCs/>
                <w:color w:val="000000"/>
                <w:sz w:val="14"/>
                <w:szCs w:val="14"/>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7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80" w14:textId="77777777" w:rsidR="00E836FB" w:rsidRDefault="00994958">
            <w:pPr>
              <w:jc w:val="center"/>
              <w:textAlignment w:val="bottom"/>
            </w:pPr>
            <w:r>
              <w:rPr>
                <w:rFonts w:ascii="Arial" w:eastAsia="宋体" w:hAnsi="Arial" w:cs="Arial"/>
                <w:b/>
                <w:bCs/>
                <w:color w:val="000000"/>
                <w:sz w:val="14"/>
                <w:szCs w:val="14"/>
              </w:rPr>
              <w:t>Non-MBS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8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82" w14:textId="77777777" w:rsidR="00E836FB" w:rsidRDefault="00994958">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CB28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84" w14:textId="77777777" w:rsidR="00E836FB" w:rsidRDefault="00994958">
            <w:pPr>
              <w:jc w:val="center"/>
              <w:textAlignment w:val="bottom"/>
            </w:pPr>
            <w:r>
              <w:rPr>
                <w:rFonts w:ascii="Arial" w:eastAsia="宋体" w:hAnsi="Arial" w:cs="Arial"/>
                <w:b/>
                <w:bCs/>
                <w:color w:val="000000"/>
                <w:sz w:val="14"/>
                <w:szCs w:val="14"/>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8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86" w14:textId="77777777" w:rsidR="00E836FB" w:rsidRDefault="00994958">
            <w:pPr>
              <w:jc w:val="center"/>
              <w:textAlignment w:val="bottom"/>
            </w:pPr>
            <w:r>
              <w:rPr>
                <w:rFonts w:ascii="Arial" w:eastAsia="宋体" w:hAnsi="Arial" w:cs="Arial"/>
                <w:b/>
                <w:bCs/>
                <w:color w:val="000000"/>
                <w:sz w:val="14"/>
                <w:szCs w:val="14"/>
              </w:rPr>
              <w:t>Non-MBS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28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288" w14:textId="77777777" w:rsidR="00E836FB" w:rsidRDefault="00994958">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c>
          <w:tcPr>
            <w:tcW w:w="0" w:type="auto"/>
            <w:gridSpan w:val="3"/>
            <w:shd w:val="clear" w:color="auto" w:fill="auto"/>
            <w:vAlign w:val="bottom"/>
          </w:tcPr>
          <w:p w14:paraId="5F2CB289" w14:textId="77777777" w:rsidR="00E836FB" w:rsidRDefault="00E836FB">
            <w:pPr>
              <w:rPr>
                <w:rFonts w:ascii="宋体"/>
                <w:vanish/>
              </w:rPr>
            </w:pPr>
          </w:p>
        </w:tc>
        <w:tc>
          <w:tcPr>
            <w:tcW w:w="0" w:type="auto"/>
            <w:gridSpan w:val="3"/>
            <w:shd w:val="clear" w:color="auto" w:fill="auto"/>
            <w:vAlign w:val="bottom"/>
          </w:tcPr>
          <w:p w14:paraId="5F2CB28A" w14:textId="77777777" w:rsidR="00E836FB" w:rsidRDefault="00E836FB">
            <w:pPr>
              <w:rPr>
                <w:rFonts w:ascii="宋体"/>
                <w:vanish/>
              </w:rPr>
            </w:pPr>
          </w:p>
        </w:tc>
        <w:tc>
          <w:tcPr>
            <w:tcW w:w="0" w:type="auto"/>
            <w:gridSpan w:val="2"/>
            <w:shd w:val="clear" w:color="auto" w:fill="auto"/>
            <w:vAlign w:val="bottom"/>
          </w:tcPr>
          <w:p w14:paraId="5F2CB28B" w14:textId="77777777" w:rsidR="00E836FB" w:rsidRDefault="00E836FB">
            <w:pPr>
              <w:rPr>
                <w:rFonts w:ascii="宋体"/>
                <w:vanish/>
              </w:rPr>
            </w:pPr>
          </w:p>
        </w:tc>
        <w:tc>
          <w:tcPr>
            <w:tcW w:w="0" w:type="auto"/>
            <w:shd w:val="clear" w:color="auto" w:fill="auto"/>
            <w:vAlign w:val="bottom"/>
          </w:tcPr>
          <w:p w14:paraId="5F2CB28C" w14:textId="77777777" w:rsidR="00E836FB" w:rsidRDefault="00E836FB">
            <w:pPr>
              <w:rPr>
                <w:rFonts w:ascii="宋体"/>
                <w:vanish/>
              </w:rPr>
            </w:pPr>
          </w:p>
        </w:tc>
      </w:tr>
      <w:tr w:rsidR="00994958" w14:paraId="5F2CB2B6" w14:textId="77777777">
        <w:tc>
          <w:tcPr>
            <w:tcW w:w="0" w:type="auto"/>
            <w:gridSpan w:val="3"/>
            <w:shd w:val="clear" w:color="auto" w:fill="CCEEFF"/>
            <w:tcMar>
              <w:top w:w="40" w:type="dxa"/>
              <w:left w:w="20" w:type="dxa"/>
              <w:bottom w:w="40" w:type="dxa"/>
              <w:right w:w="20" w:type="dxa"/>
            </w:tcMar>
            <w:vAlign w:val="bottom"/>
          </w:tcPr>
          <w:p w14:paraId="5F2CB28E" w14:textId="77777777" w:rsidR="00E836FB" w:rsidRDefault="00994958">
            <w:pPr>
              <w:textAlignment w:val="bottom"/>
            </w:pPr>
            <w:r>
              <w:rPr>
                <w:rFonts w:ascii="Arial" w:eastAsia="宋体" w:hAnsi="Arial" w:cs="Arial"/>
                <w:color w:val="000000"/>
                <w:sz w:val="14"/>
                <w:szCs w:val="14"/>
              </w:rPr>
              <w:t>Unamortized premiums, net of discounts at period end</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B28F"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90" w14:textId="77777777" w:rsidR="00E836FB" w:rsidRDefault="00994958">
            <w:pPr>
              <w:jc w:val="right"/>
              <w:textAlignment w:val="bottom"/>
            </w:pPr>
            <w:r>
              <w:rPr>
                <w:rFonts w:ascii="Arial" w:eastAsia="宋体" w:hAnsi="Arial" w:cs="Arial"/>
                <w:b/>
                <w:bCs/>
                <w:color w:val="000000"/>
                <w:sz w:val="14"/>
                <w:szCs w:val="14"/>
              </w:rPr>
              <w:t>712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9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9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94" w14:textId="77777777" w:rsidR="00E836FB" w:rsidRDefault="00994958">
            <w:pPr>
              <w:jc w:val="right"/>
              <w:textAlignment w:val="bottom"/>
            </w:pPr>
            <w:r>
              <w:rPr>
                <w:rFonts w:ascii="Arial" w:eastAsia="宋体" w:hAnsi="Arial" w:cs="Arial"/>
                <w:b/>
                <w:bCs/>
                <w:color w:val="000000"/>
                <w:sz w:val="14"/>
                <w:szCs w:val="14"/>
              </w:rPr>
              <w:t>502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9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9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98" w14:textId="77777777" w:rsidR="00E836FB" w:rsidRDefault="00994958">
            <w:pPr>
              <w:jc w:val="right"/>
              <w:textAlignment w:val="bottom"/>
            </w:pPr>
            <w:r>
              <w:rPr>
                <w:rFonts w:ascii="Arial" w:eastAsia="宋体" w:hAnsi="Arial" w:cs="Arial"/>
                <w:b/>
                <w:bCs/>
                <w:color w:val="000000"/>
                <w:sz w:val="14"/>
                <w:szCs w:val="14"/>
              </w:rPr>
              <w:t>1,214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9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9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9C" w14:textId="77777777" w:rsidR="00E836FB" w:rsidRDefault="00994958">
            <w:pPr>
              <w:jc w:val="right"/>
              <w:textAlignment w:val="bottom"/>
            </w:pPr>
            <w:r>
              <w:rPr>
                <w:rFonts w:ascii="Arial" w:eastAsia="宋体" w:hAnsi="Arial" w:cs="Arial"/>
                <w:color w:val="000000"/>
                <w:sz w:val="14"/>
                <w:szCs w:val="14"/>
              </w:rPr>
              <w:t>1,173 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9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9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A0" w14:textId="77777777" w:rsidR="00E836FB" w:rsidRDefault="00994958">
            <w:pPr>
              <w:jc w:val="right"/>
              <w:textAlignment w:val="bottom"/>
            </w:pPr>
            <w:r>
              <w:rPr>
                <w:rFonts w:ascii="Arial" w:eastAsia="宋体" w:hAnsi="Arial" w:cs="Arial"/>
                <w:color w:val="000000"/>
                <w:sz w:val="14"/>
                <w:szCs w:val="14"/>
              </w:rPr>
              <w:t>736 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A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A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A4" w14:textId="77777777" w:rsidR="00E836FB" w:rsidRDefault="00994958">
            <w:pPr>
              <w:jc w:val="right"/>
              <w:textAlignment w:val="bottom"/>
            </w:pPr>
            <w:r>
              <w:rPr>
                <w:rFonts w:ascii="Arial" w:eastAsia="宋体" w:hAnsi="Arial" w:cs="Arial"/>
                <w:color w:val="000000"/>
                <w:sz w:val="14"/>
                <w:szCs w:val="14"/>
              </w:rPr>
              <w:t>1,909 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A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A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A8" w14:textId="77777777" w:rsidR="00E836FB" w:rsidRDefault="00994958">
            <w:pPr>
              <w:jc w:val="right"/>
              <w:textAlignment w:val="bottom"/>
            </w:pPr>
            <w:r>
              <w:rPr>
                <w:rFonts w:ascii="Arial" w:eastAsia="宋体" w:hAnsi="Arial" w:cs="Arial"/>
                <w:color w:val="000000"/>
                <w:sz w:val="14"/>
                <w:szCs w:val="14"/>
              </w:rPr>
              <w:t>956 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A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A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AC" w14:textId="77777777" w:rsidR="00E836FB" w:rsidRDefault="00994958">
            <w:pPr>
              <w:jc w:val="right"/>
              <w:textAlignment w:val="bottom"/>
            </w:pPr>
            <w:r>
              <w:rPr>
                <w:rFonts w:ascii="Arial" w:eastAsia="宋体" w:hAnsi="Arial" w:cs="Arial"/>
                <w:color w:val="000000"/>
                <w:sz w:val="14"/>
                <w:szCs w:val="14"/>
              </w:rPr>
              <w:t>629 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2A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2A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2B0" w14:textId="77777777" w:rsidR="00E836FB" w:rsidRDefault="00994958">
            <w:pPr>
              <w:jc w:val="right"/>
              <w:textAlignment w:val="bottom"/>
            </w:pPr>
            <w:r>
              <w:rPr>
                <w:rFonts w:ascii="Arial" w:eastAsia="宋体" w:hAnsi="Arial" w:cs="Arial"/>
                <w:color w:val="000000"/>
                <w:sz w:val="14"/>
                <w:szCs w:val="14"/>
              </w:rPr>
              <w:t>1,585 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2B1" w14:textId="77777777" w:rsidR="00E836FB" w:rsidRDefault="00E836FB">
            <w:pPr>
              <w:jc w:val="right"/>
              <w:rPr>
                <w:rFonts w:ascii="宋体"/>
              </w:rPr>
            </w:pPr>
          </w:p>
        </w:tc>
        <w:tc>
          <w:tcPr>
            <w:tcW w:w="0" w:type="auto"/>
            <w:gridSpan w:val="3"/>
            <w:shd w:val="clear" w:color="auto" w:fill="auto"/>
            <w:vAlign w:val="bottom"/>
          </w:tcPr>
          <w:p w14:paraId="5F2CB2B2" w14:textId="77777777" w:rsidR="00E836FB" w:rsidRDefault="00E836FB">
            <w:pPr>
              <w:rPr>
                <w:rFonts w:ascii="宋体"/>
                <w:vanish/>
              </w:rPr>
            </w:pPr>
          </w:p>
        </w:tc>
        <w:tc>
          <w:tcPr>
            <w:tcW w:w="0" w:type="auto"/>
            <w:gridSpan w:val="3"/>
            <w:shd w:val="clear" w:color="auto" w:fill="auto"/>
            <w:vAlign w:val="bottom"/>
          </w:tcPr>
          <w:p w14:paraId="5F2CB2B3" w14:textId="77777777" w:rsidR="00E836FB" w:rsidRDefault="00E836FB">
            <w:pPr>
              <w:rPr>
                <w:rFonts w:ascii="宋体"/>
                <w:vanish/>
              </w:rPr>
            </w:pPr>
          </w:p>
        </w:tc>
        <w:tc>
          <w:tcPr>
            <w:tcW w:w="0" w:type="auto"/>
            <w:gridSpan w:val="2"/>
            <w:shd w:val="clear" w:color="auto" w:fill="auto"/>
            <w:vAlign w:val="bottom"/>
          </w:tcPr>
          <w:p w14:paraId="5F2CB2B4" w14:textId="77777777" w:rsidR="00E836FB" w:rsidRDefault="00E836FB">
            <w:pPr>
              <w:rPr>
                <w:rFonts w:ascii="宋体"/>
                <w:vanish/>
              </w:rPr>
            </w:pPr>
          </w:p>
        </w:tc>
        <w:tc>
          <w:tcPr>
            <w:tcW w:w="0" w:type="auto"/>
            <w:shd w:val="clear" w:color="auto" w:fill="auto"/>
            <w:vAlign w:val="bottom"/>
          </w:tcPr>
          <w:p w14:paraId="5F2CB2B5" w14:textId="77777777" w:rsidR="00E836FB" w:rsidRDefault="00E836FB">
            <w:pPr>
              <w:rPr>
                <w:rFonts w:ascii="宋体"/>
                <w:vanish/>
              </w:rPr>
            </w:pPr>
          </w:p>
        </w:tc>
      </w:tr>
      <w:tr w:rsidR="00E836FB" w14:paraId="5F2CB2D6" w14:textId="77777777">
        <w:tc>
          <w:tcPr>
            <w:tcW w:w="0" w:type="auto"/>
            <w:gridSpan w:val="3"/>
            <w:shd w:val="clear" w:color="auto" w:fill="FFFFFF"/>
            <w:tcMar>
              <w:top w:w="40" w:type="dxa"/>
              <w:left w:w="20" w:type="dxa"/>
              <w:bottom w:w="40" w:type="dxa"/>
              <w:right w:w="20" w:type="dxa"/>
            </w:tcMar>
            <w:vAlign w:val="bottom"/>
          </w:tcPr>
          <w:p w14:paraId="5F2CB2B7" w14:textId="77777777" w:rsidR="00E836FB" w:rsidRDefault="00994958">
            <w:pPr>
              <w:textAlignment w:val="bottom"/>
            </w:pPr>
            <w:r>
              <w:rPr>
                <w:rFonts w:ascii="Arial" w:eastAsia="宋体" w:hAnsi="Arial" w:cs="Arial"/>
                <w:color w:val="000000"/>
                <w:sz w:val="14"/>
                <w:szCs w:val="14"/>
              </w:rPr>
              <w:t>Net premium amortization</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B2B8" w14:textId="77777777" w:rsidR="00E836FB" w:rsidRDefault="00994958">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2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BB" w14:textId="77777777" w:rsidR="00E836FB" w:rsidRDefault="00994958">
            <w:pPr>
              <w:jc w:val="right"/>
              <w:textAlignment w:val="bottom"/>
            </w:pPr>
            <w:r>
              <w:rPr>
                <w:rFonts w:ascii="Arial" w:eastAsia="宋体" w:hAnsi="Arial" w:cs="Arial"/>
                <w:b/>
                <w:bCs/>
                <w:color w:val="000000"/>
                <w:sz w:val="14"/>
                <w:szCs w:val="14"/>
              </w:rPr>
              <w:t>214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2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BE" w14:textId="77777777" w:rsidR="00E836FB" w:rsidRDefault="00994958">
            <w:pPr>
              <w:jc w:val="right"/>
              <w:textAlignment w:val="bottom"/>
            </w:pPr>
            <w:r>
              <w:rPr>
                <w:rFonts w:ascii="Arial" w:eastAsia="宋体" w:hAnsi="Arial" w:cs="Arial"/>
                <w:b/>
                <w:bCs/>
                <w:color w:val="000000"/>
                <w:sz w:val="14"/>
                <w:szCs w:val="14"/>
              </w:rPr>
              <w:t>556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2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C1" w14:textId="77777777" w:rsidR="00E836FB" w:rsidRDefault="00994958">
            <w:pPr>
              <w:jc w:val="right"/>
              <w:textAlignment w:val="bottom"/>
            </w:pPr>
            <w:r>
              <w:rPr>
                <w:rFonts w:ascii="Arial" w:eastAsia="宋体" w:hAnsi="Arial" w:cs="Arial"/>
                <w:color w:val="000000"/>
                <w:sz w:val="14"/>
                <w:szCs w:val="14"/>
              </w:rPr>
              <w:t>399 </w:t>
            </w:r>
          </w:p>
        </w:tc>
        <w:tc>
          <w:tcPr>
            <w:tcW w:w="0" w:type="auto"/>
            <w:shd w:val="clear" w:color="auto" w:fill="FFFFFF"/>
            <w:tcMar>
              <w:top w:w="40" w:type="dxa"/>
              <w:left w:w="0" w:type="dxa"/>
              <w:bottom w:w="40" w:type="dxa"/>
              <w:right w:w="20" w:type="dxa"/>
            </w:tcMar>
            <w:vAlign w:val="bottom"/>
          </w:tcPr>
          <w:p w14:paraId="5F2CB2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C4" w14:textId="77777777" w:rsidR="00E836FB" w:rsidRDefault="00994958">
            <w:pPr>
              <w:jc w:val="right"/>
              <w:textAlignment w:val="bottom"/>
            </w:pPr>
            <w:r>
              <w:rPr>
                <w:rFonts w:ascii="Arial" w:eastAsia="宋体" w:hAnsi="Arial" w:cs="Arial"/>
                <w:color w:val="000000"/>
                <w:sz w:val="14"/>
                <w:szCs w:val="14"/>
              </w:rPr>
              <w:t>176 </w:t>
            </w:r>
          </w:p>
        </w:tc>
        <w:tc>
          <w:tcPr>
            <w:tcW w:w="0" w:type="auto"/>
            <w:shd w:val="clear" w:color="auto" w:fill="FFFFFF"/>
            <w:tcMar>
              <w:top w:w="40" w:type="dxa"/>
              <w:left w:w="0" w:type="dxa"/>
              <w:bottom w:w="40" w:type="dxa"/>
              <w:right w:w="20" w:type="dxa"/>
            </w:tcMar>
            <w:vAlign w:val="bottom"/>
          </w:tcPr>
          <w:p w14:paraId="5F2CB2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C7" w14:textId="77777777" w:rsidR="00E836FB" w:rsidRDefault="00994958">
            <w:pPr>
              <w:jc w:val="right"/>
              <w:textAlignment w:val="bottom"/>
            </w:pPr>
            <w:r>
              <w:rPr>
                <w:rFonts w:ascii="Arial" w:eastAsia="宋体" w:hAnsi="Arial" w:cs="Arial"/>
                <w:color w:val="000000"/>
                <w:sz w:val="14"/>
                <w:szCs w:val="14"/>
              </w:rPr>
              <w:t>575 </w:t>
            </w:r>
          </w:p>
        </w:tc>
        <w:tc>
          <w:tcPr>
            <w:tcW w:w="0" w:type="auto"/>
            <w:shd w:val="clear" w:color="auto" w:fill="FFFFFF"/>
            <w:tcMar>
              <w:top w:w="40" w:type="dxa"/>
              <w:left w:w="0" w:type="dxa"/>
              <w:bottom w:w="40" w:type="dxa"/>
              <w:right w:w="20" w:type="dxa"/>
            </w:tcMar>
            <w:vAlign w:val="bottom"/>
          </w:tcPr>
          <w:p w14:paraId="5F2CB2C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C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CA" w14:textId="77777777" w:rsidR="00E836FB" w:rsidRDefault="00994958">
            <w:pPr>
              <w:jc w:val="right"/>
              <w:textAlignment w:val="bottom"/>
            </w:pPr>
            <w:r>
              <w:rPr>
                <w:rFonts w:ascii="Arial" w:eastAsia="宋体" w:hAnsi="Arial" w:cs="Arial"/>
                <w:color w:val="000000"/>
                <w:sz w:val="14"/>
                <w:szCs w:val="14"/>
              </w:rPr>
              <w:t>275 </w:t>
            </w:r>
          </w:p>
        </w:tc>
        <w:tc>
          <w:tcPr>
            <w:tcW w:w="0" w:type="auto"/>
            <w:shd w:val="clear" w:color="auto" w:fill="FFFFFF"/>
            <w:tcMar>
              <w:top w:w="40" w:type="dxa"/>
              <w:left w:w="0" w:type="dxa"/>
              <w:bottom w:w="40" w:type="dxa"/>
              <w:right w:w="20" w:type="dxa"/>
            </w:tcMar>
            <w:vAlign w:val="bottom"/>
          </w:tcPr>
          <w:p w14:paraId="5F2CB2C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C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CD" w14:textId="77777777" w:rsidR="00E836FB" w:rsidRDefault="00994958">
            <w:pPr>
              <w:jc w:val="right"/>
              <w:textAlignment w:val="bottom"/>
            </w:pPr>
            <w:r>
              <w:rPr>
                <w:rFonts w:ascii="Arial" w:eastAsia="宋体" w:hAnsi="Arial" w:cs="Arial"/>
                <w:color w:val="000000"/>
                <w:sz w:val="14"/>
                <w:szCs w:val="14"/>
              </w:rPr>
              <w:t>159 </w:t>
            </w:r>
          </w:p>
        </w:tc>
        <w:tc>
          <w:tcPr>
            <w:tcW w:w="0" w:type="auto"/>
            <w:shd w:val="clear" w:color="auto" w:fill="FFFFFF"/>
            <w:tcMar>
              <w:top w:w="40" w:type="dxa"/>
              <w:left w:w="0" w:type="dxa"/>
              <w:bottom w:w="40" w:type="dxa"/>
              <w:right w:w="20" w:type="dxa"/>
            </w:tcMar>
            <w:vAlign w:val="bottom"/>
          </w:tcPr>
          <w:p w14:paraId="5F2CB2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2C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2D0" w14:textId="77777777" w:rsidR="00E836FB" w:rsidRDefault="00994958">
            <w:pPr>
              <w:jc w:val="right"/>
              <w:textAlignment w:val="bottom"/>
            </w:pPr>
            <w:r>
              <w:rPr>
                <w:rFonts w:ascii="Arial" w:eastAsia="宋体" w:hAnsi="Arial" w:cs="Arial"/>
                <w:color w:val="000000"/>
                <w:sz w:val="14"/>
                <w:szCs w:val="14"/>
              </w:rPr>
              <w:t>434 </w:t>
            </w:r>
          </w:p>
        </w:tc>
        <w:tc>
          <w:tcPr>
            <w:tcW w:w="0" w:type="auto"/>
            <w:shd w:val="clear" w:color="auto" w:fill="FFFFFF"/>
            <w:tcMar>
              <w:top w:w="40" w:type="dxa"/>
              <w:left w:w="0" w:type="dxa"/>
              <w:bottom w:w="40" w:type="dxa"/>
              <w:right w:w="20" w:type="dxa"/>
            </w:tcMar>
            <w:vAlign w:val="bottom"/>
          </w:tcPr>
          <w:p w14:paraId="5F2CB2D1" w14:textId="77777777" w:rsidR="00E836FB" w:rsidRDefault="00E836FB">
            <w:pPr>
              <w:jc w:val="right"/>
              <w:rPr>
                <w:rFonts w:ascii="宋体"/>
              </w:rPr>
            </w:pPr>
          </w:p>
        </w:tc>
        <w:tc>
          <w:tcPr>
            <w:tcW w:w="0" w:type="auto"/>
            <w:gridSpan w:val="3"/>
            <w:shd w:val="clear" w:color="auto" w:fill="auto"/>
            <w:vAlign w:val="bottom"/>
          </w:tcPr>
          <w:p w14:paraId="5F2CB2D2" w14:textId="77777777" w:rsidR="00E836FB" w:rsidRDefault="00E836FB">
            <w:pPr>
              <w:rPr>
                <w:rFonts w:ascii="宋体"/>
                <w:vanish/>
              </w:rPr>
            </w:pPr>
          </w:p>
        </w:tc>
        <w:tc>
          <w:tcPr>
            <w:tcW w:w="0" w:type="auto"/>
            <w:gridSpan w:val="3"/>
            <w:shd w:val="clear" w:color="auto" w:fill="auto"/>
            <w:vAlign w:val="bottom"/>
          </w:tcPr>
          <w:p w14:paraId="5F2CB2D3" w14:textId="77777777" w:rsidR="00E836FB" w:rsidRDefault="00E836FB">
            <w:pPr>
              <w:rPr>
                <w:rFonts w:ascii="宋体"/>
                <w:vanish/>
              </w:rPr>
            </w:pPr>
          </w:p>
        </w:tc>
        <w:tc>
          <w:tcPr>
            <w:tcW w:w="0" w:type="auto"/>
            <w:gridSpan w:val="2"/>
            <w:shd w:val="clear" w:color="auto" w:fill="auto"/>
            <w:vAlign w:val="bottom"/>
          </w:tcPr>
          <w:p w14:paraId="5F2CB2D4" w14:textId="77777777" w:rsidR="00E836FB" w:rsidRDefault="00E836FB">
            <w:pPr>
              <w:rPr>
                <w:rFonts w:ascii="宋体"/>
                <w:vanish/>
              </w:rPr>
            </w:pPr>
          </w:p>
        </w:tc>
        <w:tc>
          <w:tcPr>
            <w:tcW w:w="0" w:type="auto"/>
            <w:shd w:val="clear" w:color="auto" w:fill="auto"/>
            <w:vAlign w:val="bottom"/>
          </w:tcPr>
          <w:p w14:paraId="5F2CB2D5" w14:textId="77777777" w:rsidR="00E836FB" w:rsidRDefault="00E836FB">
            <w:pPr>
              <w:rPr>
                <w:rFonts w:ascii="宋体"/>
                <w:vanish/>
              </w:rPr>
            </w:pPr>
          </w:p>
        </w:tc>
      </w:tr>
      <w:tr w:rsidR="00E836FB" w14:paraId="5F2CB2ED" w14:textId="77777777">
        <w:trPr>
          <w:hidden/>
        </w:trPr>
        <w:tc>
          <w:tcPr>
            <w:tcW w:w="0" w:type="auto"/>
            <w:gridSpan w:val="3"/>
            <w:shd w:val="clear" w:color="auto" w:fill="auto"/>
            <w:vAlign w:val="bottom"/>
          </w:tcPr>
          <w:p w14:paraId="5F2CB2D7" w14:textId="77777777" w:rsidR="00E836FB" w:rsidRDefault="00E836FB">
            <w:pPr>
              <w:rPr>
                <w:rFonts w:ascii="宋体"/>
                <w:vanish/>
              </w:rPr>
            </w:pPr>
          </w:p>
        </w:tc>
        <w:tc>
          <w:tcPr>
            <w:tcW w:w="0" w:type="auto"/>
            <w:gridSpan w:val="3"/>
            <w:shd w:val="clear" w:color="auto" w:fill="auto"/>
            <w:vAlign w:val="bottom"/>
          </w:tcPr>
          <w:p w14:paraId="5F2CB2D8" w14:textId="77777777" w:rsidR="00E836FB" w:rsidRDefault="00E836FB">
            <w:pPr>
              <w:rPr>
                <w:rFonts w:ascii="宋体"/>
                <w:vanish/>
              </w:rPr>
            </w:pPr>
          </w:p>
        </w:tc>
        <w:tc>
          <w:tcPr>
            <w:tcW w:w="0" w:type="auto"/>
            <w:gridSpan w:val="3"/>
            <w:shd w:val="clear" w:color="auto" w:fill="auto"/>
            <w:vAlign w:val="bottom"/>
          </w:tcPr>
          <w:p w14:paraId="5F2CB2D9" w14:textId="77777777" w:rsidR="00E836FB" w:rsidRDefault="00E836FB">
            <w:pPr>
              <w:rPr>
                <w:rFonts w:ascii="宋体"/>
                <w:vanish/>
              </w:rPr>
            </w:pPr>
          </w:p>
        </w:tc>
        <w:tc>
          <w:tcPr>
            <w:tcW w:w="0" w:type="auto"/>
            <w:gridSpan w:val="3"/>
            <w:shd w:val="clear" w:color="auto" w:fill="auto"/>
            <w:vAlign w:val="bottom"/>
          </w:tcPr>
          <w:p w14:paraId="5F2CB2DA" w14:textId="77777777" w:rsidR="00E836FB" w:rsidRDefault="00E836FB">
            <w:pPr>
              <w:rPr>
                <w:rFonts w:ascii="宋体"/>
                <w:vanish/>
              </w:rPr>
            </w:pPr>
          </w:p>
        </w:tc>
        <w:tc>
          <w:tcPr>
            <w:tcW w:w="0" w:type="auto"/>
            <w:gridSpan w:val="3"/>
            <w:shd w:val="clear" w:color="auto" w:fill="auto"/>
            <w:vAlign w:val="bottom"/>
          </w:tcPr>
          <w:p w14:paraId="5F2CB2DB" w14:textId="77777777" w:rsidR="00E836FB" w:rsidRDefault="00E836FB">
            <w:pPr>
              <w:rPr>
                <w:rFonts w:ascii="宋体"/>
                <w:vanish/>
              </w:rPr>
            </w:pPr>
          </w:p>
        </w:tc>
        <w:tc>
          <w:tcPr>
            <w:tcW w:w="0" w:type="auto"/>
            <w:gridSpan w:val="3"/>
            <w:shd w:val="clear" w:color="auto" w:fill="auto"/>
            <w:vAlign w:val="bottom"/>
          </w:tcPr>
          <w:p w14:paraId="5F2CB2DC" w14:textId="77777777" w:rsidR="00E836FB" w:rsidRDefault="00E836FB">
            <w:pPr>
              <w:rPr>
                <w:rFonts w:ascii="宋体"/>
                <w:vanish/>
              </w:rPr>
            </w:pPr>
          </w:p>
        </w:tc>
        <w:tc>
          <w:tcPr>
            <w:tcW w:w="0" w:type="auto"/>
            <w:gridSpan w:val="3"/>
            <w:shd w:val="clear" w:color="auto" w:fill="auto"/>
            <w:vAlign w:val="bottom"/>
          </w:tcPr>
          <w:p w14:paraId="5F2CB2DD" w14:textId="77777777" w:rsidR="00E836FB" w:rsidRDefault="00E836FB">
            <w:pPr>
              <w:rPr>
                <w:rFonts w:ascii="宋体"/>
                <w:vanish/>
              </w:rPr>
            </w:pPr>
          </w:p>
        </w:tc>
        <w:tc>
          <w:tcPr>
            <w:tcW w:w="0" w:type="auto"/>
            <w:gridSpan w:val="3"/>
            <w:shd w:val="clear" w:color="auto" w:fill="auto"/>
            <w:vAlign w:val="bottom"/>
          </w:tcPr>
          <w:p w14:paraId="5F2CB2DE" w14:textId="77777777" w:rsidR="00E836FB" w:rsidRDefault="00E836FB">
            <w:pPr>
              <w:rPr>
                <w:rFonts w:ascii="宋体"/>
                <w:vanish/>
              </w:rPr>
            </w:pPr>
          </w:p>
        </w:tc>
        <w:tc>
          <w:tcPr>
            <w:tcW w:w="0" w:type="auto"/>
            <w:gridSpan w:val="3"/>
            <w:shd w:val="clear" w:color="auto" w:fill="auto"/>
            <w:vAlign w:val="bottom"/>
          </w:tcPr>
          <w:p w14:paraId="5F2CB2DF" w14:textId="77777777" w:rsidR="00E836FB" w:rsidRDefault="00E836FB">
            <w:pPr>
              <w:rPr>
                <w:rFonts w:ascii="宋体"/>
                <w:vanish/>
              </w:rPr>
            </w:pPr>
          </w:p>
        </w:tc>
        <w:tc>
          <w:tcPr>
            <w:tcW w:w="0" w:type="auto"/>
            <w:gridSpan w:val="3"/>
            <w:shd w:val="clear" w:color="auto" w:fill="auto"/>
            <w:vAlign w:val="bottom"/>
          </w:tcPr>
          <w:p w14:paraId="5F2CB2E0" w14:textId="77777777" w:rsidR="00E836FB" w:rsidRDefault="00E836FB">
            <w:pPr>
              <w:rPr>
                <w:rFonts w:ascii="宋体"/>
                <w:vanish/>
              </w:rPr>
            </w:pPr>
          </w:p>
        </w:tc>
        <w:tc>
          <w:tcPr>
            <w:tcW w:w="0" w:type="auto"/>
            <w:gridSpan w:val="3"/>
            <w:shd w:val="clear" w:color="auto" w:fill="auto"/>
            <w:vAlign w:val="bottom"/>
          </w:tcPr>
          <w:p w14:paraId="5F2CB2E1" w14:textId="77777777" w:rsidR="00E836FB" w:rsidRDefault="00E836FB">
            <w:pPr>
              <w:rPr>
                <w:rFonts w:ascii="宋体"/>
                <w:vanish/>
              </w:rPr>
            </w:pPr>
          </w:p>
        </w:tc>
        <w:tc>
          <w:tcPr>
            <w:tcW w:w="0" w:type="auto"/>
            <w:gridSpan w:val="3"/>
            <w:shd w:val="clear" w:color="auto" w:fill="auto"/>
            <w:vAlign w:val="bottom"/>
          </w:tcPr>
          <w:p w14:paraId="5F2CB2E2" w14:textId="77777777" w:rsidR="00E836FB" w:rsidRDefault="00E836FB">
            <w:pPr>
              <w:rPr>
                <w:rFonts w:ascii="宋体"/>
                <w:vanish/>
              </w:rPr>
            </w:pPr>
          </w:p>
        </w:tc>
        <w:tc>
          <w:tcPr>
            <w:tcW w:w="0" w:type="auto"/>
            <w:gridSpan w:val="3"/>
            <w:shd w:val="clear" w:color="auto" w:fill="auto"/>
            <w:vAlign w:val="bottom"/>
          </w:tcPr>
          <w:p w14:paraId="5F2CB2E3" w14:textId="77777777" w:rsidR="00E836FB" w:rsidRDefault="00E836FB">
            <w:pPr>
              <w:rPr>
                <w:rFonts w:ascii="宋体"/>
                <w:vanish/>
              </w:rPr>
            </w:pPr>
          </w:p>
        </w:tc>
        <w:tc>
          <w:tcPr>
            <w:tcW w:w="0" w:type="auto"/>
            <w:gridSpan w:val="3"/>
            <w:shd w:val="clear" w:color="auto" w:fill="auto"/>
            <w:vAlign w:val="bottom"/>
          </w:tcPr>
          <w:p w14:paraId="5F2CB2E4" w14:textId="77777777" w:rsidR="00E836FB" w:rsidRDefault="00E836FB">
            <w:pPr>
              <w:rPr>
                <w:rFonts w:ascii="宋体"/>
                <w:vanish/>
              </w:rPr>
            </w:pPr>
          </w:p>
        </w:tc>
        <w:tc>
          <w:tcPr>
            <w:tcW w:w="0" w:type="auto"/>
            <w:gridSpan w:val="3"/>
            <w:shd w:val="clear" w:color="auto" w:fill="auto"/>
            <w:vAlign w:val="bottom"/>
          </w:tcPr>
          <w:p w14:paraId="5F2CB2E5" w14:textId="77777777" w:rsidR="00E836FB" w:rsidRDefault="00E836FB">
            <w:pPr>
              <w:rPr>
                <w:rFonts w:ascii="宋体"/>
                <w:vanish/>
              </w:rPr>
            </w:pPr>
          </w:p>
        </w:tc>
        <w:tc>
          <w:tcPr>
            <w:tcW w:w="0" w:type="auto"/>
            <w:gridSpan w:val="3"/>
            <w:shd w:val="clear" w:color="auto" w:fill="auto"/>
            <w:vAlign w:val="bottom"/>
          </w:tcPr>
          <w:p w14:paraId="5F2CB2E6" w14:textId="77777777" w:rsidR="00E836FB" w:rsidRDefault="00E836FB">
            <w:pPr>
              <w:rPr>
                <w:rFonts w:ascii="宋体"/>
                <w:vanish/>
              </w:rPr>
            </w:pPr>
          </w:p>
        </w:tc>
        <w:tc>
          <w:tcPr>
            <w:tcW w:w="0" w:type="auto"/>
            <w:gridSpan w:val="3"/>
            <w:shd w:val="clear" w:color="auto" w:fill="auto"/>
            <w:vAlign w:val="bottom"/>
          </w:tcPr>
          <w:p w14:paraId="5F2CB2E7" w14:textId="77777777" w:rsidR="00E836FB" w:rsidRDefault="00E836FB">
            <w:pPr>
              <w:rPr>
                <w:rFonts w:ascii="宋体"/>
                <w:vanish/>
              </w:rPr>
            </w:pPr>
          </w:p>
        </w:tc>
        <w:tc>
          <w:tcPr>
            <w:tcW w:w="0" w:type="auto"/>
            <w:gridSpan w:val="3"/>
            <w:shd w:val="clear" w:color="auto" w:fill="auto"/>
            <w:vAlign w:val="bottom"/>
          </w:tcPr>
          <w:p w14:paraId="5F2CB2E8" w14:textId="77777777" w:rsidR="00E836FB" w:rsidRDefault="00E836FB">
            <w:pPr>
              <w:rPr>
                <w:rFonts w:ascii="宋体"/>
                <w:vanish/>
              </w:rPr>
            </w:pPr>
          </w:p>
        </w:tc>
        <w:tc>
          <w:tcPr>
            <w:tcW w:w="0" w:type="auto"/>
            <w:gridSpan w:val="3"/>
            <w:shd w:val="clear" w:color="auto" w:fill="auto"/>
            <w:vAlign w:val="bottom"/>
          </w:tcPr>
          <w:p w14:paraId="5F2CB2E9" w14:textId="77777777" w:rsidR="00E836FB" w:rsidRDefault="00E836FB">
            <w:pPr>
              <w:rPr>
                <w:rFonts w:ascii="宋体"/>
                <w:vanish/>
              </w:rPr>
            </w:pPr>
          </w:p>
        </w:tc>
        <w:tc>
          <w:tcPr>
            <w:tcW w:w="0" w:type="auto"/>
            <w:gridSpan w:val="3"/>
            <w:shd w:val="clear" w:color="auto" w:fill="auto"/>
            <w:vAlign w:val="bottom"/>
          </w:tcPr>
          <w:p w14:paraId="5F2CB2EA" w14:textId="77777777" w:rsidR="00E836FB" w:rsidRDefault="00E836FB">
            <w:pPr>
              <w:rPr>
                <w:rFonts w:ascii="宋体"/>
                <w:vanish/>
              </w:rPr>
            </w:pPr>
          </w:p>
        </w:tc>
        <w:tc>
          <w:tcPr>
            <w:tcW w:w="0" w:type="auto"/>
            <w:gridSpan w:val="2"/>
            <w:shd w:val="clear" w:color="auto" w:fill="auto"/>
            <w:vAlign w:val="bottom"/>
          </w:tcPr>
          <w:p w14:paraId="5F2CB2EB" w14:textId="77777777" w:rsidR="00E836FB" w:rsidRDefault="00E836FB">
            <w:pPr>
              <w:rPr>
                <w:rFonts w:ascii="宋体"/>
                <w:vanish/>
              </w:rPr>
            </w:pPr>
          </w:p>
        </w:tc>
        <w:tc>
          <w:tcPr>
            <w:tcW w:w="0" w:type="auto"/>
            <w:shd w:val="clear" w:color="auto" w:fill="auto"/>
            <w:vAlign w:val="bottom"/>
          </w:tcPr>
          <w:p w14:paraId="5F2CB2EC" w14:textId="77777777" w:rsidR="00E836FB" w:rsidRDefault="00E836FB">
            <w:pPr>
              <w:rPr>
                <w:rFonts w:ascii="宋体"/>
                <w:vanish/>
              </w:rPr>
            </w:pPr>
          </w:p>
        </w:tc>
      </w:tr>
    </w:tbl>
    <w:p w14:paraId="5F2CB2EE" w14:textId="77777777" w:rsidR="00E836FB" w:rsidRDefault="00E836FB">
      <w:pPr>
        <w:rPr>
          <w:vanish/>
        </w:rPr>
      </w:pPr>
    </w:p>
    <w:tbl>
      <w:tblPr>
        <w:tblW w:w="4730" w:type="pct"/>
        <w:tblCellMar>
          <w:top w:w="15" w:type="dxa"/>
          <w:left w:w="15" w:type="dxa"/>
          <w:bottom w:w="15" w:type="dxa"/>
          <w:right w:w="15" w:type="dxa"/>
        </w:tblCellMar>
        <w:tblLook w:val="04A0" w:firstRow="1" w:lastRow="0" w:firstColumn="1" w:lastColumn="0" w:noHBand="0" w:noVBand="1"/>
      </w:tblPr>
      <w:tblGrid>
        <w:gridCol w:w="65"/>
        <w:gridCol w:w="1787"/>
        <w:gridCol w:w="36"/>
        <w:gridCol w:w="65"/>
        <w:gridCol w:w="5897"/>
        <w:gridCol w:w="36"/>
      </w:tblGrid>
      <w:tr w:rsidR="00E836FB" w14:paraId="5F2CB2F5" w14:textId="77777777">
        <w:tc>
          <w:tcPr>
            <w:tcW w:w="50" w:type="pct"/>
            <w:shd w:val="clear" w:color="auto" w:fill="auto"/>
            <w:vAlign w:val="bottom"/>
          </w:tcPr>
          <w:p w14:paraId="5F2CB2EF" w14:textId="77777777" w:rsidR="00E836FB" w:rsidRDefault="00E836FB">
            <w:pPr>
              <w:rPr>
                <w:rFonts w:ascii="宋体"/>
              </w:rPr>
            </w:pPr>
          </w:p>
        </w:tc>
        <w:tc>
          <w:tcPr>
            <w:tcW w:w="1142" w:type="pct"/>
            <w:shd w:val="clear" w:color="auto" w:fill="auto"/>
            <w:vAlign w:val="bottom"/>
          </w:tcPr>
          <w:p w14:paraId="5F2CB2F0" w14:textId="77777777" w:rsidR="00E836FB" w:rsidRDefault="00E836FB">
            <w:pPr>
              <w:rPr>
                <w:rFonts w:ascii="宋体"/>
              </w:rPr>
            </w:pPr>
          </w:p>
        </w:tc>
        <w:tc>
          <w:tcPr>
            <w:tcW w:w="5" w:type="pct"/>
            <w:shd w:val="clear" w:color="auto" w:fill="auto"/>
            <w:vAlign w:val="bottom"/>
          </w:tcPr>
          <w:p w14:paraId="5F2CB2F1" w14:textId="77777777" w:rsidR="00E836FB" w:rsidRDefault="00E836FB">
            <w:pPr>
              <w:rPr>
                <w:rFonts w:ascii="宋体"/>
              </w:rPr>
            </w:pPr>
          </w:p>
        </w:tc>
        <w:tc>
          <w:tcPr>
            <w:tcW w:w="50" w:type="pct"/>
            <w:shd w:val="clear" w:color="auto" w:fill="auto"/>
            <w:vAlign w:val="bottom"/>
          </w:tcPr>
          <w:p w14:paraId="5F2CB2F2" w14:textId="77777777" w:rsidR="00E836FB" w:rsidRDefault="00E836FB">
            <w:pPr>
              <w:rPr>
                <w:rFonts w:ascii="宋体"/>
              </w:rPr>
            </w:pPr>
          </w:p>
        </w:tc>
        <w:tc>
          <w:tcPr>
            <w:tcW w:w="3747" w:type="pct"/>
            <w:shd w:val="clear" w:color="auto" w:fill="auto"/>
            <w:vAlign w:val="bottom"/>
          </w:tcPr>
          <w:p w14:paraId="5F2CB2F3" w14:textId="77777777" w:rsidR="00E836FB" w:rsidRDefault="00E836FB">
            <w:pPr>
              <w:rPr>
                <w:rFonts w:ascii="宋体"/>
              </w:rPr>
            </w:pPr>
          </w:p>
        </w:tc>
        <w:tc>
          <w:tcPr>
            <w:tcW w:w="5" w:type="pct"/>
            <w:shd w:val="clear" w:color="auto" w:fill="auto"/>
            <w:vAlign w:val="bottom"/>
          </w:tcPr>
          <w:p w14:paraId="5F2CB2F4" w14:textId="77777777" w:rsidR="00E836FB" w:rsidRDefault="00E836FB">
            <w:pPr>
              <w:rPr>
                <w:rFonts w:ascii="宋体"/>
              </w:rPr>
            </w:pPr>
          </w:p>
        </w:tc>
      </w:tr>
      <w:tr w:rsidR="00E836FB" w14:paraId="5F2CB2F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B2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2F7" w14:textId="77777777" w:rsidR="00E836FB" w:rsidRDefault="00E836FB">
            <w:pPr>
              <w:rPr>
                <w:rFonts w:ascii="宋体"/>
              </w:rPr>
            </w:pPr>
          </w:p>
        </w:tc>
      </w:tr>
    </w:tbl>
    <w:p w14:paraId="5F2CB2F9" w14:textId="77777777" w:rsidR="00E836FB" w:rsidRDefault="00994958">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The investment securities portfolio duration was 2.9 years in 2021, 3.0 years in 2020 and 2.7 years in 2019.</w:t>
      </w:r>
    </w:p>
    <w:p w14:paraId="5F2CB2FA" w14:textId="77777777" w:rsidR="00E836FB" w:rsidRDefault="00994958">
      <w:pPr>
        <w:spacing w:before="90"/>
        <w:jc w:val="both"/>
      </w:pPr>
      <w:r>
        <w:rPr>
          <w:rFonts w:ascii="Arial" w:eastAsia="宋体" w:hAnsi="Arial" w:cs="Arial"/>
          <w:color w:val="000000"/>
          <w:sz w:val="8"/>
          <w:szCs w:val="8"/>
        </w:rPr>
        <w:t>(2)</w:t>
      </w:r>
      <w:r>
        <w:rPr>
          <w:rFonts w:ascii="Arial" w:eastAsia="宋体" w:hAnsi="Arial" w:cs="Arial"/>
          <w:color w:val="000000"/>
          <w:sz w:val="13"/>
          <w:szCs w:val="13"/>
        </w:rPr>
        <w:t xml:space="preserve"> Net of discount accretion on MMLF HTM securities.</w:t>
      </w:r>
    </w:p>
    <w:p w14:paraId="5F2CB2FB" w14:textId="77777777" w:rsidR="00E836FB" w:rsidRDefault="00994958">
      <w:pPr>
        <w:spacing w:before="60"/>
        <w:ind w:firstLine="450"/>
        <w:jc w:val="both"/>
      </w:pPr>
      <w:r>
        <w:rPr>
          <w:rFonts w:ascii="Arial" w:eastAsia="宋体" w:hAnsi="Arial" w:cs="Arial"/>
          <w:color w:val="000000"/>
          <w:sz w:val="20"/>
          <w:szCs w:val="20"/>
        </w:rPr>
        <w:t xml:space="preserve">See Table 14: Average Balances and Interest Rates - Fully Taxable-Equivalent Basis, for the </w:t>
      </w:r>
      <w:r>
        <w:rPr>
          <w:rFonts w:ascii="Arial" w:eastAsia="宋体" w:hAnsi="Arial" w:cs="Arial"/>
          <w:color w:val="000000"/>
          <w:sz w:val="20"/>
          <w:szCs w:val="20"/>
        </w:rPr>
        <w:t>breakout of NII on a FTE basis for the 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265"/>
        <w:gridCol w:w="866"/>
        <w:gridCol w:w="36"/>
        <w:gridCol w:w="90"/>
        <w:gridCol w:w="476"/>
        <w:gridCol w:w="35"/>
        <w:gridCol w:w="40"/>
        <w:gridCol w:w="32"/>
        <w:gridCol w:w="35"/>
        <w:gridCol w:w="137"/>
        <w:gridCol w:w="932"/>
        <w:gridCol w:w="35"/>
        <w:gridCol w:w="40"/>
        <w:gridCol w:w="32"/>
        <w:gridCol w:w="35"/>
        <w:gridCol w:w="53"/>
        <w:gridCol w:w="250"/>
        <w:gridCol w:w="130"/>
        <w:gridCol w:w="40"/>
        <w:gridCol w:w="32"/>
        <w:gridCol w:w="35"/>
        <w:gridCol w:w="90"/>
        <w:gridCol w:w="476"/>
        <w:gridCol w:w="35"/>
        <w:gridCol w:w="40"/>
        <w:gridCol w:w="32"/>
        <w:gridCol w:w="35"/>
        <w:gridCol w:w="137"/>
        <w:gridCol w:w="932"/>
        <w:gridCol w:w="35"/>
        <w:gridCol w:w="40"/>
        <w:gridCol w:w="32"/>
        <w:gridCol w:w="35"/>
        <w:gridCol w:w="53"/>
        <w:gridCol w:w="250"/>
        <w:gridCol w:w="130"/>
        <w:gridCol w:w="40"/>
        <w:gridCol w:w="32"/>
        <w:gridCol w:w="35"/>
        <w:gridCol w:w="90"/>
        <w:gridCol w:w="476"/>
        <w:gridCol w:w="35"/>
        <w:gridCol w:w="40"/>
        <w:gridCol w:w="32"/>
        <w:gridCol w:w="35"/>
        <w:gridCol w:w="91"/>
        <w:gridCol w:w="500"/>
        <w:gridCol w:w="36"/>
        <w:gridCol w:w="40"/>
        <w:gridCol w:w="32"/>
        <w:gridCol w:w="35"/>
        <w:gridCol w:w="63"/>
        <w:gridCol w:w="301"/>
        <w:gridCol w:w="130"/>
        <w:gridCol w:w="35"/>
        <w:gridCol w:w="35"/>
        <w:gridCol w:w="35"/>
        <w:gridCol w:w="35"/>
        <w:gridCol w:w="35"/>
        <w:gridCol w:w="35"/>
        <w:gridCol w:w="35"/>
        <w:gridCol w:w="35"/>
        <w:gridCol w:w="35"/>
      </w:tblGrid>
      <w:tr w:rsidR="00E836FB" w14:paraId="5F2CB336" w14:textId="77777777">
        <w:tc>
          <w:tcPr>
            <w:tcW w:w="50" w:type="pct"/>
            <w:shd w:val="clear" w:color="auto" w:fill="auto"/>
            <w:vAlign w:val="bottom"/>
          </w:tcPr>
          <w:p w14:paraId="5F2CB2FC" w14:textId="77777777" w:rsidR="00E836FB" w:rsidRDefault="00E836FB">
            <w:pPr>
              <w:rPr>
                <w:rFonts w:ascii="宋体"/>
              </w:rPr>
            </w:pPr>
          </w:p>
        </w:tc>
        <w:tc>
          <w:tcPr>
            <w:tcW w:w="1260" w:type="pct"/>
            <w:shd w:val="clear" w:color="auto" w:fill="auto"/>
            <w:vAlign w:val="bottom"/>
          </w:tcPr>
          <w:p w14:paraId="5F2CB2FD" w14:textId="77777777" w:rsidR="00E836FB" w:rsidRDefault="00E836FB">
            <w:pPr>
              <w:rPr>
                <w:rFonts w:ascii="宋体"/>
              </w:rPr>
            </w:pPr>
          </w:p>
        </w:tc>
        <w:tc>
          <w:tcPr>
            <w:tcW w:w="5" w:type="pct"/>
            <w:shd w:val="clear" w:color="auto" w:fill="auto"/>
            <w:vAlign w:val="bottom"/>
          </w:tcPr>
          <w:p w14:paraId="5F2CB2FE" w14:textId="77777777" w:rsidR="00E836FB" w:rsidRDefault="00E836FB">
            <w:pPr>
              <w:rPr>
                <w:rFonts w:ascii="宋体"/>
              </w:rPr>
            </w:pPr>
          </w:p>
        </w:tc>
        <w:tc>
          <w:tcPr>
            <w:tcW w:w="50" w:type="pct"/>
            <w:shd w:val="clear" w:color="auto" w:fill="auto"/>
            <w:vAlign w:val="bottom"/>
          </w:tcPr>
          <w:p w14:paraId="5F2CB2FF" w14:textId="77777777" w:rsidR="00E836FB" w:rsidRDefault="00E836FB">
            <w:pPr>
              <w:rPr>
                <w:rFonts w:ascii="宋体"/>
              </w:rPr>
            </w:pPr>
          </w:p>
        </w:tc>
        <w:tc>
          <w:tcPr>
            <w:tcW w:w="347" w:type="pct"/>
            <w:shd w:val="clear" w:color="auto" w:fill="auto"/>
            <w:vAlign w:val="bottom"/>
          </w:tcPr>
          <w:p w14:paraId="5F2CB300" w14:textId="77777777" w:rsidR="00E836FB" w:rsidRDefault="00E836FB">
            <w:pPr>
              <w:rPr>
                <w:rFonts w:ascii="宋体"/>
              </w:rPr>
            </w:pPr>
          </w:p>
        </w:tc>
        <w:tc>
          <w:tcPr>
            <w:tcW w:w="5" w:type="pct"/>
            <w:shd w:val="clear" w:color="auto" w:fill="auto"/>
            <w:vAlign w:val="bottom"/>
          </w:tcPr>
          <w:p w14:paraId="5F2CB301" w14:textId="77777777" w:rsidR="00E836FB" w:rsidRDefault="00E836FB">
            <w:pPr>
              <w:rPr>
                <w:rFonts w:ascii="宋体"/>
              </w:rPr>
            </w:pPr>
          </w:p>
        </w:tc>
        <w:tc>
          <w:tcPr>
            <w:tcW w:w="5" w:type="pct"/>
            <w:shd w:val="clear" w:color="auto" w:fill="auto"/>
            <w:vAlign w:val="bottom"/>
          </w:tcPr>
          <w:p w14:paraId="5F2CB302" w14:textId="77777777" w:rsidR="00E836FB" w:rsidRDefault="00E836FB">
            <w:pPr>
              <w:rPr>
                <w:rFonts w:ascii="宋体"/>
              </w:rPr>
            </w:pPr>
          </w:p>
        </w:tc>
        <w:tc>
          <w:tcPr>
            <w:tcW w:w="26" w:type="pct"/>
            <w:shd w:val="clear" w:color="auto" w:fill="auto"/>
            <w:vAlign w:val="bottom"/>
          </w:tcPr>
          <w:p w14:paraId="5F2CB303" w14:textId="77777777" w:rsidR="00E836FB" w:rsidRDefault="00E836FB">
            <w:pPr>
              <w:rPr>
                <w:rFonts w:ascii="宋体"/>
              </w:rPr>
            </w:pPr>
          </w:p>
        </w:tc>
        <w:tc>
          <w:tcPr>
            <w:tcW w:w="5" w:type="pct"/>
            <w:shd w:val="clear" w:color="auto" w:fill="auto"/>
            <w:vAlign w:val="bottom"/>
          </w:tcPr>
          <w:p w14:paraId="5F2CB304" w14:textId="77777777" w:rsidR="00E836FB" w:rsidRDefault="00E836FB">
            <w:pPr>
              <w:rPr>
                <w:rFonts w:ascii="宋体"/>
              </w:rPr>
            </w:pPr>
          </w:p>
        </w:tc>
        <w:tc>
          <w:tcPr>
            <w:tcW w:w="50" w:type="pct"/>
            <w:shd w:val="clear" w:color="auto" w:fill="auto"/>
            <w:vAlign w:val="bottom"/>
          </w:tcPr>
          <w:p w14:paraId="5F2CB305" w14:textId="77777777" w:rsidR="00E836FB" w:rsidRDefault="00E836FB">
            <w:pPr>
              <w:rPr>
                <w:rFonts w:ascii="宋体"/>
              </w:rPr>
            </w:pPr>
          </w:p>
        </w:tc>
        <w:tc>
          <w:tcPr>
            <w:tcW w:w="354" w:type="pct"/>
            <w:shd w:val="clear" w:color="auto" w:fill="auto"/>
            <w:vAlign w:val="bottom"/>
          </w:tcPr>
          <w:p w14:paraId="5F2CB306" w14:textId="77777777" w:rsidR="00E836FB" w:rsidRDefault="00E836FB">
            <w:pPr>
              <w:rPr>
                <w:rFonts w:ascii="宋体"/>
              </w:rPr>
            </w:pPr>
          </w:p>
        </w:tc>
        <w:tc>
          <w:tcPr>
            <w:tcW w:w="5" w:type="pct"/>
            <w:shd w:val="clear" w:color="auto" w:fill="auto"/>
            <w:vAlign w:val="bottom"/>
          </w:tcPr>
          <w:p w14:paraId="5F2CB307" w14:textId="77777777" w:rsidR="00E836FB" w:rsidRDefault="00E836FB">
            <w:pPr>
              <w:rPr>
                <w:rFonts w:ascii="宋体"/>
              </w:rPr>
            </w:pPr>
          </w:p>
        </w:tc>
        <w:tc>
          <w:tcPr>
            <w:tcW w:w="5" w:type="pct"/>
            <w:shd w:val="clear" w:color="auto" w:fill="auto"/>
            <w:vAlign w:val="bottom"/>
          </w:tcPr>
          <w:p w14:paraId="5F2CB308" w14:textId="77777777" w:rsidR="00E836FB" w:rsidRDefault="00E836FB">
            <w:pPr>
              <w:rPr>
                <w:rFonts w:ascii="宋体"/>
              </w:rPr>
            </w:pPr>
          </w:p>
        </w:tc>
        <w:tc>
          <w:tcPr>
            <w:tcW w:w="26" w:type="pct"/>
            <w:shd w:val="clear" w:color="auto" w:fill="auto"/>
            <w:vAlign w:val="bottom"/>
          </w:tcPr>
          <w:p w14:paraId="5F2CB309" w14:textId="77777777" w:rsidR="00E836FB" w:rsidRDefault="00E836FB">
            <w:pPr>
              <w:rPr>
                <w:rFonts w:ascii="宋体"/>
              </w:rPr>
            </w:pPr>
          </w:p>
        </w:tc>
        <w:tc>
          <w:tcPr>
            <w:tcW w:w="5" w:type="pct"/>
            <w:shd w:val="clear" w:color="auto" w:fill="auto"/>
            <w:vAlign w:val="bottom"/>
          </w:tcPr>
          <w:p w14:paraId="5F2CB30A" w14:textId="77777777" w:rsidR="00E836FB" w:rsidRDefault="00E836FB">
            <w:pPr>
              <w:rPr>
                <w:rFonts w:ascii="宋体"/>
              </w:rPr>
            </w:pPr>
          </w:p>
        </w:tc>
        <w:tc>
          <w:tcPr>
            <w:tcW w:w="50" w:type="pct"/>
            <w:shd w:val="clear" w:color="auto" w:fill="auto"/>
            <w:vAlign w:val="bottom"/>
          </w:tcPr>
          <w:p w14:paraId="5F2CB30B" w14:textId="77777777" w:rsidR="00E836FB" w:rsidRDefault="00E836FB">
            <w:pPr>
              <w:rPr>
                <w:rFonts w:ascii="宋体"/>
              </w:rPr>
            </w:pPr>
          </w:p>
        </w:tc>
        <w:tc>
          <w:tcPr>
            <w:tcW w:w="259" w:type="pct"/>
            <w:shd w:val="clear" w:color="auto" w:fill="auto"/>
            <w:vAlign w:val="bottom"/>
          </w:tcPr>
          <w:p w14:paraId="5F2CB30C" w14:textId="77777777" w:rsidR="00E836FB" w:rsidRDefault="00E836FB">
            <w:pPr>
              <w:rPr>
                <w:rFonts w:ascii="宋体"/>
              </w:rPr>
            </w:pPr>
          </w:p>
        </w:tc>
        <w:tc>
          <w:tcPr>
            <w:tcW w:w="5" w:type="pct"/>
            <w:shd w:val="clear" w:color="auto" w:fill="auto"/>
            <w:vAlign w:val="bottom"/>
          </w:tcPr>
          <w:p w14:paraId="5F2CB30D" w14:textId="77777777" w:rsidR="00E836FB" w:rsidRDefault="00E836FB">
            <w:pPr>
              <w:rPr>
                <w:rFonts w:ascii="宋体"/>
              </w:rPr>
            </w:pPr>
          </w:p>
        </w:tc>
        <w:tc>
          <w:tcPr>
            <w:tcW w:w="5" w:type="pct"/>
            <w:shd w:val="clear" w:color="auto" w:fill="auto"/>
            <w:vAlign w:val="bottom"/>
          </w:tcPr>
          <w:p w14:paraId="5F2CB30E" w14:textId="77777777" w:rsidR="00E836FB" w:rsidRDefault="00E836FB">
            <w:pPr>
              <w:rPr>
                <w:rFonts w:ascii="宋体"/>
              </w:rPr>
            </w:pPr>
          </w:p>
        </w:tc>
        <w:tc>
          <w:tcPr>
            <w:tcW w:w="26" w:type="pct"/>
            <w:shd w:val="clear" w:color="auto" w:fill="auto"/>
            <w:vAlign w:val="bottom"/>
          </w:tcPr>
          <w:p w14:paraId="5F2CB30F" w14:textId="77777777" w:rsidR="00E836FB" w:rsidRDefault="00E836FB">
            <w:pPr>
              <w:rPr>
                <w:rFonts w:ascii="宋体"/>
              </w:rPr>
            </w:pPr>
          </w:p>
        </w:tc>
        <w:tc>
          <w:tcPr>
            <w:tcW w:w="5" w:type="pct"/>
            <w:shd w:val="clear" w:color="auto" w:fill="auto"/>
            <w:vAlign w:val="bottom"/>
          </w:tcPr>
          <w:p w14:paraId="5F2CB310" w14:textId="77777777" w:rsidR="00E836FB" w:rsidRDefault="00E836FB">
            <w:pPr>
              <w:rPr>
                <w:rFonts w:ascii="宋体"/>
              </w:rPr>
            </w:pPr>
          </w:p>
        </w:tc>
        <w:tc>
          <w:tcPr>
            <w:tcW w:w="50" w:type="pct"/>
            <w:shd w:val="clear" w:color="auto" w:fill="auto"/>
            <w:vAlign w:val="bottom"/>
          </w:tcPr>
          <w:p w14:paraId="5F2CB311" w14:textId="77777777" w:rsidR="00E836FB" w:rsidRDefault="00E836FB">
            <w:pPr>
              <w:rPr>
                <w:rFonts w:ascii="宋体"/>
              </w:rPr>
            </w:pPr>
          </w:p>
        </w:tc>
        <w:tc>
          <w:tcPr>
            <w:tcW w:w="354" w:type="pct"/>
            <w:shd w:val="clear" w:color="auto" w:fill="auto"/>
            <w:vAlign w:val="bottom"/>
          </w:tcPr>
          <w:p w14:paraId="5F2CB312" w14:textId="77777777" w:rsidR="00E836FB" w:rsidRDefault="00E836FB">
            <w:pPr>
              <w:rPr>
                <w:rFonts w:ascii="宋体"/>
              </w:rPr>
            </w:pPr>
          </w:p>
        </w:tc>
        <w:tc>
          <w:tcPr>
            <w:tcW w:w="5" w:type="pct"/>
            <w:shd w:val="clear" w:color="auto" w:fill="auto"/>
            <w:vAlign w:val="bottom"/>
          </w:tcPr>
          <w:p w14:paraId="5F2CB313" w14:textId="77777777" w:rsidR="00E836FB" w:rsidRDefault="00E836FB">
            <w:pPr>
              <w:rPr>
                <w:rFonts w:ascii="宋体"/>
              </w:rPr>
            </w:pPr>
          </w:p>
        </w:tc>
        <w:tc>
          <w:tcPr>
            <w:tcW w:w="5" w:type="pct"/>
            <w:shd w:val="clear" w:color="auto" w:fill="auto"/>
            <w:vAlign w:val="bottom"/>
          </w:tcPr>
          <w:p w14:paraId="5F2CB314" w14:textId="77777777" w:rsidR="00E836FB" w:rsidRDefault="00E836FB">
            <w:pPr>
              <w:rPr>
                <w:rFonts w:ascii="宋体"/>
              </w:rPr>
            </w:pPr>
          </w:p>
        </w:tc>
        <w:tc>
          <w:tcPr>
            <w:tcW w:w="26" w:type="pct"/>
            <w:shd w:val="clear" w:color="auto" w:fill="auto"/>
            <w:vAlign w:val="bottom"/>
          </w:tcPr>
          <w:p w14:paraId="5F2CB315" w14:textId="77777777" w:rsidR="00E836FB" w:rsidRDefault="00E836FB">
            <w:pPr>
              <w:rPr>
                <w:rFonts w:ascii="宋体"/>
              </w:rPr>
            </w:pPr>
          </w:p>
        </w:tc>
        <w:tc>
          <w:tcPr>
            <w:tcW w:w="5" w:type="pct"/>
            <w:shd w:val="clear" w:color="auto" w:fill="auto"/>
            <w:vAlign w:val="bottom"/>
          </w:tcPr>
          <w:p w14:paraId="5F2CB316" w14:textId="77777777" w:rsidR="00E836FB" w:rsidRDefault="00E836FB">
            <w:pPr>
              <w:rPr>
                <w:rFonts w:ascii="宋体"/>
              </w:rPr>
            </w:pPr>
          </w:p>
        </w:tc>
        <w:tc>
          <w:tcPr>
            <w:tcW w:w="50" w:type="pct"/>
            <w:shd w:val="clear" w:color="auto" w:fill="auto"/>
            <w:vAlign w:val="bottom"/>
          </w:tcPr>
          <w:p w14:paraId="5F2CB317" w14:textId="77777777" w:rsidR="00E836FB" w:rsidRDefault="00E836FB">
            <w:pPr>
              <w:rPr>
                <w:rFonts w:ascii="宋体"/>
              </w:rPr>
            </w:pPr>
          </w:p>
        </w:tc>
        <w:tc>
          <w:tcPr>
            <w:tcW w:w="354" w:type="pct"/>
            <w:shd w:val="clear" w:color="auto" w:fill="auto"/>
            <w:vAlign w:val="bottom"/>
          </w:tcPr>
          <w:p w14:paraId="5F2CB318" w14:textId="77777777" w:rsidR="00E836FB" w:rsidRDefault="00E836FB">
            <w:pPr>
              <w:rPr>
                <w:rFonts w:ascii="宋体"/>
              </w:rPr>
            </w:pPr>
          </w:p>
        </w:tc>
        <w:tc>
          <w:tcPr>
            <w:tcW w:w="5" w:type="pct"/>
            <w:shd w:val="clear" w:color="auto" w:fill="auto"/>
            <w:vAlign w:val="bottom"/>
          </w:tcPr>
          <w:p w14:paraId="5F2CB319" w14:textId="77777777" w:rsidR="00E836FB" w:rsidRDefault="00E836FB">
            <w:pPr>
              <w:rPr>
                <w:rFonts w:ascii="宋体"/>
              </w:rPr>
            </w:pPr>
          </w:p>
        </w:tc>
        <w:tc>
          <w:tcPr>
            <w:tcW w:w="5" w:type="pct"/>
            <w:shd w:val="clear" w:color="auto" w:fill="auto"/>
            <w:vAlign w:val="bottom"/>
          </w:tcPr>
          <w:p w14:paraId="5F2CB31A" w14:textId="77777777" w:rsidR="00E836FB" w:rsidRDefault="00E836FB">
            <w:pPr>
              <w:rPr>
                <w:rFonts w:ascii="宋体"/>
              </w:rPr>
            </w:pPr>
          </w:p>
        </w:tc>
        <w:tc>
          <w:tcPr>
            <w:tcW w:w="26" w:type="pct"/>
            <w:shd w:val="clear" w:color="auto" w:fill="auto"/>
            <w:vAlign w:val="bottom"/>
          </w:tcPr>
          <w:p w14:paraId="5F2CB31B" w14:textId="77777777" w:rsidR="00E836FB" w:rsidRDefault="00E836FB">
            <w:pPr>
              <w:rPr>
                <w:rFonts w:ascii="宋体"/>
              </w:rPr>
            </w:pPr>
          </w:p>
        </w:tc>
        <w:tc>
          <w:tcPr>
            <w:tcW w:w="5" w:type="pct"/>
            <w:shd w:val="clear" w:color="auto" w:fill="auto"/>
            <w:vAlign w:val="bottom"/>
          </w:tcPr>
          <w:p w14:paraId="5F2CB31C" w14:textId="77777777" w:rsidR="00E836FB" w:rsidRDefault="00E836FB">
            <w:pPr>
              <w:rPr>
                <w:rFonts w:ascii="宋体"/>
              </w:rPr>
            </w:pPr>
          </w:p>
        </w:tc>
        <w:tc>
          <w:tcPr>
            <w:tcW w:w="50" w:type="pct"/>
            <w:shd w:val="clear" w:color="auto" w:fill="auto"/>
            <w:vAlign w:val="bottom"/>
          </w:tcPr>
          <w:p w14:paraId="5F2CB31D" w14:textId="77777777" w:rsidR="00E836FB" w:rsidRDefault="00E836FB">
            <w:pPr>
              <w:rPr>
                <w:rFonts w:ascii="宋体"/>
              </w:rPr>
            </w:pPr>
          </w:p>
        </w:tc>
        <w:tc>
          <w:tcPr>
            <w:tcW w:w="259" w:type="pct"/>
            <w:shd w:val="clear" w:color="auto" w:fill="auto"/>
            <w:vAlign w:val="bottom"/>
          </w:tcPr>
          <w:p w14:paraId="5F2CB31E" w14:textId="77777777" w:rsidR="00E836FB" w:rsidRDefault="00E836FB">
            <w:pPr>
              <w:rPr>
                <w:rFonts w:ascii="宋体"/>
              </w:rPr>
            </w:pPr>
          </w:p>
        </w:tc>
        <w:tc>
          <w:tcPr>
            <w:tcW w:w="5" w:type="pct"/>
            <w:shd w:val="clear" w:color="auto" w:fill="auto"/>
            <w:vAlign w:val="bottom"/>
          </w:tcPr>
          <w:p w14:paraId="5F2CB31F" w14:textId="77777777" w:rsidR="00E836FB" w:rsidRDefault="00E836FB">
            <w:pPr>
              <w:rPr>
                <w:rFonts w:ascii="宋体"/>
              </w:rPr>
            </w:pPr>
          </w:p>
        </w:tc>
        <w:tc>
          <w:tcPr>
            <w:tcW w:w="5" w:type="pct"/>
            <w:shd w:val="clear" w:color="auto" w:fill="auto"/>
            <w:vAlign w:val="bottom"/>
          </w:tcPr>
          <w:p w14:paraId="5F2CB320" w14:textId="77777777" w:rsidR="00E836FB" w:rsidRDefault="00E836FB">
            <w:pPr>
              <w:rPr>
                <w:rFonts w:ascii="宋体"/>
              </w:rPr>
            </w:pPr>
          </w:p>
        </w:tc>
        <w:tc>
          <w:tcPr>
            <w:tcW w:w="26" w:type="pct"/>
            <w:shd w:val="clear" w:color="auto" w:fill="auto"/>
            <w:vAlign w:val="bottom"/>
          </w:tcPr>
          <w:p w14:paraId="5F2CB321" w14:textId="77777777" w:rsidR="00E836FB" w:rsidRDefault="00E836FB">
            <w:pPr>
              <w:rPr>
                <w:rFonts w:ascii="宋体"/>
              </w:rPr>
            </w:pPr>
          </w:p>
        </w:tc>
        <w:tc>
          <w:tcPr>
            <w:tcW w:w="5" w:type="pct"/>
            <w:shd w:val="clear" w:color="auto" w:fill="auto"/>
            <w:vAlign w:val="bottom"/>
          </w:tcPr>
          <w:p w14:paraId="5F2CB322" w14:textId="77777777" w:rsidR="00E836FB" w:rsidRDefault="00E836FB">
            <w:pPr>
              <w:rPr>
                <w:rFonts w:ascii="宋体"/>
              </w:rPr>
            </w:pPr>
          </w:p>
        </w:tc>
        <w:tc>
          <w:tcPr>
            <w:tcW w:w="50" w:type="pct"/>
            <w:shd w:val="clear" w:color="auto" w:fill="auto"/>
            <w:vAlign w:val="bottom"/>
          </w:tcPr>
          <w:p w14:paraId="5F2CB323" w14:textId="77777777" w:rsidR="00E836FB" w:rsidRDefault="00E836FB">
            <w:pPr>
              <w:rPr>
                <w:rFonts w:ascii="宋体"/>
              </w:rPr>
            </w:pPr>
          </w:p>
        </w:tc>
        <w:tc>
          <w:tcPr>
            <w:tcW w:w="354" w:type="pct"/>
            <w:shd w:val="clear" w:color="auto" w:fill="auto"/>
            <w:vAlign w:val="bottom"/>
          </w:tcPr>
          <w:p w14:paraId="5F2CB324" w14:textId="77777777" w:rsidR="00E836FB" w:rsidRDefault="00E836FB">
            <w:pPr>
              <w:rPr>
                <w:rFonts w:ascii="宋体"/>
              </w:rPr>
            </w:pPr>
          </w:p>
        </w:tc>
        <w:tc>
          <w:tcPr>
            <w:tcW w:w="5" w:type="pct"/>
            <w:shd w:val="clear" w:color="auto" w:fill="auto"/>
            <w:vAlign w:val="bottom"/>
          </w:tcPr>
          <w:p w14:paraId="5F2CB325" w14:textId="77777777" w:rsidR="00E836FB" w:rsidRDefault="00E836FB">
            <w:pPr>
              <w:rPr>
                <w:rFonts w:ascii="宋体"/>
              </w:rPr>
            </w:pPr>
          </w:p>
        </w:tc>
        <w:tc>
          <w:tcPr>
            <w:tcW w:w="5" w:type="pct"/>
            <w:shd w:val="clear" w:color="auto" w:fill="auto"/>
            <w:vAlign w:val="bottom"/>
          </w:tcPr>
          <w:p w14:paraId="5F2CB326" w14:textId="77777777" w:rsidR="00E836FB" w:rsidRDefault="00E836FB">
            <w:pPr>
              <w:rPr>
                <w:rFonts w:ascii="宋体"/>
              </w:rPr>
            </w:pPr>
          </w:p>
        </w:tc>
        <w:tc>
          <w:tcPr>
            <w:tcW w:w="26" w:type="pct"/>
            <w:shd w:val="clear" w:color="auto" w:fill="auto"/>
            <w:vAlign w:val="bottom"/>
          </w:tcPr>
          <w:p w14:paraId="5F2CB327" w14:textId="77777777" w:rsidR="00E836FB" w:rsidRDefault="00E836FB">
            <w:pPr>
              <w:rPr>
                <w:rFonts w:ascii="宋体"/>
              </w:rPr>
            </w:pPr>
          </w:p>
        </w:tc>
        <w:tc>
          <w:tcPr>
            <w:tcW w:w="5" w:type="pct"/>
            <w:shd w:val="clear" w:color="auto" w:fill="auto"/>
            <w:vAlign w:val="bottom"/>
          </w:tcPr>
          <w:p w14:paraId="5F2CB328" w14:textId="77777777" w:rsidR="00E836FB" w:rsidRDefault="00E836FB">
            <w:pPr>
              <w:rPr>
                <w:rFonts w:ascii="宋体"/>
              </w:rPr>
            </w:pPr>
          </w:p>
        </w:tc>
        <w:tc>
          <w:tcPr>
            <w:tcW w:w="50" w:type="pct"/>
            <w:shd w:val="clear" w:color="auto" w:fill="auto"/>
            <w:vAlign w:val="bottom"/>
          </w:tcPr>
          <w:p w14:paraId="5F2CB329" w14:textId="77777777" w:rsidR="00E836FB" w:rsidRDefault="00E836FB">
            <w:pPr>
              <w:rPr>
                <w:rFonts w:ascii="宋体"/>
              </w:rPr>
            </w:pPr>
          </w:p>
        </w:tc>
        <w:tc>
          <w:tcPr>
            <w:tcW w:w="354" w:type="pct"/>
            <w:shd w:val="clear" w:color="auto" w:fill="auto"/>
            <w:vAlign w:val="bottom"/>
          </w:tcPr>
          <w:p w14:paraId="5F2CB32A" w14:textId="77777777" w:rsidR="00E836FB" w:rsidRDefault="00E836FB">
            <w:pPr>
              <w:rPr>
                <w:rFonts w:ascii="宋体"/>
              </w:rPr>
            </w:pPr>
          </w:p>
        </w:tc>
        <w:tc>
          <w:tcPr>
            <w:tcW w:w="5" w:type="pct"/>
            <w:shd w:val="clear" w:color="auto" w:fill="auto"/>
            <w:vAlign w:val="bottom"/>
          </w:tcPr>
          <w:p w14:paraId="5F2CB32B" w14:textId="77777777" w:rsidR="00E836FB" w:rsidRDefault="00E836FB">
            <w:pPr>
              <w:rPr>
                <w:rFonts w:ascii="宋体"/>
              </w:rPr>
            </w:pPr>
          </w:p>
        </w:tc>
        <w:tc>
          <w:tcPr>
            <w:tcW w:w="5" w:type="pct"/>
            <w:shd w:val="clear" w:color="auto" w:fill="auto"/>
            <w:vAlign w:val="bottom"/>
          </w:tcPr>
          <w:p w14:paraId="5F2CB32C" w14:textId="77777777" w:rsidR="00E836FB" w:rsidRDefault="00E836FB">
            <w:pPr>
              <w:rPr>
                <w:rFonts w:ascii="宋体"/>
              </w:rPr>
            </w:pPr>
          </w:p>
        </w:tc>
        <w:tc>
          <w:tcPr>
            <w:tcW w:w="26" w:type="pct"/>
            <w:shd w:val="clear" w:color="auto" w:fill="auto"/>
            <w:vAlign w:val="bottom"/>
          </w:tcPr>
          <w:p w14:paraId="5F2CB32D" w14:textId="77777777" w:rsidR="00E836FB" w:rsidRDefault="00E836FB">
            <w:pPr>
              <w:rPr>
                <w:rFonts w:ascii="宋体"/>
              </w:rPr>
            </w:pPr>
          </w:p>
        </w:tc>
        <w:tc>
          <w:tcPr>
            <w:tcW w:w="5" w:type="pct"/>
            <w:shd w:val="clear" w:color="auto" w:fill="auto"/>
            <w:vAlign w:val="bottom"/>
          </w:tcPr>
          <w:p w14:paraId="5F2CB32E" w14:textId="77777777" w:rsidR="00E836FB" w:rsidRDefault="00E836FB">
            <w:pPr>
              <w:rPr>
                <w:rFonts w:ascii="宋体"/>
              </w:rPr>
            </w:pPr>
          </w:p>
        </w:tc>
        <w:tc>
          <w:tcPr>
            <w:tcW w:w="50" w:type="pct"/>
            <w:shd w:val="clear" w:color="auto" w:fill="auto"/>
            <w:vAlign w:val="bottom"/>
          </w:tcPr>
          <w:p w14:paraId="5F2CB32F" w14:textId="77777777" w:rsidR="00E836FB" w:rsidRDefault="00E836FB">
            <w:pPr>
              <w:rPr>
                <w:rFonts w:ascii="宋体"/>
              </w:rPr>
            </w:pPr>
          </w:p>
        </w:tc>
        <w:tc>
          <w:tcPr>
            <w:tcW w:w="259" w:type="pct"/>
            <w:shd w:val="clear" w:color="auto" w:fill="auto"/>
            <w:vAlign w:val="bottom"/>
          </w:tcPr>
          <w:p w14:paraId="5F2CB330" w14:textId="77777777" w:rsidR="00E836FB" w:rsidRDefault="00E836FB">
            <w:pPr>
              <w:rPr>
                <w:rFonts w:ascii="宋体"/>
              </w:rPr>
            </w:pPr>
          </w:p>
        </w:tc>
        <w:tc>
          <w:tcPr>
            <w:tcW w:w="5" w:type="pct"/>
            <w:shd w:val="clear" w:color="auto" w:fill="auto"/>
            <w:vAlign w:val="bottom"/>
          </w:tcPr>
          <w:p w14:paraId="5F2CB331" w14:textId="77777777" w:rsidR="00E836FB" w:rsidRDefault="00E836FB">
            <w:pPr>
              <w:rPr>
                <w:rFonts w:ascii="宋体"/>
              </w:rPr>
            </w:pPr>
          </w:p>
        </w:tc>
        <w:tc>
          <w:tcPr>
            <w:tcW w:w="0" w:type="auto"/>
            <w:gridSpan w:val="3"/>
            <w:shd w:val="clear" w:color="auto" w:fill="auto"/>
            <w:vAlign w:val="bottom"/>
          </w:tcPr>
          <w:p w14:paraId="5F2CB332" w14:textId="77777777" w:rsidR="00E836FB" w:rsidRDefault="00E836FB">
            <w:pPr>
              <w:rPr>
                <w:rFonts w:ascii="宋体"/>
                <w:vanish/>
              </w:rPr>
            </w:pPr>
          </w:p>
        </w:tc>
        <w:tc>
          <w:tcPr>
            <w:tcW w:w="0" w:type="auto"/>
            <w:gridSpan w:val="3"/>
            <w:shd w:val="clear" w:color="auto" w:fill="auto"/>
            <w:vAlign w:val="bottom"/>
          </w:tcPr>
          <w:p w14:paraId="5F2CB333" w14:textId="77777777" w:rsidR="00E836FB" w:rsidRDefault="00E836FB">
            <w:pPr>
              <w:rPr>
                <w:rFonts w:ascii="宋体"/>
                <w:vanish/>
              </w:rPr>
            </w:pPr>
          </w:p>
        </w:tc>
        <w:tc>
          <w:tcPr>
            <w:tcW w:w="0" w:type="auto"/>
            <w:gridSpan w:val="2"/>
            <w:shd w:val="clear" w:color="auto" w:fill="auto"/>
            <w:vAlign w:val="bottom"/>
          </w:tcPr>
          <w:p w14:paraId="5F2CB334" w14:textId="77777777" w:rsidR="00E836FB" w:rsidRDefault="00E836FB">
            <w:pPr>
              <w:rPr>
                <w:rFonts w:ascii="宋体"/>
                <w:vanish/>
              </w:rPr>
            </w:pPr>
          </w:p>
        </w:tc>
        <w:tc>
          <w:tcPr>
            <w:tcW w:w="0" w:type="auto"/>
            <w:shd w:val="clear" w:color="auto" w:fill="auto"/>
            <w:vAlign w:val="bottom"/>
          </w:tcPr>
          <w:p w14:paraId="5F2CB335" w14:textId="77777777" w:rsidR="00E836FB" w:rsidRDefault="00E836FB">
            <w:pPr>
              <w:rPr>
                <w:rFonts w:ascii="宋体"/>
                <w:vanish/>
              </w:rPr>
            </w:pPr>
          </w:p>
        </w:tc>
      </w:tr>
      <w:tr w:rsidR="00E836FB" w14:paraId="5F2CB33C" w14:textId="77777777">
        <w:tc>
          <w:tcPr>
            <w:tcW w:w="0" w:type="auto"/>
            <w:gridSpan w:val="54"/>
            <w:shd w:val="clear" w:color="auto" w:fill="auto"/>
            <w:tcMar>
              <w:top w:w="40" w:type="dxa"/>
              <w:left w:w="20" w:type="dxa"/>
              <w:bottom w:w="40" w:type="dxa"/>
              <w:right w:w="20" w:type="dxa"/>
            </w:tcMar>
            <w:vAlign w:val="bottom"/>
          </w:tcPr>
          <w:p w14:paraId="5F2CB337" w14:textId="77777777" w:rsidR="00E836FB" w:rsidRDefault="00994958">
            <w:pPr>
              <w:textAlignment w:val="bottom"/>
            </w:pPr>
            <w:r>
              <w:rPr>
                <w:rFonts w:ascii="Arial" w:eastAsia="宋体" w:hAnsi="Arial" w:cs="Arial"/>
                <w:b/>
                <w:bCs/>
                <w:color w:val="000000"/>
                <w:sz w:val="16"/>
                <w:szCs w:val="16"/>
              </w:rPr>
              <w:t>TABLE 14: AVERAGE BALANCES AND INTEREST RATES - FULLY TAXABLE-EQUIVALENT BASIS</w:t>
            </w:r>
            <w:r>
              <w:rPr>
                <w:rFonts w:ascii="Arial" w:eastAsia="宋体" w:hAnsi="Arial" w:cs="Arial"/>
                <w:b/>
                <w:bCs/>
                <w:color w:val="000000"/>
                <w:sz w:val="10"/>
                <w:szCs w:val="10"/>
              </w:rPr>
              <w:t>(1)</w:t>
            </w:r>
          </w:p>
        </w:tc>
        <w:tc>
          <w:tcPr>
            <w:tcW w:w="0" w:type="auto"/>
            <w:gridSpan w:val="3"/>
            <w:shd w:val="clear" w:color="auto" w:fill="auto"/>
            <w:vAlign w:val="bottom"/>
          </w:tcPr>
          <w:p w14:paraId="5F2CB338" w14:textId="77777777" w:rsidR="00E836FB" w:rsidRDefault="00E836FB">
            <w:pPr>
              <w:rPr>
                <w:rFonts w:ascii="宋体"/>
                <w:vanish/>
              </w:rPr>
            </w:pPr>
          </w:p>
        </w:tc>
        <w:tc>
          <w:tcPr>
            <w:tcW w:w="0" w:type="auto"/>
            <w:gridSpan w:val="3"/>
            <w:shd w:val="clear" w:color="auto" w:fill="auto"/>
            <w:vAlign w:val="bottom"/>
          </w:tcPr>
          <w:p w14:paraId="5F2CB339" w14:textId="77777777" w:rsidR="00E836FB" w:rsidRDefault="00E836FB">
            <w:pPr>
              <w:rPr>
                <w:rFonts w:ascii="宋体"/>
                <w:vanish/>
              </w:rPr>
            </w:pPr>
          </w:p>
        </w:tc>
        <w:tc>
          <w:tcPr>
            <w:tcW w:w="0" w:type="auto"/>
            <w:gridSpan w:val="2"/>
            <w:shd w:val="clear" w:color="auto" w:fill="auto"/>
            <w:vAlign w:val="bottom"/>
          </w:tcPr>
          <w:p w14:paraId="5F2CB33A" w14:textId="77777777" w:rsidR="00E836FB" w:rsidRDefault="00E836FB">
            <w:pPr>
              <w:rPr>
                <w:rFonts w:ascii="宋体"/>
                <w:vanish/>
              </w:rPr>
            </w:pPr>
          </w:p>
        </w:tc>
        <w:tc>
          <w:tcPr>
            <w:tcW w:w="0" w:type="auto"/>
            <w:shd w:val="clear" w:color="auto" w:fill="auto"/>
            <w:vAlign w:val="bottom"/>
          </w:tcPr>
          <w:p w14:paraId="5F2CB33B" w14:textId="77777777" w:rsidR="00E836FB" w:rsidRDefault="00E836FB">
            <w:pPr>
              <w:rPr>
                <w:rFonts w:ascii="宋体"/>
                <w:vanish/>
              </w:rPr>
            </w:pPr>
          </w:p>
        </w:tc>
      </w:tr>
      <w:tr w:rsidR="00E836FB" w14:paraId="5F2CB360" w14:textId="77777777">
        <w:trPr>
          <w:hidden/>
        </w:trPr>
        <w:tc>
          <w:tcPr>
            <w:tcW w:w="0" w:type="auto"/>
            <w:gridSpan w:val="3"/>
            <w:shd w:val="clear" w:color="auto" w:fill="auto"/>
            <w:vAlign w:val="bottom"/>
          </w:tcPr>
          <w:p w14:paraId="5F2CB33D" w14:textId="77777777" w:rsidR="00E836FB" w:rsidRDefault="00E836FB">
            <w:pPr>
              <w:rPr>
                <w:rFonts w:ascii="宋体"/>
                <w:vanish/>
              </w:rPr>
            </w:pPr>
          </w:p>
        </w:tc>
        <w:tc>
          <w:tcPr>
            <w:tcW w:w="0" w:type="auto"/>
            <w:gridSpan w:val="3"/>
            <w:shd w:val="clear" w:color="auto" w:fill="auto"/>
            <w:vAlign w:val="bottom"/>
          </w:tcPr>
          <w:p w14:paraId="5F2CB33E" w14:textId="77777777" w:rsidR="00E836FB" w:rsidRDefault="00E836FB">
            <w:pPr>
              <w:rPr>
                <w:rFonts w:ascii="宋体"/>
                <w:vanish/>
              </w:rPr>
            </w:pPr>
          </w:p>
        </w:tc>
        <w:tc>
          <w:tcPr>
            <w:tcW w:w="0" w:type="auto"/>
            <w:gridSpan w:val="3"/>
            <w:shd w:val="clear" w:color="auto" w:fill="auto"/>
            <w:vAlign w:val="bottom"/>
          </w:tcPr>
          <w:p w14:paraId="5F2CB33F" w14:textId="77777777" w:rsidR="00E836FB" w:rsidRDefault="00E836FB">
            <w:pPr>
              <w:rPr>
                <w:rFonts w:ascii="宋体"/>
                <w:vanish/>
              </w:rPr>
            </w:pPr>
          </w:p>
        </w:tc>
        <w:tc>
          <w:tcPr>
            <w:tcW w:w="0" w:type="auto"/>
            <w:gridSpan w:val="3"/>
            <w:shd w:val="clear" w:color="auto" w:fill="auto"/>
            <w:vAlign w:val="bottom"/>
          </w:tcPr>
          <w:p w14:paraId="5F2CB340" w14:textId="77777777" w:rsidR="00E836FB" w:rsidRDefault="00E836FB">
            <w:pPr>
              <w:rPr>
                <w:rFonts w:ascii="宋体"/>
                <w:vanish/>
              </w:rPr>
            </w:pPr>
          </w:p>
        </w:tc>
        <w:tc>
          <w:tcPr>
            <w:tcW w:w="0" w:type="auto"/>
            <w:gridSpan w:val="3"/>
            <w:shd w:val="clear" w:color="auto" w:fill="auto"/>
            <w:vAlign w:val="bottom"/>
          </w:tcPr>
          <w:p w14:paraId="5F2CB341" w14:textId="77777777" w:rsidR="00E836FB" w:rsidRDefault="00E836FB">
            <w:pPr>
              <w:rPr>
                <w:rFonts w:ascii="宋体"/>
                <w:vanish/>
              </w:rPr>
            </w:pPr>
          </w:p>
        </w:tc>
        <w:tc>
          <w:tcPr>
            <w:tcW w:w="0" w:type="auto"/>
            <w:gridSpan w:val="3"/>
            <w:shd w:val="clear" w:color="auto" w:fill="auto"/>
            <w:vAlign w:val="bottom"/>
          </w:tcPr>
          <w:p w14:paraId="5F2CB342" w14:textId="77777777" w:rsidR="00E836FB" w:rsidRDefault="00E836FB">
            <w:pPr>
              <w:rPr>
                <w:rFonts w:ascii="宋体"/>
                <w:vanish/>
              </w:rPr>
            </w:pPr>
          </w:p>
        </w:tc>
        <w:tc>
          <w:tcPr>
            <w:tcW w:w="0" w:type="auto"/>
            <w:gridSpan w:val="3"/>
            <w:shd w:val="clear" w:color="auto" w:fill="auto"/>
            <w:vAlign w:val="bottom"/>
          </w:tcPr>
          <w:p w14:paraId="5F2CB343" w14:textId="77777777" w:rsidR="00E836FB" w:rsidRDefault="00E836FB">
            <w:pPr>
              <w:rPr>
                <w:rFonts w:ascii="宋体"/>
                <w:vanish/>
              </w:rPr>
            </w:pPr>
          </w:p>
        </w:tc>
        <w:tc>
          <w:tcPr>
            <w:tcW w:w="0" w:type="auto"/>
            <w:gridSpan w:val="3"/>
            <w:shd w:val="clear" w:color="auto" w:fill="auto"/>
            <w:vAlign w:val="bottom"/>
          </w:tcPr>
          <w:p w14:paraId="5F2CB344" w14:textId="77777777" w:rsidR="00E836FB" w:rsidRDefault="00E836FB">
            <w:pPr>
              <w:rPr>
                <w:rFonts w:ascii="宋体"/>
                <w:vanish/>
              </w:rPr>
            </w:pPr>
          </w:p>
        </w:tc>
        <w:tc>
          <w:tcPr>
            <w:tcW w:w="0" w:type="auto"/>
            <w:gridSpan w:val="3"/>
            <w:shd w:val="clear" w:color="auto" w:fill="auto"/>
            <w:vAlign w:val="bottom"/>
          </w:tcPr>
          <w:p w14:paraId="5F2CB345" w14:textId="77777777" w:rsidR="00E836FB" w:rsidRDefault="00E836FB">
            <w:pPr>
              <w:rPr>
                <w:rFonts w:ascii="宋体"/>
                <w:vanish/>
              </w:rPr>
            </w:pPr>
          </w:p>
        </w:tc>
        <w:tc>
          <w:tcPr>
            <w:tcW w:w="0" w:type="auto"/>
            <w:gridSpan w:val="3"/>
            <w:shd w:val="clear" w:color="auto" w:fill="auto"/>
            <w:vAlign w:val="bottom"/>
          </w:tcPr>
          <w:p w14:paraId="5F2CB346" w14:textId="77777777" w:rsidR="00E836FB" w:rsidRDefault="00E836FB">
            <w:pPr>
              <w:rPr>
                <w:rFonts w:ascii="宋体"/>
                <w:vanish/>
              </w:rPr>
            </w:pPr>
          </w:p>
        </w:tc>
        <w:tc>
          <w:tcPr>
            <w:tcW w:w="0" w:type="auto"/>
            <w:gridSpan w:val="3"/>
            <w:shd w:val="clear" w:color="auto" w:fill="auto"/>
            <w:vAlign w:val="bottom"/>
          </w:tcPr>
          <w:p w14:paraId="5F2CB347" w14:textId="77777777" w:rsidR="00E836FB" w:rsidRDefault="00E836FB">
            <w:pPr>
              <w:rPr>
                <w:rFonts w:ascii="宋体"/>
                <w:vanish/>
              </w:rPr>
            </w:pPr>
          </w:p>
        </w:tc>
        <w:tc>
          <w:tcPr>
            <w:tcW w:w="0" w:type="auto"/>
            <w:gridSpan w:val="3"/>
            <w:shd w:val="clear" w:color="auto" w:fill="auto"/>
            <w:vAlign w:val="bottom"/>
          </w:tcPr>
          <w:p w14:paraId="5F2CB348" w14:textId="77777777" w:rsidR="00E836FB" w:rsidRDefault="00E836FB">
            <w:pPr>
              <w:rPr>
                <w:rFonts w:ascii="宋体"/>
                <w:vanish/>
              </w:rPr>
            </w:pPr>
          </w:p>
        </w:tc>
        <w:tc>
          <w:tcPr>
            <w:tcW w:w="0" w:type="auto"/>
            <w:gridSpan w:val="3"/>
            <w:shd w:val="clear" w:color="auto" w:fill="auto"/>
            <w:vAlign w:val="bottom"/>
          </w:tcPr>
          <w:p w14:paraId="5F2CB349" w14:textId="77777777" w:rsidR="00E836FB" w:rsidRDefault="00E836FB">
            <w:pPr>
              <w:rPr>
                <w:rFonts w:ascii="宋体"/>
                <w:vanish/>
              </w:rPr>
            </w:pPr>
          </w:p>
        </w:tc>
        <w:tc>
          <w:tcPr>
            <w:tcW w:w="0" w:type="auto"/>
            <w:gridSpan w:val="3"/>
            <w:shd w:val="clear" w:color="auto" w:fill="auto"/>
            <w:vAlign w:val="bottom"/>
          </w:tcPr>
          <w:p w14:paraId="5F2CB34A" w14:textId="77777777" w:rsidR="00E836FB" w:rsidRDefault="00E836FB">
            <w:pPr>
              <w:rPr>
                <w:rFonts w:ascii="宋体"/>
                <w:vanish/>
              </w:rPr>
            </w:pPr>
          </w:p>
        </w:tc>
        <w:tc>
          <w:tcPr>
            <w:tcW w:w="0" w:type="auto"/>
            <w:shd w:val="clear" w:color="auto" w:fill="auto"/>
            <w:vAlign w:val="bottom"/>
          </w:tcPr>
          <w:p w14:paraId="5F2CB34B" w14:textId="77777777" w:rsidR="00E836FB" w:rsidRDefault="00E836FB">
            <w:pPr>
              <w:rPr>
                <w:rFonts w:ascii="宋体"/>
              </w:rPr>
            </w:pPr>
          </w:p>
        </w:tc>
        <w:tc>
          <w:tcPr>
            <w:tcW w:w="0" w:type="auto"/>
            <w:shd w:val="clear" w:color="auto" w:fill="auto"/>
            <w:vAlign w:val="bottom"/>
          </w:tcPr>
          <w:p w14:paraId="5F2CB34C" w14:textId="77777777" w:rsidR="00E836FB" w:rsidRDefault="00E836FB">
            <w:pPr>
              <w:rPr>
                <w:rFonts w:ascii="宋体"/>
              </w:rPr>
            </w:pPr>
          </w:p>
        </w:tc>
        <w:tc>
          <w:tcPr>
            <w:tcW w:w="0" w:type="auto"/>
            <w:shd w:val="clear" w:color="auto" w:fill="auto"/>
            <w:vAlign w:val="bottom"/>
          </w:tcPr>
          <w:p w14:paraId="5F2CB34D" w14:textId="77777777" w:rsidR="00E836FB" w:rsidRDefault="00E836FB">
            <w:pPr>
              <w:rPr>
                <w:rFonts w:ascii="宋体"/>
              </w:rPr>
            </w:pPr>
          </w:p>
        </w:tc>
        <w:tc>
          <w:tcPr>
            <w:tcW w:w="0" w:type="auto"/>
            <w:shd w:val="clear" w:color="auto" w:fill="auto"/>
            <w:vAlign w:val="bottom"/>
          </w:tcPr>
          <w:p w14:paraId="5F2CB34E" w14:textId="77777777" w:rsidR="00E836FB" w:rsidRDefault="00E836FB">
            <w:pPr>
              <w:rPr>
                <w:rFonts w:ascii="宋体"/>
              </w:rPr>
            </w:pPr>
          </w:p>
        </w:tc>
        <w:tc>
          <w:tcPr>
            <w:tcW w:w="0" w:type="auto"/>
            <w:shd w:val="clear" w:color="auto" w:fill="auto"/>
            <w:vAlign w:val="bottom"/>
          </w:tcPr>
          <w:p w14:paraId="5F2CB34F" w14:textId="77777777" w:rsidR="00E836FB" w:rsidRDefault="00E836FB">
            <w:pPr>
              <w:rPr>
                <w:rFonts w:ascii="宋体"/>
              </w:rPr>
            </w:pPr>
          </w:p>
        </w:tc>
        <w:tc>
          <w:tcPr>
            <w:tcW w:w="0" w:type="auto"/>
            <w:shd w:val="clear" w:color="auto" w:fill="auto"/>
            <w:vAlign w:val="bottom"/>
          </w:tcPr>
          <w:p w14:paraId="5F2CB350" w14:textId="77777777" w:rsidR="00E836FB" w:rsidRDefault="00E836FB">
            <w:pPr>
              <w:rPr>
                <w:rFonts w:ascii="宋体"/>
              </w:rPr>
            </w:pPr>
          </w:p>
        </w:tc>
        <w:tc>
          <w:tcPr>
            <w:tcW w:w="0" w:type="auto"/>
            <w:shd w:val="clear" w:color="auto" w:fill="auto"/>
            <w:vAlign w:val="bottom"/>
          </w:tcPr>
          <w:p w14:paraId="5F2CB351" w14:textId="77777777" w:rsidR="00E836FB" w:rsidRDefault="00E836FB">
            <w:pPr>
              <w:rPr>
                <w:rFonts w:ascii="宋体"/>
              </w:rPr>
            </w:pPr>
          </w:p>
        </w:tc>
        <w:tc>
          <w:tcPr>
            <w:tcW w:w="0" w:type="auto"/>
            <w:shd w:val="clear" w:color="auto" w:fill="auto"/>
            <w:vAlign w:val="bottom"/>
          </w:tcPr>
          <w:p w14:paraId="5F2CB352" w14:textId="77777777" w:rsidR="00E836FB" w:rsidRDefault="00E836FB">
            <w:pPr>
              <w:rPr>
                <w:rFonts w:ascii="宋体"/>
              </w:rPr>
            </w:pPr>
          </w:p>
        </w:tc>
        <w:tc>
          <w:tcPr>
            <w:tcW w:w="0" w:type="auto"/>
            <w:shd w:val="clear" w:color="auto" w:fill="auto"/>
            <w:vAlign w:val="bottom"/>
          </w:tcPr>
          <w:p w14:paraId="5F2CB353" w14:textId="77777777" w:rsidR="00E836FB" w:rsidRDefault="00E836FB">
            <w:pPr>
              <w:rPr>
                <w:rFonts w:ascii="宋体"/>
              </w:rPr>
            </w:pPr>
          </w:p>
        </w:tc>
        <w:tc>
          <w:tcPr>
            <w:tcW w:w="0" w:type="auto"/>
            <w:shd w:val="clear" w:color="auto" w:fill="auto"/>
            <w:vAlign w:val="bottom"/>
          </w:tcPr>
          <w:p w14:paraId="5F2CB354" w14:textId="77777777" w:rsidR="00E836FB" w:rsidRDefault="00E836FB">
            <w:pPr>
              <w:rPr>
                <w:rFonts w:ascii="宋体"/>
              </w:rPr>
            </w:pPr>
          </w:p>
        </w:tc>
        <w:tc>
          <w:tcPr>
            <w:tcW w:w="0" w:type="auto"/>
            <w:shd w:val="clear" w:color="auto" w:fill="auto"/>
            <w:vAlign w:val="bottom"/>
          </w:tcPr>
          <w:p w14:paraId="5F2CB355" w14:textId="77777777" w:rsidR="00E836FB" w:rsidRDefault="00E836FB">
            <w:pPr>
              <w:rPr>
                <w:rFonts w:ascii="宋体"/>
              </w:rPr>
            </w:pPr>
          </w:p>
        </w:tc>
        <w:tc>
          <w:tcPr>
            <w:tcW w:w="0" w:type="auto"/>
            <w:shd w:val="clear" w:color="auto" w:fill="auto"/>
            <w:vAlign w:val="bottom"/>
          </w:tcPr>
          <w:p w14:paraId="5F2CB356" w14:textId="77777777" w:rsidR="00E836FB" w:rsidRDefault="00E836FB">
            <w:pPr>
              <w:rPr>
                <w:rFonts w:ascii="宋体"/>
              </w:rPr>
            </w:pPr>
          </w:p>
        </w:tc>
        <w:tc>
          <w:tcPr>
            <w:tcW w:w="0" w:type="auto"/>
            <w:shd w:val="clear" w:color="auto" w:fill="auto"/>
            <w:vAlign w:val="bottom"/>
          </w:tcPr>
          <w:p w14:paraId="5F2CB357" w14:textId="77777777" w:rsidR="00E836FB" w:rsidRDefault="00E836FB">
            <w:pPr>
              <w:rPr>
                <w:rFonts w:ascii="宋体"/>
              </w:rPr>
            </w:pPr>
          </w:p>
        </w:tc>
        <w:tc>
          <w:tcPr>
            <w:tcW w:w="0" w:type="auto"/>
            <w:shd w:val="clear" w:color="auto" w:fill="auto"/>
            <w:vAlign w:val="bottom"/>
          </w:tcPr>
          <w:p w14:paraId="5F2CB358" w14:textId="77777777" w:rsidR="00E836FB" w:rsidRDefault="00E836FB">
            <w:pPr>
              <w:rPr>
                <w:rFonts w:ascii="宋体"/>
              </w:rPr>
            </w:pPr>
          </w:p>
        </w:tc>
        <w:tc>
          <w:tcPr>
            <w:tcW w:w="0" w:type="auto"/>
            <w:shd w:val="clear" w:color="auto" w:fill="auto"/>
            <w:vAlign w:val="bottom"/>
          </w:tcPr>
          <w:p w14:paraId="5F2CB359" w14:textId="77777777" w:rsidR="00E836FB" w:rsidRDefault="00E836FB">
            <w:pPr>
              <w:rPr>
                <w:rFonts w:ascii="宋体"/>
              </w:rPr>
            </w:pPr>
          </w:p>
        </w:tc>
        <w:tc>
          <w:tcPr>
            <w:tcW w:w="0" w:type="auto"/>
            <w:shd w:val="clear" w:color="auto" w:fill="auto"/>
            <w:vAlign w:val="bottom"/>
          </w:tcPr>
          <w:p w14:paraId="5F2CB35A" w14:textId="77777777" w:rsidR="00E836FB" w:rsidRDefault="00E836FB">
            <w:pPr>
              <w:rPr>
                <w:rFonts w:ascii="宋体"/>
              </w:rPr>
            </w:pPr>
          </w:p>
        </w:tc>
        <w:tc>
          <w:tcPr>
            <w:tcW w:w="0" w:type="auto"/>
            <w:shd w:val="clear" w:color="auto" w:fill="auto"/>
            <w:vAlign w:val="bottom"/>
          </w:tcPr>
          <w:p w14:paraId="5F2CB35B" w14:textId="77777777" w:rsidR="00E836FB" w:rsidRDefault="00E836FB">
            <w:pPr>
              <w:rPr>
                <w:rFonts w:ascii="宋体"/>
              </w:rPr>
            </w:pPr>
          </w:p>
        </w:tc>
        <w:tc>
          <w:tcPr>
            <w:tcW w:w="0" w:type="auto"/>
            <w:shd w:val="clear" w:color="auto" w:fill="auto"/>
            <w:vAlign w:val="bottom"/>
          </w:tcPr>
          <w:p w14:paraId="5F2CB35C" w14:textId="77777777" w:rsidR="00E836FB" w:rsidRDefault="00E836FB">
            <w:pPr>
              <w:rPr>
                <w:rFonts w:ascii="宋体"/>
              </w:rPr>
            </w:pPr>
          </w:p>
        </w:tc>
        <w:tc>
          <w:tcPr>
            <w:tcW w:w="0" w:type="auto"/>
            <w:shd w:val="clear" w:color="auto" w:fill="auto"/>
            <w:vAlign w:val="bottom"/>
          </w:tcPr>
          <w:p w14:paraId="5F2CB35D" w14:textId="77777777" w:rsidR="00E836FB" w:rsidRDefault="00E836FB">
            <w:pPr>
              <w:rPr>
                <w:rFonts w:ascii="宋体"/>
              </w:rPr>
            </w:pPr>
          </w:p>
        </w:tc>
        <w:tc>
          <w:tcPr>
            <w:tcW w:w="0" w:type="auto"/>
            <w:shd w:val="clear" w:color="auto" w:fill="auto"/>
            <w:vAlign w:val="bottom"/>
          </w:tcPr>
          <w:p w14:paraId="5F2CB35E" w14:textId="77777777" w:rsidR="00E836FB" w:rsidRDefault="00E836FB">
            <w:pPr>
              <w:rPr>
                <w:rFonts w:ascii="宋体"/>
              </w:rPr>
            </w:pPr>
          </w:p>
        </w:tc>
        <w:tc>
          <w:tcPr>
            <w:tcW w:w="0" w:type="auto"/>
            <w:shd w:val="clear" w:color="auto" w:fill="auto"/>
            <w:vAlign w:val="bottom"/>
          </w:tcPr>
          <w:p w14:paraId="5F2CB35F" w14:textId="77777777" w:rsidR="00E836FB" w:rsidRDefault="00E836FB">
            <w:pPr>
              <w:rPr>
                <w:rFonts w:ascii="宋体"/>
              </w:rPr>
            </w:pPr>
          </w:p>
        </w:tc>
      </w:tr>
      <w:tr w:rsidR="00E836FB" w14:paraId="5F2CB388" w14:textId="77777777">
        <w:trPr>
          <w:hidden/>
        </w:trPr>
        <w:tc>
          <w:tcPr>
            <w:tcW w:w="0" w:type="auto"/>
            <w:gridSpan w:val="3"/>
            <w:shd w:val="clear" w:color="auto" w:fill="auto"/>
            <w:vAlign w:val="bottom"/>
          </w:tcPr>
          <w:p w14:paraId="5F2CB361" w14:textId="77777777" w:rsidR="00E836FB" w:rsidRDefault="00E836FB">
            <w:pPr>
              <w:rPr>
                <w:rFonts w:ascii="宋体"/>
                <w:vanish/>
              </w:rPr>
            </w:pPr>
          </w:p>
        </w:tc>
        <w:tc>
          <w:tcPr>
            <w:tcW w:w="0" w:type="auto"/>
            <w:gridSpan w:val="3"/>
            <w:shd w:val="clear" w:color="auto" w:fill="auto"/>
            <w:vAlign w:val="bottom"/>
          </w:tcPr>
          <w:p w14:paraId="5F2CB362" w14:textId="77777777" w:rsidR="00E836FB" w:rsidRDefault="00E836FB">
            <w:pPr>
              <w:rPr>
                <w:rFonts w:ascii="宋体"/>
                <w:vanish/>
              </w:rPr>
            </w:pPr>
          </w:p>
        </w:tc>
        <w:tc>
          <w:tcPr>
            <w:tcW w:w="0" w:type="auto"/>
            <w:gridSpan w:val="3"/>
            <w:shd w:val="clear" w:color="auto" w:fill="auto"/>
            <w:vAlign w:val="bottom"/>
          </w:tcPr>
          <w:p w14:paraId="5F2CB363" w14:textId="77777777" w:rsidR="00E836FB" w:rsidRDefault="00E836FB">
            <w:pPr>
              <w:rPr>
                <w:rFonts w:ascii="宋体"/>
                <w:vanish/>
              </w:rPr>
            </w:pPr>
          </w:p>
        </w:tc>
        <w:tc>
          <w:tcPr>
            <w:tcW w:w="0" w:type="auto"/>
            <w:gridSpan w:val="3"/>
            <w:shd w:val="clear" w:color="auto" w:fill="auto"/>
            <w:vAlign w:val="bottom"/>
          </w:tcPr>
          <w:p w14:paraId="5F2CB364" w14:textId="77777777" w:rsidR="00E836FB" w:rsidRDefault="00E836FB">
            <w:pPr>
              <w:rPr>
                <w:rFonts w:ascii="宋体"/>
                <w:vanish/>
              </w:rPr>
            </w:pPr>
          </w:p>
        </w:tc>
        <w:tc>
          <w:tcPr>
            <w:tcW w:w="0" w:type="auto"/>
            <w:gridSpan w:val="3"/>
            <w:shd w:val="clear" w:color="auto" w:fill="auto"/>
            <w:vAlign w:val="bottom"/>
          </w:tcPr>
          <w:p w14:paraId="5F2CB365" w14:textId="77777777" w:rsidR="00E836FB" w:rsidRDefault="00E836FB">
            <w:pPr>
              <w:rPr>
                <w:rFonts w:ascii="宋体"/>
                <w:vanish/>
              </w:rPr>
            </w:pPr>
          </w:p>
        </w:tc>
        <w:tc>
          <w:tcPr>
            <w:tcW w:w="0" w:type="auto"/>
            <w:gridSpan w:val="3"/>
            <w:shd w:val="clear" w:color="auto" w:fill="auto"/>
            <w:vAlign w:val="bottom"/>
          </w:tcPr>
          <w:p w14:paraId="5F2CB366" w14:textId="77777777" w:rsidR="00E836FB" w:rsidRDefault="00E836FB">
            <w:pPr>
              <w:rPr>
                <w:rFonts w:ascii="宋体"/>
                <w:vanish/>
              </w:rPr>
            </w:pPr>
          </w:p>
        </w:tc>
        <w:tc>
          <w:tcPr>
            <w:tcW w:w="0" w:type="auto"/>
            <w:gridSpan w:val="3"/>
            <w:shd w:val="clear" w:color="auto" w:fill="auto"/>
            <w:vAlign w:val="bottom"/>
          </w:tcPr>
          <w:p w14:paraId="5F2CB367" w14:textId="77777777" w:rsidR="00E836FB" w:rsidRDefault="00E836FB">
            <w:pPr>
              <w:rPr>
                <w:rFonts w:ascii="宋体"/>
                <w:vanish/>
              </w:rPr>
            </w:pPr>
          </w:p>
        </w:tc>
        <w:tc>
          <w:tcPr>
            <w:tcW w:w="0" w:type="auto"/>
            <w:gridSpan w:val="3"/>
            <w:shd w:val="clear" w:color="auto" w:fill="auto"/>
            <w:vAlign w:val="bottom"/>
          </w:tcPr>
          <w:p w14:paraId="5F2CB368" w14:textId="77777777" w:rsidR="00E836FB" w:rsidRDefault="00E836FB">
            <w:pPr>
              <w:rPr>
                <w:rFonts w:ascii="宋体"/>
                <w:vanish/>
              </w:rPr>
            </w:pPr>
          </w:p>
        </w:tc>
        <w:tc>
          <w:tcPr>
            <w:tcW w:w="0" w:type="auto"/>
            <w:gridSpan w:val="3"/>
            <w:shd w:val="clear" w:color="auto" w:fill="auto"/>
            <w:vAlign w:val="bottom"/>
          </w:tcPr>
          <w:p w14:paraId="5F2CB369" w14:textId="77777777" w:rsidR="00E836FB" w:rsidRDefault="00E836FB">
            <w:pPr>
              <w:rPr>
                <w:rFonts w:ascii="宋体"/>
                <w:vanish/>
              </w:rPr>
            </w:pPr>
          </w:p>
        </w:tc>
        <w:tc>
          <w:tcPr>
            <w:tcW w:w="0" w:type="auto"/>
            <w:gridSpan w:val="3"/>
            <w:shd w:val="clear" w:color="auto" w:fill="auto"/>
            <w:vAlign w:val="bottom"/>
          </w:tcPr>
          <w:p w14:paraId="5F2CB36A" w14:textId="77777777" w:rsidR="00E836FB" w:rsidRDefault="00E836FB">
            <w:pPr>
              <w:rPr>
                <w:rFonts w:ascii="宋体"/>
                <w:vanish/>
              </w:rPr>
            </w:pPr>
          </w:p>
        </w:tc>
        <w:tc>
          <w:tcPr>
            <w:tcW w:w="0" w:type="auto"/>
            <w:gridSpan w:val="3"/>
            <w:shd w:val="clear" w:color="auto" w:fill="auto"/>
            <w:vAlign w:val="bottom"/>
          </w:tcPr>
          <w:p w14:paraId="5F2CB36B" w14:textId="77777777" w:rsidR="00E836FB" w:rsidRDefault="00E836FB">
            <w:pPr>
              <w:rPr>
                <w:rFonts w:ascii="宋体"/>
                <w:vanish/>
              </w:rPr>
            </w:pPr>
          </w:p>
        </w:tc>
        <w:tc>
          <w:tcPr>
            <w:tcW w:w="0" w:type="auto"/>
            <w:gridSpan w:val="3"/>
            <w:shd w:val="clear" w:color="auto" w:fill="auto"/>
            <w:vAlign w:val="bottom"/>
          </w:tcPr>
          <w:p w14:paraId="5F2CB36C" w14:textId="77777777" w:rsidR="00E836FB" w:rsidRDefault="00E836FB">
            <w:pPr>
              <w:rPr>
                <w:rFonts w:ascii="宋体"/>
                <w:vanish/>
              </w:rPr>
            </w:pPr>
          </w:p>
        </w:tc>
        <w:tc>
          <w:tcPr>
            <w:tcW w:w="0" w:type="auto"/>
            <w:shd w:val="clear" w:color="auto" w:fill="auto"/>
            <w:vAlign w:val="bottom"/>
          </w:tcPr>
          <w:p w14:paraId="5F2CB36D" w14:textId="77777777" w:rsidR="00E836FB" w:rsidRDefault="00E836FB">
            <w:pPr>
              <w:rPr>
                <w:rFonts w:ascii="宋体"/>
              </w:rPr>
            </w:pPr>
          </w:p>
        </w:tc>
        <w:tc>
          <w:tcPr>
            <w:tcW w:w="0" w:type="auto"/>
            <w:shd w:val="clear" w:color="auto" w:fill="auto"/>
            <w:vAlign w:val="bottom"/>
          </w:tcPr>
          <w:p w14:paraId="5F2CB36E" w14:textId="77777777" w:rsidR="00E836FB" w:rsidRDefault="00E836FB">
            <w:pPr>
              <w:rPr>
                <w:rFonts w:ascii="宋体"/>
              </w:rPr>
            </w:pPr>
          </w:p>
        </w:tc>
        <w:tc>
          <w:tcPr>
            <w:tcW w:w="0" w:type="auto"/>
            <w:shd w:val="clear" w:color="auto" w:fill="auto"/>
            <w:vAlign w:val="bottom"/>
          </w:tcPr>
          <w:p w14:paraId="5F2CB36F" w14:textId="77777777" w:rsidR="00E836FB" w:rsidRDefault="00E836FB">
            <w:pPr>
              <w:rPr>
                <w:rFonts w:ascii="宋体"/>
              </w:rPr>
            </w:pPr>
          </w:p>
        </w:tc>
        <w:tc>
          <w:tcPr>
            <w:tcW w:w="0" w:type="auto"/>
            <w:shd w:val="clear" w:color="auto" w:fill="auto"/>
            <w:vAlign w:val="bottom"/>
          </w:tcPr>
          <w:p w14:paraId="5F2CB370" w14:textId="77777777" w:rsidR="00E836FB" w:rsidRDefault="00E836FB">
            <w:pPr>
              <w:rPr>
                <w:rFonts w:ascii="宋体"/>
              </w:rPr>
            </w:pPr>
          </w:p>
        </w:tc>
        <w:tc>
          <w:tcPr>
            <w:tcW w:w="0" w:type="auto"/>
            <w:shd w:val="clear" w:color="auto" w:fill="auto"/>
            <w:vAlign w:val="bottom"/>
          </w:tcPr>
          <w:p w14:paraId="5F2CB371" w14:textId="77777777" w:rsidR="00E836FB" w:rsidRDefault="00E836FB">
            <w:pPr>
              <w:rPr>
                <w:rFonts w:ascii="宋体"/>
              </w:rPr>
            </w:pPr>
          </w:p>
        </w:tc>
        <w:tc>
          <w:tcPr>
            <w:tcW w:w="0" w:type="auto"/>
            <w:shd w:val="clear" w:color="auto" w:fill="auto"/>
            <w:vAlign w:val="bottom"/>
          </w:tcPr>
          <w:p w14:paraId="5F2CB372" w14:textId="77777777" w:rsidR="00E836FB" w:rsidRDefault="00E836FB">
            <w:pPr>
              <w:rPr>
                <w:rFonts w:ascii="宋体"/>
              </w:rPr>
            </w:pPr>
          </w:p>
        </w:tc>
        <w:tc>
          <w:tcPr>
            <w:tcW w:w="0" w:type="auto"/>
            <w:shd w:val="clear" w:color="auto" w:fill="auto"/>
            <w:vAlign w:val="bottom"/>
          </w:tcPr>
          <w:p w14:paraId="5F2CB373" w14:textId="77777777" w:rsidR="00E836FB" w:rsidRDefault="00E836FB">
            <w:pPr>
              <w:rPr>
                <w:rFonts w:ascii="宋体"/>
              </w:rPr>
            </w:pPr>
          </w:p>
        </w:tc>
        <w:tc>
          <w:tcPr>
            <w:tcW w:w="0" w:type="auto"/>
            <w:shd w:val="clear" w:color="auto" w:fill="auto"/>
            <w:vAlign w:val="bottom"/>
          </w:tcPr>
          <w:p w14:paraId="5F2CB374" w14:textId="77777777" w:rsidR="00E836FB" w:rsidRDefault="00E836FB">
            <w:pPr>
              <w:rPr>
                <w:rFonts w:ascii="宋体"/>
              </w:rPr>
            </w:pPr>
          </w:p>
        </w:tc>
        <w:tc>
          <w:tcPr>
            <w:tcW w:w="0" w:type="auto"/>
            <w:shd w:val="clear" w:color="auto" w:fill="auto"/>
            <w:vAlign w:val="bottom"/>
          </w:tcPr>
          <w:p w14:paraId="5F2CB375" w14:textId="77777777" w:rsidR="00E836FB" w:rsidRDefault="00E836FB">
            <w:pPr>
              <w:rPr>
                <w:rFonts w:ascii="宋体"/>
              </w:rPr>
            </w:pPr>
          </w:p>
        </w:tc>
        <w:tc>
          <w:tcPr>
            <w:tcW w:w="0" w:type="auto"/>
            <w:shd w:val="clear" w:color="auto" w:fill="auto"/>
            <w:vAlign w:val="bottom"/>
          </w:tcPr>
          <w:p w14:paraId="5F2CB376" w14:textId="77777777" w:rsidR="00E836FB" w:rsidRDefault="00E836FB">
            <w:pPr>
              <w:rPr>
                <w:rFonts w:ascii="宋体"/>
              </w:rPr>
            </w:pPr>
          </w:p>
        </w:tc>
        <w:tc>
          <w:tcPr>
            <w:tcW w:w="0" w:type="auto"/>
            <w:shd w:val="clear" w:color="auto" w:fill="auto"/>
            <w:vAlign w:val="bottom"/>
          </w:tcPr>
          <w:p w14:paraId="5F2CB377" w14:textId="77777777" w:rsidR="00E836FB" w:rsidRDefault="00E836FB">
            <w:pPr>
              <w:rPr>
                <w:rFonts w:ascii="宋体"/>
              </w:rPr>
            </w:pPr>
          </w:p>
        </w:tc>
        <w:tc>
          <w:tcPr>
            <w:tcW w:w="0" w:type="auto"/>
            <w:shd w:val="clear" w:color="auto" w:fill="auto"/>
            <w:vAlign w:val="bottom"/>
          </w:tcPr>
          <w:p w14:paraId="5F2CB378" w14:textId="77777777" w:rsidR="00E836FB" w:rsidRDefault="00E836FB">
            <w:pPr>
              <w:rPr>
                <w:rFonts w:ascii="宋体"/>
              </w:rPr>
            </w:pPr>
          </w:p>
        </w:tc>
        <w:tc>
          <w:tcPr>
            <w:tcW w:w="0" w:type="auto"/>
            <w:shd w:val="clear" w:color="auto" w:fill="auto"/>
            <w:vAlign w:val="bottom"/>
          </w:tcPr>
          <w:p w14:paraId="5F2CB379" w14:textId="77777777" w:rsidR="00E836FB" w:rsidRDefault="00E836FB">
            <w:pPr>
              <w:rPr>
                <w:rFonts w:ascii="宋体"/>
              </w:rPr>
            </w:pPr>
          </w:p>
        </w:tc>
        <w:tc>
          <w:tcPr>
            <w:tcW w:w="0" w:type="auto"/>
            <w:shd w:val="clear" w:color="auto" w:fill="auto"/>
            <w:vAlign w:val="bottom"/>
          </w:tcPr>
          <w:p w14:paraId="5F2CB37A" w14:textId="77777777" w:rsidR="00E836FB" w:rsidRDefault="00E836FB">
            <w:pPr>
              <w:rPr>
                <w:rFonts w:ascii="宋体"/>
              </w:rPr>
            </w:pPr>
          </w:p>
        </w:tc>
        <w:tc>
          <w:tcPr>
            <w:tcW w:w="0" w:type="auto"/>
            <w:shd w:val="clear" w:color="auto" w:fill="auto"/>
            <w:vAlign w:val="bottom"/>
          </w:tcPr>
          <w:p w14:paraId="5F2CB37B" w14:textId="77777777" w:rsidR="00E836FB" w:rsidRDefault="00E836FB">
            <w:pPr>
              <w:rPr>
                <w:rFonts w:ascii="宋体"/>
              </w:rPr>
            </w:pPr>
          </w:p>
        </w:tc>
        <w:tc>
          <w:tcPr>
            <w:tcW w:w="0" w:type="auto"/>
            <w:shd w:val="clear" w:color="auto" w:fill="auto"/>
            <w:vAlign w:val="bottom"/>
          </w:tcPr>
          <w:p w14:paraId="5F2CB37C" w14:textId="77777777" w:rsidR="00E836FB" w:rsidRDefault="00E836FB">
            <w:pPr>
              <w:rPr>
                <w:rFonts w:ascii="宋体"/>
              </w:rPr>
            </w:pPr>
          </w:p>
        </w:tc>
        <w:tc>
          <w:tcPr>
            <w:tcW w:w="0" w:type="auto"/>
            <w:shd w:val="clear" w:color="auto" w:fill="auto"/>
            <w:vAlign w:val="bottom"/>
          </w:tcPr>
          <w:p w14:paraId="5F2CB37D" w14:textId="77777777" w:rsidR="00E836FB" w:rsidRDefault="00E836FB">
            <w:pPr>
              <w:rPr>
                <w:rFonts w:ascii="宋体"/>
              </w:rPr>
            </w:pPr>
          </w:p>
        </w:tc>
        <w:tc>
          <w:tcPr>
            <w:tcW w:w="0" w:type="auto"/>
            <w:shd w:val="clear" w:color="auto" w:fill="auto"/>
            <w:vAlign w:val="bottom"/>
          </w:tcPr>
          <w:p w14:paraId="5F2CB37E" w14:textId="77777777" w:rsidR="00E836FB" w:rsidRDefault="00E836FB">
            <w:pPr>
              <w:rPr>
                <w:rFonts w:ascii="宋体"/>
              </w:rPr>
            </w:pPr>
          </w:p>
        </w:tc>
        <w:tc>
          <w:tcPr>
            <w:tcW w:w="0" w:type="auto"/>
            <w:shd w:val="clear" w:color="auto" w:fill="auto"/>
            <w:vAlign w:val="bottom"/>
          </w:tcPr>
          <w:p w14:paraId="5F2CB37F" w14:textId="77777777" w:rsidR="00E836FB" w:rsidRDefault="00E836FB">
            <w:pPr>
              <w:rPr>
                <w:rFonts w:ascii="宋体"/>
              </w:rPr>
            </w:pPr>
          </w:p>
        </w:tc>
        <w:tc>
          <w:tcPr>
            <w:tcW w:w="0" w:type="auto"/>
            <w:shd w:val="clear" w:color="auto" w:fill="auto"/>
            <w:vAlign w:val="bottom"/>
          </w:tcPr>
          <w:p w14:paraId="5F2CB380" w14:textId="77777777" w:rsidR="00E836FB" w:rsidRDefault="00E836FB">
            <w:pPr>
              <w:rPr>
                <w:rFonts w:ascii="宋体"/>
              </w:rPr>
            </w:pPr>
          </w:p>
        </w:tc>
        <w:tc>
          <w:tcPr>
            <w:tcW w:w="0" w:type="auto"/>
            <w:shd w:val="clear" w:color="auto" w:fill="auto"/>
            <w:vAlign w:val="bottom"/>
          </w:tcPr>
          <w:p w14:paraId="5F2CB381" w14:textId="77777777" w:rsidR="00E836FB" w:rsidRDefault="00E836FB">
            <w:pPr>
              <w:rPr>
                <w:rFonts w:ascii="宋体"/>
              </w:rPr>
            </w:pPr>
          </w:p>
        </w:tc>
        <w:tc>
          <w:tcPr>
            <w:tcW w:w="0" w:type="auto"/>
            <w:shd w:val="clear" w:color="auto" w:fill="auto"/>
            <w:vAlign w:val="bottom"/>
          </w:tcPr>
          <w:p w14:paraId="5F2CB382" w14:textId="77777777" w:rsidR="00E836FB" w:rsidRDefault="00E836FB">
            <w:pPr>
              <w:rPr>
                <w:rFonts w:ascii="宋体"/>
              </w:rPr>
            </w:pPr>
          </w:p>
        </w:tc>
        <w:tc>
          <w:tcPr>
            <w:tcW w:w="0" w:type="auto"/>
            <w:shd w:val="clear" w:color="auto" w:fill="auto"/>
            <w:vAlign w:val="bottom"/>
          </w:tcPr>
          <w:p w14:paraId="5F2CB383" w14:textId="77777777" w:rsidR="00E836FB" w:rsidRDefault="00E836FB">
            <w:pPr>
              <w:rPr>
                <w:rFonts w:ascii="宋体"/>
              </w:rPr>
            </w:pPr>
          </w:p>
        </w:tc>
        <w:tc>
          <w:tcPr>
            <w:tcW w:w="0" w:type="auto"/>
            <w:shd w:val="clear" w:color="auto" w:fill="auto"/>
            <w:vAlign w:val="bottom"/>
          </w:tcPr>
          <w:p w14:paraId="5F2CB384" w14:textId="77777777" w:rsidR="00E836FB" w:rsidRDefault="00E836FB">
            <w:pPr>
              <w:rPr>
                <w:rFonts w:ascii="宋体"/>
              </w:rPr>
            </w:pPr>
          </w:p>
        </w:tc>
        <w:tc>
          <w:tcPr>
            <w:tcW w:w="0" w:type="auto"/>
            <w:shd w:val="clear" w:color="auto" w:fill="auto"/>
            <w:vAlign w:val="bottom"/>
          </w:tcPr>
          <w:p w14:paraId="5F2CB385" w14:textId="77777777" w:rsidR="00E836FB" w:rsidRDefault="00E836FB">
            <w:pPr>
              <w:rPr>
                <w:rFonts w:ascii="宋体"/>
              </w:rPr>
            </w:pPr>
          </w:p>
        </w:tc>
        <w:tc>
          <w:tcPr>
            <w:tcW w:w="0" w:type="auto"/>
            <w:shd w:val="clear" w:color="auto" w:fill="auto"/>
            <w:vAlign w:val="bottom"/>
          </w:tcPr>
          <w:p w14:paraId="5F2CB386" w14:textId="77777777" w:rsidR="00E836FB" w:rsidRDefault="00E836FB">
            <w:pPr>
              <w:rPr>
                <w:rFonts w:ascii="宋体"/>
              </w:rPr>
            </w:pPr>
          </w:p>
        </w:tc>
        <w:tc>
          <w:tcPr>
            <w:tcW w:w="0" w:type="auto"/>
            <w:shd w:val="clear" w:color="auto" w:fill="auto"/>
            <w:vAlign w:val="bottom"/>
          </w:tcPr>
          <w:p w14:paraId="5F2CB387" w14:textId="77777777" w:rsidR="00E836FB" w:rsidRDefault="00E836FB">
            <w:pPr>
              <w:rPr>
                <w:rFonts w:ascii="宋体"/>
              </w:rPr>
            </w:pPr>
          </w:p>
        </w:tc>
      </w:tr>
      <w:tr w:rsidR="00E836FB" w14:paraId="5F2CB39F" w14:textId="77777777">
        <w:trPr>
          <w:hidden/>
        </w:trPr>
        <w:tc>
          <w:tcPr>
            <w:tcW w:w="0" w:type="auto"/>
            <w:gridSpan w:val="3"/>
            <w:shd w:val="clear" w:color="auto" w:fill="auto"/>
            <w:vAlign w:val="bottom"/>
          </w:tcPr>
          <w:p w14:paraId="5F2CB389" w14:textId="77777777" w:rsidR="00E836FB" w:rsidRDefault="00E836FB">
            <w:pPr>
              <w:rPr>
                <w:rFonts w:ascii="宋体"/>
                <w:vanish/>
              </w:rPr>
            </w:pPr>
          </w:p>
        </w:tc>
        <w:tc>
          <w:tcPr>
            <w:tcW w:w="0" w:type="auto"/>
            <w:gridSpan w:val="3"/>
            <w:shd w:val="clear" w:color="auto" w:fill="auto"/>
            <w:vAlign w:val="bottom"/>
          </w:tcPr>
          <w:p w14:paraId="5F2CB38A" w14:textId="77777777" w:rsidR="00E836FB" w:rsidRDefault="00E836FB">
            <w:pPr>
              <w:rPr>
                <w:rFonts w:ascii="宋体"/>
                <w:vanish/>
              </w:rPr>
            </w:pPr>
          </w:p>
        </w:tc>
        <w:tc>
          <w:tcPr>
            <w:tcW w:w="0" w:type="auto"/>
            <w:gridSpan w:val="3"/>
            <w:shd w:val="clear" w:color="auto" w:fill="auto"/>
            <w:vAlign w:val="bottom"/>
          </w:tcPr>
          <w:p w14:paraId="5F2CB38B" w14:textId="77777777" w:rsidR="00E836FB" w:rsidRDefault="00E836FB">
            <w:pPr>
              <w:rPr>
                <w:rFonts w:ascii="宋体"/>
                <w:vanish/>
              </w:rPr>
            </w:pPr>
          </w:p>
        </w:tc>
        <w:tc>
          <w:tcPr>
            <w:tcW w:w="0" w:type="auto"/>
            <w:gridSpan w:val="3"/>
            <w:shd w:val="clear" w:color="auto" w:fill="auto"/>
            <w:vAlign w:val="bottom"/>
          </w:tcPr>
          <w:p w14:paraId="5F2CB38C" w14:textId="77777777" w:rsidR="00E836FB" w:rsidRDefault="00E836FB">
            <w:pPr>
              <w:rPr>
                <w:rFonts w:ascii="宋体"/>
                <w:vanish/>
              </w:rPr>
            </w:pPr>
          </w:p>
        </w:tc>
        <w:tc>
          <w:tcPr>
            <w:tcW w:w="0" w:type="auto"/>
            <w:gridSpan w:val="3"/>
            <w:shd w:val="clear" w:color="auto" w:fill="auto"/>
            <w:vAlign w:val="bottom"/>
          </w:tcPr>
          <w:p w14:paraId="5F2CB38D" w14:textId="77777777" w:rsidR="00E836FB" w:rsidRDefault="00E836FB">
            <w:pPr>
              <w:rPr>
                <w:rFonts w:ascii="宋体"/>
                <w:vanish/>
              </w:rPr>
            </w:pPr>
          </w:p>
        </w:tc>
        <w:tc>
          <w:tcPr>
            <w:tcW w:w="0" w:type="auto"/>
            <w:gridSpan w:val="3"/>
            <w:shd w:val="clear" w:color="auto" w:fill="auto"/>
            <w:vAlign w:val="bottom"/>
          </w:tcPr>
          <w:p w14:paraId="5F2CB38E" w14:textId="77777777" w:rsidR="00E836FB" w:rsidRDefault="00E836FB">
            <w:pPr>
              <w:rPr>
                <w:rFonts w:ascii="宋体"/>
                <w:vanish/>
              </w:rPr>
            </w:pPr>
          </w:p>
        </w:tc>
        <w:tc>
          <w:tcPr>
            <w:tcW w:w="0" w:type="auto"/>
            <w:gridSpan w:val="3"/>
            <w:shd w:val="clear" w:color="auto" w:fill="auto"/>
            <w:vAlign w:val="bottom"/>
          </w:tcPr>
          <w:p w14:paraId="5F2CB38F" w14:textId="77777777" w:rsidR="00E836FB" w:rsidRDefault="00E836FB">
            <w:pPr>
              <w:rPr>
                <w:rFonts w:ascii="宋体"/>
                <w:vanish/>
              </w:rPr>
            </w:pPr>
          </w:p>
        </w:tc>
        <w:tc>
          <w:tcPr>
            <w:tcW w:w="0" w:type="auto"/>
            <w:gridSpan w:val="3"/>
            <w:shd w:val="clear" w:color="auto" w:fill="auto"/>
            <w:vAlign w:val="bottom"/>
          </w:tcPr>
          <w:p w14:paraId="5F2CB390" w14:textId="77777777" w:rsidR="00E836FB" w:rsidRDefault="00E836FB">
            <w:pPr>
              <w:rPr>
                <w:rFonts w:ascii="宋体"/>
                <w:vanish/>
              </w:rPr>
            </w:pPr>
          </w:p>
        </w:tc>
        <w:tc>
          <w:tcPr>
            <w:tcW w:w="0" w:type="auto"/>
            <w:gridSpan w:val="3"/>
            <w:shd w:val="clear" w:color="auto" w:fill="auto"/>
            <w:vAlign w:val="bottom"/>
          </w:tcPr>
          <w:p w14:paraId="5F2CB391" w14:textId="77777777" w:rsidR="00E836FB" w:rsidRDefault="00E836FB">
            <w:pPr>
              <w:rPr>
                <w:rFonts w:ascii="宋体"/>
                <w:vanish/>
              </w:rPr>
            </w:pPr>
          </w:p>
        </w:tc>
        <w:tc>
          <w:tcPr>
            <w:tcW w:w="0" w:type="auto"/>
            <w:gridSpan w:val="3"/>
            <w:shd w:val="clear" w:color="auto" w:fill="auto"/>
            <w:vAlign w:val="bottom"/>
          </w:tcPr>
          <w:p w14:paraId="5F2CB392" w14:textId="77777777" w:rsidR="00E836FB" w:rsidRDefault="00E836FB">
            <w:pPr>
              <w:rPr>
                <w:rFonts w:ascii="宋体"/>
                <w:vanish/>
              </w:rPr>
            </w:pPr>
          </w:p>
        </w:tc>
        <w:tc>
          <w:tcPr>
            <w:tcW w:w="0" w:type="auto"/>
            <w:gridSpan w:val="3"/>
            <w:shd w:val="clear" w:color="auto" w:fill="auto"/>
            <w:vAlign w:val="bottom"/>
          </w:tcPr>
          <w:p w14:paraId="5F2CB393" w14:textId="77777777" w:rsidR="00E836FB" w:rsidRDefault="00E836FB">
            <w:pPr>
              <w:rPr>
                <w:rFonts w:ascii="宋体"/>
                <w:vanish/>
              </w:rPr>
            </w:pPr>
          </w:p>
        </w:tc>
        <w:tc>
          <w:tcPr>
            <w:tcW w:w="0" w:type="auto"/>
            <w:gridSpan w:val="3"/>
            <w:shd w:val="clear" w:color="auto" w:fill="auto"/>
            <w:vAlign w:val="bottom"/>
          </w:tcPr>
          <w:p w14:paraId="5F2CB394" w14:textId="77777777" w:rsidR="00E836FB" w:rsidRDefault="00E836FB">
            <w:pPr>
              <w:rPr>
                <w:rFonts w:ascii="宋体"/>
                <w:vanish/>
              </w:rPr>
            </w:pPr>
          </w:p>
        </w:tc>
        <w:tc>
          <w:tcPr>
            <w:tcW w:w="0" w:type="auto"/>
            <w:gridSpan w:val="3"/>
            <w:shd w:val="clear" w:color="auto" w:fill="auto"/>
            <w:vAlign w:val="bottom"/>
          </w:tcPr>
          <w:p w14:paraId="5F2CB395" w14:textId="77777777" w:rsidR="00E836FB" w:rsidRDefault="00E836FB">
            <w:pPr>
              <w:rPr>
                <w:rFonts w:ascii="宋体"/>
                <w:vanish/>
              </w:rPr>
            </w:pPr>
          </w:p>
        </w:tc>
        <w:tc>
          <w:tcPr>
            <w:tcW w:w="0" w:type="auto"/>
            <w:gridSpan w:val="3"/>
            <w:shd w:val="clear" w:color="auto" w:fill="auto"/>
            <w:vAlign w:val="bottom"/>
          </w:tcPr>
          <w:p w14:paraId="5F2CB396" w14:textId="77777777" w:rsidR="00E836FB" w:rsidRDefault="00E836FB">
            <w:pPr>
              <w:rPr>
                <w:rFonts w:ascii="宋体"/>
                <w:vanish/>
              </w:rPr>
            </w:pPr>
          </w:p>
        </w:tc>
        <w:tc>
          <w:tcPr>
            <w:tcW w:w="0" w:type="auto"/>
            <w:gridSpan w:val="3"/>
            <w:shd w:val="clear" w:color="auto" w:fill="auto"/>
            <w:vAlign w:val="bottom"/>
          </w:tcPr>
          <w:p w14:paraId="5F2CB397" w14:textId="77777777" w:rsidR="00E836FB" w:rsidRDefault="00E836FB">
            <w:pPr>
              <w:rPr>
                <w:rFonts w:ascii="宋体"/>
                <w:vanish/>
              </w:rPr>
            </w:pPr>
          </w:p>
        </w:tc>
        <w:tc>
          <w:tcPr>
            <w:tcW w:w="0" w:type="auto"/>
            <w:gridSpan w:val="3"/>
            <w:shd w:val="clear" w:color="auto" w:fill="auto"/>
            <w:vAlign w:val="bottom"/>
          </w:tcPr>
          <w:p w14:paraId="5F2CB398" w14:textId="77777777" w:rsidR="00E836FB" w:rsidRDefault="00E836FB">
            <w:pPr>
              <w:rPr>
                <w:rFonts w:ascii="宋体"/>
                <w:vanish/>
              </w:rPr>
            </w:pPr>
          </w:p>
        </w:tc>
        <w:tc>
          <w:tcPr>
            <w:tcW w:w="0" w:type="auto"/>
            <w:gridSpan w:val="3"/>
            <w:shd w:val="clear" w:color="auto" w:fill="auto"/>
            <w:vAlign w:val="bottom"/>
          </w:tcPr>
          <w:p w14:paraId="5F2CB399" w14:textId="77777777" w:rsidR="00E836FB" w:rsidRDefault="00E836FB">
            <w:pPr>
              <w:rPr>
                <w:rFonts w:ascii="宋体"/>
                <w:vanish/>
              </w:rPr>
            </w:pPr>
          </w:p>
        </w:tc>
        <w:tc>
          <w:tcPr>
            <w:tcW w:w="0" w:type="auto"/>
            <w:gridSpan w:val="3"/>
            <w:shd w:val="clear" w:color="auto" w:fill="auto"/>
            <w:vAlign w:val="bottom"/>
          </w:tcPr>
          <w:p w14:paraId="5F2CB39A" w14:textId="77777777" w:rsidR="00E836FB" w:rsidRDefault="00E836FB">
            <w:pPr>
              <w:rPr>
                <w:rFonts w:ascii="宋体"/>
                <w:vanish/>
              </w:rPr>
            </w:pPr>
          </w:p>
        </w:tc>
        <w:tc>
          <w:tcPr>
            <w:tcW w:w="0" w:type="auto"/>
            <w:gridSpan w:val="3"/>
            <w:shd w:val="clear" w:color="auto" w:fill="auto"/>
            <w:vAlign w:val="bottom"/>
          </w:tcPr>
          <w:p w14:paraId="5F2CB39B" w14:textId="77777777" w:rsidR="00E836FB" w:rsidRDefault="00E836FB">
            <w:pPr>
              <w:rPr>
                <w:rFonts w:ascii="宋体"/>
                <w:vanish/>
              </w:rPr>
            </w:pPr>
          </w:p>
        </w:tc>
        <w:tc>
          <w:tcPr>
            <w:tcW w:w="0" w:type="auto"/>
            <w:gridSpan w:val="3"/>
            <w:shd w:val="clear" w:color="auto" w:fill="auto"/>
            <w:vAlign w:val="bottom"/>
          </w:tcPr>
          <w:p w14:paraId="5F2CB39C" w14:textId="77777777" w:rsidR="00E836FB" w:rsidRDefault="00E836FB">
            <w:pPr>
              <w:rPr>
                <w:rFonts w:ascii="宋体"/>
                <w:vanish/>
              </w:rPr>
            </w:pPr>
          </w:p>
        </w:tc>
        <w:tc>
          <w:tcPr>
            <w:tcW w:w="0" w:type="auto"/>
            <w:gridSpan w:val="2"/>
            <w:shd w:val="clear" w:color="auto" w:fill="auto"/>
            <w:vAlign w:val="bottom"/>
          </w:tcPr>
          <w:p w14:paraId="5F2CB39D" w14:textId="77777777" w:rsidR="00E836FB" w:rsidRDefault="00E836FB">
            <w:pPr>
              <w:rPr>
                <w:rFonts w:ascii="宋体"/>
                <w:vanish/>
              </w:rPr>
            </w:pPr>
          </w:p>
        </w:tc>
        <w:tc>
          <w:tcPr>
            <w:tcW w:w="0" w:type="auto"/>
            <w:shd w:val="clear" w:color="auto" w:fill="auto"/>
            <w:vAlign w:val="bottom"/>
          </w:tcPr>
          <w:p w14:paraId="5F2CB39E" w14:textId="77777777" w:rsidR="00E836FB" w:rsidRDefault="00E836FB">
            <w:pPr>
              <w:rPr>
                <w:rFonts w:ascii="宋体"/>
                <w:vanish/>
              </w:rPr>
            </w:pPr>
          </w:p>
        </w:tc>
      </w:tr>
      <w:tr w:rsidR="00E836FB" w14:paraId="5F2CB3B6" w14:textId="77777777">
        <w:trPr>
          <w:hidden/>
        </w:trPr>
        <w:tc>
          <w:tcPr>
            <w:tcW w:w="0" w:type="auto"/>
            <w:gridSpan w:val="3"/>
            <w:shd w:val="clear" w:color="auto" w:fill="auto"/>
            <w:vAlign w:val="bottom"/>
          </w:tcPr>
          <w:p w14:paraId="5F2CB3A0" w14:textId="77777777" w:rsidR="00E836FB" w:rsidRDefault="00E836FB">
            <w:pPr>
              <w:rPr>
                <w:rFonts w:ascii="宋体"/>
                <w:vanish/>
              </w:rPr>
            </w:pPr>
          </w:p>
        </w:tc>
        <w:tc>
          <w:tcPr>
            <w:tcW w:w="0" w:type="auto"/>
            <w:gridSpan w:val="3"/>
            <w:shd w:val="clear" w:color="auto" w:fill="auto"/>
            <w:vAlign w:val="bottom"/>
          </w:tcPr>
          <w:p w14:paraId="5F2CB3A1" w14:textId="77777777" w:rsidR="00E836FB" w:rsidRDefault="00E836FB">
            <w:pPr>
              <w:rPr>
                <w:rFonts w:ascii="宋体"/>
                <w:vanish/>
              </w:rPr>
            </w:pPr>
          </w:p>
        </w:tc>
        <w:tc>
          <w:tcPr>
            <w:tcW w:w="0" w:type="auto"/>
            <w:gridSpan w:val="3"/>
            <w:shd w:val="clear" w:color="auto" w:fill="auto"/>
            <w:vAlign w:val="bottom"/>
          </w:tcPr>
          <w:p w14:paraId="5F2CB3A2" w14:textId="77777777" w:rsidR="00E836FB" w:rsidRDefault="00E836FB">
            <w:pPr>
              <w:rPr>
                <w:rFonts w:ascii="宋体"/>
                <w:vanish/>
              </w:rPr>
            </w:pPr>
          </w:p>
        </w:tc>
        <w:tc>
          <w:tcPr>
            <w:tcW w:w="0" w:type="auto"/>
            <w:gridSpan w:val="3"/>
            <w:shd w:val="clear" w:color="auto" w:fill="auto"/>
            <w:vAlign w:val="bottom"/>
          </w:tcPr>
          <w:p w14:paraId="5F2CB3A3" w14:textId="77777777" w:rsidR="00E836FB" w:rsidRDefault="00E836FB">
            <w:pPr>
              <w:rPr>
                <w:rFonts w:ascii="宋体"/>
                <w:vanish/>
              </w:rPr>
            </w:pPr>
          </w:p>
        </w:tc>
        <w:tc>
          <w:tcPr>
            <w:tcW w:w="0" w:type="auto"/>
            <w:gridSpan w:val="3"/>
            <w:shd w:val="clear" w:color="auto" w:fill="auto"/>
            <w:vAlign w:val="bottom"/>
          </w:tcPr>
          <w:p w14:paraId="5F2CB3A4" w14:textId="77777777" w:rsidR="00E836FB" w:rsidRDefault="00E836FB">
            <w:pPr>
              <w:rPr>
                <w:rFonts w:ascii="宋体"/>
                <w:vanish/>
              </w:rPr>
            </w:pPr>
          </w:p>
        </w:tc>
        <w:tc>
          <w:tcPr>
            <w:tcW w:w="0" w:type="auto"/>
            <w:gridSpan w:val="3"/>
            <w:shd w:val="clear" w:color="auto" w:fill="auto"/>
            <w:vAlign w:val="bottom"/>
          </w:tcPr>
          <w:p w14:paraId="5F2CB3A5" w14:textId="77777777" w:rsidR="00E836FB" w:rsidRDefault="00E836FB">
            <w:pPr>
              <w:rPr>
                <w:rFonts w:ascii="宋体"/>
                <w:vanish/>
              </w:rPr>
            </w:pPr>
          </w:p>
        </w:tc>
        <w:tc>
          <w:tcPr>
            <w:tcW w:w="0" w:type="auto"/>
            <w:gridSpan w:val="3"/>
            <w:shd w:val="clear" w:color="auto" w:fill="auto"/>
            <w:vAlign w:val="bottom"/>
          </w:tcPr>
          <w:p w14:paraId="5F2CB3A6" w14:textId="77777777" w:rsidR="00E836FB" w:rsidRDefault="00E836FB">
            <w:pPr>
              <w:rPr>
                <w:rFonts w:ascii="宋体"/>
                <w:vanish/>
              </w:rPr>
            </w:pPr>
          </w:p>
        </w:tc>
        <w:tc>
          <w:tcPr>
            <w:tcW w:w="0" w:type="auto"/>
            <w:gridSpan w:val="3"/>
            <w:shd w:val="clear" w:color="auto" w:fill="auto"/>
            <w:vAlign w:val="bottom"/>
          </w:tcPr>
          <w:p w14:paraId="5F2CB3A7" w14:textId="77777777" w:rsidR="00E836FB" w:rsidRDefault="00E836FB">
            <w:pPr>
              <w:rPr>
                <w:rFonts w:ascii="宋体"/>
                <w:vanish/>
              </w:rPr>
            </w:pPr>
          </w:p>
        </w:tc>
        <w:tc>
          <w:tcPr>
            <w:tcW w:w="0" w:type="auto"/>
            <w:gridSpan w:val="3"/>
            <w:shd w:val="clear" w:color="auto" w:fill="auto"/>
            <w:vAlign w:val="bottom"/>
          </w:tcPr>
          <w:p w14:paraId="5F2CB3A8" w14:textId="77777777" w:rsidR="00E836FB" w:rsidRDefault="00E836FB">
            <w:pPr>
              <w:rPr>
                <w:rFonts w:ascii="宋体"/>
                <w:vanish/>
              </w:rPr>
            </w:pPr>
          </w:p>
        </w:tc>
        <w:tc>
          <w:tcPr>
            <w:tcW w:w="0" w:type="auto"/>
            <w:gridSpan w:val="3"/>
            <w:shd w:val="clear" w:color="auto" w:fill="auto"/>
            <w:vAlign w:val="bottom"/>
          </w:tcPr>
          <w:p w14:paraId="5F2CB3A9" w14:textId="77777777" w:rsidR="00E836FB" w:rsidRDefault="00E836FB">
            <w:pPr>
              <w:rPr>
                <w:rFonts w:ascii="宋体"/>
                <w:vanish/>
              </w:rPr>
            </w:pPr>
          </w:p>
        </w:tc>
        <w:tc>
          <w:tcPr>
            <w:tcW w:w="0" w:type="auto"/>
            <w:gridSpan w:val="3"/>
            <w:shd w:val="clear" w:color="auto" w:fill="auto"/>
            <w:vAlign w:val="bottom"/>
          </w:tcPr>
          <w:p w14:paraId="5F2CB3AA" w14:textId="77777777" w:rsidR="00E836FB" w:rsidRDefault="00E836FB">
            <w:pPr>
              <w:rPr>
                <w:rFonts w:ascii="宋体"/>
                <w:vanish/>
              </w:rPr>
            </w:pPr>
          </w:p>
        </w:tc>
        <w:tc>
          <w:tcPr>
            <w:tcW w:w="0" w:type="auto"/>
            <w:gridSpan w:val="3"/>
            <w:shd w:val="clear" w:color="auto" w:fill="auto"/>
            <w:vAlign w:val="bottom"/>
          </w:tcPr>
          <w:p w14:paraId="5F2CB3AB" w14:textId="77777777" w:rsidR="00E836FB" w:rsidRDefault="00E836FB">
            <w:pPr>
              <w:rPr>
                <w:rFonts w:ascii="宋体"/>
                <w:vanish/>
              </w:rPr>
            </w:pPr>
          </w:p>
        </w:tc>
        <w:tc>
          <w:tcPr>
            <w:tcW w:w="0" w:type="auto"/>
            <w:gridSpan w:val="3"/>
            <w:shd w:val="clear" w:color="auto" w:fill="auto"/>
            <w:vAlign w:val="bottom"/>
          </w:tcPr>
          <w:p w14:paraId="5F2CB3AC" w14:textId="77777777" w:rsidR="00E836FB" w:rsidRDefault="00E836FB">
            <w:pPr>
              <w:rPr>
                <w:rFonts w:ascii="宋体"/>
                <w:vanish/>
              </w:rPr>
            </w:pPr>
          </w:p>
        </w:tc>
        <w:tc>
          <w:tcPr>
            <w:tcW w:w="0" w:type="auto"/>
            <w:gridSpan w:val="3"/>
            <w:shd w:val="clear" w:color="auto" w:fill="auto"/>
            <w:vAlign w:val="bottom"/>
          </w:tcPr>
          <w:p w14:paraId="5F2CB3AD" w14:textId="77777777" w:rsidR="00E836FB" w:rsidRDefault="00E836FB">
            <w:pPr>
              <w:rPr>
                <w:rFonts w:ascii="宋体"/>
                <w:vanish/>
              </w:rPr>
            </w:pPr>
          </w:p>
        </w:tc>
        <w:tc>
          <w:tcPr>
            <w:tcW w:w="0" w:type="auto"/>
            <w:gridSpan w:val="3"/>
            <w:shd w:val="clear" w:color="auto" w:fill="auto"/>
            <w:vAlign w:val="bottom"/>
          </w:tcPr>
          <w:p w14:paraId="5F2CB3AE" w14:textId="77777777" w:rsidR="00E836FB" w:rsidRDefault="00E836FB">
            <w:pPr>
              <w:rPr>
                <w:rFonts w:ascii="宋体"/>
                <w:vanish/>
              </w:rPr>
            </w:pPr>
          </w:p>
        </w:tc>
        <w:tc>
          <w:tcPr>
            <w:tcW w:w="0" w:type="auto"/>
            <w:gridSpan w:val="3"/>
            <w:shd w:val="clear" w:color="auto" w:fill="auto"/>
            <w:vAlign w:val="bottom"/>
          </w:tcPr>
          <w:p w14:paraId="5F2CB3AF" w14:textId="77777777" w:rsidR="00E836FB" w:rsidRDefault="00E836FB">
            <w:pPr>
              <w:rPr>
                <w:rFonts w:ascii="宋体"/>
                <w:vanish/>
              </w:rPr>
            </w:pPr>
          </w:p>
        </w:tc>
        <w:tc>
          <w:tcPr>
            <w:tcW w:w="0" w:type="auto"/>
            <w:gridSpan w:val="3"/>
            <w:shd w:val="clear" w:color="auto" w:fill="auto"/>
            <w:vAlign w:val="bottom"/>
          </w:tcPr>
          <w:p w14:paraId="5F2CB3B0" w14:textId="77777777" w:rsidR="00E836FB" w:rsidRDefault="00E836FB">
            <w:pPr>
              <w:rPr>
                <w:rFonts w:ascii="宋体"/>
                <w:vanish/>
              </w:rPr>
            </w:pPr>
          </w:p>
        </w:tc>
        <w:tc>
          <w:tcPr>
            <w:tcW w:w="0" w:type="auto"/>
            <w:gridSpan w:val="3"/>
            <w:shd w:val="clear" w:color="auto" w:fill="auto"/>
            <w:vAlign w:val="bottom"/>
          </w:tcPr>
          <w:p w14:paraId="5F2CB3B1" w14:textId="77777777" w:rsidR="00E836FB" w:rsidRDefault="00E836FB">
            <w:pPr>
              <w:rPr>
                <w:rFonts w:ascii="宋体"/>
                <w:vanish/>
              </w:rPr>
            </w:pPr>
          </w:p>
        </w:tc>
        <w:tc>
          <w:tcPr>
            <w:tcW w:w="0" w:type="auto"/>
            <w:gridSpan w:val="3"/>
            <w:shd w:val="clear" w:color="auto" w:fill="auto"/>
            <w:vAlign w:val="bottom"/>
          </w:tcPr>
          <w:p w14:paraId="5F2CB3B2" w14:textId="77777777" w:rsidR="00E836FB" w:rsidRDefault="00E836FB">
            <w:pPr>
              <w:rPr>
                <w:rFonts w:ascii="宋体"/>
                <w:vanish/>
              </w:rPr>
            </w:pPr>
          </w:p>
        </w:tc>
        <w:tc>
          <w:tcPr>
            <w:tcW w:w="0" w:type="auto"/>
            <w:gridSpan w:val="3"/>
            <w:shd w:val="clear" w:color="auto" w:fill="auto"/>
            <w:vAlign w:val="bottom"/>
          </w:tcPr>
          <w:p w14:paraId="5F2CB3B3" w14:textId="77777777" w:rsidR="00E836FB" w:rsidRDefault="00E836FB">
            <w:pPr>
              <w:rPr>
                <w:rFonts w:ascii="宋体"/>
                <w:vanish/>
              </w:rPr>
            </w:pPr>
          </w:p>
        </w:tc>
        <w:tc>
          <w:tcPr>
            <w:tcW w:w="0" w:type="auto"/>
            <w:gridSpan w:val="2"/>
            <w:shd w:val="clear" w:color="auto" w:fill="auto"/>
            <w:vAlign w:val="bottom"/>
          </w:tcPr>
          <w:p w14:paraId="5F2CB3B4" w14:textId="77777777" w:rsidR="00E836FB" w:rsidRDefault="00E836FB">
            <w:pPr>
              <w:rPr>
                <w:rFonts w:ascii="宋体"/>
                <w:vanish/>
              </w:rPr>
            </w:pPr>
          </w:p>
        </w:tc>
        <w:tc>
          <w:tcPr>
            <w:tcW w:w="0" w:type="auto"/>
            <w:shd w:val="clear" w:color="auto" w:fill="auto"/>
            <w:vAlign w:val="bottom"/>
          </w:tcPr>
          <w:p w14:paraId="5F2CB3B5" w14:textId="77777777" w:rsidR="00E836FB" w:rsidRDefault="00E836FB">
            <w:pPr>
              <w:rPr>
                <w:rFonts w:ascii="宋体"/>
                <w:vanish/>
              </w:rPr>
            </w:pPr>
          </w:p>
        </w:tc>
      </w:tr>
      <w:tr w:rsidR="00E836FB" w14:paraId="5F2CB3CD" w14:textId="77777777">
        <w:trPr>
          <w:hidden/>
        </w:trPr>
        <w:tc>
          <w:tcPr>
            <w:tcW w:w="0" w:type="auto"/>
            <w:gridSpan w:val="3"/>
            <w:shd w:val="clear" w:color="auto" w:fill="auto"/>
            <w:vAlign w:val="bottom"/>
          </w:tcPr>
          <w:p w14:paraId="5F2CB3B7" w14:textId="77777777" w:rsidR="00E836FB" w:rsidRDefault="00E836FB">
            <w:pPr>
              <w:rPr>
                <w:rFonts w:ascii="宋体"/>
                <w:vanish/>
              </w:rPr>
            </w:pPr>
          </w:p>
        </w:tc>
        <w:tc>
          <w:tcPr>
            <w:tcW w:w="0" w:type="auto"/>
            <w:gridSpan w:val="3"/>
            <w:shd w:val="clear" w:color="auto" w:fill="auto"/>
            <w:vAlign w:val="bottom"/>
          </w:tcPr>
          <w:p w14:paraId="5F2CB3B8" w14:textId="77777777" w:rsidR="00E836FB" w:rsidRDefault="00E836FB">
            <w:pPr>
              <w:rPr>
                <w:rFonts w:ascii="宋体"/>
                <w:vanish/>
              </w:rPr>
            </w:pPr>
          </w:p>
        </w:tc>
        <w:tc>
          <w:tcPr>
            <w:tcW w:w="0" w:type="auto"/>
            <w:gridSpan w:val="3"/>
            <w:shd w:val="clear" w:color="auto" w:fill="auto"/>
            <w:vAlign w:val="bottom"/>
          </w:tcPr>
          <w:p w14:paraId="5F2CB3B9" w14:textId="77777777" w:rsidR="00E836FB" w:rsidRDefault="00E836FB">
            <w:pPr>
              <w:rPr>
                <w:rFonts w:ascii="宋体"/>
                <w:vanish/>
              </w:rPr>
            </w:pPr>
          </w:p>
        </w:tc>
        <w:tc>
          <w:tcPr>
            <w:tcW w:w="0" w:type="auto"/>
            <w:gridSpan w:val="3"/>
            <w:shd w:val="clear" w:color="auto" w:fill="auto"/>
            <w:vAlign w:val="bottom"/>
          </w:tcPr>
          <w:p w14:paraId="5F2CB3BA" w14:textId="77777777" w:rsidR="00E836FB" w:rsidRDefault="00E836FB">
            <w:pPr>
              <w:rPr>
                <w:rFonts w:ascii="宋体"/>
                <w:vanish/>
              </w:rPr>
            </w:pPr>
          </w:p>
        </w:tc>
        <w:tc>
          <w:tcPr>
            <w:tcW w:w="0" w:type="auto"/>
            <w:gridSpan w:val="3"/>
            <w:shd w:val="clear" w:color="auto" w:fill="auto"/>
            <w:vAlign w:val="bottom"/>
          </w:tcPr>
          <w:p w14:paraId="5F2CB3BB" w14:textId="77777777" w:rsidR="00E836FB" w:rsidRDefault="00E836FB">
            <w:pPr>
              <w:rPr>
                <w:rFonts w:ascii="宋体"/>
                <w:vanish/>
              </w:rPr>
            </w:pPr>
          </w:p>
        </w:tc>
        <w:tc>
          <w:tcPr>
            <w:tcW w:w="0" w:type="auto"/>
            <w:gridSpan w:val="3"/>
            <w:shd w:val="clear" w:color="auto" w:fill="auto"/>
            <w:vAlign w:val="bottom"/>
          </w:tcPr>
          <w:p w14:paraId="5F2CB3BC" w14:textId="77777777" w:rsidR="00E836FB" w:rsidRDefault="00E836FB">
            <w:pPr>
              <w:rPr>
                <w:rFonts w:ascii="宋体"/>
                <w:vanish/>
              </w:rPr>
            </w:pPr>
          </w:p>
        </w:tc>
        <w:tc>
          <w:tcPr>
            <w:tcW w:w="0" w:type="auto"/>
            <w:gridSpan w:val="3"/>
            <w:shd w:val="clear" w:color="auto" w:fill="auto"/>
            <w:vAlign w:val="bottom"/>
          </w:tcPr>
          <w:p w14:paraId="5F2CB3BD" w14:textId="77777777" w:rsidR="00E836FB" w:rsidRDefault="00E836FB">
            <w:pPr>
              <w:rPr>
                <w:rFonts w:ascii="宋体"/>
                <w:vanish/>
              </w:rPr>
            </w:pPr>
          </w:p>
        </w:tc>
        <w:tc>
          <w:tcPr>
            <w:tcW w:w="0" w:type="auto"/>
            <w:gridSpan w:val="3"/>
            <w:shd w:val="clear" w:color="auto" w:fill="auto"/>
            <w:vAlign w:val="bottom"/>
          </w:tcPr>
          <w:p w14:paraId="5F2CB3BE" w14:textId="77777777" w:rsidR="00E836FB" w:rsidRDefault="00E836FB">
            <w:pPr>
              <w:rPr>
                <w:rFonts w:ascii="宋体"/>
                <w:vanish/>
              </w:rPr>
            </w:pPr>
          </w:p>
        </w:tc>
        <w:tc>
          <w:tcPr>
            <w:tcW w:w="0" w:type="auto"/>
            <w:gridSpan w:val="3"/>
            <w:shd w:val="clear" w:color="auto" w:fill="auto"/>
            <w:vAlign w:val="bottom"/>
          </w:tcPr>
          <w:p w14:paraId="5F2CB3BF" w14:textId="77777777" w:rsidR="00E836FB" w:rsidRDefault="00E836FB">
            <w:pPr>
              <w:rPr>
                <w:rFonts w:ascii="宋体"/>
                <w:vanish/>
              </w:rPr>
            </w:pPr>
          </w:p>
        </w:tc>
        <w:tc>
          <w:tcPr>
            <w:tcW w:w="0" w:type="auto"/>
            <w:gridSpan w:val="3"/>
            <w:shd w:val="clear" w:color="auto" w:fill="auto"/>
            <w:vAlign w:val="bottom"/>
          </w:tcPr>
          <w:p w14:paraId="5F2CB3C0" w14:textId="77777777" w:rsidR="00E836FB" w:rsidRDefault="00E836FB">
            <w:pPr>
              <w:rPr>
                <w:rFonts w:ascii="宋体"/>
                <w:vanish/>
              </w:rPr>
            </w:pPr>
          </w:p>
        </w:tc>
        <w:tc>
          <w:tcPr>
            <w:tcW w:w="0" w:type="auto"/>
            <w:gridSpan w:val="3"/>
            <w:shd w:val="clear" w:color="auto" w:fill="auto"/>
            <w:vAlign w:val="bottom"/>
          </w:tcPr>
          <w:p w14:paraId="5F2CB3C1" w14:textId="77777777" w:rsidR="00E836FB" w:rsidRDefault="00E836FB">
            <w:pPr>
              <w:rPr>
                <w:rFonts w:ascii="宋体"/>
                <w:vanish/>
              </w:rPr>
            </w:pPr>
          </w:p>
        </w:tc>
        <w:tc>
          <w:tcPr>
            <w:tcW w:w="0" w:type="auto"/>
            <w:gridSpan w:val="3"/>
            <w:shd w:val="clear" w:color="auto" w:fill="auto"/>
            <w:vAlign w:val="bottom"/>
          </w:tcPr>
          <w:p w14:paraId="5F2CB3C2" w14:textId="77777777" w:rsidR="00E836FB" w:rsidRDefault="00E836FB">
            <w:pPr>
              <w:rPr>
                <w:rFonts w:ascii="宋体"/>
                <w:vanish/>
              </w:rPr>
            </w:pPr>
          </w:p>
        </w:tc>
        <w:tc>
          <w:tcPr>
            <w:tcW w:w="0" w:type="auto"/>
            <w:gridSpan w:val="3"/>
            <w:shd w:val="clear" w:color="auto" w:fill="auto"/>
            <w:vAlign w:val="bottom"/>
          </w:tcPr>
          <w:p w14:paraId="5F2CB3C3" w14:textId="77777777" w:rsidR="00E836FB" w:rsidRDefault="00E836FB">
            <w:pPr>
              <w:rPr>
                <w:rFonts w:ascii="宋体"/>
                <w:vanish/>
              </w:rPr>
            </w:pPr>
          </w:p>
        </w:tc>
        <w:tc>
          <w:tcPr>
            <w:tcW w:w="0" w:type="auto"/>
            <w:gridSpan w:val="3"/>
            <w:shd w:val="clear" w:color="auto" w:fill="auto"/>
            <w:vAlign w:val="bottom"/>
          </w:tcPr>
          <w:p w14:paraId="5F2CB3C4" w14:textId="77777777" w:rsidR="00E836FB" w:rsidRDefault="00E836FB">
            <w:pPr>
              <w:rPr>
                <w:rFonts w:ascii="宋体"/>
                <w:vanish/>
              </w:rPr>
            </w:pPr>
          </w:p>
        </w:tc>
        <w:tc>
          <w:tcPr>
            <w:tcW w:w="0" w:type="auto"/>
            <w:gridSpan w:val="3"/>
            <w:shd w:val="clear" w:color="auto" w:fill="auto"/>
            <w:vAlign w:val="bottom"/>
          </w:tcPr>
          <w:p w14:paraId="5F2CB3C5" w14:textId="77777777" w:rsidR="00E836FB" w:rsidRDefault="00E836FB">
            <w:pPr>
              <w:rPr>
                <w:rFonts w:ascii="宋体"/>
                <w:vanish/>
              </w:rPr>
            </w:pPr>
          </w:p>
        </w:tc>
        <w:tc>
          <w:tcPr>
            <w:tcW w:w="0" w:type="auto"/>
            <w:gridSpan w:val="3"/>
            <w:shd w:val="clear" w:color="auto" w:fill="auto"/>
            <w:vAlign w:val="bottom"/>
          </w:tcPr>
          <w:p w14:paraId="5F2CB3C6" w14:textId="77777777" w:rsidR="00E836FB" w:rsidRDefault="00E836FB">
            <w:pPr>
              <w:rPr>
                <w:rFonts w:ascii="宋体"/>
                <w:vanish/>
              </w:rPr>
            </w:pPr>
          </w:p>
        </w:tc>
        <w:tc>
          <w:tcPr>
            <w:tcW w:w="0" w:type="auto"/>
            <w:gridSpan w:val="3"/>
            <w:shd w:val="clear" w:color="auto" w:fill="auto"/>
            <w:vAlign w:val="bottom"/>
          </w:tcPr>
          <w:p w14:paraId="5F2CB3C7" w14:textId="77777777" w:rsidR="00E836FB" w:rsidRDefault="00E836FB">
            <w:pPr>
              <w:rPr>
                <w:rFonts w:ascii="宋体"/>
                <w:vanish/>
              </w:rPr>
            </w:pPr>
          </w:p>
        </w:tc>
        <w:tc>
          <w:tcPr>
            <w:tcW w:w="0" w:type="auto"/>
            <w:gridSpan w:val="3"/>
            <w:shd w:val="clear" w:color="auto" w:fill="auto"/>
            <w:vAlign w:val="bottom"/>
          </w:tcPr>
          <w:p w14:paraId="5F2CB3C8" w14:textId="77777777" w:rsidR="00E836FB" w:rsidRDefault="00E836FB">
            <w:pPr>
              <w:rPr>
                <w:rFonts w:ascii="宋体"/>
                <w:vanish/>
              </w:rPr>
            </w:pPr>
          </w:p>
        </w:tc>
        <w:tc>
          <w:tcPr>
            <w:tcW w:w="0" w:type="auto"/>
            <w:gridSpan w:val="3"/>
            <w:shd w:val="clear" w:color="auto" w:fill="auto"/>
            <w:vAlign w:val="bottom"/>
          </w:tcPr>
          <w:p w14:paraId="5F2CB3C9" w14:textId="77777777" w:rsidR="00E836FB" w:rsidRDefault="00E836FB">
            <w:pPr>
              <w:rPr>
                <w:rFonts w:ascii="宋体"/>
                <w:vanish/>
              </w:rPr>
            </w:pPr>
          </w:p>
        </w:tc>
        <w:tc>
          <w:tcPr>
            <w:tcW w:w="0" w:type="auto"/>
            <w:gridSpan w:val="3"/>
            <w:shd w:val="clear" w:color="auto" w:fill="auto"/>
            <w:vAlign w:val="bottom"/>
          </w:tcPr>
          <w:p w14:paraId="5F2CB3CA" w14:textId="77777777" w:rsidR="00E836FB" w:rsidRDefault="00E836FB">
            <w:pPr>
              <w:rPr>
                <w:rFonts w:ascii="宋体"/>
                <w:vanish/>
              </w:rPr>
            </w:pPr>
          </w:p>
        </w:tc>
        <w:tc>
          <w:tcPr>
            <w:tcW w:w="0" w:type="auto"/>
            <w:gridSpan w:val="2"/>
            <w:shd w:val="clear" w:color="auto" w:fill="auto"/>
            <w:vAlign w:val="bottom"/>
          </w:tcPr>
          <w:p w14:paraId="5F2CB3CB" w14:textId="77777777" w:rsidR="00E836FB" w:rsidRDefault="00E836FB">
            <w:pPr>
              <w:rPr>
                <w:rFonts w:ascii="宋体"/>
                <w:vanish/>
              </w:rPr>
            </w:pPr>
          </w:p>
        </w:tc>
        <w:tc>
          <w:tcPr>
            <w:tcW w:w="0" w:type="auto"/>
            <w:shd w:val="clear" w:color="auto" w:fill="auto"/>
            <w:vAlign w:val="bottom"/>
          </w:tcPr>
          <w:p w14:paraId="5F2CB3CC" w14:textId="77777777" w:rsidR="00E836FB" w:rsidRDefault="00E836FB">
            <w:pPr>
              <w:rPr>
                <w:rFonts w:ascii="宋体"/>
                <w:vanish/>
              </w:rPr>
            </w:pPr>
          </w:p>
        </w:tc>
      </w:tr>
      <w:tr w:rsidR="00E836FB" w14:paraId="5F2CB3E4" w14:textId="77777777">
        <w:trPr>
          <w:hidden/>
        </w:trPr>
        <w:tc>
          <w:tcPr>
            <w:tcW w:w="0" w:type="auto"/>
            <w:gridSpan w:val="3"/>
            <w:shd w:val="clear" w:color="auto" w:fill="auto"/>
            <w:vAlign w:val="bottom"/>
          </w:tcPr>
          <w:p w14:paraId="5F2CB3CE" w14:textId="77777777" w:rsidR="00E836FB" w:rsidRDefault="00E836FB">
            <w:pPr>
              <w:rPr>
                <w:rFonts w:ascii="宋体"/>
                <w:vanish/>
              </w:rPr>
            </w:pPr>
          </w:p>
        </w:tc>
        <w:tc>
          <w:tcPr>
            <w:tcW w:w="0" w:type="auto"/>
            <w:gridSpan w:val="3"/>
            <w:shd w:val="clear" w:color="auto" w:fill="auto"/>
            <w:vAlign w:val="bottom"/>
          </w:tcPr>
          <w:p w14:paraId="5F2CB3CF" w14:textId="77777777" w:rsidR="00E836FB" w:rsidRDefault="00E836FB">
            <w:pPr>
              <w:rPr>
                <w:rFonts w:ascii="宋体"/>
                <w:vanish/>
              </w:rPr>
            </w:pPr>
          </w:p>
        </w:tc>
        <w:tc>
          <w:tcPr>
            <w:tcW w:w="0" w:type="auto"/>
            <w:gridSpan w:val="3"/>
            <w:shd w:val="clear" w:color="auto" w:fill="auto"/>
            <w:vAlign w:val="bottom"/>
          </w:tcPr>
          <w:p w14:paraId="5F2CB3D0" w14:textId="77777777" w:rsidR="00E836FB" w:rsidRDefault="00E836FB">
            <w:pPr>
              <w:rPr>
                <w:rFonts w:ascii="宋体"/>
                <w:vanish/>
              </w:rPr>
            </w:pPr>
          </w:p>
        </w:tc>
        <w:tc>
          <w:tcPr>
            <w:tcW w:w="0" w:type="auto"/>
            <w:gridSpan w:val="3"/>
            <w:shd w:val="clear" w:color="auto" w:fill="auto"/>
            <w:vAlign w:val="bottom"/>
          </w:tcPr>
          <w:p w14:paraId="5F2CB3D1" w14:textId="77777777" w:rsidR="00E836FB" w:rsidRDefault="00E836FB">
            <w:pPr>
              <w:rPr>
                <w:rFonts w:ascii="宋体"/>
                <w:vanish/>
              </w:rPr>
            </w:pPr>
          </w:p>
        </w:tc>
        <w:tc>
          <w:tcPr>
            <w:tcW w:w="0" w:type="auto"/>
            <w:gridSpan w:val="3"/>
            <w:shd w:val="clear" w:color="auto" w:fill="auto"/>
            <w:vAlign w:val="bottom"/>
          </w:tcPr>
          <w:p w14:paraId="5F2CB3D2" w14:textId="77777777" w:rsidR="00E836FB" w:rsidRDefault="00E836FB">
            <w:pPr>
              <w:rPr>
                <w:rFonts w:ascii="宋体"/>
                <w:vanish/>
              </w:rPr>
            </w:pPr>
          </w:p>
        </w:tc>
        <w:tc>
          <w:tcPr>
            <w:tcW w:w="0" w:type="auto"/>
            <w:gridSpan w:val="3"/>
            <w:shd w:val="clear" w:color="auto" w:fill="auto"/>
            <w:vAlign w:val="bottom"/>
          </w:tcPr>
          <w:p w14:paraId="5F2CB3D3" w14:textId="77777777" w:rsidR="00E836FB" w:rsidRDefault="00E836FB">
            <w:pPr>
              <w:rPr>
                <w:rFonts w:ascii="宋体"/>
                <w:vanish/>
              </w:rPr>
            </w:pPr>
          </w:p>
        </w:tc>
        <w:tc>
          <w:tcPr>
            <w:tcW w:w="0" w:type="auto"/>
            <w:gridSpan w:val="3"/>
            <w:shd w:val="clear" w:color="auto" w:fill="auto"/>
            <w:vAlign w:val="bottom"/>
          </w:tcPr>
          <w:p w14:paraId="5F2CB3D4" w14:textId="77777777" w:rsidR="00E836FB" w:rsidRDefault="00E836FB">
            <w:pPr>
              <w:rPr>
                <w:rFonts w:ascii="宋体"/>
                <w:vanish/>
              </w:rPr>
            </w:pPr>
          </w:p>
        </w:tc>
        <w:tc>
          <w:tcPr>
            <w:tcW w:w="0" w:type="auto"/>
            <w:gridSpan w:val="3"/>
            <w:shd w:val="clear" w:color="auto" w:fill="auto"/>
            <w:vAlign w:val="bottom"/>
          </w:tcPr>
          <w:p w14:paraId="5F2CB3D5" w14:textId="77777777" w:rsidR="00E836FB" w:rsidRDefault="00E836FB">
            <w:pPr>
              <w:rPr>
                <w:rFonts w:ascii="宋体"/>
                <w:vanish/>
              </w:rPr>
            </w:pPr>
          </w:p>
        </w:tc>
        <w:tc>
          <w:tcPr>
            <w:tcW w:w="0" w:type="auto"/>
            <w:gridSpan w:val="3"/>
            <w:shd w:val="clear" w:color="auto" w:fill="auto"/>
            <w:vAlign w:val="bottom"/>
          </w:tcPr>
          <w:p w14:paraId="5F2CB3D6" w14:textId="77777777" w:rsidR="00E836FB" w:rsidRDefault="00E836FB">
            <w:pPr>
              <w:rPr>
                <w:rFonts w:ascii="宋体"/>
                <w:vanish/>
              </w:rPr>
            </w:pPr>
          </w:p>
        </w:tc>
        <w:tc>
          <w:tcPr>
            <w:tcW w:w="0" w:type="auto"/>
            <w:gridSpan w:val="3"/>
            <w:shd w:val="clear" w:color="auto" w:fill="auto"/>
            <w:vAlign w:val="bottom"/>
          </w:tcPr>
          <w:p w14:paraId="5F2CB3D7" w14:textId="77777777" w:rsidR="00E836FB" w:rsidRDefault="00E836FB">
            <w:pPr>
              <w:rPr>
                <w:rFonts w:ascii="宋体"/>
                <w:vanish/>
              </w:rPr>
            </w:pPr>
          </w:p>
        </w:tc>
        <w:tc>
          <w:tcPr>
            <w:tcW w:w="0" w:type="auto"/>
            <w:gridSpan w:val="3"/>
            <w:shd w:val="clear" w:color="auto" w:fill="auto"/>
            <w:vAlign w:val="bottom"/>
          </w:tcPr>
          <w:p w14:paraId="5F2CB3D8" w14:textId="77777777" w:rsidR="00E836FB" w:rsidRDefault="00E836FB">
            <w:pPr>
              <w:rPr>
                <w:rFonts w:ascii="宋体"/>
                <w:vanish/>
              </w:rPr>
            </w:pPr>
          </w:p>
        </w:tc>
        <w:tc>
          <w:tcPr>
            <w:tcW w:w="0" w:type="auto"/>
            <w:gridSpan w:val="3"/>
            <w:shd w:val="clear" w:color="auto" w:fill="auto"/>
            <w:vAlign w:val="bottom"/>
          </w:tcPr>
          <w:p w14:paraId="5F2CB3D9" w14:textId="77777777" w:rsidR="00E836FB" w:rsidRDefault="00E836FB">
            <w:pPr>
              <w:rPr>
                <w:rFonts w:ascii="宋体"/>
                <w:vanish/>
              </w:rPr>
            </w:pPr>
          </w:p>
        </w:tc>
        <w:tc>
          <w:tcPr>
            <w:tcW w:w="0" w:type="auto"/>
            <w:gridSpan w:val="3"/>
            <w:shd w:val="clear" w:color="auto" w:fill="auto"/>
            <w:vAlign w:val="bottom"/>
          </w:tcPr>
          <w:p w14:paraId="5F2CB3DA" w14:textId="77777777" w:rsidR="00E836FB" w:rsidRDefault="00E836FB">
            <w:pPr>
              <w:rPr>
                <w:rFonts w:ascii="宋体"/>
                <w:vanish/>
              </w:rPr>
            </w:pPr>
          </w:p>
        </w:tc>
        <w:tc>
          <w:tcPr>
            <w:tcW w:w="0" w:type="auto"/>
            <w:gridSpan w:val="3"/>
            <w:shd w:val="clear" w:color="auto" w:fill="auto"/>
            <w:vAlign w:val="bottom"/>
          </w:tcPr>
          <w:p w14:paraId="5F2CB3DB" w14:textId="77777777" w:rsidR="00E836FB" w:rsidRDefault="00E836FB">
            <w:pPr>
              <w:rPr>
                <w:rFonts w:ascii="宋体"/>
                <w:vanish/>
              </w:rPr>
            </w:pPr>
          </w:p>
        </w:tc>
        <w:tc>
          <w:tcPr>
            <w:tcW w:w="0" w:type="auto"/>
            <w:gridSpan w:val="3"/>
            <w:shd w:val="clear" w:color="auto" w:fill="auto"/>
            <w:vAlign w:val="bottom"/>
          </w:tcPr>
          <w:p w14:paraId="5F2CB3DC" w14:textId="77777777" w:rsidR="00E836FB" w:rsidRDefault="00E836FB">
            <w:pPr>
              <w:rPr>
                <w:rFonts w:ascii="宋体"/>
                <w:vanish/>
              </w:rPr>
            </w:pPr>
          </w:p>
        </w:tc>
        <w:tc>
          <w:tcPr>
            <w:tcW w:w="0" w:type="auto"/>
            <w:gridSpan w:val="3"/>
            <w:shd w:val="clear" w:color="auto" w:fill="auto"/>
            <w:vAlign w:val="bottom"/>
          </w:tcPr>
          <w:p w14:paraId="5F2CB3DD" w14:textId="77777777" w:rsidR="00E836FB" w:rsidRDefault="00E836FB">
            <w:pPr>
              <w:rPr>
                <w:rFonts w:ascii="宋体"/>
                <w:vanish/>
              </w:rPr>
            </w:pPr>
          </w:p>
        </w:tc>
        <w:tc>
          <w:tcPr>
            <w:tcW w:w="0" w:type="auto"/>
            <w:gridSpan w:val="3"/>
            <w:shd w:val="clear" w:color="auto" w:fill="auto"/>
            <w:vAlign w:val="bottom"/>
          </w:tcPr>
          <w:p w14:paraId="5F2CB3DE" w14:textId="77777777" w:rsidR="00E836FB" w:rsidRDefault="00E836FB">
            <w:pPr>
              <w:rPr>
                <w:rFonts w:ascii="宋体"/>
                <w:vanish/>
              </w:rPr>
            </w:pPr>
          </w:p>
        </w:tc>
        <w:tc>
          <w:tcPr>
            <w:tcW w:w="0" w:type="auto"/>
            <w:gridSpan w:val="3"/>
            <w:shd w:val="clear" w:color="auto" w:fill="auto"/>
            <w:vAlign w:val="bottom"/>
          </w:tcPr>
          <w:p w14:paraId="5F2CB3DF" w14:textId="77777777" w:rsidR="00E836FB" w:rsidRDefault="00E836FB">
            <w:pPr>
              <w:rPr>
                <w:rFonts w:ascii="宋体"/>
                <w:vanish/>
              </w:rPr>
            </w:pPr>
          </w:p>
        </w:tc>
        <w:tc>
          <w:tcPr>
            <w:tcW w:w="0" w:type="auto"/>
            <w:gridSpan w:val="3"/>
            <w:shd w:val="clear" w:color="auto" w:fill="auto"/>
            <w:vAlign w:val="bottom"/>
          </w:tcPr>
          <w:p w14:paraId="5F2CB3E0" w14:textId="77777777" w:rsidR="00E836FB" w:rsidRDefault="00E836FB">
            <w:pPr>
              <w:rPr>
                <w:rFonts w:ascii="宋体"/>
                <w:vanish/>
              </w:rPr>
            </w:pPr>
          </w:p>
        </w:tc>
        <w:tc>
          <w:tcPr>
            <w:tcW w:w="0" w:type="auto"/>
            <w:gridSpan w:val="3"/>
            <w:shd w:val="clear" w:color="auto" w:fill="auto"/>
            <w:vAlign w:val="bottom"/>
          </w:tcPr>
          <w:p w14:paraId="5F2CB3E1" w14:textId="77777777" w:rsidR="00E836FB" w:rsidRDefault="00E836FB">
            <w:pPr>
              <w:rPr>
                <w:rFonts w:ascii="宋体"/>
                <w:vanish/>
              </w:rPr>
            </w:pPr>
          </w:p>
        </w:tc>
        <w:tc>
          <w:tcPr>
            <w:tcW w:w="0" w:type="auto"/>
            <w:gridSpan w:val="2"/>
            <w:shd w:val="clear" w:color="auto" w:fill="auto"/>
            <w:vAlign w:val="bottom"/>
          </w:tcPr>
          <w:p w14:paraId="5F2CB3E2" w14:textId="77777777" w:rsidR="00E836FB" w:rsidRDefault="00E836FB">
            <w:pPr>
              <w:rPr>
                <w:rFonts w:ascii="宋体"/>
                <w:vanish/>
              </w:rPr>
            </w:pPr>
          </w:p>
        </w:tc>
        <w:tc>
          <w:tcPr>
            <w:tcW w:w="0" w:type="auto"/>
            <w:shd w:val="clear" w:color="auto" w:fill="auto"/>
            <w:vAlign w:val="bottom"/>
          </w:tcPr>
          <w:p w14:paraId="5F2CB3E3" w14:textId="77777777" w:rsidR="00E836FB" w:rsidRDefault="00E836FB">
            <w:pPr>
              <w:rPr>
                <w:rFonts w:ascii="宋体"/>
                <w:vanish/>
              </w:rPr>
            </w:pPr>
          </w:p>
        </w:tc>
      </w:tr>
      <w:tr w:rsidR="00E836FB" w14:paraId="5F2CB3FB" w14:textId="77777777">
        <w:trPr>
          <w:hidden/>
        </w:trPr>
        <w:tc>
          <w:tcPr>
            <w:tcW w:w="0" w:type="auto"/>
            <w:gridSpan w:val="3"/>
            <w:shd w:val="clear" w:color="auto" w:fill="auto"/>
            <w:vAlign w:val="bottom"/>
          </w:tcPr>
          <w:p w14:paraId="5F2CB3E5" w14:textId="77777777" w:rsidR="00E836FB" w:rsidRDefault="00E836FB">
            <w:pPr>
              <w:rPr>
                <w:rFonts w:ascii="宋体"/>
                <w:vanish/>
              </w:rPr>
            </w:pPr>
          </w:p>
        </w:tc>
        <w:tc>
          <w:tcPr>
            <w:tcW w:w="0" w:type="auto"/>
            <w:gridSpan w:val="3"/>
            <w:shd w:val="clear" w:color="auto" w:fill="auto"/>
            <w:vAlign w:val="bottom"/>
          </w:tcPr>
          <w:p w14:paraId="5F2CB3E6" w14:textId="77777777" w:rsidR="00E836FB" w:rsidRDefault="00E836FB">
            <w:pPr>
              <w:rPr>
                <w:rFonts w:ascii="宋体"/>
                <w:vanish/>
              </w:rPr>
            </w:pPr>
          </w:p>
        </w:tc>
        <w:tc>
          <w:tcPr>
            <w:tcW w:w="0" w:type="auto"/>
            <w:gridSpan w:val="3"/>
            <w:shd w:val="clear" w:color="auto" w:fill="auto"/>
            <w:vAlign w:val="bottom"/>
          </w:tcPr>
          <w:p w14:paraId="5F2CB3E7" w14:textId="77777777" w:rsidR="00E836FB" w:rsidRDefault="00E836FB">
            <w:pPr>
              <w:rPr>
                <w:rFonts w:ascii="宋体"/>
                <w:vanish/>
              </w:rPr>
            </w:pPr>
          </w:p>
        </w:tc>
        <w:tc>
          <w:tcPr>
            <w:tcW w:w="0" w:type="auto"/>
            <w:gridSpan w:val="3"/>
            <w:shd w:val="clear" w:color="auto" w:fill="auto"/>
            <w:vAlign w:val="bottom"/>
          </w:tcPr>
          <w:p w14:paraId="5F2CB3E8" w14:textId="77777777" w:rsidR="00E836FB" w:rsidRDefault="00E836FB">
            <w:pPr>
              <w:rPr>
                <w:rFonts w:ascii="宋体"/>
                <w:vanish/>
              </w:rPr>
            </w:pPr>
          </w:p>
        </w:tc>
        <w:tc>
          <w:tcPr>
            <w:tcW w:w="0" w:type="auto"/>
            <w:gridSpan w:val="3"/>
            <w:shd w:val="clear" w:color="auto" w:fill="auto"/>
            <w:vAlign w:val="bottom"/>
          </w:tcPr>
          <w:p w14:paraId="5F2CB3E9" w14:textId="77777777" w:rsidR="00E836FB" w:rsidRDefault="00E836FB">
            <w:pPr>
              <w:rPr>
                <w:rFonts w:ascii="宋体"/>
                <w:vanish/>
              </w:rPr>
            </w:pPr>
          </w:p>
        </w:tc>
        <w:tc>
          <w:tcPr>
            <w:tcW w:w="0" w:type="auto"/>
            <w:gridSpan w:val="3"/>
            <w:shd w:val="clear" w:color="auto" w:fill="auto"/>
            <w:vAlign w:val="bottom"/>
          </w:tcPr>
          <w:p w14:paraId="5F2CB3EA" w14:textId="77777777" w:rsidR="00E836FB" w:rsidRDefault="00E836FB">
            <w:pPr>
              <w:rPr>
                <w:rFonts w:ascii="宋体"/>
                <w:vanish/>
              </w:rPr>
            </w:pPr>
          </w:p>
        </w:tc>
        <w:tc>
          <w:tcPr>
            <w:tcW w:w="0" w:type="auto"/>
            <w:gridSpan w:val="3"/>
            <w:shd w:val="clear" w:color="auto" w:fill="auto"/>
            <w:vAlign w:val="bottom"/>
          </w:tcPr>
          <w:p w14:paraId="5F2CB3EB" w14:textId="77777777" w:rsidR="00E836FB" w:rsidRDefault="00E836FB">
            <w:pPr>
              <w:rPr>
                <w:rFonts w:ascii="宋体"/>
                <w:vanish/>
              </w:rPr>
            </w:pPr>
          </w:p>
        </w:tc>
        <w:tc>
          <w:tcPr>
            <w:tcW w:w="0" w:type="auto"/>
            <w:gridSpan w:val="3"/>
            <w:shd w:val="clear" w:color="auto" w:fill="auto"/>
            <w:vAlign w:val="bottom"/>
          </w:tcPr>
          <w:p w14:paraId="5F2CB3EC" w14:textId="77777777" w:rsidR="00E836FB" w:rsidRDefault="00E836FB">
            <w:pPr>
              <w:rPr>
                <w:rFonts w:ascii="宋体"/>
                <w:vanish/>
              </w:rPr>
            </w:pPr>
          </w:p>
        </w:tc>
        <w:tc>
          <w:tcPr>
            <w:tcW w:w="0" w:type="auto"/>
            <w:gridSpan w:val="3"/>
            <w:shd w:val="clear" w:color="auto" w:fill="auto"/>
            <w:vAlign w:val="bottom"/>
          </w:tcPr>
          <w:p w14:paraId="5F2CB3ED" w14:textId="77777777" w:rsidR="00E836FB" w:rsidRDefault="00E836FB">
            <w:pPr>
              <w:rPr>
                <w:rFonts w:ascii="宋体"/>
                <w:vanish/>
              </w:rPr>
            </w:pPr>
          </w:p>
        </w:tc>
        <w:tc>
          <w:tcPr>
            <w:tcW w:w="0" w:type="auto"/>
            <w:gridSpan w:val="3"/>
            <w:shd w:val="clear" w:color="auto" w:fill="auto"/>
            <w:vAlign w:val="bottom"/>
          </w:tcPr>
          <w:p w14:paraId="5F2CB3EE" w14:textId="77777777" w:rsidR="00E836FB" w:rsidRDefault="00E836FB">
            <w:pPr>
              <w:rPr>
                <w:rFonts w:ascii="宋体"/>
                <w:vanish/>
              </w:rPr>
            </w:pPr>
          </w:p>
        </w:tc>
        <w:tc>
          <w:tcPr>
            <w:tcW w:w="0" w:type="auto"/>
            <w:gridSpan w:val="3"/>
            <w:shd w:val="clear" w:color="auto" w:fill="auto"/>
            <w:vAlign w:val="bottom"/>
          </w:tcPr>
          <w:p w14:paraId="5F2CB3EF" w14:textId="77777777" w:rsidR="00E836FB" w:rsidRDefault="00E836FB">
            <w:pPr>
              <w:rPr>
                <w:rFonts w:ascii="宋体"/>
                <w:vanish/>
              </w:rPr>
            </w:pPr>
          </w:p>
        </w:tc>
        <w:tc>
          <w:tcPr>
            <w:tcW w:w="0" w:type="auto"/>
            <w:gridSpan w:val="3"/>
            <w:shd w:val="clear" w:color="auto" w:fill="auto"/>
            <w:vAlign w:val="bottom"/>
          </w:tcPr>
          <w:p w14:paraId="5F2CB3F0" w14:textId="77777777" w:rsidR="00E836FB" w:rsidRDefault="00E836FB">
            <w:pPr>
              <w:rPr>
                <w:rFonts w:ascii="宋体"/>
                <w:vanish/>
              </w:rPr>
            </w:pPr>
          </w:p>
        </w:tc>
        <w:tc>
          <w:tcPr>
            <w:tcW w:w="0" w:type="auto"/>
            <w:gridSpan w:val="3"/>
            <w:shd w:val="clear" w:color="auto" w:fill="auto"/>
            <w:vAlign w:val="bottom"/>
          </w:tcPr>
          <w:p w14:paraId="5F2CB3F1" w14:textId="77777777" w:rsidR="00E836FB" w:rsidRDefault="00E836FB">
            <w:pPr>
              <w:rPr>
                <w:rFonts w:ascii="宋体"/>
                <w:vanish/>
              </w:rPr>
            </w:pPr>
          </w:p>
        </w:tc>
        <w:tc>
          <w:tcPr>
            <w:tcW w:w="0" w:type="auto"/>
            <w:gridSpan w:val="3"/>
            <w:shd w:val="clear" w:color="auto" w:fill="auto"/>
            <w:vAlign w:val="bottom"/>
          </w:tcPr>
          <w:p w14:paraId="5F2CB3F2" w14:textId="77777777" w:rsidR="00E836FB" w:rsidRDefault="00E836FB">
            <w:pPr>
              <w:rPr>
                <w:rFonts w:ascii="宋体"/>
                <w:vanish/>
              </w:rPr>
            </w:pPr>
          </w:p>
        </w:tc>
        <w:tc>
          <w:tcPr>
            <w:tcW w:w="0" w:type="auto"/>
            <w:gridSpan w:val="3"/>
            <w:shd w:val="clear" w:color="auto" w:fill="auto"/>
            <w:vAlign w:val="bottom"/>
          </w:tcPr>
          <w:p w14:paraId="5F2CB3F3" w14:textId="77777777" w:rsidR="00E836FB" w:rsidRDefault="00E836FB">
            <w:pPr>
              <w:rPr>
                <w:rFonts w:ascii="宋体"/>
                <w:vanish/>
              </w:rPr>
            </w:pPr>
          </w:p>
        </w:tc>
        <w:tc>
          <w:tcPr>
            <w:tcW w:w="0" w:type="auto"/>
            <w:gridSpan w:val="3"/>
            <w:shd w:val="clear" w:color="auto" w:fill="auto"/>
            <w:vAlign w:val="bottom"/>
          </w:tcPr>
          <w:p w14:paraId="5F2CB3F4" w14:textId="77777777" w:rsidR="00E836FB" w:rsidRDefault="00E836FB">
            <w:pPr>
              <w:rPr>
                <w:rFonts w:ascii="宋体"/>
                <w:vanish/>
              </w:rPr>
            </w:pPr>
          </w:p>
        </w:tc>
        <w:tc>
          <w:tcPr>
            <w:tcW w:w="0" w:type="auto"/>
            <w:gridSpan w:val="3"/>
            <w:shd w:val="clear" w:color="auto" w:fill="auto"/>
            <w:vAlign w:val="bottom"/>
          </w:tcPr>
          <w:p w14:paraId="5F2CB3F5" w14:textId="77777777" w:rsidR="00E836FB" w:rsidRDefault="00E836FB">
            <w:pPr>
              <w:rPr>
                <w:rFonts w:ascii="宋体"/>
                <w:vanish/>
              </w:rPr>
            </w:pPr>
          </w:p>
        </w:tc>
        <w:tc>
          <w:tcPr>
            <w:tcW w:w="0" w:type="auto"/>
            <w:gridSpan w:val="3"/>
            <w:shd w:val="clear" w:color="auto" w:fill="auto"/>
            <w:vAlign w:val="bottom"/>
          </w:tcPr>
          <w:p w14:paraId="5F2CB3F6" w14:textId="77777777" w:rsidR="00E836FB" w:rsidRDefault="00E836FB">
            <w:pPr>
              <w:rPr>
                <w:rFonts w:ascii="宋体"/>
                <w:vanish/>
              </w:rPr>
            </w:pPr>
          </w:p>
        </w:tc>
        <w:tc>
          <w:tcPr>
            <w:tcW w:w="0" w:type="auto"/>
            <w:gridSpan w:val="3"/>
            <w:shd w:val="clear" w:color="auto" w:fill="auto"/>
            <w:vAlign w:val="bottom"/>
          </w:tcPr>
          <w:p w14:paraId="5F2CB3F7" w14:textId="77777777" w:rsidR="00E836FB" w:rsidRDefault="00E836FB">
            <w:pPr>
              <w:rPr>
                <w:rFonts w:ascii="宋体"/>
                <w:vanish/>
              </w:rPr>
            </w:pPr>
          </w:p>
        </w:tc>
        <w:tc>
          <w:tcPr>
            <w:tcW w:w="0" w:type="auto"/>
            <w:gridSpan w:val="3"/>
            <w:shd w:val="clear" w:color="auto" w:fill="auto"/>
            <w:vAlign w:val="bottom"/>
          </w:tcPr>
          <w:p w14:paraId="5F2CB3F8" w14:textId="77777777" w:rsidR="00E836FB" w:rsidRDefault="00E836FB">
            <w:pPr>
              <w:rPr>
                <w:rFonts w:ascii="宋体"/>
                <w:vanish/>
              </w:rPr>
            </w:pPr>
          </w:p>
        </w:tc>
        <w:tc>
          <w:tcPr>
            <w:tcW w:w="0" w:type="auto"/>
            <w:gridSpan w:val="2"/>
            <w:shd w:val="clear" w:color="auto" w:fill="auto"/>
            <w:vAlign w:val="bottom"/>
          </w:tcPr>
          <w:p w14:paraId="5F2CB3F9" w14:textId="77777777" w:rsidR="00E836FB" w:rsidRDefault="00E836FB">
            <w:pPr>
              <w:rPr>
                <w:rFonts w:ascii="宋体"/>
                <w:vanish/>
              </w:rPr>
            </w:pPr>
          </w:p>
        </w:tc>
        <w:tc>
          <w:tcPr>
            <w:tcW w:w="0" w:type="auto"/>
            <w:shd w:val="clear" w:color="auto" w:fill="auto"/>
            <w:vAlign w:val="bottom"/>
          </w:tcPr>
          <w:p w14:paraId="5F2CB3FA" w14:textId="77777777" w:rsidR="00E836FB" w:rsidRDefault="00E836FB">
            <w:pPr>
              <w:rPr>
                <w:rFonts w:ascii="宋体"/>
                <w:vanish/>
              </w:rPr>
            </w:pPr>
          </w:p>
        </w:tc>
      </w:tr>
      <w:tr w:rsidR="00E836FB" w14:paraId="5F2CB412" w14:textId="77777777">
        <w:trPr>
          <w:hidden/>
        </w:trPr>
        <w:tc>
          <w:tcPr>
            <w:tcW w:w="0" w:type="auto"/>
            <w:gridSpan w:val="3"/>
            <w:shd w:val="clear" w:color="auto" w:fill="auto"/>
            <w:vAlign w:val="bottom"/>
          </w:tcPr>
          <w:p w14:paraId="5F2CB3FC" w14:textId="77777777" w:rsidR="00E836FB" w:rsidRDefault="00E836FB">
            <w:pPr>
              <w:rPr>
                <w:rFonts w:ascii="宋体"/>
                <w:vanish/>
              </w:rPr>
            </w:pPr>
          </w:p>
        </w:tc>
        <w:tc>
          <w:tcPr>
            <w:tcW w:w="0" w:type="auto"/>
            <w:gridSpan w:val="3"/>
            <w:shd w:val="clear" w:color="auto" w:fill="auto"/>
            <w:vAlign w:val="bottom"/>
          </w:tcPr>
          <w:p w14:paraId="5F2CB3FD" w14:textId="77777777" w:rsidR="00E836FB" w:rsidRDefault="00E836FB">
            <w:pPr>
              <w:rPr>
                <w:rFonts w:ascii="宋体"/>
                <w:vanish/>
              </w:rPr>
            </w:pPr>
          </w:p>
        </w:tc>
        <w:tc>
          <w:tcPr>
            <w:tcW w:w="0" w:type="auto"/>
            <w:gridSpan w:val="3"/>
            <w:shd w:val="clear" w:color="auto" w:fill="auto"/>
            <w:vAlign w:val="bottom"/>
          </w:tcPr>
          <w:p w14:paraId="5F2CB3FE" w14:textId="77777777" w:rsidR="00E836FB" w:rsidRDefault="00E836FB">
            <w:pPr>
              <w:rPr>
                <w:rFonts w:ascii="宋体"/>
                <w:vanish/>
              </w:rPr>
            </w:pPr>
          </w:p>
        </w:tc>
        <w:tc>
          <w:tcPr>
            <w:tcW w:w="0" w:type="auto"/>
            <w:gridSpan w:val="3"/>
            <w:shd w:val="clear" w:color="auto" w:fill="auto"/>
            <w:vAlign w:val="bottom"/>
          </w:tcPr>
          <w:p w14:paraId="5F2CB3FF" w14:textId="77777777" w:rsidR="00E836FB" w:rsidRDefault="00E836FB">
            <w:pPr>
              <w:rPr>
                <w:rFonts w:ascii="宋体"/>
                <w:vanish/>
              </w:rPr>
            </w:pPr>
          </w:p>
        </w:tc>
        <w:tc>
          <w:tcPr>
            <w:tcW w:w="0" w:type="auto"/>
            <w:gridSpan w:val="3"/>
            <w:shd w:val="clear" w:color="auto" w:fill="auto"/>
            <w:vAlign w:val="bottom"/>
          </w:tcPr>
          <w:p w14:paraId="5F2CB400" w14:textId="77777777" w:rsidR="00E836FB" w:rsidRDefault="00E836FB">
            <w:pPr>
              <w:rPr>
                <w:rFonts w:ascii="宋体"/>
                <w:vanish/>
              </w:rPr>
            </w:pPr>
          </w:p>
        </w:tc>
        <w:tc>
          <w:tcPr>
            <w:tcW w:w="0" w:type="auto"/>
            <w:gridSpan w:val="3"/>
            <w:shd w:val="clear" w:color="auto" w:fill="auto"/>
            <w:vAlign w:val="bottom"/>
          </w:tcPr>
          <w:p w14:paraId="5F2CB401" w14:textId="77777777" w:rsidR="00E836FB" w:rsidRDefault="00E836FB">
            <w:pPr>
              <w:rPr>
                <w:rFonts w:ascii="宋体"/>
                <w:vanish/>
              </w:rPr>
            </w:pPr>
          </w:p>
        </w:tc>
        <w:tc>
          <w:tcPr>
            <w:tcW w:w="0" w:type="auto"/>
            <w:gridSpan w:val="3"/>
            <w:shd w:val="clear" w:color="auto" w:fill="auto"/>
            <w:vAlign w:val="bottom"/>
          </w:tcPr>
          <w:p w14:paraId="5F2CB402" w14:textId="77777777" w:rsidR="00E836FB" w:rsidRDefault="00E836FB">
            <w:pPr>
              <w:rPr>
                <w:rFonts w:ascii="宋体"/>
                <w:vanish/>
              </w:rPr>
            </w:pPr>
          </w:p>
        </w:tc>
        <w:tc>
          <w:tcPr>
            <w:tcW w:w="0" w:type="auto"/>
            <w:gridSpan w:val="3"/>
            <w:shd w:val="clear" w:color="auto" w:fill="auto"/>
            <w:vAlign w:val="bottom"/>
          </w:tcPr>
          <w:p w14:paraId="5F2CB403" w14:textId="77777777" w:rsidR="00E836FB" w:rsidRDefault="00E836FB">
            <w:pPr>
              <w:rPr>
                <w:rFonts w:ascii="宋体"/>
                <w:vanish/>
              </w:rPr>
            </w:pPr>
          </w:p>
        </w:tc>
        <w:tc>
          <w:tcPr>
            <w:tcW w:w="0" w:type="auto"/>
            <w:gridSpan w:val="3"/>
            <w:shd w:val="clear" w:color="auto" w:fill="auto"/>
            <w:vAlign w:val="bottom"/>
          </w:tcPr>
          <w:p w14:paraId="5F2CB404" w14:textId="77777777" w:rsidR="00E836FB" w:rsidRDefault="00E836FB">
            <w:pPr>
              <w:rPr>
                <w:rFonts w:ascii="宋体"/>
                <w:vanish/>
              </w:rPr>
            </w:pPr>
          </w:p>
        </w:tc>
        <w:tc>
          <w:tcPr>
            <w:tcW w:w="0" w:type="auto"/>
            <w:gridSpan w:val="3"/>
            <w:shd w:val="clear" w:color="auto" w:fill="auto"/>
            <w:vAlign w:val="bottom"/>
          </w:tcPr>
          <w:p w14:paraId="5F2CB405" w14:textId="77777777" w:rsidR="00E836FB" w:rsidRDefault="00E836FB">
            <w:pPr>
              <w:rPr>
                <w:rFonts w:ascii="宋体"/>
                <w:vanish/>
              </w:rPr>
            </w:pPr>
          </w:p>
        </w:tc>
        <w:tc>
          <w:tcPr>
            <w:tcW w:w="0" w:type="auto"/>
            <w:gridSpan w:val="3"/>
            <w:shd w:val="clear" w:color="auto" w:fill="auto"/>
            <w:vAlign w:val="bottom"/>
          </w:tcPr>
          <w:p w14:paraId="5F2CB406" w14:textId="77777777" w:rsidR="00E836FB" w:rsidRDefault="00E836FB">
            <w:pPr>
              <w:rPr>
                <w:rFonts w:ascii="宋体"/>
                <w:vanish/>
              </w:rPr>
            </w:pPr>
          </w:p>
        </w:tc>
        <w:tc>
          <w:tcPr>
            <w:tcW w:w="0" w:type="auto"/>
            <w:gridSpan w:val="3"/>
            <w:shd w:val="clear" w:color="auto" w:fill="auto"/>
            <w:vAlign w:val="bottom"/>
          </w:tcPr>
          <w:p w14:paraId="5F2CB407" w14:textId="77777777" w:rsidR="00E836FB" w:rsidRDefault="00E836FB">
            <w:pPr>
              <w:rPr>
                <w:rFonts w:ascii="宋体"/>
                <w:vanish/>
              </w:rPr>
            </w:pPr>
          </w:p>
        </w:tc>
        <w:tc>
          <w:tcPr>
            <w:tcW w:w="0" w:type="auto"/>
            <w:gridSpan w:val="3"/>
            <w:shd w:val="clear" w:color="auto" w:fill="auto"/>
            <w:vAlign w:val="bottom"/>
          </w:tcPr>
          <w:p w14:paraId="5F2CB408" w14:textId="77777777" w:rsidR="00E836FB" w:rsidRDefault="00E836FB">
            <w:pPr>
              <w:rPr>
                <w:rFonts w:ascii="宋体"/>
                <w:vanish/>
              </w:rPr>
            </w:pPr>
          </w:p>
        </w:tc>
        <w:tc>
          <w:tcPr>
            <w:tcW w:w="0" w:type="auto"/>
            <w:gridSpan w:val="3"/>
            <w:shd w:val="clear" w:color="auto" w:fill="auto"/>
            <w:vAlign w:val="bottom"/>
          </w:tcPr>
          <w:p w14:paraId="5F2CB409" w14:textId="77777777" w:rsidR="00E836FB" w:rsidRDefault="00E836FB">
            <w:pPr>
              <w:rPr>
                <w:rFonts w:ascii="宋体"/>
                <w:vanish/>
              </w:rPr>
            </w:pPr>
          </w:p>
        </w:tc>
        <w:tc>
          <w:tcPr>
            <w:tcW w:w="0" w:type="auto"/>
            <w:gridSpan w:val="3"/>
            <w:shd w:val="clear" w:color="auto" w:fill="auto"/>
            <w:vAlign w:val="bottom"/>
          </w:tcPr>
          <w:p w14:paraId="5F2CB40A" w14:textId="77777777" w:rsidR="00E836FB" w:rsidRDefault="00E836FB">
            <w:pPr>
              <w:rPr>
                <w:rFonts w:ascii="宋体"/>
                <w:vanish/>
              </w:rPr>
            </w:pPr>
          </w:p>
        </w:tc>
        <w:tc>
          <w:tcPr>
            <w:tcW w:w="0" w:type="auto"/>
            <w:gridSpan w:val="3"/>
            <w:shd w:val="clear" w:color="auto" w:fill="auto"/>
            <w:vAlign w:val="bottom"/>
          </w:tcPr>
          <w:p w14:paraId="5F2CB40B" w14:textId="77777777" w:rsidR="00E836FB" w:rsidRDefault="00E836FB">
            <w:pPr>
              <w:rPr>
                <w:rFonts w:ascii="宋体"/>
                <w:vanish/>
              </w:rPr>
            </w:pPr>
          </w:p>
        </w:tc>
        <w:tc>
          <w:tcPr>
            <w:tcW w:w="0" w:type="auto"/>
            <w:gridSpan w:val="3"/>
            <w:shd w:val="clear" w:color="auto" w:fill="auto"/>
            <w:vAlign w:val="bottom"/>
          </w:tcPr>
          <w:p w14:paraId="5F2CB40C" w14:textId="77777777" w:rsidR="00E836FB" w:rsidRDefault="00E836FB">
            <w:pPr>
              <w:rPr>
                <w:rFonts w:ascii="宋体"/>
                <w:vanish/>
              </w:rPr>
            </w:pPr>
          </w:p>
        </w:tc>
        <w:tc>
          <w:tcPr>
            <w:tcW w:w="0" w:type="auto"/>
            <w:gridSpan w:val="3"/>
            <w:shd w:val="clear" w:color="auto" w:fill="auto"/>
            <w:vAlign w:val="bottom"/>
          </w:tcPr>
          <w:p w14:paraId="5F2CB40D" w14:textId="77777777" w:rsidR="00E836FB" w:rsidRDefault="00E836FB">
            <w:pPr>
              <w:rPr>
                <w:rFonts w:ascii="宋体"/>
                <w:vanish/>
              </w:rPr>
            </w:pPr>
          </w:p>
        </w:tc>
        <w:tc>
          <w:tcPr>
            <w:tcW w:w="0" w:type="auto"/>
            <w:gridSpan w:val="3"/>
            <w:shd w:val="clear" w:color="auto" w:fill="auto"/>
            <w:vAlign w:val="bottom"/>
          </w:tcPr>
          <w:p w14:paraId="5F2CB40E" w14:textId="77777777" w:rsidR="00E836FB" w:rsidRDefault="00E836FB">
            <w:pPr>
              <w:rPr>
                <w:rFonts w:ascii="宋体"/>
                <w:vanish/>
              </w:rPr>
            </w:pPr>
          </w:p>
        </w:tc>
        <w:tc>
          <w:tcPr>
            <w:tcW w:w="0" w:type="auto"/>
            <w:gridSpan w:val="3"/>
            <w:shd w:val="clear" w:color="auto" w:fill="auto"/>
            <w:vAlign w:val="bottom"/>
          </w:tcPr>
          <w:p w14:paraId="5F2CB40F" w14:textId="77777777" w:rsidR="00E836FB" w:rsidRDefault="00E836FB">
            <w:pPr>
              <w:rPr>
                <w:rFonts w:ascii="宋体"/>
                <w:vanish/>
              </w:rPr>
            </w:pPr>
          </w:p>
        </w:tc>
        <w:tc>
          <w:tcPr>
            <w:tcW w:w="0" w:type="auto"/>
            <w:gridSpan w:val="2"/>
            <w:shd w:val="clear" w:color="auto" w:fill="auto"/>
            <w:vAlign w:val="bottom"/>
          </w:tcPr>
          <w:p w14:paraId="5F2CB410" w14:textId="77777777" w:rsidR="00E836FB" w:rsidRDefault="00E836FB">
            <w:pPr>
              <w:rPr>
                <w:rFonts w:ascii="宋体"/>
                <w:vanish/>
              </w:rPr>
            </w:pPr>
          </w:p>
        </w:tc>
        <w:tc>
          <w:tcPr>
            <w:tcW w:w="0" w:type="auto"/>
            <w:shd w:val="clear" w:color="auto" w:fill="auto"/>
            <w:vAlign w:val="bottom"/>
          </w:tcPr>
          <w:p w14:paraId="5F2CB411" w14:textId="77777777" w:rsidR="00E836FB" w:rsidRDefault="00E836FB">
            <w:pPr>
              <w:rPr>
                <w:rFonts w:ascii="宋体"/>
                <w:vanish/>
              </w:rPr>
            </w:pPr>
          </w:p>
        </w:tc>
      </w:tr>
      <w:tr w:rsidR="00E836FB" w14:paraId="5F2CB429" w14:textId="77777777">
        <w:trPr>
          <w:hidden/>
        </w:trPr>
        <w:tc>
          <w:tcPr>
            <w:tcW w:w="0" w:type="auto"/>
            <w:gridSpan w:val="3"/>
            <w:shd w:val="clear" w:color="auto" w:fill="auto"/>
            <w:vAlign w:val="bottom"/>
          </w:tcPr>
          <w:p w14:paraId="5F2CB413" w14:textId="77777777" w:rsidR="00E836FB" w:rsidRDefault="00E836FB">
            <w:pPr>
              <w:rPr>
                <w:rFonts w:ascii="宋体"/>
                <w:vanish/>
              </w:rPr>
            </w:pPr>
          </w:p>
        </w:tc>
        <w:tc>
          <w:tcPr>
            <w:tcW w:w="0" w:type="auto"/>
            <w:gridSpan w:val="3"/>
            <w:shd w:val="clear" w:color="auto" w:fill="auto"/>
            <w:vAlign w:val="bottom"/>
          </w:tcPr>
          <w:p w14:paraId="5F2CB414" w14:textId="77777777" w:rsidR="00E836FB" w:rsidRDefault="00E836FB">
            <w:pPr>
              <w:rPr>
                <w:rFonts w:ascii="宋体"/>
                <w:vanish/>
              </w:rPr>
            </w:pPr>
          </w:p>
        </w:tc>
        <w:tc>
          <w:tcPr>
            <w:tcW w:w="0" w:type="auto"/>
            <w:gridSpan w:val="3"/>
            <w:shd w:val="clear" w:color="auto" w:fill="auto"/>
            <w:vAlign w:val="bottom"/>
          </w:tcPr>
          <w:p w14:paraId="5F2CB415" w14:textId="77777777" w:rsidR="00E836FB" w:rsidRDefault="00E836FB">
            <w:pPr>
              <w:rPr>
                <w:rFonts w:ascii="宋体"/>
                <w:vanish/>
              </w:rPr>
            </w:pPr>
          </w:p>
        </w:tc>
        <w:tc>
          <w:tcPr>
            <w:tcW w:w="0" w:type="auto"/>
            <w:gridSpan w:val="3"/>
            <w:shd w:val="clear" w:color="auto" w:fill="auto"/>
            <w:vAlign w:val="bottom"/>
          </w:tcPr>
          <w:p w14:paraId="5F2CB416" w14:textId="77777777" w:rsidR="00E836FB" w:rsidRDefault="00E836FB">
            <w:pPr>
              <w:rPr>
                <w:rFonts w:ascii="宋体"/>
                <w:vanish/>
              </w:rPr>
            </w:pPr>
          </w:p>
        </w:tc>
        <w:tc>
          <w:tcPr>
            <w:tcW w:w="0" w:type="auto"/>
            <w:gridSpan w:val="3"/>
            <w:shd w:val="clear" w:color="auto" w:fill="auto"/>
            <w:vAlign w:val="bottom"/>
          </w:tcPr>
          <w:p w14:paraId="5F2CB417" w14:textId="77777777" w:rsidR="00E836FB" w:rsidRDefault="00E836FB">
            <w:pPr>
              <w:rPr>
                <w:rFonts w:ascii="宋体"/>
                <w:vanish/>
              </w:rPr>
            </w:pPr>
          </w:p>
        </w:tc>
        <w:tc>
          <w:tcPr>
            <w:tcW w:w="0" w:type="auto"/>
            <w:gridSpan w:val="3"/>
            <w:shd w:val="clear" w:color="auto" w:fill="auto"/>
            <w:vAlign w:val="bottom"/>
          </w:tcPr>
          <w:p w14:paraId="5F2CB418" w14:textId="77777777" w:rsidR="00E836FB" w:rsidRDefault="00E836FB">
            <w:pPr>
              <w:rPr>
                <w:rFonts w:ascii="宋体"/>
                <w:vanish/>
              </w:rPr>
            </w:pPr>
          </w:p>
        </w:tc>
        <w:tc>
          <w:tcPr>
            <w:tcW w:w="0" w:type="auto"/>
            <w:gridSpan w:val="3"/>
            <w:shd w:val="clear" w:color="auto" w:fill="auto"/>
            <w:vAlign w:val="bottom"/>
          </w:tcPr>
          <w:p w14:paraId="5F2CB419" w14:textId="77777777" w:rsidR="00E836FB" w:rsidRDefault="00E836FB">
            <w:pPr>
              <w:rPr>
                <w:rFonts w:ascii="宋体"/>
                <w:vanish/>
              </w:rPr>
            </w:pPr>
          </w:p>
        </w:tc>
        <w:tc>
          <w:tcPr>
            <w:tcW w:w="0" w:type="auto"/>
            <w:gridSpan w:val="3"/>
            <w:shd w:val="clear" w:color="auto" w:fill="auto"/>
            <w:vAlign w:val="bottom"/>
          </w:tcPr>
          <w:p w14:paraId="5F2CB41A" w14:textId="77777777" w:rsidR="00E836FB" w:rsidRDefault="00E836FB">
            <w:pPr>
              <w:rPr>
                <w:rFonts w:ascii="宋体"/>
                <w:vanish/>
              </w:rPr>
            </w:pPr>
          </w:p>
        </w:tc>
        <w:tc>
          <w:tcPr>
            <w:tcW w:w="0" w:type="auto"/>
            <w:gridSpan w:val="3"/>
            <w:shd w:val="clear" w:color="auto" w:fill="auto"/>
            <w:vAlign w:val="bottom"/>
          </w:tcPr>
          <w:p w14:paraId="5F2CB41B" w14:textId="77777777" w:rsidR="00E836FB" w:rsidRDefault="00E836FB">
            <w:pPr>
              <w:rPr>
                <w:rFonts w:ascii="宋体"/>
                <w:vanish/>
              </w:rPr>
            </w:pPr>
          </w:p>
        </w:tc>
        <w:tc>
          <w:tcPr>
            <w:tcW w:w="0" w:type="auto"/>
            <w:gridSpan w:val="3"/>
            <w:shd w:val="clear" w:color="auto" w:fill="auto"/>
            <w:vAlign w:val="bottom"/>
          </w:tcPr>
          <w:p w14:paraId="5F2CB41C" w14:textId="77777777" w:rsidR="00E836FB" w:rsidRDefault="00E836FB">
            <w:pPr>
              <w:rPr>
                <w:rFonts w:ascii="宋体"/>
                <w:vanish/>
              </w:rPr>
            </w:pPr>
          </w:p>
        </w:tc>
        <w:tc>
          <w:tcPr>
            <w:tcW w:w="0" w:type="auto"/>
            <w:gridSpan w:val="3"/>
            <w:shd w:val="clear" w:color="auto" w:fill="auto"/>
            <w:vAlign w:val="bottom"/>
          </w:tcPr>
          <w:p w14:paraId="5F2CB41D" w14:textId="77777777" w:rsidR="00E836FB" w:rsidRDefault="00E836FB">
            <w:pPr>
              <w:rPr>
                <w:rFonts w:ascii="宋体"/>
                <w:vanish/>
              </w:rPr>
            </w:pPr>
          </w:p>
        </w:tc>
        <w:tc>
          <w:tcPr>
            <w:tcW w:w="0" w:type="auto"/>
            <w:gridSpan w:val="3"/>
            <w:shd w:val="clear" w:color="auto" w:fill="auto"/>
            <w:vAlign w:val="bottom"/>
          </w:tcPr>
          <w:p w14:paraId="5F2CB41E" w14:textId="77777777" w:rsidR="00E836FB" w:rsidRDefault="00E836FB">
            <w:pPr>
              <w:rPr>
                <w:rFonts w:ascii="宋体"/>
                <w:vanish/>
              </w:rPr>
            </w:pPr>
          </w:p>
        </w:tc>
        <w:tc>
          <w:tcPr>
            <w:tcW w:w="0" w:type="auto"/>
            <w:gridSpan w:val="3"/>
            <w:shd w:val="clear" w:color="auto" w:fill="auto"/>
            <w:vAlign w:val="bottom"/>
          </w:tcPr>
          <w:p w14:paraId="5F2CB41F" w14:textId="77777777" w:rsidR="00E836FB" w:rsidRDefault="00E836FB">
            <w:pPr>
              <w:rPr>
                <w:rFonts w:ascii="宋体"/>
                <w:vanish/>
              </w:rPr>
            </w:pPr>
          </w:p>
        </w:tc>
        <w:tc>
          <w:tcPr>
            <w:tcW w:w="0" w:type="auto"/>
            <w:gridSpan w:val="3"/>
            <w:shd w:val="clear" w:color="auto" w:fill="auto"/>
            <w:vAlign w:val="bottom"/>
          </w:tcPr>
          <w:p w14:paraId="5F2CB420" w14:textId="77777777" w:rsidR="00E836FB" w:rsidRDefault="00E836FB">
            <w:pPr>
              <w:rPr>
                <w:rFonts w:ascii="宋体"/>
                <w:vanish/>
              </w:rPr>
            </w:pPr>
          </w:p>
        </w:tc>
        <w:tc>
          <w:tcPr>
            <w:tcW w:w="0" w:type="auto"/>
            <w:gridSpan w:val="3"/>
            <w:shd w:val="clear" w:color="auto" w:fill="auto"/>
            <w:vAlign w:val="bottom"/>
          </w:tcPr>
          <w:p w14:paraId="5F2CB421" w14:textId="77777777" w:rsidR="00E836FB" w:rsidRDefault="00E836FB">
            <w:pPr>
              <w:rPr>
                <w:rFonts w:ascii="宋体"/>
                <w:vanish/>
              </w:rPr>
            </w:pPr>
          </w:p>
        </w:tc>
        <w:tc>
          <w:tcPr>
            <w:tcW w:w="0" w:type="auto"/>
            <w:gridSpan w:val="3"/>
            <w:shd w:val="clear" w:color="auto" w:fill="auto"/>
            <w:vAlign w:val="bottom"/>
          </w:tcPr>
          <w:p w14:paraId="5F2CB422" w14:textId="77777777" w:rsidR="00E836FB" w:rsidRDefault="00E836FB">
            <w:pPr>
              <w:rPr>
                <w:rFonts w:ascii="宋体"/>
                <w:vanish/>
              </w:rPr>
            </w:pPr>
          </w:p>
        </w:tc>
        <w:tc>
          <w:tcPr>
            <w:tcW w:w="0" w:type="auto"/>
            <w:gridSpan w:val="3"/>
            <w:shd w:val="clear" w:color="auto" w:fill="auto"/>
            <w:vAlign w:val="bottom"/>
          </w:tcPr>
          <w:p w14:paraId="5F2CB423" w14:textId="77777777" w:rsidR="00E836FB" w:rsidRDefault="00E836FB">
            <w:pPr>
              <w:rPr>
                <w:rFonts w:ascii="宋体"/>
                <w:vanish/>
              </w:rPr>
            </w:pPr>
          </w:p>
        </w:tc>
        <w:tc>
          <w:tcPr>
            <w:tcW w:w="0" w:type="auto"/>
            <w:gridSpan w:val="3"/>
            <w:shd w:val="clear" w:color="auto" w:fill="auto"/>
            <w:vAlign w:val="bottom"/>
          </w:tcPr>
          <w:p w14:paraId="5F2CB424" w14:textId="77777777" w:rsidR="00E836FB" w:rsidRDefault="00E836FB">
            <w:pPr>
              <w:rPr>
                <w:rFonts w:ascii="宋体"/>
                <w:vanish/>
              </w:rPr>
            </w:pPr>
          </w:p>
        </w:tc>
        <w:tc>
          <w:tcPr>
            <w:tcW w:w="0" w:type="auto"/>
            <w:gridSpan w:val="3"/>
            <w:shd w:val="clear" w:color="auto" w:fill="auto"/>
            <w:vAlign w:val="bottom"/>
          </w:tcPr>
          <w:p w14:paraId="5F2CB425" w14:textId="77777777" w:rsidR="00E836FB" w:rsidRDefault="00E836FB">
            <w:pPr>
              <w:rPr>
                <w:rFonts w:ascii="宋体"/>
                <w:vanish/>
              </w:rPr>
            </w:pPr>
          </w:p>
        </w:tc>
        <w:tc>
          <w:tcPr>
            <w:tcW w:w="0" w:type="auto"/>
            <w:gridSpan w:val="3"/>
            <w:shd w:val="clear" w:color="auto" w:fill="auto"/>
            <w:vAlign w:val="bottom"/>
          </w:tcPr>
          <w:p w14:paraId="5F2CB426" w14:textId="77777777" w:rsidR="00E836FB" w:rsidRDefault="00E836FB">
            <w:pPr>
              <w:rPr>
                <w:rFonts w:ascii="宋体"/>
                <w:vanish/>
              </w:rPr>
            </w:pPr>
          </w:p>
        </w:tc>
        <w:tc>
          <w:tcPr>
            <w:tcW w:w="0" w:type="auto"/>
            <w:gridSpan w:val="2"/>
            <w:shd w:val="clear" w:color="auto" w:fill="auto"/>
            <w:vAlign w:val="bottom"/>
          </w:tcPr>
          <w:p w14:paraId="5F2CB427" w14:textId="77777777" w:rsidR="00E836FB" w:rsidRDefault="00E836FB">
            <w:pPr>
              <w:rPr>
                <w:rFonts w:ascii="宋体"/>
                <w:vanish/>
              </w:rPr>
            </w:pPr>
          </w:p>
        </w:tc>
        <w:tc>
          <w:tcPr>
            <w:tcW w:w="0" w:type="auto"/>
            <w:shd w:val="clear" w:color="auto" w:fill="auto"/>
            <w:vAlign w:val="bottom"/>
          </w:tcPr>
          <w:p w14:paraId="5F2CB428" w14:textId="77777777" w:rsidR="00E836FB" w:rsidRDefault="00E836FB">
            <w:pPr>
              <w:rPr>
                <w:rFonts w:ascii="宋体"/>
                <w:vanish/>
              </w:rPr>
            </w:pPr>
          </w:p>
        </w:tc>
      </w:tr>
      <w:tr w:rsidR="00E836FB" w14:paraId="5F2CB440" w14:textId="77777777">
        <w:trPr>
          <w:hidden/>
        </w:trPr>
        <w:tc>
          <w:tcPr>
            <w:tcW w:w="0" w:type="auto"/>
            <w:gridSpan w:val="3"/>
            <w:shd w:val="clear" w:color="auto" w:fill="auto"/>
            <w:vAlign w:val="bottom"/>
          </w:tcPr>
          <w:p w14:paraId="5F2CB42A" w14:textId="77777777" w:rsidR="00E836FB" w:rsidRDefault="00E836FB">
            <w:pPr>
              <w:rPr>
                <w:rFonts w:ascii="宋体"/>
                <w:vanish/>
              </w:rPr>
            </w:pPr>
          </w:p>
        </w:tc>
        <w:tc>
          <w:tcPr>
            <w:tcW w:w="0" w:type="auto"/>
            <w:gridSpan w:val="3"/>
            <w:shd w:val="clear" w:color="auto" w:fill="auto"/>
            <w:vAlign w:val="bottom"/>
          </w:tcPr>
          <w:p w14:paraId="5F2CB42B" w14:textId="77777777" w:rsidR="00E836FB" w:rsidRDefault="00E836FB">
            <w:pPr>
              <w:rPr>
                <w:rFonts w:ascii="宋体"/>
                <w:vanish/>
              </w:rPr>
            </w:pPr>
          </w:p>
        </w:tc>
        <w:tc>
          <w:tcPr>
            <w:tcW w:w="0" w:type="auto"/>
            <w:gridSpan w:val="3"/>
            <w:shd w:val="clear" w:color="auto" w:fill="auto"/>
            <w:vAlign w:val="bottom"/>
          </w:tcPr>
          <w:p w14:paraId="5F2CB42C" w14:textId="77777777" w:rsidR="00E836FB" w:rsidRDefault="00E836FB">
            <w:pPr>
              <w:rPr>
                <w:rFonts w:ascii="宋体"/>
                <w:vanish/>
              </w:rPr>
            </w:pPr>
          </w:p>
        </w:tc>
        <w:tc>
          <w:tcPr>
            <w:tcW w:w="0" w:type="auto"/>
            <w:gridSpan w:val="3"/>
            <w:shd w:val="clear" w:color="auto" w:fill="auto"/>
            <w:vAlign w:val="bottom"/>
          </w:tcPr>
          <w:p w14:paraId="5F2CB42D" w14:textId="77777777" w:rsidR="00E836FB" w:rsidRDefault="00E836FB">
            <w:pPr>
              <w:rPr>
                <w:rFonts w:ascii="宋体"/>
                <w:vanish/>
              </w:rPr>
            </w:pPr>
          </w:p>
        </w:tc>
        <w:tc>
          <w:tcPr>
            <w:tcW w:w="0" w:type="auto"/>
            <w:gridSpan w:val="3"/>
            <w:shd w:val="clear" w:color="auto" w:fill="auto"/>
            <w:vAlign w:val="bottom"/>
          </w:tcPr>
          <w:p w14:paraId="5F2CB42E" w14:textId="77777777" w:rsidR="00E836FB" w:rsidRDefault="00E836FB">
            <w:pPr>
              <w:rPr>
                <w:rFonts w:ascii="宋体"/>
                <w:vanish/>
              </w:rPr>
            </w:pPr>
          </w:p>
        </w:tc>
        <w:tc>
          <w:tcPr>
            <w:tcW w:w="0" w:type="auto"/>
            <w:gridSpan w:val="3"/>
            <w:shd w:val="clear" w:color="auto" w:fill="auto"/>
            <w:vAlign w:val="bottom"/>
          </w:tcPr>
          <w:p w14:paraId="5F2CB42F" w14:textId="77777777" w:rsidR="00E836FB" w:rsidRDefault="00E836FB">
            <w:pPr>
              <w:rPr>
                <w:rFonts w:ascii="宋体"/>
                <w:vanish/>
              </w:rPr>
            </w:pPr>
          </w:p>
        </w:tc>
        <w:tc>
          <w:tcPr>
            <w:tcW w:w="0" w:type="auto"/>
            <w:gridSpan w:val="3"/>
            <w:shd w:val="clear" w:color="auto" w:fill="auto"/>
            <w:vAlign w:val="bottom"/>
          </w:tcPr>
          <w:p w14:paraId="5F2CB430" w14:textId="77777777" w:rsidR="00E836FB" w:rsidRDefault="00E836FB">
            <w:pPr>
              <w:rPr>
                <w:rFonts w:ascii="宋体"/>
                <w:vanish/>
              </w:rPr>
            </w:pPr>
          </w:p>
        </w:tc>
        <w:tc>
          <w:tcPr>
            <w:tcW w:w="0" w:type="auto"/>
            <w:gridSpan w:val="3"/>
            <w:shd w:val="clear" w:color="auto" w:fill="auto"/>
            <w:vAlign w:val="bottom"/>
          </w:tcPr>
          <w:p w14:paraId="5F2CB431" w14:textId="77777777" w:rsidR="00E836FB" w:rsidRDefault="00E836FB">
            <w:pPr>
              <w:rPr>
                <w:rFonts w:ascii="宋体"/>
                <w:vanish/>
              </w:rPr>
            </w:pPr>
          </w:p>
        </w:tc>
        <w:tc>
          <w:tcPr>
            <w:tcW w:w="0" w:type="auto"/>
            <w:gridSpan w:val="3"/>
            <w:shd w:val="clear" w:color="auto" w:fill="auto"/>
            <w:vAlign w:val="bottom"/>
          </w:tcPr>
          <w:p w14:paraId="5F2CB432" w14:textId="77777777" w:rsidR="00E836FB" w:rsidRDefault="00E836FB">
            <w:pPr>
              <w:rPr>
                <w:rFonts w:ascii="宋体"/>
                <w:vanish/>
              </w:rPr>
            </w:pPr>
          </w:p>
        </w:tc>
        <w:tc>
          <w:tcPr>
            <w:tcW w:w="0" w:type="auto"/>
            <w:gridSpan w:val="3"/>
            <w:shd w:val="clear" w:color="auto" w:fill="auto"/>
            <w:vAlign w:val="bottom"/>
          </w:tcPr>
          <w:p w14:paraId="5F2CB433" w14:textId="77777777" w:rsidR="00E836FB" w:rsidRDefault="00E836FB">
            <w:pPr>
              <w:rPr>
                <w:rFonts w:ascii="宋体"/>
                <w:vanish/>
              </w:rPr>
            </w:pPr>
          </w:p>
        </w:tc>
        <w:tc>
          <w:tcPr>
            <w:tcW w:w="0" w:type="auto"/>
            <w:gridSpan w:val="3"/>
            <w:shd w:val="clear" w:color="auto" w:fill="auto"/>
            <w:vAlign w:val="bottom"/>
          </w:tcPr>
          <w:p w14:paraId="5F2CB434" w14:textId="77777777" w:rsidR="00E836FB" w:rsidRDefault="00E836FB">
            <w:pPr>
              <w:rPr>
                <w:rFonts w:ascii="宋体"/>
                <w:vanish/>
              </w:rPr>
            </w:pPr>
          </w:p>
        </w:tc>
        <w:tc>
          <w:tcPr>
            <w:tcW w:w="0" w:type="auto"/>
            <w:gridSpan w:val="3"/>
            <w:shd w:val="clear" w:color="auto" w:fill="auto"/>
            <w:vAlign w:val="bottom"/>
          </w:tcPr>
          <w:p w14:paraId="5F2CB435" w14:textId="77777777" w:rsidR="00E836FB" w:rsidRDefault="00E836FB">
            <w:pPr>
              <w:rPr>
                <w:rFonts w:ascii="宋体"/>
                <w:vanish/>
              </w:rPr>
            </w:pPr>
          </w:p>
        </w:tc>
        <w:tc>
          <w:tcPr>
            <w:tcW w:w="0" w:type="auto"/>
            <w:gridSpan w:val="3"/>
            <w:shd w:val="clear" w:color="auto" w:fill="auto"/>
            <w:vAlign w:val="bottom"/>
          </w:tcPr>
          <w:p w14:paraId="5F2CB436" w14:textId="77777777" w:rsidR="00E836FB" w:rsidRDefault="00E836FB">
            <w:pPr>
              <w:rPr>
                <w:rFonts w:ascii="宋体"/>
                <w:vanish/>
              </w:rPr>
            </w:pPr>
          </w:p>
        </w:tc>
        <w:tc>
          <w:tcPr>
            <w:tcW w:w="0" w:type="auto"/>
            <w:gridSpan w:val="3"/>
            <w:shd w:val="clear" w:color="auto" w:fill="auto"/>
            <w:vAlign w:val="bottom"/>
          </w:tcPr>
          <w:p w14:paraId="5F2CB437" w14:textId="77777777" w:rsidR="00E836FB" w:rsidRDefault="00E836FB">
            <w:pPr>
              <w:rPr>
                <w:rFonts w:ascii="宋体"/>
                <w:vanish/>
              </w:rPr>
            </w:pPr>
          </w:p>
        </w:tc>
        <w:tc>
          <w:tcPr>
            <w:tcW w:w="0" w:type="auto"/>
            <w:gridSpan w:val="3"/>
            <w:shd w:val="clear" w:color="auto" w:fill="auto"/>
            <w:vAlign w:val="bottom"/>
          </w:tcPr>
          <w:p w14:paraId="5F2CB438" w14:textId="77777777" w:rsidR="00E836FB" w:rsidRDefault="00E836FB">
            <w:pPr>
              <w:rPr>
                <w:rFonts w:ascii="宋体"/>
                <w:vanish/>
              </w:rPr>
            </w:pPr>
          </w:p>
        </w:tc>
        <w:tc>
          <w:tcPr>
            <w:tcW w:w="0" w:type="auto"/>
            <w:gridSpan w:val="3"/>
            <w:shd w:val="clear" w:color="auto" w:fill="auto"/>
            <w:vAlign w:val="bottom"/>
          </w:tcPr>
          <w:p w14:paraId="5F2CB439" w14:textId="77777777" w:rsidR="00E836FB" w:rsidRDefault="00E836FB">
            <w:pPr>
              <w:rPr>
                <w:rFonts w:ascii="宋体"/>
                <w:vanish/>
              </w:rPr>
            </w:pPr>
          </w:p>
        </w:tc>
        <w:tc>
          <w:tcPr>
            <w:tcW w:w="0" w:type="auto"/>
            <w:gridSpan w:val="3"/>
            <w:shd w:val="clear" w:color="auto" w:fill="auto"/>
            <w:vAlign w:val="bottom"/>
          </w:tcPr>
          <w:p w14:paraId="5F2CB43A" w14:textId="77777777" w:rsidR="00E836FB" w:rsidRDefault="00E836FB">
            <w:pPr>
              <w:rPr>
                <w:rFonts w:ascii="宋体"/>
                <w:vanish/>
              </w:rPr>
            </w:pPr>
          </w:p>
        </w:tc>
        <w:tc>
          <w:tcPr>
            <w:tcW w:w="0" w:type="auto"/>
            <w:gridSpan w:val="3"/>
            <w:shd w:val="clear" w:color="auto" w:fill="auto"/>
            <w:vAlign w:val="bottom"/>
          </w:tcPr>
          <w:p w14:paraId="5F2CB43B" w14:textId="77777777" w:rsidR="00E836FB" w:rsidRDefault="00E836FB">
            <w:pPr>
              <w:rPr>
                <w:rFonts w:ascii="宋体"/>
                <w:vanish/>
              </w:rPr>
            </w:pPr>
          </w:p>
        </w:tc>
        <w:tc>
          <w:tcPr>
            <w:tcW w:w="0" w:type="auto"/>
            <w:gridSpan w:val="3"/>
            <w:shd w:val="clear" w:color="auto" w:fill="auto"/>
            <w:vAlign w:val="bottom"/>
          </w:tcPr>
          <w:p w14:paraId="5F2CB43C" w14:textId="77777777" w:rsidR="00E836FB" w:rsidRDefault="00E836FB">
            <w:pPr>
              <w:rPr>
                <w:rFonts w:ascii="宋体"/>
                <w:vanish/>
              </w:rPr>
            </w:pPr>
          </w:p>
        </w:tc>
        <w:tc>
          <w:tcPr>
            <w:tcW w:w="0" w:type="auto"/>
            <w:gridSpan w:val="3"/>
            <w:shd w:val="clear" w:color="auto" w:fill="auto"/>
            <w:vAlign w:val="bottom"/>
          </w:tcPr>
          <w:p w14:paraId="5F2CB43D" w14:textId="77777777" w:rsidR="00E836FB" w:rsidRDefault="00E836FB">
            <w:pPr>
              <w:rPr>
                <w:rFonts w:ascii="宋体"/>
                <w:vanish/>
              </w:rPr>
            </w:pPr>
          </w:p>
        </w:tc>
        <w:tc>
          <w:tcPr>
            <w:tcW w:w="0" w:type="auto"/>
            <w:gridSpan w:val="2"/>
            <w:shd w:val="clear" w:color="auto" w:fill="auto"/>
            <w:vAlign w:val="bottom"/>
          </w:tcPr>
          <w:p w14:paraId="5F2CB43E" w14:textId="77777777" w:rsidR="00E836FB" w:rsidRDefault="00E836FB">
            <w:pPr>
              <w:rPr>
                <w:rFonts w:ascii="宋体"/>
                <w:vanish/>
              </w:rPr>
            </w:pPr>
          </w:p>
        </w:tc>
        <w:tc>
          <w:tcPr>
            <w:tcW w:w="0" w:type="auto"/>
            <w:shd w:val="clear" w:color="auto" w:fill="auto"/>
            <w:vAlign w:val="bottom"/>
          </w:tcPr>
          <w:p w14:paraId="5F2CB43F" w14:textId="77777777" w:rsidR="00E836FB" w:rsidRDefault="00E836FB">
            <w:pPr>
              <w:rPr>
                <w:rFonts w:ascii="宋体"/>
                <w:vanish/>
              </w:rPr>
            </w:pPr>
          </w:p>
        </w:tc>
      </w:tr>
      <w:tr w:rsidR="00E836FB" w14:paraId="5F2CB457" w14:textId="77777777">
        <w:trPr>
          <w:hidden/>
        </w:trPr>
        <w:tc>
          <w:tcPr>
            <w:tcW w:w="0" w:type="auto"/>
            <w:gridSpan w:val="3"/>
            <w:shd w:val="clear" w:color="auto" w:fill="auto"/>
            <w:vAlign w:val="bottom"/>
          </w:tcPr>
          <w:p w14:paraId="5F2CB441" w14:textId="77777777" w:rsidR="00E836FB" w:rsidRDefault="00E836FB">
            <w:pPr>
              <w:rPr>
                <w:rFonts w:ascii="宋体"/>
                <w:vanish/>
              </w:rPr>
            </w:pPr>
          </w:p>
        </w:tc>
        <w:tc>
          <w:tcPr>
            <w:tcW w:w="0" w:type="auto"/>
            <w:gridSpan w:val="3"/>
            <w:shd w:val="clear" w:color="auto" w:fill="auto"/>
            <w:vAlign w:val="bottom"/>
          </w:tcPr>
          <w:p w14:paraId="5F2CB442" w14:textId="77777777" w:rsidR="00E836FB" w:rsidRDefault="00E836FB">
            <w:pPr>
              <w:rPr>
                <w:rFonts w:ascii="宋体"/>
                <w:vanish/>
              </w:rPr>
            </w:pPr>
          </w:p>
        </w:tc>
        <w:tc>
          <w:tcPr>
            <w:tcW w:w="0" w:type="auto"/>
            <w:gridSpan w:val="3"/>
            <w:shd w:val="clear" w:color="auto" w:fill="auto"/>
            <w:vAlign w:val="bottom"/>
          </w:tcPr>
          <w:p w14:paraId="5F2CB443" w14:textId="77777777" w:rsidR="00E836FB" w:rsidRDefault="00E836FB">
            <w:pPr>
              <w:rPr>
                <w:rFonts w:ascii="宋体"/>
                <w:vanish/>
              </w:rPr>
            </w:pPr>
          </w:p>
        </w:tc>
        <w:tc>
          <w:tcPr>
            <w:tcW w:w="0" w:type="auto"/>
            <w:gridSpan w:val="3"/>
            <w:shd w:val="clear" w:color="auto" w:fill="auto"/>
            <w:vAlign w:val="bottom"/>
          </w:tcPr>
          <w:p w14:paraId="5F2CB444" w14:textId="77777777" w:rsidR="00E836FB" w:rsidRDefault="00E836FB">
            <w:pPr>
              <w:rPr>
                <w:rFonts w:ascii="宋体"/>
                <w:vanish/>
              </w:rPr>
            </w:pPr>
          </w:p>
        </w:tc>
        <w:tc>
          <w:tcPr>
            <w:tcW w:w="0" w:type="auto"/>
            <w:gridSpan w:val="3"/>
            <w:shd w:val="clear" w:color="auto" w:fill="auto"/>
            <w:vAlign w:val="bottom"/>
          </w:tcPr>
          <w:p w14:paraId="5F2CB445" w14:textId="77777777" w:rsidR="00E836FB" w:rsidRDefault="00E836FB">
            <w:pPr>
              <w:rPr>
                <w:rFonts w:ascii="宋体"/>
                <w:vanish/>
              </w:rPr>
            </w:pPr>
          </w:p>
        </w:tc>
        <w:tc>
          <w:tcPr>
            <w:tcW w:w="0" w:type="auto"/>
            <w:gridSpan w:val="3"/>
            <w:shd w:val="clear" w:color="auto" w:fill="auto"/>
            <w:vAlign w:val="bottom"/>
          </w:tcPr>
          <w:p w14:paraId="5F2CB446" w14:textId="77777777" w:rsidR="00E836FB" w:rsidRDefault="00E836FB">
            <w:pPr>
              <w:rPr>
                <w:rFonts w:ascii="宋体"/>
                <w:vanish/>
              </w:rPr>
            </w:pPr>
          </w:p>
        </w:tc>
        <w:tc>
          <w:tcPr>
            <w:tcW w:w="0" w:type="auto"/>
            <w:gridSpan w:val="3"/>
            <w:shd w:val="clear" w:color="auto" w:fill="auto"/>
            <w:vAlign w:val="bottom"/>
          </w:tcPr>
          <w:p w14:paraId="5F2CB447" w14:textId="77777777" w:rsidR="00E836FB" w:rsidRDefault="00E836FB">
            <w:pPr>
              <w:rPr>
                <w:rFonts w:ascii="宋体"/>
                <w:vanish/>
              </w:rPr>
            </w:pPr>
          </w:p>
        </w:tc>
        <w:tc>
          <w:tcPr>
            <w:tcW w:w="0" w:type="auto"/>
            <w:gridSpan w:val="3"/>
            <w:shd w:val="clear" w:color="auto" w:fill="auto"/>
            <w:vAlign w:val="bottom"/>
          </w:tcPr>
          <w:p w14:paraId="5F2CB448" w14:textId="77777777" w:rsidR="00E836FB" w:rsidRDefault="00E836FB">
            <w:pPr>
              <w:rPr>
                <w:rFonts w:ascii="宋体"/>
                <w:vanish/>
              </w:rPr>
            </w:pPr>
          </w:p>
        </w:tc>
        <w:tc>
          <w:tcPr>
            <w:tcW w:w="0" w:type="auto"/>
            <w:gridSpan w:val="3"/>
            <w:shd w:val="clear" w:color="auto" w:fill="auto"/>
            <w:vAlign w:val="bottom"/>
          </w:tcPr>
          <w:p w14:paraId="5F2CB449" w14:textId="77777777" w:rsidR="00E836FB" w:rsidRDefault="00E836FB">
            <w:pPr>
              <w:rPr>
                <w:rFonts w:ascii="宋体"/>
                <w:vanish/>
              </w:rPr>
            </w:pPr>
          </w:p>
        </w:tc>
        <w:tc>
          <w:tcPr>
            <w:tcW w:w="0" w:type="auto"/>
            <w:gridSpan w:val="3"/>
            <w:shd w:val="clear" w:color="auto" w:fill="auto"/>
            <w:vAlign w:val="bottom"/>
          </w:tcPr>
          <w:p w14:paraId="5F2CB44A" w14:textId="77777777" w:rsidR="00E836FB" w:rsidRDefault="00E836FB">
            <w:pPr>
              <w:rPr>
                <w:rFonts w:ascii="宋体"/>
                <w:vanish/>
              </w:rPr>
            </w:pPr>
          </w:p>
        </w:tc>
        <w:tc>
          <w:tcPr>
            <w:tcW w:w="0" w:type="auto"/>
            <w:gridSpan w:val="3"/>
            <w:shd w:val="clear" w:color="auto" w:fill="auto"/>
            <w:vAlign w:val="bottom"/>
          </w:tcPr>
          <w:p w14:paraId="5F2CB44B" w14:textId="77777777" w:rsidR="00E836FB" w:rsidRDefault="00E836FB">
            <w:pPr>
              <w:rPr>
                <w:rFonts w:ascii="宋体"/>
                <w:vanish/>
              </w:rPr>
            </w:pPr>
          </w:p>
        </w:tc>
        <w:tc>
          <w:tcPr>
            <w:tcW w:w="0" w:type="auto"/>
            <w:gridSpan w:val="3"/>
            <w:shd w:val="clear" w:color="auto" w:fill="auto"/>
            <w:vAlign w:val="bottom"/>
          </w:tcPr>
          <w:p w14:paraId="5F2CB44C" w14:textId="77777777" w:rsidR="00E836FB" w:rsidRDefault="00E836FB">
            <w:pPr>
              <w:rPr>
                <w:rFonts w:ascii="宋体"/>
                <w:vanish/>
              </w:rPr>
            </w:pPr>
          </w:p>
        </w:tc>
        <w:tc>
          <w:tcPr>
            <w:tcW w:w="0" w:type="auto"/>
            <w:gridSpan w:val="3"/>
            <w:shd w:val="clear" w:color="auto" w:fill="auto"/>
            <w:vAlign w:val="bottom"/>
          </w:tcPr>
          <w:p w14:paraId="5F2CB44D" w14:textId="77777777" w:rsidR="00E836FB" w:rsidRDefault="00E836FB">
            <w:pPr>
              <w:rPr>
                <w:rFonts w:ascii="宋体"/>
                <w:vanish/>
              </w:rPr>
            </w:pPr>
          </w:p>
        </w:tc>
        <w:tc>
          <w:tcPr>
            <w:tcW w:w="0" w:type="auto"/>
            <w:gridSpan w:val="3"/>
            <w:shd w:val="clear" w:color="auto" w:fill="auto"/>
            <w:vAlign w:val="bottom"/>
          </w:tcPr>
          <w:p w14:paraId="5F2CB44E" w14:textId="77777777" w:rsidR="00E836FB" w:rsidRDefault="00E836FB">
            <w:pPr>
              <w:rPr>
                <w:rFonts w:ascii="宋体"/>
                <w:vanish/>
              </w:rPr>
            </w:pPr>
          </w:p>
        </w:tc>
        <w:tc>
          <w:tcPr>
            <w:tcW w:w="0" w:type="auto"/>
            <w:gridSpan w:val="3"/>
            <w:shd w:val="clear" w:color="auto" w:fill="auto"/>
            <w:vAlign w:val="bottom"/>
          </w:tcPr>
          <w:p w14:paraId="5F2CB44F" w14:textId="77777777" w:rsidR="00E836FB" w:rsidRDefault="00E836FB">
            <w:pPr>
              <w:rPr>
                <w:rFonts w:ascii="宋体"/>
                <w:vanish/>
              </w:rPr>
            </w:pPr>
          </w:p>
        </w:tc>
        <w:tc>
          <w:tcPr>
            <w:tcW w:w="0" w:type="auto"/>
            <w:gridSpan w:val="3"/>
            <w:shd w:val="clear" w:color="auto" w:fill="auto"/>
            <w:vAlign w:val="bottom"/>
          </w:tcPr>
          <w:p w14:paraId="5F2CB450" w14:textId="77777777" w:rsidR="00E836FB" w:rsidRDefault="00E836FB">
            <w:pPr>
              <w:rPr>
                <w:rFonts w:ascii="宋体"/>
                <w:vanish/>
              </w:rPr>
            </w:pPr>
          </w:p>
        </w:tc>
        <w:tc>
          <w:tcPr>
            <w:tcW w:w="0" w:type="auto"/>
            <w:gridSpan w:val="3"/>
            <w:shd w:val="clear" w:color="auto" w:fill="auto"/>
            <w:vAlign w:val="bottom"/>
          </w:tcPr>
          <w:p w14:paraId="5F2CB451" w14:textId="77777777" w:rsidR="00E836FB" w:rsidRDefault="00E836FB">
            <w:pPr>
              <w:rPr>
                <w:rFonts w:ascii="宋体"/>
                <w:vanish/>
              </w:rPr>
            </w:pPr>
          </w:p>
        </w:tc>
        <w:tc>
          <w:tcPr>
            <w:tcW w:w="0" w:type="auto"/>
            <w:gridSpan w:val="3"/>
            <w:shd w:val="clear" w:color="auto" w:fill="auto"/>
            <w:vAlign w:val="bottom"/>
          </w:tcPr>
          <w:p w14:paraId="5F2CB452" w14:textId="77777777" w:rsidR="00E836FB" w:rsidRDefault="00E836FB">
            <w:pPr>
              <w:rPr>
                <w:rFonts w:ascii="宋体"/>
                <w:vanish/>
              </w:rPr>
            </w:pPr>
          </w:p>
        </w:tc>
        <w:tc>
          <w:tcPr>
            <w:tcW w:w="0" w:type="auto"/>
            <w:gridSpan w:val="3"/>
            <w:shd w:val="clear" w:color="auto" w:fill="auto"/>
            <w:vAlign w:val="bottom"/>
          </w:tcPr>
          <w:p w14:paraId="5F2CB453" w14:textId="77777777" w:rsidR="00E836FB" w:rsidRDefault="00E836FB">
            <w:pPr>
              <w:rPr>
                <w:rFonts w:ascii="宋体"/>
                <w:vanish/>
              </w:rPr>
            </w:pPr>
          </w:p>
        </w:tc>
        <w:tc>
          <w:tcPr>
            <w:tcW w:w="0" w:type="auto"/>
            <w:gridSpan w:val="3"/>
            <w:shd w:val="clear" w:color="auto" w:fill="auto"/>
            <w:vAlign w:val="bottom"/>
          </w:tcPr>
          <w:p w14:paraId="5F2CB454" w14:textId="77777777" w:rsidR="00E836FB" w:rsidRDefault="00E836FB">
            <w:pPr>
              <w:rPr>
                <w:rFonts w:ascii="宋体"/>
                <w:vanish/>
              </w:rPr>
            </w:pPr>
          </w:p>
        </w:tc>
        <w:tc>
          <w:tcPr>
            <w:tcW w:w="0" w:type="auto"/>
            <w:gridSpan w:val="2"/>
            <w:shd w:val="clear" w:color="auto" w:fill="auto"/>
            <w:vAlign w:val="bottom"/>
          </w:tcPr>
          <w:p w14:paraId="5F2CB455" w14:textId="77777777" w:rsidR="00E836FB" w:rsidRDefault="00E836FB">
            <w:pPr>
              <w:rPr>
                <w:rFonts w:ascii="宋体"/>
                <w:vanish/>
              </w:rPr>
            </w:pPr>
          </w:p>
        </w:tc>
        <w:tc>
          <w:tcPr>
            <w:tcW w:w="0" w:type="auto"/>
            <w:shd w:val="clear" w:color="auto" w:fill="auto"/>
            <w:vAlign w:val="bottom"/>
          </w:tcPr>
          <w:p w14:paraId="5F2CB456" w14:textId="77777777" w:rsidR="00E836FB" w:rsidRDefault="00E836FB">
            <w:pPr>
              <w:rPr>
                <w:rFonts w:ascii="宋体"/>
                <w:vanish/>
              </w:rPr>
            </w:pPr>
          </w:p>
        </w:tc>
      </w:tr>
      <w:tr w:rsidR="00E836FB" w14:paraId="5F2CB46E" w14:textId="77777777">
        <w:trPr>
          <w:hidden/>
        </w:trPr>
        <w:tc>
          <w:tcPr>
            <w:tcW w:w="0" w:type="auto"/>
            <w:gridSpan w:val="3"/>
            <w:shd w:val="clear" w:color="auto" w:fill="auto"/>
            <w:vAlign w:val="bottom"/>
          </w:tcPr>
          <w:p w14:paraId="5F2CB458" w14:textId="77777777" w:rsidR="00E836FB" w:rsidRDefault="00E836FB">
            <w:pPr>
              <w:rPr>
                <w:rFonts w:ascii="宋体"/>
                <w:vanish/>
              </w:rPr>
            </w:pPr>
          </w:p>
        </w:tc>
        <w:tc>
          <w:tcPr>
            <w:tcW w:w="0" w:type="auto"/>
            <w:gridSpan w:val="3"/>
            <w:shd w:val="clear" w:color="auto" w:fill="auto"/>
            <w:vAlign w:val="bottom"/>
          </w:tcPr>
          <w:p w14:paraId="5F2CB459" w14:textId="77777777" w:rsidR="00E836FB" w:rsidRDefault="00E836FB">
            <w:pPr>
              <w:rPr>
                <w:rFonts w:ascii="宋体"/>
                <w:vanish/>
              </w:rPr>
            </w:pPr>
          </w:p>
        </w:tc>
        <w:tc>
          <w:tcPr>
            <w:tcW w:w="0" w:type="auto"/>
            <w:gridSpan w:val="3"/>
            <w:shd w:val="clear" w:color="auto" w:fill="auto"/>
            <w:vAlign w:val="bottom"/>
          </w:tcPr>
          <w:p w14:paraId="5F2CB45A" w14:textId="77777777" w:rsidR="00E836FB" w:rsidRDefault="00E836FB">
            <w:pPr>
              <w:rPr>
                <w:rFonts w:ascii="宋体"/>
                <w:vanish/>
              </w:rPr>
            </w:pPr>
          </w:p>
        </w:tc>
        <w:tc>
          <w:tcPr>
            <w:tcW w:w="0" w:type="auto"/>
            <w:gridSpan w:val="3"/>
            <w:shd w:val="clear" w:color="auto" w:fill="auto"/>
            <w:vAlign w:val="bottom"/>
          </w:tcPr>
          <w:p w14:paraId="5F2CB45B" w14:textId="77777777" w:rsidR="00E836FB" w:rsidRDefault="00E836FB">
            <w:pPr>
              <w:rPr>
                <w:rFonts w:ascii="宋体"/>
                <w:vanish/>
              </w:rPr>
            </w:pPr>
          </w:p>
        </w:tc>
        <w:tc>
          <w:tcPr>
            <w:tcW w:w="0" w:type="auto"/>
            <w:gridSpan w:val="3"/>
            <w:shd w:val="clear" w:color="auto" w:fill="auto"/>
            <w:vAlign w:val="bottom"/>
          </w:tcPr>
          <w:p w14:paraId="5F2CB45C" w14:textId="77777777" w:rsidR="00E836FB" w:rsidRDefault="00E836FB">
            <w:pPr>
              <w:rPr>
                <w:rFonts w:ascii="宋体"/>
                <w:vanish/>
              </w:rPr>
            </w:pPr>
          </w:p>
        </w:tc>
        <w:tc>
          <w:tcPr>
            <w:tcW w:w="0" w:type="auto"/>
            <w:gridSpan w:val="3"/>
            <w:shd w:val="clear" w:color="auto" w:fill="auto"/>
            <w:vAlign w:val="bottom"/>
          </w:tcPr>
          <w:p w14:paraId="5F2CB45D" w14:textId="77777777" w:rsidR="00E836FB" w:rsidRDefault="00E836FB">
            <w:pPr>
              <w:rPr>
                <w:rFonts w:ascii="宋体"/>
                <w:vanish/>
              </w:rPr>
            </w:pPr>
          </w:p>
        </w:tc>
        <w:tc>
          <w:tcPr>
            <w:tcW w:w="0" w:type="auto"/>
            <w:gridSpan w:val="3"/>
            <w:shd w:val="clear" w:color="auto" w:fill="auto"/>
            <w:vAlign w:val="bottom"/>
          </w:tcPr>
          <w:p w14:paraId="5F2CB45E" w14:textId="77777777" w:rsidR="00E836FB" w:rsidRDefault="00E836FB">
            <w:pPr>
              <w:rPr>
                <w:rFonts w:ascii="宋体"/>
                <w:vanish/>
              </w:rPr>
            </w:pPr>
          </w:p>
        </w:tc>
        <w:tc>
          <w:tcPr>
            <w:tcW w:w="0" w:type="auto"/>
            <w:gridSpan w:val="3"/>
            <w:shd w:val="clear" w:color="auto" w:fill="auto"/>
            <w:vAlign w:val="bottom"/>
          </w:tcPr>
          <w:p w14:paraId="5F2CB45F" w14:textId="77777777" w:rsidR="00E836FB" w:rsidRDefault="00E836FB">
            <w:pPr>
              <w:rPr>
                <w:rFonts w:ascii="宋体"/>
                <w:vanish/>
              </w:rPr>
            </w:pPr>
          </w:p>
        </w:tc>
        <w:tc>
          <w:tcPr>
            <w:tcW w:w="0" w:type="auto"/>
            <w:gridSpan w:val="3"/>
            <w:shd w:val="clear" w:color="auto" w:fill="auto"/>
            <w:vAlign w:val="bottom"/>
          </w:tcPr>
          <w:p w14:paraId="5F2CB460" w14:textId="77777777" w:rsidR="00E836FB" w:rsidRDefault="00E836FB">
            <w:pPr>
              <w:rPr>
                <w:rFonts w:ascii="宋体"/>
                <w:vanish/>
              </w:rPr>
            </w:pPr>
          </w:p>
        </w:tc>
        <w:tc>
          <w:tcPr>
            <w:tcW w:w="0" w:type="auto"/>
            <w:gridSpan w:val="3"/>
            <w:shd w:val="clear" w:color="auto" w:fill="auto"/>
            <w:vAlign w:val="bottom"/>
          </w:tcPr>
          <w:p w14:paraId="5F2CB461" w14:textId="77777777" w:rsidR="00E836FB" w:rsidRDefault="00E836FB">
            <w:pPr>
              <w:rPr>
                <w:rFonts w:ascii="宋体"/>
                <w:vanish/>
              </w:rPr>
            </w:pPr>
          </w:p>
        </w:tc>
        <w:tc>
          <w:tcPr>
            <w:tcW w:w="0" w:type="auto"/>
            <w:gridSpan w:val="3"/>
            <w:shd w:val="clear" w:color="auto" w:fill="auto"/>
            <w:vAlign w:val="bottom"/>
          </w:tcPr>
          <w:p w14:paraId="5F2CB462" w14:textId="77777777" w:rsidR="00E836FB" w:rsidRDefault="00E836FB">
            <w:pPr>
              <w:rPr>
                <w:rFonts w:ascii="宋体"/>
                <w:vanish/>
              </w:rPr>
            </w:pPr>
          </w:p>
        </w:tc>
        <w:tc>
          <w:tcPr>
            <w:tcW w:w="0" w:type="auto"/>
            <w:gridSpan w:val="3"/>
            <w:shd w:val="clear" w:color="auto" w:fill="auto"/>
            <w:vAlign w:val="bottom"/>
          </w:tcPr>
          <w:p w14:paraId="5F2CB463" w14:textId="77777777" w:rsidR="00E836FB" w:rsidRDefault="00E836FB">
            <w:pPr>
              <w:rPr>
                <w:rFonts w:ascii="宋体"/>
                <w:vanish/>
              </w:rPr>
            </w:pPr>
          </w:p>
        </w:tc>
        <w:tc>
          <w:tcPr>
            <w:tcW w:w="0" w:type="auto"/>
            <w:gridSpan w:val="3"/>
            <w:shd w:val="clear" w:color="auto" w:fill="auto"/>
            <w:vAlign w:val="bottom"/>
          </w:tcPr>
          <w:p w14:paraId="5F2CB464" w14:textId="77777777" w:rsidR="00E836FB" w:rsidRDefault="00E836FB">
            <w:pPr>
              <w:rPr>
                <w:rFonts w:ascii="宋体"/>
                <w:vanish/>
              </w:rPr>
            </w:pPr>
          </w:p>
        </w:tc>
        <w:tc>
          <w:tcPr>
            <w:tcW w:w="0" w:type="auto"/>
            <w:gridSpan w:val="3"/>
            <w:shd w:val="clear" w:color="auto" w:fill="auto"/>
            <w:vAlign w:val="bottom"/>
          </w:tcPr>
          <w:p w14:paraId="5F2CB465" w14:textId="77777777" w:rsidR="00E836FB" w:rsidRDefault="00E836FB">
            <w:pPr>
              <w:rPr>
                <w:rFonts w:ascii="宋体"/>
                <w:vanish/>
              </w:rPr>
            </w:pPr>
          </w:p>
        </w:tc>
        <w:tc>
          <w:tcPr>
            <w:tcW w:w="0" w:type="auto"/>
            <w:gridSpan w:val="3"/>
            <w:shd w:val="clear" w:color="auto" w:fill="auto"/>
            <w:vAlign w:val="bottom"/>
          </w:tcPr>
          <w:p w14:paraId="5F2CB466" w14:textId="77777777" w:rsidR="00E836FB" w:rsidRDefault="00E836FB">
            <w:pPr>
              <w:rPr>
                <w:rFonts w:ascii="宋体"/>
                <w:vanish/>
              </w:rPr>
            </w:pPr>
          </w:p>
        </w:tc>
        <w:tc>
          <w:tcPr>
            <w:tcW w:w="0" w:type="auto"/>
            <w:gridSpan w:val="3"/>
            <w:shd w:val="clear" w:color="auto" w:fill="auto"/>
            <w:vAlign w:val="bottom"/>
          </w:tcPr>
          <w:p w14:paraId="5F2CB467" w14:textId="77777777" w:rsidR="00E836FB" w:rsidRDefault="00E836FB">
            <w:pPr>
              <w:rPr>
                <w:rFonts w:ascii="宋体"/>
                <w:vanish/>
              </w:rPr>
            </w:pPr>
          </w:p>
        </w:tc>
        <w:tc>
          <w:tcPr>
            <w:tcW w:w="0" w:type="auto"/>
            <w:gridSpan w:val="3"/>
            <w:shd w:val="clear" w:color="auto" w:fill="auto"/>
            <w:vAlign w:val="bottom"/>
          </w:tcPr>
          <w:p w14:paraId="5F2CB468" w14:textId="77777777" w:rsidR="00E836FB" w:rsidRDefault="00E836FB">
            <w:pPr>
              <w:rPr>
                <w:rFonts w:ascii="宋体"/>
                <w:vanish/>
              </w:rPr>
            </w:pPr>
          </w:p>
        </w:tc>
        <w:tc>
          <w:tcPr>
            <w:tcW w:w="0" w:type="auto"/>
            <w:gridSpan w:val="3"/>
            <w:shd w:val="clear" w:color="auto" w:fill="auto"/>
            <w:vAlign w:val="bottom"/>
          </w:tcPr>
          <w:p w14:paraId="5F2CB469" w14:textId="77777777" w:rsidR="00E836FB" w:rsidRDefault="00E836FB">
            <w:pPr>
              <w:rPr>
                <w:rFonts w:ascii="宋体"/>
                <w:vanish/>
              </w:rPr>
            </w:pPr>
          </w:p>
        </w:tc>
        <w:tc>
          <w:tcPr>
            <w:tcW w:w="0" w:type="auto"/>
            <w:gridSpan w:val="3"/>
            <w:shd w:val="clear" w:color="auto" w:fill="auto"/>
            <w:vAlign w:val="bottom"/>
          </w:tcPr>
          <w:p w14:paraId="5F2CB46A" w14:textId="77777777" w:rsidR="00E836FB" w:rsidRDefault="00E836FB">
            <w:pPr>
              <w:rPr>
                <w:rFonts w:ascii="宋体"/>
                <w:vanish/>
              </w:rPr>
            </w:pPr>
          </w:p>
        </w:tc>
        <w:tc>
          <w:tcPr>
            <w:tcW w:w="0" w:type="auto"/>
            <w:gridSpan w:val="3"/>
            <w:shd w:val="clear" w:color="auto" w:fill="auto"/>
            <w:vAlign w:val="bottom"/>
          </w:tcPr>
          <w:p w14:paraId="5F2CB46B" w14:textId="77777777" w:rsidR="00E836FB" w:rsidRDefault="00E836FB">
            <w:pPr>
              <w:rPr>
                <w:rFonts w:ascii="宋体"/>
                <w:vanish/>
              </w:rPr>
            </w:pPr>
          </w:p>
        </w:tc>
        <w:tc>
          <w:tcPr>
            <w:tcW w:w="0" w:type="auto"/>
            <w:gridSpan w:val="2"/>
            <w:shd w:val="clear" w:color="auto" w:fill="auto"/>
            <w:vAlign w:val="bottom"/>
          </w:tcPr>
          <w:p w14:paraId="5F2CB46C" w14:textId="77777777" w:rsidR="00E836FB" w:rsidRDefault="00E836FB">
            <w:pPr>
              <w:rPr>
                <w:rFonts w:ascii="宋体"/>
                <w:vanish/>
              </w:rPr>
            </w:pPr>
          </w:p>
        </w:tc>
        <w:tc>
          <w:tcPr>
            <w:tcW w:w="0" w:type="auto"/>
            <w:shd w:val="clear" w:color="auto" w:fill="auto"/>
            <w:vAlign w:val="bottom"/>
          </w:tcPr>
          <w:p w14:paraId="5F2CB46D" w14:textId="77777777" w:rsidR="00E836FB" w:rsidRDefault="00E836FB">
            <w:pPr>
              <w:rPr>
                <w:rFonts w:ascii="宋体"/>
                <w:vanish/>
              </w:rPr>
            </w:pPr>
          </w:p>
        </w:tc>
      </w:tr>
      <w:tr w:rsidR="00E836FB" w14:paraId="5F2CB485" w14:textId="77777777">
        <w:trPr>
          <w:hidden/>
        </w:trPr>
        <w:tc>
          <w:tcPr>
            <w:tcW w:w="0" w:type="auto"/>
            <w:gridSpan w:val="3"/>
            <w:shd w:val="clear" w:color="auto" w:fill="auto"/>
            <w:vAlign w:val="bottom"/>
          </w:tcPr>
          <w:p w14:paraId="5F2CB46F" w14:textId="77777777" w:rsidR="00E836FB" w:rsidRDefault="00E836FB">
            <w:pPr>
              <w:rPr>
                <w:rFonts w:ascii="宋体"/>
                <w:vanish/>
              </w:rPr>
            </w:pPr>
          </w:p>
        </w:tc>
        <w:tc>
          <w:tcPr>
            <w:tcW w:w="0" w:type="auto"/>
            <w:gridSpan w:val="3"/>
            <w:shd w:val="clear" w:color="auto" w:fill="auto"/>
            <w:vAlign w:val="bottom"/>
          </w:tcPr>
          <w:p w14:paraId="5F2CB470" w14:textId="77777777" w:rsidR="00E836FB" w:rsidRDefault="00E836FB">
            <w:pPr>
              <w:rPr>
                <w:rFonts w:ascii="宋体"/>
                <w:vanish/>
              </w:rPr>
            </w:pPr>
          </w:p>
        </w:tc>
        <w:tc>
          <w:tcPr>
            <w:tcW w:w="0" w:type="auto"/>
            <w:gridSpan w:val="3"/>
            <w:shd w:val="clear" w:color="auto" w:fill="auto"/>
            <w:vAlign w:val="bottom"/>
          </w:tcPr>
          <w:p w14:paraId="5F2CB471" w14:textId="77777777" w:rsidR="00E836FB" w:rsidRDefault="00E836FB">
            <w:pPr>
              <w:rPr>
                <w:rFonts w:ascii="宋体"/>
                <w:vanish/>
              </w:rPr>
            </w:pPr>
          </w:p>
        </w:tc>
        <w:tc>
          <w:tcPr>
            <w:tcW w:w="0" w:type="auto"/>
            <w:gridSpan w:val="3"/>
            <w:shd w:val="clear" w:color="auto" w:fill="auto"/>
            <w:vAlign w:val="bottom"/>
          </w:tcPr>
          <w:p w14:paraId="5F2CB472" w14:textId="77777777" w:rsidR="00E836FB" w:rsidRDefault="00E836FB">
            <w:pPr>
              <w:rPr>
                <w:rFonts w:ascii="宋体"/>
                <w:vanish/>
              </w:rPr>
            </w:pPr>
          </w:p>
        </w:tc>
        <w:tc>
          <w:tcPr>
            <w:tcW w:w="0" w:type="auto"/>
            <w:gridSpan w:val="3"/>
            <w:shd w:val="clear" w:color="auto" w:fill="auto"/>
            <w:vAlign w:val="bottom"/>
          </w:tcPr>
          <w:p w14:paraId="5F2CB473" w14:textId="77777777" w:rsidR="00E836FB" w:rsidRDefault="00E836FB">
            <w:pPr>
              <w:rPr>
                <w:rFonts w:ascii="宋体"/>
                <w:vanish/>
              </w:rPr>
            </w:pPr>
          </w:p>
        </w:tc>
        <w:tc>
          <w:tcPr>
            <w:tcW w:w="0" w:type="auto"/>
            <w:gridSpan w:val="3"/>
            <w:shd w:val="clear" w:color="auto" w:fill="auto"/>
            <w:vAlign w:val="bottom"/>
          </w:tcPr>
          <w:p w14:paraId="5F2CB474" w14:textId="77777777" w:rsidR="00E836FB" w:rsidRDefault="00E836FB">
            <w:pPr>
              <w:rPr>
                <w:rFonts w:ascii="宋体"/>
                <w:vanish/>
              </w:rPr>
            </w:pPr>
          </w:p>
        </w:tc>
        <w:tc>
          <w:tcPr>
            <w:tcW w:w="0" w:type="auto"/>
            <w:gridSpan w:val="3"/>
            <w:shd w:val="clear" w:color="auto" w:fill="auto"/>
            <w:vAlign w:val="bottom"/>
          </w:tcPr>
          <w:p w14:paraId="5F2CB475" w14:textId="77777777" w:rsidR="00E836FB" w:rsidRDefault="00E836FB">
            <w:pPr>
              <w:rPr>
                <w:rFonts w:ascii="宋体"/>
                <w:vanish/>
              </w:rPr>
            </w:pPr>
          </w:p>
        </w:tc>
        <w:tc>
          <w:tcPr>
            <w:tcW w:w="0" w:type="auto"/>
            <w:gridSpan w:val="3"/>
            <w:shd w:val="clear" w:color="auto" w:fill="auto"/>
            <w:vAlign w:val="bottom"/>
          </w:tcPr>
          <w:p w14:paraId="5F2CB476" w14:textId="77777777" w:rsidR="00E836FB" w:rsidRDefault="00E836FB">
            <w:pPr>
              <w:rPr>
                <w:rFonts w:ascii="宋体"/>
                <w:vanish/>
              </w:rPr>
            </w:pPr>
          </w:p>
        </w:tc>
        <w:tc>
          <w:tcPr>
            <w:tcW w:w="0" w:type="auto"/>
            <w:gridSpan w:val="3"/>
            <w:shd w:val="clear" w:color="auto" w:fill="auto"/>
            <w:vAlign w:val="bottom"/>
          </w:tcPr>
          <w:p w14:paraId="5F2CB477" w14:textId="77777777" w:rsidR="00E836FB" w:rsidRDefault="00E836FB">
            <w:pPr>
              <w:rPr>
                <w:rFonts w:ascii="宋体"/>
                <w:vanish/>
              </w:rPr>
            </w:pPr>
          </w:p>
        </w:tc>
        <w:tc>
          <w:tcPr>
            <w:tcW w:w="0" w:type="auto"/>
            <w:gridSpan w:val="3"/>
            <w:shd w:val="clear" w:color="auto" w:fill="auto"/>
            <w:vAlign w:val="bottom"/>
          </w:tcPr>
          <w:p w14:paraId="5F2CB478" w14:textId="77777777" w:rsidR="00E836FB" w:rsidRDefault="00E836FB">
            <w:pPr>
              <w:rPr>
                <w:rFonts w:ascii="宋体"/>
                <w:vanish/>
              </w:rPr>
            </w:pPr>
          </w:p>
        </w:tc>
        <w:tc>
          <w:tcPr>
            <w:tcW w:w="0" w:type="auto"/>
            <w:gridSpan w:val="3"/>
            <w:shd w:val="clear" w:color="auto" w:fill="auto"/>
            <w:vAlign w:val="bottom"/>
          </w:tcPr>
          <w:p w14:paraId="5F2CB479" w14:textId="77777777" w:rsidR="00E836FB" w:rsidRDefault="00E836FB">
            <w:pPr>
              <w:rPr>
                <w:rFonts w:ascii="宋体"/>
                <w:vanish/>
              </w:rPr>
            </w:pPr>
          </w:p>
        </w:tc>
        <w:tc>
          <w:tcPr>
            <w:tcW w:w="0" w:type="auto"/>
            <w:gridSpan w:val="3"/>
            <w:shd w:val="clear" w:color="auto" w:fill="auto"/>
            <w:vAlign w:val="bottom"/>
          </w:tcPr>
          <w:p w14:paraId="5F2CB47A" w14:textId="77777777" w:rsidR="00E836FB" w:rsidRDefault="00E836FB">
            <w:pPr>
              <w:rPr>
                <w:rFonts w:ascii="宋体"/>
                <w:vanish/>
              </w:rPr>
            </w:pPr>
          </w:p>
        </w:tc>
        <w:tc>
          <w:tcPr>
            <w:tcW w:w="0" w:type="auto"/>
            <w:gridSpan w:val="3"/>
            <w:shd w:val="clear" w:color="auto" w:fill="auto"/>
            <w:vAlign w:val="bottom"/>
          </w:tcPr>
          <w:p w14:paraId="5F2CB47B" w14:textId="77777777" w:rsidR="00E836FB" w:rsidRDefault="00E836FB">
            <w:pPr>
              <w:rPr>
                <w:rFonts w:ascii="宋体"/>
                <w:vanish/>
              </w:rPr>
            </w:pPr>
          </w:p>
        </w:tc>
        <w:tc>
          <w:tcPr>
            <w:tcW w:w="0" w:type="auto"/>
            <w:gridSpan w:val="3"/>
            <w:shd w:val="clear" w:color="auto" w:fill="auto"/>
            <w:vAlign w:val="bottom"/>
          </w:tcPr>
          <w:p w14:paraId="5F2CB47C" w14:textId="77777777" w:rsidR="00E836FB" w:rsidRDefault="00E836FB">
            <w:pPr>
              <w:rPr>
                <w:rFonts w:ascii="宋体"/>
                <w:vanish/>
              </w:rPr>
            </w:pPr>
          </w:p>
        </w:tc>
        <w:tc>
          <w:tcPr>
            <w:tcW w:w="0" w:type="auto"/>
            <w:gridSpan w:val="3"/>
            <w:shd w:val="clear" w:color="auto" w:fill="auto"/>
            <w:vAlign w:val="bottom"/>
          </w:tcPr>
          <w:p w14:paraId="5F2CB47D" w14:textId="77777777" w:rsidR="00E836FB" w:rsidRDefault="00E836FB">
            <w:pPr>
              <w:rPr>
                <w:rFonts w:ascii="宋体"/>
                <w:vanish/>
              </w:rPr>
            </w:pPr>
          </w:p>
        </w:tc>
        <w:tc>
          <w:tcPr>
            <w:tcW w:w="0" w:type="auto"/>
            <w:gridSpan w:val="3"/>
            <w:shd w:val="clear" w:color="auto" w:fill="auto"/>
            <w:vAlign w:val="bottom"/>
          </w:tcPr>
          <w:p w14:paraId="5F2CB47E" w14:textId="77777777" w:rsidR="00E836FB" w:rsidRDefault="00E836FB">
            <w:pPr>
              <w:rPr>
                <w:rFonts w:ascii="宋体"/>
                <w:vanish/>
              </w:rPr>
            </w:pPr>
          </w:p>
        </w:tc>
        <w:tc>
          <w:tcPr>
            <w:tcW w:w="0" w:type="auto"/>
            <w:gridSpan w:val="3"/>
            <w:shd w:val="clear" w:color="auto" w:fill="auto"/>
            <w:vAlign w:val="bottom"/>
          </w:tcPr>
          <w:p w14:paraId="5F2CB47F" w14:textId="77777777" w:rsidR="00E836FB" w:rsidRDefault="00E836FB">
            <w:pPr>
              <w:rPr>
                <w:rFonts w:ascii="宋体"/>
                <w:vanish/>
              </w:rPr>
            </w:pPr>
          </w:p>
        </w:tc>
        <w:tc>
          <w:tcPr>
            <w:tcW w:w="0" w:type="auto"/>
            <w:gridSpan w:val="3"/>
            <w:shd w:val="clear" w:color="auto" w:fill="auto"/>
            <w:vAlign w:val="bottom"/>
          </w:tcPr>
          <w:p w14:paraId="5F2CB480" w14:textId="77777777" w:rsidR="00E836FB" w:rsidRDefault="00E836FB">
            <w:pPr>
              <w:rPr>
                <w:rFonts w:ascii="宋体"/>
                <w:vanish/>
              </w:rPr>
            </w:pPr>
          </w:p>
        </w:tc>
        <w:tc>
          <w:tcPr>
            <w:tcW w:w="0" w:type="auto"/>
            <w:gridSpan w:val="3"/>
            <w:shd w:val="clear" w:color="auto" w:fill="auto"/>
            <w:vAlign w:val="bottom"/>
          </w:tcPr>
          <w:p w14:paraId="5F2CB481" w14:textId="77777777" w:rsidR="00E836FB" w:rsidRDefault="00E836FB">
            <w:pPr>
              <w:rPr>
                <w:rFonts w:ascii="宋体"/>
                <w:vanish/>
              </w:rPr>
            </w:pPr>
          </w:p>
        </w:tc>
        <w:tc>
          <w:tcPr>
            <w:tcW w:w="0" w:type="auto"/>
            <w:gridSpan w:val="3"/>
            <w:shd w:val="clear" w:color="auto" w:fill="auto"/>
            <w:vAlign w:val="bottom"/>
          </w:tcPr>
          <w:p w14:paraId="5F2CB482" w14:textId="77777777" w:rsidR="00E836FB" w:rsidRDefault="00E836FB">
            <w:pPr>
              <w:rPr>
                <w:rFonts w:ascii="宋体"/>
                <w:vanish/>
              </w:rPr>
            </w:pPr>
          </w:p>
        </w:tc>
        <w:tc>
          <w:tcPr>
            <w:tcW w:w="0" w:type="auto"/>
            <w:gridSpan w:val="2"/>
            <w:shd w:val="clear" w:color="auto" w:fill="auto"/>
            <w:vAlign w:val="bottom"/>
          </w:tcPr>
          <w:p w14:paraId="5F2CB483" w14:textId="77777777" w:rsidR="00E836FB" w:rsidRDefault="00E836FB">
            <w:pPr>
              <w:rPr>
                <w:rFonts w:ascii="宋体"/>
                <w:vanish/>
              </w:rPr>
            </w:pPr>
          </w:p>
        </w:tc>
        <w:tc>
          <w:tcPr>
            <w:tcW w:w="0" w:type="auto"/>
            <w:shd w:val="clear" w:color="auto" w:fill="auto"/>
            <w:vAlign w:val="bottom"/>
          </w:tcPr>
          <w:p w14:paraId="5F2CB484" w14:textId="77777777" w:rsidR="00E836FB" w:rsidRDefault="00E836FB">
            <w:pPr>
              <w:rPr>
                <w:rFonts w:ascii="宋体"/>
                <w:vanish/>
              </w:rPr>
            </w:pPr>
          </w:p>
        </w:tc>
      </w:tr>
      <w:tr w:rsidR="00E836FB" w14:paraId="5F2CB49C" w14:textId="77777777">
        <w:trPr>
          <w:hidden/>
        </w:trPr>
        <w:tc>
          <w:tcPr>
            <w:tcW w:w="0" w:type="auto"/>
            <w:gridSpan w:val="3"/>
            <w:shd w:val="clear" w:color="auto" w:fill="auto"/>
            <w:vAlign w:val="bottom"/>
          </w:tcPr>
          <w:p w14:paraId="5F2CB486" w14:textId="77777777" w:rsidR="00E836FB" w:rsidRDefault="00E836FB">
            <w:pPr>
              <w:rPr>
                <w:rFonts w:ascii="宋体"/>
                <w:vanish/>
              </w:rPr>
            </w:pPr>
          </w:p>
        </w:tc>
        <w:tc>
          <w:tcPr>
            <w:tcW w:w="0" w:type="auto"/>
            <w:gridSpan w:val="3"/>
            <w:shd w:val="clear" w:color="auto" w:fill="auto"/>
            <w:vAlign w:val="bottom"/>
          </w:tcPr>
          <w:p w14:paraId="5F2CB487" w14:textId="77777777" w:rsidR="00E836FB" w:rsidRDefault="00E836FB">
            <w:pPr>
              <w:rPr>
                <w:rFonts w:ascii="宋体"/>
                <w:vanish/>
              </w:rPr>
            </w:pPr>
          </w:p>
        </w:tc>
        <w:tc>
          <w:tcPr>
            <w:tcW w:w="0" w:type="auto"/>
            <w:gridSpan w:val="3"/>
            <w:shd w:val="clear" w:color="auto" w:fill="auto"/>
            <w:vAlign w:val="bottom"/>
          </w:tcPr>
          <w:p w14:paraId="5F2CB488" w14:textId="77777777" w:rsidR="00E836FB" w:rsidRDefault="00E836FB">
            <w:pPr>
              <w:rPr>
                <w:rFonts w:ascii="宋体"/>
                <w:vanish/>
              </w:rPr>
            </w:pPr>
          </w:p>
        </w:tc>
        <w:tc>
          <w:tcPr>
            <w:tcW w:w="0" w:type="auto"/>
            <w:gridSpan w:val="3"/>
            <w:shd w:val="clear" w:color="auto" w:fill="auto"/>
            <w:vAlign w:val="bottom"/>
          </w:tcPr>
          <w:p w14:paraId="5F2CB489" w14:textId="77777777" w:rsidR="00E836FB" w:rsidRDefault="00E836FB">
            <w:pPr>
              <w:rPr>
                <w:rFonts w:ascii="宋体"/>
                <w:vanish/>
              </w:rPr>
            </w:pPr>
          </w:p>
        </w:tc>
        <w:tc>
          <w:tcPr>
            <w:tcW w:w="0" w:type="auto"/>
            <w:gridSpan w:val="3"/>
            <w:shd w:val="clear" w:color="auto" w:fill="auto"/>
            <w:vAlign w:val="bottom"/>
          </w:tcPr>
          <w:p w14:paraId="5F2CB48A" w14:textId="77777777" w:rsidR="00E836FB" w:rsidRDefault="00E836FB">
            <w:pPr>
              <w:rPr>
                <w:rFonts w:ascii="宋体"/>
                <w:vanish/>
              </w:rPr>
            </w:pPr>
          </w:p>
        </w:tc>
        <w:tc>
          <w:tcPr>
            <w:tcW w:w="0" w:type="auto"/>
            <w:gridSpan w:val="3"/>
            <w:shd w:val="clear" w:color="auto" w:fill="auto"/>
            <w:vAlign w:val="bottom"/>
          </w:tcPr>
          <w:p w14:paraId="5F2CB48B" w14:textId="77777777" w:rsidR="00E836FB" w:rsidRDefault="00E836FB">
            <w:pPr>
              <w:rPr>
                <w:rFonts w:ascii="宋体"/>
                <w:vanish/>
              </w:rPr>
            </w:pPr>
          </w:p>
        </w:tc>
        <w:tc>
          <w:tcPr>
            <w:tcW w:w="0" w:type="auto"/>
            <w:gridSpan w:val="3"/>
            <w:shd w:val="clear" w:color="auto" w:fill="auto"/>
            <w:vAlign w:val="bottom"/>
          </w:tcPr>
          <w:p w14:paraId="5F2CB48C" w14:textId="77777777" w:rsidR="00E836FB" w:rsidRDefault="00E836FB">
            <w:pPr>
              <w:rPr>
                <w:rFonts w:ascii="宋体"/>
                <w:vanish/>
              </w:rPr>
            </w:pPr>
          </w:p>
        </w:tc>
        <w:tc>
          <w:tcPr>
            <w:tcW w:w="0" w:type="auto"/>
            <w:gridSpan w:val="3"/>
            <w:shd w:val="clear" w:color="auto" w:fill="auto"/>
            <w:vAlign w:val="bottom"/>
          </w:tcPr>
          <w:p w14:paraId="5F2CB48D" w14:textId="77777777" w:rsidR="00E836FB" w:rsidRDefault="00E836FB">
            <w:pPr>
              <w:rPr>
                <w:rFonts w:ascii="宋体"/>
                <w:vanish/>
              </w:rPr>
            </w:pPr>
          </w:p>
        </w:tc>
        <w:tc>
          <w:tcPr>
            <w:tcW w:w="0" w:type="auto"/>
            <w:gridSpan w:val="3"/>
            <w:shd w:val="clear" w:color="auto" w:fill="auto"/>
            <w:vAlign w:val="bottom"/>
          </w:tcPr>
          <w:p w14:paraId="5F2CB48E" w14:textId="77777777" w:rsidR="00E836FB" w:rsidRDefault="00E836FB">
            <w:pPr>
              <w:rPr>
                <w:rFonts w:ascii="宋体"/>
                <w:vanish/>
              </w:rPr>
            </w:pPr>
          </w:p>
        </w:tc>
        <w:tc>
          <w:tcPr>
            <w:tcW w:w="0" w:type="auto"/>
            <w:gridSpan w:val="3"/>
            <w:shd w:val="clear" w:color="auto" w:fill="auto"/>
            <w:vAlign w:val="bottom"/>
          </w:tcPr>
          <w:p w14:paraId="5F2CB48F" w14:textId="77777777" w:rsidR="00E836FB" w:rsidRDefault="00E836FB">
            <w:pPr>
              <w:rPr>
                <w:rFonts w:ascii="宋体"/>
                <w:vanish/>
              </w:rPr>
            </w:pPr>
          </w:p>
        </w:tc>
        <w:tc>
          <w:tcPr>
            <w:tcW w:w="0" w:type="auto"/>
            <w:gridSpan w:val="3"/>
            <w:shd w:val="clear" w:color="auto" w:fill="auto"/>
            <w:vAlign w:val="bottom"/>
          </w:tcPr>
          <w:p w14:paraId="5F2CB490" w14:textId="77777777" w:rsidR="00E836FB" w:rsidRDefault="00E836FB">
            <w:pPr>
              <w:rPr>
                <w:rFonts w:ascii="宋体"/>
                <w:vanish/>
              </w:rPr>
            </w:pPr>
          </w:p>
        </w:tc>
        <w:tc>
          <w:tcPr>
            <w:tcW w:w="0" w:type="auto"/>
            <w:gridSpan w:val="3"/>
            <w:shd w:val="clear" w:color="auto" w:fill="auto"/>
            <w:vAlign w:val="bottom"/>
          </w:tcPr>
          <w:p w14:paraId="5F2CB491" w14:textId="77777777" w:rsidR="00E836FB" w:rsidRDefault="00E836FB">
            <w:pPr>
              <w:rPr>
                <w:rFonts w:ascii="宋体"/>
                <w:vanish/>
              </w:rPr>
            </w:pPr>
          </w:p>
        </w:tc>
        <w:tc>
          <w:tcPr>
            <w:tcW w:w="0" w:type="auto"/>
            <w:gridSpan w:val="3"/>
            <w:shd w:val="clear" w:color="auto" w:fill="auto"/>
            <w:vAlign w:val="bottom"/>
          </w:tcPr>
          <w:p w14:paraId="5F2CB492" w14:textId="77777777" w:rsidR="00E836FB" w:rsidRDefault="00E836FB">
            <w:pPr>
              <w:rPr>
                <w:rFonts w:ascii="宋体"/>
                <w:vanish/>
              </w:rPr>
            </w:pPr>
          </w:p>
        </w:tc>
        <w:tc>
          <w:tcPr>
            <w:tcW w:w="0" w:type="auto"/>
            <w:gridSpan w:val="3"/>
            <w:shd w:val="clear" w:color="auto" w:fill="auto"/>
            <w:vAlign w:val="bottom"/>
          </w:tcPr>
          <w:p w14:paraId="5F2CB493" w14:textId="77777777" w:rsidR="00E836FB" w:rsidRDefault="00E836FB">
            <w:pPr>
              <w:rPr>
                <w:rFonts w:ascii="宋体"/>
                <w:vanish/>
              </w:rPr>
            </w:pPr>
          </w:p>
        </w:tc>
        <w:tc>
          <w:tcPr>
            <w:tcW w:w="0" w:type="auto"/>
            <w:gridSpan w:val="3"/>
            <w:shd w:val="clear" w:color="auto" w:fill="auto"/>
            <w:vAlign w:val="bottom"/>
          </w:tcPr>
          <w:p w14:paraId="5F2CB494" w14:textId="77777777" w:rsidR="00E836FB" w:rsidRDefault="00E836FB">
            <w:pPr>
              <w:rPr>
                <w:rFonts w:ascii="宋体"/>
                <w:vanish/>
              </w:rPr>
            </w:pPr>
          </w:p>
        </w:tc>
        <w:tc>
          <w:tcPr>
            <w:tcW w:w="0" w:type="auto"/>
            <w:gridSpan w:val="3"/>
            <w:shd w:val="clear" w:color="auto" w:fill="auto"/>
            <w:vAlign w:val="bottom"/>
          </w:tcPr>
          <w:p w14:paraId="5F2CB495" w14:textId="77777777" w:rsidR="00E836FB" w:rsidRDefault="00E836FB">
            <w:pPr>
              <w:rPr>
                <w:rFonts w:ascii="宋体"/>
                <w:vanish/>
              </w:rPr>
            </w:pPr>
          </w:p>
        </w:tc>
        <w:tc>
          <w:tcPr>
            <w:tcW w:w="0" w:type="auto"/>
            <w:gridSpan w:val="3"/>
            <w:shd w:val="clear" w:color="auto" w:fill="auto"/>
            <w:vAlign w:val="bottom"/>
          </w:tcPr>
          <w:p w14:paraId="5F2CB496" w14:textId="77777777" w:rsidR="00E836FB" w:rsidRDefault="00E836FB">
            <w:pPr>
              <w:rPr>
                <w:rFonts w:ascii="宋体"/>
                <w:vanish/>
              </w:rPr>
            </w:pPr>
          </w:p>
        </w:tc>
        <w:tc>
          <w:tcPr>
            <w:tcW w:w="0" w:type="auto"/>
            <w:gridSpan w:val="3"/>
            <w:shd w:val="clear" w:color="auto" w:fill="auto"/>
            <w:vAlign w:val="bottom"/>
          </w:tcPr>
          <w:p w14:paraId="5F2CB497" w14:textId="77777777" w:rsidR="00E836FB" w:rsidRDefault="00E836FB">
            <w:pPr>
              <w:rPr>
                <w:rFonts w:ascii="宋体"/>
                <w:vanish/>
              </w:rPr>
            </w:pPr>
          </w:p>
        </w:tc>
        <w:tc>
          <w:tcPr>
            <w:tcW w:w="0" w:type="auto"/>
            <w:gridSpan w:val="3"/>
            <w:shd w:val="clear" w:color="auto" w:fill="auto"/>
            <w:vAlign w:val="bottom"/>
          </w:tcPr>
          <w:p w14:paraId="5F2CB498" w14:textId="77777777" w:rsidR="00E836FB" w:rsidRDefault="00E836FB">
            <w:pPr>
              <w:rPr>
                <w:rFonts w:ascii="宋体"/>
                <w:vanish/>
              </w:rPr>
            </w:pPr>
          </w:p>
        </w:tc>
        <w:tc>
          <w:tcPr>
            <w:tcW w:w="0" w:type="auto"/>
            <w:gridSpan w:val="3"/>
            <w:shd w:val="clear" w:color="auto" w:fill="auto"/>
            <w:vAlign w:val="bottom"/>
          </w:tcPr>
          <w:p w14:paraId="5F2CB499" w14:textId="77777777" w:rsidR="00E836FB" w:rsidRDefault="00E836FB">
            <w:pPr>
              <w:rPr>
                <w:rFonts w:ascii="宋体"/>
                <w:vanish/>
              </w:rPr>
            </w:pPr>
          </w:p>
        </w:tc>
        <w:tc>
          <w:tcPr>
            <w:tcW w:w="0" w:type="auto"/>
            <w:gridSpan w:val="2"/>
            <w:shd w:val="clear" w:color="auto" w:fill="auto"/>
            <w:vAlign w:val="bottom"/>
          </w:tcPr>
          <w:p w14:paraId="5F2CB49A" w14:textId="77777777" w:rsidR="00E836FB" w:rsidRDefault="00E836FB">
            <w:pPr>
              <w:rPr>
                <w:rFonts w:ascii="宋体"/>
                <w:vanish/>
              </w:rPr>
            </w:pPr>
          </w:p>
        </w:tc>
        <w:tc>
          <w:tcPr>
            <w:tcW w:w="0" w:type="auto"/>
            <w:shd w:val="clear" w:color="auto" w:fill="auto"/>
            <w:vAlign w:val="bottom"/>
          </w:tcPr>
          <w:p w14:paraId="5F2CB49B" w14:textId="77777777" w:rsidR="00E836FB" w:rsidRDefault="00E836FB">
            <w:pPr>
              <w:rPr>
                <w:rFonts w:ascii="宋体"/>
                <w:vanish/>
              </w:rPr>
            </w:pPr>
          </w:p>
        </w:tc>
      </w:tr>
      <w:tr w:rsidR="00E836FB" w14:paraId="5F2CB4B3" w14:textId="77777777">
        <w:trPr>
          <w:hidden/>
        </w:trPr>
        <w:tc>
          <w:tcPr>
            <w:tcW w:w="0" w:type="auto"/>
            <w:gridSpan w:val="3"/>
            <w:shd w:val="clear" w:color="auto" w:fill="auto"/>
            <w:vAlign w:val="bottom"/>
          </w:tcPr>
          <w:p w14:paraId="5F2CB49D" w14:textId="77777777" w:rsidR="00E836FB" w:rsidRDefault="00E836FB">
            <w:pPr>
              <w:rPr>
                <w:rFonts w:ascii="宋体"/>
                <w:vanish/>
              </w:rPr>
            </w:pPr>
          </w:p>
        </w:tc>
        <w:tc>
          <w:tcPr>
            <w:tcW w:w="0" w:type="auto"/>
            <w:gridSpan w:val="3"/>
            <w:shd w:val="clear" w:color="auto" w:fill="auto"/>
            <w:vAlign w:val="bottom"/>
          </w:tcPr>
          <w:p w14:paraId="5F2CB49E" w14:textId="77777777" w:rsidR="00E836FB" w:rsidRDefault="00E836FB">
            <w:pPr>
              <w:rPr>
                <w:rFonts w:ascii="宋体"/>
                <w:vanish/>
              </w:rPr>
            </w:pPr>
          </w:p>
        </w:tc>
        <w:tc>
          <w:tcPr>
            <w:tcW w:w="0" w:type="auto"/>
            <w:gridSpan w:val="3"/>
            <w:shd w:val="clear" w:color="auto" w:fill="auto"/>
            <w:vAlign w:val="bottom"/>
          </w:tcPr>
          <w:p w14:paraId="5F2CB49F" w14:textId="77777777" w:rsidR="00E836FB" w:rsidRDefault="00E836FB">
            <w:pPr>
              <w:rPr>
                <w:rFonts w:ascii="宋体"/>
                <w:vanish/>
              </w:rPr>
            </w:pPr>
          </w:p>
        </w:tc>
        <w:tc>
          <w:tcPr>
            <w:tcW w:w="0" w:type="auto"/>
            <w:gridSpan w:val="3"/>
            <w:shd w:val="clear" w:color="auto" w:fill="auto"/>
            <w:vAlign w:val="bottom"/>
          </w:tcPr>
          <w:p w14:paraId="5F2CB4A0" w14:textId="77777777" w:rsidR="00E836FB" w:rsidRDefault="00E836FB">
            <w:pPr>
              <w:rPr>
                <w:rFonts w:ascii="宋体"/>
                <w:vanish/>
              </w:rPr>
            </w:pPr>
          </w:p>
        </w:tc>
        <w:tc>
          <w:tcPr>
            <w:tcW w:w="0" w:type="auto"/>
            <w:gridSpan w:val="3"/>
            <w:shd w:val="clear" w:color="auto" w:fill="auto"/>
            <w:vAlign w:val="bottom"/>
          </w:tcPr>
          <w:p w14:paraId="5F2CB4A1" w14:textId="77777777" w:rsidR="00E836FB" w:rsidRDefault="00E836FB">
            <w:pPr>
              <w:rPr>
                <w:rFonts w:ascii="宋体"/>
                <w:vanish/>
              </w:rPr>
            </w:pPr>
          </w:p>
        </w:tc>
        <w:tc>
          <w:tcPr>
            <w:tcW w:w="0" w:type="auto"/>
            <w:gridSpan w:val="3"/>
            <w:shd w:val="clear" w:color="auto" w:fill="auto"/>
            <w:vAlign w:val="bottom"/>
          </w:tcPr>
          <w:p w14:paraId="5F2CB4A2" w14:textId="77777777" w:rsidR="00E836FB" w:rsidRDefault="00E836FB">
            <w:pPr>
              <w:rPr>
                <w:rFonts w:ascii="宋体"/>
                <w:vanish/>
              </w:rPr>
            </w:pPr>
          </w:p>
        </w:tc>
        <w:tc>
          <w:tcPr>
            <w:tcW w:w="0" w:type="auto"/>
            <w:gridSpan w:val="3"/>
            <w:shd w:val="clear" w:color="auto" w:fill="auto"/>
            <w:vAlign w:val="bottom"/>
          </w:tcPr>
          <w:p w14:paraId="5F2CB4A3" w14:textId="77777777" w:rsidR="00E836FB" w:rsidRDefault="00E836FB">
            <w:pPr>
              <w:rPr>
                <w:rFonts w:ascii="宋体"/>
                <w:vanish/>
              </w:rPr>
            </w:pPr>
          </w:p>
        </w:tc>
        <w:tc>
          <w:tcPr>
            <w:tcW w:w="0" w:type="auto"/>
            <w:gridSpan w:val="3"/>
            <w:shd w:val="clear" w:color="auto" w:fill="auto"/>
            <w:vAlign w:val="bottom"/>
          </w:tcPr>
          <w:p w14:paraId="5F2CB4A4" w14:textId="77777777" w:rsidR="00E836FB" w:rsidRDefault="00E836FB">
            <w:pPr>
              <w:rPr>
                <w:rFonts w:ascii="宋体"/>
                <w:vanish/>
              </w:rPr>
            </w:pPr>
          </w:p>
        </w:tc>
        <w:tc>
          <w:tcPr>
            <w:tcW w:w="0" w:type="auto"/>
            <w:gridSpan w:val="3"/>
            <w:shd w:val="clear" w:color="auto" w:fill="auto"/>
            <w:vAlign w:val="bottom"/>
          </w:tcPr>
          <w:p w14:paraId="5F2CB4A5" w14:textId="77777777" w:rsidR="00E836FB" w:rsidRDefault="00E836FB">
            <w:pPr>
              <w:rPr>
                <w:rFonts w:ascii="宋体"/>
                <w:vanish/>
              </w:rPr>
            </w:pPr>
          </w:p>
        </w:tc>
        <w:tc>
          <w:tcPr>
            <w:tcW w:w="0" w:type="auto"/>
            <w:gridSpan w:val="3"/>
            <w:shd w:val="clear" w:color="auto" w:fill="auto"/>
            <w:vAlign w:val="bottom"/>
          </w:tcPr>
          <w:p w14:paraId="5F2CB4A6" w14:textId="77777777" w:rsidR="00E836FB" w:rsidRDefault="00E836FB">
            <w:pPr>
              <w:rPr>
                <w:rFonts w:ascii="宋体"/>
                <w:vanish/>
              </w:rPr>
            </w:pPr>
          </w:p>
        </w:tc>
        <w:tc>
          <w:tcPr>
            <w:tcW w:w="0" w:type="auto"/>
            <w:gridSpan w:val="3"/>
            <w:shd w:val="clear" w:color="auto" w:fill="auto"/>
            <w:vAlign w:val="bottom"/>
          </w:tcPr>
          <w:p w14:paraId="5F2CB4A7" w14:textId="77777777" w:rsidR="00E836FB" w:rsidRDefault="00E836FB">
            <w:pPr>
              <w:rPr>
                <w:rFonts w:ascii="宋体"/>
                <w:vanish/>
              </w:rPr>
            </w:pPr>
          </w:p>
        </w:tc>
        <w:tc>
          <w:tcPr>
            <w:tcW w:w="0" w:type="auto"/>
            <w:gridSpan w:val="3"/>
            <w:shd w:val="clear" w:color="auto" w:fill="auto"/>
            <w:vAlign w:val="bottom"/>
          </w:tcPr>
          <w:p w14:paraId="5F2CB4A8" w14:textId="77777777" w:rsidR="00E836FB" w:rsidRDefault="00E836FB">
            <w:pPr>
              <w:rPr>
                <w:rFonts w:ascii="宋体"/>
                <w:vanish/>
              </w:rPr>
            </w:pPr>
          </w:p>
        </w:tc>
        <w:tc>
          <w:tcPr>
            <w:tcW w:w="0" w:type="auto"/>
            <w:gridSpan w:val="3"/>
            <w:shd w:val="clear" w:color="auto" w:fill="auto"/>
            <w:vAlign w:val="bottom"/>
          </w:tcPr>
          <w:p w14:paraId="5F2CB4A9" w14:textId="77777777" w:rsidR="00E836FB" w:rsidRDefault="00E836FB">
            <w:pPr>
              <w:rPr>
                <w:rFonts w:ascii="宋体"/>
                <w:vanish/>
              </w:rPr>
            </w:pPr>
          </w:p>
        </w:tc>
        <w:tc>
          <w:tcPr>
            <w:tcW w:w="0" w:type="auto"/>
            <w:gridSpan w:val="3"/>
            <w:shd w:val="clear" w:color="auto" w:fill="auto"/>
            <w:vAlign w:val="bottom"/>
          </w:tcPr>
          <w:p w14:paraId="5F2CB4AA" w14:textId="77777777" w:rsidR="00E836FB" w:rsidRDefault="00E836FB">
            <w:pPr>
              <w:rPr>
                <w:rFonts w:ascii="宋体"/>
                <w:vanish/>
              </w:rPr>
            </w:pPr>
          </w:p>
        </w:tc>
        <w:tc>
          <w:tcPr>
            <w:tcW w:w="0" w:type="auto"/>
            <w:gridSpan w:val="3"/>
            <w:shd w:val="clear" w:color="auto" w:fill="auto"/>
            <w:vAlign w:val="bottom"/>
          </w:tcPr>
          <w:p w14:paraId="5F2CB4AB" w14:textId="77777777" w:rsidR="00E836FB" w:rsidRDefault="00E836FB">
            <w:pPr>
              <w:rPr>
                <w:rFonts w:ascii="宋体"/>
                <w:vanish/>
              </w:rPr>
            </w:pPr>
          </w:p>
        </w:tc>
        <w:tc>
          <w:tcPr>
            <w:tcW w:w="0" w:type="auto"/>
            <w:gridSpan w:val="3"/>
            <w:shd w:val="clear" w:color="auto" w:fill="auto"/>
            <w:vAlign w:val="bottom"/>
          </w:tcPr>
          <w:p w14:paraId="5F2CB4AC" w14:textId="77777777" w:rsidR="00E836FB" w:rsidRDefault="00E836FB">
            <w:pPr>
              <w:rPr>
                <w:rFonts w:ascii="宋体"/>
                <w:vanish/>
              </w:rPr>
            </w:pPr>
          </w:p>
        </w:tc>
        <w:tc>
          <w:tcPr>
            <w:tcW w:w="0" w:type="auto"/>
            <w:gridSpan w:val="3"/>
            <w:shd w:val="clear" w:color="auto" w:fill="auto"/>
            <w:vAlign w:val="bottom"/>
          </w:tcPr>
          <w:p w14:paraId="5F2CB4AD" w14:textId="77777777" w:rsidR="00E836FB" w:rsidRDefault="00E836FB">
            <w:pPr>
              <w:rPr>
                <w:rFonts w:ascii="宋体"/>
                <w:vanish/>
              </w:rPr>
            </w:pPr>
          </w:p>
        </w:tc>
        <w:tc>
          <w:tcPr>
            <w:tcW w:w="0" w:type="auto"/>
            <w:gridSpan w:val="3"/>
            <w:shd w:val="clear" w:color="auto" w:fill="auto"/>
            <w:vAlign w:val="bottom"/>
          </w:tcPr>
          <w:p w14:paraId="5F2CB4AE" w14:textId="77777777" w:rsidR="00E836FB" w:rsidRDefault="00E836FB">
            <w:pPr>
              <w:rPr>
                <w:rFonts w:ascii="宋体"/>
                <w:vanish/>
              </w:rPr>
            </w:pPr>
          </w:p>
        </w:tc>
        <w:tc>
          <w:tcPr>
            <w:tcW w:w="0" w:type="auto"/>
            <w:gridSpan w:val="3"/>
            <w:shd w:val="clear" w:color="auto" w:fill="auto"/>
            <w:vAlign w:val="bottom"/>
          </w:tcPr>
          <w:p w14:paraId="5F2CB4AF" w14:textId="77777777" w:rsidR="00E836FB" w:rsidRDefault="00E836FB">
            <w:pPr>
              <w:rPr>
                <w:rFonts w:ascii="宋体"/>
                <w:vanish/>
              </w:rPr>
            </w:pPr>
          </w:p>
        </w:tc>
        <w:tc>
          <w:tcPr>
            <w:tcW w:w="0" w:type="auto"/>
            <w:gridSpan w:val="3"/>
            <w:shd w:val="clear" w:color="auto" w:fill="auto"/>
            <w:vAlign w:val="bottom"/>
          </w:tcPr>
          <w:p w14:paraId="5F2CB4B0" w14:textId="77777777" w:rsidR="00E836FB" w:rsidRDefault="00E836FB">
            <w:pPr>
              <w:rPr>
                <w:rFonts w:ascii="宋体"/>
                <w:vanish/>
              </w:rPr>
            </w:pPr>
          </w:p>
        </w:tc>
        <w:tc>
          <w:tcPr>
            <w:tcW w:w="0" w:type="auto"/>
            <w:gridSpan w:val="2"/>
            <w:shd w:val="clear" w:color="auto" w:fill="auto"/>
            <w:vAlign w:val="bottom"/>
          </w:tcPr>
          <w:p w14:paraId="5F2CB4B1" w14:textId="77777777" w:rsidR="00E836FB" w:rsidRDefault="00E836FB">
            <w:pPr>
              <w:rPr>
                <w:rFonts w:ascii="宋体"/>
                <w:vanish/>
              </w:rPr>
            </w:pPr>
          </w:p>
        </w:tc>
        <w:tc>
          <w:tcPr>
            <w:tcW w:w="0" w:type="auto"/>
            <w:shd w:val="clear" w:color="auto" w:fill="auto"/>
            <w:vAlign w:val="bottom"/>
          </w:tcPr>
          <w:p w14:paraId="5F2CB4B2" w14:textId="77777777" w:rsidR="00E836FB" w:rsidRDefault="00E836FB">
            <w:pPr>
              <w:rPr>
                <w:rFonts w:ascii="宋体"/>
                <w:vanish/>
              </w:rPr>
            </w:pPr>
          </w:p>
        </w:tc>
      </w:tr>
      <w:tr w:rsidR="00E836FB" w14:paraId="5F2CB4CA" w14:textId="77777777">
        <w:trPr>
          <w:hidden/>
        </w:trPr>
        <w:tc>
          <w:tcPr>
            <w:tcW w:w="0" w:type="auto"/>
            <w:gridSpan w:val="3"/>
            <w:shd w:val="clear" w:color="auto" w:fill="auto"/>
            <w:vAlign w:val="bottom"/>
          </w:tcPr>
          <w:p w14:paraId="5F2CB4B4" w14:textId="77777777" w:rsidR="00E836FB" w:rsidRDefault="00E836FB">
            <w:pPr>
              <w:rPr>
                <w:rFonts w:ascii="宋体"/>
                <w:vanish/>
              </w:rPr>
            </w:pPr>
          </w:p>
        </w:tc>
        <w:tc>
          <w:tcPr>
            <w:tcW w:w="0" w:type="auto"/>
            <w:gridSpan w:val="3"/>
            <w:shd w:val="clear" w:color="auto" w:fill="auto"/>
            <w:vAlign w:val="bottom"/>
          </w:tcPr>
          <w:p w14:paraId="5F2CB4B5" w14:textId="77777777" w:rsidR="00E836FB" w:rsidRDefault="00E836FB">
            <w:pPr>
              <w:rPr>
                <w:rFonts w:ascii="宋体"/>
                <w:vanish/>
              </w:rPr>
            </w:pPr>
          </w:p>
        </w:tc>
        <w:tc>
          <w:tcPr>
            <w:tcW w:w="0" w:type="auto"/>
            <w:gridSpan w:val="3"/>
            <w:shd w:val="clear" w:color="auto" w:fill="auto"/>
            <w:vAlign w:val="bottom"/>
          </w:tcPr>
          <w:p w14:paraId="5F2CB4B6" w14:textId="77777777" w:rsidR="00E836FB" w:rsidRDefault="00E836FB">
            <w:pPr>
              <w:rPr>
                <w:rFonts w:ascii="宋体"/>
                <w:vanish/>
              </w:rPr>
            </w:pPr>
          </w:p>
        </w:tc>
        <w:tc>
          <w:tcPr>
            <w:tcW w:w="0" w:type="auto"/>
            <w:gridSpan w:val="3"/>
            <w:shd w:val="clear" w:color="auto" w:fill="auto"/>
            <w:vAlign w:val="bottom"/>
          </w:tcPr>
          <w:p w14:paraId="5F2CB4B7" w14:textId="77777777" w:rsidR="00E836FB" w:rsidRDefault="00E836FB">
            <w:pPr>
              <w:rPr>
                <w:rFonts w:ascii="宋体"/>
                <w:vanish/>
              </w:rPr>
            </w:pPr>
          </w:p>
        </w:tc>
        <w:tc>
          <w:tcPr>
            <w:tcW w:w="0" w:type="auto"/>
            <w:gridSpan w:val="3"/>
            <w:shd w:val="clear" w:color="auto" w:fill="auto"/>
            <w:vAlign w:val="bottom"/>
          </w:tcPr>
          <w:p w14:paraId="5F2CB4B8" w14:textId="77777777" w:rsidR="00E836FB" w:rsidRDefault="00E836FB">
            <w:pPr>
              <w:rPr>
                <w:rFonts w:ascii="宋体"/>
                <w:vanish/>
              </w:rPr>
            </w:pPr>
          </w:p>
        </w:tc>
        <w:tc>
          <w:tcPr>
            <w:tcW w:w="0" w:type="auto"/>
            <w:gridSpan w:val="3"/>
            <w:shd w:val="clear" w:color="auto" w:fill="auto"/>
            <w:vAlign w:val="bottom"/>
          </w:tcPr>
          <w:p w14:paraId="5F2CB4B9" w14:textId="77777777" w:rsidR="00E836FB" w:rsidRDefault="00E836FB">
            <w:pPr>
              <w:rPr>
                <w:rFonts w:ascii="宋体"/>
                <w:vanish/>
              </w:rPr>
            </w:pPr>
          </w:p>
        </w:tc>
        <w:tc>
          <w:tcPr>
            <w:tcW w:w="0" w:type="auto"/>
            <w:gridSpan w:val="3"/>
            <w:shd w:val="clear" w:color="auto" w:fill="auto"/>
            <w:vAlign w:val="bottom"/>
          </w:tcPr>
          <w:p w14:paraId="5F2CB4BA" w14:textId="77777777" w:rsidR="00E836FB" w:rsidRDefault="00E836FB">
            <w:pPr>
              <w:rPr>
                <w:rFonts w:ascii="宋体"/>
                <w:vanish/>
              </w:rPr>
            </w:pPr>
          </w:p>
        </w:tc>
        <w:tc>
          <w:tcPr>
            <w:tcW w:w="0" w:type="auto"/>
            <w:gridSpan w:val="3"/>
            <w:shd w:val="clear" w:color="auto" w:fill="auto"/>
            <w:vAlign w:val="bottom"/>
          </w:tcPr>
          <w:p w14:paraId="5F2CB4BB" w14:textId="77777777" w:rsidR="00E836FB" w:rsidRDefault="00E836FB">
            <w:pPr>
              <w:rPr>
                <w:rFonts w:ascii="宋体"/>
                <w:vanish/>
              </w:rPr>
            </w:pPr>
          </w:p>
        </w:tc>
        <w:tc>
          <w:tcPr>
            <w:tcW w:w="0" w:type="auto"/>
            <w:gridSpan w:val="3"/>
            <w:shd w:val="clear" w:color="auto" w:fill="auto"/>
            <w:vAlign w:val="bottom"/>
          </w:tcPr>
          <w:p w14:paraId="5F2CB4BC" w14:textId="77777777" w:rsidR="00E836FB" w:rsidRDefault="00E836FB">
            <w:pPr>
              <w:rPr>
                <w:rFonts w:ascii="宋体"/>
                <w:vanish/>
              </w:rPr>
            </w:pPr>
          </w:p>
        </w:tc>
        <w:tc>
          <w:tcPr>
            <w:tcW w:w="0" w:type="auto"/>
            <w:gridSpan w:val="3"/>
            <w:shd w:val="clear" w:color="auto" w:fill="auto"/>
            <w:vAlign w:val="bottom"/>
          </w:tcPr>
          <w:p w14:paraId="5F2CB4BD" w14:textId="77777777" w:rsidR="00E836FB" w:rsidRDefault="00E836FB">
            <w:pPr>
              <w:rPr>
                <w:rFonts w:ascii="宋体"/>
                <w:vanish/>
              </w:rPr>
            </w:pPr>
          </w:p>
        </w:tc>
        <w:tc>
          <w:tcPr>
            <w:tcW w:w="0" w:type="auto"/>
            <w:gridSpan w:val="3"/>
            <w:shd w:val="clear" w:color="auto" w:fill="auto"/>
            <w:vAlign w:val="bottom"/>
          </w:tcPr>
          <w:p w14:paraId="5F2CB4BE" w14:textId="77777777" w:rsidR="00E836FB" w:rsidRDefault="00E836FB">
            <w:pPr>
              <w:rPr>
                <w:rFonts w:ascii="宋体"/>
                <w:vanish/>
              </w:rPr>
            </w:pPr>
          </w:p>
        </w:tc>
        <w:tc>
          <w:tcPr>
            <w:tcW w:w="0" w:type="auto"/>
            <w:gridSpan w:val="3"/>
            <w:shd w:val="clear" w:color="auto" w:fill="auto"/>
            <w:vAlign w:val="bottom"/>
          </w:tcPr>
          <w:p w14:paraId="5F2CB4BF" w14:textId="77777777" w:rsidR="00E836FB" w:rsidRDefault="00E836FB">
            <w:pPr>
              <w:rPr>
                <w:rFonts w:ascii="宋体"/>
                <w:vanish/>
              </w:rPr>
            </w:pPr>
          </w:p>
        </w:tc>
        <w:tc>
          <w:tcPr>
            <w:tcW w:w="0" w:type="auto"/>
            <w:gridSpan w:val="3"/>
            <w:shd w:val="clear" w:color="auto" w:fill="auto"/>
            <w:vAlign w:val="bottom"/>
          </w:tcPr>
          <w:p w14:paraId="5F2CB4C0" w14:textId="77777777" w:rsidR="00E836FB" w:rsidRDefault="00E836FB">
            <w:pPr>
              <w:rPr>
                <w:rFonts w:ascii="宋体"/>
                <w:vanish/>
              </w:rPr>
            </w:pPr>
          </w:p>
        </w:tc>
        <w:tc>
          <w:tcPr>
            <w:tcW w:w="0" w:type="auto"/>
            <w:gridSpan w:val="3"/>
            <w:shd w:val="clear" w:color="auto" w:fill="auto"/>
            <w:vAlign w:val="bottom"/>
          </w:tcPr>
          <w:p w14:paraId="5F2CB4C1" w14:textId="77777777" w:rsidR="00E836FB" w:rsidRDefault="00E836FB">
            <w:pPr>
              <w:rPr>
                <w:rFonts w:ascii="宋体"/>
                <w:vanish/>
              </w:rPr>
            </w:pPr>
          </w:p>
        </w:tc>
        <w:tc>
          <w:tcPr>
            <w:tcW w:w="0" w:type="auto"/>
            <w:gridSpan w:val="3"/>
            <w:shd w:val="clear" w:color="auto" w:fill="auto"/>
            <w:vAlign w:val="bottom"/>
          </w:tcPr>
          <w:p w14:paraId="5F2CB4C2" w14:textId="77777777" w:rsidR="00E836FB" w:rsidRDefault="00E836FB">
            <w:pPr>
              <w:rPr>
                <w:rFonts w:ascii="宋体"/>
                <w:vanish/>
              </w:rPr>
            </w:pPr>
          </w:p>
        </w:tc>
        <w:tc>
          <w:tcPr>
            <w:tcW w:w="0" w:type="auto"/>
            <w:gridSpan w:val="3"/>
            <w:shd w:val="clear" w:color="auto" w:fill="auto"/>
            <w:vAlign w:val="bottom"/>
          </w:tcPr>
          <w:p w14:paraId="5F2CB4C3" w14:textId="77777777" w:rsidR="00E836FB" w:rsidRDefault="00E836FB">
            <w:pPr>
              <w:rPr>
                <w:rFonts w:ascii="宋体"/>
                <w:vanish/>
              </w:rPr>
            </w:pPr>
          </w:p>
        </w:tc>
        <w:tc>
          <w:tcPr>
            <w:tcW w:w="0" w:type="auto"/>
            <w:gridSpan w:val="3"/>
            <w:shd w:val="clear" w:color="auto" w:fill="auto"/>
            <w:vAlign w:val="bottom"/>
          </w:tcPr>
          <w:p w14:paraId="5F2CB4C4" w14:textId="77777777" w:rsidR="00E836FB" w:rsidRDefault="00E836FB">
            <w:pPr>
              <w:rPr>
                <w:rFonts w:ascii="宋体"/>
                <w:vanish/>
              </w:rPr>
            </w:pPr>
          </w:p>
        </w:tc>
        <w:tc>
          <w:tcPr>
            <w:tcW w:w="0" w:type="auto"/>
            <w:gridSpan w:val="3"/>
            <w:shd w:val="clear" w:color="auto" w:fill="auto"/>
            <w:vAlign w:val="bottom"/>
          </w:tcPr>
          <w:p w14:paraId="5F2CB4C5" w14:textId="77777777" w:rsidR="00E836FB" w:rsidRDefault="00E836FB">
            <w:pPr>
              <w:rPr>
                <w:rFonts w:ascii="宋体"/>
                <w:vanish/>
              </w:rPr>
            </w:pPr>
          </w:p>
        </w:tc>
        <w:tc>
          <w:tcPr>
            <w:tcW w:w="0" w:type="auto"/>
            <w:gridSpan w:val="3"/>
            <w:shd w:val="clear" w:color="auto" w:fill="auto"/>
            <w:vAlign w:val="bottom"/>
          </w:tcPr>
          <w:p w14:paraId="5F2CB4C6" w14:textId="77777777" w:rsidR="00E836FB" w:rsidRDefault="00E836FB">
            <w:pPr>
              <w:rPr>
                <w:rFonts w:ascii="宋体"/>
                <w:vanish/>
              </w:rPr>
            </w:pPr>
          </w:p>
        </w:tc>
        <w:tc>
          <w:tcPr>
            <w:tcW w:w="0" w:type="auto"/>
            <w:gridSpan w:val="3"/>
            <w:shd w:val="clear" w:color="auto" w:fill="auto"/>
            <w:vAlign w:val="bottom"/>
          </w:tcPr>
          <w:p w14:paraId="5F2CB4C7" w14:textId="77777777" w:rsidR="00E836FB" w:rsidRDefault="00E836FB">
            <w:pPr>
              <w:rPr>
                <w:rFonts w:ascii="宋体"/>
                <w:vanish/>
              </w:rPr>
            </w:pPr>
          </w:p>
        </w:tc>
        <w:tc>
          <w:tcPr>
            <w:tcW w:w="0" w:type="auto"/>
            <w:gridSpan w:val="2"/>
            <w:shd w:val="clear" w:color="auto" w:fill="auto"/>
            <w:vAlign w:val="bottom"/>
          </w:tcPr>
          <w:p w14:paraId="5F2CB4C8" w14:textId="77777777" w:rsidR="00E836FB" w:rsidRDefault="00E836FB">
            <w:pPr>
              <w:rPr>
                <w:rFonts w:ascii="宋体"/>
                <w:vanish/>
              </w:rPr>
            </w:pPr>
          </w:p>
        </w:tc>
        <w:tc>
          <w:tcPr>
            <w:tcW w:w="0" w:type="auto"/>
            <w:shd w:val="clear" w:color="auto" w:fill="auto"/>
            <w:vAlign w:val="bottom"/>
          </w:tcPr>
          <w:p w14:paraId="5F2CB4C9" w14:textId="77777777" w:rsidR="00E836FB" w:rsidRDefault="00E836FB">
            <w:pPr>
              <w:rPr>
                <w:rFonts w:ascii="宋体"/>
                <w:vanish/>
              </w:rPr>
            </w:pPr>
          </w:p>
        </w:tc>
      </w:tr>
      <w:tr w:rsidR="00E836FB" w14:paraId="5F2CB4E1" w14:textId="77777777">
        <w:trPr>
          <w:hidden/>
        </w:trPr>
        <w:tc>
          <w:tcPr>
            <w:tcW w:w="0" w:type="auto"/>
            <w:gridSpan w:val="3"/>
            <w:shd w:val="clear" w:color="auto" w:fill="auto"/>
            <w:vAlign w:val="bottom"/>
          </w:tcPr>
          <w:p w14:paraId="5F2CB4CB" w14:textId="77777777" w:rsidR="00E836FB" w:rsidRDefault="00E836FB">
            <w:pPr>
              <w:rPr>
                <w:rFonts w:ascii="宋体"/>
                <w:vanish/>
              </w:rPr>
            </w:pPr>
          </w:p>
        </w:tc>
        <w:tc>
          <w:tcPr>
            <w:tcW w:w="0" w:type="auto"/>
            <w:gridSpan w:val="3"/>
            <w:shd w:val="clear" w:color="auto" w:fill="auto"/>
            <w:vAlign w:val="bottom"/>
          </w:tcPr>
          <w:p w14:paraId="5F2CB4CC" w14:textId="77777777" w:rsidR="00E836FB" w:rsidRDefault="00E836FB">
            <w:pPr>
              <w:rPr>
                <w:rFonts w:ascii="宋体"/>
                <w:vanish/>
              </w:rPr>
            </w:pPr>
          </w:p>
        </w:tc>
        <w:tc>
          <w:tcPr>
            <w:tcW w:w="0" w:type="auto"/>
            <w:gridSpan w:val="3"/>
            <w:shd w:val="clear" w:color="auto" w:fill="auto"/>
            <w:vAlign w:val="bottom"/>
          </w:tcPr>
          <w:p w14:paraId="5F2CB4CD" w14:textId="77777777" w:rsidR="00E836FB" w:rsidRDefault="00E836FB">
            <w:pPr>
              <w:rPr>
                <w:rFonts w:ascii="宋体"/>
                <w:vanish/>
              </w:rPr>
            </w:pPr>
          </w:p>
        </w:tc>
        <w:tc>
          <w:tcPr>
            <w:tcW w:w="0" w:type="auto"/>
            <w:gridSpan w:val="3"/>
            <w:shd w:val="clear" w:color="auto" w:fill="auto"/>
            <w:vAlign w:val="bottom"/>
          </w:tcPr>
          <w:p w14:paraId="5F2CB4CE" w14:textId="77777777" w:rsidR="00E836FB" w:rsidRDefault="00E836FB">
            <w:pPr>
              <w:rPr>
                <w:rFonts w:ascii="宋体"/>
                <w:vanish/>
              </w:rPr>
            </w:pPr>
          </w:p>
        </w:tc>
        <w:tc>
          <w:tcPr>
            <w:tcW w:w="0" w:type="auto"/>
            <w:gridSpan w:val="3"/>
            <w:shd w:val="clear" w:color="auto" w:fill="auto"/>
            <w:vAlign w:val="bottom"/>
          </w:tcPr>
          <w:p w14:paraId="5F2CB4CF" w14:textId="77777777" w:rsidR="00E836FB" w:rsidRDefault="00E836FB">
            <w:pPr>
              <w:rPr>
                <w:rFonts w:ascii="宋体"/>
                <w:vanish/>
              </w:rPr>
            </w:pPr>
          </w:p>
        </w:tc>
        <w:tc>
          <w:tcPr>
            <w:tcW w:w="0" w:type="auto"/>
            <w:gridSpan w:val="3"/>
            <w:shd w:val="clear" w:color="auto" w:fill="auto"/>
            <w:vAlign w:val="bottom"/>
          </w:tcPr>
          <w:p w14:paraId="5F2CB4D0" w14:textId="77777777" w:rsidR="00E836FB" w:rsidRDefault="00E836FB">
            <w:pPr>
              <w:rPr>
                <w:rFonts w:ascii="宋体"/>
                <w:vanish/>
              </w:rPr>
            </w:pPr>
          </w:p>
        </w:tc>
        <w:tc>
          <w:tcPr>
            <w:tcW w:w="0" w:type="auto"/>
            <w:gridSpan w:val="3"/>
            <w:shd w:val="clear" w:color="auto" w:fill="auto"/>
            <w:vAlign w:val="bottom"/>
          </w:tcPr>
          <w:p w14:paraId="5F2CB4D1" w14:textId="77777777" w:rsidR="00E836FB" w:rsidRDefault="00E836FB">
            <w:pPr>
              <w:rPr>
                <w:rFonts w:ascii="宋体"/>
                <w:vanish/>
              </w:rPr>
            </w:pPr>
          </w:p>
        </w:tc>
        <w:tc>
          <w:tcPr>
            <w:tcW w:w="0" w:type="auto"/>
            <w:gridSpan w:val="3"/>
            <w:shd w:val="clear" w:color="auto" w:fill="auto"/>
            <w:vAlign w:val="bottom"/>
          </w:tcPr>
          <w:p w14:paraId="5F2CB4D2" w14:textId="77777777" w:rsidR="00E836FB" w:rsidRDefault="00E836FB">
            <w:pPr>
              <w:rPr>
                <w:rFonts w:ascii="宋体"/>
                <w:vanish/>
              </w:rPr>
            </w:pPr>
          </w:p>
        </w:tc>
        <w:tc>
          <w:tcPr>
            <w:tcW w:w="0" w:type="auto"/>
            <w:gridSpan w:val="3"/>
            <w:shd w:val="clear" w:color="auto" w:fill="auto"/>
            <w:vAlign w:val="bottom"/>
          </w:tcPr>
          <w:p w14:paraId="5F2CB4D3" w14:textId="77777777" w:rsidR="00E836FB" w:rsidRDefault="00E836FB">
            <w:pPr>
              <w:rPr>
                <w:rFonts w:ascii="宋体"/>
                <w:vanish/>
              </w:rPr>
            </w:pPr>
          </w:p>
        </w:tc>
        <w:tc>
          <w:tcPr>
            <w:tcW w:w="0" w:type="auto"/>
            <w:gridSpan w:val="3"/>
            <w:shd w:val="clear" w:color="auto" w:fill="auto"/>
            <w:vAlign w:val="bottom"/>
          </w:tcPr>
          <w:p w14:paraId="5F2CB4D4" w14:textId="77777777" w:rsidR="00E836FB" w:rsidRDefault="00E836FB">
            <w:pPr>
              <w:rPr>
                <w:rFonts w:ascii="宋体"/>
                <w:vanish/>
              </w:rPr>
            </w:pPr>
          </w:p>
        </w:tc>
        <w:tc>
          <w:tcPr>
            <w:tcW w:w="0" w:type="auto"/>
            <w:gridSpan w:val="3"/>
            <w:shd w:val="clear" w:color="auto" w:fill="auto"/>
            <w:vAlign w:val="bottom"/>
          </w:tcPr>
          <w:p w14:paraId="5F2CB4D5" w14:textId="77777777" w:rsidR="00E836FB" w:rsidRDefault="00E836FB">
            <w:pPr>
              <w:rPr>
                <w:rFonts w:ascii="宋体"/>
                <w:vanish/>
              </w:rPr>
            </w:pPr>
          </w:p>
        </w:tc>
        <w:tc>
          <w:tcPr>
            <w:tcW w:w="0" w:type="auto"/>
            <w:gridSpan w:val="3"/>
            <w:shd w:val="clear" w:color="auto" w:fill="auto"/>
            <w:vAlign w:val="bottom"/>
          </w:tcPr>
          <w:p w14:paraId="5F2CB4D6" w14:textId="77777777" w:rsidR="00E836FB" w:rsidRDefault="00E836FB">
            <w:pPr>
              <w:rPr>
                <w:rFonts w:ascii="宋体"/>
                <w:vanish/>
              </w:rPr>
            </w:pPr>
          </w:p>
        </w:tc>
        <w:tc>
          <w:tcPr>
            <w:tcW w:w="0" w:type="auto"/>
            <w:gridSpan w:val="3"/>
            <w:shd w:val="clear" w:color="auto" w:fill="auto"/>
            <w:vAlign w:val="bottom"/>
          </w:tcPr>
          <w:p w14:paraId="5F2CB4D7" w14:textId="77777777" w:rsidR="00E836FB" w:rsidRDefault="00E836FB">
            <w:pPr>
              <w:rPr>
                <w:rFonts w:ascii="宋体"/>
                <w:vanish/>
              </w:rPr>
            </w:pPr>
          </w:p>
        </w:tc>
        <w:tc>
          <w:tcPr>
            <w:tcW w:w="0" w:type="auto"/>
            <w:gridSpan w:val="3"/>
            <w:shd w:val="clear" w:color="auto" w:fill="auto"/>
            <w:vAlign w:val="bottom"/>
          </w:tcPr>
          <w:p w14:paraId="5F2CB4D8" w14:textId="77777777" w:rsidR="00E836FB" w:rsidRDefault="00E836FB">
            <w:pPr>
              <w:rPr>
                <w:rFonts w:ascii="宋体"/>
                <w:vanish/>
              </w:rPr>
            </w:pPr>
          </w:p>
        </w:tc>
        <w:tc>
          <w:tcPr>
            <w:tcW w:w="0" w:type="auto"/>
            <w:gridSpan w:val="3"/>
            <w:shd w:val="clear" w:color="auto" w:fill="auto"/>
            <w:vAlign w:val="bottom"/>
          </w:tcPr>
          <w:p w14:paraId="5F2CB4D9" w14:textId="77777777" w:rsidR="00E836FB" w:rsidRDefault="00E836FB">
            <w:pPr>
              <w:rPr>
                <w:rFonts w:ascii="宋体"/>
                <w:vanish/>
              </w:rPr>
            </w:pPr>
          </w:p>
        </w:tc>
        <w:tc>
          <w:tcPr>
            <w:tcW w:w="0" w:type="auto"/>
            <w:gridSpan w:val="3"/>
            <w:shd w:val="clear" w:color="auto" w:fill="auto"/>
            <w:vAlign w:val="bottom"/>
          </w:tcPr>
          <w:p w14:paraId="5F2CB4DA" w14:textId="77777777" w:rsidR="00E836FB" w:rsidRDefault="00E836FB">
            <w:pPr>
              <w:rPr>
                <w:rFonts w:ascii="宋体"/>
                <w:vanish/>
              </w:rPr>
            </w:pPr>
          </w:p>
        </w:tc>
        <w:tc>
          <w:tcPr>
            <w:tcW w:w="0" w:type="auto"/>
            <w:gridSpan w:val="3"/>
            <w:shd w:val="clear" w:color="auto" w:fill="auto"/>
            <w:vAlign w:val="bottom"/>
          </w:tcPr>
          <w:p w14:paraId="5F2CB4DB" w14:textId="77777777" w:rsidR="00E836FB" w:rsidRDefault="00E836FB">
            <w:pPr>
              <w:rPr>
                <w:rFonts w:ascii="宋体"/>
                <w:vanish/>
              </w:rPr>
            </w:pPr>
          </w:p>
        </w:tc>
        <w:tc>
          <w:tcPr>
            <w:tcW w:w="0" w:type="auto"/>
            <w:gridSpan w:val="3"/>
            <w:shd w:val="clear" w:color="auto" w:fill="auto"/>
            <w:vAlign w:val="bottom"/>
          </w:tcPr>
          <w:p w14:paraId="5F2CB4DC" w14:textId="77777777" w:rsidR="00E836FB" w:rsidRDefault="00E836FB">
            <w:pPr>
              <w:rPr>
                <w:rFonts w:ascii="宋体"/>
                <w:vanish/>
              </w:rPr>
            </w:pPr>
          </w:p>
        </w:tc>
        <w:tc>
          <w:tcPr>
            <w:tcW w:w="0" w:type="auto"/>
            <w:gridSpan w:val="3"/>
            <w:shd w:val="clear" w:color="auto" w:fill="auto"/>
            <w:vAlign w:val="bottom"/>
          </w:tcPr>
          <w:p w14:paraId="5F2CB4DD" w14:textId="77777777" w:rsidR="00E836FB" w:rsidRDefault="00E836FB">
            <w:pPr>
              <w:rPr>
                <w:rFonts w:ascii="宋体"/>
                <w:vanish/>
              </w:rPr>
            </w:pPr>
          </w:p>
        </w:tc>
        <w:tc>
          <w:tcPr>
            <w:tcW w:w="0" w:type="auto"/>
            <w:gridSpan w:val="3"/>
            <w:shd w:val="clear" w:color="auto" w:fill="auto"/>
            <w:vAlign w:val="bottom"/>
          </w:tcPr>
          <w:p w14:paraId="5F2CB4DE" w14:textId="77777777" w:rsidR="00E836FB" w:rsidRDefault="00E836FB">
            <w:pPr>
              <w:rPr>
                <w:rFonts w:ascii="宋体"/>
                <w:vanish/>
              </w:rPr>
            </w:pPr>
          </w:p>
        </w:tc>
        <w:tc>
          <w:tcPr>
            <w:tcW w:w="0" w:type="auto"/>
            <w:gridSpan w:val="2"/>
            <w:shd w:val="clear" w:color="auto" w:fill="auto"/>
            <w:vAlign w:val="bottom"/>
          </w:tcPr>
          <w:p w14:paraId="5F2CB4DF" w14:textId="77777777" w:rsidR="00E836FB" w:rsidRDefault="00E836FB">
            <w:pPr>
              <w:rPr>
                <w:rFonts w:ascii="宋体"/>
                <w:vanish/>
              </w:rPr>
            </w:pPr>
          </w:p>
        </w:tc>
        <w:tc>
          <w:tcPr>
            <w:tcW w:w="0" w:type="auto"/>
            <w:shd w:val="clear" w:color="auto" w:fill="auto"/>
            <w:vAlign w:val="bottom"/>
          </w:tcPr>
          <w:p w14:paraId="5F2CB4E0" w14:textId="77777777" w:rsidR="00E836FB" w:rsidRDefault="00E836FB">
            <w:pPr>
              <w:rPr>
                <w:rFonts w:ascii="宋体"/>
                <w:vanish/>
              </w:rPr>
            </w:pPr>
          </w:p>
        </w:tc>
      </w:tr>
      <w:tr w:rsidR="00E836FB" w14:paraId="5F2CB4F8" w14:textId="77777777">
        <w:trPr>
          <w:hidden/>
        </w:trPr>
        <w:tc>
          <w:tcPr>
            <w:tcW w:w="0" w:type="auto"/>
            <w:gridSpan w:val="3"/>
            <w:shd w:val="clear" w:color="auto" w:fill="auto"/>
            <w:vAlign w:val="bottom"/>
          </w:tcPr>
          <w:p w14:paraId="5F2CB4E2" w14:textId="77777777" w:rsidR="00E836FB" w:rsidRDefault="00E836FB">
            <w:pPr>
              <w:rPr>
                <w:rFonts w:ascii="宋体"/>
                <w:vanish/>
              </w:rPr>
            </w:pPr>
          </w:p>
        </w:tc>
        <w:tc>
          <w:tcPr>
            <w:tcW w:w="0" w:type="auto"/>
            <w:gridSpan w:val="3"/>
            <w:shd w:val="clear" w:color="auto" w:fill="auto"/>
            <w:vAlign w:val="bottom"/>
          </w:tcPr>
          <w:p w14:paraId="5F2CB4E3" w14:textId="77777777" w:rsidR="00E836FB" w:rsidRDefault="00E836FB">
            <w:pPr>
              <w:rPr>
                <w:rFonts w:ascii="宋体"/>
                <w:vanish/>
              </w:rPr>
            </w:pPr>
          </w:p>
        </w:tc>
        <w:tc>
          <w:tcPr>
            <w:tcW w:w="0" w:type="auto"/>
            <w:gridSpan w:val="3"/>
            <w:shd w:val="clear" w:color="auto" w:fill="auto"/>
            <w:vAlign w:val="bottom"/>
          </w:tcPr>
          <w:p w14:paraId="5F2CB4E4" w14:textId="77777777" w:rsidR="00E836FB" w:rsidRDefault="00E836FB">
            <w:pPr>
              <w:rPr>
                <w:rFonts w:ascii="宋体"/>
                <w:vanish/>
              </w:rPr>
            </w:pPr>
          </w:p>
        </w:tc>
        <w:tc>
          <w:tcPr>
            <w:tcW w:w="0" w:type="auto"/>
            <w:gridSpan w:val="3"/>
            <w:shd w:val="clear" w:color="auto" w:fill="auto"/>
            <w:vAlign w:val="bottom"/>
          </w:tcPr>
          <w:p w14:paraId="5F2CB4E5" w14:textId="77777777" w:rsidR="00E836FB" w:rsidRDefault="00E836FB">
            <w:pPr>
              <w:rPr>
                <w:rFonts w:ascii="宋体"/>
                <w:vanish/>
              </w:rPr>
            </w:pPr>
          </w:p>
        </w:tc>
        <w:tc>
          <w:tcPr>
            <w:tcW w:w="0" w:type="auto"/>
            <w:gridSpan w:val="3"/>
            <w:shd w:val="clear" w:color="auto" w:fill="auto"/>
            <w:vAlign w:val="bottom"/>
          </w:tcPr>
          <w:p w14:paraId="5F2CB4E6" w14:textId="77777777" w:rsidR="00E836FB" w:rsidRDefault="00E836FB">
            <w:pPr>
              <w:rPr>
                <w:rFonts w:ascii="宋体"/>
                <w:vanish/>
              </w:rPr>
            </w:pPr>
          </w:p>
        </w:tc>
        <w:tc>
          <w:tcPr>
            <w:tcW w:w="0" w:type="auto"/>
            <w:gridSpan w:val="3"/>
            <w:shd w:val="clear" w:color="auto" w:fill="auto"/>
            <w:vAlign w:val="bottom"/>
          </w:tcPr>
          <w:p w14:paraId="5F2CB4E7" w14:textId="77777777" w:rsidR="00E836FB" w:rsidRDefault="00E836FB">
            <w:pPr>
              <w:rPr>
                <w:rFonts w:ascii="宋体"/>
                <w:vanish/>
              </w:rPr>
            </w:pPr>
          </w:p>
        </w:tc>
        <w:tc>
          <w:tcPr>
            <w:tcW w:w="0" w:type="auto"/>
            <w:gridSpan w:val="3"/>
            <w:shd w:val="clear" w:color="auto" w:fill="auto"/>
            <w:vAlign w:val="bottom"/>
          </w:tcPr>
          <w:p w14:paraId="5F2CB4E8" w14:textId="77777777" w:rsidR="00E836FB" w:rsidRDefault="00E836FB">
            <w:pPr>
              <w:rPr>
                <w:rFonts w:ascii="宋体"/>
                <w:vanish/>
              </w:rPr>
            </w:pPr>
          </w:p>
        </w:tc>
        <w:tc>
          <w:tcPr>
            <w:tcW w:w="0" w:type="auto"/>
            <w:gridSpan w:val="3"/>
            <w:shd w:val="clear" w:color="auto" w:fill="auto"/>
            <w:vAlign w:val="bottom"/>
          </w:tcPr>
          <w:p w14:paraId="5F2CB4E9" w14:textId="77777777" w:rsidR="00E836FB" w:rsidRDefault="00E836FB">
            <w:pPr>
              <w:rPr>
                <w:rFonts w:ascii="宋体"/>
                <w:vanish/>
              </w:rPr>
            </w:pPr>
          </w:p>
        </w:tc>
        <w:tc>
          <w:tcPr>
            <w:tcW w:w="0" w:type="auto"/>
            <w:gridSpan w:val="3"/>
            <w:shd w:val="clear" w:color="auto" w:fill="auto"/>
            <w:vAlign w:val="bottom"/>
          </w:tcPr>
          <w:p w14:paraId="5F2CB4EA" w14:textId="77777777" w:rsidR="00E836FB" w:rsidRDefault="00E836FB">
            <w:pPr>
              <w:rPr>
                <w:rFonts w:ascii="宋体"/>
                <w:vanish/>
              </w:rPr>
            </w:pPr>
          </w:p>
        </w:tc>
        <w:tc>
          <w:tcPr>
            <w:tcW w:w="0" w:type="auto"/>
            <w:gridSpan w:val="3"/>
            <w:shd w:val="clear" w:color="auto" w:fill="auto"/>
            <w:vAlign w:val="bottom"/>
          </w:tcPr>
          <w:p w14:paraId="5F2CB4EB" w14:textId="77777777" w:rsidR="00E836FB" w:rsidRDefault="00E836FB">
            <w:pPr>
              <w:rPr>
                <w:rFonts w:ascii="宋体"/>
                <w:vanish/>
              </w:rPr>
            </w:pPr>
          </w:p>
        </w:tc>
        <w:tc>
          <w:tcPr>
            <w:tcW w:w="0" w:type="auto"/>
            <w:gridSpan w:val="3"/>
            <w:shd w:val="clear" w:color="auto" w:fill="auto"/>
            <w:vAlign w:val="bottom"/>
          </w:tcPr>
          <w:p w14:paraId="5F2CB4EC" w14:textId="77777777" w:rsidR="00E836FB" w:rsidRDefault="00E836FB">
            <w:pPr>
              <w:rPr>
                <w:rFonts w:ascii="宋体"/>
                <w:vanish/>
              </w:rPr>
            </w:pPr>
          </w:p>
        </w:tc>
        <w:tc>
          <w:tcPr>
            <w:tcW w:w="0" w:type="auto"/>
            <w:gridSpan w:val="3"/>
            <w:shd w:val="clear" w:color="auto" w:fill="auto"/>
            <w:vAlign w:val="bottom"/>
          </w:tcPr>
          <w:p w14:paraId="5F2CB4ED" w14:textId="77777777" w:rsidR="00E836FB" w:rsidRDefault="00E836FB">
            <w:pPr>
              <w:rPr>
                <w:rFonts w:ascii="宋体"/>
                <w:vanish/>
              </w:rPr>
            </w:pPr>
          </w:p>
        </w:tc>
        <w:tc>
          <w:tcPr>
            <w:tcW w:w="0" w:type="auto"/>
            <w:gridSpan w:val="3"/>
            <w:shd w:val="clear" w:color="auto" w:fill="auto"/>
            <w:vAlign w:val="bottom"/>
          </w:tcPr>
          <w:p w14:paraId="5F2CB4EE" w14:textId="77777777" w:rsidR="00E836FB" w:rsidRDefault="00E836FB">
            <w:pPr>
              <w:rPr>
                <w:rFonts w:ascii="宋体"/>
                <w:vanish/>
              </w:rPr>
            </w:pPr>
          </w:p>
        </w:tc>
        <w:tc>
          <w:tcPr>
            <w:tcW w:w="0" w:type="auto"/>
            <w:gridSpan w:val="3"/>
            <w:shd w:val="clear" w:color="auto" w:fill="auto"/>
            <w:vAlign w:val="bottom"/>
          </w:tcPr>
          <w:p w14:paraId="5F2CB4EF" w14:textId="77777777" w:rsidR="00E836FB" w:rsidRDefault="00E836FB">
            <w:pPr>
              <w:rPr>
                <w:rFonts w:ascii="宋体"/>
                <w:vanish/>
              </w:rPr>
            </w:pPr>
          </w:p>
        </w:tc>
        <w:tc>
          <w:tcPr>
            <w:tcW w:w="0" w:type="auto"/>
            <w:gridSpan w:val="3"/>
            <w:shd w:val="clear" w:color="auto" w:fill="auto"/>
            <w:vAlign w:val="bottom"/>
          </w:tcPr>
          <w:p w14:paraId="5F2CB4F0" w14:textId="77777777" w:rsidR="00E836FB" w:rsidRDefault="00E836FB">
            <w:pPr>
              <w:rPr>
                <w:rFonts w:ascii="宋体"/>
                <w:vanish/>
              </w:rPr>
            </w:pPr>
          </w:p>
        </w:tc>
        <w:tc>
          <w:tcPr>
            <w:tcW w:w="0" w:type="auto"/>
            <w:gridSpan w:val="3"/>
            <w:shd w:val="clear" w:color="auto" w:fill="auto"/>
            <w:vAlign w:val="bottom"/>
          </w:tcPr>
          <w:p w14:paraId="5F2CB4F1" w14:textId="77777777" w:rsidR="00E836FB" w:rsidRDefault="00E836FB">
            <w:pPr>
              <w:rPr>
                <w:rFonts w:ascii="宋体"/>
                <w:vanish/>
              </w:rPr>
            </w:pPr>
          </w:p>
        </w:tc>
        <w:tc>
          <w:tcPr>
            <w:tcW w:w="0" w:type="auto"/>
            <w:gridSpan w:val="3"/>
            <w:shd w:val="clear" w:color="auto" w:fill="auto"/>
            <w:vAlign w:val="bottom"/>
          </w:tcPr>
          <w:p w14:paraId="5F2CB4F2" w14:textId="77777777" w:rsidR="00E836FB" w:rsidRDefault="00E836FB">
            <w:pPr>
              <w:rPr>
                <w:rFonts w:ascii="宋体"/>
                <w:vanish/>
              </w:rPr>
            </w:pPr>
          </w:p>
        </w:tc>
        <w:tc>
          <w:tcPr>
            <w:tcW w:w="0" w:type="auto"/>
            <w:gridSpan w:val="3"/>
            <w:shd w:val="clear" w:color="auto" w:fill="auto"/>
            <w:vAlign w:val="bottom"/>
          </w:tcPr>
          <w:p w14:paraId="5F2CB4F3" w14:textId="77777777" w:rsidR="00E836FB" w:rsidRDefault="00E836FB">
            <w:pPr>
              <w:rPr>
                <w:rFonts w:ascii="宋体"/>
                <w:vanish/>
              </w:rPr>
            </w:pPr>
          </w:p>
        </w:tc>
        <w:tc>
          <w:tcPr>
            <w:tcW w:w="0" w:type="auto"/>
            <w:gridSpan w:val="3"/>
            <w:shd w:val="clear" w:color="auto" w:fill="auto"/>
            <w:vAlign w:val="bottom"/>
          </w:tcPr>
          <w:p w14:paraId="5F2CB4F4" w14:textId="77777777" w:rsidR="00E836FB" w:rsidRDefault="00E836FB">
            <w:pPr>
              <w:rPr>
                <w:rFonts w:ascii="宋体"/>
                <w:vanish/>
              </w:rPr>
            </w:pPr>
          </w:p>
        </w:tc>
        <w:tc>
          <w:tcPr>
            <w:tcW w:w="0" w:type="auto"/>
            <w:gridSpan w:val="3"/>
            <w:shd w:val="clear" w:color="auto" w:fill="auto"/>
            <w:vAlign w:val="bottom"/>
          </w:tcPr>
          <w:p w14:paraId="5F2CB4F5" w14:textId="77777777" w:rsidR="00E836FB" w:rsidRDefault="00E836FB">
            <w:pPr>
              <w:rPr>
                <w:rFonts w:ascii="宋体"/>
                <w:vanish/>
              </w:rPr>
            </w:pPr>
          </w:p>
        </w:tc>
        <w:tc>
          <w:tcPr>
            <w:tcW w:w="0" w:type="auto"/>
            <w:gridSpan w:val="2"/>
            <w:shd w:val="clear" w:color="auto" w:fill="auto"/>
            <w:vAlign w:val="bottom"/>
          </w:tcPr>
          <w:p w14:paraId="5F2CB4F6" w14:textId="77777777" w:rsidR="00E836FB" w:rsidRDefault="00E836FB">
            <w:pPr>
              <w:rPr>
                <w:rFonts w:ascii="宋体"/>
                <w:vanish/>
              </w:rPr>
            </w:pPr>
          </w:p>
        </w:tc>
        <w:tc>
          <w:tcPr>
            <w:tcW w:w="0" w:type="auto"/>
            <w:shd w:val="clear" w:color="auto" w:fill="auto"/>
            <w:vAlign w:val="bottom"/>
          </w:tcPr>
          <w:p w14:paraId="5F2CB4F7" w14:textId="77777777" w:rsidR="00E836FB" w:rsidRDefault="00E836FB">
            <w:pPr>
              <w:rPr>
                <w:rFonts w:ascii="宋体"/>
                <w:vanish/>
              </w:rPr>
            </w:pPr>
          </w:p>
        </w:tc>
      </w:tr>
      <w:tr w:rsidR="00E836FB" w14:paraId="5F2CB50F" w14:textId="77777777">
        <w:trPr>
          <w:hidden/>
        </w:trPr>
        <w:tc>
          <w:tcPr>
            <w:tcW w:w="0" w:type="auto"/>
            <w:gridSpan w:val="3"/>
            <w:shd w:val="clear" w:color="auto" w:fill="auto"/>
            <w:vAlign w:val="bottom"/>
          </w:tcPr>
          <w:p w14:paraId="5F2CB4F9" w14:textId="77777777" w:rsidR="00E836FB" w:rsidRDefault="00E836FB">
            <w:pPr>
              <w:rPr>
                <w:rFonts w:ascii="宋体"/>
                <w:vanish/>
              </w:rPr>
            </w:pPr>
          </w:p>
        </w:tc>
        <w:tc>
          <w:tcPr>
            <w:tcW w:w="0" w:type="auto"/>
            <w:gridSpan w:val="3"/>
            <w:shd w:val="clear" w:color="auto" w:fill="auto"/>
            <w:vAlign w:val="bottom"/>
          </w:tcPr>
          <w:p w14:paraId="5F2CB4FA" w14:textId="77777777" w:rsidR="00E836FB" w:rsidRDefault="00E836FB">
            <w:pPr>
              <w:rPr>
                <w:rFonts w:ascii="宋体"/>
                <w:vanish/>
              </w:rPr>
            </w:pPr>
          </w:p>
        </w:tc>
        <w:tc>
          <w:tcPr>
            <w:tcW w:w="0" w:type="auto"/>
            <w:gridSpan w:val="3"/>
            <w:shd w:val="clear" w:color="auto" w:fill="auto"/>
            <w:vAlign w:val="bottom"/>
          </w:tcPr>
          <w:p w14:paraId="5F2CB4FB" w14:textId="77777777" w:rsidR="00E836FB" w:rsidRDefault="00E836FB">
            <w:pPr>
              <w:rPr>
                <w:rFonts w:ascii="宋体"/>
                <w:vanish/>
              </w:rPr>
            </w:pPr>
          </w:p>
        </w:tc>
        <w:tc>
          <w:tcPr>
            <w:tcW w:w="0" w:type="auto"/>
            <w:gridSpan w:val="3"/>
            <w:shd w:val="clear" w:color="auto" w:fill="auto"/>
            <w:vAlign w:val="bottom"/>
          </w:tcPr>
          <w:p w14:paraId="5F2CB4FC" w14:textId="77777777" w:rsidR="00E836FB" w:rsidRDefault="00E836FB">
            <w:pPr>
              <w:rPr>
                <w:rFonts w:ascii="宋体"/>
                <w:vanish/>
              </w:rPr>
            </w:pPr>
          </w:p>
        </w:tc>
        <w:tc>
          <w:tcPr>
            <w:tcW w:w="0" w:type="auto"/>
            <w:gridSpan w:val="3"/>
            <w:shd w:val="clear" w:color="auto" w:fill="auto"/>
            <w:vAlign w:val="bottom"/>
          </w:tcPr>
          <w:p w14:paraId="5F2CB4FD" w14:textId="77777777" w:rsidR="00E836FB" w:rsidRDefault="00E836FB">
            <w:pPr>
              <w:rPr>
                <w:rFonts w:ascii="宋体"/>
                <w:vanish/>
              </w:rPr>
            </w:pPr>
          </w:p>
        </w:tc>
        <w:tc>
          <w:tcPr>
            <w:tcW w:w="0" w:type="auto"/>
            <w:gridSpan w:val="3"/>
            <w:shd w:val="clear" w:color="auto" w:fill="auto"/>
            <w:vAlign w:val="bottom"/>
          </w:tcPr>
          <w:p w14:paraId="5F2CB4FE" w14:textId="77777777" w:rsidR="00E836FB" w:rsidRDefault="00E836FB">
            <w:pPr>
              <w:rPr>
                <w:rFonts w:ascii="宋体"/>
                <w:vanish/>
              </w:rPr>
            </w:pPr>
          </w:p>
        </w:tc>
        <w:tc>
          <w:tcPr>
            <w:tcW w:w="0" w:type="auto"/>
            <w:gridSpan w:val="3"/>
            <w:shd w:val="clear" w:color="auto" w:fill="auto"/>
            <w:vAlign w:val="bottom"/>
          </w:tcPr>
          <w:p w14:paraId="5F2CB4FF" w14:textId="77777777" w:rsidR="00E836FB" w:rsidRDefault="00E836FB">
            <w:pPr>
              <w:rPr>
                <w:rFonts w:ascii="宋体"/>
                <w:vanish/>
              </w:rPr>
            </w:pPr>
          </w:p>
        </w:tc>
        <w:tc>
          <w:tcPr>
            <w:tcW w:w="0" w:type="auto"/>
            <w:gridSpan w:val="3"/>
            <w:shd w:val="clear" w:color="auto" w:fill="auto"/>
            <w:vAlign w:val="bottom"/>
          </w:tcPr>
          <w:p w14:paraId="5F2CB500" w14:textId="77777777" w:rsidR="00E836FB" w:rsidRDefault="00E836FB">
            <w:pPr>
              <w:rPr>
                <w:rFonts w:ascii="宋体"/>
                <w:vanish/>
              </w:rPr>
            </w:pPr>
          </w:p>
        </w:tc>
        <w:tc>
          <w:tcPr>
            <w:tcW w:w="0" w:type="auto"/>
            <w:gridSpan w:val="3"/>
            <w:shd w:val="clear" w:color="auto" w:fill="auto"/>
            <w:vAlign w:val="bottom"/>
          </w:tcPr>
          <w:p w14:paraId="5F2CB501" w14:textId="77777777" w:rsidR="00E836FB" w:rsidRDefault="00E836FB">
            <w:pPr>
              <w:rPr>
                <w:rFonts w:ascii="宋体"/>
                <w:vanish/>
              </w:rPr>
            </w:pPr>
          </w:p>
        </w:tc>
        <w:tc>
          <w:tcPr>
            <w:tcW w:w="0" w:type="auto"/>
            <w:gridSpan w:val="3"/>
            <w:shd w:val="clear" w:color="auto" w:fill="auto"/>
            <w:vAlign w:val="bottom"/>
          </w:tcPr>
          <w:p w14:paraId="5F2CB502" w14:textId="77777777" w:rsidR="00E836FB" w:rsidRDefault="00E836FB">
            <w:pPr>
              <w:rPr>
                <w:rFonts w:ascii="宋体"/>
                <w:vanish/>
              </w:rPr>
            </w:pPr>
          </w:p>
        </w:tc>
        <w:tc>
          <w:tcPr>
            <w:tcW w:w="0" w:type="auto"/>
            <w:gridSpan w:val="3"/>
            <w:shd w:val="clear" w:color="auto" w:fill="auto"/>
            <w:vAlign w:val="bottom"/>
          </w:tcPr>
          <w:p w14:paraId="5F2CB503" w14:textId="77777777" w:rsidR="00E836FB" w:rsidRDefault="00E836FB">
            <w:pPr>
              <w:rPr>
                <w:rFonts w:ascii="宋体"/>
                <w:vanish/>
              </w:rPr>
            </w:pPr>
          </w:p>
        </w:tc>
        <w:tc>
          <w:tcPr>
            <w:tcW w:w="0" w:type="auto"/>
            <w:gridSpan w:val="3"/>
            <w:shd w:val="clear" w:color="auto" w:fill="auto"/>
            <w:vAlign w:val="bottom"/>
          </w:tcPr>
          <w:p w14:paraId="5F2CB504" w14:textId="77777777" w:rsidR="00E836FB" w:rsidRDefault="00E836FB">
            <w:pPr>
              <w:rPr>
                <w:rFonts w:ascii="宋体"/>
                <w:vanish/>
              </w:rPr>
            </w:pPr>
          </w:p>
        </w:tc>
        <w:tc>
          <w:tcPr>
            <w:tcW w:w="0" w:type="auto"/>
            <w:gridSpan w:val="3"/>
            <w:shd w:val="clear" w:color="auto" w:fill="auto"/>
            <w:vAlign w:val="bottom"/>
          </w:tcPr>
          <w:p w14:paraId="5F2CB505" w14:textId="77777777" w:rsidR="00E836FB" w:rsidRDefault="00E836FB">
            <w:pPr>
              <w:rPr>
                <w:rFonts w:ascii="宋体"/>
                <w:vanish/>
              </w:rPr>
            </w:pPr>
          </w:p>
        </w:tc>
        <w:tc>
          <w:tcPr>
            <w:tcW w:w="0" w:type="auto"/>
            <w:gridSpan w:val="3"/>
            <w:shd w:val="clear" w:color="auto" w:fill="auto"/>
            <w:vAlign w:val="bottom"/>
          </w:tcPr>
          <w:p w14:paraId="5F2CB506" w14:textId="77777777" w:rsidR="00E836FB" w:rsidRDefault="00E836FB">
            <w:pPr>
              <w:rPr>
                <w:rFonts w:ascii="宋体"/>
                <w:vanish/>
              </w:rPr>
            </w:pPr>
          </w:p>
        </w:tc>
        <w:tc>
          <w:tcPr>
            <w:tcW w:w="0" w:type="auto"/>
            <w:gridSpan w:val="3"/>
            <w:shd w:val="clear" w:color="auto" w:fill="auto"/>
            <w:vAlign w:val="bottom"/>
          </w:tcPr>
          <w:p w14:paraId="5F2CB507" w14:textId="77777777" w:rsidR="00E836FB" w:rsidRDefault="00E836FB">
            <w:pPr>
              <w:rPr>
                <w:rFonts w:ascii="宋体"/>
                <w:vanish/>
              </w:rPr>
            </w:pPr>
          </w:p>
        </w:tc>
        <w:tc>
          <w:tcPr>
            <w:tcW w:w="0" w:type="auto"/>
            <w:gridSpan w:val="3"/>
            <w:shd w:val="clear" w:color="auto" w:fill="auto"/>
            <w:vAlign w:val="bottom"/>
          </w:tcPr>
          <w:p w14:paraId="5F2CB508" w14:textId="77777777" w:rsidR="00E836FB" w:rsidRDefault="00E836FB">
            <w:pPr>
              <w:rPr>
                <w:rFonts w:ascii="宋体"/>
                <w:vanish/>
              </w:rPr>
            </w:pPr>
          </w:p>
        </w:tc>
        <w:tc>
          <w:tcPr>
            <w:tcW w:w="0" w:type="auto"/>
            <w:gridSpan w:val="3"/>
            <w:shd w:val="clear" w:color="auto" w:fill="auto"/>
            <w:vAlign w:val="bottom"/>
          </w:tcPr>
          <w:p w14:paraId="5F2CB509" w14:textId="77777777" w:rsidR="00E836FB" w:rsidRDefault="00E836FB">
            <w:pPr>
              <w:rPr>
                <w:rFonts w:ascii="宋体"/>
                <w:vanish/>
              </w:rPr>
            </w:pPr>
          </w:p>
        </w:tc>
        <w:tc>
          <w:tcPr>
            <w:tcW w:w="0" w:type="auto"/>
            <w:gridSpan w:val="3"/>
            <w:shd w:val="clear" w:color="auto" w:fill="auto"/>
            <w:vAlign w:val="bottom"/>
          </w:tcPr>
          <w:p w14:paraId="5F2CB50A" w14:textId="77777777" w:rsidR="00E836FB" w:rsidRDefault="00E836FB">
            <w:pPr>
              <w:rPr>
                <w:rFonts w:ascii="宋体"/>
                <w:vanish/>
              </w:rPr>
            </w:pPr>
          </w:p>
        </w:tc>
        <w:tc>
          <w:tcPr>
            <w:tcW w:w="0" w:type="auto"/>
            <w:gridSpan w:val="3"/>
            <w:shd w:val="clear" w:color="auto" w:fill="auto"/>
            <w:vAlign w:val="bottom"/>
          </w:tcPr>
          <w:p w14:paraId="5F2CB50B" w14:textId="77777777" w:rsidR="00E836FB" w:rsidRDefault="00E836FB">
            <w:pPr>
              <w:rPr>
                <w:rFonts w:ascii="宋体"/>
                <w:vanish/>
              </w:rPr>
            </w:pPr>
          </w:p>
        </w:tc>
        <w:tc>
          <w:tcPr>
            <w:tcW w:w="0" w:type="auto"/>
            <w:gridSpan w:val="3"/>
            <w:shd w:val="clear" w:color="auto" w:fill="auto"/>
            <w:vAlign w:val="bottom"/>
          </w:tcPr>
          <w:p w14:paraId="5F2CB50C" w14:textId="77777777" w:rsidR="00E836FB" w:rsidRDefault="00E836FB">
            <w:pPr>
              <w:rPr>
                <w:rFonts w:ascii="宋体"/>
                <w:vanish/>
              </w:rPr>
            </w:pPr>
          </w:p>
        </w:tc>
        <w:tc>
          <w:tcPr>
            <w:tcW w:w="0" w:type="auto"/>
            <w:gridSpan w:val="2"/>
            <w:shd w:val="clear" w:color="auto" w:fill="auto"/>
            <w:vAlign w:val="bottom"/>
          </w:tcPr>
          <w:p w14:paraId="5F2CB50D" w14:textId="77777777" w:rsidR="00E836FB" w:rsidRDefault="00E836FB">
            <w:pPr>
              <w:rPr>
                <w:rFonts w:ascii="宋体"/>
                <w:vanish/>
              </w:rPr>
            </w:pPr>
          </w:p>
        </w:tc>
        <w:tc>
          <w:tcPr>
            <w:tcW w:w="0" w:type="auto"/>
            <w:shd w:val="clear" w:color="auto" w:fill="auto"/>
            <w:vAlign w:val="bottom"/>
          </w:tcPr>
          <w:p w14:paraId="5F2CB50E" w14:textId="77777777" w:rsidR="00E836FB" w:rsidRDefault="00E836FB">
            <w:pPr>
              <w:rPr>
                <w:rFonts w:ascii="宋体"/>
                <w:vanish/>
              </w:rPr>
            </w:pPr>
          </w:p>
        </w:tc>
      </w:tr>
      <w:tr w:rsidR="00E836FB" w14:paraId="5F2CB526" w14:textId="77777777">
        <w:trPr>
          <w:hidden/>
        </w:trPr>
        <w:tc>
          <w:tcPr>
            <w:tcW w:w="0" w:type="auto"/>
            <w:gridSpan w:val="3"/>
            <w:shd w:val="clear" w:color="auto" w:fill="auto"/>
            <w:vAlign w:val="bottom"/>
          </w:tcPr>
          <w:p w14:paraId="5F2CB510" w14:textId="77777777" w:rsidR="00E836FB" w:rsidRDefault="00E836FB">
            <w:pPr>
              <w:rPr>
                <w:rFonts w:ascii="宋体"/>
                <w:vanish/>
              </w:rPr>
            </w:pPr>
          </w:p>
        </w:tc>
        <w:tc>
          <w:tcPr>
            <w:tcW w:w="0" w:type="auto"/>
            <w:gridSpan w:val="3"/>
            <w:shd w:val="clear" w:color="auto" w:fill="auto"/>
            <w:vAlign w:val="bottom"/>
          </w:tcPr>
          <w:p w14:paraId="5F2CB511" w14:textId="77777777" w:rsidR="00E836FB" w:rsidRDefault="00E836FB">
            <w:pPr>
              <w:rPr>
                <w:rFonts w:ascii="宋体"/>
                <w:vanish/>
              </w:rPr>
            </w:pPr>
          </w:p>
        </w:tc>
        <w:tc>
          <w:tcPr>
            <w:tcW w:w="0" w:type="auto"/>
            <w:gridSpan w:val="3"/>
            <w:shd w:val="clear" w:color="auto" w:fill="auto"/>
            <w:vAlign w:val="bottom"/>
          </w:tcPr>
          <w:p w14:paraId="5F2CB512" w14:textId="77777777" w:rsidR="00E836FB" w:rsidRDefault="00E836FB">
            <w:pPr>
              <w:rPr>
                <w:rFonts w:ascii="宋体"/>
                <w:vanish/>
              </w:rPr>
            </w:pPr>
          </w:p>
        </w:tc>
        <w:tc>
          <w:tcPr>
            <w:tcW w:w="0" w:type="auto"/>
            <w:gridSpan w:val="3"/>
            <w:shd w:val="clear" w:color="auto" w:fill="auto"/>
            <w:vAlign w:val="bottom"/>
          </w:tcPr>
          <w:p w14:paraId="5F2CB513" w14:textId="77777777" w:rsidR="00E836FB" w:rsidRDefault="00E836FB">
            <w:pPr>
              <w:rPr>
                <w:rFonts w:ascii="宋体"/>
                <w:vanish/>
              </w:rPr>
            </w:pPr>
          </w:p>
        </w:tc>
        <w:tc>
          <w:tcPr>
            <w:tcW w:w="0" w:type="auto"/>
            <w:gridSpan w:val="3"/>
            <w:shd w:val="clear" w:color="auto" w:fill="auto"/>
            <w:vAlign w:val="bottom"/>
          </w:tcPr>
          <w:p w14:paraId="5F2CB514" w14:textId="77777777" w:rsidR="00E836FB" w:rsidRDefault="00E836FB">
            <w:pPr>
              <w:rPr>
                <w:rFonts w:ascii="宋体"/>
                <w:vanish/>
              </w:rPr>
            </w:pPr>
          </w:p>
        </w:tc>
        <w:tc>
          <w:tcPr>
            <w:tcW w:w="0" w:type="auto"/>
            <w:gridSpan w:val="3"/>
            <w:shd w:val="clear" w:color="auto" w:fill="auto"/>
            <w:vAlign w:val="bottom"/>
          </w:tcPr>
          <w:p w14:paraId="5F2CB515" w14:textId="77777777" w:rsidR="00E836FB" w:rsidRDefault="00E836FB">
            <w:pPr>
              <w:rPr>
                <w:rFonts w:ascii="宋体"/>
                <w:vanish/>
              </w:rPr>
            </w:pPr>
          </w:p>
        </w:tc>
        <w:tc>
          <w:tcPr>
            <w:tcW w:w="0" w:type="auto"/>
            <w:gridSpan w:val="3"/>
            <w:shd w:val="clear" w:color="auto" w:fill="auto"/>
            <w:vAlign w:val="bottom"/>
          </w:tcPr>
          <w:p w14:paraId="5F2CB516" w14:textId="77777777" w:rsidR="00E836FB" w:rsidRDefault="00E836FB">
            <w:pPr>
              <w:rPr>
                <w:rFonts w:ascii="宋体"/>
                <w:vanish/>
              </w:rPr>
            </w:pPr>
          </w:p>
        </w:tc>
        <w:tc>
          <w:tcPr>
            <w:tcW w:w="0" w:type="auto"/>
            <w:gridSpan w:val="3"/>
            <w:shd w:val="clear" w:color="auto" w:fill="auto"/>
            <w:vAlign w:val="bottom"/>
          </w:tcPr>
          <w:p w14:paraId="5F2CB517" w14:textId="77777777" w:rsidR="00E836FB" w:rsidRDefault="00E836FB">
            <w:pPr>
              <w:rPr>
                <w:rFonts w:ascii="宋体"/>
                <w:vanish/>
              </w:rPr>
            </w:pPr>
          </w:p>
        </w:tc>
        <w:tc>
          <w:tcPr>
            <w:tcW w:w="0" w:type="auto"/>
            <w:gridSpan w:val="3"/>
            <w:shd w:val="clear" w:color="auto" w:fill="auto"/>
            <w:vAlign w:val="bottom"/>
          </w:tcPr>
          <w:p w14:paraId="5F2CB518" w14:textId="77777777" w:rsidR="00E836FB" w:rsidRDefault="00E836FB">
            <w:pPr>
              <w:rPr>
                <w:rFonts w:ascii="宋体"/>
                <w:vanish/>
              </w:rPr>
            </w:pPr>
          </w:p>
        </w:tc>
        <w:tc>
          <w:tcPr>
            <w:tcW w:w="0" w:type="auto"/>
            <w:gridSpan w:val="3"/>
            <w:shd w:val="clear" w:color="auto" w:fill="auto"/>
            <w:vAlign w:val="bottom"/>
          </w:tcPr>
          <w:p w14:paraId="5F2CB519" w14:textId="77777777" w:rsidR="00E836FB" w:rsidRDefault="00E836FB">
            <w:pPr>
              <w:rPr>
                <w:rFonts w:ascii="宋体"/>
                <w:vanish/>
              </w:rPr>
            </w:pPr>
          </w:p>
        </w:tc>
        <w:tc>
          <w:tcPr>
            <w:tcW w:w="0" w:type="auto"/>
            <w:gridSpan w:val="3"/>
            <w:shd w:val="clear" w:color="auto" w:fill="auto"/>
            <w:vAlign w:val="bottom"/>
          </w:tcPr>
          <w:p w14:paraId="5F2CB51A" w14:textId="77777777" w:rsidR="00E836FB" w:rsidRDefault="00E836FB">
            <w:pPr>
              <w:rPr>
                <w:rFonts w:ascii="宋体"/>
                <w:vanish/>
              </w:rPr>
            </w:pPr>
          </w:p>
        </w:tc>
        <w:tc>
          <w:tcPr>
            <w:tcW w:w="0" w:type="auto"/>
            <w:gridSpan w:val="3"/>
            <w:shd w:val="clear" w:color="auto" w:fill="auto"/>
            <w:vAlign w:val="bottom"/>
          </w:tcPr>
          <w:p w14:paraId="5F2CB51B" w14:textId="77777777" w:rsidR="00E836FB" w:rsidRDefault="00E836FB">
            <w:pPr>
              <w:rPr>
                <w:rFonts w:ascii="宋体"/>
                <w:vanish/>
              </w:rPr>
            </w:pPr>
          </w:p>
        </w:tc>
        <w:tc>
          <w:tcPr>
            <w:tcW w:w="0" w:type="auto"/>
            <w:gridSpan w:val="3"/>
            <w:shd w:val="clear" w:color="auto" w:fill="auto"/>
            <w:vAlign w:val="bottom"/>
          </w:tcPr>
          <w:p w14:paraId="5F2CB51C" w14:textId="77777777" w:rsidR="00E836FB" w:rsidRDefault="00E836FB">
            <w:pPr>
              <w:rPr>
                <w:rFonts w:ascii="宋体"/>
                <w:vanish/>
              </w:rPr>
            </w:pPr>
          </w:p>
        </w:tc>
        <w:tc>
          <w:tcPr>
            <w:tcW w:w="0" w:type="auto"/>
            <w:gridSpan w:val="3"/>
            <w:shd w:val="clear" w:color="auto" w:fill="auto"/>
            <w:vAlign w:val="bottom"/>
          </w:tcPr>
          <w:p w14:paraId="5F2CB51D" w14:textId="77777777" w:rsidR="00E836FB" w:rsidRDefault="00E836FB">
            <w:pPr>
              <w:rPr>
                <w:rFonts w:ascii="宋体"/>
                <w:vanish/>
              </w:rPr>
            </w:pPr>
          </w:p>
        </w:tc>
        <w:tc>
          <w:tcPr>
            <w:tcW w:w="0" w:type="auto"/>
            <w:gridSpan w:val="3"/>
            <w:shd w:val="clear" w:color="auto" w:fill="auto"/>
            <w:vAlign w:val="bottom"/>
          </w:tcPr>
          <w:p w14:paraId="5F2CB51E" w14:textId="77777777" w:rsidR="00E836FB" w:rsidRDefault="00E836FB">
            <w:pPr>
              <w:rPr>
                <w:rFonts w:ascii="宋体"/>
                <w:vanish/>
              </w:rPr>
            </w:pPr>
          </w:p>
        </w:tc>
        <w:tc>
          <w:tcPr>
            <w:tcW w:w="0" w:type="auto"/>
            <w:gridSpan w:val="3"/>
            <w:shd w:val="clear" w:color="auto" w:fill="auto"/>
            <w:vAlign w:val="bottom"/>
          </w:tcPr>
          <w:p w14:paraId="5F2CB51F" w14:textId="77777777" w:rsidR="00E836FB" w:rsidRDefault="00E836FB">
            <w:pPr>
              <w:rPr>
                <w:rFonts w:ascii="宋体"/>
                <w:vanish/>
              </w:rPr>
            </w:pPr>
          </w:p>
        </w:tc>
        <w:tc>
          <w:tcPr>
            <w:tcW w:w="0" w:type="auto"/>
            <w:gridSpan w:val="3"/>
            <w:shd w:val="clear" w:color="auto" w:fill="auto"/>
            <w:vAlign w:val="bottom"/>
          </w:tcPr>
          <w:p w14:paraId="5F2CB520" w14:textId="77777777" w:rsidR="00E836FB" w:rsidRDefault="00E836FB">
            <w:pPr>
              <w:rPr>
                <w:rFonts w:ascii="宋体"/>
                <w:vanish/>
              </w:rPr>
            </w:pPr>
          </w:p>
        </w:tc>
        <w:tc>
          <w:tcPr>
            <w:tcW w:w="0" w:type="auto"/>
            <w:gridSpan w:val="3"/>
            <w:shd w:val="clear" w:color="auto" w:fill="auto"/>
            <w:vAlign w:val="bottom"/>
          </w:tcPr>
          <w:p w14:paraId="5F2CB521" w14:textId="77777777" w:rsidR="00E836FB" w:rsidRDefault="00E836FB">
            <w:pPr>
              <w:rPr>
                <w:rFonts w:ascii="宋体"/>
                <w:vanish/>
              </w:rPr>
            </w:pPr>
          </w:p>
        </w:tc>
        <w:tc>
          <w:tcPr>
            <w:tcW w:w="0" w:type="auto"/>
            <w:gridSpan w:val="3"/>
            <w:shd w:val="clear" w:color="auto" w:fill="auto"/>
            <w:vAlign w:val="bottom"/>
          </w:tcPr>
          <w:p w14:paraId="5F2CB522" w14:textId="77777777" w:rsidR="00E836FB" w:rsidRDefault="00E836FB">
            <w:pPr>
              <w:rPr>
                <w:rFonts w:ascii="宋体"/>
                <w:vanish/>
              </w:rPr>
            </w:pPr>
          </w:p>
        </w:tc>
        <w:tc>
          <w:tcPr>
            <w:tcW w:w="0" w:type="auto"/>
            <w:gridSpan w:val="3"/>
            <w:shd w:val="clear" w:color="auto" w:fill="auto"/>
            <w:vAlign w:val="bottom"/>
          </w:tcPr>
          <w:p w14:paraId="5F2CB523" w14:textId="77777777" w:rsidR="00E836FB" w:rsidRDefault="00E836FB">
            <w:pPr>
              <w:rPr>
                <w:rFonts w:ascii="宋体"/>
                <w:vanish/>
              </w:rPr>
            </w:pPr>
          </w:p>
        </w:tc>
        <w:tc>
          <w:tcPr>
            <w:tcW w:w="0" w:type="auto"/>
            <w:gridSpan w:val="2"/>
            <w:shd w:val="clear" w:color="auto" w:fill="auto"/>
            <w:vAlign w:val="bottom"/>
          </w:tcPr>
          <w:p w14:paraId="5F2CB524" w14:textId="77777777" w:rsidR="00E836FB" w:rsidRDefault="00E836FB">
            <w:pPr>
              <w:rPr>
                <w:rFonts w:ascii="宋体"/>
                <w:vanish/>
              </w:rPr>
            </w:pPr>
          </w:p>
        </w:tc>
        <w:tc>
          <w:tcPr>
            <w:tcW w:w="0" w:type="auto"/>
            <w:shd w:val="clear" w:color="auto" w:fill="auto"/>
            <w:vAlign w:val="bottom"/>
          </w:tcPr>
          <w:p w14:paraId="5F2CB525" w14:textId="77777777" w:rsidR="00E836FB" w:rsidRDefault="00E836FB">
            <w:pPr>
              <w:rPr>
                <w:rFonts w:ascii="宋体"/>
                <w:vanish/>
              </w:rPr>
            </w:pPr>
          </w:p>
        </w:tc>
      </w:tr>
      <w:tr w:rsidR="00E836FB" w14:paraId="5F2CB53D" w14:textId="77777777">
        <w:trPr>
          <w:hidden/>
        </w:trPr>
        <w:tc>
          <w:tcPr>
            <w:tcW w:w="0" w:type="auto"/>
            <w:gridSpan w:val="3"/>
            <w:shd w:val="clear" w:color="auto" w:fill="auto"/>
            <w:vAlign w:val="bottom"/>
          </w:tcPr>
          <w:p w14:paraId="5F2CB527" w14:textId="77777777" w:rsidR="00E836FB" w:rsidRDefault="00E836FB">
            <w:pPr>
              <w:rPr>
                <w:rFonts w:ascii="宋体"/>
                <w:vanish/>
              </w:rPr>
            </w:pPr>
          </w:p>
        </w:tc>
        <w:tc>
          <w:tcPr>
            <w:tcW w:w="0" w:type="auto"/>
            <w:gridSpan w:val="3"/>
            <w:shd w:val="clear" w:color="auto" w:fill="auto"/>
            <w:vAlign w:val="bottom"/>
          </w:tcPr>
          <w:p w14:paraId="5F2CB528" w14:textId="77777777" w:rsidR="00E836FB" w:rsidRDefault="00E836FB">
            <w:pPr>
              <w:rPr>
                <w:rFonts w:ascii="宋体"/>
                <w:vanish/>
              </w:rPr>
            </w:pPr>
          </w:p>
        </w:tc>
        <w:tc>
          <w:tcPr>
            <w:tcW w:w="0" w:type="auto"/>
            <w:gridSpan w:val="3"/>
            <w:shd w:val="clear" w:color="auto" w:fill="auto"/>
            <w:vAlign w:val="bottom"/>
          </w:tcPr>
          <w:p w14:paraId="5F2CB529" w14:textId="77777777" w:rsidR="00E836FB" w:rsidRDefault="00E836FB">
            <w:pPr>
              <w:rPr>
                <w:rFonts w:ascii="宋体"/>
                <w:vanish/>
              </w:rPr>
            </w:pPr>
          </w:p>
        </w:tc>
        <w:tc>
          <w:tcPr>
            <w:tcW w:w="0" w:type="auto"/>
            <w:gridSpan w:val="3"/>
            <w:shd w:val="clear" w:color="auto" w:fill="auto"/>
            <w:vAlign w:val="bottom"/>
          </w:tcPr>
          <w:p w14:paraId="5F2CB52A" w14:textId="77777777" w:rsidR="00E836FB" w:rsidRDefault="00E836FB">
            <w:pPr>
              <w:rPr>
                <w:rFonts w:ascii="宋体"/>
                <w:vanish/>
              </w:rPr>
            </w:pPr>
          </w:p>
        </w:tc>
        <w:tc>
          <w:tcPr>
            <w:tcW w:w="0" w:type="auto"/>
            <w:gridSpan w:val="3"/>
            <w:shd w:val="clear" w:color="auto" w:fill="auto"/>
            <w:vAlign w:val="bottom"/>
          </w:tcPr>
          <w:p w14:paraId="5F2CB52B" w14:textId="77777777" w:rsidR="00E836FB" w:rsidRDefault="00E836FB">
            <w:pPr>
              <w:rPr>
                <w:rFonts w:ascii="宋体"/>
                <w:vanish/>
              </w:rPr>
            </w:pPr>
          </w:p>
        </w:tc>
        <w:tc>
          <w:tcPr>
            <w:tcW w:w="0" w:type="auto"/>
            <w:gridSpan w:val="3"/>
            <w:shd w:val="clear" w:color="auto" w:fill="auto"/>
            <w:vAlign w:val="bottom"/>
          </w:tcPr>
          <w:p w14:paraId="5F2CB52C" w14:textId="77777777" w:rsidR="00E836FB" w:rsidRDefault="00E836FB">
            <w:pPr>
              <w:rPr>
                <w:rFonts w:ascii="宋体"/>
                <w:vanish/>
              </w:rPr>
            </w:pPr>
          </w:p>
        </w:tc>
        <w:tc>
          <w:tcPr>
            <w:tcW w:w="0" w:type="auto"/>
            <w:gridSpan w:val="3"/>
            <w:shd w:val="clear" w:color="auto" w:fill="auto"/>
            <w:vAlign w:val="bottom"/>
          </w:tcPr>
          <w:p w14:paraId="5F2CB52D" w14:textId="77777777" w:rsidR="00E836FB" w:rsidRDefault="00E836FB">
            <w:pPr>
              <w:rPr>
                <w:rFonts w:ascii="宋体"/>
                <w:vanish/>
              </w:rPr>
            </w:pPr>
          </w:p>
        </w:tc>
        <w:tc>
          <w:tcPr>
            <w:tcW w:w="0" w:type="auto"/>
            <w:gridSpan w:val="3"/>
            <w:shd w:val="clear" w:color="auto" w:fill="auto"/>
            <w:vAlign w:val="bottom"/>
          </w:tcPr>
          <w:p w14:paraId="5F2CB52E" w14:textId="77777777" w:rsidR="00E836FB" w:rsidRDefault="00E836FB">
            <w:pPr>
              <w:rPr>
                <w:rFonts w:ascii="宋体"/>
                <w:vanish/>
              </w:rPr>
            </w:pPr>
          </w:p>
        </w:tc>
        <w:tc>
          <w:tcPr>
            <w:tcW w:w="0" w:type="auto"/>
            <w:gridSpan w:val="3"/>
            <w:shd w:val="clear" w:color="auto" w:fill="auto"/>
            <w:vAlign w:val="bottom"/>
          </w:tcPr>
          <w:p w14:paraId="5F2CB52F" w14:textId="77777777" w:rsidR="00E836FB" w:rsidRDefault="00E836FB">
            <w:pPr>
              <w:rPr>
                <w:rFonts w:ascii="宋体"/>
                <w:vanish/>
              </w:rPr>
            </w:pPr>
          </w:p>
        </w:tc>
        <w:tc>
          <w:tcPr>
            <w:tcW w:w="0" w:type="auto"/>
            <w:gridSpan w:val="3"/>
            <w:shd w:val="clear" w:color="auto" w:fill="auto"/>
            <w:vAlign w:val="bottom"/>
          </w:tcPr>
          <w:p w14:paraId="5F2CB530" w14:textId="77777777" w:rsidR="00E836FB" w:rsidRDefault="00E836FB">
            <w:pPr>
              <w:rPr>
                <w:rFonts w:ascii="宋体"/>
                <w:vanish/>
              </w:rPr>
            </w:pPr>
          </w:p>
        </w:tc>
        <w:tc>
          <w:tcPr>
            <w:tcW w:w="0" w:type="auto"/>
            <w:gridSpan w:val="3"/>
            <w:shd w:val="clear" w:color="auto" w:fill="auto"/>
            <w:vAlign w:val="bottom"/>
          </w:tcPr>
          <w:p w14:paraId="5F2CB531" w14:textId="77777777" w:rsidR="00E836FB" w:rsidRDefault="00E836FB">
            <w:pPr>
              <w:rPr>
                <w:rFonts w:ascii="宋体"/>
                <w:vanish/>
              </w:rPr>
            </w:pPr>
          </w:p>
        </w:tc>
        <w:tc>
          <w:tcPr>
            <w:tcW w:w="0" w:type="auto"/>
            <w:gridSpan w:val="3"/>
            <w:shd w:val="clear" w:color="auto" w:fill="auto"/>
            <w:vAlign w:val="bottom"/>
          </w:tcPr>
          <w:p w14:paraId="5F2CB532" w14:textId="77777777" w:rsidR="00E836FB" w:rsidRDefault="00E836FB">
            <w:pPr>
              <w:rPr>
                <w:rFonts w:ascii="宋体"/>
                <w:vanish/>
              </w:rPr>
            </w:pPr>
          </w:p>
        </w:tc>
        <w:tc>
          <w:tcPr>
            <w:tcW w:w="0" w:type="auto"/>
            <w:gridSpan w:val="3"/>
            <w:shd w:val="clear" w:color="auto" w:fill="auto"/>
            <w:vAlign w:val="bottom"/>
          </w:tcPr>
          <w:p w14:paraId="5F2CB533" w14:textId="77777777" w:rsidR="00E836FB" w:rsidRDefault="00E836FB">
            <w:pPr>
              <w:rPr>
                <w:rFonts w:ascii="宋体"/>
                <w:vanish/>
              </w:rPr>
            </w:pPr>
          </w:p>
        </w:tc>
        <w:tc>
          <w:tcPr>
            <w:tcW w:w="0" w:type="auto"/>
            <w:gridSpan w:val="3"/>
            <w:shd w:val="clear" w:color="auto" w:fill="auto"/>
            <w:vAlign w:val="bottom"/>
          </w:tcPr>
          <w:p w14:paraId="5F2CB534" w14:textId="77777777" w:rsidR="00E836FB" w:rsidRDefault="00E836FB">
            <w:pPr>
              <w:rPr>
                <w:rFonts w:ascii="宋体"/>
                <w:vanish/>
              </w:rPr>
            </w:pPr>
          </w:p>
        </w:tc>
        <w:tc>
          <w:tcPr>
            <w:tcW w:w="0" w:type="auto"/>
            <w:gridSpan w:val="3"/>
            <w:shd w:val="clear" w:color="auto" w:fill="auto"/>
            <w:vAlign w:val="bottom"/>
          </w:tcPr>
          <w:p w14:paraId="5F2CB535" w14:textId="77777777" w:rsidR="00E836FB" w:rsidRDefault="00E836FB">
            <w:pPr>
              <w:rPr>
                <w:rFonts w:ascii="宋体"/>
                <w:vanish/>
              </w:rPr>
            </w:pPr>
          </w:p>
        </w:tc>
        <w:tc>
          <w:tcPr>
            <w:tcW w:w="0" w:type="auto"/>
            <w:gridSpan w:val="3"/>
            <w:shd w:val="clear" w:color="auto" w:fill="auto"/>
            <w:vAlign w:val="bottom"/>
          </w:tcPr>
          <w:p w14:paraId="5F2CB536" w14:textId="77777777" w:rsidR="00E836FB" w:rsidRDefault="00E836FB">
            <w:pPr>
              <w:rPr>
                <w:rFonts w:ascii="宋体"/>
                <w:vanish/>
              </w:rPr>
            </w:pPr>
          </w:p>
        </w:tc>
        <w:tc>
          <w:tcPr>
            <w:tcW w:w="0" w:type="auto"/>
            <w:gridSpan w:val="3"/>
            <w:shd w:val="clear" w:color="auto" w:fill="auto"/>
            <w:vAlign w:val="bottom"/>
          </w:tcPr>
          <w:p w14:paraId="5F2CB537" w14:textId="77777777" w:rsidR="00E836FB" w:rsidRDefault="00E836FB">
            <w:pPr>
              <w:rPr>
                <w:rFonts w:ascii="宋体"/>
                <w:vanish/>
              </w:rPr>
            </w:pPr>
          </w:p>
        </w:tc>
        <w:tc>
          <w:tcPr>
            <w:tcW w:w="0" w:type="auto"/>
            <w:gridSpan w:val="3"/>
            <w:shd w:val="clear" w:color="auto" w:fill="auto"/>
            <w:vAlign w:val="bottom"/>
          </w:tcPr>
          <w:p w14:paraId="5F2CB538" w14:textId="77777777" w:rsidR="00E836FB" w:rsidRDefault="00E836FB">
            <w:pPr>
              <w:rPr>
                <w:rFonts w:ascii="宋体"/>
                <w:vanish/>
              </w:rPr>
            </w:pPr>
          </w:p>
        </w:tc>
        <w:tc>
          <w:tcPr>
            <w:tcW w:w="0" w:type="auto"/>
            <w:gridSpan w:val="3"/>
            <w:shd w:val="clear" w:color="auto" w:fill="auto"/>
            <w:vAlign w:val="bottom"/>
          </w:tcPr>
          <w:p w14:paraId="5F2CB539" w14:textId="77777777" w:rsidR="00E836FB" w:rsidRDefault="00E836FB">
            <w:pPr>
              <w:rPr>
                <w:rFonts w:ascii="宋体"/>
                <w:vanish/>
              </w:rPr>
            </w:pPr>
          </w:p>
        </w:tc>
        <w:tc>
          <w:tcPr>
            <w:tcW w:w="0" w:type="auto"/>
            <w:gridSpan w:val="3"/>
            <w:shd w:val="clear" w:color="auto" w:fill="auto"/>
            <w:vAlign w:val="bottom"/>
          </w:tcPr>
          <w:p w14:paraId="5F2CB53A" w14:textId="77777777" w:rsidR="00E836FB" w:rsidRDefault="00E836FB">
            <w:pPr>
              <w:rPr>
                <w:rFonts w:ascii="宋体"/>
                <w:vanish/>
              </w:rPr>
            </w:pPr>
          </w:p>
        </w:tc>
        <w:tc>
          <w:tcPr>
            <w:tcW w:w="0" w:type="auto"/>
            <w:gridSpan w:val="2"/>
            <w:shd w:val="clear" w:color="auto" w:fill="auto"/>
            <w:vAlign w:val="bottom"/>
          </w:tcPr>
          <w:p w14:paraId="5F2CB53B" w14:textId="77777777" w:rsidR="00E836FB" w:rsidRDefault="00E836FB">
            <w:pPr>
              <w:rPr>
                <w:rFonts w:ascii="宋体"/>
                <w:vanish/>
              </w:rPr>
            </w:pPr>
          </w:p>
        </w:tc>
        <w:tc>
          <w:tcPr>
            <w:tcW w:w="0" w:type="auto"/>
            <w:shd w:val="clear" w:color="auto" w:fill="auto"/>
            <w:vAlign w:val="bottom"/>
          </w:tcPr>
          <w:p w14:paraId="5F2CB53C" w14:textId="77777777" w:rsidR="00E836FB" w:rsidRDefault="00E836FB">
            <w:pPr>
              <w:rPr>
                <w:rFonts w:ascii="宋体"/>
                <w:vanish/>
              </w:rPr>
            </w:pPr>
          </w:p>
        </w:tc>
      </w:tr>
      <w:tr w:rsidR="00E836FB" w14:paraId="5F2CB554" w14:textId="77777777">
        <w:trPr>
          <w:hidden/>
        </w:trPr>
        <w:tc>
          <w:tcPr>
            <w:tcW w:w="0" w:type="auto"/>
            <w:gridSpan w:val="3"/>
            <w:shd w:val="clear" w:color="auto" w:fill="auto"/>
            <w:vAlign w:val="bottom"/>
          </w:tcPr>
          <w:p w14:paraId="5F2CB53E" w14:textId="77777777" w:rsidR="00E836FB" w:rsidRDefault="00E836FB">
            <w:pPr>
              <w:rPr>
                <w:rFonts w:ascii="宋体"/>
                <w:vanish/>
              </w:rPr>
            </w:pPr>
          </w:p>
        </w:tc>
        <w:tc>
          <w:tcPr>
            <w:tcW w:w="0" w:type="auto"/>
            <w:gridSpan w:val="3"/>
            <w:shd w:val="clear" w:color="auto" w:fill="auto"/>
            <w:vAlign w:val="bottom"/>
          </w:tcPr>
          <w:p w14:paraId="5F2CB53F" w14:textId="77777777" w:rsidR="00E836FB" w:rsidRDefault="00E836FB">
            <w:pPr>
              <w:rPr>
                <w:rFonts w:ascii="宋体"/>
                <w:vanish/>
              </w:rPr>
            </w:pPr>
          </w:p>
        </w:tc>
        <w:tc>
          <w:tcPr>
            <w:tcW w:w="0" w:type="auto"/>
            <w:gridSpan w:val="3"/>
            <w:shd w:val="clear" w:color="auto" w:fill="auto"/>
            <w:vAlign w:val="bottom"/>
          </w:tcPr>
          <w:p w14:paraId="5F2CB540" w14:textId="77777777" w:rsidR="00E836FB" w:rsidRDefault="00E836FB">
            <w:pPr>
              <w:rPr>
                <w:rFonts w:ascii="宋体"/>
                <w:vanish/>
              </w:rPr>
            </w:pPr>
          </w:p>
        </w:tc>
        <w:tc>
          <w:tcPr>
            <w:tcW w:w="0" w:type="auto"/>
            <w:gridSpan w:val="3"/>
            <w:shd w:val="clear" w:color="auto" w:fill="auto"/>
            <w:vAlign w:val="bottom"/>
          </w:tcPr>
          <w:p w14:paraId="5F2CB541" w14:textId="77777777" w:rsidR="00E836FB" w:rsidRDefault="00E836FB">
            <w:pPr>
              <w:rPr>
                <w:rFonts w:ascii="宋体"/>
                <w:vanish/>
              </w:rPr>
            </w:pPr>
          </w:p>
        </w:tc>
        <w:tc>
          <w:tcPr>
            <w:tcW w:w="0" w:type="auto"/>
            <w:gridSpan w:val="3"/>
            <w:shd w:val="clear" w:color="auto" w:fill="auto"/>
            <w:vAlign w:val="bottom"/>
          </w:tcPr>
          <w:p w14:paraId="5F2CB542" w14:textId="77777777" w:rsidR="00E836FB" w:rsidRDefault="00E836FB">
            <w:pPr>
              <w:rPr>
                <w:rFonts w:ascii="宋体"/>
                <w:vanish/>
              </w:rPr>
            </w:pPr>
          </w:p>
        </w:tc>
        <w:tc>
          <w:tcPr>
            <w:tcW w:w="0" w:type="auto"/>
            <w:gridSpan w:val="3"/>
            <w:shd w:val="clear" w:color="auto" w:fill="auto"/>
            <w:vAlign w:val="bottom"/>
          </w:tcPr>
          <w:p w14:paraId="5F2CB543" w14:textId="77777777" w:rsidR="00E836FB" w:rsidRDefault="00E836FB">
            <w:pPr>
              <w:rPr>
                <w:rFonts w:ascii="宋体"/>
                <w:vanish/>
              </w:rPr>
            </w:pPr>
          </w:p>
        </w:tc>
        <w:tc>
          <w:tcPr>
            <w:tcW w:w="0" w:type="auto"/>
            <w:gridSpan w:val="3"/>
            <w:shd w:val="clear" w:color="auto" w:fill="auto"/>
            <w:vAlign w:val="bottom"/>
          </w:tcPr>
          <w:p w14:paraId="5F2CB544" w14:textId="77777777" w:rsidR="00E836FB" w:rsidRDefault="00E836FB">
            <w:pPr>
              <w:rPr>
                <w:rFonts w:ascii="宋体"/>
                <w:vanish/>
              </w:rPr>
            </w:pPr>
          </w:p>
        </w:tc>
        <w:tc>
          <w:tcPr>
            <w:tcW w:w="0" w:type="auto"/>
            <w:gridSpan w:val="3"/>
            <w:shd w:val="clear" w:color="auto" w:fill="auto"/>
            <w:vAlign w:val="bottom"/>
          </w:tcPr>
          <w:p w14:paraId="5F2CB545" w14:textId="77777777" w:rsidR="00E836FB" w:rsidRDefault="00E836FB">
            <w:pPr>
              <w:rPr>
                <w:rFonts w:ascii="宋体"/>
                <w:vanish/>
              </w:rPr>
            </w:pPr>
          </w:p>
        </w:tc>
        <w:tc>
          <w:tcPr>
            <w:tcW w:w="0" w:type="auto"/>
            <w:gridSpan w:val="3"/>
            <w:shd w:val="clear" w:color="auto" w:fill="auto"/>
            <w:vAlign w:val="bottom"/>
          </w:tcPr>
          <w:p w14:paraId="5F2CB546" w14:textId="77777777" w:rsidR="00E836FB" w:rsidRDefault="00E836FB">
            <w:pPr>
              <w:rPr>
                <w:rFonts w:ascii="宋体"/>
                <w:vanish/>
              </w:rPr>
            </w:pPr>
          </w:p>
        </w:tc>
        <w:tc>
          <w:tcPr>
            <w:tcW w:w="0" w:type="auto"/>
            <w:gridSpan w:val="3"/>
            <w:shd w:val="clear" w:color="auto" w:fill="auto"/>
            <w:vAlign w:val="bottom"/>
          </w:tcPr>
          <w:p w14:paraId="5F2CB547" w14:textId="77777777" w:rsidR="00E836FB" w:rsidRDefault="00E836FB">
            <w:pPr>
              <w:rPr>
                <w:rFonts w:ascii="宋体"/>
                <w:vanish/>
              </w:rPr>
            </w:pPr>
          </w:p>
        </w:tc>
        <w:tc>
          <w:tcPr>
            <w:tcW w:w="0" w:type="auto"/>
            <w:gridSpan w:val="3"/>
            <w:shd w:val="clear" w:color="auto" w:fill="auto"/>
            <w:vAlign w:val="bottom"/>
          </w:tcPr>
          <w:p w14:paraId="5F2CB548" w14:textId="77777777" w:rsidR="00E836FB" w:rsidRDefault="00E836FB">
            <w:pPr>
              <w:rPr>
                <w:rFonts w:ascii="宋体"/>
                <w:vanish/>
              </w:rPr>
            </w:pPr>
          </w:p>
        </w:tc>
        <w:tc>
          <w:tcPr>
            <w:tcW w:w="0" w:type="auto"/>
            <w:gridSpan w:val="3"/>
            <w:shd w:val="clear" w:color="auto" w:fill="auto"/>
            <w:vAlign w:val="bottom"/>
          </w:tcPr>
          <w:p w14:paraId="5F2CB549" w14:textId="77777777" w:rsidR="00E836FB" w:rsidRDefault="00E836FB">
            <w:pPr>
              <w:rPr>
                <w:rFonts w:ascii="宋体"/>
                <w:vanish/>
              </w:rPr>
            </w:pPr>
          </w:p>
        </w:tc>
        <w:tc>
          <w:tcPr>
            <w:tcW w:w="0" w:type="auto"/>
            <w:gridSpan w:val="3"/>
            <w:shd w:val="clear" w:color="auto" w:fill="auto"/>
            <w:vAlign w:val="bottom"/>
          </w:tcPr>
          <w:p w14:paraId="5F2CB54A" w14:textId="77777777" w:rsidR="00E836FB" w:rsidRDefault="00E836FB">
            <w:pPr>
              <w:rPr>
                <w:rFonts w:ascii="宋体"/>
                <w:vanish/>
              </w:rPr>
            </w:pPr>
          </w:p>
        </w:tc>
        <w:tc>
          <w:tcPr>
            <w:tcW w:w="0" w:type="auto"/>
            <w:gridSpan w:val="3"/>
            <w:shd w:val="clear" w:color="auto" w:fill="auto"/>
            <w:vAlign w:val="bottom"/>
          </w:tcPr>
          <w:p w14:paraId="5F2CB54B" w14:textId="77777777" w:rsidR="00E836FB" w:rsidRDefault="00E836FB">
            <w:pPr>
              <w:rPr>
                <w:rFonts w:ascii="宋体"/>
                <w:vanish/>
              </w:rPr>
            </w:pPr>
          </w:p>
        </w:tc>
        <w:tc>
          <w:tcPr>
            <w:tcW w:w="0" w:type="auto"/>
            <w:gridSpan w:val="3"/>
            <w:shd w:val="clear" w:color="auto" w:fill="auto"/>
            <w:vAlign w:val="bottom"/>
          </w:tcPr>
          <w:p w14:paraId="5F2CB54C" w14:textId="77777777" w:rsidR="00E836FB" w:rsidRDefault="00E836FB">
            <w:pPr>
              <w:rPr>
                <w:rFonts w:ascii="宋体"/>
                <w:vanish/>
              </w:rPr>
            </w:pPr>
          </w:p>
        </w:tc>
        <w:tc>
          <w:tcPr>
            <w:tcW w:w="0" w:type="auto"/>
            <w:gridSpan w:val="3"/>
            <w:shd w:val="clear" w:color="auto" w:fill="auto"/>
            <w:vAlign w:val="bottom"/>
          </w:tcPr>
          <w:p w14:paraId="5F2CB54D" w14:textId="77777777" w:rsidR="00E836FB" w:rsidRDefault="00E836FB">
            <w:pPr>
              <w:rPr>
                <w:rFonts w:ascii="宋体"/>
                <w:vanish/>
              </w:rPr>
            </w:pPr>
          </w:p>
        </w:tc>
        <w:tc>
          <w:tcPr>
            <w:tcW w:w="0" w:type="auto"/>
            <w:gridSpan w:val="3"/>
            <w:shd w:val="clear" w:color="auto" w:fill="auto"/>
            <w:vAlign w:val="bottom"/>
          </w:tcPr>
          <w:p w14:paraId="5F2CB54E" w14:textId="77777777" w:rsidR="00E836FB" w:rsidRDefault="00E836FB">
            <w:pPr>
              <w:rPr>
                <w:rFonts w:ascii="宋体"/>
                <w:vanish/>
              </w:rPr>
            </w:pPr>
          </w:p>
        </w:tc>
        <w:tc>
          <w:tcPr>
            <w:tcW w:w="0" w:type="auto"/>
            <w:gridSpan w:val="3"/>
            <w:shd w:val="clear" w:color="auto" w:fill="auto"/>
            <w:vAlign w:val="bottom"/>
          </w:tcPr>
          <w:p w14:paraId="5F2CB54F" w14:textId="77777777" w:rsidR="00E836FB" w:rsidRDefault="00E836FB">
            <w:pPr>
              <w:rPr>
                <w:rFonts w:ascii="宋体"/>
                <w:vanish/>
              </w:rPr>
            </w:pPr>
          </w:p>
        </w:tc>
        <w:tc>
          <w:tcPr>
            <w:tcW w:w="0" w:type="auto"/>
            <w:gridSpan w:val="3"/>
            <w:shd w:val="clear" w:color="auto" w:fill="auto"/>
            <w:vAlign w:val="bottom"/>
          </w:tcPr>
          <w:p w14:paraId="5F2CB550" w14:textId="77777777" w:rsidR="00E836FB" w:rsidRDefault="00E836FB">
            <w:pPr>
              <w:rPr>
                <w:rFonts w:ascii="宋体"/>
                <w:vanish/>
              </w:rPr>
            </w:pPr>
          </w:p>
        </w:tc>
        <w:tc>
          <w:tcPr>
            <w:tcW w:w="0" w:type="auto"/>
            <w:gridSpan w:val="3"/>
            <w:shd w:val="clear" w:color="auto" w:fill="auto"/>
            <w:vAlign w:val="bottom"/>
          </w:tcPr>
          <w:p w14:paraId="5F2CB551" w14:textId="77777777" w:rsidR="00E836FB" w:rsidRDefault="00E836FB">
            <w:pPr>
              <w:rPr>
                <w:rFonts w:ascii="宋体"/>
                <w:vanish/>
              </w:rPr>
            </w:pPr>
          </w:p>
        </w:tc>
        <w:tc>
          <w:tcPr>
            <w:tcW w:w="0" w:type="auto"/>
            <w:gridSpan w:val="2"/>
            <w:shd w:val="clear" w:color="auto" w:fill="auto"/>
            <w:vAlign w:val="bottom"/>
          </w:tcPr>
          <w:p w14:paraId="5F2CB552" w14:textId="77777777" w:rsidR="00E836FB" w:rsidRDefault="00E836FB">
            <w:pPr>
              <w:rPr>
                <w:rFonts w:ascii="宋体"/>
                <w:vanish/>
              </w:rPr>
            </w:pPr>
          </w:p>
        </w:tc>
        <w:tc>
          <w:tcPr>
            <w:tcW w:w="0" w:type="auto"/>
            <w:shd w:val="clear" w:color="auto" w:fill="auto"/>
            <w:vAlign w:val="bottom"/>
          </w:tcPr>
          <w:p w14:paraId="5F2CB553" w14:textId="77777777" w:rsidR="00E836FB" w:rsidRDefault="00E836FB">
            <w:pPr>
              <w:rPr>
                <w:rFonts w:ascii="宋体"/>
                <w:vanish/>
              </w:rPr>
            </w:pPr>
          </w:p>
        </w:tc>
      </w:tr>
      <w:tr w:rsidR="00E836FB" w14:paraId="5F2CB56B" w14:textId="77777777">
        <w:trPr>
          <w:hidden/>
        </w:trPr>
        <w:tc>
          <w:tcPr>
            <w:tcW w:w="0" w:type="auto"/>
            <w:gridSpan w:val="3"/>
            <w:shd w:val="clear" w:color="auto" w:fill="auto"/>
            <w:vAlign w:val="bottom"/>
          </w:tcPr>
          <w:p w14:paraId="5F2CB555" w14:textId="77777777" w:rsidR="00E836FB" w:rsidRDefault="00E836FB">
            <w:pPr>
              <w:rPr>
                <w:rFonts w:ascii="宋体"/>
                <w:vanish/>
              </w:rPr>
            </w:pPr>
          </w:p>
        </w:tc>
        <w:tc>
          <w:tcPr>
            <w:tcW w:w="0" w:type="auto"/>
            <w:gridSpan w:val="3"/>
            <w:shd w:val="clear" w:color="auto" w:fill="auto"/>
            <w:vAlign w:val="bottom"/>
          </w:tcPr>
          <w:p w14:paraId="5F2CB556" w14:textId="77777777" w:rsidR="00E836FB" w:rsidRDefault="00E836FB">
            <w:pPr>
              <w:rPr>
                <w:rFonts w:ascii="宋体"/>
                <w:vanish/>
              </w:rPr>
            </w:pPr>
          </w:p>
        </w:tc>
        <w:tc>
          <w:tcPr>
            <w:tcW w:w="0" w:type="auto"/>
            <w:gridSpan w:val="3"/>
            <w:shd w:val="clear" w:color="auto" w:fill="auto"/>
            <w:vAlign w:val="bottom"/>
          </w:tcPr>
          <w:p w14:paraId="5F2CB557" w14:textId="77777777" w:rsidR="00E836FB" w:rsidRDefault="00E836FB">
            <w:pPr>
              <w:rPr>
                <w:rFonts w:ascii="宋体"/>
                <w:vanish/>
              </w:rPr>
            </w:pPr>
          </w:p>
        </w:tc>
        <w:tc>
          <w:tcPr>
            <w:tcW w:w="0" w:type="auto"/>
            <w:gridSpan w:val="3"/>
            <w:shd w:val="clear" w:color="auto" w:fill="auto"/>
            <w:vAlign w:val="bottom"/>
          </w:tcPr>
          <w:p w14:paraId="5F2CB558" w14:textId="77777777" w:rsidR="00E836FB" w:rsidRDefault="00E836FB">
            <w:pPr>
              <w:rPr>
                <w:rFonts w:ascii="宋体"/>
                <w:vanish/>
              </w:rPr>
            </w:pPr>
          </w:p>
        </w:tc>
        <w:tc>
          <w:tcPr>
            <w:tcW w:w="0" w:type="auto"/>
            <w:gridSpan w:val="3"/>
            <w:shd w:val="clear" w:color="auto" w:fill="auto"/>
            <w:vAlign w:val="bottom"/>
          </w:tcPr>
          <w:p w14:paraId="5F2CB559" w14:textId="77777777" w:rsidR="00E836FB" w:rsidRDefault="00E836FB">
            <w:pPr>
              <w:rPr>
                <w:rFonts w:ascii="宋体"/>
                <w:vanish/>
              </w:rPr>
            </w:pPr>
          </w:p>
        </w:tc>
        <w:tc>
          <w:tcPr>
            <w:tcW w:w="0" w:type="auto"/>
            <w:gridSpan w:val="3"/>
            <w:shd w:val="clear" w:color="auto" w:fill="auto"/>
            <w:vAlign w:val="bottom"/>
          </w:tcPr>
          <w:p w14:paraId="5F2CB55A" w14:textId="77777777" w:rsidR="00E836FB" w:rsidRDefault="00E836FB">
            <w:pPr>
              <w:rPr>
                <w:rFonts w:ascii="宋体"/>
                <w:vanish/>
              </w:rPr>
            </w:pPr>
          </w:p>
        </w:tc>
        <w:tc>
          <w:tcPr>
            <w:tcW w:w="0" w:type="auto"/>
            <w:gridSpan w:val="3"/>
            <w:shd w:val="clear" w:color="auto" w:fill="auto"/>
            <w:vAlign w:val="bottom"/>
          </w:tcPr>
          <w:p w14:paraId="5F2CB55B" w14:textId="77777777" w:rsidR="00E836FB" w:rsidRDefault="00E836FB">
            <w:pPr>
              <w:rPr>
                <w:rFonts w:ascii="宋体"/>
                <w:vanish/>
              </w:rPr>
            </w:pPr>
          </w:p>
        </w:tc>
        <w:tc>
          <w:tcPr>
            <w:tcW w:w="0" w:type="auto"/>
            <w:gridSpan w:val="3"/>
            <w:shd w:val="clear" w:color="auto" w:fill="auto"/>
            <w:vAlign w:val="bottom"/>
          </w:tcPr>
          <w:p w14:paraId="5F2CB55C" w14:textId="77777777" w:rsidR="00E836FB" w:rsidRDefault="00E836FB">
            <w:pPr>
              <w:rPr>
                <w:rFonts w:ascii="宋体"/>
                <w:vanish/>
              </w:rPr>
            </w:pPr>
          </w:p>
        </w:tc>
        <w:tc>
          <w:tcPr>
            <w:tcW w:w="0" w:type="auto"/>
            <w:gridSpan w:val="3"/>
            <w:shd w:val="clear" w:color="auto" w:fill="auto"/>
            <w:vAlign w:val="bottom"/>
          </w:tcPr>
          <w:p w14:paraId="5F2CB55D" w14:textId="77777777" w:rsidR="00E836FB" w:rsidRDefault="00E836FB">
            <w:pPr>
              <w:rPr>
                <w:rFonts w:ascii="宋体"/>
                <w:vanish/>
              </w:rPr>
            </w:pPr>
          </w:p>
        </w:tc>
        <w:tc>
          <w:tcPr>
            <w:tcW w:w="0" w:type="auto"/>
            <w:gridSpan w:val="3"/>
            <w:shd w:val="clear" w:color="auto" w:fill="auto"/>
            <w:vAlign w:val="bottom"/>
          </w:tcPr>
          <w:p w14:paraId="5F2CB55E" w14:textId="77777777" w:rsidR="00E836FB" w:rsidRDefault="00E836FB">
            <w:pPr>
              <w:rPr>
                <w:rFonts w:ascii="宋体"/>
                <w:vanish/>
              </w:rPr>
            </w:pPr>
          </w:p>
        </w:tc>
        <w:tc>
          <w:tcPr>
            <w:tcW w:w="0" w:type="auto"/>
            <w:gridSpan w:val="3"/>
            <w:shd w:val="clear" w:color="auto" w:fill="auto"/>
            <w:vAlign w:val="bottom"/>
          </w:tcPr>
          <w:p w14:paraId="5F2CB55F" w14:textId="77777777" w:rsidR="00E836FB" w:rsidRDefault="00E836FB">
            <w:pPr>
              <w:rPr>
                <w:rFonts w:ascii="宋体"/>
                <w:vanish/>
              </w:rPr>
            </w:pPr>
          </w:p>
        </w:tc>
        <w:tc>
          <w:tcPr>
            <w:tcW w:w="0" w:type="auto"/>
            <w:gridSpan w:val="3"/>
            <w:shd w:val="clear" w:color="auto" w:fill="auto"/>
            <w:vAlign w:val="bottom"/>
          </w:tcPr>
          <w:p w14:paraId="5F2CB560" w14:textId="77777777" w:rsidR="00E836FB" w:rsidRDefault="00E836FB">
            <w:pPr>
              <w:rPr>
                <w:rFonts w:ascii="宋体"/>
                <w:vanish/>
              </w:rPr>
            </w:pPr>
          </w:p>
        </w:tc>
        <w:tc>
          <w:tcPr>
            <w:tcW w:w="0" w:type="auto"/>
            <w:gridSpan w:val="3"/>
            <w:shd w:val="clear" w:color="auto" w:fill="auto"/>
            <w:vAlign w:val="bottom"/>
          </w:tcPr>
          <w:p w14:paraId="5F2CB561" w14:textId="77777777" w:rsidR="00E836FB" w:rsidRDefault="00E836FB">
            <w:pPr>
              <w:rPr>
                <w:rFonts w:ascii="宋体"/>
                <w:vanish/>
              </w:rPr>
            </w:pPr>
          </w:p>
        </w:tc>
        <w:tc>
          <w:tcPr>
            <w:tcW w:w="0" w:type="auto"/>
            <w:gridSpan w:val="3"/>
            <w:shd w:val="clear" w:color="auto" w:fill="auto"/>
            <w:vAlign w:val="bottom"/>
          </w:tcPr>
          <w:p w14:paraId="5F2CB562" w14:textId="77777777" w:rsidR="00E836FB" w:rsidRDefault="00E836FB">
            <w:pPr>
              <w:rPr>
                <w:rFonts w:ascii="宋体"/>
                <w:vanish/>
              </w:rPr>
            </w:pPr>
          </w:p>
        </w:tc>
        <w:tc>
          <w:tcPr>
            <w:tcW w:w="0" w:type="auto"/>
            <w:gridSpan w:val="3"/>
            <w:shd w:val="clear" w:color="auto" w:fill="auto"/>
            <w:vAlign w:val="bottom"/>
          </w:tcPr>
          <w:p w14:paraId="5F2CB563" w14:textId="77777777" w:rsidR="00E836FB" w:rsidRDefault="00E836FB">
            <w:pPr>
              <w:rPr>
                <w:rFonts w:ascii="宋体"/>
                <w:vanish/>
              </w:rPr>
            </w:pPr>
          </w:p>
        </w:tc>
        <w:tc>
          <w:tcPr>
            <w:tcW w:w="0" w:type="auto"/>
            <w:gridSpan w:val="3"/>
            <w:shd w:val="clear" w:color="auto" w:fill="auto"/>
            <w:vAlign w:val="bottom"/>
          </w:tcPr>
          <w:p w14:paraId="5F2CB564" w14:textId="77777777" w:rsidR="00E836FB" w:rsidRDefault="00E836FB">
            <w:pPr>
              <w:rPr>
                <w:rFonts w:ascii="宋体"/>
                <w:vanish/>
              </w:rPr>
            </w:pPr>
          </w:p>
        </w:tc>
        <w:tc>
          <w:tcPr>
            <w:tcW w:w="0" w:type="auto"/>
            <w:gridSpan w:val="3"/>
            <w:shd w:val="clear" w:color="auto" w:fill="auto"/>
            <w:vAlign w:val="bottom"/>
          </w:tcPr>
          <w:p w14:paraId="5F2CB565" w14:textId="77777777" w:rsidR="00E836FB" w:rsidRDefault="00E836FB">
            <w:pPr>
              <w:rPr>
                <w:rFonts w:ascii="宋体"/>
                <w:vanish/>
              </w:rPr>
            </w:pPr>
          </w:p>
        </w:tc>
        <w:tc>
          <w:tcPr>
            <w:tcW w:w="0" w:type="auto"/>
            <w:gridSpan w:val="3"/>
            <w:shd w:val="clear" w:color="auto" w:fill="auto"/>
            <w:vAlign w:val="bottom"/>
          </w:tcPr>
          <w:p w14:paraId="5F2CB566" w14:textId="77777777" w:rsidR="00E836FB" w:rsidRDefault="00E836FB">
            <w:pPr>
              <w:rPr>
                <w:rFonts w:ascii="宋体"/>
                <w:vanish/>
              </w:rPr>
            </w:pPr>
          </w:p>
        </w:tc>
        <w:tc>
          <w:tcPr>
            <w:tcW w:w="0" w:type="auto"/>
            <w:gridSpan w:val="3"/>
            <w:shd w:val="clear" w:color="auto" w:fill="auto"/>
            <w:vAlign w:val="bottom"/>
          </w:tcPr>
          <w:p w14:paraId="5F2CB567" w14:textId="77777777" w:rsidR="00E836FB" w:rsidRDefault="00E836FB">
            <w:pPr>
              <w:rPr>
                <w:rFonts w:ascii="宋体"/>
                <w:vanish/>
              </w:rPr>
            </w:pPr>
          </w:p>
        </w:tc>
        <w:tc>
          <w:tcPr>
            <w:tcW w:w="0" w:type="auto"/>
            <w:gridSpan w:val="3"/>
            <w:shd w:val="clear" w:color="auto" w:fill="auto"/>
            <w:vAlign w:val="bottom"/>
          </w:tcPr>
          <w:p w14:paraId="5F2CB568" w14:textId="77777777" w:rsidR="00E836FB" w:rsidRDefault="00E836FB">
            <w:pPr>
              <w:rPr>
                <w:rFonts w:ascii="宋体"/>
                <w:vanish/>
              </w:rPr>
            </w:pPr>
          </w:p>
        </w:tc>
        <w:tc>
          <w:tcPr>
            <w:tcW w:w="0" w:type="auto"/>
            <w:gridSpan w:val="2"/>
            <w:shd w:val="clear" w:color="auto" w:fill="auto"/>
            <w:vAlign w:val="bottom"/>
          </w:tcPr>
          <w:p w14:paraId="5F2CB569" w14:textId="77777777" w:rsidR="00E836FB" w:rsidRDefault="00E836FB">
            <w:pPr>
              <w:rPr>
                <w:rFonts w:ascii="宋体"/>
                <w:vanish/>
              </w:rPr>
            </w:pPr>
          </w:p>
        </w:tc>
        <w:tc>
          <w:tcPr>
            <w:tcW w:w="0" w:type="auto"/>
            <w:shd w:val="clear" w:color="auto" w:fill="auto"/>
            <w:vAlign w:val="bottom"/>
          </w:tcPr>
          <w:p w14:paraId="5F2CB56A" w14:textId="77777777" w:rsidR="00E836FB" w:rsidRDefault="00E836FB">
            <w:pPr>
              <w:rPr>
                <w:rFonts w:ascii="宋体"/>
                <w:vanish/>
              </w:rPr>
            </w:pPr>
          </w:p>
        </w:tc>
      </w:tr>
      <w:tr w:rsidR="00E836FB" w14:paraId="5F2CB582" w14:textId="77777777">
        <w:trPr>
          <w:hidden/>
        </w:trPr>
        <w:tc>
          <w:tcPr>
            <w:tcW w:w="0" w:type="auto"/>
            <w:gridSpan w:val="3"/>
            <w:shd w:val="clear" w:color="auto" w:fill="auto"/>
            <w:vAlign w:val="bottom"/>
          </w:tcPr>
          <w:p w14:paraId="5F2CB56C" w14:textId="77777777" w:rsidR="00E836FB" w:rsidRDefault="00E836FB">
            <w:pPr>
              <w:rPr>
                <w:rFonts w:ascii="宋体"/>
                <w:vanish/>
              </w:rPr>
            </w:pPr>
          </w:p>
        </w:tc>
        <w:tc>
          <w:tcPr>
            <w:tcW w:w="0" w:type="auto"/>
            <w:gridSpan w:val="3"/>
            <w:shd w:val="clear" w:color="auto" w:fill="auto"/>
            <w:vAlign w:val="bottom"/>
          </w:tcPr>
          <w:p w14:paraId="5F2CB56D" w14:textId="77777777" w:rsidR="00E836FB" w:rsidRDefault="00E836FB">
            <w:pPr>
              <w:rPr>
                <w:rFonts w:ascii="宋体"/>
                <w:vanish/>
              </w:rPr>
            </w:pPr>
          </w:p>
        </w:tc>
        <w:tc>
          <w:tcPr>
            <w:tcW w:w="0" w:type="auto"/>
            <w:gridSpan w:val="3"/>
            <w:shd w:val="clear" w:color="auto" w:fill="auto"/>
            <w:vAlign w:val="bottom"/>
          </w:tcPr>
          <w:p w14:paraId="5F2CB56E" w14:textId="77777777" w:rsidR="00E836FB" w:rsidRDefault="00E836FB">
            <w:pPr>
              <w:rPr>
                <w:rFonts w:ascii="宋体"/>
                <w:vanish/>
              </w:rPr>
            </w:pPr>
          </w:p>
        </w:tc>
        <w:tc>
          <w:tcPr>
            <w:tcW w:w="0" w:type="auto"/>
            <w:gridSpan w:val="3"/>
            <w:shd w:val="clear" w:color="auto" w:fill="auto"/>
            <w:vAlign w:val="bottom"/>
          </w:tcPr>
          <w:p w14:paraId="5F2CB56F" w14:textId="77777777" w:rsidR="00E836FB" w:rsidRDefault="00E836FB">
            <w:pPr>
              <w:rPr>
                <w:rFonts w:ascii="宋体"/>
                <w:vanish/>
              </w:rPr>
            </w:pPr>
          </w:p>
        </w:tc>
        <w:tc>
          <w:tcPr>
            <w:tcW w:w="0" w:type="auto"/>
            <w:gridSpan w:val="3"/>
            <w:shd w:val="clear" w:color="auto" w:fill="auto"/>
            <w:vAlign w:val="bottom"/>
          </w:tcPr>
          <w:p w14:paraId="5F2CB570" w14:textId="77777777" w:rsidR="00E836FB" w:rsidRDefault="00E836FB">
            <w:pPr>
              <w:rPr>
                <w:rFonts w:ascii="宋体"/>
                <w:vanish/>
              </w:rPr>
            </w:pPr>
          </w:p>
        </w:tc>
        <w:tc>
          <w:tcPr>
            <w:tcW w:w="0" w:type="auto"/>
            <w:gridSpan w:val="3"/>
            <w:shd w:val="clear" w:color="auto" w:fill="auto"/>
            <w:vAlign w:val="bottom"/>
          </w:tcPr>
          <w:p w14:paraId="5F2CB571" w14:textId="77777777" w:rsidR="00E836FB" w:rsidRDefault="00E836FB">
            <w:pPr>
              <w:rPr>
                <w:rFonts w:ascii="宋体"/>
                <w:vanish/>
              </w:rPr>
            </w:pPr>
          </w:p>
        </w:tc>
        <w:tc>
          <w:tcPr>
            <w:tcW w:w="0" w:type="auto"/>
            <w:gridSpan w:val="3"/>
            <w:shd w:val="clear" w:color="auto" w:fill="auto"/>
            <w:vAlign w:val="bottom"/>
          </w:tcPr>
          <w:p w14:paraId="5F2CB572" w14:textId="77777777" w:rsidR="00E836FB" w:rsidRDefault="00E836FB">
            <w:pPr>
              <w:rPr>
                <w:rFonts w:ascii="宋体"/>
                <w:vanish/>
              </w:rPr>
            </w:pPr>
          </w:p>
        </w:tc>
        <w:tc>
          <w:tcPr>
            <w:tcW w:w="0" w:type="auto"/>
            <w:gridSpan w:val="3"/>
            <w:shd w:val="clear" w:color="auto" w:fill="auto"/>
            <w:vAlign w:val="bottom"/>
          </w:tcPr>
          <w:p w14:paraId="5F2CB573" w14:textId="77777777" w:rsidR="00E836FB" w:rsidRDefault="00E836FB">
            <w:pPr>
              <w:rPr>
                <w:rFonts w:ascii="宋体"/>
                <w:vanish/>
              </w:rPr>
            </w:pPr>
          </w:p>
        </w:tc>
        <w:tc>
          <w:tcPr>
            <w:tcW w:w="0" w:type="auto"/>
            <w:gridSpan w:val="3"/>
            <w:shd w:val="clear" w:color="auto" w:fill="auto"/>
            <w:vAlign w:val="bottom"/>
          </w:tcPr>
          <w:p w14:paraId="5F2CB574" w14:textId="77777777" w:rsidR="00E836FB" w:rsidRDefault="00E836FB">
            <w:pPr>
              <w:rPr>
                <w:rFonts w:ascii="宋体"/>
                <w:vanish/>
              </w:rPr>
            </w:pPr>
          </w:p>
        </w:tc>
        <w:tc>
          <w:tcPr>
            <w:tcW w:w="0" w:type="auto"/>
            <w:gridSpan w:val="3"/>
            <w:shd w:val="clear" w:color="auto" w:fill="auto"/>
            <w:vAlign w:val="bottom"/>
          </w:tcPr>
          <w:p w14:paraId="5F2CB575" w14:textId="77777777" w:rsidR="00E836FB" w:rsidRDefault="00E836FB">
            <w:pPr>
              <w:rPr>
                <w:rFonts w:ascii="宋体"/>
                <w:vanish/>
              </w:rPr>
            </w:pPr>
          </w:p>
        </w:tc>
        <w:tc>
          <w:tcPr>
            <w:tcW w:w="0" w:type="auto"/>
            <w:gridSpan w:val="3"/>
            <w:shd w:val="clear" w:color="auto" w:fill="auto"/>
            <w:vAlign w:val="bottom"/>
          </w:tcPr>
          <w:p w14:paraId="5F2CB576" w14:textId="77777777" w:rsidR="00E836FB" w:rsidRDefault="00E836FB">
            <w:pPr>
              <w:rPr>
                <w:rFonts w:ascii="宋体"/>
                <w:vanish/>
              </w:rPr>
            </w:pPr>
          </w:p>
        </w:tc>
        <w:tc>
          <w:tcPr>
            <w:tcW w:w="0" w:type="auto"/>
            <w:gridSpan w:val="3"/>
            <w:shd w:val="clear" w:color="auto" w:fill="auto"/>
            <w:vAlign w:val="bottom"/>
          </w:tcPr>
          <w:p w14:paraId="5F2CB577" w14:textId="77777777" w:rsidR="00E836FB" w:rsidRDefault="00E836FB">
            <w:pPr>
              <w:rPr>
                <w:rFonts w:ascii="宋体"/>
                <w:vanish/>
              </w:rPr>
            </w:pPr>
          </w:p>
        </w:tc>
        <w:tc>
          <w:tcPr>
            <w:tcW w:w="0" w:type="auto"/>
            <w:gridSpan w:val="3"/>
            <w:shd w:val="clear" w:color="auto" w:fill="auto"/>
            <w:vAlign w:val="bottom"/>
          </w:tcPr>
          <w:p w14:paraId="5F2CB578" w14:textId="77777777" w:rsidR="00E836FB" w:rsidRDefault="00E836FB">
            <w:pPr>
              <w:rPr>
                <w:rFonts w:ascii="宋体"/>
                <w:vanish/>
              </w:rPr>
            </w:pPr>
          </w:p>
        </w:tc>
        <w:tc>
          <w:tcPr>
            <w:tcW w:w="0" w:type="auto"/>
            <w:gridSpan w:val="3"/>
            <w:shd w:val="clear" w:color="auto" w:fill="auto"/>
            <w:vAlign w:val="bottom"/>
          </w:tcPr>
          <w:p w14:paraId="5F2CB579" w14:textId="77777777" w:rsidR="00E836FB" w:rsidRDefault="00E836FB">
            <w:pPr>
              <w:rPr>
                <w:rFonts w:ascii="宋体"/>
                <w:vanish/>
              </w:rPr>
            </w:pPr>
          </w:p>
        </w:tc>
        <w:tc>
          <w:tcPr>
            <w:tcW w:w="0" w:type="auto"/>
            <w:gridSpan w:val="3"/>
            <w:shd w:val="clear" w:color="auto" w:fill="auto"/>
            <w:vAlign w:val="bottom"/>
          </w:tcPr>
          <w:p w14:paraId="5F2CB57A" w14:textId="77777777" w:rsidR="00E836FB" w:rsidRDefault="00E836FB">
            <w:pPr>
              <w:rPr>
                <w:rFonts w:ascii="宋体"/>
                <w:vanish/>
              </w:rPr>
            </w:pPr>
          </w:p>
        </w:tc>
        <w:tc>
          <w:tcPr>
            <w:tcW w:w="0" w:type="auto"/>
            <w:gridSpan w:val="3"/>
            <w:shd w:val="clear" w:color="auto" w:fill="auto"/>
            <w:vAlign w:val="bottom"/>
          </w:tcPr>
          <w:p w14:paraId="5F2CB57B" w14:textId="77777777" w:rsidR="00E836FB" w:rsidRDefault="00E836FB">
            <w:pPr>
              <w:rPr>
                <w:rFonts w:ascii="宋体"/>
                <w:vanish/>
              </w:rPr>
            </w:pPr>
          </w:p>
        </w:tc>
        <w:tc>
          <w:tcPr>
            <w:tcW w:w="0" w:type="auto"/>
            <w:gridSpan w:val="3"/>
            <w:shd w:val="clear" w:color="auto" w:fill="auto"/>
            <w:vAlign w:val="bottom"/>
          </w:tcPr>
          <w:p w14:paraId="5F2CB57C" w14:textId="77777777" w:rsidR="00E836FB" w:rsidRDefault="00E836FB">
            <w:pPr>
              <w:rPr>
                <w:rFonts w:ascii="宋体"/>
                <w:vanish/>
              </w:rPr>
            </w:pPr>
          </w:p>
        </w:tc>
        <w:tc>
          <w:tcPr>
            <w:tcW w:w="0" w:type="auto"/>
            <w:gridSpan w:val="3"/>
            <w:shd w:val="clear" w:color="auto" w:fill="auto"/>
            <w:vAlign w:val="bottom"/>
          </w:tcPr>
          <w:p w14:paraId="5F2CB57D" w14:textId="77777777" w:rsidR="00E836FB" w:rsidRDefault="00E836FB">
            <w:pPr>
              <w:rPr>
                <w:rFonts w:ascii="宋体"/>
                <w:vanish/>
              </w:rPr>
            </w:pPr>
          </w:p>
        </w:tc>
        <w:tc>
          <w:tcPr>
            <w:tcW w:w="0" w:type="auto"/>
            <w:gridSpan w:val="3"/>
            <w:shd w:val="clear" w:color="auto" w:fill="auto"/>
            <w:vAlign w:val="bottom"/>
          </w:tcPr>
          <w:p w14:paraId="5F2CB57E" w14:textId="77777777" w:rsidR="00E836FB" w:rsidRDefault="00E836FB">
            <w:pPr>
              <w:rPr>
                <w:rFonts w:ascii="宋体"/>
                <w:vanish/>
              </w:rPr>
            </w:pPr>
          </w:p>
        </w:tc>
        <w:tc>
          <w:tcPr>
            <w:tcW w:w="0" w:type="auto"/>
            <w:gridSpan w:val="3"/>
            <w:shd w:val="clear" w:color="auto" w:fill="auto"/>
            <w:vAlign w:val="bottom"/>
          </w:tcPr>
          <w:p w14:paraId="5F2CB57F" w14:textId="77777777" w:rsidR="00E836FB" w:rsidRDefault="00E836FB">
            <w:pPr>
              <w:rPr>
                <w:rFonts w:ascii="宋体"/>
                <w:vanish/>
              </w:rPr>
            </w:pPr>
          </w:p>
        </w:tc>
        <w:tc>
          <w:tcPr>
            <w:tcW w:w="0" w:type="auto"/>
            <w:gridSpan w:val="2"/>
            <w:shd w:val="clear" w:color="auto" w:fill="auto"/>
            <w:vAlign w:val="bottom"/>
          </w:tcPr>
          <w:p w14:paraId="5F2CB580" w14:textId="77777777" w:rsidR="00E836FB" w:rsidRDefault="00E836FB">
            <w:pPr>
              <w:rPr>
                <w:rFonts w:ascii="宋体"/>
                <w:vanish/>
              </w:rPr>
            </w:pPr>
          </w:p>
        </w:tc>
        <w:tc>
          <w:tcPr>
            <w:tcW w:w="0" w:type="auto"/>
            <w:shd w:val="clear" w:color="auto" w:fill="auto"/>
            <w:vAlign w:val="bottom"/>
          </w:tcPr>
          <w:p w14:paraId="5F2CB581" w14:textId="77777777" w:rsidR="00E836FB" w:rsidRDefault="00E836FB">
            <w:pPr>
              <w:rPr>
                <w:rFonts w:ascii="宋体"/>
                <w:vanish/>
              </w:rPr>
            </w:pPr>
          </w:p>
        </w:tc>
      </w:tr>
      <w:tr w:rsidR="00E836FB" w14:paraId="5F2CB599" w14:textId="77777777">
        <w:trPr>
          <w:hidden/>
        </w:trPr>
        <w:tc>
          <w:tcPr>
            <w:tcW w:w="0" w:type="auto"/>
            <w:gridSpan w:val="3"/>
            <w:shd w:val="clear" w:color="auto" w:fill="auto"/>
            <w:vAlign w:val="bottom"/>
          </w:tcPr>
          <w:p w14:paraId="5F2CB583" w14:textId="77777777" w:rsidR="00E836FB" w:rsidRDefault="00E836FB">
            <w:pPr>
              <w:rPr>
                <w:rFonts w:ascii="宋体"/>
                <w:vanish/>
              </w:rPr>
            </w:pPr>
          </w:p>
        </w:tc>
        <w:tc>
          <w:tcPr>
            <w:tcW w:w="0" w:type="auto"/>
            <w:gridSpan w:val="3"/>
            <w:shd w:val="clear" w:color="auto" w:fill="auto"/>
            <w:vAlign w:val="bottom"/>
          </w:tcPr>
          <w:p w14:paraId="5F2CB584" w14:textId="77777777" w:rsidR="00E836FB" w:rsidRDefault="00E836FB">
            <w:pPr>
              <w:rPr>
                <w:rFonts w:ascii="宋体"/>
                <w:vanish/>
              </w:rPr>
            </w:pPr>
          </w:p>
        </w:tc>
        <w:tc>
          <w:tcPr>
            <w:tcW w:w="0" w:type="auto"/>
            <w:gridSpan w:val="3"/>
            <w:shd w:val="clear" w:color="auto" w:fill="auto"/>
            <w:vAlign w:val="bottom"/>
          </w:tcPr>
          <w:p w14:paraId="5F2CB585" w14:textId="77777777" w:rsidR="00E836FB" w:rsidRDefault="00E836FB">
            <w:pPr>
              <w:rPr>
                <w:rFonts w:ascii="宋体"/>
                <w:vanish/>
              </w:rPr>
            </w:pPr>
          </w:p>
        </w:tc>
        <w:tc>
          <w:tcPr>
            <w:tcW w:w="0" w:type="auto"/>
            <w:gridSpan w:val="3"/>
            <w:shd w:val="clear" w:color="auto" w:fill="auto"/>
            <w:vAlign w:val="bottom"/>
          </w:tcPr>
          <w:p w14:paraId="5F2CB586" w14:textId="77777777" w:rsidR="00E836FB" w:rsidRDefault="00E836FB">
            <w:pPr>
              <w:rPr>
                <w:rFonts w:ascii="宋体"/>
                <w:vanish/>
              </w:rPr>
            </w:pPr>
          </w:p>
        </w:tc>
        <w:tc>
          <w:tcPr>
            <w:tcW w:w="0" w:type="auto"/>
            <w:gridSpan w:val="3"/>
            <w:shd w:val="clear" w:color="auto" w:fill="auto"/>
            <w:vAlign w:val="bottom"/>
          </w:tcPr>
          <w:p w14:paraId="5F2CB587" w14:textId="77777777" w:rsidR="00E836FB" w:rsidRDefault="00E836FB">
            <w:pPr>
              <w:rPr>
                <w:rFonts w:ascii="宋体"/>
                <w:vanish/>
              </w:rPr>
            </w:pPr>
          </w:p>
        </w:tc>
        <w:tc>
          <w:tcPr>
            <w:tcW w:w="0" w:type="auto"/>
            <w:gridSpan w:val="3"/>
            <w:shd w:val="clear" w:color="auto" w:fill="auto"/>
            <w:vAlign w:val="bottom"/>
          </w:tcPr>
          <w:p w14:paraId="5F2CB588" w14:textId="77777777" w:rsidR="00E836FB" w:rsidRDefault="00E836FB">
            <w:pPr>
              <w:rPr>
                <w:rFonts w:ascii="宋体"/>
                <w:vanish/>
              </w:rPr>
            </w:pPr>
          </w:p>
        </w:tc>
        <w:tc>
          <w:tcPr>
            <w:tcW w:w="0" w:type="auto"/>
            <w:gridSpan w:val="3"/>
            <w:shd w:val="clear" w:color="auto" w:fill="auto"/>
            <w:vAlign w:val="bottom"/>
          </w:tcPr>
          <w:p w14:paraId="5F2CB589" w14:textId="77777777" w:rsidR="00E836FB" w:rsidRDefault="00E836FB">
            <w:pPr>
              <w:rPr>
                <w:rFonts w:ascii="宋体"/>
                <w:vanish/>
              </w:rPr>
            </w:pPr>
          </w:p>
        </w:tc>
        <w:tc>
          <w:tcPr>
            <w:tcW w:w="0" w:type="auto"/>
            <w:gridSpan w:val="3"/>
            <w:shd w:val="clear" w:color="auto" w:fill="auto"/>
            <w:vAlign w:val="bottom"/>
          </w:tcPr>
          <w:p w14:paraId="5F2CB58A" w14:textId="77777777" w:rsidR="00E836FB" w:rsidRDefault="00E836FB">
            <w:pPr>
              <w:rPr>
                <w:rFonts w:ascii="宋体"/>
                <w:vanish/>
              </w:rPr>
            </w:pPr>
          </w:p>
        </w:tc>
        <w:tc>
          <w:tcPr>
            <w:tcW w:w="0" w:type="auto"/>
            <w:gridSpan w:val="3"/>
            <w:shd w:val="clear" w:color="auto" w:fill="auto"/>
            <w:vAlign w:val="bottom"/>
          </w:tcPr>
          <w:p w14:paraId="5F2CB58B" w14:textId="77777777" w:rsidR="00E836FB" w:rsidRDefault="00E836FB">
            <w:pPr>
              <w:rPr>
                <w:rFonts w:ascii="宋体"/>
                <w:vanish/>
              </w:rPr>
            </w:pPr>
          </w:p>
        </w:tc>
        <w:tc>
          <w:tcPr>
            <w:tcW w:w="0" w:type="auto"/>
            <w:gridSpan w:val="3"/>
            <w:shd w:val="clear" w:color="auto" w:fill="auto"/>
            <w:vAlign w:val="bottom"/>
          </w:tcPr>
          <w:p w14:paraId="5F2CB58C" w14:textId="77777777" w:rsidR="00E836FB" w:rsidRDefault="00E836FB">
            <w:pPr>
              <w:rPr>
                <w:rFonts w:ascii="宋体"/>
                <w:vanish/>
              </w:rPr>
            </w:pPr>
          </w:p>
        </w:tc>
        <w:tc>
          <w:tcPr>
            <w:tcW w:w="0" w:type="auto"/>
            <w:gridSpan w:val="3"/>
            <w:shd w:val="clear" w:color="auto" w:fill="auto"/>
            <w:vAlign w:val="bottom"/>
          </w:tcPr>
          <w:p w14:paraId="5F2CB58D" w14:textId="77777777" w:rsidR="00E836FB" w:rsidRDefault="00E836FB">
            <w:pPr>
              <w:rPr>
                <w:rFonts w:ascii="宋体"/>
                <w:vanish/>
              </w:rPr>
            </w:pPr>
          </w:p>
        </w:tc>
        <w:tc>
          <w:tcPr>
            <w:tcW w:w="0" w:type="auto"/>
            <w:gridSpan w:val="3"/>
            <w:shd w:val="clear" w:color="auto" w:fill="auto"/>
            <w:vAlign w:val="bottom"/>
          </w:tcPr>
          <w:p w14:paraId="5F2CB58E" w14:textId="77777777" w:rsidR="00E836FB" w:rsidRDefault="00E836FB">
            <w:pPr>
              <w:rPr>
                <w:rFonts w:ascii="宋体"/>
                <w:vanish/>
              </w:rPr>
            </w:pPr>
          </w:p>
        </w:tc>
        <w:tc>
          <w:tcPr>
            <w:tcW w:w="0" w:type="auto"/>
            <w:gridSpan w:val="3"/>
            <w:shd w:val="clear" w:color="auto" w:fill="auto"/>
            <w:vAlign w:val="bottom"/>
          </w:tcPr>
          <w:p w14:paraId="5F2CB58F" w14:textId="77777777" w:rsidR="00E836FB" w:rsidRDefault="00E836FB">
            <w:pPr>
              <w:rPr>
                <w:rFonts w:ascii="宋体"/>
                <w:vanish/>
              </w:rPr>
            </w:pPr>
          </w:p>
        </w:tc>
        <w:tc>
          <w:tcPr>
            <w:tcW w:w="0" w:type="auto"/>
            <w:gridSpan w:val="3"/>
            <w:shd w:val="clear" w:color="auto" w:fill="auto"/>
            <w:vAlign w:val="bottom"/>
          </w:tcPr>
          <w:p w14:paraId="5F2CB590" w14:textId="77777777" w:rsidR="00E836FB" w:rsidRDefault="00E836FB">
            <w:pPr>
              <w:rPr>
                <w:rFonts w:ascii="宋体"/>
                <w:vanish/>
              </w:rPr>
            </w:pPr>
          </w:p>
        </w:tc>
        <w:tc>
          <w:tcPr>
            <w:tcW w:w="0" w:type="auto"/>
            <w:gridSpan w:val="3"/>
            <w:shd w:val="clear" w:color="auto" w:fill="auto"/>
            <w:vAlign w:val="bottom"/>
          </w:tcPr>
          <w:p w14:paraId="5F2CB591" w14:textId="77777777" w:rsidR="00E836FB" w:rsidRDefault="00E836FB">
            <w:pPr>
              <w:rPr>
                <w:rFonts w:ascii="宋体"/>
                <w:vanish/>
              </w:rPr>
            </w:pPr>
          </w:p>
        </w:tc>
        <w:tc>
          <w:tcPr>
            <w:tcW w:w="0" w:type="auto"/>
            <w:gridSpan w:val="3"/>
            <w:shd w:val="clear" w:color="auto" w:fill="auto"/>
            <w:vAlign w:val="bottom"/>
          </w:tcPr>
          <w:p w14:paraId="5F2CB592" w14:textId="77777777" w:rsidR="00E836FB" w:rsidRDefault="00E836FB">
            <w:pPr>
              <w:rPr>
                <w:rFonts w:ascii="宋体"/>
                <w:vanish/>
              </w:rPr>
            </w:pPr>
          </w:p>
        </w:tc>
        <w:tc>
          <w:tcPr>
            <w:tcW w:w="0" w:type="auto"/>
            <w:gridSpan w:val="3"/>
            <w:shd w:val="clear" w:color="auto" w:fill="auto"/>
            <w:vAlign w:val="bottom"/>
          </w:tcPr>
          <w:p w14:paraId="5F2CB593" w14:textId="77777777" w:rsidR="00E836FB" w:rsidRDefault="00E836FB">
            <w:pPr>
              <w:rPr>
                <w:rFonts w:ascii="宋体"/>
                <w:vanish/>
              </w:rPr>
            </w:pPr>
          </w:p>
        </w:tc>
        <w:tc>
          <w:tcPr>
            <w:tcW w:w="0" w:type="auto"/>
            <w:gridSpan w:val="3"/>
            <w:shd w:val="clear" w:color="auto" w:fill="auto"/>
            <w:vAlign w:val="bottom"/>
          </w:tcPr>
          <w:p w14:paraId="5F2CB594" w14:textId="77777777" w:rsidR="00E836FB" w:rsidRDefault="00E836FB">
            <w:pPr>
              <w:rPr>
                <w:rFonts w:ascii="宋体"/>
                <w:vanish/>
              </w:rPr>
            </w:pPr>
          </w:p>
        </w:tc>
        <w:tc>
          <w:tcPr>
            <w:tcW w:w="0" w:type="auto"/>
            <w:gridSpan w:val="3"/>
            <w:shd w:val="clear" w:color="auto" w:fill="auto"/>
            <w:vAlign w:val="bottom"/>
          </w:tcPr>
          <w:p w14:paraId="5F2CB595" w14:textId="77777777" w:rsidR="00E836FB" w:rsidRDefault="00E836FB">
            <w:pPr>
              <w:rPr>
                <w:rFonts w:ascii="宋体"/>
                <w:vanish/>
              </w:rPr>
            </w:pPr>
          </w:p>
        </w:tc>
        <w:tc>
          <w:tcPr>
            <w:tcW w:w="0" w:type="auto"/>
            <w:gridSpan w:val="3"/>
            <w:shd w:val="clear" w:color="auto" w:fill="auto"/>
            <w:vAlign w:val="bottom"/>
          </w:tcPr>
          <w:p w14:paraId="5F2CB596" w14:textId="77777777" w:rsidR="00E836FB" w:rsidRDefault="00E836FB">
            <w:pPr>
              <w:rPr>
                <w:rFonts w:ascii="宋体"/>
                <w:vanish/>
              </w:rPr>
            </w:pPr>
          </w:p>
        </w:tc>
        <w:tc>
          <w:tcPr>
            <w:tcW w:w="0" w:type="auto"/>
            <w:gridSpan w:val="2"/>
            <w:shd w:val="clear" w:color="auto" w:fill="auto"/>
            <w:vAlign w:val="bottom"/>
          </w:tcPr>
          <w:p w14:paraId="5F2CB597" w14:textId="77777777" w:rsidR="00E836FB" w:rsidRDefault="00E836FB">
            <w:pPr>
              <w:rPr>
                <w:rFonts w:ascii="宋体"/>
                <w:vanish/>
              </w:rPr>
            </w:pPr>
          </w:p>
        </w:tc>
        <w:tc>
          <w:tcPr>
            <w:tcW w:w="0" w:type="auto"/>
            <w:shd w:val="clear" w:color="auto" w:fill="auto"/>
            <w:vAlign w:val="bottom"/>
          </w:tcPr>
          <w:p w14:paraId="5F2CB598" w14:textId="77777777" w:rsidR="00E836FB" w:rsidRDefault="00E836FB">
            <w:pPr>
              <w:rPr>
                <w:rFonts w:ascii="宋体"/>
                <w:vanish/>
              </w:rPr>
            </w:pPr>
          </w:p>
        </w:tc>
      </w:tr>
      <w:tr w:rsidR="00E836FB" w14:paraId="5F2CB5A0" w14:textId="77777777">
        <w:tc>
          <w:tcPr>
            <w:tcW w:w="0" w:type="auto"/>
            <w:gridSpan w:val="3"/>
            <w:shd w:val="clear" w:color="auto" w:fill="auto"/>
            <w:tcMar>
              <w:top w:w="0" w:type="dxa"/>
              <w:left w:w="20" w:type="dxa"/>
              <w:bottom w:w="0" w:type="dxa"/>
              <w:right w:w="20" w:type="dxa"/>
            </w:tcMar>
            <w:vAlign w:val="bottom"/>
          </w:tcPr>
          <w:p w14:paraId="5F2CB59A" w14:textId="77777777" w:rsidR="00E836FB" w:rsidRDefault="00E836FB">
            <w:pPr>
              <w:rPr>
                <w:rFonts w:ascii="宋体"/>
              </w:rPr>
            </w:pPr>
          </w:p>
        </w:tc>
        <w:tc>
          <w:tcPr>
            <w:tcW w:w="0" w:type="auto"/>
            <w:gridSpan w:val="51"/>
            <w:tcBorders>
              <w:bottom w:val="single" w:sz="8" w:space="0" w:color="000000"/>
            </w:tcBorders>
            <w:shd w:val="clear" w:color="auto" w:fill="auto"/>
            <w:tcMar>
              <w:top w:w="40" w:type="dxa"/>
              <w:left w:w="20" w:type="dxa"/>
              <w:bottom w:w="40" w:type="dxa"/>
              <w:right w:w="20" w:type="dxa"/>
            </w:tcMar>
            <w:vAlign w:val="bottom"/>
          </w:tcPr>
          <w:p w14:paraId="5F2CB59B"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vAlign w:val="bottom"/>
          </w:tcPr>
          <w:p w14:paraId="5F2CB59C" w14:textId="77777777" w:rsidR="00E836FB" w:rsidRDefault="00E836FB">
            <w:pPr>
              <w:rPr>
                <w:rFonts w:ascii="宋体"/>
                <w:vanish/>
              </w:rPr>
            </w:pPr>
          </w:p>
        </w:tc>
        <w:tc>
          <w:tcPr>
            <w:tcW w:w="0" w:type="auto"/>
            <w:gridSpan w:val="3"/>
            <w:shd w:val="clear" w:color="auto" w:fill="auto"/>
            <w:vAlign w:val="bottom"/>
          </w:tcPr>
          <w:p w14:paraId="5F2CB59D" w14:textId="77777777" w:rsidR="00E836FB" w:rsidRDefault="00E836FB">
            <w:pPr>
              <w:rPr>
                <w:rFonts w:ascii="宋体"/>
                <w:vanish/>
              </w:rPr>
            </w:pPr>
          </w:p>
        </w:tc>
        <w:tc>
          <w:tcPr>
            <w:tcW w:w="0" w:type="auto"/>
            <w:gridSpan w:val="2"/>
            <w:shd w:val="clear" w:color="auto" w:fill="auto"/>
            <w:vAlign w:val="bottom"/>
          </w:tcPr>
          <w:p w14:paraId="5F2CB59E" w14:textId="77777777" w:rsidR="00E836FB" w:rsidRDefault="00E836FB">
            <w:pPr>
              <w:rPr>
                <w:rFonts w:ascii="宋体"/>
                <w:vanish/>
              </w:rPr>
            </w:pPr>
          </w:p>
        </w:tc>
        <w:tc>
          <w:tcPr>
            <w:tcW w:w="0" w:type="auto"/>
            <w:shd w:val="clear" w:color="auto" w:fill="auto"/>
            <w:vAlign w:val="bottom"/>
          </w:tcPr>
          <w:p w14:paraId="5F2CB59F" w14:textId="77777777" w:rsidR="00E836FB" w:rsidRDefault="00E836FB">
            <w:pPr>
              <w:rPr>
                <w:rFonts w:ascii="宋体"/>
                <w:vanish/>
              </w:rPr>
            </w:pPr>
          </w:p>
        </w:tc>
      </w:tr>
      <w:tr w:rsidR="00E836FB" w14:paraId="5F2CB5AC" w14:textId="77777777">
        <w:tc>
          <w:tcPr>
            <w:tcW w:w="0" w:type="auto"/>
            <w:gridSpan w:val="3"/>
            <w:shd w:val="clear" w:color="auto" w:fill="auto"/>
            <w:tcMar>
              <w:top w:w="0" w:type="dxa"/>
              <w:left w:w="20" w:type="dxa"/>
              <w:bottom w:w="0" w:type="dxa"/>
              <w:right w:w="20" w:type="dxa"/>
            </w:tcMar>
            <w:vAlign w:val="bottom"/>
          </w:tcPr>
          <w:p w14:paraId="5F2CB5A1"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B5A2"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5A3"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B5A4"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5A5"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B5A6"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vAlign w:val="bottom"/>
          </w:tcPr>
          <w:p w14:paraId="5F2CB5A7" w14:textId="77777777" w:rsidR="00E836FB" w:rsidRDefault="00E836FB">
            <w:pPr>
              <w:rPr>
                <w:rFonts w:ascii="宋体"/>
                <w:vanish/>
              </w:rPr>
            </w:pPr>
          </w:p>
        </w:tc>
        <w:tc>
          <w:tcPr>
            <w:tcW w:w="0" w:type="auto"/>
            <w:gridSpan w:val="3"/>
            <w:shd w:val="clear" w:color="auto" w:fill="auto"/>
            <w:vAlign w:val="bottom"/>
          </w:tcPr>
          <w:p w14:paraId="5F2CB5A8" w14:textId="77777777" w:rsidR="00E836FB" w:rsidRDefault="00E836FB">
            <w:pPr>
              <w:rPr>
                <w:rFonts w:ascii="宋体"/>
                <w:vanish/>
              </w:rPr>
            </w:pPr>
          </w:p>
        </w:tc>
        <w:tc>
          <w:tcPr>
            <w:tcW w:w="0" w:type="auto"/>
            <w:shd w:val="clear" w:color="auto" w:fill="auto"/>
            <w:vAlign w:val="bottom"/>
          </w:tcPr>
          <w:p w14:paraId="5F2CB5A9" w14:textId="77777777" w:rsidR="00E836FB" w:rsidRDefault="00E836FB">
            <w:pPr>
              <w:rPr>
                <w:rFonts w:ascii="宋体"/>
              </w:rPr>
            </w:pPr>
          </w:p>
        </w:tc>
        <w:tc>
          <w:tcPr>
            <w:tcW w:w="0" w:type="auto"/>
            <w:shd w:val="clear" w:color="auto" w:fill="auto"/>
            <w:vAlign w:val="bottom"/>
          </w:tcPr>
          <w:p w14:paraId="5F2CB5AA" w14:textId="77777777" w:rsidR="00E836FB" w:rsidRDefault="00E836FB">
            <w:pPr>
              <w:rPr>
                <w:rFonts w:ascii="宋体"/>
              </w:rPr>
            </w:pPr>
          </w:p>
        </w:tc>
        <w:tc>
          <w:tcPr>
            <w:tcW w:w="0" w:type="auto"/>
            <w:shd w:val="clear" w:color="auto" w:fill="auto"/>
            <w:vAlign w:val="bottom"/>
          </w:tcPr>
          <w:p w14:paraId="5F2CB5AB" w14:textId="77777777" w:rsidR="00E836FB" w:rsidRDefault="00E836FB">
            <w:pPr>
              <w:rPr>
                <w:rFonts w:ascii="宋体"/>
              </w:rPr>
            </w:pPr>
          </w:p>
        </w:tc>
      </w:tr>
      <w:tr w:rsidR="00E836FB" w14:paraId="5F2CB5C3" w14:textId="77777777">
        <w:tc>
          <w:tcPr>
            <w:tcW w:w="0" w:type="auto"/>
            <w:gridSpan w:val="3"/>
            <w:shd w:val="clear" w:color="auto" w:fill="FFFFFF"/>
            <w:tcMar>
              <w:top w:w="40" w:type="dxa"/>
              <w:left w:w="20" w:type="dxa"/>
              <w:bottom w:w="40" w:type="dxa"/>
              <w:right w:w="20" w:type="dxa"/>
            </w:tcMar>
            <w:vAlign w:val="bottom"/>
          </w:tcPr>
          <w:p w14:paraId="5F2CB5AD" w14:textId="77777777" w:rsidR="00E836FB" w:rsidRDefault="00994958">
            <w:pPr>
              <w:textAlignment w:val="bottom"/>
            </w:pPr>
            <w:r>
              <w:rPr>
                <w:rFonts w:ascii="Arial" w:eastAsia="宋体" w:hAnsi="Arial" w:cs="Arial"/>
                <w:b/>
                <w:bCs/>
                <w:color w:val="000000"/>
                <w:sz w:val="14"/>
                <w:szCs w:val="14"/>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AE"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B5AF"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0" w14:textId="77777777" w:rsidR="00E836FB" w:rsidRDefault="00994958">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B5B1"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2" w14:textId="77777777" w:rsidR="00E836FB" w:rsidRDefault="00994958">
            <w:pPr>
              <w:jc w:val="center"/>
              <w:textAlignment w:val="bottom"/>
            </w:pPr>
            <w:r>
              <w:rPr>
                <w:rFonts w:ascii="Arial" w:eastAsia="宋体" w:hAnsi="Arial" w:cs="Arial"/>
                <w:b/>
                <w:bCs/>
                <w:color w:val="000000"/>
                <w:sz w:val="14"/>
                <w:szCs w:val="14"/>
              </w:rPr>
              <w:t>Rate</w:t>
            </w:r>
          </w:p>
        </w:tc>
        <w:tc>
          <w:tcPr>
            <w:tcW w:w="0" w:type="auto"/>
            <w:gridSpan w:val="3"/>
            <w:shd w:val="clear" w:color="auto" w:fill="FFFFFF"/>
            <w:tcMar>
              <w:top w:w="0" w:type="dxa"/>
              <w:left w:w="20" w:type="dxa"/>
              <w:bottom w:w="0" w:type="dxa"/>
              <w:right w:w="20" w:type="dxa"/>
            </w:tcMar>
            <w:vAlign w:val="bottom"/>
          </w:tcPr>
          <w:p w14:paraId="5F2CB5B3"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4"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B5B5"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6" w14:textId="77777777" w:rsidR="00E836FB" w:rsidRDefault="00994958">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B5B7"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8" w14:textId="77777777" w:rsidR="00E836FB" w:rsidRDefault="00994958">
            <w:pPr>
              <w:jc w:val="center"/>
              <w:textAlignment w:val="bottom"/>
            </w:pPr>
            <w:r>
              <w:rPr>
                <w:rFonts w:ascii="Arial" w:eastAsia="宋体" w:hAnsi="Arial" w:cs="Arial"/>
                <w:b/>
                <w:bCs/>
                <w:color w:val="000000"/>
                <w:sz w:val="14"/>
                <w:szCs w:val="14"/>
              </w:rPr>
              <w:t>Rate</w:t>
            </w:r>
          </w:p>
        </w:tc>
        <w:tc>
          <w:tcPr>
            <w:tcW w:w="0" w:type="auto"/>
            <w:gridSpan w:val="3"/>
            <w:shd w:val="clear" w:color="auto" w:fill="FFFFFF"/>
            <w:tcMar>
              <w:top w:w="0" w:type="dxa"/>
              <w:left w:w="20" w:type="dxa"/>
              <w:bottom w:w="0" w:type="dxa"/>
              <w:right w:w="20" w:type="dxa"/>
            </w:tcMar>
            <w:vAlign w:val="bottom"/>
          </w:tcPr>
          <w:p w14:paraId="5F2CB5B9"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A"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B5BB"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C" w14:textId="77777777" w:rsidR="00E836FB" w:rsidRDefault="00994958">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t>Revenue/</w:t>
            </w:r>
            <w:r>
              <w:rPr>
                <w:rFonts w:ascii="Arial" w:eastAsia="宋体" w:hAnsi="Arial" w:cs="Arial"/>
                <w:b/>
                <w:bCs/>
                <w:color w:val="000000"/>
                <w:sz w:val="14"/>
                <w:szCs w:val="14"/>
              </w:rPr>
              <w:br/>
              <w:t>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B5BD"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B5BE" w14:textId="77777777" w:rsidR="00E836FB" w:rsidRDefault="00994958">
            <w:pPr>
              <w:jc w:val="center"/>
              <w:textAlignment w:val="bottom"/>
            </w:pPr>
            <w:r>
              <w:rPr>
                <w:rFonts w:ascii="Arial" w:eastAsia="宋体" w:hAnsi="Arial" w:cs="Arial"/>
                <w:b/>
                <w:bCs/>
                <w:color w:val="000000"/>
                <w:sz w:val="14"/>
                <w:szCs w:val="14"/>
              </w:rPr>
              <w:t>Rate</w:t>
            </w:r>
          </w:p>
        </w:tc>
        <w:tc>
          <w:tcPr>
            <w:tcW w:w="0" w:type="auto"/>
            <w:gridSpan w:val="3"/>
            <w:shd w:val="clear" w:color="auto" w:fill="auto"/>
            <w:vAlign w:val="bottom"/>
          </w:tcPr>
          <w:p w14:paraId="5F2CB5BF" w14:textId="77777777" w:rsidR="00E836FB" w:rsidRDefault="00E836FB">
            <w:pPr>
              <w:rPr>
                <w:rFonts w:ascii="宋体"/>
                <w:vanish/>
              </w:rPr>
            </w:pPr>
          </w:p>
        </w:tc>
        <w:tc>
          <w:tcPr>
            <w:tcW w:w="0" w:type="auto"/>
            <w:gridSpan w:val="3"/>
            <w:shd w:val="clear" w:color="auto" w:fill="auto"/>
            <w:vAlign w:val="bottom"/>
          </w:tcPr>
          <w:p w14:paraId="5F2CB5C0" w14:textId="77777777" w:rsidR="00E836FB" w:rsidRDefault="00E836FB">
            <w:pPr>
              <w:rPr>
                <w:rFonts w:ascii="宋体"/>
                <w:vanish/>
              </w:rPr>
            </w:pPr>
          </w:p>
        </w:tc>
        <w:tc>
          <w:tcPr>
            <w:tcW w:w="0" w:type="auto"/>
            <w:gridSpan w:val="2"/>
            <w:shd w:val="clear" w:color="auto" w:fill="auto"/>
            <w:vAlign w:val="bottom"/>
          </w:tcPr>
          <w:p w14:paraId="5F2CB5C1" w14:textId="77777777" w:rsidR="00E836FB" w:rsidRDefault="00E836FB">
            <w:pPr>
              <w:rPr>
                <w:rFonts w:ascii="宋体"/>
                <w:vanish/>
              </w:rPr>
            </w:pPr>
          </w:p>
        </w:tc>
        <w:tc>
          <w:tcPr>
            <w:tcW w:w="0" w:type="auto"/>
            <w:shd w:val="clear" w:color="auto" w:fill="auto"/>
            <w:vAlign w:val="bottom"/>
          </w:tcPr>
          <w:p w14:paraId="5F2CB5C2" w14:textId="77777777" w:rsidR="00E836FB" w:rsidRDefault="00E836FB">
            <w:pPr>
              <w:rPr>
                <w:rFonts w:ascii="宋体"/>
                <w:vanish/>
              </w:rPr>
            </w:pPr>
          </w:p>
        </w:tc>
      </w:tr>
      <w:tr w:rsidR="00994958" w14:paraId="5F2CB5E9" w14:textId="77777777">
        <w:tc>
          <w:tcPr>
            <w:tcW w:w="0" w:type="auto"/>
            <w:gridSpan w:val="3"/>
            <w:shd w:val="clear" w:color="auto" w:fill="CCEEFF"/>
            <w:tcMar>
              <w:top w:w="40" w:type="dxa"/>
              <w:left w:w="20" w:type="dxa"/>
              <w:bottom w:w="40" w:type="dxa"/>
              <w:right w:w="20" w:type="dxa"/>
            </w:tcMar>
            <w:vAlign w:val="bottom"/>
          </w:tcPr>
          <w:p w14:paraId="5F2CB5C4" w14:textId="77777777" w:rsidR="00E836FB" w:rsidRDefault="00994958">
            <w:pPr>
              <w:textAlignment w:val="bottom"/>
            </w:pPr>
            <w:r>
              <w:rPr>
                <w:rFonts w:ascii="Arial" w:eastAsia="宋体" w:hAnsi="Arial" w:cs="Arial"/>
                <w:color w:val="000000"/>
                <w:sz w:val="14"/>
                <w:szCs w:val="14"/>
              </w:rPr>
              <w:t>Interest-bearing deposits with banks</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B5C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5C6" w14:textId="77777777" w:rsidR="00E836FB" w:rsidRDefault="00994958">
            <w:pPr>
              <w:jc w:val="right"/>
              <w:textAlignment w:val="bottom"/>
            </w:pPr>
            <w:r>
              <w:rPr>
                <w:rFonts w:ascii="Arial" w:eastAsia="宋体" w:hAnsi="Arial" w:cs="Arial"/>
                <w:b/>
                <w:bCs/>
                <w:color w:val="000000"/>
                <w:sz w:val="14"/>
                <w:szCs w:val="14"/>
              </w:rPr>
              <w:t>89,996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5C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5C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5CA" w14:textId="77777777" w:rsidR="00E836FB" w:rsidRDefault="00994958">
            <w:pPr>
              <w:jc w:val="right"/>
              <w:textAlignment w:val="bottom"/>
            </w:pPr>
            <w:r>
              <w:rPr>
                <w:rFonts w:ascii="Arial" w:eastAsia="宋体" w:hAnsi="Arial" w:cs="Arial"/>
                <w:b/>
                <w:bCs/>
                <w:color w:val="000000"/>
                <w:sz w:val="14"/>
                <w:szCs w:val="14"/>
              </w:rPr>
              <w:t>(15)</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5C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5CD" w14:textId="77777777" w:rsidR="00E836FB" w:rsidRDefault="00994958">
            <w:pPr>
              <w:jc w:val="right"/>
              <w:textAlignment w:val="bottom"/>
            </w:pPr>
            <w:r>
              <w:rPr>
                <w:rFonts w:ascii="Arial" w:eastAsia="宋体" w:hAnsi="Arial" w:cs="Arial"/>
                <w:b/>
                <w:bCs/>
                <w:color w:val="000000"/>
                <w:sz w:val="14"/>
                <w:szCs w:val="14"/>
              </w:rPr>
              <w:t>(.02)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CE"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B5C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5D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5D1" w14:textId="77777777" w:rsidR="00E836FB" w:rsidRDefault="00994958">
            <w:pPr>
              <w:jc w:val="right"/>
              <w:textAlignment w:val="bottom"/>
            </w:pPr>
            <w:r>
              <w:rPr>
                <w:rFonts w:ascii="Arial" w:eastAsia="宋体" w:hAnsi="Arial" w:cs="Arial"/>
                <w:color w:val="000000"/>
                <w:sz w:val="14"/>
                <w:szCs w:val="14"/>
              </w:rPr>
              <w:t>76,588 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5D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5D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5D5" w14:textId="77777777" w:rsidR="00E836FB" w:rsidRDefault="00994958">
            <w:pPr>
              <w:jc w:val="right"/>
              <w:textAlignment w:val="bottom"/>
            </w:pPr>
            <w:r>
              <w:rPr>
                <w:rFonts w:ascii="Arial" w:eastAsia="宋体" w:hAnsi="Arial" w:cs="Arial"/>
                <w:color w:val="000000"/>
                <w:sz w:val="14"/>
                <w:szCs w:val="14"/>
              </w:rPr>
              <w:t>76 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5D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5D8" w14:textId="77777777" w:rsidR="00E836FB" w:rsidRDefault="00994958">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D9"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B5D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5D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5DC" w14:textId="77777777" w:rsidR="00E836FB" w:rsidRDefault="00994958">
            <w:pPr>
              <w:jc w:val="right"/>
              <w:textAlignment w:val="bottom"/>
            </w:pPr>
            <w:r>
              <w:rPr>
                <w:rFonts w:ascii="Arial" w:eastAsia="宋体" w:hAnsi="Arial" w:cs="Arial"/>
                <w:color w:val="000000"/>
                <w:sz w:val="14"/>
                <w:szCs w:val="14"/>
              </w:rPr>
              <w:t>48,500 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D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5D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5D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5E0" w14:textId="77777777" w:rsidR="00E836FB" w:rsidRDefault="00994958">
            <w:pPr>
              <w:jc w:val="right"/>
              <w:textAlignment w:val="bottom"/>
            </w:pPr>
            <w:r>
              <w:rPr>
                <w:rFonts w:ascii="Arial" w:eastAsia="宋体" w:hAnsi="Arial" w:cs="Arial"/>
                <w:color w:val="000000"/>
                <w:sz w:val="14"/>
                <w:szCs w:val="14"/>
              </w:rPr>
              <w:t>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5E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5E3" w14:textId="77777777" w:rsidR="00E836FB" w:rsidRDefault="00994958">
            <w:pPr>
              <w:jc w:val="right"/>
              <w:textAlignment w:val="bottom"/>
            </w:pPr>
            <w:r>
              <w:rPr>
                <w:rFonts w:ascii="Arial" w:eastAsia="宋体" w:hAnsi="Arial" w:cs="Arial"/>
                <w:color w:val="000000"/>
                <w:sz w:val="14"/>
                <w:szCs w:val="14"/>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5E4"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B5E5" w14:textId="77777777" w:rsidR="00E836FB" w:rsidRDefault="00E836FB">
            <w:pPr>
              <w:rPr>
                <w:rFonts w:ascii="宋体"/>
                <w:vanish/>
              </w:rPr>
            </w:pPr>
          </w:p>
        </w:tc>
        <w:tc>
          <w:tcPr>
            <w:tcW w:w="0" w:type="auto"/>
            <w:gridSpan w:val="3"/>
            <w:shd w:val="clear" w:color="auto" w:fill="auto"/>
            <w:vAlign w:val="bottom"/>
          </w:tcPr>
          <w:p w14:paraId="5F2CB5E6" w14:textId="77777777" w:rsidR="00E836FB" w:rsidRDefault="00E836FB">
            <w:pPr>
              <w:rPr>
                <w:rFonts w:ascii="宋体"/>
                <w:vanish/>
              </w:rPr>
            </w:pPr>
          </w:p>
        </w:tc>
        <w:tc>
          <w:tcPr>
            <w:tcW w:w="0" w:type="auto"/>
            <w:gridSpan w:val="2"/>
            <w:shd w:val="clear" w:color="auto" w:fill="auto"/>
            <w:vAlign w:val="bottom"/>
          </w:tcPr>
          <w:p w14:paraId="5F2CB5E7" w14:textId="77777777" w:rsidR="00E836FB" w:rsidRDefault="00E836FB">
            <w:pPr>
              <w:rPr>
                <w:rFonts w:ascii="宋体"/>
                <w:vanish/>
              </w:rPr>
            </w:pPr>
          </w:p>
        </w:tc>
        <w:tc>
          <w:tcPr>
            <w:tcW w:w="0" w:type="auto"/>
            <w:shd w:val="clear" w:color="auto" w:fill="auto"/>
            <w:vAlign w:val="bottom"/>
          </w:tcPr>
          <w:p w14:paraId="5F2CB5E8" w14:textId="77777777" w:rsidR="00E836FB" w:rsidRDefault="00E836FB">
            <w:pPr>
              <w:rPr>
                <w:rFonts w:ascii="宋体"/>
                <w:vanish/>
              </w:rPr>
            </w:pPr>
          </w:p>
        </w:tc>
      </w:tr>
      <w:tr w:rsidR="00E836FB" w14:paraId="5F2CB609" w14:textId="77777777">
        <w:tc>
          <w:tcPr>
            <w:tcW w:w="0" w:type="auto"/>
            <w:gridSpan w:val="3"/>
            <w:shd w:val="clear" w:color="auto" w:fill="FFFFFF"/>
            <w:tcMar>
              <w:top w:w="40" w:type="dxa"/>
              <w:left w:w="20" w:type="dxa"/>
              <w:bottom w:w="40" w:type="dxa"/>
              <w:right w:w="20" w:type="dxa"/>
            </w:tcMar>
            <w:vAlign w:val="bottom"/>
          </w:tcPr>
          <w:p w14:paraId="5F2CB5EA" w14:textId="77777777" w:rsidR="00E836FB" w:rsidRDefault="00994958">
            <w:pPr>
              <w:textAlignment w:val="bottom"/>
            </w:pPr>
            <w:r>
              <w:rPr>
                <w:rFonts w:ascii="Arial" w:eastAsia="宋体" w:hAnsi="Arial" w:cs="Arial"/>
                <w:color w:val="000000"/>
                <w:sz w:val="14"/>
                <w:szCs w:val="14"/>
              </w:rPr>
              <w:t>Securities purchased under resale agreements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CB5EB" w14:textId="77777777" w:rsidR="00E836FB" w:rsidRDefault="00994958">
            <w:pPr>
              <w:jc w:val="right"/>
              <w:textAlignment w:val="bottom"/>
            </w:pPr>
            <w:r>
              <w:rPr>
                <w:rFonts w:ascii="Arial" w:eastAsia="宋体" w:hAnsi="Arial" w:cs="Arial"/>
                <w:b/>
                <w:bCs/>
                <w:color w:val="000000"/>
                <w:sz w:val="14"/>
                <w:szCs w:val="14"/>
              </w:rPr>
              <w:t>4,193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5E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5E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5EE" w14:textId="77777777" w:rsidR="00E836FB" w:rsidRDefault="00994958">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5E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5F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5F1" w14:textId="77777777" w:rsidR="00E836FB" w:rsidRDefault="00994958">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5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5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5F4" w14:textId="77777777" w:rsidR="00E836FB" w:rsidRDefault="00994958">
            <w:pPr>
              <w:jc w:val="right"/>
              <w:textAlignment w:val="bottom"/>
            </w:pPr>
            <w:r>
              <w:rPr>
                <w:rFonts w:ascii="Arial" w:eastAsia="宋体" w:hAnsi="Arial" w:cs="Arial"/>
                <w:color w:val="000000"/>
                <w:sz w:val="14"/>
                <w:szCs w:val="14"/>
              </w:rPr>
              <w:t>3,452 </w:t>
            </w:r>
          </w:p>
        </w:tc>
        <w:tc>
          <w:tcPr>
            <w:tcW w:w="0" w:type="auto"/>
            <w:shd w:val="clear" w:color="auto" w:fill="FFFFFF"/>
            <w:tcMar>
              <w:top w:w="40" w:type="dxa"/>
              <w:left w:w="0" w:type="dxa"/>
              <w:bottom w:w="40" w:type="dxa"/>
              <w:right w:w="20" w:type="dxa"/>
            </w:tcMar>
            <w:vAlign w:val="bottom"/>
          </w:tcPr>
          <w:p w14:paraId="5F2CB5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5F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5F7" w14:textId="77777777" w:rsidR="00E836FB" w:rsidRDefault="00994958">
            <w:pPr>
              <w:jc w:val="right"/>
              <w:textAlignment w:val="bottom"/>
            </w:pPr>
            <w:r>
              <w:rPr>
                <w:rFonts w:ascii="Arial" w:eastAsia="宋体" w:hAnsi="Arial" w:cs="Arial"/>
                <w:color w:val="000000"/>
                <w:sz w:val="14"/>
                <w:szCs w:val="14"/>
              </w:rPr>
              <w:t>126 </w:t>
            </w:r>
          </w:p>
        </w:tc>
        <w:tc>
          <w:tcPr>
            <w:tcW w:w="0" w:type="auto"/>
            <w:shd w:val="clear" w:color="auto" w:fill="FFFFFF"/>
            <w:tcMar>
              <w:top w:w="40" w:type="dxa"/>
              <w:left w:w="0" w:type="dxa"/>
              <w:bottom w:w="40" w:type="dxa"/>
              <w:right w:w="20" w:type="dxa"/>
            </w:tcMar>
            <w:vAlign w:val="bottom"/>
          </w:tcPr>
          <w:p w14:paraId="5F2CB5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5F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5FA" w14:textId="77777777" w:rsidR="00E836FB" w:rsidRDefault="00994958">
            <w:pPr>
              <w:jc w:val="right"/>
              <w:textAlignment w:val="bottom"/>
            </w:pPr>
            <w:r>
              <w:rPr>
                <w:rFonts w:ascii="Arial" w:eastAsia="宋体" w:hAnsi="Arial" w:cs="Arial"/>
                <w:color w:val="000000"/>
                <w:sz w:val="14"/>
                <w:szCs w:val="14"/>
              </w:rPr>
              <w:t>3.64 </w:t>
            </w:r>
          </w:p>
        </w:tc>
        <w:tc>
          <w:tcPr>
            <w:tcW w:w="0" w:type="auto"/>
            <w:shd w:val="clear" w:color="auto" w:fill="FFFFFF"/>
            <w:tcMar>
              <w:top w:w="40" w:type="dxa"/>
              <w:left w:w="0" w:type="dxa"/>
              <w:bottom w:w="40" w:type="dxa"/>
              <w:right w:w="20" w:type="dxa"/>
            </w:tcMar>
            <w:vAlign w:val="bottom"/>
          </w:tcPr>
          <w:p w14:paraId="5F2CB5F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5F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5FD" w14:textId="77777777" w:rsidR="00E836FB" w:rsidRDefault="00994958">
            <w:pPr>
              <w:jc w:val="right"/>
              <w:textAlignment w:val="bottom"/>
            </w:pPr>
            <w:r>
              <w:rPr>
                <w:rFonts w:ascii="Arial" w:eastAsia="宋体" w:hAnsi="Arial" w:cs="Arial"/>
                <w:color w:val="000000"/>
                <w:sz w:val="14"/>
                <w:szCs w:val="14"/>
              </w:rPr>
              <w:t>2,506 </w:t>
            </w:r>
          </w:p>
        </w:tc>
        <w:tc>
          <w:tcPr>
            <w:tcW w:w="0" w:type="auto"/>
            <w:shd w:val="clear" w:color="auto" w:fill="FFFFFF"/>
            <w:tcMar>
              <w:top w:w="40" w:type="dxa"/>
              <w:left w:w="0" w:type="dxa"/>
              <w:bottom w:w="40" w:type="dxa"/>
              <w:right w:w="20" w:type="dxa"/>
            </w:tcMar>
            <w:vAlign w:val="bottom"/>
          </w:tcPr>
          <w:p w14:paraId="5F2CB5F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5F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00" w14:textId="77777777" w:rsidR="00E836FB" w:rsidRDefault="00994958">
            <w:pPr>
              <w:jc w:val="right"/>
              <w:textAlignment w:val="bottom"/>
            </w:pPr>
            <w:r>
              <w:rPr>
                <w:rFonts w:ascii="Arial" w:eastAsia="宋体" w:hAnsi="Arial" w:cs="Arial"/>
                <w:color w:val="000000"/>
                <w:sz w:val="14"/>
                <w:szCs w:val="14"/>
              </w:rPr>
              <w:t>364 </w:t>
            </w:r>
          </w:p>
        </w:tc>
        <w:tc>
          <w:tcPr>
            <w:tcW w:w="0" w:type="auto"/>
            <w:shd w:val="clear" w:color="auto" w:fill="FFFFFF"/>
            <w:tcMar>
              <w:top w:w="40" w:type="dxa"/>
              <w:left w:w="0" w:type="dxa"/>
              <w:bottom w:w="40" w:type="dxa"/>
              <w:right w:w="20" w:type="dxa"/>
            </w:tcMar>
            <w:vAlign w:val="bottom"/>
          </w:tcPr>
          <w:p w14:paraId="5F2CB60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0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03" w14:textId="77777777" w:rsidR="00E836FB" w:rsidRDefault="00994958">
            <w:pPr>
              <w:jc w:val="right"/>
              <w:textAlignment w:val="bottom"/>
            </w:pPr>
            <w:r>
              <w:rPr>
                <w:rFonts w:ascii="Arial" w:eastAsia="宋体" w:hAnsi="Arial" w:cs="Arial"/>
                <w:color w:val="000000"/>
                <w:sz w:val="14"/>
                <w:szCs w:val="14"/>
              </w:rPr>
              <w:t>14.54 </w:t>
            </w:r>
          </w:p>
        </w:tc>
        <w:tc>
          <w:tcPr>
            <w:tcW w:w="0" w:type="auto"/>
            <w:shd w:val="clear" w:color="auto" w:fill="FFFFFF"/>
            <w:tcMar>
              <w:top w:w="40" w:type="dxa"/>
              <w:left w:w="0" w:type="dxa"/>
              <w:bottom w:w="40" w:type="dxa"/>
              <w:right w:w="20" w:type="dxa"/>
            </w:tcMar>
            <w:vAlign w:val="bottom"/>
          </w:tcPr>
          <w:p w14:paraId="5F2CB604" w14:textId="77777777" w:rsidR="00E836FB" w:rsidRDefault="00E836FB">
            <w:pPr>
              <w:jc w:val="right"/>
              <w:rPr>
                <w:rFonts w:ascii="宋体"/>
              </w:rPr>
            </w:pPr>
          </w:p>
        </w:tc>
        <w:tc>
          <w:tcPr>
            <w:tcW w:w="0" w:type="auto"/>
            <w:gridSpan w:val="3"/>
            <w:shd w:val="clear" w:color="auto" w:fill="auto"/>
            <w:vAlign w:val="bottom"/>
          </w:tcPr>
          <w:p w14:paraId="5F2CB605" w14:textId="77777777" w:rsidR="00E836FB" w:rsidRDefault="00E836FB">
            <w:pPr>
              <w:rPr>
                <w:rFonts w:ascii="宋体"/>
                <w:vanish/>
              </w:rPr>
            </w:pPr>
          </w:p>
        </w:tc>
        <w:tc>
          <w:tcPr>
            <w:tcW w:w="0" w:type="auto"/>
            <w:gridSpan w:val="3"/>
            <w:shd w:val="clear" w:color="auto" w:fill="auto"/>
            <w:vAlign w:val="bottom"/>
          </w:tcPr>
          <w:p w14:paraId="5F2CB606" w14:textId="77777777" w:rsidR="00E836FB" w:rsidRDefault="00E836FB">
            <w:pPr>
              <w:rPr>
                <w:rFonts w:ascii="宋体"/>
                <w:vanish/>
              </w:rPr>
            </w:pPr>
          </w:p>
        </w:tc>
        <w:tc>
          <w:tcPr>
            <w:tcW w:w="0" w:type="auto"/>
            <w:gridSpan w:val="2"/>
            <w:shd w:val="clear" w:color="auto" w:fill="auto"/>
            <w:vAlign w:val="bottom"/>
          </w:tcPr>
          <w:p w14:paraId="5F2CB607" w14:textId="77777777" w:rsidR="00E836FB" w:rsidRDefault="00E836FB">
            <w:pPr>
              <w:rPr>
                <w:rFonts w:ascii="宋体"/>
                <w:vanish/>
              </w:rPr>
            </w:pPr>
          </w:p>
        </w:tc>
        <w:tc>
          <w:tcPr>
            <w:tcW w:w="0" w:type="auto"/>
            <w:shd w:val="clear" w:color="auto" w:fill="auto"/>
            <w:vAlign w:val="bottom"/>
          </w:tcPr>
          <w:p w14:paraId="5F2CB608" w14:textId="77777777" w:rsidR="00E836FB" w:rsidRDefault="00E836FB">
            <w:pPr>
              <w:rPr>
                <w:rFonts w:ascii="宋体"/>
                <w:vanish/>
              </w:rPr>
            </w:pPr>
          </w:p>
        </w:tc>
      </w:tr>
      <w:tr w:rsidR="00E836FB" w14:paraId="5F2CB629" w14:textId="77777777">
        <w:tc>
          <w:tcPr>
            <w:tcW w:w="0" w:type="auto"/>
            <w:gridSpan w:val="3"/>
            <w:shd w:val="clear" w:color="auto" w:fill="CCEEFF"/>
            <w:tcMar>
              <w:top w:w="40" w:type="dxa"/>
              <w:left w:w="20" w:type="dxa"/>
              <w:bottom w:w="40" w:type="dxa"/>
              <w:right w:w="20" w:type="dxa"/>
            </w:tcMar>
            <w:vAlign w:val="bottom"/>
          </w:tcPr>
          <w:p w14:paraId="5F2CB60A" w14:textId="77777777" w:rsidR="00E836FB" w:rsidRDefault="00994958">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5F2CB60B" w14:textId="77777777" w:rsidR="00E836FB" w:rsidRDefault="00994958">
            <w:pPr>
              <w:jc w:val="right"/>
              <w:textAlignment w:val="bottom"/>
            </w:pPr>
            <w:r>
              <w:rPr>
                <w:rFonts w:ascii="Arial" w:eastAsia="宋体" w:hAnsi="Arial" w:cs="Arial"/>
                <w:b/>
                <w:bCs/>
                <w:color w:val="000000"/>
                <w:sz w:val="14"/>
                <w:szCs w:val="14"/>
              </w:rPr>
              <w:t>752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0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11" w14:textId="77777777" w:rsidR="00E836FB" w:rsidRDefault="00994958">
            <w:pPr>
              <w:jc w:val="right"/>
              <w:textAlignment w:val="bottom"/>
            </w:pPr>
            <w:r>
              <w:rPr>
                <w:rFonts w:ascii="Arial" w:eastAsia="宋体" w:hAnsi="Arial" w:cs="Arial"/>
                <w:b/>
                <w:bCs/>
                <w:color w:val="000000"/>
                <w:sz w:val="14"/>
                <w:szCs w:val="14"/>
              </w:rPr>
              <w:t>.01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14" w14:textId="77777777" w:rsidR="00E836FB" w:rsidRDefault="00994958">
            <w:pPr>
              <w:jc w:val="right"/>
              <w:textAlignment w:val="bottom"/>
            </w:pPr>
            <w:r>
              <w:rPr>
                <w:rFonts w:ascii="Arial" w:eastAsia="宋体" w:hAnsi="Arial" w:cs="Arial"/>
                <w:color w:val="000000"/>
                <w:sz w:val="14"/>
                <w:szCs w:val="14"/>
              </w:rPr>
              <w:t>878 </w:t>
            </w:r>
          </w:p>
        </w:tc>
        <w:tc>
          <w:tcPr>
            <w:tcW w:w="0" w:type="auto"/>
            <w:shd w:val="clear" w:color="auto" w:fill="CCEEFF"/>
            <w:tcMar>
              <w:top w:w="40" w:type="dxa"/>
              <w:left w:w="0" w:type="dxa"/>
              <w:bottom w:w="40" w:type="dxa"/>
              <w:right w:w="20" w:type="dxa"/>
            </w:tcMar>
            <w:vAlign w:val="bottom"/>
          </w:tcPr>
          <w:p w14:paraId="5F2CB6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1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1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1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1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1D" w14:textId="77777777" w:rsidR="00E836FB" w:rsidRDefault="00994958">
            <w:pPr>
              <w:jc w:val="right"/>
              <w:textAlignment w:val="bottom"/>
            </w:pPr>
            <w:r>
              <w:rPr>
                <w:rFonts w:ascii="Arial" w:eastAsia="宋体" w:hAnsi="Arial" w:cs="Arial"/>
                <w:color w:val="000000"/>
                <w:sz w:val="14"/>
                <w:szCs w:val="14"/>
              </w:rPr>
              <w:t>884 </w:t>
            </w:r>
          </w:p>
        </w:tc>
        <w:tc>
          <w:tcPr>
            <w:tcW w:w="0" w:type="auto"/>
            <w:shd w:val="clear" w:color="auto" w:fill="CCEEFF"/>
            <w:tcMar>
              <w:top w:w="40" w:type="dxa"/>
              <w:left w:w="0" w:type="dxa"/>
              <w:bottom w:w="40" w:type="dxa"/>
              <w:right w:w="20" w:type="dxa"/>
            </w:tcMar>
            <w:vAlign w:val="bottom"/>
          </w:tcPr>
          <w:p w14:paraId="5F2CB6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1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20"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F2CB62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2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23" w14:textId="77777777" w:rsidR="00E836FB" w:rsidRDefault="00994958">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5F2CB624" w14:textId="77777777" w:rsidR="00E836FB" w:rsidRDefault="00E836FB">
            <w:pPr>
              <w:jc w:val="right"/>
              <w:rPr>
                <w:rFonts w:ascii="宋体"/>
              </w:rPr>
            </w:pPr>
          </w:p>
        </w:tc>
        <w:tc>
          <w:tcPr>
            <w:tcW w:w="0" w:type="auto"/>
            <w:gridSpan w:val="3"/>
            <w:shd w:val="clear" w:color="auto" w:fill="auto"/>
            <w:vAlign w:val="bottom"/>
          </w:tcPr>
          <w:p w14:paraId="5F2CB625" w14:textId="77777777" w:rsidR="00E836FB" w:rsidRDefault="00E836FB">
            <w:pPr>
              <w:rPr>
                <w:rFonts w:ascii="宋体"/>
                <w:vanish/>
              </w:rPr>
            </w:pPr>
          </w:p>
        </w:tc>
        <w:tc>
          <w:tcPr>
            <w:tcW w:w="0" w:type="auto"/>
            <w:gridSpan w:val="3"/>
            <w:shd w:val="clear" w:color="auto" w:fill="auto"/>
            <w:vAlign w:val="bottom"/>
          </w:tcPr>
          <w:p w14:paraId="5F2CB626" w14:textId="77777777" w:rsidR="00E836FB" w:rsidRDefault="00E836FB">
            <w:pPr>
              <w:rPr>
                <w:rFonts w:ascii="宋体"/>
                <w:vanish/>
              </w:rPr>
            </w:pPr>
          </w:p>
        </w:tc>
        <w:tc>
          <w:tcPr>
            <w:tcW w:w="0" w:type="auto"/>
            <w:gridSpan w:val="2"/>
            <w:shd w:val="clear" w:color="auto" w:fill="auto"/>
            <w:vAlign w:val="bottom"/>
          </w:tcPr>
          <w:p w14:paraId="5F2CB627" w14:textId="77777777" w:rsidR="00E836FB" w:rsidRDefault="00E836FB">
            <w:pPr>
              <w:rPr>
                <w:rFonts w:ascii="宋体"/>
                <w:vanish/>
              </w:rPr>
            </w:pPr>
          </w:p>
        </w:tc>
        <w:tc>
          <w:tcPr>
            <w:tcW w:w="0" w:type="auto"/>
            <w:shd w:val="clear" w:color="auto" w:fill="auto"/>
            <w:vAlign w:val="bottom"/>
          </w:tcPr>
          <w:p w14:paraId="5F2CB628" w14:textId="77777777" w:rsidR="00E836FB" w:rsidRDefault="00E836FB">
            <w:pPr>
              <w:rPr>
                <w:rFonts w:ascii="宋体"/>
                <w:vanish/>
              </w:rPr>
            </w:pPr>
          </w:p>
        </w:tc>
      </w:tr>
      <w:tr w:rsidR="00E836FB" w14:paraId="5F2CB640" w14:textId="77777777">
        <w:tc>
          <w:tcPr>
            <w:tcW w:w="0" w:type="auto"/>
            <w:gridSpan w:val="3"/>
            <w:shd w:val="clear" w:color="auto" w:fill="FFFFFF"/>
            <w:tcMar>
              <w:top w:w="40" w:type="dxa"/>
              <w:left w:w="20" w:type="dxa"/>
              <w:bottom w:w="40" w:type="dxa"/>
              <w:right w:w="20" w:type="dxa"/>
            </w:tcMar>
            <w:vAlign w:val="bottom"/>
          </w:tcPr>
          <w:p w14:paraId="5F2CB62A" w14:textId="77777777" w:rsidR="00E836FB" w:rsidRDefault="00994958">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5F2CB62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2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2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2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2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63B" w14:textId="77777777" w:rsidR="00E836FB" w:rsidRDefault="00E836FB">
            <w:pPr>
              <w:rPr>
                <w:rFonts w:ascii="宋体"/>
              </w:rPr>
            </w:pPr>
          </w:p>
        </w:tc>
        <w:tc>
          <w:tcPr>
            <w:tcW w:w="0" w:type="auto"/>
            <w:gridSpan w:val="3"/>
            <w:shd w:val="clear" w:color="auto" w:fill="auto"/>
            <w:vAlign w:val="bottom"/>
          </w:tcPr>
          <w:p w14:paraId="5F2CB63C" w14:textId="77777777" w:rsidR="00E836FB" w:rsidRDefault="00E836FB">
            <w:pPr>
              <w:rPr>
                <w:rFonts w:ascii="宋体"/>
                <w:vanish/>
              </w:rPr>
            </w:pPr>
          </w:p>
        </w:tc>
        <w:tc>
          <w:tcPr>
            <w:tcW w:w="0" w:type="auto"/>
            <w:gridSpan w:val="3"/>
            <w:shd w:val="clear" w:color="auto" w:fill="auto"/>
            <w:vAlign w:val="bottom"/>
          </w:tcPr>
          <w:p w14:paraId="5F2CB63D" w14:textId="77777777" w:rsidR="00E836FB" w:rsidRDefault="00E836FB">
            <w:pPr>
              <w:rPr>
                <w:rFonts w:ascii="宋体"/>
                <w:vanish/>
              </w:rPr>
            </w:pPr>
          </w:p>
        </w:tc>
        <w:tc>
          <w:tcPr>
            <w:tcW w:w="0" w:type="auto"/>
            <w:gridSpan w:val="2"/>
            <w:shd w:val="clear" w:color="auto" w:fill="auto"/>
            <w:vAlign w:val="bottom"/>
          </w:tcPr>
          <w:p w14:paraId="5F2CB63E" w14:textId="77777777" w:rsidR="00E836FB" w:rsidRDefault="00E836FB">
            <w:pPr>
              <w:rPr>
                <w:rFonts w:ascii="宋体"/>
                <w:vanish/>
              </w:rPr>
            </w:pPr>
          </w:p>
        </w:tc>
        <w:tc>
          <w:tcPr>
            <w:tcW w:w="0" w:type="auto"/>
            <w:shd w:val="clear" w:color="auto" w:fill="auto"/>
            <w:vAlign w:val="bottom"/>
          </w:tcPr>
          <w:p w14:paraId="5F2CB63F" w14:textId="77777777" w:rsidR="00E836FB" w:rsidRDefault="00E836FB">
            <w:pPr>
              <w:rPr>
                <w:rFonts w:ascii="宋体"/>
                <w:vanish/>
              </w:rPr>
            </w:pPr>
          </w:p>
        </w:tc>
      </w:tr>
      <w:tr w:rsidR="00E836FB" w14:paraId="5F2CB660" w14:textId="77777777">
        <w:tc>
          <w:tcPr>
            <w:tcW w:w="0" w:type="auto"/>
            <w:gridSpan w:val="3"/>
            <w:shd w:val="clear" w:color="auto" w:fill="CCEEFF"/>
            <w:tcMar>
              <w:top w:w="40" w:type="dxa"/>
              <w:left w:w="140" w:type="dxa"/>
              <w:bottom w:w="40" w:type="dxa"/>
              <w:right w:w="20" w:type="dxa"/>
            </w:tcMar>
            <w:vAlign w:val="bottom"/>
          </w:tcPr>
          <w:p w14:paraId="5F2CB641" w14:textId="77777777" w:rsidR="00E836FB" w:rsidRDefault="00994958">
            <w:pPr>
              <w:textAlignment w:val="bottom"/>
            </w:pPr>
            <w:r>
              <w:rPr>
                <w:rFonts w:ascii="Arial" w:eastAsia="宋体" w:hAnsi="Arial" w:cs="Arial"/>
                <w:color w:val="000000"/>
                <w:sz w:val="14"/>
                <w:szCs w:val="14"/>
              </w:rPr>
              <w:t>Investment securities available for sale</w:t>
            </w:r>
          </w:p>
        </w:tc>
        <w:tc>
          <w:tcPr>
            <w:tcW w:w="0" w:type="auto"/>
            <w:gridSpan w:val="2"/>
            <w:shd w:val="clear" w:color="auto" w:fill="CCEEFF"/>
            <w:tcMar>
              <w:top w:w="40" w:type="dxa"/>
              <w:left w:w="20" w:type="dxa"/>
              <w:bottom w:w="40" w:type="dxa"/>
              <w:right w:w="0" w:type="dxa"/>
            </w:tcMar>
            <w:vAlign w:val="bottom"/>
          </w:tcPr>
          <w:p w14:paraId="5F2CB642" w14:textId="77777777" w:rsidR="00E836FB" w:rsidRDefault="00994958">
            <w:pPr>
              <w:jc w:val="right"/>
              <w:textAlignment w:val="bottom"/>
            </w:pPr>
            <w:r>
              <w:rPr>
                <w:rFonts w:ascii="Arial" w:eastAsia="宋体" w:hAnsi="Arial" w:cs="Arial"/>
                <w:b/>
                <w:bCs/>
                <w:color w:val="000000"/>
                <w:sz w:val="14"/>
                <w:szCs w:val="14"/>
              </w:rPr>
              <w:t>66,584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4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45" w14:textId="77777777" w:rsidR="00E836FB" w:rsidRDefault="00994958">
            <w:pPr>
              <w:jc w:val="right"/>
              <w:textAlignment w:val="bottom"/>
            </w:pPr>
            <w:r>
              <w:rPr>
                <w:rFonts w:ascii="Arial" w:eastAsia="宋体" w:hAnsi="Arial" w:cs="Arial"/>
                <w:b/>
                <w:bCs/>
                <w:color w:val="000000"/>
                <w:sz w:val="14"/>
                <w:szCs w:val="14"/>
              </w:rPr>
              <w:t>583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4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48" w14:textId="77777777" w:rsidR="00E836FB" w:rsidRDefault="00994958">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4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4B" w14:textId="77777777" w:rsidR="00E836FB" w:rsidRDefault="00994958">
            <w:pPr>
              <w:jc w:val="right"/>
              <w:textAlignment w:val="bottom"/>
            </w:pPr>
            <w:r>
              <w:rPr>
                <w:rFonts w:ascii="Arial" w:eastAsia="宋体" w:hAnsi="Arial" w:cs="Arial"/>
                <w:color w:val="000000"/>
                <w:sz w:val="14"/>
                <w:szCs w:val="14"/>
              </w:rPr>
              <w:t>58,036 </w:t>
            </w:r>
          </w:p>
        </w:tc>
        <w:tc>
          <w:tcPr>
            <w:tcW w:w="0" w:type="auto"/>
            <w:shd w:val="clear" w:color="auto" w:fill="CCEEFF"/>
            <w:tcMar>
              <w:top w:w="40" w:type="dxa"/>
              <w:left w:w="0" w:type="dxa"/>
              <w:bottom w:w="40" w:type="dxa"/>
              <w:right w:w="20" w:type="dxa"/>
            </w:tcMar>
            <w:vAlign w:val="bottom"/>
          </w:tcPr>
          <w:p w14:paraId="5F2CB6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4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4E" w14:textId="77777777" w:rsidR="00E836FB" w:rsidRDefault="00994958">
            <w:pPr>
              <w:jc w:val="right"/>
              <w:textAlignment w:val="bottom"/>
            </w:pPr>
            <w:r>
              <w:rPr>
                <w:rFonts w:ascii="Arial" w:eastAsia="宋体" w:hAnsi="Arial" w:cs="Arial"/>
                <w:color w:val="000000"/>
                <w:sz w:val="14"/>
                <w:szCs w:val="14"/>
              </w:rPr>
              <w:t>761 </w:t>
            </w:r>
          </w:p>
        </w:tc>
        <w:tc>
          <w:tcPr>
            <w:tcW w:w="0" w:type="auto"/>
            <w:shd w:val="clear" w:color="auto" w:fill="CCEEFF"/>
            <w:tcMar>
              <w:top w:w="40" w:type="dxa"/>
              <w:left w:w="0" w:type="dxa"/>
              <w:bottom w:w="40" w:type="dxa"/>
              <w:right w:w="20" w:type="dxa"/>
            </w:tcMar>
            <w:vAlign w:val="bottom"/>
          </w:tcPr>
          <w:p w14:paraId="5F2CB6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51" w14:textId="77777777" w:rsidR="00E836FB" w:rsidRDefault="00994958">
            <w:pPr>
              <w:jc w:val="right"/>
              <w:textAlignment w:val="bottom"/>
            </w:pPr>
            <w:r>
              <w:rPr>
                <w:rFonts w:ascii="Arial" w:eastAsia="宋体" w:hAnsi="Arial" w:cs="Arial"/>
                <w:color w:val="000000"/>
                <w:sz w:val="14"/>
                <w:szCs w:val="14"/>
              </w:rPr>
              <w:t>1.31 </w:t>
            </w:r>
          </w:p>
        </w:tc>
        <w:tc>
          <w:tcPr>
            <w:tcW w:w="0" w:type="auto"/>
            <w:shd w:val="clear" w:color="auto" w:fill="CCEEFF"/>
            <w:tcMar>
              <w:top w:w="40" w:type="dxa"/>
              <w:left w:w="0" w:type="dxa"/>
              <w:bottom w:w="40" w:type="dxa"/>
              <w:right w:w="20" w:type="dxa"/>
            </w:tcMar>
            <w:vAlign w:val="bottom"/>
          </w:tcPr>
          <w:p w14:paraId="5F2CB6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54" w14:textId="77777777" w:rsidR="00E836FB" w:rsidRDefault="00994958">
            <w:pPr>
              <w:jc w:val="right"/>
              <w:textAlignment w:val="bottom"/>
            </w:pPr>
            <w:r>
              <w:rPr>
                <w:rFonts w:ascii="Arial" w:eastAsia="宋体" w:hAnsi="Arial" w:cs="Arial"/>
                <w:color w:val="000000"/>
                <w:sz w:val="14"/>
                <w:szCs w:val="14"/>
              </w:rPr>
              <w:t>51,853 </w:t>
            </w:r>
          </w:p>
        </w:tc>
        <w:tc>
          <w:tcPr>
            <w:tcW w:w="0" w:type="auto"/>
            <w:shd w:val="clear" w:color="auto" w:fill="CCEEFF"/>
            <w:tcMar>
              <w:top w:w="40" w:type="dxa"/>
              <w:left w:w="0" w:type="dxa"/>
              <w:bottom w:w="40" w:type="dxa"/>
              <w:right w:w="20" w:type="dxa"/>
            </w:tcMar>
            <w:vAlign w:val="bottom"/>
          </w:tcPr>
          <w:p w14:paraId="5F2CB6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57" w14:textId="77777777" w:rsidR="00E836FB" w:rsidRDefault="00994958">
            <w:pPr>
              <w:jc w:val="right"/>
              <w:textAlignment w:val="bottom"/>
            </w:pPr>
            <w:r>
              <w:rPr>
                <w:rFonts w:ascii="Arial" w:eastAsia="宋体" w:hAnsi="Arial" w:cs="Arial"/>
                <w:color w:val="000000"/>
                <w:sz w:val="14"/>
                <w:szCs w:val="14"/>
              </w:rPr>
              <w:t>1,035 </w:t>
            </w:r>
          </w:p>
        </w:tc>
        <w:tc>
          <w:tcPr>
            <w:tcW w:w="0" w:type="auto"/>
            <w:shd w:val="clear" w:color="auto" w:fill="CCEEFF"/>
            <w:tcMar>
              <w:top w:w="40" w:type="dxa"/>
              <w:left w:w="0" w:type="dxa"/>
              <w:bottom w:w="40" w:type="dxa"/>
              <w:right w:w="20" w:type="dxa"/>
            </w:tcMar>
            <w:vAlign w:val="bottom"/>
          </w:tcPr>
          <w:p w14:paraId="5F2CB6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5A" w14:textId="77777777" w:rsidR="00E836FB" w:rsidRDefault="00994958">
            <w:pPr>
              <w:jc w:val="right"/>
              <w:textAlignment w:val="bottom"/>
            </w:pPr>
            <w:r>
              <w:rPr>
                <w:rFonts w:ascii="Arial" w:eastAsia="宋体" w:hAnsi="Arial" w:cs="Arial"/>
                <w:color w:val="000000"/>
                <w:sz w:val="14"/>
                <w:szCs w:val="14"/>
              </w:rPr>
              <w:t>1.98 </w:t>
            </w:r>
          </w:p>
        </w:tc>
        <w:tc>
          <w:tcPr>
            <w:tcW w:w="0" w:type="auto"/>
            <w:shd w:val="clear" w:color="auto" w:fill="CCEEFF"/>
            <w:tcMar>
              <w:top w:w="40" w:type="dxa"/>
              <w:left w:w="0" w:type="dxa"/>
              <w:bottom w:w="40" w:type="dxa"/>
              <w:right w:w="20" w:type="dxa"/>
            </w:tcMar>
            <w:vAlign w:val="bottom"/>
          </w:tcPr>
          <w:p w14:paraId="5F2CB65B" w14:textId="77777777" w:rsidR="00E836FB" w:rsidRDefault="00E836FB">
            <w:pPr>
              <w:jc w:val="right"/>
              <w:rPr>
                <w:rFonts w:ascii="宋体"/>
              </w:rPr>
            </w:pPr>
          </w:p>
        </w:tc>
        <w:tc>
          <w:tcPr>
            <w:tcW w:w="0" w:type="auto"/>
            <w:gridSpan w:val="3"/>
            <w:shd w:val="clear" w:color="auto" w:fill="auto"/>
            <w:vAlign w:val="bottom"/>
          </w:tcPr>
          <w:p w14:paraId="5F2CB65C" w14:textId="77777777" w:rsidR="00E836FB" w:rsidRDefault="00E836FB">
            <w:pPr>
              <w:rPr>
                <w:rFonts w:ascii="宋体"/>
                <w:vanish/>
              </w:rPr>
            </w:pPr>
          </w:p>
        </w:tc>
        <w:tc>
          <w:tcPr>
            <w:tcW w:w="0" w:type="auto"/>
            <w:gridSpan w:val="3"/>
            <w:shd w:val="clear" w:color="auto" w:fill="auto"/>
            <w:vAlign w:val="bottom"/>
          </w:tcPr>
          <w:p w14:paraId="5F2CB65D" w14:textId="77777777" w:rsidR="00E836FB" w:rsidRDefault="00E836FB">
            <w:pPr>
              <w:rPr>
                <w:rFonts w:ascii="宋体"/>
                <w:vanish/>
              </w:rPr>
            </w:pPr>
          </w:p>
        </w:tc>
        <w:tc>
          <w:tcPr>
            <w:tcW w:w="0" w:type="auto"/>
            <w:gridSpan w:val="2"/>
            <w:shd w:val="clear" w:color="auto" w:fill="auto"/>
            <w:vAlign w:val="bottom"/>
          </w:tcPr>
          <w:p w14:paraId="5F2CB65E" w14:textId="77777777" w:rsidR="00E836FB" w:rsidRDefault="00E836FB">
            <w:pPr>
              <w:rPr>
                <w:rFonts w:ascii="宋体"/>
                <w:vanish/>
              </w:rPr>
            </w:pPr>
          </w:p>
        </w:tc>
        <w:tc>
          <w:tcPr>
            <w:tcW w:w="0" w:type="auto"/>
            <w:shd w:val="clear" w:color="auto" w:fill="auto"/>
            <w:vAlign w:val="bottom"/>
          </w:tcPr>
          <w:p w14:paraId="5F2CB65F" w14:textId="77777777" w:rsidR="00E836FB" w:rsidRDefault="00E836FB">
            <w:pPr>
              <w:rPr>
                <w:rFonts w:ascii="宋体"/>
                <w:vanish/>
              </w:rPr>
            </w:pPr>
          </w:p>
        </w:tc>
      </w:tr>
      <w:tr w:rsidR="00E836FB" w14:paraId="5F2CB680" w14:textId="77777777">
        <w:tc>
          <w:tcPr>
            <w:tcW w:w="0" w:type="auto"/>
            <w:gridSpan w:val="3"/>
            <w:shd w:val="clear" w:color="auto" w:fill="FFFFFF"/>
            <w:tcMar>
              <w:top w:w="40" w:type="dxa"/>
              <w:left w:w="140" w:type="dxa"/>
              <w:bottom w:w="40" w:type="dxa"/>
              <w:right w:w="20" w:type="dxa"/>
            </w:tcMar>
            <w:vAlign w:val="bottom"/>
          </w:tcPr>
          <w:p w14:paraId="5F2CB661" w14:textId="77777777" w:rsidR="00E836FB" w:rsidRDefault="00994958">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5F2CB662" w14:textId="77777777" w:rsidR="00E836FB" w:rsidRDefault="00994958">
            <w:pPr>
              <w:jc w:val="right"/>
              <w:textAlignment w:val="bottom"/>
            </w:pPr>
            <w:r>
              <w:rPr>
                <w:rFonts w:ascii="Arial" w:eastAsia="宋体" w:hAnsi="Arial" w:cs="Arial"/>
                <w:b/>
                <w:bCs/>
                <w:color w:val="000000"/>
                <w:sz w:val="14"/>
                <w:szCs w:val="14"/>
              </w:rPr>
              <w:t>44,832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6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65" w14:textId="77777777" w:rsidR="00E836FB" w:rsidRDefault="00994958">
            <w:pPr>
              <w:jc w:val="right"/>
              <w:textAlignment w:val="bottom"/>
            </w:pPr>
            <w:r>
              <w:rPr>
                <w:rFonts w:ascii="Arial" w:eastAsia="宋体" w:hAnsi="Arial" w:cs="Arial"/>
                <w:b/>
                <w:bCs/>
                <w:color w:val="000000"/>
                <w:sz w:val="14"/>
                <w:szCs w:val="14"/>
              </w:rPr>
              <w:t>665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6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68" w14:textId="77777777" w:rsidR="00E836FB" w:rsidRDefault="00994958">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6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6B" w14:textId="77777777" w:rsidR="00E836FB" w:rsidRDefault="00994958">
            <w:pPr>
              <w:jc w:val="right"/>
              <w:textAlignment w:val="bottom"/>
            </w:pPr>
            <w:r>
              <w:rPr>
                <w:rFonts w:ascii="Arial" w:eastAsia="宋体" w:hAnsi="Arial" w:cs="Arial"/>
                <w:color w:val="000000"/>
                <w:sz w:val="14"/>
                <w:szCs w:val="14"/>
              </w:rPr>
              <w:t>42,956 </w:t>
            </w:r>
          </w:p>
        </w:tc>
        <w:tc>
          <w:tcPr>
            <w:tcW w:w="0" w:type="auto"/>
            <w:shd w:val="clear" w:color="auto" w:fill="FFFFFF"/>
            <w:tcMar>
              <w:top w:w="40" w:type="dxa"/>
              <w:left w:w="0" w:type="dxa"/>
              <w:bottom w:w="40" w:type="dxa"/>
              <w:right w:w="20" w:type="dxa"/>
            </w:tcMar>
            <w:vAlign w:val="bottom"/>
          </w:tcPr>
          <w:p w14:paraId="5F2CB6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6E" w14:textId="77777777" w:rsidR="00E836FB" w:rsidRDefault="00994958">
            <w:pPr>
              <w:jc w:val="right"/>
              <w:textAlignment w:val="bottom"/>
            </w:pPr>
            <w:r>
              <w:rPr>
                <w:rFonts w:ascii="Arial" w:eastAsia="宋体" w:hAnsi="Arial" w:cs="Arial"/>
                <w:color w:val="000000"/>
                <w:sz w:val="14"/>
                <w:szCs w:val="14"/>
              </w:rPr>
              <w:t>830 </w:t>
            </w:r>
          </w:p>
        </w:tc>
        <w:tc>
          <w:tcPr>
            <w:tcW w:w="0" w:type="auto"/>
            <w:shd w:val="clear" w:color="auto" w:fill="FFFFFF"/>
            <w:tcMar>
              <w:top w:w="40" w:type="dxa"/>
              <w:left w:w="0" w:type="dxa"/>
              <w:bottom w:w="40" w:type="dxa"/>
              <w:right w:w="20" w:type="dxa"/>
            </w:tcMar>
            <w:vAlign w:val="bottom"/>
          </w:tcPr>
          <w:p w14:paraId="5F2CB6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71" w14:textId="77777777" w:rsidR="00E836FB" w:rsidRDefault="00994958">
            <w:pPr>
              <w:jc w:val="right"/>
              <w:textAlignment w:val="bottom"/>
            </w:pPr>
            <w:r>
              <w:rPr>
                <w:rFonts w:ascii="Arial" w:eastAsia="宋体" w:hAnsi="Arial" w:cs="Arial"/>
                <w:color w:val="000000"/>
                <w:sz w:val="14"/>
                <w:szCs w:val="14"/>
              </w:rPr>
              <w:t>1.93 </w:t>
            </w:r>
          </w:p>
        </w:tc>
        <w:tc>
          <w:tcPr>
            <w:tcW w:w="0" w:type="auto"/>
            <w:shd w:val="clear" w:color="auto" w:fill="FFFFFF"/>
            <w:tcMar>
              <w:top w:w="40" w:type="dxa"/>
              <w:left w:w="0" w:type="dxa"/>
              <w:bottom w:w="40" w:type="dxa"/>
              <w:right w:w="20" w:type="dxa"/>
            </w:tcMar>
            <w:vAlign w:val="bottom"/>
          </w:tcPr>
          <w:p w14:paraId="5F2CB6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74" w14:textId="77777777" w:rsidR="00E836FB" w:rsidRDefault="00994958">
            <w:pPr>
              <w:jc w:val="right"/>
              <w:textAlignment w:val="bottom"/>
            </w:pPr>
            <w:r>
              <w:rPr>
                <w:rFonts w:ascii="Arial" w:eastAsia="宋体" w:hAnsi="Arial" w:cs="Arial"/>
                <w:color w:val="000000"/>
                <w:sz w:val="14"/>
                <w:szCs w:val="14"/>
              </w:rPr>
              <w:t>39,915 </w:t>
            </w:r>
          </w:p>
        </w:tc>
        <w:tc>
          <w:tcPr>
            <w:tcW w:w="0" w:type="auto"/>
            <w:shd w:val="clear" w:color="auto" w:fill="FFFFFF"/>
            <w:tcMar>
              <w:top w:w="40" w:type="dxa"/>
              <w:left w:w="0" w:type="dxa"/>
              <w:bottom w:w="40" w:type="dxa"/>
              <w:right w:w="20" w:type="dxa"/>
            </w:tcMar>
            <w:vAlign w:val="bottom"/>
          </w:tcPr>
          <w:p w14:paraId="5F2CB6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77" w14:textId="77777777" w:rsidR="00E836FB" w:rsidRDefault="00994958">
            <w:pPr>
              <w:jc w:val="right"/>
              <w:textAlignment w:val="bottom"/>
            </w:pPr>
            <w:r>
              <w:rPr>
                <w:rFonts w:ascii="Arial" w:eastAsia="宋体" w:hAnsi="Arial" w:cs="Arial"/>
                <w:color w:val="000000"/>
                <w:sz w:val="14"/>
                <w:szCs w:val="14"/>
              </w:rPr>
              <w:t>974 </w:t>
            </w:r>
          </w:p>
        </w:tc>
        <w:tc>
          <w:tcPr>
            <w:tcW w:w="0" w:type="auto"/>
            <w:shd w:val="clear" w:color="auto" w:fill="FFFFFF"/>
            <w:tcMar>
              <w:top w:w="40" w:type="dxa"/>
              <w:left w:w="0" w:type="dxa"/>
              <w:bottom w:w="40" w:type="dxa"/>
              <w:right w:w="20" w:type="dxa"/>
            </w:tcMar>
            <w:vAlign w:val="bottom"/>
          </w:tcPr>
          <w:p w14:paraId="5F2CB6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7A" w14:textId="77777777" w:rsidR="00E836FB" w:rsidRDefault="00994958">
            <w:pPr>
              <w:jc w:val="right"/>
              <w:textAlignment w:val="bottom"/>
            </w:pPr>
            <w:r>
              <w:rPr>
                <w:rFonts w:ascii="Arial" w:eastAsia="宋体" w:hAnsi="Arial" w:cs="Arial"/>
                <w:color w:val="000000"/>
                <w:sz w:val="14"/>
                <w:szCs w:val="14"/>
              </w:rPr>
              <w:t>2.44 </w:t>
            </w:r>
          </w:p>
        </w:tc>
        <w:tc>
          <w:tcPr>
            <w:tcW w:w="0" w:type="auto"/>
            <w:shd w:val="clear" w:color="auto" w:fill="FFFFFF"/>
            <w:tcMar>
              <w:top w:w="40" w:type="dxa"/>
              <w:left w:w="0" w:type="dxa"/>
              <w:bottom w:w="40" w:type="dxa"/>
              <w:right w:w="20" w:type="dxa"/>
            </w:tcMar>
            <w:vAlign w:val="bottom"/>
          </w:tcPr>
          <w:p w14:paraId="5F2CB67B" w14:textId="77777777" w:rsidR="00E836FB" w:rsidRDefault="00E836FB">
            <w:pPr>
              <w:jc w:val="right"/>
              <w:rPr>
                <w:rFonts w:ascii="宋体"/>
              </w:rPr>
            </w:pPr>
          </w:p>
        </w:tc>
        <w:tc>
          <w:tcPr>
            <w:tcW w:w="0" w:type="auto"/>
            <w:gridSpan w:val="3"/>
            <w:shd w:val="clear" w:color="auto" w:fill="auto"/>
            <w:vAlign w:val="bottom"/>
          </w:tcPr>
          <w:p w14:paraId="5F2CB67C" w14:textId="77777777" w:rsidR="00E836FB" w:rsidRDefault="00E836FB">
            <w:pPr>
              <w:rPr>
                <w:rFonts w:ascii="宋体"/>
                <w:vanish/>
              </w:rPr>
            </w:pPr>
          </w:p>
        </w:tc>
        <w:tc>
          <w:tcPr>
            <w:tcW w:w="0" w:type="auto"/>
            <w:gridSpan w:val="3"/>
            <w:shd w:val="clear" w:color="auto" w:fill="auto"/>
            <w:vAlign w:val="bottom"/>
          </w:tcPr>
          <w:p w14:paraId="5F2CB67D" w14:textId="77777777" w:rsidR="00E836FB" w:rsidRDefault="00E836FB">
            <w:pPr>
              <w:rPr>
                <w:rFonts w:ascii="宋体"/>
                <w:vanish/>
              </w:rPr>
            </w:pPr>
          </w:p>
        </w:tc>
        <w:tc>
          <w:tcPr>
            <w:tcW w:w="0" w:type="auto"/>
            <w:gridSpan w:val="2"/>
            <w:shd w:val="clear" w:color="auto" w:fill="auto"/>
            <w:vAlign w:val="bottom"/>
          </w:tcPr>
          <w:p w14:paraId="5F2CB67E" w14:textId="77777777" w:rsidR="00E836FB" w:rsidRDefault="00E836FB">
            <w:pPr>
              <w:rPr>
                <w:rFonts w:ascii="宋体"/>
                <w:vanish/>
              </w:rPr>
            </w:pPr>
          </w:p>
        </w:tc>
        <w:tc>
          <w:tcPr>
            <w:tcW w:w="0" w:type="auto"/>
            <w:shd w:val="clear" w:color="auto" w:fill="auto"/>
            <w:vAlign w:val="bottom"/>
          </w:tcPr>
          <w:p w14:paraId="5F2CB67F" w14:textId="77777777" w:rsidR="00E836FB" w:rsidRDefault="00E836FB">
            <w:pPr>
              <w:rPr>
                <w:rFonts w:ascii="宋体"/>
                <w:vanish/>
              </w:rPr>
            </w:pPr>
          </w:p>
        </w:tc>
      </w:tr>
      <w:tr w:rsidR="00E836FB" w14:paraId="5F2CB6A0" w14:textId="77777777">
        <w:tc>
          <w:tcPr>
            <w:tcW w:w="0" w:type="auto"/>
            <w:gridSpan w:val="3"/>
            <w:shd w:val="clear" w:color="auto" w:fill="CCEEFF"/>
            <w:tcMar>
              <w:top w:w="40" w:type="dxa"/>
              <w:left w:w="140" w:type="dxa"/>
              <w:bottom w:w="40" w:type="dxa"/>
              <w:right w:w="20" w:type="dxa"/>
            </w:tcMar>
            <w:vAlign w:val="bottom"/>
          </w:tcPr>
          <w:p w14:paraId="5F2CB681" w14:textId="77777777" w:rsidR="00E836FB" w:rsidRDefault="00994958">
            <w:pPr>
              <w:textAlignment w:val="bottom"/>
            </w:pPr>
            <w:r>
              <w:rPr>
                <w:rFonts w:ascii="Arial" w:eastAsia="宋体" w:hAnsi="Arial" w:cs="Arial"/>
                <w:color w:val="000000"/>
                <w:sz w:val="14"/>
                <w:szCs w:val="14"/>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5F2CB682" w14:textId="77777777" w:rsidR="00E836FB" w:rsidRDefault="00994958">
            <w:pPr>
              <w:jc w:val="right"/>
              <w:textAlignment w:val="bottom"/>
            </w:pPr>
            <w:r>
              <w:rPr>
                <w:rFonts w:ascii="Arial" w:eastAsia="宋体" w:hAnsi="Arial" w:cs="Arial"/>
                <w:b/>
                <w:bCs/>
                <w:color w:val="000000"/>
                <w:sz w:val="14"/>
                <w:szCs w:val="14"/>
              </w:rPr>
              <w:t>314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8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85"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8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88" w14:textId="77777777" w:rsidR="00E836FB" w:rsidRDefault="00994958">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8B" w14:textId="77777777" w:rsidR="00E836FB" w:rsidRDefault="00994958">
            <w:pPr>
              <w:jc w:val="right"/>
              <w:textAlignment w:val="bottom"/>
            </w:pPr>
            <w:r>
              <w:rPr>
                <w:rFonts w:ascii="Arial" w:eastAsia="宋体" w:hAnsi="Arial" w:cs="Arial"/>
                <w:color w:val="000000"/>
                <w:sz w:val="14"/>
                <w:szCs w:val="14"/>
              </w:rPr>
              <w:t>8,183 </w:t>
            </w:r>
          </w:p>
        </w:tc>
        <w:tc>
          <w:tcPr>
            <w:tcW w:w="0" w:type="auto"/>
            <w:shd w:val="clear" w:color="auto" w:fill="CCEEFF"/>
            <w:tcMar>
              <w:top w:w="40" w:type="dxa"/>
              <w:left w:w="0" w:type="dxa"/>
              <w:bottom w:w="40" w:type="dxa"/>
              <w:right w:w="20" w:type="dxa"/>
            </w:tcMar>
            <w:vAlign w:val="bottom"/>
          </w:tcPr>
          <w:p w14:paraId="5F2CB6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8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8E" w14:textId="77777777" w:rsidR="00E836FB" w:rsidRDefault="00994958">
            <w:pPr>
              <w:jc w:val="right"/>
              <w:textAlignment w:val="bottom"/>
            </w:pPr>
            <w:r>
              <w:rPr>
                <w:rFonts w:ascii="Arial" w:eastAsia="宋体" w:hAnsi="Arial" w:cs="Arial"/>
                <w:color w:val="000000"/>
                <w:sz w:val="14"/>
                <w:szCs w:val="14"/>
              </w:rPr>
              <w:t>117 </w:t>
            </w:r>
          </w:p>
        </w:tc>
        <w:tc>
          <w:tcPr>
            <w:tcW w:w="0" w:type="auto"/>
            <w:shd w:val="clear" w:color="auto" w:fill="CCEEFF"/>
            <w:tcMar>
              <w:top w:w="40" w:type="dxa"/>
              <w:left w:w="0" w:type="dxa"/>
              <w:bottom w:w="40" w:type="dxa"/>
              <w:right w:w="20" w:type="dxa"/>
            </w:tcMar>
            <w:vAlign w:val="bottom"/>
          </w:tcPr>
          <w:p w14:paraId="5F2CB6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9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91" w14:textId="77777777" w:rsidR="00E836FB" w:rsidRDefault="00994958">
            <w:pPr>
              <w:jc w:val="right"/>
              <w:textAlignment w:val="bottom"/>
            </w:pPr>
            <w:r>
              <w:rPr>
                <w:rFonts w:ascii="Arial" w:eastAsia="宋体" w:hAnsi="Arial" w:cs="Arial"/>
                <w:color w:val="000000"/>
                <w:sz w:val="14"/>
                <w:szCs w:val="14"/>
              </w:rPr>
              <w:t>1.43 </w:t>
            </w:r>
          </w:p>
        </w:tc>
        <w:tc>
          <w:tcPr>
            <w:tcW w:w="0" w:type="auto"/>
            <w:shd w:val="clear" w:color="auto" w:fill="CCEEFF"/>
            <w:tcMar>
              <w:top w:w="40" w:type="dxa"/>
              <w:left w:w="0" w:type="dxa"/>
              <w:bottom w:w="40" w:type="dxa"/>
              <w:right w:w="20" w:type="dxa"/>
            </w:tcMar>
            <w:vAlign w:val="bottom"/>
          </w:tcPr>
          <w:p w14:paraId="5F2CB6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9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9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9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9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9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9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9B" w14:textId="77777777" w:rsidR="00E836FB" w:rsidRDefault="00E836FB">
            <w:pPr>
              <w:jc w:val="right"/>
              <w:rPr>
                <w:rFonts w:ascii="宋体"/>
              </w:rPr>
            </w:pPr>
          </w:p>
        </w:tc>
        <w:tc>
          <w:tcPr>
            <w:tcW w:w="0" w:type="auto"/>
            <w:gridSpan w:val="3"/>
            <w:shd w:val="clear" w:color="auto" w:fill="auto"/>
            <w:vAlign w:val="bottom"/>
          </w:tcPr>
          <w:p w14:paraId="5F2CB69C" w14:textId="77777777" w:rsidR="00E836FB" w:rsidRDefault="00E836FB">
            <w:pPr>
              <w:rPr>
                <w:rFonts w:ascii="宋体"/>
                <w:vanish/>
              </w:rPr>
            </w:pPr>
          </w:p>
        </w:tc>
        <w:tc>
          <w:tcPr>
            <w:tcW w:w="0" w:type="auto"/>
            <w:gridSpan w:val="3"/>
            <w:shd w:val="clear" w:color="auto" w:fill="auto"/>
            <w:vAlign w:val="bottom"/>
          </w:tcPr>
          <w:p w14:paraId="5F2CB69D" w14:textId="77777777" w:rsidR="00E836FB" w:rsidRDefault="00E836FB">
            <w:pPr>
              <w:rPr>
                <w:rFonts w:ascii="宋体"/>
                <w:vanish/>
              </w:rPr>
            </w:pPr>
          </w:p>
        </w:tc>
        <w:tc>
          <w:tcPr>
            <w:tcW w:w="0" w:type="auto"/>
            <w:gridSpan w:val="2"/>
            <w:shd w:val="clear" w:color="auto" w:fill="auto"/>
            <w:vAlign w:val="bottom"/>
          </w:tcPr>
          <w:p w14:paraId="5F2CB69E" w14:textId="77777777" w:rsidR="00E836FB" w:rsidRDefault="00E836FB">
            <w:pPr>
              <w:rPr>
                <w:rFonts w:ascii="宋体"/>
                <w:vanish/>
              </w:rPr>
            </w:pPr>
          </w:p>
        </w:tc>
        <w:tc>
          <w:tcPr>
            <w:tcW w:w="0" w:type="auto"/>
            <w:shd w:val="clear" w:color="auto" w:fill="auto"/>
            <w:vAlign w:val="bottom"/>
          </w:tcPr>
          <w:p w14:paraId="5F2CB69F" w14:textId="77777777" w:rsidR="00E836FB" w:rsidRDefault="00E836FB">
            <w:pPr>
              <w:rPr>
                <w:rFonts w:ascii="宋体"/>
                <w:vanish/>
              </w:rPr>
            </w:pPr>
          </w:p>
        </w:tc>
      </w:tr>
      <w:tr w:rsidR="00E836FB" w14:paraId="5F2CB6C0" w14:textId="77777777">
        <w:tc>
          <w:tcPr>
            <w:tcW w:w="0" w:type="auto"/>
            <w:gridSpan w:val="3"/>
            <w:shd w:val="clear" w:color="auto" w:fill="FFFFFF"/>
            <w:tcMar>
              <w:top w:w="40" w:type="dxa"/>
              <w:left w:w="20" w:type="dxa"/>
              <w:bottom w:w="40" w:type="dxa"/>
              <w:right w:w="20" w:type="dxa"/>
            </w:tcMar>
            <w:vAlign w:val="bottom"/>
          </w:tcPr>
          <w:p w14:paraId="5F2CB6A1" w14:textId="77777777" w:rsidR="00E836FB" w:rsidRDefault="00994958">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6A2" w14:textId="77777777" w:rsidR="00E836FB" w:rsidRDefault="00994958">
            <w:pPr>
              <w:jc w:val="right"/>
              <w:textAlignment w:val="bottom"/>
            </w:pPr>
            <w:r>
              <w:rPr>
                <w:rFonts w:ascii="Arial" w:eastAsia="宋体" w:hAnsi="Arial" w:cs="Arial"/>
                <w:b/>
                <w:bCs/>
                <w:color w:val="000000"/>
                <w:sz w:val="14"/>
                <w:szCs w:val="14"/>
              </w:rPr>
              <w:t>111,730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6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A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6A5" w14:textId="77777777" w:rsidR="00E836FB" w:rsidRDefault="00994958">
            <w:pPr>
              <w:jc w:val="right"/>
              <w:textAlignment w:val="bottom"/>
            </w:pPr>
            <w:r>
              <w:rPr>
                <w:rFonts w:ascii="Arial" w:eastAsia="宋体" w:hAnsi="Arial" w:cs="Arial"/>
                <w:b/>
                <w:bCs/>
                <w:color w:val="000000"/>
                <w:sz w:val="14"/>
                <w:szCs w:val="14"/>
              </w:rPr>
              <w:t>1,252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6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A8" w14:textId="77777777" w:rsidR="00E836FB" w:rsidRDefault="00994958">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6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A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6AB" w14:textId="77777777" w:rsidR="00E836FB" w:rsidRDefault="00994958">
            <w:pPr>
              <w:jc w:val="right"/>
              <w:textAlignment w:val="bottom"/>
            </w:pPr>
            <w:r>
              <w:rPr>
                <w:rFonts w:ascii="Arial" w:eastAsia="宋体" w:hAnsi="Arial" w:cs="Arial"/>
                <w:color w:val="000000"/>
                <w:sz w:val="14"/>
                <w:szCs w:val="14"/>
              </w:rPr>
              <w:t>109,175 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6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A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6AE" w14:textId="77777777" w:rsidR="00E836FB" w:rsidRDefault="00994958">
            <w:pPr>
              <w:jc w:val="right"/>
              <w:textAlignment w:val="bottom"/>
            </w:pPr>
            <w:r>
              <w:rPr>
                <w:rFonts w:ascii="Arial" w:eastAsia="宋体" w:hAnsi="Arial" w:cs="Arial"/>
                <w:color w:val="000000"/>
                <w:sz w:val="14"/>
                <w:szCs w:val="14"/>
              </w:rPr>
              <w:t>1,708 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6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B1" w14:textId="77777777" w:rsidR="00E836FB" w:rsidRDefault="00994958">
            <w:pPr>
              <w:jc w:val="right"/>
              <w:textAlignment w:val="bottom"/>
            </w:pPr>
            <w:r>
              <w:rPr>
                <w:rFonts w:ascii="Arial" w:eastAsia="宋体" w:hAnsi="Arial" w:cs="Arial"/>
                <w:color w:val="000000"/>
                <w:sz w:val="14"/>
                <w:szCs w:val="14"/>
              </w:rPr>
              <w:t>1.56 </w:t>
            </w:r>
          </w:p>
        </w:tc>
        <w:tc>
          <w:tcPr>
            <w:tcW w:w="0" w:type="auto"/>
            <w:shd w:val="clear" w:color="auto" w:fill="FFFFFF"/>
            <w:tcMar>
              <w:top w:w="40" w:type="dxa"/>
              <w:left w:w="0" w:type="dxa"/>
              <w:bottom w:w="40" w:type="dxa"/>
              <w:right w:w="20" w:type="dxa"/>
            </w:tcMar>
            <w:vAlign w:val="bottom"/>
          </w:tcPr>
          <w:p w14:paraId="5F2CB6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B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6B4" w14:textId="77777777" w:rsidR="00E836FB" w:rsidRDefault="00994958">
            <w:pPr>
              <w:jc w:val="right"/>
              <w:textAlignment w:val="bottom"/>
            </w:pPr>
            <w:r>
              <w:rPr>
                <w:rFonts w:ascii="Arial" w:eastAsia="宋体" w:hAnsi="Arial" w:cs="Arial"/>
                <w:color w:val="000000"/>
                <w:sz w:val="14"/>
                <w:szCs w:val="14"/>
              </w:rPr>
              <w:t>91,768 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6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B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6B7" w14:textId="77777777" w:rsidR="00E836FB" w:rsidRDefault="00994958">
            <w:pPr>
              <w:jc w:val="right"/>
              <w:textAlignment w:val="bottom"/>
            </w:pPr>
            <w:r>
              <w:rPr>
                <w:rFonts w:ascii="Arial" w:eastAsia="宋体" w:hAnsi="Arial" w:cs="Arial"/>
                <w:color w:val="000000"/>
                <w:sz w:val="14"/>
                <w:szCs w:val="14"/>
              </w:rPr>
              <w:t>2,009 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6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BA" w14:textId="77777777" w:rsidR="00E836FB" w:rsidRDefault="00994958">
            <w:pPr>
              <w:jc w:val="right"/>
              <w:textAlignment w:val="bottom"/>
            </w:pPr>
            <w:r>
              <w:rPr>
                <w:rFonts w:ascii="Arial" w:eastAsia="宋体" w:hAnsi="Arial" w:cs="Arial"/>
                <w:color w:val="000000"/>
                <w:sz w:val="14"/>
                <w:szCs w:val="14"/>
              </w:rPr>
              <w:t>2.19 </w:t>
            </w:r>
          </w:p>
        </w:tc>
        <w:tc>
          <w:tcPr>
            <w:tcW w:w="0" w:type="auto"/>
            <w:shd w:val="clear" w:color="auto" w:fill="FFFFFF"/>
            <w:tcMar>
              <w:top w:w="40" w:type="dxa"/>
              <w:left w:w="0" w:type="dxa"/>
              <w:bottom w:w="40" w:type="dxa"/>
              <w:right w:w="20" w:type="dxa"/>
            </w:tcMar>
            <w:vAlign w:val="bottom"/>
          </w:tcPr>
          <w:p w14:paraId="5F2CB6BB" w14:textId="77777777" w:rsidR="00E836FB" w:rsidRDefault="00E836FB">
            <w:pPr>
              <w:jc w:val="right"/>
              <w:rPr>
                <w:rFonts w:ascii="宋体"/>
              </w:rPr>
            </w:pPr>
          </w:p>
        </w:tc>
        <w:tc>
          <w:tcPr>
            <w:tcW w:w="0" w:type="auto"/>
            <w:gridSpan w:val="3"/>
            <w:shd w:val="clear" w:color="auto" w:fill="auto"/>
            <w:vAlign w:val="bottom"/>
          </w:tcPr>
          <w:p w14:paraId="5F2CB6BC" w14:textId="77777777" w:rsidR="00E836FB" w:rsidRDefault="00E836FB">
            <w:pPr>
              <w:rPr>
                <w:rFonts w:ascii="宋体"/>
                <w:vanish/>
              </w:rPr>
            </w:pPr>
          </w:p>
        </w:tc>
        <w:tc>
          <w:tcPr>
            <w:tcW w:w="0" w:type="auto"/>
            <w:gridSpan w:val="3"/>
            <w:shd w:val="clear" w:color="auto" w:fill="auto"/>
            <w:vAlign w:val="bottom"/>
          </w:tcPr>
          <w:p w14:paraId="5F2CB6BD" w14:textId="77777777" w:rsidR="00E836FB" w:rsidRDefault="00E836FB">
            <w:pPr>
              <w:rPr>
                <w:rFonts w:ascii="宋体"/>
                <w:vanish/>
              </w:rPr>
            </w:pPr>
          </w:p>
        </w:tc>
        <w:tc>
          <w:tcPr>
            <w:tcW w:w="0" w:type="auto"/>
            <w:gridSpan w:val="2"/>
            <w:shd w:val="clear" w:color="auto" w:fill="auto"/>
            <w:vAlign w:val="bottom"/>
          </w:tcPr>
          <w:p w14:paraId="5F2CB6BE" w14:textId="77777777" w:rsidR="00E836FB" w:rsidRDefault="00E836FB">
            <w:pPr>
              <w:rPr>
                <w:rFonts w:ascii="宋体"/>
                <w:vanish/>
              </w:rPr>
            </w:pPr>
          </w:p>
        </w:tc>
        <w:tc>
          <w:tcPr>
            <w:tcW w:w="0" w:type="auto"/>
            <w:shd w:val="clear" w:color="auto" w:fill="auto"/>
            <w:vAlign w:val="bottom"/>
          </w:tcPr>
          <w:p w14:paraId="5F2CB6BF" w14:textId="77777777" w:rsidR="00E836FB" w:rsidRDefault="00E836FB">
            <w:pPr>
              <w:rPr>
                <w:rFonts w:ascii="宋体"/>
                <w:vanish/>
              </w:rPr>
            </w:pPr>
          </w:p>
        </w:tc>
      </w:tr>
      <w:tr w:rsidR="00E836FB" w14:paraId="5F2CB6E0" w14:textId="77777777">
        <w:tc>
          <w:tcPr>
            <w:tcW w:w="0" w:type="auto"/>
            <w:gridSpan w:val="3"/>
            <w:shd w:val="clear" w:color="auto" w:fill="CCEEFF"/>
            <w:tcMar>
              <w:top w:w="40" w:type="dxa"/>
              <w:left w:w="20" w:type="dxa"/>
              <w:bottom w:w="40" w:type="dxa"/>
              <w:right w:w="20" w:type="dxa"/>
            </w:tcMar>
            <w:vAlign w:val="bottom"/>
          </w:tcPr>
          <w:p w14:paraId="5F2CB6C1" w14:textId="77777777" w:rsidR="00E836FB" w:rsidRDefault="00994958">
            <w:pPr>
              <w:textAlignment w:val="bottom"/>
            </w:pPr>
            <w:r>
              <w:rPr>
                <w:rFonts w:ascii="Arial" w:eastAsia="宋体" w:hAnsi="Arial" w:cs="Arial"/>
                <w:color w:val="000000"/>
                <w:sz w:val="14"/>
                <w:szCs w:val="14"/>
              </w:rPr>
              <w:t>Loans</w:t>
            </w:r>
          </w:p>
        </w:tc>
        <w:tc>
          <w:tcPr>
            <w:tcW w:w="0" w:type="auto"/>
            <w:gridSpan w:val="2"/>
            <w:shd w:val="clear" w:color="auto" w:fill="CCEEFF"/>
            <w:tcMar>
              <w:top w:w="40" w:type="dxa"/>
              <w:left w:w="20" w:type="dxa"/>
              <w:bottom w:w="40" w:type="dxa"/>
              <w:right w:w="0" w:type="dxa"/>
            </w:tcMar>
            <w:vAlign w:val="bottom"/>
          </w:tcPr>
          <w:p w14:paraId="5F2CB6C2" w14:textId="77777777" w:rsidR="00E836FB" w:rsidRDefault="00994958">
            <w:pPr>
              <w:jc w:val="right"/>
              <w:textAlignment w:val="bottom"/>
            </w:pPr>
            <w:r>
              <w:rPr>
                <w:rFonts w:ascii="Arial" w:eastAsia="宋体" w:hAnsi="Arial" w:cs="Arial"/>
                <w:b/>
                <w:bCs/>
                <w:color w:val="000000"/>
                <w:sz w:val="14"/>
                <w:szCs w:val="14"/>
              </w:rPr>
              <w:t>31,009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C5" w14:textId="77777777" w:rsidR="00E836FB" w:rsidRDefault="00994958">
            <w:pPr>
              <w:jc w:val="right"/>
              <w:textAlignment w:val="bottom"/>
            </w:pPr>
            <w:r>
              <w:rPr>
                <w:rFonts w:ascii="Arial" w:eastAsia="宋体" w:hAnsi="Arial" w:cs="Arial"/>
                <w:b/>
                <w:bCs/>
                <w:color w:val="000000"/>
                <w:sz w:val="14"/>
                <w:szCs w:val="14"/>
              </w:rPr>
              <w:t>640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C8" w14:textId="77777777" w:rsidR="00E836FB" w:rsidRDefault="00994958">
            <w:pPr>
              <w:jc w:val="right"/>
              <w:textAlignment w:val="bottom"/>
            </w:pPr>
            <w:r>
              <w:rPr>
                <w:rFonts w:ascii="Arial" w:eastAsia="宋体" w:hAnsi="Arial" w:cs="Arial"/>
                <w:b/>
                <w:bCs/>
                <w:color w:val="000000"/>
                <w:sz w:val="14"/>
                <w:szCs w:val="14"/>
              </w:rPr>
              <w:t>2.07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6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CB" w14:textId="77777777" w:rsidR="00E836FB" w:rsidRDefault="00994958">
            <w:pPr>
              <w:jc w:val="right"/>
              <w:textAlignment w:val="bottom"/>
            </w:pPr>
            <w:r>
              <w:rPr>
                <w:rFonts w:ascii="Arial" w:eastAsia="宋体" w:hAnsi="Arial" w:cs="Arial"/>
                <w:color w:val="000000"/>
                <w:sz w:val="14"/>
                <w:szCs w:val="14"/>
              </w:rPr>
              <w:t>27,525 </w:t>
            </w:r>
          </w:p>
        </w:tc>
        <w:tc>
          <w:tcPr>
            <w:tcW w:w="0" w:type="auto"/>
            <w:shd w:val="clear" w:color="auto" w:fill="CCEEFF"/>
            <w:tcMar>
              <w:top w:w="40" w:type="dxa"/>
              <w:left w:w="0" w:type="dxa"/>
              <w:bottom w:w="40" w:type="dxa"/>
              <w:right w:w="20" w:type="dxa"/>
            </w:tcMar>
            <w:vAlign w:val="bottom"/>
          </w:tcPr>
          <w:p w14:paraId="5F2CB6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CE" w14:textId="77777777" w:rsidR="00E836FB" w:rsidRDefault="00994958">
            <w:pPr>
              <w:jc w:val="right"/>
              <w:textAlignment w:val="bottom"/>
            </w:pPr>
            <w:r>
              <w:rPr>
                <w:rFonts w:ascii="Arial" w:eastAsia="宋体" w:hAnsi="Arial" w:cs="Arial"/>
                <w:color w:val="000000"/>
                <w:sz w:val="14"/>
                <w:szCs w:val="14"/>
              </w:rPr>
              <w:t>627 </w:t>
            </w:r>
          </w:p>
        </w:tc>
        <w:tc>
          <w:tcPr>
            <w:tcW w:w="0" w:type="auto"/>
            <w:shd w:val="clear" w:color="auto" w:fill="CCEEFF"/>
            <w:tcMar>
              <w:top w:w="40" w:type="dxa"/>
              <w:left w:w="0" w:type="dxa"/>
              <w:bottom w:w="40" w:type="dxa"/>
              <w:right w:w="20" w:type="dxa"/>
            </w:tcMar>
            <w:vAlign w:val="bottom"/>
          </w:tcPr>
          <w:p w14:paraId="5F2CB6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D1" w14:textId="77777777" w:rsidR="00E836FB" w:rsidRDefault="00994958">
            <w:pPr>
              <w:jc w:val="right"/>
              <w:textAlignment w:val="bottom"/>
            </w:pPr>
            <w:r>
              <w:rPr>
                <w:rFonts w:ascii="Arial" w:eastAsia="宋体" w:hAnsi="Arial" w:cs="Arial"/>
                <w:color w:val="000000"/>
                <w:sz w:val="14"/>
                <w:szCs w:val="14"/>
              </w:rPr>
              <w:t>2.28 </w:t>
            </w:r>
          </w:p>
        </w:tc>
        <w:tc>
          <w:tcPr>
            <w:tcW w:w="0" w:type="auto"/>
            <w:shd w:val="clear" w:color="auto" w:fill="CCEEFF"/>
            <w:tcMar>
              <w:top w:w="40" w:type="dxa"/>
              <w:left w:w="0" w:type="dxa"/>
              <w:bottom w:w="40" w:type="dxa"/>
              <w:right w:w="20" w:type="dxa"/>
            </w:tcMar>
            <w:vAlign w:val="bottom"/>
          </w:tcPr>
          <w:p w14:paraId="5F2CB6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D4" w14:textId="77777777" w:rsidR="00E836FB" w:rsidRDefault="00994958">
            <w:pPr>
              <w:jc w:val="right"/>
              <w:textAlignment w:val="bottom"/>
            </w:pPr>
            <w:r>
              <w:rPr>
                <w:rFonts w:ascii="Arial" w:eastAsia="宋体" w:hAnsi="Arial" w:cs="Arial"/>
                <w:color w:val="000000"/>
                <w:sz w:val="14"/>
                <w:szCs w:val="14"/>
              </w:rPr>
              <w:t>24,073 </w:t>
            </w:r>
          </w:p>
        </w:tc>
        <w:tc>
          <w:tcPr>
            <w:tcW w:w="0" w:type="auto"/>
            <w:shd w:val="clear" w:color="auto" w:fill="CCEEFF"/>
            <w:tcMar>
              <w:top w:w="40" w:type="dxa"/>
              <w:left w:w="0" w:type="dxa"/>
              <w:bottom w:w="40" w:type="dxa"/>
              <w:right w:w="20" w:type="dxa"/>
            </w:tcMar>
            <w:vAlign w:val="bottom"/>
          </w:tcPr>
          <w:p w14:paraId="5F2CB6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D7" w14:textId="77777777" w:rsidR="00E836FB" w:rsidRDefault="00994958">
            <w:pPr>
              <w:jc w:val="right"/>
              <w:textAlignment w:val="bottom"/>
            </w:pPr>
            <w:r>
              <w:rPr>
                <w:rFonts w:ascii="Arial" w:eastAsia="宋体" w:hAnsi="Arial" w:cs="Arial"/>
                <w:color w:val="000000"/>
                <w:sz w:val="14"/>
                <w:szCs w:val="14"/>
              </w:rPr>
              <w:t>775 </w:t>
            </w:r>
          </w:p>
        </w:tc>
        <w:tc>
          <w:tcPr>
            <w:tcW w:w="0" w:type="auto"/>
            <w:shd w:val="clear" w:color="auto" w:fill="CCEEFF"/>
            <w:tcMar>
              <w:top w:w="40" w:type="dxa"/>
              <w:left w:w="0" w:type="dxa"/>
              <w:bottom w:w="40" w:type="dxa"/>
              <w:right w:w="20" w:type="dxa"/>
            </w:tcMar>
            <w:vAlign w:val="bottom"/>
          </w:tcPr>
          <w:p w14:paraId="5F2CB6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6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6DA" w14:textId="77777777" w:rsidR="00E836FB" w:rsidRDefault="00994958">
            <w:pPr>
              <w:jc w:val="right"/>
              <w:textAlignment w:val="bottom"/>
            </w:pPr>
            <w:r>
              <w:rPr>
                <w:rFonts w:ascii="Arial" w:eastAsia="宋体" w:hAnsi="Arial" w:cs="Arial"/>
                <w:color w:val="000000"/>
                <w:sz w:val="14"/>
                <w:szCs w:val="14"/>
              </w:rPr>
              <w:t>3.22 </w:t>
            </w:r>
          </w:p>
        </w:tc>
        <w:tc>
          <w:tcPr>
            <w:tcW w:w="0" w:type="auto"/>
            <w:shd w:val="clear" w:color="auto" w:fill="CCEEFF"/>
            <w:tcMar>
              <w:top w:w="40" w:type="dxa"/>
              <w:left w:w="0" w:type="dxa"/>
              <w:bottom w:w="40" w:type="dxa"/>
              <w:right w:w="20" w:type="dxa"/>
            </w:tcMar>
            <w:vAlign w:val="bottom"/>
          </w:tcPr>
          <w:p w14:paraId="5F2CB6DB" w14:textId="77777777" w:rsidR="00E836FB" w:rsidRDefault="00E836FB">
            <w:pPr>
              <w:jc w:val="right"/>
              <w:rPr>
                <w:rFonts w:ascii="宋体"/>
              </w:rPr>
            </w:pPr>
          </w:p>
        </w:tc>
        <w:tc>
          <w:tcPr>
            <w:tcW w:w="0" w:type="auto"/>
            <w:gridSpan w:val="3"/>
            <w:shd w:val="clear" w:color="auto" w:fill="auto"/>
            <w:vAlign w:val="bottom"/>
          </w:tcPr>
          <w:p w14:paraId="5F2CB6DC" w14:textId="77777777" w:rsidR="00E836FB" w:rsidRDefault="00E836FB">
            <w:pPr>
              <w:rPr>
                <w:rFonts w:ascii="宋体"/>
                <w:vanish/>
              </w:rPr>
            </w:pPr>
          </w:p>
        </w:tc>
        <w:tc>
          <w:tcPr>
            <w:tcW w:w="0" w:type="auto"/>
            <w:gridSpan w:val="3"/>
            <w:shd w:val="clear" w:color="auto" w:fill="auto"/>
            <w:vAlign w:val="bottom"/>
          </w:tcPr>
          <w:p w14:paraId="5F2CB6DD" w14:textId="77777777" w:rsidR="00E836FB" w:rsidRDefault="00E836FB">
            <w:pPr>
              <w:rPr>
                <w:rFonts w:ascii="宋体"/>
                <w:vanish/>
              </w:rPr>
            </w:pPr>
          </w:p>
        </w:tc>
        <w:tc>
          <w:tcPr>
            <w:tcW w:w="0" w:type="auto"/>
            <w:gridSpan w:val="2"/>
            <w:shd w:val="clear" w:color="auto" w:fill="auto"/>
            <w:vAlign w:val="bottom"/>
          </w:tcPr>
          <w:p w14:paraId="5F2CB6DE" w14:textId="77777777" w:rsidR="00E836FB" w:rsidRDefault="00E836FB">
            <w:pPr>
              <w:rPr>
                <w:rFonts w:ascii="宋体"/>
                <w:vanish/>
              </w:rPr>
            </w:pPr>
          </w:p>
        </w:tc>
        <w:tc>
          <w:tcPr>
            <w:tcW w:w="0" w:type="auto"/>
            <w:shd w:val="clear" w:color="auto" w:fill="auto"/>
            <w:vAlign w:val="bottom"/>
          </w:tcPr>
          <w:p w14:paraId="5F2CB6DF" w14:textId="77777777" w:rsidR="00E836FB" w:rsidRDefault="00E836FB">
            <w:pPr>
              <w:rPr>
                <w:rFonts w:ascii="宋体"/>
                <w:vanish/>
              </w:rPr>
            </w:pPr>
          </w:p>
        </w:tc>
      </w:tr>
      <w:tr w:rsidR="00E836FB" w14:paraId="5F2CB700" w14:textId="77777777">
        <w:tc>
          <w:tcPr>
            <w:tcW w:w="0" w:type="auto"/>
            <w:gridSpan w:val="3"/>
            <w:shd w:val="clear" w:color="auto" w:fill="FFFFFF"/>
            <w:tcMar>
              <w:top w:w="40" w:type="dxa"/>
              <w:left w:w="20" w:type="dxa"/>
              <w:bottom w:w="40" w:type="dxa"/>
              <w:right w:w="20" w:type="dxa"/>
            </w:tcMar>
            <w:vAlign w:val="bottom"/>
          </w:tcPr>
          <w:p w14:paraId="5F2CB6E1" w14:textId="77777777" w:rsidR="00E836FB" w:rsidRDefault="00994958">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5F2CB6E2" w14:textId="77777777" w:rsidR="00E836FB" w:rsidRDefault="00994958">
            <w:pPr>
              <w:jc w:val="right"/>
              <w:textAlignment w:val="bottom"/>
            </w:pPr>
            <w:r>
              <w:rPr>
                <w:rFonts w:ascii="Arial" w:eastAsia="宋体" w:hAnsi="Arial" w:cs="Arial"/>
                <w:b/>
                <w:bCs/>
                <w:color w:val="000000"/>
                <w:sz w:val="14"/>
                <w:szCs w:val="14"/>
              </w:rPr>
              <w:t>22,355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6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E5" w14:textId="77777777" w:rsidR="00E836FB" w:rsidRDefault="00994958">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6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E8" w14:textId="77777777" w:rsidR="00E836FB" w:rsidRDefault="00994958">
            <w:pPr>
              <w:jc w:val="right"/>
              <w:textAlignment w:val="bottom"/>
            </w:pPr>
            <w:r>
              <w:rPr>
                <w:rFonts w:ascii="Arial" w:eastAsia="宋体" w:hAnsi="Arial" w:cs="Arial"/>
                <w:b/>
                <w:bCs/>
                <w:color w:val="000000"/>
                <w:sz w:val="14"/>
                <w:szCs w:val="14"/>
              </w:rPr>
              <w:t>.08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6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E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EB" w14:textId="77777777" w:rsidR="00E836FB" w:rsidRDefault="00994958">
            <w:pPr>
              <w:jc w:val="right"/>
              <w:textAlignment w:val="bottom"/>
            </w:pPr>
            <w:r>
              <w:rPr>
                <w:rFonts w:ascii="Arial" w:eastAsia="宋体" w:hAnsi="Arial" w:cs="Arial"/>
                <w:color w:val="000000"/>
                <w:sz w:val="14"/>
                <w:szCs w:val="14"/>
              </w:rPr>
              <w:t>11,256 </w:t>
            </w:r>
          </w:p>
        </w:tc>
        <w:tc>
          <w:tcPr>
            <w:tcW w:w="0" w:type="auto"/>
            <w:shd w:val="clear" w:color="auto" w:fill="FFFFFF"/>
            <w:tcMar>
              <w:top w:w="40" w:type="dxa"/>
              <w:left w:w="0" w:type="dxa"/>
              <w:bottom w:w="40" w:type="dxa"/>
              <w:right w:w="20" w:type="dxa"/>
            </w:tcMar>
            <w:vAlign w:val="bottom"/>
          </w:tcPr>
          <w:p w14:paraId="5F2CB6E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E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EE" w14:textId="77777777" w:rsidR="00E836FB" w:rsidRDefault="00994958">
            <w:pPr>
              <w:jc w:val="right"/>
              <w:textAlignment w:val="bottom"/>
            </w:pPr>
            <w:r>
              <w:rPr>
                <w:rFonts w:ascii="Arial" w:eastAsia="宋体" w:hAnsi="Arial" w:cs="Arial"/>
                <w:color w:val="000000"/>
                <w:sz w:val="14"/>
                <w:szCs w:val="14"/>
              </w:rPr>
              <w:t>55 </w:t>
            </w:r>
          </w:p>
        </w:tc>
        <w:tc>
          <w:tcPr>
            <w:tcW w:w="0" w:type="auto"/>
            <w:shd w:val="clear" w:color="auto" w:fill="FFFFFF"/>
            <w:tcMar>
              <w:top w:w="40" w:type="dxa"/>
              <w:left w:w="0" w:type="dxa"/>
              <w:bottom w:w="40" w:type="dxa"/>
              <w:right w:w="20" w:type="dxa"/>
            </w:tcMar>
            <w:vAlign w:val="bottom"/>
          </w:tcPr>
          <w:p w14:paraId="5F2CB6E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F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F1" w14:textId="77777777" w:rsidR="00E836FB" w:rsidRDefault="00994958">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5F2CB6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F4" w14:textId="77777777" w:rsidR="00E836FB" w:rsidRDefault="00994958">
            <w:pPr>
              <w:jc w:val="right"/>
              <w:textAlignment w:val="bottom"/>
            </w:pPr>
            <w:r>
              <w:rPr>
                <w:rFonts w:ascii="Arial" w:eastAsia="宋体" w:hAnsi="Arial" w:cs="Arial"/>
                <w:color w:val="000000"/>
                <w:sz w:val="14"/>
                <w:szCs w:val="14"/>
              </w:rPr>
              <w:t>14,160 </w:t>
            </w:r>
          </w:p>
        </w:tc>
        <w:tc>
          <w:tcPr>
            <w:tcW w:w="0" w:type="auto"/>
            <w:shd w:val="clear" w:color="auto" w:fill="FFFFFF"/>
            <w:tcMar>
              <w:top w:w="40" w:type="dxa"/>
              <w:left w:w="0" w:type="dxa"/>
              <w:bottom w:w="40" w:type="dxa"/>
              <w:right w:w="20" w:type="dxa"/>
            </w:tcMar>
            <w:vAlign w:val="bottom"/>
          </w:tcPr>
          <w:p w14:paraId="5F2CB6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F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F7" w14:textId="77777777" w:rsidR="00E836FB" w:rsidRDefault="00994958">
            <w:pPr>
              <w:jc w:val="right"/>
              <w:textAlignment w:val="bottom"/>
            </w:pPr>
            <w:r>
              <w:rPr>
                <w:rFonts w:ascii="Arial" w:eastAsia="宋体" w:hAnsi="Arial" w:cs="Arial"/>
                <w:color w:val="000000"/>
                <w:sz w:val="14"/>
                <w:szCs w:val="14"/>
              </w:rPr>
              <w:t>395 </w:t>
            </w:r>
          </w:p>
        </w:tc>
        <w:tc>
          <w:tcPr>
            <w:tcW w:w="0" w:type="auto"/>
            <w:shd w:val="clear" w:color="auto" w:fill="FFFFFF"/>
            <w:tcMar>
              <w:top w:w="40" w:type="dxa"/>
              <w:left w:w="0" w:type="dxa"/>
              <w:bottom w:w="40" w:type="dxa"/>
              <w:right w:w="20" w:type="dxa"/>
            </w:tcMar>
            <w:vAlign w:val="bottom"/>
          </w:tcPr>
          <w:p w14:paraId="5F2CB6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6F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6FA" w14:textId="77777777" w:rsidR="00E836FB" w:rsidRDefault="00994958">
            <w:pPr>
              <w:jc w:val="right"/>
              <w:textAlignment w:val="bottom"/>
            </w:pPr>
            <w:r>
              <w:rPr>
                <w:rFonts w:ascii="Arial" w:eastAsia="宋体" w:hAnsi="Arial" w:cs="Arial"/>
                <w:color w:val="000000"/>
                <w:sz w:val="14"/>
                <w:szCs w:val="14"/>
              </w:rPr>
              <w:t>2.79 </w:t>
            </w:r>
          </w:p>
        </w:tc>
        <w:tc>
          <w:tcPr>
            <w:tcW w:w="0" w:type="auto"/>
            <w:shd w:val="clear" w:color="auto" w:fill="FFFFFF"/>
            <w:tcMar>
              <w:top w:w="40" w:type="dxa"/>
              <w:left w:w="0" w:type="dxa"/>
              <w:bottom w:w="40" w:type="dxa"/>
              <w:right w:w="20" w:type="dxa"/>
            </w:tcMar>
            <w:vAlign w:val="bottom"/>
          </w:tcPr>
          <w:p w14:paraId="5F2CB6FB" w14:textId="77777777" w:rsidR="00E836FB" w:rsidRDefault="00E836FB">
            <w:pPr>
              <w:jc w:val="right"/>
              <w:rPr>
                <w:rFonts w:ascii="宋体"/>
              </w:rPr>
            </w:pPr>
          </w:p>
        </w:tc>
        <w:tc>
          <w:tcPr>
            <w:tcW w:w="0" w:type="auto"/>
            <w:gridSpan w:val="3"/>
            <w:shd w:val="clear" w:color="auto" w:fill="auto"/>
            <w:vAlign w:val="bottom"/>
          </w:tcPr>
          <w:p w14:paraId="5F2CB6FC" w14:textId="77777777" w:rsidR="00E836FB" w:rsidRDefault="00E836FB">
            <w:pPr>
              <w:rPr>
                <w:rFonts w:ascii="宋体"/>
                <w:vanish/>
              </w:rPr>
            </w:pPr>
          </w:p>
        </w:tc>
        <w:tc>
          <w:tcPr>
            <w:tcW w:w="0" w:type="auto"/>
            <w:gridSpan w:val="3"/>
            <w:shd w:val="clear" w:color="auto" w:fill="auto"/>
            <w:vAlign w:val="bottom"/>
          </w:tcPr>
          <w:p w14:paraId="5F2CB6FD" w14:textId="77777777" w:rsidR="00E836FB" w:rsidRDefault="00E836FB">
            <w:pPr>
              <w:rPr>
                <w:rFonts w:ascii="宋体"/>
                <w:vanish/>
              </w:rPr>
            </w:pPr>
          </w:p>
        </w:tc>
        <w:tc>
          <w:tcPr>
            <w:tcW w:w="0" w:type="auto"/>
            <w:gridSpan w:val="2"/>
            <w:shd w:val="clear" w:color="auto" w:fill="auto"/>
            <w:vAlign w:val="bottom"/>
          </w:tcPr>
          <w:p w14:paraId="5F2CB6FE" w14:textId="77777777" w:rsidR="00E836FB" w:rsidRDefault="00E836FB">
            <w:pPr>
              <w:rPr>
                <w:rFonts w:ascii="宋体"/>
                <w:vanish/>
              </w:rPr>
            </w:pPr>
          </w:p>
        </w:tc>
        <w:tc>
          <w:tcPr>
            <w:tcW w:w="0" w:type="auto"/>
            <w:shd w:val="clear" w:color="auto" w:fill="auto"/>
            <w:vAlign w:val="bottom"/>
          </w:tcPr>
          <w:p w14:paraId="5F2CB6FF" w14:textId="77777777" w:rsidR="00E836FB" w:rsidRDefault="00E836FB">
            <w:pPr>
              <w:rPr>
                <w:rFonts w:ascii="宋体"/>
                <w:vanish/>
              </w:rPr>
            </w:pPr>
          </w:p>
        </w:tc>
      </w:tr>
      <w:tr w:rsidR="00994958" w14:paraId="5F2CB726" w14:textId="77777777">
        <w:tc>
          <w:tcPr>
            <w:tcW w:w="0" w:type="auto"/>
            <w:gridSpan w:val="3"/>
            <w:shd w:val="clear" w:color="auto" w:fill="CCEEFF"/>
            <w:tcMar>
              <w:top w:w="40" w:type="dxa"/>
              <w:left w:w="20" w:type="dxa"/>
              <w:bottom w:w="40" w:type="dxa"/>
              <w:right w:w="20" w:type="dxa"/>
            </w:tcMar>
            <w:vAlign w:val="bottom"/>
          </w:tcPr>
          <w:p w14:paraId="5F2CB701" w14:textId="77777777" w:rsidR="00E836FB" w:rsidRDefault="00994958">
            <w:pPr>
              <w:textAlignment w:val="bottom"/>
            </w:pPr>
            <w:r>
              <w:rPr>
                <w:rFonts w:ascii="Arial" w:eastAsia="宋体" w:hAnsi="Arial" w:cs="Arial"/>
                <w:color w:val="000000"/>
                <w:sz w:val="14"/>
                <w:szCs w:val="14"/>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B70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703" w14:textId="77777777" w:rsidR="00E836FB" w:rsidRDefault="00994958">
            <w:pPr>
              <w:jc w:val="right"/>
              <w:textAlignment w:val="bottom"/>
            </w:pPr>
            <w:r>
              <w:rPr>
                <w:rFonts w:ascii="Arial" w:eastAsia="宋体" w:hAnsi="Arial" w:cs="Arial"/>
                <w:b/>
                <w:bCs/>
                <w:color w:val="000000"/>
                <w:sz w:val="14"/>
                <w:szCs w:val="14"/>
              </w:rPr>
              <w:t>260,035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0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70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707" w14:textId="77777777" w:rsidR="00E836FB" w:rsidRDefault="00994958">
            <w:pPr>
              <w:jc w:val="right"/>
              <w:textAlignment w:val="bottom"/>
            </w:pPr>
            <w:r>
              <w:rPr>
                <w:rFonts w:ascii="Arial" w:eastAsia="宋体" w:hAnsi="Arial" w:cs="Arial"/>
                <w:b/>
                <w:bCs/>
                <w:color w:val="000000"/>
                <w:sz w:val="14"/>
                <w:szCs w:val="14"/>
              </w:rPr>
              <w:t>1,921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0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0A"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0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0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70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70E" w14:textId="77777777" w:rsidR="00E836FB" w:rsidRDefault="00994958">
            <w:pPr>
              <w:jc w:val="right"/>
              <w:textAlignment w:val="bottom"/>
            </w:pPr>
            <w:r>
              <w:rPr>
                <w:rFonts w:ascii="Arial" w:eastAsia="宋体" w:hAnsi="Arial" w:cs="Arial"/>
                <w:color w:val="000000"/>
                <w:sz w:val="14"/>
                <w:szCs w:val="14"/>
              </w:rPr>
              <w:t>228,874 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1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71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712" w14:textId="77777777" w:rsidR="00E836FB" w:rsidRDefault="00994958">
            <w:pPr>
              <w:jc w:val="right"/>
              <w:textAlignment w:val="bottom"/>
            </w:pPr>
            <w:r>
              <w:rPr>
                <w:rFonts w:ascii="Arial" w:eastAsia="宋体" w:hAnsi="Arial" w:cs="Arial"/>
                <w:color w:val="000000"/>
                <w:sz w:val="14"/>
                <w:szCs w:val="14"/>
              </w:rPr>
              <w:t>2,592 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15" w14:textId="77777777" w:rsidR="00E836FB" w:rsidRDefault="00994958">
            <w:pPr>
              <w:jc w:val="right"/>
              <w:textAlignment w:val="bottom"/>
            </w:pPr>
            <w:r>
              <w:rPr>
                <w:rFonts w:ascii="Arial" w:eastAsia="宋体" w:hAnsi="Arial" w:cs="Arial"/>
                <w:color w:val="000000"/>
                <w:sz w:val="14"/>
                <w:szCs w:val="14"/>
              </w:rPr>
              <w:t>1.13 </w:t>
            </w:r>
          </w:p>
        </w:tc>
        <w:tc>
          <w:tcPr>
            <w:tcW w:w="0" w:type="auto"/>
            <w:shd w:val="clear" w:color="auto" w:fill="CCEEFF"/>
            <w:tcMar>
              <w:top w:w="40" w:type="dxa"/>
              <w:left w:w="0" w:type="dxa"/>
              <w:bottom w:w="40" w:type="dxa"/>
              <w:right w:w="20" w:type="dxa"/>
            </w:tcMar>
            <w:vAlign w:val="bottom"/>
          </w:tcPr>
          <w:p w14:paraId="5F2CB7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1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71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719" w14:textId="77777777" w:rsidR="00E836FB" w:rsidRDefault="00994958">
            <w:pPr>
              <w:jc w:val="right"/>
              <w:textAlignment w:val="bottom"/>
            </w:pPr>
            <w:r>
              <w:rPr>
                <w:rFonts w:ascii="Arial" w:eastAsia="宋体" w:hAnsi="Arial" w:cs="Arial"/>
                <w:color w:val="000000"/>
                <w:sz w:val="14"/>
                <w:szCs w:val="14"/>
              </w:rPr>
              <w:t>181,891 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1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71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71D" w14:textId="77777777" w:rsidR="00E836FB" w:rsidRDefault="00994958">
            <w:pPr>
              <w:jc w:val="right"/>
              <w:textAlignment w:val="bottom"/>
            </w:pPr>
            <w:r>
              <w:rPr>
                <w:rFonts w:ascii="Arial" w:eastAsia="宋体" w:hAnsi="Arial" w:cs="Arial"/>
                <w:color w:val="000000"/>
                <w:sz w:val="14"/>
                <w:szCs w:val="14"/>
              </w:rPr>
              <w:t>3,960 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1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20" w14:textId="77777777" w:rsidR="00E836FB" w:rsidRDefault="00994958">
            <w:pPr>
              <w:jc w:val="right"/>
              <w:textAlignment w:val="bottom"/>
            </w:pPr>
            <w:r>
              <w:rPr>
                <w:rFonts w:ascii="Arial" w:eastAsia="宋体" w:hAnsi="Arial" w:cs="Arial"/>
                <w:color w:val="000000"/>
                <w:sz w:val="14"/>
                <w:szCs w:val="14"/>
              </w:rPr>
              <w:t>2.18 </w:t>
            </w:r>
          </w:p>
        </w:tc>
        <w:tc>
          <w:tcPr>
            <w:tcW w:w="0" w:type="auto"/>
            <w:shd w:val="clear" w:color="auto" w:fill="CCEEFF"/>
            <w:tcMar>
              <w:top w:w="40" w:type="dxa"/>
              <w:left w:w="0" w:type="dxa"/>
              <w:bottom w:w="40" w:type="dxa"/>
              <w:right w:w="20" w:type="dxa"/>
            </w:tcMar>
            <w:vAlign w:val="bottom"/>
          </w:tcPr>
          <w:p w14:paraId="5F2CB721" w14:textId="77777777" w:rsidR="00E836FB" w:rsidRDefault="00E836FB">
            <w:pPr>
              <w:jc w:val="right"/>
              <w:rPr>
                <w:rFonts w:ascii="宋体"/>
              </w:rPr>
            </w:pPr>
          </w:p>
        </w:tc>
        <w:tc>
          <w:tcPr>
            <w:tcW w:w="0" w:type="auto"/>
            <w:gridSpan w:val="3"/>
            <w:shd w:val="clear" w:color="auto" w:fill="auto"/>
            <w:vAlign w:val="bottom"/>
          </w:tcPr>
          <w:p w14:paraId="5F2CB722" w14:textId="77777777" w:rsidR="00E836FB" w:rsidRDefault="00E836FB">
            <w:pPr>
              <w:rPr>
                <w:rFonts w:ascii="宋体"/>
                <w:vanish/>
              </w:rPr>
            </w:pPr>
          </w:p>
        </w:tc>
        <w:tc>
          <w:tcPr>
            <w:tcW w:w="0" w:type="auto"/>
            <w:gridSpan w:val="3"/>
            <w:shd w:val="clear" w:color="auto" w:fill="auto"/>
            <w:vAlign w:val="bottom"/>
          </w:tcPr>
          <w:p w14:paraId="5F2CB723" w14:textId="77777777" w:rsidR="00E836FB" w:rsidRDefault="00E836FB">
            <w:pPr>
              <w:rPr>
                <w:rFonts w:ascii="宋体"/>
                <w:vanish/>
              </w:rPr>
            </w:pPr>
          </w:p>
        </w:tc>
        <w:tc>
          <w:tcPr>
            <w:tcW w:w="0" w:type="auto"/>
            <w:gridSpan w:val="2"/>
            <w:shd w:val="clear" w:color="auto" w:fill="auto"/>
            <w:vAlign w:val="bottom"/>
          </w:tcPr>
          <w:p w14:paraId="5F2CB724" w14:textId="77777777" w:rsidR="00E836FB" w:rsidRDefault="00E836FB">
            <w:pPr>
              <w:rPr>
                <w:rFonts w:ascii="宋体"/>
                <w:vanish/>
              </w:rPr>
            </w:pPr>
          </w:p>
        </w:tc>
        <w:tc>
          <w:tcPr>
            <w:tcW w:w="0" w:type="auto"/>
            <w:shd w:val="clear" w:color="auto" w:fill="auto"/>
            <w:vAlign w:val="bottom"/>
          </w:tcPr>
          <w:p w14:paraId="5F2CB725" w14:textId="77777777" w:rsidR="00E836FB" w:rsidRDefault="00E836FB">
            <w:pPr>
              <w:rPr>
                <w:rFonts w:ascii="宋体"/>
                <w:vanish/>
              </w:rPr>
            </w:pPr>
          </w:p>
        </w:tc>
      </w:tr>
      <w:tr w:rsidR="00E836FB" w14:paraId="5F2CB73D" w14:textId="77777777">
        <w:tc>
          <w:tcPr>
            <w:tcW w:w="0" w:type="auto"/>
            <w:gridSpan w:val="3"/>
            <w:shd w:val="clear" w:color="auto" w:fill="FFFFFF"/>
            <w:tcMar>
              <w:top w:w="40" w:type="dxa"/>
              <w:left w:w="20" w:type="dxa"/>
              <w:bottom w:w="40" w:type="dxa"/>
              <w:right w:w="20" w:type="dxa"/>
            </w:tcMar>
            <w:vAlign w:val="bottom"/>
          </w:tcPr>
          <w:p w14:paraId="5F2CB727" w14:textId="77777777" w:rsidR="00E836FB" w:rsidRDefault="00994958">
            <w:pPr>
              <w:textAlignment w:val="bottom"/>
            </w:pPr>
            <w:r>
              <w:rPr>
                <w:rFonts w:ascii="Arial" w:eastAsia="宋体" w:hAnsi="Arial" w:cs="Arial"/>
                <w:color w:val="000000"/>
                <w:sz w:val="14"/>
                <w:szCs w:val="14"/>
              </w:rPr>
              <w:t>Interest-bearing</w:t>
            </w:r>
            <w:r>
              <w:rPr>
                <w:rFonts w:ascii="Arial" w:eastAsia="宋体" w:hAnsi="Arial" w:cs="Arial"/>
                <w:color w:val="000000"/>
                <w:sz w:val="14"/>
                <w:szCs w:val="14"/>
              </w:rPr>
              <w:t xml:space="preserve">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72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29"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72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2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2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2D"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72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2F"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73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3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3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33"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73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35"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73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738" w14:textId="77777777" w:rsidR="00E836FB" w:rsidRDefault="00E836FB">
            <w:pPr>
              <w:rPr>
                <w:rFonts w:ascii="宋体"/>
              </w:rPr>
            </w:pPr>
          </w:p>
        </w:tc>
        <w:tc>
          <w:tcPr>
            <w:tcW w:w="0" w:type="auto"/>
            <w:gridSpan w:val="3"/>
            <w:shd w:val="clear" w:color="auto" w:fill="auto"/>
            <w:vAlign w:val="bottom"/>
          </w:tcPr>
          <w:p w14:paraId="5F2CB739" w14:textId="77777777" w:rsidR="00E836FB" w:rsidRDefault="00E836FB">
            <w:pPr>
              <w:rPr>
                <w:rFonts w:ascii="宋体"/>
                <w:vanish/>
              </w:rPr>
            </w:pPr>
          </w:p>
        </w:tc>
        <w:tc>
          <w:tcPr>
            <w:tcW w:w="0" w:type="auto"/>
            <w:gridSpan w:val="3"/>
            <w:shd w:val="clear" w:color="auto" w:fill="auto"/>
            <w:vAlign w:val="bottom"/>
          </w:tcPr>
          <w:p w14:paraId="5F2CB73A" w14:textId="77777777" w:rsidR="00E836FB" w:rsidRDefault="00E836FB">
            <w:pPr>
              <w:rPr>
                <w:rFonts w:ascii="宋体"/>
                <w:vanish/>
              </w:rPr>
            </w:pPr>
          </w:p>
        </w:tc>
        <w:tc>
          <w:tcPr>
            <w:tcW w:w="0" w:type="auto"/>
            <w:gridSpan w:val="2"/>
            <w:shd w:val="clear" w:color="auto" w:fill="auto"/>
            <w:vAlign w:val="bottom"/>
          </w:tcPr>
          <w:p w14:paraId="5F2CB73B" w14:textId="77777777" w:rsidR="00E836FB" w:rsidRDefault="00E836FB">
            <w:pPr>
              <w:rPr>
                <w:rFonts w:ascii="宋体"/>
                <w:vanish/>
              </w:rPr>
            </w:pPr>
          </w:p>
        </w:tc>
        <w:tc>
          <w:tcPr>
            <w:tcW w:w="0" w:type="auto"/>
            <w:shd w:val="clear" w:color="auto" w:fill="auto"/>
            <w:vAlign w:val="bottom"/>
          </w:tcPr>
          <w:p w14:paraId="5F2CB73C" w14:textId="77777777" w:rsidR="00E836FB" w:rsidRDefault="00E836FB">
            <w:pPr>
              <w:rPr>
                <w:rFonts w:ascii="宋体"/>
                <w:vanish/>
              </w:rPr>
            </w:pPr>
          </w:p>
        </w:tc>
      </w:tr>
      <w:tr w:rsidR="00994958" w14:paraId="5F2CB763" w14:textId="77777777">
        <w:tc>
          <w:tcPr>
            <w:tcW w:w="0" w:type="auto"/>
            <w:gridSpan w:val="3"/>
            <w:shd w:val="clear" w:color="auto" w:fill="CCEEFF"/>
            <w:tcMar>
              <w:top w:w="40" w:type="dxa"/>
              <w:left w:w="245" w:type="dxa"/>
              <w:bottom w:w="40" w:type="dxa"/>
              <w:right w:w="20" w:type="dxa"/>
            </w:tcMar>
            <w:vAlign w:val="bottom"/>
          </w:tcPr>
          <w:p w14:paraId="5F2CB73E" w14:textId="77777777" w:rsidR="00E836FB" w:rsidRDefault="00994958">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5F2CB73F"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B740" w14:textId="77777777" w:rsidR="00E836FB" w:rsidRDefault="00994958">
            <w:pPr>
              <w:jc w:val="right"/>
              <w:textAlignment w:val="bottom"/>
            </w:pPr>
            <w:r>
              <w:rPr>
                <w:rFonts w:ascii="Arial" w:eastAsia="宋体" w:hAnsi="Arial" w:cs="Arial"/>
                <w:b/>
                <w:bCs/>
                <w:color w:val="000000"/>
                <w:sz w:val="14"/>
                <w:szCs w:val="14"/>
              </w:rPr>
              <w:t>104,848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4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743"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B744" w14:textId="77777777" w:rsidR="00E836FB" w:rsidRDefault="00994958">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4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47" w14:textId="77777777" w:rsidR="00E836FB" w:rsidRDefault="00994958">
            <w:pPr>
              <w:jc w:val="right"/>
              <w:textAlignment w:val="bottom"/>
            </w:pPr>
            <w:r>
              <w:rPr>
                <w:rFonts w:ascii="Arial" w:eastAsia="宋体" w:hAnsi="Arial" w:cs="Arial"/>
                <w:b/>
                <w:bCs/>
                <w:color w:val="000000"/>
                <w:sz w:val="14"/>
                <w:szCs w:val="14"/>
              </w:rPr>
              <w:t>.01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48"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B74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74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74B" w14:textId="77777777" w:rsidR="00E836FB" w:rsidRDefault="00994958">
            <w:pPr>
              <w:jc w:val="right"/>
              <w:textAlignment w:val="bottom"/>
            </w:pPr>
            <w:r>
              <w:rPr>
                <w:rFonts w:ascii="Arial" w:eastAsia="宋体" w:hAnsi="Arial" w:cs="Arial"/>
                <w:color w:val="000000"/>
                <w:sz w:val="14"/>
                <w:szCs w:val="14"/>
              </w:rPr>
              <w:t>87,444 </w:t>
            </w:r>
          </w:p>
        </w:tc>
        <w:tc>
          <w:tcPr>
            <w:tcW w:w="0" w:type="auto"/>
            <w:shd w:val="clear" w:color="auto" w:fill="CCEEFF"/>
            <w:tcMar>
              <w:top w:w="40" w:type="dxa"/>
              <w:left w:w="0" w:type="dxa"/>
              <w:bottom w:w="40" w:type="dxa"/>
              <w:right w:w="20" w:type="dxa"/>
            </w:tcMar>
            <w:vAlign w:val="bottom"/>
          </w:tcPr>
          <w:p w14:paraId="5F2CB7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4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74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74F" w14:textId="77777777" w:rsidR="00E836FB" w:rsidRDefault="00994958">
            <w:pPr>
              <w:jc w:val="right"/>
              <w:textAlignment w:val="bottom"/>
            </w:pPr>
            <w:r>
              <w:rPr>
                <w:rFonts w:ascii="Arial" w:eastAsia="宋体" w:hAnsi="Arial" w:cs="Arial"/>
                <w:color w:val="000000"/>
                <w:sz w:val="14"/>
                <w:szCs w:val="14"/>
              </w:rPr>
              <w:t>114 </w:t>
            </w:r>
          </w:p>
        </w:tc>
        <w:tc>
          <w:tcPr>
            <w:tcW w:w="0" w:type="auto"/>
            <w:shd w:val="clear" w:color="auto" w:fill="CCEEFF"/>
            <w:tcMar>
              <w:top w:w="40" w:type="dxa"/>
              <w:left w:w="0" w:type="dxa"/>
              <w:bottom w:w="40" w:type="dxa"/>
              <w:right w:w="20" w:type="dxa"/>
            </w:tcMar>
            <w:vAlign w:val="bottom"/>
          </w:tcPr>
          <w:p w14:paraId="5F2CB7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52"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5F2CB753"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B75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755"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756" w14:textId="77777777" w:rsidR="00E836FB" w:rsidRDefault="00994958">
            <w:pPr>
              <w:jc w:val="right"/>
              <w:textAlignment w:val="bottom"/>
            </w:pPr>
            <w:r>
              <w:rPr>
                <w:rFonts w:ascii="Arial" w:eastAsia="宋体" w:hAnsi="Arial" w:cs="Arial"/>
                <w:color w:val="000000"/>
                <w:sz w:val="14"/>
                <w:szCs w:val="14"/>
              </w:rPr>
              <w:t>67,547 </w:t>
            </w:r>
          </w:p>
        </w:tc>
        <w:tc>
          <w:tcPr>
            <w:tcW w:w="0" w:type="auto"/>
            <w:shd w:val="clear" w:color="auto" w:fill="CCEEFF"/>
            <w:tcMar>
              <w:top w:w="40" w:type="dxa"/>
              <w:left w:w="0" w:type="dxa"/>
              <w:bottom w:w="40" w:type="dxa"/>
              <w:right w:w="20" w:type="dxa"/>
            </w:tcMar>
            <w:vAlign w:val="bottom"/>
          </w:tcPr>
          <w:p w14:paraId="5F2CB7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5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75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75A" w14:textId="77777777" w:rsidR="00E836FB" w:rsidRDefault="00994958">
            <w:pPr>
              <w:jc w:val="right"/>
              <w:textAlignment w:val="bottom"/>
            </w:pPr>
            <w:r>
              <w:rPr>
                <w:rFonts w:ascii="Arial" w:eastAsia="宋体" w:hAnsi="Arial" w:cs="Arial"/>
                <w:color w:val="000000"/>
                <w:sz w:val="14"/>
                <w:szCs w:val="14"/>
              </w:rPr>
              <w:t>539 </w:t>
            </w:r>
          </w:p>
        </w:tc>
        <w:tc>
          <w:tcPr>
            <w:tcW w:w="0" w:type="auto"/>
            <w:shd w:val="clear" w:color="auto" w:fill="CCEEFF"/>
            <w:tcMar>
              <w:top w:w="40" w:type="dxa"/>
              <w:left w:w="0" w:type="dxa"/>
              <w:bottom w:w="40" w:type="dxa"/>
              <w:right w:w="20" w:type="dxa"/>
            </w:tcMar>
            <w:vAlign w:val="bottom"/>
          </w:tcPr>
          <w:p w14:paraId="5F2CB7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5D" w14:textId="77777777" w:rsidR="00E836FB" w:rsidRDefault="00994958">
            <w:pPr>
              <w:jc w:val="right"/>
              <w:textAlignment w:val="bottom"/>
            </w:pPr>
            <w:r>
              <w:rPr>
                <w:rFonts w:ascii="Arial" w:eastAsia="宋体" w:hAnsi="Arial" w:cs="Arial"/>
                <w:color w:val="000000"/>
                <w:sz w:val="14"/>
                <w:szCs w:val="14"/>
              </w:rPr>
              <w:t>.80 </w:t>
            </w:r>
          </w:p>
        </w:tc>
        <w:tc>
          <w:tcPr>
            <w:tcW w:w="0" w:type="auto"/>
            <w:shd w:val="clear" w:color="auto" w:fill="CCEEFF"/>
            <w:tcMar>
              <w:top w:w="40" w:type="dxa"/>
              <w:left w:w="0" w:type="dxa"/>
              <w:bottom w:w="40" w:type="dxa"/>
              <w:right w:w="20" w:type="dxa"/>
            </w:tcMar>
            <w:vAlign w:val="bottom"/>
          </w:tcPr>
          <w:p w14:paraId="5F2CB75E"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B75F" w14:textId="77777777" w:rsidR="00E836FB" w:rsidRDefault="00E836FB">
            <w:pPr>
              <w:rPr>
                <w:rFonts w:ascii="宋体"/>
                <w:vanish/>
              </w:rPr>
            </w:pPr>
          </w:p>
        </w:tc>
        <w:tc>
          <w:tcPr>
            <w:tcW w:w="0" w:type="auto"/>
            <w:gridSpan w:val="3"/>
            <w:shd w:val="clear" w:color="auto" w:fill="auto"/>
            <w:vAlign w:val="bottom"/>
          </w:tcPr>
          <w:p w14:paraId="5F2CB760" w14:textId="77777777" w:rsidR="00E836FB" w:rsidRDefault="00E836FB">
            <w:pPr>
              <w:rPr>
                <w:rFonts w:ascii="宋体"/>
                <w:vanish/>
              </w:rPr>
            </w:pPr>
          </w:p>
        </w:tc>
        <w:tc>
          <w:tcPr>
            <w:tcW w:w="0" w:type="auto"/>
            <w:gridSpan w:val="2"/>
            <w:shd w:val="clear" w:color="auto" w:fill="auto"/>
            <w:vAlign w:val="bottom"/>
          </w:tcPr>
          <w:p w14:paraId="5F2CB761" w14:textId="77777777" w:rsidR="00E836FB" w:rsidRDefault="00E836FB">
            <w:pPr>
              <w:rPr>
                <w:rFonts w:ascii="宋体"/>
                <w:vanish/>
              </w:rPr>
            </w:pPr>
          </w:p>
        </w:tc>
        <w:tc>
          <w:tcPr>
            <w:tcW w:w="0" w:type="auto"/>
            <w:shd w:val="clear" w:color="auto" w:fill="auto"/>
            <w:vAlign w:val="bottom"/>
          </w:tcPr>
          <w:p w14:paraId="5F2CB762" w14:textId="77777777" w:rsidR="00E836FB" w:rsidRDefault="00E836FB">
            <w:pPr>
              <w:rPr>
                <w:rFonts w:ascii="宋体"/>
                <w:vanish/>
              </w:rPr>
            </w:pPr>
          </w:p>
        </w:tc>
      </w:tr>
      <w:tr w:rsidR="00E836FB" w14:paraId="5F2CB783" w14:textId="77777777">
        <w:tc>
          <w:tcPr>
            <w:tcW w:w="0" w:type="auto"/>
            <w:gridSpan w:val="3"/>
            <w:shd w:val="clear" w:color="auto" w:fill="FFFFFF"/>
            <w:tcMar>
              <w:top w:w="40" w:type="dxa"/>
              <w:left w:w="20" w:type="dxa"/>
              <w:bottom w:w="40" w:type="dxa"/>
              <w:right w:w="20" w:type="dxa"/>
            </w:tcMar>
            <w:vAlign w:val="bottom"/>
          </w:tcPr>
          <w:p w14:paraId="5F2CB764" w14:textId="77777777" w:rsidR="00E836FB" w:rsidRDefault="00994958">
            <w:pPr>
              <w:textAlignment w:val="bottom"/>
            </w:pPr>
            <w:r>
              <w:rPr>
                <w:rFonts w:ascii="Arial" w:eastAsia="宋体" w:hAnsi="Arial" w:cs="Arial"/>
                <w:color w:val="000000"/>
                <w:sz w:val="14"/>
                <w:szCs w:val="14"/>
              </w:rPr>
              <w:t>Non-U.S.</w:t>
            </w:r>
            <w:r>
              <w:rPr>
                <w:rFonts w:ascii="Arial" w:eastAsia="宋体" w:hAnsi="Arial" w:cs="Arial"/>
                <w:color w:val="000000"/>
                <w:sz w:val="9"/>
                <w:szCs w:val="9"/>
              </w:rPr>
              <w:t>(2)(4)</w:t>
            </w:r>
          </w:p>
        </w:tc>
        <w:tc>
          <w:tcPr>
            <w:tcW w:w="0" w:type="auto"/>
            <w:gridSpan w:val="2"/>
            <w:shd w:val="clear" w:color="auto" w:fill="FFFFFF"/>
            <w:tcMar>
              <w:top w:w="40" w:type="dxa"/>
              <w:left w:w="20" w:type="dxa"/>
              <w:bottom w:w="40" w:type="dxa"/>
              <w:right w:w="0" w:type="dxa"/>
            </w:tcMar>
            <w:vAlign w:val="bottom"/>
          </w:tcPr>
          <w:p w14:paraId="5F2CB765" w14:textId="77777777" w:rsidR="00E836FB" w:rsidRDefault="00994958">
            <w:pPr>
              <w:jc w:val="right"/>
              <w:textAlignment w:val="bottom"/>
            </w:pPr>
            <w:r>
              <w:rPr>
                <w:rFonts w:ascii="Arial" w:eastAsia="宋体" w:hAnsi="Arial" w:cs="Arial"/>
                <w:b/>
                <w:bCs/>
                <w:color w:val="000000"/>
                <w:sz w:val="14"/>
                <w:szCs w:val="14"/>
              </w:rPr>
              <w:t>82,126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7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68" w14:textId="77777777" w:rsidR="00E836FB" w:rsidRDefault="00994958">
            <w:pPr>
              <w:jc w:val="right"/>
              <w:textAlignment w:val="bottom"/>
            </w:pPr>
            <w:r>
              <w:rPr>
                <w:rFonts w:ascii="Arial" w:eastAsia="宋体" w:hAnsi="Arial" w:cs="Arial"/>
                <w:b/>
                <w:bCs/>
                <w:color w:val="000000"/>
                <w:sz w:val="14"/>
                <w:szCs w:val="14"/>
              </w:rPr>
              <w:t>(273)</w:t>
            </w:r>
          </w:p>
        </w:tc>
        <w:tc>
          <w:tcPr>
            <w:tcW w:w="0" w:type="auto"/>
            <w:shd w:val="clear" w:color="auto" w:fill="FFFFFF"/>
            <w:tcMar>
              <w:top w:w="40" w:type="dxa"/>
              <w:left w:w="0" w:type="dxa"/>
              <w:bottom w:w="40" w:type="dxa"/>
              <w:right w:w="20" w:type="dxa"/>
            </w:tcMar>
            <w:vAlign w:val="bottom"/>
          </w:tcPr>
          <w:p w14:paraId="5F2CB7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6B" w14:textId="77777777" w:rsidR="00E836FB" w:rsidRDefault="00994958">
            <w:pPr>
              <w:jc w:val="right"/>
              <w:textAlignment w:val="bottom"/>
            </w:pPr>
            <w:r>
              <w:rPr>
                <w:rFonts w:ascii="Arial" w:eastAsia="宋体" w:hAnsi="Arial" w:cs="Arial"/>
                <w:b/>
                <w:bCs/>
                <w:color w:val="000000"/>
                <w:sz w:val="14"/>
                <w:szCs w:val="14"/>
              </w:rPr>
              <w:t>(.33)</w:t>
            </w:r>
          </w:p>
        </w:tc>
        <w:tc>
          <w:tcPr>
            <w:tcW w:w="0" w:type="auto"/>
            <w:shd w:val="clear" w:color="auto" w:fill="FFFFFF"/>
            <w:tcMar>
              <w:top w:w="40" w:type="dxa"/>
              <w:left w:w="0" w:type="dxa"/>
              <w:bottom w:w="40" w:type="dxa"/>
              <w:right w:w="20" w:type="dxa"/>
            </w:tcMar>
            <w:vAlign w:val="bottom"/>
          </w:tcPr>
          <w:p w14:paraId="5F2CB7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6E" w14:textId="77777777" w:rsidR="00E836FB" w:rsidRDefault="00994958">
            <w:pPr>
              <w:jc w:val="right"/>
              <w:textAlignment w:val="bottom"/>
            </w:pPr>
            <w:r>
              <w:rPr>
                <w:rFonts w:ascii="Arial" w:eastAsia="宋体" w:hAnsi="Arial" w:cs="Arial"/>
                <w:color w:val="000000"/>
                <w:sz w:val="14"/>
                <w:szCs w:val="14"/>
              </w:rPr>
              <w:t>68,806 </w:t>
            </w:r>
          </w:p>
        </w:tc>
        <w:tc>
          <w:tcPr>
            <w:tcW w:w="0" w:type="auto"/>
            <w:shd w:val="clear" w:color="auto" w:fill="FFFFFF"/>
            <w:tcMar>
              <w:top w:w="40" w:type="dxa"/>
              <w:left w:w="0" w:type="dxa"/>
              <w:bottom w:w="40" w:type="dxa"/>
              <w:right w:w="20" w:type="dxa"/>
            </w:tcMar>
            <w:vAlign w:val="bottom"/>
          </w:tcPr>
          <w:p w14:paraId="5F2CB7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71" w14:textId="77777777" w:rsidR="00E836FB" w:rsidRDefault="00994958">
            <w:pPr>
              <w:jc w:val="right"/>
              <w:textAlignment w:val="bottom"/>
            </w:pPr>
            <w:r>
              <w:rPr>
                <w:rFonts w:ascii="Arial" w:eastAsia="宋体" w:hAnsi="Arial" w:cs="Arial"/>
                <w:color w:val="000000"/>
                <w:sz w:val="14"/>
                <w:szCs w:val="14"/>
              </w:rPr>
              <w:t>(231)</w:t>
            </w:r>
          </w:p>
        </w:tc>
        <w:tc>
          <w:tcPr>
            <w:tcW w:w="0" w:type="auto"/>
            <w:shd w:val="clear" w:color="auto" w:fill="FFFFFF"/>
            <w:tcMar>
              <w:top w:w="40" w:type="dxa"/>
              <w:left w:w="0" w:type="dxa"/>
              <w:bottom w:w="40" w:type="dxa"/>
              <w:right w:w="20" w:type="dxa"/>
            </w:tcMar>
            <w:vAlign w:val="bottom"/>
          </w:tcPr>
          <w:p w14:paraId="5F2CB7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74" w14:textId="77777777" w:rsidR="00E836FB" w:rsidRDefault="00994958">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5F2CB7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77" w14:textId="77777777" w:rsidR="00E836FB" w:rsidRDefault="00994958">
            <w:pPr>
              <w:jc w:val="right"/>
              <w:textAlignment w:val="bottom"/>
            </w:pPr>
            <w:r>
              <w:rPr>
                <w:rFonts w:ascii="Arial" w:eastAsia="宋体" w:hAnsi="Arial" w:cs="Arial"/>
                <w:color w:val="000000"/>
                <w:sz w:val="14"/>
                <w:szCs w:val="14"/>
              </w:rPr>
              <w:t>61,301 </w:t>
            </w:r>
          </w:p>
        </w:tc>
        <w:tc>
          <w:tcPr>
            <w:tcW w:w="0" w:type="auto"/>
            <w:shd w:val="clear" w:color="auto" w:fill="FFFFFF"/>
            <w:tcMar>
              <w:top w:w="40" w:type="dxa"/>
              <w:left w:w="0" w:type="dxa"/>
              <w:bottom w:w="40" w:type="dxa"/>
              <w:right w:w="20" w:type="dxa"/>
            </w:tcMar>
            <w:vAlign w:val="bottom"/>
          </w:tcPr>
          <w:p w14:paraId="5F2CB7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7A" w14:textId="77777777" w:rsidR="00E836FB" w:rsidRDefault="00994958">
            <w:pPr>
              <w:jc w:val="right"/>
              <w:textAlignment w:val="bottom"/>
            </w:pPr>
            <w:r>
              <w:rPr>
                <w:rFonts w:ascii="Arial" w:eastAsia="宋体" w:hAnsi="Arial" w:cs="Arial"/>
                <w:color w:val="000000"/>
                <w:sz w:val="14"/>
                <w:szCs w:val="14"/>
              </w:rPr>
              <w:t>124 </w:t>
            </w:r>
          </w:p>
        </w:tc>
        <w:tc>
          <w:tcPr>
            <w:tcW w:w="0" w:type="auto"/>
            <w:shd w:val="clear" w:color="auto" w:fill="FFFFFF"/>
            <w:tcMar>
              <w:top w:w="40" w:type="dxa"/>
              <w:left w:w="0" w:type="dxa"/>
              <w:bottom w:w="40" w:type="dxa"/>
              <w:right w:w="20" w:type="dxa"/>
            </w:tcMar>
            <w:vAlign w:val="bottom"/>
          </w:tcPr>
          <w:p w14:paraId="5F2CB7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7D"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FFFFFF"/>
            <w:tcMar>
              <w:top w:w="40" w:type="dxa"/>
              <w:left w:w="0" w:type="dxa"/>
              <w:bottom w:w="40" w:type="dxa"/>
              <w:right w:w="20" w:type="dxa"/>
            </w:tcMar>
            <w:vAlign w:val="bottom"/>
          </w:tcPr>
          <w:p w14:paraId="5F2CB77E" w14:textId="77777777" w:rsidR="00E836FB" w:rsidRDefault="00E836FB">
            <w:pPr>
              <w:jc w:val="right"/>
              <w:rPr>
                <w:rFonts w:ascii="宋体"/>
              </w:rPr>
            </w:pPr>
          </w:p>
        </w:tc>
        <w:tc>
          <w:tcPr>
            <w:tcW w:w="0" w:type="auto"/>
            <w:gridSpan w:val="3"/>
            <w:shd w:val="clear" w:color="auto" w:fill="auto"/>
            <w:vAlign w:val="bottom"/>
          </w:tcPr>
          <w:p w14:paraId="5F2CB77F" w14:textId="77777777" w:rsidR="00E836FB" w:rsidRDefault="00E836FB">
            <w:pPr>
              <w:rPr>
                <w:rFonts w:ascii="宋体"/>
                <w:vanish/>
              </w:rPr>
            </w:pPr>
          </w:p>
        </w:tc>
        <w:tc>
          <w:tcPr>
            <w:tcW w:w="0" w:type="auto"/>
            <w:gridSpan w:val="3"/>
            <w:shd w:val="clear" w:color="auto" w:fill="auto"/>
            <w:vAlign w:val="bottom"/>
          </w:tcPr>
          <w:p w14:paraId="5F2CB780" w14:textId="77777777" w:rsidR="00E836FB" w:rsidRDefault="00E836FB">
            <w:pPr>
              <w:rPr>
                <w:rFonts w:ascii="宋体"/>
                <w:vanish/>
              </w:rPr>
            </w:pPr>
          </w:p>
        </w:tc>
        <w:tc>
          <w:tcPr>
            <w:tcW w:w="0" w:type="auto"/>
            <w:gridSpan w:val="2"/>
            <w:shd w:val="clear" w:color="auto" w:fill="auto"/>
            <w:vAlign w:val="bottom"/>
          </w:tcPr>
          <w:p w14:paraId="5F2CB781" w14:textId="77777777" w:rsidR="00E836FB" w:rsidRDefault="00E836FB">
            <w:pPr>
              <w:rPr>
                <w:rFonts w:ascii="宋体"/>
                <w:vanish/>
              </w:rPr>
            </w:pPr>
          </w:p>
        </w:tc>
        <w:tc>
          <w:tcPr>
            <w:tcW w:w="0" w:type="auto"/>
            <w:shd w:val="clear" w:color="auto" w:fill="auto"/>
            <w:vAlign w:val="bottom"/>
          </w:tcPr>
          <w:p w14:paraId="5F2CB782" w14:textId="77777777" w:rsidR="00E836FB" w:rsidRDefault="00E836FB">
            <w:pPr>
              <w:rPr>
                <w:rFonts w:ascii="宋体"/>
                <w:vanish/>
              </w:rPr>
            </w:pPr>
          </w:p>
        </w:tc>
      </w:tr>
      <w:tr w:rsidR="00E836FB" w14:paraId="5F2CB7A3" w14:textId="77777777">
        <w:tc>
          <w:tcPr>
            <w:tcW w:w="0" w:type="auto"/>
            <w:gridSpan w:val="3"/>
            <w:shd w:val="clear" w:color="auto" w:fill="CCEEFF"/>
            <w:tcMar>
              <w:top w:w="40" w:type="dxa"/>
              <w:left w:w="20" w:type="dxa"/>
              <w:bottom w:w="40" w:type="dxa"/>
              <w:right w:w="20" w:type="dxa"/>
            </w:tcMar>
            <w:vAlign w:val="bottom"/>
          </w:tcPr>
          <w:p w14:paraId="5F2CB784" w14:textId="77777777" w:rsidR="00E836FB" w:rsidRDefault="00994958">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785" w14:textId="77777777" w:rsidR="00E836FB" w:rsidRDefault="00994958">
            <w:pPr>
              <w:jc w:val="right"/>
              <w:textAlignment w:val="bottom"/>
            </w:pPr>
            <w:r>
              <w:rPr>
                <w:rFonts w:ascii="Arial" w:eastAsia="宋体" w:hAnsi="Arial" w:cs="Arial"/>
                <w:b/>
                <w:bCs/>
                <w:color w:val="000000"/>
                <w:sz w:val="14"/>
                <w:szCs w:val="14"/>
              </w:rPr>
              <w:t>186,974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8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788" w14:textId="77777777" w:rsidR="00E836FB" w:rsidRDefault="00994958">
            <w:pPr>
              <w:jc w:val="right"/>
              <w:textAlignment w:val="bottom"/>
            </w:pPr>
            <w:r>
              <w:rPr>
                <w:rFonts w:ascii="Arial" w:eastAsia="宋体" w:hAnsi="Arial" w:cs="Arial"/>
                <w:b/>
                <w:bCs/>
                <w:color w:val="000000"/>
                <w:sz w:val="14"/>
                <w:szCs w:val="14"/>
              </w:rPr>
              <w:t>(263)</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8B" w14:textId="77777777" w:rsidR="00E836FB" w:rsidRDefault="00994958">
            <w:pPr>
              <w:jc w:val="right"/>
              <w:textAlignment w:val="bottom"/>
            </w:pPr>
            <w:r>
              <w:rPr>
                <w:rFonts w:ascii="Arial" w:eastAsia="宋体" w:hAnsi="Arial" w:cs="Arial"/>
                <w:b/>
                <w:bCs/>
                <w:color w:val="000000"/>
                <w:sz w:val="14"/>
                <w:szCs w:val="14"/>
              </w:rPr>
              <w:t>(.14)</w:t>
            </w:r>
          </w:p>
        </w:tc>
        <w:tc>
          <w:tcPr>
            <w:tcW w:w="0" w:type="auto"/>
            <w:shd w:val="clear" w:color="auto" w:fill="CCEEFF"/>
            <w:tcMar>
              <w:top w:w="40" w:type="dxa"/>
              <w:left w:w="0" w:type="dxa"/>
              <w:bottom w:w="40" w:type="dxa"/>
              <w:right w:w="20" w:type="dxa"/>
            </w:tcMar>
            <w:vAlign w:val="bottom"/>
          </w:tcPr>
          <w:p w14:paraId="5F2CB7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8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78E" w14:textId="77777777" w:rsidR="00E836FB" w:rsidRDefault="00994958">
            <w:pPr>
              <w:jc w:val="right"/>
              <w:textAlignment w:val="bottom"/>
            </w:pPr>
            <w:r>
              <w:rPr>
                <w:rFonts w:ascii="Arial" w:eastAsia="宋体" w:hAnsi="Arial" w:cs="Arial"/>
                <w:color w:val="000000"/>
                <w:sz w:val="14"/>
                <w:szCs w:val="14"/>
              </w:rPr>
              <w:t>156,250 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9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791" w14:textId="77777777" w:rsidR="00E836FB" w:rsidRDefault="00994958">
            <w:pPr>
              <w:jc w:val="right"/>
              <w:textAlignment w:val="bottom"/>
            </w:pPr>
            <w:r>
              <w:rPr>
                <w:rFonts w:ascii="Arial" w:eastAsia="宋体" w:hAnsi="Arial" w:cs="Arial"/>
                <w:color w:val="000000"/>
                <w:sz w:val="14"/>
                <w:szCs w:val="14"/>
              </w:rPr>
              <w:t>(117)</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9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94" w14:textId="77777777" w:rsidR="00E836FB" w:rsidRDefault="00994958">
            <w:pPr>
              <w:jc w:val="right"/>
              <w:textAlignment w:val="bottom"/>
            </w:pPr>
            <w:r>
              <w:rPr>
                <w:rFonts w:ascii="Arial" w:eastAsia="宋体" w:hAnsi="Arial" w:cs="Arial"/>
                <w:color w:val="000000"/>
                <w:sz w:val="14"/>
                <w:szCs w:val="14"/>
              </w:rPr>
              <w:t>(.07)</w:t>
            </w:r>
          </w:p>
        </w:tc>
        <w:tc>
          <w:tcPr>
            <w:tcW w:w="0" w:type="auto"/>
            <w:shd w:val="clear" w:color="auto" w:fill="CCEEFF"/>
            <w:tcMar>
              <w:top w:w="40" w:type="dxa"/>
              <w:left w:w="0" w:type="dxa"/>
              <w:bottom w:w="40" w:type="dxa"/>
              <w:right w:w="20" w:type="dxa"/>
            </w:tcMar>
            <w:vAlign w:val="bottom"/>
          </w:tcPr>
          <w:p w14:paraId="5F2CB7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9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797" w14:textId="77777777" w:rsidR="00E836FB" w:rsidRDefault="00994958">
            <w:pPr>
              <w:jc w:val="right"/>
              <w:textAlignment w:val="bottom"/>
            </w:pPr>
            <w:r>
              <w:rPr>
                <w:rFonts w:ascii="Arial" w:eastAsia="宋体" w:hAnsi="Arial" w:cs="Arial"/>
                <w:color w:val="000000"/>
                <w:sz w:val="14"/>
                <w:szCs w:val="14"/>
              </w:rPr>
              <w:t>128,848 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9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79A" w14:textId="77777777" w:rsidR="00E836FB" w:rsidRDefault="00994958">
            <w:pPr>
              <w:jc w:val="right"/>
              <w:textAlignment w:val="bottom"/>
            </w:pPr>
            <w:r>
              <w:rPr>
                <w:rFonts w:ascii="Arial" w:eastAsia="宋体" w:hAnsi="Arial" w:cs="Arial"/>
                <w:color w:val="000000"/>
                <w:sz w:val="14"/>
                <w:szCs w:val="14"/>
              </w:rPr>
              <w:t>663 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7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9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9D" w14:textId="77777777" w:rsidR="00E836FB" w:rsidRDefault="00994958">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5F2CB79E" w14:textId="77777777" w:rsidR="00E836FB" w:rsidRDefault="00E836FB">
            <w:pPr>
              <w:jc w:val="right"/>
              <w:rPr>
                <w:rFonts w:ascii="宋体"/>
              </w:rPr>
            </w:pPr>
          </w:p>
        </w:tc>
        <w:tc>
          <w:tcPr>
            <w:tcW w:w="0" w:type="auto"/>
            <w:gridSpan w:val="3"/>
            <w:shd w:val="clear" w:color="auto" w:fill="auto"/>
            <w:vAlign w:val="bottom"/>
          </w:tcPr>
          <w:p w14:paraId="5F2CB79F" w14:textId="77777777" w:rsidR="00E836FB" w:rsidRDefault="00E836FB">
            <w:pPr>
              <w:rPr>
                <w:rFonts w:ascii="宋体"/>
                <w:vanish/>
              </w:rPr>
            </w:pPr>
          </w:p>
        </w:tc>
        <w:tc>
          <w:tcPr>
            <w:tcW w:w="0" w:type="auto"/>
            <w:gridSpan w:val="3"/>
            <w:shd w:val="clear" w:color="auto" w:fill="auto"/>
            <w:vAlign w:val="bottom"/>
          </w:tcPr>
          <w:p w14:paraId="5F2CB7A0" w14:textId="77777777" w:rsidR="00E836FB" w:rsidRDefault="00E836FB">
            <w:pPr>
              <w:rPr>
                <w:rFonts w:ascii="宋体"/>
                <w:vanish/>
              </w:rPr>
            </w:pPr>
          </w:p>
        </w:tc>
        <w:tc>
          <w:tcPr>
            <w:tcW w:w="0" w:type="auto"/>
            <w:gridSpan w:val="2"/>
            <w:shd w:val="clear" w:color="auto" w:fill="auto"/>
            <w:vAlign w:val="bottom"/>
          </w:tcPr>
          <w:p w14:paraId="5F2CB7A1" w14:textId="77777777" w:rsidR="00E836FB" w:rsidRDefault="00E836FB">
            <w:pPr>
              <w:rPr>
                <w:rFonts w:ascii="宋体"/>
                <w:vanish/>
              </w:rPr>
            </w:pPr>
          </w:p>
        </w:tc>
        <w:tc>
          <w:tcPr>
            <w:tcW w:w="0" w:type="auto"/>
            <w:shd w:val="clear" w:color="auto" w:fill="auto"/>
            <w:vAlign w:val="bottom"/>
          </w:tcPr>
          <w:p w14:paraId="5F2CB7A2" w14:textId="77777777" w:rsidR="00E836FB" w:rsidRDefault="00E836FB">
            <w:pPr>
              <w:rPr>
                <w:rFonts w:ascii="宋体"/>
                <w:vanish/>
              </w:rPr>
            </w:pPr>
          </w:p>
        </w:tc>
      </w:tr>
      <w:tr w:rsidR="00E836FB" w14:paraId="5F2CB7C3" w14:textId="77777777">
        <w:tc>
          <w:tcPr>
            <w:tcW w:w="0" w:type="auto"/>
            <w:gridSpan w:val="3"/>
            <w:shd w:val="clear" w:color="auto" w:fill="FFFFFF"/>
            <w:tcMar>
              <w:top w:w="40" w:type="dxa"/>
              <w:left w:w="20" w:type="dxa"/>
              <w:bottom w:w="40" w:type="dxa"/>
              <w:right w:w="20" w:type="dxa"/>
            </w:tcMar>
            <w:vAlign w:val="bottom"/>
          </w:tcPr>
          <w:p w14:paraId="5F2CB7A4" w14:textId="77777777" w:rsidR="00E836FB" w:rsidRDefault="00994958">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5F2CB7A5" w14:textId="77777777" w:rsidR="00E836FB" w:rsidRDefault="00994958">
            <w:pPr>
              <w:jc w:val="right"/>
              <w:textAlignment w:val="bottom"/>
            </w:pPr>
            <w:r>
              <w:rPr>
                <w:rFonts w:ascii="Arial" w:eastAsia="宋体" w:hAnsi="Arial" w:cs="Arial"/>
                <w:b/>
                <w:bCs/>
                <w:color w:val="000000"/>
                <w:sz w:val="14"/>
                <w:szCs w:val="14"/>
              </w:rPr>
              <w:t>667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7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A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7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A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7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A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AE" w14:textId="77777777" w:rsidR="00E836FB" w:rsidRDefault="00994958">
            <w:pPr>
              <w:jc w:val="right"/>
              <w:textAlignment w:val="bottom"/>
            </w:pPr>
            <w:r>
              <w:rPr>
                <w:rFonts w:ascii="Arial" w:eastAsia="宋体" w:hAnsi="Arial" w:cs="Arial"/>
                <w:color w:val="000000"/>
                <w:sz w:val="14"/>
                <w:szCs w:val="14"/>
              </w:rPr>
              <w:t>2,615 </w:t>
            </w:r>
          </w:p>
        </w:tc>
        <w:tc>
          <w:tcPr>
            <w:tcW w:w="0" w:type="auto"/>
            <w:shd w:val="clear" w:color="auto" w:fill="FFFFFF"/>
            <w:tcMar>
              <w:top w:w="40" w:type="dxa"/>
              <w:left w:w="0" w:type="dxa"/>
              <w:bottom w:w="40" w:type="dxa"/>
              <w:right w:w="20" w:type="dxa"/>
            </w:tcMar>
            <w:vAlign w:val="bottom"/>
          </w:tcPr>
          <w:p w14:paraId="5F2CB7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B1"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CB7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B4" w14:textId="77777777" w:rsidR="00E836FB" w:rsidRDefault="00994958">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F2CB7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B7" w14:textId="77777777" w:rsidR="00E836FB" w:rsidRDefault="00994958">
            <w:pPr>
              <w:jc w:val="right"/>
              <w:textAlignment w:val="bottom"/>
            </w:pPr>
            <w:r>
              <w:rPr>
                <w:rFonts w:ascii="Arial" w:eastAsia="宋体" w:hAnsi="Arial" w:cs="Arial"/>
                <w:color w:val="000000"/>
                <w:sz w:val="14"/>
                <w:szCs w:val="14"/>
              </w:rPr>
              <w:t>1,616 </w:t>
            </w:r>
          </w:p>
        </w:tc>
        <w:tc>
          <w:tcPr>
            <w:tcW w:w="0" w:type="auto"/>
            <w:shd w:val="clear" w:color="auto" w:fill="FFFFFF"/>
            <w:tcMar>
              <w:top w:w="40" w:type="dxa"/>
              <w:left w:w="0" w:type="dxa"/>
              <w:bottom w:w="40" w:type="dxa"/>
              <w:right w:w="20" w:type="dxa"/>
            </w:tcMar>
            <w:vAlign w:val="bottom"/>
          </w:tcPr>
          <w:p w14:paraId="5F2CB7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BA" w14:textId="77777777" w:rsidR="00E836FB" w:rsidRDefault="00994958">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F2CB7B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B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BD" w14:textId="77777777" w:rsidR="00E836FB" w:rsidRDefault="00994958">
            <w:pPr>
              <w:jc w:val="right"/>
              <w:textAlignment w:val="bottom"/>
            </w:pPr>
            <w:r>
              <w:rPr>
                <w:rFonts w:ascii="Arial" w:eastAsia="宋体" w:hAnsi="Arial" w:cs="Arial"/>
                <w:color w:val="000000"/>
                <w:sz w:val="14"/>
                <w:szCs w:val="14"/>
              </w:rPr>
              <w:t>1.90 </w:t>
            </w:r>
          </w:p>
        </w:tc>
        <w:tc>
          <w:tcPr>
            <w:tcW w:w="0" w:type="auto"/>
            <w:shd w:val="clear" w:color="auto" w:fill="FFFFFF"/>
            <w:tcMar>
              <w:top w:w="40" w:type="dxa"/>
              <w:left w:w="0" w:type="dxa"/>
              <w:bottom w:w="40" w:type="dxa"/>
              <w:right w:w="20" w:type="dxa"/>
            </w:tcMar>
            <w:vAlign w:val="bottom"/>
          </w:tcPr>
          <w:p w14:paraId="5F2CB7BE" w14:textId="77777777" w:rsidR="00E836FB" w:rsidRDefault="00E836FB">
            <w:pPr>
              <w:jc w:val="right"/>
              <w:rPr>
                <w:rFonts w:ascii="宋体"/>
              </w:rPr>
            </w:pPr>
          </w:p>
        </w:tc>
        <w:tc>
          <w:tcPr>
            <w:tcW w:w="0" w:type="auto"/>
            <w:gridSpan w:val="3"/>
            <w:shd w:val="clear" w:color="auto" w:fill="auto"/>
            <w:vAlign w:val="bottom"/>
          </w:tcPr>
          <w:p w14:paraId="5F2CB7BF" w14:textId="77777777" w:rsidR="00E836FB" w:rsidRDefault="00E836FB">
            <w:pPr>
              <w:rPr>
                <w:rFonts w:ascii="宋体"/>
                <w:vanish/>
              </w:rPr>
            </w:pPr>
          </w:p>
        </w:tc>
        <w:tc>
          <w:tcPr>
            <w:tcW w:w="0" w:type="auto"/>
            <w:gridSpan w:val="3"/>
            <w:shd w:val="clear" w:color="auto" w:fill="auto"/>
            <w:vAlign w:val="bottom"/>
          </w:tcPr>
          <w:p w14:paraId="5F2CB7C0" w14:textId="77777777" w:rsidR="00E836FB" w:rsidRDefault="00E836FB">
            <w:pPr>
              <w:rPr>
                <w:rFonts w:ascii="宋体"/>
                <w:vanish/>
              </w:rPr>
            </w:pPr>
          </w:p>
        </w:tc>
        <w:tc>
          <w:tcPr>
            <w:tcW w:w="0" w:type="auto"/>
            <w:gridSpan w:val="2"/>
            <w:shd w:val="clear" w:color="auto" w:fill="auto"/>
            <w:vAlign w:val="bottom"/>
          </w:tcPr>
          <w:p w14:paraId="5F2CB7C1" w14:textId="77777777" w:rsidR="00E836FB" w:rsidRDefault="00E836FB">
            <w:pPr>
              <w:rPr>
                <w:rFonts w:ascii="宋体"/>
                <w:vanish/>
              </w:rPr>
            </w:pPr>
          </w:p>
        </w:tc>
        <w:tc>
          <w:tcPr>
            <w:tcW w:w="0" w:type="auto"/>
            <w:shd w:val="clear" w:color="auto" w:fill="auto"/>
            <w:vAlign w:val="bottom"/>
          </w:tcPr>
          <w:p w14:paraId="5F2CB7C2" w14:textId="77777777" w:rsidR="00E836FB" w:rsidRDefault="00E836FB">
            <w:pPr>
              <w:rPr>
                <w:rFonts w:ascii="宋体"/>
                <w:vanish/>
              </w:rPr>
            </w:pPr>
          </w:p>
        </w:tc>
      </w:tr>
      <w:tr w:rsidR="00E836FB" w14:paraId="5F2CB7E3" w14:textId="77777777">
        <w:tc>
          <w:tcPr>
            <w:tcW w:w="0" w:type="auto"/>
            <w:gridSpan w:val="3"/>
            <w:shd w:val="clear" w:color="auto" w:fill="CCEEFF"/>
            <w:tcMar>
              <w:top w:w="40" w:type="dxa"/>
              <w:left w:w="20" w:type="dxa"/>
              <w:bottom w:w="40" w:type="dxa"/>
              <w:right w:w="20" w:type="dxa"/>
            </w:tcMar>
            <w:vAlign w:val="bottom"/>
          </w:tcPr>
          <w:p w14:paraId="5F2CB7C4" w14:textId="77777777" w:rsidR="00E836FB" w:rsidRDefault="00994958">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5F2CB7C5" w14:textId="77777777" w:rsidR="00E836FB" w:rsidRDefault="00994958">
            <w:pPr>
              <w:jc w:val="right"/>
              <w:textAlignment w:val="bottom"/>
            </w:pPr>
            <w:r>
              <w:rPr>
                <w:rFonts w:ascii="Arial" w:eastAsia="宋体" w:hAnsi="Arial" w:cs="Arial"/>
                <w:b/>
                <w:bCs/>
                <w:color w:val="000000"/>
                <w:sz w:val="14"/>
                <w:szCs w:val="14"/>
              </w:rPr>
              <w:t>315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C8"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CB" w14:textId="77777777" w:rsidR="00E836FB" w:rsidRDefault="00994958">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CE" w14:textId="77777777" w:rsidR="00E836FB" w:rsidRDefault="00994958">
            <w:pPr>
              <w:jc w:val="right"/>
              <w:textAlignment w:val="bottom"/>
            </w:pPr>
            <w:r>
              <w:rPr>
                <w:rFonts w:ascii="Arial" w:eastAsia="宋体" w:hAnsi="Arial" w:cs="Arial"/>
                <w:color w:val="000000"/>
                <w:sz w:val="14"/>
                <w:szCs w:val="14"/>
              </w:rPr>
              <w:t>8,207 </w:t>
            </w:r>
          </w:p>
        </w:tc>
        <w:tc>
          <w:tcPr>
            <w:tcW w:w="0" w:type="auto"/>
            <w:shd w:val="clear" w:color="auto" w:fill="CCEEFF"/>
            <w:tcMar>
              <w:top w:w="40" w:type="dxa"/>
              <w:left w:w="0" w:type="dxa"/>
              <w:bottom w:w="40" w:type="dxa"/>
              <w:right w:w="20" w:type="dxa"/>
            </w:tcMar>
            <w:vAlign w:val="bottom"/>
          </w:tcPr>
          <w:p w14:paraId="5F2CB7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D1" w14:textId="77777777" w:rsidR="00E836FB" w:rsidRDefault="00994958">
            <w:pPr>
              <w:jc w:val="right"/>
              <w:textAlignment w:val="bottom"/>
            </w:pPr>
            <w:r>
              <w:rPr>
                <w:rFonts w:ascii="Arial" w:eastAsia="宋体" w:hAnsi="Arial" w:cs="Arial"/>
                <w:color w:val="000000"/>
                <w:sz w:val="14"/>
                <w:szCs w:val="14"/>
              </w:rPr>
              <w:t>101 </w:t>
            </w:r>
          </w:p>
        </w:tc>
        <w:tc>
          <w:tcPr>
            <w:tcW w:w="0" w:type="auto"/>
            <w:shd w:val="clear" w:color="auto" w:fill="CCEEFF"/>
            <w:tcMar>
              <w:top w:w="40" w:type="dxa"/>
              <w:left w:w="0" w:type="dxa"/>
              <w:bottom w:w="40" w:type="dxa"/>
              <w:right w:w="20" w:type="dxa"/>
            </w:tcMar>
            <w:vAlign w:val="bottom"/>
          </w:tcPr>
          <w:p w14:paraId="5F2CB7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D4" w14:textId="77777777" w:rsidR="00E836FB" w:rsidRDefault="00994958">
            <w:pPr>
              <w:jc w:val="right"/>
              <w:textAlignment w:val="bottom"/>
            </w:pPr>
            <w:r>
              <w:rPr>
                <w:rFonts w:ascii="Arial" w:eastAsia="宋体" w:hAnsi="Arial" w:cs="Arial"/>
                <w:color w:val="000000"/>
                <w:sz w:val="14"/>
                <w:szCs w:val="14"/>
              </w:rPr>
              <w:t>1.22 </w:t>
            </w:r>
          </w:p>
        </w:tc>
        <w:tc>
          <w:tcPr>
            <w:tcW w:w="0" w:type="auto"/>
            <w:shd w:val="clear" w:color="auto" w:fill="CCEEFF"/>
            <w:tcMar>
              <w:top w:w="40" w:type="dxa"/>
              <w:left w:w="0" w:type="dxa"/>
              <w:bottom w:w="40" w:type="dxa"/>
              <w:right w:w="20" w:type="dxa"/>
            </w:tcMar>
            <w:vAlign w:val="bottom"/>
          </w:tcPr>
          <w:p w14:paraId="5F2CB7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D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D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7D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7D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7DE" w14:textId="77777777" w:rsidR="00E836FB" w:rsidRDefault="00E836FB">
            <w:pPr>
              <w:jc w:val="right"/>
              <w:rPr>
                <w:rFonts w:ascii="宋体"/>
              </w:rPr>
            </w:pPr>
          </w:p>
        </w:tc>
        <w:tc>
          <w:tcPr>
            <w:tcW w:w="0" w:type="auto"/>
            <w:gridSpan w:val="3"/>
            <w:shd w:val="clear" w:color="auto" w:fill="auto"/>
            <w:vAlign w:val="bottom"/>
          </w:tcPr>
          <w:p w14:paraId="5F2CB7DF" w14:textId="77777777" w:rsidR="00E836FB" w:rsidRDefault="00E836FB">
            <w:pPr>
              <w:rPr>
                <w:rFonts w:ascii="宋体"/>
                <w:vanish/>
              </w:rPr>
            </w:pPr>
          </w:p>
        </w:tc>
        <w:tc>
          <w:tcPr>
            <w:tcW w:w="0" w:type="auto"/>
            <w:gridSpan w:val="3"/>
            <w:shd w:val="clear" w:color="auto" w:fill="auto"/>
            <w:vAlign w:val="bottom"/>
          </w:tcPr>
          <w:p w14:paraId="5F2CB7E0" w14:textId="77777777" w:rsidR="00E836FB" w:rsidRDefault="00E836FB">
            <w:pPr>
              <w:rPr>
                <w:rFonts w:ascii="宋体"/>
                <w:vanish/>
              </w:rPr>
            </w:pPr>
          </w:p>
        </w:tc>
        <w:tc>
          <w:tcPr>
            <w:tcW w:w="0" w:type="auto"/>
            <w:gridSpan w:val="2"/>
            <w:shd w:val="clear" w:color="auto" w:fill="auto"/>
            <w:vAlign w:val="bottom"/>
          </w:tcPr>
          <w:p w14:paraId="5F2CB7E1" w14:textId="77777777" w:rsidR="00E836FB" w:rsidRDefault="00E836FB">
            <w:pPr>
              <w:rPr>
                <w:rFonts w:ascii="宋体"/>
                <w:vanish/>
              </w:rPr>
            </w:pPr>
          </w:p>
        </w:tc>
        <w:tc>
          <w:tcPr>
            <w:tcW w:w="0" w:type="auto"/>
            <w:shd w:val="clear" w:color="auto" w:fill="auto"/>
            <w:vAlign w:val="bottom"/>
          </w:tcPr>
          <w:p w14:paraId="5F2CB7E2" w14:textId="77777777" w:rsidR="00E836FB" w:rsidRDefault="00E836FB">
            <w:pPr>
              <w:rPr>
                <w:rFonts w:ascii="宋体"/>
                <w:vanish/>
              </w:rPr>
            </w:pPr>
          </w:p>
        </w:tc>
      </w:tr>
      <w:tr w:rsidR="00E836FB" w14:paraId="5F2CB803" w14:textId="77777777">
        <w:tc>
          <w:tcPr>
            <w:tcW w:w="0" w:type="auto"/>
            <w:gridSpan w:val="3"/>
            <w:shd w:val="clear" w:color="auto" w:fill="FFFFFF"/>
            <w:tcMar>
              <w:top w:w="40" w:type="dxa"/>
              <w:left w:w="20" w:type="dxa"/>
              <w:bottom w:w="40" w:type="dxa"/>
              <w:right w:w="20" w:type="dxa"/>
            </w:tcMar>
            <w:vAlign w:val="bottom"/>
          </w:tcPr>
          <w:p w14:paraId="5F2CB7E4" w14:textId="77777777" w:rsidR="00E836FB" w:rsidRDefault="00994958">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5F2CB7E5" w14:textId="77777777" w:rsidR="00E836FB" w:rsidRDefault="00994958">
            <w:pPr>
              <w:jc w:val="right"/>
              <w:textAlignment w:val="bottom"/>
            </w:pPr>
            <w:r>
              <w:rPr>
                <w:rFonts w:ascii="Arial" w:eastAsia="宋体" w:hAnsi="Arial" w:cs="Arial"/>
                <w:b/>
                <w:bCs/>
                <w:color w:val="000000"/>
                <w:sz w:val="14"/>
                <w:szCs w:val="14"/>
              </w:rPr>
              <w:t>788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7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E8" w14:textId="77777777" w:rsidR="00E836FB" w:rsidRDefault="00994958">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7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E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EB" w14:textId="77777777" w:rsidR="00E836FB" w:rsidRDefault="00994958">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7E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E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EE" w14:textId="77777777" w:rsidR="00E836FB" w:rsidRDefault="00994958">
            <w:pPr>
              <w:jc w:val="right"/>
              <w:textAlignment w:val="bottom"/>
            </w:pPr>
            <w:r>
              <w:rPr>
                <w:rFonts w:ascii="Arial" w:eastAsia="宋体" w:hAnsi="Arial" w:cs="Arial"/>
                <w:color w:val="000000"/>
                <w:sz w:val="14"/>
                <w:szCs w:val="14"/>
              </w:rPr>
              <w:t>2,226 </w:t>
            </w:r>
          </w:p>
        </w:tc>
        <w:tc>
          <w:tcPr>
            <w:tcW w:w="0" w:type="auto"/>
            <w:shd w:val="clear" w:color="auto" w:fill="FFFFFF"/>
            <w:tcMar>
              <w:top w:w="40" w:type="dxa"/>
              <w:left w:w="0" w:type="dxa"/>
              <w:bottom w:w="40" w:type="dxa"/>
              <w:right w:w="20" w:type="dxa"/>
            </w:tcMar>
            <w:vAlign w:val="bottom"/>
          </w:tcPr>
          <w:p w14:paraId="5F2CB7E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F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F1"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5F2CB7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F4" w14:textId="77777777" w:rsidR="00E836FB" w:rsidRDefault="00994958">
            <w:pPr>
              <w:jc w:val="right"/>
              <w:textAlignment w:val="bottom"/>
            </w:pPr>
            <w:r>
              <w:rPr>
                <w:rFonts w:ascii="Arial" w:eastAsia="宋体" w:hAnsi="Arial" w:cs="Arial"/>
                <w:color w:val="000000"/>
                <w:sz w:val="14"/>
                <w:szCs w:val="14"/>
              </w:rPr>
              <w:t>.78 </w:t>
            </w:r>
          </w:p>
        </w:tc>
        <w:tc>
          <w:tcPr>
            <w:tcW w:w="0" w:type="auto"/>
            <w:shd w:val="clear" w:color="auto" w:fill="FFFFFF"/>
            <w:tcMar>
              <w:top w:w="40" w:type="dxa"/>
              <w:left w:w="0" w:type="dxa"/>
              <w:bottom w:w="40" w:type="dxa"/>
              <w:right w:w="20" w:type="dxa"/>
            </w:tcMar>
            <w:vAlign w:val="bottom"/>
          </w:tcPr>
          <w:p w14:paraId="5F2CB7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F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F7" w14:textId="77777777" w:rsidR="00E836FB" w:rsidRDefault="00994958">
            <w:pPr>
              <w:jc w:val="right"/>
              <w:textAlignment w:val="bottom"/>
            </w:pPr>
            <w:r>
              <w:rPr>
                <w:rFonts w:ascii="Arial" w:eastAsia="宋体" w:hAnsi="Arial" w:cs="Arial"/>
                <w:color w:val="000000"/>
                <w:sz w:val="14"/>
                <w:szCs w:val="14"/>
              </w:rPr>
              <w:t>1,524 </w:t>
            </w:r>
          </w:p>
        </w:tc>
        <w:tc>
          <w:tcPr>
            <w:tcW w:w="0" w:type="auto"/>
            <w:shd w:val="clear" w:color="auto" w:fill="FFFFFF"/>
            <w:tcMar>
              <w:top w:w="40" w:type="dxa"/>
              <w:left w:w="0" w:type="dxa"/>
              <w:bottom w:w="40" w:type="dxa"/>
              <w:right w:w="20" w:type="dxa"/>
            </w:tcMar>
            <w:vAlign w:val="bottom"/>
          </w:tcPr>
          <w:p w14:paraId="5F2CB7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F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FA" w14:textId="77777777" w:rsidR="00E836FB" w:rsidRDefault="00994958">
            <w:pPr>
              <w:jc w:val="right"/>
              <w:textAlignment w:val="bottom"/>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bottom"/>
          </w:tcPr>
          <w:p w14:paraId="5F2CB7F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7F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7FD" w14:textId="77777777" w:rsidR="00E836FB" w:rsidRDefault="00994958">
            <w:pPr>
              <w:jc w:val="right"/>
              <w:textAlignment w:val="bottom"/>
            </w:pPr>
            <w:r>
              <w:rPr>
                <w:rFonts w:ascii="Arial" w:eastAsia="宋体" w:hAnsi="Arial" w:cs="Arial"/>
                <w:color w:val="000000"/>
                <w:sz w:val="14"/>
                <w:szCs w:val="14"/>
              </w:rPr>
              <w:t>1.37 </w:t>
            </w:r>
          </w:p>
        </w:tc>
        <w:tc>
          <w:tcPr>
            <w:tcW w:w="0" w:type="auto"/>
            <w:shd w:val="clear" w:color="auto" w:fill="FFFFFF"/>
            <w:tcMar>
              <w:top w:w="40" w:type="dxa"/>
              <w:left w:w="0" w:type="dxa"/>
              <w:bottom w:w="40" w:type="dxa"/>
              <w:right w:w="20" w:type="dxa"/>
            </w:tcMar>
            <w:vAlign w:val="bottom"/>
          </w:tcPr>
          <w:p w14:paraId="5F2CB7FE" w14:textId="77777777" w:rsidR="00E836FB" w:rsidRDefault="00E836FB">
            <w:pPr>
              <w:jc w:val="right"/>
              <w:rPr>
                <w:rFonts w:ascii="宋体"/>
              </w:rPr>
            </w:pPr>
          </w:p>
        </w:tc>
        <w:tc>
          <w:tcPr>
            <w:tcW w:w="0" w:type="auto"/>
            <w:gridSpan w:val="3"/>
            <w:shd w:val="clear" w:color="auto" w:fill="auto"/>
            <w:vAlign w:val="bottom"/>
          </w:tcPr>
          <w:p w14:paraId="5F2CB7FF" w14:textId="77777777" w:rsidR="00E836FB" w:rsidRDefault="00E836FB">
            <w:pPr>
              <w:rPr>
                <w:rFonts w:ascii="宋体"/>
                <w:vanish/>
              </w:rPr>
            </w:pPr>
          </w:p>
        </w:tc>
        <w:tc>
          <w:tcPr>
            <w:tcW w:w="0" w:type="auto"/>
            <w:gridSpan w:val="3"/>
            <w:shd w:val="clear" w:color="auto" w:fill="auto"/>
            <w:vAlign w:val="bottom"/>
          </w:tcPr>
          <w:p w14:paraId="5F2CB800" w14:textId="77777777" w:rsidR="00E836FB" w:rsidRDefault="00E836FB">
            <w:pPr>
              <w:rPr>
                <w:rFonts w:ascii="宋体"/>
                <w:vanish/>
              </w:rPr>
            </w:pPr>
          </w:p>
        </w:tc>
        <w:tc>
          <w:tcPr>
            <w:tcW w:w="0" w:type="auto"/>
            <w:gridSpan w:val="2"/>
            <w:shd w:val="clear" w:color="auto" w:fill="auto"/>
            <w:vAlign w:val="bottom"/>
          </w:tcPr>
          <w:p w14:paraId="5F2CB801" w14:textId="77777777" w:rsidR="00E836FB" w:rsidRDefault="00E836FB">
            <w:pPr>
              <w:rPr>
                <w:rFonts w:ascii="宋体"/>
                <w:vanish/>
              </w:rPr>
            </w:pPr>
          </w:p>
        </w:tc>
        <w:tc>
          <w:tcPr>
            <w:tcW w:w="0" w:type="auto"/>
            <w:shd w:val="clear" w:color="auto" w:fill="auto"/>
            <w:vAlign w:val="bottom"/>
          </w:tcPr>
          <w:p w14:paraId="5F2CB802" w14:textId="77777777" w:rsidR="00E836FB" w:rsidRDefault="00E836FB">
            <w:pPr>
              <w:rPr>
                <w:rFonts w:ascii="宋体"/>
                <w:vanish/>
              </w:rPr>
            </w:pPr>
          </w:p>
        </w:tc>
      </w:tr>
      <w:tr w:rsidR="00E836FB" w14:paraId="5F2CB823" w14:textId="77777777">
        <w:tc>
          <w:tcPr>
            <w:tcW w:w="0" w:type="auto"/>
            <w:gridSpan w:val="3"/>
            <w:shd w:val="clear" w:color="auto" w:fill="CCEEFF"/>
            <w:tcMar>
              <w:top w:w="40" w:type="dxa"/>
              <w:left w:w="20" w:type="dxa"/>
              <w:bottom w:w="40" w:type="dxa"/>
              <w:right w:w="20" w:type="dxa"/>
            </w:tcMar>
            <w:vAlign w:val="bottom"/>
          </w:tcPr>
          <w:p w14:paraId="5F2CB804" w14:textId="77777777" w:rsidR="00E836FB" w:rsidRDefault="00994958">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5F2CB805" w14:textId="77777777" w:rsidR="00E836FB" w:rsidRDefault="00994958">
            <w:pPr>
              <w:jc w:val="right"/>
              <w:textAlignment w:val="bottom"/>
            </w:pPr>
            <w:r>
              <w:rPr>
                <w:rFonts w:ascii="Arial" w:eastAsia="宋体" w:hAnsi="Arial" w:cs="Arial"/>
                <w:b/>
                <w:bCs/>
                <w:color w:val="000000"/>
                <w:sz w:val="14"/>
                <w:szCs w:val="14"/>
              </w:rPr>
              <w:t>13,383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8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08" w14:textId="77777777" w:rsidR="00E836FB" w:rsidRDefault="00994958">
            <w:pPr>
              <w:jc w:val="right"/>
              <w:textAlignment w:val="bottom"/>
            </w:pPr>
            <w:r>
              <w:rPr>
                <w:rFonts w:ascii="Arial" w:eastAsia="宋体" w:hAnsi="Arial" w:cs="Arial"/>
                <w:b/>
                <w:bCs/>
                <w:color w:val="000000"/>
                <w:sz w:val="14"/>
                <w:szCs w:val="14"/>
              </w:rPr>
              <w:t>219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8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0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0B" w14:textId="77777777" w:rsidR="00E836FB" w:rsidRDefault="00994958">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8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0E" w14:textId="77777777" w:rsidR="00E836FB" w:rsidRDefault="00994958">
            <w:pPr>
              <w:jc w:val="right"/>
              <w:textAlignment w:val="bottom"/>
            </w:pPr>
            <w:r>
              <w:rPr>
                <w:rFonts w:ascii="Arial" w:eastAsia="宋体" w:hAnsi="Arial" w:cs="Arial"/>
                <w:color w:val="000000"/>
                <w:sz w:val="14"/>
                <w:szCs w:val="14"/>
              </w:rPr>
              <w:t>14,371 </w:t>
            </w:r>
          </w:p>
        </w:tc>
        <w:tc>
          <w:tcPr>
            <w:tcW w:w="0" w:type="auto"/>
            <w:shd w:val="clear" w:color="auto" w:fill="CCEEFF"/>
            <w:tcMar>
              <w:top w:w="40" w:type="dxa"/>
              <w:left w:w="0" w:type="dxa"/>
              <w:bottom w:w="40" w:type="dxa"/>
              <w:right w:w="20" w:type="dxa"/>
            </w:tcMar>
            <w:vAlign w:val="bottom"/>
          </w:tcPr>
          <w:p w14:paraId="5F2CB8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11" w14:textId="77777777" w:rsidR="00E836FB" w:rsidRDefault="00994958">
            <w:pPr>
              <w:jc w:val="right"/>
              <w:textAlignment w:val="bottom"/>
            </w:pPr>
            <w:r>
              <w:rPr>
                <w:rFonts w:ascii="Arial" w:eastAsia="宋体" w:hAnsi="Arial" w:cs="Arial"/>
                <w:color w:val="000000"/>
                <w:sz w:val="14"/>
                <w:szCs w:val="14"/>
              </w:rPr>
              <w:t>312 </w:t>
            </w:r>
          </w:p>
        </w:tc>
        <w:tc>
          <w:tcPr>
            <w:tcW w:w="0" w:type="auto"/>
            <w:shd w:val="clear" w:color="auto" w:fill="CCEEFF"/>
            <w:tcMar>
              <w:top w:w="40" w:type="dxa"/>
              <w:left w:w="0" w:type="dxa"/>
              <w:bottom w:w="40" w:type="dxa"/>
              <w:right w:w="20" w:type="dxa"/>
            </w:tcMar>
            <w:vAlign w:val="bottom"/>
          </w:tcPr>
          <w:p w14:paraId="5F2CB8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14" w14:textId="77777777" w:rsidR="00E836FB" w:rsidRDefault="00994958">
            <w:pPr>
              <w:jc w:val="right"/>
              <w:textAlignment w:val="bottom"/>
            </w:pPr>
            <w:r>
              <w:rPr>
                <w:rFonts w:ascii="Arial" w:eastAsia="宋体" w:hAnsi="Arial" w:cs="Arial"/>
                <w:color w:val="000000"/>
                <w:sz w:val="14"/>
                <w:szCs w:val="14"/>
              </w:rPr>
              <w:t>2.17 </w:t>
            </w:r>
          </w:p>
        </w:tc>
        <w:tc>
          <w:tcPr>
            <w:tcW w:w="0" w:type="auto"/>
            <w:shd w:val="clear" w:color="auto" w:fill="CCEEFF"/>
            <w:tcMar>
              <w:top w:w="40" w:type="dxa"/>
              <w:left w:w="0" w:type="dxa"/>
              <w:bottom w:w="40" w:type="dxa"/>
              <w:right w:w="20" w:type="dxa"/>
            </w:tcMar>
            <w:vAlign w:val="bottom"/>
          </w:tcPr>
          <w:p w14:paraId="5F2CB8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17" w14:textId="77777777" w:rsidR="00E836FB" w:rsidRDefault="00994958">
            <w:pPr>
              <w:jc w:val="right"/>
              <w:textAlignment w:val="bottom"/>
            </w:pPr>
            <w:r>
              <w:rPr>
                <w:rFonts w:ascii="Arial" w:eastAsia="宋体" w:hAnsi="Arial" w:cs="Arial"/>
                <w:color w:val="000000"/>
                <w:sz w:val="14"/>
                <w:szCs w:val="14"/>
              </w:rPr>
              <w:t>11,474 </w:t>
            </w:r>
          </w:p>
        </w:tc>
        <w:tc>
          <w:tcPr>
            <w:tcW w:w="0" w:type="auto"/>
            <w:shd w:val="clear" w:color="auto" w:fill="CCEEFF"/>
            <w:tcMar>
              <w:top w:w="40" w:type="dxa"/>
              <w:left w:w="0" w:type="dxa"/>
              <w:bottom w:w="40" w:type="dxa"/>
              <w:right w:w="20" w:type="dxa"/>
            </w:tcMar>
            <w:vAlign w:val="bottom"/>
          </w:tcPr>
          <w:p w14:paraId="5F2CB8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1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1A" w14:textId="77777777" w:rsidR="00E836FB" w:rsidRDefault="00994958">
            <w:pPr>
              <w:jc w:val="right"/>
              <w:textAlignment w:val="bottom"/>
            </w:pPr>
            <w:r>
              <w:rPr>
                <w:rFonts w:ascii="Arial" w:eastAsia="宋体" w:hAnsi="Arial" w:cs="Arial"/>
                <w:color w:val="000000"/>
                <w:sz w:val="14"/>
                <w:szCs w:val="14"/>
              </w:rPr>
              <w:t>414 </w:t>
            </w:r>
          </w:p>
        </w:tc>
        <w:tc>
          <w:tcPr>
            <w:tcW w:w="0" w:type="auto"/>
            <w:shd w:val="clear" w:color="auto" w:fill="CCEEFF"/>
            <w:tcMar>
              <w:top w:w="40" w:type="dxa"/>
              <w:left w:w="0" w:type="dxa"/>
              <w:bottom w:w="40" w:type="dxa"/>
              <w:right w:w="20" w:type="dxa"/>
            </w:tcMar>
            <w:vAlign w:val="bottom"/>
          </w:tcPr>
          <w:p w14:paraId="5F2CB8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1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1D" w14:textId="77777777" w:rsidR="00E836FB" w:rsidRDefault="00994958">
            <w:pPr>
              <w:jc w:val="right"/>
              <w:textAlignment w:val="bottom"/>
            </w:pPr>
            <w:r>
              <w:rPr>
                <w:rFonts w:ascii="Arial" w:eastAsia="宋体" w:hAnsi="Arial" w:cs="Arial"/>
                <w:color w:val="000000"/>
                <w:sz w:val="14"/>
                <w:szCs w:val="14"/>
              </w:rPr>
              <w:t>3.61 </w:t>
            </w:r>
          </w:p>
        </w:tc>
        <w:tc>
          <w:tcPr>
            <w:tcW w:w="0" w:type="auto"/>
            <w:shd w:val="clear" w:color="auto" w:fill="CCEEFF"/>
            <w:tcMar>
              <w:top w:w="40" w:type="dxa"/>
              <w:left w:w="0" w:type="dxa"/>
              <w:bottom w:w="40" w:type="dxa"/>
              <w:right w:w="20" w:type="dxa"/>
            </w:tcMar>
            <w:vAlign w:val="bottom"/>
          </w:tcPr>
          <w:p w14:paraId="5F2CB81E" w14:textId="77777777" w:rsidR="00E836FB" w:rsidRDefault="00E836FB">
            <w:pPr>
              <w:jc w:val="right"/>
              <w:rPr>
                <w:rFonts w:ascii="宋体"/>
              </w:rPr>
            </w:pPr>
          </w:p>
        </w:tc>
        <w:tc>
          <w:tcPr>
            <w:tcW w:w="0" w:type="auto"/>
            <w:gridSpan w:val="3"/>
            <w:shd w:val="clear" w:color="auto" w:fill="auto"/>
            <w:vAlign w:val="bottom"/>
          </w:tcPr>
          <w:p w14:paraId="5F2CB81F" w14:textId="77777777" w:rsidR="00E836FB" w:rsidRDefault="00E836FB">
            <w:pPr>
              <w:rPr>
                <w:rFonts w:ascii="宋体"/>
                <w:vanish/>
              </w:rPr>
            </w:pPr>
          </w:p>
        </w:tc>
        <w:tc>
          <w:tcPr>
            <w:tcW w:w="0" w:type="auto"/>
            <w:gridSpan w:val="3"/>
            <w:shd w:val="clear" w:color="auto" w:fill="auto"/>
            <w:vAlign w:val="bottom"/>
          </w:tcPr>
          <w:p w14:paraId="5F2CB820" w14:textId="77777777" w:rsidR="00E836FB" w:rsidRDefault="00E836FB">
            <w:pPr>
              <w:rPr>
                <w:rFonts w:ascii="宋体"/>
                <w:vanish/>
              </w:rPr>
            </w:pPr>
          </w:p>
        </w:tc>
        <w:tc>
          <w:tcPr>
            <w:tcW w:w="0" w:type="auto"/>
            <w:gridSpan w:val="2"/>
            <w:shd w:val="clear" w:color="auto" w:fill="auto"/>
            <w:vAlign w:val="bottom"/>
          </w:tcPr>
          <w:p w14:paraId="5F2CB821" w14:textId="77777777" w:rsidR="00E836FB" w:rsidRDefault="00E836FB">
            <w:pPr>
              <w:rPr>
                <w:rFonts w:ascii="宋体"/>
                <w:vanish/>
              </w:rPr>
            </w:pPr>
          </w:p>
        </w:tc>
        <w:tc>
          <w:tcPr>
            <w:tcW w:w="0" w:type="auto"/>
            <w:shd w:val="clear" w:color="auto" w:fill="auto"/>
            <w:vAlign w:val="bottom"/>
          </w:tcPr>
          <w:p w14:paraId="5F2CB822" w14:textId="77777777" w:rsidR="00E836FB" w:rsidRDefault="00E836FB">
            <w:pPr>
              <w:rPr>
                <w:rFonts w:ascii="宋体"/>
                <w:vanish/>
              </w:rPr>
            </w:pPr>
          </w:p>
        </w:tc>
      </w:tr>
      <w:tr w:rsidR="00E836FB" w14:paraId="5F2CB843" w14:textId="77777777">
        <w:tc>
          <w:tcPr>
            <w:tcW w:w="0" w:type="auto"/>
            <w:gridSpan w:val="3"/>
            <w:shd w:val="clear" w:color="auto" w:fill="FFFFFF"/>
            <w:tcMar>
              <w:top w:w="40" w:type="dxa"/>
              <w:left w:w="20" w:type="dxa"/>
              <w:bottom w:w="40" w:type="dxa"/>
              <w:right w:w="20" w:type="dxa"/>
            </w:tcMar>
            <w:vAlign w:val="bottom"/>
          </w:tcPr>
          <w:p w14:paraId="5F2CB824" w14:textId="77777777" w:rsidR="00E836FB" w:rsidRDefault="00994958">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5F2CB825" w14:textId="77777777" w:rsidR="00E836FB" w:rsidRDefault="00994958">
            <w:pPr>
              <w:jc w:val="right"/>
              <w:textAlignment w:val="bottom"/>
            </w:pPr>
            <w:r>
              <w:rPr>
                <w:rFonts w:ascii="Arial" w:eastAsia="宋体" w:hAnsi="Arial" w:cs="Arial"/>
                <w:b/>
                <w:bCs/>
                <w:color w:val="000000"/>
                <w:sz w:val="14"/>
                <w:szCs w:val="14"/>
              </w:rPr>
              <w:t>5,486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8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2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28" w14:textId="77777777" w:rsidR="00E836FB" w:rsidRDefault="00994958">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8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2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2B" w14:textId="77777777" w:rsidR="00E836FB" w:rsidRDefault="00994958">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82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2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2E" w14:textId="77777777" w:rsidR="00E836FB" w:rsidRDefault="00994958">
            <w:pPr>
              <w:jc w:val="right"/>
              <w:textAlignment w:val="bottom"/>
            </w:pPr>
            <w:r>
              <w:rPr>
                <w:rFonts w:ascii="Arial" w:eastAsia="宋体" w:hAnsi="Arial" w:cs="Arial"/>
                <w:color w:val="000000"/>
                <w:sz w:val="14"/>
                <w:szCs w:val="14"/>
              </w:rPr>
              <w:t>3,176 </w:t>
            </w:r>
          </w:p>
        </w:tc>
        <w:tc>
          <w:tcPr>
            <w:tcW w:w="0" w:type="auto"/>
            <w:shd w:val="clear" w:color="auto" w:fill="FFFFFF"/>
            <w:tcMar>
              <w:top w:w="40" w:type="dxa"/>
              <w:left w:w="0" w:type="dxa"/>
              <w:bottom w:w="40" w:type="dxa"/>
              <w:right w:w="20" w:type="dxa"/>
            </w:tcMar>
            <w:vAlign w:val="bottom"/>
          </w:tcPr>
          <w:p w14:paraId="5F2CB82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3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31" w14:textId="77777777" w:rsidR="00E836FB" w:rsidRDefault="00994958">
            <w:pPr>
              <w:jc w:val="right"/>
              <w:textAlignment w:val="bottom"/>
            </w:pPr>
            <w:r>
              <w:rPr>
                <w:rFonts w:ascii="Arial" w:eastAsia="宋体" w:hAnsi="Arial" w:cs="Arial"/>
                <w:color w:val="000000"/>
                <w:sz w:val="14"/>
                <w:szCs w:val="14"/>
              </w:rPr>
              <w:t>57 </w:t>
            </w:r>
          </w:p>
        </w:tc>
        <w:tc>
          <w:tcPr>
            <w:tcW w:w="0" w:type="auto"/>
            <w:shd w:val="clear" w:color="auto" w:fill="FFFFFF"/>
            <w:tcMar>
              <w:top w:w="40" w:type="dxa"/>
              <w:left w:w="0" w:type="dxa"/>
              <w:bottom w:w="40" w:type="dxa"/>
              <w:right w:w="20" w:type="dxa"/>
            </w:tcMar>
            <w:vAlign w:val="bottom"/>
          </w:tcPr>
          <w:p w14:paraId="5F2CB8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3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34" w14:textId="77777777" w:rsidR="00E836FB" w:rsidRDefault="00994958">
            <w:pPr>
              <w:jc w:val="right"/>
              <w:textAlignment w:val="bottom"/>
            </w:pPr>
            <w:r>
              <w:rPr>
                <w:rFonts w:ascii="Arial" w:eastAsia="宋体" w:hAnsi="Arial" w:cs="Arial"/>
                <w:color w:val="000000"/>
                <w:sz w:val="14"/>
                <w:szCs w:val="14"/>
              </w:rPr>
              <w:t>1.82 </w:t>
            </w:r>
          </w:p>
        </w:tc>
        <w:tc>
          <w:tcPr>
            <w:tcW w:w="0" w:type="auto"/>
            <w:shd w:val="clear" w:color="auto" w:fill="FFFFFF"/>
            <w:tcMar>
              <w:top w:w="40" w:type="dxa"/>
              <w:left w:w="0" w:type="dxa"/>
              <w:bottom w:w="40" w:type="dxa"/>
              <w:right w:w="20" w:type="dxa"/>
            </w:tcMar>
            <w:vAlign w:val="bottom"/>
          </w:tcPr>
          <w:p w14:paraId="5F2CB8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37" w14:textId="77777777" w:rsidR="00E836FB" w:rsidRDefault="00994958">
            <w:pPr>
              <w:jc w:val="right"/>
              <w:textAlignment w:val="bottom"/>
            </w:pPr>
            <w:r>
              <w:rPr>
                <w:rFonts w:ascii="Arial" w:eastAsia="宋体" w:hAnsi="Arial" w:cs="Arial"/>
                <w:color w:val="000000"/>
                <w:sz w:val="14"/>
                <w:szCs w:val="14"/>
              </w:rPr>
              <w:t>4,103 </w:t>
            </w:r>
          </w:p>
        </w:tc>
        <w:tc>
          <w:tcPr>
            <w:tcW w:w="0" w:type="auto"/>
            <w:shd w:val="clear" w:color="auto" w:fill="FFFFFF"/>
            <w:tcMar>
              <w:top w:w="40" w:type="dxa"/>
              <w:left w:w="0" w:type="dxa"/>
              <w:bottom w:w="40" w:type="dxa"/>
              <w:right w:w="20" w:type="dxa"/>
            </w:tcMar>
            <w:vAlign w:val="bottom"/>
          </w:tcPr>
          <w:p w14:paraId="5F2CB8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3A" w14:textId="77777777" w:rsidR="00E836FB" w:rsidRDefault="00994958">
            <w:pPr>
              <w:jc w:val="right"/>
              <w:textAlignment w:val="bottom"/>
            </w:pPr>
            <w:r>
              <w:rPr>
                <w:rFonts w:ascii="Arial" w:eastAsia="宋体" w:hAnsi="Arial" w:cs="Arial"/>
                <w:color w:val="000000"/>
                <w:sz w:val="14"/>
                <w:szCs w:val="14"/>
              </w:rPr>
              <w:t>246 </w:t>
            </w:r>
          </w:p>
        </w:tc>
        <w:tc>
          <w:tcPr>
            <w:tcW w:w="0" w:type="auto"/>
            <w:shd w:val="clear" w:color="auto" w:fill="FFFFFF"/>
            <w:tcMar>
              <w:top w:w="40" w:type="dxa"/>
              <w:left w:w="0" w:type="dxa"/>
              <w:bottom w:w="40" w:type="dxa"/>
              <w:right w:w="20" w:type="dxa"/>
            </w:tcMar>
            <w:vAlign w:val="bottom"/>
          </w:tcPr>
          <w:p w14:paraId="5F2CB8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3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3D" w14:textId="77777777" w:rsidR="00E836FB" w:rsidRDefault="00994958">
            <w:pPr>
              <w:jc w:val="right"/>
              <w:textAlignment w:val="bottom"/>
            </w:pPr>
            <w:r>
              <w:rPr>
                <w:rFonts w:ascii="Arial" w:eastAsia="宋体" w:hAnsi="Arial" w:cs="Arial"/>
                <w:color w:val="000000"/>
                <w:sz w:val="14"/>
                <w:szCs w:val="14"/>
              </w:rPr>
              <w:t>6.00 </w:t>
            </w:r>
          </w:p>
        </w:tc>
        <w:tc>
          <w:tcPr>
            <w:tcW w:w="0" w:type="auto"/>
            <w:shd w:val="clear" w:color="auto" w:fill="FFFFFF"/>
            <w:tcMar>
              <w:top w:w="40" w:type="dxa"/>
              <w:left w:w="0" w:type="dxa"/>
              <w:bottom w:w="40" w:type="dxa"/>
              <w:right w:w="20" w:type="dxa"/>
            </w:tcMar>
            <w:vAlign w:val="bottom"/>
          </w:tcPr>
          <w:p w14:paraId="5F2CB83E" w14:textId="77777777" w:rsidR="00E836FB" w:rsidRDefault="00E836FB">
            <w:pPr>
              <w:jc w:val="right"/>
              <w:rPr>
                <w:rFonts w:ascii="宋体"/>
              </w:rPr>
            </w:pPr>
          </w:p>
        </w:tc>
        <w:tc>
          <w:tcPr>
            <w:tcW w:w="0" w:type="auto"/>
            <w:gridSpan w:val="3"/>
            <w:shd w:val="clear" w:color="auto" w:fill="auto"/>
            <w:vAlign w:val="bottom"/>
          </w:tcPr>
          <w:p w14:paraId="5F2CB83F" w14:textId="77777777" w:rsidR="00E836FB" w:rsidRDefault="00E836FB">
            <w:pPr>
              <w:rPr>
                <w:rFonts w:ascii="宋体"/>
                <w:vanish/>
              </w:rPr>
            </w:pPr>
          </w:p>
        </w:tc>
        <w:tc>
          <w:tcPr>
            <w:tcW w:w="0" w:type="auto"/>
            <w:gridSpan w:val="3"/>
            <w:shd w:val="clear" w:color="auto" w:fill="auto"/>
            <w:vAlign w:val="bottom"/>
          </w:tcPr>
          <w:p w14:paraId="5F2CB840" w14:textId="77777777" w:rsidR="00E836FB" w:rsidRDefault="00E836FB">
            <w:pPr>
              <w:rPr>
                <w:rFonts w:ascii="宋体"/>
                <w:vanish/>
              </w:rPr>
            </w:pPr>
          </w:p>
        </w:tc>
        <w:tc>
          <w:tcPr>
            <w:tcW w:w="0" w:type="auto"/>
            <w:gridSpan w:val="2"/>
            <w:shd w:val="clear" w:color="auto" w:fill="auto"/>
            <w:vAlign w:val="bottom"/>
          </w:tcPr>
          <w:p w14:paraId="5F2CB841" w14:textId="77777777" w:rsidR="00E836FB" w:rsidRDefault="00E836FB">
            <w:pPr>
              <w:rPr>
                <w:rFonts w:ascii="宋体"/>
                <w:vanish/>
              </w:rPr>
            </w:pPr>
          </w:p>
        </w:tc>
        <w:tc>
          <w:tcPr>
            <w:tcW w:w="0" w:type="auto"/>
            <w:shd w:val="clear" w:color="auto" w:fill="auto"/>
            <w:vAlign w:val="bottom"/>
          </w:tcPr>
          <w:p w14:paraId="5F2CB842" w14:textId="77777777" w:rsidR="00E836FB" w:rsidRDefault="00E836FB">
            <w:pPr>
              <w:rPr>
                <w:rFonts w:ascii="宋体"/>
                <w:vanish/>
              </w:rPr>
            </w:pPr>
          </w:p>
        </w:tc>
      </w:tr>
      <w:tr w:rsidR="00994958" w14:paraId="5F2CB869" w14:textId="77777777">
        <w:tc>
          <w:tcPr>
            <w:tcW w:w="0" w:type="auto"/>
            <w:gridSpan w:val="3"/>
            <w:shd w:val="clear" w:color="auto" w:fill="CCEEFF"/>
            <w:tcMar>
              <w:top w:w="40" w:type="dxa"/>
              <w:left w:w="20" w:type="dxa"/>
              <w:bottom w:w="40" w:type="dxa"/>
              <w:right w:w="20" w:type="dxa"/>
            </w:tcMar>
            <w:vAlign w:val="bottom"/>
          </w:tcPr>
          <w:p w14:paraId="5F2CB844" w14:textId="77777777" w:rsidR="00E836FB" w:rsidRDefault="00994958">
            <w:pPr>
              <w:textAlignment w:val="bottom"/>
            </w:pPr>
            <w:r>
              <w:rPr>
                <w:rFonts w:ascii="Arial" w:eastAsia="宋体" w:hAnsi="Arial" w:cs="Arial"/>
                <w:color w:val="000000"/>
                <w:sz w:val="14"/>
                <w:szCs w:val="14"/>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B84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846" w14:textId="77777777" w:rsidR="00E836FB" w:rsidRDefault="00994958">
            <w:pPr>
              <w:jc w:val="right"/>
              <w:textAlignment w:val="bottom"/>
            </w:pPr>
            <w:r>
              <w:rPr>
                <w:rFonts w:ascii="Arial" w:eastAsia="宋体" w:hAnsi="Arial" w:cs="Arial"/>
                <w:b/>
                <w:bCs/>
                <w:color w:val="000000"/>
                <w:sz w:val="14"/>
                <w:szCs w:val="14"/>
              </w:rPr>
              <w:t>207,613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8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4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84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84A"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8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4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4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84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4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85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851" w14:textId="77777777" w:rsidR="00E836FB" w:rsidRDefault="00994958">
            <w:pPr>
              <w:jc w:val="right"/>
              <w:textAlignment w:val="bottom"/>
            </w:pPr>
            <w:r>
              <w:rPr>
                <w:rFonts w:ascii="Arial" w:eastAsia="宋体" w:hAnsi="Arial" w:cs="Arial"/>
                <w:color w:val="000000"/>
                <w:sz w:val="14"/>
                <w:szCs w:val="14"/>
              </w:rPr>
              <w:t>186,845 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8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5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85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855" w14:textId="77777777" w:rsidR="00E836FB" w:rsidRDefault="00994958">
            <w:pPr>
              <w:jc w:val="right"/>
              <w:textAlignment w:val="bottom"/>
            </w:pPr>
            <w:r>
              <w:rPr>
                <w:rFonts w:ascii="Arial" w:eastAsia="宋体" w:hAnsi="Arial" w:cs="Arial"/>
                <w:color w:val="000000"/>
                <w:sz w:val="14"/>
                <w:szCs w:val="14"/>
              </w:rPr>
              <w:t>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8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5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58"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5F2CB8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5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85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85C" w14:textId="77777777" w:rsidR="00E836FB" w:rsidRDefault="00994958">
            <w:pPr>
              <w:jc w:val="right"/>
              <w:textAlignment w:val="bottom"/>
            </w:pPr>
            <w:r>
              <w:rPr>
                <w:rFonts w:ascii="Arial" w:eastAsia="宋体" w:hAnsi="Arial" w:cs="Arial"/>
                <w:color w:val="000000"/>
                <w:sz w:val="14"/>
                <w:szCs w:val="14"/>
              </w:rPr>
              <w:t>147,565 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85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5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85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860" w14:textId="77777777" w:rsidR="00E836FB" w:rsidRDefault="00994958">
            <w:pPr>
              <w:jc w:val="right"/>
              <w:textAlignment w:val="bottom"/>
            </w:pPr>
            <w:r>
              <w:rPr>
                <w:rFonts w:ascii="Arial" w:eastAsia="宋体" w:hAnsi="Arial" w:cs="Arial"/>
                <w:color w:val="000000"/>
                <w:sz w:val="14"/>
                <w:szCs w:val="14"/>
              </w:rPr>
              <w:t>1,375 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861" w14:textId="77777777" w:rsidR="00E836FB" w:rsidRDefault="00E83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B86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63"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F2CB864" w14:textId="77777777" w:rsidR="00E836FB" w:rsidRDefault="00E836FB">
            <w:pPr>
              <w:jc w:val="right"/>
              <w:rPr>
                <w:rFonts w:ascii="宋体"/>
              </w:rPr>
            </w:pPr>
          </w:p>
        </w:tc>
        <w:tc>
          <w:tcPr>
            <w:tcW w:w="0" w:type="auto"/>
            <w:gridSpan w:val="3"/>
            <w:shd w:val="clear" w:color="auto" w:fill="auto"/>
            <w:vAlign w:val="bottom"/>
          </w:tcPr>
          <w:p w14:paraId="5F2CB865" w14:textId="77777777" w:rsidR="00E836FB" w:rsidRDefault="00E836FB">
            <w:pPr>
              <w:rPr>
                <w:rFonts w:ascii="宋体"/>
                <w:vanish/>
              </w:rPr>
            </w:pPr>
          </w:p>
        </w:tc>
        <w:tc>
          <w:tcPr>
            <w:tcW w:w="0" w:type="auto"/>
            <w:gridSpan w:val="3"/>
            <w:shd w:val="clear" w:color="auto" w:fill="auto"/>
            <w:vAlign w:val="bottom"/>
          </w:tcPr>
          <w:p w14:paraId="5F2CB866" w14:textId="77777777" w:rsidR="00E836FB" w:rsidRDefault="00E836FB">
            <w:pPr>
              <w:rPr>
                <w:rFonts w:ascii="宋体"/>
                <w:vanish/>
              </w:rPr>
            </w:pPr>
          </w:p>
        </w:tc>
        <w:tc>
          <w:tcPr>
            <w:tcW w:w="0" w:type="auto"/>
            <w:gridSpan w:val="2"/>
            <w:shd w:val="clear" w:color="auto" w:fill="auto"/>
            <w:vAlign w:val="bottom"/>
          </w:tcPr>
          <w:p w14:paraId="5F2CB867" w14:textId="77777777" w:rsidR="00E836FB" w:rsidRDefault="00E836FB">
            <w:pPr>
              <w:rPr>
                <w:rFonts w:ascii="宋体"/>
                <w:vanish/>
              </w:rPr>
            </w:pPr>
          </w:p>
        </w:tc>
        <w:tc>
          <w:tcPr>
            <w:tcW w:w="0" w:type="auto"/>
            <w:shd w:val="clear" w:color="auto" w:fill="auto"/>
            <w:vAlign w:val="bottom"/>
          </w:tcPr>
          <w:p w14:paraId="5F2CB868" w14:textId="77777777" w:rsidR="00E836FB" w:rsidRDefault="00E836FB">
            <w:pPr>
              <w:rPr>
                <w:rFonts w:ascii="宋体"/>
                <w:vanish/>
              </w:rPr>
            </w:pPr>
          </w:p>
        </w:tc>
      </w:tr>
      <w:tr w:rsidR="00E836FB" w14:paraId="5F2CB883" w14:textId="77777777">
        <w:tc>
          <w:tcPr>
            <w:tcW w:w="0" w:type="auto"/>
            <w:gridSpan w:val="3"/>
            <w:shd w:val="clear" w:color="auto" w:fill="FFFFFF"/>
            <w:tcMar>
              <w:top w:w="40" w:type="dxa"/>
              <w:left w:w="20" w:type="dxa"/>
              <w:bottom w:w="40" w:type="dxa"/>
              <w:right w:w="20" w:type="dxa"/>
            </w:tcMar>
            <w:vAlign w:val="bottom"/>
          </w:tcPr>
          <w:p w14:paraId="5F2CB86A" w14:textId="77777777" w:rsidR="00E836FB" w:rsidRDefault="00994958">
            <w:pPr>
              <w:textAlignment w:val="bottom"/>
            </w:pPr>
            <w:r>
              <w:rPr>
                <w:rFonts w:ascii="Arial" w:eastAsia="宋体" w:hAnsi="Arial" w:cs="Arial"/>
                <w:color w:val="000000"/>
                <w:sz w:val="14"/>
                <w:szCs w:val="14"/>
              </w:rPr>
              <w:t>Interest rate sp</w:t>
            </w:r>
            <w:r>
              <w:rPr>
                <w:rFonts w:ascii="Arial" w:eastAsia="宋体" w:hAnsi="Arial" w:cs="Arial"/>
                <w:color w:val="000000"/>
                <w:sz w:val="14"/>
                <w:szCs w:val="14"/>
              </w:rPr>
              <w:t>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86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6C"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86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6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6F"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870"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CB871"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87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73"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87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7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76"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FFFFFF"/>
            <w:tcMar>
              <w:top w:w="40" w:type="dxa"/>
              <w:left w:w="0" w:type="dxa"/>
              <w:bottom w:w="40" w:type="dxa"/>
              <w:right w:w="20" w:type="dxa"/>
            </w:tcMar>
            <w:vAlign w:val="bottom"/>
          </w:tcPr>
          <w:p w14:paraId="5F2CB877"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CB878"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87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7A"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B87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7D" w14:textId="77777777" w:rsidR="00E836FB" w:rsidRDefault="00994958">
            <w:pPr>
              <w:jc w:val="right"/>
              <w:textAlignment w:val="bottom"/>
            </w:pPr>
            <w:r>
              <w:rPr>
                <w:rFonts w:ascii="Arial" w:eastAsia="宋体" w:hAnsi="Arial" w:cs="Arial"/>
                <w:color w:val="000000"/>
                <w:sz w:val="14"/>
                <w:szCs w:val="14"/>
              </w:rPr>
              <w:t>1.25 </w:t>
            </w:r>
          </w:p>
        </w:tc>
        <w:tc>
          <w:tcPr>
            <w:tcW w:w="0" w:type="auto"/>
            <w:shd w:val="clear" w:color="auto" w:fill="FFFFFF"/>
            <w:tcMar>
              <w:top w:w="40" w:type="dxa"/>
              <w:left w:w="0" w:type="dxa"/>
              <w:bottom w:w="40" w:type="dxa"/>
              <w:right w:w="20" w:type="dxa"/>
            </w:tcMar>
            <w:vAlign w:val="bottom"/>
          </w:tcPr>
          <w:p w14:paraId="5F2CB87E"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B87F" w14:textId="77777777" w:rsidR="00E836FB" w:rsidRDefault="00E836FB">
            <w:pPr>
              <w:rPr>
                <w:rFonts w:ascii="宋体"/>
                <w:vanish/>
              </w:rPr>
            </w:pPr>
          </w:p>
        </w:tc>
        <w:tc>
          <w:tcPr>
            <w:tcW w:w="0" w:type="auto"/>
            <w:gridSpan w:val="3"/>
            <w:shd w:val="clear" w:color="auto" w:fill="auto"/>
            <w:vAlign w:val="bottom"/>
          </w:tcPr>
          <w:p w14:paraId="5F2CB880" w14:textId="77777777" w:rsidR="00E836FB" w:rsidRDefault="00E836FB">
            <w:pPr>
              <w:rPr>
                <w:rFonts w:ascii="宋体"/>
                <w:vanish/>
              </w:rPr>
            </w:pPr>
          </w:p>
        </w:tc>
        <w:tc>
          <w:tcPr>
            <w:tcW w:w="0" w:type="auto"/>
            <w:gridSpan w:val="2"/>
            <w:shd w:val="clear" w:color="auto" w:fill="auto"/>
            <w:vAlign w:val="bottom"/>
          </w:tcPr>
          <w:p w14:paraId="5F2CB881" w14:textId="77777777" w:rsidR="00E836FB" w:rsidRDefault="00E836FB">
            <w:pPr>
              <w:rPr>
                <w:rFonts w:ascii="宋体"/>
                <w:vanish/>
              </w:rPr>
            </w:pPr>
          </w:p>
        </w:tc>
        <w:tc>
          <w:tcPr>
            <w:tcW w:w="0" w:type="auto"/>
            <w:shd w:val="clear" w:color="auto" w:fill="auto"/>
            <w:vAlign w:val="bottom"/>
          </w:tcPr>
          <w:p w14:paraId="5F2CB882" w14:textId="77777777" w:rsidR="00E836FB" w:rsidRDefault="00E836FB">
            <w:pPr>
              <w:rPr>
                <w:rFonts w:ascii="宋体"/>
                <w:vanish/>
              </w:rPr>
            </w:pPr>
          </w:p>
        </w:tc>
      </w:tr>
      <w:tr w:rsidR="00E836FB" w14:paraId="5F2CB8A0" w14:textId="77777777">
        <w:tc>
          <w:tcPr>
            <w:tcW w:w="0" w:type="auto"/>
            <w:gridSpan w:val="3"/>
            <w:shd w:val="clear" w:color="auto" w:fill="CCEEFF"/>
            <w:tcMar>
              <w:top w:w="40" w:type="dxa"/>
              <w:left w:w="20" w:type="dxa"/>
              <w:bottom w:w="40" w:type="dxa"/>
              <w:right w:w="20" w:type="dxa"/>
            </w:tcMar>
            <w:vAlign w:val="bottom"/>
          </w:tcPr>
          <w:p w14:paraId="5F2CB884" w14:textId="77777777" w:rsidR="00E836FB" w:rsidRDefault="00994958">
            <w:pPr>
              <w:textAlignment w:val="bottom"/>
            </w:pPr>
            <w:r>
              <w:rPr>
                <w:rFonts w:ascii="Arial" w:eastAsia="宋体" w:hAnsi="Arial" w:cs="Arial"/>
                <w:color w:val="000000"/>
                <w:sz w:val="14"/>
                <w:szCs w:val="14"/>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5F2CB88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8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887"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B888" w14:textId="77777777" w:rsidR="00E836FB" w:rsidRDefault="00994958">
            <w:pPr>
              <w:jc w:val="right"/>
              <w:textAlignment w:val="bottom"/>
            </w:pPr>
            <w:r>
              <w:rPr>
                <w:rFonts w:ascii="Arial" w:eastAsia="宋体" w:hAnsi="Arial" w:cs="Arial"/>
                <w:b/>
                <w:bCs/>
                <w:color w:val="000000"/>
                <w:sz w:val="14"/>
                <w:szCs w:val="14"/>
              </w:rPr>
              <w:t>1,918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8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8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8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8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8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8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88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890" w14:textId="77777777" w:rsidR="00E836FB" w:rsidRDefault="00994958">
            <w:pPr>
              <w:jc w:val="right"/>
              <w:textAlignment w:val="bottom"/>
            </w:pPr>
            <w:r>
              <w:rPr>
                <w:rFonts w:ascii="Arial" w:eastAsia="宋体" w:hAnsi="Arial" w:cs="Arial"/>
                <w:color w:val="000000"/>
                <w:sz w:val="14"/>
                <w:szCs w:val="14"/>
              </w:rPr>
              <w:t>2,217 </w:t>
            </w:r>
          </w:p>
        </w:tc>
        <w:tc>
          <w:tcPr>
            <w:tcW w:w="0" w:type="auto"/>
            <w:shd w:val="clear" w:color="auto" w:fill="CCEEFF"/>
            <w:tcMar>
              <w:top w:w="40" w:type="dxa"/>
              <w:left w:w="0" w:type="dxa"/>
              <w:bottom w:w="40" w:type="dxa"/>
              <w:right w:w="20" w:type="dxa"/>
            </w:tcMar>
            <w:vAlign w:val="bottom"/>
          </w:tcPr>
          <w:p w14:paraId="5F2CB8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9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9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9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9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9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89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898" w14:textId="77777777" w:rsidR="00E836FB" w:rsidRDefault="00994958">
            <w:pPr>
              <w:jc w:val="right"/>
              <w:textAlignment w:val="bottom"/>
            </w:pPr>
            <w:r>
              <w:rPr>
                <w:rFonts w:ascii="Arial" w:eastAsia="宋体" w:hAnsi="Arial" w:cs="Arial"/>
                <w:color w:val="000000"/>
                <w:sz w:val="14"/>
                <w:szCs w:val="14"/>
              </w:rPr>
              <w:t>2,585 </w:t>
            </w:r>
          </w:p>
        </w:tc>
        <w:tc>
          <w:tcPr>
            <w:tcW w:w="0" w:type="auto"/>
            <w:shd w:val="clear" w:color="auto" w:fill="CCEEFF"/>
            <w:tcMar>
              <w:top w:w="40" w:type="dxa"/>
              <w:left w:w="0" w:type="dxa"/>
              <w:bottom w:w="40" w:type="dxa"/>
              <w:right w:w="20" w:type="dxa"/>
            </w:tcMar>
            <w:vAlign w:val="bottom"/>
          </w:tcPr>
          <w:p w14:paraId="5F2CB8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9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9B" w14:textId="77777777" w:rsidR="00E836FB" w:rsidRDefault="00E836FB">
            <w:pPr>
              <w:rPr>
                <w:rFonts w:ascii="宋体"/>
              </w:rPr>
            </w:pPr>
          </w:p>
        </w:tc>
        <w:tc>
          <w:tcPr>
            <w:tcW w:w="0" w:type="auto"/>
            <w:gridSpan w:val="3"/>
            <w:shd w:val="clear" w:color="auto" w:fill="auto"/>
            <w:vAlign w:val="bottom"/>
          </w:tcPr>
          <w:p w14:paraId="5F2CB89C" w14:textId="77777777" w:rsidR="00E836FB" w:rsidRDefault="00E836FB">
            <w:pPr>
              <w:rPr>
                <w:rFonts w:ascii="宋体"/>
                <w:vanish/>
              </w:rPr>
            </w:pPr>
          </w:p>
        </w:tc>
        <w:tc>
          <w:tcPr>
            <w:tcW w:w="0" w:type="auto"/>
            <w:gridSpan w:val="3"/>
            <w:shd w:val="clear" w:color="auto" w:fill="auto"/>
            <w:vAlign w:val="bottom"/>
          </w:tcPr>
          <w:p w14:paraId="5F2CB89D" w14:textId="77777777" w:rsidR="00E836FB" w:rsidRDefault="00E836FB">
            <w:pPr>
              <w:rPr>
                <w:rFonts w:ascii="宋体"/>
                <w:vanish/>
              </w:rPr>
            </w:pPr>
          </w:p>
        </w:tc>
        <w:tc>
          <w:tcPr>
            <w:tcW w:w="0" w:type="auto"/>
            <w:gridSpan w:val="2"/>
            <w:shd w:val="clear" w:color="auto" w:fill="auto"/>
            <w:vAlign w:val="bottom"/>
          </w:tcPr>
          <w:p w14:paraId="5F2CB89E" w14:textId="77777777" w:rsidR="00E836FB" w:rsidRDefault="00E836FB">
            <w:pPr>
              <w:rPr>
                <w:rFonts w:ascii="宋体"/>
                <w:vanish/>
              </w:rPr>
            </w:pPr>
          </w:p>
        </w:tc>
        <w:tc>
          <w:tcPr>
            <w:tcW w:w="0" w:type="auto"/>
            <w:shd w:val="clear" w:color="auto" w:fill="auto"/>
            <w:vAlign w:val="bottom"/>
          </w:tcPr>
          <w:p w14:paraId="5F2CB89F" w14:textId="77777777" w:rsidR="00E836FB" w:rsidRDefault="00E836FB">
            <w:pPr>
              <w:rPr>
                <w:rFonts w:ascii="宋体"/>
                <w:vanish/>
              </w:rPr>
            </w:pPr>
          </w:p>
        </w:tc>
      </w:tr>
      <w:tr w:rsidR="00E836FB" w14:paraId="5F2CB8BA" w14:textId="77777777">
        <w:tc>
          <w:tcPr>
            <w:tcW w:w="0" w:type="auto"/>
            <w:gridSpan w:val="3"/>
            <w:shd w:val="clear" w:color="auto" w:fill="FFFFFF"/>
            <w:tcMar>
              <w:top w:w="40" w:type="dxa"/>
              <w:left w:w="20" w:type="dxa"/>
              <w:bottom w:w="40" w:type="dxa"/>
              <w:right w:w="20" w:type="dxa"/>
            </w:tcMar>
            <w:vAlign w:val="bottom"/>
          </w:tcPr>
          <w:p w14:paraId="5F2CB8A1" w14:textId="77777777" w:rsidR="00E836FB" w:rsidRDefault="00994958">
            <w:pPr>
              <w:textAlignment w:val="bottom"/>
            </w:pPr>
            <w:r>
              <w:rPr>
                <w:rFonts w:ascii="Arial" w:eastAsia="宋体" w:hAnsi="Arial" w:cs="Arial"/>
                <w:color w:val="000000"/>
                <w:sz w:val="14"/>
                <w:szCs w:val="14"/>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5F2CB8A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A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A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A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A6"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8A7"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CB8A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A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A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A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A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AD" w14:textId="77777777" w:rsidR="00E836FB" w:rsidRDefault="00994958">
            <w:pPr>
              <w:jc w:val="right"/>
              <w:textAlignment w:val="bottom"/>
            </w:pPr>
            <w:r>
              <w:rPr>
                <w:rFonts w:ascii="Arial" w:eastAsia="宋体" w:hAnsi="Arial" w:cs="Arial"/>
                <w:color w:val="000000"/>
                <w:sz w:val="14"/>
                <w:szCs w:val="14"/>
              </w:rPr>
              <w:t>.97 </w:t>
            </w:r>
          </w:p>
        </w:tc>
        <w:tc>
          <w:tcPr>
            <w:tcW w:w="0" w:type="auto"/>
            <w:shd w:val="clear" w:color="auto" w:fill="FFFFFF"/>
            <w:tcMar>
              <w:top w:w="40" w:type="dxa"/>
              <w:left w:w="0" w:type="dxa"/>
              <w:bottom w:w="40" w:type="dxa"/>
              <w:right w:w="20" w:type="dxa"/>
            </w:tcMar>
            <w:vAlign w:val="bottom"/>
          </w:tcPr>
          <w:p w14:paraId="5F2CB8AE"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CB8A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B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B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B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8B4" w14:textId="77777777" w:rsidR="00E836FB" w:rsidRDefault="00994958">
            <w:pPr>
              <w:jc w:val="right"/>
              <w:textAlignment w:val="bottom"/>
            </w:pPr>
            <w:r>
              <w:rPr>
                <w:rFonts w:ascii="Arial" w:eastAsia="宋体" w:hAnsi="Arial" w:cs="Arial"/>
                <w:color w:val="000000"/>
                <w:sz w:val="14"/>
                <w:szCs w:val="14"/>
              </w:rPr>
              <w:t>1.42 </w:t>
            </w:r>
          </w:p>
        </w:tc>
        <w:tc>
          <w:tcPr>
            <w:tcW w:w="0" w:type="auto"/>
            <w:shd w:val="clear" w:color="auto" w:fill="FFFFFF"/>
            <w:tcMar>
              <w:top w:w="40" w:type="dxa"/>
              <w:left w:w="0" w:type="dxa"/>
              <w:bottom w:w="40" w:type="dxa"/>
              <w:right w:w="20" w:type="dxa"/>
            </w:tcMar>
            <w:vAlign w:val="bottom"/>
          </w:tcPr>
          <w:p w14:paraId="5F2CB8B5"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B8B6" w14:textId="77777777" w:rsidR="00E836FB" w:rsidRDefault="00E836FB">
            <w:pPr>
              <w:rPr>
                <w:rFonts w:ascii="宋体"/>
                <w:vanish/>
              </w:rPr>
            </w:pPr>
          </w:p>
        </w:tc>
        <w:tc>
          <w:tcPr>
            <w:tcW w:w="0" w:type="auto"/>
            <w:gridSpan w:val="3"/>
            <w:shd w:val="clear" w:color="auto" w:fill="auto"/>
            <w:vAlign w:val="bottom"/>
          </w:tcPr>
          <w:p w14:paraId="5F2CB8B7" w14:textId="77777777" w:rsidR="00E836FB" w:rsidRDefault="00E836FB">
            <w:pPr>
              <w:rPr>
                <w:rFonts w:ascii="宋体"/>
                <w:vanish/>
              </w:rPr>
            </w:pPr>
          </w:p>
        </w:tc>
        <w:tc>
          <w:tcPr>
            <w:tcW w:w="0" w:type="auto"/>
            <w:gridSpan w:val="2"/>
            <w:shd w:val="clear" w:color="auto" w:fill="auto"/>
            <w:vAlign w:val="bottom"/>
          </w:tcPr>
          <w:p w14:paraId="5F2CB8B8" w14:textId="77777777" w:rsidR="00E836FB" w:rsidRDefault="00E836FB">
            <w:pPr>
              <w:rPr>
                <w:rFonts w:ascii="宋体"/>
                <w:vanish/>
              </w:rPr>
            </w:pPr>
          </w:p>
        </w:tc>
        <w:tc>
          <w:tcPr>
            <w:tcW w:w="0" w:type="auto"/>
            <w:shd w:val="clear" w:color="auto" w:fill="auto"/>
            <w:vAlign w:val="bottom"/>
          </w:tcPr>
          <w:p w14:paraId="5F2CB8B9" w14:textId="77777777" w:rsidR="00E836FB" w:rsidRDefault="00E836FB">
            <w:pPr>
              <w:rPr>
                <w:rFonts w:ascii="宋体"/>
                <w:vanish/>
              </w:rPr>
            </w:pPr>
          </w:p>
        </w:tc>
      </w:tr>
      <w:tr w:rsidR="00E836FB" w14:paraId="5F2CB8D4" w14:textId="77777777">
        <w:tc>
          <w:tcPr>
            <w:tcW w:w="0" w:type="auto"/>
            <w:gridSpan w:val="3"/>
            <w:shd w:val="clear" w:color="auto" w:fill="CCEEFF"/>
            <w:tcMar>
              <w:top w:w="40" w:type="dxa"/>
              <w:left w:w="20" w:type="dxa"/>
              <w:bottom w:w="40" w:type="dxa"/>
              <w:right w:w="20" w:type="dxa"/>
            </w:tcMar>
            <w:vAlign w:val="bottom"/>
          </w:tcPr>
          <w:p w14:paraId="5F2CB8BB" w14:textId="77777777" w:rsidR="00E836FB" w:rsidRDefault="00994958">
            <w:pPr>
              <w:textAlignment w:val="bottom"/>
            </w:pPr>
            <w:r>
              <w:rPr>
                <w:rFonts w:ascii="Arial" w:eastAsia="宋体" w:hAnsi="Arial" w:cs="Arial"/>
                <w:color w:val="000000"/>
                <w:sz w:val="14"/>
                <w:szCs w:val="14"/>
              </w:rPr>
              <w:t>Tax-equivalent adjustment</w:t>
            </w:r>
          </w:p>
        </w:tc>
        <w:tc>
          <w:tcPr>
            <w:tcW w:w="0" w:type="auto"/>
            <w:gridSpan w:val="3"/>
            <w:shd w:val="clear" w:color="auto" w:fill="CCEEFF"/>
            <w:tcMar>
              <w:top w:w="0" w:type="dxa"/>
              <w:left w:w="20" w:type="dxa"/>
              <w:bottom w:w="0" w:type="dxa"/>
              <w:right w:w="20" w:type="dxa"/>
            </w:tcMar>
            <w:vAlign w:val="bottom"/>
          </w:tcPr>
          <w:p w14:paraId="5F2CB8B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BE" w14:textId="77777777" w:rsidR="00E836FB" w:rsidRDefault="00994958">
            <w:pPr>
              <w:jc w:val="right"/>
              <w:textAlignment w:val="bottom"/>
            </w:pPr>
            <w:r>
              <w:rPr>
                <w:rFonts w:ascii="Arial" w:eastAsia="宋体" w:hAnsi="Arial" w:cs="Arial"/>
                <w:b/>
                <w:bCs/>
                <w:color w:val="000000"/>
                <w:sz w:val="14"/>
                <w:szCs w:val="14"/>
              </w:rPr>
              <w:t>(13)</w:t>
            </w:r>
          </w:p>
        </w:tc>
        <w:tc>
          <w:tcPr>
            <w:tcW w:w="0" w:type="auto"/>
            <w:shd w:val="clear" w:color="auto" w:fill="CCEEFF"/>
            <w:tcMar>
              <w:top w:w="40" w:type="dxa"/>
              <w:left w:w="0" w:type="dxa"/>
              <w:bottom w:w="40" w:type="dxa"/>
              <w:right w:w="20" w:type="dxa"/>
            </w:tcMar>
            <w:vAlign w:val="bottom"/>
          </w:tcPr>
          <w:p w14:paraId="5F2CB8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C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C5" w14:textId="77777777" w:rsidR="00E836FB" w:rsidRDefault="00994958">
            <w:pPr>
              <w:jc w:val="right"/>
              <w:textAlignment w:val="bottom"/>
            </w:pPr>
            <w:r>
              <w:rPr>
                <w:rFonts w:ascii="Arial" w:eastAsia="宋体" w:hAnsi="Arial" w:cs="Arial"/>
                <w:color w:val="000000"/>
                <w:sz w:val="14"/>
                <w:szCs w:val="14"/>
              </w:rPr>
              <w:t>(17)</w:t>
            </w:r>
          </w:p>
        </w:tc>
        <w:tc>
          <w:tcPr>
            <w:tcW w:w="0" w:type="auto"/>
            <w:shd w:val="clear" w:color="auto" w:fill="CCEEFF"/>
            <w:tcMar>
              <w:top w:w="40" w:type="dxa"/>
              <w:left w:w="0" w:type="dxa"/>
              <w:bottom w:w="40" w:type="dxa"/>
              <w:right w:w="20" w:type="dxa"/>
            </w:tcMar>
            <w:vAlign w:val="bottom"/>
          </w:tcPr>
          <w:p w14:paraId="5F2CB8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C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8CC" w14:textId="77777777" w:rsidR="00E836FB" w:rsidRDefault="00994958">
            <w:pPr>
              <w:jc w:val="right"/>
              <w:textAlignment w:val="bottom"/>
            </w:pPr>
            <w:r>
              <w:rPr>
                <w:rFonts w:ascii="Arial" w:eastAsia="宋体" w:hAnsi="Arial" w:cs="Arial"/>
                <w:color w:val="000000"/>
                <w:sz w:val="14"/>
                <w:szCs w:val="14"/>
              </w:rPr>
              <w:t>(19)</w:t>
            </w:r>
          </w:p>
        </w:tc>
        <w:tc>
          <w:tcPr>
            <w:tcW w:w="0" w:type="auto"/>
            <w:shd w:val="clear" w:color="auto" w:fill="CCEEFF"/>
            <w:tcMar>
              <w:top w:w="40" w:type="dxa"/>
              <w:left w:w="0" w:type="dxa"/>
              <w:bottom w:w="40" w:type="dxa"/>
              <w:right w:w="20" w:type="dxa"/>
            </w:tcMar>
            <w:vAlign w:val="bottom"/>
          </w:tcPr>
          <w:p w14:paraId="5F2CB8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8C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8CF" w14:textId="77777777" w:rsidR="00E836FB" w:rsidRDefault="00E836FB">
            <w:pPr>
              <w:rPr>
                <w:rFonts w:ascii="宋体"/>
              </w:rPr>
            </w:pPr>
          </w:p>
        </w:tc>
        <w:tc>
          <w:tcPr>
            <w:tcW w:w="0" w:type="auto"/>
            <w:gridSpan w:val="3"/>
            <w:shd w:val="clear" w:color="auto" w:fill="auto"/>
            <w:vAlign w:val="bottom"/>
          </w:tcPr>
          <w:p w14:paraId="5F2CB8D0" w14:textId="77777777" w:rsidR="00E836FB" w:rsidRDefault="00E836FB">
            <w:pPr>
              <w:rPr>
                <w:rFonts w:ascii="宋体"/>
                <w:vanish/>
              </w:rPr>
            </w:pPr>
          </w:p>
        </w:tc>
        <w:tc>
          <w:tcPr>
            <w:tcW w:w="0" w:type="auto"/>
            <w:gridSpan w:val="3"/>
            <w:shd w:val="clear" w:color="auto" w:fill="auto"/>
            <w:vAlign w:val="bottom"/>
          </w:tcPr>
          <w:p w14:paraId="5F2CB8D1" w14:textId="77777777" w:rsidR="00E836FB" w:rsidRDefault="00E836FB">
            <w:pPr>
              <w:rPr>
                <w:rFonts w:ascii="宋体"/>
                <w:vanish/>
              </w:rPr>
            </w:pPr>
          </w:p>
        </w:tc>
        <w:tc>
          <w:tcPr>
            <w:tcW w:w="0" w:type="auto"/>
            <w:gridSpan w:val="2"/>
            <w:shd w:val="clear" w:color="auto" w:fill="auto"/>
            <w:vAlign w:val="bottom"/>
          </w:tcPr>
          <w:p w14:paraId="5F2CB8D2" w14:textId="77777777" w:rsidR="00E836FB" w:rsidRDefault="00E836FB">
            <w:pPr>
              <w:rPr>
                <w:rFonts w:ascii="宋体"/>
                <w:vanish/>
              </w:rPr>
            </w:pPr>
          </w:p>
        </w:tc>
        <w:tc>
          <w:tcPr>
            <w:tcW w:w="0" w:type="auto"/>
            <w:shd w:val="clear" w:color="auto" w:fill="auto"/>
            <w:vAlign w:val="bottom"/>
          </w:tcPr>
          <w:p w14:paraId="5F2CB8D3" w14:textId="77777777" w:rsidR="00E836FB" w:rsidRDefault="00E836FB">
            <w:pPr>
              <w:rPr>
                <w:rFonts w:ascii="宋体"/>
                <w:vanish/>
              </w:rPr>
            </w:pPr>
          </w:p>
        </w:tc>
      </w:tr>
      <w:tr w:rsidR="00E836FB" w14:paraId="5F2CB8F1" w14:textId="77777777">
        <w:tc>
          <w:tcPr>
            <w:tcW w:w="0" w:type="auto"/>
            <w:gridSpan w:val="3"/>
            <w:shd w:val="clear" w:color="auto" w:fill="FFFFFF"/>
            <w:tcMar>
              <w:top w:w="40" w:type="dxa"/>
              <w:left w:w="20" w:type="dxa"/>
              <w:bottom w:w="40" w:type="dxa"/>
              <w:right w:w="20" w:type="dxa"/>
            </w:tcMar>
            <w:vAlign w:val="bottom"/>
          </w:tcPr>
          <w:p w14:paraId="5F2CB8D5" w14:textId="77777777" w:rsidR="00E836FB" w:rsidRDefault="00994958">
            <w:pPr>
              <w:textAlignment w:val="bottom"/>
            </w:pPr>
            <w:r>
              <w:rPr>
                <w:rFonts w:ascii="Arial" w:eastAsia="宋体" w:hAnsi="Arial" w:cs="Arial"/>
                <w:color w:val="000000"/>
                <w:sz w:val="14"/>
                <w:szCs w:val="14"/>
              </w:rPr>
              <w:t xml:space="preserve">Net interest income, GAAP basis </w:t>
            </w:r>
          </w:p>
        </w:tc>
        <w:tc>
          <w:tcPr>
            <w:tcW w:w="0" w:type="auto"/>
            <w:gridSpan w:val="3"/>
            <w:shd w:val="clear" w:color="auto" w:fill="FFFFFF"/>
            <w:tcMar>
              <w:top w:w="0" w:type="dxa"/>
              <w:left w:w="20" w:type="dxa"/>
              <w:bottom w:w="0" w:type="dxa"/>
              <w:right w:w="20" w:type="dxa"/>
            </w:tcMar>
            <w:vAlign w:val="bottom"/>
          </w:tcPr>
          <w:p w14:paraId="5F2CB8D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D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B8D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B8D9" w14:textId="77777777" w:rsidR="00E836FB" w:rsidRDefault="00994958">
            <w:pPr>
              <w:jc w:val="right"/>
              <w:textAlignment w:val="bottom"/>
            </w:pPr>
            <w:r>
              <w:rPr>
                <w:rFonts w:ascii="Arial" w:eastAsia="宋体" w:hAnsi="Arial" w:cs="Arial"/>
                <w:b/>
                <w:bCs/>
                <w:color w:val="000000"/>
                <w:sz w:val="14"/>
                <w:szCs w:val="14"/>
              </w:rPr>
              <w:t>1,905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B8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D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D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D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D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B8E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B8E1" w14:textId="77777777" w:rsidR="00E836FB" w:rsidRDefault="00994958">
            <w:pPr>
              <w:jc w:val="right"/>
              <w:textAlignment w:val="bottom"/>
            </w:pPr>
            <w:r>
              <w:rPr>
                <w:rFonts w:ascii="Arial" w:eastAsia="宋体" w:hAnsi="Arial" w:cs="Arial"/>
                <w:color w:val="000000"/>
                <w:sz w:val="14"/>
                <w:szCs w:val="14"/>
              </w:rPr>
              <w:t>2,200 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B8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E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E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E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E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E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B8E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B8E9" w14:textId="77777777" w:rsidR="00E836FB" w:rsidRDefault="00994958">
            <w:pPr>
              <w:jc w:val="right"/>
              <w:textAlignment w:val="bottom"/>
            </w:pPr>
            <w:r>
              <w:rPr>
                <w:rFonts w:ascii="Arial" w:eastAsia="宋体" w:hAnsi="Arial" w:cs="Arial"/>
                <w:color w:val="000000"/>
                <w:sz w:val="14"/>
                <w:szCs w:val="14"/>
              </w:rPr>
              <w:t>2,566 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B8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8E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8EC" w14:textId="77777777" w:rsidR="00E836FB" w:rsidRDefault="00E836FB">
            <w:pPr>
              <w:rPr>
                <w:rFonts w:ascii="宋体"/>
              </w:rPr>
            </w:pPr>
          </w:p>
        </w:tc>
        <w:tc>
          <w:tcPr>
            <w:tcW w:w="0" w:type="auto"/>
            <w:gridSpan w:val="3"/>
            <w:shd w:val="clear" w:color="auto" w:fill="auto"/>
            <w:vAlign w:val="bottom"/>
          </w:tcPr>
          <w:p w14:paraId="5F2CB8ED" w14:textId="77777777" w:rsidR="00E836FB" w:rsidRDefault="00E836FB">
            <w:pPr>
              <w:rPr>
                <w:rFonts w:ascii="宋体"/>
                <w:vanish/>
              </w:rPr>
            </w:pPr>
          </w:p>
        </w:tc>
        <w:tc>
          <w:tcPr>
            <w:tcW w:w="0" w:type="auto"/>
            <w:gridSpan w:val="3"/>
            <w:shd w:val="clear" w:color="auto" w:fill="auto"/>
            <w:vAlign w:val="bottom"/>
          </w:tcPr>
          <w:p w14:paraId="5F2CB8EE" w14:textId="77777777" w:rsidR="00E836FB" w:rsidRDefault="00E836FB">
            <w:pPr>
              <w:rPr>
                <w:rFonts w:ascii="宋体"/>
                <w:vanish/>
              </w:rPr>
            </w:pPr>
          </w:p>
        </w:tc>
        <w:tc>
          <w:tcPr>
            <w:tcW w:w="0" w:type="auto"/>
            <w:gridSpan w:val="2"/>
            <w:shd w:val="clear" w:color="auto" w:fill="auto"/>
            <w:vAlign w:val="bottom"/>
          </w:tcPr>
          <w:p w14:paraId="5F2CB8EF" w14:textId="77777777" w:rsidR="00E836FB" w:rsidRDefault="00E836FB">
            <w:pPr>
              <w:rPr>
                <w:rFonts w:ascii="宋体"/>
                <w:vanish/>
              </w:rPr>
            </w:pPr>
          </w:p>
        </w:tc>
        <w:tc>
          <w:tcPr>
            <w:tcW w:w="0" w:type="auto"/>
            <w:shd w:val="clear" w:color="auto" w:fill="auto"/>
            <w:vAlign w:val="bottom"/>
          </w:tcPr>
          <w:p w14:paraId="5F2CB8F0" w14:textId="77777777" w:rsidR="00E836FB" w:rsidRDefault="00E836FB">
            <w:pPr>
              <w:rPr>
                <w:rFonts w:ascii="宋体"/>
                <w:vanish/>
              </w:rPr>
            </w:pPr>
          </w:p>
        </w:tc>
      </w:tr>
    </w:tbl>
    <w:p w14:paraId="5F2CB8F2" w14:textId="77777777" w:rsidR="00E836FB" w:rsidRDefault="00E836FB">
      <w:pPr>
        <w:rPr>
          <w:vanish/>
        </w:rPr>
      </w:pPr>
    </w:p>
    <w:tbl>
      <w:tblPr>
        <w:tblW w:w="3392" w:type="pct"/>
        <w:tblCellMar>
          <w:top w:w="15" w:type="dxa"/>
          <w:left w:w="15" w:type="dxa"/>
          <w:bottom w:w="15" w:type="dxa"/>
          <w:right w:w="15" w:type="dxa"/>
        </w:tblCellMar>
        <w:tblLook w:val="04A0" w:firstRow="1" w:lastRow="0" w:firstColumn="1" w:lastColumn="0" w:noHBand="0" w:noVBand="1"/>
      </w:tblPr>
      <w:tblGrid>
        <w:gridCol w:w="41"/>
        <w:gridCol w:w="1786"/>
        <w:gridCol w:w="36"/>
        <w:gridCol w:w="42"/>
        <w:gridCol w:w="3714"/>
        <w:gridCol w:w="36"/>
      </w:tblGrid>
      <w:tr w:rsidR="00E836FB" w14:paraId="5F2CB8F9" w14:textId="77777777">
        <w:tc>
          <w:tcPr>
            <w:tcW w:w="50" w:type="pct"/>
            <w:shd w:val="clear" w:color="auto" w:fill="auto"/>
            <w:vAlign w:val="bottom"/>
          </w:tcPr>
          <w:p w14:paraId="5F2CB8F3" w14:textId="77777777" w:rsidR="00E836FB" w:rsidRDefault="00E836FB">
            <w:pPr>
              <w:rPr>
                <w:rFonts w:ascii="宋体"/>
              </w:rPr>
            </w:pPr>
          </w:p>
        </w:tc>
        <w:tc>
          <w:tcPr>
            <w:tcW w:w="1593" w:type="pct"/>
            <w:shd w:val="clear" w:color="auto" w:fill="auto"/>
            <w:vAlign w:val="bottom"/>
          </w:tcPr>
          <w:p w14:paraId="5F2CB8F4" w14:textId="77777777" w:rsidR="00E836FB" w:rsidRDefault="00E836FB">
            <w:pPr>
              <w:rPr>
                <w:rFonts w:ascii="宋体"/>
              </w:rPr>
            </w:pPr>
          </w:p>
        </w:tc>
        <w:tc>
          <w:tcPr>
            <w:tcW w:w="5" w:type="pct"/>
            <w:shd w:val="clear" w:color="auto" w:fill="auto"/>
            <w:vAlign w:val="bottom"/>
          </w:tcPr>
          <w:p w14:paraId="5F2CB8F5" w14:textId="77777777" w:rsidR="00E836FB" w:rsidRDefault="00E836FB">
            <w:pPr>
              <w:rPr>
                <w:rFonts w:ascii="宋体"/>
              </w:rPr>
            </w:pPr>
          </w:p>
        </w:tc>
        <w:tc>
          <w:tcPr>
            <w:tcW w:w="50" w:type="pct"/>
            <w:shd w:val="clear" w:color="auto" w:fill="auto"/>
            <w:vAlign w:val="bottom"/>
          </w:tcPr>
          <w:p w14:paraId="5F2CB8F6" w14:textId="77777777" w:rsidR="00E836FB" w:rsidRDefault="00E836FB">
            <w:pPr>
              <w:rPr>
                <w:rFonts w:ascii="宋体"/>
              </w:rPr>
            </w:pPr>
          </w:p>
        </w:tc>
        <w:tc>
          <w:tcPr>
            <w:tcW w:w="3296" w:type="pct"/>
            <w:shd w:val="clear" w:color="auto" w:fill="auto"/>
            <w:vAlign w:val="bottom"/>
          </w:tcPr>
          <w:p w14:paraId="5F2CB8F7" w14:textId="77777777" w:rsidR="00E836FB" w:rsidRDefault="00E836FB">
            <w:pPr>
              <w:rPr>
                <w:rFonts w:ascii="宋体"/>
              </w:rPr>
            </w:pPr>
          </w:p>
        </w:tc>
        <w:tc>
          <w:tcPr>
            <w:tcW w:w="5" w:type="pct"/>
            <w:shd w:val="clear" w:color="auto" w:fill="auto"/>
            <w:vAlign w:val="bottom"/>
          </w:tcPr>
          <w:p w14:paraId="5F2CB8F8" w14:textId="77777777" w:rsidR="00E836FB" w:rsidRDefault="00E836FB">
            <w:pPr>
              <w:rPr>
                <w:rFonts w:ascii="宋体"/>
              </w:rPr>
            </w:pPr>
          </w:p>
        </w:tc>
      </w:tr>
      <w:tr w:rsidR="00E836FB" w14:paraId="5F2CB8F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B8F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8FB" w14:textId="77777777" w:rsidR="00E836FB" w:rsidRDefault="00E836FB">
            <w:pPr>
              <w:rPr>
                <w:rFonts w:ascii="宋体"/>
              </w:rPr>
            </w:pPr>
          </w:p>
        </w:tc>
      </w:tr>
    </w:tbl>
    <w:p w14:paraId="5F2CB8FD" w14:textId="77777777" w:rsidR="00E836FB" w:rsidRDefault="00994958">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Rates earned/paid on interest-earning assets and interest-bearing liabilities include the impact of hedge activities associated with our asset and liability management activities where applicable.</w:t>
      </w:r>
    </w:p>
    <w:p w14:paraId="5F2CB8FE" w14:textId="77777777" w:rsidR="00E836FB" w:rsidRDefault="00994958">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Negative values reflect the interest rate environment </w:t>
      </w:r>
      <w:r>
        <w:rPr>
          <w:rFonts w:ascii="Arial" w:eastAsia="宋体" w:hAnsi="Arial" w:cs="Arial"/>
          <w:color w:val="000000"/>
          <w:sz w:val="14"/>
          <w:szCs w:val="14"/>
        </w:rPr>
        <w:t>outside of the U.S. where central bank rates are below zero for several major currencies.</w:t>
      </w:r>
    </w:p>
    <w:p w14:paraId="5F2CB8FF" w14:textId="77777777" w:rsidR="00E836FB" w:rsidRDefault="00994958">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Reflects the impact of balance sheet netting under enforceable netting agreements of approximately $62.15 billion, $100.45 billion and $86.67 billion for the years ended December 31, 2021, 2020 and 2019, respectively. Excluding the impact of netting, the </w:t>
      </w:r>
      <w:r>
        <w:rPr>
          <w:rFonts w:ascii="Arial" w:eastAsia="宋体" w:hAnsi="Arial" w:cs="Arial"/>
          <w:color w:val="000000"/>
          <w:sz w:val="14"/>
          <w:szCs w:val="14"/>
        </w:rPr>
        <w:t>average interest rates would be approximately 0.04%, 0.12% and 0.41% for the years ended December 31, 2021, 2020 and 2019, respectively.</w:t>
      </w:r>
    </w:p>
    <w:p w14:paraId="5F2CB900" w14:textId="77777777" w:rsidR="00E836FB" w:rsidRDefault="00994958">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Average rate includes the impact of FX swap costs of approximately ($68) million, ($63) million and $153 million fo</w:t>
      </w:r>
      <w:r>
        <w:rPr>
          <w:rFonts w:ascii="Arial" w:eastAsia="宋体" w:hAnsi="Arial" w:cs="Arial"/>
          <w:color w:val="000000"/>
          <w:sz w:val="14"/>
          <w:szCs w:val="14"/>
        </w:rPr>
        <w:t xml:space="preserve">r the years ended December 31, 2021, 2020 and 2019, respectively. Average rates for total interest-bearing deposits excluding the impact of FX swap costs were (0.10)%, (0.03)% and 0.40% for the years ended December 31, 2021, 2020 and 2019, respectively. </w:t>
      </w:r>
    </w:p>
    <w:p w14:paraId="5F2CB901" w14:textId="77777777" w:rsidR="00E836FB" w:rsidRDefault="00994958">
      <w:pPr>
        <w:spacing w:before="60"/>
        <w:jc w:val="both"/>
      </w:pPr>
      <w:r>
        <w:rPr>
          <w:rFonts w:ascii="Arial" w:eastAsia="宋体" w:hAnsi="Arial" w:cs="Arial"/>
          <w:color w:val="000000"/>
          <w:sz w:val="9"/>
          <w:szCs w:val="9"/>
        </w:rPr>
        <w:t>(</w:t>
      </w:r>
      <w:r>
        <w:rPr>
          <w:rFonts w:ascii="Arial" w:eastAsia="宋体" w:hAnsi="Arial" w:cs="Arial"/>
          <w:color w:val="000000"/>
          <w:sz w:val="9"/>
          <w:szCs w:val="9"/>
        </w:rPr>
        <w:t>5)</w:t>
      </w:r>
      <w:r>
        <w:rPr>
          <w:rFonts w:ascii="Arial" w:eastAsia="宋体" w:hAnsi="Arial" w:cs="Arial"/>
          <w:color w:val="000000"/>
          <w:sz w:val="14"/>
          <w:szCs w:val="14"/>
        </w:rPr>
        <w:t xml:space="preserve"> Total deposits averaged $235.40 billion, $193.23 billion and $158.26 billion for the years ended December 31, 2021, 2020 and 2019, respectively.</w:t>
      </w:r>
    </w:p>
    <w:p w14:paraId="5F2CB902" w14:textId="77777777" w:rsidR="00E836FB" w:rsidRDefault="00994958">
      <w:pPr>
        <w:ind w:firstLine="450"/>
        <w:jc w:val="right"/>
      </w:pPr>
      <w:r>
        <w:rPr>
          <w:rFonts w:ascii="Arial" w:eastAsia="宋体" w:hAnsi="Arial" w:cs="Arial"/>
          <w:color w:val="000000"/>
          <w:sz w:val="18"/>
          <w:szCs w:val="18"/>
        </w:rPr>
        <w:t>State Street Corporation | 71</w:t>
      </w:r>
    </w:p>
    <w:p w14:paraId="5F2CB903" w14:textId="77777777" w:rsidR="00E836FB" w:rsidRDefault="00E836FB">
      <w:pPr>
        <w:ind w:firstLine="450"/>
        <w:jc w:val="center"/>
      </w:pPr>
    </w:p>
    <w:p w14:paraId="5F2CB904" w14:textId="77777777" w:rsidR="00E836FB" w:rsidRDefault="00994958">
      <w:r>
        <w:pict w14:anchorId="5F2D6DCC">
          <v:rect id="_x0000_i1095" style="width:415.3pt;height:1.5pt" o:hralign="center" o:hrstd="t" o:hr="t" fillcolor="#a0a0a0" stroked="f"/>
        </w:pict>
      </w:r>
    </w:p>
    <w:p w14:paraId="5F2CB905"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906" w14:textId="77777777" w:rsidR="00E836FB" w:rsidRDefault="00994958">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5F2CB907" w14:textId="77777777" w:rsidR="00E836FB" w:rsidRDefault="00994958">
      <w:pPr>
        <w:spacing w:before="60"/>
        <w:ind w:firstLine="450"/>
        <w:jc w:val="both"/>
        <w:textAlignment w:val="top"/>
      </w:pPr>
      <w:r>
        <w:rPr>
          <w:rFonts w:ascii="Arial" w:eastAsia="宋体" w:hAnsi="Arial" w:cs="Arial"/>
          <w:color w:val="000000"/>
          <w:sz w:val="20"/>
          <w:szCs w:val="20"/>
        </w:rPr>
        <w:t>Changes in the components of interest-earning assets and interest-bearing liabilities are discussed in more detail below. Additional information about the components of interest income and interest expense is provided in Note 17 to the consolida</w:t>
      </w:r>
      <w:r>
        <w:rPr>
          <w:rFonts w:ascii="Arial" w:eastAsia="宋体" w:hAnsi="Arial" w:cs="Arial"/>
          <w:color w:val="000000"/>
          <w:sz w:val="20"/>
          <w:szCs w:val="20"/>
        </w:rPr>
        <w:t>ted financial statements in this Form 10-K.</w:t>
      </w:r>
    </w:p>
    <w:p w14:paraId="5F2CB908" w14:textId="77777777" w:rsidR="00E836FB" w:rsidRDefault="00994958">
      <w:pPr>
        <w:spacing w:before="60"/>
        <w:ind w:firstLine="450"/>
        <w:jc w:val="both"/>
        <w:textAlignment w:val="top"/>
      </w:pPr>
      <w:r>
        <w:rPr>
          <w:rFonts w:ascii="Arial" w:eastAsia="宋体" w:hAnsi="Arial" w:cs="Arial"/>
          <w:color w:val="000000"/>
          <w:sz w:val="20"/>
          <w:szCs w:val="20"/>
        </w:rPr>
        <w:t>Average total interest-earning assets were $260.04 billion in 2021 compared to $228.87 billion in 2020. The increase is primarily due to higher interest-bearing deposits with banks and investment securities.</w:t>
      </w:r>
    </w:p>
    <w:p w14:paraId="5F2CB909" w14:textId="77777777" w:rsidR="00E836FB" w:rsidRDefault="00994958">
      <w:pPr>
        <w:spacing w:before="60"/>
        <w:ind w:firstLine="450"/>
        <w:jc w:val="both"/>
        <w:textAlignment w:val="top"/>
      </w:pPr>
      <w:r>
        <w:rPr>
          <w:rFonts w:ascii="Arial" w:eastAsia="宋体" w:hAnsi="Arial" w:cs="Arial"/>
          <w:color w:val="000000"/>
          <w:sz w:val="20"/>
          <w:szCs w:val="20"/>
        </w:rPr>
        <w:t>Inte</w:t>
      </w:r>
      <w:r>
        <w:rPr>
          <w:rFonts w:ascii="Arial" w:eastAsia="宋体" w:hAnsi="Arial" w:cs="Arial"/>
          <w:color w:val="000000"/>
          <w:sz w:val="20"/>
          <w:szCs w:val="20"/>
        </w:rPr>
        <w:t>rest-bearing deposits with banks averaged $90.00 billion in 2021 compared to $76.59 billion in 2020. These deposits primarily reflect our maintenance of cash balances at the Federal Reserve, the European Central Bank (ECB) and other non-U.S. central banks.</w:t>
      </w:r>
      <w:r>
        <w:rPr>
          <w:rFonts w:ascii="Arial" w:eastAsia="宋体" w:hAnsi="Arial" w:cs="Arial"/>
          <w:color w:val="000000"/>
          <w:sz w:val="20"/>
          <w:szCs w:val="20"/>
        </w:rPr>
        <w:t xml:space="preserve"> The higher levels of average cash balances with central banks reflect higher levels of client deposits.</w:t>
      </w:r>
    </w:p>
    <w:p w14:paraId="5F2CB90A" w14:textId="77777777" w:rsidR="00E836FB" w:rsidRDefault="00994958">
      <w:pPr>
        <w:spacing w:before="60"/>
        <w:ind w:firstLine="450"/>
        <w:jc w:val="both"/>
        <w:textAlignment w:val="top"/>
      </w:pPr>
      <w:r>
        <w:rPr>
          <w:rFonts w:ascii="Arial" w:eastAsia="宋体" w:hAnsi="Arial" w:cs="Arial"/>
          <w:color w:val="000000"/>
          <w:sz w:val="20"/>
          <w:szCs w:val="20"/>
        </w:rPr>
        <w:t>Securities purchased under resale agreements averaged $4.19 billion in 2021 compared to $3.45 billion in 2020. The impact of balance sheet netting decr</w:t>
      </w:r>
      <w:r>
        <w:rPr>
          <w:rFonts w:ascii="Arial" w:eastAsia="宋体" w:hAnsi="Arial" w:cs="Arial"/>
          <w:color w:val="000000"/>
          <w:sz w:val="20"/>
          <w:szCs w:val="20"/>
        </w:rPr>
        <w:t>eased to $62.15 billion on average in 2021</w:t>
      </w:r>
      <w:r>
        <w:rPr>
          <w:rFonts w:ascii="Arial" w:eastAsia="宋体" w:hAnsi="Arial" w:cs="Arial"/>
          <w:color w:val="000000"/>
          <w:sz w:val="13"/>
          <w:szCs w:val="13"/>
        </w:rPr>
        <w:t xml:space="preserve"> </w:t>
      </w:r>
      <w:r>
        <w:rPr>
          <w:rFonts w:ascii="Arial" w:eastAsia="宋体" w:hAnsi="Arial" w:cs="Arial"/>
          <w:color w:val="000000"/>
          <w:sz w:val="20"/>
          <w:szCs w:val="20"/>
        </w:rPr>
        <w:t>compared to $100.45 billion in 2020. We maintain an agreement with FICC, a clearing organization that enables us to net all securities sold under repurchase agreements against those purchased under resale agreemen</w:t>
      </w:r>
      <w:r>
        <w:rPr>
          <w:rFonts w:ascii="Arial" w:eastAsia="宋体" w:hAnsi="Arial" w:cs="Arial"/>
          <w:color w:val="000000"/>
          <w:sz w:val="20"/>
          <w:szCs w:val="20"/>
        </w:rPr>
        <w:t>ts with counterparties that are also members of the clearing organization when specific netting criteria are met. The decrease in average balance sheet netting in 2021 compared to 2020 is primarily due to lower FICC repo volumes from an increased cash supp</w:t>
      </w:r>
      <w:r>
        <w:rPr>
          <w:rFonts w:ascii="Arial" w:eastAsia="宋体" w:hAnsi="Arial" w:cs="Arial"/>
          <w:color w:val="000000"/>
          <w:sz w:val="20"/>
          <w:szCs w:val="20"/>
        </w:rPr>
        <w:t>ly and lower short-term interest rates driven by extensive Federal Reserve stimulus.</w:t>
      </w:r>
    </w:p>
    <w:p w14:paraId="5F2CB90B" w14:textId="77777777" w:rsidR="00E836FB" w:rsidRDefault="00994958">
      <w:pPr>
        <w:spacing w:before="60"/>
        <w:ind w:firstLine="450"/>
        <w:jc w:val="both"/>
        <w:textAlignment w:val="top"/>
      </w:pPr>
      <w:r>
        <w:rPr>
          <w:rFonts w:ascii="Arial" w:eastAsia="宋体" w:hAnsi="Arial" w:cs="Arial"/>
          <w:color w:val="000000"/>
          <w:sz w:val="20"/>
          <w:szCs w:val="20"/>
        </w:rPr>
        <w:t>We have been a sponsoring member within FICC since 2005 and have continued to expand our client base as program eligibility parameters, including permissible client entity</w:t>
      </w:r>
      <w:r>
        <w:rPr>
          <w:rFonts w:ascii="Arial" w:eastAsia="宋体" w:hAnsi="Arial" w:cs="Arial"/>
          <w:color w:val="000000"/>
          <w:sz w:val="20"/>
          <w:szCs w:val="20"/>
        </w:rPr>
        <w:t xml:space="preserve"> types and client jurisdictions, have broadened. We enter into repurchase and resale transactions in eligible securities with sponsored clients and with other FICC members and, pursuant to FICC Government Securities Division rules, submit, novate and net t</w:t>
      </w:r>
      <w:r>
        <w:rPr>
          <w:rFonts w:ascii="Arial" w:eastAsia="宋体" w:hAnsi="Arial" w:cs="Arial"/>
          <w:color w:val="000000"/>
          <w:sz w:val="20"/>
          <w:szCs w:val="20"/>
        </w:rPr>
        <w:t>he transactions. We may sponsor clients to clear their eligible repurchase transactions with FICC, backed by our guarantee to FICC of the prompt and full payment and performance of our sponsored member clients’ respective obligations. We generally obtain a</w:t>
      </w:r>
      <w:r>
        <w:rPr>
          <w:rFonts w:ascii="Arial" w:eastAsia="宋体" w:hAnsi="Arial" w:cs="Arial"/>
          <w:color w:val="000000"/>
          <w:sz w:val="20"/>
          <w:szCs w:val="20"/>
        </w:rPr>
        <w:t xml:space="preserve"> security interest from our sponsored clients in the high quality securities collateral that they receive, which is designed to mitigate our potential exposure to FICC.</w:t>
      </w:r>
    </w:p>
    <w:p w14:paraId="5F2CB90C" w14:textId="77777777" w:rsidR="00E836FB" w:rsidRDefault="00994958">
      <w:pPr>
        <w:spacing w:before="60"/>
        <w:ind w:firstLine="450"/>
        <w:jc w:val="both"/>
        <w:textAlignment w:val="top"/>
      </w:pPr>
      <w:r>
        <w:rPr>
          <w:rFonts w:ascii="Arial" w:eastAsia="宋体" w:hAnsi="Arial" w:cs="Arial"/>
          <w:color w:val="000000"/>
          <w:sz w:val="20"/>
          <w:szCs w:val="20"/>
        </w:rPr>
        <w:t xml:space="preserve">Average investment securities increased to $111.73 billion in 2021 from $109.18 billion in 2020, primarily driven by MBS balances and foreign government bonds. The growth reflects our </w:t>
      </w:r>
    </w:p>
    <w:p w14:paraId="5F2CB90D" w14:textId="77777777" w:rsidR="00E836FB" w:rsidRDefault="00994958">
      <w:pPr>
        <w:spacing w:before="60"/>
        <w:jc w:val="both"/>
        <w:textAlignment w:val="top"/>
      </w:pPr>
      <w:r>
        <w:rPr>
          <w:rFonts w:ascii="Arial" w:eastAsia="宋体" w:hAnsi="Arial" w:cs="Arial"/>
          <w:color w:val="000000"/>
          <w:sz w:val="20"/>
          <w:szCs w:val="20"/>
        </w:rPr>
        <w:t>deployment of higher structural deposit levels that resulted from the C</w:t>
      </w:r>
      <w:r>
        <w:rPr>
          <w:rFonts w:ascii="Arial" w:eastAsia="宋体" w:hAnsi="Arial" w:cs="Arial"/>
          <w:color w:val="000000"/>
          <w:sz w:val="20"/>
          <w:szCs w:val="20"/>
        </w:rPr>
        <w:t>OVID-19 pandemic.</w:t>
      </w:r>
    </w:p>
    <w:p w14:paraId="5F2CB90E" w14:textId="77777777" w:rsidR="00E836FB" w:rsidRDefault="00994958">
      <w:pPr>
        <w:spacing w:before="60"/>
        <w:ind w:firstLine="450"/>
        <w:jc w:val="both"/>
        <w:textAlignment w:val="top"/>
      </w:pPr>
      <w:r>
        <w:rPr>
          <w:rFonts w:ascii="Arial" w:eastAsia="宋体" w:hAnsi="Arial" w:cs="Arial"/>
          <w:color w:val="000000"/>
          <w:sz w:val="20"/>
          <w:szCs w:val="20"/>
        </w:rPr>
        <w:t xml:space="preserve">Loans averaged $31.01 billion in 2021 compared to $27.53 billion in 2020. Average core loans, which exclude overdrafts and highlight our efforts to grow our lending portfolio, averaged $26.76 billion in 2021 compared to $22.84 billion in </w:t>
      </w:r>
      <w:r>
        <w:rPr>
          <w:rFonts w:ascii="Arial" w:eastAsia="宋体" w:hAnsi="Arial" w:cs="Arial"/>
          <w:color w:val="000000"/>
          <w:sz w:val="20"/>
          <w:szCs w:val="20"/>
        </w:rPr>
        <w:t>2020. The increase is primarily due to growth in CLOs in loan form and fund finance loans, such as our private equity capital call facilities. Additional information about these loans is provided in Note 4 to the consolidated financial statements in this F</w:t>
      </w:r>
      <w:r>
        <w:rPr>
          <w:rFonts w:ascii="Arial" w:eastAsia="宋体" w:hAnsi="Arial" w:cs="Arial"/>
          <w:color w:val="000000"/>
          <w:sz w:val="20"/>
          <w:szCs w:val="20"/>
        </w:rPr>
        <w:t>orm 10-K.</w:t>
      </w:r>
    </w:p>
    <w:p w14:paraId="5F2CB90F" w14:textId="77777777" w:rsidR="00E836FB" w:rsidRDefault="00994958">
      <w:pPr>
        <w:spacing w:before="60"/>
        <w:ind w:firstLine="450"/>
        <w:jc w:val="both"/>
        <w:textAlignment w:val="top"/>
      </w:pPr>
      <w:r>
        <w:rPr>
          <w:rFonts w:ascii="Arial" w:eastAsia="宋体" w:hAnsi="Arial" w:cs="Arial"/>
          <w:color w:val="000000"/>
          <w:sz w:val="20"/>
          <w:szCs w:val="20"/>
        </w:rPr>
        <w:t>Average other interest-earning assets, largely associated with our enhanced custody business, increased to $22.36 billion in 2021 from $11.26 billion in 2020, primarily driven by an increase in the level of cash collateral posted. Enhanced custod</w:t>
      </w:r>
      <w:r>
        <w:rPr>
          <w:rFonts w:ascii="Arial" w:eastAsia="宋体" w:hAnsi="Arial" w:cs="Arial"/>
          <w:color w:val="000000"/>
          <w:sz w:val="20"/>
          <w:szCs w:val="20"/>
        </w:rPr>
        <w:t>y is our securities financing business where we act as principal with respect to our custody clients and generate securities finance revenue. The NII earned on these transactions is generally lower than the interest earned on other alternative investments.</w:t>
      </w:r>
    </w:p>
    <w:p w14:paraId="5F2CB910" w14:textId="77777777" w:rsidR="00E836FB" w:rsidRDefault="00994958">
      <w:pPr>
        <w:spacing w:before="60"/>
        <w:ind w:firstLine="450"/>
        <w:jc w:val="both"/>
        <w:textAlignment w:val="top"/>
      </w:pPr>
      <w:r>
        <w:rPr>
          <w:rFonts w:ascii="Arial" w:eastAsia="宋体" w:hAnsi="Arial" w:cs="Arial"/>
          <w:color w:val="000000"/>
          <w:sz w:val="20"/>
          <w:szCs w:val="20"/>
        </w:rPr>
        <w:t xml:space="preserve">Aggregate average total interest-bearing deposits increased to $186.97 billion in 2021 from $156.25 billion in 2020. Average U.S. interest-bearing deposits increased amidst the market uncertainty due to the COVID-19 pandemic, U.S. monetary policy and the </w:t>
      </w:r>
      <w:r>
        <w:rPr>
          <w:rFonts w:ascii="Arial" w:eastAsia="宋体" w:hAnsi="Arial" w:cs="Arial"/>
          <w:color w:val="000000"/>
          <w:sz w:val="20"/>
          <w:szCs w:val="20"/>
        </w:rPr>
        <w:t>level of global interest rates. We expect deposits to remain elevated due to the current low interest rate environment and the size of the Federal Reserve's balance sheet. Future deposit levels will be influenced by the underlying asset servicing business,</w:t>
      </w:r>
      <w:r>
        <w:rPr>
          <w:rFonts w:ascii="Arial" w:eastAsia="宋体" w:hAnsi="Arial" w:cs="Arial"/>
          <w:color w:val="000000"/>
          <w:sz w:val="20"/>
          <w:szCs w:val="20"/>
        </w:rPr>
        <w:t xml:space="preserve"> client deposit behavior and market conditions, including the general levels of U.S. and non-U.S. interest rates.</w:t>
      </w:r>
    </w:p>
    <w:p w14:paraId="5F2CB911" w14:textId="77777777" w:rsidR="00E836FB" w:rsidRDefault="00994958">
      <w:pPr>
        <w:spacing w:before="60"/>
        <w:ind w:firstLine="450"/>
        <w:jc w:val="both"/>
        <w:textAlignment w:val="top"/>
      </w:pPr>
      <w:r>
        <w:rPr>
          <w:rFonts w:ascii="Arial" w:eastAsia="宋体" w:hAnsi="Arial" w:cs="Arial"/>
          <w:color w:val="000000"/>
          <w:sz w:val="20"/>
          <w:szCs w:val="20"/>
        </w:rPr>
        <w:t>Average other short-term borrowings, typically associated with our tax-exempt investment program, decreased to $0.79 billion in 2021 from $2.2</w:t>
      </w:r>
      <w:r>
        <w:rPr>
          <w:rFonts w:ascii="Arial" w:eastAsia="宋体" w:hAnsi="Arial" w:cs="Arial"/>
          <w:color w:val="000000"/>
          <w:sz w:val="20"/>
          <w:szCs w:val="20"/>
        </w:rPr>
        <w:t>3 billion in 2020.</w:t>
      </w:r>
    </w:p>
    <w:p w14:paraId="5F2CB912" w14:textId="77777777" w:rsidR="00E836FB" w:rsidRDefault="00994958">
      <w:pPr>
        <w:spacing w:before="60"/>
        <w:ind w:firstLine="450"/>
        <w:jc w:val="both"/>
        <w:textAlignment w:val="top"/>
      </w:pPr>
      <w:r>
        <w:rPr>
          <w:rFonts w:ascii="Arial" w:eastAsia="宋体" w:hAnsi="Arial" w:cs="Arial"/>
          <w:color w:val="000000"/>
          <w:sz w:val="20"/>
          <w:szCs w:val="20"/>
        </w:rPr>
        <w:t>Average long-term debt was $13.38 billion in 2021 compared to $14.37 billion in 2020. These amounts reflect issuances, redemptions and maturities of senior debt during the respective periods.</w:t>
      </w:r>
    </w:p>
    <w:p w14:paraId="5F2CB913" w14:textId="77777777" w:rsidR="00E836FB" w:rsidRDefault="00994958">
      <w:pPr>
        <w:spacing w:before="60"/>
        <w:ind w:firstLine="450"/>
        <w:jc w:val="both"/>
        <w:textAlignment w:val="top"/>
      </w:pPr>
      <w:r>
        <w:rPr>
          <w:rFonts w:ascii="Arial" w:eastAsia="宋体" w:hAnsi="Arial" w:cs="Arial"/>
          <w:color w:val="000000"/>
          <w:sz w:val="20"/>
          <w:szCs w:val="20"/>
        </w:rPr>
        <w:t>Average other interest-bearing liabilities we</w:t>
      </w:r>
      <w:r>
        <w:rPr>
          <w:rFonts w:ascii="Arial" w:eastAsia="宋体" w:hAnsi="Arial" w:cs="Arial"/>
          <w:color w:val="000000"/>
          <w:sz w:val="20"/>
          <w:szCs w:val="20"/>
        </w:rPr>
        <w:t>re $5.49 billion in 2021 compared to $3.18 billion in 2020. Other interest-bearing liabilities primarily reflect our level of cash collateral received from clients in connection with our enhanced custody business, which is presented on a net basis where we</w:t>
      </w:r>
      <w:r>
        <w:rPr>
          <w:rFonts w:ascii="Arial" w:eastAsia="宋体" w:hAnsi="Arial" w:cs="Arial"/>
          <w:color w:val="000000"/>
          <w:sz w:val="20"/>
          <w:szCs w:val="20"/>
        </w:rPr>
        <w:t xml:space="preserve"> have enforceable netting agreements.</w:t>
      </w:r>
    </w:p>
    <w:p w14:paraId="5F2CB914" w14:textId="77777777" w:rsidR="00E836FB" w:rsidRDefault="00994958">
      <w:pPr>
        <w:spacing w:before="60"/>
        <w:ind w:firstLine="450"/>
        <w:jc w:val="both"/>
        <w:textAlignment w:val="top"/>
      </w:pPr>
      <w:r>
        <w:rPr>
          <w:rFonts w:ascii="Arial" w:eastAsia="宋体" w:hAnsi="Arial" w:cs="Arial"/>
          <w:color w:val="000000"/>
          <w:sz w:val="20"/>
          <w:szCs w:val="20"/>
        </w:rPr>
        <w:t xml:space="preserve">Several factors could affect future levels of NII and NIM, including the volume and mix of client deposits and funding sources; central bank actions; balance sheet management activities; changes in the level and slope </w:t>
      </w:r>
      <w:r>
        <w:rPr>
          <w:rFonts w:ascii="Arial" w:eastAsia="宋体" w:hAnsi="Arial" w:cs="Arial"/>
          <w:color w:val="000000"/>
          <w:sz w:val="20"/>
          <w:szCs w:val="20"/>
        </w:rPr>
        <w:t xml:space="preserve">of U.S. and non-U.S. interest rates; </w:t>
      </w:r>
    </w:p>
    <w:p w14:paraId="5F2CB915" w14:textId="77777777" w:rsidR="00E836FB" w:rsidRDefault="00994958">
      <w:pPr>
        <w:ind w:firstLine="450"/>
        <w:jc w:val="right"/>
      </w:pPr>
      <w:r>
        <w:rPr>
          <w:rFonts w:ascii="Arial" w:eastAsia="宋体" w:hAnsi="Arial" w:cs="Arial"/>
          <w:color w:val="000000"/>
          <w:sz w:val="18"/>
          <w:szCs w:val="18"/>
        </w:rPr>
        <w:t>State Street Corporation | 72</w:t>
      </w:r>
    </w:p>
    <w:p w14:paraId="5F2CB916" w14:textId="77777777" w:rsidR="00E836FB" w:rsidRDefault="00E836FB">
      <w:pPr>
        <w:ind w:firstLine="450"/>
        <w:jc w:val="center"/>
      </w:pPr>
    </w:p>
    <w:p w14:paraId="5F2CB917" w14:textId="77777777" w:rsidR="00E836FB" w:rsidRDefault="00994958">
      <w:r>
        <w:pict w14:anchorId="5F2D6DCD">
          <v:rect id="_x0000_i1096" style="width:415.3pt;height:1.5pt" o:hralign="center" o:hrstd="t" o:hr="t" fillcolor="#a0a0a0" stroked="f"/>
        </w:pict>
      </w:r>
    </w:p>
    <w:p w14:paraId="5F2CB918"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919" w14:textId="77777777" w:rsidR="00E836FB" w:rsidRDefault="00994958">
      <w:pPr>
        <w:ind w:firstLine="450"/>
        <w:jc w:val="center"/>
      </w:pPr>
      <w:r>
        <w:rPr>
          <w:rFonts w:ascii="Arial" w:eastAsia="宋体" w:hAnsi="Arial" w:cs="Arial"/>
          <w:b/>
          <w:bCs/>
          <w:color w:val="000000"/>
          <w:sz w:val="20"/>
          <w:szCs w:val="20"/>
        </w:rPr>
        <w:t>AND RESULTS OF OPERATIONS</w:t>
      </w:r>
    </w:p>
    <w:p w14:paraId="5F2CB91A" w14:textId="77777777" w:rsidR="00E836FB" w:rsidRDefault="00994958">
      <w:pPr>
        <w:spacing w:before="60"/>
        <w:jc w:val="both"/>
        <w:textAlignment w:val="top"/>
      </w:pPr>
      <w:r>
        <w:rPr>
          <w:rFonts w:ascii="Arial" w:eastAsia="宋体" w:hAnsi="Arial" w:cs="Arial"/>
          <w:color w:val="000000"/>
          <w:sz w:val="20"/>
          <w:szCs w:val="20"/>
        </w:rPr>
        <w:t xml:space="preserve">revised or proposed regulatory capital or liquidity standards, or interpretations of those </w:t>
      </w:r>
      <w:r>
        <w:rPr>
          <w:rFonts w:ascii="Arial" w:eastAsia="宋体" w:hAnsi="Arial" w:cs="Arial"/>
          <w:color w:val="000000"/>
          <w:sz w:val="20"/>
          <w:szCs w:val="20"/>
        </w:rPr>
        <w:t>standards; the yields earned on securities purchased compared to the yields earned on securities sold or matured and changes in the type and amount of credit or other loans we extend.</w:t>
      </w:r>
    </w:p>
    <w:p w14:paraId="5F2CB91B" w14:textId="77777777" w:rsidR="00E836FB" w:rsidRDefault="00994958">
      <w:pPr>
        <w:spacing w:before="60"/>
        <w:ind w:firstLine="450"/>
        <w:jc w:val="both"/>
        <w:textAlignment w:val="top"/>
      </w:pPr>
      <w:r>
        <w:rPr>
          <w:rFonts w:ascii="Arial" w:eastAsia="宋体" w:hAnsi="Arial" w:cs="Arial"/>
          <w:color w:val="000000"/>
          <w:sz w:val="20"/>
          <w:szCs w:val="20"/>
        </w:rPr>
        <w:t>Based on market conditions and other factors, including regulatory stand</w:t>
      </w:r>
      <w:r>
        <w:rPr>
          <w:rFonts w:ascii="Arial" w:eastAsia="宋体" w:hAnsi="Arial" w:cs="Arial"/>
          <w:color w:val="000000"/>
          <w:sz w:val="20"/>
          <w:szCs w:val="20"/>
        </w:rPr>
        <w:t>ards, we continue to reinvest the majority of the proceeds from pay-downs and maturities of investment securities in highly-rated U.S. and non-U.S. securities, such as federal agency MBS, sovereign debt securities and U.S. Treasury and agency securities. T</w:t>
      </w:r>
      <w:r>
        <w:rPr>
          <w:rFonts w:ascii="Arial" w:eastAsia="宋体" w:hAnsi="Arial" w:cs="Arial"/>
          <w:color w:val="000000"/>
          <w:sz w:val="20"/>
          <w:szCs w:val="20"/>
        </w:rPr>
        <w:t>he pace at which we reinvest and the types of investment securities purchased will depend on the impact of market conditions, the implementation of regulatory standards, including interpretation of those standards and other factors over time. We expect the</w:t>
      </w:r>
      <w:r>
        <w:rPr>
          <w:rFonts w:ascii="Arial" w:eastAsia="宋体" w:hAnsi="Arial" w:cs="Arial"/>
          <w:color w:val="000000"/>
          <w:sz w:val="20"/>
          <w:szCs w:val="20"/>
        </w:rPr>
        <w:t>se factors and the levels of global interest rates to impact our reinvestment program and future levels of NII and NIM.</w:t>
      </w:r>
    </w:p>
    <w:p w14:paraId="5F2CB91C" w14:textId="77777777" w:rsidR="00E836FB" w:rsidRDefault="00994958">
      <w:pPr>
        <w:spacing w:before="60"/>
        <w:jc w:val="both"/>
        <w:textAlignment w:val="top"/>
      </w:pPr>
      <w:r>
        <w:rPr>
          <w:rFonts w:ascii="Arial" w:eastAsia="宋体" w:hAnsi="Arial" w:cs="Arial"/>
          <w:b/>
          <w:bCs/>
          <w:i/>
          <w:iCs/>
          <w:color w:val="000000"/>
          <w:sz w:val="20"/>
          <w:szCs w:val="20"/>
        </w:rPr>
        <w:t>Other Income</w:t>
      </w:r>
    </w:p>
    <w:p w14:paraId="5F2CB91D" w14:textId="77777777" w:rsidR="00E836FB" w:rsidRDefault="00994958">
      <w:pPr>
        <w:spacing w:before="60"/>
        <w:ind w:firstLine="450"/>
        <w:jc w:val="both"/>
        <w:textAlignment w:val="top"/>
      </w:pPr>
      <w:r>
        <w:rPr>
          <w:rFonts w:ascii="Arial" w:eastAsia="宋体" w:hAnsi="Arial" w:cs="Arial"/>
          <w:color w:val="000000"/>
          <w:sz w:val="20"/>
          <w:szCs w:val="20"/>
        </w:rPr>
        <w:t>In the second quarter of 2021, we sold a majority share of our WMS business, which resulted in a pre-tax gain on sale of $5</w:t>
      </w:r>
      <w:r>
        <w:rPr>
          <w:rFonts w:ascii="Arial" w:eastAsia="宋体" w:hAnsi="Arial" w:cs="Arial"/>
          <w:color w:val="000000"/>
          <w:sz w:val="20"/>
          <w:szCs w:val="20"/>
        </w:rPr>
        <w:t>3 million that was recorded in other income.</w:t>
      </w:r>
    </w:p>
    <w:p w14:paraId="5F2CB91E" w14:textId="77777777" w:rsidR="00E836FB" w:rsidRDefault="00994958">
      <w:pPr>
        <w:spacing w:before="60"/>
        <w:ind w:firstLine="450"/>
        <w:jc w:val="both"/>
        <w:textAlignment w:val="top"/>
      </w:pPr>
      <w:r>
        <w:rPr>
          <w:rFonts w:ascii="Arial" w:eastAsia="宋体" w:hAnsi="Arial" w:cs="Arial"/>
          <w:color w:val="000000"/>
          <w:sz w:val="20"/>
          <w:szCs w:val="20"/>
        </w:rPr>
        <w:t>In the fourth quarter of 2021, we transferred $438 million of HTM debt securities that referenced LIBOR and other discontinued reference rates to AFS. Of those transferred securities, $378 million were subsequen</w:t>
      </w:r>
      <w:r>
        <w:rPr>
          <w:rFonts w:ascii="Arial" w:eastAsia="宋体" w:hAnsi="Arial" w:cs="Arial"/>
          <w:color w:val="000000"/>
          <w:sz w:val="20"/>
          <w:szCs w:val="20"/>
        </w:rPr>
        <w:t>tly sold, resulting in a pre-tax gain of $58 million.</w:t>
      </w:r>
    </w:p>
    <w:p w14:paraId="5F2CB91F" w14:textId="77777777" w:rsidR="00E836FB" w:rsidRDefault="00994958">
      <w:pPr>
        <w:spacing w:before="90"/>
        <w:textAlignment w:val="top"/>
      </w:pPr>
      <w:r>
        <w:rPr>
          <w:rFonts w:ascii="Arial" w:eastAsia="宋体" w:hAnsi="Arial" w:cs="Arial"/>
          <w:b/>
          <w:bCs/>
          <w:color w:val="000000"/>
          <w:sz w:val="20"/>
          <w:szCs w:val="20"/>
        </w:rPr>
        <w:t>Provision for Credit Losses</w:t>
      </w:r>
    </w:p>
    <w:p w14:paraId="5F2CB920" w14:textId="77777777" w:rsidR="00E836FB" w:rsidRDefault="00994958">
      <w:pPr>
        <w:spacing w:before="60"/>
        <w:ind w:firstLine="450"/>
        <w:jc w:val="both"/>
        <w:textAlignment w:val="top"/>
      </w:pPr>
      <w:r>
        <w:rPr>
          <w:rFonts w:ascii="Arial" w:eastAsia="宋体" w:hAnsi="Arial" w:cs="Arial"/>
          <w:color w:val="000000"/>
          <w:sz w:val="20"/>
          <w:szCs w:val="20"/>
        </w:rPr>
        <w:t>In 2021, we released $33 million of credit reserves related to loans and financial assets held at amortized cost and off-balance sheet commitments based on the CECL methodolo</w:t>
      </w:r>
      <w:r>
        <w:rPr>
          <w:rFonts w:ascii="Arial" w:eastAsia="宋体" w:hAnsi="Arial" w:cs="Arial"/>
          <w:color w:val="000000"/>
          <w:sz w:val="20"/>
          <w:szCs w:val="20"/>
        </w:rPr>
        <w:t>gy, reflecting observed and expected improvements in both credit quality and economic outlook. This compares to a $88 million provision for credit losses in 2020 based on the CECL methodology, and $10 million in 2019, which was under the incurred loss mode</w:t>
      </w:r>
      <w:r>
        <w:rPr>
          <w:rFonts w:ascii="Arial" w:eastAsia="宋体" w:hAnsi="Arial" w:cs="Arial"/>
          <w:color w:val="000000"/>
          <w:sz w:val="20"/>
          <w:szCs w:val="20"/>
        </w:rPr>
        <w:t>l.</w:t>
      </w:r>
    </w:p>
    <w:p w14:paraId="5F2CB921" w14:textId="77777777" w:rsidR="00E836FB" w:rsidRDefault="00994958">
      <w:pPr>
        <w:spacing w:before="60"/>
        <w:ind w:firstLine="450"/>
        <w:jc w:val="both"/>
        <w:textAlignment w:val="top"/>
      </w:pPr>
      <w:r>
        <w:rPr>
          <w:rFonts w:ascii="Arial" w:eastAsia="宋体" w:hAnsi="Arial" w:cs="Arial"/>
          <w:color w:val="000000"/>
          <w:sz w:val="20"/>
          <w:szCs w:val="20"/>
        </w:rPr>
        <w:t>Additional information is provided under “Loans” in "Financial Condition" in this Management's Discussion and Analysis and in Note 4 to the consolidated financial statements in this Form 10-K.</w:t>
      </w:r>
    </w:p>
    <w:p w14:paraId="5F2CB922" w14:textId="77777777" w:rsidR="00E836FB" w:rsidRDefault="00994958">
      <w:pPr>
        <w:spacing w:before="90"/>
        <w:textAlignment w:val="top"/>
      </w:pPr>
      <w:r>
        <w:rPr>
          <w:rFonts w:ascii="Arial" w:eastAsia="宋体" w:hAnsi="Arial" w:cs="Arial"/>
          <w:b/>
          <w:bCs/>
          <w:color w:val="000000"/>
          <w:sz w:val="20"/>
          <w:szCs w:val="20"/>
        </w:rPr>
        <w:t>Expenses</w:t>
      </w:r>
    </w:p>
    <w:p w14:paraId="5F2CB923" w14:textId="77777777" w:rsidR="00E836FB" w:rsidRDefault="00994958">
      <w:pPr>
        <w:spacing w:before="60"/>
        <w:ind w:firstLine="450"/>
        <w:jc w:val="both"/>
        <w:textAlignment w:val="top"/>
      </w:pPr>
      <w:r>
        <w:rPr>
          <w:rFonts w:ascii="Arial" w:eastAsia="宋体" w:hAnsi="Arial" w:cs="Arial"/>
          <w:color w:val="000000"/>
          <w:sz w:val="20"/>
          <w:szCs w:val="20"/>
        </w:rPr>
        <w:t>Table 15: Expenses, provides the breakout of expens</w:t>
      </w:r>
      <w:r>
        <w:rPr>
          <w:rFonts w:ascii="Arial" w:eastAsia="宋体" w:hAnsi="Arial" w:cs="Arial"/>
          <w:color w:val="000000"/>
          <w:sz w:val="20"/>
          <w:szCs w:val="20"/>
        </w:rPr>
        <w:t>es for the 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2270"/>
        <w:gridCol w:w="38"/>
        <w:gridCol w:w="93"/>
        <w:gridCol w:w="909"/>
        <w:gridCol w:w="36"/>
        <w:gridCol w:w="36"/>
        <w:gridCol w:w="39"/>
        <w:gridCol w:w="36"/>
        <w:gridCol w:w="93"/>
        <w:gridCol w:w="909"/>
        <w:gridCol w:w="36"/>
        <w:gridCol w:w="36"/>
        <w:gridCol w:w="39"/>
        <w:gridCol w:w="36"/>
        <w:gridCol w:w="93"/>
        <w:gridCol w:w="910"/>
        <w:gridCol w:w="36"/>
        <w:gridCol w:w="36"/>
        <w:gridCol w:w="40"/>
        <w:gridCol w:w="36"/>
        <w:gridCol w:w="37"/>
        <w:gridCol w:w="1041"/>
        <w:gridCol w:w="136"/>
        <w:gridCol w:w="36"/>
        <w:gridCol w:w="40"/>
        <w:gridCol w:w="36"/>
        <w:gridCol w:w="37"/>
        <w:gridCol w:w="1041"/>
        <w:gridCol w:w="136"/>
      </w:tblGrid>
      <w:tr w:rsidR="00E836FB" w14:paraId="5F2CB942" w14:textId="77777777">
        <w:tc>
          <w:tcPr>
            <w:tcW w:w="50" w:type="pct"/>
            <w:shd w:val="clear" w:color="auto" w:fill="auto"/>
            <w:vAlign w:val="bottom"/>
          </w:tcPr>
          <w:p w14:paraId="5F2CB924" w14:textId="77777777" w:rsidR="00E836FB" w:rsidRDefault="00E836FB">
            <w:pPr>
              <w:rPr>
                <w:rFonts w:ascii="宋体"/>
              </w:rPr>
            </w:pPr>
          </w:p>
        </w:tc>
        <w:tc>
          <w:tcPr>
            <w:tcW w:w="1391" w:type="pct"/>
            <w:shd w:val="clear" w:color="auto" w:fill="auto"/>
            <w:vAlign w:val="bottom"/>
          </w:tcPr>
          <w:p w14:paraId="5F2CB925" w14:textId="77777777" w:rsidR="00E836FB" w:rsidRDefault="00E836FB">
            <w:pPr>
              <w:rPr>
                <w:rFonts w:ascii="宋体"/>
              </w:rPr>
            </w:pPr>
          </w:p>
        </w:tc>
        <w:tc>
          <w:tcPr>
            <w:tcW w:w="5" w:type="pct"/>
            <w:shd w:val="clear" w:color="auto" w:fill="auto"/>
            <w:vAlign w:val="bottom"/>
          </w:tcPr>
          <w:p w14:paraId="5F2CB926" w14:textId="77777777" w:rsidR="00E836FB" w:rsidRDefault="00E836FB">
            <w:pPr>
              <w:rPr>
                <w:rFonts w:ascii="宋体"/>
              </w:rPr>
            </w:pPr>
          </w:p>
        </w:tc>
        <w:tc>
          <w:tcPr>
            <w:tcW w:w="50" w:type="pct"/>
            <w:shd w:val="clear" w:color="auto" w:fill="auto"/>
            <w:vAlign w:val="bottom"/>
          </w:tcPr>
          <w:p w14:paraId="5F2CB927" w14:textId="77777777" w:rsidR="00E836FB" w:rsidRDefault="00E836FB">
            <w:pPr>
              <w:rPr>
                <w:rFonts w:ascii="宋体"/>
              </w:rPr>
            </w:pPr>
          </w:p>
        </w:tc>
        <w:tc>
          <w:tcPr>
            <w:tcW w:w="573" w:type="pct"/>
            <w:shd w:val="clear" w:color="auto" w:fill="auto"/>
            <w:vAlign w:val="bottom"/>
          </w:tcPr>
          <w:p w14:paraId="5F2CB928" w14:textId="77777777" w:rsidR="00E836FB" w:rsidRDefault="00E836FB">
            <w:pPr>
              <w:rPr>
                <w:rFonts w:ascii="宋体"/>
              </w:rPr>
            </w:pPr>
          </w:p>
        </w:tc>
        <w:tc>
          <w:tcPr>
            <w:tcW w:w="5" w:type="pct"/>
            <w:shd w:val="clear" w:color="auto" w:fill="auto"/>
            <w:vAlign w:val="bottom"/>
          </w:tcPr>
          <w:p w14:paraId="5F2CB929" w14:textId="77777777" w:rsidR="00E836FB" w:rsidRDefault="00E836FB">
            <w:pPr>
              <w:rPr>
                <w:rFonts w:ascii="宋体"/>
              </w:rPr>
            </w:pPr>
          </w:p>
        </w:tc>
        <w:tc>
          <w:tcPr>
            <w:tcW w:w="5" w:type="pct"/>
            <w:shd w:val="clear" w:color="auto" w:fill="auto"/>
            <w:vAlign w:val="bottom"/>
          </w:tcPr>
          <w:p w14:paraId="5F2CB92A" w14:textId="77777777" w:rsidR="00E836FB" w:rsidRDefault="00E836FB">
            <w:pPr>
              <w:rPr>
                <w:rFonts w:ascii="宋体"/>
              </w:rPr>
            </w:pPr>
          </w:p>
        </w:tc>
        <w:tc>
          <w:tcPr>
            <w:tcW w:w="52" w:type="pct"/>
            <w:shd w:val="clear" w:color="auto" w:fill="auto"/>
            <w:vAlign w:val="bottom"/>
          </w:tcPr>
          <w:p w14:paraId="5F2CB92B" w14:textId="77777777" w:rsidR="00E836FB" w:rsidRDefault="00E836FB">
            <w:pPr>
              <w:rPr>
                <w:rFonts w:ascii="宋体"/>
              </w:rPr>
            </w:pPr>
          </w:p>
        </w:tc>
        <w:tc>
          <w:tcPr>
            <w:tcW w:w="5" w:type="pct"/>
            <w:shd w:val="clear" w:color="auto" w:fill="auto"/>
            <w:vAlign w:val="bottom"/>
          </w:tcPr>
          <w:p w14:paraId="5F2CB92C" w14:textId="77777777" w:rsidR="00E836FB" w:rsidRDefault="00E836FB">
            <w:pPr>
              <w:rPr>
                <w:rFonts w:ascii="宋体"/>
              </w:rPr>
            </w:pPr>
          </w:p>
        </w:tc>
        <w:tc>
          <w:tcPr>
            <w:tcW w:w="50" w:type="pct"/>
            <w:shd w:val="clear" w:color="auto" w:fill="auto"/>
            <w:vAlign w:val="bottom"/>
          </w:tcPr>
          <w:p w14:paraId="5F2CB92D" w14:textId="77777777" w:rsidR="00E836FB" w:rsidRDefault="00E836FB">
            <w:pPr>
              <w:rPr>
                <w:rFonts w:ascii="宋体"/>
              </w:rPr>
            </w:pPr>
          </w:p>
        </w:tc>
        <w:tc>
          <w:tcPr>
            <w:tcW w:w="573" w:type="pct"/>
            <w:shd w:val="clear" w:color="auto" w:fill="auto"/>
            <w:vAlign w:val="bottom"/>
          </w:tcPr>
          <w:p w14:paraId="5F2CB92E" w14:textId="77777777" w:rsidR="00E836FB" w:rsidRDefault="00E836FB">
            <w:pPr>
              <w:rPr>
                <w:rFonts w:ascii="宋体"/>
              </w:rPr>
            </w:pPr>
          </w:p>
        </w:tc>
        <w:tc>
          <w:tcPr>
            <w:tcW w:w="5" w:type="pct"/>
            <w:shd w:val="clear" w:color="auto" w:fill="auto"/>
            <w:vAlign w:val="bottom"/>
          </w:tcPr>
          <w:p w14:paraId="5F2CB92F" w14:textId="77777777" w:rsidR="00E836FB" w:rsidRDefault="00E836FB">
            <w:pPr>
              <w:rPr>
                <w:rFonts w:ascii="宋体"/>
              </w:rPr>
            </w:pPr>
          </w:p>
        </w:tc>
        <w:tc>
          <w:tcPr>
            <w:tcW w:w="5" w:type="pct"/>
            <w:shd w:val="clear" w:color="auto" w:fill="auto"/>
            <w:vAlign w:val="bottom"/>
          </w:tcPr>
          <w:p w14:paraId="5F2CB930" w14:textId="77777777" w:rsidR="00E836FB" w:rsidRDefault="00E836FB">
            <w:pPr>
              <w:rPr>
                <w:rFonts w:ascii="宋体"/>
              </w:rPr>
            </w:pPr>
          </w:p>
        </w:tc>
        <w:tc>
          <w:tcPr>
            <w:tcW w:w="52" w:type="pct"/>
            <w:shd w:val="clear" w:color="auto" w:fill="auto"/>
            <w:vAlign w:val="bottom"/>
          </w:tcPr>
          <w:p w14:paraId="5F2CB931" w14:textId="77777777" w:rsidR="00E836FB" w:rsidRDefault="00E836FB">
            <w:pPr>
              <w:rPr>
                <w:rFonts w:ascii="宋体"/>
              </w:rPr>
            </w:pPr>
          </w:p>
        </w:tc>
        <w:tc>
          <w:tcPr>
            <w:tcW w:w="5" w:type="pct"/>
            <w:shd w:val="clear" w:color="auto" w:fill="auto"/>
            <w:vAlign w:val="bottom"/>
          </w:tcPr>
          <w:p w14:paraId="5F2CB932" w14:textId="77777777" w:rsidR="00E836FB" w:rsidRDefault="00E836FB">
            <w:pPr>
              <w:rPr>
                <w:rFonts w:ascii="宋体"/>
              </w:rPr>
            </w:pPr>
          </w:p>
        </w:tc>
        <w:tc>
          <w:tcPr>
            <w:tcW w:w="50" w:type="pct"/>
            <w:shd w:val="clear" w:color="auto" w:fill="auto"/>
            <w:vAlign w:val="bottom"/>
          </w:tcPr>
          <w:p w14:paraId="5F2CB933" w14:textId="77777777" w:rsidR="00E836FB" w:rsidRDefault="00E836FB">
            <w:pPr>
              <w:rPr>
                <w:rFonts w:ascii="宋体"/>
              </w:rPr>
            </w:pPr>
          </w:p>
        </w:tc>
        <w:tc>
          <w:tcPr>
            <w:tcW w:w="573" w:type="pct"/>
            <w:shd w:val="clear" w:color="auto" w:fill="auto"/>
            <w:vAlign w:val="bottom"/>
          </w:tcPr>
          <w:p w14:paraId="5F2CB934" w14:textId="77777777" w:rsidR="00E836FB" w:rsidRDefault="00E836FB">
            <w:pPr>
              <w:rPr>
                <w:rFonts w:ascii="宋体"/>
              </w:rPr>
            </w:pPr>
          </w:p>
        </w:tc>
        <w:tc>
          <w:tcPr>
            <w:tcW w:w="5" w:type="pct"/>
            <w:shd w:val="clear" w:color="auto" w:fill="auto"/>
            <w:vAlign w:val="bottom"/>
          </w:tcPr>
          <w:p w14:paraId="5F2CB935" w14:textId="77777777" w:rsidR="00E836FB" w:rsidRDefault="00E836FB">
            <w:pPr>
              <w:rPr>
                <w:rFonts w:ascii="宋体"/>
              </w:rPr>
            </w:pPr>
          </w:p>
        </w:tc>
        <w:tc>
          <w:tcPr>
            <w:tcW w:w="5" w:type="pct"/>
            <w:shd w:val="clear" w:color="auto" w:fill="auto"/>
            <w:vAlign w:val="bottom"/>
          </w:tcPr>
          <w:p w14:paraId="5F2CB936" w14:textId="77777777" w:rsidR="00E836FB" w:rsidRDefault="00E836FB">
            <w:pPr>
              <w:rPr>
                <w:rFonts w:ascii="宋体"/>
              </w:rPr>
            </w:pPr>
          </w:p>
        </w:tc>
        <w:tc>
          <w:tcPr>
            <w:tcW w:w="52" w:type="pct"/>
            <w:shd w:val="clear" w:color="auto" w:fill="auto"/>
            <w:vAlign w:val="bottom"/>
          </w:tcPr>
          <w:p w14:paraId="5F2CB937" w14:textId="77777777" w:rsidR="00E836FB" w:rsidRDefault="00E836FB">
            <w:pPr>
              <w:rPr>
                <w:rFonts w:ascii="宋体"/>
              </w:rPr>
            </w:pPr>
          </w:p>
        </w:tc>
        <w:tc>
          <w:tcPr>
            <w:tcW w:w="5" w:type="pct"/>
            <w:shd w:val="clear" w:color="auto" w:fill="auto"/>
            <w:vAlign w:val="bottom"/>
          </w:tcPr>
          <w:p w14:paraId="5F2CB938" w14:textId="77777777" w:rsidR="00E836FB" w:rsidRDefault="00E836FB">
            <w:pPr>
              <w:rPr>
                <w:rFonts w:ascii="宋体"/>
              </w:rPr>
            </w:pPr>
          </w:p>
        </w:tc>
        <w:tc>
          <w:tcPr>
            <w:tcW w:w="50" w:type="pct"/>
            <w:shd w:val="clear" w:color="auto" w:fill="auto"/>
            <w:vAlign w:val="bottom"/>
          </w:tcPr>
          <w:p w14:paraId="5F2CB939" w14:textId="77777777" w:rsidR="00E836FB" w:rsidRDefault="00E836FB">
            <w:pPr>
              <w:rPr>
                <w:rFonts w:ascii="宋体"/>
              </w:rPr>
            </w:pPr>
          </w:p>
        </w:tc>
        <w:tc>
          <w:tcPr>
            <w:tcW w:w="652" w:type="pct"/>
            <w:shd w:val="clear" w:color="auto" w:fill="auto"/>
            <w:vAlign w:val="bottom"/>
          </w:tcPr>
          <w:p w14:paraId="5F2CB93A" w14:textId="77777777" w:rsidR="00E836FB" w:rsidRDefault="00E836FB">
            <w:pPr>
              <w:rPr>
                <w:rFonts w:ascii="宋体"/>
              </w:rPr>
            </w:pPr>
          </w:p>
        </w:tc>
        <w:tc>
          <w:tcPr>
            <w:tcW w:w="5" w:type="pct"/>
            <w:shd w:val="clear" w:color="auto" w:fill="auto"/>
            <w:vAlign w:val="bottom"/>
          </w:tcPr>
          <w:p w14:paraId="5F2CB93B" w14:textId="77777777" w:rsidR="00E836FB" w:rsidRDefault="00E836FB">
            <w:pPr>
              <w:rPr>
                <w:rFonts w:ascii="宋体"/>
              </w:rPr>
            </w:pPr>
          </w:p>
        </w:tc>
        <w:tc>
          <w:tcPr>
            <w:tcW w:w="5" w:type="pct"/>
            <w:shd w:val="clear" w:color="auto" w:fill="auto"/>
            <w:vAlign w:val="bottom"/>
          </w:tcPr>
          <w:p w14:paraId="5F2CB93C" w14:textId="77777777" w:rsidR="00E836FB" w:rsidRDefault="00E836FB">
            <w:pPr>
              <w:rPr>
                <w:rFonts w:ascii="宋体"/>
              </w:rPr>
            </w:pPr>
          </w:p>
        </w:tc>
        <w:tc>
          <w:tcPr>
            <w:tcW w:w="52" w:type="pct"/>
            <w:shd w:val="clear" w:color="auto" w:fill="auto"/>
            <w:vAlign w:val="bottom"/>
          </w:tcPr>
          <w:p w14:paraId="5F2CB93D" w14:textId="77777777" w:rsidR="00E836FB" w:rsidRDefault="00E836FB">
            <w:pPr>
              <w:rPr>
                <w:rFonts w:ascii="宋体"/>
              </w:rPr>
            </w:pPr>
          </w:p>
        </w:tc>
        <w:tc>
          <w:tcPr>
            <w:tcW w:w="5" w:type="pct"/>
            <w:shd w:val="clear" w:color="auto" w:fill="auto"/>
            <w:vAlign w:val="bottom"/>
          </w:tcPr>
          <w:p w14:paraId="5F2CB93E" w14:textId="77777777" w:rsidR="00E836FB" w:rsidRDefault="00E836FB">
            <w:pPr>
              <w:rPr>
                <w:rFonts w:ascii="宋体"/>
              </w:rPr>
            </w:pPr>
          </w:p>
        </w:tc>
        <w:tc>
          <w:tcPr>
            <w:tcW w:w="50" w:type="pct"/>
            <w:shd w:val="clear" w:color="auto" w:fill="auto"/>
            <w:vAlign w:val="bottom"/>
          </w:tcPr>
          <w:p w14:paraId="5F2CB93F" w14:textId="77777777" w:rsidR="00E836FB" w:rsidRDefault="00E836FB">
            <w:pPr>
              <w:rPr>
                <w:rFonts w:ascii="宋体"/>
              </w:rPr>
            </w:pPr>
          </w:p>
        </w:tc>
        <w:tc>
          <w:tcPr>
            <w:tcW w:w="652" w:type="pct"/>
            <w:shd w:val="clear" w:color="auto" w:fill="auto"/>
            <w:vAlign w:val="bottom"/>
          </w:tcPr>
          <w:p w14:paraId="5F2CB940" w14:textId="77777777" w:rsidR="00E836FB" w:rsidRDefault="00E836FB">
            <w:pPr>
              <w:rPr>
                <w:rFonts w:ascii="宋体"/>
              </w:rPr>
            </w:pPr>
          </w:p>
        </w:tc>
        <w:tc>
          <w:tcPr>
            <w:tcW w:w="5" w:type="pct"/>
            <w:shd w:val="clear" w:color="auto" w:fill="auto"/>
            <w:vAlign w:val="bottom"/>
          </w:tcPr>
          <w:p w14:paraId="5F2CB941" w14:textId="77777777" w:rsidR="00E836FB" w:rsidRDefault="00E836FB">
            <w:pPr>
              <w:rPr>
                <w:rFonts w:ascii="宋体"/>
              </w:rPr>
            </w:pPr>
          </w:p>
        </w:tc>
      </w:tr>
      <w:tr w:rsidR="00E836FB" w14:paraId="5F2CB944" w14:textId="77777777">
        <w:tc>
          <w:tcPr>
            <w:tcW w:w="0" w:type="auto"/>
            <w:gridSpan w:val="30"/>
            <w:shd w:val="clear" w:color="auto" w:fill="auto"/>
            <w:tcMar>
              <w:top w:w="40" w:type="dxa"/>
              <w:left w:w="20" w:type="dxa"/>
              <w:bottom w:w="40" w:type="dxa"/>
              <w:right w:w="20" w:type="dxa"/>
            </w:tcMar>
            <w:vAlign w:val="bottom"/>
          </w:tcPr>
          <w:p w14:paraId="5F2CB943" w14:textId="77777777" w:rsidR="00E836FB" w:rsidRDefault="00994958">
            <w:pPr>
              <w:textAlignment w:val="bottom"/>
            </w:pPr>
            <w:r>
              <w:rPr>
                <w:rFonts w:ascii="Arial" w:eastAsia="宋体" w:hAnsi="Arial" w:cs="Arial"/>
                <w:b/>
                <w:bCs/>
                <w:color w:val="000000"/>
                <w:sz w:val="16"/>
                <w:szCs w:val="16"/>
              </w:rPr>
              <w:t>TABLE 15: EXPENSES</w:t>
            </w:r>
          </w:p>
        </w:tc>
      </w:tr>
      <w:tr w:rsidR="00E836FB" w14:paraId="5F2CB94B" w14:textId="77777777">
        <w:trPr>
          <w:trHeight w:val="240"/>
        </w:trPr>
        <w:tc>
          <w:tcPr>
            <w:tcW w:w="0" w:type="auto"/>
            <w:gridSpan w:val="3"/>
            <w:shd w:val="clear" w:color="auto" w:fill="auto"/>
            <w:tcMar>
              <w:top w:w="0" w:type="dxa"/>
              <w:left w:w="20" w:type="dxa"/>
              <w:bottom w:w="0" w:type="dxa"/>
              <w:right w:w="20" w:type="dxa"/>
            </w:tcMar>
            <w:vAlign w:val="bottom"/>
          </w:tcPr>
          <w:p w14:paraId="5F2CB945"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B946" w14:textId="77777777" w:rsidR="00E836FB" w:rsidRDefault="00994958">
            <w:pPr>
              <w:jc w:val="center"/>
              <w:textAlignment w:val="bottom"/>
            </w:pPr>
            <w:r>
              <w:rPr>
                <w:rFonts w:ascii="Arial" w:eastAsia="宋体" w:hAnsi="Arial" w:cs="Arial"/>
                <w:b/>
                <w:bCs/>
                <w:color w:val="000000"/>
                <w:sz w:val="13"/>
                <w:szCs w:val="13"/>
              </w:rPr>
              <w:t>Years Ended December 31,</w:t>
            </w:r>
          </w:p>
        </w:tc>
        <w:tc>
          <w:tcPr>
            <w:tcW w:w="0" w:type="auto"/>
            <w:gridSpan w:val="3"/>
            <w:shd w:val="clear" w:color="auto" w:fill="auto"/>
            <w:tcMar>
              <w:top w:w="0" w:type="dxa"/>
              <w:left w:w="20" w:type="dxa"/>
              <w:bottom w:w="0" w:type="dxa"/>
              <w:right w:w="20" w:type="dxa"/>
            </w:tcMar>
            <w:vAlign w:val="bottom"/>
          </w:tcPr>
          <w:p w14:paraId="5F2CB947"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B948" w14:textId="77777777" w:rsidR="00E836FB" w:rsidRDefault="00994958">
            <w:pPr>
              <w:jc w:val="center"/>
              <w:textAlignment w:val="bottom"/>
            </w:pPr>
            <w:r>
              <w:rPr>
                <w:rFonts w:ascii="Arial" w:eastAsia="宋体" w:hAnsi="Arial" w:cs="Arial"/>
                <w:b/>
                <w:bCs/>
                <w:color w:val="000000"/>
                <w:sz w:val="13"/>
                <w:szCs w:val="13"/>
              </w:rPr>
              <w:t>% Change 2021 vs. 2020</w:t>
            </w:r>
          </w:p>
        </w:tc>
        <w:tc>
          <w:tcPr>
            <w:tcW w:w="0" w:type="auto"/>
            <w:gridSpan w:val="3"/>
            <w:shd w:val="clear" w:color="auto" w:fill="auto"/>
            <w:tcMar>
              <w:top w:w="0" w:type="dxa"/>
              <w:left w:w="20" w:type="dxa"/>
              <w:bottom w:w="0" w:type="dxa"/>
              <w:right w:w="20" w:type="dxa"/>
            </w:tcMar>
            <w:vAlign w:val="bottom"/>
          </w:tcPr>
          <w:p w14:paraId="5F2CB949"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B94A" w14:textId="77777777" w:rsidR="00E836FB" w:rsidRDefault="00994958">
            <w:pPr>
              <w:jc w:val="center"/>
              <w:textAlignment w:val="bottom"/>
            </w:pPr>
            <w:r>
              <w:rPr>
                <w:rFonts w:ascii="Arial" w:eastAsia="宋体" w:hAnsi="Arial" w:cs="Arial"/>
                <w:b/>
                <w:bCs/>
                <w:color w:val="000000"/>
                <w:sz w:val="13"/>
                <w:szCs w:val="13"/>
              </w:rPr>
              <w:t>% Change 2020 vs. 2019</w:t>
            </w:r>
          </w:p>
        </w:tc>
      </w:tr>
      <w:tr w:rsidR="00E836FB" w14:paraId="5F2CB956" w14:textId="77777777">
        <w:trPr>
          <w:trHeight w:val="340"/>
        </w:trPr>
        <w:tc>
          <w:tcPr>
            <w:tcW w:w="0" w:type="auto"/>
            <w:gridSpan w:val="3"/>
            <w:shd w:val="clear" w:color="auto" w:fill="auto"/>
            <w:tcMar>
              <w:top w:w="40" w:type="dxa"/>
              <w:left w:w="20" w:type="dxa"/>
              <w:bottom w:w="40" w:type="dxa"/>
              <w:right w:w="20" w:type="dxa"/>
            </w:tcMar>
            <w:vAlign w:val="bottom"/>
          </w:tcPr>
          <w:p w14:paraId="5F2CB94C" w14:textId="77777777" w:rsidR="00E836FB" w:rsidRDefault="00994958">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94D"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94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94F" w14:textId="77777777" w:rsidR="00E836FB" w:rsidRDefault="00994958">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95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951" w14:textId="77777777" w:rsidR="00E836FB" w:rsidRDefault="00994958">
            <w:pPr>
              <w:jc w:val="center"/>
              <w:textAlignment w:val="bottom"/>
            </w:pPr>
            <w:r>
              <w:rPr>
                <w:rFonts w:ascii="Arial" w:eastAsia="宋体" w:hAnsi="Arial" w:cs="Arial"/>
                <w:b/>
                <w:bCs/>
                <w:color w:val="000000"/>
                <w:sz w:val="13"/>
                <w:szCs w:val="13"/>
              </w:rPr>
              <w:t>2019</w:t>
            </w:r>
          </w:p>
        </w:tc>
        <w:tc>
          <w:tcPr>
            <w:tcW w:w="0" w:type="auto"/>
            <w:gridSpan w:val="3"/>
            <w:shd w:val="clear" w:color="auto" w:fill="auto"/>
            <w:tcMar>
              <w:top w:w="0" w:type="dxa"/>
              <w:left w:w="20" w:type="dxa"/>
              <w:bottom w:w="0" w:type="dxa"/>
              <w:right w:w="20" w:type="dxa"/>
            </w:tcMar>
            <w:vAlign w:val="bottom"/>
          </w:tcPr>
          <w:p w14:paraId="5F2CB952"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B953"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CB954"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B955" w14:textId="77777777" w:rsidR="00E836FB" w:rsidRDefault="00E836FB">
            <w:pPr>
              <w:jc w:val="center"/>
              <w:rPr>
                <w:rFonts w:ascii="宋体"/>
              </w:rPr>
            </w:pPr>
          </w:p>
        </w:tc>
      </w:tr>
      <w:tr w:rsidR="00E836FB" w14:paraId="5F2CB969" w14:textId="77777777">
        <w:tc>
          <w:tcPr>
            <w:tcW w:w="0" w:type="auto"/>
            <w:gridSpan w:val="3"/>
            <w:shd w:val="clear" w:color="auto" w:fill="CCEEFF"/>
            <w:tcMar>
              <w:top w:w="40" w:type="dxa"/>
              <w:left w:w="20" w:type="dxa"/>
              <w:bottom w:w="40" w:type="dxa"/>
              <w:right w:w="20" w:type="dxa"/>
            </w:tcMar>
            <w:vAlign w:val="bottom"/>
          </w:tcPr>
          <w:p w14:paraId="5F2CB957" w14:textId="77777777" w:rsidR="00E836FB" w:rsidRDefault="00994958">
            <w:pPr>
              <w:textAlignment w:val="bottom"/>
            </w:pPr>
            <w:r>
              <w:rPr>
                <w:rFonts w:ascii="Arial" w:eastAsia="宋体" w:hAnsi="Arial" w:cs="Arial"/>
                <w:color w:val="000000"/>
                <w:sz w:val="13"/>
                <w:szCs w:val="13"/>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B958"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959" w14:textId="77777777" w:rsidR="00E836FB" w:rsidRDefault="00994958">
            <w:pPr>
              <w:jc w:val="right"/>
              <w:textAlignment w:val="bottom"/>
            </w:pPr>
            <w:r>
              <w:rPr>
                <w:rFonts w:ascii="Arial" w:eastAsia="宋体" w:hAnsi="Arial" w:cs="Arial"/>
                <w:b/>
                <w:bCs/>
                <w:color w:val="000000"/>
                <w:sz w:val="13"/>
                <w:szCs w:val="13"/>
              </w:rPr>
              <w:t>4,554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5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95C"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95D" w14:textId="77777777" w:rsidR="00E836FB" w:rsidRDefault="00994958">
            <w:pPr>
              <w:jc w:val="right"/>
              <w:textAlignment w:val="bottom"/>
            </w:pPr>
            <w:r>
              <w:rPr>
                <w:rFonts w:ascii="Arial" w:eastAsia="宋体" w:hAnsi="Arial" w:cs="Arial"/>
                <w:color w:val="000000"/>
                <w:sz w:val="13"/>
                <w:szCs w:val="13"/>
              </w:rPr>
              <w:t>4,450 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5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960"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961" w14:textId="77777777" w:rsidR="00E836FB" w:rsidRDefault="00994958">
            <w:pPr>
              <w:jc w:val="right"/>
              <w:textAlignment w:val="bottom"/>
            </w:pPr>
            <w:r>
              <w:rPr>
                <w:rFonts w:ascii="Arial" w:eastAsia="宋体" w:hAnsi="Arial" w:cs="Arial"/>
                <w:color w:val="000000"/>
                <w:sz w:val="13"/>
                <w:szCs w:val="13"/>
              </w:rPr>
              <w:t>4,541 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6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6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964" w14:textId="77777777" w:rsidR="00E836FB" w:rsidRDefault="00994958">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65" w14:textId="77777777" w:rsidR="00E836FB" w:rsidRDefault="00994958">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CB96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967" w14:textId="77777777" w:rsidR="00E836FB" w:rsidRDefault="00994958">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68" w14:textId="77777777" w:rsidR="00E836FB" w:rsidRDefault="00994958">
            <w:pPr>
              <w:jc w:val="right"/>
              <w:textAlignment w:val="bottom"/>
            </w:pPr>
            <w:r>
              <w:rPr>
                <w:rFonts w:ascii="Arial" w:eastAsia="宋体" w:hAnsi="Arial" w:cs="Arial"/>
                <w:color w:val="000000"/>
                <w:sz w:val="13"/>
                <w:szCs w:val="13"/>
              </w:rPr>
              <w:t>%</w:t>
            </w:r>
          </w:p>
        </w:tc>
      </w:tr>
      <w:tr w:rsidR="00E836FB" w14:paraId="5F2CB979" w14:textId="77777777">
        <w:tc>
          <w:tcPr>
            <w:tcW w:w="0" w:type="auto"/>
            <w:gridSpan w:val="3"/>
            <w:shd w:val="clear" w:color="auto" w:fill="FFFFFF"/>
            <w:tcMar>
              <w:top w:w="40" w:type="dxa"/>
              <w:left w:w="20" w:type="dxa"/>
              <w:bottom w:w="40" w:type="dxa"/>
              <w:right w:w="20" w:type="dxa"/>
            </w:tcMar>
            <w:vAlign w:val="bottom"/>
          </w:tcPr>
          <w:p w14:paraId="5F2CB96A" w14:textId="77777777" w:rsidR="00E836FB" w:rsidRDefault="00994958">
            <w:pPr>
              <w:textAlignment w:val="bottom"/>
            </w:pPr>
            <w:r>
              <w:rPr>
                <w:rFonts w:ascii="Arial" w:eastAsia="宋体" w:hAnsi="Arial" w:cs="Arial"/>
                <w:color w:val="000000"/>
                <w:sz w:val="13"/>
                <w:szCs w:val="13"/>
              </w:rPr>
              <w:t>Information systems and communications</w:t>
            </w:r>
          </w:p>
        </w:tc>
        <w:tc>
          <w:tcPr>
            <w:tcW w:w="0" w:type="auto"/>
            <w:gridSpan w:val="2"/>
            <w:shd w:val="clear" w:color="auto" w:fill="FFFFFF"/>
            <w:tcMar>
              <w:top w:w="40" w:type="dxa"/>
              <w:left w:w="20" w:type="dxa"/>
              <w:bottom w:w="40" w:type="dxa"/>
              <w:right w:w="0" w:type="dxa"/>
            </w:tcMar>
            <w:vAlign w:val="bottom"/>
          </w:tcPr>
          <w:p w14:paraId="5F2CB96B" w14:textId="77777777" w:rsidR="00E836FB" w:rsidRDefault="00994958">
            <w:pPr>
              <w:jc w:val="right"/>
              <w:textAlignment w:val="bottom"/>
            </w:pPr>
            <w:r>
              <w:rPr>
                <w:rFonts w:ascii="Arial" w:eastAsia="宋体" w:hAnsi="Arial" w:cs="Arial"/>
                <w:b/>
                <w:bCs/>
                <w:color w:val="000000"/>
                <w:sz w:val="13"/>
                <w:szCs w:val="13"/>
              </w:rPr>
              <w:t>1,661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B9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6E" w14:textId="77777777" w:rsidR="00E836FB" w:rsidRDefault="00994958">
            <w:pPr>
              <w:jc w:val="right"/>
              <w:textAlignment w:val="bottom"/>
            </w:pPr>
            <w:r>
              <w:rPr>
                <w:rFonts w:ascii="Arial" w:eastAsia="宋体" w:hAnsi="Arial" w:cs="Arial"/>
                <w:color w:val="000000"/>
                <w:sz w:val="13"/>
                <w:szCs w:val="13"/>
              </w:rPr>
              <w:t>1,550 </w:t>
            </w:r>
          </w:p>
        </w:tc>
        <w:tc>
          <w:tcPr>
            <w:tcW w:w="0" w:type="auto"/>
            <w:shd w:val="clear" w:color="auto" w:fill="FFFFFF"/>
            <w:tcMar>
              <w:top w:w="40" w:type="dxa"/>
              <w:left w:w="0" w:type="dxa"/>
              <w:bottom w:w="40" w:type="dxa"/>
              <w:right w:w="20" w:type="dxa"/>
            </w:tcMar>
            <w:vAlign w:val="bottom"/>
          </w:tcPr>
          <w:p w14:paraId="5F2CB9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71" w14:textId="77777777" w:rsidR="00E836FB" w:rsidRDefault="00994958">
            <w:pPr>
              <w:jc w:val="right"/>
              <w:textAlignment w:val="bottom"/>
            </w:pPr>
            <w:r>
              <w:rPr>
                <w:rFonts w:ascii="Arial" w:eastAsia="宋体" w:hAnsi="Arial" w:cs="Arial"/>
                <w:color w:val="000000"/>
                <w:sz w:val="13"/>
                <w:szCs w:val="13"/>
              </w:rPr>
              <w:t>1,465 </w:t>
            </w:r>
          </w:p>
        </w:tc>
        <w:tc>
          <w:tcPr>
            <w:tcW w:w="0" w:type="auto"/>
            <w:shd w:val="clear" w:color="auto" w:fill="FFFFFF"/>
            <w:tcMar>
              <w:top w:w="40" w:type="dxa"/>
              <w:left w:w="0" w:type="dxa"/>
              <w:bottom w:w="40" w:type="dxa"/>
              <w:right w:w="20" w:type="dxa"/>
            </w:tcMar>
            <w:vAlign w:val="bottom"/>
          </w:tcPr>
          <w:p w14:paraId="5F2CB9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74" w14:textId="77777777" w:rsidR="00E836FB" w:rsidRDefault="00994958">
            <w:pPr>
              <w:jc w:val="right"/>
              <w:textAlignment w:val="bottom"/>
            </w:pPr>
            <w:r>
              <w:rPr>
                <w:rFonts w:ascii="Arial" w:eastAsia="宋体" w:hAnsi="Arial" w:cs="Arial"/>
                <w:color w:val="000000"/>
                <w:sz w:val="13"/>
                <w:szCs w:val="13"/>
              </w:rPr>
              <w:t>7 </w:t>
            </w:r>
          </w:p>
        </w:tc>
        <w:tc>
          <w:tcPr>
            <w:tcW w:w="0" w:type="auto"/>
            <w:shd w:val="clear" w:color="auto" w:fill="FFFFFF"/>
            <w:tcMar>
              <w:top w:w="40" w:type="dxa"/>
              <w:left w:w="0" w:type="dxa"/>
              <w:bottom w:w="40" w:type="dxa"/>
              <w:right w:w="20" w:type="dxa"/>
            </w:tcMar>
            <w:vAlign w:val="bottom"/>
          </w:tcPr>
          <w:p w14:paraId="5F2CB9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77" w14:textId="77777777" w:rsidR="00E836FB" w:rsidRDefault="00994958">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5F2CB978" w14:textId="77777777" w:rsidR="00E836FB" w:rsidRDefault="00E836FB">
            <w:pPr>
              <w:jc w:val="right"/>
              <w:rPr>
                <w:rFonts w:ascii="宋体"/>
              </w:rPr>
            </w:pPr>
          </w:p>
        </w:tc>
      </w:tr>
      <w:tr w:rsidR="00E836FB" w14:paraId="5F2CB989" w14:textId="77777777">
        <w:tc>
          <w:tcPr>
            <w:tcW w:w="0" w:type="auto"/>
            <w:gridSpan w:val="3"/>
            <w:shd w:val="clear" w:color="auto" w:fill="CCEEFF"/>
            <w:tcMar>
              <w:top w:w="40" w:type="dxa"/>
              <w:left w:w="20" w:type="dxa"/>
              <w:bottom w:w="40" w:type="dxa"/>
              <w:right w:w="20" w:type="dxa"/>
            </w:tcMar>
            <w:vAlign w:val="bottom"/>
          </w:tcPr>
          <w:p w14:paraId="5F2CB97A" w14:textId="77777777" w:rsidR="00E836FB" w:rsidRDefault="00994958">
            <w:pPr>
              <w:textAlignment w:val="bottom"/>
            </w:pPr>
            <w:r>
              <w:rPr>
                <w:rFonts w:ascii="Arial" w:eastAsia="宋体" w:hAnsi="Arial" w:cs="Arial"/>
                <w:color w:val="000000"/>
                <w:sz w:val="13"/>
                <w:szCs w:val="13"/>
              </w:rPr>
              <w:t>Transaction processing services</w:t>
            </w:r>
          </w:p>
        </w:tc>
        <w:tc>
          <w:tcPr>
            <w:tcW w:w="0" w:type="auto"/>
            <w:gridSpan w:val="2"/>
            <w:shd w:val="clear" w:color="auto" w:fill="CCEEFF"/>
            <w:tcMar>
              <w:top w:w="40" w:type="dxa"/>
              <w:left w:w="20" w:type="dxa"/>
              <w:bottom w:w="40" w:type="dxa"/>
              <w:right w:w="0" w:type="dxa"/>
            </w:tcMar>
            <w:vAlign w:val="bottom"/>
          </w:tcPr>
          <w:p w14:paraId="5F2CB97B" w14:textId="77777777" w:rsidR="00E836FB" w:rsidRDefault="00994958">
            <w:pPr>
              <w:jc w:val="right"/>
              <w:textAlignment w:val="bottom"/>
            </w:pPr>
            <w:r>
              <w:rPr>
                <w:rFonts w:ascii="Arial" w:eastAsia="宋体" w:hAnsi="Arial" w:cs="Arial"/>
                <w:b/>
                <w:bCs/>
                <w:color w:val="000000"/>
                <w:sz w:val="13"/>
                <w:szCs w:val="13"/>
              </w:rPr>
              <w:t>1,024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B9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7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7E" w14:textId="77777777" w:rsidR="00E836FB" w:rsidRDefault="00994958">
            <w:pPr>
              <w:jc w:val="right"/>
              <w:textAlignment w:val="bottom"/>
            </w:pPr>
            <w:r>
              <w:rPr>
                <w:rFonts w:ascii="Arial" w:eastAsia="宋体" w:hAnsi="Arial" w:cs="Arial"/>
                <w:color w:val="000000"/>
                <w:sz w:val="13"/>
                <w:szCs w:val="13"/>
              </w:rPr>
              <w:t>978 </w:t>
            </w:r>
          </w:p>
        </w:tc>
        <w:tc>
          <w:tcPr>
            <w:tcW w:w="0" w:type="auto"/>
            <w:shd w:val="clear" w:color="auto" w:fill="CCEEFF"/>
            <w:tcMar>
              <w:top w:w="40" w:type="dxa"/>
              <w:left w:w="0" w:type="dxa"/>
              <w:bottom w:w="40" w:type="dxa"/>
              <w:right w:w="20" w:type="dxa"/>
            </w:tcMar>
            <w:vAlign w:val="bottom"/>
          </w:tcPr>
          <w:p w14:paraId="5F2CB9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8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81" w14:textId="77777777" w:rsidR="00E836FB" w:rsidRDefault="00994958">
            <w:pPr>
              <w:jc w:val="right"/>
              <w:textAlignment w:val="bottom"/>
            </w:pPr>
            <w:r>
              <w:rPr>
                <w:rFonts w:ascii="Arial" w:eastAsia="宋体" w:hAnsi="Arial" w:cs="Arial"/>
                <w:color w:val="000000"/>
                <w:sz w:val="13"/>
                <w:szCs w:val="13"/>
              </w:rPr>
              <w:t>983 </w:t>
            </w:r>
          </w:p>
        </w:tc>
        <w:tc>
          <w:tcPr>
            <w:tcW w:w="0" w:type="auto"/>
            <w:shd w:val="clear" w:color="auto" w:fill="CCEEFF"/>
            <w:tcMar>
              <w:top w:w="40" w:type="dxa"/>
              <w:left w:w="0" w:type="dxa"/>
              <w:bottom w:w="40" w:type="dxa"/>
              <w:right w:w="20" w:type="dxa"/>
            </w:tcMar>
            <w:vAlign w:val="bottom"/>
          </w:tcPr>
          <w:p w14:paraId="5F2CB9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8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84" w14:textId="77777777" w:rsidR="00E836FB" w:rsidRDefault="00994958">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5F2CB9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8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87" w14:textId="77777777" w:rsidR="00E836FB" w:rsidRDefault="00994958">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F2CB988" w14:textId="77777777" w:rsidR="00E836FB" w:rsidRDefault="00E836FB">
            <w:pPr>
              <w:jc w:val="right"/>
              <w:rPr>
                <w:rFonts w:ascii="宋体"/>
              </w:rPr>
            </w:pPr>
          </w:p>
        </w:tc>
      </w:tr>
      <w:tr w:rsidR="00E836FB" w14:paraId="5F2CB999" w14:textId="77777777">
        <w:tc>
          <w:tcPr>
            <w:tcW w:w="0" w:type="auto"/>
            <w:gridSpan w:val="3"/>
            <w:shd w:val="clear" w:color="auto" w:fill="FFFFFF"/>
            <w:tcMar>
              <w:top w:w="40" w:type="dxa"/>
              <w:left w:w="20" w:type="dxa"/>
              <w:bottom w:w="40" w:type="dxa"/>
              <w:right w:w="20" w:type="dxa"/>
            </w:tcMar>
            <w:vAlign w:val="bottom"/>
          </w:tcPr>
          <w:p w14:paraId="5F2CB98A" w14:textId="77777777" w:rsidR="00E836FB" w:rsidRDefault="00994958">
            <w:pPr>
              <w:textAlignment w:val="bottom"/>
            </w:pPr>
            <w:r>
              <w:rPr>
                <w:rFonts w:ascii="Arial" w:eastAsia="宋体" w:hAnsi="Arial" w:cs="Arial"/>
                <w:color w:val="000000"/>
                <w:sz w:val="13"/>
                <w:szCs w:val="13"/>
              </w:rPr>
              <w:t>Occupancy</w:t>
            </w:r>
          </w:p>
        </w:tc>
        <w:tc>
          <w:tcPr>
            <w:tcW w:w="0" w:type="auto"/>
            <w:gridSpan w:val="2"/>
            <w:shd w:val="clear" w:color="auto" w:fill="FFFFFF"/>
            <w:tcMar>
              <w:top w:w="40" w:type="dxa"/>
              <w:left w:w="20" w:type="dxa"/>
              <w:bottom w:w="40" w:type="dxa"/>
              <w:right w:w="0" w:type="dxa"/>
            </w:tcMar>
            <w:vAlign w:val="bottom"/>
          </w:tcPr>
          <w:p w14:paraId="5F2CB98B" w14:textId="77777777" w:rsidR="00E836FB" w:rsidRDefault="00994958">
            <w:pPr>
              <w:jc w:val="right"/>
              <w:textAlignment w:val="bottom"/>
            </w:pPr>
            <w:r>
              <w:rPr>
                <w:rFonts w:ascii="Arial" w:eastAsia="宋体" w:hAnsi="Arial" w:cs="Arial"/>
                <w:b/>
                <w:bCs/>
                <w:color w:val="000000"/>
                <w:sz w:val="13"/>
                <w:szCs w:val="13"/>
              </w:rPr>
              <w:t>444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B9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8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8E" w14:textId="77777777" w:rsidR="00E836FB" w:rsidRDefault="00994958">
            <w:pPr>
              <w:jc w:val="right"/>
              <w:textAlignment w:val="bottom"/>
            </w:pPr>
            <w:r>
              <w:rPr>
                <w:rFonts w:ascii="Arial" w:eastAsia="宋体" w:hAnsi="Arial" w:cs="Arial"/>
                <w:color w:val="000000"/>
                <w:sz w:val="13"/>
                <w:szCs w:val="13"/>
              </w:rPr>
              <w:t>489 </w:t>
            </w:r>
          </w:p>
        </w:tc>
        <w:tc>
          <w:tcPr>
            <w:tcW w:w="0" w:type="auto"/>
            <w:shd w:val="clear" w:color="auto" w:fill="FFFFFF"/>
            <w:tcMar>
              <w:top w:w="40" w:type="dxa"/>
              <w:left w:w="0" w:type="dxa"/>
              <w:bottom w:w="40" w:type="dxa"/>
              <w:right w:w="20" w:type="dxa"/>
            </w:tcMar>
            <w:vAlign w:val="bottom"/>
          </w:tcPr>
          <w:p w14:paraId="5F2CB9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9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91" w14:textId="77777777" w:rsidR="00E836FB" w:rsidRDefault="00994958">
            <w:pPr>
              <w:jc w:val="right"/>
              <w:textAlignment w:val="bottom"/>
            </w:pPr>
            <w:r>
              <w:rPr>
                <w:rFonts w:ascii="Arial" w:eastAsia="宋体" w:hAnsi="Arial" w:cs="Arial"/>
                <w:color w:val="000000"/>
                <w:sz w:val="13"/>
                <w:szCs w:val="13"/>
              </w:rPr>
              <w:t>470 </w:t>
            </w:r>
          </w:p>
        </w:tc>
        <w:tc>
          <w:tcPr>
            <w:tcW w:w="0" w:type="auto"/>
            <w:shd w:val="clear" w:color="auto" w:fill="FFFFFF"/>
            <w:tcMar>
              <w:top w:w="40" w:type="dxa"/>
              <w:left w:w="0" w:type="dxa"/>
              <w:bottom w:w="40" w:type="dxa"/>
              <w:right w:w="20" w:type="dxa"/>
            </w:tcMar>
            <w:vAlign w:val="bottom"/>
          </w:tcPr>
          <w:p w14:paraId="5F2CB99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9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94" w14:textId="77777777" w:rsidR="00E836FB" w:rsidRDefault="00994958">
            <w:pPr>
              <w:jc w:val="right"/>
              <w:textAlignment w:val="bottom"/>
            </w:pPr>
            <w:r>
              <w:rPr>
                <w:rFonts w:ascii="Arial" w:eastAsia="宋体" w:hAnsi="Arial" w:cs="Arial"/>
                <w:color w:val="000000"/>
                <w:sz w:val="13"/>
                <w:szCs w:val="13"/>
              </w:rPr>
              <w:t>(9)</w:t>
            </w:r>
          </w:p>
        </w:tc>
        <w:tc>
          <w:tcPr>
            <w:tcW w:w="0" w:type="auto"/>
            <w:shd w:val="clear" w:color="auto" w:fill="FFFFFF"/>
            <w:tcMar>
              <w:top w:w="40" w:type="dxa"/>
              <w:left w:w="0" w:type="dxa"/>
              <w:bottom w:w="40" w:type="dxa"/>
              <w:right w:w="20" w:type="dxa"/>
            </w:tcMar>
            <w:vAlign w:val="bottom"/>
          </w:tcPr>
          <w:p w14:paraId="5F2CB9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9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97" w14:textId="77777777" w:rsidR="00E836FB" w:rsidRDefault="00994958">
            <w:pPr>
              <w:jc w:val="right"/>
              <w:textAlignment w:val="bottom"/>
            </w:pPr>
            <w:r>
              <w:rPr>
                <w:rFonts w:ascii="Arial" w:eastAsia="宋体" w:hAnsi="Arial" w:cs="Arial"/>
                <w:color w:val="000000"/>
                <w:sz w:val="13"/>
                <w:szCs w:val="13"/>
              </w:rPr>
              <w:t>4 </w:t>
            </w:r>
          </w:p>
        </w:tc>
        <w:tc>
          <w:tcPr>
            <w:tcW w:w="0" w:type="auto"/>
            <w:shd w:val="clear" w:color="auto" w:fill="FFFFFF"/>
            <w:tcMar>
              <w:top w:w="40" w:type="dxa"/>
              <w:left w:w="0" w:type="dxa"/>
              <w:bottom w:w="40" w:type="dxa"/>
              <w:right w:w="20" w:type="dxa"/>
            </w:tcMar>
            <w:vAlign w:val="bottom"/>
          </w:tcPr>
          <w:p w14:paraId="5F2CB998" w14:textId="77777777" w:rsidR="00E836FB" w:rsidRDefault="00E836FB">
            <w:pPr>
              <w:jc w:val="right"/>
              <w:rPr>
                <w:rFonts w:ascii="宋体"/>
              </w:rPr>
            </w:pPr>
          </w:p>
        </w:tc>
      </w:tr>
      <w:tr w:rsidR="00E836FB" w14:paraId="5F2CB9A9" w14:textId="77777777">
        <w:tc>
          <w:tcPr>
            <w:tcW w:w="0" w:type="auto"/>
            <w:gridSpan w:val="3"/>
            <w:shd w:val="clear" w:color="auto" w:fill="CCEEFF"/>
            <w:tcMar>
              <w:top w:w="40" w:type="dxa"/>
              <w:left w:w="20" w:type="dxa"/>
              <w:bottom w:w="40" w:type="dxa"/>
              <w:right w:w="20" w:type="dxa"/>
            </w:tcMar>
          </w:tcPr>
          <w:p w14:paraId="5F2CB99A" w14:textId="77777777" w:rsidR="00E836FB" w:rsidRDefault="00994958">
            <w:pPr>
              <w:textAlignment w:val="top"/>
            </w:pPr>
            <w:r>
              <w:rPr>
                <w:rFonts w:ascii="Arial" w:eastAsia="宋体" w:hAnsi="Arial" w:cs="Arial"/>
                <w:color w:val="000000"/>
                <w:sz w:val="13"/>
                <w:szCs w:val="13"/>
              </w:rPr>
              <w:t>Amortization of other intangible assets</w:t>
            </w:r>
          </w:p>
        </w:tc>
        <w:tc>
          <w:tcPr>
            <w:tcW w:w="0" w:type="auto"/>
            <w:gridSpan w:val="2"/>
            <w:shd w:val="clear" w:color="auto" w:fill="CCEEFF"/>
            <w:tcMar>
              <w:top w:w="40" w:type="dxa"/>
              <w:left w:w="20" w:type="dxa"/>
              <w:bottom w:w="40" w:type="dxa"/>
              <w:right w:w="0" w:type="dxa"/>
            </w:tcMar>
            <w:vAlign w:val="bottom"/>
          </w:tcPr>
          <w:p w14:paraId="5F2CB99B" w14:textId="77777777" w:rsidR="00E836FB" w:rsidRDefault="00994958">
            <w:pPr>
              <w:jc w:val="right"/>
              <w:textAlignment w:val="bottom"/>
            </w:pPr>
            <w:r>
              <w:rPr>
                <w:rFonts w:ascii="Arial" w:eastAsia="宋体" w:hAnsi="Arial" w:cs="Arial"/>
                <w:b/>
                <w:bCs/>
                <w:color w:val="000000"/>
                <w:sz w:val="13"/>
                <w:szCs w:val="13"/>
              </w:rPr>
              <w:t>245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B99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9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9E" w14:textId="77777777" w:rsidR="00E836FB" w:rsidRDefault="00994958">
            <w:pPr>
              <w:jc w:val="right"/>
              <w:textAlignment w:val="bottom"/>
            </w:pPr>
            <w:r>
              <w:rPr>
                <w:rFonts w:ascii="Arial" w:eastAsia="宋体" w:hAnsi="Arial" w:cs="Arial"/>
                <w:color w:val="000000"/>
                <w:sz w:val="13"/>
                <w:szCs w:val="13"/>
              </w:rPr>
              <w:t>234 </w:t>
            </w:r>
          </w:p>
        </w:tc>
        <w:tc>
          <w:tcPr>
            <w:tcW w:w="0" w:type="auto"/>
            <w:shd w:val="clear" w:color="auto" w:fill="CCEEFF"/>
            <w:tcMar>
              <w:top w:w="40" w:type="dxa"/>
              <w:left w:w="0" w:type="dxa"/>
              <w:bottom w:w="40" w:type="dxa"/>
              <w:right w:w="20" w:type="dxa"/>
            </w:tcMar>
            <w:vAlign w:val="bottom"/>
          </w:tcPr>
          <w:p w14:paraId="5F2CB99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A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A1" w14:textId="77777777" w:rsidR="00E836FB" w:rsidRDefault="00994958">
            <w:pPr>
              <w:jc w:val="right"/>
              <w:textAlignment w:val="bottom"/>
            </w:pPr>
            <w:r>
              <w:rPr>
                <w:rFonts w:ascii="Arial" w:eastAsia="宋体" w:hAnsi="Arial" w:cs="Arial"/>
                <w:color w:val="000000"/>
                <w:sz w:val="13"/>
                <w:szCs w:val="13"/>
              </w:rPr>
              <w:t>236 </w:t>
            </w:r>
          </w:p>
        </w:tc>
        <w:tc>
          <w:tcPr>
            <w:tcW w:w="0" w:type="auto"/>
            <w:shd w:val="clear" w:color="auto" w:fill="CCEEFF"/>
            <w:tcMar>
              <w:top w:w="40" w:type="dxa"/>
              <w:left w:w="0" w:type="dxa"/>
              <w:bottom w:w="40" w:type="dxa"/>
              <w:right w:w="20" w:type="dxa"/>
            </w:tcMar>
            <w:vAlign w:val="bottom"/>
          </w:tcPr>
          <w:p w14:paraId="5F2CB9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A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A4" w14:textId="77777777" w:rsidR="00E836FB" w:rsidRDefault="00994958">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5F2CB9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A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A7" w14:textId="77777777" w:rsidR="00E836FB" w:rsidRDefault="00994958">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F2CB9A8" w14:textId="77777777" w:rsidR="00E836FB" w:rsidRDefault="00E836FB">
            <w:pPr>
              <w:jc w:val="right"/>
              <w:rPr>
                <w:rFonts w:ascii="宋体"/>
              </w:rPr>
            </w:pPr>
          </w:p>
        </w:tc>
      </w:tr>
      <w:tr w:rsidR="00E836FB" w14:paraId="5F2CB9B9" w14:textId="77777777">
        <w:tc>
          <w:tcPr>
            <w:tcW w:w="0" w:type="auto"/>
            <w:gridSpan w:val="3"/>
            <w:shd w:val="clear" w:color="auto" w:fill="FFFFFF"/>
            <w:tcMar>
              <w:top w:w="40" w:type="dxa"/>
              <w:left w:w="20" w:type="dxa"/>
              <w:bottom w:w="40" w:type="dxa"/>
              <w:right w:w="20" w:type="dxa"/>
            </w:tcMar>
            <w:vAlign w:val="bottom"/>
          </w:tcPr>
          <w:p w14:paraId="5F2CB9AA" w14:textId="77777777" w:rsidR="00E836FB" w:rsidRDefault="00994958">
            <w:pPr>
              <w:textAlignment w:val="bottom"/>
            </w:pPr>
            <w:r>
              <w:rPr>
                <w:rFonts w:ascii="Arial" w:eastAsia="宋体" w:hAnsi="Arial" w:cs="Arial"/>
                <w:color w:val="000000"/>
                <w:sz w:val="13"/>
                <w:szCs w:val="13"/>
              </w:rPr>
              <w:t>Acquisition costs</w:t>
            </w:r>
          </w:p>
        </w:tc>
        <w:tc>
          <w:tcPr>
            <w:tcW w:w="0" w:type="auto"/>
            <w:gridSpan w:val="2"/>
            <w:shd w:val="clear" w:color="auto" w:fill="FFFFFF"/>
            <w:tcMar>
              <w:top w:w="40" w:type="dxa"/>
              <w:left w:w="20" w:type="dxa"/>
              <w:bottom w:w="40" w:type="dxa"/>
              <w:right w:w="0" w:type="dxa"/>
            </w:tcMar>
            <w:vAlign w:val="bottom"/>
          </w:tcPr>
          <w:p w14:paraId="5F2CB9AB" w14:textId="77777777" w:rsidR="00E836FB" w:rsidRDefault="00994958">
            <w:pPr>
              <w:jc w:val="right"/>
              <w:textAlignment w:val="bottom"/>
            </w:pPr>
            <w:r>
              <w:rPr>
                <w:rFonts w:ascii="Arial" w:eastAsia="宋体" w:hAnsi="Arial" w:cs="Arial"/>
                <w:b/>
                <w:bCs/>
                <w:color w:val="000000"/>
                <w:sz w:val="13"/>
                <w:szCs w:val="13"/>
              </w:rPr>
              <w:t>66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B9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A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AE" w14:textId="77777777" w:rsidR="00E836FB" w:rsidRDefault="00994958">
            <w:pPr>
              <w:jc w:val="right"/>
              <w:textAlignment w:val="bottom"/>
            </w:pPr>
            <w:r>
              <w:rPr>
                <w:rFonts w:ascii="Arial" w:eastAsia="宋体" w:hAnsi="Arial" w:cs="Arial"/>
                <w:color w:val="000000"/>
                <w:sz w:val="13"/>
                <w:szCs w:val="13"/>
              </w:rPr>
              <w:t>54 </w:t>
            </w:r>
          </w:p>
        </w:tc>
        <w:tc>
          <w:tcPr>
            <w:tcW w:w="0" w:type="auto"/>
            <w:shd w:val="clear" w:color="auto" w:fill="FFFFFF"/>
            <w:tcMar>
              <w:top w:w="40" w:type="dxa"/>
              <w:left w:w="0" w:type="dxa"/>
              <w:bottom w:w="40" w:type="dxa"/>
              <w:right w:w="20" w:type="dxa"/>
            </w:tcMar>
            <w:vAlign w:val="bottom"/>
          </w:tcPr>
          <w:p w14:paraId="5F2CB9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B1" w14:textId="77777777" w:rsidR="00E836FB" w:rsidRDefault="00994958">
            <w:pPr>
              <w:jc w:val="right"/>
              <w:textAlignment w:val="bottom"/>
            </w:pPr>
            <w:r>
              <w:rPr>
                <w:rFonts w:ascii="Arial" w:eastAsia="宋体" w:hAnsi="Arial" w:cs="Arial"/>
                <w:color w:val="000000"/>
                <w:sz w:val="13"/>
                <w:szCs w:val="13"/>
              </w:rPr>
              <w:t>79 </w:t>
            </w:r>
          </w:p>
        </w:tc>
        <w:tc>
          <w:tcPr>
            <w:tcW w:w="0" w:type="auto"/>
            <w:shd w:val="clear" w:color="auto" w:fill="FFFFFF"/>
            <w:tcMar>
              <w:top w:w="40" w:type="dxa"/>
              <w:left w:w="0" w:type="dxa"/>
              <w:bottom w:w="40" w:type="dxa"/>
              <w:right w:w="20" w:type="dxa"/>
            </w:tcMar>
            <w:vAlign w:val="bottom"/>
          </w:tcPr>
          <w:p w14:paraId="5F2CB9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B4" w14:textId="77777777" w:rsidR="00E836FB" w:rsidRDefault="00994958">
            <w:pPr>
              <w:jc w:val="right"/>
              <w:textAlignment w:val="bottom"/>
            </w:pPr>
            <w:r>
              <w:rPr>
                <w:rFonts w:ascii="Arial" w:eastAsia="宋体" w:hAnsi="Arial" w:cs="Arial"/>
                <w:color w:val="000000"/>
                <w:sz w:val="13"/>
                <w:szCs w:val="13"/>
              </w:rPr>
              <w:t>22 </w:t>
            </w:r>
          </w:p>
        </w:tc>
        <w:tc>
          <w:tcPr>
            <w:tcW w:w="0" w:type="auto"/>
            <w:shd w:val="clear" w:color="auto" w:fill="FFFFFF"/>
            <w:tcMar>
              <w:top w:w="40" w:type="dxa"/>
              <w:left w:w="0" w:type="dxa"/>
              <w:bottom w:w="40" w:type="dxa"/>
              <w:right w:w="20" w:type="dxa"/>
            </w:tcMar>
            <w:vAlign w:val="bottom"/>
          </w:tcPr>
          <w:p w14:paraId="5F2CB9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B7" w14:textId="77777777" w:rsidR="00E836FB" w:rsidRDefault="00994958">
            <w:pPr>
              <w:jc w:val="right"/>
              <w:textAlignment w:val="bottom"/>
            </w:pPr>
            <w:r>
              <w:rPr>
                <w:rFonts w:ascii="Arial" w:eastAsia="宋体" w:hAnsi="Arial" w:cs="Arial"/>
                <w:color w:val="000000"/>
                <w:sz w:val="13"/>
                <w:szCs w:val="13"/>
              </w:rPr>
              <w:t>(32)</w:t>
            </w:r>
          </w:p>
        </w:tc>
        <w:tc>
          <w:tcPr>
            <w:tcW w:w="0" w:type="auto"/>
            <w:shd w:val="clear" w:color="auto" w:fill="FFFFFF"/>
            <w:tcMar>
              <w:top w:w="40" w:type="dxa"/>
              <w:left w:w="0" w:type="dxa"/>
              <w:bottom w:w="40" w:type="dxa"/>
              <w:right w:w="20" w:type="dxa"/>
            </w:tcMar>
            <w:vAlign w:val="bottom"/>
          </w:tcPr>
          <w:p w14:paraId="5F2CB9B8" w14:textId="77777777" w:rsidR="00E836FB" w:rsidRDefault="00E836FB">
            <w:pPr>
              <w:jc w:val="right"/>
              <w:rPr>
                <w:rFonts w:ascii="宋体"/>
              </w:rPr>
            </w:pPr>
          </w:p>
        </w:tc>
      </w:tr>
      <w:tr w:rsidR="00E836FB" w14:paraId="5F2CB9C9" w14:textId="77777777">
        <w:tc>
          <w:tcPr>
            <w:tcW w:w="0" w:type="auto"/>
            <w:gridSpan w:val="3"/>
            <w:shd w:val="clear" w:color="auto" w:fill="CCEEFF"/>
            <w:tcMar>
              <w:top w:w="40" w:type="dxa"/>
              <w:left w:w="20" w:type="dxa"/>
              <w:bottom w:w="40" w:type="dxa"/>
              <w:right w:w="20" w:type="dxa"/>
            </w:tcMar>
            <w:vAlign w:val="bottom"/>
          </w:tcPr>
          <w:p w14:paraId="5F2CB9BA" w14:textId="77777777" w:rsidR="00E836FB" w:rsidRDefault="00994958">
            <w:pPr>
              <w:textAlignment w:val="bottom"/>
            </w:pPr>
            <w:r>
              <w:rPr>
                <w:rFonts w:ascii="Arial" w:eastAsia="宋体" w:hAnsi="Arial" w:cs="Arial"/>
                <w:color w:val="000000"/>
                <w:sz w:val="13"/>
                <w:szCs w:val="13"/>
              </w:rPr>
              <w:t>Restructuring charges, net</w:t>
            </w:r>
          </w:p>
        </w:tc>
        <w:tc>
          <w:tcPr>
            <w:tcW w:w="0" w:type="auto"/>
            <w:gridSpan w:val="2"/>
            <w:shd w:val="clear" w:color="auto" w:fill="CCEEFF"/>
            <w:tcMar>
              <w:top w:w="40" w:type="dxa"/>
              <w:left w:w="20" w:type="dxa"/>
              <w:bottom w:w="40" w:type="dxa"/>
              <w:right w:w="0" w:type="dxa"/>
            </w:tcMar>
            <w:vAlign w:val="bottom"/>
          </w:tcPr>
          <w:p w14:paraId="5F2CB9BB" w14:textId="77777777" w:rsidR="00E836FB" w:rsidRDefault="00994958">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5F2CB9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BE" w14:textId="77777777" w:rsidR="00E836FB" w:rsidRDefault="00994958">
            <w:pPr>
              <w:jc w:val="right"/>
              <w:textAlignment w:val="bottom"/>
            </w:pPr>
            <w:r>
              <w:rPr>
                <w:rFonts w:ascii="Arial" w:eastAsia="宋体" w:hAnsi="Arial" w:cs="Arial"/>
                <w:color w:val="000000"/>
                <w:sz w:val="13"/>
                <w:szCs w:val="13"/>
              </w:rPr>
              <w:t>(4)</w:t>
            </w:r>
          </w:p>
        </w:tc>
        <w:tc>
          <w:tcPr>
            <w:tcW w:w="0" w:type="auto"/>
            <w:shd w:val="clear" w:color="auto" w:fill="CCEEFF"/>
            <w:tcMar>
              <w:top w:w="40" w:type="dxa"/>
              <w:left w:w="0" w:type="dxa"/>
              <w:bottom w:w="40" w:type="dxa"/>
              <w:right w:w="20" w:type="dxa"/>
            </w:tcMar>
            <w:vAlign w:val="bottom"/>
          </w:tcPr>
          <w:p w14:paraId="5F2CB9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C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C1" w14:textId="77777777" w:rsidR="00E836FB" w:rsidRDefault="00994958">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F2CB9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C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C4" w14:textId="77777777" w:rsidR="00E836FB" w:rsidRDefault="00994958">
            <w:pPr>
              <w:jc w:val="right"/>
              <w:textAlignment w:val="bottom"/>
            </w:pPr>
            <w:r>
              <w:rPr>
                <w:rFonts w:ascii="Arial" w:eastAsia="宋体" w:hAnsi="Arial" w:cs="Arial"/>
                <w:color w:val="000000"/>
                <w:sz w:val="13"/>
                <w:szCs w:val="13"/>
              </w:rPr>
              <w:t>(75)</w:t>
            </w:r>
          </w:p>
        </w:tc>
        <w:tc>
          <w:tcPr>
            <w:tcW w:w="0" w:type="auto"/>
            <w:shd w:val="clear" w:color="auto" w:fill="CCEEFF"/>
            <w:tcMar>
              <w:top w:w="40" w:type="dxa"/>
              <w:left w:w="0" w:type="dxa"/>
              <w:bottom w:w="40" w:type="dxa"/>
              <w:right w:w="20" w:type="dxa"/>
            </w:tcMar>
            <w:vAlign w:val="bottom"/>
          </w:tcPr>
          <w:p w14:paraId="5F2CB9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C7" w14:textId="77777777" w:rsidR="00E836FB" w:rsidRDefault="00994958">
            <w:pPr>
              <w:jc w:val="right"/>
              <w:textAlignment w:val="bottom"/>
            </w:pPr>
            <w:r>
              <w:rPr>
                <w:rFonts w:ascii="Arial" w:eastAsia="宋体" w:hAnsi="Arial" w:cs="Arial"/>
                <w:color w:val="000000"/>
                <w:sz w:val="13"/>
                <w:szCs w:val="13"/>
              </w:rPr>
              <w:t>100 </w:t>
            </w:r>
          </w:p>
        </w:tc>
        <w:tc>
          <w:tcPr>
            <w:tcW w:w="0" w:type="auto"/>
            <w:shd w:val="clear" w:color="auto" w:fill="CCEEFF"/>
            <w:tcMar>
              <w:top w:w="40" w:type="dxa"/>
              <w:left w:w="0" w:type="dxa"/>
              <w:bottom w:w="40" w:type="dxa"/>
              <w:right w:w="20" w:type="dxa"/>
            </w:tcMar>
            <w:vAlign w:val="bottom"/>
          </w:tcPr>
          <w:p w14:paraId="5F2CB9C8" w14:textId="77777777" w:rsidR="00E836FB" w:rsidRDefault="00E836FB">
            <w:pPr>
              <w:jc w:val="right"/>
              <w:rPr>
                <w:rFonts w:ascii="宋体"/>
              </w:rPr>
            </w:pPr>
          </w:p>
        </w:tc>
      </w:tr>
      <w:tr w:rsidR="00E836FB" w14:paraId="5F2CB9D4" w14:textId="77777777">
        <w:tc>
          <w:tcPr>
            <w:tcW w:w="0" w:type="auto"/>
            <w:gridSpan w:val="3"/>
            <w:shd w:val="clear" w:color="auto" w:fill="FFFFFF"/>
            <w:tcMar>
              <w:top w:w="40" w:type="dxa"/>
              <w:left w:w="20" w:type="dxa"/>
              <w:bottom w:w="40" w:type="dxa"/>
              <w:right w:w="20" w:type="dxa"/>
            </w:tcMar>
            <w:vAlign w:val="bottom"/>
          </w:tcPr>
          <w:p w14:paraId="5F2CB9CA" w14:textId="77777777" w:rsidR="00E836FB" w:rsidRDefault="00994958">
            <w:pPr>
              <w:textAlignment w:val="bottom"/>
            </w:pPr>
            <w:r>
              <w:rPr>
                <w:rFonts w:ascii="Arial" w:eastAsia="宋体" w:hAnsi="Arial" w:cs="Arial"/>
                <w:color w:val="000000"/>
                <w:sz w:val="13"/>
                <w:szCs w:val="13"/>
              </w:rPr>
              <w:t>Other:</w:t>
            </w:r>
          </w:p>
        </w:tc>
        <w:tc>
          <w:tcPr>
            <w:tcW w:w="0" w:type="auto"/>
            <w:gridSpan w:val="3"/>
            <w:shd w:val="clear" w:color="auto" w:fill="FFFFFF"/>
            <w:tcMar>
              <w:top w:w="0" w:type="dxa"/>
              <w:left w:w="20" w:type="dxa"/>
              <w:bottom w:w="0" w:type="dxa"/>
              <w:right w:w="20" w:type="dxa"/>
            </w:tcMar>
            <w:vAlign w:val="bottom"/>
          </w:tcPr>
          <w:p w14:paraId="5F2CB9C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C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C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C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C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D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D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D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9D3" w14:textId="77777777" w:rsidR="00E836FB" w:rsidRDefault="00E836FB">
            <w:pPr>
              <w:rPr>
                <w:rFonts w:ascii="宋体"/>
              </w:rPr>
            </w:pPr>
          </w:p>
        </w:tc>
      </w:tr>
      <w:tr w:rsidR="00E836FB" w14:paraId="5F2CB9E4" w14:textId="77777777">
        <w:tc>
          <w:tcPr>
            <w:tcW w:w="0" w:type="auto"/>
            <w:gridSpan w:val="3"/>
            <w:shd w:val="clear" w:color="auto" w:fill="CCEEFF"/>
            <w:tcMar>
              <w:top w:w="40" w:type="dxa"/>
              <w:left w:w="155" w:type="dxa"/>
              <w:bottom w:w="40" w:type="dxa"/>
              <w:right w:w="20" w:type="dxa"/>
            </w:tcMar>
            <w:vAlign w:val="bottom"/>
          </w:tcPr>
          <w:p w14:paraId="5F2CB9D5" w14:textId="77777777" w:rsidR="00E836FB" w:rsidRDefault="00994958">
            <w:pPr>
              <w:textAlignment w:val="bottom"/>
            </w:pPr>
            <w:r>
              <w:rPr>
                <w:rFonts w:ascii="Arial" w:eastAsia="宋体" w:hAnsi="Arial" w:cs="Arial"/>
                <w:color w:val="000000"/>
                <w:sz w:val="13"/>
                <w:szCs w:val="13"/>
              </w:rPr>
              <w:t>Professional services</w:t>
            </w:r>
          </w:p>
        </w:tc>
        <w:tc>
          <w:tcPr>
            <w:tcW w:w="0" w:type="auto"/>
            <w:gridSpan w:val="2"/>
            <w:shd w:val="clear" w:color="auto" w:fill="CCEEFF"/>
            <w:tcMar>
              <w:top w:w="40" w:type="dxa"/>
              <w:left w:w="20" w:type="dxa"/>
              <w:bottom w:w="40" w:type="dxa"/>
              <w:right w:w="0" w:type="dxa"/>
            </w:tcMar>
            <w:vAlign w:val="bottom"/>
          </w:tcPr>
          <w:p w14:paraId="5F2CB9D6" w14:textId="77777777" w:rsidR="00E836FB" w:rsidRDefault="00994958">
            <w:pPr>
              <w:jc w:val="right"/>
              <w:textAlignment w:val="bottom"/>
            </w:pPr>
            <w:r>
              <w:rPr>
                <w:rFonts w:ascii="Arial" w:eastAsia="宋体" w:hAnsi="Arial" w:cs="Arial"/>
                <w:b/>
                <w:bCs/>
                <w:color w:val="000000"/>
                <w:sz w:val="13"/>
                <w:szCs w:val="13"/>
              </w:rPr>
              <w:t>334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B9D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D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D9" w14:textId="77777777" w:rsidR="00E836FB" w:rsidRDefault="00994958">
            <w:pPr>
              <w:jc w:val="right"/>
              <w:textAlignment w:val="bottom"/>
            </w:pPr>
            <w:r>
              <w:rPr>
                <w:rFonts w:ascii="Arial" w:eastAsia="宋体" w:hAnsi="Arial" w:cs="Arial"/>
                <w:color w:val="000000"/>
                <w:sz w:val="13"/>
                <w:szCs w:val="13"/>
              </w:rPr>
              <w:t>364 </w:t>
            </w:r>
          </w:p>
        </w:tc>
        <w:tc>
          <w:tcPr>
            <w:tcW w:w="0" w:type="auto"/>
            <w:shd w:val="clear" w:color="auto" w:fill="CCEEFF"/>
            <w:tcMar>
              <w:top w:w="40" w:type="dxa"/>
              <w:left w:w="0" w:type="dxa"/>
              <w:bottom w:w="40" w:type="dxa"/>
              <w:right w:w="20" w:type="dxa"/>
            </w:tcMar>
            <w:vAlign w:val="bottom"/>
          </w:tcPr>
          <w:p w14:paraId="5F2CB9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D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DC" w14:textId="77777777" w:rsidR="00E836FB" w:rsidRDefault="00994958">
            <w:pPr>
              <w:jc w:val="right"/>
              <w:textAlignment w:val="bottom"/>
            </w:pPr>
            <w:r>
              <w:rPr>
                <w:rFonts w:ascii="Arial" w:eastAsia="宋体" w:hAnsi="Arial" w:cs="Arial"/>
                <w:color w:val="000000"/>
                <w:sz w:val="13"/>
                <w:szCs w:val="13"/>
              </w:rPr>
              <w:t>321 </w:t>
            </w:r>
          </w:p>
        </w:tc>
        <w:tc>
          <w:tcPr>
            <w:tcW w:w="0" w:type="auto"/>
            <w:shd w:val="clear" w:color="auto" w:fill="CCEEFF"/>
            <w:tcMar>
              <w:top w:w="40" w:type="dxa"/>
              <w:left w:w="0" w:type="dxa"/>
              <w:bottom w:w="40" w:type="dxa"/>
              <w:right w:w="20" w:type="dxa"/>
            </w:tcMar>
            <w:vAlign w:val="bottom"/>
          </w:tcPr>
          <w:p w14:paraId="5F2CB9D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D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DF" w14:textId="77777777" w:rsidR="00E836FB" w:rsidRDefault="00994958">
            <w:pPr>
              <w:jc w:val="right"/>
              <w:textAlignment w:val="bottom"/>
            </w:pPr>
            <w:r>
              <w:rPr>
                <w:rFonts w:ascii="Arial" w:eastAsia="宋体" w:hAnsi="Arial" w:cs="Arial"/>
                <w:color w:val="000000"/>
                <w:sz w:val="13"/>
                <w:szCs w:val="13"/>
              </w:rPr>
              <w:t>(8)</w:t>
            </w:r>
          </w:p>
        </w:tc>
        <w:tc>
          <w:tcPr>
            <w:tcW w:w="0" w:type="auto"/>
            <w:shd w:val="clear" w:color="auto" w:fill="CCEEFF"/>
            <w:tcMar>
              <w:top w:w="40" w:type="dxa"/>
              <w:left w:w="0" w:type="dxa"/>
              <w:bottom w:w="40" w:type="dxa"/>
              <w:right w:w="20" w:type="dxa"/>
            </w:tcMar>
            <w:vAlign w:val="bottom"/>
          </w:tcPr>
          <w:p w14:paraId="5F2CB9E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E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E2" w14:textId="77777777" w:rsidR="00E836FB" w:rsidRDefault="00994958">
            <w:pPr>
              <w:jc w:val="right"/>
              <w:textAlignment w:val="bottom"/>
            </w:pPr>
            <w:r>
              <w:rPr>
                <w:rFonts w:ascii="Arial" w:eastAsia="宋体" w:hAnsi="Arial" w:cs="Arial"/>
                <w:color w:val="000000"/>
                <w:sz w:val="13"/>
                <w:szCs w:val="13"/>
              </w:rPr>
              <w:t>13 </w:t>
            </w:r>
          </w:p>
        </w:tc>
        <w:tc>
          <w:tcPr>
            <w:tcW w:w="0" w:type="auto"/>
            <w:shd w:val="clear" w:color="auto" w:fill="CCEEFF"/>
            <w:tcMar>
              <w:top w:w="40" w:type="dxa"/>
              <w:left w:w="0" w:type="dxa"/>
              <w:bottom w:w="40" w:type="dxa"/>
              <w:right w:w="20" w:type="dxa"/>
            </w:tcMar>
            <w:vAlign w:val="bottom"/>
          </w:tcPr>
          <w:p w14:paraId="5F2CB9E3" w14:textId="77777777" w:rsidR="00E836FB" w:rsidRDefault="00E836FB">
            <w:pPr>
              <w:jc w:val="right"/>
              <w:rPr>
                <w:rFonts w:ascii="宋体"/>
              </w:rPr>
            </w:pPr>
          </w:p>
        </w:tc>
      </w:tr>
      <w:tr w:rsidR="00E836FB" w14:paraId="5F2CB9F4" w14:textId="77777777">
        <w:tc>
          <w:tcPr>
            <w:tcW w:w="0" w:type="auto"/>
            <w:gridSpan w:val="3"/>
            <w:shd w:val="clear" w:color="auto" w:fill="FFFFFF"/>
            <w:tcMar>
              <w:top w:w="40" w:type="dxa"/>
              <w:left w:w="155" w:type="dxa"/>
              <w:bottom w:w="40" w:type="dxa"/>
              <w:right w:w="20" w:type="dxa"/>
            </w:tcMar>
            <w:vAlign w:val="bottom"/>
          </w:tcPr>
          <w:p w14:paraId="5F2CB9E5" w14:textId="77777777" w:rsidR="00E836FB" w:rsidRDefault="00994958">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5F2CB9E6" w14:textId="77777777" w:rsidR="00E836FB" w:rsidRDefault="00994958">
            <w:pPr>
              <w:jc w:val="right"/>
              <w:textAlignment w:val="bottom"/>
            </w:pPr>
            <w:r>
              <w:rPr>
                <w:rFonts w:ascii="Arial" w:eastAsia="宋体" w:hAnsi="Arial" w:cs="Arial"/>
                <w:b/>
                <w:bCs/>
                <w:color w:val="000000"/>
                <w:sz w:val="13"/>
                <w:szCs w:val="13"/>
              </w:rPr>
              <w:t>562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B9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E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E9" w14:textId="77777777" w:rsidR="00E836FB" w:rsidRDefault="00994958">
            <w:pPr>
              <w:jc w:val="right"/>
              <w:textAlignment w:val="bottom"/>
            </w:pPr>
            <w:r>
              <w:rPr>
                <w:rFonts w:ascii="Arial" w:eastAsia="宋体" w:hAnsi="Arial" w:cs="Arial"/>
                <w:color w:val="000000"/>
                <w:sz w:val="13"/>
                <w:szCs w:val="13"/>
              </w:rPr>
              <w:t>601 </w:t>
            </w:r>
          </w:p>
        </w:tc>
        <w:tc>
          <w:tcPr>
            <w:tcW w:w="0" w:type="auto"/>
            <w:shd w:val="clear" w:color="auto" w:fill="FFFFFF"/>
            <w:tcMar>
              <w:top w:w="40" w:type="dxa"/>
              <w:left w:w="0" w:type="dxa"/>
              <w:bottom w:w="40" w:type="dxa"/>
              <w:right w:w="20" w:type="dxa"/>
            </w:tcMar>
            <w:vAlign w:val="bottom"/>
          </w:tcPr>
          <w:p w14:paraId="5F2CB9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E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EC" w14:textId="77777777" w:rsidR="00E836FB" w:rsidRDefault="00994958">
            <w:pPr>
              <w:jc w:val="right"/>
              <w:textAlignment w:val="bottom"/>
            </w:pPr>
            <w:r>
              <w:rPr>
                <w:rFonts w:ascii="Arial" w:eastAsia="宋体" w:hAnsi="Arial" w:cs="Arial"/>
                <w:color w:val="000000"/>
                <w:sz w:val="13"/>
                <w:szCs w:val="13"/>
              </w:rPr>
              <w:t>941 </w:t>
            </w:r>
          </w:p>
        </w:tc>
        <w:tc>
          <w:tcPr>
            <w:tcW w:w="0" w:type="auto"/>
            <w:shd w:val="clear" w:color="auto" w:fill="FFFFFF"/>
            <w:tcMar>
              <w:top w:w="40" w:type="dxa"/>
              <w:left w:w="0" w:type="dxa"/>
              <w:bottom w:w="40" w:type="dxa"/>
              <w:right w:w="20" w:type="dxa"/>
            </w:tcMar>
            <w:vAlign w:val="bottom"/>
          </w:tcPr>
          <w:p w14:paraId="5F2CB9E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E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EF" w14:textId="77777777" w:rsidR="00E836FB" w:rsidRDefault="00994958">
            <w:pPr>
              <w:jc w:val="right"/>
              <w:textAlignment w:val="bottom"/>
            </w:pPr>
            <w:r>
              <w:rPr>
                <w:rFonts w:ascii="Arial" w:eastAsia="宋体" w:hAnsi="Arial" w:cs="Arial"/>
                <w:color w:val="000000"/>
                <w:sz w:val="13"/>
                <w:szCs w:val="13"/>
              </w:rPr>
              <w:t>(6)</w:t>
            </w:r>
          </w:p>
        </w:tc>
        <w:tc>
          <w:tcPr>
            <w:tcW w:w="0" w:type="auto"/>
            <w:shd w:val="clear" w:color="auto" w:fill="FFFFFF"/>
            <w:tcMar>
              <w:top w:w="40" w:type="dxa"/>
              <w:left w:w="0" w:type="dxa"/>
              <w:bottom w:w="40" w:type="dxa"/>
              <w:right w:w="20" w:type="dxa"/>
            </w:tcMar>
            <w:vAlign w:val="bottom"/>
          </w:tcPr>
          <w:p w14:paraId="5F2CB9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9F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9F2" w14:textId="77777777" w:rsidR="00E836FB" w:rsidRDefault="00994958">
            <w:pPr>
              <w:jc w:val="right"/>
              <w:textAlignment w:val="bottom"/>
            </w:pPr>
            <w:r>
              <w:rPr>
                <w:rFonts w:ascii="Arial" w:eastAsia="宋体" w:hAnsi="Arial" w:cs="Arial"/>
                <w:color w:val="000000"/>
                <w:sz w:val="13"/>
                <w:szCs w:val="13"/>
              </w:rPr>
              <w:t>(36)</w:t>
            </w:r>
          </w:p>
        </w:tc>
        <w:tc>
          <w:tcPr>
            <w:tcW w:w="0" w:type="auto"/>
            <w:shd w:val="clear" w:color="auto" w:fill="FFFFFF"/>
            <w:tcMar>
              <w:top w:w="40" w:type="dxa"/>
              <w:left w:w="0" w:type="dxa"/>
              <w:bottom w:w="40" w:type="dxa"/>
              <w:right w:w="20" w:type="dxa"/>
            </w:tcMar>
            <w:vAlign w:val="bottom"/>
          </w:tcPr>
          <w:p w14:paraId="5F2CB9F3" w14:textId="77777777" w:rsidR="00E836FB" w:rsidRDefault="00E836FB">
            <w:pPr>
              <w:jc w:val="right"/>
              <w:rPr>
                <w:rFonts w:ascii="宋体"/>
              </w:rPr>
            </w:pPr>
          </w:p>
        </w:tc>
      </w:tr>
      <w:tr w:rsidR="00E836FB" w14:paraId="5F2CBA04" w14:textId="77777777">
        <w:tc>
          <w:tcPr>
            <w:tcW w:w="0" w:type="auto"/>
            <w:gridSpan w:val="3"/>
            <w:shd w:val="clear" w:color="auto" w:fill="CCEEFF"/>
            <w:tcMar>
              <w:top w:w="40" w:type="dxa"/>
              <w:left w:w="20" w:type="dxa"/>
              <w:bottom w:w="40" w:type="dxa"/>
              <w:right w:w="20" w:type="dxa"/>
            </w:tcMar>
            <w:vAlign w:val="bottom"/>
          </w:tcPr>
          <w:p w14:paraId="5F2CB9F5" w14:textId="77777777" w:rsidR="00E836FB" w:rsidRDefault="00994958">
            <w:pPr>
              <w:textAlignment w:val="bottom"/>
            </w:pPr>
            <w:r>
              <w:rPr>
                <w:rFonts w:ascii="Arial" w:eastAsia="宋体" w:hAnsi="Arial" w:cs="Arial"/>
                <w:color w:val="000000"/>
                <w:sz w:val="13"/>
                <w:szCs w:val="13"/>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9F6" w14:textId="77777777" w:rsidR="00E836FB" w:rsidRDefault="00994958">
            <w:pPr>
              <w:jc w:val="right"/>
              <w:textAlignment w:val="bottom"/>
            </w:pPr>
            <w:r>
              <w:rPr>
                <w:rFonts w:ascii="Arial" w:eastAsia="宋体" w:hAnsi="Arial" w:cs="Arial"/>
                <w:b/>
                <w:bCs/>
                <w:color w:val="000000"/>
                <w:sz w:val="13"/>
                <w:szCs w:val="13"/>
              </w:rPr>
              <w:t>896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F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9F9" w14:textId="77777777" w:rsidR="00E836FB" w:rsidRDefault="00994958">
            <w:pPr>
              <w:jc w:val="right"/>
              <w:textAlignment w:val="bottom"/>
            </w:pPr>
            <w:r>
              <w:rPr>
                <w:rFonts w:ascii="Arial" w:eastAsia="宋体" w:hAnsi="Arial" w:cs="Arial"/>
                <w:color w:val="000000"/>
                <w:sz w:val="13"/>
                <w:szCs w:val="13"/>
              </w:rPr>
              <w:t>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F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F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9FC" w14:textId="77777777" w:rsidR="00E836FB" w:rsidRDefault="00994958">
            <w:pPr>
              <w:jc w:val="right"/>
              <w:textAlignment w:val="bottom"/>
            </w:pPr>
            <w:r>
              <w:rPr>
                <w:rFonts w:ascii="Arial" w:eastAsia="宋体" w:hAnsi="Arial" w:cs="Arial"/>
                <w:color w:val="000000"/>
                <w:sz w:val="13"/>
                <w:szCs w:val="13"/>
              </w:rPr>
              <w:t>1,262 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9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9F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9FF" w14:textId="77777777" w:rsidR="00E836FB" w:rsidRDefault="00994958">
            <w:pPr>
              <w:jc w:val="right"/>
              <w:textAlignment w:val="bottom"/>
            </w:pPr>
            <w:r>
              <w:rPr>
                <w:rFonts w:ascii="Arial" w:eastAsia="宋体" w:hAnsi="Arial" w:cs="Arial"/>
                <w:color w:val="000000"/>
                <w:sz w:val="13"/>
                <w:szCs w:val="13"/>
              </w:rPr>
              <w:t>(7)</w:t>
            </w:r>
          </w:p>
        </w:tc>
        <w:tc>
          <w:tcPr>
            <w:tcW w:w="0" w:type="auto"/>
            <w:shd w:val="clear" w:color="auto" w:fill="CCEEFF"/>
            <w:tcMar>
              <w:top w:w="40" w:type="dxa"/>
              <w:left w:w="0" w:type="dxa"/>
              <w:bottom w:w="40" w:type="dxa"/>
              <w:right w:w="20" w:type="dxa"/>
            </w:tcMar>
            <w:vAlign w:val="bottom"/>
          </w:tcPr>
          <w:p w14:paraId="5F2CBA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0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A02" w14:textId="77777777" w:rsidR="00E836FB" w:rsidRDefault="00994958">
            <w:pPr>
              <w:jc w:val="right"/>
              <w:textAlignment w:val="bottom"/>
            </w:pPr>
            <w:r>
              <w:rPr>
                <w:rFonts w:ascii="Arial" w:eastAsia="宋体" w:hAnsi="Arial" w:cs="Arial"/>
                <w:color w:val="000000"/>
                <w:sz w:val="13"/>
                <w:szCs w:val="13"/>
              </w:rPr>
              <w:t>(24)</w:t>
            </w:r>
          </w:p>
        </w:tc>
        <w:tc>
          <w:tcPr>
            <w:tcW w:w="0" w:type="auto"/>
            <w:shd w:val="clear" w:color="auto" w:fill="CCEEFF"/>
            <w:tcMar>
              <w:top w:w="40" w:type="dxa"/>
              <w:left w:w="0" w:type="dxa"/>
              <w:bottom w:w="40" w:type="dxa"/>
              <w:right w:w="20" w:type="dxa"/>
            </w:tcMar>
            <w:vAlign w:val="bottom"/>
          </w:tcPr>
          <w:p w14:paraId="5F2CBA03" w14:textId="77777777" w:rsidR="00E836FB" w:rsidRDefault="00E836FB">
            <w:pPr>
              <w:jc w:val="right"/>
              <w:rPr>
                <w:rFonts w:ascii="宋体"/>
              </w:rPr>
            </w:pPr>
          </w:p>
        </w:tc>
      </w:tr>
      <w:tr w:rsidR="00E836FB" w14:paraId="5F2CBA17" w14:textId="77777777">
        <w:tc>
          <w:tcPr>
            <w:tcW w:w="0" w:type="auto"/>
            <w:gridSpan w:val="3"/>
            <w:shd w:val="clear" w:color="auto" w:fill="FFFFFF"/>
            <w:tcMar>
              <w:top w:w="40" w:type="dxa"/>
              <w:left w:w="20" w:type="dxa"/>
              <w:bottom w:w="40" w:type="dxa"/>
              <w:right w:w="20" w:type="dxa"/>
            </w:tcMar>
            <w:vAlign w:val="bottom"/>
          </w:tcPr>
          <w:p w14:paraId="5F2CBA05" w14:textId="77777777" w:rsidR="00E836FB" w:rsidRDefault="00994958">
            <w:pPr>
              <w:textAlignment w:val="bottom"/>
            </w:pPr>
            <w:r>
              <w:rPr>
                <w:rFonts w:ascii="Arial" w:eastAsia="宋体" w:hAnsi="Arial" w:cs="Arial"/>
                <w:color w:val="000000"/>
                <w:sz w:val="13"/>
                <w:szCs w:val="13"/>
              </w:rPr>
              <w:t>Total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BA06"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BA07" w14:textId="77777777" w:rsidR="00E836FB" w:rsidRDefault="00994958">
            <w:pPr>
              <w:jc w:val="right"/>
              <w:textAlignment w:val="bottom"/>
            </w:pPr>
            <w:r>
              <w:rPr>
                <w:rFonts w:ascii="Arial" w:eastAsia="宋体" w:hAnsi="Arial" w:cs="Arial"/>
                <w:b/>
                <w:bCs/>
                <w:color w:val="000000"/>
                <w:sz w:val="13"/>
                <w:szCs w:val="13"/>
              </w:rPr>
              <w:t>8,889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A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09"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BA0A"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BA0B" w14:textId="77777777" w:rsidR="00E836FB" w:rsidRDefault="00994958">
            <w:pPr>
              <w:jc w:val="right"/>
              <w:textAlignment w:val="bottom"/>
            </w:pPr>
            <w:r>
              <w:rPr>
                <w:rFonts w:ascii="Arial" w:eastAsia="宋体" w:hAnsi="Arial" w:cs="Arial"/>
                <w:color w:val="000000"/>
                <w:sz w:val="13"/>
                <w:szCs w:val="13"/>
              </w:rPr>
              <w:t>8,716 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A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0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BA0E"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BA0F" w14:textId="77777777" w:rsidR="00E836FB" w:rsidRDefault="00994958">
            <w:pPr>
              <w:jc w:val="right"/>
              <w:textAlignment w:val="bottom"/>
            </w:pPr>
            <w:r>
              <w:rPr>
                <w:rFonts w:ascii="Arial" w:eastAsia="宋体" w:hAnsi="Arial" w:cs="Arial"/>
                <w:color w:val="000000"/>
                <w:sz w:val="13"/>
                <w:szCs w:val="13"/>
              </w:rPr>
              <w:t>9,034 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A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1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12" w14:textId="77777777" w:rsidR="00E836FB" w:rsidRDefault="00994958">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5F2CBA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1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15" w14:textId="77777777" w:rsidR="00E836FB" w:rsidRDefault="00994958">
            <w:pPr>
              <w:jc w:val="right"/>
              <w:textAlignment w:val="bottom"/>
            </w:pPr>
            <w:r>
              <w:rPr>
                <w:rFonts w:ascii="Arial" w:eastAsia="宋体" w:hAnsi="Arial" w:cs="Arial"/>
                <w:color w:val="000000"/>
                <w:sz w:val="13"/>
                <w:szCs w:val="13"/>
              </w:rPr>
              <w:t>(4)</w:t>
            </w:r>
          </w:p>
        </w:tc>
        <w:tc>
          <w:tcPr>
            <w:tcW w:w="0" w:type="auto"/>
            <w:shd w:val="clear" w:color="auto" w:fill="FFFFFF"/>
            <w:tcMar>
              <w:top w:w="40" w:type="dxa"/>
              <w:left w:w="0" w:type="dxa"/>
              <w:bottom w:w="40" w:type="dxa"/>
              <w:right w:w="20" w:type="dxa"/>
            </w:tcMar>
            <w:vAlign w:val="bottom"/>
          </w:tcPr>
          <w:p w14:paraId="5F2CBA16" w14:textId="77777777" w:rsidR="00E836FB" w:rsidRDefault="00E836FB">
            <w:pPr>
              <w:jc w:val="right"/>
              <w:rPr>
                <w:rFonts w:ascii="宋体"/>
              </w:rPr>
            </w:pPr>
          </w:p>
        </w:tc>
      </w:tr>
      <w:tr w:rsidR="00E836FB" w14:paraId="5F2CBA27" w14:textId="77777777">
        <w:tc>
          <w:tcPr>
            <w:tcW w:w="0" w:type="auto"/>
            <w:gridSpan w:val="3"/>
            <w:shd w:val="clear" w:color="auto" w:fill="CCEEFF"/>
            <w:tcMar>
              <w:top w:w="40" w:type="dxa"/>
              <w:left w:w="20" w:type="dxa"/>
              <w:bottom w:w="40" w:type="dxa"/>
              <w:right w:w="20" w:type="dxa"/>
            </w:tcMar>
            <w:vAlign w:val="bottom"/>
          </w:tcPr>
          <w:p w14:paraId="5F2CBA18" w14:textId="77777777" w:rsidR="00E836FB" w:rsidRDefault="00994958">
            <w:pPr>
              <w:textAlignment w:val="bottom"/>
            </w:pPr>
            <w:r>
              <w:rPr>
                <w:rFonts w:ascii="Arial" w:eastAsia="宋体" w:hAnsi="Arial" w:cs="Arial"/>
                <w:color w:val="000000"/>
                <w:sz w:val="13"/>
                <w:szCs w:val="13"/>
              </w:rPr>
              <w:t>Number of employees at year-end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CBA19" w14:textId="77777777" w:rsidR="00E836FB" w:rsidRDefault="00994958">
            <w:pPr>
              <w:jc w:val="right"/>
              <w:textAlignment w:val="bottom"/>
            </w:pPr>
            <w:r>
              <w:rPr>
                <w:rFonts w:ascii="Arial" w:eastAsia="宋体" w:hAnsi="Arial" w:cs="Arial"/>
                <w:b/>
                <w:bCs/>
                <w:color w:val="000000"/>
                <w:sz w:val="13"/>
                <w:szCs w:val="13"/>
              </w:rPr>
              <w:t>38,784</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BA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1B"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CBA1C" w14:textId="77777777" w:rsidR="00E836FB" w:rsidRDefault="00994958">
            <w:pPr>
              <w:jc w:val="right"/>
              <w:textAlignment w:val="bottom"/>
            </w:pPr>
            <w:r>
              <w:rPr>
                <w:rFonts w:ascii="Arial" w:eastAsia="宋体" w:hAnsi="Arial" w:cs="Arial"/>
                <w:color w:val="000000"/>
                <w:sz w:val="13"/>
                <w:szCs w:val="13"/>
              </w:rPr>
              <w:t>39,439 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BA1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1E"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CBA1F" w14:textId="77777777" w:rsidR="00E836FB" w:rsidRDefault="00994958">
            <w:pPr>
              <w:jc w:val="right"/>
              <w:textAlignment w:val="bottom"/>
            </w:pPr>
            <w:r>
              <w:rPr>
                <w:rFonts w:ascii="Arial" w:eastAsia="宋体" w:hAnsi="Arial" w:cs="Arial"/>
                <w:color w:val="000000"/>
                <w:sz w:val="13"/>
                <w:szCs w:val="13"/>
              </w:rPr>
              <w:t>39,103 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BA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2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A22" w14:textId="77777777" w:rsidR="00E836FB" w:rsidRDefault="00994958">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F2CBA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2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A25" w14:textId="77777777" w:rsidR="00E836FB" w:rsidRDefault="00994958">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5F2CBA26" w14:textId="77777777" w:rsidR="00E836FB" w:rsidRDefault="00E836FB">
            <w:pPr>
              <w:jc w:val="right"/>
              <w:rPr>
                <w:rFonts w:ascii="宋体"/>
              </w:rPr>
            </w:pPr>
          </w:p>
        </w:tc>
      </w:tr>
    </w:tbl>
    <w:p w14:paraId="5F2CBA28" w14:textId="77777777" w:rsidR="00E836FB" w:rsidRDefault="00994958">
      <w:pPr>
        <w:spacing w:before="60"/>
        <w:ind w:firstLine="450"/>
        <w:jc w:val="both"/>
        <w:textAlignment w:val="top"/>
      </w:pPr>
      <w:r>
        <w:rPr>
          <w:rFonts w:ascii="Arial" w:eastAsia="宋体" w:hAnsi="Arial" w:cs="Arial"/>
          <w:color w:val="000000"/>
          <w:sz w:val="20"/>
          <w:szCs w:val="20"/>
        </w:rPr>
        <w:t>Compensation and employee benefits expenses increased 2% in 2021 compared to 2020, primarily due to deferred compensation expense acce</w:t>
      </w:r>
      <w:r>
        <w:rPr>
          <w:rFonts w:ascii="Arial" w:eastAsia="宋体" w:hAnsi="Arial" w:cs="Arial"/>
          <w:color w:val="000000"/>
          <w:sz w:val="20"/>
          <w:szCs w:val="20"/>
        </w:rPr>
        <w:t>leration of $147 million associated with an amendment of the terms of certain outstanding deferred cash incentive compensation awards. This amendment removes continued service requirements for deferred cash incentive awards, thereby accelerating the future</w:t>
      </w:r>
      <w:r>
        <w:rPr>
          <w:rFonts w:ascii="Arial" w:eastAsia="宋体" w:hAnsi="Arial" w:cs="Arial"/>
          <w:color w:val="000000"/>
          <w:sz w:val="20"/>
          <w:szCs w:val="20"/>
        </w:rPr>
        <w:t xml:space="preserve"> expense that would have been recognized over the remaining term of the awards (1 to 4 years, depending on the award) had the continued service requirement not been removed. The deferred portion of many of our bonus-eligible employees' total compensation h</w:t>
      </w:r>
      <w:r>
        <w:rPr>
          <w:rFonts w:ascii="Arial" w:eastAsia="宋体" w:hAnsi="Arial" w:cs="Arial"/>
          <w:color w:val="000000"/>
          <w:sz w:val="20"/>
          <w:szCs w:val="20"/>
        </w:rPr>
        <w:t>ad become disproportionate relative to our peer organizations. The expense that would otherwise have been associated with the amended awards will no longer be reflected in future periods. To make our pay practices more competitive, the acceleration is part</w:t>
      </w:r>
      <w:r>
        <w:rPr>
          <w:rFonts w:ascii="Arial" w:eastAsia="宋体" w:hAnsi="Arial" w:cs="Arial"/>
          <w:color w:val="000000"/>
          <w:sz w:val="20"/>
          <w:szCs w:val="20"/>
        </w:rPr>
        <w:t xml:space="preserve"> of a plan to increase the immediate cash versus the deferred portion of total cash incentive compensation in future periods, which cash incentive compensation will be reflected in compensation and employee benefits expenses in those periods. The expense i</w:t>
      </w:r>
      <w:r>
        <w:rPr>
          <w:rFonts w:ascii="Arial" w:eastAsia="宋体" w:hAnsi="Arial" w:cs="Arial"/>
          <w:color w:val="000000"/>
          <w:sz w:val="20"/>
          <w:szCs w:val="20"/>
        </w:rPr>
        <w:t>mpact of future immediate and deferred incentive compensation awards will depend upon corporate performance and market, regulatory, and other factors and conditions, including the amount and form of those awards. The change did not affect deferred equity-s</w:t>
      </w:r>
      <w:r>
        <w:rPr>
          <w:rFonts w:ascii="Arial" w:eastAsia="宋体" w:hAnsi="Arial" w:cs="Arial"/>
          <w:color w:val="000000"/>
          <w:sz w:val="20"/>
          <w:szCs w:val="20"/>
        </w:rPr>
        <w:t>ettled incentive compensation awards (which, in the aggregate, represent a majority of the outstanding deferred compensation awards for the relevant employees), and we expect that future deferred cash-settled incentive compensation awards will retain a con</w:t>
      </w:r>
      <w:r>
        <w:rPr>
          <w:rFonts w:ascii="Arial" w:eastAsia="宋体" w:hAnsi="Arial" w:cs="Arial"/>
          <w:color w:val="000000"/>
          <w:sz w:val="20"/>
          <w:szCs w:val="20"/>
        </w:rPr>
        <w:t>tinued service requirement.</w:t>
      </w:r>
    </w:p>
    <w:p w14:paraId="5F2CBA29" w14:textId="77777777" w:rsidR="00E836FB" w:rsidRDefault="00994958">
      <w:pPr>
        <w:spacing w:before="60"/>
        <w:ind w:firstLine="450"/>
        <w:jc w:val="both"/>
        <w:textAlignment w:val="top"/>
      </w:pPr>
      <w:r>
        <w:rPr>
          <w:rFonts w:ascii="Arial" w:eastAsia="宋体" w:hAnsi="Arial" w:cs="Arial"/>
          <w:color w:val="000000"/>
          <w:sz w:val="20"/>
          <w:szCs w:val="20"/>
        </w:rPr>
        <w:t>Total headcount decreased 2% as of December 31, 2021 compared to December 31, 2020, primarily driven by a reduction in high cost locations, partially offset by hiring in global hubs.</w:t>
      </w:r>
    </w:p>
    <w:p w14:paraId="5F2CBA2A" w14:textId="77777777" w:rsidR="00E836FB" w:rsidRDefault="00994958">
      <w:pPr>
        <w:spacing w:before="60"/>
        <w:ind w:firstLine="450"/>
        <w:jc w:val="both"/>
        <w:textAlignment w:val="top"/>
      </w:pPr>
      <w:r>
        <w:rPr>
          <w:rFonts w:ascii="Arial" w:eastAsia="宋体" w:hAnsi="Arial" w:cs="Arial"/>
          <w:color w:val="000000"/>
          <w:sz w:val="20"/>
          <w:szCs w:val="20"/>
        </w:rPr>
        <w:t>Information systems and communications expens</w:t>
      </w:r>
      <w:r>
        <w:rPr>
          <w:rFonts w:ascii="Arial" w:eastAsia="宋体" w:hAnsi="Arial" w:cs="Arial"/>
          <w:color w:val="000000"/>
          <w:sz w:val="20"/>
          <w:szCs w:val="20"/>
        </w:rPr>
        <w:t xml:space="preserve">es increased 7% in 2021 compared to 2020, </w:t>
      </w:r>
    </w:p>
    <w:p w14:paraId="5F2CBA2B" w14:textId="77777777" w:rsidR="00E836FB" w:rsidRDefault="00994958">
      <w:pPr>
        <w:ind w:firstLine="450"/>
        <w:jc w:val="right"/>
      </w:pPr>
      <w:r>
        <w:rPr>
          <w:rFonts w:ascii="Arial" w:eastAsia="宋体" w:hAnsi="Arial" w:cs="Arial"/>
          <w:color w:val="000000"/>
          <w:sz w:val="18"/>
          <w:szCs w:val="18"/>
        </w:rPr>
        <w:t>State Street Corporation | 73</w:t>
      </w:r>
    </w:p>
    <w:p w14:paraId="5F2CBA2C" w14:textId="77777777" w:rsidR="00E836FB" w:rsidRDefault="00E836FB">
      <w:pPr>
        <w:ind w:firstLine="450"/>
        <w:jc w:val="center"/>
      </w:pPr>
    </w:p>
    <w:p w14:paraId="5F2CBA2D" w14:textId="77777777" w:rsidR="00E836FB" w:rsidRDefault="00994958">
      <w:r>
        <w:pict w14:anchorId="5F2D6DCE">
          <v:rect id="_x0000_i1097" style="width:415.3pt;height:1.5pt" o:hralign="center" o:hrstd="t" o:hr="t" fillcolor="#a0a0a0" stroked="f"/>
        </w:pict>
      </w:r>
    </w:p>
    <w:p w14:paraId="5F2CBA2E"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A2F" w14:textId="77777777" w:rsidR="00E836FB" w:rsidRDefault="00994958">
      <w:pPr>
        <w:ind w:firstLine="450"/>
        <w:jc w:val="center"/>
      </w:pPr>
      <w:r>
        <w:rPr>
          <w:rFonts w:ascii="Arial" w:eastAsia="宋体" w:hAnsi="Arial" w:cs="Arial"/>
          <w:b/>
          <w:bCs/>
          <w:color w:val="000000"/>
          <w:sz w:val="20"/>
          <w:szCs w:val="20"/>
        </w:rPr>
        <w:t>AND RESULTS OF OPERATIONS</w:t>
      </w:r>
    </w:p>
    <w:p w14:paraId="5F2CBA30" w14:textId="77777777" w:rsidR="00E836FB" w:rsidRDefault="00994958">
      <w:pPr>
        <w:spacing w:before="60"/>
        <w:jc w:val="both"/>
        <w:textAlignment w:val="top"/>
      </w:pPr>
      <w:r>
        <w:rPr>
          <w:rFonts w:ascii="Arial" w:eastAsia="宋体" w:hAnsi="Arial" w:cs="Arial"/>
          <w:color w:val="000000"/>
          <w:sz w:val="20"/>
          <w:szCs w:val="20"/>
        </w:rPr>
        <w:t xml:space="preserve">primarily due to higher technology infrastructure investments and equipment expenses. </w:t>
      </w:r>
    </w:p>
    <w:p w14:paraId="5F2CBA31" w14:textId="77777777" w:rsidR="00E836FB" w:rsidRDefault="00994958">
      <w:pPr>
        <w:spacing w:before="60"/>
        <w:ind w:firstLine="450"/>
        <w:jc w:val="both"/>
        <w:textAlignment w:val="top"/>
      </w:pPr>
      <w:r>
        <w:rPr>
          <w:rFonts w:ascii="Arial" w:eastAsia="宋体" w:hAnsi="Arial" w:cs="Arial"/>
          <w:color w:val="000000"/>
          <w:sz w:val="20"/>
          <w:szCs w:val="20"/>
        </w:rPr>
        <w:t>Transaction processing services expenses increased 5% in 2021 compared to 2020, primarily due to higher sub-custody costs and higher broker fees.</w:t>
      </w:r>
    </w:p>
    <w:p w14:paraId="5F2CBA32" w14:textId="77777777" w:rsidR="00E836FB" w:rsidRDefault="00994958">
      <w:pPr>
        <w:spacing w:before="60"/>
        <w:ind w:firstLine="450"/>
        <w:jc w:val="both"/>
        <w:textAlignment w:val="top"/>
      </w:pPr>
      <w:r>
        <w:rPr>
          <w:rFonts w:ascii="Arial" w:eastAsia="宋体" w:hAnsi="Arial" w:cs="Arial"/>
          <w:color w:val="000000"/>
          <w:sz w:val="20"/>
          <w:szCs w:val="20"/>
        </w:rPr>
        <w:t>Occupancy expenses decr</w:t>
      </w:r>
      <w:r>
        <w:rPr>
          <w:rFonts w:ascii="Arial" w:eastAsia="宋体" w:hAnsi="Arial" w:cs="Arial"/>
          <w:color w:val="000000"/>
          <w:sz w:val="20"/>
          <w:szCs w:val="20"/>
        </w:rPr>
        <w:t xml:space="preserve">eased 9% in 2021 compared 2020, primarily due to footprint optimization. </w:t>
      </w:r>
    </w:p>
    <w:p w14:paraId="5F2CBA33" w14:textId="77777777" w:rsidR="00E836FB" w:rsidRDefault="00994958">
      <w:pPr>
        <w:spacing w:before="60"/>
        <w:ind w:firstLine="450"/>
        <w:jc w:val="both"/>
        <w:textAlignment w:val="top"/>
      </w:pPr>
      <w:r>
        <w:rPr>
          <w:rFonts w:ascii="Arial" w:eastAsia="宋体" w:hAnsi="Arial" w:cs="Arial"/>
          <w:color w:val="000000"/>
          <w:sz w:val="20"/>
          <w:szCs w:val="20"/>
        </w:rPr>
        <w:t>Amortization of other intangible assets increased 5% in 2021 compared to 2020, primarily due to the acquisition in the first quarter of 2021 of the depository bank and fund administr</w:t>
      </w:r>
      <w:r>
        <w:rPr>
          <w:rFonts w:ascii="Arial" w:eastAsia="宋体" w:hAnsi="Arial" w:cs="Arial"/>
          <w:color w:val="000000"/>
          <w:sz w:val="20"/>
          <w:szCs w:val="20"/>
        </w:rPr>
        <w:t>ator activities of Fideuram Bank Luxembourg, a subsidiary of Intesa Sanpaolo.</w:t>
      </w:r>
    </w:p>
    <w:p w14:paraId="5F2CBA34" w14:textId="77777777" w:rsidR="00E836FB" w:rsidRDefault="00994958">
      <w:pPr>
        <w:spacing w:before="60"/>
        <w:ind w:firstLine="450"/>
        <w:jc w:val="both"/>
        <w:textAlignment w:val="top"/>
      </w:pPr>
      <w:r>
        <w:rPr>
          <w:rFonts w:ascii="Arial" w:eastAsia="宋体" w:hAnsi="Arial" w:cs="Arial"/>
          <w:color w:val="000000"/>
          <w:sz w:val="20"/>
          <w:szCs w:val="20"/>
        </w:rPr>
        <w:t>Other expenses decreased 7% in 2021 compared to 2020, primarily driven by lower professional services, securities processing losses and travel costs.</w:t>
      </w:r>
    </w:p>
    <w:p w14:paraId="5F2CBA35" w14:textId="77777777" w:rsidR="00E836FB" w:rsidRDefault="00994958">
      <w:pPr>
        <w:spacing w:before="60"/>
        <w:textAlignment w:val="top"/>
      </w:pPr>
      <w:r>
        <w:rPr>
          <w:rFonts w:ascii="Arial" w:eastAsia="宋体" w:hAnsi="Arial" w:cs="Arial"/>
          <w:b/>
          <w:bCs/>
          <w:i/>
          <w:iCs/>
          <w:color w:val="000000"/>
          <w:sz w:val="20"/>
          <w:szCs w:val="20"/>
        </w:rPr>
        <w:t>Acquisition Costs</w:t>
      </w:r>
    </w:p>
    <w:p w14:paraId="5F2CBA36" w14:textId="77777777" w:rsidR="00E836FB" w:rsidRDefault="00994958">
      <w:pPr>
        <w:spacing w:before="60"/>
        <w:ind w:firstLine="450"/>
        <w:jc w:val="both"/>
        <w:textAlignment w:val="top"/>
      </w:pPr>
      <w:r>
        <w:rPr>
          <w:rFonts w:ascii="Arial" w:eastAsia="宋体" w:hAnsi="Arial" w:cs="Arial"/>
          <w:color w:val="000000"/>
          <w:sz w:val="20"/>
          <w:szCs w:val="20"/>
        </w:rPr>
        <w:t>We recorde</w:t>
      </w:r>
      <w:r>
        <w:rPr>
          <w:rFonts w:ascii="Arial" w:eastAsia="宋体" w:hAnsi="Arial" w:cs="Arial"/>
          <w:color w:val="000000"/>
          <w:sz w:val="20"/>
          <w:szCs w:val="20"/>
        </w:rPr>
        <w:t>d approximately $53 million of acquisition costs in 2021, compared to $54 million in 2020 and $79 million in 2019, related to our acquisition of CRD. As of December 31, 2021, we have incurred a total of $217 million of acquisition costs related to CRD. Sta</w:t>
      </w:r>
      <w:r>
        <w:rPr>
          <w:rFonts w:ascii="Arial" w:eastAsia="宋体" w:hAnsi="Arial" w:cs="Arial"/>
          <w:color w:val="000000"/>
          <w:sz w:val="20"/>
          <w:szCs w:val="20"/>
        </w:rPr>
        <w:t>rting in 2022, we will no longer distinguish certain CRD costs as acquisition costs.</w:t>
      </w:r>
    </w:p>
    <w:p w14:paraId="5F2CBA37" w14:textId="77777777" w:rsidR="00E836FB" w:rsidRDefault="00994958">
      <w:pPr>
        <w:spacing w:before="60"/>
        <w:ind w:firstLine="450"/>
        <w:jc w:val="both"/>
        <w:textAlignment w:val="top"/>
      </w:pPr>
      <w:r>
        <w:rPr>
          <w:rFonts w:ascii="Arial" w:eastAsia="宋体" w:hAnsi="Arial" w:cs="Arial"/>
          <w:color w:val="000000"/>
          <w:sz w:val="20"/>
          <w:szCs w:val="20"/>
        </w:rPr>
        <w:t>In addition, we recorded approximately $13 million of acquisition costs in 2021 related to our planned acquisition of the BBH Investor Services business. We expect to incu</w:t>
      </w:r>
      <w:r>
        <w:rPr>
          <w:rFonts w:ascii="Arial" w:eastAsia="宋体" w:hAnsi="Arial" w:cs="Arial"/>
          <w:color w:val="000000"/>
          <w:sz w:val="20"/>
          <w:szCs w:val="20"/>
        </w:rPr>
        <w:t>r up to approximately $590 million of total acquisition and integration costs related to the acquisition through the third year following its closing.</w:t>
      </w:r>
    </w:p>
    <w:p w14:paraId="5F2CBA38" w14:textId="77777777" w:rsidR="00E836FB" w:rsidRDefault="00994958">
      <w:pPr>
        <w:spacing w:before="60"/>
        <w:jc w:val="both"/>
        <w:textAlignment w:val="top"/>
      </w:pPr>
      <w:r>
        <w:rPr>
          <w:rFonts w:ascii="Arial" w:eastAsia="宋体" w:hAnsi="Arial" w:cs="Arial"/>
          <w:b/>
          <w:bCs/>
          <w:i/>
          <w:iCs/>
          <w:color w:val="000000"/>
          <w:sz w:val="20"/>
          <w:szCs w:val="20"/>
        </w:rPr>
        <w:t>Restructuring and Repositioning Charges</w:t>
      </w:r>
    </w:p>
    <w:p w14:paraId="5F2CBA39" w14:textId="77777777" w:rsidR="00E836FB" w:rsidRDefault="00994958">
      <w:pPr>
        <w:spacing w:before="60"/>
        <w:jc w:val="both"/>
        <w:textAlignment w:val="top"/>
      </w:pPr>
      <w:r>
        <w:rPr>
          <w:rFonts w:ascii="Arial" w:eastAsia="宋体" w:hAnsi="Arial" w:cs="Arial"/>
          <w:i/>
          <w:iCs/>
          <w:color w:val="000000"/>
          <w:sz w:val="20"/>
          <w:szCs w:val="20"/>
        </w:rPr>
        <w:t>Repositioning Charges</w:t>
      </w:r>
    </w:p>
    <w:p w14:paraId="5F2CBA3A" w14:textId="77777777" w:rsidR="00E836FB" w:rsidRDefault="00994958">
      <w:pPr>
        <w:spacing w:before="60"/>
        <w:ind w:firstLine="450"/>
        <w:jc w:val="both"/>
        <w:textAlignment w:val="top"/>
      </w:pPr>
      <w:r>
        <w:rPr>
          <w:rFonts w:ascii="Arial" w:eastAsia="宋体" w:hAnsi="Arial" w:cs="Arial"/>
          <w:color w:val="000000"/>
          <w:sz w:val="20"/>
          <w:szCs w:val="20"/>
        </w:rPr>
        <w:t xml:space="preserve">Expenses for 2021 included a net </w:t>
      </w:r>
      <w:r>
        <w:rPr>
          <w:rFonts w:ascii="Arial" w:eastAsia="宋体" w:hAnsi="Arial" w:cs="Arial"/>
          <w:color w:val="000000"/>
          <w:sz w:val="20"/>
          <w:szCs w:val="20"/>
        </w:rPr>
        <w:t>repositioning release of $3 million, consisting of a $32 million release of previously accrued severance charges, primarily due to higher attrition and redeployment rates during the COVID-19 pandemic, partially offset by $29 million of occupancy charges re</w:t>
      </w:r>
      <w:r>
        <w:rPr>
          <w:rFonts w:ascii="Arial" w:eastAsia="宋体" w:hAnsi="Arial" w:cs="Arial"/>
          <w:color w:val="000000"/>
          <w:sz w:val="20"/>
          <w:szCs w:val="20"/>
        </w:rPr>
        <w:t>lated to footprint optimization. Total repositioning charges were $133 million in 2020.</w:t>
      </w:r>
    </w:p>
    <w:p w14:paraId="5F2CBA3B"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table presents aggregate activity for repositioning charges and activity related to previous Beacon restructuring charges for the periods </w:t>
      </w:r>
    </w:p>
    <w:p w14:paraId="5F2CBA3C" w14:textId="77777777" w:rsidR="00E836FB" w:rsidRDefault="00994958">
      <w:pPr>
        <w:spacing w:before="60"/>
        <w:jc w:val="both"/>
        <w:textAlignment w:val="top"/>
      </w:pPr>
      <w:r>
        <w:rPr>
          <w:rFonts w:ascii="Arial" w:eastAsia="宋体" w:hAnsi="Arial" w:cs="Arial"/>
          <w:color w:val="000000"/>
          <w:sz w:val="20"/>
          <w:szCs w:val="20"/>
        </w:rPr>
        <w:t>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480"/>
        <w:gridCol w:w="39"/>
        <w:gridCol w:w="99"/>
        <w:gridCol w:w="1140"/>
        <w:gridCol w:w="37"/>
        <w:gridCol w:w="36"/>
        <w:gridCol w:w="37"/>
        <w:gridCol w:w="36"/>
        <w:gridCol w:w="99"/>
        <w:gridCol w:w="1115"/>
        <w:gridCol w:w="37"/>
        <w:gridCol w:w="36"/>
        <w:gridCol w:w="37"/>
        <w:gridCol w:w="36"/>
        <w:gridCol w:w="152"/>
        <w:gridCol w:w="152"/>
        <w:gridCol w:w="152"/>
        <w:gridCol w:w="36"/>
        <w:gridCol w:w="36"/>
        <w:gridCol w:w="36"/>
        <w:gridCol w:w="99"/>
        <w:gridCol w:w="1166"/>
        <w:gridCol w:w="36"/>
        <w:gridCol w:w="36"/>
        <w:gridCol w:w="38"/>
        <w:gridCol w:w="36"/>
        <w:gridCol w:w="98"/>
        <w:gridCol w:w="923"/>
        <w:gridCol w:w="36"/>
      </w:tblGrid>
      <w:tr w:rsidR="00E836FB" w14:paraId="5F2CBA59" w14:textId="77777777">
        <w:tc>
          <w:tcPr>
            <w:tcW w:w="50" w:type="pct"/>
            <w:shd w:val="clear" w:color="auto" w:fill="auto"/>
            <w:vAlign w:val="bottom"/>
          </w:tcPr>
          <w:p w14:paraId="5F2CBA3D" w14:textId="77777777" w:rsidR="00E836FB" w:rsidRDefault="00E836FB">
            <w:pPr>
              <w:rPr>
                <w:rFonts w:ascii="宋体"/>
              </w:rPr>
            </w:pPr>
          </w:p>
        </w:tc>
        <w:tc>
          <w:tcPr>
            <w:tcW w:w="1627" w:type="pct"/>
            <w:shd w:val="clear" w:color="auto" w:fill="auto"/>
            <w:vAlign w:val="bottom"/>
          </w:tcPr>
          <w:p w14:paraId="5F2CBA3E" w14:textId="77777777" w:rsidR="00E836FB" w:rsidRDefault="00E836FB">
            <w:pPr>
              <w:rPr>
                <w:rFonts w:ascii="宋体"/>
              </w:rPr>
            </w:pPr>
          </w:p>
        </w:tc>
        <w:tc>
          <w:tcPr>
            <w:tcW w:w="5" w:type="pct"/>
            <w:shd w:val="clear" w:color="auto" w:fill="auto"/>
            <w:vAlign w:val="bottom"/>
          </w:tcPr>
          <w:p w14:paraId="5F2CBA3F" w14:textId="77777777" w:rsidR="00E836FB" w:rsidRDefault="00E836FB">
            <w:pPr>
              <w:rPr>
                <w:rFonts w:ascii="宋体"/>
              </w:rPr>
            </w:pPr>
          </w:p>
        </w:tc>
        <w:tc>
          <w:tcPr>
            <w:tcW w:w="50" w:type="pct"/>
            <w:shd w:val="clear" w:color="auto" w:fill="auto"/>
            <w:vAlign w:val="bottom"/>
          </w:tcPr>
          <w:p w14:paraId="5F2CBA40" w14:textId="77777777" w:rsidR="00E836FB" w:rsidRDefault="00E836FB">
            <w:pPr>
              <w:rPr>
                <w:rFonts w:ascii="宋体"/>
              </w:rPr>
            </w:pPr>
          </w:p>
        </w:tc>
        <w:tc>
          <w:tcPr>
            <w:tcW w:w="762" w:type="pct"/>
            <w:shd w:val="clear" w:color="auto" w:fill="auto"/>
            <w:vAlign w:val="bottom"/>
          </w:tcPr>
          <w:p w14:paraId="5F2CBA41" w14:textId="77777777" w:rsidR="00E836FB" w:rsidRDefault="00E836FB">
            <w:pPr>
              <w:rPr>
                <w:rFonts w:ascii="宋体"/>
              </w:rPr>
            </w:pPr>
          </w:p>
        </w:tc>
        <w:tc>
          <w:tcPr>
            <w:tcW w:w="5" w:type="pct"/>
            <w:shd w:val="clear" w:color="auto" w:fill="auto"/>
            <w:vAlign w:val="bottom"/>
          </w:tcPr>
          <w:p w14:paraId="5F2CBA42" w14:textId="77777777" w:rsidR="00E836FB" w:rsidRDefault="00E836FB">
            <w:pPr>
              <w:rPr>
                <w:rFonts w:ascii="宋体"/>
              </w:rPr>
            </w:pPr>
          </w:p>
        </w:tc>
        <w:tc>
          <w:tcPr>
            <w:tcW w:w="5" w:type="pct"/>
            <w:shd w:val="clear" w:color="auto" w:fill="auto"/>
            <w:vAlign w:val="bottom"/>
          </w:tcPr>
          <w:p w14:paraId="5F2CBA43" w14:textId="77777777" w:rsidR="00E836FB" w:rsidRDefault="00E836FB">
            <w:pPr>
              <w:rPr>
                <w:rFonts w:ascii="宋体"/>
              </w:rPr>
            </w:pPr>
          </w:p>
        </w:tc>
        <w:tc>
          <w:tcPr>
            <w:tcW w:w="52" w:type="pct"/>
            <w:shd w:val="clear" w:color="auto" w:fill="auto"/>
            <w:vAlign w:val="bottom"/>
          </w:tcPr>
          <w:p w14:paraId="5F2CBA44" w14:textId="77777777" w:rsidR="00E836FB" w:rsidRDefault="00E836FB">
            <w:pPr>
              <w:rPr>
                <w:rFonts w:ascii="宋体"/>
              </w:rPr>
            </w:pPr>
          </w:p>
        </w:tc>
        <w:tc>
          <w:tcPr>
            <w:tcW w:w="5" w:type="pct"/>
            <w:shd w:val="clear" w:color="auto" w:fill="auto"/>
            <w:vAlign w:val="bottom"/>
          </w:tcPr>
          <w:p w14:paraId="5F2CBA45" w14:textId="77777777" w:rsidR="00E836FB" w:rsidRDefault="00E836FB">
            <w:pPr>
              <w:rPr>
                <w:rFonts w:ascii="宋体"/>
              </w:rPr>
            </w:pPr>
          </w:p>
        </w:tc>
        <w:tc>
          <w:tcPr>
            <w:tcW w:w="50" w:type="pct"/>
            <w:shd w:val="clear" w:color="auto" w:fill="auto"/>
            <w:vAlign w:val="bottom"/>
          </w:tcPr>
          <w:p w14:paraId="5F2CBA46" w14:textId="77777777" w:rsidR="00E836FB" w:rsidRDefault="00E836FB">
            <w:pPr>
              <w:rPr>
                <w:rFonts w:ascii="宋体"/>
              </w:rPr>
            </w:pPr>
          </w:p>
        </w:tc>
        <w:tc>
          <w:tcPr>
            <w:tcW w:w="746" w:type="pct"/>
            <w:shd w:val="clear" w:color="auto" w:fill="auto"/>
            <w:vAlign w:val="bottom"/>
          </w:tcPr>
          <w:p w14:paraId="5F2CBA47" w14:textId="77777777" w:rsidR="00E836FB" w:rsidRDefault="00E836FB">
            <w:pPr>
              <w:rPr>
                <w:rFonts w:ascii="宋体"/>
              </w:rPr>
            </w:pPr>
          </w:p>
        </w:tc>
        <w:tc>
          <w:tcPr>
            <w:tcW w:w="5" w:type="pct"/>
            <w:shd w:val="clear" w:color="auto" w:fill="auto"/>
            <w:vAlign w:val="bottom"/>
          </w:tcPr>
          <w:p w14:paraId="5F2CBA48" w14:textId="77777777" w:rsidR="00E836FB" w:rsidRDefault="00E836FB">
            <w:pPr>
              <w:rPr>
                <w:rFonts w:ascii="宋体"/>
              </w:rPr>
            </w:pPr>
          </w:p>
        </w:tc>
        <w:tc>
          <w:tcPr>
            <w:tcW w:w="5" w:type="pct"/>
            <w:shd w:val="clear" w:color="auto" w:fill="auto"/>
            <w:vAlign w:val="bottom"/>
          </w:tcPr>
          <w:p w14:paraId="5F2CBA49" w14:textId="77777777" w:rsidR="00E836FB" w:rsidRDefault="00E836FB">
            <w:pPr>
              <w:rPr>
                <w:rFonts w:ascii="宋体"/>
              </w:rPr>
            </w:pPr>
          </w:p>
        </w:tc>
        <w:tc>
          <w:tcPr>
            <w:tcW w:w="52" w:type="pct"/>
            <w:shd w:val="clear" w:color="auto" w:fill="auto"/>
            <w:vAlign w:val="bottom"/>
          </w:tcPr>
          <w:p w14:paraId="5F2CBA4A" w14:textId="77777777" w:rsidR="00E836FB" w:rsidRDefault="00E836FB">
            <w:pPr>
              <w:rPr>
                <w:rFonts w:ascii="宋体"/>
              </w:rPr>
            </w:pPr>
          </w:p>
        </w:tc>
        <w:tc>
          <w:tcPr>
            <w:tcW w:w="5" w:type="pct"/>
            <w:shd w:val="clear" w:color="auto" w:fill="auto"/>
            <w:vAlign w:val="bottom"/>
          </w:tcPr>
          <w:p w14:paraId="5F2CBA4B" w14:textId="77777777" w:rsidR="00E836FB" w:rsidRDefault="00E836FB">
            <w:pPr>
              <w:rPr>
                <w:rFonts w:ascii="宋体"/>
              </w:rPr>
            </w:pPr>
          </w:p>
        </w:tc>
        <w:tc>
          <w:tcPr>
            <w:tcW w:w="0" w:type="auto"/>
            <w:shd w:val="clear" w:color="auto" w:fill="auto"/>
            <w:vAlign w:val="bottom"/>
          </w:tcPr>
          <w:p w14:paraId="5F2CBA4C" w14:textId="77777777" w:rsidR="00E836FB" w:rsidRDefault="00E836FB">
            <w:pPr>
              <w:rPr>
                <w:rFonts w:ascii="宋体"/>
                <w:vanish/>
              </w:rPr>
            </w:pPr>
          </w:p>
        </w:tc>
        <w:tc>
          <w:tcPr>
            <w:tcW w:w="0" w:type="auto"/>
            <w:shd w:val="clear" w:color="auto" w:fill="auto"/>
            <w:vAlign w:val="bottom"/>
          </w:tcPr>
          <w:p w14:paraId="5F2CBA4D" w14:textId="77777777" w:rsidR="00E836FB" w:rsidRDefault="00E836FB">
            <w:pPr>
              <w:rPr>
                <w:rFonts w:ascii="宋体"/>
                <w:vanish/>
              </w:rPr>
            </w:pPr>
          </w:p>
        </w:tc>
        <w:tc>
          <w:tcPr>
            <w:tcW w:w="0" w:type="auto"/>
            <w:shd w:val="clear" w:color="auto" w:fill="auto"/>
            <w:vAlign w:val="bottom"/>
          </w:tcPr>
          <w:p w14:paraId="5F2CBA4E" w14:textId="77777777" w:rsidR="00E836FB" w:rsidRDefault="00E836FB">
            <w:pPr>
              <w:rPr>
                <w:rFonts w:ascii="宋体"/>
                <w:vanish/>
              </w:rPr>
            </w:pPr>
          </w:p>
        </w:tc>
        <w:tc>
          <w:tcPr>
            <w:tcW w:w="0" w:type="auto"/>
            <w:gridSpan w:val="3"/>
            <w:shd w:val="clear" w:color="auto" w:fill="auto"/>
            <w:vAlign w:val="bottom"/>
          </w:tcPr>
          <w:p w14:paraId="5F2CBA4F" w14:textId="77777777" w:rsidR="00E836FB" w:rsidRDefault="00E836FB">
            <w:pPr>
              <w:rPr>
                <w:rFonts w:ascii="宋体"/>
                <w:vanish/>
              </w:rPr>
            </w:pPr>
          </w:p>
        </w:tc>
        <w:tc>
          <w:tcPr>
            <w:tcW w:w="50" w:type="pct"/>
            <w:shd w:val="clear" w:color="auto" w:fill="auto"/>
            <w:vAlign w:val="bottom"/>
          </w:tcPr>
          <w:p w14:paraId="5F2CBA50" w14:textId="77777777" w:rsidR="00E836FB" w:rsidRDefault="00E836FB">
            <w:pPr>
              <w:rPr>
                <w:rFonts w:ascii="宋体"/>
              </w:rPr>
            </w:pPr>
          </w:p>
        </w:tc>
        <w:tc>
          <w:tcPr>
            <w:tcW w:w="778" w:type="pct"/>
            <w:shd w:val="clear" w:color="auto" w:fill="auto"/>
            <w:vAlign w:val="bottom"/>
          </w:tcPr>
          <w:p w14:paraId="5F2CBA51" w14:textId="77777777" w:rsidR="00E836FB" w:rsidRDefault="00E836FB">
            <w:pPr>
              <w:rPr>
                <w:rFonts w:ascii="宋体"/>
              </w:rPr>
            </w:pPr>
          </w:p>
        </w:tc>
        <w:tc>
          <w:tcPr>
            <w:tcW w:w="5" w:type="pct"/>
            <w:shd w:val="clear" w:color="auto" w:fill="auto"/>
            <w:vAlign w:val="bottom"/>
          </w:tcPr>
          <w:p w14:paraId="5F2CBA52" w14:textId="77777777" w:rsidR="00E836FB" w:rsidRDefault="00E836FB">
            <w:pPr>
              <w:rPr>
                <w:rFonts w:ascii="宋体"/>
              </w:rPr>
            </w:pPr>
          </w:p>
        </w:tc>
        <w:tc>
          <w:tcPr>
            <w:tcW w:w="5" w:type="pct"/>
            <w:shd w:val="clear" w:color="auto" w:fill="auto"/>
            <w:vAlign w:val="bottom"/>
          </w:tcPr>
          <w:p w14:paraId="5F2CBA53" w14:textId="77777777" w:rsidR="00E836FB" w:rsidRDefault="00E836FB">
            <w:pPr>
              <w:rPr>
                <w:rFonts w:ascii="宋体"/>
              </w:rPr>
            </w:pPr>
          </w:p>
        </w:tc>
        <w:tc>
          <w:tcPr>
            <w:tcW w:w="52" w:type="pct"/>
            <w:shd w:val="clear" w:color="auto" w:fill="auto"/>
            <w:vAlign w:val="bottom"/>
          </w:tcPr>
          <w:p w14:paraId="5F2CBA54" w14:textId="77777777" w:rsidR="00E836FB" w:rsidRDefault="00E836FB">
            <w:pPr>
              <w:rPr>
                <w:rFonts w:ascii="宋体"/>
              </w:rPr>
            </w:pPr>
          </w:p>
        </w:tc>
        <w:tc>
          <w:tcPr>
            <w:tcW w:w="5" w:type="pct"/>
            <w:shd w:val="clear" w:color="auto" w:fill="auto"/>
            <w:vAlign w:val="bottom"/>
          </w:tcPr>
          <w:p w14:paraId="5F2CBA55" w14:textId="77777777" w:rsidR="00E836FB" w:rsidRDefault="00E836FB">
            <w:pPr>
              <w:rPr>
                <w:rFonts w:ascii="宋体"/>
              </w:rPr>
            </w:pPr>
          </w:p>
        </w:tc>
        <w:tc>
          <w:tcPr>
            <w:tcW w:w="50" w:type="pct"/>
            <w:shd w:val="clear" w:color="auto" w:fill="auto"/>
            <w:vAlign w:val="bottom"/>
          </w:tcPr>
          <w:p w14:paraId="5F2CBA56" w14:textId="77777777" w:rsidR="00E836FB" w:rsidRDefault="00E836FB">
            <w:pPr>
              <w:rPr>
                <w:rFonts w:ascii="宋体"/>
              </w:rPr>
            </w:pPr>
          </w:p>
        </w:tc>
        <w:tc>
          <w:tcPr>
            <w:tcW w:w="621" w:type="pct"/>
            <w:shd w:val="clear" w:color="auto" w:fill="auto"/>
            <w:vAlign w:val="bottom"/>
          </w:tcPr>
          <w:p w14:paraId="5F2CBA57" w14:textId="77777777" w:rsidR="00E836FB" w:rsidRDefault="00E836FB">
            <w:pPr>
              <w:rPr>
                <w:rFonts w:ascii="宋体"/>
              </w:rPr>
            </w:pPr>
          </w:p>
        </w:tc>
        <w:tc>
          <w:tcPr>
            <w:tcW w:w="5" w:type="pct"/>
            <w:shd w:val="clear" w:color="auto" w:fill="auto"/>
            <w:vAlign w:val="bottom"/>
          </w:tcPr>
          <w:p w14:paraId="5F2CBA58" w14:textId="77777777" w:rsidR="00E836FB" w:rsidRDefault="00E836FB">
            <w:pPr>
              <w:rPr>
                <w:rFonts w:ascii="宋体"/>
              </w:rPr>
            </w:pPr>
          </w:p>
        </w:tc>
      </w:tr>
      <w:tr w:rsidR="00E836FB" w14:paraId="5F2CBA67" w14:textId="77777777">
        <w:tc>
          <w:tcPr>
            <w:tcW w:w="0" w:type="auto"/>
            <w:gridSpan w:val="18"/>
            <w:shd w:val="clear" w:color="auto" w:fill="auto"/>
            <w:tcMar>
              <w:top w:w="40" w:type="dxa"/>
              <w:left w:w="20" w:type="dxa"/>
              <w:bottom w:w="40" w:type="dxa"/>
              <w:right w:w="20" w:type="dxa"/>
            </w:tcMar>
            <w:vAlign w:val="bottom"/>
          </w:tcPr>
          <w:p w14:paraId="5F2CBA5A" w14:textId="77777777" w:rsidR="00E836FB" w:rsidRDefault="00994958">
            <w:pPr>
              <w:jc w:val="both"/>
              <w:textAlignment w:val="bottom"/>
            </w:pPr>
            <w:r>
              <w:rPr>
                <w:rFonts w:ascii="Arial" w:eastAsia="宋体" w:hAnsi="Arial" w:cs="Arial"/>
                <w:b/>
                <w:bCs/>
                <w:color w:val="000000"/>
                <w:sz w:val="16"/>
                <w:szCs w:val="16"/>
              </w:rPr>
              <w:t>TABLE 16: RESTRUCTURING AND REPOSITIONING CHARGES</w:t>
            </w:r>
          </w:p>
        </w:tc>
        <w:tc>
          <w:tcPr>
            <w:tcW w:w="0" w:type="auto"/>
            <w:shd w:val="clear" w:color="auto" w:fill="auto"/>
            <w:vAlign w:val="bottom"/>
          </w:tcPr>
          <w:p w14:paraId="5F2CBA5B" w14:textId="77777777" w:rsidR="00E836FB" w:rsidRDefault="00E836FB">
            <w:pPr>
              <w:rPr>
                <w:rFonts w:ascii="宋体"/>
              </w:rPr>
            </w:pPr>
          </w:p>
        </w:tc>
        <w:tc>
          <w:tcPr>
            <w:tcW w:w="0" w:type="auto"/>
            <w:shd w:val="clear" w:color="auto" w:fill="auto"/>
            <w:vAlign w:val="bottom"/>
          </w:tcPr>
          <w:p w14:paraId="5F2CBA5C" w14:textId="77777777" w:rsidR="00E836FB" w:rsidRDefault="00E836FB">
            <w:pPr>
              <w:rPr>
                <w:rFonts w:ascii="宋体"/>
              </w:rPr>
            </w:pPr>
          </w:p>
        </w:tc>
        <w:tc>
          <w:tcPr>
            <w:tcW w:w="0" w:type="auto"/>
            <w:shd w:val="clear" w:color="auto" w:fill="auto"/>
            <w:vAlign w:val="bottom"/>
          </w:tcPr>
          <w:p w14:paraId="5F2CBA5D" w14:textId="77777777" w:rsidR="00E836FB" w:rsidRDefault="00E836FB">
            <w:pPr>
              <w:rPr>
                <w:rFonts w:ascii="宋体"/>
              </w:rPr>
            </w:pPr>
          </w:p>
        </w:tc>
        <w:tc>
          <w:tcPr>
            <w:tcW w:w="0" w:type="auto"/>
            <w:shd w:val="clear" w:color="auto" w:fill="auto"/>
            <w:vAlign w:val="bottom"/>
          </w:tcPr>
          <w:p w14:paraId="5F2CBA5E" w14:textId="77777777" w:rsidR="00E836FB" w:rsidRDefault="00E836FB">
            <w:pPr>
              <w:rPr>
                <w:rFonts w:ascii="宋体"/>
              </w:rPr>
            </w:pPr>
          </w:p>
        </w:tc>
        <w:tc>
          <w:tcPr>
            <w:tcW w:w="0" w:type="auto"/>
            <w:shd w:val="clear" w:color="auto" w:fill="auto"/>
            <w:vAlign w:val="bottom"/>
          </w:tcPr>
          <w:p w14:paraId="5F2CBA5F" w14:textId="77777777" w:rsidR="00E836FB" w:rsidRDefault="00E836FB">
            <w:pPr>
              <w:rPr>
                <w:rFonts w:ascii="宋体"/>
              </w:rPr>
            </w:pPr>
          </w:p>
        </w:tc>
        <w:tc>
          <w:tcPr>
            <w:tcW w:w="0" w:type="auto"/>
            <w:shd w:val="clear" w:color="auto" w:fill="auto"/>
            <w:vAlign w:val="bottom"/>
          </w:tcPr>
          <w:p w14:paraId="5F2CBA60" w14:textId="77777777" w:rsidR="00E836FB" w:rsidRDefault="00E836FB">
            <w:pPr>
              <w:rPr>
                <w:rFonts w:ascii="宋体"/>
              </w:rPr>
            </w:pPr>
          </w:p>
        </w:tc>
        <w:tc>
          <w:tcPr>
            <w:tcW w:w="0" w:type="auto"/>
            <w:shd w:val="clear" w:color="auto" w:fill="auto"/>
            <w:vAlign w:val="bottom"/>
          </w:tcPr>
          <w:p w14:paraId="5F2CBA61" w14:textId="77777777" w:rsidR="00E836FB" w:rsidRDefault="00E836FB">
            <w:pPr>
              <w:rPr>
                <w:rFonts w:ascii="宋体"/>
              </w:rPr>
            </w:pPr>
          </w:p>
        </w:tc>
        <w:tc>
          <w:tcPr>
            <w:tcW w:w="0" w:type="auto"/>
            <w:shd w:val="clear" w:color="auto" w:fill="auto"/>
            <w:vAlign w:val="bottom"/>
          </w:tcPr>
          <w:p w14:paraId="5F2CBA62" w14:textId="77777777" w:rsidR="00E836FB" w:rsidRDefault="00E836FB">
            <w:pPr>
              <w:rPr>
                <w:rFonts w:ascii="宋体"/>
              </w:rPr>
            </w:pPr>
          </w:p>
        </w:tc>
        <w:tc>
          <w:tcPr>
            <w:tcW w:w="0" w:type="auto"/>
            <w:shd w:val="clear" w:color="auto" w:fill="auto"/>
            <w:vAlign w:val="bottom"/>
          </w:tcPr>
          <w:p w14:paraId="5F2CBA63" w14:textId="77777777" w:rsidR="00E836FB" w:rsidRDefault="00E836FB">
            <w:pPr>
              <w:rPr>
                <w:rFonts w:ascii="宋体"/>
              </w:rPr>
            </w:pPr>
          </w:p>
        </w:tc>
        <w:tc>
          <w:tcPr>
            <w:tcW w:w="0" w:type="auto"/>
            <w:shd w:val="clear" w:color="auto" w:fill="auto"/>
            <w:vAlign w:val="bottom"/>
          </w:tcPr>
          <w:p w14:paraId="5F2CBA64" w14:textId="77777777" w:rsidR="00E836FB" w:rsidRDefault="00E836FB">
            <w:pPr>
              <w:rPr>
                <w:rFonts w:ascii="宋体"/>
              </w:rPr>
            </w:pPr>
          </w:p>
        </w:tc>
        <w:tc>
          <w:tcPr>
            <w:tcW w:w="0" w:type="auto"/>
            <w:shd w:val="clear" w:color="auto" w:fill="auto"/>
            <w:vAlign w:val="bottom"/>
          </w:tcPr>
          <w:p w14:paraId="5F2CBA65" w14:textId="77777777" w:rsidR="00E836FB" w:rsidRDefault="00E836FB">
            <w:pPr>
              <w:rPr>
                <w:rFonts w:ascii="宋体"/>
              </w:rPr>
            </w:pPr>
          </w:p>
        </w:tc>
        <w:tc>
          <w:tcPr>
            <w:tcW w:w="0" w:type="auto"/>
            <w:shd w:val="clear" w:color="auto" w:fill="auto"/>
            <w:vAlign w:val="bottom"/>
          </w:tcPr>
          <w:p w14:paraId="5F2CBA66" w14:textId="77777777" w:rsidR="00E836FB" w:rsidRDefault="00E836FB">
            <w:pPr>
              <w:rPr>
                <w:rFonts w:ascii="宋体"/>
              </w:rPr>
            </w:pPr>
          </w:p>
        </w:tc>
      </w:tr>
      <w:tr w:rsidR="00E836FB" w14:paraId="5F2CBA74" w14:textId="77777777">
        <w:tc>
          <w:tcPr>
            <w:tcW w:w="0" w:type="auto"/>
            <w:gridSpan w:val="3"/>
            <w:shd w:val="clear" w:color="auto" w:fill="auto"/>
            <w:tcMar>
              <w:top w:w="40" w:type="dxa"/>
              <w:left w:w="20" w:type="dxa"/>
              <w:bottom w:w="40" w:type="dxa"/>
              <w:right w:w="20" w:type="dxa"/>
            </w:tcMar>
            <w:vAlign w:val="bottom"/>
          </w:tcPr>
          <w:p w14:paraId="5F2CBA68"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CBA69" w14:textId="77777777" w:rsidR="00E836FB" w:rsidRDefault="00994958">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5F2CBA6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BA6B" w14:textId="77777777" w:rsidR="00E836FB" w:rsidRDefault="00994958">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vAlign w:val="bottom"/>
          </w:tcPr>
          <w:p w14:paraId="5F2CBA6C" w14:textId="77777777" w:rsidR="00E836FB" w:rsidRDefault="00E836FB">
            <w:pPr>
              <w:rPr>
                <w:rFonts w:ascii="宋体"/>
              </w:rPr>
            </w:pPr>
          </w:p>
        </w:tc>
        <w:tc>
          <w:tcPr>
            <w:tcW w:w="0" w:type="auto"/>
            <w:shd w:val="clear" w:color="auto" w:fill="auto"/>
            <w:vAlign w:val="bottom"/>
          </w:tcPr>
          <w:p w14:paraId="5F2CBA6D" w14:textId="77777777" w:rsidR="00E836FB" w:rsidRDefault="00E836FB">
            <w:pPr>
              <w:rPr>
                <w:rFonts w:ascii="宋体"/>
                <w:vanish/>
              </w:rPr>
            </w:pPr>
          </w:p>
        </w:tc>
        <w:tc>
          <w:tcPr>
            <w:tcW w:w="0" w:type="auto"/>
            <w:shd w:val="clear" w:color="auto" w:fill="auto"/>
            <w:vAlign w:val="bottom"/>
          </w:tcPr>
          <w:p w14:paraId="5F2CBA6E" w14:textId="77777777" w:rsidR="00E836FB" w:rsidRDefault="00E836FB">
            <w:pPr>
              <w:rPr>
                <w:rFonts w:ascii="宋体"/>
                <w:vanish/>
              </w:rPr>
            </w:pPr>
          </w:p>
        </w:tc>
        <w:tc>
          <w:tcPr>
            <w:tcW w:w="0" w:type="auto"/>
            <w:shd w:val="clear" w:color="auto" w:fill="auto"/>
            <w:vAlign w:val="bottom"/>
          </w:tcPr>
          <w:p w14:paraId="5F2CBA6F" w14:textId="77777777" w:rsidR="00E836FB" w:rsidRDefault="00E836FB">
            <w:pPr>
              <w:rPr>
                <w:rFonts w:ascii="宋体"/>
                <w:vanish/>
              </w:rPr>
            </w:pPr>
          </w:p>
        </w:tc>
        <w:tc>
          <w:tcPr>
            <w:tcW w:w="0" w:type="auto"/>
            <w:gridSpan w:val="3"/>
            <w:shd w:val="clear" w:color="auto" w:fill="auto"/>
            <w:vAlign w:val="bottom"/>
          </w:tcPr>
          <w:p w14:paraId="5F2CBA70" w14:textId="77777777" w:rsidR="00E836FB" w:rsidRDefault="00E836FB">
            <w:pPr>
              <w:rPr>
                <w:rFonts w:ascii="宋体"/>
                <w:vanish/>
              </w:rPr>
            </w:pPr>
          </w:p>
        </w:tc>
        <w:tc>
          <w:tcPr>
            <w:tcW w:w="0" w:type="auto"/>
            <w:gridSpan w:val="3"/>
            <w:shd w:val="clear" w:color="auto" w:fill="auto"/>
            <w:tcMar>
              <w:top w:w="40" w:type="dxa"/>
              <w:left w:w="20" w:type="dxa"/>
              <w:bottom w:w="40" w:type="dxa"/>
              <w:right w:w="20" w:type="dxa"/>
            </w:tcMar>
            <w:vAlign w:val="bottom"/>
          </w:tcPr>
          <w:p w14:paraId="5F2CBA71" w14:textId="77777777" w:rsidR="00E836FB" w:rsidRDefault="00994958">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top w:w="0" w:type="dxa"/>
              <w:left w:w="20" w:type="dxa"/>
              <w:bottom w:w="0" w:type="dxa"/>
              <w:right w:w="20" w:type="dxa"/>
            </w:tcMar>
            <w:vAlign w:val="bottom"/>
          </w:tcPr>
          <w:p w14:paraId="5F2CBA7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BA73"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CBA89" w14:textId="77777777">
        <w:tc>
          <w:tcPr>
            <w:tcW w:w="0" w:type="auto"/>
            <w:gridSpan w:val="3"/>
            <w:shd w:val="clear" w:color="auto" w:fill="CCEEFF"/>
            <w:tcMar>
              <w:top w:w="40" w:type="dxa"/>
              <w:left w:w="20" w:type="dxa"/>
              <w:bottom w:w="40" w:type="dxa"/>
              <w:right w:w="20" w:type="dxa"/>
            </w:tcMar>
            <w:vAlign w:val="bottom"/>
          </w:tcPr>
          <w:p w14:paraId="5F2CBA75" w14:textId="77777777" w:rsidR="00E836FB" w:rsidRDefault="00994958">
            <w:pPr>
              <w:textAlignment w:val="bottom"/>
            </w:pPr>
            <w:r>
              <w:rPr>
                <w:rFonts w:ascii="Arial" w:eastAsia="宋体" w:hAnsi="Arial" w:cs="Arial"/>
                <w:b/>
                <w:bCs/>
                <w:color w:val="000000"/>
                <w:sz w:val="14"/>
                <w:szCs w:val="14"/>
              </w:rPr>
              <w:t xml:space="preserve">Accrual </w:t>
            </w:r>
            <w:r>
              <w:rPr>
                <w:rFonts w:ascii="Arial" w:eastAsia="宋体" w:hAnsi="Arial" w:cs="Arial"/>
                <w:b/>
                <w:bCs/>
                <w:color w:val="000000"/>
                <w:sz w:val="14"/>
                <w:szCs w:val="14"/>
              </w:rPr>
              <w:t>Balance at December 31, 2018</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BA76"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A77" w14:textId="77777777" w:rsidR="00E836FB" w:rsidRDefault="00994958">
            <w:pPr>
              <w:jc w:val="right"/>
              <w:textAlignment w:val="bottom"/>
            </w:pPr>
            <w:r>
              <w:rPr>
                <w:rFonts w:ascii="Arial" w:eastAsia="宋体" w:hAnsi="Arial" w:cs="Arial"/>
                <w:color w:val="000000"/>
                <w:sz w:val="14"/>
                <w:szCs w:val="14"/>
              </w:rPr>
              <w:t>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7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A7A"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A7B" w14:textId="77777777" w:rsidR="00E836FB" w:rsidRDefault="00994958">
            <w:pPr>
              <w:jc w:val="right"/>
              <w:textAlignment w:val="bottom"/>
            </w:pPr>
            <w:r>
              <w:rPr>
                <w:rFonts w:ascii="Arial" w:eastAsia="宋体" w:hAnsi="Arial" w:cs="Arial"/>
                <w:color w:val="000000"/>
                <w:sz w:val="14"/>
                <w:szCs w:val="14"/>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7D" w14:textId="77777777" w:rsidR="00E836FB" w:rsidRDefault="00E836FB">
            <w:pPr>
              <w:rPr>
                <w:rFonts w:ascii="宋体"/>
              </w:rPr>
            </w:pPr>
          </w:p>
        </w:tc>
        <w:tc>
          <w:tcPr>
            <w:tcW w:w="0" w:type="auto"/>
            <w:shd w:val="clear" w:color="auto" w:fill="auto"/>
            <w:vAlign w:val="bottom"/>
          </w:tcPr>
          <w:p w14:paraId="5F2CBA7E" w14:textId="77777777" w:rsidR="00E836FB" w:rsidRDefault="00E836FB">
            <w:pPr>
              <w:rPr>
                <w:rFonts w:ascii="宋体"/>
                <w:vanish/>
              </w:rPr>
            </w:pPr>
          </w:p>
        </w:tc>
        <w:tc>
          <w:tcPr>
            <w:tcW w:w="0" w:type="auto"/>
            <w:shd w:val="clear" w:color="auto" w:fill="auto"/>
            <w:vAlign w:val="bottom"/>
          </w:tcPr>
          <w:p w14:paraId="5F2CBA7F" w14:textId="77777777" w:rsidR="00E836FB" w:rsidRDefault="00E836FB">
            <w:pPr>
              <w:rPr>
                <w:rFonts w:ascii="宋体"/>
                <w:vanish/>
              </w:rPr>
            </w:pPr>
          </w:p>
        </w:tc>
        <w:tc>
          <w:tcPr>
            <w:tcW w:w="0" w:type="auto"/>
            <w:shd w:val="clear" w:color="auto" w:fill="auto"/>
            <w:vAlign w:val="bottom"/>
          </w:tcPr>
          <w:p w14:paraId="5F2CBA80" w14:textId="77777777" w:rsidR="00E836FB" w:rsidRDefault="00E836FB">
            <w:pPr>
              <w:rPr>
                <w:rFonts w:ascii="宋体"/>
                <w:vanish/>
              </w:rPr>
            </w:pPr>
          </w:p>
        </w:tc>
        <w:tc>
          <w:tcPr>
            <w:tcW w:w="0" w:type="auto"/>
            <w:gridSpan w:val="3"/>
            <w:shd w:val="clear" w:color="auto" w:fill="auto"/>
            <w:vAlign w:val="bottom"/>
          </w:tcPr>
          <w:p w14:paraId="5F2CBA81"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A82"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A83" w14:textId="77777777" w:rsidR="00E836FB" w:rsidRDefault="00994958">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8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A86"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A87" w14:textId="77777777" w:rsidR="00E836FB" w:rsidRDefault="00994958">
            <w:pPr>
              <w:jc w:val="right"/>
              <w:textAlignment w:val="bottom"/>
            </w:pPr>
            <w:r>
              <w:rPr>
                <w:rFonts w:ascii="Arial" w:eastAsia="宋体" w:hAnsi="Arial" w:cs="Arial"/>
                <w:color w:val="000000"/>
                <w:sz w:val="14"/>
                <w:szCs w:val="14"/>
              </w:rPr>
              <w:t>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88" w14:textId="77777777" w:rsidR="00E836FB" w:rsidRDefault="00E836FB">
            <w:pPr>
              <w:jc w:val="right"/>
              <w:rPr>
                <w:rFonts w:ascii="宋体"/>
              </w:rPr>
            </w:pPr>
          </w:p>
        </w:tc>
      </w:tr>
      <w:tr w:rsidR="00E836FB" w14:paraId="5F2CBA9A" w14:textId="77777777">
        <w:tc>
          <w:tcPr>
            <w:tcW w:w="0" w:type="auto"/>
            <w:gridSpan w:val="3"/>
            <w:shd w:val="clear" w:color="auto" w:fill="FFFFFF"/>
            <w:tcMar>
              <w:top w:w="40" w:type="dxa"/>
              <w:left w:w="20" w:type="dxa"/>
              <w:bottom w:w="40" w:type="dxa"/>
              <w:right w:w="20" w:type="dxa"/>
            </w:tcMar>
            <w:vAlign w:val="bottom"/>
          </w:tcPr>
          <w:p w14:paraId="5F2CBA8A" w14:textId="77777777" w:rsidR="00E836FB" w:rsidRDefault="00994958">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5F2CBA8B" w14:textId="77777777" w:rsidR="00E836FB" w:rsidRDefault="00994958">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5F2CBA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8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8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A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90" w14:textId="77777777" w:rsidR="00E836FB" w:rsidRDefault="00E836FB">
            <w:pPr>
              <w:rPr>
                <w:rFonts w:ascii="宋体"/>
              </w:rPr>
            </w:pPr>
          </w:p>
        </w:tc>
        <w:tc>
          <w:tcPr>
            <w:tcW w:w="0" w:type="auto"/>
            <w:shd w:val="clear" w:color="auto" w:fill="auto"/>
            <w:vAlign w:val="bottom"/>
          </w:tcPr>
          <w:p w14:paraId="5F2CBA91" w14:textId="77777777" w:rsidR="00E836FB" w:rsidRDefault="00E836FB">
            <w:pPr>
              <w:rPr>
                <w:rFonts w:ascii="宋体"/>
                <w:vanish/>
              </w:rPr>
            </w:pPr>
          </w:p>
        </w:tc>
        <w:tc>
          <w:tcPr>
            <w:tcW w:w="0" w:type="auto"/>
            <w:shd w:val="clear" w:color="auto" w:fill="auto"/>
            <w:vAlign w:val="bottom"/>
          </w:tcPr>
          <w:p w14:paraId="5F2CBA92" w14:textId="77777777" w:rsidR="00E836FB" w:rsidRDefault="00E836FB">
            <w:pPr>
              <w:rPr>
                <w:rFonts w:ascii="宋体"/>
                <w:vanish/>
              </w:rPr>
            </w:pPr>
          </w:p>
        </w:tc>
        <w:tc>
          <w:tcPr>
            <w:tcW w:w="0" w:type="auto"/>
            <w:shd w:val="clear" w:color="auto" w:fill="auto"/>
            <w:vAlign w:val="bottom"/>
          </w:tcPr>
          <w:p w14:paraId="5F2CBA93" w14:textId="77777777" w:rsidR="00E836FB" w:rsidRDefault="00E836FB">
            <w:pPr>
              <w:rPr>
                <w:rFonts w:ascii="宋体"/>
                <w:vanish/>
              </w:rPr>
            </w:pPr>
          </w:p>
        </w:tc>
        <w:tc>
          <w:tcPr>
            <w:tcW w:w="0" w:type="auto"/>
            <w:gridSpan w:val="3"/>
            <w:shd w:val="clear" w:color="auto" w:fill="auto"/>
            <w:vAlign w:val="bottom"/>
          </w:tcPr>
          <w:p w14:paraId="5F2CBA94"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A9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A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9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98" w14:textId="77777777" w:rsidR="00E836FB" w:rsidRDefault="00994958">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5F2CBA99" w14:textId="77777777" w:rsidR="00E836FB" w:rsidRDefault="00E836FB">
            <w:pPr>
              <w:jc w:val="right"/>
              <w:rPr>
                <w:rFonts w:ascii="宋体"/>
              </w:rPr>
            </w:pPr>
          </w:p>
        </w:tc>
      </w:tr>
      <w:tr w:rsidR="00E836FB" w14:paraId="5F2CBAAB" w14:textId="77777777">
        <w:tc>
          <w:tcPr>
            <w:tcW w:w="0" w:type="auto"/>
            <w:gridSpan w:val="3"/>
            <w:shd w:val="clear" w:color="auto" w:fill="CCEEFF"/>
            <w:tcMar>
              <w:top w:w="40" w:type="dxa"/>
              <w:left w:w="20" w:type="dxa"/>
              <w:bottom w:w="40" w:type="dxa"/>
              <w:right w:w="20" w:type="dxa"/>
            </w:tcMar>
            <w:vAlign w:val="bottom"/>
          </w:tcPr>
          <w:p w14:paraId="5F2CBA9B" w14:textId="77777777" w:rsidR="00E836FB" w:rsidRDefault="00994958">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5F2CBA9C" w14:textId="77777777" w:rsidR="00E836FB" w:rsidRDefault="00994958">
            <w:pPr>
              <w:jc w:val="right"/>
              <w:textAlignment w:val="bottom"/>
            </w:pPr>
            <w:r>
              <w:rPr>
                <w:rFonts w:ascii="Arial" w:eastAsia="宋体" w:hAnsi="Arial" w:cs="Arial"/>
                <w:color w:val="000000"/>
                <w:sz w:val="14"/>
                <w:szCs w:val="14"/>
              </w:rPr>
              <w:t>98 </w:t>
            </w:r>
          </w:p>
        </w:tc>
        <w:tc>
          <w:tcPr>
            <w:tcW w:w="0" w:type="auto"/>
            <w:shd w:val="clear" w:color="auto" w:fill="CCEEFF"/>
            <w:tcMar>
              <w:top w:w="40" w:type="dxa"/>
              <w:left w:w="0" w:type="dxa"/>
              <w:bottom w:w="40" w:type="dxa"/>
              <w:right w:w="20" w:type="dxa"/>
            </w:tcMar>
            <w:vAlign w:val="bottom"/>
          </w:tcPr>
          <w:p w14:paraId="5F2CBA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9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A9F" w14:textId="77777777" w:rsidR="00E836FB" w:rsidRDefault="00994958">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F2CBA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A1" w14:textId="77777777" w:rsidR="00E836FB" w:rsidRDefault="00E836FB">
            <w:pPr>
              <w:rPr>
                <w:rFonts w:ascii="宋体"/>
              </w:rPr>
            </w:pPr>
          </w:p>
        </w:tc>
        <w:tc>
          <w:tcPr>
            <w:tcW w:w="0" w:type="auto"/>
            <w:shd w:val="clear" w:color="auto" w:fill="auto"/>
            <w:vAlign w:val="bottom"/>
          </w:tcPr>
          <w:p w14:paraId="5F2CBAA2" w14:textId="77777777" w:rsidR="00E836FB" w:rsidRDefault="00E836FB">
            <w:pPr>
              <w:rPr>
                <w:rFonts w:ascii="宋体"/>
                <w:vanish/>
              </w:rPr>
            </w:pPr>
          </w:p>
        </w:tc>
        <w:tc>
          <w:tcPr>
            <w:tcW w:w="0" w:type="auto"/>
            <w:shd w:val="clear" w:color="auto" w:fill="auto"/>
            <w:vAlign w:val="bottom"/>
          </w:tcPr>
          <w:p w14:paraId="5F2CBAA3" w14:textId="77777777" w:rsidR="00E836FB" w:rsidRDefault="00E836FB">
            <w:pPr>
              <w:rPr>
                <w:rFonts w:ascii="宋体"/>
                <w:vanish/>
              </w:rPr>
            </w:pPr>
          </w:p>
        </w:tc>
        <w:tc>
          <w:tcPr>
            <w:tcW w:w="0" w:type="auto"/>
            <w:shd w:val="clear" w:color="auto" w:fill="auto"/>
            <w:vAlign w:val="bottom"/>
          </w:tcPr>
          <w:p w14:paraId="5F2CBAA4" w14:textId="77777777" w:rsidR="00E836FB" w:rsidRDefault="00E836FB">
            <w:pPr>
              <w:rPr>
                <w:rFonts w:ascii="宋体"/>
                <w:vanish/>
              </w:rPr>
            </w:pPr>
          </w:p>
        </w:tc>
        <w:tc>
          <w:tcPr>
            <w:tcW w:w="0" w:type="auto"/>
            <w:gridSpan w:val="3"/>
            <w:shd w:val="clear" w:color="auto" w:fill="auto"/>
            <w:vAlign w:val="bottom"/>
          </w:tcPr>
          <w:p w14:paraId="5F2CBAA5"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BAA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A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AA9" w14:textId="77777777" w:rsidR="00E836FB" w:rsidRDefault="00994958">
            <w:pPr>
              <w:jc w:val="right"/>
              <w:textAlignment w:val="bottom"/>
            </w:pPr>
            <w:r>
              <w:rPr>
                <w:rFonts w:ascii="Arial" w:eastAsia="宋体" w:hAnsi="Arial" w:cs="Arial"/>
                <w:color w:val="000000"/>
                <w:sz w:val="14"/>
                <w:szCs w:val="14"/>
              </w:rPr>
              <w:t>110 </w:t>
            </w:r>
          </w:p>
        </w:tc>
        <w:tc>
          <w:tcPr>
            <w:tcW w:w="0" w:type="auto"/>
            <w:shd w:val="clear" w:color="auto" w:fill="CCEEFF"/>
            <w:tcMar>
              <w:top w:w="40" w:type="dxa"/>
              <w:left w:w="0" w:type="dxa"/>
              <w:bottom w:w="40" w:type="dxa"/>
              <w:right w:w="20" w:type="dxa"/>
            </w:tcMar>
            <w:vAlign w:val="bottom"/>
          </w:tcPr>
          <w:p w14:paraId="5F2CBAAA" w14:textId="77777777" w:rsidR="00E836FB" w:rsidRDefault="00E836FB">
            <w:pPr>
              <w:jc w:val="right"/>
              <w:rPr>
                <w:rFonts w:ascii="宋体"/>
              </w:rPr>
            </w:pPr>
          </w:p>
        </w:tc>
      </w:tr>
      <w:tr w:rsidR="00E836FB" w14:paraId="5F2CBABC" w14:textId="77777777">
        <w:tc>
          <w:tcPr>
            <w:tcW w:w="0" w:type="auto"/>
            <w:gridSpan w:val="3"/>
            <w:shd w:val="clear" w:color="auto" w:fill="FFFFFF"/>
            <w:tcMar>
              <w:top w:w="40" w:type="dxa"/>
              <w:left w:w="20" w:type="dxa"/>
              <w:bottom w:w="40" w:type="dxa"/>
              <w:right w:w="20" w:type="dxa"/>
            </w:tcMar>
            <w:vAlign w:val="bottom"/>
          </w:tcPr>
          <w:p w14:paraId="5F2CBAAC" w14:textId="77777777" w:rsidR="00E836FB" w:rsidRDefault="00994958">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5F2CBAAD" w14:textId="77777777" w:rsidR="00E836FB" w:rsidRDefault="00994958">
            <w:pPr>
              <w:jc w:val="right"/>
              <w:textAlignment w:val="bottom"/>
            </w:pPr>
            <w:r>
              <w:rPr>
                <w:rFonts w:ascii="Arial" w:eastAsia="宋体" w:hAnsi="Arial" w:cs="Arial"/>
                <w:color w:val="000000"/>
                <w:sz w:val="14"/>
                <w:szCs w:val="14"/>
              </w:rPr>
              <w:t>(209)</w:t>
            </w:r>
          </w:p>
        </w:tc>
        <w:tc>
          <w:tcPr>
            <w:tcW w:w="0" w:type="auto"/>
            <w:shd w:val="clear" w:color="auto" w:fill="FFFFFF"/>
            <w:tcMar>
              <w:top w:w="40" w:type="dxa"/>
              <w:left w:w="0" w:type="dxa"/>
              <w:bottom w:w="40" w:type="dxa"/>
              <w:right w:w="20" w:type="dxa"/>
            </w:tcMar>
            <w:vAlign w:val="bottom"/>
          </w:tcPr>
          <w:p w14:paraId="5F2CBA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B0" w14:textId="77777777" w:rsidR="00E836FB" w:rsidRDefault="00994958">
            <w:pPr>
              <w:jc w:val="right"/>
              <w:textAlignment w:val="bottom"/>
            </w:pPr>
            <w:r>
              <w:rPr>
                <w:rFonts w:ascii="Arial" w:eastAsia="宋体" w:hAnsi="Arial" w:cs="Arial"/>
                <w:color w:val="000000"/>
                <w:sz w:val="14"/>
                <w:szCs w:val="14"/>
              </w:rPr>
              <w:t>(42)</w:t>
            </w:r>
          </w:p>
        </w:tc>
        <w:tc>
          <w:tcPr>
            <w:tcW w:w="0" w:type="auto"/>
            <w:shd w:val="clear" w:color="auto" w:fill="FFFFFF"/>
            <w:tcMar>
              <w:top w:w="40" w:type="dxa"/>
              <w:left w:w="0" w:type="dxa"/>
              <w:bottom w:w="40" w:type="dxa"/>
              <w:right w:w="20" w:type="dxa"/>
            </w:tcMar>
            <w:vAlign w:val="bottom"/>
          </w:tcPr>
          <w:p w14:paraId="5F2CBA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B2" w14:textId="77777777" w:rsidR="00E836FB" w:rsidRDefault="00E836FB">
            <w:pPr>
              <w:rPr>
                <w:rFonts w:ascii="宋体"/>
              </w:rPr>
            </w:pPr>
          </w:p>
        </w:tc>
        <w:tc>
          <w:tcPr>
            <w:tcW w:w="0" w:type="auto"/>
            <w:shd w:val="clear" w:color="auto" w:fill="auto"/>
            <w:vAlign w:val="bottom"/>
          </w:tcPr>
          <w:p w14:paraId="5F2CBAB3" w14:textId="77777777" w:rsidR="00E836FB" w:rsidRDefault="00E836FB">
            <w:pPr>
              <w:rPr>
                <w:rFonts w:ascii="宋体"/>
                <w:vanish/>
              </w:rPr>
            </w:pPr>
          </w:p>
        </w:tc>
        <w:tc>
          <w:tcPr>
            <w:tcW w:w="0" w:type="auto"/>
            <w:shd w:val="clear" w:color="auto" w:fill="auto"/>
            <w:vAlign w:val="bottom"/>
          </w:tcPr>
          <w:p w14:paraId="5F2CBAB4" w14:textId="77777777" w:rsidR="00E836FB" w:rsidRDefault="00E836FB">
            <w:pPr>
              <w:rPr>
                <w:rFonts w:ascii="宋体"/>
                <w:vanish/>
              </w:rPr>
            </w:pPr>
          </w:p>
        </w:tc>
        <w:tc>
          <w:tcPr>
            <w:tcW w:w="0" w:type="auto"/>
            <w:shd w:val="clear" w:color="auto" w:fill="auto"/>
            <w:vAlign w:val="bottom"/>
          </w:tcPr>
          <w:p w14:paraId="5F2CBAB5" w14:textId="77777777" w:rsidR="00E836FB" w:rsidRDefault="00E836FB">
            <w:pPr>
              <w:rPr>
                <w:rFonts w:ascii="宋体"/>
                <w:vanish/>
              </w:rPr>
            </w:pPr>
          </w:p>
        </w:tc>
        <w:tc>
          <w:tcPr>
            <w:tcW w:w="0" w:type="auto"/>
            <w:gridSpan w:val="3"/>
            <w:shd w:val="clear" w:color="auto" w:fill="auto"/>
            <w:vAlign w:val="bottom"/>
          </w:tcPr>
          <w:p w14:paraId="5F2CBAB6"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AB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A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BA" w14:textId="77777777" w:rsidR="00E836FB" w:rsidRDefault="00994958">
            <w:pPr>
              <w:jc w:val="right"/>
              <w:textAlignment w:val="bottom"/>
            </w:pPr>
            <w:r>
              <w:rPr>
                <w:rFonts w:ascii="Arial" w:eastAsia="宋体" w:hAnsi="Arial" w:cs="Arial"/>
                <w:color w:val="000000"/>
                <w:sz w:val="14"/>
                <w:szCs w:val="14"/>
              </w:rPr>
              <w:t>(251)</w:t>
            </w:r>
          </w:p>
        </w:tc>
        <w:tc>
          <w:tcPr>
            <w:tcW w:w="0" w:type="auto"/>
            <w:shd w:val="clear" w:color="auto" w:fill="FFFFFF"/>
            <w:tcMar>
              <w:top w:w="40" w:type="dxa"/>
              <w:left w:w="0" w:type="dxa"/>
              <w:bottom w:w="40" w:type="dxa"/>
              <w:right w:w="20" w:type="dxa"/>
            </w:tcMar>
            <w:vAlign w:val="bottom"/>
          </w:tcPr>
          <w:p w14:paraId="5F2CBABB" w14:textId="77777777" w:rsidR="00E836FB" w:rsidRDefault="00E836FB">
            <w:pPr>
              <w:jc w:val="right"/>
              <w:rPr>
                <w:rFonts w:ascii="宋体"/>
              </w:rPr>
            </w:pPr>
          </w:p>
        </w:tc>
      </w:tr>
      <w:tr w:rsidR="00E836FB" w14:paraId="5F2CBACD" w14:textId="77777777">
        <w:tc>
          <w:tcPr>
            <w:tcW w:w="0" w:type="auto"/>
            <w:gridSpan w:val="3"/>
            <w:shd w:val="clear" w:color="auto" w:fill="CCEEFF"/>
            <w:tcMar>
              <w:top w:w="40" w:type="dxa"/>
              <w:left w:w="20" w:type="dxa"/>
              <w:bottom w:w="40" w:type="dxa"/>
              <w:right w:w="20" w:type="dxa"/>
            </w:tcMar>
            <w:vAlign w:val="bottom"/>
          </w:tcPr>
          <w:p w14:paraId="5F2CBABD" w14:textId="77777777" w:rsidR="00E836FB" w:rsidRDefault="00994958">
            <w:pPr>
              <w:textAlignment w:val="bottom"/>
            </w:pPr>
            <w:r>
              <w:rPr>
                <w:rFonts w:ascii="Arial" w:eastAsia="宋体" w:hAnsi="Arial" w:cs="Arial"/>
                <w:b/>
                <w:bCs/>
                <w:color w:val="000000"/>
                <w:sz w:val="14"/>
                <w:szCs w:val="14"/>
              </w:rPr>
              <w:t>Accrual Balance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ABE" w14:textId="77777777" w:rsidR="00E836FB" w:rsidRDefault="00994958">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C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AC1" w14:textId="77777777" w:rsidR="00E836FB" w:rsidRDefault="00994958">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C3" w14:textId="77777777" w:rsidR="00E836FB" w:rsidRDefault="00E836FB">
            <w:pPr>
              <w:rPr>
                <w:rFonts w:ascii="宋体"/>
              </w:rPr>
            </w:pPr>
          </w:p>
        </w:tc>
        <w:tc>
          <w:tcPr>
            <w:tcW w:w="0" w:type="auto"/>
            <w:shd w:val="clear" w:color="auto" w:fill="auto"/>
            <w:vAlign w:val="bottom"/>
          </w:tcPr>
          <w:p w14:paraId="5F2CBAC4" w14:textId="77777777" w:rsidR="00E836FB" w:rsidRDefault="00E836FB">
            <w:pPr>
              <w:rPr>
                <w:rFonts w:ascii="宋体"/>
                <w:vanish/>
              </w:rPr>
            </w:pPr>
          </w:p>
        </w:tc>
        <w:tc>
          <w:tcPr>
            <w:tcW w:w="0" w:type="auto"/>
            <w:shd w:val="clear" w:color="auto" w:fill="auto"/>
            <w:vAlign w:val="bottom"/>
          </w:tcPr>
          <w:p w14:paraId="5F2CBAC5" w14:textId="77777777" w:rsidR="00E836FB" w:rsidRDefault="00E836FB">
            <w:pPr>
              <w:rPr>
                <w:rFonts w:ascii="宋体"/>
                <w:vanish/>
              </w:rPr>
            </w:pPr>
          </w:p>
        </w:tc>
        <w:tc>
          <w:tcPr>
            <w:tcW w:w="0" w:type="auto"/>
            <w:shd w:val="clear" w:color="auto" w:fill="auto"/>
            <w:vAlign w:val="bottom"/>
          </w:tcPr>
          <w:p w14:paraId="5F2CBAC6" w14:textId="77777777" w:rsidR="00E836FB" w:rsidRDefault="00E836FB">
            <w:pPr>
              <w:rPr>
                <w:rFonts w:ascii="宋体"/>
                <w:vanish/>
              </w:rPr>
            </w:pPr>
          </w:p>
        </w:tc>
        <w:tc>
          <w:tcPr>
            <w:tcW w:w="0" w:type="auto"/>
            <w:gridSpan w:val="3"/>
            <w:shd w:val="clear" w:color="auto" w:fill="auto"/>
            <w:vAlign w:val="bottom"/>
          </w:tcPr>
          <w:p w14:paraId="5F2CBAC7"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AC8" w14:textId="77777777" w:rsidR="00E836FB" w:rsidRDefault="00994958">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C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ACB" w14:textId="77777777" w:rsidR="00E836FB" w:rsidRDefault="00994958">
            <w:pPr>
              <w:jc w:val="right"/>
              <w:textAlignment w:val="bottom"/>
            </w:pPr>
            <w:r>
              <w:rPr>
                <w:rFonts w:ascii="Arial" w:eastAsia="宋体" w:hAnsi="Arial" w:cs="Arial"/>
                <w:color w:val="000000"/>
                <w:sz w:val="14"/>
                <w:szCs w:val="14"/>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ACC" w14:textId="77777777" w:rsidR="00E836FB" w:rsidRDefault="00E836FB">
            <w:pPr>
              <w:jc w:val="right"/>
              <w:rPr>
                <w:rFonts w:ascii="宋体"/>
              </w:rPr>
            </w:pPr>
          </w:p>
        </w:tc>
      </w:tr>
      <w:tr w:rsidR="00E836FB" w14:paraId="5F2CBADE" w14:textId="77777777">
        <w:tc>
          <w:tcPr>
            <w:tcW w:w="0" w:type="auto"/>
            <w:gridSpan w:val="3"/>
            <w:shd w:val="clear" w:color="auto" w:fill="FFFFFF"/>
            <w:tcMar>
              <w:top w:w="40" w:type="dxa"/>
              <w:left w:w="20" w:type="dxa"/>
              <w:bottom w:w="40" w:type="dxa"/>
              <w:right w:w="20" w:type="dxa"/>
            </w:tcMar>
            <w:vAlign w:val="bottom"/>
          </w:tcPr>
          <w:p w14:paraId="5F2CBACE" w14:textId="77777777" w:rsidR="00E836FB" w:rsidRDefault="00994958">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5F2CBACF"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5F2CBA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D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D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A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D4" w14:textId="77777777" w:rsidR="00E836FB" w:rsidRDefault="00E836FB">
            <w:pPr>
              <w:rPr>
                <w:rFonts w:ascii="宋体"/>
              </w:rPr>
            </w:pPr>
          </w:p>
        </w:tc>
        <w:tc>
          <w:tcPr>
            <w:tcW w:w="0" w:type="auto"/>
            <w:shd w:val="clear" w:color="auto" w:fill="auto"/>
            <w:vAlign w:val="bottom"/>
          </w:tcPr>
          <w:p w14:paraId="5F2CBAD5" w14:textId="77777777" w:rsidR="00E836FB" w:rsidRDefault="00E836FB">
            <w:pPr>
              <w:rPr>
                <w:rFonts w:ascii="宋体"/>
                <w:vanish/>
              </w:rPr>
            </w:pPr>
          </w:p>
        </w:tc>
        <w:tc>
          <w:tcPr>
            <w:tcW w:w="0" w:type="auto"/>
            <w:shd w:val="clear" w:color="auto" w:fill="auto"/>
            <w:vAlign w:val="bottom"/>
          </w:tcPr>
          <w:p w14:paraId="5F2CBAD6" w14:textId="77777777" w:rsidR="00E836FB" w:rsidRDefault="00E836FB">
            <w:pPr>
              <w:rPr>
                <w:rFonts w:ascii="宋体"/>
                <w:vanish/>
              </w:rPr>
            </w:pPr>
          </w:p>
        </w:tc>
        <w:tc>
          <w:tcPr>
            <w:tcW w:w="0" w:type="auto"/>
            <w:shd w:val="clear" w:color="auto" w:fill="auto"/>
            <w:vAlign w:val="bottom"/>
          </w:tcPr>
          <w:p w14:paraId="5F2CBAD7" w14:textId="77777777" w:rsidR="00E836FB" w:rsidRDefault="00E836FB">
            <w:pPr>
              <w:rPr>
                <w:rFonts w:ascii="宋体"/>
                <w:vanish/>
              </w:rPr>
            </w:pPr>
          </w:p>
        </w:tc>
        <w:tc>
          <w:tcPr>
            <w:tcW w:w="0" w:type="auto"/>
            <w:gridSpan w:val="3"/>
            <w:shd w:val="clear" w:color="auto" w:fill="auto"/>
            <w:vAlign w:val="bottom"/>
          </w:tcPr>
          <w:p w14:paraId="5F2CBAD8"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AD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A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DC"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5F2CBADD" w14:textId="77777777" w:rsidR="00E836FB" w:rsidRDefault="00E836FB">
            <w:pPr>
              <w:jc w:val="right"/>
              <w:rPr>
                <w:rFonts w:ascii="宋体"/>
              </w:rPr>
            </w:pPr>
          </w:p>
        </w:tc>
      </w:tr>
      <w:tr w:rsidR="00E836FB" w14:paraId="5F2CBAEF" w14:textId="77777777">
        <w:tc>
          <w:tcPr>
            <w:tcW w:w="0" w:type="auto"/>
            <w:gridSpan w:val="3"/>
            <w:shd w:val="clear" w:color="auto" w:fill="CCEEFF"/>
            <w:tcMar>
              <w:top w:w="40" w:type="dxa"/>
              <w:left w:w="20" w:type="dxa"/>
              <w:bottom w:w="40" w:type="dxa"/>
              <w:right w:w="20" w:type="dxa"/>
            </w:tcMar>
            <w:vAlign w:val="bottom"/>
          </w:tcPr>
          <w:p w14:paraId="5F2CBADF" w14:textId="77777777" w:rsidR="00E836FB" w:rsidRDefault="00994958">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5F2CBAE0" w14:textId="77777777" w:rsidR="00E836FB" w:rsidRDefault="00994958">
            <w:pPr>
              <w:jc w:val="right"/>
              <w:textAlignment w:val="bottom"/>
            </w:pPr>
            <w:r>
              <w:rPr>
                <w:rFonts w:ascii="Arial" w:eastAsia="宋体" w:hAnsi="Arial" w:cs="Arial"/>
                <w:color w:val="000000"/>
                <w:sz w:val="14"/>
                <w:szCs w:val="14"/>
              </w:rPr>
              <w:t>82 </w:t>
            </w:r>
          </w:p>
        </w:tc>
        <w:tc>
          <w:tcPr>
            <w:tcW w:w="0" w:type="auto"/>
            <w:shd w:val="clear" w:color="auto" w:fill="CCEEFF"/>
            <w:tcMar>
              <w:top w:w="40" w:type="dxa"/>
              <w:left w:w="0" w:type="dxa"/>
              <w:bottom w:w="40" w:type="dxa"/>
              <w:right w:w="20" w:type="dxa"/>
            </w:tcMar>
            <w:vAlign w:val="bottom"/>
          </w:tcPr>
          <w:p w14:paraId="5F2CBA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AE3" w14:textId="77777777" w:rsidR="00E836FB" w:rsidRDefault="00994958">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5F2CBA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E5" w14:textId="77777777" w:rsidR="00E836FB" w:rsidRDefault="00E836FB">
            <w:pPr>
              <w:rPr>
                <w:rFonts w:ascii="宋体"/>
              </w:rPr>
            </w:pPr>
          </w:p>
        </w:tc>
        <w:tc>
          <w:tcPr>
            <w:tcW w:w="0" w:type="auto"/>
            <w:shd w:val="clear" w:color="auto" w:fill="auto"/>
            <w:vAlign w:val="bottom"/>
          </w:tcPr>
          <w:p w14:paraId="5F2CBAE6" w14:textId="77777777" w:rsidR="00E836FB" w:rsidRDefault="00E836FB">
            <w:pPr>
              <w:rPr>
                <w:rFonts w:ascii="宋体"/>
                <w:vanish/>
              </w:rPr>
            </w:pPr>
          </w:p>
        </w:tc>
        <w:tc>
          <w:tcPr>
            <w:tcW w:w="0" w:type="auto"/>
            <w:shd w:val="clear" w:color="auto" w:fill="auto"/>
            <w:vAlign w:val="bottom"/>
          </w:tcPr>
          <w:p w14:paraId="5F2CBAE7" w14:textId="77777777" w:rsidR="00E836FB" w:rsidRDefault="00E836FB">
            <w:pPr>
              <w:rPr>
                <w:rFonts w:ascii="宋体"/>
                <w:vanish/>
              </w:rPr>
            </w:pPr>
          </w:p>
        </w:tc>
        <w:tc>
          <w:tcPr>
            <w:tcW w:w="0" w:type="auto"/>
            <w:shd w:val="clear" w:color="auto" w:fill="auto"/>
            <w:vAlign w:val="bottom"/>
          </w:tcPr>
          <w:p w14:paraId="5F2CBAE8" w14:textId="77777777" w:rsidR="00E836FB" w:rsidRDefault="00E836FB">
            <w:pPr>
              <w:rPr>
                <w:rFonts w:ascii="宋体"/>
                <w:vanish/>
              </w:rPr>
            </w:pPr>
          </w:p>
        </w:tc>
        <w:tc>
          <w:tcPr>
            <w:tcW w:w="0" w:type="auto"/>
            <w:gridSpan w:val="3"/>
            <w:shd w:val="clear" w:color="auto" w:fill="auto"/>
            <w:vAlign w:val="bottom"/>
          </w:tcPr>
          <w:p w14:paraId="5F2CBAE9"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BAE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A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A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AED" w14:textId="77777777" w:rsidR="00E836FB" w:rsidRDefault="00994958">
            <w:pPr>
              <w:jc w:val="right"/>
              <w:textAlignment w:val="bottom"/>
            </w:pPr>
            <w:r>
              <w:rPr>
                <w:rFonts w:ascii="Arial" w:eastAsia="宋体" w:hAnsi="Arial" w:cs="Arial"/>
                <w:color w:val="000000"/>
                <w:sz w:val="14"/>
                <w:szCs w:val="14"/>
              </w:rPr>
              <w:t>133 </w:t>
            </w:r>
          </w:p>
        </w:tc>
        <w:tc>
          <w:tcPr>
            <w:tcW w:w="0" w:type="auto"/>
            <w:shd w:val="clear" w:color="auto" w:fill="CCEEFF"/>
            <w:tcMar>
              <w:top w:w="40" w:type="dxa"/>
              <w:left w:w="0" w:type="dxa"/>
              <w:bottom w:w="40" w:type="dxa"/>
              <w:right w:w="20" w:type="dxa"/>
            </w:tcMar>
            <w:vAlign w:val="bottom"/>
          </w:tcPr>
          <w:p w14:paraId="5F2CBAEE" w14:textId="77777777" w:rsidR="00E836FB" w:rsidRDefault="00E836FB">
            <w:pPr>
              <w:jc w:val="right"/>
              <w:rPr>
                <w:rFonts w:ascii="宋体"/>
              </w:rPr>
            </w:pPr>
          </w:p>
        </w:tc>
      </w:tr>
      <w:tr w:rsidR="00E836FB" w14:paraId="5F2CBB00" w14:textId="77777777">
        <w:tc>
          <w:tcPr>
            <w:tcW w:w="0" w:type="auto"/>
            <w:gridSpan w:val="3"/>
            <w:shd w:val="clear" w:color="auto" w:fill="FFFFFF"/>
            <w:tcMar>
              <w:top w:w="40" w:type="dxa"/>
              <w:left w:w="20" w:type="dxa"/>
              <w:bottom w:w="40" w:type="dxa"/>
              <w:right w:w="20" w:type="dxa"/>
            </w:tcMar>
            <w:vAlign w:val="bottom"/>
          </w:tcPr>
          <w:p w14:paraId="5F2CBAF0" w14:textId="77777777" w:rsidR="00E836FB" w:rsidRDefault="00994958">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5F2CBAF1" w14:textId="77777777" w:rsidR="00E836FB" w:rsidRDefault="00994958">
            <w:pPr>
              <w:jc w:val="right"/>
              <w:textAlignment w:val="bottom"/>
            </w:pPr>
            <w:r>
              <w:rPr>
                <w:rFonts w:ascii="Arial" w:eastAsia="宋体" w:hAnsi="Arial" w:cs="Arial"/>
                <w:color w:val="000000"/>
                <w:sz w:val="14"/>
                <w:szCs w:val="14"/>
              </w:rPr>
              <w:t>(78)</w:t>
            </w:r>
          </w:p>
        </w:tc>
        <w:tc>
          <w:tcPr>
            <w:tcW w:w="0" w:type="auto"/>
            <w:shd w:val="clear" w:color="auto" w:fill="FFFFFF"/>
            <w:tcMar>
              <w:top w:w="40" w:type="dxa"/>
              <w:left w:w="0" w:type="dxa"/>
              <w:bottom w:w="40" w:type="dxa"/>
              <w:right w:w="20" w:type="dxa"/>
            </w:tcMar>
            <w:vAlign w:val="bottom"/>
          </w:tcPr>
          <w:p w14:paraId="5F2CBA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F4" w14:textId="77777777" w:rsidR="00E836FB" w:rsidRDefault="00994958">
            <w:pPr>
              <w:jc w:val="right"/>
              <w:textAlignment w:val="bottom"/>
            </w:pPr>
            <w:r>
              <w:rPr>
                <w:rFonts w:ascii="Arial" w:eastAsia="宋体" w:hAnsi="Arial" w:cs="Arial"/>
                <w:color w:val="000000"/>
                <w:sz w:val="14"/>
                <w:szCs w:val="14"/>
              </w:rPr>
              <w:t>(52)</w:t>
            </w:r>
          </w:p>
        </w:tc>
        <w:tc>
          <w:tcPr>
            <w:tcW w:w="0" w:type="auto"/>
            <w:shd w:val="clear" w:color="auto" w:fill="FFFFFF"/>
            <w:tcMar>
              <w:top w:w="40" w:type="dxa"/>
              <w:left w:w="0" w:type="dxa"/>
              <w:bottom w:w="40" w:type="dxa"/>
              <w:right w:w="20" w:type="dxa"/>
            </w:tcMar>
            <w:vAlign w:val="bottom"/>
          </w:tcPr>
          <w:p w14:paraId="5F2CBA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F6" w14:textId="77777777" w:rsidR="00E836FB" w:rsidRDefault="00E836FB">
            <w:pPr>
              <w:rPr>
                <w:rFonts w:ascii="宋体"/>
              </w:rPr>
            </w:pPr>
          </w:p>
        </w:tc>
        <w:tc>
          <w:tcPr>
            <w:tcW w:w="0" w:type="auto"/>
            <w:shd w:val="clear" w:color="auto" w:fill="auto"/>
            <w:vAlign w:val="bottom"/>
          </w:tcPr>
          <w:p w14:paraId="5F2CBAF7" w14:textId="77777777" w:rsidR="00E836FB" w:rsidRDefault="00E836FB">
            <w:pPr>
              <w:rPr>
                <w:rFonts w:ascii="宋体"/>
                <w:vanish/>
              </w:rPr>
            </w:pPr>
          </w:p>
        </w:tc>
        <w:tc>
          <w:tcPr>
            <w:tcW w:w="0" w:type="auto"/>
            <w:shd w:val="clear" w:color="auto" w:fill="auto"/>
            <w:vAlign w:val="bottom"/>
          </w:tcPr>
          <w:p w14:paraId="5F2CBAF8" w14:textId="77777777" w:rsidR="00E836FB" w:rsidRDefault="00E836FB">
            <w:pPr>
              <w:rPr>
                <w:rFonts w:ascii="宋体"/>
                <w:vanish/>
              </w:rPr>
            </w:pPr>
          </w:p>
        </w:tc>
        <w:tc>
          <w:tcPr>
            <w:tcW w:w="0" w:type="auto"/>
            <w:shd w:val="clear" w:color="auto" w:fill="auto"/>
            <w:vAlign w:val="bottom"/>
          </w:tcPr>
          <w:p w14:paraId="5F2CBAF9" w14:textId="77777777" w:rsidR="00E836FB" w:rsidRDefault="00E836FB">
            <w:pPr>
              <w:rPr>
                <w:rFonts w:ascii="宋体"/>
                <w:vanish/>
              </w:rPr>
            </w:pPr>
          </w:p>
        </w:tc>
        <w:tc>
          <w:tcPr>
            <w:tcW w:w="0" w:type="auto"/>
            <w:gridSpan w:val="3"/>
            <w:shd w:val="clear" w:color="auto" w:fill="auto"/>
            <w:vAlign w:val="bottom"/>
          </w:tcPr>
          <w:p w14:paraId="5F2CBAFA"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AFB"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BA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A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AFE" w14:textId="77777777" w:rsidR="00E836FB" w:rsidRDefault="00994958">
            <w:pPr>
              <w:jc w:val="right"/>
              <w:textAlignment w:val="bottom"/>
            </w:pPr>
            <w:r>
              <w:rPr>
                <w:rFonts w:ascii="Arial" w:eastAsia="宋体" w:hAnsi="Arial" w:cs="Arial"/>
                <w:color w:val="000000"/>
                <w:sz w:val="14"/>
                <w:szCs w:val="14"/>
              </w:rPr>
              <w:t>(131)</w:t>
            </w:r>
          </w:p>
        </w:tc>
        <w:tc>
          <w:tcPr>
            <w:tcW w:w="0" w:type="auto"/>
            <w:shd w:val="clear" w:color="auto" w:fill="FFFFFF"/>
            <w:tcMar>
              <w:top w:w="40" w:type="dxa"/>
              <w:left w:w="0" w:type="dxa"/>
              <w:bottom w:w="40" w:type="dxa"/>
              <w:right w:w="20" w:type="dxa"/>
            </w:tcMar>
            <w:vAlign w:val="bottom"/>
          </w:tcPr>
          <w:p w14:paraId="5F2CBAFF" w14:textId="77777777" w:rsidR="00E836FB" w:rsidRDefault="00E836FB">
            <w:pPr>
              <w:jc w:val="right"/>
              <w:rPr>
                <w:rFonts w:ascii="宋体"/>
              </w:rPr>
            </w:pPr>
          </w:p>
        </w:tc>
      </w:tr>
      <w:tr w:rsidR="00E836FB" w14:paraId="5F2CBB11" w14:textId="77777777">
        <w:tc>
          <w:tcPr>
            <w:tcW w:w="0" w:type="auto"/>
            <w:gridSpan w:val="3"/>
            <w:shd w:val="clear" w:color="auto" w:fill="CCEEFF"/>
            <w:tcMar>
              <w:top w:w="40" w:type="dxa"/>
              <w:left w:w="20" w:type="dxa"/>
              <w:bottom w:w="40" w:type="dxa"/>
              <w:right w:w="20" w:type="dxa"/>
            </w:tcMar>
            <w:vAlign w:val="bottom"/>
          </w:tcPr>
          <w:p w14:paraId="5F2CBB01" w14:textId="77777777" w:rsidR="00E836FB" w:rsidRDefault="00994958">
            <w:pPr>
              <w:textAlignment w:val="bottom"/>
            </w:pPr>
            <w:r>
              <w:rPr>
                <w:rFonts w:ascii="Arial" w:eastAsia="宋体" w:hAnsi="Arial" w:cs="Arial"/>
                <w:b/>
                <w:bCs/>
                <w:color w:val="000000"/>
                <w:sz w:val="14"/>
                <w:szCs w:val="14"/>
              </w:rPr>
              <w:t>Accrual Balance at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B02" w14:textId="77777777" w:rsidR="00E836FB" w:rsidRDefault="00994958">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B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0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B05" w14:textId="77777777" w:rsidR="00E836FB" w:rsidRDefault="00994958">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B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07" w14:textId="77777777" w:rsidR="00E836FB" w:rsidRDefault="00E836FB">
            <w:pPr>
              <w:rPr>
                <w:rFonts w:ascii="宋体"/>
              </w:rPr>
            </w:pPr>
          </w:p>
        </w:tc>
        <w:tc>
          <w:tcPr>
            <w:tcW w:w="0" w:type="auto"/>
            <w:shd w:val="clear" w:color="auto" w:fill="auto"/>
            <w:vAlign w:val="bottom"/>
          </w:tcPr>
          <w:p w14:paraId="5F2CBB08" w14:textId="77777777" w:rsidR="00E836FB" w:rsidRDefault="00E836FB">
            <w:pPr>
              <w:rPr>
                <w:rFonts w:ascii="宋体"/>
                <w:vanish/>
              </w:rPr>
            </w:pPr>
          </w:p>
        </w:tc>
        <w:tc>
          <w:tcPr>
            <w:tcW w:w="0" w:type="auto"/>
            <w:shd w:val="clear" w:color="auto" w:fill="auto"/>
            <w:vAlign w:val="bottom"/>
          </w:tcPr>
          <w:p w14:paraId="5F2CBB09" w14:textId="77777777" w:rsidR="00E836FB" w:rsidRDefault="00E836FB">
            <w:pPr>
              <w:rPr>
                <w:rFonts w:ascii="宋体"/>
                <w:vanish/>
              </w:rPr>
            </w:pPr>
          </w:p>
        </w:tc>
        <w:tc>
          <w:tcPr>
            <w:tcW w:w="0" w:type="auto"/>
            <w:shd w:val="clear" w:color="auto" w:fill="auto"/>
            <w:vAlign w:val="bottom"/>
          </w:tcPr>
          <w:p w14:paraId="5F2CBB0A" w14:textId="77777777" w:rsidR="00E836FB" w:rsidRDefault="00E836FB">
            <w:pPr>
              <w:rPr>
                <w:rFonts w:ascii="宋体"/>
                <w:vanish/>
              </w:rPr>
            </w:pPr>
          </w:p>
        </w:tc>
        <w:tc>
          <w:tcPr>
            <w:tcW w:w="0" w:type="auto"/>
            <w:gridSpan w:val="3"/>
            <w:shd w:val="clear" w:color="auto" w:fill="auto"/>
            <w:vAlign w:val="bottom"/>
          </w:tcPr>
          <w:p w14:paraId="5F2CBB0B"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B0C"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B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0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B0F" w14:textId="77777777" w:rsidR="00E836FB" w:rsidRDefault="00994958">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B10" w14:textId="77777777" w:rsidR="00E836FB" w:rsidRDefault="00E836FB">
            <w:pPr>
              <w:jc w:val="right"/>
              <w:rPr>
                <w:rFonts w:ascii="宋体"/>
              </w:rPr>
            </w:pPr>
          </w:p>
        </w:tc>
      </w:tr>
      <w:tr w:rsidR="00E836FB" w14:paraId="5F2CBB22" w14:textId="77777777">
        <w:tc>
          <w:tcPr>
            <w:tcW w:w="0" w:type="auto"/>
            <w:gridSpan w:val="3"/>
            <w:shd w:val="clear" w:color="auto" w:fill="FFFFFF"/>
            <w:tcMar>
              <w:top w:w="40" w:type="dxa"/>
              <w:left w:w="20" w:type="dxa"/>
              <w:bottom w:w="40" w:type="dxa"/>
              <w:right w:w="20" w:type="dxa"/>
            </w:tcMar>
            <w:vAlign w:val="bottom"/>
          </w:tcPr>
          <w:p w14:paraId="5F2CBB12" w14:textId="77777777" w:rsidR="00E836FB" w:rsidRDefault="00994958">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5F2CBB13"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CBB1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B1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B1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B1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B18" w14:textId="77777777" w:rsidR="00E836FB" w:rsidRDefault="00E836FB">
            <w:pPr>
              <w:rPr>
                <w:rFonts w:ascii="宋体"/>
              </w:rPr>
            </w:pPr>
          </w:p>
        </w:tc>
        <w:tc>
          <w:tcPr>
            <w:tcW w:w="0" w:type="auto"/>
            <w:shd w:val="clear" w:color="auto" w:fill="auto"/>
            <w:vAlign w:val="bottom"/>
          </w:tcPr>
          <w:p w14:paraId="5F2CBB19" w14:textId="77777777" w:rsidR="00E836FB" w:rsidRDefault="00E836FB">
            <w:pPr>
              <w:rPr>
                <w:rFonts w:ascii="宋体"/>
                <w:vanish/>
              </w:rPr>
            </w:pPr>
          </w:p>
        </w:tc>
        <w:tc>
          <w:tcPr>
            <w:tcW w:w="0" w:type="auto"/>
            <w:shd w:val="clear" w:color="auto" w:fill="auto"/>
            <w:vAlign w:val="bottom"/>
          </w:tcPr>
          <w:p w14:paraId="5F2CBB1A" w14:textId="77777777" w:rsidR="00E836FB" w:rsidRDefault="00E836FB">
            <w:pPr>
              <w:rPr>
                <w:rFonts w:ascii="宋体"/>
                <w:vanish/>
              </w:rPr>
            </w:pPr>
          </w:p>
        </w:tc>
        <w:tc>
          <w:tcPr>
            <w:tcW w:w="0" w:type="auto"/>
            <w:shd w:val="clear" w:color="auto" w:fill="auto"/>
            <w:vAlign w:val="bottom"/>
          </w:tcPr>
          <w:p w14:paraId="5F2CBB1B" w14:textId="77777777" w:rsidR="00E836FB" w:rsidRDefault="00E836FB">
            <w:pPr>
              <w:rPr>
                <w:rFonts w:ascii="宋体"/>
                <w:vanish/>
              </w:rPr>
            </w:pPr>
          </w:p>
        </w:tc>
        <w:tc>
          <w:tcPr>
            <w:tcW w:w="0" w:type="auto"/>
            <w:gridSpan w:val="3"/>
            <w:shd w:val="clear" w:color="auto" w:fill="auto"/>
            <w:vAlign w:val="bottom"/>
          </w:tcPr>
          <w:p w14:paraId="5F2CBB1C"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B1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B1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B1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B20"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CBB21" w14:textId="77777777" w:rsidR="00E836FB" w:rsidRDefault="00E836FB">
            <w:pPr>
              <w:jc w:val="right"/>
              <w:rPr>
                <w:rFonts w:ascii="宋体"/>
              </w:rPr>
            </w:pPr>
          </w:p>
        </w:tc>
      </w:tr>
      <w:tr w:rsidR="00E836FB" w14:paraId="5F2CBB33" w14:textId="77777777">
        <w:tc>
          <w:tcPr>
            <w:tcW w:w="0" w:type="auto"/>
            <w:gridSpan w:val="3"/>
            <w:shd w:val="clear" w:color="auto" w:fill="CCEEFF"/>
            <w:tcMar>
              <w:top w:w="40" w:type="dxa"/>
              <w:left w:w="20" w:type="dxa"/>
              <w:bottom w:w="40" w:type="dxa"/>
              <w:right w:w="20" w:type="dxa"/>
            </w:tcMar>
            <w:vAlign w:val="bottom"/>
          </w:tcPr>
          <w:p w14:paraId="5F2CBB23" w14:textId="77777777" w:rsidR="00E836FB" w:rsidRDefault="00994958">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5F2CBB24" w14:textId="77777777" w:rsidR="00E836FB" w:rsidRDefault="00994958">
            <w:pPr>
              <w:jc w:val="right"/>
              <w:textAlignment w:val="bottom"/>
            </w:pPr>
            <w:r>
              <w:rPr>
                <w:rFonts w:ascii="Arial" w:eastAsia="宋体" w:hAnsi="Arial" w:cs="Arial"/>
                <w:b/>
                <w:bCs/>
                <w:color w:val="000000"/>
                <w:sz w:val="14"/>
                <w:szCs w:val="14"/>
              </w:rPr>
              <w:t>(32)</w:t>
            </w:r>
          </w:p>
        </w:tc>
        <w:tc>
          <w:tcPr>
            <w:tcW w:w="0" w:type="auto"/>
            <w:shd w:val="clear" w:color="auto" w:fill="CCEEFF"/>
            <w:tcMar>
              <w:top w:w="40" w:type="dxa"/>
              <w:left w:w="0" w:type="dxa"/>
              <w:bottom w:w="40" w:type="dxa"/>
              <w:right w:w="20" w:type="dxa"/>
            </w:tcMar>
            <w:vAlign w:val="bottom"/>
          </w:tcPr>
          <w:p w14:paraId="5F2CBB2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2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B27" w14:textId="77777777" w:rsidR="00E836FB" w:rsidRDefault="00994958">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B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29" w14:textId="77777777" w:rsidR="00E836FB" w:rsidRDefault="00E836FB">
            <w:pPr>
              <w:rPr>
                <w:rFonts w:ascii="宋体"/>
              </w:rPr>
            </w:pPr>
          </w:p>
        </w:tc>
        <w:tc>
          <w:tcPr>
            <w:tcW w:w="0" w:type="auto"/>
            <w:shd w:val="clear" w:color="auto" w:fill="auto"/>
            <w:vAlign w:val="bottom"/>
          </w:tcPr>
          <w:p w14:paraId="5F2CBB2A" w14:textId="77777777" w:rsidR="00E836FB" w:rsidRDefault="00E836FB">
            <w:pPr>
              <w:rPr>
                <w:rFonts w:ascii="宋体"/>
                <w:vanish/>
              </w:rPr>
            </w:pPr>
          </w:p>
        </w:tc>
        <w:tc>
          <w:tcPr>
            <w:tcW w:w="0" w:type="auto"/>
            <w:shd w:val="clear" w:color="auto" w:fill="auto"/>
            <w:vAlign w:val="bottom"/>
          </w:tcPr>
          <w:p w14:paraId="5F2CBB2B" w14:textId="77777777" w:rsidR="00E836FB" w:rsidRDefault="00E836FB">
            <w:pPr>
              <w:rPr>
                <w:rFonts w:ascii="宋体"/>
                <w:vanish/>
              </w:rPr>
            </w:pPr>
          </w:p>
        </w:tc>
        <w:tc>
          <w:tcPr>
            <w:tcW w:w="0" w:type="auto"/>
            <w:shd w:val="clear" w:color="auto" w:fill="auto"/>
            <w:vAlign w:val="bottom"/>
          </w:tcPr>
          <w:p w14:paraId="5F2CBB2C" w14:textId="77777777" w:rsidR="00E836FB" w:rsidRDefault="00E836FB">
            <w:pPr>
              <w:rPr>
                <w:rFonts w:ascii="宋体"/>
                <w:vanish/>
              </w:rPr>
            </w:pPr>
          </w:p>
        </w:tc>
        <w:tc>
          <w:tcPr>
            <w:tcW w:w="0" w:type="auto"/>
            <w:gridSpan w:val="3"/>
            <w:shd w:val="clear" w:color="auto" w:fill="auto"/>
            <w:vAlign w:val="bottom"/>
          </w:tcPr>
          <w:p w14:paraId="5F2CBB2D"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BB2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B2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3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B31" w14:textId="77777777" w:rsidR="00E836FB" w:rsidRDefault="00994958">
            <w:pPr>
              <w:jc w:val="right"/>
              <w:textAlignment w:val="bottom"/>
            </w:pPr>
            <w:r>
              <w:rPr>
                <w:rFonts w:ascii="Arial" w:eastAsia="宋体" w:hAnsi="Arial" w:cs="Arial"/>
                <w:b/>
                <w:bCs/>
                <w:color w:val="000000"/>
                <w:sz w:val="14"/>
                <w:szCs w:val="14"/>
              </w:rPr>
              <w:t>(3)</w:t>
            </w:r>
          </w:p>
        </w:tc>
        <w:tc>
          <w:tcPr>
            <w:tcW w:w="0" w:type="auto"/>
            <w:shd w:val="clear" w:color="auto" w:fill="CCEEFF"/>
            <w:tcMar>
              <w:top w:w="40" w:type="dxa"/>
              <w:left w:w="0" w:type="dxa"/>
              <w:bottom w:w="40" w:type="dxa"/>
              <w:right w:w="20" w:type="dxa"/>
            </w:tcMar>
            <w:vAlign w:val="bottom"/>
          </w:tcPr>
          <w:p w14:paraId="5F2CBB32" w14:textId="77777777" w:rsidR="00E836FB" w:rsidRDefault="00E836FB">
            <w:pPr>
              <w:jc w:val="right"/>
              <w:rPr>
                <w:rFonts w:ascii="宋体"/>
              </w:rPr>
            </w:pPr>
          </w:p>
        </w:tc>
      </w:tr>
      <w:tr w:rsidR="00E836FB" w14:paraId="5F2CBB44" w14:textId="77777777">
        <w:tc>
          <w:tcPr>
            <w:tcW w:w="0" w:type="auto"/>
            <w:gridSpan w:val="3"/>
            <w:shd w:val="clear" w:color="auto" w:fill="FFFFFF"/>
            <w:tcMar>
              <w:top w:w="40" w:type="dxa"/>
              <w:left w:w="20" w:type="dxa"/>
              <w:bottom w:w="40" w:type="dxa"/>
              <w:right w:w="20" w:type="dxa"/>
            </w:tcMar>
            <w:vAlign w:val="bottom"/>
          </w:tcPr>
          <w:p w14:paraId="5F2CBB34" w14:textId="77777777" w:rsidR="00E836FB" w:rsidRDefault="00994958">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5F2CBB35" w14:textId="77777777" w:rsidR="00E836FB" w:rsidRDefault="00994958">
            <w:pPr>
              <w:jc w:val="right"/>
              <w:textAlignment w:val="bottom"/>
            </w:pPr>
            <w:r>
              <w:rPr>
                <w:rFonts w:ascii="Arial" w:eastAsia="宋体" w:hAnsi="Arial" w:cs="Arial"/>
                <w:b/>
                <w:bCs/>
                <w:color w:val="000000"/>
                <w:sz w:val="14"/>
                <w:szCs w:val="14"/>
              </w:rPr>
              <w:t>(89)</w:t>
            </w:r>
          </w:p>
        </w:tc>
        <w:tc>
          <w:tcPr>
            <w:tcW w:w="0" w:type="auto"/>
            <w:shd w:val="clear" w:color="auto" w:fill="FFFFFF"/>
            <w:tcMar>
              <w:top w:w="40" w:type="dxa"/>
              <w:left w:w="0" w:type="dxa"/>
              <w:bottom w:w="40" w:type="dxa"/>
              <w:right w:w="20" w:type="dxa"/>
            </w:tcMar>
            <w:vAlign w:val="bottom"/>
          </w:tcPr>
          <w:p w14:paraId="5F2CBB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B3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B38" w14:textId="77777777" w:rsidR="00E836FB" w:rsidRDefault="00994958">
            <w:pPr>
              <w:jc w:val="right"/>
              <w:textAlignment w:val="bottom"/>
            </w:pPr>
            <w:r>
              <w:rPr>
                <w:rFonts w:ascii="Arial" w:eastAsia="宋体" w:hAnsi="Arial" w:cs="Arial"/>
                <w:b/>
                <w:bCs/>
                <w:color w:val="000000"/>
                <w:sz w:val="14"/>
                <w:szCs w:val="14"/>
              </w:rPr>
              <w:t>(29)</w:t>
            </w:r>
          </w:p>
        </w:tc>
        <w:tc>
          <w:tcPr>
            <w:tcW w:w="0" w:type="auto"/>
            <w:shd w:val="clear" w:color="auto" w:fill="FFFFFF"/>
            <w:tcMar>
              <w:top w:w="40" w:type="dxa"/>
              <w:left w:w="0" w:type="dxa"/>
              <w:bottom w:w="40" w:type="dxa"/>
              <w:right w:w="20" w:type="dxa"/>
            </w:tcMar>
            <w:vAlign w:val="bottom"/>
          </w:tcPr>
          <w:p w14:paraId="5F2CBB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B3A" w14:textId="77777777" w:rsidR="00E836FB" w:rsidRDefault="00E836FB">
            <w:pPr>
              <w:rPr>
                <w:rFonts w:ascii="宋体"/>
              </w:rPr>
            </w:pPr>
          </w:p>
        </w:tc>
        <w:tc>
          <w:tcPr>
            <w:tcW w:w="0" w:type="auto"/>
            <w:shd w:val="clear" w:color="auto" w:fill="auto"/>
            <w:vAlign w:val="bottom"/>
          </w:tcPr>
          <w:p w14:paraId="5F2CBB3B" w14:textId="77777777" w:rsidR="00E836FB" w:rsidRDefault="00E836FB">
            <w:pPr>
              <w:rPr>
                <w:rFonts w:ascii="宋体"/>
                <w:vanish/>
              </w:rPr>
            </w:pPr>
          </w:p>
        </w:tc>
        <w:tc>
          <w:tcPr>
            <w:tcW w:w="0" w:type="auto"/>
            <w:shd w:val="clear" w:color="auto" w:fill="auto"/>
            <w:vAlign w:val="bottom"/>
          </w:tcPr>
          <w:p w14:paraId="5F2CBB3C" w14:textId="77777777" w:rsidR="00E836FB" w:rsidRDefault="00E836FB">
            <w:pPr>
              <w:rPr>
                <w:rFonts w:ascii="宋体"/>
                <w:vanish/>
              </w:rPr>
            </w:pPr>
          </w:p>
        </w:tc>
        <w:tc>
          <w:tcPr>
            <w:tcW w:w="0" w:type="auto"/>
            <w:shd w:val="clear" w:color="auto" w:fill="auto"/>
            <w:vAlign w:val="bottom"/>
          </w:tcPr>
          <w:p w14:paraId="5F2CBB3D" w14:textId="77777777" w:rsidR="00E836FB" w:rsidRDefault="00E836FB">
            <w:pPr>
              <w:rPr>
                <w:rFonts w:ascii="宋体"/>
                <w:vanish/>
              </w:rPr>
            </w:pPr>
          </w:p>
        </w:tc>
        <w:tc>
          <w:tcPr>
            <w:tcW w:w="0" w:type="auto"/>
            <w:gridSpan w:val="3"/>
            <w:shd w:val="clear" w:color="auto" w:fill="auto"/>
            <w:vAlign w:val="bottom"/>
          </w:tcPr>
          <w:p w14:paraId="5F2CBB3E"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B3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B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B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B42" w14:textId="77777777" w:rsidR="00E836FB" w:rsidRDefault="00994958">
            <w:pPr>
              <w:jc w:val="right"/>
              <w:textAlignment w:val="bottom"/>
            </w:pPr>
            <w:r>
              <w:rPr>
                <w:rFonts w:ascii="Arial" w:eastAsia="宋体" w:hAnsi="Arial" w:cs="Arial"/>
                <w:b/>
                <w:bCs/>
                <w:color w:val="000000"/>
                <w:sz w:val="14"/>
                <w:szCs w:val="14"/>
              </w:rPr>
              <w:t>(118)</w:t>
            </w:r>
          </w:p>
        </w:tc>
        <w:tc>
          <w:tcPr>
            <w:tcW w:w="0" w:type="auto"/>
            <w:shd w:val="clear" w:color="auto" w:fill="FFFFFF"/>
            <w:tcMar>
              <w:top w:w="40" w:type="dxa"/>
              <w:left w:w="0" w:type="dxa"/>
              <w:bottom w:w="40" w:type="dxa"/>
              <w:right w:w="20" w:type="dxa"/>
            </w:tcMar>
            <w:vAlign w:val="bottom"/>
          </w:tcPr>
          <w:p w14:paraId="5F2CBB43" w14:textId="77777777" w:rsidR="00E836FB" w:rsidRDefault="00E836FB">
            <w:pPr>
              <w:jc w:val="right"/>
              <w:rPr>
                <w:rFonts w:ascii="宋体"/>
              </w:rPr>
            </w:pPr>
          </w:p>
        </w:tc>
      </w:tr>
      <w:tr w:rsidR="00E836FB" w14:paraId="5F2CBB59" w14:textId="77777777">
        <w:tc>
          <w:tcPr>
            <w:tcW w:w="0" w:type="auto"/>
            <w:gridSpan w:val="3"/>
            <w:shd w:val="clear" w:color="auto" w:fill="CCEEFF"/>
            <w:tcMar>
              <w:top w:w="40" w:type="dxa"/>
              <w:left w:w="20" w:type="dxa"/>
              <w:bottom w:w="40" w:type="dxa"/>
              <w:right w:w="20" w:type="dxa"/>
            </w:tcMar>
            <w:vAlign w:val="bottom"/>
          </w:tcPr>
          <w:p w14:paraId="5F2CBB45" w14:textId="77777777" w:rsidR="00E836FB" w:rsidRDefault="00994958">
            <w:pPr>
              <w:textAlignment w:val="bottom"/>
            </w:pPr>
            <w:r>
              <w:rPr>
                <w:rFonts w:ascii="Arial" w:eastAsia="宋体" w:hAnsi="Arial" w:cs="Arial"/>
                <w:b/>
                <w:bCs/>
                <w:color w:val="000000"/>
                <w:sz w:val="14"/>
                <w:szCs w:val="14"/>
              </w:rPr>
              <w:t>Accrual Balance at December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B4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B47" w14:textId="77777777" w:rsidR="00E836FB" w:rsidRDefault="00994958">
            <w:pPr>
              <w:jc w:val="right"/>
              <w:textAlignment w:val="bottom"/>
            </w:pPr>
            <w:r>
              <w:rPr>
                <w:rFonts w:ascii="Arial" w:eastAsia="宋体" w:hAnsi="Arial" w:cs="Arial"/>
                <w:b/>
                <w:bCs/>
                <w:color w:val="000000"/>
                <w:sz w:val="14"/>
                <w:szCs w:val="14"/>
              </w:rPr>
              <w:t>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B4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4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B4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B4B" w14:textId="77777777" w:rsidR="00E836FB" w:rsidRDefault="00994958">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B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4D" w14:textId="77777777" w:rsidR="00E836FB" w:rsidRDefault="00E836FB">
            <w:pPr>
              <w:rPr>
                <w:rFonts w:ascii="宋体"/>
              </w:rPr>
            </w:pPr>
          </w:p>
        </w:tc>
        <w:tc>
          <w:tcPr>
            <w:tcW w:w="0" w:type="auto"/>
            <w:shd w:val="clear" w:color="auto" w:fill="auto"/>
            <w:vAlign w:val="bottom"/>
          </w:tcPr>
          <w:p w14:paraId="5F2CBB4E" w14:textId="77777777" w:rsidR="00E836FB" w:rsidRDefault="00E836FB">
            <w:pPr>
              <w:rPr>
                <w:rFonts w:ascii="宋体"/>
                <w:vanish/>
              </w:rPr>
            </w:pPr>
          </w:p>
        </w:tc>
        <w:tc>
          <w:tcPr>
            <w:tcW w:w="0" w:type="auto"/>
            <w:shd w:val="clear" w:color="auto" w:fill="auto"/>
            <w:vAlign w:val="bottom"/>
          </w:tcPr>
          <w:p w14:paraId="5F2CBB4F" w14:textId="77777777" w:rsidR="00E836FB" w:rsidRDefault="00E836FB">
            <w:pPr>
              <w:rPr>
                <w:rFonts w:ascii="宋体"/>
                <w:vanish/>
              </w:rPr>
            </w:pPr>
          </w:p>
        </w:tc>
        <w:tc>
          <w:tcPr>
            <w:tcW w:w="0" w:type="auto"/>
            <w:shd w:val="clear" w:color="auto" w:fill="auto"/>
            <w:vAlign w:val="bottom"/>
          </w:tcPr>
          <w:p w14:paraId="5F2CBB50" w14:textId="77777777" w:rsidR="00E836FB" w:rsidRDefault="00E836FB">
            <w:pPr>
              <w:rPr>
                <w:rFonts w:ascii="宋体"/>
                <w:vanish/>
              </w:rPr>
            </w:pPr>
          </w:p>
        </w:tc>
        <w:tc>
          <w:tcPr>
            <w:tcW w:w="0" w:type="auto"/>
            <w:gridSpan w:val="3"/>
            <w:shd w:val="clear" w:color="auto" w:fill="auto"/>
            <w:vAlign w:val="bottom"/>
          </w:tcPr>
          <w:p w14:paraId="5F2CBB51" w14:textId="77777777" w:rsidR="00E836FB" w:rsidRDefault="00E836FB">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B5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B5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B5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B5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BB5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BB57"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BB58" w14:textId="77777777" w:rsidR="00E836FB" w:rsidRDefault="00E836FB">
            <w:pPr>
              <w:jc w:val="right"/>
              <w:rPr>
                <w:rFonts w:ascii="宋体"/>
              </w:rPr>
            </w:pPr>
          </w:p>
        </w:tc>
      </w:tr>
      <w:tr w:rsidR="00E836FB" w14:paraId="5F2CBB66" w14:textId="77777777">
        <w:trPr>
          <w:hidden/>
        </w:trPr>
        <w:tc>
          <w:tcPr>
            <w:tcW w:w="0" w:type="auto"/>
            <w:gridSpan w:val="3"/>
            <w:shd w:val="clear" w:color="auto" w:fill="auto"/>
            <w:vAlign w:val="bottom"/>
          </w:tcPr>
          <w:p w14:paraId="5F2CBB5A" w14:textId="77777777" w:rsidR="00E836FB" w:rsidRDefault="00E836FB">
            <w:pPr>
              <w:rPr>
                <w:rFonts w:ascii="宋体"/>
                <w:vanish/>
              </w:rPr>
            </w:pPr>
          </w:p>
        </w:tc>
        <w:tc>
          <w:tcPr>
            <w:tcW w:w="0" w:type="auto"/>
            <w:gridSpan w:val="3"/>
            <w:shd w:val="clear" w:color="auto" w:fill="auto"/>
            <w:vAlign w:val="bottom"/>
          </w:tcPr>
          <w:p w14:paraId="5F2CBB5B" w14:textId="77777777" w:rsidR="00E836FB" w:rsidRDefault="00E836FB">
            <w:pPr>
              <w:rPr>
                <w:rFonts w:ascii="宋体"/>
                <w:vanish/>
              </w:rPr>
            </w:pPr>
          </w:p>
        </w:tc>
        <w:tc>
          <w:tcPr>
            <w:tcW w:w="0" w:type="auto"/>
            <w:gridSpan w:val="3"/>
            <w:shd w:val="clear" w:color="auto" w:fill="auto"/>
            <w:vAlign w:val="bottom"/>
          </w:tcPr>
          <w:p w14:paraId="5F2CBB5C" w14:textId="77777777" w:rsidR="00E836FB" w:rsidRDefault="00E836FB">
            <w:pPr>
              <w:rPr>
                <w:rFonts w:ascii="宋体"/>
                <w:vanish/>
              </w:rPr>
            </w:pPr>
          </w:p>
        </w:tc>
        <w:tc>
          <w:tcPr>
            <w:tcW w:w="0" w:type="auto"/>
            <w:gridSpan w:val="3"/>
            <w:shd w:val="clear" w:color="auto" w:fill="auto"/>
            <w:vAlign w:val="bottom"/>
          </w:tcPr>
          <w:p w14:paraId="5F2CBB5D" w14:textId="77777777" w:rsidR="00E836FB" w:rsidRDefault="00E836FB">
            <w:pPr>
              <w:rPr>
                <w:rFonts w:ascii="宋体"/>
                <w:vanish/>
              </w:rPr>
            </w:pPr>
          </w:p>
        </w:tc>
        <w:tc>
          <w:tcPr>
            <w:tcW w:w="0" w:type="auto"/>
            <w:gridSpan w:val="3"/>
            <w:shd w:val="clear" w:color="auto" w:fill="auto"/>
            <w:vAlign w:val="bottom"/>
          </w:tcPr>
          <w:p w14:paraId="5F2CBB5E" w14:textId="77777777" w:rsidR="00E836FB" w:rsidRDefault="00E836FB">
            <w:pPr>
              <w:rPr>
                <w:rFonts w:ascii="宋体"/>
                <w:vanish/>
              </w:rPr>
            </w:pPr>
          </w:p>
        </w:tc>
        <w:tc>
          <w:tcPr>
            <w:tcW w:w="0" w:type="auto"/>
            <w:shd w:val="clear" w:color="auto" w:fill="auto"/>
            <w:vAlign w:val="bottom"/>
          </w:tcPr>
          <w:p w14:paraId="5F2CBB5F" w14:textId="77777777" w:rsidR="00E836FB" w:rsidRDefault="00E836FB">
            <w:pPr>
              <w:rPr>
                <w:rFonts w:ascii="宋体"/>
                <w:vanish/>
              </w:rPr>
            </w:pPr>
          </w:p>
        </w:tc>
        <w:tc>
          <w:tcPr>
            <w:tcW w:w="0" w:type="auto"/>
            <w:shd w:val="clear" w:color="auto" w:fill="auto"/>
            <w:vAlign w:val="bottom"/>
          </w:tcPr>
          <w:p w14:paraId="5F2CBB60" w14:textId="77777777" w:rsidR="00E836FB" w:rsidRDefault="00E836FB">
            <w:pPr>
              <w:rPr>
                <w:rFonts w:ascii="宋体"/>
                <w:vanish/>
              </w:rPr>
            </w:pPr>
          </w:p>
        </w:tc>
        <w:tc>
          <w:tcPr>
            <w:tcW w:w="0" w:type="auto"/>
            <w:shd w:val="clear" w:color="auto" w:fill="auto"/>
            <w:vAlign w:val="bottom"/>
          </w:tcPr>
          <w:p w14:paraId="5F2CBB61" w14:textId="77777777" w:rsidR="00E836FB" w:rsidRDefault="00E836FB">
            <w:pPr>
              <w:rPr>
                <w:rFonts w:ascii="宋体"/>
                <w:vanish/>
              </w:rPr>
            </w:pPr>
          </w:p>
        </w:tc>
        <w:tc>
          <w:tcPr>
            <w:tcW w:w="0" w:type="auto"/>
            <w:gridSpan w:val="3"/>
            <w:shd w:val="clear" w:color="auto" w:fill="auto"/>
            <w:vAlign w:val="bottom"/>
          </w:tcPr>
          <w:p w14:paraId="5F2CBB62" w14:textId="77777777" w:rsidR="00E836FB" w:rsidRDefault="00E836FB">
            <w:pPr>
              <w:rPr>
                <w:rFonts w:ascii="宋体"/>
                <w:vanish/>
              </w:rPr>
            </w:pPr>
          </w:p>
        </w:tc>
        <w:tc>
          <w:tcPr>
            <w:tcW w:w="0" w:type="auto"/>
            <w:gridSpan w:val="3"/>
            <w:shd w:val="clear" w:color="auto" w:fill="auto"/>
            <w:vAlign w:val="bottom"/>
          </w:tcPr>
          <w:p w14:paraId="5F2CBB63" w14:textId="77777777" w:rsidR="00E836FB" w:rsidRDefault="00E836FB">
            <w:pPr>
              <w:rPr>
                <w:rFonts w:ascii="宋体"/>
                <w:vanish/>
              </w:rPr>
            </w:pPr>
          </w:p>
        </w:tc>
        <w:tc>
          <w:tcPr>
            <w:tcW w:w="0" w:type="auto"/>
            <w:gridSpan w:val="3"/>
            <w:shd w:val="clear" w:color="auto" w:fill="auto"/>
            <w:vAlign w:val="bottom"/>
          </w:tcPr>
          <w:p w14:paraId="5F2CBB64" w14:textId="77777777" w:rsidR="00E836FB" w:rsidRDefault="00E836FB">
            <w:pPr>
              <w:rPr>
                <w:rFonts w:ascii="宋体"/>
                <w:vanish/>
              </w:rPr>
            </w:pPr>
          </w:p>
        </w:tc>
        <w:tc>
          <w:tcPr>
            <w:tcW w:w="0" w:type="auto"/>
            <w:gridSpan w:val="3"/>
            <w:shd w:val="clear" w:color="auto" w:fill="auto"/>
            <w:vAlign w:val="bottom"/>
          </w:tcPr>
          <w:p w14:paraId="5F2CBB65" w14:textId="77777777" w:rsidR="00E836FB" w:rsidRDefault="00E836FB">
            <w:pPr>
              <w:rPr>
                <w:rFonts w:ascii="宋体"/>
                <w:vanish/>
              </w:rPr>
            </w:pPr>
          </w:p>
        </w:tc>
      </w:tr>
      <w:tr w:rsidR="00E836FB" w14:paraId="5F2CBB73" w14:textId="77777777">
        <w:trPr>
          <w:hidden/>
        </w:trPr>
        <w:tc>
          <w:tcPr>
            <w:tcW w:w="0" w:type="auto"/>
            <w:gridSpan w:val="3"/>
            <w:shd w:val="clear" w:color="auto" w:fill="auto"/>
            <w:vAlign w:val="bottom"/>
          </w:tcPr>
          <w:p w14:paraId="5F2CBB67" w14:textId="77777777" w:rsidR="00E836FB" w:rsidRDefault="00E836FB">
            <w:pPr>
              <w:rPr>
                <w:rFonts w:ascii="宋体"/>
                <w:vanish/>
              </w:rPr>
            </w:pPr>
          </w:p>
        </w:tc>
        <w:tc>
          <w:tcPr>
            <w:tcW w:w="0" w:type="auto"/>
            <w:gridSpan w:val="3"/>
            <w:shd w:val="clear" w:color="auto" w:fill="auto"/>
            <w:vAlign w:val="bottom"/>
          </w:tcPr>
          <w:p w14:paraId="5F2CBB68" w14:textId="77777777" w:rsidR="00E836FB" w:rsidRDefault="00E836FB">
            <w:pPr>
              <w:rPr>
                <w:rFonts w:ascii="宋体"/>
                <w:vanish/>
              </w:rPr>
            </w:pPr>
          </w:p>
        </w:tc>
        <w:tc>
          <w:tcPr>
            <w:tcW w:w="0" w:type="auto"/>
            <w:gridSpan w:val="3"/>
            <w:shd w:val="clear" w:color="auto" w:fill="auto"/>
            <w:vAlign w:val="bottom"/>
          </w:tcPr>
          <w:p w14:paraId="5F2CBB69" w14:textId="77777777" w:rsidR="00E836FB" w:rsidRDefault="00E836FB">
            <w:pPr>
              <w:rPr>
                <w:rFonts w:ascii="宋体"/>
                <w:vanish/>
              </w:rPr>
            </w:pPr>
          </w:p>
        </w:tc>
        <w:tc>
          <w:tcPr>
            <w:tcW w:w="0" w:type="auto"/>
            <w:gridSpan w:val="3"/>
            <w:shd w:val="clear" w:color="auto" w:fill="auto"/>
            <w:vAlign w:val="bottom"/>
          </w:tcPr>
          <w:p w14:paraId="5F2CBB6A" w14:textId="77777777" w:rsidR="00E836FB" w:rsidRDefault="00E836FB">
            <w:pPr>
              <w:rPr>
                <w:rFonts w:ascii="宋体"/>
                <w:vanish/>
              </w:rPr>
            </w:pPr>
          </w:p>
        </w:tc>
        <w:tc>
          <w:tcPr>
            <w:tcW w:w="0" w:type="auto"/>
            <w:gridSpan w:val="3"/>
            <w:shd w:val="clear" w:color="auto" w:fill="auto"/>
            <w:vAlign w:val="bottom"/>
          </w:tcPr>
          <w:p w14:paraId="5F2CBB6B" w14:textId="77777777" w:rsidR="00E836FB" w:rsidRDefault="00E836FB">
            <w:pPr>
              <w:rPr>
                <w:rFonts w:ascii="宋体"/>
                <w:vanish/>
              </w:rPr>
            </w:pPr>
          </w:p>
        </w:tc>
        <w:tc>
          <w:tcPr>
            <w:tcW w:w="0" w:type="auto"/>
            <w:shd w:val="clear" w:color="auto" w:fill="auto"/>
            <w:vAlign w:val="bottom"/>
          </w:tcPr>
          <w:p w14:paraId="5F2CBB6C" w14:textId="77777777" w:rsidR="00E836FB" w:rsidRDefault="00E836FB">
            <w:pPr>
              <w:rPr>
                <w:rFonts w:ascii="宋体"/>
                <w:vanish/>
              </w:rPr>
            </w:pPr>
          </w:p>
        </w:tc>
        <w:tc>
          <w:tcPr>
            <w:tcW w:w="0" w:type="auto"/>
            <w:shd w:val="clear" w:color="auto" w:fill="auto"/>
            <w:vAlign w:val="bottom"/>
          </w:tcPr>
          <w:p w14:paraId="5F2CBB6D" w14:textId="77777777" w:rsidR="00E836FB" w:rsidRDefault="00E836FB">
            <w:pPr>
              <w:rPr>
                <w:rFonts w:ascii="宋体"/>
                <w:vanish/>
              </w:rPr>
            </w:pPr>
          </w:p>
        </w:tc>
        <w:tc>
          <w:tcPr>
            <w:tcW w:w="0" w:type="auto"/>
            <w:shd w:val="clear" w:color="auto" w:fill="auto"/>
            <w:vAlign w:val="bottom"/>
          </w:tcPr>
          <w:p w14:paraId="5F2CBB6E" w14:textId="77777777" w:rsidR="00E836FB" w:rsidRDefault="00E836FB">
            <w:pPr>
              <w:rPr>
                <w:rFonts w:ascii="宋体"/>
                <w:vanish/>
              </w:rPr>
            </w:pPr>
          </w:p>
        </w:tc>
        <w:tc>
          <w:tcPr>
            <w:tcW w:w="0" w:type="auto"/>
            <w:gridSpan w:val="3"/>
            <w:shd w:val="clear" w:color="auto" w:fill="auto"/>
            <w:vAlign w:val="bottom"/>
          </w:tcPr>
          <w:p w14:paraId="5F2CBB6F" w14:textId="77777777" w:rsidR="00E836FB" w:rsidRDefault="00E836FB">
            <w:pPr>
              <w:rPr>
                <w:rFonts w:ascii="宋体"/>
                <w:vanish/>
              </w:rPr>
            </w:pPr>
          </w:p>
        </w:tc>
        <w:tc>
          <w:tcPr>
            <w:tcW w:w="0" w:type="auto"/>
            <w:gridSpan w:val="3"/>
            <w:shd w:val="clear" w:color="auto" w:fill="auto"/>
            <w:vAlign w:val="bottom"/>
          </w:tcPr>
          <w:p w14:paraId="5F2CBB70" w14:textId="77777777" w:rsidR="00E836FB" w:rsidRDefault="00E836FB">
            <w:pPr>
              <w:rPr>
                <w:rFonts w:ascii="宋体"/>
                <w:vanish/>
              </w:rPr>
            </w:pPr>
          </w:p>
        </w:tc>
        <w:tc>
          <w:tcPr>
            <w:tcW w:w="0" w:type="auto"/>
            <w:gridSpan w:val="3"/>
            <w:shd w:val="clear" w:color="auto" w:fill="auto"/>
            <w:vAlign w:val="bottom"/>
          </w:tcPr>
          <w:p w14:paraId="5F2CBB71" w14:textId="77777777" w:rsidR="00E836FB" w:rsidRDefault="00E836FB">
            <w:pPr>
              <w:rPr>
                <w:rFonts w:ascii="宋体"/>
                <w:vanish/>
              </w:rPr>
            </w:pPr>
          </w:p>
        </w:tc>
        <w:tc>
          <w:tcPr>
            <w:tcW w:w="0" w:type="auto"/>
            <w:gridSpan w:val="3"/>
            <w:shd w:val="clear" w:color="auto" w:fill="auto"/>
            <w:vAlign w:val="bottom"/>
          </w:tcPr>
          <w:p w14:paraId="5F2CBB72" w14:textId="77777777" w:rsidR="00E836FB" w:rsidRDefault="00E836FB">
            <w:pPr>
              <w:rPr>
                <w:rFonts w:ascii="宋体"/>
                <w:vanish/>
              </w:rPr>
            </w:pPr>
          </w:p>
        </w:tc>
      </w:tr>
      <w:tr w:rsidR="00E836FB" w14:paraId="5F2CBB80" w14:textId="77777777">
        <w:trPr>
          <w:hidden/>
        </w:trPr>
        <w:tc>
          <w:tcPr>
            <w:tcW w:w="0" w:type="auto"/>
            <w:gridSpan w:val="3"/>
            <w:shd w:val="clear" w:color="auto" w:fill="auto"/>
            <w:vAlign w:val="bottom"/>
          </w:tcPr>
          <w:p w14:paraId="5F2CBB74" w14:textId="77777777" w:rsidR="00E836FB" w:rsidRDefault="00E836FB">
            <w:pPr>
              <w:rPr>
                <w:rFonts w:ascii="宋体"/>
                <w:vanish/>
              </w:rPr>
            </w:pPr>
          </w:p>
        </w:tc>
        <w:tc>
          <w:tcPr>
            <w:tcW w:w="0" w:type="auto"/>
            <w:gridSpan w:val="3"/>
            <w:shd w:val="clear" w:color="auto" w:fill="auto"/>
            <w:vAlign w:val="bottom"/>
          </w:tcPr>
          <w:p w14:paraId="5F2CBB75" w14:textId="77777777" w:rsidR="00E836FB" w:rsidRDefault="00E836FB">
            <w:pPr>
              <w:rPr>
                <w:rFonts w:ascii="宋体"/>
                <w:vanish/>
              </w:rPr>
            </w:pPr>
          </w:p>
        </w:tc>
        <w:tc>
          <w:tcPr>
            <w:tcW w:w="0" w:type="auto"/>
            <w:gridSpan w:val="3"/>
            <w:shd w:val="clear" w:color="auto" w:fill="auto"/>
            <w:vAlign w:val="bottom"/>
          </w:tcPr>
          <w:p w14:paraId="5F2CBB76" w14:textId="77777777" w:rsidR="00E836FB" w:rsidRDefault="00E836FB">
            <w:pPr>
              <w:rPr>
                <w:rFonts w:ascii="宋体"/>
                <w:vanish/>
              </w:rPr>
            </w:pPr>
          </w:p>
        </w:tc>
        <w:tc>
          <w:tcPr>
            <w:tcW w:w="0" w:type="auto"/>
            <w:gridSpan w:val="3"/>
            <w:shd w:val="clear" w:color="auto" w:fill="auto"/>
            <w:vAlign w:val="bottom"/>
          </w:tcPr>
          <w:p w14:paraId="5F2CBB77" w14:textId="77777777" w:rsidR="00E836FB" w:rsidRDefault="00E836FB">
            <w:pPr>
              <w:rPr>
                <w:rFonts w:ascii="宋体"/>
                <w:vanish/>
              </w:rPr>
            </w:pPr>
          </w:p>
        </w:tc>
        <w:tc>
          <w:tcPr>
            <w:tcW w:w="0" w:type="auto"/>
            <w:gridSpan w:val="3"/>
            <w:shd w:val="clear" w:color="auto" w:fill="auto"/>
            <w:vAlign w:val="bottom"/>
          </w:tcPr>
          <w:p w14:paraId="5F2CBB78" w14:textId="77777777" w:rsidR="00E836FB" w:rsidRDefault="00E836FB">
            <w:pPr>
              <w:rPr>
                <w:rFonts w:ascii="宋体"/>
                <w:vanish/>
              </w:rPr>
            </w:pPr>
          </w:p>
        </w:tc>
        <w:tc>
          <w:tcPr>
            <w:tcW w:w="0" w:type="auto"/>
            <w:shd w:val="clear" w:color="auto" w:fill="auto"/>
            <w:vAlign w:val="bottom"/>
          </w:tcPr>
          <w:p w14:paraId="5F2CBB79" w14:textId="77777777" w:rsidR="00E836FB" w:rsidRDefault="00E836FB">
            <w:pPr>
              <w:rPr>
                <w:rFonts w:ascii="宋体"/>
                <w:vanish/>
              </w:rPr>
            </w:pPr>
          </w:p>
        </w:tc>
        <w:tc>
          <w:tcPr>
            <w:tcW w:w="0" w:type="auto"/>
            <w:shd w:val="clear" w:color="auto" w:fill="auto"/>
            <w:vAlign w:val="bottom"/>
          </w:tcPr>
          <w:p w14:paraId="5F2CBB7A" w14:textId="77777777" w:rsidR="00E836FB" w:rsidRDefault="00E836FB">
            <w:pPr>
              <w:rPr>
                <w:rFonts w:ascii="宋体"/>
                <w:vanish/>
              </w:rPr>
            </w:pPr>
          </w:p>
        </w:tc>
        <w:tc>
          <w:tcPr>
            <w:tcW w:w="0" w:type="auto"/>
            <w:shd w:val="clear" w:color="auto" w:fill="auto"/>
            <w:vAlign w:val="bottom"/>
          </w:tcPr>
          <w:p w14:paraId="5F2CBB7B" w14:textId="77777777" w:rsidR="00E836FB" w:rsidRDefault="00E836FB">
            <w:pPr>
              <w:rPr>
                <w:rFonts w:ascii="宋体"/>
                <w:vanish/>
              </w:rPr>
            </w:pPr>
          </w:p>
        </w:tc>
        <w:tc>
          <w:tcPr>
            <w:tcW w:w="0" w:type="auto"/>
            <w:gridSpan w:val="3"/>
            <w:shd w:val="clear" w:color="auto" w:fill="auto"/>
            <w:vAlign w:val="bottom"/>
          </w:tcPr>
          <w:p w14:paraId="5F2CBB7C" w14:textId="77777777" w:rsidR="00E836FB" w:rsidRDefault="00E836FB">
            <w:pPr>
              <w:rPr>
                <w:rFonts w:ascii="宋体"/>
                <w:vanish/>
              </w:rPr>
            </w:pPr>
          </w:p>
        </w:tc>
        <w:tc>
          <w:tcPr>
            <w:tcW w:w="0" w:type="auto"/>
            <w:gridSpan w:val="3"/>
            <w:shd w:val="clear" w:color="auto" w:fill="auto"/>
            <w:vAlign w:val="bottom"/>
          </w:tcPr>
          <w:p w14:paraId="5F2CBB7D" w14:textId="77777777" w:rsidR="00E836FB" w:rsidRDefault="00E836FB">
            <w:pPr>
              <w:rPr>
                <w:rFonts w:ascii="宋体"/>
                <w:vanish/>
              </w:rPr>
            </w:pPr>
          </w:p>
        </w:tc>
        <w:tc>
          <w:tcPr>
            <w:tcW w:w="0" w:type="auto"/>
            <w:gridSpan w:val="3"/>
            <w:shd w:val="clear" w:color="auto" w:fill="auto"/>
            <w:vAlign w:val="bottom"/>
          </w:tcPr>
          <w:p w14:paraId="5F2CBB7E" w14:textId="77777777" w:rsidR="00E836FB" w:rsidRDefault="00E836FB">
            <w:pPr>
              <w:rPr>
                <w:rFonts w:ascii="宋体"/>
                <w:vanish/>
              </w:rPr>
            </w:pPr>
          </w:p>
        </w:tc>
        <w:tc>
          <w:tcPr>
            <w:tcW w:w="0" w:type="auto"/>
            <w:gridSpan w:val="3"/>
            <w:shd w:val="clear" w:color="auto" w:fill="auto"/>
            <w:vAlign w:val="bottom"/>
          </w:tcPr>
          <w:p w14:paraId="5F2CBB7F" w14:textId="77777777" w:rsidR="00E836FB" w:rsidRDefault="00E836FB">
            <w:pPr>
              <w:rPr>
                <w:rFonts w:ascii="宋体"/>
                <w:vanish/>
              </w:rPr>
            </w:pPr>
          </w:p>
        </w:tc>
      </w:tr>
      <w:tr w:rsidR="00E836FB" w14:paraId="5F2CBB8D" w14:textId="77777777">
        <w:trPr>
          <w:hidden/>
        </w:trPr>
        <w:tc>
          <w:tcPr>
            <w:tcW w:w="0" w:type="auto"/>
            <w:gridSpan w:val="3"/>
            <w:shd w:val="clear" w:color="auto" w:fill="auto"/>
            <w:vAlign w:val="bottom"/>
          </w:tcPr>
          <w:p w14:paraId="5F2CBB81" w14:textId="77777777" w:rsidR="00E836FB" w:rsidRDefault="00E836FB">
            <w:pPr>
              <w:rPr>
                <w:rFonts w:ascii="宋体"/>
                <w:vanish/>
              </w:rPr>
            </w:pPr>
          </w:p>
        </w:tc>
        <w:tc>
          <w:tcPr>
            <w:tcW w:w="0" w:type="auto"/>
            <w:gridSpan w:val="3"/>
            <w:shd w:val="clear" w:color="auto" w:fill="auto"/>
            <w:vAlign w:val="bottom"/>
          </w:tcPr>
          <w:p w14:paraId="5F2CBB82" w14:textId="77777777" w:rsidR="00E836FB" w:rsidRDefault="00E836FB">
            <w:pPr>
              <w:rPr>
                <w:rFonts w:ascii="宋体"/>
                <w:vanish/>
              </w:rPr>
            </w:pPr>
          </w:p>
        </w:tc>
        <w:tc>
          <w:tcPr>
            <w:tcW w:w="0" w:type="auto"/>
            <w:gridSpan w:val="3"/>
            <w:shd w:val="clear" w:color="auto" w:fill="auto"/>
            <w:vAlign w:val="bottom"/>
          </w:tcPr>
          <w:p w14:paraId="5F2CBB83" w14:textId="77777777" w:rsidR="00E836FB" w:rsidRDefault="00E836FB">
            <w:pPr>
              <w:rPr>
                <w:rFonts w:ascii="宋体"/>
                <w:vanish/>
              </w:rPr>
            </w:pPr>
          </w:p>
        </w:tc>
        <w:tc>
          <w:tcPr>
            <w:tcW w:w="0" w:type="auto"/>
            <w:gridSpan w:val="3"/>
            <w:shd w:val="clear" w:color="auto" w:fill="auto"/>
            <w:vAlign w:val="bottom"/>
          </w:tcPr>
          <w:p w14:paraId="5F2CBB84" w14:textId="77777777" w:rsidR="00E836FB" w:rsidRDefault="00E836FB">
            <w:pPr>
              <w:rPr>
                <w:rFonts w:ascii="宋体"/>
                <w:vanish/>
              </w:rPr>
            </w:pPr>
          </w:p>
        </w:tc>
        <w:tc>
          <w:tcPr>
            <w:tcW w:w="0" w:type="auto"/>
            <w:gridSpan w:val="3"/>
            <w:shd w:val="clear" w:color="auto" w:fill="auto"/>
            <w:vAlign w:val="bottom"/>
          </w:tcPr>
          <w:p w14:paraId="5F2CBB85" w14:textId="77777777" w:rsidR="00E836FB" w:rsidRDefault="00E836FB">
            <w:pPr>
              <w:rPr>
                <w:rFonts w:ascii="宋体"/>
                <w:vanish/>
              </w:rPr>
            </w:pPr>
          </w:p>
        </w:tc>
        <w:tc>
          <w:tcPr>
            <w:tcW w:w="0" w:type="auto"/>
            <w:shd w:val="clear" w:color="auto" w:fill="auto"/>
            <w:vAlign w:val="bottom"/>
          </w:tcPr>
          <w:p w14:paraId="5F2CBB86" w14:textId="77777777" w:rsidR="00E836FB" w:rsidRDefault="00E836FB">
            <w:pPr>
              <w:rPr>
                <w:rFonts w:ascii="宋体"/>
                <w:vanish/>
              </w:rPr>
            </w:pPr>
          </w:p>
        </w:tc>
        <w:tc>
          <w:tcPr>
            <w:tcW w:w="0" w:type="auto"/>
            <w:shd w:val="clear" w:color="auto" w:fill="auto"/>
            <w:vAlign w:val="bottom"/>
          </w:tcPr>
          <w:p w14:paraId="5F2CBB87" w14:textId="77777777" w:rsidR="00E836FB" w:rsidRDefault="00E836FB">
            <w:pPr>
              <w:rPr>
                <w:rFonts w:ascii="宋体"/>
                <w:vanish/>
              </w:rPr>
            </w:pPr>
          </w:p>
        </w:tc>
        <w:tc>
          <w:tcPr>
            <w:tcW w:w="0" w:type="auto"/>
            <w:shd w:val="clear" w:color="auto" w:fill="auto"/>
            <w:vAlign w:val="bottom"/>
          </w:tcPr>
          <w:p w14:paraId="5F2CBB88" w14:textId="77777777" w:rsidR="00E836FB" w:rsidRDefault="00E836FB">
            <w:pPr>
              <w:rPr>
                <w:rFonts w:ascii="宋体"/>
                <w:vanish/>
              </w:rPr>
            </w:pPr>
          </w:p>
        </w:tc>
        <w:tc>
          <w:tcPr>
            <w:tcW w:w="0" w:type="auto"/>
            <w:gridSpan w:val="3"/>
            <w:shd w:val="clear" w:color="auto" w:fill="auto"/>
            <w:vAlign w:val="bottom"/>
          </w:tcPr>
          <w:p w14:paraId="5F2CBB89" w14:textId="77777777" w:rsidR="00E836FB" w:rsidRDefault="00E836FB">
            <w:pPr>
              <w:rPr>
                <w:rFonts w:ascii="宋体"/>
                <w:vanish/>
              </w:rPr>
            </w:pPr>
          </w:p>
        </w:tc>
        <w:tc>
          <w:tcPr>
            <w:tcW w:w="0" w:type="auto"/>
            <w:gridSpan w:val="3"/>
            <w:shd w:val="clear" w:color="auto" w:fill="auto"/>
            <w:vAlign w:val="bottom"/>
          </w:tcPr>
          <w:p w14:paraId="5F2CBB8A" w14:textId="77777777" w:rsidR="00E836FB" w:rsidRDefault="00E836FB">
            <w:pPr>
              <w:rPr>
                <w:rFonts w:ascii="宋体"/>
                <w:vanish/>
              </w:rPr>
            </w:pPr>
          </w:p>
        </w:tc>
        <w:tc>
          <w:tcPr>
            <w:tcW w:w="0" w:type="auto"/>
            <w:gridSpan w:val="3"/>
            <w:shd w:val="clear" w:color="auto" w:fill="auto"/>
            <w:vAlign w:val="bottom"/>
          </w:tcPr>
          <w:p w14:paraId="5F2CBB8B" w14:textId="77777777" w:rsidR="00E836FB" w:rsidRDefault="00E836FB">
            <w:pPr>
              <w:rPr>
                <w:rFonts w:ascii="宋体"/>
                <w:vanish/>
              </w:rPr>
            </w:pPr>
          </w:p>
        </w:tc>
        <w:tc>
          <w:tcPr>
            <w:tcW w:w="0" w:type="auto"/>
            <w:gridSpan w:val="3"/>
            <w:shd w:val="clear" w:color="auto" w:fill="auto"/>
            <w:vAlign w:val="bottom"/>
          </w:tcPr>
          <w:p w14:paraId="5F2CBB8C" w14:textId="77777777" w:rsidR="00E836FB" w:rsidRDefault="00E836FB">
            <w:pPr>
              <w:rPr>
                <w:rFonts w:ascii="宋体"/>
                <w:vanish/>
              </w:rPr>
            </w:pPr>
          </w:p>
        </w:tc>
      </w:tr>
    </w:tbl>
    <w:p w14:paraId="5F2CBB8E" w14:textId="77777777" w:rsidR="00E836FB" w:rsidRDefault="00994958">
      <w:pPr>
        <w:spacing w:before="90"/>
        <w:textAlignment w:val="top"/>
      </w:pPr>
      <w:r>
        <w:rPr>
          <w:rFonts w:ascii="Arial" w:eastAsia="宋体" w:hAnsi="Arial" w:cs="Arial"/>
          <w:b/>
          <w:bCs/>
          <w:color w:val="000000"/>
          <w:sz w:val="20"/>
          <w:szCs w:val="20"/>
        </w:rPr>
        <w:t>Income Tax Expense</w:t>
      </w:r>
    </w:p>
    <w:p w14:paraId="5F2CBB8F" w14:textId="77777777" w:rsidR="00E836FB" w:rsidRDefault="00994958">
      <w:pPr>
        <w:spacing w:before="60"/>
        <w:ind w:firstLine="450"/>
        <w:jc w:val="both"/>
        <w:textAlignment w:val="top"/>
      </w:pPr>
      <w:r>
        <w:rPr>
          <w:rFonts w:ascii="Arial" w:eastAsia="宋体" w:hAnsi="Arial" w:cs="Arial"/>
          <w:color w:val="000000"/>
          <w:sz w:val="20"/>
          <w:szCs w:val="20"/>
        </w:rPr>
        <w:t xml:space="preserve">Income tax </w:t>
      </w:r>
      <w:r>
        <w:rPr>
          <w:rFonts w:ascii="Arial" w:eastAsia="宋体" w:hAnsi="Arial" w:cs="Arial"/>
          <w:color w:val="000000"/>
          <w:sz w:val="20"/>
          <w:szCs w:val="20"/>
        </w:rPr>
        <w:t>expense was $478 million in 2021 compared to $479 million in 2020. Our effective tax rate was 15.1% in 2021 compared to 16.5% in 2020. The decrease in the effective tax rate is primarily due to discrete benefits from the completion of tax audits and tax re</w:t>
      </w:r>
      <w:r>
        <w:rPr>
          <w:rFonts w:ascii="Arial" w:eastAsia="宋体" w:hAnsi="Arial" w:cs="Arial"/>
          <w:color w:val="000000"/>
          <w:sz w:val="20"/>
          <w:szCs w:val="20"/>
        </w:rPr>
        <w:t>turn finalization.</w:t>
      </w:r>
    </w:p>
    <w:p w14:paraId="5F2CBB90" w14:textId="77777777" w:rsidR="00E836FB" w:rsidRDefault="00994958">
      <w:pPr>
        <w:spacing w:before="60"/>
        <w:ind w:firstLine="450"/>
        <w:jc w:val="both"/>
        <w:textAlignment w:val="top"/>
      </w:pPr>
      <w:r>
        <w:rPr>
          <w:rFonts w:ascii="Arial" w:eastAsia="宋体" w:hAnsi="Arial" w:cs="Arial"/>
          <w:color w:val="000000"/>
          <w:sz w:val="20"/>
          <w:szCs w:val="20"/>
        </w:rPr>
        <w:t>Additional information regarding income tax expense, including unrecognized tax benefits and tax contingencies, are provided in Notes 13 and 22 to the consolidated financial statements in this Form 10-K.</w:t>
      </w:r>
    </w:p>
    <w:p w14:paraId="5F2CBB91" w14:textId="77777777" w:rsidR="00E836FB" w:rsidRDefault="00994958">
      <w:pPr>
        <w:spacing w:before="90"/>
        <w:jc w:val="both"/>
        <w:textAlignment w:val="top"/>
      </w:pPr>
      <w:r>
        <w:rPr>
          <w:rFonts w:ascii="Arial" w:eastAsia="宋体" w:hAnsi="Arial" w:cs="Arial"/>
          <w:b/>
          <w:bCs/>
          <w:color w:val="000000"/>
          <w:sz w:val="20"/>
          <w:szCs w:val="20"/>
        </w:rPr>
        <w:t>LINE OF BUSINESS INFORMATION</w:t>
      </w:r>
    </w:p>
    <w:p w14:paraId="5F2CBB92" w14:textId="77777777" w:rsidR="00E836FB" w:rsidRDefault="00994958">
      <w:pPr>
        <w:spacing w:before="20"/>
        <w:ind w:firstLine="450"/>
        <w:jc w:val="both"/>
        <w:textAlignment w:val="top"/>
      </w:pPr>
      <w:r>
        <w:rPr>
          <w:rFonts w:ascii="Arial" w:eastAsia="宋体" w:hAnsi="Arial" w:cs="Arial"/>
          <w:color w:val="000000"/>
          <w:sz w:val="20"/>
          <w:szCs w:val="20"/>
        </w:rPr>
        <w:t xml:space="preserve">Our </w:t>
      </w:r>
      <w:r>
        <w:rPr>
          <w:rFonts w:ascii="Arial" w:eastAsia="宋体" w:hAnsi="Arial" w:cs="Arial"/>
          <w:color w:val="000000"/>
          <w:sz w:val="20"/>
          <w:szCs w:val="20"/>
        </w:rPr>
        <w:t xml:space="preserve">operations are organized into two lines of business: Investment Servicing and Investment Management, which are defined based on products and services provided. The results of operations for these lines of business are not necessarily comparable with those </w:t>
      </w:r>
      <w:r>
        <w:rPr>
          <w:rFonts w:ascii="Arial" w:eastAsia="宋体" w:hAnsi="Arial" w:cs="Arial"/>
          <w:color w:val="000000"/>
          <w:sz w:val="20"/>
          <w:szCs w:val="20"/>
        </w:rPr>
        <w:t>of other companies, including companies in the financial services industry. For the description of our lines of business, refer to "Lines of Business” in Item 1 in this Form 10-K. Certain costs are not allocated to our two lines of business, including repo</w:t>
      </w:r>
      <w:r>
        <w:rPr>
          <w:rFonts w:ascii="Arial" w:eastAsia="宋体" w:hAnsi="Arial" w:cs="Arial"/>
          <w:color w:val="000000"/>
          <w:sz w:val="20"/>
          <w:szCs w:val="20"/>
        </w:rPr>
        <w:t>sitioning charges, acquisition costs and certain legal accruals. In addition, the acceleration of deferred compensation of $147 million in 2021 was not allocated to our two lines of business. See Note 24 to the consolidated financial statements in this For</w:t>
      </w:r>
      <w:r>
        <w:rPr>
          <w:rFonts w:ascii="Arial" w:eastAsia="宋体" w:hAnsi="Arial" w:cs="Arial"/>
          <w:color w:val="000000"/>
          <w:sz w:val="20"/>
          <w:szCs w:val="20"/>
        </w:rPr>
        <w:t>m 10-K.</w:t>
      </w:r>
    </w:p>
    <w:p w14:paraId="5F2CBB93" w14:textId="77777777" w:rsidR="00E836FB" w:rsidRDefault="00E836FB">
      <w:pPr>
        <w:spacing w:before="20"/>
        <w:ind w:firstLine="450"/>
        <w:jc w:val="both"/>
        <w:textAlignment w:val="top"/>
      </w:pPr>
    </w:p>
    <w:p w14:paraId="5F2CBB94" w14:textId="77777777" w:rsidR="00E836FB" w:rsidRDefault="00E836FB">
      <w:pPr>
        <w:spacing w:before="60"/>
        <w:ind w:firstLine="450"/>
        <w:jc w:val="both"/>
        <w:textAlignment w:val="top"/>
      </w:pPr>
    </w:p>
    <w:p w14:paraId="5F2CBB95" w14:textId="77777777" w:rsidR="00E836FB" w:rsidRDefault="00E836FB">
      <w:pPr>
        <w:spacing w:before="60"/>
        <w:ind w:firstLine="450"/>
        <w:jc w:val="both"/>
      </w:pPr>
    </w:p>
    <w:p w14:paraId="5F2CBB96" w14:textId="77777777" w:rsidR="00E836FB" w:rsidRDefault="00E836FB">
      <w:pPr>
        <w:spacing w:before="60"/>
        <w:ind w:firstLine="450"/>
        <w:jc w:val="both"/>
      </w:pPr>
    </w:p>
    <w:p w14:paraId="5F2CBB97" w14:textId="77777777" w:rsidR="00E836FB" w:rsidRDefault="00994958">
      <w:pPr>
        <w:ind w:firstLine="450"/>
        <w:jc w:val="right"/>
      </w:pPr>
      <w:r>
        <w:rPr>
          <w:rFonts w:ascii="Arial" w:eastAsia="宋体" w:hAnsi="Arial" w:cs="Arial"/>
          <w:color w:val="000000"/>
          <w:sz w:val="18"/>
          <w:szCs w:val="18"/>
        </w:rPr>
        <w:t>State Street Corporation | 74</w:t>
      </w:r>
    </w:p>
    <w:p w14:paraId="5F2CBB98" w14:textId="77777777" w:rsidR="00E836FB" w:rsidRDefault="00E836FB">
      <w:pPr>
        <w:ind w:firstLine="450"/>
        <w:jc w:val="center"/>
      </w:pPr>
    </w:p>
    <w:p w14:paraId="5F2CBB99" w14:textId="77777777" w:rsidR="00E836FB" w:rsidRDefault="00994958">
      <w:r>
        <w:pict w14:anchorId="5F2D6DCF">
          <v:rect id="_x0000_i1098" style="width:415.3pt;height:1.5pt" o:hralign="center" o:hrstd="t" o:hr="t" fillcolor="#a0a0a0" stroked="f"/>
        </w:pict>
      </w:r>
    </w:p>
    <w:p w14:paraId="5F2CBB9A"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B9B" w14:textId="77777777" w:rsidR="00E836FB" w:rsidRDefault="00994958">
      <w:pPr>
        <w:ind w:firstLine="450"/>
        <w:jc w:val="center"/>
      </w:pPr>
      <w:r>
        <w:rPr>
          <w:rFonts w:ascii="Arial" w:eastAsia="宋体" w:hAnsi="Arial" w:cs="Arial"/>
          <w:b/>
          <w:bCs/>
          <w:color w:val="000000"/>
          <w:sz w:val="20"/>
          <w:szCs w:val="20"/>
        </w:rPr>
        <w:t>AND RESULTS OF OPERATIONS</w:t>
      </w:r>
    </w:p>
    <w:p w14:paraId="5F2CBB9C" w14:textId="77777777" w:rsidR="00E836FB" w:rsidRDefault="00994958">
      <w:pPr>
        <w:spacing w:before="90"/>
      </w:pPr>
      <w:r>
        <w:rPr>
          <w:rFonts w:ascii="Arial" w:eastAsia="宋体" w:hAnsi="Arial" w:cs="Arial"/>
          <w:b/>
          <w:bCs/>
          <w:color w:val="000000"/>
          <w:sz w:val="20"/>
          <w:szCs w:val="20"/>
        </w:rPr>
        <w:t>Investment Servicing</w:t>
      </w:r>
    </w:p>
    <w:tbl>
      <w:tblPr>
        <w:tblW w:w="4993" w:type="pct"/>
        <w:tblCellMar>
          <w:top w:w="15" w:type="dxa"/>
          <w:left w:w="15" w:type="dxa"/>
          <w:bottom w:w="15" w:type="dxa"/>
          <w:right w:w="15" w:type="dxa"/>
        </w:tblCellMar>
        <w:tblLook w:val="04A0" w:firstRow="1" w:lastRow="0" w:firstColumn="1" w:lastColumn="0" w:noHBand="0" w:noVBand="1"/>
      </w:tblPr>
      <w:tblGrid>
        <w:gridCol w:w="37"/>
        <w:gridCol w:w="3267"/>
        <w:gridCol w:w="37"/>
        <w:gridCol w:w="76"/>
        <w:gridCol w:w="76"/>
        <w:gridCol w:w="76"/>
        <w:gridCol w:w="76"/>
        <w:gridCol w:w="76"/>
        <w:gridCol w:w="76"/>
        <w:gridCol w:w="98"/>
        <w:gridCol w:w="544"/>
        <w:gridCol w:w="145"/>
        <w:gridCol w:w="36"/>
        <w:gridCol w:w="36"/>
        <w:gridCol w:w="36"/>
        <w:gridCol w:w="98"/>
        <w:gridCol w:w="441"/>
        <w:gridCol w:w="145"/>
        <w:gridCol w:w="36"/>
        <w:gridCol w:w="36"/>
        <w:gridCol w:w="36"/>
        <w:gridCol w:w="98"/>
        <w:gridCol w:w="408"/>
        <w:gridCol w:w="145"/>
        <w:gridCol w:w="49"/>
        <w:gridCol w:w="255"/>
        <w:gridCol w:w="48"/>
        <w:gridCol w:w="57"/>
        <w:gridCol w:w="492"/>
        <w:gridCol w:w="145"/>
        <w:gridCol w:w="36"/>
        <w:gridCol w:w="36"/>
        <w:gridCol w:w="36"/>
        <w:gridCol w:w="40"/>
        <w:gridCol w:w="310"/>
        <w:gridCol w:w="145"/>
        <w:gridCol w:w="36"/>
        <w:gridCol w:w="36"/>
        <w:gridCol w:w="36"/>
        <w:gridCol w:w="36"/>
        <w:gridCol w:w="36"/>
        <w:gridCol w:w="36"/>
        <w:gridCol w:w="36"/>
        <w:gridCol w:w="36"/>
        <w:gridCol w:w="36"/>
        <w:gridCol w:w="36"/>
        <w:gridCol w:w="36"/>
        <w:gridCol w:w="36"/>
        <w:gridCol w:w="36"/>
        <w:gridCol w:w="36"/>
        <w:gridCol w:w="36"/>
      </w:tblGrid>
      <w:tr w:rsidR="00E836FB" w14:paraId="5F2CBBC7" w14:textId="77777777">
        <w:tc>
          <w:tcPr>
            <w:tcW w:w="50" w:type="pct"/>
            <w:shd w:val="clear" w:color="auto" w:fill="auto"/>
            <w:vAlign w:val="bottom"/>
          </w:tcPr>
          <w:p w14:paraId="5F2CBB9D" w14:textId="77777777" w:rsidR="00E836FB" w:rsidRDefault="00E836FB">
            <w:pPr>
              <w:rPr>
                <w:rFonts w:ascii="宋体"/>
              </w:rPr>
            </w:pPr>
          </w:p>
        </w:tc>
        <w:tc>
          <w:tcPr>
            <w:tcW w:w="2346" w:type="pct"/>
            <w:shd w:val="clear" w:color="auto" w:fill="auto"/>
            <w:vAlign w:val="bottom"/>
          </w:tcPr>
          <w:p w14:paraId="5F2CBB9E" w14:textId="77777777" w:rsidR="00E836FB" w:rsidRDefault="00E836FB">
            <w:pPr>
              <w:rPr>
                <w:rFonts w:ascii="宋体"/>
              </w:rPr>
            </w:pPr>
          </w:p>
        </w:tc>
        <w:tc>
          <w:tcPr>
            <w:tcW w:w="5" w:type="pct"/>
            <w:shd w:val="clear" w:color="auto" w:fill="auto"/>
            <w:vAlign w:val="bottom"/>
          </w:tcPr>
          <w:p w14:paraId="5F2CBB9F" w14:textId="77777777" w:rsidR="00E836FB" w:rsidRDefault="00E836FB">
            <w:pPr>
              <w:rPr>
                <w:rFonts w:ascii="宋体"/>
              </w:rPr>
            </w:pPr>
          </w:p>
        </w:tc>
        <w:tc>
          <w:tcPr>
            <w:tcW w:w="0" w:type="auto"/>
            <w:shd w:val="clear" w:color="auto" w:fill="auto"/>
            <w:vAlign w:val="bottom"/>
          </w:tcPr>
          <w:p w14:paraId="5F2CBBA0" w14:textId="77777777" w:rsidR="00E836FB" w:rsidRDefault="00E836FB">
            <w:pPr>
              <w:rPr>
                <w:rFonts w:ascii="宋体"/>
                <w:vanish/>
              </w:rPr>
            </w:pPr>
          </w:p>
        </w:tc>
        <w:tc>
          <w:tcPr>
            <w:tcW w:w="0" w:type="auto"/>
            <w:shd w:val="clear" w:color="auto" w:fill="auto"/>
            <w:vAlign w:val="bottom"/>
          </w:tcPr>
          <w:p w14:paraId="5F2CBBA1" w14:textId="77777777" w:rsidR="00E836FB" w:rsidRDefault="00E836FB">
            <w:pPr>
              <w:rPr>
                <w:rFonts w:ascii="宋体"/>
                <w:vanish/>
              </w:rPr>
            </w:pPr>
          </w:p>
        </w:tc>
        <w:tc>
          <w:tcPr>
            <w:tcW w:w="0" w:type="auto"/>
            <w:shd w:val="clear" w:color="auto" w:fill="auto"/>
            <w:vAlign w:val="bottom"/>
          </w:tcPr>
          <w:p w14:paraId="5F2CBBA2" w14:textId="77777777" w:rsidR="00E836FB" w:rsidRDefault="00E836FB">
            <w:pPr>
              <w:rPr>
                <w:rFonts w:ascii="宋体"/>
                <w:vanish/>
              </w:rPr>
            </w:pPr>
          </w:p>
        </w:tc>
        <w:tc>
          <w:tcPr>
            <w:tcW w:w="0" w:type="auto"/>
            <w:shd w:val="clear" w:color="auto" w:fill="auto"/>
            <w:vAlign w:val="bottom"/>
          </w:tcPr>
          <w:p w14:paraId="5F2CBBA3" w14:textId="77777777" w:rsidR="00E836FB" w:rsidRDefault="00E836FB">
            <w:pPr>
              <w:rPr>
                <w:rFonts w:ascii="宋体"/>
                <w:vanish/>
              </w:rPr>
            </w:pPr>
          </w:p>
        </w:tc>
        <w:tc>
          <w:tcPr>
            <w:tcW w:w="0" w:type="auto"/>
            <w:shd w:val="clear" w:color="auto" w:fill="auto"/>
            <w:vAlign w:val="bottom"/>
          </w:tcPr>
          <w:p w14:paraId="5F2CBBA4" w14:textId="77777777" w:rsidR="00E836FB" w:rsidRDefault="00E836FB">
            <w:pPr>
              <w:rPr>
                <w:rFonts w:ascii="宋体"/>
                <w:vanish/>
              </w:rPr>
            </w:pPr>
          </w:p>
        </w:tc>
        <w:tc>
          <w:tcPr>
            <w:tcW w:w="0" w:type="auto"/>
            <w:shd w:val="clear" w:color="auto" w:fill="auto"/>
            <w:vAlign w:val="bottom"/>
          </w:tcPr>
          <w:p w14:paraId="5F2CBBA5" w14:textId="77777777" w:rsidR="00E836FB" w:rsidRDefault="00E836FB">
            <w:pPr>
              <w:rPr>
                <w:rFonts w:ascii="宋体"/>
                <w:vanish/>
              </w:rPr>
            </w:pPr>
          </w:p>
        </w:tc>
        <w:tc>
          <w:tcPr>
            <w:tcW w:w="50" w:type="pct"/>
            <w:shd w:val="clear" w:color="auto" w:fill="auto"/>
            <w:vAlign w:val="bottom"/>
          </w:tcPr>
          <w:p w14:paraId="5F2CBBA6" w14:textId="77777777" w:rsidR="00E836FB" w:rsidRDefault="00E836FB">
            <w:pPr>
              <w:rPr>
                <w:rFonts w:ascii="宋体"/>
              </w:rPr>
            </w:pPr>
          </w:p>
        </w:tc>
        <w:tc>
          <w:tcPr>
            <w:tcW w:w="442" w:type="pct"/>
            <w:shd w:val="clear" w:color="auto" w:fill="auto"/>
            <w:vAlign w:val="bottom"/>
          </w:tcPr>
          <w:p w14:paraId="5F2CBBA7" w14:textId="77777777" w:rsidR="00E836FB" w:rsidRDefault="00E836FB">
            <w:pPr>
              <w:rPr>
                <w:rFonts w:ascii="宋体"/>
              </w:rPr>
            </w:pPr>
          </w:p>
        </w:tc>
        <w:tc>
          <w:tcPr>
            <w:tcW w:w="5" w:type="pct"/>
            <w:shd w:val="clear" w:color="auto" w:fill="auto"/>
            <w:vAlign w:val="bottom"/>
          </w:tcPr>
          <w:p w14:paraId="5F2CBBA8" w14:textId="77777777" w:rsidR="00E836FB" w:rsidRDefault="00E836FB">
            <w:pPr>
              <w:rPr>
                <w:rFonts w:ascii="宋体"/>
              </w:rPr>
            </w:pPr>
          </w:p>
        </w:tc>
        <w:tc>
          <w:tcPr>
            <w:tcW w:w="5" w:type="pct"/>
            <w:shd w:val="clear" w:color="auto" w:fill="auto"/>
            <w:vAlign w:val="bottom"/>
          </w:tcPr>
          <w:p w14:paraId="5F2CBBA9" w14:textId="77777777" w:rsidR="00E836FB" w:rsidRDefault="00E836FB">
            <w:pPr>
              <w:rPr>
                <w:rFonts w:ascii="宋体"/>
              </w:rPr>
            </w:pPr>
          </w:p>
        </w:tc>
        <w:tc>
          <w:tcPr>
            <w:tcW w:w="26" w:type="pct"/>
            <w:shd w:val="clear" w:color="auto" w:fill="auto"/>
            <w:vAlign w:val="bottom"/>
          </w:tcPr>
          <w:p w14:paraId="5F2CBBAA" w14:textId="77777777" w:rsidR="00E836FB" w:rsidRDefault="00E836FB">
            <w:pPr>
              <w:rPr>
                <w:rFonts w:ascii="宋体"/>
              </w:rPr>
            </w:pPr>
          </w:p>
        </w:tc>
        <w:tc>
          <w:tcPr>
            <w:tcW w:w="5" w:type="pct"/>
            <w:shd w:val="clear" w:color="auto" w:fill="auto"/>
            <w:vAlign w:val="bottom"/>
          </w:tcPr>
          <w:p w14:paraId="5F2CBBAB" w14:textId="77777777" w:rsidR="00E836FB" w:rsidRDefault="00E836FB">
            <w:pPr>
              <w:rPr>
                <w:rFonts w:ascii="宋体"/>
              </w:rPr>
            </w:pPr>
          </w:p>
        </w:tc>
        <w:tc>
          <w:tcPr>
            <w:tcW w:w="50" w:type="pct"/>
            <w:shd w:val="clear" w:color="auto" w:fill="auto"/>
            <w:vAlign w:val="bottom"/>
          </w:tcPr>
          <w:p w14:paraId="5F2CBBAC" w14:textId="77777777" w:rsidR="00E836FB" w:rsidRDefault="00E836FB">
            <w:pPr>
              <w:rPr>
                <w:rFonts w:ascii="宋体"/>
              </w:rPr>
            </w:pPr>
          </w:p>
        </w:tc>
        <w:tc>
          <w:tcPr>
            <w:tcW w:w="442" w:type="pct"/>
            <w:shd w:val="clear" w:color="auto" w:fill="auto"/>
            <w:vAlign w:val="bottom"/>
          </w:tcPr>
          <w:p w14:paraId="5F2CBBAD" w14:textId="77777777" w:rsidR="00E836FB" w:rsidRDefault="00E836FB">
            <w:pPr>
              <w:rPr>
                <w:rFonts w:ascii="宋体"/>
              </w:rPr>
            </w:pPr>
          </w:p>
        </w:tc>
        <w:tc>
          <w:tcPr>
            <w:tcW w:w="5" w:type="pct"/>
            <w:shd w:val="clear" w:color="auto" w:fill="auto"/>
            <w:vAlign w:val="bottom"/>
          </w:tcPr>
          <w:p w14:paraId="5F2CBBAE" w14:textId="77777777" w:rsidR="00E836FB" w:rsidRDefault="00E836FB">
            <w:pPr>
              <w:rPr>
                <w:rFonts w:ascii="宋体"/>
              </w:rPr>
            </w:pPr>
          </w:p>
        </w:tc>
        <w:tc>
          <w:tcPr>
            <w:tcW w:w="5" w:type="pct"/>
            <w:shd w:val="clear" w:color="auto" w:fill="auto"/>
            <w:vAlign w:val="bottom"/>
          </w:tcPr>
          <w:p w14:paraId="5F2CBBAF" w14:textId="77777777" w:rsidR="00E836FB" w:rsidRDefault="00E836FB">
            <w:pPr>
              <w:rPr>
                <w:rFonts w:ascii="宋体"/>
              </w:rPr>
            </w:pPr>
          </w:p>
        </w:tc>
        <w:tc>
          <w:tcPr>
            <w:tcW w:w="26" w:type="pct"/>
            <w:shd w:val="clear" w:color="auto" w:fill="auto"/>
            <w:vAlign w:val="bottom"/>
          </w:tcPr>
          <w:p w14:paraId="5F2CBBB0" w14:textId="77777777" w:rsidR="00E836FB" w:rsidRDefault="00E836FB">
            <w:pPr>
              <w:rPr>
                <w:rFonts w:ascii="宋体"/>
              </w:rPr>
            </w:pPr>
          </w:p>
        </w:tc>
        <w:tc>
          <w:tcPr>
            <w:tcW w:w="5" w:type="pct"/>
            <w:shd w:val="clear" w:color="auto" w:fill="auto"/>
            <w:vAlign w:val="bottom"/>
          </w:tcPr>
          <w:p w14:paraId="5F2CBBB1" w14:textId="77777777" w:rsidR="00E836FB" w:rsidRDefault="00E836FB">
            <w:pPr>
              <w:rPr>
                <w:rFonts w:ascii="宋体"/>
              </w:rPr>
            </w:pPr>
          </w:p>
        </w:tc>
        <w:tc>
          <w:tcPr>
            <w:tcW w:w="50" w:type="pct"/>
            <w:shd w:val="clear" w:color="auto" w:fill="auto"/>
            <w:vAlign w:val="bottom"/>
          </w:tcPr>
          <w:p w14:paraId="5F2CBBB2" w14:textId="77777777" w:rsidR="00E836FB" w:rsidRDefault="00E836FB">
            <w:pPr>
              <w:rPr>
                <w:rFonts w:ascii="宋体"/>
              </w:rPr>
            </w:pPr>
          </w:p>
        </w:tc>
        <w:tc>
          <w:tcPr>
            <w:tcW w:w="420" w:type="pct"/>
            <w:shd w:val="clear" w:color="auto" w:fill="auto"/>
            <w:vAlign w:val="bottom"/>
          </w:tcPr>
          <w:p w14:paraId="5F2CBBB3" w14:textId="77777777" w:rsidR="00E836FB" w:rsidRDefault="00E836FB">
            <w:pPr>
              <w:rPr>
                <w:rFonts w:ascii="宋体"/>
              </w:rPr>
            </w:pPr>
          </w:p>
        </w:tc>
        <w:tc>
          <w:tcPr>
            <w:tcW w:w="5" w:type="pct"/>
            <w:shd w:val="clear" w:color="auto" w:fill="auto"/>
            <w:vAlign w:val="bottom"/>
          </w:tcPr>
          <w:p w14:paraId="5F2CBBB4" w14:textId="77777777" w:rsidR="00E836FB" w:rsidRDefault="00E836FB">
            <w:pPr>
              <w:rPr>
                <w:rFonts w:ascii="宋体"/>
              </w:rPr>
            </w:pPr>
          </w:p>
        </w:tc>
        <w:tc>
          <w:tcPr>
            <w:tcW w:w="5" w:type="pct"/>
            <w:shd w:val="clear" w:color="auto" w:fill="auto"/>
            <w:vAlign w:val="bottom"/>
          </w:tcPr>
          <w:p w14:paraId="5F2CBBB5" w14:textId="77777777" w:rsidR="00E836FB" w:rsidRDefault="00E836FB">
            <w:pPr>
              <w:rPr>
                <w:rFonts w:ascii="宋体"/>
              </w:rPr>
            </w:pPr>
          </w:p>
        </w:tc>
        <w:tc>
          <w:tcPr>
            <w:tcW w:w="26" w:type="pct"/>
            <w:shd w:val="clear" w:color="auto" w:fill="auto"/>
            <w:vAlign w:val="bottom"/>
          </w:tcPr>
          <w:p w14:paraId="5F2CBBB6" w14:textId="77777777" w:rsidR="00E836FB" w:rsidRDefault="00E836FB">
            <w:pPr>
              <w:rPr>
                <w:rFonts w:ascii="宋体"/>
              </w:rPr>
            </w:pPr>
          </w:p>
        </w:tc>
        <w:tc>
          <w:tcPr>
            <w:tcW w:w="5" w:type="pct"/>
            <w:shd w:val="clear" w:color="auto" w:fill="auto"/>
            <w:vAlign w:val="bottom"/>
          </w:tcPr>
          <w:p w14:paraId="5F2CBBB7" w14:textId="77777777" w:rsidR="00E836FB" w:rsidRDefault="00E836FB">
            <w:pPr>
              <w:rPr>
                <w:rFonts w:ascii="宋体"/>
              </w:rPr>
            </w:pPr>
          </w:p>
        </w:tc>
        <w:tc>
          <w:tcPr>
            <w:tcW w:w="50" w:type="pct"/>
            <w:shd w:val="clear" w:color="auto" w:fill="auto"/>
            <w:vAlign w:val="bottom"/>
          </w:tcPr>
          <w:p w14:paraId="5F2CBBB8" w14:textId="77777777" w:rsidR="00E836FB" w:rsidRDefault="00E836FB">
            <w:pPr>
              <w:rPr>
                <w:rFonts w:ascii="宋体"/>
              </w:rPr>
            </w:pPr>
          </w:p>
        </w:tc>
        <w:tc>
          <w:tcPr>
            <w:tcW w:w="435" w:type="pct"/>
            <w:shd w:val="clear" w:color="auto" w:fill="auto"/>
            <w:vAlign w:val="bottom"/>
          </w:tcPr>
          <w:p w14:paraId="5F2CBBB9" w14:textId="77777777" w:rsidR="00E836FB" w:rsidRDefault="00E836FB">
            <w:pPr>
              <w:rPr>
                <w:rFonts w:ascii="宋体"/>
              </w:rPr>
            </w:pPr>
          </w:p>
        </w:tc>
        <w:tc>
          <w:tcPr>
            <w:tcW w:w="5" w:type="pct"/>
            <w:shd w:val="clear" w:color="auto" w:fill="auto"/>
            <w:vAlign w:val="bottom"/>
          </w:tcPr>
          <w:p w14:paraId="5F2CBBBA" w14:textId="77777777" w:rsidR="00E836FB" w:rsidRDefault="00E836FB">
            <w:pPr>
              <w:rPr>
                <w:rFonts w:ascii="宋体"/>
              </w:rPr>
            </w:pPr>
          </w:p>
        </w:tc>
        <w:tc>
          <w:tcPr>
            <w:tcW w:w="5" w:type="pct"/>
            <w:shd w:val="clear" w:color="auto" w:fill="auto"/>
            <w:vAlign w:val="bottom"/>
          </w:tcPr>
          <w:p w14:paraId="5F2CBBBB" w14:textId="77777777" w:rsidR="00E836FB" w:rsidRDefault="00E836FB">
            <w:pPr>
              <w:rPr>
                <w:rFonts w:ascii="宋体"/>
              </w:rPr>
            </w:pPr>
          </w:p>
        </w:tc>
        <w:tc>
          <w:tcPr>
            <w:tcW w:w="26" w:type="pct"/>
            <w:shd w:val="clear" w:color="auto" w:fill="auto"/>
            <w:vAlign w:val="bottom"/>
          </w:tcPr>
          <w:p w14:paraId="5F2CBBBC" w14:textId="77777777" w:rsidR="00E836FB" w:rsidRDefault="00E836FB">
            <w:pPr>
              <w:rPr>
                <w:rFonts w:ascii="宋体"/>
              </w:rPr>
            </w:pPr>
          </w:p>
        </w:tc>
        <w:tc>
          <w:tcPr>
            <w:tcW w:w="5" w:type="pct"/>
            <w:shd w:val="clear" w:color="auto" w:fill="auto"/>
            <w:vAlign w:val="bottom"/>
          </w:tcPr>
          <w:p w14:paraId="5F2CBBBD" w14:textId="77777777" w:rsidR="00E836FB" w:rsidRDefault="00E836FB">
            <w:pPr>
              <w:rPr>
                <w:rFonts w:ascii="宋体"/>
              </w:rPr>
            </w:pPr>
          </w:p>
        </w:tc>
        <w:tc>
          <w:tcPr>
            <w:tcW w:w="50" w:type="pct"/>
            <w:shd w:val="clear" w:color="auto" w:fill="auto"/>
            <w:vAlign w:val="bottom"/>
          </w:tcPr>
          <w:p w14:paraId="5F2CBBBE" w14:textId="77777777" w:rsidR="00E836FB" w:rsidRDefault="00E836FB">
            <w:pPr>
              <w:rPr>
                <w:rFonts w:ascii="宋体"/>
              </w:rPr>
            </w:pPr>
          </w:p>
        </w:tc>
        <w:tc>
          <w:tcPr>
            <w:tcW w:w="435" w:type="pct"/>
            <w:shd w:val="clear" w:color="auto" w:fill="auto"/>
            <w:vAlign w:val="bottom"/>
          </w:tcPr>
          <w:p w14:paraId="5F2CBBBF" w14:textId="77777777" w:rsidR="00E836FB" w:rsidRDefault="00E836FB">
            <w:pPr>
              <w:rPr>
                <w:rFonts w:ascii="宋体"/>
              </w:rPr>
            </w:pPr>
          </w:p>
        </w:tc>
        <w:tc>
          <w:tcPr>
            <w:tcW w:w="5" w:type="pct"/>
            <w:shd w:val="clear" w:color="auto" w:fill="auto"/>
            <w:vAlign w:val="bottom"/>
          </w:tcPr>
          <w:p w14:paraId="5F2CBBC0" w14:textId="77777777" w:rsidR="00E836FB" w:rsidRDefault="00E836FB">
            <w:pPr>
              <w:rPr>
                <w:rFonts w:ascii="宋体"/>
              </w:rPr>
            </w:pPr>
          </w:p>
        </w:tc>
        <w:tc>
          <w:tcPr>
            <w:tcW w:w="0" w:type="auto"/>
            <w:gridSpan w:val="3"/>
            <w:shd w:val="clear" w:color="auto" w:fill="auto"/>
            <w:vAlign w:val="bottom"/>
          </w:tcPr>
          <w:p w14:paraId="5F2CBBC1" w14:textId="77777777" w:rsidR="00E836FB" w:rsidRDefault="00E836FB">
            <w:pPr>
              <w:rPr>
                <w:rFonts w:ascii="宋体"/>
                <w:vanish/>
              </w:rPr>
            </w:pPr>
          </w:p>
        </w:tc>
        <w:tc>
          <w:tcPr>
            <w:tcW w:w="0" w:type="auto"/>
            <w:gridSpan w:val="3"/>
            <w:shd w:val="clear" w:color="auto" w:fill="auto"/>
            <w:vAlign w:val="bottom"/>
          </w:tcPr>
          <w:p w14:paraId="5F2CBBC2" w14:textId="77777777" w:rsidR="00E836FB" w:rsidRDefault="00E836FB">
            <w:pPr>
              <w:rPr>
                <w:rFonts w:ascii="宋体"/>
                <w:vanish/>
              </w:rPr>
            </w:pPr>
          </w:p>
        </w:tc>
        <w:tc>
          <w:tcPr>
            <w:tcW w:w="0" w:type="auto"/>
            <w:gridSpan w:val="3"/>
            <w:shd w:val="clear" w:color="auto" w:fill="auto"/>
            <w:vAlign w:val="bottom"/>
          </w:tcPr>
          <w:p w14:paraId="5F2CBBC3" w14:textId="77777777" w:rsidR="00E836FB" w:rsidRDefault="00E836FB">
            <w:pPr>
              <w:rPr>
                <w:rFonts w:ascii="宋体"/>
                <w:vanish/>
              </w:rPr>
            </w:pPr>
          </w:p>
        </w:tc>
        <w:tc>
          <w:tcPr>
            <w:tcW w:w="0" w:type="auto"/>
            <w:gridSpan w:val="3"/>
            <w:shd w:val="clear" w:color="auto" w:fill="auto"/>
            <w:vAlign w:val="bottom"/>
          </w:tcPr>
          <w:p w14:paraId="5F2CBBC4" w14:textId="77777777" w:rsidR="00E836FB" w:rsidRDefault="00E836FB">
            <w:pPr>
              <w:rPr>
                <w:rFonts w:ascii="宋体"/>
                <w:vanish/>
              </w:rPr>
            </w:pPr>
          </w:p>
        </w:tc>
        <w:tc>
          <w:tcPr>
            <w:tcW w:w="0" w:type="auto"/>
            <w:gridSpan w:val="2"/>
            <w:shd w:val="clear" w:color="auto" w:fill="auto"/>
            <w:vAlign w:val="bottom"/>
          </w:tcPr>
          <w:p w14:paraId="5F2CBBC5" w14:textId="77777777" w:rsidR="00E836FB" w:rsidRDefault="00E836FB">
            <w:pPr>
              <w:rPr>
                <w:rFonts w:ascii="宋体"/>
                <w:vanish/>
              </w:rPr>
            </w:pPr>
          </w:p>
        </w:tc>
        <w:tc>
          <w:tcPr>
            <w:tcW w:w="0" w:type="auto"/>
            <w:shd w:val="clear" w:color="auto" w:fill="auto"/>
            <w:vAlign w:val="bottom"/>
          </w:tcPr>
          <w:p w14:paraId="5F2CBBC6" w14:textId="77777777" w:rsidR="00E836FB" w:rsidRDefault="00E836FB">
            <w:pPr>
              <w:rPr>
                <w:rFonts w:ascii="宋体"/>
                <w:vanish/>
              </w:rPr>
            </w:pPr>
          </w:p>
        </w:tc>
      </w:tr>
      <w:tr w:rsidR="00E836FB" w14:paraId="5F2CBBE0" w14:textId="77777777">
        <w:tc>
          <w:tcPr>
            <w:tcW w:w="0" w:type="auto"/>
            <w:gridSpan w:val="12"/>
            <w:shd w:val="clear" w:color="auto" w:fill="auto"/>
            <w:tcMar>
              <w:top w:w="40" w:type="dxa"/>
              <w:left w:w="20" w:type="dxa"/>
              <w:bottom w:w="40" w:type="dxa"/>
              <w:right w:w="20" w:type="dxa"/>
            </w:tcMar>
            <w:vAlign w:val="bottom"/>
          </w:tcPr>
          <w:p w14:paraId="5F2CBBC8" w14:textId="77777777" w:rsidR="00E836FB" w:rsidRDefault="00994958">
            <w:pPr>
              <w:textAlignment w:val="bottom"/>
            </w:pPr>
            <w:r>
              <w:rPr>
                <w:rFonts w:ascii="Arial" w:eastAsia="宋体" w:hAnsi="Arial" w:cs="Arial"/>
                <w:b/>
                <w:bCs/>
                <w:color w:val="000000"/>
                <w:sz w:val="16"/>
                <w:szCs w:val="16"/>
              </w:rPr>
              <w:t>TABLE 17: INVESTMENT SERVICING LINE OF BUSINESS RESULTS</w:t>
            </w:r>
          </w:p>
        </w:tc>
        <w:tc>
          <w:tcPr>
            <w:tcW w:w="0" w:type="auto"/>
            <w:gridSpan w:val="3"/>
            <w:shd w:val="clear" w:color="auto" w:fill="auto"/>
            <w:tcMar>
              <w:top w:w="0" w:type="dxa"/>
              <w:left w:w="20" w:type="dxa"/>
              <w:bottom w:w="0" w:type="dxa"/>
              <w:right w:w="20" w:type="dxa"/>
            </w:tcMar>
            <w:vAlign w:val="bottom"/>
          </w:tcPr>
          <w:p w14:paraId="5F2CBBC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BCA" w14:textId="77777777" w:rsidR="00E836FB" w:rsidRDefault="00E836FB">
            <w:pPr>
              <w:rPr>
                <w:rFonts w:ascii="宋体"/>
              </w:rPr>
            </w:pPr>
          </w:p>
        </w:tc>
        <w:tc>
          <w:tcPr>
            <w:tcW w:w="0" w:type="auto"/>
            <w:gridSpan w:val="3"/>
            <w:shd w:val="clear" w:color="auto" w:fill="auto"/>
            <w:vAlign w:val="bottom"/>
          </w:tcPr>
          <w:p w14:paraId="5F2CBBCB" w14:textId="77777777" w:rsidR="00E836FB" w:rsidRDefault="00E836FB">
            <w:pPr>
              <w:rPr>
                <w:rFonts w:ascii="宋体"/>
                <w:vanish/>
              </w:rPr>
            </w:pPr>
          </w:p>
        </w:tc>
        <w:tc>
          <w:tcPr>
            <w:tcW w:w="0" w:type="auto"/>
            <w:gridSpan w:val="3"/>
            <w:shd w:val="clear" w:color="auto" w:fill="auto"/>
            <w:vAlign w:val="bottom"/>
          </w:tcPr>
          <w:p w14:paraId="5F2CBBCC" w14:textId="77777777" w:rsidR="00E836FB" w:rsidRDefault="00E836FB">
            <w:pPr>
              <w:rPr>
                <w:rFonts w:ascii="宋体"/>
                <w:vanish/>
              </w:rPr>
            </w:pPr>
          </w:p>
        </w:tc>
        <w:tc>
          <w:tcPr>
            <w:tcW w:w="0" w:type="auto"/>
            <w:gridSpan w:val="3"/>
            <w:shd w:val="clear" w:color="auto" w:fill="auto"/>
            <w:vAlign w:val="bottom"/>
          </w:tcPr>
          <w:p w14:paraId="5F2CBBCD" w14:textId="77777777" w:rsidR="00E836FB" w:rsidRDefault="00E836FB">
            <w:pPr>
              <w:rPr>
                <w:rFonts w:ascii="宋体"/>
                <w:vanish/>
              </w:rPr>
            </w:pPr>
          </w:p>
        </w:tc>
        <w:tc>
          <w:tcPr>
            <w:tcW w:w="0" w:type="auto"/>
            <w:gridSpan w:val="3"/>
            <w:shd w:val="clear" w:color="auto" w:fill="auto"/>
            <w:vAlign w:val="bottom"/>
          </w:tcPr>
          <w:p w14:paraId="5F2CBBCE" w14:textId="77777777" w:rsidR="00E836FB" w:rsidRDefault="00E836FB">
            <w:pPr>
              <w:rPr>
                <w:rFonts w:ascii="宋体"/>
                <w:vanish/>
              </w:rPr>
            </w:pPr>
          </w:p>
        </w:tc>
        <w:tc>
          <w:tcPr>
            <w:tcW w:w="0" w:type="auto"/>
            <w:gridSpan w:val="3"/>
            <w:shd w:val="clear" w:color="auto" w:fill="auto"/>
            <w:vAlign w:val="bottom"/>
          </w:tcPr>
          <w:p w14:paraId="5F2CBBCF" w14:textId="77777777" w:rsidR="00E836FB" w:rsidRDefault="00E836FB">
            <w:pPr>
              <w:rPr>
                <w:rFonts w:ascii="宋体"/>
                <w:vanish/>
              </w:rPr>
            </w:pPr>
          </w:p>
        </w:tc>
        <w:tc>
          <w:tcPr>
            <w:tcW w:w="0" w:type="auto"/>
            <w:gridSpan w:val="3"/>
            <w:shd w:val="clear" w:color="auto" w:fill="auto"/>
            <w:vAlign w:val="bottom"/>
          </w:tcPr>
          <w:p w14:paraId="5F2CBBD0" w14:textId="77777777" w:rsidR="00E836FB" w:rsidRDefault="00E836FB">
            <w:pPr>
              <w:rPr>
                <w:rFonts w:ascii="宋体"/>
                <w:vanish/>
              </w:rPr>
            </w:pPr>
          </w:p>
        </w:tc>
        <w:tc>
          <w:tcPr>
            <w:tcW w:w="0" w:type="auto"/>
            <w:shd w:val="clear" w:color="auto" w:fill="auto"/>
            <w:vAlign w:val="bottom"/>
          </w:tcPr>
          <w:p w14:paraId="5F2CBBD1" w14:textId="77777777" w:rsidR="00E836FB" w:rsidRDefault="00E836FB">
            <w:pPr>
              <w:rPr>
                <w:rFonts w:ascii="宋体"/>
              </w:rPr>
            </w:pPr>
          </w:p>
        </w:tc>
        <w:tc>
          <w:tcPr>
            <w:tcW w:w="0" w:type="auto"/>
            <w:shd w:val="clear" w:color="auto" w:fill="auto"/>
            <w:vAlign w:val="bottom"/>
          </w:tcPr>
          <w:p w14:paraId="5F2CBBD2" w14:textId="77777777" w:rsidR="00E836FB" w:rsidRDefault="00E836FB">
            <w:pPr>
              <w:rPr>
                <w:rFonts w:ascii="宋体"/>
              </w:rPr>
            </w:pPr>
          </w:p>
        </w:tc>
        <w:tc>
          <w:tcPr>
            <w:tcW w:w="0" w:type="auto"/>
            <w:shd w:val="clear" w:color="auto" w:fill="auto"/>
            <w:vAlign w:val="bottom"/>
          </w:tcPr>
          <w:p w14:paraId="5F2CBBD3" w14:textId="77777777" w:rsidR="00E836FB" w:rsidRDefault="00E836FB">
            <w:pPr>
              <w:rPr>
                <w:rFonts w:ascii="宋体"/>
              </w:rPr>
            </w:pPr>
          </w:p>
        </w:tc>
        <w:tc>
          <w:tcPr>
            <w:tcW w:w="0" w:type="auto"/>
            <w:shd w:val="clear" w:color="auto" w:fill="auto"/>
            <w:vAlign w:val="bottom"/>
          </w:tcPr>
          <w:p w14:paraId="5F2CBBD4" w14:textId="77777777" w:rsidR="00E836FB" w:rsidRDefault="00E836FB">
            <w:pPr>
              <w:rPr>
                <w:rFonts w:ascii="宋体"/>
              </w:rPr>
            </w:pPr>
          </w:p>
        </w:tc>
        <w:tc>
          <w:tcPr>
            <w:tcW w:w="0" w:type="auto"/>
            <w:shd w:val="clear" w:color="auto" w:fill="auto"/>
            <w:vAlign w:val="bottom"/>
          </w:tcPr>
          <w:p w14:paraId="5F2CBBD5" w14:textId="77777777" w:rsidR="00E836FB" w:rsidRDefault="00E836FB">
            <w:pPr>
              <w:rPr>
                <w:rFonts w:ascii="宋体"/>
              </w:rPr>
            </w:pPr>
          </w:p>
        </w:tc>
        <w:tc>
          <w:tcPr>
            <w:tcW w:w="0" w:type="auto"/>
            <w:shd w:val="clear" w:color="auto" w:fill="auto"/>
            <w:vAlign w:val="bottom"/>
          </w:tcPr>
          <w:p w14:paraId="5F2CBBD6" w14:textId="77777777" w:rsidR="00E836FB" w:rsidRDefault="00E836FB">
            <w:pPr>
              <w:rPr>
                <w:rFonts w:ascii="宋体"/>
              </w:rPr>
            </w:pPr>
          </w:p>
        </w:tc>
        <w:tc>
          <w:tcPr>
            <w:tcW w:w="0" w:type="auto"/>
            <w:shd w:val="clear" w:color="auto" w:fill="auto"/>
            <w:vAlign w:val="bottom"/>
          </w:tcPr>
          <w:p w14:paraId="5F2CBBD7" w14:textId="77777777" w:rsidR="00E836FB" w:rsidRDefault="00E836FB">
            <w:pPr>
              <w:rPr>
                <w:rFonts w:ascii="宋体"/>
              </w:rPr>
            </w:pPr>
          </w:p>
        </w:tc>
        <w:tc>
          <w:tcPr>
            <w:tcW w:w="0" w:type="auto"/>
            <w:shd w:val="clear" w:color="auto" w:fill="auto"/>
            <w:vAlign w:val="bottom"/>
          </w:tcPr>
          <w:p w14:paraId="5F2CBBD8" w14:textId="77777777" w:rsidR="00E836FB" w:rsidRDefault="00E836FB">
            <w:pPr>
              <w:rPr>
                <w:rFonts w:ascii="宋体"/>
              </w:rPr>
            </w:pPr>
          </w:p>
        </w:tc>
        <w:tc>
          <w:tcPr>
            <w:tcW w:w="0" w:type="auto"/>
            <w:shd w:val="clear" w:color="auto" w:fill="auto"/>
            <w:vAlign w:val="bottom"/>
          </w:tcPr>
          <w:p w14:paraId="5F2CBBD9" w14:textId="77777777" w:rsidR="00E836FB" w:rsidRDefault="00E836FB">
            <w:pPr>
              <w:rPr>
                <w:rFonts w:ascii="宋体"/>
              </w:rPr>
            </w:pPr>
          </w:p>
        </w:tc>
        <w:tc>
          <w:tcPr>
            <w:tcW w:w="0" w:type="auto"/>
            <w:shd w:val="clear" w:color="auto" w:fill="auto"/>
            <w:vAlign w:val="bottom"/>
          </w:tcPr>
          <w:p w14:paraId="5F2CBBDA" w14:textId="77777777" w:rsidR="00E836FB" w:rsidRDefault="00E836FB">
            <w:pPr>
              <w:rPr>
                <w:rFonts w:ascii="宋体"/>
              </w:rPr>
            </w:pPr>
          </w:p>
        </w:tc>
        <w:tc>
          <w:tcPr>
            <w:tcW w:w="0" w:type="auto"/>
            <w:shd w:val="clear" w:color="auto" w:fill="auto"/>
            <w:vAlign w:val="bottom"/>
          </w:tcPr>
          <w:p w14:paraId="5F2CBBDB" w14:textId="77777777" w:rsidR="00E836FB" w:rsidRDefault="00E836FB">
            <w:pPr>
              <w:rPr>
                <w:rFonts w:ascii="宋体"/>
              </w:rPr>
            </w:pPr>
          </w:p>
        </w:tc>
        <w:tc>
          <w:tcPr>
            <w:tcW w:w="0" w:type="auto"/>
            <w:shd w:val="clear" w:color="auto" w:fill="auto"/>
            <w:vAlign w:val="bottom"/>
          </w:tcPr>
          <w:p w14:paraId="5F2CBBDC" w14:textId="77777777" w:rsidR="00E836FB" w:rsidRDefault="00E836FB">
            <w:pPr>
              <w:rPr>
                <w:rFonts w:ascii="宋体"/>
              </w:rPr>
            </w:pPr>
          </w:p>
        </w:tc>
        <w:tc>
          <w:tcPr>
            <w:tcW w:w="0" w:type="auto"/>
            <w:shd w:val="clear" w:color="auto" w:fill="auto"/>
            <w:vAlign w:val="bottom"/>
          </w:tcPr>
          <w:p w14:paraId="5F2CBBDD" w14:textId="77777777" w:rsidR="00E836FB" w:rsidRDefault="00E836FB">
            <w:pPr>
              <w:rPr>
                <w:rFonts w:ascii="宋体"/>
              </w:rPr>
            </w:pPr>
          </w:p>
        </w:tc>
        <w:tc>
          <w:tcPr>
            <w:tcW w:w="0" w:type="auto"/>
            <w:shd w:val="clear" w:color="auto" w:fill="auto"/>
            <w:vAlign w:val="bottom"/>
          </w:tcPr>
          <w:p w14:paraId="5F2CBBDE" w14:textId="77777777" w:rsidR="00E836FB" w:rsidRDefault="00E836FB">
            <w:pPr>
              <w:rPr>
                <w:rFonts w:ascii="宋体"/>
              </w:rPr>
            </w:pPr>
          </w:p>
        </w:tc>
        <w:tc>
          <w:tcPr>
            <w:tcW w:w="0" w:type="auto"/>
            <w:shd w:val="clear" w:color="auto" w:fill="auto"/>
            <w:vAlign w:val="bottom"/>
          </w:tcPr>
          <w:p w14:paraId="5F2CBBDF" w14:textId="77777777" w:rsidR="00E836FB" w:rsidRDefault="00E836FB">
            <w:pPr>
              <w:rPr>
                <w:rFonts w:ascii="宋体"/>
              </w:rPr>
            </w:pPr>
          </w:p>
        </w:tc>
      </w:tr>
      <w:tr w:rsidR="00E836FB" w14:paraId="5F2CBBF4"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5F2CBBE1" w14:textId="77777777" w:rsidR="00E836FB" w:rsidRDefault="00994958">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5F2CBBE2" w14:textId="77777777" w:rsidR="00E836FB" w:rsidRDefault="00E836FB">
            <w:pPr>
              <w:rPr>
                <w:rFonts w:ascii="宋体"/>
                <w:vanish/>
              </w:rPr>
            </w:pPr>
          </w:p>
        </w:tc>
        <w:tc>
          <w:tcPr>
            <w:tcW w:w="0" w:type="auto"/>
            <w:shd w:val="clear" w:color="auto" w:fill="auto"/>
            <w:vAlign w:val="bottom"/>
          </w:tcPr>
          <w:p w14:paraId="5F2CBBE3" w14:textId="77777777" w:rsidR="00E836FB" w:rsidRDefault="00E836FB">
            <w:pPr>
              <w:rPr>
                <w:rFonts w:ascii="宋体"/>
                <w:vanish/>
              </w:rPr>
            </w:pPr>
          </w:p>
        </w:tc>
        <w:tc>
          <w:tcPr>
            <w:tcW w:w="0" w:type="auto"/>
            <w:shd w:val="clear" w:color="auto" w:fill="auto"/>
            <w:vAlign w:val="bottom"/>
          </w:tcPr>
          <w:p w14:paraId="5F2CBBE4" w14:textId="77777777" w:rsidR="00E836FB" w:rsidRDefault="00E836FB">
            <w:pPr>
              <w:rPr>
                <w:rFonts w:ascii="宋体"/>
                <w:vanish/>
              </w:rPr>
            </w:pPr>
          </w:p>
        </w:tc>
        <w:tc>
          <w:tcPr>
            <w:tcW w:w="0" w:type="auto"/>
            <w:shd w:val="clear" w:color="auto" w:fill="auto"/>
            <w:vAlign w:val="bottom"/>
          </w:tcPr>
          <w:p w14:paraId="5F2CBBE5" w14:textId="77777777" w:rsidR="00E836FB" w:rsidRDefault="00E836FB">
            <w:pPr>
              <w:rPr>
                <w:rFonts w:ascii="宋体"/>
                <w:vanish/>
              </w:rPr>
            </w:pPr>
          </w:p>
        </w:tc>
        <w:tc>
          <w:tcPr>
            <w:tcW w:w="0" w:type="auto"/>
            <w:gridSpan w:val="11"/>
            <w:shd w:val="clear" w:color="auto" w:fill="auto"/>
            <w:tcMar>
              <w:top w:w="40" w:type="dxa"/>
              <w:left w:w="20" w:type="dxa"/>
              <w:bottom w:w="40" w:type="dxa"/>
              <w:right w:w="20" w:type="dxa"/>
            </w:tcMar>
            <w:vAlign w:val="bottom"/>
          </w:tcPr>
          <w:p w14:paraId="5F2CBBE6"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vAlign w:val="bottom"/>
          </w:tcPr>
          <w:p w14:paraId="5F2CBBE7"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BBE8" w14:textId="77777777" w:rsidR="00E836FB" w:rsidRDefault="00994958">
            <w:pPr>
              <w:jc w:val="center"/>
              <w:textAlignment w:val="bottom"/>
            </w:pPr>
            <w:r>
              <w:rPr>
                <w:rFonts w:ascii="Arial" w:eastAsia="宋体" w:hAnsi="Arial" w:cs="Arial"/>
                <w:b/>
                <w:bCs/>
                <w:color w:val="000000"/>
                <w:sz w:val="14"/>
                <w:szCs w:val="14"/>
              </w:rPr>
              <w:t>% Change 2021 vs. 2020</w:t>
            </w:r>
          </w:p>
        </w:tc>
        <w:tc>
          <w:tcPr>
            <w:tcW w:w="0" w:type="auto"/>
            <w:gridSpan w:val="3"/>
            <w:shd w:val="clear" w:color="auto" w:fill="auto"/>
            <w:tcMar>
              <w:top w:w="0" w:type="dxa"/>
              <w:left w:w="20" w:type="dxa"/>
              <w:bottom w:w="0" w:type="dxa"/>
              <w:right w:w="20" w:type="dxa"/>
            </w:tcMar>
            <w:vAlign w:val="bottom"/>
          </w:tcPr>
          <w:p w14:paraId="5F2CBBE9"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BBEA" w14:textId="77777777" w:rsidR="00E836FB" w:rsidRDefault="00994958">
            <w:pPr>
              <w:jc w:val="center"/>
              <w:textAlignment w:val="bottom"/>
            </w:pPr>
            <w:r>
              <w:rPr>
                <w:rFonts w:ascii="Arial" w:eastAsia="宋体" w:hAnsi="Arial" w:cs="Arial"/>
                <w:b/>
                <w:bCs/>
                <w:color w:val="000000"/>
                <w:sz w:val="14"/>
                <w:szCs w:val="14"/>
              </w:rPr>
              <w:t>% Change 2020 vs. 2019</w:t>
            </w:r>
          </w:p>
        </w:tc>
        <w:tc>
          <w:tcPr>
            <w:tcW w:w="0" w:type="auto"/>
            <w:gridSpan w:val="3"/>
            <w:shd w:val="clear" w:color="auto" w:fill="auto"/>
            <w:vAlign w:val="bottom"/>
          </w:tcPr>
          <w:p w14:paraId="5F2CBBEB" w14:textId="77777777" w:rsidR="00E836FB" w:rsidRDefault="00E836FB">
            <w:pPr>
              <w:rPr>
                <w:rFonts w:ascii="宋体"/>
                <w:vanish/>
              </w:rPr>
            </w:pPr>
          </w:p>
        </w:tc>
        <w:tc>
          <w:tcPr>
            <w:tcW w:w="0" w:type="auto"/>
            <w:gridSpan w:val="3"/>
            <w:shd w:val="clear" w:color="auto" w:fill="auto"/>
            <w:vAlign w:val="bottom"/>
          </w:tcPr>
          <w:p w14:paraId="5F2CBBEC" w14:textId="77777777" w:rsidR="00E836FB" w:rsidRDefault="00E836FB">
            <w:pPr>
              <w:rPr>
                <w:rFonts w:ascii="宋体"/>
                <w:vanish/>
              </w:rPr>
            </w:pPr>
          </w:p>
        </w:tc>
        <w:tc>
          <w:tcPr>
            <w:tcW w:w="0" w:type="auto"/>
            <w:gridSpan w:val="3"/>
            <w:shd w:val="clear" w:color="auto" w:fill="auto"/>
            <w:vAlign w:val="bottom"/>
          </w:tcPr>
          <w:p w14:paraId="5F2CBBED" w14:textId="77777777" w:rsidR="00E836FB" w:rsidRDefault="00E836FB">
            <w:pPr>
              <w:rPr>
                <w:rFonts w:ascii="宋体"/>
                <w:vanish/>
              </w:rPr>
            </w:pPr>
          </w:p>
        </w:tc>
        <w:tc>
          <w:tcPr>
            <w:tcW w:w="0" w:type="auto"/>
            <w:gridSpan w:val="3"/>
            <w:shd w:val="clear" w:color="auto" w:fill="auto"/>
            <w:vAlign w:val="bottom"/>
          </w:tcPr>
          <w:p w14:paraId="5F2CBBEE" w14:textId="77777777" w:rsidR="00E836FB" w:rsidRDefault="00E836FB">
            <w:pPr>
              <w:rPr>
                <w:rFonts w:ascii="宋体"/>
                <w:vanish/>
              </w:rPr>
            </w:pPr>
          </w:p>
        </w:tc>
        <w:tc>
          <w:tcPr>
            <w:tcW w:w="0" w:type="auto"/>
            <w:gridSpan w:val="3"/>
            <w:shd w:val="clear" w:color="auto" w:fill="auto"/>
            <w:vAlign w:val="bottom"/>
          </w:tcPr>
          <w:p w14:paraId="5F2CBBEF" w14:textId="77777777" w:rsidR="00E836FB" w:rsidRDefault="00E836FB">
            <w:pPr>
              <w:rPr>
                <w:rFonts w:ascii="宋体"/>
                <w:vanish/>
              </w:rPr>
            </w:pPr>
          </w:p>
        </w:tc>
        <w:tc>
          <w:tcPr>
            <w:tcW w:w="0" w:type="auto"/>
            <w:gridSpan w:val="3"/>
            <w:shd w:val="clear" w:color="auto" w:fill="auto"/>
            <w:vAlign w:val="bottom"/>
          </w:tcPr>
          <w:p w14:paraId="5F2CBBF0" w14:textId="77777777" w:rsidR="00E836FB" w:rsidRDefault="00E836FB">
            <w:pPr>
              <w:rPr>
                <w:rFonts w:ascii="宋体"/>
                <w:vanish/>
              </w:rPr>
            </w:pPr>
          </w:p>
        </w:tc>
        <w:tc>
          <w:tcPr>
            <w:tcW w:w="0" w:type="auto"/>
            <w:shd w:val="clear" w:color="auto" w:fill="auto"/>
            <w:vAlign w:val="bottom"/>
          </w:tcPr>
          <w:p w14:paraId="5F2CBBF1" w14:textId="77777777" w:rsidR="00E836FB" w:rsidRDefault="00E836FB">
            <w:pPr>
              <w:rPr>
                <w:rFonts w:ascii="宋体"/>
              </w:rPr>
            </w:pPr>
          </w:p>
        </w:tc>
        <w:tc>
          <w:tcPr>
            <w:tcW w:w="0" w:type="auto"/>
            <w:shd w:val="clear" w:color="auto" w:fill="auto"/>
            <w:vAlign w:val="bottom"/>
          </w:tcPr>
          <w:p w14:paraId="5F2CBBF2" w14:textId="77777777" w:rsidR="00E836FB" w:rsidRDefault="00E836FB">
            <w:pPr>
              <w:rPr>
                <w:rFonts w:ascii="宋体"/>
              </w:rPr>
            </w:pPr>
          </w:p>
        </w:tc>
        <w:tc>
          <w:tcPr>
            <w:tcW w:w="0" w:type="auto"/>
            <w:shd w:val="clear" w:color="auto" w:fill="auto"/>
            <w:vAlign w:val="bottom"/>
          </w:tcPr>
          <w:p w14:paraId="5F2CBBF3" w14:textId="77777777" w:rsidR="00E836FB" w:rsidRDefault="00E836FB">
            <w:pPr>
              <w:rPr>
                <w:rFonts w:ascii="宋体"/>
              </w:rPr>
            </w:pPr>
          </w:p>
        </w:tc>
      </w:tr>
      <w:tr w:rsidR="00E836FB" w14:paraId="5F2CBC0C" w14:textId="77777777">
        <w:trPr>
          <w:trHeight w:val="220"/>
        </w:trPr>
        <w:tc>
          <w:tcPr>
            <w:tcW w:w="0" w:type="auto"/>
            <w:gridSpan w:val="3"/>
            <w:vMerge/>
            <w:shd w:val="clear" w:color="auto" w:fill="auto"/>
            <w:tcMar>
              <w:top w:w="40" w:type="dxa"/>
              <w:left w:w="20" w:type="dxa"/>
              <w:bottom w:w="40" w:type="dxa"/>
              <w:right w:w="20" w:type="dxa"/>
            </w:tcMar>
            <w:vAlign w:val="bottom"/>
          </w:tcPr>
          <w:p w14:paraId="5F2CBBF5" w14:textId="77777777" w:rsidR="00E836FB" w:rsidRDefault="00E836FB">
            <w:pPr>
              <w:rPr>
                <w:rFonts w:ascii="宋体"/>
              </w:rPr>
            </w:pPr>
          </w:p>
        </w:tc>
        <w:tc>
          <w:tcPr>
            <w:tcW w:w="0" w:type="auto"/>
            <w:shd w:val="clear" w:color="auto" w:fill="auto"/>
            <w:vAlign w:val="bottom"/>
          </w:tcPr>
          <w:p w14:paraId="5F2CBBF6" w14:textId="77777777" w:rsidR="00E836FB" w:rsidRDefault="00E836FB">
            <w:pPr>
              <w:rPr>
                <w:rFonts w:ascii="宋体"/>
                <w:vanish/>
              </w:rPr>
            </w:pPr>
          </w:p>
        </w:tc>
        <w:tc>
          <w:tcPr>
            <w:tcW w:w="0" w:type="auto"/>
            <w:shd w:val="clear" w:color="auto" w:fill="auto"/>
            <w:vAlign w:val="bottom"/>
          </w:tcPr>
          <w:p w14:paraId="5F2CBBF7" w14:textId="77777777" w:rsidR="00E836FB" w:rsidRDefault="00E836FB">
            <w:pPr>
              <w:rPr>
                <w:rFonts w:ascii="宋体"/>
                <w:vanish/>
              </w:rPr>
            </w:pPr>
          </w:p>
        </w:tc>
        <w:tc>
          <w:tcPr>
            <w:tcW w:w="0" w:type="auto"/>
            <w:shd w:val="clear" w:color="auto" w:fill="auto"/>
            <w:vAlign w:val="bottom"/>
          </w:tcPr>
          <w:p w14:paraId="5F2CBBF8" w14:textId="77777777" w:rsidR="00E836FB" w:rsidRDefault="00E836FB">
            <w:pPr>
              <w:rPr>
                <w:rFonts w:ascii="宋体"/>
                <w:vanish/>
              </w:rPr>
            </w:pPr>
          </w:p>
        </w:tc>
        <w:tc>
          <w:tcPr>
            <w:tcW w:w="0" w:type="auto"/>
            <w:shd w:val="clear" w:color="auto" w:fill="auto"/>
            <w:vAlign w:val="bottom"/>
          </w:tcPr>
          <w:p w14:paraId="5F2CBBF9" w14:textId="77777777" w:rsidR="00E836FB" w:rsidRDefault="00E836FB">
            <w:pPr>
              <w:rPr>
                <w:rFonts w:ascii="宋体"/>
                <w:vanish/>
              </w:rPr>
            </w:pPr>
          </w:p>
        </w:tc>
        <w:tc>
          <w:tcPr>
            <w:tcW w:w="0" w:type="auto"/>
            <w:shd w:val="clear" w:color="auto" w:fill="auto"/>
            <w:vAlign w:val="bottom"/>
          </w:tcPr>
          <w:p w14:paraId="5F2CBBFA" w14:textId="77777777" w:rsidR="00E836FB" w:rsidRDefault="00E836FB">
            <w:pPr>
              <w:rPr>
                <w:rFonts w:ascii="宋体"/>
                <w:vanish/>
              </w:rPr>
            </w:pPr>
          </w:p>
        </w:tc>
        <w:tc>
          <w:tcPr>
            <w:tcW w:w="0" w:type="auto"/>
            <w:shd w:val="clear" w:color="auto" w:fill="auto"/>
            <w:vAlign w:val="bottom"/>
          </w:tcPr>
          <w:p w14:paraId="5F2CBBFB"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BFC"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BF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BFE"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BFF"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BC00" w14:textId="77777777" w:rsidR="00E836FB" w:rsidRDefault="00E836FB">
            <w:pPr>
              <w:jc w:val="cente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C01"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vMerge/>
            <w:shd w:val="clear" w:color="auto" w:fill="auto"/>
            <w:tcMar>
              <w:top w:w="40" w:type="dxa"/>
              <w:left w:w="20" w:type="dxa"/>
              <w:bottom w:w="40" w:type="dxa"/>
              <w:right w:w="20" w:type="dxa"/>
            </w:tcMar>
            <w:vAlign w:val="bottom"/>
          </w:tcPr>
          <w:p w14:paraId="5F2CBC02"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CBC0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C04" w14:textId="77777777" w:rsidR="00E836FB" w:rsidRDefault="00E836FB">
            <w:pPr>
              <w:rPr>
                <w:rFonts w:ascii="宋体"/>
              </w:rPr>
            </w:pPr>
          </w:p>
        </w:tc>
        <w:tc>
          <w:tcPr>
            <w:tcW w:w="0" w:type="auto"/>
            <w:gridSpan w:val="3"/>
            <w:shd w:val="clear" w:color="auto" w:fill="auto"/>
            <w:vAlign w:val="bottom"/>
          </w:tcPr>
          <w:p w14:paraId="5F2CBC05" w14:textId="77777777" w:rsidR="00E836FB" w:rsidRDefault="00E836FB">
            <w:pPr>
              <w:rPr>
                <w:rFonts w:ascii="宋体"/>
                <w:vanish/>
              </w:rPr>
            </w:pPr>
          </w:p>
        </w:tc>
        <w:tc>
          <w:tcPr>
            <w:tcW w:w="0" w:type="auto"/>
            <w:gridSpan w:val="3"/>
            <w:shd w:val="clear" w:color="auto" w:fill="auto"/>
            <w:vAlign w:val="bottom"/>
          </w:tcPr>
          <w:p w14:paraId="5F2CBC06" w14:textId="77777777" w:rsidR="00E836FB" w:rsidRDefault="00E836FB">
            <w:pPr>
              <w:rPr>
                <w:rFonts w:ascii="宋体"/>
                <w:vanish/>
              </w:rPr>
            </w:pPr>
          </w:p>
        </w:tc>
        <w:tc>
          <w:tcPr>
            <w:tcW w:w="0" w:type="auto"/>
            <w:gridSpan w:val="3"/>
            <w:shd w:val="clear" w:color="auto" w:fill="auto"/>
            <w:vAlign w:val="bottom"/>
          </w:tcPr>
          <w:p w14:paraId="5F2CBC07" w14:textId="77777777" w:rsidR="00E836FB" w:rsidRDefault="00E836FB">
            <w:pPr>
              <w:rPr>
                <w:rFonts w:ascii="宋体"/>
                <w:vanish/>
              </w:rPr>
            </w:pPr>
          </w:p>
        </w:tc>
        <w:tc>
          <w:tcPr>
            <w:tcW w:w="0" w:type="auto"/>
            <w:gridSpan w:val="3"/>
            <w:shd w:val="clear" w:color="auto" w:fill="auto"/>
            <w:vAlign w:val="bottom"/>
          </w:tcPr>
          <w:p w14:paraId="5F2CBC08" w14:textId="77777777" w:rsidR="00E836FB" w:rsidRDefault="00E836FB">
            <w:pPr>
              <w:rPr>
                <w:rFonts w:ascii="宋体"/>
                <w:vanish/>
              </w:rPr>
            </w:pPr>
          </w:p>
        </w:tc>
        <w:tc>
          <w:tcPr>
            <w:tcW w:w="0" w:type="auto"/>
            <w:shd w:val="clear" w:color="auto" w:fill="auto"/>
            <w:vAlign w:val="bottom"/>
          </w:tcPr>
          <w:p w14:paraId="5F2CBC09" w14:textId="77777777" w:rsidR="00E836FB" w:rsidRDefault="00E836FB">
            <w:pPr>
              <w:rPr>
                <w:rFonts w:ascii="宋体"/>
              </w:rPr>
            </w:pPr>
          </w:p>
        </w:tc>
        <w:tc>
          <w:tcPr>
            <w:tcW w:w="0" w:type="auto"/>
            <w:shd w:val="clear" w:color="auto" w:fill="auto"/>
            <w:vAlign w:val="bottom"/>
          </w:tcPr>
          <w:p w14:paraId="5F2CBC0A" w14:textId="77777777" w:rsidR="00E836FB" w:rsidRDefault="00E836FB">
            <w:pPr>
              <w:rPr>
                <w:rFonts w:ascii="宋体"/>
              </w:rPr>
            </w:pPr>
          </w:p>
        </w:tc>
        <w:tc>
          <w:tcPr>
            <w:tcW w:w="0" w:type="auto"/>
            <w:shd w:val="clear" w:color="auto" w:fill="auto"/>
            <w:vAlign w:val="bottom"/>
          </w:tcPr>
          <w:p w14:paraId="5F2CBC0B" w14:textId="77777777" w:rsidR="00E836FB" w:rsidRDefault="00E836FB">
            <w:pPr>
              <w:rPr>
                <w:rFonts w:ascii="宋体"/>
              </w:rPr>
            </w:pPr>
          </w:p>
        </w:tc>
      </w:tr>
      <w:tr w:rsidR="00E836FB" w14:paraId="5F2CBC2B" w14:textId="77777777">
        <w:tc>
          <w:tcPr>
            <w:tcW w:w="0" w:type="auto"/>
            <w:gridSpan w:val="3"/>
            <w:shd w:val="clear" w:color="auto" w:fill="CCEEFF"/>
            <w:tcMar>
              <w:top w:w="40" w:type="dxa"/>
              <w:left w:w="20" w:type="dxa"/>
              <w:bottom w:w="40" w:type="dxa"/>
              <w:right w:w="20" w:type="dxa"/>
            </w:tcMar>
            <w:vAlign w:val="bottom"/>
          </w:tcPr>
          <w:p w14:paraId="5F2CBC0D" w14:textId="77777777" w:rsidR="00E836FB" w:rsidRDefault="00994958">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5F2CBC0E" w14:textId="77777777" w:rsidR="00E836FB" w:rsidRDefault="00E836FB">
            <w:pPr>
              <w:rPr>
                <w:rFonts w:ascii="宋体"/>
                <w:vanish/>
              </w:rPr>
            </w:pPr>
          </w:p>
        </w:tc>
        <w:tc>
          <w:tcPr>
            <w:tcW w:w="0" w:type="auto"/>
            <w:shd w:val="clear" w:color="auto" w:fill="auto"/>
            <w:vAlign w:val="bottom"/>
          </w:tcPr>
          <w:p w14:paraId="5F2CBC0F" w14:textId="77777777" w:rsidR="00E836FB" w:rsidRDefault="00E836FB">
            <w:pPr>
              <w:rPr>
                <w:rFonts w:ascii="宋体"/>
                <w:vanish/>
              </w:rPr>
            </w:pPr>
          </w:p>
        </w:tc>
        <w:tc>
          <w:tcPr>
            <w:tcW w:w="0" w:type="auto"/>
            <w:shd w:val="clear" w:color="auto" w:fill="auto"/>
            <w:vAlign w:val="bottom"/>
          </w:tcPr>
          <w:p w14:paraId="5F2CBC10" w14:textId="77777777" w:rsidR="00E836FB" w:rsidRDefault="00E836FB">
            <w:pPr>
              <w:rPr>
                <w:rFonts w:ascii="宋体"/>
                <w:vanish/>
              </w:rPr>
            </w:pPr>
          </w:p>
        </w:tc>
        <w:tc>
          <w:tcPr>
            <w:tcW w:w="0" w:type="auto"/>
            <w:shd w:val="clear" w:color="auto" w:fill="auto"/>
            <w:vAlign w:val="bottom"/>
          </w:tcPr>
          <w:p w14:paraId="5F2CBC11" w14:textId="77777777" w:rsidR="00E836FB" w:rsidRDefault="00E836FB">
            <w:pPr>
              <w:rPr>
                <w:rFonts w:ascii="宋体"/>
                <w:vanish/>
              </w:rPr>
            </w:pPr>
          </w:p>
        </w:tc>
        <w:tc>
          <w:tcPr>
            <w:tcW w:w="0" w:type="auto"/>
            <w:shd w:val="clear" w:color="auto" w:fill="auto"/>
            <w:vAlign w:val="bottom"/>
          </w:tcPr>
          <w:p w14:paraId="5F2CBC12" w14:textId="77777777" w:rsidR="00E836FB" w:rsidRDefault="00E836FB">
            <w:pPr>
              <w:rPr>
                <w:rFonts w:ascii="宋体"/>
                <w:vanish/>
              </w:rPr>
            </w:pPr>
          </w:p>
        </w:tc>
        <w:tc>
          <w:tcPr>
            <w:tcW w:w="0" w:type="auto"/>
            <w:shd w:val="clear" w:color="auto" w:fill="auto"/>
            <w:vAlign w:val="bottom"/>
          </w:tcPr>
          <w:p w14:paraId="5F2CBC13"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C1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C15" w14:textId="77777777" w:rsidR="00E836FB" w:rsidRDefault="00994958">
            <w:pPr>
              <w:jc w:val="right"/>
              <w:textAlignment w:val="bottom"/>
            </w:pPr>
            <w:r>
              <w:rPr>
                <w:rFonts w:ascii="Arial" w:eastAsia="宋体" w:hAnsi="Arial" w:cs="Arial"/>
                <w:b/>
                <w:bCs/>
                <w:color w:val="000000"/>
                <w:sz w:val="14"/>
                <w:szCs w:val="14"/>
              </w:rPr>
              <w:t>5,549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1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C1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C19" w14:textId="77777777" w:rsidR="00E836FB" w:rsidRDefault="00994958">
            <w:pPr>
              <w:jc w:val="right"/>
              <w:textAlignment w:val="bottom"/>
            </w:pPr>
            <w:r>
              <w:rPr>
                <w:rFonts w:ascii="Arial" w:eastAsia="宋体" w:hAnsi="Arial" w:cs="Arial"/>
                <w:color w:val="000000"/>
                <w:sz w:val="14"/>
                <w:szCs w:val="14"/>
              </w:rPr>
              <w:t>5,167 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1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C1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C1D" w14:textId="77777777" w:rsidR="00E836FB" w:rsidRDefault="00994958">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1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C20" w14:textId="77777777" w:rsidR="00E836FB" w:rsidRDefault="00994958">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21"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BC2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C23" w14:textId="77777777" w:rsidR="00E836FB" w:rsidRDefault="00994958">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24"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F2CBC25" w14:textId="77777777" w:rsidR="00E836FB" w:rsidRDefault="00E836FB">
            <w:pPr>
              <w:rPr>
                <w:rFonts w:ascii="宋体"/>
                <w:vanish/>
              </w:rPr>
            </w:pPr>
          </w:p>
        </w:tc>
        <w:tc>
          <w:tcPr>
            <w:tcW w:w="0" w:type="auto"/>
            <w:gridSpan w:val="3"/>
            <w:shd w:val="clear" w:color="auto" w:fill="auto"/>
            <w:vAlign w:val="bottom"/>
          </w:tcPr>
          <w:p w14:paraId="5F2CBC26" w14:textId="77777777" w:rsidR="00E836FB" w:rsidRDefault="00E836FB">
            <w:pPr>
              <w:rPr>
                <w:rFonts w:ascii="宋体"/>
                <w:vanish/>
              </w:rPr>
            </w:pPr>
          </w:p>
        </w:tc>
        <w:tc>
          <w:tcPr>
            <w:tcW w:w="0" w:type="auto"/>
            <w:gridSpan w:val="3"/>
            <w:shd w:val="clear" w:color="auto" w:fill="auto"/>
            <w:vAlign w:val="bottom"/>
          </w:tcPr>
          <w:p w14:paraId="5F2CBC27" w14:textId="77777777" w:rsidR="00E836FB" w:rsidRDefault="00E836FB">
            <w:pPr>
              <w:rPr>
                <w:rFonts w:ascii="宋体"/>
                <w:vanish/>
              </w:rPr>
            </w:pPr>
          </w:p>
        </w:tc>
        <w:tc>
          <w:tcPr>
            <w:tcW w:w="0" w:type="auto"/>
            <w:gridSpan w:val="3"/>
            <w:shd w:val="clear" w:color="auto" w:fill="auto"/>
            <w:vAlign w:val="bottom"/>
          </w:tcPr>
          <w:p w14:paraId="5F2CBC28" w14:textId="77777777" w:rsidR="00E836FB" w:rsidRDefault="00E836FB">
            <w:pPr>
              <w:rPr>
                <w:rFonts w:ascii="宋体"/>
                <w:vanish/>
              </w:rPr>
            </w:pPr>
          </w:p>
        </w:tc>
        <w:tc>
          <w:tcPr>
            <w:tcW w:w="0" w:type="auto"/>
            <w:gridSpan w:val="2"/>
            <w:shd w:val="clear" w:color="auto" w:fill="auto"/>
            <w:vAlign w:val="bottom"/>
          </w:tcPr>
          <w:p w14:paraId="5F2CBC29" w14:textId="77777777" w:rsidR="00E836FB" w:rsidRDefault="00E836FB">
            <w:pPr>
              <w:rPr>
                <w:rFonts w:ascii="宋体"/>
                <w:vanish/>
              </w:rPr>
            </w:pPr>
          </w:p>
        </w:tc>
        <w:tc>
          <w:tcPr>
            <w:tcW w:w="0" w:type="auto"/>
            <w:shd w:val="clear" w:color="auto" w:fill="auto"/>
            <w:vAlign w:val="bottom"/>
          </w:tcPr>
          <w:p w14:paraId="5F2CBC2A" w14:textId="77777777" w:rsidR="00E836FB" w:rsidRDefault="00E836FB">
            <w:pPr>
              <w:rPr>
                <w:rFonts w:ascii="宋体"/>
                <w:vanish/>
              </w:rPr>
            </w:pPr>
          </w:p>
        </w:tc>
      </w:tr>
      <w:tr w:rsidR="00E836FB" w14:paraId="5F2CBC47" w14:textId="77777777">
        <w:tc>
          <w:tcPr>
            <w:tcW w:w="0" w:type="auto"/>
            <w:gridSpan w:val="3"/>
            <w:shd w:val="clear" w:color="auto" w:fill="FFFFFF"/>
            <w:tcMar>
              <w:top w:w="40" w:type="dxa"/>
              <w:left w:w="20" w:type="dxa"/>
              <w:bottom w:w="40" w:type="dxa"/>
              <w:right w:w="20" w:type="dxa"/>
            </w:tcMar>
            <w:vAlign w:val="bottom"/>
          </w:tcPr>
          <w:p w14:paraId="5F2CBC2C" w14:textId="77777777" w:rsidR="00E836FB" w:rsidRDefault="00994958">
            <w:pPr>
              <w:textAlignment w:val="bottom"/>
            </w:pPr>
            <w:r>
              <w:rPr>
                <w:rFonts w:ascii="Arial" w:eastAsia="宋体" w:hAnsi="Arial" w:cs="Arial"/>
                <w:color w:val="000000"/>
                <w:sz w:val="14"/>
                <w:szCs w:val="14"/>
              </w:rPr>
              <w:t>Foreig</w:t>
            </w:r>
            <w:r>
              <w:rPr>
                <w:rFonts w:ascii="Arial" w:eastAsia="宋体" w:hAnsi="Arial" w:cs="Arial"/>
                <w:color w:val="000000"/>
                <w:sz w:val="14"/>
                <w:szCs w:val="14"/>
              </w:rPr>
              <w:t>n exchange trading services</w:t>
            </w:r>
          </w:p>
        </w:tc>
        <w:tc>
          <w:tcPr>
            <w:tcW w:w="0" w:type="auto"/>
            <w:shd w:val="clear" w:color="auto" w:fill="auto"/>
            <w:vAlign w:val="bottom"/>
          </w:tcPr>
          <w:p w14:paraId="5F2CBC2D" w14:textId="77777777" w:rsidR="00E836FB" w:rsidRDefault="00E836FB">
            <w:pPr>
              <w:rPr>
                <w:rFonts w:ascii="宋体"/>
                <w:vanish/>
              </w:rPr>
            </w:pPr>
          </w:p>
        </w:tc>
        <w:tc>
          <w:tcPr>
            <w:tcW w:w="0" w:type="auto"/>
            <w:shd w:val="clear" w:color="auto" w:fill="auto"/>
            <w:vAlign w:val="bottom"/>
          </w:tcPr>
          <w:p w14:paraId="5F2CBC2E" w14:textId="77777777" w:rsidR="00E836FB" w:rsidRDefault="00E836FB">
            <w:pPr>
              <w:rPr>
                <w:rFonts w:ascii="宋体"/>
                <w:vanish/>
              </w:rPr>
            </w:pPr>
          </w:p>
        </w:tc>
        <w:tc>
          <w:tcPr>
            <w:tcW w:w="0" w:type="auto"/>
            <w:shd w:val="clear" w:color="auto" w:fill="auto"/>
            <w:vAlign w:val="bottom"/>
          </w:tcPr>
          <w:p w14:paraId="5F2CBC2F" w14:textId="77777777" w:rsidR="00E836FB" w:rsidRDefault="00E836FB">
            <w:pPr>
              <w:rPr>
                <w:rFonts w:ascii="宋体"/>
                <w:vanish/>
              </w:rPr>
            </w:pPr>
          </w:p>
        </w:tc>
        <w:tc>
          <w:tcPr>
            <w:tcW w:w="0" w:type="auto"/>
            <w:shd w:val="clear" w:color="auto" w:fill="auto"/>
            <w:vAlign w:val="bottom"/>
          </w:tcPr>
          <w:p w14:paraId="5F2CBC30" w14:textId="77777777" w:rsidR="00E836FB" w:rsidRDefault="00E836FB">
            <w:pPr>
              <w:rPr>
                <w:rFonts w:ascii="宋体"/>
                <w:vanish/>
              </w:rPr>
            </w:pPr>
          </w:p>
        </w:tc>
        <w:tc>
          <w:tcPr>
            <w:tcW w:w="0" w:type="auto"/>
            <w:shd w:val="clear" w:color="auto" w:fill="auto"/>
            <w:vAlign w:val="bottom"/>
          </w:tcPr>
          <w:p w14:paraId="5F2CBC31" w14:textId="77777777" w:rsidR="00E836FB" w:rsidRDefault="00E836FB">
            <w:pPr>
              <w:rPr>
                <w:rFonts w:ascii="宋体"/>
                <w:vanish/>
              </w:rPr>
            </w:pPr>
          </w:p>
        </w:tc>
        <w:tc>
          <w:tcPr>
            <w:tcW w:w="0" w:type="auto"/>
            <w:shd w:val="clear" w:color="auto" w:fill="auto"/>
            <w:vAlign w:val="bottom"/>
          </w:tcPr>
          <w:p w14:paraId="5F2CBC32"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C33" w14:textId="77777777" w:rsidR="00E836FB" w:rsidRDefault="00994958">
            <w:pPr>
              <w:jc w:val="right"/>
              <w:textAlignment w:val="bottom"/>
            </w:pPr>
            <w:r>
              <w:rPr>
                <w:rFonts w:ascii="Arial" w:eastAsia="宋体" w:hAnsi="Arial" w:cs="Arial"/>
                <w:b/>
                <w:bCs/>
                <w:color w:val="000000"/>
                <w:sz w:val="14"/>
                <w:szCs w:val="14"/>
              </w:rPr>
              <w:t>1,149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C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35"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C36" w14:textId="77777777" w:rsidR="00E836FB" w:rsidRDefault="00994958">
            <w:pPr>
              <w:jc w:val="right"/>
              <w:textAlignment w:val="bottom"/>
            </w:pPr>
            <w:r>
              <w:rPr>
                <w:rFonts w:ascii="Arial" w:eastAsia="宋体" w:hAnsi="Arial" w:cs="Arial"/>
                <w:color w:val="000000"/>
                <w:sz w:val="14"/>
                <w:szCs w:val="14"/>
              </w:rPr>
              <w:t>1,299 </w:t>
            </w:r>
          </w:p>
        </w:tc>
        <w:tc>
          <w:tcPr>
            <w:tcW w:w="0" w:type="auto"/>
            <w:shd w:val="clear" w:color="auto" w:fill="auto"/>
            <w:tcMar>
              <w:top w:w="40" w:type="dxa"/>
              <w:left w:w="0" w:type="dxa"/>
              <w:bottom w:w="40" w:type="dxa"/>
              <w:right w:w="20" w:type="dxa"/>
            </w:tcMar>
            <w:vAlign w:val="bottom"/>
          </w:tcPr>
          <w:p w14:paraId="5F2CBC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3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39" w14:textId="77777777" w:rsidR="00E836FB" w:rsidRDefault="00994958">
            <w:pPr>
              <w:jc w:val="right"/>
              <w:textAlignment w:val="bottom"/>
            </w:pPr>
            <w:r>
              <w:rPr>
                <w:rFonts w:ascii="Arial" w:eastAsia="宋体" w:hAnsi="Arial" w:cs="Arial"/>
                <w:color w:val="000000"/>
                <w:sz w:val="14"/>
                <w:szCs w:val="14"/>
              </w:rPr>
              <w:t>974 </w:t>
            </w:r>
          </w:p>
        </w:tc>
        <w:tc>
          <w:tcPr>
            <w:tcW w:w="0" w:type="auto"/>
            <w:shd w:val="clear" w:color="auto" w:fill="FFFFFF"/>
            <w:tcMar>
              <w:top w:w="40" w:type="dxa"/>
              <w:left w:w="0" w:type="dxa"/>
              <w:bottom w:w="40" w:type="dxa"/>
              <w:right w:w="20" w:type="dxa"/>
            </w:tcMar>
            <w:vAlign w:val="bottom"/>
          </w:tcPr>
          <w:p w14:paraId="5F2CBC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3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3C" w14:textId="77777777" w:rsidR="00E836FB" w:rsidRDefault="00994958">
            <w:pPr>
              <w:jc w:val="right"/>
              <w:textAlignment w:val="bottom"/>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bottom"/>
          </w:tcPr>
          <w:p w14:paraId="5F2CBC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3F" w14:textId="77777777" w:rsidR="00E836FB" w:rsidRDefault="00994958">
            <w:pPr>
              <w:jc w:val="right"/>
              <w:textAlignment w:val="bottom"/>
            </w:pPr>
            <w:r>
              <w:rPr>
                <w:rFonts w:ascii="Arial" w:eastAsia="宋体" w:hAnsi="Arial" w:cs="Arial"/>
                <w:color w:val="000000"/>
                <w:sz w:val="14"/>
                <w:szCs w:val="14"/>
              </w:rPr>
              <w:t>33 </w:t>
            </w:r>
          </w:p>
        </w:tc>
        <w:tc>
          <w:tcPr>
            <w:tcW w:w="0" w:type="auto"/>
            <w:shd w:val="clear" w:color="auto" w:fill="FFFFFF"/>
            <w:tcMar>
              <w:top w:w="40" w:type="dxa"/>
              <w:left w:w="0" w:type="dxa"/>
              <w:bottom w:w="40" w:type="dxa"/>
              <w:right w:w="20" w:type="dxa"/>
            </w:tcMar>
            <w:vAlign w:val="bottom"/>
          </w:tcPr>
          <w:p w14:paraId="5F2CBC40" w14:textId="77777777" w:rsidR="00E836FB" w:rsidRDefault="00E836FB">
            <w:pPr>
              <w:jc w:val="right"/>
              <w:rPr>
                <w:rFonts w:ascii="宋体"/>
              </w:rPr>
            </w:pPr>
          </w:p>
        </w:tc>
        <w:tc>
          <w:tcPr>
            <w:tcW w:w="0" w:type="auto"/>
            <w:gridSpan w:val="3"/>
            <w:shd w:val="clear" w:color="auto" w:fill="auto"/>
            <w:vAlign w:val="bottom"/>
          </w:tcPr>
          <w:p w14:paraId="5F2CBC41" w14:textId="77777777" w:rsidR="00E836FB" w:rsidRDefault="00E836FB">
            <w:pPr>
              <w:rPr>
                <w:rFonts w:ascii="宋体"/>
                <w:vanish/>
              </w:rPr>
            </w:pPr>
          </w:p>
        </w:tc>
        <w:tc>
          <w:tcPr>
            <w:tcW w:w="0" w:type="auto"/>
            <w:gridSpan w:val="3"/>
            <w:shd w:val="clear" w:color="auto" w:fill="auto"/>
            <w:vAlign w:val="bottom"/>
          </w:tcPr>
          <w:p w14:paraId="5F2CBC42" w14:textId="77777777" w:rsidR="00E836FB" w:rsidRDefault="00E836FB">
            <w:pPr>
              <w:rPr>
                <w:rFonts w:ascii="宋体"/>
                <w:vanish/>
              </w:rPr>
            </w:pPr>
          </w:p>
        </w:tc>
        <w:tc>
          <w:tcPr>
            <w:tcW w:w="0" w:type="auto"/>
            <w:gridSpan w:val="3"/>
            <w:shd w:val="clear" w:color="auto" w:fill="auto"/>
            <w:vAlign w:val="bottom"/>
          </w:tcPr>
          <w:p w14:paraId="5F2CBC43" w14:textId="77777777" w:rsidR="00E836FB" w:rsidRDefault="00E836FB">
            <w:pPr>
              <w:rPr>
                <w:rFonts w:ascii="宋体"/>
                <w:vanish/>
              </w:rPr>
            </w:pPr>
          </w:p>
        </w:tc>
        <w:tc>
          <w:tcPr>
            <w:tcW w:w="0" w:type="auto"/>
            <w:gridSpan w:val="3"/>
            <w:shd w:val="clear" w:color="auto" w:fill="auto"/>
            <w:vAlign w:val="bottom"/>
          </w:tcPr>
          <w:p w14:paraId="5F2CBC44" w14:textId="77777777" w:rsidR="00E836FB" w:rsidRDefault="00E836FB">
            <w:pPr>
              <w:rPr>
                <w:rFonts w:ascii="宋体"/>
                <w:vanish/>
              </w:rPr>
            </w:pPr>
          </w:p>
        </w:tc>
        <w:tc>
          <w:tcPr>
            <w:tcW w:w="0" w:type="auto"/>
            <w:gridSpan w:val="2"/>
            <w:shd w:val="clear" w:color="auto" w:fill="auto"/>
            <w:vAlign w:val="bottom"/>
          </w:tcPr>
          <w:p w14:paraId="5F2CBC45" w14:textId="77777777" w:rsidR="00E836FB" w:rsidRDefault="00E836FB">
            <w:pPr>
              <w:rPr>
                <w:rFonts w:ascii="宋体"/>
                <w:vanish/>
              </w:rPr>
            </w:pPr>
          </w:p>
        </w:tc>
        <w:tc>
          <w:tcPr>
            <w:tcW w:w="0" w:type="auto"/>
            <w:shd w:val="clear" w:color="auto" w:fill="auto"/>
            <w:vAlign w:val="bottom"/>
          </w:tcPr>
          <w:p w14:paraId="5F2CBC46" w14:textId="77777777" w:rsidR="00E836FB" w:rsidRDefault="00E836FB">
            <w:pPr>
              <w:rPr>
                <w:rFonts w:ascii="宋体"/>
                <w:vanish/>
              </w:rPr>
            </w:pPr>
          </w:p>
        </w:tc>
      </w:tr>
      <w:tr w:rsidR="00E836FB" w14:paraId="5F2CBC63" w14:textId="77777777">
        <w:tc>
          <w:tcPr>
            <w:tcW w:w="0" w:type="auto"/>
            <w:gridSpan w:val="3"/>
            <w:shd w:val="clear" w:color="auto" w:fill="CCEEFF"/>
            <w:tcMar>
              <w:top w:w="40" w:type="dxa"/>
              <w:left w:w="20" w:type="dxa"/>
              <w:bottom w:w="40" w:type="dxa"/>
              <w:right w:w="20" w:type="dxa"/>
            </w:tcMar>
            <w:vAlign w:val="bottom"/>
          </w:tcPr>
          <w:p w14:paraId="5F2CBC48" w14:textId="77777777" w:rsidR="00E836FB" w:rsidRDefault="00994958">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5F2CBC49" w14:textId="77777777" w:rsidR="00E836FB" w:rsidRDefault="00E836FB">
            <w:pPr>
              <w:rPr>
                <w:rFonts w:ascii="宋体"/>
                <w:vanish/>
              </w:rPr>
            </w:pPr>
          </w:p>
        </w:tc>
        <w:tc>
          <w:tcPr>
            <w:tcW w:w="0" w:type="auto"/>
            <w:shd w:val="clear" w:color="auto" w:fill="auto"/>
            <w:vAlign w:val="bottom"/>
          </w:tcPr>
          <w:p w14:paraId="5F2CBC4A" w14:textId="77777777" w:rsidR="00E836FB" w:rsidRDefault="00E836FB">
            <w:pPr>
              <w:rPr>
                <w:rFonts w:ascii="宋体"/>
                <w:vanish/>
              </w:rPr>
            </w:pPr>
          </w:p>
        </w:tc>
        <w:tc>
          <w:tcPr>
            <w:tcW w:w="0" w:type="auto"/>
            <w:shd w:val="clear" w:color="auto" w:fill="auto"/>
            <w:vAlign w:val="bottom"/>
          </w:tcPr>
          <w:p w14:paraId="5F2CBC4B" w14:textId="77777777" w:rsidR="00E836FB" w:rsidRDefault="00E836FB">
            <w:pPr>
              <w:rPr>
                <w:rFonts w:ascii="宋体"/>
                <w:vanish/>
              </w:rPr>
            </w:pPr>
          </w:p>
        </w:tc>
        <w:tc>
          <w:tcPr>
            <w:tcW w:w="0" w:type="auto"/>
            <w:shd w:val="clear" w:color="auto" w:fill="auto"/>
            <w:vAlign w:val="bottom"/>
          </w:tcPr>
          <w:p w14:paraId="5F2CBC4C" w14:textId="77777777" w:rsidR="00E836FB" w:rsidRDefault="00E836FB">
            <w:pPr>
              <w:rPr>
                <w:rFonts w:ascii="宋体"/>
                <w:vanish/>
              </w:rPr>
            </w:pPr>
          </w:p>
        </w:tc>
        <w:tc>
          <w:tcPr>
            <w:tcW w:w="0" w:type="auto"/>
            <w:shd w:val="clear" w:color="auto" w:fill="auto"/>
            <w:vAlign w:val="bottom"/>
          </w:tcPr>
          <w:p w14:paraId="5F2CBC4D" w14:textId="77777777" w:rsidR="00E836FB" w:rsidRDefault="00E836FB">
            <w:pPr>
              <w:rPr>
                <w:rFonts w:ascii="宋体"/>
                <w:vanish/>
              </w:rPr>
            </w:pPr>
          </w:p>
        </w:tc>
        <w:tc>
          <w:tcPr>
            <w:tcW w:w="0" w:type="auto"/>
            <w:shd w:val="clear" w:color="auto" w:fill="auto"/>
            <w:vAlign w:val="bottom"/>
          </w:tcPr>
          <w:p w14:paraId="5F2CBC4E"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BC4F" w14:textId="77777777" w:rsidR="00E836FB" w:rsidRDefault="00994958">
            <w:pPr>
              <w:jc w:val="right"/>
              <w:textAlignment w:val="bottom"/>
            </w:pPr>
            <w:r>
              <w:rPr>
                <w:rFonts w:ascii="Arial" w:eastAsia="宋体" w:hAnsi="Arial" w:cs="Arial"/>
                <w:b/>
                <w:bCs/>
                <w:color w:val="000000"/>
                <w:sz w:val="14"/>
                <w:szCs w:val="14"/>
              </w:rPr>
              <w:t>402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C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52" w14:textId="77777777" w:rsidR="00E836FB" w:rsidRDefault="00994958">
            <w:pPr>
              <w:jc w:val="right"/>
              <w:textAlignment w:val="bottom"/>
            </w:pPr>
            <w:r>
              <w:rPr>
                <w:rFonts w:ascii="Arial" w:eastAsia="宋体" w:hAnsi="Arial" w:cs="Arial"/>
                <w:color w:val="000000"/>
                <w:sz w:val="14"/>
                <w:szCs w:val="14"/>
              </w:rPr>
              <w:t>342 </w:t>
            </w:r>
          </w:p>
        </w:tc>
        <w:tc>
          <w:tcPr>
            <w:tcW w:w="0" w:type="auto"/>
            <w:shd w:val="clear" w:color="auto" w:fill="CCEEFF"/>
            <w:tcMar>
              <w:top w:w="40" w:type="dxa"/>
              <w:left w:w="0" w:type="dxa"/>
              <w:bottom w:w="40" w:type="dxa"/>
              <w:right w:w="20" w:type="dxa"/>
            </w:tcMar>
            <w:vAlign w:val="bottom"/>
          </w:tcPr>
          <w:p w14:paraId="5F2CBC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5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55" w14:textId="77777777" w:rsidR="00E836FB" w:rsidRDefault="00994958">
            <w:pPr>
              <w:jc w:val="right"/>
              <w:textAlignment w:val="bottom"/>
            </w:pPr>
            <w:r>
              <w:rPr>
                <w:rFonts w:ascii="Arial" w:eastAsia="宋体" w:hAnsi="Arial" w:cs="Arial"/>
                <w:color w:val="000000"/>
                <w:sz w:val="14"/>
                <w:szCs w:val="14"/>
              </w:rPr>
              <w:t>462 </w:t>
            </w:r>
          </w:p>
        </w:tc>
        <w:tc>
          <w:tcPr>
            <w:tcW w:w="0" w:type="auto"/>
            <w:shd w:val="clear" w:color="auto" w:fill="CCEEFF"/>
            <w:tcMar>
              <w:top w:w="40" w:type="dxa"/>
              <w:left w:w="0" w:type="dxa"/>
              <w:bottom w:w="40" w:type="dxa"/>
              <w:right w:w="20" w:type="dxa"/>
            </w:tcMar>
            <w:vAlign w:val="bottom"/>
          </w:tcPr>
          <w:p w14:paraId="5F2CBC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5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58"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5F2CBC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5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5B" w14:textId="77777777" w:rsidR="00E836FB" w:rsidRDefault="00994958">
            <w:pPr>
              <w:jc w:val="right"/>
              <w:textAlignment w:val="bottom"/>
            </w:pPr>
            <w:r>
              <w:rPr>
                <w:rFonts w:ascii="Arial" w:eastAsia="宋体" w:hAnsi="Arial" w:cs="Arial"/>
                <w:color w:val="000000"/>
                <w:sz w:val="14"/>
                <w:szCs w:val="14"/>
              </w:rPr>
              <w:t>(26)</w:t>
            </w:r>
          </w:p>
        </w:tc>
        <w:tc>
          <w:tcPr>
            <w:tcW w:w="0" w:type="auto"/>
            <w:shd w:val="clear" w:color="auto" w:fill="CCEEFF"/>
            <w:tcMar>
              <w:top w:w="40" w:type="dxa"/>
              <w:left w:w="0" w:type="dxa"/>
              <w:bottom w:w="40" w:type="dxa"/>
              <w:right w:w="20" w:type="dxa"/>
            </w:tcMar>
            <w:vAlign w:val="bottom"/>
          </w:tcPr>
          <w:p w14:paraId="5F2CBC5C" w14:textId="77777777" w:rsidR="00E836FB" w:rsidRDefault="00E836FB">
            <w:pPr>
              <w:jc w:val="right"/>
              <w:rPr>
                <w:rFonts w:ascii="宋体"/>
              </w:rPr>
            </w:pPr>
          </w:p>
        </w:tc>
        <w:tc>
          <w:tcPr>
            <w:tcW w:w="0" w:type="auto"/>
            <w:gridSpan w:val="3"/>
            <w:shd w:val="clear" w:color="auto" w:fill="auto"/>
            <w:vAlign w:val="bottom"/>
          </w:tcPr>
          <w:p w14:paraId="5F2CBC5D" w14:textId="77777777" w:rsidR="00E836FB" w:rsidRDefault="00E836FB">
            <w:pPr>
              <w:rPr>
                <w:rFonts w:ascii="宋体"/>
                <w:vanish/>
              </w:rPr>
            </w:pPr>
          </w:p>
        </w:tc>
        <w:tc>
          <w:tcPr>
            <w:tcW w:w="0" w:type="auto"/>
            <w:gridSpan w:val="3"/>
            <w:shd w:val="clear" w:color="auto" w:fill="auto"/>
            <w:vAlign w:val="bottom"/>
          </w:tcPr>
          <w:p w14:paraId="5F2CBC5E" w14:textId="77777777" w:rsidR="00E836FB" w:rsidRDefault="00E836FB">
            <w:pPr>
              <w:rPr>
                <w:rFonts w:ascii="宋体"/>
                <w:vanish/>
              </w:rPr>
            </w:pPr>
          </w:p>
        </w:tc>
        <w:tc>
          <w:tcPr>
            <w:tcW w:w="0" w:type="auto"/>
            <w:gridSpan w:val="3"/>
            <w:shd w:val="clear" w:color="auto" w:fill="auto"/>
            <w:vAlign w:val="bottom"/>
          </w:tcPr>
          <w:p w14:paraId="5F2CBC5F" w14:textId="77777777" w:rsidR="00E836FB" w:rsidRDefault="00E836FB">
            <w:pPr>
              <w:rPr>
                <w:rFonts w:ascii="宋体"/>
                <w:vanish/>
              </w:rPr>
            </w:pPr>
          </w:p>
        </w:tc>
        <w:tc>
          <w:tcPr>
            <w:tcW w:w="0" w:type="auto"/>
            <w:gridSpan w:val="3"/>
            <w:shd w:val="clear" w:color="auto" w:fill="auto"/>
            <w:vAlign w:val="bottom"/>
          </w:tcPr>
          <w:p w14:paraId="5F2CBC60" w14:textId="77777777" w:rsidR="00E836FB" w:rsidRDefault="00E836FB">
            <w:pPr>
              <w:rPr>
                <w:rFonts w:ascii="宋体"/>
                <w:vanish/>
              </w:rPr>
            </w:pPr>
          </w:p>
        </w:tc>
        <w:tc>
          <w:tcPr>
            <w:tcW w:w="0" w:type="auto"/>
            <w:gridSpan w:val="2"/>
            <w:shd w:val="clear" w:color="auto" w:fill="auto"/>
            <w:vAlign w:val="bottom"/>
          </w:tcPr>
          <w:p w14:paraId="5F2CBC61" w14:textId="77777777" w:rsidR="00E836FB" w:rsidRDefault="00E836FB">
            <w:pPr>
              <w:rPr>
                <w:rFonts w:ascii="宋体"/>
                <w:vanish/>
              </w:rPr>
            </w:pPr>
          </w:p>
        </w:tc>
        <w:tc>
          <w:tcPr>
            <w:tcW w:w="0" w:type="auto"/>
            <w:shd w:val="clear" w:color="auto" w:fill="auto"/>
            <w:vAlign w:val="bottom"/>
          </w:tcPr>
          <w:p w14:paraId="5F2CBC62" w14:textId="77777777" w:rsidR="00E836FB" w:rsidRDefault="00E836FB">
            <w:pPr>
              <w:rPr>
                <w:rFonts w:ascii="宋体"/>
                <w:vanish/>
              </w:rPr>
            </w:pPr>
          </w:p>
        </w:tc>
      </w:tr>
      <w:tr w:rsidR="00E836FB" w14:paraId="5F2CBC7F" w14:textId="77777777">
        <w:tc>
          <w:tcPr>
            <w:tcW w:w="0" w:type="auto"/>
            <w:gridSpan w:val="3"/>
            <w:shd w:val="clear" w:color="auto" w:fill="FFFFFF"/>
            <w:tcMar>
              <w:top w:w="40" w:type="dxa"/>
              <w:left w:w="20" w:type="dxa"/>
              <w:bottom w:w="40" w:type="dxa"/>
              <w:right w:w="20" w:type="dxa"/>
            </w:tcMar>
            <w:vAlign w:val="bottom"/>
          </w:tcPr>
          <w:p w14:paraId="5F2CBC64" w14:textId="77777777" w:rsidR="00E836FB" w:rsidRDefault="00994958">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5F2CBC65" w14:textId="77777777" w:rsidR="00E836FB" w:rsidRDefault="00E836FB">
            <w:pPr>
              <w:rPr>
                <w:rFonts w:ascii="宋体"/>
                <w:vanish/>
              </w:rPr>
            </w:pPr>
          </w:p>
        </w:tc>
        <w:tc>
          <w:tcPr>
            <w:tcW w:w="0" w:type="auto"/>
            <w:shd w:val="clear" w:color="auto" w:fill="auto"/>
            <w:vAlign w:val="bottom"/>
          </w:tcPr>
          <w:p w14:paraId="5F2CBC66" w14:textId="77777777" w:rsidR="00E836FB" w:rsidRDefault="00E836FB">
            <w:pPr>
              <w:rPr>
                <w:rFonts w:ascii="宋体"/>
                <w:vanish/>
              </w:rPr>
            </w:pPr>
          </w:p>
        </w:tc>
        <w:tc>
          <w:tcPr>
            <w:tcW w:w="0" w:type="auto"/>
            <w:shd w:val="clear" w:color="auto" w:fill="auto"/>
            <w:vAlign w:val="bottom"/>
          </w:tcPr>
          <w:p w14:paraId="5F2CBC67" w14:textId="77777777" w:rsidR="00E836FB" w:rsidRDefault="00E836FB">
            <w:pPr>
              <w:rPr>
                <w:rFonts w:ascii="宋体"/>
                <w:vanish/>
              </w:rPr>
            </w:pPr>
          </w:p>
        </w:tc>
        <w:tc>
          <w:tcPr>
            <w:tcW w:w="0" w:type="auto"/>
            <w:shd w:val="clear" w:color="auto" w:fill="auto"/>
            <w:vAlign w:val="bottom"/>
          </w:tcPr>
          <w:p w14:paraId="5F2CBC68" w14:textId="77777777" w:rsidR="00E836FB" w:rsidRDefault="00E836FB">
            <w:pPr>
              <w:rPr>
                <w:rFonts w:ascii="宋体"/>
                <w:vanish/>
              </w:rPr>
            </w:pPr>
          </w:p>
        </w:tc>
        <w:tc>
          <w:tcPr>
            <w:tcW w:w="0" w:type="auto"/>
            <w:shd w:val="clear" w:color="auto" w:fill="auto"/>
            <w:vAlign w:val="bottom"/>
          </w:tcPr>
          <w:p w14:paraId="5F2CBC69" w14:textId="77777777" w:rsidR="00E836FB" w:rsidRDefault="00E836FB">
            <w:pPr>
              <w:rPr>
                <w:rFonts w:ascii="宋体"/>
                <w:vanish/>
              </w:rPr>
            </w:pPr>
          </w:p>
        </w:tc>
        <w:tc>
          <w:tcPr>
            <w:tcW w:w="0" w:type="auto"/>
            <w:shd w:val="clear" w:color="auto" w:fill="auto"/>
            <w:vAlign w:val="bottom"/>
          </w:tcPr>
          <w:p w14:paraId="5F2CBC6A"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C6B" w14:textId="77777777" w:rsidR="00E836FB" w:rsidRDefault="00994958">
            <w:pPr>
              <w:jc w:val="right"/>
              <w:textAlignment w:val="bottom"/>
            </w:pPr>
            <w:r>
              <w:rPr>
                <w:rFonts w:ascii="Arial" w:eastAsia="宋体" w:hAnsi="Arial" w:cs="Arial"/>
                <w:b/>
                <w:bCs/>
                <w:color w:val="000000"/>
                <w:sz w:val="14"/>
                <w:szCs w:val="14"/>
              </w:rPr>
              <w:t>779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C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6D"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C6E" w14:textId="77777777" w:rsidR="00E836FB" w:rsidRDefault="00994958">
            <w:pPr>
              <w:jc w:val="right"/>
              <w:textAlignment w:val="bottom"/>
            </w:pPr>
            <w:r>
              <w:rPr>
                <w:rFonts w:ascii="Arial" w:eastAsia="宋体" w:hAnsi="Arial" w:cs="Arial"/>
                <w:color w:val="000000"/>
                <w:sz w:val="14"/>
                <w:szCs w:val="14"/>
              </w:rPr>
              <w:t>706 </w:t>
            </w:r>
          </w:p>
        </w:tc>
        <w:tc>
          <w:tcPr>
            <w:tcW w:w="0" w:type="auto"/>
            <w:shd w:val="clear" w:color="auto" w:fill="auto"/>
            <w:tcMar>
              <w:top w:w="40" w:type="dxa"/>
              <w:left w:w="0" w:type="dxa"/>
              <w:bottom w:w="40" w:type="dxa"/>
              <w:right w:w="20" w:type="dxa"/>
            </w:tcMar>
            <w:vAlign w:val="bottom"/>
          </w:tcPr>
          <w:p w14:paraId="5F2CBC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71" w14:textId="77777777" w:rsidR="00E836FB" w:rsidRDefault="00994958">
            <w:pPr>
              <w:jc w:val="right"/>
              <w:textAlignment w:val="bottom"/>
            </w:pPr>
            <w:r>
              <w:rPr>
                <w:rFonts w:ascii="Arial" w:eastAsia="宋体" w:hAnsi="Arial" w:cs="Arial"/>
                <w:color w:val="000000"/>
                <w:sz w:val="14"/>
                <w:szCs w:val="14"/>
              </w:rPr>
              <w:t>691 </w:t>
            </w:r>
          </w:p>
        </w:tc>
        <w:tc>
          <w:tcPr>
            <w:tcW w:w="0" w:type="auto"/>
            <w:shd w:val="clear" w:color="auto" w:fill="FFFFFF"/>
            <w:tcMar>
              <w:top w:w="40" w:type="dxa"/>
              <w:left w:w="0" w:type="dxa"/>
              <w:bottom w:w="40" w:type="dxa"/>
              <w:right w:w="20" w:type="dxa"/>
            </w:tcMar>
            <w:vAlign w:val="bottom"/>
          </w:tcPr>
          <w:p w14:paraId="5F2CBC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74"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5F2CBC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77"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F2CBC78" w14:textId="77777777" w:rsidR="00E836FB" w:rsidRDefault="00E836FB">
            <w:pPr>
              <w:jc w:val="right"/>
              <w:rPr>
                <w:rFonts w:ascii="宋体"/>
              </w:rPr>
            </w:pPr>
          </w:p>
        </w:tc>
        <w:tc>
          <w:tcPr>
            <w:tcW w:w="0" w:type="auto"/>
            <w:gridSpan w:val="3"/>
            <w:shd w:val="clear" w:color="auto" w:fill="auto"/>
            <w:vAlign w:val="bottom"/>
          </w:tcPr>
          <w:p w14:paraId="5F2CBC79" w14:textId="77777777" w:rsidR="00E836FB" w:rsidRDefault="00E836FB">
            <w:pPr>
              <w:rPr>
                <w:rFonts w:ascii="宋体"/>
                <w:vanish/>
              </w:rPr>
            </w:pPr>
          </w:p>
        </w:tc>
        <w:tc>
          <w:tcPr>
            <w:tcW w:w="0" w:type="auto"/>
            <w:gridSpan w:val="3"/>
            <w:shd w:val="clear" w:color="auto" w:fill="auto"/>
            <w:vAlign w:val="bottom"/>
          </w:tcPr>
          <w:p w14:paraId="5F2CBC7A" w14:textId="77777777" w:rsidR="00E836FB" w:rsidRDefault="00E836FB">
            <w:pPr>
              <w:rPr>
                <w:rFonts w:ascii="宋体"/>
                <w:vanish/>
              </w:rPr>
            </w:pPr>
          </w:p>
        </w:tc>
        <w:tc>
          <w:tcPr>
            <w:tcW w:w="0" w:type="auto"/>
            <w:gridSpan w:val="3"/>
            <w:shd w:val="clear" w:color="auto" w:fill="auto"/>
            <w:vAlign w:val="bottom"/>
          </w:tcPr>
          <w:p w14:paraId="5F2CBC7B" w14:textId="77777777" w:rsidR="00E836FB" w:rsidRDefault="00E836FB">
            <w:pPr>
              <w:rPr>
                <w:rFonts w:ascii="宋体"/>
                <w:vanish/>
              </w:rPr>
            </w:pPr>
          </w:p>
        </w:tc>
        <w:tc>
          <w:tcPr>
            <w:tcW w:w="0" w:type="auto"/>
            <w:gridSpan w:val="3"/>
            <w:shd w:val="clear" w:color="auto" w:fill="auto"/>
            <w:vAlign w:val="bottom"/>
          </w:tcPr>
          <w:p w14:paraId="5F2CBC7C" w14:textId="77777777" w:rsidR="00E836FB" w:rsidRDefault="00E836FB">
            <w:pPr>
              <w:rPr>
                <w:rFonts w:ascii="宋体"/>
                <w:vanish/>
              </w:rPr>
            </w:pPr>
          </w:p>
        </w:tc>
        <w:tc>
          <w:tcPr>
            <w:tcW w:w="0" w:type="auto"/>
            <w:gridSpan w:val="2"/>
            <w:shd w:val="clear" w:color="auto" w:fill="auto"/>
            <w:vAlign w:val="bottom"/>
          </w:tcPr>
          <w:p w14:paraId="5F2CBC7D" w14:textId="77777777" w:rsidR="00E836FB" w:rsidRDefault="00E836FB">
            <w:pPr>
              <w:rPr>
                <w:rFonts w:ascii="宋体"/>
                <w:vanish/>
              </w:rPr>
            </w:pPr>
          </w:p>
        </w:tc>
        <w:tc>
          <w:tcPr>
            <w:tcW w:w="0" w:type="auto"/>
            <w:shd w:val="clear" w:color="auto" w:fill="auto"/>
            <w:vAlign w:val="bottom"/>
          </w:tcPr>
          <w:p w14:paraId="5F2CBC7E" w14:textId="77777777" w:rsidR="00E836FB" w:rsidRDefault="00E836FB">
            <w:pPr>
              <w:rPr>
                <w:rFonts w:ascii="宋体"/>
                <w:vanish/>
              </w:rPr>
            </w:pPr>
          </w:p>
        </w:tc>
      </w:tr>
      <w:tr w:rsidR="00E836FB" w14:paraId="5F2CBC9B" w14:textId="77777777">
        <w:tc>
          <w:tcPr>
            <w:tcW w:w="0" w:type="auto"/>
            <w:gridSpan w:val="3"/>
            <w:shd w:val="clear" w:color="auto" w:fill="CCEEFF"/>
            <w:tcMar>
              <w:top w:w="40" w:type="dxa"/>
              <w:left w:w="20" w:type="dxa"/>
              <w:bottom w:w="40" w:type="dxa"/>
              <w:right w:w="20" w:type="dxa"/>
            </w:tcMar>
            <w:vAlign w:val="bottom"/>
          </w:tcPr>
          <w:p w14:paraId="5F2CBC80" w14:textId="77777777" w:rsidR="00E836FB" w:rsidRDefault="00994958">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5F2CBC81" w14:textId="77777777" w:rsidR="00E836FB" w:rsidRDefault="00E836FB">
            <w:pPr>
              <w:rPr>
                <w:rFonts w:ascii="宋体"/>
                <w:vanish/>
              </w:rPr>
            </w:pPr>
          </w:p>
        </w:tc>
        <w:tc>
          <w:tcPr>
            <w:tcW w:w="0" w:type="auto"/>
            <w:shd w:val="clear" w:color="auto" w:fill="auto"/>
            <w:vAlign w:val="bottom"/>
          </w:tcPr>
          <w:p w14:paraId="5F2CBC82" w14:textId="77777777" w:rsidR="00E836FB" w:rsidRDefault="00E836FB">
            <w:pPr>
              <w:rPr>
                <w:rFonts w:ascii="宋体"/>
                <w:vanish/>
              </w:rPr>
            </w:pPr>
          </w:p>
        </w:tc>
        <w:tc>
          <w:tcPr>
            <w:tcW w:w="0" w:type="auto"/>
            <w:shd w:val="clear" w:color="auto" w:fill="auto"/>
            <w:vAlign w:val="bottom"/>
          </w:tcPr>
          <w:p w14:paraId="5F2CBC83" w14:textId="77777777" w:rsidR="00E836FB" w:rsidRDefault="00E836FB">
            <w:pPr>
              <w:rPr>
                <w:rFonts w:ascii="宋体"/>
                <w:vanish/>
              </w:rPr>
            </w:pPr>
          </w:p>
        </w:tc>
        <w:tc>
          <w:tcPr>
            <w:tcW w:w="0" w:type="auto"/>
            <w:shd w:val="clear" w:color="auto" w:fill="auto"/>
            <w:vAlign w:val="bottom"/>
          </w:tcPr>
          <w:p w14:paraId="5F2CBC84" w14:textId="77777777" w:rsidR="00E836FB" w:rsidRDefault="00E836FB">
            <w:pPr>
              <w:rPr>
                <w:rFonts w:ascii="宋体"/>
                <w:vanish/>
              </w:rPr>
            </w:pPr>
          </w:p>
        </w:tc>
        <w:tc>
          <w:tcPr>
            <w:tcW w:w="0" w:type="auto"/>
            <w:shd w:val="clear" w:color="auto" w:fill="auto"/>
            <w:vAlign w:val="bottom"/>
          </w:tcPr>
          <w:p w14:paraId="5F2CBC85" w14:textId="77777777" w:rsidR="00E836FB" w:rsidRDefault="00E836FB">
            <w:pPr>
              <w:rPr>
                <w:rFonts w:ascii="宋体"/>
                <w:vanish/>
              </w:rPr>
            </w:pPr>
          </w:p>
        </w:tc>
        <w:tc>
          <w:tcPr>
            <w:tcW w:w="0" w:type="auto"/>
            <w:shd w:val="clear" w:color="auto" w:fill="auto"/>
            <w:vAlign w:val="bottom"/>
          </w:tcPr>
          <w:p w14:paraId="5F2CBC86"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C87" w14:textId="77777777" w:rsidR="00E836FB" w:rsidRDefault="00994958">
            <w:pPr>
              <w:jc w:val="right"/>
              <w:textAlignment w:val="bottom"/>
            </w:pPr>
            <w:r>
              <w:rPr>
                <w:rFonts w:ascii="Arial" w:eastAsia="宋体" w:hAnsi="Arial" w:cs="Arial"/>
                <w:b/>
                <w:bCs/>
                <w:color w:val="000000"/>
                <w:sz w:val="14"/>
                <w:szCs w:val="14"/>
              </w:rPr>
              <w:t>7,879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8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C8A" w14:textId="77777777" w:rsidR="00E836FB" w:rsidRDefault="00994958">
            <w:pPr>
              <w:jc w:val="right"/>
              <w:textAlignment w:val="bottom"/>
            </w:pPr>
            <w:r>
              <w:rPr>
                <w:rFonts w:ascii="Arial" w:eastAsia="宋体" w:hAnsi="Arial" w:cs="Arial"/>
                <w:color w:val="000000"/>
                <w:sz w:val="14"/>
                <w:szCs w:val="14"/>
              </w:rPr>
              <w:t>7,514 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8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C8D" w14:textId="77777777" w:rsidR="00E836FB" w:rsidRDefault="00994958">
            <w:pPr>
              <w:jc w:val="right"/>
              <w:textAlignment w:val="bottom"/>
            </w:pPr>
            <w:r>
              <w:rPr>
                <w:rFonts w:ascii="Arial" w:eastAsia="宋体" w:hAnsi="Arial" w:cs="Arial"/>
                <w:color w:val="000000"/>
                <w:sz w:val="14"/>
                <w:szCs w:val="14"/>
              </w:rPr>
              <w:t>7,201 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C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90" w14:textId="77777777" w:rsidR="00E836FB" w:rsidRDefault="00994958">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5F2CBC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93"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F2CBC94" w14:textId="77777777" w:rsidR="00E836FB" w:rsidRDefault="00E836FB">
            <w:pPr>
              <w:jc w:val="right"/>
              <w:rPr>
                <w:rFonts w:ascii="宋体"/>
              </w:rPr>
            </w:pPr>
          </w:p>
        </w:tc>
        <w:tc>
          <w:tcPr>
            <w:tcW w:w="0" w:type="auto"/>
            <w:gridSpan w:val="3"/>
            <w:shd w:val="clear" w:color="auto" w:fill="auto"/>
            <w:vAlign w:val="bottom"/>
          </w:tcPr>
          <w:p w14:paraId="5F2CBC95" w14:textId="77777777" w:rsidR="00E836FB" w:rsidRDefault="00E836FB">
            <w:pPr>
              <w:rPr>
                <w:rFonts w:ascii="宋体"/>
                <w:vanish/>
              </w:rPr>
            </w:pPr>
          </w:p>
        </w:tc>
        <w:tc>
          <w:tcPr>
            <w:tcW w:w="0" w:type="auto"/>
            <w:gridSpan w:val="3"/>
            <w:shd w:val="clear" w:color="auto" w:fill="auto"/>
            <w:vAlign w:val="bottom"/>
          </w:tcPr>
          <w:p w14:paraId="5F2CBC96" w14:textId="77777777" w:rsidR="00E836FB" w:rsidRDefault="00E836FB">
            <w:pPr>
              <w:rPr>
                <w:rFonts w:ascii="宋体"/>
                <w:vanish/>
              </w:rPr>
            </w:pPr>
          </w:p>
        </w:tc>
        <w:tc>
          <w:tcPr>
            <w:tcW w:w="0" w:type="auto"/>
            <w:gridSpan w:val="3"/>
            <w:shd w:val="clear" w:color="auto" w:fill="auto"/>
            <w:vAlign w:val="bottom"/>
          </w:tcPr>
          <w:p w14:paraId="5F2CBC97" w14:textId="77777777" w:rsidR="00E836FB" w:rsidRDefault="00E836FB">
            <w:pPr>
              <w:rPr>
                <w:rFonts w:ascii="宋体"/>
                <w:vanish/>
              </w:rPr>
            </w:pPr>
          </w:p>
        </w:tc>
        <w:tc>
          <w:tcPr>
            <w:tcW w:w="0" w:type="auto"/>
            <w:gridSpan w:val="3"/>
            <w:shd w:val="clear" w:color="auto" w:fill="auto"/>
            <w:vAlign w:val="bottom"/>
          </w:tcPr>
          <w:p w14:paraId="5F2CBC98" w14:textId="77777777" w:rsidR="00E836FB" w:rsidRDefault="00E836FB">
            <w:pPr>
              <w:rPr>
                <w:rFonts w:ascii="宋体"/>
                <w:vanish/>
              </w:rPr>
            </w:pPr>
          </w:p>
        </w:tc>
        <w:tc>
          <w:tcPr>
            <w:tcW w:w="0" w:type="auto"/>
            <w:gridSpan w:val="2"/>
            <w:shd w:val="clear" w:color="auto" w:fill="auto"/>
            <w:vAlign w:val="bottom"/>
          </w:tcPr>
          <w:p w14:paraId="5F2CBC99" w14:textId="77777777" w:rsidR="00E836FB" w:rsidRDefault="00E836FB">
            <w:pPr>
              <w:rPr>
                <w:rFonts w:ascii="宋体"/>
                <w:vanish/>
              </w:rPr>
            </w:pPr>
          </w:p>
        </w:tc>
        <w:tc>
          <w:tcPr>
            <w:tcW w:w="0" w:type="auto"/>
            <w:shd w:val="clear" w:color="auto" w:fill="auto"/>
            <w:vAlign w:val="bottom"/>
          </w:tcPr>
          <w:p w14:paraId="5F2CBC9A" w14:textId="77777777" w:rsidR="00E836FB" w:rsidRDefault="00E836FB">
            <w:pPr>
              <w:rPr>
                <w:rFonts w:ascii="宋体"/>
                <w:vanish/>
              </w:rPr>
            </w:pPr>
          </w:p>
        </w:tc>
      </w:tr>
      <w:tr w:rsidR="00E836FB" w14:paraId="5F2CBCB7" w14:textId="77777777">
        <w:tc>
          <w:tcPr>
            <w:tcW w:w="0" w:type="auto"/>
            <w:gridSpan w:val="3"/>
            <w:shd w:val="clear" w:color="auto" w:fill="FFFFFF"/>
            <w:tcMar>
              <w:top w:w="40" w:type="dxa"/>
              <w:left w:w="20" w:type="dxa"/>
              <w:bottom w:w="40" w:type="dxa"/>
              <w:right w:w="20" w:type="dxa"/>
            </w:tcMar>
            <w:vAlign w:val="bottom"/>
          </w:tcPr>
          <w:p w14:paraId="5F2CBC9C" w14:textId="77777777" w:rsidR="00E836FB" w:rsidRDefault="00994958">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5F2CBC9D" w14:textId="77777777" w:rsidR="00E836FB" w:rsidRDefault="00E836FB">
            <w:pPr>
              <w:rPr>
                <w:rFonts w:ascii="宋体"/>
                <w:vanish/>
              </w:rPr>
            </w:pPr>
          </w:p>
        </w:tc>
        <w:tc>
          <w:tcPr>
            <w:tcW w:w="0" w:type="auto"/>
            <w:shd w:val="clear" w:color="auto" w:fill="auto"/>
            <w:vAlign w:val="bottom"/>
          </w:tcPr>
          <w:p w14:paraId="5F2CBC9E" w14:textId="77777777" w:rsidR="00E836FB" w:rsidRDefault="00E836FB">
            <w:pPr>
              <w:rPr>
                <w:rFonts w:ascii="宋体"/>
                <w:vanish/>
              </w:rPr>
            </w:pPr>
          </w:p>
        </w:tc>
        <w:tc>
          <w:tcPr>
            <w:tcW w:w="0" w:type="auto"/>
            <w:shd w:val="clear" w:color="auto" w:fill="auto"/>
            <w:vAlign w:val="bottom"/>
          </w:tcPr>
          <w:p w14:paraId="5F2CBC9F" w14:textId="77777777" w:rsidR="00E836FB" w:rsidRDefault="00E836FB">
            <w:pPr>
              <w:rPr>
                <w:rFonts w:ascii="宋体"/>
                <w:vanish/>
              </w:rPr>
            </w:pPr>
          </w:p>
        </w:tc>
        <w:tc>
          <w:tcPr>
            <w:tcW w:w="0" w:type="auto"/>
            <w:shd w:val="clear" w:color="auto" w:fill="auto"/>
            <w:vAlign w:val="bottom"/>
          </w:tcPr>
          <w:p w14:paraId="5F2CBCA0" w14:textId="77777777" w:rsidR="00E836FB" w:rsidRDefault="00E836FB">
            <w:pPr>
              <w:rPr>
                <w:rFonts w:ascii="宋体"/>
                <w:vanish/>
              </w:rPr>
            </w:pPr>
          </w:p>
        </w:tc>
        <w:tc>
          <w:tcPr>
            <w:tcW w:w="0" w:type="auto"/>
            <w:shd w:val="clear" w:color="auto" w:fill="auto"/>
            <w:vAlign w:val="bottom"/>
          </w:tcPr>
          <w:p w14:paraId="5F2CBCA1" w14:textId="77777777" w:rsidR="00E836FB" w:rsidRDefault="00E836FB">
            <w:pPr>
              <w:rPr>
                <w:rFonts w:ascii="宋体"/>
                <w:vanish/>
              </w:rPr>
            </w:pPr>
          </w:p>
        </w:tc>
        <w:tc>
          <w:tcPr>
            <w:tcW w:w="0" w:type="auto"/>
            <w:shd w:val="clear" w:color="auto" w:fill="auto"/>
            <w:vAlign w:val="bottom"/>
          </w:tcPr>
          <w:p w14:paraId="5F2CBCA2"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CA3" w14:textId="77777777" w:rsidR="00E836FB" w:rsidRDefault="00994958">
            <w:pPr>
              <w:jc w:val="right"/>
              <w:textAlignment w:val="bottom"/>
            </w:pPr>
            <w:r>
              <w:rPr>
                <w:rFonts w:ascii="Arial" w:eastAsia="宋体" w:hAnsi="Arial" w:cs="Arial"/>
                <w:b/>
                <w:bCs/>
                <w:color w:val="000000"/>
                <w:sz w:val="14"/>
                <w:szCs w:val="14"/>
              </w:rPr>
              <w:t>1,919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CA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A5"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CA6" w14:textId="77777777" w:rsidR="00E836FB" w:rsidRDefault="00994958">
            <w:pPr>
              <w:jc w:val="right"/>
              <w:textAlignment w:val="bottom"/>
            </w:pPr>
            <w:r>
              <w:rPr>
                <w:rFonts w:ascii="Arial" w:eastAsia="宋体" w:hAnsi="Arial" w:cs="Arial"/>
                <w:color w:val="000000"/>
                <w:sz w:val="14"/>
                <w:szCs w:val="14"/>
              </w:rPr>
              <w:t>2,211 </w:t>
            </w:r>
          </w:p>
        </w:tc>
        <w:tc>
          <w:tcPr>
            <w:tcW w:w="0" w:type="auto"/>
            <w:shd w:val="clear" w:color="auto" w:fill="auto"/>
            <w:tcMar>
              <w:top w:w="40" w:type="dxa"/>
              <w:left w:w="0" w:type="dxa"/>
              <w:bottom w:w="40" w:type="dxa"/>
              <w:right w:w="20" w:type="dxa"/>
            </w:tcMar>
            <w:vAlign w:val="bottom"/>
          </w:tcPr>
          <w:p w14:paraId="5F2CBCA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A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A9" w14:textId="77777777" w:rsidR="00E836FB" w:rsidRDefault="00994958">
            <w:pPr>
              <w:jc w:val="right"/>
              <w:textAlignment w:val="bottom"/>
            </w:pPr>
            <w:r>
              <w:rPr>
                <w:rFonts w:ascii="Arial" w:eastAsia="宋体" w:hAnsi="Arial" w:cs="Arial"/>
                <w:color w:val="000000"/>
                <w:sz w:val="14"/>
                <w:szCs w:val="14"/>
              </w:rPr>
              <w:t>2,590 </w:t>
            </w:r>
          </w:p>
        </w:tc>
        <w:tc>
          <w:tcPr>
            <w:tcW w:w="0" w:type="auto"/>
            <w:shd w:val="clear" w:color="auto" w:fill="FFFFFF"/>
            <w:tcMar>
              <w:top w:w="40" w:type="dxa"/>
              <w:left w:w="0" w:type="dxa"/>
              <w:bottom w:w="40" w:type="dxa"/>
              <w:right w:w="20" w:type="dxa"/>
            </w:tcMar>
            <w:vAlign w:val="bottom"/>
          </w:tcPr>
          <w:p w14:paraId="5F2CBC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A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AC" w14:textId="77777777" w:rsidR="00E836FB" w:rsidRDefault="00994958">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5F2CBC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A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AF" w14:textId="77777777" w:rsidR="00E836FB" w:rsidRDefault="00994958">
            <w:pPr>
              <w:jc w:val="right"/>
              <w:textAlignment w:val="bottom"/>
            </w:pPr>
            <w:r>
              <w:rPr>
                <w:rFonts w:ascii="Arial" w:eastAsia="宋体" w:hAnsi="Arial" w:cs="Arial"/>
                <w:color w:val="000000"/>
                <w:sz w:val="14"/>
                <w:szCs w:val="14"/>
              </w:rPr>
              <w:t>(15)</w:t>
            </w:r>
          </w:p>
        </w:tc>
        <w:tc>
          <w:tcPr>
            <w:tcW w:w="0" w:type="auto"/>
            <w:shd w:val="clear" w:color="auto" w:fill="FFFFFF"/>
            <w:tcMar>
              <w:top w:w="40" w:type="dxa"/>
              <w:left w:w="0" w:type="dxa"/>
              <w:bottom w:w="40" w:type="dxa"/>
              <w:right w:w="20" w:type="dxa"/>
            </w:tcMar>
            <w:vAlign w:val="bottom"/>
          </w:tcPr>
          <w:p w14:paraId="5F2CBCB0" w14:textId="77777777" w:rsidR="00E836FB" w:rsidRDefault="00E836FB">
            <w:pPr>
              <w:jc w:val="right"/>
              <w:rPr>
                <w:rFonts w:ascii="宋体"/>
              </w:rPr>
            </w:pPr>
          </w:p>
        </w:tc>
        <w:tc>
          <w:tcPr>
            <w:tcW w:w="0" w:type="auto"/>
            <w:gridSpan w:val="3"/>
            <w:shd w:val="clear" w:color="auto" w:fill="auto"/>
            <w:vAlign w:val="bottom"/>
          </w:tcPr>
          <w:p w14:paraId="5F2CBCB1" w14:textId="77777777" w:rsidR="00E836FB" w:rsidRDefault="00E836FB">
            <w:pPr>
              <w:rPr>
                <w:rFonts w:ascii="宋体"/>
                <w:vanish/>
              </w:rPr>
            </w:pPr>
          </w:p>
        </w:tc>
        <w:tc>
          <w:tcPr>
            <w:tcW w:w="0" w:type="auto"/>
            <w:gridSpan w:val="3"/>
            <w:shd w:val="clear" w:color="auto" w:fill="auto"/>
            <w:vAlign w:val="bottom"/>
          </w:tcPr>
          <w:p w14:paraId="5F2CBCB2" w14:textId="77777777" w:rsidR="00E836FB" w:rsidRDefault="00E836FB">
            <w:pPr>
              <w:rPr>
                <w:rFonts w:ascii="宋体"/>
                <w:vanish/>
              </w:rPr>
            </w:pPr>
          </w:p>
        </w:tc>
        <w:tc>
          <w:tcPr>
            <w:tcW w:w="0" w:type="auto"/>
            <w:gridSpan w:val="3"/>
            <w:shd w:val="clear" w:color="auto" w:fill="auto"/>
            <w:vAlign w:val="bottom"/>
          </w:tcPr>
          <w:p w14:paraId="5F2CBCB3" w14:textId="77777777" w:rsidR="00E836FB" w:rsidRDefault="00E836FB">
            <w:pPr>
              <w:rPr>
                <w:rFonts w:ascii="宋体"/>
                <w:vanish/>
              </w:rPr>
            </w:pPr>
          </w:p>
        </w:tc>
        <w:tc>
          <w:tcPr>
            <w:tcW w:w="0" w:type="auto"/>
            <w:gridSpan w:val="3"/>
            <w:shd w:val="clear" w:color="auto" w:fill="auto"/>
            <w:vAlign w:val="bottom"/>
          </w:tcPr>
          <w:p w14:paraId="5F2CBCB4" w14:textId="77777777" w:rsidR="00E836FB" w:rsidRDefault="00E836FB">
            <w:pPr>
              <w:rPr>
                <w:rFonts w:ascii="宋体"/>
                <w:vanish/>
              </w:rPr>
            </w:pPr>
          </w:p>
        </w:tc>
        <w:tc>
          <w:tcPr>
            <w:tcW w:w="0" w:type="auto"/>
            <w:gridSpan w:val="2"/>
            <w:shd w:val="clear" w:color="auto" w:fill="auto"/>
            <w:vAlign w:val="bottom"/>
          </w:tcPr>
          <w:p w14:paraId="5F2CBCB5" w14:textId="77777777" w:rsidR="00E836FB" w:rsidRDefault="00E836FB">
            <w:pPr>
              <w:rPr>
                <w:rFonts w:ascii="宋体"/>
                <w:vanish/>
              </w:rPr>
            </w:pPr>
          </w:p>
        </w:tc>
        <w:tc>
          <w:tcPr>
            <w:tcW w:w="0" w:type="auto"/>
            <w:shd w:val="clear" w:color="auto" w:fill="auto"/>
            <w:vAlign w:val="bottom"/>
          </w:tcPr>
          <w:p w14:paraId="5F2CBCB6" w14:textId="77777777" w:rsidR="00E836FB" w:rsidRDefault="00E836FB">
            <w:pPr>
              <w:rPr>
                <w:rFonts w:ascii="宋体"/>
                <w:vanish/>
              </w:rPr>
            </w:pPr>
          </w:p>
        </w:tc>
      </w:tr>
      <w:tr w:rsidR="00E836FB" w14:paraId="5F2CBCD1" w14:textId="77777777">
        <w:tc>
          <w:tcPr>
            <w:tcW w:w="0" w:type="auto"/>
            <w:gridSpan w:val="3"/>
            <w:shd w:val="clear" w:color="auto" w:fill="CCEEFF"/>
            <w:tcMar>
              <w:top w:w="40" w:type="dxa"/>
              <w:left w:w="20" w:type="dxa"/>
              <w:bottom w:w="40" w:type="dxa"/>
              <w:right w:w="20" w:type="dxa"/>
            </w:tcMar>
            <w:vAlign w:val="bottom"/>
          </w:tcPr>
          <w:p w14:paraId="5F2CBCB8" w14:textId="77777777" w:rsidR="00E836FB" w:rsidRDefault="00994958">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5F2CBCB9" w14:textId="77777777" w:rsidR="00E836FB" w:rsidRDefault="00E836FB">
            <w:pPr>
              <w:rPr>
                <w:rFonts w:ascii="宋体"/>
                <w:vanish/>
              </w:rPr>
            </w:pPr>
          </w:p>
        </w:tc>
        <w:tc>
          <w:tcPr>
            <w:tcW w:w="0" w:type="auto"/>
            <w:shd w:val="clear" w:color="auto" w:fill="auto"/>
            <w:vAlign w:val="bottom"/>
          </w:tcPr>
          <w:p w14:paraId="5F2CBCBA" w14:textId="77777777" w:rsidR="00E836FB" w:rsidRDefault="00E836FB">
            <w:pPr>
              <w:rPr>
                <w:rFonts w:ascii="宋体"/>
                <w:vanish/>
              </w:rPr>
            </w:pPr>
          </w:p>
        </w:tc>
        <w:tc>
          <w:tcPr>
            <w:tcW w:w="0" w:type="auto"/>
            <w:shd w:val="clear" w:color="auto" w:fill="auto"/>
            <w:vAlign w:val="bottom"/>
          </w:tcPr>
          <w:p w14:paraId="5F2CBCBB" w14:textId="77777777" w:rsidR="00E836FB" w:rsidRDefault="00E836FB">
            <w:pPr>
              <w:rPr>
                <w:rFonts w:ascii="宋体"/>
                <w:vanish/>
              </w:rPr>
            </w:pPr>
          </w:p>
        </w:tc>
        <w:tc>
          <w:tcPr>
            <w:tcW w:w="0" w:type="auto"/>
            <w:shd w:val="clear" w:color="auto" w:fill="auto"/>
            <w:vAlign w:val="bottom"/>
          </w:tcPr>
          <w:p w14:paraId="5F2CBCBC" w14:textId="77777777" w:rsidR="00E836FB" w:rsidRDefault="00E836FB">
            <w:pPr>
              <w:rPr>
                <w:rFonts w:ascii="宋体"/>
                <w:vanish/>
              </w:rPr>
            </w:pPr>
          </w:p>
        </w:tc>
        <w:tc>
          <w:tcPr>
            <w:tcW w:w="0" w:type="auto"/>
            <w:shd w:val="clear" w:color="auto" w:fill="auto"/>
            <w:vAlign w:val="bottom"/>
          </w:tcPr>
          <w:p w14:paraId="5F2CBCBD" w14:textId="77777777" w:rsidR="00E836FB" w:rsidRDefault="00E836FB">
            <w:pPr>
              <w:rPr>
                <w:rFonts w:ascii="宋体"/>
                <w:vanish/>
              </w:rPr>
            </w:pPr>
          </w:p>
        </w:tc>
        <w:tc>
          <w:tcPr>
            <w:tcW w:w="0" w:type="auto"/>
            <w:shd w:val="clear" w:color="auto" w:fill="auto"/>
            <w:vAlign w:val="bottom"/>
          </w:tcPr>
          <w:p w14:paraId="5F2CBCBE"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BCBF"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F2CBC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C2"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F2CBC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C5"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CCEEFF"/>
            <w:tcMar>
              <w:top w:w="40" w:type="dxa"/>
              <w:left w:w="0" w:type="dxa"/>
              <w:bottom w:w="40" w:type="dxa"/>
              <w:right w:w="20" w:type="dxa"/>
            </w:tcMar>
            <w:vAlign w:val="bottom"/>
          </w:tcPr>
          <w:p w14:paraId="5F2CBC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C7"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BCC8" w14:textId="77777777" w:rsidR="00E836FB" w:rsidRDefault="00994958">
            <w:pPr>
              <w:jc w:val="right"/>
              <w:textAlignment w:val="bottom"/>
            </w:pPr>
            <w:r>
              <w:rPr>
                <w:rFonts w:ascii="Arial" w:eastAsia="宋体" w:hAnsi="Arial" w:cs="Arial"/>
                <w:color w:val="000000"/>
                <w:sz w:val="14"/>
                <w:szCs w:val="14"/>
              </w:rPr>
              <w:t>nm</w:t>
            </w:r>
          </w:p>
        </w:tc>
        <w:tc>
          <w:tcPr>
            <w:tcW w:w="0" w:type="auto"/>
            <w:gridSpan w:val="3"/>
            <w:shd w:val="clear" w:color="auto" w:fill="CCEEFF"/>
            <w:tcMar>
              <w:top w:w="0" w:type="dxa"/>
              <w:left w:w="20" w:type="dxa"/>
              <w:bottom w:w="0" w:type="dxa"/>
              <w:right w:w="20" w:type="dxa"/>
            </w:tcMar>
            <w:vAlign w:val="bottom"/>
          </w:tcPr>
          <w:p w14:paraId="5F2CBCC9"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BCCA" w14:textId="77777777" w:rsidR="00E836FB" w:rsidRDefault="00994958">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F2CBCCB" w14:textId="77777777" w:rsidR="00E836FB" w:rsidRDefault="00E836FB">
            <w:pPr>
              <w:rPr>
                <w:rFonts w:ascii="宋体"/>
                <w:vanish/>
              </w:rPr>
            </w:pPr>
          </w:p>
        </w:tc>
        <w:tc>
          <w:tcPr>
            <w:tcW w:w="0" w:type="auto"/>
            <w:gridSpan w:val="3"/>
            <w:shd w:val="clear" w:color="auto" w:fill="auto"/>
            <w:vAlign w:val="bottom"/>
          </w:tcPr>
          <w:p w14:paraId="5F2CBCCC" w14:textId="77777777" w:rsidR="00E836FB" w:rsidRDefault="00E836FB">
            <w:pPr>
              <w:rPr>
                <w:rFonts w:ascii="宋体"/>
                <w:vanish/>
              </w:rPr>
            </w:pPr>
          </w:p>
        </w:tc>
        <w:tc>
          <w:tcPr>
            <w:tcW w:w="0" w:type="auto"/>
            <w:gridSpan w:val="3"/>
            <w:shd w:val="clear" w:color="auto" w:fill="auto"/>
            <w:vAlign w:val="bottom"/>
          </w:tcPr>
          <w:p w14:paraId="5F2CBCCD" w14:textId="77777777" w:rsidR="00E836FB" w:rsidRDefault="00E836FB">
            <w:pPr>
              <w:rPr>
                <w:rFonts w:ascii="宋体"/>
                <w:vanish/>
              </w:rPr>
            </w:pPr>
          </w:p>
        </w:tc>
        <w:tc>
          <w:tcPr>
            <w:tcW w:w="0" w:type="auto"/>
            <w:gridSpan w:val="3"/>
            <w:shd w:val="clear" w:color="auto" w:fill="auto"/>
            <w:vAlign w:val="bottom"/>
          </w:tcPr>
          <w:p w14:paraId="5F2CBCCE" w14:textId="77777777" w:rsidR="00E836FB" w:rsidRDefault="00E836FB">
            <w:pPr>
              <w:rPr>
                <w:rFonts w:ascii="宋体"/>
                <w:vanish/>
              </w:rPr>
            </w:pPr>
          </w:p>
        </w:tc>
        <w:tc>
          <w:tcPr>
            <w:tcW w:w="0" w:type="auto"/>
            <w:gridSpan w:val="2"/>
            <w:shd w:val="clear" w:color="auto" w:fill="auto"/>
            <w:vAlign w:val="bottom"/>
          </w:tcPr>
          <w:p w14:paraId="5F2CBCCF" w14:textId="77777777" w:rsidR="00E836FB" w:rsidRDefault="00E836FB">
            <w:pPr>
              <w:rPr>
                <w:rFonts w:ascii="宋体"/>
                <w:vanish/>
              </w:rPr>
            </w:pPr>
          </w:p>
        </w:tc>
        <w:tc>
          <w:tcPr>
            <w:tcW w:w="0" w:type="auto"/>
            <w:shd w:val="clear" w:color="auto" w:fill="auto"/>
            <w:vAlign w:val="bottom"/>
          </w:tcPr>
          <w:p w14:paraId="5F2CBCD0" w14:textId="77777777" w:rsidR="00E836FB" w:rsidRDefault="00E836FB">
            <w:pPr>
              <w:rPr>
                <w:rFonts w:ascii="宋体"/>
                <w:vanish/>
              </w:rPr>
            </w:pPr>
          </w:p>
        </w:tc>
      </w:tr>
      <w:tr w:rsidR="00E836FB" w14:paraId="5F2CBCED" w14:textId="77777777">
        <w:tc>
          <w:tcPr>
            <w:tcW w:w="0" w:type="auto"/>
            <w:gridSpan w:val="3"/>
            <w:shd w:val="clear" w:color="auto" w:fill="FFFFFF"/>
            <w:tcMar>
              <w:top w:w="40" w:type="dxa"/>
              <w:left w:w="20" w:type="dxa"/>
              <w:bottom w:w="40" w:type="dxa"/>
              <w:right w:w="20" w:type="dxa"/>
            </w:tcMar>
            <w:vAlign w:val="bottom"/>
          </w:tcPr>
          <w:p w14:paraId="5F2CBCD2" w14:textId="77777777" w:rsidR="00E836FB" w:rsidRDefault="00994958">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5F2CBCD3" w14:textId="77777777" w:rsidR="00E836FB" w:rsidRDefault="00E836FB">
            <w:pPr>
              <w:rPr>
                <w:rFonts w:ascii="宋体"/>
                <w:vanish/>
              </w:rPr>
            </w:pPr>
          </w:p>
        </w:tc>
        <w:tc>
          <w:tcPr>
            <w:tcW w:w="0" w:type="auto"/>
            <w:shd w:val="clear" w:color="auto" w:fill="auto"/>
            <w:vAlign w:val="bottom"/>
          </w:tcPr>
          <w:p w14:paraId="5F2CBCD4" w14:textId="77777777" w:rsidR="00E836FB" w:rsidRDefault="00E836FB">
            <w:pPr>
              <w:rPr>
                <w:rFonts w:ascii="宋体"/>
                <w:vanish/>
              </w:rPr>
            </w:pPr>
          </w:p>
        </w:tc>
        <w:tc>
          <w:tcPr>
            <w:tcW w:w="0" w:type="auto"/>
            <w:shd w:val="clear" w:color="auto" w:fill="auto"/>
            <w:vAlign w:val="bottom"/>
          </w:tcPr>
          <w:p w14:paraId="5F2CBCD5" w14:textId="77777777" w:rsidR="00E836FB" w:rsidRDefault="00E836FB">
            <w:pPr>
              <w:rPr>
                <w:rFonts w:ascii="宋体"/>
                <w:vanish/>
              </w:rPr>
            </w:pPr>
          </w:p>
        </w:tc>
        <w:tc>
          <w:tcPr>
            <w:tcW w:w="0" w:type="auto"/>
            <w:shd w:val="clear" w:color="auto" w:fill="auto"/>
            <w:vAlign w:val="bottom"/>
          </w:tcPr>
          <w:p w14:paraId="5F2CBCD6" w14:textId="77777777" w:rsidR="00E836FB" w:rsidRDefault="00E836FB">
            <w:pPr>
              <w:rPr>
                <w:rFonts w:ascii="宋体"/>
                <w:vanish/>
              </w:rPr>
            </w:pPr>
          </w:p>
        </w:tc>
        <w:tc>
          <w:tcPr>
            <w:tcW w:w="0" w:type="auto"/>
            <w:shd w:val="clear" w:color="auto" w:fill="auto"/>
            <w:vAlign w:val="bottom"/>
          </w:tcPr>
          <w:p w14:paraId="5F2CBCD7" w14:textId="77777777" w:rsidR="00E836FB" w:rsidRDefault="00E836FB">
            <w:pPr>
              <w:rPr>
                <w:rFonts w:ascii="宋体"/>
                <w:vanish/>
              </w:rPr>
            </w:pPr>
          </w:p>
        </w:tc>
        <w:tc>
          <w:tcPr>
            <w:tcW w:w="0" w:type="auto"/>
            <w:shd w:val="clear" w:color="auto" w:fill="auto"/>
            <w:vAlign w:val="bottom"/>
          </w:tcPr>
          <w:p w14:paraId="5F2CBCD8"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CD9" w14:textId="77777777" w:rsidR="00E836FB" w:rsidRDefault="00994958">
            <w:pPr>
              <w:jc w:val="right"/>
              <w:textAlignment w:val="bottom"/>
            </w:pPr>
            <w:r>
              <w:rPr>
                <w:rFonts w:ascii="Arial" w:eastAsia="宋体" w:hAnsi="Arial" w:cs="Arial"/>
                <w:b/>
                <w:bCs/>
                <w:color w:val="000000"/>
                <w:sz w:val="14"/>
                <w:szCs w:val="14"/>
              </w:rPr>
              <w:t>9,797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C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D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CDC" w14:textId="77777777" w:rsidR="00E836FB" w:rsidRDefault="00994958">
            <w:pPr>
              <w:jc w:val="right"/>
              <w:textAlignment w:val="bottom"/>
            </w:pPr>
            <w:r>
              <w:rPr>
                <w:rFonts w:ascii="Arial" w:eastAsia="宋体" w:hAnsi="Arial" w:cs="Arial"/>
                <w:color w:val="000000"/>
                <w:sz w:val="14"/>
                <w:szCs w:val="14"/>
              </w:rPr>
              <w:t>9,729 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C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D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BCDF" w14:textId="77777777" w:rsidR="00E836FB" w:rsidRDefault="00994958">
            <w:pPr>
              <w:jc w:val="right"/>
              <w:textAlignment w:val="bottom"/>
            </w:pPr>
            <w:r>
              <w:rPr>
                <w:rFonts w:ascii="Arial" w:eastAsia="宋体" w:hAnsi="Arial" w:cs="Arial"/>
                <w:color w:val="000000"/>
                <w:sz w:val="14"/>
                <w:szCs w:val="14"/>
              </w:rPr>
              <w:t>9,834 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BC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E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E2"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F2CBC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C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CE5"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BCE6" w14:textId="77777777" w:rsidR="00E836FB" w:rsidRDefault="00E836FB">
            <w:pPr>
              <w:jc w:val="right"/>
              <w:rPr>
                <w:rFonts w:ascii="宋体"/>
              </w:rPr>
            </w:pPr>
          </w:p>
        </w:tc>
        <w:tc>
          <w:tcPr>
            <w:tcW w:w="0" w:type="auto"/>
            <w:gridSpan w:val="3"/>
            <w:shd w:val="clear" w:color="auto" w:fill="auto"/>
            <w:vAlign w:val="bottom"/>
          </w:tcPr>
          <w:p w14:paraId="5F2CBCE7" w14:textId="77777777" w:rsidR="00E836FB" w:rsidRDefault="00E836FB">
            <w:pPr>
              <w:rPr>
                <w:rFonts w:ascii="宋体"/>
                <w:vanish/>
              </w:rPr>
            </w:pPr>
          </w:p>
        </w:tc>
        <w:tc>
          <w:tcPr>
            <w:tcW w:w="0" w:type="auto"/>
            <w:gridSpan w:val="3"/>
            <w:shd w:val="clear" w:color="auto" w:fill="auto"/>
            <w:vAlign w:val="bottom"/>
          </w:tcPr>
          <w:p w14:paraId="5F2CBCE8" w14:textId="77777777" w:rsidR="00E836FB" w:rsidRDefault="00E836FB">
            <w:pPr>
              <w:rPr>
                <w:rFonts w:ascii="宋体"/>
                <w:vanish/>
              </w:rPr>
            </w:pPr>
          </w:p>
        </w:tc>
        <w:tc>
          <w:tcPr>
            <w:tcW w:w="0" w:type="auto"/>
            <w:gridSpan w:val="3"/>
            <w:shd w:val="clear" w:color="auto" w:fill="auto"/>
            <w:vAlign w:val="bottom"/>
          </w:tcPr>
          <w:p w14:paraId="5F2CBCE9" w14:textId="77777777" w:rsidR="00E836FB" w:rsidRDefault="00E836FB">
            <w:pPr>
              <w:rPr>
                <w:rFonts w:ascii="宋体"/>
                <w:vanish/>
              </w:rPr>
            </w:pPr>
          </w:p>
        </w:tc>
        <w:tc>
          <w:tcPr>
            <w:tcW w:w="0" w:type="auto"/>
            <w:gridSpan w:val="3"/>
            <w:shd w:val="clear" w:color="auto" w:fill="auto"/>
            <w:vAlign w:val="bottom"/>
          </w:tcPr>
          <w:p w14:paraId="5F2CBCEA" w14:textId="77777777" w:rsidR="00E836FB" w:rsidRDefault="00E836FB">
            <w:pPr>
              <w:rPr>
                <w:rFonts w:ascii="宋体"/>
                <w:vanish/>
              </w:rPr>
            </w:pPr>
          </w:p>
        </w:tc>
        <w:tc>
          <w:tcPr>
            <w:tcW w:w="0" w:type="auto"/>
            <w:gridSpan w:val="2"/>
            <w:shd w:val="clear" w:color="auto" w:fill="auto"/>
            <w:vAlign w:val="bottom"/>
          </w:tcPr>
          <w:p w14:paraId="5F2CBCEB" w14:textId="77777777" w:rsidR="00E836FB" w:rsidRDefault="00E836FB">
            <w:pPr>
              <w:rPr>
                <w:rFonts w:ascii="宋体"/>
                <w:vanish/>
              </w:rPr>
            </w:pPr>
          </w:p>
        </w:tc>
        <w:tc>
          <w:tcPr>
            <w:tcW w:w="0" w:type="auto"/>
            <w:shd w:val="clear" w:color="auto" w:fill="auto"/>
            <w:vAlign w:val="bottom"/>
          </w:tcPr>
          <w:p w14:paraId="5F2CBCEC" w14:textId="77777777" w:rsidR="00E836FB" w:rsidRDefault="00E836FB">
            <w:pPr>
              <w:rPr>
                <w:rFonts w:ascii="宋体"/>
                <w:vanish/>
              </w:rPr>
            </w:pPr>
          </w:p>
        </w:tc>
      </w:tr>
      <w:tr w:rsidR="00E836FB" w14:paraId="5F2CBD09" w14:textId="77777777">
        <w:tc>
          <w:tcPr>
            <w:tcW w:w="0" w:type="auto"/>
            <w:gridSpan w:val="3"/>
            <w:shd w:val="clear" w:color="auto" w:fill="CCEEFF"/>
            <w:tcMar>
              <w:top w:w="40" w:type="dxa"/>
              <w:left w:w="20" w:type="dxa"/>
              <w:bottom w:w="40" w:type="dxa"/>
              <w:right w:w="20" w:type="dxa"/>
            </w:tcMar>
            <w:vAlign w:val="bottom"/>
          </w:tcPr>
          <w:p w14:paraId="5F2CBCEE" w14:textId="77777777" w:rsidR="00E836FB" w:rsidRDefault="00994958">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5F2CBCEF" w14:textId="77777777" w:rsidR="00E836FB" w:rsidRDefault="00E836FB">
            <w:pPr>
              <w:rPr>
                <w:rFonts w:ascii="宋体"/>
                <w:vanish/>
              </w:rPr>
            </w:pPr>
          </w:p>
        </w:tc>
        <w:tc>
          <w:tcPr>
            <w:tcW w:w="0" w:type="auto"/>
            <w:shd w:val="clear" w:color="auto" w:fill="auto"/>
            <w:vAlign w:val="bottom"/>
          </w:tcPr>
          <w:p w14:paraId="5F2CBCF0" w14:textId="77777777" w:rsidR="00E836FB" w:rsidRDefault="00E836FB">
            <w:pPr>
              <w:rPr>
                <w:rFonts w:ascii="宋体"/>
                <w:vanish/>
              </w:rPr>
            </w:pPr>
          </w:p>
        </w:tc>
        <w:tc>
          <w:tcPr>
            <w:tcW w:w="0" w:type="auto"/>
            <w:shd w:val="clear" w:color="auto" w:fill="auto"/>
            <w:vAlign w:val="bottom"/>
          </w:tcPr>
          <w:p w14:paraId="5F2CBCF1" w14:textId="77777777" w:rsidR="00E836FB" w:rsidRDefault="00E836FB">
            <w:pPr>
              <w:rPr>
                <w:rFonts w:ascii="宋体"/>
                <w:vanish/>
              </w:rPr>
            </w:pPr>
          </w:p>
        </w:tc>
        <w:tc>
          <w:tcPr>
            <w:tcW w:w="0" w:type="auto"/>
            <w:shd w:val="clear" w:color="auto" w:fill="auto"/>
            <w:vAlign w:val="bottom"/>
          </w:tcPr>
          <w:p w14:paraId="5F2CBCF2" w14:textId="77777777" w:rsidR="00E836FB" w:rsidRDefault="00E836FB">
            <w:pPr>
              <w:rPr>
                <w:rFonts w:ascii="宋体"/>
                <w:vanish/>
              </w:rPr>
            </w:pPr>
          </w:p>
        </w:tc>
        <w:tc>
          <w:tcPr>
            <w:tcW w:w="0" w:type="auto"/>
            <w:shd w:val="clear" w:color="auto" w:fill="auto"/>
            <w:vAlign w:val="bottom"/>
          </w:tcPr>
          <w:p w14:paraId="5F2CBCF3" w14:textId="77777777" w:rsidR="00E836FB" w:rsidRDefault="00E836FB">
            <w:pPr>
              <w:rPr>
                <w:rFonts w:ascii="宋体"/>
                <w:vanish/>
              </w:rPr>
            </w:pPr>
          </w:p>
        </w:tc>
        <w:tc>
          <w:tcPr>
            <w:tcW w:w="0" w:type="auto"/>
            <w:shd w:val="clear" w:color="auto" w:fill="auto"/>
            <w:vAlign w:val="bottom"/>
          </w:tcPr>
          <w:p w14:paraId="5F2CBCF4"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BCF5" w14:textId="77777777" w:rsidR="00E836FB" w:rsidRDefault="00994958">
            <w:pPr>
              <w:jc w:val="right"/>
              <w:textAlignment w:val="bottom"/>
            </w:pPr>
            <w:r>
              <w:rPr>
                <w:rFonts w:ascii="Arial" w:eastAsia="宋体" w:hAnsi="Arial" w:cs="Arial"/>
                <w:b/>
                <w:bCs/>
                <w:color w:val="000000"/>
                <w:sz w:val="14"/>
                <w:szCs w:val="14"/>
              </w:rPr>
              <w:t>(33)</w:t>
            </w:r>
          </w:p>
        </w:tc>
        <w:tc>
          <w:tcPr>
            <w:tcW w:w="0" w:type="auto"/>
            <w:shd w:val="clear" w:color="auto" w:fill="CCEEFF"/>
            <w:tcMar>
              <w:top w:w="40" w:type="dxa"/>
              <w:left w:w="0" w:type="dxa"/>
              <w:bottom w:w="40" w:type="dxa"/>
              <w:right w:w="20" w:type="dxa"/>
            </w:tcMar>
            <w:vAlign w:val="bottom"/>
          </w:tcPr>
          <w:p w14:paraId="5F2CBC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F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F8" w14:textId="77777777" w:rsidR="00E836FB" w:rsidRDefault="00994958">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5F2CBC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FB"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F2CBC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C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CFE" w14:textId="77777777" w:rsidR="00E836FB" w:rsidRDefault="00994958">
            <w:pPr>
              <w:jc w:val="right"/>
              <w:textAlignment w:val="bottom"/>
            </w:pPr>
            <w:r>
              <w:rPr>
                <w:rFonts w:ascii="Arial" w:eastAsia="宋体" w:hAnsi="Arial" w:cs="Arial"/>
                <w:color w:val="000000"/>
                <w:sz w:val="14"/>
                <w:szCs w:val="14"/>
              </w:rPr>
              <w:t>(138)</w:t>
            </w:r>
          </w:p>
        </w:tc>
        <w:tc>
          <w:tcPr>
            <w:tcW w:w="0" w:type="auto"/>
            <w:shd w:val="clear" w:color="auto" w:fill="CCEEFF"/>
            <w:tcMar>
              <w:top w:w="40" w:type="dxa"/>
              <w:left w:w="0" w:type="dxa"/>
              <w:bottom w:w="40" w:type="dxa"/>
              <w:right w:w="20" w:type="dxa"/>
            </w:tcMar>
            <w:vAlign w:val="bottom"/>
          </w:tcPr>
          <w:p w14:paraId="5F2CBC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0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D01" w14:textId="77777777" w:rsidR="00E836FB" w:rsidRDefault="00994958">
            <w:pPr>
              <w:jc w:val="right"/>
              <w:textAlignment w:val="bottom"/>
            </w:pPr>
            <w:r>
              <w:rPr>
                <w:rFonts w:ascii="Arial" w:eastAsia="宋体" w:hAnsi="Arial" w:cs="Arial"/>
                <w:color w:val="000000"/>
                <w:sz w:val="14"/>
                <w:szCs w:val="14"/>
              </w:rPr>
              <w:t>780 </w:t>
            </w:r>
          </w:p>
        </w:tc>
        <w:tc>
          <w:tcPr>
            <w:tcW w:w="0" w:type="auto"/>
            <w:shd w:val="clear" w:color="auto" w:fill="CCEEFF"/>
            <w:tcMar>
              <w:top w:w="40" w:type="dxa"/>
              <w:left w:w="0" w:type="dxa"/>
              <w:bottom w:w="40" w:type="dxa"/>
              <w:right w:w="20" w:type="dxa"/>
            </w:tcMar>
            <w:vAlign w:val="bottom"/>
          </w:tcPr>
          <w:p w14:paraId="5F2CBD02" w14:textId="77777777" w:rsidR="00E836FB" w:rsidRDefault="00E836FB">
            <w:pPr>
              <w:jc w:val="right"/>
              <w:rPr>
                <w:rFonts w:ascii="宋体"/>
              </w:rPr>
            </w:pPr>
          </w:p>
        </w:tc>
        <w:tc>
          <w:tcPr>
            <w:tcW w:w="0" w:type="auto"/>
            <w:gridSpan w:val="3"/>
            <w:shd w:val="clear" w:color="auto" w:fill="auto"/>
            <w:vAlign w:val="bottom"/>
          </w:tcPr>
          <w:p w14:paraId="5F2CBD03" w14:textId="77777777" w:rsidR="00E836FB" w:rsidRDefault="00E836FB">
            <w:pPr>
              <w:rPr>
                <w:rFonts w:ascii="宋体"/>
                <w:vanish/>
              </w:rPr>
            </w:pPr>
          </w:p>
        </w:tc>
        <w:tc>
          <w:tcPr>
            <w:tcW w:w="0" w:type="auto"/>
            <w:gridSpan w:val="3"/>
            <w:shd w:val="clear" w:color="auto" w:fill="auto"/>
            <w:vAlign w:val="bottom"/>
          </w:tcPr>
          <w:p w14:paraId="5F2CBD04" w14:textId="77777777" w:rsidR="00E836FB" w:rsidRDefault="00E836FB">
            <w:pPr>
              <w:rPr>
                <w:rFonts w:ascii="宋体"/>
                <w:vanish/>
              </w:rPr>
            </w:pPr>
          </w:p>
        </w:tc>
        <w:tc>
          <w:tcPr>
            <w:tcW w:w="0" w:type="auto"/>
            <w:gridSpan w:val="3"/>
            <w:shd w:val="clear" w:color="auto" w:fill="auto"/>
            <w:vAlign w:val="bottom"/>
          </w:tcPr>
          <w:p w14:paraId="5F2CBD05" w14:textId="77777777" w:rsidR="00E836FB" w:rsidRDefault="00E836FB">
            <w:pPr>
              <w:rPr>
                <w:rFonts w:ascii="宋体"/>
                <w:vanish/>
              </w:rPr>
            </w:pPr>
          </w:p>
        </w:tc>
        <w:tc>
          <w:tcPr>
            <w:tcW w:w="0" w:type="auto"/>
            <w:gridSpan w:val="3"/>
            <w:shd w:val="clear" w:color="auto" w:fill="auto"/>
            <w:vAlign w:val="bottom"/>
          </w:tcPr>
          <w:p w14:paraId="5F2CBD06" w14:textId="77777777" w:rsidR="00E836FB" w:rsidRDefault="00E836FB">
            <w:pPr>
              <w:rPr>
                <w:rFonts w:ascii="宋体"/>
                <w:vanish/>
              </w:rPr>
            </w:pPr>
          </w:p>
        </w:tc>
        <w:tc>
          <w:tcPr>
            <w:tcW w:w="0" w:type="auto"/>
            <w:gridSpan w:val="2"/>
            <w:shd w:val="clear" w:color="auto" w:fill="auto"/>
            <w:vAlign w:val="bottom"/>
          </w:tcPr>
          <w:p w14:paraId="5F2CBD07" w14:textId="77777777" w:rsidR="00E836FB" w:rsidRDefault="00E836FB">
            <w:pPr>
              <w:rPr>
                <w:rFonts w:ascii="宋体"/>
                <w:vanish/>
              </w:rPr>
            </w:pPr>
          </w:p>
        </w:tc>
        <w:tc>
          <w:tcPr>
            <w:tcW w:w="0" w:type="auto"/>
            <w:shd w:val="clear" w:color="auto" w:fill="auto"/>
            <w:vAlign w:val="bottom"/>
          </w:tcPr>
          <w:p w14:paraId="5F2CBD08" w14:textId="77777777" w:rsidR="00E836FB" w:rsidRDefault="00E836FB">
            <w:pPr>
              <w:rPr>
                <w:rFonts w:ascii="宋体"/>
                <w:vanish/>
              </w:rPr>
            </w:pPr>
          </w:p>
        </w:tc>
      </w:tr>
      <w:tr w:rsidR="00E836FB" w14:paraId="5F2CBD25" w14:textId="77777777">
        <w:tc>
          <w:tcPr>
            <w:tcW w:w="0" w:type="auto"/>
            <w:gridSpan w:val="3"/>
            <w:shd w:val="clear" w:color="auto" w:fill="FFFFFF"/>
            <w:tcMar>
              <w:top w:w="40" w:type="dxa"/>
              <w:left w:w="20" w:type="dxa"/>
              <w:bottom w:w="40" w:type="dxa"/>
              <w:right w:w="20" w:type="dxa"/>
            </w:tcMar>
            <w:vAlign w:val="bottom"/>
          </w:tcPr>
          <w:p w14:paraId="5F2CBD0A" w14:textId="77777777" w:rsidR="00E836FB" w:rsidRDefault="00994958">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5F2CBD0B" w14:textId="77777777" w:rsidR="00E836FB" w:rsidRDefault="00E836FB">
            <w:pPr>
              <w:rPr>
                <w:rFonts w:ascii="宋体"/>
                <w:vanish/>
              </w:rPr>
            </w:pPr>
          </w:p>
        </w:tc>
        <w:tc>
          <w:tcPr>
            <w:tcW w:w="0" w:type="auto"/>
            <w:shd w:val="clear" w:color="auto" w:fill="auto"/>
            <w:vAlign w:val="bottom"/>
          </w:tcPr>
          <w:p w14:paraId="5F2CBD0C" w14:textId="77777777" w:rsidR="00E836FB" w:rsidRDefault="00E836FB">
            <w:pPr>
              <w:rPr>
                <w:rFonts w:ascii="宋体"/>
                <w:vanish/>
              </w:rPr>
            </w:pPr>
          </w:p>
        </w:tc>
        <w:tc>
          <w:tcPr>
            <w:tcW w:w="0" w:type="auto"/>
            <w:shd w:val="clear" w:color="auto" w:fill="auto"/>
            <w:vAlign w:val="bottom"/>
          </w:tcPr>
          <w:p w14:paraId="5F2CBD0D" w14:textId="77777777" w:rsidR="00E836FB" w:rsidRDefault="00E836FB">
            <w:pPr>
              <w:rPr>
                <w:rFonts w:ascii="宋体"/>
                <w:vanish/>
              </w:rPr>
            </w:pPr>
          </w:p>
        </w:tc>
        <w:tc>
          <w:tcPr>
            <w:tcW w:w="0" w:type="auto"/>
            <w:shd w:val="clear" w:color="auto" w:fill="auto"/>
            <w:vAlign w:val="bottom"/>
          </w:tcPr>
          <w:p w14:paraId="5F2CBD0E" w14:textId="77777777" w:rsidR="00E836FB" w:rsidRDefault="00E836FB">
            <w:pPr>
              <w:rPr>
                <w:rFonts w:ascii="宋体"/>
                <w:vanish/>
              </w:rPr>
            </w:pPr>
          </w:p>
        </w:tc>
        <w:tc>
          <w:tcPr>
            <w:tcW w:w="0" w:type="auto"/>
            <w:shd w:val="clear" w:color="auto" w:fill="auto"/>
            <w:vAlign w:val="bottom"/>
          </w:tcPr>
          <w:p w14:paraId="5F2CBD0F" w14:textId="77777777" w:rsidR="00E836FB" w:rsidRDefault="00E836FB">
            <w:pPr>
              <w:rPr>
                <w:rFonts w:ascii="宋体"/>
                <w:vanish/>
              </w:rPr>
            </w:pPr>
          </w:p>
        </w:tc>
        <w:tc>
          <w:tcPr>
            <w:tcW w:w="0" w:type="auto"/>
            <w:shd w:val="clear" w:color="auto" w:fill="auto"/>
            <w:vAlign w:val="bottom"/>
          </w:tcPr>
          <w:p w14:paraId="5F2CBD10"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D11" w14:textId="77777777" w:rsidR="00E836FB" w:rsidRDefault="00994958">
            <w:pPr>
              <w:jc w:val="right"/>
              <w:textAlignment w:val="bottom"/>
            </w:pPr>
            <w:r>
              <w:rPr>
                <w:rFonts w:ascii="Arial" w:eastAsia="宋体" w:hAnsi="Arial" w:cs="Arial"/>
                <w:b/>
                <w:bCs/>
                <w:color w:val="000000"/>
                <w:sz w:val="14"/>
                <w:szCs w:val="14"/>
              </w:rPr>
              <w:t>7,182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BD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D13"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D14" w14:textId="77777777" w:rsidR="00E836FB" w:rsidRDefault="00994958">
            <w:pPr>
              <w:jc w:val="right"/>
              <w:textAlignment w:val="bottom"/>
            </w:pPr>
            <w:r>
              <w:rPr>
                <w:rFonts w:ascii="Arial" w:eastAsia="宋体" w:hAnsi="Arial" w:cs="Arial"/>
                <w:color w:val="000000"/>
                <w:sz w:val="14"/>
                <w:szCs w:val="14"/>
              </w:rPr>
              <w:t>7,071 </w:t>
            </w:r>
          </w:p>
        </w:tc>
        <w:tc>
          <w:tcPr>
            <w:tcW w:w="0" w:type="auto"/>
            <w:shd w:val="clear" w:color="auto" w:fill="auto"/>
            <w:tcMar>
              <w:top w:w="40" w:type="dxa"/>
              <w:left w:w="0" w:type="dxa"/>
              <w:bottom w:w="40" w:type="dxa"/>
              <w:right w:w="20" w:type="dxa"/>
            </w:tcMar>
            <w:vAlign w:val="bottom"/>
          </w:tcPr>
          <w:p w14:paraId="5F2CBD1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D1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D17" w14:textId="77777777" w:rsidR="00E836FB" w:rsidRDefault="00994958">
            <w:pPr>
              <w:jc w:val="right"/>
              <w:textAlignment w:val="bottom"/>
            </w:pPr>
            <w:r>
              <w:rPr>
                <w:rFonts w:ascii="Arial" w:eastAsia="宋体" w:hAnsi="Arial" w:cs="Arial"/>
                <w:color w:val="000000"/>
                <w:sz w:val="14"/>
                <w:szCs w:val="14"/>
              </w:rPr>
              <w:t>7,140 </w:t>
            </w:r>
          </w:p>
        </w:tc>
        <w:tc>
          <w:tcPr>
            <w:tcW w:w="0" w:type="auto"/>
            <w:shd w:val="clear" w:color="auto" w:fill="FFFFFF"/>
            <w:tcMar>
              <w:top w:w="40" w:type="dxa"/>
              <w:left w:w="0" w:type="dxa"/>
              <w:bottom w:w="40" w:type="dxa"/>
              <w:right w:w="20" w:type="dxa"/>
            </w:tcMar>
            <w:vAlign w:val="bottom"/>
          </w:tcPr>
          <w:p w14:paraId="5F2CBD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D1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D1A"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F2CBD1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D1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D1D"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CBD1E" w14:textId="77777777" w:rsidR="00E836FB" w:rsidRDefault="00E836FB">
            <w:pPr>
              <w:jc w:val="right"/>
              <w:rPr>
                <w:rFonts w:ascii="宋体"/>
              </w:rPr>
            </w:pPr>
          </w:p>
        </w:tc>
        <w:tc>
          <w:tcPr>
            <w:tcW w:w="0" w:type="auto"/>
            <w:gridSpan w:val="3"/>
            <w:shd w:val="clear" w:color="auto" w:fill="auto"/>
            <w:vAlign w:val="bottom"/>
          </w:tcPr>
          <w:p w14:paraId="5F2CBD1F" w14:textId="77777777" w:rsidR="00E836FB" w:rsidRDefault="00E836FB">
            <w:pPr>
              <w:rPr>
                <w:rFonts w:ascii="宋体"/>
                <w:vanish/>
              </w:rPr>
            </w:pPr>
          </w:p>
        </w:tc>
        <w:tc>
          <w:tcPr>
            <w:tcW w:w="0" w:type="auto"/>
            <w:gridSpan w:val="3"/>
            <w:shd w:val="clear" w:color="auto" w:fill="auto"/>
            <w:vAlign w:val="bottom"/>
          </w:tcPr>
          <w:p w14:paraId="5F2CBD20" w14:textId="77777777" w:rsidR="00E836FB" w:rsidRDefault="00E836FB">
            <w:pPr>
              <w:rPr>
                <w:rFonts w:ascii="宋体"/>
                <w:vanish/>
              </w:rPr>
            </w:pPr>
          </w:p>
        </w:tc>
        <w:tc>
          <w:tcPr>
            <w:tcW w:w="0" w:type="auto"/>
            <w:gridSpan w:val="3"/>
            <w:shd w:val="clear" w:color="auto" w:fill="auto"/>
            <w:vAlign w:val="bottom"/>
          </w:tcPr>
          <w:p w14:paraId="5F2CBD21" w14:textId="77777777" w:rsidR="00E836FB" w:rsidRDefault="00E836FB">
            <w:pPr>
              <w:rPr>
                <w:rFonts w:ascii="宋体"/>
                <w:vanish/>
              </w:rPr>
            </w:pPr>
          </w:p>
        </w:tc>
        <w:tc>
          <w:tcPr>
            <w:tcW w:w="0" w:type="auto"/>
            <w:gridSpan w:val="3"/>
            <w:shd w:val="clear" w:color="auto" w:fill="auto"/>
            <w:vAlign w:val="bottom"/>
          </w:tcPr>
          <w:p w14:paraId="5F2CBD22" w14:textId="77777777" w:rsidR="00E836FB" w:rsidRDefault="00E836FB">
            <w:pPr>
              <w:rPr>
                <w:rFonts w:ascii="宋体"/>
                <w:vanish/>
              </w:rPr>
            </w:pPr>
          </w:p>
        </w:tc>
        <w:tc>
          <w:tcPr>
            <w:tcW w:w="0" w:type="auto"/>
            <w:gridSpan w:val="2"/>
            <w:shd w:val="clear" w:color="auto" w:fill="auto"/>
            <w:vAlign w:val="bottom"/>
          </w:tcPr>
          <w:p w14:paraId="5F2CBD23" w14:textId="77777777" w:rsidR="00E836FB" w:rsidRDefault="00E836FB">
            <w:pPr>
              <w:rPr>
                <w:rFonts w:ascii="宋体"/>
                <w:vanish/>
              </w:rPr>
            </w:pPr>
          </w:p>
        </w:tc>
        <w:tc>
          <w:tcPr>
            <w:tcW w:w="0" w:type="auto"/>
            <w:shd w:val="clear" w:color="auto" w:fill="auto"/>
            <w:vAlign w:val="bottom"/>
          </w:tcPr>
          <w:p w14:paraId="5F2CBD24" w14:textId="77777777" w:rsidR="00E836FB" w:rsidRDefault="00E836FB">
            <w:pPr>
              <w:rPr>
                <w:rFonts w:ascii="宋体"/>
                <w:vanish/>
              </w:rPr>
            </w:pPr>
          </w:p>
        </w:tc>
      </w:tr>
      <w:tr w:rsidR="00E836FB" w14:paraId="5F2CBD44" w14:textId="77777777">
        <w:tc>
          <w:tcPr>
            <w:tcW w:w="0" w:type="auto"/>
            <w:gridSpan w:val="3"/>
            <w:shd w:val="clear" w:color="auto" w:fill="CCEEFF"/>
            <w:tcMar>
              <w:top w:w="40" w:type="dxa"/>
              <w:left w:w="20" w:type="dxa"/>
              <w:bottom w:w="40" w:type="dxa"/>
              <w:right w:w="20" w:type="dxa"/>
            </w:tcMar>
            <w:vAlign w:val="bottom"/>
          </w:tcPr>
          <w:p w14:paraId="5F2CBD26" w14:textId="77777777" w:rsidR="00E836FB" w:rsidRDefault="00994958">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5F2CBD27" w14:textId="77777777" w:rsidR="00E836FB" w:rsidRDefault="00E836FB">
            <w:pPr>
              <w:rPr>
                <w:rFonts w:ascii="宋体"/>
                <w:vanish/>
              </w:rPr>
            </w:pPr>
          </w:p>
        </w:tc>
        <w:tc>
          <w:tcPr>
            <w:tcW w:w="0" w:type="auto"/>
            <w:shd w:val="clear" w:color="auto" w:fill="auto"/>
            <w:vAlign w:val="bottom"/>
          </w:tcPr>
          <w:p w14:paraId="5F2CBD28" w14:textId="77777777" w:rsidR="00E836FB" w:rsidRDefault="00E836FB">
            <w:pPr>
              <w:rPr>
                <w:rFonts w:ascii="宋体"/>
                <w:vanish/>
              </w:rPr>
            </w:pPr>
          </w:p>
        </w:tc>
        <w:tc>
          <w:tcPr>
            <w:tcW w:w="0" w:type="auto"/>
            <w:shd w:val="clear" w:color="auto" w:fill="auto"/>
            <w:vAlign w:val="bottom"/>
          </w:tcPr>
          <w:p w14:paraId="5F2CBD29" w14:textId="77777777" w:rsidR="00E836FB" w:rsidRDefault="00E836FB">
            <w:pPr>
              <w:rPr>
                <w:rFonts w:ascii="宋体"/>
                <w:vanish/>
              </w:rPr>
            </w:pPr>
          </w:p>
        </w:tc>
        <w:tc>
          <w:tcPr>
            <w:tcW w:w="0" w:type="auto"/>
            <w:shd w:val="clear" w:color="auto" w:fill="auto"/>
            <w:vAlign w:val="bottom"/>
          </w:tcPr>
          <w:p w14:paraId="5F2CBD2A" w14:textId="77777777" w:rsidR="00E836FB" w:rsidRDefault="00E836FB">
            <w:pPr>
              <w:rPr>
                <w:rFonts w:ascii="宋体"/>
                <w:vanish/>
              </w:rPr>
            </w:pPr>
          </w:p>
        </w:tc>
        <w:tc>
          <w:tcPr>
            <w:tcW w:w="0" w:type="auto"/>
            <w:shd w:val="clear" w:color="auto" w:fill="auto"/>
            <w:vAlign w:val="bottom"/>
          </w:tcPr>
          <w:p w14:paraId="5F2CBD2B" w14:textId="77777777" w:rsidR="00E836FB" w:rsidRDefault="00E836FB">
            <w:pPr>
              <w:rPr>
                <w:rFonts w:ascii="宋体"/>
                <w:vanish/>
              </w:rPr>
            </w:pPr>
          </w:p>
        </w:tc>
        <w:tc>
          <w:tcPr>
            <w:tcW w:w="0" w:type="auto"/>
            <w:shd w:val="clear" w:color="auto" w:fill="auto"/>
            <w:vAlign w:val="bottom"/>
          </w:tcPr>
          <w:p w14:paraId="5F2CBD2C"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D2D"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D2E" w14:textId="77777777" w:rsidR="00E836FB" w:rsidRDefault="00994958">
            <w:pPr>
              <w:jc w:val="right"/>
              <w:textAlignment w:val="bottom"/>
            </w:pPr>
            <w:r>
              <w:rPr>
                <w:rFonts w:ascii="Arial" w:eastAsia="宋体" w:hAnsi="Arial" w:cs="Arial"/>
                <w:b/>
                <w:bCs/>
                <w:color w:val="000000"/>
                <w:sz w:val="14"/>
                <w:szCs w:val="14"/>
              </w:rPr>
              <w:t>2,648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D2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3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D3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D32" w14:textId="77777777" w:rsidR="00E836FB" w:rsidRDefault="00994958">
            <w:pPr>
              <w:jc w:val="right"/>
              <w:textAlignment w:val="bottom"/>
            </w:pPr>
            <w:r>
              <w:rPr>
                <w:rFonts w:ascii="Arial" w:eastAsia="宋体" w:hAnsi="Arial" w:cs="Arial"/>
                <w:color w:val="000000"/>
                <w:sz w:val="14"/>
                <w:szCs w:val="14"/>
              </w:rPr>
              <w:t>2,570 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D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3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D3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D36" w14:textId="77777777" w:rsidR="00E836FB" w:rsidRDefault="00994958">
            <w:pPr>
              <w:jc w:val="right"/>
              <w:textAlignment w:val="bottom"/>
            </w:pPr>
            <w:r>
              <w:rPr>
                <w:rFonts w:ascii="Arial" w:eastAsia="宋体" w:hAnsi="Arial" w:cs="Arial"/>
                <w:color w:val="000000"/>
                <w:sz w:val="14"/>
                <w:szCs w:val="14"/>
              </w:rPr>
              <w:t>2,684 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D3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3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D39"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F2CBD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3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D3C"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F2CBD3D" w14:textId="77777777" w:rsidR="00E836FB" w:rsidRDefault="00E836FB">
            <w:pPr>
              <w:jc w:val="right"/>
              <w:rPr>
                <w:rFonts w:ascii="宋体"/>
              </w:rPr>
            </w:pPr>
          </w:p>
        </w:tc>
        <w:tc>
          <w:tcPr>
            <w:tcW w:w="0" w:type="auto"/>
            <w:gridSpan w:val="3"/>
            <w:shd w:val="clear" w:color="auto" w:fill="auto"/>
            <w:vAlign w:val="bottom"/>
          </w:tcPr>
          <w:p w14:paraId="5F2CBD3E" w14:textId="77777777" w:rsidR="00E836FB" w:rsidRDefault="00E836FB">
            <w:pPr>
              <w:rPr>
                <w:rFonts w:ascii="宋体"/>
                <w:vanish/>
              </w:rPr>
            </w:pPr>
          </w:p>
        </w:tc>
        <w:tc>
          <w:tcPr>
            <w:tcW w:w="0" w:type="auto"/>
            <w:gridSpan w:val="3"/>
            <w:shd w:val="clear" w:color="auto" w:fill="auto"/>
            <w:vAlign w:val="bottom"/>
          </w:tcPr>
          <w:p w14:paraId="5F2CBD3F" w14:textId="77777777" w:rsidR="00E836FB" w:rsidRDefault="00E836FB">
            <w:pPr>
              <w:rPr>
                <w:rFonts w:ascii="宋体"/>
                <w:vanish/>
              </w:rPr>
            </w:pPr>
          </w:p>
        </w:tc>
        <w:tc>
          <w:tcPr>
            <w:tcW w:w="0" w:type="auto"/>
            <w:gridSpan w:val="3"/>
            <w:shd w:val="clear" w:color="auto" w:fill="auto"/>
            <w:vAlign w:val="bottom"/>
          </w:tcPr>
          <w:p w14:paraId="5F2CBD40" w14:textId="77777777" w:rsidR="00E836FB" w:rsidRDefault="00E836FB">
            <w:pPr>
              <w:rPr>
                <w:rFonts w:ascii="宋体"/>
                <w:vanish/>
              </w:rPr>
            </w:pPr>
          </w:p>
        </w:tc>
        <w:tc>
          <w:tcPr>
            <w:tcW w:w="0" w:type="auto"/>
            <w:gridSpan w:val="3"/>
            <w:shd w:val="clear" w:color="auto" w:fill="auto"/>
            <w:vAlign w:val="bottom"/>
          </w:tcPr>
          <w:p w14:paraId="5F2CBD41" w14:textId="77777777" w:rsidR="00E836FB" w:rsidRDefault="00E836FB">
            <w:pPr>
              <w:rPr>
                <w:rFonts w:ascii="宋体"/>
                <w:vanish/>
              </w:rPr>
            </w:pPr>
          </w:p>
        </w:tc>
        <w:tc>
          <w:tcPr>
            <w:tcW w:w="0" w:type="auto"/>
            <w:gridSpan w:val="2"/>
            <w:shd w:val="clear" w:color="auto" w:fill="auto"/>
            <w:vAlign w:val="bottom"/>
          </w:tcPr>
          <w:p w14:paraId="5F2CBD42" w14:textId="77777777" w:rsidR="00E836FB" w:rsidRDefault="00E836FB">
            <w:pPr>
              <w:rPr>
                <w:rFonts w:ascii="宋体"/>
                <w:vanish/>
              </w:rPr>
            </w:pPr>
          </w:p>
        </w:tc>
        <w:tc>
          <w:tcPr>
            <w:tcW w:w="0" w:type="auto"/>
            <w:shd w:val="clear" w:color="auto" w:fill="auto"/>
            <w:vAlign w:val="bottom"/>
          </w:tcPr>
          <w:p w14:paraId="5F2CBD43" w14:textId="77777777" w:rsidR="00E836FB" w:rsidRDefault="00E836FB">
            <w:pPr>
              <w:rPr>
                <w:rFonts w:ascii="宋体"/>
                <w:vanish/>
              </w:rPr>
            </w:pPr>
          </w:p>
        </w:tc>
      </w:tr>
      <w:tr w:rsidR="00E836FB" w14:paraId="5F2CBD5E" w14:textId="77777777">
        <w:tc>
          <w:tcPr>
            <w:tcW w:w="0" w:type="auto"/>
            <w:gridSpan w:val="3"/>
            <w:shd w:val="clear" w:color="auto" w:fill="FFFFFF"/>
            <w:tcMar>
              <w:top w:w="40" w:type="dxa"/>
              <w:left w:w="20" w:type="dxa"/>
              <w:bottom w:w="40" w:type="dxa"/>
              <w:right w:w="20" w:type="dxa"/>
            </w:tcMar>
            <w:vAlign w:val="bottom"/>
          </w:tcPr>
          <w:p w14:paraId="5F2CBD45" w14:textId="77777777" w:rsidR="00E836FB" w:rsidRDefault="00994958">
            <w:pPr>
              <w:textAlignment w:val="bottom"/>
            </w:pPr>
            <w:r>
              <w:rPr>
                <w:rFonts w:ascii="Arial" w:eastAsia="宋体" w:hAnsi="Arial" w:cs="Arial"/>
                <w:color w:val="000000"/>
                <w:sz w:val="14"/>
                <w:szCs w:val="14"/>
              </w:rPr>
              <w:t>Pre-tax margin</w:t>
            </w:r>
          </w:p>
        </w:tc>
        <w:tc>
          <w:tcPr>
            <w:tcW w:w="0" w:type="auto"/>
            <w:shd w:val="clear" w:color="auto" w:fill="auto"/>
            <w:vAlign w:val="bottom"/>
          </w:tcPr>
          <w:p w14:paraId="5F2CBD46" w14:textId="77777777" w:rsidR="00E836FB" w:rsidRDefault="00E836FB">
            <w:pPr>
              <w:rPr>
                <w:rFonts w:ascii="宋体"/>
                <w:vanish/>
              </w:rPr>
            </w:pPr>
          </w:p>
        </w:tc>
        <w:tc>
          <w:tcPr>
            <w:tcW w:w="0" w:type="auto"/>
            <w:shd w:val="clear" w:color="auto" w:fill="auto"/>
            <w:vAlign w:val="bottom"/>
          </w:tcPr>
          <w:p w14:paraId="5F2CBD47" w14:textId="77777777" w:rsidR="00E836FB" w:rsidRDefault="00E836FB">
            <w:pPr>
              <w:rPr>
                <w:rFonts w:ascii="宋体"/>
                <w:vanish/>
              </w:rPr>
            </w:pPr>
          </w:p>
        </w:tc>
        <w:tc>
          <w:tcPr>
            <w:tcW w:w="0" w:type="auto"/>
            <w:shd w:val="clear" w:color="auto" w:fill="auto"/>
            <w:vAlign w:val="bottom"/>
          </w:tcPr>
          <w:p w14:paraId="5F2CBD48" w14:textId="77777777" w:rsidR="00E836FB" w:rsidRDefault="00E836FB">
            <w:pPr>
              <w:rPr>
                <w:rFonts w:ascii="宋体"/>
                <w:vanish/>
              </w:rPr>
            </w:pPr>
          </w:p>
        </w:tc>
        <w:tc>
          <w:tcPr>
            <w:tcW w:w="0" w:type="auto"/>
            <w:shd w:val="clear" w:color="auto" w:fill="auto"/>
            <w:vAlign w:val="bottom"/>
          </w:tcPr>
          <w:p w14:paraId="5F2CBD49" w14:textId="77777777" w:rsidR="00E836FB" w:rsidRDefault="00E836FB">
            <w:pPr>
              <w:rPr>
                <w:rFonts w:ascii="宋体"/>
                <w:vanish/>
              </w:rPr>
            </w:pPr>
          </w:p>
        </w:tc>
        <w:tc>
          <w:tcPr>
            <w:tcW w:w="0" w:type="auto"/>
            <w:shd w:val="clear" w:color="auto" w:fill="auto"/>
            <w:vAlign w:val="bottom"/>
          </w:tcPr>
          <w:p w14:paraId="5F2CBD4A" w14:textId="77777777" w:rsidR="00E836FB" w:rsidRDefault="00E836FB">
            <w:pPr>
              <w:rPr>
                <w:rFonts w:ascii="宋体"/>
                <w:vanish/>
              </w:rPr>
            </w:pPr>
          </w:p>
        </w:tc>
        <w:tc>
          <w:tcPr>
            <w:tcW w:w="0" w:type="auto"/>
            <w:shd w:val="clear" w:color="auto" w:fill="auto"/>
            <w:vAlign w:val="bottom"/>
          </w:tcPr>
          <w:p w14:paraId="5F2CBD4B" w14:textId="77777777" w:rsidR="00E836FB" w:rsidRDefault="00E836FB">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F2CBD4C" w14:textId="77777777" w:rsidR="00E836FB" w:rsidRDefault="00994958">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BD4D"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CBD4E" w14:textId="77777777" w:rsidR="00E836FB" w:rsidRDefault="00E836F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F2CBD4F" w14:textId="77777777" w:rsidR="00E836FB" w:rsidRDefault="00994958">
            <w:pPr>
              <w:jc w:val="right"/>
              <w:textAlignment w:val="bottom"/>
            </w:pPr>
            <w:r>
              <w:rPr>
                <w:rFonts w:ascii="Arial" w:eastAsia="宋体" w:hAnsi="Arial" w:cs="Arial"/>
                <w:color w:val="000000"/>
                <w:sz w:val="14"/>
                <w:szCs w:val="14"/>
              </w:rPr>
              <w:t>26 </w:t>
            </w:r>
          </w:p>
        </w:tc>
        <w:tc>
          <w:tcPr>
            <w:tcW w:w="0" w:type="auto"/>
            <w:tcBorders>
              <w:top w:val="double" w:sz="6" w:space="0" w:color="000000"/>
            </w:tcBorders>
            <w:shd w:val="clear" w:color="auto" w:fill="auto"/>
            <w:tcMar>
              <w:top w:w="40" w:type="dxa"/>
              <w:left w:w="0" w:type="dxa"/>
              <w:bottom w:w="40" w:type="dxa"/>
              <w:right w:w="20" w:type="dxa"/>
            </w:tcMar>
            <w:vAlign w:val="bottom"/>
          </w:tcPr>
          <w:p w14:paraId="5F2CBD50"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CBD51" w14:textId="77777777" w:rsidR="00E836FB" w:rsidRDefault="00E83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F2CBD52" w14:textId="77777777" w:rsidR="00E836FB" w:rsidRDefault="00994958">
            <w:pPr>
              <w:jc w:val="right"/>
              <w:textAlignment w:val="bottom"/>
            </w:pPr>
            <w:r>
              <w:rPr>
                <w:rFonts w:ascii="Arial" w:eastAsia="宋体" w:hAnsi="Arial" w:cs="Arial"/>
                <w:color w:val="000000"/>
                <w:sz w:val="14"/>
                <w:szCs w:val="14"/>
              </w:rPr>
              <w:t>27 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BD53"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CBD5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D5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D5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D57" w14:textId="77777777" w:rsidR="00E836FB" w:rsidRDefault="00E836FB">
            <w:pPr>
              <w:rPr>
                <w:rFonts w:ascii="宋体"/>
              </w:rPr>
            </w:pPr>
          </w:p>
        </w:tc>
        <w:tc>
          <w:tcPr>
            <w:tcW w:w="0" w:type="auto"/>
            <w:gridSpan w:val="3"/>
            <w:shd w:val="clear" w:color="auto" w:fill="auto"/>
            <w:vAlign w:val="bottom"/>
          </w:tcPr>
          <w:p w14:paraId="5F2CBD58" w14:textId="77777777" w:rsidR="00E836FB" w:rsidRDefault="00E836FB">
            <w:pPr>
              <w:rPr>
                <w:rFonts w:ascii="宋体"/>
                <w:vanish/>
              </w:rPr>
            </w:pPr>
          </w:p>
        </w:tc>
        <w:tc>
          <w:tcPr>
            <w:tcW w:w="0" w:type="auto"/>
            <w:gridSpan w:val="3"/>
            <w:shd w:val="clear" w:color="auto" w:fill="auto"/>
            <w:vAlign w:val="bottom"/>
          </w:tcPr>
          <w:p w14:paraId="5F2CBD59" w14:textId="77777777" w:rsidR="00E836FB" w:rsidRDefault="00E836FB">
            <w:pPr>
              <w:rPr>
                <w:rFonts w:ascii="宋体"/>
                <w:vanish/>
              </w:rPr>
            </w:pPr>
          </w:p>
        </w:tc>
        <w:tc>
          <w:tcPr>
            <w:tcW w:w="0" w:type="auto"/>
            <w:gridSpan w:val="3"/>
            <w:shd w:val="clear" w:color="auto" w:fill="auto"/>
            <w:vAlign w:val="bottom"/>
          </w:tcPr>
          <w:p w14:paraId="5F2CBD5A" w14:textId="77777777" w:rsidR="00E836FB" w:rsidRDefault="00E836FB">
            <w:pPr>
              <w:rPr>
                <w:rFonts w:ascii="宋体"/>
                <w:vanish/>
              </w:rPr>
            </w:pPr>
          </w:p>
        </w:tc>
        <w:tc>
          <w:tcPr>
            <w:tcW w:w="0" w:type="auto"/>
            <w:gridSpan w:val="3"/>
            <w:shd w:val="clear" w:color="auto" w:fill="auto"/>
            <w:vAlign w:val="bottom"/>
          </w:tcPr>
          <w:p w14:paraId="5F2CBD5B" w14:textId="77777777" w:rsidR="00E836FB" w:rsidRDefault="00E836FB">
            <w:pPr>
              <w:rPr>
                <w:rFonts w:ascii="宋体"/>
                <w:vanish/>
              </w:rPr>
            </w:pPr>
          </w:p>
        </w:tc>
        <w:tc>
          <w:tcPr>
            <w:tcW w:w="0" w:type="auto"/>
            <w:gridSpan w:val="2"/>
            <w:shd w:val="clear" w:color="auto" w:fill="auto"/>
            <w:vAlign w:val="bottom"/>
          </w:tcPr>
          <w:p w14:paraId="5F2CBD5C" w14:textId="77777777" w:rsidR="00E836FB" w:rsidRDefault="00E836FB">
            <w:pPr>
              <w:rPr>
                <w:rFonts w:ascii="宋体"/>
                <w:vanish/>
              </w:rPr>
            </w:pPr>
          </w:p>
        </w:tc>
        <w:tc>
          <w:tcPr>
            <w:tcW w:w="0" w:type="auto"/>
            <w:shd w:val="clear" w:color="auto" w:fill="auto"/>
            <w:vAlign w:val="bottom"/>
          </w:tcPr>
          <w:p w14:paraId="5F2CBD5D" w14:textId="77777777" w:rsidR="00E836FB" w:rsidRDefault="00E836FB">
            <w:pPr>
              <w:rPr>
                <w:rFonts w:ascii="宋体"/>
                <w:vanish/>
              </w:rPr>
            </w:pPr>
          </w:p>
        </w:tc>
      </w:tr>
      <w:tr w:rsidR="00E836FB" w14:paraId="5F2CBD7B" w14:textId="77777777">
        <w:tc>
          <w:tcPr>
            <w:tcW w:w="0" w:type="auto"/>
            <w:gridSpan w:val="3"/>
            <w:shd w:val="clear" w:color="auto" w:fill="CCEEFF"/>
            <w:tcMar>
              <w:top w:w="40" w:type="dxa"/>
              <w:left w:w="20" w:type="dxa"/>
              <w:bottom w:w="40" w:type="dxa"/>
              <w:right w:w="20" w:type="dxa"/>
            </w:tcMar>
            <w:vAlign w:val="bottom"/>
          </w:tcPr>
          <w:p w14:paraId="5F2CBD5F" w14:textId="77777777" w:rsidR="00E836FB" w:rsidRDefault="00994958">
            <w:pPr>
              <w:textAlignment w:val="bottom"/>
            </w:pPr>
            <w:r>
              <w:rPr>
                <w:rFonts w:ascii="Arial" w:eastAsia="宋体" w:hAnsi="Arial" w:cs="Arial"/>
                <w:color w:val="000000"/>
                <w:sz w:val="14"/>
                <w:szCs w:val="14"/>
              </w:rPr>
              <w:t>Average assets (in billions)</w:t>
            </w:r>
          </w:p>
        </w:tc>
        <w:tc>
          <w:tcPr>
            <w:tcW w:w="0" w:type="auto"/>
            <w:shd w:val="clear" w:color="auto" w:fill="auto"/>
            <w:vAlign w:val="bottom"/>
          </w:tcPr>
          <w:p w14:paraId="5F2CBD60" w14:textId="77777777" w:rsidR="00E836FB" w:rsidRDefault="00E836FB">
            <w:pPr>
              <w:rPr>
                <w:rFonts w:ascii="宋体"/>
                <w:vanish/>
              </w:rPr>
            </w:pPr>
          </w:p>
        </w:tc>
        <w:tc>
          <w:tcPr>
            <w:tcW w:w="0" w:type="auto"/>
            <w:shd w:val="clear" w:color="auto" w:fill="auto"/>
            <w:vAlign w:val="bottom"/>
          </w:tcPr>
          <w:p w14:paraId="5F2CBD61" w14:textId="77777777" w:rsidR="00E836FB" w:rsidRDefault="00E836FB">
            <w:pPr>
              <w:rPr>
                <w:rFonts w:ascii="宋体"/>
                <w:vanish/>
              </w:rPr>
            </w:pPr>
          </w:p>
        </w:tc>
        <w:tc>
          <w:tcPr>
            <w:tcW w:w="0" w:type="auto"/>
            <w:shd w:val="clear" w:color="auto" w:fill="auto"/>
            <w:vAlign w:val="bottom"/>
          </w:tcPr>
          <w:p w14:paraId="5F2CBD62" w14:textId="77777777" w:rsidR="00E836FB" w:rsidRDefault="00E836FB">
            <w:pPr>
              <w:rPr>
                <w:rFonts w:ascii="宋体"/>
                <w:vanish/>
              </w:rPr>
            </w:pPr>
          </w:p>
        </w:tc>
        <w:tc>
          <w:tcPr>
            <w:tcW w:w="0" w:type="auto"/>
            <w:shd w:val="clear" w:color="auto" w:fill="auto"/>
            <w:vAlign w:val="bottom"/>
          </w:tcPr>
          <w:p w14:paraId="5F2CBD63" w14:textId="77777777" w:rsidR="00E836FB" w:rsidRDefault="00E836FB">
            <w:pPr>
              <w:rPr>
                <w:rFonts w:ascii="宋体"/>
                <w:vanish/>
              </w:rPr>
            </w:pPr>
          </w:p>
        </w:tc>
        <w:tc>
          <w:tcPr>
            <w:tcW w:w="0" w:type="auto"/>
            <w:shd w:val="clear" w:color="auto" w:fill="auto"/>
            <w:vAlign w:val="bottom"/>
          </w:tcPr>
          <w:p w14:paraId="5F2CBD64" w14:textId="77777777" w:rsidR="00E836FB" w:rsidRDefault="00E836FB">
            <w:pPr>
              <w:rPr>
                <w:rFonts w:ascii="宋体"/>
                <w:vanish/>
              </w:rPr>
            </w:pPr>
          </w:p>
        </w:tc>
        <w:tc>
          <w:tcPr>
            <w:tcW w:w="0" w:type="auto"/>
            <w:shd w:val="clear" w:color="auto" w:fill="auto"/>
            <w:vAlign w:val="bottom"/>
          </w:tcPr>
          <w:p w14:paraId="5F2CBD65"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CBD66"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BD67" w14:textId="77777777" w:rsidR="00E836FB" w:rsidRDefault="00994958">
            <w:pPr>
              <w:jc w:val="right"/>
              <w:textAlignment w:val="bottom"/>
            </w:pPr>
            <w:r>
              <w:rPr>
                <w:rFonts w:ascii="Arial" w:eastAsia="宋体" w:hAnsi="Arial" w:cs="Arial"/>
                <w:b/>
                <w:bCs/>
                <w:color w:val="000000"/>
                <w:sz w:val="14"/>
                <w:szCs w:val="14"/>
              </w:rPr>
              <w:t>296.5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BD6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6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D6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D6B" w14:textId="77777777" w:rsidR="00E836FB" w:rsidRDefault="00994958">
            <w:pPr>
              <w:jc w:val="right"/>
              <w:textAlignment w:val="bottom"/>
            </w:pPr>
            <w:r>
              <w:rPr>
                <w:rFonts w:ascii="Arial" w:eastAsia="宋体" w:hAnsi="Arial" w:cs="Arial"/>
                <w:color w:val="000000"/>
                <w:sz w:val="14"/>
                <w:szCs w:val="14"/>
              </w:rPr>
              <w:t>266.4 </w:t>
            </w:r>
          </w:p>
        </w:tc>
        <w:tc>
          <w:tcPr>
            <w:tcW w:w="0" w:type="auto"/>
            <w:shd w:val="clear" w:color="auto" w:fill="CCEEFF"/>
            <w:tcMar>
              <w:top w:w="40" w:type="dxa"/>
              <w:left w:w="0" w:type="dxa"/>
              <w:bottom w:w="40" w:type="dxa"/>
              <w:right w:w="20" w:type="dxa"/>
            </w:tcMar>
            <w:vAlign w:val="bottom"/>
          </w:tcPr>
          <w:p w14:paraId="5F2CBD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6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D6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BD6F" w14:textId="77777777" w:rsidR="00E836FB" w:rsidRDefault="00994958">
            <w:pPr>
              <w:jc w:val="right"/>
              <w:textAlignment w:val="bottom"/>
            </w:pPr>
            <w:r>
              <w:rPr>
                <w:rFonts w:ascii="Arial" w:eastAsia="宋体" w:hAnsi="Arial" w:cs="Arial"/>
                <w:color w:val="000000"/>
                <w:sz w:val="14"/>
                <w:szCs w:val="14"/>
              </w:rPr>
              <w:t>220.3 </w:t>
            </w:r>
          </w:p>
        </w:tc>
        <w:tc>
          <w:tcPr>
            <w:tcW w:w="0" w:type="auto"/>
            <w:shd w:val="clear" w:color="auto" w:fill="CCEEFF"/>
            <w:tcMar>
              <w:top w:w="40" w:type="dxa"/>
              <w:left w:w="0" w:type="dxa"/>
              <w:bottom w:w="40" w:type="dxa"/>
              <w:right w:w="20" w:type="dxa"/>
            </w:tcMar>
            <w:vAlign w:val="bottom"/>
          </w:tcPr>
          <w:p w14:paraId="5F2CBD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7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D7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D7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D74" w14:textId="77777777" w:rsidR="00E836FB" w:rsidRDefault="00E836FB">
            <w:pPr>
              <w:rPr>
                <w:rFonts w:ascii="宋体"/>
              </w:rPr>
            </w:pPr>
          </w:p>
        </w:tc>
        <w:tc>
          <w:tcPr>
            <w:tcW w:w="0" w:type="auto"/>
            <w:gridSpan w:val="3"/>
            <w:shd w:val="clear" w:color="auto" w:fill="auto"/>
            <w:vAlign w:val="bottom"/>
          </w:tcPr>
          <w:p w14:paraId="5F2CBD75" w14:textId="77777777" w:rsidR="00E836FB" w:rsidRDefault="00E836FB">
            <w:pPr>
              <w:rPr>
                <w:rFonts w:ascii="宋体"/>
                <w:vanish/>
              </w:rPr>
            </w:pPr>
          </w:p>
        </w:tc>
        <w:tc>
          <w:tcPr>
            <w:tcW w:w="0" w:type="auto"/>
            <w:gridSpan w:val="3"/>
            <w:shd w:val="clear" w:color="auto" w:fill="auto"/>
            <w:vAlign w:val="bottom"/>
          </w:tcPr>
          <w:p w14:paraId="5F2CBD76" w14:textId="77777777" w:rsidR="00E836FB" w:rsidRDefault="00E836FB">
            <w:pPr>
              <w:rPr>
                <w:rFonts w:ascii="宋体"/>
                <w:vanish/>
              </w:rPr>
            </w:pPr>
          </w:p>
        </w:tc>
        <w:tc>
          <w:tcPr>
            <w:tcW w:w="0" w:type="auto"/>
            <w:gridSpan w:val="3"/>
            <w:shd w:val="clear" w:color="auto" w:fill="auto"/>
            <w:vAlign w:val="bottom"/>
          </w:tcPr>
          <w:p w14:paraId="5F2CBD77" w14:textId="77777777" w:rsidR="00E836FB" w:rsidRDefault="00E836FB">
            <w:pPr>
              <w:rPr>
                <w:rFonts w:ascii="宋体"/>
                <w:vanish/>
              </w:rPr>
            </w:pPr>
          </w:p>
        </w:tc>
        <w:tc>
          <w:tcPr>
            <w:tcW w:w="0" w:type="auto"/>
            <w:gridSpan w:val="3"/>
            <w:shd w:val="clear" w:color="auto" w:fill="auto"/>
            <w:vAlign w:val="bottom"/>
          </w:tcPr>
          <w:p w14:paraId="5F2CBD78" w14:textId="77777777" w:rsidR="00E836FB" w:rsidRDefault="00E836FB">
            <w:pPr>
              <w:rPr>
                <w:rFonts w:ascii="宋体"/>
                <w:vanish/>
              </w:rPr>
            </w:pPr>
          </w:p>
        </w:tc>
        <w:tc>
          <w:tcPr>
            <w:tcW w:w="0" w:type="auto"/>
            <w:gridSpan w:val="2"/>
            <w:shd w:val="clear" w:color="auto" w:fill="auto"/>
            <w:vAlign w:val="bottom"/>
          </w:tcPr>
          <w:p w14:paraId="5F2CBD79" w14:textId="77777777" w:rsidR="00E836FB" w:rsidRDefault="00E836FB">
            <w:pPr>
              <w:rPr>
                <w:rFonts w:ascii="宋体"/>
                <w:vanish/>
              </w:rPr>
            </w:pPr>
          </w:p>
        </w:tc>
        <w:tc>
          <w:tcPr>
            <w:tcW w:w="0" w:type="auto"/>
            <w:shd w:val="clear" w:color="auto" w:fill="auto"/>
            <w:vAlign w:val="bottom"/>
          </w:tcPr>
          <w:p w14:paraId="5F2CBD7A" w14:textId="77777777" w:rsidR="00E836FB" w:rsidRDefault="00E836FB">
            <w:pPr>
              <w:rPr>
                <w:rFonts w:ascii="宋体"/>
                <w:vanish/>
              </w:rPr>
            </w:pPr>
          </w:p>
        </w:tc>
      </w:tr>
    </w:tbl>
    <w:p w14:paraId="5F2CBD7C"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5269"/>
        <w:gridCol w:w="36"/>
        <w:gridCol w:w="70"/>
        <w:gridCol w:w="516"/>
        <w:gridCol w:w="36"/>
      </w:tblGrid>
      <w:tr w:rsidR="00E836FB" w14:paraId="5F2CBD86" w14:textId="77777777">
        <w:tc>
          <w:tcPr>
            <w:tcW w:w="50" w:type="pct"/>
            <w:shd w:val="clear" w:color="auto" w:fill="auto"/>
            <w:vAlign w:val="bottom"/>
          </w:tcPr>
          <w:p w14:paraId="5F2CBD7D" w14:textId="77777777" w:rsidR="00E836FB" w:rsidRDefault="00E836FB">
            <w:pPr>
              <w:rPr>
                <w:rFonts w:ascii="宋体"/>
              </w:rPr>
            </w:pPr>
          </w:p>
        </w:tc>
        <w:tc>
          <w:tcPr>
            <w:tcW w:w="1348" w:type="pct"/>
            <w:shd w:val="clear" w:color="auto" w:fill="auto"/>
            <w:vAlign w:val="bottom"/>
          </w:tcPr>
          <w:p w14:paraId="5F2CBD7E" w14:textId="77777777" w:rsidR="00E836FB" w:rsidRDefault="00E836FB">
            <w:pPr>
              <w:rPr>
                <w:rFonts w:ascii="宋体"/>
              </w:rPr>
            </w:pPr>
          </w:p>
        </w:tc>
        <w:tc>
          <w:tcPr>
            <w:tcW w:w="5" w:type="pct"/>
            <w:shd w:val="clear" w:color="auto" w:fill="auto"/>
            <w:vAlign w:val="bottom"/>
          </w:tcPr>
          <w:p w14:paraId="5F2CBD7F" w14:textId="77777777" w:rsidR="00E836FB" w:rsidRDefault="00E836FB">
            <w:pPr>
              <w:rPr>
                <w:rFonts w:ascii="宋体"/>
              </w:rPr>
            </w:pPr>
          </w:p>
        </w:tc>
        <w:tc>
          <w:tcPr>
            <w:tcW w:w="50" w:type="pct"/>
            <w:shd w:val="clear" w:color="auto" w:fill="auto"/>
            <w:vAlign w:val="bottom"/>
          </w:tcPr>
          <w:p w14:paraId="5F2CBD80" w14:textId="77777777" w:rsidR="00E836FB" w:rsidRDefault="00E836FB">
            <w:pPr>
              <w:rPr>
                <w:rFonts w:ascii="宋体"/>
              </w:rPr>
            </w:pPr>
          </w:p>
        </w:tc>
        <w:tc>
          <w:tcPr>
            <w:tcW w:w="3168" w:type="pct"/>
            <w:shd w:val="clear" w:color="auto" w:fill="auto"/>
            <w:vAlign w:val="bottom"/>
          </w:tcPr>
          <w:p w14:paraId="5F2CBD81" w14:textId="77777777" w:rsidR="00E836FB" w:rsidRDefault="00E836FB">
            <w:pPr>
              <w:rPr>
                <w:rFonts w:ascii="宋体"/>
              </w:rPr>
            </w:pPr>
          </w:p>
        </w:tc>
        <w:tc>
          <w:tcPr>
            <w:tcW w:w="5" w:type="pct"/>
            <w:shd w:val="clear" w:color="auto" w:fill="auto"/>
            <w:vAlign w:val="bottom"/>
          </w:tcPr>
          <w:p w14:paraId="5F2CBD82" w14:textId="77777777" w:rsidR="00E836FB" w:rsidRDefault="00E836FB">
            <w:pPr>
              <w:rPr>
                <w:rFonts w:ascii="宋体"/>
              </w:rPr>
            </w:pPr>
          </w:p>
        </w:tc>
        <w:tc>
          <w:tcPr>
            <w:tcW w:w="50" w:type="pct"/>
            <w:shd w:val="clear" w:color="auto" w:fill="auto"/>
            <w:vAlign w:val="bottom"/>
          </w:tcPr>
          <w:p w14:paraId="5F2CBD83" w14:textId="77777777" w:rsidR="00E836FB" w:rsidRDefault="00E836FB">
            <w:pPr>
              <w:rPr>
                <w:rFonts w:ascii="宋体"/>
              </w:rPr>
            </w:pPr>
          </w:p>
        </w:tc>
        <w:tc>
          <w:tcPr>
            <w:tcW w:w="317" w:type="pct"/>
            <w:shd w:val="clear" w:color="auto" w:fill="auto"/>
            <w:vAlign w:val="bottom"/>
          </w:tcPr>
          <w:p w14:paraId="5F2CBD84" w14:textId="77777777" w:rsidR="00E836FB" w:rsidRDefault="00E836FB">
            <w:pPr>
              <w:rPr>
                <w:rFonts w:ascii="宋体"/>
              </w:rPr>
            </w:pPr>
          </w:p>
        </w:tc>
        <w:tc>
          <w:tcPr>
            <w:tcW w:w="5" w:type="pct"/>
            <w:shd w:val="clear" w:color="auto" w:fill="auto"/>
            <w:vAlign w:val="bottom"/>
          </w:tcPr>
          <w:p w14:paraId="5F2CBD85" w14:textId="77777777" w:rsidR="00E836FB" w:rsidRDefault="00E836FB">
            <w:pPr>
              <w:rPr>
                <w:rFonts w:ascii="宋体"/>
              </w:rPr>
            </w:pPr>
          </w:p>
        </w:tc>
      </w:tr>
      <w:tr w:rsidR="00E836FB" w14:paraId="5F2CBD8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BD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D8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D89" w14:textId="77777777" w:rsidR="00E836FB" w:rsidRDefault="00E836FB">
            <w:pPr>
              <w:rPr>
                <w:rFonts w:ascii="宋体"/>
              </w:rPr>
            </w:pPr>
          </w:p>
        </w:tc>
      </w:tr>
    </w:tbl>
    <w:p w14:paraId="5F2CBD8B" w14:textId="77777777" w:rsidR="00E836FB" w:rsidRDefault="00994958">
      <w:pPr>
        <w:jc w:val="both"/>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5F2CBD8C" w14:textId="77777777" w:rsidR="00E836FB" w:rsidRDefault="00994958">
      <w:pPr>
        <w:spacing w:before="60"/>
        <w:jc w:val="both"/>
      </w:pPr>
      <w:r>
        <w:rPr>
          <w:rFonts w:ascii="Arial" w:eastAsia="宋体" w:hAnsi="Arial" w:cs="Arial"/>
          <w:b/>
          <w:bCs/>
          <w:i/>
          <w:iCs/>
          <w:color w:val="000000"/>
          <w:sz w:val="20"/>
          <w:szCs w:val="20"/>
        </w:rPr>
        <w:t>Servicing Fees</w:t>
      </w:r>
    </w:p>
    <w:p w14:paraId="5F2CBD8D" w14:textId="77777777" w:rsidR="00E836FB" w:rsidRDefault="00994958">
      <w:pPr>
        <w:ind w:firstLine="450"/>
        <w:jc w:val="both"/>
      </w:pPr>
      <w:r>
        <w:rPr>
          <w:rFonts w:ascii="Arial" w:eastAsia="宋体" w:hAnsi="Arial" w:cs="Arial"/>
          <w:color w:val="000000"/>
          <w:sz w:val="20"/>
          <w:szCs w:val="20"/>
        </w:rPr>
        <w:t xml:space="preserve">Servicing fees, as presented in Table 17: Investment Servicing Line of </w:t>
      </w:r>
      <w:r>
        <w:rPr>
          <w:rFonts w:ascii="Arial" w:eastAsia="宋体" w:hAnsi="Arial" w:cs="Arial"/>
          <w:color w:val="000000"/>
          <w:sz w:val="20"/>
          <w:szCs w:val="20"/>
        </w:rPr>
        <w:t>Business Results, increased 7% in 2021 compared to 2020 primarily due to higher average equity market levels, client activity and flows, and net new business, partially offset by normal pricing headwinds. FX rates impacted servicing fees positively by 1% i</w:t>
      </w:r>
      <w:r>
        <w:rPr>
          <w:rFonts w:ascii="Arial" w:eastAsia="宋体" w:hAnsi="Arial" w:cs="Arial"/>
          <w:color w:val="000000"/>
          <w:sz w:val="20"/>
          <w:szCs w:val="20"/>
        </w:rPr>
        <w:t>n 2021 relative to 2020 and 0.4% in 2020 relative to 2019.</w:t>
      </w:r>
    </w:p>
    <w:p w14:paraId="5F2CBD8E" w14:textId="77777777" w:rsidR="00E836FB" w:rsidRDefault="00994958">
      <w:pPr>
        <w:ind w:firstLine="450"/>
        <w:jc w:val="both"/>
      </w:pPr>
      <w:r>
        <w:rPr>
          <w:rFonts w:ascii="Arial" w:eastAsia="宋体" w:hAnsi="Arial" w:cs="Arial"/>
          <w:color w:val="000000"/>
          <w:sz w:val="20"/>
          <w:szCs w:val="20"/>
        </w:rPr>
        <w:t>Additional information about servicing fees is provided under "Fee Revenue" in "Consolidated Results of Operations" included in this Management's Discussion and Analysis.</w:t>
      </w:r>
    </w:p>
    <w:p w14:paraId="5F2CBD8F" w14:textId="77777777" w:rsidR="00E836FB" w:rsidRDefault="00994958">
      <w:pPr>
        <w:spacing w:before="60"/>
        <w:ind w:firstLine="450"/>
        <w:jc w:val="both"/>
      </w:pPr>
      <w:r>
        <w:rPr>
          <w:rFonts w:ascii="Arial" w:eastAsia="宋体" w:hAnsi="Arial" w:cs="Arial"/>
          <w:color w:val="000000"/>
          <w:sz w:val="20"/>
          <w:szCs w:val="20"/>
        </w:rPr>
        <w:t xml:space="preserve">For additional </w:t>
      </w:r>
      <w:r>
        <w:rPr>
          <w:rFonts w:ascii="Arial" w:eastAsia="宋体" w:hAnsi="Arial" w:cs="Arial"/>
          <w:color w:val="000000"/>
          <w:sz w:val="20"/>
          <w:szCs w:val="20"/>
        </w:rPr>
        <w:t>information about the impact of worldwide equity and fixed-income valuations on our fee revenue, as well as other key drivers of our servicing fee revenue, refer to "Fee Revenue" in "Consolidated Results of Operations" included in this Management's Discuss</w:t>
      </w:r>
      <w:r>
        <w:rPr>
          <w:rFonts w:ascii="Arial" w:eastAsia="宋体" w:hAnsi="Arial" w:cs="Arial"/>
          <w:color w:val="000000"/>
          <w:sz w:val="20"/>
          <w:szCs w:val="20"/>
        </w:rPr>
        <w:t>ion and Analysis.</w:t>
      </w:r>
    </w:p>
    <w:p w14:paraId="5F2CBD90" w14:textId="77777777" w:rsidR="00E836FB" w:rsidRDefault="00994958">
      <w:pPr>
        <w:spacing w:before="60"/>
        <w:jc w:val="both"/>
      </w:pPr>
      <w:r>
        <w:rPr>
          <w:rFonts w:ascii="Arial" w:eastAsia="宋体" w:hAnsi="Arial" w:cs="Arial"/>
          <w:b/>
          <w:bCs/>
          <w:i/>
          <w:iCs/>
          <w:color w:val="000000"/>
          <w:sz w:val="20"/>
          <w:szCs w:val="20"/>
        </w:rPr>
        <w:t>Expenses</w:t>
      </w:r>
    </w:p>
    <w:p w14:paraId="5F2CBD91" w14:textId="77777777" w:rsidR="00E836FB" w:rsidRDefault="00994958">
      <w:pPr>
        <w:spacing w:before="60"/>
        <w:ind w:firstLine="450"/>
        <w:jc w:val="both"/>
      </w:pPr>
      <w:r>
        <w:rPr>
          <w:rFonts w:ascii="Arial" w:eastAsia="宋体" w:hAnsi="Arial" w:cs="Arial"/>
          <w:color w:val="000000"/>
          <w:sz w:val="20"/>
          <w:szCs w:val="20"/>
        </w:rPr>
        <w:t>Total expenses for Investment Servicing increased 2% in 2021 compared to 2020, primarily reflecting higher technology infrastructure investments, equipment expenses, higher business volume related costs and unfavorable currency t</w:t>
      </w:r>
      <w:r>
        <w:rPr>
          <w:rFonts w:ascii="Arial" w:eastAsia="宋体" w:hAnsi="Arial" w:cs="Arial"/>
          <w:color w:val="000000"/>
          <w:sz w:val="20"/>
          <w:szCs w:val="20"/>
        </w:rPr>
        <w:t>ranslation, partially offset by expense savings initiatives. Currency translation increased expenses for Investment Servicing by 1% in 2021 relative to 2020. Seasonal deferred incentive compensation expense and payroll taxes were $141 million in 2021 compa</w:t>
      </w:r>
      <w:r>
        <w:rPr>
          <w:rFonts w:ascii="Arial" w:eastAsia="宋体" w:hAnsi="Arial" w:cs="Arial"/>
          <w:color w:val="000000"/>
          <w:sz w:val="20"/>
          <w:szCs w:val="20"/>
        </w:rPr>
        <w:t>red to $125 million in 2020. Total expenses contributed by CRD were approximately $287 million and $248 million in 2021 and 2020, respectively. Additional information about expenses is provided under "Expenses" in "Consolidated Results of Operations" inclu</w:t>
      </w:r>
      <w:r>
        <w:rPr>
          <w:rFonts w:ascii="Arial" w:eastAsia="宋体" w:hAnsi="Arial" w:cs="Arial"/>
          <w:color w:val="000000"/>
          <w:sz w:val="20"/>
          <w:szCs w:val="20"/>
        </w:rPr>
        <w:t>ded in this Management's Discussion and Analysis.</w:t>
      </w:r>
    </w:p>
    <w:p w14:paraId="5F2CBD92" w14:textId="77777777" w:rsidR="00E836FB" w:rsidRDefault="00994958">
      <w:pPr>
        <w:ind w:firstLine="450"/>
        <w:jc w:val="right"/>
      </w:pPr>
      <w:r>
        <w:rPr>
          <w:rFonts w:ascii="Arial" w:eastAsia="宋体" w:hAnsi="Arial" w:cs="Arial"/>
          <w:color w:val="000000"/>
          <w:sz w:val="18"/>
          <w:szCs w:val="18"/>
        </w:rPr>
        <w:t>State Street Corporation | 75</w:t>
      </w:r>
    </w:p>
    <w:p w14:paraId="5F2CBD93" w14:textId="77777777" w:rsidR="00E836FB" w:rsidRDefault="00E836FB">
      <w:pPr>
        <w:ind w:firstLine="450"/>
        <w:jc w:val="center"/>
      </w:pPr>
    </w:p>
    <w:p w14:paraId="5F2CBD94" w14:textId="77777777" w:rsidR="00E836FB" w:rsidRDefault="00994958">
      <w:r>
        <w:pict w14:anchorId="5F2D6DD0">
          <v:rect id="_x0000_i1099" style="width:415.3pt;height:1.5pt" o:hralign="center" o:hrstd="t" o:hr="t" fillcolor="#a0a0a0" stroked="f"/>
        </w:pict>
      </w:r>
    </w:p>
    <w:p w14:paraId="5F2CBD95"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D96" w14:textId="77777777" w:rsidR="00E836FB" w:rsidRDefault="00994958">
      <w:pPr>
        <w:ind w:firstLine="450"/>
        <w:jc w:val="center"/>
      </w:pPr>
      <w:r>
        <w:rPr>
          <w:rFonts w:ascii="Arial" w:eastAsia="宋体" w:hAnsi="Arial" w:cs="Arial"/>
          <w:b/>
          <w:bCs/>
          <w:color w:val="000000"/>
          <w:sz w:val="20"/>
          <w:szCs w:val="20"/>
        </w:rPr>
        <w:t>AND RESULTS OF OPERATIONS</w:t>
      </w:r>
    </w:p>
    <w:p w14:paraId="5F2CBD97" w14:textId="77777777" w:rsidR="00E836FB" w:rsidRDefault="00994958">
      <w:pPr>
        <w:spacing w:before="90"/>
      </w:pPr>
      <w:r>
        <w:rPr>
          <w:rFonts w:ascii="Arial" w:eastAsia="宋体" w:hAnsi="Arial" w:cs="Arial"/>
          <w:b/>
          <w:bCs/>
          <w:color w:val="000000"/>
          <w:sz w:val="20"/>
          <w:szCs w:val="20"/>
        </w:rPr>
        <w:t>Investment Management</w:t>
      </w:r>
    </w:p>
    <w:tbl>
      <w:tblPr>
        <w:tblW w:w="4985" w:type="pct"/>
        <w:tblCellMar>
          <w:top w:w="15" w:type="dxa"/>
          <w:left w:w="15" w:type="dxa"/>
          <w:bottom w:w="15" w:type="dxa"/>
          <w:right w:w="15" w:type="dxa"/>
        </w:tblCellMar>
        <w:tblLook w:val="04A0" w:firstRow="1" w:lastRow="0" w:firstColumn="1" w:lastColumn="0" w:noHBand="0" w:noVBand="1"/>
      </w:tblPr>
      <w:tblGrid>
        <w:gridCol w:w="39"/>
        <w:gridCol w:w="3230"/>
        <w:gridCol w:w="38"/>
        <w:gridCol w:w="90"/>
        <w:gridCol w:w="90"/>
        <w:gridCol w:w="90"/>
        <w:gridCol w:w="90"/>
        <w:gridCol w:w="90"/>
        <w:gridCol w:w="90"/>
        <w:gridCol w:w="109"/>
        <w:gridCol w:w="583"/>
        <w:gridCol w:w="163"/>
        <w:gridCol w:w="36"/>
        <w:gridCol w:w="36"/>
        <w:gridCol w:w="36"/>
        <w:gridCol w:w="109"/>
        <w:gridCol w:w="493"/>
        <w:gridCol w:w="163"/>
        <w:gridCol w:w="36"/>
        <w:gridCol w:w="36"/>
        <w:gridCol w:w="36"/>
        <w:gridCol w:w="109"/>
        <w:gridCol w:w="470"/>
        <w:gridCol w:w="163"/>
        <w:gridCol w:w="36"/>
        <w:gridCol w:w="36"/>
        <w:gridCol w:w="36"/>
        <w:gridCol w:w="60"/>
        <w:gridCol w:w="562"/>
        <w:gridCol w:w="163"/>
        <w:gridCol w:w="55"/>
        <w:gridCol w:w="286"/>
        <w:gridCol w:w="55"/>
        <w:gridCol w:w="38"/>
        <w:gridCol w:w="396"/>
        <w:gridCol w:w="163"/>
      </w:tblGrid>
      <w:tr w:rsidR="00E836FB" w14:paraId="5F2CBDBC" w14:textId="77777777">
        <w:tc>
          <w:tcPr>
            <w:tcW w:w="50" w:type="pct"/>
            <w:shd w:val="clear" w:color="auto" w:fill="auto"/>
            <w:vAlign w:val="bottom"/>
          </w:tcPr>
          <w:p w14:paraId="5F2CBD98" w14:textId="77777777" w:rsidR="00E836FB" w:rsidRDefault="00E836FB">
            <w:pPr>
              <w:rPr>
                <w:rFonts w:ascii="宋体"/>
              </w:rPr>
            </w:pPr>
          </w:p>
        </w:tc>
        <w:tc>
          <w:tcPr>
            <w:tcW w:w="2203" w:type="pct"/>
            <w:shd w:val="clear" w:color="auto" w:fill="auto"/>
            <w:vAlign w:val="bottom"/>
          </w:tcPr>
          <w:p w14:paraId="5F2CBD99" w14:textId="77777777" w:rsidR="00E836FB" w:rsidRDefault="00E836FB">
            <w:pPr>
              <w:rPr>
                <w:rFonts w:ascii="宋体"/>
              </w:rPr>
            </w:pPr>
          </w:p>
        </w:tc>
        <w:tc>
          <w:tcPr>
            <w:tcW w:w="5" w:type="pct"/>
            <w:shd w:val="clear" w:color="auto" w:fill="auto"/>
            <w:vAlign w:val="bottom"/>
          </w:tcPr>
          <w:p w14:paraId="5F2CBD9A" w14:textId="77777777" w:rsidR="00E836FB" w:rsidRDefault="00E836FB">
            <w:pPr>
              <w:rPr>
                <w:rFonts w:ascii="宋体"/>
              </w:rPr>
            </w:pPr>
          </w:p>
        </w:tc>
        <w:tc>
          <w:tcPr>
            <w:tcW w:w="0" w:type="auto"/>
            <w:shd w:val="clear" w:color="auto" w:fill="auto"/>
            <w:vAlign w:val="bottom"/>
          </w:tcPr>
          <w:p w14:paraId="5F2CBD9B" w14:textId="77777777" w:rsidR="00E836FB" w:rsidRDefault="00E836FB">
            <w:pPr>
              <w:rPr>
                <w:rFonts w:ascii="宋体"/>
                <w:vanish/>
              </w:rPr>
            </w:pPr>
          </w:p>
        </w:tc>
        <w:tc>
          <w:tcPr>
            <w:tcW w:w="0" w:type="auto"/>
            <w:shd w:val="clear" w:color="auto" w:fill="auto"/>
            <w:vAlign w:val="bottom"/>
          </w:tcPr>
          <w:p w14:paraId="5F2CBD9C" w14:textId="77777777" w:rsidR="00E836FB" w:rsidRDefault="00E836FB">
            <w:pPr>
              <w:rPr>
                <w:rFonts w:ascii="宋体"/>
                <w:vanish/>
              </w:rPr>
            </w:pPr>
          </w:p>
        </w:tc>
        <w:tc>
          <w:tcPr>
            <w:tcW w:w="0" w:type="auto"/>
            <w:shd w:val="clear" w:color="auto" w:fill="auto"/>
            <w:vAlign w:val="bottom"/>
          </w:tcPr>
          <w:p w14:paraId="5F2CBD9D" w14:textId="77777777" w:rsidR="00E836FB" w:rsidRDefault="00E836FB">
            <w:pPr>
              <w:rPr>
                <w:rFonts w:ascii="宋体"/>
                <w:vanish/>
              </w:rPr>
            </w:pPr>
          </w:p>
        </w:tc>
        <w:tc>
          <w:tcPr>
            <w:tcW w:w="0" w:type="auto"/>
            <w:shd w:val="clear" w:color="auto" w:fill="auto"/>
            <w:vAlign w:val="bottom"/>
          </w:tcPr>
          <w:p w14:paraId="5F2CBD9E" w14:textId="77777777" w:rsidR="00E836FB" w:rsidRDefault="00E836FB">
            <w:pPr>
              <w:rPr>
                <w:rFonts w:ascii="宋体"/>
                <w:vanish/>
              </w:rPr>
            </w:pPr>
          </w:p>
        </w:tc>
        <w:tc>
          <w:tcPr>
            <w:tcW w:w="0" w:type="auto"/>
            <w:shd w:val="clear" w:color="auto" w:fill="auto"/>
            <w:vAlign w:val="bottom"/>
          </w:tcPr>
          <w:p w14:paraId="5F2CBD9F" w14:textId="77777777" w:rsidR="00E836FB" w:rsidRDefault="00E836FB">
            <w:pPr>
              <w:rPr>
                <w:rFonts w:ascii="宋体"/>
                <w:vanish/>
              </w:rPr>
            </w:pPr>
          </w:p>
        </w:tc>
        <w:tc>
          <w:tcPr>
            <w:tcW w:w="0" w:type="auto"/>
            <w:shd w:val="clear" w:color="auto" w:fill="auto"/>
            <w:vAlign w:val="bottom"/>
          </w:tcPr>
          <w:p w14:paraId="5F2CBDA0" w14:textId="77777777" w:rsidR="00E836FB" w:rsidRDefault="00E836FB">
            <w:pPr>
              <w:rPr>
                <w:rFonts w:ascii="宋体"/>
                <w:vanish/>
              </w:rPr>
            </w:pPr>
          </w:p>
        </w:tc>
        <w:tc>
          <w:tcPr>
            <w:tcW w:w="50" w:type="pct"/>
            <w:shd w:val="clear" w:color="auto" w:fill="auto"/>
            <w:vAlign w:val="bottom"/>
          </w:tcPr>
          <w:p w14:paraId="5F2CBDA1" w14:textId="77777777" w:rsidR="00E836FB" w:rsidRDefault="00E836FB">
            <w:pPr>
              <w:rPr>
                <w:rFonts w:ascii="宋体"/>
              </w:rPr>
            </w:pPr>
          </w:p>
        </w:tc>
        <w:tc>
          <w:tcPr>
            <w:tcW w:w="450" w:type="pct"/>
            <w:shd w:val="clear" w:color="auto" w:fill="auto"/>
            <w:vAlign w:val="bottom"/>
          </w:tcPr>
          <w:p w14:paraId="5F2CBDA2" w14:textId="77777777" w:rsidR="00E836FB" w:rsidRDefault="00E836FB">
            <w:pPr>
              <w:rPr>
                <w:rFonts w:ascii="宋体"/>
              </w:rPr>
            </w:pPr>
          </w:p>
        </w:tc>
        <w:tc>
          <w:tcPr>
            <w:tcW w:w="5" w:type="pct"/>
            <w:shd w:val="clear" w:color="auto" w:fill="auto"/>
            <w:vAlign w:val="bottom"/>
          </w:tcPr>
          <w:p w14:paraId="5F2CBDA3" w14:textId="77777777" w:rsidR="00E836FB" w:rsidRDefault="00E836FB">
            <w:pPr>
              <w:rPr>
                <w:rFonts w:ascii="宋体"/>
              </w:rPr>
            </w:pPr>
          </w:p>
        </w:tc>
        <w:tc>
          <w:tcPr>
            <w:tcW w:w="5" w:type="pct"/>
            <w:shd w:val="clear" w:color="auto" w:fill="auto"/>
            <w:vAlign w:val="bottom"/>
          </w:tcPr>
          <w:p w14:paraId="5F2CBDA4" w14:textId="77777777" w:rsidR="00E836FB" w:rsidRDefault="00E836FB">
            <w:pPr>
              <w:rPr>
                <w:rFonts w:ascii="宋体"/>
              </w:rPr>
            </w:pPr>
          </w:p>
        </w:tc>
        <w:tc>
          <w:tcPr>
            <w:tcW w:w="26" w:type="pct"/>
            <w:shd w:val="clear" w:color="auto" w:fill="auto"/>
            <w:vAlign w:val="bottom"/>
          </w:tcPr>
          <w:p w14:paraId="5F2CBDA5" w14:textId="77777777" w:rsidR="00E836FB" w:rsidRDefault="00E836FB">
            <w:pPr>
              <w:rPr>
                <w:rFonts w:ascii="宋体"/>
              </w:rPr>
            </w:pPr>
          </w:p>
        </w:tc>
        <w:tc>
          <w:tcPr>
            <w:tcW w:w="5" w:type="pct"/>
            <w:shd w:val="clear" w:color="auto" w:fill="auto"/>
            <w:vAlign w:val="bottom"/>
          </w:tcPr>
          <w:p w14:paraId="5F2CBDA6" w14:textId="77777777" w:rsidR="00E836FB" w:rsidRDefault="00E836FB">
            <w:pPr>
              <w:rPr>
                <w:rFonts w:ascii="宋体"/>
              </w:rPr>
            </w:pPr>
          </w:p>
        </w:tc>
        <w:tc>
          <w:tcPr>
            <w:tcW w:w="50" w:type="pct"/>
            <w:shd w:val="clear" w:color="auto" w:fill="auto"/>
            <w:vAlign w:val="bottom"/>
          </w:tcPr>
          <w:p w14:paraId="5F2CBDA7" w14:textId="77777777" w:rsidR="00E836FB" w:rsidRDefault="00E836FB">
            <w:pPr>
              <w:rPr>
                <w:rFonts w:ascii="宋体"/>
              </w:rPr>
            </w:pPr>
          </w:p>
        </w:tc>
        <w:tc>
          <w:tcPr>
            <w:tcW w:w="465" w:type="pct"/>
            <w:shd w:val="clear" w:color="auto" w:fill="auto"/>
            <w:vAlign w:val="bottom"/>
          </w:tcPr>
          <w:p w14:paraId="5F2CBDA8" w14:textId="77777777" w:rsidR="00E836FB" w:rsidRDefault="00E836FB">
            <w:pPr>
              <w:rPr>
                <w:rFonts w:ascii="宋体"/>
              </w:rPr>
            </w:pPr>
          </w:p>
        </w:tc>
        <w:tc>
          <w:tcPr>
            <w:tcW w:w="5" w:type="pct"/>
            <w:shd w:val="clear" w:color="auto" w:fill="auto"/>
            <w:vAlign w:val="bottom"/>
          </w:tcPr>
          <w:p w14:paraId="5F2CBDA9" w14:textId="77777777" w:rsidR="00E836FB" w:rsidRDefault="00E836FB">
            <w:pPr>
              <w:rPr>
                <w:rFonts w:ascii="宋体"/>
              </w:rPr>
            </w:pPr>
          </w:p>
        </w:tc>
        <w:tc>
          <w:tcPr>
            <w:tcW w:w="5" w:type="pct"/>
            <w:shd w:val="clear" w:color="auto" w:fill="auto"/>
            <w:vAlign w:val="bottom"/>
          </w:tcPr>
          <w:p w14:paraId="5F2CBDAA" w14:textId="77777777" w:rsidR="00E836FB" w:rsidRDefault="00E836FB">
            <w:pPr>
              <w:rPr>
                <w:rFonts w:ascii="宋体"/>
              </w:rPr>
            </w:pPr>
          </w:p>
        </w:tc>
        <w:tc>
          <w:tcPr>
            <w:tcW w:w="26" w:type="pct"/>
            <w:shd w:val="clear" w:color="auto" w:fill="auto"/>
            <w:vAlign w:val="bottom"/>
          </w:tcPr>
          <w:p w14:paraId="5F2CBDAB" w14:textId="77777777" w:rsidR="00E836FB" w:rsidRDefault="00E836FB">
            <w:pPr>
              <w:rPr>
                <w:rFonts w:ascii="宋体"/>
              </w:rPr>
            </w:pPr>
          </w:p>
        </w:tc>
        <w:tc>
          <w:tcPr>
            <w:tcW w:w="5" w:type="pct"/>
            <w:shd w:val="clear" w:color="auto" w:fill="auto"/>
            <w:vAlign w:val="bottom"/>
          </w:tcPr>
          <w:p w14:paraId="5F2CBDAC" w14:textId="77777777" w:rsidR="00E836FB" w:rsidRDefault="00E836FB">
            <w:pPr>
              <w:rPr>
                <w:rFonts w:ascii="宋体"/>
              </w:rPr>
            </w:pPr>
          </w:p>
        </w:tc>
        <w:tc>
          <w:tcPr>
            <w:tcW w:w="50" w:type="pct"/>
            <w:shd w:val="clear" w:color="auto" w:fill="auto"/>
            <w:vAlign w:val="bottom"/>
          </w:tcPr>
          <w:p w14:paraId="5F2CBDAD" w14:textId="77777777" w:rsidR="00E836FB" w:rsidRDefault="00E836FB">
            <w:pPr>
              <w:rPr>
                <w:rFonts w:ascii="宋体"/>
              </w:rPr>
            </w:pPr>
          </w:p>
        </w:tc>
        <w:tc>
          <w:tcPr>
            <w:tcW w:w="450" w:type="pct"/>
            <w:shd w:val="clear" w:color="auto" w:fill="auto"/>
            <w:vAlign w:val="bottom"/>
          </w:tcPr>
          <w:p w14:paraId="5F2CBDAE" w14:textId="77777777" w:rsidR="00E836FB" w:rsidRDefault="00E836FB">
            <w:pPr>
              <w:rPr>
                <w:rFonts w:ascii="宋体"/>
              </w:rPr>
            </w:pPr>
          </w:p>
        </w:tc>
        <w:tc>
          <w:tcPr>
            <w:tcW w:w="5" w:type="pct"/>
            <w:shd w:val="clear" w:color="auto" w:fill="auto"/>
            <w:vAlign w:val="bottom"/>
          </w:tcPr>
          <w:p w14:paraId="5F2CBDAF" w14:textId="77777777" w:rsidR="00E836FB" w:rsidRDefault="00E836FB">
            <w:pPr>
              <w:rPr>
                <w:rFonts w:ascii="宋体"/>
              </w:rPr>
            </w:pPr>
          </w:p>
        </w:tc>
        <w:tc>
          <w:tcPr>
            <w:tcW w:w="5" w:type="pct"/>
            <w:shd w:val="clear" w:color="auto" w:fill="auto"/>
            <w:vAlign w:val="bottom"/>
          </w:tcPr>
          <w:p w14:paraId="5F2CBDB0" w14:textId="77777777" w:rsidR="00E836FB" w:rsidRDefault="00E836FB">
            <w:pPr>
              <w:rPr>
                <w:rFonts w:ascii="宋体"/>
              </w:rPr>
            </w:pPr>
          </w:p>
        </w:tc>
        <w:tc>
          <w:tcPr>
            <w:tcW w:w="26" w:type="pct"/>
            <w:shd w:val="clear" w:color="auto" w:fill="auto"/>
            <w:vAlign w:val="bottom"/>
          </w:tcPr>
          <w:p w14:paraId="5F2CBDB1" w14:textId="77777777" w:rsidR="00E836FB" w:rsidRDefault="00E836FB">
            <w:pPr>
              <w:rPr>
                <w:rFonts w:ascii="宋体"/>
              </w:rPr>
            </w:pPr>
          </w:p>
        </w:tc>
        <w:tc>
          <w:tcPr>
            <w:tcW w:w="5" w:type="pct"/>
            <w:shd w:val="clear" w:color="auto" w:fill="auto"/>
            <w:vAlign w:val="bottom"/>
          </w:tcPr>
          <w:p w14:paraId="5F2CBDB2" w14:textId="77777777" w:rsidR="00E836FB" w:rsidRDefault="00E836FB">
            <w:pPr>
              <w:rPr>
                <w:rFonts w:ascii="宋体"/>
              </w:rPr>
            </w:pPr>
          </w:p>
        </w:tc>
        <w:tc>
          <w:tcPr>
            <w:tcW w:w="50" w:type="pct"/>
            <w:shd w:val="clear" w:color="auto" w:fill="auto"/>
            <w:vAlign w:val="bottom"/>
          </w:tcPr>
          <w:p w14:paraId="5F2CBDB3" w14:textId="77777777" w:rsidR="00E836FB" w:rsidRDefault="00E836FB">
            <w:pPr>
              <w:rPr>
                <w:rFonts w:ascii="宋体"/>
              </w:rPr>
            </w:pPr>
          </w:p>
        </w:tc>
        <w:tc>
          <w:tcPr>
            <w:tcW w:w="472" w:type="pct"/>
            <w:shd w:val="clear" w:color="auto" w:fill="auto"/>
            <w:vAlign w:val="bottom"/>
          </w:tcPr>
          <w:p w14:paraId="5F2CBDB4" w14:textId="77777777" w:rsidR="00E836FB" w:rsidRDefault="00E836FB">
            <w:pPr>
              <w:rPr>
                <w:rFonts w:ascii="宋体"/>
              </w:rPr>
            </w:pPr>
          </w:p>
        </w:tc>
        <w:tc>
          <w:tcPr>
            <w:tcW w:w="5" w:type="pct"/>
            <w:shd w:val="clear" w:color="auto" w:fill="auto"/>
            <w:vAlign w:val="bottom"/>
          </w:tcPr>
          <w:p w14:paraId="5F2CBDB5" w14:textId="77777777" w:rsidR="00E836FB" w:rsidRDefault="00E836FB">
            <w:pPr>
              <w:rPr>
                <w:rFonts w:ascii="宋体"/>
              </w:rPr>
            </w:pPr>
          </w:p>
        </w:tc>
        <w:tc>
          <w:tcPr>
            <w:tcW w:w="5" w:type="pct"/>
            <w:shd w:val="clear" w:color="auto" w:fill="auto"/>
            <w:vAlign w:val="bottom"/>
          </w:tcPr>
          <w:p w14:paraId="5F2CBDB6" w14:textId="77777777" w:rsidR="00E836FB" w:rsidRDefault="00E836FB">
            <w:pPr>
              <w:rPr>
                <w:rFonts w:ascii="宋体"/>
              </w:rPr>
            </w:pPr>
          </w:p>
        </w:tc>
        <w:tc>
          <w:tcPr>
            <w:tcW w:w="26" w:type="pct"/>
            <w:shd w:val="clear" w:color="auto" w:fill="auto"/>
            <w:vAlign w:val="bottom"/>
          </w:tcPr>
          <w:p w14:paraId="5F2CBDB7" w14:textId="77777777" w:rsidR="00E836FB" w:rsidRDefault="00E836FB">
            <w:pPr>
              <w:rPr>
                <w:rFonts w:ascii="宋体"/>
              </w:rPr>
            </w:pPr>
          </w:p>
        </w:tc>
        <w:tc>
          <w:tcPr>
            <w:tcW w:w="5" w:type="pct"/>
            <w:shd w:val="clear" w:color="auto" w:fill="auto"/>
            <w:vAlign w:val="bottom"/>
          </w:tcPr>
          <w:p w14:paraId="5F2CBDB8" w14:textId="77777777" w:rsidR="00E836FB" w:rsidRDefault="00E836FB">
            <w:pPr>
              <w:rPr>
                <w:rFonts w:ascii="宋体"/>
              </w:rPr>
            </w:pPr>
          </w:p>
        </w:tc>
        <w:tc>
          <w:tcPr>
            <w:tcW w:w="50" w:type="pct"/>
            <w:shd w:val="clear" w:color="auto" w:fill="auto"/>
            <w:vAlign w:val="bottom"/>
          </w:tcPr>
          <w:p w14:paraId="5F2CBDB9" w14:textId="77777777" w:rsidR="00E836FB" w:rsidRDefault="00E836FB">
            <w:pPr>
              <w:rPr>
                <w:rFonts w:ascii="宋体"/>
              </w:rPr>
            </w:pPr>
          </w:p>
        </w:tc>
        <w:tc>
          <w:tcPr>
            <w:tcW w:w="480" w:type="pct"/>
            <w:shd w:val="clear" w:color="auto" w:fill="auto"/>
            <w:vAlign w:val="bottom"/>
          </w:tcPr>
          <w:p w14:paraId="5F2CBDBA" w14:textId="77777777" w:rsidR="00E836FB" w:rsidRDefault="00E836FB">
            <w:pPr>
              <w:rPr>
                <w:rFonts w:ascii="宋体"/>
              </w:rPr>
            </w:pPr>
          </w:p>
        </w:tc>
        <w:tc>
          <w:tcPr>
            <w:tcW w:w="5" w:type="pct"/>
            <w:shd w:val="clear" w:color="auto" w:fill="auto"/>
            <w:vAlign w:val="bottom"/>
          </w:tcPr>
          <w:p w14:paraId="5F2CBDBB" w14:textId="77777777" w:rsidR="00E836FB" w:rsidRDefault="00E836FB">
            <w:pPr>
              <w:rPr>
                <w:rFonts w:ascii="宋体"/>
              </w:rPr>
            </w:pPr>
          </w:p>
        </w:tc>
      </w:tr>
      <w:tr w:rsidR="00E836FB" w14:paraId="5F2CBDD2" w14:textId="77777777">
        <w:tc>
          <w:tcPr>
            <w:tcW w:w="0" w:type="auto"/>
            <w:gridSpan w:val="12"/>
            <w:shd w:val="clear" w:color="auto" w:fill="auto"/>
            <w:tcMar>
              <w:top w:w="40" w:type="dxa"/>
              <w:left w:w="20" w:type="dxa"/>
              <w:bottom w:w="40" w:type="dxa"/>
              <w:right w:w="20" w:type="dxa"/>
            </w:tcMar>
            <w:vAlign w:val="bottom"/>
          </w:tcPr>
          <w:p w14:paraId="5F2CBDBD" w14:textId="77777777" w:rsidR="00E836FB" w:rsidRDefault="00994958">
            <w:pPr>
              <w:textAlignment w:val="bottom"/>
            </w:pPr>
            <w:r>
              <w:rPr>
                <w:rFonts w:ascii="Arial" w:eastAsia="宋体" w:hAnsi="Arial" w:cs="Arial"/>
                <w:b/>
                <w:bCs/>
                <w:color w:val="000000"/>
                <w:sz w:val="16"/>
                <w:szCs w:val="16"/>
              </w:rPr>
              <w:t>TABLE 18: INVESTMENT MANAGEMENT LINE OF BUSINESS RESULTS</w:t>
            </w:r>
          </w:p>
        </w:tc>
        <w:tc>
          <w:tcPr>
            <w:tcW w:w="0" w:type="auto"/>
            <w:gridSpan w:val="3"/>
            <w:shd w:val="clear" w:color="auto" w:fill="auto"/>
            <w:tcMar>
              <w:top w:w="0" w:type="dxa"/>
              <w:left w:w="20" w:type="dxa"/>
              <w:bottom w:w="0" w:type="dxa"/>
              <w:right w:w="20" w:type="dxa"/>
            </w:tcMar>
            <w:vAlign w:val="bottom"/>
          </w:tcPr>
          <w:p w14:paraId="5F2CBDB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DBF" w14:textId="77777777" w:rsidR="00E836FB" w:rsidRDefault="00E836FB">
            <w:pPr>
              <w:rPr>
                <w:rFonts w:ascii="宋体"/>
              </w:rPr>
            </w:pPr>
          </w:p>
        </w:tc>
        <w:tc>
          <w:tcPr>
            <w:tcW w:w="0" w:type="auto"/>
            <w:shd w:val="clear" w:color="auto" w:fill="auto"/>
            <w:vAlign w:val="bottom"/>
          </w:tcPr>
          <w:p w14:paraId="5F2CBDC0" w14:textId="77777777" w:rsidR="00E836FB" w:rsidRDefault="00E836FB">
            <w:pPr>
              <w:rPr>
                <w:rFonts w:ascii="宋体"/>
              </w:rPr>
            </w:pPr>
          </w:p>
        </w:tc>
        <w:tc>
          <w:tcPr>
            <w:tcW w:w="0" w:type="auto"/>
            <w:shd w:val="clear" w:color="auto" w:fill="auto"/>
            <w:vAlign w:val="bottom"/>
          </w:tcPr>
          <w:p w14:paraId="5F2CBDC1" w14:textId="77777777" w:rsidR="00E836FB" w:rsidRDefault="00E836FB">
            <w:pPr>
              <w:rPr>
                <w:rFonts w:ascii="宋体"/>
              </w:rPr>
            </w:pPr>
          </w:p>
        </w:tc>
        <w:tc>
          <w:tcPr>
            <w:tcW w:w="0" w:type="auto"/>
            <w:shd w:val="clear" w:color="auto" w:fill="auto"/>
            <w:vAlign w:val="bottom"/>
          </w:tcPr>
          <w:p w14:paraId="5F2CBDC2" w14:textId="77777777" w:rsidR="00E836FB" w:rsidRDefault="00E836FB">
            <w:pPr>
              <w:rPr>
                <w:rFonts w:ascii="宋体"/>
              </w:rPr>
            </w:pPr>
          </w:p>
        </w:tc>
        <w:tc>
          <w:tcPr>
            <w:tcW w:w="0" w:type="auto"/>
            <w:shd w:val="clear" w:color="auto" w:fill="auto"/>
            <w:vAlign w:val="bottom"/>
          </w:tcPr>
          <w:p w14:paraId="5F2CBDC3" w14:textId="77777777" w:rsidR="00E836FB" w:rsidRDefault="00E836FB">
            <w:pPr>
              <w:rPr>
                <w:rFonts w:ascii="宋体"/>
              </w:rPr>
            </w:pPr>
          </w:p>
        </w:tc>
        <w:tc>
          <w:tcPr>
            <w:tcW w:w="0" w:type="auto"/>
            <w:shd w:val="clear" w:color="auto" w:fill="auto"/>
            <w:vAlign w:val="bottom"/>
          </w:tcPr>
          <w:p w14:paraId="5F2CBDC4" w14:textId="77777777" w:rsidR="00E836FB" w:rsidRDefault="00E836FB">
            <w:pPr>
              <w:rPr>
                <w:rFonts w:ascii="宋体"/>
              </w:rPr>
            </w:pPr>
          </w:p>
        </w:tc>
        <w:tc>
          <w:tcPr>
            <w:tcW w:w="0" w:type="auto"/>
            <w:shd w:val="clear" w:color="auto" w:fill="auto"/>
            <w:vAlign w:val="bottom"/>
          </w:tcPr>
          <w:p w14:paraId="5F2CBDC5" w14:textId="77777777" w:rsidR="00E836FB" w:rsidRDefault="00E836FB">
            <w:pPr>
              <w:rPr>
                <w:rFonts w:ascii="宋体"/>
              </w:rPr>
            </w:pPr>
          </w:p>
        </w:tc>
        <w:tc>
          <w:tcPr>
            <w:tcW w:w="0" w:type="auto"/>
            <w:shd w:val="clear" w:color="auto" w:fill="auto"/>
            <w:vAlign w:val="bottom"/>
          </w:tcPr>
          <w:p w14:paraId="5F2CBDC6" w14:textId="77777777" w:rsidR="00E836FB" w:rsidRDefault="00E836FB">
            <w:pPr>
              <w:rPr>
                <w:rFonts w:ascii="宋体"/>
              </w:rPr>
            </w:pPr>
          </w:p>
        </w:tc>
        <w:tc>
          <w:tcPr>
            <w:tcW w:w="0" w:type="auto"/>
            <w:shd w:val="clear" w:color="auto" w:fill="auto"/>
            <w:vAlign w:val="bottom"/>
          </w:tcPr>
          <w:p w14:paraId="5F2CBDC7" w14:textId="77777777" w:rsidR="00E836FB" w:rsidRDefault="00E836FB">
            <w:pPr>
              <w:rPr>
                <w:rFonts w:ascii="宋体"/>
              </w:rPr>
            </w:pPr>
          </w:p>
        </w:tc>
        <w:tc>
          <w:tcPr>
            <w:tcW w:w="0" w:type="auto"/>
            <w:shd w:val="clear" w:color="auto" w:fill="auto"/>
            <w:vAlign w:val="bottom"/>
          </w:tcPr>
          <w:p w14:paraId="5F2CBDC8" w14:textId="77777777" w:rsidR="00E836FB" w:rsidRDefault="00E836FB">
            <w:pPr>
              <w:rPr>
                <w:rFonts w:ascii="宋体"/>
              </w:rPr>
            </w:pPr>
          </w:p>
        </w:tc>
        <w:tc>
          <w:tcPr>
            <w:tcW w:w="0" w:type="auto"/>
            <w:shd w:val="clear" w:color="auto" w:fill="auto"/>
            <w:vAlign w:val="bottom"/>
          </w:tcPr>
          <w:p w14:paraId="5F2CBDC9" w14:textId="77777777" w:rsidR="00E836FB" w:rsidRDefault="00E836FB">
            <w:pPr>
              <w:rPr>
                <w:rFonts w:ascii="宋体"/>
              </w:rPr>
            </w:pPr>
          </w:p>
        </w:tc>
        <w:tc>
          <w:tcPr>
            <w:tcW w:w="0" w:type="auto"/>
            <w:shd w:val="clear" w:color="auto" w:fill="auto"/>
            <w:vAlign w:val="bottom"/>
          </w:tcPr>
          <w:p w14:paraId="5F2CBDCA" w14:textId="77777777" w:rsidR="00E836FB" w:rsidRDefault="00E836FB">
            <w:pPr>
              <w:rPr>
                <w:rFonts w:ascii="宋体"/>
              </w:rPr>
            </w:pPr>
          </w:p>
        </w:tc>
        <w:tc>
          <w:tcPr>
            <w:tcW w:w="0" w:type="auto"/>
            <w:shd w:val="clear" w:color="auto" w:fill="auto"/>
            <w:vAlign w:val="bottom"/>
          </w:tcPr>
          <w:p w14:paraId="5F2CBDCB" w14:textId="77777777" w:rsidR="00E836FB" w:rsidRDefault="00E836FB">
            <w:pPr>
              <w:rPr>
                <w:rFonts w:ascii="宋体"/>
              </w:rPr>
            </w:pPr>
          </w:p>
        </w:tc>
        <w:tc>
          <w:tcPr>
            <w:tcW w:w="0" w:type="auto"/>
            <w:shd w:val="clear" w:color="auto" w:fill="auto"/>
            <w:vAlign w:val="bottom"/>
          </w:tcPr>
          <w:p w14:paraId="5F2CBDCC" w14:textId="77777777" w:rsidR="00E836FB" w:rsidRDefault="00E836FB">
            <w:pPr>
              <w:rPr>
                <w:rFonts w:ascii="宋体"/>
              </w:rPr>
            </w:pPr>
          </w:p>
        </w:tc>
        <w:tc>
          <w:tcPr>
            <w:tcW w:w="0" w:type="auto"/>
            <w:shd w:val="clear" w:color="auto" w:fill="auto"/>
            <w:vAlign w:val="bottom"/>
          </w:tcPr>
          <w:p w14:paraId="5F2CBDCD" w14:textId="77777777" w:rsidR="00E836FB" w:rsidRDefault="00E836FB">
            <w:pPr>
              <w:rPr>
                <w:rFonts w:ascii="宋体"/>
              </w:rPr>
            </w:pPr>
          </w:p>
        </w:tc>
        <w:tc>
          <w:tcPr>
            <w:tcW w:w="0" w:type="auto"/>
            <w:shd w:val="clear" w:color="auto" w:fill="auto"/>
            <w:vAlign w:val="bottom"/>
          </w:tcPr>
          <w:p w14:paraId="5F2CBDCE" w14:textId="77777777" w:rsidR="00E836FB" w:rsidRDefault="00E836FB">
            <w:pPr>
              <w:rPr>
                <w:rFonts w:ascii="宋体"/>
              </w:rPr>
            </w:pPr>
          </w:p>
        </w:tc>
        <w:tc>
          <w:tcPr>
            <w:tcW w:w="0" w:type="auto"/>
            <w:shd w:val="clear" w:color="auto" w:fill="auto"/>
            <w:vAlign w:val="bottom"/>
          </w:tcPr>
          <w:p w14:paraId="5F2CBDCF" w14:textId="77777777" w:rsidR="00E836FB" w:rsidRDefault="00E836FB">
            <w:pPr>
              <w:rPr>
                <w:rFonts w:ascii="宋体"/>
              </w:rPr>
            </w:pPr>
          </w:p>
        </w:tc>
        <w:tc>
          <w:tcPr>
            <w:tcW w:w="0" w:type="auto"/>
            <w:shd w:val="clear" w:color="auto" w:fill="auto"/>
            <w:vAlign w:val="bottom"/>
          </w:tcPr>
          <w:p w14:paraId="5F2CBDD0" w14:textId="77777777" w:rsidR="00E836FB" w:rsidRDefault="00E836FB">
            <w:pPr>
              <w:rPr>
                <w:rFonts w:ascii="宋体"/>
              </w:rPr>
            </w:pPr>
          </w:p>
        </w:tc>
        <w:tc>
          <w:tcPr>
            <w:tcW w:w="0" w:type="auto"/>
            <w:shd w:val="clear" w:color="auto" w:fill="auto"/>
            <w:vAlign w:val="bottom"/>
          </w:tcPr>
          <w:p w14:paraId="5F2CBDD1" w14:textId="77777777" w:rsidR="00E836FB" w:rsidRDefault="00E836FB">
            <w:pPr>
              <w:rPr>
                <w:rFonts w:ascii="宋体"/>
              </w:rPr>
            </w:pPr>
          </w:p>
        </w:tc>
      </w:tr>
      <w:tr w:rsidR="00E836FB" w14:paraId="5F2CBDE3" w14:textId="77777777">
        <w:trPr>
          <w:trHeight w:val="300"/>
        </w:trPr>
        <w:tc>
          <w:tcPr>
            <w:tcW w:w="0" w:type="auto"/>
            <w:gridSpan w:val="3"/>
            <w:vMerge w:val="restart"/>
            <w:shd w:val="clear" w:color="auto" w:fill="auto"/>
            <w:tcMar>
              <w:top w:w="40" w:type="dxa"/>
              <w:left w:w="20" w:type="dxa"/>
              <w:bottom w:w="40" w:type="dxa"/>
              <w:right w:w="20" w:type="dxa"/>
            </w:tcMar>
            <w:vAlign w:val="bottom"/>
          </w:tcPr>
          <w:p w14:paraId="5F2CBDD3" w14:textId="77777777" w:rsidR="00E836FB" w:rsidRDefault="00994958">
            <w:pPr>
              <w:textAlignment w:val="bottom"/>
            </w:pPr>
            <w:r>
              <w:rPr>
                <w:rFonts w:ascii="Arial" w:eastAsia="宋体" w:hAnsi="Arial" w:cs="Arial"/>
                <w:b/>
                <w:bCs/>
                <w:color w:val="000000"/>
                <w:sz w:val="16"/>
                <w:szCs w:val="16"/>
              </w:rPr>
              <w:t xml:space="preserve">(Dollars in millions, </w:t>
            </w:r>
            <w:r>
              <w:rPr>
                <w:rFonts w:ascii="Arial" w:eastAsia="宋体" w:hAnsi="Arial" w:cs="Arial"/>
                <w:b/>
                <w:bCs/>
                <w:color w:val="000000"/>
                <w:sz w:val="16"/>
                <w:szCs w:val="16"/>
              </w:rPr>
              <w:t>except where otherwise noted)</w:t>
            </w:r>
          </w:p>
        </w:tc>
        <w:tc>
          <w:tcPr>
            <w:tcW w:w="0" w:type="auto"/>
            <w:shd w:val="clear" w:color="auto" w:fill="auto"/>
            <w:vAlign w:val="bottom"/>
          </w:tcPr>
          <w:p w14:paraId="5F2CBDD4" w14:textId="77777777" w:rsidR="00E836FB" w:rsidRDefault="00E836FB">
            <w:pPr>
              <w:rPr>
                <w:rFonts w:ascii="宋体"/>
                <w:vanish/>
              </w:rPr>
            </w:pPr>
          </w:p>
        </w:tc>
        <w:tc>
          <w:tcPr>
            <w:tcW w:w="0" w:type="auto"/>
            <w:shd w:val="clear" w:color="auto" w:fill="auto"/>
            <w:vAlign w:val="bottom"/>
          </w:tcPr>
          <w:p w14:paraId="5F2CBDD5" w14:textId="77777777" w:rsidR="00E836FB" w:rsidRDefault="00E836FB">
            <w:pPr>
              <w:rPr>
                <w:rFonts w:ascii="宋体"/>
                <w:vanish/>
              </w:rPr>
            </w:pPr>
          </w:p>
        </w:tc>
        <w:tc>
          <w:tcPr>
            <w:tcW w:w="0" w:type="auto"/>
            <w:shd w:val="clear" w:color="auto" w:fill="auto"/>
            <w:vAlign w:val="bottom"/>
          </w:tcPr>
          <w:p w14:paraId="5F2CBDD6" w14:textId="77777777" w:rsidR="00E836FB" w:rsidRDefault="00E836FB">
            <w:pPr>
              <w:rPr>
                <w:rFonts w:ascii="宋体"/>
                <w:vanish/>
              </w:rPr>
            </w:pPr>
          </w:p>
        </w:tc>
        <w:tc>
          <w:tcPr>
            <w:tcW w:w="0" w:type="auto"/>
            <w:shd w:val="clear" w:color="auto" w:fill="auto"/>
            <w:vAlign w:val="bottom"/>
          </w:tcPr>
          <w:p w14:paraId="5F2CBDD7" w14:textId="77777777" w:rsidR="00E836FB" w:rsidRDefault="00E836FB">
            <w:pPr>
              <w:rPr>
                <w:rFonts w:ascii="宋体"/>
                <w:vanish/>
              </w:rPr>
            </w:pPr>
          </w:p>
        </w:tc>
        <w:tc>
          <w:tcPr>
            <w:tcW w:w="0" w:type="auto"/>
            <w:gridSpan w:val="11"/>
            <w:shd w:val="clear" w:color="auto" w:fill="auto"/>
            <w:tcMar>
              <w:top w:w="40" w:type="dxa"/>
              <w:left w:w="20" w:type="dxa"/>
              <w:bottom w:w="40" w:type="dxa"/>
              <w:right w:w="20" w:type="dxa"/>
            </w:tcMar>
            <w:vAlign w:val="bottom"/>
          </w:tcPr>
          <w:p w14:paraId="5F2CBDD8" w14:textId="77777777" w:rsidR="00E836FB" w:rsidRDefault="00994958">
            <w:pPr>
              <w:jc w:val="center"/>
              <w:textAlignment w:val="bottom"/>
            </w:pPr>
            <w:r>
              <w:rPr>
                <w:rFonts w:ascii="Arial" w:eastAsia="宋体" w:hAnsi="Arial" w:cs="Arial"/>
                <w:b/>
                <w:bCs/>
                <w:color w:val="000000"/>
                <w:sz w:val="16"/>
                <w:szCs w:val="16"/>
              </w:rPr>
              <w:t>Years Ended December 31,</w:t>
            </w:r>
          </w:p>
        </w:tc>
        <w:tc>
          <w:tcPr>
            <w:tcW w:w="0" w:type="auto"/>
            <w:gridSpan w:val="3"/>
            <w:shd w:val="clear" w:color="auto" w:fill="auto"/>
            <w:tcMar>
              <w:top w:w="0" w:type="dxa"/>
              <w:left w:w="20" w:type="dxa"/>
              <w:bottom w:w="0" w:type="dxa"/>
              <w:right w:w="20" w:type="dxa"/>
            </w:tcMar>
            <w:vAlign w:val="bottom"/>
          </w:tcPr>
          <w:p w14:paraId="5F2CBDD9"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BDDA" w14:textId="77777777" w:rsidR="00E836FB" w:rsidRDefault="00994958">
            <w:pPr>
              <w:jc w:val="center"/>
              <w:textAlignment w:val="bottom"/>
            </w:pPr>
            <w:r>
              <w:rPr>
                <w:rFonts w:ascii="Arial" w:eastAsia="宋体" w:hAnsi="Arial" w:cs="Arial"/>
                <w:b/>
                <w:bCs/>
                <w:color w:val="000000"/>
                <w:sz w:val="16"/>
                <w:szCs w:val="16"/>
              </w:rPr>
              <w:t>% Change 2021 vs. 2020</w:t>
            </w:r>
          </w:p>
        </w:tc>
        <w:tc>
          <w:tcPr>
            <w:tcW w:w="0" w:type="auto"/>
            <w:gridSpan w:val="3"/>
            <w:vMerge w:val="restart"/>
            <w:shd w:val="clear" w:color="auto" w:fill="auto"/>
            <w:tcMar>
              <w:top w:w="0" w:type="dxa"/>
              <w:left w:w="20" w:type="dxa"/>
              <w:bottom w:w="0" w:type="dxa"/>
              <w:right w:w="20" w:type="dxa"/>
            </w:tcMar>
            <w:vAlign w:val="bottom"/>
          </w:tcPr>
          <w:p w14:paraId="5F2CBDDB"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BDDC" w14:textId="77777777" w:rsidR="00E836FB" w:rsidRDefault="00994958">
            <w:pPr>
              <w:jc w:val="center"/>
              <w:textAlignment w:val="bottom"/>
            </w:pPr>
            <w:r>
              <w:rPr>
                <w:rFonts w:ascii="Arial" w:eastAsia="宋体" w:hAnsi="Arial" w:cs="Arial"/>
                <w:b/>
                <w:bCs/>
                <w:color w:val="000000"/>
                <w:sz w:val="16"/>
                <w:szCs w:val="16"/>
              </w:rPr>
              <w:t>% Change 2020 vs. 2019</w:t>
            </w:r>
          </w:p>
        </w:tc>
        <w:tc>
          <w:tcPr>
            <w:tcW w:w="0" w:type="auto"/>
            <w:shd w:val="clear" w:color="auto" w:fill="auto"/>
            <w:vAlign w:val="bottom"/>
          </w:tcPr>
          <w:p w14:paraId="5F2CBDDD" w14:textId="77777777" w:rsidR="00E836FB" w:rsidRDefault="00E836FB">
            <w:pPr>
              <w:rPr>
                <w:rFonts w:ascii="宋体"/>
              </w:rPr>
            </w:pPr>
          </w:p>
        </w:tc>
        <w:tc>
          <w:tcPr>
            <w:tcW w:w="0" w:type="auto"/>
            <w:shd w:val="clear" w:color="auto" w:fill="auto"/>
            <w:vAlign w:val="bottom"/>
          </w:tcPr>
          <w:p w14:paraId="5F2CBDDE" w14:textId="77777777" w:rsidR="00E836FB" w:rsidRDefault="00E836FB">
            <w:pPr>
              <w:rPr>
                <w:rFonts w:ascii="宋体"/>
              </w:rPr>
            </w:pPr>
          </w:p>
        </w:tc>
        <w:tc>
          <w:tcPr>
            <w:tcW w:w="0" w:type="auto"/>
            <w:shd w:val="clear" w:color="auto" w:fill="auto"/>
            <w:vAlign w:val="bottom"/>
          </w:tcPr>
          <w:p w14:paraId="5F2CBDDF" w14:textId="77777777" w:rsidR="00E836FB" w:rsidRDefault="00E836FB">
            <w:pPr>
              <w:rPr>
                <w:rFonts w:ascii="宋体"/>
              </w:rPr>
            </w:pPr>
          </w:p>
        </w:tc>
        <w:tc>
          <w:tcPr>
            <w:tcW w:w="0" w:type="auto"/>
            <w:shd w:val="clear" w:color="auto" w:fill="auto"/>
            <w:vAlign w:val="bottom"/>
          </w:tcPr>
          <w:p w14:paraId="5F2CBDE0" w14:textId="77777777" w:rsidR="00E836FB" w:rsidRDefault="00E836FB">
            <w:pPr>
              <w:rPr>
                <w:rFonts w:ascii="宋体"/>
              </w:rPr>
            </w:pPr>
          </w:p>
        </w:tc>
        <w:tc>
          <w:tcPr>
            <w:tcW w:w="0" w:type="auto"/>
            <w:shd w:val="clear" w:color="auto" w:fill="auto"/>
            <w:vAlign w:val="bottom"/>
          </w:tcPr>
          <w:p w14:paraId="5F2CBDE1" w14:textId="77777777" w:rsidR="00E836FB" w:rsidRDefault="00E836FB">
            <w:pPr>
              <w:rPr>
                <w:rFonts w:ascii="宋体"/>
              </w:rPr>
            </w:pPr>
          </w:p>
        </w:tc>
        <w:tc>
          <w:tcPr>
            <w:tcW w:w="0" w:type="auto"/>
            <w:shd w:val="clear" w:color="auto" w:fill="auto"/>
            <w:vAlign w:val="bottom"/>
          </w:tcPr>
          <w:p w14:paraId="5F2CBDE2" w14:textId="77777777" w:rsidR="00E836FB" w:rsidRDefault="00E836FB">
            <w:pPr>
              <w:rPr>
                <w:rFonts w:ascii="宋体"/>
              </w:rPr>
            </w:pPr>
          </w:p>
        </w:tc>
      </w:tr>
      <w:tr w:rsidR="00E836FB" w14:paraId="5F2CBDF4" w14:textId="77777777">
        <w:trPr>
          <w:trHeight w:val="240"/>
        </w:trPr>
        <w:tc>
          <w:tcPr>
            <w:tcW w:w="0" w:type="auto"/>
            <w:gridSpan w:val="3"/>
            <w:vMerge/>
            <w:shd w:val="clear" w:color="auto" w:fill="auto"/>
            <w:tcMar>
              <w:top w:w="40" w:type="dxa"/>
              <w:left w:w="20" w:type="dxa"/>
              <w:bottom w:w="40" w:type="dxa"/>
              <w:right w:w="20" w:type="dxa"/>
            </w:tcMar>
            <w:vAlign w:val="bottom"/>
          </w:tcPr>
          <w:p w14:paraId="5F2CBDE4" w14:textId="77777777" w:rsidR="00E836FB" w:rsidRDefault="00E836FB">
            <w:pPr>
              <w:rPr>
                <w:rFonts w:ascii="宋体"/>
              </w:rPr>
            </w:pPr>
          </w:p>
        </w:tc>
        <w:tc>
          <w:tcPr>
            <w:tcW w:w="0" w:type="auto"/>
            <w:shd w:val="clear" w:color="auto" w:fill="auto"/>
            <w:vAlign w:val="bottom"/>
          </w:tcPr>
          <w:p w14:paraId="5F2CBDE5" w14:textId="77777777" w:rsidR="00E836FB" w:rsidRDefault="00E836FB">
            <w:pPr>
              <w:rPr>
                <w:rFonts w:ascii="宋体"/>
                <w:vanish/>
              </w:rPr>
            </w:pPr>
          </w:p>
        </w:tc>
        <w:tc>
          <w:tcPr>
            <w:tcW w:w="0" w:type="auto"/>
            <w:shd w:val="clear" w:color="auto" w:fill="auto"/>
            <w:vAlign w:val="bottom"/>
          </w:tcPr>
          <w:p w14:paraId="5F2CBDE6" w14:textId="77777777" w:rsidR="00E836FB" w:rsidRDefault="00E836FB">
            <w:pPr>
              <w:rPr>
                <w:rFonts w:ascii="宋体"/>
                <w:vanish/>
              </w:rPr>
            </w:pPr>
          </w:p>
        </w:tc>
        <w:tc>
          <w:tcPr>
            <w:tcW w:w="0" w:type="auto"/>
            <w:shd w:val="clear" w:color="auto" w:fill="auto"/>
            <w:vAlign w:val="bottom"/>
          </w:tcPr>
          <w:p w14:paraId="5F2CBDE7" w14:textId="77777777" w:rsidR="00E836FB" w:rsidRDefault="00E836FB">
            <w:pPr>
              <w:rPr>
                <w:rFonts w:ascii="宋体"/>
                <w:vanish/>
              </w:rPr>
            </w:pPr>
          </w:p>
        </w:tc>
        <w:tc>
          <w:tcPr>
            <w:tcW w:w="0" w:type="auto"/>
            <w:shd w:val="clear" w:color="auto" w:fill="auto"/>
            <w:vAlign w:val="bottom"/>
          </w:tcPr>
          <w:p w14:paraId="5F2CBDE8" w14:textId="77777777" w:rsidR="00E836FB" w:rsidRDefault="00E836FB">
            <w:pPr>
              <w:rPr>
                <w:rFonts w:ascii="宋体"/>
                <w:vanish/>
              </w:rPr>
            </w:pPr>
          </w:p>
        </w:tc>
        <w:tc>
          <w:tcPr>
            <w:tcW w:w="0" w:type="auto"/>
            <w:shd w:val="clear" w:color="auto" w:fill="auto"/>
            <w:vAlign w:val="bottom"/>
          </w:tcPr>
          <w:p w14:paraId="5F2CBDE9" w14:textId="77777777" w:rsidR="00E836FB" w:rsidRDefault="00E836FB">
            <w:pPr>
              <w:rPr>
                <w:rFonts w:ascii="宋体"/>
                <w:vanish/>
              </w:rPr>
            </w:pPr>
          </w:p>
        </w:tc>
        <w:tc>
          <w:tcPr>
            <w:tcW w:w="0" w:type="auto"/>
            <w:shd w:val="clear" w:color="auto" w:fill="auto"/>
            <w:vAlign w:val="bottom"/>
          </w:tcPr>
          <w:p w14:paraId="5F2CBDEA"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DEB"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DE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DED"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BDEE"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BDEF" w14:textId="77777777" w:rsidR="00E836FB" w:rsidRDefault="00E836F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F2CBDF0"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BDF1" w14:textId="77777777" w:rsidR="00E836FB" w:rsidRDefault="00E836FB">
            <w:pPr>
              <w:jc w:val="cente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BDF2" w14:textId="77777777" w:rsidR="00E836FB" w:rsidRDefault="00994958">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5F2CBDF3" w14:textId="77777777" w:rsidR="00E836FB" w:rsidRDefault="00E836FB">
            <w:pPr>
              <w:rPr>
                <w:rFonts w:ascii="宋体"/>
              </w:rPr>
            </w:pPr>
          </w:p>
        </w:tc>
      </w:tr>
      <w:tr w:rsidR="00E836FB" w14:paraId="5F2CBE0D" w14:textId="77777777">
        <w:tc>
          <w:tcPr>
            <w:tcW w:w="0" w:type="auto"/>
            <w:gridSpan w:val="3"/>
            <w:shd w:val="clear" w:color="auto" w:fill="CCEEFF"/>
            <w:tcMar>
              <w:top w:w="40" w:type="dxa"/>
              <w:left w:w="20" w:type="dxa"/>
              <w:bottom w:w="40" w:type="dxa"/>
              <w:right w:w="20" w:type="dxa"/>
            </w:tcMar>
            <w:vAlign w:val="bottom"/>
          </w:tcPr>
          <w:p w14:paraId="5F2CBDF5" w14:textId="77777777" w:rsidR="00E836FB" w:rsidRDefault="00994958">
            <w:pPr>
              <w:textAlignment w:val="bottom"/>
            </w:pPr>
            <w:r>
              <w:rPr>
                <w:rFonts w:ascii="Arial" w:eastAsia="宋体" w:hAnsi="Arial" w:cs="Arial"/>
                <w:color w:val="000000"/>
                <w:sz w:val="16"/>
                <w:szCs w:val="16"/>
              </w:rPr>
              <w:t>Management fees</w:t>
            </w:r>
            <w:r>
              <w:rPr>
                <w:rFonts w:ascii="Arial" w:eastAsia="宋体" w:hAnsi="Arial" w:cs="Arial"/>
                <w:color w:val="000000"/>
                <w:sz w:val="10"/>
                <w:szCs w:val="10"/>
              </w:rPr>
              <w:t>(1)</w:t>
            </w:r>
          </w:p>
        </w:tc>
        <w:tc>
          <w:tcPr>
            <w:tcW w:w="0" w:type="auto"/>
            <w:shd w:val="clear" w:color="auto" w:fill="auto"/>
            <w:vAlign w:val="bottom"/>
          </w:tcPr>
          <w:p w14:paraId="5F2CBDF6" w14:textId="77777777" w:rsidR="00E836FB" w:rsidRDefault="00E836FB">
            <w:pPr>
              <w:rPr>
                <w:rFonts w:ascii="宋体"/>
                <w:vanish/>
              </w:rPr>
            </w:pPr>
          </w:p>
        </w:tc>
        <w:tc>
          <w:tcPr>
            <w:tcW w:w="0" w:type="auto"/>
            <w:shd w:val="clear" w:color="auto" w:fill="auto"/>
            <w:vAlign w:val="bottom"/>
          </w:tcPr>
          <w:p w14:paraId="5F2CBDF7" w14:textId="77777777" w:rsidR="00E836FB" w:rsidRDefault="00E836FB">
            <w:pPr>
              <w:rPr>
                <w:rFonts w:ascii="宋体"/>
                <w:vanish/>
              </w:rPr>
            </w:pPr>
          </w:p>
        </w:tc>
        <w:tc>
          <w:tcPr>
            <w:tcW w:w="0" w:type="auto"/>
            <w:shd w:val="clear" w:color="auto" w:fill="auto"/>
            <w:vAlign w:val="bottom"/>
          </w:tcPr>
          <w:p w14:paraId="5F2CBDF8" w14:textId="77777777" w:rsidR="00E836FB" w:rsidRDefault="00E836FB">
            <w:pPr>
              <w:rPr>
                <w:rFonts w:ascii="宋体"/>
                <w:vanish/>
              </w:rPr>
            </w:pPr>
          </w:p>
        </w:tc>
        <w:tc>
          <w:tcPr>
            <w:tcW w:w="0" w:type="auto"/>
            <w:shd w:val="clear" w:color="auto" w:fill="auto"/>
            <w:vAlign w:val="bottom"/>
          </w:tcPr>
          <w:p w14:paraId="5F2CBDF9" w14:textId="77777777" w:rsidR="00E836FB" w:rsidRDefault="00E836FB">
            <w:pPr>
              <w:rPr>
                <w:rFonts w:ascii="宋体"/>
                <w:vanish/>
              </w:rPr>
            </w:pPr>
          </w:p>
        </w:tc>
        <w:tc>
          <w:tcPr>
            <w:tcW w:w="0" w:type="auto"/>
            <w:shd w:val="clear" w:color="auto" w:fill="auto"/>
            <w:vAlign w:val="bottom"/>
          </w:tcPr>
          <w:p w14:paraId="5F2CBDFA" w14:textId="77777777" w:rsidR="00E836FB" w:rsidRDefault="00E836FB">
            <w:pPr>
              <w:rPr>
                <w:rFonts w:ascii="宋体"/>
                <w:vanish/>
              </w:rPr>
            </w:pPr>
          </w:p>
        </w:tc>
        <w:tc>
          <w:tcPr>
            <w:tcW w:w="0" w:type="auto"/>
            <w:shd w:val="clear" w:color="auto" w:fill="auto"/>
            <w:vAlign w:val="bottom"/>
          </w:tcPr>
          <w:p w14:paraId="5F2CBDFB"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DFC"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DFD" w14:textId="77777777" w:rsidR="00E836FB" w:rsidRDefault="00994958">
            <w:pPr>
              <w:jc w:val="right"/>
              <w:textAlignment w:val="bottom"/>
            </w:pPr>
            <w:r>
              <w:rPr>
                <w:rFonts w:ascii="Arial" w:eastAsia="宋体" w:hAnsi="Arial" w:cs="Arial"/>
                <w:b/>
                <w:bCs/>
                <w:color w:val="000000"/>
                <w:sz w:val="16"/>
                <w:szCs w:val="16"/>
              </w:rPr>
              <w:t>2,053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D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DF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E00"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E01" w14:textId="77777777" w:rsidR="00E836FB" w:rsidRDefault="00994958">
            <w:pPr>
              <w:jc w:val="right"/>
              <w:textAlignment w:val="bottom"/>
            </w:pPr>
            <w:r>
              <w:rPr>
                <w:rFonts w:ascii="Arial" w:eastAsia="宋体" w:hAnsi="Arial" w:cs="Arial"/>
                <w:color w:val="000000"/>
                <w:sz w:val="16"/>
                <w:szCs w:val="16"/>
              </w:rPr>
              <w:t>1,880 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0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E04"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E05" w14:textId="77777777" w:rsidR="00E836FB" w:rsidRDefault="00994958">
            <w:pPr>
              <w:jc w:val="right"/>
              <w:textAlignment w:val="bottom"/>
            </w:pPr>
            <w:r>
              <w:rPr>
                <w:rFonts w:ascii="Arial" w:eastAsia="宋体" w:hAnsi="Arial" w:cs="Arial"/>
                <w:color w:val="000000"/>
                <w:sz w:val="16"/>
                <w:szCs w:val="16"/>
              </w:rPr>
              <w:t>1,824 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0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08" w14:textId="77777777" w:rsidR="00E836FB" w:rsidRDefault="00994958">
            <w:pPr>
              <w:jc w:val="right"/>
              <w:textAlignment w:val="bottom"/>
            </w:pPr>
            <w:r>
              <w:rPr>
                <w:rFonts w:ascii="Arial" w:eastAsia="宋体" w:hAnsi="Arial" w:cs="Arial"/>
                <w:color w:val="000000"/>
                <w:sz w:val="16"/>
                <w:szCs w:val="16"/>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09"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CCEEFF"/>
            <w:tcMar>
              <w:top w:w="0" w:type="dxa"/>
              <w:left w:w="20" w:type="dxa"/>
              <w:bottom w:w="0" w:type="dxa"/>
              <w:right w:w="20" w:type="dxa"/>
            </w:tcMar>
            <w:vAlign w:val="bottom"/>
          </w:tcPr>
          <w:p w14:paraId="5F2CBE0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0B" w14:textId="77777777" w:rsidR="00E836FB" w:rsidRDefault="00994958">
            <w:pPr>
              <w:jc w:val="right"/>
              <w:textAlignment w:val="bottom"/>
            </w:pPr>
            <w:r>
              <w:rPr>
                <w:rFonts w:ascii="Arial" w:eastAsia="宋体" w:hAnsi="Arial" w:cs="Arial"/>
                <w:color w:val="000000"/>
                <w:sz w:val="16"/>
                <w:szCs w:val="16"/>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0C" w14:textId="77777777" w:rsidR="00E836FB" w:rsidRDefault="00994958">
            <w:pPr>
              <w:jc w:val="right"/>
              <w:textAlignment w:val="bottom"/>
            </w:pPr>
            <w:r>
              <w:rPr>
                <w:rFonts w:ascii="Arial" w:eastAsia="宋体" w:hAnsi="Arial" w:cs="Arial"/>
                <w:color w:val="000000"/>
                <w:sz w:val="16"/>
                <w:szCs w:val="16"/>
              </w:rPr>
              <w:t>%</w:t>
            </w:r>
          </w:p>
        </w:tc>
      </w:tr>
      <w:tr w:rsidR="00E836FB" w14:paraId="5F2CBE23" w14:textId="77777777">
        <w:tc>
          <w:tcPr>
            <w:tcW w:w="0" w:type="auto"/>
            <w:gridSpan w:val="3"/>
            <w:shd w:val="clear" w:color="auto" w:fill="FFFFFF"/>
            <w:tcMar>
              <w:top w:w="40" w:type="dxa"/>
              <w:left w:w="20" w:type="dxa"/>
              <w:bottom w:w="40" w:type="dxa"/>
              <w:right w:w="20" w:type="dxa"/>
            </w:tcMar>
            <w:vAlign w:val="bottom"/>
          </w:tcPr>
          <w:p w14:paraId="5F2CBE0E" w14:textId="77777777" w:rsidR="00E836FB" w:rsidRDefault="00994958">
            <w:pPr>
              <w:textAlignment w:val="bottom"/>
            </w:pPr>
            <w:r>
              <w:rPr>
                <w:rFonts w:ascii="Arial" w:eastAsia="宋体" w:hAnsi="Arial" w:cs="Arial"/>
                <w:color w:val="000000"/>
                <w:sz w:val="16"/>
                <w:szCs w:val="16"/>
              </w:rPr>
              <w:t>Foreign exchange trading services</w:t>
            </w:r>
            <w:r>
              <w:rPr>
                <w:rFonts w:ascii="Arial" w:eastAsia="宋体" w:hAnsi="Arial" w:cs="Arial"/>
                <w:color w:val="000000"/>
                <w:sz w:val="10"/>
                <w:szCs w:val="10"/>
              </w:rPr>
              <w:t>(2)</w:t>
            </w:r>
          </w:p>
        </w:tc>
        <w:tc>
          <w:tcPr>
            <w:tcW w:w="0" w:type="auto"/>
            <w:shd w:val="clear" w:color="auto" w:fill="auto"/>
            <w:vAlign w:val="bottom"/>
          </w:tcPr>
          <w:p w14:paraId="5F2CBE0F" w14:textId="77777777" w:rsidR="00E836FB" w:rsidRDefault="00E836FB">
            <w:pPr>
              <w:rPr>
                <w:rFonts w:ascii="宋体"/>
                <w:vanish/>
              </w:rPr>
            </w:pPr>
          </w:p>
        </w:tc>
        <w:tc>
          <w:tcPr>
            <w:tcW w:w="0" w:type="auto"/>
            <w:shd w:val="clear" w:color="auto" w:fill="auto"/>
            <w:vAlign w:val="bottom"/>
          </w:tcPr>
          <w:p w14:paraId="5F2CBE10" w14:textId="77777777" w:rsidR="00E836FB" w:rsidRDefault="00E836FB">
            <w:pPr>
              <w:rPr>
                <w:rFonts w:ascii="宋体"/>
                <w:vanish/>
              </w:rPr>
            </w:pPr>
          </w:p>
        </w:tc>
        <w:tc>
          <w:tcPr>
            <w:tcW w:w="0" w:type="auto"/>
            <w:shd w:val="clear" w:color="auto" w:fill="auto"/>
            <w:vAlign w:val="bottom"/>
          </w:tcPr>
          <w:p w14:paraId="5F2CBE11" w14:textId="77777777" w:rsidR="00E836FB" w:rsidRDefault="00E836FB">
            <w:pPr>
              <w:rPr>
                <w:rFonts w:ascii="宋体"/>
                <w:vanish/>
              </w:rPr>
            </w:pPr>
          </w:p>
        </w:tc>
        <w:tc>
          <w:tcPr>
            <w:tcW w:w="0" w:type="auto"/>
            <w:shd w:val="clear" w:color="auto" w:fill="auto"/>
            <w:vAlign w:val="bottom"/>
          </w:tcPr>
          <w:p w14:paraId="5F2CBE12" w14:textId="77777777" w:rsidR="00E836FB" w:rsidRDefault="00E836FB">
            <w:pPr>
              <w:rPr>
                <w:rFonts w:ascii="宋体"/>
                <w:vanish/>
              </w:rPr>
            </w:pPr>
          </w:p>
        </w:tc>
        <w:tc>
          <w:tcPr>
            <w:tcW w:w="0" w:type="auto"/>
            <w:shd w:val="clear" w:color="auto" w:fill="auto"/>
            <w:vAlign w:val="bottom"/>
          </w:tcPr>
          <w:p w14:paraId="5F2CBE13" w14:textId="77777777" w:rsidR="00E836FB" w:rsidRDefault="00E836FB">
            <w:pPr>
              <w:rPr>
                <w:rFonts w:ascii="宋体"/>
                <w:vanish/>
              </w:rPr>
            </w:pPr>
          </w:p>
        </w:tc>
        <w:tc>
          <w:tcPr>
            <w:tcW w:w="0" w:type="auto"/>
            <w:shd w:val="clear" w:color="auto" w:fill="auto"/>
            <w:vAlign w:val="bottom"/>
          </w:tcPr>
          <w:p w14:paraId="5F2CBE14"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E15" w14:textId="77777777" w:rsidR="00E836FB" w:rsidRDefault="00994958">
            <w:pPr>
              <w:jc w:val="right"/>
              <w:textAlignment w:val="bottom"/>
            </w:pPr>
            <w:r>
              <w:rPr>
                <w:rFonts w:ascii="Arial" w:eastAsia="宋体" w:hAnsi="Arial" w:cs="Arial"/>
                <w:b/>
                <w:bCs/>
                <w:color w:val="000000"/>
                <w:sz w:val="16"/>
                <w:szCs w:val="16"/>
              </w:rPr>
              <w:t>62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BE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E17"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E18" w14:textId="77777777" w:rsidR="00E836FB" w:rsidRDefault="00994958">
            <w:pPr>
              <w:jc w:val="right"/>
              <w:textAlignment w:val="bottom"/>
            </w:pPr>
            <w:r>
              <w:rPr>
                <w:rFonts w:ascii="Arial" w:eastAsia="宋体" w:hAnsi="Arial" w:cs="Arial"/>
                <w:color w:val="000000"/>
                <w:sz w:val="16"/>
                <w:szCs w:val="16"/>
              </w:rPr>
              <w:t>64 </w:t>
            </w:r>
          </w:p>
        </w:tc>
        <w:tc>
          <w:tcPr>
            <w:tcW w:w="0" w:type="auto"/>
            <w:shd w:val="clear" w:color="auto" w:fill="auto"/>
            <w:tcMar>
              <w:top w:w="40" w:type="dxa"/>
              <w:left w:w="0" w:type="dxa"/>
              <w:bottom w:w="40" w:type="dxa"/>
              <w:right w:w="20" w:type="dxa"/>
            </w:tcMar>
            <w:vAlign w:val="bottom"/>
          </w:tcPr>
          <w:p w14:paraId="5F2CBE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E1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1B" w14:textId="77777777" w:rsidR="00E836FB" w:rsidRDefault="00994958">
            <w:pPr>
              <w:jc w:val="right"/>
              <w:textAlignment w:val="bottom"/>
            </w:pPr>
            <w:r>
              <w:rPr>
                <w:rFonts w:ascii="Arial" w:eastAsia="宋体" w:hAnsi="Arial" w:cs="Arial"/>
                <w:color w:val="000000"/>
                <w:sz w:val="16"/>
                <w:szCs w:val="16"/>
              </w:rPr>
              <w:t>84 </w:t>
            </w:r>
          </w:p>
        </w:tc>
        <w:tc>
          <w:tcPr>
            <w:tcW w:w="0" w:type="auto"/>
            <w:shd w:val="clear" w:color="auto" w:fill="FFFFFF"/>
            <w:tcMar>
              <w:top w:w="40" w:type="dxa"/>
              <w:left w:w="0" w:type="dxa"/>
              <w:bottom w:w="40" w:type="dxa"/>
              <w:right w:w="20" w:type="dxa"/>
            </w:tcMar>
            <w:vAlign w:val="bottom"/>
          </w:tcPr>
          <w:p w14:paraId="5F2CBE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E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1E" w14:textId="77777777" w:rsidR="00E836FB" w:rsidRDefault="00994958">
            <w:pPr>
              <w:jc w:val="right"/>
              <w:textAlignment w:val="bottom"/>
            </w:pPr>
            <w:r>
              <w:rPr>
                <w:rFonts w:ascii="Arial" w:eastAsia="宋体" w:hAnsi="Arial" w:cs="Arial"/>
                <w:color w:val="000000"/>
                <w:sz w:val="16"/>
                <w:szCs w:val="16"/>
              </w:rPr>
              <w:t>(3)</w:t>
            </w:r>
          </w:p>
        </w:tc>
        <w:tc>
          <w:tcPr>
            <w:tcW w:w="0" w:type="auto"/>
            <w:shd w:val="clear" w:color="auto" w:fill="FFFFFF"/>
            <w:tcMar>
              <w:top w:w="40" w:type="dxa"/>
              <w:left w:w="0" w:type="dxa"/>
              <w:bottom w:w="40" w:type="dxa"/>
              <w:right w:w="20" w:type="dxa"/>
            </w:tcMar>
            <w:vAlign w:val="bottom"/>
          </w:tcPr>
          <w:p w14:paraId="5F2CBE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E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21" w14:textId="77777777" w:rsidR="00E836FB" w:rsidRDefault="00994958">
            <w:pPr>
              <w:jc w:val="right"/>
              <w:textAlignment w:val="bottom"/>
            </w:pPr>
            <w:r>
              <w:rPr>
                <w:rFonts w:ascii="Arial" w:eastAsia="宋体" w:hAnsi="Arial" w:cs="Arial"/>
                <w:color w:val="000000"/>
                <w:sz w:val="16"/>
                <w:szCs w:val="16"/>
              </w:rPr>
              <w:t>(24)</w:t>
            </w:r>
          </w:p>
        </w:tc>
        <w:tc>
          <w:tcPr>
            <w:tcW w:w="0" w:type="auto"/>
            <w:shd w:val="clear" w:color="auto" w:fill="FFFFFF"/>
            <w:tcMar>
              <w:top w:w="40" w:type="dxa"/>
              <w:left w:w="0" w:type="dxa"/>
              <w:bottom w:w="40" w:type="dxa"/>
              <w:right w:w="20" w:type="dxa"/>
            </w:tcMar>
            <w:vAlign w:val="bottom"/>
          </w:tcPr>
          <w:p w14:paraId="5F2CBE22" w14:textId="77777777" w:rsidR="00E836FB" w:rsidRDefault="00E836FB">
            <w:pPr>
              <w:jc w:val="right"/>
              <w:rPr>
                <w:rFonts w:ascii="宋体"/>
              </w:rPr>
            </w:pPr>
          </w:p>
        </w:tc>
      </w:tr>
      <w:tr w:rsidR="00E836FB" w14:paraId="5F2CBE39" w14:textId="77777777">
        <w:tc>
          <w:tcPr>
            <w:tcW w:w="0" w:type="auto"/>
            <w:gridSpan w:val="3"/>
            <w:shd w:val="clear" w:color="auto" w:fill="CCEEFF"/>
            <w:tcMar>
              <w:top w:w="40" w:type="dxa"/>
              <w:left w:w="20" w:type="dxa"/>
              <w:bottom w:w="40" w:type="dxa"/>
              <w:right w:w="20" w:type="dxa"/>
            </w:tcMar>
            <w:vAlign w:val="bottom"/>
          </w:tcPr>
          <w:p w14:paraId="5F2CBE24" w14:textId="77777777" w:rsidR="00E836FB" w:rsidRDefault="00994958">
            <w:pPr>
              <w:textAlignment w:val="bottom"/>
            </w:pPr>
            <w:r>
              <w:rPr>
                <w:rFonts w:ascii="Arial" w:eastAsia="宋体" w:hAnsi="Arial" w:cs="Arial"/>
                <w:color w:val="000000"/>
                <w:sz w:val="16"/>
                <w:szCs w:val="16"/>
              </w:rPr>
              <w:t>Securities finance</w:t>
            </w:r>
          </w:p>
        </w:tc>
        <w:tc>
          <w:tcPr>
            <w:tcW w:w="0" w:type="auto"/>
            <w:shd w:val="clear" w:color="auto" w:fill="auto"/>
            <w:vAlign w:val="bottom"/>
          </w:tcPr>
          <w:p w14:paraId="5F2CBE25" w14:textId="77777777" w:rsidR="00E836FB" w:rsidRDefault="00E836FB">
            <w:pPr>
              <w:rPr>
                <w:rFonts w:ascii="宋体"/>
                <w:vanish/>
              </w:rPr>
            </w:pPr>
          </w:p>
        </w:tc>
        <w:tc>
          <w:tcPr>
            <w:tcW w:w="0" w:type="auto"/>
            <w:shd w:val="clear" w:color="auto" w:fill="auto"/>
            <w:vAlign w:val="bottom"/>
          </w:tcPr>
          <w:p w14:paraId="5F2CBE26" w14:textId="77777777" w:rsidR="00E836FB" w:rsidRDefault="00E836FB">
            <w:pPr>
              <w:rPr>
                <w:rFonts w:ascii="宋体"/>
                <w:vanish/>
              </w:rPr>
            </w:pPr>
          </w:p>
        </w:tc>
        <w:tc>
          <w:tcPr>
            <w:tcW w:w="0" w:type="auto"/>
            <w:shd w:val="clear" w:color="auto" w:fill="auto"/>
            <w:vAlign w:val="bottom"/>
          </w:tcPr>
          <w:p w14:paraId="5F2CBE27" w14:textId="77777777" w:rsidR="00E836FB" w:rsidRDefault="00E836FB">
            <w:pPr>
              <w:rPr>
                <w:rFonts w:ascii="宋体"/>
                <w:vanish/>
              </w:rPr>
            </w:pPr>
          </w:p>
        </w:tc>
        <w:tc>
          <w:tcPr>
            <w:tcW w:w="0" w:type="auto"/>
            <w:shd w:val="clear" w:color="auto" w:fill="auto"/>
            <w:vAlign w:val="bottom"/>
          </w:tcPr>
          <w:p w14:paraId="5F2CBE28" w14:textId="77777777" w:rsidR="00E836FB" w:rsidRDefault="00E836FB">
            <w:pPr>
              <w:rPr>
                <w:rFonts w:ascii="宋体"/>
                <w:vanish/>
              </w:rPr>
            </w:pPr>
          </w:p>
        </w:tc>
        <w:tc>
          <w:tcPr>
            <w:tcW w:w="0" w:type="auto"/>
            <w:shd w:val="clear" w:color="auto" w:fill="auto"/>
            <w:vAlign w:val="bottom"/>
          </w:tcPr>
          <w:p w14:paraId="5F2CBE29" w14:textId="77777777" w:rsidR="00E836FB" w:rsidRDefault="00E836FB">
            <w:pPr>
              <w:rPr>
                <w:rFonts w:ascii="宋体"/>
                <w:vanish/>
              </w:rPr>
            </w:pPr>
          </w:p>
        </w:tc>
        <w:tc>
          <w:tcPr>
            <w:tcW w:w="0" w:type="auto"/>
            <w:shd w:val="clear" w:color="auto" w:fill="auto"/>
            <w:vAlign w:val="bottom"/>
          </w:tcPr>
          <w:p w14:paraId="5F2CBE2A"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BE2B" w14:textId="77777777" w:rsidR="00E836FB" w:rsidRDefault="00994958">
            <w:pPr>
              <w:jc w:val="right"/>
              <w:textAlignment w:val="bottom"/>
            </w:pPr>
            <w:r>
              <w:rPr>
                <w:rFonts w:ascii="Arial" w:eastAsia="宋体" w:hAnsi="Arial" w:cs="Arial"/>
                <w:b/>
                <w:bCs/>
                <w:color w:val="000000"/>
                <w:sz w:val="16"/>
                <w:szCs w:val="16"/>
              </w:rPr>
              <w:t>14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BE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2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2E" w14:textId="77777777" w:rsidR="00E836FB" w:rsidRDefault="00994958">
            <w:pPr>
              <w:jc w:val="right"/>
              <w:textAlignment w:val="bottom"/>
            </w:pPr>
            <w:r>
              <w:rPr>
                <w:rFonts w:ascii="Arial" w:eastAsia="宋体" w:hAnsi="Arial" w:cs="Arial"/>
                <w:color w:val="000000"/>
                <w:sz w:val="16"/>
                <w:szCs w:val="16"/>
              </w:rPr>
              <w:t>14 </w:t>
            </w:r>
          </w:p>
        </w:tc>
        <w:tc>
          <w:tcPr>
            <w:tcW w:w="0" w:type="auto"/>
            <w:shd w:val="clear" w:color="auto" w:fill="CCEEFF"/>
            <w:tcMar>
              <w:top w:w="40" w:type="dxa"/>
              <w:left w:w="0" w:type="dxa"/>
              <w:bottom w:w="40" w:type="dxa"/>
              <w:right w:w="20" w:type="dxa"/>
            </w:tcMar>
            <w:vAlign w:val="bottom"/>
          </w:tcPr>
          <w:p w14:paraId="5F2CBE2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3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31" w14:textId="77777777" w:rsidR="00E836FB" w:rsidRDefault="00994958">
            <w:pPr>
              <w:jc w:val="right"/>
              <w:textAlignment w:val="bottom"/>
            </w:pPr>
            <w:r>
              <w:rPr>
                <w:rFonts w:ascii="Arial" w:eastAsia="宋体" w:hAnsi="Arial" w:cs="Arial"/>
                <w:color w:val="000000"/>
                <w:sz w:val="16"/>
                <w:szCs w:val="16"/>
              </w:rPr>
              <w:t>9 </w:t>
            </w:r>
          </w:p>
        </w:tc>
        <w:tc>
          <w:tcPr>
            <w:tcW w:w="0" w:type="auto"/>
            <w:shd w:val="clear" w:color="auto" w:fill="CCEEFF"/>
            <w:tcMar>
              <w:top w:w="40" w:type="dxa"/>
              <w:left w:w="0" w:type="dxa"/>
              <w:bottom w:w="40" w:type="dxa"/>
              <w:right w:w="20" w:type="dxa"/>
            </w:tcMar>
            <w:vAlign w:val="bottom"/>
          </w:tcPr>
          <w:p w14:paraId="5F2CBE3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3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34"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BE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3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37" w14:textId="77777777" w:rsidR="00E836FB" w:rsidRDefault="00994958">
            <w:pPr>
              <w:jc w:val="right"/>
              <w:textAlignment w:val="bottom"/>
            </w:pPr>
            <w:r>
              <w:rPr>
                <w:rFonts w:ascii="Arial" w:eastAsia="宋体" w:hAnsi="Arial" w:cs="Arial"/>
                <w:color w:val="000000"/>
                <w:sz w:val="16"/>
                <w:szCs w:val="16"/>
              </w:rPr>
              <w:t>56 </w:t>
            </w:r>
          </w:p>
        </w:tc>
        <w:tc>
          <w:tcPr>
            <w:tcW w:w="0" w:type="auto"/>
            <w:shd w:val="clear" w:color="auto" w:fill="CCEEFF"/>
            <w:tcMar>
              <w:top w:w="40" w:type="dxa"/>
              <w:left w:w="0" w:type="dxa"/>
              <w:bottom w:w="40" w:type="dxa"/>
              <w:right w:w="20" w:type="dxa"/>
            </w:tcMar>
            <w:vAlign w:val="bottom"/>
          </w:tcPr>
          <w:p w14:paraId="5F2CBE38" w14:textId="77777777" w:rsidR="00E836FB" w:rsidRDefault="00E836FB">
            <w:pPr>
              <w:jc w:val="right"/>
              <w:rPr>
                <w:rFonts w:ascii="宋体"/>
              </w:rPr>
            </w:pPr>
          </w:p>
        </w:tc>
      </w:tr>
      <w:tr w:rsidR="00E836FB" w14:paraId="5F2CBE4F" w14:textId="77777777">
        <w:tc>
          <w:tcPr>
            <w:tcW w:w="0" w:type="auto"/>
            <w:gridSpan w:val="3"/>
            <w:shd w:val="clear" w:color="auto" w:fill="auto"/>
            <w:tcMar>
              <w:top w:w="40" w:type="dxa"/>
              <w:left w:w="20" w:type="dxa"/>
              <w:bottom w:w="40" w:type="dxa"/>
              <w:right w:w="20" w:type="dxa"/>
            </w:tcMar>
            <w:vAlign w:val="bottom"/>
          </w:tcPr>
          <w:p w14:paraId="5F2CBE3A" w14:textId="77777777" w:rsidR="00E836FB" w:rsidRDefault="00994958">
            <w:pPr>
              <w:textAlignment w:val="bottom"/>
            </w:pPr>
            <w:r>
              <w:rPr>
                <w:rFonts w:ascii="Arial" w:eastAsia="宋体" w:hAnsi="Arial" w:cs="Arial"/>
                <w:color w:val="000000"/>
                <w:sz w:val="16"/>
                <w:szCs w:val="16"/>
              </w:rPr>
              <w:t>Software and processing fees</w:t>
            </w:r>
            <w:r>
              <w:rPr>
                <w:rFonts w:ascii="Arial" w:eastAsia="宋体" w:hAnsi="Arial" w:cs="Arial"/>
                <w:color w:val="000000"/>
                <w:sz w:val="10"/>
                <w:szCs w:val="10"/>
              </w:rPr>
              <w:t>(3)</w:t>
            </w:r>
          </w:p>
        </w:tc>
        <w:tc>
          <w:tcPr>
            <w:tcW w:w="0" w:type="auto"/>
            <w:shd w:val="clear" w:color="auto" w:fill="auto"/>
            <w:vAlign w:val="bottom"/>
          </w:tcPr>
          <w:p w14:paraId="5F2CBE3B" w14:textId="77777777" w:rsidR="00E836FB" w:rsidRDefault="00E836FB">
            <w:pPr>
              <w:rPr>
                <w:rFonts w:ascii="宋体"/>
                <w:vanish/>
              </w:rPr>
            </w:pPr>
          </w:p>
        </w:tc>
        <w:tc>
          <w:tcPr>
            <w:tcW w:w="0" w:type="auto"/>
            <w:shd w:val="clear" w:color="auto" w:fill="auto"/>
            <w:vAlign w:val="bottom"/>
          </w:tcPr>
          <w:p w14:paraId="5F2CBE3C" w14:textId="77777777" w:rsidR="00E836FB" w:rsidRDefault="00E836FB">
            <w:pPr>
              <w:rPr>
                <w:rFonts w:ascii="宋体"/>
                <w:vanish/>
              </w:rPr>
            </w:pPr>
          </w:p>
        </w:tc>
        <w:tc>
          <w:tcPr>
            <w:tcW w:w="0" w:type="auto"/>
            <w:shd w:val="clear" w:color="auto" w:fill="auto"/>
            <w:vAlign w:val="bottom"/>
          </w:tcPr>
          <w:p w14:paraId="5F2CBE3D" w14:textId="77777777" w:rsidR="00E836FB" w:rsidRDefault="00E836FB">
            <w:pPr>
              <w:rPr>
                <w:rFonts w:ascii="宋体"/>
                <w:vanish/>
              </w:rPr>
            </w:pPr>
          </w:p>
        </w:tc>
        <w:tc>
          <w:tcPr>
            <w:tcW w:w="0" w:type="auto"/>
            <w:shd w:val="clear" w:color="auto" w:fill="auto"/>
            <w:vAlign w:val="bottom"/>
          </w:tcPr>
          <w:p w14:paraId="5F2CBE3E" w14:textId="77777777" w:rsidR="00E836FB" w:rsidRDefault="00E836FB">
            <w:pPr>
              <w:rPr>
                <w:rFonts w:ascii="宋体"/>
                <w:vanish/>
              </w:rPr>
            </w:pPr>
          </w:p>
        </w:tc>
        <w:tc>
          <w:tcPr>
            <w:tcW w:w="0" w:type="auto"/>
            <w:shd w:val="clear" w:color="auto" w:fill="auto"/>
            <w:vAlign w:val="bottom"/>
          </w:tcPr>
          <w:p w14:paraId="5F2CBE3F" w14:textId="77777777" w:rsidR="00E836FB" w:rsidRDefault="00E836FB">
            <w:pPr>
              <w:rPr>
                <w:rFonts w:ascii="宋体"/>
                <w:vanish/>
              </w:rPr>
            </w:pPr>
          </w:p>
        </w:tc>
        <w:tc>
          <w:tcPr>
            <w:tcW w:w="0" w:type="auto"/>
            <w:shd w:val="clear" w:color="auto" w:fill="auto"/>
            <w:vAlign w:val="bottom"/>
          </w:tcPr>
          <w:p w14:paraId="5F2CBE40"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E41" w14:textId="77777777" w:rsidR="00E836FB" w:rsidRDefault="00994958">
            <w:pPr>
              <w:jc w:val="right"/>
              <w:textAlignment w:val="bottom"/>
            </w:pPr>
            <w:r>
              <w:rPr>
                <w:rFonts w:ascii="Arial" w:eastAsia="宋体" w:hAnsi="Arial" w:cs="Arial"/>
                <w:b/>
                <w:bCs/>
                <w:color w:val="000000"/>
                <w:sz w:val="16"/>
                <w:szCs w:val="16"/>
              </w:rPr>
              <w:t>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BE42"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43"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E44" w14:textId="77777777" w:rsidR="00E836FB" w:rsidRDefault="00994958">
            <w:pPr>
              <w:jc w:val="right"/>
              <w:textAlignment w:val="bottom"/>
            </w:pPr>
            <w:r>
              <w:rPr>
                <w:rFonts w:ascii="Arial" w:eastAsia="宋体" w:hAnsi="Arial" w:cs="Arial"/>
                <w:color w:val="000000"/>
                <w:sz w:val="16"/>
                <w:szCs w:val="16"/>
              </w:rPr>
              <w:t>27 </w:t>
            </w:r>
          </w:p>
        </w:tc>
        <w:tc>
          <w:tcPr>
            <w:tcW w:w="0" w:type="auto"/>
            <w:shd w:val="clear" w:color="auto" w:fill="auto"/>
            <w:tcMar>
              <w:top w:w="40" w:type="dxa"/>
              <w:left w:w="0" w:type="dxa"/>
              <w:bottom w:w="40" w:type="dxa"/>
              <w:right w:w="20" w:type="dxa"/>
            </w:tcMar>
            <w:vAlign w:val="bottom"/>
          </w:tcPr>
          <w:p w14:paraId="5F2CBE45"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46"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E47" w14:textId="77777777" w:rsidR="00E836FB" w:rsidRDefault="00994958">
            <w:pPr>
              <w:jc w:val="right"/>
              <w:textAlignment w:val="bottom"/>
            </w:pPr>
            <w:r>
              <w:rPr>
                <w:rFonts w:ascii="Arial" w:eastAsia="宋体" w:hAnsi="Arial" w:cs="Arial"/>
                <w:color w:val="000000"/>
                <w:sz w:val="16"/>
                <w:szCs w:val="16"/>
              </w:rPr>
              <w:t>29 </w:t>
            </w:r>
          </w:p>
        </w:tc>
        <w:tc>
          <w:tcPr>
            <w:tcW w:w="0" w:type="auto"/>
            <w:shd w:val="clear" w:color="auto" w:fill="auto"/>
            <w:tcMar>
              <w:top w:w="40" w:type="dxa"/>
              <w:left w:w="0" w:type="dxa"/>
              <w:bottom w:w="40" w:type="dxa"/>
              <w:right w:w="20" w:type="dxa"/>
            </w:tcMar>
            <w:vAlign w:val="bottom"/>
          </w:tcPr>
          <w:p w14:paraId="5F2CBE48"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4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4A" w14:textId="77777777" w:rsidR="00E836FB" w:rsidRDefault="00994958">
            <w:pPr>
              <w:jc w:val="right"/>
              <w:textAlignment w:val="bottom"/>
            </w:pPr>
            <w:r>
              <w:rPr>
                <w:rFonts w:ascii="Arial" w:eastAsia="宋体" w:hAnsi="Arial" w:cs="Arial"/>
                <w:color w:val="000000"/>
                <w:sz w:val="16"/>
                <w:szCs w:val="16"/>
              </w:rPr>
              <w:t>(85)</w:t>
            </w:r>
          </w:p>
        </w:tc>
        <w:tc>
          <w:tcPr>
            <w:tcW w:w="0" w:type="auto"/>
            <w:shd w:val="clear" w:color="auto" w:fill="FFFFFF"/>
            <w:tcMar>
              <w:top w:w="40" w:type="dxa"/>
              <w:left w:w="0" w:type="dxa"/>
              <w:bottom w:w="40" w:type="dxa"/>
              <w:right w:w="20" w:type="dxa"/>
            </w:tcMar>
            <w:vAlign w:val="bottom"/>
          </w:tcPr>
          <w:p w14:paraId="5F2CBE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E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4D" w14:textId="77777777" w:rsidR="00E836FB" w:rsidRDefault="00994958">
            <w:pPr>
              <w:jc w:val="right"/>
              <w:textAlignment w:val="bottom"/>
            </w:pPr>
            <w:r>
              <w:rPr>
                <w:rFonts w:ascii="Arial" w:eastAsia="宋体" w:hAnsi="Arial" w:cs="Arial"/>
                <w:color w:val="000000"/>
                <w:sz w:val="16"/>
                <w:szCs w:val="16"/>
              </w:rPr>
              <w:t>(7)</w:t>
            </w:r>
          </w:p>
        </w:tc>
        <w:tc>
          <w:tcPr>
            <w:tcW w:w="0" w:type="auto"/>
            <w:shd w:val="clear" w:color="auto" w:fill="FFFFFF"/>
            <w:tcMar>
              <w:top w:w="40" w:type="dxa"/>
              <w:left w:w="0" w:type="dxa"/>
              <w:bottom w:w="40" w:type="dxa"/>
              <w:right w:w="20" w:type="dxa"/>
            </w:tcMar>
            <w:vAlign w:val="bottom"/>
          </w:tcPr>
          <w:p w14:paraId="5F2CBE4E" w14:textId="77777777" w:rsidR="00E836FB" w:rsidRDefault="00E836FB">
            <w:pPr>
              <w:jc w:val="right"/>
              <w:rPr>
                <w:rFonts w:ascii="宋体"/>
              </w:rPr>
            </w:pPr>
          </w:p>
        </w:tc>
      </w:tr>
      <w:tr w:rsidR="00E836FB" w14:paraId="5F2CBE65" w14:textId="77777777">
        <w:tc>
          <w:tcPr>
            <w:tcW w:w="0" w:type="auto"/>
            <w:gridSpan w:val="3"/>
            <w:shd w:val="clear" w:color="auto" w:fill="CCEEFF"/>
            <w:tcMar>
              <w:top w:w="40" w:type="dxa"/>
              <w:left w:w="20" w:type="dxa"/>
              <w:bottom w:w="40" w:type="dxa"/>
              <w:right w:w="20" w:type="dxa"/>
            </w:tcMar>
            <w:vAlign w:val="bottom"/>
          </w:tcPr>
          <w:p w14:paraId="5F2CBE50" w14:textId="77777777" w:rsidR="00E836FB" w:rsidRDefault="00994958">
            <w:pPr>
              <w:textAlignment w:val="bottom"/>
            </w:pPr>
            <w:r>
              <w:rPr>
                <w:rFonts w:ascii="Arial" w:eastAsia="宋体" w:hAnsi="Arial" w:cs="Arial"/>
                <w:color w:val="000000"/>
                <w:sz w:val="16"/>
                <w:szCs w:val="16"/>
              </w:rPr>
              <w:t>Total fee revenue</w:t>
            </w:r>
          </w:p>
        </w:tc>
        <w:tc>
          <w:tcPr>
            <w:tcW w:w="0" w:type="auto"/>
            <w:shd w:val="clear" w:color="auto" w:fill="auto"/>
            <w:vAlign w:val="bottom"/>
          </w:tcPr>
          <w:p w14:paraId="5F2CBE51" w14:textId="77777777" w:rsidR="00E836FB" w:rsidRDefault="00E836FB">
            <w:pPr>
              <w:rPr>
                <w:rFonts w:ascii="宋体"/>
                <w:vanish/>
              </w:rPr>
            </w:pPr>
          </w:p>
        </w:tc>
        <w:tc>
          <w:tcPr>
            <w:tcW w:w="0" w:type="auto"/>
            <w:shd w:val="clear" w:color="auto" w:fill="auto"/>
            <w:vAlign w:val="bottom"/>
          </w:tcPr>
          <w:p w14:paraId="5F2CBE52" w14:textId="77777777" w:rsidR="00E836FB" w:rsidRDefault="00E836FB">
            <w:pPr>
              <w:rPr>
                <w:rFonts w:ascii="宋体"/>
                <w:vanish/>
              </w:rPr>
            </w:pPr>
          </w:p>
        </w:tc>
        <w:tc>
          <w:tcPr>
            <w:tcW w:w="0" w:type="auto"/>
            <w:shd w:val="clear" w:color="auto" w:fill="auto"/>
            <w:vAlign w:val="bottom"/>
          </w:tcPr>
          <w:p w14:paraId="5F2CBE53" w14:textId="77777777" w:rsidR="00E836FB" w:rsidRDefault="00E836FB">
            <w:pPr>
              <w:rPr>
                <w:rFonts w:ascii="宋体"/>
                <w:vanish/>
              </w:rPr>
            </w:pPr>
          </w:p>
        </w:tc>
        <w:tc>
          <w:tcPr>
            <w:tcW w:w="0" w:type="auto"/>
            <w:shd w:val="clear" w:color="auto" w:fill="auto"/>
            <w:vAlign w:val="bottom"/>
          </w:tcPr>
          <w:p w14:paraId="5F2CBE54" w14:textId="77777777" w:rsidR="00E836FB" w:rsidRDefault="00E836FB">
            <w:pPr>
              <w:rPr>
                <w:rFonts w:ascii="宋体"/>
                <w:vanish/>
              </w:rPr>
            </w:pPr>
          </w:p>
        </w:tc>
        <w:tc>
          <w:tcPr>
            <w:tcW w:w="0" w:type="auto"/>
            <w:shd w:val="clear" w:color="auto" w:fill="auto"/>
            <w:vAlign w:val="bottom"/>
          </w:tcPr>
          <w:p w14:paraId="5F2CBE55" w14:textId="77777777" w:rsidR="00E836FB" w:rsidRDefault="00E836FB">
            <w:pPr>
              <w:rPr>
                <w:rFonts w:ascii="宋体"/>
                <w:vanish/>
              </w:rPr>
            </w:pPr>
          </w:p>
        </w:tc>
        <w:tc>
          <w:tcPr>
            <w:tcW w:w="0" w:type="auto"/>
            <w:shd w:val="clear" w:color="auto" w:fill="auto"/>
            <w:vAlign w:val="bottom"/>
          </w:tcPr>
          <w:p w14:paraId="5F2CBE56"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57" w14:textId="77777777" w:rsidR="00E836FB" w:rsidRDefault="00994958">
            <w:pPr>
              <w:jc w:val="right"/>
              <w:textAlignment w:val="bottom"/>
            </w:pPr>
            <w:r>
              <w:rPr>
                <w:rFonts w:ascii="Arial" w:eastAsia="宋体" w:hAnsi="Arial" w:cs="Arial"/>
                <w:b/>
                <w:bCs/>
                <w:color w:val="000000"/>
                <w:sz w:val="16"/>
                <w:szCs w:val="16"/>
              </w:rPr>
              <w:t>2,133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5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5A" w14:textId="77777777" w:rsidR="00E836FB" w:rsidRDefault="00994958">
            <w:pPr>
              <w:jc w:val="right"/>
              <w:textAlignment w:val="bottom"/>
            </w:pPr>
            <w:r>
              <w:rPr>
                <w:rFonts w:ascii="Arial" w:eastAsia="宋体" w:hAnsi="Arial" w:cs="Arial"/>
                <w:color w:val="000000"/>
                <w:sz w:val="16"/>
                <w:szCs w:val="16"/>
              </w:rPr>
              <w:t>1,985 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5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5D" w14:textId="77777777" w:rsidR="00E836FB" w:rsidRDefault="00994958">
            <w:pPr>
              <w:jc w:val="right"/>
              <w:textAlignment w:val="bottom"/>
            </w:pPr>
            <w:r>
              <w:rPr>
                <w:rFonts w:ascii="Arial" w:eastAsia="宋体" w:hAnsi="Arial" w:cs="Arial"/>
                <w:color w:val="000000"/>
                <w:sz w:val="16"/>
                <w:szCs w:val="16"/>
              </w:rPr>
              <w:t>1,946 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60" w14:textId="77777777" w:rsidR="00E836FB" w:rsidRDefault="00994958">
            <w:pPr>
              <w:jc w:val="right"/>
              <w:textAlignment w:val="bottom"/>
            </w:pPr>
            <w:r>
              <w:rPr>
                <w:rFonts w:ascii="Arial" w:eastAsia="宋体" w:hAnsi="Arial" w:cs="Arial"/>
                <w:color w:val="000000"/>
                <w:sz w:val="16"/>
                <w:szCs w:val="16"/>
              </w:rPr>
              <w:t>7 </w:t>
            </w:r>
          </w:p>
        </w:tc>
        <w:tc>
          <w:tcPr>
            <w:tcW w:w="0" w:type="auto"/>
            <w:shd w:val="clear" w:color="auto" w:fill="CCEEFF"/>
            <w:tcMar>
              <w:top w:w="40" w:type="dxa"/>
              <w:left w:w="0" w:type="dxa"/>
              <w:bottom w:w="40" w:type="dxa"/>
              <w:right w:w="20" w:type="dxa"/>
            </w:tcMar>
            <w:vAlign w:val="bottom"/>
          </w:tcPr>
          <w:p w14:paraId="5F2CBE6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6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63" w14:textId="77777777" w:rsidR="00E836FB" w:rsidRDefault="00994958">
            <w:pPr>
              <w:jc w:val="right"/>
              <w:textAlignment w:val="bottom"/>
            </w:pPr>
            <w:r>
              <w:rPr>
                <w:rFonts w:ascii="Arial" w:eastAsia="宋体" w:hAnsi="Arial" w:cs="Arial"/>
                <w:color w:val="000000"/>
                <w:sz w:val="16"/>
                <w:szCs w:val="16"/>
              </w:rPr>
              <w:t>2 </w:t>
            </w:r>
          </w:p>
        </w:tc>
        <w:tc>
          <w:tcPr>
            <w:tcW w:w="0" w:type="auto"/>
            <w:shd w:val="clear" w:color="auto" w:fill="CCEEFF"/>
            <w:tcMar>
              <w:top w:w="40" w:type="dxa"/>
              <w:left w:w="0" w:type="dxa"/>
              <w:bottom w:w="40" w:type="dxa"/>
              <w:right w:w="20" w:type="dxa"/>
            </w:tcMar>
            <w:vAlign w:val="bottom"/>
          </w:tcPr>
          <w:p w14:paraId="5F2CBE64" w14:textId="77777777" w:rsidR="00E836FB" w:rsidRDefault="00E836FB">
            <w:pPr>
              <w:jc w:val="right"/>
              <w:rPr>
                <w:rFonts w:ascii="宋体"/>
              </w:rPr>
            </w:pPr>
          </w:p>
        </w:tc>
      </w:tr>
      <w:tr w:rsidR="00E836FB" w14:paraId="5F2CBE7B" w14:textId="77777777">
        <w:tc>
          <w:tcPr>
            <w:tcW w:w="0" w:type="auto"/>
            <w:gridSpan w:val="3"/>
            <w:shd w:val="clear" w:color="auto" w:fill="auto"/>
            <w:tcMar>
              <w:top w:w="40" w:type="dxa"/>
              <w:left w:w="20" w:type="dxa"/>
              <w:bottom w:w="40" w:type="dxa"/>
              <w:right w:w="20" w:type="dxa"/>
            </w:tcMar>
            <w:vAlign w:val="bottom"/>
          </w:tcPr>
          <w:p w14:paraId="5F2CBE66" w14:textId="77777777" w:rsidR="00E836FB" w:rsidRDefault="00994958">
            <w:pPr>
              <w:textAlignment w:val="bottom"/>
            </w:pPr>
            <w:r>
              <w:rPr>
                <w:rFonts w:ascii="Arial" w:eastAsia="宋体" w:hAnsi="Arial" w:cs="Arial"/>
                <w:color w:val="000000"/>
                <w:sz w:val="16"/>
                <w:szCs w:val="16"/>
              </w:rPr>
              <w:t>Net interest income</w:t>
            </w:r>
          </w:p>
        </w:tc>
        <w:tc>
          <w:tcPr>
            <w:tcW w:w="0" w:type="auto"/>
            <w:shd w:val="clear" w:color="auto" w:fill="auto"/>
            <w:vAlign w:val="bottom"/>
          </w:tcPr>
          <w:p w14:paraId="5F2CBE67" w14:textId="77777777" w:rsidR="00E836FB" w:rsidRDefault="00E836FB">
            <w:pPr>
              <w:rPr>
                <w:rFonts w:ascii="宋体"/>
                <w:vanish/>
              </w:rPr>
            </w:pPr>
          </w:p>
        </w:tc>
        <w:tc>
          <w:tcPr>
            <w:tcW w:w="0" w:type="auto"/>
            <w:shd w:val="clear" w:color="auto" w:fill="auto"/>
            <w:vAlign w:val="bottom"/>
          </w:tcPr>
          <w:p w14:paraId="5F2CBE68" w14:textId="77777777" w:rsidR="00E836FB" w:rsidRDefault="00E836FB">
            <w:pPr>
              <w:rPr>
                <w:rFonts w:ascii="宋体"/>
                <w:vanish/>
              </w:rPr>
            </w:pPr>
          </w:p>
        </w:tc>
        <w:tc>
          <w:tcPr>
            <w:tcW w:w="0" w:type="auto"/>
            <w:shd w:val="clear" w:color="auto" w:fill="auto"/>
            <w:vAlign w:val="bottom"/>
          </w:tcPr>
          <w:p w14:paraId="5F2CBE69" w14:textId="77777777" w:rsidR="00E836FB" w:rsidRDefault="00E836FB">
            <w:pPr>
              <w:rPr>
                <w:rFonts w:ascii="宋体"/>
                <w:vanish/>
              </w:rPr>
            </w:pPr>
          </w:p>
        </w:tc>
        <w:tc>
          <w:tcPr>
            <w:tcW w:w="0" w:type="auto"/>
            <w:shd w:val="clear" w:color="auto" w:fill="auto"/>
            <w:vAlign w:val="bottom"/>
          </w:tcPr>
          <w:p w14:paraId="5F2CBE6A" w14:textId="77777777" w:rsidR="00E836FB" w:rsidRDefault="00E836FB">
            <w:pPr>
              <w:rPr>
                <w:rFonts w:ascii="宋体"/>
                <w:vanish/>
              </w:rPr>
            </w:pPr>
          </w:p>
        </w:tc>
        <w:tc>
          <w:tcPr>
            <w:tcW w:w="0" w:type="auto"/>
            <w:shd w:val="clear" w:color="auto" w:fill="auto"/>
            <w:vAlign w:val="bottom"/>
          </w:tcPr>
          <w:p w14:paraId="5F2CBE6B" w14:textId="77777777" w:rsidR="00E836FB" w:rsidRDefault="00E836FB">
            <w:pPr>
              <w:rPr>
                <w:rFonts w:ascii="宋体"/>
                <w:vanish/>
              </w:rPr>
            </w:pPr>
          </w:p>
        </w:tc>
        <w:tc>
          <w:tcPr>
            <w:tcW w:w="0" w:type="auto"/>
            <w:shd w:val="clear" w:color="auto" w:fill="auto"/>
            <w:vAlign w:val="bottom"/>
          </w:tcPr>
          <w:p w14:paraId="5F2CBE6C"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E6D" w14:textId="77777777" w:rsidR="00E836FB" w:rsidRDefault="00994958">
            <w:pPr>
              <w:jc w:val="right"/>
              <w:textAlignment w:val="bottom"/>
            </w:pPr>
            <w:r>
              <w:rPr>
                <w:rFonts w:ascii="Arial" w:eastAsia="宋体" w:hAnsi="Arial" w:cs="Arial"/>
                <w:b/>
                <w:bCs/>
                <w:color w:val="000000"/>
                <w:sz w:val="16"/>
                <w:szCs w:val="16"/>
              </w:rPr>
              <w:t>(14)</w:t>
            </w:r>
          </w:p>
        </w:tc>
        <w:tc>
          <w:tcPr>
            <w:tcW w:w="0" w:type="auto"/>
            <w:shd w:val="clear" w:color="auto" w:fill="FFFFFF"/>
            <w:tcMar>
              <w:top w:w="40" w:type="dxa"/>
              <w:left w:w="0" w:type="dxa"/>
              <w:bottom w:w="40" w:type="dxa"/>
              <w:right w:w="20" w:type="dxa"/>
            </w:tcMar>
            <w:vAlign w:val="bottom"/>
          </w:tcPr>
          <w:p w14:paraId="5F2CBE6E"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6F"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E70" w14:textId="77777777" w:rsidR="00E836FB" w:rsidRDefault="00994958">
            <w:pPr>
              <w:jc w:val="right"/>
              <w:textAlignment w:val="bottom"/>
            </w:pPr>
            <w:r>
              <w:rPr>
                <w:rFonts w:ascii="Arial" w:eastAsia="宋体" w:hAnsi="Arial" w:cs="Arial"/>
                <w:color w:val="000000"/>
                <w:sz w:val="16"/>
                <w:szCs w:val="16"/>
              </w:rPr>
              <w:t>(11)</w:t>
            </w:r>
          </w:p>
        </w:tc>
        <w:tc>
          <w:tcPr>
            <w:tcW w:w="0" w:type="auto"/>
            <w:shd w:val="clear" w:color="auto" w:fill="auto"/>
            <w:tcMar>
              <w:top w:w="40" w:type="dxa"/>
              <w:left w:w="0" w:type="dxa"/>
              <w:bottom w:w="40" w:type="dxa"/>
              <w:right w:w="20" w:type="dxa"/>
            </w:tcMar>
            <w:vAlign w:val="bottom"/>
          </w:tcPr>
          <w:p w14:paraId="5F2CBE71"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72"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E73" w14:textId="77777777" w:rsidR="00E836FB" w:rsidRDefault="00994958">
            <w:pPr>
              <w:jc w:val="right"/>
              <w:textAlignment w:val="bottom"/>
            </w:pPr>
            <w:r>
              <w:rPr>
                <w:rFonts w:ascii="Arial" w:eastAsia="宋体" w:hAnsi="Arial" w:cs="Arial"/>
                <w:color w:val="000000"/>
                <w:sz w:val="16"/>
                <w:szCs w:val="16"/>
              </w:rPr>
              <w:t>(24)</w:t>
            </w:r>
          </w:p>
        </w:tc>
        <w:tc>
          <w:tcPr>
            <w:tcW w:w="0" w:type="auto"/>
            <w:shd w:val="clear" w:color="auto" w:fill="auto"/>
            <w:tcMar>
              <w:top w:w="40" w:type="dxa"/>
              <w:left w:w="0" w:type="dxa"/>
              <w:bottom w:w="40" w:type="dxa"/>
              <w:right w:w="20" w:type="dxa"/>
            </w:tcMar>
            <w:vAlign w:val="bottom"/>
          </w:tcPr>
          <w:p w14:paraId="5F2CBE74"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7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76" w14:textId="77777777" w:rsidR="00E836FB" w:rsidRDefault="00994958">
            <w:pPr>
              <w:jc w:val="right"/>
              <w:textAlignment w:val="bottom"/>
            </w:pPr>
            <w:r>
              <w:rPr>
                <w:rFonts w:ascii="Arial" w:eastAsia="宋体" w:hAnsi="Arial" w:cs="Arial"/>
                <w:color w:val="000000"/>
                <w:sz w:val="16"/>
                <w:szCs w:val="16"/>
              </w:rPr>
              <w:t>27 </w:t>
            </w:r>
          </w:p>
        </w:tc>
        <w:tc>
          <w:tcPr>
            <w:tcW w:w="0" w:type="auto"/>
            <w:shd w:val="clear" w:color="auto" w:fill="FFFFFF"/>
            <w:tcMar>
              <w:top w:w="40" w:type="dxa"/>
              <w:left w:w="0" w:type="dxa"/>
              <w:bottom w:w="40" w:type="dxa"/>
              <w:right w:w="20" w:type="dxa"/>
            </w:tcMar>
            <w:vAlign w:val="bottom"/>
          </w:tcPr>
          <w:p w14:paraId="5F2CBE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E7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79" w14:textId="77777777" w:rsidR="00E836FB" w:rsidRDefault="00994958">
            <w:pPr>
              <w:jc w:val="right"/>
              <w:textAlignment w:val="bottom"/>
            </w:pPr>
            <w:r>
              <w:rPr>
                <w:rFonts w:ascii="Arial" w:eastAsia="宋体" w:hAnsi="Arial" w:cs="Arial"/>
                <w:color w:val="000000"/>
                <w:sz w:val="16"/>
                <w:szCs w:val="16"/>
              </w:rPr>
              <w:t>(54)</w:t>
            </w:r>
          </w:p>
        </w:tc>
        <w:tc>
          <w:tcPr>
            <w:tcW w:w="0" w:type="auto"/>
            <w:shd w:val="clear" w:color="auto" w:fill="FFFFFF"/>
            <w:tcMar>
              <w:top w:w="40" w:type="dxa"/>
              <w:left w:w="0" w:type="dxa"/>
              <w:bottom w:w="40" w:type="dxa"/>
              <w:right w:w="20" w:type="dxa"/>
            </w:tcMar>
            <w:vAlign w:val="bottom"/>
          </w:tcPr>
          <w:p w14:paraId="5F2CBE7A" w14:textId="77777777" w:rsidR="00E836FB" w:rsidRDefault="00E836FB">
            <w:pPr>
              <w:jc w:val="right"/>
              <w:rPr>
                <w:rFonts w:ascii="宋体"/>
              </w:rPr>
            </w:pPr>
          </w:p>
        </w:tc>
      </w:tr>
      <w:tr w:rsidR="00E836FB" w14:paraId="5F2CBE91" w14:textId="77777777">
        <w:tc>
          <w:tcPr>
            <w:tcW w:w="0" w:type="auto"/>
            <w:gridSpan w:val="3"/>
            <w:shd w:val="clear" w:color="auto" w:fill="CCEEFF"/>
            <w:tcMar>
              <w:top w:w="40" w:type="dxa"/>
              <w:left w:w="20" w:type="dxa"/>
              <w:bottom w:w="40" w:type="dxa"/>
              <w:right w:w="20" w:type="dxa"/>
            </w:tcMar>
            <w:vAlign w:val="bottom"/>
          </w:tcPr>
          <w:p w14:paraId="5F2CBE7C" w14:textId="77777777" w:rsidR="00E836FB" w:rsidRDefault="00994958">
            <w:pPr>
              <w:textAlignment w:val="bottom"/>
            </w:pPr>
            <w:r>
              <w:rPr>
                <w:rFonts w:ascii="Arial" w:eastAsia="宋体" w:hAnsi="Arial" w:cs="Arial"/>
                <w:b/>
                <w:bCs/>
                <w:color w:val="000000"/>
                <w:sz w:val="16"/>
                <w:szCs w:val="16"/>
              </w:rPr>
              <w:t>Total revenue</w:t>
            </w:r>
          </w:p>
        </w:tc>
        <w:tc>
          <w:tcPr>
            <w:tcW w:w="0" w:type="auto"/>
            <w:shd w:val="clear" w:color="auto" w:fill="auto"/>
            <w:vAlign w:val="bottom"/>
          </w:tcPr>
          <w:p w14:paraId="5F2CBE7D" w14:textId="77777777" w:rsidR="00E836FB" w:rsidRDefault="00E836FB">
            <w:pPr>
              <w:rPr>
                <w:rFonts w:ascii="宋体"/>
                <w:vanish/>
              </w:rPr>
            </w:pPr>
          </w:p>
        </w:tc>
        <w:tc>
          <w:tcPr>
            <w:tcW w:w="0" w:type="auto"/>
            <w:shd w:val="clear" w:color="auto" w:fill="auto"/>
            <w:vAlign w:val="bottom"/>
          </w:tcPr>
          <w:p w14:paraId="5F2CBE7E" w14:textId="77777777" w:rsidR="00E836FB" w:rsidRDefault="00E836FB">
            <w:pPr>
              <w:rPr>
                <w:rFonts w:ascii="宋体"/>
                <w:vanish/>
              </w:rPr>
            </w:pPr>
          </w:p>
        </w:tc>
        <w:tc>
          <w:tcPr>
            <w:tcW w:w="0" w:type="auto"/>
            <w:shd w:val="clear" w:color="auto" w:fill="auto"/>
            <w:vAlign w:val="bottom"/>
          </w:tcPr>
          <w:p w14:paraId="5F2CBE7F" w14:textId="77777777" w:rsidR="00E836FB" w:rsidRDefault="00E836FB">
            <w:pPr>
              <w:rPr>
                <w:rFonts w:ascii="宋体"/>
                <w:vanish/>
              </w:rPr>
            </w:pPr>
          </w:p>
        </w:tc>
        <w:tc>
          <w:tcPr>
            <w:tcW w:w="0" w:type="auto"/>
            <w:shd w:val="clear" w:color="auto" w:fill="auto"/>
            <w:vAlign w:val="bottom"/>
          </w:tcPr>
          <w:p w14:paraId="5F2CBE80" w14:textId="77777777" w:rsidR="00E836FB" w:rsidRDefault="00E836FB">
            <w:pPr>
              <w:rPr>
                <w:rFonts w:ascii="宋体"/>
                <w:vanish/>
              </w:rPr>
            </w:pPr>
          </w:p>
        </w:tc>
        <w:tc>
          <w:tcPr>
            <w:tcW w:w="0" w:type="auto"/>
            <w:shd w:val="clear" w:color="auto" w:fill="auto"/>
            <w:vAlign w:val="bottom"/>
          </w:tcPr>
          <w:p w14:paraId="5F2CBE81" w14:textId="77777777" w:rsidR="00E836FB" w:rsidRDefault="00E836FB">
            <w:pPr>
              <w:rPr>
                <w:rFonts w:ascii="宋体"/>
                <w:vanish/>
              </w:rPr>
            </w:pPr>
          </w:p>
        </w:tc>
        <w:tc>
          <w:tcPr>
            <w:tcW w:w="0" w:type="auto"/>
            <w:shd w:val="clear" w:color="auto" w:fill="auto"/>
            <w:vAlign w:val="bottom"/>
          </w:tcPr>
          <w:p w14:paraId="5F2CBE82"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83" w14:textId="77777777" w:rsidR="00E836FB" w:rsidRDefault="00994958">
            <w:pPr>
              <w:jc w:val="right"/>
              <w:textAlignment w:val="bottom"/>
            </w:pPr>
            <w:r>
              <w:rPr>
                <w:rFonts w:ascii="Arial" w:eastAsia="宋体" w:hAnsi="Arial" w:cs="Arial"/>
                <w:b/>
                <w:bCs/>
                <w:color w:val="000000"/>
                <w:sz w:val="16"/>
                <w:szCs w:val="16"/>
              </w:rPr>
              <w:t>2,119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8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86" w14:textId="77777777" w:rsidR="00E836FB" w:rsidRDefault="00994958">
            <w:pPr>
              <w:jc w:val="right"/>
              <w:textAlignment w:val="bottom"/>
            </w:pPr>
            <w:r>
              <w:rPr>
                <w:rFonts w:ascii="Arial" w:eastAsia="宋体" w:hAnsi="Arial" w:cs="Arial"/>
                <w:color w:val="000000"/>
                <w:sz w:val="16"/>
                <w:szCs w:val="16"/>
              </w:rPr>
              <w:t>1,974 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8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BE89" w14:textId="77777777" w:rsidR="00E836FB" w:rsidRDefault="00994958">
            <w:pPr>
              <w:jc w:val="right"/>
              <w:textAlignment w:val="bottom"/>
            </w:pPr>
            <w:r>
              <w:rPr>
                <w:rFonts w:ascii="Arial" w:eastAsia="宋体" w:hAnsi="Arial" w:cs="Arial"/>
                <w:color w:val="000000"/>
                <w:sz w:val="16"/>
                <w:szCs w:val="16"/>
              </w:rPr>
              <w:t>1,922 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8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8C" w14:textId="77777777" w:rsidR="00E836FB" w:rsidRDefault="00994958">
            <w:pPr>
              <w:jc w:val="right"/>
              <w:textAlignment w:val="bottom"/>
            </w:pPr>
            <w:r>
              <w:rPr>
                <w:rFonts w:ascii="Arial" w:eastAsia="宋体" w:hAnsi="Arial" w:cs="Arial"/>
                <w:color w:val="000000"/>
                <w:sz w:val="16"/>
                <w:szCs w:val="16"/>
              </w:rPr>
              <w:t>7 </w:t>
            </w:r>
          </w:p>
        </w:tc>
        <w:tc>
          <w:tcPr>
            <w:tcW w:w="0" w:type="auto"/>
            <w:shd w:val="clear" w:color="auto" w:fill="CCEEFF"/>
            <w:tcMar>
              <w:top w:w="40" w:type="dxa"/>
              <w:left w:w="0" w:type="dxa"/>
              <w:bottom w:w="40" w:type="dxa"/>
              <w:right w:w="20" w:type="dxa"/>
            </w:tcMar>
            <w:vAlign w:val="bottom"/>
          </w:tcPr>
          <w:p w14:paraId="5F2CBE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8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8F" w14:textId="77777777" w:rsidR="00E836FB" w:rsidRDefault="00994958">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5F2CBE90" w14:textId="77777777" w:rsidR="00E836FB" w:rsidRDefault="00E836FB">
            <w:pPr>
              <w:jc w:val="right"/>
              <w:rPr>
                <w:rFonts w:ascii="宋体"/>
              </w:rPr>
            </w:pPr>
          </w:p>
        </w:tc>
      </w:tr>
      <w:tr w:rsidR="00E836FB" w14:paraId="5F2CBEA7" w14:textId="77777777">
        <w:tc>
          <w:tcPr>
            <w:tcW w:w="0" w:type="auto"/>
            <w:gridSpan w:val="3"/>
            <w:shd w:val="clear" w:color="auto" w:fill="auto"/>
            <w:tcMar>
              <w:top w:w="40" w:type="dxa"/>
              <w:left w:w="20" w:type="dxa"/>
              <w:bottom w:w="40" w:type="dxa"/>
              <w:right w:w="20" w:type="dxa"/>
            </w:tcMar>
            <w:vAlign w:val="bottom"/>
          </w:tcPr>
          <w:p w14:paraId="5F2CBE92" w14:textId="77777777" w:rsidR="00E836FB" w:rsidRDefault="00994958">
            <w:pPr>
              <w:textAlignment w:val="bottom"/>
            </w:pPr>
            <w:r>
              <w:rPr>
                <w:rFonts w:ascii="Arial" w:eastAsia="宋体" w:hAnsi="Arial" w:cs="Arial"/>
                <w:b/>
                <w:bCs/>
                <w:color w:val="000000"/>
                <w:sz w:val="16"/>
                <w:szCs w:val="16"/>
              </w:rPr>
              <w:t>Total expenses</w:t>
            </w:r>
          </w:p>
        </w:tc>
        <w:tc>
          <w:tcPr>
            <w:tcW w:w="0" w:type="auto"/>
            <w:shd w:val="clear" w:color="auto" w:fill="auto"/>
            <w:vAlign w:val="bottom"/>
          </w:tcPr>
          <w:p w14:paraId="5F2CBE93" w14:textId="77777777" w:rsidR="00E836FB" w:rsidRDefault="00E836FB">
            <w:pPr>
              <w:rPr>
                <w:rFonts w:ascii="宋体"/>
                <w:vanish/>
              </w:rPr>
            </w:pPr>
          </w:p>
        </w:tc>
        <w:tc>
          <w:tcPr>
            <w:tcW w:w="0" w:type="auto"/>
            <w:shd w:val="clear" w:color="auto" w:fill="auto"/>
            <w:vAlign w:val="bottom"/>
          </w:tcPr>
          <w:p w14:paraId="5F2CBE94" w14:textId="77777777" w:rsidR="00E836FB" w:rsidRDefault="00E836FB">
            <w:pPr>
              <w:rPr>
                <w:rFonts w:ascii="宋体"/>
                <w:vanish/>
              </w:rPr>
            </w:pPr>
          </w:p>
        </w:tc>
        <w:tc>
          <w:tcPr>
            <w:tcW w:w="0" w:type="auto"/>
            <w:shd w:val="clear" w:color="auto" w:fill="auto"/>
            <w:vAlign w:val="bottom"/>
          </w:tcPr>
          <w:p w14:paraId="5F2CBE95" w14:textId="77777777" w:rsidR="00E836FB" w:rsidRDefault="00E836FB">
            <w:pPr>
              <w:rPr>
                <w:rFonts w:ascii="宋体"/>
                <w:vanish/>
              </w:rPr>
            </w:pPr>
          </w:p>
        </w:tc>
        <w:tc>
          <w:tcPr>
            <w:tcW w:w="0" w:type="auto"/>
            <w:shd w:val="clear" w:color="auto" w:fill="auto"/>
            <w:vAlign w:val="bottom"/>
          </w:tcPr>
          <w:p w14:paraId="5F2CBE96" w14:textId="77777777" w:rsidR="00E836FB" w:rsidRDefault="00E836FB">
            <w:pPr>
              <w:rPr>
                <w:rFonts w:ascii="宋体"/>
                <w:vanish/>
              </w:rPr>
            </w:pPr>
          </w:p>
        </w:tc>
        <w:tc>
          <w:tcPr>
            <w:tcW w:w="0" w:type="auto"/>
            <w:shd w:val="clear" w:color="auto" w:fill="auto"/>
            <w:vAlign w:val="bottom"/>
          </w:tcPr>
          <w:p w14:paraId="5F2CBE97" w14:textId="77777777" w:rsidR="00E836FB" w:rsidRDefault="00E836FB">
            <w:pPr>
              <w:rPr>
                <w:rFonts w:ascii="宋体"/>
                <w:vanish/>
              </w:rPr>
            </w:pPr>
          </w:p>
        </w:tc>
        <w:tc>
          <w:tcPr>
            <w:tcW w:w="0" w:type="auto"/>
            <w:shd w:val="clear" w:color="auto" w:fill="auto"/>
            <w:vAlign w:val="bottom"/>
          </w:tcPr>
          <w:p w14:paraId="5F2CBE98"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BE99" w14:textId="77777777" w:rsidR="00E836FB" w:rsidRDefault="00994958">
            <w:pPr>
              <w:jc w:val="right"/>
              <w:textAlignment w:val="bottom"/>
            </w:pPr>
            <w:r>
              <w:rPr>
                <w:rFonts w:ascii="Arial" w:eastAsia="宋体" w:hAnsi="Arial" w:cs="Arial"/>
                <w:b/>
                <w:bCs/>
                <w:color w:val="000000"/>
                <w:sz w:val="16"/>
                <w:szCs w:val="16"/>
              </w:rPr>
              <w:t>1,445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BE9A"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9B"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E9C" w14:textId="77777777" w:rsidR="00E836FB" w:rsidRDefault="00994958">
            <w:pPr>
              <w:jc w:val="right"/>
              <w:textAlignment w:val="bottom"/>
            </w:pPr>
            <w:r>
              <w:rPr>
                <w:rFonts w:ascii="Arial" w:eastAsia="宋体" w:hAnsi="Arial" w:cs="Arial"/>
                <w:color w:val="000000"/>
                <w:sz w:val="16"/>
                <w:szCs w:val="16"/>
              </w:rPr>
              <w:t>1,471 </w:t>
            </w:r>
          </w:p>
        </w:tc>
        <w:tc>
          <w:tcPr>
            <w:tcW w:w="0" w:type="auto"/>
            <w:shd w:val="clear" w:color="auto" w:fill="auto"/>
            <w:tcMar>
              <w:top w:w="40" w:type="dxa"/>
              <w:left w:w="0" w:type="dxa"/>
              <w:bottom w:w="40" w:type="dxa"/>
              <w:right w:w="20" w:type="dxa"/>
            </w:tcMar>
            <w:vAlign w:val="bottom"/>
          </w:tcPr>
          <w:p w14:paraId="5F2CBE9D"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9E"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CBE9F" w14:textId="77777777" w:rsidR="00E836FB" w:rsidRDefault="00994958">
            <w:pPr>
              <w:jc w:val="right"/>
              <w:textAlignment w:val="bottom"/>
            </w:pPr>
            <w:r>
              <w:rPr>
                <w:rFonts w:ascii="Arial" w:eastAsia="宋体" w:hAnsi="Arial" w:cs="Arial"/>
                <w:color w:val="000000"/>
                <w:sz w:val="16"/>
                <w:szCs w:val="16"/>
              </w:rPr>
              <w:t>1,535 </w:t>
            </w:r>
          </w:p>
        </w:tc>
        <w:tc>
          <w:tcPr>
            <w:tcW w:w="0" w:type="auto"/>
            <w:shd w:val="clear" w:color="auto" w:fill="auto"/>
            <w:tcMar>
              <w:top w:w="40" w:type="dxa"/>
              <w:left w:w="0" w:type="dxa"/>
              <w:bottom w:w="40" w:type="dxa"/>
              <w:right w:w="20" w:type="dxa"/>
            </w:tcMar>
            <w:vAlign w:val="bottom"/>
          </w:tcPr>
          <w:p w14:paraId="5F2CBEA0"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CBE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A2" w14:textId="77777777" w:rsidR="00E836FB" w:rsidRDefault="00994958">
            <w:pPr>
              <w:jc w:val="right"/>
              <w:textAlignment w:val="bottom"/>
            </w:pPr>
            <w:r>
              <w:rPr>
                <w:rFonts w:ascii="Arial" w:eastAsia="宋体" w:hAnsi="Arial" w:cs="Arial"/>
                <w:color w:val="000000"/>
                <w:sz w:val="16"/>
                <w:szCs w:val="16"/>
              </w:rPr>
              <w:t>(2)</w:t>
            </w:r>
          </w:p>
        </w:tc>
        <w:tc>
          <w:tcPr>
            <w:tcW w:w="0" w:type="auto"/>
            <w:shd w:val="clear" w:color="auto" w:fill="FFFFFF"/>
            <w:tcMar>
              <w:top w:w="40" w:type="dxa"/>
              <w:left w:w="0" w:type="dxa"/>
              <w:bottom w:w="40" w:type="dxa"/>
              <w:right w:w="20" w:type="dxa"/>
            </w:tcMar>
            <w:vAlign w:val="bottom"/>
          </w:tcPr>
          <w:p w14:paraId="5F2CBE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BE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BEA5" w14:textId="77777777" w:rsidR="00E836FB" w:rsidRDefault="00994958">
            <w:pPr>
              <w:jc w:val="right"/>
              <w:textAlignment w:val="bottom"/>
            </w:pPr>
            <w:r>
              <w:rPr>
                <w:rFonts w:ascii="Arial" w:eastAsia="宋体" w:hAnsi="Arial" w:cs="Arial"/>
                <w:color w:val="000000"/>
                <w:sz w:val="16"/>
                <w:szCs w:val="16"/>
              </w:rPr>
              <w:t>(4)</w:t>
            </w:r>
          </w:p>
        </w:tc>
        <w:tc>
          <w:tcPr>
            <w:tcW w:w="0" w:type="auto"/>
            <w:shd w:val="clear" w:color="auto" w:fill="FFFFFF"/>
            <w:tcMar>
              <w:top w:w="40" w:type="dxa"/>
              <w:left w:w="0" w:type="dxa"/>
              <w:bottom w:w="40" w:type="dxa"/>
              <w:right w:w="20" w:type="dxa"/>
            </w:tcMar>
            <w:vAlign w:val="bottom"/>
          </w:tcPr>
          <w:p w14:paraId="5F2CBEA6" w14:textId="77777777" w:rsidR="00E836FB" w:rsidRDefault="00E836FB">
            <w:pPr>
              <w:jc w:val="right"/>
              <w:rPr>
                <w:rFonts w:ascii="宋体"/>
              </w:rPr>
            </w:pPr>
          </w:p>
        </w:tc>
      </w:tr>
      <w:tr w:rsidR="00E836FB" w14:paraId="5F2CBEC0" w14:textId="77777777">
        <w:tc>
          <w:tcPr>
            <w:tcW w:w="0" w:type="auto"/>
            <w:gridSpan w:val="3"/>
            <w:shd w:val="clear" w:color="auto" w:fill="CCEEFF"/>
            <w:tcMar>
              <w:top w:w="40" w:type="dxa"/>
              <w:left w:w="20" w:type="dxa"/>
              <w:bottom w:w="40" w:type="dxa"/>
              <w:right w:w="20" w:type="dxa"/>
            </w:tcMar>
            <w:vAlign w:val="bottom"/>
          </w:tcPr>
          <w:p w14:paraId="5F2CBEA8" w14:textId="77777777" w:rsidR="00E836FB" w:rsidRDefault="00994958">
            <w:pPr>
              <w:textAlignment w:val="bottom"/>
            </w:pPr>
            <w:r>
              <w:rPr>
                <w:rFonts w:ascii="Arial" w:eastAsia="宋体" w:hAnsi="Arial" w:cs="Arial"/>
                <w:b/>
                <w:bCs/>
                <w:color w:val="000000"/>
                <w:sz w:val="16"/>
                <w:szCs w:val="16"/>
              </w:rPr>
              <w:t>Income before income tax expense</w:t>
            </w:r>
          </w:p>
        </w:tc>
        <w:tc>
          <w:tcPr>
            <w:tcW w:w="0" w:type="auto"/>
            <w:shd w:val="clear" w:color="auto" w:fill="auto"/>
            <w:vAlign w:val="bottom"/>
          </w:tcPr>
          <w:p w14:paraId="5F2CBEA9" w14:textId="77777777" w:rsidR="00E836FB" w:rsidRDefault="00E836FB">
            <w:pPr>
              <w:rPr>
                <w:rFonts w:ascii="宋体"/>
                <w:vanish/>
              </w:rPr>
            </w:pPr>
          </w:p>
        </w:tc>
        <w:tc>
          <w:tcPr>
            <w:tcW w:w="0" w:type="auto"/>
            <w:shd w:val="clear" w:color="auto" w:fill="auto"/>
            <w:vAlign w:val="bottom"/>
          </w:tcPr>
          <w:p w14:paraId="5F2CBEAA" w14:textId="77777777" w:rsidR="00E836FB" w:rsidRDefault="00E836FB">
            <w:pPr>
              <w:rPr>
                <w:rFonts w:ascii="宋体"/>
                <w:vanish/>
              </w:rPr>
            </w:pPr>
          </w:p>
        </w:tc>
        <w:tc>
          <w:tcPr>
            <w:tcW w:w="0" w:type="auto"/>
            <w:shd w:val="clear" w:color="auto" w:fill="auto"/>
            <w:vAlign w:val="bottom"/>
          </w:tcPr>
          <w:p w14:paraId="5F2CBEAB" w14:textId="77777777" w:rsidR="00E836FB" w:rsidRDefault="00E836FB">
            <w:pPr>
              <w:rPr>
                <w:rFonts w:ascii="宋体"/>
                <w:vanish/>
              </w:rPr>
            </w:pPr>
          </w:p>
        </w:tc>
        <w:tc>
          <w:tcPr>
            <w:tcW w:w="0" w:type="auto"/>
            <w:shd w:val="clear" w:color="auto" w:fill="auto"/>
            <w:vAlign w:val="bottom"/>
          </w:tcPr>
          <w:p w14:paraId="5F2CBEAC" w14:textId="77777777" w:rsidR="00E836FB" w:rsidRDefault="00E836FB">
            <w:pPr>
              <w:rPr>
                <w:rFonts w:ascii="宋体"/>
                <w:vanish/>
              </w:rPr>
            </w:pPr>
          </w:p>
        </w:tc>
        <w:tc>
          <w:tcPr>
            <w:tcW w:w="0" w:type="auto"/>
            <w:shd w:val="clear" w:color="auto" w:fill="auto"/>
            <w:vAlign w:val="bottom"/>
          </w:tcPr>
          <w:p w14:paraId="5F2CBEAD" w14:textId="77777777" w:rsidR="00E836FB" w:rsidRDefault="00E836FB">
            <w:pPr>
              <w:rPr>
                <w:rFonts w:ascii="宋体"/>
                <w:vanish/>
              </w:rPr>
            </w:pPr>
          </w:p>
        </w:tc>
        <w:tc>
          <w:tcPr>
            <w:tcW w:w="0" w:type="auto"/>
            <w:shd w:val="clear" w:color="auto" w:fill="auto"/>
            <w:vAlign w:val="bottom"/>
          </w:tcPr>
          <w:p w14:paraId="5F2CBEAE"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EAF"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EB0" w14:textId="77777777" w:rsidR="00E836FB" w:rsidRDefault="00994958">
            <w:pPr>
              <w:jc w:val="right"/>
              <w:textAlignment w:val="bottom"/>
            </w:pPr>
            <w:r>
              <w:rPr>
                <w:rFonts w:ascii="Arial" w:eastAsia="宋体" w:hAnsi="Arial" w:cs="Arial"/>
                <w:b/>
                <w:bCs/>
                <w:color w:val="000000"/>
                <w:sz w:val="16"/>
                <w:szCs w:val="16"/>
              </w:rPr>
              <w:t>674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B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B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EB3"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EB4" w14:textId="77777777" w:rsidR="00E836FB" w:rsidRDefault="00994958">
            <w:pPr>
              <w:jc w:val="right"/>
              <w:textAlignment w:val="bottom"/>
            </w:pPr>
            <w:r>
              <w:rPr>
                <w:rFonts w:ascii="Arial" w:eastAsia="宋体" w:hAnsi="Arial" w:cs="Arial"/>
                <w:color w:val="000000"/>
                <w:sz w:val="16"/>
                <w:szCs w:val="16"/>
              </w:rPr>
              <w:t>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B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BEB7"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BEB8" w14:textId="77777777" w:rsidR="00E836FB" w:rsidRDefault="00994958">
            <w:pPr>
              <w:jc w:val="right"/>
              <w:textAlignment w:val="bottom"/>
            </w:pPr>
            <w:r>
              <w:rPr>
                <w:rFonts w:ascii="Arial" w:eastAsia="宋体" w:hAnsi="Arial" w:cs="Arial"/>
                <w:color w:val="000000"/>
                <w:sz w:val="16"/>
                <w:szCs w:val="16"/>
              </w:rPr>
              <w:t>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BE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B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BB" w14:textId="77777777" w:rsidR="00E836FB" w:rsidRDefault="00994958">
            <w:pPr>
              <w:jc w:val="right"/>
              <w:textAlignment w:val="bottom"/>
            </w:pPr>
            <w:r>
              <w:rPr>
                <w:rFonts w:ascii="Arial" w:eastAsia="宋体" w:hAnsi="Arial" w:cs="Arial"/>
                <w:color w:val="000000"/>
                <w:sz w:val="16"/>
                <w:szCs w:val="16"/>
              </w:rPr>
              <w:t>34 </w:t>
            </w:r>
          </w:p>
        </w:tc>
        <w:tc>
          <w:tcPr>
            <w:tcW w:w="0" w:type="auto"/>
            <w:shd w:val="clear" w:color="auto" w:fill="CCEEFF"/>
            <w:tcMar>
              <w:top w:w="40" w:type="dxa"/>
              <w:left w:w="0" w:type="dxa"/>
              <w:bottom w:w="40" w:type="dxa"/>
              <w:right w:w="20" w:type="dxa"/>
            </w:tcMar>
            <w:vAlign w:val="bottom"/>
          </w:tcPr>
          <w:p w14:paraId="5F2CBE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BEBE" w14:textId="77777777" w:rsidR="00E836FB" w:rsidRDefault="00994958">
            <w:pPr>
              <w:jc w:val="right"/>
              <w:textAlignment w:val="bottom"/>
            </w:pPr>
            <w:r>
              <w:rPr>
                <w:rFonts w:ascii="Arial" w:eastAsia="宋体" w:hAnsi="Arial" w:cs="Arial"/>
                <w:color w:val="000000"/>
                <w:sz w:val="16"/>
                <w:szCs w:val="16"/>
              </w:rPr>
              <w:t>30 </w:t>
            </w:r>
          </w:p>
        </w:tc>
        <w:tc>
          <w:tcPr>
            <w:tcW w:w="0" w:type="auto"/>
            <w:shd w:val="clear" w:color="auto" w:fill="CCEEFF"/>
            <w:tcMar>
              <w:top w:w="40" w:type="dxa"/>
              <w:left w:w="0" w:type="dxa"/>
              <w:bottom w:w="40" w:type="dxa"/>
              <w:right w:w="20" w:type="dxa"/>
            </w:tcMar>
            <w:vAlign w:val="bottom"/>
          </w:tcPr>
          <w:p w14:paraId="5F2CBEBF" w14:textId="77777777" w:rsidR="00E836FB" w:rsidRDefault="00E836FB">
            <w:pPr>
              <w:jc w:val="right"/>
              <w:rPr>
                <w:rFonts w:ascii="宋体"/>
              </w:rPr>
            </w:pPr>
          </w:p>
        </w:tc>
      </w:tr>
      <w:tr w:rsidR="00E836FB" w14:paraId="5F2CBED4" w14:textId="77777777">
        <w:tc>
          <w:tcPr>
            <w:tcW w:w="0" w:type="auto"/>
            <w:gridSpan w:val="3"/>
            <w:shd w:val="clear" w:color="auto" w:fill="auto"/>
            <w:tcMar>
              <w:top w:w="40" w:type="dxa"/>
              <w:left w:w="20" w:type="dxa"/>
              <w:bottom w:w="40" w:type="dxa"/>
              <w:right w:w="20" w:type="dxa"/>
            </w:tcMar>
            <w:vAlign w:val="bottom"/>
          </w:tcPr>
          <w:p w14:paraId="5F2CBEC1" w14:textId="77777777" w:rsidR="00E836FB" w:rsidRDefault="00994958">
            <w:pPr>
              <w:textAlignment w:val="bottom"/>
            </w:pPr>
            <w:r>
              <w:rPr>
                <w:rFonts w:ascii="Arial" w:eastAsia="宋体" w:hAnsi="Arial" w:cs="Arial"/>
                <w:color w:val="000000"/>
                <w:sz w:val="16"/>
                <w:szCs w:val="16"/>
              </w:rPr>
              <w:t>Pre-tax margin</w:t>
            </w:r>
          </w:p>
        </w:tc>
        <w:tc>
          <w:tcPr>
            <w:tcW w:w="0" w:type="auto"/>
            <w:shd w:val="clear" w:color="auto" w:fill="auto"/>
            <w:vAlign w:val="bottom"/>
          </w:tcPr>
          <w:p w14:paraId="5F2CBEC2" w14:textId="77777777" w:rsidR="00E836FB" w:rsidRDefault="00E836FB">
            <w:pPr>
              <w:rPr>
                <w:rFonts w:ascii="宋体"/>
                <w:vanish/>
              </w:rPr>
            </w:pPr>
          </w:p>
        </w:tc>
        <w:tc>
          <w:tcPr>
            <w:tcW w:w="0" w:type="auto"/>
            <w:shd w:val="clear" w:color="auto" w:fill="auto"/>
            <w:vAlign w:val="bottom"/>
          </w:tcPr>
          <w:p w14:paraId="5F2CBEC3" w14:textId="77777777" w:rsidR="00E836FB" w:rsidRDefault="00E836FB">
            <w:pPr>
              <w:rPr>
                <w:rFonts w:ascii="宋体"/>
                <w:vanish/>
              </w:rPr>
            </w:pPr>
          </w:p>
        </w:tc>
        <w:tc>
          <w:tcPr>
            <w:tcW w:w="0" w:type="auto"/>
            <w:shd w:val="clear" w:color="auto" w:fill="auto"/>
            <w:vAlign w:val="bottom"/>
          </w:tcPr>
          <w:p w14:paraId="5F2CBEC4" w14:textId="77777777" w:rsidR="00E836FB" w:rsidRDefault="00E836FB">
            <w:pPr>
              <w:rPr>
                <w:rFonts w:ascii="宋体"/>
                <w:vanish/>
              </w:rPr>
            </w:pPr>
          </w:p>
        </w:tc>
        <w:tc>
          <w:tcPr>
            <w:tcW w:w="0" w:type="auto"/>
            <w:shd w:val="clear" w:color="auto" w:fill="auto"/>
            <w:vAlign w:val="bottom"/>
          </w:tcPr>
          <w:p w14:paraId="5F2CBEC5" w14:textId="77777777" w:rsidR="00E836FB" w:rsidRDefault="00E836FB">
            <w:pPr>
              <w:rPr>
                <w:rFonts w:ascii="宋体"/>
                <w:vanish/>
              </w:rPr>
            </w:pPr>
          </w:p>
        </w:tc>
        <w:tc>
          <w:tcPr>
            <w:tcW w:w="0" w:type="auto"/>
            <w:shd w:val="clear" w:color="auto" w:fill="auto"/>
            <w:vAlign w:val="bottom"/>
          </w:tcPr>
          <w:p w14:paraId="5F2CBEC6" w14:textId="77777777" w:rsidR="00E836FB" w:rsidRDefault="00E836FB">
            <w:pPr>
              <w:rPr>
                <w:rFonts w:ascii="宋体"/>
                <w:vanish/>
              </w:rPr>
            </w:pPr>
          </w:p>
        </w:tc>
        <w:tc>
          <w:tcPr>
            <w:tcW w:w="0" w:type="auto"/>
            <w:shd w:val="clear" w:color="auto" w:fill="auto"/>
            <w:vAlign w:val="bottom"/>
          </w:tcPr>
          <w:p w14:paraId="5F2CBEC7" w14:textId="77777777" w:rsidR="00E836FB" w:rsidRDefault="00E836FB">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F2CBEC8" w14:textId="77777777" w:rsidR="00E836FB" w:rsidRDefault="00994958">
            <w:pPr>
              <w:jc w:val="right"/>
              <w:textAlignment w:val="bottom"/>
            </w:pPr>
            <w:r>
              <w:rPr>
                <w:rFonts w:ascii="Arial" w:eastAsia="宋体" w:hAnsi="Arial" w:cs="Arial"/>
                <w:b/>
                <w:bCs/>
                <w:color w:val="000000"/>
                <w:sz w:val="16"/>
                <w:szCs w:val="16"/>
              </w:rPr>
              <w:t>32</w:t>
            </w:r>
            <w:r>
              <w:rPr>
                <w:rFonts w:ascii="Arial" w:eastAsia="宋体" w:hAnsi="Arial" w:cs="Arial"/>
                <w:color w:val="000000"/>
                <w:sz w:val="16"/>
                <w:szCs w:val="16"/>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BEC9" w14:textId="77777777" w:rsidR="00E836FB" w:rsidRDefault="00994958">
            <w:pPr>
              <w:jc w:val="right"/>
              <w:textAlignment w:val="bottom"/>
            </w:pPr>
            <w:r>
              <w:rPr>
                <w:rFonts w:ascii="Arial" w:eastAsia="宋体" w:hAnsi="Arial" w:cs="Arial"/>
                <w:b/>
                <w:bCs/>
                <w:color w:val="000000"/>
                <w:sz w:val="16"/>
                <w:szCs w:val="16"/>
              </w:rPr>
              <w:t>%</w:t>
            </w:r>
          </w:p>
        </w:tc>
        <w:tc>
          <w:tcPr>
            <w:tcW w:w="0" w:type="auto"/>
            <w:gridSpan w:val="3"/>
            <w:shd w:val="clear" w:color="auto" w:fill="auto"/>
            <w:tcMar>
              <w:top w:w="0" w:type="dxa"/>
              <w:left w:w="20" w:type="dxa"/>
              <w:bottom w:w="0" w:type="dxa"/>
              <w:right w:w="20" w:type="dxa"/>
            </w:tcMar>
            <w:vAlign w:val="bottom"/>
          </w:tcPr>
          <w:p w14:paraId="5F2CBECA" w14:textId="77777777" w:rsidR="00E836FB" w:rsidRDefault="00E836F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F2CBECB" w14:textId="77777777" w:rsidR="00E836FB" w:rsidRDefault="00994958">
            <w:pPr>
              <w:jc w:val="right"/>
              <w:textAlignment w:val="bottom"/>
            </w:pPr>
            <w:r>
              <w:rPr>
                <w:rFonts w:ascii="Arial" w:eastAsia="宋体" w:hAnsi="Arial" w:cs="Arial"/>
                <w:color w:val="000000"/>
                <w:sz w:val="16"/>
                <w:szCs w:val="16"/>
              </w:rPr>
              <w:t>25 </w:t>
            </w:r>
          </w:p>
        </w:tc>
        <w:tc>
          <w:tcPr>
            <w:tcW w:w="0" w:type="auto"/>
            <w:tcBorders>
              <w:top w:val="double" w:sz="6" w:space="0" w:color="000000"/>
            </w:tcBorders>
            <w:shd w:val="clear" w:color="auto" w:fill="auto"/>
            <w:tcMar>
              <w:top w:w="40" w:type="dxa"/>
              <w:left w:w="0" w:type="dxa"/>
              <w:bottom w:w="40" w:type="dxa"/>
              <w:right w:w="20" w:type="dxa"/>
            </w:tcMar>
            <w:vAlign w:val="bottom"/>
          </w:tcPr>
          <w:p w14:paraId="5F2CBECC"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F2CBECD" w14:textId="77777777" w:rsidR="00E836FB" w:rsidRDefault="00E836F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F2CBECE" w14:textId="77777777" w:rsidR="00E836FB" w:rsidRDefault="00994958">
            <w:pPr>
              <w:jc w:val="right"/>
              <w:textAlignment w:val="bottom"/>
            </w:pPr>
            <w:r>
              <w:rPr>
                <w:rFonts w:ascii="Arial" w:eastAsia="宋体" w:hAnsi="Arial" w:cs="Arial"/>
                <w:color w:val="000000"/>
                <w:sz w:val="16"/>
                <w:szCs w:val="16"/>
              </w:rPr>
              <w:t>20 </w:t>
            </w:r>
          </w:p>
        </w:tc>
        <w:tc>
          <w:tcPr>
            <w:tcW w:w="0" w:type="auto"/>
            <w:tcBorders>
              <w:top w:val="double" w:sz="6" w:space="0" w:color="000000"/>
            </w:tcBorders>
            <w:shd w:val="clear" w:color="auto" w:fill="auto"/>
            <w:tcMar>
              <w:top w:w="40" w:type="dxa"/>
              <w:left w:w="0" w:type="dxa"/>
              <w:bottom w:w="40" w:type="dxa"/>
              <w:right w:w="20" w:type="dxa"/>
            </w:tcMar>
            <w:vAlign w:val="bottom"/>
          </w:tcPr>
          <w:p w14:paraId="5F2CBECF"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F2CBED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ED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ED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BED3" w14:textId="77777777" w:rsidR="00E836FB" w:rsidRDefault="00E836FB">
            <w:pPr>
              <w:rPr>
                <w:rFonts w:ascii="宋体"/>
              </w:rPr>
            </w:pPr>
          </w:p>
        </w:tc>
      </w:tr>
      <w:tr w:rsidR="00E836FB" w14:paraId="5F2CBEEB" w14:textId="77777777">
        <w:tc>
          <w:tcPr>
            <w:tcW w:w="0" w:type="auto"/>
            <w:gridSpan w:val="3"/>
            <w:shd w:val="clear" w:color="auto" w:fill="CCEEFF"/>
            <w:tcMar>
              <w:top w:w="40" w:type="dxa"/>
              <w:left w:w="20" w:type="dxa"/>
              <w:bottom w:w="40" w:type="dxa"/>
              <w:right w:w="20" w:type="dxa"/>
            </w:tcMar>
            <w:vAlign w:val="bottom"/>
          </w:tcPr>
          <w:p w14:paraId="5F2CBED5" w14:textId="77777777" w:rsidR="00E836FB" w:rsidRDefault="00994958">
            <w:pPr>
              <w:textAlignment w:val="bottom"/>
            </w:pPr>
            <w:r>
              <w:rPr>
                <w:rFonts w:ascii="Arial" w:eastAsia="宋体" w:hAnsi="Arial" w:cs="Arial"/>
                <w:color w:val="000000"/>
                <w:sz w:val="16"/>
                <w:szCs w:val="16"/>
              </w:rPr>
              <w:t>Average assets (in billions)</w:t>
            </w:r>
          </w:p>
        </w:tc>
        <w:tc>
          <w:tcPr>
            <w:tcW w:w="0" w:type="auto"/>
            <w:shd w:val="clear" w:color="auto" w:fill="auto"/>
            <w:vAlign w:val="bottom"/>
          </w:tcPr>
          <w:p w14:paraId="5F2CBED6" w14:textId="77777777" w:rsidR="00E836FB" w:rsidRDefault="00E836FB">
            <w:pPr>
              <w:rPr>
                <w:rFonts w:ascii="宋体"/>
                <w:vanish/>
              </w:rPr>
            </w:pPr>
          </w:p>
        </w:tc>
        <w:tc>
          <w:tcPr>
            <w:tcW w:w="0" w:type="auto"/>
            <w:shd w:val="clear" w:color="auto" w:fill="auto"/>
            <w:vAlign w:val="bottom"/>
          </w:tcPr>
          <w:p w14:paraId="5F2CBED7" w14:textId="77777777" w:rsidR="00E836FB" w:rsidRDefault="00E836FB">
            <w:pPr>
              <w:rPr>
                <w:rFonts w:ascii="宋体"/>
                <w:vanish/>
              </w:rPr>
            </w:pPr>
          </w:p>
        </w:tc>
        <w:tc>
          <w:tcPr>
            <w:tcW w:w="0" w:type="auto"/>
            <w:shd w:val="clear" w:color="auto" w:fill="auto"/>
            <w:vAlign w:val="bottom"/>
          </w:tcPr>
          <w:p w14:paraId="5F2CBED8" w14:textId="77777777" w:rsidR="00E836FB" w:rsidRDefault="00E836FB">
            <w:pPr>
              <w:rPr>
                <w:rFonts w:ascii="宋体"/>
                <w:vanish/>
              </w:rPr>
            </w:pPr>
          </w:p>
        </w:tc>
        <w:tc>
          <w:tcPr>
            <w:tcW w:w="0" w:type="auto"/>
            <w:shd w:val="clear" w:color="auto" w:fill="auto"/>
            <w:vAlign w:val="bottom"/>
          </w:tcPr>
          <w:p w14:paraId="5F2CBED9" w14:textId="77777777" w:rsidR="00E836FB" w:rsidRDefault="00E836FB">
            <w:pPr>
              <w:rPr>
                <w:rFonts w:ascii="宋体"/>
                <w:vanish/>
              </w:rPr>
            </w:pPr>
          </w:p>
        </w:tc>
        <w:tc>
          <w:tcPr>
            <w:tcW w:w="0" w:type="auto"/>
            <w:shd w:val="clear" w:color="auto" w:fill="auto"/>
            <w:vAlign w:val="bottom"/>
          </w:tcPr>
          <w:p w14:paraId="5F2CBEDA" w14:textId="77777777" w:rsidR="00E836FB" w:rsidRDefault="00E836FB">
            <w:pPr>
              <w:rPr>
                <w:rFonts w:ascii="宋体"/>
                <w:vanish/>
              </w:rPr>
            </w:pPr>
          </w:p>
        </w:tc>
        <w:tc>
          <w:tcPr>
            <w:tcW w:w="0" w:type="auto"/>
            <w:shd w:val="clear" w:color="auto" w:fill="auto"/>
            <w:vAlign w:val="bottom"/>
          </w:tcPr>
          <w:p w14:paraId="5F2CBEDB"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CBEDC"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F2CBEDD" w14:textId="77777777" w:rsidR="00E836FB" w:rsidRDefault="00994958">
            <w:pPr>
              <w:jc w:val="right"/>
              <w:textAlignment w:val="bottom"/>
            </w:pPr>
            <w:r>
              <w:rPr>
                <w:rFonts w:ascii="Arial" w:eastAsia="宋体" w:hAnsi="Arial" w:cs="Arial"/>
                <w:b/>
                <w:bCs/>
                <w:color w:val="000000"/>
                <w:sz w:val="16"/>
                <w:szCs w:val="16"/>
              </w:rPr>
              <w:t>3.2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BE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D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EE0"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CBEE1" w14:textId="77777777" w:rsidR="00E836FB" w:rsidRDefault="00994958">
            <w:pPr>
              <w:jc w:val="right"/>
              <w:textAlignment w:val="bottom"/>
            </w:pPr>
            <w:r>
              <w:rPr>
                <w:rFonts w:ascii="Arial" w:eastAsia="宋体" w:hAnsi="Arial" w:cs="Arial"/>
                <w:color w:val="000000"/>
                <w:sz w:val="16"/>
                <w:szCs w:val="16"/>
              </w:rPr>
              <w:t>2.9 </w:t>
            </w:r>
          </w:p>
        </w:tc>
        <w:tc>
          <w:tcPr>
            <w:tcW w:w="0" w:type="auto"/>
            <w:shd w:val="clear" w:color="auto" w:fill="CCEEFF"/>
            <w:tcMar>
              <w:top w:w="40" w:type="dxa"/>
              <w:left w:w="0" w:type="dxa"/>
              <w:bottom w:w="40" w:type="dxa"/>
              <w:right w:w="20" w:type="dxa"/>
            </w:tcMar>
            <w:vAlign w:val="bottom"/>
          </w:tcPr>
          <w:p w14:paraId="5F2CBE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E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BEE4"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CBEE5" w14:textId="77777777" w:rsidR="00E836FB" w:rsidRDefault="00994958">
            <w:pPr>
              <w:jc w:val="right"/>
              <w:textAlignment w:val="bottom"/>
            </w:pPr>
            <w:r>
              <w:rPr>
                <w:rFonts w:ascii="Arial" w:eastAsia="宋体" w:hAnsi="Arial" w:cs="Arial"/>
                <w:color w:val="000000"/>
                <w:sz w:val="16"/>
                <w:szCs w:val="16"/>
              </w:rPr>
              <w:t>3.0 </w:t>
            </w:r>
          </w:p>
        </w:tc>
        <w:tc>
          <w:tcPr>
            <w:tcW w:w="0" w:type="auto"/>
            <w:shd w:val="clear" w:color="auto" w:fill="CCEEFF"/>
            <w:tcMar>
              <w:top w:w="40" w:type="dxa"/>
              <w:left w:w="0" w:type="dxa"/>
              <w:bottom w:w="40" w:type="dxa"/>
              <w:right w:w="20" w:type="dxa"/>
            </w:tcMar>
            <w:vAlign w:val="bottom"/>
          </w:tcPr>
          <w:p w14:paraId="5F2CBE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BEE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E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EE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BEEA" w14:textId="77777777" w:rsidR="00E836FB" w:rsidRDefault="00E836FB">
            <w:pPr>
              <w:rPr>
                <w:rFonts w:ascii="宋体"/>
              </w:rPr>
            </w:pPr>
          </w:p>
        </w:tc>
      </w:tr>
    </w:tbl>
    <w:p w14:paraId="5F2CBEEC" w14:textId="77777777" w:rsidR="00E836FB" w:rsidRDefault="00E836FB">
      <w:pPr>
        <w:rPr>
          <w:vanish/>
        </w:rPr>
      </w:pPr>
    </w:p>
    <w:tbl>
      <w:tblPr>
        <w:tblW w:w="3984" w:type="pct"/>
        <w:tblCellMar>
          <w:top w:w="15" w:type="dxa"/>
          <w:left w:w="15" w:type="dxa"/>
          <w:bottom w:w="15" w:type="dxa"/>
          <w:right w:w="15" w:type="dxa"/>
        </w:tblCellMar>
        <w:tblLook w:val="04A0" w:firstRow="1" w:lastRow="0" w:firstColumn="1" w:lastColumn="0" w:noHBand="0" w:noVBand="1"/>
      </w:tblPr>
      <w:tblGrid>
        <w:gridCol w:w="51"/>
        <w:gridCol w:w="2251"/>
        <w:gridCol w:w="36"/>
        <w:gridCol w:w="52"/>
        <w:gridCol w:w="4216"/>
        <w:gridCol w:w="36"/>
      </w:tblGrid>
      <w:tr w:rsidR="00E836FB" w14:paraId="5F2CBEF3" w14:textId="77777777">
        <w:tc>
          <w:tcPr>
            <w:tcW w:w="50" w:type="pct"/>
            <w:shd w:val="clear" w:color="auto" w:fill="auto"/>
            <w:vAlign w:val="bottom"/>
          </w:tcPr>
          <w:p w14:paraId="5F2CBEED" w14:textId="77777777" w:rsidR="00E836FB" w:rsidRDefault="00E836FB">
            <w:pPr>
              <w:rPr>
                <w:rFonts w:ascii="宋体"/>
              </w:rPr>
            </w:pPr>
          </w:p>
        </w:tc>
        <w:tc>
          <w:tcPr>
            <w:tcW w:w="1706" w:type="pct"/>
            <w:shd w:val="clear" w:color="auto" w:fill="auto"/>
            <w:vAlign w:val="bottom"/>
          </w:tcPr>
          <w:p w14:paraId="5F2CBEEE" w14:textId="77777777" w:rsidR="00E836FB" w:rsidRDefault="00E836FB">
            <w:pPr>
              <w:rPr>
                <w:rFonts w:ascii="宋体"/>
              </w:rPr>
            </w:pPr>
          </w:p>
        </w:tc>
        <w:tc>
          <w:tcPr>
            <w:tcW w:w="5" w:type="pct"/>
            <w:shd w:val="clear" w:color="auto" w:fill="auto"/>
            <w:vAlign w:val="bottom"/>
          </w:tcPr>
          <w:p w14:paraId="5F2CBEEF" w14:textId="77777777" w:rsidR="00E836FB" w:rsidRDefault="00E836FB">
            <w:pPr>
              <w:rPr>
                <w:rFonts w:ascii="宋体"/>
              </w:rPr>
            </w:pPr>
          </w:p>
        </w:tc>
        <w:tc>
          <w:tcPr>
            <w:tcW w:w="50" w:type="pct"/>
            <w:shd w:val="clear" w:color="auto" w:fill="auto"/>
            <w:vAlign w:val="bottom"/>
          </w:tcPr>
          <w:p w14:paraId="5F2CBEF0" w14:textId="77777777" w:rsidR="00E836FB" w:rsidRDefault="00E836FB">
            <w:pPr>
              <w:rPr>
                <w:rFonts w:ascii="宋体"/>
              </w:rPr>
            </w:pPr>
          </w:p>
        </w:tc>
        <w:tc>
          <w:tcPr>
            <w:tcW w:w="3183" w:type="pct"/>
            <w:shd w:val="clear" w:color="auto" w:fill="auto"/>
            <w:vAlign w:val="bottom"/>
          </w:tcPr>
          <w:p w14:paraId="5F2CBEF1" w14:textId="77777777" w:rsidR="00E836FB" w:rsidRDefault="00E836FB">
            <w:pPr>
              <w:rPr>
                <w:rFonts w:ascii="宋体"/>
              </w:rPr>
            </w:pPr>
          </w:p>
        </w:tc>
        <w:tc>
          <w:tcPr>
            <w:tcW w:w="5" w:type="pct"/>
            <w:shd w:val="clear" w:color="auto" w:fill="auto"/>
            <w:vAlign w:val="bottom"/>
          </w:tcPr>
          <w:p w14:paraId="5F2CBEF2" w14:textId="77777777" w:rsidR="00E836FB" w:rsidRDefault="00E836FB">
            <w:pPr>
              <w:rPr>
                <w:rFonts w:ascii="宋体"/>
              </w:rPr>
            </w:pPr>
          </w:p>
        </w:tc>
      </w:tr>
      <w:tr w:rsidR="00E836FB" w14:paraId="5F2CBEF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BEF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BEF5" w14:textId="77777777" w:rsidR="00E836FB" w:rsidRDefault="00E836FB">
            <w:pPr>
              <w:rPr>
                <w:rFonts w:ascii="宋体"/>
              </w:rPr>
            </w:pPr>
          </w:p>
        </w:tc>
      </w:tr>
    </w:tbl>
    <w:p w14:paraId="5F2CBEF7" w14:textId="77777777" w:rsidR="00E836FB" w:rsidRDefault="00994958">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Includes revenues from SPDR® Gold Shares and SPDR® Gold MiniSharesSM Trust AUM where we are not the investment manager but act as the marketing agent.</w:t>
      </w:r>
    </w:p>
    <w:p w14:paraId="5F2CBEF8" w14:textId="77777777" w:rsidR="00E836FB" w:rsidRDefault="00994958">
      <w:pPr>
        <w:spacing w:before="60"/>
      </w:pPr>
      <w:r>
        <w:rPr>
          <w:rFonts w:ascii="Arial" w:eastAsia="宋体" w:hAnsi="Arial" w:cs="Arial"/>
          <w:color w:val="000000"/>
          <w:sz w:val="9"/>
          <w:szCs w:val="9"/>
        </w:rPr>
        <w:t>(2)</w:t>
      </w:r>
      <w:r>
        <w:rPr>
          <w:rFonts w:ascii="Arial" w:eastAsia="宋体" w:hAnsi="Arial" w:cs="Arial"/>
          <w:color w:val="000000"/>
          <w:sz w:val="14"/>
          <w:szCs w:val="14"/>
        </w:rPr>
        <w:t xml:space="preserve"> Includes revenue for reimbursements received for certain ETFs associated with State Street Global Ad</w:t>
      </w:r>
      <w:r>
        <w:rPr>
          <w:rFonts w:ascii="Arial" w:eastAsia="宋体" w:hAnsi="Arial" w:cs="Arial"/>
          <w:color w:val="000000"/>
          <w:sz w:val="14"/>
          <w:szCs w:val="14"/>
        </w:rPr>
        <w:t>visors where we act as the distribution and marketing agent.</w:t>
      </w:r>
      <w:r>
        <w:rPr>
          <w:rFonts w:ascii="sans-serif" w:eastAsia="宋体" w:hAnsi="sans-serif" w:cs="sans-serif"/>
          <w:color w:val="000000"/>
          <w:sz w:val="22"/>
          <w:szCs w:val="22"/>
        </w:rPr>
        <w:t xml:space="preserve"> </w:t>
      </w:r>
    </w:p>
    <w:p w14:paraId="5F2CBEF9" w14:textId="77777777" w:rsidR="00E836FB" w:rsidRDefault="00994958">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Includes other revenue items that are primarily driven by equity market movements.</w:t>
      </w:r>
    </w:p>
    <w:p w14:paraId="5F2CBEFA" w14:textId="77777777" w:rsidR="00E836FB" w:rsidRDefault="00994958">
      <w:pPr>
        <w:spacing w:before="60"/>
        <w:ind w:firstLine="450"/>
        <w:jc w:val="both"/>
      </w:pPr>
      <w:r>
        <w:rPr>
          <w:rFonts w:ascii="Arial" w:eastAsia="宋体" w:hAnsi="Arial" w:cs="Arial"/>
          <w:color w:val="000000"/>
          <w:sz w:val="20"/>
          <w:szCs w:val="20"/>
        </w:rPr>
        <w:t>Investment Management total revenue increased 7% in 2021 compared to 2020.</w:t>
      </w:r>
      <w:r>
        <w:rPr>
          <w:rFonts w:ascii="Arial" w:eastAsia="宋体" w:hAnsi="Arial" w:cs="Arial"/>
          <w:color w:val="FF0000"/>
        </w:rPr>
        <w:t xml:space="preserve"> </w:t>
      </w:r>
    </w:p>
    <w:p w14:paraId="5F2CBEFB" w14:textId="77777777" w:rsidR="00E836FB" w:rsidRDefault="00994958">
      <w:pPr>
        <w:spacing w:before="60"/>
        <w:jc w:val="both"/>
      </w:pPr>
      <w:r>
        <w:rPr>
          <w:rFonts w:ascii="Arial" w:eastAsia="宋体" w:hAnsi="Arial" w:cs="Arial"/>
          <w:b/>
          <w:bCs/>
          <w:i/>
          <w:iCs/>
          <w:color w:val="000000"/>
          <w:sz w:val="20"/>
          <w:szCs w:val="20"/>
        </w:rPr>
        <w:t>Management Fees</w:t>
      </w:r>
    </w:p>
    <w:p w14:paraId="5F2CBEFC" w14:textId="77777777" w:rsidR="00E836FB" w:rsidRDefault="00994958">
      <w:pPr>
        <w:spacing w:before="60"/>
        <w:ind w:firstLine="450"/>
        <w:jc w:val="both"/>
      </w:pPr>
      <w:r>
        <w:rPr>
          <w:rFonts w:ascii="Arial" w:eastAsia="宋体" w:hAnsi="Arial" w:cs="Arial"/>
          <w:color w:val="000000"/>
          <w:sz w:val="20"/>
          <w:szCs w:val="20"/>
        </w:rPr>
        <w:t>Management fees</w:t>
      </w:r>
      <w:r>
        <w:rPr>
          <w:rFonts w:ascii="Arial" w:eastAsia="宋体" w:hAnsi="Arial" w:cs="Arial"/>
          <w:color w:val="000000"/>
          <w:sz w:val="20"/>
          <w:szCs w:val="20"/>
        </w:rPr>
        <w:t xml:space="preserve"> increased 9% in 2021 compared to 2020, primarily due to higher average equity market levels and net inflows from ETFs, partially offset by a previously reported idiosyncratic institutional client asset reallocation expected to be primarily reflected in 20</w:t>
      </w:r>
      <w:r>
        <w:rPr>
          <w:rFonts w:ascii="Arial" w:eastAsia="宋体" w:hAnsi="Arial" w:cs="Arial"/>
          <w:color w:val="000000"/>
          <w:sz w:val="20"/>
          <w:szCs w:val="20"/>
        </w:rPr>
        <w:t>22, and higher money market fee waivers. FX rates impacted management fees positively by 1% in 2021 relative to 2020 and 0.5% in 2020 relative to 2019.</w:t>
      </w:r>
    </w:p>
    <w:p w14:paraId="5F2CBEFD" w14:textId="77777777" w:rsidR="00E836FB" w:rsidRDefault="00994958">
      <w:pPr>
        <w:spacing w:before="60"/>
        <w:ind w:firstLine="450"/>
        <w:jc w:val="both"/>
      </w:pPr>
      <w:r>
        <w:rPr>
          <w:rFonts w:ascii="Arial" w:eastAsia="宋体" w:hAnsi="Arial" w:cs="Arial"/>
          <w:color w:val="000000"/>
          <w:sz w:val="20"/>
          <w:szCs w:val="20"/>
        </w:rPr>
        <w:t>Additional information about management fees is provided under " Fee Revenue" in "Consolidated Results o</w:t>
      </w:r>
      <w:r>
        <w:rPr>
          <w:rFonts w:ascii="Arial" w:eastAsia="宋体" w:hAnsi="Arial" w:cs="Arial"/>
          <w:color w:val="000000"/>
          <w:sz w:val="20"/>
          <w:szCs w:val="20"/>
        </w:rPr>
        <w:t>f Operations" included in this Management's Discussion and Analysis.</w:t>
      </w:r>
    </w:p>
    <w:p w14:paraId="5F2CBEFE" w14:textId="77777777" w:rsidR="00E836FB" w:rsidRDefault="00994958">
      <w:pPr>
        <w:spacing w:before="60"/>
        <w:jc w:val="both"/>
      </w:pPr>
      <w:r>
        <w:rPr>
          <w:rFonts w:ascii="Arial" w:eastAsia="宋体" w:hAnsi="Arial" w:cs="Arial"/>
          <w:b/>
          <w:bCs/>
          <w:i/>
          <w:iCs/>
          <w:color w:val="000000"/>
          <w:sz w:val="20"/>
          <w:szCs w:val="20"/>
        </w:rPr>
        <w:t xml:space="preserve">Expenses </w:t>
      </w:r>
    </w:p>
    <w:p w14:paraId="5F2CBEFF" w14:textId="77777777" w:rsidR="00E836FB" w:rsidRDefault="00994958">
      <w:pPr>
        <w:spacing w:before="60"/>
        <w:ind w:firstLine="450"/>
        <w:jc w:val="both"/>
      </w:pPr>
      <w:r>
        <w:rPr>
          <w:rFonts w:ascii="Arial" w:eastAsia="宋体" w:hAnsi="Arial" w:cs="Arial"/>
          <w:color w:val="000000"/>
          <w:sz w:val="20"/>
          <w:szCs w:val="20"/>
        </w:rPr>
        <w:t>Total expenses for Investment Management decreased 2% in 2021 compared to 2020, primarily due to savings from on-going expense management initiatives. Currency translation incre</w:t>
      </w:r>
      <w:r>
        <w:rPr>
          <w:rFonts w:ascii="Arial" w:eastAsia="宋体" w:hAnsi="Arial" w:cs="Arial"/>
          <w:color w:val="000000"/>
          <w:sz w:val="20"/>
          <w:szCs w:val="20"/>
        </w:rPr>
        <w:t>ased expenses for Investment Management by 1% in 2021 relative to 2020. Seasonal deferred incentive compensation expense and payroll taxes were $35 million in 2021, compared to $26 million in 2020.</w:t>
      </w:r>
    </w:p>
    <w:p w14:paraId="5F2CBF00" w14:textId="77777777" w:rsidR="00E836FB" w:rsidRDefault="00994958">
      <w:pPr>
        <w:spacing w:before="60"/>
        <w:ind w:firstLine="450"/>
        <w:jc w:val="both"/>
      </w:pPr>
      <w:r>
        <w:rPr>
          <w:rFonts w:ascii="Arial" w:eastAsia="宋体" w:hAnsi="Arial" w:cs="Arial"/>
          <w:color w:val="000000"/>
          <w:sz w:val="20"/>
          <w:szCs w:val="20"/>
        </w:rPr>
        <w:t>Additional information about expenses is provided under "E</w:t>
      </w:r>
      <w:r>
        <w:rPr>
          <w:rFonts w:ascii="Arial" w:eastAsia="宋体" w:hAnsi="Arial" w:cs="Arial"/>
          <w:color w:val="000000"/>
          <w:sz w:val="20"/>
          <w:szCs w:val="20"/>
        </w:rPr>
        <w:t>xpenses" in "Consolidated Results of Operations" included in this Management's Discussion and Analysis.</w:t>
      </w:r>
    </w:p>
    <w:p w14:paraId="5F2CBF01" w14:textId="77777777" w:rsidR="00E836FB" w:rsidRDefault="00994958">
      <w:pPr>
        <w:spacing w:before="60"/>
        <w:ind w:firstLine="450"/>
        <w:jc w:val="both"/>
      </w:pPr>
      <w:r>
        <w:rPr>
          <w:rFonts w:ascii="Arial" w:eastAsia="宋体" w:hAnsi="Arial" w:cs="Arial"/>
          <w:color w:val="000000"/>
          <w:sz w:val="20"/>
          <w:szCs w:val="20"/>
        </w:rPr>
        <w:t xml:space="preserve">For additional information about our two lines of business, as well as the revenues, expenses and capital allocation methodologies associated with </w:t>
      </w:r>
      <w:r>
        <w:rPr>
          <w:rFonts w:ascii="Arial" w:eastAsia="宋体" w:hAnsi="Arial" w:cs="Arial"/>
          <w:color w:val="000000"/>
          <w:sz w:val="20"/>
          <w:szCs w:val="20"/>
        </w:rPr>
        <w:t>them, refer to Note 24 to the consolidated financial statements in this Form 10-K.</w:t>
      </w:r>
    </w:p>
    <w:p w14:paraId="5F2CBF02" w14:textId="77777777" w:rsidR="00E836FB" w:rsidRDefault="00994958">
      <w:pPr>
        <w:ind w:firstLine="450"/>
        <w:jc w:val="right"/>
      </w:pPr>
      <w:r>
        <w:rPr>
          <w:rFonts w:ascii="Arial" w:eastAsia="宋体" w:hAnsi="Arial" w:cs="Arial"/>
          <w:color w:val="000000"/>
          <w:sz w:val="18"/>
          <w:szCs w:val="18"/>
        </w:rPr>
        <w:t>State Street Corporation | 76</w:t>
      </w:r>
    </w:p>
    <w:p w14:paraId="5F2CBF03" w14:textId="77777777" w:rsidR="00E836FB" w:rsidRDefault="00E836FB">
      <w:pPr>
        <w:ind w:firstLine="450"/>
        <w:jc w:val="center"/>
      </w:pPr>
    </w:p>
    <w:p w14:paraId="5F2CBF04" w14:textId="77777777" w:rsidR="00E836FB" w:rsidRDefault="00994958">
      <w:r>
        <w:pict w14:anchorId="5F2D6DD1">
          <v:rect id="_x0000_i1100" style="width:415.3pt;height:1.5pt" o:hralign="center" o:hrstd="t" o:hr="t" fillcolor="#a0a0a0" stroked="f"/>
        </w:pict>
      </w:r>
    </w:p>
    <w:p w14:paraId="5F2CBF05"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BF06" w14:textId="77777777" w:rsidR="00E836FB" w:rsidRDefault="00994958">
      <w:pPr>
        <w:ind w:firstLine="450"/>
        <w:jc w:val="center"/>
      </w:pPr>
      <w:r>
        <w:rPr>
          <w:rFonts w:ascii="Arial" w:eastAsia="宋体" w:hAnsi="Arial" w:cs="Arial"/>
          <w:b/>
          <w:bCs/>
          <w:color w:val="000000"/>
          <w:sz w:val="20"/>
          <w:szCs w:val="20"/>
        </w:rPr>
        <w:t>AND RESULTS OF OPERATIONS</w:t>
      </w:r>
    </w:p>
    <w:p w14:paraId="5F2CBF07" w14:textId="77777777" w:rsidR="00E836FB" w:rsidRDefault="00994958">
      <w:pPr>
        <w:spacing w:before="90"/>
        <w:textAlignment w:val="top"/>
      </w:pPr>
      <w:r>
        <w:rPr>
          <w:rFonts w:ascii="Arial" w:eastAsia="宋体" w:hAnsi="Arial" w:cs="Arial"/>
          <w:b/>
          <w:bCs/>
          <w:color w:val="000000"/>
          <w:sz w:val="20"/>
          <w:szCs w:val="20"/>
        </w:rPr>
        <w:t>FINANCIAL CONDITION</w:t>
      </w:r>
    </w:p>
    <w:p w14:paraId="5F2CBF08" w14:textId="77777777" w:rsidR="00E836FB" w:rsidRDefault="00994958">
      <w:pPr>
        <w:spacing w:before="60"/>
        <w:ind w:firstLine="450"/>
        <w:jc w:val="both"/>
        <w:textAlignment w:val="top"/>
      </w:pPr>
      <w:r>
        <w:rPr>
          <w:rFonts w:ascii="Arial" w:eastAsia="宋体" w:hAnsi="Arial" w:cs="Arial"/>
          <w:color w:val="000000"/>
          <w:sz w:val="20"/>
          <w:szCs w:val="20"/>
        </w:rPr>
        <w:t xml:space="preserve">The structure of our </w:t>
      </w:r>
      <w:r>
        <w:rPr>
          <w:rFonts w:ascii="Arial" w:eastAsia="宋体" w:hAnsi="Arial" w:cs="Arial"/>
          <w:color w:val="000000"/>
          <w:sz w:val="20"/>
          <w:szCs w:val="20"/>
        </w:rPr>
        <w:t>consolidated statement of condition is primarily driven by the liabilities generated by our Investment Servicing and Investment Management lines of business. Our clients' needs and our operating objectives determine balance sheet volume, mix and currency d</w:t>
      </w:r>
      <w:r>
        <w:rPr>
          <w:rFonts w:ascii="Arial" w:eastAsia="宋体" w:hAnsi="Arial" w:cs="Arial"/>
          <w:color w:val="000000"/>
          <w:sz w:val="20"/>
          <w:szCs w:val="20"/>
        </w:rPr>
        <w:t>enomination. As our clients execute their worldwide cash management and investment activities, they utilize deposits and short-term investments that constitute the majority of our liabilities. These liabilities are generally in the form of interest-bearing</w:t>
      </w:r>
      <w:r>
        <w:rPr>
          <w:rFonts w:ascii="Arial" w:eastAsia="宋体" w:hAnsi="Arial" w:cs="Arial"/>
          <w:color w:val="000000"/>
          <w:sz w:val="20"/>
          <w:szCs w:val="20"/>
        </w:rPr>
        <w:t xml:space="preserve"> transaction account deposits, which are denominated in a variety of currencies; non-interest-bearing demand deposits; and repurchase agreements, which generally serve as short-term investment alternatives for our clients.</w:t>
      </w:r>
    </w:p>
    <w:p w14:paraId="5F2CBF09" w14:textId="77777777" w:rsidR="00E836FB" w:rsidRDefault="00994958">
      <w:pPr>
        <w:spacing w:before="60"/>
        <w:ind w:firstLine="450"/>
        <w:jc w:val="both"/>
        <w:textAlignment w:val="top"/>
      </w:pPr>
      <w:r>
        <w:rPr>
          <w:rFonts w:ascii="Arial" w:eastAsia="宋体" w:hAnsi="Arial" w:cs="Arial"/>
          <w:color w:val="000000"/>
          <w:sz w:val="20"/>
          <w:szCs w:val="20"/>
        </w:rPr>
        <w:t>Deposits and other liabilities re</w:t>
      </w:r>
      <w:r>
        <w:rPr>
          <w:rFonts w:ascii="Arial" w:eastAsia="宋体" w:hAnsi="Arial" w:cs="Arial"/>
          <w:color w:val="000000"/>
          <w:sz w:val="20"/>
          <w:szCs w:val="20"/>
        </w:rPr>
        <w:t xml:space="preserve">sulting from client initiated transactions are invested in assets that generally have contractual maturities significantly longer than our liabilities; however, we evaluate the operational nature of our deposits and seek to maintain appropriate short-term </w:t>
      </w:r>
      <w:r>
        <w:rPr>
          <w:rFonts w:ascii="Arial" w:eastAsia="宋体" w:hAnsi="Arial" w:cs="Arial"/>
          <w:color w:val="000000"/>
          <w:sz w:val="20"/>
          <w:szCs w:val="20"/>
        </w:rPr>
        <w:t>liquidity of those liabilities that are not operational in nature and maintain longer-termed assets for our operational deposits. Our assets consist primarily of securities held in our AFS or HTM portfolios and short-duration financial instruments, such as</w:t>
      </w:r>
      <w:r>
        <w:rPr>
          <w:rFonts w:ascii="Arial" w:eastAsia="宋体" w:hAnsi="Arial" w:cs="Arial"/>
          <w:color w:val="000000"/>
          <w:sz w:val="20"/>
          <w:szCs w:val="20"/>
        </w:rPr>
        <w:t xml:space="preserve"> interest-bearing deposits with banks and securities purchased under resale agreements. The actual mix of assets is determined by the characteristics of the client liabilities and our desire to maintain a well-diversified portfolio of high-quality assets.</w:t>
      </w:r>
    </w:p>
    <w:p w14:paraId="5F2CBF0A"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information on our financial condition is based on our average balance sheet, which we believe is the better measure of our balance sheet trends as period-end balances can be impacted by the timing of client activities including deposits and </w:t>
      </w:r>
      <w:r>
        <w:rPr>
          <w:rFonts w:ascii="Arial" w:eastAsia="宋体" w:hAnsi="Arial" w:cs="Arial"/>
          <w:color w:val="000000"/>
          <w:sz w:val="20"/>
          <w:szCs w:val="20"/>
        </w:rPr>
        <w:t>withdrawals.</w:t>
      </w:r>
    </w:p>
    <w:tbl>
      <w:tblPr>
        <w:tblW w:w="5000" w:type="pct"/>
        <w:tblCellMar>
          <w:top w:w="15" w:type="dxa"/>
          <w:left w:w="15" w:type="dxa"/>
          <w:bottom w:w="15" w:type="dxa"/>
          <w:right w:w="15" w:type="dxa"/>
        </w:tblCellMar>
        <w:tblLook w:val="04A0" w:firstRow="1" w:lastRow="0" w:firstColumn="1" w:lastColumn="0" w:noHBand="0" w:noVBand="1"/>
      </w:tblPr>
      <w:tblGrid>
        <w:gridCol w:w="42"/>
        <w:gridCol w:w="3524"/>
        <w:gridCol w:w="39"/>
        <w:gridCol w:w="98"/>
        <w:gridCol w:w="1275"/>
        <w:gridCol w:w="36"/>
        <w:gridCol w:w="36"/>
        <w:gridCol w:w="71"/>
        <w:gridCol w:w="36"/>
        <w:gridCol w:w="98"/>
        <w:gridCol w:w="1276"/>
        <w:gridCol w:w="36"/>
        <w:gridCol w:w="36"/>
        <w:gridCol w:w="71"/>
        <w:gridCol w:w="36"/>
        <w:gridCol w:w="98"/>
        <w:gridCol w:w="1276"/>
        <w:gridCol w:w="36"/>
        <w:gridCol w:w="36"/>
        <w:gridCol w:w="36"/>
        <w:gridCol w:w="36"/>
        <w:gridCol w:w="36"/>
        <w:gridCol w:w="36"/>
        <w:gridCol w:w="36"/>
      </w:tblGrid>
      <w:tr w:rsidR="00E836FB" w14:paraId="5F2CBF1F" w14:textId="77777777">
        <w:tc>
          <w:tcPr>
            <w:tcW w:w="50" w:type="pct"/>
            <w:shd w:val="clear" w:color="auto" w:fill="auto"/>
            <w:vAlign w:val="bottom"/>
          </w:tcPr>
          <w:p w14:paraId="5F2CBF0B" w14:textId="77777777" w:rsidR="00E836FB" w:rsidRDefault="00E836FB">
            <w:pPr>
              <w:rPr>
                <w:rFonts w:ascii="宋体"/>
              </w:rPr>
            </w:pPr>
          </w:p>
        </w:tc>
        <w:tc>
          <w:tcPr>
            <w:tcW w:w="2193" w:type="pct"/>
            <w:shd w:val="clear" w:color="auto" w:fill="auto"/>
            <w:vAlign w:val="bottom"/>
          </w:tcPr>
          <w:p w14:paraId="5F2CBF0C" w14:textId="77777777" w:rsidR="00E836FB" w:rsidRDefault="00E836FB">
            <w:pPr>
              <w:rPr>
                <w:rFonts w:ascii="宋体"/>
              </w:rPr>
            </w:pPr>
          </w:p>
        </w:tc>
        <w:tc>
          <w:tcPr>
            <w:tcW w:w="5" w:type="pct"/>
            <w:shd w:val="clear" w:color="auto" w:fill="auto"/>
            <w:vAlign w:val="bottom"/>
          </w:tcPr>
          <w:p w14:paraId="5F2CBF0D" w14:textId="77777777" w:rsidR="00E836FB" w:rsidRDefault="00E836FB">
            <w:pPr>
              <w:rPr>
                <w:rFonts w:ascii="宋体"/>
              </w:rPr>
            </w:pPr>
          </w:p>
        </w:tc>
        <w:tc>
          <w:tcPr>
            <w:tcW w:w="50" w:type="pct"/>
            <w:shd w:val="clear" w:color="auto" w:fill="auto"/>
            <w:vAlign w:val="bottom"/>
          </w:tcPr>
          <w:p w14:paraId="5F2CBF0E" w14:textId="77777777" w:rsidR="00E836FB" w:rsidRDefault="00E836FB">
            <w:pPr>
              <w:rPr>
                <w:rFonts w:ascii="宋体"/>
              </w:rPr>
            </w:pPr>
          </w:p>
        </w:tc>
        <w:tc>
          <w:tcPr>
            <w:tcW w:w="809" w:type="pct"/>
            <w:shd w:val="clear" w:color="auto" w:fill="auto"/>
            <w:vAlign w:val="bottom"/>
          </w:tcPr>
          <w:p w14:paraId="5F2CBF0F" w14:textId="77777777" w:rsidR="00E836FB" w:rsidRDefault="00E836FB">
            <w:pPr>
              <w:rPr>
                <w:rFonts w:ascii="宋体"/>
              </w:rPr>
            </w:pPr>
          </w:p>
        </w:tc>
        <w:tc>
          <w:tcPr>
            <w:tcW w:w="5" w:type="pct"/>
            <w:shd w:val="clear" w:color="auto" w:fill="auto"/>
            <w:vAlign w:val="bottom"/>
          </w:tcPr>
          <w:p w14:paraId="5F2CBF10" w14:textId="77777777" w:rsidR="00E836FB" w:rsidRDefault="00E836FB">
            <w:pPr>
              <w:rPr>
                <w:rFonts w:ascii="宋体"/>
              </w:rPr>
            </w:pPr>
          </w:p>
        </w:tc>
        <w:tc>
          <w:tcPr>
            <w:tcW w:w="5" w:type="pct"/>
            <w:shd w:val="clear" w:color="auto" w:fill="auto"/>
            <w:vAlign w:val="bottom"/>
          </w:tcPr>
          <w:p w14:paraId="5F2CBF11" w14:textId="77777777" w:rsidR="00E836FB" w:rsidRDefault="00E836FB">
            <w:pPr>
              <w:rPr>
                <w:rFonts w:ascii="宋体"/>
              </w:rPr>
            </w:pPr>
          </w:p>
        </w:tc>
        <w:tc>
          <w:tcPr>
            <w:tcW w:w="68" w:type="pct"/>
            <w:shd w:val="clear" w:color="auto" w:fill="auto"/>
            <w:vAlign w:val="bottom"/>
          </w:tcPr>
          <w:p w14:paraId="5F2CBF12" w14:textId="77777777" w:rsidR="00E836FB" w:rsidRDefault="00E836FB">
            <w:pPr>
              <w:rPr>
                <w:rFonts w:ascii="宋体"/>
              </w:rPr>
            </w:pPr>
          </w:p>
        </w:tc>
        <w:tc>
          <w:tcPr>
            <w:tcW w:w="5" w:type="pct"/>
            <w:shd w:val="clear" w:color="auto" w:fill="auto"/>
            <w:vAlign w:val="bottom"/>
          </w:tcPr>
          <w:p w14:paraId="5F2CBF13" w14:textId="77777777" w:rsidR="00E836FB" w:rsidRDefault="00E836FB">
            <w:pPr>
              <w:rPr>
                <w:rFonts w:ascii="宋体"/>
              </w:rPr>
            </w:pPr>
          </w:p>
        </w:tc>
        <w:tc>
          <w:tcPr>
            <w:tcW w:w="50" w:type="pct"/>
            <w:shd w:val="clear" w:color="auto" w:fill="auto"/>
            <w:vAlign w:val="bottom"/>
          </w:tcPr>
          <w:p w14:paraId="5F2CBF14" w14:textId="77777777" w:rsidR="00E836FB" w:rsidRDefault="00E836FB">
            <w:pPr>
              <w:rPr>
                <w:rFonts w:ascii="宋体"/>
              </w:rPr>
            </w:pPr>
          </w:p>
        </w:tc>
        <w:tc>
          <w:tcPr>
            <w:tcW w:w="809" w:type="pct"/>
            <w:shd w:val="clear" w:color="auto" w:fill="auto"/>
            <w:vAlign w:val="bottom"/>
          </w:tcPr>
          <w:p w14:paraId="5F2CBF15" w14:textId="77777777" w:rsidR="00E836FB" w:rsidRDefault="00E836FB">
            <w:pPr>
              <w:rPr>
                <w:rFonts w:ascii="宋体"/>
              </w:rPr>
            </w:pPr>
          </w:p>
        </w:tc>
        <w:tc>
          <w:tcPr>
            <w:tcW w:w="5" w:type="pct"/>
            <w:shd w:val="clear" w:color="auto" w:fill="auto"/>
            <w:vAlign w:val="bottom"/>
          </w:tcPr>
          <w:p w14:paraId="5F2CBF16" w14:textId="77777777" w:rsidR="00E836FB" w:rsidRDefault="00E836FB">
            <w:pPr>
              <w:rPr>
                <w:rFonts w:ascii="宋体"/>
              </w:rPr>
            </w:pPr>
          </w:p>
        </w:tc>
        <w:tc>
          <w:tcPr>
            <w:tcW w:w="5" w:type="pct"/>
            <w:shd w:val="clear" w:color="auto" w:fill="auto"/>
            <w:vAlign w:val="bottom"/>
          </w:tcPr>
          <w:p w14:paraId="5F2CBF17" w14:textId="77777777" w:rsidR="00E836FB" w:rsidRDefault="00E836FB">
            <w:pPr>
              <w:rPr>
                <w:rFonts w:ascii="宋体"/>
              </w:rPr>
            </w:pPr>
          </w:p>
        </w:tc>
        <w:tc>
          <w:tcPr>
            <w:tcW w:w="68" w:type="pct"/>
            <w:shd w:val="clear" w:color="auto" w:fill="auto"/>
            <w:vAlign w:val="bottom"/>
          </w:tcPr>
          <w:p w14:paraId="5F2CBF18" w14:textId="77777777" w:rsidR="00E836FB" w:rsidRDefault="00E836FB">
            <w:pPr>
              <w:rPr>
                <w:rFonts w:ascii="宋体"/>
              </w:rPr>
            </w:pPr>
          </w:p>
        </w:tc>
        <w:tc>
          <w:tcPr>
            <w:tcW w:w="5" w:type="pct"/>
            <w:shd w:val="clear" w:color="auto" w:fill="auto"/>
            <w:vAlign w:val="bottom"/>
          </w:tcPr>
          <w:p w14:paraId="5F2CBF19" w14:textId="77777777" w:rsidR="00E836FB" w:rsidRDefault="00E836FB">
            <w:pPr>
              <w:rPr>
                <w:rFonts w:ascii="宋体"/>
              </w:rPr>
            </w:pPr>
          </w:p>
        </w:tc>
        <w:tc>
          <w:tcPr>
            <w:tcW w:w="50" w:type="pct"/>
            <w:shd w:val="clear" w:color="auto" w:fill="auto"/>
            <w:vAlign w:val="bottom"/>
          </w:tcPr>
          <w:p w14:paraId="5F2CBF1A" w14:textId="77777777" w:rsidR="00E836FB" w:rsidRDefault="00E836FB">
            <w:pPr>
              <w:rPr>
                <w:rFonts w:ascii="宋体"/>
              </w:rPr>
            </w:pPr>
          </w:p>
        </w:tc>
        <w:tc>
          <w:tcPr>
            <w:tcW w:w="809" w:type="pct"/>
            <w:shd w:val="clear" w:color="auto" w:fill="auto"/>
            <w:vAlign w:val="bottom"/>
          </w:tcPr>
          <w:p w14:paraId="5F2CBF1B" w14:textId="77777777" w:rsidR="00E836FB" w:rsidRDefault="00E836FB">
            <w:pPr>
              <w:rPr>
                <w:rFonts w:ascii="宋体"/>
              </w:rPr>
            </w:pPr>
          </w:p>
        </w:tc>
        <w:tc>
          <w:tcPr>
            <w:tcW w:w="5" w:type="pct"/>
            <w:shd w:val="clear" w:color="auto" w:fill="auto"/>
            <w:vAlign w:val="bottom"/>
          </w:tcPr>
          <w:p w14:paraId="5F2CBF1C" w14:textId="77777777" w:rsidR="00E836FB" w:rsidRDefault="00E836FB">
            <w:pPr>
              <w:rPr>
                <w:rFonts w:ascii="宋体"/>
              </w:rPr>
            </w:pPr>
          </w:p>
        </w:tc>
        <w:tc>
          <w:tcPr>
            <w:tcW w:w="0" w:type="auto"/>
            <w:gridSpan w:val="3"/>
            <w:shd w:val="clear" w:color="auto" w:fill="auto"/>
            <w:vAlign w:val="bottom"/>
          </w:tcPr>
          <w:p w14:paraId="5F2CBF1D" w14:textId="77777777" w:rsidR="00E836FB" w:rsidRDefault="00E836FB">
            <w:pPr>
              <w:rPr>
                <w:rFonts w:ascii="宋体"/>
                <w:vanish/>
              </w:rPr>
            </w:pPr>
          </w:p>
        </w:tc>
        <w:tc>
          <w:tcPr>
            <w:tcW w:w="0" w:type="auto"/>
            <w:gridSpan w:val="3"/>
            <w:shd w:val="clear" w:color="auto" w:fill="auto"/>
            <w:vAlign w:val="bottom"/>
          </w:tcPr>
          <w:p w14:paraId="5F2CBF1E" w14:textId="77777777" w:rsidR="00E836FB" w:rsidRDefault="00E836FB">
            <w:pPr>
              <w:rPr>
                <w:rFonts w:ascii="宋体"/>
                <w:vanish/>
              </w:rPr>
            </w:pPr>
          </w:p>
        </w:tc>
      </w:tr>
      <w:tr w:rsidR="00E836FB" w14:paraId="5F2CBF2C" w14:textId="77777777">
        <w:trPr>
          <w:hidden/>
        </w:trPr>
        <w:tc>
          <w:tcPr>
            <w:tcW w:w="0" w:type="auto"/>
            <w:gridSpan w:val="3"/>
            <w:shd w:val="clear" w:color="auto" w:fill="auto"/>
            <w:vAlign w:val="bottom"/>
          </w:tcPr>
          <w:p w14:paraId="5F2CBF20" w14:textId="77777777" w:rsidR="00E836FB" w:rsidRDefault="00E836FB">
            <w:pPr>
              <w:rPr>
                <w:rFonts w:ascii="宋体"/>
                <w:vanish/>
              </w:rPr>
            </w:pPr>
          </w:p>
        </w:tc>
        <w:tc>
          <w:tcPr>
            <w:tcW w:w="0" w:type="auto"/>
            <w:gridSpan w:val="3"/>
            <w:shd w:val="clear" w:color="auto" w:fill="auto"/>
            <w:vAlign w:val="bottom"/>
          </w:tcPr>
          <w:p w14:paraId="5F2CBF21" w14:textId="77777777" w:rsidR="00E836FB" w:rsidRDefault="00E836FB">
            <w:pPr>
              <w:rPr>
                <w:rFonts w:ascii="宋体"/>
                <w:vanish/>
              </w:rPr>
            </w:pPr>
          </w:p>
        </w:tc>
        <w:tc>
          <w:tcPr>
            <w:tcW w:w="0" w:type="auto"/>
            <w:gridSpan w:val="3"/>
            <w:shd w:val="clear" w:color="auto" w:fill="auto"/>
            <w:vAlign w:val="bottom"/>
          </w:tcPr>
          <w:p w14:paraId="5F2CBF22" w14:textId="77777777" w:rsidR="00E836FB" w:rsidRDefault="00E836FB">
            <w:pPr>
              <w:rPr>
                <w:rFonts w:ascii="宋体"/>
                <w:vanish/>
              </w:rPr>
            </w:pPr>
          </w:p>
        </w:tc>
        <w:tc>
          <w:tcPr>
            <w:tcW w:w="0" w:type="auto"/>
            <w:gridSpan w:val="3"/>
            <w:shd w:val="clear" w:color="auto" w:fill="auto"/>
            <w:vAlign w:val="bottom"/>
          </w:tcPr>
          <w:p w14:paraId="5F2CBF23" w14:textId="77777777" w:rsidR="00E836FB" w:rsidRDefault="00E836FB">
            <w:pPr>
              <w:rPr>
                <w:rFonts w:ascii="宋体"/>
                <w:vanish/>
              </w:rPr>
            </w:pPr>
          </w:p>
        </w:tc>
        <w:tc>
          <w:tcPr>
            <w:tcW w:w="0" w:type="auto"/>
            <w:gridSpan w:val="3"/>
            <w:shd w:val="clear" w:color="auto" w:fill="auto"/>
            <w:vAlign w:val="bottom"/>
          </w:tcPr>
          <w:p w14:paraId="5F2CBF24" w14:textId="77777777" w:rsidR="00E836FB" w:rsidRDefault="00E836FB">
            <w:pPr>
              <w:rPr>
                <w:rFonts w:ascii="宋体"/>
                <w:vanish/>
              </w:rPr>
            </w:pPr>
          </w:p>
        </w:tc>
        <w:tc>
          <w:tcPr>
            <w:tcW w:w="0" w:type="auto"/>
            <w:gridSpan w:val="3"/>
            <w:shd w:val="clear" w:color="auto" w:fill="auto"/>
            <w:vAlign w:val="bottom"/>
          </w:tcPr>
          <w:p w14:paraId="5F2CBF25" w14:textId="77777777" w:rsidR="00E836FB" w:rsidRDefault="00E836FB">
            <w:pPr>
              <w:rPr>
                <w:rFonts w:ascii="宋体"/>
                <w:vanish/>
              </w:rPr>
            </w:pPr>
          </w:p>
        </w:tc>
        <w:tc>
          <w:tcPr>
            <w:tcW w:w="0" w:type="auto"/>
            <w:shd w:val="clear" w:color="auto" w:fill="auto"/>
            <w:vAlign w:val="bottom"/>
          </w:tcPr>
          <w:p w14:paraId="5F2CBF26" w14:textId="77777777" w:rsidR="00E836FB" w:rsidRDefault="00E836FB">
            <w:pPr>
              <w:rPr>
                <w:rFonts w:ascii="宋体"/>
              </w:rPr>
            </w:pPr>
          </w:p>
        </w:tc>
        <w:tc>
          <w:tcPr>
            <w:tcW w:w="0" w:type="auto"/>
            <w:shd w:val="clear" w:color="auto" w:fill="auto"/>
            <w:vAlign w:val="bottom"/>
          </w:tcPr>
          <w:p w14:paraId="5F2CBF27" w14:textId="77777777" w:rsidR="00E836FB" w:rsidRDefault="00E836FB">
            <w:pPr>
              <w:rPr>
                <w:rFonts w:ascii="宋体"/>
              </w:rPr>
            </w:pPr>
          </w:p>
        </w:tc>
        <w:tc>
          <w:tcPr>
            <w:tcW w:w="0" w:type="auto"/>
            <w:shd w:val="clear" w:color="auto" w:fill="auto"/>
            <w:vAlign w:val="bottom"/>
          </w:tcPr>
          <w:p w14:paraId="5F2CBF28" w14:textId="77777777" w:rsidR="00E836FB" w:rsidRDefault="00E836FB">
            <w:pPr>
              <w:rPr>
                <w:rFonts w:ascii="宋体"/>
              </w:rPr>
            </w:pPr>
          </w:p>
        </w:tc>
        <w:tc>
          <w:tcPr>
            <w:tcW w:w="0" w:type="auto"/>
            <w:shd w:val="clear" w:color="auto" w:fill="auto"/>
            <w:vAlign w:val="bottom"/>
          </w:tcPr>
          <w:p w14:paraId="5F2CBF29" w14:textId="77777777" w:rsidR="00E836FB" w:rsidRDefault="00E836FB">
            <w:pPr>
              <w:rPr>
                <w:rFonts w:ascii="宋体"/>
              </w:rPr>
            </w:pPr>
          </w:p>
        </w:tc>
        <w:tc>
          <w:tcPr>
            <w:tcW w:w="0" w:type="auto"/>
            <w:shd w:val="clear" w:color="auto" w:fill="auto"/>
            <w:vAlign w:val="bottom"/>
          </w:tcPr>
          <w:p w14:paraId="5F2CBF2A" w14:textId="77777777" w:rsidR="00E836FB" w:rsidRDefault="00E836FB">
            <w:pPr>
              <w:rPr>
                <w:rFonts w:ascii="宋体"/>
              </w:rPr>
            </w:pPr>
          </w:p>
        </w:tc>
        <w:tc>
          <w:tcPr>
            <w:tcW w:w="0" w:type="auto"/>
            <w:shd w:val="clear" w:color="auto" w:fill="auto"/>
            <w:vAlign w:val="bottom"/>
          </w:tcPr>
          <w:p w14:paraId="5F2CBF2B" w14:textId="77777777" w:rsidR="00E836FB" w:rsidRDefault="00E836FB">
            <w:pPr>
              <w:rPr>
                <w:rFonts w:ascii="宋体"/>
              </w:rPr>
            </w:pPr>
          </w:p>
        </w:tc>
      </w:tr>
      <w:tr w:rsidR="00E836FB" w14:paraId="5F2CBF35" w14:textId="77777777">
        <w:trPr>
          <w:hidden/>
        </w:trPr>
        <w:tc>
          <w:tcPr>
            <w:tcW w:w="0" w:type="auto"/>
            <w:gridSpan w:val="3"/>
            <w:shd w:val="clear" w:color="auto" w:fill="auto"/>
            <w:vAlign w:val="bottom"/>
          </w:tcPr>
          <w:p w14:paraId="5F2CBF2D" w14:textId="77777777" w:rsidR="00E836FB" w:rsidRDefault="00E836FB">
            <w:pPr>
              <w:rPr>
                <w:rFonts w:ascii="宋体"/>
                <w:vanish/>
              </w:rPr>
            </w:pPr>
          </w:p>
        </w:tc>
        <w:tc>
          <w:tcPr>
            <w:tcW w:w="0" w:type="auto"/>
            <w:gridSpan w:val="3"/>
            <w:shd w:val="clear" w:color="auto" w:fill="auto"/>
            <w:vAlign w:val="bottom"/>
          </w:tcPr>
          <w:p w14:paraId="5F2CBF2E" w14:textId="77777777" w:rsidR="00E836FB" w:rsidRDefault="00E836FB">
            <w:pPr>
              <w:rPr>
                <w:rFonts w:ascii="宋体"/>
                <w:vanish/>
              </w:rPr>
            </w:pPr>
          </w:p>
        </w:tc>
        <w:tc>
          <w:tcPr>
            <w:tcW w:w="0" w:type="auto"/>
            <w:gridSpan w:val="3"/>
            <w:shd w:val="clear" w:color="auto" w:fill="auto"/>
            <w:vAlign w:val="bottom"/>
          </w:tcPr>
          <w:p w14:paraId="5F2CBF2F" w14:textId="77777777" w:rsidR="00E836FB" w:rsidRDefault="00E836FB">
            <w:pPr>
              <w:rPr>
                <w:rFonts w:ascii="宋体"/>
                <w:vanish/>
              </w:rPr>
            </w:pPr>
          </w:p>
        </w:tc>
        <w:tc>
          <w:tcPr>
            <w:tcW w:w="0" w:type="auto"/>
            <w:gridSpan w:val="3"/>
            <w:shd w:val="clear" w:color="auto" w:fill="auto"/>
            <w:vAlign w:val="bottom"/>
          </w:tcPr>
          <w:p w14:paraId="5F2CBF30" w14:textId="77777777" w:rsidR="00E836FB" w:rsidRDefault="00E836FB">
            <w:pPr>
              <w:rPr>
                <w:rFonts w:ascii="宋体"/>
                <w:vanish/>
              </w:rPr>
            </w:pPr>
          </w:p>
        </w:tc>
        <w:tc>
          <w:tcPr>
            <w:tcW w:w="0" w:type="auto"/>
            <w:gridSpan w:val="3"/>
            <w:shd w:val="clear" w:color="auto" w:fill="auto"/>
            <w:vAlign w:val="bottom"/>
          </w:tcPr>
          <w:p w14:paraId="5F2CBF31" w14:textId="77777777" w:rsidR="00E836FB" w:rsidRDefault="00E836FB">
            <w:pPr>
              <w:rPr>
                <w:rFonts w:ascii="宋体"/>
                <w:vanish/>
              </w:rPr>
            </w:pPr>
          </w:p>
        </w:tc>
        <w:tc>
          <w:tcPr>
            <w:tcW w:w="0" w:type="auto"/>
            <w:gridSpan w:val="3"/>
            <w:shd w:val="clear" w:color="auto" w:fill="auto"/>
            <w:vAlign w:val="bottom"/>
          </w:tcPr>
          <w:p w14:paraId="5F2CBF32" w14:textId="77777777" w:rsidR="00E836FB" w:rsidRDefault="00E836FB">
            <w:pPr>
              <w:rPr>
                <w:rFonts w:ascii="宋体"/>
                <w:vanish/>
              </w:rPr>
            </w:pPr>
          </w:p>
        </w:tc>
        <w:tc>
          <w:tcPr>
            <w:tcW w:w="0" w:type="auto"/>
            <w:gridSpan w:val="3"/>
            <w:shd w:val="clear" w:color="auto" w:fill="auto"/>
            <w:vAlign w:val="bottom"/>
          </w:tcPr>
          <w:p w14:paraId="5F2CBF33" w14:textId="77777777" w:rsidR="00E836FB" w:rsidRDefault="00E836FB">
            <w:pPr>
              <w:rPr>
                <w:rFonts w:ascii="宋体"/>
                <w:vanish/>
              </w:rPr>
            </w:pPr>
          </w:p>
        </w:tc>
        <w:tc>
          <w:tcPr>
            <w:tcW w:w="0" w:type="auto"/>
            <w:gridSpan w:val="3"/>
            <w:shd w:val="clear" w:color="auto" w:fill="auto"/>
            <w:vAlign w:val="bottom"/>
          </w:tcPr>
          <w:p w14:paraId="5F2CBF34" w14:textId="77777777" w:rsidR="00E836FB" w:rsidRDefault="00E836FB">
            <w:pPr>
              <w:rPr>
                <w:rFonts w:ascii="宋体"/>
                <w:vanish/>
              </w:rPr>
            </w:pPr>
          </w:p>
        </w:tc>
      </w:tr>
      <w:tr w:rsidR="00E836FB" w14:paraId="5F2CBF3E" w14:textId="77777777">
        <w:trPr>
          <w:hidden/>
        </w:trPr>
        <w:tc>
          <w:tcPr>
            <w:tcW w:w="0" w:type="auto"/>
            <w:gridSpan w:val="3"/>
            <w:shd w:val="clear" w:color="auto" w:fill="auto"/>
            <w:vAlign w:val="bottom"/>
          </w:tcPr>
          <w:p w14:paraId="5F2CBF36" w14:textId="77777777" w:rsidR="00E836FB" w:rsidRDefault="00E836FB">
            <w:pPr>
              <w:rPr>
                <w:rFonts w:ascii="宋体"/>
                <w:vanish/>
              </w:rPr>
            </w:pPr>
          </w:p>
        </w:tc>
        <w:tc>
          <w:tcPr>
            <w:tcW w:w="0" w:type="auto"/>
            <w:gridSpan w:val="3"/>
            <w:shd w:val="clear" w:color="auto" w:fill="auto"/>
            <w:vAlign w:val="bottom"/>
          </w:tcPr>
          <w:p w14:paraId="5F2CBF37" w14:textId="77777777" w:rsidR="00E836FB" w:rsidRDefault="00E836FB">
            <w:pPr>
              <w:rPr>
                <w:rFonts w:ascii="宋体"/>
                <w:vanish/>
              </w:rPr>
            </w:pPr>
          </w:p>
        </w:tc>
        <w:tc>
          <w:tcPr>
            <w:tcW w:w="0" w:type="auto"/>
            <w:gridSpan w:val="3"/>
            <w:shd w:val="clear" w:color="auto" w:fill="auto"/>
            <w:vAlign w:val="bottom"/>
          </w:tcPr>
          <w:p w14:paraId="5F2CBF38" w14:textId="77777777" w:rsidR="00E836FB" w:rsidRDefault="00E836FB">
            <w:pPr>
              <w:rPr>
                <w:rFonts w:ascii="宋体"/>
                <w:vanish/>
              </w:rPr>
            </w:pPr>
          </w:p>
        </w:tc>
        <w:tc>
          <w:tcPr>
            <w:tcW w:w="0" w:type="auto"/>
            <w:gridSpan w:val="3"/>
            <w:shd w:val="clear" w:color="auto" w:fill="auto"/>
            <w:vAlign w:val="bottom"/>
          </w:tcPr>
          <w:p w14:paraId="5F2CBF39" w14:textId="77777777" w:rsidR="00E836FB" w:rsidRDefault="00E836FB">
            <w:pPr>
              <w:rPr>
                <w:rFonts w:ascii="宋体"/>
                <w:vanish/>
              </w:rPr>
            </w:pPr>
          </w:p>
        </w:tc>
        <w:tc>
          <w:tcPr>
            <w:tcW w:w="0" w:type="auto"/>
            <w:gridSpan w:val="3"/>
            <w:shd w:val="clear" w:color="auto" w:fill="auto"/>
            <w:vAlign w:val="bottom"/>
          </w:tcPr>
          <w:p w14:paraId="5F2CBF3A" w14:textId="77777777" w:rsidR="00E836FB" w:rsidRDefault="00E836FB">
            <w:pPr>
              <w:rPr>
                <w:rFonts w:ascii="宋体"/>
                <w:vanish/>
              </w:rPr>
            </w:pPr>
          </w:p>
        </w:tc>
        <w:tc>
          <w:tcPr>
            <w:tcW w:w="0" w:type="auto"/>
            <w:gridSpan w:val="3"/>
            <w:shd w:val="clear" w:color="auto" w:fill="auto"/>
            <w:vAlign w:val="bottom"/>
          </w:tcPr>
          <w:p w14:paraId="5F2CBF3B" w14:textId="77777777" w:rsidR="00E836FB" w:rsidRDefault="00E836FB">
            <w:pPr>
              <w:rPr>
                <w:rFonts w:ascii="宋体"/>
                <w:vanish/>
              </w:rPr>
            </w:pPr>
          </w:p>
        </w:tc>
        <w:tc>
          <w:tcPr>
            <w:tcW w:w="0" w:type="auto"/>
            <w:gridSpan w:val="3"/>
            <w:shd w:val="clear" w:color="auto" w:fill="auto"/>
            <w:vAlign w:val="bottom"/>
          </w:tcPr>
          <w:p w14:paraId="5F2CBF3C" w14:textId="77777777" w:rsidR="00E836FB" w:rsidRDefault="00E836FB">
            <w:pPr>
              <w:rPr>
                <w:rFonts w:ascii="宋体"/>
                <w:vanish/>
              </w:rPr>
            </w:pPr>
          </w:p>
        </w:tc>
        <w:tc>
          <w:tcPr>
            <w:tcW w:w="0" w:type="auto"/>
            <w:gridSpan w:val="3"/>
            <w:shd w:val="clear" w:color="auto" w:fill="auto"/>
            <w:vAlign w:val="bottom"/>
          </w:tcPr>
          <w:p w14:paraId="5F2CBF3D" w14:textId="77777777" w:rsidR="00E836FB" w:rsidRDefault="00E836FB">
            <w:pPr>
              <w:rPr>
                <w:rFonts w:ascii="宋体"/>
                <w:vanish/>
              </w:rPr>
            </w:pPr>
          </w:p>
        </w:tc>
      </w:tr>
      <w:tr w:rsidR="00E836FB" w14:paraId="5F2CBF47" w14:textId="77777777">
        <w:trPr>
          <w:hidden/>
        </w:trPr>
        <w:tc>
          <w:tcPr>
            <w:tcW w:w="0" w:type="auto"/>
            <w:gridSpan w:val="3"/>
            <w:shd w:val="clear" w:color="auto" w:fill="auto"/>
            <w:vAlign w:val="bottom"/>
          </w:tcPr>
          <w:p w14:paraId="5F2CBF3F" w14:textId="77777777" w:rsidR="00E836FB" w:rsidRDefault="00E836FB">
            <w:pPr>
              <w:rPr>
                <w:rFonts w:ascii="宋体"/>
                <w:vanish/>
              </w:rPr>
            </w:pPr>
          </w:p>
        </w:tc>
        <w:tc>
          <w:tcPr>
            <w:tcW w:w="0" w:type="auto"/>
            <w:gridSpan w:val="3"/>
            <w:shd w:val="clear" w:color="auto" w:fill="auto"/>
            <w:vAlign w:val="bottom"/>
          </w:tcPr>
          <w:p w14:paraId="5F2CBF40" w14:textId="77777777" w:rsidR="00E836FB" w:rsidRDefault="00E836FB">
            <w:pPr>
              <w:rPr>
                <w:rFonts w:ascii="宋体"/>
                <w:vanish/>
              </w:rPr>
            </w:pPr>
          </w:p>
        </w:tc>
        <w:tc>
          <w:tcPr>
            <w:tcW w:w="0" w:type="auto"/>
            <w:gridSpan w:val="3"/>
            <w:shd w:val="clear" w:color="auto" w:fill="auto"/>
            <w:vAlign w:val="bottom"/>
          </w:tcPr>
          <w:p w14:paraId="5F2CBF41" w14:textId="77777777" w:rsidR="00E836FB" w:rsidRDefault="00E836FB">
            <w:pPr>
              <w:rPr>
                <w:rFonts w:ascii="宋体"/>
                <w:vanish/>
              </w:rPr>
            </w:pPr>
          </w:p>
        </w:tc>
        <w:tc>
          <w:tcPr>
            <w:tcW w:w="0" w:type="auto"/>
            <w:gridSpan w:val="3"/>
            <w:shd w:val="clear" w:color="auto" w:fill="auto"/>
            <w:vAlign w:val="bottom"/>
          </w:tcPr>
          <w:p w14:paraId="5F2CBF42" w14:textId="77777777" w:rsidR="00E836FB" w:rsidRDefault="00E836FB">
            <w:pPr>
              <w:rPr>
                <w:rFonts w:ascii="宋体"/>
                <w:vanish/>
              </w:rPr>
            </w:pPr>
          </w:p>
        </w:tc>
        <w:tc>
          <w:tcPr>
            <w:tcW w:w="0" w:type="auto"/>
            <w:gridSpan w:val="3"/>
            <w:shd w:val="clear" w:color="auto" w:fill="auto"/>
            <w:vAlign w:val="bottom"/>
          </w:tcPr>
          <w:p w14:paraId="5F2CBF43" w14:textId="77777777" w:rsidR="00E836FB" w:rsidRDefault="00E836FB">
            <w:pPr>
              <w:rPr>
                <w:rFonts w:ascii="宋体"/>
                <w:vanish/>
              </w:rPr>
            </w:pPr>
          </w:p>
        </w:tc>
        <w:tc>
          <w:tcPr>
            <w:tcW w:w="0" w:type="auto"/>
            <w:gridSpan w:val="3"/>
            <w:shd w:val="clear" w:color="auto" w:fill="auto"/>
            <w:vAlign w:val="bottom"/>
          </w:tcPr>
          <w:p w14:paraId="5F2CBF44" w14:textId="77777777" w:rsidR="00E836FB" w:rsidRDefault="00E836FB">
            <w:pPr>
              <w:rPr>
                <w:rFonts w:ascii="宋体"/>
                <w:vanish/>
              </w:rPr>
            </w:pPr>
          </w:p>
        </w:tc>
        <w:tc>
          <w:tcPr>
            <w:tcW w:w="0" w:type="auto"/>
            <w:gridSpan w:val="3"/>
            <w:shd w:val="clear" w:color="auto" w:fill="auto"/>
            <w:vAlign w:val="bottom"/>
          </w:tcPr>
          <w:p w14:paraId="5F2CBF45" w14:textId="77777777" w:rsidR="00E836FB" w:rsidRDefault="00E836FB">
            <w:pPr>
              <w:rPr>
                <w:rFonts w:ascii="宋体"/>
                <w:vanish/>
              </w:rPr>
            </w:pPr>
          </w:p>
        </w:tc>
        <w:tc>
          <w:tcPr>
            <w:tcW w:w="0" w:type="auto"/>
            <w:gridSpan w:val="3"/>
            <w:shd w:val="clear" w:color="auto" w:fill="auto"/>
            <w:vAlign w:val="bottom"/>
          </w:tcPr>
          <w:p w14:paraId="5F2CBF46" w14:textId="77777777" w:rsidR="00E836FB" w:rsidRDefault="00E836FB">
            <w:pPr>
              <w:rPr>
                <w:rFonts w:ascii="宋体"/>
                <w:vanish/>
              </w:rPr>
            </w:pPr>
          </w:p>
        </w:tc>
      </w:tr>
      <w:tr w:rsidR="00E836FB" w14:paraId="5F2CBF50" w14:textId="77777777">
        <w:trPr>
          <w:hidden/>
        </w:trPr>
        <w:tc>
          <w:tcPr>
            <w:tcW w:w="0" w:type="auto"/>
            <w:gridSpan w:val="3"/>
            <w:shd w:val="clear" w:color="auto" w:fill="auto"/>
            <w:vAlign w:val="bottom"/>
          </w:tcPr>
          <w:p w14:paraId="5F2CBF48" w14:textId="77777777" w:rsidR="00E836FB" w:rsidRDefault="00E836FB">
            <w:pPr>
              <w:rPr>
                <w:rFonts w:ascii="宋体"/>
                <w:vanish/>
              </w:rPr>
            </w:pPr>
          </w:p>
        </w:tc>
        <w:tc>
          <w:tcPr>
            <w:tcW w:w="0" w:type="auto"/>
            <w:gridSpan w:val="3"/>
            <w:shd w:val="clear" w:color="auto" w:fill="auto"/>
            <w:vAlign w:val="bottom"/>
          </w:tcPr>
          <w:p w14:paraId="5F2CBF49" w14:textId="77777777" w:rsidR="00E836FB" w:rsidRDefault="00E836FB">
            <w:pPr>
              <w:rPr>
                <w:rFonts w:ascii="宋体"/>
                <w:vanish/>
              </w:rPr>
            </w:pPr>
          </w:p>
        </w:tc>
        <w:tc>
          <w:tcPr>
            <w:tcW w:w="0" w:type="auto"/>
            <w:gridSpan w:val="3"/>
            <w:shd w:val="clear" w:color="auto" w:fill="auto"/>
            <w:vAlign w:val="bottom"/>
          </w:tcPr>
          <w:p w14:paraId="5F2CBF4A" w14:textId="77777777" w:rsidR="00E836FB" w:rsidRDefault="00E836FB">
            <w:pPr>
              <w:rPr>
                <w:rFonts w:ascii="宋体"/>
                <w:vanish/>
              </w:rPr>
            </w:pPr>
          </w:p>
        </w:tc>
        <w:tc>
          <w:tcPr>
            <w:tcW w:w="0" w:type="auto"/>
            <w:gridSpan w:val="3"/>
            <w:shd w:val="clear" w:color="auto" w:fill="auto"/>
            <w:vAlign w:val="bottom"/>
          </w:tcPr>
          <w:p w14:paraId="5F2CBF4B" w14:textId="77777777" w:rsidR="00E836FB" w:rsidRDefault="00E836FB">
            <w:pPr>
              <w:rPr>
                <w:rFonts w:ascii="宋体"/>
                <w:vanish/>
              </w:rPr>
            </w:pPr>
          </w:p>
        </w:tc>
        <w:tc>
          <w:tcPr>
            <w:tcW w:w="0" w:type="auto"/>
            <w:gridSpan w:val="3"/>
            <w:shd w:val="clear" w:color="auto" w:fill="auto"/>
            <w:vAlign w:val="bottom"/>
          </w:tcPr>
          <w:p w14:paraId="5F2CBF4C" w14:textId="77777777" w:rsidR="00E836FB" w:rsidRDefault="00E836FB">
            <w:pPr>
              <w:rPr>
                <w:rFonts w:ascii="宋体"/>
                <w:vanish/>
              </w:rPr>
            </w:pPr>
          </w:p>
        </w:tc>
        <w:tc>
          <w:tcPr>
            <w:tcW w:w="0" w:type="auto"/>
            <w:gridSpan w:val="3"/>
            <w:shd w:val="clear" w:color="auto" w:fill="auto"/>
            <w:vAlign w:val="bottom"/>
          </w:tcPr>
          <w:p w14:paraId="5F2CBF4D" w14:textId="77777777" w:rsidR="00E836FB" w:rsidRDefault="00E836FB">
            <w:pPr>
              <w:rPr>
                <w:rFonts w:ascii="宋体"/>
                <w:vanish/>
              </w:rPr>
            </w:pPr>
          </w:p>
        </w:tc>
        <w:tc>
          <w:tcPr>
            <w:tcW w:w="0" w:type="auto"/>
            <w:gridSpan w:val="3"/>
            <w:shd w:val="clear" w:color="auto" w:fill="auto"/>
            <w:vAlign w:val="bottom"/>
          </w:tcPr>
          <w:p w14:paraId="5F2CBF4E" w14:textId="77777777" w:rsidR="00E836FB" w:rsidRDefault="00E836FB">
            <w:pPr>
              <w:rPr>
                <w:rFonts w:ascii="宋体"/>
                <w:vanish/>
              </w:rPr>
            </w:pPr>
          </w:p>
        </w:tc>
        <w:tc>
          <w:tcPr>
            <w:tcW w:w="0" w:type="auto"/>
            <w:gridSpan w:val="3"/>
            <w:shd w:val="clear" w:color="auto" w:fill="auto"/>
            <w:vAlign w:val="bottom"/>
          </w:tcPr>
          <w:p w14:paraId="5F2CBF4F" w14:textId="77777777" w:rsidR="00E836FB" w:rsidRDefault="00E836FB">
            <w:pPr>
              <w:rPr>
                <w:rFonts w:ascii="宋体"/>
                <w:vanish/>
              </w:rPr>
            </w:pPr>
          </w:p>
        </w:tc>
      </w:tr>
      <w:tr w:rsidR="00E836FB" w14:paraId="5F2CBF59" w14:textId="77777777">
        <w:trPr>
          <w:hidden/>
        </w:trPr>
        <w:tc>
          <w:tcPr>
            <w:tcW w:w="0" w:type="auto"/>
            <w:gridSpan w:val="3"/>
            <w:shd w:val="clear" w:color="auto" w:fill="auto"/>
            <w:vAlign w:val="bottom"/>
          </w:tcPr>
          <w:p w14:paraId="5F2CBF51" w14:textId="77777777" w:rsidR="00E836FB" w:rsidRDefault="00E836FB">
            <w:pPr>
              <w:rPr>
                <w:rFonts w:ascii="宋体"/>
                <w:vanish/>
              </w:rPr>
            </w:pPr>
          </w:p>
        </w:tc>
        <w:tc>
          <w:tcPr>
            <w:tcW w:w="0" w:type="auto"/>
            <w:gridSpan w:val="3"/>
            <w:shd w:val="clear" w:color="auto" w:fill="auto"/>
            <w:vAlign w:val="bottom"/>
          </w:tcPr>
          <w:p w14:paraId="5F2CBF52" w14:textId="77777777" w:rsidR="00E836FB" w:rsidRDefault="00E836FB">
            <w:pPr>
              <w:rPr>
                <w:rFonts w:ascii="宋体"/>
                <w:vanish/>
              </w:rPr>
            </w:pPr>
          </w:p>
        </w:tc>
        <w:tc>
          <w:tcPr>
            <w:tcW w:w="0" w:type="auto"/>
            <w:gridSpan w:val="3"/>
            <w:shd w:val="clear" w:color="auto" w:fill="auto"/>
            <w:vAlign w:val="bottom"/>
          </w:tcPr>
          <w:p w14:paraId="5F2CBF53" w14:textId="77777777" w:rsidR="00E836FB" w:rsidRDefault="00E836FB">
            <w:pPr>
              <w:rPr>
                <w:rFonts w:ascii="宋体"/>
                <w:vanish/>
              </w:rPr>
            </w:pPr>
          </w:p>
        </w:tc>
        <w:tc>
          <w:tcPr>
            <w:tcW w:w="0" w:type="auto"/>
            <w:gridSpan w:val="3"/>
            <w:shd w:val="clear" w:color="auto" w:fill="auto"/>
            <w:vAlign w:val="bottom"/>
          </w:tcPr>
          <w:p w14:paraId="5F2CBF54" w14:textId="77777777" w:rsidR="00E836FB" w:rsidRDefault="00E836FB">
            <w:pPr>
              <w:rPr>
                <w:rFonts w:ascii="宋体"/>
                <w:vanish/>
              </w:rPr>
            </w:pPr>
          </w:p>
        </w:tc>
        <w:tc>
          <w:tcPr>
            <w:tcW w:w="0" w:type="auto"/>
            <w:gridSpan w:val="3"/>
            <w:shd w:val="clear" w:color="auto" w:fill="auto"/>
            <w:vAlign w:val="bottom"/>
          </w:tcPr>
          <w:p w14:paraId="5F2CBF55" w14:textId="77777777" w:rsidR="00E836FB" w:rsidRDefault="00E836FB">
            <w:pPr>
              <w:rPr>
                <w:rFonts w:ascii="宋体"/>
                <w:vanish/>
              </w:rPr>
            </w:pPr>
          </w:p>
        </w:tc>
        <w:tc>
          <w:tcPr>
            <w:tcW w:w="0" w:type="auto"/>
            <w:gridSpan w:val="3"/>
            <w:shd w:val="clear" w:color="auto" w:fill="auto"/>
            <w:vAlign w:val="bottom"/>
          </w:tcPr>
          <w:p w14:paraId="5F2CBF56" w14:textId="77777777" w:rsidR="00E836FB" w:rsidRDefault="00E836FB">
            <w:pPr>
              <w:rPr>
                <w:rFonts w:ascii="宋体"/>
                <w:vanish/>
              </w:rPr>
            </w:pPr>
          </w:p>
        </w:tc>
        <w:tc>
          <w:tcPr>
            <w:tcW w:w="0" w:type="auto"/>
            <w:gridSpan w:val="3"/>
            <w:shd w:val="clear" w:color="auto" w:fill="auto"/>
            <w:vAlign w:val="bottom"/>
          </w:tcPr>
          <w:p w14:paraId="5F2CBF57" w14:textId="77777777" w:rsidR="00E836FB" w:rsidRDefault="00E836FB">
            <w:pPr>
              <w:rPr>
                <w:rFonts w:ascii="宋体"/>
                <w:vanish/>
              </w:rPr>
            </w:pPr>
          </w:p>
        </w:tc>
        <w:tc>
          <w:tcPr>
            <w:tcW w:w="0" w:type="auto"/>
            <w:gridSpan w:val="3"/>
            <w:shd w:val="clear" w:color="auto" w:fill="auto"/>
            <w:vAlign w:val="bottom"/>
          </w:tcPr>
          <w:p w14:paraId="5F2CBF58" w14:textId="77777777" w:rsidR="00E836FB" w:rsidRDefault="00E836FB">
            <w:pPr>
              <w:rPr>
                <w:rFonts w:ascii="宋体"/>
                <w:vanish/>
              </w:rPr>
            </w:pPr>
          </w:p>
        </w:tc>
      </w:tr>
      <w:tr w:rsidR="00E836FB" w14:paraId="5F2CBF62" w14:textId="77777777">
        <w:trPr>
          <w:hidden/>
        </w:trPr>
        <w:tc>
          <w:tcPr>
            <w:tcW w:w="0" w:type="auto"/>
            <w:gridSpan w:val="3"/>
            <w:shd w:val="clear" w:color="auto" w:fill="auto"/>
            <w:vAlign w:val="bottom"/>
          </w:tcPr>
          <w:p w14:paraId="5F2CBF5A" w14:textId="77777777" w:rsidR="00E836FB" w:rsidRDefault="00E836FB">
            <w:pPr>
              <w:rPr>
                <w:rFonts w:ascii="宋体"/>
                <w:vanish/>
              </w:rPr>
            </w:pPr>
          </w:p>
        </w:tc>
        <w:tc>
          <w:tcPr>
            <w:tcW w:w="0" w:type="auto"/>
            <w:gridSpan w:val="3"/>
            <w:shd w:val="clear" w:color="auto" w:fill="auto"/>
            <w:vAlign w:val="bottom"/>
          </w:tcPr>
          <w:p w14:paraId="5F2CBF5B" w14:textId="77777777" w:rsidR="00E836FB" w:rsidRDefault="00E836FB">
            <w:pPr>
              <w:rPr>
                <w:rFonts w:ascii="宋体"/>
                <w:vanish/>
              </w:rPr>
            </w:pPr>
          </w:p>
        </w:tc>
        <w:tc>
          <w:tcPr>
            <w:tcW w:w="0" w:type="auto"/>
            <w:gridSpan w:val="3"/>
            <w:shd w:val="clear" w:color="auto" w:fill="auto"/>
            <w:vAlign w:val="bottom"/>
          </w:tcPr>
          <w:p w14:paraId="5F2CBF5C" w14:textId="77777777" w:rsidR="00E836FB" w:rsidRDefault="00E836FB">
            <w:pPr>
              <w:rPr>
                <w:rFonts w:ascii="宋体"/>
                <w:vanish/>
              </w:rPr>
            </w:pPr>
          </w:p>
        </w:tc>
        <w:tc>
          <w:tcPr>
            <w:tcW w:w="0" w:type="auto"/>
            <w:gridSpan w:val="3"/>
            <w:shd w:val="clear" w:color="auto" w:fill="auto"/>
            <w:vAlign w:val="bottom"/>
          </w:tcPr>
          <w:p w14:paraId="5F2CBF5D" w14:textId="77777777" w:rsidR="00E836FB" w:rsidRDefault="00E836FB">
            <w:pPr>
              <w:rPr>
                <w:rFonts w:ascii="宋体"/>
                <w:vanish/>
              </w:rPr>
            </w:pPr>
          </w:p>
        </w:tc>
        <w:tc>
          <w:tcPr>
            <w:tcW w:w="0" w:type="auto"/>
            <w:gridSpan w:val="3"/>
            <w:shd w:val="clear" w:color="auto" w:fill="auto"/>
            <w:vAlign w:val="bottom"/>
          </w:tcPr>
          <w:p w14:paraId="5F2CBF5E" w14:textId="77777777" w:rsidR="00E836FB" w:rsidRDefault="00E836FB">
            <w:pPr>
              <w:rPr>
                <w:rFonts w:ascii="宋体"/>
                <w:vanish/>
              </w:rPr>
            </w:pPr>
          </w:p>
        </w:tc>
        <w:tc>
          <w:tcPr>
            <w:tcW w:w="0" w:type="auto"/>
            <w:gridSpan w:val="3"/>
            <w:shd w:val="clear" w:color="auto" w:fill="auto"/>
            <w:vAlign w:val="bottom"/>
          </w:tcPr>
          <w:p w14:paraId="5F2CBF5F" w14:textId="77777777" w:rsidR="00E836FB" w:rsidRDefault="00E836FB">
            <w:pPr>
              <w:rPr>
                <w:rFonts w:ascii="宋体"/>
                <w:vanish/>
              </w:rPr>
            </w:pPr>
          </w:p>
        </w:tc>
        <w:tc>
          <w:tcPr>
            <w:tcW w:w="0" w:type="auto"/>
            <w:gridSpan w:val="3"/>
            <w:shd w:val="clear" w:color="auto" w:fill="auto"/>
            <w:vAlign w:val="bottom"/>
          </w:tcPr>
          <w:p w14:paraId="5F2CBF60" w14:textId="77777777" w:rsidR="00E836FB" w:rsidRDefault="00E836FB">
            <w:pPr>
              <w:rPr>
                <w:rFonts w:ascii="宋体"/>
                <w:vanish/>
              </w:rPr>
            </w:pPr>
          </w:p>
        </w:tc>
        <w:tc>
          <w:tcPr>
            <w:tcW w:w="0" w:type="auto"/>
            <w:gridSpan w:val="3"/>
            <w:shd w:val="clear" w:color="auto" w:fill="auto"/>
            <w:vAlign w:val="bottom"/>
          </w:tcPr>
          <w:p w14:paraId="5F2CBF61" w14:textId="77777777" w:rsidR="00E836FB" w:rsidRDefault="00E836FB">
            <w:pPr>
              <w:rPr>
                <w:rFonts w:ascii="宋体"/>
                <w:vanish/>
              </w:rPr>
            </w:pPr>
          </w:p>
        </w:tc>
      </w:tr>
      <w:tr w:rsidR="00E836FB" w14:paraId="5F2CBF6B" w14:textId="77777777">
        <w:trPr>
          <w:hidden/>
        </w:trPr>
        <w:tc>
          <w:tcPr>
            <w:tcW w:w="0" w:type="auto"/>
            <w:gridSpan w:val="3"/>
            <w:shd w:val="clear" w:color="auto" w:fill="auto"/>
            <w:vAlign w:val="bottom"/>
          </w:tcPr>
          <w:p w14:paraId="5F2CBF63" w14:textId="77777777" w:rsidR="00E836FB" w:rsidRDefault="00E836FB">
            <w:pPr>
              <w:rPr>
                <w:rFonts w:ascii="宋体"/>
                <w:vanish/>
              </w:rPr>
            </w:pPr>
          </w:p>
        </w:tc>
        <w:tc>
          <w:tcPr>
            <w:tcW w:w="0" w:type="auto"/>
            <w:gridSpan w:val="3"/>
            <w:shd w:val="clear" w:color="auto" w:fill="auto"/>
            <w:vAlign w:val="bottom"/>
          </w:tcPr>
          <w:p w14:paraId="5F2CBF64" w14:textId="77777777" w:rsidR="00E836FB" w:rsidRDefault="00E836FB">
            <w:pPr>
              <w:rPr>
                <w:rFonts w:ascii="宋体"/>
                <w:vanish/>
              </w:rPr>
            </w:pPr>
          </w:p>
        </w:tc>
        <w:tc>
          <w:tcPr>
            <w:tcW w:w="0" w:type="auto"/>
            <w:gridSpan w:val="3"/>
            <w:shd w:val="clear" w:color="auto" w:fill="auto"/>
            <w:vAlign w:val="bottom"/>
          </w:tcPr>
          <w:p w14:paraId="5F2CBF65" w14:textId="77777777" w:rsidR="00E836FB" w:rsidRDefault="00E836FB">
            <w:pPr>
              <w:rPr>
                <w:rFonts w:ascii="宋体"/>
                <w:vanish/>
              </w:rPr>
            </w:pPr>
          </w:p>
        </w:tc>
        <w:tc>
          <w:tcPr>
            <w:tcW w:w="0" w:type="auto"/>
            <w:gridSpan w:val="3"/>
            <w:shd w:val="clear" w:color="auto" w:fill="auto"/>
            <w:vAlign w:val="bottom"/>
          </w:tcPr>
          <w:p w14:paraId="5F2CBF66" w14:textId="77777777" w:rsidR="00E836FB" w:rsidRDefault="00E836FB">
            <w:pPr>
              <w:rPr>
                <w:rFonts w:ascii="宋体"/>
                <w:vanish/>
              </w:rPr>
            </w:pPr>
          </w:p>
        </w:tc>
        <w:tc>
          <w:tcPr>
            <w:tcW w:w="0" w:type="auto"/>
            <w:gridSpan w:val="3"/>
            <w:shd w:val="clear" w:color="auto" w:fill="auto"/>
            <w:vAlign w:val="bottom"/>
          </w:tcPr>
          <w:p w14:paraId="5F2CBF67" w14:textId="77777777" w:rsidR="00E836FB" w:rsidRDefault="00E836FB">
            <w:pPr>
              <w:rPr>
                <w:rFonts w:ascii="宋体"/>
                <w:vanish/>
              </w:rPr>
            </w:pPr>
          </w:p>
        </w:tc>
        <w:tc>
          <w:tcPr>
            <w:tcW w:w="0" w:type="auto"/>
            <w:gridSpan w:val="3"/>
            <w:shd w:val="clear" w:color="auto" w:fill="auto"/>
            <w:vAlign w:val="bottom"/>
          </w:tcPr>
          <w:p w14:paraId="5F2CBF68" w14:textId="77777777" w:rsidR="00E836FB" w:rsidRDefault="00E836FB">
            <w:pPr>
              <w:rPr>
                <w:rFonts w:ascii="宋体"/>
                <w:vanish/>
              </w:rPr>
            </w:pPr>
          </w:p>
        </w:tc>
        <w:tc>
          <w:tcPr>
            <w:tcW w:w="0" w:type="auto"/>
            <w:gridSpan w:val="3"/>
            <w:shd w:val="clear" w:color="auto" w:fill="auto"/>
            <w:vAlign w:val="bottom"/>
          </w:tcPr>
          <w:p w14:paraId="5F2CBF69" w14:textId="77777777" w:rsidR="00E836FB" w:rsidRDefault="00E836FB">
            <w:pPr>
              <w:rPr>
                <w:rFonts w:ascii="宋体"/>
                <w:vanish/>
              </w:rPr>
            </w:pPr>
          </w:p>
        </w:tc>
        <w:tc>
          <w:tcPr>
            <w:tcW w:w="0" w:type="auto"/>
            <w:gridSpan w:val="3"/>
            <w:shd w:val="clear" w:color="auto" w:fill="auto"/>
            <w:vAlign w:val="bottom"/>
          </w:tcPr>
          <w:p w14:paraId="5F2CBF6A" w14:textId="77777777" w:rsidR="00E836FB" w:rsidRDefault="00E836FB">
            <w:pPr>
              <w:rPr>
                <w:rFonts w:ascii="宋体"/>
                <w:vanish/>
              </w:rPr>
            </w:pPr>
          </w:p>
        </w:tc>
      </w:tr>
      <w:tr w:rsidR="00E836FB" w14:paraId="5F2CBF74" w14:textId="77777777">
        <w:trPr>
          <w:hidden/>
        </w:trPr>
        <w:tc>
          <w:tcPr>
            <w:tcW w:w="0" w:type="auto"/>
            <w:gridSpan w:val="3"/>
            <w:shd w:val="clear" w:color="auto" w:fill="auto"/>
            <w:vAlign w:val="bottom"/>
          </w:tcPr>
          <w:p w14:paraId="5F2CBF6C" w14:textId="77777777" w:rsidR="00E836FB" w:rsidRDefault="00E836FB">
            <w:pPr>
              <w:rPr>
                <w:rFonts w:ascii="宋体"/>
                <w:vanish/>
              </w:rPr>
            </w:pPr>
          </w:p>
        </w:tc>
        <w:tc>
          <w:tcPr>
            <w:tcW w:w="0" w:type="auto"/>
            <w:gridSpan w:val="3"/>
            <w:shd w:val="clear" w:color="auto" w:fill="auto"/>
            <w:vAlign w:val="bottom"/>
          </w:tcPr>
          <w:p w14:paraId="5F2CBF6D" w14:textId="77777777" w:rsidR="00E836FB" w:rsidRDefault="00E836FB">
            <w:pPr>
              <w:rPr>
                <w:rFonts w:ascii="宋体"/>
                <w:vanish/>
              </w:rPr>
            </w:pPr>
          </w:p>
        </w:tc>
        <w:tc>
          <w:tcPr>
            <w:tcW w:w="0" w:type="auto"/>
            <w:gridSpan w:val="3"/>
            <w:shd w:val="clear" w:color="auto" w:fill="auto"/>
            <w:vAlign w:val="bottom"/>
          </w:tcPr>
          <w:p w14:paraId="5F2CBF6E" w14:textId="77777777" w:rsidR="00E836FB" w:rsidRDefault="00E836FB">
            <w:pPr>
              <w:rPr>
                <w:rFonts w:ascii="宋体"/>
                <w:vanish/>
              </w:rPr>
            </w:pPr>
          </w:p>
        </w:tc>
        <w:tc>
          <w:tcPr>
            <w:tcW w:w="0" w:type="auto"/>
            <w:gridSpan w:val="3"/>
            <w:shd w:val="clear" w:color="auto" w:fill="auto"/>
            <w:vAlign w:val="bottom"/>
          </w:tcPr>
          <w:p w14:paraId="5F2CBF6F" w14:textId="77777777" w:rsidR="00E836FB" w:rsidRDefault="00E836FB">
            <w:pPr>
              <w:rPr>
                <w:rFonts w:ascii="宋体"/>
                <w:vanish/>
              </w:rPr>
            </w:pPr>
          </w:p>
        </w:tc>
        <w:tc>
          <w:tcPr>
            <w:tcW w:w="0" w:type="auto"/>
            <w:gridSpan w:val="3"/>
            <w:shd w:val="clear" w:color="auto" w:fill="auto"/>
            <w:vAlign w:val="bottom"/>
          </w:tcPr>
          <w:p w14:paraId="5F2CBF70" w14:textId="77777777" w:rsidR="00E836FB" w:rsidRDefault="00E836FB">
            <w:pPr>
              <w:rPr>
                <w:rFonts w:ascii="宋体"/>
                <w:vanish/>
              </w:rPr>
            </w:pPr>
          </w:p>
        </w:tc>
        <w:tc>
          <w:tcPr>
            <w:tcW w:w="0" w:type="auto"/>
            <w:gridSpan w:val="3"/>
            <w:shd w:val="clear" w:color="auto" w:fill="auto"/>
            <w:vAlign w:val="bottom"/>
          </w:tcPr>
          <w:p w14:paraId="5F2CBF71" w14:textId="77777777" w:rsidR="00E836FB" w:rsidRDefault="00E836FB">
            <w:pPr>
              <w:rPr>
                <w:rFonts w:ascii="宋体"/>
                <w:vanish/>
              </w:rPr>
            </w:pPr>
          </w:p>
        </w:tc>
        <w:tc>
          <w:tcPr>
            <w:tcW w:w="0" w:type="auto"/>
            <w:gridSpan w:val="3"/>
            <w:shd w:val="clear" w:color="auto" w:fill="auto"/>
            <w:vAlign w:val="bottom"/>
          </w:tcPr>
          <w:p w14:paraId="5F2CBF72" w14:textId="77777777" w:rsidR="00E836FB" w:rsidRDefault="00E836FB">
            <w:pPr>
              <w:rPr>
                <w:rFonts w:ascii="宋体"/>
                <w:vanish/>
              </w:rPr>
            </w:pPr>
          </w:p>
        </w:tc>
        <w:tc>
          <w:tcPr>
            <w:tcW w:w="0" w:type="auto"/>
            <w:gridSpan w:val="3"/>
            <w:shd w:val="clear" w:color="auto" w:fill="auto"/>
            <w:vAlign w:val="bottom"/>
          </w:tcPr>
          <w:p w14:paraId="5F2CBF73" w14:textId="77777777" w:rsidR="00E836FB" w:rsidRDefault="00E836FB">
            <w:pPr>
              <w:rPr>
                <w:rFonts w:ascii="宋体"/>
                <w:vanish/>
              </w:rPr>
            </w:pPr>
          </w:p>
        </w:tc>
      </w:tr>
      <w:tr w:rsidR="00E836FB" w14:paraId="5F2CBF7D" w14:textId="77777777">
        <w:trPr>
          <w:hidden/>
        </w:trPr>
        <w:tc>
          <w:tcPr>
            <w:tcW w:w="0" w:type="auto"/>
            <w:gridSpan w:val="3"/>
            <w:shd w:val="clear" w:color="auto" w:fill="auto"/>
            <w:vAlign w:val="bottom"/>
          </w:tcPr>
          <w:p w14:paraId="5F2CBF75" w14:textId="77777777" w:rsidR="00E836FB" w:rsidRDefault="00E836FB">
            <w:pPr>
              <w:rPr>
                <w:rFonts w:ascii="宋体"/>
                <w:vanish/>
              </w:rPr>
            </w:pPr>
          </w:p>
        </w:tc>
        <w:tc>
          <w:tcPr>
            <w:tcW w:w="0" w:type="auto"/>
            <w:gridSpan w:val="3"/>
            <w:shd w:val="clear" w:color="auto" w:fill="auto"/>
            <w:vAlign w:val="bottom"/>
          </w:tcPr>
          <w:p w14:paraId="5F2CBF76" w14:textId="77777777" w:rsidR="00E836FB" w:rsidRDefault="00E836FB">
            <w:pPr>
              <w:rPr>
                <w:rFonts w:ascii="宋体"/>
                <w:vanish/>
              </w:rPr>
            </w:pPr>
          </w:p>
        </w:tc>
        <w:tc>
          <w:tcPr>
            <w:tcW w:w="0" w:type="auto"/>
            <w:gridSpan w:val="3"/>
            <w:shd w:val="clear" w:color="auto" w:fill="auto"/>
            <w:vAlign w:val="bottom"/>
          </w:tcPr>
          <w:p w14:paraId="5F2CBF77" w14:textId="77777777" w:rsidR="00E836FB" w:rsidRDefault="00E836FB">
            <w:pPr>
              <w:rPr>
                <w:rFonts w:ascii="宋体"/>
                <w:vanish/>
              </w:rPr>
            </w:pPr>
          </w:p>
        </w:tc>
        <w:tc>
          <w:tcPr>
            <w:tcW w:w="0" w:type="auto"/>
            <w:gridSpan w:val="3"/>
            <w:shd w:val="clear" w:color="auto" w:fill="auto"/>
            <w:vAlign w:val="bottom"/>
          </w:tcPr>
          <w:p w14:paraId="5F2CBF78" w14:textId="77777777" w:rsidR="00E836FB" w:rsidRDefault="00E836FB">
            <w:pPr>
              <w:rPr>
                <w:rFonts w:ascii="宋体"/>
                <w:vanish/>
              </w:rPr>
            </w:pPr>
          </w:p>
        </w:tc>
        <w:tc>
          <w:tcPr>
            <w:tcW w:w="0" w:type="auto"/>
            <w:gridSpan w:val="3"/>
            <w:shd w:val="clear" w:color="auto" w:fill="auto"/>
            <w:vAlign w:val="bottom"/>
          </w:tcPr>
          <w:p w14:paraId="5F2CBF79" w14:textId="77777777" w:rsidR="00E836FB" w:rsidRDefault="00E836FB">
            <w:pPr>
              <w:rPr>
                <w:rFonts w:ascii="宋体"/>
                <w:vanish/>
              </w:rPr>
            </w:pPr>
          </w:p>
        </w:tc>
        <w:tc>
          <w:tcPr>
            <w:tcW w:w="0" w:type="auto"/>
            <w:gridSpan w:val="3"/>
            <w:shd w:val="clear" w:color="auto" w:fill="auto"/>
            <w:vAlign w:val="bottom"/>
          </w:tcPr>
          <w:p w14:paraId="5F2CBF7A" w14:textId="77777777" w:rsidR="00E836FB" w:rsidRDefault="00E836FB">
            <w:pPr>
              <w:rPr>
                <w:rFonts w:ascii="宋体"/>
                <w:vanish/>
              </w:rPr>
            </w:pPr>
          </w:p>
        </w:tc>
        <w:tc>
          <w:tcPr>
            <w:tcW w:w="0" w:type="auto"/>
            <w:gridSpan w:val="3"/>
            <w:shd w:val="clear" w:color="auto" w:fill="auto"/>
            <w:vAlign w:val="bottom"/>
          </w:tcPr>
          <w:p w14:paraId="5F2CBF7B" w14:textId="77777777" w:rsidR="00E836FB" w:rsidRDefault="00E836FB">
            <w:pPr>
              <w:rPr>
                <w:rFonts w:ascii="宋体"/>
                <w:vanish/>
              </w:rPr>
            </w:pPr>
          </w:p>
        </w:tc>
        <w:tc>
          <w:tcPr>
            <w:tcW w:w="0" w:type="auto"/>
            <w:gridSpan w:val="3"/>
            <w:shd w:val="clear" w:color="auto" w:fill="auto"/>
            <w:vAlign w:val="bottom"/>
          </w:tcPr>
          <w:p w14:paraId="5F2CBF7C" w14:textId="77777777" w:rsidR="00E836FB" w:rsidRDefault="00E836FB">
            <w:pPr>
              <w:rPr>
                <w:rFonts w:ascii="宋体"/>
                <w:vanish/>
              </w:rPr>
            </w:pPr>
          </w:p>
        </w:tc>
      </w:tr>
      <w:tr w:rsidR="00E836FB" w14:paraId="5F2CBF86" w14:textId="77777777">
        <w:trPr>
          <w:hidden/>
        </w:trPr>
        <w:tc>
          <w:tcPr>
            <w:tcW w:w="0" w:type="auto"/>
            <w:gridSpan w:val="3"/>
            <w:shd w:val="clear" w:color="auto" w:fill="auto"/>
            <w:vAlign w:val="bottom"/>
          </w:tcPr>
          <w:p w14:paraId="5F2CBF7E" w14:textId="77777777" w:rsidR="00E836FB" w:rsidRDefault="00E836FB">
            <w:pPr>
              <w:rPr>
                <w:rFonts w:ascii="宋体"/>
                <w:vanish/>
              </w:rPr>
            </w:pPr>
          </w:p>
        </w:tc>
        <w:tc>
          <w:tcPr>
            <w:tcW w:w="0" w:type="auto"/>
            <w:gridSpan w:val="3"/>
            <w:shd w:val="clear" w:color="auto" w:fill="auto"/>
            <w:vAlign w:val="bottom"/>
          </w:tcPr>
          <w:p w14:paraId="5F2CBF7F" w14:textId="77777777" w:rsidR="00E836FB" w:rsidRDefault="00E836FB">
            <w:pPr>
              <w:rPr>
                <w:rFonts w:ascii="宋体"/>
                <w:vanish/>
              </w:rPr>
            </w:pPr>
          </w:p>
        </w:tc>
        <w:tc>
          <w:tcPr>
            <w:tcW w:w="0" w:type="auto"/>
            <w:gridSpan w:val="3"/>
            <w:shd w:val="clear" w:color="auto" w:fill="auto"/>
            <w:vAlign w:val="bottom"/>
          </w:tcPr>
          <w:p w14:paraId="5F2CBF80" w14:textId="77777777" w:rsidR="00E836FB" w:rsidRDefault="00E836FB">
            <w:pPr>
              <w:rPr>
                <w:rFonts w:ascii="宋体"/>
                <w:vanish/>
              </w:rPr>
            </w:pPr>
          </w:p>
        </w:tc>
        <w:tc>
          <w:tcPr>
            <w:tcW w:w="0" w:type="auto"/>
            <w:gridSpan w:val="3"/>
            <w:shd w:val="clear" w:color="auto" w:fill="auto"/>
            <w:vAlign w:val="bottom"/>
          </w:tcPr>
          <w:p w14:paraId="5F2CBF81" w14:textId="77777777" w:rsidR="00E836FB" w:rsidRDefault="00E836FB">
            <w:pPr>
              <w:rPr>
                <w:rFonts w:ascii="宋体"/>
                <w:vanish/>
              </w:rPr>
            </w:pPr>
          </w:p>
        </w:tc>
        <w:tc>
          <w:tcPr>
            <w:tcW w:w="0" w:type="auto"/>
            <w:gridSpan w:val="3"/>
            <w:shd w:val="clear" w:color="auto" w:fill="auto"/>
            <w:vAlign w:val="bottom"/>
          </w:tcPr>
          <w:p w14:paraId="5F2CBF82" w14:textId="77777777" w:rsidR="00E836FB" w:rsidRDefault="00E836FB">
            <w:pPr>
              <w:rPr>
                <w:rFonts w:ascii="宋体"/>
                <w:vanish/>
              </w:rPr>
            </w:pPr>
          </w:p>
        </w:tc>
        <w:tc>
          <w:tcPr>
            <w:tcW w:w="0" w:type="auto"/>
            <w:gridSpan w:val="3"/>
            <w:shd w:val="clear" w:color="auto" w:fill="auto"/>
            <w:vAlign w:val="bottom"/>
          </w:tcPr>
          <w:p w14:paraId="5F2CBF83" w14:textId="77777777" w:rsidR="00E836FB" w:rsidRDefault="00E836FB">
            <w:pPr>
              <w:rPr>
                <w:rFonts w:ascii="宋体"/>
                <w:vanish/>
              </w:rPr>
            </w:pPr>
          </w:p>
        </w:tc>
        <w:tc>
          <w:tcPr>
            <w:tcW w:w="0" w:type="auto"/>
            <w:gridSpan w:val="3"/>
            <w:shd w:val="clear" w:color="auto" w:fill="auto"/>
            <w:vAlign w:val="bottom"/>
          </w:tcPr>
          <w:p w14:paraId="5F2CBF84" w14:textId="77777777" w:rsidR="00E836FB" w:rsidRDefault="00E836FB">
            <w:pPr>
              <w:rPr>
                <w:rFonts w:ascii="宋体"/>
                <w:vanish/>
              </w:rPr>
            </w:pPr>
          </w:p>
        </w:tc>
        <w:tc>
          <w:tcPr>
            <w:tcW w:w="0" w:type="auto"/>
            <w:gridSpan w:val="3"/>
            <w:shd w:val="clear" w:color="auto" w:fill="auto"/>
            <w:vAlign w:val="bottom"/>
          </w:tcPr>
          <w:p w14:paraId="5F2CBF85" w14:textId="77777777" w:rsidR="00E836FB" w:rsidRDefault="00E836FB">
            <w:pPr>
              <w:rPr>
                <w:rFonts w:ascii="宋体"/>
                <w:vanish/>
              </w:rPr>
            </w:pPr>
          </w:p>
        </w:tc>
      </w:tr>
      <w:tr w:rsidR="00E836FB" w14:paraId="5F2CBF8F" w14:textId="77777777">
        <w:trPr>
          <w:hidden/>
        </w:trPr>
        <w:tc>
          <w:tcPr>
            <w:tcW w:w="0" w:type="auto"/>
            <w:gridSpan w:val="3"/>
            <w:shd w:val="clear" w:color="auto" w:fill="auto"/>
            <w:vAlign w:val="bottom"/>
          </w:tcPr>
          <w:p w14:paraId="5F2CBF87" w14:textId="77777777" w:rsidR="00E836FB" w:rsidRDefault="00E836FB">
            <w:pPr>
              <w:rPr>
                <w:rFonts w:ascii="宋体"/>
                <w:vanish/>
              </w:rPr>
            </w:pPr>
          </w:p>
        </w:tc>
        <w:tc>
          <w:tcPr>
            <w:tcW w:w="0" w:type="auto"/>
            <w:gridSpan w:val="3"/>
            <w:shd w:val="clear" w:color="auto" w:fill="auto"/>
            <w:vAlign w:val="bottom"/>
          </w:tcPr>
          <w:p w14:paraId="5F2CBF88" w14:textId="77777777" w:rsidR="00E836FB" w:rsidRDefault="00E836FB">
            <w:pPr>
              <w:rPr>
                <w:rFonts w:ascii="宋体"/>
                <w:vanish/>
              </w:rPr>
            </w:pPr>
          </w:p>
        </w:tc>
        <w:tc>
          <w:tcPr>
            <w:tcW w:w="0" w:type="auto"/>
            <w:gridSpan w:val="3"/>
            <w:shd w:val="clear" w:color="auto" w:fill="auto"/>
            <w:vAlign w:val="bottom"/>
          </w:tcPr>
          <w:p w14:paraId="5F2CBF89" w14:textId="77777777" w:rsidR="00E836FB" w:rsidRDefault="00E836FB">
            <w:pPr>
              <w:rPr>
                <w:rFonts w:ascii="宋体"/>
                <w:vanish/>
              </w:rPr>
            </w:pPr>
          </w:p>
        </w:tc>
        <w:tc>
          <w:tcPr>
            <w:tcW w:w="0" w:type="auto"/>
            <w:gridSpan w:val="3"/>
            <w:shd w:val="clear" w:color="auto" w:fill="auto"/>
            <w:vAlign w:val="bottom"/>
          </w:tcPr>
          <w:p w14:paraId="5F2CBF8A" w14:textId="77777777" w:rsidR="00E836FB" w:rsidRDefault="00E836FB">
            <w:pPr>
              <w:rPr>
                <w:rFonts w:ascii="宋体"/>
                <w:vanish/>
              </w:rPr>
            </w:pPr>
          </w:p>
        </w:tc>
        <w:tc>
          <w:tcPr>
            <w:tcW w:w="0" w:type="auto"/>
            <w:gridSpan w:val="3"/>
            <w:shd w:val="clear" w:color="auto" w:fill="auto"/>
            <w:vAlign w:val="bottom"/>
          </w:tcPr>
          <w:p w14:paraId="5F2CBF8B" w14:textId="77777777" w:rsidR="00E836FB" w:rsidRDefault="00E836FB">
            <w:pPr>
              <w:rPr>
                <w:rFonts w:ascii="宋体"/>
                <w:vanish/>
              </w:rPr>
            </w:pPr>
          </w:p>
        </w:tc>
        <w:tc>
          <w:tcPr>
            <w:tcW w:w="0" w:type="auto"/>
            <w:gridSpan w:val="3"/>
            <w:shd w:val="clear" w:color="auto" w:fill="auto"/>
            <w:vAlign w:val="bottom"/>
          </w:tcPr>
          <w:p w14:paraId="5F2CBF8C" w14:textId="77777777" w:rsidR="00E836FB" w:rsidRDefault="00E836FB">
            <w:pPr>
              <w:rPr>
                <w:rFonts w:ascii="宋体"/>
                <w:vanish/>
              </w:rPr>
            </w:pPr>
          </w:p>
        </w:tc>
        <w:tc>
          <w:tcPr>
            <w:tcW w:w="0" w:type="auto"/>
            <w:gridSpan w:val="3"/>
            <w:shd w:val="clear" w:color="auto" w:fill="auto"/>
            <w:vAlign w:val="bottom"/>
          </w:tcPr>
          <w:p w14:paraId="5F2CBF8D" w14:textId="77777777" w:rsidR="00E836FB" w:rsidRDefault="00E836FB">
            <w:pPr>
              <w:rPr>
                <w:rFonts w:ascii="宋体"/>
                <w:vanish/>
              </w:rPr>
            </w:pPr>
          </w:p>
        </w:tc>
        <w:tc>
          <w:tcPr>
            <w:tcW w:w="0" w:type="auto"/>
            <w:gridSpan w:val="3"/>
            <w:shd w:val="clear" w:color="auto" w:fill="auto"/>
            <w:vAlign w:val="bottom"/>
          </w:tcPr>
          <w:p w14:paraId="5F2CBF8E" w14:textId="77777777" w:rsidR="00E836FB" w:rsidRDefault="00E836FB">
            <w:pPr>
              <w:rPr>
                <w:rFonts w:ascii="宋体"/>
                <w:vanish/>
              </w:rPr>
            </w:pPr>
          </w:p>
        </w:tc>
      </w:tr>
      <w:tr w:rsidR="00E836FB" w14:paraId="5F2CBF98" w14:textId="77777777">
        <w:trPr>
          <w:hidden/>
        </w:trPr>
        <w:tc>
          <w:tcPr>
            <w:tcW w:w="0" w:type="auto"/>
            <w:gridSpan w:val="3"/>
            <w:shd w:val="clear" w:color="auto" w:fill="auto"/>
            <w:vAlign w:val="bottom"/>
          </w:tcPr>
          <w:p w14:paraId="5F2CBF90" w14:textId="77777777" w:rsidR="00E836FB" w:rsidRDefault="00E836FB">
            <w:pPr>
              <w:rPr>
                <w:rFonts w:ascii="宋体"/>
                <w:vanish/>
              </w:rPr>
            </w:pPr>
          </w:p>
        </w:tc>
        <w:tc>
          <w:tcPr>
            <w:tcW w:w="0" w:type="auto"/>
            <w:gridSpan w:val="3"/>
            <w:shd w:val="clear" w:color="auto" w:fill="auto"/>
            <w:vAlign w:val="bottom"/>
          </w:tcPr>
          <w:p w14:paraId="5F2CBF91" w14:textId="77777777" w:rsidR="00E836FB" w:rsidRDefault="00E836FB">
            <w:pPr>
              <w:rPr>
                <w:rFonts w:ascii="宋体"/>
                <w:vanish/>
              </w:rPr>
            </w:pPr>
          </w:p>
        </w:tc>
        <w:tc>
          <w:tcPr>
            <w:tcW w:w="0" w:type="auto"/>
            <w:gridSpan w:val="3"/>
            <w:shd w:val="clear" w:color="auto" w:fill="auto"/>
            <w:vAlign w:val="bottom"/>
          </w:tcPr>
          <w:p w14:paraId="5F2CBF92" w14:textId="77777777" w:rsidR="00E836FB" w:rsidRDefault="00E836FB">
            <w:pPr>
              <w:rPr>
                <w:rFonts w:ascii="宋体"/>
                <w:vanish/>
              </w:rPr>
            </w:pPr>
          </w:p>
        </w:tc>
        <w:tc>
          <w:tcPr>
            <w:tcW w:w="0" w:type="auto"/>
            <w:gridSpan w:val="3"/>
            <w:shd w:val="clear" w:color="auto" w:fill="auto"/>
            <w:vAlign w:val="bottom"/>
          </w:tcPr>
          <w:p w14:paraId="5F2CBF93" w14:textId="77777777" w:rsidR="00E836FB" w:rsidRDefault="00E836FB">
            <w:pPr>
              <w:rPr>
                <w:rFonts w:ascii="宋体"/>
                <w:vanish/>
              </w:rPr>
            </w:pPr>
          </w:p>
        </w:tc>
        <w:tc>
          <w:tcPr>
            <w:tcW w:w="0" w:type="auto"/>
            <w:gridSpan w:val="3"/>
            <w:shd w:val="clear" w:color="auto" w:fill="auto"/>
            <w:vAlign w:val="bottom"/>
          </w:tcPr>
          <w:p w14:paraId="5F2CBF94" w14:textId="77777777" w:rsidR="00E836FB" w:rsidRDefault="00E836FB">
            <w:pPr>
              <w:rPr>
                <w:rFonts w:ascii="宋体"/>
                <w:vanish/>
              </w:rPr>
            </w:pPr>
          </w:p>
        </w:tc>
        <w:tc>
          <w:tcPr>
            <w:tcW w:w="0" w:type="auto"/>
            <w:gridSpan w:val="3"/>
            <w:shd w:val="clear" w:color="auto" w:fill="auto"/>
            <w:vAlign w:val="bottom"/>
          </w:tcPr>
          <w:p w14:paraId="5F2CBF95" w14:textId="77777777" w:rsidR="00E836FB" w:rsidRDefault="00E836FB">
            <w:pPr>
              <w:rPr>
                <w:rFonts w:ascii="宋体"/>
                <w:vanish/>
              </w:rPr>
            </w:pPr>
          </w:p>
        </w:tc>
        <w:tc>
          <w:tcPr>
            <w:tcW w:w="0" w:type="auto"/>
            <w:gridSpan w:val="3"/>
            <w:shd w:val="clear" w:color="auto" w:fill="auto"/>
            <w:vAlign w:val="bottom"/>
          </w:tcPr>
          <w:p w14:paraId="5F2CBF96" w14:textId="77777777" w:rsidR="00E836FB" w:rsidRDefault="00E836FB">
            <w:pPr>
              <w:rPr>
                <w:rFonts w:ascii="宋体"/>
                <w:vanish/>
              </w:rPr>
            </w:pPr>
          </w:p>
        </w:tc>
        <w:tc>
          <w:tcPr>
            <w:tcW w:w="0" w:type="auto"/>
            <w:gridSpan w:val="3"/>
            <w:shd w:val="clear" w:color="auto" w:fill="auto"/>
            <w:vAlign w:val="bottom"/>
          </w:tcPr>
          <w:p w14:paraId="5F2CBF97" w14:textId="77777777" w:rsidR="00E836FB" w:rsidRDefault="00E836FB">
            <w:pPr>
              <w:rPr>
                <w:rFonts w:ascii="宋体"/>
                <w:vanish/>
              </w:rPr>
            </w:pPr>
          </w:p>
        </w:tc>
      </w:tr>
      <w:tr w:rsidR="00E836FB" w14:paraId="5F2CBFA1" w14:textId="77777777">
        <w:trPr>
          <w:hidden/>
        </w:trPr>
        <w:tc>
          <w:tcPr>
            <w:tcW w:w="0" w:type="auto"/>
            <w:gridSpan w:val="3"/>
            <w:shd w:val="clear" w:color="auto" w:fill="auto"/>
            <w:vAlign w:val="bottom"/>
          </w:tcPr>
          <w:p w14:paraId="5F2CBF99" w14:textId="77777777" w:rsidR="00E836FB" w:rsidRDefault="00E836FB">
            <w:pPr>
              <w:rPr>
                <w:rFonts w:ascii="宋体"/>
                <w:vanish/>
              </w:rPr>
            </w:pPr>
          </w:p>
        </w:tc>
        <w:tc>
          <w:tcPr>
            <w:tcW w:w="0" w:type="auto"/>
            <w:gridSpan w:val="3"/>
            <w:shd w:val="clear" w:color="auto" w:fill="auto"/>
            <w:vAlign w:val="bottom"/>
          </w:tcPr>
          <w:p w14:paraId="5F2CBF9A" w14:textId="77777777" w:rsidR="00E836FB" w:rsidRDefault="00E836FB">
            <w:pPr>
              <w:rPr>
                <w:rFonts w:ascii="宋体"/>
                <w:vanish/>
              </w:rPr>
            </w:pPr>
          </w:p>
        </w:tc>
        <w:tc>
          <w:tcPr>
            <w:tcW w:w="0" w:type="auto"/>
            <w:gridSpan w:val="3"/>
            <w:shd w:val="clear" w:color="auto" w:fill="auto"/>
            <w:vAlign w:val="bottom"/>
          </w:tcPr>
          <w:p w14:paraId="5F2CBF9B" w14:textId="77777777" w:rsidR="00E836FB" w:rsidRDefault="00E836FB">
            <w:pPr>
              <w:rPr>
                <w:rFonts w:ascii="宋体"/>
                <w:vanish/>
              </w:rPr>
            </w:pPr>
          </w:p>
        </w:tc>
        <w:tc>
          <w:tcPr>
            <w:tcW w:w="0" w:type="auto"/>
            <w:gridSpan w:val="3"/>
            <w:shd w:val="clear" w:color="auto" w:fill="auto"/>
            <w:vAlign w:val="bottom"/>
          </w:tcPr>
          <w:p w14:paraId="5F2CBF9C" w14:textId="77777777" w:rsidR="00E836FB" w:rsidRDefault="00E836FB">
            <w:pPr>
              <w:rPr>
                <w:rFonts w:ascii="宋体"/>
                <w:vanish/>
              </w:rPr>
            </w:pPr>
          </w:p>
        </w:tc>
        <w:tc>
          <w:tcPr>
            <w:tcW w:w="0" w:type="auto"/>
            <w:gridSpan w:val="3"/>
            <w:shd w:val="clear" w:color="auto" w:fill="auto"/>
            <w:vAlign w:val="bottom"/>
          </w:tcPr>
          <w:p w14:paraId="5F2CBF9D" w14:textId="77777777" w:rsidR="00E836FB" w:rsidRDefault="00E836FB">
            <w:pPr>
              <w:rPr>
                <w:rFonts w:ascii="宋体"/>
                <w:vanish/>
              </w:rPr>
            </w:pPr>
          </w:p>
        </w:tc>
        <w:tc>
          <w:tcPr>
            <w:tcW w:w="0" w:type="auto"/>
            <w:gridSpan w:val="3"/>
            <w:shd w:val="clear" w:color="auto" w:fill="auto"/>
            <w:vAlign w:val="bottom"/>
          </w:tcPr>
          <w:p w14:paraId="5F2CBF9E" w14:textId="77777777" w:rsidR="00E836FB" w:rsidRDefault="00E836FB">
            <w:pPr>
              <w:rPr>
                <w:rFonts w:ascii="宋体"/>
                <w:vanish/>
              </w:rPr>
            </w:pPr>
          </w:p>
        </w:tc>
        <w:tc>
          <w:tcPr>
            <w:tcW w:w="0" w:type="auto"/>
            <w:gridSpan w:val="3"/>
            <w:shd w:val="clear" w:color="auto" w:fill="auto"/>
            <w:vAlign w:val="bottom"/>
          </w:tcPr>
          <w:p w14:paraId="5F2CBF9F" w14:textId="77777777" w:rsidR="00E836FB" w:rsidRDefault="00E836FB">
            <w:pPr>
              <w:rPr>
                <w:rFonts w:ascii="宋体"/>
                <w:vanish/>
              </w:rPr>
            </w:pPr>
          </w:p>
        </w:tc>
        <w:tc>
          <w:tcPr>
            <w:tcW w:w="0" w:type="auto"/>
            <w:gridSpan w:val="3"/>
            <w:shd w:val="clear" w:color="auto" w:fill="auto"/>
            <w:vAlign w:val="bottom"/>
          </w:tcPr>
          <w:p w14:paraId="5F2CBFA0" w14:textId="77777777" w:rsidR="00E836FB" w:rsidRDefault="00E836FB">
            <w:pPr>
              <w:rPr>
                <w:rFonts w:ascii="宋体"/>
                <w:vanish/>
              </w:rPr>
            </w:pPr>
          </w:p>
        </w:tc>
      </w:tr>
      <w:tr w:rsidR="00E836FB" w14:paraId="5F2CBFAA" w14:textId="77777777">
        <w:trPr>
          <w:hidden/>
        </w:trPr>
        <w:tc>
          <w:tcPr>
            <w:tcW w:w="0" w:type="auto"/>
            <w:gridSpan w:val="3"/>
            <w:shd w:val="clear" w:color="auto" w:fill="auto"/>
            <w:vAlign w:val="bottom"/>
          </w:tcPr>
          <w:p w14:paraId="5F2CBFA2" w14:textId="77777777" w:rsidR="00E836FB" w:rsidRDefault="00E836FB">
            <w:pPr>
              <w:rPr>
                <w:rFonts w:ascii="宋体"/>
                <w:vanish/>
              </w:rPr>
            </w:pPr>
          </w:p>
        </w:tc>
        <w:tc>
          <w:tcPr>
            <w:tcW w:w="0" w:type="auto"/>
            <w:gridSpan w:val="3"/>
            <w:shd w:val="clear" w:color="auto" w:fill="auto"/>
            <w:vAlign w:val="bottom"/>
          </w:tcPr>
          <w:p w14:paraId="5F2CBFA3" w14:textId="77777777" w:rsidR="00E836FB" w:rsidRDefault="00E836FB">
            <w:pPr>
              <w:rPr>
                <w:rFonts w:ascii="宋体"/>
                <w:vanish/>
              </w:rPr>
            </w:pPr>
          </w:p>
        </w:tc>
        <w:tc>
          <w:tcPr>
            <w:tcW w:w="0" w:type="auto"/>
            <w:gridSpan w:val="3"/>
            <w:shd w:val="clear" w:color="auto" w:fill="auto"/>
            <w:vAlign w:val="bottom"/>
          </w:tcPr>
          <w:p w14:paraId="5F2CBFA4" w14:textId="77777777" w:rsidR="00E836FB" w:rsidRDefault="00E836FB">
            <w:pPr>
              <w:rPr>
                <w:rFonts w:ascii="宋体"/>
                <w:vanish/>
              </w:rPr>
            </w:pPr>
          </w:p>
        </w:tc>
        <w:tc>
          <w:tcPr>
            <w:tcW w:w="0" w:type="auto"/>
            <w:gridSpan w:val="3"/>
            <w:shd w:val="clear" w:color="auto" w:fill="auto"/>
            <w:vAlign w:val="bottom"/>
          </w:tcPr>
          <w:p w14:paraId="5F2CBFA5" w14:textId="77777777" w:rsidR="00E836FB" w:rsidRDefault="00E836FB">
            <w:pPr>
              <w:rPr>
                <w:rFonts w:ascii="宋体"/>
                <w:vanish/>
              </w:rPr>
            </w:pPr>
          </w:p>
        </w:tc>
        <w:tc>
          <w:tcPr>
            <w:tcW w:w="0" w:type="auto"/>
            <w:gridSpan w:val="3"/>
            <w:shd w:val="clear" w:color="auto" w:fill="auto"/>
            <w:vAlign w:val="bottom"/>
          </w:tcPr>
          <w:p w14:paraId="5F2CBFA6" w14:textId="77777777" w:rsidR="00E836FB" w:rsidRDefault="00E836FB">
            <w:pPr>
              <w:rPr>
                <w:rFonts w:ascii="宋体"/>
                <w:vanish/>
              </w:rPr>
            </w:pPr>
          </w:p>
        </w:tc>
        <w:tc>
          <w:tcPr>
            <w:tcW w:w="0" w:type="auto"/>
            <w:gridSpan w:val="3"/>
            <w:shd w:val="clear" w:color="auto" w:fill="auto"/>
            <w:vAlign w:val="bottom"/>
          </w:tcPr>
          <w:p w14:paraId="5F2CBFA7" w14:textId="77777777" w:rsidR="00E836FB" w:rsidRDefault="00E836FB">
            <w:pPr>
              <w:rPr>
                <w:rFonts w:ascii="宋体"/>
                <w:vanish/>
              </w:rPr>
            </w:pPr>
          </w:p>
        </w:tc>
        <w:tc>
          <w:tcPr>
            <w:tcW w:w="0" w:type="auto"/>
            <w:gridSpan w:val="3"/>
            <w:shd w:val="clear" w:color="auto" w:fill="auto"/>
            <w:vAlign w:val="bottom"/>
          </w:tcPr>
          <w:p w14:paraId="5F2CBFA8" w14:textId="77777777" w:rsidR="00E836FB" w:rsidRDefault="00E836FB">
            <w:pPr>
              <w:rPr>
                <w:rFonts w:ascii="宋体"/>
                <w:vanish/>
              </w:rPr>
            </w:pPr>
          </w:p>
        </w:tc>
        <w:tc>
          <w:tcPr>
            <w:tcW w:w="0" w:type="auto"/>
            <w:gridSpan w:val="3"/>
            <w:shd w:val="clear" w:color="auto" w:fill="auto"/>
            <w:vAlign w:val="bottom"/>
          </w:tcPr>
          <w:p w14:paraId="5F2CBFA9" w14:textId="77777777" w:rsidR="00E836FB" w:rsidRDefault="00E836FB">
            <w:pPr>
              <w:rPr>
                <w:rFonts w:ascii="宋体"/>
                <w:vanish/>
              </w:rPr>
            </w:pPr>
          </w:p>
        </w:tc>
      </w:tr>
      <w:tr w:rsidR="00E836FB" w14:paraId="5F2CBFB3" w14:textId="77777777">
        <w:trPr>
          <w:hidden/>
        </w:trPr>
        <w:tc>
          <w:tcPr>
            <w:tcW w:w="0" w:type="auto"/>
            <w:gridSpan w:val="3"/>
            <w:shd w:val="clear" w:color="auto" w:fill="auto"/>
            <w:vAlign w:val="bottom"/>
          </w:tcPr>
          <w:p w14:paraId="5F2CBFAB" w14:textId="77777777" w:rsidR="00E836FB" w:rsidRDefault="00E836FB">
            <w:pPr>
              <w:rPr>
                <w:rFonts w:ascii="宋体"/>
                <w:vanish/>
              </w:rPr>
            </w:pPr>
          </w:p>
        </w:tc>
        <w:tc>
          <w:tcPr>
            <w:tcW w:w="0" w:type="auto"/>
            <w:gridSpan w:val="3"/>
            <w:shd w:val="clear" w:color="auto" w:fill="auto"/>
            <w:vAlign w:val="bottom"/>
          </w:tcPr>
          <w:p w14:paraId="5F2CBFAC" w14:textId="77777777" w:rsidR="00E836FB" w:rsidRDefault="00E836FB">
            <w:pPr>
              <w:rPr>
                <w:rFonts w:ascii="宋体"/>
                <w:vanish/>
              </w:rPr>
            </w:pPr>
          </w:p>
        </w:tc>
        <w:tc>
          <w:tcPr>
            <w:tcW w:w="0" w:type="auto"/>
            <w:gridSpan w:val="3"/>
            <w:shd w:val="clear" w:color="auto" w:fill="auto"/>
            <w:vAlign w:val="bottom"/>
          </w:tcPr>
          <w:p w14:paraId="5F2CBFAD" w14:textId="77777777" w:rsidR="00E836FB" w:rsidRDefault="00E836FB">
            <w:pPr>
              <w:rPr>
                <w:rFonts w:ascii="宋体"/>
                <w:vanish/>
              </w:rPr>
            </w:pPr>
          </w:p>
        </w:tc>
        <w:tc>
          <w:tcPr>
            <w:tcW w:w="0" w:type="auto"/>
            <w:gridSpan w:val="3"/>
            <w:shd w:val="clear" w:color="auto" w:fill="auto"/>
            <w:vAlign w:val="bottom"/>
          </w:tcPr>
          <w:p w14:paraId="5F2CBFAE" w14:textId="77777777" w:rsidR="00E836FB" w:rsidRDefault="00E836FB">
            <w:pPr>
              <w:rPr>
                <w:rFonts w:ascii="宋体"/>
                <w:vanish/>
              </w:rPr>
            </w:pPr>
          </w:p>
        </w:tc>
        <w:tc>
          <w:tcPr>
            <w:tcW w:w="0" w:type="auto"/>
            <w:gridSpan w:val="3"/>
            <w:shd w:val="clear" w:color="auto" w:fill="auto"/>
            <w:vAlign w:val="bottom"/>
          </w:tcPr>
          <w:p w14:paraId="5F2CBFAF" w14:textId="77777777" w:rsidR="00E836FB" w:rsidRDefault="00E836FB">
            <w:pPr>
              <w:rPr>
                <w:rFonts w:ascii="宋体"/>
                <w:vanish/>
              </w:rPr>
            </w:pPr>
          </w:p>
        </w:tc>
        <w:tc>
          <w:tcPr>
            <w:tcW w:w="0" w:type="auto"/>
            <w:gridSpan w:val="3"/>
            <w:shd w:val="clear" w:color="auto" w:fill="auto"/>
            <w:vAlign w:val="bottom"/>
          </w:tcPr>
          <w:p w14:paraId="5F2CBFB0" w14:textId="77777777" w:rsidR="00E836FB" w:rsidRDefault="00E836FB">
            <w:pPr>
              <w:rPr>
                <w:rFonts w:ascii="宋体"/>
                <w:vanish/>
              </w:rPr>
            </w:pPr>
          </w:p>
        </w:tc>
        <w:tc>
          <w:tcPr>
            <w:tcW w:w="0" w:type="auto"/>
            <w:gridSpan w:val="3"/>
            <w:shd w:val="clear" w:color="auto" w:fill="auto"/>
            <w:vAlign w:val="bottom"/>
          </w:tcPr>
          <w:p w14:paraId="5F2CBFB1" w14:textId="77777777" w:rsidR="00E836FB" w:rsidRDefault="00E836FB">
            <w:pPr>
              <w:rPr>
                <w:rFonts w:ascii="宋体"/>
                <w:vanish/>
              </w:rPr>
            </w:pPr>
          </w:p>
        </w:tc>
        <w:tc>
          <w:tcPr>
            <w:tcW w:w="0" w:type="auto"/>
            <w:gridSpan w:val="3"/>
            <w:shd w:val="clear" w:color="auto" w:fill="auto"/>
            <w:vAlign w:val="bottom"/>
          </w:tcPr>
          <w:p w14:paraId="5F2CBFB2" w14:textId="77777777" w:rsidR="00E836FB" w:rsidRDefault="00E836FB">
            <w:pPr>
              <w:rPr>
                <w:rFonts w:ascii="宋体"/>
                <w:vanish/>
              </w:rPr>
            </w:pPr>
          </w:p>
        </w:tc>
      </w:tr>
      <w:tr w:rsidR="00E836FB" w14:paraId="5F2CBFBC" w14:textId="77777777">
        <w:trPr>
          <w:hidden/>
        </w:trPr>
        <w:tc>
          <w:tcPr>
            <w:tcW w:w="0" w:type="auto"/>
            <w:gridSpan w:val="3"/>
            <w:shd w:val="clear" w:color="auto" w:fill="auto"/>
            <w:vAlign w:val="bottom"/>
          </w:tcPr>
          <w:p w14:paraId="5F2CBFB4" w14:textId="77777777" w:rsidR="00E836FB" w:rsidRDefault="00E836FB">
            <w:pPr>
              <w:rPr>
                <w:rFonts w:ascii="宋体"/>
                <w:vanish/>
              </w:rPr>
            </w:pPr>
          </w:p>
        </w:tc>
        <w:tc>
          <w:tcPr>
            <w:tcW w:w="0" w:type="auto"/>
            <w:gridSpan w:val="3"/>
            <w:shd w:val="clear" w:color="auto" w:fill="auto"/>
            <w:vAlign w:val="bottom"/>
          </w:tcPr>
          <w:p w14:paraId="5F2CBFB5" w14:textId="77777777" w:rsidR="00E836FB" w:rsidRDefault="00E836FB">
            <w:pPr>
              <w:rPr>
                <w:rFonts w:ascii="宋体"/>
                <w:vanish/>
              </w:rPr>
            </w:pPr>
          </w:p>
        </w:tc>
        <w:tc>
          <w:tcPr>
            <w:tcW w:w="0" w:type="auto"/>
            <w:gridSpan w:val="3"/>
            <w:shd w:val="clear" w:color="auto" w:fill="auto"/>
            <w:vAlign w:val="bottom"/>
          </w:tcPr>
          <w:p w14:paraId="5F2CBFB6" w14:textId="77777777" w:rsidR="00E836FB" w:rsidRDefault="00E836FB">
            <w:pPr>
              <w:rPr>
                <w:rFonts w:ascii="宋体"/>
                <w:vanish/>
              </w:rPr>
            </w:pPr>
          </w:p>
        </w:tc>
        <w:tc>
          <w:tcPr>
            <w:tcW w:w="0" w:type="auto"/>
            <w:gridSpan w:val="3"/>
            <w:shd w:val="clear" w:color="auto" w:fill="auto"/>
            <w:vAlign w:val="bottom"/>
          </w:tcPr>
          <w:p w14:paraId="5F2CBFB7" w14:textId="77777777" w:rsidR="00E836FB" w:rsidRDefault="00E836FB">
            <w:pPr>
              <w:rPr>
                <w:rFonts w:ascii="宋体"/>
                <w:vanish/>
              </w:rPr>
            </w:pPr>
          </w:p>
        </w:tc>
        <w:tc>
          <w:tcPr>
            <w:tcW w:w="0" w:type="auto"/>
            <w:gridSpan w:val="3"/>
            <w:shd w:val="clear" w:color="auto" w:fill="auto"/>
            <w:vAlign w:val="bottom"/>
          </w:tcPr>
          <w:p w14:paraId="5F2CBFB8" w14:textId="77777777" w:rsidR="00E836FB" w:rsidRDefault="00E836FB">
            <w:pPr>
              <w:rPr>
                <w:rFonts w:ascii="宋体"/>
                <w:vanish/>
              </w:rPr>
            </w:pPr>
          </w:p>
        </w:tc>
        <w:tc>
          <w:tcPr>
            <w:tcW w:w="0" w:type="auto"/>
            <w:gridSpan w:val="3"/>
            <w:shd w:val="clear" w:color="auto" w:fill="auto"/>
            <w:vAlign w:val="bottom"/>
          </w:tcPr>
          <w:p w14:paraId="5F2CBFB9" w14:textId="77777777" w:rsidR="00E836FB" w:rsidRDefault="00E836FB">
            <w:pPr>
              <w:rPr>
                <w:rFonts w:ascii="宋体"/>
                <w:vanish/>
              </w:rPr>
            </w:pPr>
          </w:p>
        </w:tc>
        <w:tc>
          <w:tcPr>
            <w:tcW w:w="0" w:type="auto"/>
            <w:gridSpan w:val="3"/>
            <w:shd w:val="clear" w:color="auto" w:fill="auto"/>
            <w:vAlign w:val="bottom"/>
          </w:tcPr>
          <w:p w14:paraId="5F2CBFBA" w14:textId="77777777" w:rsidR="00E836FB" w:rsidRDefault="00E836FB">
            <w:pPr>
              <w:rPr>
                <w:rFonts w:ascii="宋体"/>
                <w:vanish/>
              </w:rPr>
            </w:pPr>
          </w:p>
        </w:tc>
        <w:tc>
          <w:tcPr>
            <w:tcW w:w="0" w:type="auto"/>
            <w:gridSpan w:val="3"/>
            <w:shd w:val="clear" w:color="auto" w:fill="auto"/>
            <w:vAlign w:val="bottom"/>
          </w:tcPr>
          <w:p w14:paraId="5F2CBFBB" w14:textId="77777777" w:rsidR="00E836FB" w:rsidRDefault="00E836FB">
            <w:pPr>
              <w:rPr>
                <w:rFonts w:ascii="宋体"/>
                <w:vanish/>
              </w:rPr>
            </w:pPr>
          </w:p>
        </w:tc>
      </w:tr>
      <w:tr w:rsidR="00E836FB" w14:paraId="5F2CBFC5" w14:textId="77777777">
        <w:trPr>
          <w:hidden/>
        </w:trPr>
        <w:tc>
          <w:tcPr>
            <w:tcW w:w="0" w:type="auto"/>
            <w:gridSpan w:val="3"/>
            <w:shd w:val="clear" w:color="auto" w:fill="auto"/>
            <w:vAlign w:val="bottom"/>
          </w:tcPr>
          <w:p w14:paraId="5F2CBFBD" w14:textId="77777777" w:rsidR="00E836FB" w:rsidRDefault="00E836FB">
            <w:pPr>
              <w:rPr>
                <w:rFonts w:ascii="宋体"/>
                <w:vanish/>
              </w:rPr>
            </w:pPr>
          </w:p>
        </w:tc>
        <w:tc>
          <w:tcPr>
            <w:tcW w:w="0" w:type="auto"/>
            <w:gridSpan w:val="3"/>
            <w:shd w:val="clear" w:color="auto" w:fill="auto"/>
            <w:vAlign w:val="bottom"/>
          </w:tcPr>
          <w:p w14:paraId="5F2CBFBE" w14:textId="77777777" w:rsidR="00E836FB" w:rsidRDefault="00E836FB">
            <w:pPr>
              <w:rPr>
                <w:rFonts w:ascii="宋体"/>
                <w:vanish/>
              </w:rPr>
            </w:pPr>
          </w:p>
        </w:tc>
        <w:tc>
          <w:tcPr>
            <w:tcW w:w="0" w:type="auto"/>
            <w:gridSpan w:val="3"/>
            <w:shd w:val="clear" w:color="auto" w:fill="auto"/>
            <w:vAlign w:val="bottom"/>
          </w:tcPr>
          <w:p w14:paraId="5F2CBFBF" w14:textId="77777777" w:rsidR="00E836FB" w:rsidRDefault="00E836FB">
            <w:pPr>
              <w:rPr>
                <w:rFonts w:ascii="宋体"/>
                <w:vanish/>
              </w:rPr>
            </w:pPr>
          </w:p>
        </w:tc>
        <w:tc>
          <w:tcPr>
            <w:tcW w:w="0" w:type="auto"/>
            <w:gridSpan w:val="3"/>
            <w:shd w:val="clear" w:color="auto" w:fill="auto"/>
            <w:vAlign w:val="bottom"/>
          </w:tcPr>
          <w:p w14:paraId="5F2CBFC0" w14:textId="77777777" w:rsidR="00E836FB" w:rsidRDefault="00E836FB">
            <w:pPr>
              <w:rPr>
                <w:rFonts w:ascii="宋体"/>
                <w:vanish/>
              </w:rPr>
            </w:pPr>
          </w:p>
        </w:tc>
        <w:tc>
          <w:tcPr>
            <w:tcW w:w="0" w:type="auto"/>
            <w:gridSpan w:val="3"/>
            <w:shd w:val="clear" w:color="auto" w:fill="auto"/>
            <w:vAlign w:val="bottom"/>
          </w:tcPr>
          <w:p w14:paraId="5F2CBFC1" w14:textId="77777777" w:rsidR="00E836FB" w:rsidRDefault="00E836FB">
            <w:pPr>
              <w:rPr>
                <w:rFonts w:ascii="宋体"/>
                <w:vanish/>
              </w:rPr>
            </w:pPr>
          </w:p>
        </w:tc>
        <w:tc>
          <w:tcPr>
            <w:tcW w:w="0" w:type="auto"/>
            <w:gridSpan w:val="3"/>
            <w:shd w:val="clear" w:color="auto" w:fill="auto"/>
            <w:vAlign w:val="bottom"/>
          </w:tcPr>
          <w:p w14:paraId="5F2CBFC2" w14:textId="77777777" w:rsidR="00E836FB" w:rsidRDefault="00E836FB">
            <w:pPr>
              <w:rPr>
                <w:rFonts w:ascii="宋体"/>
                <w:vanish/>
              </w:rPr>
            </w:pPr>
          </w:p>
        </w:tc>
        <w:tc>
          <w:tcPr>
            <w:tcW w:w="0" w:type="auto"/>
            <w:gridSpan w:val="3"/>
            <w:shd w:val="clear" w:color="auto" w:fill="auto"/>
            <w:vAlign w:val="bottom"/>
          </w:tcPr>
          <w:p w14:paraId="5F2CBFC3" w14:textId="77777777" w:rsidR="00E836FB" w:rsidRDefault="00E836FB">
            <w:pPr>
              <w:rPr>
                <w:rFonts w:ascii="宋体"/>
                <w:vanish/>
              </w:rPr>
            </w:pPr>
          </w:p>
        </w:tc>
        <w:tc>
          <w:tcPr>
            <w:tcW w:w="0" w:type="auto"/>
            <w:gridSpan w:val="3"/>
            <w:shd w:val="clear" w:color="auto" w:fill="auto"/>
            <w:vAlign w:val="bottom"/>
          </w:tcPr>
          <w:p w14:paraId="5F2CBFC4" w14:textId="77777777" w:rsidR="00E836FB" w:rsidRDefault="00E836FB">
            <w:pPr>
              <w:rPr>
                <w:rFonts w:ascii="宋体"/>
                <w:vanish/>
              </w:rPr>
            </w:pPr>
          </w:p>
        </w:tc>
      </w:tr>
      <w:tr w:rsidR="00E836FB" w14:paraId="5F2CBFCE" w14:textId="77777777">
        <w:trPr>
          <w:hidden/>
        </w:trPr>
        <w:tc>
          <w:tcPr>
            <w:tcW w:w="0" w:type="auto"/>
            <w:gridSpan w:val="3"/>
            <w:shd w:val="clear" w:color="auto" w:fill="auto"/>
            <w:vAlign w:val="bottom"/>
          </w:tcPr>
          <w:p w14:paraId="5F2CBFC6" w14:textId="77777777" w:rsidR="00E836FB" w:rsidRDefault="00E836FB">
            <w:pPr>
              <w:rPr>
                <w:rFonts w:ascii="宋体"/>
                <w:vanish/>
              </w:rPr>
            </w:pPr>
          </w:p>
        </w:tc>
        <w:tc>
          <w:tcPr>
            <w:tcW w:w="0" w:type="auto"/>
            <w:gridSpan w:val="3"/>
            <w:shd w:val="clear" w:color="auto" w:fill="auto"/>
            <w:vAlign w:val="bottom"/>
          </w:tcPr>
          <w:p w14:paraId="5F2CBFC7" w14:textId="77777777" w:rsidR="00E836FB" w:rsidRDefault="00E836FB">
            <w:pPr>
              <w:rPr>
                <w:rFonts w:ascii="宋体"/>
                <w:vanish/>
              </w:rPr>
            </w:pPr>
          </w:p>
        </w:tc>
        <w:tc>
          <w:tcPr>
            <w:tcW w:w="0" w:type="auto"/>
            <w:gridSpan w:val="3"/>
            <w:shd w:val="clear" w:color="auto" w:fill="auto"/>
            <w:vAlign w:val="bottom"/>
          </w:tcPr>
          <w:p w14:paraId="5F2CBFC8" w14:textId="77777777" w:rsidR="00E836FB" w:rsidRDefault="00E836FB">
            <w:pPr>
              <w:rPr>
                <w:rFonts w:ascii="宋体"/>
                <w:vanish/>
              </w:rPr>
            </w:pPr>
          </w:p>
        </w:tc>
        <w:tc>
          <w:tcPr>
            <w:tcW w:w="0" w:type="auto"/>
            <w:gridSpan w:val="3"/>
            <w:shd w:val="clear" w:color="auto" w:fill="auto"/>
            <w:vAlign w:val="bottom"/>
          </w:tcPr>
          <w:p w14:paraId="5F2CBFC9" w14:textId="77777777" w:rsidR="00E836FB" w:rsidRDefault="00E836FB">
            <w:pPr>
              <w:rPr>
                <w:rFonts w:ascii="宋体"/>
                <w:vanish/>
              </w:rPr>
            </w:pPr>
          </w:p>
        </w:tc>
        <w:tc>
          <w:tcPr>
            <w:tcW w:w="0" w:type="auto"/>
            <w:gridSpan w:val="3"/>
            <w:shd w:val="clear" w:color="auto" w:fill="auto"/>
            <w:vAlign w:val="bottom"/>
          </w:tcPr>
          <w:p w14:paraId="5F2CBFCA" w14:textId="77777777" w:rsidR="00E836FB" w:rsidRDefault="00E836FB">
            <w:pPr>
              <w:rPr>
                <w:rFonts w:ascii="宋体"/>
                <w:vanish/>
              </w:rPr>
            </w:pPr>
          </w:p>
        </w:tc>
        <w:tc>
          <w:tcPr>
            <w:tcW w:w="0" w:type="auto"/>
            <w:gridSpan w:val="3"/>
            <w:shd w:val="clear" w:color="auto" w:fill="auto"/>
            <w:vAlign w:val="bottom"/>
          </w:tcPr>
          <w:p w14:paraId="5F2CBFCB" w14:textId="77777777" w:rsidR="00E836FB" w:rsidRDefault="00E836FB">
            <w:pPr>
              <w:rPr>
                <w:rFonts w:ascii="宋体"/>
                <w:vanish/>
              </w:rPr>
            </w:pPr>
          </w:p>
        </w:tc>
        <w:tc>
          <w:tcPr>
            <w:tcW w:w="0" w:type="auto"/>
            <w:gridSpan w:val="3"/>
            <w:shd w:val="clear" w:color="auto" w:fill="auto"/>
            <w:vAlign w:val="bottom"/>
          </w:tcPr>
          <w:p w14:paraId="5F2CBFCC" w14:textId="77777777" w:rsidR="00E836FB" w:rsidRDefault="00E836FB">
            <w:pPr>
              <w:rPr>
                <w:rFonts w:ascii="宋体"/>
                <w:vanish/>
              </w:rPr>
            </w:pPr>
          </w:p>
        </w:tc>
        <w:tc>
          <w:tcPr>
            <w:tcW w:w="0" w:type="auto"/>
            <w:gridSpan w:val="3"/>
            <w:shd w:val="clear" w:color="auto" w:fill="auto"/>
            <w:vAlign w:val="bottom"/>
          </w:tcPr>
          <w:p w14:paraId="5F2CBFCD" w14:textId="77777777" w:rsidR="00E836FB" w:rsidRDefault="00E836FB">
            <w:pPr>
              <w:rPr>
                <w:rFonts w:ascii="宋体"/>
                <w:vanish/>
              </w:rPr>
            </w:pPr>
          </w:p>
        </w:tc>
      </w:tr>
      <w:tr w:rsidR="00E836FB" w14:paraId="5F2CBFD7" w14:textId="77777777">
        <w:trPr>
          <w:hidden/>
        </w:trPr>
        <w:tc>
          <w:tcPr>
            <w:tcW w:w="0" w:type="auto"/>
            <w:gridSpan w:val="3"/>
            <w:shd w:val="clear" w:color="auto" w:fill="auto"/>
            <w:vAlign w:val="bottom"/>
          </w:tcPr>
          <w:p w14:paraId="5F2CBFCF" w14:textId="77777777" w:rsidR="00E836FB" w:rsidRDefault="00E836FB">
            <w:pPr>
              <w:rPr>
                <w:rFonts w:ascii="宋体"/>
                <w:vanish/>
              </w:rPr>
            </w:pPr>
          </w:p>
        </w:tc>
        <w:tc>
          <w:tcPr>
            <w:tcW w:w="0" w:type="auto"/>
            <w:gridSpan w:val="3"/>
            <w:shd w:val="clear" w:color="auto" w:fill="auto"/>
            <w:vAlign w:val="bottom"/>
          </w:tcPr>
          <w:p w14:paraId="5F2CBFD0" w14:textId="77777777" w:rsidR="00E836FB" w:rsidRDefault="00E836FB">
            <w:pPr>
              <w:rPr>
                <w:rFonts w:ascii="宋体"/>
                <w:vanish/>
              </w:rPr>
            </w:pPr>
          </w:p>
        </w:tc>
        <w:tc>
          <w:tcPr>
            <w:tcW w:w="0" w:type="auto"/>
            <w:gridSpan w:val="3"/>
            <w:shd w:val="clear" w:color="auto" w:fill="auto"/>
            <w:vAlign w:val="bottom"/>
          </w:tcPr>
          <w:p w14:paraId="5F2CBFD1" w14:textId="77777777" w:rsidR="00E836FB" w:rsidRDefault="00E836FB">
            <w:pPr>
              <w:rPr>
                <w:rFonts w:ascii="宋体"/>
                <w:vanish/>
              </w:rPr>
            </w:pPr>
          </w:p>
        </w:tc>
        <w:tc>
          <w:tcPr>
            <w:tcW w:w="0" w:type="auto"/>
            <w:gridSpan w:val="3"/>
            <w:shd w:val="clear" w:color="auto" w:fill="auto"/>
            <w:vAlign w:val="bottom"/>
          </w:tcPr>
          <w:p w14:paraId="5F2CBFD2" w14:textId="77777777" w:rsidR="00E836FB" w:rsidRDefault="00E836FB">
            <w:pPr>
              <w:rPr>
                <w:rFonts w:ascii="宋体"/>
                <w:vanish/>
              </w:rPr>
            </w:pPr>
          </w:p>
        </w:tc>
        <w:tc>
          <w:tcPr>
            <w:tcW w:w="0" w:type="auto"/>
            <w:gridSpan w:val="3"/>
            <w:shd w:val="clear" w:color="auto" w:fill="auto"/>
            <w:vAlign w:val="bottom"/>
          </w:tcPr>
          <w:p w14:paraId="5F2CBFD3" w14:textId="77777777" w:rsidR="00E836FB" w:rsidRDefault="00E836FB">
            <w:pPr>
              <w:rPr>
                <w:rFonts w:ascii="宋体"/>
                <w:vanish/>
              </w:rPr>
            </w:pPr>
          </w:p>
        </w:tc>
        <w:tc>
          <w:tcPr>
            <w:tcW w:w="0" w:type="auto"/>
            <w:gridSpan w:val="3"/>
            <w:shd w:val="clear" w:color="auto" w:fill="auto"/>
            <w:vAlign w:val="bottom"/>
          </w:tcPr>
          <w:p w14:paraId="5F2CBFD4" w14:textId="77777777" w:rsidR="00E836FB" w:rsidRDefault="00E836FB">
            <w:pPr>
              <w:rPr>
                <w:rFonts w:ascii="宋体"/>
                <w:vanish/>
              </w:rPr>
            </w:pPr>
          </w:p>
        </w:tc>
        <w:tc>
          <w:tcPr>
            <w:tcW w:w="0" w:type="auto"/>
            <w:gridSpan w:val="3"/>
            <w:shd w:val="clear" w:color="auto" w:fill="auto"/>
            <w:vAlign w:val="bottom"/>
          </w:tcPr>
          <w:p w14:paraId="5F2CBFD5" w14:textId="77777777" w:rsidR="00E836FB" w:rsidRDefault="00E836FB">
            <w:pPr>
              <w:rPr>
                <w:rFonts w:ascii="宋体"/>
                <w:vanish/>
              </w:rPr>
            </w:pPr>
          </w:p>
        </w:tc>
        <w:tc>
          <w:tcPr>
            <w:tcW w:w="0" w:type="auto"/>
            <w:gridSpan w:val="3"/>
            <w:shd w:val="clear" w:color="auto" w:fill="auto"/>
            <w:vAlign w:val="bottom"/>
          </w:tcPr>
          <w:p w14:paraId="5F2CBFD6" w14:textId="77777777" w:rsidR="00E836FB" w:rsidRDefault="00E836FB">
            <w:pPr>
              <w:rPr>
                <w:rFonts w:ascii="宋体"/>
                <w:vanish/>
              </w:rPr>
            </w:pPr>
          </w:p>
        </w:tc>
      </w:tr>
      <w:tr w:rsidR="00E836FB" w14:paraId="5F2CBFE0" w14:textId="77777777">
        <w:trPr>
          <w:hidden/>
        </w:trPr>
        <w:tc>
          <w:tcPr>
            <w:tcW w:w="0" w:type="auto"/>
            <w:gridSpan w:val="3"/>
            <w:shd w:val="clear" w:color="auto" w:fill="auto"/>
            <w:vAlign w:val="bottom"/>
          </w:tcPr>
          <w:p w14:paraId="5F2CBFD8" w14:textId="77777777" w:rsidR="00E836FB" w:rsidRDefault="00E836FB">
            <w:pPr>
              <w:rPr>
                <w:rFonts w:ascii="宋体"/>
                <w:vanish/>
              </w:rPr>
            </w:pPr>
          </w:p>
        </w:tc>
        <w:tc>
          <w:tcPr>
            <w:tcW w:w="0" w:type="auto"/>
            <w:gridSpan w:val="3"/>
            <w:shd w:val="clear" w:color="auto" w:fill="auto"/>
            <w:vAlign w:val="bottom"/>
          </w:tcPr>
          <w:p w14:paraId="5F2CBFD9" w14:textId="77777777" w:rsidR="00E836FB" w:rsidRDefault="00E836FB">
            <w:pPr>
              <w:rPr>
                <w:rFonts w:ascii="宋体"/>
                <w:vanish/>
              </w:rPr>
            </w:pPr>
          </w:p>
        </w:tc>
        <w:tc>
          <w:tcPr>
            <w:tcW w:w="0" w:type="auto"/>
            <w:gridSpan w:val="3"/>
            <w:shd w:val="clear" w:color="auto" w:fill="auto"/>
            <w:vAlign w:val="bottom"/>
          </w:tcPr>
          <w:p w14:paraId="5F2CBFDA" w14:textId="77777777" w:rsidR="00E836FB" w:rsidRDefault="00E836FB">
            <w:pPr>
              <w:rPr>
                <w:rFonts w:ascii="宋体"/>
                <w:vanish/>
              </w:rPr>
            </w:pPr>
          </w:p>
        </w:tc>
        <w:tc>
          <w:tcPr>
            <w:tcW w:w="0" w:type="auto"/>
            <w:gridSpan w:val="3"/>
            <w:shd w:val="clear" w:color="auto" w:fill="auto"/>
            <w:vAlign w:val="bottom"/>
          </w:tcPr>
          <w:p w14:paraId="5F2CBFDB" w14:textId="77777777" w:rsidR="00E836FB" w:rsidRDefault="00E836FB">
            <w:pPr>
              <w:rPr>
                <w:rFonts w:ascii="宋体"/>
                <w:vanish/>
              </w:rPr>
            </w:pPr>
          </w:p>
        </w:tc>
        <w:tc>
          <w:tcPr>
            <w:tcW w:w="0" w:type="auto"/>
            <w:gridSpan w:val="3"/>
            <w:shd w:val="clear" w:color="auto" w:fill="auto"/>
            <w:vAlign w:val="bottom"/>
          </w:tcPr>
          <w:p w14:paraId="5F2CBFDC" w14:textId="77777777" w:rsidR="00E836FB" w:rsidRDefault="00E836FB">
            <w:pPr>
              <w:rPr>
                <w:rFonts w:ascii="宋体"/>
                <w:vanish/>
              </w:rPr>
            </w:pPr>
          </w:p>
        </w:tc>
        <w:tc>
          <w:tcPr>
            <w:tcW w:w="0" w:type="auto"/>
            <w:gridSpan w:val="3"/>
            <w:shd w:val="clear" w:color="auto" w:fill="auto"/>
            <w:vAlign w:val="bottom"/>
          </w:tcPr>
          <w:p w14:paraId="5F2CBFDD" w14:textId="77777777" w:rsidR="00E836FB" w:rsidRDefault="00E836FB">
            <w:pPr>
              <w:rPr>
                <w:rFonts w:ascii="宋体"/>
                <w:vanish/>
              </w:rPr>
            </w:pPr>
          </w:p>
        </w:tc>
        <w:tc>
          <w:tcPr>
            <w:tcW w:w="0" w:type="auto"/>
            <w:gridSpan w:val="3"/>
            <w:shd w:val="clear" w:color="auto" w:fill="auto"/>
            <w:vAlign w:val="bottom"/>
          </w:tcPr>
          <w:p w14:paraId="5F2CBFDE" w14:textId="77777777" w:rsidR="00E836FB" w:rsidRDefault="00E836FB">
            <w:pPr>
              <w:rPr>
                <w:rFonts w:ascii="宋体"/>
                <w:vanish/>
              </w:rPr>
            </w:pPr>
          </w:p>
        </w:tc>
        <w:tc>
          <w:tcPr>
            <w:tcW w:w="0" w:type="auto"/>
            <w:gridSpan w:val="3"/>
            <w:shd w:val="clear" w:color="auto" w:fill="auto"/>
            <w:vAlign w:val="bottom"/>
          </w:tcPr>
          <w:p w14:paraId="5F2CBFDF" w14:textId="77777777" w:rsidR="00E836FB" w:rsidRDefault="00E836FB">
            <w:pPr>
              <w:rPr>
                <w:rFonts w:ascii="宋体"/>
                <w:vanish/>
              </w:rPr>
            </w:pPr>
          </w:p>
        </w:tc>
      </w:tr>
      <w:tr w:rsidR="00E836FB" w14:paraId="5F2CBFE9" w14:textId="77777777">
        <w:trPr>
          <w:hidden/>
        </w:trPr>
        <w:tc>
          <w:tcPr>
            <w:tcW w:w="0" w:type="auto"/>
            <w:gridSpan w:val="3"/>
            <w:shd w:val="clear" w:color="auto" w:fill="auto"/>
            <w:vAlign w:val="bottom"/>
          </w:tcPr>
          <w:p w14:paraId="5F2CBFE1" w14:textId="77777777" w:rsidR="00E836FB" w:rsidRDefault="00E836FB">
            <w:pPr>
              <w:rPr>
                <w:rFonts w:ascii="宋体"/>
                <w:vanish/>
              </w:rPr>
            </w:pPr>
          </w:p>
        </w:tc>
        <w:tc>
          <w:tcPr>
            <w:tcW w:w="0" w:type="auto"/>
            <w:gridSpan w:val="3"/>
            <w:shd w:val="clear" w:color="auto" w:fill="auto"/>
            <w:vAlign w:val="bottom"/>
          </w:tcPr>
          <w:p w14:paraId="5F2CBFE2" w14:textId="77777777" w:rsidR="00E836FB" w:rsidRDefault="00E836FB">
            <w:pPr>
              <w:rPr>
                <w:rFonts w:ascii="宋体"/>
                <w:vanish/>
              </w:rPr>
            </w:pPr>
          </w:p>
        </w:tc>
        <w:tc>
          <w:tcPr>
            <w:tcW w:w="0" w:type="auto"/>
            <w:gridSpan w:val="3"/>
            <w:shd w:val="clear" w:color="auto" w:fill="auto"/>
            <w:vAlign w:val="bottom"/>
          </w:tcPr>
          <w:p w14:paraId="5F2CBFE3" w14:textId="77777777" w:rsidR="00E836FB" w:rsidRDefault="00E836FB">
            <w:pPr>
              <w:rPr>
                <w:rFonts w:ascii="宋体"/>
                <w:vanish/>
              </w:rPr>
            </w:pPr>
          </w:p>
        </w:tc>
        <w:tc>
          <w:tcPr>
            <w:tcW w:w="0" w:type="auto"/>
            <w:gridSpan w:val="3"/>
            <w:shd w:val="clear" w:color="auto" w:fill="auto"/>
            <w:vAlign w:val="bottom"/>
          </w:tcPr>
          <w:p w14:paraId="5F2CBFE4" w14:textId="77777777" w:rsidR="00E836FB" w:rsidRDefault="00E836FB">
            <w:pPr>
              <w:rPr>
                <w:rFonts w:ascii="宋体"/>
                <w:vanish/>
              </w:rPr>
            </w:pPr>
          </w:p>
        </w:tc>
        <w:tc>
          <w:tcPr>
            <w:tcW w:w="0" w:type="auto"/>
            <w:gridSpan w:val="3"/>
            <w:shd w:val="clear" w:color="auto" w:fill="auto"/>
            <w:vAlign w:val="bottom"/>
          </w:tcPr>
          <w:p w14:paraId="5F2CBFE5" w14:textId="77777777" w:rsidR="00E836FB" w:rsidRDefault="00E836FB">
            <w:pPr>
              <w:rPr>
                <w:rFonts w:ascii="宋体"/>
                <w:vanish/>
              </w:rPr>
            </w:pPr>
          </w:p>
        </w:tc>
        <w:tc>
          <w:tcPr>
            <w:tcW w:w="0" w:type="auto"/>
            <w:gridSpan w:val="3"/>
            <w:shd w:val="clear" w:color="auto" w:fill="auto"/>
            <w:vAlign w:val="bottom"/>
          </w:tcPr>
          <w:p w14:paraId="5F2CBFE6" w14:textId="77777777" w:rsidR="00E836FB" w:rsidRDefault="00E836FB">
            <w:pPr>
              <w:rPr>
                <w:rFonts w:ascii="宋体"/>
                <w:vanish/>
              </w:rPr>
            </w:pPr>
          </w:p>
        </w:tc>
        <w:tc>
          <w:tcPr>
            <w:tcW w:w="0" w:type="auto"/>
            <w:gridSpan w:val="3"/>
            <w:shd w:val="clear" w:color="auto" w:fill="auto"/>
            <w:vAlign w:val="bottom"/>
          </w:tcPr>
          <w:p w14:paraId="5F2CBFE7" w14:textId="77777777" w:rsidR="00E836FB" w:rsidRDefault="00E836FB">
            <w:pPr>
              <w:rPr>
                <w:rFonts w:ascii="宋体"/>
                <w:vanish/>
              </w:rPr>
            </w:pPr>
          </w:p>
        </w:tc>
        <w:tc>
          <w:tcPr>
            <w:tcW w:w="0" w:type="auto"/>
            <w:gridSpan w:val="3"/>
            <w:shd w:val="clear" w:color="auto" w:fill="auto"/>
            <w:vAlign w:val="bottom"/>
          </w:tcPr>
          <w:p w14:paraId="5F2CBFE8" w14:textId="77777777" w:rsidR="00E836FB" w:rsidRDefault="00E836FB">
            <w:pPr>
              <w:rPr>
                <w:rFonts w:ascii="宋体"/>
                <w:vanish/>
              </w:rPr>
            </w:pPr>
          </w:p>
        </w:tc>
      </w:tr>
      <w:tr w:rsidR="00E836FB" w14:paraId="5F2CBFF4" w14:textId="77777777">
        <w:trPr>
          <w:hidden/>
        </w:trPr>
        <w:tc>
          <w:tcPr>
            <w:tcW w:w="0" w:type="auto"/>
            <w:gridSpan w:val="3"/>
            <w:shd w:val="clear" w:color="auto" w:fill="auto"/>
            <w:vAlign w:val="bottom"/>
          </w:tcPr>
          <w:p w14:paraId="5F2CBFEA" w14:textId="77777777" w:rsidR="00E836FB" w:rsidRDefault="00E836FB">
            <w:pPr>
              <w:rPr>
                <w:rFonts w:ascii="宋体"/>
                <w:vanish/>
              </w:rPr>
            </w:pPr>
          </w:p>
        </w:tc>
        <w:tc>
          <w:tcPr>
            <w:tcW w:w="0" w:type="auto"/>
            <w:gridSpan w:val="3"/>
            <w:shd w:val="clear" w:color="auto" w:fill="auto"/>
            <w:vAlign w:val="bottom"/>
          </w:tcPr>
          <w:p w14:paraId="5F2CBFEB" w14:textId="77777777" w:rsidR="00E836FB" w:rsidRDefault="00E836FB">
            <w:pPr>
              <w:rPr>
                <w:rFonts w:ascii="宋体"/>
                <w:vanish/>
              </w:rPr>
            </w:pPr>
          </w:p>
        </w:tc>
        <w:tc>
          <w:tcPr>
            <w:tcW w:w="0" w:type="auto"/>
            <w:gridSpan w:val="3"/>
            <w:shd w:val="clear" w:color="auto" w:fill="auto"/>
            <w:vAlign w:val="bottom"/>
          </w:tcPr>
          <w:p w14:paraId="5F2CBFEC" w14:textId="77777777" w:rsidR="00E836FB" w:rsidRDefault="00E836FB">
            <w:pPr>
              <w:rPr>
                <w:rFonts w:ascii="宋体"/>
                <w:vanish/>
              </w:rPr>
            </w:pPr>
          </w:p>
        </w:tc>
        <w:tc>
          <w:tcPr>
            <w:tcW w:w="0" w:type="auto"/>
            <w:gridSpan w:val="3"/>
            <w:shd w:val="clear" w:color="auto" w:fill="auto"/>
            <w:vAlign w:val="bottom"/>
          </w:tcPr>
          <w:p w14:paraId="5F2CBFED" w14:textId="77777777" w:rsidR="00E836FB" w:rsidRDefault="00E836FB">
            <w:pPr>
              <w:rPr>
                <w:rFonts w:ascii="宋体"/>
                <w:vanish/>
              </w:rPr>
            </w:pPr>
          </w:p>
        </w:tc>
        <w:tc>
          <w:tcPr>
            <w:tcW w:w="0" w:type="auto"/>
            <w:gridSpan w:val="3"/>
            <w:shd w:val="clear" w:color="auto" w:fill="auto"/>
            <w:vAlign w:val="bottom"/>
          </w:tcPr>
          <w:p w14:paraId="5F2CBFEE" w14:textId="77777777" w:rsidR="00E836FB" w:rsidRDefault="00E836FB">
            <w:pPr>
              <w:rPr>
                <w:rFonts w:ascii="宋体"/>
                <w:vanish/>
              </w:rPr>
            </w:pPr>
          </w:p>
        </w:tc>
        <w:tc>
          <w:tcPr>
            <w:tcW w:w="0" w:type="auto"/>
            <w:gridSpan w:val="3"/>
            <w:shd w:val="clear" w:color="auto" w:fill="auto"/>
            <w:vAlign w:val="bottom"/>
          </w:tcPr>
          <w:p w14:paraId="5F2CBFEF" w14:textId="77777777" w:rsidR="00E836FB" w:rsidRDefault="00E836FB">
            <w:pPr>
              <w:rPr>
                <w:rFonts w:ascii="宋体"/>
                <w:vanish/>
              </w:rPr>
            </w:pPr>
          </w:p>
        </w:tc>
        <w:tc>
          <w:tcPr>
            <w:tcW w:w="0" w:type="auto"/>
            <w:gridSpan w:val="3"/>
            <w:shd w:val="clear" w:color="auto" w:fill="auto"/>
            <w:vAlign w:val="bottom"/>
          </w:tcPr>
          <w:p w14:paraId="5F2CBFF0" w14:textId="77777777" w:rsidR="00E836FB" w:rsidRDefault="00E836FB">
            <w:pPr>
              <w:rPr>
                <w:rFonts w:ascii="宋体"/>
                <w:vanish/>
              </w:rPr>
            </w:pPr>
          </w:p>
        </w:tc>
        <w:tc>
          <w:tcPr>
            <w:tcW w:w="0" w:type="auto"/>
            <w:shd w:val="clear" w:color="auto" w:fill="auto"/>
            <w:vAlign w:val="bottom"/>
          </w:tcPr>
          <w:p w14:paraId="5F2CBFF1" w14:textId="77777777" w:rsidR="00E836FB" w:rsidRDefault="00E836FB">
            <w:pPr>
              <w:rPr>
                <w:rFonts w:ascii="宋体"/>
              </w:rPr>
            </w:pPr>
          </w:p>
        </w:tc>
        <w:tc>
          <w:tcPr>
            <w:tcW w:w="0" w:type="auto"/>
            <w:shd w:val="clear" w:color="auto" w:fill="auto"/>
            <w:vAlign w:val="bottom"/>
          </w:tcPr>
          <w:p w14:paraId="5F2CBFF2" w14:textId="77777777" w:rsidR="00E836FB" w:rsidRDefault="00E836FB">
            <w:pPr>
              <w:rPr>
                <w:rFonts w:ascii="宋体"/>
              </w:rPr>
            </w:pPr>
          </w:p>
        </w:tc>
        <w:tc>
          <w:tcPr>
            <w:tcW w:w="0" w:type="auto"/>
            <w:shd w:val="clear" w:color="auto" w:fill="auto"/>
            <w:vAlign w:val="bottom"/>
          </w:tcPr>
          <w:p w14:paraId="5F2CBFF3" w14:textId="77777777" w:rsidR="00E836FB" w:rsidRDefault="00E836FB">
            <w:pPr>
              <w:rPr>
                <w:rFonts w:ascii="宋体"/>
              </w:rPr>
            </w:pPr>
          </w:p>
        </w:tc>
      </w:tr>
      <w:tr w:rsidR="00E836FB" w14:paraId="5F2CBFFD" w14:textId="77777777">
        <w:trPr>
          <w:hidden/>
        </w:trPr>
        <w:tc>
          <w:tcPr>
            <w:tcW w:w="0" w:type="auto"/>
            <w:gridSpan w:val="3"/>
            <w:shd w:val="clear" w:color="auto" w:fill="auto"/>
            <w:vAlign w:val="bottom"/>
          </w:tcPr>
          <w:p w14:paraId="5F2CBFF5" w14:textId="77777777" w:rsidR="00E836FB" w:rsidRDefault="00E836FB">
            <w:pPr>
              <w:rPr>
                <w:rFonts w:ascii="宋体"/>
                <w:vanish/>
              </w:rPr>
            </w:pPr>
          </w:p>
        </w:tc>
        <w:tc>
          <w:tcPr>
            <w:tcW w:w="0" w:type="auto"/>
            <w:gridSpan w:val="3"/>
            <w:shd w:val="clear" w:color="auto" w:fill="auto"/>
            <w:vAlign w:val="bottom"/>
          </w:tcPr>
          <w:p w14:paraId="5F2CBFF6" w14:textId="77777777" w:rsidR="00E836FB" w:rsidRDefault="00E836FB">
            <w:pPr>
              <w:rPr>
                <w:rFonts w:ascii="宋体"/>
                <w:vanish/>
              </w:rPr>
            </w:pPr>
          </w:p>
        </w:tc>
        <w:tc>
          <w:tcPr>
            <w:tcW w:w="0" w:type="auto"/>
            <w:gridSpan w:val="3"/>
            <w:shd w:val="clear" w:color="auto" w:fill="auto"/>
            <w:vAlign w:val="bottom"/>
          </w:tcPr>
          <w:p w14:paraId="5F2CBFF7" w14:textId="77777777" w:rsidR="00E836FB" w:rsidRDefault="00E836FB">
            <w:pPr>
              <w:rPr>
                <w:rFonts w:ascii="宋体"/>
                <w:vanish/>
              </w:rPr>
            </w:pPr>
          </w:p>
        </w:tc>
        <w:tc>
          <w:tcPr>
            <w:tcW w:w="0" w:type="auto"/>
            <w:gridSpan w:val="3"/>
            <w:shd w:val="clear" w:color="auto" w:fill="auto"/>
            <w:vAlign w:val="bottom"/>
          </w:tcPr>
          <w:p w14:paraId="5F2CBFF8" w14:textId="77777777" w:rsidR="00E836FB" w:rsidRDefault="00E836FB">
            <w:pPr>
              <w:rPr>
                <w:rFonts w:ascii="宋体"/>
                <w:vanish/>
              </w:rPr>
            </w:pPr>
          </w:p>
        </w:tc>
        <w:tc>
          <w:tcPr>
            <w:tcW w:w="0" w:type="auto"/>
            <w:gridSpan w:val="3"/>
            <w:shd w:val="clear" w:color="auto" w:fill="auto"/>
            <w:vAlign w:val="bottom"/>
          </w:tcPr>
          <w:p w14:paraId="5F2CBFF9" w14:textId="77777777" w:rsidR="00E836FB" w:rsidRDefault="00E836FB">
            <w:pPr>
              <w:rPr>
                <w:rFonts w:ascii="宋体"/>
                <w:vanish/>
              </w:rPr>
            </w:pPr>
          </w:p>
        </w:tc>
        <w:tc>
          <w:tcPr>
            <w:tcW w:w="0" w:type="auto"/>
            <w:gridSpan w:val="3"/>
            <w:shd w:val="clear" w:color="auto" w:fill="auto"/>
            <w:vAlign w:val="bottom"/>
          </w:tcPr>
          <w:p w14:paraId="5F2CBFFA" w14:textId="77777777" w:rsidR="00E836FB" w:rsidRDefault="00E836FB">
            <w:pPr>
              <w:rPr>
                <w:rFonts w:ascii="宋体"/>
                <w:vanish/>
              </w:rPr>
            </w:pPr>
          </w:p>
        </w:tc>
        <w:tc>
          <w:tcPr>
            <w:tcW w:w="0" w:type="auto"/>
            <w:gridSpan w:val="3"/>
            <w:shd w:val="clear" w:color="auto" w:fill="auto"/>
            <w:vAlign w:val="bottom"/>
          </w:tcPr>
          <w:p w14:paraId="5F2CBFFB" w14:textId="77777777" w:rsidR="00E836FB" w:rsidRDefault="00E836FB">
            <w:pPr>
              <w:rPr>
                <w:rFonts w:ascii="宋体"/>
                <w:vanish/>
              </w:rPr>
            </w:pPr>
          </w:p>
        </w:tc>
        <w:tc>
          <w:tcPr>
            <w:tcW w:w="0" w:type="auto"/>
            <w:gridSpan w:val="3"/>
            <w:shd w:val="clear" w:color="auto" w:fill="auto"/>
            <w:vAlign w:val="bottom"/>
          </w:tcPr>
          <w:p w14:paraId="5F2CBFFC" w14:textId="77777777" w:rsidR="00E836FB" w:rsidRDefault="00E836FB">
            <w:pPr>
              <w:rPr>
                <w:rFonts w:ascii="宋体"/>
                <w:vanish/>
              </w:rPr>
            </w:pPr>
          </w:p>
        </w:tc>
      </w:tr>
      <w:tr w:rsidR="00E836FB" w14:paraId="5F2CC006" w14:textId="77777777">
        <w:trPr>
          <w:hidden/>
        </w:trPr>
        <w:tc>
          <w:tcPr>
            <w:tcW w:w="0" w:type="auto"/>
            <w:gridSpan w:val="3"/>
            <w:shd w:val="clear" w:color="auto" w:fill="auto"/>
            <w:vAlign w:val="bottom"/>
          </w:tcPr>
          <w:p w14:paraId="5F2CBFFE" w14:textId="77777777" w:rsidR="00E836FB" w:rsidRDefault="00E836FB">
            <w:pPr>
              <w:rPr>
                <w:rFonts w:ascii="宋体"/>
                <w:vanish/>
              </w:rPr>
            </w:pPr>
          </w:p>
        </w:tc>
        <w:tc>
          <w:tcPr>
            <w:tcW w:w="0" w:type="auto"/>
            <w:gridSpan w:val="3"/>
            <w:shd w:val="clear" w:color="auto" w:fill="auto"/>
            <w:vAlign w:val="bottom"/>
          </w:tcPr>
          <w:p w14:paraId="5F2CBFFF" w14:textId="77777777" w:rsidR="00E836FB" w:rsidRDefault="00E836FB">
            <w:pPr>
              <w:rPr>
                <w:rFonts w:ascii="宋体"/>
                <w:vanish/>
              </w:rPr>
            </w:pPr>
          </w:p>
        </w:tc>
        <w:tc>
          <w:tcPr>
            <w:tcW w:w="0" w:type="auto"/>
            <w:gridSpan w:val="3"/>
            <w:shd w:val="clear" w:color="auto" w:fill="auto"/>
            <w:vAlign w:val="bottom"/>
          </w:tcPr>
          <w:p w14:paraId="5F2CC000" w14:textId="77777777" w:rsidR="00E836FB" w:rsidRDefault="00E836FB">
            <w:pPr>
              <w:rPr>
                <w:rFonts w:ascii="宋体"/>
                <w:vanish/>
              </w:rPr>
            </w:pPr>
          </w:p>
        </w:tc>
        <w:tc>
          <w:tcPr>
            <w:tcW w:w="0" w:type="auto"/>
            <w:gridSpan w:val="3"/>
            <w:shd w:val="clear" w:color="auto" w:fill="auto"/>
            <w:vAlign w:val="bottom"/>
          </w:tcPr>
          <w:p w14:paraId="5F2CC001" w14:textId="77777777" w:rsidR="00E836FB" w:rsidRDefault="00E836FB">
            <w:pPr>
              <w:rPr>
                <w:rFonts w:ascii="宋体"/>
                <w:vanish/>
              </w:rPr>
            </w:pPr>
          </w:p>
        </w:tc>
        <w:tc>
          <w:tcPr>
            <w:tcW w:w="0" w:type="auto"/>
            <w:gridSpan w:val="3"/>
            <w:shd w:val="clear" w:color="auto" w:fill="auto"/>
            <w:vAlign w:val="bottom"/>
          </w:tcPr>
          <w:p w14:paraId="5F2CC002" w14:textId="77777777" w:rsidR="00E836FB" w:rsidRDefault="00E836FB">
            <w:pPr>
              <w:rPr>
                <w:rFonts w:ascii="宋体"/>
                <w:vanish/>
              </w:rPr>
            </w:pPr>
          </w:p>
        </w:tc>
        <w:tc>
          <w:tcPr>
            <w:tcW w:w="0" w:type="auto"/>
            <w:gridSpan w:val="3"/>
            <w:shd w:val="clear" w:color="auto" w:fill="auto"/>
            <w:vAlign w:val="bottom"/>
          </w:tcPr>
          <w:p w14:paraId="5F2CC003" w14:textId="77777777" w:rsidR="00E836FB" w:rsidRDefault="00E836FB">
            <w:pPr>
              <w:rPr>
                <w:rFonts w:ascii="宋体"/>
                <w:vanish/>
              </w:rPr>
            </w:pPr>
          </w:p>
        </w:tc>
        <w:tc>
          <w:tcPr>
            <w:tcW w:w="0" w:type="auto"/>
            <w:gridSpan w:val="3"/>
            <w:shd w:val="clear" w:color="auto" w:fill="auto"/>
            <w:vAlign w:val="bottom"/>
          </w:tcPr>
          <w:p w14:paraId="5F2CC004" w14:textId="77777777" w:rsidR="00E836FB" w:rsidRDefault="00E836FB">
            <w:pPr>
              <w:rPr>
                <w:rFonts w:ascii="宋体"/>
                <w:vanish/>
              </w:rPr>
            </w:pPr>
          </w:p>
        </w:tc>
        <w:tc>
          <w:tcPr>
            <w:tcW w:w="0" w:type="auto"/>
            <w:gridSpan w:val="3"/>
            <w:shd w:val="clear" w:color="auto" w:fill="auto"/>
            <w:vAlign w:val="bottom"/>
          </w:tcPr>
          <w:p w14:paraId="5F2CC005" w14:textId="77777777" w:rsidR="00E836FB" w:rsidRDefault="00E836FB">
            <w:pPr>
              <w:rPr>
                <w:rFonts w:ascii="宋体"/>
                <w:vanish/>
              </w:rPr>
            </w:pPr>
          </w:p>
        </w:tc>
      </w:tr>
      <w:tr w:rsidR="00E836FB" w14:paraId="5F2CC00F" w14:textId="77777777">
        <w:trPr>
          <w:hidden/>
        </w:trPr>
        <w:tc>
          <w:tcPr>
            <w:tcW w:w="0" w:type="auto"/>
            <w:gridSpan w:val="3"/>
            <w:shd w:val="clear" w:color="auto" w:fill="auto"/>
            <w:vAlign w:val="bottom"/>
          </w:tcPr>
          <w:p w14:paraId="5F2CC007" w14:textId="77777777" w:rsidR="00E836FB" w:rsidRDefault="00E836FB">
            <w:pPr>
              <w:rPr>
                <w:rFonts w:ascii="宋体"/>
                <w:vanish/>
              </w:rPr>
            </w:pPr>
          </w:p>
        </w:tc>
        <w:tc>
          <w:tcPr>
            <w:tcW w:w="0" w:type="auto"/>
            <w:gridSpan w:val="3"/>
            <w:shd w:val="clear" w:color="auto" w:fill="auto"/>
            <w:vAlign w:val="bottom"/>
          </w:tcPr>
          <w:p w14:paraId="5F2CC008" w14:textId="77777777" w:rsidR="00E836FB" w:rsidRDefault="00E836FB">
            <w:pPr>
              <w:rPr>
                <w:rFonts w:ascii="宋体"/>
                <w:vanish/>
              </w:rPr>
            </w:pPr>
          </w:p>
        </w:tc>
        <w:tc>
          <w:tcPr>
            <w:tcW w:w="0" w:type="auto"/>
            <w:gridSpan w:val="3"/>
            <w:shd w:val="clear" w:color="auto" w:fill="auto"/>
            <w:vAlign w:val="bottom"/>
          </w:tcPr>
          <w:p w14:paraId="5F2CC009" w14:textId="77777777" w:rsidR="00E836FB" w:rsidRDefault="00E836FB">
            <w:pPr>
              <w:rPr>
                <w:rFonts w:ascii="宋体"/>
                <w:vanish/>
              </w:rPr>
            </w:pPr>
          </w:p>
        </w:tc>
        <w:tc>
          <w:tcPr>
            <w:tcW w:w="0" w:type="auto"/>
            <w:gridSpan w:val="3"/>
            <w:shd w:val="clear" w:color="auto" w:fill="auto"/>
            <w:vAlign w:val="bottom"/>
          </w:tcPr>
          <w:p w14:paraId="5F2CC00A" w14:textId="77777777" w:rsidR="00E836FB" w:rsidRDefault="00E836FB">
            <w:pPr>
              <w:rPr>
                <w:rFonts w:ascii="宋体"/>
                <w:vanish/>
              </w:rPr>
            </w:pPr>
          </w:p>
        </w:tc>
        <w:tc>
          <w:tcPr>
            <w:tcW w:w="0" w:type="auto"/>
            <w:gridSpan w:val="3"/>
            <w:shd w:val="clear" w:color="auto" w:fill="auto"/>
            <w:vAlign w:val="bottom"/>
          </w:tcPr>
          <w:p w14:paraId="5F2CC00B" w14:textId="77777777" w:rsidR="00E836FB" w:rsidRDefault="00E836FB">
            <w:pPr>
              <w:rPr>
                <w:rFonts w:ascii="宋体"/>
                <w:vanish/>
              </w:rPr>
            </w:pPr>
          </w:p>
        </w:tc>
        <w:tc>
          <w:tcPr>
            <w:tcW w:w="0" w:type="auto"/>
            <w:gridSpan w:val="3"/>
            <w:shd w:val="clear" w:color="auto" w:fill="auto"/>
            <w:vAlign w:val="bottom"/>
          </w:tcPr>
          <w:p w14:paraId="5F2CC00C" w14:textId="77777777" w:rsidR="00E836FB" w:rsidRDefault="00E836FB">
            <w:pPr>
              <w:rPr>
                <w:rFonts w:ascii="宋体"/>
                <w:vanish/>
              </w:rPr>
            </w:pPr>
          </w:p>
        </w:tc>
        <w:tc>
          <w:tcPr>
            <w:tcW w:w="0" w:type="auto"/>
            <w:gridSpan w:val="3"/>
            <w:shd w:val="clear" w:color="auto" w:fill="auto"/>
            <w:vAlign w:val="bottom"/>
          </w:tcPr>
          <w:p w14:paraId="5F2CC00D" w14:textId="77777777" w:rsidR="00E836FB" w:rsidRDefault="00E836FB">
            <w:pPr>
              <w:rPr>
                <w:rFonts w:ascii="宋体"/>
                <w:vanish/>
              </w:rPr>
            </w:pPr>
          </w:p>
        </w:tc>
        <w:tc>
          <w:tcPr>
            <w:tcW w:w="0" w:type="auto"/>
            <w:gridSpan w:val="3"/>
            <w:shd w:val="clear" w:color="auto" w:fill="auto"/>
            <w:vAlign w:val="bottom"/>
          </w:tcPr>
          <w:p w14:paraId="5F2CC00E" w14:textId="77777777" w:rsidR="00E836FB" w:rsidRDefault="00E836FB">
            <w:pPr>
              <w:rPr>
                <w:rFonts w:ascii="宋体"/>
                <w:vanish/>
              </w:rPr>
            </w:pPr>
          </w:p>
        </w:tc>
      </w:tr>
      <w:tr w:rsidR="00E836FB" w14:paraId="5F2CC018" w14:textId="77777777">
        <w:trPr>
          <w:hidden/>
        </w:trPr>
        <w:tc>
          <w:tcPr>
            <w:tcW w:w="0" w:type="auto"/>
            <w:gridSpan w:val="3"/>
            <w:shd w:val="clear" w:color="auto" w:fill="auto"/>
            <w:vAlign w:val="bottom"/>
          </w:tcPr>
          <w:p w14:paraId="5F2CC010" w14:textId="77777777" w:rsidR="00E836FB" w:rsidRDefault="00E836FB">
            <w:pPr>
              <w:rPr>
                <w:rFonts w:ascii="宋体"/>
                <w:vanish/>
              </w:rPr>
            </w:pPr>
          </w:p>
        </w:tc>
        <w:tc>
          <w:tcPr>
            <w:tcW w:w="0" w:type="auto"/>
            <w:gridSpan w:val="3"/>
            <w:shd w:val="clear" w:color="auto" w:fill="auto"/>
            <w:vAlign w:val="bottom"/>
          </w:tcPr>
          <w:p w14:paraId="5F2CC011" w14:textId="77777777" w:rsidR="00E836FB" w:rsidRDefault="00E836FB">
            <w:pPr>
              <w:rPr>
                <w:rFonts w:ascii="宋体"/>
                <w:vanish/>
              </w:rPr>
            </w:pPr>
          </w:p>
        </w:tc>
        <w:tc>
          <w:tcPr>
            <w:tcW w:w="0" w:type="auto"/>
            <w:gridSpan w:val="3"/>
            <w:shd w:val="clear" w:color="auto" w:fill="auto"/>
            <w:vAlign w:val="bottom"/>
          </w:tcPr>
          <w:p w14:paraId="5F2CC012" w14:textId="77777777" w:rsidR="00E836FB" w:rsidRDefault="00E836FB">
            <w:pPr>
              <w:rPr>
                <w:rFonts w:ascii="宋体"/>
                <w:vanish/>
              </w:rPr>
            </w:pPr>
          </w:p>
        </w:tc>
        <w:tc>
          <w:tcPr>
            <w:tcW w:w="0" w:type="auto"/>
            <w:gridSpan w:val="3"/>
            <w:shd w:val="clear" w:color="auto" w:fill="auto"/>
            <w:vAlign w:val="bottom"/>
          </w:tcPr>
          <w:p w14:paraId="5F2CC013" w14:textId="77777777" w:rsidR="00E836FB" w:rsidRDefault="00E836FB">
            <w:pPr>
              <w:rPr>
                <w:rFonts w:ascii="宋体"/>
                <w:vanish/>
              </w:rPr>
            </w:pPr>
          </w:p>
        </w:tc>
        <w:tc>
          <w:tcPr>
            <w:tcW w:w="0" w:type="auto"/>
            <w:gridSpan w:val="3"/>
            <w:shd w:val="clear" w:color="auto" w:fill="auto"/>
            <w:vAlign w:val="bottom"/>
          </w:tcPr>
          <w:p w14:paraId="5F2CC014" w14:textId="77777777" w:rsidR="00E836FB" w:rsidRDefault="00E836FB">
            <w:pPr>
              <w:rPr>
                <w:rFonts w:ascii="宋体"/>
                <w:vanish/>
              </w:rPr>
            </w:pPr>
          </w:p>
        </w:tc>
        <w:tc>
          <w:tcPr>
            <w:tcW w:w="0" w:type="auto"/>
            <w:gridSpan w:val="3"/>
            <w:shd w:val="clear" w:color="auto" w:fill="auto"/>
            <w:vAlign w:val="bottom"/>
          </w:tcPr>
          <w:p w14:paraId="5F2CC015" w14:textId="77777777" w:rsidR="00E836FB" w:rsidRDefault="00E836FB">
            <w:pPr>
              <w:rPr>
                <w:rFonts w:ascii="宋体"/>
                <w:vanish/>
              </w:rPr>
            </w:pPr>
          </w:p>
        </w:tc>
        <w:tc>
          <w:tcPr>
            <w:tcW w:w="0" w:type="auto"/>
            <w:gridSpan w:val="3"/>
            <w:shd w:val="clear" w:color="auto" w:fill="auto"/>
            <w:vAlign w:val="bottom"/>
          </w:tcPr>
          <w:p w14:paraId="5F2CC016" w14:textId="77777777" w:rsidR="00E836FB" w:rsidRDefault="00E836FB">
            <w:pPr>
              <w:rPr>
                <w:rFonts w:ascii="宋体"/>
                <w:vanish/>
              </w:rPr>
            </w:pPr>
          </w:p>
        </w:tc>
        <w:tc>
          <w:tcPr>
            <w:tcW w:w="0" w:type="auto"/>
            <w:gridSpan w:val="3"/>
            <w:shd w:val="clear" w:color="auto" w:fill="auto"/>
            <w:vAlign w:val="bottom"/>
          </w:tcPr>
          <w:p w14:paraId="5F2CC017" w14:textId="77777777" w:rsidR="00E836FB" w:rsidRDefault="00E836FB">
            <w:pPr>
              <w:rPr>
                <w:rFonts w:ascii="宋体"/>
                <w:vanish/>
              </w:rPr>
            </w:pPr>
          </w:p>
        </w:tc>
      </w:tr>
      <w:tr w:rsidR="00E836FB" w14:paraId="5F2CC021" w14:textId="77777777">
        <w:trPr>
          <w:hidden/>
        </w:trPr>
        <w:tc>
          <w:tcPr>
            <w:tcW w:w="0" w:type="auto"/>
            <w:gridSpan w:val="3"/>
            <w:shd w:val="clear" w:color="auto" w:fill="auto"/>
            <w:vAlign w:val="bottom"/>
          </w:tcPr>
          <w:p w14:paraId="5F2CC019" w14:textId="77777777" w:rsidR="00E836FB" w:rsidRDefault="00E836FB">
            <w:pPr>
              <w:rPr>
                <w:rFonts w:ascii="宋体"/>
                <w:vanish/>
              </w:rPr>
            </w:pPr>
          </w:p>
        </w:tc>
        <w:tc>
          <w:tcPr>
            <w:tcW w:w="0" w:type="auto"/>
            <w:gridSpan w:val="3"/>
            <w:shd w:val="clear" w:color="auto" w:fill="auto"/>
            <w:vAlign w:val="bottom"/>
          </w:tcPr>
          <w:p w14:paraId="5F2CC01A" w14:textId="77777777" w:rsidR="00E836FB" w:rsidRDefault="00E836FB">
            <w:pPr>
              <w:rPr>
                <w:rFonts w:ascii="宋体"/>
                <w:vanish/>
              </w:rPr>
            </w:pPr>
          </w:p>
        </w:tc>
        <w:tc>
          <w:tcPr>
            <w:tcW w:w="0" w:type="auto"/>
            <w:gridSpan w:val="3"/>
            <w:shd w:val="clear" w:color="auto" w:fill="auto"/>
            <w:vAlign w:val="bottom"/>
          </w:tcPr>
          <w:p w14:paraId="5F2CC01B" w14:textId="77777777" w:rsidR="00E836FB" w:rsidRDefault="00E836FB">
            <w:pPr>
              <w:rPr>
                <w:rFonts w:ascii="宋体"/>
                <w:vanish/>
              </w:rPr>
            </w:pPr>
          </w:p>
        </w:tc>
        <w:tc>
          <w:tcPr>
            <w:tcW w:w="0" w:type="auto"/>
            <w:gridSpan w:val="3"/>
            <w:shd w:val="clear" w:color="auto" w:fill="auto"/>
            <w:vAlign w:val="bottom"/>
          </w:tcPr>
          <w:p w14:paraId="5F2CC01C" w14:textId="77777777" w:rsidR="00E836FB" w:rsidRDefault="00E836FB">
            <w:pPr>
              <w:rPr>
                <w:rFonts w:ascii="宋体"/>
                <w:vanish/>
              </w:rPr>
            </w:pPr>
          </w:p>
        </w:tc>
        <w:tc>
          <w:tcPr>
            <w:tcW w:w="0" w:type="auto"/>
            <w:gridSpan w:val="3"/>
            <w:shd w:val="clear" w:color="auto" w:fill="auto"/>
            <w:vAlign w:val="bottom"/>
          </w:tcPr>
          <w:p w14:paraId="5F2CC01D" w14:textId="77777777" w:rsidR="00E836FB" w:rsidRDefault="00E836FB">
            <w:pPr>
              <w:rPr>
                <w:rFonts w:ascii="宋体"/>
                <w:vanish/>
              </w:rPr>
            </w:pPr>
          </w:p>
        </w:tc>
        <w:tc>
          <w:tcPr>
            <w:tcW w:w="0" w:type="auto"/>
            <w:gridSpan w:val="3"/>
            <w:shd w:val="clear" w:color="auto" w:fill="auto"/>
            <w:vAlign w:val="bottom"/>
          </w:tcPr>
          <w:p w14:paraId="5F2CC01E" w14:textId="77777777" w:rsidR="00E836FB" w:rsidRDefault="00E836FB">
            <w:pPr>
              <w:rPr>
                <w:rFonts w:ascii="宋体"/>
                <w:vanish/>
              </w:rPr>
            </w:pPr>
          </w:p>
        </w:tc>
        <w:tc>
          <w:tcPr>
            <w:tcW w:w="0" w:type="auto"/>
            <w:gridSpan w:val="3"/>
            <w:shd w:val="clear" w:color="auto" w:fill="auto"/>
            <w:vAlign w:val="bottom"/>
          </w:tcPr>
          <w:p w14:paraId="5F2CC01F" w14:textId="77777777" w:rsidR="00E836FB" w:rsidRDefault="00E836FB">
            <w:pPr>
              <w:rPr>
                <w:rFonts w:ascii="宋体"/>
                <w:vanish/>
              </w:rPr>
            </w:pPr>
          </w:p>
        </w:tc>
        <w:tc>
          <w:tcPr>
            <w:tcW w:w="0" w:type="auto"/>
            <w:gridSpan w:val="3"/>
            <w:shd w:val="clear" w:color="auto" w:fill="auto"/>
            <w:vAlign w:val="bottom"/>
          </w:tcPr>
          <w:p w14:paraId="5F2CC020" w14:textId="77777777" w:rsidR="00E836FB" w:rsidRDefault="00E836FB">
            <w:pPr>
              <w:rPr>
                <w:rFonts w:ascii="宋体"/>
                <w:vanish/>
              </w:rPr>
            </w:pPr>
          </w:p>
        </w:tc>
      </w:tr>
      <w:tr w:rsidR="00E836FB" w14:paraId="5F2CC02A" w14:textId="77777777">
        <w:trPr>
          <w:hidden/>
        </w:trPr>
        <w:tc>
          <w:tcPr>
            <w:tcW w:w="0" w:type="auto"/>
            <w:gridSpan w:val="3"/>
            <w:shd w:val="clear" w:color="auto" w:fill="auto"/>
            <w:vAlign w:val="bottom"/>
          </w:tcPr>
          <w:p w14:paraId="5F2CC022" w14:textId="77777777" w:rsidR="00E836FB" w:rsidRDefault="00E836FB">
            <w:pPr>
              <w:rPr>
                <w:rFonts w:ascii="宋体"/>
                <w:vanish/>
              </w:rPr>
            </w:pPr>
          </w:p>
        </w:tc>
        <w:tc>
          <w:tcPr>
            <w:tcW w:w="0" w:type="auto"/>
            <w:gridSpan w:val="3"/>
            <w:shd w:val="clear" w:color="auto" w:fill="auto"/>
            <w:vAlign w:val="bottom"/>
          </w:tcPr>
          <w:p w14:paraId="5F2CC023" w14:textId="77777777" w:rsidR="00E836FB" w:rsidRDefault="00E836FB">
            <w:pPr>
              <w:rPr>
                <w:rFonts w:ascii="宋体"/>
                <w:vanish/>
              </w:rPr>
            </w:pPr>
          </w:p>
        </w:tc>
        <w:tc>
          <w:tcPr>
            <w:tcW w:w="0" w:type="auto"/>
            <w:gridSpan w:val="3"/>
            <w:shd w:val="clear" w:color="auto" w:fill="auto"/>
            <w:vAlign w:val="bottom"/>
          </w:tcPr>
          <w:p w14:paraId="5F2CC024" w14:textId="77777777" w:rsidR="00E836FB" w:rsidRDefault="00E836FB">
            <w:pPr>
              <w:rPr>
                <w:rFonts w:ascii="宋体"/>
                <w:vanish/>
              </w:rPr>
            </w:pPr>
          </w:p>
        </w:tc>
        <w:tc>
          <w:tcPr>
            <w:tcW w:w="0" w:type="auto"/>
            <w:gridSpan w:val="3"/>
            <w:shd w:val="clear" w:color="auto" w:fill="auto"/>
            <w:vAlign w:val="bottom"/>
          </w:tcPr>
          <w:p w14:paraId="5F2CC025" w14:textId="77777777" w:rsidR="00E836FB" w:rsidRDefault="00E836FB">
            <w:pPr>
              <w:rPr>
                <w:rFonts w:ascii="宋体"/>
                <w:vanish/>
              </w:rPr>
            </w:pPr>
          </w:p>
        </w:tc>
        <w:tc>
          <w:tcPr>
            <w:tcW w:w="0" w:type="auto"/>
            <w:gridSpan w:val="3"/>
            <w:shd w:val="clear" w:color="auto" w:fill="auto"/>
            <w:vAlign w:val="bottom"/>
          </w:tcPr>
          <w:p w14:paraId="5F2CC026" w14:textId="77777777" w:rsidR="00E836FB" w:rsidRDefault="00E836FB">
            <w:pPr>
              <w:rPr>
                <w:rFonts w:ascii="宋体"/>
                <w:vanish/>
              </w:rPr>
            </w:pPr>
          </w:p>
        </w:tc>
        <w:tc>
          <w:tcPr>
            <w:tcW w:w="0" w:type="auto"/>
            <w:gridSpan w:val="3"/>
            <w:shd w:val="clear" w:color="auto" w:fill="auto"/>
            <w:vAlign w:val="bottom"/>
          </w:tcPr>
          <w:p w14:paraId="5F2CC027" w14:textId="77777777" w:rsidR="00E836FB" w:rsidRDefault="00E836FB">
            <w:pPr>
              <w:rPr>
                <w:rFonts w:ascii="宋体"/>
                <w:vanish/>
              </w:rPr>
            </w:pPr>
          </w:p>
        </w:tc>
        <w:tc>
          <w:tcPr>
            <w:tcW w:w="0" w:type="auto"/>
            <w:gridSpan w:val="3"/>
            <w:shd w:val="clear" w:color="auto" w:fill="auto"/>
            <w:vAlign w:val="bottom"/>
          </w:tcPr>
          <w:p w14:paraId="5F2CC028" w14:textId="77777777" w:rsidR="00E836FB" w:rsidRDefault="00E836FB">
            <w:pPr>
              <w:rPr>
                <w:rFonts w:ascii="宋体"/>
                <w:vanish/>
              </w:rPr>
            </w:pPr>
          </w:p>
        </w:tc>
        <w:tc>
          <w:tcPr>
            <w:tcW w:w="0" w:type="auto"/>
            <w:gridSpan w:val="3"/>
            <w:shd w:val="clear" w:color="auto" w:fill="auto"/>
            <w:vAlign w:val="bottom"/>
          </w:tcPr>
          <w:p w14:paraId="5F2CC029" w14:textId="77777777" w:rsidR="00E836FB" w:rsidRDefault="00E836FB">
            <w:pPr>
              <w:rPr>
                <w:rFonts w:ascii="宋体"/>
                <w:vanish/>
              </w:rPr>
            </w:pPr>
          </w:p>
        </w:tc>
      </w:tr>
      <w:tr w:rsidR="00E836FB" w14:paraId="5F2CC033" w14:textId="77777777">
        <w:trPr>
          <w:hidden/>
        </w:trPr>
        <w:tc>
          <w:tcPr>
            <w:tcW w:w="0" w:type="auto"/>
            <w:gridSpan w:val="3"/>
            <w:shd w:val="clear" w:color="auto" w:fill="auto"/>
            <w:vAlign w:val="bottom"/>
          </w:tcPr>
          <w:p w14:paraId="5F2CC02B" w14:textId="77777777" w:rsidR="00E836FB" w:rsidRDefault="00E836FB">
            <w:pPr>
              <w:rPr>
                <w:rFonts w:ascii="宋体"/>
                <w:vanish/>
              </w:rPr>
            </w:pPr>
          </w:p>
        </w:tc>
        <w:tc>
          <w:tcPr>
            <w:tcW w:w="0" w:type="auto"/>
            <w:gridSpan w:val="3"/>
            <w:shd w:val="clear" w:color="auto" w:fill="auto"/>
            <w:vAlign w:val="bottom"/>
          </w:tcPr>
          <w:p w14:paraId="5F2CC02C" w14:textId="77777777" w:rsidR="00E836FB" w:rsidRDefault="00E836FB">
            <w:pPr>
              <w:rPr>
                <w:rFonts w:ascii="宋体"/>
                <w:vanish/>
              </w:rPr>
            </w:pPr>
          </w:p>
        </w:tc>
        <w:tc>
          <w:tcPr>
            <w:tcW w:w="0" w:type="auto"/>
            <w:gridSpan w:val="3"/>
            <w:shd w:val="clear" w:color="auto" w:fill="auto"/>
            <w:vAlign w:val="bottom"/>
          </w:tcPr>
          <w:p w14:paraId="5F2CC02D" w14:textId="77777777" w:rsidR="00E836FB" w:rsidRDefault="00E836FB">
            <w:pPr>
              <w:rPr>
                <w:rFonts w:ascii="宋体"/>
                <w:vanish/>
              </w:rPr>
            </w:pPr>
          </w:p>
        </w:tc>
        <w:tc>
          <w:tcPr>
            <w:tcW w:w="0" w:type="auto"/>
            <w:gridSpan w:val="3"/>
            <w:shd w:val="clear" w:color="auto" w:fill="auto"/>
            <w:vAlign w:val="bottom"/>
          </w:tcPr>
          <w:p w14:paraId="5F2CC02E" w14:textId="77777777" w:rsidR="00E836FB" w:rsidRDefault="00E836FB">
            <w:pPr>
              <w:rPr>
                <w:rFonts w:ascii="宋体"/>
                <w:vanish/>
              </w:rPr>
            </w:pPr>
          </w:p>
        </w:tc>
        <w:tc>
          <w:tcPr>
            <w:tcW w:w="0" w:type="auto"/>
            <w:gridSpan w:val="3"/>
            <w:shd w:val="clear" w:color="auto" w:fill="auto"/>
            <w:vAlign w:val="bottom"/>
          </w:tcPr>
          <w:p w14:paraId="5F2CC02F" w14:textId="77777777" w:rsidR="00E836FB" w:rsidRDefault="00E836FB">
            <w:pPr>
              <w:rPr>
                <w:rFonts w:ascii="宋体"/>
                <w:vanish/>
              </w:rPr>
            </w:pPr>
          </w:p>
        </w:tc>
        <w:tc>
          <w:tcPr>
            <w:tcW w:w="0" w:type="auto"/>
            <w:gridSpan w:val="3"/>
            <w:shd w:val="clear" w:color="auto" w:fill="auto"/>
            <w:vAlign w:val="bottom"/>
          </w:tcPr>
          <w:p w14:paraId="5F2CC030" w14:textId="77777777" w:rsidR="00E836FB" w:rsidRDefault="00E836FB">
            <w:pPr>
              <w:rPr>
                <w:rFonts w:ascii="宋体"/>
                <w:vanish/>
              </w:rPr>
            </w:pPr>
          </w:p>
        </w:tc>
        <w:tc>
          <w:tcPr>
            <w:tcW w:w="0" w:type="auto"/>
            <w:gridSpan w:val="3"/>
            <w:shd w:val="clear" w:color="auto" w:fill="auto"/>
            <w:vAlign w:val="bottom"/>
          </w:tcPr>
          <w:p w14:paraId="5F2CC031" w14:textId="77777777" w:rsidR="00E836FB" w:rsidRDefault="00E836FB">
            <w:pPr>
              <w:rPr>
                <w:rFonts w:ascii="宋体"/>
                <w:vanish/>
              </w:rPr>
            </w:pPr>
          </w:p>
        </w:tc>
        <w:tc>
          <w:tcPr>
            <w:tcW w:w="0" w:type="auto"/>
            <w:gridSpan w:val="3"/>
            <w:shd w:val="clear" w:color="auto" w:fill="auto"/>
            <w:vAlign w:val="bottom"/>
          </w:tcPr>
          <w:p w14:paraId="5F2CC032" w14:textId="77777777" w:rsidR="00E836FB" w:rsidRDefault="00E836FB">
            <w:pPr>
              <w:rPr>
                <w:rFonts w:ascii="宋体"/>
                <w:vanish/>
              </w:rPr>
            </w:pPr>
          </w:p>
        </w:tc>
      </w:tr>
      <w:tr w:rsidR="00E836FB" w14:paraId="5F2CC03C" w14:textId="77777777">
        <w:trPr>
          <w:hidden/>
        </w:trPr>
        <w:tc>
          <w:tcPr>
            <w:tcW w:w="0" w:type="auto"/>
            <w:gridSpan w:val="3"/>
            <w:shd w:val="clear" w:color="auto" w:fill="auto"/>
            <w:vAlign w:val="bottom"/>
          </w:tcPr>
          <w:p w14:paraId="5F2CC034" w14:textId="77777777" w:rsidR="00E836FB" w:rsidRDefault="00E836FB">
            <w:pPr>
              <w:rPr>
                <w:rFonts w:ascii="宋体"/>
                <w:vanish/>
              </w:rPr>
            </w:pPr>
          </w:p>
        </w:tc>
        <w:tc>
          <w:tcPr>
            <w:tcW w:w="0" w:type="auto"/>
            <w:gridSpan w:val="3"/>
            <w:shd w:val="clear" w:color="auto" w:fill="auto"/>
            <w:vAlign w:val="bottom"/>
          </w:tcPr>
          <w:p w14:paraId="5F2CC035" w14:textId="77777777" w:rsidR="00E836FB" w:rsidRDefault="00E836FB">
            <w:pPr>
              <w:rPr>
                <w:rFonts w:ascii="宋体"/>
                <w:vanish/>
              </w:rPr>
            </w:pPr>
          </w:p>
        </w:tc>
        <w:tc>
          <w:tcPr>
            <w:tcW w:w="0" w:type="auto"/>
            <w:gridSpan w:val="3"/>
            <w:shd w:val="clear" w:color="auto" w:fill="auto"/>
            <w:vAlign w:val="bottom"/>
          </w:tcPr>
          <w:p w14:paraId="5F2CC036" w14:textId="77777777" w:rsidR="00E836FB" w:rsidRDefault="00E836FB">
            <w:pPr>
              <w:rPr>
                <w:rFonts w:ascii="宋体"/>
                <w:vanish/>
              </w:rPr>
            </w:pPr>
          </w:p>
        </w:tc>
        <w:tc>
          <w:tcPr>
            <w:tcW w:w="0" w:type="auto"/>
            <w:gridSpan w:val="3"/>
            <w:shd w:val="clear" w:color="auto" w:fill="auto"/>
            <w:vAlign w:val="bottom"/>
          </w:tcPr>
          <w:p w14:paraId="5F2CC037" w14:textId="77777777" w:rsidR="00E836FB" w:rsidRDefault="00E836FB">
            <w:pPr>
              <w:rPr>
                <w:rFonts w:ascii="宋体"/>
                <w:vanish/>
              </w:rPr>
            </w:pPr>
          </w:p>
        </w:tc>
        <w:tc>
          <w:tcPr>
            <w:tcW w:w="0" w:type="auto"/>
            <w:gridSpan w:val="3"/>
            <w:shd w:val="clear" w:color="auto" w:fill="auto"/>
            <w:vAlign w:val="bottom"/>
          </w:tcPr>
          <w:p w14:paraId="5F2CC038" w14:textId="77777777" w:rsidR="00E836FB" w:rsidRDefault="00E836FB">
            <w:pPr>
              <w:rPr>
                <w:rFonts w:ascii="宋体"/>
                <w:vanish/>
              </w:rPr>
            </w:pPr>
          </w:p>
        </w:tc>
        <w:tc>
          <w:tcPr>
            <w:tcW w:w="0" w:type="auto"/>
            <w:gridSpan w:val="3"/>
            <w:shd w:val="clear" w:color="auto" w:fill="auto"/>
            <w:vAlign w:val="bottom"/>
          </w:tcPr>
          <w:p w14:paraId="5F2CC039" w14:textId="77777777" w:rsidR="00E836FB" w:rsidRDefault="00E836FB">
            <w:pPr>
              <w:rPr>
                <w:rFonts w:ascii="宋体"/>
                <w:vanish/>
              </w:rPr>
            </w:pPr>
          </w:p>
        </w:tc>
        <w:tc>
          <w:tcPr>
            <w:tcW w:w="0" w:type="auto"/>
            <w:gridSpan w:val="3"/>
            <w:shd w:val="clear" w:color="auto" w:fill="auto"/>
            <w:vAlign w:val="bottom"/>
          </w:tcPr>
          <w:p w14:paraId="5F2CC03A" w14:textId="77777777" w:rsidR="00E836FB" w:rsidRDefault="00E836FB">
            <w:pPr>
              <w:rPr>
                <w:rFonts w:ascii="宋体"/>
                <w:vanish/>
              </w:rPr>
            </w:pPr>
          </w:p>
        </w:tc>
        <w:tc>
          <w:tcPr>
            <w:tcW w:w="0" w:type="auto"/>
            <w:gridSpan w:val="3"/>
            <w:shd w:val="clear" w:color="auto" w:fill="auto"/>
            <w:vAlign w:val="bottom"/>
          </w:tcPr>
          <w:p w14:paraId="5F2CC03B" w14:textId="77777777" w:rsidR="00E836FB" w:rsidRDefault="00E836FB">
            <w:pPr>
              <w:rPr>
                <w:rFonts w:ascii="宋体"/>
                <w:vanish/>
              </w:rPr>
            </w:pPr>
          </w:p>
        </w:tc>
      </w:tr>
      <w:tr w:rsidR="00E836FB" w14:paraId="5F2CC045" w14:textId="77777777">
        <w:trPr>
          <w:hidden/>
        </w:trPr>
        <w:tc>
          <w:tcPr>
            <w:tcW w:w="0" w:type="auto"/>
            <w:gridSpan w:val="3"/>
            <w:shd w:val="clear" w:color="auto" w:fill="auto"/>
            <w:vAlign w:val="bottom"/>
          </w:tcPr>
          <w:p w14:paraId="5F2CC03D" w14:textId="77777777" w:rsidR="00E836FB" w:rsidRDefault="00E836FB">
            <w:pPr>
              <w:rPr>
                <w:rFonts w:ascii="宋体"/>
                <w:vanish/>
              </w:rPr>
            </w:pPr>
          </w:p>
        </w:tc>
        <w:tc>
          <w:tcPr>
            <w:tcW w:w="0" w:type="auto"/>
            <w:gridSpan w:val="3"/>
            <w:shd w:val="clear" w:color="auto" w:fill="auto"/>
            <w:vAlign w:val="bottom"/>
          </w:tcPr>
          <w:p w14:paraId="5F2CC03E" w14:textId="77777777" w:rsidR="00E836FB" w:rsidRDefault="00E836FB">
            <w:pPr>
              <w:rPr>
                <w:rFonts w:ascii="宋体"/>
                <w:vanish/>
              </w:rPr>
            </w:pPr>
          </w:p>
        </w:tc>
        <w:tc>
          <w:tcPr>
            <w:tcW w:w="0" w:type="auto"/>
            <w:gridSpan w:val="3"/>
            <w:shd w:val="clear" w:color="auto" w:fill="auto"/>
            <w:vAlign w:val="bottom"/>
          </w:tcPr>
          <w:p w14:paraId="5F2CC03F" w14:textId="77777777" w:rsidR="00E836FB" w:rsidRDefault="00E836FB">
            <w:pPr>
              <w:rPr>
                <w:rFonts w:ascii="宋体"/>
                <w:vanish/>
              </w:rPr>
            </w:pPr>
          </w:p>
        </w:tc>
        <w:tc>
          <w:tcPr>
            <w:tcW w:w="0" w:type="auto"/>
            <w:gridSpan w:val="3"/>
            <w:shd w:val="clear" w:color="auto" w:fill="auto"/>
            <w:vAlign w:val="bottom"/>
          </w:tcPr>
          <w:p w14:paraId="5F2CC040" w14:textId="77777777" w:rsidR="00E836FB" w:rsidRDefault="00E836FB">
            <w:pPr>
              <w:rPr>
                <w:rFonts w:ascii="宋体"/>
                <w:vanish/>
              </w:rPr>
            </w:pPr>
          </w:p>
        </w:tc>
        <w:tc>
          <w:tcPr>
            <w:tcW w:w="0" w:type="auto"/>
            <w:gridSpan w:val="3"/>
            <w:shd w:val="clear" w:color="auto" w:fill="auto"/>
            <w:vAlign w:val="bottom"/>
          </w:tcPr>
          <w:p w14:paraId="5F2CC041" w14:textId="77777777" w:rsidR="00E836FB" w:rsidRDefault="00E836FB">
            <w:pPr>
              <w:rPr>
                <w:rFonts w:ascii="宋体"/>
                <w:vanish/>
              </w:rPr>
            </w:pPr>
          </w:p>
        </w:tc>
        <w:tc>
          <w:tcPr>
            <w:tcW w:w="0" w:type="auto"/>
            <w:gridSpan w:val="3"/>
            <w:shd w:val="clear" w:color="auto" w:fill="auto"/>
            <w:vAlign w:val="bottom"/>
          </w:tcPr>
          <w:p w14:paraId="5F2CC042" w14:textId="77777777" w:rsidR="00E836FB" w:rsidRDefault="00E836FB">
            <w:pPr>
              <w:rPr>
                <w:rFonts w:ascii="宋体"/>
                <w:vanish/>
              </w:rPr>
            </w:pPr>
          </w:p>
        </w:tc>
        <w:tc>
          <w:tcPr>
            <w:tcW w:w="0" w:type="auto"/>
            <w:gridSpan w:val="3"/>
            <w:shd w:val="clear" w:color="auto" w:fill="auto"/>
            <w:vAlign w:val="bottom"/>
          </w:tcPr>
          <w:p w14:paraId="5F2CC043" w14:textId="77777777" w:rsidR="00E836FB" w:rsidRDefault="00E836FB">
            <w:pPr>
              <w:rPr>
                <w:rFonts w:ascii="宋体"/>
                <w:vanish/>
              </w:rPr>
            </w:pPr>
          </w:p>
        </w:tc>
        <w:tc>
          <w:tcPr>
            <w:tcW w:w="0" w:type="auto"/>
            <w:gridSpan w:val="3"/>
            <w:shd w:val="clear" w:color="auto" w:fill="auto"/>
            <w:vAlign w:val="bottom"/>
          </w:tcPr>
          <w:p w14:paraId="5F2CC044" w14:textId="77777777" w:rsidR="00E836FB" w:rsidRDefault="00E836FB">
            <w:pPr>
              <w:rPr>
                <w:rFonts w:ascii="宋体"/>
                <w:vanish/>
              </w:rPr>
            </w:pPr>
          </w:p>
        </w:tc>
      </w:tr>
      <w:tr w:rsidR="00E836FB" w14:paraId="5F2CC04E" w14:textId="77777777">
        <w:trPr>
          <w:hidden/>
        </w:trPr>
        <w:tc>
          <w:tcPr>
            <w:tcW w:w="0" w:type="auto"/>
            <w:gridSpan w:val="3"/>
            <w:shd w:val="clear" w:color="auto" w:fill="auto"/>
            <w:vAlign w:val="bottom"/>
          </w:tcPr>
          <w:p w14:paraId="5F2CC046" w14:textId="77777777" w:rsidR="00E836FB" w:rsidRDefault="00E836FB">
            <w:pPr>
              <w:rPr>
                <w:rFonts w:ascii="宋体"/>
                <w:vanish/>
              </w:rPr>
            </w:pPr>
          </w:p>
        </w:tc>
        <w:tc>
          <w:tcPr>
            <w:tcW w:w="0" w:type="auto"/>
            <w:gridSpan w:val="3"/>
            <w:shd w:val="clear" w:color="auto" w:fill="auto"/>
            <w:vAlign w:val="bottom"/>
          </w:tcPr>
          <w:p w14:paraId="5F2CC047" w14:textId="77777777" w:rsidR="00E836FB" w:rsidRDefault="00E836FB">
            <w:pPr>
              <w:rPr>
                <w:rFonts w:ascii="宋体"/>
                <w:vanish/>
              </w:rPr>
            </w:pPr>
          </w:p>
        </w:tc>
        <w:tc>
          <w:tcPr>
            <w:tcW w:w="0" w:type="auto"/>
            <w:gridSpan w:val="3"/>
            <w:shd w:val="clear" w:color="auto" w:fill="auto"/>
            <w:vAlign w:val="bottom"/>
          </w:tcPr>
          <w:p w14:paraId="5F2CC048" w14:textId="77777777" w:rsidR="00E836FB" w:rsidRDefault="00E836FB">
            <w:pPr>
              <w:rPr>
                <w:rFonts w:ascii="宋体"/>
                <w:vanish/>
              </w:rPr>
            </w:pPr>
          </w:p>
        </w:tc>
        <w:tc>
          <w:tcPr>
            <w:tcW w:w="0" w:type="auto"/>
            <w:gridSpan w:val="3"/>
            <w:shd w:val="clear" w:color="auto" w:fill="auto"/>
            <w:vAlign w:val="bottom"/>
          </w:tcPr>
          <w:p w14:paraId="5F2CC049" w14:textId="77777777" w:rsidR="00E836FB" w:rsidRDefault="00E836FB">
            <w:pPr>
              <w:rPr>
                <w:rFonts w:ascii="宋体"/>
                <w:vanish/>
              </w:rPr>
            </w:pPr>
          </w:p>
        </w:tc>
        <w:tc>
          <w:tcPr>
            <w:tcW w:w="0" w:type="auto"/>
            <w:gridSpan w:val="3"/>
            <w:shd w:val="clear" w:color="auto" w:fill="auto"/>
            <w:vAlign w:val="bottom"/>
          </w:tcPr>
          <w:p w14:paraId="5F2CC04A" w14:textId="77777777" w:rsidR="00E836FB" w:rsidRDefault="00E836FB">
            <w:pPr>
              <w:rPr>
                <w:rFonts w:ascii="宋体"/>
                <w:vanish/>
              </w:rPr>
            </w:pPr>
          </w:p>
        </w:tc>
        <w:tc>
          <w:tcPr>
            <w:tcW w:w="0" w:type="auto"/>
            <w:gridSpan w:val="3"/>
            <w:shd w:val="clear" w:color="auto" w:fill="auto"/>
            <w:vAlign w:val="bottom"/>
          </w:tcPr>
          <w:p w14:paraId="5F2CC04B" w14:textId="77777777" w:rsidR="00E836FB" w:rsidRDefault="00E836FB">
            <w:pPr>
              <w:rPr>
                <w:rFonts w:ascii="宋体"/>
                <w:vanish/>
              </w:rPr>
            </w:pPr>
          </w:p>
        </w:tc>
        <w:tc>
          <w:tcPr>
            <w:tcW w:w="0" w:type="auto"/>
            <w:gridSpan w:val="3"/>
            <w:shd w:val="clear" w:color="auto" w:fill="auto"/>
            <w:vAlign w:val="bottom"/>
          </w:tcPr>
          <w:p w14:paraId="5F2CC04C" w14:textId="77777777" w:rsidR="00E836FB" w:rsidRDefault="00E836FB">
            <w:pPr>
              <w:rPr>
                <w:rFonts w:ascii="宋体"/>
                <w:vanish/>
              </w:rPr>
            </w:pPr>
          </w:p>
        </w:tc>
        <w:tc>
          <w:tcPr>
            <w:tcW w:w="0" w:type="auto"/>
            <w:gridSpan w:val="3"/>
            <w:shd w:val="clear" w:color="auto" w:fill="auto"/>
            <w:vAlign w:val="bottom"/>
          </w:tcPr>
          <w:p w14:paraId="5F2CC04D" w14:textId="77777777" w:rsidR="00E836FB" w:rsidRDefault="00E836FB">
            <w:pPr>
              <w:rPr>
                <w:rFonts w:ascii="宋体"/>
                <w:vanish/>
              </w:rPr>
            </w:pPr>
          </w:p>
        </w:tc>
      </w:tr>
      <w:tr w:rsidR="00E836FB" w14:paraId="5F2CC057" w14:textId="77777777">
        <w:trPr>
          <w:hidden/>
        </w:trPr>
        <w:tc>
          <w:tcPr>
            <w:tcW w:w="0" w:type="auto"/>
            <w:gridSpan w:val="3"/>
            <w:shd w:val="clear" w:color="auto" w:fill="auto"/>
            <w:vAlign w:val="bottom"/>
          </w:tcPr>
          <w:p w14:paraId="5F2CC04F" w14:textId="77777777" w:rsidR="00E836FB" w:rsidRDefault="00E836FB">
            <w:pPr>
              <w:rPr>
                <w:rFonts w:ascii="宋体"/>
                <w:vanish/>
              </w:rPr>
            </w:pPr>
          </w:p>
        </w:tc>
        <w:tc>
          <w:tcPr>
            <w:tcW w:w="0" w:type="auto"/>
            <w:gridSpan w:val="3"/>
            <w:shd w:val="clear" w:color="auto" w:fill="auto"/>
            <w:vAlign w:val="bottom"/>
          </w:tcPr>
          <w:p w14:paraId="5F2CC050" w14:textId="77777777" w:rsidR="00E836FB" w:rsidRDefault="00E836FB">
            <w:pPr>
              <w:rPr>
                <w:rFonts w:ascii="宋体"/>
                <w:vanish/>
              </w:rPr>
            </w:pPr>
          </w:p>
        </w:tc>
        <w:tc>
          <w:tcPr>
            <w:tcW w:w="0" w:type="auto"/>
            <w:gridSpan w:val="3"/>
            <w:shd w:val="clear" w:color="auto" w:fill="auto"/>
            <w:vAlign w:val="bottom"/>
          </w:tcPr>
          <w:p w14:paraId="5F2CC051" w14:textId="77777777" w:rsidR="00E836FB" w:rsidRDefault="00E836FB">
            <w:pPr>
              <w:rPr>
                <w:rFonts w:ascii="宋体"/>
                <w:vanish/>
              </w:rPr>
            </w:pPr>
          </w:p>
        </w:tc>
        <w:tc>
          <w:tcPr>
            <w:tcW w:w="0" w:type="auto"/>
            <w:gridSpan w:val="3"/>
            <w:shd w:val="clear" w:color="auto" w:fill="auto"/>
            <w:vAlign w:val="bottom"/>
          </w:tcPr>
          <w:p w14:paraId="5F2CC052" w14:textId="77777777" w:rsidR="00E836FB" w:rsidRDefault="00E836FB">
            <w:pPr>
              <w:rPr>
                <w:rFonts w:ascii="宋体"/>
                <w:vanish/>
              </w:rPr>
            </w:pPr>
          </w:p>
        </w:tc>
        <w:tc>
          <w:tcPr>
            <w:tcW w:w="0" w:type="auto"/>
            <w:gridSpan w:val="3"/>
            <w:shd w:val="clear" w:color="auto" w:fill="auto"/>
            <w:vAlign w:val="bottom"/>
          </w:tcPr>
          <w:p w14:paraId="5F2CC053" w14:textId="77777777" w:rsidR="00E836FB" w:rsidRDefault="00E836FB">
            <w:pPr>
              <w:rPr>
                <w:rFonts w:ascii="宋体"/>
                <w:vanish/>
              </w:rPr>
            </w:pPr>
          </w:p>
        </w:tc>
        <w:tc>
          <w:tcPr>
            <w:tcW w:w="0" w:type="auto"/>
            <w:gridSpan w:val="3"/>
            <w:shd w:val="clear" w:color="auto" w:fill="auto"/>
            <w:vAlign w:val="bottom"/>
          </w:tcPr>
          <w:p w14:paraId="5F2CC054" w14:textId="77777777" w:rsidR="00E836FB" w:rsidRDefault="00E836FB">
            <w:pPr>
              <w:rPr>
                <w:rFonts w:ascii="宋体"/>
                <w:vanish/>
              </w:rPr>
            </w:pPr>
          </w:p>
        </w:tc>
        <w:tc>
          <w:tcPr>
            <w:tcW w:w="0" w:type="auto"/>
            <w:gridSpan w:val="3"/>
            <w:shd w:val="clear" w:color="auto" w:fill="auto"/>
            <w:vAlign w:val="bottom"/>
          </w:tcPr>
          <w:p w14:paraId="5F2CC055" w14:textId="77777777" w:rsidR="00E836FB" w:rsidRDefault="00E836FB">
            <w:pPr>
              <w:rPr>
                <w:rFonts w:ascii="宋体"/>
                <w:vanish/>
              </w:rPr>
            </w:pPr>
          </w:p>
        </w:tc>
        <w:tc>
          <w:tcPr>
            <w:tcW w:w="0" w:type="auto"/>
            <w:gridSpan w:val="3"/>
            <w:shd w:val="clear" w:color="auto" w:fill="auto"/>
            <w:vAlign w:val="bottom"/>
          </w:tcPr>
          <w:p w14:paraId="5F2CC056" w14:textId="77777777" w:rsidR="00E836FB" w:rsidRDefault="00E836FB">
            <w:pPr>
              <w:rPr>
                <w:rFonts w:ascii="宋体"/>
                <w:vanish/>
              </w:rPr>
            </w:pPr>
          </w:p>
        </w:tc>
      </w:tr>
      <w:tr w:rsidR="00E836FB" w14:paraId="5F2CC060" w14:textId="77777777">
        <w:trPr>
          <w:hidden/>
        </w:trPr>
        <w:tc>
          <w:tcPr>
            <w:tcW w:w="0" w:type="auto"/>
            <w:gridSpan w:val="3"/>
            <w:shd w:val="clear" w:color="auto" w:fill="auto"/>
            <w:vAlign w:val="bottom"/>
          </w:tcPr>
          <w:p w14:paraId="5F2CC058" w14:textId="77777777" w:rsidR="00E836FB" w:rsidRDefault="00E836FB">
            <w:pPr>
              <w:rPr>
                <w:rFonts w:ascii="宋体"/>
                <w:vanish/>
              </w:rPr>
            </w:pPr>
          </w:p>
        </w:tc>
        <w:tc>
          <w:tcPr>
            <w:tcW w:w="0" w:type="auto"/>
            <w:gridSpan w:val="3"/>
            <w:shd w:val="clear" w:color="auto" w:fill="auto"/>
            <w:vAlign w:val="bottom"/>
          </w:tcPr>
          <w:p w14:paraId="5F2CC059" w14:textId="77777777" w:rsidR="00E836FB" w:rsidRDefault="00E836FB">
            <w:pPr>
              <w:rPr>
                <w:rFonts w:ascii="宋体"/>
                <w:vanish/>
              </w:rPr>
            </w:pPr>
          </w:p>
        </w:tc>
        <w:tc>
          <w:tcPr>
            <w:tcW w:w="0" w:type="auto"/>
            <w:gridSpan w:val="3"/>
            <w:shd w:val="clear" w:color="auto" w:fill="auto"/>
            <w:vAlign w:val="bottom"/>
          </w:tcPr>
          <w:p w14:paraId="5F2CC05A" w14:textId="77777777" w:rsidR="00E836FB" w:rsidRDefault="00E836FB">
            <w:pPr>
              <w:rPr>
                <w:rFonts w:ascii="宋体"/>
                <w:vanish/>
              </w:rPr>
            </w:pPr>
          </w:p>
        </w:tc>
        <w:tc>
          <w:tcPr>
            <w:tcW w:w="0" w:type="auto"/>
            <w:gridSpan w:val="3"/>
            <w:shd w:val="clear" w:color="auto" w:fill="auto"/>
            <w:vAlign w:val="bottom"/>
          </w:tcPr>
          <w:p w14:paraId="5F2CC05B" w14:textId="77777777" w:rsidR="00E836FB" w:rsidRDefault="00E836FB">
            <w:pPr>
              <w:rPr>
                <w:rFonts w:ascii="宋体"/>
                <w:vanish/>
              </w:rPr>
            </w:pPr>
          </w:p>
        </w:tc>
        <w:tc>
          <w:tcPr>
            <w:tcW w:w="0" w:type="auto"/>
            <w:gridSpan w:val="3"/>
            <w:shd w:val="clear" w:color="auto" w:fill="auto"/>
            <w:vAlign w:val="bottom"/>
          </w:tcPr>
          <w:p w14:paraId="5F2CC05C" w14:textId="77777777" w:rsidR="00E836FB" w:rsidRDefault="00E836FB">
            <w:pPr>
              <w:rPr>
                <w:rFonts w:ascii="宋体"/>
                <w:vanish/>
              </w:rPr>
            </w:pPr>
          </w:p>
        </w:tc>
        <w:tc>
          <w:tcPr>
            <w:tcW w:w="0" w:type="auto"/>
            <w:gridSpan w:val="3"/>
            <w:shd w:val="clear" w:color="auto" w:fill="auto"/>
            <w:vAlign w:val="bottom"/>
          </w:tcPr>
          <w:p w14:paraId="5F2CC05D" w14:textId="77777777" w:rsidR="00E836FB" w:rsidRDefault="00E836FB">
            <w:pPr>
              <w:rPr>
                <w:rFonts w:ascii="宋体"/>
                <w:vanish/>
              </w:rPr>
            </w:pPr>
          </w:p>
        </w:tc>
        <w:tc>
          <w:tcPr>
            <w:tcW w:w="0" w:type="auto"/>
            <w:gridSpan w:val="3"/>
            <w:shd w:val="clear" w:color="auto" w:fill="auto"/>
            <w:vAlign w:val="bottom"/>
          </w:tcPr>
          <w:p w14:paraId="5F2CC05E" w14:textId="77777777" w:rsidR="00E836FB" w:rsidRDefault="00E836FB">
            <w:pPr>
              <w:rPr>
                <w:rFonts w:ascii="宋体"/>
                <w:vanish/>
              </w:rPr>
            </w:pPr>
          </w:p>
        </w:tc>
        <w:tc>
          <w:tcPr>
            <w:tcW w:w="0" w:type="auto"/>
            <w:gridSpan w:val="3"/>
            <w:shd w:val="clear" w:color="auto" w:fill="auto"/>
            <w:vAlign w:val="bottom"/>
          </w:tcPr>
          <w:p w14:paraId="5F2CC05F" w14:textId="77777777" w:rsidR="00E836FB" w:rsidRDefault="00E836FB">
            <w:pPr>
              <w:rPr>
                <w:rFonts w:ascii="宋体"/>
                <w:vanish/>
              </w:rPr>
            </w:pPr>
          </w:p>
        </w:tc>
      </w:tr>
      <w:tr w:rsidR="00E836FB" w14:paraId="5F2CC069" w14:textId="77777777">
        <w:trPr>
          <w:hidden/>
        </w:trPr>
        <w:tc>
          <w:tcPr>
            <w:tcW w:w="0" w:type="auto"/>
            <w:gridSpan w:val="3"/>
            <w:shd w:val="clear" w:color="auto" w:fill="auto"/>
            <w:vAlign w:val="bottom"/>
          </w:tcPr>
          <w:p w14:paraId="5F2CC061" w14:textId="77777777" w:rsidR="00E836FB" w:rsidRDefault="00E836FB">
            <w:pPr>
              <w:rPr>
                <w:rFonts w:ascii="宋体"/>
                <w:vanish/>
              </w:rPr>
            </w:pPr>
          </w:p>
        </w:tc>
        <w:tc>
          <w:tcPr>
            <w:tcW w:w="0" w:type="auto"/>
            <w:gridSpan w:val="3"/>
            <w:shd w:val="clear" w:color="auto" w:fill="auto"/>
            <w:vAlign w:val="bottom"/>
          </w:tcPr>
          <w:p w14:paraId="5F2CC062" w14:textId="77777777" w:rsidR="00E836FB" w:rsidRDefault="00E836FB">
            <w:pPr>
              <w:rPr>
                <w:rFonts w:ascii="宋体"/>
                <w:vanish/>
              </w:rPr>
            </w:pPr>
          </w:p>
        </w:tc>
        <w:tc>
          <w:tcPr>
            <w:tcW w:w="0" w:type="auto"/>
            <w:gridSpan w:val="3"/>
            <w:shd w:val="clear" w:color="auto" w:fill="auto"/>
            <w:vAlign w:val="bottom"/>
          </w:tcPr>
          <w:p w14:paraId="5F2CC063" w14:textId="77777777" w:rsidR="00E836FB" w:rsidRDefault="00E836FB">
            <w:pPr>
              <w:rPr>
                <w:rFonts w:ascii="宋体"/>
                <w:vanish/>
              </w:rPr>
            </w:pPr>
          </w:p>
        </w:tc>
        <w:tc>
          <w:tcPr>
            <w:tcW w:w="0" w:type="auto"/>
            <w:gridSpan w:val="3"/>
            <w:shd w:val="clear" w:color="auto" w:fill="auto"/>
            <w:vAlign w:val="bottom"/>
          </w:tcPr>
          <w:p w14:paraId="5F2CC064" w14:textId="77777777" w:rsidR="00E836FB" w:rsidRDefault="00E836FB">
            <w:pPr>
              <w:rPr>
                <w:rFonts w:ascii="宋体"/>
                <w:vanish/>
              </w:rPr>
            </w:pPr>
          </w:p>
        </w:tc>
        <w:tc>
          <w:tcPr>
            <w:tcW w:w="0" w:type="auto"/>
            <w:gridSpan w:val="3"/>
            <w:shd w:val="clear" w:color="auto" w:fill="auto"/>
            <w:vAlign w:val="bottom"/>
          </w:tcPr>
          <w:p w14:paraId="5F2CC065" w14:textId="77777777" w:rsidR="00E836FB" w:rsidRDefault="00E836FB">
            <w:pPr>
              <w:rPr>
                <w:rFonts w:ascii="宋体"/>
                <w:vanish/>
              </w:rPr>
            </w:pPr>
          </w:p>
        </w:tc>
        <w:tc>
          <w:tcPr>
            <w:tcW w:w="0" w:type="auto"/>
            <w:gridSpan w:val="3"/>
            <w:shd w:val="clear" w:color="auto" w:fill="auto"/>
            <w:vAlign w:val="bottom"/>
          </w:tcPr>
          <w:p w14:paraId="5F2CC066" w14:textId="77777777" w:rsidR="00E836FB" w:rsidRDefault="00E836FB">
            <w:pPr>
              <w:rPr>
                <w:rFonts w:ascii="宋体"/>
                <w:vanish/>
              </w:rPr>
            </w:pPr>
          </w:p>
        </w:tc>
        <w:tc>
          <w:tcPr>
            <w:tcW w:w="0" w:type="auto"/>
            <w:gridSpan w:val="3"/>
            <w:shd w:val="clear" w:color="auto" w:fill="auto"/>
            <w:vAlign w:val="bottom"/>
          </w:tcPr>
          <w:p w14:paraId="5F2CC067" w14:textId="77777777" w:rsidR="00E836FB" w:rsidRDefault="00E836FB">
            <w:pPr>
              <w:rPr>
                <w:rFonts w:ascii="宋体"/>
                <w:vanish/>
              </w:rPr>
            </w:pPr>
          </w:p>
        </w:tc>
        <w:tc>
          <w:tcPr>
            <w:tcW w:w="0" w:type="auto"/>
            <w:gridSpan w:val="3"/>
            <w:shd w:val="clear" w:color="auto" w:fill="auto"/>
            <w:vAlign w:val="bottom"/>
          </w:tcPr>
          <w:p w14:paraId="5F2CC068" w14:textId="77777777" w:rsidR="00E836FB" w:rsidRDefault="00E836FB">
            <w:pPr>
              <w:rPr>
                <w:rFonts w:ascii="宋体"/>
                <w:vanish/>
              </w:rPr>
            </w:pPr>
          </w:p>
        </w:tc>
      </w:tr>
      <w:tr w:rsidR="00E836FB" w14:paraId="5F2CC072" w14:textId="77777777">
        <w:trPr>
          <w:hidden/>
        </w:trPr>
        <w:tc>
          <w:tcPr>
            <w:tcW w:w="0" w:type="auto"/>
            <w:gridSpan w:val="3"/>
            <w:shd w:val="clear" w:color="auto" w:fill="auto"/>
            <w:vAlign w:val="bottom"/>
          </w:tcPr>
          <w:p w14:paraId="5F2CC06A" w14:textId="77777777" w:rsidR="00E836FB" w:rsidRDefault="00E836FB">
            <w:pPr>
              <w:rPr>
                <w:rFonts w:ascii="宋体"/>
                <w:vanish/>
              </w:rPr>
            </w:pPr>
          </w:p>
        </w:tc>
        <w:tc>
          <w:tcPr>
            <w:tcW w:w="0" w:type="auto"/>
            <w:gridSpan w:val="3"/>
            <w:shd w:val="clear" w:color="auto" w:fill="auto"/>
            <w:vAlign w:val="bottom"/>
          </w:tcPr>
          <w:p w14:paraId="5F2CC06B" w14:textId="77777777" w:rsidR="00E836FB" w:rsidRDefault="00E836FB">
            <w:pPr>
              <w:rPr>
                <w:rFonts w:ascii="宋体"/>
                <w:vanish/>
              </w:rPr>
            </w:pPr>
          </w:p>
        </w:tc>
        <w:tc>
          <w:tcPr>
            <w:tcW w:w="0" w:type="auto"/>
            <w:gridSpan w:val="3"/>
            <w:shd w:val="clear" w:color="auto" w:fill="auto"/>
            <w:vAlign w:val="bottom"/>
          </w:tcPr>
          <w:p w14:paraId="5F2CC06C" w14:textId="77777777" w:rsidR="00E836FB" w:rsidRDefault="00E836FB">
            <w:pPr>
              <w:rPr>
                <w:rFonts w:ascii="宋体"/>
                <w:vanish/>
              </w:rPr>
            </w:pPr>
          </w:p>
        </w:tc>
        <w:tc>
          <w:tcPr>
            <w:tcW w:w="0" w:type="auto"/>
            <w:gridSpan w:val="3"/>
            <w:shd w:val="clear" w:color="auto" w:fill="auto"/>
            <w:vAlign w:val="bottom"/>
          </w:tcPr>
          <w:p w14:paraId="5F2CC06D" w14:textId="77777777" w:rsidR="00E836FB" w:rsidRDefault="00E836FB">
            <w:pPr>
              <w:rPr>
                <w:rFonts w:ascii="宋体"/>
                <w:vanish/>
              </w:rPr>
            </w:pPr>
          </w:p>
        </w:tc>
        <w:tc>
          <w:tcPr>
            <w:tcW w:w="0" w:type="auto"/>
            <w:gridSpan w:val="3"/>
            <w:shd w:val="clear" w:color="auto" w:fill="auto"/>
            <w:vAlign w:val="bottom"/>
          </w:tcPr>
          <w:p w14:paraId="5F2CC06E" w14:textId="77777777" w:rsidR="00E836FB" w:rsidRDefault="00E836FB">
            <w:pPr>
              <w:rPr>
                <w:rFonts w:ascii="宋体"/>
                <w:vanish/>
              </w:rPr>
            </w:pPr>
          </w:p>
        </w:tc>
        <w:tc>
          <w:tcPr>
            <w:tcW w:w="0" w:type="auto"/>
            <w:gridSpan w:val="3"/>
            <w:shd w:val="clear" w:color="auto" w:fill="auto"/>
            <w:vAlign w:val="bottom"/>
          </w:tcPr>
          <w:p w14:paraId="5F2CC06F" w14:textId="77777777" w:rsidR="00E836FB" w:rsidRDefault="00E836FB">
            <w:pPr>
              <w:rPr>
                <w:rFonts w:ascii="宋体"/>
                <w:vanish/>
              </w:rPr>
            </w:pPr>
          </w:p>
        </w:tc>
        <w:tc>
          <w:tcPr>
            <w:tcW w:w="0" w:type="auto"/>
            <w:gridSpan w:val="3"/>
            <w:shd w:val="clear" w:color="auto" w:fill="auto"/>
            <w:vAlign w:val="bottom"/>
          </w:tcPr>
          <w:p w14:paraId="5F2CC070" w14:textId="77777777" w:rsidR="00E836FB" w:rsidRDefault="00E836FB">
            <w:pPr>
              <w:rPr>
                <w:rFonts w:ascii="宋体"/>
                <w:vanish/>
              </w:rPr>
            </w:pPr>
          </w:p>
        </w:tc>
        <w:tc>
          <w:tcPr>
            <w:tcW w:w="0" w:type="auto"/>
            <w:gridSpan w:val="3"/>
            <w:shd w:val="clear" w:color="auto" w:fill="auto"/>
            <w:vAlign w:val="bottom"/>
          </w:tcPr>
          <w:p w14:paraId="5F2CC071" w14:textId="77777777" w:rsidR="00E836FB" w:rsidRDefault="00E836FB">
            <w:pPr>
              <w:rPr>
                <w:rFonts w:ascii="宋体"/>
                <w:vanish/>
              </w:rPr>
            </w:pPr>
          </w:p>
        </w:tc>
      </w:tr>
      <w:tr w:rsidR="00E836FB" w14:paraId="5F2CC07B" w14:textId="77777777">
        <w:trPr>
          <w:hidden/>
        </w:trPr>
        <w:tc>
          <w:tcPr>
            <w:tcW w:w="0" w:type="auto"/>
            <w:gridSpan w:val="3"/>
            <w:shd w:val="clear" w:color="auto" w:fill="auto"/>
            <w:vAlign w:val="bottom"/>
          </w:tcPr>
          <w:p w14:paraId="5F2CC073" w14:textId="77777777" w:rsidR="00E836FB" w:rsidRDefault="00E836FB">
            <w:pPr>
              <w:rPr>
                <w:rFonts w:ascii="宋体"/>
                <w:vanish/>
              </w:rPr>
            </w:pPr>
          </w:p>
        </w:tc>
        <w:tc>
          <w:tcPr>
            <w:tcW w:w="0" w:type="auto"/>
            <w:gridSpan w:val="3"/>
            <w:shd w:val="clear" w:color="auto" w:fill="auto"/>
            <w:vAlign w:val="bottom"/>
          </w:tcPr>
          <w:p w14:paraId="5F2CC074" w14:textId="77777777" w:rsidR="00E836FB" w:rsidRDefault="00E836FB">
            <w:pPr>
              <w:rPr>
                <w:rFonts w:ascii="宋体"/>
                <w:vanish/>
              </w:rPr>
            </w:pPr>
          </w:p>
        </w:tc>
        <w:tc>
          <w:tcPr>
            <w:tcW w:w="0" w:type="auto"/>
            <w:gridSpan w:val="3"/>
            <w:shd w:val="clear" w:color="auto" w:fill="auto"/>
            <w:vAlign w:val="bottom"/>
          </w:tcPr>
          <w:p w14:paraId="5F2CC075" w14:textId="77777777" w:rsidR="00E836FB" w:rsidRDefault="00E836FB">
            <w:pPr>
              <w:rPr>
                <w:rFonts w:ascii="宋体"/>
                <w:vanish/>
              </w:rPr>
            </w:pPr>
          </w:p>
        </w:tc>
        <w:tc>
          <w:tcPr>
            <w:tcW w:w="0" w:type="auto"/>
            <w:gridSpan w:val="3"/>
            <w:shd w:val="clear" w:color="auto" w:fill="auto"/>
            <w:vAlign w:val="bottom"/>
          </w:tcPr>
          <w:p w14:paraId="5F2CC076" w14:textId="77777777" w:rsidR="00E836FB" w:rsidRDefault="00E836FB">
            <w:pPr>
              <w:rPr>
                <w:rFonts w:ascii="宋体"/>
                <w:vanish/>
              </w:rPr>
            </w:pPr>
          </w:p>
        </w:tc>
        <w:tc>
          <w:tcPr>
            <w:tcW w:w="0" w:type="auto"/>
            <w:gridSpan w:val="3"/>
            <w:shd w:val="clear" w:color="auto" w:fill="auto"/>
            <w:vAlign w:val="bottom"/>
          </w:tcPr>
          <w:p w14:paraId="5F2CC077" w14:textId="77777777" w:rsidR="00E836FB" w:rsidRDefault="00E836FB">
            <w:pPr>
              <w:rPr>
                <w:rFonts w:ascii="宋体"/>
                <w:vanish/>
              </w:rPr>
            </w:pPr>
          </w:p>
        </w:tc>
        <w:tc>
          <w:tcPr>
            <w:tcW w:w="0" w:type="auto"/>
            <w:gridSpan w:val="3"/>
            <w:shd w:val="clear" w:color="auto" w:fill="auto"/>
            <w:vAlign w:val="bottom"/>
          </w:tcPr>
          <w:p w14:paraId="5F2CC078" w14:textId="77777777" w:rsidR="00E836FB" w:rsidRDefault="00E836FB">
            <w:pPr>
              <w:rPr>
                <w:rFonts w:ascii="宋体"/>
                <w:vanish/>
              </w:rPr>
            </w:pPr>
          </w:p>
        </w:tc>
        <w:tc>
          <w:tcPr>
            <w:tcW w:w="0" w:type="auto"/>
            <w:gridSpan w:val="3"/>
            <w:shd w:val="clear" w:color="auto" w:fill="auto"/>
            <w:vAlign w:val="bottom"/>
          </w:tcPr>
          <w:p w14:paraId="5F2CC079" w14:textId="77777777" w:rsidR="00E836FB" w:rsidRDefault="00E836FB">
            <w:pPr>
              <w:rPr>
                <w:rFonts w:ascii="宋体"/>
                <w:vanish/>
              </w:rPr>
            </w:pPr>
          </w:p>
        </w:tc>
        <w:tc>
          <w:tcPr>
            <w:tcW w:w="0" w:type="auto"/>
            <w:gridSpan w:val="3"/>
            <w:shd w:val="clear" w:color="auto" w:fill="auto"/>
            <w:vAlign w:val="bottom"/>
          </w:tcPr>
          <w:p w14:paraId="5F2CC07A" w14:textId="77777777" w:rsidR="00E836FB" w:rsidRDefault="00E836FB">
            <w:pPr>
              <w:rPr>
                <w:rFonts w:ascii="宋体"/>
                <w:vanish/>
              </w:rPr>
            </w:pPr>
          </w:p>
        </w:tc>
      </w:tr>
      <w:tr w:rsidR="00E836FB" w14:paraId="5F2CC07F" w14:textId="77777777">
        <w:tc>
          <w:tcPr>
            <w:tcW w:w="0" w:type="auto"/>
            <w:gridSpan w:val="18"/>
            <w:shd w:val="clear" w:color="auto" w:fill="auto"/>
            <w:tcMar>
              <w:top w:w="40" w:type="dxa"/>
              <w:left w:w="20" w:type="dxa"/>
              <w:bottom w:w="40" w:type="dxa"/>
              <w:right w:w="20" w:type="dxa"/>
            </w:tcMar>
            <w:vAlign w:val="bottom"/>
          </w:tcPr>
          <w:p w14:paraId="5F2CC07C" w14:textId="77777777" w:rsidR="00E836FB" w:rsidRDefault="00994958">
            <w:pPr>
              <w:textAlignment w:val="bottom"/>
            </w:pPr>
            <w:r>
              <w:rPr>
                <w:rFonts w:ascii="Arial" w:eastAsia="宋体" w:hAnsi="Arial" w:cs="Arial"/>
                <w:b/>
                <w:bCs/>
                <w:color w:val="000000"/>
                <w:sz w:val="16"/>
                <w:szCs w:val="16"/>
              </w:rPr>
              <w:t>TABLE 19: AVERAGE STATEMENT OF CONDITION</w:t>
            </w:r>
            <w:r>
              <w:rPr>
                <w:rFonts w:ascii="Arial" w:eastAsia="宋体" w:hAnsi="Arial" w:cs="Arial"/>
                <w:b/>
                <w:bCs/>
                <w:color w:val="000000"/>
                <w:sz w:val="10"/>
                <w:szCs w:val="10"/>
              </w:rPr>
              <w:t>(1)</w:t>
            </w:r>
          </w:p>
        </w:tc>
        <w:tc>
          <w:tcPr>
            <w:tcW w:w="0" w:type="auto"/>
            <w:gridSpan w:val="3"/>
            <w:shd w:val="clear" w:color="auto" w:fill="auto"/>
            <w:vAlign w:val="bottom"/>
          </w:tcPr>
          <w:p w14:paraId="5F2CC07D" w14:textId="77777777" w:rsidR="00E836FB" w:rsidRDefault="00E836FB">
            <w:pPr>
              <w:rPr>
                <w:rFonts w:ascii="宋体"/>
                <w:vanish/>
              </w:rPr>
            </w:pPr>
          </w:p>
        </w:tc>
        <w:tc>
          <w:tcPr>
            <w:tcW w:w="0" w:type="auto"/>
            <w:gridSpan w:val="3"/>
            <w:shd w:val="clear" w:color="auto" w:fill="auto"/>
            <w:vAlign w:val="bottom"/>
          </w:tcPr>
          <w:p w14:paraId="5F2CC07E" w14:textId="77777777" w:rsidR="00E836FB" w:rsidRDefault="00E836FB">
            <w:pPr>
              <w:rPr>
                <w:rFonts w:ascii="宋体"/>
                <w:vanish/>
              </w:rPr>
            </w:pPr>
          </w:p>
        </w:tc>
      </w:tr>
      <w:tr w:rsidR="00E836FB" w14:paraId="5F2CC084" w14:textId="77777777">
        <w:tc>
          <w:tcPr>
            <w:tcW w:w="0" w:type="auto"/>
            <w:gridSpan w:val="3"/>
            <w:shd w:val="clear" w:color="auto" w:fill="auto"/>
            <w:tcMar>
              <w:top w:w="0" w:type="dxa"/>
              <w:left w:w="20" w:type="dxa"/>
              <w:bottom w:w="0" w:type="dxa"/>
              <w:right w:w="20" w:type="dxa"/>
            </w:tcMar>
            <w:vAlign w:val="bottom"/>
          </w:tcPr>
          <w:p w14:paraId="5F2CC080"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C081"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vAlign w:val="bottom"/>
          </w:tcPr>
          <w:p w14:paraId="5F2CC082" w14:textId="77777777" w:rsidR="00E836FB" w:rsidRDefault="00E836FB">
            <w:pPr>
              <w:rPr>
                <w:rFonts w:ascii="宋体"/>
                <w:vanish/>
              </w:rPr>
            </w:pPr>
          </w:p>
        </w:tc>
        <w:tc>
          <w:tcPr>
            <w:tcW w:w="0" w:type="auto"/>
            <w:gridSpan w:val="3"/>
            <w:shd w:val="clear" w:color="auto" w:fill="auto"/>
            <w:vAlign w:val="bottom"/>
          </w:tcPr>
          <w:p w14:paraId="5F2CC083" w14:textId="77777777" w:rsidR="00E836FB" w:rsidRDefault="00E836FB">
            <w:pPr>
              <w:rPr>
                <w:rFonts w:ascii="宋体"/>
                <w:vanish/>
              </w:rPr>
            </w:pPr>
          </w:p>
        </w:tc>
      </w:tr>
      <w:tr w:rsidR="00E836FB" w14:paraId="5F2CC08D" w14:textId="77777777">
        <w:tc>
          <w:tcPr>
            <w:tcW w:w="0" w:type="auto"/>
            <w:gridSpan w:val="3"/>
            <w:shd w:val="clear" w:color="auto" w:fill="auto"/>
            <w:tcMar>
              <w:top w:w="40" w:type="dxa"/>
              <w:left w:w="20" w:type="dxa"/>
              <w:bottom w:w="40" w:type="dxa"/>
              <w:right w:w="20" w:type="dxa"/>
            </w:tcMar>
            <w:vAlign w:val="bottom"/>
          </w:tcPr>
          <w:p w14:paraId="5F2CC085"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086"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08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088"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08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08A"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vAlign w:val="bottom"/>
          </w:tcPr>
          <w:p w14:paraId="5F2CC08B" w14:textId="77777777" w:rsidR="00E836FB" w:rsidRDefault="00E836FB">
            <w:pPr>
              <w:rPr>
                <w:rFonts w:ascii="宋体"/>
                <w:vanish/>
              </w:rPr>
            </w:pPr>
          </w:p>
        </w:tc>
        <w:tc>
          <w:tcPr>
            <w:tcW w:w="0" w:type="auto"/>
            <w:gridSpan w:val="3"/>
            <w:shd w:val="clear" w:color="auto" w:fill="auto"/>
            <w:vAlign w:val="bottom"/>
          </w:tcPr>
          <w:p w14:paraId="5F2CC08C" w14:textId="77777777" w:rsidR="00E836FB" w:rsidRDefault="00E836FB">
            <w:pPr>
              <w:rPr>
                <w:rFonts w:ascii="宋体"/>
                <w:vanish/>
              </w:rPr>
            </w:pPr>
          </w:p>
        </w:tc>
      </w:tr>
      <w:tr w:rsidR="00E836FB" w14:paraId="5F2CC096" w14:textId="77777777">
        <w:tc>
          <w:tcPr>
            <w:tcW w:w="0" w:type="auto"/>
            <w:gridSpan w:val="3"/>
            <w:shd w:val="clear" w:color="auto" w:fill="auto"/>
            <w:tcMar>
              <w:top w:w="40" w:type="dxa"/>
              <w:left w:w="20" w:type="dxa"/>
              <w:bottom w:w="40" w:type="dxa"/>
              <w:right w:w="20" w:type="dxa"/>
            </w:tcMar>
            <w:vAlign w:val="bottom"/>
          </w:tcPr>
          <w:p w14:paraId="5F2CC08E" w14:textId="77777777" w:rsidR="00E836FB" w:rsidRDefault="00994958">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08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09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0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09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093" w14:textId="77777777" w:rsidR="00E836FB" w:rsidRDefault="00E836FB">
            <w:pPr>
              <w:rPr>
                <w:rFonts w:ascii="宋体"/>
              </w:rPr>
            </w:pPr>
          </w:p>
        </w:tc>
        <w:tc>
          <w:tcPr>
            <w:tcW w:w="0" w:type="auto"/>
            <w:gridSpan w:val="3"/>
            <w:shd w:val="clear" w:color="auto" w:fill="auto"/>
            <w:vAlign w:val="bottom"/>
          </w:tcPr>
          <w:p w14:paraId="5F2CC094" w14:textId="77777777" w:rsidR="00E836FB" w:rsidRDefault="00E836FB">
            <w:pPr>
              <w:rPr>
                <w:rFonts w:ascii="宋体"/>
                <w:vanish/>
              </w:rPr>
            </w:pPr>
          </w:p>
        </w:tc>
        <w:tc>
          <w:tcPr>
            <w:tcW w:w="0" w:type="auto"/>
            <w:gridSpan w:val="3"/>
            <w:shd w:val="clear" w:color="auto" w:fill="auto"/>
            <w:vAlign w:val="bottom"/>
          </w:tcPr>
          <w:p w14:paraId="5F2CC095" w14:textId="77777777" w:rsidR="00E836FB" w:rsidRDefault="00E836FB">
            <w:pPr>
              <w:rPr>
                <w:rFonts w:ascii="宋体"/>
                <w:vanish/>
              </w:rPr>
            </w:pPr>
          </w:p>
        </w:tc>
      </w:tr>
      <w:tr w:rsidR="00E836FB" w14:paraId="5F2CC0A5" w14:textId="77777777">
        <w:tc>
          <w:tcPr>
            <w:tcW w:w="0" w:type="auto"/>
            <w:gridSpan w:val="3"/>
            <w:shd w:val="clear" w:color="auto" w:fill="CCEEFF"/>
            <w:tcMar>
              <w:top w:w="40" w:type="dxa"/>
              <w:left w:w="20" w:type="dxa"/>
              <w:bottom w:w="40" w:type="dxa"/>
              <w:right w:w="20" w:type="dxa"/>
            </w:tcMar>
            <w:vAlign w:val="bottom"/>
          </w:tcPr>
          <w:p w14:paraId="5F2CC097" w14:textId="77777777" w:rsidR="00E836FB" w:rsidRDefault="00994958">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5F2CC09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099" w14:textId="77777777" w:rsidR="00E836FB" w:rsidRDefault="00994958">
            <w:pPr>
              <w:jc w:val="right"/>
              <w:textAlignment w:val="bottom"/>
            </w:pPr>
            <w:r>
              <w:rPr>
                <w:rFonts w:ascii="Arial" w:eastAsia="宋体" w:hAnsi="Arial" w:cs="Arial"/>
                <w:b/>
                <w:bCs/>
                <w:color w:val="000000"/>
                <w:sz w:val="14"/>
                <w:szCs w:val="14"/>
              </w:rPr>
              <w:t>89,996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0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9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09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09D" w14:textId="77777777" w:rsidR="00E836FB" w:rsidRDefault="00994958">
            <w:pPr>
              <w:jc w:val="right"/>
              <w:textAlignment w:val="bottom"/>
            </w:pPr>
            <w:r>
              <w:rPr>
                <w:rFonts w:ascii="Arial" w:eastAsia="宋体" w:hAnsi="Arial" w:cs="Arial"/>
                <w:color w:val="000000"/>
                <w:sz w:val="14"/>
                <w:szCs w:val="14"/>
              </w:rPr>
              <w:t>76,588 </w:t>
            </w:r>
          </w:p>
        </w:tc>
        <w:tc>
          <w:tcPr>
            <w:tcW w:w="0" w:type="auto"/>
            <w:shd w:val="clear" w:color="auto" w:fill="CCEEFF"/>
            <w:tcMar>
              <w:top w:w="40" w:type="dxa"/>
              <w:left w:w="0" w:type="dxa"/>
              <w:bottom w:w="40" w:type="dxa"/>
              <w:right w:w="20" w:type="dxa"/>
            </w:tcMar>
            <w:vAlign w:val="bottom"/>
          </w:tcPr>
          <w:p w14:paraId="5F2CC0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9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0A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0A1" w14:textId="77777777" w:rsidR="00E836FB" w:rsidRDefault="00994958">
            <w:pPr>
              <w:jc w:val="right"/>
              <w:textAlignment w:val="bottom"/>
            </w:pPr>
            <w:r>
              <w:rPr>
                <w:rFonts w:ascii="Arial" w:eastAsia="宋体" w:hAnsi="Arial" w:cs="Arial"/>
                <w:color w:val="000000"/>
                <w:sz w:val="14"/>
                <w:szCs w:val="14"/>
              </w:rPr>
              <w:t>48,500 </w:t>
            </w:r>
          </w:p>
        </w:tc>
        <w:tc>
          <w:tcPr>
            <w:tcW w:w="0" w:type="auto"/>
            <w:shd w:val="clear" w:color="auto" w:fill="CCEEFF"/>
            <w:tcMar>
              <w:top w:w="40" w:type="dxa"/>
              <w:left w:w="0" w:type="dxa"/>
              <w:bottom w:w="40" w:type="dxa"/>
              <w:right w:w="20" w:type="dxa"/>
            </w:tcMar>
            <w:vAlign w:val="bottom"/>
          </w:tcPr>
          <w:p w14:paraId="5F2CC0A2" w14:textId="77777777" w:rsidR="00E836FB" w:rsidRDefault="00E836FB">
            <w:pPr>
              <w:jc w:val="right"/>
              <w:rPr>
                <w:rFonts w:ascii="宋体"/>
              </w:rPr>
            </w:pPr>
          </w:p>
        </w:tc>
        <w:tc>
          <w:tcPr>
            <w:tcW w:w="0" w:type="auto"/>
            <w:gridSpan w:val="3"/>
            <w:shd w:val="clear" w:color="auto" w:fill="auto"/>
            <w:vAlign w:val="bottom"/>
          </w:tcPr>
          <w:p w14:paraId="5F2CC0A3" w14:textId="77777777" w:rsidR="00E836FB" w:rsidRDefault="00E836FB">
            <w:pPr>
              <w:rPr>
                <w:rFonts w:ascii="宋体"/>
                <w:vanish/>
              </w:rPr>
            </w:pPr>
          </w:p>
        </w:tc>
        <w:tc>
          <w:tcPr>
            <w:tcW w:w="0" w:type="auto"/>
            <w:gridSpan w:val="3"/>
            <w:shd w:val="clear" w:color="auto" w:fill="auto"/>
            <w:vAlign w:val="bottom"/>
          </w:tcPr>
          <w:p w14:paraId="5F2CC0A4" w14:textId="77777777" w:rsidR="00E836FB" w:rsidRDefault="00E836FB">
            <w:pPr>
              <w:rPr>
                <w:rFonts w:ascii="宋体"/>
                <w:vanish/>
              </w:rPr>
            </w:pPr>
          </w:p>
        </w:tc>
      </w:tr>
      <w:tr w:rsidR="00E836FB" w14:paraId="5F2CC0B1" w14:textId="77777777">
        <w:tc>
          <w:tcPr>
            <w:tcW w:w="0" w:type="auto"/>
            <w:gridSpan w:val="3"/>
            <w:shd w:val="clear" w:color="auto" w:fill="FFFFFF"/>
            <w:tcMar>
              <w:top w:w="40" w:type="dxa"/>
              <w:left w:w="20" w:type="dxa"/>
              <w:bottom w:w="40" w:type="dxa"/>
              <w:right w:w="20" w:type="dxa"/>
            </w:tcMar>
            <w:vAlign w:val="bottom"/>
          </w:tcPr>
          <w:p w14:paraId="5F2CC0A6" w14:textId="77777777" w:rsidR="00E836FB" w:rsidRDefault="00994958">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5F2CC0A7" w14:textId="77777777" w:rsidR="00E836FB" w:rsidRDefault="00994958">
            <w:pPr>
              <w:jc w:val="right"/>
              <w:textAlignment w:val="bottom"/>
            </w:pPr>
            <w:r>
              <w:rPr>
                <w:rFonts w:ascii="Arial" w:eastAsia="宋体" w:hAnsi="Arial" w:cs="Arial"/>
                <w:b/>
                <w:bCs/>
                <w:color w:val="000000"/>
                <w:sz w:val="14"/>
                <w:szCs w:val="14"/>
              </w:rPr>
              <w:t>4,193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0A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0A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0AA" w14:textId="77777777" w:rsidR="00E836FB" w:rsidRDefault="00994958">
            <w:pPr>
              <w:jc w:val="right"/>
              <w:textAlignment w:val="bottom"/>
            </w:pPr>
            <w:r>
              <w:rPr>
                <w:rFonts w:ascii="Arial" w:eastAsia="宋体" w:hAnsi="Arial" w:cs="Arial"/>
                <w:color w:val="000000"/>
                <w:sz w:val="14"/>
                <w:szCs w:val="14"/>
              </w:rPr>
              <w:t>3,452 </w:t>
            </w:r>
          </w:p>
        </w:tc>
        <w:tc>
          <w:tcPr>
            <w:tcW w:w="0" w:type="auto"/>
            <w:shd w:val="clear" w:color="auto" w:fill="FFFFFF"/>
            <w:tcMar>
              <w:top w:w="40" w:type="dxa"/>
              <w:left w:w="0" w:type="dxa"/>
              <w:bottom w:w="40" w:type="dxa"/>
              <w:right w:w="20" w:type="dxa"/>
            </w:tcMar>
            <w:vAlign w:val="bottom"/>
          </w:tcPr>
          <w:p w14:paraId="5F2CC0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0A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0AD" w14:textId="77777777" w:rsidR="00E836FB" w:rsidRDefault="00994958">
            <w:pPr>
              <w:jc w:val="right"/>
              <w:textAlignment w:val="bottom"/>
            </w:pPr>
            <w:r>
              <w:rPr>
                <w:rFonts w:ascii="Arial" w:eastAsia="宋体" w:hAnsi="Arial" w:cs="Arial"/>
                <w:color w:val="000000"/>
                <w:sz w:val="14"/>
                <w:szCs w:val="14"/>
              </w:rPr>
              <w:t>2,506 </w:t>
            </w:r>
          </w:p>
        </w:tc>
        <w:tc>
          <w:tcPr>
            <w:tcW w:w="0" w:type="auto"/>
            <w:shd w:val="clear" w:color="auto" w:fill="FFFFFF"/>
            <w:tcMar>
              <w:top w:w="40" w:type="dxa"/>
              <w:left w:w="0" w:type="dxa"/>
              <w:bottom w:w="40" w:type="dxa"/>
              <w:right w:w="20" w:type="dxa"/>
            </w:tcMar>
            <w:vAlign w:val="bottom"/>
          </w:tcPr>
          <w:p w14:paraId="5F2CC0AE" w14:textId="77777777" w:rsidR="00E836FB" w:rsidRDefault="00E836FB">
            <w:pPr>
              <w:jc w:val="right"/>
              <w:rPr>
                <w:rFonts w:ascii="宋体"/>
              </w:rPr>
            </w:pPr>
          </w:p>
        </w:tc>
        <w:tc>
          <w:tcPr>
            <w:tcW w:w="0" w:type="auto"/>
            <w:gridSpan w:val="3"/>
            <w:shd w:val="clear" w:color="auto" w:fill="auto"/>
            <w:vAlign w:val="bottom"/>
          </w:tcPr>
          <w:p w14:paraId="5F2CC0AF" w14:textId="77777777" w:rsidR="00E836FB" w:rsidRDefault="00E836FB">
            <w:pPr>
              <w:rPr>
                <w:rFonts w:ascii="宋体"/>
                <w:vanish/>
              </w:rPr>
            </w:pPr>
          </w:p>
        </w:tc>
        <w:tc>
          <w:tcPr>
            <w:tcW w:w="0" w:type="auto"/>
            <w:gridSpan w:val="3"/>
            <w:shd w:val="clear" w:color="auto" w:fill="auto"/>
            <w:vAlign w:val="bottom"/>
          </w:tcPr>
          <w:p w14:paraId="5F2CC0B0" w14:textId="77777777" w:rsidR="00E836FB" w:rsidRDefault="00E836FB">
            <w:pPr>
              <w:rPr>
                <w:rFonts w:ascii="宋体"/>
                <w:vanish/>
              </w:rPr>
            </w:pPr>
          </w:p>
        </w:tc>
      </w:tr>
      <w:tr w:rsidR="00E836FB" w14:paraId="5F2CC0BD" w14:textId="77777777">
        <w:tc>
          <w:tcPr>
            <w:tcW w:w="0" w:type="auto"/>
            <w:gridSpan w:val="3"/>
            <w:shd w:val="clear" w:color="auto" w:fill="CCEEFF"/>
            <w:tcMar>
              <w:top w:w="40" w:type="dxa"/>
              <w:left w:w="20" w:type="dxa"/>
              <w:bottom w:w="40" w:type="dxa"/>
              <w:right w:w="20" w:type="dxa"/>
            </w:tcMar>
            <w:vAlign w:val="bottom"/>
          </w:tcPr>
          <w:p w14:paraId="5F2CC0B2" w14:textId="77777777" w:rsidR="00E836FB" w:rsidRDefault="00994958">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5F2CC0B3" w14:textId="77777777" w:rsidR="00E836FB" w:rsidRDefault="00994958">
            <w:pPr>
              <w:jc w:val="right"/>
              <w:textAlignment w:val="bottom"/>
            </w:pPr>
            <w:r>
              <w:rPr>
                <w:rFonts w:ascii="Arial" w:eastAsia="宋体" w:hAnsi="Arial" w:cs="Arial"/>
                <w:b/>
                <w:bCs/>
                <w:color w:val="000000"/>
                <w:sz w:val="14"/>
                <w:szCs w:val="14"/>
              </w:rPr>
              <w:t>752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0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B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B6" w14:textId="77777777" w:rsidR="00E836FB" w:rsidRDefault="00994958">
            <w:pPr>
              <w:jc w:val="right"/>
              <w:textAlignment w:val="bottom"/>
            </w:pPr>
            <w:r>
              <w:rPr>
                <w:rFonts w:ascii="Arial" w:eastAsia="宋体" w:hAnsi="Arial" w:cs="Arial"/>
                <w:color w:val="000000"/>
                <w:sz w:val="14"/>
                <w:szCs w:val="14"/>
              </w:rPr>
              <w:t>878 </w:t>
            </w:r>
          </w:p>
        </w:tc>
        <w:tc>
          <w:tcPr>
            <w:tcW w:w="0" w:type="auto"/>
            <w:shd w:val="clear" w:color="auto" w:fill="CCEEFF"/>
            <w:tcMar>
              <w:top w:w="40" w:type="dxa"/>
              <w:left w:w="0" w:type="dxa"/>
              <w:bottom w:w="40" w:type="dxa"/>
              <w:right w:w="20" w:type="dxa"/>
            </w:tcMar>
            <w:vAlign w:val="bottom"/>
          </w:tcPr>
          <w:p w14:paraId="5F2CC0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B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B9" w14:textId="77777777" w:rsidR="00E836FB" w:rsidRDefault="00994958">
            <w:pPr>
              <w:jc w:val="right"/>
              <w:textAlignment w:val="bottom"/>
            </w:pPr>
            <w:r>
              <w:rPr>
                <w:rFonts w:ascii="Arial" w:eastAsia="宋体" w:hAnsi="Arial" w:cs="Arial"/>
                <w:color w:val="000000"/>
                <w:sz w:val="14"/>
                <w:szCs w:val="14"/>
              </w:rPr>
              <w:t>884 </w:t>
            </w:r>
          </w:p>
        </w:tc>
        <w:tc>
          <w:tcPr>
            <w:tcW w:w="0" w:type="auto"/>
            <w:shd w:val="clear" w:color="auto" w:fill="CCEEFF"/>
            <w:tcMar>
              <w:top w:w="40" w:type="dxa"/>
              <w:left w:w="0" w:type="dxa"/>
              <w:bottom w:w="40" w:type="dxa"/>
              <w:right w:w="20" w:type="dxa"/>
            </w:tcMar>
            <w:vAlign w:val="bottom"/>
          </w:tcPr>
          <w:p w14:paraId="5F2CC0BA" w14:textId="77777777" w:rsidR="00E836FB" w:rsidRDefault="00E836FB">
            <w:pPr>
              <w:jc w:val="right"/>
              <w:rPr>
                <w:rFonts w:ascii="宋体"/>
              </w:rPr>
            </w:pPr>
          </w:p>
        </w:tc>
        <w:tc>
          <w:tcPr>
            <w:tcW w:w="0" w:type="auto"/>
            <w:gridSpan w:val="3"/>
            <w:shd w:val="clear" w:color="auto" w:fill="auto"/>
            <w:vAlign w:val="bottom"/>
          </w:tcPr>
          <w:p w14:paraId="5F2CC0BB" w14:textId="77777777" w:rsidR="00E836FB" w:rsidRDefault="00E836FB">
            <w:pPr>
              <w:rPr>
                <w:rFonts w:ascii="宋体"/>
                <w:vanish/>
              </w:rPr>
            </w:pPr>
          </w:p>
        </w:tc>
        <w:tc>
          <w:tcPr>
            <w:tcW w:w="0" w:type="auto"/>
            <w:gridSpan w:val="3"/>
            <w:shd w:val="clear" w:color="auto" w:fill="auto"/>
            <w:vAlign w:val="bottom"/>
          </w:tcPr>
          <w:p w14:paraId="5F2CC0BC" w14:textId="77777777" w:rsidR="00E836FB" w:rsidRDefault="00E836FB">
            <w:pPr>
              <w:rPr>
                <w:rFonts w:ascii="宋体"/>
                <w:vanish/>
              </w:rPr>
            </w:pPr>
          </w:p>
        </w:tc>
      </w:tr>
      <w:tr w:rsidR="00E836FB" w14:paraId="5F2CC0C6" w14:textId="77777777">
        <w:tc>
          <w:tcPr>
            <w:tcW w:w="0" w:type="auto"/>
            <w:gridSpan w:val="3"/>
            <w:shd w:val="clear" w:color="auto" w:fill="FFFFFF"/>
            <w:tcMar>
              <w:top w:w="40" w:type="dxa"/>
              <w:left w:w="20" w:type="dxa"/>
              <w:bottom w:w="40" w:type="dxa"/>
              <w:right w:w="20" w:type="dxa"/>
            </w:tcMar>
            <w:vAlign w:val="bottom"/>
          </w:tcPr>
          <w:p w14:paraId="5F2CC0BE" w14:textId="77777777" w:rsidR="00E836FB" w:rsidRDefault="00994958">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5F2CC0B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0C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0C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0C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0C3" w14:textId="77777777" w:rsidR="00E836FB" w:rsidRDefault="00E836FB">
            <w:pPr>
              <w:rPr>
                <w:rFonts w:ascii="宋体"/>
              </w:rPr>
            </w:pPr>
          </w:p>
        </w:tc>
        <w:tc>
          <w:tcPr>
            <w:tcW w:w="0" w:type="auto"/>
            <w:gridSpan w:val="3"/>
            <w:shd w:val="clear" w:color="auto" w:fill="auto"/>
            <w:vAlign w:val="bottom"/>
          </w:tcPr>
          <w:p w14:paraId="5F2CC0C4" w14:textId="77777777" w:rsidR="00E836FB" w:rsidRDefault="00E836FB">
            <w:pPr>
              <w:rPr>
                <w:rFonts w:ascii="宋体"/>
                <w:vanish/>
              </w:rPr>
            </w:pPr>
          </w:p>
        </w:tc>
        <w:tc>
          <w:tcPr>
            <w:tcW w:w="0" w:type="auto"/>
            <w:gridSpan w:val="3"/>
            <w:shd w:val="clear" w:color="auto" w:fill="auto"/>
            <w:vAlign w:val="bottom"/>
          </w:tcPr>
          <w:p w14:paraId="5F2CC0C5" w14:textId="77777777" w:rsidR="00E836FB" w:rsidRDefault="00E836FB">
            <w:pPr>
              <w:rPr>
                <w:rFonts w:ascii="宋体"/>
                <w:vanish/>
              </w:rPr>
            </w:pPr>
          </w:p>
        </w:tc>
      </w:tr>
      <w:tr w:rsidR="00E836FB" w14:paraId="5F2CC0D2" w14:textId="77777777">
        <w:tc>
          <w:tcPr>
            <w:tcW w:w="0" w:type="auto"/>
            <w:gridSpan w:val="3"/>
            <w:shd w:val="clear" w:color="auto" w:fill="CCEEFF"/>
            <w:tcMar>
              <w:top w:w="40" w:type="dxa"/>
              <w:left w:w="140" w:type="dxa"/>
              <w:bottom w:w="40" w:type="dxa"/>
              <w:right w:w="20" w:type="dxa"/>
            </w:tcMar>
            <w:vAlign w:val="bottom"/>
          </w:tcPr>
          <w:p w14:paraId="5F2CC0C7" w14:textId="77777777" w:rsidR="00E836FB" w:rsidRDefault="00994958">
            <w:pPr>
              <w:textAlignment w:val="bottom"/>
            </w:pPr>
            <w:r>
              <w:rPr>
                <w:rFonts w:ascii="Arial" w:eastAsia="宋体" w:hAnsi="Arial" w:cs="Arial"/>
                <w:color w:val="000000"/>
                <w:sz w:val="14"/>
                <w:szCs w:val="14"/>
              </w:rPr>
              <w:t>Investment securities available for sale</w:t>
            </w:r>
          </w:p>
        </w:tc>
        <w:tc>
          <w:tcPr>
            <w:tcW w:w="0" w:type="auto"/>
            <w:gridSpan w:val="2"/>
            <w:shd w:val="clear" w:color="auto" w:fill="CCEEFF"/>
            <w:tcMar>
              <w:top w:w="40" w:type="dxa"/>
              <w:left w:w="20" w:type="dxa"/>
              <w:bottom w:w="40" w:type="dxa"/>
              <w:right w:w="0" w:type="dxa"/>
            </w:tcMar>
            <w:vAlign w:val="bottom"/>
          </w:tcPr>
          <w:p w14:paraId="5F2CC0C8" w14:textId="77777777" w:rsidR="00E836FB" w:rsidRDefault="00994958">
            <w:pPr>
              <w:jc w:val="right"/>
              <w:textAlignment w:val="bottom"/>
            </w:pPr>
            <w:r>
              <w:rPr>
                <w:rFonts w:ascii="Arial" w:eastAsia="宋体" w:hAnsi="Arial" w:cs="Arial"/>
                <w:b/>
                <w:bCs/>
                <w:color w:val="000000"/>
                <w:sz w:val="14"/>
                <w:szCs w:val="14"/>
              </w:rPr>
              <w:t>66,584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0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CB" w14:textId="77777777" w:rsidR="00E836FB" w:rsidRDefault="00994958">
            <w:pPr>
              <w:jc w:val="right"/>
              <w:textAlignment w:val="bottom"/>
            </w:pPr>
            <w:r>
              <w:rPr>
                <w:rFonts w:ascii="Arial" w:eastAsia="宋体" w:hAnsi="Arial" w:cs="Arial"/>
                <w:color w:val="000000"/>
                <w:sz w:val="14"/>
                <w:szCs w:val="14"/>
              </w:rPr>
              <w:t>58,036 </w:t>
            </w:r>
          </w:p>
        </w:tc>
        <w:tc>
          <w:tcPr>
            <w:tcW w:w="0" w:type="auto"/>
            <w:shd w:val="clear" w:color="auto" w:fill="CCEEFF"/>
            <w:tcMar>
              <w:top w:w="40" w:type="dxa"/>
              <w:left w:w="0" w:type="dxa"/>
              <w:bottom w:w="40" w:type="dxa"/>
              <w:right w:w="20" w:type="dxa"/>
            </w:tcMar>
            <w:vAlign w:val="bottom"/>
          </w:tcPr>
          <w:p w14:paraId="5F2CC0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CE" w14:textId="77777777" w:rsidR="00E836FB" w:rsidRDefault="00994958">
            <w:pPr>
              <w:jc w:val="right"/>
              <w:textAlignment w:val="bottom"/>
            </w:pPr>
            <w:r>
              <w:rPr>
                <w:rFonts w:ascii="Arial" w:eastAsia="宋体" w:hAnsi="Arial" w:cs="Arial"/>
                <w:color w:val="000000"/>
                <w:sz w:val="14"/>
                <w:szCs w:val="14"/>
              </w:rPr>
              <w:t>51,853 </w:t>
            </w:r>
          </w:p>
        </w:tc>
        <w:tc>
          <w:tcPr>
            <w:tcW w:w="0" w:type="auto"/>
            <w:shd w:val="clear" w:color="auto" w:fill="CCEEFF"/>
            <w:tcMar>
              <w:top w:w="40" w:type="dxa"/>
              <w:left w:w="0" w:type="dxa"/>
              <w:bottom w:w="40" w:type="dxa"/>
              <w:right w:w="20" w:type="dxa"/>
            </w:tcMar>
            <w:vAlign w:val="bottom"/>
          </w:tcPr>
          <w:p w14:paraId="5F2CC0CF" w14:textId="77777777" w:rsidR="00E836FB" w:rsidRDefault="00E836FB">
            <w:pPr>
              <w:jc w:val="right"/>
              <w:rPr>
                <w:rFonts w:ascii="宋体"/>
              </w:rPr>
            </w:pPr>
          </w:p>
        </w:tc>
        <w:tc>
          <w:tcPr>
            <w:tcW w:w="0" w:type="auto"/>
            <w:gridSpan w:val="3"/>
            <w:shd w:val="clear" w:color="auto" w:fill="auto"/>
            <w:vAlign w:val="bottom"/>
          </w:tcPr>
          <w:p w14:paraId="5F2CC0D0" w14:textId="77777777" w:rsidR="00E836FB" w:rsidRDefault="00E836FB">
            <w:pPr>
              <w:rPr>
                <w:rFonts w:ascii="宋体"/>
                <w:vanish/>
              </w:rPr>
            </w:pPr>
          </w:p>
        </w:tc>
        <w:tc>
          <w:tcPr>
            <w:tcW w:w="0" w:type="auto"/>
            <w:gridSpan w:val="3"/>
            <w:shd w:val="clear" w:color="auto" w:fill="auto"/>
            <w:vAlign w:val="bottom"/>
          </w:tcPr>
          <w:p w14:paraId="5F2CC0D1" w14:textId="77777777" w:rsidR="00E836FB" w:rsidRDefault="00E836FB">
            <w:pPr>
              <w:rPr>
                <w:rFonts w:ascii="宋体"/>
                <w:vanish/>
              </w:rPr>
            </w:pPr>
          </w:p>
        </w:tc>
      </w:tr>
      <w:tr w:rsidR="00E836FB" w14:paraId="5F2CC0DE" w14:textId="77777777">
        <w:tc>
          <w:tcPr>
            <w:tcW w:w="0" w:type="auto"/>
            <w:gridSpan w:val="3"/>
            <w:shd w:val="clear" w:color="auto" w:fill="FFFFFF"/>
            <w:tcMar>
              <w:top w:w="40" w:type="dxa"/>
              <w:left w:w="140" w:type="dxa"/>
              <w:bottom w:w="40" w:type="dxa"/>
              <w:right w:w="20" w:type="dxa"/>
            </w:tcMar>
            <w:vAlign w:val="bottom"/>
          </w:tcPr>
          <w:p w14:paraId="5F2CC0D3" w14:textId="77777777" w:rsidR="00E836FB" w:rsidRDefault="00994958">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5F2CC0D4" w14:textId="77777777" w:rsidR="00E836FB" w:rsidRDefault="00994958">
            <w:pPr>
              <w:jc w:val="right"/>
              <w:textAlignment w:val="bottom"/>
            </w:pPr>
            <w:r>
              <w:rPr>
                <w:rFonts w:ascii="Arial" w:eastAsia="宋体" w:hAnsi="Arial" w:cs="Arial"/>
                <w:b/>
                <w:bCs/>
                <w:color w:val="000000"/>
                <w:sz w:val="14"/>
                <w:szCs w:val="14"/>
              </w:rPr>
              <w:t>44,832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0D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0D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0D7" w14:textId="77777777" w:rsidR="00E836FB" w:rsidRDefault="00994958">
            <w:pPr>
              <w:jc w:val="right"/>
              <w:textAlignment w:val="bottom"/>
            </w:pPr>
            <w:r>
              <w:rPr>
                <w:rFonts w:ascii="Arial" w:eastAsia="宋体" w:hAnsi="Arial" w:cs="Arial"/>
                <w:color w:val="000000"/>
                <w:sz w:val="14"/>
                <w:szCs w:val="14"/>
              </w:rPr>
              <w:t>42,956 </w:t>
            </w:r>
          </w:p>
        </w:tc>
        <w:tc>
          <w:tcPr>
            <w:tcW w:w="0" w:type="auto"/>
            <w:shd w:val="clear" w:color="auto" w:fill="FFFFFF"/>
            <w:tcMar>
              <w:top w:w="40" w:type="dxa"/>
              <w:left w:w="0" w:type="dxa"/>
              <w:bottom w:w="40" w:type="dxa"/>
              <w:right w:w="20" w:type="dxa"/>
            </w:tcMar>
            <w:vAlign w:val="bottom"/>
          </w:tcPr>
          <w:p w14:paraId="5F2CC0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0D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0DA" w14:textId="77777777" w:rsidR="00E836FB" w:rsidRDefault="00994958">
            <w:pPr>
              <w:jc w:val="right"/>
              <w:textAlignment w:val="bottom"/>
            </w:pPr>
            <w:r>
              <w:rPr>
                <w:rFonts w:ascii="Arial" w:eastAsia="宋体" w:hAnsi="Arial" w:cs="Arial"/>
                <w:color w:val="000000"/>
                <w:sz w:val="14"/>
                <w:szCs w:val="14"/>
              </w:rPr>
              <w:t>39,915 </w:t>
            </w:r>
          </w:p>
        </w:tc>
        <w:tc>
          <w:tcPr>
            <w:tcW w:w="0" w:type="auto"/>
            <w:shd w:val="clear" w:color="auto" w:fill="FFFFFF"/>
            <w:tcMar>
              <w:top w:w="40" w:type="dxa"/>
              <w:left w:w="0" w:type="dxa"/>
              <w:bottom w:w="40" w:type="dxa"/>
              <w:right w:w="20" w:type="dxa"/>
            </w:tcMar>
            <w:vAlign w:val="bottom"/>
          </w:tcPr>
          <w:p w14:paraId="5F2CC0DB" w14:textId="77777777" w:rsidR="00E836FB" w:rsidRDefault="00E836FB">
            <w:pPr>
              <w:jc w:val="right"/>
              <w:rPr>
                <w:rFonts w:ascii="宋体"/>
              </w:rPr>
            </w:pPr>
          </w:p>
        </w:tc>
        <w:tc>
          <w:tcPr>
            <w:tcW w:w="0" w:type="auto"/>
            <w:gridSpan w:val="3"/>
            <w:shd w:val="clear" w:color="auto" w:fill="auto"/>
            <w:vAlign w:val="bottom"/>
          </w:tcPr>
          <w:p w14:paraId="5F2CC0DC" w14:textId="77777777" w:rsidR="00E836FB" w:rsidRDefault="00E836FB">
            <w:pPr>
              <w:rPr>
                <w:rFonts w:ascii="宋体"/>
                <w:vanish/>
              </w:rPr>
            </w:pPr>
          </w:p>
        </w:tc>
        <w:tc>
          <w:tcPr>
            <w:tcW w:w="0" w:type="auto"/>
            <w:gridSpan w:val="3"/>
            <w:shd w:val="clear" w:color="auto" w:fill="auto"/>
            <w:vAlign w:val="bottom"/>
          </w:tcPr>
          <w:p w14:paraId="5F2CC0DD" w14:textId="77777777" w:rsidR="00E836FB" w:rsidRDefault="00E836FB">
            <w:pPr>
              <w:rPr>
                <w:rFonts w:ascii="宋体"/>
                <w:vanish/>
              </w:rPr>
            </w:pPr>
          </w:p>
        </w:tc>
      </w:tr>
      <w:tr w:rsidR="00E836FB" w14:paraId="5F2CC0EA" w14:textId="77777777">
        <w:tc>
          <w:tcPr>
            <w:tcW w:w="0" w:type="auto"/>
            <w:gridSpan w:val="3"/>
            <w:shd w:val="clear" w:color="auto" w:fill="CCEEFF"/>
            <w:tcMar>
              <w:top w:w="40" w:type="dxa"/>
              <w:left w:w="140" w:type="dxa"/>
              <w:bottom w:w="40" w:type="dxa"/>
              <w:right w:w="20" w:type="dxa"/>
            </w:tcMar>
            <w:vAlign w:val="bottom"/>
          </w:tcPr>
          <w:p w14:paraId="5F2CC0DF" w14:textId="77777777" w:rsidR="00E836FB" w:rsidRDefault="00994958">
            <w:pPr>
              <w:textAlignment w:val="bottom"/>
            </w:pPr>
            <w:r>
              <w:rPr>
                <w:rFonts w:ascii="Arial" w:eastAsia="宋体" w:hAnsi="Arial" w:cs="Arial"/>
                <w:color w:val="000000"/>
                <w:sz w:val="14"/>
                <w:szCs w:val="14"/>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5F2CC0E0" w14:textId="77777777" w:rsidR="00E836FB" w:rsidRDefault="00994958">
            <w:pPr>
              <w:jc w:val="right"/>
              <w:textAlignment w:val="bottom"/>
            </w:pPr>
            <w:r>
              <w:rPr>
                <w:rFonts w:ascii="Arial" w:eastAsia="宋体" w:hAnsi="Arial" w:cs="Arial"/>
                <w:b/>
                <w:bCs/>
                <w:color w:val="000000"/>
                <w:sz w:val="14"/>
                <w:szCs w:val="14"/>
              </w:rPr>
              <w:t>314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0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E3" w14:textId="77777777" w:rsidR="00E836FB" w:rsidRDefault="00994958">
            <w:pPr>
              <w:jc w:val="right"/>
              <w:textAlignment w:val="bottom"/>
            </w:pPr>
            <w:r>
              <w:rPr>
                <w:rFonts w:ascii="Arial" w:eastAsia="宋体" w:hAnsi="Arial" w:cs="Arial"/>
                <w:color w:val="000000"/>
                <w:sz w:val="14"/>
                <w:szCs w:val="14"/>
              </w:rPr>
              <w:t>8,183 </w:t>
            </w:r>
          </w:p>
        </w:tc>
        <w:tc>
          <w:tcPr>
            <w:tcW w:w="0" w:type="auto"/>
            <w:shd w:val="clear" w:color="auto" w:fill="CCEEFF"/>
            <w:tcMar>
              <w:top w:w="40" w:type="dxa"/>
              <w:left w:w="0" w:type="dxa"/>
              <w:bottom w:w="40" w:type="dxa"/>
              <w:right w:w="20" w:type="dxa"/>
            </w:tcMar>
            <w:vAlign w:val="bottom"/>
          </w:tcPr>
          <w:p w14:paraId="5F2CC0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E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0E7" w14:textId="77777777" w:rsidR="00E836FB" w:rsidRDefault="00E836FB">
            <w:pPr>
              <w:jc w:val="right"/>
              <w:rPr>
                <w:rFonts w:ascii="宋体"/>
              </w:rPr>
            </w:pPr>
          </w:p>
        </w:tc>
        <w:tc>
          <w:tcPr>
            <w:tcW w:w="0" w:type="auto"/>
            <w:gridSpan w:val="3"/>
            <w:shd w:val="clear" w:color="auto" w:fill="auto"/>
            <w:vAlign w:val="bottom"/>
          </w:tcPr>
          <w:p w14:paraId="5F2CC0E8" w14:textId="77777777" w:rsidR="00E836FB" w:rsidRDefault="00E836FB">
            <w:pPr>
              <w:rPr>
                <w:rFonts w:ascii="宋体"/>
                <w:vanish/>
              </w:rPr>
            </w:pPr>
          </w:p>
        </w:tc>
        <w:tc>
          <w:tcPr>
            <w:tcW w:w="0" w:type="auto"/>
            <w:gridSpan w:val="3"/>
            <w:shd w:val="clear" w:color="auto" w:fill="auto"/>
            <w:vAlign w:val="bottom"/>
          </w:tcPr>
          <w:p w14:paraId="5F2CC0E9" w14:textId="77777777" w:rsidR="00E836FB" w:rsidRDefault="00E836FB">
            <w:pPr>
              <w:rPr>
                <w:rFonts w:ascii="宋体"/>
                <w:vanish/>
              </w:rPr>
            </w:pPr>
          </w:p>
        </w:tc>
      </w:tr>
      <w:tr w:rsidR="00E836FB" w14:paraId="5F2CC0F6" w14:textId="77777777">
        <w:tc>
          <w:tcPr>
            <w:tcW w:w="0" w:type="auto"/>
            <w:gridSpan w:val="3"/>
            <w:shd w:val="clear" w:color="auto" w:fill="FFFFFF"/>
            <w:tcMar>
              <w:top w:w="40" w:type="dxa"/>
              <w:left w:w="20" w:type="dxa"/>
              <w:bottom w:w="40" w:type="dxa"/>
              <w:right w:w="20" w:type="dxa"/>
            </w:tcMar>
            <w:vAlign w:val="bottom"/>
          </w:tcPr>
          <w:p w14:paraId="5F2CC0EB" w14:textId="77777777" w:rsidR="00E836FB" w:rsidRDefault="00994958">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0EC" w14:textId="77777777" w:rsidR="00E836FB" w:rsidRDefault="00994958">
            <w:pPr>
              <w:jc w:val="right"/>
              <w:textAlignment w:val="bottom"/>
            </w:pPr>
            <w:r>
              <w:rPr>
                <w:rFonts w:ascii="Arial" w:eastAsia="宋体" w:hAnsi="Arial" w:cs="Arial"/>
                <w:b/>
                <w:bCs/>
                <w:color w:val="000000"/>
                <w:sz w:val="14"/>
                <w:szCs w:val="14"/>
              </w:rPr>
              <w:t>111,730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0E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0E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0EF" w14:textId="77777777" w:rsidR="00E836FB" w:rsidRDefault="00994958">
            <w:pPr>
              <w:jc w:val="right"/>
              <w:textAlignment w:val="bottom"/>
            </w:pPr>
            <w:r>
              <w:rPr>
                <w:rFonts w:ascii="Arial" w:eastAsia="宋体" w:hAnsi="Arial" w:cs="Arial"/>
                <w:color w:val="000000"/>
                <w:sz w:val="14"/>
                <w:szCs w:val="14"/>
              </w:rPr>
              <w:t>109,175 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0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0F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0F2" w14:textId="77777777" w:rsidR="00E836FB" w:rsidRDefault="00994958">
            <w:pPr>
              <w:jc w:val="right"/>
              <w:textAlignment w:val="bottom"/>
            </w:pPr>
            <w:r>
              <w:rPr>
                <w:rFonts w:ascii="Arial" w:eastAsia="宋体" w:hAnsi="Arial" w:cs="Arial"/>
                <w:color w:val="000000"/>
                <w:sz w:val="14"/>
                <w:szCs w:val="14"/>
              </w:rPr>
              <w:t>91,768 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0F3" w14:textId="77777777" w:rsidR="00E836FB" w:rsidRDefault="00E836FB">
            <w:pPr>
              <w:jc w:val="right"/>
              <w:rPr>
                <w:rFonts w:ascii="宋体"/>
              </w:rPr>
            </w:pPr>
          </w:p>
        </w:tc>
        <w:tc>
          <w:tcPr>
            <w:tcW w:w="0" w:type="auto"/>
            <w:gridSpan w:val="3"/>
            <w:shd w:val="clear" w:color="auto" w:fill="auto"/>
            <w:vAlign w:val="bottom"/>
          </w:tcPr>
          <w:p w14:paraId="5F2CC0F4" w14:textId="77777777" w:rsidR="00E836FB" w:rsidRDefault="00E836FB">
            <w:pPr>
              <w:rPr>
                <w:rFonts w:ascii="宋体"/>
                <w:vanish/>
              </w:rPr>
            </w:pPr>
          </w:p>
        </w:tc>
        <w:tc>
          <w:tcPr>
            <w:tcW w:w="0" w:type="auto"/>
            <w:gridSpan w:val="3"/>
            <w:shd w:val="clear" w:color="auto" w:fill="auto"/>
            <w:vAlign w:val="bottom"/>
          </w:tcPr>
          <w:p w14:paraId="5F2CC0F5" w14:textId="77777777" w:rsidR="00E836FB" w:rsidRDefault="00E836FB">
            <w:pPr>
              <w:rPr>
                <w:rFonts w:ascii="宋体"/>
                <w:vanish/>
              </w:rPr>
            </w:pPr>
          </w:p>
        </w:tc>
      </w:tr>
      <w:tr w:rsidR="00E836FB" w14:paraId="5F2CC102" w14:textId="77777777">
        <w:tc>
          <w:tcPr>
            <w:tcW w:w="0" w:type="auto"/>
            <w:gridSpan w:val="3"/>
            <w:shd w:val="clear" w:color="auto" w:fill="CCEEFF"/>
            <w:tcMar>
              <w:top w:w="40" w:type="dxa"/>
              <w:left w:w="20" w:type="dxa"/>
              <w:bottom w:w="40" w:type="dxa"/>
              <w:right w:w="20" w:type="dxa"/>
            </w:tcMar>
            <w:vAlign w:val="bottom"/>
          </w:tcPr>
          <w:p w14:paraId="5F2CC0F7" w14:textId="77777777" w:rsidR="00E836FB" w:rsidRDefault="00994958">
            <w:pPr>
              <w:textAlignment w:val="bottom"/>
            </w:pPr>
            <w:r>
              <w:rPr>
                <w:rFonts w:ascii="Arial" w:eastAsia="宋体" w:hAnsi="Arial" w:cs="Arial"/>
                <w:color w:val="000000"/>
                <w:sz w:val="14"/>
                <w:szCs w:val="14"/>
              </w:rPr>
              <w:t>Loans</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5F2CC0F8" w14:textId="77777777" w:rsidR="00E836FB" w:rsidRDefault="00994958">
            <w:pPr>
              <w:jc w:val="right"/>
              <w:textAlignment w:val="bottom"/>
            </w:pPr>
            <w:r>
              <w:rPr>
                <w:rFonts w:ascii="Arial" w:eastAsia="宋体" w:hAnsi="Arial" w:cs="Arial"/>
                <w:b/>
                <w:bCs/>
                <w:color w:val="000000"/>
                <w:sz w:val="14"/>
                <w:szCs w:val="14"/>
              </w:rPr>
              <w:t>31,009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0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FB" w14:textId="77777777" w:rsidR="00E836FB" w:rsidRDefault="00994958">
            <w:pPr>
              <w:jc w:val="right"/>
              <w:textAlignment w:val="bottom"/>
            </w:pPr>
            <w:r>
              <w:rPr>
                <w:rFonts w:ascii="Arial" w:eastAsia="宋体" w:hAnsi="Arial" w:cs="Arial"/>
                <w:color w:val="000000"/>
                <w:sz w:val="14"/>
                <w:szCs w:val="14"/>
              </w:rPr>
              <w:t>27,525 </w:t>
            </w:r>
          </w:p>
        </w:tc>
        <w:tc>
          <w:tcPr>
            <w:tcW w:w="0" w:type="auto"/>
            <w:shd w:val="clear" w:color="auto" w:fill="CCEEFF"/>
            <w:tcMar>
              <w:top w:w="40" w:type="dxa"/>
              <w:left w:w="0" w:type="dxa"/>
              <w:bottom w:w="40" w:type="dxa"/>
              <w:right w:w="20" w:type="dxa"/>
            </w:tcMar>
            <w:vAlign w:val="bottom"/>
          </w:tcPr>
          <w:p w14:paraId="5F2CC0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0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0FE" w14:textId="77777777" w:rsidR="00E836FB" w:rsidRDefault="00994958">
            <w:pPr>
              <w:jc w:val="right"/>
              <w:textAlignment w:val="bottom"/>
            </w:pPr>
            <w:r>
              <w:rPr>
                <w:rFonts w:ascii="Arial" w:eastAsia="宋体" w:hAnsi="Arial" w:cs="Arial"/>
                <w:color w:val="000000"/>
                <w:sz w:val="14"/>
                <w:szCs w:val="14"/>
              </w:rPr>
              <w:t>24,073 </w:t>
            </w:r>
          </w:p>
        </w:tc>
        <w:tc>
          <w:tcPr>
            <w:tcW w:w="0" w:type="auto"/>
            <w:shd w:val="clear" w:color="auto" w:fill="CCEEFF"/>
            <w:tcMar>
              <w:top w:w="40" w:type="dxa"/>
              <w:left w:w="0" w:type="dxa"/>
              <w:bottom w:w="40" w:type="dxa"/>
              <w:right w:w="20" w:type="dxa"/>
            </w:tcMar>
            <w:vAlign w:val="bottom"/>
          </w:tcPr>
          <w:p w14:paraId="5F2CC0FF" w14:textId="77777777" w:rsidR="00E836FB" w:rsidRDefault="00E836FB">
            <w:pPr>
              <w:jc w:val="right"/>
              <w:rPr>
                <w:rFonts w:ascii="宋体"/>
              </w:rPr>
            </w:pPr>
          </w:p>
        </w:tc>
        <w:tc>
          <w:tcPr>
            <w:tcW w:w="0" w:type="auto"/>
            <w:gridSpan w:val="3"/>
            <w:shd w:val="clear" w:color="auto" w:fill="auto"/>
            <w:vAlign w:val="bottom"/>
          </w:tcPr>
          <w:p w14:paraId="5F2CC100" w14:textId="77777777" w:rsidR="00E836FB" w:rsidRDefault="00E836FB">
            <w:pPr>
              <w:rPr>
                <w:rFonts w:ascii="宋体"/>
                <w:vanish/>
              </w:rPr>
            </w:pPr>
          </w:p>
        </w:tc>
        <w:tc>
          <w:tcPr>
            <w:tcW w:w="0" w:type="auto"/>
            <w:gridSpan w:val="3"/>
            <w:shd w:val="clear" w:color="auto" w:fill="auto"/>
            <w:vAlign w:val="bottom"/>
          </w:tcPr>
          <w:p w14:paraId="5F2CC101" w14:textId="77777777" w:rsidR="00E836FB" w:rsidRDefault="00E836FB">
            <w:pPr>
              <w:rPr>
                <w:rFonts w:ascii="宋体"/>
                <w:vanish/>
              </w:rPr>
            </w:pPr>
          </w:p>
        </w:tc>
      </w:tr>
      <w:tr w:rsidR="00E836FB" w14:paraId="5F2CC10E" w14:textId="77777777">
        <w:tc>
          <w:tcPr>
            <w:tcW w:w="0" w:type="auto"/>
            <w:gridSpan w:val="3"/>
            <w:shd w:val="clear" w:color="auto" w:fill="FFFFFF"/>
            <w:tcMar>
              <w:top w:w="40" w:type="dxa"/>
              <w:left w:w="20" w:type="dxa"/>
              <w:bottom w:w="40" w:type="dxa"/>
              <w:right w:w="20" w:type="dxa"/>
            </w:tcMar>
            <w:vAlign w:val="bottom"/>
          </w:tcPr>
          <w:p w14:paraId="5F2CC103" w14:textId="77777777" w:rsidR="00E836FB" w:rsidRDefault="00994958">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5F2CC104" w14:textId="77777777" w:rsidR="00E836FB" w:rsidRDefault="00994958">
            <w:pPr>
              <w:jc w:val="right"/>
              <w:textAlignment w:val="bottom"/>
            </w:pPr>
            <w:r>
              <w:rPr>
                <w:rFonts w:ascii="Arial" w:eastAsia="宋体" w:hAnsi="Arial" w:cs="Arial"/>
                <w:b/>
                <w:bCs/>
                <w:color w:val="000000"/>
                <w:sz w:val="14"/>
                <w:szCs w:val="14"/>
              </w:rPr>
              <w:t>22,355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07" w14:textId="77777777" w:rsidR="00E836FB" w:rsidRDefault="00994958">
            <w:pPr>
              <w:jc w:val="right"/>
              <w:textAlignment w:val="bottom"/>
            </w:pPr>
            <w:r>
              <w:rPr>
                <w:rFonts w:ascii="Arial" w:eastAsia="宋体" w:hAnsi="Arial" w:cs="Arial"/>
                <w:color w:val="000000"/>
                <w:sz w:val="14"/>
                <w:szCs w:val="14"/>
              </w:rPr>
              <w:t>11,256 </w:t>
            </w:r>
          </w:p>
        </w:tc>
        <w:tc>
          <w:tcPr>
            <w:tcW w:w="0" w:type="auto"/>
            <w:shd w:val="clear" w:color="auto" w:fill="FFFFFF"/>
            <w:tcMar>
              <w:top w:w="40" w:type="dxa"/>
              <w:left w:w="0" w:type="dxa"/>
              <w:bottom w:w="40" w:type="dxa"/>
              <w:right w:w="20" w:type="dxa"/>
            </w:tcMar>
            <w:vAlign w:val="bottom"/>
          </w:tcPr>
          <w:p w14:paraId="5F2CC1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0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0A" w14:textId="77777777" w:rsidR="00E836FB" w:rsidRDefault="00994958">
            <w:pPr>
              <w:jc w:val="right"/>
              <w:textAlignment w:val="bottom"/>
            </w:pPr>
            <w:r>
              <w:rPr>
                <w:rFonts w:ascii="Arial" w:eastAsia="宋体" w:hAnsi="Arial" w:cs="Arial"/>
                <w:color w:val="000000"/>
                <w:sz w:val="14"/>
                <w:szCs w:val="14"/>
              </w:rPr>
              <w:t>14,160 </w:t>
            </w:r>
          </w:p>
        </w:tc>
        <w:tc>
          <w:tcPr>
            <w:tcW w:w="0" w:type="auto"/>
            <w:shd w:val="clear" w:color="auto" w:fill="FFFFFF"/>
            <w:tcMar>
              <w:top w:w="40" w:type="dxa"/>
              <w:left w:w="0" w:type="dxa"/>
              <w:bottom w:w="40" w:type="dxa"/>
              <w:right w:w="20" w:type="dxa"/>
            </w:tcMar>
            <w:vAlign w:val="bottom"/>
          </w:tcPr>
          <w:p w14:paraId="5F2CC10B" w14:textId="77777777" w:rsidR="00E836FB" w:rsidRDefault="00E836FB">
            <w:pPr>
              <w:jc w:val="right"/>
              <w:rPr>
                <w:rFonts w:ascii="宋体"/>
              </w:rPr>
            </w:pPr>
          </w:p>
        </w:tc>
        <w:tc>
          <w:tcPr>
            <w:tcW w:w="0" w:type="auto"/>
            <w:gridSpan w:val="3"/>
            <w:shd w:val="clear" w:color="auto" w:fill="auto"/>
            <w:vAlign w:val="bottom"/>
          </w:tcPr>
          <w:p w14:paraId="5F2CC10C" w14:textId="77777777" w:rsidR="00E836FB" w:rsidRDefault="00E836FB">
            <w:pPr>
              <w:rPr>
                <w:rFonts w:ascii="宋体"/>
                <w:vanish/>
              </w:rPr>
            </w:pPr>
          </w:p>
        </w:tc>
        <w:tc>
          <w:tcPr>
            <w:tcW w:w="0" w:type="auto"/>
            <w:gridSpan w:val="3"/>
            <w:shd w:val="clear" w:color="auto" w:fill="auto"/>
            <w:vAlign w:val="bottom"/>
          </w:tcPr>
          <w:p w14:paraId="5F2CC10D" w14:textId="77777777" w:rsidR="00E836FB" w:rsidRDefault="00E836FB">
            <w:pPr>
              <w:rPr>
                <w:rFonts w:ascii="宋体"/>
                <w:vanish/>
              </w:rPr>
            </w:pPr>
          </w:p>
        </w:tc>
      </w:tr>
      <w:tr w:rsidR="00E836FB" w14:paraId="5F2CC11A" w14:textId="77777777">
        <w:tc>
          <w:tcPr>
            <w:tcW w:w="0" w:type="auto"/>
            <w:gridSpan w:val="3"/>
            <w:shd w:val="clear" w:color="auto" w:fill="CCEEFF"/>
            <w:tcMar>
              <w:top w:w="40" w:type="dxa"/>
              <w:left w:w="245" w:type="dxa"/>
              <w:bottom w:w="40" w:type="dxa"/>
              <w:right w:w="20" w:type="dxa"/>
            </w:tcMar>
            <w:vAlign w:val="bottom"/>
          </w:tcPr>
          <w:p w14:paraId="5F2CC10F" w14:textId="77777777" w:rsidR="00E836FB" w:rsidRDefault="00994958">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10" w14:textId="77777777" w:rsidR="00E836FB" w:rsidRDefault="00994958">
            <w:pPr>
              <w:jc w:val="right"/>
              <w:textAlignment w:val="bottom"/>
            </w:pPr>
            <w:r>
              <w:rPr>
                <w:rFonts w:ascii="Arial" w:eastAsia="宋体" w:hAnsi="Arial" w:cs="Arial"/>
                <w:b/>
                <w:bCs/>
                <w:color w:val="000000"/>
                <w:sz w:val="14"/>
                <w:szCs w:val="14"/>
              </w:rPr>
              <w:t>260,035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1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13" w14:textId="77777777" w:rsidR="00E836FB" w:rsidRDefault="00994958">
            <w:pPr>
              <w:jc w:val="right"/>
              <w:textAlignment w:val="bottom"/>
            </w:pPr>
            <w:r>
              <w:rPr>
                <w:rFonts w:ascii="Arial" w:eastAsia="宋体" w:hAnsi="Arial" w:cs="Arial"/>
                <w:color w:val="000000"/>
                <w:sz w:val="14"/>
                <w:szCs w:val="14"/>
              </w:rPr>
              <w:t>228,874 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1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16" w14:textId="77777777" w:rsidR="00E836FB" w:rsidRDefault="00994958">
            <w:pPr>
              <w:jc w:val="right"/>
              <w:textAlignment w:val="bottom"/>
            </w:pPr>
            <w:r>
              <w:rPr>
                <w:rFonts w:ascii="Arial" w:eastAsia="宋体" w:hAnsi="Arial" w:cs="Arial"/>
                <w:color w:val="000000"/>
                <w:sz w:val="14"/>
                <w:szCs w:val="14"/>
              </w:rPr>
              <w:t>181,891 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17" w14:textId="77777777" w:rsidR="00E836FB" w:rsidRDefault="00E836FB">
            <w:pPr>
              <w:jc w:val="right"/>
              <w:rPr>
                <w:rFonts w:ascii="宋体"/>
              </w:rPr>
            </w:pPr>
          </w:p>
        </w:tc>
        <w:tc>
          <w:tcPr>
            <w:tcW w:w="0" w:type="auto"/>
            <w:gridSpan w:val="3"/>
            <w:shd w:val="clear" w:color="auto" w:fill="auto"/>
            <w:vAlign w:val="bottom"/>
          </w:tcPr>
          <w:p w14:paraId="5F2CC118" w14:textId="77777777" w:rsidR="00E836FB" w:rsidRDefault="00E836FB">
            <w:pPr>
              <w:rPr>
                <w:rFonts w:ascii="宋体"/>
                <w:vanish/>
              </w:rPr>
            </w:pPr>
          </w:p>
        </w:tc>
        <w:tc>
          <w:tcPr>
            <w:tcW w:w="0" w:type="auto"/>
            <w:gridSpan w:val="3"/>
            <w:shd w:val="clear" w:color="auto" w:fill="auto"/>
            <w:vAlign w:val="bottom"/>
          </w:tcPr>
          <w:p w14:paraId="5F2CC119" w14:textId="77777777" w:rsidR="00E836FB" w:rsidRDefault="00E836FB">
            <w:pPr>
              <w:rPr>
                <w:rFonts w:ascii="宋体"/>
                <w:vanish/>
              </w:rPr>
            </w:pPr>
          </w:p>
        </w:tc>
      </w:tr>
      <w:tr w:rsidR="00E836FB" w14:paraId="5F2CC126" w14:textId="77777777">
        <w:tc>
          <w:tcPr>
            <w:tcW w:w="0" w:type="auto"/>
            <w:gridSpan w:val="3"/>
            <w:shd w:val="clear" w:color="auto" w:fill="FFFFFF"/>
            <w:tcMar>
              <w:top w:w="40" w:type="dxa"/>
              <w:left w:w="20" w:type="dxa"/>
              <w:bottom w:w="40" w:type="dxa"/>
              <w:right w:w="20" w:type="dxa"/>
            </w:tcMar>
            <w:vAlign w:val="bottom"/>
          </w:tcPr>
          <w:p w14:paraId="5F2CC11B" w14:textId="77777777" w:rsidR="00E836FB" w:rsidRDefault="00994958">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5F2CC11C" w14:textId="77777777" w:rsidR="00E836FB" w:rsidRDefault="00994958">
            <w:pPr>
              <w:jc w:val="right"/>
              <w:textAlignment w:val="bottom"/>
            </w:pPr>
            <w:r>
              <w:rPr>
                <w:rFonts w:ascii="Arial" w:eastAsia="宋体" w:hAnsi="Arial" w:cs="Arial"/>
                <w:b/>
                <w:bCs/>
                <w:color w:val="000000"/>
                <w:sz w:val="14"/>
                <w:szCs w:val="14"/>
              </w:rPr>
              <w:t>5,057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1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1F" w14:textId="77777777" w:rsidR="00E836FB" w:rsidRDefault="00994958">
            <w:pPr>
              <w:jc w:val="right"/>
              <w:textAlignment w:val="bottom"/>
            </w:pPr>
            <w:r>
              <w:rPr>
                <w:rFonts w:ascii="Arial" w:eastAsia="宋体" w:hAnsi="Arial" w:cs="Arial"/>
                <w:color w:val="000000"/>
                <w:sz w:val="14"/>
                <w:szCs w:val="14"/>
              </w:rPr>
              <w:t>3,849 </w:t>
            </w:r>
          </w:p>
        </w:tc>
        <w:tc>
          <w:tcPr>
            <w:tcW w:w="0" w:type="auto"/>
            <w:shd w:val="clear" w:color="auto" w:fill="FFFFFF"/>
            <w:tcMar>
              <w:top w:w="40" w:type="dxa"/>
              <w:left w:w="0" w:type="dxa"/>
              <w:bottom w:w="40" w:type="dxa"/>
              <w:right w:w="20" w:type="dxa"/>
            </w:tcMar>
            <w:vAlign w:val="bottom"/>
          </w:tcPr>
          <w:p w14:paraId="5F2CC1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2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22" w14:textId="77777777" w:rsidR="00E836FB" w:rsidRDefault="00994958">
            <w:pPr>
              <w:jc w:val="right"/>
              <w:textAlignment w:val="bottom"/>
            </w:pPr>
            <w:r>
              <w:rPr>
                <w:rFonts w:ascii="Arial" w:eastAsia="宋体" w:hAnsi="Arial" w:cs="Arial"/>
                <w:color w:val="000000"/>
                <w:sz w:val="14"/>
                <w:szCs w:val="14"/>
              </w:rPr>
              <w:t>3,390 </w:t>
            </w:r>
          </w:p>
        </w:tc>
        <w:tc>
          <w:tcPr>
            <w:tcW w:w="0" w:type="auto"/>
            <w:shd w:val="clear" w:color="auto" w:fill="FFFFFF"/>
            <w:tcMar>
              <w:top w:w="40" w:type="dxa"/>
              <w:left w:w="0" w:type="dxa"/>
              <w:bottom w:w="40" w:type="dxa"/>
              <w:right w:w="20" w:type="dxa"/>
            </w:tcMar>
            <w:vAlign w:val="bottom"/>
          </w:tcPr>
          <w:p w14:paraId="5F2CC123" w14:textId="77777777" w:rsidR="00E836FB" w:rsidRDefault="00E836FB">
            <w:pPr>
              <w:jc w:val="right"/>
              <w:rPr>
                <w:rFonts w:ascii="宋体"/>
              </w:rPr>
            </w:pPr>
          </w:p>
        </w:tc>
        <w:tc>
          <w:tcPr>
            <w:tcW w:w="0" w:type="auto"/>
            <w:gridSpan w:val="3"/>
            <w:shd w:val="clear" w:color="auto" w:fill="auto"/>
            <w:vAlign w:val="bottom"/>
          </w:tcPr>
          <w:p w14:paraId="5F2CC124" w14:textId="77777777" w:rsidR="00E836FB" w:rsidRDefault="00E836FB">
            <w:pPr>
              <w:rPr>
                <w:rFonts w:ascii="宋体"/>
                <w:vanish/>
              </w:rPr>
            </w:pPr>
          </w:p>
        </w:tc>
        <w:tc>
          <w:tcPr>
            <w:tcW w:w="0" w:type="auto"/>
            <w:gridSpan w:val="3"/>
            <w:shd w:val="clear" w:color="auto" w:fill="auto"/>
            <w:vAlign w:val="bottom"/>
          </w:tcPr>
          <w:p w14:paraId="5F2CC125" w14:textId="77777777" w:rsidR="00E836FB" w:rsidRDefault="00E836FB">
            <w:pPr>
              <w:rPr>
                <w:rFonts w:ascii="宋体"/>
                <w:vanish/>
              </w:rPr>
            </w:pPr>
          </w:p>
        </w:tc>
      </w:tr>
      <w:tr w:rsidR="00E836FB" w14:paraId="5F2CC132" w14:textId="77777777">
        <w:tc>
          <w:tcPr>
            <w:tcW w:w="0" w:type="auto"/>
            <w:gridSpan w:val="3"/>
            <w:shd w:val="clear" w:color="auto" w:fill="CCEEFF"/>
            <w:tcMar>
              <w:top w:w="40" w:type="dxa"/>
              <w:left w:w="20" w:type="dxa"/>
              <w:bottom w:w="40" w:type="dxa"/>
              <w:right w:w="20" w:type="dxa"/>
            </w:tcMar>
            <w:vAlign w:val="bottom"/>
          </w:tcPr>
          <w:p w14:paraId="5F2CC127" w14:textId="77777777" w:rsidR="00E836FB" w:rsidRDefault="00994958">
            <w:pPr>
              <w:textAlignment w:val="bottom"/>
            </w:pPr>
            <w:r>
              <w:rPr>
                <w:rFonts w:ascii="Arial" w:eastAsia="宋体" w:hAnsi="Arial" w:cs="Arial"/>
                <w:color w:val="000000"/>
                <w:sz w:val="14"/>
                <w:szCs w:val="14"/>
              </w:rPr>
              <w:t>Other non-interest-earning assets</w:t>
            </w:r>
          </w:p>
        </w:tc>
        <w:tc>
          <w:tcPr>
            <w:tcW w:w="0" w:type="auto"/>
            <w:gridSpan w:val="2"/>
            <w:shd w:val="clear" w:color="auto" w:fill="CCEEFF"/>
            <w:tcMar>
              <w:top w:w="40" w:type="dxa"/>
              <w:left w:w="20" w:type="dxa"/>
              <w:bottom w:w="40" w:type="dxa"/>
              <w:right w:w="0" w:type="dxa"/>
            </w:tcMar>
            <w:vAlign w:val="bottom"/>
          </w:tcPr>
          <w:p w14:paraId="5F2CC128" w14:textId="77777777" w:rsidR="00E836FB" w:rsidRDefault="00994958">
            <w:pPr>
              <w:jc w:val="right"/>
              <w:textAlignment w:val="bottom"/>
            </w:pPr>
            <w:r>
              <w:rPr>
                <w:rFonts w:ascii="Arial" w:eastAsia="宋体" w:hAnsi="Arial" w:cs="Arial"/>
                <w:b/>
                <w:bCs/>
                <w:color w:val="000000"/>
                <w:sz w:val="14"/>
                <w:szCs w:val="14"/>
              </w:rPr>
              <w:t>34,651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12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2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2B" w14:textId="77777777" w:rsidR="00E836FB" w:rsidRDefault="00994958">
            <w:pPr>
              <w:jc w:val="right"/>
              <w:textAlignment w:val="bottom"/>
            </w:pPr>
            <w:r>
              <w:rPr>
                <w:rFonts w:ascii="Arial" w:eastAsia="宋体" w:hAnsi="Arial" w:cs="Arial"/>
                <w:color w:val="000000"/>
                <w:sz w:val="14"/>
                <w:szCs w:val="14"/>
              </w:rPr>
              <w:t>36,611 </w:t>
            </w:r>
          </w:p>
        </w:tc>
        <w:tc>
          <w:tcPr>
            <w:tcW w:w="0" w:type="auto"/>
            <w:shd w:val="clear" w:color="auto" w:fill="CCEEFF"/>
            <w:tcMar>
              <w:top w:w="40" w:type="dxa"/>
              <w:left w:w="0" w:type="dxa"/>
              <w:bottom w:w="40" w:type="dxa"/>
              <w:right w:w="20" w:type="dxa"/>
            </w:tcMar>
            <w:vAlign w:val="bottom"/>
          </w:tcPr>
          <w:p w14:paraId="5F2CC1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2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2E" w14:textId="77777777" w:rsidR="00E836FB" w:rsidRDefault="00994958">
            <w:pPr>
              <w:jc w:val="right"/>
              <w:textAlignment w:val="bottom"/>
            </w:pPr>
            <w:r>
              <w:rPr>
                <w:rFonts w:ascii="Arial" w:eastAsia="宋体" w:hAnsi="Arial" w:cs="Arial"/>
                <w:color w:val="000000"/>
                <w:sz w:val="14"/>
                <w:szCs w:val="14"/>
              </w:rPr>
              <w:t>38,053 </w:t>
            </w:r>
          </w:p>
        </w:tc>
        <w:tc>
          <w:tcPr>
            <w:tcW w:w="0" w:type="auto"/>
            <w:shd w:val="clear" w:color="auto" w:fill="CCEEFF"/>
            <w:tcMar>
              <w:top w:w="40" w:type="dxa"/>
              <w:left w:w="0" w:type="dxa"/>
              <w:bottom w:w="40" w:type="dxa"/>
              <w:right w:w="20" w:type="dxa"/>
            </w:tcMar>
            <w:vAlign w:val="bottom"/>
          </w:tcPr>
          <w:p w14:paraId="5F2CC12F" w14:textId="77777777" w:rsidR="00E836FB" w:rsidRDefault="00E836FB">
            <w:pPr>
              <w:jc w:val="right"/>
              <w:rPr>
                <w:rFonts w:ascii="宋体"/>
              </w:rPr>
            </w:pPr>
          </w:p>
        </w:tc>
        <w:tc>
          <w:tcPr>
            <w:tcW w:w="0" w:type="auto"/>
            <w:gridSpan w:val="3"/>
            <w:shd w:val="clear" w:color="auto" w:fill="auto"/>
            <w:vAlign w:val="bottom"/>
          </w:tcPr>
          <w:p w14:paraId="5F2CC130" w14:textId="77777777" w:rsidR="00E836FB" w:rsidRDefault="00E836FB">
            <w:pPr>
              <w:rPr>
                <w:rFonts w:ascii="宋体"/>
                <w:vanish/>
              </w:rPr>
            </w:pPr>
          </w:p>
        </w:tc>
        <w:tc>
          <w:tcPr>
            <w:tcW w:w="0" w:type="auto"/>
            <w:gridSpan w:val="3"/>
            <w:shd w:val="clear" w:color="auto" w:fill="auto"/>
            <w:vAlign w:val="bottom"/>
          </w:tcPr>
          <w:p w14:paraId="5F2CC131" w14:textId="77777777" w:rsidR="00E836FB" w:rsidRDefault="00E836FB">
            <w:pPr>
              <w:rPr>
                <w:rFonts w:ascii="宋体"/>
                <w:vanish/>
              </w:rPr>
            </w:pPr>
          </w:p>
        </w:tc>
      </w:tr>
      <w:tr w:rsidR="00E836FB" w14:paraId="5F2CC141" w14:textId="77777777">
        <w:tc>
          <w:tcPr>
            <w:tcW w:w="0" w:type="auto"/>
            <w:gridSpan w:val="3"/>
            <w:shd w:val="clear" w:color="auto" w:fill="FFFFFF"/>
            <w:tcMar>
              <w:top w:w="40" w:type="dxa"/>
              <w:left w:w="245" w:type="dxa"/>
              <w:bottom w:w="40" w:type="dxa"/>
              <w:right w:w="20" w:type="dxa"/>
            </w:tcMar>
            <w:vAlign w:val="bottom"/>
          </w:tcPr>
          <w:p w14:paraId="5F2CC133" w14:textId="77777777" w:rsidR="00E836FB" w:rsidRDefault="00994958">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C13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135" w14:textId="77777777" w:rsidR="00E836FB" w:rsidRDefault="00994958">
            <w:pPr>
              <w:jc w:val="right"/>
              <w:textAlignment w:val="bottom"/>
            </w:pPr>
            <w:r>
              <w:rPr>
                <w:rFonts w:ascii="Arial" w:eastAsia="宋体" w:hAnsi="Arial" w:cs="Arial"/>
                <w:b/>
                <w:bCs/>
                <w:color w:val="000000"/>
                <w:sz w:val="14"/>
                <w:szCs w:val="14"/>
              </w:rPr>
              <w:t>299,743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1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3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13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139" w14:textId="77777777" w:rsidR="00E836FB" w:rsidRDefault="00994958">
            <w:pPr>
              <w:jc w:val="right"/>
              <w:textAlignment w:val="bottom"/>
            </w:pPr>
            <w:r>
              <w:rPr>
                <w:rFonts w:ascii="Arial" w:eastAsia="宋体" w:hAnsi="Arial" w:cs="Arial"/>
                <w:color w:val="000000"/>
                <w:sz w:val="14"/>
                <w:szCs w:val="14"/>
              </w:rPr>
              <w:t>269,334 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1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3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13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13D" w14:textId="77777777" w:rsidR="00E836FB" w:rsidRDefault="00994958">
            <w:pPr>
              <w:jc w:val="right"/>
              <w:textAlignment w:val="bottom"/>
            </w:pPr>
            <w:r>
              <w:rPr>
                <w:rFonts w:ascii="Arial" w:eastAsia="宋体" w:hAnsi="Arial" w:cs="Arial"/>
                <w:color w:val="000000"/>
                <w:sz w:val="14"/>
                <w:szCs w:val="14"/>
              </w:rPr>
              <w:t>223,334 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13E" w14:textId="77777777" w:rsidR="00E836FB" w:rsidRDefault="00E836FB">
            <w:pPr>
              <w:jc w:val="right"/>
              <w:rPr>
                <w:rFonts w:ascii="宋体"/>
              </w:rPr>
            </w:pPr>
          </w:p>
        </w:tc>
        <w:tc>
          <w:tcPr>
            <w:tcW w:w="0" w:type="auto"/>
            <w:gridSpan w:val="3"/>
            <w:shd w:val="clear" w:color="auto" w:fill="auto"/>
            <w:vAlign w:val="bottom"/>
          </w:tcPr>
          <w:p w14:paraId="5F2CC13F" w14:textId="77777777" w:rsidR="00E836FB" w:rsidRDefault="00E836FB">
            <w:pPr>
              <w:rPr>
                <w:rFonts w:ascii="宋体"/>
                <w:vanish/>
              </w:rPr>
            </w:pPr>
          </w:p>
        </w:tc>
        <w:tc>
          <w:tcPr>
            <w:tcW w:w="0" w:type="auto"/>
            <w:gridSpan w:val="3"/>
            <w:shd w:val="clear" w:color="auto" w:fill="auto"/>
            <w:vAlign w:val="bottom"/>
          </w:tcPr>
          <w:p w14:paraId="5F2CC140" w14:textId="77777777" w:rsidR="00E836FB" w:rsidRDefault="00E836FB">
            <w:pPr>
              <w:rPr>
                <w:rFonts w:ascii="宋体"/>
                <w:vanish/>
              </w:rPr>
            </w:pPr>
          </w:p>
        </w:tc>
      </w:tr>
      <w:tr w:rsidR="00E836FB" w14:paraId="5F2CC14A" w14:textId="77777777">
        <w:tc>
          <w:tcPr>
            <w:tcW w:w="0" w:type="auto"/>
            <w:gridSpan w:val="3"/>
            <w:shd w:val="clear" w:color="auto" w:fill="CCEEFF"/>
            <w:tcMar>
              <w:top w:w="40" w:type="dxa"/>
              <w:left w:w="20" w:type="dxa"/>
              <w:bottom w:w="40" w:type="dxa"/>
              <w:right w:w="20" w:type="dxa"/>
            </w:tcMar>
            <w:vAlign w:val="bottom"/>
          </w:tcPr>
          <w:p w14:paraId="5F2CC142" w14:textId="77777777" w:rsidR="00E836FB" w:rsidRDefault="00994958">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C14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144"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C14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146"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C147" w14:textId="77777777" w:rsidR="00E836FB" w:rsidRDefault="00E836FB">
            <w:pPr>
              <w:rPr>
                <w:rFonts w:ascii="宋体"/>
              </w:rPr>
            </w:pPr>
          </w:p>
        </w:tc>
        <w:tc>
          <w:tcPr>
            <w:tcW w:w="0" w:type="auto"/>
            <w:gridSpan w:val="3"/>
            <w:shd w:val="clear" w:color="auto" w:fill="auto"/>
            <w:vAlign w:val="bottom"/>
          </w:tcPr>
          <w:p w14:paraId="5F2CC148" w14:textId="77777777" w:rsidR="00E836FB" w:rsidRDefault="00E836FB">
            <w:pPr>
              <w:rPr>
                <w:rFonts w:ascii="宋体"/>
                <w:vanish/>
              </w:rPr>
            </w:pPr>
          </w:p>
        </w:tc>
        <w:tc>
          <w:tcPr>
            <w:tcW w:w="0" w:type="auto"/>
            <w:gridSpan w:val="3"/>
            <w:shd w:val="clear" w:color="auto" w:fill="auto"/>
            <w:vAlign w:val="bottom"/>
          </w:tcPr>
          <w:p w14:paraId="5F2CC149" w14:textId="77777777" w:rsidR="00E836FB" w:rsidRDefault="00E836FB">
            <w:pPr>
              <w:rPr>
                <w:rFonts w:ascii="宋体"/>
                <w:vanish/>
              </w:rPr>
            </w:pPr>
          </w:p>
        </w:tc>
      </w:tr>
      <w:tr w:rsidR="00E836FB" w14:paraId="5F2CC153" w14:textId="77777777">
        <w:tc>
          <w:tcPr>
            <w:tcW w:w="0" w:type="auto"/>
            <w:gridSpan w:val="3"/>
            <w:shd w:val="clear" w:color="auto" w:fill="auto"/>
            <w:tcMar>
              <w:top w:w="40" w:type="dxa"/>
              <w:left w:w="20" w:type="dxa"/>
              <w:bottom w:w="40" w:type="dxa"/>
              <w:right w:w="20" w:type="dxa"/>
            </w:tcMar>
            <w:vAlign w:val="bottom"/>
          </w:tcPr>
          <w:p w14:paraId="5F2CC14B" w14:textId="77777777" w:rsidR="00E836FB" w:rsidRDefault="00994958">
            <w:pPr>
              <w:textAlignment w:val="bottom"/>
            </w:pPr>
            <w:r>
              <w:rPr>
                <w:rFonts w:ascii="Arial" w:eastAsia="宋体" w:hAnsi="Arial" w:cs="Arial"/>
                <w:color w:val="000000"/>
                <w:sz w:val="14"/>
                <w:szCs w:val="14"/>
              </w:rPr>
              <w:t>Interest-bearing deposits:</w:t>
            </w:r>
          </w:p>
        </w:tc>
        <w:tc>
          <w:tcPr>
            <w:tcW w:w="0" w:type="auto"/>
            <w:gridSpan w:val="3"/>
            <w:shd w:val="clear" w:color="auto" w:fill="auto"/>
            <w:tcMar>
              <w:top w:w="0" w:type="dxa"/>
              <w:left w:w="20" w:type="dxa"/>
              <w:bottom w:w="0" w:type="dxa"/>
              <w:right w:w="20" w:type="dxa"/>
            </w:tcMar>
            <w:vAlign w:val="bottom"/>
          </w:tcPr>
          <w:p w14:paraId="5F2CC14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14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1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14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150" w14:textId="77777777" w:rsidR="00E836FB" w:rsidRDefault="00E836FB">
            <w:pPr>
              <w:rPr>
                <w:rFonts w:ascii="宋体"/>
              </w:rPr>
            </w:pPr>
          </w:p>
        </w:tc>
        <w:tc>
          <w:tcPr>
            <w:tcW w:w="0" w:type="auto"/>
            <w:gridSpan w:val="3"/>
            <w:shd w:val="clear" w:color="auto" w:fill="auto"/>
            <w:vAlign w:val="bottom"/>
          </w:tcPr>
          <w:p w14:paraId="5F2CC151" w14:textId="77777777" w:rsidR="00E836FB" w:rsidRDefault="00E836FB">
            <w:pPr>
              <w:rPr>
                <w:rFonts w:ascii="宋体"/>
                <w:vanish/>
              </w:rPr>
            </w:pPr>
          </w:p>
        </w:tc>
        <w:tc>
          <w:tcPr>
            <w:tcW w:w="0" w:type="auto"/>
            <w:gridSpan w:val="3"/>
            <w:shd w:val="clear" w:color="auto" w:fill="auto"/>
            <w:vAlign w:val="bottom"/>
          </w:tcPr>
          <w:p w14:paraId="5F2CC152" w14:textId="77777777" w:rsidR="00E836FB" w:rsidRDefault="00E836FB">
            <w:pPr>
              <w:rPr>
                <w:rFonts w:ascii="宋体"/>
                <w:vanish/>
              </w:rPr>
            </w:pPr>
          </w:p>
        </w:tc>
      </w:tr>
      <w:tr w:rsidR="00E836FB" w14:paraId="5F2CC162" w14:textId="77777777">
        <w:tc>
          <w:tcPr>
            <w:tcW w:w="0" w:type="auto"/>
            <w:gridSpan w:val="3"/>
            <w:shd w:val="clear" w:color="auto" w:fill="CCEEFF"/>
            <w:tcMar>
              <w:top w:w="40" w:type="dxa"/>
              <w:left w:w="245" w:type="dxa"/>
              <w:bottom w:w="40" w:type="dxa"/>
              <w:right w:w="20" w:type="dxa"/>
            </w:tcMar>
            <w:vAlign w:val="bottom"/>
          </w:tcPr>
          <w:p w14:paraId="5F2CC154" w14:textId="77777777" w:rsidR="00E836FB" w:rsidRDefault="00994958">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5F2CC155"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156" w14:textId="77777777" w:rsidR="00E836FB" w:rsidRDefault="00994958">
            <w:pPr>
              <w:jc w:val="right"/>
              <w:textAlignment w:val="bottom"/>
            </w:pPr>
            <w:r>
              <w:rPr>
                <w:rFonts w:ascii="Arial" w:eastAsia="宋体" w:hAnsi="Arial" w:cs="Arial"/>
                <w:b/>
                <w:bCs/>
                <w:color w:val="000000"/>
                <w:sz w:val="14"/>
                <w:szCs w:val="14"/>
              </w:rPr>
              <w:t>104,848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1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5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15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15A" w14:textId="77777777" w:rsidR="00E836FB" w:rsidRDefault="00994958">
            <w:pPr>
              <w:jc w:val="right"/>
              <w:textAlignment w:val="bottom"/>
            </w:pPr>
            <w:r>
              <w:rPr>
                <w:rFonts w:ascii="Arial" w:eastAsia="宋体" w:hAnsi="Arial" w:cs="Arial"/>
                <w:color w:val="000000"/>
                <w:sz w:val="14"/>
                <w:szCs w:val="14"/>
              </w:rPr>
              <w:t>87,444 </w:t>
            </w:r>
          </w:p>
        </w:tc>
        <w:tc>
          <w:tcPr>
            <w:tcW w:w="0" w:type="auto"/>
            <w:shd w:val="clear" w:color="auto" w:fill="CCEEFF"/>
            <w:tcMar>
              <w:top w:w="40" w:type="dxa"/>
              <w:left w:w="0" w:type="dxa"/>
              <w:bottom w:w="40" w:type="dxa"/>
              <w:right w:w="20" w:type="dxa"/>
            </w:tcMar>
            <w:vAlign w:val="bottom"/>
          </w:tcPr>
          <w:p w14:paraId="5F2CC1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5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15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15E" w14:textId="77777777" w:rsidR="00E836FB" w:rsidRDefault="00994958">
            <w:pPr>
              <w:jc w:val="right"/>
              <w:textAlignment w:val="bottom"/>
            </w:pPr>
            <w:r>
              <w:rPr>
                <w:rFonts w:ascii="Arial" w:eastAsia="宋体" w:hAnsi="Arial" w:cs="Arial"/>
                <w:color w:val="000000"/>
                <w:sz w:val="14"/>
                <w:szCs w:val="14"/>
              </w:rPr>
              <w:t>67,547 </w:t>
            </w:r>
          </w:p>
        </w:tc>
        <w:tc>
          <w:tcPr>
            <w:tcW w:w="0" w:type="auto"/>
            <w:shd w:val="clear" w:color="auto" w:fill="CCEEFF"/>
            <w:tcMar>
              <w:top w:w="40" w:type="dxa"/>
              <w:left w:w="0" w:type="dxa"/>
              <w:bottom w:w="40" w:type="dxa"/>
              <w:right w:w="20" w:type="dxa"/>
            </w:tcMar>
            <w:vAlign w:val="bottom"/>
          </w:tcPr>
          <w:p w14:paraId="5F2CC15F" w14:textId="77777777" w:rsidR="00E836FB" w:rsidRDefault="00E836FB">
            <w:pPr>
              <w:jc w:val="right"/>
              <w:rPr>
                <w:rFonts w:ascii="宋体"/>
              </w:rPr>
            </w:pPr>
          </w:p>
        </w:tc>
        <w:tc>
          <w:tcPr>
            <w:tcW w:w="0" w:type="auto"/>
            <w:gridSpan w:val="3"/>
            <w:shd w:val="clear" w:color="auto" w:fill="auto"/>
            <w:vAlign w:val="bottom"/>
          </w:tcPr>
          <w:p w14:paraId="5F2CC160" w14:textId="77777777" w:rsidR="00E836FB" w:rsidRDefault="00E836FB">
            <w:pPr>
              <w:rPr>
                <w:rFonts w:ascii="宋体"/>
                <w:vanish/>
              </w:rPr>
            </w:pPr>
          </w:p>
        </w:tc>
        <w:tc>
          <w:tcPr>
            <w:tcW w:w="0" w:type="auto"/>
            <w:gridSpan w:val="3"/>
            <w:shd w:val="clear" w:color="auto" w:fill="auto"/>
            <w:vAlign w:val="bottom"/>
          </w:tcPr>
          <w:p w14:paraId="5F2CC161" w14:textId="77777777" w:rsidR="00E836FB" w:rsidRDefault="00E836FB">
            <w:pPr>
              <w:rPr>
                <w:rFonts w:ascii="宋体"/>
                <w:vanish/>
              </w:rPr>
            </w:pPr>
          </w:p>
        </w:tc>
      </w:tr>
      <w:tr w:rsidR="00E836FB" w14:paraId="5F2CC16E" w14:textId="77777777">
        <w:tc>
          <w:tcPr>
            <w:tcW w:w="0" w:type="auto"/>
            <w:gridSpan w:val="3"/>
            <w:shd w:val="clear" w:color="auto" w:fill="FFFFFF"/>
            <w:tcMar>
              <w:top w:w="40" w:type="dxa"/>
              <w:left w:w="245" w:type="dxa"/>
              <w:bottom w:w="40" w:type="dxa"/>
              <w:right w:w="20" w:type="dxa"/>
            </w:tcMar>
            <w:vAlign w:val="bottom"/>
          </w:tcPr>
          <w:p w14:paraId="5F2CC163" w14:textId="77777777" w:rsidR="00E836FB" w:rsidRDefault="00994958">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5F2CC164" w14:textId="77777777" w:rsidR="00E836FB" w:rsidRDefault="00994958">
            <w:pPr>
              <w:jc w:val="right"/>
              <w:textAlignment w:val="bottom"/>
            </w:pPr>
            <w:r>
              <w:rPr>
                <w:rFonts w:ascii="Arial" w:eastAsia="宋体" w:hAnsi="Arial" w:cs="Arial"/>
                <w:b/>
                <w:bCs/>
                <w:color w:val="000000"/>
                <w:sz w:val="14"/>
                <w:szCs w:val="14"/>
              </w:rPr>
              <w:t>82,126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67" w14:textId="77777777" w:rsidR="00E836FB" w:rsidRDefault="00994958">
            <w:pPr>
              <w:jc w:val="right"/>
              <w:textAlignment w:val="bottom"/>
            </w:pPr>
            <w:r>
              <w:rPr>
                <w:rFonts w:ascii="Arial" w:eastAsia="宋体" w:hAnsi="Arial" w:cs="Arial"/>
                <w:color w:val="000000"/>
                <w:sz w:val="14"/>
                <w:szCs w:val="14"/>
              </w:rPr>
              <w:t>68,806 </w:t>
            </w:r>
          </w:p>
        </w:tc>
        <w:tc>
          <w:tcPr>
            <w:tcW w:w="0" w:type="auto"/>
            <w:shd w:val="clear" w:color="auto" w:fill="FFFFFF"/>
            <w:tcMar>
              <w:top w:w="40" w:type="dxa"/>
              <w:left w:w="0" w:type="dxa"/>
              <w:bottom w:w="40" w:type="dxa"/>
              <w:right w:w="20" w:type="dxa"/>
            </w:tcMar>
            <w:vAlign w:val="bottom"/>
          </w:tcPr>
          <w:p w14:paraId="5F2CC1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6A" w14:textId="77777777" w:rsidR="00E836FB" w:rsidRDefault="00994958">
            <w:pPr>
              <w:jc w:val="right"/>
              <w:textAlignment w:val="bottom"/>
            </w:pPr>
            <w:r>
              <w:rPr>
                <w:rFonts w:ascii="Arial" w:eastAsia="宋体" w:hAnsi="Arial" w:cs="Arial"/>
                <w:color w:val="000000"/>
                <w:sz w:val="14"/>
                <w:szCs w:val="14"/>
              </w:rPr>
              <w:t>61,301 </w:t>
            </w:r>
          </w:p>
        </w:tc>
        <w:tc>
          <w:tcPr>
            <w:tcW w:w="0" w:type="auto"/>
            <w:shd w:val="clear" w:color="auto" w:fill="FFFFFF"/>
            <w:tcMar>
              <w:top w:w="40" w:type="dxa"/>
              <w:left w:w="0" w:type="dxa"/>
              <w:bottom w:w="40" w:type="dxa"/>
              <w:right w:w="20" w:type="dxa"/>
            </w:tcMar>
            <w:vAlign w:val="bottom"/>
          </w:tcPr>
          <w:p w14:paraId="5F2CC16B" w14:textId="77777777" w:rsidR="00E836FB" w:rsidRDefault="00E836FB">
            <w:pPr>
              <w:jc w:val="right"/>
              <w:rPr>
                <w:rFonts w:ascii="宋体"/>
              </w:rPr>
            </w:pPr>
          </w:p>
        </w:tc>
        <w:tc>
          <w:tcPr>
            <w:tcW w:w="0" w:type="auto"/>
            <w:gridSpan w:val="3"/>
            <w:shd w:val="clear" w:color="auto" w:fill="auto"/>
            <w:vAlign w:val="bottom"/>
          </w:tcPr>
          <w:p w14:paraId="5F2CC16C" w14:textId="77777777" w:rsidR="00E836FB" w:rsidRDefault="00E836FB">
            <w:pPr>
              <w:rPr>
                <w:rFonts w:ascii="宋体"/>
                <w:vanish/>
              </w:rPr>
            </w:pPr>
          </w:p>
        </w:tc>
        <w:tc>
          <w:tcPr>
            <w:tcW w:w="0" w:type="auto"/>
            <w:gridSpan w:val="3"/>
            <w:shd w:val="clear" w:color="auto" w:fill="auto"/>
            <w:vAlign w:val="bottom"/>
          </w:tcPr>
          <w:p w14:paraId="5F2CC16D" w14:textId="77777777" w:rsidR="00E836FB" w:rsidRDefault="00E836FB">
            <w:pPr>
              <w:rPr>
                <w:rFonts w:ascii="宋体"/>
                <w:vanish/>
              </w:rPr>
            </w:pPr>
          </w:p>
        </w:tc>
      </w:tr>
      <w:tr w:rsidR="00E836FB" w14:paraId="5F2CC17A" w14:textId="77777777">
        <w:tc>
          <w:tcPr>
            <w:tcW w:w="0" w:type="auto"/>
            <w:gridSpan w:val="3"/>
            <w:shd w:val="clear" w:color="auto" w:fill="CCEEFF"/>
            <w:tcMar>
              <w:top w:w="40" w:type="dxa"/>
              <w:left w:w="20" w:type="dxa"/>
              <w:bottom w:w="40" w:type="dxa"/>
              <w:right w:w="20" w:type="dxa"/>
            </w:tcMar>
            <w:vAlign w:val="bottom"/>
          </w:tcPr>
          <w:p w14:paraId="5F2CC16F" w14:textId="77777777" w:rsidR="00E836FB" w:rsidRDefault="00994958">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70" w14:textId="77777777" w:rsidR="00E836FB" w:rsidRDefault="00994958">
            <w:pPr>
              <w:jc w:val="right"/>
              <w:textAlignment w:val="bottom"/>
            </w:pPr>
            <w:r>
              <w:rPr>
                <w:rFonts w:ascii="Arial" w:eastAsia="宋体" w:hAnsi="Arial" w:cs="Arial"/>
                <w:b/>
                <w:bCs/>
                <w:color w:val="000000"/>
                <w:sz w:val="14"/>
                <w:szCs w:val="14"/>
              </w:rPr>
              <w:t>186,974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7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7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73" w14:textId="77777777" w:rsidR="00E836FB" w:rsidRDefault="00994958">
            <w:pPr>
              <w:jc w:val="right"/>
              <w:textAlignment w:val="bottom"/>
            </w:pPr>
            <w:r>
              <w:rPr>
                <w:rFonts w:ascii="Arial" w:eastAsia="宋体" w:hAnsi="Arial" w:cs="Arial"/>
                <w:color w:val="000000"/>
                <w:sz w:val="14"/>
                <w:szCs w:val="14"/>
              </w:rPr>
              <w:t>156,250 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7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76" w14:textId="77777777" w:rsidR="00E836FB" w:rsidRDefault="00994958">
            <w:pPr>
              <w:jc w:val="right"/>
              <w:textAlignment w:val="bottom"/>
            </w:pPr>
            <w:r>
              <w:rPr>
                <w:rFonts w:ascii="Arial" w:eastAsia="宋体" w:hAnsi="Arial" w:cs="Arial"/>
                <w:color w:val="000000"/>
                <w:sz w:val="14"/>
                <w:szCs w:val="14"/>
              </w:rPr>
              <w:t>128,848 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77" w14:textId="77777777" w:rsidR="00E836FB" w:rsidRDefault="00E836FB">
            <w:pPr>
              <w:jc w:val="right"/>
              <w:rPr>
                <w:rFonts w:ascii="宋体"/>
              </w:rPr>
            </w:pPr>
          </w:p>
        </w:tc>
        <w:tc>
          <w:tcPr>
            <w:tcW w:w="0" w:type="auto"/>
            <w:gridSpan w:val="3"/>
            <w:shd w:val="clear" w:color="auto" w:fill="auto"/>
            <w:vAlign w:val="bottom"/>
          </w:tcPr>
          <w:p w14:paraId="5F2CC178" w14:textId="77777777" w:rsidR="00E836FB" w:rsidRDefault="00E836FB">
            <w:pPr>
              <w:rPr>
                <w:rFonts w:ascii="宋体"/>
                <w:vanish/>
              </w:rPr>
            </w:pPr>
          </w:p>
        </w:tc>
        <w:tc>
          <w:tcPr>
            <w:tcW w:w="0" w:type="auto"/>
            <w:gridSpan w:val="3"/>
            <w:shd w:val="clear" w:color="auto" w:fill="auto"/>
            <w:vAlign w:val="bottom"/>
          </w:tcPr>
          <w:p w14:paraId="5F2CC179" w14:textId="77777777" w:rsidR="00E836FB" w:rsidRDefault="00E836FB">
            <w:pPr>
              <w:rPr>
                <w:rFonts w:ascii="宋体"/>
                <w:vanish/>
              </w:rPr>
            </w:pPr>
          </w:p>
        </w:tc>
      </w:tr>
      <w:tr w:rsidR="00E836FB" w14:paraId="5F2CC186" w14:textId="77777777">
        <w:tc>
          <w:tcPr>
            <w:tcW w:w="0" w:type="auto"/>
            <w:gridSpan w:val="3"/>
            <w:shd w:val="clear" w:color="auto" w:fill="FFFFFF"/>
            <w:tcMar>
              <w:top w:w="40" w:type="dxa"/>
              <w:left w:w="20" w:type="dxa"/>
              <w:bottom w:w="40" w:type="dxa"/>
              <w:right w:w="20" w:type="dxa"/>
            </w:tcMar>
            <w:vAlign w:val="bottom"/>
          </w:tcPr>
          <w:p w14:paraId="5F2CC17B" w14:textId="77777777" w:rsidR="00E836FB" w:rsidRDefault="00994958">
            <w:pPr>
              <w:textAlignment w:val="bottom"/>
            </w:pPr>
            <w:r>
              <w:rPr>
                <w:rFonts w:ascii="Arial" w:eastAsia="宋体" w:hAnsi="Arial" w:cs="Arial"/>
                <w:color w:val="000000"/>
                <w:sz w:val="14"/>
                <w:szCs w:val="14"/>
              </w:rPr>
              <w:t>Secur</w:t>
            </w:r>
            <w:r>
              <w:rPr>
                <w:rFonts w:ascii="Arial" w:eastAsia="宋体" w:hAnsi="Arial" w:cs="Arial"/>
                <w:color w:val="000000"/>
                <w:sz w:val="14"/>
                <w:szCs w:val="14"/>
              </w:rPr>
              <w:t>ities sold under repurchase agreements</w:t>
            </w:r>
          </w:p>
        </w:tc>
        <w:tc>
          <w:tcPr>
            <w:tcW w:w="0" w:type="auto"/>
            <w:gridSpan w:val="2"/>
            <w:shd w:val="clear" w:color="auto" w:fill="FFFFFF"/>
            <w:tcMar>
              <w:top w:w="40" w:type="dxa"/>
              <w:left w:w="20" w:type="dxa"/>
              <w:bottom w:w="40" w:type="dxa"/>
              <w:right w:w="0" w:type="dxa"/>
            </w:tcMar>
            <w:vAlign w:val="bottom"/>
          </w:tcPr>
          <w:p w14:paraId="5F2CC17C" w14:textId="77777777" w:rsidR="00E836FB" w:rsidRDefault="00994958">
            <w:pPr>
              <w:jc w:val="right"/>
              <w:textAlignment w:val="bottom"/>
            </w:pPr>
            <w:r>
              <w:rPr>
                <w:rFonts w:ascii="Arial" w:eastAsia="宋体" w:hAnsi="Arial" w:cs="Arial"/>
                <w:b/>
                <w:bCs/>
                <w:color w:val="000000"/>
                <w:sz w:val="14"/>
                <w:szCs w:val="14"/>
              </w:rPr>
              <w:t>667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7F" w14:textId="77777777" w:rsidR="00E836FB" w:rsidRDefault="00994958">
            <w:pPr>
              <w:jc w:val="right"/>
              <w:textAlignment w:val="bottom"/>
            </w:pPr>
            <w:r>
              <w:rPr>
                <w:rFonts w:ascii="Arial" w:eastAsia="宋体" w:hAnsi="Arial" w:cs="Arial"/>
                <w:color w:val="000000"/>
                <w:sz w:val="14"/>
                <w:szCs w:val="14"/>
              </w:rPr>
              <w:t>2,615 </w:t>
            </w:r>
          </w:p>
        </w:tc>
        <w:tc>
          <w:tcPr>
            <w:tcW w:w="0" w:type="auto"/>
            <w:shd w:val="clear" w:color="auto" w:fill="FFFFFF"/>
            <w:tcMar>
              <w:top w:w="40" w:type="dxa"/>
              <w:left w:w="0" w:type="dxa"/>
              <w:bottom w:w="40" w:type="dxa"/>
              <w:right w:w="20" w:type="dxa"/>
            </w:tcMar>
            <w:vAlign w:val="bottom"/>
          </w:tcPr>
          <w:p w14:paraId="5F2CC1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8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82" w14:textId="77777777" w:rsidR="00E836FB" w:rsidRDefault="00994958">
            <w:pPr>
              <w:jc w:val="right"/>
              <w:textAlignment w:val="bottom"/>
            </w:pPr>
            <w:r>
              <w:rPr>
                <w:rFonts w:ascii="Arial" w:eastAsia="宋体" w:hAnsi="Arial" w:cs="Arial"/>
                <w:color w:val="000000"/>
                <w:sz w:val="14"/>
                <w:szCs w:val="14"/>
              </w:rPr>
              <w:t>1,616 </w:t>
            </w:r>
          </w:p>
        </w:tc>
        <w:tc>
          <w:tcPr>
            <w:tcW w:w="0" w:type="auto"/>
            <w:shd w:val="clear" w:color="auto" w:fill="FFFFFF"/>
            <w:tcMar>
              <w:top w:w="40" w:type="dxa"/>
              <w:left w:w="0" w:type="dxa"/>
              <w:bottom w:w="40" w:type="dxa"/>
              <w:right w:w="20" w:type="dxa"/>
            </w:tcMar>
            <w:vAlign w:val="bottom"/>
          </w:tcPr>
          <w:p w14:paraId="5F2CC183" w14:textId="77777777" w:rsidR="00E836FB" w:rsidRDefault="00E836FB">
            <w:pPr>
              <w:jc w:val="right"/>
              <w:rPr>
                <w:rFonts w:ascii="宋体"/>
              </w:rPr>
            </w:pPr>
          </w:p>
        </w:tc>
        <w:tc>
          <w:tcPr>
            <w:tcW w:w="0" w:type="auto"/>
            <w:gridSpan w:val="3"/>
            <w:shd w:val="clear" w:color="auto" w:fill="auto"/>
            <w:vAlign w:val="bottom"/>
          </w:tcPr>
          <w:p w14:paraId="5F2CC184" w14:textId="77777777" w:rsidR="00E836FB" w:rsidRDefault="00E836FB">
            <w:pPr>
              <w:rPr>
                <w:rFonts w:ascii="宋体"/>
                <w:vanish/>
              </w:rPr>
            </w:pPr>
          </w:p>
        </w:tc>
        <w:tc>
          <w:tcPr>
            <w:tcW w:w="0" w:type="auto"/>
            <w:gridSpan w:val="3"/>
            <w:shd w:val="clear" w:color="auto" w:fill="auto"/>
            <w:vAlign w:val="bottom"/>
          </w:tcPr>
          <w:p w14:paraId="5F2CC185" w14:textId="77777777" w:rsidR="00E836FB" w:rsidRDefault="00E836FB">
            <w:pPr>
              <w:rPr>
                <w:rFonts w:ascii="宋体"/>
                <w:vanish/>
              </w:rPr>
            </w:pPr>
          </w:p>
        </w:tc>
      </w:tr>
      <w:tr w:rsidR="00E836FB" w14:paraId="5F2CC192" w14:textId="77777777">
        <w:tc>
          <w:tcPr>
            <w:tcW w:w="0" w:type="auto"/>
            <w:gridSpan w:val="3"/>
            <w:shd w:val="clear" w:color="auto" w:fill="CCEEFF"/>
            <w:tcMar>
              <w:top w:w="40" w:type="dxa"/>
              <w:left w:w="20" w:type="dxa"/>
              <w:bottom w:w="40" w:type="dxa"/>
              <w:right w:w="20" w:type="dxa"/>
            </w:tcMar>
            <w:vAlign w:val="bottom"/>
          </w:tcPr>
          <w:p w14:paraId="5F2CC187" w14:textId="77777777" w:rsidR="00E836FB" w:rsidRDefault="00994958">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5F2CC188" w14:textId="77777777" w:rsidR="00E836FB" w:rsidRDefault="00994958">
            <w:pPr>
              <w:jc w:val="right"/>
              <w:textAlignment w:val="bottom"/>
            </w:pPr>
            <w:r>
              <w:rPr>
                <w:rFonts w:ascii="Arial" w:eastAsia="宋体" w:hAnsi="Arial" w:cs="Arial"/>
                <w:b/>
                <w:bCs/>
                <w:color w:val="000000"/>
                <w:sz w:val="14"/>
                <w:szCs w:val="14"/>
              </w:rPr>
              <w:t>315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1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8B" w14:textId="77777777" w:rsidR="00E836FB" w:rsidRDefault="00994958">
            <w:pPr>
              <w:jc w:val="right"/>
              <w:textAlignment w:val="bottom"/>
            </w:pPr>
            <w:r>
              <w:rPr>
                <w:rFonts w:ascii="Arial" w:eastAsia="宋体" w:hAnsi="Arial" w:cs="Arial"/>
                <w:color w:val="000000"/>
                <w:sz w:val="14"/>
                <w:szCs w:val="14"/>
              </w:rPr>
              <w:t>8,207 </w:t>
            </w:r>
          </w:p>
        </w:tc>
        <w:tc>
          <w:tcPr>
            <w:tcW w:w="0" w:type="auto"/>
            <w:shd w:val="clear" w:color="auto" w:fill="CCEEFF"/>
            <w:tcMar>
              <w:top w:w="40" w:type="dxa"/>
              <w:left w:w="0" w:type="dxa"/>
              <w:bottom w:w="40" w:type="dxa"/>
              <w:right w:w="20" w:type="dxa"/>
            </w:tcMar>
            <w:vAlign w:val="bottom"/>
          </w:tcPr>
          <w:p w14:paraId="5F2CC1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8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8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18F" w14:textId="77777777" w:rsidR="00E836FB" w:rsidRDefault="00E836FB">
            <w:pPr>
              <w:jc w:val="right"/>
              <w:rPr>
                <w:rFonts w:ascii="宋体"/>
              </w:rPr>
            </w:pPr>
          </w:p>
        </w:tc>
        <w:tc>
          <w:tcPr>
            <w:tcW w:w="0" w:type="auto"/>
            <w:gridSpan w:val="3"/>
            <w:shd w:val="clear" w:color="auto" w:fill="auto"/>
            <w:vAlign w:val="bottom"/>
          </w:tcPr>
          <w:p w14:paraId="5F2CC190" w14:textId="77777777" w:rsidR="00E836FB" w:rsidRDefault="00E836FB">
            <w:pPr>
              <w:rPr>
                <w:rFonts w:ascii="宋体"/>
                <w:vanish/>
              </w:rPr>
            </w:pPr>
          </w:p>
        </w:tc>
        <w:tc>
          <w:tcPr>
            <w:tcW w:w="0" w:type="auto"/>
            <w:gridSpan w:val="3"/>
            <w:shd w:val="clear" w:color="auto" w:fill="auto"/>
            <w:vAlign w:val="bottom"/>
          </w:tcPr>
          <w:p w14:paraId="5F2CC191" w14:textId="77777777" w:rsidR="00E836FB" w:rsidRDefault="00E836FB">
            <w:pPr>
              <w:rPr>
                <w:rFonts w:ascii="宋体"/>
                <w:vanish/>
              </w:rPr>
            </w:pPr>
          </w:p>
        </w:tc>
      </w:tr>
      <w:tr w:rsidR="00E836FB" w14:paraId="5F2CC19E" w14:textId="77777777">
        <w:tc>
          <w:tcPr>
            <w:tcW w:w="0" w:type="auto"/>
            <w:gridSpan w:val="3"/>
            <w:shd w:val="clear" w:color="auto" w:fill="FFFFFF"/>
            <w:tcMar>
              <w:top w:w="40" w:type="dxa"/>
              <w:left w:w="20" w:type="dxa"/>
              <w:bottom w:w="40" w:type="dxa"/>
              <w:right w:w="20" w:type="dxa"/>
            </w:tcMar>
            <w:vAlign w:val="bottom"/>
          </w:tcPr>
          <w:p w14:paraId="5F2CC193" w14:textId="77777777" w:rsidR="00E836FB" w:rsidRDefault="00994958">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5F2CC194" w14:textId="77777777" w:rsidR="00E836FB" w:rsidRDefault="00994958">
            <w:pPr>
              <w:jc w:val="right"/>
              <w:textAlignment w:val="bottom"/>
            </w:pPr>
            <w:r>
              <w:rPr>
                <w:rFonts w:ascii="Arial" w:eastAsia="宋体" w:hAnsi="Arial" w:cs="Arial"/>
                <w:b/>
                <w:bCs/>
                <w:color w:val="000000"/>
                <w:sz w:val="14"/>
                <w:szCs w:val="14"/>
              </w:rPr>
              <w:t>788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9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97" w14:textId="77777777" w:rsidR="00E836FB" w:rsidRDefault="00994958">
            <w:pPr>
              <w:jc w:val="right"/>
              <w:textAlignment w:val="bottom"/>
            </w:pPr>
            <w:r>
              <w:rPr>
                <w:rFonts w:ascii="Arial" w:eastAsia="宋体" w:hAnsi="Arial" w:cs="Arial"/>
                <w:color w:val="000000"/>
                <w:sz w:val="14"/>
                <w:szCs w:val="14"/>
              </w:rPr>
              <w:t>2,226 </w:t>
            </w:r>
          </w:p>
        </w:tc>
        <w:tc>
          <w:tcPr>
            <w:tcW w:w="0" w:type="auto"/>
            <w:shd w:val="clear" w:color="auto" w:fill="FFFFFF"/>
            <w:tcMar>
              <w:top w:w="40" w:type="dxa"/>
              <w:left w:w="0" w:type="dxa"/>
              <w:bottom w:w="40" w:type="dxa"/>
              <w:right w:w="20" w:type="dxa"/>
            </w:tcMar>
            <w:vAlign w:val="bottom"/>
          </w:tcPr>
          <w:p w14:paraId="5F2CC1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9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9A" w14:textId="77777777" w:rsidR="00E836FB" w:rsidRDefault="00994958">
            <w:pPr>
              <w:jc w:val="right"/>
              <w:textAlignment w:val="bottom"/>
            </w:pPr>
            <w:r>
              <w:rPr>
                <w:rFonts w:ascii="Arial" w:eastAsia="宋体" w:hAnsi="Arial" w:cs="Arial"/>
                <w:color w:val="000000"/>
                <w:sz w:val="14"/>
                <w:szCs w:val="14"/>
              </w:rPr>
              <w:t>1,524 </w:t>
            </w:r>
          </w:p>
        </w:tc>
        <w:tc>
          <w:tcPr>
            <w:tcW w:w="0" w:type="auto"/>
            <w:shd w:val="clear" w:color="auto" w:fill="FFFFFF"/>
            <w:tcMar>
              <w:top w:w="40" w:type="dxa"/>
              <w:left w:w="0" w:type="dxa"/>
              <w:bottom w:w="40" w:type="dxa"/>
              <w:right w:w="20" w:type="dxa"/>
            </w:tcMar>
            <w:vAlign w:val="bottom"/>
          </w:tcPr>
          <w:p w14:paraId="5F2CC19B" w14:textId="77777777" w:rsidR="00E836FB" w:rsidRDefault="00E836FB">
            <w:pPr>
              <w:jc w:val="right"/>
              <w:rPr>
                <w:rFonts w:ascii="宋体"/>
              </w:rPr>
            </w:pPr>
          </w:p>
        </w:tc>
        <w:tc>
          <w:tcPr>
            <w:tcW w:w="0" w:type="auto"/>
            <w:gridSpan w:val="3"/>
            <w:shd w:val="clear" w:color="auto" w:fill="auto"/>
            <w:vAlign w:val="bottom"/>
          </w:tcPr>
          <w:p w14:paraId="5F2CC19C" w14:textId="77777777" w:rsidR="00E836FB" w:rsidRDefault="00E836FB">
            <w:pPr>
              <w:rPr>
                <w:rFonts w:ascii="宋体"/>
                <w:vanish/>
              </w:rPr>
            </w:pPr>
          </w:p>
        </w:tc>
        <w:tc>
          <w:tcPr>
            <w:tcW w:w="0" w:type="auto"/>
            <w:gridSpan w:val="3"/>
            <w:shd w:val="clear" w:color="auto" w:fill="auto"/>
            <w:vAlign w:val="bottom"/>
          </w:tcPr>
          <w:p w14:paraId="5F2CC19D" w14:textId="77777777" w:rsidR="00E836FB" w:rsidRDefault="00E836FB">
            <w:pPr>
              <w:rPr>
                <w:rFonts w:ascii="宋体"/>
                <w:vanish/>
              </w:rPr>
            </w:pPr>
          </w:p>
        </w:tc>
      </w:tr>
      <w:tr w:rsidR="00E836FB" w14:paraId="5F2CC1AA" w14:textId="77777777">
        <w:tc>
          <w:tcPr>
            <w:tcW w:w="0" w:type="auto"/>
            <w:gridSpan w:val="3"/>
            <w:shd w:val="clear" w:color="auto" w:fill="CCEEFF"/>
            <w:tcMar>
              <w:top w:w="40" w:type="dxa"/>
              <w:left w:w="20" w:type="dxa"/>
              <w:bottom w:w="40" w:type="dxa"/>
              <w:right w:w="20" w:type="dxa"/>
            </w:tcMar>
            <w:vAlign w:val="bottom"/>
          </w:tcPr>
          <w:p w14:paraId="5F2CC19F" w14:textId="77777777" w:rsidR="00E836FB" w:rsidRDefault="00994958">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5F2CC1A0" w14:textId="77777777" w:rsidR="00E836FB" w:rsidRDefault="00994958">
            <w:pPr>
              <w:jc w:val="right"/>
              <w:textAlignment w:val="bottom"/>
            </w:pPr>
            <w:r>
              <w:rPr>
                <w:rFonts w:ascii="Arial" w:eastAsia="宋体" w:hAnsi="Arial" w:cs="Arial"/>
                <w:b/>
                <w:bCs/>
                <w:color w:val="000000"/>
                <w:sz w:val="14"/>
                <w:szCs w:val="14"/>
              </w:rPr>
              <w:t>13,383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1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A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A3" w14:textId="77777777" w:rsidR="00E836FB" w:rsidRDefault="00994958">
            <w:pPr>
              <w:jc w:val="right"/>
              <w:textAlignment w:val="bottom"/>
            </w:pPr>
            <w:r>
              <w:rPr>
                <w:rFonts w:ascii="Arial" w:eastAsia="宋体" w:hAnsi="Arial" w:cs="Arial"/>
                <w:color w:val="000000"/>
                <w:sz w:val="14"/>
                <w:szCs w:val="14"/>
              </w:rPr>
              <w:t>14,371 </w:t>
            </w:r>
          </w:p>
        </w:tc>
        <w:tc>
          <w:tcPr>
            <w:tcW w:w="0" w:type="auto"/>
            <w:shd w:val="clear" w:color="auto" w:fill="CCEEFF"/>
            <w:tcMar>
              <w:top w:w="40" w:type="dxa"/>
              <w:left w:w="0" w:type="dxa"/>
              <w:bottom w:w="40" w:type="dxa"/>
              <w:right w:w="20" w:type="dxa"/>
            </w:tcMar>
            <w:vAlign w:val="bottom"/>
          </w:tcPr>
          <w:p w14:paraId="5F2CC1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A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A6" w14:textId="77777777" w:rsidR="00E836FB" w:rsidRDefault="00994958">
            <w:pPr>
              <w:jc w:val="right"/>
              <w:textAlignment w:val="bottom"/>
            </w:pPr>
            <w:r>
              <w:rPr>
                <w:rFonts w:ascii="Arial" w:eastAsia="宋体" w:hAnsi="Arial" w:cs="Arial"/>
                <w:color w:val="000000"/>
                <w:sz w:val="14"/>
                <w:szCs w:val="14"/>
              </w:rPr>
              <w:t>11,474 </w:t>
            </w:r>
          </w:p>
        </w:tc>
        <w:tc>
          <w:tcPr>
            <w:tcW w:w="0" w:type="auto"/>
            <w:shd w:val="clear" w:color="auto" w:fill="CCEEFF"/>
            <w:tcMar>
              <w:top w:w="40" w:type="dxa"/>
              <w:left w:w="0" w:type="dxa"/>
              <w:bottom w:w="40" w:type="dxa"/>
              <w:right w:w="20" w:type="dxa"/>
            </w:tcMar>
            <w:vAlign w:val="bottom"/>
          </w:tcPr>
          <w:p w14:paraId="5F2CC1A7" w14:textId="77777777" w:rsidR="00E836FB" w:rsidRDefault="00E836FB">
            <w:pPr>
              <w:jc w:val="right"/>
              <w:rPr>
                <w:rFonts w:ascii="宋体"/>
              </w:rPr>
            </w:pPr>
          </w:p>
        </w:tc>
        <w:tc>
          <w:tcPr>
            <w:tcW w:w="0" w:type="auto"/>
            <w:gridSpan w:val="3"/>
            <w:shd w:val="clear" w:color="auto" w:fill="auto"/>
            <w:vAlign w:val="bottom"/>
          </w:tcPr>
          <w:p w14:paraId="5F2CC1A8" w14:textId="77777777" w:rsidR="00E836FB" w:rsidRDefault="00E836FB">
            <w:pPr>
              <w:rPr>
                <w:rFonts w:ascii="宋体"/>
                <w:vanish/>
              </w:rPr>
            </w:pPr>
          </w:p>
        </w:tc>
        <w:tc>
          <w:tcPr>
            <w:tcW w:w="0" w:type="auto"/>
            <w:gridSpan w:val="3"/>
            <w:shd w:val="clear" w:color="auto" w:fill="auto"/>
            <w:vAlign w:val="bottom"/>
          </w:tcPr>
          <w:p w14:paraId="5F2CC1A9" w14:textId="77777777" w:rsidR="00E836FB" w:rsidRDefault="00E836FB">
            <w:pPr>
              <w:rPr>
                <w:rFonts w:ascii="宋体"/>
                <w:vanish/>
              </w:rPr>
            </w:pPr>
          </w:p>
        </w:tc>
      </w:tr>
      <w:tr w:rsidR="00E836FB" w14:paraId="5F2CC1B6" w14:textId="77777777">
        <w:tc>
          <w:tcPr>
            <w:tcW w:w="0" w:type="auto"/>
            <w:gridSpan w:val="3"/>
            <w:shd w:val="clear" w:color="auto" w:fill="FFFFFF"/>
            <w:tcMar>
              <w:top w:w="40" w:type="dxa"/>
              <w:left w:w="20" w:type="dxa"/>
              <w:bottom w:w="40" w:type="dxa"/>
              <w:right w:w="20" w:type="dxa"/>
            </w:tcMar>
            <w:vAlign w:val="bottom"/>
          </w:tcPr>
          <w:p w14:paraId="5F2CC1AB" w14:textId="77777777" w:rsidR="00E836FB" w:rsidRDefault="00994958">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5F2CC1AC" w14:textId="77777777" w:rsidR="00E836FB" w:rsidRDefault="00994958">
            <w:pPr>
              <w:jc w:val="right"/>
              <w:textAlignment w:val="bottom"/>
            </w:pPr>
            <w:r>
              <w:rPr>
                <w:rFonts w:ascii="Arial" w:eastAsia="宋体" w:hAnsi="Arial" w:cs="Arial"/>
                <w:b/>
                <w:bCs/>
                <w:color w:val="000000"/>
                <w:sz w:val="14"/>
                <w:szCs w:val="14"/>
              </w:rPr>
              <w:t>5,486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A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AF" w14:textId="77777777" w:rsidR="00E836FB" w:rsidRDefault="00994958">
            <w:pPr>
              <w:jc w:val="right"/>
              <w:textAlignment w:val="bottom"/>
            </w:pPr>
            <w:r>
              <w:rPr>
                <w:rFonts w:ascii="Arial" w:eastAsia="宋体" w:hAnsi="Arial" w:cs="Arial"/>
                <w:color w:val="000000"/>
                <w:sz w:val="14"/>
                <w:szCs w:val="14"/>
              </w:rPr>
              <w:t>3,176 </w:t>
            </w:r>
          </w:p>
        </w:tc>
        <w:tc>
          <w:tcPr>
            <w:tcW w:w="0" w:type="auto"/>
            <w:shd w:val="clear" w:color="auto" w:fill="FFFFFF"/>
            <w:tcMar>
              <w:top w:w="40" w:type="dxa"/>
              <w:left w:w="0" w:type="dxa"/>
              <w:bottom w:w="40" w:type="dxa"/>
              <w:right w:w="20" w:type="dxa"/>
            </w:tcMar>
            <w:vAlign w:val="bottom"/>
          </w:tcPr>
          <w:p w14:paraId="5F2CC1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B2" w14:textId="77777777" w:rsidR="00E836FB" w:rsidRDefault="00994958">
            <w:pPr>
              <w:jc w:val="right"/>
              <w:textAlignment w:val="bottom"/>
            </w:pPr>
            <w:r>
              <w:rPr>
                <w:rFonts w:ascii="Arial" w:eastAsia="宋体" w:hAnsi="Arial" w:cs="Arial"/>
                <w:color w:val="000000"/>
                <w:sz w:val="14"/>
                <w:szCs w:val="14"/>
              </w:rPr>
              <w:t>4,103 </w:t>
            </w:r>
          </w:p>
        </w:tc>
        <w:tc>
          <w:tcPr>
            <w:tcW w:w="0" w:type="auto"/>
            <w:shd w:val="clear" w:color="auto" w:fill="FFFFFF"/>
            <w:tcMar>
              <w:top w:w="40" w:type="dxa"/>
              <w:left w:w="0" w:type="dxa"/>
              <w:bottom w:w="40" w:type="dxa"/>
              <w:right w:w="20" w:type="dxa"/>
            </w:tcMar>
            <w:vAlign w:val="bottom"/>
          </w:tcPr>
          <w:p w14:paraId="5F2CC1B3" w14:textId="77777777" w:rsidR="00E836FB" w:rsidRDefault="00E836FB">
            <w:pPr>
              <w:jc w:val="right"/>
              <w:rPr>
                <w:rFonts w:ascii="宋体"/>
              </w:rPr>
            </w:pPr>
          </w:p>
        </w:tc>
        <w:tc>
          <w:tcPr>
            <w:tcW w:w="0" w:type="auto"/>
            <w:gridSpan w:val="3"/>
            <w:shd w:val="clear" w:color="auto" w:fill="auto"/>
            <w:vAlign w:val="bottom"/>
          </w:tcPr>
          <w:p w14:paraId="5F2CC1B4" w14:textId="77777777" w:rsidR="00E836FB" w:rsidRDefault="00E836FB">
            <w:pPr>
              <w:rPr>
                <w:rFonts w:ascii="宋体"/>
                <w:vanish/>
              </w:rPr>
            </w:pPr>
          </w:p>
        </w:tc>
        <w:tc>
          <w:tcPr>
            <w:tcW w:w="0" w:type="auto"/>
            <w:gridSpan w:val="3"/>
            <w:shd w:val="clear" w:color="auto" w:fill="auto"/>
            <w:vAlign w:val="bottom"/>
          </w:tcPr>
          <w:p w14:paraId="5F2CC1B5" w14:textId="77777777" w:rsidR="00E836FB" w:rsidRDefault="00E836FB">
            <w:pPr>
              <w:rPr>
                <w:rFonts w:ascii="宋体"/>
                <w:vanish/>
              </w:rPr>
            </w:pPr>
          </w:p>
        </w:tc>
      </w:tr>
      <w:tr w:rsidR="00E836FB" w14:paraId="5F2CC1C2" w14:textId="77777777">
        <w:tc>
          <w:tcPr>
            <w:tcW w:w="0" w:type="auto"/>
            <w:gridSpan w:val="3"/>
            <w:shd w:val="clear" w:color="auto" w:fill="CCEEFF"/>
            <w:tcMar>
              <w:top w:w="40" w:type="dxa"/>
              <w:left w:w="245" w:type="dxa"/>
              <w:bottom w:w="40" w:type="dxa"/>
              <w:right w:w="20" w:type="dxa"/>
            </w:tcMar>
            <w:vAlign w:val="bottom"/>
          </w:tcPr>
          <w:p w14:paraId="5F2CC1B7" w14:textId="77777777" w:rsidR="00E836FB" w:rsidRDefault="00994958">
            <w:pPr>
              <w:textAlignment w:val="bottom"/>
            </w:pPr>
            <w:r>
              <w:rPr>
                <w:rFonts w:ascii="Arial" w:eastAsia="宋体" w:hAnsi="Arial" w:cs="Arial"/>
                <w:color w:val="000000"/>
                <w:sz w:val="14"/>
                <w:szCs w:val="14"/>
              </w:rPr>
              <w:t>Average 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B8" w14:textId="77777777" w:rsidR="00E836FB" w:rsidRDefault="00994958">
            <w:pPr>
              <w:jc w:val="right"/>
              <w:textAlignment w:val="bottom"/>
            </w:pPr>
            <w:r>
              <w:rPr>
                <w:rFonts w:ascii="Arial" w:eastAsia="宋体" w:hAnsi="Arial" w:cs="Arial"/>
                <w:b/>
                <w:bCs/>
                <w:color w:val="000000"/>
                <w:sz w:val="14"/>
                <w:szCs w:val="14"/>
              </w:rPr>
              <w:t>207,613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B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BB" w14:textId="77777777" w:rsidR="00E836FB" w:rsidRDefault="00994958">
            <w:pPr>
              <w:jc w:val="right"/>
              <w:textAlignment w:val="bottom"/>
            </w:pPr>
            <w:r>
              <w:rPr>
                <w:rFonts w:ascii="Arial" w:eastAsia="宋体" w:hAnsi="Arial" w:cs="Arial"/>
                <w:color w:val="000000"/>
                <w:sz w:val="14"/>
                <w:szCs w:val="14"/>
              </w:rPr>
              <w:t>186,845 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B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1BE" w14:textId="77777777" w:rsidR="00E836FB" w:rsidRDefault="00994958">
            <w:pPr>
              <w:jc w:val="right"/>
              <w:textAlignment w:val="bottom"/>
            </w:pPr>
            <w:r>
              <w:rPr>
                <w:rFonts w:ascii="Arial" w:eastAsia="宋体" w:hAnsi="Arial" w:cs="Arial"/>
                <w:color w:val="000000"/>
                <w:sz w:val="14"/>
                <w:szCs w:val="14"/>
              </w:rPr>
              <w:t>147,565 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1BF" w14:textId="77777777" w:rsidR="00E836FB" w:rsidRDefault="00E836FB">
            <w:pPr>
              <w:jc w:val="right"/>
              <w:rPr>
                <w:rFonts w:ascii="宋体"/>
              </w:rPr>
            </w:pPr>
          </w:p>
        </w:tc>
        <w:tc>
          <w:tcPr>
            <w:tcW w:w="0" w:type="auto"/>
            <w:gridSpan w:val="3"/>
            <w:shd w:val="clear" w:color="auto" w:fill="auto"/>
            <w:vAlign w:val="bottom"/>
          </w:tcPr>
          <w:p w14:paraId="5F2CC1C0" w14:textId="77777777" w:rsidR="00E836FB" w:rsidRDefault="00E836FB">
            <w:pPr>
              <w:rPr>
                <w:rFonts w:ascii="宋体"/>
                <w:vanish/>
              </w:rPr>
            </w:pPr>
          </w:p>
        </w:tc>
        <w:tc>
          <w:tcPr>
            <w:tcW w:w="0" w:type="auto"/>
            <w:gridSpan w:val="3"/>
            <w:shd w:val="clear" w:color="auto" w:fill="auto"/>
            <w:vAlign w:val="bottom"/>
          </w:tcPr>
          <w:p w14:paraId="5F2CC1C1" w14:textId="77777777" w:rsidR="00E836FB" w:rsidRDefault="00E836FB">
            <w:pPr>
              <w:rPr>
                <w:rFonts w:ascii="宋体"/>
                <w:vanish/>
              </w:rPr>
            </w:pPr>
          </w:p>
        </w:tc>
      </w:tr>
      <w:tr w:rsidR="00E836FB" w14:paraId="5F2CC1CE" w14:textId="77777777">
        <w:tc>
          <w:tcPr>
            <w:tcW w:w="0" w:type="auto"/>
            <w:gridSpan w:val="3"/>
            <w:shd w:val="clear" w:color="auto" w:fill="FFFFFF"/>
            <w:tcMar>
              <w:top w:w="40" w:type="dxa"/>
              <w:left w:w="20" w:type="dxa"/>
              <w:bottom w:w="40" w:type="dxa"/>
              <w:right w:w="20" w:type="dxa"/>
            </w:tcMar>
            <w:vAlign w:val="bottom"/>
          </w:tcPr>
          <w:p w14:paraId="5F2CC1C3" w14:textId="77777777" w:rsidR="00E836FB" w:rsidRDefault="00994958">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C1C4" w14:textId="77777777" w:rsidR="00E836FB" w:rsidRDefault="00994958">
            <w:pPr>
              <w:jc w:val="right"/>
              <w:textAlignment w:val="bottom"/>
            </w:pPr>
            <w:r>
              <w:rPr>
                <w:rFonts w:ascii="Arial" w:eastAsia="宋体" w:hAnsi="Arial" w:cs="Arial"/>
                <w:b/>
                <w:bCs/>
                <w:color w:val="000000"/>
                <w:sz w:val="14"/>
                <w:szCs w:val="14"/>
              </w:rPr>
              <w:t>48,430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C7" w14:textId="77777777" w:rsidR="00E836FB" w:rsidRDefault="00994958">
            <w:pPr>
              <w:jc w:val="right"/>
              <w:textAlignment w:val="bottom"/>
            </w:pPr>
            <w:r>
              <w:rPr>
                <w:rFonts w:ascii="Arial" w:eastAsia="宋体" w:hAnsi="Arial" w:cs="Arial"/>
                <w:color w:val="000000"/>
                <w:sz w:val="14"/>
                <w:szCs w:val="14"/>
              </w:rPr>
              <w:t>36,975 </w:t>
            </w:r>
          </w:p>
        </w:tc>
        <w:tc>
          <w:tcPr>
            <w:tcW w:w="0" w:type="auto"/>
            <w:shd w:val="clear" w:color="auto" w:fill="FFFFFF"/>
            <w:tcMar>
              <w:top w:w="40" w:type="dxa"/>
              <w:left w:w="0" w:type="dxa"/>
              <w:bottom w:w="40" w:type="dxa"/>
              <w:right w:w="20" w:type="dxa"/>
            </w:tcMar>
            <w:vAlign w:val="bottom"/>
          </w:tcPr>
          <w:p w14:paraId="5F2CC1C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C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CA" w14:textId="77777777" w:rsidR="00E836FB" w:rsidRDefault="00994958">
            <w:pPr>
              <w:jc w:val="right"/>
              <w:textAlignment w:val="bottom"/>
            </w:pPr>
            <w:r>
              <w:rPr>
                <w:rFonts w:ascii="Arial" w:eastAsia="宋体" w:hAnsi="Arial" w:cs="Arial"/>
                <w:color w:val="000000"/>
                <w:sz w:val="14"/>
                <w:szCs w:val="14"/>
              </w:rPr>
              <w:t>29,414 </w:t>
            </w:r>
          </w:p>
        </w:tc>
        <w:tc>
          <w:tcPr>
            <w:tcW w:w="0" w:type="auto"/>
            <w:shd w:val="clear" w:color="auto" w:fill="FFFFFF"/>
            <w:tcMar>
              <w:top w:w="40" w:type="dxa"/>
              <w:left w:w="0" w:type="dxa"/>
              <w:bottom w:w="40" w:type="dxa"/>
              <w:right w:w="20" w:type="dxa"/>
            </w:tcMar>
            <w:vAlign w:val="bottom"/>
          </w:tcPr>
          <w:p w14:paraId="5F2CC1CB" w14:textId="77777777" w:rsidR="00E836FB" w:rsidRDefault="00E836FB">
            <w:pPr>
              <w:jc w:val="right"/>
              <w:rPr>
                <w:rFonts w:ascii="宋体"/>
              </w:rPr>
            </w:pPr>
          </w:p>
        </w:tc>
        <w:tc>
          <w:tcPr>
            <w:tcW w:w="0" w:type="auto"/>
            <w:gridSpan w:val="3"/>
            <w:shd w:val="clear" w:color="auto" w:fill="auto"/>
            <w:vAlign w:val="bottom"/>
          </w:tcPr>
          <w:p w14:paraId="5F2CC1CC" w14:textId="77777777" w:rsidR="00E836FB" w:rsidRDefault="00E836FB">
            <w:pPr>
              <w:rPr>
                <w:rFonts w:ascii="宋体"/>
                <w:vanish/>
              </w:rPr>
            </w:pPr>
          </w:p>
        </w:tc>
        <w:tc>
          <w:tcPr>
            <w:tcW w:w="0" w:type="auto"/>
            <w:gridSpan w:val="3"/>
            <w:shd w:val="clear" w:color="auto" w:fill="auto"/>
            <w:vAlign w:val="bottom"/>
          </w:tcPr>
          <w:p w14:paraId="5F2CC1CD" w14:textId="77777777" w:rsidR="00E836FB" w:rsidRDefault="00E836FB">
            <w:pPr>
              <w:rPr>
                <w:rFonts w:ascii="宋体"/>
                <w:vanish/>
              </w:rPr>
            </w:pPr>
          </w:p>
        </w:tc>
      </w:tr>
      <w:tr w:rsidR="00E836FB" w14:paraId="5F2CC1DA" w14:textId="77777777">
        <w:tc>
          <w:tcPr>
            <w:tcW w:w="0" w:type="auto"/>
            <w:gridSpan w:val="3"/>
            <w:shd w:val="clear" w:color="auto" w:fill="CCEEFF"/>
            <w:tcMar>
              <w:top w:w="40" w:type="dxa"/>
              <w:left w:w="20" w:type="dxa"/>
              <w:bottom w:w="40" w:type="dxa"/>
              <w:right w:w="20" w:type="dxa"/>
            </w:tcMar>
            <w:vAlign w:val="bottom"/>
          </w:tcPr>
          <w:p w14:paraId="5F2CC1CF" w14:textId="77777777" w:rsidR="00E836FB" w:rsidRDefault="00994958">
            <w:pPr>
              <w:textAlignment w:val="bottom"/>
            </w:pPr>
            <w:r>
              <w:rPr>
                <w:rFonts w:ascii="Arial" w:eastAsia="宋体" w:hAnsi="Arial" w:cs="Arial"/>
                <w:color w:val="000000"/>
                <w:sz w:val="14"/>
                <w:szCs w:val="14"/>
              </w:rPr>
              <w:t>Other non-interest-bearing liabilities</w:t>
            </w:r>
          </w:p>
        </w:tc>
        <w:tc>
          <w:tcPr>
            <w:tcW w:w="0" w:type="auto"/>
            <w:gridSpan w:val="2"/>
            <w:shd w:val="clear" w:color="auto" w:fill="CCEEFF"/>
            <w:tcMar>
              <w:top w:w="40" w:type="dxa"/>
              <w:left w:w="20" w:type="dxa"/>
              <w:bottom w:w="40" w:type="dxa"/>
              <w:right w:w="0" w:type="dxa"/>
            </w:tcMar>
            <w:vAlign w:val="bottom"/>
          </w:tcPr>
          <w:p w14:paraId="5F2CC1D0" w14:textId="77777777" w:rsidR="00E836FB" w:rsidRDefault="00994958">
            <w:pPr>
              <w:jc w:val="right"/>
              <w:textAlignment w:val="bottom"/>
            </w:pPr>
            <w:r>
              <w:rPr>
                <w:rFonts w:ascii="Arial" w:eastAsia="宋体" w:hAnsi="Arial" w:cs="Arial"/>
                <w:b/>
                <w:bCs/>
                <w:color w:val="000000"/>
                <w:sz w:val="14"/>
                <w:szCs w:val="14"/>
              </w:rPr>
              <w:t>17,615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1D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D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D3" w14:textId="77777777" w:rsidR="00E836FB" w:rsidRDefault="00994958">
            <w:pPr>
              <w:jc w:val="right"/>
              <w:textAlignment w:val="bottom"/>
            </w:pPr>
            <w:r>
              <w:rPr>
                <w:rFonts w:ascii="Arial" w:eastAsia="宋体" w:hAnsi="Arial" w:cs="Arial"/>
                <w:color w:val="000000"/>
                <w:sz w:val="14"/>
                <w:szCs w:val="14"/>
              </w:rPr>
              <w:t>20,464 </w:t>
            </w:r>
          </w:p>
        </w:tc>
        <w:tc>
          <w:tcPr>
            <w:tcW w:w="0" w:type="auto"/>
            <w:shd w:val="clear" w:color="auto" w:fill="CCEEFF"/>
            <w:tcMar>
              <w:top w:w="40" w:type="dxa"/>
              <w:left w:w="0" w:type="dxa"/>
              <w:bottom w:w="40" w:type="dxa"/>
              <w:right w:w="20" w:type="dxa"/>
            </w:tcMar>
            <w:vAlign w:val="bottom"/>
          </w:tcPr>
          <w:p w14:paraId="5F2CC1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D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D6" w14:textId="77777777" w:rsidR="00E836FB" w:rsidRDefault="00994958">
            <w:pPr>
              <w:jc w:val="right"/>
              <w:textAlignment w:val="bottom"/>
            </w:pPr>
            <w:r>
              <w:rPr>
                <w:rFonts w:ascii="Arial" w:eastAsia="宋体" w:hAnsi="Arial" w:cs="Arial"/>
                <w:color w:val="000000"/>
                <w:sz w:val="14"/>
                <w:szCs w:val="14"/>
              </w:rPr>
              <w:t>21,299 </w:t>
            </w:r>
          </w:p>
        </w:tc>
        <w:tc>
          <w:tcPr>
            <w:tcW w:w="0" w:type="auto"/>
            <w:shd w:val="clear" w:color="auto" w:fill="CCEEFF"/>
            <w:tcMar>
              <w:top w:w="40" w:type="dxa"/>
              <w:left w:w="0" w:type="dxa"/>
              <w:bottom w:w="40" w:type="dxa"/>
              <w:right w:w="20" w:type="dxa"/>
            </w:tcMar>
            <w:vAlign w:val="bottom"/>
          </w:tcPr>
          <w:p w14:paraId="5F2CC1D7" w14:textId="77777777" w:rsidR="00E836FB" w:rsidRDefault="00E836FB">
            <w:pPr>
              <w:jc w:val="right"/>
              <w:rPr>
                <w:rFonts w:ascii="宋体"/>
              </w:rPr>
            </w:pPr>
          </w:p>
        </w:tc>
        <w:tc>
          <w:tcPr>
            <w:tcW w:w="0" w:type="auto"/>
            <w:gridSpan w:val="3"/>
            <w:shd w:val="clear" w:color="auto" w:fill="auto"/>
            <w:vAlign w:val="bottom"/>
          </w:tcPr>
          <w:p w14:paraId="5F2CC1D8" w14:textId="77777777" w:rsidR="00E836FB" w:rsidRDefault="00E836FB">
            <w:pPr>
              <w:rPr>
                <w:rFonts w:ascii="宋体"/>
                <w:vanish/>
              </w:rPr>
            </w:pPr>
          </w:p>
        </w:tc>
        <w:tc>
          <w:tcPr>
            <w:tcW w:w="0" w:type="auto"/>
            <w:gridSpan w:val="3"/>
            <w:shd w:val="clear" w:color="auto" w:fill="auto"/>
            <w:vAlign w:val="bottom"/>
          </w:tcPr>
          <w:p w14:paraId="5F2CC1D9" w14:textId="77777777" w:rsidR="00E836FB" w:rsidRDefault="00E836FB">
            <w:pPr>
              <w:rPr>
                <w:rFonts w:ascii="宋体"/>
                <w:vanish/>
              </w:rPr>
            </w:pPr>
          </w:p>
        </w:tc>
      </w:tr>
      <w:tr w:rsidR="00E836FB" w14:paraId="5F2CC1E6" w14:textId="77777777">
        <w:tc>
          <w:tcPr>
            <w:tcW w:w="0" w:type="auto"/>
            <w:gridSpan w:val="3"/>
            <w:shd w:val="clear" w:color="auto" w:fill="FFFFFF"/>
            <w:tcMar>
              <w:top w:w="40" w:type="dxa"/>
              <w:left w:w="20" w:type="dxa"/>
              <w:bottom w:w="40" w:type="dxa"/>
              <w:right w:w="20" w:type="dxa"/>
            </w:tcMar>
            <w:vAlign w:val="bottom"/>
          </w:tcPr>
          <w:p w14:paraId="5F2CC1DB" w14:textId="77777777" w:rsidR="00E836FB" w:rsidRDefault="00994958">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5F2CC1DC" w14:textId="77777777" w:rsidR="00E836FB" w:rsidRDefault="00994958">
            <w:pPr>
              <w:jc w:val="right"/>
              <w:textAlignment w:val="bottom"/>
            </w:pPr>
            <w:r>
              <w:rPr>
                <w:rFonts w:ascii="Arial" w:eastAsia="宋体" w:hAnsi="Arial" w:cs="Arial"/>
                <w:b/>
                <w:bCs/>
                <w:color w:val="000000"/>
                <w:sz w:val="14"/>
                <w:szCs w:val="14"/>
              </w:rPr>
              <w:t>2,076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1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DF" w14:textId="77777777" w:rsidR="00E836FB" w:rsidRDefault="00994958">
            <w:pPr>
              <w:jc w:val="right"/>
              <w:textAlignment w:val="bottom"/>
            </w:pPr>
            <w:r>
              <w:rPr>
                <w:rFonts w:ascii="Arial" w:eastAsia="宋体" w:hAnsi="Arial" w:cs="Arial"/>
                <w:color w:val="000000"/>
                <w:sz w:val="14"/>
                <w:szCs w:val="14"/>
              </w:rPr>
              <w:t>2,569 </w:t>
            </w:r>
          </w:p>
        </w:tc>
        <w:tc>
          <w:tcPr>
            <w:tcW w:w="0" w:type="auto"/>
            <w:shd w:val="clear" w:color="auto" w:fill="FFFFFF"/>
            <w:tcMar>
              <w:top w:w="40" w:type="dxa"/>
              <w:left w:w="0" w:type="dxa"/>
              <w:bottom w:w="40" w:type="dxa"/>
              <w:right w:w="20" w:type="dxa"/>
            </w:tcMar>
            <w:vAlign w:val="bottom"/>
          </w:tcPr>
          <w:p w14:paraId="5F2CC1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E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1E2" w14:textId="77777777" w:rsidR="00E836FB" w:rsidRDefault="00994958">
            <w:pPr>
              <w:jc w:val="right"/>
              <w:textAlignment w:val="bottom"/>
            </w:pPr>
            <w:r>
              <w:rPr>
                <w:rFonts w:ascii="Arial" w:eastAsia="宋体" w:hAnsi="Arial" w:cs="Arial"/>
                <w:color w:val="000000"/>
                <w:sz w:val="14"/>
                <w:szCs w:val="14"/>
              </w:rPr>
              <w:t>3,653 </w:t>
            </w:r>
          </w:p>
        </w:tc>
        <w:tc>
          <w:tcPr>
            <w:tcW w:w="0" w:type="auto"/>
            <w:shd w:val="clear" w:color="auto" w:fill="FFFFFF"/>
            <w:tcMar>
              <w:top w:w="40" w:type="dxa"/>
              <w:left w:w="0" w:type="dxa"/>
              <w:bottom w:w="40" w:type="dxa"/>
              <w:right w:w="20" w:type="dxa"/>
            </w:tcMar>
            <w:vAlign w:val="bottom"/>
          </w:tcPr>
          <w:p w14:paraId="5F2CC1E3" w14:textId="77777777" w:rsidR="00E836FB" w:rsidRDefault="00E836FB">
            <w:pPr>
              <w:jc w:val="right"/>
              <w:rPr>
                <w:rFonts w:ascii="宋体"/>
              </w:rPr>
            </w:pPr>
          </w:p>
        </w:tc>
        <w:tc>
          <w:tcPr>
            <w:tcW w:w="0" w:type="auto"/>
            <w:gridSpan w:val="3"/>
            <w:shd w:val="clear" w:color="auto" w:fill="auto"/>
            <w:vAlign w:val="bottom"/>
          </w:tcPr>
          <w:p w14:paraId="5F2CC1E4" w14:textId="77777777" w:rsidR="00E836FB" w:rsidRDefault="00E836FB">
            <w:pPr>
              <w:rPr>
                <w:rFonts w:ascii="宋体"/>
                <w:vanish/>
              </w:rPr>
            </w:pPr>
          </w:p>
        </w:tc>
        <w:tc>
          <w:tcPr>
            <w:tcW w:w="0" w:type="auto"/>
            <w:gridSpan w:val="3"/>
            <w:shd w:val="clear" w:color="auto" w:fill="auto"/>
            <w:vAlign w:val="bottom"/>
          </w:tcPr>
          <w:p w14:paraId="5F2CC1E5" w14:textId="77777777" w:rsidR="00E836FB" w:rsidRDefault="00E836FB">
            <w:pPr>
              <w:rPr>
                <w:rFonts w:ascii="宋体"/>
                <w:vanish/>
              </w:rPr>
            </w:pPr>
          </w:p>
        </w:tc>
      </w:tr>
      <w:tr w:rsidR="00E836FB" w14:paraId="5F2CC1F2" w14:textId="77777777">
        <w:tc>
          <w:tcPr>
            <w:tcW w:w="0" w:type="auto"/>
            <w:gridSpan w:val="3"/>
            <w:shd w:val="clear" w:color="auto" w:fill="CCEEFF"/>
            <w:tcMar>
              <w:top w:w="40" w:type="dxa"/>
              <w:left w:w="20" w:type="dxa"/>
              <w:bottom w:w="40" w:type="dxa"/>
              <w:right w:w="20" w:type="dxa"/>
            </w:tcMar>
            <w:vAlign w:val="bottom"/>
          </w:tcPr>
          <w:p w14:paraId="5F2CC1E7" w14:textId="77777777" w:rsidR="00E836FB" w:rsidRDefault="00994958">
            <w:pPr>
              <w:textAlignment w:val="bottom"/>
            </w:pPr>
            <w:r>
              <w:rPr>
                <w:rFonts w:ascii="Arial" w:eastAsia="宋体" w:hAnsi="Arial" w:cs="Arial"/>
                <w:color w:val="000000"/>
                <w:sz w:val="14"/>
                <w:szCs w:val="14"/>
              </w:rPr>
              <w:t>Common shareholders’ equity</w:t>
            </w:r>
          </w:p>
        </w:tc>
        <w:tc>
          <w:tcPr>
            <w:tcW w:w="0" w:type="auto"/>
            <w:gridSpan w:val="2"/>
            <w:shd w:val="clear" w:color="auto" w:fill="CCEEFF"/>
            <w:tcMar>
              <w:top w:w="40" w:type="dxa"/>
              <w:left w:w="20" w:type="dxa"/>
              <w:bottom w:w="40" w:type="dxa"/>
              <w:right w:w="0" w:type="dxa"/>
            </w:tcMar>
            <w:vAlign w:val="bottom"/>
          </w:tcPr>
          <w:p w14:paraId="5F2CC1E8" w14:textId="77777777" w:rsidR="00E836FB" w:rsidRDefault="00994958">
            <w:pPr>
              <w:jc w:val="right"/>
              <w:textAlignment w:val="bottom"/>
            </w:pPr>
            <w:r>
              <w:rPr>
                <w:rFonts w:ascii="Arial" w:eastAsia="宋体" w:hAnsi="Arial" w:cs="Arial"/>
                <w:b/>
                <w:bCs/>
                <w:color w:val="000000"/>
                <w:sz w:val="14"/>
                <w:szCs w:val="14"/>
              </w:rPr>
              <w:t>24,009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1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E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EB" w14:textId="77777777" w:rsidR="00E836FB" w:rsidRDefault="00994958">
            <w:pPr>
              <w:jc w:val="right"/>
              <w:textAlignment w:val="bottom"/>
            </w:pPr>
            <w:r>
              <w:rPr>
                <w:rFonts w:ascii="Arial" w:eastAsia="宋体" w:hAnsi="Arial" w:cs="Arial"/>
                <w:color w:val="000000"/>
                <w:sz w:val="14"/>
                <w:szCs w:val="14"/>
              </w:rPr>
              <w:t>22,481 </w:t>
            </w:r>
          </w:p>
        </w:tc>
        <w:tc>
          <w:tcPr>
            <w:tcW w:w="0" w:type="auto"/>
            <w:shd w:val="clear" w:color="auto" w:fill="CCEEFF"/>
            <w:tcMar>
              <w:top w:w="40" w:type="dxa"/>
              <w:left w:w="0" w:type="dxa"/>
              <w:bottom w:w="40" w:type="dxa"/>
              <w:right w:w="20" w:type="dxa"/>
            </w:tcMar>
            <w:vAlign w:val="bottom"/>
          </w:tcPr>
          <w:p w14:paraId="5F2CC1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1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1EE" w14:textId="77777777" w:rsidR="00E836FB" w:rsidRDefault="00994958">
            <w:pPr>
              <w:jc w:val="right"/>
              <w:textAlignment w:val="bottom"/>
            </w:pPr>
            <w:r>
              <w:rPr>
                <w:rFonts w:ascii="Arial" w:eastAsia="宋体" w:hAnsi="Arial" w:cs="Arial"/>
                <w:color w:val="000000"/>
                <w:sz w:val="14"/>
                <w:szCs w:val="14"/>
              </w:rPr>
              <w:t>21,403 </w:t>
            </w:r>
          </w:p>
        </w:tc>
        <w:tc>
          <w:tcPr>
            <w:tcW w:w="0" w:type="auto"/>
            <w:shd w:val="clear" w:color="auto" w:fill="CCEEFF"/>
            <w:tcMar>
              <w:top w:w="40" w:type="dxa"/>
              <w:left w:w="0" w:type="dxa"/>
              <w:bottom w:w="40" w:type="dxa"/>
              <w:right w:w="20" w:type="dxa"/>
            </w:tcMar>
            <w:vAlign w:val="bottom"/>
          </w:tcPr>
          <w:p w14:paraId="5F2CC1EF" w14:textId="77777777" w:rsidR="00E836FB" w:rsidRDefault="00E836FB">
            <w:pPr>
              <w:jc w:val="right"/>
              <w:rPr>
                <w:rFonts w:ascii="宋体"/>
              </w:rPr>
            </w:pPr>
          </w:p>
        </w:tc>
        <w:tc>
          <w:tcPr>
            <w:tcW w:w="0" w:type="auto"/>
            <w:gridSpan w:val="3"/>
            <w:shd w:val="clear" w:color="auto" w:fill="auto"/>
            <w:vAlign w:val="bottom"/>
          </w:tcPr>
          <w:p w14:paraId="5F2CC1F0" w14:textId="77777777" w:rsidR="00E836FB" w:rsidRDefault="00E836FB">
            <w:pPr>
              <w:rPr>
                <w:rFonts w:ascii="宋体"/>
                <w:vanish/>
              </w:rPr>
            </w:pPr>
          </w:p>
        </w:tc>
        <w:tc>
          <w:tcPr>
            <w:tcW w:w="0" w:type="auto"/>
            <w:gridSpan w:val="3"/>
            <w:shd w:val="clear" w:color="auto" w:fill="auto"/>
            <w:vAlign w:val="bottom"/>
          </w:tcPr>
          <w:p w14:paraId="5F2CC1F1" w14:textId="77777777" w:rsidR="00E836FB" w:rsidRDefault="00E836FB">
            <w:pPr>
              <w:rPr>
                <w:rFonts w:ascii="宋体"/>
                <w:vanish/>
              </w:rPr>
            </w:pPr>
          </w:p>
        </w:tc>
      </w:tr>
      <w:tr w:rsidR="00E836FB" w14:paraId="5F2CC201" w14:textId="77777777">
        <w:tc>
          <w:tcPr>
            <w:tcW w:w="0" w:type="auto"/>
            <w:gridSpan w:val="3"/>
            <w:shd w:val="clear" w:color="auto" w:fill="FFFFFF"/>
            <w:tcMar>
              <w:top w:w="40" w:type="dxa"/>
              <w:left w:w="245" w:type="dxa"/>
              <w:bottom w:w="40" w:type="dxa"/>
              <w:right w:w="20" w:type="dxa"/>
            </w:tcMar>
            <w:vAlign w:val="bottom"/>
          </w:tcPr>
          <w:p w14:paraId="5F2CC1F3" w14:textId="77777777" w:rsidR="00E836FB" w:rsidRDefault="00994958">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1F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1F5" w14:textId="77777777" w:rsidR="00E836FB" w:rsidRDefault="00994958">
            <w:pPr>
              <w:jc w:val="right"/>
              <w:textAlignment w:val="bottom"/>
            </w:pPr>
            <w:r>
              <w:rPr>
                <w:rFonts w:ascii="Arial" w:eastAsia="宋体" w:hAnsi="Arial" w:cs="Arial"/>
                <w:b/>
                <w:bCs/>
                <w:color w:val="000000"/>
                <w:sz w:val="14"/>
                <w:szCs w:val="14"/>
              </w:rPr>
              <w:t>299,743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1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F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1F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1F9" w14:textId="77777777" w:rsidR="00E836FB" w:rsidRDefault="00994958">
            <w:pPr>
              <w:jc w:val="right"/>
              <w:textAlignment w:val="bottom"/>
            </w:pPr>
            <w:r>
              <w:rPr>
                <w:rFonts w:ascii="Arial" w:eastAsia="宋体" w:hAnsi="Arial" w:cs="Arial"/>
                <w:color w:val="000000"/>
                <w:sz w:val="14"/>
                <w:szCs w:val="14"/>
              </w:rPr>
              <w:t>269,334 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1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1FB"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1F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1FD" w14:textId="77777777" w:rsidR="00E836FB" w:rsidRDefault="00994958">
            <w:pPr>
              <w:jc w:val="right"/>
              <w:textAlignment w:val="bottom"/>
            </w:pPr>
            <w:r>
              <w:rPr>
                <w:rFonts w:ascii="Arial" w:eastAsia="宋体" w:hAnsi="Arial" w:cs="Arial"/>
                <w:color w:val="000000"/>
                <w:sz w:val="14"/>
                <w:szCs w:val="14"/>
              </w:rPr>
              <w:t>223,334 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1FE" w14:textId="77777777" w:rsidR="00E836FB" w:rsidRDefault="00E836FB">
            <w:pPr>
              <w:jc w:val="right"/>
              <w:rPr>
                <w:rFonts w:ascii="宋体"/>
              </w:rPr>
            </w:pPr>
          </w:p>
        </w:tc>
        <w:tc>
          <w:tcPr>
            <w:tcW w:w="0" w:type="auto"/>
            <w:gridSpan w:val="3"/>
            <w:shd w:val="clear" w:color="auto" w:fill="auto"/>
            <w:vAlign w:val="bottom"/>
          </w:tcPr>
          <w:p w14:paraId="5F2CC1FF" w14:textId="77777777" w:rsidR="00E836FB" w:rsidRDefault="00E836FB">
            <w:pPr>
              <w:rPr>
                <w:rFonts w:ascii="宋体"/>
                <w:vanish/>
              </w:rPr>
            </w:pPr>
          </w:p>
        </w:tc>
        <w:tc>
          <w:tcPr>
            <w:tcW w:w="0" w:type="auto"/>
            <w:gridSpan w:val="3"/>
            <w:shd w:val="clear" w:color="auto" w:fill="auto"/>
            <w:vAlign w:val="bottom"/>
          </w:tcPr>
          <w:p w14:paraId="5F2CC200" w14:textId="77777777" w:rsidR="00E836FB" w:rsidRDefault="00E836FB">
            <w:pPr>
              <w:rPr>
                <w:rFonts w:ascii="宋体"/>
                <w:vanish/>
              </w:rPr>
            </w:pPr>
          </w:p>
        </w:tc>
      </w:tr>
    </w:tbl>
    <w:p w14:paraId="5F2CC202"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694"/>
        <w:gridCol w:w="36"/>
        <w:gridCol w:w="69"/>
        <w:gridCol w:w="4432"/>
        <w:gridCol w:w="36"/>
      </w:tblGrid>
      <w:tr w:rsidR="00E836FB" w14:paraId="5F2CC209" w14:textId="77777777">
        <w:tc>
          <w:tcPr>
            <w:tcW w:w="50" w:type="pct"/>
            <w:shd w:val="clear" w:color="auto" w:fill="auto"/>
            <w:vAlign w:val="bottom"/>
          </w:tcPr>
          <w:p w14:paraId="5F2CC203" w14:textId="77777777" w:rsidR="00E836FB" w:rsidRDefault="00E836FB">
            <w:pPr>
              <w:rPr>
                <w:rFonts w:ascii="宋体"/>
              </w:rPr>
            </w:pPr>
          </w:p>
        </w:tc>
        <w:tc>
          <w:tcPr>
            <w:tcW w:w="2224" w:type="pct"/>
            <w:shd w:val="clear" w:color="auto" w:fill="auto"/>
            <w:vAlign w:val="bottom"/>
          </w:tcPr>
          <w:p w14:paraId="5F2CC204" w14:textId="77777777" w:rsidR="00E836FB" w:rsidRDefault="00E836FB">
            <w:pPr>
              <w:rPr>
                <w:rFonts w:ascii="宋体"/>
              </w:rPr>
            </w:pPr>
          </w:p>
        </w:tc>
        <w:tc>
          <w:tcPr>
            <w:tcW w:w="5" w:type="pct"/>
            <w:shd w:val="clear" w:color="auto" w:fill="auto"/>
            <w:vAlign w:val="bottom"/>
          </w:tcPr>
          <w:p w14:paraId="5F2CC205" w14:textId="77777777" w:rsidR="00E836FB" w:rsidRDefault="00E836FB">
            <w:pPr>
              <w:rPr>
                <w:rFonts w:ascii="宋体"/>
              </w:rPr>
            </w:pPr>
          </w:p>
        </w:tc>
        <w:tc>
          <w:tcPr>
            <w:tcW w:w="50" w:type="pct"/>
            <w:shd w:val="clear" w:color="auto" w:fill="auto"/>
            <w:vAlign w:val="bottom"/>
          </w:tcPr>
          <w:p w14:paraId="5F2CC206" w14:textId="77777777" w:rsidR="00E836FB" w:rsidRDefault="00E836FB">
            <w:pPr>
              <w:rPr>
                <w:rFonts w:ascii="宋体"/>
              </w:rPr>
            </w:pPr>
          </w:p>
        </w:tc>
        <w:tc>
          <w:tcPr>
            <w:tcW w:w="2665" w:type="pct"/>
            <w:shd w:val="clear" w:color="auto" w:fill="auto"/>
            <w:vAlign w:val="bottom"/>
          </w:tcPr>
          <w:p w14:paraId="5F2CC207" w14:textId="77777777" w:rsidR="00E836FB" w:rsidRDefault="00E836FB">
            <w:pPr>
              <w:rPr>
                <w:rFonts w:ascii="宋体"/>
              </w:rPr>
            </w:pPr>
          </w:p>
        </w:tc>
        <w:tc>
          <w:tcPr>
            <w:tcW w:w="5" w:type="pct"/>
            <w:shd w:val="clear" w:color="auto" w:fill="auto"/>
            <w:vAlign w:val="bottom"/>
          </w:tcPr>
          <w:p w14:paraId="5F2CC208" w14:textId="77777777" w:rsidR="00E836FB" w:rsidRDefault="00E836FB">
            <w:pPr>
              <w:rPr>
                <w:rFonts w:ascii="宋体"/>
              </w:rPr>
            </w:pPr>
          </w:p>
        </w:tc>
      </w:tr>
      <w:tr w:rsidR="00E836FB" w14:paraId="5F2CC20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2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20B" w14:textId="77777777" w:rsidR="00E836FB" w:rsidRDefault="00E836FB">
            <w:pPr>
              <w:rPr>
                <w:rFonts w:ascii="宋体"/>
              </w:rPr>
            </w:pPr>
          </w:p>
        </w:tc>
      </w:tr>
    </w:tbl>
    <w:p w14:paraId="5F2CC20D" w14:textId="77777777" w:rsidR="00E836FB" w:rsidRDefault="00994958">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Additional information about our average statement of condition, primarily our interest-earning assets and interest-bearing liabilities, is provided in "Net </w:t>
      </w:r>
      <w:r>
        <w:rPr>
          <w:rFonts w:ascii="Arial" w:eastAsia="宋体" w:hAnsi="Arial" w:cs="Arial"/>
          <w:color w:val="000000"/>
          <w:sz w:val="14"/>
          <w:szCs w:val="14"/>
        </w:rPr>
        <w:t>Interest Income" included in this Management's Discussion and Analysis.</w:t>
      </w:r>
    </w:p>
    <w:p w14:paraId="5F2CC20E" w14:textId="77777777" w:rsidR="00E836FB" w:rsidRDefault="00994958">
      <w:pPr>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Total deposits averaged $235.40 billion in 2021</w:t>
      </w:r>
      <w:r>
        <w:rPr>
          <w:rFonts w:ascii="Arial" w:eastAsia="宋体" w:hAnsi="Arial" w:cs="Arial"/>
          <w:color w:val="000000"/>
          <w:sz w:val="20"/>
          <w:szCs w:val="20"/>
        </w:rPr>
        <w:t xml:space="preserve"> </w:t>
      </w:r>
      <w:r>
        <w:rPr>
          <w:rFonts w:ascii="Arial" w:eastAsia="宋体" w:hAnsi="Arial" w:cs="Arial"/>
          <w:color w:val="000000"/>
          <w:sz w:val="14"/>
          <w:szCs w:val="14"/>
        </w:rPr>
        <w:t>compared to $193.23 billion and $158.26 billion in 2020 and 2019, respectively.</w:t>
      </w:r>
    </w:p>
    <w:p w14:paraId="5F2CC20F" w14:textId="77777777" w:rsidR="00E836FB" w:rsidRDefault="00994958">
      <w:pPr>
        <w:ind w:firstLine="450"/>
        <w:jc w:val="right"/>
      </w:pPr>
      <w:r>
        <w:rPr>
          <w:rFonts w:ascii="Arial" w:eastAsia="宋体" w:hAnsi="Arial" w:cs="Arial"/>
          <w:color w:val="000000"/>
          <w:sz w:val="18"/>
          <w:szCs w:val="18"/>
        </w:rPr>
        <w:t>State Street Corporation | 77</w:t>
      </w:r>
    </w:p>
    <w:p w14:paraId="5F2CC210" w14:textId="77777777" w:rsidR="00E836FB" w:rsidRDefault="00E836FB">
      <w:pPr>
        <w:ind w:firstLine="450"/>
        <w:jc w:val="center"/>
      </w:pPr>
    </w:p>
    <w:p w14:paraId="5F2CC211" w14:textId="77777777" w:rsidR="00E836FB" w:rsidRDefault="00994958">
      <w:r>
        <w:pict w14:anchorId="5F2D6DD2">
          <v:rect id="_x0000_i1101" style="width:415.3pt;height:1.5pt" o:hralign="center" o:hrstd="t" o:hr="t" fillcolor="#a0a0a0" stroked="f"/>
        </w:pict>
      </w:r>
    </w:p>
    <w:p w14:paraId="5F2CC212"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C213" w14:textId="77777777" w:rsidR="00E836FB" w:rsidRDefault="00994958">
      <w:pPr>
        <w:ind w:firstLine="450"/>
        <w:jc w:val="center"/>
      </w:pPr>
      <w:r>
        <w:rPr>
          <w:rFonts w:ascii="Arial" w:eastAsia="宋体" w:hAnsi="Arial" w:cs="Arial"/>
          <w:b/>
          <w:bCs/>
          <w:color w:val="000000"/>
          <w:sz w:val="20"/>
          <w:szCs w:val="20"/>
        </w:rPr>
        <w:t>AND RESULTS OF OPERATIONS</w:t>
      </w:r>
    </w:p>
    <w:p w14:paraId="5F2CC214" w14:textId="77777777" w:rsidR="00E836FB" w:rsidRDefault="00994958">
      <w:pPr>
        <w:spacing w:before="90"/>
        <w:textAlignment w:val="top"/>
      </w:pPr>
      <w:r>
        <w:rPr>
          <w:rFonts w:ascii="Arial" w:eastAsia="宋体" w:hAnsi="Arial" w:cs="Arial"/>
          <w:b/>
          <w:bCs/>
          <w:color w:val="000000"/>
          <w:sz w:val="20"/>
          <w:szCs w:val="20"/>
        </w:rPr>
        <w:t>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434"/>
        <w:gridCol w:w="36"/>
        <w:gridCol w:w="98"/>
        <w:gridCol w:w="956"/>
        <w:gridCol w:w="36"/>
        <w:gridCol w:w="36"/>
        <w:gridCol w:w="44"/>
        <w:gridCol w:w="36"/>
        <w:gridCol w:w="98"/>
        <w:gridCol w:w="956"/>
        <w:gridCol w:w="36"/>
        <w:gridCol w:w="36"/>
        <w:gridCol w:w="44"/>
        <w:gridCol w:w="36"/>
        <w:gridCol w:w="98"/>
        <w:gridCol w:w="956"/>
        <w:gridCol w:w="36"/>
        <w:gridCol w:w="36"/>
        <w:gridCol w:w="36"/>
        <w:gridCol w:w="36"/>
        <w:gridCol w:w="36"/>
        <w:gridCol w:w="36"/>
        <w:gridCol w:w="36"/>
        <w:gridCol w:w="36"/>
        <w:gridCol w:w="36"/>
        <w:gridCol w:w="36"/>
      </w:tblGrid>
      <w:tr w:rsidR="00E836FB" w14:paraId="5F2CC22A" w14:textId="77777777">
        <w:tc>
          <w:tcPr>
            <w:tcW w:w="50" w:type="pct"/>
            <w:shd w:val="clear" w:color="auto" w:fill="auto"/>
            <w:vAlign w:val="bottom"/>
          </w:tcPr>
          <w:p w14:paraId="5F2CC215" w14:textId="77777777" w:rsidR="00E836FB" w:rsidRDefault="00E836FB">
            <w:pPr>
              <w:rPr>
                <w:rFonts w:ascii="宋体"/>
              </w:rPr>
            </w:pPr>
          </w:p>
        </w:tc>
        <w:tc>
          <w:tcPr>
            <w:tcW w:w="2790" w:type="pct"/>
            <w:shd w:val="clear" w:color="auto" w:fill="auto"/>
            <w:vAlign w:val="bottom"/>
          </w:tcPr>
          <w:p w14:paraId="5F2CC216" w14:textId="77777777" w:rsidR="00E836FB" w:rsidRDefault="00E836FB">
            <w:pPr>
              <w:rPr>
                <w:rFonts w:ascii="宋体"/>
              </w:rPr>
            </w:pPr>
          </w:p>
        </w:tc>
        <w:tc>
          <w:tcPr>
            <w:tcW w:w="5" w:type="pct"/>
            <w:shd w:val="clear" w:color="auto" w:fill="auto"/>
            <w:vAlign w:val="bottom"/>
          </w:tcPr>
          <w:p w14:paraId="5F2CC217" w14:textId="77777777" w:rsidR="00E836FB" w:rsidRDefault="00E836FB">
            <w:pPr>
              <w:rPr>
                <w:rFonts w:ascii="宋体"/>
              </w:rPr>
            </w:pPr>
          </w:p>
        </w:tc>
        <w:tc>
          <w:tcPr>
            <w:tcW w:w="50" w:type="pct"/>
            <w:shd w:val="clear" w:color="auto" w:fill="auto"/>
            <w:vAlign w:val="bottom"/>
          </w:tcPr>
          <w:p w14:paraId="5F2CC218" w14:textId="77777777" w:rsidR="00E836FB" w:rsidRDefault="00E836FB">
            <w:pPr>
              <w:rPr>
                <w:rFonts w:ascii="宋体"/>
              </w:rPr>
            </w:pPr>
          </w:p>
        </w:tc>
        <w:tc>
          <w:tcPr>
            <w:tcW w:w="621" w:type="pct"/>
            <w:shd w:val="clear" w:color="auto" w:fill="auto"/>
            <w:vAlign w:val="bottom"/>
          </w:tcPr>
          <w:p w14:paraId="5F2CC219" w14:textId="77777777" w:rsidR="00E836FB" w:rsidRDefault="00E836FB">
            <w:pPr>
              <w:rPr>
                <w:rFonts w:ascii="宋体"/>
              </w:rPr>
            </w:pPr>
          </w:p>
        </w:tc>
        <w:tc>
          <w:tcPr>
            <w:tcW w:w="5" w:type="pct"/>
            <w:shd w:val="clear" w:color="auto" w:fill="auto"/>
            <w:vAlign w:val="bottom"/>
          </w:tcPr>
          <w:p w14:paraId="5F2CC21A" w14:textId="77777777" w:rsidR="00E836FB" w:rsidRDefault="00E836FB">
            <w:pPr>
              <w:rPr>
                <w:rFonts w:ascii="宋体"/>
              </w:rPr>
            </w:pPr>
          </w:p>
        </w:tc>
        <w:tc>
          <w:tcPr>
            <w:tcW w:w="5" w:type="pct"/>
            <w:shd w:val="clear" w:color="auto" w:fill="auto"/>
            <w:vAlign w:val="bottom"/>
          </w:tcPr>
          <w:p w14:paraId="5F2CC21B" w14:textId="77777777" w:rsidR="00E836FB" w:rsidRDefault="00E836FB">
            <w:pPr>
              <w:rPr>
                <w:rFonts w:ascii="宋体"/>
              </w:rPr>
            </w:pPr>
          </w:p>
        </w:tc>
        <w:tc>
          <w:tcPr>
            <w:tcW w:w="52" w:type="pct"/>
            <w:shd w:val="clear" w:color="auto" w:fill="auto"/>
            <w:vAlign w:val="bottom"/>
          </w:tcPr>
          <w:p w14:paraId="5F2CC21C" w14:textId="77777777" w:rsidR="00E836FB" w:rsidRDefault="00E836FB">
            <w:pPr>
              <w:rPr>
                <w:rFonts w:ascii="宋体"/>
              </w:rPr>
            </w:pPr>
          </w:p>
        </w:tc>
        <w:tc>
          <w:tcPr>
            <w:tcW w:w="5" w:type="pct"/>
            <w:shd w:val="clear" w:color="auto" w:fill="auto"/>
            <w:vAlign w:val="bottom"/>
          </w:tcPr>
          <w:p w14:paraId="5F2CC21D" w14:textId="77777777" w:rsidR="00E836FB" w:rsidRDefault="00E836FB">
            <w:pPr>
              <w:rPr>
                <w:rFonts w:ascii="宋体"/>
              </w:rPr>
            </w:pPr>
          </w:p>
        </w:tc>
        <w:tc>
          <w:tcPr>
            <w:tcW w:w="50" w:type="pct"/>
            <w:shd w:val="clear" w:color="auto" w:fill="auto"/>
            <w:vAlign w:val="bottom"/>
          </w:tcPr>
          <w:p w14:paraId="5F2CC21E" w14:textId="77777777" w:rsidR="00E836FB" w:rsidRDefault="00E836FB">
            <w:pPr>
              <w:rPr>
                <w:rFonts w:ascii="宋体"/>
              </w:rPr>
            </w:pPr>
          </w:p>
        </w:tc>
        <w:tc>
          <w:tcPr>
            <w:tcW w:w="621" w:type="pct"/>
            <w:shd w:val="clear" w:color="auto" w:fill="auto"/>
            <w:vAlign w:val="bottom"/>
          </w:tcPr>
          <w:p w14:paraId="5F2CC21F" w14:textId="77777777" w:rsidR="00E836FB" w:rsidRDefault="00E836FB">
            <w:pPr>
              <w:rPr>
                <w:rFonts w:ascii="宋体"/>
              </w:rPr>
            </w:pPr>
          </w:p>
        </w:tc>
        <w:tc>
          <w:tcPr>
            <w:tcW w:w="5" w:type="pct"/>
            <w:shd w:val="clear" w:color="auto" w:fill="auto"/>
            <w:vAlign w:val="bottom"/>
          </w:tcPr>
          <w:p w14:paraId="5F2CC220" w14:textId="77777777" w:rsidR="00E836FB" w:rsidRDefault="00E836FB">
            <w:pPr>
              <w:rPr>
                <w:rFonts w:ascii="宋体"/>
              </w:rPr>
            </w:pPr>
          </w:p>
        </w:tc>
        <w:tc>
          <w:tcPr>
            <w:tcW w:w="5" w:type="pct"/>
            <w:shd w:val="clear" w:color="auto" w:fill="auto"/>
            <w:vAlign w:val="bottom"/>
          </w:tcPr>
          <w:p w14:paraId="5F2CC221" w14:textId="77777777" w:rsidR="00E836FB" w:rsidRDefault="00E836FB">
            <w:pPr>
              <w:rPr>
                <w:rFonts w:ascii="宋体"/>
              </w:rPr>
            </w:pPr>
          </w:p>
        </w:tc>
        <w:tc>
          <w:tcPr>
            <w:tcW w:w="52" w:type="pct"/>
            <w:shd w:val="clear" w:color="auto" w:fill="auto"/>
            <w:vAlign w:val="bottom"/>
          </w:tcPr>
          <w:p w14:paraId="5F2CC222" w14:textId="77777777" w:rsidR="00E836FB" w:rsidRDefault="00E836FB">
            <w:pPr>
              <w:rPr>
                <w:rFonts w:ascii="宋体"/>
              </w:rPr>
            </w:pPr>
          </w:p>
        </w:tc>
        <w:tc>
          <w:tcPr>
            <w:tcW w:w="5" w:type="pct"/>
            <w:shd w:val="clear" w:color="auto" w:fill="auto"/>
            <w:vAlign w:val="bottom"/>
          </w:tcPr>
          <w:p w14:paraId="5F2CC223" w14:textId="77777777" w:rsidR="00E836FB" w:rsidRDefault="00E836FB">
            <w:pPr>
              <w:rPr>
                <w:rFonts w:ascii="宋体"/>
              </w:rPr>
            </w:pPr>
          </w:p>
        </w:tc>
        <w:tc>
          <w:tcPr>
            <w:tcW w:w="50" w:type="pct"/>
            <w:shd w:val="clear" w:color="auto" w:fill="auto"/>
            <w:vAlign w:val="bottom"/>
          </w:tcPr>
          <w:p w14:paraId="5F2CC224" w14:textId="77777777" w:rsidR="00E836FB" w:rsidRDefault="00E836FB">
            <w:pPr>
              <w:rPr>
                <w:rFonts w:ascii="宋体"/>
              </w:rPr>
            </w:pPr>
          </w:p>
        </w:tc>
        <w:tc>
          <w:tcPr>
            <w:tcW w:w="621" w:type="pct"/>
            <w:shd w:val="clear" w:color="auto" w:fill="auto"/>
            <w:vAlign w:val="bottom"/>
          </w:tcPr>
          <w:p w14:paraId="5F2CC225" w14:textId="77777777" w:rsidR="00E836FB" w:rsidRDefault="00E836FB">
            <w:pPr>
              <w:rPr>
                <w:rFonts w:ascii="宋体"/>
              </w:rPr>
            </w:pPr>
          </w:p>
        </w:tc>
        <w:tc>
          <w:tcPr>
            <w:tcW w:w="5" w:type="pct"/>
            <w:shd w:val="clear" w:color="auto" w:fill="auto"/>
            <w:vAlign w:val="bottom"/>
          </w:tcPr>
          <w:p w14:paraId="5F2CC226" w14:textId="77777777" w:rsidR="00E836FB" w:rsidRDefault="00E836FB">
            <w:pPr>
              <w:rPr>
                <w:rFonts w:ascii="宋体"/>
              </w:rPr>
            </w:pPr>
          </w:p>
        </w:tc>
        <w:tc>
          <w:tcPr>
            <w:tcW w:w="0" w:type="auto"/>
            <w:gridSpan w:val="3"/>
            <w:shd w:val="clear" w:color="auto" w:fill="auto"/>
            <w:vAlign w:val="bottom"/>
          </w:tcPr>
          <w:p w14:paraId="5F2CC227" w14:textId="77777777" w:rsidR="00E836FB" w:rsidRDefault="00E836FB">
            <w:pPr>
              <w:rPr>
                <w:rFonts w:ascii="宋体"/>
                <w:vanish/>
              </w:rPr>
            </w:pPr>
          </w:p>
        </w:tc>
        <w:tc>
          <w:tcPr>
            <w:tcW w:w="0" w:type="auto"/>
            <w:gridSpan w:val="3"/>
            <w:shd w:val="clear" w:color="auto" w:fill="auto"/>
            <w:vAlign w:val="bottom"/>
          </w:tcPr>
          <w:p w14:paraId="5F2CC228" w14:textId="77777777" w:rsidR="00E836FB" w:rsidRDefault="00E836FB">
            <w:pPr>
              <w:rPr>
                <w:rFonts w:ascii="宋体"/>
                <w:vanish/>
              </w:rPr>
            </w:pPr>
          </w:p>
        </w:tc>
        <w:tc>
          <w:tcPr>
            <w:tcW w:w="0" w:type="auto"/>
            <w:gridSpan w:val="3"/>
            <w:shd w:val="clear" w:color="auto" w:fill="auto"/>
            <w:vAlign w:val="bottom"/>
          </w:tcPr>
          <w:p w14:paraId="5F2CC229" w14:textId="77777777" w:rsidR="00E836FB" w:rsidRDefault="00E836FB">
            <w:pPr>
              <w:rPr>
                <w:rFonts w:ascii="宋体"/>
                <w:vanish/>
              </w:rPr>
            </w:pPr>
          </w:p>
        </w:tc>
      </w:tr>
      <w:tr w:rsidR="00E836FB" w14:paraId="5F2CC233" w14:textId="77777777">
        <w:tc>
          <w:tcPr>
            <w:tcW w:w="0" w:type="auto"/>
            <w:gridSpan w:val="18"/>
            <w:shd w:val="clear" w:color="auto" w:fill="auto"/>
            <w:tcMar>
              <w:top w:w="40" w:type="dxa"/>
              <w:left w:w="20" w:type="dxa"/>
              <w:bottom w:w="40" w:type="dxa"/>
              <w:right w:w="20" w:type="dxa"/>
            </w:tcMar>
            <w:vAlign w:val="bottom"/>
          </w:tcPr>
          <w:p w14:paraId="5F2CC22B" w14:textId="77777777" w:rsidR="00E836FB" w:rsidRDefault="00994958">
            <w:pPr>
              <w:jc w:val="both"/>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vAlign w:val="bottom"/>
          </w:tcPr>
          <w:p w14:paraId="5F2CC22C" w14:textId="77777777" w:rsidR="00E836FB" w:rsidRDefault="00E836FB">
            <w:pPr>
              <w:rPr>
                <w:rFonts w:ascii="宋体"/>
                <w:vanish/>
              </w:rPr>
            </w:pPr>
          </w:p>
        </w:tc>
        <w:tc>
          <w:tcPr>
            <w:tcW w:w="0" w:type="auto"/>
            <w:shd w:val="clear" w:color="auto" w:fill="auto"/>
            <w:vAlign w:val="bottom"/>
          </w:tcPr>
          <w:p w14:paraId="5F2CC22D" w14:textId="77777777" w:rsidR="00E836FB" w:rsidRDefault="00E836FB">
            <w:pPr>
              <w:rPr>
                <w:rFonts w:ascii="宋体"/>
              </w:rPr>
            </w:pPr>
          </w:p>
        </w:tc>
        <w:tc>
          <w:tcPr>
            <w:tcW w:w="0" w:type="auto"/>
            <w:shd w:val="clear" w:color="auto" w:fill="auto"/>
            <w:vAlign w:val="bottom"/>
          </w:tcPr>
          <w:p w14:paraId="5F2CC22E" w14:textId="77777777" w:rsidR="00E836FB" w:rsidRDefault="00E836FB">
            <w:pPr>
              <w:rPr>
                <w:rFonts w:ascii="宋体"/>
              </w:rPr>
            </w:pPr>
          </w:p>
        </w:tc>
        <w:tc>
          <w:tcPr>
            <w:tcW w:w="0" w:type="auto"/>
            <w:shd w:val="clear" w:color="auto" w:fill="auto"/>
            <w:vAlign w:val="bottom"/>
          </w:tcPr>
          <w:p w14:paraId="5F2CC22F" w14:textId="77777777" w:rsidR="00E836FB" w:rsidRDefault="00E836FB">
            <w:pPr>
              <w:rPr>
                <w:rFonts w:ascii="宋体"/>
              </w:rPr>
            </w:pPr>
          </w:p>
        </w:tc>
        <w:tc>
          <w:tcPr>
            <w:tcW w:w="0" w:type="auto"/>
            <w:shd w:val="clear" w:color="auto" w:fill="auto"/>
            <w:vAlign w:val="bottom"/>
          </w:tcPr>
          <w:p w14:paraId="5F2CC230" w14:textId="77777777" w:rsidR="00E836FB" w:rsidRDefault="00E836FB">
            <w:pPr>
              <w:rPr>
                <w:rFonts w:ascii="宋体"/>
              </w:rPr>
            </w:pPr>
          </w:p>
        </w:tc>
        <w:tc>
          <w:tcPr>
            <w:tcW w:w="0" w:type="auto"/>
            <w:shd w:val="clear" w:color="auto" w:fill="auto"/>
            <w:vAlign w:val="bottom"/>
          </w:tcPr>
          <w:p w14:paraId="5F2CC231" w14:textId="77777777" w:rsidR="00E836FB" w:rsidRDefault="00E836FB">
            <w:pPr>
              <w:rPr>
                <w:rFonts w:ascii="宋体"/>
              </w:rPr>
            </w:pPr>
          </w:p>
        </w:tc>
        <w:tc>
          <w:tcPr>
            <w:tcW w:w="0" w:type="auto"/>
            <w:shd w:val="clear" w:color="auto" w:fill="auto"/>
            <w:vAlign w:val="bottom"/>
          </w:tcPr>
          <w:p w14:paraId="5F2CC232" w14:textId="77777777" w:rsidR="00E836FB" w:rsidRDefault="00E836FB">
            <w:pPr>
              <w:rPr>
                <w:rFonts w:ascii="宋体"/>
              </w:rPr>
            </w:pPr>
          </w:p>
        </w:tc>
      </w:tr>
      <w:tr w:rsidR="00E836FB" w14:paraId="5F2CC249" w14:textId="77777777">
        <w:trPr>
          <w:hidden/>
        </w:trPr>
        <w:tc>
          <w:tcPr>
            <w:tcW w:w="0" w:type="auto"/>
            <w:gridSpan w:val="3"/>
            <w:shd w:val="clear" w:color="auto" w:fill="auto"/>
            <w:vAlign w:val="bottom"/>
          </w:tcPr>
          <w:p w14:paraId="5F2CC234" w14:textId="77777777" w:rsidR="00E836FB" w:rsidRDefault="00E836FB">
            <w:pPr>
              <w:rPr>
                <w:rFonts w:ascii="宋体"/>
                <w:vanish/>
              </w:rPr>
            </w:pPr>
          </w:p>
        </w:tc>
        <w:tc>
          <w:tcPr>
            <w:tcW w:w="0" w:type="auto"/>
            <w:gridSpan w:val="3"/>
            <w:shd w:val="clear" w:color="auto" w:fill="auto"/>
            <w:vAlign w:val="bottom"/>
          </w:tcPr>
          <w:p w14:paraId="5F2CC235" w14:textId="77777777" w:rsidR="00E836FB" w:rsidRDefault="00E836FB">
            <w:pPr>
              <w:rPr>
                <w:rFonts w:ascii="宋体"/>
                <w:vanish/>
              </w:rPr>
            </w:pPr>
          </w:p>
        </w:tc>
        <w:tc>
          <w:tcPr>
            <w:tcW w:w="0" w:type="auto"/>
            <w:gridSpan w:val="3"/>
            <w:shd w:val="clear" w:color="auto" w:fill="auto"/>
            <w:vAlign w:val="bottom"/>
          </w:tcPr>
          <w:p w14:paraId="5F2CC236" w14:textId="77777777" w:rsidR="00E836FB" w:rsidRDefault="00E836FB">
            <w:pPr>
              <w:rPr>
                <w:rFonts w:ascii="宋体"/>
                <w:vanish/>
              </w:rPr>
            </w:pPr>
          </w:p>
        </w:tc>
        <w:tc>
          <w:tcPr>
            <w:tcW w:w="0" w:type="auto"/>
            <w:shd w:val="clear" w:color="auto" w:fill="auto"/>
            <w:vAlign w:val="bottom"/>
          </w:tcPr>
          <w:p w14:paraId="5F2CC237" w14:textId="77777777" w:rsidR="00E836FB" w:rsidRDefault="00E836FB">
            <w:pPr>
              <w:rPr>
                <w:rFonts w:ascii="宋体"/>
              </w:rPr>
            </w:pPr>
          </w:p>
        </w:tc>
        <w:tc>
          <w:tcPr>
            <w:tcW w:w="0" w:type="auto"/>
            <w:shd w:val="clear" w:color="auto" w:fill="auto"/>
            <w:vAlign w:val="bottom"/>
          </w:tcPr>
          <w:p w14:paraId="5F2CC238" w14:textId="77777777" w:rsidR="00E836FB" w:rsidRDefault="00E836FB">
            <w:pPr>
              <w:rPr>
                <w:rFonts w:ascii="宋体"/>
              </w:rPr>
            </w:pPr>
          </w:p>
        </w:tc>
        <w:tc>
          <w:tcPr>
            <w:tcW w:w="0" w:type="auto"/>
            <w:shd w:val="clear" w:color="auto" w:fill="auto"/>
            <w:vAlign w:val="bottom"/>
          </w:tcPr>
          <w:p w14:paraId="5F2CC239" w14:textId="77777777" w:rsidR="00E836FB" w:rsidRDefault="00E836FB">
            <w:pPr>
              <w:rPr>
                <w:rFonts w:ascii="宋体"/>
              </w:rPr>
            </w:pPr>
          </w:p>
        </w:tc>
        <w:tc>
          <w:tcPr>
            <w:tcW w:w="0" w:type="auto"/>
            <w:shd w:val="clear" w:color="auto" w:fill="auto"/>
            <w:vAlign w:val="bottom"/>
          </w:tcPr>
          <w:p w14:paraId="5F2CC23A" w14:textId="77777777" w:rsidR="00E836FB" w:rsidRDefault="00E836FB">
            <w:pPr>
              <w:rPr>
                <w:rFonts w:ascii="宋体"/>
              </w:rPr>
            </w:pPr>
          </w:p>
        </w:tc>
        <w:tc>
          <w:tcPr>
            <w:tcW w:w="0" w:type="auto"/>
            <w:shd w:val="clear" w:color="auto" w:fill="auto"/>
            <w:vAlign w:val="bottom"/>
          </w:tcPr>
          <w:p w14:paraId="5F2CC23B" w14:textId="77777777" w:rsidR="00E836FB" w:rsidRDefault="00E836FB">
            <w:pPr>
              <w:rPr>
                <w:rFonts w:ascii="宋体"/>
              </w:rPr>
            </w:pPr>
          </w:p>
        </w:tc>
        <w:tc>
          <w:tcPr>
            <w:tcW w:w="0" w:type="auto"/>
            <w:shd w:val="clear" w:color="auto" w:fill="auto"/>
            <w:vAlign w:val="bottom"/>
          </w:tcPr>
          <w:p w14:paraId="5F2CC23C" w14:textId="77777777" w:rsidR="00E836FB" w:rsidRDefault="00E836FB">
            <w:pPr>
              <w:rPr>
                <w:rFonts w:ascii="宋体"/>
              </w:rPr>
            </w:pPr>
          </w:p>
        </w:tc>
        <w:tc>
          <w:tcPr>
            <w:tcW w:w="0" w:type="auto"/>
            <w:shd w:val="clear" w:color="auto" w:fill="auto"/>
            <w:vAlign w:val="bottom"/>
          </w:tcPr>
          <w:p w14:paraId="5F2CC23D" w14:textId="77777777" w:rsidR="00E836FB" w:rsidRDefault="00E836FB">
            <w:pPr>
              <w:rPr>
                <w:rFonts w:ascii="宋体"/>
              </w:rPr>
            </w:pPr>
          </w:p>
        </w:tc>
        <w:tc>
          <w:tcPr>
            <w:tcW w:w="0" w:type="auto"/>
            <w:shd w:val="clear" w:color="auto" w:fill="auto"/>
            <w:vAlign w:val="bottom"/>
          </w:tcPr>
          <w:p w14:paraId="5F2CC23E" w14:textId="77777777" w:rsidR="00E836FB" w:rsidRDefault="00E836FB">
            <w:pPr>
              <w:rPr>
                <w:rFonts w:ascii="宋体"/>
              </w:rPr>
            </w:pPr>
          </w:p>
        </w:tc>
        <w:tc>
          <w:tcPr>
            <w:tcW w:w="0" w:type="auto"/>
            <w:shd w:val="clear" w:color="auto" w:fill="auto"/>
            <w:vAlign w:val="bottom"/>
          </w:tcPr>
          <w:p w14:paraId="5F2CC23F" w14:textId="77777777" w:rsidR="00E836FB" w:rsidRDefault="00E836FB">
            <w:pPr>
              <w:rPr>
                <w:rFonts w:ascii="宋体"/>
              </w:rPr>
            </w:pPr>
          </w:p>
        </w:tc>
        <w:tc>
          <w:tcPr>
            <w:tcW w:w="0" w:type="auto"/>
            <w:shd w:val="clear" w:color="auto" w:fill="auto"/>
            <w:vAlign w:val="bottom"/>
          </w:tcPr>
          <w:p w14:paraId="5F2CC240" w14:textId="77777777" w:rsidR="00E836FB" w:rsidRDefault="00E836FB">
            <w:pPr>
              <w:rPr>
                <w:rFonts w:ascii="宋体"/>
              </w:rPr>
            </w:pPr>
          </w:p>
        </w:tc>
        <w:tc>
          <w:tcPr>
            <w:tcW w:w="0" w:type="auto"/>
            <w:shd w:val="clear" w:color="auto" w:fill="auto"/>
            <w:vAlign w:val="bottom"/>
          </w:tcPr>
          <w:p w14:paraId="5F2CC241" w14:textId="77777777" w:rsidR="00E836FB" w:rsidRDefault="00E836FB">
            <w:pPr>
              <w:rPr>
                <w:rFonts w:ascii="宋体"/>
              </w:rPr>
            </w:pPr>
          </w:p>
        </w:tc>
        <w:tc>
          <w:tcPr>
            <w:tcW w:w="0" w:type="auto"/>
            <w:shd w:val="clear" w:color="auto" w:fill="auto"/>
            <w:vAlign w:val="bottom"/>
          </w:tcPr>
          <w:p w14:paraId="5F2CC242" w14:textId="77777777" w:rsidR="00E836FB" w:rsidRDefault="00E836FB">
            <w:pPr>
              <w:rPr>
                <w:rFonts w:ascii="宋体"/>
              </w:rPr>
            </w:pPr>
          </w:p>
        </w:tc>
        <w:tc>
          <w:tcPr>
            <w:tcW w:w="0" w:type="auto"/>
            <w:shd w:val="clear" w:color="auto" w:fill="auto"/>
            <w:vAlign w:val="bottom"/>
          </w:tcPr>
          <w:p w14:paraId="5F2CC243" w14:textId="77777777" w:rsidR="00E836FB" w:rsidRDefault="00E836FB">
            <w:pPr>
              <w:rPr>
                <w:rFonts w:ascii="宋体"/>
              </w:rPr>
            </w:pPr>
          </w:p>
        </w:tc>
        <w:tc>
          <w:tcPr>
            <w:tcW w:w="0" w:type="auto"/>
            <w:shd w:val="clear" w:color="auto" w:fill="auto"/>
            <w:vAlign w:val="bottom"/>
          </w:tcPr>
          <w:p w14:paraId="5F2CC244" w14:textId="77777777" w:rsidR="00E836FB" w:rsidRDefault="00E836FB">
            <w:pPr>
              <w:rPr>
                <w:rFonts w:ascii="宋体"/>
              </w:rPr>
            </w:pPr>
          </w:p>
        </w:tc>
        <w:tc>
          <w:tcPr>
            <w:tcW w:w="0" w:type="auto"/>
            <w:shd w:val="clear" w:color="auto" w:fill="auto"/>
            <w:vAlign w:val="bottom"/>
          </w:tcPr>
          <w:p w14:paraId="5F2CC245" w14:textId="77777777" w:rsidR="00E836FB" w:rsidRDefault="00E836FB">
            <w:pPr>
              <w:rPr>
                <w:rFonts w:ascii="宋体"/>
              </w:rPr>
            </w:pPr>
          </w:p>
        </w:tc>
        <w:tc>
          <w:tcPr>
            <w:tcW w:w="0" w:type="auto"/>
            <w:shd w:val="clear" w:color="auto" w:fill="auto"/>
            <w:vAlign w:val="bottom"/>
          </w:tcPr>
          <w:p w14:paraId="5F2CC246" w14:textId="77777777" w:rsidR="00E836FB" w:rsidRDefault="00E836FB">
            <w:pPr>
              <w:rPr>
                <w:rFonts w:ascii="宋体"/>
              </w:rPr>
            </w:pPr>
          </w:p>
        </w:tc>
        <w:tc>
          <w:tcPr>
            <w:tcW w:w="0" w:type="auto"/>
            <w:shd w:val="clear" w:color="auto" w:fill="auto"/>
            <w:vAlign w:val="bottom"/>
          </w:tcPr>
          <w:p w14:paraId="5F2CC247" w14:textId="77777777" w:rsidR="00E836FB" w:rsidRDefault="00E836FB">
            <w:pPr>
              <w:rPr>
                <w:rFonts w:ascii="宋体"/>
              </w:rPr>
            </w:pPr>
          </w:p>
        </w:tc>
        <w:tc>
          <w:tcPr>
            <w:tcW w:w="0" w:type="auto"/>
            <w:shd w:val="clear" w:color="auto" w:fill="auto"/>
            <w:vAlign w:val="bottom"/>
          </w:tcPr>
          <w:p w14:paraId="5F2CC248" w14:textId="77777777" w:rsidR="00E836FB" w:rsidRDefault="00E836FB">
            <w:pPr>
              <w:rPr>
                <w:rFonts w:ascii="宋体"/>
              </w:rPr>
            </w:pPr>
          </w:p>
        </w:tc>
      </w:tr>
      <w:tr w:rsidR="00E836FB" w14:paraId="5F2CC24F" w14:textId="77777777">
        <w:tc>
          <w:tcPr>
            <w:tcW w:w="0" w:type="auto"/>
            <w:gridSpan w:val="3"/>
            <w:shd w:val="clear" w:color="auto" w:fill="auto"/>
            <w:tcMar>
              <w:top w:w="0" w:type="dxa"/>
              <w:left w:w="20" w:type="dxa"/>
              <w:bottom w:w="0" w:type="dxa"/>
              <w:right w:w="20" w:type="dxa"/>
            </w:tcMar>
            <w:vAlign w:val="bottom"/>
          </w:tcPr>
          <w:p w14:paraId="5F2CC24A"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C24B" w14:textId="77777777" w:rsidR="00E836FB" w:rsidRDefault="00994958">
            <w:pPr>
              <w:jc w:val="center"/>
              <w:textAlignment w:val="bottom"/>
            </w:pPr>
            <w:r>
              <w:rPr>
                <w:rFonts w:ascii="Arial" w:eastAsia="宋体" w:hAnsi="Arial" w:cs="Arial"/>
                <w:b/>
                <w:bCs/>
                <w:color w:val="000000"/>
                <w:sz w:val="14"/>
                <w:szCs w:val="14"/>
              </w:rPr>
              <w:t>As of December 31,</w:t>
            </w:r>
          </w:p>
        </w:tc>
        <w:tc>
          <w:tcPr>
            <w:tcW w:w="0" w:type="auto"/>
            <w:gridSpan w:val="3"/>
            <w:shd w:val="clear" w:color="auto" w:fill="auto"/>
            <w:vAlign w:val="bottom"/>
          </w:tcPr>
          <w:p w14:paraId="5F2CC24C" w14:textId="77777777" w:rsidR="00E836FB" w:rsidRDefault="00E836FB">
            <w:pPr>
              <w:rPr>
                <w:rFonts w:ascii="宋体"/>
                <w:vanish/>
              </w:rPr>
            </w:pPr>
          </w:p>
        </w:tc>
        <w:tc>
          <w:tcPr>
            <w:tcW w:w="0" w:type="auto"/>
            <w:gridSpan w:val="3"/>
            <w:shd w:val="clear" w:color="auto" w:fill="auto"/>
            <w:vAlign w:val="bottom"/>
          </w:tcPr>
          <w:p w14:paraId="5F2CC24D" w14:textId="77777777" w:rsidR="00E836FB" w:rsidRDefault="00E836FB">
            <w:pPr>
              <w:rPr>
                <w:rFonts w:ascii="宋体"/>
                <w:vanish/>
              </w:rPr>
            </w:pPr>
          </w:p>
        </w:tc>
        <w:tc>
          <w:tcPr>
            <w:tcW w:w="0" w:type="auto"/>
            <w:gridSpan w:val="3"/>
            <w:shd w:val="clear" w:color="auto" w:fill="auto"/>
            <w:vAlign w:val="bottom"/>
          </w:tcPr>
          <w:p w14:paraId="5F2CC24E" w14:textId="77777777" w:rsidR="00E836FB" w:rsidRDefault="00E836FB">
            <w:pPr>
              <w:rPr>
                <w:rFonts w:ascii="宋体"/>
                <w:vanish/>
              </w:rPr>
            </w:pPr>
          </w:p>
        </w:tc>
      </w:tr>
      <w:tr w:rsidR="00E836FB" w14:paraId="5F2CC259" w14:textId="77777777">
        <w:tc>
          <w:tcPr>
            <w:tcW w:w="0" w:type="auto"/>
            <w:gridSpan w:val="3"/>
            <w:shd w:val="clear" w:color="auto" w:fill="auto"/>
            <w:tcMar>
              <w:top w:w="40" w:type="dxa"/>
              <w:left w:w="20" w:type="dxa"/>
              <w:bottom w:w="40" w:type="dxa"/>
              <w:right w:w="20" w:type="dxa"/>
            </w:tcMar>
            <w:vAlign w:val="bottom"/>
          </w:tcPr>
          <w:p w14:paraId="5F2CC250"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251"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25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253"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25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255"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vAlign w:val="bottom"/>
          </w:tcPr>
          <w:p w14:paraId="5F2CC256" w14:textId="77777777" w:rsidR="00E836FB" w:rsidRDefault="00E836FB">
            <w:pPr>
              <w:rPr>
                <w:rFonts w:ascii="宋体"/>
                <w:vanish/>
              </w:rPr>
            </w:pPr>
          </w:p>
        </w:tc>
        <w:tc>
          <w:tcPr>
            <w:tcW w:w="0" w:type="auto"/>
            <w:gridSpan w:val="3"/>
            <w:shd w:val="clear" w:color="auto" w:fill="auto"/>
            <w:vAlign w:val="bottom"/>
          </w:tcPr>
          <w:p w14:paraId="5F2CC257" w14:textId="77777777" w:rsidR="00E836FB" w:rsidRDefault="00E836FB">
            <w:pPr>
              <w:rPr>
                <w:rFonts w:ascii="宋体"/>
                <w:vanish/>
              </w:rPr>
            </w:pPr>
          </w:p>
        </w:tc>
        <w:tc>
          <w:tcPr>
            <w:tcW w:w="0" w:type="auto"/>
            <w:gridSpan w:val="3"/>
            <w:shd w:val="clear" w:color="auto" w:fill="auto"/>
            <w:vAlign w:val="bottom"/>
          </w:tcPr>
          <w:p w14:paraId="5F2CC258" w14:textId="77777777" w:rsidR="00E836FB" w:rsidRDefault="00E836FB">
            <w:pPr>
              <w:rPr>
                <w:rFonts w:ascii="宋体"/>
                <w:vanish/>
              </w:rPr>
            </w:pPr>
          </w:p>
        </w:tc>
      </w:tr>
      <w:tr w:rsidR="00E836FB" w14:paraId="5F2CC263" w14:textId="77777777">
        <w:tc>
          <w:tcPr>
            <w:tcW w:w="0" w:type="auto"/>
            <w:gridSpan w:val="3"/>
            <w:shd w:val="clear" w:color="auto" w:fill="auto"/>
            <w:tcMar>
              <w:top w:w="40" w:type="dxa"/>
              <w:left w:w="20" w:type="dxa"/>
              <w:bottom w:w="40" w:type="dxa"/>
              <w:right w:w="20" w:type="dxa"/>
            </w:tcMar>
            <w:vAlign w:val="bottom"/>
          </w:tcPr>
          <w:p w14:paraId="5F2CC25A" w14:textId="77777777" w:rsidR="00E836FB" w:rsidRDefault="00994958">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25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25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25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25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25F" w14:textId="77777777" w:rsidR="00E836FB" w:rsidRDefault="00E836FB">
            <w:pPr>
              <w:rPr>
                <w:rFonts w:ascii="宋体"/>
              </w:rPr>
            </w:pPr>
          </w:p>
        </w:tc>
        <w:tc>
          <w:tcPr>
            <w:tcW w:w="0" w:type="auto"/>
            <w:gridSpan w:val="3"/>
            <w:shd w:val="clear" w:color="auto" w:fill="auto"/>
            <w:vAlign w:val="bottom"/>
          </w:tcPr>
          <w:p w14:paraId="5F2CC260" w14:textId="77777777" w:rsidR="00E836FB" w:rsidRDefault="00E836FB">
            <w:pPr>
              <w:rPr>
                <w:rFonts w:ascii="宋体"/>
                <w:vanish/>
              </w:rPr>
            </w:pPr>
          </w:p>
        </w:tc>
        <w:tc>
          <w:tcPr>
            <w:tcW w:w="0" w:type="auto"/>
            <w:gridSpan w:val="3"/>
            <w:shd w:val="clear" w:color="auto" w:fill="auto"/>
            <w:vAlign w:val="bottom"/>
          </w:tcPr>
          <w:p w14:paraId="5F2CC261" w14:textId="77777777" w:rsidR="00E836FB" w:rsidRDefault="00E836FB">
            <w:pPr>
              <w:rPr>
                <w:rFonts w:ascii="宋体"/>
                <w:vanish/>
              </w:rPr>
            </w:pPr>
          </w:p>
        </w:tc>
        <w:tc>
          <w:tcPr>
            <w:tcW w:w="0" w:type="auto"/>
            <w:gridSpan w:val="3"/>
            <w:shd w:val="clear" w:color="auto" w:fill="auto"/>
            <w:vAlign w:val="bottom"/>
          </w:tcPr>
          <w:p w14:paraId="5F2CC262" w14:textId="77777777" w:rsidR="00E836FB" w:rsidRDefault="00E836FB">
            <w:pPr>
              <w:rPr>
                <w:rFonts w:ascii="宋体"/>
                <w:vanish/>
              </w:rPr>
            </w:pPr>
          </w:p>
        </w:tc>
      </w:tr>
      <w:tr w:rsidR="00E836FB" w14:paraId="5F2CC26D" w14:textId="77777777">
        <w:tc>
          <w:tcPr>
            <w:tcW w:w="0" w:type="auto"/>
            <w:gridSpan w:val="3"/>
            <w:shd w:val="clear" w:color="auto" w:fill="FFFFFF"/>
            <w:tcMar>
              <w:top w:w="40" w:type="dxa"/>
              <w:left w:w="20" w:type="dxa"/>
              <w:bottom w:w="40" w:type="dxa"/>
              <w:right w:w="20" w:type="dxa"/>
            </w:tcMar>
            <w:vAlign w:val="bottom"/>
          </w:tcPr>
          <w:p w14:paraId="5F2CC264" w14:textId="77777777" w:rsidR="00E836FB" w:rsidRDefault="00994958">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5F2CC26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6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6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6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69" w14:textId="77777777" w:rsidR="00E836FB" w:rsidRDefault="00E836FB">
            <w:pPr>
              <w:rPr>
                <w:rFonts w:ascii="宋体"/>
              </w:rPr>
            </w:pPr>
          </w:p>
        </w:tc>
        <w:tc>
          <w:tcPr>
            <w:tcW w:w="0" w:type="auto"/>
            <w:gridSpan w:val="3"/>
            <w:shd w:val="clear" w:color="auto" w:fill="auto"/>
            <w:vAlign w:val="bottom"/>
          </w:tcPr>
          <w:p w14:paraId="5F2CC26A" w14:textId="77777777" w:rsidR="00E836FB" w:rsidRDefault="00E836FB">
            <w:pPr>
              <w:rPr>
                <w:rFonts w:ascii="宋体"/>
                <w:vanish/>
              </w:rPr>
            </w:pPr>
          </w:p>
        </w:tc>
        <w:tc>
          <w:tcPr>
            <w:tcW w:w="0" w:type="auto"/>
            <w:gridSpan w:val="3"/>
            <w:shd w:val="clear" w:color="auto" w:fill="auto"/>
            <w:vAlign w:val="bottom"/>
          </w:tcPr>
          <w:p w14:paraId="5F2CC26B" w14:textId="77777777" w:rsidR="00E836FB" w:rsidRDefault="00E836FB">
            <w:pPr>
              <w:rPr>
                <w:rFonts w:ascii="宋体"/>
                <w:vanish/>
              </w:rPr>
            </w:pPr>
          </w:p>
        </w:tc>
        <w:tc>
          <w:tcPr>
            <w:tcW w:w="0" w:type="auto"/>
            <w:gridSpan w:val="3"/>
            <w:shd w:val="clear" w:color="auto" w:fill="auto"/>
            <w:vAlign w:val="bottom"/>
          </w:tcPr>
          <w:p w14:paraId="5F2CC26C" w14:textId="77777777" w:rsidR="00E836FB" w:rsidRDefault="00E836FB">
            <w:pPr>
              <w:rPr>
                <w:rFonts w:ascii="宋体"/>
                <w:vanish/>
              </w:rPr>
            </w:pPr>
          </w:p>
        </w:tc>
      </w:tr>
      <w:tr w:rsidR="00E836FB" w14:paraId="5F2CC27D" w14:textId="77777777">
        <w:tc>
          <w:tcPr>
            <w:tcW w:w="0" w:type="auto"/>
            <w:gridSpan w:val="3"/>
            <w:shd w:val="clear" w:color="auto" w:fill="CCEEFF"/>
            <w:tcMar>
              <w:top w:w="40" w:type="dxa"/>
              <w:left w:w="155" w:type="dxa"/>
              <w:bottom w:w="40" w:type="dxa"/>
              <w:right w:w="20" w:type="dxa"/>
            </w:tcMar>
            <w:vAlign w:val="bottom"/>
          </w:tcPr>
          <w:p w14:paraId="5F2CC26E" w14:textId="77777777" w:rsidR="00E836FB" w:rsidRDefault="00994958">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F2CC26F"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270" w14:textId="77777777" w:rsidR="00E836FB" w:rsidRDefault="00994958">
            <w:pPr>
              <w:jc w:val="right"/>
              <w:textAlignment w:val="bottom"/>
            </w:pPr>
            <w:r>
              <w:rPr>
                <w:rFonts w:ascii="Arial" w:eastAsia="宋体" w:hAnsi="Arial" w:cs="Arial"/>
                <w:b/>
                <w:bCs/>
                <w:color w:val="000000"/>
                <w:sz w:val="14"/>
                <w:szCs w:val="14"/>
              </w:rPr>
              <w:t>17,939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27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7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27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274" w14:textId="77777777" w:rsidR="00E836FB" w:rsidRDefault="00994958">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5F2CC2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7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27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278" w14:textId="77777777" w:rsidR="00E836FB" w:rsidRDefault="00994958">
            <w:pPr>
              <w:jc w:val="right"/>
              <w:textAlignment w:val="bottom"/>
            </w:pPr>
            <w:r>
              <w:rPr>
                <w:rFonts w:ascii="Arial" w:eastAsia="宋体" w:hAnsi="Arial" w:cs="Arial"/>
                <w:color w:val="000000"/>
                <w:sz w:val="14"/>
                <w:szCs w:val="14"/>
              </w:rPr>
              <w:t>3,487 </w:t>
            </w:r>
          </w:p>
        </w:tc>
        <w:tc>
          <w:tcPr>
            <w:tcW w:w="0" w:type="auto"/>
            <w:shd w:val="clear" w:color="auto" w:fill="CCEEFF"/>
            <w:tcMar>
              <w:top w:w="40" w:type="dxa"/>
              <w:left w:w="0" w:type="dxa"/>
              <w:bottom w:w="40" w:type="dxa"/>
              <w:right w:w="20" w:type="dxa"/>
            </w:tcMar>
            <w:vAlign w:val="bottom"/>
          </w:tcPr>
          <w:p w14:paraId="5F2CC279" w14:textId="77777777" w:rsidR="00E836FB" w:rsidRDefault="00E836FB">
            <w:pPr>
              <w:jc w:val="right"/>
              <w:rPr>
                <w:rFonts w:ascii="宋体"/>
              </w:rPr>
            </w:pPr>
          </w:p>
        </w:tc>
        <w:tc>
          <w:tcPr>
            <w:tcW w:w="0" w:type="auto"/>
            <w:gridSpan w:val="3"/>
            <w:shd w:val="clear" w:color="auto" w:fill="auto"/>
            <w:vAlign w:val="bottom"/>
          </w:tcPr>
          <w:p w14:paraId="5F2CC27A" w14:textId="77777777" w:rsidR="00E836FB" w:rsidRDefault="00E836FB">
            <w:pPr>
              <w:rPr>
                <w:rFonts w:ascii="宋体"/>
                <w:vanish/>
              </w:rPr>
            </w:pPr>
          </w:p>
        </w:tc>
        <w:tc>
          <w:tcPr>
            <w:tcW w:w="0" w:type="auto"/>
            <w:gridSpan w:val="3"/>
            <w:shd w:val="clear" w:color="auto" w:fill="auto"/>
            <w:vAlign w:val="bottom"/>
          </w:tcPr>
          <w:p w14:paraId="5F2CC27B" w14:textId="77777777" w:rsidR="00E836FB" w:rsidRDefault="00E836FB">
            <w:pPr>
              <w:rPr>
                <w:rFonts w:ascii="宋体"/>
                <w:vanish/>
              </w:rPr>
            </w:pPr>
          </w:p>
        </w:tc>
        <w:tc>
          <w:tcPr>
            <w:tcW w:w="0" w:type="auto"/>
            <w:gridSpan w:val="3"/>
            <w:shd w:val="clear" w:color="auto" w:fill="auto"/>
            <w:vAlign w:val="bottom"/>
          </w:tcPr>
          <w:p w14:paraId="5F2CC27C" w14:textId="77777777" w:rsidR="00E836FB" w:rsidRDefault="00E836FB">
            <w:pPr>
              <w:rPr>
                <w:rFonts w:ascii="宋体"/>
                <w:vanish/>
              </w:rPr>
            </w:pPr>
          </w:p>
        </w:tc>
      </w:tr>
      <w:tr w:rsidR="00E836FB" w14:paraId="5F2CC28A" w14:textId="77777777">
        <w:tc>
          <w:tcPr>
            <w:tcW w:w="0" w:type="auto"/>
            <w:gridSpan w:val="3"/>
            <w:shd w:val="clear" w:color="auto" w:fill="FFFFFF"/>
            <w:tcMar>
              <w:top w:w="40" w:type="dxa"/>
              <w:left w:w="155" w:type="dxa"/>
              <w:bottom w:w="40" w:type="dxa"/>
              <w:right w:w="20" w:type="dxa"/>
            </w:tcMar>
            <w:vAlign w:val="bottom"/>
          </w:tcPr>
          <w:p w14:paraId="5F2CC27E" w14:textId="77777777" w:rsidR="00E836FB" w:rsidRDefault="00994958">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F2CC27F" w14:textId="77777777" w:rsidR="00E836FB" w:rsidRDefault="00994958">
            <w:pPr>
              <w:jc w:val="right"/>
              <w:textAlignment w:val="bottom"/>
            </w:pPr>
            <w:r>
              <w:rPr>
                <w:rFonts w:ascii="Arial" w:eastAsia="宋体" w:hAnsi="Arial" w:cs="Arial"/>
                <w:b/>
                <w:bCs/>
                <w:color w:val="000000"/>
                <w:sz w:val="14"/>
                <w:szCs w:val="14"/>
              </w:rPr>
              <w:t>18,208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2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28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282" w14:textId="77777777" w:rsidR="00E836FB" w:rsidRDefault="00994958">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5F2CC2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28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285" w14:textId="77777777" w:rsidR="00E836FB" w:rsidRDefault="00994958">
            <w:pPr>
              <w:jc w:val="right"/>
              <w:textAlignment w:val="bottom"/>
            </w:pPr>
            <w:r>
              <w:rPr>
                <w:rFonts w:ascii="Arial" w:eastAsia="宋体" w:hAnsi="Arial" w:cs="Arial"/>
                <w:color w:val="000000"/>
                <w:sz w:val="14"/>
                <w:szCs w:val="14"/>
              </w:rPr>
              <w:t>17,838 </w:t>
            </w:r>
          </w:p>
        </w:tc>
        <w:tc>
          <w:tcPr>
            <w:tcW w:w="0" w:type="auto"/>
            <w:shd w:val="clear" w:color="auto" w:fill="FFFFFF"/>
            <w:tcMar>
              <w:top w:w="40" w:type="dxa"/>
              <w:left w:w="0" w:type="dxa"/>
              <w:bottom w:w="40" w:type="dxa"/>
              <w:right w:w="20" w:type="dxa"/>
            </w:tcMar>
            <w:vAlign w:val="bottom"/>
          </w:tcPr>
          <w:p w14:paraId="5F2CC286" w14:textId="77777777" w:rsidR="00E836FB" w:rsidRDefault="00E836FB">
            <w:pPr>
              <w:jc w:val="right"/>
              <w:rPr>
                <w:rFonts w:ascii="宋体"/>
              </w:rPr>
            </w:pPr>
          </w:p>
        </w:tc>
        <w:tc>
          <w:tcPr>
            <w:tcW w:w="0" w:type="auto"/>
            <w:gridSpan w:val="3"/>
            <w:shd w:val="clear" w:color="auto" w:fill="auto"/>
            <w:vAlign w:val="bottom"/>
          </w:tcPr>
          <w:p w14:paraId="5F2CC287" w14:textId="77777777" w:rsidR="00E836FB" w:rsidRDefault="00E836FB">
            <w:pPr>
              <w:rPr>
                <w:rFonts w:ascii="宋体"/>
                <w:vanish/>
              </w:rPr>
            </w:pPr>
          </w:p>
        </w:tc>
        <w:tc>
          <w:tcPr>
            <w:tcW w:w="0" w:type="auto"/>
            <w:gridSpan w:val="3"/>
            <w:shd w:val="clear" w:color="auto" w:fill="auto"/>
            <w:vAlign w:val="bottom"/>
          </w:tcPr>
          <w:p w14:paraId="5F2CC288" w14:textId="77777777" w:rsidR="00E836FB" w:rsidRDefault="00E836FB">
            <w:pPr>
              <w:rPr>
                <w:rFonts w:ascii="宋体"/>
                <w:vanish/>
              </w:rPr>
            </w:pPr>
          </w:p>
        </w:tc>
        <w:tc>
          <w:tcPr>
            <w:tcW w:w="0" w:type="auto"/>
            <w:gridSpan w:val="3"/>
            <w:shd w:val="clear" w:color="auto" w:fill="auto"/>
            <w:vAlign w:val="bottom"/>
          </w:tcPr>
          <w:p w14:paraId="5F2CC289" w14:textId="77777777" w:rsidR="00E836FB" w:rsidRDefault="00E836FB">
            <w:pPr>
              <w:rPr>
                <w:rFonts w:ascii="宋体"/>
                <w:vanish/>
              </w:rPr>
            </w:pPr>
          </w:p>
        </w:tc>
      </w:tr>
      <w:tr w:rsidR="00E836FB" w14:paraId="5F2CC297" w14:textId="77777777">
        <w:tc>
          <w:tcPr>
            <w:tcW w:w="0" w:type="auto"/>
            <w:gridSpan w:val="3"/>
            <w:shd w:val="clear" w:color="auto" w:fill="CCEEFF"/>
            <w:tcMar>
              <w:top w:w="40" w:type="dxa"/>
              <w:left w:w="20" w:type="dxa"/>
              <w:bottom w:w="40" w:type="dxa"/>
              <w:right w:w="20" w:type="dxa"/>
            </w:tcMar>
            <w:vAlign w:val="bottom"/>
          </w:tcPr>
          <w:p w14:paraId="5F2CC28B" w14:textId="77777777" w:rsidR="00E836FB" w:rsidRDefault="00994958">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28C" w14:textId="77777777" w:rsidR="00E836FB" w:rsidRDefault="00994958">
            <w:pPr>
              <w:jc w:val="right"/>
              <w:textAlignment w:val="bottom"/>
            </w:pPr>
            <w:r>
              <w:rPr>
                <w:rFonts w:ascii="Arial" w:eastAsia="宋体" w:hAnsi="Arial" w:cs="Arial"/>
                <w:b/>
                <w:bCs/>
                <w:color w:val="000000"/>
                <w:sz w:val="14"/>
                <w:szCs w:val="14"/>
              </w:rPr>
              <w:t>36,147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2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8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28F" w14:textId="77777777" w:rsidR="00E836FB" w:rsidRDefault="00994958">
            <w:pPr>
              <w:jc w:val="right"/>
              <w:textAlignment w:val="bottom"/>
            </w:pPr>
            <w:r>
              <w:rPr>
                <w:rFonts w:ascii="Arial" w:eastAsia="宋体" w:hAnsi="Arial" w:cs="Arial"/>
                <w:color w:val="000000"/>
                <w:sz w:val="14"/>
                <w:szCs w:val="14"/>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2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9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292" w14:textId="77777777" w:rsidR="00E836FB" w:rsidRDefault="00994958">
            <w:pPr>
              <w:jc w:val="right"/>
              <w:textAlignment w:val="bottom"/>
            </w:pPr>
            <w:r>
              <w:rPr>
                <w:rFonts w:ascii="Arial" w:eastAsia="宋体" w:hAnsi="Arial" w:cs="Arial"/>
                <w:color w:val="000000"/>
                <w:sz w:val="14"/>
                <w:szCs w:val="14"/>
              </w:rPr>
              <w:t>21,325 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293" w14:textId="77777777" w:rsidR="00E836FB" w:rsidRDefault="00E836FB">
            <w:pPr>
              <w:jc w:val="right"/>
              <w:rPr>
                <w:rFonts w:ascii="宋体"/>
              </w:rPr>
            </w:pPr>
          </w:p>
        </w:tc>
        <w:tc>
          <w:tcPr>
            <w:tcW w:w="0" w:type="auto"/>
            <w:gridSpan w:val="3"/>
            <w:shd w:val="clear" w:color="auto" w:fill="auto"/>
            <w:vAlign w:val="bottom"/>
          </w:tcPr>
          <w:p w14:paraId="5F2CC294" w14:textId="77777777" w:rsidR="00E836FB" w:rsidRDefault="00E836FB">
            <w:pPr>
              <w:rPr>
                <w:rFonts w:ascii="宋体"/>
                <w:vanish/>
              </w:rPr>
            </w:pPr>
          </w:p>
        </w:tc>
        <w:tc>
          <w:tcPr>
            <w:tcW w:w="0" w:type="auto"/>
            <w:gridSpan w:val="3"/>
            <w:shd w:val="clear" w:color="auto" w:fill="auto"/>
            <w:vAlign w:val="bottom"/>
          </w:tcPr>
          <w:p w14:paraId="5F2CC295" w14:textId="77777777" w:rsidR="00E836FB" w:rsidRDefault="00E836FB">
            <w:pPr>
              <w:rPr>
                <w:rFonts w:ascii="宋体"/>
                <w:vanish/>
              </w:rPr>
            </w:pPr>
          </w:p>
        </w:tc>
        <w:tc>
          <w:tcPr>
            <w:tcW w:w="0" w:type="auto"/>
            <w:gridSpan w:val="3"/>
            <w:shd w:val="clear" w:color="auto" w:fill="auto"/>
            <w:vAlign w:val="bottom"/>
          </w:tcPr>
          <w:p w14:paraId="5F2CC296" w14:textId="77777777" w:rsidR="00E836FB" w:rsidRDefault="00E836FB">
            <w:pPr>
              <w:rPr>
                <w:rFonts w:ascii="宋体"/>
                <w:vanish/>
              </w:rPr>
            </w:pPr>
          </w:p>
        </w:tc>
      </w:tr>
      <w:tr w:rsidR="00E836FB" w14:paraId="5F2CC2A1" w14:textId="77777777">
        <w:tc>
          <w:tcPr>
            <w:tcW w:w="0" w:type="auto"/>
            <w:gridSpan w:val="3"/>
            <w:shd w:val="clear" w:color="auto" w:fill="FFFFFF"/>
            <w:tcMar>
              <w:top w:w="40" w:type="dxa"/>
              <w:left w:w="20" w:type="dxa"/>
              <w:bottom w:w="40" w:type="dxa"/>
              <w:right w:w="20" w:type="dxa"/>
            </w:tcMar>
            <w:vAlign w:val="bottom"/>
          </w:tcPr>
          <w:p w14:paraId="5F2CC298" w14:textId="77777777" w:rsidR="00E836FB" w:rsidRDefault="00994958">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29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9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29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9C"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29D" w14:textId="77777777" w:rsidR="00E836FB" w:rsidRDefault="00E836FB">
            <w:pPr>
              <w:rPr>
                <w:rFonts w:ascii="宋体"/>
              </w:rPr>
            </w:pPr>
          </w:p>
        </w:tc>
        <w:tc>
          <w:tcPr>
            <w:tcW w:w="0" w:type="auto"/>
            <w:gridSpan w:val="3"/>
            <w:shd w:val="clear" w:color="auto" w:fill="auto"/>
            <w:vAlign w:val="bottom"/>
          </w:tcPr>
          <w:p w14:paraId="5F2CC29E" w14:textId="77777777" w:rsidR="00E836FB" w:rsidRDefault="00E836FB">
            <w:pPr>
              <w:rPr>
                <w:rFonts w:ascii="宋体"/>
                <w:vanish/>
              </w:rPr>
            </w:pPr>
          </w:p>
        </w:tc>
        <w:tc>
          <w:tcPr>
            <w:tcW w:w="0" w:type="auto"/>
            <w:gridSpan w:val="3"/>
            <w:shd w:val="clear" w:color="auto" w:fill="auto"/>
            <w:vAlign w:val="bottom"/>
          </w:tcPr>
          <w:p w14:paraId="5F2CC29F" w14:textId="77777777" w:rsidR="00E836FB" w:rsidRDefault="00E836FB">
            <w:pPr>
              <w:rPr>
                <w:rFonts w:ascii="宋体"/>
                <w:vanish/>
              </w:rPr>
            </w:pPr>
          </w:p>
        </w:tc>
        <w:tc>
          <w:tcPr>
            <w:tcW w:w="0" w:type="auto"/>
            <w:gridSpan w:val="3"/>
            <w:shd w:val="clear" w:color="auto" w:fill="auto"/>
            <w:vAlign w:val="bottom"/>
          </w:tcPr>
          <w:p w14:paraId="5F2CC2A0" w14:textId="77777777" w:rsidR="00E836FB" w:rsidRDefault="00E836FB">
            <w:pPr>
              <w:rPr>
                <w:rFonts w:ascii="宋体"/>
                <w:vanish/>
              </w:rPr>
            </w:pPr>
          </w:p>
        </w:tc>
      </w:tr>
      <w:tr w:rsidR="00E836FB" w14:paraId="5F2CC2AE" w14:textId="77777777">
        <w:tc>
          <w:tcPr>
            <w:tcW w:w="0" w:type="auto"/>
            <w:gridSpan w:val="3"/>
            <w:shd w:val="clear" w:color="auto" w:fill="CCEEFF"/>
            <w:tcMar>
              <w:top w:w="40" w:type="dxa"/>
              <w:left w:w="140" w:type="dxa"/>
              <w:bottom w:w="40" w:type="dxa"/>
              <w:right w:w="20" w:type="dxa"/>
            </w:tcMar>
            <w:vAlign w:val="bottom"/>
          </w:tcPr>
          <w:p w14:paraId="5F2CC2A2" w14:textId="77777777" w:rsidR="00E836FB" w:rsidRDefault="00994958">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F2CC2A3" w14:textId="77777777" w:rsidR="00E836FB" w:rsidRDefault="00994958">
            <w:pPr>
              <w:jc w:val="right"/>
              <w:textAlignment w:val="bottom"/>
            </w:pPr>
            <w:r>
              <w:rPr>
                <w:rFonts w:ascii="Arial" w:eastAsia="宋体" w:hAnsi="Arial" w:cs="Arial"/>
                <w:b/>
                <w:bCs/>
                <w:color w:val="000000"/>
                <w:sz w:val="14"/>
                <w:szCs w:val="14"/>
              </w:rPr>
              <w:t>1,995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2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A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2A6" w14:textId="77777777" w:rsidR="00E836FB" w:rsidRDefault="00994958">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5F2CC2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2A9" w14:textId="77777777" w:rsidR="00E836FB" w:rsidRDefault="00994958">
            <w:pPr>
              <w:jc w:val="right"/>
              <w:textAlignment w:val="bottom"/>
            </w:pPr>
            <w:r>
              <w:rPr>
                <w:rFonts w:ascii="Arial" w:eastAsia="宋体" w:hAnsi="Arial" w:cs="Arial"/>
                <w:color w:val="000000"/>
                <w:sz w:val="14"/>
                <w:szCs w:val="14"/>
              </w:rPr>
              <w:t>1,980 </w:t>
            </w:r>
          </w:p>
        </w:tc>
        <w:tc>
          <w:tcPr>
            <w:tcW w:w="0" w:type="auto"/>
            <w:shd w:val="clear" w:color="auto" w:fill="CCEEFF"/>
            <w:tcMar>
              <w:top w:w="40" w:type="dxa"/>
              <w:left w:w="0" w:type="dxa"/>
              <w:bottom w:w="40" w:type="dxa"/>
              <w:right w:w="20" w:type="dxa"/>
            </w:tcMar>
            <w:vAlign w:val="bottom"/>
          </w:tcPr>
          <w:p w14:paraId="5F2CC2AA" w14:textId="77777777" w:rsidR="00E836FB" w:rsidRDefault="00E836FB">
            <w:pPr>
              <w:jc w:val="right"/>
              <w:rPr>
                <w:rFonts w:ascii="宋体"/>
              </w:rPr>
            </w:pPr>
          </w:p>
        </w:tc>
        <w:tc>
          <w:tcPr>
            <w:tcW w:w="0" w:type="auto"/>
            <w:gridSpan w:val="3"/>
            <w:shd w:val="clear" w:color="auto" w:fill="auto"/>
            <w:vAlign w:val="bottom"/>
          </w:tcPr>
          <w:p w14:paraId="5F2CC2AB" w14:textId="77777777" w:rsidR="00E836FB" w:rsidRDefault="00E836FB">
            <w:pPr>
              <w:rPr>
                <w:rFonts w:ascii="宋体"/>
                <w:vanish/>
              </w:rPr>
            </w:pPr>
          </w:p>
        </w:tc>
        <w:tc>
          <w:tcPr>
            <w:tcW w:w="0" w:type="auto"/>
            <w:gridSpan w:val="3"/>
            <w:shd w:val="clear" w:color="auto" w:fill="auto"/>
            <w:vAlign w:val="bottom"/>
          </w:tcPr>
          <w:p w14:paraId="5F2CC2AC" w14:textId="77777777" w:rsidR="00E836FB" w:rsidRDefault="00E836FB">
            <w:pPr>
              <w:rPr>
                <w:rFonts w:ascii="宋体"/>
                <w:vanish/>
              </w:rPr>
            </w:pPr>
          </w:p>
        </w:tc>
        <w:tc>
          <w:tcPr>
            <w:tcW w:w="0" w:type="auto"/>
            <w:gridSpan w:val="3"/>
            <w:shd w:val="clear" w:color="auto" w:fill="auto"/>
            <w:vAlign w:val="bottom"/>
          </w:tcPr>
          <w:p w14:paraId="5F2CC2AD" w14:textId="77777777" w:rsidR="00E836FB" w:rsidRDefault="00E836FB">
            <w:pPr>
              <w:rPr>
                <w:rFonts w:ascii="宋体"/>
                <w:vanish/>
              </w:rPr>
            </w:pPr>
          </w:p>
        </w:tc>
      </w:tr>
      <w:tr w:rsidR="00E836FB" w14:paraId="5F2CC2BB" w14:textId="77777777">
        <w:tc>
          <w:tcPr>
            <w:tcW w:w="0" w:type="auto"/>
            <w:gridSpan w:val="3"/>
            <w:shd w:val="clear" w:color="auto" w:fill="FFFFFF"/>
            <w:tcMar>
              <w:top w:w="40" w:type="dxa"/>
              <w:left w:w="20" w:type="dxa"/>
              <w:bottom w:w="40" w:type="dxa"/>
              <w:right w:w="20" w:type="dxa"/>
            </w:tcMar>
            <w:vAlign w:val="bottom"/>
          </w:tcPr>
          <w:p w14:paraId="5F2CC2AF" w14:textId="77777777" w:rsidR="00E836FB" w:rsidRDefault="00994958">
            <w:pPr>
              <w:textAlignment w:val="bottom"/>
            </w:pPr>
            <w:r>
              <w:rPr>
                <w:rFonts w:ascii="Arial" w:eastAsia="宋体" w:hAnsi="Arial" w:cs="Arial"/>
                <w:color w:val="000000"/>
                <w:sz w:val="14"/>
                <w:szCs w:val="14"/>
              </w:rPr>
              <w:t>Asset-backed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F2CC2B0" w14:textId="77777777" w:rsidR="00E836FB" w:rsidRDefault="00994958">
            <w:pPr>
              <w:jc w:val="right"/>
              <w:textAlignment w:val="bottom"/>
            </w:pPr>
            <w:r>
              <w:rPr>
                <w:rFonts w:ascii="Arial" w:eastAsia="宋体" w:hAnsi="Arial" w:cs="Arial"/>
                <w:b/>
                <w:bCs/>
                <w:color w:val="000000"/>
                <w:sz w:val="14"/>
                <w:szCs w:val="14"/>
              </w:rPr>
              <w:t>2,087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2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2B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2B3" w14:textId="77777777" w:rsidR="00E836FB" w:rsidRDefault="00994958">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5F2CC2B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2B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2B6" w14:textId="77777777" w:rsidR="00E836FB" w:rsidRDefault="00994958">
            <w:pPr>
              <w:jc w:val="right"/>
              <w:textAlignment w:val="bottom"/>
            </w:pPr>
            <w:r>
              <w:rPr>
                <w:rFonts w:ascii="Arial" w:eastAsia="宋体" w:hAnsi="Arial" w:cs="Arial"/>
                <w:color w:val="000000"/>
                <w:sz w:val="14"/>
                <w:szCs w:val="14"/>
              </w:rPr>
              <w:t>2,179 </w:t>
            </w:r>
          </w:p>
        </w:tc>
        <w:tc>
          <w:tcPr>
            <w:tcW w:w="0" w:type="auto"/>
            <w:shd w:val="clear" w:color="auto" w:fill="FFFFFF"/>
            <w:tcMar>
              <w:top w:w="40" w:type="dxa"/>
              <w:left w:w="0" w:type="dxa"/>
              <w:bottom w:w="40" w:type="dxa"/>
              <w:right w:w="20" w:type="dxa"/>
            </w:tcMar>
            <w:vAlign w:val="bottom"/>
          </w:tcPr>
          <w:p w14:paraId="5F2CC2B7" w14:textId="77777777" w:rsidR="00E836FB" w:rsidRDefault="00E836FB">
            <w:pPr>
              <w:jc w:val="right"/>
              <w:rPr>
                <w:rFonts w:ascii="宋体"/>
              </w:rPr>
            </w:pPr>
          </w:p>
        </w:tc>
        <w:tc>
          <w:tcPr>
            <w:tcW w:w="0" w:type="auto"/>
            <w:gridSpan w:val="3"/>
            <w:shd w:val="clear" w:color="auto" w:fill="auto"/>
            <w:vAlign w:val="bottom"/>
          </w:tcPr>
          <w:p w14:paraId="5F2CC2B8" w14:textId="77777777" w:rsidR="00E836FB" w:rsidRDefault="00E836FB">
            <w:pPr>
              <w:rPr>
                <w:rFonts w:ascii="宋体"/>
                <w:vanish/>
              </w:rPr>
            </w:pPr>
          </w:p>
        </w:tc>
        <w:tc>
          <w:tcPr>
            <w:tcW w:w="0" w:type="auto"/>
            <w:gridSpan w:val="3"/>
            <w:shd w:val="clear" w:color="auto" w:fill="auto"/>
            <w:vAlign w:val="bottom"/>
          </w:tcPr>
          <w:p w14:paraId="5F2CC2B9" w14:textId="77777777" w:rsidR="00E836FB" w:rsidRDefault="00E836FB">
            <w:pPr>
              <w:rPr>
                <w:rFonts w:ascii="宋体"/>
                <w:vanish/>
              </w:rPr>
            </w:pPr>
          </w:p>
        </w:tc>
        <w:tc>
          <w:tcPr>
            <w:tcW w:w="0" w:type="auto"/>
            <w:gridSpan w:val="3"/>
            <w:shd w:val="clear" w:color="auto" w:fill="auto"/>
            <w:vAlign w:val="bottom"/>
          </w:tcPr>
          <w:p w14:paraId="5F2CC2BA" w14:textId="77777777" w:rsidR="00E836FB" w:rsidRDefault="00E836FB">
            <w:pPr>
              <w:rPr>
                <w:rFonts w:ascii="宋体"/>
                <w:vanish/>
              </w:rPr>
            </w:pPr>
          </w:p>
        </w:tc>
      </w:tr>
      <w:tr w:rsidR="00E836FB" w14:paraId="5F2CC2C8" w14:textId="77777777">
        <w:tc>
          <w:tcPr>
            <w:tcW w:w="0" w:type="auto"/>
            <w:gridSpan w:val="3"/>
            <w:shd w:val="clear" w:color="auto" w:fill="CCEEFF"/>
            <w:tcMar>
              <w:top w:w="40" w:type="dxa"/>
              <w:left w:w="140" w:type="dxa"/>
              <w:bottom w:w="40" w:type="dxa"/>
              <w:right w:w="20" w:type="dxa"/>
            </w:tcMar>
            <w:vAlign w:val="bottom"/>
          </w:tcPr>
          <w:p w14:paraId="5F2CC2BC" w14:textId="77777777" w:rsidR="00E836FB" w:rsidRDefault="00994958">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5F2CC2BD" w14:textId="77777777" w:rsidR="00E836FB" w:rsidRDefault="00994958">
            <w:pPr>
              <w:jc w:val="right"/>
              <w:textAlignment w:val="bottom"/>
            </w:pPr>
            <w:r>
              <w:rPr>
                <w:rFonts w:ascii="Arial" w:eastAsia="宋体" w:hAnsi="Arial" w:cs="Arial"/>
                <w:b/>
                <w:bCs/>
                <w:color w:val="000000"/>
                <w:sz w:val="14"/>
                <w:szCs w:val="14"/>
              </w:rPr>
              <w:t>23,547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2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B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2C0" w14:textId="77777777" w:rsidR="00E836FB" w:rsidRDefault="00994958">
            <w:pPr>
              <w:jc w:val="right"/>
              <w:textAlignment w:val="bottom"/>
            </w:pPr>
            <w:r>
              <w:rPr>
                <w:rFonts w:ascii="Arial" w:eastAsia="宋体" w:hAnsi="Arial" w:cs="Arial"/>
                <w:color w:val="000000"/>
                <w:sz w:val="14"/>
                <w:szCs w:val="14"/>
              </w:rPr>
              <w:t>22,087 </w:t>
            </w:r>
          </w:p>
        </w:tc>
        <w:tc>
          <w:tcPr>
            <w:tcW w:w="0" w:type="auto"/>
            <w:shd w:val="clear" w:color="auto" w:fill="CCEEFF"/>
            <w:tcMar>
              <w:top w:w="40" w:type="dxa"/>
              <w:left w:w="0" w:type="dxa"/>
              <w:bottom w:w="40" w:type="dxa"/>
              <w:right w:w="20" w:type="dxa"/>
            </w:tcMar>
            <w:vAlign w:val="bottom"/>
          </w:tcPr>
          <w:p w14:paraId="5F2CC2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C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2C3" w14:textId="77777777" w:rsidR="00E836FB" w:rsidRDefault="00994958">
            <w:pPr>
              <w:jc w:val="right"/>
              <w:textAlignment w:val="bottom"/>
            </w:pPr>
            <w:r>
              <w:rPr>
                <w:rFonts w:ascii="Arial" w:eastAsia="宋体" w:hAnsi="Arial" w:cs="Arial"/>
                <w:color w:val="000000"/>
                <w:sz w:val="14"/>
                <w:szCs w:val="14"/>
              </w:rPr>
              <w:t>12,373 </w:t>
            </w:r>
          </w:p>
        </w:tc>
        <w:tc>
          <w:tcPr>
            <w:tcW w:w="0" w:type="auto"/>
            <w:shd w:val="clear" w:color="auto" w:fill="CCEEFF"/>
            <w:tcMar>
              <w:top w:w="40" w:type="dxa"/>
              <w:left w:w="0" w:type="dxa"/>
              <w:bottom w:w="40" w:type="dxa"/>
              <w:right w:w="20" w:type="dxa"/>
            </w:tcMar>
            <w:vAlign w:val="bottom"/>
          </w:tcPr>
          <w:p w14:paraId="5F2CC2C4" w14:textId="77777777" w:rsidR="00E836FB" w:rsidRDefault="00E836FB">
            <w:pPr>
              <w:jc w:val="right"/>
              <w:rPr>
                <w:rFonts w:ascii="宋体"/>
              </w:rPr>
            </w:pPr>
          </w:p>
        </w:tc>
        <w:tc>
          <w:tcPr>
            <w:tcW w:w="0" w:type="auto"/>
            <w:gridSpan w:val="3"/>
            <w:shd w:val="clear" w:color="auto" w:fill="auto"/>
            <w:vAlign w:val="bottom"/>
          </w:tcPr>
          <w:p w14:paraId="5F2CC2C5" w14:textId="77777777" w:rsidR="00E836FB" w:rsidRDefault="00E836FB">
            <w:pPr>
              <w:rPr>
                <w:rFonts w:ascii="宋体"/>
                <w:vanish/>
              </w:rPr>
            </w:pPr>
          </w:p>
        </w:tc>
        <w:tc>
          <w:tcPr>
            <w:tcW w:w="0" w:type="auto"/>
            <w:gridSpan w:val="3"/>
            <w:shd w:val="clear" w:color="auto" w:fill="auto"/>
            <w:vAlign w:val="bottom"/>
          </w:tcPr>
          <w:p w14:paraId="5F2CC2C6" w14:textId="77777777" w:rsidR="00E836FB" w:rsidRDefault="00E836FB">
            <w:pPr>
              <w:rPr>
                <w:rFonts w:ascii="宋体"/>
                <w:vanish/>
              </w:rPr>
            </w:pPr>
          </w:p>
        </w:tc>
        <w:tc>
          <w:tcPr>
            <w:tcW w:w="0" w:type="auto"/>
            <w:gridSpan w:val="3"/>
            <w:shd w:val="clear" w:color="auto" w:fill="auto"/>
            <w:vAlign w:val="bottom"/>
          </w:tcPr>
          <w:p w14:paraId="5F2CC2C7" w14:textId="77777777" w:rsidR="00E836FB" w:rsidRDefault="00E836FB">
            <w:pPr>
              <w:rPr>
                <w:rFonts w:ascii="宋体"/>
                <w:vanish/>
              </w:rPr>
            </w:pPr>
          </w:p>
        </w:tc>
      </w:tr>
      <w:tr w:rsidR="00E836FB" w14:paraId="5F2CC2D5" w14:textId="77777777">
        <w:tc>
          <w:tcPr>
            <w:tcW w:w="0" w:type="auto"/>
            <w:gridSpan w:val="3"/>
            <w:shd w:val="clear" w:color="auto" w:fill="FFFFFF"/>
            <w:tcMar>
              <w:top w:w="40" w:type="dxa"/>
              <w:left w:w="20" w:type="dxa"/>
              <w:bottom w:w="40" w:type="dxa"/>
              <w:right w:w="20" w:type="dxa"/>
            </w:tcMar>
            <w:vAlign w:val="bottom"/>
          </w:tcPr>
          <w:p w14:paraId="5F2CC2C9"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C2CA" w14:textId="77777777" w:rsidR="00E836FB" w:rsidRDefault="00994958">
            <w:pPr>
              <w:jc w:val="right"/>
              <w:textAlignment w:val="bottom"/>
            </w:pPr>
            <w:r>
              <w:rPr>
                <w:rFonts w:ascii="Arial" w:eastAsia="宋体" w:hAnsi="Arial" w:cs="Arial"/>
                <w:b/>
                <w:bCs/>
                <w:color w:val="000000"/>
                <w:sz w:val="14"/>
                <w:szCs w:val="14"/>
              </w:rPr>
              <w:t>3,098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2C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2C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2CD" w14:textId="77777777" w:rsidR="00E836FB" w:rsidRDefault="00994958">
            <w:pPr>
              <w:jc w:val="right"/>
              <w:textAlignment w:val="bottom"/>
            </w:pPr>
            <w:r>
              <w:rPr>
                <w:rFonts w:ascii="Arial" w:eastAsia="宋体" w:hAnsi="Arial" w:cs="Arial"/>
                <w:color w:val="000000"/>
                <w:sz w:val="14"/>
                <w:szCs w:val="14"/>
              </w:rPr>
              <w:t>3,355 </w:t>
            </w:r>
          </w:p>
        </w:tc>
        <w:tc>
          <w:tcPr>
            <w:tcW w:w="0" w:type="auto"/>
            <w:shd w:val="clear" w:color="auto" w:fill="FFFFFF"/>
            <w:tcMar>
              <w:top w:w="40" w:type="dxa"/>
              <w:left w:w="0" w:type="dxa"/>
              <w:bottom w:w="40" w:type="dxa"/>
              <w:right w:w="20" w:type="dxa"/>
            </w:tcMar>
            <w:vAlign w:val="bottom"/>
          </w:tcPr>
          <w:p w14:paraId="5F2CC2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2C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2D0" w14:textId="77777777" w:rsidR="00E836FB" w:rsidRDefault="00994958">
            <w:pPr>
              <w:jc w:val="right"/>
              <w:textAlignment w:val="bottom"/>
            </w:pPr>
            <w:r>
              <w:rPr>
                <w:rFonts w:ascii="Arial" w:eastAsia="宋体" w:hAnsi="Arial" w:cs="Arial"/>
                <w:color w:val="000000"/>
                <w:sz w:val="14"/>
                <w:szCs w:val="14"/>
              </w:rPr>
              <w:t>8,658 </w:t>
            </w:r>
          </w:p>
        </w:tc>
        <w:tc>
          <w:tcPr>
            <w:tcW w:w="0" w:type="auto"/>
            <w:shd w:val="clear" w:color="auto" w:fill="FFFFFF"/>
            <w:tcMar>
              <w:top w:w="40" w:type="dxa"/>
              <w:left w:w="0" w:type="dxa"/>
              <w:bottom w:w="40" w:type="dxa"/>
              <w:right w:w="20" w:type="dxa"/>
            </w:tcMar>
            <w:vAlign w:val="bottom"/>
          </w:tcPr>
          <w:p w14:paraId="5F2CC2D1" w14:textId="77777777" w:rsidR="00E836FB" w:rsidRDefault="00E836FB">
            <w:pPr>
              <w:jc w:val="right"/>
              <w:rPr>
                <w:rFonts w:ascii="宋体"/>
              </w:rPr>
            </w:pPr>
          </w:p>
        </w:tc>
        <w:tc>
          <w:tcPr>
            <w:tcW w:w="0" w:type="auto"/>
            <w:gridSpan w:val="3"/>
            <w:shd w:val="clear" w:color="auto" w:fill="auto"/>
            <w:vAlign w:val="bottom"/>
          </w:tcPr>
          <w:p w14:paraId="5F2CC2D2" w14:textId="77777777" w:rsidR="00E836FB" w:rsidRDefault="00E836FB">
            <w:pPr>
              <w:rPr>
                <w:rFonts w:ascii="宋体"/>
                <w:vanish/>
              </w:rPr>
            </w:pPr>
          </w:p>
        </w:tc>
        <w:tc>
          <w:tcPr>
            <w:tcW w:w="0" w:type="auto"/>
            <w:gridSpan w:val="3"/>
            <w:shd w:val="clear" w:color="auto" w:fill="auto"/>
            <w:vAlign w:val="bottom"/>
          </w:tcPr>
          <w:p w14:paraId="5F2CC2D3" w14:textId="77777777" w:rsidR="00E836FB" w:rsidRDefault="00E836FB">
            <w:pPr>
              <w:rPr>
                <w:rFonts w:ascii="宋体"/>
                <w:vanish/>
              </w:rPr>
            </w:pPr>
          </w:p>
        </w:tc>
        <w:tc>
          <w:tcPr>
            <w:tcW w:w="0" w:type="auto"/>
            <w:gridSpan w:val="3"/>
            <w:shd w:val="clear" w:color="auto" w:fill="auto"/>
            <w:vAlign w:val="bottom"/>
          </w:tcPr>
          <w:p w14:paraId="5F2CC2D4" w14:textId="77777777" w:rsidR="00E836FB" w:rsidRDefault="00E836FB">
            <w:pPr>
              <w:rPr>
                <w:rFonts w:ascii="宋体"/>
                <w:vanish/>
              </w:rPr>
            </w:pPr>
          </w:p>
        </w:tc>
      </w:tr>
      <w:tr w:rsidR="00E836FB" w14:paraId="5F2CC2E2" w14:textId="77777777">
        <w:tc>
          <w:tcPr>
            <w:tcW w:w="0" w:type="auto"/>
            <w:gridSpan w:val="3"/>
            <w:shd w:val="clear" w:color="auto" w:fill="CCEEFF"/>
            <w:tcMar>
              <w:top w:w="40" w:type="dxa"/>
              <w:left w:w="20" w:type="dxa"/>
              <w:bottom w:w="40" w:type="dxa"/>
              <w:right w:w="20" w:type="dxa"/>
            </w:tcMar>
            <w:vAlign w:val="bottom"/>
          </w:tcPr>
          <w:p w14:paraId="5F2CC2D6" w14:textId="77777777" w:rsidR="00E836FB" w:rsidRDefault="00994958">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2D7" w14:textId="77777777" w:rsidR="00E836FB" w:rsidRDefault="00994958">
            <w:pPr>
              <w:jc w:val="right"/>
              <w:textAlignment w:val="bottom"/>
            </w:pPr>
            <w:r>
              <w:rPr>
                <w:rFonts w:ascii="Arial" w:eastAsia="宋体" w:hAnsi="Arial" w:cs="Arial"/>
                <w:b/>
                <w:bCs/>
                <w:color w:val="000000"/>
                <w:sz w:val="14"/>
                <w:szCs w:val="14"/>
              </w:rPr>
              <w:t>30,727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2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D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2DA" w14:textId="77777777" w:rsidR="00E836FB" w:rsidRDefault="00994958">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2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D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2DD" w14:textId="77777777" w:rsidR="00E836FB" w:rsidRDefault="00994958">
            <w:pPr>
              <w:jc w:val="right"/>
              <w:textAlignment w:val="bottom"/>
            </w:pPr>
            <w:r>
              <w:rPr>
                <w:rFonts w:ascii="Arial" w:eastAsia="宋体" w:hAnsi="Arial" w:cs="Arial"/>
                <w:color w:val="000000"/>
                <w:sz w:val="14"/>
                <w:szCs w:val="14"/>
              </w:rPr>
              <w:t>25,190 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2DE" w14:textId="77777777" w:rsidR="00E836FB" w:rsidRDefault="00E836FB">
            <w:pPr>
              <w:jc w:val="right"/>
              <w:rPr>
                <w:rFonts w:ascii="宋体"/>
              </w:rPr>
            </w:pPr>
          </w:p>
        </w:tc>
        <w:tc>
          <w:tcPr>
            <w:tcW w:w="0" w:type="auto"/>
            <w:gridSpan w:val="3"/>
            <w:shd w:val="clear" w:color="auto" w:fill="auto"/>
            <w:vAlign w:val="bottom"/>
          </w:tcPr>
          <w:p w14:paraId="5F2CC2DF" w14:textId="77777777" w:rsidR="00E836FB" w:rsidRDefault="00E836FB">
            <w:pPr>
              <w:rPr>
                <w:rFonts w:ascii="宋体"/>
                <w:vanish/>
              </w:rPr>
            </w:pPr>
          </w:p>
        </w:tc>
        <w:tc>
          <w:tcPr>
            <w:tcW w:w="0" w:type="auto"/>
            <w:gridSpan w:val="3"/>
            <w:shd w:val="clear" w:color="auto" w:fill="auto"/>
            <w:vAlign w:val="bottom"/>
          </w:tcPr>
          <w:p w14:paraId="5F2CC2E0" w14:textId="77777777" w:rsidR="00E836FB" w:rsidRDefault="00E836FB">
            <w:pPr>
              <w:rPr>
                <w:rFonts w:ascii="宋体"/>
                <w:vanish/>
              </w:rPr>
            </w:pPr>
          </w:p>
        </w:tc>
        <w:tc>
          <w:tcPr>
            <w:tcW w:w="0" w:type="auto"/>
            <w:gridSpan w:val="3"/>
            <w:shd w:val="clear" w:color="auto" w:fill="auto"/>
            <w:vAlign w:val="bottom"/>
          </w:tcPr>
          <w:p w14:paraId="5F2CC2E1" w14:textId="77777777" w:rsidR="00E836FB" w:rsidRDefault="00E836FB">
            <w:pPr>
              <w:rPr>
                <w:rFonts w:ascii="宋体"/>
                <w:vanish/>
              </w:rPr>
            </w:pPr>
          </w:p>
        </w:tc>
      </w:tr>
      <w:tr w:rsidR="00E836FB" w14:paraId="5F2CC2EC" w14:textId="77777777">
        <w:tc>
          <w:tcPr>
            <w:tcW w:w="0" w:type="auto"/>
            <w:gridSpan w:val="3"/>
            <w:shd w:val="clear" w:color="auto" w:fill="FFFFFF"/>
            <w:tcMar>
              <w:top w:w="40" w:type="dxa"/>
              <w:left w:w="20" w:type="dxa"/>
              <w:bottom w:w="40" w:type="dxa"/>
              <w:right w:w="20" w:type="dxa"/>
            </w:tcMar>
            <w:vAlign w:val="bottom"/>
          </w:tcPr>
          <w:p w14:paraId="5F2CC2E3" w14:textId="77777777" w:rsidR="00E836FB" w:rsidRDefault="00994958">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2E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E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2E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2E7"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2E8" w14:textId="77777777" w:rsidR="00E836FB" w:rsidRDefault="00E836FB">
            <w:pPr>
              <w:rPr>
                <w:rFonts w:ascii="宋体"/>
              </w:rPr>
            </w:pPr>
          </w:p>
        </w:tc>
        <w:tc>
          <w:tcPr>
            <w:tcW w:w="0" w:type="auto"/>
            <w:gridSpan w:val="3"/>
            <w:shd w:val="clear" w:color="auto" w:fill="auto"/>
            <w:vAlign w:val="bottom"/>
          </w:tcPr>
          <w:p w14:paraId="5F2CC2E9" w14:textId="77777777" w:rsidR="00E836FB" w:rsidRDefault="00E836FB">
            <w:pPr>
              <w:rPr>
                <w:rFonts w:ascii="宋体"/>
                <w:vanish/>
              </w:rPr>
            </w:pPr>
          </w:p>
        </w:tc>
        <w:tc>
          <w:tcPr>
            <w:tcW w:w="0" w:type="auto"/>
            <w:gridSpan w:val="3"/>
            <w:shd w:val="clear" w:color="auto" w:fill="auto"/>
            <w:vAlign w:val="bottom"/>
          </w:tcPr>
          <w:p w14:paraId="5F2CC2EA" w14:textId="77777777" w:rsidR="00E836FB" w:rsidRDefault="00E836FB">
            <w:pPr>
              <w:rPr>
                <w:rFonts w:ascii="宋体"/>
                <w:vanish/>
              </w:rPr>
            </w:pPr>
          </w:p>
        </w:tc>
        <w:tc>
          <w:tcPr>
            <w:tcW w:w="0" w:type="auto"/>
            <w:gridSpan w:val="3"/>
            <w:shd w:val="clear" w:color="auto" w:fill="auto"/>
            <w:vAlign w:val="bottom"/>
          </w:tcPr>
          <w:p w14:paraId="5F2CC2EB" w14:textId="77777777" w:rsidR="00E836FB" w:rsidRDefault="00E836FB">
            <w:pPr>
              <w:rPr>
                <w:rFonts w:ascii="宋体"/>
                <w:vanish/>
              </w:rPr>
            </w:pPr>
          </w:p>
        </w:tc>
      </w:tr>
      <w:tr w:rsidR="00E836FB" w14:paraId="5F2CC2F9" w14:textId="77777777">
        <w:tc>
          <w:tcPr>
            <w:tcW w:w="0" w:type="auto"/>
            <w:gridSpan w:val="3"/>
            <w:shd w:val="clear" w:color="auto" w:fill="CCEEFF"/>
            <w:tcMar>
              <w:top w:w="40" w:type="dxa"/>
              <w:left w:w="20" w:type="dxa"/>
              <w:bottom w:w="40" w:type="dxa"/>
              <w:right w:w="20" w:type="dxa"/>
            </w:tcMar>
            <w:vAlign w:val="bottom"/>
          </w:tcPr>
          <w:p w14:paraId="5F2CC2ED" w14:textId="77777777" w:rsidR="00E836FB" w:rsidRDefault="00994958">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(3)</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5F2CC2EE" w14:textId="77777777" w:rsidR="00E836FB" w:rsidRDefault="00994958">
            <w:pPr>
              <w:jc w:val="right"/>
              <w:textAlignment w:val="bottom"/>
            </w:pPr>
            <w:r>
              <w:rPr>
                <w:rFonts w:ascii="Arial" w:eastAsia="宋体" w:hAnsi="Arial" w:cs="Arial"/>
                <w:b/>
                <w:bCs/>
                <w:color w:val="000000"/>
                <w:sz w:val="14"/>
                <w:szCs w:val="14"/>
              </w:rPr>
              <w:t>211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2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2F1" w14:textId="77777777" w:rsidR="00E836FB" w:rsidRDefault="00994958">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5F2CC2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2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2F4" w14:textId="77777777" w:rsidR="00E836FB" w:rsidRDefault="00994958">
            <w:pPr>
              <w:jc w:val="right"/>
              <w:textAlignment w:val="bottom"/>
            </w:pPr>
            <w:r>
              <w:rPr>
                <w:rFonts w:ascii="Arial" w:eastAsia="宋体" w:hAnsi="Arial" w:cs="Arial"/>
                <w:color w:val="000000"/>
                <w:sz w:val="14"/>
                <w:szCs w:val="14"/>
              </w:rPr>
              <w:t>531 </w:t>
            </w:r>
          </w:p>
        </w:tc>
        <w:tc>
          <w:tcPr>
            <w:tcW w:w="0" w:type="auto"/>
            <w:shd w:val="clear" w:color="auto" w:fill="CCEEFF"/>
            <w:tcMar>
              <w:top w:w="40" w:type="dxa"/>
              <w:left w:w="0" w:type="dxa"/>
              <w:bottom w:w="40" w:type="dxa"/>
              <w:right w:w="20" w:type="dxa"/>
            </w:tcMar>
            <w:vAlign w:val="bottom"/>
          </w:tcPr>
          <w:p w14:paraId="5F2CC2F5" w14:textId="77777777" w:rsidR="00E836FB" w:rsidRDefault="00E836FB">
            <w:pPr>
              <w:jc w:val="right"/>
              <w:rPr>
                <w:rFonts w:ascii="宋体"/>
              </w:rPr>
            </w:pPr>
          </w:p>
        </w:tc>
        <w:tc>
          <w:tcPr>
            <w:tcW w:w="0" w:type="auto"/>
            <w:gridSpan w:val="3"/>
            <w:shd w:val="clear" w:color="auto" w:fill="auto"/>
            <w:vAlign w:val="bottom"/>
          </w:tcPr>
          <w:p w14:paraId="5F2CC2F6" w14:textId="77777777" w:rsidR="00E836FB" w:rsidRDefault="00E836FB">
            <w:pPr>
              <w:rPr>
                <w:rFonts w:ascii="宋体"/>
                <w:vanish/>
              </w:rPr>
            </w:pPr>
          </w:p>
        </w:tc>
        <w:tc>
          <w:tcPr>
            <w:tcW w:w="0" w:type="auto"/>
            <w:gridSpan w:val="3"/>
            <w:shd w:val="clear" w:color="auto" w:fill="auto"/>
            <w:vAlign w:val="bottom"/>
          </w:tcPr>
          <w:p w14:paraId="5F2CC2F7" w14:textId="77777777" w:rsidR="00E836FB" w:rsidRDefault="00E836FB">
            <w:pPr>
              <w:rPr>
                <w:rFonts w:ascii="宋体"/>
                <w:vanish/>
              </w:rPr>
            </w:pPr>
          </w:p>
        </w:tc>
        <w:tc>
          <w:tcPr>
            <w:tcW w:w="0" w:type="auto"/>
            <w:gridSpan w:val="3"/>
            <w:shd w:val="clear" w:color="auto" w:fill="auto"/>
            <w:vAlign w:val="bottom"/>
          </w:tcPr>
          <w:p w14:paraId="5F2CC2F8" w14:textId="77777777" w:rsidR="00E836FB" w:rsidRDefault="00E836FB">
            <w:pPr>
              <w:rPr>
                <w:rFonts w:ascii="宋体"/>
                <w:vanish/>
              </w:rPr>
            </w:pPr>
          </w:p>
        </w:tc>
      </w:tr>
      <w:tr w:rsidR="00E836FB" w14:paraId="5F2CC306" w14:textId="77777777">
        <w:tc>
          <w:tcPr>
            <w:tcW w:w="0" w:type="auto"/>
            <w:gridSpan w:val="3"/>
            <w:shd w:val="clear" w:color="auto" w:fill="FFFFFF"/>
            <w:tcMar>
              <w:top w:w="40" w:type="dxa"/>
              <w:left w:w="20" w:type="dxa"/>
              <w:bottom w:w="40" w:type="dxa"/>
              <w:right w:w="20" w:type="dxa"/>
            </w:tcMar>
            <w:vAlign w:val="bottom"/>
          </w:tcPr>
          <w:p w14:paraId="5F2CC2FA" w14:textId="77777777" w:rsidR="00E836FB" w:rsidRDefault="00994958">
            <w:pPr>
              <w:textAlignment w:val="bottom"/>
            </w:pPr>
            <w:r>
              <w:rPr>
                <w:rFonts w:ascii="Arial" w:eastAsia="宋体" w:hAnsi="Arial" w:cs="Arial"/>
                <w:color w:val="000000"/>
                <w:sz w:val="14"/>
                <w:szCs w:val="14"/>
              </w:rPr>
              <w:t>Collateralized loan obligations</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F2CC2FB" w14:textId="77777777" w:rsidR="00E836FB" w:rsidRDefault="00994958">
            <w:pPr>
              <w:jc w:val="right"/>
              <w:textAlignment w:val="bottom"/>
            </w:pPr>
            <w:r>
              <w:rPr>
                <w:rFonts w:ascii="Arial" w:eastAsia="宋体" w:hAnsi="Arial" w:cs="Arial"/>
                <w:b/>
                <w:bCs/>
                <w:color w:val="000000"/>
                <w:sz w:val="14"/>
                <w:szCs w:val="14"/>
              </w:rPr>
              <w:t>2,155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2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2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2FE" w14:textId="77777777" w:rsidR="00E836FB" w:rsidRDefault="00994958">
            <w:pPr>
              <w:jc w:val="right"/>
              <w:textAlignment w:val="bottom"/>
            </w:pPr>
            <w:r>
              <w:rPr>
                <w:rFonts w:ascii="Arial" w:eastAsia="宋体" w:hAnsi="Arial" w:cs="Arial"/>
                <w:color w:val="000000"/>
                <w:sz w:val="14"/>
                <w:szCs w:val="14"/>
              </w:rPr>
              <w:t>2,966 </w:t>
            </w:r>
          </w:p>
        </w:tc>
        <w:tc>
          <w:tcPr>
            <w:tcW w:w="0" w:type="auto"/>
            <w:shd w:val="clear" w:color="auto" w:fill="FFFFFF"/>
            <w:tcMar>
              <w:top w:w="40" w:type="dxa"/>
              <w:left w:w="0" w:type="dxa"/>
              <w:bottom w:w="40" w:type="dxa"/>
              <w:right w:w="20" w:type="dxa"/>
            </w:tcMar>
            <w:vAlign w:val="bottom"/>
          </w:tcPr>
          <w:p w14:paraId="5F2CC2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301" w14:textId="77777777" w:rsidR="00E836FB" w:rsidRDefault="00994958">
            <w:pPr>
              <w:jc w:val="right"/>
              <w:textAlignment w:val="bottom"/>
            </w:pPr>
            <w:r>
              <w:rPr>
                <w:rFonts w:ascii="Arial" w:eastAsia="宋体" w:hAnsi="Arial" w:cs="Arial"/>
                <w:color w:val="000000"/>
                <w:sz w:val="14"/>
                <w:szCs w:val="14"/>
              </w:rPr>
              <w:t>1,820 </w:t>
            </w:r>
          </w:p>
        </w:tc>
        <w:tc>
          <w:tcPr>
            <w:tcW w:w="0" w:type="auto"/>
            <w:shd w:val="clear" w:color="auto" w:fill="FFFFFF"/>
            <w:tcMar>
              <w:top w:w="40" w:type="dxa"/>
              <w:left w:w="0" w:type="dxa"/>
              <w:bottom w:w="40" w:type="dxa"/>
              <w:right w:w="20" w:type="dxa"/>
            </w:tcMar>
            <w:vAlign w:val="bottom"/>
          </w:tcPr>
          <w:p w14:paraId="5F2CC302" w14:textId="77777777" w:rsidR="00E836FB" w:rsidRDefault="00E836FB">
            <w:pPr>
              <w:jc w:val="right"/>
              <w:rPr>
                <w:rFonts w:ascii="宋体"/>
              </w:rPr>
            </w:pPr>
          </w:p>
        </w:tc>
        <w:tc>
          <w:tcPr>
            <w:tcW w:w="0" w:type="auto"/>
            <w:gridSpan w:val="3"/>
            <w:shd w:val="clear" w:color="auto" w:fill="auto"/>
            <w:vAlign w:val="bottom"/>
          </w:tcPr>
          <w:p w14:paraId="5F2CC303" w14:textId="77777777" w:rsidR="00E836FB" w:rsidRDefault="00E836FB">
            <w:pPr>
              <w:rPr>
                <w:rFonts w:ascii="宋体"/>
                <w:vanish/>
              </w:rPr>
            </w:pPr>
          </w:p>
        </w:tc>
        <w:tc>
          <w:tcPr>
            <w:tcW w:w="0" w:type="auto"/>
            <w:gridSpan w:val="3"/>
            <w:shd w:val="clear" w:color="auto" w:fill="auto"/>
            <w:vAlign w:val="bottom"/>
          </w:tcPr>
          <w:p w14:paraId="5F2CC304" w14:textId="77777777" w:rsidR="00E836FB" w:rsidRDefault="00E836FB">
            <w:pPr>
              <w:rPr>
                <w:rFonts w:ascii="宋体"/>
                <w:vanish/>
              </w:rPr>
            </w:pPr>
          </w:p>
        </w:tc>
        <w:tc>
          <w:tcPr>
            <w:tcW w:w="0" w:type="auto"/>
            <w:gridSpan w:val="3"/>
            <w:shd w:val="clear" w:color="auto" w:fill="auto"/>
            <w:vAlign w:val="bottom"/>
          </w:tcPr>
          <w:p w14:paraId="5F2CC305" w14:textId="77777777" w:rsidR="00E836FB" w:rsidRDefault="00E836FB">
            <w:pPr>
              <w:rPr>
                <w:rFonts w:ascii="宋体"/>
                <w:vanish/>
              </w:rPr>
            </w:pPr>
          </w:p>
        </w:tc>
      </w:tr>
      <w:tr w:rsidR="00E836FB" w14:paraId="5F2CC313" w14:textId="77777777">
        <w:tc>
          <w:tcPr>
            <w:tcW w:w="0" w:type="auto"/>
            <w:gridSpan w:val="3"/>
            <w:shd w:val="clear" w:color="auto" w:fill="CCEEFF"/>
            <w:tcMar>
              <w:top w:w="40" w:type="dxa"/>
              <w:left w:w="20" w:type="dxa"/>
              <w:bottom w:w="40" w:type="dxa"/>
              <w:right w:w="20" w:type="dxa"/>
            </w:tcMar>
            <w:vAlign w:val="bottom"/>
          </w:tcPr>
          <w:p w14:paraId="5F2CC307" w14:textId="77777777" w:rsidR="00E836FB" w:rsidRDefault="00994958">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5F2CC308" w14:textId="77777777" w:rsidR="00E836FB" w:rsidRDefault="00994958">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3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0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30B" w14:textId="77777777" w:rsidR="00E836FB" w:rsidRDefault="00994958">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5F2CC3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30E" w14:textId="77777777" w:rsidR="00E836FB" w:rsidRDefault="00994958">
            <w:pPr>
              <w:jc w:val="right"/>
              <w:textAlignment w:val="bottom"/>
            </w:pPr>
            <w:r>
              <w:rPr>
                <w:rFonts w:ascii="Arial" w:eastAsia="宋体" w:hAnsi="Arial" w:cs="Arial"/>
                <w:color w:val="000000"/>
                <w:sz w:val="14"/>
                <w:szCs w:val="14"/>
              </w:rPr>
              <w:t>104 </w:t>
            </w:r>
          </w:p>
        </w:tc>
        <w:tc>
          <w:tcPr>
            <w:tcW w:w="0" w:type="auto"/>
            <w:shd w:val="clear" w:color="auto" w:fill="CCEEFF"/>
            <w:tcMar>
              <w:top w:w="40" w:type="dxa"/>
              <w:left w:w="0" w:type="dxa"/>
              <w:bottom w:w="40" w:type="dxa"/>
              <w:right w:w="20" w:type="dxa"/>
            </w:tcMar>
            <w:vAlign w:val="bottom"/>
          </w:tcPr>
          <w:p w14:paraId="5F2CC30F" w14:textId="77777777" w:rsidR="00E836FB" w:rsidRDefault="00E836FB">
            <w:pPr>
              <w:jc w:val="right"/>
              <w:rPr>
                <w:rFonts w:ascii="宋体"/>
              </w:rPr>
            </w:pPr>
          </w:p>
        </w:tc>
        <w:tc>
          <w:tcPr>
            <w:tcW w:w="0" w:type="auto"/>
            <w:gridSpan w:val="3"/>
            <w:shd w:val="clear" w:color="auto" w:fill="auto"/>
            <w:vAlign w:val="bottom"/>
          </w:tcPr>
          <w:p w14:paraId="5F2CC310" w14:textId="77777777" w:rsidR="00E836FB" w:rsidRDefault="00E836FB">
            <w:pPr>
              <w:rPr>
                <w:rFonts w:ascii="宋体"/>
                <w:vanish/>
              </w:rPr>
            </w:pPr>
          </w:p>
        </w:tc>
        <w:tc>
          <w:tcPr>
            <w:tcW w:w="0" w:type="auto"/>
            <w:gridSpan w:val="3"/>
            <w:shd w:val="clear" w:color="auto" w:fill="auto"/>
            <w:vAlign w:val="bottom"/>
          </w:tcPr>
          <w:p w14:paraId="5F2CC311" w14:textId="77777777" w:rsidR="00E836FB" w:rsidRDefault="00E836FB">
            <w:pPr>
              <w:rPr>
                <w:rFonts w:ascii="宋体"/>
                <w:vanish/>
              </w:rPr>
            </w:pPr>
          </w:p>
        </w:tc>
        <w:tc>
          <w:tcPr>
            <w:tcW w:w="0" w:type="auto"/>
            <w:gridSpan w:val="3"/>
            <w:shd w:val="clear" w:color="auto" w:fill="auto"/>
            <w:vAlign w:val="bottom"/>
          </w:tcPr>
          <w:p w14:paraId="5F2CC312" w14:textId="77777777" w:rsidR="00E836FB" w:rsidRDefault="00E836FB">
            <w:pPr>
              <w:rPr>
                <w:rFonts w:ascii="宋体"/>
                <w:vanish/>
              </w:rPr>
            </w:pPr>
          </w:p>
        </w:tc>
      </w:tr>
      <w:tr w:rsidR="00E836FB" w14:paraId="5F2CC320" w14:textId="77777777">
        <w:tc>
          <w:tcPr>
            <w:tcW w:w="0" w:type="auto"/>
            <w:gridSpan w:val="3"/>
            <w:shd w:val="clear" w:color="auto" w:fill="FFFFFF"/>
            <w:tcMar>
              <w:top w:w="40" w:type="dxa"/>
              <w:left w:w="140" w:type="dxa"/>
              <w:bottom w:w="40" w:type="dxa"/>
              <w:right w:w="20" w:type="dxa"/>
            </w:tcMar>
            <w:vAlign w:val="bottom"/>
          </w:tcPr>
          <w:p w14:paraId="5F2CC314" w14:textId="77777777" w:rsidR="00E836FB" w:rsidRDefault="00994958">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F2CC315" w14:textId="77777777" w:rsidR="00E836FB" w:rsidRDefault="00994958">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3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1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318" w14:textId="77777777" w:rsidR="00E836FB" w:rsidRDefault="00994958">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F2CC3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1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31B" w14:textId="77777777" w:rsidR="00E836FB" w:rsidRDefault="00994958">
            <w:pPr>
              <w:jc w:val="right"/>
              <w:textAlignment w:val="bottom"/>
            </w:pPr>
            <w:r>
              <w:rPr>
                <w:rFonts w:ascii="Arial" w:eastAsia="宋体" w:hAnsi="Arial" w:cs="Arial"/>
                <w:color w:val="000000"/>
                <w:sz w:val="14"/>
                <w:szCs w:val="14"/>
              </w:rPr>
              <w:t>89 </w:t>
            </w:r>
          </w:p>
        </w:tc>
        <w:tc>
          <w:tcPr>
            <w:tcW w:w="0" w:type="auto"/>
            <w:shd w:val="clear" w:color="auto" w:fill="FFFFFF"/>
            <w:tcMar>
              <w:top w:w="40" w:type="dxa"/>
              <w:left w:w="0" w:type="dxa"/>
              <w:bottom w:w="40" w:type="dxa"/>
              <w:right w:w="20" w:type="dxa"/>
            </w:tcMar>
            <w:vAlign w:val="bottom"/>
          </w:tcPr>
          <w:p w14:paraId="5F2CC31C" w14:textId="77777777" w:rsidR="00E836FB" w:rsidRDefault="00E836FB">
            <w:pPr>
              <w:jc w:val="right"/>
              <w:rPr>
                <w:rFonts w:ascii="宋体"/>
              </w:rPr>
            </w:pPr>
          </w:p>
        </w:tc>
        <w:tc>
          <w:tcPr>
            <w:tcW w:w="0" w:type="auto"/>
            <w:gridSpan w:val="3"/>
            <w:shd w:val="clear" w:color="auto" w:fill="auto"/>
            <w:vAlign w:val="bottom"/>
          </w:tcPr>
          <w:p w14:paraId="5F2CC31D" w14:textId="77777777" w:rsidR="00E836FB" w:rsidRDefault="00E836FB">
            <w:pPr>
              <w:rPr>
                <w:rFonts w:ascii="宋体"/>
                <w:vanish/>
              </w:rPr>
            </w:pPr>
          </w:p>
        </w:tc>
        <w:tc>
          <w:tcPr>
            <w:tcW w:w="0" w:type="auto"/>
            <w:gridSpan w:val="3"/>
            <w:shd w:val="clear" w:color="auto" w:fill="auto"/>
            <w:vAlign w:val="bottom"/>
          </w:tcPr>
          <w:p w14:paraId="5F2CC31E" w14:textId="77777777" w:rsidR="00E836FB" w:rsidRDefault="00E836FB">
            <w:pPr>
              <w:rPr>
                <w:rFonts w:ascii="宋体"/>
                <w:vanish/>
              </w:rPr>
            </w:pPr>
          </w:p>
        </w:tc>
        <w:tc>
          <w:tcPr>
            <w:tcW w:w="0" w:type="auto"/>
            <w:gridSpan w:val="3"/>
            <w:shd w:val="clear" w:color="auto" w:fill="auto"/>
            <w:vAlign w:val="bottom"/>
          </w:tcPr>
          <w:p w14:paraId="5F2CC31F" w14:textId="77777777" w:rsidR="00E836FB" w:rsidRDefault="00E836FB">
            <w:pPr>
              <w:rPr>
                <w:rFonts w:ascii="宋体"/>
                <w:vanish/>
              </w:rPr>
            </w:pPr>
          </w:p>
        </w:tc>
      </w:tr>
      <w:tr w:rsidR="00E836FB" w14:paraId="5F2CC32D" w14:textId="77777777">
        <w:tc>
          <w:tcPr>
            <w:tcW w:w="0" w:type="auto"/>
            <w:gridSpan w:val="3"/>
            <w:shd w:val="clear" w:color="auto" w:fill="CCEEFF"/>
            <w:tcMar>
              <w:top w:w="40" w:type="dxa"/>
              <w:left w:w="20" w:type="dxa"/>
              <w:bottom w:w="40" w:type="dxa"/>
              <w:right w:w="20" w:type="dxa"/>
            </w:tcMar>
            <w:vAlign w:val="bottom"/>
          </w:tcPr>
          <w:p w14:paraId="5F2CC321" w14:textId="77777777" w:rsidR="00E836FB" w:rsidRDefault="00994958">
            <w:pPr>
              <w:textAlignment w:val="bottom"/>
            </w:pPr>
            <w:r>
              <w:rPr>
                <w:rFonts w:ascii="Arial" w:eastAsia="宋体" w:hAnsi="Arial" w:cs="Arial"/>
                <w:color w:val="000000"/>
                <w:sz w:val="14"/>
                <w:szCs w:val="14"/>
              </w:rPr>
              <w:t xml:space="preserve">Total asset-backed </w:t>
            </w:r>
            <w:r>
              <w:rPr>
                <w:rFonts w:ascii="Arial" w:eastAsia="宋体" w:hAnsi="Arial" w:cs="Arial"/>
                <w:color w:val="000000"/>
                <w:sz w:val="14"/>
                <w:szCs w:val="14"/>
              </w:rPr>
              <w:t>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22" w14:textId="77777777" w:rsidR="00E836FB" w:rsidRDefault="00994958">
            <w:pPr>
              <w:jc w:val="right"/>
              <w:textAlignment w:val="bottom"/>
            </w:pPr>
            <w:r>
              <w:rPr>
                <w:rFonts w:ascii="Arial" w:eastAsia="宋体" w:hAnsi="Arial" w:cs="Arial"/>
                <w:b/>
                <w:bCs/>
                <w:color w:val="000000"/>
                <w:sz w:val="14"/>
                <w:szCs w:val="14"/>
              </w:rPr>
              <w:t>2,509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2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25" w14:textId="77777777" w:rsidR="00E836FB" w:rsidRDefault="00994958">
            <w:pPr>
              <w:jc w:val="right"/>
              <w:textAlignment w:val="bottom"/>
            </w:pPr>
            <w:r>
              <w:rPr>
                <w:rFonts w:ascii="Arial" w:eastAsia="宋体" w:hAnsi="Arial" w:cs="Arial"/>
                <w:color w:val="000000"/>
                <w:sz w:val="14"/>
                <w:szCs w:val="14"/>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2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28" w14:textId="77777777" w:rsidR="00E836FB" w:rsidRDefault="00994958">
            <w:pPr>
              <w:jc w:val="right"/>
              <w:textAlignment w:val="bottom"/>
            </w:pPr>
            <w:r>
              <w:rPr>
                <w:rFonts w:ascii="Arial" w:eastAsia="宋体" w:hAnsi="Arial" w:cs="Arial"/>
                <w:color w:val="000000"/>
                <w:sz w:val="14"/>
                <w:szCs w:val="14"/>
              </w:rPr>
              <w:t>2,544 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29" w14:textId="77777777" w:rsidR="00E836FB" w:rsidRDefault="00E836FB">
            <w:pPr>
              <w:jc w:val="right"/>
              <w:rPr>
                <w:rFonts w:ascii="宋体"/>
              </w:rPr>
            </w:pPr>
          </w:p>
        </w:tc>
        <w:tc>
          <w:tcPr>
            <w:tcW w:w="0" w:type="auto"/>
            <w:gridSpan w:val="3"/>
            <w:shd w:val="clear" w:color="auto" w:fill="auto"/>
            <w:vAlign w:val="bottom"/>
          </w:tcPr>
          <w:p w14:paraId="5F2CC32A" w14:textId="77777777" w:rsidR="00E836FB" w:rsidRDefault="00E836FB">
            <w:pPr>
              <w:rPr>
                <w:rFonts w:ascii="宋体"/>
                <w:vanish/>
              </w:rPr>
            </w:pPr>
          </w:p>
        </w:tc>
        <w:tc>
          <w:tcPr>
            <w:tcW w:w="0" w:type="auto"/>
            <w:gridSpan w:val="3"/>
            <w:shd w:val="clear" w:color="auto" w:fill="auto"/>
            <w:vAlign w:val="bottom"/>
          </w:tcPr>
          <w:p w14:paraId="5F2CC32B" w14:textId="77777777" w:rsidR="00E836FB" w:rsidRDefault="00E836FB">
            <w:pPr>
              <w:rPr>
                <w:rFonts w:ascii="宋体"/>
                <w:vanish/>
              </w:rPr>
            </w:pPr>
          </w:p>
        </w:tc>
        <w:tc>
          <w:tcPr>
            <w:tcW w:w="0" w:type="auto"/>
            <w:gridSpan w:val="3"/>
            <w:shd w:val="clear" w:color="auto" w:fill="auto"/>
            <w:vAlign w:val="bottom"/>
          </w:tcPr>
          <w:p w14:paraId="5F2CC32C" w14:textId="77777777" w:rsidR="00E836FB" w:rsidRDefault="00E836FB">
            <w:pPr>
              <w:rPr>
                <w:rFonts w:ascii="宋体"/>
                <w:vanish/>
              </w:rPr>
            </w:pPr>
          </w:p>
        </w:tc>
      </w:tr>
      <w:tr w:rsidR="00E836FB" w14:paraId="5F2CC33A" w14:textId="77777777">
        <w:tc>
          <w:tcPr>
            <w:tcW w:w="0" w:type="auto"/>
            <w:gridSpan w:val="3"/>
            <w:shd w:val="clear" w:color="auto" w:fill="FFFFFF"/>
            <w:tcMar>
              <w:top w:w="40" w:type="dxa"/>
              <w:left w:w="20" w:type="dxa"/>
              <w:bottom w:w="40" w:type="dxa"/>
              <w:right w:w="20" w:type="dxa"/>
            </w:tcMar>
            <w:vAlign w:val="bottom"/>
          </w:tcPr>
          <w:p w14:paraId="5F2CC32E" w14:textId="77777777" w:rsidR="00E836FB" w:rsidRDefault="00994958">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32F" w14:textId="77777777" w:rsidR="00E836FB" w:rsidRDefault="00994958">
            <w:pPr>
              <w:jc w:val="right"/>
              <w:textAlignment w:val="bottom"/>
            </w:pPr>
            <w:r>
              <w:rPr>
                <w:rFonts w:ascii="Arial" w:eastAsia="宋体" w:hAnsi="Arial" w:cs="Arial"/>
                <w:b/>
                <w:bCs/>
                <w:color w:val="000000"/>
                <w:sz w:val="14"/>
                <w:szCs w:val="14"/>
              </w:rPr>
              <w:t>1,272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3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3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332" w14:textId="77777777" w:rsidR="00E836FB" w:rsidRDefault="00994958">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3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3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335" w14:textId="77777777" w:rsidR="00E836FB" w:rsidRDefault="00994958">
            <w:pPr>
              <w:jc w:val="right"/>
              <w:textAlignment w:val="bottom"/>
            </w:pPr>
            <w:r>
              <w:rPr>
                <w:rFonts w:ascii="Arial" w:eastAsia="宋体" w:hAnsi="Arial" w:cs="Arial"/>
                <w:color w:val="000000"/>
                <w:sz w:val="14"/>
                <w:szCs w:val="14"/>
              </w:rPr>
              <w:t>1,783 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336" w14:textId="77777777" w:rsidR="00E836FB" w:rsidRDefault="00E836FB">
            <w:pPr>
              <w:jc w:val="right"/>
              <w:rPr>
                <w:rFonts w:ascii="宋体"/>
              </w:rPr>
            </w:pPr>
          </w:p>
        </w:tc>
        <w:tc>
          <w:tcPr>
            <w:tcW w:w="0" w:type="auto"/>
            <w:gridSpan w:val="3"/>
            <w:shd w:val="clear" w:color="auto" w:fill="auto"/>
            <w:vAlign w:val="bottom"/>
          </w:tcPr>
          <w:p w14:paraId="5F2CC337" w14:textId="77777777" w:rsidR="00E836FB" w:rsidRDefault="00E836FB">
            <w:pPr>
              <w:rPr>
                <w:rFonts w:ascii="宋体"/>
                <w:vanish/>
              </w:rPr>
            </w:pPr>
          </w:p>
        </w:tc>
        <w:tc>
          <w:tcPr>
            <w:tcW w:w="0" w:type="auto"/>
            <w:gridSpan w:val="3"/>
            <w:shd w:val="clear" w:color="auto" w:fill="auto"/>
            <w:vAlign w:val="bottom"/>
          </w:tcPr>
          <w:p w14:paraId="5F2CC338" w14:textId="77777777" w:rsidR="00E836FB" w:rsidRDefault="00E836FB">
            <w:pPr>
              <w:rPr>
                <w:rFonts w:ascii="宋体"/>
                <w:vanish/>
              </w:rPr>
            </w:pPr>
          </w:p>
        </w:tc>
        <w:tc>
          <w:tcPr>
            <w:tcW w:w="0" w:type="auto"/>
            <w:gridSpan w:val="3"/>
            <w:shd w:val="clear" w:color="auto" w:fill="auto"/>
            <w:vAlign w:val="bottom"/>
          </w:tcPr>
          <w:p w14:paraId="5F2CC339" w14:textId="77777777" w:rsidR="00E836FB" w:rsidRDefault="00E836FB">
            <w:pPr>
              <w:rPr>
                <w:rFonts w:ascii="宋体"/>
                <w:vanish/>
              </w:rPr>
            </w:pPr>
          </w:p>
        </w:tc>
      </w:tr>
      <w:tr w:rsidR="00E836FB" w14:paraId="5F2CC347" w14:textId="77777777">
        <w:tc>
          <w:tcPr>
            <w:tcW w:w="0" w:type="auto"/>
            <w:gridSpan w:val="3"/>
            <w:shd w:val="clear" w:color="auto" w:fill="CCEEFF"/>
            <w:tcMar>
              <w:top w:w="40" w:type="dxa"/>
              <w:left w:w="20" w:type="dxa"/>
              <w:bottom w:w="40" w:type="dxa"/>
              <w:right w:w="20" w:type="dxa"/>
            </w:tcMar>
            <w:vAlign w:val="bottom"/>
          </w:tcPr>
          <w:p w14:paraId="5F2CC33B" w14:textId="77777777" w:rsidR="00E836FB" w:rsidRDefault="00994958">
            <w:pPr>
              <w:textAlignment w:val="bottom"/>
            </w:pPr>
            <w:r>
              <w:rPr>
                <w:rFonts w:ascii="Arial" w:eastAsia="宋体" w:hAnsi="Arial" w:cs="Arial"/>
                <w:color w:val="000000"/>
                <w:sz w:val="14"/>
                <w:szCs w:val="14"/>
              </w:rPr>
              <w:t>Other U.S. debt securities</w:t>
            </w:r>
            <w:r>
              <w:rPr>
                <w:rFonts w:ascii="Arial" w:eastAsia="宋体" w:hAnsi="Arial" w:cs="Arial"/>
                <w:color w:val="000000"/>
                <w:sz w:val="9"/>
                <w:szCs w:val="9"/>
              </w:rPr>
              <w:t>(6)</w:t>
            </w:r>
          </w:p>
        </w:tc>
        <w:tc>
          <w:tcPr>
            <w:tcW w:w="0" w:type="auto"/>
            <w:gridSpan w:val="2"/>
            <w:shd w:val="clear" w:color="auto" w:fill="CCEEFF"/>
            <w:tcMar>
              <w:top w:w="40" w:type="dxa"/>
              <w:left w:w="20" w:type="dxa"/>
              <w:bottom w:w="40" w:type="dxa"/>
              <w:right w:w="0" w:type="dxa"/>
            </w:tcMar>
            <w:vAlign w:val="bottom"/>
          </w:tcPr>
          <w:p w14:paraId="5F2CC33C" w14:textId="77777777" w:rsidR="00E836FB" w:rsidRDefault="00994958">
            <w:pPr>
              <w:jc w:val="right"/>
              <w:textAlignment w:val="bottom"/>
            </w:pPr>
            <w:r>
              <w:rPr>
                <w:rFonts w:ascii="Arial" w:eastAsia="宋体" w:hAnsi="Arial" w:cs="Arial"/>
                <w:b/>
                <w:bCs/>
                <w:color w:val="000000"/>
                <w:sz w:val="14"/>
                <w:szCs w:val="14"/>
              </w:rPr>
              <w:t>2,744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3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3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33F" w14:textId="77777777" w:rsidR="00E836FB" w:rsidRDefault="00994958">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5F2CC3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4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342" w14:textId="77777777" w:rsidR="00E836FB" w:rsidRDefault="00994958">
            <w:pPr>
              <w:jc w:val="right"/>
              <w:textAlignment w:val="bottom"/>
            </w:pPr>
            <w:r>
              <w:rPr>
                <w:rFonts w:ascii="Arial" w:eastAsia="宋体" w:hAnsi="Arial" w:cs="Arial"/>
                <w:color w:val="000000"/>
                <w:sz w:val="14"/>
                <w:szCs w:val="14"/>
              </w:rPr>
              <w:t>2,973 </w:t>
            </w:r>
          </w:p>
        </w:tc>
        <w:tc>
          <w:tcPr>
            <w:tcW w:w="0" w:type="auto"/>
            <w:shd w:val="clear" w:color="auto" w:fill="CCEEFF"/>
            <w:tcMar>
              <w:top w:w="40" w:type="dxa"/>
              <w:left w:w="0" w:type="dxa"/>
              <w:bottom w:w="40" w:type="dxa"/>
              <w:right w:w="20" w:type="dxa"/>
            </w:tcMar>
            <w:vAlign w:val="bottom"/>
          </w:tcPr>
          <w:p w14:paraId="5F2CC343" w14:textId="77777777" w:rsidR="00E836FB" w:rsidRDefault="00E836FB">
            <w:pPr>
              <w:jc w:val="right"/>
              <w:rPr>
                <w:rFonts w:ascii="宋体"/>
              </w:rPr>
            </w:pPr>
          </w:p>
        </w:tc>
        <w:tc>
          <w:tcPr>
            <w:tcW w:w="0" w:type="auto"/>
            <w:gridSpan w:val="3"/>
            <w:shd w:val="clear" w:color="auto" w:fill="auto"/>
            <w:vAlign w:val="bottom"/>
          </w:tcPr>
          <w:p w14:paraId="5F2CC344" w14:textId="77777777" w:rsidR="00E836FB" w:rsidRDefault="00E836FB">
            <w:pPr>
              <w:rPr>
                <w:rFonts w:ascii="宋体"/>
                <w:vanish/>
              </w:rPr>
            </w:pPr>
          </w:p>
        </w:tc>
        <w:tc>
          <w:tcPr>
            <w:tcW w:w="0" w:type="auto"/>
            <w:gridSpan w:val="3"/>
            <w:shd w:val="clear" w:color="auto" w:fill="auto"/>
            <w:vAlign w:val="bottom"/>
          </w:tcPr>
          <w:p w14:paraId="5F2CC345" w14:textId="77777777" w:rsidR="00E836FB" w:rsidRDefault="00E836FB">
            <w:pPr>
              <w:rPr>
                <w:rFonts w:ascii="宋体"/>
                <w:vanish/>
              </w:rPr>
            </w:pPr>
          </w:p>
        </w:tc>
        <w:tc>
          <w:tcPr>
            <w:tcW w:w="0" w:type="auto"/>
            <w:gridSpan w:val="3"/>
            <w:shd w:val="clear" w:color="auto" w:fill="auto"/>
            <w:vAlign w:val="bottom"/>
          </w:tcPr>
          <w:p w14:paraId="5F2CC346" w14:textId="77777777" w:rsidR="00E836FB" w:rsidRDefault="00E836FB">
            <w:pPr>
              <w:rPr>
                <w:rFonts w:ascii="宋体"/>
                <w:vanish/>
              </w:rPr>
            </w:pPr>
          </w:p>
        </w:tc>
      </w:tr>
      <w:tr w:rsidR="00E836FB" w14:paraId="5F2CC351" w14:textId="77777777">
        <w:trPr>
          <w:hidden/>
        </w:trPr>
        <w:tc>
          <w:tcPr>
            <w:tcW w:w="0" w:type="auto"/>
            <w:gridSpan w:val="3"/>
            <w:shd w:val="clear" w:color="auto" w:fill="auto"/>
            <w:vAlign w:val="bottom"/>
          </w:tcPr>
          <w:p w14:paraId="5F2CC348" w14:textId="77777777" w:rsidR="00E836FB" w:rsidRDefault="00E836FB">
            <w:pPr>
              <w:rPr>
                <w:rFonts w:ascii="宋体"/>
                <w:vanish/>
              </w:rPr>
            </w:pPr>
          </w:p>
        </w:tc>
        <w:tc>
          <w:tcPr>
            <w:tcW w:w="0" w:type="auto"/>
            <w:gridSpan w:val="3"/>
            <w:shd w:val="clear" w:color="auto" w:fill="auto"/>
            <w:vAlign w:val="bottom"/>
          </w:tcPr>
          <w:p w14:paraId="5F2CC349" w14:textId="77777777" w:rsidR="00E836FB" w:rsidRDefault="00E836FB">
            <w:pPr>
              <w:rPr>
                <w:rFonts w:ascii="宋体"/>
                <w:vanish/>
              </w:rPr>
            </w:pPr>
          </w:p>
        </w:tc>
        <w:tc>
          <w:tcPr>
            <w:tcW w:w="0" w:type="auto"/>
            <w:gridSpan w:val="3"/>
            <w:shd w:val="clear" w:color="auto" w:fill="auto"/>
            <w:vAlign w:val="bottom"/>
          </w:tcPr>
          <w:p w14:paraId="5F2CC34A" w14:textId="77777777" w:rsidR="00E836FB" w:rsidRDefault="00E836FB">
            <w:pPr>
              <w:rPr>
                <w:rFonts w:ascii="宋体"/>
                <w:vanish/>
              </w:rPr>
            </w:pPr>
          </w:p>
        </w:tc>
        <w:tc>
          <w:tcPr>
            <w:tcW w:w="0" w:type="auto"/>
            <w:gridSpan w:val="3"/>
            <w:shd w:val="clear" w:color="auto" w:fill="auto"/>
            <w:vAlign w:val="bottom"/>
          </w:tcPr>
          <w:p w14:paraId="5F2CC34B" w14:textId="77777777" w:rsidR="00E836FB" w:rsidRDefault="00E836FB">
            <w:pPr>
              <w:rPr>
                <w:rFonts w:ascii="宋体"/>
                <w:vanish/>
              </w:rPr>
            </w:pPr>
          </w:p>
        </w:tc>
        <w:tc>
          <w:tcPr>
            <w:tcW w:w="0" w:type="auto"/>
            <w:gridSpan w:val="3"/>
            <w:shd w:val="clear" w:color="auto" w:fill="auto"/>
            <w:vAlign w:val="bottom"/>
          </w:tcPr>
          <w:p w14:paraId="5F2CC34C" w14:textId="77777777" w:rsidR="00E836FB" w:rsidRDefault="00E836FB">
            <w:pPr>
              <w:rPr>
                <w:rFonts w:ascii="宋体"/>
                <w:vanish/>
              </w:rPr>
            </w:pPr>
          </w:p>
        </w:tc>
        <w:tc>
          <w:tcPr>
            <w:tcW w:w="0" w:type="auto"/>
            <w:gridSpan w:val="3"/>
            <w:shd w:val="clear" w:color="auto" w:fill="auto"/>
            <w:vAlign w:val="bottom"/>
          </w:tcPr>
          <w:p w14:paraId="5F2CC34D" w14:textId="77777777" w:rsidR="00E836FB" w:rsidRDefault="00E836FB">
            <w:pPr>
              <w:rPr>
                <w:rFonts w:ascii="宋体"/>
                <w:vanish/>
              </w:rPr>
            </w:pPr>
          </w:p>
        </w:tc>
        <w:tc>
          <w:tcPr>
            <w:tcW w:w="0" w:type="auto"/>
            <w:gridSpan w:val="3"/>
            <w:shd w:val="clear" w:color="auto" w:fill="auto"/>
            <w:vAlign w:val="bottom"/>
          </w:tcPr>
          <w:p w14:paraId="5F2CC34E" w14:textId="77777777" w:rsidR="00E836FB" w:rsidRDefault="00E836FB">
            <w:pPr>
              <w:rPr>
                <w:rFonts w:ascii="宋体"/>
                <w:vanish/>
              </w:rPr>
            </w:pPr>
          </w:p>
        </w:tc>
        <w:tc>
          <w:tcPr>
            <w:tcW w:w="0" w:type="auto"/>
            <w:gridSpan w:val="3"/>
            <w:shd w:val="clear" w:color="auto" w:fill="auto"/>
            <w:vAlign w:val="bottom"/>
          </w:tcPr>
          <w:p w14:paraId="5F2CC34F" w14:textId="77777777" w:rsidR="00E836FB" w:rsidRDefault="00E836FB">
            <w:pPr>
              <w:rPr>
                <w:rFonts w:ascii="宋体"/>
                <w:vanish/>
              </w:rPr>
            </w:pPr>
          </w:p>
        </w:tc>
        <w:tc>
          <w:tcPr>
            <w:tcW w:w="0" w:type="auto"/>
            <w:gridSpan w:val="3"/>
            <w:shd w:val="clear" w:color="auto" w:fill="auto"/>
            <w:vAlign w:val="bottom"/>
          </w:tcPr>
          <w:p w14:paraId="5F2CC350" w14:textId="77777777" w:rsidR="00E836FB" w:rsidRDefault="00E836FB">
            <w:pPr>
              <w:rPr>
                <w:rFonts w:ascii="宋体"/>
                <w:vanish/>
              </w:rPr>
            </w:pPr>
          </w:p>
        </w:tc>
      </w:tr>
      <w:tr w:rsidR="00E836FB" w14:paraId="5F2CC35B" w14:textId="77777777">
        <w:trPr>
          <w:hidden/>
        </w:trPr>
        <w:tc>
          <w:tcPr>
            <w:tcW w:w="0" w:type="auto"/>
            <w:gridSpan w:val="3"/>
            <w:shd w:val="clear" w:color="auto" w:fill="auto"/>
            <w:vAlign w:val="bottom"/>
          </w:tcPr>
          <w:p w14:paraId="5F2CC352" w14:textId="77777777" w:rsidR="00E836FB" w:rsidRDefault="00E836FB">
            <w:pPr>
              <w:rPr>
                <w:rFonts w:ascii="宋体"/>
                <w:vanish/>
              </w:rPr>
            </w:pPr>
          </w:p>
        </w:tc>
        <w:tc>
          <w:tcPr>
            <w:tcW w:w="0" w:type="auto"/>
            <w:gridSpan w:val="3"/>
            <w:shd w:val="clear" w:color="auto" w:fill="auto"/>
            <w:vAlign w:val="bottom"/>
          </w:tcPr>
          <w:p w14:paraId="5F2CC353" w14:textId="77777777" w:rsidR="00E836FB" w:rsidRDefault="00E836FB">
            <w:pPr>
              <w:rPr>
                <w:rFonts w:ascii="宋体"/>
                <w:vanish/>
              </w:rPr>
            </w:pPr>
          </w:p>
        </w:tc>
        <w:tc>
          <w:tcPr>
            <w:tcW w:w="0" w:type="auto"/>
            <w:gridSpan w:val="3"/>
            <w:shd w:val="clear" w:color="auto" w:fill="auto"/>
            <w:vAlign w:val="bottom"/>
          </w:tcPr>
          <w:p w14:paraId="5F2CC354" w14:textId="77777777" w:rsidR="00E836FB" w:rsidRDefault="00E836FB">
            <w:pPr>
              <w:rPr>
                <w:rFonts w:ascii="宋体"/>
                <w:vanish/>
              </w:rPr>
            </w:pPr>
          </w:p>
        </w:tc>
        <w:tc>
          <w:tcPr>
            <w:tcW w:w="0" w:type="auto"/>
            <w:gridSpan w:val="3"/>
            <w:shd w:val="clear" w:color="auto" w:fill="auto"/>
            <w:vAlign w:val="bottom"/>
          </w:tcPr>
          <w:p w14:paraId="5F2CC355" w14:textId="77777777" w:rsidR="00E836FB" w:rsidRDefault="00E836FB">
            <w:pPr>
              <w:rPr>
                <w:rFonts w:ascii="宋体"/>
                <w:vanish/>
              </w:rPr>
            </w:pPr>
          </w:p>
        </w:tc>
        <w:tc>
          <w:tcPr>
            <w:tcW w:w="0" w:type="auto"/>
            <w:gridSpan w:val="3"/>
            <w:shd w:val="clear" w:color="auto" w:fill="auto"/>
            <w:vAlign w:val="bottom"/>
          </w:tcPr>
          <w:p w14:paraId="5F2CC356" w14:textId="77777777" w:rsidR="00E836FB" w:rsidRDefault="00E836FB">
            <w:pPr>
              <w:rPr>
                <w:rFonts w:ascii="宋体"/>
                <w:vanish/>
              </w:rPr>
            </w:pPr>
          </w:p>
        </w:tc>
        <w:tc>
          <w:tcPr>
            <w:tcW w:w="0" w:type="auto"/>
            <w:gridSpan w:val="3"/>
            <w:shd w:val="clear" w:color="auto" w:fill="auto"/>
            <w:vAlign w:val="bottom"/>
          </w:tcPr>
          <w:p w14:paraId="5F2CC357" w14:textId="77777777" w:rsidR="00E836FB" w:rsidRDefault="00E836FB">
            <w:pPr>
              <w:rPr>
                <w:rFonts w:ascii="宋体"/>
                <w:vanish/>
              </w:rPr>
            </w:pPr>
          </w:p>
        </w:tc>
        <w:tc>
          <w:tcPr>
            <w:tcW w:w="0" w:type="auto"/>
            <w:gridSpan w:val="3"/>
            <w:shd w:val="clear" w:color="auto" w:fill="auto"/>
            <w:vAlign w:val="bottom"/>
          </w:tcPr>
          <w:p w14:paraId="5F2CC358" w14:textId="77777777" w:rsidR="00E836FB" w:rsidRDefault="00E836FB">
            <w:pPr>
              <w:rPr>
                <w:rFonts w:ascii="宋体"/>
                <w:vanish/>
              </w:rPr>
            </w:pPr>
          </w:p>
        </w:tc>
        <w:tc>
          <w:tcPr>
            <w:tcW w:w="0" w:type="auto"/>
            <w:gridSpan w:val="3"/>
            <w:shd w:val="clear" w:color="auto" w:fill="auto"/>
            <w:vAlign w:val="bottom"/>
          </w:tcPr>
          <w:p w14:paraId="5F2CC359" w14:textId="77777777" w:rsidR="00E836FB" w:rsidRDefault="00E836FB">
            <w:pPr>
              <w:rPr>
                <w:rFonts w:ascii="宋体"/>
                <w:vanish/>
              </w:rPr>
            </w:pPr>
          </w:p>
        </w:tc>
        <w:tc>
          <w:tcPr>
            <w:tcW w:w="0" w:type="auto"/>
            <w:gridSpan w:val="3"/>
            <w:shd w:val="clear" w:color="auto" w:fill="auto"/>
            <w:vAlign w:val="bottom"/>
          </w:tcPr>
          <w:p w14:paraId="5F2CC35A" w14:textId="77777777" w:rsidR="00E836FB" w:rsidRDefault="00E836FB">
            <w:pPr>
              <w:rPr>
                <w:rFonts w:ascii="宋体"/>
                <w:vanish/>
              </w:rPr>
            </w:pPr>
          </w:p>
        </w:tc>
      </w:tr>
      <w:tr w:rsidR="00E836FB" w14:paraId="5F2CC365" w14:textId="77777777">
        <w:trPr>
          <w:hidden/>
        </w:trPr>
        <w:tc>
          <w:tcPr>
            <w:tcW w:w="0" w:type="auto"/>
            <w:gridSpan w:val="3"/>
            <w:shd w:val="clear" w:color="auto" w:fill="auto"/>
            <w:vAlign w:val="bottom"/>
          </w:tcPr>
          <w:p w14:paraId="5F2CC35C" w14:textId="77777777" w:rsidR="00E836FB" w:rsidRDefault="00E836FB">
            <w:pPr>
              <w:rPr>
                <w:rFonts w:ascii="宋体"/>
                <w:vanish/>
              </w:rPr>
            </w:pPr>
          </w:p>
        </w:tc>
        <w:tc>
          <w:tcPr>
            <w:tcW w:w="0" w:type="auto"/>
            <w:gridSpan w:val="3"/>
            <w:shd w:val="clear" w:color="auto" w:fill="auto"/>
            <w:vAlign w:val="bottom"/>
          </w:tcPr>
          <w:p w14:paraId="5F2CC35D" w14:textId="77777777" w:rsidR="00E836FB" w:rsidRDefault="00E836FB">
            <w:pPr>
              <w:rPr>
                <w:rFonts w:ascii="宋体"/>
                <w:vanish/>
              </w:rPr>
            </w:pPr>
          </w:p>
        </w:tc>
        <w:tc>
          <w:tcPr>
            <w:tcW w:w="0" w:type="auto"/>
            <w:gridSpan w:val="3"/>
            <w:shd w:val="clear" w:color="auto" w:fill="auto"/>
            <w:vAlign w:val="bottom"/>
          </w:tcPr>
          <w:p w14:paraId="5F2CC35E" w14:textId="77777777" w:rsidR="00E836FB" w:rsidRDefault="00E836FB">
            <w:pPr>
              <w:rPr>
                <w:rFonts w:ascii="宋体"/>
                <w:vanish/>
              </w:rPr>
            </w:pPr>
          </w:p>
        </w:tc>
        <w:tc>
          <w:tcPr>
            <w:tcW w:w="0" w:type="auto"/>
            <w:gridSpan w:val="3"/>
            <w:shd w:val="clear" w:color="auto" w:fill="auto"/>
            <w:vAlign w:val="bottom"/>
          </w:tcPr>
          <w:p w14:paraId="5F2CC35F" w14:textId="77777777" w:rsidR="00E836FB" w:rsidRDefault="00E836FB">
            <w:pPr>
              <w:rPr>
                <w:rFonts w:ascii="宋体"/>
                <w:vanish/>
              </w:rPr>
            </w:pPr>
          </w:p>
        </w:tc>
        <w:tc>
          <w:tcPr>
            <w:tcW w:w="0" w:type="auto"/>
            <w:gridSpan w:val="3"/>
            <w:shd w:val="clear" w:color="auto" w:fill="auto"/>
            <w:vAlign w:val="bottom"/>
          </w:tcPr>
          <w:p w14:paraId="5F2CC360" w14:textId="77777777" w:rsidR="00E836FB" w:rsidRDefault="00E836FB">
            <w:pPr>
              <w:rPr>
                <w:rFonts w:ascii="宋体"/>
                <w:vanish/>
              </w:rPr>
            </w:pPr>
          </w:p>
        </w:tc>
        <w:tc>
          <w:tcPr>
            <w:tcW w:w="0" w:type="auto"/>
            <w:gridSpan w:val="3"/>
            <w:shd w:val="clear" w:color="auto" w:fill="auto"/>
            <w:vAlign w:val="bottom"/>
          </w:tcPr>
          <w:p w14:paraId="5F2CC361" w14:textId="77777777" w:rsidR="00E836FB" w:rsidRDefault="00E836FB">
            <w:pPr>
              <w:rPr>
                <w:rFonts w:ascii="宋体"/>
                <w:vanish/>
              </w:rPr>
            </w:pPr>
          </w:p>
        </w:tc>
        <w:tc>
          <w:tcPr>
            <w:tcW w:w="0" w:type="auto"/>
            <w:gridSpan w:val="3"/>
            <w:shd w:val="clear" w:color="auto" w:fill="auto"/>
            <w:vAlign w:val="bottom"/>
          </w:tcPr>
          <w:p w14:paraId="5F2CC362" w14:textId="77777777" w:rsidR="00E836FB" w:rsidRDefault="00E836FB">
            <w:pPr>
              <w:rPr>
                <w:rFonts w:ascii="宋体"/>
                <w:vanish/>
              </w:rPr>
            </w:pPr>
          </w:p>
        </w:tc>
        <w:tc>
          <w:tcPr>
            <w:tcW w:w="0" w:type="auto"/>
            <w:gridSpan w:val="3"/>
            <w:shd w:val="clear" w:color="auto" w:fill="auto"/>
            <w:vAlign w:val="bottom"/>
          </w:tcPr>
          <w:p w14:paraId="5F2CC363" w14:textId="77777777" w:rsidR="00E836FB" w:rsidRDefault="00E836FB">
            <w:pPr>
              <w:rPr>
                <w:rFonts w:ascii="宋体"/>
                <w:vanish/>
              </w:rPr>
            </w:pPr>
          </w:p>
        </w:tc>
        <w:tc>
          <w:tcPr>
            <w:tcW w:w="0" w:type="auto"/>
            <w:gridSpan w:val="3"/>
            <w:shd w:val="clear" w:color="auto" w:fill="auto"/>
            <w:vAlign w:val="bottom"/>
          </w:tcPr>
          <w:p w14:paraId="5F2CC364" w14:textId="77777777" w:rsidR="00E836FB" w:rsidRDefault="00E836FB">
            <w:pPr>
              <w:rPr>
                <w:rFonts w:ascii="宋体"/>
                <w:vanish/>
              </w:rPr>
            </w:pPr>
          </w:p>
        </w:tc>
      </w:tr>
      <w:tr w:rsidR="00E836FB" w14:paraId="5F2CC36F" w14:textId="77777777">
        <w:trPr>
          <w:hidden/>
        </w:trPr>
        <w:tc>
          <w:tcPr>
            <w:tcW w:w="0" w:type="auto"/>
            <w:gridSpan w:val="3"/>
            <w:shd w:val="clear" w:color="auto" w:fill="auto"/>
            <w:vAlign w:val="bottom"/>
          </w:tcPr>
          <w:p w14:paraId="5F2CC366" w14:textId="77777777" w:rsidR="00E836FB" w:rsidRDefault="00E836FB">
            <w:pPr>
              <w:rPr>
                <w:rFonts w:ascii="宋体"/>
                <w:vanish/>
              </w:rPr>
            </w:pPr>
          </w:p>
        </w:tc>
        <w:tc>
          <w:tcPr>
            <w:tcW w:w="0" w:type="auto"/>
            <w:gridSpan w:val="3"/>
            <w:shd w:val="clear" w:color="auto" w:fill="auto"/>
            <w:vAlign w:val="bottom"/>
          </w:tcPr>
          <w:p w14:paraId="5F2CC367" w14:textId="77777777" w:rsidR="00E836FB" w:rsidRDefault="00E836FB">
            <w:pPr>
              <w:rPr>
                <w:rFonts w:ascii="宋体"/>
                <w:vanish/>
              </w:rPr>
            </w:pPr>
          </w:p>
        </w:tc>
        <w:tc>
          <w:tcPr>
            <w:tcW w:w="0" w:type="auto"/>
            <w:gridSpan w:val="3"/>
            <w:shd w:val="clear" w:color="auto" w:fill="auto"/>
            <w:vAlign w:val="bottom"/>
          </w:tcPr>
          <w:p w14:paraId="5F2CC368" w14:textId="77777777" w:rsidR="00E836FB" w:rsidRDefault="00E836FB">
            <w:pPr>
              <w:rPr>
                <w:rFonts w:ascii="宋体"/>
                <w:vanish/>
              </w:rPr>
            </w:pPr>
          </w:p>
        </w:tc>
        <w:tc>
          <w:tcPr>
            <w:tcW w:w="0" w:type="auto"/>
            <w:gridSpan w:val="3"/>
            <w:shd w:val="clear" w:color="auto" w:fill="auto"/>
            <w:vAlign w:val="bottom"/>
          </w:tcPr>
          <w:p w14:paraId="5F2CC369" w14:textId="77777777" w:rsidR="00E836FB" w:rsidRDefault="00E836FB">
            <w:pPr>
              <w:rPr>
                <w:rFonts w:ascii="宋体"/>
                <w:vanish/>
              </w:rPr>
            </w:pPr>
          </w:p>
        </w:tc>
        <w:tc>
          <w:tcPr>
            <w:tcW w:w="0" w:type="auto"/>
            <w:gridSpan w:val="3"/>
            <w:shd w:val="clear" w:color="auto" w:fill="auto"/>
            <w:vAlign w:val="bottom"/>
          </w:tcPr>
          <w:p w14:paraId="5F2CC36A" w14:textId="77777777" w:rsidR="00E836FB" w:rsidRDefault="00E836FB">
            <w:pPr>
              <w:rPr>
                <w:rFonts w:ascii="宋体"/>
                <w:vanish/>
              </w:rPr>
            </w:pPr>
          </w:p>
        </w:tc>
        <w:tc>
          <w:tcPr>
            <w:tcW w:w="0" w:type="auto"/>
            <w:gridSpan w:val="3"/>
            <w:shd w:val="clear" w:color="auto" w:fill="auto"/>
            <w:vAlign w:val="bottom"/>
          </w:tcPr>
          <w:p w14:paraId="5F2CC36B" w14:textId="77777777" w:rsidR="00E836FB" w:rsidRDefault="00E836FB">
            <w:pPr>
              <w:rPr>
                <w:rFonts w:ascii="宋体"/>
                <w:vanish/>
              </w:rPr>
            </w:pPr>
          </w:p>
        </w:tc>
        <w:tc>
          <w:tcPr>
            <w:tcW w:w="0" w:type="auto"/>
            <w:gridSpan w:val="3"/>
            <w:shd w:val="clear" w:color="auto" w:fill="auto"/>
            <w:vAlign w:val="bottom"/>
          </w:tcPr>
          <w:p w14:paraId="5F2CC36C" w14:textId="77777777" w:rsidR="00E836FB" w:rsidRDefault="00E836FB">
            <w:pPr>
              <w:rPr>
                <w:rFonts w:ascii="宋体"/>
                <w:vanish/>
              </w:rPr>
            </w:pPr>
          </w:p>
        </w:tc>
        <w:tc>
          <w:tcPr>
            <w:tcW w:w="0" w:type="auto"/>
            <w:gridSpan w:val="3"/>
            <w:shd w:val="clear" w:color="auto" w:fill="auto"/>
            <w:vAlign w:val="bottom"/>
          </w:tcPr>
          <w:p w14:paraId="5F2CC36D" w14:textId="77777777" w:rsidR="00E836FB" w:rsidRDefault="00E836FB">
            <w:pPr>
              <w:rPr>
                <w:rFonts w:ascii="宋体"/>
                <w:vanish/>
              </w:rPr>
            </w:pPr>
          </w:p>
        </w:tc>
        <w:tc>
          <w:tcPr>
            <w:tcW w:w="0" w:type="auto"/>
            <w:gridSpan w:val="3"/>
            <w:shd w:val="clear" w:color="auto" w:fill="auto"/>
            <w:vAlign w:val="bottom"/>
          </w:tcPr>
          <w:p w14:paraId="5F2CC36E" w14:textId="77777777" w:rsidR="00E836FB" w:rsidRDefault="00E836FB">
            <w:pPr>
              <w:rPr>
                <w:rFonts w:ascii="宋体"/>
                <w:vanish/>
              </w:rPr>
            </w:pPr>
          </w:p>
        </w:tc>
      </w:tr>
      <w:tr w:rsidR="00E836FB" w14:paraId="5F2CC37F" w14:textId="77777777">
        <w:tc>
          <w:tcPr>
            <w:tcW w:w="0" w:type="auto"/>
            <w:gridSpan w:val="3"/>
            <w:shd w:val="clear" w:color="auto" w:fill="FFFFFF"/>
            <w:tcMar>
              <w:top w:w="40" w:type="dxa"/>
              <w:left w:w="20" w:type="dxa"/>
              <w:bottom w:w="40" w:type="dxa"/>
              <w:right w:w="20" w:type="dxa"/>
            </w:tcMar>
            <w:vAlign w:val="bottom"/>
          </w:tcPr>
          <w:p w14:paraId="5F2CC370" w14:textId="77777777" w:rsidR="00E836FB" w:rsidRDefault="00994958">
            <w:pPr>
              <w:textAlignment w:val="bottom"/>
            </w:pPr>
            <w:r>
              <w:rPr>
                <w:rFonts w:ascii="Arial" w:eastAsia="宋体" w:hAnsi="Arial" w:cs="Arial"/>
                <w:color w:val="000000"/>
                <w:sz w:val="14"/>
                <w:szCs w:val="14"/>
              </w:rPr>
              <w:t>Total available-for-sale securities</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C371"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372" w14:textId="77777777" w:rsidR="00E836FB" w:rsidRDefault="00994958">
            <w:pPr>
              <w:jc w:val="right"/>
              <w:textAlignment w:val="bottom"/>
            </w:pPr>
            <w:r>
              <w:rPr>
                <w:rFonts w:ascii="Arial" w:eastAsia="宋体" w:hAnsi="Arial" w:cs="Arial"/>
                <w:b/>
                <w:bCs/>
                <w:color w:val="000000"/>
                <w:sz w:val="14"/>
                <w:szCs w:val="14"/>
              </w:rPr>
              <w:t>73,399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3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74"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37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376" w14:textId="77777777" w:rsidR="00E836FB" w:rsidRDefault="00994958">
            <w:pPr>
              <w:jc w:val="right"/>
              <w:textAlignment w:val="bottom"/>
            </w:pPr>
            <w:r>
              <w:rPr>
                <w:rFonts w:ascii="Arial" w:eastAsia="宋体" w:hAnsi="Arial" w:cs="Arial"/>
                <w:color w:val="000000"/>
                <w:sz w:val="14"/>
                <w:szCs w:val="14"/>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3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78"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37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37A" w14:textId="77777777" w:rsidR="00E836FB" w:rsidRDefault="00994958">
            <w:pPr>
              <w:jc w:val="right"/>
              <w:textAlignment w:val="bottom"/>
            </w:pPr>
            <w:r>
              <w:rPr>
                <w:rFonts w:ascii="Arial" w:eastAsia="宋体" w:hAnsi="Arial" w:cs="Arial"/>
                <w:color w:val="000000"/>
                <w:sz w:val="14"/>
                <w:szCs w:val="14"/>
              </w:rPr>
              <w:t>53,815 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37B" w14:textId="77777777" w:rsidR="00E836FB" w:rsidRDefault="00E836FB">
            <w:pPr>
              <w:jc w:val="right"/>
              <w:rPr>
                <w:rFonts w:ascii="宋体"/>
              </w:rPr>
            </w:pPr>
          </w:p>
        </w:tc>
        <w:tc>
          <w:tcPr>
            <w:tcW w:w="0" w:type="auto"/>
            <w:gridSpan w:val="3"/>
            <w:shd w:val="clear" w:color="auto" w:fill="auto"/>
            <w:vAlign w:val="bottom"/>
          </w:tcPr>
          <w:p w14:paraId="5F2CC37C" w14:textId="77777777" w:rsidR="00E836FB" w:rsidRDefault="00E836FB">
            <w:pPr>
              <w:rPr>
                <w:rFonts w:ascii="宋体"/>
                <w:vanish/>
              </w:rPr>
            </w:pPr>
          </w:p>
        </w:tc>
        <w:tc>
          <w:tcPr>
            <w:tcW w:w="0" w:type="auto"/>
            <w:gridSpan w:val="3"/>
            <w:shd w:val="clear" w:color="auto" w:fill="auto"/>
            <w:vAlign w:val="bottom"/>
          </w:tcPr>
          <w:p w14:paraId="5F2CC37D" w14:textId="77777777" w:rsidR="00E836FB" w:rsidRDefault="00E836FB">
            <w:pPr>
              <w:rPr>
                <w:rFonts w:ascii="宋体"/>
                <w:vanish/>
              </w:rPr>
            </w:pPr>
          </w:p>
        </w:tc>
        <w:tc>
          <w:tcPr>
            <w:tcW w:w="0" w:type="auto"/>
            <w:gridSpan w:val="3"/>
            <w:shd w:val="clear" w:color="auto" w:fill="auto"/>
            <w:vAlign w:val="bottom"/>
          </w:tcPr>
          <w:p w14:paraId="5F2CC37E" w14:textId="77777777" w:rsidR="00E836FB" w:rsidRDefault="00E836FB">
            <w:pPr>
              <w:rPr>
                <w:rFonts w:ascii="宋体"/>
                <w:vanish/>
              </w:rPr>
            </w:pPr>
          </w:p>
        </w:tc>
      </w:tr>
      <w:tr w:rsidR="00E836FB" w14:paraId="5F2CC389" w14:textId="77777777">
        <w:tc>
          <w:tcPr>
            <w:tcW w:w="0" w:type="auto"/>
            <w:gridSpan w:val="3"/>
            <w:shd w:val="clear" w:color="auto" w:fill="CCEEFF"/>
            <w:tcMar>
              <w:top w:w="40" w:type="dxa"/>
              <w:left w:w="20" w:type="dxa"/>
              <w:bottom w:w="40" w:type="dxa"/>
              <w:right w:w="20" w:type="dxa"/>
            </w:tcMar>
            <w:vAlign w:val="bottom"/>
          </w:tcPr>
          <w:p w14:paraId="5F2CC380" w14:textId="77777777" w:rsidR="00E836FB" w:rsidRDefault="00994958">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C38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382"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C38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384"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C385" w14:textId="77777777" w:rsidR="00E836FB" w:rsidRDefault="00E836FB">
            <w:pPr>
              <w:rPr>
                <w:rFonts w:ascii="宋体"/>
              </w:rPr>
            </w:pPr>
          </w:p>
        </w:tc>
        <w:tc>
          <w:tcPr>
            <w:tcW w:w="0" w:type="auto"/>
            <w:gridSpan w:val="3"/>
            <w:shd w:val="clear" w:color="auto" w:fill="auto"/>
            <w:vAlign w:val="bottom"/>
          </w:tcPr>
          <w:p w14:paraId="5F2CC386" w14:textId="77777777" w:rsidR="00E836FB" w:rsidRDefault="00E836FB">
            <w:pPr>
              <w:rPr>
                <w:rFonts w:ascii="宋体"/>
                <w:vanish/>
              </w:rPr>
            </w:pPr>
          </w:p>
        </w:tc>
        <w:tc>
          <w:tcPr>
            <w:tcW w:w="0" w:type="auto"/>
            <w:gridSpan w:val="3"/>
            <w:shd w:val="clear" w:color="auto" w:fill="auto"/>
            <w:vAlign w:val="bottom"/>
          </w:tcPr>
          <w:p w14:paraId="5F2CC387" w14:textId="77777777" w:rsidR="00E836FB" w:rsidRDefault="00E836FB">
            <w:pPr>
              <w:rPr>
                <w:rFonts w:ascii="宋体"/>
                <w:vanish/>
              </w:rPr>
            </w:pPr>
          </w:p>
        </w:tc>
        <w:tc>
          <w:tcPr>
            <w:tcW w:w="0" w:type="auto"/>
            <w:gridSpan w:val="3"/>
            <w:shd w:val="clear" w:color="auto" w:fill="auto"/>
            <w:vAlign w:val="bottom"/>
          </w:tcPr>
          <w:p w14:paraId="5F2CC388" w14:textId="77777777" w:rsidR="00E836FB" w:rsidRDefault="00E836FB">
            <w:pPr>
              <w:rPr>
                <w:rFonts w:ascii="宋体"/>
                <w:vanish/>
              </w:rPr>
            </w:pPr>
          </w:p>
        </w:tc>
      </w:tr>
      <w:tr w:rsidR="00E836FB" w14:paraId="5F2CC393" w14:textId="77777777">
        <w:tc>
          <w:tcPr>
            <w:tcW w:w="0" w:type="auto"/>
            <w:gridSpan w:val="3"/>
            <w:shd w:val="clear" w:color="auto" w:fill="FFFFFF"/>
            <w:tcMar>
              <w:top w:w="40" w:type="dxa"/>
              <w:left w:w="20" w:type="dxa"/>
              <w:bottom w:w="40" w:type="dxa"/>
              <w:right w:w="20" w:type="dxa"/>
            </w:tcMar>
            <w:vAlign w:val="bottom"/>
          </w:tcPr>
          <w:p w14:paraId="5F2CC38A" w14:textId="77777777" w:rsidR="00E836FB" w:rsidRDefault="00994958">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5F2CC38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8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8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8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8F" w14:textId="77777777" w:rsidR="00E836FB" w:rsidRDefault="00E836FB">
            <w:pPr>
              <w:rPr>
                <w:rFonts w:ascii="宋体"/>
              </w:rPr>
            </w:pPr>
          </w:p>
        </w:tc>
        <w:tc>
          <w:tcPr>
            <w:tcW w:w="0" w:type="auto"/>
            <w:gridSpan w:val="3"/>
            <w:shd w:val="clear" w:color="auto" w:fill="auto"/>
            <w:vAlign w:val="bottom"/>
          </w:tcPr>
          <w:p w14:paraId="5F2CC390" w14:textId="77777777" w:rsidR="00E836FB" w:rsidRDefault="00E836FB">
            <w:pPr>
              <w:rPr>
                <w:rFonts w:ascii="宋体"/>
                <w:vanish/>
              </w:rPr>
            </w:pPr>
          </w:p>
        </w:tc>
        <w:tc>
          <w:tcPr>
            <w:tcW w:w="0" w:type="auto"/>
            <w:gridSpan w:val="3"/>
            <w:shd w:val="clear" w:color="auto" w:fill="auto"/>
            <w:vAlign w:val="bottom"/>
          </w:tcPr>
          <w:p w14:paraId="5F2CC391" w14:textId="77777777" w:rsidR="00E836FB" w:rsidRDefault="00E836FB">
            <w:pPr>
              <w:rPr>
                <w:rFonts w:ascii="宋体"/>
                <w:vanish/>
              </w:rPr>
            </w:pPr>
          </w:p>
        </w:tc>
        <w:tc>
          <w:tcPr>
            <w:tcW w:w="0" w:type="auto"/>
            <w:gridSpan w:val="3"/>
            <w:shd w:val="clear" w:color="auto" w:fill="auto"/>
            <w:vAlign w:val="bottom"/>
          </w:tcPr>
          <w:p w14:paraId="5F2CC392" w14:textId="77777777" w:rsidR="00E836FB" w:rsidRDefault="00E836FB">
            <w:pPr>
              <w:rPr>
                <w:rFonts w:ascii="宋体"/>
                <w:vanish/>
              </w:rPr>
            </w:pPr>
          </w:p>
        </w:tc>
      </w:tr>
      <w:tr w:rsidR="00E836FB" w14:paraId="5F2CC3A3" w14:textId="77777777">
        <w:tc>
          <w:tcPr>
            <w:tcW w:w="0" w:type="auto"/>
            <w:gridSpan w:val="3"/>
            <w:shd w:val="clear" w:color="auto" w:fill="CCEEFF"/>
            <w:tcMar>
              <w:top w:w="40" w:type="dxa"/>
              <w:left w:w="155" w:type="dxa"/>
              <w:bottom w:w="40" w:type="dxa"/>
              <w:right w:w="20" w:type="dxa"/>
            </w:tcMar>
            <w:vAlign w:val="bottom"/>
          </w:tcPr>
          <w:p w14:paraId="5F2CC394" w14:textId="77777777" w:rsidR="00E836FB" w:rsidRDefault="00994958">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F2CC395"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396" w14:textId="77777777" w:rsidR="00E836FB" w:rsidRDefault="00994958">
            <w:pPr>
              <w:jc w:val="right"/>
              <w:textAlignment w:val="bottom"/>
            </w:pPr>
            <w:r>
              <w:rPr>
                <w:rFonts w:ascii="Arial" w:eastAsia="宋体" w:hAnsi="Arial" w:cs="Arial"/>
                <w:b/>
                <w:bCs/>
                <w:color w:val="000000"/>
                <w:sz w:val="14"/>
                <w:szCs w:val="14"/>
              </w:rPr>
              <w:t>2,170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3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9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39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39A" w14:textId="77777777" w:rsidR="00E836FB" w:rsidRDefault="00994958">
            <w:pPr>
              <w:jc w:val="right"/>
              <w:textAlignment w:val="bottom"/>
            </w:pPr>
            <w:r>
              <w:rPr>
                <w:rFonts w:ascii="Arial" w:eastAsia="宋体" w:hAnsi="Arial" w:cs="Arial"/>
                <w:color w:val="000000"/>
                <w:sz w:val="14"/>
                <w:szCs w:val="14"/>
              </w:rPr>
              <w:t>6,057 </w:t>
            </w:r>
          </w:p>
        </w:tc>
        <w:tc>
          <w:tcPr>
            <w:tcW w:w="0" w:type="auto"/>
            <w:shd w:val="clear" w:color="auto" w:fill="CCEEFF"/>
            <w:tcMar>
              <w:top w:w="40" w:type="dxa"/>
              <w:left w:w="0" w:type="dxa"/>
              <w:bottom w:w="40" w:type="dxa"/>
              <w:right w:w="20" w:type="dxa"/>
            </w:tcMar>
            <w:vAlign w:val="bottom"/>
          </w:tcPr>
          <w:p w14:paraId="5F2CC3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9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39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39E" w14:textId="77777777" w:rsidR="00E836FB" w:rsidRDefault="00994958">
            <w:pPr>
              <w:jc w:val="right"/>
              <w:textAlignment w:val="bottom"/>
            </w:pPr>
            <w:r>
              <w:rPr>
                <w:rFonts w:ascii="Arial" w:eastAsia="宋体" w:hAnsi="Arial" w:cs="Arial"/>
                <w:color w:val="000000"/>
                <w:sz w:val="14"/>
                <w:szCs w:val="14"/>
              </w:rPr>
              <w:t>10,311 </w:t>
            </w:r>
          </w:p>
        </w:tc>
        <w:tc>
          <w:tcPr>
            <w:tcW w:w="0" w:type="auto"/>
            <w:shd w:val="clear" w:color="auto" w:fill="CCEEFF"/>
            <w:tcMar>
              <w:top w:w="40" w:type="dxa"/>
              <w:left w:w="0" w:type="dxa"/>
              <w:bottom w:w="40" w:type="dxa"/>
              <w:right w:w="20" w:type="dxa"/>
            </w:tcMar>
            <w:vAlign w:val="bottom"/>
          </w:tcPr>
          <w:p w14:paraId="5F2CC39F" w14:textId="77777777" w:rsidR="00E836FB" w:rsidRDefault="00E836FB">
            <w:pPr>
              <w:jc w:val="right"/>
              <w:rPr>
                <w:rFonts w:ascii="宋体"/>
              </w:rPr>
            </w:pPr>
          </w:p>
        </w:tc>
        <w:tc>
          <w:tcPr>
            <w:tcW w:w="0" w:type="auto"/>
            <w:gridSpan w:val="3"/>
            <w:shd w:val="clear" w:color="auto" w:fill="auto"/>
            <w:vAlign w:val="bottom"/>
          </w:tcPr>
          <w:p w14:paraId="5F2CC3A0" w14:textId="77777777" w:rsidR="00E836FB" w:rsidRDefault="00E836FB">
            <w:pPr>
              <w:rPr>
                <w:rFonts w:ascii="宋体"/>
                <w:vanish/>
              </w:rPr>
            </w:pPr>
          </w:p>
        </w:tc>
        <w:tc>
          <w:tcPr>
            <w:tcW w:w="0" w:type="auto"/>
            <w:gridSpan w:val="3"/>
            <w:shd w:val="clear" w:color="auto" w:fill="auto"/>
            <w:vAlign w:val="bottom"/>
          </w:tcPr>
          <w:p w14:paraId="5F2CC3A1" w14:textId="77777777" w:rsidR="00E836FB" w:rsidRDefault="00E836FB">
            <w:pPr>
              <w:rPr>
                <w:rFonts w:ascii="宋体"/>
                <w:vanish/>
              </w:rPr>
            </w:pPr>
          </w:p>
        </w:tc>
        <w:tc>
          <w:tcPr>
            <w:tcW w:w="0" w:type="auto"/>
            <w:gridSpan w:val="3"/>
            <w:shd w:val="clear" w:color="auto" w:fill="auto"/>
            <w:vAlign w:val="bottom"/>
          </w:tcPr>
          <w:p w14:paraId="5F2CC3A2" w14:textId="77777777" w:rsidR="00E836FB" w:rsidRDefault="00E836FB">
            <w:pPr>
              <w:rPr>
                <w:rFonts w:ascii="宋体"/>
                <w:vanish/>
              </w:rPr>
            </w:pPr>
          </w:p>
        </w:tc>
      </w:tr>
      <w:tr w:rsidR="00E836FB" w14:paraId="5F2CC3B0" w14:textId="77777777">
        <w:tc>
          <w:tcPr>
            <w:tcW w:w="0" w:type="auto"/>
            <w:gridSpan w:val="3"/>
            <w:shd w:val="clear" w:color="auto" w:fill="FFFFFF"/>
            <w:tcMar>
              <w:top w:w="40" w:type="dxa"/>
              <w:left w:w="155" w:type="dxa"/>
              <w:bottom w:w="40" w:type="dxa"/>
              <w:right w:w="20" w:type="dxa"/>
            </w:tcMar>
            <w:vAlign w:val="bottom"/>
          </w:tcPr>
          <w:p w14:paraId="5F2CC3A4" w14:textId="77777777" w:rsidR="00E836FB" w:rsidRDefault="00994958">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F2CC3A5" w14:textId="77777777" w:rsidR="00E836FB" w:rsidRDefault="00994958">
            <w:pPr>
              <w:jc w:val="right"/>
              <w:textAlignment w:val="bottom"/>
            </w:pPr>
            <w:r>
              <w:rPr>
                <w:rFonts w:ascii="Arial" w:eastAsia="宋体" w:hAnsi="Arial" w:cs="Arial"/>
                <w:b/>
                <w:bCs/>
                <w:color w:val="000000"/>
                <w:sz w:val="14"/>
                <w:szCs w:val="14"/>
              </w:rPr>
              <w:t>33,481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3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3A8" w14:textId="77777777" w:rsidR="00E836FB" w:rsidRDefault="00994958">
            <w:pPr>
              <w:jc w:val="right"/>
              <w:textAlignment w:val="bottom"/>
            </w:pPr>
            <w:r>
              <w:rPr>
                <w:rFonts w:ascii="Arial" w:eastAsia="宋体" w:hAnsi="Arial" w:cs="Arial"/>
                <w:color w:val="000000"/>
                <w:sz w:val="14"/>
                <w:szCs w:val="14"/>
              </w:rPr>
              <w:t>36,901 </w:t>
            </w:r>
          </w:p>
        </w:tc>
        <w:tc>
          <w:tcPr>
            <w:tcW w:w="0" w:type="auto"/>
            <w:shd w:val="clear" w:color="auto" w:fill="FFFFFF"/>
            <w:tcMar>
              <w:top w:w="40" w:type="dxa"/>
              <w:left w:w="0" w:type="dxa"/>
              <w:bottom w:w="40" w:type="dxa"/>
              <w:right w:w="20" w:type="dxa"/>
            </w:tcMar>
            <w:vAlign w:val="bottom"/>
          </w:tcPr>
          <w:p w14:paraId="5F2CC3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3AB" w14:textId="77777777" w:rsidR="00E836FB" w:rsidRDefault="00994958">
            <w:pPr>
              <w:jc w:val="right"/>
              <w:textAlignment w:val="bottom"/>
            </w:pPr>
            <w:r>
              <w:rPr>
                <w:rFonts w:ascii="Arial" w:eastAsia="宋体" w:hAnsi="Arial" w:cs="Arial"/>
                <w:color w:val="000000"/>
                <w:sz w:val="14"/>
                <w:szCs w:val="14"/>
              </w:rPr>
              <w:t>26,297 </w:t>
            </w:r>
          </w:p>
        </w:tc>
        <w:tc>
          <w:tcPr>
            <w:tcW w:w="0" w:type="auto"/>
            <w:shd w:val="clear" w:color="auto" w:fill="FFFFFF"/>
            <w:tcMar>
              <w:top w:w="40" w:type="dxa"/>
              <w:left w:w="0" w:type="dxa"/>
              <w:bottom w:w="40" w:type="dxa"/>
              <w:right w:w="20" w:type="dxa"/>
            </w:tcMar>
            <w:vAlign w:val="bottom"/>
          </w:tcPr>
          <w:p w14:paraId="5F2CC3AC" w14:textId="77777777" w:rsidR="00E836FB" w:rsidRDefault="00E836FB">
            <w:pPr>
              <w:jc w:val="right"/>
              <w:rPr>
                <w:rFonts w:ascii="宋体"/>
              </w:rPr>
            </w:pPr>
          </w:p>
        </w:tc>
        <w:tc>
          <w:tcPr>
            <w:tcW w:w="0" w:type="auto"/>
            <w:gridSpan w:val="3"/>
            <w:shd w:val="clear" w:color="auto" w:fill="auto"/>
            <w:vAlign w:val="bottom"/>
          </w:tcPr>
          <w:p w14:paraId="5F2CC3AD" w14:textId="77777777" w:rsidR="00E836FB" w:rsidRDefault="00E836FB">
            <w:pPr>
              <w:rPr>
                <w:rFonts w:ascii="宋体"/>
                <w:vanish/>
              </w:rPr>
            </w:pPr>
          </w:p>
        </w:tc>
        <w:tc>
          <w:tcPr>
            <w:tcW w:w="0" w:type="auto"/>
            <w:gridSpan w:val="3"/>
            <w:shd w:val="clear" w:color="auto" w:fill="auto"/>
            <w:vAlign w:val="bottom"/>
          </w:tcPr>
          <w:p w14:paraId="5F2CC3AE" w14:textId="77777777" w:rsidR="00E836FB" w:rsidRDefault="00E836FB">
            <w:pPr>
              <w:rPr>
                <w:rFonts w:ascii="宋体"/>
                <w:vanish/>
              </w:rPr>
            </w:pPr>
          </w:p>
        </w:tc>
        <w:tc>
          <w:tcPr>
            <w:tcW w:w="0" w:type="auto"/>
            <w:gridSpan w:val="3"/>
            <w:shd w:val="clear" w:color="auto" w:fill="auto"/>
            <w:vAlign w:val="bottom"/>
          </w:tcPr>
          <w:p w14:paraId="5F2CC3AF" w14:textId="77777777" w:rsidR="00E836FB" w:rsidRDefault="00E836FB">
            <w:pPr>
              <w:rPr>
                <w:rFonts w:ascii="宋体"/>
                <w:vanish/>
              </w:rPr>
            </w:pPr>
          </w:p>
        </w:tc>
      </w:tr>
      <w:tr w:rsidR="00E836FB" w14:paraId="5F2CC3BD" w14:textId="77777777">
        <w:tc>
          <w:tcPr>
            <w:tcW w:w="0" w:type="auto"/>
            <w:gridSpan w:val="3"/>
            <w:shd w:val="clear" w:color="auto" w:fill="CCEEFF"/>
            <w:tcMar>
              <w:top w:w="40" w:type="dxa"/>
              <w:left w:w="20" w:type="dxa"/>
              <w:bottom w:w="40" w:type="dxa"/>
              <w:right w:w="20" w:type="dxa"/>
            </w:tcMar>
            <w:vAlign w:val="bottom"/>
          </w:tcPr>
          <w:p w14:paraId="5F2CC3B1" w14:textId="77777777" w:rsidR="00E836FB" w:rsidRDefault="00994958">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B2" w14:textId="77777777" w:rsidR="00E836FB" w:rsidRDefault="00994958">
            <w:pPr>
              <w:jc w:val="right"/>
              <w:textAlignment w:val="bottom"/>
            </w:pPr>
            <w:r>
              <w:rPr>
                <w:rFonts w:ascii="Arial" w:eastAsia="宋体" w:hAnsi="Arial" w:cs="Arial"/>
                <w:b/>
                <w:bCs/>
                <w:color w:val="000000"/>
                <w:sz w:val="14"/>
                <w:szCs w:val="14"/>
              </w:rPr>
              <w:t>35,651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B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B5" w14:textId="77777777" w:rsidR="00E836FB" w:rsidRDefault="00994958">
            <w:pPr>
              <w:jc w:val="right"/>
              <w:textAlignment w:val="bottom"/>
            </w:pPr>
            <w:r>
              <w:rPr>
                <w:rFonts w:ascii="Arial" w:eastAsia="宋体" w:hAnsi="Arial" w:cs="Arial"/>
                <w:color w:val="000000"/>
                <w:sz w:val="14"/>
                <w:szCs w:val="14"/>
              </w:rPr>
              <w:t>42,958 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B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B8" w14:textId="77777777" w:rsidR="00E836FB" w:rsidRDefault="00994958">
            <w:pPr>
              <w:jc w:val="right"/>
              <w:textAlignment w:val="bottom"/>
            </w:pPr>
            <w:r>
              <w:rPr>
                <w:rFonts w:ascii="Arial" w:eastAsia="宋体" w:hAnsi="Arial" w:cs="Arial"/>
                <w:color w:val="000000"/>
                <w:sz w:val="14"/>
                <w:szCs w:val="14"/>
              </w:rPr>
              <w:t>36,608 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B9" w14:textId="77777777" w:rsidR="00E836FB" w:rsidRDefault="00E836FB">
            <w:pPr>
              <w:jc w:val="right"/>
              <w:rPr>
                <w:rFonts w:ascii="宋体"/>
              </w:rPr>
            </w:pPr>
          </w:p>
        </w:tc>
        <w:tc>
          <w:tcPr>
            <w:tcW w:w="0" w:type="auto"/>
            <w:gridSpan w:val="3"/>
            <w:shd w:val="clear" w:color="auto" w:fill="auto"/>
            <w:vAlign w:val="bottom"/>
          </w:tcPr>
          <w:p w14:paraId="5F2CC3BA" w14:textId="77777777" w:rsidR="00E836FB" w:rsidRDefault="00E836FB">
            <w:pPr>
              <w:rPr>
                <w:rFonts w:ascii="宋体"/>
                <w:vanish/>
              </w:rPr>
            </w:pPr>
          </w:p>
        </w:tc>
        <w:tc>
          <w:tcPr>
            <w:tcW w:w="0" w:type="auto"/>
            <w:gridSpan w:val="3"/>
            <w:shd w:val="clear" w:color="auto" w:fill="auto"/>
            <w:vAlign w:val="bottom"/>
          </w:tcPr>
          <w:p w14:paraId="5F2CC3BB" w14:textId="77777777" w:rsidR="00E836FB" w:rsidRDefault="00E836FB">
            <w:pPr>
              <w:rPr>
                <w:rFonts w:ascii="宋体"/>
                <w:vanish/>
              </w:rPr>
            </w:pPr>
          </w:p>
        </w:tc>
        <w:tc>
          <w:tcPr>
            <w:tcW w:w="0" w:type="auto"/>
            <w:gridSpan w:val="3"/>
            <w:shd w:val="clear" w:color="auto" w:fill="auto"/>
            <w:vAlign w:val="bottom"/>
          </w:tcPr>
          <w:p w14:paraId="5F2CC3BC" w14:textId="77777777" w:rsidR="00E836FB" w:rsidRDefault="00E836FB">
            <w:pPr>
              <w:rPr>
                <w:rFonts w:ascii="宋体"/>
                <w:vanish/>
              </w:rPr>
            </w:pPr>
          </w:p>
        </w:tc>
      </w:tr>
      <w:tr w:rsidR="00E836FB" w14:paraId="5F2CC3C7" w14:textId="77777777">
        <w:tc>
          <w:tcPr>
            <w:tcW w:w="0" w:type="auto"/>
            <w:gridSpan w:val="3"/>
            <w:shd w:val="clear" w:color="auto" w:fill="FFFFFF"/>
            <w:tcMar>
              <w:top w:w="40" w:type="dxa"/>
              <w:left w:w="20" w:type="dxa"/>
              <w:bottom w:w="40" w:type="dxa"/>
              <w:right w:w="20" w:type="dxa"/>
            </w:tcMar>
            <w:vAlign w:val="bottom"/>
          </w:tcPr>
          <w:p w14:paraId="5F2CC3BE" w14:textId="77777777" w:rsidR="00E836FB" w:rsidRDefault="00994958">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3B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C0"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3C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C2"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3C3" w14:textId="77777777" w:rsidR="00E836FB" w:rsidRDefault="00E836FB">
            <w:pPr>
              <w:rPr>
                <w:rFonts w:ascii="宋体"/>
              </w:rPr>
            </w:pPr>
          </w:p>
        </w:tc>
        <w:tc>
          <w:tcPr>
            <w:tcW w:w="0" w:type="auto"/>
            <w:gridSpan w:val="3"/>
            <w:shd w:val="clear" w:color="auto" w:fill="auto"/>
            <w:vAlign w:val="bottom"/>
          </w:tcPr>
          <w:p w14:paraId="5F2CC3C4" w14:textId="77777777" w:rsidR="00E836FB" w:rsidRDefault="00E836FB">
            <w:pPr>
              <w:rPr>
                <w:rFonts w:ascii="宋体"/>
                <w:vanish/>
              </w:rPr>
            </w:pPr>
          </w:p>
        </w:tc>
        <w:tc>
          <w:tcPr>
            <w:tcW w:w="0" w:type="auto"/>
            <w:gridSpan w:val="3"/>
            <w:shd w:val="clear" w:color="auto" w:fill="auto"/>
            <w:vAlign w:val="bottom"/>
          </w:tcPr>
          <w:p w14:paraId="5F2CC3C5" w14:textId="77777777" w:rsidR="00E836FB" w:rsidRDefault="00E836FB">
            <w:pPr>
              <w:rPr>
                <w:rFonts w:ascii="宋体"/>
                <w:vanish/>
              </w:rPr>
            </w:pPr>
          </w:p>
        </w:tc>
        <w:tc>
          <w:tcPr>
            <w:tcW w:w="0" w:type="auto"/>
            <w:gridSpan w:val="3"/>
            <w:shd w:val="clear" w:color="auto" w:fill="auto"/>
            <w:vAlign w:val="bottom"/>
          </w:tcPr>
          <w:p w14:paraId="5F2CC3C6" w14:textId="77777777" w:rsidR="00E836FB" w:rsidRDefault="00E836FB">
            <w:pPr>
              <w:rPr>
                <w:rFonts w:ascii="宋体"/>
                <w:vanish/>
              </w:rPr>
            </w:pPr>
          </w:p>
        </w:tc>
      </w:tr>
      <w:tr w:rsidR="00E836FB" w14:paraId="5F2CC3D4" w14:textId="77777777">
        <w:tc>
          <w:tcPr>
            <w:tcW w:w="0" w:type="auto"/>
            <w:gridSpan w:val="3"/>
            <w:shd w:val="clear" w:color="auto" w:fill="CCEEFF"/>
            <w:tcMar>
              <w:top w:w="40" w:type="dxa"/>
              <w:left w:w="140" w:type="dxa"/>
              <w:bottom w:w="40" w:type="dxa"/>
              <w:right w:w="20" w:type="dxa"/>
            </w:tcMar>
            <w:vAlign w:val="bottom"/>
          </w:tcPr>
          <w:p w14:paraId="5F2CC3C8" w14:textId="77777777" w:rsidR="00E836FB" w:rsidRDefault="00994958">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F2CC3C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3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3CC" w14:textId="77777777" w:rsidR="00E836FB" w:rsidRDefault="00994958">
            <w:pPr>
              <w:jc w:val="right"/>
              <w:textAlignment w:val="bottom"/>
            </w:pPr>
            <w:r>
              <w:rPr>
                <w:rFonts w:ascii="Arial" w:eastAsia="宋体" w:hAnsi="Arial" w:cs="Arial"/>
                <w:color w:val="000000"/>
                <w:sz w:val="14"/>
                <w:szCs w:val="14"/>
              </w:rPr>
              <w:t>303 </w:t>
            </w:r>
          </w:p>
        </w:tc>
        <w:tc>
          <w:tcPr>
            <w:tcW w:w="0" w:type="auto"/>
            <w:shd w:val="clear" w:color="auto" w:fill="CCEEFF"/>
            <w:tcMar>
              <w:top w:w="40" w:type="dxa"/>
              <w:left w:w="0" w:type="dxa"/>
              <w:bottom w:w="40" w:type="dxa"/>
              <w:right w:w="20" w:type="dxa"/>
            </w:tcMar>
            <w:vAlign w:val="bottom"/>
          </w:tcPr>
          <w:p w14:paraId="5F2CC3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C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3CF" w14:textId="77777777" w:rsidR="00E836FB" w:rsidRDefault="00994958">
            <w:pPr>
              <w:jc w:val="right"/>
              <w:textAlignment w:val="bottom"/>
            </w:pPr>
            <w:r>
              <w:rPr>
                <w:rFonts w:ascii="Arial" w:eastAsia="宋体" w:hAnsi="Arial" w:cs="Arial"/>
                <w:color w:val="000000"/>
                <w:sz w:val="14"/>
                <w:szCs w:val="14"/>
              </w:rPr>
              <w:t>366 </w:t>
            </w:r>
          </w:p>
        </w:tc>
        <w:tc>
          <w:tcPr>
            <w:tcW w:w="0" w:type="auto"/>
            <w:shd w:val="clear" w:color="auto" w:fill="CCEEFF"/>
            <w:tcMar>
              <w:top w:w="40" w:type="dxa"/>
              <w:left w:w="0" w:type="dxa"/>
              <w:bottom w:w="40" w:type="dxa"/>
              <w:right w:w="20" w:type="dxa"/>
            </w:tcMar>
            <w:vAlign w:val="bottom"/>
          </w:tcPr>
          <w:p w14:paraId="5F2CC3D0" w14:textId="77777777" w:rsidR="00E836FB" w:rsidRDefault="00E836FB">
            <w:pPr>
              <w:jc w:val="right"/>
              <w:rPr>
                <w:rFonts w:ascii="宋体"/>
              </w:rPr>
            </w:pPr>
          </w:p>
        </w:tc>
        <w:tc>
          <w:tcPr>
            <w:tcW w:w="0" w:type="auto"/>
            <w:gridSpan w:val="3"/>
            <w:shd w:val="clear" w:color="auto" w:fill="auto"/>
            <w:vAlign w:val="bottom"/>
          </w:tcPr>
          <w:p w14:paraId="5F2CC3D1" w14:textId="77777777" w:rsidR="00E836FB" w:rsidRDefault="00E836FB">
            <w:pPr>
              <w:rPr>
                <w:rFonts w:ascii="宋体"/>
                <w:vanish/>
              </w:rPr>
            </w:pPr>
          </w:p>
        </w:tc>
        <w:tc>
          <w:tcPr>
            <w:tcW w:w="0" w:type="auto"/>
            <w:gridSpan w:val="3"/>
            <w:shd w:val="clear" w:color="auto" w:fill="auto"/>
            <w:vAlign w:val="bottom"/>
          </w:tcPr>
          <w:p w14:paraId="5F2CC3D2" w14:textId="77777777" w:rsidR="00E836FB" w:rsidRDefault="00E836FB">
            <w:pPr>
              <w:rPr>
                <w:rFonts w:ascii="宋体"/>
                <w:vanish/>
              </w:rPr>
            </w:pPr>
          </w:p>
        </w:tc>
        <w:tc>
          <w:tcPr>
            <w:tcW w:w="0" w:type="auto"/>
            <w:gridSpan w:val="3"/>
            <w:shd w:val="clear" w:color="auto" w:fill="auto"/>
            <w:vAlign w:val="bottom"/>
          </w:tcPr>
          <w:p w14:paraId="5F2CC3D3" w14:textId="77777777" w:rsidR="00E836FB" w:rsidRDefault="00E836FB">
            <w:pPr>
              <w:rPr>
                <w:rFonts w:ascii="宋体"/>
                <w:vanish/>
              </w:rPr>
            </w:pPr>
          </w:p>
        </w:tc>
      </w:tr>
      <w:tr w:rsidR="00E836FB" w14:paraId="5F2CC3DE" w14:textId="77777777">
        <w:trPr>
          <w:hidden/>
        </w:trPr>
        <w:tc>
          <w:tcPr>
            <w:tcW w:w="0" w:type="auto"/>
            <w:gridSpan w:val="3"/>
            <w:shd w:val="clear" w:color="auto" w:fill="auto"/>
            <w:vAlign w:val="bottom"/>
          </w:tcPr>
          <w:p w14:paraId="5F2CC3D5" w14:textId="77777777" w:rsidR="00E836FB" w:rsidRDefault="00E836FB">
            <w:pPr>
              <w:rPr>
                <w:rFonts w:ascii="宋体"/>
                <w:vanish/>
              </w:rPr>
            </w:pPr>
          </w:p>
        </w:tc>
        <w:tc>
          <w:tcPr>
            <w:tcW w:w="0" w:type="auto"/>
            <w:gridSpan w:val="3"/>
            <w:shd w:val="clear" w:color="auto" w:fill="auto"/>
            <w:vAlign w:val="bottom"/>
          </w:tcPr>
          <w:p w14:paraId="5F2CC3D6" w14:textId="77777777" w:rsidR="00E836FB" w:rsidRDefault="00E836FB">
            <w:pPr>
              <w:rPr>
                <w:rFonts w:ascii="宋体"/>
                <w:vanish/>
              </w:rPr>
            </w:pPr>
          </w:p>
        </w:tc>
        <w:tc>
          <w:tcPr>
            <w:tcW w:w="0" w:type="auto"/>
            <w:gridSpan w:val="3"/>
            <w:shd w:val="clear" w:color="auto" w:fill="auto"/>
            <w:vAlign w:val="bottom"/>
          </w:tcPr>
          <w:p w14:paraId="5F2CC3D7" w14:textId="77777777" w:rsidR="00E836FB" w:rsidRDefault="00E836FB">
            <w:pPr>
              <w:rPr>
                <w:rFonts w:ascii="宋体"/>
                <w:vanish/>
              </w:rPr>
            </w:pPr>
          </w:p>
        </w:tc>
        <w:tc>
          <w:tcPr>
            <w:tcW w:w="0" w:type="auto"/>
            <w:gridSpan w:val="3"/>
            <w:shd w:val="clear" w:color="auto" w:fill="auto"/>
            <w:vAlign w:val="bottom"/>
          </w:tcPr>
          <w:p w14:paraId="5F2CC3D8" w14:textId="77777777" w:rsidR="00E836FB" w:rsidRDefault="00E836FB">
            <w:pPr>
              <w:rPr>
                <w:rFonts w:ascii="宋体"/>
                <w:vanish/>
              </w:rPr>
            </w:pPr>
          </w:p>
        </w:tc>
        <w:tc>
          <w:tcPr>
            <w:tcW w:w="0" w:type="auto"/>
            <w:gridSpan w:val="3"/>
            <w:shd w:val="clear" w:color="auto" w:fill="auto"/>
            <w:vAlign w:val="bottom"/>
          </w:tcPr>
          <w:p w14:paraId="5F2CC3D9" w14:textId="77777777" w:rsidR="00E836FB" w:rsidRDefault="00E836FB">
            <w:pPr>
              <w:rPr>
                <w:rFonts w:ascii="宋体"/>
                <w:vanish/>
              </w:rPr>
            </w:pPr>
          </w:p>
        </w:tc>
        <w:tc>
          <w:tcPr>
            <w:tcW w:w="0" w:type="auto"/>
            <w:gridSpan w:val="3"/>
            <w:shd w:val="clear" w:color="auto" w:fill="auto"/>
            <w:vAlign w:val="bottom"/>
          </w:tcPr>
          <w:p w14:paraId="5F2CC3DA" w14:textId="77777777" w:rsidR="00E836FB" w:rsidRDefault="00E836FB">
            <w:pPr>
              <w:rPr>
                <w:rFonts w:ascii="宋体"/>
                <w:vanish/>
              </w:rPr>
            </w:pPr>
          </w:p>
        </w:tc>
        <w:tc>
          <w:tcPr>
            <w:tcW w:w="0" w:type="auto"/>
            <w:gridSpan w:val="3"/>
            <w:shd w:val="clear" w:color="auto" w:fill="auto"/>
            <w:vAlign w:val="bottom"/>
          </w:tcPr>
          <w:p w14:paraId="5F2CC3DB" w14:textId="77777777" w:rsidR="00E836FB" w:rsidRDefault="00E836FB">
            <w:pPr>
              <w:rPr>
                <w:rFonts w:ascii="宋体"/>
                <w:vanish/>
              </w:rPr>
            </w:pPr>
          </w:p>
        </w:tc>
        <w:tc>
          <w:tcPr>
            <w:tcW w:w="0" w:type="auto"/>
            <w:gridSpan w:val="3"/>
            <w:shd w:val="clear" w:color="auto" w:fill="auto"/>
            <w:vAlign w:val="bottom"/>
          </w:tcPr>
          <w:p w14:paraId="5F2CC3DC" w14:textId="77777777" w:rsidR="00E836FB" w:rsidRDefault="00E836FB">
            <w:pPr>
              <w:rPr>
                <w:rFonts w:ascii="宋体"/>
                <w:vanish/>
              </w:rPr>
            </w:pPr>
          </w:p>
        </w:tc>
        <w:tc>
          <w:tcPr>
            <w:tcW w:w="0" w:type="auto"/>
            <w:gridSpan w:val="3"/>
            <w:shd w:val="clear" w:color="auto" w:fill="auto"/>
            <w:vAlign w:val="bottom"/>
          </w:tcPr>
          <w:p w14:paraId="5F2CC3DD" w14:textId="77777777" w:rsidR="00E836FB" w:rsidRDefault="00E836FB">
            <w:pPr>
              <w:rPr>
                <w:rFonts w:ascii="宋体"/>
                <w:vanish/>
              </w:rPr>
            </w:pPr>
          </w:p>
        </w:tc>
      </w:tr>
      <w:tr w:rsidR="00E836FB" w14:paraId="5F2CC3EB" w14:textId="77777777">
        <w:tc>
          <w:tcPr>
            <w:tcW w:w="0" w:type="auto"/>
            <w:gridSpan w:val="3"/>
            <w:shd w:val="clear" w:color="auto" w:fill="FFFFFF"/>
            <w:tcMar>
              <w:top w:w="40" w:type="dxa"/>
              <w:left w:w="140" w:type="dxa"/>
              <w:bottom w:w="40" w:type="dxa"/>
              <w:right w:w="20" w:type="dxa"/>
            </w:tcMar>
            <w:vAlign w:val="bottom"/>
          </w:tcPr>
          <w:p w14:paraId="5F2CC3DF" w14:textId="77777777" w:rsidR="00E836FB" w:rsidRDefault="00994958">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FFFFFF"/>
            <w:tcMar>
              <w:top w:w="40" w:type="dxa"/>
              <w:left w:w="20" w:type="dxa"/>
              <w:bottom w:w="40" w:type="dxa"/>
              <w:right w:w="0" w:type="dxa"/>
            </w:tcMar>
            <w:vAlign w:val="bottom"/>
          </w:tcPr>
          <w:p w14:paraId="5F2CC3E0" w14:textId="77777777" w:rsidR="00E836FB" w:rsidRDefault="00994958">
            <w:pPr>
              <w:jc w:val="right"/>
              <w:textAlignment w:val="bottom"/>
            </w:pPr>
            <w:r>
              <w:rPr>
                <w:rFonts w:ascii="Arial" w:eastAsia="宋体" w:hAnsi="Arial" w:cs="Arial"/>
                <w:b/>
                <w:bCs/>
                <w:color w:val="000000"/>
                <w:sz w:val="14"/>
                <w:szCs w:val="14"/>
              </w:rPr>
              <w:t>1,564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3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E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3E3" w14:textId="77777777" w:rsidR="00E836FB" w:rsidRDefault="00994958">
            <w:pPr>
              <w:jc w:val="right"/>
              <w:textAlignment w:val="bottom"/>
            </w:pPr>
            <w:r>
              <w:rPr>
                <w:rFonts w:ascii="Arial" w:eastAsia="宋体" w:hAnsi="Arial" w:cs="Arial"/>
                <w:color w:val="000000"/>
                <w:sz w:val="14"/>
                <w:szCs w:val="14"/>
              </w:rPr>
              <w:t>342 </w:t>
            </w:r>
          </w:p>
        </w:tc>
        <w:tc>
          <w:tcPr>
            <w:tcW w:w="0" w:type="auto"/>
            <w:shd w:val="clear" w:color="auto" w:fill="FFFFFF"/>
            <w:tcMar>
              <w:top w:w="40" w:type="dxa"/>
              <w:left w:w="0" w:type="dxa"/>
              <w:bottom w:w="40" w:type="dxa"/>
              <w:right w:w="20" w:type="dxa"/>
            </w:tcMar>
            <w:vAlign w:val="bottom"/>
          </w:tcPr>
          <w:p w14:paraId="5F2CC3E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3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3E6" w14:textId="77777777" w:rsidR="00E836FB" w:rsidRDefault="00994958">
            <w:pPr>
              <w:jc w:val="right"/>
              <w:textAlignment w:val="bottom"/>
            </w:pPr>
            <w:r>
              <w:rPr>
                <w:rFonts w:ascii="Arial" w:eastAsia="宋体" w:hAnsi="Arial" w:cs="Arial"/>
                <w:color w:val="000000"/>
                <w:sz w:val="14"/>
                <w:szCs w:val="14"/>
              </w:rPr>
              <w:t>328 </w:t>
            </w:r>
          </w:p>
        </w:tc>
        <w:tc>
          <w:tcPr>
            <w:tcW w:w="0" w:type="auto"/>
            <w:shd w:val="clear" w:color="auto" w:fill="FFFFFF"/>
            <w:tcMar>
              <w:top w:w="40" w:type="dxa"/>
              <w:left w:w="0" w:type="dxa"/>
              <w:bottom w:w="40" w:type="dxa"/>
              <w:right w:w="20" w:type="dxa"/>
            </w:tcMar>
            <w:vAlign w:val="bottom"/>
          </w:tcPr>
          <w:p w14:paraId="5F2CC3E7" w14:textId="77777777" w:rsidR="00E836FB" w:rsidRDefault="00E836FB">
            <w:pPr>
              <w:jc w:val="right"/>
              <w:rPr>
                <w:rFonts w:ascii="宋体"/>
              </w:rPr>
            </w:pPr>
          </w:p>
        </w:tc>
        <w:tc>
          <w:tcPr>
            <w:tcW w:w="0" w:type="auto"/>
            <w:gridSpan w:val="3"/>
            <w:shd w:val="clear" w:color="auto" w:fill="auto"/>
            <w:vAlign w:val="bottom"/>
          </w:tcPr>
          <w:p w14:paraId="5F2CC3E8" w14:textId="77777777" w:rsidR="00E836FB" w:rsidRDefault="00E836FB">
            <w:pPr>
              <w:rPr>
                <w:rFonts w:ascii="宋体"/>
                <w:vanish/>
              </w:rPr>
            </w:pPr>
          </w:p>
        </w:tc>
        <w:tc>
          <w:tcPr>
            <w:tcW w:w="0" w:type="auto"/>
            <w:gridSpan w:val="3"/>
            <w:shd w:val="clear" w:color="auto" w:fill="auto"/>
            <w:vAlign w:val="bottom"/>
          </w:tcPr>
          <w:p w14:paraId="5F2CC3E9" w14:textId="77777777" w:rsidR="00E836FB" w:rsidRDefault="00E836FB">
            <w:pPr>
              <w:rPr>
                <w:rFonts w:ascii="宋体"/>
                <w:vanish/>
              </w:rPr>
            </w:pPr>
          </w:p>
        </w:tc>
        <w:tc>
          <w:tcPr>
            <w:tcW w:w="0" w:type="auto"/>
            <w:gridSpan w:val="3"/>
            <w:shd w:val="clear" w:color="auto" w:fill="auto"/>
            <w:vAlign w:val="bottom"/>
          </w:tcPr>
          <w:p w14:paraId="5F2CC3EA" w14:textId="77777777" w:rsidR="00E836FB" w:rsidRDefault="00E836FB">
            <w:pPr>
              <w:rPr>
                <w:rFonts w:ascii="宋体"/>
                <w:vanish/>
              </w:rPr>
            </w:pPr>
          </w:p>
        </w:tc>
      </w:tr>
      <w:tr w:rsidR="00E836FB" w14:paraId="5F2CC3F8" w14:textId="77777777">
        <w:tc>
          <w:tcPr>
            <w:tcW w:w="0" w:type="auto"/>
            <w:gridSpan w:val="3"/>
            <w:shd w:val="clear" w:color="auto" w:fill="CCEEFF"/>
            <w:tcMar>
              <w:top w:w="40" w:type="dxa"/>
              <w:left w:w="20" w:type="dxa"/>
              <w:bottom w:w="40" w:type="dxa"/>
              <w:right w:w="20" w:type="dxa"/>
            </w:tcMar>
            <w:vAlign w:val="bottom"/>
          </w:tcPr>
          <w:p w14:paraId="5F2CC3EC" w14:textId="77777777" w:rsidR="00E836FB" w:rsidRDefault="00994958">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ED" w14:textId="77777777" w:rsidR="00E836FB" w:rsidRDefault="00994958">
            <w:pPr>
              <w:jc w:val="right"/>
              <w:textAlignment w:val="bottom"/>
            </w:pPr>
            <w:r>
              <w:rPr>
                <w:rFonts w:ascii="Arial" w:eastAsia="宋体" w:hAnsi="Arial" w:cs="Arial"/>
                <w:b/>
                <w:bCs/>
                <w:color w:val="000000"/>
                <w:sz w:val="14"/>
                <w:szCs w:val="14"/>
              </w:rPr>
              <w:t>1,564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E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F0" w14:textId="77777777" w:rsidR="00E836FB" w:rsidRDefault="00994958">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3F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3F3" w14:textId="77777777" w:rsidR="00E836FB" w:rsidRDefault="00994958">
            <w:pPr>
              <w:jc w:val="right"/>
              <w:textAlignment w:val="bottom"/>
            </w:pPr>
            <w:r>
              <w:rPr>
                <w:rFonts w:ascii="Arial" w:eastAsia="宋体" w:hAnsi="Arial" w:cs="Arial"/>
                <w:color w:val="000000"/>
                <w:sz w:val="14"/>
                <w:szCs w:val="14"/>
              </w:rPr>
              <w:t>694 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3F4" w14:textId="77777777" w:rsidR="00E836FB" w:rsidRDefault="00E836FB">
            <w:pPr>
              <w:jc w:val="right"/>
              <w:rPr>
                <w:rFonts w:ascii="宋体"/>
              </w:rPr>
            </w:pPr>
          </w:p>
        </w:tc>
        <w:tc>
          <w:tcPr>
            <w:tcW w:w="0" w:type="auto"/>
            <w:gridSpan w:val="3"/>
            <w:shd w:val="clear" w:color="auto" w:fill="auto"/>
            <w:vAlign w:val="bottom"/>
          </w:tcPr>
          <w:p w14:paraId="5F2CC3F5" w14:textId="77777777" w:rsidR="00E836FB" w:rsidRDefault="00E836FB">
            <w:pPr>
              <w:rPr>
                <w:rFonts w:ascii="宋体"/>
                <w:vanish/>
              </w:rPr>
            </w:pPr>
          </w:p>
        </w:tc>
        <w:tc>
          <w:tcPr>
            <w:tcW w:w="0" w:type="auto"/>
            <w:gridSpan w:val="3"/>
            <w:shd w:val="clear" w:color="auto" w:fill="auto"/>
            <w:vAlign w:val="bottom"/>
          </w:tcPr>
          <w:p w14:paraId="5F2CC3F6" w14:textId="77777777" w:rsidR="00E836FB" w:rsidRDefault="00E836FB">
            <w:pPr>
              <w:rPr>
                <w:rFonts w:ascii="宋体"/>
                <w:vanish/>
              </w:rPr>
            </w:pPr>
          </w:p>
        </w:tc>
        <w:tc>
          <w:tcPr>
            <w:tcW w:w="0" w:type="auto"/>
            <w:gridSpan w:val="3"/>
            <w:shd w:val="clear" w:color="auto" w:fill="auto"/>
            <w:vAlign w:val="bottom"/>
          </w:tcPr>
          <w:p w14:paraId="5F2CC3F7" w14:textId="77777777" w:rsidR="00E836FB" w:rsidRDefault="00E836FB">
            <w:pPr>
              <w:rPr>
                <w:rFonts w:ascii="宋体"/>
                <w:vanish/>
              </w:rPr>
            </w:pPr>
          </w:p>
        </w:tc>
      </w:tr>
      <w:tr w:rsidR="00E836FB" w14:paraId="5F2CC402" w14:textId="77777777">
        <w:tc>
          <w:tcPr>
            <w:tcW w:w="0" w:type="auto"/>
            <w:gridSpan w:val="3"/>
            <w:shd w:val="clear" w:color="auto" w:fill="FFFFFF"/>
            <w:tcMar>
              <w:top w:w="40" w:type="dxa"/>
              <w:left w:w="20" w:type="dxa"/>
              <w:bottom w:w="40" w:type="dxa"/>
              <w:right w:w="20" w:type="dxa"/>
            </w:tcMar>
            <w:vAlign w:val="bottom"/>
          </w:tcPr>
          <w:p w14:paraId="5F2CC3F9" w14:textId="77777777" w:rsidR="00E836FB" w:rsidRDefault="00994958">
            <w:pPr>
              <w:textAlignment w:val="bottom"/>
            </w:pPr>
            <w:r>
              <w:rPr>
                <w:rFonts w:ascii="Arial" w:eastAsia="宋体" w:hAnsi="Arial" w:cs="Arial"/>
                <w:color w:val="000000"/>
                <w:sz w:val="14"/>
                <w:szCs w:val="14"/>
              </w:rPr>
              <w:t>Asset-backed securities:</w:t>
            </w:r>
          </w:p>
        </w:tc>
        <w:tc>
          <w:tcPr>
            <w:tcW w:w="0" w:type="auto"/>
            <w:gridSpan w:val="3"/>
            <w:shd w:val="clear" w:color="auto" w:fill="FFFFFF"/>
            <w:tcMar>
              <w:top w:w="0" w:type="dxa"/>
              <w:left w:w="20" w:type="dxa"/>
              <w:bottom w:w="0" w:type="dxa"/>
              <w:right w:w="20" w:type="dxa"/>
            </w:tcMar>
            <w:vAlign w:val="bottom"/>
          </w:tcPr>
          <w:p w14:paraId="5F2CC3F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F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F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F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3FE" w14:textId="77777777" w:rsidR="00E836FB" w:rsidRDefault="00E836FB">
            <w:pPr>
              <w:rPr>
                <w:rFonts w:ascii="宋体"/>
              </w:rPr>
            </w:pPr>
          </w:p>
        </w:tc>
        <w:tc>
          <w:tcPr>
            <w:tcW w:w="0" w:type="auto"/>
            <w:gridSpan w:val="3"/>
            <w:shd w:val="clear" w:color="auto" w:fill="auto"/>
            <w:vAlign w:val="bottom"/>
          </w:tcPr>
          <w:p w14:paraId="5F2CC3FF" w14:textId="77777777" w:rsidR="00E836FB" w:rsidRDefault="00E836FB">
            <w:pPr>
              <w:rPr>
                <w:rFonts w:ascii="宋体"/>
                <w:vanish/>
              </w:rPr>
            </w:pPr>
          </w:p>
        </w:tc>
        <w:tc>
          <w:tcPr>
            <w:tcW w:w="0" w:type="auto"/>
            <w:gridSpan w:val="3"/>
            <w:shd w:val="clear" w:color="auto" w:fill="auto"/>
            <w:vAlign w:val="bottom"/>
          </w:tcPr>
          <w:p w14:paraId="5F2CC400" w14:textId="77777777" w:rsidR="00E836FB" w:rsidRDefault="00E836FB">
            <w:pPr>
              <w:rPr>
                <w:rFonts w:ascii="宋体"/>
                <w:vanish/>
              </w:rPr>
            </w:pPr>
          </w:p>
        </w:tc>
        <w:tc>
          <w:tcPr>
            <w:tcW w:w="0" w:type="auto"/>
            <w:gridSpan w:val="3"/>
            <w:shd w:val="clear" w:color="auto" w:fill="auto"/>
            <w:vAlign w:val="bottom"/>
          </w:tcPr>
          <w:p w14:paraId="5F2CC401" w14:textId="77777777" w:rsidR="00E836FB" w:rsidRDefault="00E836FB">
            <w:pPr>
              <w:rPr>
                <w:rFonts w:ascii="宋体"/>
                <w:vanish/>
              </w:rPr>
            </w:pPr>
          </w:p>
        </w:tc>
      </w:tr>
      <w:tr w:rsidR="00E836FB" w14:paraId="5F2CC40F" w14:textId="77777777">
        <w:tc>
          <w:tcPr>
            <w:tcW w:w="0" w:type="auto"/>
            <w:gridSpan w:val="3"/>
            <w:shd w:val="clear" w:color="auto" w:fill="CCEEFF"/>
            <w:tcMar>
              <w:top w:w="40" w:type="dxa"/>
              <w:left w:w="20" w:type="dxa"/>
              <w:bottom w:w="40" w:type="dxa"/>
              <w:right w:w="20" w:type="dxa"/>
            </w:tcMar>
            <w:vAlign w:val="bottom"/>
          </w:tcPr>
          <w:p w14:paraId="5F2CC403" w14:textId="77777777" w:rsidR="00E836FB" w:rsidRDefault="00994958">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F2CC404" w14:textId="77777777" w:rsidR="00E836FB" w:rsidRDefault="00994958">
            <w:pPr>
              <w:jc w:val="right"/>
              <w:textAlignment w:val="bottom"/>
            </w:pPr>
            <w:r>
              <w:rPr>
                <w:rFonts w:ascii="Arial" w:eastAsia="宋体" w:hAnsi="Arial" w:cs="Arial"/>
                <w:b/>
                <w:bCs/>
                <w:color w:val="000000"/>
                <w:sz w:val="14"/>
                <w:szCs w:val="14"/>
              </w:rPr>
              <w:t>4,908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4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40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407" w14:textId="77777777" w:rsidR="00E836FB" w:rsidRDefault="00994958">
            <w:pPr>
              <w:jc w:val="right"/>
              <w:textAlignment w:val="bottom"/>
            </w:pPr>
            <w:r>
              <w:rPr>
                <w:rFonts w:ascii="Arial" w:eastAsia="宋体" w:hAnsi="Arial" w:cs="Arial"/>
                <w:color w:val="000000"/>
                <w:sz w:val="14"/>
                <w:szCs w:val="14"/>
              </w:rPr>
              <w:t>4,774 </w:t>
            </w:r>
          </w:p>
        </w:tc>
        <w:tc>
          <w:tcPr>
            <w:tcW w:w="0" w:type="auto"/>
            <w:shd w:val="clear" w:color="auto" w:fill="CCEEFF"/>
            <w:tcMar>
              <w:top w:w="40" w:type="dxa"/>
              <w:left w:w="0" w:type="dxa"/>
              <w:bottom w:w="40" w:type="dxa"/>
              <w:right w:w="20" w:type="dxa"/>
            </w:tcMar>
            <w:vAlign w:val="bottom"/>
          </w:tcPr>
          <w:p w14:paraId="5F2CC4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40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40A" w14:textId="77777777" w:rsidR="00E836FB" w:rsidRDefault="00994958">
            <w:pPr>
              <w:jc w:val="right"/>
              <w:textAlignment w:val="bottom"/>
            </w:pPr>
            <w:r>
              <w:rPr>
                <w:rFonts w:ascii="Arial" w:eastAsia="宋体" w:hAnsi="Arial" w:cs="Arial"/>
                <w:color w:val="000000"/>
                <w:sz w:val="14"/>
                <w:szCs w:val="14"/>
              </w:rPr>
              <w:t>3,783 </w:t>
            </w:r>
          </w:p>
        </w:tc>
        <w:tc>
          <w:tcPr>
            <w:tcW w:w="0" w:type="auto"/>
            <w:shd w:val="clear" w:color="auto" w:fill="CCEEFF"/>
            <w:tcMar>
              <w:top w:w="40" w:type="dxa"/>
              <w:left w:w="0" w:type="dxa"/>
              <w:bottom w:w="40" w:type="dxa"/>
              <w:right w:w="20" w:type="dxa"/>
            </w:tcMar>
            <w:vAlign w:val="bottom"/>
          </w:tcPr>
          <w:p w14:paraId="5F2CC40B" w14:textId="77777777" w:rsidR="00E836FB" w:rsidRDefault="00E836FB">
            <w:pPr>
              <w:jc w:val="right"/>
              <w:rPr>
                <w:rFonts w:ascii="宋体"/>
              </w:rPr>
            </w:pPr>
          </w:p>
        </w:tc>
        <w:tc>
          <w:tcPr>
            <w:tcW w:w="0" w:type="auto"/>
            <w:gridSpan w:val="3"/>
            <w:shd w:val="clear" w:color="auto" w:fill="auto"/>
            <w:vAlign w:val="bottom"/>
          </w:tcPr>
          <w:p w14:paraId="5F2CC40C" w14:textId="77777777" w:rsidR="00E836FB" w:rsidRDefault="00E836FB">
            <w:pPr>
              <w:rPr>
                <w:rFonts w:ascii="宋体"/>
                <w:vanish/>
              </w:rPr>
            </w:pPr>
          </w:p>
        </w:tc>
        <w:tc>
          <w:tcPr>
            <w:tcW w:w="0" w:type="auto"/>
            <w:gridSpan w:val="3"/>
            <w:shd w:val="clear" w:color="auto" w:fill="auto"/>
            <w:vAlign w:val="bottom"/>
          </w:tcPr>
          <w:p w14:paraId="5F2CC40D" w14:textId="77777777" w:rsidR="00E836FB" w:rsidRDefault="00E836FB">
            <w:pPr>
              <w:rPr>
                <w:rFonts w:ascii="宋体"/>
                <w:vanish/>
              </w:rPr>
            </w:pPr>
          </w:p>
        </w:tc>
        <w:tc>
          <w:tcPr>
            <w:tcW w:w="0" w:type="auto"/>
            <w:gridSpan w:val="3"/>
            <w:shd w:val="clear" w:color="auto" w:fill="auto"/>
            <w:vAlign w:val="bottom"/>
          </w:tcPr>
          <w:p w14:paraId="5F2CC40E" w14:textId="77777777" w:rsidR="00E836FB" w:rsidRDefault="00E836FB">
            <w:pPr>
              <w:rPr>
                <w:rFonts w:ascii="宋体"/>
                <w:vanish/>
              </w:rPr>
            </w:pPr>
          </w:p>
        </w:tc>
      </w:tr>
      <w:tr w:rsidR="00E836FB" w14:paraId="5F2CC41C" w14:textId="77777777">
        <w:tc>
          <w:tcPr>
            <w:tcW w:w="0" w:type="auto"/>
            <w:gridSpan w:val="3"/>
            <w:shd w:val="clear" w:color="auto" w:fill="FFFFFF"/>
            <w:tcMar>
              <w:top w:w="40" w:type="dxa"/>
              <w:left w:w="20" w:type="dxa"/>
              <w:bottom w:w="40" w:type="dxa"/>
              <w:right w:w="20" w:type="dxa"/>
            </w:tcMar>
            <w:vAlign w:val="bottom"/>
          </w:tcPr>
          <w:p w14:paraId="5F2CC410" w14:textId="77777777" w:rsidR="00E836FB" w:rsidRDefault="00994958">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(7)</w:t>
            </w:r>
          </w:p>
        </w:tc>
        <w:tc>
          <w:tcPr>
            <w:tcW w:w="0" w:type="auto"/>
            <w:gridSpan w:val="2"/>
            <w:shd w:val="clear" w:color="auto" w:fill="FFFFFF"/>
            <w:tcMar>
              <w:top w:w="40" w:type="dxa"/>
              <w:left w:w="20" w:type="dxa"/>
              <w:bottom w:w="40" w:type="dxa"/>
              <w:right w:w="0" w:type="dxa"/>
            </w:tcMar>
            <w:vAlign w:val="bottom"/>
          </w:tcPr>
          <w:p w14:paraId="5F2CC411" w14:textId="77777777" w:rsidR="00E836FB" w:rsidRDefault="00994958">
            <w:pPr>
              <w:jc w:val="right"/>
              <w:textAlignment w:val="bottom"/>
            </w:pPr>
            <w:r>
              <w:rPr>
                <w:rFonts w:ascii="Arial" w:eastAsia="宋体" w:hAnsi="Arial" w:cs="Arial"/>
                <w:b/>
                <w:bCs/>
                <w:color w:val="000000"/>
                <w:sz w:val="14"/>
                <w:szCs w:val="14"/>
              </w:rPr>
              <w:t>307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4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414" w14:textId="77777777" w:rsidR="00E836FB" w:rsidRDefault="00994958">
            <w:pPr>
              <w:jc w:val="right"/>
              <w:textAlignment w:val="bottom"/>
            </w:pPr>
            <w:r>
              <w:rPr>
                <w:rFonts w:ascii="Arial" w:eastAsia="宋体" w:hAnsi="Arial" w:cs="Arial"/>
                <w:color w:val="000000"/>
                <w:sz w:val="14"/>
                <w:szCs w:val="14"/>
              </w:rPr>
              <w:t>554 </w:t>
            </w:r>
          </w:p>
        </w:tc>
        <w:tc>
          <w:tcPr>
            <w:tcW w:w="0" w:type="auto"/>
            <w:shd w:val="clear" w:color="auto" w:fill="FFFFFF"/>
            <w:tcMar>
              <w:top w:w="40" w:type="dxa"/>
              <w:left w:w="0" w:type="dxa"/>
              <w:bottom w:w="40" w:type="dxa"/>
              <w:right w:w="20" w:type="dxa"/>
            </w:tcMar>
            <w:vAlign w:val="bottom"/>
          </w:tcPr>
          <w:p w14:paraId="5F2CC41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1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417" w14:textId="77777777" w:rsidR="00E836FB" w:rsidRDefault="00994958">
            <w:pPr>
              <w:jc w:val="right"/>
              <w:textAlignment w:val="bottom"/>
            </w:pPr>
            <w:r>
              <w:rPr>
                <w:rFonts w:ascii="Arial" w:eastAsia="宋体" w:hAnsi="Arial" w:cs="Arial"/>
                <w:color w:val="000000"/>
                <w:sz w:val="14"/>
                <w:szCs w:val="14"/>
              </w:rPr>
              <w:t>697 </w:t>
            </w:r>
          </w:p>
        </w:tc>
        <w:tc>
          <w:tcPr>
            <w:tcW w:w="0" w:type="auto"/>
            <w:shd w:val="clear" w:color="auto" w:fill="FFFFFF"/>
            <w:tcMar>
              <w:top w:w="40" w:type="dxa"/>
              <w:left w:w="0" w:type="dxa"/>
              <w:bottom w:w="40" w:type="dxa"/>
              <w:right w:w="20" w:type="dxa"/>
            </w:tcMar>
            <w:vAlign w:val="bottom"/>
          </w:tcPr>
          <w:p w14:paraId="5F2CC418" w14:textId="77777777" w:rsidR="00E836FB" w:rsidRDefault="00E836FB">
            <w:pPr>
              <w:jc w:val="right"/>
              <w:rPr>
                <w:rFonts w:ascii="宋体"/>
              </w:rPr>
            </w:pPr>
          </w:p>
        </w:tc>
        <w:tc>
          <w:tcPr>
            <w:tcW w:w="0" w:type="auto"/>
            <w:gridSpan w:val="3"/>
            <w:shd w:val="clear" w:color="auto" w:fill="auto"/>
            <w:vAlign w:val="bottom"/>
          </w:tcPr>
          <w:p w14:paraId="5F2CC419" w14:textId="77777777" w:rsidR="00E836FB" w:rsidRDefault="00E836FB">
            <w:pPr>
              <w:rPr>
                <w:rFonts w:ascii="宋体"/>
                <w:vanish/>
              </w:rPr>
            </w:pPr>
          </w:p>
        </w:tc>
        <w:tc>
          <w:tcPr>
            <w:tcW w:w="0" w:type="auto"/>
            <w:gridSpan w:val="3"/>
            <w:shd w:val="clear" w:color="auto" w:fill="auto"/>
            <w:vAlign w:val="bottom"/>
          </w:tcPr>
          <w:p w14:paraId="5F2CC41A" w14:textId="77777777" w:rsidR="00E836FB" w:rsidRDefault="00E836FB">
            <w:pPr>
              <w:rPr>
                <w:rFonts w:ascii="宋体"/>
                <w:vanish/>
              </w:rPr>
            </w:pPr>
          </w:p>
        </w:tc>
        <w:tc>
          <w:tcPr>
            <w:tcW w:w="0" w:type="auto"/>
            <w:gridSpan w:val="3"/>
            <w:shd w:val="clear" w:color="auto" w:fill="auto"/>
            <w:vAlign w:val="bottom"/>
          </w:tcPr>
          <w:p w14:paraId="5F2CC41B" w14:textId="77777777" w:rsidR="00E836FB" w:rsidRDefault="00E836FB">
            <w:pPr>
              <w:rPr>
                <w:rFonts w:ascii="宋体"/>
                <w:vanish/>
              </w:rPr>
            </w:pPr>
          </w:p>
        </w:tc>
      </w:tr>
      <w:tr w:rsidR="00E836FB" w14:paraId="5F2CC426" w14:textId="77777777">
        <w:trPr>
          <w:hidden/>
        </w:trPr>
        <w:tc>
          <w:tcPr>
            <w:tcW w:w="0" w:type="auto"/>
            <w:gridSpan w:val="3"/>
            <w:shd w:val="clear" w:color="auto" w:fill="auto"/>
            <w:vAlign w:val="bottom"/>
          </w:tcPr>
          <w:p w14:paraId="5F2CC41D" w14:textId="77777777" w:rsidR="00E836FB" w:rsidRDefault="00E836FB">
            <w:pPr>
              <w:rPr>
                <w:rFonts w:ascii="宋体"/>
                <w:vanish/>
              </w:rPr>
            </w:pPr>
          </w:p>
        </w:tc>
        <w:tc>
          <w:tcPr>
            <w:tcW w:w="0" w:type="auto"/>
            <w:gridSpan w:val="3"/>
            <w:shd w:val="clear" w:color="auto" w:fill="auto"/>
            <w:vAlign w:val="bottom"/>
          </w:tcPr>
          <w:p w14:paraId="5F2CC41E" w14:textId="77777777" w:rsidR="00E836FB" w:rsidRDefault="00E836FB">
            <w:pPr>
              <w:rPr>
                <w:rFonts w:ascii="宋体"/>
                <w:vanish/>
              </w:rPr>
            </w:pPr>
          </w:p>
        </w:tc>
        <w:tc>
          <w:tcPr>
            <w:tcW w:w="0" w:type="auto"/>
            <w:gridSpan w:val="3"/>
            <w:shd w:val="clear" w:color="auto" w:fill="auto"/>
            <w:vAlign w:val="bottom"/>
          </w:tcPr>
          <w:p w14:paraId="5F2CC41F" w14:textId="77777777" w:rsidR="00E836FB" w:rsidRDefault="00E836FB">
            <w:pPr>
              <w:rPr>
                <w:rFonts w:ascii="宋体"/>
                <w:vanish/>
              </w:rPr>
            </w:pPr>
          </w:p>
        </w:tc>
        <w:tc>
          <w:tcPr>
            <w:tcW w:w="0" w:type="auto"/>
            <w:gridSpan w:val="3"/>
            <w:shd w:val="clear" w:color="auto" w:fill="auto"/>
            <w:vAlign w:val="bottom"/>
          </w:tcPr>
          <w:p w14:paraId="5F2CC420" w14:textId="77777777" w:rsidR="00E836FB" w:rsidRDefault="00E836FB">
            <w:pPr>
              <w:rPr>
                <w:rFonts w:ascii="宋体"/>
                <w:vanish/>
              </w:rPr>
            </w:pPr>
          </w:p>
        </w:tc>
        <w:tc>
          <w:tcPr>
            <w:tcW w:w="0" w:type="auto"/>
            <w:gridSpan w:val="3"/>
            <w:shd w:val="clear" w:color="auto" w:fill="auto"/>
            <w:vAlign w:val="bottom"/>
          </w:tcPr>
          <w:p w14:paraId="5F2CC421" w14:textId="77777777" w:rsidR="00E836FB" w:rsidRDefault="00E836FB">
            <w:pPr>
              <w:rPr>
                <w:rFonts w:ascii="宋体"/>
                <w:vanish/>
              </w:rPr>
            </w:pPr>
          </w:p>
        </w:tc>
        <w:tc>
          <w:tcPr>
            <w:tcW w:w="0" w:type="auto"/>
            <w:gridSpan w:val="3"/>
            <w:shd w:val="clear" w:color="auto" w:fill="auto"/>
            <w:vAlign w:val="bottom"/>
          </w:tcPr>
          <w:p w14:paraId="5F2CC422" w14:textId="77777777" w:rsidR="00E836FB" w:rsidRDefault="00E836FB">
            <w:pPr>
              <w:rPr>
                <w:rFonts w:ascii="宋体"/>
                <w:vanish/>
              </w:rPr>
            </w:pPr>
          </w:p>
        </w:tc>
        <w:tc>
          <w:tcPr>
            <w:tcW w:w="0" w:type="auto"/>
            <w:gridSpan w:val="3"/>
            <w:shd w:val="clear" w:color="auto" w:fill="auto"/>
            <w:vAlign w:val="bottom"/>
          </w:tcPr>
          <w:p w14:paraId="5F2CC423" w14:textId="77777777" w:rsidR="00E836FB" w:rsidRDefault="00E836FB">
            <w:pPr>
              <w:rPr>
                <w:rFonts w:ascii="宋体"/>
                <w:vanish/>
              </w:rPr>
            </w:pPr>
          </w:p>
        </w:tc>
        <w:tc>
          <w:tcPr>
            <w:tcW w:w="0" w:type="auto"/>
            <w:gridSpan w:val="3"/>
            <w:shd w:val="clear" w:color="auto" w:fill="auto"/>
            <w:vAlign w:val="bottom"/>
          </w:tcPr>
          <w:p w14:paraId="5F2CC424" w14:textId="77777777" w:rsidR="00E836FB" w:rsidRDefault="00E836FB">
            <w:pPr>
              <w:rPr>
                <w:rFonts w:ascii="宋体"/>
                <w:vanish/>
              </w:rPr>
            </w:pPr>
          </w:p>
        </w:tc>
        <w:tc>
          <w:tcPr>
            <w:tcW w:w="0" w:type="auto"/>
            <w:gridSpan w:val="3"/>
            <w:shd w:val="clear" w:color="auto" w:fill="auto"/>
            <w:vAlign w:val="bottom"/>
          </w:tcPr>
          <w:p w14:paraId="5F2CC425" w14:textId="77777777" w:rsidR="00E836FB" w:rsidRDefault="00E836FB">
            <w:pPr>
              <w:rPr>
                <w:rFonts w:ascii="宋体"/>
                <w:vanish/>
              </w:rPr>
            </w:pPr>
          </w:p>
        </w:tc>
      </w:tr>
      <w:tr w:rsidR="00E836FB" w14:paraId="5F2CC430" w14:textId="77777777">
        <w:trPr>
          <w:hidden/>
        </w:trPr>
        <w:tc>
          <w:tcPr>
            <w:tcW w:w="0" w:type="auto"/>
            <w:gridSpan w:val="3"/>
            <w:shd w:val="clear" w:color="auto" w:fill="auto"/>
            <w:vAlign w:val="bottom"/>
          </w:tcPr>
          <w:p w14:paraId="5F2CC427" w14:textId="77777777" w:rsidR="00E836FB" w:rsidRDefault="00E836FB">
            <w:pPr>
              <w:rPr>
                <w:rFonts w:ascii="宋体"/>
                <w:vanish/>
              </w:rPr>
            </w:pPr>
          </w:p>
        </w:tc>
        <w:tc>
          <w:tcPr>
            <w:tcW w:w="0" w:type="auto"/>
            <w:gridSpan w:val="3"/>
            <w:shd w:val="clear" w:color="auto" w:fill="auto"/>
            <w:vAlign w:val="bottom"/>
          </w:tcPr>
          <w:p w14:paraId="5F2CC428" w14:textId="77777777" w:rsidR="00E836FB" w:rsidRDefault="00E836FB">
            <w:pPr>
              <w:rPr>
                <w:rFonts w:ascii="宋体"/>
                <w:vanish/>
              </w:rPr>
            </w:pPr>
          </w:p>
        </w:tc>
        <w:tc>
          <w:tcPr>
            <w:tcW w:w="0" w:type="auto"/>
            <w:gridSpan w:val="3"/>
            <w:shd w:val="clear" w:color="auto" w:fill="auto"/>
            <w:vAlign w:val="bottom"/>
          </w:tcPr>
          <w:p w14:paraId="5F2CC429" w14:textId="77777777" w:rsidR="00E836FB" w:rsidRDefault="00E836FB">
            <w:pPr>
              <w:rPr>
                <w:rFonts w:ascii="宋体"/>
                <w:vanish/>
              </w:rPr>
            </w:pPr>
          </w:p>
        </w:tc>
        <w:tc>
          <w:tcPr>
            <w:tcW w:w="0" w:type="auto"/>
            <w:gridSpan w:val="3"/>
            <w:shd w:val="clear" w:color="auto" w:fill="auto"/>
            <w:vAlign w:val="bottom"/>
          </w:tcPr>
          <w:p w14:paraId="5F2CC42A" w14:textId="77777777" w:rsidR="00E836FB" w:rsidRDefault="00E836FB">
            <w:pPr>
              <w:rPr>
                <w:rFonts w:ascii="宋体"/>
                <w:vanish/>
              </w:rPr>
            </w:pPr>
          </w:p>
        </w:tc>
        <w:tc>
          <w:tcPr>
            <w:tcW w:w="0" w:type="auto"/>
            <w:gridSpan w:val="3"/>
            <w:shd w:val="clear" w:color="auto" w:fill="auto"/>
            <w:vAlign w:val="bottom"/>
          </w:tcPr>
          <w:p w14:paraId="5F2CC42B" w14:textId="77777777" w:rsidR="00E836FB" w:rsidRDefault="00E836FB">
            <w:pPr>
              <w:rPr>
                <w:rFonts w:ascii="宋体"/>
                <w:vanish/>
              </w:rPr>
            </w:pPr>
          </w:p>
        </w:tc>
        <w:tc>
          <w:tcPr>
            <w:tcW w:w="0" w:type="auto"/>
            <w:gridSpan w:val="3"/>
            <w:shd w:val="clear" w:color="auto" w:fill="auto"/>
            <w:vAlign w:val="bottom"/>
          </w:tcPr>
          <w:p w14:paraId="5F2CC42C" w14:textId="77777777" w:rsidR="00E836FB" w:rsidRDefault="00E836FB">
            <w:pPr>
              <w:rPr>
                <w:rFonts w:ascii="宋体"/>
                <w:vanish/>
              </w:rPr>
            </w:pPr>
          </w:p>
        </w:tc>
        <w:tc>
          <w:tcPr>
            <w:tcW w:w="0" w:type="auto"/>
            <w:gridSpan w:val="3"/>
            <w:shd w:val="clear" w:color="auto" w:fill="auto"/>
            <w:vAlign w:val="bottom"/>
          </w:tcPr>
          <w:p w14:paraId="5F2CC42D" w14:textId="77777777" w:rsidR="00E836FB" w:rsidRDefault="00E836FB">
            <w:pPr>
              <w:rPr>
                <w:rFonts w:ascii="宋体"/>
                <w:vanish/>
              </w:rPr>
            </w:pPr>
          </w:p>
        </w:tc>
        <w:tc>
          <w:tcPr>
            <w:tcW w:w="0" w:type="auto"/>
            <w:gridSpan w:val="3"/>
            <w:shd w:val="clear" w:color="auto" w:fill="auto"/>
            <w:vAlign w:val="bottom"/>
          </w:tcPr>
          <w:p w14:paraId="5F2CC42E" w14:textId="77777777" w:rsidR="00E836FB" w:rsidRDefault="00E836FB">
            <w:pPr>
              <w:rPr>
                <w:rFonts w:ascii="宋体"/>
                <w:vanish/>
              </w:rPr>
            </w:pPr>
          </w:p>
        </w:tc>
        <w:tc>
          <w:tcPr>
            <w:tcW w:w="0" w:type="auto"/>
            <w:gridSpan w:val="3"/>
            <w:shd w:val="clear" w:color="auto" w:fill="auto"/>
            <w:vAlign w:val="bottom"/>
          </w:tcPr>
          <w:p w14:paraId="5F2CC42F" w14:textId="77777777" w:rsidR="00E836FB" w:rsidRDefault="00E836FB">
            <w:pPr>
              <w:rPr>
                <w:rFonts w:ascii="宋体"/>
                <w:vanish/>
              </w:rPr>
            </w:pPr>
          </w:p>
        </w:tc>
      </w:tr>
      <w:tr w:rsidR="00E836FB" w14:paraId="5F2CC43D" w14:textId="77777777">
        <w:tc>
          <w:tcPr>
            <w:tcW w:w="0" w:type="auto"/>
            <w:gridSpan w:val="3"/>
            <w:shd w:val="clear" w:color="auto" w:fill="CCEEFF"/>
            <w:tcMar>
              <w:top w:w="40" w:type="dxa"/>
              <w:left w:w="20" w:type="dxa"/>
              <w:bottom w:w="40" w:type="dxa"/>
              <w:right w:w="20" w:type="dxa"/>
            </w:tcMar>
            <w:vAlign w:val="bottom"/>
          </w:tcPr>
          <w:p w14:paraId="5F2CC431" w14:textId="77777777" w:rsidR="00E836FB" w:rsidRDefault="00994958">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32" w14:textId="77777777" w:rsidR="00E836FB" w:rsidRDefault="00994958">
            <w:pPr>
              <w:jc w:val="right"/>
              <w:textAlignment w:val="bottom"/>
            </w:pPr>
            <w:r>
              <w:rPr>
                <w:rFonts w:ascii="Arial" w:eastAsia="宋体" w:hAnsi="Arial" w:cs="Arial"/>
                <w:b/>
                <w:bCs/>
                <w:color w:val="000000"/>
                <w:sz w:val="14"/>
                <w:szCs w:val="14"/>
              </w:rPr>
              <w:t>5,215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43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35" w14:textId="77777777" w:rsidR="00E836FB" w:rsidRDefault="00994958">
            <w:pPr>
              <w:jc w:val="right"/>
              <w:textAlignment w:val="bottom"/>
            </w:pPr>
            <w:r>
              <w:rPr>
                <w:rFonts w:ascii="Arial" w:eastAsia="宋体" w:hAnsi="Arial" w:cs="Arial"/>
                <w:color w:val="000000"/>
                <w:sz w:val="14"/>
                <w:szCs w:val="14"/>
              </w:rPr>
              <w:t>5,328 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43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38" w14:textId="77777777" w:rsidR="00E836FB" w:rsidRDefault="00994958">
            <w:pPr>
              <w:jc w:val="right"/>
              <w:textAlignment w:val="bottom"/>
            </w:pPr>
            <w:r>
              <w:rPr>
                <w:rFonts w:ascii="Arial" w:eastAsia="宋体" w:hAnsi="Arial" w:cs="Arial"/>
                <w:color w:val="000000"/>
                <w:sz w:val="14"/>
                <w:szCs w:val="14"/>
              </w:rPr>
              <w:t>4,480 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39" w14:textId="77777777" w:rsidR="00E836FB" w:rsidRDefault="00E836FB">
            <w:pPr>
              <w:jc w:val="right"/>
              <w:rPr>
                <w:rFonts w:ascii="宋体"/>
              </w:rPr>
            </w:pPr>
          </w:p>
        </w:tc>
        <w:tc>
          <w:tcPr>
            <w:tcW w:w="0" w:type="auto"/>
            <w:gridSpan w:val="3"/>
            <w:shd w:val="clear" w:color="auto" w:fill="auto"/>
            <w:vAlign w:val="bottom"/>
          </w:tcPr>
          <w:p w14:paraId="5F2CC43A" w14:textId="77777777" w:rsidR="00E836FB" w:rsidRDefault="00E836FB">
            <w:pPr>
              <w:rPr>
                <w:rFonts w:ascii="宋体"/>
                <w:vanish/>
              </w:rPr>
            </w:pPr>
          </w:p>
        </w:tc>
        <w:tc>
          <w:tcPr>
            <w:tcW w:w="0" w:type="auto"/>
            <w:gridSpan w:val="3"/>
            <w:shd w:val="clear" w:color="auto" w:fill="auto"/>
            <w:vAlign w:val="bottom"/>
          </w:tcPr>
          <w:p w14:paraId="5F2CC43B" w14:textId="77777777" w:rsidR="00E836FB" w:rsidRDefault="00E836FB">
            <w:pPr>
              <w:rPr>
                <w:rFonts w:ascii="宋体"/>
                <w:vanish/>
              </w:rPr>
            </w:pPr>
          </w:p>
        </w:tc>
        <w:tc>
          <w:tcPr>
            <w:tcW w:w="0" w:type="auto"/>
            <w:gridSpan w:val="3"/>
            <w:shd w:val="clear" w:color="auto" w:fill="auto"/>
            <w:vAlign w:val="bottom"/>
          </w:tcPr>
          <w:p w14:paraId="5F2CC43C" w14:textId="77777777" w:rsidR="00E836FB" w:rsidRDefault="00E836FB">
            <w:pPr>
              <w:rPr>
                <w:rFonts w:ascii="宋体"/>
                <w:vanish/>
              </w:rPr>
            </w:pPr>
          </w:p>
        </w:tc>
      </w:tr>
      <w:tr w:rsidR="00E836FB" w14:paraId="5F2CC447" w14:textId="77777777">
        <w:trPr>
          <w:hidden/>
        </w:trPr>
        <w:tc>
          <w:tcPr>
            <w:tcW w:w="0" w:type="auto"/>
            <w:gridSpan w:val="3"/>
            <w:shd w:val="clear" w:color="auto" w:fill="auto"/>
            <w:vAlign w:val="bottom"/>
          </w:tcPr>
          <w:p w14:paraId="5F2CC43E" w14:textId="77777777" w:rsidR="00E836FB" w:rsidRDefault="00E836FB">
            <w:pPr>
              <w:rPr>
                <w:rFonts w:ascii="宋体"/>
                <w:vanish/>
              </w:rPr>
            </w:pPr>
          </w:p>
        </w:tc>
        <w:tc>
          <w:tcPr>
            <w:tcW w:w="0" w:type="auto"/>
            <w:gridSpan w:val="3"/>
            <w:shd w:val="clear" w:color="auto" w:fill="auto"/>
            <w:vAlign w:val="bottom"/>
          </w:tcPr>
          <w:p w14:paraId="5F2CC43F" w14:textId="77777777" w:rsidR="00E836FB" w:rsidRDefault="00E836FB">
            <w:pPr>
              <w:rPr>
                <w:rFonts w:ascii="宋体"/>
                <w:vanish/>
              </w:rPr>
            </w:pPr>
          </w:p>
        </w:tc>
        <w:tc>
          <w:tcPr>
            <w:tcW w:w="0" w:type="auto"/>
            <w:gridSpan w:val="3"/>
            <w:shd w:val="clear" w:color="auto" w:fill="auto"/>
            <w:vAlign w:val="bottom"/>
          </w:tcPr>
          <w:p w14:paraId="5F2CC440" w14:textId="77777777" w:rsidR="00E836FB" w:rsidRDefault="00E836FB">
            <w:pPr>
              <w:rPr>
                <w:rFonts w:ascii="宋体"/>
                <w:vanish/>
              </w:rPr>
            </w:pPr>
          </w:p>
        </w:tc>
        <w:tc>
          <w:tcPr>
            <w:tcW w:w="0" w:type="auto"/>
            <w:gridSpan w:val="3"/>
            <w:shd w:val="clear" w:color="auto" w:fill="auto"/>
            <w:vAlign w:val="bottom"/>
          </w:tcPr>
          <w:p w14:paraId="5F2CC441" w14:textId="77777777" w:rsidR="00E836FB" w:rsidRDefault="00E836FB">
            <w:pPr>
              <w:rPr>
                <w:rFonts w:ascii="宋体"/>
                <w:vanish/>
              </w:rPr>
            </w:pPr>
          </w:p>
        </w:tc>
        <w:tc>
          <w:tcPr>
            <w:tcW w:w="0" w:type="auto"/>
            <w:gridSpan w:val="3"/>
            <w:shd w:val="clear" w:color="auto" w:fill="auto"/>
            <w:vAlign w:val="bottom"/>
          </w:tcPr>
          <w:p w14:paraId="5F2CC442" w14:textId="77777777" w:rsidR="00E836FB" w:rsidRDefault="00E836FB">
            <w:pPr>
              <w:rPr>
                <w:rFonts w:ascii="宋体"/>
                <w:vanish/>
              </w:rPr>
            </w:pPr>
          </w:p>
        </w:tc>
        <w:tc>
          <w:tcPr>
            <w:tcW w:w="0" w:type="auto"/>
            <w:gridSpan w:val="3"/>
            <w:shd w:val="clear" w:color="auto" w:fill="auto"/>
            <w:vAlign w:val="bottom"/>
          </w:tcPr>
          <w:p w14:paraId="5F2CC443" w14:textId="77777777" w:rsidR="00E836FB" w:rsidRDefault="00E836FB">
            <w:pPr>
              <w:rPr>
                <w:rFonts w:ascii="宋体"/>
                <w:vanish/>
              </w:rPr>
            </w:pPr>
          </w:p>
        </w:tc>
        <w:tc>
          <w:tcPr>
            <w:tcW w:w="0" w:type="auto"/>
            <w:gridSpan w:val="3"/>
            <w:shd w:val="clear" w:color="auto" w:fill="auto"/>
            <w:vAlign w:val="bottom"/>
          </w:tcPr>
          <w:p w14:paraId="5F2CC444" w14:textId="77777777" w:rsidR="00E836FB" w:rsidRDefault="00E836FB">
            <w:pPr>
              <w:rPr>
                <w:rFonts w:ascii="宋体"/>
                <w:vanish/>
              </w:rPr>
            </w:pPr>
          </w:p>
        </w:tc>
        <w:tc>
          <w:tcPr>
            <w:tcW w:w="0" w:type="auto"/>
            <w:gridSpan w:val="3"/>
            <w:shd w:val="clear" w:color="auto" w:fill="auto"/>
            <w:vAlign w:val="bottom"/>
          </w:tcPr>
          <w:p w14:paraId="5F2CC445" w14:textId="77777777" w:rsidR="00E836FB" w:rsidRDefault="00E836FB">
            <w:pPr>
              <w:rPr>
                <w:rFonts w:ascii="宋体"/>
                <w:vanish/>
              </w:rPr>
            </w:pPr>
          </w:p>
        </w:tc>
        <w:tc>
          <w:tcPr>
            <w:tcW w:w="0" w:type="auto"/>
            <w:gridSpan w:val="3"/>
            <w:shd w:val="clear" w:color="auto" w:fill="auto"/>
            <w:vAlign w:val="bottom"/>
          </w:tcPr>
          <w:p w14:paraId="5F2CC446" w14:textId="77777777" w:rsidR="00E836FB" w:rsidRDefault="00E836FB">
            <w:pPr>
              <w:rPr>
                <w:rFonts w:ascii="宋体"/>
                <w:vanish/>
              </w:rPr>
            </w:pPr>
          </w:p>
        </w:tc>
      </w:tr>
      <w:tr w:rsidR="00E836FB" w14:paraId="5F2CC454" w14:textId="77777777">
        <w:tc>
          <w:tcPr>
            <w:tcW w:w="0" w:type="auto"/>
            <w:gridSpan w:val="3"/>
            <w:shd w:val="clear" w:color="auto" w:fill="FFFFFF"/>
            <w:tcMar>
              <w:top w:w="40" w:type="dxa"/>
              <w:left w:w="20" w:type="dxa"/>
              <w:bottom w:w="40" w:type="dxa"/>
              <w:right w:w="20" w:type="dxa"/>
            </w:tcMar>
            <w:vAlign w:val="bottom"/>
          </w:tcPr>
          <w:p w14:paraId="5F2CC448" w14:textId="77777777" w:rsidR="00E836FB" w:rsidRDefault="00994958">
            <w:pPr>
              <w:textAlignment w:val="bottom"/>
            </w:pPr>
            <w:r>
              <w:rPr>
                <w:rFonts w:ascii="Arial" w:eastAsia="宋体" w:hAnsi="Arial" w:cs="Arial"/>
                <w:color w:val="000000"/>
                <w:sz w:val="14"/>
                <w:szCs w:val="14"/>
              </w:rPr>
              <w:t>Total</w:t>
            </w:r>
            <w:r>
              <w:rPr>
                <w:rFonts w:ascii="Arial" w:eastAsia="宋体" w:hAnsi="Arial" w:cs="Arial"/>
                <w:color w:val="000000"/>
                <w:sz w:val="9"/>
                <w:szCs w:val="9"/>
              </w:rPr>
              <w:t>(7)</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449" w14:textId="77777777" w:rsidR="00E836FB" w:rsidRDefault="00994958">
            <w:pPr>
              <w:jc w:val="right"/>
              <w:textAlignment w:val="bottom"/>
            </w:pPr>
            <w:r>
              <w:rPr>
                <w:rFonts w:ascii="Arial" w:eastAsia="宋体" w:hAnsi="Arial" w:cs="Arial"/>
                <w:b/>
                <w:bCs/>
                <w:color w:val="000000"/>
                <w:sz w:val="14"/>
                <w:szCs w:val="14"/>
              </w:rPr>
              <w:t>42,430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44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4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44C" w14:textId="77777777" w:rsidR="00E836FB" w:rsidRDefault="00994958">
            <w:pPr>
              <w:jc w:val="right"/>
              <w:textAlignment w:val="bottom"/>
            </w:pPr>
            <w:r>
              <w:rPr>
                <w:rFonts w:ascii="Arial" w:eastAsia="宋体" w:hAnsi="Arial" w:cs="Arial"/>
                <w:color w:val="000000"/>
                <w:sz w:val="14"/>
                <w:szCs w:val="14"/>
              </w:rPr>
              <w:t>48,931 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4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4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44F" w14:textId="77777777" w:rsidR="00E836FB" w:rsidRDefault="00994958">
            <w:pPr>
              <w:jc w:val="right"/>
              <w:textAlignment w:val="bottom"/>
            </w:pPr>
            <w:r>
              <w:rPr>
                <w:rFonts w:ascii="Arial" w:eastAsia="宋体" w:hAnsi="Arial" w:cs="Arial"/>
                <w:color w:val="000000"/>
                <w:sz w:val="14"/>
                <w:szCs w:val="14"/>
              </w:rPr>
              <w:t>41,782 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450" w14:textId="77777777" w:rsidR="00E836FB" w:rsidRDefault="00E836FB">
            <w:pPr>
              <w:jc w:val="right"/>
              <w:rPr>
                <w:rFonts w:ascii="宋体"/>
              </w:rPr>
            </w:pPr>
          </w:p>
        </w:tc>
        <w:tc>
          <w:tcPr>
            <w:tcW w:w="0" w:type="auto"/>
            <w:gridSpan w:val="3"/>
            <w:shd w:val="clear" w:color="auto" w:fill="auto"/>
            <w:vAlign w:val="bottom"/>
          </w:tcPr>
          <w:p w14:paraId="5F2CC451" w14:textId="77777777" w:rsidR="00E836FB" w:rsidRDefault="00E836FB">
            <w:pPr>
              <w:rPr>
                <w:rFonts w:ascii="宋体"/>
                <w:vanish/>
              </w:rPr>
            </w:pPr>
          </w:p>
        </w:tc>
        <w:tc>
          <w:tcPr>
            <w:tcW w:w="0" w:type="auto"/>
            <w:gridSpan w:val="3"/>
            <w:shd w:val="clear" w:color="auto" w:fill="auto"/>
            <w:vAlign w:val="bottom"/>
          </w:tcPr>
          <w:p w14:paraId="5F2CC452" w14:textId="77777777" w:rsidR="00E836FB" w:rsidRDefault="00E836FB">
            <w:pPr>
              <w:rPr>
                <w:rFonts w:ascii="宋体"/>
                <w:vanish/>
              </w:rPr>
            </w:pPr>
          </w:p>
        </w:tc>
        <w:tc>
          <w:tcPr>
            <w:tcW w:w="0" w:type="auto"/>
            <w:gridSpan w:val="3"/>
            <w:shd w:val="clear" w:color="auto" w:fill="auto"/>
            <w:vAlign w:val="bottom"/>
          </w:tcPr>
          <w:p w14:paraId="5F2CC453" w14:textId="77777777" w:rsidR="00E836FB" w:rsidRDefault="00E836FB">
            <w:pPr>
              <w:rPr>
                <w:rFonts w:ascii="宋体"/>
                <w:vanish/>
              </w:rPr>
            </w:pPr>
          </w:p>
        </w:tc>
      </w:tr>
      <w:tr w:rsidR="00E836FB" w14:paraId="5F2CC461" w14:textId="77777777">
        <w:tc>
          <w:tcPr>
            <w:tcW w:w="0" w:type="auto"/>
            <w:gridSpan w:val="3"/>
            <w:shd w:val="clear" w:color="auto" w:fill="CCEEFF"/>
            <w:tcMar>
              <w:top w:w="40" w:type="dxa"/>
              <w:left w:w="20" w:type="dxa"/>
              <w:bottom w:w="40" w:type="dxa"/>
              <w:right w:w="20" w:type="dxa"/>
            </w:tcMar>
            <w:vAlign w:val="bottom"/>
          </w:tcPr>
          <w:p w14:paraId="5F2CC455" w14:textId="77777777" w:rsidR="00E836FB" w:rsidRDefault="00994958">
            <w:pPr>
              <w:textAlignment w:val="bottom"/>
            </w:pPr>
            <w:r>
              <w:rPr>
                <w:rFonts w:ascii="Arial" w:eastAsia="宋体" w:hAnsi="Arial" w:cs="Arial"/>
                <w:color w:val="000000"/>
                <w:sz w:val="14"/>
                <w:szCs w:val="14"/>
              </w:rPr>
              <w:t>Held-to-maturity under money market mutual fund liquidity facility</w:t>
            </w:r>
            <w:r>
              <w:rPr>
                <w:rFonts w:ascii="Arial" w:eastAsia="宋体" w:hAnsi="Arial" w:cs="Arial"/>
                <w:color w:val="000000"/>
                <w:sz w:val="9"/>
                <w:szCs w:val="9"/>
              </w:rPr>
              <w:t>(8)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5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45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59" w14:textId="77777777" w:rsidR="00E836FB" w:rsidRDefault="00994958">
            <w:pPr>
              <w:jc w:val="right"/>
              <w:textAlignment w:val="bottom"/>
            </w:pPr>
            <w:r>
              <w:rPr>
                <w:rFonts w:ascii="Arial" w:eastAsia="宋体" w:hAnsi="Arial" w:cs="Arial"/>
                <w:color w:val="000000"/>
                <w:sz w:val="14"/>
                <w:szCs w:val="14"/>
              </w:rPr>
              <w:t>3,300 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45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5C"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5D" w14:textId="77777777" w:rsidR="00E836FB" w:rsidRDefault="00E836FB">
            <w:pPr>
              <w:jc w:val="right"/>
              <w:rPr>
                <w:rFonts w:ascii="宋体"/>
              </w:rPr>
            </w:pPr>
          </w:p>
        </w:tc>
        <w:tc>
          <w:tcPr>
            <w:tcW w:w="0" w:type="auto"/>
            <w:gridSpan w:val="3"/>
            <w:shd w:val="clear" w:color="auto" w:fill="auto"/>
            <w:vAlign w:val="bottom"/>
          </w:tcPr>
          <w:p w14:paraId="5F2CC45E" w14:textId="77777777" w:rsidR="00E836FB" w:rsidRDefault="00E836FB">
            <w:pPr>
              <w:rPr>
                <w:rFonts w:ascii="宋体"/>
                <w:vanish/>
              </w:rPr>
            </w:pPr>
          </w:p>
        </w:tc>
        <w:tc>
          <w:tcPr>
            <w:tcW w:w="0" w:type="auto"/>
            <w:gridSpan w:val="3"/>
            <w:shd w:val="clear" w:color="auto" w:fill="auto"/>
            <w:vAlign w:val="bottom"/>
          </w:tcPr>
          <w:p w14:paraId="5F2CC45F" w14:textId="77777777" w:rsidR="00E836FB" w:rsidRDefault="00E836FB">
            <w:pPr>
              <w:rPr>
                <w:rFonts w:ascii="宋体"/>
                <w:vanish/>
              </w:rPr>
            </w:pPr>
          </w:p>
        </w:tc>
        <w:tc>
          <w:tcPr>
            <w:tcW w:w="0" w:type="auto"/>
            <w:gridSpan w:val="3"/>
            <w:shd w:val="clear" w:color="auto" w:fill="auto"/>
            <w:vAlign w:val="bottom"/>
          </w:tcPr>
          <w:p w14:paraId="5F2CC460" w14:textId="77777777" w:rsidR="00E836FB" w:rsidRDefault="00E836FB">
            <w:pPr>
              <w:rPr>
                <w:rFonts w:ascii="宋体"/>
                <w:vanish/>
              </w:rPr>
            </w:pPr>
          </w:p>
        </w:tc>
      </w:tr>
      <w:tr w:rsidR="00E836FB" w14:paraId="5F2CC471" w14:textId="77777777">
        <w:tc>
          <w:tcPr>
            <w:tcW w:w="0" w:type="auto"/>
            <w:gridSpan w:val="3"/>
            <w:shd w:val="clear" w:color="auto" w:fill="FFFFFF"/>
            <w:tcMar>
              <w:top w:w="40" w:type="dxa"/>
              <w:left w:w="20" w:type="dxa"/>
              <w:bottom w:w="40" w:type="dxa"/>
              <w:right w:w="20" w:type="dxa"/>
            </w:tcMar>
            <w:vAlign w:val="bottom"/>
          </w:tcPr>
          <w:p w14:paraId="5F2CC462" w14:textId="77777777" w:rsidR="00E836FB" w:rsidRDefault="00994958">
            <w:pPr>
              <w:textAlignment w:val="bottom"/>
            </w:pPr>
            <w:r>
              <w:rPr>
                <w:rFonts w:ascii="Arial" w:eastAsia="宋体" w:hAnsi="Arial" w:cs="Arial"/>
                <w:color w:val="000000"/>
                <w:sz w:val="14"/>
                <w:szCs w:val="14"/>
              </w:rPr>
              <w:t>Total held-to-maturity securities</w:t>
            </w:r>
            <w:r>
              <w:rPr>
                <w:rFonts w:ascii="Arial" w:eastAsia="宋体" w:hAnsi="Arial" w:cs="Arial"/>
                <w:color w:val="000000"/>
                <w:sz w:val="9"/>
                <w:szCs w:val="9"/>
              </w:rPr>
              <w:t>(8)</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46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464" w14:textId="77777777" w:rsidR="00E836FB" w:rsidRDefault="00994958">
            <w:pPr>
              <w:jc w:val="right"/>
              <w:textAlignment w:val="bottom"/>
            </w:pPr>
            <w:r>
              <w:rPr>
                <w:rFonts w:ascii="Arial" w:eastAsia="宋体" w:hAnsi="Arial" w:cs="Arial"/>
                <w:b/>
                <w:bCs/>
                <w:color w:val="000000"/>
                <w:sz w:val="14"/>
                <w:szCs w:val="14"/>
              </w:rPr>
              <w:t>42,430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4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66"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46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468" w14:textId="77777777" w:rsidR="00E836FB" w:rsidRDefault="00994958">
            <w:pPr>
              <w:jc w:val="right"/>
              <w:textAlignment w:val="bottom"/>
            </w:pPr>
            <w:r>
              <w:rPr>
                <w:rFonts w:ascii="Arial" w:eastAsia="宋体" w:hAnsi="Arial" w:cs="Arial"/>
                <w:color w:val="000000"/>
                <w:sz w:val="14"/>
                <w:szCs w:val="14"/>
              </w:rPr>
              <w:t>52,231 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4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6A"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46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46C" w14:textId="77777777" w:rsidR="00E836FB" w:rsidRDefault="00994958">
            <w:pPr>
              <w:jc w:val="right"/>
              <w:textAlignment w:val="bottom"/>
            </w:pPr>
            <w:r>
              <w:rPr>
                <w:rFonts w:ascii="Arial" w:eastAsia="宋体" w:hAnsi="Arial" w:cs="Arial"/>
                <w:color w:val="000000"/>
                <w:sz w:val="14"/>
                <w:szCs w:val="14"/>
              </w:rPr>
              <w:t>41,782 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46D" w14:textId="77777777" w:rsidR="00E836FB" w:rsidRDefault="00E836FB">
            <w:pPr>
              <w:jc w:val="right"/>
              <w:rPr>
                <w:rFonts w:ascii="宋体"/>
              </w:rPr>
            </w:pPr>
          </w:p>
        </w:tc>
        <w:tc>
          <w:tcPr>
            <w:tcW w:w="0" w:type="auto"/>
            <w:gridSpan w:val="3"/>
            <w:shd w:val="clear" w:color="auto" w:fill="auto"/>
            <w:vAlign w:val="bottom"/>
          </w:tcPr>
          <w:p w14:paraId="5F2CC46E" w14:textId="77777777" w:rsidR="00E836FB" w:rsidRDefault="00E836FB">
            <w:pPr>
              <w:rPr>
                <w:rFonts w:ascii="宋体"/>
                <w:vanish/>
              </w:rPr>
            </w:pPr>
          </w:p>
        </w:tc>
        <w:tc>
          <w:tcPr>
            <w:tcW w:w="0" w:type="auto"/>
            <w:gridSpan w:val="3"/>
            <w:shd w:val="clear" w:color="auto" w:fill="auto"/>
            <w:vAlign w:val="bottom"/>
          </w:tcPr>
          <w:p w14:paraId="5F2CC46F" w14:textId="77777777" w:rsidR="00E836FB" w:rsidRDefault="00E836FB">
            <w:pPr>
              <w:rPr>
                <w:rFonts w:ascii="宋体"/>
                <w:vanish/>
              </w:rPr>
            </w:pPr>
          </w:p>
        </w:tc>
        <w:tc>
          <w:tcPr>
            <w:tcW w:w="0" w:type="auto"/>
            <w:gridSpan w:val="3"/>
            <w:shd w:val="clear" w:color="auto" w:fill="auto"/>
            <w:vAlign w:val="bottom"/>
          </w:tcPr>
          <w:p w14:paraId="5F2CC470" w14:textId="77777777" w:rsidR="00E836FB" w:rsidRDefault="00E836FB">
            <w:pPr>
              <w:rPr>
                <w:rFonts w:ascii="宋体"/>
                <w:vanish/>
              </w:rPr>
            </w:pPr>
          </w:p>
        </w:tc>
      </w:tr>
    </w:tbl>
    <w:p w14:paraId="5F2CC472"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E836FB" w14:paraId="5F2CC47E" w14:textId="77777777">
        <w:tc>
          <w:tcPr>
            <w:tcW w:w="50" w:type="pct"/>
            <w:shd w:val="clear" w:color="auto" w:fill="auto"/>
            <w:vAlign w:val="bottom"/>
          </w:tcPr>
          <w:p w14:paraId="5F2CC473" w14:textId="77777777" w:rsidR="00E836FB" w:rsidRDefault="00E836FB">
            <w:pPr>
              <w:rPr>
                <w:rFonts w:ascii="宋体"/>
              </w:rPr>
            </w:pPr>
          </w:p>
        </w:tc>
        <w:tc>
          <w:tcPr>
            <w:tcW w:w="2374" w:type="pct"/>
            <w:shd w:val="clear" w:color="auto" w:fill="auto"/>
            <w:vAlign w:val="bottom"/>
          </w:tcPr>
          <w:p w14:paraId="5F2CC474" w14:textId="77777777" w:rsidR="00E836FB" w:rsidRDefault="00E836FB">
            <w:pPr>
              <w:rPr>
                <w:rFonts w:ascii="宋体"/>
              </w:rPr>
            </w:pPr>
          </w:p>
        </w:tc>
        <w:tc>
          <w:tcPr>
            <w:tcW w:w="5" w:type="pct"/>
            <w:shd w:val="clear" w:color="auto" w:fill="auto"/>
            <w:vAlign w:val="bottom"/>
          </w:tcPr>
          <w:p w14:paraId="5F2CC475" w14:textId="77777777" w:rsidR="00E836FB" w:rsidRDefault="00E836FB">
            <w:pPr>
              <w:rPr>
                <w:rFonts w:ascii="宋体"/>
              </w:rPr>
            </w:pPr>
          </w:p>
        </w:tc>
        <w:tc>
          <w:tcPr>
            <w:tcW w:w="50" w:type="pct"/>
            <w:shd w:val="clear" w:color="auto" w:fill="auto"/>
            <w:vAlign w:val="bottom"/>
          </w:tcPr>
          <w:p w14:paraId="5F2CC476" w14:textId="77777777" w:rsidR="00E836FB" w:rsidRDefault="00E836FB">
            <w:pPr>
              <w:rPr>
                <w:rFonts w:ascii="宋体"/>
              </w:rPr>
            </w:pPr>
          </w:p>
        </w:tc>
        <w:tc>
          <w:tcPr>
            <w:tcW w:w="1057" w:type="pct"/>
            <w:shd w:val="clear" w:color="auto" w:fill="auto"/>
            <w:vAlign w:val="bottom"/>
          </w:tcPr>
          <w:p w14:paraId="5F2CC477" w14:textId="77777777" w:rsidR="00E836FB" w:rsidRDefault="00E836FB">
            <w:pPr>
              <w:rPr>
                <w:rFonts w:ascii="宋体"/>
              </w:rPr>
            </w:pPr>
          </w:p>
        </w:tc>
        <w:tc>
          <w:tcPr>
            <w:tcW w:w="5" w:type="pct"/>
            <w:shd w:val="clear" w:color="auto" w:fill="auto"/>
            <w:vAlign w:val="bottom"/>
          </w:tcPr>
          <w:p w14:paraId="5F2CC478" w14:textId="77777777" w:rsidR="00E836FB" w:rsidRDefault="00E836FB">
            <w:pPr>
              <w:rPr>
                <w:rFonts w:ascii="宋体"/>
              </w:rPr>
            </w:pPr>
          </w:p>
        </w:tc>
        <w:tc>
          <w:tcPr>
            <w:tcW w:w="50" w:type="pct"/>
            <w:shd w:val="clear" w:color="auto" w:fill="auto"/>
            <w:vAlign w:val="bottom"/>
          </w:tcPr>
          <w:p w14:paraId="5F2CC479" w14:textId="77777777" w:rsidR="00E836FB" w:rsidRDefault="00E836FB">
            <w:pPr>
              <w:rPr>
                <w:rFonts w:ascii="宋体"/>
              </w:rPr>
            </w:pPr>
          </w:p>
        </w:tc>
        <w:tc>
          <w:tcPr>
            <w:tcW w:w="1402" w:type="pct"/>
            <w:shd w:val="clear" w:color="auto" w:fill="auto"/>
            <w:vAlign w:val="bottom"/>
          </w:tcPr>
          <w:p w14:paraId="5F2CC47A" w14:textId="77777777" w:rsidR="00E836FB" w:rsidRDefault="00E836FB">
            <w:pPr>
              <w:rPr>
                <w:rFonts w:ascii="宋体"/>
              </w:rPr>
            </w:pPr>
          </w:p>
        </w:tc>
        <w:tc>
          <w:tcPr>
            <w:tcW w:w="5" w:type="pct"/>
            <w:shd w:val="clear" w:color="auto" w:fill="auto"/>
            <w:vAlign w:val="bottom"/>
          </w:tcPr>
          <w:p w14:paraId="5F2CC47B" w14:textId="77777777" w:rsidR="00E836FB" w:rsidRDefault="00E836FB">
            <w:pPr>
              <w:rPr>
                <w:rFonts w:ascii="宋体"/>
              </w:rPr>
            </w:pPr>
          </w:p>
        </w:tc>
        <w:tc>
          <w:tcPr>
            <w:tcW w:w="0" w:type="auto"/>
            <w:shd w:val="clear" w:color="auto" w:fill="auto"/>
            <w:vAlign w:val="bottom"/>
          </w:tcPr>
          <w:p w14:paraId="5F2CC47C" w14:textId="77777777" w:rsidR="00E836FB" w:rsidRDefault="00E836FB">
            <w:pPr>
              <w:rPr>
                <w:rFonts w:ascii="宋体"/>
                <w:vanish/>
              </w:rPr>
            </w:pPr>
          </w:p>
        </w:tc>
        <w:tc>
          <w:tcPr>
            <w:tcW w:w="0" w:type="auto"/>
            <w:shd w:val="clear" w:color="auto" w:fill="auto"/>
            <w:vAlign w:val="bottom"/>
          </w:tcPr>
          <w:p w14:paraId="5F2CC47D" w14:textId="77777777" w:rsidR="00E836FB" w:rsidRDefault="00E836FB">
            <w:pPr>
              <w:rPr>
                <w:rFonts w:ascii="宋体"/>
                <w:vanish/>
              </w:rPr>
            </w:pPr>
          </w:p>
        </w:tc>
      </w:tr>
      <w:tr w:rsidR="00E836FB" w14:paraId="5F2CC48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47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4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481" w14:textId="77777777" w:rsidR="00E836FB" w:rsidRDefault="00E836FB">
            <w:pPr>
              <w:rPr>
                <w:rFonts w:ascii="宋体"/>
              </w:rPr>
            </w:pPr>
          </w:p>
        </w:tc>
        <w:tc>
          <w:tcPr>
            <w:tcW w:w="0" w:type="auto"/>
            <w:shd w:val="clear" w:color="auto" w:fill="auto"/>
            <w:vAlign w:val="bottom"/>
          </w:tcPr>
          <w:p w14:paraId="5F2CC482" w14:textId="77777777" w:rsidR="00E836FB" w:rsidRDefault="00E836FB">
            <w:pPr>
              <w:rPr>
                <w:rFonts w:ascii="宋体"/>
                <w:vanish/>
              </w:rPr>
            </w:pPr>
          </w:p>
        </w:tc>
        <w:tc>
          <w:tcPr>
            <w:tcW w:w="0" w:type="auto"/>
            <w:shd w:val="clear" w:color="auto" w:fill="auto"/>
            <w:vAlign w:val="bottom"/>
          </w:tcPr>
          <w:p w14:paraId="5F2CC483" w14:textId="77777777" w:rsidR="00E836FB" w:rsidRDefault="00E836FB">
            <w:pPr>
              <w:rPr>
                <w:rFonts w:ascii="宋体"/>
                <w:vanish/>
              </w:rPr>
            </w:pPr>
          </w:p>
        </w:tc>
      </w:tr>
    </w:tbl>
    <w:p w14:paraId="5F2CC485" w14:textId="77777777" w:rsidR="00E836FB" w:rsidRDefault="00994958">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As of December 31, 2021, 2020 and 2019, the fair value non-U.S. collateralized loan obligations of $0.83 billion, $0.96 billion and $0.89 billion, respectively.</w:t>
      </w:r>
    </w:p>
    <w:p w14:paraId="5F2CC486" w14:textId="77777777" w:rsidR="00E836FB" w:rsidRDefault="00994958">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As of December 31, 2021, 2020 and 2019, the fair value includes non-U.S. corporate bonds o</w:t>
      </w:r>
      <w:r>
        <w:rPr>
          <w:rFonts w:ascii="Arial" w:eastAsia="宋体" w:hAnsi="Arial" w:cs="Arial"/>
          <w:color w:val="000000"/>
          <w:sz w:val="13"/>
          <w:szCs w:val="13"/>
        </w:rPr>
        <w:t>f $1.53 billion, $1.88 billion and $1.78 billion, respectively.</w:t>
      </w:r>
    </w:p>
    <w:p w14:paraId="5F2CC487" w14:textId="77777777" w:rsidR="00E836FB" w:rsidRDefault="00994958">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Primarily comprised of securities guaranteed by the federal government with respect to at least 97% of defaulted principal and accrued interest on the underlying loans.</w:t>
      </w:r>
    </w:p>
    <w:p w14:paraId="5F2CC488" w14:textId="77777777" w:rsidR="00E836FB" w:rsidRDefault="00994958">
      <w:pPr>
        <w:spacing w:before="60"/>
        <w:jc w:val="both"/>
        <w:textAlignment w:val="top"/>
      </w:pPr>
      <w:r>
        <w:rPr>
          <w:rFonts w:ascii="Arial" w:eastAsia="宋体" w:hAnsi="Arial" w:cs="Arial"/>
          <w:color w:val="000000"/>
          <w:sz w:val="8"/>
          <w:szCs w:val="8"/>
        </w:rPr>
        <w:t xml:space="preserve">(4) </w:t>
      </w:r>
      <w:r>
        <w:rPr>
          <w:rFonts w:ascii="Arial" w:eastAsia="宋体" w:hAnsi="Arial" w:cs="Arial"/>
          <w:color w:val="000000"/>
          <w:sz w:val="13"/>
          <w:szCs w:val="13"/>
        </w:rPr>
        <w:t>Excludes collat</w:t>
      </w:r>
      <w:r>
        <w:rPr>
          <w:rFonts w:ascii="Arial" w:eastAsia="宋体" w:hAnsi="Arial" w:cs="Arial"/>
          <w:color w:val="000000"/>
          <w:sz w:val="13"/>
          <w:szCs w:val="13"/>
        </w:rPr>
        <w:t>eralized loan obligations in loan form. Refer to Note 4 to the consolidated financial statements in this Form 10-K for additional information.</w:t>
      </w:r>
    </w:p>
    <w:p w14:paraId="5F2CC489" w14:textId="77777777" w:rsidR="00E836FB" w:rsidRDefault="00994958">
      <w:pPr>
        <w:spacing w:before="60"/>
        <w:jc w:val="both"/>
        <w:textAlignment w:val="top"/>
      </w:pPr>
      <w:r>
        <w:rPr>
          <w:rFonts w:ascii="Arial" w:eastAsia="宋体" w:hAnsi="Arial" w:cs="Arial"/>
          <w:color w:val="000000"/>
          <w:sz w:val="8"/>
          <w:szCs w:val="8"/>
        </w:rPr>
        <w:t xml:space="preserve">(5) </w:t>
      </w:r>
      <w:r>
        <w:rPr>
          <w:rFonts w:ascii="Arial" w:eastAsia="宋体" w:hAnsi="Arial" w:cs="Arial"/>
          <w:color w:val="000000"/>
          <w:sz w:val="13"/>
          <w:szCs w:val="13"/>
        </w:rPr>
        <w:t>Consists entirely of non-agency CMBS as of December 31, 2021, 2020 and 2019.</w:t>
      </w:r>
    </w:p>
    <w:p w14:paraId="5F2CC48A" w14:textId="77777777" w:rsidR="00E836FB" w:rsidRDefault="00994958">
      <w:pPr>
        <w:spacing w:before="60"/>
        <w:jc w:val="both"/>
        <w:textAlignment w:val="top"/>
      </w:pPr>
      <w:r>
        <w:rPr>
          <w:rFonts w:ascii="Arial" w:eastAsia="宋体" w:hAnsi="Arial" w:cs="Arial"/>
          <w:color w:val="000000"/>
          <w:sz w:val="8"/>
          <w:szCs w:val="8"/>
        </w:rPr>
        <w:t>(6)</w:t>
      </w:r>
      <w:r>
        <w:rPr>
          <w:rFonts w:ascii="Arial" w:eastAsia="宋体" w:hAnsi="Arial" w:cs="Arial"/>
          <w:color w:val="000000"/>
          <w:sz w:val="13"/>
          <w:szCs w:val="13"/>
        </w:rPr>
        <w:t xml:space="preserve"> As of December 31, 2021, 202</w:t>
      </w:r>
      <w:r>
        <w:rPr>
          <w:rFonts w:ascii="Arial" w:eastAsia="宋体" w:hAnsi="Arial" w:cs="Arial"/>
          <w:color w:val="000000"/>
          <w:sz w:val="13"/>
          <w:szCs w:val="13"/>
        </w:rPr>
        <w:t xml:space="preserve">0 and 2019, the fair value of U.S. corporate bonds was $2.44 billion, $3.44 billion and $2.97 billion, respectively. </w:t>
      </w:r>
    </w:p>
    <w:p w14:paraId="5F2CC48B" w14:textId="77777777" w:rsidR="00E836FB" w:rsidRDefault="00994958">
      <w:pPr>
        <w:spacing w:before="60"/>
        <w:jc w:val="both"/>
        <w:textAlignment w:val="top"/>
      </w:pPr>
      <w:r>
        <w:rPr>
          <w:rFonts w:ascii="Arial" w:eastAsia="宋体" w:hAnsi="Arial" w:cs="Arial"/>
          <w:color w:val="000000"/>
          <w:sz w:val="8"/>
          <w:szCs w:val="8"/>
        </w:rPr>
        <w:t>(7)</w:t>
      </w:r>
      <w:r>
        <w:rPr>
          <w:rFonts w:ascii="Arial" w:eastAsia="宋体" w:hAnsi="Arial" w:cs="Arial"/>
          <w:color w:val="000000"/>
          <w:sz w:val="13"/>
          <w:szCs w:val="13"/>
        </w:rPr>
        <w:t xml:space="preserve"> As of December 31, 2021, 2020 and 2019, the total amortized cost included $292 million, $464 million and $573 million, respectively, o</w:t>
      </w:r>
      <w:r>
        <w:rPr>
          <w:rFonts w:ascii="Arial" w:eastAsia="宋体" w:hAnsi="Arial" w:cs="Arial"/>
          <w:color w:val="000000"/>
          <w:sz w:val="13"/>
          <w:szCs w:val="13"/>
        </w:rPr>
        <w:t xml:space="preserve">f non-agency CMBS and $14 million, $90 million and $124 million, respectively, of non-agency RMBS. </w:t>
      </w:r>
    </w:p>
    <w:p w14:paraId="5F2CC48C" w14:textId="77777777" w:rsidR="00E836FB" w:rsidRDefault="00994958">
      <w:pPr>
        <w:spacing w:before="60"/>
        <w:jc w:val="both"/>
        <w:textAlignment w:val="top"/>
      </w:pPr>
      <w:r>
        <w:rPr>
          <w:rFonts w:ascii="Arial" w:eastAsia="宋体" w:hAnsi="Arial" w:cs="Arial"/>
          <w:color w:val="000000"/>
          <w:sz w:val="8"/>
          <w:szCs w:val="8"/>
        </w:rPr>
        <w:t>(8)</w:t>
      </w:r>
      <w:r>
        <w:rPr>
          <w:rFonts w:ascii="Arial" w:eastAsia="宋体" w:hAnsi="Arial" w:cs="Arial"/>
          <w:color w:val="000000"/>
          <w:sz w:val="13"/>
          <w:szCs w:val="13"/>
        </w:rPr>
        <w:t xml:space="preserve"> As of December 31, 2021 and 2020, we recognized an allowance for credit losses on all HTM securities of $0 million and $3 million, respectively, inclusi</w:t>
      </w:r>
      <w:r>
        <w:rPr>
          <w:rFonts w:ascii="Arial" w:eastAsia="宋体" w:hAnsi="Arial" w:cs="Arial"/>
          <w:color w:val="000000"/>
          <w:sz w:val="13"/>
          <w:szCs w:val="13"/>
        </w:rPr>
        <w:t>ve of $0 million and $1 million, respectively, related to HTM securities purchased under the money market mutual fund liquidity facility.</w:t>
      </w:r>
    </w:p>
    <w:p w14:paraId="5F2CC48D" w14:textId="77777777" w:rsidR="00E836FB" w:rsidRDefault="00994958">
      <w:pPr>
        <w:spacing w:before="60"/>
        <w:ind w:firstLine="450"/>
        <w:jc w:val="both"/>
        <w:textAlignment w:val="top"/>
      </w:pPr>
      <w:r>
        <w:rPr>
          <w:rFonts w:ascii="Arial" w:eastAsia="宋体" w:hAnsi="Arial" w:cs="Arial"/>
          <w:color w:val="000000"/>
          <w:sz w:val="20"/>
          <w:szCs w:val="20"/>
        </w:rPr>
        <w:t>Additional information about our investment securities portfolio is provided in Note 3 to the consolidated financial s</w:t>
      </w:r>
      <w:r>
        <w:rPr>
          <w:rFonts w:ascii="Arial" w:eastAsia="宋体" w:hAnsi="Arial" w:cs="Arial"/>
          <w:color w:val="000000"/>
          <w:sz w:val="20"/>
          <w:szCs w:val="20"/>
        </w:rPr>
        <w:t>tatements in this Form 10-K.</w:t>
      </w:r>
    </w:p>
    <w:p w14:paraId="5F2CC48E" w14:textId="77777777" w:rsidR="00E836FB" w:rsidRDefault="00994958">
      <w:pPr>
        <w:spacing w:before="60"/>
        <w:ind w:firstLine="450"/>
        <w:jc w:val="both"/>
        <w:textAlignment w:val="top"/>
      </w:pPr>
      <w:r>
        <w:rPr>
          <w:rFonts w:ascii="Arial" w:eastAsia="宋体" w:hAnsi="Arial" w:cs="Arial"/>
          <w:color w:val="000000"/>
          <w:sz w:val="20"/>
          <w:szCs w:val="20"/>
        </w:rPr>
        <w:t>We manage our investment securities portfolio to align with the interest rate and duration characteristics of our client liabilities and in the context of the overall structure of our consolidated statement of condition, in con</w:t>
      </w:r>
      <w:r>
        <w:rPr>
          <w:rFonts w:ascii="Arial" w:eastAsia="宋体" w:hAnsi="Arial" w:cs="Arial"/>
          <w:color w:val="000000"/>
          <w:sz w:val="20"/>
          <w:szCs w:val="20"/>
        </w:rPr>
        <w:t>sideration of the global interest rate environment. We consider a well-diversified, high-credit quality investment securities portfolio to be an important element in the management of our consolidated statement of condition.</w:t>
      </w:r>
    </w:p>
    <w:p w14:paraId="5F2CC48F" w14:textId="77777777" w:rsidR="00E836FB" w:rsidRDefault="00994958">
      <w:pPr>
        <w:spacing w:before="60"/>
        <w:ind w:firstLine="450"/>
        <w:jc w:val="both"/>
        <w:textAlignment w:val="top"/>
      </w:pPr>
      <w:r>
        <w:rPr>
          <w:rFonts w:ascii="Arial" w:eastAsia="宋体" w:hAnsi="Arial" w:cs="Arial"/>
          <w:color w:val="000000"/>
          <w:sz w:val="20"/>
          <w:szCs w:val="20"/>
        </w:rPr>
        <w:t>Average duration of our investm</w:t>
      </w:r>
      <w:r>
        <w:rPr>
          <w:rFonts w:ascii="Arial" w:eastAsia="宋体" w:hAnsi="Arial" w:cs="Arial"/>
          <w:color w:val="000000"/>
          <w:sz w:val="20"/>
          <w:szCs w:val="20"/>
        </w:rPr>
        <w:t xml:space="preserve">ent securities portfolio was 2.9 years and 3.0 years as of December 31, 2021 and December 31, 2020, respectively. </w:t>
      </w:r>
    </w:p>
    <w:p w14:paraId="5F2CC490" w14:textId="77777777" w:rsidR="00E836FB" w:rsidRDefault="00994958">
      <w:pPr>
        <w:spacing w:before="60"/>
        <w:ind w:firstLine="450"/>
        <w:jc w:val="both"/>
        <w:textAlignment w:val="top"/>
      </w:pPr>
      <w:r>
        <w:rPr>
          <w:rFonts w:ascii="Arial" w:eastAsia="宋体" w:hAnsi="Arial" w:cs="Arial"/>
          <w:color w:val="000000"/>
          <w:sz w:val="20"/>
          <w:szCs w:val="20"/>
        </w:rPr>
        <w:t>Approximately 92% of the carrying value of the portfolio was rated “AAA” or “AA” as of both December 31, 2021 and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2702"/>
        <w:gridCol w:w="38"/>
        <w:gridCol w:w="38"/>
        <w:gridCol w:w="2573"/>
        <w:gridCol w:w="155"/>
        <w:gridCol w:w="36"/>
        <w:gridCol w:w="59"/>
        <w:gridCol w:w="36"/>
        <w:gridCol w:w="37"/>
        <w:gridCol w:w="2469"/>
        <w:gridCol w:w="155"/>
      </w:tblGrid>
      <w:tr w:rsidR="00E836FB" w14:paraId="5F2CC49D" w14:textId="77777777">
        <w:tc>
          <w:tcPr>
            <w:tcW w:w="50" w:type="pct"/>
            <w:shd w:val="clear" w:color="auto" w:fill="auto"/>
            <w:vAlign w:val="bottom"/>
          </w:tcPr>
          <w:p w14:paraId="5F2CC491" w14:textId="77777777" w:rsidR="00E836FB" w:rsidRDefault="00E836FB">
            <w:pPr>
              <w:rPr>
                <w:rFonts w:ascii="宋体"/>
              </w:rPr>
            </w:pPr>
          </w:p>
        </w:tc>
        <w:tc>
          <w:tcPr>
            <w:tcW w:w="1658" w:type="pct"/>
            <w:shd w:val="clear" w:color="auto" w:fill="auto"/>
            <w:vAlign w:val="bottom"/>
          </w:tcPr>
          <w:p w14:paraId="5F2CC492" w14:textId="77777777" w:rsidR="00E836FB" w:rsidRDefault="00E836FB">
            <w:pPr>
              <w:rPr>
                <w:rFonts w:ascii="宋体"/>
              </w:rPr>
            </w:pPr>
          </w:p>
        </w:tc>
        <w:tc>
          <w:tcPr>
            <w:tcW w:w="5" w:type="pct"/>
            <w:shd w:val="clear" w:color="auto" w:fill="auto"/>
            <w:vAlign w:val="bottom"/>
          </w:tcPr>
          <w:p w14:paraId="5F2CC493" w14:textId="77777777" w:rsidR="00E836FB" w:rsidRDefault="00E836FB">
            <w:pPr>
              <w:rPr>
                <w:rFonts w:ascii="宋体"/>
              </w:rPr>
            </w:pPr>
          </w:p>
        </w:tc>
        <w:tc>
          <w:tcPr>
            <w:tcW w:w="50" w:type="pct"/>
            <w:shd w:val="clear" w:color="auto" w:fill="auto"/>
            <w:vAlign w:val="bottom"/>
          </w:tcPr>
          <w:p w14:paraId="5F2CC494" w14:textId="77777777" w:rsidR="00E836FB" w:rsidRDefault="00E836FB">
            <w:pPr>
              <w:rPr>
                <w:rFonts w:ascii="宋体"/>
              </w:rPr>
            </w:pPr>
          </w:p>
        </w:tc>
        <w:tc>
          <w:tcPr>
            <w:tcW w:w="1580" w:type="pct"/>
            <w:shd w:val="clear" w:color="auto" w:fill="auto"/>
            <w:vAlign w:val="bottom"/>
          </w:tcPr>
          <w:p w14:paraId="5F2CC495" w14:textId="77777777" w:rsidR="00E836FB" w:rsidRDefault="00E836FB">
            <w:pPr>
              <w:rPr>
                <w:rFonts w:ascii="宋体"/>
              </w:rPr>
            </w:pPr>
          </w:p>
        </w:tc>
        <w:tc>
          <w:tcPr>
            <w:tcW w:w="5" w:type="pct"/>
            <w:shd w:val="clear" w:color="auto" w:fill="auto"/>
            <w:vAlign w:val="bottom"/>
          </w:tcPr>
          <w:p w14:paraId="5F2CC496" w14:textId="77777777" w:rsidR="00E836FB" w:rsidRDefault="00E836FB">
            <w:pPr>
              <w:rPr>
                <w:rFonts w:ascii="宋体"/>
              </w:rPr>
            </w:pPr>
          </w:p>
        </w:tc>
        <w:tc>
          <w:tcPr>
            <w:tcW w:w="5" w:type="pct"/>
            <w:shd w:val="clear" w:color="auto" w:fill="auto"/>
            <w:vAlign w:val="bottom"/>
          </w:tcPr>
          <w:p w14:paraId="5F2CC497" w14:textId="77777777" w:rsidR="00E836FB" w:rsidRDefault="00E836FB">
            <w:pPr>
              <w:rPr>
                <w:rFonts w:ascii="宋体"/>
              </w:rPr>
            </w:pPr>
          </w:p>
        </w:tc>
        <w:tc>
          <w:tcPr>
            <w:tcW w:w="68" w:type="pct"/>
            <w:shd w:val="clear" w:color="auto" w:fill="auto"/>
            <w:vAlign w:val="bottom"/>
          </w:tcPr>
          <w:p w14:paraId="5F2CC498" w14:textId="77777777" w:rsidR="00E836FB" w:rsidRDefault="00E836FB">
            <w:pPr>
              <w:rPr>
                <w:rFonts w:ascii="宋体"/>
              </w:rPr>
            </w:pPr>
          </w:p>
        </w:tc>
        <w:tc>
          <w:tcPr>
            <w:tcW w:w="5" w:type="pct"/>
            <w:shd w:val="clear" w:color="auto" w:fill="auto"/>
            <w:vAlign w:val="bottom"/>
          </w:tcPr>
          <w:p w14:paraId="5F2CC499" w14:textId="77777777" w:rsidR="00E836FB" w:rsidRDefault="00E836FB">
            <w:pPr>
              <w:rPr>
                <w:rFonts w:ascii="宋体"/>
              </w:rPr>
            </w:pPr>
          </w:p>
        </w:tc>
        <w:tc>
          <w:tcPr>
            <w:tcW w:w="50" w:type="pct"/>
            <w:shd w:val="clear" w:color="auto" w:fill="auto"/>
            <w:vAlign w:val="bottom"/>
          </w:tcPr>
          <w:p w14:paraId="5F2CC49A" w14:textId="77777777" w:rsidR="00E836FB" w:rsidRDefault="00E836FB">
            <w:pPr>
              <w:rPr>
                <w:rFonts w:ascii="宋体"/>
              </w:rPr>
            </w:pPr>
          </w:p>
        </w:tc>
        <w:tc>
          <w:tcPr>
            <w:tcW w:w="1517" w:type="pct"/>
            <w:shd w:val="clear" w:color="auto" w:fill="auto"/>
            <w:vAlign w:val="bottom"/>
          </w:tcPr>
          <w:p w14:paraId="5F2CC49B" w14:textId="77777777" w:rsidR="00E836FB" w:rsidRDefault="00E836FB">
            <w:pPr>
              <w:rPr>
                <w:rFonts w:ascii="宋体"/>
              </w:rPr>
            </w:pPr>
          </w:p>
        </w:tc>
        <w:tc>
          <w:tcPr>
            <w:tcW w:w="5" w:type="pct"/>
            <w:shd w:val="clear" w:color="auto" w:fill="auto"/>
            <w:vAlign w:val="bottom"/>
          </w:tcPr>
          <w:p w14:paraId="5F2CC49C" w14:textId="77777777" w:rsidR="00E836FB" w:rsidRDefault="00E836FB">
            <w:pPr>
              <w:rPr>
                <w:rFonts w:ascii="宋体"/>
              </w:rPr>
            </w:pPr>
          </w:p>
        </w:tc>
      </w:tr>
      <w:tr w:rsidR="00E836FB" w14:paraId="5F2CC49F" w14:textId="77777777">
        <w:tc>
          <w:tcPr>
            <w:tcW w:w="0" w:type="auto"/>
            <w:gridSpan w:val="12"/>
            <w:shd w:val="clear" w:color="auto" w:fill="auto"/>
            <w:tcMar>
              <w:top w:w="40" w:type="dxa"/>
              <w:left w:w="20" w:type="dxa"/>
              <w:bottom w:w="40" w:type="dxa"/>
              <w:right w:w="20" w:type="dxa"/>
            </w:tcMar>
            <w:vAlign w:val="bottom"/>
          </w:tcPr>
          <w:p w14:paraId="5F2CC49E" w14:textId="77777777" w:rsidR="00E836FB" w:rsidRDefault="00994958">
            <w:pPr>
              <w:textAlignment w:val="bottom"/>
            </w:pPr>
            <w:r>
              <w:rPr>
                <w:rFonts w:ascii="Arial" w:eastAsia="宋体" w:hAnsi="Arial" w:cs="Arial"/>
                <w:b/>
                <w:bCs/>
                <w:color w:val="000000"/>
                <w:sz w:val="16"/>
                <w:szCs w:val="16"/>
              </w:rPr>
              <w:t>TABLE 21: INVESTMENT PORTFOLIO BY EXTERNAL CREDIT RATING (EXCLUDING SECURITIES PURCHASED UNDER THE</w:t>
            </w:r>
            <w:r>
              <w:rPr>
                <w:rFonts w:ascii="Arial" w:eastAsia="宋体" w:hAnsi="Arial" w:cs="Arial"/>
                <w:b/>
                <w:bCs/>
                <w:color w:val="000000"/>
                <w:sz w:val="16"/>
                <w:szCs w:val="16"/>
              </w:rPr>
              <w:br/>
              <w:t>MMLF PROGRAM)</w:t>
            </w:r>
          </w:p>
        </w:tc>
      </w:tr>
      <w:tr w:rsidR="00E836FB" w14:paraId="5F2CC4A4" w14:textId="77777777">
        <w:tc>
          <w:tcPr>
            <w:tcW w:w="0" w:type="auto"/>
            <w:gridSpan w:val="3"/>
            <w:shd w:val="clear" w:color="auto" w:fill="auto"/>
            <w:tcMar>
              <w:top w:w="0" w:type="dxa"/>
              <w:left w:w="20" w:type="dxa"/>
              <w:bottom w:w="0" w:type="dxa"/>
              <w:right w:w="20" w:type="dxa"/>
            </w:tcMar>
            <w:vAlign w:val="bottom"/>
          </w:tcPr>
          <w:p w14:paraId="5F2CC4A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4A1"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CC4A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4A3"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CC4AB" w14:textId="77777777">
        <w:tc>
          <w:tcPr>
            <w:tcW w:w="0" w:type="auto"/>
            <w:gridSpan w:val="3"/>
            <w:shd w:val="clear" w:color="auto" w:fill="CCEEFF"/>
            <w:tcMar>
              <w:top w:w="40" w:type="dxa"/>
              <w:left w:w="20" w:type="dxa"/>
              <w:bottom w:w="40" w:type="dxa"/>
              <w:right w:w="20" w:type="dxa"/>
            </w:tcMar>
            <w:vAlign w:val="bottom"/>
          </w:tcPr>
          <w:p w14:paraId="5F2CC4A5" w14:textId="77777777" w:rsidR="00E836FB" w:rsidRDefault="00994958">
            <w:pP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A6" w14:textId="77777777" w:rsidR="00E836FB" w:rsidRDefault="00994958">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A7"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4A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4A9" w14:textId="77777777" w:rsidR="00E836FB" w:rsidRDefault="00994958">
            <w:pPr>
              <w:jc w:val="right"/>
              <w:textAlignment w:val="bottom"/>
            </w:pPr>
            <w:r>
              <w:rPr>
                <w:rFonts w:ascii="Arial" w:eastAsia="宋体" w:hAnsi="Arial" w:cs="Arial"/>
                <w:color w:val="000000"/>
                <w:sz w:val="15"/>
                <w:szCs w:val="15"/>
              </w:rPr>
              <w:t>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4AA" w14:textId="77777777" w:rsidR="00E836FB" w:rsidRDefault="00994958">
            <w:pPr>
              <w:jc w:val="right"/>
              <w:textAlignment w:val="bottom"/>
            </w:pPr>
            <w:r>
              <w:rPr>
                <w:rFonts w:ascii="Arial" w:eastAsia="宋体" w:hAnsi="Arial" w:cs="Arial"/>
                <w:color w:val="000000"/>
                <w:sz w:val="15"/>
                <w:szCs w:val="15"/>
              </w:rPr>
              <w:t>%</w:t>
            </w:r>
          </w:p>
        </w:tc>
      </w:tr>
      <w:tr w:rsidR="00E836FB" w14:paraId="5F2CC4B2" w14:textId="77777777">
        <w:tc>
          <w:tcPr>
            <w:tcW w:w="0" w:type="auto"/>
            <w:gridSpan w:val="3"/>
            <w:shd w:val="clear" w:color="auto" w:fill="FFFFFF"/>
            <w:tcMar>
              <w:top w:w="40" w:type="dxa"/>
              <w:left w:w="20" w:type="dxa"/>
              <w:bottom w:w="40" w:type="dxa"/>
              <w:right w:w="20" w:type="dxa"/>
            </w:tcMar>
            <w:vAlign w:val="bottom"/>
          </w:tcPr>
          <w:p w14:paraId="5F2CC4AC" w14:textId="77777777" w:rsidR="00E836FB" w:rsidRDefault="00994958">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5F2CC4AD" w14:textId="77777777" w:rsidR="00E836FB" w:rsidRDefault="00994958">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4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4B0" w14:textId="77777777" w:rsidR="00E836FB" w:rsidRDefault="00994958">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5F2CC4B1" w14:textId="77777777" w:rsidR="00E836FB" w:rsidRDefault="00E836FB">
            <w:pPr>
              <w:jc w:val="right"/>
              <w:rPr>
                <w:rFonts w:ascii="宋体"/>
              </w:rPr>
            </w:pPr>
          </w:p>
        </w:tc>
      </w:tr>
      <w:tr w:rsidR="00E836FB" w14:paraId="5F2CC4B9" w14:textId="77777777">
        <w:tc>
          <w:tcPr>
            <w:tcW w:w="0" w:type="auto"/>
            <w:gridSpan w:val="3"/>
            <w:shd w:val="clear" w:color="auto" w:fill="CCEEFF"/>
            <w:tcMar>
              <w:top w:w="40" w:type="dxa"/>
              <w:left w:w="20" w:type="dxa"/>
              <w:bottom w:w="40" w:type="dxa"/>
              <w:right w:w="20" w:type="dxa"/>
            </w:tcMar>
            <w:vAlign w:val="bottom"/>
          </w:tcPr>
          <w:p w14:paraId="5F2CC4B3" w14:textId="77777777" w:rsidR="00E836FB" w:rsidRDefault="00994958">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5F2CC4B4" w14:textId="77777777" w:rsidR="00E836FB" w:rsidRDefault="00994958">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4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4B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4B7"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F2CC4B8" w14:textId="77777777" w:rsidR="00E836FB" w:rsidRDefault="00E836FB">
            <w:pPr>
              <w:jc w:val="right"/>
              <w:rPr>
                <w:rFonts w:ascii="宋体"/>
              </w:rPr>
            </w:pPr>
          </w:p>
        </w:tc>
      </w:tr>
      <w:tr w:rsidR="00E836FB" w14:paraId="5F2CC4C0" w14:textId="77777777">
        <w:tc>
          <w:tcPr>
            <w:tcW w:w="0" w:type="auto"/>
            <w:gridSpan w:val="3"/>
            <w:shd w:val="clear" w:color="auto" w:fill="FFFFFF"/>
            <w:tcMar>
              <w:top w:w="40" w:type="dxa"/>
              <w:left w:w="20" w:type="dxa"/>
              <w:bottom w:w="40" w:type="dxa"/>
              <w:right w:w="20" w:type="dxa"/>
            </w:tcMar>
            <w:vAlign w:val="bottom"/>
          </w:tcPr>
          <w:p w14:paraId="5F2CC4BA" w14:textId="77777777" w:rsidR="00E836FB" w:rsidRDefault="00994958">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5F2CC4BB" w14:textId="77777777" w:rsidR="00E836FB" w:rsidRDefault="00994958">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4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4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4BE"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F2CC4BF" w14:textId="77777777" w:rsidR="00E836FB" w:rsidRDefault="00E836FB">
            <w:pPr>
              <w:jc w:val="right"/>
              <w:rPr>
                <w:rFonts w:ascii="宋体"/>
              </w:rPr>
            </w:pPr>
          </w:p>
        </w:tc>
      </w:tr>
      <w:tr w:rsidR="00E836FB" w14:paraId="5F2CC4C5" w14:textId="77777777">
        <w:trPr>
          <w:hidden/>
        </w:trPr>
        <w:tc>
          <w:tcPr>
            <w:tcW w:w="0" w:type="auto"/>
            <w:gridSpan w:val="3"/>
            <w:shd w:val="clear" w:color="auto" w:fill="auto"/>
            <w:vAlign w:val="bottom"/>
          </w:tcPr>
          <w:p w14:paraId="5F2CC4C1" w14:textId="77777777" w:rsidR="00E836FB" w:rsidRDefault="00E836FB">
            <w:pPr>
              <w:rPr>
                <w:rFonts w:ascii="宋体"/>
                <w:vanish/>
              </w:rPr>
            </w:pPr>
          </w:p>
        </w:tc>
        <w:tc>
          <w:tcPr>
            <w:tcW w:w="0" w:type="auto"/>
            <w:gridSpan w:val="3"/>
            <w:shd w:val="clear" w:color="auto" w:fill="auto"/>
            <w:vAlign w:val="bottom"/>
          </w:tcPr>
          <w:p w14:paraId="5F2CC4C2" w14:textId="77777777" w:rsidR="00E836FB" w:rsidRDefault="00E836FB">
            <w:pPr>
              <w:rPr>
                <w:rFonts w:ascii="宋体"/>
                <w:vanish/>
              </w:rPr>
            </w:pPr>
          </w:p>
        </w:tc>
        <w:tc>
          <w:tcPr>
            <w:tcW w:w="0" w:type="auto"/>
            <w:gridSpan w:val="3"/>
            <w:shd w:val="clear" w:color="auto" w:fill="auto"/>
            <w:vAlign w:val="bottom"/>
          </w:tcPr>
          <w:p w14:paraId="5F2CC4C3" w14:textId="77777777" w:rsidR="00E836FB" w:rsidRDefault="00E836FB">
            <w:pPr>
              <w:rPr>
                <w:rFonts w:ascii="宋体"/>
                <w:vanish/>
              </w:rPr>
            </w:pPr>
          </w:p>
        </w:tc>
        <w:tc>
          <w:tcPr>
            <w:tcW w:w="0" w:type="auto"/>
            <w:gridSpan w:val="3"/>
            <w:shd w:val="clear" w:color="auto" w:fill="auto"/>
            <w:vAlign w:val="bottom"/>
          </w:tcPr>
          <w:p w14:paraId="5F2CC4C4" w14:textId="77777777" w:rsidR="00E836FB" w:rsidRDefault="00E836FB">
            <w:pPr>
              <w:rPr>
                <w:rFonts w:ascii="宋体"/>
                <w:vanish/>
              </w:rPr>
            </w:pPr>
          </w:p>
        </w:tc>
      </w:tr>
      <w:tr w:rsidR="00E836FB" w14:paraId="5F2CC4CC" w14:textId="77777777">
        <w:tc>
          <w:tcPr>
            <w:tcW w:w="0" w:type="auto"/>
            <w:gridSpan w:val="3"/>
            <w:shd w:val="clear" w:color="auto" w:fill="CCEEFF"/>
            <w:tcMar>
              <w:top w:w="0" w:type="dxa"/>
              <w:left w:w="20" w:type="dxa"/>
              <w:bottom w:w="0" w:type="dxa"/>
              <w:right w:w="20" w:type="dxa"/>
            </w:tcMar>
            <w:vAlign w:val="bottom"/>
          </w:tcPr>
          <w:p w14:paraId="5F2CC4C6"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4C7" w14:textId="77777777" w:rsidR="00E836FB" w:rsidRDefault="00994958">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4C8"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4C9"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4CA" w14:textId="77777777" w:rsidR="00E836FB" w:rsidRDefault="00994958">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4CB" w14:textId="77777777" w:rsidR="00E836FB" w:rsidRDefault="00994958">
            <w:pPr>
              <w:jc w:val="right"/>
              <w:textAlignment w:val="bottom"/>
            </w:pPr>
            <w:r>
              <w:rPr>
                <w:rFonts w:ascii="Arial" w:eastAsia="宋体" w:hAnsi="Arial" w:cs="Arial"/>
                <w:color w:val="000000"/>
                <w:sz w:val="15"/>
                <w:szCs w:val="15"/>
              </w:rPr>
              <w:t>%</w:t>
            </w:r>
          </w:p>
        </w:tc>
      </w:tr>
    </w:tbl>
    <w:p w14:paraId="5F2CC4CD"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1"/>
        <w:gridCol w:w="36"/>
        <w:gridCol w:w="69"/>
        <w:gridCol w:w="1526"/>
        <w:gridCol w:w="36"/>
        <w:gridCol w:w="69"/>
        <w:gridCol w:w="2512"/>
        <w:gridCol w:w="36"/>
        <w:gridCol w:w="36"/>
        <w:gridCol w:w="36"/>
      </w:tblGrid>
      <w:tr w:rsidR="00E836FB" w14:paraId="5F2CC4D9" w14:textId="77777777">
        <w:tc>
          <w:tcPr>
            <w:tcW w:w="50" w:type="pct"/>
            <w:shd w:val="clear" w:color="auto" w:fill="auto"/>
            <w:vAlign w:val="bottom"/>
          </w:tcPr>
          <w:p w14:paraId="5F2CC4CE" w14:textId="77777777" w:rsidR="00E836FB" w:rsidRDefault="00E836FB">
            <w:pPr>
              <w:rPr>
                <w:rFonts w:ascii="宋体"/>
              </w:rPr>
            </w:pPr>
          </w:p>
        </w:tc>
        <w:tc>
          <w:tcPr>
            <w:tcW w:w="2374" w:type="pct"/>
            <w:shd w:val="clear" w:color="auto" w:fill="auto"/>
            <w:vAlign w:val="bottom"/>
          </w:tcPr>
          <w:p w14:paraId="5F2CC4CF" w14:textId="77777777" w:rsidR="00E836FB" w:rsidRDefault="00E836FB">
            <w:pPr>
              <w:rPr>
                <w:rFonts w:ascii="宋体"/>
              </w:rPr>
            </w:pPr>
          </w:p>
        </w:tc>
        <w:tc>
          <w:tcPr>
            <w:tcW w:w="5" w:type="pct"/>
            <w:shd w:val="clear" w:color="auto" w:fill="auto"/>
            <w:vAlign w:val="bottom"/>
          </w:tcPr>
          <w:p w14:paraId="5F2CC4D0" w14:textId="77777777" w:rsidR="00E836FB" w:rsidRDefault="00E836FB">
            <w:pPr>
              <w:rPr>
                <w:rFonts w:ascii="宋体"/>
              </w:rPr>
            </w:pPr>
          </w:p>
        </w:tc>
        <w:tc>
          <w:tcPr>
            <w:tcW w:w="50" w:type="pct"/>
            <w:shd w:val="clear" w:color="auto" w:fill="auto"/>
            <w:vAlign w:val="bottom"/>
          </w:tcPr>
          <w:p w14:paraId="5F2CC4D1" w14:textId="77777777" w:rsidR="00E836FB" w:rsidRDefault="00E836FB">
            <w:pPr>
              <w:rPr>
                <w:rFonts w:ascii="宋体"/>
              </w:rPr>
            </w:pPr>
          </w:p>
        </w:tc>
        <w:tc>
          <w:tcPr>
            <w:tcW w:w="932" w:type="pct"/>
            <w:shd w:val="clear" w:color="auto" w:fill="auto"/>
            <w:vAlign w:val="bottom"/>
          </w:tcPr>
          <w:p w14:paraId="5F2CC4D2" w14:textId="77777777" w:rsidR="00E836FB" w:rsidRDefault="00E836FB">
            <w:pPr>
              <w:rPr>
                <w:rFonts w:ascii="宋体"/>
              </w:rPr>
            </w:pPr>
          </w:p>
        </w:tc>
        <w:tc>
          <w:tcPr>
            <w:tcW w:w="5" w:type="pct"/>
            <w:shd w:val="clear" w:color="auto" w:fill="auto"/>
            <w:vAlign w:val="bottom"/>
          </w:tcPr>
          <w:p w14:paraId="5F2CC4D3" w14:textId="77777777" w:rsidR="00E836FB" w:rsidRDefault="00E836FB">
            <w:pPr>
              <w:rPr>
                <w:rFonts w:ascii="宋体"/>
              </w:rPr>
            </w:pPr>
          </w:p>
        </w:tc>
        <w:tc>
          <w:tcPr>
            <w:tcW w:w="50" w:type="pct"/>
            <w:shd w:val="clear" w:color="auto" w:fill="auto"/>
            <w:vAlign w:val="bottom"/>
          </w:tcPr>
          <w:p w14:paraId="5F2CC4D4" w14:textId="77777777" w:rsidR="00E836FB" w:rsidRDefault="00E836FB">
            <w:pPr>
              <w:rPr>
                <w:rFonts w:ascii="宋体"/>
              </w:rPr>
            </w:pPr>
          </w:p>
        </w:tc>
        <w:tc>
          <w:tcPr>
            <w:tcW w:w="1528" w:type="pct"/>
            <w:shd w:val="clear" w:color="auto" w:fill="auto"/>
            <w:vAlign w:val="bottom"/>
          </w:tcPr>
          <w:p w14:paraId="5F2CC4D5" w14:textId="77777777" w:rsidR="00E836FB" w:rsidRDefault="00E836FB">
            <w:pPr>
              <w:rPr>
                <w:rFonts w:ascii="宋体"/>
              </w:rPr>
            </w:pPr>
          </w:p>
        </w:tc>
        <w:tc>
          <w:tcPr>
            <w:tcW w:w="5" w:type="pct"/>
            <w:shd w:val="clear" w:color="auto" w:fill="auto"/>
            <w:vAlign w:val="bottom"/>
          </w:tcPr>
          <w:p w14:paraId="5F2CC4D6" w14:textId="77777777" w:rsidR="00E836FB" w:rsidRDefault="00E836FB">
            <w:pPr>
              <w:rPr>
                <w:rFonts w:ascii="宋体"/>
              </w:rPr>
            </w:pPr>
          </w:p>
        </w:tc>
        <w:tc>
          <w:tcPr>
            <w:tcW w:w="0" w:type="auto"/>
            <w:shd w:val="clear" w:color="auto" w:fill="auto"/>
            <w:vAlign w:val="bottom"/>
          </w:tcPr>
          <w:p w14:paraId="5F2CC4D7" w14:textId="77777777" w:rsidR="00E836FB" w:rsidRDefault="00E836FB">
            <w:pPr>
              <w:rPr>
                <w:rFonts w:ascii="宋体"/>
                <w:vanish/>
              </w:rPr>
            </w:pPr>
          </w:p>
        </w:tc>
        <w:tc>
          <w:tcPr>
            <w:tcW w:w="0" w:type="auto"/>
            <w:shd w:val="clear" w:color="auto" w:fill="auto"/>
            <w:vAlign w:val="bottom"/>
          </w:tcPr>
          <w:p w14:paraId="5F2CC4D8" w14:textId="77777777" w:rsidR="00E836FB" w:rsidRDefault="00E836FB">
            <w:pPr>
              <w:rPr>
                <w:rFonts w:ascii="宋体"/>
                <w:vanish/>
              </w:rPr>
            </w:pPr>
          </w:p>
        </w:tc>
      </w:tr>
      <w:tr w:rsidR="00E836FB" w14:paraId="5F2CC4D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4D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4D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4DC" w14:textId="77777777" w:rsidR="00E836FB" w:rsidRDefault="00E836FB">
            <w:pPr>
              <w:rPr>
                <w:rFonts w:ascii="宋体"/>
              </w:rPr>
            </w:pPr>
          </w:p>
        </w:tc>
        <w:tc>
          <w:tcPr>
            <w:tcW w:w="0" w:type="auto"/>
            <w:shd w:val="clear" w:color="auto" w:fill="auto"/>
            <w:vAlign w:val="bottom"/>
          </w:tcPr>
          <w:p w14:paraId="5F2CC4DD" w14:textId="77777777" w:rsidR="00E836FB" w:rsidRDefault="00E836FB">
            <w:pPr>
              <w:rPr>
                <w:rFonts w:ascii="宋体"/>
                <w:vanish/>
              </w:rPr>
            </w:pPr>
          </w:p>
        </w:tc>
        <w:tc>
          <w:tcPr>
            <w:tcW w:w="0" w:type="auto"/>
            <w:shd w:val="clear" w:color="auto" w:fill="auto"/>
            <w:vAlign w:val="bottom"/>
          </w:tcPr>
          <w:p w14:paraId="5F2CC4DE" w14:textId="77777777" w:rsidR="00E836FB" w:rsidRDefault="00E836FB">
            <w:pPr>
              <w:rPr>
                <w:rFonts w:ascii="宋体"/>
                <w:vanish/>
              </w:rPr>
            </w:pPr>
          </w:p>
        </w:tc>
      </w:tr>
    </w:tbl>
    <w:p w14:paraId="5F2CC4E0" w14:textId="77777777" w:rsidR="00E836FB" w:rsidRDefault="00994958">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U.S. Treasury and federal agency securities that are split-rated, “AAA” by Moody’s Investors Service and “AA+” by Standard &amp; Poor’s and also includes Agency MBS securities which are not explicitly rated but which have an </w:t>
      </w:r>
      <w:r>
        <w:rPr>
          <w:rFonts w:ascii="Arial" w:eastAsia="宋体" w:hAnsi="Arial" w:cs="Arial"/>
          <w:color w:val="000000"/>
          <w:sz w:val="14"/>
          <w:szCs w:val="14"/>
        </w:rPr>
        <w:t>explicit or assumed guarantee from the U.S. government.</w:t>
      </w:r>
    </w:p>
    <w:p w14:paraId="5F2CC4E1" w14:textId="77777777" w:rsidR="00E836FB" w:rsidRDefault="00994958">
      <w:pPr>
        <w:spacing w:before="60"/>
        <w:ind w:firstLine="450"/>
        <w:jc w:val="both"/>
        <w:textAlignment w:val="top"/>
      </w:pPr>
      <w:r>
        <w:rPr>
          <w:rFonts w:ascii="Arial" w:eastAsia="宋体" w:hAnsi="Arial" w:cs="Arial"/>
          <w:color w:val="000000"/>
          <w:sz w:val="20"/>
          <w:szCs w:val="20"/>
        </w:rPr>
        <w:t xml:space="preserve">As of December 31, 2021 and December 31, 2020, the investment portfolio was diversified with respect to asset class composition. The following table presents the composition of these asset </w:t>
      </w:r>
      <w:r>
        <w:rPr>
          <w:rFonts w:ascii="Arial" w:eastAsia="宋体" w:hAnsi="Arial" w:cs="Arial"/>
          <w:color w:val="000000"/>
          <w:sz w:val="20"/>
          <w:szCs w:val="20"/>
        </w:rPr>
        <w:t>classes.</w:t>
      </w:r>
    </w:p>
    <w:tbl>
      <w:tblPr>
        <w:tblW w:w="4969" w:type="pct"/>
        <w:tblCellMar>
          <w:top w:w="15" w:type="dxa"/>
          <w:left w:w="15" w:type="dxa"/>
          <w:bottom w:w="15" w:type="dxa"/>
          <w:right w:w="15" w:type="dxa"/>
        </w:tblCellMar>
        <w:tblLook w:val="04A0" w:firstRow="1" w:lastRow="0" w:firstColumn="1" w:lastColumn="0" w:noHBand="0" w:noVBand="1"/>
      </w:tblPr>
      <w:tblGrid>
        <w:gridCol w:w="38"/>
        <w:gridCol w:w="2702"/>
        <w:gridCol w:w="37"/>
        <w:gridCol w:w="38"/>
        <w:gridCol w:w="2493"/>
        <w:gridCol w:w="156"/>
        <w:gridCol w:w="36"/>
        <w:gridCol w:w="60"/>
        <w:gridCol w:w="36"/>
        <w:gridCol w:w="37"/>
        <w:gridCol w:w="2496"/>
        <w:gridCol w:w="155"/>
      </w:tblGrid>
      <w:tr w:rsidR="00E836FB" w14:paraId="5F2CC4EE" w14:textId="77777777">
        <w:tc>
          <w:tcPr>
            <w:tcW w:w="50" w:type="pct"/>
            <w:shd w:val="clear" w:color="auto" w:fill="auto"/>
            <w:vAlign w:val="bottom"/>
          </w:tcPr>
          <w:p w14:paraId="5F2CC4E2" w14:textId="77777777" w:rsidR="00E836FB" w:rsidRDefault="00E836FB">
            <w:pPr>
              <w:rPr>
                <w:rFonts w:ascii="宋体"/>
              </w:rPr>
            </w:pPr>
          </w:p>
        </w:tc>
        <w:tc>
          <w:tcPr>
            <w:tcW w:w="1669" w:type="pct"/>
            <w:shd w:val="clear" w:color="auto" w:fill="auto"/>
            <w:vAlign w:val="bottom"/>
          </w:tcPr>
          <w:p w14:paraId="5F2CC4E3" w14:textId="77777777" w:rsidR="00E836FB" w:rsidRDefault="00E836FB">
            <w:pPr>
              <w:rPr>
                <w:rFonts w:ascii="宋体"/>
              </w:rPr>
            </w:pPr>
          </w:p>
        </w:tc>
        <w:tc>
          <w:tcPr>
            <w:tcW w:w="5" w:type="pct"/>
            <w:shd w:val="clear" w:color="auto" w:fill="auto"/>
            <w:vAlign w:val="bottom"/>
          </w:tcPr>
          <w:p w14:paraId="5F2CC4E4" w14:textId="77777777" w:rsidR="00E836FB" w:rsidRDefault="00E836FB">
            <w:pPr>
              <w:rPr>
                <w:rFonts w:ascii="宋体"/>
              </w:rPr>
            </w:pPr>
          </w:p>
        </w:tc>
        <w:tc>
          <w:tcPr>
            <w:tcW w:w="50" w:type="pct"/>
            <w:shd w:val="clear" w:color="auto" w:fill="auto"/>
            <w:vAlign w:val="bottom"/>
          </w:tcPr>
          <w:p w14:paraId="5F2CC4E5" w14:textId="77777777" w:rsidR="00E836FB" w:rsidRDefault="00E836FB">
            <w:pPr>
              <w:rPr>
                <w:rFonts w:ascii="宋体"/>
              </w:rPr>
            </w:pPr>
          </w:p>
        </w:tc>
        <w:tc>
          <w:tcPr>
            <w:tcW w:w="1543" w:type="pct"/>
            <w:shd w:val="clear" w:color="auto" w:fill="auto"/>
            <w:vAlign w:val="bottom"/>
          </w:tcPr>
          <w:p w14:paraId="5F2CC4E6" w14:textId="77777777" w:rsidR="00E836FB" w:rsidRDefault="00E836FB">
            <w:pPr>
              <w:rPr>
                <w:rFonts w:ascii="宋体"/>
              </w:rPr>
            </w:pPr>
          </w:p>
        </w:tc>
        <w:tc>
          <w:tcPr>
            <w:tcW w:w="5" w:type="pct"/>
            <w:shd w:val="clear" w:color="auto" w:fill="auto"/>
            <w:vAlign w:val="bottom"/>
          </w:tcPr>
          <w:p w14:paraId="5F2CC4E7" w14:textId="77777777" w:rsidR="00E836FB" w:rsidRDefault="00E836FB">
            <w:pPr>
              <w:rPr>
                <w:rFonts w:ascii="宋体"/>
              </w:rPr>
            </w:pPr>
          </w:p>
        </w:tc>
        <w:tc>
          <w:tcPr>
            <w:tcW w:w="5" w:type="pct"/>
            <w:shd w:val="clear" w:color="auto" w:fill="auto"/>
            <w:vAlign w:val="bottom"/>
          </w:tcPr>
          <w:p w14:paraId="5F2CC4E8" w14:textId="77777777" w:rsidR="00E836FB" w:rsidRDefault="00E836FB">
            <w:pPr>
              <w:rPr>
                <w:rFonts w:ascii="宋体"/>
              </w:rPr>
            </w:pPr>
          </w:p>
        </w:tc>
        <w:tc>
          <w:tcPr>
            <w:tcW w:w="69" w:type="pct"/>
            <w:shd w:val="clear" w:color="auto" w:fill="auto"/>
            <w:vAlign w:val="bottom"/>
          </w:tcPr>
          <w:p w14:paraId="5F2CC4E9" w14:textId="77777777" w:rsidR="00E836FB" w:rsidRDefault="00E836FB">
            <w:pPr>
              <w:rPr>
                <w:rFonts w:ascii="宋体"/>
              </w:rPr>
            </w:pPr>
          </w:p>
        </w:tc>
        <w:tc>
          <w:tcPr>
            <w:tcW w:w="5" w:type="pct"/>
            <w:shd w:val="clear" w:color="auto" w:fill="auto"/>
            <w:vAlign w:val="bottom"/>
          </w:tcPr>
          <w:p w14:paraId="5F2CC4EA" w14:textId="77777777" w:rsidR="00E836FB" w:rsidRDefault="00E836FB">
            <w:pPr>
              <w:rPr>
                <w:rFonts w:ascii="宋体"/>
              </w:rPr>
            </w:pPr>
          </w:p>
        </w:tc>
        <w:tc>
          <w:tcPr>
            <w:tcW w:w="50" w:type="pct"/>
            <w:shd w:val="clear" w:color="auto" w:fill="auto"/>
            <w:vAlign w:val="bottom"/>
          </w:tcPr>
          <w:p w14:paraId="5F2CC4EB" w14:textId="77777777" w:rsidR="00E836FB" w:rsidRDefault="00E836FB">
            <w:pPr>
              <w:rPr>
                <w:rFonts w:ascii="宋体"/>
              </w:rPr>
            </w:pPr>
          </w:p>
        </w:tc>
        <w:tc>
          <w:tcPr>
            <w:tcW w:w="1543" w:type="pct"/>
            <w:shd w:val="clear" w:color="auto" w:fill="auto"/>
            <w:vAlign w:val="bottom"/>
          </w:tcPr>
          <w:p w14:paraId="5F2CC4EC" w14:textId="77777777" w:rsidR="00E836FB" w:rsidRDefault="00E836FB">
            <w:pPr>
              <w:rPr>
                <w:rFonts w:ascii="宋体"/>
              </w:rPr>
            </w:pPr>
          </w:p>
        </w:tc>
        <w:tc>
          <w:tcPr>
            <w:tcW w:w="5" w:type="pct"/>
            <w:shd w:val="clear" w:color="auto" w:fill="auto"/>
            <w:vAlign w:val="bottom"/>
          </w:tcPr>
          <w:p w14:paraId="5F2CC4ED" w14:textId="77777777" w:rsidR="00E836FB" w:rsidRDefault="00E836FB">
            <w:pPr>
              <w:rPr>
                <w:rFonts w:ascii="宋体"/>
              </w:rPr>
            </w:pPr>
          </w:p>
        </w:tc>
      </w:tr>
      <w:tr w:rsidR="00E836FB" w14:paraId="5F2CC4F0" w14:textId="77777777">
        <w:tc>
          <w:tcPr>
            <w:tcW w:w="0" w:type="auto"/>
            <w:gridSpan w:val="12"/>
            <w:shd w:val="clear" w:color="auto" w:fill="auto"/>
            <w:tcMar>
              <w:top w:w="40" w:type="dxa"/>
              <w:left w:w="20" w:type="dxa"/>
              <w:bottom w:w="40" w:type="dxa"/>
              <w:right w:w="20" w:type="dxa"/>
            </w:tcMar>
            <w:vAlign w:val="bottom"/>
          </w:tcPr>
          <w:p w14:paraId="5F2CC4EF" w14:textId="77777777" w:rsidR="00E836FB" w:rsidRDefault="00994958">
            <w:pPr>
              <w:textAlignment w:val="bottom"/>
            </w:pPr>
            <w:r>
              <w:rPr>
                <w:rFonts w:ascii="Arial" w:eastAsia="宋体" w:hAnsi="Arial" w:cs="Arial"/>
                <w:b/>
                <w:bCs/>
                <w:color w:val="000000"/>
                <w:sz w:val="16"/>
                <w:szCs w:val="16"/>
              </w:rPr>
              <w:t>TABLE 22: INVESTMENT PORTFOLIO BY ASSET CLASS</w:t>
            </w:r>
          </w:p>
        </w:tc>
      </w:tr>
      <w:tr w:rsidR="00E836FB" w14:paraId="5F2CC4F5" w14:textId="77777777">
        <w:tc>
          <w:tcPr>
            <w:tcW w:w="0" w:type="auto"/>
            <w:gridSpan w:val="3"/>
            <w:shd w:val="clear" w:color="auto" w:fill="auto"/>
            <w:tcMar>
              <w:top w:w="0" w:type="dxa"/>
              <w:left w:w="20" w:type="dxa"/>
              <w:bottom w:w="0" w:type="dxa"/>
              <w:right w:w="20" w:type="dxa"/>
            </w:tcMar>
            <w:vAlign w:val="bottom"/>
          </w:tcPr>
          <w:p w14:paraId="5F2CC4F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4F2"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CC4F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4F4"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CC4FC" w14:textId="77777777">
        <w:tc>
          <w:tcPr>
            <w:tcW w:w="0" w:type="auto"/>
            <w:gridSpan w:val="3"/>
            <w:shd w:val="clear" w:color="auto" w:fill="CCEEFF"/>
            <w:tcMar>
              <w:top w:w="40" w:type="dxa"/>
              <w:left w:w="20" w:type="dxa"/>
              <w:bottom w:w="40" w:type="dxa"/>
              <w:right w:w="20" w:type="dxa"/>
            </w:tcMar>
            <w:vAlign w:val="center"/>
          </w:tcPr>
          <w:p w14:paraId="5F2CC4F6" w14:textId="77777777" w:rsidR="00E836FB" w:rsidRDefault="00994958">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C4F7" w14:textId="77777777" w:rsidR="00E836FB" w:rsidRDefault="00994958">
            <w:pPr>
              <w:jc w:val="right"/>
              <w:textAlignment w:val="center"/>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C4F8" w14:textId="77777777" w:rsidR="00E836FB" w:rsidRDefault="00994958">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4F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C4FA" w14:textId="77777777" w:rsidR="00E836FB" w:rsidRDefault="00994958">
            <w:pPr>
              <w:jc w:val="right"/>
              <w:textAlignment w:val="center"/>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C4FB" w14:textId="77777777" w:rsidR="00E836FB" w:rsidRDefault="00994958">
            <w:pPr>
              <w:jc w:val="right"/>
              <w:textAlignment w:val="center"/>
            </w:pPr>
            <w:r>
              <w:rPr>
                <w:rFonts w:ascii="Arial" w:eastAsia="宋体" w:hAnsi="Arial" w:cs="Arial"/>
                <w:color w:val="000000"/>
                <w:sz w:val="15"/>
                <w:szCs w:val="15"/>
              </w:rPr>
              <w:t>%</w:t>
            </w:r>
          </w:p>
        </w:tc>
      </w:tr>
      <w:tr w:rsidR="00E836FB" w14:paraId="5F2CC503" w14:textId="77777777">
        <w:tc>
          <w:tcPr>
            <w:tcW w:w="0" w:type="auto"/>
            <w:gridSpan w:val="3"/>
            <w:shd w:val="clear" w:color="auto" w:fill="FFFFFF"/>
            <w:tcMar>
              <w:top w:w="40" w:type="dxa"/>
              <w:left w:w="20" w:type="dxa"/>
              <w:bottom w:w="40" w:type="dxa"/>
              <w:right w:w="20" w:type="dxa"/>
            </w:tcMar>
            <w:vAlign w:val="center"/>
          </w:tcPr>
          <w:p w14:paraId="5F2CC4FD" w14:textId="77777777" w:rsidR="00E836FB" w:rsidRDefault="00994958">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5F2CC4FE" w14:textId="77777777" w:rsidR="00E836FB" w:rsidRDefault="00994958">
            <w:pPr>
              <w:jc w:val="right"/>
              <w:textAlignment w:val="center"/>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C4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C501" w14:textId="77777777" w:rsidR="00E836FB" w:rsidRDefault="00994958">
            <w:pPr>
              <w:jc w:val="right"/>
              <w:textAlignment w:val="center"/>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center"/>
          </w:tcPr>
          <w:p w14:paraId="5F2CC502" w14:textId="77777777" w:rsidR="00E836FB" w:rsidRDefault="00E836FB">
            <w:pPr>
              <w:jc w:val="right"/>
              <w:rPr>
                <w:rFonts w:ascii="宋体"/>
              </w:rPr>
            </w:pPr>
          </w:p>
        </w:tc>
      </w:tr>
      <w:tr w:rsidR="00E836FB" w14:paraId="5F2CC50A" w14:textId="77777777">
        <w:tc>
          <w:tcPr>
            <w:tcW w:w="0" w:type="auto"/>
            <w:gridSpan w:val="3"/>
            <w:shd w:val="clear" w:color="auto" w:fill="CCEEFF"/>
            <w:tcMar>
              <w:top w:w="40" w:type="dxa"/>
              <w:left w:w="20" w:type="dxa"/>
              <w:bottom w:w="40" w:type="dxa"/>
              <w:right w:w="20" w:type="dxa"/>
            </w:tcMar>
            <w:vAlign w:val="center"/>
          </w:tcPr>
          <w:p w14:paraId="5F2CC504" w14:textId="77777777" w:rsidR="00E836FB" w:rsidRDefault="00994958">
            <w:pPr>
              <w:textAlignment w:val="center"/>
            </w:pPr>
            <w:r>
              <w:rPr>
                <w:rFonts w:ascii="Arial" w:eastAsia="宋体" w:hAnsi="Arial" w:cs="Arial"/>
                <w:color w:val="000000"/>
                <w:sz w:val="15"/>
                <w:szCs w:val="15"/>
              </w:rPr>
              <w:t>U.S. Treasuries</w:t>
            </w:r>
          </w:p>
        </w:tc>
        <w:tc>
          <w:tcPr>
            <w:tcW w:w="0" w:type="auto"/>
            <w:gridSpan w:val="2"/>
            <w:shd w:val="clear" w:color="auto" w:fill="CCEEFF"/>
            <w:tcMar>
              <w:top w:w="40" w:type="dxa"/>
              <w:left w:w="20" w:type="dxa"/>
              <w:bottom w:w="40" w:type="dxa"/>
              <w:right w:w="0" w:type="dxa"/>
            </w:tcMar>
            <w:vAlign w:val="center"/>
          </w:tcPr>
          <w:p w14:paraId="5F2CC505" w14:textId="77777777" w:rsidR="00E836FB" w:rsidRDefault="00994958">
            <w:pPr>
              <w:jc w:val="right"/>
              <w:textAlignment w:val="center"/>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C5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C508" w14:textId="77777777" w:rsidR="00E836FB" w:rsidRDefault="00994958">
            <w:pPr>
              <w:jc w:val="right"/>
              <w:textAlignment w:val="center"/>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center"/>
          </w:tcPr>
          <w:p w14:paraId="5F2CC509" w14:textId="77777777" w:rsidR="00E836FB" w:rsidRDefault="00E836FB">
            <w:pPr>
              <w:jc w:val="right"/>
              <w:rPr>
                <w:rFonts w:ascii="宋体"/>
              </w:rPr>
            </w:pPr>
          </w:p>
        </w:tc>
      </w:tr>
      <w:tr w:rsidR="00E836FB" w14:paraId="5F2CC511" w14:textId="77777777">
        <w:tc>
          <w:tcPr>
            <w:tcW w:w="0" w:type="auto"/>
            <w:gridSpan w:val="3"/>
            <w:shd w:val="clear" w:color="auto" w:fill="FFFFFF"/>
            <w:tcMar>
              <w:top w:w="40" w:type="dxa"/>
              <w:left w:w="20" w:type="dxa"/>
              <w:bottom w:w="40" w:type="dxa"/>
              <w:right w:w="20" w:type="dxa"/>
            </w:tcMar>
            <w:vAlign w:val="center"/>
          </w:tcPr>
          <w:p w14:paraId="5F2CC50B" w14:textId="77777777" w:rsidR="00E836FB" w:rsidRDefault="00994958">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5F2CC50C" w14:textId="77777777" w:rsidR="00E836FB" w:rsidRDefault="00994958">
            <w:pPr>
              <w:jc w:val="right"/>
              <w:textAlignment w:val="center"/>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C50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0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C50F" w14:textId="77777777" w:rsidR="00E836FB" w:rsidRDefault="00994958">
            <w:pPr>
              <w:jc w:val="right"/>
              <w:textAlignment w:val="center"/>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center"/>
          </w:tcPr>
          <w:p w14:paraId="5F2CC510" w14:textId="77777777" w:rsidR="00E836FB" w:rsidRDefault="00E836FB">
            <w:pPr>
              <w:jc w:val="right"/>
              <w:rPr>
                <w:rFonts w:ascii="宋体"/>
              </w:rPr>
            </w:pPr>
          </w:p>
        </w:tc>
      </w:tr>
      <w:tr w:rsidR="00E836FB" w14:paraId="5F2CC518" w14:textId="77777777">
        <w:tc>
          <w:tcPr>
            <w:tcW w:w="0" w:type="auto"/>
            <w:gridSpan w:val="3"/>
            <w:shd w:val="clear" w:color="auto" w:fill="CCEEFF"/>
            <w:tcMar>
              <w:top w:w="40" w:type="dxa"/>
              <w:left w:w="20" w:type="dxa"/>
              <w:bottom w:w="40" w:type="dxa"/>
              <w:right w:w="20" w:type="dxa"/>
            </w:tcMar>
            <w:vAlign w:val="center"/>
          </w:tcPr>
          <w:p w14:paraId="5F2CC512" w14:textId="77777777" w:rsidR="00E836FB" w:rsidRDefault="00994958">
            <w:pPr>
              <w:textAlignment w:val="center"/>
            </w:pPr>
            <w:r>
              <w:rPr>
                <w:rFonts w:ascii="Arial" w:eastAsia="宋体" w:hAnsi="Arial" w:cs="Arial"/>
                <w:color w:val="000000"/>
                <w:sz w:val="15"/>
                <w:szCs w:val="15"/>
              </w:rPr>
              <w:t>Other credit</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center"/>
          </w:tcPr>
          <w:p w14:paraId="5F2CC513" w14:textId="77777777" w:rsidR="00E836FB" w:rsidRDefault="00994958">
            <w:pPr>
              <w:jc w:val="right"/>
              <w:textAlignment w:val="center"/>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C5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1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C516" w14:textId="77777777" w:rsidR="00E836FB" w:rsidRDefault="00994958">
            <w:pPr>
              <w:jc w:val="right"/>
              <w:textAlignment w:val="center"/>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center"/>
          </w:tcPr>
          <w:p w14:paraId="5F2CC517" w14:textId="77777777" w:rsidR="00E836FB" w:rsidRDefault="00E836FB">
            <w:pPr>
              <w:jc w:val="right"/>
              <w:rPr>
                <w:rFonts w:ascii="宋体"/>
              </w:rPr>
            </w:pPr>
          </w:p>
        </w:tc>
      </w:tr>
      <w:tr w:rsidR="00E836FB" w14:paraId="5F2CC51F" w14:textId="77777777">
        <w:tc>
          <w:tcPr>
            <w:tcW w:w="0" w:type="auto"/>
            <w:gridSpan w:val="3"/>
            <w:shd w:val="clear" w:color="auto" w:fill="FFFFFF"/>
            <w:tcMar>
              <w:top w:w="0" w:type="dxa"/>
              <w:left w:w="20" w:type="dxa"/>
              <w:bottom w:w="0" w:type="dxa"/>
              <w:right w:w="20" w:type="dxa"/>
            </w:tcMar>
            <w:vAlign w:val="bottom"/>
          </w:tcPr>
          <w:p w14:paraId="5F2CC519"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51A" w14:textId="77777777" w:rsidR="00E836FB" w:rsidRDefault="00994958">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51B"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F2CC51C"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51D" w14:textId="77777777" w:rsidR="00E836FB" w:rsidRDefault="00994958">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51E" w14:textId="77777777" w:rsidR="00E836FB" w:rsidRDefault="00994958">
            <w:pPr>
              <w:jc w:val="right"/>
              <w:textAlignment w:val="bottom"/>
            </w:pPr>
            <w:r>
              <w:rPr>
                <w:rFonts w:ascii="Arial" w:eastAsia="宋体" w:hAnsi="Arial" w:cs="Arial"/>
                <w:color w:val="000000"/>
                <w:sz w:val="15"/>
                <w:szCs w:val="15"/>
              </w:rPr>
              <w:t>%</w:t>
            </w:r>
          </w:p>
        </w:tc>
      </w:tr>
    </w:tbl>
    <w:p w14:paraId="5F2CC520"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E836FB" w14:paraId="5F2CC52C" w14:textId="77777777">
        <w:tc>
          <w:tcPr>
            <w:tcW w:w="50" w:type="pct"/>
            <w:shd w:val="clear" w:color="auto" w:fill="auto"/>
            <w:vAlign w:val="bottom"/>
          </w:tcPr>
          <w:p w14:paraId="5F2CC521" w14:textId="77777777" w:rsidR="00E836FB" w:rsidRDefault="00E836FB">
            <w:pPr>
              <w:rPr>
                <w:rFonts w:ascii="宋体"/>
              </w:rPr>
            </w:pPr>
          </w:p>
        </w:tc>
        <w:tc>
          <w:tcPr>
            <w:tcW w:w="2374" w:type="pct"/>
            <w:shd w:val="clear" w:color="auto" w:fill="auto"/>
            <w:vAlign w:val="bottom"/>
          </w:tcPr>
          <w:p w14:paraId="5F2CC522" w14:textId="77777777" w:rsidR="00E836FB" w:rsidRDefault="00E836FB">
            <w:pPr>
              <w:rPr>
                <w:rFonts w:ascii="宋体"/>
              </w:rPr>
            </w:pPr>
          </w:p>
        </w:tc>
        <w:tc>
          <w:tcPr>
            <w:tcW w:w="5" w:type="pct"/>
            <w:shd w:val="clear" w:color="auto" w:fill="auto"/>
            <w:vAlign w:val="bottom"/>
          </w:tcPr>
          <w:p w14:paraId="5F2CC523" w14:textId="77777777" w:rsidR="00E836FB" w:rsidRDefault="00E836FB">
            <w:pPr>
              <w:rPr>
                <w:rFonts w:ascii="宋体"/>
              </w:rPr>
            </w:pPr>
          </w:p>
        </w:tc>
        <w:tc>
          <w:tcPr>
            <w:tcW w:w="50" w:type="pct"/>
            <w:shd w:val="clear" w:color="auto" w:fill="auto"/>
            <w:vAlign w:val="bottom"/>
          </w:tcPr>
          <w:p w14:paraId="5F2CC524" w14:textId="77777777" w:rsidR="00E836FB" w:rsidRDefault="00E836FB">
            <w:pPr>
              <w:rPr>
                <w:rFonts w:ascii="宋体"/>
              </w:rPr>
            </w:pPr>
          </w:p>
        </w:tc>
        <w:tc>
          <w:tcPr>
            <w:tcW w:w="1057" w:type="pct"/>
            <w:shd w:val="clear" w:color="auto" w:fill="auto"/>
            <w:vAlign w:val="bottom"/>
          </w:tcPr>
          <w:p w14:paraId="5F2CC525" w14:textId="77777777" w:rsidR="00E836FB" w:rsidRDefault="00E836FB">
            <w:pPr>
              <w:rPr>
                <w:rFonts w:ascii="宋体"/>
              </w:rPr>
            </w:pPr>
          </w:p>
        </w:tc>
        <w:tc>
          <w:tcPr>
            <w:tcW w:w="5" w:type="pct"/>
            <w:shd w:val="clear" w:color="auto" w:fill="auto"/>
            <w:vAlign w:val="bottom"/>
          </w:tcPr>
          <w:p w14:paraId="5F2CC526" w14:textId="77777777" w:rsidR="00E836FB" w:rsidRDefault="00E836FB">
            <w:pPr>
              <w:rPr>
                <w:rFonts w:ascii="宋体"/>
              </w:rPr>
            </w:pPr>
          </w:p>
        </w:tc>
        <w:tc>
          <w:tcPr>
            <w:tcW w:w="50" w:type="pct"/>
            <w:shd w:val="clear" w:color="auto" w:fill="auto"/>
            <w:vAlign w:val="bottom"/>
          </w:tcPr>
          <w:p w14:paraId="5F2CC527" w14:textId="77777777" w:rsidR="00E836FB" w:rsidRDefault="00E836FB">
            <w:pPr>
              <w:rPr>
                <w:rFonts w:ascii="宋体"/>
              </w:rPr>
            </w:pPr>
          </w:p>
        </w:tc>
        <w:tc>
          <w:tcPr>
            <w:tcW w:w="1402" w:type="pct"/>
            <w:shd w:val="clear" w:color="auto" w:fill="auto"/>
            <w:vAlign w:val="bottom"/>
          </w:tcPr>
          <w:p w14:paraId="5F2CC528" w14:textId="77777777" w:rsidR="00E836FB" w:rsidRDefault="00E836FB">
            <w:pPr>
              <w:rPr>
                <w:rFonts w:ascii="宋体"/>
              </w:rPr>
            </w:pPr>
          </w:p>
        </w:tc>
        <w:tc>
          <w:tcPr>
            <w:tcW w:w="5" w:type="pct"/>
            <w:shd w:val="clear" w:color="auto" w:fill="auto"/>
            <w:vAlign w:val="bottom"/>
          </w:tcPr>
          <w:p w14:paraId="5F2CC529" w14:textId="77777777" w:rsidR="00E836FB" w:rsidRDefault="00E836FB">
            <w:pPr>
              <w:rPr>
                <w:rFonts w:ascii="宋体"/>
              </w:rPr>
            </w:pPr>
          </w:p>
        </w:tc>
        <w:tc>
          <w:tcPr>
            <w:tcW w:w="0" w:type="auto"/>
            <w:shd w:val="clear" w:color="auto" w:fill="auto"/>
            <w:vAlign w:val="bottom"/>
          </w:tcPr>
          <w:p w14:paraId="5F2CC52A" w14:textId="77777777" w:rsidR="00E836FB" w:rsidRDefault="00E836FB">
            <w:pPr>
              <w:rPr>
                <w:rFonts w:ascii="宋体"/>
                <w:vanish/>
              </w:rPr>
            </w:pPr>
          </w:p>
        </w:tc>
        <w:tc>
          <w:tcPr>
            <w:tcW w:w="0" w:type="auto"/>
            <w:shd w:val="clear" w:color="auto" w:fill="auto"/>
            <w:vAlign w:val="bottom"/>
          </w:tcPr>
          <w:p w14:paraId="5F2CC52B" w14:textId="77777777" w:rsidR="00E836FB" w:rsidRDefault="00E836FB">
            <w:pPr>
              <w:rPr>
                <w:rFonts w:ascii="宋体"/>
                <w:vanish/>
              </w:rPr>
            </w:pPr>
          </w:p>
        </w:tc>
      </w:tr>
      <w:tr w:rsidR="00E836FB" w14:paraId="5F2CC53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5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52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52F" w14:textId="77777777" w:rsidR="00E836FB" w:rsidRDefault="00E836FB">
            <w:pPr>
              <w:rPr>
                <w:rFonts w:ascii="宋体"/>
              </w:rPr>
            </w:pPr>
          </w:p>
        </w:tc>
        <w:tc>
          <w:tcPr>
            <w:tcW w:w="0" w:type="auto"/>
            <w:shd w:val="clear" w:color="auto" w:fill="auto"/>
            <w:vAlign w:val="bottom"/>
          </w:tcPr>
          <w:p w14:paraId="5F2CC530" w14:textId="77777777" w:rsidR="00E836FB" w:rsidRDefault="00E836FB">
            <w:pPr>
              <w:rPr>
                <w:rFonts w:ascii="宋体"/>
                <w:vanish/>
              </w:rPr>
            </w:pPr>
          </w:p>
        </w:tc>
        <w:tc>
          <w:tcPr>
            <w:tcW w:w="0" w:type="auto"/>
            <w:shd w:val="clear" w:color="auto" w:fill="auto"/>
            <w:vAlign w:val="bottom"/>
          </w:tcPr>
          <w:p w14:paraId="5F2CC531" w14:textId="77777777" w:rsidR="00E836FB" w:rsidRDefault="00E836FB">
            <w:pPr>
              <w:rPr>
                <w:rFonts w:ascii="宋体"/>
                <w:vanish/>
              </w:rPr>
            </w:pPr>
          </w:p>
        </w:tc>
      </w:tr>
    </w:tbl>
    <w:p w14:paraId="5F2CC533" w14:textId="77777777" w:rsidR="00E836FB" w:rsidRDefault="00994958">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Includes the securities purchased under the MMLF program.</w:t>
      </w:r>
    </w:p>
    <w:p w14:paraId="5F2CC534" w14:textId="77777777" w:rsidR="00E836FB" w:rsidRDefault="00994958">
      <w:pPr>
        <w:spacing w:before="60"/>
        <w:jc w:val="both"/>
        <w:textAlignment w:val="top"/>
      </w:pPr>
      <w:r>
        <w:rPr>
          <w:rFonts w:ascii="Arial" w:eastAsia="宋体" w:hAnsi="Arial" w:cs="Arial"/>
          <w:b/>
          <w:bCs/>
          <w:i/>
          <w:iCs/>
          <w:color w:val="000000"/>
          <w:sz w:val="20"/>
          <w:szCs w:val="20"/>
        </w:rPr>
        <w:t xml:space="preserve">Non-U.S. Debt Securities </w:t>
      </w:r>
    </w:p>
    <w:p w14:paraId="5F2CC535" w14:textId="77777777" w:rsidR="00E836FB" w:rsidRDefault="00994958">
      <w:pPr>
        <w:spacing w:before="60"/>
        <w:ind w:firstLine="450"/>
        <w:jc w:val="both"/>
        <w:textAlignment w:val="top"/>
      </w:pPr>
      <w:r>
        <w:rPr>
          <w:rFonts w:ascii="Arial" w:eastAsia="宋体" w:hAnsi="Arial" w:cs="Arial"/>
          <w:color w:val="000000"/>
          <w:sz w:val="20"/>
          <w:szCs w:val="20"/>
        </w:rPr>
        <w:t xml:space="preserve">Approximately 28% and 27% of the aggregate carrying value of our investment securities </w:t>
      </w:r>
      <w:r>
        <w:rPr>
          <w:rFonts w:ascii="Arial" w:eastAsia="宋体" w:hAnsi="Arial" w:cs="Arial"/>
          <w:color w:val="000000"/>
          <w:sz w:val="20"/>
          <w:szCs w:val="20"/>
        </w:rPr>
        <w:t>portfolio was non-U.S. debt securities as of December 31, 2021 and December 31, 2020, respectively.</w:t>
      </w:r>
    </w:p>
    <w:p w14:paraId="5F2CC536" w14:textId="77777777" w:rsidR="00E836FB" w:rsidRDefault="00994958">
      <w:pPr>
        <w:ind w:firstLine="450"/>
        <w:jc w:val="right"/>
      </w:pPr>
      <w:r>
        <w:rPr>
          <w:rFonts w:ascii="Arial" w:eastAsia="宋体" w:hAnsi="Arial" w:cs="Arial"/>
          <w:color w:val="000000"/>
          <w:sz w:val="18"/>
          <w:szCs w:val="18"/>
        </w:rPr>
        <w:t>State Street Corporation | 78</w:t>
      </w:r>
    </w:p>
    <w:p w14:paraId="5F2CC537" w14:textId="77777777" w:rsidR="00E836FB" w:rsidRDefault="00E836FB">
      <w:pPr>
        <w:ind w:firstLine="450"/>
        <w:jc w:val="center"/>
      </w:pPr>
    </w:p>
    <w:p w14:paraId="5F2CC538" w14:textId="77777777" w:rsidR="00E836FB" w:rsidRDefault="00994958">
      <w:r>
        <w:pict w14:anchorId="5F2D6DD3">
          <v:rect id="_x0000_i1102" style="width:415.3pt;height:1.5pt" o:hralign="center" o:hrstd="t" o:hr="t" fillcolor="#a0a0a0" stroked="f"/>
        </w:pict>
      </w:r>
    </w:p>
    <w:p w14:paraId="5F2CC539"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C53A" w14:textId="77777777" w:rsidR="00E836FB" w:rsidRDefault="00994958">
      <w:pPr>
        <w:ind w:firstLine="450"/>
        <w:jc w:val="center"/>
      </w:pPr>
      <w:r>
        <w:rPr>
          <w:rFonts w:ascii="Arial" w:eastAsia="宋体" w:hAnsi="Arial" w:cs="Arial"/>
          <w:b/>
          <w:bCs/>
          <w:color w:val="000000"/>
          <w:sz w:val="20"/>
          <w:szCs w:val="20"/>
        </w:rPr>
        <w:t>AND RESULTS OF OPERATIONS</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9"/>
        <w:gridCol w:w="2391"/>
        <w:gridCol w:w="37"/>
        <w:gridCol w:w="36"/>
        <w:gridCol w:w="78"/>
        <w:gridCol w:w="36"/>
        <w:gridCol w:w="99"/>
        <w:gridCol w:w="2366"/>
        <w:gridCol w:w="37"/>
      </w:tblGrid>
      <w:tr w:rsidR="00E836FB" w14:paraId="5F2CC547" w14:textId="77777777">
        <w:tc>
          <w:tcPr>
            <w:tcW w:w="50" w:type="pct"/>
            <w:shd w:val="clear" w:color="auto" w:fill="auto"/>
            <w:vAlign w:val="bottom"/>
          </w:tcPr>
          <w:p w14:paraId="5F2CC53B" w14:textId="77777777" w:rsidR="00E836FB" w:rsidRDefault="00E836FB">
            <w:pPr>
              <w:rPr>
                <w:rFonts w:ascii="宋体"/>
              </w:rPr>
            </w:pPr>
          </w:p>
        </w:tc>
        <w:tc>
          <w:tcPr>
            <w:tcW w:w="1853" w:type="pct"/>
            <w:shd w:val="clear" w:color="auto" w:fill="auto"/>
            <w:vAlign w:val="bottom"/>
          </w:tcPr>
          <w:p w14:paraId="5F2CC53C" w14:textId="77777777" w:rsidR="00E836FB" w:rsidRDefault="00E836FB">
            <w:pPr>
              <w:rPr>
                <w:rFonts w:ascii="宋体"/>
              </w:rPr>
            </w:pPr>
          </w:p>
        </w:tc>
        <w:tc>
          <w:tcPr>
            <w:tcW w:w="5" w:type="pct"/>
            <w:shd w:val="clear" w:color="auto" w:fill="auto"/>
            <w:vAlign w:val="bottom"/>
          </w:tcPr>
          <w:p w14:paraId="5F2CC53D" w14:textId="77777777" w:rsidR="00E836FB" w:rsidRDefault="00E836FB">
            <w:pPr>
              <w:rPr>
                <w:rFonts w:ascii="宋体"/>
              </w:rPr>
            </w:pPr>
          </w:p>
        </w:tc>
        <w:tc>
          <w:tcPr>
            <w:tcW w:w="50" w:type="pct"/>
            <w:shd w:val="clear" w:color="auto" w:fill="auto"/>
            <w:vAlign w:val="bottom"/>
          </w:tcPr>
          <w:p w14:paraId="5F2CC53E" w14:textId="77777777" w:rsidR="00E836FB" w:rsidRDefault="00E836FB">
            <w:pPr>
              <w:rPr>
                <w:rFonts w:ascii="宋体"/>
              </w:rPr>
            </w:pPr>
          </w:p>
        </w:tc>
        <w:tc>
          <w:tcPr>
            <w:tcW w:w="1459" w:type="pct"/>
            <w:shd w:val="clear" w:color="auto" w:fill="auto"/>
            <w:vAlign w:val="bottom"/>
          </w:tcPr>
          <w:p w14:paraId="5F2CC53F" w14:textId="77777777" w:rsidR="00E836FB" w:rsidRDefault="00E836FB">
            <w:pPr>
              <w:rPr>
                <w:rFonts w:ascii="宋体"/>
              </w:rPr>
            </w:pPr>
          </w:p>
        </w:tc>
        <w:tc>
          <w:tcPr>
            <w:tcW w:w="5" w:type="pct"/>
            <w:shd w:val="clear" w:color="auto" w:fill="auto"/>
            <w:vAlign w:val="bottom"/>
          </w:tcPr>
          <w:p w14:paraId="5F2CC540" w14:textId="77777777" w:rsidR="00E836FB" w:rsidRDefault="00E836FB">
            <w:pPr>
              <w:rPr>
                <w:rFonts w:ascii="宋体"/>
              </w:rPr>
            </w:pPr>
          </w:p>
        </w:tc>
        <w:tc>
          <w:tcPr>
            <w:tcW w:w="5" w:type="pct"/>
            <w:shd w:val="clear" w:color="auto" w:fill="auto"/>
            <w:vAlign w:val="bottom"/>
          </w:tcPr>
          <w:p w14:paraId="5F2CC541" w14:textId="77777777" w:rsidR="00E836FB" w:rsidRDefault="00E836FB">
            <w:pPr>
              <w:rPr>
                <w:rFonts w:ascii="宋体"/>
              </w:rPr>
            </w:pPr>
          </w:p>
        </w:tc>
        <w:tc>
          <w:tcPr>
            <w:tcW w:w="68" w:type="pct"/>
            <w:shd w:val="clear" w:color="auto" w:fill="auto"/>
            <w:vAlign w:val="bottom"/>
          </w:tcPr>
          <w:p w14:paraId="5F2CC542" w14:textId="77777777" w:rsidR="00E836FB" w:rsidRDefault="00E836FB">
            <w:pPr>
              <w:rPr>
                <w:rFonts w:ascii="宋体"/>
              </w:rPr>
            </w:pPr>
          </w:p>
        </w:tc>
        <w:tc>
          <w:tcPr>
            <w:tcW w:w="5" w:type="pct"/>
            <w:shd w:val="clear" w:color="auto" w:fill="auto"/>
            <w:vAlign w:val="bottom"/>
          </w:tcPr>
          <w:p w14:paraId="5F2CC543" w14:textId="77777777" w:rsidR="00E836FB" w:rsidRDefault="00E836FB">
            <w:pPr>
              <w:rPr>
                <w:rFonts w:ascii="宋体"/>
              </w:rPr>
            </w:pPr>
          </w:p>
        </w:tc>
        <w:tc>
          <w:tcPr>
            <w:tcW w:w="50" w:type="pct"/>
            <w:shd w:val="clear" w:color="auto" w:fill="auto"/>
            <w:vAlign w:val="bottom"/>
          </w:tcPr>
          <w:p w14:paraId="5F2CC544" w14:textId="77777777" w:rsidR="00E836FB" w:rsidRDefault="00E836FB">
            <w:pPr>
              <w:rPr>
                <w:rFonts w:ascii="宋体"/>
              </w:rPr>
            </w:pPr>
          </w:p>
        </w:tc>
        <w:tc>
          <w:tcPr>
            <w:tcW w:w="1443" w:type="pct"/>
            <w:shd w:val="clear" w:color="auto" w:fill="auto"/>
            <w:vAlign w:val="bottom"/>
          </w:tcPr>
          <w:p w14:paraId="5F2CC545" w14:textId="77777777" w:rsidR="00E836FB" w:rsidRDefault="00E836FB">
            <w:pPr>
              <w:rPr>
                <w:rFonts w:ascii="宋体"/>
              </w:rPr>
            </w:pPr>
          </w:p>
        </w:tc>
        <w:tc>
          <w:tcPr>
            <w:tcW w:w="5" w:type="pct"/>
            <w:shd w:val="clear" w:color="auto" w:fill="auto"/>
            <w:vAlign w:val="bottom"/>
          </w:tcPr>
          <w:p w14:paraId="5F2CC546" w14:textId="77777777" w:rsidR="00E836FB" w:rsidRDefault="00E836FB">
            <w:pPr>
              <w:rPr>
                <w:rFonts w:ascii="宋体"/>
              </w:rPr>
            </w:pPr>
          </w:p>
        </w:tc>
      </w:tr>
      <w:tr w:rsidR="00E836FB" w14:paraId="5F2CC549" w14:textId="77777777">
        <w:tc>
          <w:tcPr>
            <w:tcW w:w="0" w:type="auto"/>
            <w:gridSpan w:val="12"/>
            <w:shd w:val="clear" w:color="auto" w:fill="auto"/>
            <w:tcMar>
              <w:top w:w="40" w:type="dxa"/>
              <w:left w:w="20" w:type="dxa"/>
              <w:bottom w:w="40" w:type="dxa"/>
              <w:right w:w="20" w:type="dxa"/>
            </w:tcMar>
            <w:vAlign w:val="bottom"/>
          </w:tcPr>
          <w:p w14:paraId="5F2CC548" w14:textId="77777777" w:rsidR="00E836FB" w:rsidRDefault="00994958">
            <w:pPr>
              <w:textAlignment w:val="bottom"/>
            </w:pPr>
            <w:r>
              <w:rPr>
                <w:rFonts w:ascii="Arial" w:eastAsia="宋体" w:hAnsi="Arial" w:cs="Arial"/>
                <w:b/>
                <w:bCs/>
                <w:color w:val="000000"/>
                <w:sz w:val="16"/>
                <w:szCs w:val="16"/>
              </w:rPr>
              <w:t xml:space="preserve">TABLE 23: </w:t>
            </w:r>
            <w:r>
              <w:rPr>
                <w:rFonts w:ascii="Arial" w:eastAsia="宋体" w:hAnsi="Arial" w:cs="Arial"/>
                <w:b/>
                <w:bCs/>
                <w:color w:val="000000"/>
                <w:sz w:val="16"/>
                <w:szCs w:val="16"/>
              </w:rPr>
              <w:t>NON-U.S. DEBT SECURITIES</w:t>
            </w:r>
            <w:r>
              <w:rPr>
                <w:rFonts w:ascii="Arial" w:eastAsia="宋体" w:hAnsi="Arial" w:cs="Arial"/>
                <w:b/>
                <w:bCs/>
                <w:color w:val="000000"/>
                <w:sz w:val="10"/>
                <w:szCs w:val="10"/>
              </w:rPr>
              <w:t>(1)</w:t>
            </w:r>
          </w:p>
        </w:tc>
      </w:tr>
      <w:tr w:rsidR="00E836FB" w14:paraId="5F2CC54E" w14:textId="77777777">
        <w:tc>
          <w:tcPr>
            <w:tcW w:w="0" w:type="auto"/>
            <w:gridSpan w:val="3"/>
            <w:shd w:val="clear" w:color="auto" w:fill="auto"/>
            <w:tcMar>
              <w:top w:w="40" w:type="dxa"/>
              <w:left w:w="20" w:type="dxa"/>
              <w:bottom w:w="40" w:type="dxa"/>
              <w:right w:w="20" w:type="dxa"/>
            </w:tcMar>
            <w:vAlign w:val="bottom"/>
          </w:tcPr>
          <w:p w14:paraId="5F2CC54A"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CC54B" w14:textId="77777777" w:rsidR="00E836FB" w:rsidRDefault="00994958">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5F2CC54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54D" w14:textId="77777777" w:rsidR="00E836FB" w:rsidRDefault="00994958">
            <w:pPr>
              <w:jc w:val="center"/>
              <w:textAlignment w:val="bottom"/>
            </w:pPr>
            <w:r>
              <w:rPr>
                <w:rFonts w:ascii="Arial" w:eastAsia="宋体" w:hAnsi="Arial" w:cs="Arial"/>
                <w:b/>
                <w:bCs/>
                <w:color w:val="000000"/>
                <w:sz w:val="14"/>
                <w:szCs w:val="14"/>
              </w:rPr>
              <w:t>December 31, 2020</w:t>
            </w:r>
          </w:p>
        </w:tc>
      </w:tr>
      <w:tr w:rsidR="00E836FB" w14:paraId="5F2CC553" w14:textId="77777777">
        <w:tc>
          <w:tcPr>
            <w:tcW w:w="0" w:type="auto"/>
            <w:gridSpan w:val="3"/>
            <w:shd w:val="clear" w:color="auto" w:fill="auto"/>
            <w:tcMar>
              <w:top w:w="40" w:type="dxa"/>
              <w:left w:w="20" w:type="dxa"/>
              <w:bottom w:w="40" w:type="dxa"/>
              <w:right w:w="20" w:type="dxa"/>
            </w:tcMar>
            <w:vAlign w:val="bottom"/>
          </w:tcPr>
          <w:p w14:paraId="5F2CC54F" w14:textId="77777777" w:rsidR="00E836FB" w:rsidRDefault="00994958">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5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55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552" w14:textId="77777777" w:rsidR="00E836FB" w:rsidRDefault="00E836FB">
            <w:pPr>
              <w:rPr>
                <w:rFonts w:ascii="宋体"/>
              </w:rPr>
            </w:pPr>
          </w:p>
        </w:tc>
      </w:tr>
      <w:tr w:rsidR="00E836FB" w14:paraId="5F2CC55C" w14:textId="77777777">
        <w:tc>
          <w:tcPr>
            <w:tcW w:w="0" w:type="auto"/>
            <w:gridSpan w:val="3"/>
            <w:shd w:val="clear" w:color="auto" w:fill="CCEEFF"/>
            <w:tcMar>
              <w:top w:w="40" w:type="dxa"/>
              <w:left w:w="20" w:type="dxa"/>
              <w:bottom w:w="40" w:type="dxa"/>
              <w:right w:w="20" w:type="dxa"/>
            </w:tcMar>
            <w:vAlign w:val="bottom"/>
          </w:tcPr>
          <w:p w14:paraId="5F2CC554" w14:textId="77777777" w:rsidR="00E836FB" w:rsidRDefault="00994958">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right w:w="0" w:type="dxa"/>
            </w:tcMar>
            <w:vAlign w:val="bottom"/>
          </w:tcPr>
          <w:p w14:paraId="5F2CC555"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556" w14:textId="77777777" w:rsidR="00E836FB" w:rsidRDefault="00994958">
            <w:pPr>
              <w:jc w:val="right"/>
              <w:textAlignment w:val="bottom"/>
            </w:pPr>
            <w:r>
              <w:rPr>
                <w:rFonts w:ascii="Arial" w:eastAsia="宋体" w:hAnsi="Arial" w:cs="Arial"/>
                <w:b/>
                <w:bCs/>
                <w:color w:val="000000"/>
                <w:sz w:val="14"/>
                <w:szCs w:val="14"/>
              </w:rPr>
              <w:t>4,502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5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55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55A" w14:textId="77777777" w:rsidR="00E836FB" w:rsidRDefault="00994958">
            <w:pPr>
              <w:jc w:val="right"/>
              <w:textAlignment w:val="bottom"/>
            </w:pPr>
            <w:r>
              <w:rPr>
                <w:rFonts w:ascii="Arial" w:eastAsia="宋体" w:hAnsi="Arial" w:cs="Arial"/>
                <w:color w:val="000000"/>
                <w:sz w:val="14"/>
                <w:szCs w:val="14"/>
              </w:rPr>
              <w:t>3,163 </w:t>
            </w:r>
          </w:p>
        </w:tc>
        <w:tc>
          <w:tcPr>
            <w:tcW w:w="0" w:type="auto"/>
            <w:shd w:val="clear" w:color="auto" w:fill="CCEEFF"/>
            <w:tcMar>
              <w:top w:w="40" w:type="dxa"/>
              <w:left w:w="0" w:type="dxa"/>
              <w:bottom w:w="40" w:type="dxa"/>
              <w:right w:w="20" w:type="dxa"/>
            </w:tcMar>
            <w:vAlign w:val="bottom"/>
          </w:tcPr>
          <w:p w14:paraId="5F2CC55B" w14:textId="77777777" w:rsidR="00E836FB" w:rsidRDefault="00E836FB">
            <w:pPr>
              <w:jc w:val="right"/>
              <w:rPr>
                <w:rFonts w:ascii="宋体"/>
              </w:rPr>
            </w:pPr>
          </w:p>
        </w:tc>
      </w:tr>
      <w:tr w:rsidR="00E836FB" w14:paraId="5F2CC563" w14:textId="77777777">
        <w:tc>
          <w:tcPr>
            <w:tcW w:w="0" w:type="auto"/>
            <w:gridSpan w:val="3"/>
            <w:shd w:val="clear" w:color="auto" w:fill="FFFFFF"/>
            <w:tcMar>
              <w:top w:w="40" w:type="dxa"/>
              <w:left w:w="20" w:type="dxa"/>
              <w:bottom w:w="40" w:type="dxa"/>
              <w:right w:w="20" w:type="dxa"/>
            </w:tcMar>
            <w:vAlign w:val="bottom"/>
          </w:tcPr>
          <w:p w14:paraId="5F2CC55D" w14:textId="77777777" w:rsidR="00E836FB" w:rsidRDefault="00994958">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5F2CC55E" w14:textId="77777777" w:rsidR="00E836FB" w:rsidRDefault="00994958">
            <w:pPr>
              <w:jc w:val="right"/>
              <w:textAlignment w:val="bottom"/>
            </w:pPr>
            <w:r>
              <w:rPr>
                <w:rFonts w:ascii="Arial" w:eastAsia="宋体" w:hAnsi="Arial" w:cs="Arial"/>
                <w:b/>
                <w:bCs/>
                <w:color w:val="000000"/>
                <w:sz w:val="14"/>
                <w:szCs w:val="14"/>
              </w:rPr>
              <w:t>3,019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61" w14:textId="77777777" w:rsidR="00E836FB" w:rsidRDefault="00994958">
            <w:pPr>
              <w:jc w:val="right"/>
              <w:textAlignment w:val="bottom"/>
            </w:pPr>
            <w:r>
              <w:rPr>
                <w:rFonts w:ascii="Arial" w:eastAsia="宋体" w:hAnsi="Arial" w:cs="Arial"/>
                <w:color w:val="000000"/>
                <w:sz w:val="14"/>
                <w:szCs w:val="14"/>
              </w:rPr>
              <w:t>2,809 </w:t>
            </w:r>
          </w:p>
        </w:tc>
        <w:tc>
          <w:tcPr>
            <w:tcW w:w="0" w:type="auto"/>
            <w:shd w:val="clear" w:color="auto" w:fill="FFFFFF"/>
            <w:tcMar>
              <w:top w:w="40" w:type="dxa"/>
              <w:left w:w="0" w:type="dxa"/>
              <w:bottom w:w="40" w:type="dxa"/>
              <w:right w:w="20" w:type="dxa"/>
            </w:tcMar>
            <w:vAlign w:val="bottom"/>
          </w:tcPr>
          <w:p w14:paraId="5F2CC562" w14:textId="77777777" w:rsidR="00E836FB" w:rsidRDefault="00E836FB">
            <w:pPr>
              <w:jc w:val="right"/>
              <w:rPr>
                <w:rFonts w:ascii="宋体"/>
              </w:rPr>
            </w:pPr>
          </w:p>
        </w:tc>
      </w:tr>
      <w:tr w:rsidR="00E836FB" w14:paraId="5F2CC56A" w14:textId="77777777">
        <w:tc>
          <w:tcPr>
            <w:tcW w:w="0" w:type="auto"/>
            <w:gridSpan w:val="3"/>
            <w:shd w:val="clear" w:color="auto" w:fill="CCEEFF"/>
            <w:tcMar>
              <w:top w:w="40" w:type="dxa"/>
              <w:left w:w="20" w:type="dxa"/>
              <w:bottom w:w="40" w:type="dxa"/>
              <w:right w:w="20" w:type="dxa"/>
            </w:tcMar>
            <w:vAlign w:val="bottom"/>
          </w:tcPr>
          <w:p w14:paraId="5F2CC564" w14:textId="77777777" w:rsidR="00E836FB" w:rsidRDefault="00994958">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5F2CC565" w14:textId="77777777" w:rsidR="00E836FB" w:rsidRDefault="00994958">
            <w:pPr>
              <w:jc w:val="right"/>
              <w:textAlignment w:val="bottom"/>
            </w:pPr>
            <w:r>
              <w:rPr>
                <w:rFonts w:ascii="Arial" w:eastAsia="宋体" w:hAnsi="Arial" w:cs="Arial"/>
                <w:b/>
                <w:bCs/>
                <w:color w:val="000000"/>
                <w:sz w:val="14"/>
                <w:szCs w:val="14"/>
              </w:rPr>
              <w:t>2,180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568" w14:textId="77777777" w:rsidR="00E836FB" w:rsidRDefault="00994958">
            <w:pPr>
              <w:jc w:val="right"/>
              <w:textAlignment w:val="bottom"/>
            </w:pPr>
            <w:r>
              <w:rPr>
                <w:rFonts w:ascii="Arial" w:eastAsia="宋体" w:hAnsi="Arial" w:cs="Arial"/>
                <w:color w:val="000000"/>
                <w:sz w:val="14"/>
                <w:szCs w:val="14"/>
              </w:rPr>
              <w:t>2,829 </w:t>
            </w:r>
          </w:p>
        </w:tc>
        <w:tc>
          <w:tcPr>
            <w:tcW w:w="0" w:type="auto"/>
            <w:shd w:val="clear" w:color="auto" w:fill="CCEEFF"/>
            <w:tcMar>
              <w:top w:w="40" w:type="dxa"/>
              <w:left w:w="0" w:type="dxa"/>
              <w:bottom w:w="40" w:type="dxa"/>
              <w:right w:w="20" w:type="dxa"/>
            </w:tcMar>
            <w:vAlign w:val="bottom"/>
          </w:tcPr>
          <w:p w14:paraId="5F2CC569" w14:textId="77777777" w:rsidR="00E836FB" w:rsidRDefault="00E836FB">
            <w:pPr>
              <w:jc w:val="right"/>
              <w:rPr>
                <w:rFonts w:ascii="宋体"/>
              </w:rPr>
            </w:pPr>
          </w:p>
        </w:tc>
      </w:tr>
      <w:tr w:rsidR="00E836FB" w14:paraId="5F2CC571" w14:textId="77777777">
        <w:tc>
          <w:tcPr>
            <w:tcW w:w="0" w:type="auto"/>
            <w:gridSpan w:val="3"/>
            <w:shd w:val="clear" w:color="auto" w:fill="FFFFFF"/>
            <w:tcMar>
              <w:top w:w="40" w:type="dxa"/>
              <w:left w:w="20" w:type="dxa"/>
              <w:bottom w:w="40" w:type="dxa"/>
              <w:right w:w="20" w:type="dxa"/>
            </w:tcMar>
            <w:vAlign w:val="bottom"/>
          </w:tcPr>
          <w:p w14:paraId="5F2CC56B" w14:textId="77777777" w:rsidR="00E836FB" w:rsidRDefault="00994958">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5F2CC56C" w14:textId="77777777" w:rsidR="00E836FB" w:rsidRDefault="00994958">
            <w:pPr>
              <w:jc w:val="right"/>
              <w:textAlignment w:val="bottom"/>
            </w:pPr>
            <w:r>
              <w:rPr>
                <w:rFonts w:ascii="Arial" w:eastAsia="宋体" w:hAnsi="Arial" w:cs="Arial"/>
                <w:b/>
                <w:bCs/>
                <w:color w:val="000000"/>
                <w:sz w:val="14"/>
                <w:szCs w:val="14"/>
              </w:rPr>
              <w:t>2,130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6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6F" w14:textId="77777777" w:rsidR="00E836FB" w:rsidRDefault="00994958">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5F2CC570" w14:textId="77777777" w:rsidR="00E836FB" w:rsidRDefault="00E836FB">
            <w:pPr>
              <w:jc w:val="right"/>
              <w:rPr>
                <w:rFonts w:ascii="宋体"/>
              </w:rPr>
            </w:pPr>
          </w:p>
        </w:tc>
      </w:tr>
      <w:tr w:rsidR="00E836FB" w14:paraId="5F2CC578" w14:textId="77777777">
        <w:tc>
          <w:tcPr>
            <w:tcW w:w="0" w:type="auto"/>
            <w:gridSpan w:val="3"/>
            <w:shd w:val="clear" w:color="auto" w:fill="CCEEFF"/>
            <w:tcMar>
              <w:top w:w="40" w:type="dxa"/>
              <w:left w:w="20" w:type="dxa"/>
              <w:bottom w:w="40" w:type="dxa"/>
              <w:right w:w="20" w:type="dxa"/>
            </w:tcMar>
            <w:vAlign w:val="bottom"/>
          </w:tcPr>
          <w:p w14:paraId="5F2CC572" w14:textId="77777777" w:rsidR="00E836FB" w:rsidRDefault="00994958">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5F2CC573" w14:textId="77777777" w:rsidR="00E836FB" w:rsidRDefault="00994958">
            <w:pPr>
              <w:jc w:val="right"/>
              <w:textAlignment w:val="bottom"/>
            </w:pPr>
            <w:r>
              <w:rPr>
                <w:rFonts w:ascii="Arial" w:eastAsia="宋体" w:hAnsi="Arial" w:cs="Arial"/>
                <w:b/>
                <w:bCs/>
                <w:color w:val="000000"/>
                <w:sz w:val="14"/>
                <w:szCs w:val="14"/>
              </w:rPr>
              <w:t>1,961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7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576" w14:textId="77777777" w:rsidR="00E836FB" w:rsidRDefault="00994958">
            <w:pPr>
              <w:jc w:val="right"/>
              <w:textAlignment w:val="bottom"/>
            </w:pPr>
            <w:r>
              <w:rPr>
                <w:rFonts w:ascii="Arial" w:eastAsia="宋体" w:hAnsi="Arial" w:cs="Arial"/>
                <w:color w:val="000000"/>
                <w:sz w:val="14"/>
                <w:szCs w:val="14"/>
              </w:rPr>
              <w:t>1,209 </w:t>
            </w:r>
          </w:p>
        </w:tc>
        <w:tc>
          <w:tcPr>
            <w:tcW w:w="0" w:type="auto"/>
            <w:shd w:val="clear" w:color="auto" w:fill="CCEEFF"/>
            <w:tcMar>
              <w:top w:w="40" w:type="dxa"/>
              <w:left w:w="0" w:type="dxa"/>
              <w:bottom w:w="40" w:type="dxa"/>
              <w:right w:w="20" w:type="dxa"/>
            </w:tcMar>
            <w:vAlign w:val="bottom"/>
          </w:tcPr>
          <w:p w14:paraId="5F2CC577" w14:textId="77777777" w:rsidR="00E836FB" w:rsidRDefault="00E836FB">
            <w:pPr>
              <w:jc w:val="right"/>
              <w:rPr>
                <w:rFonts w:ascii="宋体"/>
              </w:rPr>
            </w:pPr>
          </w:p>
        </w:tc>
      </w:tr>
      <w:tr w:rsidR="00E836FB" w14:paraId="5F2CC57F" w14:textId="77777777">
        <w:tc>
          <w:tcPr>
            <w:tcW w:w="0" w:type="auto"/>
            <w:gridSpan w:val="3"/>
            <w:shd w:val="clear" w:color="auto" w:fill="FFFFFF"/>
            <w:tcMar>
              <w:top w:w="40" w:type="dxa"/>
              <w:left w:w="20" w:type="dxa"/>
              <w:bottom w:w="40" w:type="dxa"/>
              <w:right w:w="20" w:type="dxa"/>
            </w:tcMar>
            <w:vAlign w:val="bottom"/>
          </w:tcPr>
          <w:p w14:paraId="5F2CC579" w14:textId="77777777" w:rsidR="00E836FB" w:rsidRDefault="00994958">
            <w:pPr>
              <w:textAlignment w:val="bottom"/>
            </w:pPr>
            <w:r>
              <w:rPr>
                <w:rFonts w:ascii="Arial" w:eastAsia="宋体" w:hAnsi="Arial" w:cs="Arial"/>
                <w:color w:val="000000"/>
                <w:sz w:val="14"/>
                <w:szCs w:val="14"/>
              </w:rPr>
              <w:t>Austria</w:t>
            </w:r>
          </w:p>
        </w:tc>
        <w:tc>
          <w:tcPr>
            <w:tcW w:w="0" w:type="auto"/>
            <w:gridSpan w:val="2"/>
            <w:shd w:val="clear" w:color="auto" w:fill="FFFFFF"/>
            <w:tcMar>
              <w:top w:w="40" w:type="dxa"/>
              <w:left w:w="20" w:type="dxa"/>
              <w:bottom w:w="40" w:type="dxa"/>
              <w:right w:w="0" w:type="dxa"/>
            </w:tcMar>
            <w:vAlign w:val="bottom"/>
          </w:tcPr>
          <w:p w14:paraId="5F2CC57A" w14:textId="77777777" w:rsidR="00E836FB" w:rsidRDefault="00994958">
            <w:pPr>
              <w:jc w:val="right"/>
              <w:textAlignment w:val="bottom"/>
            </w:pPr>
            <w:r>
              <w:rPr>
                <w:rFonts w:ascii="Arial" w:eastAsia="宋体" w:hAnsi="Arial" w:cs="Arial"/>
                <w:b/>
                <w:bCs/>
                <w:color w:val="000000"/>
                <w:sz w:val="14"/>
                <w:szCs w:val="14"/>
              </w:rPr>
              <w:t>1,478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7D" w14:textId="77777777" w:rsidR="00E836FB" w:rsidRDefault="00994958">
            <w:pPr>
              <w:jc w:val="right"/>
              <w:textAlignment w:val="bottom"/>
            </w:pPr>
            <w:r>
              <w:rPr>
                <w:rFonts w:ascii="Arial" w:eastAsia="宋体" w:hAnsi="Arial" w:cs="Arial"/>
                <w:color w:val="000000"/>
                <w:sz w:val="14"/>
                <w:szCs w:val="14"/>
              </w:rPr>
              <w:t>1,544 </w:t>
            </w:r>
          </w:p>
        </w:tc>
        <w:tc>
          <w:tcPr>
            <w:tcW w:w="0" w:type="auto"/>
            <w:shd w:val="clear" w:color="auto" w:fill="FFFFFF"/>
            <w:tcMar>
              <w:top w:w="40" w:type="dxa"/>
              <w:left w:w="0" w:type="dxa"/>
              <w:bottom w:w="40" w:type="dxa"/>
              <w:right w:w="20" w:type="dxa"/>
            </w:tcMar>
            <w:vAlign w:val="bottom"/>
          </w:tcPr>
          <w:p w14:paraId="5F2CC57E" w14:textId="77777777" w:rsidR="00E836FB" w:rsidRDefault="00E836FB">
            <w:pPr>
              <w:jc w:val="right"/>
              <w:rPr>
                <w:rFonts w:ascii="宋体"/>
              </w:rPr>
            </w:pPr>
          </w:p>
        </w:tc>
      </w:tr>
      <w:tr w:rsidR="00E836FB" w14:paraId="5F2CC586" w14:textId="77777777">
        <w:tc>
          <w:tcPr>
            <w:tcW w:w="0" w:type="auto"/>
            <w:gridSpan w:val="3"/>
            <w:shd w:val="clear" w:color="auto" w:fill="CCEEFF"/>
            <w:tcMar>
              <w:top w:w="40" w:type="dxa"/>
              <w:left w:w="20" w:type="dxa"/>
              <w:bottom w:w="40" w:type="dxa"/>
              <w:right w:w="20" w:type="dxa"/>
            </w:tcMar>
            <w:vAlign w:val="bottom"/>
          </w:tcPr>
          <w:p w14:paraId="5F2CC580" w14:textId="77777777" w:rsidR="00E836FB" w:rsidRDefault="00994958">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5F2CC581" w14:textId="77777777" w:rsidR="00E836FB" w:rsidRDefault="00994958">
            <w:pPr>
              <w:jc w:val="right"/>
              <w:textAlignment w:val="bottom"/>
            </w:pPr>
            <w:r>
              <w:rPr>
                <w:rFonts w:ascii="Arial" w:eastAsia="宋体" w:hAnsi="Arial" w:cs="Arial"/>
                <w:b/>
                <w:bCs/>
                <w:color w:val="000000"/>
                <w:sz w:val="14"/>
                <w:szCs w:val="14"/>
              </w:rPr>
              <w:t>1,332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8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584" w14:textId="77777777" w:rsidR="00E836FB" w:rsidRDefault="00994958">
            <w:pPr>
              <w:jc w:val="right"/>
              <w:textAlignment w:val="bottom"/>
            </w:pPr>
            <w:r>
              <w:rPr>
                <w:rFonts w:ascii="Arial" w:eastAsia="宋体" w:hAnsi="Arial" w:cs="Arial"/>
                <w:color w:val="000000"/>
                <w:sz w:val="14"/>
                <w:szCs w:val="14"/>
              </w:rPr>
              <w:t>560 </w:t>
            </w:r>
          </w:p>
        </w:tc>
        <w:tc>
          <w:tcPr>
            <w:tcW w:w="0" w:type="auto"/>
            <w:shd w:val="clear" w:color="auto" w:fill="CCEEFF"/>
            <w:tcMar>
              <w:top w:w="40" w:type="dxa"/>
              <w:left w:w="0" w:type="dxa"/>
              <w:bottom w:w="40" w:type="dxa"/>
              <w:right w:w="20" w:type="dxa"/>
            </w:tcMar>
            <w:vAlign w:val="bottom"/>
          </w:tcPr>
          <w:p w14:paraId="5F2CC585" w14:textId="77777777" w:rsidR="00E836FB" w:rsidRDefault="00E836FB">
            <w:pPr>
              <w:jc w:val="right"/>
              <w:rPr>
                <w:rFonts w:ascii="宋体"/>
              </w:rPr>
            </w:pPr>
          </w:p>
        </w:tc>
      </w:tr>
      <w:tr w:rsidR="00E836FB" w14:paraId="5F2CC58D" w14:textId="77777777">
        <w:tc>
          <w:tcPr>
            <w:tcW w:w="0" w:type="auto"/>
            <w:gridSpan w:val="3"/>
            <w:shd w:val="clear" w:color="auto" w:fill="FFFFFF"/>
            <w:tcMar>
              <w:top w:w="40" w:type="dxa"/>
              <w:left w:w="20" w:type="dxa"/>
              <w:bottom w:w="40" w:type="dxa"/>
              <w:right w:w="20" w:type="dxa"/>
            </w:tcMar>
            <w:vAlign w:val="bottom"/>
          </w:tcPr>
          <w:p w14:paraId="5F2CC587" w14:textId="77777777" w:rsidR="00E836FB" w:rsidRDefault="00994958">
            <w:pPr>
              <w:textAlignment w:val="bottom"/>
            </w:pPr>
            <w:r>
              <w:rPr>
                <w:rFonts w:ascii="Arial" w:eastAsia="宋体" w:hAnsi="Arial" w:cs="Arial"/>
                <w:color w:val="000000"/>
                <w:sz w:val="14"/>
                <w:szCs w:val="14"/>
              </w:rPr>
              <w:t>Spain</w:t>
            </w:r>
          </w:p>
        </w:tc>
        <w:tc>
          <w:tcPr>
            <w:tcW w:w="0" w:type="auto"/>
            <w:gridSpan w:val="2"/>
            <w:shd w:val="clear" w:color="auto" w:fill="FFFFFF"/>
            <w:tcMar>
              <w:top w:w="40" w:type="dxa"/>
              <w:left w:w="20" w:type="dxa"/>
              <w:bottom w:w="40" w:type="dxa"/>
              <w:right w:w="0" w:type="dxa"/>
            </w:tcMar>
            <w:vAlign w:val="bottom"/>
          </w:tcPr>
          <w:p w14:paraId="5F2CC588" w14:textId="77777777" w:rsidR="00E836FB" w:rsidRDefault="00994958">
            <w:pPr>
              <w:jc w:val="right"/>
              <w:textAlignment w:val="bottom"/>
            </w:pPr>
            <w:r>
              <w:rPr>
                <w:rFonts w:ascii="Arial" w:eastAsia="宋体" w:hAnsi="Arial" w:cs="Arial"/>
                <w:b/>
                <w:bCs/>
                <w:color w:val="000000"/>
                <w:sz w:val="14"/>
                <w:szCs w:val="14"/>
              </w:rPr>
              <w:t>1,227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8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8B" w14:textId="77777777" w:rsidR="00E836FB" w:rsidRDefault="00994958">
            <w:pPr>
              <w:jc w:val="right"/>
              <w:textAlignment w:val="bottom"/>
            </w:pPr>
            <w:r>
              <w:rPr>
                <w:rFonts w:ascii="Arial" w:eastAsia="宋体" w:hAnsi="Arial" w:cs="Arial"/>
                <w:color w:val="000000"/>
                <w:sz w:val="14"/>
                <w:szCs w:val="14"/>
              </w:rPr>
              <w:t>1,642 </w:t>
            </w:r>
          </w:p>
        </w:tc>
        <w:tc>
          <w:tcPr>
            <w:tcW w:w="0" w:type="auto"/>
            <w:shd w:val="clear" w:color="auto" w:fill="FFFFFF"/>
            <w:tcMar>
              <w:top w:w="40" w:type="dxa"/>
              <w:left w:w="0" w:type="dxa"/>
              <w:bottom w:w="40" w:type="dxa"/>
              <w:right w:w="20" w:type="dxa"/>
            </w:tcMar>
            <w:vAlign w:val="bottom"/>
          </w:tcPr>
          <w:p w14:paraId="5F2CC58C" w14:textId="77777777" w:rsidR="00E836FB" w:rsidRDefault="00E836FB">
            <w:pPr>
              <w:jc w:val="right"/>
              <w:rPr>
                <w:rFonts w:ascii="宋体"/>
              </w:rPr>
            </w:pPr>
          </w:p>
        </w:tc>
      </w:tr>
      <w:tr w:rsidR="00E836FB" w14:paraId="5F2CC594" w14:textId="77777777">
        <w:tc>
          <w:tcPr>
            <w:tcW w:w="0" w:type="auto"/>
            <w:gridSpan w:val="3"/>
            <w:shd w:val="clear" w:color="auto" w:fill="CCEEFF"/>
            <w:tcMar>
              <w:top w:w="40" w:type="dxa"/>
              <w:left w:w="20" w:type="dxa"/>
              <w:bottom w:w="40" w:type="dxa"/>
              <w:right w:w="20" w:type="dxa"/>
            </w:tcMar>
            <w:vAlign w:val="bottom"/>
          </w:tcPr>
          <w:p w14:paraId="5F2CC58E" w14:textId="77777777" w:rsidR="00E836FB" w:rsidRDefault="00994958">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5F2CC58F" w14:textId="77777777" w:rsidR="00E836FB" w:rsidRDefault="00994958">
            <w:pPr>
              <w:jc w:val="right"/>
              <w:textAlignment w:val="bottom"/>
            </w:pPr>
            <w:r>
              <w:rPr>
                <w:rFonts w:ascii="Arial" w:eastAsia="宋体" w:hAnsi="Arial" w:cs="Arial"/>
                <w:b/>
                <w:bCs/>
                <w:color w:val="000000"/>
                <w:sz w:val="14"/>
                <w:szCs w:val="14"/>
              </w:rPr>
              <w:t>1,109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9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592" w14:textId="77777777" w:rsidR="00E836FB" w:rsidRDefault="00994958">
            <w:pPr>
              <w:jc w:val="right"/>
              <w:textAlignment w:val="bottom"/>
            </w:pPr>
            <w:r>
              <w:rPr>
                <w:rFonts w:ascii="Arial" w:eastAsia="宋体" w:hAnsi="Arial" w:cs="Arial"/>
                <w:color w:val="000000"/>
                <w:sz w:val="14"/>
                <w:szCs w:val="14"/>
              </w:rPr>
              <w:t>1,528 </w:t>
            </w:r>
          </w:p>
        </w:tc>
        <w:tc>
          <w:tcPr>
            <w:tcW w:w="0" w:type="auto"/>
            <w:shd w:val="clear" w:color="auto" w:fill="CCEEFF"/>
            <w:tcMar>
              <w:top w:w="40" w:type="dxa"/>
              <w:left w:w="0" w:type="dxa"/>
              <w:bottom w:w="40" w:type="dxa"/>
              <w:right w:w="20" w:type="dxa"/>
            </w:tcMar>
            <w:vAlign w:val="bottom"/>
          </w:tcPr>
          <w:p w14:paraId="5F2CC593" w14:textId="77777777" w:rsidR="00E836FB" w:rsidRDefault="00E836FB">
            <w:pPr>
              <w:jc w:val="right"/>
              <w:rPr>
                <w:rFonts w:ascii="宋体"/>
              </w:rPr>
            </w:pPr>
          </w:p>
        </w:tc>
      </w:tr>
      <w:tr w:rsidR="00E836FB" w14:paraId="5F2CC59B" w14:textId="77777777">
        <w:tc>
          <w:tcPr>
            <w:tcW w:w="0" w:type="auto"/>
            <w:gridSpan w:val="3"/>
            <w:shd w:val="clear" w:color="auto" w:fill="FFFFFF"/>
            <w:tcMar>
              <w:top w:w="40" w:type="dxa"/>
              <w:left w:w="20" w:type="dxa"/>
              <w:bottom w:w="40" w:type="dxa"/>
              <w:right w:w="20" w:type="dxa"/>
            </w:tcMar>
            <w:vAlign w:val="bottom"/>
          </w:tcPr>
          <w:p w14:paraId="5F2CC595" w14:textId="77777777" w:rsidR="00E836FB" w:rsidRDefault="00994958">
            <w:pPr>
              <w:textAlignment w:val="bottom"/>
            </w:pPr>
            <w:r>
              <w:rPr>
                <w:rFonts w:ascii="Arial" w:eastAsia="宋体" w:hAnsi="Arial" w:cs="Arial"/>
                <w:color w:val="000000"/>
                <w:sz w:val="14"/>
                <w:szCs w:val="14"/>
              </w:rPr>
              <w:t>Belgium</w:t>
            </w:r>
          </w:p>
        </w:tc>
        <w:tc>
          <w:tcPr>
            <w:tcW w:w="0" w:type="auto"/>
            <w:gridSpan w:val="2"/>
            <w:shd w:val="clear" w:color="auto" w:fill="FFFFFF"/>
            <w:tcMar>
              <w:top w:w="40" w:type="dxa"/>
              <w:left w:w="20" w:type="dxa"/>
              <w:bottom w:w="40" w:type="dxa"/>
              <w:right w:w="0" w:type="dxa"/>
            </w:tcMar>
            <w:vAlign w:val="bottom"/>
          </w:tcPr>
          <w:p w14:paraId="5F2CC596" w14:textId="77777777" w:rsidR="00E836FB" w:rsidRDefault="00994958">
            <w:pPr>
              <w:jc w:val="right"/>
              <w:textAlignment w:val="bottom"/>
            </w:pPr>
            <w:r>
              <w:rPr>
                <w:rFonts w:ascii="Arial" w:eastAsia="宋体" w:hAnsi="Arial" w:cs="Arial"/>
                <w:b/>
                <w:bCs/>
                <w:color w:val="000000"/>
                <w:sz w:val="14"/>
                <w:szCs w:val="14"/>
              </w:rPr>
              <w:t>1,050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9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9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99" w14:textId="77777777" w:rsidR="00E836FB" w:rsidRDefault="00994958">
            <w:pPr>
              <w:jc w:val="right"/>
              <w:textAlignment w:val="bottom"/>
            </w:pPr>
            <w:r>
              <w:rPr>
                <w:rFonts w:ascii="Arial" w:eastAsia="宋体" w:hAnsi="Arial" w:cs="Arial"/>
                <w:color w:val="000000"/>
                <w:sz w:val="14"/>
                <w:szCs w:val="14"/>
              </w:rPr>
              <w:t>1,618 </w:t>
            </w:r>
          </w:p>
        </w:tc>
        <w:tc>
          <w:tcPr>
            <w:tcW w:w="0" w:type="auto"/>
            <w:shd w:val="clear" w:color="auto" w:fill="FFFFFF"/>
            <w:tcMar>
              <w:top w:w="40" w:type="dxa"/>
              <w:left w:w="0" w:type="dxa"/>
              <w:bottom w:w="40" w:type="dxa"/>
              <w:right w:w="20" w:type="dxa"/>
            </w:tcMar>
            <w:vAlign w:val="bottom"/>
          </w:tcPr>
          <w:p w14:paraId="5F2CC59A" w14:textId="77777777" w:rsidR="00E836FB" w:rsidRDefault="00E836FB">
            <w:pPr>
              <w:jc w:val="right"/>
              <w:rPr>
                <w:rFonts w:ascii="宋体"/>
              </w:rPr>
            </w:pPr>
          </w:p>
        </w:tc>
      </w:tr>
      <w:tr w:rsidR="00E836FB" w14:paraId="5F2CC5A2" w14:textId="77777777">
        <w:tc>
          <w:tcPr>
            <w:tcW w:w="0" w:type="auto"/>
            <w:gridSpan w:val="3"/>
            <w:shd w:val="clear" w:color="auto" w:fill="CCEEFF"/>
            <w:tcMar>
              <w:top w:w="40" w:type="dxa"/>
              <w:left w:w="20" w:type="dxa"/>
              <w:bottom w:w="40" w:type="dxa"/>
              <w:right w:w="20" w:type="dxa"/>
            </w:tcMar>
            <w:vAlign w:val="bottom"/>
          </w:tcPr>
          <w:p w14:paraId="5F2CC59C" w14:textId="77777777" w:rsidR="00E836FB" w:rsidRDefault="00994958">
            <w:pPr>
              <w:textAlignment w:val="bottom"/>
            </w:pPr>
            <w:r>
              <w:rPr>
                <w:rFonts w:ascii="Arial" w:eastAsia="宋体" w:hAnsi="Arial" w:cs="Arial"/>
                <w:color w:val="000000"/>
                <w:sz w:val="14"/>
                <w:szCs w:val="14"/>
              </w:rPr>
              <w:t>Finland</w:t>
            </w:r>
          </w:p>
        </w:tc>
        <w:tc>
          <w:tcPr>
            <w:tcW w:w="0" w:type="auto"/>
            <w:gridSpan w:val="2"/>
            <w:shd w:val="clear" w:color="auto" w:fill="CCEEFF"/>
            <w:tcMar>
              <w:top w:w="40" w:type="dxa"/>
              <w:left w:w="20" w:type="dxa"/>
              <w:bottom w:w="40" w:type="dxa"/>
              <w:right w:w="0" w:type="dxa"/>
            </w:tcMar>
            <w:vAlign w:val="bottom"/>
          </w:tcPr>
          <w:p w14:paraId="5F2CC59D" w14:textId="77777777" w:rsidR="00E836FB" w:rsidRDefault="00994958">
            <w:pPr>
              <w:jc w:val="right"/>
              <w:textAlignment w:val="bottom"/>
            </w:pPr>
            <w:r>
              <w:rPr>
                <w:rFonts w:ascii="Arial" w:eastAsia="宋体" w:hAnsi="Arial" w:cs="Arial"/>
                <w:b/>
                <w:bCs/>
                <w:color w:val="000000"/>
                <w:sz w:val="14"/>
                <w:szCs w:val="14"/>
              </w:rPr>
              <w:t>837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9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5A0" w14:textId="77777777" w:rsidR="00E836FB" w:rsidRDefault="00994958">
            <w:pPr>
              <w:jc w:val="right"/>
              <w:textAlignment w:val="bottom"/>
            </w:pPr>
            <w:r>
              <w:rPr>
                <w:rFonts w:ascii="Arial" w:eastAsia="宋体" w:hAnsi="Arial" w:cs="Arial"/>
                <w:color w:val="000000"/>
                <w:sz w:val="14"/>
                <w:szCs w:val="14"/>
              </w:rPr>
              <w:t>1,222 </w:t>
            </w:r>
          </w:p>
        </w:tc>
        <w:tc>
          <w:tcPr>
            <w:tcW w:w="0" w:type="auto"/>
            <w:shd w:val="clear" w:color="auto" w:fill="CCEEFF"/>
            <w:tcMar>
              <w:top w:w="40" w:type="dxa"/>
              <w:left w:w="0" w:type="dxa"/>
              <w:bottom w:w="40" w:type="dxa"/>
              <w:right w:w="20" w:type="dxa"/>
            </w:tcMar>
            <w:vAlign w:val="bottom"/>
          </w:tcPr>
          <w:p w14:paraId="5F2CC5A1" w14:textId="77777777" w:rsidR="00E836FB" w:rsidRDefault="00E836FB">
            <w:pPr>
              <w:jc w:val="right"/>
              <w:rPr>
                <w:rFonts w:ascii="宋体"/>
              </w:rPr>
            </w:pPr>
          </w:p>
        </w:tc>
      </w:tr>
      <w:tr w:rsidR="00E836FB" w14:paraId="5F2CC5A9" w14:textId="77777777">
        <w:tc>
          <w:tcPr>
            <w:tcW w:w="0" w:type="auto"/>
            <w:gridSpan w:val="3"/>
            <w:shd w:val="clear" w:color="auto" w:fill="FFFFFF"/>
            <w:tcMar>
              <w:top w:w="40" w:type="dxa"/>
              <w:left w:w="20" w:type="dxa"/>
              <w:bottom w:w="40" w:type="dxa"/>
              <w:right w:w="20" w:type="dxa"/>
            </w:tcMar>
            <w:vAlign w:val="bottom"/>
          </w:tcPr>
          <w:p w14:paraId="5F2CC5A3" w14:textId="77777777" w:rsidR="00E836FB" w:rsidRDefault="00994958">
            <w:pPr>
              <w:textAlignment w:val="bottom"/>
            </w:pPr>
            <w:r>
              <w:rPr>
                <w:rFonts w:ascii="Arial" w:eastAsia="宋体" w:hAnsi="Arial" w:cs="Arial"/>
                <w:color w:val="000000"/>
                <w:sz w:val="14"/>
                <w:szCs w:val="14"/>
              </w:rPr>
              <w:t>Italy</w:t>
            </w:r>
          </w:p>
        </w:tc>
        <w:tc>
          <w:tcPr>
            <w:tcW w:w="0" w:type="auto"/>
            <w:gridSpan w:val="2"/>
            <w:shd w:val="clear" w:color="auto" w:fill="FFFFFF"/>
            <w:tcMar>
              <w:top w:w="40" w:type="dxa"/>
              <w:left w:w="20" w:type="dxa"/>
              <w:bottom w:w="40" w:type="dxa"/>
              <w:right w:w="0" w:type="dxa"/>
            </w:tcMar>
            <w:vAlign w:val="bottom"/>
          </w:tcPr>
          <w:p w14:paraId="5F2CC5A4" w14:textId="77777777" w:rsidR="00E836FB" w:rsidRDefault="00994958">
            <w:pPr>
              <w:jc w:val="right"/>
              <w:textAlignment w:val="bottom"/>
            </w:pPr>
            <w:r>
              <w:rPr>
                <w:rFonts w:ascii="Arial" w:eastAsia="宋体" w:hAnsi="Arial" w:cs="Arial"/>
                <w:b/>
                <w:bCs/>
                <w:color w:val="000000"/>
                <w:sz w:val="14"/>
                <w:szCs w:val="14"/>
              </w:rPr>
              <w:t>803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A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A7" w14:textId="77777777" w:rsidR="00E836FB" w:rsidRDefault="00994958">
            <w:pPr>
              <w:jc w:val="right"/>
              <w:textAlignment w:val="bottom"/>
            </w:pPr>
            <w:r>
              <w:rPr>
                <w:rFonts w:ascii="Arial" w:eastAsia="宋体" w:hAnsi="Arial" w:cs="Arial"/>
                <w:color w:val="000000"/>
                <w:sz w:val="14"/>
                <w:szCs w:val="14"/>
              </w:rPr>
              <w:t>1,014 </w:t>
            </w:r>
          </w:p>
        </w:tc>
        <w:tc>
          <w:tcPr>
            <w:tcW w:w="0" w:type="auto"/>
            <w:shd w:val="clear" w:color="auto" w:fill="FFFFFF"/>
            <w:tcMar>
              <w:top w:w="40" w:type="dxa"/>
              <w:left w:w="0" w:type="dxa"/>
              <w:bottom w:w="40" w:type="dxa"/>
              <w:right w:w="20" w:type="dxa"/>
            </w:tcMar>
            <w:vAlign w:val="bottom"/>
          </w:tcPr>
          <w:p w14:paraId="5F2CC5A8" w14:textId="77777777" w:rsidR="00E836FB" w:rsidRDefault="00E836FB">
            <w:pPr>
              <w:jc w:val="right"/>
              <w:rPr>
                <w:rFonts w:ascii="宋体"/>
              </w:rPr>
            </w:pPr>
          </w:p>
        </w:tc>
      </w:tr>
      <w:tr w:rsidR="00E836FB" w14:paraId="5F2CC5B0" w14:textId="77777777">
        <w:tc>
          <w:tcPr>
            <w:tcW w:w="0" w:type="auto"/>
            <w:gridSpan w:val="3"/>
            <w:shd w:val="clear" w:color="auto" w:fill="CCEEFF"/>
            <w:tcMar>
              <w:top w:w="40" w:type="dxa"/>
              <w:left w:w="20" w:type="dxa"/>
              <w:bottom w:w="40" w:type="dxa"/>
              <w:right w:w="20" w:type="dxa"/>
            </w:tcMar>
            <w:vAlign w:val="bottom"/>
          </w:tcPr>
          <w:p w14:paraId="5F2CC5AA" w14:textId="77777777" w:rsidR="00E836FB" w:rsidRDefault="00994958">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5F2CC5AB" w14:textId="77777777" w:rsidR="00E836FB" w:rsidRDefault="00994958">
            <w:pPr>
              <w:jc w:val="right"/>
              <w:textAlignment w:val="bottom"/>
            </w:pPr>
            <w:r>
              <w:rPr>
                <w:rFonts w:ascii="Arial" w:eastAsia="宋体" w:hAnsi="Arial" w:cs="Arial"/>
                <w:b/>
                <w:bCs/>
                <w:color w:val="000000"/>
                <w:sz w:val="14"/>
                <w:szCs w:val="14"/>
              </w:rPr>
              <w:t>744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5AE" w14:textId="77777777" w:rsidR="00E836FB" w:rsidRDefault="00994958">
            <w:pPr>
              <w:jc w:val="right"/>
              <w:textAlignment w:val="bottom"/>
            </w:pPr>
            <w:r>
              <w:rPr>
                <w:rFonts w:ascii="Arial" w:eastAsia="宋体" w:hAnsi="Arial" w:cs="Arial"/>
                <w:color w:val="000000"/>
                <w:sz w:val="14"/>
                <w:szCs w:val="14"/>
              </w:rPr>
              <w:t>1,226 </w:t>
            </w:r>
          </w:p>
        </w:tc>
        <w:tc>
          <w:tcPr>
            <w:tcW w:w="0" w:type="auto"/>
            <w:shd w:val="clear" w:color="auto" w:fill="CCEEFF"/>
            <w:tcMar>
              <w:top w:w="40" w:type="dxa"/>
              <w:left w:w="0" w:type="dxa"/>
              <w:bottom w:w="40" w:type="dxa"/>
              <w:right w:w="20" w:type="dxa"/>
            </w:tcMar>
            <w:vAlign w:val="bottom"/>
          </w:tcPr>
          <w:p w14:paraId="5F2CC5AF" w14:textId="77777777" w:rsidR="00E836FB" w:rsidRDefault="00E836FB">
            <w:pPr>
              <w:jc w:val="right"/>
              <w:rPr>
                <w:rFonts w:ascii="宋体"/>
              </w:rPr>
            </w:pPr>
          </w:p>
        </w:tc>
      </w:tr>
      <w:tr w:rsidR="00E836FB" w14:paraId="5F2CC5B7" w14:textId="77777777">
        <w:tc>
          <w:tcPr>
            <w:tcW w:w="0" w:type="auto"/>
            <w:gridSpan w:val="3"/>
            <w:shd w:val="clear" w:color="auto" w:fill="FFFFFF"/>
            <w:tcMar>
              <w:top w:w="40" w:type="dxa"/>
              <w:left w:w="20" w:type="dxa"/>
              <w:bottom w:w="40" w:type="dxa"/>
              <w:right w:w="20" w:type="dxa"/>
            </w:tcMar>
            <w:vAlign w:val="bottom"/>
          </w:tcPr>
          <w:p w14:paraId="5F2CC5B1"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C5B2" w14:textId="77777777" w:rsidR="00E836FB" w:rsidRDefault="00994958">
            <w:pPr>
              <w:jc w:val="right"/>
              <w:textAlignment w:val="bottom"/>
            </w:pPr>
            <w:r>
              <w:rPr>
                <w:rFonts w:ascii="Arial" w:eastAsia="宋体" w:hAnsi="Arial" w:cs="Arial"/>
                <w:b/>
                <w:bCs/>
                <w:color w:val="000000"/>
                <w:sz w:val="14"/>
                <w:szCs w:val="14"/>
              </w:rPr>
              <w:t>8,355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B5" w14:textId="77777777" w:rsidR="00E836FB" w:rsidRDefault="00994958">
            <w:pPr>
              <w:jc w:val="right"/>
              <w:textAlignment w:val="bottom"/>
            </w:pPr>
            <w:r>
              <w:rPr>
                <w:rFonts w:ascii="Arial" w:eastAsia="宋体" w:hAnsi="Arial" w:cs="Arial"/>
                <w:color w:val="000000"/>
                <w:sz w:val="14"/>
                <w:szCs w:val="14"/>
              </w:rPr>
              <w:t>7,210 </w:t>
            </w:r>
          </w:p>
        </w:tc>
        <w:tc>
          <w:tcPr>
            <w:tcW w:w="0" w:type="auto"/>
            <w:shd w:val="clear" w:color="auto" w:fill="FFFFFF"/>
            <w:tcMar>
              <w:top w:w="40" w:type="dxa"/>
              <w:left w:w="0" w:type="dxa"/>
              <w:bottom w:w="40" w:type="dxa"/>
              <w:right w:w="20" w:type="dxa"/>
            </w:tcMar>
            <w:vAlign w:val="bottom"/>
          </w:tcPr>
          <w:p w14:paraId="5F2CC5B6" w14:textId="77777777" w:rsidR="00E836FB" w:rsidRDefault="00E836FB">
            <w:pPr>
              <w:jc w:val="right"/>
              <w:rPr>
                <w:rFonts w:ascii="宋体"/>
              </w:rPr>
            </w:pPr>
          </w:p>
        </w:tc>
      </w:tr>
      <w:tr w:rsidR="00E836FB" w14:paraId="5F2CC5C0" w14:textId="77777777">
        <w:tc>
          <w:tcPr>
            <w:tcW w:w="0" w:type="auto"/>
            <w:gridSpan w:val="3"/>
            <w:shd w:val="clear" w:color="auto" w:fill="CCEEFF"/>
            <w:tcMar>
              <w:top w:w="40" w:type="dxa"/>
              <w:left w:w="20" w:type="dxa"/>
              <w:bottom w:w="40" w:type="dxa"/>
              <w:right w:w="20" w:type="dxa"/>
            </w:tcMar>
            <w:vAlign w:val="bottom"/>
          </w:tcPr>
          <w:p w14:paraId="5F2CC5B8" w14:textId="77777777" w:rsidR="00E836FB" w:rsidRDefault="00994958">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C5B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C5BA" w14:textId="77777777" w:rsidR="00E836FB" w:rsidRDefault="00994958">
            <w:pPr>
              <w:jc w:val="right"/>
              <w:textAlignment w:val="bottom"/>
            </w:pPr>
            <w:r>
              <w:rPr>
                <w:rFonts w:ascii="Arial" w:eastAsia="宋体" w:hAnsi="Arial" w:cs="Arial"/>
                <w:b/>
                <w:bCs/>
                <w:color w:val="000000"/>
                <w:sz w:val="14"/>
                <w:szCs w:val="14"/>
              </w:rPr>
              <w:t>30,727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5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B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C5B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C5BE" w14:textId="77777777" w:rsidR="00E836FB" w:rsidRDefault="00994958">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5BF" w14:textId="77777777" w:rsidR="00E836FB" w:rsidRDefault="00E836FB">
            <w:pPr>
              <w:jc w:val="right"/>
              <w:rPr>
                <w:rFonts w:ascii="宋体"/>
              </w:rPr>
            </w:pPr>
          </w:p>
        </w:tc>
      </w:tr>
      <w:tr w:rsidR="00E836FB" w14:paraId="5F2CC5C5" w14:textId="77777777">
        <w:tc>
          <w:tcPr>
            <w:tcW w:w="0" w:type="auto"/>
            <w:gridSpan w:val="3"/>
            <w:shd w:val="clear" w:color="auto" w:fill="FFFFFF"/>
            <w:tcMar>
              <w:top w:w="40" w:type="dxa"/>
              <w:left w:w="20" w:type="dxa"/>
              <w:bottom w:w="40" w:type="dxa"/>
              <w:right w:w="20" w:type="dxa"/>
            </w:tcMar>
            <w:vAlign w:val="bottom"/>
          </w:tcPr>
          <w:p w14:paraId="5F2CC5C1" w14:textId="77777777" w:rsidR="00E836FB" w:rsidRDefault="00994958">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C5C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5C3"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C5C4" w14:textId="77777777" w:rsidR="00E836FB" w:rsidRDefault="00E836FB">
            <w:pPr>
              <w:rPr>
                <w:rFonts w:ascii="宋体"/>
              </w:rPr>
            </w:pPr>
          </w:p>
        </w:tc>
      </w:tr>
      <w:tr w:rsidR="00E836FB" w14:paraId="5F2CC5CE" w14:textId="77777777">
        <w:tc>
          <w:tcPr>
            <w:tcW w:w="0" w:type="auto"/>
            <w:gridSpan w:val="3"/>
            <w:shd w:val="clear" w:color="auto" w:fill="CCEEFF"/>
            <w:tcMar>
              <w:top w:w="40" w:type="dxa"/>
              <w:left w:w="20" w:type="dxa"/>
              <w:bottom w:w="40" w:type="dxa"/>
              <w:right w:w="20" w:type="dxa"/>
            </w:tcMar>
            <w:vAlign w:val="bottom"/>
          </w:tcPr>
          <w:p w14:paraId="5F2CC5C6" w14:textId="77777777" w:rsidR="00E836FB" w:rsidRDefault="00994958">
            <w:pPr>
              <w:textAlignment w:val="bottom"/>
            </w:pPr>
            <w:r>
              <w:rPr>
                <w:rFonts w:ascii="Arial" w:eastAsia="宋体" w:hAnsi="Arial" w:cs="Arial"/>
                <w:color w:val="000000"/>
                <w:sz w:val="14"/>
                <w:szCs w:val="14"/>
              </w:rPr>
              <w:t>Singapore</w:t>
            </w:r>
          </w:p>
        </w:tc>
        <w:tc>
          <w:tcPr>
            <w:tcW w:w="0" w:type="auto"/>
            <w:shd w:val="clear" w:color="auto" w:fill="CCEEFF"/>
            <w:tcMar>
              <w:top w:w="40" w:type="dxa"/>
              <w:left w:w="20" w:type="dxa"/>
              <w:bottom w:w="40" w:type="dxa"/>
              <w:right w:w="0" w:type="dxa"/>
            </w:tcMar>
            <w:vAlign w:val="bottom"/>
          </w:tcPr>
          <w:p w14:paraId="5F2CC5C7"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5C8" w14:textId="77777777" w:rsidR="00E836FB" w:rsidRDefault="00994958">
            <w:pPr>
              <w:jc w:val="right"/>
              <w:textAlignment w:val="bottom"/>
            </w:pPr>
            <w:r>
              <w:rPr>
                <w:rFonts w:ascii="Arial" w:eastAsia="宋体" w:hAnsi="Arial" w:cs="Arial"/>
                <w:b/>
                <w:bCs/>
                <w:color w:val="000000"/>
                <w:sz w:val="14"/>
                <w:szCs w:val="14"/>
              </w:rPr>
              <w:t>222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C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5C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5CC" w14:textId="77777777" w:rsidR="00E836FB" w:rsidRDefault="00994958">
            <w:pPr>
              <w:jc w:val="right"/>
              <w:textAlignment w:val="bottom"/>
            </w:pPr>
            <w:r>
              <w:rPr>
                <w:rFonts w:ascii="Arial" w:eastAsia="宋体" w:hAnsi="Arial" w:cs="Arial"/>
                <w:color w:val="000000"/>
                <w:sz w:val="14"/>
                <w:szCs w:val="14"/>
              </w:rPr>
              <w:t>342 </w:t>
            </w:r>
          </w:p>
        </w:tc>
        <w:tc>
          <w:tcPr>
            <w:tcW w:w="0" w:type="auto"/>
            <w:shd w:val="clear" w:color="auto" w:fill="CCEEFF"/>
            <w:tcMar>
              <w:top w:w="40" w:type="dxa"/>
              <w:left w:w="0" w:type="dxa"/>
              <w:bottom w:w="40" w:type="dxa"/>
              <w:right w:w="20" w:type="dxa"/>
            </w:tcMar>
            <w:vAlign w:val="bottom"/>
          </w:tcPr>
          <w:p w14:paraId="5F2CC5CD" w14:textId="77777777" w:rsidR="00E836FB" w:rsidRDefault="00E836FB">
            <w:pPr>
              <w:jc w:val="right"/>
              <w:rPr>
                <w:rFonts w:ascii="宋体"/>
              </w:rPr>
            </w:pPr>
          </w:p>
        </w:tc>
      </w:tr>
      <w:tr w:rsidR="00E836FB" w14:paraId="5F2CC5D5" w14:textId="77777777">
        <w:tc>
          <w:tcPr>
            <w:tcW w:w="0" w:type="auto"/>
            <w:gridSpan w:val="3"/>
            <w:shd w:val="clear" w:color="auto" w:fill="FFFFFF"/>
            <w:tcMar>
              <w:top w:w="40" w:type="dxa"/>
              <w:left w:w="20" w:type="dxa"/>
              <w:bottom w:w="40" w:type="dxa"/>
              <w:right w:w="20" w:type="dxa"/>
            </w:tcMar>
            <w:vAlign w:val="bottom"/>
          </w:tcPr>
          <w:p w14:paraId="5F2CC5CF" w14:textId="77777777" w:rsidR="00E836FB" w:rsidRDefault="00994958">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5F2CC5D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D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D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D3" w14:textId="77777777" w:rsidR="00E836FB" w:rsidRDefault="00994958">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F2CC5D4" w14:textId="77777777" w:rsidR="00E836FB" w:rsidRDefault="00E836FB">
            <w:pPr>
              <w:jc w:val="right"/>
              <w:rPr>
                <w:rFonts w:ascii="宋体"/>
              </w:rPr>
            </w:pPr>
          </w:p>
        </w:tc>
      </w:tr>
      <w:tr w:rsidR="00E836FB" w14:paraId="5F2CC5DC" w14:textId="77777777">
        <w:tc>
          <w:tcPr>
            <w:tcW w:w="0" w:type="auto"/>
            <w:gridSpan w:val="3"/>
            <w:shd w:val="clear" w:color="auto" w:fill="CCEEFF"/>
            <w:tcMar>
              <w:top w:w="40" w:type="dxa"/>
              <w:left w:w="20" w:type="dxa"/>
              <w:bottom w:w="40" w:type="dxa"/>
              <w:right w:w="20" w:type="dxa"/>
            </w:tcMar>
            <w:vAlign w:val="bottom"/>
          </w:tcPr>
          <w:p w14:paraId="5F2CC5D6" w14:textId="77777777" w:rsidR="00E836FB" w:rsidRDefault="00994958">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5F2CC5D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5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5DA" w14:textId="77777777" w:rsidR="00E836FB" w:rsidRDefault="00994958">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5F2CC5DB" w14:textId="77777777" w:rsidR="00E836FB" w:rsidRDefault="00E836FB">
            <w:pPr>
              <w:jc w:val="right"/>
              <w:rPr>
                <w:rFonts w:ascii="宋体"/>
              </w:rPr>
            </w:pPr>
          </w:p>
        </w:tc>
      </w:tr>
      <w:tr w:rsidR="00E836FB" w14:paraId="5F2CC5E3" w14:textId="77777777">
        <w:tc>
          <w:tcPr>
            <w:tcW w:w="0" w:type="auto"/>
            <w:gridSpan w:val="3"/>
            <w:shd w:val="clear" w:color="auto" w:fill="FFFFFF"/>
            <w:tcMar>
              <w:top w:w="40" w:type="dxa"/>
              <w:left w:w="20" w:type="dxa"/>
              <w:bottom w:w="40" w:type="dxa"/>
              <w:right w:w="20" w:type="dxa"/>
            </w:tcMar>
            <w:vAlign w:val="bottom"/>
          </w:tcPr>
          <w:p w14:paraId="5F2CC5DD"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C5DE" w14:textId="77777777" w:rsidR="00E836FB" w:rsidRDefault="00994958">
            <w:pPr>
              <w:jc w:val="right"/>
              <w:textAlignment w:val="bottom"/>
            </w:pPr>
            <w:r>
              <w:rPr>
                <w:rFonts w:ascii="Arial" w:eastAsia="宋体" w:hAnsi="Arial" w:cs="Arial"/>
                <w:b/>
                <w:bCs/>
                <w:color w:val="000000"/>
                <w:sz w:val="14"/>
                <w:szCs w:val="14"/>
              </w:rPr>
              <w:t>1,342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5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5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5E1" w14:textId="77777777" w:rsidR="00E836FB" w:rsidRDefault="00994958">
            <w:pPr>
              <w:jc w:val="right"/>
              <w:textAlignment w:val="bottom"/>
            </w:pPr>
            <w:r>
              <w:rPr>
                <w:rFonts w:ascii="Arial" w:eastAsia="宋体" w:hAnsi="Arial" w:cs="Arial"/>
                <w:color w:val="000000"/>
                <w:sz w:val="14"/>
                <w:szCs w:val="14"/>
              </w:rPr>
              <w:t>129 </w:t>
            </w:r>
          </w:p>
        </w:tc>
        <w:tc>
          <w:tcPr>
            <w:tcW w:w="0" w:type="auto"/>
            <w:shd w:val="clear" w:color="auto" w:fill="FFFFFF"/>
            <w:tcMar>
              <w:top w:w="40" w:type="dxa"/>
              <w:left w:w="0" w:type="dxa"/>
              <w:bottom w:w="40" w:type="dxa"/>
              <w:right w:w="20" w:type="dxa"/>
            </w:tcMar>
            <w:vAlign w:val="bottom"/>
          </w:tcPr>
          <w:p w14:paraId="5F2CC5E2" w14:textId="77777777" w:rsidR="00E836FB" w:rsidRDefault="00E836FB">
            <w:pPr>
              <w:jc w:val="right"/>
              <w:rPr>
                <w:rFonts w:ascii="宋体"/>
              </w:rPr>
            </w:pPr>
          </w:p>
        </w:tc>
      </w:tr>
      <w:tr w:rsidR="00E836FB" w14:paraId="5F2CC5EC" w14:textId="77777777">
        <w:tc>
          <w:tcPr>
            <w:tcW w:w="0" w:type="auto"/>
            <w:gridSpan w:val="3"/>
            <w:shd w:val="clear" w:color="auto" w:fill="CCEEFF"/>
            <w:tcMar>
              <w:top w:w="40" w:type="dxa"/>
              <w:left w:w="20" w:type="dxa"/>
              <w:bottom w:w="40" w:type="dxa"/>
              <w:right w:w="20" w:type="dxa"/>
            </w:tcMar>
            <w:vAlign w:val="bottom"/>
          </w:tcPr>
          <w:p w14:paraId="5F2CC5E4" w14:textId="77777777" w:rsidR="00E836FB" w:rsidRDefault="00994958">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C5E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C5E6" w14:textId="77777777" w:rsidR="00E836FB" w:rsidRDefault="00994958">
            <w:pPr>
              <w:jc w:val="right"/>
              <w:textAlignment w:val="bottom"/>
            </w:pPr>
            <w:r>
              <w:rPr>
                <w:rFonts w:ascii="Arial" w:eastAsia="宋体" w:hAnsi="Arial" w:cs="Arial"/>
                <w:b/>
                <w:bCs/>
                <w:color w:val="000000"/>
                <w:sz w:val="14"/>
                <w:szCs w:val="14"/>
              </w:rPr>
              <w:t>1,564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5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5E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C5E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C5EA" w14:textId="77777777" w:rsidR="00E836FB" w:rsidRDefault="00994958">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5EB" w14:textId="77777777" w:rsidR="00E836FB" w:rsidRDefault="00E836FB">
            <w:pPr>
              <w:jc w:val="right"/>
              <w:rPr>
                <w:rFonts w:ascii="宋体"/>
              </w:rPr>
            </w:pPr>
          </w:p>
        </w:tc>
      </w:tr>
      <w:tr w:rsidR="00E836FB" w14:paraId="5F2CC5F1" w14:textId="77777777">
        <w:trPr>
          <w:trHeight w:val="18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5E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5E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5E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5F0" w14:textId="77777777" w:rsidR="00E836FB" w:rsidRDefault="00E836FB">
            <w:pPr>
              <w:rPr>
                <w:rFonts w:ascii="宋体"/>
              </w:rPr>
            </w:pPr>
          </w:p>
        </w:tc>
      </w:tr>
    </w:tbl>
    <w:p w14:paraId="5F2CC5F2" w14:textId="77777777" w:rsidR="00E836FB" w:rsidRDefault="00994958">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Geography is determined primarily based on the domicile of collateral or issuer.</w:t>
      </w:r>
    </w:p>
    <w:p w14:paraId="5F2CC5F3" w14:textId="77777777" w:rsidR="00E836FB" w:rsidRDefault="00994958">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As of </w:t>
      </w:r>
      <w:r>
        <w:rPr>
          <w:rFonts w:ascii="Arial" w:eastAsia="宋体" w:hAnsi="Arial" w:cs="Arial"/>
          <w:color w:val="000000"/>
          <w:sz w:val="13"/>
          <w:szCs w:val="13"/>
        </w:rPr>
        <w:t>December 31, 2021, other non-U.S. investments include $7.4 billion supranational bonds in AFS securities and $1.3 billion supranational bonds in HTM securities.</w:t>
      </w:r>
    </w:p>
    <w:p w14:paraId="5F2CC5F4" w14:textId="77777777" w:rsidR="00E836FB" w:rsidRDefault="00994958">
      <w:pPr>
        <w:spacing w:before="60"/>
        <w:ind w:firstLine="450"/>
        <w:jc w:val="both"/>
        <w:textAlignment w:val="top"/>
      </w:pPr>
      <w:r>
        <w:rPr>
          <w:rFonts w:ascii="Arial" w:eastAsia="宋体" w:hAnsi="Arial" w:cs="Arial"/>
          <w:color w:val="000000"/>
          <w:sz w:val="20"/>
          <w:szCs w:val="20"/>
        </w:rPr>
        <w:t>Approximately 81% and 80% of the aggregate carrying value of these non-U.S. debt securities was</w:t>
      </w:r>
      <w:r>
        <w:rPr>
          <w:rFonts w:ascii="Arial" w:eastAsia="宋体" w:hAnsi="Arial" w:cs="Arial"/>
          <w:color w:val="000000"/>
          <w:sz w:val="20"/>
          <w:szCs w:val="20"/>
        </w:rPr>
        <w:t xml:space="preserve"> rated “AAA” or “AA” as of December 31, 2021 and December 31, 2020, respectively. The majority of these securities comprised senior positions within the security structures; these positions have a level of protection provided through subordination and othe</w:t>
      </w:r>
      <w:r>
        <w:rPr>
          <w:rFonts w:ascii="Arial" w:eastAsia="宋体" w:hAnsi="Arial" w:cs="Arial"/>
          <w:color w:val="000000"/>
          <w:sz w:val="20"/>
          <w:szCs w:val="20"/>
        </w:rPr>
        <w:t>r forms of credit protection. As of December 31, 2021 and December 31, 2020, approximately 24% and 21%, respectively, of the aggregate carrying value of these non-U.S. debt securities was floating-rate.</w:t>
      </w:r>
    </w:p>
    <w:p w14:paraId="5F2CC5F5" w14:textId="77777777" w:rsidR="00E836FB" w:rsidRDefault="00994958">
      <w:pPr>
        <w:spacing w:before="60"/>
        <w:ind w:firstLine="450"/>
        <w:jc w:val="both"/>
        <w:textAlignment w:val="top"/>
      </w:pPr>
      <w:r>
        <w:rPr>
          <w:rFonts w:ascii="Arial" w:eastAsia="宋体" w:hAnsi="Arial" w:cs="Arial"/>
          <w:color w:val="000000"/>
          <w:sz w:val="20"/>
          <w:szCs w:val="20"/>
        </w:rPr>
        <w:t>As of December 31, 2021, our non-U.S. debt securities</w:t>
      </w:r>
      <w:r>
        <w:rPr>
          <w:rFonts w:ascii="Arial" w:eastAsia="宋体" w:hAnsi="Arial" w:cs="Arial"/>
          <w:color w:val="000000"/>
          <w:sz w:val="20"/>
          <w:szCs w:val="20"/>
        </w:rPr>
        <w:t xml:space="preserve"> had an average market-to-book ratio of 100.0%, and an aggregate pre-tax net unrealized loss of $1 million, composed of gross unrealized gains of $145 million and gross unrealized losses of $146 million. These unrealized amounts included:</w:t>
      </w:r>
    </w:p>
    <w:p w14:paraId="5F2CC5F6" w14:textId="77777777" w:rsidR="00E836FB" w:rsidRDefault="00994958">
      <w:pPr>
        <w:ind w:hanging="360"/>
        <w:jc w:val="both"/>
        <w:textAlignment w:val="top"/>
      </w:pPr>
      <w:r>
        <w:rPr>
          <w:rFonts w:ascii="Arial" w:eastAsia="宋体" w:hAnsi="Arial" w:cs="Arial"/>
          <w:color w:val="000000"/>
          <w:sz w:val="20"/>
          <w:szCs w:val="20"/>
        </w:rPr>
        <w:t>•a pre-tax net un</w:t>
      </w:r>
      <w:r>
        <w:rPr>
          <w:rFonts w:ascii="Arial" w:eastAsia="宋体" w:hAnsi="Arial" w:cs="Arial"/>
          <w:color w:val="000000"/>
          <w:sz w:val="20"/>
          <w:szCs w:val="20"/>
        </w:rPr>
        <w:t>realized gain of $8 million, composed of gross unrealized gains of $145 million and gross unrealized losses of $137 million, associated with non-U.S. AFS debt securities; and</w:t>
      </w:r>
    </w:p>
    <w:p w14:paraId="5F2CC5F7" w14:textId="77777777" w:rsidR="00E836FB" w:rsidRDefault="00994958">
      <w:pPr>
        <w:ind w:hanging="360"/>
        <w:jc w:val="both"/>
        <w:textAlignment w:val="top"/>
      </w:pPr>
      <w:r>
        <w:rPr>
          <w:rFonts w:ascii="Arial" w:eastAsia="宋体" w:hAnsi="Arial" w:cs="Arial"/>
          <w:color w:val="000000"/>
          <w:sz w:val="20"/>
          <w:szCs w:val="20"/>
        </w:rPr>
        <w:t>•a pre-tax net unrealized loss of $9 million associated with non-U.S. HTM debt se</w:t>
      </w:r>
      <w:r>
        <w:rPr>
          <w:rFonts w:ascii="Arial" w:eastAsia="宋体" w:hAnsi="Arial" w:cs="Arial"/>
          <w:color w:val="000000"/>
          <w:sz w:val="20"/>
          <w:szCs w:val="20"/>
        </w:rPr>
        <w:t>curities.</w:t>
      </w:r>
    </w:p>
    <w:p w14:paraId="5F2CC5F8" w14:textId="77777777" w:rsidR="00E836FB" w:rsidRDefault="00994958">
      <w:pPr>
        <w:spacing w:before="60"/>
        <w:ind w:firstLine="450"/>
        <w:jc w:val="both"/>
        <w:textAlignment w:val="top"/>
      </w:pPr>
      <w:r>
        <w:rPr>
          <w:rFonts w:ascii="Arial" w:eastAsia="宋体" w:hAnsi="Arial" w:cs="Arial"/>
          <w:color w:val="000000"/>
          <w:sz w:val="20"/>
          <w:szCs w:val="20"/>
        </w:rPr>
        <w:t xml:space="preserve">As of December 31, 2021, the underlying collateral for non-U.S. MBS and ABS primarily included Australian, U.K., Netherlands, Spanish and Italian mortgages. The securities listed under </w:t>
      </w:r>
    </w:p>
    <w:p w14:paraId="5F2CC5F9" w14:textId="77777777" w:rsidR="00E836FB" w:rsidRDefault="00994958">
      <w:pPr>
        <w:spacing w:before="60"/>
        <w:jc w:val="both"/>
        <w:textAlignment w:val="top"/>
      </w:pPr>
      <w:r>
        <w:rPr>
          <w:rFonts w:ascii="Arial" w:eastAsia="宋体" w:hAnsi="Arial" w:cs="Arial"/>
          <w:color w:val="000000"/>
          <w:sz w:val="20"/>
          <w:szCs w:val="20"/>
        </w:rPr>
        <w:t>“Canada” were composed of Canadian government securities and</w:t>
      </w:r>
      <w:r>
        <w:rPr>
          <w:rFonts w:ascii="Arial" w:eastAsia="宋体" w:hAnsi="Arial" w:cs="Arial"/>
          <w:color w:val="000000"/>
          <w:sz w:val="20"/>
          <w:szCs w:val="20"/>
        </w:rPr>
        <w:t xml:space="preserve"> provincial bonds, corporate debt and non-U.S. agency securities. The securities listed under “France” were composed of sovereign bonds, corporate debt, covered bonds, ABS and Non-U.S. agency securities. The securities listed under “Japan” were substantial</w:t>
      </w:r>
      <w:r>
        <w:rPr>
          <w:rFonts w:ascii="Arial" w:eastAsia="宋体" w:hAnsi="Arial" w:cs="Arial"/>
          <w:color w:val="000000"/>
          <w:sz w:val="20"/>
          <w:szCs w:val="20"/>
        </w:rPr>
        <w:t>ly composed of Japanese government securities.</w:t>
      </w:r>
    </w:p>
    <w:p w14:paraId="5F2CC5FA" w14:textId="77777777" w:rsidR="00E836FB" w:rsidRDefault="00994958">
      <w:pPr>
        <w:spacing w:before="60"/>
        <w:jc w:val="both"/>
        <w:textAlignment w:val="top"/>
      </w:pPr>
      <w:r>
        <w:rPr>
          <w:rFonts w:ascii="Arial" w:eastAsia="宋体" w:hAnsi="Arial" w:cs="Arial"/>
          <w:b/>
          <w:bCs/>
          <w:i/>
          <w:iCs/>
          <w:color w:val="000000"/>
          <w:sz w:val="20"/>
          <w:szCs w:val="20"/>
        </w:rPr>
        <w:t>Municipal Obligations</w:t>
      </w:r>
    </w:p>
    <w:p w14:paraId="5F2CC5FB" w14:textId="77777777" w:rsidR="00E836FB" w:rsidRDefault="00994958">
      <w:pPr>
        <w:ind w:firstLine="450"/>
        <w:jc w:val="both"/>
        <w:textAlignment w:val="top"/>
      </w:pPr>
      <w:r>
        <w:rPr>
          <w:rFonts w:ascii="Arial" w:eastAsia="宋体" w:hAnsi="Arial" w:cs="Arial"/>
          <w:color w:val="000000"/>
          <w:sz w:val="20"/>
          <w:szCs w:val="20"/>
        </w:rPr>
        <w:t xml:space="preserve">We carried approximately $1.3 billion of municipal securities classified as state and political subdivisions in our investment securities portfolio as of December 31, 2021, as shown in </w:t>
      </w:r>
      <w:r>
        <w:rPr>
          <w:rFonts w:ascii="Arial" w:eastAsia="宋体" w:hAnsi="Arial" w:cs="Arial"/>
          <w:color w:val="000000"/>
          <w:sz w:val="20"/>
          <w:szCs w:val="20"/>
        </w:rPr>
        <w:t>Table 20: Carrying Values of Investment Securities, all of which were classified as AFS. As of December 31, 2021, we also provided approximately $9.0 billion of credit and liquidity facilities to municipal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7"/>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7"/>
        <w:gridCol w:w="136"/>
      </w:tblGrid>
      <w:tr w:rsidR="00E836FB" w14:paraId="5F2CC614" w14:textId="77777777">
        <w:tc>
          <w:tcPr>
            <w:tcW w:w="50" w:type="pct"/>
            <w:shd w:val="clear" w:color="auto" w:fill="auto"/>
            <w:vAlign w:val="bottom"/>
          </w:tcPr>
          <w:p w14:paraId="5F2CC5FC" w14:textId="77777777" w:rsidR="00E836FB" w:rsidRDefault="00E836FB">
            <w:pPr>
              <w:rPr>
                <w:rFonts w:ascii="宋体"/>
              </w:rPr>
            </w:pPr>
          </w:p>
        </w:tc>
        <w:tc>
          <w:tcPr>
            <w:tcW w:w="1375" w:type="pct"/>
            <w:shd w:val="clear" w:color="auto" w:fill="auto"/>
            <w:vAlign w:val="bottom"/>
          </w:tcPr>
          <w:p w14:paraId="5F2CC5FD" w14:textId="77777777" w:rsidR="00E836FB" w:rsidRDefault="00E836FB">
            <w:pPr>
              <w:rPr>
                <w:rFonts w:ascii="宋体"/>
              </w:rPr>
            </w:pPr>
          </w:p>
        </w:tc>
        <w:tc>
          <w:tcPr>
            <w:tcW w:w="5" w:type="pct"/>
            <w:shd w:val="clear" w:color="auto" w:fill="auto"/>
            <w:vAlign w:val="bottom"/>
          </w:tcPr>
          <w:p w14:paraId="5F2CC5FE" w14:textId="77777777" w:rsidR="00E836FB" w:rsidRDefault="00E836FB">
            <w:pPr>
              <w:rPr>
                <w:rFonts w:ascii="宋体"/>
              </w:rPr>
            </w:pPr>
          </w:p>
        </w:tc>
        <w:tc>
          <w:tcPr>
            <w:tcW w:w="50" w:type="pct"/>
            <w:shd w:val="clear" w:color="auto" w:fill="auto"/>
            <w:vAlign w:val="bottom"/>
          </w:tcPr>
          <w:p w14:paraId="5F2CC5FF" w14:textId="77777777" w:rsidR="00E836FB" w:rsidRDefault="00E836FB">
            <w:pPr>
              <w:rPr>
                <w:rFonts w:ascii="宋体"/>
              </w:rPr>
            </w:pPr>
          </w:p>
        </w:tc>
        <w:tc>
          <w:tcPr>
            <w:tcW w:w="841" w:type="pct"/>
            <w:shd w:val="clear" w:color="auto" w:fill="auto"/>
            <w:vAlign w:val="bottom"/>
          </w:tcPr>
          <w:p w14:paraId="5F2CC600" w14:textId="77777777" w:rsidR="00E836FB" w:rsidRDefault="00E836FB">
            <w:pPr>
              <w:rPr>
                <w:rFonts w:ascii="宋体"/>
              </w:rPr>
            </w:pPr>
          </w:p>
        </w:tc>
        <w:tc>
          <w:tcPr>
            <w:tcW w:w="5" w:type="pct"/>
            <w:shd w:val="clear" w:color="auto" w:fill="auto"/>
            <w:vAlign w:val="bottom"/>
          </w:tcPr>
          <w:p w14:paraId="5F2CC601" w14:textId="77777777" w:rsidR="00E836FB" w:rsidRDefault="00E836FB">
            <w:pPr>
              <w:rPr>
                <w:rFonts w:ascii="宋体"/>
              </w:rPr>
            </w:pPr>
          </w:p>
        </w:tc>
        <w:tc>
          <w:tcPr>
            <w:tcW w:w="5" w:type="pct"/>
            <w:shd w:val="clear" w:color="auto" w:fill="auto"/>
            <w:vAlign w:val="bottom"/>
          </w:tcPr>
          <w:p w14:paraId="5F2CC602" w14:textId="77777777" w:rsidR="00E836FB" w:rsidRDefault="00E836FB">
            <w:pPr>
              <w:rPr>
                <w:rFonts w:ascii="宋体"/>
              </w:rPr>
            </w:pPr>
          </w:p>
        </w:tc>
        <w:tc>
          <w:tcPr>
            <w:tcW w:w="52" w:type="pct"/>
            <w:shd w:val="clear" w:color="auto" w:fill="auto"/>
            <w:vAlign w:val="bottom"/>
          </w:tcPr>
          <w:p w14:paraId="5F2CC603" w14:textId="77777777" w:rsidR="00E836FB" w:rsidRDefault="00E836FB">
            <w:pPr>
              <w:rPr>
                <w:rFonts w:ascii="宋体"/>
              </w:rPr>
            </w:pPr>
          </w:p>
        </w:tc>
        <w:tc>
          <w:tcPr>
            <w:tcW w:w="5" w:type="pct"/>
            <w:shd w:val="clear" w:color="auto" w:fill="auto"/>
            <w:vAlign w:val="bottom"/>
          </w:tcPr>
          <w:p w14:paraId="5F2CC604" w14:textId="77777777" w:rsidR="00E836FB" w:rsidRDefault="00E836FB">
            <w:pPr>
              <w:rPr>
                <w:rFonts w:ascii="宋体"/>
              </w:rPr>
            </w:pPr>
          </w:p>
        </w:tc>
        <w:tc>
          <w:tcPr>
            <w:tcW w:w="50" w:type="pct"/>
            <w:shd w:val="clear" w:color="auto" w:fill="auto"/>
            <w:vAlign w:val="bottom"/>
          </w:tcPr>
          <w:p w14:paraId="5F2CC605" w14:textId="77777777" w:rsidR="00E836FB" w:rsidRDefault="00E836FB">
            <w:pPr>
              <w:rPr>
                <w:rFonts w:ascii="宋体"/>
              </w:rPr>
            </w:pPr>
          </w:p>
        </w:tc>
        <w:tc>
          <w:tcPr>
            <w:tcW w:w="841" w:type="pct"/>
            <w:shd w:val="clear" w:color="auto" w:fill="auto"/>
            <w:vAlign w:val="bottom"/>
          </w:tcPr>
          <w:p w14:paraId="5F2CC606" w14:textId="77777777" w:rsidR="00E836FB" w:rsidRDefault="00E836FB">
            <w:pPr>
              <w:rPr>
                <w:rFonts w:ascii="宋体"/>
              </w:rPr>
            </w:pPr>
          </w:p>
        </w:tc>
        <w:tc>
          <w:tcPr>
            <w:tcW w:w="5" w:type="pct"/>
            <w:shd w:val="clear" w:color="auto" w:fill="auto"/>
            <w:vAlign w:val="bottom"/>
          </w:tcPr>
          <w:p w14:paraId="5F2CC607" w14:textId="77777777" w:rsidR="00E836FB" w:rsidRDefault="00E836FB">
            <w:pPr>
              <w:rPr>
                <w:rFonts w:ascii="宋体"/>
              </w:rPr>
            </w:pPr>
          </w:p>
        </w:tc>
        <w:tc>
          <w:tcPr>
            <w:tcW w:w="5" w:type="pct"/>
            <w:shd w:val="clear" w:color="auto" w:fill="auto"/>
            <w:vAlign w:val="bottom"/>
          </w:tcPr>
          <w:p w14:paraId="5F2CC608" w14:textId="77777777" w:rsidR="00E836FB" w:rsidRDefault="00E836FB">
            <w:pPr>
              <w:rPr>
                <w:rFonts w:ascii="宋体"/>
              </w:rPr>
            </w:pPr>
          </w:p>
        </w:tc>
        <w:tc>
          <w:tcPr>
            <w:tcW w:w="52" w:type="pct"/>
            <w:shd w:val="clear" w:color="auto" w:fill="auto"/>
            <w:vAlign w:val="bottom"/>
          </w:tcPr>
          <w:p w14:paraId="5F2CC609" w14:textId="77777777" w:rsidR="00E836FB" w:rsidRDefault="00E836FB">
            <w:pPr>
              <w:rPr>
                <w:rFonts w:ascii="宋体"/>
              </w:rPr>
            </w:pPr>
          </w:p>
        </w:tc>
        <w:tc>
          <w:tcPr>
            <w:tcW w:w="5" w:type="pct"/>
            <w:shd w:val="clear" w:color="auto" w:fill="auto"/>
            <w:vAlign w:val="bottom"/>
          </w:tcPr>
          <w:p w14:paraId="5F2CC60A" w14:textId="77777777" w:rsidR="00E836FB" w:rsidRDefault="00E836FB">
            <w:pPr>
              <w:rPr>
                <w:rFonts w:ascii="宋体"/>
              </w:rPr>
            </w:pPr>
          </w:p>
        </w:tc>
        <w:tc>
          <w:tcPr>
            <w:tcW w:w="50" w:type="pct"/>
            <w:shd w:val="clear" w:color="auto" w:fill="auto"/>
            <w:vAlign w:val="bottom"/>
          </w:tcPr>
          <w:p w14:paraId="5F2CC60B" w14:textId="77777777" w:rsidR="00E836FB" w:rsidRDefault="00E836FB">
            <w:pPr>
              <w:rPr>
                <w:rFonts w:ascii="宋体"/>
              </w:rPr>
            </w:pPr>
          </w:p>
        </w:tc>
        <w:tc>
          <w:tcPr>
            <w:tcW w:w="636" w:type="pct"/>
            <w:shd w:val="clear" w:color="auto" w:fill="auto"/>
            <w:vAlign w:val="bottom"/>
          </w:tcPr>
          <w:p w14:paraId="5F2CC60C" w14:textId="77777777" w:rsidR="00E836FB" w:rsidRDefault="00E836FB">
            <w:pPr>
              <w:rPr>
                <w:rFonts w:ascii="宋体"/>
              </w:rPr>
            </w:pPr>
          </w:p>
        </w:tc>
        <w:tc>
          <w:tcPr>
            <w:tcW w:w="5" w:type="pct"/>
            <w:shd w:val="clear" w:color="auto" w:fill="auto"/>
            <w:vAlign w:val="bottom"/>
          </w:tcPr>
          <w:p w14:paraId="5F2CC60D" w14:textId="77777777" w:rsidR="00E836FB" w:rsidRDefault="00E836FB">
            <w:pPr>
              <w:rPr>
                <w:rFonts w:ascii="宋体"/>
              </w:rPr>
            </w:pPr>
          </w:p>
        </w:tc>
        <w:tc>
          <w:tcPr>
            <w:tcW w:w="5" w:type="pct"/>
            <w:shd w:val="clear" w:color="auto" w:fill="auto"/>
            <w:vAlign w:val="bottom"/>
          </w:tcPr>
          <w:p w14:paraId="5F2CC60E" w14:textId="77777777" w:rsidR="00E836FB" w:rsidRDefault="00E836FB">
            <w:pPr>
              <w:rPr>
                <w:rFonts w:ascii="宋体"/>
              </w:rPr>
            </w:pPr>
          </w:p>
        </w:tc>
        <w:tc>
          <w:tcPr>
            <w:tcW w:w="52" w:type="pct"/>
            <w:shd w:val="clear" w:color="auto" w:fill="auto"/>
            <w:vAlign w:val="bottom"/>
          </w:tcPr>
          <w:p w14:paraId="5F2CC60F" w14:textId="77777777" w:rsidR="00E836FB" w:rsidRDefault="00E836FB">
            <w:pPr>
              <w:rPr>
                <w:rFonts w:ascii="宋体"/>
              </w:rPr>
            </w:pPr>
          </w:p>
        </w:tc>
        <w:tc>
          <w:tcPr>
            <w:tcW w:w="5" w:type="pct"/>
            <w:shd w:val="clear" w:color="auto" w:fill="auto"/>
            <w:vAlign w:val="bottom"/>
          </w:tcPr>
          <w:p w14:paraId="5F2CC610" w14:textId="77777777" w:rsidR="00E836FB" w:rsidRDefault="00E836FB">
            <w:pPr>
              <w:rPr>
                <w:rFonts w:ascii="宋体"/>
              </w:rPr>
            </w:pPr>
          </w:p>
        </w:tc>
        <w:tc>
          <w:tcPr>
            <w:tcW w:w="50" w:type="pct"/>
            <w:shd w:val="clear" w:color="auto" w:fill="auto"/>
            <w:vAlign w:val="bottom"/>
          </w:tcPr>
          <w:p w14:paraId="5F2CC611" w14:textId="77777777" w:rsidR="00E836FB" w:rsidRDefault="00E836FB">
            <w:pPr>
              <w:rPr>
                <w:rFonts w:ascii="宋体"/>
              </w:rPr>
            </w:pPr>
          </w:p>
        </w:tc>
        <w:tc>
          <w:tcPr>
            <w:tcW w:w="841" w:type="pct"/>
            <w:shd w:val="clear" w:color="auto" w:fill="auto"/>
            <w:vAlign w:val="bottom"/>
          </w:tcPr>
          <w:p w14:paraId="5F2CC612" w14:textId="77777777" w:rsidR="00E836FB" w:rsidRDefault="00E836FB">
            <w:pPr>
              <w:rPr>
                <w:rFonts w:ascii="宋体"/>
              </w:rPr>
            </w:pPr>
          </w:p>
        </w:tc>
        <w:tc>
          <w:tcPr>
            <w:tcW w:w="5" w:type="pct"/>
            <w:shd w:val="clear" w:color="auto" w:fill="auto"/>
            <w:vAlign w:val="bottom"/>
          </w:tcPr>
          <w:p w14:paraId="5F2CC613" w14:textId="77777777" w:rsidR="00E836FB" w:rsidRDefault="00E836FB">
            <w:pPr>
              <w:rPr>
                <w:rFonts w:ascii="宋体"/>
              </w:rPr>
            </w:pPr>
          </w:p>
        </w:tc>
      </w:tr>
      <w:tr w:rsidR="00E836FB" w14:paraId="5F2CC616" w14:textId="77777777">
        <w:tc>
          <w:tcPr>
            <w:tcW w:w="0" w:type="auto"/>
            <w:gridSpan w:val="24"/>
            <w:shd w:val="clear" w:color="auto" w:fill="auto"/>
            <w:tcMar>
              <w:top w:w="40" w:type="dxa"/>
              <w:left w:w="20" w:type="dxa"/>
              <w:bottom w:w="40" w:type="dxa"/>
              <w:right w:w="20" w:type="dxa"/>
            </w:tcMar>
            <w:vAlign w:val="bottom"/>
          </w:tcPr>
          <w:p w14:paraId="5F2CC615" w14:textId="77777777" w:rsidR="00E836FB" w:rsidRDefault="00994958">
            <w:pPr>
              <w:textAlignment w:val="bottom"/>
            </w:pPr>
            <w:r>
              <w:rPr>
                <w:rFonts w:ascii="Arial" w:eastAsia="宋体" w:hAnsi="Arial" w:cs="Arial"/>
                <w:b/>
                <w:bCs/>
                <w:color w:val="000000"/>
                <w:sz w:val="16"/>
                <w:szCs w:val="16"/>
              </w:rPr>
              <w:t>TABLE 24: STATE AND MUNICIPAL OBLIGORS</w:t>
            </w:r>
            <w:r>
              <w:rPr>
                <w:rFonts w:ascii="Arial" w:eastAsia="宋体" w:hAnsi="Arial" w:cs="Arial"/>
                <w:b/>
                <w:bCs/>
                <w:color w:val="000000"/>
                <w:sz w:val="10"/>
                <w:szCs w:val="10"/>
              </w:rPr>
              <w:t>(1)</w:t>
            </w:r>
          </w:p>
        </w:tc>
      </w:tr>
      <w:tr w:rsidR="00E836FB" w14:paraId="5F2CC622" w14:textId="77777777">
        <w:tc>
          <w:tcPr>
            <w:tcW w:w="0" w:type="auto"/>
            <w:gridSpan w:val="3"/>
            <w:shd w:val="clear" w:color="auto" w:fill="auto"/>
            <w:tcMar>
              <w:top w:w="40" w:type="dxa"/>
              <w:left w:w="20" w:type="dxa"/>
              <w:bottom w:w="40" w:type="dxa"/>
              <w:right w:w="20" w:type="dxa"/>
            </w:tcMar>
            <w:vAlign w:val="bottom"/>
          </w:tcPr>
          <w:p w14:paraId="5F2CC617" w14:textId="77777777" w:rsidR="00E836FB" w:rsidRDefault="00994958">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CC618" w14:textId="77777777" w:rsidR="00E836FB" w:rsidRDefault="00994958">
            <w:pPr>
              <w:jc w:val="center"/>
              <w:textAlignment w:val="bottom"/>
            </w:pPr>
            <w:r>
              <w:rPr>
                <w:rFonts w:ascii="Arial" w:eastAsia="宋体" w:hAnsi="Arial" w:cs="Arial"/>
                <w:b/>
                <w:bCs/>
                <w:color w:val="000000"/>
                <w:sz w:val="13"/>
                <w:szCs w:val="13"/>
              </w:rPr>
              <w:t>Total Municipal</w:t>
            </w:r>
          </w:p>
          <w:p w14:paraId="5F2CC619" w14:textId="77777777" w:rsidR="00E836FB" w:rsidRDefault="00994958">
            <w:pPr>
              <w:jc w:val="center"/>
              <w:textAlignment w:val="bottom"/>
            </w:pPr>
            <w:r>
              <w:rPr>
                <w:rFonts w:ascii="Arial" w:eastAsia="宋体" w:hAnsi="Arial" w:cs="Arial"/>
                <w:b/>
                <w:bCs/>
                <w:color w:val="000000"/>
                <w:sz w:val="13"/>
                <w:szCs w:val="13"/>
              </w:rPr>
              <w:t>Securities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vAlign w:val="bottom"/>
          </w:tcPr>
          <w:p w14:paraId="5F2CC61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61B" w14:textId="77777777" w:rsidR="00E836FB" w:rsidRDefault="00994958">
            <w:pPr>
              <w:jc w:val="center"/>
              <w:textAlignment w:val="bottom"/>
            </w:pPr>
            <w:r>
              <w:rPr>
                <w:rFonts w:ascii="Arial" w:eastAsia="宋体" w:hAnsi="Arial" w:cs="Arial"/>
                <w:b/>
                <w:bCs/>
                <w:color w:val="000000"/>
                <w:sz w:val="13"/>
                <w:szCs w:val="13"/>
              </w:rPr>
              <w:t xml:space="preserve">Credit and </w:t>
            </w:r>
          </w:p>
          <w:p w14:paraId="5F2CC61C" w14:textId="77777777" w:rsidR="00E836FB" w:rsidRDefault="00994958">
            <w:pPr>
              <w:jc w:val="center"/>
              <w:textAlignment w:val="bottom"/>
            </w:pPr>
            <w:r>
              <w:rPr>
                <w:rFonts w:ascii="Arial" w:eastAsia="宋体" w:hAnsi="Arial" w:cs="Arial"/>
                <w:b/>
                <w:bCs/>
                <w:color w:val="000000"/>
                <w:sz w:val="13"/>
                <w:szCs w:val="13"/>
              </w:rPr>
              <w:t>Liquidity </w:t>
            </w:r>
          </w:p>
          <w:p w14:paraId="5F2CC61D" w14:textId="77777777" w:rsidR="00E836FB" w:rsidRDefault="00994958">
            <w:pP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vAlign w:val="bottom"/>
          </w:tcPr>
          <w:p w14:paraId="5F2CC61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61F" w14:textId="77777777" w:rsidR="00E836FB" w:rsidRDefault="00994958">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5F2CC62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621" w14:textId="77777777" w:rsidR="00E836FB" w:rsidRDefault="00994958">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E836FB" w14:paraId="5F2CC62A" w14:textId="77777777">
        <w:tc>
          <w:tcPr>
            <w:tcW w:w="0" w:type="auto"/>
            <w:gridSpan w:val="6"/>
            <w:shd w:val="clear" w:color="auto" w:fill="auto"/>
            <w:tcMar>
              <w:top w:w="40" w:type="dxa"/>
              <w:left w:w="20" w:type="dxa"/>
              <w:bottom w:w="40" w:type="dxa"/>
              <w:right w:w="20" w:type="dxa"/>
            </w:tcMar>
            <w:vAlign w:val="bottom"/>
          </w:tcPr>
          <w:p w14:paraId="5F2CC623" w14:textId="77777777" w:rsidR="00E836FB" w:rsidRDefault="00994958">
            <w:pPr>
              <w:textAlignment w:val="bottom"/>
            </w:pPr>
            <w:r>
              <w:rPr>
                <w:rFonts w:ascii="Arial" w:eastAsia="宋体" w:hAnsi="Arial" w:cs="Arial"/>
                <w:b/>
                <w:bCs/>
                <w:color w:val="000000"/>
                <w:sz w:val="13"/>
                <w:szCs w:val="13"/>
              </w:rPr>
              <w:t>December 31, 2021</w:t>
            </w:r>
          </w:p>
        </w:tc>
        <w:tc>
          <w:tcPr>
            <w:tcW w:w="0" w:type="auto"/>
            <w:gridSpan w:val="3"/>
            <w:shd w:val="clear" w:color="auto" w:fill="auto"/>
            <w:tcMar>
              <w:top w:w="0" w:type="dxa"/>
              <w:left w:w="20" w:type="dxa"/>
              <w:bottom w:w="0" w:type="dxa"/>
              <w:right w:w="20" w:type="dxa"/>
            </w:tcMar>
            <w:vAlign w:val="bottom"/>
          </w:tcPr>
          <w:p w14:paraId="5F2CC62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6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2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62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2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629" w14:textId="77777777" w:rsidR="00E836FB" w:rsidRDefault="00E836FB">
            <w:pPr>
              <w:rPr>
                <w:rFonts w:ascii="宋体"/>
              </w:rPr>
            </w:pPr>
          </w:p>
        </w:tc>
      </w:tr>
      <w:tr w:rsidR="00E836FB" w14:paraId="5F2CC632" w14:textId="77777777">
        <w:tc>
          <w:tcPr>
            <w:tcW w:w="0" w:type="auto"/>
            <w:gridSpan w:val="6"/>
            <w:shd w:val="clear" w:color="auto" w:fill="auto"/>
            <w:tcMar>
              <w:top w:w="40" w:type="dxa"/>
              <w:left w:w="20" w:type="dxa"/>
              <w:bottom w:w="40" w:type="dxa"/>
              <w:right w:w="20" w:type="dxa"/>
            </w:tcMar>
            <w:vAlign w:val="bottom"/>
          </w:tcPr>
          <w:p w14:paraId="5F2CC62B" w14:textId="77777777" w:rsidR="00E836FB" w:rsidRDefault="00994958">
            <w:pPr>
              <w:textAlignment w:val="bottom"/>
            </w:pPr>
            <w:r>
              <w:rPr>
                <w:rFonts w:ascii="Arial" w:eastAsia="宋体" w:hAnsi="Arial" w:cs="Arial"/>
                <w:b/>
                <w:bCs/>
                <w:color w:val="000000"/>
                <w:sz w:val="13"/>
                <w:szCs w:val="13"/>
              </w:rPr>
              <w:t>State of Issuer:</w:t>
            </w:r>
          </w:p>
        </w:tc>
        <w:tc>
          <w:tcPr>
            <w:tcW w:w="0" w:type="auto"/>
            <w:gridSpan w:val="3"/>
            <w:shd w:val="clear" w:color="auto" w:fill="auto"/>
            <w:tcMar>
              <w:top w:w="0" w:type="dxa"/>
              <w:left w:w="20" w:type="dxa"/>
              <w:bottom w:w="0" w:type="dxa"/>
              <w:right w:w="20" w:type="dxa"/>
            </w:tcMar>
            <w:vAlign w:val="bottom"/>
          </w:tcPr>
          <w:p w14:paraId="5F2CC6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2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2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3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31" w14:textId="77777777" w:rsidR="00E836FB" w:rsidRDefault="00E836FB">
            <w:pPr>
              <w:rPr>
                <w:rFonts w:ascii="宋体"/>
              </w:rPr>
            </w:pPr>
          </w:p>
        </w:tc>
      </w:tr>
      <w:tr w:rsidR="00E836FB" w14:paraId="5F2CC642" w14:textId="77777777">
        <w:tc>
          <w:tcPr>
            <w:tcW w:w="0" w:type="auto"/>
            <w:gridSpan w:val="3"/>
            <w:shd w:val="clear" w:color="auto" w:fill="CCEEFF"/>
            <w:tcMar>
              <w:top w:w="40" w:type="dxa"/>
              <w:left w:w="20" w:type="dxa"/>
              <w:bottom w:w="40" w:type="dxa"/>
              <w:right w:w="20" w:type="dxa"/>
            </w:tcMar>
            <w:vAlign w:val="bottom"/>
          </w:tcPr>
          <w:p w14:paraId="5F2CC633" w14:textId="77777777" w:rsidR="00E836FB" w:rsidRDefault="00994958">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5F2CC634"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CC635" w14:textId="77777777" w:rsidR="00E836FB" w:rsidRDefault="00994958">
            <w:pPr>
              <w:jc w:val="right"/>
              <w:textAlignment w:val="bottom"/>
            </w:pPr>
            <w:r>
              <w:rPr>
                <w:rFonts w:ascii="Arial" w:eastAsia="宋体" w:hAnsi="Arial" w:cs="Arial"/>
                <w:b/>
                <w:bCs/>
                <w:color w:val="000000"/>
                <w:sz w:val="13"/>
                <w:szCs w:val="13"/>
              </w:rPr>
              <w:t>221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3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638"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CC639" w14:textId="77777777" w:rsidR="00E836FB" w:rsidRDefault="00994958">
            <w:pPr>
              <w:jc w:val="right"/>
              <w:textAlignment w:val="bottom"/>
            </w:pPr>
            <w:r>
              <w:rPr>
                <w:rFonts w:ascii="Arial" w:eastAsia="宋体" w:hAnsi="Arial" w:cs="Arial"/>
                <w:b/>
                <w:bCs/>
                <w:color w:val="000000"/>
                <w:sz w:val="13"/>
                <w:szCs w:val="13"/>
              </w:rPr>
              <w:t>2,357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3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63C"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CC63D" w14:textId="77777777" w:rsidR="00E836FB" w:rsidRDefault="00994958">
            <w:pPr>
              <w:jc w:val="right"/>
              <w:textAlignment w:val="bottom"/>
            </w:pPr>
            <w:r>
              <w:rPr>
                <w:rFonts w:ascii="Arial" w:eastAsia="宋体" w:hAnsi="Arial" w:cs="Arial"/>
                <w:b/>
                <w:bCs/>
                <w:color w:val="000000"/>
                <w:sz w:val="13"/>
                <w:szCs w:val="13"/>
              </w:rPr>
              <w:t>2,578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3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40" w14:textId="77777777" w:rsidR="00E836FB" w:rsidRDefault="00994958">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41" w14:textId="77777777" w:rsidR="00E836FB" w:rsidRDefault="00994958">
            <w:pPr>
              <w:jc w:val="right"/>
              <w:textAlignment w:val="bottom"/>
            </w:pPr>
            <w:r>
              <w:rPr>
                <w:rFonts w:ascii="Arial" w:eastAsia="宋体" w:hAnsi="Arial" w:cs="Arial"/>
                <w:b/>
                <w:bCs/>
                <w:color w:val="000000"/>
                <w:sz w:val="13"/>
                <w:szCs w:val="13"/>
              </w:rPr>
              <w:t>%</w:t>
            </w:r>
          </w:p>
        </w:tc>
      </w:tr>
      <w:tr w:rsidR="00E836FB" w14:paraId="5F2CC64F" w14:textId="77777777">
        <w:tc>
          <w:tcPr>
            <w:tcW w:w="0" w:type="auto"/>
            <w:gridSpan w:val="3"/>
            <w:shd w:val="clear" w:color="auto" w:fill="FFFFFF"/>
            <w:tcMar>
              <w:top w:w="40" w:type="dxa"/>
              <w:left w:w="20" w:type="dxa"/>
              <w:bottom w:w="40" w:type="dxa"/>
              <w:right w:w="20" w:type="dxa"/>
            </w:tcMar>
            <w:vAlign w:val="bottom"/>
          </w:tcPr>
          <w:p w14:paraId="5F2CC643" w14:textId="77777777" w:rsidR="00E836FB" w:rsidRDefault="00994958">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5F2CC644" w14:textId="77777777" w:rsidR="00E836FB" w:rsidRDefault="00994958">
            <w:pPr>
              <w:jc w:val="right"/>
              <w:textAlignment w:val="bottom"/>
            </w:pPr>
            <w:r>
              <w:rPr>
                <w:rFonts w:ascii="Arial" w:eastAsia="宋体" w:hAnsi="Arial" w:cs="Arial"/>
                <w:b/>
                <w:bCs/>
                <w:color w:val="000000"/>
                <w:sz w:val="13"/>
                <w:szCs w:val="13"/>
              </w:rPr>
              <w:t>108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4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47" w14:textId="77777777" w:rsidR="00E836FB" w:rsidRDefault="00994958">
            <w:pPr>
              <w:jc w:val="right"/>
              <w:textAlignment w:val="bottom"/>
            </w:pPr>
            <w:r>
              <w:rPr>
                <w:rFonts w:ascii="Arial" w:eastAsia="宋体" w:hAnsi="Arial" w:cs="Arial"/>
                <w:b/>
                <w:bCs/>
                <w:color w:val="000000"/>
                <w:sz w:val="13"/>
                <w:szCs w:val="13"/>
              </w:rPr>
              <w:t>2,005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4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4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4A" w14:textId="77777777" w:rsidR="00E836FB" w:rsidRDefault="00994958">
            <w:pPr>
              <w:jc w:val="right"/>
              <w:textAlignment w:val="bottom"/>
            </w:pPr>
            <w:r>
              <w:rPr>
                <w:rFonts w:ascii="Arial" w:eastAsia="宋体" w:hAnsi="Arial" w:cs="Arial"/>
                <w:b/>
                <w:bCs/>
                <w:color w:val="000000"/>
                <w:sz w:val="13"/>
                <w:szCs w:val="13"/>
              </w:rPr>
              <w:t>2,113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4D" w14:textId="77777777" w:rsidR="00E836FB" w:rsidRDefault="00994958">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4E" w14:textId="77777777" w:rsidR="00E836FB" w:rsidRDefault="00E836FB">
            <w:pPr>
              <w:jc w:val="right"/>
              <w:rPr>
                <w:rFonts w:ascii="宋体"/>
              </w:rPr>
            </w:pPr>
          </w:p>
        </w:tc>
      </w:tr>
      <w:tr w:rsidR="00E836FB" w14:paraId="5F2CC65C" w14:textId="77777777">
        <w:tc>
          <w:tcPr>
            <w:tcW w:w="0" w:type="auto"/>
            <w:gridSpan w:val="3"/>
            <w:shd w:val="clear" w:color="auto" w:fill="CCEEFF"/>
            <w:tcMar>
              <w:top w:w="40" w:type="dxa"/>
              <w:left w:w="20" w:type="dxa"/>
              <w:bottom w:w="40" w:type="dxa"/>
              <w:right w:w="20" w:type="dxa"/>
            </w:tcMar>
            <w:vAlign w:val="bottom"/>
          </w:tcPr>
          <w:p w14:paraId="5F2CC650" w14:textId="77777777" w:rsidR="00E836FB" w:rsidRDefault="00994958">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5F2CC651" w14:textId="77777777" w:rsidR="00E836FB" w:rsidRDefault="00994958">
            <w:pPr>
              <w:jc w:val="right"/>
              <w:textAlignment w:val="bottom"/>
            </w:pPr>
            <w:r>
              <w:rPr>
                <w:rFonts w:ascii="Arial" w:eastAsia="宋体" w:hAnsi="Arial" w:cs="Arial"/>
                <w:b/>
                <w:bCs/>
                <w:color w:val="000000"/>
                <w:sz w:val="13"/>
                <w:szCs w:val="13"/>
              </w:rPr>
              <w:t>271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54" w14:textId="77777777" w:rsidR="00E836FB" w:rsidRDefault="00994958">
            <w:pPr>
              <w:jc w:val="right"/>
              <w:textAlignment w:val="bottom"/>
            </w:pPr>
            <w:r>
              <w:rPr>
                <w:rFonts w:ascii="Arial" w:eastAsia="宋体" w:hAnsi="Arial" w:cs="Arial"/>
                <w:b/>
                <w:bCs/>
                <w:color w:val="000000"/>
                <w:sz w:val="13"/>
                <w:szCs w:val="13"/>
              </w:rPr>
              <w:t>1,112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57" w14:textId="77777777" w:rsidR="00E836FB" w:rsidRDefault="00994958">
            <w:pPr>
              <w:jc w:val="right"/>
              <w:textAlignment w:val="bottom"/>
            </w:pPr>
            <w:r>
              <w:rPr>
                <w:rFonts w:ascii="Arial" w:eastAsia="宋体" w:hAnsi="Arial" w:cs="Arial"/>
                <w:b/>
                <w:bCs/>
                <w:color w:val="000000"/>
                <w:sz w:val="13"/>
                <w:szCs w:val="13"/>
              </w:rPr>
              <w:t>1,383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5A" w14:textId="77777777" w:rsidR="00E836FB" w:rsidRDefault="00994958">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5B" w14:textId="77777777" w:rsidR="00E836FB" w:rsidRDefault="00E836FB">
            <w:pPr>
              <w:jc w:val="right"/>
              <w:rPr>
                <w:rFonts w:ascii="宋体"/>
              </w:rPr>
            </w:pPr>
          </w:p>
        </w:tc>
      </w:tr>
      <w:tr w:rsidR="00E836FB" w14:paraId="5F2CC669" w14:textId="77777777">
        <w:tc>
          <w:tcPr>
            <w:tcW w:w="0" w:type="auto"/>
            <w:gridSpan w:val="3"/>
            <w:shd w:val="clear" w:color="auto" w:fill="FFFFFF"/>
            <w:tcMar>
              <w:top w:w="40" w:type="dxa"/>
              <w:left w:w="20" w:type="dxa"/>
              <w:bottom w:w="40" w:type="dxa"/>
              <w:right w:w="20" w:type="dxa"/>
            </w:tcMar>
            <w:vAlign w:val="bottom"/>
          </w:tcPr>
          <w:p w14:paraId="5F2CC65D" w14:textId="77777777" w:rsidR="00E836FB" w:rsidRDefault="00994958">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5F2CC65E" w14:textId="77777777" w:rsidR="00E836FB" w:rsidRDefault="00994958">
            <w:pPr>
              <w:jc w:val="right"/>
              <w:textAlignment w:val="bottom"/>
            </w:pPr>
            <w:r>
              <w:rPr>
                <w:rFonts w:ascii="Arial" w:eastAsia="宋体" w:hAnsi="Arial" w:cs="Arial"/>
                <w:b/>
                <w:bCs/>
                <w:color w:val="000000"/>
                <w:sz w:val="13"/>
                <w:szCs w:val="13"/>
              </w:rPr>
              <w:t>245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61" w14:textId="77777777" w:rsidR="00E836FB" w:rsidRDefault="00994958">
            <w:pPr>
              <w:jc w:val="right"/>
              <w:textAlignment w:val="bottom"/>
            </w:pPr>
            <w:r>
              <w:rPr>
                <w:rFonts w:ascii="Arial" w:eastAsia="宋体" w:hAnsi="Arial" w:cs="Arial"/>
                <w:b/>
                <w:bCs/>
                <w:color w:val="000000"/>
                <w:sz w:val="13"/>
                <w:szCs w:val="13"/>
              </w:rPr>
              <w:t>696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64" w14:textId="77777777" w:rsidR="00E836FB" w:rsidRDefault="00994958">
            <w:pPr>
              <w:jc w:val="right"/>
              <w:textAlignment w:val="bottom"/>
            </w:pPr>
            <w:r>
              <w:rPr>
                <w:rFonts w:ascii="Arial" w:eastAsia="宋体" w:hAnsi="Arial" w:cs="Arial"/>
                <w:b/>
                <w:bCs/>
                <w:color w:val="000000"/>
                <w:sz w:val="13"/>
                <w:szCs w:val="13"/>
              </w:rPr>
              <w:t>941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67" w14:textId="77777777" w:rsidR="00E836FB" w:rsidRDefault="00994958">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CC668" w14:textId="77777777" w:rsidR="00E836FB" w:rsidRDefault="00E836FB">
            <w:pPr>
              <w:jc w:val="right"/>
              <w:rPr>
                <w:rFonts w:ascii="宋体"/>
              </w:rPr>
            </w:pPr>
          </w:p>
        </w:tc>
      </w:tr>
      <w:tr w:rsidR="00E836FB" w14:paraId="5F2CC676" w14:textId="77777777">
        <w:tc>
          <w:tcPr>
            <w:tcW w:w="0" w:type="auto"/>
            <w:gridSpan w:val="3"/>
            <w:shd w:val="clear" w:color="auto" w:fill="CCEEFF"/>
            <w:tcMar>
              <w:top w:w="40" w:type="dxa"/>
              <w:left w:w="20" w:type="dxa"/>
              <w:bottom w:w="40" w:type="dxa"/>
              <w:right w:w="20" w:type="dxa"/>
            </w:tcMar>
            <w:vAlign w:val="bottom"/>
          </w:tcPr>
          <w:p w14:paraId="5F2CC66A" w14:textId="77777777" w:rsidR="00E836FB" w:rsidRDefault="00994958">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5F2CC66B"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6E" w14:textId="77777777" w:rsidR="00E836FB" w:rsidRDefault="00994958">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71" w14:textId="77777777" w:rsidR="00E836FB" w:rsidRDefault="00994958">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74" w14:textId="77777777" w:rsidR="00E836FB" w:rsidRDefault="00994958">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CC675" w14:textId="77777777" w:rsidR="00E836FB" w:rsidRDefault="00E836FB">
            <w:pPr>
              <w:jc w:val="right"/>
              <w:rPr>
                <w:rFonts w:ascii="宋体"/>
              </w:rPr>
            </w:pPr>
          </w:p>
        </w:tc>
      </w:tr>
      <w:tr w:rsidR="00E836FB" w14:paraId="5F2CC685" w14:textId="77777777">
        <w:tc>
          <w:tcPr>
            <w:tcW w:w="0" w:type="auto"/>
            <w:gridSpan w:val="3"/>
            <w:shd w:val="clear" w:color="auto" w:fill="FFFFFF"/>
            <w:tcMar>
              <w:top w:w="40" w:type="dxa"/>
              <w:left w:w="20" w:type="dxa"/>
              <w:bottom w:w="40" w:type="dxa"/>
              <w:right w:w="20" w:type="dxa"/>
            </w:tcMar>
            <w:vAlign w:val="bottom"/>
          </w:tcPr>
          <w:p w14:paraId="5F2CC677" w14:textId="77777777" w:rsidR="00E836FB" w:rsidRDefault="00994958">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C678"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679" w14:textId="77777777" w:rsidR="00E836FB" w:rsidRDefault="00994958">
            <w:pPr>
              <w:jc w:val="right"/>
              <w:textAlignment w:val="bottom"/>
            </w:pPr>
            <w:r>
              <w:rPr>
                <w:rFonts w:ascii="Arial" w:eastAsia="宋体" w:hAnsi="Arial" w:cs="Arial"/>
                <w:b/>
                <w:bCs/>
                <w:color w:val="000000"/>
                <w:sz w:val="13"/>
                <w:szCs w:val="13"/>
              </w:rPr>
              <w:t>845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6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7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67C"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67D" w14:textId="77777777" w:rsidR="00E836FB" w:rsidRDefault="00994958">
            <w:pPr>
              <w:jc w:val="right"/>
              <w:textAlignment w:val="bottom"/>
            </w:pPr>
            <w:r>
              <w:rPr>
                <w:rFonts w:ascii="Arial" w:eastAsia="宋体" w:hAnsi="Arial" w:cs="Arial"/>
                <w:b/>
                <w:bCs/>
                <w:color w:val="000000"/>
                <w:sz w:val="13"/>
                <w:szCs w:val="13"/>
              </w:rPr>
              <w:t>6,661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67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7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680"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681" w14:textId="77777777" w:rsidR="00E836FB" w:rsidRDefault="00994958">
            <w:pPr>
              <w:jc w:val="right"/>
              <w:textAlignment w:val="bottom"/>
            </w:pPr>
            <w:r>
              <w:rPr>
                <w:rFonts w:ascii="Arial" w:eastAsia="宋体" w:hAnsi="Arial" w:cs="Arial"/>
                <w:b/>
                <w:bCs/>
                <w:color w:val="000000"/>
                <w:sz w:val="13"/>
                <w:szCs w:val="13"/>
              </w:rPr>
              <w:t>7,506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6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8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684" w14:textId="77777777" w:rsidR="00E836FB" w:rsidRDefault="00E836FB">
            <w:pPr>
              <w:rPr>
                <w:rFonts w:ascii="宋体"/>
              </w:rPr>
            </w:pPr>
          </w:p>
        </w:tc>
      </w:tr>
      <w:tr w:rsidR="00E836FB" w14:paraId="5F2CC68E" w14:textId="77777777">
        <w:trPr>
          <w:trHeight w:val="60"/>
        </w:trPr>
        <w:tc>
          <w:tcPr>
            <w:tcW w:w="0" w:type="auto"/>
            <w:gridSpan w:val="3"/>
            <w:shd w:val="clear" w:color="auto" w:fill="auto"/>
            <w:tcMar>
              <w:top w:w="0" w:type="dxa"/>
              <w:left w:w="20" w:type="dxa"/>
              <w:bottom w:w="0" w:type="dxa"/>
              <w:right w:w="20" w:type="dxa"/>
            </w:tcMar>
            <w:vAlign w:val="bottom"/>
          </w:tcPr>
          <w:p w14:paraId="5F2CC686"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6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8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6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8A"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6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8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8D" w14:textId="77777777" w:rsidR="00E836FB" w:rsidRDefault="00E836FB">
            <w:pPr>
              <w:rPr>
                <w:rFonts w:ascii="宋体"/>
              </w:rPr>
            </w:pPr>
          </w:p>
        </w:tc>
      </w:tr>
      <w:tr w:rsidR="00E836FB" w14:paraId="5F2CC696" w14:textId="77777777">
        <w:tc>
          <w:tcPr>
            <w:tcW w:w="0" w:type="auto"/>
            <w:gridSpan w:val="6"/>
            <w:shd w:val="clear" w:color="auto" w:fill="auto"/>
            <w:tcMar>
              <w:top w:w="40" w:type="dxa"/>
              <w:left w:w="20" w:type="dxa"/>
              <w:bottom w:w="40" w:type="dxa"/>
              <w:right w:w="20" w:type="dxa"/>
            </w:tcMar>
            <w:vAlign w:val="bottom"/>
          </w:tcPr>
          <w:p w14:paraId="5F2CC68F" w14:textId="77777777" w:rsidR="00E836FB" w:rsidRDefault="00994958">
            <w:pPr>
              <w:textAlignment w:val="bottom"/>
            </w:pPr>
            <w:r>
              <w:rPr>
                <w:rFonts w:ascii="Arial" w:eastAsia="宋体" w:hAnsi="Arial" w:cs="Arial"/>
                <w:b/>
                <w:bCs/>
                <w:color w:val="000000"/>
                <w:sz w:val="13"/>
                <w:szCs w:val="13"/>
              </w:rPr>
              <w:t>December 31, 2020</w:t>
            </w:r>
          </w:p>
        </w:tc>
        <w:tc>
          <w:tcPr>
            <w:tcW w:w="0" w:type="auto"/>
            <w:gridSpan w:val="3"/>
            <w:shd w:val="clear" w:color="auto" w:fill="auto"/>
            <w:tcMar>
              <w:top w:w="0" w:type="dxa"/>
              <w:left w:w="20" w:type="dxa"/>
              <w:bottom w:w="0" w:type="dxa"/>
              <w:right w:w="20" w:type="dxa"/>
            </w:tcMar>
            <w:vAlign w:val="bottom"/>
          </w:tcPr>
          <w:p w14:paraId="5F2CC69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695" w14:textId="77777777" w:rsidR="00E836FB" w:rsidRDefault="00E836FB">
            <w:pPr>
              <w:rPr>
                <w:rFonts w:ascii="宋体"/>
              </w:rPr>
            </w:pPr>
          </w:p>
        </w:tc>
      </w:tr>
      <w:tr w:rsidR="00E836FB" w14:paraId="5F2CC69F" w14:textId="77777777">
        <w:tc>
          <w:tcPr>
            <w:tcW w:w="0" w:type="auto"/>
            <w:gridSpan w:val="3"/>
            <w:shd w:val="clear" w:color="auto" w:fill="FFFFFF"/>
            <w:tcMar>
              <w:top w:w="40" w:type="dxa"/>
              <w:left w:w="20" w:type="dxa"/>
              <w:bottom w:w="40" w:type="dxa"/>
              <w:right w:w="20" w:type="dxa"/>
            </w:tcMar>
            <w:vAlign w:val="bottom"/>
          </w:tcPr>
          <w:p w14:paraId="5F2CC697" w14:textId="77777777" w:rsidR="00E836FB" w:rsidRDefault="00994958">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vAlign w:val="bottom"/>
          </w:tcPr>
          <w:p w14:paraId="5F2CC69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69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69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69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69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69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69E" w14:textId="77777777" w:rsidR="00E836FB" w:rsidRDefault="00E836FB">
            <w:pPr>
              <w:rPr>
                <w:rFonts w:ascii="宋体"/>
              </w:rPr>
            </w:pPr>
          </w:p>
        </w:tc>
      </w:tr>
      <w:tr w:rsidR="00E836FB" w14:paraId="5F2CC6AF" w14:textId="77777777">
        <w:tc>
          <w:tcPr>
            <w:tcW w:w="0" w:type="auto"/>
            <w:gridSpan w:val="3"/>
            <w:shd w:val="clear" w:color="auto" w:fill="CCEEFF"/>
            <w:tcMar>
              <w:top w:w="40" w:type="dxa"/>
              <w:left w:w="20" w:type="dxa"/>
              <w:bottom w:w="40" w:type="dxa"/>
              <w:right w:w="20" w:type="dxa"/>
            </w:tcMar>
            <w:vAlign w:val="bottom"/>
          </w:tcPr>
          <w:p w14:paraId="5F2CC6A0" w14:textId="77777777" w:rsidR="00E836FB" w:rsidRDefault="00994958">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5F2CC6A1"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CC6A2" w14:textId="77777777" w:rsidR="00E836FB" w:rsidRDefault="00994958">
            <w:pPr>
              <w:jc w:val="right"/>
              <w:textAlignment w:val="bottom"/>
            </w:pPr>
            <w:r>
              <w:rPr>
                <w:rFonts w:ascii="Arial" w:eastAsia="宋体" w:hAnsi="Arial" w:cs="Arial"/>
                <w:color w:val="000000"/>
                <w:sz w:val="13"/>
                <w:szCs w:val="13"/>
              </w:rPr>
              <w:t>268 </w:t>
            </w:r>
          </w:p>
        </w:tc>
        <w:tc>
          <w:tcPr>
            <w:tcW w:w="0" w:type="auto"/>
            <w:shd w:val="clear" w:color="auto" w:fill="CCEEFF"/>
            <w:tcMar>
              <w:top w:w="40" w:type="dxa"/>
              <w:left w:w="0" w:type="dxa"/>
              <w:bottom w:w="40" w:type="dxa"/>
              <w:right w:w="20" w:type="dxa"/>
            </w:tcMar>
            <w:vAlign w:val="bottom"/>
          </w:tcPr>
          <w:p w14:paraId="5F2CC6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A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6A5"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CC6A6" w14:textId="77777777" w:rsidR="00E836FB" w:rsidRDefault="00994958">
            <w:pPr>
              <w:jc w:val="right"/>
              <w:textAlignment w:val="bottom"/>
            </w:pPr>
            <w:r>
              <w:rPr>
                <w:rFonts w:ascii="Arial" w:eastAsia="宋体" w:hAnsi="Arial" w:cs="Arial"/>
                <w:color w:val="000000"/>
                <w:sz w:val="13"/>
                <w:szCs w:val="13"/>
              </w:rPr>
              <w:t>2,282 </w:t>
            </w:r>
          </w:p>
        </w:tc>
        <w:tc>
          <w:tcPr>
            <w:tcW w:w="0" w:type="auto"/>
            <w:shd w:val="clear" w:color="auto" w:fill="CCEEFF"/>
            <w:tcMar>
              <w:top w:w="40" w:type="dxa"/>
              <w:left w:w="0" w:type="dxa"/>
              <w:bottom w:w="40" w:type="dxa"/>
              <w:right w:w="20" w:type="dxa"/>
            </w:tcMar>
            <w:vAlign w:val="bottom"/>
          </w:tcPr>
          <w:p w14:paraId="5F2CC6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A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6A9"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CC6AA" w14:textId="77777777" w:rsidR="00E836FB" w:rsidRDefault="00994958">
            <w:pPr>
              <w:jc w:val="right"/>
              <w:textAlignment w:val="bottom"/>
            </w:pPr>
            <w:r>
              <w:rPr>
                <w:rFonts w:ascii="Arial" w:eastAsia="宋体" w:hAnsi="Arial" w:cs="Arial"/>
                <w:color w:val="000000"/>
                <w:sz w:val="13"/>
                <w:szCs w:val="13"/>
              </w:rPr>
              <w:t>2,550 </w:t>
            </w:r>
          </w:p>
        </w:tc>
        <w:tc>
          <w:tcPr>
            <w:tcW w:w="0" w:type="auto"/>
            <w:shd w:val="clear" w:color="auto" w:fill="CCEEFF"/>
            <w:tcMar>
              <w:top w:w="40" w:type="dxa"/>
              <w:left w:w="0" w:type="dxa"/>
              <w:bottom w:w="40" w:type="dxa"/>
              <w:right w:w="20" w:type="dxa"/>
            </w:tcMar>
            <w:vAlign w:val="bottom"/>
          </w:tcPr>
          <w:p w14:paraId="5F2CC6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A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AD" w14:textId="77777777" w:rsidR="00E836FB" w:rsidRDefault="00994958">
            <w:pPr>
              <w:jc w:val="right"/>
              <w:textAlignment w:val="bottom"/>
            </w:pPr>
            <w:r>
              <w:rPr>
                <w:rFonts w:ascii="Arial" w:eastAsia="宋体" w:hAnsi="Arial" w:cs="Arial"/>
                <w:color w:val="000000"/>
                <w:sz w:val="13"/>
                <w:szCs w:val="13"/>
              </w:rPr>
              <w:t>23 </w:t>
            </w:r>
          </w:p>
        </w:tc>
        <w:tc>
          <w:tcPr>
            <w:tcW w:w="0" w:type="auto"/>
            <w:shd w:val="clear" w:color="auto" w:fill="CCEEFF"/>
            <w:tcMar>
              <w:top w:w="40" w:type="dxa"/>
              <w:left w:w="0" w:type="dxa"/>
              <w:bottom w:w="40" w:type="dxa"/>
              <w:right w:w="20" w:type="dxa"/>
            </w:tcMar>
            <w:vAlign w:val="bottom"/>
          </w:tcPr>
          <w:p w14:paraId="5F2CC6AE" w14:textId="77777777" w:rsidR="00E836FB" w:rsidRDefault="00994958">
            <w:pPr>
              <w:jc w:val="right"/>
              <w:textAlignment w:val="bottom"/>
            </w:pPr>
            <w:r>
              <w:rPr>
                <w:rFonts w:ascii="Arial" w:eastAsia="宋体" w:hAnsi="Arial" w:cs="Arial"/>
                <w:color w:val="000000"/>
                <w:sz w:val="13"/>
                <w:szCs w:val="13"/>
              </w:rPr>
              <w:t>%</w:t>
            </w:r>
          </w:p>
        </w:tc>
      </w:tr>
      <w:tr w:rsidR="00E836FB" w14:paraId="5F2CC6BC" w14:textId="77777777">
        <w:tc>
          <w:tcPr>
            <w:tcW w:w="0" w:type="auto"/>
            <w:gridSpan w:val="3"/>
            <w:shd w:val="clear" w:color="auto" w:fill="FFFFFF"/>
            <w:tcMar>
              <w:top w:w="40" w:type="dxa"/>
              <w:left w:w="20" w:type="dxa"/>
              <w:bottom w:w="40" w:type="dxa"/>
              <w:right w:w="20" w:type="dxa"/>
            </w:tcMar>
            <w:vAlign w:val="bottom"/>
          </w:tcPr>
          <w:p w14:paraId="5F2CC6B0" w14:textId="77777777" w:rsidR="00E836FB" w:rsidRDefault="00994958">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5F2CC6B1" w14:textId="77777777" w:rsidR="00E836FB" w:rsidRDefault="00994958">
            <w:pPr>
              <w:jc w:val="right"/>
              <w:textAlignment w:val="bottom"/>
            </w:pPr>
            <w:r>
              <w:rPr>
                <w:rFonts w:ascii="Arial" w:eastAsia="宋体" w:hAnsi="Arial" w:cs="Arial"/>
                <w:color w:val="000000"/>
                <w:sz w:val="13"/>
                <w:szCs w:val="13"/>
              </w:rPr>
              <w:t>113 </w:t>
            </w:r>
          </w:p>
        </w:tc>
        <w:tc>
          <w:tcPr>
            <w:tcW w:w="0" w:type="auto"/>
            <w:shd w:val="clear" w:color="auto" w:fill="FFFFFF"/>
            <w:tcMar>
              <w:top w:w="40" w:type="dxa"/>
              <w:left w:w="0" w:type="dxa"/>
              <w:bottom w:w="40" w:type="dxa"/>
              <w:right w:w="20" w:type="dxa"/>
            </w:tcMar>
            <w:vAlign w:val="bottom"/>
          </w:tcPr>
          <w:p w14:paraId="5F2CC6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B4" w14:textId="77777777" w:rsidR="00E836FB" w:rsidRDefault="00994958">
            <w:pPr>
              <w:jc w:val="right"/>
              <w:textAlignment w:val="bottom"/>
            </w:pPr>
            <w:r>
              <w:rPr>
                <w:rFonts w:ascii="Arial" w:eastAsia="宋体" w:hAnsi="Arial" w:cs="Arial"/>
                <w:color w:val="000000"/>
                <w:sz w:val="13"/>
                <w:szCs w:val="13"/>
              </w:rPr>
              <w:t>2,174 </w:t>
            </w:r>
          </w:p>
        </w:tc>
        <w:tc>
          <w:tcPr>
            <w:tcW w:w="0" w:type="auto"/>
            <w:shd w:val="clear" w:color="auto" w:fill="FFFFFF"/>
            <w:tcMar>
              <w:top w:w="40" w:type="dxa"/>
              <w:left w:w="0" w:type="dxa"/>
              <w:bottom w:w="40" w:type="dxa"/>
              <w:right w:w="20" w:type="dxa"/>
            </w:tcMar>
            <w:vAlign w:val="bottom"/>
          </w:tcPr>
          <w:p w14:paraId="5F2CC6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B7" w14:textId="77777777" w:rsidR="00E836FB" w:rsidRDefault="00994958">
            <w:pPr>
              <w:jc w:val="right"/>
              <w:textAlignment w:val="bottom"/>
            </w:pPr>
            <w:r>
              <w:rPr>
                <w:rFonts w:ascii="Arial" w:eastAsia="宋体" w:hAnsi="Arial" w:cs="Arial"/>
                <w:color w:val="000000"/>
                <w:sz w:val="13"/>
                <w:szCs w:val="13"/>
              </w:rPr>
              <w:t>2,287 </w:t>
            </w:r>
          </w:p>
        </w:tc>
        <w:tc>
          <w:tcPr>
            <w:tcW w:w="0" w:type="auto"/>
            <w:shd w:val="clear" w:color="auto" w:fill="FFFFFF"/>
            <w:tcMar>
              <w:top w:w="40" w:type="dxa"/>
              <w:left w:w="0" w:type="dxa"/>
              <w:bottom w:w="40" w:type="dxa"/>
              <w:right w:w="20" w:type="dxa"/>
            </w:tcMar>
            <w:vAlign w:val="bottom"/>
          </w:tcPr>
          <w:p w14:paraId="5F2CC6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BA" w14:textId="77777777" w:rsidR="00E836FB" w:rsidRDefault="00994958">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5F2CC6BB" w14:textId="77777777" w:rsidR="00E836FB" w:rsidRDefault="00E836FB">
            <w:pPr>
              <w:jc w:val="right"/>
              <w:rPr>
                <w:rFonts w:ascii="宋体"/>
              </w:rPr>
            </w:pPr>
          </w:p>
        </w:tc>
      </w:tr>
      <w:tr w:rsidR="00E836FB" w14:paraId="5F2CC6C9" w14:textId="77777777">
        <w:tc>
          <w:tcPr>
            <w:tcW w:w="0" w:type="auto"/>
            <w:gridSpan w:val="3"/>
            <w:shd w:val="clear" w:color="auto" w:fill="CCEEFF"/>
            <w:tcMar>
              <w:top w:w="40" w:type="dxa"/>
              <w:left w:w="20" w:type="dxa"/>
              <w:bottom w:w="40" w:type="dxa"/>
              <w:right w:w="20" w:type="dxa"/>
            </w:tcMar>
            <w:vAlign w:val="bottom"/>
          </w:tcPr>
          <w:p w14:paraId="5F2CC6BD" w14:textId="77777777" w:rsidR="00E836FB" w:rsidRDefault="00994958">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5F2CC6BE" w14:textId="77777777" w:rsidR="00E836FB" w:rsidRDefault="00994958">
            <w:pPr>
              <w:jc w:val="right"/>
              <w:textAlignment w:val="bottom"/>
            </w:pPr>
            <w:r>
              <w:rPr>
                <w:rFonts w:ascii="Arial" w:eastAsia="宋体" w:hAnsi="Arial" w:cs="Arial"/>
                <w:color w:val="000000"/>
                <w:sz w:val="13"/>
                <w:szCs w:val="13"/>
              </w:rPr>
              <w:t>297 </w:t>
            </w:r>
          </w:p>
        </w:tc>
        <w:tc>
          <w:tcPr>
            <w:tcW w:w="0" w:type="auto"/>
            <w:shd w:val="clear" w:color="auto" w:fill="CCEEFF"/>
            <w:tcMar>
              <w:top w:w="40" w:type="dxa"/>
              <w:left w:w="0" w:type="dxa"/>
              <w:bottom w:w="40" w:type="dxa"/>
              <w:right w:w="20" w:type="dxa"/>
            </w:tcMar>
            <w:vAlign w:val="bottom"/>
          </w:tcPr>
          <w:p w14:paraId="5F2CC6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C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C1" w14:textId="77777777" w:rsidR="00E836FB" w:rsidRDefault="00994958">
            <w:pPr>
              <w:jc w:val="right"/>
              <w:textAlignment w:val="bottom"/>
            </w:pPr>
            <w:r>
              <w:rPr>
                <w:rFonts w:ascii="Arial" w:eastAsia="宋体" w:hAnsi="Arial" w:cs="Arial"/>
                <w:color w:val="000000"/>
                <w:sz w:val="13"/>
                <w:szCs w:val="13"/>
              </w:rPr>
              <w:t>1,363 </w:t>
            </w:r>
          </w:p>
        </w:tc>
        <w:tc>
          <w:tcPr>
            <w:tcW w:w="0" w:type="auto"/>
            <w:shd w:val="clear" w:color="auto" w:fill="CCEEFF"/>
            <w:tcMar>
              <w:top w:w="40" w:type="dxa"/>
              <w:left w:w="0" w:type="dxa"/>
              <w:bottom w:w="40" w:type="dxa"/>
              <w:right w:w="20" w:type="dxa"/>
            </w:tcMar>
            <w:vAlign w:val="bottom"/>
          </w:tcPr>
          <w:p w14:paraId="5F2CC6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C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C4" w14:textId="77777777" w:rsidR="00E836FB" w:rsidRDefault="00994958">
            <w:pPr>
              <w:jc w:val="right"/>
              <w:textAlignment w:val="bottom"/>
            </w:pPr>
            <w:r>
              <w:rPr>
                <w:rFonts w:ascii="Arial" w:eastAsia="宋体" w:hAnsi="Arial" w:cs="Arial"/>
                <w:color w:val="000000"/>
                <w:sz w:val="13"/>
                <w:szCs w:val="13"/>
              </w:rPr>
              <w:t>1,660 </w:t>
            </w:r>
          </w:p>
        </w:tc>
        <w:tc>
          <w:tcPr>
            <w:tcW w:w="0" w:type="auto"/>
            <w:shd w:val="clear" w:color="auto" w:fill="CCEEFF"/>
            <w:tcMar>
              <w:top w:w="40" w:type="dxa"/>
              <w:left w:w="0" w:type="dxa"/>
              <w:bottom w:w="40" w:type="dxa"/>
              <w:right w:w="20" w:type="dxa"/>
            </w:tcMar>
            <w:vAlign w:val="bottom"/>
          </w:tcPr>
          <w:p w14:paraId="5F2CC6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6C7" w14:textId="77777777" w:rsidR="00E836FB" w:rsidRDefault="00994958">
            <w:pPr>
              <w:jc w:val="right"/>
              <w:textAlignment w:val="bottom"/>
            </w:pPr>
            <w:r>
              <w:rPr>
                <w:rFonts w:ascii="Arial" w:eastAsia="宋体" w:hAnsi="Arial" w:cs="Arial"/>
                <w:color w:val="000000"/>
                <w:sz w:val="13"/>
                <w:szCs w:val="13"/>
              </w:rPr>
              <w:t>15 </w:t>
            </w:r>
          </w:p>
        </w:tc>
        <w:tc>
          <w:tcPr>
            <w:tcW w:w="0" w:type="auto"/>
            <w:shd w:val="clear" w:color="auto" w:fill="CCEEFF"/>
            <w:tcMar>
              <w:top w:w="40" w:type="dxa"/>
              <w:left w:w="0" w:type="dxa"/>
              <w:bottom w:w="40" w:type="dxa"/>
              <w:right w:w="20" w:type="dxa"/>
            </w:tcMar>
            <w:vAlign w:val="bottom"/>
          </w:tcPr>
          <w:p w14:paraId="5F2CC6C8" w14:textId="77777777" w:rsidR="00E836FB" w:rsidRDefault="00E836FB">
            <w:pPr>
              <w:jc w:val="right"/>
              <w:rPr>
                <w:rFonts w:ascii="宋体"/>
              </w:rPr>
            </w:pPr>
          </w:p>
        </w:tc>
      </w:tr>
      <w:tr w:rsidR="00E836FB" w14:paraId="5F2CC6D6" w14:textId="77777777">
        <w:tc>
          <w:tcPr>
            <w:tcW w:w="0" w:type="auto"/>
            <w:gridSpan w:val="3"/>
            <w:shd w:val="clear" w:color="auto" w:fill="FFFFFF"/>
            <w:tcMar>
              <w:top w:w="40" w:type="dxa"/>
              <w:left w:w="20" w:type="dxa"/>
              <w:bottom w:w="40" w:type="dxa"/>
              <w:right w:w="20" w:type="dxa"/>
            </w:tcMar>
            <w:vAlign w:val="bottom"/>
          </w:tcPr>
          <w:p w14:paraId="5F2CC6CA" w14:textId="77777777" w:rsidR="00E836FB" w:rsidRDefault="00994958">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5F2CC6CB" w14:textId="77777777" w:rsidR="00E836FB" w:rsidRDefault="00994958">
            <w:pPr>
              <w:jc w:val="right"/>
              <w:textAlignment w:val="bottom"/>
            </w:pPr>
            <w:r>
              <w:rPr>
                <w:rFonts w:ascii="Arial" w:eastAsia="宋体" w:hAnsi="Arial" w:cs="Arial"/>
                <w:color w:val="000000"/>
                <w:sz w:val="13"/>
                <w:szCs w:val="13"/>
              </w:rPr>
              <w:t>382 </w:t>
            </w:r>
          </w:p>
        </w:tc>
        <w:tc>
          <w:tcPr>
            <w:tcW w:w="0" w:type="auto"/>
            <w:shd w:val="clear" w:color="auto" w:fill="FFFFFF"/>
            <w:tcMar>
              <w:top w:w="40" w:type="dxa"/>
              <w:left w:w="0" w:type="dxa"/>
              <w:bottom w:w="40" w:type="dxa"/>
              <w:right w:w="20" w:type="dxa"/>
            </w:tcMar>
            <w:vAlign w:val="bottom"/>
          </w:tcPr>
          <w:p w14:paraId="5F2CC6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C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CE" w14:textId="77777777" w:rsidR="00E836FB" w:rsidRDefault="00994958">
            <w:pPr>
              <w:jc w:val="right"/>
              <w:textAlignment w:val="bottom"/>
            </w:pPr>
            <w:r>
              <w:rPr>
                <w:rFonts w:ascii="Arial" w:eastAsia="宋体" w:hAnsi="Arial" w:cs="Arial"/>
                <w:color w:val="000000"/>
                <w:sz w:val="13"/>
                <w:szCs w:val="13"/>
              </w:rPr>
              <w:t>927 </w:t>
            </w:r>
          </w:p>
        </w:tc>
        <w:tc>
          <w:tcPr>
            <w:tcW w:w="0" w:type="auto"/>
            <w:shd w:val="clear" w:color="auto" w:fill="FFFFFF"/>
            <w:tcMar>
              <w:top w:w="40" w:type="dxa"/>
              <w:left w:w="0" w:type="dxa"/>
              <w:bottom w:w="40" w:type="dxa"/>
              <w:right w:w="20" w:type="dxa"/>
            </w:tcMar>
            <w:vAlign w:val="bottom"/>
          </w:tcPr>
          <w:p w14:paraId="5F2CC6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D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D1" w14:textId="77777777" w:rsidR="00E836FB" w:rsidRDefault="00994958">
            <w:pPr>
              <w:jc w:val="right"/>
              <w:textAlignment w:val="bottom"/>
            </w:pPr>
            <w:r>
              <w:rPr>
                <w:rFonts w:ascii="Arial" w:eastAsia="宋体" w:hAnsi="Arial" w:cs="Arial"/>
                <w:color w:val="000000"/>
                <w:sz w:val="13"/>
                <w:szCs w:val="13"/>
              </w:rPr>
              <w:t>1,309 </w:t>
            </w:r>
          </w:p>
        </w:tc>
        <w:tc>
          <w:tcPr>
            <w:tcW w:w="0" w:type="auto"/>
            <w:shd w:val="clear" w:color="auto" w:fill="FFFFFF"/>
            <w:tcMar>
              <w:top w:w="40" w:type="dxa"/>
              <w:left w:w="0" w:type="dxa"/>
              <w:bottom w:w="40" w:type="dxa"/>
              <w:right w:w="20" w:type="dxa"/>
            </w:tcMar>
            <w:vAlign w:val="bottom"/>
          </w:tcPr>
          <w:p w14:paraId="5F2CC6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6D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6D4" w14:textId="77777777" w:rsidR="00E836FB" w:rsidRDefault="00994958">
            <w:pPr>
              <w:jc w:val="right"/>
              <w:textAlignment w:val="bottom"/>
            </w:pPr>
            <w:r>
              <w:rPr>
                <w:rFonts w:ascii="Arial" w:eastAsia="宋体" w:hAnsi="Arial" w:cs="Arial"/>
                <w:color w:val="000000"/>
                <w:sz w:val="13"/>
                <w:szCs w:val="13"/>
              </w:rPr>
              <w:t>12 </w:t>
            </w:r>
          </w:p>
        </w:tc>
        <w:tc>
          <w:tcPr>
            <w:tcW w:w="0" w:type="auto"/>
            <w:shd w:val="clear" w:color="auto" w:fill="FFFFFF"/>
            <w:tcMar>
              <w:top w:w="40" w:type="dxa"/>
              <w:left w:w="0" w:type="dxa"/>
              <w:bottom w:w="40" w:type="dxa"/>
              <w:right w:w="20" w:type="dxa"/>
            </w:tcMar>
            <w:vAlign w:val="bottom"/>
          </w:tcPr>
          <w:p w14:paraId="5F2CC6D5" w14:textId="77777777" w:rsidR="00E836FB" w:rsidRDefault="00E836FB">
            <w:pPr>
              <w:jc w:val="right"/>
              <w:rPr>
                <w:rFonts w:ascii="宋体"/>
              </w:rPr>
            </w:pPr>
          </w:p>
        </w:tc>
      </w:tr>
      <w:tr w:rsidR="00E836FB" w14:paraId="5F2CC6DF" w14:textId="77777777">
        <w:trPr>
          <w:hidden/>
        </w:trPr>
        <w:tc>
          <w:tcPr>
            <w:tcW w:w="0" w:type="auto"/>
            <w:gridSpan w:val="3"/>
            <w:shd w:val="clear" w:color="auto" w:fill="auto"/>
            <w:vAlign w:val="bottom"/>
          </w:tcPr>
          <w:p w14:paraId="5F2CC6D7" w14:textId="77777777" w:rsidR="00E836FB" w:rsidRDefault="00E836FB">
            <w:pPr>
              <w:rPr>
                <w:rFonts w:ascii="宋体"/>
                <w:vanish/>
              </w:rPr>
            </w:pPr>
          </w:p>
        </w:tc>
        <w:tc>
          <w:tcPr>
            <w:tcW w:w="0" w:type="auto"/>
            <w:gridSpan w:val="3"/>
            <w:shd w:val="clear" w:color="auto" w:fill="auto"/>
            <w:vAlign w:val="bottom"/>
          </w:tcPr>
          <w:p w14:paraId="5F2CC6D8" w14:textId="77777777" w:rsidR="00E836FB" w:rsidRDefault="00E836FB">
            <w:pPr>
              <w:rPr>
                <w:rFonts w:ascii="宋体"/>
                <w:vanish/>
              </w:rPr>
            </w:pPr>
          </w:p>
        </w:tc>
        <w:tc>
          <w:tcPr>
            <w:tcW w:w="0" w:type="auto"/>
            <w:gridSpan w:val="3"/>
            <w:shd w:val="clear" w:color="auto" w:fill="auto"/>
            <w:vAlign w:val="bottom"/>
          </w:tcPr>
          <w:p w14:paraId="5F2CC6D9" w14:textId="77777777" w:rsidR="00E836FB" w:rsidRDefault="00E836FB">
            <w:pPr>
              <w:rPr>
                <w:rFonts w:ascii="宋体"/>
                <w:vanish/>
              </w:rPr>
            </w:pPr>
          </w:p>
        </w:tc>
        <w:tc>
          <w:tcPr>
            <w:tcW w:w="0" w:type="auto"/>
            <w:gridSpan w:val="3"/>
            <w:shd w:val="clear" w:color="auto" w:fill="auto"/>
            <w:vAlign w:val="bottom"/>
          </w:tcPr>
          <w:p w14:paraId="5F2CC6DA" w14:textId="77777777" w:rsidR="00E836FB" w:rsidRDefault="00E836FB">
            <w:pPr>
              <w:rPr>
                <w:rFonts w:ascii="宋体"/>
                <w:vanish/>
              </w:rPr>
            </w:pPr>
          </w:p>
        </w:tc>
        <w:tc>
          <w:tcPr>
            <w:tcW w:w="0" w:type="auto"/>
            <w:gridSpan w:val="3"/>
            <w:shd w:val="clear" w:color="auto" w:fill="auto"/>
            <w:vAlign w:val="bottom"/>
          </w:tcPr>
          <w:p w14:paraId="5F2CC6DB" w14:textId="77777777" w:rsidR="00E836FB" w:rsidRDefault="00E836FB">
            <w:pPr>
              <w:rPr>
                <w:rFonts w:ascii="宋体"/>
                <w:vanish/>
              </w:rPr>
            </w:pPr>
          </w:p>
        </w:tc>
        <w:tc>
          <w:tcPr>
            <w:tcW w:w="0" w:type="auto"/>
            <w:gridSpan w:val="3"/>
            <w:shd w:val="clear" w:color="auto" w:fill="auto"/>
            <w:vAlign w:val="bottom"/>
          </w:tcPr>
          <w:p w14:paraId="5F2CC6DC" w14:textId="77777777" w:rsidR="00E836FB" w:rsidRDefault="00E836FB">
            <w:pPr>
              <w:rPr>
                <w:rFonts w:ascii="宋体"/>
                <w:vanish/>
              </w:rPr>
            </w:pPr>
          </w:p>
        </w:tc>
        <w:tc>
          <w:tcPr>
            <w:tcW w:w="0" w:type="auto"/>
            <w:gridSpan w:val="3"/>
            <w:shd w:val="clear" w:color="auto" w:fill="auto"/>
            <w:vAlign w:val="bottom"/>
          </w:tcPr>
          <w:p w14:paraId="5F2CC6DD" w14:textId="77777777" w:rsidR="00E836FB" w:rsidRDefault="00E836FB">
            <w:pPr>
              <w:rPr>
                <w:rFonts w:ascii="宋体"/>
                <w:vanish/>
              </w:rPr>
            </w:pPr>
          </w:p>
        </w:tc>
        <w:tc>
          <w:tcPr>
            <w:tcW w:w="0" w:type="auto"/>
            <w:gridSpan w:val="3"/>
            <w:shd w:val="clear" w:color="auto" w:fill="auto"/>
            <w:vAlign w:val="bottom"/>
          </w:tcPr>
          <w:p w14:paraId="5F2CC6DE" w14:textId="77777777" w:rsidR="00E836FB" w:rsidRDefault="00E836FB">
            <w:pPr>
              <w:rPr>
                <w:rFonts w:ascii="宋体"/>
                <w:vanish/>
              </w:rPr>
            </w:pPr>
          </w:p>
        </w:tc>
      </w:tr>
      <w:tr w:rsidR="00E836FB" w14:paraId="5F2CC6E8" w14:textId="77777777">
        <w:trPr>
          <w:hidden/>
        </w:trPr>
        <w:tc>
          <w:tcPr>
            <w:tcW w:w="0" w:type="auto"/>
            <w:gridSpan w:val="3"/>
            <w:shd w:val="clear" w:color="auto" w:fill="auto"/>
            <w:vAlign w:val="bottom"/>
          </w:tcPr>
          <w:p w14:paraId="5F2CC6E0" w14:textId="77777777" w:rsidR="00E836FB" w:rsidRDefault="00E836FB">
            <w:pPr>
              <w:rPr>
                <w:rFonts w:ascii="宋体"/>
                <w:vanish/>
              </w:rPr>
            </w:pPr>
          </w:p>
        </w:tc>
        <w:tc>
          <w:tcPr>
            <w:tcW w:w="0" w:type="auto"/>
            <w:gridSpan w:val="3"/>
            <w:shd w:val="clear" w:color="auto" w:fill="auto"/>
            <w:vAlign w:val="bottom"/>
          </w:tcPr>
          <w:p w14:paraId="5F2CC6E1" w14:textId="77777777" w:rsidR="00E836FB" w:rsidRDefault="00E836FB">
            <w:pPr>
              <w:rPr>
                <w:rFonts w:ascii="宋体"/>
                <w:vanish/>
              </w:rPr>
            </w:pPr>
          </w:p>
        </w:tc>
        <w:tc>
          <w:tcPr>
            <w:tcW w:w="0" w:type="auto"/>
            <w:gridSpan w:val="3"/>
            <w:shd w:val="clear" w:color="auto" w:fill="auto"/>
            <w:vAlign w:val="bottom"/>
          </w:tcPr>
          <w:p w14:paraId="5F2CC6E2" w14:textId="77777777" w:rsidR="00E836FB" w:rsidRDefault="00E836FB">
            <w:pPr>
              <w:rPr>
                <w:rFonts w:ascii="宋体"/>
                <w:vanish/>
              </w:rPr>
            </w:pPr>
          </w:p>
        </w:tc>
        <w:tc>
          <w:tcPr>
            <w:tcW w:w="0" w:type="auto"/>
            <w:gridSpan w:val="3"/>
            <w:shd w:val="clear" w:color="auto" w:fill="auto"/>
            <w:vAlign w:val="bottom"/>
          </w:tcPr>
          <w:p w14:paraId="5F2CC6E3" w14:textId="77777777" w:rsidR="00E836FB" w:rsidRDefault="00E836FB">
            <w:pPr>
              <w:rPr>
                <w:rFonts w:ascii="宋体"/>
                <w:vanish/>
              </w:rPr>
            </w:pPr>
          </w:p>
        </w:tc>
        <w:tc>
          <w:tcPr>
            <w:tcW w:w="0" w:type="auto"/>
            <w:gridSpan w:val="3"/>
            <w:shd w:val="clear" w:color="auto" w:fill="auto"/>
            <w:vAlign w:val="bottom"/>
          </w:tcPr>
          <w:p w14:paraId="5F2CC6E4" w14:textId="77777777" w:rsidR="00E836FB" w:rsidRDefault="00E836FB">
            <w:pPr>
              <w:rPr>
                <w:rFonts w:ascii="宋体"/>
                <w:vanish/>
              </w:rPr>
            </w:pPr>
          </w:p>
        </w:tc>
        <w:tc>
          <w:tcPr>
            <w:tcW w:w="0" w:type="auto"/>
            <w:gridSpan w:val="3"/>
            <w:shd w:val="clear" w:color="auto" w:fill="auto"/>
            <w:vAlign w:val="bottom"/>
          </w:tcPr>
          <w:p w14:paraId="5F2CC6E5" w14:textId="77777777" w:rsidR="00E836FB" w:rsidRDefault="00E836FB">
            <w:pPr>
              <w:rPr>
                <w:rFonts w:ascii="宋体"/>
                <w:vanish/>
              </w:rPr>
            </w:pPr>
          </w:p>
        </w:tc>
        <w:tc>
          <w:tcPr>
            <w:tcW w:w="0" w:type="auto"/>
            <w:gridSpan w:val="3"/>
            <w:shd w:val="clear" w:color="auto" w:fill="auto"/>
            <w:vAlign w:val="bottom"/>
          </w:tcPr>
          <w:p w14:paraId="5F2CC6E6" w14:textId="77777777" w:rsidR="00E836FB" w:rsidRDefault="00E836FB">
            <w:pPr>
              <w:rPr>
                <w:rFonts w:ascii="宋体"/>
                <w:vanish/>
              </w:rPr>
            </w:pPr>
          </w:p>
        </w:tc>
        <w:tc>
          <w:tcPr>
            <w:tcW w:w="0" w:type="auto"/>
            <w:gridSpan w:val="3"/>
            <w:shd w:val="clear" w:color="auto" w:fill="auto"/>
            <w:vAlign w:val="bottom"/>
          </w:tcPr>
          <w:p w14:paraId="5F2CC6E7" w14:textId="77777777" w:rsidR="00E836FB" w:rsidRDefault="00E836FB">
            <w:pPr>
              <w:rPr>
                <w:rFonts w:ascii="宋体"/>
                <w:vanish/>
              </w:rPr>
            </w:pPr>
          </w:p>
        </w:tc>
      </w:tr>
      <w:tr w:rsidR="00E836FB" w14:paraId="5F2CC6F7" w14:textId="77777777">
        <w:tc>
          <w:tcPr>
            <w:tcW w:w="0" w:type="auto"/>
            <w:gridSpan w:val="3"/>
            <w:shd w:val="clear" w:color="auto" w:fill="CCEEFF"/>
            <w:tcMar>
              <w:top w:w="40" w:type="dxa"/>
              <w:left w:w="20" w:type="dxa"/>
              <w:bottom w:w="40" w:type="dxa"/>
              <w:right w:w="20" w:type="dxa"/>
            </w:tcMar>
            <w:vAlign w:val="bottom"/>
          </w:tcPr>
          <w:p w14:paraId="5F2CC6E9" w14:textId="77777777" w:rsidR="00E836FB" w:rsidRDefault="00994958">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6EA"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6EB" w14:textId="77777777" w:rsidR="00E836FB" w:rsidRDefault="00994958">
            <w:pPr>
              <w:jc w:val="right"/>
              <w:textAlignment w:val="bottom"/>
            </w:pPr>
            <w:r>
              <w:rPr>
                <w:rFonts w:ascii="Arial" w:eastAsia="宋体" w:hAnsi="Arial" w:cs="Arial"/>
                <w:color w:val="000000"/>
                <w:sz w:val="13"/>
                <w:szCs w:val="13"/>
              </w:rPr>
              <w:t>1,060 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6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E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6EE"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6EF" w14:textId="77777777" w:rsidR="00E836FB" w:rsidRDefault="00994958">
            <w:pPr>
              <w:jc w:val="right"/>
              <w:textAlignment w:val="bottom"/>
            </w:pPr>
            <w:r>
              <w:rPr>
                <w:rFonts w:ascii="Arial" w:eastAsia="宋体" w:hAnsi="Arial" w:cs="Arial"/>
                <w:color w:val="000000"/>
                <w:sz w:val="13"/>
                <w:szCs w:val="13"/>
              </w:rPr>
              <w:t>6,746 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6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F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6F2"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6F3" w14:textId="77777777" w:rsidR="00E836FB" w:rsidRDefault="00994958">
            <w:pPr>
              <w:jc w:val="right"/>
              <w:textAlignment w:val="bottom"/>
            </w:pPr>
            <w:r>
              <w:rPr>
                <w:rFonts w:ascii="Arial" w:eastAsia="宋体" w:hAnsi="Arial" w:cs="Arial"/>
                <w:color w:val="000000"/>
                <w:sz w:val="13"/>
                <w:szCs w:val="13"/>
              </w:rPr>
              <w:t>7,806 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6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6F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6F6" w14:textId="77777777" w:rsidR="00E836FB" w:rsidRDefault="00E836FB">
            <w:pPr>
              <w:rPr>
                <w:rFonts w:ascii="宋体"/>
              </w:rPr>
            </w:pPr>
          </w:p>
        </w:tc>
      </w:tr>
    </w:tbl>
    <w:p w14:paraId="5F2CC6F8" w14:textId="77777777" w:rsidR="00E836FB" w:rsidRDefault="00E836FB">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E836FB" w14:paraId="5F2CC705" w14:textId="77777777">
        <w:tc>
          <w:tcPr>
            <w:tcW w:w="20" w:type="dxa"/>
            <w:shd w:val="clear" w:color="auto" w:fill="auto"/>
            <w:vAlign w:val="bottom"/>
          </w:tcPr>
          <w:p w14:paraId="5F2CC6F9" w14:textId="77777777" w:rsidR="00E836FB" w:rsidRDefault="00E836FB">
            <w:pPr>
              <w:rPr>
                <w:rFonts w:ascii="宋体"/>
              </w:rPr>
            </w:pPr>
          </w:p>
        </w:tc>
        <w:tc>
          <w:tcPr>
            <w:tcW w:w="2285" w:type="dxa"/>
            <w:shd w:val="clear" w:color="auto" w:fill="auto"/>
            <w:vAlign w:val="bottom"/>
          </w:tcPr>
          <w:p w14:paraId="5F2CC6FA" w14:textId="77777777" w:rsidR="00E836FB" w:rsidRDefault="00E836FB">
            <w:pPr>
              <w:rPr>
                <w:rFonts w:ascii="宋体"/>
              </w:rPr>
            </w:pPr>
          </w:p>
        </w:tc>
        <w:tc>
          <w:tcPr>
            <w:tcW w:w="20" w:type="dxa"/>
            <w:shd w:val="clear" w:color="auto" w:fill="auto"/>
            <w:vAlign w:val="bottom"/>
          </w:tcPr>
          <w:p w14:paraId="5F2CC6FB" w14:textId="77777777" w:rsidR="00E836FB" w:rsidRDefault="00E836FB">
            <w:pPr>
              <w:rPr>
                <w:rFonts w:ascii="宋体"/>
              </w:rPr>
            </w:pPr>
          </w:p>
        </w:tc>
        <w:tc>
          <w:tcPr>
            <w:tcW w:w="20" w:type="dxa"/>
            <w:shd w:val="clear" w:color="auto" w:fill="auto"/>
            <w:vAlign w:val="bottom"/>
          </w:tcPr>
          <w:p w14:paraId="5F2CC6FC" w14:textId="77777777" w:rsidR="00E836FB" w:rsidRDefault="00E836FB">
            <w:pPr>
              <w:rPr>
                <w:rFonts w:ascii="宋体"/>
              </w:rPr>
            </w:pPr>
          </w:p>
        </w:tc>
        <w:tc>
          <w:tcPr>
            <w:tcW w:w="35" w:type="dxa"/>
            <w:shd w:val="clear" w:color="auto" w:fill="auto"/>
            <w:vAlign w:val="bottom"/>
          </w:tcPr>
          <w:p w14:paraId="5F2CC6FD" w14:textId="77777777" w:rsidR="00E836FB" w:rsidRDefault="00E836FB">
            <w:pPr>
              <w:rPr>
                <w:rFonts w:ascii="宋体"/>
              </w:rPr>
            </w:pPr>
          </w:p>
        </w:tc>
        <w:tc>
          <w:tcPr>
            <w:tcW w:w="20" w:type="dxa"/>
            <w:shd w:val="clear" w:color="auto" w:fill="auto"/>
            <w:vAlign w:val="bottom"/>
          </w:tcPr>
          <w:p w14:paraId="5F2CC6FE" w14:textId="77777777" w:rsidR="00E836FB" w:rsidRDefault="00E836FB">
            <w:pPr>
              <w:rPr>
                <w:rFonts w:ascii="宋体"/>
              </w:rPr>
            </w:pPr>
          </w:p>
        </w:tc>
        <w:tc>
          <w:tcPr>
            <w:tcW w:w="20" w:type="dxa"/>
            <w:shd w:val="clear" w:color="auto" w:fill="auto"/>
            <w:vAlign w:val="bottom"/>
          </w:tcPr>
          <w:p w14:paraId="5F2CC6FF" w14:textId="77777777" w:rsidR="00E836FB" w:rsidRDefault="00E836FB">
            <w:pPr>
              <w:rPr>
                <w:rFonts w:ascii="宋体"/>
              </w:rPr>
            </w:pPr>
          </w:p>
        </w:tc>
        <w:tc>
          <w:tcPr>
            <w:tcW w:w="455" w:type="dxa"/>
            <w:shd w:val="clear" w:color="auto" w:fill="auto"/>
            <w:vAlign w:val="bottom"/>
          </w:tcPr>
          <w:p w14:paraId="5F2CC700" w14:textId="77777777" w:rsidR="00E836FB" w:rsidRDefault="00E836FB">
            <w:pPr>
              <w:rPr>
                <w:rFonts w:ascii="宋体"/>
              </w:rPr>
            </w:pPr>
          </w:p>
        </w:tc>
        <w:tc>
          <w:tcPr>
            <w:tcW w:w="20" w:type="dxa"/>
            <w:shd w:val="clear" w:color="auto" w:fill="auto"/>
            <w:vAlign w:val="bottom"/>
          </w:tcPr>
          <w:p w14:paraId="5F2CC701" w14:textId="77777777" w:rsidR="00E836FB" w:rsidRDefault="00E836FB">
            <w:pPr>
              <w:rPr>
                <w:rFonts w:ascii="宋体"/>
              </w:rPr>
            </w:pPr>
          </w:p>
        </w:tc>
        <w:tc>
          <w:tcPr>
            <w:tcW w:w="20" w:type="dxa"/>
            <w:shd w:val="clear" w:color="auto" w:fill="auto"/>
            <w:vAlign w:val="bottom"/>
          </w:tcPr>
          <w:p w14:paraId="5F2CC702" w14:textId="77777777" w:rsidR="00E836FB" w:rsidRDefault="00E836FB">
            <w:pPr>
              <w:rPr>
                <w:rFonts w:ascii="宋体"/>
              </w:rPr>
            </w:pPr>
          </w:p>
        </w:tc>
        <w:tc>
          <w:tcPr>
            <w:tcW w:w="1835" w:type="dxa"/>
            <w:shd w:val="clear" w:color="auto" w:fill="auto"/>
            <w:vAlign w:val="bottom"/>
          </w:tcPr>
          <w:p w14:paraId="5F2CC703" w14:textId="77777777" w:rsidR="00E836FB" w:rsidRDefault="00E836FB">
            <w:pPr>
              <w:rPr>
                <w:rFonts w:ascii="宋体"/>
              </w:rPr>
            </w:pPr>
          </w:p>
        </w:tc>
        <w:tc>
          <w:tcPr>
            <w:tcW w:w="20" w:type="dxa"/>
            <w:shd w:val="clear" w:color="auto" w:fill="auto"/>
            <w:vAlign w:val="bottom"/>
          </w:tcPr>
          <w:p w14:paraId="5F2CC704" w14:textId="77777777" w:rsidR="00E836FB" w:rsidRDefault="00E836FB">
            <w:pPr>
              <w:rPr>
                <w:rFonts w:ascii="宋体"/>
              </w:rPr>
            </w:pPr>
          </w:p>
        </w:tc>
      </w:tr>
      <w:tr w:rsidR="00E836FB" w14:paraId="5F2CC70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70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0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0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09" w14:textId="77777777" w:rsidR="00E836FB" w:rsidRDefault="00E836FB">
            <w:pPr>
              <w:rPr>
                <w:rFonts w:ascii="宋体"/>
              </w:rPr>
            </w:pPr>
          </w:p>
        </w:tc>
      </w:tr>
    </w:tbl>
    <w:p w14:paraId="5F2CC70B" w14:textId="77777777" w:rsidR="00E836FB" w:rsidRDefault="00994958">
      <w:pPr>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$10.22 billion and $11.06 billion across our businesses as of </w:t>
      </w:r>
      <w:r>
        <w:rPr>
          <w:rFonts w:ascii="Arial" w:eastAsia="宋体" w:hAnsi="Arial" w:cs="Arial"/>
          <w:color w:val="000000"/>
          <w:sz w:val="12"/>
          <w:szCs w:val="12"/>
        </w:rPr>
        <w:t>December 31, 2021 and December 31, 2020, respectively.</w:t>
      </w:r>
    </w:p>
    <w:p w14:paraId="5F2CC70C" w14:textId="77777777" w:rsidR="00E836FB" w:rsidRDefault="00994958">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municipal loans which are also presented within Table 26: U.S. and Non-U.S. Loans .</w:t>
      </w:r>
    </w:p>
    <w:p w14:paraId="5F2CC70D" w14:textId="77777777" w:rsidR="00E836FB" w:rsidRDefault="00994958">
      <w:pPr>
        <w:spacing w:before="60"/>
        <w:ind w:firstLine="450"/>
        <w:jc w:val="both"/>
        <w:textAlignment w:val="top"/>
      </w:pPr>
      <w:r>
        <w:rPr>
          <w:rFonts w:ascii="Arial" w:eastAsia="宋体" w:hAnsi="Arial" w:cs="Arial"/>
          <w:color w:val="000000"/>
          <w:sz w:val="20"/>
          <w:szCs w:val="20"/>
        </w:rPr>
        <w:t>Our aggregate municipal securities exposure presented in Table 24: State and Municipal Obligors, was con</w:t>
      </w:r>
      <w:r>
        <w:rPr>
          <w:rFonts w:ascii="Arial" w:eastAsia="宋体" w:hAnsi="Arial" w:cs="Arial"/>
          <w:color w:val="000000"/>
          <w:sz w:val="20"/>
          <w:szCs w:val="20"/>
        </w:rPr>
        <w:t xml:space="preserve">centrated primarily with highly-rated counterparties, with approximately 88% of the obligors rated “AAA” or “AA” as of December 31, 2021. As of that date, approximately 26% and 74% of our aggregate municipal securities exposure was associated with general </w:t>
      </w:r>
      <w:r>
        <w:rPr>
          <w:rFonts w:ascii="Arial" w:eastAsia="宋体" w:hAnsi="Arial" w:cs="Arial"/>
          <w:color w:val="000000"/>
          <w:sz w:val="20"/>
          <w:szCs w:val="20"/>
        </w:rPr>
        <w:t>obligation and revenue bonds, respectively. The portfolios are also diversified geographically, with the states that represent our largest exposures widely dispersed across the U.S.</w:t>
      </w:r>
    </w:p>
    <w:p w14:paraId="5F2CC70E" w14:textId="77777777" w:rsidR="00E836FB" w:rsidRDefault="00994958">
      <w:pPr>
        <w:spacing w:before="60"/>
        <w:ind w:firstLine="450"/>
        <w:jc w:val="both"/>
        <w:textAlignment w:val="top"/>
      </w:pPr>
      <w:r>
        <w:rPr>
          <w:rFonts w:ascii="Arial" w:eastAsia="宋体" w:hAnsi="Arial" w:cs="Arial"/>
          <w:color w:val="000000"/>
          <w:sz w:val="20"/>
          <w:szCs w:val="20"/>
        </w:rPr>
        <w:t>Additional information with respect to our assessment of impairment of our</w:t>
      </w:r>
      <w:r>
        <w:rPr>
          <w:rFonts w:ascii="Arial" w:eastAsia="宋体" w:hAnsi="Arial" w:cs="Arial"/>
          <w:color w:val="000000"/>
          <w:sz w:val="20"/>
          <w:szCs w:val="20"/>
        </w:rPr>
        <w:t xml:space="preserve"> municipal securities is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10-K.</w:t>
      </w:r>
    </w:p>
    <w:p w14:paraId="5F2CC70F" w14:textId="77777777" w:rsidR="00E836FB" w:rsidRDefault="00994958">
      <w:pPr>
        <w:ind w:firstLine="450"/>
        <w:jc w:val="right"/>
      </w:pPr>
      <w:r>
        <w:rPr>
          <w:rFonts w:ascii="Arial" w:eastAsia="宋体" w:hAnsi="Arial" w:cs="Arial"/>
          <w:color w:val="000000"/>
          <w:sz w:val="18"/>
          <w:szCs w:val="18"/>
        </w:rPr>
        <w:t>State Street Corporation | 79</w:t>
      </w:r>
    </w:p>
    <w:p w14:paraId="5F2CC710" w14:textId="77777777" w:rsidR="00E836FB" w:rsidRDefault="00E836FB">
      <w:pPr>
        <w:ind w:firstLine="450"/>
        <w:jc w:val="center"/>
      </w:pPr>
    </w:p>
    <w:p w14:paraId="5F2CC711" w14:textId="77777777" w:rsidR="00E836FB" w:rsidRDefault="00994958">
      <w:r>
        <w:pict w14:anchorId="5F2D6DD4">
          <v:rect id="_x0000_i1103" style="width:415.3pt;height:1.5pt" o:hralign="center" o:hrstd="t" o:hr="t" fillcolor="#a0a0a0" stroked="f"/>
        </w:pict>
      </w:r>
    </w:p>
    <w:p w14:paraId="5F2CC712"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C713" w14:textId="77777777" w:rsidR="00E836FB" w:rsidRDefault="00994958">
      <w:pPr>
        <w:ind w:firstLine="450"/>
        <w:jc w:val="center"/>
      </w:pPr>
      <w:r>
        <w:rPr>
          <w:rFonts w:ascii="Arial" w:eastAsia="宋体" w:hAnsi="Arial" w:cs="Arial"/>
          <w:b/>
          <w:bCs/>
          <w:color w:val="000000"/>
          <w:sz w:val="20"/>
          <w:szCs w:val="20"/>
        </w:rPr>
        <w:t>AND RESULTS OF OPERATIONS</w:t>
      </w:r>
    </w:p>
    <w:tbl>
      <w:tblPr>
        <w:tblW w:w="4985" w:type="pct"/>
        <w:tblCellMar>
          <w:top w:w="15" w:type="dxa"/>
          <w:left w:w="15" w:type="dxa"/>
          <w:bottom w:w="15" w:type="dxa"/>
          <w:right w:w="15" w:type="dxa"/>
        </w:tblCellMar>
        <w:tblLook w:val="04A0" w:firstRow="1" w:lastRow="0" w:firstColumn="1" w:lastColumn="0" w:noHBand="0" w:noVBand="1"/>
      </w:tblPr>
      <w:tblGrid>
        <w:gridCol w:w="52"/>
        <w:gridCol w:w="1945"/>
        <w:gridCol w:w="37"/>
        <w:gridCol w:w="105"/>
        <w:gridCol w:w="515"/>
        <w:gridCol w:w="37"/>
        <w:gridCol w:w="36"/>
        <w:gridCol w:w="36"/>
        <w:gridCol w:w="36"/>
        <w:gridCol w:w="56"/>
        <w:gridCol w:w="338"/>
        <w:gridCol w:w="154"/>
        <w:gridCol w:w="36"/>
        <w:gridCol w:w="36"/>
        <w:gridCol w:w="36"/>
        <w:gridCol w:w="104"/>
        <w:gridCol w:w="501"/>
        <w:gridCol w:w="36"/>
        <w:gridCol w:w="36"/>
        <w:gridCol w:w="36"/>
        <w:gridCol w:w="36"/>
        <w:gridCol w:w="54"/>
        <w:gridCol w:w="340"/>
        <w:gridCol w:w="154"/>
        <w:gridCol w:w="36"/>
        <w:gridCol w:w="36"/>
        <w:gridCol w:w="36"/>
        <w:gridCol w:w="104"/>
        <w:gridCol w:w="501"/>
        <w:gridCol w:w="36"/>
        <w:gridCol w:w="36"/>
        <w:gridCol w:w="36"/>
        <w:gridCol w:w="36"/>
        <w:gridCol w:w="54"/>
        <w:gridCol w:w="340"/>
        <w:gridCol w:w="154"/>
        <w:gridCol w:w="36"/>
        <w:gridCol w:w="36"/>
        <w:gridCol w:w="36"/>
        <w:gridCol w:w="104"/>
        <w:gridCol w:w="501"/>
        <w:gridCol w:w="36"/>
        <w:gridCol w:w="36"/>
        <w:gridCol w:w="36"/>
        <w:gridCol w:w="36"/>
        <w:gridCol w:w="54"/>
        <w:gridCol w:w="340"/>
        <w:gridCol w:w="154"/>
        <w:gridCol w:w="36"/>
        <w:gridCol w:w="36"/>
        <w:gridCol w:w="36"/>
        <w:gridCol w:w="104"/>
        <w:gridCol w:w="501"/>
        <w:gridCol w:w="36"/>
      </w:tblGrid>
      <w:tr w:rsidR="00E836FB" w14:paraId="5F2CC74A" w14:textId="77777777">
        <w:tc>
          <w:tcPr>
            <w:tcW w:w="50" w:type="pct"/>
            <w:shd w:val="clear" w:color="auto" w:fill="auto"/>
            <w:vAlign w:val="bottom"/>
          </w:tcPr>
          <w:p w14:paraId="5F2CC714" w14:textId="77777777" w:rsidR="00E836FB" w:rsidRDefault="00E836FB">
            <w:pPr>
              <w:rPr>
                <w:rFonts w:ascii="宋体"/>
              </w:rPr>
            </w:pPr>
          </w:p>
        </w:tc>
        <w:tc>
          <w:tcPr>
            <w:tcW w:w="1345" w:type="pct"/>
            <w:shd w:val="clear" w:color="auto" w:fill="auto"/>
            <w:vAlign w:val="bottom"/>
          </w:tcPr>
          <w:p w14:paraId="5F2CC715" w14:textId="77777777" w:rsidR="00E836FB" w:rsidRDefault="00E836FB">
            <w:pPr>
              <w:rPr>
                <w:rFonts w:ascii="宋体"/>
              </w:rPr>
            </w:pPr>
          </w:p>
        </w:tc>
        <w:tc>
          <w:tcPr>
            <w:tcW w:w="5" w:type="pct"/>
            <w:shd w:val="clear" w:color="auto" w:fill="auto"/>
            <w:vAlign w:val="bottom"/>
          </w:tcPr>
          <w:p w14:paraId="5F2CC716" w14:textId="77777777" w:rsidR="00E836FB" w:rsidRDefault="00E836FB">
            <w:pPr>
              <w:rPr>
                <w:rFonts w:ascii="宋体"/>
              </w:rPr>
            </w:pPr>
          </w:p>
        </w:tc>
        <w:tc>
          <w:tcPr>
            <w:tcW w:w="50" w:type="pct"/>
            <w:shd w:val="clear" w:color="auto" w:fill="auto"/>
            <w:vAlign w:val="bottom"/>
          </w:tcPr>
          <w:p w14:paraId="5F2CC717" w14:textId="77777777" w:rsidR="00E836FB" w:rsidRDefault="00E836FB">
            <w:pPr>
              <w:rPr>
                <w:rFonts w:ascii="宋体"/>
              </w:rPr>
            </w:pPr>
          </w:p>
        </w:tc>
        <w:tc>
          <w:tcPr>
            <w:tcW w:w="318" w:type="pct"/>
            <w:shd w:val="clear" w:color="auto" w:fill="auto"/>
            <w:vAlign w:val="bottom"/>
          </w:tcPr>
          <w:p w14:paraId="5F2CC718" w14:textId="77777777" w:rsidR="00E836FB" w:rsidRDefault="00E836FB">
            <w:pPr>
              <w:rPr>
                <w:rFonts w:ascii="宋体"/>
              </w:rPr>
            </w:pPr>
          </w:p>
        </w:tc>
        <w:tc>
          <w:tcPr>
            <w:tcW w:w="5" w:type="pct"/>
            <w:shd w:val="clear" w:color="auto" w:fill="auto"/>
            <w:vAlign w:val="bottom"/>
          </w:tcPr>
          <w:p w14:paraId="5F2CC719" w14:textId="77777777" w:rsidR="00E836FB" w:rsidRDefault="00E836FB">
            <w:pPr>
              <w:rPr>
                <w:rFonts w:ascii="宋体"/>
              </w:rPr>
            </w:pPr>
          </w:p>
        </w:tc>
        <w:tc>
          <w:tcPr>
            <w:tcW w:w="5" w:type="pct"/>
            <w:shd w:val="clear" w:color="auto" w:fill="auto"/>
            <w:vAlign w:val="bottom"/>
          </w:tcPr>
          <w:p w14:paraId="5F2CC71A" w14:textId="77777777" w:rsidR="00E836FB" w:rsidRDefault="00E836FB">
            <w:pPr>
              <w:rPr>
                <w:rFonts w:ascii="宋体"/>
              </w:rPr>
            </w:pPr>
          </w:p>
        </w:tc>
        <w:tc>
          <w:tcPr>
            <w:tcW w:w="26" w:type="pct"/>
            <w:shd w:val="clear" w:color="auto" w:fill="auto"/>
            <w:vAlign w:val="bottom"/>
          </w:tcPr>
          <w:p w14:paraId="5F2CC71B" w14:textId="77777777" w:rsidR="00E836FB" w:rsidRDefault="00E836FB">
            <w:pPr>
              <w:rPr>
                <w:rFonts w:ascii="宋体"/>
              </w:rPr>
            </w:pPr>
          </w:p>
        </w:tc>
        <w:tc>
          <w:tcPr>
            <w:tcW w:w="5" w:type="pct"/>
            <w:shd w:val="clear" w:color="auto" w:fill="auto"/>
            <w:vAlign w:val="bottom"/>
          </w:tcPr>
          <w:p w14:paraId="5F2CC71C" w14:textId="77777777" w:rsidR="00E836FB" w:rsidRDefault="00E836FB">
            <w:pPr>
              <w:rPr>
                <w:rFonts w:ascii="宋体"/>
              </w:rPr>
            </w:pPr>
          </w:p>
        </w:tc>
        <w:tc>
          <w:tcPr>
            <w:tcW w:w="50" w:type="pct"/>
            <w:shd w:val="clear" w:color="auto" w:fill="auto"/>
            <w:vAlign w:val="bottom"/>
          </w:tcPr>
          <w:p w14:paraId="5F2CC71D" w14:textId="77777777" w:rsidR="00E836FB" w:rsidRDefault="00E836FB">
            <w:pPr>
              <w:rPr>
                <w:rFonts w:ascii="宋体"/>
              </w:rPr>
            </w:pPr>
          </w:p>
        </w:tc>
        <w:tc>
          <w:tcPr>
            <w:tcW w:w="304" w:type="pct"/>
            <w:shd w:val="clear" w:color="auto" w:fill="auto"/>
            <w:vAlign w:val="bottom"/>
          </w:tcPr>
          <w:p w14:paraId="5F2CC71E" w14:textId="77777777" w:rsidR="00E836FB" w:rsidRDefault="00E836FB">
            <w:pPr>
              <w:rPr>
                <w:rFonts w:ascii="宋体"/>
              </w:rPr>
            </w:pPr>
          </w:p>
        </w:tc>
        <w:tc>
          <w:tcPr>
            <w:tcW w:w="5" w:type="pct"/>
            <w:shd w:val="clear" w:color="auto" w:fill="auto"/>
            <w:vAlign w:val="bottom"/>
          </w:tcPr>
          <w:p w14:paraId="5F2CC71F" w14:textId="77777777" w:rsidR="00E836FB" w:rsidRDefault="00E836FB">
            <w:pPr>
              <w:rPr>
                <w:rFonts w:ascii="宋体"/>
              </w:rPr>
            </w:pPr>
          </w:p>
        </w:tc>
        <w:tc>
          <w:tcPr>
            <w:tcW w:w="5" w:type="pct"/>
            <w:shd w:val="clear" w:color="auto" w:fill="auto"/>
            <w:vAlign w:val="bottom"/>
          </w:tcPr>
          <w:p w14:paraId="5F2CC720" w14:textId="77777777" w:rsidR="00E836FB" w:rsidRDefault="00E836FB">
            <w:pPr>
              <w:rPr>
                <w:rFonts w:ascii="宋体"/>
              </w:rPr>
            </w:pPr>
          </w:p>
        </w:tc>
        <w:tc>
          <w:tcPr>
            <w:tcW w:w="26" w:type="pct"/>
            <w:shd w:val="clear" w:color="auto" w:fill="auto"/>
            <w:vAlign w:val="bottom"/>
          </w:tcPr>
          <w:p w14:paraId="5F2CC721" w14:textId="77777777" w:rsidR="00E836FB" w:rsidRDefault="00E836FB">
            <w:pPr>
              <w:rPr>
                <w:rFonts w:ascii="宋体"/>
              </w:rPr>
            </w:pPr>
          </w:p>
        </w:tc>
        <w:tc>
          <w:tcPr>
            <w:tcW w:w="5" w:type="pct"/>
            <w:shd w:val="clear" w:color="auto" w:fill="auto"/>
            <w:vAlign w:val="bottom"/>
          </w:tcPr>
          <w:p w14:paraId="5F2CC722" w14:textId="77777777" w:rsidR="00E836FB" w:rsidRDefault="00E836FB">
            <w:pPr>
              <w:rPr>
                <w:rFonts w:ascii="宋体"/>
              </w:rPr>
            </w:pPr>
          </w:p>
        </w:tc>
        <w:tc>
          <w:tcPr>
            <w:tcW w:w="50" w:type="pct"/>
            <w:shd w:val="clear" w:color="auto" w:fill="auto"/>
            <w:vAlign w:val="bottom"/>
          </w:tcPr>
          <w:p w14:paraId="5F2CC723" w14:textId="77777777" w:rsidR="00E836FB" w:rsidRDefault="00E836FB">
            <w:pPr>
              <w:rPr>
                <w:rFonts w:ascii="宋体"/>
              </w:rPr>
            </w:pPr>
          </w:p>
        </w:tc>
        <w:tc>
          <w:tcPr>
            <w:tcW w:w="304" w:type="pct"/>
            <w:shd w:val="clear" w:color="auto" w:fill="auto"/>
            <w:vAlign w:val="bottom"/>
          </w:tcPr>
          <w:p w14:paraId="5F2CC724" w14:textId="77777777" w:rsidR="00E836FB" w:rsidRDefault="00E836FB">
            <w:pPr>
              <w:rPr>
                <w:rFonts w:ascii="宋体"/>
              </w:rPr>
            </w:pPr>
          </w:p>
        </w:tc>
        <w:tc>
          <w:tcPr>
            <w:tcW w:w="5" w:type="pct"/>
            <w:shd w:val="clear" w:color="auto" w:fill="auto"/>
            <w:vAlign w:val="bottom"/>
          </w:tcPr>
          <w:p w14:paraId="5F2CC725" w14:textId="77777777" w:rsidR="00E836FB" w:rsidRDefault="00E836FB">
            <w:pPr>
              <w:rPr>
                <w:rFonts w:ascii="宋体"/>
              </w:rPr>
            </w:pPr>
          </w:p>
        </w:tc>
        <w:tc>
          <w:tcPr>
            <w:tcW w:w="5" w:type="pct"/>
            <w:shd w:val="clear" w:color="auto" w:fill="auto"/>
            <w:vAlign w:val="bottom"/>
          </w:tcPr>
          <w:p w14:paraId="5F2CC726" w14:textId="77777777" w:rsidR="00E836FB" w:rsidRDefault="00E836FB">
            <w:pPr>
              <w:rPr>
                <w:rFonts w:ascii="宋体"/>
              </w:rPr>
            </w:pPr>
          </w:p>
        </w:tc>
        <w:tc>
          <w:tcPr>
            <w:tcW w:w="26" w:type="pct"/>
            <w:shd w:val="clear" w:color="auto" w:fill="auto"/>
            <w:vAlign w:val="bottom"/>
          </w:tcPr>
          <w:p w14:paraId="5F2CC727" w14:textId="77777777" w:rsidR="00E836FB" w:rsidRDefault="00E836FB">
            <w:pPr>
              <w:rPr>
                <w:rFonts w:ascii="宋体"/>
              </w:rPr>
            </w:pPr>
          </w:p>
        </w:tc>
        <w:tc>
          <w:tcPr>
            <w:tcW w:w="5" w:type="pct"/>
            <w:shd w:val="clear" w:color="auto" w:fill="auto"/>
            <w:vAlign w:val="bottom"/>
          </w:tcPr>
          <w:p w14:paraId="5F2CC728" w14:textId="77777777" w:rsidR="00E836FB" w:rsidRDefault="00E836FB">
            <w:pPr>
              <w:rPr>
                <w:rFonts w:ascii="宋体"/>
              </w:rPr>
            </w:pPr>
          </w:p>
        </w:tc>
        <w:tc>
          <w:tcPr>
            <w:tcW w:w="50" w:type="pct"/>
            <w:shd w:val="clear" w:color="auto" w:fill="auto"/>
            <w:vAlign w:val="bottom"/>
          </w:tcPr>
          <w:p w14:paraId="5F2CC729" w14:textId="77777777" w:rsidR="00E836FB" w:rsidRDefault="00E836FB">
            <w:pPr>
              <w:rPr>
                <w:rFonts w:ascii="宋体"/>
              </w:rPr>
            </w:pPr>
          </w:p>
        </w:tc>
        <w:tc>
          <w:tcPr>
            <w:tcW w:w="318" w:type="pct"/>
            <w:shd w:val="clear" w:color="auto" w:fill="auto"/>
            <w:vAlign w:val="bottom"/>
          </w:tcPr>
          <w:p w14:paraId="5F2CC72A" w14:textId="77777777" w:rsidR="00E836FB" w:rsidRDefault="00E836FB">
            <w:pPr>
              <w:rPr>
                <w:rFonts w:ascii="宋体"/>
              </w:rPr>
            </w:pPr>
          </w:p>
        </w:tc>
        <w:tc>
          <w:tcPr>
            <w:tcW w:w="5" w:type="pct"/>
            <w:shd w:val="clear" w:color="auto" w:fill="auto"/>
            <w:vAlign w:val="bottom"/>
          </w:tcPr>
          <w:p w14:paraId="5F2CC72B" w14:textId="77777777" w:rsidR="00E836FB" w:rsidRDefault="00E836FB">
            <w:pPr>
              <w:rPr>
                <w:rFonts w:ascii="宋体"/>
              </w:rPr>
            </w:pPr>
          </w:p>
        </w:tc>
        <w:tc>
          <w:tcPr>
            <w:tcW w:w="5" w:type="pct"/>
            <w:shd w:val="clear" w:color="auto" w:fill="auto"/>
            <w:vAlign w:val="bottom"/>
          </w:tcPr>
          <w:p w14:paraId="5F2CC72C" w14:textId="77777777" w:rsidR="00E836FB" w:rsidRDefault="00E836FB">
            <w:pPr>
              <w:rPr>
                <w:rFonts w:ascii="宋体"/>
              </w:rPr>
            </w:pPr>
          </w:p>
        </w:tc>
        <w:tc>
          <w:tcPr>
            <w:tcW w:w="26" w:type="pct"/>
            <w:shd w:val="clear" w:color="auto" w:fill="auto"/>
            <w:vAlign w:val="bottom"/>
          </w:tcPr>
          <w:p w14:paraId="5F2CC72D" w14:textId="77777777" w:rsidR="00E836FB" w:rsidRDefault="00E836FB">
            <w:pPr>
              <w:rPr>
                <w:rFonts w:ascii="宋体"/>
              </w:rPr>
            </w:pPr>
          </w:p>
        </w:tc>
        <w:tc>
          <w:tcPr>
            <w:tcW w:w="5" w:type="pct"/>
            <w:shd w:val="clear" w:color="auto" w:fill="auto"/>
            <w:vAlign w:val="bottom"/>
          </w:tcPr>
          <w:p w14:paraId="5F2CC72E" w14:textId="77777777" w:rsidR="00E836FB" w:rsidRDefault="00E836FB">
            <w:pPr>
              <w:rPr>
                <w:rFonts w:ascii="宋体"/>
              </w:rPr>
            </w:pPr>
          </w:p>
        </w:tc>
        <w:tc>
          <w:tcPr>
            <w:tcW w:w="50" w:type="pct"/>
            <w:shd w:val="clear" w:color="auto" w:fill="auto"/>
            <w:vAlign w:val="bottom"/>
          </w:tcPr>
          <w:p w14:paraId="5F2CC72F" w14:textId="77777777" w:rsidR="00E836FB" w:rsidRDefault="00E836FB">
            <w:pPr>
              <w:rPr>
                <w:rFonts w:ascii="宋体"/>
              </w:rPr>
            </w:pPr>
          </w:p>
        </w:tc>
        <w:tc>
          <w:tcPr>
            <w:tcW w:w="304" w:type="pct"/>
            <w:shd w:val="clear" w:color="auto" w:fill="auto"/>
            <w:vAlign w:val="bottom"/>
          </w:tcPr>
          <w:p w14:paraId="5F2CC730" w14:textId="77777777" w:rsidR="00E836FB" w:rsidRDefault="00E836FB">
            <w:pPr>
              <w:rPr>
                <w:rFonts w:ascii="宋体"/>
              </w:rPr>
            </w:pPr>
          </w:p>
        </w:tc>
        <w:tc>
          <w:tcPr>
            <w:tcW w:w="5" w:type="pct"/>
            <w:shd w:val="clear" w:color="auto" w:fill="auto"/>
            <w:vAlign w:val="bottom"/>
          </w:tcPr>
          <w:p w14:paraId="5F2CC731" w14:textId="77777777" w:rsidR="00E836FB" w:rsidRDefault="00E836FB">
            <w:pPr>
              <w:rPr>
                <w:rFonts w:ascii="宋体"/>
              </w:rPr>
            </w:pPr>
          </w:p>
        </w:tc>
        <w:tc>
          <w:tcPr>
            <w:tcW w:w="5" w:type="pct"/>
            <w:shd w:val="clear" w:color="auto" w:fill="auto"/>
            <w:vAlign w:val="bottom"/>
          </w:tcPr>
          <w:p w14:paraId="5F2CC732" w14:textId="77777777" w:rsidR="00E836FB" w:rsidRDefault="00E836FB">
            <w:pPr>
              <w:rPr>
                <w:rFonts w:ascii="宋体"/>
              </w:rPr>
            </w:pPr>
          </w:p>
        </w:tc>
        <w:tc>
          <w:tcPr>
            <w:tcW w:w="26" w:type="pct"/>
            <w:shd w:val="clear" w:color="auto" w:fill="auto"/>
            <w:vAlign w:val="bottom"/>
          </w:tcPr>
          <w:p w14:paraId="5F2CC733" w14:textId="77777777" w:rsidR="00E836FB" w:rsidRDefault="00E836FB">
            <w:pPr>
              <w:rPr>
                <w:rFonts w:ascii="宋体"/>
              </w:rPr>
            </w:pPr>
          </w:p>
        </w:tc>
        <w:tc>
          <w:tcPr>
            <w:tcW w:w="5" w:type="pct"/>
            <w:shd w:val="clear" w:color="auto" w:fill="auto"/>
            <w:vAlign w:val="bottom"/>
          </w:tcPr>
          <w:p w14:paraId="5F2CC734" w14:textId="77777777" w:rsidR="00E836FB" w:rsidRDefault="00E836FB">
            <w:pPr>
              <w:rPr>
                <w:rFonts w:ascii="宋体"/>
              </w:rPr>
            </w:pPr>
          </w:p>
        </w:tc>
        <w:tc>
          <w:tcPr>
            <w:tcW w:w="50" w:type="pct"/>
            <w:shd w:val="clear" w:color="auto" w:fill="auto"/>
            <w:vAlign w:val="bottom"/>
          </w:tcPr>
          <w:p w14:paraId="5F2CC735" w14:textId="77777777" w:rsidR="00E836FB" w:rsidRDefault="00E836FB">
            <w:pPr>
              <w:rPr>
                <w:rFonts w:ascii="宋体"/>
              </w:rPr>
            </w:pPr>
          </w:p>
        </w:tc>
        <w:tc>
          <w:tcPr>
            <w:tcW w:w="318" w:type="pct"/>
            <w:shd w:val="clear" w:color="auto" w:fill="auto"/>
            <w:vAlign w:val="bottom"/>
          </w:tcPr>
          <w:p w14:paraId="5F2CC736" w14:textId="77777777" w:rsidR="00E836FB" w:rsidRDefault="00E836FB">
            <w:pPr>
              <w:rPr>
                <w:rFonts w:ascii="宋体"/>
              </w:rPr>
            </w:pPr>
          </w:p>
        </w:tc>
        <w:tc>
          <w:tcPr>
            <w:tcW w:w="5" w:type="pct"/>
            <w:shd w:val="clear" w:color="auto" w:fill="auto"/>
            <w:vAlign w:val="bottom"/>
          </w:tcPr>
          <w:p w14:paraId="5F2CC737" w14:textId="77777777" w:rsidR="00E836FB" w:rsidRDefault="00E836FB">
            <w:pPr>
              <w:rPr>
                <w:rFonts w:ascii="宋体"/>
              </w:rPr>
            </w:pPr>
          </w:p>
        </w:tc>
        <w:tc>
          <w:tcPr>
            <w:tcW w:w="5" w:type="pct"/>
            <w:shd w:val="clear" w:color="auto" w:fill="auto"/>
            <w:vAlign w:val="bottom"/>
          </w:tcPr>
          <w:p w14:paraId="5F2CC738" w14:textId="77777777" w:rsidR="00E836FB" w:rsidRDefault="00E836FB">
            <w:pPr>
              <w:rPr>
                <w:rFonts w:ascii="宋体"/>
              </w:rPr>
            </w:pPr>
          </w:p>
        </w:tc>
        <w:tc>
          <w:tcPr>
            <w:tcW w:w="26" w:type="pct"/>
            <w:shd w:val="clear" w:color="auto" w:fill="auto"/>
            <w:vAlign w:val="bottom"/>
          </w:tcPr>
          <w:p w14:paraId="5F2CC739" w14:textId="77777777" w:rsidR="00E836FB" w:rsidRDefault="00E836FB">
            <w:pPr>
              <w:rPr>
                <w:rFonts w:ascii="宋体"/>
              </w:rPr>
            </w:pPr>
          </w:p>
        </w:tc>
        <w:tc>
          <w:tcPr>
            <w:tcW w:w="5" w:type="pct"/>
            <w:shd w:val="clear" w:color="auto" w:fill="auto"/>
            <w:vAlign w:val="bottom"/>
          </w:tcPr>
          <w:p w14:paraId="5F2CC73A" w14:textId="77777777" w:rsidR="00E836FB" w:rsidRDefault="00E836FB">
            <w:pPr>
              <w:rPr>
                <w:rFonts w:ascii="宋体"/>
              </w:rPr>
            </w:pPr>
          </w:p>
        </w:tc>
        <w:tc>
          <w:tcPr>
            <w:tcW w:w="50" w:type="pct"/>
            <w:shd w:val="clear" w:color="auto" w:fill="auto"/>
            <w:vAlign w:val="bottom"/>
          </w:tcPr>
          <w:p w14:paraId="5F2CC73B" w14:textId="77777777" w:rsidR="00E836FB" w:rsidRDefault="00E836FB">
            <w:pPr>
              <w:rPr>
                <w:rFonts w:ascii="宋体"/>
              </w:rPr>
            </w:pPr>
          </w:p>
        </w:tc>
        <w:tc>
          <w:tcPr>
            <w:tcW w:w="304" w:type="pct"/>
            <w:shd w:val="clear" w:color="auto" w:fill="auto"/>
            <w:vAlign w:val="bottom"/>
          </w:tcPr>
          <w:p w14:paraId="5F2CC73C" w14:textId="77777777" w:rsidR="00E836FB" w:rsidRDefault="00E836FB">
            <w:pPr>
              <w:rPr>
                <w:rFonts w:ascii="宋体"/>
              </w:rPr>
            </w:pPr>
          </w:p>
        </w:tc>
        <w:tc>
          <w:tcPr>
            <w:tcW w:w="5" w:type="pct"/>
            <w:shd w:val="clear" w:color="auto" w:fill="auto"/>
            <w:vAlign w:val="bottom"/>
          </w:tcPr>
          <w:p w14:paraId="5F2CC73D" w14:textId="77777777" w:rsidR="00E836FB" w:rsidRDefault="00E836FB">
            <w:pPr>
              <w:rPr>
                <w:rFonts w:ascii="宋体"/>
              </w:rPr>
            </w:pPr>
          </w:p>
        </w:tc>
        <w:tc>
          <w:tcPr>
            <w:tcW w:w="5" w:type="pct"/>
            <w:shd w:val="clear" w:color="auto" w:fill="auto"/>
            <w:vAlign w:val="bottom"/>
          </w:tcPr>
          <w:p w14:paraId="5F2CC73E" w14:textId="77777777" w:rsidR="00E836FB" w:rsidRDefault="00E836FB">
            <w:pPr>
              <w:rPr>
                <w:rFonts w:ascii="宋体"/>
              </w:rPr>
            </w:pPr>
          </w:p>
        </w:tc>
        <w:tc>
          <w:tcPr>
            <w:tcW w:w="26" w:type="pct"/>
            <w:shd w:val="clear" w:color="auto" w:fill="auto"/>
            <w:vAlign w:val="bottom"/>
          </w:tcPr>
          <w:p w14:paraId="5F2CC73F" w14:textId="77777777" w:rsidR="00E836FB" w:rsidRDefault="00E836FB">
            <w:pPr>
              <w:rPr>
                <w:rFonts w:ascii="宋体"/>
              </w:rPr>
            </w:pPr>
          </w:p>
        </w:tc>
        <w:tc>
          <w:tcPr>
            <w:tcW w:w="5" w:type="pct"/>
            <w:shd w:val="clear" w:color="auto" w:fill="auto"/>
            <w:vAlign w:val="bottom"/>
          </w:tcPr>
          <w:p w14:paraId="5F2CC740" w14:textId="77777777" w:rsidR="00E836FB" w:rsidRDefault="00E836FB">
            <w:pPr>
              <w:rPr>
                <w:rFonts w:ascii="宋体"/>
              </w:rPr>
            </w:pPr>
          </w:p>
        </w:tc>
        <w:tc>
          <w:tcPr>
            <w:tcW w:w="50" w:type="pct"/>
            <w:shd w:val="clear" w:color="auto" w:fill="auto"/>
            <w:vAlign w:val="bottom"/>
          </w:tcPr>
          <w:p w14:paraId="5F2CC741" w14:textId="77777777" w:rsidR="00E836FB" w:rsidRDefault="00E836FB">
            <w:pPr>
              <w:rPr>
                <w:rFonts w:ascii="宋体"/>
              </w:rPr>
            </w:pPr>
          </w:p>
        </w:tc>
        <w:tc>
          <w:tcPr>
            <w:tcW w:w="318" w:type="pct"/>
            <w:shd w:val="clear" w:color="auto" w:fill="auto"/>
            <w:vAlign w:val="bottom"/>
          </w:tcPr>
          <w:p w14:paraId="5F2CC742" w14:textId="77777777" w:rsidR="00E836FB" w:rsidRDefault="00E836FB">
            <w:pPr>
              <w:rPr>
                <w:rFonts w:ascii="宋体"/>
              </w:rPr>
            </w:pPr>
          </w:p>
        </w:tc>
        <w:tc>
          <w:tcPr>
            <w:tcW w:w="5" w:type="pct"/>
            <w:shd w:val="clear" w:color="auto" w:fill="auto"/>
            <w:vAlign w:val="bottom"/>
          </w:tcPr>
          <w:p w14:paraId="5F2CC743" w14:textId="77777777" w:rsidR="00E836FB" w:rsidRDefault="00E836FB">
            <w:pPr>
              <w:rPr>
                <w:rFonts w:ascii="宋体"/>
              </w:rPr>
            </w:pPr>
          </w:p>
        </w:tc>
        <w:tc>
          <w:tcPr>
            <w:tcW w:w="5" w:type="pct"/>
            <w:shd w:val="clear" w:color="auto" w:fill="auto"/>
            <w:vAlign w:val="bottom"/>
          </w:tcPr>
          <w:p w14:paraId="5F2CC744" w14:textId="77777777" w:rsidR="00E836FB" w:rsidRDefault="00E836FB">
            <w:pPr>
              <w:rPr>
                <w:rFonts w:ascii="宋体"/>
              </w:rPr>
            </w:pPr>
          </w:p>
        </w:tc>
        <w:tc>
          <w:tcPr>
            <w:tcW w:w="26" w:type="pct"/>
            <w:shd w:val="clear" w:color="auto" w:fill="auto"/>
            <w:vAlign w:val="bottom"/>
          </w:tcPr>
          <w:p w14:paraId="5F2CC745" w14:textId="77777777" w:rsidR="00E836FB" w:rsidRDefault="00E836FB">
            <w:pPr>
              <w:rPr>
                <w:rFonts w:ascii="宋体"/>
              </w:rPr>
            </w:pPr>
          </w:p>
        </w:tc>
        <w:tc>
          <w:tcPr>
            <w:tcW w:w="5" w:type="pct"/>
            <w:shd w:val="clear" w:color="auto" w:fill="auto"/>
            <w:vAlign w:val="bottom"/>
          </w:tcPr>
          <w:p w14:paraId="5F2CC746" w14:textId="77777777" w:rsidR="00E836FB" w:rsidRDefault="00E836FB">
            <w:pPr>
              <w:rPr>
                <w:rFonts w:ascii="宋体"/>
              </w:rPr>
            </w:pPr>
          </w:p>
        </w:tc>
        <w:tc>
          <w:tcPr>
            <w:tcW w:w="50" w:type="pct"/>
            <w:shd w:val="clear" w:color="auto" w:fill="auto"/>
            <w:vAlign w:val="bottom"/>
          </w:tcPr>
          <w:p w14:paraId="5F2CC747" w14:textId="77777777" w:rsidR="00E836FB" w:rsidRDefault="00E836FB">
            <w:pPr>
              <w:rPr>
                <w:rFonts w:ascii="宋体"/>
              </w:rPr>
            </w:pPr>
          </w:p>
        </w:tc>
        <w:tc>
          <w:tcPr>
            <w:tcW w:w="319" w:type="pct"/>
            <w:shd w:val="clear" w:color="auto" w:fill="auto"/>
            <w:vAlign w:val="bottom"/>
          </w:tcPr>
          <w:p w14:paraId="5F2CC748" w14:textId="77777777" w:rsidR="00E836FB" w:rsidRDefault="00E836FB">
            <w:pPr>
              <w:rPr>
                <w:rFonts w:ascii="宋体"/>
              </w:rPr>
            </w:pPr>
          </w:p>
        </w:tc>
        <w:tc>
          <w:tcPr>
            <w:tcW w:w="5" w:type="pct"/>
            <w:shd w:val="clear" w:color="auto" w:fill="auto"/>
            <w:vAlign w:val="bottom"/>
          </w:tcPr>
          <w:p w14:paraId="5F2CC749" w14:textId="77777777" w:rsidR="00E836FB" w:rsidRDefault="00E836FB">
            <w:pPr>
              <w:rPr>
                <w:rFonts w:ascii="宋体"/>
              </w:rPr>
            </w:pPr>
          </w:p>
        </w:tc>
      </w:tr>
      <w:tr w:rsidR="00E836FB" w14:paraId="5F2CC74C" w14:textId="77777777">
        <w:tc>
          <w:tcPr>
            <w:tcW w:w="0" w:type="auto"/>
            <w:gridSpan w:val="54"/>
            <w:shd w:val="clear" w:color="auto" w:fill="auto"/>
            <w:tcMar>
              <w:top w:w="40" w:type="dxa"/>
              <w:left w:w="20" w:type="dxa"/>
              <w:bottom w:w="40" w:type="dxa"/>
              <w:right w:w="20" w:type="dxa"/>
            </w:tcMar>
            <w:vAlign w:val="bottom"/>
          </w:tcPr>
          <w:p w14:paraId="5F2CC74B" w14:textId="77777777" w:rsidR="00E836FB" w:rsidRDefault="00994958">
            <w:pPr>
              <w:textAlignment w:val="bottom"/>
            </w:pPr>
            <w:r>
              <w:rPr>
                <w:rFonts w:ascii="Arial" w:eastAsia="宋体" w:hAnsi="Arial" w:cs="Arial"/>
                <w:b/>
                <w:bCs/>
                <w:color w:val="000000"/>
                <w:sz w:val="16"/>
                <w:szCs w:val="16"/>
              </w:rPr>
              <w:t>TABLE 25: CONTRACTUAL MATURITIES AND YIELDS</w:t>
            </w:r>
          </w:p>
        </w:tc>
      </w:tr>
      <w:tr w:rsidR="00E836FB" w14:paraId="5F2CC75F" w14:textId="77777777">
        <w:trPr>
          <w:trHeight w:val="60"/>
        </w:trPr>
        <w:tc>
          <w:tcPr>
            <w:tcW w:w="0" w:type="auto"/>
            <w:gridSpan w:val="3"/>
            <w:shd w:val="clear" w:color="auto" w:fill="auto"/>
            <w:tcMar>
              <w:top w:w="0" w:type="dxa"/>
              <w:left w:w="20" w:type="dxa"/>
              <w:bottom w:w="0" w:type="dxa"/>
              <w:right w:w="20" w:type="dxa"/>
            </w:tcMar>
            <w:vAlign w:val="bottom"/>
          </w:tcPr>
          <w:p w14:paraId="5F2CC74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4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5E" w14:textId="77777777" w:rsidR="00E836FB" w:rsidRDefault="00E836FB">
            <w:pPr>
              <w:rPr>
                <w:rFonts w:ascii="宋体"/>
              </w:rPr>
            </w:pPr>
          </w:p>
        </w:tc>
      </w:tr>
      <w:tr w:rsidR="00E836FB" w14:paraId="5F2CC76A" w14:textId="77777777">
        <w:tc>
          <w:tcPr>
            <w:tcW w:w="0" w:type="auto"/>
            <w:gridSpan w:val="3"/>
            <w:shd w:val="clear" w:color="auto" w:fill="auto"/>
            <w:tcMar>
              <w:top w:w="40" w:type="dxa"/>
              <w:left w:w="20" w:type="dxa"/>
              <w:bottom w:w="40" w:type="dxa"/>
              <w:right w:w="20" w:type="dxa"/>
            </w:tcMar>
            <w:vAlign w:val="bottom"/>
          </w:tcPr>
          <w:p w14:paraId="5F2CC760" w14:textId="77777777" w:rsidR="00E836FB" w:rsidRDefault="00994958">
            <w:pPr>
              <w:textAlignment w:val="bottom"/>
            </w:pPr>
            <w:r>
              <w:rPr>
                <w:rFonts w:ascii="Arial" w:eastAsia="宋体" w:hAnsi="Arial" w:cs="Arial"/>
                <w:b/>
                <w:bCs/>
                <w:color w:val="000000"/>
                <w:sz w:val="15"/>
                <w:szCs w:val="15"/>
              </w:rPr>
              <w:t>As of December 31, 2021</w:t>
            </w:r>
          </w:p>
        </w:tc>
        <w:tc>
          <w:tcPr>
            <w:tcW w:w="0" w:type="auto"/>
            <w:gridSpan w:val="9"/>
            <w:shd w:val="clear" w:color="auto" w:fill="auto"/>
            <w:tcMar>
              <w:top w:w="40" w:type="dxa"/>
              <w:left w:w="20" w:type="dxa"/>
              <w:bottom w:w="40" w:type="dxa"/>
              <w:right w:w="20" w:type="dxa"/>
            </w:tcMar>
            <w:vAlign w:val="bottom"/>
          </w:tcPr>
          <w:p w14:paraId="5F2CC761" w14:textId="77777777" w:rsidR="00E836FB" w:rsidRDefault="00994958">
            <w:pPr>
              <w:jc w:val="center"/>
              <w:textAlignment w:val="bottom"/>
            </w:pPr>
            <w:r>
              <w:rPr>
                <w:rFonts w:ascii="Arial" w:eastAsia="宋体" w:hAnsi="Arial" w:cs="Arial"/>
                <w:b/>
                <w:bCs/>
                <w:color w:val="000000"/>
                <w:sz w:val="15"/>
                <w:szCs w:val="15"/>
              </w:rPr>
              <w:t>Under 1 Year</w:t>
            </w:r>
          </w:p>
        </w:tc>
        <w:tc>
          <w:tcPr>
            <w:tcW w:w="0" w:type="auto"/>
            <w:gridSpan w:val="3"/>
            <w:shd w:val="clear" w:color="auto" w:fill="auto"/>
            <w:tcMar>
              <w:top w:w="0" w:type="dxa"/>
              <w:left w:w="20" w:type="dxa"/>
              <w:bottom w:w="0" w:type="dxa"/>
              <w:right w:w="20" w:type="dxa"/>
            </w:tcMar>
            <w:vAlign w:val="bottom"/>
          </w:tcPr>
          <w:p w14:paraId="5F2CC762"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C763" w14:textId="77777777" w:rsidR="00E836FB" w:rsidRDefault="00994958">
            <w:pPr>
              <w:jc w:val="center"/>
              <w:textAlignment w:val="bottom"/>
            </w:pPr>
            <w:r>
              <w:rPr>
                <w:rFonts w:ascii="Arial" w:eastAsia="宋体" w:hAnsi="Arial" w:cs="Arial"/>
                <w:b/>
                <w:bCs/>
                <w:color w:val="000000"/>
                <w:sz w:val="15"/>
                <w:szCs w:val="15"/>
              </w:rPr>
              <w:t>1 to 5 Years</w:t>
            </w:r>
          </w:p>
        </w:tc>
        <w:tc>
          <w:tcPr>
            <w:tcW w:w="0" w:type="auto"/>
            <w:gridSpan w:val="3"/>
            <w:shd w:val="clear" w:color="auto" w:fill="auto"/>
            <w:tcMar>
              <w:top w:w="0" w:type="dxa"/>
              <w:left w:w="20" w:type="dxa"/>
              <w:bottom w:w="0" w:type="dxa"/>
              <w:right w:w="20" w:type="dxa"/>
            </w:tcMar>
            <w:vAlign w:val="bottom"/>
          </w:tcPr>
          <w:p w14:paraId="5F2CC764"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C765" w14:textId="77777777" w:rsidR="00E836FB" w:rsidRDefault="00994958">
            <w:pPr>
              <w:jc w:val="center"/>
              <w:textAlignment w:val="bottom"/>
            </w:pPr>
            <w:r>
              <w:rPr>
                <w:rFonts w:ascii="Arial" w:eastAsia="宋体" w:hAnsi="Arial" w:cs="Arial"/>
                <w:b/>
                <w:bCs/>
                <w:color w:val="000000"/>
                <w:sz w:val="15"/>
                <w:szCs w:val="15"/>
              </w:rPr>
              <w:t>6 to 10 Years</w:t>
            </w:r>
          </w:p>
        </w:tc>
        <w:tc>
          <w:tcPr>
            <w:tcW w:w="0" w:type="auto"/>
            <w:gridSpan w:val="3"/>
            <w:shd w:val="clear" w:color="auto" w:fill="auto"/>
            <w:tcMar>
              <w:top w:w="0" w:type="dxa"/>
              <w:left w:w="20" w:type="dxa"/>
              <w:bottom w:w="0" w:type="dxa"/>
              <w:right w:w="20" w:type="dxa"/>
            </w:tcMar>
            <w:vAlign w:val="bottom"/>
          </w:tcPr>
          <w:p w14:paraId="5F2CC766"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C767" w14:textId="77777777" w:rsidR="00E836FB" w:rsidRDefault="00994958">
            <w:pPr>
              <w:jc w:val="center"/>
              <w:textAlignment w:val="bottom"/>
            </w:pPr>
            <w:r>
              <w:rPr>
                <w:rFonts w:ascii="Arial" w:eastAsia="宋体" w:hAnsi="Arial" w:cs="Arial"/>
                <w:b/>
                <w:bCs/>
                <w:color w:val="000000"/>
                <w:sz w:val="15"/>
                <w:szCs w:val="15"/>
              </w:rPr>
              <w:t>Over 10 Years</w:t>
            </w:r>
          </w:p>
        </w:tc>
        <w:tc>
          <w:tcPr>
            <w:tcW w:w="0" w:type="auto"/>
            <w:gridSpan w:val="3"/>
            <w:shd w:val="clear" w:color="auto" w:fill="auto"/>
            <w:tcMar>
              <w:top w:w="0" w:type="dxa"/>
              <w:left w:w="20" w:type="dxa"/>
              <w:bottom w:w="0" w:type="dxa"/>
              <w:right w:w="20" w:type="dxa"/>
            </w:tcMar>
            <w:vAlign w:val="bottom"/>
          </w:tcPr>
          <w:p w14:paraId="5F2CC76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769" w14:textId="77777777" w:rsidR="00E836FB" w:rsidRDefault="00994958">
            <w:pPr>
              <w:jc w:val="center"/>
              <w:textAlignment w:val="bottom"/>
            </w:pPr>
            <w:r>
              <w:rPr>
                <w:rFonts w:ascii="Arial" w:eastAsia="宋体" w:hAnsi="Arial" w:cs="Arial"/>
                <w:b/>
                <w:bCs/>
                <w:color w:val="000000"/>
                <w:sz w:val="15"/>
                <w:szCs w:val="15"/>
              </w:rPr>
              <w:t>Total</w:t>
            </w:r>
          </w:p>
        </w:tc>
      </w:tr>
      <w:tr w:rsidR="00E836FB" w14:paraId="5F2CC77D" w14:textId="77777777">
        <w:tc>
          <w:tcPr>
            <w:tcW w:w="0" w:type="auto"/>
            <w:gridSpan w:val="3"/>
            <w:shd w:val="clear" w:color="auto" w:fill="FFFFFF"/>
            <w:tcMar>
              <w:top w:w="40" w:type="dxa"/>
              <w:left w:w="20" w:type="dxa"/>
              <w:bottom w:w="40" w:type="dxa"/>
              <w:right w:w="20" w:type="dxa"/>
            </w:tcMar>
            <w:vAlign w:val="bottom"/>
          </w:tcPr>
          <w:p w14:paraId="5F2CC76B" w14:textId="77777777" w:rsidR="00E836FB" w:rsidRDefault="00994958">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6C" w14:textId="77777777" w:rsidR="00E836FB" w:rsidRDefault="00994958">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76D"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6E" w14:textId="77777777" w:rsidR="00E836FB" w:rsidRDefault="00994958">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vAlign w:val="bottom"/>
          </w:tcPr>
          <w:p w14:paraId="5F2CC76F"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70" w14:textId="77777777" w:rsidR="00E836FB" w:rsidRDefault="00994958">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771"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72" w14:textId="77777777" w:rsidR="00E836FB" w:rsidRDefault="00994958">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vAlign w:val="bottom"/>
          </w:tcPr>
          <w:p w14:paraId="5F2CC773"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74" w14:textId="77777777" w:rsidR="00E836FB" w:rsidRDefault="00994958">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775"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76" w14:textId="77777777" w:rsidR="00E836FB" w:rsidRDefault="00994958">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vAlign w:val="bottom"/>
          </w:tcPr>
          <w:p w14:paraId="5F2CC777"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78" w14:textId="77777777" w:rsidR="00E836FB" w:rsidRDefault="00994958">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779"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7A" w14:textId="77777777" w:rsidR="00E836FB" w:rsidRDefault="00994958">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vAlign w:val="bottom"/>
          </w:tcPr>
          <w:p w14:paraId="5F2CC77B"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CC77C" w14:textId="77777777" w:rsidR="00E836FB" w:rsidRDefault="00994958">
            <w:pPr>
              <w:jc w:val="center"/>
              <w:textAlignment w:val="bottom"/>
            </w:pPr>
            <w:r>
              <w:rPr>
                <w:rFonts w:ascii="Arial" w:eastAsia="宋体" w:hAnsi="Arial" w:cs="Arial"/>
                <w:b/>
                <w:bCs/>
                <w:color w:val="000000"/>
                <w:sz w:val="15"/>
                <w:szCs w:val="15"/>
              </w:rPr>
              <w:t>Amount</w:t>
            </w:r>
          </w:p>
        </w:tc>
      </w:tr>
      <w:tr w:rsidR="00E836FB" w14:paraId="5F2CC790" w14:textId="77777777">
        <w:tc>
          <w:tcPr>
            <w:tcW w:w="0" w:type="auto"/>
            <w:gridSpan w:val="3"/>
            <w:shd w:val="clear" w:color="auto" w:fill="auto"/>
            <w:tcMar>
              <w:top w:w="40" w:type="dxa"/>
              <w:left w:w="20" w:type="dxa"/>
              <w:bottom w:w="40" w:type="dxa"/>
              <w:right w:w="20" w:type="dxa"/>
            </w:tcMar>
            <w:vAlign w:val="bottom"/>
          </w:tcPr>
          <w:p w14:paraId="5F2CC77E" w14:textId="77777777" w:rsidR="00E836FB" w:rsidRDefault="00994958">
            <w:pPr>
              <w:textAlignment w:val="bottom"/>
            </w:pPr>
            <w:r>
              <w:rPr>
                <w:rFonts w:ascii="Arial" w:eastAsia="宋体" w:hAnsi="Arial" w:cs="Arial"/>
                <w:b/>
                <w:bCs/>
                <w:color w:val="000000"/>
                <w:sz w:val="15"/>
                <w:szCs w:val="15"/>
              </w:rPr>
              <w:t>Available-for-sale</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7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8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78F" w14:textId="77777777" w:rsidR="00E836FB" w:rsidRDefault="00E836FB">
            <w:pPr>
              <w:rPr>
                <w:rFonts w:ascii="宋体"/>
              </w:rPr>
            </w:pPr>
          </w:p>
        </w:tc>
      </w:tr>
      <w:tr w:rsidR="00E836FB" w14:paraId="5F2CC7A3" w14:textId="77777777">
        <w:tc>
          <w:tcPr>
            <w:tcW w:w="0" w:type="auto"/>
            <w:gridSpan w:val="3"/>
            <w:shd w:val="clear" w:color="auto" w:fill="auto"/>
            <w:tcMar>
              <w:top w:w="40" w:type="dxa"/>
              <w:left w:w="20" w:type="dxa"/>
              <w:bottom w:w="40" w:type="dxa"/>
              <w:right w:w="20" w:type="dxa"/>
            </w:tcMar>
            <w:vAlign w:val="bottom"/>
          </w:tcPr>
          <w:p w14:paraId="5F2CC791" w14:textId="77777777" w:rsidR="00E836FB" w:rsidRDefault="00994958">
            <w:pPr>
              <w:jc w:val="both"/>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5F2CC7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7A2" w14:textId="77777777" w:rsidR="00E836FB" w:rsidRDefault="00E836FB">
            <w:pPr>
              <w:rPr>
                <w:rFonts w:ascii="宋体"/>
              </w:rPr>
            </w:pPr>
          </w:p>
        </w:tc>
      </w:tr>
      <w:tr w:rsidR="00994958" w14:paraId="5F2CC7C4" w14:textId="77777777">
        <w:tc>
          <w:tcPr>
            <w:tcW w:w="0" w:type="auto"/>
            <w:gridSpan w:val="3"/>
            <w:shd w:val="clear" w:color="auto" w:fill="CCEEFF"/>
            <w:tcMar>
              <w:top w:w="40" w:type="dxa"/>
              <w:left w:w="20" w:type="dxa"/>
              <w:bottom w:w="40" w:type="dxa"/>
              <w:right w:w="20" w:type="dxa"/>
            </w:tcMar>
            <w:vAlign w:val="bottom"/>
          </w:tcPr>
          <w:p w14:paraId="5F2CC7A4" w14:textId="77777777" w:rsidR="00E836FB" w:rsidRDefault="00994958">
            <w:pPr>
              <w:textAlignment w:val="bottom"/>
            </w:pPr>
            <w:r>
              <w:rPr>
                <w:rFonts w:ascii="Arial" w:eastAsia="宋体" w:hAnsi="Arial" w:cs="Arial"/>
                <w:color w:val="000000"/>
                <w:sz w:val="15"/>
                <w:szCs w:val="15"/>
              </w:rPr>
              <w:t>  Direct obligations</w:t>
            </w:r>
          </w:p>
        </w:tc>
        <w:tc>
          <w:tcPr>
            <w:tcW w:w="0" w:type="auto"/>
            <w:shd w:val="clear" w:color="auto" w:fill="CCEEFF"/>
            <w:tcMar>
              <w:top w:w="40" w:type="dxa"/>
              <w:left w:w="20" w:type="dxa"/>
              <w:bottom w:w="40" w:type="dxa"/>
              <w:right w:w="0" w:type="dxa"/>
            </w:tcMar>
            <w:vAlign w:val="bottom"/>
          </w:tcPr>
          <w:p w14:paraId="5F2CC7A5"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7A6" w14:textId="77777777" w:rsidR="00E836FB" w:rsidRDefault="00994958">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7A9" w14:textId="77777777" w:rsidR="00E836FB" w:rsidRDefault="00994958">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AA"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7A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7A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7AD" w14:textId="77777777" w:rsidR="00E836FB" w:rsidRDefault="00994958">
            <w:pPr>
              <w:jc w:val="right"/>
              <w:textAlignment w:val="bottom"/>
            </w:pPr>
            <w:r>
              <w:rPr>
                <w:rFonts w:ascii="Arial" w:eastAsia="宋体" w:hAnsi="Arial" w:cs="Arial"/>
                <w:b/>
                <w:bCs/>
                <w:color w:val="000000"/>
                <w:sz w:val="15"/>
                <w:szCs w:val="15"/>
              </w:rPr>
              <w:t>14,912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A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7B0" w14:textId="77777777" w:rsidR="00E836FB" w:rsidRDefault="00994958">
            <w:pPr>
              <w:jc w:val="right"/>
              <w:textAlignment w:val="bottom"/>
            </w:pPr>
            <w:r>
              <w:rPr>
                <w:rFonts w:ascii="Arial" w:eastAsia="宋体" w:hAnsi="Arial" w:cs="Arial"/>
                <w:b/>
                <w:bCs/>
                <w:color w:val="000000"/>
                <w:sz w:val="15"/>
                <w:szCs w:val="15"/>
              </w:rPr>
              <w:t>.68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B1"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7B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7B3"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7B4" w14:textId="77777777" w:rsidR="00E836FB" w:rsidRDefault="00994958">
            <w:pPr>
              <w:jc w:val="right"/>
              <w:textAlignment w:val="bottom"/>
            </w:pPr>
            <w:r>
              <w:rPr>
                <w:rFonts w:ascii="Arial" w:eastAsia="宋体" w:hAnsi="Arial" w:cs="Arial"/>
                <w:b/>
                <w:bCs/>
                <w:color w:val="000000"/>
                <w:sz w:val="15"/>
                <w:szCs w:val="15"/>
              </w:rPr>
              <w:t>1,051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B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7B7" w14:textId="77777777" w:rsidR="00E836FB" w:rsidRDefault="00994958">
            <w:pPr>
              <w:jc w:val="right"/>
              <w:textAlignment w:val="bottom"/>
            </w:pPr>
            <w:r>
              <w:rPr>
                <w:rFonts w:ascii="Arial" w:eastAsia="宋体" w:hAnsi="Arial" w:cs="Arial"/>
                <w:b/>
                <w:bCs/>
                <w:color w:val="000000"/>
                <w:sz w:val="15"/>
                <w:szCs w:val="15"/>
              </w:rPr>
              <w:t>1.49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B8"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7B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7BA"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7BB"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7B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BF"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7C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7C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7C2" w14:textId="77777777" w:rsidR="00E836FB" w:rsidRDefault="00994958">
            <w:pPr>
              <w:jc w:val="right"/>
              <w:textAlignment w:val="bottom"/>
            </w:pPr>
            <w:r>
              <w:rPr>
                <w:rFonts w:ascii="Arial" w:eastAsia="宋体" w:hAnsi="Arial" w:cs="Arial"/>
                <w:b/>
                <w:bCs/>
                <w:color w:val="000000"/>
                <w:sz w:val="15"/>
                <w:szCs w:val="15"/>
              </w:rPr>
              <w:t>17,939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7C3" w14:textId="77777777" w:rsidR="00E836FB" w:rsidRDefault="00E836FB">
            <w:pPr>
              <w:jc w:val="right"/>
              <w:rPr>
                <w:rFonts w:ascii="宋体"/>
              </w:rPr>
            </w:pPr>
          </w:p>
        </w:tc>
      </w:tr>
      <w:tr w:rsidR="00E836FB" w14:paraId="5F2CC7E0" w14:textId="77777777">
        <w:tc>
          <w:tcPr>
            <w:tcW w:w="0" w:type="auto"/>
            <w:gridSpan w:val="3"/>
            <w:shd w:val="clear" w:color="auto" w:fill="FFFFFF"/>
            <w:tcMar>
              <w:top w:w="40" w:type="dxa"/>
              <w:left w:w="20" w:type="dxa"/>
              <w:bottom w:w="40" w:type="dxa"/>
              <w:right w:w="20" w:type="dxa"/>
            </w:tcMar>
            <w:vAlign w:val="bottom"/>
          </w:tcPr>
          <w:p w14:paraId="5F2CC7C5" w14:textId="77777777" w:rsidR="00E836FB" w:rsidRDefault="00994958">
            <w:pPr>
              <w:textAlignment w:val="bottom"/>
            </w:pPr>
            <w:r>
              <w:rPr>
                <w:rFonts w:ascii="Arial" w:eastAsia="宋体" w:hAnsi="Arial" w:cs="Arial"/>
                <w:color w:val="000000"/>
                <w:sz w:val="15"/>
                <w:szCs w:val="15"/>
              </w:rPr>
              <w:t>  Mortgage-backed securities</w:t>
            </w:r>
          </w:p>
        </w:tc>
        <w:tc>
          <w:tcPr>
            <w:tcW w:w="0" w:type="auto"/>
            <w:gridSpan w:val="2"/>
            <w:shd w:val="clear" w:color="auto" w:fill="FFFFFF"/>
            <w:tcMar>
              <w:top w:w="40" w:type="dxa"/>
              <w:left w:w="20" w:type="dxa"/>
              <w:bottom w:w="40" w:type="dxa"/>
              <w:right w:w="0" w:type="dxa"/>
            </w:tcMar>
            <w:vAlign w:val="bottom"/>
          </w:tcPr>
          <w:p w14:paraId="5F2CC7C6" w14:textId="77777777" w:rsidR="00E836FB" w:rsidRDefault="00994958">
            <w:pPr>
              <w:jc w:val="right"/>
              <w:textAlignment w:val="bottom"/>
            </w:pPr>
            <w:r>
              <w:rPr>
                <w:rFonts w:ascii="Arial" w:eastAsia="宋体" w:hAnsi="Arial" w:cs="Arial"/>
                <w:b/>
                <w:bCs/>
                <w:color w:val="000000"/>
                <w:sz w:val="15"/>
                <w:szCs w:val="15"/>
              </w:rPr>
              <w:t>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C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C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C9" w14:textId="77777777" w:rsidR="00E836FB" w:rsidRDefault="00994958">
            <w:pPr>
              <w:jc w:val="right"/>
              <w:textAlignment w:val="bottom"/>
            </w:pPr>
            <w:r>
              <w:rPr>
                <w:rFonts w:ascii="Arial" w:eastAsia="宋体" w:hAnsi="Arial" w:cs="Arial"/>
                <w:b/>
                <w:bCs/>
                <w:color w:val="000000"/>
                <w:sz w:val="15"/>
                <w:szCs w:val="15"/>
              </w:rPr>
              <w:t>3.49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C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CC" w14:textId="77777777" w:rsidR="00E836FB" w:rsidRDefault="00994958">
            <w:pPr>
              <w:jc w:val="right"/>
              <w:textAlignment w:val="bottom"/>
            </w:pPr>
            <w:r>
              <w:rPr>
                <w:rFonts w:ascii="Arial" w:eastAsia="宋体" w:hAnsi="Arial" w:cs="Arial"/>
                <w:b/>
                <w:bCs/>
                <w:color w:val="000000"/>
                <w:sz w:val="15"/>
                <w:szCs w:val="15"/>
              </w:rPr>
              <w:t>846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CF" w14:textId="77777777" w:rsidR="00E836FB" w:rsidRDefault="00994958">
            <w:pPr>
              <w:jc w:val="right"/>
              <w:textAlignment w:val="bottom"/>
            </w:pPr>
            <w:r>
              <w:rPr>
                <w:rFonts w:ascii="Arial" w:eastAsia="宋体" w:hAnsi="Arial" w:cs="Arial"/>
                <w:b/>
                <w:bCs/>
                <w:color w:val="000000"/>
                <w:sz w:val="15"/>
                <w:szCs w:val="15"/>
              </w:rPr>
              <w:t>1.37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D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D2" w14:textId="77777777" w:rsidR="00E836FB" w:rsidRDefault="00994958">
            <w:pPr>
              <w:jc w:val="right"/>
              <w:textAlignment w:val="bottom"/>
            </w:pPr>
            <w:r>
              <w:rPr>
                <w:rFonts w:ascii="Arial" w:eastAsia="宋体" w:hAnsi="Arial" w:cs="Arial"/>
                <w:b/>
                <w:bCs/>
                <w:color w:val="000000"/>
                <w:sz w:val="15"/>
                <w:szCs w:val="15"/>
              </w:rPr>
              <w:t>7,620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D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D5" w14:textId="77777777" w:rsidR="00E836FB" w:rsidRDefault="00994958">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D8" w14:textId="77777777" w:rsidR="00E836FB" w:rsidRDefault="00994958">
            <w:pPr>
              <w:jc w:val="right"/>
              <w:textAlignment w:val="bottom"/>
            </w:pPr>
            <w:r>
              <w:rPr>
                <w:rFonts w:ascii="Arial" w:eastAsia="宋体" w:hAnsi="Arial" w:cs="Arial"/>
                <w:b/>
                <w:bCs/>
                <w:color w:val="000000"/>
                <w:sz w:val="15"/>
                <w:szCs w:val="15"/>
              </w:rPr>
              <w:t>9,669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D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DB" w14:textId="77777777" w:rsidR="00E836FB" w:rsidRDefault="00994958">
            <w:pPr>
              <w:jc w:val="right"/>
              <w:textAlignment w:val="bottom"/>
            </w:pPr>
            <w:r>
              <w:rPr>
                <w:rFonts w:ascii="Arial" w:eastAsia="宋体" w:hAnsi="Arial" w:cs="Arial"/>
                <w:b/>
                <w:bCs/>
                <w:color w:val="000000"/>
                <w:sz w:val="15"/>
                <w:szCs w:val="15"/>
              </w:rPr>
              <w:t>2.07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D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7D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7DE" w14:textId="77777777" w:rsidR="00E836FB" w:rsidRDefault="00994958">
            <w:pPr>
              <w:jc w:val="right"/>
              <w:textAlignment w:val="bottom"/>
            </w:pPr>
            <w:r>
              <w:rPr>
                <w:rFonts w:ascii="Arial" w:eastAsia="宋体" w:hAnsi="Arial" w:cs="Arial"/>
                <w:b/>
                <w:bCs/>
                <w:color w:val="000000"/>
                <w:sz w:val="15"/>
                <w:szCs w:val="15"/>
              </w:rPr>
              <w:t>18,208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7DF" w14:textId="77777777" w:rsidR="00E836FB" w:rsidRDefault="00E836FB">
            <w:pPr>
              <w:jc w:val="right"/>
              <w:rPr>
                <w:rFonts w:ascii="宋体"/>
              </w:rPr>
            </w:pPr>
          </w:p>
        </w:tc>
      </w:tr>
      <w:tr w:rsidR="00E836FB" w14:paraId="5F2CC7F8" w14:textId="77777777">
        <w:tc>
          <w:tcPr>
            <w:tcW w:w="0" w:type="auto"/>
            <w:gridSpan w:val="3"/>
            <w:shd w:val="clear" w:color="auto" w:fill="CCEEFF"/>
            <w:tcMar>
              <w:top w:w="40" w:type="dxa"/>
              <w:left w:w="245" w:type="dxa"/>
              <w:bottom w:w="40" w:type="dxa"/>
              <w:right w:w="20" w:type="dxa"/>
            </w:tcMar>
            <w:vAlign w:val="bottom"/>
          </w:tcPr>
          <w:p w14:paraId="5F2CC7E1"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7E2" w14:textId="77777777" w:rsidR="00E836FB" w:rsidRDefault="00994958">
            <w:pPr>
              <w:jc w:val="right"/>
              <w:textAlignment w:val="bottom"/>
            </w:pPr>
            <w:r>
              <w:rPr>
                <w:rFonts w:ascii="Arial" w:eastAsia="宋体" w:hAnsi="Arial" w:cs="Arial"/>
                <w:b/>
                <w:bCs/>
                <w:color w:val="000000"/>
                <w:sz w:val="15"/>
                <w:szCs w:val="15"/>
              </w:rPr>
              <w:t>2,049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7E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E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E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E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7E7" w14:textId="77777777" w:rsidR="00E836FB" w:rsidRDefault="00994958">
            <w:pPr>
              <w:jc w:val="right"/>
              <w:textAlignment w:val="bottom"/>
            </w:pPr>
            <w:r>
              <w:rPr>
                <w:rFonts w:ascii="Arial" w:eastAsia="宋体" w:hAnsi="Arial" w:cs="Arial"/>
                <w:b/>
                <w:bCs/>
                <w:color w:val="000000"/>
                <w:sz w:val="15"/>
                <w:szCs w:val="15"/>
              </w:rPr>
              <w:t>15,758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7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E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E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E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7EC" w14:textId="77777777" w:rsidR="00E836FB" w:rsidRDefault="00994958">
            <w:pPr>
              <w:jc w:val="right"/>
              <w:textAlignment w:val="bottom"/>
            </w:pPr>
            <w:r>
              <w:rPr>
                <w:rFonts w:ascii="Arial" w:eastAsia="宋体" w:hAnsi="Arial" w:cs="Arial"/>
                <w:b/>
                <w:bCs/>
                <w:color w:val="000000"/>
                <w:sz w:val="15"/>
                <w:szCs w:val="15"/>
              </w:rPr>
              <w:t>8,671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7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E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E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F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7F1" w14:textId="77777777" w:rsidR="00E836FB" w:rsidRDefault="00994958">
            <w:pPr>
              <w:jc w:val="right"/>
              <w:textAlignment w:val="bottom"/>
            </w:pPr>
            <w:r>
              <w:rPr>
                <w:rFonts w:ascii="Arial" w:eastAsia="宋体" w:hAnsi="Arial" w:cs="Arial"/>
                <w:b/>
                <w:bCs/>
                <w:color w:val="000000"/>
                <w:sz w:val="15"/>
                <w:szCs w:val="15"/>
              </w:rPr>
              <w:t>9,669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7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7F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F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7F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7F6" w14:textId="77777777" w:rsidR="00E836FB" w:rsidRDefault="00994958">
            <w:pPr>
              <w:jc w:val="right"/>
              <w:textAlignment w:val="bottom"/>
            </w:pPr>
            <w:r>
              <w:rPr>
                <w:rFonts w:ascii="Arial" w:eastAsia="宋体" w:hAnsi="Arial" w:cs="Arial"/>
                <w:b/>
                <w:bCs/>
                <w:color w:val="000000"/>
                <w:sz w:val="15"/>
                <w:szCs w:val="15"/>
              </w:rPr>
              <w:t>36,147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7F7" w14:textId="77777777" w:rsidR="00E836FB" w:rsidRDefault="00E836FB">
            <w:pPr>
              <w:jc w:val="right"/>
              <w:rPr>
                <w:rFonts w:ascii="宋体"/>
              </w:rPr>
            </w:pPr>
          </w:p>
        </w:tc>
      </w:tr>
      <w:tr w:rsidR="00E836FB" w14:paraId="5F2CC80B" w14:textId="77777777">
        <w:tc>
          <w:tcPr>
            <w:tcW w:w="0" w:type="auto"/>
            <w:gridSpan w:val="3"/>
            <w:shd w:val="clear" w:color="auto" w:fill="FFFFFF"/>
            <w:tcMar>
              <w:top w:w="40" w:type="dxa"/>
              <w:left w:w="20" w:type="dxa"/>
              <w:bottom w:w="40" w:type="dxa"/>
              <w:right w:w="20" w:type="dxa"/>
            </w:tcMar>
            <w:vAlign w:val="bottom"/>
          </w:tcPr>
          <w:p w14:paraId="5F2CC7F9"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7F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7F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7F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7F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7F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7F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0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0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09"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0A" w14:textId="77777777" w:rsidR="00E836FB" w:rsidRDefault="00E836FB">
            <w:pPr>
              <w:rPr>
                <w:rFonts w:ascii="宋体"/>
              </w:rPr>
            </w:pPr>
          </w:p>
        </w:tc>
      </w:tr>
      <w:tr w:rsidR="00E836FB" w14:paraId="5F2CC827" w14:textId="77777777">
        <w:tc>
          <w:tcPr>
            <w:tcW w:w="0" w:type="auto"/>
            <w:gridSpan w:val="3"/>
            <w:shd w:val="clear" w:color="auto" w:fill="CCEEFF"/>
            <w:tcMar>
              <w:top w:w="40" w:type="dxa"/>
              <w:left w:w="140" w:type="dxa"/>
              <w:bottom w:w="40" w:type="dxa"/>
              <w:right w:w="20" w:type="dxa"/>
            </w:tcMar>
            <w:vAlign w:val="bottom"/>
          </w:tcPr>
          <w:p w14:paraId="5F2CC80C"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F2CC80D" w14:textId="77777777" w:rsidR="00E836FB" w:rsidRDefault="00994958">
            <w:pPr>
              <w:jc w:val="right"/>
              <w:textAlignment w:val="bottom"/>
            </w:pPr>
            <w:r>
              <w:rPr>
                <w:rFonts w:ascii="Arial" w:eastAsia="宋体" w:hAnsi="Arial" w:cs="Arial"/>
                <w:b/>
                <w:bCs/>
                <w:color w:val="000000"/>
                <w:sz w:val="15"/>
                <w:szCs w:val="15"/>
              </w:rPr>
              <w:t>164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0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0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10" w14:textId="77777777" w:rsidR="00E836FB" w:rsidRDefault="00994958">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1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13" w14:textId="77777777" w:rsidR="00E836FB" w:rsidRDefault="00994958">
            <w:pPr>
              <w:jc w:val="right"/>
              <w:textAlignment w:val="bottom"/>
            </w:pPr>
            <w:r>
              <w:rPr>
                <w:rFonts w:ascii="Arial" w:eastAsia="宋体" w:hAnsi="Arial" w:cs="Arial"/>
                <w:b/>
                <w:bCs/>
                <w:color w:val="000000"/>
                <w:sz w:val="15"/>
                <w:szCs w:val="15"/>
              </w:rPr>
              <w:t>527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1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16" w14:textId="77777777" w:rsidR="00E836FB" w:rsidRDefault="00994958">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1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1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19" w14:textId="77777777" w:rsidR="00E836FB" w:rsidRDefault="00994958">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1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1C" w14:textId="77777777" w:rsidR="00E836FB" w:rsidRDefault="00994958">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1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1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1F" w14:textId="77777777" w:rsidR="00E836FB" w:rsidRDefault="00994958">
            <w:pPr>
              <w:jc w:val="right"/>
              <w:textAlignment w:val="bottom"/>
            </w:pPr>
            <w:r>
              <w:rPr>
                <w:rFonts w:ascii="Arial" w:eastAsia="宋体" w:hAnsi="Arial" w:cs="Arial"/>
                <w:b/>
                <w:bCs/>
                <w:color w:val="000000"/>
                <w:sz w:val="15"/>
                <w:szCs w:val="15"/>
              </w:rPr>
              <w:t>1,271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2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22" w14:textId="77777777" w:rsidR="00E836FB" w:rsidRDefault="00994958">
            <w:pPr>
              <w:jc w:val="right"/>
              <w:textAlignment w:val="bottom"/>
            </w:pPr>
            <w:r>
              <w:rPr>
                <w:rFonts w:ascii="Arial" w:eastAsia="宋体" w:hAnsi="Arial" w:cs="Arial"/>
                <w:b/>
                <w:bCs/>
                <w:color w:val="000000"/>
                <w:sz w:val="15"/>
                <w:szCs w:val="15"/>
              </w:rPr>
              <w:t>.93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2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25" w14:textId="77777777" w:rsidR="00E836FB" w:rsidRDefault="00994958">
            <w:pPr>
              <w:jc w:val="right"/>
              <w:textAlignment w:val="bottom"/>
            </w:pPr>
            <w:r>
              <w:rPr>
                <w:rFonts w:ascii="Arial" w:eastAsia="宋体" w:hAnsi="Arial" w:cs="Arial"/>
                <w:b/>
                <w:bCs/>
                <w:color w:val="000000"/>
                <w:sz w:val="15"/>
                <w:szCs w:val="15"/>
              </w:rPr>
              <w:t>1,995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26" w14:textId="77777777" w:rsidR="00E836FB" w:rsidRDefault="00E836FB">
            <w:pPr>
              <w:jc w:val="right"/>
              <w:rPr>
                <w:rFonts w:ascii="宋体"/>
              </w:rPr>
            </w:pPr>
          </w:p>
        </w:tc>
      </w:tr>
      <w:tr w:rsidR="00E836FB" w14:paraId="5F2CC843" w14:textId="77777777">
        <w:tc>
          <w:tcPr>
            <w:tcW w:w="0" w:type="auto"/>
            <w:gridSpan w:val="3"/>
            <w:shd w:val="clear" w:color="auto" w:fill="FFFFFF"/>
            <w:tcMar>
              <w:top w:w="40" w:type="dxa"/>
              <w:left w:w="140" w:type="dxa"/>
              <w:bottom w:w="40" w:type="dxa"/>
              <w:right w:w="20" w:type="dxa"/>
            </w:tcMar>
            <w:vAlign w:val="bottom"/>
          </w:tcPr>
          <w:p w14:paraId="5F2CC828"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F2CC829" w14:textId="77777777" w:rsidR="00E836FB" w:rsidRDefault="00994958">
            <w:pPr>
              <w:jc w:val="right"/>
              <w:textAlignment w:val="bottom"/>
            </w:pPr>
            <w:r>
              <w:rPr>
                <w:rFonts w:ascii="Arial" w:eastAsia="宋体" w:hAnsi="Arial" w:cs="Arial"/>
                <w:b/>
                <w:bCs/>
                <w:color w:val="000000"/>
                <w:sz w:val="15"/>
                <w:szCs w:val="15"/>
              </w:rPr>
              <w:t>302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2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2C" w14:textId="77777777" w:rsidR="00E836FB" w:rsidRDefault="00994958">
            <w:pPr>
              <w:jc w:val="right"/>
              <w:textAlignment w:val="bottom"/>
            </w:pPr>
            <w:r>
              <w:rPr>
                <w:rFonts w:ascii="Arial" w:eastAsia="宋体" w:hAnsi="Arial" w:cs="Arial"/>
                <w:b/>
                <w:bCs/>
                <w:color w:val="000000"/>
                <w:sz w:val="15"/>
                <w:szCs w:val="15"/>
              </w:rPr>
              <w:t>.60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2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2F" w14:textId="77777777" w:rsidR="00E836FB" w:rsidRDefault="00994958">
            <w:pPr>
              <w:jc w:val="right"/>
              <w:textAlignment w:val="bottom"/>
            </w:pPr>
            <w:r>
              <w:rPr>
                <w:rFonts w:ascii="Arial" w:eastAsia="宋体" w:hAnsi="Arial" w:cs="Arial"/>
                <w:b/>
                <w:bCs/>
                <w:color w:val="000000"/>
                <w:sz w:val="15"/>
                <w:szCs w:val="15"/>
              </w:rPr>
              <w:t>1,041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32" w14:textId="77777777" w:rsidR="00E836FB" w:rsidRDefault="00994958">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3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35" w14:textId="77777777" w:rsidR="00E836FB" w:rsidRDefault="00994958">
            <w:pPr>
              <w:jc w:val="right"/>
              <w:textAlignment w:val="bottom"/>
            </w:pPr>
            <w:r>
              <w:rPr>
                <w:rFonts w:ascii="Arial" w:eastAsia="宋体" w:hAnsi="Arial" w:cs="Arial"/>
                <w:b/>
                <w:bCs/>
                <w:color w:val="000000"/>
                <w:sz w:val="15"/>
                <w:szCs w:val="15"/>
              </w:rPr>
              <w:t>454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3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38" w14:textId="77777777" w:rsidR="00E836FB" w:rsidRDefault="00994958">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3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3B" w14:textId="77777777" w:rsidR="00E836FB" w:rsidRDefault="00994958">
            <w:pPr>
              <w:jc w:val="right"/>
              <w:textAlignment w:val="bottom"/>
            </w:pPr>
            <w:r>
              <w:rPr>
                <w:rFonts w:ascii="Arial" w:eastAsia="宋体" w:hAnsi="Arial" w:cs="Arial"/>
                <w:b/>
                <w:bCs/>
                <w:color w:val="000000"/>
                <w:sz w:val="15"/>
                <w:szCs w:val="15"/>
              </w:rPr>
              <w:t>290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3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3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3E" w14:textId="77777777" w:rsidR="00E836FB" w:rsidRDefault="00994958">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3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4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41" w14:textId="77777777" w:rsidR="00E836FB" w:rsidRDefault="00994958">
            <w:pPr>
              <w:jc w:val="right"/>
              <w:textAlignment w:val="bottom"/>
            </w:pPr>
            <w:r>
              <w:rPr>
                <w:rFonts w:ascii="Arial" w:eastAsia="宋体" w:hAnsi="Arial" w:cs="Arial"/>
                <w:b/>
                <w:bCs/>
                <w:color w:val="000000"/>
                <w:sz w:val="15"/>
                <w:szCs w:val="15"/>
              </w:rPr>
              <w:t>2,087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42" w14:textId="77777777" w:rsidR="00E836FB" w:rsidRDefault="00E836FB">
            <w:pPr>
              <w:jc w:val="right"/>
              <w:rPr>
                <w:rFonts w:ascii="宋体"/>
              </w:rPr>
            </w:pPr>
          </w:p>
        </w:tc>
      </w:tr>
      <w:tr w:rsidR="00E836FB" w14:paraId="5F2CC85F" w14:textId="77777777">
        <w:tc>
          <w:tcPr>
            <w:tcW w:w="0" w:type="auto"/>
            <w:gridSpan w:val="3"/>
            <w:shd w:val="clear" w:color="auto" w:fill="CCEEFF"/>
            <w:tcMar>
              <w:top w:w="40" w:type="dxa"/>
              <w:left w:w="140" w:type="dxa"/>
              <w:bottom w:w="40" w:type="dxa"/>
              <w:right w:w="20" w:type="dxa"/>
            </w:tcMar>
            <w:vAlign w:val="bottom"/>
          </w:tcPr>
          <w:p w14:paraId="5F2CC844" w14:textId="77777777" w:rsidR="00E836FB" w:rsidRDefault="00994958">
            <w:pPr>
              <w:textAlignment w:val="bottom"/>
            </w:pPr>
            <w:r>
              <w:rPr>
                <w:rFonts w:ascii="Arial" w:eastAsia="宋体" w:hAnsi="Arial" w:cs="Arial"/>
                <w:color w:val="000000"/>
                <w:sz w:val="15"/>
                <w:szCs w:val="15"/>
              </w:rPr>
              <w:t>Non-U.S. sovereign, supranational</w:t>
            </w:r>
            <w:r>
              <w:rPr>
                <w:rFonts w:ascii="Arial" w:eastAsia="宋体" w:hAnsi="Arial" w:cs="Arial"/>
                <w:color w:val="000000"/>
                <w:sz w:val="15"/>
                <w:szCs w:val="15"/>
              </w:rPr>
              <w:br/>
              <w:t>and non-U.S. agency</w:t>
            </w:r>
          </w:p>
        </w:tc>
        <w:tc>
          <w:tcPr>
            <w:tcW w:w="0" w:type="auto"/>
            <w:gridSpan w:val="2"/>
            <w:shd w:val="clear" w:color="auto" w:fill="CCEEFF"/>
            <w:tcMar>
              <w:top w:w="40" w:type="dxa"/>
              <w:left w:w="20" w:type="dxa"/>
              <w:bottom w:w="40" w:type="dxa"/>
              <w:right w:w="0" w:type="dxa"/>
            </w:tcMar>
            <w:vAlign w:val="bottom"/>
          </w:tcPr>
          <w:p w14:paraId="5F2CC845" w14:textId="77777777" w:rsidR="00E836FB" w:rsidRDefault="00994958">
            <w:pPr>
              <w:jc w:val="right"/>
              <w:textAlignment w:val="bottom"/>
            </w:pPr>
            <w:r>
              <w:rPr>
                <w:rFonts w:ascii="Arial" w:eastAsia="宋体" w:hAnsi="Arial" w:cs="Arial"/>
                <w:b/>
                <w:bCs/>
                <w:color w:val="000000"/>
                <w:sz w:val="15"/>
                <w:szCs w:val="15"/>
              </w:rPr>
              <w:t>4,480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4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48" w14:textId="77777777" w:rsidR="00E836FB" w:rsidRDefault="00994958">
            <w:pPr>
              <w:jc w:val="right"/>
              <w:textAlignment w:val="bottom"/>
            </w:pPr>
            <w:r>
              <w:rPr>
                <w:rFonts w:ascii="Arial" w:eastAsia="宋体" w:hAnsi="Arial" w:cs="Arial"/>
                <w:b/>
                <w:bCs/>
                <w:color w:val="000000"/>
                <w:sz w:val="15"/>
                <w:szCs w:val="15"/>
              </w:rPr>
              <w:t>4.43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4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4B" w14:textId="77777777" w:rsidR="00E836FB" w:rsidRDefault="00994958">
            <w:pPr>
              <w:jc w:val="right"/>
              <w:textAlignment w:val="bottom"/>
            </w:pPr>
            <w:r>
              <w:rPr>
                <w:rFonts w:ascii="Arial" w:eastAsia="宋体" w:hAnsi="Arial" w:cs="Arial"/>
                <w:b/>
                <w:bCs/>
                <w:color w:val="000000"/>
                <w:sz w:val="15"/>
                <w:szCs w:val="15"/>
              </w:rPr>
              <w:t>16,336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4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4E" w14:textId="77777777" w:rsidR="00E836FB" w:rsidRDefault="00994958">
            <w:pPr>
              <w:jc w:val="right"/>
              <w:textAlignment w:val="bottom"/>
            </w:pPr>
            <w:r>
              <w:rPr>
                <w:rFonts w:ascii="Arial" w:eastAsia="宋体" w:hAnsi="Arial" w:cs="Arial"/>
                <w:b/>
                <w:bCs/>
                <w:color w:val="000000"/>
                <w:sz w:val="15"/>
                <w:szCs w:val="15"/>
              </w:rPr>
              <w:t>3.44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51" w14:textId="77777777" w:rsidR="00E836FB" w:rsidRDefault="00994958">
            <w:pPr>
              <w:jc w:val="right"/>
              <w:textAlignment w:val="bottom"/>
            </w:pPr>
            <w:r>
              <w:rPr>
                <w:rFonts w:ascii="Arial" w:eastAsia="宋体" w:hAnsi="Arial" w:cs="Arial"/>
                <w:b/>
                <w:bCs/>
                <w:color w:val="000000"/>
                <w:sz w:val="15"/>
                <w:szCs w:val="15"/>
              </w:rPr>
              <w:t>2,717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54" w14:textId="77777777" w:rsidR="00E836FB" w:rsidRDefault="00994958">
            <w:pPr>
              <w:jc w:val="right"/>
              <w:textAlignment w:val="bottom"/>
            </w:pPr>
            <w:r>
              <w:rPr>
                <w:rFonts w:ascii="Arial" w:eastAsia="宋体" w:hAnsi="Arial" w:cs="Arial"/>
                <w:b/>
                <w:bCs/>
                <w:color w:val="000000"/>
                <w:sz w:val="15"/>
                <w:szCs w:val="15"/>
              </w:rPr>
              <w:t>2.40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57" w14:textId="77777777" w:rsidR="00E836FB" w:rsidRDefault="00994958">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5A" w14:textId="77777777" w:rsidR="00E836FB" w:rsidRDefault="00994958">
            <w:pPr>
              <w:jc w:val="right"/>
              <w:textAlignment w:val="bottom"/>
            </w:pPr>
            <w:r>
              <w:rPr>
                <w:rFonts w:ascii="Arial" w:eastAsia="宋体" w:hAnsi="Arial" w:cs="Arial"/>
                <w:b/>
                <w:bCs/>
                <w:color w:val="000000"/>
                <w:sz w:val="15"/>
                <w:szCs w:val="15"/>
              </w:rPr>
              <w:t>1.41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5D" w14:textId="77777777" w:rsidR="00E836FB" w:rsidRDefault="00994958">
            <w:pPr>
              <w:jc w:val="right"/>
              <w:textAlignment w:val="bottom"/>
            </w:pPr>
            <w:r>
              <w:rPr>
                <w:rFonts w:ascii="Arial" w:eastAsia="宋体" w:hAnsi="Arial" w:cs="Arial"/>
                <w:b/>
                <w:bCs/>
                <w:color w:val="000000"/>
                <w:sz w:val="15"/>
                <w:szCs w:val="15"/>
              </w:rPr>
              <w:t>23,547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5E" w14:textId="77777777" w:rsidR="00E836FB" w:rsidRDefault="00E836FB">
            <w:pPr>
              <w:jc w:val="right"/>
              <w:rPr>
                <w:rFonts w:ascii="宋体"/>
              </w:rPr>
            </w:pPr>
          </w:p>
        </w:tc>
      </w:tr>
      <w:tr w:rsidR="00E836FB" w14:paraId="5F2CC87B" w14:textId="77777777">
        <w:tc>
          <w:tcPr>
            <w:tcW w:w="0" w:type="auto"/>
            <w:gridSpan w:val="3"/>
            <w:shd w:val="clear" w:color="auto" w:fill="FFFFFF"/>
            <w:tcMar>
              <w:top w:w="40" w:type="dxa"/>
              <w:left w:w="140" w:type="dxa"/>
              <w:bottom w:w="40" w:type="dxa"/>
              <w:right w:w="20" w:type="dxa"/>
            </w:tcMar>
            <w:vAlign w:val="bottom"/>
          </w:tcPr>
          <w:p w14:paraId="5F2CC860"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CC861" w14:textId="77777777" w:rsidR="00E836FB" w:rsidRDefault="00994958">
            <w:pPr>
              <w:jc w:val="right"/>
              <w:textAlignment w:val="bottom"/>
            </w:pPr>
            <w:r>
              <w:rPr>
                <w:rFonts w:ascii="Arial" w:eastAsia="宋体" w:hAnsi="Arial" w:cs="Arial"/>
                <w:b/>
                <w:bCs/>
                <w:color w:val="000000"/>
                <w:sz w:val="15"/>
                <w:szCs w:val="15"/>
              </w:rPr>
              <w:t>826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64" w14:textId="77777777" w:rsidR="00E836FB" w:rsidRDefault="00994958">
            <w:pPr>
              <w:jc w:val="right"/>
              <w:textAlignment w:val="bottom"/>
            </w:pPr>
            <w:r>
              <w:rPr>
                <w:rFonts w:ascii="Arial" w:eastAsia="宋体" w:hAnsi="Arial" w:cs="Arial"/>
                <w:b/>
                <w:bCs/>
                <w:color w:val="000000"/>
                <w:sz w:val="15"/>
                <w:szCs w:val="15"/>
              </w:rPr>
              <w:t>4.52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67" w14:textId="77777777" w:rsidR="00E836FB" w:rsidRDefault="00994958">
            <w:pPr>
              <w:jc w:val="right"/>
              <w:textAlignment w:val="bottom"/>
            </w:pPr>
            <w:r>
              <w:rPr>
                <w:rFonts w:ascii="Arial" w:eastAsia="宋体" w:hAnsi="Arial" w:cs="Arial"/>
                <w:b/>
                <w:bCs/>
                <w:color w:val="000000"/>
                <w:sz w:val="15"/>
                <w:szCs w:val="15"/>
              </w:rPr>
              <w:t>1,943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6A" w14:textId="77777777" w:rsidR="00E836FB" w:rsidRDefault="00994958">
            <w:pPr>
              <w:jc w:val="right"/>
              <w:textAlignment w:val="bottom"/>
            </w:pPr>
            <w:r>
              <w:rPr>
                <w:rFonts w:ascii="Arial" w:eastAsia="宋体" w:hAnsi="Arial" w:cs="Arial"/>
                <w:b/>
                <w:bCs/>
                <w:color w:val="000000"/>
                <w:sz w:val="15"/>
                <w:szCs w:val="15"/>
              </w:rPr>
              <w:t>3.34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6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6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6D" w14:textId="77777777" w:rsidR="00E836FB" w:rsidRDefault="00994958">
            <w:pPr>
              <w:jc w:val="right"/>
              <w:textAlignment w:val="bottom"/>
            </w:pPr>
            <w:r>
              <w:rPr>
                <w:rFonts w:ascii="Arial" w:eastAsia="宋体" w:hAnsi="Arial" w:cs="Arial"/>
                <w:b/>
                <w:bCs/>
                <w:color w:val="000000"/>
                <w:sz w:val="15"/>
                <w:szCs w:val="15"/>
              </w:rPr>
              <w:t>275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6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6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70" w14:textId="77777777" w:rsidR="00E836FB" w:rsidRDefault="00994958">
            <w:pPr>
              <w:jc w:val="right"/>
              <w:textAlignment w:val="bottom"/>
            </w:pPr>
            <w:r>
              <w:rPr>
                <w:rFonts w:ascii="Arial" w:eastAsia="宋体" w:hAnsi="Arial" w:cs="Arial"/>
                <w:b/>
                <w:bCs/>
                <w:color w:val="000000"/>
                <w:sz w:val="15"/>
                <w:szCs w:val="15"/>
              </w:rPr>
              <w:t>3.76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7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7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73" w14:textId="77777777" w:rsidR="00E836FB" w:rsidRDefault="00994958">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7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7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76" w14:textId="77777777" w:rsidR="00E836FB" w:rsidRDefault="00994958">
            <w:pPr>
              <w:jc w:val="right"/>
              <w:textAlignment w:val="bottom"/>
            </w:pPr>
            <w:r>
              <w:rPr>
                <w:rFonts w:ascii="Arial" w:eastAsia="宋体" w:hAnsi="Arial" w:cs="Arial"/>
                <w:b/>
                <w:bCs/>
                <w:color w:val="000000"/>
                <w:sz w:val="15"/>
                <w:szCs w:val="15"/>
              </w:rPr>
              <w:t>2.22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7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79" w14:textId="77777777" w:rsidR="00E836FB" w:rsidRDefault="00994958">
            <w:pPr>
              <w:jc w:val="right"/>
              <w:textAlignment w:val="bottom"/>
            </w:pPr>
            <w:r>
              <w:rPr>
                <w:rFonts w:ascii="Arial" w:eastAsia="宋体" w:hAnsi="Arial" w:cs="Arial"/>
                <w:b/>
                <w:bCs/>
                <w:color w:val="000000"/>
                <w:sz w:val="15"/>
                <w:szCs w:val="15"/>
              </w:rPr>
              <w:t>3,098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7A" w14:textId="77777777" w:rsidR="00E836FB" w:rsidRDefault="00E836FB">
            <w:pPr>
              <w:jc w:val="right"/>
              <w:rPr>
                <w:rFonts w:ascii="宋体"/>
              </w:rPr>
            </w:pPr>
          </w:p>
        </w:tc>
      </w:tr>
      <w:tr w:rsidR="00E836FB" w14:paraId="5F2CC893" w14:textId="77777777">
        <w:tc>
          <w:tcPr>
            <w:tcW w:w="0" w:type="auto"/>
            <w:gridSpan w:val="3"/>
            <w:shd w:val="clear" w:color="auto" w:fill="CCEEFF"/>
            <w:tcMar>
              <w:top w:w="40" w:type="dxa"/>
              <w:left w:w="245" w:type="dxa"/>
              <w:bottom w:w="40" w:type="dxa"/>
              <w:right w:w="20" w:type="dxa"/>
            </w:tcMar>
            <w:vAlign w:val="bottom"/>
          </w:tcPr>
          <w:p w14:paraId="5F2CC87C"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87D" w14:textId="77777777" w:rsidR="00E836FB" w:rsidRDefault="00994958">
            <w:pPr>
              <w:jc w:val="right"/>
              <w:textAlignment w:val="bottom"/>
            </w:pPr>
            <w:r>
              <w:rPr>
                <w:rFonts w:ascii="Arial" w:eastAsia="宋体" w:hAnsi="Arial" w:cs="Arial"/>
                <w:b/>
                <w:bCs/>
                <w:color w:val="000000"/>
                <w:sz w:val="15"/>
                <w:szCs w:val="15"/>
              </w:rPr>
              <w:t>5,772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8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7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8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8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882" w14:textId="77777777" w:rsidR="00E836FB" w:rsidRDefault="00994958">
            <w:pPr>
              <w:jc w:val="right"/>
              <w:textAlignment w:val="bottom"/>
            </w:pPr>
            <w:r>
              <w:rPr>
                <w:rFonts w:ascii="Arial" w:eastAsia="宋体" w:hAnsi="Arial" w:cs="Arial"/>
                <w:b/>
                <w:bCs/>
                <w:color w:val="000000"/>
                <w:sz w:val="15"/>
                <w:szCs w:val="15"/>
              </w:rPr>
              <w:t>19,847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8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8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8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8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887" w14:textId="77777777" w:rsidR="00E836FB" w:rsidRDefault="00994958">
            <w:pPr>
              <w:jc w:val="right"/>
              <w:textAlignment w:val="bottom"/>
            </w:pPr>
            <w:r>
              <w:rPr>
                <w:rFonts w:ascii="Arial" w:eastAsia="宋体" w:hAnsi="Arial" w:cs="Arial"/>
                <w:b/>
                <w:bCs/>
                <w:color w:val="000000"/>
                <w:sz w:val="15"/>
                <w:szCs w:val="15"/>
              </w:rPr>
              <w:t>3,479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8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8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8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8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88C" w14:textId="77777777" w:rsidR="00E836FB" w:rsidRDefault="00994958">
            <w:pPr>
              <w:jc w:val="right"/>
              <w:textAlignment w:val="bottom"/>
            </w:pPr>
            <w:r>
              <w:rPr>
                <w:rFonts w:ascii="Arial" w:eastAsia="宋体" w:hAnsi="Arial" w:cs="Arial"/>
                <w:b/>
                <w:bCs/>
                <w:color w:val="000000"/>
                <w:sz w:val="15"/>
                <w:szCs w:val="15"/>
              </w:rPr>
              <w:t>1,629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8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8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8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89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891" w14:textId="77777777" w:rsidR="00E836FB" w:rsidRDefault="00994958">
            <w:pPr>
              <w:jc w:val="right"/>
              <w:textAlignment w:val="bottom"/>
            </w:pPr>
            <w:r>
              <w:rPr>
                <w:rFonts w:ascii="Arial" w:eastAsia="宋体" w:hAnsi="Arial" w:cs="Arial"/>
                <w:b/>
                <w:bCs/>
                <w:color w:val="000000"/>
                <w:sz w:val="15"/>
                <w:szCs w:val="15"/>
              </w:rPr>
              <w:t>30,727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892" w14:textId="77777777" w:rsidR="00E836FB" w:rsidRDefault="00E836FB">
            <w:pPr>
              <w:jc w:val="right"/>
              <w:rPr>
                <w:rFonts w:ascii="宋体"/>
              </w:rPr>
            </w:pPr>
          </w:p>
        </w:tc>
      </w:tr>
      <w:tr w:rsidR="00E836FB" w14:paraId="5F2CC8A6" w14:textId="77777777">
        <w:tc>
          <w:tcPr>
            <w:tcW w:w="0" w:type="auto"/>
            <w:gridSpan w:val="3"/>
            <w:shd w:val="clear" w:color="auto" w:fill="FFFFFF"/>
            <w:tcMar>
              <w:top w:w="40" w:type="dxa"/>
              <w:left w:w="20" w:type="dxa"/>
              <w:bottom w:w="40" w:type="dxa"/>
              <w:right w:w="20" w:type="dxa"/>
            </w:tcMar>
            <w:vAlign w:val="bottom"/>
          </w:tcPr>
          <w:p w14:paraId="5F2CC894"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9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9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C"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9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9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A0"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A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A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A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8A4"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8A5" w14:textId="77777777" w:rsidR="00E836FB" w:rsidRDefault="00E836FB">
            <w:pPr>
              <w:rPr>
                <w:rFonts w:ascii="宋体"/>
              </w:rPr>
            </w:pPr>
          </w:p>
        </w:tc>
      </w:tr>
      <w:tr w:rsidR="00E836FB" w14:paraId="5F2CC8C2" w14:textId="77777777">
        <w:tc>
          <w:tcPr>
            <w:tcW w:w="0" w:type="auto"/>
            <w:gridSpan w:val="3"/>
            <w:shd w:val="clear" w:color="auto" w:fill="CCEEFF"/>
            <w:tcMar>
              <w:top w:w="40" w:type="dxa"/>
              <w:left w:w="140" w:type="dxa"/>
              <w:bottom w:w="40" w:type="dxa"/>
              <w:right w:w="20" w:type="dxa"/>
            </w:tcMar>
            <w:vAlign w:val="bottom"/>
          </w:tcPr>
          <w:p w14:paraId="5F2CC8A7" w14:textId="77777777" w:rsidR="00E836FB" w:rsidRDefault="00994958">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5F2CC8A8" w14:textId="77777777" w:rsidR="00E836FB" w:rsidRDefault="00994958">
            <w:pPr>
              <w:jc w:val="right"/>
              <w:textAlignment w:val="bottom"/>
            </w:pPr>
            <w:r>
              <w:rPr>
                <w:rFonts w:ascii="Arial" w:eastAsia="宋体" w:hAnsi="Arial" w:cs="Arial"/>
                <w:b/>
                <w:bCs/>
                <w:color w:val="000000"/>
                <w:sz w:val="15"/>
                <w:szCs w:val="15"/>
              </w:rPr>
              <w:t>115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A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AB" w14:textId="77777777" w:rsidR="00E836FB" w:rsidRDefault="00994958">
            <w:pPr>
              <w:jc w:val="right"/>
              <w:textAlignment w:val="bottom"/>
            </w:pPr>
            <w:r>
              <w:rPr>
                <w:rFonts w:ascii="Arial" w:eastAsia="宋体" w:hAnsi="Arial" w:cs="Arial"/>
                <w:b/>
                <w:bCs/>
                <w:color w:val="000000"/>
                <w:sz w:val="15"/>
                <w:szCs w:val="15"/>
              </w:rPr>
              <w:t>1.67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A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A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B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B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B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B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B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B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B7"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B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BA" w14:textId="77777777" w:rsidR="00E836FB" w:rsidRDefault="00994958">
            <w:pPr>
              <w:jc w:val="right"/>
              <w:textAlignment w:val="bottom"/>
            </w:pPr>
            <w:r>
              <w:rPr>
                <w:rFonts w:ascii="Arial" w:eastAsia="宋体" w:hAnsi="Arial" w:cs="Arial"/>
                <w:b/>
                <w:bCs/>
                <w:color w:val="000000"/>
                <w:sz w:val="15"/>
                <w:szCs w:val="15"/>
              </w:rPr>
              <w:t>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B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BD" w14:textId="77777777" w:rsidR="00E836FB" w:rsidRDefault="00994958">
            <w:pPr>
              <w:jc w:val="right"/>
              <w:textAlignment w:val="bottom"/>
            </w:pPr>
            <w:r>
              <w:rPr>
                <w:rFonts w:ascii="Arial" w:eastAsia="宋体" w:hAnsi="Arial" w:cs="Arial"/>
                <w:b/>
                <w:bCs/>
                <w:color w:val="000000"/>
                <w:sz w:val="15"/>
                <w:szCs w:val="15"/>
              </w:rPr>
              <w:t>.32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B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C0" w14:textId="77777777" w:rsidR="00E836FB" w:rsidRDefault="00994958">
            <w:pPr>
              <w:jc w:val="right"/>
              <w:textAlignment w:val="bottom"/>
            </w:pPr>
            <w:r>
              <w:rPr>
                <w:rFonts w:ascii="Arial" w:eastAsia="宋体" w:hAnsi="Arial" w:cs="Arial"/>
                <w:b/>
                <w:bCs/>
                <w:color w:val="000000"/>
                <w:sz w:val="15"/>
                <w:szCs w:val="15"/>
              </w:rPr>
              <w:t>211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C1" w14:textId="77777777" w:rsidR="00E836FB" w:rsidRDefault="00E836FB">
            <w:pPr>
              <w:jc w:val="right"/>
              <w:rPr>
                <w:rFonts w:ascii="宋体"/>
              </w:rPr>
            </w:pPr>
          </w:p>
        </w:tc>
      </w:tr>
      <w:tr w:rsidR="00E836FB" w14:paraId="5F2CC8DE" w14:textId="77777777">
        <w:tc>
          <w:tcPr>
            <w:tcW w:w="0" w:type="auto"/>
            <w:gridSpan w:val="3"/>
            <w:shd w:val="clear" w:color="auto" w:fill="FFFFFF"/>
            <w:tcMar>
              <w:top w:w="40" w:type="dxa"/>
              <w:left w:w="140" w:type="dxa"/>
              <w:bottom w:w="40" w:type="dxa"/>
              <w:right w:w="20" w:type="dxa"/>
            </w:tcMar>
            <w:vAlign w:val="bottom"/>
          </w:tcPr>
          <w:p w14:paraId="5F2CC8C3" w14:textId="77777777" w:rsidR="00E836FB" w:rsidRDefault="00994958">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5F2CC8C4" w14:textId="77777777" w:rsidR="00E836FB" w:rsidRDefault="00994958">
            <w:pPr>
              <w:jc w:val="right"/>
              <w:textAlignment w:val="bottom"/>
            </w:pPr>
            <w:r>
              <w:rPr>
                <w:rFonts w:ascii="Arial" w:eastAsia="宋体" w:hAnsi="Arial" w:cs="Arial"/>
                <w:b/>
                <w:bCs/>
                <w:color w:val="000000"/>
                <w:sz w:val="15"/>
                <w:szCs w:val="15"/>
              </w:rPr>
              <w:t>147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C7" w14:textId="77777777" w:rsidR="00E836FB" w:rsidRDefault="00994958">
            <w:pPr>
              <w:jc w:val="right"/>
              <w:textAlignment w:val="bottom"/>
            </w:pPr>
            <w:r>
              <w:rPr>
                <w:rFonts w:ascii="Arial" w:eastAsia="宋体" w:hAnsi="Arial" w:cs="Arial"/>
                <w:b/>
                <w:bCs/>
                <w:color w:val="000000"/>
                <w:sz w:val="15"/>
                <w:szCs w:val="15"/>
              </w:rPr>
              <w:t>1.07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C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C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CA" w14:textId="77777777" w:rsidR="00E836FB" w:rsidRDefault="00994958">
            <w:pPr>
              <w:jc w:val="right"/>
              <w:textAlignment w:val="bottom"/>
            </w:pPr>
            <w:r>
              <w:rPr>
                <w:rFonts w:ascii="Arial" w:eastAsia="宋体" w:hAnsi="Arial" w:cs="Arial"/>
                <w:b/>
                <w:bCs/>
                <w:color w:val="000000"/>
                <w:sz w:val="15"/>
                <w:szCs w:val="15"/>
              </w:rPr>
              <w:t>483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C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C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CD" w14:textId="77777777" w:rsidR="00E836FB" w:rsidRDefault="00994958">
            <w:pPr>
              <w:jc w:val="right"/>
              <w:textAlignment w:val="bottom"/>
            </w:pPr>
            <w:r>
              <w:rPr>
                <w:rFonts w:ascii="Arial" w:eastAsia="宋体" w:hAnsi="Arial" w:cs="Arial"/>
                <w:b/>
                <w:bCs/>
                <w:color w:val="000000"/>
                <w:sz w:val="15"/>
                <w:szCs w:val="15"/>
              </w:rPr>
              <w:t>1.02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C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D0" w14:textId="77777777" w:rsidR="00E836FB" w:rsidRDefault="00994958">
            <w:pPr>
              <w:jc w:val="right"/>
              <w:textAlignment w:val="bottom"/>
            </w:pPr>
            <w:r>
              <w:rPr>
                <w:rFonts w:ascii="Arial" w:eastAsia="宋体" w:hAnsi="Arial" w:cs="Arial"/>
                <w:b/>
                <w:bCs/>
                <w:color w:val="000000"/>
                <w:sz w:val="15"/>
                <w:szCs w:val="15"/>
              </w:rPr>
              <w:t>1,084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D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D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D3" w14:textId="77777777" w:rsidR="00E836FB" w:rsidRDefault="00994958">
            <w:pPr>
              <w:jc w:val="right"/>
              <w:textAlignment w:val="bottom"/>
            </w:pPr>
            <w:r>
              <w:rPr>
                <w:rFonts w:ascii="Arial" w:eastAsia="宋体" w:hAnsi="Arial" w:cs="Arial"/>
                <w:b/>
                <w:bCs/>
                <w:color w:val="000000"/>
                <w:sz w:val="15"/>
                <w:szCs w:val="15"/>
              </w:rPr>
              <w:t>1.08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D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D6" w14:textId="77777777" w:rsidR="00E836FB" w:rsidRDefault="00994958">
            <w:pPr>
              <w:jc w:val="right"/>
              <w:textAlignment w:val="bottom"/>
            </w:pPr>
            <w:r>
              <w:rPr>
                <w:rFonts w:ascii="Arial" w:eastAsia="宋体" w:hAnsi="Arial" w:cs="Arial"/>
                <w:b/>
                <w:bCs/>
                <w:color w:val="000000"/>
                <w:sz w:val="15"/>
                <w:szCs w:val="15"/>
              </w:rPr>
              <w:t>441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D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D9" w14:textId="77777777" w:rsidR="00E836FB" w:rsidRDefault="00994958">
            <w:pPr>
              <w:jc w:val="right"/>
              <w:textAlignment w:val="bottom"/>
            </w:pPr>
            <w:r>
              <w:rPr>
                <w:rFonts w:ascii="Arial" w:eastAsia="宋体" w:hAnsi="Arial" w:cs="Arial"/>
                <w:b/>
                <w:bCs/>
                <w:color w:val="000000"/>
                <w:sz w:val="15"/>
                <w:szCs w:val="15"/>
              </w:rPr>
              <w:t>1.33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DC" w14:textId="77777777" w:rsidR="00E836FB" w:rsidRDefault="00994958">
            <w:pPr>
              <w:jc w:val="right"/>
              <w:textAlignment w:val="bottom"/>
            </w:pPr>
            <w:r>
              <w:rPr>
                <w:rFonts w:ascii="Arial" w:eastAsia="宋体" w:hAnsi="Arial" w:cs="Arial"/>
                <w:b/>
                <w:bCs/>
                <w:color w:val="000000"/>
                <w:sz w:val="15"/>
                <w:szCs w:val="15"/>
              </w:rPr>
              <w:t>2,155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DD" w14:textId="77777777" w:rsidR="00E836FB" w:rsidRDefault="00E836FB">
            <w:pPr>
              <w:jc w:val="right"/>
              <w:rPr>
                <w:rFonts w:ascii="宋体"/>
              </w:rPr>
            </w:pPr>
          </w:p>
        </w:tc>
      </w:tr>
      <w:tr w:rsidR="00E836FB" w14:paraId="5F2CC8FA" w14:textId="77777777">
        <w:tc>
          <w:tcPr>
            <w:tcW w:w="0" w:type="auto"/>
            <w:gridSpan w:val="3"/>
            <w:shd w:val="clear" w:color="auto" w:fill="CCEEFF"/>
            <w:tcMar>
              <w:top w:w="40" w:type="dxa"/>
              <w:left w:w="140" w:type="dxa"/>
              <w:bottom w:w="40" w:type="dxa"/>
              <w:right w:w="20" w:type="dxa"/>
            </w:tcMar>
            <w:vAlign w:val="bottom"/>
          </w:tcPr>
          <w:p w14:paraId="5F2CC8DF" w14:textId="77777777" w:rsidR="00E836FB" w:rsidRDefault="00994958">
            <w:pPr>
              <w:textAlignment w:val="bottom"/>
            </w:pPr>
            <w:r>
              <w:rPr>
                <w:rFonts w:ascii="Arial" w:eastAsia="宋体" w:hAnsi="Arial" w:cs="Arial"/>
                <w:color w:val="000000"/>
                <w:sz w:val="15"/>
                <w:szCs w:val="15"/>
              </w:rPr>
              <w:t>Non-agency CMBS and RMBS</w:t>
            </w:r>
          </w:p>
        </w:tc>
        <w:tc>
          <w:tcPr>
            <w:tcW w:w="0" w:type="auto"/>
            <w:gridSpan w:val="2"/>
            <w:shd w:val="clear" w:color="auto" w:fill="CCEEFF"/>
            <w:tcMar>
              <w:top w:w="40" w:type="dxa"/>
              <w:left w:w="20" w:type="dxa"/>
              <w:bottom w:w="40" w:type="dxa"/>
              <w:right w:w="0" w:type="dxa"/>
            </w:tcMar>
            <w:vAlign w:val="bottom"/>
          </w:tcPr>
          <w:p w14:paraId="5F2CC8E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E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E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E9"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E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E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E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EF"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F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F2" w14:textId="77777777" w:rsidR="00E836FB" w:rsidRDefault="00994958">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F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F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F5" w14:textId="77777777" w:rsidR="00E836FB" w:rsidRDefault="00994958">
            <w:pPr>
              <w:jc w:val="right"/>
              <w:textAlignment w:val="bottom"/>
            </w:pPr>
            <w:r>
              <w:rPr>
                <w:rFonts w:ascii="Arial" w:eastAsia="宋体" w:hAnsi="Arial" w:cs="Arial"/>
                <w:b/>
                <w:bCs/>
                <w:color w:val="000000"/>
                <w:sz w:val="15"/>
                <w:szCs w:val="15"/>
              </w:rPr>
              <w:t>3.57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8F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8F8" w14:textId="77777777" w:rsidR="00E836FB" w:rsidRDefault="00994958">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8F9" w14:textId="77777777" w:rsidR="00E836FB" w:rsidRDefault="00E836FB">
            <w:pPr>
              <w:jc w:val="right"/>
              <w:rPr>
                <w:rFonts w:ascii="宋体"/>
              </w:rPr>
            </w:pPr>
          </w:p>
        </w:tc>
      </w:tr>
      <w:tr w:rsidR="00E836FB" w14:paraId="5F2CC916" w14:textId="77777777">
        <w:tc>
          <w:tcPr>
            <w:tcW w:w="0" w:type="auto"/>
            <w:gridSpan w:val="3"/>
            <w:shd w:val="clear" w:color="auto" w:fill="FFFFFF"/>
            <w:tcMar>
              <w:top w:w="40" w:type="dxa"/>
              <w:left w:w="140" w:type="dxa"/>
              <w:bottom w:w="40" w:type="dxa"/>
              <w:right w:w="20" w:type="dxa"/>
            </w:tcMar>
            <w:vAlign w:val="bottom"/>
          </w:tcPr>
          <w:p w14:paraId="5F2CC8FB"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CC8F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8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8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8FF"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0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0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0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0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08" w14:textId="77777777" w:rsidR="00E836FB" w:rsidRDefault="00994958">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0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0B" w14:textId="77777777" w:rsidR="00E836FB" w:rsidRDefault="00994958">
            <w:pPr>
              <w:jc w:val="right"/>
              <w:textAlignment w:val="bottom"/>
            </w:pPr>
            <w:r>
              <w:rPr>
                <w:rFonts w:ascii="Arial" w:eastAsia="宋体" w:hAnsi="Arial" w:cs="Arial"/>
                <w:b/>
                <w:bCs/>
                <w:color w:val="000000"/>
                <w:sz w:val="15"/>
                <w:szCs w:val="15"/>
              </w:rPr>
              <w:t>.88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0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1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14" w14:textId="77777777" w:rsidR="00E836FB" w:rsidRDefault="00994958">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15" w14:textId="77777777" w:rsidR="00E836FB" w:rsidRDefault="00E836FB">
            <w:pPr>
              <w:jc w:val="right"/>
              <w:rPr>
                <w:rFonts w:ascii="宋体"/>
              </w:rPr>
            </w:pPr>
          </w:p>
        </w:tc>
      </w:tr>
      <w:tr w:rsidR="00E836FB" w14:paraId="5F2CC92E" w14:textId="77777777">
        <w:tc>
          <w:tcPr>
            <w:tcW w:w="0" w:type="auto"/>
            <w:gridSpan w:val="3"/>
            <w:shd w:val="clear" w:color="auto" w:fill="CCEEFF"/>
            <w:tcMar>
              <w:top w:w="40" w:type="dxa"/>
              <w:left w:w="245" w:type="dxa"/>
              <w:bottom w:w="40" w:type="dxa"/>
              <w:right w:w="20" w:type="dxa"/>
            </w:tcMar>
            <w:vAlign w:val="bottom"/>
          </w:tcPr>
          <w:p w14:paraId="5F2CC917" w14:textId="77777777" w:rsidR="00E836FB" w:rsidRDefault="00994958">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918" w14:textId="77777777" w:rsidR="00E836FB" w:rsidRDefault="00994958">
            <w:pPr>
              <w:jc w:val="right"/>
              <w:textAlignment w:val="bottom"/>
            </w:pPr>
            <w:r>
              <w:rPr>
                <w:rFonts w:ascii="Arial" w:eastAsia="宋体" w:hAnsi="Arial" w:cs="Arial"/>
                <w:b/>
                <w:bCs/>
                <w:color w:val="000000"/>
                <w:sz w:val="15"/>
                <w:szCs w:val="15"/>
              </w:rPr>
              <w:t>262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9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1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1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1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91D" w14:textId="77777777" w:rsidR="00E836FB" w:rsidRDefault="00994958">
            <w:pPr>
              <w:jc w:val="right"/>
              <w:textAlignment w:val="bottom"/>
            </w:pPr>
            <w:r>
              <w:rPr>
                <w:rFonts w:ascii="Arial" w:eastAsia="宋体" w:hAnsi="Arial" w:cs="Arial"/>
                <w:b/>
                <w:bCs/>
                <w:color w:val="000000"/>
                <w:sz w:val="15"/>
                <w:szCs w:val="15"/>
              </w:rPr>
              <w:t>483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9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1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2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2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922" w14:textId="77777777" w:rsidR="00E836FB" w:rsidRDefault="00994958">
            <w:pPr>
              <w:jc w:val="right"/>
              <w:textAlignment w:val="bottom"/>
            </w:pPr>
            <w:r>
              <w:rPr>
                <w:rFonts w:ascii="Arial" w:eastAsia="宋体" w:hAnsi="Arial" w:cs="Arial"/>
                <w:b/>
                <w:bCs/>
                <w:color w:val="000000"/>
                <w:sz w:val="15"/>
                <w:szCs w:val="15"/>
              </w:rPr>
              <w:t>1,175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9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2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2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2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927" w14:textId="77777777" w:rsidR="00E836FB" w:rsidRDefault="00994958">
            <w:pPr>
              <w:jc w:val="right"/>
              <w:textAlignment w:val="bottom"/>
            </w:pPr>
            <w:r>
              <w:rPr>
                <w:rFonts w:ascii="Arial" w:eastAsia="宋体" w:hAnsi="Arial" w:cs="Arial"/>
                <w:b/>
                <w:bCs/>
                <w:color w:val="000000"/>
                <w:sz w:val="15"/>
                <w:szCs w:val="15"/>
              </w:rPr>
              <w:t>589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9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2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2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92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92C" w14:textId="77777777" w:rsidR="00E836FB" w:rsidRDefault="00994958">
            <w:pPr>
              <w:jc w:val="right"/>
              <w:textAlignment w:val="bottom"/>
            </w:pPr>
            <w:r>
              <w:rPr>
                <w:rFonts w:ascii="Arial" w:eastAsia="宋体" w:hAnsi="Arial" w:cs="Arial"/>
                <w:b/>
                <w:bCs/>
                <w:color w:val="000000"/>
                <w:sz w:val="15"/>
                <w:szCs w:val="15"/>
              </w:rPr>
              <w:t>2,509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92D" w14:textId="77777777" w:rsidR="00E836FB" w:rsidRDefault="00E836FB">
            <w:pPr>
              <w:jc w:val="right"/>
              <w:rPr>
                <w:rFonts w:ascii="宋体"/>
              </w:rPr>
            </w:pPr>
          </w:p>
        </w:tc>
      </w:tr>
      <w:tr w:rsidR="00E836FB" w14:paraId="5F2CC94A" w14:textId="77777777">
        <w:tc>
          <w:tcPr>
            <w:tcW w:w="0" w:type="auto"/>
            <w:gridSpan w:val="3"/>
            <w:shd w:val="clear" w:color="auto" w:fill="FFFFFF"/>
            <w:tcMar>
              <w:top w:w="40" w:type="dxa"/>
              <w:left w:w="20" w:type="dxa"/>
              <w:bottom w:w="40" w:type="dxa"/>
              <w:right w:w="20" w:type="dxa"/>
            </w:tcMar>
            <w:vAlign w:val="bottom"/>
          </w:tcPr>
          <w:p w14:paraId="5F2CC92F" w14:textId="77777777" w:rsidR="00E836FB" w:rsidRDefault="00994958">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930" w14:textId="77777777" w:rsidR="00E836FB" w:rsidRDefault="00994958">
            <w:pPr>
              <w:jc w:val="right"/>
              <w:textAlignment w:val="bottom"/>
            </w:pPr>
            <w:r>
              <w:rPr>
                <w:rFonts w:ascii="Arial" w:eastAsia="宋体" w:hAnsi="Arial" w:cs="Arial"/>
                <w:b/>
                <w:bCs/>
                <w:color w:val="000000"/>
                <w:sz w:val="15"/>
                <w:szCs w:val="15"/>
              </w:rPr>
              <w:t>180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3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33" w14:textId="77777777" w:rsidR="00E836FB" w:rsidRDefault="00994958">
            <w:pPr>
              <w:jc w:val="right"/>
              <w:textAlignment w:val="bottom"/>
            </w:pPr>
            <w:r>
              <w:rPr>
                <w:rFonts w:ascii="Arial" w:eastAsia="宋体" w:hAnsi="Arial" w:cs="Arial"/>
                <w:b/>
                <w:bCs/>
                <w:color w:val="000000"/>
                <w:sz w:val="15"/>
                <w:szCs w:val="15"/>
              </w:rPr>
              <w:t>5.52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3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936" w14:textId="77777777" w:rsidR="00E836FB" w:rsidRDefault="00994958">
            <w:pPr>
              <w:jc w:val="right"/>
              <w:textAlignment w:val="bottom"/>
            </w:pPr>
            <w:r>
              <w:rPr>
                <w:rFonts w:ascii="Arial" w:eastAsia="宋体" w:hAnsi="Arial" w:cs="Arial"/>
                <w:b/>
                <w:bCs/>
                <w:color w:val="000000"/>
                <w:sz w:val="15"/>
                <w:szCs w:val="15"/>
              </w:rPr>
              <w:t>512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3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39" w14:textId="77777777" w:rsidR="00E836FB" w:rsidRDefault="00994958">
            <w:pPr>
              <w:jc w:val="right"/>
              <w:textAlignment w:val="bottom"/>
            </w:pPr>
            <w:r>
              <w:rPr>
                <w:rFonts w:ascii="Arial" w:eastAsia="宋体" w:hAnsi="Arial" w:cs="Arial"/>
                <w:b/>
                <w:bCs/>
                <w:color w:val="000000"/>
                <w:sz w:val="15"/>
                <w:szCs w:val="15"/>
              </w:rPr>
              <w:t>4.75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3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93C" w14:textId="77777777" w:rsidR="00E836FB" w:rsidRDefault="00994958">
            <w:pPr>
              <w:jc w:val="right"/>
              <w:textAlignment w:val="bottom"/>
            </w:pPr>
            <w:r>
              <w:rPr>
                <w:rFonts w:ascii="Arial" w:eastAsia="宋体" w:hAnsi="Arial" w:cs="Arial"/>
                <w:b/>
                <w:bCs/>
                <w:color w:val="000000"/>
                <w:sz w:val="15"/>
                <w:szCs w:val="15"/>
              </w:rPr>
              <w:t>499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3F" w14:textId="77777777" w:rsidR="00E836FB" w:rsidRDefault="00994958">
            <w:pPr>
              <w:jc w:val="right"/>
              <w:textAlignment w:val="bottom"/>
            </w:pPr>
            <w:r>
              <w:rPr>
                <w:rFonts w:ascii="Arial" w:eastAsia="宋体" w:hAnsi="Arial" w:cs="Arial"/>
                <w:b/>
                <w:bCs/>
                <w:color w:val="000000"/>
                <w:sz w:val="15"/>
                <w:szCs w:val="15"/>
              </w:rPr>
              <w:t>4.88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4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942" w14:textId="77777777" w:rsidR="00E836FB" w:rsidRDefault="00994958">
            <w:pPr>
              <w:jc w:val="right"/>
              <w:textAlignment w:val="bottom"/>
            </w:pPr>
            <w:r>
              <w:rPr>
                <w:rFonts w:ascii="Arial" w:eastAsia="宋体" w:hAnsi="Arial" w:cs="Arial"/>
                <w:b/>
                <w:bCs/>
                <w:color w:val="000000"/>
                <w:sz w:val="15"/>
                <w:szCs w:val="15"/>
              </w:rPr>
              <w:t>81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4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4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45" w14:textId="77777777" w:rsidR="00E836FB" w:rsidRDefault="00994958">
            <w:pPr>
              <w:jc w:val="right"/>
              <w:textAlignment w:val="bottom"/>
            </w:pPr>
            <w:r>
              <w:rPr>
                <w:rFonts w:ascii="Arial" w:eastAsia="宋体" w:hAnsi="Arial" w:cs="Arial"/>
                <w:b/>
                <w:bCs/>
                <w:color w:val="000000"/>
                <w:sz w:val="15"/>
                <w:szCs w:val="15"/>
              </w:rPr>
              <w:t>4.87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4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4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948" w14:textId="77777777" w:rsidR="00E836FB" w:rsidRDefault="00994958">
            <w:pPr>
              <w:jc w:val="right"/>
              <w:textAlignment w:val="bottom"/>
            </w:pPr>
            <w:r>
              <w:rPr>
                <w:rFonts w:ascii="Arial" w:eastAsia="宋体" w:hAnsi="Arial" w:cs="Arial"/>
                <w:b/>
                <w:bCs/>
                <w:color w:val="000000"/>
                <w:sz w:val="15"/>
                <w:szCs w:val="15"/>
              </w:rPr>
              <w:t>1,272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49" w14:textId="77777777" w:rsidR="00E836FB" w:rsidRDefault="00E836FB">
            <w:pPr>
              <w:jc w:val="right"/>
              <w:rPr>
                <w:rFonts w:ascii="宋体"/>
              </w:rPr>
            </w:pPr>
          </w:p>
        </w:tc>
      </w:tr>
      <w:tr w:rsidR="00E836FB" w14:paraId="5F2CC95D" w14:textId="77777777">
        <w:trPr>
          <w:hidden/>
        </w:trPr>
        <w:tc>
          <w:tcPr>
            <w:tcW w:w="0" w:type="auto"/>
            <w:gridSpan w:val="3"/>
            <w:shd w:val="clear" w:color="auto" w:fill="auto"/>
            <w:vAlign w:val="bottom"/>
          </w:tcPr>
          <w:p w14:paraId="5F2CC94B" w14:textId="77777777" w:rsidR="00E836FB" w:rsidRDefault="00E836FB">
            <w:pPr>
              <w:rPr>
                <w:rFonts w:ascii="宋体"/>
                <w:vanish/>
              </w:rPr>
            </w:pPr>
          </w:p>
        </w:tc>
        <w:tc>
          <w:tcPr>
            <w:tcW w:w="0" w:type="auto"/>
            <w:gridSpan w:val="3"/>
            <w:shd w:val="clear" w:color="auto" w:fill="auto"/>
            <w:vAlign w:val="bottom"/>
          </w:tcPr>
          <w:p w14:paraId="5F2CC94C" w14:textId="77777777" w:rsidR="00E836FB" w:rsidRDefault="00E836FB">
            <w:pPr>
              <w:rPr>
                <w:rFonts w:ascii="宋体"/>
                <w:vanish/>
              </w:rPr>
            </w:pPr>
          </w:p>
        </w:tc>
        <w:tc>
          <w:tcPr>
            <w:tcW w:w="0" w:type="auto"/>
            <w:gridSpan w:val="3"/>
            <w:shd w:val="clear" w:color="auto" w:fill="auto"/>
            <w:vAlign w:val="bottom"/>
          </w:tcPr>
          <w:p w14:paraId="5F2CC94D" w14:textId="77777777" w:rsidR="00E836FB" w:rsidRDefault="00E836FB">
            <w:pPr>
              <w:rPr>
                <w:rFonts w:ascii="宋体"/>
                <w:vanish/>
              </w:rPr>
            </w:pPr>
          </w:p>
        </w:tc>
        <w:tc>
          <w:tcPr>
            <w:tcW w:w="0" w:type="auto"/>
            <w:gridSpan w:val="3"/>
            <w:shd w:val="clear" w:color="auto" w:fill="auto"/>
            <w:vAlign w:val="bottom"/>
          </w:tcPr>
          <w:p w14:paraId="5F2CC94E" w14:textId="77777777" w:rsidR="00E836FB" w:rsidRDefault="00E836FB">
            <w:pPr>
              <w:rPr>
                <w:rFonts w:ascii="宋体"/>
                <w:vanish/>
              </w:rPr>
            </w:pPr>
          </w:p>
        </w:tc>
        <w:tc>
          <w:tcPr>
            <w:tcW w:w="0" w:type="auto"/>
            <w:gridSpan w:val="3"/>
            <w:shd w:val="clear" w:color="auto" w:fill="auto"/>
            <w:vAlign w:val="bottom"/>
          </w:tcPr>
          <w:p w14:paraId="5F2CC94F" w14:textId="77777777" w:rsidR="00E836FB" w:rsidRDefault="00E836FB">
            <w:pPr>
              <w:rPr>
                <w:rFonts w:ascii="宋体"/>
                <w:vanish/>
              </w:rPr>
            </w:pPr>
          </w:p>
        </w:tc>
        <w:tc>
          <w:tcPr>
            <w:tcW w:w="0" w:type="auto"/>
            <w:gridSpan w:val="3"/>
            <w:shd w:val="clear" w:color="auto" w:fill="auto"/>
            <w:vAlign w:val="bottom"/>
          </w:tcPr>
          <w:p w14:paraId="5F2CC950" w14:textId="77777777" w:rsidR="00E836FB" w:rsidRDefault="00E836FB">
            <w:pPr>
              <w:rPr>
                <w:rFonts w:ascii="宋体"/>
                <w:vanish/>
              </w:rPr>
            </w:pPr>
          </w:p>
        </w:tc>
        <w:tc>
          <w:tcPr>
            <w:tcW w:w="0" w:type="auto"/>
            <w:gridSpan w:val="3"/>
            <w:shd w:val="clear" w:color="auto" w:fill="auto"/>
            <w:vAlign w:val="bottom"/>
          </w:tcPr>
          <w:p w14:paraId="5F2CC951" w14:textId="77777777" w:rsidR="00E836FB" w:rsidRDefault="00E836FB">
            <w:pPr>
              <w:rPr>
                <w:rFonts w:ascii="宋体"/>
                <w:vanish/>
              </w:rPr>
            </w:pPr>
          </w:p>
        </w:tc>
        <w:tc>
          <w:tcPr>
            <w:tcW w:w="0" w:type="auto"/>
            <w:gridSpan w:val="3"/>
            <w:shd w:val="clear" w:color="auto" w:fill="auto"/>
            <w:vAlign w:val="bottom"/>
          </w:tcPr>
          <w:p w14:paraId="5F2CC952" w14:textId="77777777" w:rsidR="00E836FB" w:rsidRDefault="00E836FB">
            <w:pPr>
              <w:rPr>
                <w:rFonts w:ascii="宋体"/>
                <w:vanish/>
              </w:rPr>
            </w:pPr>
          </w:p>
        </w:tc>
        <w:tc>
          <w:tcPr>
            <w:tcW w:w="0" w:type="auto"/>
            <w:gridSpan w:val="3"/>
            <w:shd w:val="clear" w:color="auto" w:fill="auto"/>
            <w:vAlign w:val="bottom"/>
          </w:tcPr>
          <w:p w14:paraId="5F2CC953" w14:textId="77777777" w:rsidR="00E836FB" w:rsidRDefault="00E836FB">
            <w:pPr>
              <w:rPr>
                <w:rFonts w:ascii="宋体"/>
                <w:vanish/>
              </w:rPr>
            </w:pPr>
          </w:p>
        </w:tc>
        <w:tc>
          <w:tcPr>
            <w:tcW w:w="0" w:type="auto"/>
            <w:gridSpan w:val="3"/>
            <w:shd w:val="clear" w:color="auto" w:fill="auto"/>
            <w:vAlign w:val="bottom"/>
          </w:tcPr>
          <w:p w14:paraId="5F2CC954" w14:textId="77777777" w:rsidR="00E836FB" w:rsidRDefault="00E836FB">
            <w:pPr>
              <w:rPr>
                <w:rFonts w:ascii="宋体"/>
                <w:vanish/>
              </w:rPr>
            </w:pPr>
          </w:p>
        </w:tc>
        <w:tc>
          <w:tcPr>
            <w:tcW w:w="0" w:type="auto"/>
            <w:gridSpan w:val="3"/>
            <w:shd w:val="clear" w:color="auto" w:fill="auto"/>
            <w:vAlign w:val="bottom"/>
          </w:tcPr>
          <w:p w14:paraId="5F2CC955" w14:textId="77777777" w:rsidR="00E836FB" w:rsidRDefault="00E836FB">
            <w:pPr>
              <w:rPr>
                <w:rFonts w:ascii="宋体"/>
                <w:vanish/>
              </w:rPr>
            </w:pPr>
          </w:p>
        </w:tc>
        <w:tc>
          <w:tcPr>
            <w:tcW w:w="0" w:type="auto"/>
            <w:gridSpan w:val="3"/>
            <w:shd w:val="clear" w:color="auto" w:fill="auto"/>
            <w:vAlign w:val="bottom"/>
          </w:tcPr>
          <w:p w14:paraId="5F2CC956" w14:textId="77777777" w:rsidR="00E836FB" w:rsidRDefault="00E836FB">
            <w:pPr>
              <w:rPr>
                <w:rFonts w:ascii="宋体"/>
                <w:vanish/>
              </w:rPr>
            </w:pPr>
          </w:p>
        </w:tc>
        <w:tc>
          <w:tcPr>
            <w:tcW w:w="0" w:type="auto"/>
            <w:gridSpan w:val="3"/>
            <w:shd w:val="clear" w:color="auto" w:fill="auto"/>
            <w:vAlign w:val="bottom"/>
          </w:tcPr>
          <w:p w14:paraId="5F2CC957" w14:textId="77777777" w:rsidR="00E836FB" w:rsidRDefault="00E836FB">
            <w:pPr>
              <w:rPr>
                <w:rFonts w:ascii="宋体"/>
                <w:vanish/>
              </w:rPr>
            </w:pPr>
          </w:p>
        </w:tc>
        <w:tc>
          <w:tcPr>
            <w:tcW w:w="0" w:type="auto"/>
            <w:gridSpan w:val="3"/>
            <w:shd w:val="clear" w:color="auto" w:fill="auto"/>
            <w:vAlign w:val="bottom"/>
          </w:tcPr>
          <w:p w14:paraId="5F2CC958" w14:textId="77777777" w:rsidR="00E836FB" w:rsidRDefault="00E836FB">
            <w:pPr>
              <w:rPr>
                <w:rFonts w:ascii="宋体"/>
                <w:vanish/>
              </w:rPr>
            </w:pPr>
          </w:p>
        </w:tc>
        <w:tc>
          <w:tcPr>
            <w:tcW w:w="0" w:type="auto"/>
            <w:gridSpan w:val="3"/>
            <w:shd w:val="clear" w:color="auto" w:fill="auto"/>
            <w:vAlign w:val="bottom"/>
          </w:tcPr>
          <w:p w14:paraId="5F2CC959" w14:textId="77777777" w:rsidR="00E836FB" w:rsidRDefault="00E836FB">
            <w:pPr>
              <w:rPr>
                <w:rFonts w:ascii="宋体"/>
                <w:vanish/>
              </w:rPr>
            </w:pPr>
          </w:p>
        </w:tc>
        <w:tc>
          <w:tcPr>
            <w:tcW w:w="0" w:type="auto"/>
            <w:gridSpan w:val="3"/>
            <w:shd w:val="clear" w:color="auto" w:fill="auto"/>
            <w:vAlign w:val="bottom"/>
          </w:tcPr>
          <w:p w14:paraId="5F2CC95A" w14:textId="77777777" w:rsidR="00E836FB" w:rsidRDefault="00E836FB">
            <w:pPr>
              <w:rPr>
                <w:rFonts w:ascii="宋体"/>
                <w:vanish/>
              </w:rPr>
            </w:pPr>
          </w:p>
        </w:tc>
        <w:tc>
          <w:tcPr>
            <w:tcW w:w="0" w:type="auto"/>
            <w:gridSpan w:val="3"/>
            <w:shd w:val="clear" w:color="auto" w:fill="auto"/>
            <w:vAlign w:val="bottom"/>
          </w:tcPr>
          <w:p w14:paraId="5F2CC95B" w14:textId="77777777" w:rsidR="00E836FB" w:rsidRDefault="00E836FB">
            <w:pPr>
              <w:rPr>
                <w:rFonts w:ascii="宋体"/>
                <w:vanish/>
              </w:rPr>
            </w:pPr>
          </w:p>
        </w:tc>
        <w:tc>
          <w:tcPr>
            <w:tcW w:w="0" w:type="auto"/>
            <w:gridSpan w:val="3"/>
            <w:shd w:val="clear" w:color="auto" w:fill="auto"/>
            <w:vAlign w:val="bottom"/>
          </w:tcPr>
          <w:p w14:paraId="5F2CC95C" w14:textId="77777777" w:rsidR="00E836FB" w:rsidRDefault="00E836FB">
            <w:pPr>
              <w:rPr>
                <w:rFonts w:ascii="宋体"/>
                <w:vanish/>
              </w:rPr>
            </w:pPr>
          </w:p>
        </w:tc>
      </w:tr>
      <w:tr w:rsidR="00E836FB" w14:paraId="5F2CC979" w14:textId="77777777">
        <w:tc>
          <w:tcPr>
            <w:tcW w:w="0" w:type="auto"/>
            <w:gridSpan w:val="3"/>
            <w:shd w:val="clear" w:color="auto" w:fill="CCEEFF"/>
            <w:tcMar>
              <w:top w:w="40" w:type="dxa"/>
              <w:left w:w="20" w:type="dxa"/>
              <w:bottom w:w="40" w:type="dxa"/>
              <w:right w:w="20" w:type="dxa"/>
            </w:tcMar>
            <w:vAlign w:val="bottom"/>
          </w:tcPr>
          <w:p w14:paraId="5F2CC95E" w14:textId="77777777" w:rsidR="00E836FB" w:rsidRDefault="00994958">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5F2CC95F" w14:textId="77777777" w:rsidR="00E836FB" w:rsidRDefault="00994958">
            <w:pPr>
              <w:jc w:val="right"/>
              <w:textAlignment w:val="bottom"/>
            </w:pPr>
            <w:r>
              <w:rPr>
                <w:rFonts w:ascii="Arial" w:eastAsia="宋体" w:hAnsi="Arial" w:cs="Arial"/>
                <w:b/>
                <w:bCs/>
                <w:color w:val="000000"/>
                <w:sz w:val="15"/>
                <w:szCs w:val="15"/>
              </w:rPr>
              <w:t>1,002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6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6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62" w14:textId="77777777" w:rsidR="00E836FB" w:rsidRDefault="00994958">
            <w:pPr>
              <w:jc w:val="right"/>
              <w:textAlignment w:val="bottom"/>
            </w:pPr>
            <w:r>
              <w:rPr>
                <w:rFonts w:ascii="Arial" w:eastAsia="宋体" w:hAnsi="Arial" w:cs="Arial"/>
                <w:b/>
                <w:bCs/>
                <w:color w:val="000000"/>
                <w:sz w:val="15"/>
                <w:szCs w:val="15"/>
              </w:rPr>
              <w:t>1.68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6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65" w14:textId="77777777" w:rsidR="00E836FB" w:rsidRDefault="00994958">
            <w:pPr>
              <w:jc w:val="right"/>
              <w:textAlignment w:val="bottom"/>
            </w:pPr>
            <w:r>
              <w:rPr>
                <w:rFonts w:ascii="Arial" w:eastAsia="宋体" w:hAnsi="Arial" w:cs="Arial"/>
                <w:b/>
                <w:bCs/>
                <w:color w:val="000000"/>
                <w:sz w:val="15"/>
                <w:szCs w:val="15"/>
              </w:rPr>
              <w:t>1,699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68" w14:textId="77777777" w:rsidR="00E836FB" w:rsidRDefault="00994958">
            <w:pPr>
              <w:jc w:val="right"/>
              <w:textAlignment w:val="bottom"/>
            </w:pPr>
            <w:r>
              <w:rPr>
                <w:rFonts w:ascii="Arial" w:eastAsia="宋体" w:hAnsi="Arial" w:cs="Arial"/>
                <w:b/>
                <w:bCs/>
                <w:color w:val="000000"/>
                <w:sz w:val="15"/>
                <w:szCs w:val="15"/>
              </w:rPr>
              <w:t>2.23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6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6B" w14:textId="77777777" w:rsidR="00E836FB" w:rsidRDefault="00994958">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6E" w14:textId="77777777" w:rsidR="00E836FB" w:rsidRDefault="00994958">
            <w:pPr>
              <w:jc w:val="right"/>
              <w:textAlignment w:val="bottom"/>
            </w:pPr>
            <w:r>
              <w:rPr>
                <w:rFonts w:ascii="Arial" w:eastAsia="宋体" w:hAnsi="Arial" w:cs="Arial"/>
                <w:b/>
                <w:bCs/>
                <w:color w:val="000000"/>
                <w:sz w:val="15"/>
                <w:szCs w:val="15"/>
              </w:rPr>
              <w:t>3.07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7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7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7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77" w14:textId="77777777" w:rsidR="00E836FB" w:rsidRDefault="00994958">
            <w:pPr>
              <w:jc w:val="right"/>
              <w:textAlignment w:val="bottom"/>
            </w:pPr>
            <w:r>
              <w:rPr>
                <w:rFonts w:ascii="Arial" w:eastAsia="宋体" w:hAnsi="Arial" w:cs="Arial"/>
                <w:b/>
                <w:bCs/>
                <w:color w:val="000000"/>
                <w:sz w:val="15"/>
                <w:szCs w:val="15"/>
              </w:rPr>
              <w:t>2,744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78" w14:textId="77777777" w:rsidR="00E836FB" w:rsidRDefault="00E836FB">
            <w:pPr>
              <w:jc w:val="right"/>
              <w:rPr>
                <w:rFonts w:ascii="宋体"/>
              </w:rPr>
            </w:pPr>
          </w:p>
        </w:tc>
      </w:tr>
      <w:tr w:rsidR="00E836FB" w14:paraId="5F2CC996" w14:textId="77777777">
        <w:tc>
          <w:tcPr>
            <w:tcW w:w="0" w:type="auto"/>
            <w:gridSpan w:val="3"/>
            <w:shd w:val="clear" w:color="auto" w:fill="FFFFFF"/>
            <w:tcMar>
              <w:top w:w="40" w:type="dxa"/>
              <w:left w:w="20" w:type="dxa"/>
              <w:bottom w:w="40" w:type="dxa"/>
              <w:right w:w="20" w:type="dxa"/>
            </w:tcMar>
            <w:vAlign w:val="bottom"/>
          </w:tcPr>
          <w:p w14:paraId="5F2CC97A"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C97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97C" w14:textId="77777777" w:rsidR="00E836FB" w:rsidRDefault="00994958">
            <w:pPr>
              <w:jc w:val="right"/>
              <w:textAlignment w:val="bottom"/>
            </w:pPr>
            <w:r>
              <w:rPr>
                <w:rFonts w:ascii="Arial" w:eastAsia="宋体" w:hAnsi="Arial" w:cs="Arial"/>
                <w:b/>
                <w:bCs/>
                <w:color w:val="000000"/>
                <w:sz w:val="15"/>
                <w:szCs w:val="15"/>
              </w:rPr>
              <w:t>9,265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7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7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80"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981"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982" w14:textId="77777777" w:rsidR="00E836FB" w:rsidRDefault="00994958">
            <w:pPr>
              <w:jc w:val="right"/>
              <w:textAlignment w:val="bottom"/>
            </w:pPr>
            <w:r>
              <w:rPr>
                <w:rFonts w:ascii="Arial" w:eastAsia="宋体" w:hAnsi="Arial" w:cs="Arial"/>
                <w:b/>
                <w:bCs/>
                <w:color w:val="000000"/>
                <w:sz w:val="15"/>
                <w:szCs w:val="15"/>
              </w:rPr>
              <w:t>38,299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8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8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86"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98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988" w14:textId="77777777" w:rsidR="00E836FB" w:rsidRDefault="00994958">
            <w:pPr>
              <w:jc w:val="right"/>
              <w:textAlignment w:val="bottom"/>
            </w:pPr>
            <w:r>
              <w:rPr>
                <w:rFonts w:ascii="Arial" w:eastAsia="宋体" w:hAnsi="Arial" w:cs="Arial"/>
                <w:b/>
                <w:bCs/>
                <w:color w:val="000000"/>
                <w:sz w:val="15"/>
                <w:szCs w:val="15"/>
              </w:rPr>
              <w:t>13,867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8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8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8C"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98D"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98E" w14:textId="77777777" w:rsidR="00E836FB" w:rsidRDefault="00994958">
            <w:pPr>
              <w:jc w:val="right"/>
              <w:textAlignment w:val="bottom"/>
            </w:pPr>
            <w:r>
              <w:rPr>
                <w:rFonts w:ascii="Arial" w:eastAsia="宋体" w:hAnsi="Arial" w:cs="Arial"/>
                <w:b/>
                <w:bCs/>
                <w:color w:val="000000"/>
                <w:sz w:val="15"/>
                <w:szCs w:val="15"/>
              </w:rPr>
              <w:t>11,968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9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9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92"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C99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C994" w14:textId="77777777" w:rsidR="00E836FB" w:rsidRDefault="00994958">
            <w:pPr>
              <w:jc w:val="right"/>
              <w:textAlignment w:val="bottom"/>
            </w:pPr>
            <w:r>
              <w:rPr>
                <w:rFonts w:ascii="Arial" w:eastAsia="宋体" w:hAnsi="Arial" w:cs="Arial"/>
                <w:b/>
                <w:bCs/>
                <w:color w:val="000000"/>
                <w:sz w:val="15"/>
                <w:szCs w:val="15"/>
              </w:rPr>
              <w:t>73,399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995" w14:textId="77777777" w:rsidR="00E836FB" w:rsidRDefault="00E836FB">
            <w:pPr>
              <w:jc w:val="right"/>
              <w:rPr>
                <w:rFonts w:ascii="宋体"/>
              </w:rPr>
            </w:pPr>
          </w:p>
        </w:tc>
      </w:tr>
      <w:tr w:rsidR="00E836FB" w14:paraId="5F2CC9A9" w14:textId="77777777">
        <w:trPr>
          <w:trHeight w:val="280"/>
        </w:trPr>
        <w:tc>
          <w:tcPr>
            <w:tcW w:w="0" w:type="auto"/>
            <w:gridSpan w:val="3"/>
            <w:shd w:val="clear" w:color="auto" w:fill="auto"/>
            <w:tcMar>
              <w:top w:w="0" w:type="dxa"/>
              <w:left w:w="20" w:type="dxa"/>
              <w:bottom w:w="0" w:type="dxa"/>
              <w:right w:w="20" w:type="dxa"/>
            </w:tcMar>
            <w:vAlign w:val="bottom"/>
          </w:tcPr>
          <w:p w14:paraId="5F2CC99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9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9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9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9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9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9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C9A8" w14:textId="77777777" w:rsidR="00E836FB" w:rsidRDefault="00E836FB">
            <w:pPr>
              <w:rPr>
                <w:rFonts w:ascii="宋体"/>
              </w:rPr>
            </w:pPr>
          </w:p>
        </w:tc>
      </w:tr>
      <w:tr w:rsidR="00E836FB" w14:paraId="5F2CC9BC" w14:textId="77777777">
        <w:tc>
          <w:tcPr>
            <w:tcW w:w="0" w:type="auto"/>
            <w:gridSpan w:val="3"/>
            <w:shd w:val="clear" w:color="auto" w:fill="auto"/>
            <w:tcMar>
              <w:top w:w="40" w:type="dxa"/>
              <w:left w:w="20" w:type="dxa"/>
              <w:bottom w:w="40" w:type="dxa"/>
              <w:right w:w="20" w:type="dxa"/>
            </w:tcMar>
            <w:vAlign w:val="bottom"/>
          </w:tcPr>
          <w:p w14:paraId="5F2CC9AA" w14:textId="77777777" w:rsidR="00E836FB" w:rsidRDefault="00994958">
            <w:pPr>
              <w:textAlignment w:val="bottom"/>
            </w:pPr>
            <w:r>
              <w:rPr>
                <w:rFonts w:ascii="Arial" w:eastAsia="宋体" w:hAnsi="Arial" w:cs="Arial"/>
                <w:b/>
                <w:bCs/>
                <w:color w:val="000000"/>
                <w:sz w:val="15"/>
                <w:szCs w:val="15"/>
              </w:rPr>
              <w:t>Held-to-maturity</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shd w:val="clear" w:color="auto" w:fill="auto"/>
            <w:tcMar>
              <w:top w:w="0" w:type="dxa"/>
              <w:left w:w="20" w:type="dxa"/>
              <w:bottom w:w="0" w:type="dxa"/>
              <w:right w:w="20" w:type="dxa"/>
            </w:tcMar>
            <w:vAlign w:val="bottom"/>
          </w:tcPr>
          <w:p w14:paraId="5F2CC9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A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9BB" w14:textId="77777777" w:rsidR="00E836FB" w:rsidRDefault="00E836FB">
            <w:pPr>
              <w:rPr>
                <w:rFonts w:ascii="宋体"/>
              </w:rPr>
            </w:pPr>
          </w:p>
        </w:tc>
      </w:tr>
      <w:tr w:rsidR="00E836FB" w14:paraId="5F2CC9CF" w14:textId="77777777">
        <w:tc>
          <w:tcPr>
            <w:tcW w:w="0" w:type="auto"/>
            <w:gridSpan w:val="3"/>
            <w:shd w:val="clear" w:color="auto" w:fill="FFFFFF"/>
            <w:tcMar>
              <w:top w:w="40" w:type="dxa"/>
              <w:left w:w="20" w:type="dxa"/>
              <w:bottom w:w="40" w:type="dxa"/>
              <w:right w:w="20" w:type="dxa"/>
            </w:tcMar>
            <w:vAlign w:val="bottom"/>
          </w:tcPr>
          <w:p w14:paraId="5F2CC9BD" w14:textId="77777777" w:rsidR="00E836FB" w:rsidRDefault="00994958">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vAlign w:val="bottom"/>
          </w:tcPr>
          <w:p w14:paraId="5F2CC9B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B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9CE" w14:textId="77777777" w:rsidR="00E836FB" w:rsidRDefault="00E836FB">
            <w:pPr>
              <w:rPr>
                <w:rFonts w:ascii="宋体"/>
              </w:rPr>
            </w:pPr>
          </w:p>
        </w:tc>
      </w:tr>
      <w:tr w:rsidR="00994958" w14:paraId="5F2CC9F0" w14:textId="77777777">
        <w:tc>
          <w:tcPr>
            <w:tcW w:w="0" w:type="auto"/>
            <w:gridSpan w:val="3"/>
            <w:shd w:val="clear" w:color="auto" w:fill="CCEEFF"/>
            <w:tcMar>
              <w:top w:w="40" w:type="dxa"/>
              <w:left w:w="20" w:type="dxa"/>
              <w:bottom w:w="40" w:type="dxa"/>
              <w:right w:w="20" w:type="dxa"/>
            </w:tcMar>
            <w:vAlign w:val="bottom"/>
          </w:tcPr>
          <w:p w14:paraId="5F2CC9D0" w14:textId="77777777" w:rsidR="00E836FB" w:rsidRDefault="00994958">
            <w:pPr>
              <w:textAlignment w:val="bottom"/>
            </w:pPr>
            <w:r>
              <w:rPr>
                <w:rFonts w:ascii="Arial" w:eastAsia="宋体" w:hAnsi="Arial" w:cs="Arial"/>
                <w:color w:val="000000"/>
                <w:sz w:val="15"/>
                <w:szCs w:val="15"/>
              </w:rPr>
              <w:t>  Direct obligations</w:t>
            </w:r>
          </w:p>
        </w:tc>
        <w:tc>
          <w:tcPr>
            <w:tcW w:w="0" w:type="auto"/>
            <w:shd w:val="clear" w:color="auto" w:fill="CCEEFF"/>
            <w:tcMar>
              <w:top w:w="40" w:type="dxa"/>
              <w:left w:w="20" w:type="dxa"/>
              <w:bottom w:w="40" w:type="dxa"/>
              <w:right w:w="0" w:type="dxa"/>
            </w:tcMar>
            <w:vAlign w:val="bottom"/>
          </w:tcPr>
          <w:p w14:paraId="5F2CC9D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9D2" w14:textId="77777777" w:rsidR="00E836FB" w:rsidRDefault="00994958">
            <w:pPr>
              <w:jc w:val="right"/>
              <w:textAlignment w:val="bottom"/>
            </w:pPr>
            <w:r>
              <w:rPr>
                <w:rFonts w:ascii="Arial" w:eastAsia="宋体" w:hAnsi="Arial" w:cs="Arial"/>
                <w:b/>
                <w:bCs/>
                <w:color w:val="000000"/>
                <w:sz w:val="15"/>
                <w:szCs w:val="15"/>
              </w:rPr>
              <w:t>2,150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D5" w14:textId="77777777" w:rsidR="00E836FB" w:rsidRDefault="00994958">
            <w:pPr>
              <w:jc w:val="right"/>
              <w:textAlignment w:val="bottom"/>
            </w:pPr>
            <w:r>
              <w:rPr>
                <w:rFonts w:ascii="Arial" w:eastAsia="宋体" w:hAnsi="Arial" w:cs="Arial"/>
                <w:b/>
                <w:bCs/>
                <w:color w:val="000000"/>
                <w:sz w:val="15"/>
                <w:szCs w:val="15"/>
              </w:rPr>
              <w:t>1.73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D6"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9D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9D8"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9D9"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D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DC" w14:textId="77777777" w:rsidR="00E836FB" w:rsidRDefault="00994958">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DD"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9D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9DF"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9E0"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E3" w14:textId="77777777" w:rsidR="00E836FB" w:rsidRDefault="00994958">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E4"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9E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9E6"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9E7" w14:textId="77777777" w:rsidR="00E836FB" w:rsidRDefault="00994958">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9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9EA" w14:textId="77777777" w:rsidR="00E836FB" w:rsidRDefault="00994958">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EB"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C9E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9ED"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C9EE" w14:textId="77777777" w:rsidR="00E836FB" w:rsidRDefault="00994958">
            <w:pPr>
              <w:jc w:val="right"/>
              <w:textAlignment w:val="bottom"/>
            </w:pPr>
            <w:r>
              <w:rPr>
                <w:rFonts w:ascii="Arial" w:eastAsia="宋体" w:hAnsi="Arial" w:cs="Arial"/>
                <w:b/>
                <w:bCs/>
                <w:color w:val="000000"/>
                <w:sz w:val="15"/>
                <w:szCs w:val="15"/>
              </w:rPr>
              <w:t>2,170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9EF" w14:textId="77777777" w:rsidR="00E836FB" w:rsidRDefault="00E836FB">
            <w:pPr>
              <w:jc w:val="right"/>
              <w:rPr>
                <w:rFonts w:ascii="宋体"/>
              </w:rPr>
            </w:pPr>
          </w:p>
        </w:tc>
      </w:tr>
      <w:tr w:rsidR="00E836FB" w14:paraId="5F2CCA0C" w14:textId="77777777">
        <w:tc>
          <w:tcPr>
            <w:tcW w:w="0" w:type="auto"/>
            <w:gridSpan w:val="3"/>
            <w:shd w:val="clear" w:color="auto" w:fill="FFFFFF"/>
            <w:tcMar>
              <w:top w:w="40" w:type="dxa"/>
              <w:left w:w="20" w:type="dxa"/>
              <w:bottom w:w="40" w:type="dxa"/>
              <w:right w:w="20" w:type="dxa"/>
            </w:tcMar>
            <w:vAlign w:val="bottom"/>
          </w:tcPr>
          <w:p w14:paraId="5F2CC9F1" w14:textId="77777777" w:rsidR="00E836FB" w:rsidRDefault="00994958">
            <w:pPr>
              <w:textAlignment w:val="bottom"/>
            </w:pPr>
            <w:r>
              <w:rPr>
                <w:rFonts w:ascii="Arial" w:eastAsia="宋体" w:hAnsi="Arial" w:cs="Arial"/>
                <w:color w:val="000000"/>
                <w:sz w:val="15"/>
                <w:szCs w:val="15"/>
              </w:rPr>
              <w:t>  Mortgage-backed securities</w:t>
            </w:r>
          </w:p>
        </w:tc>
        <w:tc>
          <w:tcPr>
            <w:tcW w:w="0" w:type="auto"/>
            <w:gridSpan w:val="2"/>
            <w:shd w:val="clear" w:color="auto" w:fill="FFFFFF"/>
            <w:tcMar>
              <w:top w:w="40" w:type="dxa"/>
              <w:left w:w="20" w:type="dxa"/>
              <w:bottom w:w="40" w:type="dxa"/>
              <w:right w:w="0" w:type="dxa"/>
            </w:tcMar>
            <w:vAlign w:val="bottom"/>
          </w:tcPr>
          <w:p w14:paraId="5F2CC9F2" w14:textId="77777777" w:rsidR="00E836FB" w:rsidRDefault="00994958">
            <w:pPr>
              <w:jc w:val="right"/>
              <w:textAlignment w:val="bottom"/>
            </w:pPr>
            <w:r>
              <w:rPr>
                <w:rFonts w:ascii="Arial" w:eastAsia="宋体" w:hAnsi="Arial" w:cs="Arial"/>
                <w:b/>
                <w:bCs/>
                <w:color w:val="000000"/>
                <w:sz w:val="15"/>
                <w:szCs w:val="15"/>
              </w:rPr>
              <w:t>148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F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F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F5" w14:textId="77777777" w:rsidR="00E836FB" w:rsidRDefault="00994958">
            <w:pPr>
              <w:jc w:val="right"/>
              <w:textAlignment w:val="bottom"/>
            </w:pPr>
            <w:r>
              <w:rPr>
                <w:rFonts w:ascii="Arial" w:eastAsia="宋体" w:hAnsi="Arial" w:cs="Arial"/>
                <w:b/>
                <w:bCs/>
                <w:color w:val="000000"/>
                <w:sz w:val="15"/>
                <w:szCs w:val="15"/>
              </w:rPr>
              <w:t>2.62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F8" w14:textId="77777777" w:rsidR="00E836FB" w:rsidRDefault="00994958">
            <w:pPr>
              <w:jc w:val="right"/>
              <w:textAlignment w:val="bottom"/>
            </w:pPr>
            <w:r>
              <w:rPr>
                <w:rFonts w:ascii="Arial" w:eastAsia="宋体" w:hAnsi="Arial" w:cs="Arial"/>
                <w:b/>
                <w:bCs/>
                <w:color w:val="000000"/>
                <w:sz w:val="15"/>
                <w:szCs w:val="15"/>
              </w:rPr>
              <w:t>393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FB" w14:textId="77777777" w:rsidR="00E836FB" w:rsidRDefault="00994958">
            <w:pPr>
              <w:jc w:val="right"/>
              <w:textAlignment w:val="bottom"/>
            </w:pPr>
            <w:r>
              <w:rPr>
                <w:rFonts w:ascii="Arial" w:eastAsia="宋体" w:hAnsi="Arial" w:cs="Arial"/>
                <w:b/>
                <w:bCs/>
                <w:color w:val="000000"/>
                <w:sz w:val="15"/>
                <w:szCs w:val="15"/>
              </w:rPr>
              <w:t>3.14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9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9FE" w14:textId="77777777" w:rsidR="00E836FB" w:rsidRDefault="00994958">
            <w:pPr>
              <w:jc w:val="right"/>
              <w:textAlignment w:val="bottom"/>
            </w:pPr>
            <w:r>
              <w:rPr>
                <w:rFonts w:ascii="Arial" w:eastAsia="宋体" w:hAnsi="Arial" w:cs="Arial"/>
                <w:b/>
                <w:bCs/>
                <w:color w:val="000000"/>
                <w:sz w:val="15"/>
                <w:szCs w:val="15"/>
              </w:rPr>
              <w:t>4,651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9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01" w14:textId="77777777" w:rsidR="00E836FB" w:rsidRDefault="00994958">
            <w:pPr>
              <w:jc w:val="right"/>
              <w:textAlignment w:val="bottom"/>
            </w:pPr>
            <w:r>
              <w:rPr>
                <w:rFonts w:ascii="Arial" w:eastAsia="宋体" w:hAnsi="Arial" w:cs="Arial"/>
                <w:b/>
                <w:bCs/>
                <w:color w:val="000000"/>
                <w:sz w:val="15"/>
                <w:szCs w:val="15"/>
              </w:rPr>
              <w:t>1.90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04" w14:textId="77777777" w:rsidR="00E836FB" w:rsidRDefault="00994958">
            <w:pPr>
              <w:jc w:val="right"/>
              <w:textAlignment w:val="bottom"/>
            </w:pPr>
            <w:r>
              <w:rPr>
                <w:rFonts w:ascii="Arial" w:eastAsia="宋体" w:hAnsi="Arial" w:cs="Arial"/>
                <w:b/>
                <w:bCs/>
                <w:color w:val="000000"/>
                <w:sz w:val="15"/>
                <w:szCs w:val="15"/>
              </w:rPr>
              <w:t>28,289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07" w14:textId="77777777" w:rsidR="00E836FB" w:rsidRDefault="00994958">
            <w:pPr>
              <w:jc w:val="right"/>
              <w:textAlignment w:val="bottom"/>
            </w:pPr>
            <w:r>
              <w:rPr>
                <w:rFonts w:ascii="Arial" w:eastAsia="宋体" w:hAnsi="Arial" w:cs="Arial"/>
                <w:b/>
                <w:bCs/>
                <w:color w:val="000000"/>
                <w:sz w:val="15"/>
                <w:szCs w:val="15"/>
              </w:rPr>
              <w:t>2.18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0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0A" w14:textId="77777777" w:rsidR="00E836FB" w:rsidRDefault="00994958">
            <w:pPr>
              <w:jc w:val="right"/>
              <w:textAlignment w:val="bottom"/>
            </w:pPr>
            <w:r>
              <w:rPr>
                <w:rFonts w:ascii="Arial" w:eastAsia="宋体" w:hAnsi="Arial" w:cs="Arial"/>
                <w:b/>
                <w:bCs/>
                <w:color w:val="000000"/>
                <w:sz w:val="15"/>
                <w:szCs w:val="15"/>
              </w:rPr>
              <w:t>33,481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0B" w14:textId="77777777" w:rsidR="00E836FB" w:rsidRDefault="00E836FB">
            <w:pPr>
              <w:jc w:val="right"/>
              <w:rPr>
                <w:rFonts w:ascii="宋体"/>
              </w:rPr>
            </w:pPr>
          </w:p>
        </w:tc>
      </w:tr>
      <w:tr w:rsidR="00E836FB" w14:paraId="5F2CCA24" w14:textId="77777777">
        <w:tc>
          <w:tcPr>
            <w:tcW w:w="0" w:type="auto"/>
            <w:gridSpan w:val="3"/>
            <w:shd w:val="clear" w:color="auto" w:fill="CCEEFF"/>
            <w:tcMar>
              <w:top w:w="40" w:type="dxa"/>
              <w:left w:w="245" w:type="dxa"/>
              <w:bottom w:w="40" w:type="dxa"/>
              <w:right w:w="20" w:type="dxa"/>
            </w:tcMar>
            <w:vAlign w:val="bottom"/>
          </w:tcPr>
          <w:p w14:paraId="5F2CCA0D"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A0E" w14:textId="77777777" w:rsidR="00E836FB" w:rsidRDefault="00994958">
            <w:pPr>
              <w:jc w:val="right"/>
              <w:textAlignment w:val="bottom"/>
            </w:pPr>
            <w:r>
              <w:rPr>
                <w:rFonts w:ascii="Arial" w:eastAsia="宋体" w:hAnsi="Arial" w:cs="Arial"/>
                <w:b/>
                <w:bCs/>
                <w:color w:val="000000"/>
                <w:sz w:val="15"/>
                <w:szCs w:val="15"/>
              </w:rPr>
              <w:t>2,298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A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1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1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1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A13" w14:textId="77777777" w:rsidR="00E836FB" w:rsidRDefault="00994958">
            <w:pPr>
              <w:jc w:val="right"/>
              <w:textAlignment w:val="bottom"/>
            </w:pPr>
            <w:r>
              <w:rPr>
                <w:rFonts w:ascii="Arial" w:eastAsia="宋体" w:hAnsi="Arial" w:cs="Arial"/>
                <w:b/>
                <w:bCs/>
                <w:color w:val="000000"/>
                <w:sz w:val="15"/>
                <w:szCs w:val="15"/>
              </w:rPr>
              <w:t>396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A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1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1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1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A18" w14:textId="77777777" w:rsidR="00E836FB" w:rsidRDefault="00994958">
            <w:pPr>
              <w:jc w:val="right"/>
              <w:textAlignment w:val="bottom"/>
            </w:pPr>
            <w:r>
              <w:rPr>
                <w:rFonts w:ascii="Arial" w:eastAsia="宋体" w:hAnsi="Arial" w:cs="Arial"/>
                <w:b/>
                <w:bCs/>
                <w:color w:val="000000"/>
                <w:sz w:val="15"/>
                <w:szCs w:val="15"/>
              </w:rPr>
              <w:t>4,652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A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1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1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1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A1D" w14:textId="77777777" w:rsidR="00E836FB" w:rsidRDefault="00994958">
            <w:pPr>
              <w:jc w:val="right"/>
              <w:textAlignment w:val="bottom"/>
            </w:pPr>
            <w:r>
              <w:rPr>
                <w:rFonts w:ascii="Arial" w:eastAsia="宋体" w:hAnsi="Arial" w:cs="Arial"/>
                <w:b/>
                <w:bCs/>
                <w:color w:val="000000"/>
                <w:sz w:val="15"/>
                <w:szCs w:val="15"/>
              </w:rPr>
              <w:t>28,305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A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1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2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2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A22" w14:textId="77777777" w:rsidR="00E836FB" w:rsidRDefault="00994958">
            <w:pPr>
              <w:jc w:val="right"/>
              <w:textAlignment w:val="bottom"/>
            </w:pPr>
            <w:r>
              <w:rPr>
                <w:rFonts w:ascii="Arial" w:eastAsia="宋体" w:hAnsi="Arial" w:cs="Arial"/>
                <w:b/>
                <w:bCs/>
                <w:color w:val="000000"/>
                <w:sz w:val="15"/>
                <w:szCs w:val="15"/>
              </w:rPr>
              <w:t>35,651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A23" w14:textId="77777777" w:rsidR="00E836FB" w:rsidRDefault="00E836FB">
            <w:pPr>
              <w:jc w:val="right"/>
              <w:rPr>
                <w:rFonts w:ascii="宋体"/>
              </w:rPr>
            </w:pPr>
          </w:p>
        </w:tc>
      </w:tr>
      <w:tr w:rsidR="00E836FB" w14:paraId="5F2CCA37" w14:textId="77777777">
        <w:tc>
          <w:tcPr>
            <w:tcW w:w="0" w:type="auto"/>
            <w:gridSpan w:val="3"/>
            <w:shd w:val="clear" w:color="auto" w:fill="FFFFFF"/>
            <w:tcMar>
              <w:top w:w="40" w:type="dxa"/>
              <w:left w:w="20" w:type="dxa"/>
              <w:bottom w:w="40" w:type="dxa"/>
              <w:right w:w="20" w:type="dxa"/>
            </w:tcMar>
            <w:vAlign w:val="bottom"/>
          </w:tcPr>
          <w:p w14:paraId="5F2CCA25"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A2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2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2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29"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A2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2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2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2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A2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2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3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3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A3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3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3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3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A36" w14:textId="77777777" w:rsidR="00E836FB" w:rsidRDefault="00E836FB">
            <w:pPr>
              <w:rPr>
                <w:rFonts w:ascii="宋体"/>
              </w:rPr>
            </w:pPr>
          </w:p>
        </w:tc>
      </w:tr>
      <w:tr w:rsidR="00E836FB" w14:paraId="5F2CCA4A" w14:textId="77777777">
        <w:trPr>
          <w:hidden/>
        </w:trPr>
        <w:tc>
          <w:tcPr>
            <w:tcW w:w="0" w:type="auto"/>
            <w:gridSpan w:val="3"/>
            <w:shd w:val="clear" w:color="auto" w:fill="auto"/>
            <w:vAlign w:val="bottom"/>
          </w:tcPr>
          <w:p w14:paraId="5F2CCA38" w14:textId="77777777" w:rsidR="00E836FB" w:rsidRDefault="00E836FB">
            <w:pPr>
              <w:rPr>
                <w:rFonts w:ascii="宋体"/>
                <w:vanish/>
              </w:rPr>
            </w:pPr>
          </w:p>
        </w:tc>
        <w:tc>
          <w:tcPr>
            <w:tcW w:w="0" w:type="auto"/>
            <w:gridSpan w:val="3"/>
            <w:shd w:val="clear" w:color="auto" w:fill="auto"/>
            <w:vAlign w:val="bottom"/>
          </w:tcPr>
          <w:p w14:paraId="5F2CCA39" w14:textId="77777777" w:rsidR="00E836FB" w:rsidRDefault="00E836FB">
            <w:pPr>
              <w:rPr>
                <w:rFonts w:ascii="宋体"/>
                <w:vanish/>
              </w:rPr>
            </w:pPr>
          </w:p>
        </w:tc>
        <w:tc>
          <w:tcPr>
            <w:tcW w:w="0" w:type="auto"/>
            <w:gridSpan w:val="3"/>
            <w:shd w:val="clear" w:color="auto" w:fill="auto"/>
            <w:vAlign w:val="bottom"/>
          </w:tcPr>
          <w:p w14:paraId="5F2CCA3A" w14:textId="77777777" w:rsidR="00E836FB" w:rsidRDefault="00E836FB">
            <w:pPr>
              <w:rPr>
                <w:rFonts w:ascii="宋体"/>
                <w:vanish/>
              </w:rPr>
            </w:pPr>
          </w:p>
        </w:tc>
        <w:tc>
          <w:tcPr>
            <w:tcW w:w="0" w:type="auto"/>
            <w:gridSpan w:val="3"/>
            <w:shd w:val="clear" w:color="auto" w:fill="auto"/>
            <w:vAlign w:val="bottom"/>
          </w:tcPr>
          <w:p w14:paraId="5F2CCA3B" w14:textId="77777777" w:rsidR="00E836FB" w:rsidRDefault="00E836FB">
            <w:pPr>
              <w:rPr>
                <w:rFonts w:ascii="宋体"/>
                <w:vanish/>
              </w:rPr>
            </w:pPr>
          </w:p>
        </w:tc>
        <w:tc>
          <w:tcPr>
            <w:tcW w:w="0" w:type="auto"/>
            <w:gridSpan w:val="3"/>
            <w:shd w:val="clear" w:color="auto" w:fill="auto"/>
            <w:vAlign w:val="bottom"/>
          </w:tcPr>
          <w:p w14:paraId="5F2CCA3C" w14:textId="77777777" w:rsidR="00E836FB" w:rsidRDefault="00E836FB">
            <w:pPr>
              <w:rPr>
                <w:rFonts w:ascii="宋体"/>
                <w:vanish/>
              </w:rPr>
            </w:pPr>
          </w:p>
        </w:tc>
        <w:tc>
          <w:tcPr>
            <w:tcW w:w="0" w:type="auto"/>
            <w:gridSpan w:val="3"/>
            <w:shd w:val="clear" w:color="auto" w:fill="auto"/>
            <w:vAlign w:val="bottom"/>
          </w:tcPr>
          <w:p w14:paraId="5F2CCA3D" w14:textId="77777777" w:rsidR="00E836FB" w:rsidRDefault="00E836FB">
            <w:pPr>
              <w:rPr>
                <w:rFonts w:ascii="宋体"/>
                <w:vanish/>
              </w:rPr>
            </w:pPr>
          </w:p>
        </w:tc>
        <w:tc>
          <w:tcPr>
            <w:tcW w:w="0" w:type="auto"/>
            <w:gridSpan w:val="3"/>
            <w:shd w:val="clear" w:color="auto" w:fill="auto"/>
            <w:vAlign w:val="bottom"/>
          </w:tcPr>
          <w:p w14:paraId="5F2CCA3E" w14:textId="77777777" w:rsidR="00E836FB" w:rsidRDefault="00E836FB">
            <w:pPr>
              <w:rPr>
                <w:rFonts w:ascii="宋体"/>
                <w:vanish/>
              </w:rPr>
            </w:pPr>
          </w:p>
        </w:tc>
        <w:tc>
          <w:tcPr>
            <w:tcW w:w="0" w:type="auto"/>
            <w:gridSpan w:val="3"/>
            <w:shd w:val="clear" w:color="auto" w:fill="auto"/>
            <w:vAlign w:val="bottom"/>
          </w:tcPr>
          <w:p w14:paraId="5F2CCA3F" w14:textId="77777777" w:rsidR="00E836FB" w:rsidRDefault="00E836FB">
            <w:pPr>
              <w:rPr>
                <w:rFonts w:ascii="宋体"/>
                <w:vanish/>
              </w:rPr>
            </w:pPr>
          </w:p>
        </w:tc>
        <w:tc>
          <w:tcPr>
            <w:tcW w:w="0" w:type="auto"/>
            <w:gridSpan w:val="3"/>
            <w:shd w:val="clear" w:color="auto" w:fill="auto"/>
            <w:vAlign w:val="bottom"/>
          </w:tcPr>
          <w:p w14:paraId="5F2CCA40" w14:textId="77777777" w:rsidR="00E836FB" w:rsidRDefault="00E836FB">
            <w:pPr>
              <w:rPr>
                <w:rFonts w:ascii="宋体"/>
                <w:vanish/>
              </w:rPr>
            </w:pPr>
          </w:p>
        </w:tc>
        <w:tc>
          <w:tcPr>
            <w:tcW w:w="0" w:type="auto"/>
            <w:gridSpan w:val="3"/>
            <w:shd w:val="clear" w:color="auto" w:fill="auto"/>
            <w:vAlign w:val="bottom"/>
          </w:tcPr>
          <w:p w14:paraId="5F2CCA41" w14:textId="77777777" w:rsidR="00E836FB" w:rsidRDefault="00E836FB">
            <w:pPr>
              <w:rPr>
                <w:rFonts w:ascii="宋体"/>
                <w:vanish/>
              </w:rPr>
            </w:pPr>
          </w:p>
        </w:tc>
        <w:tc>
          <w:tcPr>
            <w:tcW w:w="0" w:type="auto"/>
            <w:gridSpan w:val="3"/>
            <w:shd w:val="clear" w:color="auto" w:fill="auto"/>
            <w:vAlign w:val="bottom"/>
          </w:tcPr>
          <w:p w14:paraId="5F2CCA42" w14:textId="77777777" w:rsidR="00E836FB" w:rsidRDefault="00E836FB">
            <w:pPr>
              <w:rPr>
                <w:rFonts w:ascii="宋体"/>
                <w:vanish/>
              </w:rPr>
            </w:pPr>
          </w:p>
        </w:tc>
        <w:tc>
          <w:tcPr>
            <w:tcW w:w="0" w:type="auto"/>
            <w:gridSpan w:val="3"/>
            <w:shd w:val="clear" w:color="auto" w:fill="auto"/>
            <w:vAlign w:val="bottom"/>
          </w:tcPr>
          <w:p w14:paraId="5F2CCA43" w14:textId="77777777" w:rsidR="00E836FB" w:rsidRDefault="00E836FB">
            <w:pPr>
              <w:rPr>
                <w:rFonts w:ascii="宋体"/>
                <w:vanish/>
              </w:rPr>
            </w:pPr>
          </w:p>
        </w:tc>
        <w:tc>
          <w:tcPr>
            <w:tcW w:w="0" w:type="auto"/>
            <w:gridSpan w:val="3"/>
            <w:shd w:val="clear" w:color="auto" w:fill="auto"/>
            <w:vAlign w:val="bottom"/>
          </w:tcPr>
          <w:p w14:paraId="5F2CCA44" w14:textId="77777777" w:rsidR="00E836FB" w:rsidRDefault="00E836FB">
            <w:pPr>
              <w:rPr>
                <w:rFonts w:ascii="宋体"/>
                <w:vanish/>
              </w:rPr>
            </w:pPr>
          </w:p>
        </w:tc>
        <w:tc>
          <w:tcPr>
            <w:tcW w:w="0" w:type="auto"/>
            <w:gridSpan w:val="3"/>
            <w:shd w:val="clear" w:color="auto" w:fill="auto"/>
            <w:vAlign w:val="bottom"/>
          </w:tcPr>
          <w:p w14:paraId="5F2CCA45" w14:textId="77777777" w:rsidR="00E836FB" w:rsidRDefault="00E836FB">
            <w:pPr>
              <w:rPr>
                <w:rFonts w:ascii="宋体"/>
                <w:vanish/>
              </w:rPr>
            </w:pPr>
          </w:p>
        </w:tc>
        <w:tc>
          <w:tcPr>
            <w:tcW w:w="0" w:type="auto"/>
            <w:gridSpan w:val="3"/>
            <w:shd w:val="clear" w:color="auto" w:fill="auto"/>
            <w:vAlign w:val="bottom"/>
          </w:tcPr>
          <w:p w14:paraId="5F2CCA46" w14:textId="77777777" w:rsidR="00E836FB" w:rsidRDefault="00E836FB">
            <w:pPr>
              <w:rPr>
                <w:rFonts w:ascii="宋体"/>
                <w:vanish/>
              </w:rPr>
            </w:pPr>
          </w:p>
        </w:tc>
        <w:tc>
          <w:tcPr>
            <w:tcW w:w="0" w:type="auto"/>
            <w:gridSpan w:val="3"/>
            <w:shd w:val="clear" w:color="auto" w:fill="auto"/>
            <w:vAlign w:val="bottom"/>
          </w:tcPr>
          <w:p w14:paraId="5F2CCA47" w14:textId="77777777" w:rsidR="00E836FB" w:rsidRDefault="00E836FB">
            <w:pPr>
              <w:rPr>
                <w:rFonts w:ascii="宋体"/>
                <w:vanish/>
              </w:rPr>
            </w:pPr>
          </w:p>
        </w:tc>
        <w:tc>
          <w:tcPr>
            <w:tcW w:w="0" w:type="auto"/>
            <w:gridSpan w:val="3"/>
            <w:shd w:val="clear" w:color="auto" w:fill="auto"/>
            <w:vAlign w:val="bottom"/>
          </w:tcPr>
          <w:p w14:paraId="5F2CCA48" w14:textId="77777777" w:rsidR="00E836FB" w:rsidRDefault="00E836FB">
            <w:pPr>
              <w:rPr>
                <w:rFonts w:ascii="宋体"/>
                <w:vanish/>
              </w:rPr>
            </w:pPr>
          </w:p>
        </w:tc>
        <w:tc>
          <w:tcPr>
            <w:tcW w:w="0" w:type="auto"/>
            <w:gridSpan w:val="3"/>
            <w:shd w:val="clear" w:color="auto" w:fill="auto"/>
            <w:vAlign w:val="bottom"/>
          </w:tcPr>
          <w:p w14:paraId="5F2CCA49" w14:textId="77777777" w:rsidR="00E836FB" w:rsidRDefault="00E836FB">
            <w:pPr>
              <w:rPr>
                <w:rFonts w:ascii="宋体"/>
                <w:vanish/>
              </w:rPr>
            </w:pPr>
          </w:p>
        </w:tc>
      </w:tr>
      <w:tr w:rsidR="00E836FB" w14:paraId="5F2CCA5D" w14:textId="77777777">
        <w:trPr>
          <w:hidden/>
        </w:trPr>
        <w:tc>
          <w:tcPr>
            <w:tcW w:w="0" w:type="auto"/>
            <w:gridSpan w:val="3"/>
            <w:shd w:val="clear" w:color="auto" w:fill="auto"/>
            <w:vAlign w:val="bottom"/>
          </w:tcPr>
          <w:p w14:paraId="5F2CCA4B" w14:textId="77777777" w:rsidR="00E836FB" w:rsidRDefault="00E836FB">
            <w:pPr>
              <w:rPr>
                <w:rFonts w:ascii="宋体"/>
                <w:vanish/>
              </w:rPr>
            </w:pPr>
          </w:p>
        </w:tc>
        <w:tc>
          <w:tcPr>
            <w:tcW w:w="0" w:type="auto"/>
            <w:gridSpan w:val="3"/>
            <w:shd w:val="clear" w:color="auto" w:fill="auto"/>
            <w:vAlign w:val="bottom"/>
          </w:tcPr>
          <w:p w14:paraId="5F2CCA4C" w14:textId="77777777" w:rsidR="00E836FB" w:rsidRDefault="00E836FB">
            <w:pPr>
              <w:rPr>
                <w:rFonts w:ascii="宋体"/>
                <w:vanish/>
              </w:rPr>
            </w:pPr>
          </w:p>
        </w:tc>
        <w:tc>
          <w:tcPr>
            <w:tcW w:w="0" w:type="auto"/>
            <w:gridSpan w:val="3"/>
            <w:shd w:val="clear" w:color="auto" w:fill="auto"/>
            <w:vAlign w:val="bottom"/>
          </w:tcPr>
          <w:p w14:paraId="5F2CCA4D" w14:textId="77777777" w:rsidR="00E836FB" w:rsidRDefault="00E836FB">
            <w:pPr>
              <w:rPr>
                <w:rFonts w:ascii="宋体"/>
                <w:vanish/>
              </w:rPr>
            </w:pPr>
          </w:p>
        </w:tc>
        <w:tc>
          <w:tcPr>
            <w:tcW w:w="0" w:type="auto"/>
            <w:gridSpan w:val="3"/>
            <w:shd w:val="clear" w:color="auto" w:fill="auto"/>
            <w:vAlign w:val="bottom"/>
          </w:tcPr>
          <w:p w14:paraId="5F2CCA4E" w14:textId="77777777" w:rsidR="00E836FB" w:rsidRDefault="00E836FB">
            <w:pPr>
              <w:rPr>
                <w:rFonts w:ascii="宋体"/>
                <w:vanish/>
              </w:rPr>
            </w:pPr>
          </w:p>
        </w:tc>
        <w:tc>
          <w:tcPr>
            <w:tcW w:w="0" w:type="auto"/>
            <w:gridSpan w:val="3"/>
            <w:shd w:val="clear" w:color="auto" w:fill="auto"/>
            <w:vAlign w:val="bottom"/>
          </w:tcPr>
          <w:p w14:paraId="5F2CCA4F" w14:textId="77777777" w:rsidR="00E836FB" w:rsidRDefault="00E836FB">
            <w:pPr>
              <w:rPr>
                <w:rFonts w:ascii="宋体"/>
                <w:vanish/>
              </w:rPr>
            </w:pPr>
          </w:p>
        </w:tc>
        <w:tc>
          <w:tcPr>
            <w:tcW w:w="0" w:type="auto"/>
            <w:gridSpan w:val="3"/>
            <w:shd w:val="clear" w:color="auto" w:fill="auto"/>
            <w:vAlign w:val="bottom"/>
          </w:tcPr>
          <w:p w14:paraId="5F2CCA50" w14:textId="77777777" w:rsidR="00E836FB" w:rsidRDefault="00E836FB">
            <w:pPr>
              <w:rPr>
                <w:rFonts w:ascii="宋体"/>
                <w:vanish/>
              </w:rPr>
            </w:pPr>
          </w:p>
        </w:tc>
        <w:tc>
          <w:tcPr>
            <w:tcW w:w="0" w:type="auto"/>
            <w:gridSpan w:val="3"/>
            <w:shd w:val="clear" w:color="auto" w:fill="auto"/>
            <w:vAlign w:val="bottom"/>
          </w:tcPr>
          <w:p w14:paraId="5F2CCA51" w14:textId="77777777" w:rsidR="00E836FB" w:rsidRDefault="00E836FB">
            <w:pPr>
              <w:rPr>
                <w:rFonts w:ascii="宋体"/>
                <w:vanish/>
              </w:rPr>
            </w:pPr>
          </w:p>
        </w:tc>
        <w:tc>
          <w:tcPr>
            <w:tcW w:w="0" w:type="auto"/>
            <w:gridSpan w:val="3"/>
            <w:shd w:val="clear" w:color="auto" w:fill="auto"/>
            <w:vAlign w:val="bottom"/>
          </w:tcPr>
          <w:p w14:paraId="5F2CCA52" w14:textId="77777777" w:rsidR="00E836FB" w:rsidRDefault="00E836FB">
            <w:pPr>
              <w:rPr>
                <w:rFonts w:ascii="宋体"/>
                <w:vanish/>
              </w:rPr>
            </w:pPr>
          </w:p>
        </w:tc>
        <w:tc>
          <w:tcPr>
            <w:tcW w:w="0" w:type="auto"/>
            <w:gridSpan w:val="3"/>
            <w:shd w:val="clear" w:color="auto" w:fill="auto"/>
            <w:vAlign w:val="bottom"/>
          </w:tcPr>
          <w:p w14:paraId="5F2CCA53" w14:textId="77777777" w:rsidR="00E836FB" w:rsidRDefault="00E836FB">
            <w:pPr>
              <w:rPr>
                <w:rFonts w:ascii="宋体"/>
                <w:vanish/>
              </w:rPr>
            </w:pPr>
          </w:p>
        </w:tc>
        <w:tc>
          <w:tcPr>
            <w:tcW w:w="0" w:type="auto"/>
            <w:gridSpan w:val="3"/>
            <w:shd w:val="clear" w:color="auto" w:fill="auto"/>
            <w:vAlign w:val="bottom"/>
          </w:tcPr>
          <w:p w14:paraId="5F2CCA54" w14:textId="77777777" w:rsidR="00E836FB" w:rsidRDefault="00E836FB">
            <w:pPr>
              <w:rPr>
                <w:rFonts w:ascii="宋体"/>
                <w:vanish/>
              </w:rPr>
            </w:pPr>
          </w:p>
        </w:tc>
        <w:tc>
          <w:tcPr>
            <w:tcW w:w="0" w:type="auto"/>
            <w:gridSpan w:val="3"/>
            <w:shd w:val="clear" w:color="auto" w:fill="auto"/>
            <w:vAlign w:val="bottom"/>
          </w:tcPr>
          <w:p w14:paraId="5F2CCA55" w14:textId="77777777" w:rsidR="00E836FB" w:rsidRDefault="00E836FB">
            <w:pPr>
              <w:rPr>
                <w:rFonts w:ascii="宋体"/>
                <w:vanish/>
              </w:rPr>
            </w:pPr>
          </w:p>
        </w:tc>
        <w:tc>
          <w:tcPr>
            <w:tcW w:w="0" w:type="auto"/>
            <w:gridSpan w:val="3"/>
            <w:shd w:val="clear" w:color="auto" w:fill="auto"/>
            <w:vAlign w:val="bottom"/>
          </w:tcPr>
          <w:p w14:paraId="5F2CCA56" w14:textId="77777777" w:rsidR="00E836FB" w:rsidRDefault="00E836FB">
            <w:pPr>
              <w:rPr>
                <w:rFonts w:ascii="宋体"/>
                <w:vanish/>
              </w:rPr>
            </w:pPr>
          </w:p>
        </w:tc>
        <w:tc>
          <w:tcPr>
            <w:tcW w:w="0" w:type="auto"/>
            <w:gridSpan w:val="3"/>
            <w:shd w:val="clear" w:color="auto" w:fill="auto"/>
            <w:vAlign w:val="bottom"/>
          </w:tcPr>
          <w:p w14:paraId="5F2CCA57" w14:textId="77777777" w:rsidR="00E836FB" w:rsidRDefault="00E836FB">
            <w:pPr>
              <w:rPr>
                <w:rFonts w:ascii="宋体"/>
                <w:vanish/>
              </w:rPr>
            </w:pPr>
          </w:p>
        </w:tc>
        <w:tc>
          <w:tcPr>
            <w:tcW w:w="0" w:type="auto"/>
            <w:gridSpan w:val="3"/>
            <w:shd w:val="clear" w:color="auto" w:fill="auto"/>
            <w:vAlign w:val="bottom"/>
          </w:tcPr>
          <w:p w14:paraId="5F2CCA58" w14:textId="77777777" w:rsidR="00E836FB" w:rsidRDefault="00E836FB">
            <w:pPr>
              <w:rPr>
                <w:rFonts w:ascii="宋体"/>
                <w:vanish/>
              </w:rPr>
            </w:pPr>
          </w:p>
        </w:tc>
        <w:tc>
          <w:tcPr>
            <w:tcW w:w="0" w:type="auto"/>
            <w:gridSpan w:val="3"/>
            <w:shd w:val="clear" w:color="auto" w:fill="auto"/>
            <w:vAlign w:val="bottom"/>
          </w:tcPr>
          <w:p w14:paraId="5F2CCA59" w14:textId="77777777" w:rsidR="00E836FB" w:rsidRDefault="00E836FB">
            <w:pPr>
              <w:rPr>
                <w:rFonts w:ascii="宋体"/>
                <w:vanish/>
              </w:rPr>
            </w:pPr>
          </w:p>
        </w:tc>
        <w:tc>
          <w:tcPr>
            <w:tcW w:w="0" w:type="auto"/>
            <w:gridSpan w:val="3"/>
            <w:shd w:val="clear" w:color="auto" w:fill="auto"/>
            <w:vAlign w:val="bottom"/>
          </w:tcPr>
          <w:p w14:paraId="5F2CCA5A" w14:textId="77777777" w:rsidR="00E836FB" w:rsidRDefault="00E836FB">
            <w:pPr>
              <w:rPr>
                <w:rFonts w:ascii="宋体"/>
                <w:vanish/>
              </w:rPr>
            </w:pPr>
          </w:p>
        </w:tc>
        <w:tc>
          <w:tcPr>
            <w:tcW w:w="0" w:type="auto"/>
            <w:gridSpan w:val="3"/>
            <w:shd w:val="clear" w:color="auto" w:fill="auto"/>
            <w:vAlign w:val="bottom"/>
          </w:tcPr>
          <w:p w14:paraId="5F2CCA5B" w14:textId="77777777" w:rsidR="00E836FB" w:rsidRDefault="00E836FB">
            <w:pPr>
              <w:rPr>
                <w:rFonts w:ascii="宋体"/>
                <w:vanish/>
              </w:rPr>
            </w:pPr>
          </w:p>
        </w:tc>
        <w:tc>
          <w:tcPr>
            <w:tcW w:w="0" w:type="auto"/>
            <w:gridSpan w:val="3"/>
            <w:shd w:val="clear" w:color="auto" w:fill="auto"/>
            <w:vAlign w:val="bottom"/>
          </w:tcPr>
          <w:p w14:paraId="5F2CCA5C" w14:textId="77777777" w:rsidR="00E836FB" w:rsidRDefault="00E836FB">
            <w:pPr>
              <w:rPr>
                <w:rFonts w:ascii="宋体"/>
                <w:vanish/>
              </w:rPr>
            </w:pPr>
          </w:p>
        </w:tc>
      </w:tr>
      <w:tr w:rsidR="00E836FB" w14:paraId="5F2CCA79" w14:textId="77777777">
        <w:tc>
          <w:tcPr>
            <w:tcW w:w="0" w:type="auto"/>
            <w:gridSpan w:val="3"/>
            <w:shd w:val="clear" w:color="auto" w:fill="CCEEFF"/>
            <w:tcMar>
              <w:top w:w="40" w:type="dxa"/>
              <w:left w:w="20" w:type="dxa"/>
              <w:bottom w:w="40" w:type="dxa"/>
              <w:right w:w="20" w:type="dxa"/>
            </w:tcMar>
            <w:vAlign w:val="bottom"/>
          </w:tcPr>
          <w:p w14:paraId="5F2CCA5E" w14:textId="77777777" w:rsidR="00E836FB" w:rsidRDefault="00994958">
            <w:pPr>
              <w:textAlignment w:val="bottom"/>
            </w:pPr>
            <w:r>
              <w:rPr>
                <w:rFonts w:ascii="Arial" w:eastAsia="宋体" w:hAnsi="Arial" w:cs="Arial"/>
                <w:color w:val="000000"/>
                <w:sz w:val="15"/>
                <w:szCs w:val="15"/>
              </w:rPr>
              <w:t>Non-U.S. sovereign, supranational</w:t>
            </w:r>
            <w:r>
              <w:rPr>
                <w:rFonts w:ascii="Arial" w:eastAsia="宋体" w:hAnsi="Arial" w:cs="Arial"/>
                <w:color w:val="000000"/>
                <w:sz w:val="15"/>
                <w:szCs w:val="15"/>
              </w:rPr>
              <w:br/>
              <w:t>and non-U.S. agency</w:t>
            </w:r>
          </w:p>
        </w:tc>
        <w:tc>
          <w:tcPr>
            <w:tcW w:w="0" w:type="auto"/>
            <w:gridSpan w:val="2"/>
            <w:shd w:val="clear" w:color="auto" w:fill="CCEEFF"/>
            <w:tcMar>
              <w:top w:w="40" w:type="dxa"/>
              <w:left w:w="20" w:type="dxa"/>
              <w:bottom w:w="40" w:type="dxa"/>
              <w:right w:w="0" w:type="dxa"/>
            </w:tcMar>
            <w:vAlign w:val="bottom"/>
          </w:tcPr>
          <w:p w14:paraId="5F2CCA5F" w14:textId="77777777" w:rsidR="00E836FB" w:rsidRDefault="00994958">
            <w:pPr>
              <w:jc w:val="right"/>
              <w:textAlignment w:val="bottom"/>
            </w:pPr>
            <w:r>
              <w:rPr>
                <w:rFonts w:ascii="Arial" w:eastAsia="宋体" w:hAnsi="Arial" w:cs="Arial"/>
                <w:b/>
                <w:bCs/>
                <w:color w:val="000000"/>
                <w:sz w:val="15"/>
                <w:szCs w:val="15"/>
              </w:rPr>
              <w:t>345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6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6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62" w14:textId="77777777" w:rsidR="00E836FB" w:rsidRDefault="00994958">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6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65" w14:textId="77777777" w:rsidR="00E836FB" w:rsidRDefault="00994958">
            <w:pPr>
              <w:jc w:val="right"/>
              <w:textAlignment w:val="bottom"/>
            </w:pPr>
            <w:r>
              <w:rPr>
                <w:rFonts w:ascii="Arial" w:eastAsia="宋体" w:hAnsi="Arial" w:cs="Arial"/>
                <w:b/>
                <w:bCs/>
                <w:color w:val="000000"/>
                <w:sz w:val="15"/>
                <w:szCs w:val="15"/>
              </w:rPr>
              <w:t>1,218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68" w14:textId="77777777" w:rsidR="00E836FB" w:rsidRDefault="00994958">
            <w:pPr>
              <w:jc w:val="right"/>
              <w:textAlignment w:val="bottom"/>
            </w:pPr>
            <w:r>
              <w:rPr>
                <w:rFonts w:ascii="Arial" w:eastAsia="宋体" w:hAnsi="Arial" w:cs="Arial"/>
                <w:b/>
                <w:bCs/>
                <w:color w:val="000000"/>
                <w:sz w:val="15"/>
                <w:szCs w:val="15"/>
              </w:rPr>
              <w:t>2.30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6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6B"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6E" w14:textId="77777777" w:rsidR="00E836FB" w:rsidRDefault="00994958">
            <w:pPr>
              <w:jc w:val="right"/>
              <w:textAlignment w:val="bottom"/>
            </w:pPr>
            <w:r>
              <w:rPr>
                <w:rFonts w:ascii="Arial" w:eastAsia="宋体" w:hAnsi="Arial" w:cs="Arial"/>
                <w:b/>
                <w:bCs/>
                <w:color w:val="000000"/>
                <w:sz w:val="15"/>
                <w:szCs w:val="15"/>
              </w:rPr>
              <w:t>.50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7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7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7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77" w14:textId="77777777" w:rsidR="00E836FB" w:rsidRDefault="00994958">
            <w:pPr>
              <w:jc w:val="right"/>
              <w:textAlignment w:val="bottom"/>
            </w:pPr>
            <w:r>
              <w:rPr>
                <w:rFonts w:ascii="Arial" w:eastAsia="宋体" w:hAnsi="Arial" w:cs="Arial"/>
                <w:b/>
                <w:bCs/>
                <w:color w:val="000000"/>
                <w:sz w:val="15"/>
                <w:szCs w:val="15"/>
              </w:rPr>
              <w:t>1,564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78" w14:textId="77777777" w:rsidR="00E836FB" w:rsidRDefault="00E836FB">
            <w:pPr>
              <w:jc w:val="right"/>
              <w:rPr>
                <w:rFonts w:ascii="宋体"/>
              </w:rPr>
            </w:pPr>
          </w:p>
        </w:tc>
      </w:tr>
      <w:tr w:rsidR="00E836FB" w14:paraId="5F2CCA8C" w14:textId="77777777">
        <w:trPr>
          <w:hidden/>
        </w:trPr>
        <w:tc>
          <w:tcPr>
            <w:tcW w:w="0" w:type="auto"/>
            <w:gridSpan w:val="3"/>
            <w:shd w:val="clear" w:color="auto" w:fill="auto"/>
            <w:vAlign w:val="bottom"/>
          </w:tcPr>
          <w:p w14:paraId="5F2CCA7A" w14:textId="77777777" w:rsidR="00E836FB" w:rsidRDefault="00E836FB">
            <w:pPr>
              <w:rPr>
                <w:rFonts w:ascii="宋体"/>
                <w:vanish/>
              </w:rPr>
            </w:pPr>
          </w:p>
        </w:tc>
        <w:tc>
          <w:tcPr>
            <w:tcW w:w="0" w:type="auto"/>
            <w:gridSpan w:val="3"/>
            <w:shd w:val="clear" w:color="auto" w:fill="auto"/>
            <w:vAlign w:val="bottom"/>
          </w:tcPr>
          <w:p w14:paraId="5F2CCA7B" w14:textId="77777777" w:rsidR="00E836FB" w:rsidRDefault="00E836FB">
            <w:pPr>
              <w:rPr>
                <w:rFonts w:ascii="宋体"/>
                <w:vanish/>
              </w:rPr>
            </w:pPr>
          </w:p>
        </w:tc>
        <w:tc>
          <w:tcPr>
            <w:tcW w:w="0" w:type="auto"/>
            <w:gridSpan w:val="3"/>
            <w:shd w:val="clear" w:color="auto" w:fill="auto"/>
            <w:vAlign w:val="bottom"/>
          </w:tcPr>
          <w:p w14:paraId="5F2CCA7C" w14:textId="77777777" w:rsidR="00E836FB" w:rsidRDefault="00E836FB">
            <w:pPr>
              <w:rPr>
                <w:rFonts w:ascii="宋体"/>
                <w:vanish/>
              </w:rPr>
            </w:pPr>
          </w:p>
        </w:tc>
        <w:tc>
          <w:tcPr>
            <w:tcW w:w="0" w:type="auto"/>
            <w:gridSpan w:val="3"/>
            <w:shd w:val="clear" w:color="auto" w:fill="auto"/>
            <w:vAlign w:val="bottom"/>
          </w:tcPr>
          <w:p w14:paraId="5F2CCA7D" w14:textId="77777777" w:rsidR="00E836FB" w:rsidRDefault="00E836FB">
            <w:pPr>
              <w:rPr>
                <w:rFonts w:ascii="宋体"/>
                <w:vanish/>
              </w:rPr>
            </w:pPr>
          </w:p>
        </w:tc>
        <w:tc>
          <w:tcPr>
            <w:tcW w:w="0" w:type="auto"/>
            <w:gridSpan w:val="3"/>
            <w:shd w:val="clear" w:color="auto" w:fill="auto"/>
            <w:vAlign w:val="bottom"/>
          </w:tcPr>
          <w:p w14:paraId="5F2CCA7E" w14:textId="77777777" w:rsidR="00E836FB" w:rsidRDefault="00E836FB">
            <w:pPr>
              <w:rPr>
                <w:rFonts w:ascii="宋体"/>
                <w:vanish/>
              </w:rPr>
            </w:pPr>
          </w:p>
        </w:tc>
        <w:tc>
          <w:tcPr>
            <w:tcW w:w="0" w:type="auto"/>
            <w:gridSpan w:val="3"/>
            <w:shd w:val="clear" w:color="auto" w:fill="auto"/>
            <w:vAlign w:val="bottom"/>
          </w:tcPr>
          <w:p w14:paraId="5F2CCA7F" w14:textId="77777777" w:rsidR="00E836FB" w:rsidRDefault="00E836FB">
            <w:pPr>
              <w:rPr>
                <w:rFonts w:ascii="宋体"/>
                <w:vanish/>
              </w:rPr>
            </w:pPr>
          </w:p>
        </w:tc>
        <w:tc>
          <w:tcPr>
            <w:tcW w:w="0" w:type="auto"/>
            <w:gridSpan w:val="3"/>
            <w:shd w:val="clear" w:color="auto" w:fill="auto"/>
            <w:vAlign w:val="bottom"/>
          </w:tcPr>
          <w:p w14:paraId="5F2CCA80" w14:textId="77777777" w:rsidR="00E836FB" w:rsidRDefault="00E836FB">
            <w:pPr>
              <w:rPr>
                <w:rFonts w:ascii="宋体"/>
                <w:vanish/>
              </w:rPr>
            </w:pPr>
          </w:p>
        </w:tc>
        <w:tc>
          <w:tcPr>
            <w:tcW w:w="0" w:type="auto"/>
            <w:gridSpan w:val="3"/>
            <w:shd w:val="clear" w:color="auto" w:fill="auto"/>
            <w:vAlign w:val="bottom"/>
          </w:tcPr>
          <w:p w14:paraId="5F2CCA81" w14:textId="77777777" w:rsidR="00E836FB" w:rsidRDefault="00E836FB">
            <w:pPr>
              <w:rPr>
                <w:rFonts w:ascii="宋体"/>
                <w:vanish/>
              </w:rPr>
            </w:pPr>
          </w:p>
        </w:tc>
        <w:tc>
          <w:tcPr>
            <w:tcW w:w="0" w:type="auto"/>
            <w:gridSpan w:val="3"/>
            <w:shd w:val="clear" w:color="auto" w:fill="auto"/>
            <w:vAlign w:val="bottom"/>
          </w:tcPr>
          <w:p w14:paraId="5F2CCA82" w14:textId="77777777" w:rsidR="00E836FB" w:rsidRDefault="00E836FB">
            <w:pPr>
              <w:rPr>
                <w:rFonts w:ascii="宋体"/>
                <w:vanish/>
              </w:rPr>
            </w:pPr>
          </w:p>
        </w:tc>
        <w:tc>
          <w:tcPr>
            <w:tcW w:w="0" w:type="auto"/>
            <w:gridSpan w:val="3"/>
            <w:shd w:val="clear" w:color="auto" w:fill="auto"/>
            <w:vAlign w:val="bottom"/>
          </w:tcPr>
          <w:p w14:paraId="5F2CCA83" w14:textId="77777777" w:rsidR="00E836FB" w:rsidRDefault="00E836FB">
            <w:pPr>
              <w:rPr>
                <w:rFonts w:ascii="宋体"/>
                <w:vanish/>
              </w:rPr>
            </w:pPr>
          </w:p>
        </w:tc>
        <w:tc>
          <w:tcPr>
            <w:tcW w:w="0" w:type="auto"/>
            <w:gridSpan w:val="3"/>
            <w:shd w:val="clear" w:color="auto" w:fill="auto"/>
            <w:vAlign w:val="bottom"/>
          </w:tcPr>
          <w:p w14:paraId="5F2CCA84" w14:textId="77777777" w:rsidR="00E836FB" w:rsidRDefault="00E836FB">
            <w:pPr>
              <w:rPr>
                <w:rFonts w:ascii="宋体"/>
                <w:vanish/>
              </w:rPr>
            </w:pPr>
          </w:p>
        </w:tc>
        <w:tc>
          <w:tcPr>
            <w:tcW w:w="0" w:type="auto"/>
            <w:gridSpan w:val="3"/>
            <w:shd w:val="clear" w:color="auto" w:fill="auto"/>
            <w:vAlign w:val="bottom"/>
          </w:tcPr>
          <w:p w14:paraId="5F2CCA85" w14:textId="77777777" w:rsidR="00E836FB" w:rsidRDefault="00E836FB">
            <w:pPr>
              <w:rPr>
                <w:rFonts w:ascii="宋体"/>
                <w:vanish/>
              </w:rPr>
            </w:pPr>
          </w:p>
        </w:tc>
        <w:tc>
          <w:tcPr>
            <w:tcW w:w="0" w:type="auto"/>
            <w:gridSpan w:val="3"/>
            <w:shd w:val="clear" w:color="auto" w:fill="auto"/>
            <w:vAlign w:val="bottom"/>
          </w:tcPr>
          <w:p w14:paraId="5F2CCA86" w14:textId="77777777" w:rsidR="00E836FB" w:rsidRDefault="00E836FB">
            <w:pPr>
              <w:rPr>
                <w:rFonts w:ascii="宋体"/>
                <w:vanish/>
              </w:rPr>
            </w:pPr>
          </w:p>
        </w:tc>
        <w:tc>
          <w:tcPr>
            <w:tcW w:w="0" w:type="auto"/>
            <w:gridSpan w:val="3"/>
            <w:shd w:val="clear" w:color="auto" w:fill="auto"/>
            <w:vAlign w:val="bottom"/>
          </w:tcPr>
          <w:p w14:paraId="5F2CCA87" w14:textId="77777777" w:rsidR="00E836FB" w:rsidRDefault="00E836FB">
            <w:pPr>
              <w:rPr>
                <w:rFonts w:ascii="宋体"/>
                <w:vanish/>
              </w:rPr>
            </w:pPr>
          </w:p>
        </w:tc>
        <w:tc>
          <w:tcPr>
            <w:tcW w:w="0" w:type="auto"/>
            <w:gridSpan w:val="3"/>
            <w:shd w:val="clear" w:color="auto" w:fill="auto"/>
            <w:vAlign w:val="bottom"/>
          </w:tcPr>
          <w:p w14:paraId="5F2CCA88" w14:textId="77777777" w:rsidR="00E836FB" w:rsidRDefault="00E836FB">
            <w:pPr>
              <w:rPr>
                <w:rFonts w:ascii="宋体"/>
                <w:vanish/>
              </w:rPr>
            </w:pPr>
          </w:p>
        </w:tc>
        <w:tc>
          <w:tcPr>
            <w:tcW w:w="0" w:type="auto"/>
            <w:gridSpan w:val="3"/>
            <w:shd w:val="clear" w:color="auto" w:fill="auto"/>
            <w:vAlign w:val="bottom"/>
          </w:tcPr>
          <w:p w14:paraId="5F2CCA89" w14:textId="77777777" w:rsidR="00E836FB" w:rsidRDefault="00E836FB">
            <w:pPr>
              <w:rPr>
                <w:rFonts w:ascii="宋体"/>
                <w:vanish/>
              </w:rPr>
            </w:pPr>
          </w:p>
        </w:tc>
        <w:tc>
          <w:tcPr>
            <w:tcW w:w="0" w:type="auto"/>
            <w:gridSpan w:val="3"/>
            <w:shd w:val="clear" w:color="auto" w:fill="auto"/>
            <w:vAlign w:val="bottom"/>
          </w:tcPr>
          <w:p w14:paraId="5F2CCA8A" w14:textId="77777777" w:rsidR="00E836FB" w:rsidRDefault="00E836FB">
            <w:pPr>
              <w:rPr>
                <w:rFonts w:ascii="宋体"/>
                <w:vanish/>
              </w:rPr>
            </w:pPr>
          </w:p>
        </w:tc>
        <w:tc>
          <w:tcPr>
            <w:tcW w:w="0" w:type="auto"/>
            <w:gridSpan w:val="3"/>
            <w:shd w:val="clear" w:color="auto" w:fill="auto"/>
            <w:vAlign w:val="bottom"/>
          </w:tcPr>
          <w:p w14:paraId="5F2CCA8B" w14:textId="77777777" w:rsidR="00E836FB" w:rsidRDefault="00E836FB">
            <w:pPr>
              <w:rPr>
                <w:rFonts w:ascii="宋体"/>
                <w:vanish/>
              </w:rPr>
            </w:pPr>
          </w:p>
        </w:tc>
      </w:tr>
      <w:tr w:rsidR="00E836FB" w14:paraId="5F2CCAA4" w14:textId="77777777">
        <w:tc>
          <w:tcPr>
            <w:tcW w:w="0" w:type="auto"/>
            <w:gridSpan w:val="3"/>
            <w:shd w:val="clear" w:color="auto" w:fill="FFFFFF"/>
            <w:tcMar>
              <w:top w:w="40" w:type="dxa"/>
              <w:left w:w="245" w:type="dxa"/>
              <w:bottom w:w="40" w:type="dxa"/>
              <w:right w:w="20" w:type="dxa"/>
            </w:tcMar>
            <w:vAlign w:val="bottom"/>
          </w:tcPr>
          <w:p w14:paraId="5F2CCA8D"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A8E" w14:textId="77777777" w:rsidR="00E836FB" w:rsidRDefault="00994958">
            <w:pPr>
              <w:jc w:val="right"/>
              <w:textAlignment w:val="bottom"/>
            </w:pPr>
            <w:r>
              <w:rPr>
                <w:rFonts w:ascii="Arial" w:eastAsia="宋体" w:hAnsi="Arial" w:cs="Arial"/>
                <w:b/>
                <w:bCs/>
                <w:color w:val="000000"/>
                <w:sz w:val="15"/>
                <w:szCs w:val="15"/>
              </w:rPr>
              <w:t>345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A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9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9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9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A93" w14:textId="77777777" w:rsidR="00E836FB" w:rsidRDefault="00994958">
            <w:pPr>
              <w:jc w:val="right"/>
              <w:textAlignment w:val="bottom"/>
            </w:pPr>
            <w:r>
              <w:rPr>
                <w:rFonts w:ascii="Arial" w:eastAsia="宋体" w:hAnsi="Arial" w:cs="Arial"/>
                <w:b/>
                <w:bCs/>
                <w:color w:val="000000"/>
                <w:sz w:val="15"/>
                <w:szCs w:val="15"/>
              </w:rPr>
              <w:t>1,218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A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9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9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9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A98"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A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9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9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9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A9D"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A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9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A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AA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AA2" w14:textId="77777777" w:rsidR="00E836FB" w:rsidRDefault="00994958">
            <w:pPr>
              <w:jc w:val="right"/>
              <w:textAlignment w:val="bottom"/>
            </w:pPr>
            <w:r>
              <w:rPr>
                <w:rFonts w:ascii="Arial" w:eastAsia="宋体" w:hAnsi="Arial" w:cs="Arial"/>
                <w:b/>
                <w:bCs/>
                <w:color w:val="000000"/>
                <w:sz w:val="15"/>
                <w:szCs w:val="15"/>
              </w:rPr>
              <w:t>1,564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AA3" w14:textId="77777777" w:rsidR="00E836FB" w:rsidRDefault="00E836FB">
            <w:pPr>
              <w:jc w:val="right"/>
              <w:rPr>
                <w:rFonts w:ascii="宋体"/>
              </w:rPr>
            </w:pPr>
          </w:p>
        </w:tc>
      </w:tr>
      <w:tr w:rsidR="00E836FB" w14:paraId="5F2CCAB7" w14:textId="77777777">
        <w:tc>
          <w:tcPr>
            <w:tcW w:w="0" w:type="auto"/>
            <w:gridSpan w:val="3"/>
            <w:shd w:val="clear" w:color="auto" w:fill="CCEEFF"/>
            <w:tcMar>
              <w:top w:w="40" w:type="dxa"/>
              <w:left w:w="20" w:type="dxa"/>
              <w:bottom w:w="40" w:type="dxa"/>
              <w:right w:w="20" w:type="dxa"/>
            </w:tcMar>
            <w:vAlign w:val="bottom"/>
          </w:tcPr>
          <w:p w14:paraId="5F2CCAA5"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AA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A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A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A9"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AA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A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A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AD"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AA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A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B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B1"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AB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B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B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AB5"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AB6" w14:textId="77777777" w:rsidR="00E836FB" w:rsidRDefault="00E836FB">
            <w:pPr>
              <w:rPr>
                <w:rFonts w:ascii="宋体"/>
              </w:rPr>
            </w:pPr>
          </w:p>
        </w:tc>
      </w:tr>
      <w:tr w:rsidR="00E836FB" w14:paraId="5F2CCAD3" w14:textId="77777777">
        <w:tc>
          <w:tcPr>
            <w:tcW w:w="0" w:type="auto"/>
            <w:gridSpan w:val="3"/>
            <w:shd w:val="clear" w:color="auto" w:fill="FFFFFF"/>
            <w:tcMar>
              <w:top w:w="40" w:type="dxa"/>
              <w:left w:w="20" w:type="dxa"/>
              <w:bottom w:w="40" w:type="dxa"/>
              <w:right w:w="20" w:type="dxa"/>
            </w:tcMar>
            <w:vAlign w:val="bottom"/>
          </w:tcPr>
          <w:p w14:paraId="5F2CCAB8" w14:textId="77777777" w:rsidR="00E836FB" w:rsidRDefault="00994958">
            <w:pPr>
              <w:textAlignment w:val="bottom"/>
            </w:pPr>
            <w:r>
              <w:rPr>
                <w:rFonts w:ascii="Arial" w:eastAsia="宋体" w:hAnsi="Arial" w:cs="Arial"/>
                <w:color w:val="000000"/>
                <w:sz w:val="15"/>
                <w:szCs w:val="15"/>
              </w:rPr>
              <w:t>Student loans</w:t>
            </w:r>
          </w:p>
        </w:tc>
        <w:tc>
          <w:tcPr>
            <w:tcW w:w="0" w:type="auto"/>
            <w:gridSpan w:val="2"/>
            <w:shd w:val="clear" w:color="auto" w:fill="FFFFFF"/>
            <w:tcMar>
              <w:top w:w="40" w:type="dxa"/>
              <w:left w:w="20" w:type="dxa"/>
              <w:bottom w:w="40" w:type="dxa"/>
              <w:right w:w="0" w:type="dxa"/>
            </w:tcMar>
            <w:vAlign w:val="bottom"/>
          </w:tcPr>
          <w:p w14:paraId="5F2CCAB9" w14:textId="77777777" w:rsidR="00E836FB" w:rsidRDefault="00994958">
            <w:pPr>
              <w:jc w:val="right"/>
              <w:textAlignment w:val="bottom"/>
            </w:pPr>
            <w:r>
              <w:rPr>
                <w:rFonts w:ascii="Arial" w:eastAsia="宋体" w:hAnsi="Arial" w:cs="Arial"/>
                <w:b/>
                <w:bCs/>
                <w:color w:val="000000"/>
                <w:sz w:val="15"/>
                <w:szCs w:val="15"/>
              </w:rPr>
              <w:t>341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B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B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BC" w14:textId="77777777" w:rsidR="00E836FB" w:rsidRDefault="00994958">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B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B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BF" w14:textId="77777777" w:rsidR="00E836FB" w:rsidRDefault="00994958">
            <w:pPr>
              <w:jc w:val="right"/>
              <w:textAlignment w:val="bottom"/>
            </w:pPr>
            <w:r>
              <w:rPr>
                <w:rFonts w:ascii="Arial" w:eastAsia="宋体" w:hAnsi="Arial" w:cs="Arial"/>
                <w:b/>
                <w:bCs/>
                <w:color w:val="000000"/>
                <w:sz w:val="15"/>
                <w:szCs w:val="15"/>
              </w:rPr>
              <w:t>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C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C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C2" w14:textId="77777777" w:rsidR="00E836FB" w:rsidRDefault="00994958">
            <w:pPr>
              <w:jc w:val="right"/>
              <w:textAlignment w:val="bottom"/>
            </w:pPr>
            <w:r>
              <w:rPr>
                <w:rFonts w:ascii="Arial" w:eastAsia="宋体" w:hAnsi="Arial" w:cs="Arial"/>
                <w:b/>
                <w:bCs/>
                <w:color w:val="000000"/>
                <w:sz w:val="15"/>
                <w:szCs w:val="15"/>
              </w:rPr>
              <w:t>.68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C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C5" w14:textId="77777777" w:rsidR="00E836FB" w:rsidRDefault="00994958">
            <w:pPr>
              <w:jc w:val="right"/>
              <w:textAlignment w:val="bottom"/>
            </w:pPr>
            <w:r>
              <w:rPr>
                <w:rFonts w:ascii="Arial" w:eastAsia="宋体" w:hAnsi="Arial" w:cs="Arial"/>
                <w:b/>
                <w:bCs/>
                <w:color w:val="000000"/>
                <w:sz w:val="15"/>
                <w:szCs w:val="15"/>
              </w:rPr>
              <w:t>971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C8" w14:textId="77777777" w:rsidR="00E836FB" w:rsidRDefault="00994958">
            <w:pPr>
              <w:jc w:val="right"/>
              <w:textAlignment w:val="bottom"/>
            </w:pPr>
            <w:r>
              <w:rPr>
                <w:rFonts w:ascii="Arial" w:eastAsia="宋体" w:hAnsi="Arial" w:cs="Arial"/>
                <w:b/>
                <w:bCs/>
                <w:color w:val="000000"/>
                <w:sz w:val="15"/>
                <w:szCs w:val="15"/>
              </w:rPr>
              <w:t>1.02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C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CB" w14:textId="77777777" w:rsidR="00E836FB" w:rsidRDefault="00994958">
            <w:pPr>
              <w:jc w:val="right"/>
              <w:textAlignment w:val="bottom"/>
            </w:pPr>
            <w:r>
              <w:rPr>
                <w:rFonts w:ascii="Arial" w:eastAsia="宋体" w:hAnsi="Arial" w:cs="Arial"/>
                <w:b/>
                <w:bCs/>
                <w:color w:val="000000"/>
                <w:sz w:val="15"/>
                <w:szCs w:val="15"/>
              </w:rPr>
              <w:t>3,548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C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CE" w14:textId="77777777" w:rsidR="00E836FB" w:rsidRDefault="00994958">
            <w:pPr>
              <w:jc w:val="right"/>
              <w:textAlignment w:val="bottom"/>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AD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AD1" w14:textId="77777777" w:rsidR="00E836FB" w:rsidRDefault="00994958">
            <w:pPr>
              <w:jc w:val="right"/>
              <w:textAlignment w:val="bottom"/>
            </w:pPr>
            <w:r>
              <w:rPr>
                <w:rFonts w:ascii="Arial" w:eastAsia="宋体" w:hAnsi="Arial" w:cs="Arial"/>
                <w:b/>
                <w:bCs/>
                <w:color w:val="000000"/>
                <w:sz w:val="15"/>
                <w:szCs w:val="15"/>
              </w:rPr>
              <w:t>4,908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CAD2" w14:textId="77777777" w:rsidR="00E836FB" w:rsidRDefault="00E836FB">
            <w:pPr>
              <w:jc w:val="right"/>
              <w:rPr>
                <w:rFonts w:ascii="宋体"/>
              </w:rPr>
            </w:pPr>
          </w:p>
        </w:tc>
      </w:tr>
      <w:tr w:rsidR="00E836FB" w14:paraId="5F2CCAE6" w14:textId="77777777">
        <w:trPr>
          <w:hidden/>
        </w:trPr>
        <w:tc>
          <w:tcPr>
            <w:tcW w:w="0" w:type="auto"/>
            <w:gridSpan w:val="3"/>
            <w:shd w:val="clear" w:color="auto" w:fill="auto"/>
            <w:vAlign w:val="bottom"/>
          </w:tcPr>
          <w:p w14:paraId="5F2CCAD4" w14:textId="77777777" w:rsidR="00E836FB" w:rsidRDefault="00E836FB">
            <w:pPr>
              <w:rPr>
                <w:rFonts w:ascii="宋体"/>
                <w:vanish/>
              </w:rPr>
            </w:pPr>
          </w:p>
        </w:tc>
        <w:tc>
          <w:tcPr>
            <w:tcW w:w="0" w:type="auto"/>
            <w:gridSpan w:val="3"/>
            <w:shd w:val="clear" w:color="auto" w:fill="auto"/>
            <w:vAlign w:val="bottom"/>
          </w:tcPr>
          <w:p w14:paraId="5F2CCAD5" w14:textId="77777777" w:rsidR="00E836FB" w:rsidRDefault="00E836FB">
            <w:pPr>
              <w:rPr>
                <w:rFonts w:ascii="宋体"/>
                <w:vanish/>
              </w:rPr>
            </w:pPr>
          </w:p>
        </w:tc>
        <w:tc>
          <w:tcPr>
            <w:tcW w:w="0" w:type="auto"/>
            <w:gridSpan w:val="3"/>
            <w:shd w:val="clear" w:color="auto" w:fill="auto"/>
            <w:vAlign w:val="bottom"/>
          </w:tcPr>
          <w:p w14:paraId="5F2CCAD6" w14:textId="77777777" w:rsidR="00E836FB" w:rsidRDefault="00E836FB">
            <w:pPr>
              <w:rPr>
                <w:rFonts w:ascii="宋体"/>
                <w:vanish/>
              </w:rPr>
            </w:pPr>
          </w:p>
        </w:tc>
        <w:tc>
          <w:tcPr>
            <w:tcW w:w="0" w:type="auto"/>
            <w:gridSpan w:val="3"/>
            <w:shd w:val="clear" w:color="auto" w:fill="auto"/>
            <w:vAlign w:val="bottom"/>
          </w:tcPr>
          <w:p w14:paraId="5F2CCAD7" w14:textId="77777777" w:rsidR="00E836FB" w:rsidRDefault="00E836FB">
            <w:pPr>
              <w:rPr>
                <w:rFonts w:ascii="宋体"/>
                <w:vanish/>
              </w:rPr>
            </w:pPr>
          </w:p>
        </w:tc>
        <w:tc>
          <w:tcPr>
            <w:tcW w:w="0" w:type="auto"/>
            <w:gridSpan w:val="3"/>
            <w:shd w:val="clear" w:color="auto" w:fill="auto"/>
            <w:vAlign w:val="bottom"/>
          </w:tcPr>
          <w:p w14:paraId="5F2CCAD8" w14:textId="77777777" w:rsidR="00E836FB" w:rsidRDefault="00E836FB">
            <w:pPr>
              <w:rPr>
                <w:rFonts w:ascii="宋体"/>
                <w:vanish/>
              </w:rPr>
            </w:pPr>
          </w:p>
        </w:tc>
        <w:tc>
          <w:tcPr>
            <w:tcW w:w="0" w:type="auto"/>
            <w:gridSpan w:val="3"/>
            <w:shd w:val="clear" w:color="auto" w:fill="auto"/>
            <w:vAlign w:val="bottom"/>
          </w:tcPr>
          <w:p w14:paraId="5F2CCAD9" w14:textId="77777777" w:rsidR="00E836FB" w:rsidRDefault="00E836FB">
            <w:pPr>
              <w:rPr>
                <w:rFonts w:ascii="宋体"/>
                <w:vanish/>
              </w:rPr>
            </w:pPr>
          </w:p>
        </w:tc>
        <w:tc>
          <w:tcPr>
            <w:tcW w:w="0" w:type="auto"/>
            <w:gridSpan w:val="3"/>
            <w:shd w:val="clear" w:color="auto" w:fill="auto"/>
            <w:vAlign w:val="bottom"/>
          </w:tcPr>
          <w:p w14:paraId="5F2CCADA" w14:textId="77777777" w:rsidR="00E836FB" w:rsidRDefault="00E836FB">
            <w:pPr>
              <w:rPr>
                <w:rFonts w:ascii="宋体"/>
                <w:vanish/>
              </w:rPr>
            </w:pPr>
          </w:p>
        </w:tc>
        <w:tc>
          <w:tcPr>
            <w:tcW w:w="0" w:type="auto"/>
            <w:gridSpan w:val="3"/>
            <w:shd w:val="clear" w:color="auto" w:fill="auto"/>
            <w:vAlign w:val="bottom"/>
          </w:tcPr>
          <w:p w14:paraId="5F2CCADB" w14:textId="77777777" w:rsidR="00E836FB" w:rsidRDefault="00E836FB">
            <w:pPr>
              <w:rPr>
                <w:rFonts w:ascii="宋体"/>
                <w:vanish/>
              </w:rPr>
            </w:pPr>
          </w:p>
        </w:tc>
        <w:tc>
          <w:tcPr>
            <w:tcW w:w="0" w:type="auto"/>
            <w:gridSpan w:val="3"/>
            <w:shd w:val="clear" w:color="auto" w:fill="auto"/>
            <w:vAlign w:val="bottom"/>
          </w:tcPr>
          <w:p w14:paraId="5F2CCADC" w14:textId="77777777" w:rsidR="00E836FB" w:rsidRDefault="00E836FB">
            <w:pPr>
              <w:rPr>
                <w:rFonts w:ascii="宋体"/>
                <w:vanish/>
              </w:rPr>
            </w:pPr>
          </w:p>
        </w:tc>
        <w:tc>
          <w:tcPr>
            <w:tcW w:w="0" w:type="auto"/>
            <w:gridSpan w:val="3"/>
            <w:shd w:val="clear" w:color="auto" w:fill="auto"/>
            <w:vAlign w:val="bottom"/>
          </w:tcPr>
          <w:p w14:paraId="5F2CCADD" w14:textId="77777777" w:rsidR="00E836FB" w:rsidRDefault="00E836FB">
            <w:pPr>
              <w:rPr>
                <w:rFonts w:ascii="宋体"/>
                <w:vanish/>
              </w:rPr>
            </w:pPr>
          </w:p>
        </w:tc>
        <w:tc>
          <w:tcPr>
            <w:tcW w:w="0" w:type="auto"/>
            <w:gridSpan w:val="3"/>
            <w:shd w:val="clear" w:color="auto" w:fill="auto"/>
            <w:vAlign w:val="bottom"/>
          </w:tcPr>
          <w:p w14:paraId="5F2CCADE" w14:textId="77777777" w:rsidR="00E836FB" w:rsidRDefault="00E836FB">
            <w:pPr>
              <w:rPr>
                <w:rFonts w:ascii="宋体"/>
                <w:vanish/>
              </w:rPr>
            </w:pPr>
          </w:p>
        </w:tc>
        <w:tc>
          <w:tcPr>
            <w:tcW w:w="0" w:type="auto"/>
            <w:gridSpan w:val="3"/>
            <w:shd w:val="clear" w:color="auto" w:fill="auto"/>
            <w:vAlign w:val="bottom"/>
          </w:tcPr>
          <w:p w14:paraId="5F2CCADF" w14:textId="77777777" w:rsidR="00E836FB" w:rsidRDefault="00E836FB">
            <w:pPr>
              <w:rPr>
                <w:rFonts w:ascii="宋体"/>
                <w:vanish/>
              </w:rPr>
            </w:pPr>
          </w:p>
        </w:tc>
        <w:tc>
          <w:tcPr>
            <w:tcW w:w="0" w:type="auto"/>
            <w:gridSpan w:val="3"/>
            <w:shd w:val="clear" w:color="auto" w:fill="auto"/>
            <w:vAlign w:val="bottom"/>
          </w:tcPr>
          <w:p w14:paraId="5F2CCAE0" w14:textId="77777777" w:rsidR="00E836FB" w:rsidRDefault="00E836FB">
            <w:pPr>
              <w:rPr>
                <w:rFonts w:ascii="宋体"/>
                <w:vanish/>
              </w:rPr>
            </w:pPr>
          </w:p>
        </w:tc>
        <w:tc>
          <w:tcPr>
            <w:tcW w:w="0" w:type="auto"/>
            <w:gridSpan w:val="3"/>
            <w:shd w:val="clear" w:color="auto" w:fill="auto"/>
            <w:vAlign w:val="bottom"/>
          </w:tcPr>
          <w:p w14:paraId="5F2CCAE1" w14:textId="77777777" w:rsidR="00E836FB" w:rsidRDefault="00E836FB">
            <w:pPr>
              <w:rPr>
                <w:rFonts w:ascii="宋体"/>
                <w:vanish/>
              </w:rPr>
            </w:pPr>
          </w:p>
        </w:tc>
        <w:tc>
          <w:tcPr>
            <w:tcW w:w="0" w:type="auto"/>
            <w:gridSpan w:val="3"/>
            <w:shd w:val="clear" w:color="auto" w:fill="auto"/>
            <w:vAlign w:val="bottom"/>
          </w:tcPr>
          <w:p w14:paraId="5F2CCAE2" w14:textId="77777777" w:rsidR="00E836FB" w:rsidRDefault="00E836FB">
            <w:pPr>
              <w:rPr>
                <w:rFonts w:ascii="宋体"/>
                <w:vanish/>
              </w:rPr>
            </w:pPr>
          </w:p>
        </w:tc>
        <w:tc>
          <w:tcPr>
            <w:tcW w:w="0" w:type="auto"/>
            <w:gridSpan w:val="3"/>
            <w:shd w:val="clear" w:color="auto" w:fill="auto"/>
            <w:vAlign w:val="bottom"/>
          </w:tcPr>
          <w:p w14:paraId="5F2CCAE3" w14:textId="77777777" w:rsidR="00E836FB" w:rsidRDefault="00E836FB">
            <w:pPr>
              <w:rPr>
                <w:rFonts w:ascii="宋体"/>
                <w:vanish/>
              </w:rPr>
            </w:pPr>
          </w:p>
        </w:tc>
        <w:tc>
          <w:tcPr>
            <w:tcW w:w="0" w:type="auto"/>
            <w:gridSpan w:val="3"/>
            <w:shd w:val="clear" w:color="auto" w:fill="auto"/>
            <w:vAlign w:val="bottom"/>
          </w:tcPr>
          <w:p w14:paraId="5F2CCAE4" w14:textId="77777777" w:rsidR="00E836FB" w:rsidRDefault="00E836FB">
            <w:pPr>
              <w:rPr>
                <w:rFonts w:ascii="宋体"/>
                <w:vanish/>
              </w:rPr>
            </w:pPr>
          </w:p>
        </w:tc>
        <w:tc>
          <w:tcPr>
            <w:tcW w:w="0" w:type="auto"/>
            <w:gridSpan w:val="3"/>
            <w:shd w:val="clear" w:color="auto" w:fill="auto"/>
            <w:vAlign w:val="bottom"/>
          </w:tcPr>
          <w:p w14:paraId="5F2CCAE5" w14:textId="77777777" w:rsidR="00E836FB" w:rsidRDefault="00E836FB">
            <w:pPr>
              <w:rPr>
                <w:rFonts w:ascii="宋体"/>
                <w:vanish/>
              </w:rPr>
            </w:pPr>
          </w:p>
        </w:tc>
      </w:tr>
      <w:tr w:rsidR="00E836FB" w14:paraId="5F2CCB02" w14:textId="77777777">
        <w:tc>
          <w:tcPr>
            <w:tcW w:w="0" w:type="auto"/>
            <w:gridSpan w:val="3"/>
            <w:shd w:val="clear" w:color="auto" w:fill="CCEEFF"/>
            <w:tcMar>
              <w:top w:w="40" w:type="dxa"/>
              <w:left w:w="20" w:type="dxa"/>
              <w:bottom w:w="40" w:type="dxa"/>
              <w:right w:w="20" w:type="dxa"/>
            </w:tcMar>
            <w:vAlign w:val="bottom"/>
          </w:tcPr>
          <w:p w14:paraId="5F2CCAE7" w14:textId="77777777" w:rsidR="00E836FB" w:rsidRDefault="00994958">
            <w:pPr>
              <w:textAlignment w:val="bottom"/>
            </w:pPr>
            <w:r>
              <w:rPr>
                <w:rFonts w:ascii="Arial" w:eastAsia="宋体" w:hAnsi="Arial" w:cs="Arial"/>
                <w:color w:val="000000"/>
                <w:sz w:val="15"/>
                <w:szCs w:val="15"/>
              </w:rPr>
              <w:t>Non-agency CMBS and RMBS</w:t>
            </w:r>
          </w:p>
        </w:tc>
        <w:tc>
          <w:tcPr>
            <w:tcW w:w="0" w:type="auto"/>
            <w:gridSpan w:val="2"/>
            <w:shd w:val="clear" w:color="auto" w:fill="CCEEFF"/>
            <w:tcMar>
              <w:top w:w="40" w:type="dxa"/>
              <w:left w:w="20" w:type="dxa"/>
              <w:bottom w:w="40" w:type="dxa"/>
              <w:right w:w="0" w:type="dxa"/>
            </w:tcMar>
            <w:vAlign w:val="bottom"/>
          </w:tcPr>
          <w:p w14:paraId="5F2CCAE8" w14:textId="77777777" w:rsidR="00E836FB" w:rsidRDefault="00994958">
            <w:pPr>
              <w:jc w:val="right"/>
              <w:textAlignment w:val="bottom"/>
            </w:pPr>
            <w:r>
              <w:rPr>
                <w:rFonts w:ascii="Arial" w:eastAsia="宋体" w:hAnsi="Arial" w:cs="Arial"/>
                <w:b/>
                <w:bCs/>
                <w:color w:val="000000"/>
                <w:sz w:val="15"/>
                <w:szCs w:val="15"/>
              </w:rPr>
              <w:t>87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E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EB" w14:textId="77777777" w:rsidR="00E836FB" w:rsidRDefault="00994958">
            <w:pPr>
              <w:jc w:val="right"/>
              <w:textAlignment w:val="bottom"/>
            </w:pPr>
            <w:r>
              <w:rPr>
                <w:rFonts w:ascii="Arial" w:eastAsia="宋体" w:hAnsi="Arial" w:cs="Arial"/>
                <w:b/>
                <w:bCs/>
                <w:color w:val="000000"/>
                <w:sz w:val="15"/>
                <w:szCs w:val="15"/>
              </w:rPr>
              <w:t>1.35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EE" w14:textId="77777777" w:rsidR="00E836FB" w:rsidRDefault="00994958">
            <w:pPr>
              <w:jc w:val="right"/>
              <w:textAlignment w:val="bottom"/>
            </w:pPr>
            <w:r>
              <w:rPr>
                <w:rFonts w:ascii="Arial" w:eastAsia="宋体" w:hAnsi="Arial" w:cs="Arial"/>
                <w:b/>
                <w:bCs/>
                <w:color w:val="000000"/>
                <w:sz w:val="15"/>
                <w:szCs w:val="15"/>
              </w:rPr>
              <w:t>144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F1" w14:textId="77777777" w:rsidR="00E836FB" w:rsidRDefault="00994958">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F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F7"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FA" w14:textId="77777777" w:rsidR="00E836FB" w:rsidRDefault="00994958">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F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AFD" w14:textId="77777777" w:rsidR="00E836FB" w:rsidRDefault="00994958">
            <w:pPr>
              <w:jc w:val="right"/>
              <w:textAlignment w:val="bottom"/>
            </w:pPr>
            <w:r>
              <w:rPr>
                <w:rFonts w:ascii="Arial" w:eastAsia="宋体" w:hAnsi="Arial" w:cs="Arial"/>
                <w:b/>
                <w:bCs/>
                <w:color w:val="000000"/>
                <w:sz w:val="15"/>
                <w:szCs w:val="15"/>
              </w:rPr>
              <w:t>1.34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A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A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B00" w14:textId="77777777" w:rsidR="00E836FB" w:rsidRDefault="00994958">
            <w:pPr>
              <w:jc w:val="right"/>
              <w:textAlignment w:val="bottom"/>
            </w:pPr>
            <w:r>
              <w:rPr>
                <w:rFonts w:ascii="Arial" w:eastAsia="宋体" w:hAnsi="Arial" w:cs="Arial"/>
                <w:b/>
                <w:bCs/>
                <w:color w:val="000000"/>
                <w:sz w:val="15"/>
                <w:szCs w:val="15"/>
              </w:rPr>
              <w:t>307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CB01" w14:textId="77777777" w:rsidR="00E836FB" w:rsidRDefault="00E836FB">
            <w:pPr>
              <w:jc w:val="right"/>
              <w:rPr>
                <w:rFonts w:ascii="宋体"/>
              </w:rPr>
            </w:pPr>
          </w:p>
        </w:tc>
      </w:tr>
      <w:tr w:rsidR="00E836FB" w14:paraId="5F2CCB15" w14:textId="77777777">
        <w:trPr>
          <w:hidden/>
        </w:trPr>
        <w:tc>
          <w:tcPr>
            <w:tcW w:w="0" w:type="auto"/>
            <w:gridSpan w:val="3"/>
            <w:shd w:val="clear" w:color="auto" w:fill="auto"/>
            <w:vAlign w:val="bottom"/>
          </w:tcPr>
          <w:p w14:paraId="5F2CCB03" w14:textId="77777777" w:rsidR="00E836FB" w:rsidRDefault="00E836FB">
            <w:pPr>
              <w:rPr>
                <w:rFonts w:ascii="宋体"/>
                <w:vanish/>
              </w:rPr>
            </w:pPr>
          </w:p>
        </w:tc>
        <w:tc>
          <w:tcPr>
            <w:tcW w:w="0" w:type="auto"/>
            <w:gridSpan w:val="3"/>
            <w:shd w:val="clear" w:color="auto" w:fill="auto"/>
            <w:vAlign w:val="bottom"/>
          </w:tcPr>
          <w:p w14:paraId="5F2CCB04" w14:textId="77777777" w:rsidR="00E836FB" w:rsidRDefault="00E836FB">
            <w:pPr>
              <w:rPr>
                <w:rFonts w:ascii="宋体"/>
                <w:vanish/>
              </w:rPr>
            </w:pPr>
          </w:p>
        </w:tc>
        <w:tc>
          <w:tcPr>
            <w:tcW w:w="0" w:type="auto"/>
            <w:gridSpan w:val="3"/>
            <w:shd w:val="clear" w:color="auto" w:fill="auto"/>
            <w:vAlign w:val="bottom"/>
          </w:tcPr>
          <w:p w14:paraId="5F2CCB05" w14:textId="77777777" w:rsidR="00E836FB" w:rsidRDefault="00E836FB">
            <w:pPr>
              <w:rPr>
                <w:rFonts w:ascii="宋体"/>
                <w:vanish/>
              </w:rPr>
            </w:pPr>
          </w:p>
        </w:tc>
        <w:tc>
          <w:tcPr>
            <w:tcW w:w="0" w:type="auto"/>
            <w:gridSpan w:val="3"/>
            <w:shd w:val="clear" w:color="auto" w:fill="auto"/>
            <w:vAlign w:val="bottom"/>
          </w:tcPr>
          <w:p w14:paraId="5F2CCB06" w14:textId="77777777" w:rsidR="00E836FB" w:rsidRDefault="00E836FB">
            <w:pPr>
              <w:rPr>
                <w:rFonts w:ascii="宋体"/>
                <w:vanish/>
              </w:rPr>
            </w:pPr>
          </w:p>
        </w:tc>
        <w:tc>
          <w:tcPr>
            <w:tcW w:w="0" w:type="auto"/>
            <w:gridSpan w:val="3"/>
            <w:shd w:val="clear" w:color="auto" w:fill="auto"/>
            <w:vAlign w:val="bottom"/>
          </w:tcPr>
          <w:p w14:paraId="5F2CCB07" w14:textId="77777777" w:rsidR="00E836FB" w:rsidRDefault="00E836FB">
            <w:pPr>
              <w:rPr>
                <w:rFonts w:ascii="宋体"/>
                <w:vanish/>
              </w:rPr>
            </w:pPr>
          </w:p>
        </w:tc>
        <w:tc>
          <w:tcPr>
            <w:tcW w:w="0" w:type="auto"/>
            <w:gridSpan w:val="3"/>
            <w:shd w:val="clear" w:color="auto" w:fill="auto"/>
            <w:vAlign w:val="bottom"/>
          </w:tcPr>
          <w:p w14:paraId="5F2CCB08" w14:textId="77777777" w:rsidR="00E836FB" w:rsidRDefault="00E836FB">
            <w:pPr>
              <w:rPr>
                <w:rFonts w:ascii="宋体"/>
                <w:vanish/>
              </w:rPr>
            </w:pPr>
          </w:p>
        </w:tc>
        <w:tc>
          <w:tcPr>
            <w:tcW w:w="0" w:type="auto"/>
            <w:gridSpan w:val="3"/>
            <w:shd w:val="clear" w:color="auto" w:fill="auto"/>
            <w:vAlign w:val="bottom"/>
          </w:tcPr>
          <w:p w14:paraId="5F2CCB09" w14:textId="77777777" w:rsidR="00E836FB" w:rsidRDefault="00E836FB">
            <w:pPr>
              <w:rPr>
                <w:rFonts w:ascii="宋体"/>
                <w:vanish/>
              </w:rPr>
            </w:pPr>
          </w:p>
        </w:tc>
        <w:tc>
          <w:tcPr>
            <w:tcW w:w="0" w:type="auto"/>
            <w:gridSpan w:val="3"/>
            <w:shd w:val="clear" w:color="auto" w:fill="auto"/>
            <w:vAlign w:val="bottom"/>
          </w:tcPr>
          <w:p w14:paraId="5F2CCB0A" w14:textId="77777777" w:rsidR="00E836FB" w:rsidRDefault="00E836FB">
            <w:pPr>
              <w:rPr>
                <w:rFonts w:ascii="宋体"/>
                <w:vanish/>
              </w:rPr>
            </w:pPr>
          </w:p>
        </w:tc>
        <w:tc>
          <w:tcPr>
            <w:tcW w:w="0" w:type="auto"/>
            <w:gridSpan w:val="3"/>
            <w:shd w:val="clear" w:color="auto" w:fill="auto"/>
            <w:vAlign w:val="bottom"/>
          </w:tcPr>
          <w:p w14:paraId="5F2CCB0B" w14:textId="77777777" w:rsidR="00E836FB" w:rsidRDefault="00E836FB">
            <w:pPr>
              <w:rPr>
                <w:rFonts w:ascii="宋体"/>
                <w:vanish/>
              </w:rPr>
            </w:pPr>
          </w:p>
        </w:tc>
        <w:tc>
          <w:tcPr>
            <w:tcW w:w="0" w:type="auto"/>
            <w:gridSpan w:val="3"/>
            <w:shd w:val="clear" w:color="auto" w:fill="auto"/>
            <w:vAlign w:val="bottom"/>
          </w:tcPr>
          <w:p w14:paraId="5F2CCB0C" w14:textId="77777777" w:rsidR="00E836FB" w:rsidRDefault="00E836FB">
            <w:pPr>
              <w:rPr>
                <w:rFonts w:ascii="宋体"/>
                <w:vanish/>
              </w:rPr>
            </w:pPr>
          </w:p>
        </w:tc>
        <w:tc>
          <w:tcPr>
            <w:tcW w:w="0" w:type="auto"/>
            <w:gridSpan w:val="3"/>
            <w:shd w:val="clear" w:color="auto" w:fill="auto"/>
            <w:vAlign w:val="bottom"/>
          </w:tcPr>
          <w:p w14:paraId="5F2CCB0D" w14:textId="77777777" w:rsidR="00E836FB" w:rsidRDefault="00E836FB">
            <w:pPr>
              <w:rPr>
                <w:rFonts w:ascii="宋体"/>
                <w:vanish/>
              </w:rPr>
            </w:pPr>
          </w:p>
        </w:tc>
        <w:tc>
          <w:tcPr>
            <w:tcW w:w="0" w:type="auto"/>
            <w:gridSpan w:val="3"/>
            <w:shd w:val="clear" w:color="auto" w:fill="auto"/>
            <w:vAlign w:val="bottom"/>
          </w:tcPr>
          <w:p w14:paraId="5F2CCB0E" w14:textId="77777777" w:rsidR="00E836FB" w:rsidRDefault="00E836FB">
            <w:pPr>
              <w:rPr>
                <w:rFonts w:ascii="宋体"/>
                <w:vanish/>
              </w:rPr>
            </w:pPr>
          </w:p>
        </w:tc>
        <w:tc>
          <w:tcPr>
            <w:tcW w:w="0" w:type="auto"/>
            <w:gridSpan w:val="3"/>
            <w:shd w:val="clear" w:color="auto" w:fill="auto"/>
            <w:vAlign w:val="bottom"/>
          </w:tcPr>
          <w:p w14:paraId="5F2CCB0F" w14:textId="77777777" w:rsidR="00E836FB" w:rsidRDefault="00E836FB">
            <w:pPr>
              <w:rPr>
                <w:rFonts w:ascii="宋体"/>
                <w:vanish/>
              </w:rPr>
            </w:pPr>
          </w:p>
        </w:tc>
        <w:tc>
          <w:tcPr>
            <w:tcW w:w="0" w:type="auto"/>
            <w:gridSpan w:val="3"/>
            <w:shd w:val="clear" w:color="auto" w:fill="auto"/>
            <w:vAlign w:val="bottom"/>
          </w:tcPr>
          <w:p w14:paraId="5F2CCB10" w14:textId="77777777" w:rsidR="00E836FB" w:rsidRDefault="00E836FB">
            <w:pPr>
              <w:rPr>
                <w:rFonts w:ascii="宋体"/>
                <w:vanish/>
              </w:rPr>
            </w:pPr>
          </w:p>
        </w:tc>
        <w:tc>
          <w:tcPr>
            <w:tcW w:w="0" w:type="auto"/>
            <w:gridSpan w:val="3"/>
            <w:shd w:val="clear" w:color="auto" w:fill="auto"/>
            <w:vAlign w:val="bottom"/>
          </w:tcPr>
          <w:p w14:paraId="5F2CCB11" w14:textId="77777777" w:rsidR="00E836FB" w:rsidRDefault="00E836FB">
            <w:pPr>
              <w:rPr>
                <w:rFonts w:ascii="宋体"/>
                <w:vanish/>
              </w:rPr>
            </w:pPr>
          </w:p>
        </w:tc>
        <w:tc>
          <w:tcPr>
            <w:tcW w:w="0" w:type="auto"/>
            <w:gridSpan w:val="3"/>
            <w:shd w:val="clear" w:color="auto" w:fill="auto"/>
            <w:vAlign w:val="bottom"/>
          </w:tcPr>
          <w:p w14:paraId="5F2CCB12" w14:textId="77777777" w:rsidR="00E836FB" w:rsidRDefault="00E836FB">
            <w:pPr>
              <w:rPr>
                <w:rFonts w:ascii="宋体"/>
                <w:vanish/>
              </w:rPr>
            </w:pPr>
          </w:p>
        </w:tc>
        <w:tc>
          <w:tcPr>
            <w:tcW w:w="0" w:type="auto"/>
            <w:gridSpan w:val="3"/>
            <w:shd w:val="clear" w:color="auto" w:fill="auto"/>
            <w:vAlign w:val="bottom"/>
          </w:tcPr>
          <w:p w14:paraId="5F2CCB13" w14:textId="77777777" w:rsidR="00E836FB" w:rsidRDefault="00E836FB">
            <w:pPr>
              <w:rPr>
                <w:rFonts w:ascii="宋体"/>
                <w:vanish/>
              </w:rPr>
            </w:pPr>
          </w:p>
        </w:tc>
        <w:tc>
          <w:tcPr>
            <w:tcW w:w="0" w:type="auto"/>
            <w:gridSpan w:val="3"/>
            <w:shd w:val="clear" w:color="auto" w:fill="auto"/>
            <w:vAlign w:val="bottom"/>
          </w:tcPr>
          <w:p w14:paraId="5F2CCB14" w14:textId="77777777" w:rsidR="00E836FB" w:rsidRDefault="00E836FB">
            <w:pPr>
              <w:rPr>
                <w:rFonts w:ascii="宋体"/>
                <w:vanish/>
              </w:rPr>
            </w:pPr>
          </w:p>
        </w:tc>
      </w:tr>
      <w:tr w:rsidR="00E836FB" w14:paraId="5F2CCB2D" w14:textId="77777777">
        <w:tc>
          <w:tcPr>
            <w:tcW w:w="0" w:type="auto"/>
            <w:gridSpan w:val="3"/>
            <w:shd w:val="clear" w:color="auto" w:fill="FFFFFF"/>
            <w:tcMar>
              <w:top w:w="40" w:type="dxa"/>
              <w:left w:w="245" w:type="dxa"/>
              <w:bottom w:w="40" w:type="dxa"/>
              <w:right w:w="20" w:type="dxa"/>
            </w:tcMar>
            <w:vAlign w:val="bottom"/>
          </w:tcPr>
          <w:p w14:paraId="5F2CCB16" w14:textId="77777777" w:rsidR="00E836FB" w:rsidRDefault="00994958">
            <w:pPr>
              <w:textAlignment w:val="bottom"/>
            </w:pPr>
            <w:r>
              <w:rPr>
                <w:rFonts w:ascii="Arial" w:eastAsia="宋体" w:hAnsi="Arial" w:cs="Arial"/>
                <w:color w:val="000000"/>
                <w:sz w:val="15"/>
                <w:szCs w:val="15"/>
              </w:rPr>
              <w:t> 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B17" w14:textId="77777777" w:rsidR="00E836FB" w:rsidRDefault="00994958">
            <w:pPr>
              <w:jc w:val="right"/>
              <w:textAlignment w:val="bottom"/>
            </w:pPr>
            <w:r>
              <w:rPr>
                <w:rFonts w:ascii="Arial" w:eastAsia="宋体" w:hAnsi="Arial" w:cs="Arial"/>
                <w:b/>
                <w:bCs/>
                <w:color w:val="000000"/>
                <w:sz w:val="15"/>
                <w:szCs w:val="15"/>
              </w:rPr>
              <w:t>428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B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B1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1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1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B1C" w14:textId="77777777" w:rsidR="00E836FB" w:rsidRDefault="00994958">
            <w:pPr>
              <w:jc w:val="right"/>
              <w:textAlignment w:val="bottom"/>
            </w:pPr>
            <w:r>
              <w:rPr>
                <w:rFonts w:ascii="Arial" w:eastAsia="宋体" w:hAnsi="Arial" w:cs="Arial"/>
                <w:b/>
                <w:bCs/>
                <w:color w:val="000000"/>
                <w:sz w:val="15"/>
                <w:szCs w:val="15"/>
              </w:rPr>
              <w:t>192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B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B1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1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2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B21" w14:textId="77777777" w:rsidR="00E836FB" w:rsidRDefault="00994958">
            <w:pPr>
              <w:jc w:val="right"/>
              <w:textAlignment w:val="bottom"/>
            </w:pPr>
            <w:r>
              <w:rPr>
                <w:rFonts w:ascii="Arial" w:eastAsia="宋体" w:hAnsi="Arial" w:cs="Arial"/>
                <w:b/>
                <w:bCs/>
                <w:color w:val="000000"/>
                <w:sz w:val="15"/>
                <w:szCs w:val="15"/>
              </w:rPr>
              <w:t>971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B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B2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2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2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B26" w14:textId="77777777" w:rsidR="00E836FB" w:rsidRDefault="00994958">
            <w:pPr>
              <w:jc w:val="right"/>
              <w:textAlignment w:val="bottom"/>
            </w:pPr>
            <w:r>
              <w:rPr>
                <w:rFonts w:ascii="Arial" w:eastAsia="宋体" w:hAnsi="Arial" w:cs="Arial"/>
                <w:b/>
                <w:bCs/>
                <w:color w:val="000000"/>
                <w:sz w:val="15"/>
                <w:szCs w:val="15"/>
              </w:rPr>
              <w:t>3,624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B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B2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2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B2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B2B" w14:textId="77777777" w:rsidR="00E836FB" w:rsidRDefault="00994958">
            <w:pPr>
              <w:jc w:val="right"/>
              <w:textAlignment w:val="bottom"/>
            </w:pPr>
            <w:r>
              <w:rPr>
                <w:rFonts w:ascii="Arial" w:eastAsia="宋体" w:hAnsi="Arial" w:cs="Arial"/>
                <w:b/>
                <w:bCs/>
                <w:color w:val="000000"/>
                <w:sz w:val="15"/>
                <w:szCs w:val="15"/>
              </w:rPr>
              <w:t>5,215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B2C" w14:textId="77777777" w:rsidR="00E836FB" w:rsidRDefault="00E836FB">
            <w:pPr>
              <w:jc w:val="right"/>
              <w:rPr>
                <w:rFonts w:ascii="宋体"/>
              </w:rPr>
            </w:pPr>
          </w:p>
        </w:tc>
      </w:tr>
      <w:tr w:rsidR="00E836FB" w14:paraId="5F2CCB40" w14:textId="77777777">
        <w:trPr>
          <w:hidden/>
        </w:trPr>
        <w:tc>
          <w:tcPr>
            <w:tcW w:w="0" w:type="auto"/>
            <w:gridSpan w:val="3"/>
            <w:shd w:val="clear" w:color="auto" w:fill="auto"/>
            <w:vAlign w:val="bottom"/>
          </w:tcPr>
          <w:p w14:paraId="5F2CCB2E" w14:textId="77777777" w:rsidR="00E836FB" w:rsidRDefault="00E836FB">
            <w:pPr>
              <w:rPr>
                <w:rFonts w:ascii="宋体"/>
                <w:vanish/>
              </w:rPr>
            </w:pPr>
          </w:p>
        </w:tc>
        <w:tc>
          <w:tcPr>
            <w:tcW w:w="0" w:type="auto"/>
            <w:gridSpan w:val="3"/>
            <w:shd w:val="clear" w:color="auto" w:fill="auto"/>
            <w:vAlign w:val="bottom"/>
          </w:tcPr>
          <w:p w14:paraId="5F2CCB2F" w14:textId="77777777" w:rsidR="00E836FB" w:rsidRDefault="00E836FB">
            <w:pPr>
              <w:rPr>
                <w:rFonts w:ascii="宋体"/>
                <w:vanish/>
              </w:rPr>
            </w:pPr>
          </w:p>
        </w:tc>
        <w:tc>
          <w:tcPr>
            <w:tcW w:w="0" w:type="auto"/>
            <w:gridSpan w:val="3"/>
            <w:shd w:val="clear" w:color="auto" w:fill="auto"/>
            <w:vAlign w:val="bottom"/>
          </w:tcPr>
          <w:p w14:paraId="5F2CCB30" w14:textId="77777777" w:rsidR="00E836FB" w:rsidRDefault="00E836FB">
            <w:pPr>
              <w:rPr>
                <w:rFonts w:ascii="宋体"/>
                <w:vanish/>
              </w:rPr>
            </w:pPr>
          </w:p>
        </w:tc>
        <w:tc>
          <w:tcPr>
            <w:tcW w:w="0" w:type="auto"/>
            <w:gridSpan w:val="3"/>
            <w:shd w:val="clear" w:color="auto" w:fill="auto"/>
            <w:vAlign w:val="bottom"/>
          </w:tcPr>
          <w:p w14:paraId="5F2CCB31" w14:textId="77777777" w:rsidR="00E836FB" w:rsidRDefault="00E836FB">
            <w:pPr>
              <w:rPr>
                <w:rFonts w:ascii="宋体"/>
                <w:vanish/>
              </w:rPr>
            </w:pPr>
          </w:p>
        </w:tc>
        <w:tc>
          <w:tcPr>
            <w:tcW w:w="0" w:type="auto"/>
            <w:gridSpan w:val="3"/>
            <w:shd w:val="clear" w:color="auto" w:fill="auto"/>
            <w:vAlign w:val="bottom"/>
          </w:tcPr>
          <w:p w14:paraId="5F2CCB32" w14:textId="77777777" w:rsidR="00E836FB" w:rsidRDefault="00E836FB">
            <w:pPr>
              <w:rPr>
                <w:rFonts w:ascii="宋体"/>
                <w:vanish/>
              </w:rPr>
            </w:pPr>
          </w:p>
        </w:tc>
        <w:tc>
          <w:tcPr>
            <w:tcW w:w="0" w:type="auto"/>
            <w:gridSpan w:val="3"/>
            <w:shd w:val="clear" w:color="auto" w:fill="auto"/>
            <w:vAlign w:val="bottom"/>
          </w:tcPr>
          <w:p w14:paraId="5F2CCB33" w14:textId="77777777" w:rsidR="00E836FB" w:rsidRDefault="00E836FB">
            <w:pPr>
              <w:rPr>
                <w:rFonts w:ascii="宋体"/>
                <w:vanish/>
              </w:rPr>
            </w:pPr>
          </w:p>
        </w:tc>
        <w:tc>
          <w:tcPr>
            <w:tcW w:w="0" w:type="auto"/>
            <w:gridSpan w:val="3"/>
            <w:shd w:val="clear" w:color="auto" w:fill="auto"/>
            <w:vAlign w:val="bottom"/>
          </w:tcPr>
          <w:p w14:paraId="5F2CCB34" w14:textId="77777777" w:rsidR="00E836FB" w:rsidRDefault="00E836FB">
            <w:pPr>
              <w:rPr>
                <w:rFonts w:ascii="宋体"/>
                <w:vanish/>
              </w:rPr>
            </w:pPr>
          </w:p>
        </w:tc>
        <w:tc>
          <w:tcPr>
            <w:tcW w:w="0" w:type="auto"/>
            <w:gridSpan w:val="3"/>
            <w:shd w:val="clear" w:color="auto" w:fill="auto"/>
            <w:vAlign w:val="bottom"/>
          </w:tcPr>
          <w:p w14:paraId="5F2CCB35" w14:textId="77777777" w:rsidR="00E836FB" w:rsidRDefault="00E836FB">
            <w:pPr>
              <w:rPr>
                <w:rFonts w:ascii="宋体"/>
                <w:vanish/>
              </w:rPr>
            </w:pPr>
          </w:p>
        </w:tc>
        <w:tc>
          <w:tcPr>
            <w:tcW w:w="0" w:type="auto"/>
            <w:gridSpan w:val="3"/>
            <w:shd w:val="clear" w:color="auto" w:fill="auto"/>
            <w:vAlign w:val="bottom"/>
          </w:tcPr>
          <w:p w14:paraId="5F2CCB36" w14:textId="77777777" w:rsidR="00E836FB" w:rsidRDefault="00E836FB">
            <w:pPr>
              <w:rPr>
                <w:rFonts w:ascii="宋体"/>
                <w:vanish/>
              </w:rPr>
            </w:pPr>
          </w:p>
        </w:tc>
        <w:tc>
          <w:tcPr>
            <w:tcW w:w="0" w:type="auto"/>
            <w:gridSpan w:val="3"/>
            <w:shd w:val="clear" w:color="auto" w:fill="auto"/>
            <w:vAlign w:val="bottom"/>
          </w:tcPr>
          <w:p w14:paraId="5F2CCB37" w14:textId="77777777" w:rsidR="00E836FB" w:rsidRDefault="00E836FB">
            <w:pPr>
              <w:rPr>
                <w:rFonts w:ascii="宋体"/>
                <w:vanish/>
              </w:rPr>
            </w:pPr>
          </w:p>
        </w:tc>
        <w:tc>
          <w:tcPr>
            <w:tcW w:w="0" w:type="auto"/>
            <w:gridSpan w:val="3"/>
            <w:shd w:val="clear" w:color="auto" w:fill="auto"/>
            <w:vAlign w:val="bottom"/>
          </w:tcPr>
          <w:p w14:paraId="5F2CCB38" w14:textId="77777777" w:rsidR="00E836FB" w:rsidRDefault="00E836FB">
            <w:pPr>
              <w:rPr>
                <w:rFonts w:ascii="宋体"/>
                <w:vanish/>
              </w:rPr>
            </w:pPr>
          </w:p>
        </w:tc>
        <w:tc>
          <w:tcPr>
            <w:tcW w:w="0" w:type="auto"/>
            <w:gridSpan w:val="3"/>
            <w:shd w:val="clear" w:color="auto" w:fill="auto"/>
            <w:vAlign w:val="bottom"/>
          </w:tcPr>
          <w:p w14:paraId="5F2CCB39" w14:textId="77777777" w:rsidR="00E836FB" w:rsidRDefault="00E836FB">
            <w:pPr>
              <w:rPr>
                <w:rFonts w:ascii="宋体"/>
                <w:vanish/>
              </w:rPr>
            </w:pPr>
          </w:p>
        </w:tc>
        <w:tc>
          <w:tcPr>
            <w:tcW w:w="0" w:type="auto"/>
            <w:gridSpan w:val="3"/>
            <w:shd w:val="clear" w:color="auto" w:fill="auto"/>
            <w:vAlign w:val="bottom"/>
          </w:tcPr>
          <w:p w14:paraId="5F2CCB3A" w14:textId="77777777" w:rsidR="00E836FB" w:rsidRDefault="00E836FB">
            <w:pPr>
              <w:rPr>
                <w:rFonts w:ascii="宋体"/>
                <w:vanish/>
              </w:rPr>
            </w:pPr>
          </w:p>
        </w:tc>
        <w:tc>
          <w:tcPr>
            <w:tcW w:w="0" w:type="auto"/>
            <w:gridSpan w:val="3"/>
            <w:shd w:val="clear" w:color="auto" w:fill="auto"/>
            <w:vAlign w:val="bottom"/>
          </w:tcPr>
          <w:p w14:paraId="5F2CCB3B" w14:textId="77777777" w:rsidR="00E836FB" w:rsidRDefault="00E836FB">
            <w:pPr>
              <w:rPr>
                <w:rFonts w:ascii="宋体"/>
                <w:vanish/>
              </w:rPr>
            </w:pPr>
          </w:p>
        </w:tc>
        <w:tc>
          <w:tcPr>
            <w:tcW w:w="0" w:type="auto"/>
            <w:gridSpan w:val="3"/>
            <w:shd w:val="clear" w:color="auto" w:fill="auto"/>
            <w:vAlign w:val="bottom"/>
          </w:tcPr>
          <w:p w14:paraId="5F2CCB3C" w14:textId="77777777" w:rsidR="00E836FB" w:rsidRDefault="00E836FB">
            <w:pPr>
              <w:rPr>
                <w:rFonts w:ascii="宋体"/>
                <w:vanish/>
              </w:rPr>
            </w:pPr>
          </w:p>
        </w:tc>
        <w:tc>
          <w:tcPr>
            <w:tcW w:w="0" w:type="auto"/>
            <w:gridSpan w:val="3"/>
            <w:shd w:val="clear" w:color="auto" w:fill="auto"/>
            <w:vAlign w:val="bottom"/>
          </w:tcPr>
          <w:p w14:paraId="5F2CCB3D" w14:textId="77777777" w:rsidR="00E836FB" w:rsidRDefault="00E836FB">
            <w:pPr>
              <w:rPr>
                <w:rFonts w:ascii="宋体"/>
                <w:vanish/>
              </w:rPr>
            </w:pPr>
          </w:p>
        </w:tc>
        <w:tc>
          <w:tcPr>
            <w:tcW w:w="0" w:type="auto"/>
            <w:gridSpan w:val="3"/>
            <w:shd w:val="clear" w:color="auto" w:fill="auto"/>
            <w:vAlign w:val="bottom"/>
          </w:tcPr>
          <w:p w14:paraId="5F2CCB3E" w14:textId="77777777" w:rsidR="00E836FB" w:rsidRDefault="00E836FB">
            <w:pPr>
              <w:rPr>
                <w:rFonts w:ascii="宋体"/>
                <w:vanish/>
              </w:rPr>
            </w:pPr>
          </w:p>
        </w:tc>
        <w:tc>
          <w:tcPr>
            <w:tcW w:w="0" w:type="auto"/>
            <w:gridSpan w:val="3"/>
            <w:shd w:val="clear" w:color="auto" w:fill="auto"/>
            <w:vAlign w:val="bottom"/>
          </w:tcPr>
          <w:p w14:paraId="5F2CCB3F" w14:textId="77777777" w:rsidR="00E836FB" w:rsidRDefault="00E836FB">
            <w:pPr>
              <w:rPr>
                <w:rFonts w:ascii="宋体"/>
                <w:vanish/>
              </w:rPr>
            </w:pPr>
          </w:p>
        </w:tc>
      </w:tr>
      <w:tr w:rsidR="00E836FB" w14:paraId="5F2CCB53" w14:textId="77777777">
        <w:trPr>
          <w:hidden/>
        </w:trPr>
        <w:tc>
          <w:tcPr>
            <w:tcW w:w="0" w:type="auto"/>
            <w:gridSpan w:val="3"/>
            <w:shd w:val="clear" w:color="auto" w:fill="auto"/>
            <w:vAlign w:val="bottom"/>
          </w:tcPr>
          <w:p w14:paraId="5F2CCB41" w14:textId="77777777" w:rsidR="00E836FB" w:rsidRDefault="00E836FB">
            <w:pPr>
              <w:rPr>
                <w:rFonts w:ascii="宋体"/>
                <w:vanish/>
              </w:rPr>
            </w:pPr>
          </w:p>
        </w:tc>
        <w:tc>
          <w:tcPr>
            <w:tcW w:w="0" w:type="auto"/>
            <w:gridSpan w:val="3"/>
            <w:shd w:val="clear" w:color="auto" w:fill="auto"/>
            <w:vAlign w:val="bottom"/>
          </w:tcPr>
          <w:p w14:paraId="5F2CCB42" w14:textId="77777777" w:rsidR="00E836FB" w:rsidRDefault="00E836FB">
            <w:pPr>
              <w:rPr>
                <w:rFonts w:ascii="宋体"/>
                <w:vanish/>
              </w:rPr>
            </w:pPr>
          </w:p>
        </w:tc>
        <w:tc>
          <w:tcPr>
            <w:tcW w:w="0" w:type="auto"/>
            <w:gridSpan w:val="3"/>
            <w:shd w:val="clear" w:color="auto" w:fill="auto"/>
            <w:vAlign w:val="bottom"/>
          </w:tcPr>
          <w:p w14:paraId="5F2CCB43" w14:textId="77777777" w:rsidR="00E836FB" w:rsidRDefault="00E836FB">
            <w:pPr>
              <w:rPr>
                <w:rFonts w:ascii="宋体"/>
                <w:vanish/>
              </w:rPr>
            </w:pPr>
          </w:p>
        </w:tc>
        <w:tc>
          <w:tcPr>
            <w:tcW w:w="0" w:type="auto"/>
            <w:gridSpan w:val="3"/>
            <w:shd w:val="clear" w:color="auto" w:fill="auto"/>
            <w:vAlign w:val="bottom"/>
          </w:tcPr>
          <w:p w14:paraId="5F2CCB44" w14:textId="77777777" w:rsidR="00E836FB" w:rsidRDefault="00E836FB">
            <w:pPr>
              <w:rPr>
                <w:rFonts w:ascii="宋体"/>
                <w:vanish/>
              </w:rPr>
            </w:pPr>
          </w:p>
        </w:tc>
        <w:tc>
          <w:tcPr>
            <w:tcW w:w="0" w:type="auto"/>
            <w:gridSpan w:val="3"/>
            <w:shd w:val="clear" w:color="auto" w:fill="auto"/>
            <w:vAlign w:val="bottom"/>
          </w:tcPr>
          <w:p w14:paraId="5F2CCB45" w14:textId="77777777" w:rsidR="00E836FB" w:rsidRDefault="00E836FB">
            <w:pPr>
              <w:rPr>
                <w:rFonts w:ascii="宋体"/>
                <w:vanish/>
              </w:rPr>
            </w:pPr>
          </w:p>
        </w:tc>
        <w:tc>
          <w:tcPr>
            <w:tcW w:w="0" w:type="auto"/>
            <w:gridSpan w:val="3"/>
            <w:shd w:val="clear" w:color="auto" w:fill="auto"/>
            <w:vAlign w:val="bottom"/>
          </w:tcPr>
          <w:p w14:paraId="5F2CCB46" w14:textId="77777777" w:rsidR="00E836FB" w:rsidRDefault="00E836FB">
            <w:pPr>
              <w:rPr>
                <w:rFonts w:ascii="宋体"/>
                <w:vanish/>
              </w:rPr>
            </w:pPr>
          </w:p>
        </w:tc>
        <w:tc>
          <w:tcPr>
            <w:tcW w:w="0" w:type="auto"/>
            <w:gridSpan w:val="3"/>
            <w:shd w:val="clear" w:color="auto" w:fill="auto"/>
            <w:vAlign w:val="bottom"/>
          </w:tcPr>
          <w:p w14:paraId="5F2CCB47" w14:textId="77777777" w:rsidR="00E836FB" w:rsidRDefault="00E836FB">
            <w:pPr>
              <w:rPr>
                <w:rFonts w:ascii="宋体"/>
                <w:vanish/>
              </w:rPr>
            </w:pPr>
          </w:p>
        </w:tc>
        <w:tc>
          <w:tcPr>
            <w:tcW w:w="0" w:type="auto"/>
            <w:gridSpan w:val="3"/>
            <w:shd w:val="clear" w:color="auto" w:fill="auto"/>
            <w:vAlign w:val="bottom"/>
          </w:tcPr>
          <w:p w14:paraId="5F2CCB48" w14:textId="77777777" w:rsidR="00E836FB" w:rsidRDefault="00E836FB">
            <w:pPr>
              <w:rPr>
                <w:rFonts w:ascii="宋体"/>
                <w:vanish/>
              </w:rPr>
            </w:pPr>
          </w:p>
        </w:tc>
        <w:tc>
          <w:tcPr>
            <w:tcW w:w="0" w:type="auto"/>
            <w:gridSpan w:val="3"/>
            <w:shd w:val="clear" w:color="auto" w:fill="auto"/>
            <w:vAlign w:val="bottom"/>
          </w:tcPr>
          <w:p w14:paraId="5F2CCB49" w14:textId="77777777" w:rsidR="00E836FB" w:rsidRDefault="00E836FB">
            <w:pPr>
              <w:rPr>
                <w:rFonts w:ascii="宋体"/>
                <w:vanish/>
              </w:rPr>
            </w:pPr>
          </w:p>
        </w:tc>
        <w:tc>
          <w:tcPr>
            <w:tcW w:w="0" w:type="auto"/>
            <w:gridSpan w:val="3"/>
            <w:shd w:val="clear" w:color="auto" w:fill="auto"/>
            <w:vAlign w:val="bottom"/>
          </w:tcPr>
          <w:p w14:paraId="5F2CCB4A" w14:textId="77777777" w:rsidR="00E836FB" w:rsidRDefault="00E836FB">
            <w:pPr>
              <w:rPr>
                <w:rFonts w:ascii="宋体"/>
                <w:vanish/>
              </w:rPr>
            </w:pPr>
          </w:p>
        </w:tc>
        <w:tc>
          <w:tcPr>
            <w:tcW w:w="0" w:type="auto"/>
            <w:gridSpan w:val="3"/>
            <w:shd w:val="clear" w:color="auto" w:fill="auto"/>
            <w:vAlign w:val="bottom"/>
          </w:tcPr>
          <w:p w14:paraId="5F2CCB4B" w14:textId="77777777" w:rsidR="00E836FB" w:rsidRDefault="00E836FB">
            <w:pPr>
              <w:rPr>
                <w:rFonts w:ascii="宋体"/>
                <w:vanish/>
              </w:rPr>
            </w:pPr>
          </w:p>
        </w:tc>
        <w:tc>
          <w:tcPr>
            <w:tcW w:w="0" w:type="auto"/>
            <w:gridSpan w:val="3"/>
            <w:shd w:val="clear" w:color="auto" w:fill="auto"/>
            <w:vAlign w:val="bottom"/>
          </w:tcPr>
          <w:p w14:paraId="5F2CCB4C" w14:textId="77777777" w:rsidR="00E836FB" w:rsidRDefault="00E836FB">
            <w:pPr>
              <w:rPr>
                <w:rFonts w:ascii="宋体"/>
                <w:vanish/>
              </w:rPr>
            </w:pPr>
          </w:p>
        </w:tc>
        <w:tc>
          <w:tcPr>
            <w:tcW w:w="0" w:type="auto"/>
            <w:gridSpan w:val="3"/>
            <w:shd w:val="clear" w:color="auto" w:fill="auto"/>
            <w:vAlign w:val="bottom"/>
          </w:tcPr>
          <w:p w14:paraId="5F2CCB4D" w14:textId="77777777" w:rsidR="00E836FB" w:rsidRDefault="00E836FB">
            <w:pPr>
              <w:rPr>
                <w:rFonts w:ascii="宋体"/>
                <w:vanish/>
              </w:rPr>
            </w:pPr>
          </w:p>
        </w:tc>
        <w:tc>
          <w:tcPr>
            <w:tcW w:w="0" w:type="auto"/>
            <w:gridSpan w:val="3"/>
            <w:shd w:val="clear" w:color="auto" w:fill="auto"/>
            <w:vAlign w:val="bottom"/>
          </w:tcPr>
          <w:p w14:paraId="5F2CCB4E" w14:textId="77777777" w:rsidR="00E836FB" w:rsidRDefault="00E836FB">
            <w:pPr>
              <w:rPr>
                <w:rFonts w:ascii="宋体"/>
                <w:vanish/>
              </w:rPr>
            </w:pPr>
          </w:p>
        </w:tc>
        <w:tc>
          <w:tcPr>
            <w:tcW w:w="0" w:type="auto"/>
            <w:gridSpan w:val="3"/>
            <w:shd w:val="clear" w:color="auto" w:fill="auto"/>
            <w:vAlign w:val="bottom"/>
          </w:tcPr>
          <w:p w14:paraId="5F2CCB4F" w14:textId="77777777" w:rsidR="00E836FB" w:rsidRDefault="00E836FB">
            <w:pPr>
              <w:rPr>
                <w:rFonts w:ascii="宋体"/>
                <w:vanish/>
              </w:rPr>
            </w:pPr>
          </w:p>
        </w:tc>
        <w:tc>
          <w:tcPr>
            <w:tcW w:w="0" w:type="auto"/>
            <w:gridSpan w:val="3"/>
            <w:shd w:val="clear" w:color="auto" w:fill="auto"/>
            <w:vAlign w:val="bottom"/>
          </w:tcPr>
          <w:p w14:paraId="5F2CCB50" w14:textId="77777777" w:rsidR="00E836FB" w:rsidRDefault="00E836FB">
            <w:pPr>
              <w:rPr>
                <w:rFonts w:ascii="宋体"/>
                <w:vanish/>
              </w:rPr>
            </w:pPr>
          </w:p>
        </w:tc>
        <w:tc>
          <w:tcPr>
            <w:tcW w:w="0" w:type="auto"/>
            <w:gridSpan w:val="3"/>
            <w:shd w:val="clear" w:color="auto" w:fill="auto"/>
            <w:vAlign w:val="bottom"/>
          </w:tcPr>
          <w:p w14:paraId="5F2CCB51" w14:textId="77777777" w:rsidR="00E836FB" w:rsidRDefault="00E836FB">
            <w:pPr>
              <w:rPr>
                <w:rFonts w:ascii="宋体"/>
                <w:vanish/>
              </w:rPr>
            </w:pPr>
          </w:p>
        </w:tc>
        <w:tc>
          <w:tcPr>
            <w:tcW w:w="0" w:type="auto"/>
            <w:gridSpan w:val="3"/>
            <w:shd w:val="clear" w:color="auto" w:fill="auto"/>
            <w:vAlign w:val="bottom"/>
          </w:tcPr>
          <w:p w14:paraId="5F2CCB52" w14:textId="77777777" w:rsidR="00E836FB" w:rsidRDefault="00E836FB">
            <w:pPr>
              <w:rPr>
                <w:rFonts w:ascii="宋体"/>
                <w:vanish/>
              </w:rPr>
            </w:pPr>
          </w:p>
        </w:tc>
      </w:tr>
      <w:tr w:rsidR="00E836FB" w14:paraId="5F2CCB66" w14:textId="77777777">
        <w:trPr>
          <w:hidden/>
        </w:trPr>
        <w:tc>
          <w:tcPr>
            <w:tcW w:w="0" w:type="auto"/>
            <w:gridSpan w:val="3"/>
            <w:shd w:val="clear" w:color="auto" w:fill="auto"/>
            <w:vAlign w:val="bottom"/>
          </w:tcPr>
          <w:p w14:paraId="5F2CCB54" w14:textId="77777777" w:rsidR="00E836FB" w:rsidRDefault="00E836FB">
            <w:pPr>
              <w:rPr>
                <w:rFonts w:ascii="宋体"/>
                <w:vanish/>
              </w:rPr>
            </w:pPr>
          </w:p>
        </w:tc>
        <w:tc>
          <w:tcPr>
            <w:tcW w:w="0" w:type="auto"/>
            <w:gridSpan w:val="3"/>
            <w:shd w:val="clear" w:color="auto" w:fill="auto"/>
            <w:vAlign w:val="bottom"/>
          </w:tcPr>
          <w:p w14:paraId="5F2CCB55" w14:textId="77777777" w:rsidR="00E836FB" w:rsidRDefault="00E836FB">
            <w:pPr>
              <w:rPr>
                <w:rFonts w:ascii="宋体"/>
                <w:vanish/>
              </w:rPr>
            </w:pPr>
          </w:p>
        </w:tc>
        <w:tc>
          <w:tcPr>
            <w:tcW w:w="0" w:type="auto"/>
            <w:gridSpan w:val="3"/>
            <w:shd w:val="clear" w:color="auto" w:fill="auto"/>
            <w:vAlign w:val="bottom"/>
          </w:tcPr>
          <w:p w14:paraId="5F2CCB56" w14:textId="77777777" w:rsidR="00E836FB" w:rsidRDefault="00E836FB">
            <w:pPr>
              <w:rPr>
                <w:rFonts w:ascii="宋体"/>
                <w:vanish/>
              </w:rPr>
            </w:pPr>
          </w:p>
        </w:tc>
        <w:tc>
          <w:tcPr>
            <w:tcW w:w="0" w:type="auto"/>
            <w:gridSpan w:val="3"/>
            <w:shd w:val="clear" w:color="auto" w:fill="auto"/>
            <w:vAlign w:val="bottom"/>
          </w:tcPr>
          <w:p w14:paraId="5F2CCB57" w14:textId="77777777" w:rsidR="00E836FB" w:rsidRDefault="00E836FB">
            <w:pPr>
              <w:rPr>
                <w:rFonts w:ascii="宋体"/>
                <w:vanish/>
              </w:rPr>
            </w:pPr>
          </w:p>
        </w:tc>
        <w:tc>
          <w:tcPr>
            <w:tcW w:w="0" w:type="auto"/>
            <w:gridSpan w:val="3"/>
            <w:shd w:val="clear" w:color="auto" w:fill="auto"/>
            <w:vAlign w:val="bottom"/>
          </w:tcPr>
          <w:p w14:paraId="5F2CCB58" w14:textId="77777777" w:rsidR="00E836FB" w:rsidRDefault="00E836FB">
            <w:pPr>
              <w:rPr>
                <w:rFonts w:ascii="宋体"/>
                <w:vanish/>
              </w:rPr>
            </w:pPr>
          </w:p>
        </w:tc>
        <w:tc>
          <w:tcPr>
            <w:tcW w:w="0" w:type="auto"/>
            <w:gridSpan w:val="3"/>
            <w:shd w:val="clear" w:color="auto" w:fill="auto"/>
            <w:vAlign w:val="bottom"/>
          </w:tcPr>
          <w:p w14:paraId="5F2CCB59" w14:textId="77777777" w:rsidR="00E836FB" w:rsidRDefault="00E836FB">
            <w:pPr>
              <w:rPr>
                <w:rFonts w:ascii="宋体"/>
                <w:vanish/>
              </w:rPr>
            </w:pPr>
          </w:p>
        </w:tc>
        <w:tc>
          <w:tcPr>
            <w:tcW w:w="0" w:type="auto"/>
            <w:gridSpan w:val="3"/>
            <w:shd w:val="clear" w:color="auto" w:fill="auto"/>
            <w:vAlign w:val="bottom"/>
          </w:tcPr>
          <w:p w14:paraId="5F2CCB5A" w14:textId="77777777" w:rsidR="00E836FB" w:rsidRDefault="00E836FB">
            <w:pPr>
              <w:rPr>
                <w:rFonts w:ascii="宋体"/>
                <w:vanish/>
              </w:rPr>
            </w:pPr>
          </w:p>
        </w:tc>
        <w:tc>
          <w:tcPr>
            <w:tcW w:w="0" w:type="auto"/>
            <w:gridSpan w:val="3"/>
            <w:shd w:val="clear" w:color="auto" w:fill="auto"/>
            <w:vAlign w:val="bottom"/>
          </w:tcPr>
          <w:p w14:paraId="5F2CCB5B" w14:textId="77777777" w:rsidR="00E836FB" w:rsidRDefault="00E836FB">
            <w:pPr>
              <w:rPr>
                <w:rFonts w:ascii="宋体"/>
                <w:vanish/>
              </w:rPr>
            </w:pPr>
          </w:p>
        </w:tc>
        <w:tc>
          <w:tcPr>
            <w:tcW w:w="0" w:type="auto"/>
            <w:gridSpan w:val="3"/>
            <w:shd w:val="clear" w:color="auto" w:fill="auto"/>
            <w:vAlign w:val="bottom"/>
          </w:tcPr>
          <w:p w14:paraId="5F2CCB5C" w14:textId="77777777" w:rsidR="00E836FB" w:rsidRDefault="00E836FB">
            <w:pPr>
              <w:rPr>
                <w:rFonts w:ascii="宋体"/>
                <w:vanish/>
              </w:rPr>
            </w:pPr>
          </w:p>
        </w:tc>
        <w:tc>
          <w:tcPr>
            <w:tcW w:w="0" w:type="auto"/>
            <w:gridSpan w:val="3"/>
            <w:shd w:val="clear" w:color="auto" w:fill="auto"/>
            <w:vAlign w:val="bottom"/>
          </w:tcPr>
          <w:p w14:paraId="5F2CCB5D" w14:textId="77777777" w:rsidR="00E836FB" w:rsidRDefault="00E836FB">
            <w:pPr>
              <w:rPr>
                <w:rFonts w:ascii="宋体"/>
                <w:vanish/>
              </w:rPr>
            </w:pPr>
          </w:p>
        </w:tc>
        <w:tc>
          <w:tcPr>
            <w:tcW w:w="0" w:type="auto"/>
            <w:gridSpan w:val="3"/>
            <w:shd w:val="clear" w:color="auto" w:fill="auto"/>
            <w:vAlign w:val="bottom"/>
          </w:tcPr>
          <w:p w14:paraId="5F2CCB5E" w14:textId="77777777" w:rsidR="00E836FB" w:rsidRDefault="00E836FB">
            <w:pPr>
              <w:rPr>
                <w:rFonts w:ascii="宋体"/>
                <w:vanish/>
              </w:rPr>
            </w:pPr>
          </w:p>
        </w:tc>
        <w:tc>
          <w:tcPr>
            <w:tcW w:w="0" w:type="auto"/>
            <w:gridSpan w:val="3"/>
            <w:shd w:val="clear" w:color="auto" w:fill="auto"/>
            <w:vAlign w:val="bottom"/>
          </w:tcPr>
          <w:p w14:paraId="5F2CCB5F" w14:textId="77777777" w:rsidR="00E836FB" w:rsidRDefault="00E836FB">
            <w:pPr>
              <w:rPr>
                <w:rFonts w:ascii="宋体"/>
                <w:vanish/>
              </w:rPr>
            </w:pPr>
          </w:p>
        </w:tc>
        <w:tc>
          <w:tcPr>
            <w:tcW w:w="0" w:type="auto"/>
            <w:gridSpan w:val="3"/>
            <w:shd w:val="clear" w:color="auto" w:fill="auto"/>
            <w:vAlign w:val="bottom"/>
          </w:tcPr>
          <w:p w14:paraId="5F2CCB60" w14:textId="77777777" w:rsidR="00E836FB" w:rsidRDefault="00E836FB">
            <w:pPr>
              <w:rPr>
                <w:rFonts w:ascii="宋体"/>
                <w:vanish/>
              </w:rPr>
            </w:pPr>
          </w:p>
        </w:tc>
        <w:tc>
          <w:tcPr>
            <w:tcW w:w="0" w:type="auto"/>
            <w:gridSpan w:val="3"/>
            <w:shd w:val="clear" w:color="auto" w:fill="auto"/>
            <w:vAlign w:val="bottom"/>
          </w:tcPr>
          <w:p w14:paraId="5F2CCB61" w14:textId="77777777" w:rsidR="00E836FB" w:rsidRDefault="00E836FB">
            <w:pPr>
              <w:rPr>
                <w:rFonts w:ascii="宋体"/>
                <w:vanish/>
              </w:rPr>
            </w:pPr>
          </w:p>
        </w:tc>
        <w:tc>
          <w:tcPr>
            <w:tcW w:w="0" w:type="auto"/>
            <w:gridSpan w:val="3"/>
            <w:shd w:val="clear" w:color="auto" w:fill="auto"/>
            <w:vAlign w:val="bottom"/>
          </w:tcPr>
          <w:p w14:paraId="5F2CCB62" w14:textId="77777777" w:rsidR="00E836FB" w:rsidRDefault="00E836FB">
            <w:pPr>
              <w:rPr>
                <w:rFonts w:ascii="宋体"/>
                <w:vanish/>
              </w:rPr>
            </w:pPr>
          </w:p>
        </w:tc>
        <w:tc>
          <w:tcPr>
            <w:tcW w:w="0" w:type="auto"/>
            <w:gridSpan w:val="3"/>
            <w:shd w:val="clear" w:color="auto" w:fill="auto"/>
            <w:vAlign w:val="bottom"/>
          </w:tcPr>
          <w:p w14:paraId="5F2CCB63" w14:textId="77777777" w:rsidR="00E836FB" w:rsidRDefault="00E836FB">
            <w:pPr>
              <w:rPr>
                <w:rFonts w:ascii="宋体"/>
                <w:vanish/>
              </w:rPr>
            </w:pPr>
          </w:p>
        </w:tc>
        <w:tc>
          <w:tcPr>
            <w:tcW w:w="0" w:type="auto"/>
            <w:gridSpan w:val="3"/>
            <w:shd w:val="clear" w:color="auto" w:fill="auto"/>
            <w:vAlign w:val="bottom"/>
          </w:tcPr>
          <w:p w14:paraId="5F2CCB64" w14:textId="77777777" w:rsidR="00E836FB" w:rsidRDefault="00E836FB">
            <w:pPr>
              <w:rPr>
                <w:rFonts w:ascii="宋体"/>
                <w:vanish/>
              </w:rPr>
            </w:pPr>
          </w:p>
        </w:tc>
        <w:tc>
          <w:tcPr>
            <w:tcW w:w="0" w:type="auto"/>
            <w:gridSpan w:val="3"/>
            <w:shd w:val="clear" w:color="auto" w:fill="auto"/>
            <w:vAlign w:val="bottom"/>
          </w:tcPr>
          <w:p w14:paraId="5F2CCB65" w14:textId="77777777" w:rsidR="00E836FB" w:rsidRDefault="00E836FB">
            <w:pPr>
              <w:rPr>
                <w:rFonts w:ascii="宋体"/>
                <w:vanish/>
              </w:rPr>
            </w:pPr>
          </w:p>
        </w:tc>
      </w:tr>
      <w:tr w:rsidR="00E836FB" w14:paraId="5F2CCB83" w14:textId="77777777">
        <w:tc>
          <w:tcPr>
            <w:tcW w:w="0" w:type="auto"/>
            <w:gridSpan w:val="3"/>
            <w:shd w:val="clear" w:color="auto" w:fill="CCEEFF"/>
            <w:tcMar>
              <w:top w:w="40" w:type="dxa"/>
              <w:left w:w="20" w:type="dxa"/>
              <w:bottom w:w="40" w:type="dxa"/>
              <w:right w:w="20" w:type="dxa"/>
            </w:tcMar>
            <w:vAlign w:val="bottom"/>
          </w:tcPr>
          <w:p w14:paraId="5F2CCB67"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B68"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B69" w14:textId="77777777" w:rsidR="00E836FB" w:rsidRDefault="00994958">
            <w:pPr>
              <w:jc w:val="right"/>
              <w:textAlignment w:val="bottom"/>
            </w:pPr>
            <w:r>
              <w:rPr>
                <w:rFonts w:ascii="Arial" w:eastAsia="宋体" w:hAnsi="Arial" w:cs="Arial"/>
                <w:b/>
                <w:bCs/>
                <w:color w:val="000000"/>
                <w:sz w:val="15"/>
                <w:szCs w:val="15"/>
              </w:rPr>
              <w:t>3,071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B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B6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6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6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B6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B6F" w14:textId="77777777" w:rsidR="00E836FB" w:rsidRDefault="00994958">
            <w:pPr>
              <w:jc w:val="right"/>
              <w:textAlignment w:val="bottom"/>
            </w:pPr>
            <w:r>
              <w:rPr>
                <w:rFonts w:ascii="Arial" w:eastAsia="宋体" w:hAnsi="Arial" w:cs="Arial"/>
                <w:b/>
                <w:bCs/>
                <w:color w:val="000000"/>
                <w:sz w:val="15"/>
                <w:szCs w:val="15"/>
              </w:rPr>
              <w:t>1,806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B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B7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7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73"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B74"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B75" w14:textId="77777777" w:rsidR="00E836FB" w:rsidRDefault="00994958">
            <w:pPr>
              <w:jc w:val="right"/>
              <w:textAlignment w:val="bottom"/>
            </w:pPr>
            <w:r>
              <w:rPr>
                <w:rFonts w:ascii="Arial" w:eastAsia="宋体" w:hAnsi="Arial" w:cs="Arial"/>
                <w:b/>
                <w:bCs/>
                <w:color w:val="000000"/>
                <w:sz w:val="15"/>
                <w:szCs w:val="15"/>
              </w:rPr>
              <w:t>5,624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B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B7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7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7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B7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B7B" w14:textId="77777777" w:rsidR="00E836FB" w:rsidRDefault="00994958">
            <w:pPr>
              <w:jc w:val="right"/>
              <w:textAlignment w:val="bottom"/>
            </w:pPr>
            <w:r>
              <w:rPr>
                <w:rFonts w:ascii="Arial" w:eastAsia="宋体" w:hAnsi="Arial" w:cs="Arial"/>
                <w:b/>
                <w:bCs/>
                <w:color w:val="000000"/>
                <w:sz w:val="15"/>
                <w:szCs w:val="15"/>
              </w:rPr>
              <w:t>31,929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B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B7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7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B7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B8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B81" w14:textId="77777777" w:rsidR="00E836FB" w:rsidRDefault="00994958">
            <w:pPr>
              <w:jc w:val="right"/>
              <w:textAlignment w:val="bottom"/>
            </w:pPr>
            <w:r>
              <w:rPr>
                <w:rFonts w:ascii="Arial" w:eastAsia="宋体" w:hAnsi="Arial" w:cs="Arial"/>
                <w:b/>
                <w:bCs/>
                <w:color w:val="000000"/>
                <w:sz w:val="15"/>
                <w:szCs w:val="15"/>
              </w:rPr>
              <w:t>42,430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B82" w14:textId="77777777" w:rsidR="00E836FB" w:rsidRDefault="00E836FB">
            <w:pPr>
              <w:jc w:val="right"/>
              <w:rPr>
                <w:rFonts w:ascii="宋体"/>
              </w:rPr>
            </w:pPr>
          </w:p>
        </w:tc>
      </w:tr>
      <w:tr w:rsidR="00E836FB" w14:paraId="5F2CCB96" w14:textId="77777777">
        <w:trPr>
          <w:hidden/>
        </w:trPr>
        <w:tc>
          <w:tcPr>
            <w:tcW w:w="0" w:type="auto"/>
            <w:gridSpan w:val="3"/>
            <w:shd w:val="clear" w:color="auto" w:fill="auto"/>
            <w:vAlign w:val="bottom"/>
          </w:tcPr>
          <w:p w14:paraId="5F2CCB84" w14:textId="77777777" w:rsidR="00E836FB" w:rsidRDefault="00E836FB">
            <w:pPr>
              <w:rPr>
                <w:rFonts w:ascii="宋体"/>
                <w:vanish/>
              </w:rPr>
            </w:pPr>
          </w:p>
        </w:tc>
        <w:tc>
          <w:tcPr>
            <w:tcW w:w="0" w:type="auto"/>
            <w:gridSpan w:val="3"/>
            <w:shd w:val="clear" w:color="auto" w:fill="auto"/>
            <w:vAlign w:val="bottom"/>
          </w:tcPr>
          <w:p w14:paraId="5F2CCB85" w14:textId="77777777" w:rsidR="00E836FB" w:rsidRDefault="00E836FB">
            <w:pPr>
              <w:rPr>
                <w:rFonts w:ascii="宋体"/>
                <w:vanish/>
              </w:rPr>
            </w:pPr>
          </w:p>
        </w:tc>
        <w:tc>
          <w:tcPr>
            <w:tcW w:w="0" w:type="auto"/>
            <w:gridSpan w:val="3"/>
            <w:shd w:val="clear" w:color="auto" w:fill="auto"/>
            <w:vAlign w:val="bottom"/>
          </w:tcPr>
          <w:p w14:paraId="5F2CCB86" w14:textId="77777777" w:rsidR="00E836FB" w:rsidRDefault="00E836FB">
            <w:pPr>
              <w:rPr>
                <w:rFonts w:ascii="宋体"/>
                <w:vanish/>
              </w:rPr>
            </w:pPr>
          </w:p>
        </w:tc>
        <w:tc>
          <w:tcPr>
            <w:tcW w:w="0" w:type="auto"/>
            <w:gridSpan w:val="3"/>
            <w:shd w:val="clear" w:color="auto" w:fill="auto"/>
            <w:vAlign w:val="bottom"/>
          </w:tcPr>
          <w:p w14:paraId="5F2CCB87" w14:textId="77777777" w:rsidR="00E836FB" w:rsidRDefault="00E836FB">
            <w:pPr>
              <w:rPr>
                <w:rFonts w:ascii="宋体"/>
                <w:vanish/>
              </w:rPr>
            </w:pPr>
          </w:p>
        </w:tc>
        <w:tc>
          <w:tcPr>
            <w:tcW w:w="0" w:type="auto"/>
            <w:gridSpan w:val="3"/>
            <w:shd w:val="clear" w:color="auto" w:fill="auto"/>
            <w:vAlign w:val="bottom"/>
          </w:tcPr>
          <w:p w14:paraId="5F2CCB88" w14:textId="77777777" w:rsidR="00E836FB" w:rsidRDefault="00E836FB">
            <w:pPr>
              <w:rPr>
                <w:rFonts w:ascii="宋体"/>
                <w:vanish/>
              </w:rPr>
            </w:pPr>
          </w:p>
        </w:tc>
        <w:tc>
          <w:tcPr>
            <w:tcW w:w="0" w:type="auto"/>
            <w:gridSpan w:val="3"/>
            <w:shd w:val="clear" w:color="auto" w:fill="auto"/>
            <w:vAlign w:val="bottom"/>
          </w:tcPr>
          <w:p w14:paraId="5F2CCB89" w14:textId="77777777" w:rsidR="00E836FB" w:rsidRDefault="00E836FB">
            <w:pPr>
              <w:rPr>
                <w:rFonts w:ascii="宋体"/>
                <w:vanish/>
              </w:rPr>
            </w:pPr>
          </w:p>
        </w:tc>
        <w:tc>
          <w:tcPr>
            <w:tcW w:w="0" w:type="auto"/>
            <w:gridSpan w:val="3"/>
            <w:shd w:val="clear" w:color="auto" w:fill="auto"/>
            <w:vAlign w:val="bottom"/>
          </w:tcPr>
          <w:p w14:paraId="5F2CCB8A" w14:textId="77777777" w:rsidR="00E836FB" w:rsidRDefault="00E836FB">
            <w:pPr>
              <w:rPr>
                <w:rFonts w:ascii="宋体"/>
                <w:vanish/>
              </w:rPr>
            </w:pPr>
          </w:p>
        </w:tc>
        <w:tc>
          <w:tcPr>
            <w:tcW w:w="0" w:type="auto"/>
            <w:gridSpan w:val="3"/>
            <w:shd w:val="clear" w:color="auto" w:fill="auto"/>
            <w:vAlign w:val="bottom"/>
          </w:tcPr>
          <w:p w14:paraId="5F2CCB8B" w14:textId="77777777" w:rsidR="00E836FB" w:rsidRDefault="00E836FB">
            <w:pPr>
              <w:rPr>
                <w:rFonts w:ascii="宋体"/>
                <w:vanish/>
              </w:rPr>
            </w:pPr>
          </w:p>
        </w:tc>
        <w:tc>
          <w:tcPr>
            <w:tcW w:w="0" w:type="auto"/>
            <w:gridSpan w:val="3"/>
            <w:shd w:val="clear" w:color="auto" w:fill="auto"/>
            <w:vAlign w:val="bottom"/>
          </w:tcPr>
          <w:p w14:paraId="5F2CCB8C" w14:textId="77777777" w:rsidR="00E836FB" w:rsidRDefault="00E836FB">
            <w:pPr>
              <w:rPr>
                <w:rFonts w:ascii="宋体"/>
                <w:vanish/>
              </w:rPr>
            </w:pPr>
          </w:p>
        </w:tc>
        <w:tc>
          <w:tcPr>
            <w:tcW w:w="0" w:type="auto"/>
            <w:gridSpan w:val="3"/>
            <w:shd w:val="clear" w:color="auto" w:fill="auto"/>
            <w:vAlign w:val="bottom"/>
          </w:tcPr>
          <w:p w14:paraId="5F2CCB8D" w14:textId="77777777" w:rsidR="00E836FB" w:rsidRDefault="00E836FB">
            <w:pPr>
              <w:rPr>
                <w:rFonts w:ascii="宋体"/>
                <w:vanish/>
              </w:rPr>
            </w:pPr>
          </w:p>
        </w:tc>
        <w:tc>
          <w:tcPr>
            <w:tcW w:w="0" w:type="auto"/>
            <w:gridSpan w:val="3"/>
            <w:shd w:val="clear" w:color="auto" w:fill="auto"/>
            <w:vAlign w:val="bottom"/>
          </w:tcPr>
          <w:p w14:paraId="5F2CCB8E" w14:textId="77777777" w:rsidR="00E836FB" w:rsidRDefault="00E836FB">
            <w:pPr>
              <w:rPr>
                <w:rFonts w:ascii="宋体"/>
                <w:vanish/>
              </w:rPr>
            </w:pPr>
          </w:p>
        </w:tc>
        <w:tc>
          <w:tcPr>
            <w:tcW w:w="0" w:type="auto"/>
            <w:gridSpan w:val="3"/>
            <w:shd w:val="clear" w:color="auto" w:fill="auto"/>
            <w:vAlign w:val="bottom"/>
          </w:tcPr>
          <w:p w14:paraId="5F2CCB8F" w14:textId="77777777" w:rsidR="00E836FB" w:rsidRDefault="00E836FB">
            <w:pPr>
              <w:rPr>
                <w:rFonts w:ascii="宋体"/>
                <w:vanish/>
              </w:rPr>
            </w:pPr>
          </w:p>
        </w:tc>
        <w:tc>
          <w:tcPr>
            <w:tcW w:w="0" w:type="auto"/>
            <w:gridSpan w:val="3"/>
            <w:shd w:val="clear" w:color="auto" w:fill="auto"/>
            <w:vAlign w:val="bottom"/>
          </w:tcPr>
          <w:p w14:paraId="5F2CCB90" w14:textId="77777777" w:rsidR="00E836FB" w:rsidRDefault="00E836FB">
            <w:pPr>
              <w:rPr>
                <w:rFonts w:ascii="宋体"/>
                <w:vanish/>
              </w:rPr>
            </w:pPr>
          </w:p>
        </w:tc>
        <w:tc>
          <w:tcPr>
            <w:tcW w:w="0" w:type="auto"/>
            <w:gridSpan w:val="3"/>
            <w:shd w:val="clear" w:color="auto" w:fill="auto"/>
            <w:vAlign w:val="bottom"/>
          </w:tcPr>
          <w:p w14:paraId="5F2CCB91" w14:textId="77777777" w:rsidR="00E836FB" w:rsidRDefault="00E836FB">
            <w:pPr>
              <w:rPr>
                <w:rFonts w:ascii="宋体"/>
                <w:vanish/>
              </w:rPr>
            </w:pPr>
          </w:p>
        </w:tc>
        <w:tc>
          <w:tcPr>
            <w:tcW w:w="0" w:type="auto"/>
            <w:gridSpan w:val="3"/>
            <w:shd w:val="clear" w:color="auto" w:fill="auto"/>
            <w:vAlign w:val="bottom"/>
          </w:tcPr>
          <w:p w14:paraId="5F2CCB92" w14:textId="77777777" w:rsidR="00E836FB" w:rsidRDefault="00E836FB">
            <w:pPr>
              <w:rPr>
                <w:rFonts w:ascii="宋体"/>
                <w:vanish/>
              </w:rPr>
            </w:pPr>
          </w:p>
        </w:tc>
        <w:tc>
          <w:tcPr>
            <w:tcW w:w="0" w:type="auto"/>
            <w:gridSpan w:val="3"/>
            <w:shd w:val="clear" w:color="auto" w:fill="auto"/>
            <w:vAlign w:val="bottom"/>
          </w:tcPr>
          <w:p w14:paraId="5F2CCB93" w14:textId="77777777" w:rsidR="00E836FB" w:rsidRDefault="00E836FB">
            <w:pPr>
              <w:rPr>
                <w:rFonts w:ascii="宋体"/>
                <w:vanish/>
              </w:rPr>
            </w:pPr>
          </w:p>
        </w:tc>
        <w:tc>
          <w:tcPr>
            <w:tcW w:w="0" w:type="auto"/>
            <w:gridSpan w:val="3"/>
            <w:shd w:val="clear" w:color="auto" w:fill="auto"/>
            <w:vAlign w:val="bottom"/>
          </w:tcPr>
          <w:p w14:paraId="5F2CCB94" w14:textId="77777777" w:rsidR="00E836FB" w:rsidRDefault="00E836FB">
            <w:pPr>
              <w:rPr>
                <w:rFonts w:ascii="宋体"/>
                <w:vanish/>
              </w:rPr>
            </w:pPr>
          </w:p>
        </w:tc>
        <w:tc>
          <w:tcPr>
            <w:tcW w:w="0" w:type="auto"/>
            <w:gridSpan w:val="3"/>
            <w:shd w:val="clear" w:color="auto" w:fill="auto"/>
            <w:vAlign w:val="bottom"/>
          </w:tcPr>
          <w:p w14:paraId="5F2CCB95" w14:textId="77777777" w:rsidR="00E836FB" w:rsidRDefault="00E836FB">
            <w:pPr>
              <w:rPr>
                <w:rFonts w:ascii="宋体"/>
                <w:vanish/>
              </w:rPr>
            </w:pPr>
          </w:p>
        </w:tc>
      </w:tr>
      <w:tr w:rsidR="00E836FB" w14:paraId="5F2CCBA9" w14:textId="77777777">
        <w:trPr>
          <w:hidden/>
        </w:trPr>
        <w:tc>
          <w:tcPr>
            <w:tcW w:w="0" w:type="auto"/>
            <w:gridSpan w:val="3"/>
            <w:shd w:val="clear" w:color="auto" w:fill="auto"/>
            <w:vAlign w:val="bottom"/>
          </w:tcPr>
          <w:p w14:paraId="5F2CCB97" w14:textId="77777777" w:rsidR="00E836FB" w:rsidRDefault="00E836FB">
            <w:pPr>
              <w:rPr>
                <w:rFonts w:ascii="宋体"/>
                <w:vanish/>
              </w:rPr>
            </w:pPr>
          </w:p>
        </w:tc>
        <w:tc>
          <w:tcPr>
            <w:tcW w:w="0" w:type="auto"/>
            <w:gridSpan w:val="3"/>
            <w:shd w:val="clear" w:color="auto" w:fill="auto"/>
            <w:vAlign w:val="bottom"/>
          </w:tcPr>
          <w:p w14:paraId="5F2CCB98" w14:textId="77777777" w:rsidR="00E836FB" w:rsidRDefault="00E836FB">
            <w:pPr>
              <w:rPr>
                <w:rFonts w:ascii="宋体"/>
                <w:vanish/>
              </w:rPr>
            </w:pPr>
          </w:p>
        </w:tc>
        <w:tc>
          <w:tcPr>
            <w:tcW w:w="0" w:type="auto"/>
            <w:gridSpan w:val="3"/>
            <w:shd w:val="clear" w:color="auto" w:fill="auto"/>
            <w:vAlign w:val="bottom"/>
          </w:tcPr>
          <w:p w14:paraId="5F2CCB99" w14:textId="77777777" w:rsidR="00E836FB" w:rsidRDefault="00E836FB">
            <w:pPr>
              <w:rPr>
                <w:rFonts w:ascii="宋体"/>
                <w:vanish/>
              </w:rPr>
            </w:pPr>
          </w:p>
        </w:tc>
        <w:tc>
          <w:tcPr>
            <w:tcW w:w="0" w:type="auto"/>
            <w:gridSpan w:val="3"/>
            <w:shd w:val="clear" w:color="auto" w:fill="auto"/>
            <w:vAlign w:val="bottom"/>
          </w:tcPr>
          <w:p w14:paraId="5F2CCB9A" w14:textId="77777777" w:rsidR="00E836FB" w:rsidRDefault="00E836FB">
            <w:pPr>
              <w:rPr>
                <w:rFonts w:ascii="宋体"/>
                <w:vanish/>
              </w:rPr>
            </w:pPr>
          </w:p>
        </w:tc>
        <w:tc>
          <w:tcPr>
            <w:tcW w:w="0" w:type="auto"/>
            <w:gridSpan w:val="3"/>
            <w:shd w:val="clear" w:color="auto" w:fill="auto"/>
            <w:vAlign w:val="bottom"/>
          </w:tcPr>
          <w:p w14:paraId="5F2CCB9B" w14:textId="77777777" w:rsidR="00E836FB" w:rsidRDefault="00E836FB">
            <w:pPr>
              <w:rPr>
                <w:rFonts w:ascii="宋体"/>
                <w:vanish/>
              </w:rPr>
            </w:pPr>
          </w:p>
        </w:tc>
        <w:tc>
          <w:tcPr>
            <w:tcW w:w="0" w:type="auto"/>
            <w:gridSpan w:val="3"/>
            <w:shd w:val="clear" w:color="auto" w:fill="auto"/>
            <w:vAlign w:val="bottom"/>
          </w:tcPr>
          <w:p w14:paraId="5F2CCB9C" w14:textId="77777777" w:rsidR="00E836FB" w:rsidRDefault="00E836FB">
            <w:pPr>
              <w:rPr>
                <w:rFonts w:ascii="宋体"/>
                <w:vanish/>
              </w:rPr>
            </w:pPr>
          </w:p>
        </w:tc>
        <w:tc>
          <w:tcPr>
            <w:tcW w:w="0" w:type="auto"/>
            <w:gridSpan w:val="3"/>
            <w:shd w:val="clear" w:color="auto" w:fill="auto"/>
            <w:vAlign w:val="bottom"/>
          </w:tcPr>
          <w:p w14:paraId="5F2CCB9D" w14:textId="77777777" w:rsidR="00E836FB" w:rsidRDefault="00E836FB">
            <w:pPr>
              <w:rPr>
                <w:rFonts w:ascii="宋体"/>
                <w:vanish/>
              </w:rPr>
            </w:pPr>
          </w:p>
        </w:tc>
        <w:tc>
          <w:tcPr>
            <w:tcW w:w="0" w:type="auto"/>
            <w:gridSpan w:val="3"/>
            <w:shd w:val="clear" w:color="auto" w:fill="auto"/>
            <w:vAlign w:val="bottom"/>
          </w:tcPr>
          <w:p w14:paraId="5F2CCB9E" w14:textId="77777777" w:rsidR="00E836FB" w:rsidRDefault="00E836FB">
            <w:pPr>
              <w:rPr>
                <w:rFonts w:ascii="宋体"/>
                <w:vanish/>
              </w:rPr>
            </w:pPr>
          </w:p>
        </w:tc>
        <w:tc>
          <w:tcPr>
            <w:tcW w:w="0" w:type="auto"/>
            <w:gridSpan w:val="3"/>
            <w:shd w:val="clear" w:color="auto" w:fill="auto"/>
            <w:vAlign w:val="bottom"/>
          </w:tcPr>
          <w:p w14:paraId="5F2CCB9F" w14:textId="77777777" w:rsidR="00E836FB" w:rsidRDefault="00E836FB">
            <w:pPr>
              <w:rPr>
                <w:rFonts w:ascii="宋体"/>
                <w:vanish/>
              </w:rPr>
            </w:pPr>
          </w:p>
        </w:tc>
        <w:tc>
          <w:tcPr>
            <w:tcW w:w="0" w:type="auto"/>
            <w:gridSpan w:val="3"/>
            <w:shd w:val="clear" w:color="auto" w:fill="auto"/>
            <w:vAlign w:val="bottom"/>
          </w:tcPr>
          <w:p w14:paraId="5F2CCBA0" w14:textId="77777777" w:rsidR="00E836FB" w:rsidRDefault="00E836FB">
            <w:pPr>
              <w:rPr>
                <w:rFonts w:ascii="宋体"/>
                <w:vanish/>
              </w:rPr>
            </w:pPr>
          </w:p>
        </w:tc>
        <w:tc>
          <w:tcPr>
            <w:tcW w:w="0" w:type="auto"/>
            <w:gridSpan w:val="3"/>
            <w:shd w:val="clear" w:color="auto" w:fill="auto"/>
            <w:vAlign w:val="bottom"/>
          </w:tcPr>
          <w:p w14:paraId="5F2CCBA1" w14:textId="77777777" w:rsidR="00E836FB" w:rsidRDefault="00E836FB">
            <w:pPr>
              <w:rPr>
                <w:rFonts w:ascii="宋体"/>
                <w:vanish/>
              </w:rPr>
            </w:pPr>
          </w:p>
        </w:tc>
        <w:tc>
          <w:tcPr>
            <w:tcW w:w="0" w:type="auto"/>
            <w:gridSpan w:val="3"/>
            <w:shd w:val="clear" w:color="auto" w:fill="auto"/>
            <w:vAlign w:val="bottom"/>
          </w:tcPr>
          <w:p w14:paraId="5F2CCBA2" w14:textId="77777777" w:rsidR="00E836FB" w:rsidRDefault="00E836FB">
            <w:pPr>
              <w:rPr>
                <w:rFonts w:ascii="宋体"/>
                <w:vanish/>
              </w:rPr>
            </w:pPr>
          </w:p>
        </w:tc>
        <w:tc>
          <w:tcPr>
            <w:tcW w:w="0" w:type="auto"/>
            <w:gridSpan w:val="3"/>
            <w:shd w:val="clear" w:color="auto" w:fill="auto"/>
            <w:vAlign w:val="bottom"/>
          </w:tcPr>
          <w:p w14:paraId="5F2CCBA3" w14:textId="77777777" w:rsidR="00E836FB" w:rsidRDefault="00E836FB">
            <w:pPr>
              <w:rPr>
                <w:rFonts w:ascii="宋体"/>
                <w:vanish/>
              </w:rPr>
            </w:pPr>
          </w:p>
        </w:tc>
        <w:tc>
          <w:tcPr>
            <w:tcW w:w="0" w:type="auto"/>
            <w:gridSpan w:val="3"/>
            <w:shd w:val="clear" w:color="auto" w:fill="auto"/>
            <w:vAlign w:val="bottom"/>
          </w:tcPr>
          <w:p w14:paraId="5F2CCBA4" w14:textId="77777777" w:rsidR="00E836FB" w:rsidRDefault="00E836FB">
            <w:pPr>
              <w:rPr>
                <w:rFonts w:ascii="宋体"/>
                <w:vanish/>
              </w:rPr>
            </w:pPr>
          </w:p>
        </w:tc>
        <w:tc>
          <w:tcPr>
            <w:tcW w:w="0" w:type="auto"/>
            <w:gridSpan w:val="3"/>
            <w:shd w:val="clear" w:color="auto" w:fill="auto"/>
            <w:vAlign w:val="bottom"/>
          </w:tcPr>
          <w:p w14:paraId="5F2CCBA5" w14:textId="77777777" w:rsidR="00E836FB" w:rsidRDefault="00E836FB">
            <w:pPr>
              <w:rPr>
                <w:rFonts w:ascii="宋体"/>
                <w:vanish/>
              </w:rPr>
            </w:pPr>
          </w:p>
        </w:tc>
        <w:tc>
          <w:tcPr>
            <w:tcW w:w="0" w:type="auto"/>
            <w:gridSpan w:val="3"/>
            <w:shd w:val="clear" w:color="auto" w:fill="auto"/>
            <w:vAlign w:val="bottom"/>
          </w:tcPr>
          <w:p w14:paraId="5F2CCBA6" w14:textId="77777777" w:rsidR="00E836FB" w:rsidRDefault="00E836FB">
            <w:pPr>
              <w:rPr>
                <w:rFonts w:ascii="宋体"/>
                <w:vanish/>
              </w:rPr>
            </w:pPr>
          </w:p>
        </w:tc>
        <w:tc>
          <w:tcPr>
            <w:tcW w:w="0" w:type="auto"/>
            <w:gridSpan w:val="3"/>
            <w:shd w:val="clear" w:color="auto" w:fill="auto"/>
            <w:vAlign w:val="bottom"/>
          </w:tcPr>
          <w:p w14:paraId="5F2CCBA7" w14:textId="77777777" w:rsidR="00E836FB" w:rsidRDefault="00E836FB">
            <w:pPr>
              <w:rPr>
                <w:rFonts w:ascii="宋体"/>
                <w:vanish/>
              </w:rPr>
            </w:pPr>
          </w:p>
        </w:tc>
        <w:tc>
          <w:tcPr>
            <w:tcW w:w="0" w:type="auto"/>
            <w:gridSpan w:val="3"/>
            <w:shd w:val="clear" w:color="auto" w:fill="auto"/>
            <w:vAlign w:val="bottom"/>
          </w:tcPr>
          <w:p w14:paraId="5F2CCBA8" w14:textId="77777777" w:rsidR="00E836FB" w:rsidRDefault="00E836FB">
            <w:pPr>
              <w:rPr>
                <w:rFonts w:ascii="宋体"/>
                <w:vanish/>
              </w:rPr>
            </w:pPr>
          </w:p>
        </w:tc>
      </w:tr>
    </w:tbl>
    <w:p w14:paraId="5F2CCBAA" w14:textId="77777777" w:rsidR="00E836FB" w:rsidRDefault="00E836FB">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3076"/>
        <w:gridCol w:w="36"/>
        <w:gridCol w:w="36"/>
        <w:gridCol w:w="7040"/>
        <w:gridCol w:w="36"/>
      </w:tblGrid>
      <w:tr w:rsidR="00E836FB" w14:paraId="5F2CCBB1" w14:textId="77777777">
        <w:tc>
          <w:tcPr>
            <w:tcW w:w="20" w:type="dxa"/>
            <w:shd w:val="clear" w:color="auto" w:fill="auto"/>
            <w:vAlign w:val="bottom"/>
          </w:tcPr>
          <w:p w14:paraId="5F2CCBAB" w14:textId="77777777" w:rsidR="00E836FB" w:rsidRDefault="00E836FB">
            <w:pPr>
              <w:rPr>
                <w:rFonts w:ascii="宋体"/>
              </w:rPr>
            </w:pPr>
          </w:p>
        </w:tc>
        <w:tc>
          <w:tcPr>
            <w:tcW w:w="3095" w:type="dxa"/>
            <w:shd w:val="clear" w:color="auto" w:fill="auto"/>
            <w:vAlign w:val="bottom"/>
          </w:tcPr>
          <w:p w14:paraId="5F2CCBAC" w14:textId="77777777" w:rsidR="00E836FB" w:rsidRDefault="00E836FB">
            <w:pPr>
              <w:rPr>
                <w:rFonts w:ascii="宋体"/>
              </w:rPr>
            </w:pPr>
          </w:p>
        </w:tc>
        <w:tc>
          <w:tcPr>
            <w:tcW w:w="20" w:type="dxa"/>
            <w:shd w:val="clear" w:color="auto" w:fill="auto"/>
            <w:vAlign w:val="bottom"/>
          </w:tcPr>
          <w:p w14:paraId="5F2CCBAD" w14:textId="77777777" w:rsidR="00E836FB" w:rsidRDefault="00E836FB">
            <w:pPr>
              <w:rPr>
                <w:rFonts w:ascii="宋体"/>
              </w:rPr>
            </w:pPr>
          </w:p>
        </w:tc>
        <w:tc>
          <w:tcPr>
            <w:tcW w:w="20" w:type="dxa"/>
            <w:shd w:val="clear" w:color="auto" w:fill="auto"/>
            <w:vAlign w:val="bottom"/>
          </w:tcPr>
          <w:p w14:paraId="5F2CCBAE" w14:textId="77777777" w:rsidR="00E836FB" w:rsidRDefault="00E836FB">
            <w:pPr>
              <w:rPr>
                <w:rFonts w:ascii="宋体"/>
              </w:rPr>
            </w:pPr>
          </w:p>
        </w:tc>
        <w:tc>
          <w:tcPr>
            <w:tcW w:w="7085" w:type="dxa"/>
            <w:shd w:val="clear" w:color="auto" w:fill="auto"/>
            <w:vAlign w:val="bottom"/>
          </w:tcPr>
          <w:p w14:paraId="5F2CCBAF" w14:textId="77777777" w:rsidR="00E836FB" w:rsidRDefault="00E836FB">
            <w:pPr>
              <w:rPr>
                <w:rFonts w:ascii="宋体"/>
              </w:rPr>
            </w:pPr>
          </w:p>
        </w:tc>
        <w:tc>
          <w:tcPr>
            <w:tcW w:w="20" w:type="dxa"/>
            <w:shd w:val="clear" w:color="auto" w:fill="auto"/>
            <w:vAlign w:val="bottom"/>
          </w:tcPr>
          <w:p w14:paraId="5F2CCBB0" w14:textId="77777777" w:rsidR="00E836FB" w:rsidRDefault="00E836FB">
            <w:pPr>
              <w:rPr>
                <w:rFonts w:ascii="宋体"/>
              </w:rPr>
            </w:pPr>
          </w:p>
        </w:tc>
      </w:tr>
      <w:tr w:rsidR="00E836FB" w14:paraId="5F2CCBB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BB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BB3" w14:textId="77777777" w:rsidR="00E836FB" w:rsidRDefault="00E836FB">
            <w:pPr>
              <w:rPr>
                <w:rFonts w:ascii="宋体"/>
              </w:rPr>
            </w:pPr>
          </w:p>
        </w:tc>
      </w:tr>
    </w:tbl>
    <w:p w14:paraId="5F2CCBB5" w14:textId="77777777" w:rsidR="00E836FB" w:rsidRDefault="00994958">
      <w:pPr>
        <w:jc w:val="both"/>
      </w:pPr>
      <w:r>
        <w:rPr>
          <w:rFonts w:ascii="Arial" w:eastAsia="宋体" w:hAnsi="Arial" w:cs="Arial"/>
          <w:color w:val="000000"/>
          <w:sz w:val="9"/>
          <w:szCs w:val="9"/>
        </w:rPr>
        <w:t>(1)</w:t>
      </w:r>
      <w:r>
        <w:rPr>
          <w:rFonts w:ascii="Arial" w:eastAsia="宋体" w:hAnsi="Arial" w:cs="Arial"/>
          <w:color w:val="000000"/>
          <w:sz w:val="14"/>
          <w:szCs w:val="14"/>
        </w:rPr>
        <w:t xml:space="preserve"> The maturities of MBS, ABS and CMOs are based on expected principal payments.</w:t>
      </w:r>
    </w:p>
    <w:p w14:paraId="5F2CCBB6" w14:textId="77777777" w:rsidR="00E836FB" w:rsidRDefault="00994958">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Yields were calculated on a FTE basis, using applicable statutory tax </w:t>
      </w:r>
      <w:r>
        <w:rPr>
          <w:rFonts w:ascii="Arial" w:eastAsia="宋体" w:hAnsi="Arial" w:cs="Arial"/>
          <w:color w:val="000000"/>
          <w:sz w:val="14"/>
          <w:szCs w:val="14"/>
        </w:rPr>
        <w:t>rates (21.0% as of December 31, 2021).</w:t>
      </w:r>
    </w:p>
    <w:p w14:paraId="5F2CCBB7" w14:textId="77777777" w:rsidR="00E836FB" w:rsidRDefault="00994958">
      <w:pPr>
        <w:ind w:firstLine="450"/>
        <w:jc w:val="right"/>
      </w:pPr>
      <w:r>
        <w:rPr>
          <w:rFonts w:ascii="Arial" w:eastAsia="宋体" w:hAnsi="Arial" w:cs="Arial"/>
          <w:color w:val="000000"/>
          <w:sz w:val="18"/>
          <w:szCs w:val="18"/>
        </w:rPr>
        <w:t>State Street Corporation | 80</w:t>
      </w:r>
    </w:p>
    <w:p w14:paraId="5F2CCBB8" w14:textId="77777777" w:rsidR="00E836FB" w:rsidRDefault="00E836FB">
      <w:pPr>
        <w:ind w:firstLine="450"/>
        <w:jc w:val="center"/>
      </w:pPr>
    </w:p>
    <w:p w14:paraId="5F2CCBB9" w14:textId="77777777" w:rsidR="00E836FB" w:rsidRDefault="00994958">
      <w:r>
        <w:pict w14:anchorId="5F2D6DD5">
          <v:rect id="_x0000_i1104" style="width:415.3pt;height:1.5pt" o:hralign="center" o:hrstd="t" o:hr="t" fillcolor="#a0a0a0" stroked="f"/>
        </w:pict>
      </w:r>
    </w:p>
    <w:p w14:paraId="5F2CCBBA"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CBBB" w14:textId="77777777" w:rsidR="00E836FB" w:rsidRDefault="00994958">
      <w:pPr>
        <w:ind w:firstLine="450"/>
        <w:jc w:val="center"/>
      </w:pPr>
      <w:r>
        <w:rPr>
          <w:rFonts w:ascii="Arial" w:eastAsia="宋体" w:hAnsi="Arial" w:cs="Arial"/>
          <w:b/>
          <w:bCs/>
          <w:color w:val="000000"/>
          <w:sz w:val="20"/>
          <w:szCs w:val="20"/>
        </w:rPr>
        <w:t>AND RESULTS OF OPERATIONS</w:t>
      </w:r>
    </w:p>
    <w:p w14:paraId="5F2CCBBC" w14:textId="77777777" w:rsidR="00E836FB" w:rsidRDefault="00994958">
      <w:pPr>
        <w:spacing w:before="90"/>
        <w:textAlignment w:val="top"/>
      </w:pPr>
      <w:r>
        <w:rPr>
          <w:rFonts w:ascii="Arial" w:eastAsia="宋体" w:hAnsi="Arial" w:cs="Arial"/>
          <w:b/>
          <w:bCs/>
          <w:color w:val="000000"/>
          <w:sz w:val="20"/>
          <w:szCs w:val="20"/>
        </w:rPr>
        <w:t>Loans</w:t>
      </w:r>
    </w:p>
    <w:tbl>
      <w:tblPr>
        <w:tblW w:w="4969" w:type="pct"/>
        <w:tblCellMar>
          <w:top w:w="15" w:type="dxa"/>
          <w:left w:w="15" w:type="dxa"/>
          <w:bottom w:w="15" w:type="dxa"/>
          <w:right w:w="15" w:type="dxa"/>
        </w:tblCellMar>
        <w:tblLook w:val="04A0" w:firstRow="1" w:lastRow="0" w:firstColumn="1" w:lastColumn="0" w:noHBand="0" w:noVBand="1"/>
      </w:tblPr>
      <w:tblGrid>
        <w:gridCol w:w="39"/>
        <w:gridCol w:w="3723"/>
        <w:gridCol w:w="38"/>
        <w:gridCol w:w="98"/>
        <w:gridCol w:w="1139"/>
        <w:gridCol w:w="36"/>
        <w:gridCol w:w="36"/>
        <w:gridCol w:w="43"/>
        <w:gridCol w:w="36"/>
        <w:gridCol w:w="98"/>
        <w:gridCol w:w="1140"/>
        <w:gridCol w:w="36"/>
        <w:gridCol w:w="36"/>
        <w:gridCol w:w="43"/>
        <w:gridCol w:w="36"/>
        <w:gridCol w:w="98"/>
        <w:gridCol w:w="1141"/>
        <w:gridCol w:w="36"/>
        <w:gridCol w:w="36"/>
        <w:gridCol w:w="36"/>
        <w:gridCol w:w="36"/>
        <w:gridCol w:w="36"/>
        <w:gridCol w:w="36"/>
        <w:gridCol w:w="36"/>
        <w:gridCol w:w="36"/>
        <w:gridCol w:w="36"/>
        <w:gridCol w:w="36"/>
        <w:gridCol w:w="36"/>
        <w:gridCol w:w="36"/>
        <w:gridCol w:w="36"/>
      </w:tblGrid>
      <w:tr w:rsidR="00E836FB" w14:paraId="5F2CCBD3" w14:textId="77777777">
        <w:tc>
          <w:tcPr>
            <w:tcW w:w="50" w:type="pct"/>
            <w:shd w:val="clear" w:color="auto" w:fill="auto"/>
            <w:vAlign w:val="bottom"/>
          </w:tcPr>
          <w:p w14:paraId="5F2CCBBD" w14:textId="77777777" w:rsidR="00E836FB" w:rsidRDefault="00E836FB">
            <w:pPr>
              <w:rPr>
                <w:rFonts w:ascii="宋体"/>
              </w:rPr>
            </w:pPr>
          </w:p>
        </w:tc>
        <w:tc>
          <w:tcPr>
            <w:tcW w:w="2397" w:type="pct"/>
            <w:shd w:val="clear" w:color="auto" w:fill="auto"/>
            <w:vAlign w:val="bottom"/>
          </w:tcPr>
          <w:p w14:paraId="5F2CCBBE" w14:textId="77777777" w:rsidR="00E836FB" w:rsidRDefault="00E836FB">
            <w:pPr>
              <w:rPr>
                <w:rFonts w:ascii="宋体"/>
              </w:rPr>
            </w:pPr>
          </w:p>
        </w:tc>
        <w:tc>
          <w:tcPr>
            <w:tcW w:w="5" w:type="pct"/>
            <w:shd w:val="clear" w:color="auto" w:fill="auto"/>
            <w:vAlign w:val="bottom"/>
          </w:tcPr>
          <w:p w14:paraId="5F2CCBBF" w14:textId="77777777" w:rsidR="00E836FB" w:rsidRDefault="00E836FB">
            <w:pPr>
              <w:rPr>
                <w:rFonts w:ascii="宋体"/>
              </w:rPr>
            </w:pPr>
          </w:p>
        </w:tc>
        <w:tc>
          <w:tcPr>
            <w:tcW w:w="50" w:type="pct"/>
            <w:shd w:val="clear" w:color="auto" w:fill="auto"/>
            <w:vAlign w:val="bottom"/>
          </w:tcPr>
          <w:p w14:paraId="5F2CCBC0" w14:textId="77777777" w:rsidR="00E836FB" w:rsidRDefault="00E836FB">
            <w:pPr>
              <w:rPr>
                <w:rFonts w:ascii="宋体"/>
              </w:rPr>
            </w:pPr>
          </w:p>
        </w:tc>
        <w:tc>
          <w:tcPr>
            <w:tcW w:w="751" w:type="pct"/>
            <w:shd w:val="clear" w:color="auto" w:fill="auto"/>
            <w:vAlign w:val="bottom"/>
          </w:tcPr>
          <w:p w14:paraId="5F2CCBC1" w14:textId="77777777" w:rsidR="00E836FB" w:rsidRDefault="00E836FB">
            <w:pPr>
              <w:rPr>
                <w:rFonts w:ascii="宋体"/>
              </w:rPr>
            </w:pPr>
          </w:p>
        </w:tc>
        <w:tc>
          <w:tcPr>
            <w:tcW w:w="5" w:type="pct"/>
            <w:shd w:val="clear" w:color="auto" w:fill="auto"/>
            <w:vAlign w:val="bottom"/>
          </w:tcPr>
          <w:p w14:paraId="5F2CCBC2" w14:textId="77777777" w:rsidR="00E836FB" w:rsidRDefault="00E836FB">
            <w:pPr>
              <w:rPr>
                <w:rFonts w:ascii="宋体"/>
              </w:rPr>
            </w:pPr>
          </w:p>
        </w:tc>
        <w:tc>
          <w:tcPr>
            <w:tcW w:w="5" w:type="pct"/>
            <w:shd w:val="clear" w:color="auto" w:fill="auto"/>
            <w:vAlign w:val="bottom"/>
          </w:tcPr>
          <w:p w14:paraId="5F2CCBC3" w14:textId="77777777" w:rsidR="00E836FB" w:rsidRDefault="00E836FB">
            <w:pPr>
              <w:rPr>
                <w:rFonts w:ascii="宋体"/>
              </w:rPr>
            </w:pPr>
          </w:p>
        </w:tc>
        <w:tc>
          <w:tcPr>
            <w:tcW w:w="53" w:type="pct"/>
            <w:shd w:val="clear" w:color="auto" w:fill="auto"/>
            <w:vAlign w:val="bottom"/>
          </w:tcPr>
          <w:p w14:paraId="5F2CCBC4" w14:textId="77777777" w:rsidR="00E836FB" w:rsidRDefault="00E836FB">
            <w:pPr>
              <w:rPr>
                <w:rFonts w:ascii="宋体"/>
              </w:rPr>
            </w:pPr>
          </w:p>
        </w:tc>
        <w:tc>
          <w:tcPr>
            <w:tcW w:w="5" w:type="pct"/>
            <w:shd w:val="clear" w:color="auto" w:fill="auto"/>
            <w:vAlign w:val="bottom"/>
          </w:tcPr>
          <w:p w14:paraId="5F2CCBC5" w14:textId="77777777" w:rsidR="00E836FB" w:rsidRDefault="00E836FB">
            <w:pPr>
              <w:rPr>
                <w:rFonts w:ascii="宋体"/>
              </w:rPr>
            </w:pPr>
          </w:p>
        </w:tc>
        <w:tc>
          <w:tcPr>
            <w:tcW w:w="50" w:type="pct"/>
            <w:shd w:val="clear" w:color="auto" w:fill="auto"/>
            <w:vAlign w:val="bottom"/>
          </w:tcPr>
          <w:p w14:paraId="5F2CCBC6" w14:textId="77777777" w:rsidR="00E836FB" w:rsidRDefault="00E836FB">
            <w:pPr>
              <w:rPr>
                <w:rFonts w:ascii="宋体"/>
              </w:rPr>
            </w:pPr>
          </w:p>
        </w:tc>
        <w:tc>
          <w:tcPr>
            <w:tcW w:w="751" w:type="pct"/>
            <w:shd w:val="clear" w:color="auto" w:fill="auto"/>
            <w:vAlign w:val="bottom"/>
          </w:tcPr>
          <w:p w14:paraId="5F2CCBC7" w14:textId="77777777" w:rsidR="00E836FB" w:rsidRDefault="00E836FB">
            <w:pPr>
              <w:rPr>
                <w:rFonts w:ascii="宋体"/>
              </w:rPr>
            </w:pPr>
          </w:p>
        </w:tc>
        <w:tc>
          <w:tcPr>
            <w:tcW w:w="5" w:type="pct"/>
            <w:shd w:val="clear" w:color="auto" w:fill="auto"/>
            <w:vAlign w:val="bottom"/>
          </w:tcPr>
          <w:p w14:paraId="5F2CCBC8" w14:textId="77777777" w:rsidR="00E836FB" w:rsidRDefault="00E836FB">
            <w:pPr>
              <w:rPr>
                <w:rFonts w:ascii="宋体"/>
              </w:rPr>
            </w:pPr>
          </w:p>
        </w:tc>
        <w:tc>
          <w:tcPr>
            <w:tcW w:w="5" w:type="pct"/>
            <w:shd w:val="clear" w:color="auto" w:fill="auto"/>
            <w:vAlign w:val="bottom"/>
          </w:tcPr>
          <w:p w14:paraId="5F2CCBC9" w14:textId="77777777" w:rsidR="00E836FB" w:rsidRDefault="00E836FB">
            <w:pPr>
              <w:rPr>
                <w:rFonts w:ascii="宋体"/>
              </w:rPr>
            </w:pPr>
          </w:p>
        </w:tc>
        <w:tc>
          <w:tcPr>
            <w:tcW w:w="53" w:type="pct"/>
            <w:shd w:val="clear" w:color="auto" w:fill="auto"/>
            <w:vAlign w:val="bottom"/>
          </w:tcPr>
          <w:p w14:paraId="5F2CCBCA" w14:textId="77777777" w:rsidR="00E836FB" w:rsidRDefault="00E836FB">
            <w:pPr>
              <w:rPr>
                <w:rFonts w:ascii="宋体"/>
              </w:rPr>
            </w:pPr>
          </w:p>
        </w:tc>
        <w:tc>
          <w:tcPr>
            <w:tcW w:w="5" w:type="pct"/>
            <w:shd w:val="clear" w:color="auto" w:fill="auto"/>
            <w:vAlign w:val="bottom"/>
          </w:tcPr>
          <w:p w14:paraId="5F2CCBCB" w14:textId="77777777" w:rsidR="00E836FB" w:rsidRDefault="00E836FB">
            <w:pPr>
              <w:rPr>
                <w:rFonts w:ascii="宋体"/>
              </w:rPr>
            </w:pPr>
          </w:p>
        </w:tc>
        <w:tc>
          <w:tcPr>
            <w:tcW w:w="50" w:type="pct"/>
            <w:shd w:val="clear" w:color="auto" w:fill="auto"/>
            <w:vAlign w:val="bottom"/>
          </w:tcPr>
          <w:p w14:paraId="5F2CCBCC" w14:textId="77777777" w:rsidR="00E836FB" w:rsidRDefault="00E836FB">
            <w:pPr>
              <w:rPr>
                <w:rFonts w:ascii="宋体"/>
              </w:rPr>
            </w:pPr>
          </w:p>
        </w:tc>
        <w:tc>
          <w:tcPr>
            <w:tcW w:w="752" w:type="pct"/>
            <w:shd w:val="clear" w:color="auto" w:fill="auto"/>
            <w:vAlign w:val="bottom"/>
          </w:tcPr>
          <w:p w14:paraId="5F2CCBCD" w14:textId="77777777" w:rsidR="00E836FB" w:rsidRDefault="00E836FB">
            <w:pPr>
              <w:rPr>
                <w:rFonts w:ascii="宋体"/>
              </w:rPr>
            </w:pPr>
          </w:p>
        </w:tc>
        <w:tc>
          <w:tcPr>
            <w:tcW w:w="5" w:type="pct"/>
            <w:shd w:val="clear" w:color="auto" w:fill="auto"/>
            <w:vAlign w:val="bottom"/>
          </w:tcPr>
          <w:p w14:paraId="5F2CCBCE" w14:textId="77777777" w:rsidR="00E836FB" w:rsidRDefault="00E836FB">
            <w:pPr>
              <w:rPr>
                <w:rFonts w:ascii="宋体"/>
              </w:rPr>
            </w:pPr>
          </w:p>
        </w:tc>
        <w:tc>
          <w:tcPr>
            <w:tcW w:w="0" w:type="auto"/>
            <w:gridSpan w:val="3"/>
            <w:shd w:val="clear" w:color="auto" w:fill="auto"/>
            <w:vAlign w:val="bottom"/>
          </w:tcPr>
          <w:p w14:paraId="5F2CCBCF" w14:textId="77777777" w:rsidR="00E836FB" w:rsidRDefault="00E836FB">
            <w:pPr>
              <w:rPr>
                <w:rFonts w:ascii="宋体"/>
                <w:vanish/>
              </w:rPr>
            </w:pPr>
          </w:p>
        </w:tc>
        <w:tc>
          <w:tcPr>
            <w:tcW w:w="0" w:type="auto"/>
            <w:gridSpan w:val="3"/>
            <w:shd w:val="clear" w:color="auto" w:fill="auto"/>
            <w:vAlign w:val="bottom"/>
          </w:tcPr>
          <w:p w14:paraId="5F2CCBD0" w14:textId="77777777" w:rsidR="00E836FB" w:rsidRDefault="00E836FB">
            <w:pPr>
              <w:rPr>
                <w:rFonts w:ascii="宋体"/>
                <w:vanish/>
              </w:rPr>
            </w:pPr>
          </w:p>
        </w:tc>
        <w:tc>
          <w:tcPr>
            <w:tcW w:w="0" w:type="auto"/>
            <w:gridSpan w:val="3"/>
            <w:shd w:val="clear" w:color="auto" w:fill="auto"/>
            <w:vAlign w:val="bottom"/>
          </w:tcPr>
          <w:p w14:paraId="5F2CCBD1" w14:textId="77777777" w:rsidR="00E836FB" w:rsidRDefault="00E836FB">
            <w:pPr>
              <w:rPr>
                <w:rFonts w:ascii="宋体"/>
                <w:vanish/>
              </w:rPr>
            </w:pPr>
          </w:p>
        </w:tc>
        <w:tc>
          <w:tcPr>
            <w:tcW w:w="0" w:type="auto"/>
            <w:gridSpan w:val="3"/>
            <w:shd w:val="clear" w:color="auto" w:fill="auto"/>
            <w:vAlign w:val="bottom"/>
          </w:tcPr>
          <w:p w14:paraId="5F2CCBD2" w14:textId="77777777" w:rsidR="00E836FB" w:rsidRDefault="00E836FB">
            <w:pPr>
              <w:rPr>
                <w:rFonts w:ascii="宋体"/>
                <w:vanish/>
              </w:rPr>
            </w:pPr>
          </w:p>
        </w:tc>
      </w:tr>
      <w:tr w:rsidR="00E836FB" w14:paraId="5F2CCBE1" w14:textId="77777777">
        <w:tc>
          <w:tcPr>
            <w:tcW w:w="0" w:type="auto"/>
            <w:gridSpan w:val="18"/>
            <w:shd w:val="clear" w:color="auto" w:fill="auto"/>
            <w:tcMar>
              <w:top w:w="40" w:type="dxa"/>
              <w:left w:w="20" w:type="dxa"/>
              <w:bottom w:w="40" w:type="dxa"/>
              <w:right w:w="20" w:type="dxa"/>
            </w:tcMar>
            <w:vAlign w:val="bottom"/>
          </w:tcPr>
          <w:p w14:paraId="5F2CCBD4" w14:textId="77777777" w:rsidR="00E836FB" w:rsidRDefault="00994958">
            <w:pPr>
              <w:textAlignment w:val="bottom"/>
            </w:pPr>
            <w:r>
              <w:rPr>
                <w:rFonts w:ascii="Arial" w:eastAsia="宋体" w:hAnsi="Arial" w:cs="Arial"/>
                <w:b/>
                <w:bCs/>
                <w:color w:val="000000"/>
                <w:sz w:val="16"/>
                <w:szCs w:val="16"/>
              </w:rPr>
              <w:t>TABLE 26: U.S. AND NON- U.S. LOANS</w:t>
            </w:r>
          </w:p>
        </w:tc>
        <w:tc>
          <w:tcPr>
            <w:tcW w:w="0" w:type="auto"/>
            <w:shd w:val="clear" w:color="auto" w:fill="auto"/>
            <w:vAlign w:val="bottom"/>
          </w:tcPr>
          <w:p w14:paraId="5F2CCBD5" w14:textId="77777777" w:rsidR="00E836FB" w:rsidRDefault="00E836FB">
            <w:pPr>
              <w:rPr>
                <w:rFonts w:ascii="宋体"/>
              </w:rPr>
            </w:pPr>
          </w:p>
        </w:tc>
        <w:tc>
          <w:tcPr>
            <w:tcW w:w="0" w:type="auto"/>
            <w:shd w:val="clear" w:color="auto" w:fill="auto"/>
            <w:vAlign w:val="bottom"/>
          </w:tcPr>
          <w:p w14:paraId="5F2CCBD6" w14:textId="77777777" w:rsidR="00E836FB" w:rsidRDefault="00E836FB">
            <w:pPr>
              <w:rPr>
                <w:rFonts w:ascii="宋体"/>
              </w:rPr>
            </w:pPr>
          </w:p>
        </w:tc>
        <w:tc>
          <w:tcPr>
            <w:tcW w:w="0" w:type="auto"/>
            <w:shd w:val="clear" w:color="auto" w:fill="auto"/>
            <w:vAlign w:val="bottom"/>
          </w:tcPr>
          <w:p w14:paraId="5F2CCBD7" w14:textId="77777777" w:rsidR="00E836FB" w:rsidRDefault="00E836FB">
            <w:pPr>
              <w:rPr>
                <w:rFonts w:ascii="宋体"/>
              </w:rPr>
            </w:pPr>
          </w:p>
        </w:tc>
        <w:tc>
          <w:tcPr>
            <w:tcW w:w="0" w:type="auto"/>
            <w:shd w:val="clear" w:color="auto" w:fill="auto"/>
            <w:vAlign w:val="bottom"/>
          </w:tcPr>
          <w:p w14:paraId="5F2CCBD8" w14:textId="77777777" w:rsidR="00E836FB" w:rsidRDefault="00E836FB">
            <w:pPr>
              <w:rPr>
                <w:rFonts w:ascii="宋体"/>
              </w:rPr>
            </w:pPr>
          </w:p>
        </w:tc>
        <w:tc>
          <w:tcPr>
            <w:tcW w:w="0" w:type="auto"/>
            <w:shd w:val="clear" w:color="auto" w:fill="auto"/>
            <w:vAlign w:val="bottom"/>
          </w:tcPr>
          <w:p w14:paraId="5F2CCBD9" w14:textId="77777777" w:rsidR="00E836FB" w:rsidRDefault="00E836FB">
            <w:pPr>
              <w:rPr>
                <w:rFonts w:ascii="宋体"/>
              </w:rPr>
            </w:pPr>
          </w:p>
        </w:tc>
        <w:tc>
          <w:tcPr>
            <w:tcW w:w="0" w:type="auto"/>
            <w:shd w:val="clear" w:color="auto" w:fill="auto"/>
            <w:vAlign w:val="bottom"/>
          </w:tcPr>
          <w:p w14:paraId="5F2CCBDA" w14:textId="77777777" w:rsidR="00E836FB" w:rsidRDefault="00E836FB">
            <w:pPr>
              <w:rPr>
                <w:rFonts w:ascii="宋体"/>
              </w:rPr>
            </w:pPr>
          </w:p>
        </w:tc>
        <w:tc>
          <w:tcPr>
            <w:tcW w:w="0" w:type="auto"/>
            <w:shd w:val="clear" w:color="auto" w:fill="auto"/>
            <w:vAlign w:val="bottom"/>
          </w:tcPr>
          <w:p w14:paraId="5F2CCBDB" w14:textId="77777777" w:rsidR="00E836FB" w:rsidRDefault="00E836FB">
            <w:pPr>
              <w:rPr>
                <w:rFonts w:ascii="宋体"/>
              </w:rPr>
            </w:pPr>
          </w:p>
        </w:tc>
        <w:tc>
          <w:tcPr>
            <w:tcW w:w="0" w:type="auto"/>
            <w:shd w:val="clear" w:color="auto" w:fill="auto"/>
            <w:vAlign w:val="bottom"/>
          </w:tcPr>
          <w:p w14:paraId="5F2CCBDC" w14:textId="77777777" w:rsidR="00E836FB" w:rsidRDefault="00E836FB">
            <w:pPr>
              <w:rPr>
                <w:rFonts w:ascii="宋体"/>
              </w:rPr>
            </w:pPr>
          </w:p>
        </w:tc>
        <w:tc>
          <w:tcPr>
            <w:tcW w:w="0" w:type="auto"/>
            <w:shd w:val="clear" w:color="auto" w:fill="auto"/>
            <w:vAlign w:val="bottom"/>
          </w:tcPr>
          <w:p w14:paraId="5F2CCBDD" w14:textId="77777777" w:rsidR="00E836FB" w:rsidRDefault="00E836FB">
            <w:pPr>
              <w:rPr>
                <w:rFonts w:ascii="宋体"/>
              </w:rPr>
            </w:pPr>
          </w:p>
        </w:tc>
        <w:tc>
          <w:tcPr>
            <w:tcW w:w="0" w:type="auto"/>
            <w:shd w:val="clear" w:color="auto" w:fill="auto"/>
            <w:vAlign w:val="bottom"/>
          </w:tcPr>
          <w:p w14:paraId="5F2CCBDE" w14:textId="77777777" w:rsidR="00E836FB" w:rsidRDefault="00E836FB">
            <w:pPr>
              <w:rPr>
                <w:rFonts w:ascii="宋体"/>
              </w:rPr>
            </w:pPr>
          </w:p>
        </w:tc>
        <w:tc>
          <w:tcPr>
            <w:tcW w:w="0" w:type="auto"/>
            <w:shd w:val="clear" w:color="auto" w:fill="auto"/>
            <w:vAlign w:val="bottom"/>
          </w:tcPr>
          <w:p w14:paraId="5F2CCBDF" w14:textId="77777777" w:rsidR="00E836FB" w:rsidRDefault="00E836FB">
            <w:pPr>
              <w:rPr>
                <w:rFonts w:ascii="宋体"/>
              </w:rPr>
            </w:pPr>
          </w:p>
        </w:tc>
        <w:tc>
          <w:tcPr>
            <w:tcW w:w="0" w:type="auto"/>
            <w:shd w:val="clear" w:color="auto" w:fill="auto"/>
            <w:vAlign w:val="bottom"/>
          </w:tcPr>
          <w:p w14:paraId="5F2CCBE0" w14:textId="77777777" w:rsidR="00E836FB" w:rsidRDefault="00E836FB">
            <w:pPr>
              <w:rPr>
                <w:rFonts w:ascii="宋体"/>
              </w:rPr>
            </w:pPr>
          </w:p>
        </w:tc>
      </w:tr>
      <w:tr w:rsidR="00E836FB" w14:paraId="5F2CCBF0" w14:textId="77777777">
        <w:tc>
          <w:tcPr>
            <w:tcW w:w="0" w:type="auto"/>
            <w:gridSpan w:val="3"/>
            <w:shd w:val="clear" w:color="auto" w:fill="auto"/>
            <w:tcMar>
              <w:top w:w="0" w:type="dxa"/>
              <w:left w:w="20" w:type="dxa"/>
              <w:bottom w:w="0" w:type="dxa"/>
              <w:right w:w="20" w:type="dxa"/>
            </w:tcMar>
            <w:vAlign w:val="bottom"/>
          </w:tcPr>
          <w:p w14:paraId="5F2CCBE2"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CBE3" w14:textId="77777777" w:rsidR="00E836FB" w:rsidRDefault="00994958">
            <w:pPr>
              <w:jc w:val="center"/>
              <w:textAlignment w:val="bottom"/>
            </w:pPr>
            <w:r>
              <w:rPr>
                <w:rFonts w:ascii="Arial" w:eastAsia="宋体" w:hAnsi="Arial" w:cs="Arial"/>
                <w:b/>
                <w:bCs/>
                <w:color w:val="000000"/>
                <w:sz w:val="14"/>
                <w:szCs w:val="14"/>
              </w:rPr>
              <w:t>As of December 31,</w:t>
            </w:r>
          </w:p>
        </w:tc>
        <w:tc>
          <w:tcPr>
            <w:tcW w:w="0" w:type="auto"/>
            <w:shd w:val="clear" w:color="auto" w:fill="auto"/>
            <w:vAlign w:val="bottom"/>
          </w:tcPr>
          <w:p w14:paraId="5F2CCBE4" w14:textId="77777777" w:rsidR="00E836FB" w:rsidRDefault="00E836FB">
            <w:pPr>
              <w:rPr>
                <w:rFonts w:ascii="宋体"/>
              </w:rPr>
            </w:pPr>
          </w:p>
        </w:tc>
        <w:tc>
          <w:tcPr>
            <w:tcW w:w="0" w:type="auto"/>
            <w:shd w:val="clear" w:color="auto" w:fill="auto"/>
            <w:vAlign w:val="bottom"/>
          </w:tcPr>
          <w:p w14:paraId="5F2CCBE5" w14:textId="77777777" w:rsidR="00E836FB" w:rsidRDefault="00E836FB">
            <w:pPr>
              <w:rPr>
                <w:rFonts w:ascii="宋体"/>
              </w:rPr>
            </w:pPr>
          </w:p>
        </w:tc>
        <w:tc>
          <w:tcPr>
            <w:tcW w:w="0" w:type="auto"/>
            <w:shd w:val="clear" w:color="auto" w:fill="auto"/>
            <w:vAlign w:val="bottom"/>
          </w:tcPr>
          <w:p w14:paraId="5F2CCBE6" w14:textId="77777777" w:rsidR="00E836FB" w:rsidRDefault="00E836FB">
            <w:pPr>
              <w:rPr>
                <w:rFonts w:ascii="宋体"/>
              </w:rPr>
            </w:pPr>
          </w:p>
        </w:tc>
        <w:tc>
          <w:tcPr>
            <w:tcW w:w="0" w:type="auto"/>
            <w:shd w:val="clear" w:color="auto" w:fill="auto"/>
            <w:vAlign w:val="bottom"/>
          </w:tcPr>
          <w:p w14:paraId="5F2CCBE7" w14:textId="77777777" w:rsidR="00E836FB" w:rsidRDefault="00E836FB">
            <w:pPr>
              <w:rPr>
                <w:rFonts w:ascii="宋体"/>
              </w:rPr>
            </w:pPr>
          </w:p>
        </w:tc>
        <w:tc>
          <w:tcPr>
            <w:tcW w:w="0" w:type="auto"/>
            <w:shd w:val="clear" w:color="auto" w:fill="auto"/>
            <w:vAlign w:val="bottom"/>
          </w:tcPr>
          <w:p w14:paraId="5F2CCBE8" w14:textId="77777777" w:rsidR="00E836FB" w:rsidRDefault="00E836FB">
            <w:pPr>
              <w:rPr>
                <w:rFonts w:ascii="宋体"/>
              </w:rPr>
            </w:pPr>
          </w:p>
        </w:tc>
        <w:tc>
          <w:tcPr>
            <w:tcW w:w="0" w:type="auto"/>
            <w:shd w:val="clear" w:color="auto" w:fill="auto"/>
            <w:vAlign w:val="bottom"/>
          </w:tcPr>
          <w:p w14:paraId="5F2CCBE9" w14:textId="77777777" w:rsidR="00E836FB" w:rsidRDefault="00E836FB">
            <w:pPr>
              <w:rPr>
                <w:rFonts w:ascii="宋体"/>
              </w:rPr>
            </w:pPr>
          </w:p>
        </w:tc>
        <w:tc>
          <w:tcPr>
            <w:tcW w:w="0" w:type="auto"/>
            <w:shd w:val="clear" w:color="auto" w:fill="auto"/>
            <w:vAlign w:val="bottom"/>
          </w:tcPr>
          <w:p w14:paraId="5F2CCBEA" w14:textId="77777777" w:rsidR="00E836FB" w:rsidRDefault="00E836FB">
            <w:pPr>
              <w:rPr>
                <w:rFonts w:ascii="宋体"/>
              </w:rPr>
            </w:pPr>
          </w:p>
        </w:tc>
        <w:tc>
          <w:tcPr>
            <w:tcW w:w="0" w:type="auto"/>
            <w:shd w:val="clear" w:color="auto" w:fill="auto"/>
            <w:vAlign w:val="bottom"/>
          </w:tcPr>
          <w:p w14:paraId="5F2CCBEB" w14:textId="77777777" w:rsidR="00E836FB" w:rsidRDefault="00E836FB">
            <w:pPr>
              <w:rPr>
                <w:rFonts w:ascii="宋体"/>
              </w:rPr>
            </w:pPr>
          </w:p>
        </w:tc>
        <w:tc>
          <w:tcPr>
            <w:tcW w:w="0" w:type="auto"/>
            <w:shd w:val="clear" w:color="auto" w:fill="auto"/>
            <w:vAlign w:val="bottom"/>
          </w:tcPr>
          <w:p w14:paraId="5F2CCBEC" w14:textId="77777777" w:rsidR="00E836FB" w:rsidRDefault="00E836FB">
            <w:pPr>
              <w:rPr>
                <w:rFonts w:ascii="宋体"/>
              </w:rPr>
            </w:pPr>
          </w:p>
        </w:tc>
        <w:tc>
          <w:tcPr>
            <w:tcW w:w="0" w:type="auto"/>
            <w:shd w:val="clear" w:color="auto" w:fill="auto"/>
            <w:vAlign w:val="bottom"/>
          </w:tcPr>
          <w:p w14:paraId="5F2CCBED" w14:textId="77777777" w:rsidR="00E836FB" w:rsidRDefault="00E836FB">
            <w:pPr>
              <w:rPr>
                <w:rFonts w:ascii="宋体"/>
              </w:rPr>
            </w:pPr>
          </w:p>
        </w:tc>
        <w:tc>
          <w:tcPr>
            <w:tcW w:w="0" w:type="auto"/>
            <w:shd w:val="clear" w:color="auto" w:fill="auto"/>
            <w:vAlign w:val="bottom"/>
          </w:tcPr>
          <w:p w14:paraId="5F2CCBEE" w14:textId="77777777" w:rsidR="00E836FB" w:rsidRDefault="00E836FB">
            <w:pPr>
              <w:rPr>
                <w:rFonts w:ascii="宋体"/>
              </w:rPr>
            </w:pPr>
          </w:p>
        </w:tc>
        <w:tc>
          <w:tcPr>
            <w:tcW w:w="0" w:type="auto"/>
            <w:shd w:val="clear" w:color="auto" w:fill="auto"/>
            <w:vAlign w:val="bottom"/>
          </w:tcPr>
          <w:p w14:paraId="5F2CCBEF" w14:textId="77777777" w:rsidR="00E836FB" w:rsidRDefault="00E836FB">
            <w:pPr>
              <w:rPr>
                <w:rFonts w:ascii="宋体"/>
              </w:rPr>
            </w:pPr>
          </w:p>
        </w:tc>
      </w:tr>
      <w:tr w:rsidR="00E836FB" w14:paraId="5F2CCBFB" w14:textId="77777777">
        <w:tc>
          <w:tcPr>
            <w:tcW w:w="0" w:type="auto"/>
            <w:gridSpan w:val="3"/>
            <w:shd w:val="clear" w:color="auto" w:fill="auto"/>
            <w:tcMar>
              <w:top w:w="40" w:type="dxa"/>
              <w:left w:w="20" w:type="dxa"/>
              <w:bottom w:w="40" w:type="dxa"/>
              <w:right w:w="20" w:type="dxa"/>
            </w:tcMar>
            <w:vAlign w:val="bottom"/>
          </w:tcPr>
          <w:p w14:paraId="5F2CCBF1"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BF2"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BF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BF4"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BF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BF6"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vAlign w:val="bottom"/>
          </w:tcPr>
          <w:p w14:paraId="5F2CCBF7" w14:textId="77777777" w:rsidR="00E836FB" w:rsidRDefault="00E836FB">
            <w:pPr>
              <w:rPr>
                <w:rFonts w:ascii="宋体"/>
                <w:vanish/>
              </w:rPr>
            </w:pPr>
          </w:p>
        </w:tc>
        <w:tc>
          <w:tcPr>
            <w:tcW w:w="0" w:type="auto"/>
            <w:gridSpan w:val="3"/>
            <w:shd w:val="clear" w:color="auto" w:fill="auto"/>
            <w:vAlign w:val="bottom"/>
          </w:tcPr>
          <w:p w14:paraId="5F2CCBF8" w14:textId="77777777" w:rsidR="00E836FB" w:rsidRDefault="00E836FB">
            <w:pPr>
              <w:rPr>
                <w:rFonts w:ascii="宋体"/>
                <w:vanish/>
              </w:rPr>
            </w:pPr>
          </w:p>
        </w:tc>
        <w:tc>
          <w:tcPr>
            <w:tcW w:w="0" w:type="auto"/>
            <w:gridSpan w:val="3"/>
            <w:shd w:val="clear" w:color="auto" w:fill="auto"/>
            <w:vAlign w:val="bottom"/>
          </w:tcPr>
          <w:p w14:paraId="5F2CCBF9" w14:textId="77777777" w:rsidR="00E836FB" w:rsidRDefault="00E836FB">
            <w:pPr>
              <w:rPr>
                <w:rFonts w:ascii="宋体"/>
                <w:vanish/>
              </w:rPr>
            </w:pPr>
          </w:p>
        </w:tc>
        <w:tc>
          <w:tcPr>
            <w:tcW w:w="0" w:type="auto"/>
            <w:gridSpan w:val="3"/>
            <w:shd w:val="clear" w:color="auto" w:fill="auto"/>
            <w:vAlign w:val="bottom"/>
          </w:tcPr>
          <w:p w14:paraId="5F2CCBFA" w14:textId="77777777" w:rsidR="00E836FB" w:rsidRDefault="00E836FB">
            <w:pPr>
              <w:rPr>
                <w:rFonts w:ascii="宋体"/>
                <w:vanish/>
              </w:rPr>
            </w:pPr>
          </w:p>
        </w:tc>
      </w:tr>
      <w:tr w:rsidR="00E836FB" w14:paraId="5F2CCC06" w14:textId="77777777">
        <w:tc>
          <w:tcPr>
            <w:tcW w:w="0" w:type="auto"/>
            <w:gridSpan w:val="3"/>
            <w:shd w:val="clear" w:color="auto" w:fill="auto"/>
            <w:tcMar>
              <w:top w:w="40" w:type="dxa"/>
              <w:left w:w="20" w:type="dxa"/>
              <w:bottom w:w="40" w:type="dxa"/>
              <w:right w:w="20" w:type="dxa"/>
            </w:tcMar>
            <w:vAlign w:val="bottom"/>
          </w:tcPr>
          <w:p w14:paraId="5F2CCBFC" w14:textId="77777777" w:rsidR="00E836FB" w:rsidRDefault="00994958">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BF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BF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B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C0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C01" w14:textId="77777777" w:rsidR="00E836FB" w:rsidRDefault="00E836FB">
            <w:pPr>
              <w:rPr>
                <w:rFonts w:ascii="宋体"/>
              </w:rPr>
            </w:pPr>
          </w:p>
        </w:tc>
        <w:tc>
          <w:tcPr>
            <w:tcW w:w="0" w:type="auto"/>
            <w:gridSpan w:val="3"/>
            <w:shd w:val="clear" w:color="auto" w:fill="auto"/>
            <w:vAlign w:val="bottom"/>
          </w:tcPr>
          <w:p w14:paraId="5F2CCC02" w14:textId="77777777" w:rsidR="00E836FB" w:rsidRDefault="00E836FB">
            <w:pPr>
              <w:rPr>
                <w:rFonts w:ascii="宋体"/>
                <w:vanish/>
              </w:rPr>
            </w:pPr>
          </w:p>
        </w:tc>
        <w:tc>
          <w:tcPr>
            <w:tcW w:w="0" w:type="auto"/>
            <w:gridSpan w:val="3"/>
            <w:shd w:val="clear" w:color="auto" w:fill="auto"/>
            <w:vAlign w:val="bottom"/>
          </w:tcPr>
          <w:p w14:paraId="5F2CCC03" w14:textId="77777777" w:rsidR="00E836FB" w:rsidRDefault="00E836FB">
            <w:pPr>
              <w:rPr>
                <w:rFonts w:ascii="宋体"/>
                <w:vanish/>
              </w:rPr>
            </w:pPr>
          </w:p>
        </w:tc>
        <w:tc>
          <w:tcPr>
            <w:tcW w:w="0" w:type="auto"/>
            <w:gridSpan w:val="3"/>
            <w:shd w:val="clear" w:color="auto" w:fill="auto"/>
            <w:vAlign w:val="bottom"/>
          </w:tcPr>
          <w:p w14:paraId="5F2CCC04" w14:textId="77777777" w:rsidR="00E836FB" w:rsidRDefault="00E836FB">
            <w:pPr>
              <w:rPr>
                <w:rFonts w:ascii="宋体"/>
                <w:vanish/>
              </w:rPr>
            </w:pPr>
          </w:p>
        </w:tc>
        <w:tc>
          <w:tcPr>
            <w:tcW w:w="0" w:type="auto"/>
            <w:gridSpan w:val="3"/>
            <w:shd w:val="clear" w:color="auto" w:fill="auto"/>
            <w:vAlign w:val="bottom"/>
          </w:tcPr>
          <w:p w14:paraId="5F2CCC05" w14:textId="77777777" w:rsidR="00E836FB" w:rsidRDefault="00E836FB">
            <w:pPr>
              <w:rPr>
                <w:rFonts w:ascii="宋体"/>
                <w:vanish/>
              </w:rPr>
            </w:pPr>
          </w:p>
        </w:tc>
      </w:tr>
      <w:tr w:rsidR="00E836FB" w14:paraId="5F2CCC11" w14:textId="77777777">
        <w:tc>
          <w:tcPr>
            <w:tcW w:w="0" w:type="auto"/>
            <w:gridSpan w:val="3"/>
            <w:shd w:val="clear" w:color="auto" w:fill="auto"/>
            <w:tcMar>
              <w:top w:w="40" w:type="dxa"/>
              <w:left w:w="140" w:type="dxa"/>
              <w:bottom w:w="40" w:type="dxa"/>
              <w:right w:w="20" w:type="dxa"/>
            </w:tcMar>
            <w:vAlign w:val="bottom"/>
          </w:tcPr>
          <w:p w14:paraId="5F2CCC07"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F2CCC0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C0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C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C0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C0C" w14:textId="77777777" w:rsidR="00E836FB" w:rsidRDefault="00E836FB">
            <w:pPr>
              <w:rPr>
                <w:rFonts w:ascii="宋体"/>
              </w:rPr>
            </w:pPr>
          </w:p>
        </w:tc>
        <w:tc>
          <w:tcPr>
            <w:tcW w:w="0" w:type="auto"/>
            <w:gridSpan w:val="3"/>
            <w:shd w:val="clear" w:color="auto" w:fill="auto"/>
            <w:vAlign w:val="bottom"/>
          </w:tcPr>
          <w:p w14:paraId="5F2CCC0D" w14:textId="77777777" w:rsidR="00E836FB" w:rsidRDefault="00E836FB">
            <w:pPr>
              <w:rPr>
                <w:rFonts w:ascii="宋体"/>
                <w:vanish/>
              </w:rPr>
            </w:pPr>
          </w:p>
        </w:tc>
        <w:tc>
          <w:tcPr>
            <w:tcW w:w="0" w:type="auto"/>
            <w:gridSpan w:val="3"/>
            <w:shd w:val="clear" w:color="auto" w:fill="auto"/>
            <w:vAlign w:val="bottom"/>
          </w:tcPr>
          <w:p w14:paraId="5F2CCC0E" w14:textId="77777777" w:rsidR="00E836FB" w:rsidRDefault="00E836FB">
            <w:pPr>
              <w:rPr>
                <w:rFonts w:ascii="宋体"/>
                <w:vanish/>
              </w:rPr>
            </w:pPr>
          </w:p>
        </w:tc>
        <w:tc>
          <w:tcPr>
            <w:tcW w:w="0" w:type="auto"/>
            <w:gridSpan w:val="3"/>
            <w:shd w:val="clear" w:color="auto" w:fill="auto"/>
            <w:vAlign w:val="bottom"/>
          </w:tcPr>
          <w:p w14:paraId="5F2CCC0F" w14:textId="77777777" w:rsidR="00E836FB" w:rsidRDefault="00E836FB">
            <w:pPr>
              <w:rPr>
                <w:rFonts w:ascii="宋体"/>
                <w:vanish/>
              </w:rPr>
            </w:pPr>
          </w:p>
        </w:tc>
        <w:tc>
          <w:tcPr>
            <w:tcW w:w="0" w:type="auto"/>
            <w:gridSpan w:val="3"/>
            <w:shd w:val="clear" w:color="auto" w:fill="auto"/>
            <w:vAlign w:val="bottom"/>
          </w:tcPr>
          <w:p w14:paraId="5F2CCC10" w14:textId="77777777" w:rsidR="00E836FB" w:rsidRDefault="00E836FB">
            <w:pPr>
              <w:rPr>
                <w:rFonts w:ascii="宋体"/>
                <w:vanish/>
              </w:rPr>
            </w:pPr>
          </w:p>
        </w:tc>
      </w:tr>
      <w:tr w:rsidR="00E836FB" w14:paraId="5F2CCC22" w14:textId="77777777">
        <w:tc>
          <w:tcPr>
            <w:tcW w:w="0" w:type="auto"/>
            <w:gridSpan w:val="3"/>
            <w:shd w:val="clear" w:color="auto" w:fill="CCEEFF"/>
            <w:tcMar>
              <w:top w:w="40" w:type="dxa"/>
              <w:left w:w="20" w:type="dxa"/>
              <w:bottom w:w="40" w:type="dxa"/>
              <w:right w:w="20" w:type="dxa"/>
            </w:tcMar>
            <w:vAlign w:val="bottom"/>
          </w:tcPr>
          <w:p w14:paraId="5F2CCC12" w14:textId="77777777" w:rsidR="00E836FB" w:rsidRDefault="00994958">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F2CCC13"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C14" w14:textId="77777777" w:rsidR="00E836FB" w:rsidRDefault="00994958">
            <w:pPr>
              <w:jc w:val="right"/>
              <w:textAlignment w:val="bottom"/>
            </w:pPr>
            <w:r>
              <w:rPr>
                <w:rFonts w:ascii="Arial" w:eastAsia="宋体" w:hAnsi="Arial" w:cs="Arial"/>
                <w:b/>
                <w:bCs/>
                <w:color w:val="000000"/>
                <w:sz w:val="14"/>
                <w:szCs w:val="14"/>
              </w:rPr>
              <w:t>12,396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C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1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C1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C18" w14:textId="77777777" w:rsidR="00E836FB" w:rsidRDefault="00994958">
            <w:pPr>
              <w:jc w:val="right"/>
              <w:textAlignment w:val="bottom"/>
            </w:pPr>
            <w:r>
              <w:rPr>
                <w:rFonts w:ascii="Arial" w:eastAsia="宋体" w:hAnsi="Arial" w:cs="Arial"/>
                <w:color w:val="000000"/>
                <w:sz w:val="14"/>
                <w:szCs w:val="14"/>
              </w:rPr>
              <w:t>11,531 </w:t>
            </w:r>
          </w:p>
        </w:tc>
        <w:tc>
          <w:tcPr>
            <w:tcW w:w="0" w:type="auto"/>
            <w:shd w:val="clear" w:color="auto" w:fill="CCEEFF"/>
            <w:tcMar>
              <w:top w:w="40" w:type="dxa"/>
              <w:left w:w="0" w:type="dxa"/>
              <w:bottom w:w="40" w:type="dxa"/>
              <w:right w:w="20" w:type="dxa"/>
            </w:tcMar>
            <w:vAlign w:val="bottom"/>
          </w:tcPr>
          <w:p w14:paraId="5F2CCC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1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C1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C1C" w14:textId="77777777" w:rsidR="00E836FB" w:rsidRDefault="00994958">
            <w:pPr>
              <w:jc w:val="right"/>
              <w:textAlignment w:val="bottom"/>
            </w:pPr>
            <w:r>
              <w:rPr>
                <w:rFonts w:ascii="Arial" w:eastAsia="宋体" w:hAnsi="Arial" w:cs="Arial"/>
                <w:color w:val="000000"/>
                <w:sz w:val="14"/>
                <w:szCs w:val="14"/>
              </w:rPr>
              <w:t>10,270 </w:t>
            </w:r>
          </w:p>
        </w:tc>
        <w:tc>
          <w:tcPr>
            <w:tcW w:w="0" w:type="auto"/>
            <w:shd w:val="clear" w:color="auto" w:fill="CCEEFF"/>
            <w:tcMar>
              <w:top w:w="40" w:type="dxa"/>
              <w:left w:w="0" w:type="dxa"/>
              <w:bottom w:w="40" w:type="dxa"/>
              <w:right w:w="20" w:type="dxa"/>
            </w:tcMar>
            <w:vAlign w:val="bottom"/>
          </w:tcPr>
          <w:p w14:paraId="5F2CCC1D" w14:textId="77777777" w:rsidR="00E836FB" w:rsidRDefault="00E836FB">
            <w:pPr>
              <w:jc w:val="right"/>
              <w:rPr>
                <w:rFonts w:ascii="宋体"/>
              </w:rPr>
            </w:pPr>
          </w:p>
        </w:tc>
        <w:tc>
          <w:tcPr>
            <w:tcW w:w="0" w:type="auto"/>
            <w:gridSpan w:val="3"/>
            <w:shd w:val="clear" w:color="auto" w:fill="auto"/>
            <w:vAlign w:val="bottom"/>
          </w:tcPr>
          <w:p w14:paraId="5F2CCC1E" w14:textId="77777777" w:rsidR="00E836FB" w:rsidRDefault="00E836FB">
            <w:pPr>
              <w:rPr>
                <w:rFonts w:ascii="宋体"/>
                <w:vanish/>
              </w:rPr>
            </w:pPr>
          </w:p>
        </w:tc>
        <w:tc>
          <w:tcPr>
            <w:tcW w:w="0" w:type="auto"/>
            <w:gridSpan w:val="3"/>
            <w:shd w:val="clear" w:color="auto" w:fill="auto"/>
            <w:vAlign w:val="bottom"/>
          </w:tcPr>
          <w:p w14:paraId="5F2CCC1F" w14:textId="77777777" w:rsidR="00E836FB" w:rsidRDefault="00E836FB">
            <w:pPr>
              <w:rPr>
                <w:rFonts w:ascii="宋体"/>
                <w:vanish/>
              </w:rPr>
            </w:pPr>
          </w:p>
        </w:tc>
        <w:tc>
          <w:tcPr>
            <w:tcW w:w="0" w:type="auto"/>
            <w:gridSpan w:val="3"/>
            <w:shd w:val="clear" w:color="auto" w:fill="auto"/>
            <w:vAlign w:val="bottom"/>
          </w:tcPr>
          <w:p w14:paraId="5F2CCC20" w14:textId="77777777" w:rsidR="00E836FB" w:rsidRDefault="00E836FB">
            <w:pPr>
              <w:rPr>
                <w:rFonts w:ascii="宋体"/>
                <w:vanish/>
              </w:rPr>
            </w:pPr>
          </w:p>
        </w:tc>
        <w:tc>
          <w:tcPr>
            <w:tcW w:w="0" w:type="auto"/>
            <w:gridSpan w:val="3"/>
            <w:shd w:val="clear" w:color="auto" w:fill="auto"/>
            <w:vAlign w:val="bottom"/>
          </w:tcPr>
          <w:p w14:paraId="5F2CCC21" w14:textId="77777777" w:rsidR="00E836FB" w:rsidRDefault="00E836FB">
            <w:pPr>
              <w:rPr>
                <w:rFonts w:ascii="宋体"/>
                <w:vanish/>
              </w:rPr>
            </w:pPr>
          </w:p>
        </w:tc>
      </w:tr>
      <w:tr w:rsidR="00E836FB" w14:paraId="5F2CCC30" w14:textId="77777777">
        <w:tc>
          <w:tcPr>
            <w:tcW w:w="0" w:type="auto"/>
            <w:gridSpan w:val="3"/>
            <w:shd w:val="clear" w:color="auto" w:fill="FFFFFF"/>
            <w:tcMar>
              <w:top w:w="40" w:type="dxa"/>
              <w:left w:w="260" w:type="dxa"/>
              <w:bottom w:w="40" w:type="dxa"/>
              <w:right w:w="20" w:type="dxa"/>
            </w:tcMar>
            <w:vAlign w:val="bottom"/>
          </w:tcPr>
          <w:p w14:paraId="5F2CCC23" w14:textId="77777777" w:rsidR="00E836FB" w:rsidRDefault="00994958">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5F2CCC24" w14:textId="77777777" w:rsidR="00E836FB" w:rsidRDefault="00994958">
            <w:pPr>
              <w:jc w:val="right"/>
              <w:textAlignment w:val="bottom"/>
            </w:pPr>
            <w:r>
              <w:rPr>
                <w:rFonts w:ascii="Arial" w:eastAsia="宋体" w:hAnsi="Arial" w:cs="Arial"/>
                <w:b/>
                <w:bCs/>
                <w:color w:val="000000"/>
                <w:sz w:val="14"/>
                <w:szCs w:val="14"/>
              </w:rPr>
              <w:t>3,106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C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2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27" w14:textId="77777777" w:rsidR="00E836FB" w:rsidRDefault="00994958">
            <w:pPr>
              <w:jc w:val="right"/>
              <w:textAlignment w:val="bottom"/>
            </w:pPr>
            <w:r>
              <w:rPr>
                <w:rFonts w:ascii="Arial" w:eastAsia="宋体" w:hAnsi="Arial" w:cs="Arial"/>
                <w:color w:val="000000"/>
                <w:sz w:val="14"/>
                <w:szCs w:val="14"/>
              </w:rPr>
              <w:t>2,923 </w:t>
            </w:r>
          </w:p>
        </w:tc>
        <w:tc>
          <w:tcPr>
            <w:tcW w:w="0" w:type="auto"/>
            <w:shd w:val="clear" w:color="auto" w:fill="FFFFFF"/>
            <w:tcMar>
              <w:top w:w="40" w:type="dxa"/>
              <w:left w:w="0" w:type="dxa"/>
              <w:bottom w:w="40" w:type="dxa"/>
              <w:right w:w="20" w:type="dxa"/>
            </w:tcMar>
            <w:vAlign w:val="bottom"/>
          </w:tcPr>
          <w:p w14:paraId="5F2CCC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2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2A" w14:textId="77777777" w:rsidR="00E836FB" w:rsidRDefault="00994958">
            <w:pPr>
              <w:jc w:val="right"/>
              <w:textAlignment w:val="bottom"/>
            </w:pPr>
            <w:r>
              <w:rPr>
                <w:rFonts w:ascii="Arial" w:eastAsia="宋体" w:hAnsi="Arial" w:cs="Arial"/>
                <w:color w:val="000000"/>
                <w:sz w:val="14"/>
                <w:szCs w:val="14"/>
              </w:rPr>
              <w:t>3,342 </w:t>
            </w:r>
          </w:p>
        </w:tc>
        <w:tc>
          <w:tcPr>
            <w:tcW w:w="0" w:type="auto"/>
            <w:shd w:val="clear" w:color="auto" w:fill="FFFFFF"/>
            <w:tcMar>
              <w:top w:w="40" w:type="dxa"/>
              <w:left w:w="0" w:type="dxa"/>
              <w:bottom w:w="40" w:type="dxa"/>
              <w:right w:w="20" w:type="dxa"/>
            </w:tcMar>
            <w:vAlign w:val="bottom"/>
          </w:tcPr>
          <w:p w14:paraId="5F2CCC2B" w14:textId="77777777" w:rsidR="00E836FB" w:rsidRDefault="00E836FB">
            <w:pPr>
              <w:jc w:val="right"/>
              <w:rPr>
                <w:rFonts w:ascii="宋体"/>
              </w:rPr>
            </w:pPr>
          </w:p>
        </w:tc>
        <w:tc>
          <w:tcPr>
            <w:tcW w:w="0" w:type="auto"/>
            <w:gridSpan w:val="3"/>
            <w:shd w:val="clear" w:color="auto" w:fill="auto"/>
            <w:vAlign w:val="bottom"/>
          </w:tcPr>
          <w:p w14:paraId="5F2CCC2C" w14:textId="77777777" w:rsidR="00E836FB" w:rsidRDefault="00E836FB">
            <w:pPr>
              <w:rPr>
                <w:rFonts w:ascii="宋体"/>
                <w:vanish/>
              </w:rPr>
            </w:pPr>
          </w:p>
        </w:tc>
        <w:tc>
          <w:tcPr>
            <w:tcW w:w="0" w:type="auto"/>
            <w:gridSpan w:val="3"/>
            <w:shd w:val="clear" w:color="auto" w:fill="auto"/>
            <w:vAlign w:val="bottom"/>
          </w:tcPr>
          <w:p w14:paraId="5F2CCC2D" w14:textId="77777777" w:rsidR="00E836FB" w:rsidRDefault="00E836FB">
            <w:pPr>
              <w:rPr>
                <w:rFonts w:ascii="宋体"/>
                <w:vanish/>
              </w:rPr>
            </w:pPr>
          </w:p>
        </w:tc>
        <w:tc>
          <w:tcPr>
            <w:tcW w:w="0" w:type="auto"/>
            <w:gridSpan w:val="3"/>
            <w:shd w:val="clear" w:color="auto" w:fill="auto"/>
            <w:vAlign w:val="bottom"/>
          </w:tcPr>
          <w:p w14:paraId="5F2CCC2E" w14:textId="77777777" w:rsidR="00E836FB" w:rsidRDefault="00E836FB">
            <w:pPr>
              <w:rPr>
                <w:rFonts w:ascii="宋体"/>
                <w:vanish/>
              </w:rPr>
            </w:pPr>
          </w:p>
        </w:tc>
        <w:tc>
          <w:tcPr>
            <w:tcW w:w="0" w:type="auto"/>
            <w:gridSpan w:val="3"/>
            <w:shd w:val="clear" w:color="auto" w:fill="auto"/>
            <w:vAlign w:val="bottom"/>
          </w:tcPr>
          <w:p w14:paraId="5F2CCC2F" w14:textId="77777777" w:rsidR="00E836FB" w:rsidRDefault="00E836FB">
            <w:pPr>
              <w:rPr>
                <w:rFonts w:ascii="宋体"/>
                <w:vanish/>
              </w:rPr>
            </w:pPr>
          </w:p>
        </w:tc>
      </w:tr>
      <w:tr w:rsidR="00E836FB" w14:paraId="5F2CCC3E" w14:textId="77777777">
        <w:tc>
          <w:tcPr>
            <w:tcW w:w="0" w:type="auto"/>
            <w:gridSpan w:val="3"/>
            <w:shd w:val="clear" w:color="auto" w:fill="CCEEFF"/>
            <w:tcMar>
              <w:top w:w="40" w:type="dxa"/>
              <w:left w:w="260" w:type="dxa"/>
              <w:bottom w:w="40" w:type="dxa"/>
              <w:right w:w="20" w:type="dxa"/>
            </w:tcMar>
            <w:vAlign w:val="bottom"/>
          </w:tcPr>
          <w:p w14:paraId="5F2CCC31" w14:textId="77777777" w:rsidR="00E836FB" w:rsidRDefault="00994958">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5F2CCC32" w14:textId="77777777" w:rsidR="00E836FB" w:rsidRDefault="00994958">
            <w:pPr>
              <w:jc w:val="right"/>
              <w:textAlignment w:val="bottom"/>
            </w:pPr>
            <w:r>
              <w:rPr>
                <w:rFonts w:ascii="Arial" w:eastAsia="宋体" w:hAnsi="Arial" w:cs="Arial"/>
                <w:b/>
                <w:bCs/>
                <w:color w:val="000000"/>
                <w:sz w:val="14"/>
                <w:szCs w:val="14"/>
              </w:rPr>
              <w:t>1,796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C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3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35" w14:textId="77777777" w:rsidR="00E836FB" w:rsidRDefault="00994958">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5F2CCC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3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38" w14:textId="77777777" w:rsidR="00E836FB" w:rsidRDefault="00994958">
            <w:pPr>
              <w:jc w:val="right"/>
              <w:textAlignment w:val="bottom"/>
            </w:pPr>
            <w:r>
              <w:rPr>
                <w:rFonts w:ascii="Arial" w:eastAsia="宋体" w:hAnsi="Arial" w:cs="Arial"/>
                <w:color w:val="000000"/>
                <w:sz w:val="14"/>
                <w:szCs w:val="14"/>
              </w:rPr>
              <w:t>1,739 </w:t>
            </w:r>
          </w:p>
        </w:tc>
        <w:tc>
          <w:tcPr>
            <w:tcW w:w="0" w:type="auto"/>
            <w:shd w:val="clear" w:color="auto" w:fill="CCEEFF"/>
            <w:tcMar>
              <w:top w:w="40" w:type="dxa"/>
              <w:left w:w="0" w:type="dxa"/>
              <w:bottom w:w="40" w:type="dxa"/>
              <w:right w:w="20" w:type="dxa"/>
            </w:tcMar>
            <w:vAlign w:val="bottom"/>
          </w:tcPr>
          <w:p w14:paraId="5F2CCC39" w14:textId="77777777" w:rsidR="00E836FB" w:rsidRDefault="00E836FB">
            <w:pPr>
              <w:jc w:val="right"/>
              <w:rPr>
                <w:rFonts w:ascii="宋体"/>
              </w:rPr>
            </w:pPr>
          </w:p>
        </w:tc>
        <w:tc>
          <w:tcPr>
            <w:tcW w:w="0" w:type="auto"/>
            <w:gridSpan w:val="3"/>
            <w:shd w:val="clear" w:color="auto" w:fill="auto"/>
            <w:vAlign w:val="bottom"/>
          </w:tcPr>
          <w:p w14:paraId="5F2CCC3A" w14:textId="77777777" w:rsidR="00E836FB" w:rsidRDefault="00E836FB">
            <w:pPr>
              <w:rPr>
                <w:rFonts w:ascii="宋体"/>
                <w:vanish/>
              </w:rPr>
            </w:pPr>
          </w:p>
        </w:tc>
        <w:tc>
          <w:tcPr>
            <w:tcW w:w="0" w:type="auto"/>
            <w:gridSpan w:val="3"/>
            <w:shd w:val="clear" w:color="auto" w:fill="auto"/>
            <w:vAlign w:val="bottom"/>
          </w:tcPr>
          <w:p w14:paraId="5F2CCC3B" w14:textId="77777777" w:rsidR="00E836FB" w:rsidRDefault="00E836FB">
            <w:pPr>
              <w:rPr>
                <w:rFonts w:ascii="宋体"/>
                <w:vanish/>
              </w:rPr>
            </w:pPr>
          </w:p>
        </w:tc>
        <w:tc>
          <w:tcPr>
            <w:tcW w:w="0" w:type="auto"/>
            <w:gridSpan w:val="3"/>
            <w:shd w:val="clear" w:color="auto" w:fill="auto"/>
            <w:vAlign w:val="bottom"/>
          </w:tcPr>
          <w:p w14:paraId="5F2CCC3C" w14:textId="77777777" w:rsidR="00E836FB" w:rsidRDefault="00E836FB">
            <w:pPr>
              <w:rPr>
                <w:rFonts w:ascii="宋体"/>
                <w:vanish/>
              </w:rPr>
            </w:pPr>
          </w:p>
        </w:tc>
        <w:tc>
          <w:tcPr>
            <w:tcW w:w="0" w:type="auto"/>
            <w:gridSpan w:val="3"/>
            <w:shd w:val="clear" w:color="auto" w:fill="auto"/>
            <w:vAlign w:val="bottom"/>
          </w:tcPr>
          <w:p w14:paraId="5F2CCC3D" w14:textId="77777777" w:rsidR="00E836FB" w:rsidRDefault="00E836FB">
            <w:pPr>
              <w:rPr>
                <w:rFonts w:ascii="宋体"/>
                <w:vanish/>
              </w:rPr>
            </w:pPr>
          </w:p>
        </w:tc>
      </w:tr>
      <w:tr w:rsidR="00E836FB" w14:paraId="5F2CCC4C" w14:textId="77777777">
        <w:tc>
          <w:tcPr>
            <w:tcW w:w="0" w:type="auto"/>
            <w:gridSpan w:val="3"/>
            <w:shd w:val="clear" w:color="auto" w:fill="FFFFFF"/>
            <w:tcMar>
              <w:top w:w="40" w:type="dxa"/>
              <w:left w:w="20" w:type="dxa"/>
              <w:bottom w:w="40" w:type="dxa"/>
              <w:right w:w="20" w:type="dxa"/>
            </w:tcMar>
            <w:vAlign w:val="bottom"/>
          </w:tcPr>
          <w:p w14:paraId="5F2CCC3F"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CCC40" w14:textId="77777777" w:rsidR="00E836FB" w:rsidRDefault="00994958">
            <w:pPr>
              <w:jc w:val="right"/>
              <w:textAlignment w:val="bottom"/>
            </w:pPr>
            <w:r>
              <w:rPr>
                <w:rFonts w:ascii="Arial" w:eastAsia="宋体" w:hAnsi="Arial" w:cs="Arial"/>
                <w:b/>
                <w:bCs/>
                <w:color w:val="000000"/>
                <w:sz w:val="14"/>
                <w:szCs w:val="14"/>
              </w:rPr>
              <w:t>2,262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C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4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43" w14:textId="77777777" w:rsidR="00E836FB" w:rsidRDefault="00994958">
            <w:pPr>
              <w:jc w:val="right"/>
              <w:textAlignment w:val="bottom"/>
            </w:pPr>
            <w:r>
              <w:rPr>
                <w:rFonts w:ascii="Arial" w:eastAsia="宋体" w:hAnsi="Arial" w:cs="Arial"/>
                <w:color w:val="000000"/>
                <w:sz w:val="14"/>
                <w:szCs w:val="14"/>
              </w:rPr>
              <w:t>2,688 </w:t>
            </w:r>
          </w:p>
        </w:tc>
        <w:tc>
          <w:tcPr>
            <w:tcW w:w="0" w:type="auto"/>
            <w:shd w:val="clear" w:color="auto" w:fill="FFFFFF"/>
            <w:tcMar>
              <w:top w:w="40" w:type="dxa"/>
              <w:left w:w="0" w:type="dxa"/>
              <w:bottom w:w="40" w:type="dxa"/>
              <w:right w:w="20" w:type="dxa"/>
            </w:tcMar>
            <w:vAlign w:val="bottom"/>
          </w:tcPr>
          <w:p w14:paraId="5F2CCC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46" w14:textId="77777777" w:rsidR="00E836FB" w:rsidRDefault="00994958">
            <w:pPr>
              <w:jc w:val="right"/>
              <w:textAlignment w:val="bottom"/>
            </w:pPr>
            <w:r>
              <w:rPr>
                <w:rFonts w:ascii="Arial" w:eastAsia="宋体" w:hAnsi="Arial" w:cs="Arial"/>
                <w:color w:val="000000"/>
                <w:sz w:val="14"/>
                <w:szCs w:val="14"/>
              </w:rPr>
              <w:t>3,411 </w:t>
            </w:r>
          </w:p>
        </w:tc>
        <w:tc>
          <w:tcPr>
            <w:tcW w:w="0" w:type="auto"/>
            <w:shd w:val="clear" w:color="auto" w:fill="FFFFFF"/>
            <w:tcMar>
              <w:top w:w="40" w:type="dxa"/>
              <w:left w:w="0" w:type="dxa"/>
              <w:bottom w:w="40" w:type="dxa"/>
              <w:right w:w="20" w:type="dxa"/>
            </w:tcMar>
            <w:vAlign w:val="bottom"/>
          </w:tcPr>
          <w:p w14:paraId="5F2CCC47" w14:textId="77777777" w:rsidR="00E836FB" w:rsidRDefault="00E836FB">
            <w:pPr>
              <w:jc w:val="right"/>
              <w:rPr>
                <w:rFonts w:ascii="宋体"/>
              </w:rPr>
            </w:pPr>
          </w:p>
        </w:tc>
        <w:tc>
          <w:tcPr>
            <w:tcW w:w="0" w:type="auto"/>
            <w:gridSpan w:val="3"/>
            <w:shd w:val="clear" w:color="auto" w:fill="auto"/>
            <w:vAlign w:val="bottom"/>
          </w:tcPr>
          <w:p w14:paraId="5F2CCC48" w14:textId="77777777" w:rsidR="00E836FB" w:rsidRDefault="00E836FB">
            <w:pPr>
              <w:rPr>
                <w:rFonts w:ascii="宋体"/>
                <w:vanish/>
              </w:rPr>
            </w:pPr>
          </w:p>
        </w:tc>
        <w:tc>
          <w:tcPr>
            <w:tcW w:w="0" w:type="auto"/>
            <w:gridSpan w:val="3"/>
            <w:shd w:val="clear" w:color="auto" w:fill="auto"/>
            <w:vAlign w:val="bottom"/>
          </w:tcPr>
          <w:p w14:paraId="5F2CCC49" w14:textId="77777777" w:rsidR="00E836FB" w:rsidRDefault="00E836FB">
            <w:pPr>
              <w:rPr>
                <w:rFonts w:ascii="宋体"/>
                <w:vanish/>
              </w:rPr>
            </w:pPr>
          </w:p>
        </w:tc>
        <w:tc>
          <w:tcPr>
            <w:tcW w:w="0" w:type="auto"/>
            <w:gridSpan w:val="3"/>
            <w:shd w:val="clear" w:color="auto" w:fill="auto"/>
            <w:vAlign w:val="bottom"/>
          </w:tcPr>
          <w:p w14:paraId="5F2CCC4A" w14:textId="77777777" w:rsidR="00E836FB" w:rsidRDefault="00E836FB">
            <w:pPr>
              <w:rPr>
                <w:rFonts w:ascii="宋体"/>
                <w:vanish/>
              </w:rPr>
            </w:pPr>
          </w:p>
        </w:tc>
        <w:tc>
          <w:tcPr>
            <w:tcW w:w="0" w:type="auto"/>
            <w:gridSpan w:val="3"/>
            <w:shd w:val="clear" w:color="auto" w:fill="auto"/>
            <w:vAlign w:val="bottom"/>
          </w:tcPr>
          <w:p w14:paraId="5F2CCC4B" w14:textId="77777777" w:rsidR="00E836FB" w:rsidRDefault="00E836FB">
            <w:pPr>
              <w:rPr>
                <w:rFonts w:ascii="宋体"/>
                <w:vanish/>
              </w:rPr>
            </w:pPr>
          </w:p>
        </w:tc>
      </w:tr>
      <w:tr w:rsidR="00E836FB" w14:paraId="5F2CCC5A" w14:textId="77777777">
        <w:tc>
          <w:tcPr>
            <w:tcW w:w="0" w:type="auto"/>
            <w:gridSpan w:val="3"/>
            <w:shd w:val="clear" w:color="auto" w:fill="CCEEFF"/>
            <w:tcMar>
              <w:top w:w="40" w:type="dxa"/>
              <w:left w:w="140" w:type="dxa"/>
              <w:bottom w:w="40" w:type="dxa"/>
              <w:right w:w="20" w:type="dxa"/>
            </w:tcMar>
            <w:vAlign w:val="bottom"/>
          </w:tcPr>
          <w:p w14:paraId="5F2CCC4D" w14:textId="77777777" w:rsidR="00E836FB" w:rsidRDefault="00994958">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5F2CCC4E" w14:textId="77777777" w:rsidR="00E836FB" w:rsidRDefault="00994958">
            <w:pPr>
              <w:jc w:val="right"/>
              <w:textAlignment w:val="bottom"/>
            </w:pPr>
            <w:r>
              <w:rPr>
                <w:rFonts w:ascii="Arial" w:eastAsia="宋体" w:hAnsi="Arial" w:cs="Arial"/>
                <w:b/>
                <w:bCs/>
                <w:color w:val="000000"/>
                <w:sz w:val="14"/>
                <w:szCs w:val="14"/>
              </w:rPr>
              <w:t>2,554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C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51" w14:textId="77777777" w:rsidR="00E836FB" w:rsidRDefault="00994958">
            <w:pPr>
              <w:jc w:val="right"/>
              <w:textAlignment w:val="bottom"/>
            </w:pPr>
            <w:r>
              <w:rPr>
                <w:rFonts w:ascii="Arial" w:eastAsia="宋体" w:hAnsi="Arial" w:cs="Arial"/>
                <w:color w:val="000000"/>
                <w:sz w:val="14"/>
                <w:szCs w:val="14"/>
              </w:rPr>
              <w:t>2,096 </w:t>
            </w:r>
          </w:p>
        </w:tc>
        <w:tc>
          <w:tcPr>
            <w:tcW w:w="0" w:type="auto"/>
            <w:shd w:val="clear" w:color="auto" w:fill="CCEEFF"/>
            <w:tcMar>
              <w:top w:w="40" w:type="dxa"/>
              <w:left w:w="0" w:type="dxa"/>
              <w:bottom w:w="40" w:type="dxa"/>
              <w:right w:w="20" w:type="dxa"/>
            </w:tcMar>
            <w:vAlign w:val="bottom"/>
          </w:tcPr>
          <w:p w14:paraId="5F2CCC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54" w14:textId="77777777" w:rsidR="00E836FB" w:rsidRDefault="00994958">
            <w:pPr>
              <w:jc w:val="right"/>
              <w:textAlignment w:val="bottom"/>
            </w:pPr>
            <w:r>
              <w:rPr>
                <w:rFonts w:ascii="Arial" w:eastAsia="宋体" w:hAnsi="Arial" w:cs="Arial"/>
                <w:color w:val="000000"/>
                <w:sz w:val="14"/>
                <w:szCs w:val="14"/>
              </w:rPr>
              <w:t>1,766 </w:t>
            </w:r>
          </w:p>
        </w:tc>
        <w:tc>
          <w:tcPr>
            <w:tcW w:w="0" w:type="auto"/>
            <w:shd w:val="clear" w:color="auto" w:fill="CCEEFF"/>
            <w:tcMar>
              <w:top w:w="40" w:type="dxa"/>
              <w:left w:w="0" w:type="dxa"/>
              <w:bottom w:w="40" w:type="dxa"/>
              <w:right w:w="20" w:type="dxa"/>
            </w:tcMar>
            <w:vAlign w:val="bottom"/>
          </w:tcPr>
          <w:p w14:paraId="5F2CCC55" w14:textId="77777777" w:rsidR="00E836FB" w:rsidRDefault="00E836FB">
            <w:pPr>
              <w:jc w:val="right"/>
              <w:rPr>
                <w:rFonts w:ascii="宋体"/>
              </w:rPr>
            </w:pPr>
          </w:p>
        </w:tc>
        <w:tc>
          <w:tcPr>
            <w:tcW w:w="0" w:type="auto"/>
            <w:gridSpan w:val="3"/>
            <w:shd w:val="clear" w:color="auto" w:fill="auto"/>
            <w:vAlign w:val="bottom"/>
          </w:tcPr>
          <w:p w14:paraId="5F2CCC56" w14:textId="77777777" w:rsidR="00E836FB" w:rsidRDefault="00E836FB">
            <w:pPr>
              <w:rPr>
                <w:rFonts w:ascii="宋体"/>
                <w:vanish/>
              </w:rPr>
            </w:pPr>
          </w:p>
        </w:tc>
        <w:tc>
          <w:tcPr>
            <w:tcW w:w="0" w:type="auto"/>
            <w:gridSpan w:val="3"/>
            <w:shd w:val="clear" w:color="auto" w:fill="auto"/>
            <w:vAlign w:val="bottom"/>
          </w:tcPr>
          <w:p w14:paraId="5F2CCC57" w14:textId="77777777" w:rsidR="00E836FB" w:rsidRDefault="00E836FB">
            <w:pPr>
              <w:rPr>
                <w:rFonts w:ascii="宋体"/>
                <w:vanish/>
              </w:rPr>
            </w:pPr>
          </w:p>
        </w:tc>
        <w:tc>
          <w:tcPr>
            <w:tcW w:w="0" w:type="auto"/>
            <w:gridSpan w:val="3"/>
            <w:shd w:val="clear" w:color="auto" w:fill="auto"/>
            <w:vAlign w:val="bottom"/>
          </w:tcPr>
          <w:p w14:paraId="5F2CCC58" w14:textId="77777777" w:rsidR="00E836FB" w:rsidRDefault="00E836FB">
            <w:pPr>
              <w:rPr>
                <w:rFonts w:ascii="宋体"/>
                <w:vanish/>
              </w:rPr>
            </w:pPr>
          </w:p>
        </w:tc>
        <w:tc>
          <w:tcPr>
            <w:tcW w:w="0" w:type="auto"/>
            <w:gridSpan w:val="3"/>
            <w:shd w:val="clear" w:color="auto" w:fill="auto"/>
            <w:vAlign w:val="bottom"/>
          </w:tcPr>
          <w:p w14:paraId="5F2CCC59" w14:textId="77777777" w:rsidR="00E836FB" w:rsidRDefault="00E836FB">
            <w:pPr>
              <w:rPr>
                <w:rFonts w:ascii="宋体"/>
                <w:vanish/>
              </w:rPr>
            </w:pPr>
          </w:p>
        </w:tc>
      </w:tr>
      <w:tr w:rsidR="00E836FB" w14:paraId="5F2CCC65" w14:textId="77777777">
        <w:trPr>
          <w:hidden/>
        </w:trPr>
        <w:tc>
          <w:tcPr>
            <w:tcW w:w="0" w:type="auto"/>
            <w:gridSpan w:val="3"/>
            <w:shd w:val="clear" w:color="auto" w:fill="auto"/>
            <w:vAlign w:val="bottom"/>
          </w:tcPr>
          <w:p w14:paraId="5F2CCC5B" w14:textId="77777777" w:rsidR="00E836FB" w:rsidRDefault="00E836FB">
            <w:pPr>
              <w:rPr>
                <w:rFonts w:ascii="宋体"/>
                <w:vanish/>
              </w:rPr>
            </w:pPr>
          </w:p>
        </w:tc>
        <w:tc>
          <w:tcPr>
            <w:tcW w:w="0" w:type="auto"/>
            <w:gridSpan w:val="3"/>
            <w:shd w:val="clear" w:color="auto" w:fill="auto"/>
            <w:vAlign w:val="bottom"/>
          </w:tcPr>
          <w:p w14:paraId="5F2CCC5C" w14:textId="77777777" w:rsidR="00E836FB" w:rsidRDefault="00E836FB">
            <w:pPr>
              <w:rPr>
                <w:rFonts w:ascii="宋体"/>
                <w:vanish/>
              </w:rPr>
            </w:pPr>
          </w:p>
        </w:tc>
        <w:tc>
          <w:tcPr>
            <w:tcW w:w="0" w:type="auto"/>
            <w:gridSpan w:val="3"/>
            <w:shd w:val="clear" w:color="auto" w:fill="auto"/>
            <w:vAlign w:val="bottom"/>
          </w:tcPr>
          <w:p w14:paraId="5F2CCC5D" w14:textId="77777777" w:rsidR="00E836FB" w:rsidRDefault="00E836FB">
            <w:pPr>
              <w:rPr>
                <w:rFonts w:ascii="宋体"/>
                <w:vanish/>
              </w:rPr>
            </w:pPr>
          </w:p>
        </w:tc>
        <w:tc>
          <w:tcPr>
            <w:tcW w:w="0" w:type="auto"/>
            <w:gridSpan w:val="3"/>
            <w:shd w:val="clear" w:color="auto" w:fill="auto"/>
            <w:vAlign w:val="bottom"/>
          </w:tcPr>
          <w:p w14:paraId="5F2CCC5E" w14:textId="77777777" w:rsidR="00E836FB" w:rsidRDefault="00E836FB">
            <w:pPr>
              <w:rPr>
                <w:rFonts w:ascii="宋体"/>
                <w:vanish/>
              </w:rPr>
            </w:pPr>
          </w:p>
        </w:tc>
        <w:tc>
          <w:tcPr>
            <w:tcW w:w="0" w:type="auto"/>
            <w:gridSpan w:val="3"/>
            <w:shd w:val="clear" w:color="auto" w:fill="auto"/>
            <w:vAlign w:val="bottom"/>
          </w:tcPr>
          <w:p w14:paraId="5F2CCC5F" w14:textId="77777777" w:rsidR="00E836FB" w:rsidRDefault="00E836FB">
            <w:pPr>
              <w:rPr>
                <w:rFonts w:ascii="宋体"/>
                <w:vanish/>
              </w:rPr>
            </w:pPr>
          </w:p>
        </w:tc>
        <w:tc>
          <w:tcPr>
            <w:tcW w:w="0" w:type="auto"/>
            <w:gridSpan w:val="3"/>
            <w:shd w:val="clear" w:color="auto" w:fill="auto"/>
            <w:vAlign w:val="bottom"/>
          </w:tcPr>
          <w:p w14:paraId="5F2CCC60" w14:textId="77777777" w:rsidR="00E836FB" w:rsidRDefault="00E836FB">
            <w:pPr>
              <w:rPr>
                <w:rFonts w:ascii="宋体"/>
                <w:vanish/>
              </w:rPr>
            </w:pPr>
          </w:p>
        </w:tc>
        <w:tc>
          <w:tcPr>
            <w:tcW w:w="0" w:type="auto"/>
            <w:gridSpan w:val="3"/>
            <w:shd w:val="clear" w:color="auto" w:fill="auto"/>
            <w:vAlign w:val="bottom"/>
          </w:tcPr>
          <w:p w14:paraId="5F2CCC61" w14:textId="77777777" w:rsidR="00E836FB" w:rsidRDefault="00E836FB">
            <w:pPr>
              <w:rPr>
                <w:rFonts w:ascii="宋体"/>
                <w:vanish/>
              </w:rPr>
            </w:pPr>
          </w:p>
        </w:tc>
        <w:tc>
          <w:tcPr>
            <w:tcW w:w="0" w:type="auto"/>
            <w:gridSpan w:val="3"/>
            <w:shd w:val="clear" w:color="auto" w:fill="auto"/>
            <w:vAlign w:val="bottom"/>
          </w:tcPr>
          <w:p w14:paraId="5F2CCC62" w14:textId="77777777" w:rsidR="00E836FB" w:rsidRDefault="00E836FB">
            <w:pPr>
              <w:rPr>
                <w:rFonts w:ascii="宋体"/>
                <w:vanish/>
              </w:rPr>
            </w:pPr>
          </w:p>
        </w:tc>
        <w:tc>
          <w:tcPr>
            <w:tcW w:w="0" w:type="auto"/>
            <w:gridSpan w:val="3"/>
            <w:shd w:val="clear" w:color="auto" w:fill="auto"/>
            <w:vAlign w:val="bottom"/>
          </w:tcPr>
          <w:p w14:paraId="5F2CCC63" w14:textId="77777777" w:rsidR="00E836FB" w:rsidRDefault="00E836FB">
            <w:pPr>
              <w:rPr>
                <w:rFonts w:ascii="宋体"/>
                <w:vanish/>
              </w:rPr>
            </w:pPr>
          </w:p>
        </w:tc>
        <w:tc>
          <w:tcPr>
            <w:tcW w:w="0" w:type="auto"/>
            <w:gridSpan w:val="3"/>
            <w:shd w:val="clear" w:color="auto" w:fill="auto"/>
            <w:vAlign w:val="bottom"/>
          </w:tcPr>
          <w:p w14:paraId="5F2CCC64" w14:textId="77777777" w:rsidR="00E836FB" w:rsidRDefault="00E836FB">
            <w:pPr>
              <w:rPr>
                <w:rFonts w:ascii="宋体"/>
                <w:vanish/>
              </w:rPr>
            </w:pPr>
          </w:p>
        </w:tc>
      </w:tr>
      <w:tr w:rsidR="00E836FB" w14:paraId="5F2CCC73" w14:textId="77777777">
        <w:tc>
          <w:tcPr>
            <w:tcW w:w="0" w:type="auto"/>
            <w:gridSpan w:val="3"/>
            <w:shd w:val="clear" w:color="auto" w:fill="FFFFFF"/>
            <w:tcMar>
              <w:top w:w="40" w:type="dxa"/>
              <w:left w:w="380" w:type="dxa"/>
              <w:bottom w:w="40" w:type="dxa"/>
              <w:right w:w="20" w:type="dxa"/>
            </w:tcMar>
            <w:vAlign w:val="bottom"/>
          </w:tcPr>
          <w:p w14:paraId="5F2CCC66" w14:textId="77777777" w:rsidR="00E836FB" w:rsidRDefault="00994958">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C67" w14:textId="77777777" w:rsidR="00E836FB" w:rsidRDefault="00994958">
            <w:pPr>
              <w:jc w:val="right"/>
              <w:textAlignment w:val="bottom"/>
            </w:pPr>
            <w:r>
              <w:rPr>
                <w:rFonts w:ascii="Arial" w:eastAsia="宋体" w:hAnsi="Arial" w:cs="Arial"/>
                <w:b/>
                <w:bCs/>
                <w:color w:val="000000"/>
                <w:sz w:val="14"/>
                <w:szCs w:val="14"/>
              </w:rPr>
              <w:t>22,114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C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6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C6A" w14:textId="77777777" w:rsidR="00E836FB" w:rsidRDefault="00994958">
            <w:pPr>
              <w:jc w:val="right"/>
              <w:textAlignment w:val="bottom"/>
            </w:pPr>
            <w:r>
              <w:rPr>
                <w:rFonts w:ascii="Arial" w:eastAsia="宋体" w:hAnsi="Arial" w:cs="Arial"/>
                <w:color w:val="000000"/>
                <w:sz w:val="14"/>
                <w:szCs w:val="14"/>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C6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6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C6D" w14:textId="77777777" w:rsidR="00E836FB" w:rsidRDefault="00994958">
            <w:pPr>
              <w:jc w:val="right"/>
              <w:textAlignment w:val="bottom"/>
            </w:pPr>
            <w:r>
              <w:rPr>
                <w:rFonts w:ascii="Arial" w:eastAsia="宋体" w:hAnsi="Arial" w:cs="Arial"/>
                <w:color w:val="000000"/>
                <w:sz w:val="14"/>
                <w:szCs w:val="14"/>
              </w:rPr>
              <w:t>20,528 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C6E" w14:textId="77777777" w:rsidR="00E836FB" w:rsidRDefault="00E836FB">
            <w:pPr>
              <w:jc w:val="right"/>
              <w:rPr>
                <w:rFonts w:ascii="宋体"/>
              </w:rPr>
            </w:pPr>
          </w:p>
        </w:tc>
        <w:tc>
          <w:tcPr>
            <w:tcW w:w="0" w:type="auto"/>
            <w:gridSpan w:val="3"/>
            <w:shd w:val="clear" w:color="auto" w:fill="auto"/>
            <w:vAlign w:val="bottom"/>
          </w:tcPr>
          <w:p w14:paraId="5F2CCC6F" w14:textId="77777777" w:rsidR="00E836FB" w:rsidRDefault="00E836FB">
            <w:pPr>
              <w:rPr>
                <w:rFonts w:ascii="宋体"/>
                <w:vanish/>
              </w:rPr>
            </w:pPr>
          </w:p>
        </w:tc>
        <w:tc>
          <w:tcPr>
            <w:tcW w:w="0" w:type="auto"/>
            <w:gridSpan w:val="3"/>
            <w:shd w:val="clear" w:color="auto" w:fill="auto"/>
            <w:vAlign w:val="bottom"/>
          </w:tcPr>
          <w:p w14:paraId="5F2CCC70" w14:textId="77777777" w:rsidR="00E836FB" w:rsidRDefault="00E836FB">
            <w:pPr>
              <w:rPr>
                <w:rFonts w:ascii="宋体"/>
                <w:vanish/>
              </w:rPr>
            </w:pPr>
          </w:p>
        </w:tc>
        <w:tc>
          <w:tcPr>
            <w:tcW w:w="0" w:type="auto"/>
            <w:gridSpan w:val="3"/>
            <w:shd w:val="clear" w:color="auto" w:fill="auto"/>
            <w:vAlign w:val="bottom"/>
          </w:tcPr>
          <w:p w14:paraId="5F2CCC71" w14:textId="77777777" w:rsidR="00E836FB" w:rsidRDefault="00E836FB">
            <w:pPr>
              <w:rPr>
                <w:rFonts w:ascii="宋体"/>
                <w:vanish/>
              </w:rPr>
            </w:pPr>
          </w:p>
        </w:tc>
        <w:tc>
          <w:tcPr>
            <w:tcW w:w="0" w:type="auto"/>
            <w:gridSpan w:val="3"/>
            <w:shd w:val="clear" w:color="auto" w:fill="auto"/>
            <w:vAlign w:val="bottom"/>
          </w:tcPr>
          <w:p w14:paraId="5F2CCC72" w14:textId="77777777" w:rsidR="00E836FB" w:rsidRDefault="00E836FB">
            <w:pPr>
              <w:rPr>
                <w:rFonts w:ascii="宋体"/>
                <w:vanish/>
              </w:rPr>
            </w:pPr>
          </w:p>
        </w:tc>
      </w:tr>
      <w:tr w:rsidR="00E836FB" w14:paraId="5F2CCC7E" w14:textId="77777777">
        <w:tc>
          <w:tcPr>
            <w:tcW w:w="0" w:type="auto"/>
            <w:gridSpan w:val="3"/>
            <w:shd w:val="clear" w:color="auto" w:fill="CCEEFF"/>
            <w:tcMar>
              <w:top w:w="40" w:type="dxa"/>
              <w:left w:w="20" w:type="dxa"/>
              <w:bottom w:w="40" w:type="dxa"/>
              <w:right w:w="20" w:type="dxa"/>
            </w:tcMar>
            <w:vAlign w:val="bottom"/>
          </w:tcPr>
          <w:p w14:paraId="5F2CCC74" w14:textId="77777777" w:rsidR="00E836FB" w:rsidRDefault="00994958">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C7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C76"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C7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CC78"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CC79" w14:textId="77777777" w:rsidR="00E836FB" w:rsidRDefault="00E836FB">
            <w:pPr>
              <w:rPr>
                <w:rFonts w:ascii="宋体"/>
              </w:rPr>
            </w:pPr>
          </w:p>
        </w:tc>
        <w:tc>
          <w:tcPr>
            <w:tcW w:w="0" w:type="auto"/>
            <w:gridSpan w:val="3"/>
            <w:shd w:val="clear" w:color="auto" w:fill="auto"/>
            <w:vAlign w:val="bottom"/>
          </w:tcPr>
          <w:p w14:paraId="5F2CCC7A" w14:textId="77777777" w:rsidR="00E836FB" w:rsidRDefault="00E836FB">
            <w:pPr>
              <w:rPr>
                <w:rFonts w:ascii="宋体"/>
                <w:vanish/>
              </w:rPr>
            </w:pPr>
          </w:p>
        </w:tc>
        <w:tc>
          <w:tcPr>
            <w:tcW w:w="0" w:type="auto"/>
            <w:gridSpan w:val="3"/>
            <w:shd w:val="clear" w:color="auto" w:fill="auto"/>
            <w:vAlign w:val="bottom"/>
          </w:tcPr>
          <w:p w14:paraId="5F2CCC7B" w14:textId="77777777" w:rsidR="00E836FB" w:rsidRDefault="00E836FB">
            <w:pPr>
              <w:rPr>
                <w:rFonts w:ascii="宋体"/>
                <w:vanish/>
              </w:rPr>
            </w:pPr>
          </w:p>
        </w:tc>
        <w:tc>
          <w:tcPr>
            <w:tcW w:w="0" w:type="auto"/>
            <w:gridSpan w:val="3"/>
            <w:shd w:val="clear" w:color="auto" w:fill="auto"/>
            <w:vAlign w:val="bottom"/>
          </w:tcPr>
          <w:p w14:paraId="5F2CCC7C" w14:textId="77777777" w:rsidR="00E836FB" w:rsidRDefault="00E836FB">
            <w:pPr>
              <w:rPr>
                <w:rFonts w:ascii="宋体"/>
                <w:vanish/>
              </w:rPr>
            </w:pPr>
          </w:p>
        </w:tc>
        <w:tc>
          <w:tcPr>
            <w:tcW w:w="0" w:type="auto"/>
            <w:gridSpan w:val="3"/>
            <w:shd w:val="clear" w:color="auto" w:fill="auto"/>
            <w:vAlign w:val="bottom"/>
          </w:tcPr>
          <w:p w14:paraId="5F2CCC7D" w14:textId="77777777" w:rsidR="00E836FB" w:rsidRDefault="00E836FB">
            <w:pPr>
              <w:rPr>
                <w:rFonts w:ascii="宋体"/>
                <w:vanish/>
              </w:rPr>
            </w:pPr>
          </w:p>
        </w:tc>
      </w:tr>
      <w:tr w:rsidR="00E836FB" w14:paraId="5F2CCC89" w14:textId="77777777">
        <w:tc>
          <w:tcPr>
            <w:tcW w:w="0" w:type="auto"/>
            <w:gridSpan w:val="3"/>
            <w:shd w:val="clear" w:color="auto" w:fill="FFFFFF"/>
            <w:tcMar>
              <w:top w:w="40" w:type="dxa"/>
              <w:left w:w="140" w:type="dxa"/>
              <w:bottom w:w="40" w:type="dxa"/>
              <w:right w:w="20" w:type="dxa"/>
            </w:tcMar>
            <w:vAlign w:val="bottom"/>
          </w:tcPr>
          <w:p w14:paraId="5F2CCC7F"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vAlign w:val="bottom"/>
          </w:tcPr>
          <w:p w14:paraId="5F2CCC8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C8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C8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C8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C84" w14:textId="77777777" w:rsidR="00E836FB" w:rsidRDefault="00E836FB">
            <w:pPr>
              <w:rPr>
                <w:rFonts w:ascii="宋体"/>
              </w:rPr>
            </w:pPr>
          </w:p>
        </w:tc>
        <w:tc>
          <w:tcPr>
            <w:tcW w:w="0" w:type="auto"/>
            <w:gridSpan w:val="3"/>
            <w:shd w:val="clear" w:color="auto" w:fill="auto"/>
            <w:vAlign w:val="bottom"/>
          </w:tcPr>
          <w:p w14:paraId="5F2CCC85" w14:textId="77777777" w:rsidR="00E836FB" w:rsidRDefault="00E836FB">
            <w:pPr>
              <w:rPr>
                <w:rFonts w:ascii="宋体"/>
                <w:vanish/>
              </w:rPr>
            </w:pPr>
          </w:p>
        </w:tc>
        <w:tc>
          <w:tcPr>
            <w:tcW w:w="0" w:type="auto"/>
            <w:gridSpan w:val="3"/>
            <w:shd w:val="clear" w:color="auto" w:fill="auto"/>
            <w:vAlign w:val="bottom"/>
          </w:tcPr>
          <w:p w14:paraId="5F2CCC86" w14:textId="77777777" w:rsidR="00E836FB" w:rsidRDefault="00E836FB">
            <w:pPr>
              <w:rPr>
                <w:rFonts w:ascii="宋体"/>
                <w:vanish/>
              </w:rPr>
            </w:pPr>
          </w:p>
        </w:tc>
        <w:tc>
          <w:tcPr>
            <w:tcW w:w="0" w:type="auto"/>
            <w:gridSpan w:val="3"/>
            <w:shd w:val="clear" w:color="auto" w:fill="auto"/>
            <w:vAlign w:val="bottom"/>
          </w:tcPr>
          <w:p w14:paraId="5F2CCC87" w14:textId="77777777" w:rsidR="00E836FB" w:rsidRDefault="00E836FB">
            <w:pPr>
              <w:rPr>
                <w:rFonts w:ascii="宋体"/>
                <w:vanish/>
              </w:rPr>
            </w:pPr>
          </w:p>
        </w:tc>
        <w:tc>
          <w:tcPr>
            <w:tcW w:w="0" w:type="auto"/>
            <w:gridSpan w:val="3"/>
            <w:shd w:val="clear" w:color="auto" w:fill="auto"/>
            <w:vAlign w:val="bottom"/>
          </w:tcPr>
          <w:p w14:paraId="5F2CCC88" w14:textId="77777777" w:rsidR="00E836FB" w:rsidRDefault="00E836FB">
            <w:pPr>
              <w:rPr>
                <w:rFonts w:ascii="宋体"/>
                <w:vanish/>
              </w:rPr>
            </w:pPr>
          </w:p>
        </w:tc>
      </w:tr>
      <w:tr w:rsidR="00E836FB" w14:paraId="5F2CCC94" w14:textId="77777777">
        <w:trPr>
          <w:hidden/>
        </w:trPr>
        <w:tc>
          <w:tcPr>
            <w:tcW w:w="0" w:type="auto"/>
            <w:gridSpan w:val="3"/>
            <w:shd w:val="clear" w:color="auto" w:fill="auto"/>
            <w:vAlign w:val="bottom"/>
          </w:tcPr>
          <w:p w14:paraId="5F2CCC8A" w14:textId="77777777" w:rsidR="00E836FB" w:rsidRDefault="00E836FB">
            <w:pPr>
              <w:rPr>
                <w:rFonts w:ascii="宋体"/>
                <w:vanish/>
              </w:rPr>
            </w:pPr>
          </w:p>
        </w:tc>
        <w:tc>
          <w:tcPr>
            <w:tcW w:w="0" w:type="auto"/>
            <w:gridSpan w:val="3"/>
            <w:shd w:val="clear" w:color="auto" w:fill="auto"/>
            <w:vAlign w:val="bottom"/>
          </w:tcPr>
          <w:p w14:paraId="5F2CCC8B" w14:textId="77777777" w:rsidR="00E836FB" w:rsidRDefault="00E836FB">
            <w:pPr>
              <w:rPr>
                <w:rFonts w:ascii="宋体"/>
                <w:vanish/>
              </w:rPr>
            </w:pPr>
          </w:p>
        </w:tc>
        <w:tc>
          <w:tcPr>
            <w:tcW w:w="0" w:type="auto"/>
            <w:gridSpan w:val="3"/>
            <w:shd w:val="clear" w:color="auto" w:fill="auto"/>
            <w:vAlign w:val="bottom"/>
          </w:tcPr>
          <w:p w14:paraId="5F2CCC8C" w14:textId="77777777" w:rsidR="00E836FB" w:rsidRDefault="00E836FB">
            <w:pPr>
              <w:rPr>
                <w:rFonts w:ascii="宋体"/>
                <w:vanish/>
              </w:rPr>
            </w:pPr>
          </w:p>
        </w:tc>
        <w:tc>
          <w:tcPr>
            <w:tcW w:w="0" w:type="auto"/>
            <w:gridSpan w:val="3"/>
            <w:shd w:val="clear" w:color="auto" w:fill="auto"/>
            <w:vAlign w:val="bottom"/>
          </w:tcPr>
          <w:p w14:paraId="5F2CCC8D" w14:textId="77777777" w:rsidR="00E836FB" w:rsidRDefault="00E836FB">
            <w:pPr>
              <w:rPr>
                <w:rFonts w:ascii="宋体"/>
                <w:vanish/>
              </w:rPr>
            </w:pPr>
          </w:p>
        </w:tc>
        <w:tc>
          <w:tcPr>
            <w:tcW w:w="0" w:type="auto"/>
            <w:gridSpan w:val="3"/>
            <w:shd w:val="clear" w:color="auto" w:fill="auto"/>
            <w:vAlign w:val="bottom"/>
          </w:tcPr>
          <w:p w14:paraId="5F2CCC8E" w14:textId="77777777" w:rsidR="00E836FB" w:rsidRDefault="00E836FB">
            <w:pPr>
              <w:rPr>
                <w:rFonts w:ascii="宋体"/>
                <w:vanish/>
              </w:rPr>
            </w:pPr>
          </w:p>
        </w:tc>
        <w:tc>
          <w:tcPr>
            <w:tcW w:w="0" w:type="auto"/>
            <w:gridSpan w:val="3"/>
            <w:shd w:val="clear" w:color="auto" w:fill="auto"/>
            <w:vAlign w:val="bottom"/>
          </w:tcPr>
          <w:p w14:paraId="5F2CCC8F" w14:textId="77777777" w:rsidR="00E836FB" w:rsidRDefault="00E836FB">
            <w:pPr>
              <w:rPr>
                <w:rFonts w:ascii="宋体"/>
                <w:vanish/>
              </w:rPr>
            </w:pPr>
          </w:p>
        </w:tc>
        <w:tc>
          <w:tcPr>
            <w:tcW w:w="0" w:type="auto"/>
            <w:gridSpan w:val="3"/>
            <w:shd w:val="clear" w:color="auto" w:fill="auto"/>
            <w:vAlign w:val="bottom"/>
          </w:tcPr>
          <w:p w14:paraId="5F2CCC90" w14:textId="77777777" w:rsidR="00E836FB" w:rsidRDefault="00E836FB">
            <w:pPr>
              <w:rPr>
                <w:rFonts w:ascii="宋体"/>
                <w:vanish/>
              </w:rPr>
            </w:pPr>
          </w:p>
        </w:tc>
        <w:tc>
          <w:tcPr>
            <w:tcW w:w="0" w:type="auto"/>
            <w:gridSpan w:val="3"/>
            <w:shd w:val="clear" w:color="auto" w:fill="auto"/>
            <w:vAlign w:val="bottom"/>
          </w:tcPr>
          <w:p w14:paraId="5F2CCC91" w14:textId="77777777" w:rsidR="00E836FB" w:rsidRDefault="00E836FB">
            <w:pPr>
              <w:rPr>
                <w:rFonts w:ascii="宋体"/>
                <w:vanish/>
              </w:rPr>
            </w:pPr>
          </w:p>
        </w:tc>
        <w:tc>
          <w:tcPr>
            <w:tcW w:w="0" w:type="auto"/>
            <w:gridSpan w:val="3"/>
            <w:shd w:val="clear" w:color="auto" w:fill="auto"/>
            <w:vAlign w:val="bottom"/>
          </w:tcPr>
          <w:p w14:paraId="5F2CCC92" w14:textId="77777777" w:rsidR="00E836FB" w:rsidRDefault="00E836FB">
            <w:pPr>
              <w:rPr>
                <w:rFonts w:ascii="宋体"/>
                <w:vanish/>
              </w:rPr>
            </w:pPr>
          </w:p>
        </w:tc>
        <w:tc>
          <w:tcPr>
            <w:tcW w:w="0" w:type="auto"/>
            <w:gridSpan w:val="3"/>
            <w:shd w:val="clear" w:color="auto" w:fill="auto"/>
            <w:vAlign w:val="bottom"/>
          </w:tcPr>
          <w:p w14:paraId="5F2CCC93" w14:textId="77777777" w:rsidR="00E836FB" w:rsidRDefault="00E836FB">
            <w:pPr>
              <w:rPr>
                <w:rFonts w:ascii="宋体"/>
                <w:vanish/>
              </w:rPr>
            </w:pPr>
          </w:p>
        </w:tc>
      </w:tr>
      <w:tr w:rsidR="00E836FB" w14:paraId="5F2CCC9F" w14:textId="77777777">
        <w:trPr>
          <w:hidden/>
        </w:trPr>
        <w:tc>
          <w:tcPr>
            <w:tcW w:w="0" w:type="auto"/>
            <w:gridSpan w:val="3"/>
            <w:shd w:val="clear" w:color="auto" w:fill="auto"/>
            <w:vAlign w:val="bottom"/>
          </w:tcPr>
          <w:p w14:paraId="5F2CCC95" w14:textId="77777777" w:rsidR="00E836FB" w:rsidRDefault="00E836FB">
            <w:pPr>
              <w:rPr>
                <w:rFonts w:ascii="宋体"/>
                <w:vanish/>
              </w:rPr>
            </w:pPr>
          </w:p>
        </w:tc>
        <w:tc>
          <w:tcPr>
            <w:tcW w:w="0" w:type="auto"/>
            <w:gridSpan w:val="3"/>
            <w:shd w:val="clear" w:color="auto" w:fill="auto"/>
            <w:vAlign w:val="bottom"/>
          </w:tcPr>
          <w:p w14:paraId="5F2CCC96" w14:textId="77777777" w:rsidR="00E836FB" w:rsidRDefault="00E836FB">
            <w:pPr>
              <w:rPr>
                <w:rFonts w:ascii="宋体"/>
                <w:vanish/>
              </w:rPr>
            </w:pPr>
          </w:p>
        </w:tc>
        <w:tc>
          <w:tcPr>
            <w:tcW w:w="0" w:type="auto"/>
            <w:gridSpan w:val="3"/>
            <w:shd w:val="clear" w:color="auto" w:fill="auto"/>
            <w:vAlign w:val="bottom"/>
          </w:tcPr>
          <w:p w14:paraId="5F2CCC97" w14:textId="77777777" w:rsidR="00E836FB" w:rsidRDefault="00E836FB">
            <w:pPr>
              <w:rPr>
                <w:rFonts w:ascii="宋体"/>
                <w:vanish/>
              </w:rPr>
            </w:pPr>
          </w:p>
        </w:tc>
        <w:tc>
          <w:tcPr>
            <w:tcW w:w="0" w:type="auto"/>
            <w:gridSpan w:val="3"/>
            <w:shd w:val="clear" w:color="auto" w:fill="auto"/>
            <w:vAlign w:val="bottom"/>
          </w:tcPr>
          <w:p w14:paraId="5F2CCC98" w14:textId="77777777" w:rsidR="00E836FB" w:rsidRDefault="00E836FB">
            <w:pPr>
              <w:rPr>
                <w:rFonts w:ascii="宋体"/>
                <w:vanish/>
              </w:rPr>
            </w:pPr>
          </w:p>
        </w:tc>
        <w:tc>
          <w:tcPr>
            <w:tcW w:w="0" w:type="auto"/>
            <w:gridSpan w:val="3"/>
            <w:shd w:val="clear" w:color="auto" w:fill="auto"/>
            <w:vAlign w:val="bottom"/>
          </w:tcPr>
          <w:p w14:paraId="5F2CCC99" w14:textId="77777777" w:rsidR="00E836FB" w:rsidRDefault="00E836FB">
            <w:pPr>
              <w:rPr>
                <w:rFonts w:ascii="宋体"/>
                <w:vanish/>
              </w:rPr>
            </w:pPr>
          </w:p>
        </w:tc>
        <w:tc>
          <w:tcPr>
            <w:tcW w:w="0" w:type="auto"/>
            <w:gridSpan w:val="3"/>
            <w:shd w:val="clear" w:color="auto" w:fill="auto"/>
            <w:vAlign w:val="bottom"/>
          </w:tcPr>
          <w:p w14:paraId="5F2CCC9A" w14:textId="77777777" w:rsidR="00E836FB" w:rsidRDefault="00E836FB">
            <w:pPr>
              <w:rPr>
                <w:rFonts w:ascii="宋体"/>
                <w:vanish/>
              </w:rPr>
            </w:pPr>
          </w:p>
        </w:tc>
        <w:tc>
          <w:tcPr>
            <w:tcW w:w="0" w:type="auto"/>
            <w:gridSpan w:val="3"/>
            <w:shd w:val="clear" w:color="auto" w:fill="auto"/>
            <w:vAlign w:val="bottom"/>
          </w:tcPr>
          <w:p w14:paraId="5F2CCC9B" w14:textId="77777777" w:rsidR="00E836FB" w:rsidRDefault="00E836FB">
            <w:pPr>
              <w:rPr>
                <w:rFonts w:ascii="宋体"/>
                <w:vanish/>
              </w:rPr>
            </w:pPr>
          </w:p>
        </w:tc>
        <w:tc>
          <w:tcPr>
            <w:tcW w:w="0" w:type="auto"/>
            <w:gridSpan w:val="3"/>
            <w:shd w:val="clear" w:color="auto" w:fill="auto"/>
            <w:vAlign w:val="bottom"/>
          </w:tcPr>
          <w:p w14:paraId="5F2CCC9C" w14:textId="77777777" w:rsidR="00E836FB" w:rsidRDefault="00E836FB">
            <w:pPr>
              <w:rPr>
                <w:rFonts w:ascii="宋体"/>
                <w:vanish/>
              </w:rPr>
            </w:pPr>
          </w:p>
        </w:tc>
        <w:tc>
          <w:tcPr>
            <w:tcW w:w="0" w:type="auto"/>
            <w:gridSpan w:val="3"/>
            <w:shd w:val="clear" w:color="auto" w:fill="auto"/>
            <w:vAlign w:val="bottom"/>
          </w:tcPr>
          <w:p w14:paraId="5F2CCC9D" w14:textId="77777777" w:rsidR="00E836FB" w:rsidRDefault="00E836FB">
            <w:pPr>
              <w:rPr>
                <w:rFonts w:ascii="宋体"/>
                <w:vanish/>
              </w:rPr>
            </w:pPr>
          </w:p>
        </w:tc>
        <w:tc>
          <w:tcPr>
            <w:tcW w:w="0" w:type="auto"/>
            <w:gridSpan w:val="3"/>
            <w:shd w:val="clear" w:color="auto" w:fill="auto"/>
            <w:vAlign w:val="bottom"/>
          </w:tcPr>
          <w:p w14:paraId="5F2CCC9E" w14:textId="77777777" w:rsidR="00E836FB" w:rsidRDefault="00E836FB">
            <w:pPr>
              <w:rPr>
                <w:rFonts w:ascii="宋体"/>
                <w:vanish/>
              </w:rPr>
            </w:pPr>
          </w:p>
        </w:tc>
      </w:tr>
      <w:tr w:rsidR="00E836FB" w14:paraId="5F2CCCAD" w14:textId="77777777">
        <w:tc>
          <w:tcPr>
            <w:tcW w:w="0" w:type="auto"/>
            <w:gridSpan w:val="3"/>
            <w:shd w:val="clear" w:color="auto" w:fill="CCEEFF"/>
            <w:tcMar>
              <w:top w:w="40" w:type="dxa"/>
              <w:left w:w="20" w:type="dxa"/>
              <w:bottom w:w="40" w:type="dxa"/>
              <w:right w:w="20" w:type="dxa"/>
            </w:tcMar>
            <w:vAlign w:val="bottom"/>
          </w:tcPr>
          <w:p w14:paraId="5F2CCCA0" w14:textId="77777777" w:rsidR="00E836FB" w:rsidRDefault="00994958">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CCCA1" w14:textId="77777777" w:rsidR="00E836FB" w:rsidRDefault="00994958">
            <w:pPr>
              <w:jc w:val="right"/>
              <w:textAlignment w:val="bottom"/>
            </w:pPr>
            <w:r>
              <w:rPr>
                <w:rFonts w:ascii="Arial" w:eastAsia="宋体" w:hAnsi="Arial" w:cs="Arial"/>
                <w:b/>
                <w:bCs/>
                <w:color w:val="000000"/>
                <w:sz w:val="14"/>
                <w:szCs w:val="14"/>
              </w:rPr>
              <w:t>7,778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C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A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A4" w14:textId="77777777" w:rsidR="00E836FB" w:rsidRDefault="00994958">
            <w:pPr>
              <w:jc w:val="right"/>
              <w:textAlignment w:val="bottom"/>
            </w:pPr>
            <w:r>
              <w:rPr>
                <w:rFonts w:ascii="Arial" w:eastAsia="宋体" w:hAnsi="Arial" w:cs="Arial"/>
                <w:color w:val="000000"/>
                <w:sz w:val="14"/>
                <w:szCs w:val="14"/>
              </w:rPr>
              <w:t>4,432 </w:t>
            </w:r>
          </w:p>
        </w:tc>
        <w:tc>
          <w:tcPr>
            <w:tcW w:w="0" w:type="auto"/>
            <w:shd w:val="clear" w:color="auto" w:fill="CCEEFF"/>
            <w:tcMar>
              <w:top w:w="40" w:type="dxa"/>
              <w:left w:w="0" w:type="dxa"/>
              <w:bottom w:w="40" w:type="dxa"/>
              <w:right w:w="20" w:type="dxa"/>
            </w:tcMar>
            <w:vAlign w:val="bottom"/>
          </w:tcPr>
          <w:p w14:paraId="5F2CCC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A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A7" w14:textId="77777777" w:rsidR="00E836FB" w:rsidRDefault="00994958">
            <w:pPr>
              <w:jc w:val="right"/>
              <w:textAlignment w:val="bottom"/>
            </w:pPr>
            <w:r>
              <w:rPr>
                <w:rFonts w:ascii="Arial" w:eastAsia="宋体" w:hAnsi="Arial" w:cs="Arial"/>
                <w:color w:val="000000"/>
                <w:sz w:val="14"/>
                <w:szCs w:val="14"/>
              </w:rPr>
              <w:t>3,145 </w:t>
            </w:r>
          </w:p>
        </w:tc>
        <w:tc>
          <w:tcPr>
            <w:tcW w:w="0" w:type="auto"/>
            <w:shd w:val="clear" w:color="auto" w:fill="CCEEFF"/>
            <w:tcMar>
              <w:top w:w="40" w:type="dxa"/>
              <w:left w:w="0" w:type="dxa"/>
              <w:bottom w:w="40" w:type="dxa"/>
              <w:right w:w="20" w:type="dxa"/>
            </w:tcMar>
            <w:vAlign w:val="bottom"/>
          </w:tcPr>
          <w:p w14:paraId="5F2CCCA8" w14:textId="77777777" w:rsidR="00E836FB" w:rsidRDefault="00E836FB">
            <w:pPr>
              <w:jc w:val="right"/>
              <w:rPr>
                <w:rFonts w:ascii="宋体"/>
              </w:rPr>
            </w:pPr>
          </w:p>
        </w:tc>
        <w:tc>
          <w:tcPr>
            <w:tcW w:w="0" w:type="auto"/>
            <w:gridSpan w:val="3"/>
            <w:shd w:val="clear" w:color="auto" w:fill="auto"/>
            <w:vAlign w:val="bottom"/>
          </w:tcPr>
          <w:p w14:paraId="5F2CCCA9" w14:textId="77777777" w:rsidR="00E836FB" w:rsidRDefault="00E836FB">
            <w:pPr>
              <w:rPr>
                <w:rFonts w:ascii="宋体"/>
                <w:vanish/>
              </w:rPr>
            </w:pPr>
          </w:p>
        </w:tc>
        <w:tc>
          <w:tcPr>
            <w:tcW w:w="0" w:type="auto"/>
            <w:gridSpan w:val="3"/>
            <w:shd w:val="clear" w:color="auto" w:fill="auto"/>
            <w:vAlign w:val="bottom"/>
          </w:tcPr>
          <w:p w14:paraId="5F2CCCAA" w14:textId="77777777" w:rsidR="00E836FB" w:rsidRDefault="00E836FB">
            <w:pPr>
              <w:rPr>
                <w:rFonts w:ascii="宋体"/>
                <w:vanish/>
              </w:rPr>
            </w:pPr>
          </w:p>
        </w:tc>
        <w:tc>
          <w:tcPr>
            <w:tcW w:w="0" w:type="auto"/>
            <w:gridSpan w:val="3"/>
            <w:shd w:val="clear" w:color="auto" w:fill="auto"/>
            <w:vAlign w:val="bottom"/>
          </w:tcPr>
          <w:p w14:paraId="5F2CCCAB" w14:textId="77777777" w:rsidR="00E836FB" w:rsidRDefault="00E836FB">
            <w:pPr>
              <w:rPr>
                <w:rFonts w:ascii="宋体"/>
                <w:vanish/>
              </w:rPr>
            </w:pPr>
          </w:p>
        </w:tc>
        <w:tc>
          <w:tcPr>
            <w:tcW w:w="0" w:type="auto"/>
            <w:gridSpan w:val="3"/>
            <w:shd w:val="clear" w:color="auto" w:fill="auto"/>
            <w:vAlign w:val="bottom"/>
          </w:tcPr>
          <w:p w14:paraId="5F2CCCAC" w14:textId="77777777" w:rsidR="00E836FB" w:rsidRDefault="00E836FB">
            <w:pPr>
              <w:rPr>
                <w:rFonts w:ascii="宋体"/>
                <w:vanish/>
              </w:rPr>
            </w:pPr>
          </w:p>
        </w:tc>
      </w:tr>
      <w:tr w:rsidR="00E836FB" w14:paraId="5F2CCCBB" w14:textId="77777777">
        <w:tc>
          <w:tcPr>
            <w:tcW w:w="0" w:type="auto"/>
            <w:gridSpan w:val="3"/>
            <w:shd w:val="clear" w:color="auto" w:fill="FFFFFF"/>
            <w:tcMar>
              <w:top w:w="40" w:type="dxa"/>
              <w:left w:w="260" w:type="dxa"/>
              <w:bottom w:w="40" w:type="dxa"/>
              <w:right w:w="20" w:type="dxa"/>
            </w:tcMar>
            <w:vAlign w:val="bottom"/>
          </w:tcPr>
          <w:p w14:paraId="5F2CCCAE" w14:textId="77777777" w:rsidR="00E836FB" w:rsidRDefault="00994958">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5F2CCCAF" w14:textId="77777777" w:rsidR="00E836FB" w:rsidRDefault="00994958">
            <w:pPr>
              <w:jc w:val="right"/>
              <w:textAlignment w:val="bottom"/>
            </w:pPr>
            <w:r>
              <w:rPr>
                <w:rFonts w:ascii="Arial" w:eastAsia="宋体" w:hAnsi="Arial" w:cs="Arial"/>
                <w:b/>
                <w:bCs/>
                <w:color w:val="000000"/>
                <w:sz w:val="14"/>
                <w:szCs w:val="14"/>
              </w:rPr>
              <w:t>1,328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C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B2" w14:textId="77777777" w:rsidR="00E836FB" w:rsidRDefault="00994958">
            <w:pPr>
              <w:jc w:val="right"/>
              <w:textAlignment w:val="bottom"/>
            </w:pPr>
            <w:r>
              <w:rPr>
                <w:rFonts w:ascii="Arial" w:eastAsia="宋体" w:hAnsi="Arial" w:cs="Arial"/>
                <w:color w:val="000000"/>
                <w:sz w:val="14"/>
                <w:szCs w:val="14"/>
              </w:rPr>
              <w:t>1,242 </w:t>
            </w:r>
          </w:p>
        </w:tc>
        <w:tc>
          <w:tcPr>
            <w:tcW w:w="0" w:type="auto"/>
            <w:shd w:val="clear" w:color="auto" w:fill="FFFFFF"/>
            <w:tcMar>
              <w:top w:w="40" w:type="dxa"/>
              <w:left w:w="0" w:type="dxa"/>
              <w:bottom w:w="40" w:type="dxa"/>
              <w:right w:w="20" w:type="dxa"/>
            </w:tcMar>
            <w:vAlign w:val="bottom"/>
          </w:tcPr>
          <w:p w14:paraId="5F2CCC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B5" w14:textId="77777777" w:rsidR="00E836FB" w:rsidRDefault="00994958">
            <w:pPr>
              <w:jc w:val="right"/>
              <w:textAlignment w:val="bottom"/>
            </w:pPr>
            <w:r>
              <w:rPr>
                <w:rFonts w:ascii="Arial" w:eastAsia="宋体" w:hAnsi="Arial" w:cs="Arial"/>
                <w:color w:val="000000"/>
                <w:sz w:val="14"/>
                <w:szCs w:val="14"/>
              </w:rPr>
              <w:t>1,119 </w:t>
            </w:r>
          </w:p>
        </w:tc>
        <w:tc>
          <w:tcPr>
            <w:tcW w:w="0" w:type="auto"/>
            <w:shd w:val="clear" w:color="auto" w:fill="FFFFFF"/>
            <w:tcMar>
              <w:top w:w="40" w:type="dxa"/>
              <w:left w:w="0" w:type="dxa"/>
              <w:bottom w:w="40" w:type="dxa"/>
              <w:right w:w="20" w:type="dxa"/>
            </w:tcMar>
            <w:vAlign w:val="bottom"/>
          </w:tcPr>
          <w:p w14:paraId="5F2CCCB6" w14:textId="77777777" w:rsidR="00E836FB" w:rsidRDefault="00E836FB">
            <w:pPr>
              <w:jc w:val="right"/>
              <w:rPr>
                <w:rFonts w:ascii="宋体"/>
              </w:rPr>
            </w:pPr>
          </w:p>
        </w:tc>
        <w:tc>
          <w:tcPr>
            <w:tcW w:w="0" w:type="auto"/>
            <w:gridSpan w:val="3"/>
            <w:shd w:val="clear" w:color="auto" w:fill="auto"/>
            <w:vAlign w:val="bottom"/>
          </w:tcPr>
          <w:p w14:paraId="5F2CCCB7" w14:textId="77777777" w:rsidR="00E836FB" w:rsidRDefault="00E836FB">
            <w:pPr>
              <w:rPr>
                <w:rFonts w:ascii="宋体"/>
                <w:vanish/>
              </w:rPr>
            </w:pPr>
          </w:p>
        </w:tc>
        <w:tc>
          <w:tcPr>
            <w:tcW w:w="0" w:type="auto"/>
            <w:gridSpan w:val="3"/>
            <w:shd w:val="clear" w:color="auto" w:fill="auto"/>
            <w:vAlign w:val="bottom"/>
          </w:tcPr>
          <w:p w14:paraId="5F2CCCB8" w14:textId="77777777" w:rsidR="00E836FB" w:rsidRDefault="00E836FB">
            <w:pPr>
              <w:rPr>
                <w:rFonts w:ascii="宋体"/>
                <w:vanish/>
              </w:rPr>
            </w:pPr>
          </w:p>
        </w:tc>
        <w:tc>
          <w:tcPr>
            <w:tcW w:w="0" w:type="auto"/>
            <w:gridSpan w:val="3"/>
            <w:shd w:val="clear" w:color="auto" w:fill="auto"/>
            <w:vAlign w:val="bottom"/>
          </w:tcPr>
          <w:p w14:paraId="5F2CCCB9" w14:textId="77777777" w:rsidR="00E836FB" w:rsidRDefault="00E836FB">
            <w:pPr>
              <w:rPr>
                <w:rFonts w:ascii="宋体"/>
                <w:vanish/>
              </w:rPr>
            </w:pPr>
          </w:p>
        </w:tc>
        <w:tc>
          <w:tcPr>
            <w:tcW w:w="0" w:type="auto"/>
            <w:gridSpan w:val="3"/>
            <w:shd w:val="clear" w:color="auto" w:fill="auto"/>
            <w:vAlign w:val="bottom"/>
          </w:tcPr>
          <w:p w14:paraId="5F2CCCBA" w14:textId="77777777" w:rsidR="00E836FB" w:rsidRDefault="00E836FB">
            <w:pPr>
              <w:rPr>
                <w:rFonts w:ascii="宋体"/>
                <w:vanish/>
              </w:rPr>
            </w:pPr>
          </w:p>
        </w:tc>
      </w:tr>
      <w:tr w:rsidR="00E836FB" w14:paraId="5F2CCCC9" w14:textId="77777777">
        <w:tc>
          <w:tcPr>
            <w:tcW w:w="0" w:type="auto"/>
            <w:gridSpan w:val="3"/>
            <w:shd w:val="clear" w:color="auto" w:fill="CCEEFF"/>
            <w:tcMar>
              <w:top w:w="40" w:type="dxa"/>
              <w:left w:w="260" w:type="dxa"/>
              <w:bottom w:w="40" w:type="dxa"/>
              <w:right w:w="20" w:type="dxa"/>
            </w:tcMar>
            <w:vAlign w:val="bottom"/>
          </w:tcPr>
          <w:p w14:paraId="5F2CCCBC" w14:textId="77777777" w:rsidR="00E836FB" w:rsidRDefault="00994958">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5F2CCCBD" w14:textId="77777777" w:rsidR="00E836FB" w:rsidRDefault="00994958">
            <w:pPr>
              <w:jc w:val="right"/>
              <w:textAlignment w:val="bottom"/>
            </w:pPr>
            <w:r>
              <w:rPr>
                <w:rFonts w:ascii="Arial" w:eastAsia="宋体" w:hAnsi="Arial" w:cs="Arial"/>
                <w:b/>
                <w:bCs/>
                <w:color w:val="000000"/>
                <w:sz w:val="14"/>
                <w:szCs w:val="14"/>
              </w:rPr>
              <w:t>1,312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C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B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C0" w14:textId="77777777" w:rsidR="00E836FB" w:rsidRDefault="00994958">
            <w:pPr>
              <w:jc w:val="right"/>
              <w:textAlignment w:val="bottom"/>
            </w:pPr>
            <w:r>
              <w:rPr>
                <w:rFonts w:ascii="Arial" w:eastAsia="宋体" w:hAnsi="Arial" w:cs="Arial"/>
                <w:color w:val="000000"/>
                <w:sz w:val="14"/>
                <w:szCs w:val="14"/>
              </w:rPr>
              <w:t>1,088 </w:t>
            </w:r>
          </w:p>
        </w:tc>
        <w:tc>
          <w:tcPr>
            <w:tcW w:w="0" w:type="auto"/>
            <w:shd w:val="clear" w:color="auto" w:fill="CCEEFF"/>
            <w:tcMar>
              <w:top w:w="40" w:type="dxa"/>
              <w:left w:w="0" w:type="dxa"/>
              <w:bottom w:w="40" w:type="dxa"/>
              <w:right w:w="20" w:type="dxa"/>
            </w:tcMar>
            <w:vAlign w:val="bottom"/>
          </w:tcPr>
          <w:p w14:paraId="5F2CCC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C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C3" w14:textId="77777777" w:rsidR="00E836FB" w:rsidRDefault="00994958">
            <w:pPr>
              <w:jc w:val="right"/>
              <w:textAlignment w:val="bottom"/>
            </w:pPr>
            <w:r>
              <w:rPr>
                <w:rFonts w:ascii="Arial" w:eastAsia="宋体" w:hAnsi="Arial" w:cs="Arial"/>
                <w:color w:val="000000"/>
                <w:sz w:val="14"/>
                <w:szCs w:val="14"/>
              </w:rPr>
              <w:t>1,517 </w:t>
            </w:r>
          </w:p>
        </w:tc>
        <w:tc>
          <w:tcPr>
            <w:tcW w:w="0" w:type="auto"/>
            <w:shd w:val="clear" w:color="auto" w:fill="CCEEFF"/>
            <w:tcMar>
              <w:top w:w="40" w:type="dxa"/>
              <w:left w:w="0" w:type="dxa"/>
              <w:bottom w:w="40" w:type="dxa"/>
              <w:right w:w="20" w:type="dxa"/>
            </w:tcMar>
            <w:vAlign w:val="bottom"/>
          </w:tcPr>
          <w:p w14:paraId="5F2CCCC4" w14:textId="77777777" w:rsidR="00E836FB" w:rsidRDefault="00E836FB">
            <w:pPr>
              <w:jc w:val="right"/>
              <w:rPr>
                <w:rFonts w:ascii="宋体"/>
              </w:rPr>
            </w:pPr>
          </w:p>
        </w:tc>
        <w:tc>
          <w:tcPr>
            <w:tcW w:w="0" w:type="auto"/>
            <w:gridSpan w:val="3"/>
            <w:shd w:val="clear" w:color="auto" w:fill="auto"/>
            <w:vAlign w:val="bottom"/>
          </w:tcPr>
          <w:p w14:paraId="5F2CCCC5" w14:textId="77777777" w:rsidR="00E836FB" w:rsidRDefault="00E836FB">
            <w:pPr>
              <w:rPr>
                <w:rFonts w:ascii="宋体"/>
                <w:vanish/>
              </w:rPr>
            </w:pPr>
          </w:p>
        </w:tc>
        <w:tc>
          <w:tcPr>
            <w:tcW w:w="0" w:type="auto"/>
            <w:gridSpan w:val="3"/>
            <w:shd w:val="clear" w:color="auto" w:fill="auto"/>
            <w:vAlign w:val="bottom"/>
          </w:tcPr>
          <w:p w14:paraId="5F2CCCC6" w14:textId="77777777" w:rsidR="00E836FB" w:rsidRDefault="00E836FB">
            <w:pPr>
              <w:rPr>
                <w:rFonts w:ascii="宋体"/>
                <w:vanish/>
              </w:rPr>
            </w:pPr>
          </w:p>
        </w:tc>
        <w:tc>
          <w:tcPr>
            <w:tcW w:w="0" w:type="auto"/>
            <w:gridSpan w:val="3"/>
            <w:shd w:val="clear" w:color="auto" w:fill="auto"/>
            <w:vAlign w:val="bottom"/>
          </w:tcPr>
          <w:p w14:paraId="5F2CCCC7" w14:textId="77777777" w:rsidR="00E836FB" w:rsidRDefault="00E836FB">
            <w:pPr>
              <w:rPr>
                <w:rFonts w:ascii="宋体"/>
                <w:vanish/>
              </w:rPr>
            </w:pPr>
          </w:p>
        </w:tc>
        <w:tc>
          <w:tcPr>
            <w:tcW w:w="0" w:type="auto"/>
            <w:gridSpan w:val="3"/>
            <w:shd w:val="clear" w:color="auto" w:fill="auto"/>
            <w:vAlign w:val="bottom"/>
          </w:tcPr>
          <w:p w14:paraId="5F2CCCC8" w14:textId="77777777" w:rsidR="00E836FB" w:rsidRDefault="00E836FB">
            <w:pPr>
              <w:rPr>
                <w:rFonts w:ascii="宋体"/>
                <w:vanish/>
              </w:rPr>
            </w:pPr>
          </w:p>
        </w:tc>
      </w:tr>
      <w:tr w:rsidR="00E836FB" w14:paraId="5F2CCCD7" w14:textId="77777777">
        <w:tc>
          <w:tcPr>
            <w:tcW w:w="0" w:type="auto"/>
            <w:gridSpan w:val="3"/>
            <w:shd w:val="clear" w:color="auto" w:fill="FFFFFF"/>
            <w:tcMar>
              <w:top w:w="40" w:type="dxa"/>
              <w:left w:w="20" w:type="dxa"/>
              <w:bottom w:w="40" w:type="dxa"/>
              <w:right w:w="20" w:type="dxa"/>
            </w:tcMar>
            <w:vAlign w:val="bottom"/>
          </w:tcPr>
          <w:p w14:paraId="5F2CCCCA"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CCCC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C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C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CE" w14:textId="77777777" w:rsidR="00E836FB" w:rsidRDefault="00994958">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F2CCC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D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CD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CD2" w14:textId="77777777" w:rsidR="00E836FB" w:rsidRDefault="00E836FB">
            <w:pPr>
              <w:jc w:val="right"/>
              <w:rPr>
                <w:rFonts w:ascii="宋体"/>
              </w:rPr>
            </w:pPr>
          </w:p>
        </w:tc>
        <w:tc>
          <w:tcPr>
            <w:tcW w:w="0" w:type="auto"/>
            <w:gridSpan w:val="3"/>
            <w:shd w:val="clear" w:color="auto" w:fill="auto"/>
            <w:vAlign w:val="bottom"/>
          </w:tcPr>
          <w:p w14:paraId="5F2CCCD3" w14:textId="77777777" w:rsidR="00E836FB" w:rsidRDefault="00E836FB">
            <w:pPr>
              <w:rPr>
                <w:rFonts w:ascii="宋体"/>
                <w:vanish/>
              </w:rPr>
            </w:pPr>
          </w:p>
        </w:tc>
        <w:tc>
          <w:tcPr>
            <w:tcW w:w="0" w:type="auto"/>
            <w:gridSpan w:val="3"/>
            <w:shd w:val="clear" w:color="auto" w:fill="auto"/>
            <w:vAlign w:val="bottom"/>
          </w:tcPr>
          <w:p w14:paraId="5F2CCCD4" w14:textId="77777777" w:rsidR="00E836FB" w:rsidRDefault="00E836FB">
            <w:pPr>
              <w:rPr>
                <w:rFonts w:ascii="宋体"/>
                <w:vanish/>
              </w:rPr>
            </w:pPr>
          </w:p>
        </w:tc>
        <w:tc>
          <w:tcPr>
            <w:tcW w:w="0" w:type="auto"/>
            <w:gridSpan w:val="3"/>
            <w:shd w:val="clear" w:color="auto" w:fill="auto"/>
            <w:vAlign w:val="bottom"/>
          </w:tcPr>
          <w:p w14:paraId="5F2CCCD5" w14:textId="77777777" w:rsidR="00E836FB" w:rsidRDefault="00E836FB">
            <w:pPr>
              <w:rPr>
                <w:rFonts w:ascii="宋体"/>
                <w:vanish/>
              </w:rPr>
            </w:pPr>
          </w:p>
        </w:tc>
        <w:tc>
          <w:tcPr>
            <w:tcW w:w="0" w:type="auto"/>
            <w:gridSpan w:val="3"/>
            <w:shd w:val="clear" w:color="auto" w:fill="auto"/>
            <w:vAlign w:val="bottom"/>
          </w:tcPr>
          <w:p w14:paraId="5F2CCCD6" w14:textId="77777777" w:rsidR="00E836FB" w:rsidRDefault="00E836FB">
            <w:pPr>
              <w:rPr>
                <w:rFonts w:ascii="宋体"/>
                <w:vanish/>
              </w:rPr>
            </w:pPr>
          </w:p>
        </w:tc>
      </w:tr>
      <w:tr w:rsidR="00E836FB" w14:paraId="5F2CCCE5" w14:textId="77777777">
        <w:tc>
          <w:tcPr>
            <w:tcW w:w="0" w:type="auto"/>
            <w:gridSpan w:val="3"/>
            <w:shd w:val="clear" w:color="auto" w:fill="CCEEFF"/>
            <w:tcMar>
              <w:top w:w="40" w:type="dxa"/>
              <w:left w:w="380" w:type="dxa"/>
              <w:bottom w:w="40" w:type="dxa"/>
              <w:right w:w="20" w:type="dxa"/>
            </w:tcMar>
            <w:vAlign w:val="bottom"/>
          </w:tcPr>
          <w:p w14:paraId="5F2CCCD8" w14:textId="77777777" w:rsidR="00E836FB" w:rsidRDefault="00994958">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CD9" w14:textId="77777777" w:rsidR="00E836FB" w:rsidRDefault="00994958">
            <w:pPr>
              <w:jc w:val="right"/>
              <w:textAlignment w:val="bottom"/>
            </w:pPr>
            <w:r>
              <w:rPr>
                <w:rFonts w:ascii="Arial" w:eastAsia="宋体" w:hAnsi="Arial" w:cs="Arial"/>
                <w:b/>
                <w:bCs/>
                <w:color w:val="000000"/>
                <w:sz w:val="14"/>
                <w:szCs w:val="14"/>
              </w:rPr>
              <w:t>10,418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C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D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CDC" w14:textId="77777777" w:rsidR="00E836FB" w:rsidRDefault="00994958">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CD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D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CDF" w14:textId="77777777" w:rsidR="00E836FB" w:rsidRDefault="00994958">
            <w:pPr>
              <w:jc w:val="right"/>
              <w:textAlignment w:val="bottom"/>
            </w:pPr>
            <w:r>
              <w:rPr>
                <w:rFonts w:ascii="Arial" w:eastAsia="宋体" w:hAnsi="Arial" w:cs="Arial"/>
                <w:color w:val="000000"/>
                <w:sz w:val="14"/>
                <w:szCs w:val="14"/>
              </w:rPr>
              <w:t>5,781 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CE0" w14:textId="77777777" w:rsidR="00E836FB" w:rsidRDefault="00E836FB">
            <w:pPr>
              <w:jc w:val="right"/>
              <w:rPr>
                <w:rFonts w:ascii="宋体"/>
              </w:rPr>
            </w:pPr>
          </w:p>
        </w:tc>
        <w:tc>
          <w:tcPr>
            <w:tcW w:w="0" w:type="auto"/>
            <w:gridSpan w:val="3"/>
            <w:shd w:val="clear" w:color="auto" w:fill="auto"/>
            <w:vAlign w:val="bottom"/>
          </w:tcPr>
          <w:p w14:paraId="5F2CCCE1" w14:textId="77777777" w:rsidR="00E836FB" w:rsidRDefault="00E836FB">
            <w:pPr>
              <w:rPr>
                <w:rFonts w:ascii="宋体"/>
                <w:vanish/>
              </w:rPr>
            </w:pPr>
          </w:p>
        </w:tc>
        <w:tc>
          <w:tcPr>
            <w:tcW w:w="0" w:type="auto"/>
            <w:gridSpan w:val="3"/>
            <w:shd w:val="clear" w:color="auto" w:fill="auto"/>
            <w:vAlign w:val="bottom"/>
          </w:tcPr>
          <w:p w14:paraId="5F2CCCE2" w14:textId="77777777" w:rsidR="00E836FB" w:rsidRDefault="00E836FB">
            <w:pPr>
              <w:rPr>
                <w:rFonts w:ascii="宋体"/>
                <w:vanish/>
              </w:rPr>
            </w:pPr>
          </w:p>
        </w:tc>
        <w:tc>
          <w:tcPr>
            <w:tcW w:w="0" w:type="auto"/>
            <w:gridSpan w:val="3"/>
            <w:shd w:val="clear" w:color="auto" w:fill="auto"/>
            <w:vAlign w:val="bottom"/>
          </w:tcPr>
          <w:p w14:paraId="5F2CCCE3" w14:textId="77777777" w:rsidR="00E836FB" w:rsidRDefault="00E836FB">
            <w:pPr>
              <w:rPr>
                <w:rFonts w:ascii="宋体"/>
                <w:vanish/>
              </w:rPr>
            </w:pPr>
          </w:p>
        </w:tc>
        <w:tc>
          <w:tcPr>
            <w:tcW w:w="0" w:type="auto"/>
            <w:gridSpan w:val="3"/>
            <w:shd w:val="clear" w:color="auto" w:fill="auto"/>
            <w:vAlign w:val="bottom"/>
          </w:tcPr>
          <w:p w14:paraId="5F2CCCE4" w14:textId="77777777" w:rsidR="00E836FB" w:rsidRDefault="00E836FB">
            <w:pPr>
              <w:rPr>
                <w:rFonts w:ascii="宋体"/>
                <w:vanish/>
              </w:rPr>
            </w:pPr>
          </w:p>
        </w:tc>
      </w:tr>
      <w:tr w:rsidR="00E836FB" w14:paraId="5F2CCCF3" w14:textId="77777777">
        <w:tc>
          <w:tcPr>
            <w:tcW w:w="0" w:type="auto"/>
            <w:gridSpan w:val="3"/>
            <w:shd w:val="clear" w:color="auto" w:fill="FFFFFF"/>
            <w:tcMar>
              <w:top w:w="40" w:type="dxa"/>
              <w:left w:w="20" w:type="dxa"/>
              <w:bottom w:w="40" w:type="dxa"/>
              <w:right w:w="20" w:type="dxa"/>
            </w:tcMar>
            <w:vAlign w:val="bottom"/>
          </w:tcPr>
          <w:p w14:paraId="5F2CCCE6" w14:textId="77777777" w:rsidR="00E836FB" w:rsidRDefault="00994958">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(4)</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CE7" w14:textId="77777777" w:rsidR="00E836FB" w:rsidRDefault="00994958">
            <w:pPr>
              <w:jc w:val="right"/>
              <w:textAlignment w:val="bottom"/>
            </w:pPr>
            <w:r>
              <w:rPr>
                <w:rFonts w:ascii="Arial" w:eastAsia="宋体" w:hAnsi="Arial" w:cs="Arial"/>
                <w:b/>
                <w:bCs/>
                <w:color w:val="000000"/>
                <w:sz w:val="14"/>
                <w:szCs w:val="14"/>
              </w:rPr>
              <w:t>32,532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CE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E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CEA" w14:textId="77777777" w:rsidR="00E836FB" w:rsidRDefault="00994958">
            <w:pPr>
              <w:jc w:val="right"/>
              <w:textAlignment w:val="bottom"/>
            </w:pPr>
            <w:r>
              <w:rPr>
                <w:rFonts w:ascii="Arial" w:eastAsia="宋体" w:hAnsi="Arial" w:cs="Arial"/>
                <w:color w:val="000000"/>
                <w:sz w:val="14"/>
                <w:szCs w:val="14"/>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CE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CE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CED" w14:textId="77777777" w:rsidR="00E836FB" w:rsidRDefault="00994958">
            <w:pPr>
              <w:jc w:val="right"/>
              <w:textAlignment w:val="bottom"/>
            </w:pPr>
            <w:r>
              <w:rPr>
                <w:rFonts w:ascii="Arial" w:eastAsia="宋体" w:hAnsi="Arial" w:cs="Arial"/>
                <w:color w:val="000000"/>
                <w:sz w:val="14"/>
                <w:szCs w:val="14"/>
              </w:rPr>
              <w:t>26,309 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CEE" w14:textId="77777777" w:rsidR="00E836FB" w:rsidRDefault="00E836FB">
            <w:pPr>
              <w:jc w:val="right"/>
              <w:rPr>
                <w:rFonts w:ascii="宋体"/>
              </w:rPr>
            </w:pPr>
          </w:p>
        </w:tc>
        <w:tc>
          <w:tcPr>
            <w:tcW w:w="0" w:type="auto"/>
            <w:gridSpan w:val="3"/>
            <w:shd w:val="clear" w:color="auto" w:fill="auto"/>
            <w:vAlign w:val="bottom"/>
          </w:tcPr>
          <w:p w14:paraId="5F2CCCEF" w14:textId="77777777" w:rsidR="00E836FB" w:rsidRDefault="00E836FB">
            <w:pPr>
              <w:rPr>
                <w:rFonts w:ascii="宋体"/>
                <w:vanish/>
              </w:rPr>
            </w:pPr>
          </w:p>
        </w:tc>
        <w:tc>
          <w:tcPr>
            <w:tcW w:w="0" w:type="auto"/>
            <w:gridSpan w:val="3"/>
            <w:shd w:val="clear" w:color="auto" w:fill="auto"/>
            <w:vAlign w:val="bottom"/>
          </w:tcPr>
          <w:p w14:paraId="5F2CCCF0" w14:textId="77777777" w:rsidR="00E836FB" w:rsidRDefault="00E836FB">
            <w:pPr>
              <w:rPr>
                <w:rFonts w:ascii="宋体"/>
                <w:vanish/>
              </w:rPr>
            </w:pPr>
          </w:p>
        </w:tc>
        <w:tc>
          <w:tcPr>
            <w:tcW w:w="0" w:type="auto"/>
            <w:gridSpan w:val="3"/>
            <w:shd w:val="clear" w:color="auto" w:fill="auto"/>
            <w:vAlign w:val="bottom"/>
          </w:tcPr>
          <w:p w14:paraId="5F2CCCF1" w14:textId="77777777" w:rsidR="00E836FB" w:rsidRDefault="00E836FB">
            <w:pPr>
              <w:rPr>
                <w:rFonts w:ascii="宋体"/>
                <w:vanish/>
              </w:rPr>
            </w:pPr>
          </w:p>
        </w:tc>
        <w:tc>
          <w:tcPr>
            <w:tcW w:w="0" w:type="auto"/>
            <w:gridSpan w:val="3"/>
            <w:shd w:val="clear" w:color="auto" w:fill="auto"/>
            <w:vAlign w:val="bottom"/>
          </w:tcPr>
          <w:p w14:paraId="5F2CCCF2" w14:textId="77777777" w:rsidR="00E836FB" w:rsidRDefault="00E836FB">
            <w:pPr>
              <w:rPr>
                <w:rFonts w:ascii="宋体"/>
                <w:vanish/>
              </w:rPr>
            </w:pPr>
          </w:p>
        </w:tc>
      </w:tr>
      <w:tr w:rsidR="00E836FB" w14:paraId="5F2CCD01" w14:textId="77777777">
        <w:tc>
          <w:tcPr>
            <w:tcW w:w="0" w:type="auto"/>
            <w:gridSpan w:val="3"/>
            <w:shd w:val="clear" w:color="auto" w:fill="CCEEFF"/>
            <w:tcMar>
              <w:top w:w="40" w:type="dxa"/>
              <w:left w:w="20" w:type="dxa"/>
              <w:bottom w:w="40" w:type="dxa"/>
              <w:right w:w="20" w:type="dxa"/>
            </w:tcMar>
            <w:vAlign w:val="bottom"/>
          </w:tcPr>
          <w:p w14:paraId="5F2CCCF4" w14:textId="77777777" w:rsidR="00E836FB" w:rsidRDefault="00994958">
            <w:pPr>
              <w:textAlignment w:val="bottom"/>
            </w:pPr>
            <w:r>
              <w:rPr>
                <w:rFonts w:ascii="Arial" w:eastAsia="宋体" w:hAnsi="Arial" w:cs="Arial"/>
                <w:color w:val="000000"/>
                <w:sz w:val="14"/>
                <w:szCs w:val="14"/>
              </w:rPr>
              <w:t>Allowance for loan losses</w:t>
            </w:r>
          </w:p>
        </w:tc>
        <w:tc>
          <w:tcPr>
            <w:tcW w:w="0" w:type="auto"/>
            <w:gridSpan w:val="2"/>
            <w:shd w:val="clear" w:color="auto" w:fill="CCEEFF"/>
            <w:tcMar>
              <w:top w:w="40" w:type="dxa"/>
              <w:left w:w="20" w:type="dxa"/>
              <w:bottom w:w="40" w:type="dxa"/>
              <w:right w:w="0" w:type="dxa"/>
            </w:tcMar>
            <w:vAlign w:val="bottom"/>
          </w:tcPr>
          <w:p w14:paraId="5F2CCCF5" w14:textId="77777777" w:rsidR="00E836FB" w:rsidRDefault="00994958">
            <w:pPr>
              <w:jc w:val="right"/>
              <w:textAlignment w:val="bottom"/>
            </w:pPr>
            <w:r>
              <w:rPr>
                <w:rFonts w:ascii="Arial" w:eastAsia="宋体" w:hAnsi="Arial" w:cs="Arial"/>
                <w:b/>
                <w:bCs/>
                <w:color w:val="000000"/>
                <w:sz w:val="14"/>
                <w:szCs w:val="14"/>
              </w:rPr>
              <w:t>(87)</w:t>
            </w:r>
          </w:p>
        </w:tc>
        <w:tc>
          <w:tcPr>
            <w:tcW w:w="0" w:type="auto"/>
            <w:shd w:val="clear" w:color="auto" w:fill="CCEEFF"/>
            <w:tcMar>
              <w:top w:w="40" w:type="dxa"/>
              <w:left w:w="0" w:type="dxa"/>
              <w:bottom w:w="40" w:type="dxa"/>
              <w:right w:w="20" w:type="dxa"/>
            </w:tcMar>
            <w:vAlign w:val="bottom"/>
          </w:tcPr>
          <w:p w14:paraId="5F2CCC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F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F8" w14:textId="77777777" w:rsidR="00E836FB" w:rsidRDefault="00994958">
            <w:pPr>
              <w:jc w:val="right"/>
              <w:textAlignment w:val="bottom"/>
            </w:pPr>
            <w:r>
              <w:rPr>
                <w:rFonts w:ascii="Arial" w:eastAsia="宋体" w:hAnsi="Arial" w:cs="Arial"/>
                <w:color w:val="000000"/>
                <w:sz w:val="14"/>
                <w:szCs w:val="14"/>
              </w:rPr>
              <w:t>(122)</w:t>
            </w:r>
          </w:p>
        </w:tc>
        <w:tc>
          <w:tcPr>
            <w:tcW w:w="0" w:type="auto"/>
            <w:shd w:val="clear" w:color="auto" w:fill="CCEEFF"/>
            <w:tcMar>
              <w:top w:w="40" w:type="dxa"/>
              <w:left w:w="0" w:type="dxa"/>
              <w:bottom w:w="40" w:type="dxa"/>
              <w:right w:w="20" w:type="dxa"/>
            </w:tcMar>
            <w:vAlign w:val="bottom"/>
          </w:tcPr>
          <w:p w14:paraId="5F2CCC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C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CFB" w14:textId="77777777" w:rsidR="00E836FB" w:rsidRDefault="00994958">
            <w:pPr>
              <w:jc w:val="right"/>
              <w:textAlignment w:val="bottom"/>
            </w:pPr>
            <w:r>
              <w:rPr>
                <w:rFonts w:ascii="Arial" w:eastAsia="宋体" w:hAnsi="Arial" w:cs="Arial"/>
                <w:color w:val="000000"/>
                <w:sz w:val="14"/>
                <w:szCs w:val="14"/>
              </w:rPr>
              <w:t>(74)</w:t>
            </w:r>
          </w:p>
        </w:tc>
        <w:tc>
          <w:tcPr>
            <w:tcW w:w="0" w:type="auto"/>
            <w:shd w:val="clear" w:color="auto" w:fill="CCEEFF"/>
            <w:tcMar>
              <w:top w:w="40" w:type="dxa"/>
              <w:left w:w="0" w:type="dxa"/>
              <w:bottom w:w="40" w:type="dxa"/>
              <w:right w:w="20" w:type="dxa"/>
            </w:tcMar>
            <w:vAlign w:val="bottom"/>
          </w:tcPr>
          <w:p w14:paraId="5F2CCCFC" w14:textId="77777777" w:rsidR="00E836FB" w:rsidRDefault="00E836FB">
            <w:pPr>
              <w:jc w:val="right"/>
              <w:rPr>
                <w:rFonts w:ascii="宋体"/>
              </w:rPr>
            </w:pPr>
          </w:p>
        </w:tc>
        <w:tc>
          <w:tcPr>
            <w:tcW w:w="0" w:type="auto"/>
            <w:gridSpan w:val="3"/>
            <w:shd w:val="clear" w:color="auto" w:fill="auto"/>
            <w:vAlign w:val="bottom"/>
          </w:tcPr>
          <w:p w14:paraId="5F2CCCFD" w14:textId="77777777" w:rsidR="00E836FB" w:rsidRDefault="00E836FB">
            <w:pPr>
              <w:rPr>
                <w:rFonts w:ascii="宋体"/>
                <w:vanish/>
              </w:rPr>
            </w:pPr>
          </w:p>
        </w:tc>
        <w:tc>
          <w:tcPr>
            <w:tcW w:w="0" w:type="auto"/>
            <w:gridSpan w:val="3"/>
            <w:shd w:val="clear" w:color="auto" w:fill="auto"/>
            <w:vAlign w:val="bottom"/>
          </w:tcPr>
          <w:p w14:paraId="5F2CCCFE" w14:textId="77777777" w:rsidR="00E836FB" w:rsidRDefault="00E836FB">
            <w:pPr>
              <w:rPr>
                <w:rFonts w:ascii="宋体"/>
                <w:vanish/>
              </w:rPr>
            </w:pPr>
          </w:p>
        </w:tc>
        <w:tc>
          <w:tcPr>
            <w:tcW w:w="0" w:type="auto"/>
            <w:gridSpan w:val="3"/>
            <w:shd w:val="clear" w:color="auto" w:fill="auto"/>
            <w:vAlign w:val="bottom"/>
          </w:tcPr>
          <w:p w14:paraId="5F2CCCFF" w14:textId="77777777" w:rsidR="00E836FB" w:rsidRDefault="00E836FB">
            <w:pPr>
              <w:rPr>
                <w:rFonts w:ascii="宋体"/>
                <w:vanish/>
              </w:rPr>
            </w:pPr>
          </w:p>
        </w:tc>
        <w:tc>
          <w:tcPr>
            <w:tcW w:w="0" w:type="auto"/>
            <w:gridSpan w:val="3"/>
            <w:shd w:val="clear" w:color="auto" w:fill="auto"/>
            <w:vAlign w:val="bottom"/>
          </w:tcPr>
          <w:p w14:paraId="5F2CCD00" w14:textId="77777777" w:rsidR="00E836FB" w:rsidRDefault="00E836FB">
            <w:pPr>
              <w:rPr>
                <w:rFonts w:ascii="宋体"/>
                <w:vanish/>
              </w:rPr>
            </w:pPr>
          </w:p>
        </w:tc>
      </w:tr>
      <w:tr w:rsidR="00E836FB" w14:paraId="5F2CCD12" w14:textId="77777777">
        <w:tc>
          <w:tcPr>
            <w:tcW w:w="0" w:type="auto"/>
            <w:gridSpan w:val="3"/>
            <w:shd w:val="clear" w:color="auto" w:fill="FFFFFF"/>
            <w:tcMar>
              <w:top w:w="40" w:type="dxa"/>
              <w:left w:w="20" w:type="dxa"/>
              <w:bottom w:w="40" w:type="dxa"/>
              <w:right w:w="20" w:type="dxa"/>
            </w:tcMar>
            <w:vAlign w:val="bottom"/>
          </w:tcPr>
          <w:p w14:paraId="5F2CCD02" w14:textId="77777777" w:rsidR="00E836FB" w:rsidRDefault="00994958">
            <w:pPr>
              <w:textAlignment w:val="bottom"/>
            </w:pPr>
            <w:r>
              <w:rPr>
                <w:rFonts w:ascii="Arial" w:eastAsia="宋体" w:hAnsi="Arial" w:cs="Arial"/>
                <w:color w:val="000000"/>
                <w:sz w:val="14"/>
                <w:szCs w:val="14"/>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D0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D04" w14:textId="77777777" w:rsidR="00E836FB" w:rsidRDefault="00994958">
            <w:pPr>
              <w:jc w:val="right"/>
              <w:textAlignment w:val="bottom"/>
            </w:pPr>
            <w:r>
              <w:rPr>
                <w:rFonts w:ascii="Arial" w:eastAsia="宋体" w:hAnsi="Arial" w:cs="Arial"/>
                <w:b/>
                <w:bCs/>
                <w:color w:val="000000"/>
                <w:sz w:val="14"/>
                <w:szCs w:val="14"/>
              </w:rPr>
              <w:t>32,445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D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06"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D0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D08" w14:textId="77777777" w:rsidR="00E836FB" w:rsidRDefault="00994958">
            <w:pPr>
              <w:jc w:val="right"/>
              <w:textAlignment w:val="bottom"/>
            </w:pPr>
            <w:r>
              <w:rPr>
                <w:rFonts w:ascii="Arial" w:eastAsia="宋体" w:hAnsi="Arial" w:cs="Arial"/>
                <w:color w:val="000000"/>
                <w:sz w:val="14"/>
                <w:szCs w:val="14"/>
              </w:rPr>
              <w:t>27,803 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D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0A"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CD0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CD0C" w14:textId="77777777" w:rsidR="00E836FB" w:rsidRDefault="00994958">
            <w:pPr>
              <w:jc w:val="right"/>
              <w:textAlignment w:val="bottom"/>
            </w:pPr>
            <w:r>
              <w:rPr>
                <w:rFonts w:ascii="Arial" w:eastAsia="宋体" w:hAnsi="Arial" w:cs="Arial"/>
                <w:color w:val="000000"/>
                <w:sz w:val="14"/>
                <w:szCs w:val="14"/>
              </w:rPr>
              <w:t>26,235 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CD0D" w14:textId="77777777" w:rsidR="00E836FB" w:rsidRDefault="00E836FB">
            <w:pPr>
              <w:jc w:val="right"/>
              <w:rPr>
                <w:rFonts w:ascii="宋体"/>
              </w:rPr>
            </w:pPr>
          </w:p>
        </w:tc>
        <w:tc>
          <w:tcPr>
            <w:tcW w:w="0" w:type="auto"/>
            <w:gridSpan w:val="3"/>
            <w:shd w:val="clear" w:color="auto" w:fill="auto"/>
            <w:vAlign w:val="bottom"/>
          </w:tcPr>
          <w:p w14:paraId="5F2CCD0E" w14:textId="77777777" w:rsidR="00E836FB" w:rsidRDefault="00E836FB">
            <w:pPr>
              <w:rPr>
                <w:rFonts w:ascii="宋体"/>
                <w:vanish/>
              </w:rPr>
            </w:pPr>
          </w:p>
        </w:tc>
        <w:tc>
          <w:tcPr>
            <w:tcW w:w="0" w:type="auto"/>
            <w:gridSpan w:val="3"/>
            <w:shd w:val="clear" w:color="auto" w:fill="auto"/>
            <w:vAlign w:val="bottom"/>
          </w:tcPr>
          <w:p w14:paraId="5F2CCD0F" w14:textId="77777777" w:rsidR="00E836FB" w:rsidRDefault="00E836FB">
            <w:pPr>
              <w:rPr>
                <w:rFonts w:ascii="宋体"/>
                <w:vanish/>
              </w:rPr>
            </w:pPr>
          </w:p>
        </w:tc>
        <w:tc>
          <w:tcPr>
            <w:tcW w:w="0" w:type="auto"/>
            <w:gridSpan w:val="3"/>
            <w:shd w:val="clear" w:color="auto" w:fill="auto"/>
            <w:vAlign w:val="bottom"/>
          </w:tcPr>
          <w:p w14:paraId="5F2CCD10" w14:textId="77777777" w:rsidR="00E836FB" w:rsidRDefault="00E836FB">
            <w:pPr>
              <w:rPr>
                <w:rFonts w:ascii="宋体"/>
                <w:vanish/>
              </w:rPr>
            </w:pPr>
          </w:p>
        </w:tc>
        <w:tc>
          <w:tcPr>
            <w:tcW w:w="0" w:type="auto"/>
            <w:gridSpan w:val="3"/>
            <w:shd w:val="clear" w:color="auto" w:fill="auto"/>
            <w:vAlign w:val="bottom"/>
          </w:tcPr>
          <w:p w14:paraId="5F2CCD11" w14:textId="77777777" w:rsidR="00E836FB" w:rsidRDefault="00E836FB">
            <w:pPr>
              <w:rPr>
                <w:rFonts w:ascii="宋体"/>
                <w:vanish/>
              </w:rPr>
            </w:pPr>
          </w:p>
        </w:tc>
      </w:tr>
      <w:tr w:rsidR="00E836FB" w14:paraId="5F2CCD1D" w14:textId="77777777">
        <w:trPr>
          <w:hidden/>
        </w:trPr>
        <w:tc>
          <w:tcPr>
            <w:tcW w:w="0" w:type="auto"/>
            <w:gridSpan w:val="3"/>
            <w:shd w:val="clear" w:color="auto" w:fill="auto"/>
            <w:vAlign w:val="bottom"/>
          </w:tcPr>
          <w:p w14:paraId="5F2CCD13" w14:textId="77777777" w:rsidR="00E836FB" w:rsidRDefault="00E836FB">
            <w:pPr>
              <w:rPr>
                <w:rFonts w:ascii="宋体"/>
                <w:vanish/>
              </w:rPr>
            </w:pPr>
          </w:p>
        </w:tc>
        <w:tc>
          <w:tcPr>
            <w:tcW w:w="0" w:type="auto"/>
            <w:gridSpan w:val="3"/>
            <w:shd w:val="clear" w:color="auto" w:fill="auto"/>
            <w:vAlign w:val="bottom"/>
          </w:tcPr>
          <w:p w14:paraId="5F2CCD14" w14:textId="77777777" w:rsidR="00E836FB" w:rsidRDefault="00E836FB">
            <w:pPr>
              <w:rPr>
                <w:rFonts w:ascii="宋体"/>
                <w:vanish/>
              </w:rPr>
            </w:pPr>
          </w:p>
        </w:tc>
        <w:tc>
          <w:tcPr>
            <w:tcW w:w="0" w:type="auto"/>
            <w:gridSpan w:val="3"/>
            <w:shd w:val="clear" w:color="auto" w:fill="auto"/>
            <w:vAlign w:val="bottom"/>
          </w:tcPr>
          <w:p w14:paraId="5F2CCD15" w14:textId="77777777" w:rsidR="00E836FB" w:rsidRDefault="00E836FB">
            <w:pPr>
              <w:rPr>
                <w:rFonts w:ascii="宋体"/>
                <w:vanish/>
              </w:rPr>
            </w:pPr>
          </w:p>
        </w:tc>
        <w:tc>
          <w:tcPr>
            <w:tcW w:w="0" w:type="auto"/>
            <w:gridSpan w:val="3"/>
            <w:shd w:val="clear" w:color="auto" w:fill="auto"/>
            <w:vAlign w:val="bottom"/>
          </w:tcPr>
          <w:p w14:paraId="5F2CCD16" w14:textId="77777777" w:rsidR="00E836FB" w:rsidRDefault="00E836FB">
            <w:pPr>
              <w:rPr>
                <w:rFonts w:ascii="宋体"/>
                <w:vanish/>
              </w:rPr>
            </w:pPr>
          </w:p>
        </w:tc>
        <w:tc>
          <w:tcPr>
            <w:tcW w:w="0" w:type="auto"/>
            <w:gridSpan w:val="3"/>
            <w:shd w:val="clear" w:color="auto" w:fill="auto"/>
            <w:vAlign w:val="bottom"/>
          </w:tcPr>
          <w:p w14:paraId="5F2CCD17" w14:textId="77777777" w:rsidR="00E836FB" w:rsidRDefault="00E836FB">
            <w:pPr>
              <w:rPr>
                <w:rFonts w:ascii="宋体"/>
                <w:vanish/>
              </w:rPr>
            </w:pPr>
          </w:p>
        </w:tc>
        <w:tc>
          <w:tcPr>
            <w:tcW w:w="0" w:type="auto"/>
            <w:gridSpan w:val="3"/>
            <w:shd w:val="clear" w:color="auto" w:fill="auto"/>
            <w:vAlign w:val="bottom"/>
          </w:tcPr>
          <w:p w14:paraId="5F2CCD18" w14:textId="77777777" w:rsidR="00E836FB" w:rsidRDefault="00E836FB">
            <w:pPr>
              <w:rPr>
                <w:rFonts w:ascii="宋体"/>
                <w:vanish/>
              </w:rPr>
            </w:pPr>
          </w:p>
        </w:tc>
        <w:tc>
          <w:tcPr>
            <w:tcW w:w="0" w:type="auto"/>
            <w:gridSpan w:val="3"/>
            <w:shd w:val="clear" w:color="auto" w:fill="auto"/>
            <w:vAlign w:val="bottom"/>
          </w:tcPr>
          <w:p w14:paraId="5F2CCD19" w14:textId="77777777" w:rsidR="00E836FB" w:rsidRDefault="00E836FB">
            <w:pPr>
              <w:rPr>
                <w:rFonts w:ascii="宋体"/>
                <w:vanish/>
              </w:rPr>
            </w:pPr>
          </w:p>
        </w:tc>
        <w:tc>
          <w:tcPr>
            <w:tcW w:w="0" w:type="auto"/>
            <w:gridSpan w:val="3"/>
            <w:shd w:val="clear" w:color="auto" w:fill="auto"/>
            <w:vAlign w:val="bottom"/>
          </w:tcPr>
          <w:p w14:paraId="5F2CCD1A" w14:textId="77777777" w:rsidR="00E836FB" w:rsidRDefault="00E836FB">
            <w:pPr>
              <w:rPr>
                <w:rFonts w:ascii="宋体"/>
                <w:vanish/>
              </w:rPr>
            </w:pPr>
          </w:p>
        </w:tc>
        <w:tc>
          <w:tcPr>
            <w:tcW w:w="0" w:type="auto"/>
            <w:gridSpan w:val="3"/>
            <w:shd w:val="clear" w:color="auto" w:fill="auto"/>
            <w:vAlign w:val="bottom"/>
          </w:tcPr>
          <w:p w14:paraId="5F2CCD1B" w14:textId="77777777" w:rsidR="00E836FB" w:rsidRDefault="00E836FB">
            <w:pPr>
              <w:rPr>
                <w:rFonts w:ascii="宋体"/>
                <w:vanish/>
              </w:rPr>
            </w:pPr>
          </w:p>
        </w:tc>
        <w:tc>
          <w:tcPr>
            <w:tcW w:w="0" w:type="auto"/>
            <w:gridSpan w:val="3"/>
            <w:shd w:val="clear" w:color="auto" w:fill="auto"/>
            <w:vAlign w:val="bottom"/>
          </w:tcPr>
          <w:p w14:paraId="5F2CCD1C" w14:textId="77777777" w:rsidR="00E836FB" w:rsidRDefault="00E836FB">
            <w:pPr>
              <w:rPr>
                <w:rFonts w:ascii="宋体"/>
                <w:vanish/>
              </w:rPr>
            </w:pPr>
          </w:p>
        </w:tc>
      </w:tr>
    </w:tbl>
    <w:p w14:paraId="5F2CCD1E"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57"/>
        <w:gridCol w:w="36"/>
        <w:gridCol w:w="69"/>
        <w:gridCol w:w="235"/>
        <w:gridCol w:w="36"/>
        <w:gridCol w:w="70"/>
        <w:gridCol w:w="1101"/>
        <w:gridCol w:w="36"/>
        <w:gridCol w:w="70"/>
        <w:gridCol w:w="2621"/>
        <w:gridCol w:w="36"/>
      </w:tblGrid>
      <w:tr w:rsidR="00E836FB" w14:paraId="5F2CCD2B" w14:textId="77777777">
        <w:tc>
          <w:tcPr>
            <w:tcW w:w="50" w:type="pct"/>
            <w:shd w:val="clear" w:color="auto" w:fill="auto"/>
            <w:vAlign w:val="bottom"/>
          </w:tcPr>
          <w:p w14:paraId="5F2CCD1F" w14:textId="77777777" w:rsidR="00E836FB" w:rsidRDefault="00E836FB">
            <w:pPr>
              <w:rPr>
                <w:rFonts w:ascii="宋体"/>
              </w:rPr>
            </w:pPr>
          </w:p>
        </w:tc>
        <w:tc>
          <w:tcPr>
            <w:tcW w:w="2382" w:type="pct"/>
            <w:shd w:val="clear" w:color="auto" w:fill="auto"/>
            <w:vAlign w:val="bottom"/>
          </w:tcPr>
          <w:p w14:paraId="5F2CCD20" w14:textId="77777777" w:rsidR="00E836FB" w:rsidRDefault="00E836FB">
            <w:pPr>
              <w:rPr>
                <w:rFonts w:ascii="宋体"/>
              </w:rPr>
            </w:pPr>
          </w:p>
        </w:tc>
        <w:tc>
          <w:tcPr>
            <w:tcW w:w="5" w:type="pct"/>
            <w:shd w:val="clear" w:color="auto" w:fill="auto"/>
            <w:vAlign w:val="bottom"/>
          </w:tcPr>
          <w:p w14:paraId="5F2CCD21" w14:textId="77777777" w:rsidR="00E836FB" w:rsidRDefault="00E836FB">
            <w:pPr>
              <w:rPr>
                <w:rFonts w:ascii="宋体"/>
              </w:rPr>
            </w:pPr>
          </w:p>
        </w:tc>
        <w:tc>
          <w:tcPr>
            <w:tcW w:w="50" w:type="pct"/>
            <w:shd w:val="clear" w:color="auto" w:fill="auto"/>
            <w:vAlign w:val="bottom"/>
          </w:tcPr>
          <w:p w14:paraId="5F2CCD22" w14:textId="77777777" w:rsidR="00E836FB" w:rsidRDefault="00E836FB">
            <w:pPr>
              <w:rPr>
                <w:rFonts w:ascii="宋体"/>
              </w:rPr>
            </w:pPr>
          </w:p>
        </w:tc>
        <w:tc>
          <w:tcPr>
            <w:tcW w:w="149" w:type="pct"/>
            <w:shd w:val="clear" w:color="auto" w:fill="auto"/>
            <w:vAlign w:val="bottom"/>
          </w:tcPr>
          <w:p w14:paraId="5F2CCD23" w14:textId="77777777" w:rsidR="00E836FB" w:rsidRDefault="00E836FB">
            <w:pPr>
              <w:rPr>
                <w:rFonts w:ascii="宋体"/>
              </w:rPr>
            </w:pPr>
          </w:p>
        </w:tc>
        <w:tc>
          <w:tcPr>
            <w:tcW w:w="5" w:type="pct"/>
            <w:shd w:val="clear" w:color="auto" w:fill="auto"/>
            <w:vAlign w:val="bottom"/>
          </w:tcPr>
          <w:p w14:paraId="5F2CCD24" w14:textId="77777777" w:rsidR="00E836FB" w:rsidRDefault="00E836FB">
            <w:pPr>
              <w:rPr>
                <w:rFonts w:ascii="宋体"/>
              </w:rPr>
            </w:pPr>
          </w:p>
        </w:tc>
        <w:tc>
          <w:tcPr>
            <w:tcW w:w="50" w:type="pct"/>
            <w:shd w:val="clear" w:color="auto" w:fill="auto"/>
            <w:vAlign w:val="bottom"/>
          </w:tcPr>
          <w:p w14:paraId="5F2CCD25" w14:textId="77777777" w:rsidR="00E836FB" w:rsidRDefault="00E836FB">
            <w:pPr>
              <w:rPr>
                <w:rFonts w:ascii="宋体"/>
              </w:rPr>
            </w:pPr>
          </w:p>
        </w:tc>
        <w:tc>
          <w:tcPr>
            <w:tcW w:w="668" w:type="pct"/>
            <w:shd w:val="clear" w:color="auto" w:fill="auto"/>
            <w:vAlign w:val="bottom"/>
          </w:tcPr>
          <w:p w14:paraId="5F2CCD26" w14:textId="77777777" w:rsidR="00E836FB" w:rsidRDefault="00E836FB">
            <w:pPr>
              <w:rPr>
                <w:rFonts w:ascii="宋体"/>
              </w:rPr>
            </w:pPr>
          </w:p>
        </w:tc>
        <w:tc>
          <w:tcPr>
            <w:tcW w:w="5" w:type="pct"/>
            <w:shd w:val="clear" w:color="auto" w:fill="auto"/>
            <w:vAlign w:val="bottom"/>
          </w:tcPr>
          <w:p w14:paraId="5F2CCD27" w14:textId="77777777" w:rsidR="00E836FB" w:rsidRDefault="00E836FB">
            <w:pPr>
              <w:rPr>
                <w:rFonts w:ascii="宋体"/>
              </w:rPr>
            </w:pPr>
          </w:p>
        </w:tc>
        <w:tc>
          <w:tcPr>
            <w:tcW w:w="50" w:type="pct"/>
            <w:shd w:val="clear" w:color="auto" w:fill="auto"/>
            <w:vAlign w:val="bottom"/>
          </w:tcPr>
          <w:p w14:paraId="5F2CCD28" w14:textId="77777777" w:rsidR="00E836FB" w:rsidRDefault="00E836FB">
            <w:pPr>
              <w:rPr>
                <w:rFonts w:ascii="宋体"/>
              </w:rPr>
            </w:pPr>
          </w:p>
        </w:tc>
        <w:tc>
          <w:tcPr>
            <w:tcW w:w="1580" w:type="pct"/>
            <w:shd w:val="clear" w:color="auto" w:fill="auto"/>
            <w:vAlign w:val="bottom"/>
          </w:tcPr>
          <w:p w14:paraId="5F2CCD29" w14:textId="77777777" w:rsidR="00E836FB" w:rsidRDefault="00E836FB">
            <w:pPr>
              <w:rPr>
                <w:rFonts w:ascii="宋体"/>
              </w:rPr>
            </w:pPr>
          </w:p>
        </w:tc>
        <w:tc>
          <w:tcPr>
            <w:tcW w:w="5" w:type="pct"/>
            <w:shd w:val="clear" w:color="auto" w:fill="auto"/>
            <w:vAlign w:val="bottom"/>
          </w:tcPr>
          <w:p w14:paraId="5F2CCD2A" w14:textId="77777777" w:rsidR="00E836FB" w:rsidRDefault="00E836FB">
            <w:pPr>
              <w:rPr>
                <w:rFonts w:ascii="宋体"/>
              </w:rPr>
            </w:pPr>
          </w:p>
        </w:tc>
      </w:tr>
      <w:tr w:rsidR="00E836FB" w14:paraId="5F2CCD3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D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D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D2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D2F" w14:textId="77777777" w:rsidR="00E836FB" w:rsidRDefault="00E836FB">
            <w:pPr>
              <w:rPr>
                <w:rFonts w:ascii="宋体"/>
              </w:rPr>
            </w:pPr>
          </w:p>
        </w:tc>
      </w:tr>
    </w:tbl>
    <w:p w14:paraId="5F2CCD31" w14:textId="77777777" w:rsidR="00E836FB" w:rsidRDefault="00994958">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Domestic and foreign categorization is based on the borrower’s country of domicile.</w:t>
      </w:r>
    </w:p>
    <w:p w14:paraId="5F2CCD32" w14:textId="77777777" w:rsidR="00E836FB" w:rsidRDefault="00994958">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Fund finance loans include primarily $9,147 million private equity capital call finance loans, $6,397 million loans to real money funds, $2,913 million collateralized </w:t>
      </w:r>
      <w:r>
        <w:rPr>
          <w:rFonts w:ascii="Arial" w:eastAsia="宋体" w:hAnsi="Arial" w:cs="Arial"/>
          <w:color w:val="000000"/>
          <w:sz w:val="13"/>
          <w:szCs w:val="13"/>
        </w:rPr>
        <w:t>loan obligations in loan form and $1,387 million loans to business development companies as of December 31, 2021, compared to $8,380 million and $6,076 million private equity capital call finance loans, $6,391 million and $6,040 million loans to real money</w:t>
      </w:r>
      <w:r>
        <w:rPr>
          <w:rFonts w:ascii="Arial" w:eastAsia="宋体" w:hAnsi="Arial" w:cs="Arial"/>
          <w:color w:val="000000"/>
          <w:sz w:val="13"/>
          <w:szCs w:val="13"/>
        </w:rPr>
        <w:t xml:space="preserve"> funds and $821 million and $932 million loans to business development companies as of December 31, 2020 and 2019, respectively.</w:t>
      </w:r>
    </w:p>
    <w:p w14:paraId="5F2CCD33" w14:textId="77777777" w:rsidR="00E836FB" w:rsidRDefault="00994958">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Includes $1,784 million securities finance loans, $455 million loans to municipalities and $23 million other loans as of De</w:t>
      </w:r>
      <w:r>
        <w:rPr>
          <w:rFonts w:ascii="Arial" w:eastAsia="宋体" w:hAnsi="Arial" w:cs="Arial"/>
          <w:color w:val="000000"/>
          <w:sz w:val="13"/>
          <w:szCs w:val="13"/>
        </w:rPr>
        <w:t>cember 31, 2021, $1,911 million securities finance loans, $754 million loans to municipalities and $54 million other loans as of December 31, 2020 and $2,537 million securities finance loans, $848 million loans to municipalities and $26 million other loans</w:t>
      </w:r>
      <w:r>
        <w:rPr>
          <w:rFonts w:ascii="Arial" w:eastAsia="宋体" w:hAnsi="Arial" w:cs="Arial"/>
          <w:color w:val="000000"/>
          <w:sz w:val="13"/>
          <w:szCs w:val="13"/>
        </w:rPr>
        <w:t xml:space="preserve"> as of December 31, 2019.</w:t>
      </w:r>
    </w:p>
    <w:p w14:paraId="5F2CCD34" w14:textId="77777777" w:rsidR="00E836FB" w:rsidRDefault="00994958">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As of December 30, 2021. Excluding overdrafts, floating rate loans totaled $26,838 million and fixed rate loans totaled $2,583 million. We have entered into interest rate swap agreements to hedge the forecasted cash flows asso</w:t>
      </w:r>
      <w:r>
        <w:rPr>
          <w:rFonts w:ascii="Arial" w:eastAsia="宋体" w:hAnsi="Arial" w:cs="Arial"/>
          <w:color w:val="000000"/>
          <w:sz w:val="13"/>
          <w:szCs w:val="13"/>
        </w:rPr>
        <w:t>ciated with LIBOR indexed floating-rate loans. See Note 10 to the consolidated financial statements in this Form 10-K for additional details.</w:t>
      </w:r>
    </w:p>
    <w:p w14:paraId="5F2CCD35" w14:textId="77777777" w:rsidR="00E836FB" w:rsidRDefault="00994958">
      <w:pPr>
        <w:spacing w:before="60"/>
        <w:ind w:firstLine="450"/>
        <w:jc w:val="both"/>
        <w:textAlignment w:val="top"/>
      </w:pPr>
      <w:r>
        <w:rPr>
          <w:rFonts w:ascii="Arial" w:eastAsia="宋体" w:hAnsi="Arial" w:cs="Arial"/>
          <w:color w:val="000000"/>
          <w:sz w:val="20"/>
          <w:szCs w:val="20"/>
        </w:rPr>
        <w:t>In the second quarter of 2021, in addition to our CLOs in the investment portfolio, we began purchasing CLOs in lo</w:t>
      </w:r>
      <w:r>
        <w:rPr>
          <w:rFonts w:ascii="Arial" w:eastAsia="宋体" w:hAnsi="Arial" w:cs="Arial"/>
          <w:color w:val="000000"/>
          <w:sz w:val="20"/>
          <w:szCs w:val="20"/>
        </w:rPr>
        <w:t>an form. The increase in the commercial and financial segment as of December 31, 2021 compared to December 31, 2020 was primarily driven by the purchase of $2,913 million CLOs in loan form in 2021.</w:t>
      </w:r>
    </w:p>
    <w:p w14:paraId="5F2CCD36" w14:textId="77777777" w:rsidR="00E836FB" w:rsidRDefault="00994958">
      <w:pPr>
        <w:spacing w:before="60"/>
        <w:ind w:firstLine="450"/>
        <w:jc w:val="both"/>
        <w:textAlignment w:val="top"/>
      </w:pPr>
      <w:r>
        <w:rPr>
          <w:rFonts w:ascii="Arial" w:eastAsia="宋体" w:hAnsi="Arial" w:cs="Arial"/>
          <w:color w:val="000000"/>
          <w:sz w:val="20"/>
          <w:szCs w:val="20"/>
        </w:rPr>
        <w:t>As of December 31, 2021 and December 31, 2020, our leverag</w:t>
      </w:r>
      <w:r>
        <w:rPr>
          <w:rFonts w:ascii="Arial" w:eastAsia="宋体" w:hAnsi="Arial" w:cs="Arial"/>
          <w:color w:val="000000"/>
          <w:sz w:val="20"/>
          <w:szCs w:val="20"/>
        </w:rPr>
        <w:t>ed loans totaled approximately $4.43 billion and $4.17 billion, respectively. We sold $181 million leveraged loans in 2021, of which $8 million remain unsettled and was held for sale as of December 31, 2021. We recorded a charge-off against the allowance f</w:t>
      </w:r>
      <w:r>
        <w:rPr>
          <w:rFonts w:ascii="Arial" w:eastAsia="宋体" w:hAnsi="Arial" w:cs="Arial"/>
          <w:color w:val="000000"/>
          <w:sz w:val="20"/>
          <w:szCs w:val="20"/>
        </w:rPr>
        <w:t>or credit losses prior to the sale of these loans of $2 million in 2021.</w:t>
      </w:r>
    </w:p>
    <w:p w14:paraId="5F2CCD37" w14:textId="77777777" w:rsidR="00E836FB" w:rsidRDefault="00994958">
      <w:pPr>
        <w:spacing w:before="60"/>
        <w:ind w:firstLine="450"/>
        <w:jc w:val="both"/>
        <w:textAlignment w:val="top"/>
      </w:pPr>
      <w:r>
        <w:rPr>
          <w:rFonts w:ascii="Arial" w:eastAsia="宋体" w:hAnsi="Arial" w:cs="Arial"/>
          <w:color w:val="000000"/>
          <w:sz w:val="20"/>
          <w:szCs w:val="20"/>
        </w:rPr>
        <w:t xml:space="preserve">In addition, we had binding unfunded commitments as of December 31, 2021 and December 31, 2020 of $124 million and $149 million, respectively, to participate in such syndications. </w:t>
      </w:r>
    </w:p>
    <w:p w14:paraId="5F2CCD38" w14:textId="77777777" w:rsidR="00E836FB" w:rsidRDefault="00994958">
      <w:pPr>
        <w:spacing w:before="60"/>
        <w:jc w:val="both"/>
        <w:textAlignment w:val="top"/>
      </w:pPr>
      <w:r>
        <w:rPr>
          <w:rFonts w:ascii="Arial" w:eastAsia="宋体" w:hAnsi="Arial" w:cs="Arial"/>
          <w:color w:val="000000"/>
          <w:sz w:val="20"/>
          <w:szCs w:val="20"/>
        </w:rPr>
        <w:t>Ad</w:t>
      </w:r>
      <w:r>
        <w:rPr>
          <w:rFonts w:ascii="Arial" w:eastAsia="宋体" w:hAnsi="Arial" w:cs="Arial"/>
          <w:color w:val="000000"/>
          <w:sz w:val="20"/>
          <w:szCs w:val="20"/>
        </w:rPr>
        <w:t>ditional information about these unfunded commitments is provided in Note 12 to the consolidated financial statements in this Form 10-K.</w:t>
      </w:r>
    </w:p>
    <w:p w14:paraId="5F2CCD39" w14:textId="77777777" w:rsidR="00E836FB" w:rsidRDefault="00994958">
      <w:pPr>
        <w:spacing w:before="60"/>
        <w:ind w:firstLine="450"/>
        <w:jc w:val="both"/>
        <w:textAlignment w:val="top"/>
      </w:pPr>
      <w:r>
        <w:rPr>
          <w:rFonts w:ascii="Arial" w:eastAsia="宋体" w:hAnsi="Arial" w:cs="Arial"/>
          <w:color w:val="000000"/>
          <w:sz w:val="20"/>
          <w:szCs w:val="20"/>
        </w:rPr>
        <w:t xml:space="preserve">These leveraged loans, which are primarily rated “speculative” under our internal risk-rating framework (refer to Note </w:t>
      </w:r>
      <w:r>
        <w:rPr>
          <w:rFonts w:ascii="Arial" w:eastAsia="宋体" w:hAnsi="Arial" w:cs="Arial"/>
          <w:color w:val="000000"/>
          <w:sz w:val="20"/>
          <w:szCs w:val="20"/>
        </w:rPr>
        <w:t>4 to the consolidated financial statements in this Form 10-K), are externally rated “BBB,” “BB” or “B,” with approximately 94% and 85% of the loans rated “BB” or “B” as of December 31, 2021 and December 31, 2020, respectively. Our investment strategy invol</w:t>
      </w:r>
      <w:r>
        <w:rPr>
          <w:rFonts w:ascii="Arial" w:eastAsia="宋体" w:hAnsi="Arial" w:cs="Arial"/>
          <w:color w:val="000000"/>
          <w:sz w:val="20"/>
          <w:szCs w:val="20"/>
        </w:rPr>
        <w:t xml:space="preserve">ves generally limiting our investment to larger, more liquid credits underwritten by major global financial institutions, applying our internal credit analysis process to each potential investment and diversifying our exposure by counterparty and industry </w:t>
      </w:r>
      <w:r>
        <w:rPr>
          <w:rFonts w:ascii="Arial" w:eastAsia="宋体" w:hAnsi="Arial" w:cs="Arial"/>
          <w:color w:val="000000"/>
          <w:sz w:val="20"/>
          <w:szCs w:val="20"/>
        </w:rPr>
        <w:t xml:space="preserve">segment. However, these loans have significant exposure to credit losses relative to higher-rated loans in our portfolio. </w:t>
      </w:r>
    </w:p>
    <w:p w14:paraId="5F2CCD3A" w14:textId="77777777" w:rsidR="00E836FB" w:rsidRDefault="00994958">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 provided in Note 4 to the consolidated finan</w:t>
      </w:r>
      <w:r>
        <w:rPr>
          <w:rFonts w:ascii="Arial" w:eastAsia="宋体" w:hAnsi="Arial" w:cs="Arial"/>
          <w:color w:val="000000"/>
          <w:sz w:val="20"/>
          <w:szCs w:val="20"/>
        </w:rPr>
        <w:t>cial statements in this Form 10-K.</w:t>
      </w:r>
    </w:p>
    <w:p w14:paraId="5F2CCD3B" w14:textId="77777777" w:rsidR="00E836FB" w:rsidRDefault="00994958">
      <w:pPr>
        <w:spacing w:before="60"/>
        <w:ind w:firstLine="450"/>
        <w:jc w:val="both"/>
        <w:textAlignment w:val="top"/>
      </w:pPr>
      <w:r>
        <w:rPr>
          <w:rFonts w:ascii="Arial" w:eastAsia="宋体" w:hAnsi="Arial" w:cs="Arial"/>
          <w:color w:val="000000"/>
          <w:sz w:val="20"/>
          <w:szCs w:val="20"/>
        </w:rPr>
        <w:t>No loans were modified in troubled debt restructurings as of both December 31, 2021 and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2"/>
        <w:gridCol w:w="3185"/>
        <w:gridCol w:w="38"/>
        <w:gridCol w:w="98"/>
        <w:gridCol w:w="1016"/>
        <w:gridCol w:w="36"/>
        <w:gridCol w:w="36"/>
        <w:gridCol w:w="72"/>
        <w:gridCol w:w="36"/>
        <w:gridCol w:w="98"/>
        <w:gridCol w:w="1016"/>
        <w:gridCol w:w="36"/>
        <w:gridCol w:w="36"/>
        <w:gridCol w:w="72"/>
        <w:gridCol w:w="36"/>
        <w:gridCol w:w="98"/>
        <w:gridCol w:w="1017"/>
        <w:gridCol w:w="36"/>
        <w:gridCol w:w="36"/>
        <w:gridCol w:w="73"/>
        <w:gridCol w:w="36"/>
        <w:gridCol w:w="98"/>
        <w:gridCol w:w="1017"/>
        <w:gridCol w:w="36"/>
        <w:gridCol w:w="36"/>
      </w:tblGrid>
      <w:tr w:rsidR="00E836FB" w14:paraId="5F2CCD55" w14:textId="77777777">
        <w:tc>
          <w:tcPr>
            <w:tcW w:w="50" w:type="pct"/>
            <w:shd w:val="clear" w:color="auto" w:fill="auto"/>
            <w:vAlign w:val="bottom"/>
          </w:tcPr>
          <w:p w14:paraId="5F2CCD3C" w14:textId="77777777" w:rsidR="00E836FB" w:rsidRDefault="00E836FB">
            <w:pPr>
              <w:rPr>
                <w:rFonts w:ascii="宋体"/>
              </w:rPr>
            </w:pPr>
          </w:p>
        </w:tc>
        <w:tc>
          <w:tcPr>
            <w:tcW w:w="1941" w:type="pct"/>
            <w:shd w:val="clear" w:color="auto" w:fill="auto"/>
            <w:vAlign w:val="bottom"/>
          </w:tcPr>
          <w:p w14:paraId="5F2CCD3D" w14:textId="77777777" w:rsidR="00E836FB" w:rsidRDefault="00E836FB">
            <w:pPr>
              <w:rPr>
                <w:rFonts w:ascii="宋体"/>
              </w:rPr>
            </w:pPr>
          </w:p>
        </w:tc>
        <w:tc>
          <w:tcPr>
            <w:tcW w:w="5" w:type="pct"/>
            <w:shd w:val="clear" w:color="auto" w:fill="auto"/>
            <w:vAlign w:val="bottom"/>
          </w:tcPr>
          <w:p w14:paraId="5F2CCD3E" w14:textId="77777777" w:rsidR="00E836FB" w:rsidRDefault="00E836FB">
            <w:pPr>
              <w:rPr>
                <w:rFonts w:ascii="宋体"/>
              </w:rPr>
            </w:pPr>
          </w:p>
        </w:tc>
        <w:tc>
          <w:tcPr>
            <w:tcW w:w="50" w:type="pct"/>
            <w:shd w:val="clear" w:color="auto" w:fill="auto"/>
            <w:vAlign w:val="bottom"/>
          </w:tcPr>
          <w:p w14:paraId="5F2CCD3F" w14:textId="77777777" w:rsidR="00E836FB" w:rsidRDefault="00E836FB">
            <w:pPr>
              <w:rPr>
                <w:rFonts w:ascii="宋体"/>
              </w:rPr>
            </w:pPr>
          </w:p>
        </w:tc>
        <w:tc>
          <w:tcPr>
            <w:tcW w:w="636" w:type="pct"/>
            <w:shd w:val="clear" w:color="auto" w:fill="auto"/>
            <w:vAlign w:val="bottom"/>
          </w:tcPr>
          <w:p w14:paraId="5F2CCD40" w14:textId="77777777" w:rsidR="00E836FB" w:rsidRDefault="00E836FB">
            <w:pPr>
              <w:rPr>
                <w:rFonts w:ascii="宋体"/>
              </w:rPr>
            </w:pPr>
          </w:p>
        </w:tc>
        <w:tc>
          <w:tcPr>
            <w:tcW w:w="5" w:type="pct"/>
            <w:shd w:val="clear" w:color="auto" w:fill="auto"/>
            <w:vAlign w:val="bottom"/>
          </w:tcPr>
          <w:p w14:paraId="5F2CCD41" w14:textId="77777777" w:rsidR="00E836FB" w:rsidRDefault="00E836FB">
            <w:pPr>
              <w:rPr>
                <w:rFonts w:ascii="宋体"/>
              </w:rPr>
            </w:pPr>
          </w:p>
        </w:tc>
        <w:tc>
          <w:tcPr>
            <w:tcW w:w="5" w:type="pct"/>
            <w:shd w:val="clear" w:color="auto" w:fill="auto"/>
            <w:vAlign w:val="bottom"/>
          </w:tcPr>
          <w:p w14:paraId="5F2CCD42" w14:textId="77777777" w:rsidR="00E836FB" w:rsidRDefault="00E836FB">
            <w:pPr>
              <w:rPr>
                <w:rFonts w:ascii="宋体"/>
              </w:rPr>
            </w:pPr>
          </w:p>
        </w:tc>
        <w:tc>
          <w:tcPr>
            <w:tcW w:w="68" w:type="pct"/>
            <w:shd w:val="clear" w:color="auto" w:fill="auto"/>
            <w:vAlign w:val="bottom"/>
          </w:tcPr>
          <w:p w14:paraId="5F2CCD43" w14:textId="77777777" w:rsidR="00E836FB" w:rsidRDefault="00E836FB">
            <w:pPr>
              <w:rPr>
                <w:rFonts w:ascii="宋体"/>
              </w:rPr>
            </w:pPr>
          </w:p>
        </w:tc>
        <w:tc>
          <w:tcPr>
            <w:tcW w:w="5" w:type="pct"/>
            <w:shd w:val="clear" w:color="auto" w:fill="auto"/>
            <w:vAlign w:val="bottom"/>
          </w:tcPr>
          <w:p w14:paraId="5F2CCD44" w14:textId="77777777" w:rsidR="00E836FB" w:rsidRDefault="00E836FB">
            <w:pPr>
              <w:rPr>
                <w:rFonts w:ascii="宋体"/>
              </w:rPr>
            </w:pPr>
          </w:p>
        </w:tc>
        <w:tc>
          <w:tcPr>
            <w:tcW w:w="50" w:type="pct"/>
            <w:shd w:val="clear" w:color="auto" w:fill="auto"/>
            <w:vAlign w:val="bottom"/>
          </w:tcPr>
          <w:p w14:paraId="5F2CCD45" w14:textId="77777777" w:rsidR="00E836FB" w:rsidRDefault="00E836FB">
            <w:pPr>
              <w:rPr>
                <w:rFonts w:ascii="宋体"/>
              </w:rPr>
            </w:pPr>
          </w:p>
        </w:tc>
        <w:tc>
          <w:tcPr>
            <w:tcW w:w="636" w:type="pct"/>
            <w:shd w:val="clear" w:color="auto" w:fill="auto"/>
            <w:vAlign w:val="bottom"/>
          </w:tcPr>
          <w:p w14:paraId="5F2CCD46" w14:textId="77777777" w:rsidR="00E836FB" w:rsidRDefault="00E836FB">
            <w:pPr>
              <w:rPr>
                <w:rFonts w:ascii="宋体"/>
              </w:rPr>
            </w:pPr>
          </w:p>
        </w:tc>
        <w:tc>
          <w:tcPr>
            <w:tcW w:w="5" w:type="pct"/>
            <w:shd w:val="clear" w:color="auto" w:fill="auto"/>
            <w:vAlign w:val="bottom"/>
          </w:tcPr>
          <w:p w14:paraId="5F2CCD47" w14:textId="77777777" w:rsidR="00E836FB" w:rsidRDefault="00E836FB">
            <w:pPr>
              <w:rPr>
                <w:rFonts w:ascii="宋体"/>
              </w:rPr>
            </w:pPr>
          </w:p>
        </w:tc>
        <w:tc>
          <w:tcPr>
            <w:tcW w:w="5" w:type="pct"/>
            <w:shd w:val="clear" w:color="auto" w:fill="auto"/>
            <w:vAlign w:val="bottom"/>
          </w:tcPr>
          <w:p w14:paraId="5F2CCD48" w14:textId="77777777" w:rsidR="00E836FB" w:rsidRDefault="00E836FB">
            <w:pPr>
              <w:rPr>
                <w:rFonts w:ascii="宋体"/>
              </w:rPr>
            </w:pPr>
          </w:p>
        </w:tc>
        <w:tc>
          <w:tcPr>
            <w:tcW w:w="68" w:type="pct"/>
            <w:shd w:val="clear" w:color="auto" w:fill="auto"/>
            <w:vAlign w:val="bottom"/>
          </w:tcPr>
          <w:p w14:paraId="5F2CCD49" w14:textId="77777777" w:rsidR="00E836FB" w:rsidRDefault="00E836FB">
            <w:pPr>
              <w:rPr>
                <w:rFonts w:ascii="宋体"/>
              </w:rPr>
            </w:pPr>
          </w:p>
        </w:tc>
        <w:tc>
          <w:tcPr>
            <w:tcW w:w="5" w:type="pct"/>
            <w:shd w:val="clear" w:color="auto" w:fill="auto"/>
            <w:vAlign w:val="bottom"/>
          </w:tcPr>
          <w:p w14:paraId="5F2CCD4A" w14:textId="77777777" w:rsidR="00E836FB" w:rsidRDefault="00E836FB">
            <w:pPr>
              <w:rPr>
                <w:rFonts w:ascii="宋体"/>
              </w:rPr>
            </w:pPr>
          </w:p>
        </w:tc>
        <w:tc>
          <w:tcPr>
            <w:tcW w:w="50" w:type="pct"/>
            <w:shd w:val="clear" w:color="auto" w:fill="auto"/>
            <w:vAlign w:val="bottom"/>
          </w:tcPr>
          <w:p w14:paraId="5F2CCD4B" w14:textId="77777777" w:rsidR="00E836FB" w:rsidRDefault="00E836FB">
            <w:pPr>
              <w:rPr>
                <w:rFonts w:ascii="宋体"/>
              </w:rPr>
            </w:pPr>
          </w:p>
        </w:tc>
        <w:tc>
          <w:tcPr>
            <w:tcW w:w="636" w:type="pct"/>
            <w:shd w:val="clear" w:color="auto" w:fill="auto"/>
            <w:vAlign w:val="bottom"/>
          </w:tcPr>
          <w:p w14:paraId="5F2CCD4C" w14:textId="77777777" w:rsidR="00E836FB" w:rsidRDefault="00E836FB">
            <w:pPr>
              <w:rPr>
                <w:rFonts w:ascii="宋体"/>
              </w:rPr>
            </w:pPr>
          </w:p>
        </w:tc>
        <w:tc>
          <w:tcPr>
            <w:tcW w:w="5" w:type="pct"/>
            <w:shd w:val="clear" w:color="auto" w:fill="auto"/>
            <w:vAlign w:val="bottom"/>
          </w:tcPr>
          <w:p w14:paraId="5F2CCD4D" w14:textId="77777777" w:rsidR="00E836FB" w:rsidRDefault="00E836FB">
            <w:pPr>
              <w:rPr>
                <w:rFonts w:ascii="宋体"/>
              </w:rPr>
            </w:pPr>
          </w:p>
        </w:tc>
        <w:tc>
          <w:tcPr>
            <w:tcW w:w="5" w:type="pct"/>
            <w:shd w:val="clear" w:color="auto" w:fill="auto"/>
            <w:vAlign w:val="bottom"/>
          </w:tcPr>
          <w:p w14:paraId="5F2CCD4E" w14:textId="77777777" w:rsidR="00E836FB" w:rsidRDefault="00E836FB">
            <w:pPr>
              <w:rPr>
                <w:rFonts w:ascii="宋体"/>
              </w:rPr>
            </w:pPr>
          </w:p>
        </w:tc>
        <w:tc>
          <w:tcPr>
            <w:tcW w:w="68" w:type="pct"/>
            <w:shd w:val="clear" w:color="auto" w:fill="auto"/>
            <w:vAlign w:val="bottom"/>
          </w:tcPr>
          <w:p w14:paraId="5F2CCD4F" w14:textId="77777777" w:rsidR="00E836FB" w:rsidRDefault="00E836FB">
            <w:pPr>
              <w:rPr>
                <w:rFonts w:ascii="宋体"/>
              </w:rPr>
            </w:pPr>
          </w:p>
        </w:tc>
        <w:tc>
          <w:tcPr>
            <w:tcW w:w="5" w:type="pct"/>
            <w:shd w:val="clear" w:color="auto" w:fill="auto"/>
            <w:vAlign w:val="bottom"/>
          </w:tcPr>
          <w:p w14:paraId="5F2CCD50" w14:textId="77777777" w:rsidR="00E836FB" w:rsidRDefault="00E836FB">
            <w:pPr>
              <w:rPr>
                <w:rFonts w:ascii="宋体"/>
              </w:rPr>
            </w:pPr>
          </w:p>
        </w:tc>
        <w:tc>
          <w:tcPr>
            <w:tcW w:w="50" w:type="pct"/>
            <w:shd w:val="clear" w:color="auto" w:fill="auto"/>
            <w:vAlign w:val="bottom"/>
          </w:tcPr>
          <w:p w14:paraId="5F2CCD51" w14:textId="77777777" w:rsidR="00E836FB" w:rsidRDefault="00E836FB">
            <w:pPr>
              <w:rPr>
                <w:rFonts w:ascii="宋体"/>
              </w:rPr>
            </w:pPr>
          </w:p>
        </w:tc>
        <w:tc>
          <w:tcPr>
            <w:tcW w:w="636" w:type="pct"/>
            <w:shd w:val="clear" w:color="auto" w:fill="auto"/>
            <w:vAlign w:val="bottom"/>
          </w:tcPr>
          <w:p w14:paraId="5F2CCD52" w14:textId="77777777" w:rsidR="00E836FB" w:rsidRDefault="00E836FB">
            <w:pPr>
              <w:rPr>
                <w:rFonts w:ascii="宋体"/>
              </w:rPr>
            </w:pPr>
          </w:p>
        </w:tc>
        <w:tc>
          <w:tcPr>
            <w:tcW w:w="5" w:type="pct"/>
            <w:shd w:val="clear" w:color="auto" w:fill="auto"/>
            <w:vAlign w:val="bottom"/>
          </w:tcPr>
          <w:p w14:paraId="5F2CCD53" w14:textId="77777777" w:rsidR="00E836FB" w:rsidRDefault="00E836FB">
            <w:pPr>
              <w:rPr>
                <w:rFonts w:ascii="宋体"/>
              </w:rPr>
            </w:pPr>
          </w:p>
        </w:tc>
        <w:tc>
          <w:tcPr>
            <w:tcW w:w="0" w:type="auto"/>
            <w:shd w:val="clear" w:color="auto" w:fill="auto"/>
            <w:vAlign w:val="bottom"/>
          </w:tcPr>
          <w:p w14:paraId="5F2CCD54" w14:textId="77777777" w:rsidR="00E836FB" w:rsidRDefault="00E836FB">
            <w:pPr>
              <w:rPr>
                <w:rFonts w:ascii="宋体"/>
                <w:vanish/>
              </w:rPr>
            </w:pPr>
          </w:p>
        </w:tc>
      </w:tr>
      <w:tr w:rsidR="00E836FB" w14:paraId="5F2CCD58" w14:textId="77777777">
        <w:tc>
          <w:tcPr>
            <w:tcW w:w="0" w:type="auto"/>
            <w:gridSpan w:val="24"/>
            <w:shd w:val="clear" w:color="auto" w:fill="auto"/>
            <w:tcMar>
              <w:top w:w="40" w:type="dxa"/>
              <w:left w:w="20" w:type="dxa"/>
              <w:bottom w:w="40" w:type="dxa"/>
              <w:right w:w="20" w:type="dxa"/>
            </w:tcMar>
            <w:vAlign w:val="bottom"/>
          </w:tcPr>
          <w:p w14:paraId="5F2CCD56" w14:textId="77777777" w:rsidR="00E836FB" w:rsidRDefault="00994958">
            <w:pPr>
              <w:textAlignment w:val="bottom"/>
            </w:pPr>
            <w:r>
              <w:rPr>
                <w:rFonts w:ascii="Arial" w:eastAsia="宋体" w:hAnsi="Arial" w:cs="Arial"/>
                <w:b/>
                <w:bCs/>
                <w:color w:val="000000"/>
                <w:sz w:val="16"/>
                <w:szCs w:val="16"/>
              </w:rPr>
              <w:t>TABLE 27: CONTRACTUAL MATURITIES FOR LOANS</w:t>
            </w:r>
          </w:p>
        </w:tc>
        <w:tc>
          <w:tcPr>
            <w:tcW w:w="0" w:type="auto"/>
            <w:shd w:val="clear" w:color="auto" w:fill="auto"/>
            <w:vAlign w:val="bottom"/>
          </w:tcPr>
          <w:p w14:paraId="5F2CCD57" w14:textId="77777777" w:rsidR="00E836FB" w:rsidRDefault="00E836FB">
            <w:pPr>
              <w:rPr>
                <w:rFonts w:ascii="宋体"/>
                <w:vanish/>
              </w:rPr>
            </w:pPr>
          </w:p>
        </w:tc>
      </w:tr>
      <w:tr w:rsidR="00E836FB" w14:paraId="5F2CCD5C" w14:textId="77777777">
        <w:tc>
          <w:tcPr>
            <w:tcW w:w="0" w:type="auto"/>
            <w:gridSpan w:val="3"/>
            <w:shd w:val="clear" w:color="auto" w:fill="auto"/>
            <w:tcMar>
              <w:top w:w="0" w:type="dxa"/>
              <w:left w:w="20" w:type="dxa"/>
              <w:bottom w:w="0" w:type="dxa"/>
              <w:right w:w="20" w:type="dxa"/>
            </w:tcMar>
            <w:vAlign w:val="bottom"/>
          </w:tcPr>
          <w:p w14:paraId="5F2CCD59" w14:textId="77777777" w:rsidR="00E836FB" w:rsidRDefault="00E836FB">
            <w:pPr>
              <w:rPr>
                <w:rFonts w:ascii="宋体"/>
              </w:rPr>
            </w:pPr>
          </w:p>
        </w:tc>
        <w:tc>
          <w:tcPr>
            <w:tcW w:w="0" w:type="auto"/>
            <w:gridSpan w:val="21"/>
            <w:shd w:val="clear" w:color="auto" w:fill="auto"/>
            <w:tcMar>
              <w:top w:w="40" w:type="dxa"/>
              <w:left w:w="20" w:type="dxa"/>
              <w:bottom w:w="40" w:type="dxa"/>
              <w:right w:w="20" w:type="dxa"/>
            </w:tcMar>
            <w:vAlign w:val="bottom"/>
          </w:tcPr>
          <w:p w14:paraId="5F2CCD5A" w14:textId="77777777" w:rsidR="00E836FB" w:rsidRDefault="00994958">
            <w:pPr>
              <w:jc w:val="center"/>
              <w:textAlignment w:val="bottom"/>
            </w:pPr>
            <w:r>
              <w:rPr>
                <w:rFonts w:ascii="Arial" w:eastAsia="宋体" w:hAnsi="Arial" w:cs="Arial"/>
                <w:b/>
                <w:bCs/>
                <w:color w:val="000000"/>
                <w:sz w:val="14"/>
                <w:szCs w:val="14"/>
              </w:rPr>
              <w:t>As of December 31, 2021</w:t>
            </w:r>
          </w:p>
        </w:tc>
        <w:tc>
          <w:tcPr>
            <w:tcW w:w="0" w:type="auto"/>
            <w:shd w:val="clear" w:color="auto" w:fill="auto"/>
            <w:vAlign w:val="bottom"/>
          </w:tcPr>
          <w:p w14:paraId="5F2CCD5B" w14:textId="77777777" w:rsidR="00E836FB" w:rsidRDefault="00E836FB">
            <w:pPr>
              <w:rPr>
                <w:rFonts w:ascii="宋体"/>
                <w:vanish/>
              </w:rPr>
            </w:pPr>
          </w:p>
        </w:tc>
      </w:tr>
      <w:tr w:rsidR="00E836FB" w14:paraId="5F2CCD66" w14:textId="77777777">
        <w:tc>
          <w:tcPr>
            <w:tcW w:w="0" w:type="auto"/>
            <w:gridSpan w:val="3"/>
            <w:shd w:val="clear" w:color="auto" w:fill="auto"/>
            <w:tcMar>
              <w:top w:w="40" w:type="dxa"/>
              <w:left w:w="20" w:type="dxa"/>
              <w:bottom w:w="40" w:type="dxa"/>
              <w:right w:w="20" w:type="dxa"/>
            </w:tcMar>
            <w:vAlign w:val="bottom"/>
          </w:tcPr>
          <w:p w14:paraId="5F2CCD5D"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D5E" w14:textId="77777777" w:rsidR="00E836FB" w:rsidRDefault="00994958">
            <w:pPr>
              <w:jc w:val="center"/>
              <w:textAlignment w:val="bottom"/>
            </w:pPr>
            <w:r>
              <w:rPr>
                <w:rFonts w:ascii="Arial" w:eastAsia="宋体" w:hAnsi="Arial" w:cs="Arial"/>
                <w:b/>
                <w:bCs/>
                <w:color w:val="000000"/>
                <w:sz w:val="14"/>
                <w:szCs w:val="14"/>
              </w:rPr>
              <w:t>Under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D5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D60" w14:textId="77777777" w:rsidR="00E836FB" w:rsidRDefault="00994958">
            <w:pPr>
              <w:jc w:val="center"/>
              <w:textAlignment w:val="bottom"/>
            </w:pPr>
            <w:r>
              <w:rPr>
                <w:rFonts w:ascii="Arial" w:eastAsia="宋体" w:hAnsi="Arial" w:cs="Arial"/>
                <w:b/>
                <w:bCs/>
                <w:color w:val="000000"/>
                <w:sz w:val="14"/>
                <w:szCs w:val="14"/>
              </w:rPr>
              <w:t>1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D6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D62" w14:textId="77777777" w:rsidR="00E836FB" w:rsidRDefault="00994958">
            <w:pPr>
              <w:jc w:val="center"/>
              <w:textAlignment w:val="bottom"/>
            </w:pPr>
            <w:r>
              <w:rPr>
                <w:rFonts w:ascii="Arial" w:eastAsia="宋体" w:hAnsi="Arial" w:cs="Arial"/>
                <w:b/>
                <w:bCs/>
                <w:color w:val="000000"/>
                <w:sz w:val="14"/>
                <w:szCs w:val="14"/>
              </w:rPr>
              <w:t>5 to 15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D6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D64" w14:textId="77777777" w:rsidR="00E836FB" w:rsidRDefault="00994958">
            <w:pPr>
              <w:jc w:val="center"/>
              <w:textAlignment w:val="bottom"/>
            </w:pPr>
            <w:r>
              <w:rPr>
                <w:rFonts w:ascii="Arial" w:eastAsia="宋体" w:hAnsi="Arial" w:cs="Arial"/>
                <w:b/>
                <w:bCs/>
                <w:color w:val="000000"/>
                <w:sz w:val="14"/>
                <w:szCs w:val="14"/>
              </w:rPr>
              <w:t>Total</w:t>
            </w:r>
          </w:p>
        </w:tc>
        <w:tc>
          <w:tcPr>
            <w:tcW w:w="0" w:type="auto"/>
            <w:shd w:val="clear" w:color="auto" w:fill="auto"/>
            <w:vAlign w:val="bottom"/>
          </w:tcPr>
          <w:p w14:paraId="5F2CCD65" w14:textId="77777777" w:rsidR="00E836FB" w:rsidRDefault="00E836FB">
            <w:pPr>
              <w:rPr>
                <w:rFonts w:ascii="宋体"/>
                <w:vanish/>
              </w:rPr>
            </w:pPr>
          </w:p>
        </w:tc>
      </w:tr>
      <w:tr w:rsidR="00E836FB" w14:paraId="5F2CCD70" w14:textId="77777777">
        <w:tc>
          <w:tcPr>
            <w:tcW w:w="0" w:type="auto"/>
            <w:gridSpan w:val="3"/>
            <w:shd w:val="clear" w:color="auto" w:fill="auto"/>
            <w:tcMar>
              <w:top w:w="40" w:type="dxa"/>
              <w:left w:w="20" w:type="dxa"/>
              <w:bottom w:w="40" w:type="dxa"/>
              <w:right w:w="20" w:type="dxa"/>
            </w:tcMar>
            <w:vAlign w:val="bottom"/>
          </w:tcPr>
          <w:p w14:paraId="5F2CCD67" w14:textId="77777777" w:rsidR="00E836FB" w:rsidRDefault="00994958">
            <w:pPr>
              <w:textAlignment w:val="bottom"/>
            </w:pPr>
            <w:r>
              <w:rPr>
                <w:rFonts w:ascii="Arial" w:eastAsia="宋体" w:hAnsi="Arial" w:cs="Arial"/>
                <w:b/>
                <w:bCs/>
                <w:color w:val="000000"/>
                <w:sz w:val="14"/>
                <w:szCs w:val="14"/>
              </w:rPr>
              <w:t>Domestic:</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D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D6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D6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D6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D6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D6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D6E" w14:textId="77777777" w:rsidR="00E836FB" w:rsidRDefault="00E836FB">
            <w:pPr>
              <w:rPr>
                <w:rFonts w:ascii="宋体"/>
              </w:rPr>
            </w:pPr>
          </w:p>
        </w:tc>
        <w:tc>
          <w:tcPr>
            <w:tcW w:w="0" w:type="auto"/>
            <w:shd w:val="clear" w:color="auto" w:fill="auto"/>
            <w:vAlign w:val="bottom"/>
          </w:tcPr>
          <w:p w14:paraId="5F2CCD6F" w14:textId="77777777" w:rsidR="00E836FB" w:rsidRDefault="00E836FB">
            <w:pPr>
              <w:rPr>
                <w:rFonts w:ascii="宋体"/>
                <w:vanish/>
              </w:rPr>
            </w:pPr>
          </w:p>
        </w:tc>
      </w:tr>
      <w:tr w:rsidR="00E836FB" w14:paraId="5F2CCD82" w14:textId="77777777">
        <w:tc>
          <w:tcPr>
            <w:tcW w:w="0" w:type="auto"/>
            <w:gridSpan w:val="3"/>
            <w:shd w:val="clear" w:color="auto" w:fill="CCEEFF"/>
            <w:tcMar>
              <w:top w:w="40" w:type="dxa"/>
              <w:left w:w="20" w:type="dxa"/>
              <w:bottom w:w="40" w:type="dxa"/>
              <w:right w:w="20" w:type="dxa"/>
            </w:tcMar>
            <w:vAlign w:val="bottom"/>
          </w:tcPr>
          <w:p w14:paraId="5F2CCD71" w14:textId="77777777" w:rsidR="00E836FB" w:rsidRDefault="00994958">
            <w:pPr>
              <w:textAlignment w:val="bottom"/>
            </w:pPr>
            <w:r>
              <w:rPr>
                <w:rFonts w:ascii="Arial" w:eastAsia="宋体" w:hAnsi="Arial" w:cs="Arial"/>
                <w:color w:val="000000"/>
                <w:sz w:val="14"/>
                <w:szCs w:val="14"/>
              </w:rPr>
              <w:t>Commercial and financial</w:t>
            </w:r>
          </w:p>
        </w:tc>
        <w:tc>
          <w:tcPr>
            <w:tcW w:w="0" w:type="auto"/>
            <w:shd w:val="clear" w:color="auto" w:fill="CCEEFF"/>
            <w:tcMar>
              <w:top w:w="40" w:type="dxa"/>
              <w:left w:w="20" w:type="dxa"/>
              <w:bottom w:w="40" w:type="dxa"/>
              <w:right w:w="0" w:type="dxa"/>
            </w:tcMar>
            <w:vAlign w:val="bottom"/>
          </w:tcPr>
          <w:p w14:paraId="5F2CCD7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D73" w14:textId="77777777" w:rsidR="00E836FB" w:rsidRDefault="00994958">
            <w:pPr>
              <w:jc w:val="right"/>
              <w:textAlignment w:val="bottom"/>
            </w:pPr>
            <w:r>
              <w:rPr>
                <w:rFonts w:ascii="Arial" w:eastAsia="宋体" w:hAnsi="Arial" w:cs="Arial"/>
                <w:b/>
                <w:bCs/>
                <w:color w:val="000000"/>
                <w:sz w:val="14"/>
                <w:szCs w:val="14"/>
              </w:rPr>
              <w:t>10,188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7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D76"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D77" w14:textId="77777777" w:rsidR="00E836FB" w:rsidRDefault="00994958">
            <w:pPr>
              <w:jc w:val="right"/>
              <w:textAlignment w:val="bottom"/>
            </w:pPr>
            <w:r>
              <w:rPr>
                <w:rFonts w:ascii="Arial" w:eastAsia="宋体" w:hAnsi="Arial" w:cs="Arial"/>
                <w:b/>
                <w:bCs/>
                <w:color w:val="000000"/>
                <w:sz w:val="14"/>
                <w:szCs w:val="14"/>
              </w:rPr>
              <w:t>7,543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7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D7A"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D7B" w14:textId="77777777" w:rsidR="00E836FB" w:rsidRDefault="00994958">
            <w:pPr>
              <w:jc w:val="right"/>
              <w:textAlignment w:val="bottom"/>
            </w:pPr>
            <w:r>
              <w:rPr>
                <w:rFonts w:ascii="Arial" w:eastAsia="宋体" w:hAnsi="Arial" w:cs="Arial"/>
                <w:b/>
                <w:bCs/>
                <w:color w:val="000000"/>
                <w:sz w:val="14"/>
                <w:szCs w:val="14"/>
              </w:rPr>
              <w:t>1,829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7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D7E"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D7F" w14:textId="77777777" w:rsidR="00E836FB" w:rsidRDefault="00994958">
            <w:pPr>
              <w:jc w:val="right"/>
              <w:textAlignment w:val="bottom"/>
            </w:pPr>
            <w:r>
              <w:rPr>
                <w:rFonts w:ascii="Arial" w:eastAsia="宋体" w:hAnsi="Arial" w:cs="Arial"/>
                <w:b/>
                <w:bCs/>
                <w:color w:val="000000"/>
                <w:sz w:val="14"/>
                <w:szCs w:val="14"/>
              </w:rPr>
              <w:t>19,560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80" w14:textId="77777777" w:rsidR="00E836FB" w:rsidRDefault="00E836FB">
            <w:pPr>
              <w:jc w:val="right"/>
              <w:rPr>
                <w:rFonts w:ascii="宋体"/>
              </w:rPr>
            </w:pPr>
          </w:p>
        </w:tc>
        <w:tc>
          <w:tcPr>
            <w:tcW w:w="0" w:type="auto"/>
            <w:shd w:val="clear" w:color="auto" w:fill="auto"/>
            <w:vAlign w:val="bottom"/>
          </w:tcPr>
          <w:p w14:paraId="5F2CCD81" w14:textId="77777777" w:rsidR="00E836FB" w:rsidRDefault="00E836FB">
            <w:pPr>
              <w:rPr>
                <w:rFonts w:ascii="宋体"/>
                <w:vanish/>
              </w:rPr>
            </w:pPr>
          </w:p>
        </w:tc>
      </w:tr>
      <w:tr w:rsidR="00E836FB" w14:paraId="5F2CCD90" w14:textId="77777777">
        <w:tc>
          <w:tcPr>
            <w:tcW w:w="0" w:type="auto"/>
            <w:gridSpan w:val="3"/>
            <w:shd w:val="clear" w:color="auto" w:fill="FFFFFF"/>
            <w:tcMar>
              <w:top w:w="40" w:type="dxa"/>
              <w:left w:w="20" w:type="dxa"/>
              <w:bottom w:w="40" w:type="dxa"/>
              <w:right w:w="20" w:type="dxa"/>
            </w:tcMar>
            <w:vAlign w:val="bottom"/>
          </w:tcPr>
          <w:p w14:paraId="5F2CCD83" w14:textId="77777777" w:rsidR="00E836FB" w:rsidRDefault="00994958">
            <w:pPr>
              <w:textAlignment w:val="bottom"/>
            </w:pPr>
            <w:r>
              <w:rPr>
                <w:rFonts w:ascii="Arial" w:eastAsia="宋体" w:hAnsi="Arial" w:cs="Arial"/>
                <w:color w:val="000000"/>
                <w:sz w:val="14"/>
                <w:szCs w:val="14"/>
              </w:rPr>
              <w:t>Commercial real estate</w:t>
            </w:r>
          </w:p>
        </w:tc>
        <w:tc>
          <w:tcPr>
            <w:tcW w:w="0" w:type="auto"/>
            <w:gridSpan w:val="2"/>
            <w:shd w:val="clear" w:color="auto" w:fill="FFFFFF"/>
            <w:tcMar>
              <w:top w:w="40" w:type="dxa"/>
              <w:left w:w="20" w:type="dxa"/>
              <w:bottom w:w="40" w:type="dxa"/>
              <w:right w:w="0" w:type="dxa"/>
            </w:tcMar>
            <w:vAlign w:val="bottom"/>
          </w:tcPr>
          <w:p w14:paraId="5F2CCD84" w14:textId="77777777" w:rsidR="00E836FB" w:rsidRDefault="00994958">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D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8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D87" w14:textId="77777777" w:rsidR="00E836FB" w:rsidRDefault="00994958">
            <w:pPr>
              <w:jc w:val="right"/>
              <w:textAlignment w:val="bottom"/>
            </w:pPr>
            <w:r>
              <w:rPr>
                <w:rFonts w:ascii="Arial" w:eastAsia="宋体" w:hAnsi="Arial" w:cs="Arial"/>
                <w:b/>
                <w:bCs/>
                <w:color w:val="000000"/>
                <w:sz w:val="14"/>
                <w:szCs w:val="14"/>
              </w:rPr>
              <w:t>926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D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8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D8A" w14:textId="77777777" w:rsidR="00E836FB" w:rsidRDefault="00994958">
            <w:pPr>
              <w:jc w:val="right"/>
              <w:textAlignment w:val="bottom"/>
            </w:pPr>
            <w:r>
              <w:rPr>
                <w:rFonts w:ascii="Arial" w:eastAsia="宋体" w:hAnsi="Arial" w:cs="Arial"/>
                <w:b/>
                <w:bCs/>
                <w:color w:val="000000"/>
                <w:sz w:val="14"/>
                <w:szCs w:val="14"/>
              </w:rPr>
              <w:t>1,550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D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8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D8D" w14:textId="77777777" w:rsidR="00E836FB" w:rsidRDefault="00994958">
            <w:pPr>
              <w:jc w:val="right"/>
              <w:textAlignment w:val="bottom"/>
            </w:pPr>
            <w:r>
              <w:rPr>
                <w:rFonts w:ascii="Arial" w:eastAsia="宋体" w:hAnsi="Arial" w:cs="Arial"/>
                <w:b/>
                <w:bCs/>
                <w:color w:val="000000"/>
                <w:sz w:val="14"/>
                <w:szCs w:val="14"/>
              </w:rPr>
              <w:t>2,554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D8E" w14:textId="77777777" w:rsidR="00E836FB" w:rsidRDefault="00E836FB">
            <w:pPr>
              <w:jc w:val="right"/>
              <w:rPr>
                <w:rFonts w:ascii="宋体"/>
              </w:rPr>
            </w:pPr>
          </w:p>
        </w:tc>
        <w:tc>
          <w:tcPr>
            <w:tcW w:w="0" w:type="auto"/>
            <w:shd w:val="clear" w:color="auto" w:fill="auto"/>
            <w:vAlign w:val="bottom"/>
          </w:tcPr>
          <w:p w14:paraId="5F2CCD8F" w14:textId="77777777" w:rsidR="00E836FB" w:rsidRDefault="00E836FB">
            <w:pPr>
              <w:rPr>
                <w:rFonts w:ascii="宋体"/>
                <w:vanish/>
              </w:rPr>
            </w:pPr>
          </w:p>
        </w:tc>
      </w:tr>
      <w:tr w:rsidR="00E836FB" w14:paraId="5F2CCD9A" w14:textId="77777777">
        <w:trPr>
          <w:hidden/>
        </w:trPr>
        <w:tc>
          <w:tcPr>
            <w:tcW w:w="0" w:type="auto"/>
            <w:gridSpan w:val="3"/>
            <w:shd w:val="clear" w:color="auto" w:fill="auto"/>
            <w:vAlign w:val="bottom"/>
          </w:tcPr>
          <w:p w14:paraId="5F2CCD91" w14:textId="77777777" w:rsidR="00E836FB" w:rsidRDefault="00E836FB">
            <w:pPr>
              <w:rPr>
                <w:rFonts w:ascii="宋体"/>
                <w:vanish/>
              </w:rPr>
            </w:pPr>
          </w:p>
        </w:tc>
        <w:tc>
          <w:tcPr>
            <w:tcW w:w="0" w:type="auto"/>
            <w:gridSpan w:val="3"/>
            <w:shd w:val="clear" w:color="auto" w:fill="auto"/>
            <w:vAlign w:val="bottom"/>
          </w:tcPr>
          <w:p w14:paraId="5F2CCD92" w14:textId="77777777" w:rsidR="00E836FB" w:rsidRDefault="00E836FB">
            <w:pPr>
              <w:rPr>
                <w:rFonts w:ascii="宋体"/>
                <w:vanish/>
              </w:rPr>
            </w:pPr>
          </w:p>
        </w:tc>
        <w:tc>
          <w:tcPr>
            <w:tcW w:w="0" w:type="auto"/>
            <w:gridSpan w:val="3"/>
            <w:shd w:val="clear" w:color="auto" w:fill="auto"/>
            <w:vAlign w:val="bottom"/>
          </w:tcPr>
          <w:p w14:paraId="5F2CCD93" w14:textId="77777777" w:rsidR="00E836FB" w:rsidRDefault="00E836FB">
            <w:pPr>
              <w:rPr>
                <w:rFonts w:ascii="宋体"/>
                <w:vanish/>
              </w:rPr>
            </w:pPr>
          </w:p>
        </w:tc>
        <w:tc>
          <w:tcPr>
            <w:tcW w:w="0" w:type="auto"/>
            <w:gridSpan w:val="3"/>
            <w:shd w:val="clear" w:color="auto" w:fill="auto"/>
            <w:vAlign w:val="bottom"/>
          </w:tcPr>
          <w:p w14:paraId="5F2CCD94" w14:textId="77777777" w:rsidR="00E836FB" w:rsidRDefault="00E836FB">
            <w:pPr>
              <w:rPr>
                <w:rFonts w:ascii="宋体"/>
                <w:vanish/>
              </w:rPr>
            </w:pPr>
          </w:p>
        </w:tc>
        <w:tc>
          <w:tcPr>
            <w:tcW w:w="0" w:type="auto"/>
            <w:gridSpan w:val="3"/>
            <w:shd w:val="clear" w:color="auto" w:fill="auto"/>
            <w:vAlign w:val="bottom"/>
          </w:tcPr>
          <w:p w14:paraId="5F2CCD95" w14:textId="77777777" w:rsidR="00E836FB" w:rsidRDefault="00E836FB">
            <w:pPr>
              <w:rPr>
                <w:rFonts w:ascii="宋体"/>
                <w:vanish/>
              </w:rPr>
            </w:pPr>
          </w:p>
        </w:tc>
        <w:tc>
          <w:tcPr>
            <w:tcW w:w="0" w:type="auto"/>
            <w:gridSpan w:val="3"/>
            <w:shd w:val="clear" w:color="auto" w:fill="auto"/>
            <w:vAlign w:val="bottom"/>
          </w:tcPr>
          <w:p w14:paraId="5F2CCD96" w14:textId="77777777" w:rsidR="00E836FB" w:rsidRDefault="00E836FB">
            <w:pPr>
              <w:rPr>
                <w:rFonts w:ascii="宋体"/>
                <w:vanish/>
              </w:rPr>
            </w:pPr>
          </w:p>
        </w:tc>
        <w:tc>
          <w:tcPr>
            <w:tcW w:w="0" w:type="auto"/>
            <w:gridSpan w:val="3"/>
            <w:shd w:val="clear" w:color="auto" w:fill="auto"/>
            <w:vAlign w:val="bottom"/>
          </w:tcPr>
          <w:p w14:paraId="5F2CCD97" w14:textId="77777777" w:rsidR="00E836FB" w:rsidRDefault="00E836FB">
            <w:pPr>
              <w:rPr>
                <w:rFonts w:ascii="宋体"/>
                <w:vanish/>
              </w:rPr>
            </w:pPr>
          </w:p>
        </w:tc>
        <w:tc>
          <w:tcPr>
            <w:tcW w:w="0" w:type="auto"/>
            <w:gridSpan w:val="3"/>
            <w:shd w:val="clear" w:color="auto" w:fill="auto"/>
            <w:vAlign w:val="bottom"/>
          </w:tcPr>
          <w:p w14:paraId="5F2CCD98" w14:textId="77777777" w:rsidR="00E836FB" w:rsidRDefault="00E836FB">
            <w:pPr>
              <w:rPr>
                <w:rFonts w:ascii="宋体"/>
                <w:vanish/>
              </w:rPr>
            </w:pPr>
          </w:p>
        </w:tc>
        <w:tc>
          <w:tcPr>
            <w:tcW w:w="0" w:type="auto"/>
            <w:shd w:val="clear" w:color="auto" w:fill="auto"/>
            <w:vAlign w:val="bottom"/>
          </w:tcPr>
          <w:p w14:paraId="5F2CCD99" w14:textId="77777777" w:rsidR="00E836FB" w:rsidRDefault="00E836FB">
            <w:pPr>
              <w:rPr>
                <w:rFonts w:ascii="宋体"/>
                <w:vanish/>
              </w:rPr>
            </w:pPr>
          </w:p>
        </w:tc>
      </w:tr>
      <w:tr w:rsidR="00E836FB" w14:paraId="5F2CCDA8" w14:textId="77777777">
        <w:tc>
          <w:tcPr>
            <w:tcW w:w="0" w:type="auto"/>
            <w:gridSpan w:val="3"/>
            <w:shd w:val="clear" w:color="auto" w:fill="CCEEFF"/>
            <w:tcMar>
              <w:top w:w="40" w:type="dxa"/>
              <w:left w:w="125" w:type="dxa"/>
              <w:bottom w:w="40" w:type="dxa"/>
              <w:right w:w="20" w:type="dxa"/>
            </w:tcMar>
            <w:vAlign w:val="bottom"/>
          </w:tcPr>
          <w:p w14:paraId="5F2CCD9B" w14:textId="77777777" w:rsidR="00E836FB" w:rsidRDefault="00994958">
            <w:pPr>
              <w:textAlignment w:val="bottom"/>
            </w:pPr>
            <w:r>
              <w:rPr>
                <w:rFonts w:ascii="Arial" w:eastAsia="宋体" w:hAnsi="Arial" w:cs="Arial"/>
                <w:color w:val="000000"/>
                <w:sz w:val="14"/>
                <w:szCs w:val="14"/>
              </w:rPr>
              <w:t>Total domestic</w:t>
            </w:r>
          </w:p>
        </w:tc>
        <w:tc>
          <w:tcPr>
            <w:tcW w:w="0" w:type="auto"/>
            <w:gridSpan w:val="2"/>
            <w:shd w:val="clear" w:color="auto" w:fill="CCEEFF"/>
            <w:tcMar>
              <w:top w:w="40" w:type="dxa"/>
              <w:left w:w="20" w:type="dxa"/>
              <w:bottom w:w="40" w:type="dxa"/>
              <w:right w:w="0" w:type="dxa"/>
            </w:tcMar>
            <w:vAlign w:val="bottom"/>
          </w:tcPr>
          <w:p w14:paraId="5F2CCD9C" w14:textId="77777777" w:rsidR="00E836FB" w:rsidRDefault="00994958">
            <w:pPr>
              <w:jc w:val="right"/>
              <w:textAlignment w:val="bottom"/>
            </w:pPr>
            <w:r>
              <w:rPr>
                <w:rFonts w:ascii="Arial" w:eastAsia="宋体" w:hAnsi="Arial" w:cs="Arial"/>
                <w:b/>
                <w:bCs/>
                <w:color w:val="000000"/>
                <w:sz w:val="14"/>
                <w:szCs w:val="14"/>
              </w:rPr>
              <w:t>10,266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9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D9F" w14:textId="77777777" w:rsidR="00E836FB" w:rsidRDefault="00994958">
            <w:pPr>
              <w:jc w:val="right"/>
              <w:textAlignment w:val="bottom"/>
            </w:pPr>
            <w:r>
              <w:rPr>
                <w:rFonts w:ascii="Arial" w:eastAsia="宋体" w:hAnsi="Arial" w:cs="Arial"/>
                <w:b/>
                <w:bCs/>
                <w:color w:val="000000"/>
                <w:sz w:val="14"/>
                <w:szCs w:val="14"/>
              </w:rPr>
              <w:t>8,469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A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DA2" w14:textId="77777777" w:rsidR="00E836FB" w:rsidRDefault="00994958">
            <w:pPr>
              <w:jc w:val="right"/>
              <w:textAlignment w:val="bottom"/>
            </w:pPr>
            <w:r>
              <w:rPr>
                <w:rFonts w:ascii="Arial" w:eastAsia="宋体" w:hAnsi="Arial" w:cs="Arial"/>
                <w:b/>
                <w:bCs/>
                <w:color w:val="000000"/>
                <w:sz w:val="14"/>
                <w:szCs w:val="14"/>
              </w:rPr>
              <w:t>3,379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A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DA5" w14:textId="77777777" w:rsidR="00E836FB" w:rsidRDefault="00994958">
            <w:pPr>
              <w:jc w:val="right"/>
              <w:textAlignment w:val="bottom"/>
            </w:pPr>
            <w:r>
              <w:rPr>
                <w:rFonts w:ascii="Arial" w:eastAsia="宋体" w:hAnsi="Arial" w:cs="Arial"/>
                <w:b/>
                <w:bCs/>
                <w:color w:val="000000"/>
                <w:sz w:val="14"/>
                <w:szCs w:val="14"/>
              </w:rPr>
              <w:t>22,114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A6" w14:textId="77777777" w:rsidR="00E836FB" w:rsidRDefault="00E836FB">
            <w:pPr>
              <w:jc w:val="right"/>
              <w:rPr>
                <w:rFonts w:ascii="宋体"/>
              </w:rPr>
            </w:pPr>
          </w:p>
        </w:tc>
        <w:tc>
          <w:tcPr>
            <w:tcW w:w="0" w:type="auto"/>
            <w:shd w:val="clear" w:color="auto" w:fill="auto"/>
            <w:vAlign w:val="bottom"/>
          </w:tcPr>
          <w:p w14:paraId="5F2CCDA7" w14:textId="77777777" w:rsidR="00E836FB" w:rsidRDefault="00E836FB">
            <w:pPr>
              <w:rPr>
                <w:rFonts w:ascii="宋体"/>
                <w:vanish/>
              </w:rPr>
            </w:pPr>
          </w:p>
        </w:tc>
      </w:tr>
      <w:tr w:rsidR="00E836FB" w14:paraId="5F2CCDB2" w14:textId="77777777">
        <w:tc>
          <w:tcPr>
            <w:tcW w:w="0" w:type="auto"/>
            <w:gridSpan w:val="3"/>
            <w:shd w:val="clear" w:color="auto" w:fill="FFFFFF"/>
            <w:tcMar>
              <w:top w:w="40" w:type="dxa"/>
              <w:left w:w="20" w:type="dxa"/>
              <w:bottom w:w="40" w:type="dxa"/>
              <w:right w:w="20" w:type="dxa"/>
            </w:tcMar>
            <w:vAlign w:val="bottom"/>
          </w:tcPr>
          <w:p w14:paraId="5F2CCDA9" w14:textId="77777777" w:rsidR="00E836FB" w:rsidRDefault="00994958">
            <w:pPr>
              <w:textAlignment w:val="bottom"/>
            </w:pPr>
            <w:r>
              <w:rPr>
                <w:rFonts w:ascii="Arial" w:eastAsia="宋体" w:hAnsi="Arial" w:cs="Arial"/>
                <w:b/>
                <w:bCs/>
                <w:color w:val="000000"/>
                <w:sz w:val="14"/>
                <w:szCs w:val="14"/>
              </w:rPr>
              <w:t>Foreign:</w:t>
            </w:r>
          </w:p>
        </w:tc>
        <w:tc>
          <w:tcPr>
            <w:tcW w:w="0" w:type="auto"/>
            <w:gridSpan w:val="3"/>
            <w:shd w:val="clear" w:color="auto" w:fill="FFFFFF"/>
            <w:tcMar>
              <w:top w:w="0" w:type="dxa"/>
              <w:left w:w="20" w:type="dxa"/>
              <w:bottom w:w="0" w:type="dxa"/>
              <w:right w:w="20" w:type="dxa"/>
            </w:tcMar>
            <w:vAlign w:val="bottom"/>
          </w:tcPr>
          <w:p w14:paraId="5F2CCDA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DA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DA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DA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DA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DA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DB0" w14:textId="77777777" w:rsidR="00E836FB" w:rsidRDefault="00E836FB">
            <w:pPr>
              <w:rPr>
                <w:rFonts w:ascii="宋体"/>
              </w:rPr>
            </w:pPr>
          </w:p>
        </w:tc>
        <w:tc>
          <w:tcPr>
            <w:tcW w:w="0" w:type="auto"/>
            <w:shd w:val="clear" w:color="auto" w:fill="auto"/>
            <w:vAlign w:val="bottom"/>
          </w:tcPr>
          <w:p w14:paraId="5F2CCDB1" w14:textId="77777777" w:rsidR="00E836FB" w:rsidRDefault="00E836FB">
            <w:pPr>
              <w:rPr>
                <w:rFonts w:ascii="宋体"/>
                <w:vanish/>
              </w:rPr>
            </w:pPr>
          </w:p>
        </w:tc>
      </w:tr>
      <w:tr w:rsidR="00E836FB" w14:paraId="5F2CCDC0" w14:textId="77777777">
        <w:tc>
          <w:tcPr>
            <w:tcW w:w="0" w:type="auto"/>
            <w:gridSpan w:val="3"/>
            <w:shd w:val="clear" w:color="auto" w:fill="CCEEFF"/>
            <w:tcMar>
              <w:top w:w="40" w:type="dxa"/>
              <w:left w:w="20" w:type="dxa"/>
              <w:bottom w:w="40" w:type="dxa"/>
              <w:right w:w="20" w:type="dxa"/>
            </w:tcMar>
            <w:vAlign w:val="bottom"/>
          </w:tcPr>
          <w:p w14:paraId="5F2CCDB3"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2"/>
            <w:shd w:val="clear" w:color="auto" w:fill="CCEEFF"/>
            <w:tcMar>
              <w:top w:w="40" w:type="dxa"/>
              <w:left w:w="20" w:type="dxa"/>
              <w:bottom w:w="40" w:type="dxa"/>
              <w:right w:w="0" w:type="dxa"/>
            </w:tcMar>
            <w:vAlign w:val="bottom"/>
          </w:tcPr>
          <w:p w14:paraId="5F2CCDB4" w14:textId="77777777" w:rsidR="00E836FB" w:rsidRDefault="00994958">
            <w:pPr>
              <w:jc w:val="right"/>
              <w:textAlignment w:val="bottom"/>
            </w:pPr>
            <w:r>
              <w:rPr>
                <w:rFonts w:ascii="Arial" w:eastAsia="宋体" w:hAnsi="Arial" w:cs="Arial"/>
                <w:b/>
                <w:bCs/>
                <w:color w:val="000000"/>
                <w:sz w:val="14"/>
                <w:szCs w:val="14"/>
              </w:rPr>
              <w:t>3,973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B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DB7" w14:textId="77777777" w:rsidR="00E836FB" w:rsidRDefault="00994958">
            <w:pPr>
              <w:jc w:val="right"/>
              <w:textAlignment w:val="bottom"/>
            </w:pPr>
            <w:r>
              <w:rPr>
                <w:rFonts w:ascii="Arial" w:eastAsia="宋体" w:hAnsi="Arial" w:cs="Arial"/>
                <w:b/>
                <w:bCs/>
                <w:color w:val="000000"/>
                <w:sz w:val="14"/>
                <w:szCs w:val="14"/>
              </w:rPr>
              <w:t>3,311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B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DBA" w14:textId="77777777" w:rsidR="00E836FB" w:rsidRDefault="00994958">
            <w:pPr>
              <w:jc w:val="right"/>
              <w:textAlignment w:val="bottom"/>
            </w:pPr>
            <w:r>
              <w:rPr>
                <w:rFonts w:ascii="Arial" w:eastAsia="宋体" w:hAnsi="Arial" w:cs="Arial"/>
                <w:b/>
                <w:bCs/>
                <w:color w:val="000000"/>
                <w:sz w:val="14"/>
                <w:szCs w:val="14"/>
              </w:rPr>
              <w:t>3,134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B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DBD" w14:textId="77777777" w:rsidR="00E836FB" w:rsidRDefault="00994958">
            <w:pPr>
              <w:jc w:val="right"/>
              <w:textAlignment w:val="bottom"/>
            </w:pPr>
            <w:r>
              <w:rPr>
                <w:rFonts w:ascii="Arial" w:eastAsia="宋体" w:hAnsi="Arial" w:cs="Arial"/>
                <w:b/>
                <w:bCs/>
                <w:color w:val="000000"/>
                <w:sz w:val="14"/>
                <w:szCs w:val="14"/>
              </w:rPr>
              <w:t>10,418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DBE" w14:textId="77777777" w:rsidR="00E836FB" w:rsidRDefault="00E836FB">
            <w:pPr>
              <w:jc w:val="right"/>
              <w:rPr>
                <w:rFonts w:ascii="宋体"/>
              </w:rPr>
            </w:pPr>
          </w:p>
        </w:tc>
        <w:tc>
          <w:tcPr>
            <w:tcW w:w="0" w:type="auto"/>
            <w:shd w:val="clear" w:color="auto" w:fill="auto"/>
            <w:vAlign w:val="bottom"/>
          </w:tcPr>
          <w:p w14:paraId="5F2CCDBF" w14:textId="77777777" w:rsidR="00E836FB" w:rsidRDefault="00E836FB">
            <w:pPr>
              <w:rPr>
                <w:rFonts w:ascii="宋体"/>
                <w:vanish/>
              </w:rPr>
            </w:pPr>
          </w:p>
        </w:tc>
      </w:tr>
      <w:tr w:rsidR="00E836FB" w14:paraId="5F2CCDCA" w14:textId="77777777">
        <w:trPr>
          <w:hidden/>
        </w:trPr>
        <w:tc>
          <w:tcPr>
            <w:tcW w:w="0" w:type="auto"/>
            <w:gridSpan w:val="3"/>
            <w:shd w:val="clear" w:color="auto" w:fill="auto"/>
            <w:vAlign w:val="bottom"/>
          </w:tcPr>
          <w:p w14:paraId="5F2CCDC1" w14:textId="77777777" w:rsidR="00E836FB" w:rsidRDefault="00E836FB">
            <w:pPr>
              <w:rPr>
                <w:rFonts w:ascii="宋体"/>
                <w:vanish/>
              </w:rPr>
            </w:pPr>
          </w:p>
        </w:tc>
        <w:tc>
          <w:tcPr>
            <w:tcW w:w="0" w:type="auto"/>
            <w:gridSpan w:val="3"/>
            <w:shd w:val="clear" w:color="auto" w:fill="auto"/>
            <w:vAlign w:val="bottom"/>
          </w:tcPr>
          <w:p w14:paraId="5F2CCDC2" w14:textId="77777777" w:rsidR="00E836FB" w:rsidRDefault="00E836FB">
            <w:pPr>
              <w:rPr>
                <w:rFonts w:ascii="宋体"/>
                <w:vanish/>
              </w:rPr>
            </w:pPr>
          </w:p>
        </w:tc>
        <w:tc>
          <w:tcPr>
            <w:tcW w:w="0" w:type="auto"/>
            <w:gridSpan w:val="3"/>
            <w:shd w:val="clear" w:color="auto" w:fill="auto"/>
            <w:vAlign w:val="bottom"/>
          </w:tcPr>
          <w:p w14:paraId="5F2CCDC3" w14:textId="77777777" w:rsidR="00E836FB" w:rsidRDefault="00E836FB">
            <w:pPr>
              <w:rPr>
                <w:rFonts w:ascii="宋体"/>
                <w:vanish/>
              </w:rPr>
            </w:pPr>
          </w:p>
        </w:tc>
        <w:tc>
          <w:tcPr>
            <w:tcW w:w="0" w:type="auto"/>
            <w:gridSpan w:val="3"/>
            <w:shd w:val="clear" w:color="auto" w:fill="auto"/>
            <w:vAlign w:val="bottom"/>
          </w:tcPr>
          <w:p w14:paraId="5F2CCDC4" w14:textId="77777777" w:rsidR="00E836FB" w:rsidRDefault="00E836FB">
            <w:pPr>
              <w:rPr>
                <w:rFonts w:ascii="宋体"/>
                <w:vanish/>
              </w:rPr>
            </w:pPr>
          </w:p>
        </w:tc>
        <w:tc>
          <w:tcPr>
            <w:tcW w:w="0" w:type="auto"/>
            <w:gridSpan w:val="3"/>
            <w:shd w:val="clear" w:color="auto" w:fill="auto"/>
            <w:vAlign w:val="bottom"/>
          </w:tcPr>
          <w:p w14:paraId="5F2CCDC5" w14:textId="77777777" w:rsidR="00E836FB" w:rsidRDefault="00E836FB">
            <w:pPr>
              <w:rPr>
                <w:rFonts w:ascii="宋体"/>
                <w:vanish/>
              </w:rPr>
            </w:pPr>
          </w:p>
        </w:tc>
        <w:tc>
          <w:tcPr>
            <w:tcW w:w="0" w:type="auto"/>
            <w:gridSpan w:val="3"/>
            <w:shd w:val="clear" w:color="auto" w:fill="auto"/>
            <w:vAlign w:val="bottom"/>
          </w:tcPr>
          <w:p w14:paraId="5F2CCDC6" w14:textId="77777777" w:rsidR="00E836FB" w:rsidRDefault="00E836FB">
            <w:pPr>
              <w:rPr>
                <w:rFonts w:ascii="宋体"/>
                <w:vanish/>
              </w:rPr>
            </w:pPr>
          </w:p>
        </w:tc>
        <w:tc>
          <w:tcPr>
            <w:tcW w:w="0" w:type="auto"/>
            <w:gridSpan w:val="3"/>
            <w:shd w:val="clear" w:color="auto" w:fill="auto"/>
            <w:vAlign w:val="bottom"/>
          </w:tcPr>
          <w:p w14:paraId="5F2CCDC7" w14:textId="77777777" w:rsidR="00E836FB" w:rsidRDefault="00E836FB">
            <w:pPr>
              <w:rPr>
                <w:rFonts w:ascii="宋体"/>
                <w:vanish/>
              </w:rPr>
            </w:pPr>
          </w:p>
        </w:tc>
        <w:tc>
          <w:tcPr>
            <w:tcW w:w="0" w:type="auto"/>
            <w:gridSpan w:val="3"/>
            <w:shd w:val="clear" w:color="auto" w:fill="auto"/>
            <w:vAlign w:val="bottom"/>
          </w:tcPr>
          <w:p w14:paraId="5F2CCDC8" w14:textId="77777777" w:rsidR="00E836FB" w:rsidRDefault="00E836FB">
            <w:pPr>
              <w:rPr>
                <w:rFonts w:ascii="宋体"/>
                <w:vanish/>
              </w:rPr>
            </w:pPr>
          </w:p>
        </w:tc>
        <w:tc>
          <w:tcPr>
            <w:tcW w:w="0" w:type="auto"/>
            <w:shd w:val="clear" w:color="auto" w:fill="auto"/>
            <w:vAlign w:val="bottom"/>
          </w:tcPr>
          <w:p w14:paraId="5F2CCDC9" w14:textId="77777777" w:rsidR="00E836FB" w:rsidRDefault="00E836FB">
            <w:pPr>
              <w:rPr>
                <w:rFonts w:ascii="宋体"/>
                <w:vanish/>
              </w:rPr>
            </w:pPr>
          </w:p>
        </w:tc>
      </w:tr>
      <w:tr w:rsidR="00E836FB" w14:paraId="5F2CCDD4" w14:textId="77777777">
        <w:trPr>
          <w:hidden/>
        </w:trPr>
        <w:tc>
          <w:tcPr>
            <w:tcW w:w="0" w:type="auto"/>
            <w:gridSpan w:val="3"/>
            <w:shd w:val="clear" w:color="auto" w:fill="auto"/>
            <w:vAlign w:val="bottom"/>
          </w:tcPr>
          <w:p w14:paraId="5F2CCDCB" w14:textId="77777777" w:rsidR="00E836FB" w:rsidRDefault="00E836FB">
            <w:pPr>
              <w:rPr>
                <w:rFonts w:ascii="宋体"/>
                <w:vanish/>
              </w:rPr>
            </w:pPr>
          </w:p>
        </w:tc>
        <w:tc>
          <w:tcPr>
            <w:tcW w:w="0" w:type="auto"/>
            <w:gridSpan w:val="3"/>
            <w:shd w:val="clear" w:color="auto" w:fill="auto"/>
            <w:vAlign w:val="bottom"/>
          </w:tcPr>
          <w:p w14:paraId="5F2CCDCC" w14:textId="77777777" w:rsidR="00E836FB" w:rsidRDefault="00E836FB">
            <w:pPr>
              <w:rPr>
                <w:rFonts w:ascii="宋体"/>
                <w:vanish/>
              </w:rPr>
            </w:pPr>
          </w:p>
        </w:tc>
        <w:tc>
          <w:tcPr>
            <w:tcW w:w="0" w:type="auto"/>
            <w:gridSpan w:val="3"/>
            <w:shd w:val="clear" w:color="auto" w:fill="auto"/>
            <w:vAlign w:val="bottom"/>
          </w:tcPr>
          <w:p w14:paraId="5F2CCDCD" w14:textId="77777777" w:rsidR="00E836FB" w:rsidRDefault="00E836FB">
            <w:pPr>
              <w:rPr>
                <w:rFonts w:ascii="宋体"/>
                <w:vanish/>
              </w:rPr>
            </w:pPr>
          </w:p>
        </w:tc>
        <w:tc>
          <w:tcPr>
            <w:tcW w:w="0" w:type="auto"/>
            <w:gridSpan w:val="3"/>
            <w:shd w:val="clear" w:color="auto" w:fill="auto"/>
            <w:vAlign w:val="bottom"/>
          </w:tcPr>
          <w:p w14:paraId="5F2CCDCE" w14:textId="77777777" w:rsidR="00E836FB" w:rsidRDefault="00E836FB">
            <w:pPr>
              <w:rPr>
                <w:rFonts w:ascii="宋体"/>
                <w:vanish/>
              </w:rPr>
            </w:pPr>
          </w:p>
        </w:tc>
        <w:tc>
          <w:tcPr>
            <w:tcW w:w="0" w:type="auto"/>
            <w:gridSpan w:val="3"/>
            <w:shd w:val="clear" w:color="auto" w:fill="auto"/>
            <w:vAlign w:val="bottom"/>
          </w:tcPr>
          <w:p w14:paraId="5F2CCDCF" w14:textId="77777777" w:rsidR="00E836FB" w:rsidRDefault="00E836FB">
            <w:pPr>
              <w:rPr>
                <w:rFonts w:ascii="宋体"/>
                <w:vanish/>
              </w:rPr>
            </w:pPr>
          </w:p>
        </w:tc>
        <w:tc>
          <w:tcPr>
            <w:tcW w:w="0" w:type="auto"/>
            <w:gridSpan w:val="3"/>
            <w:shd w:val="clear" w:color="auto" w:fill="auto"/>
            <w:vAlign w:val="bottom"/>
          </w:tcPr>
          <w:p w14:paraId="5F2CCDD0" w14:textId="77777777" w:rsidR="00E836FB" w:rsidRDefault="00E836FB">
            <w:pPr>
              <w:rPr>
                <w:rFonts w:ascii="宋体"/>
                <w:vanish/>
              </w:rPr>
            </w:pPr>
          </w:p>
        </w:tc>
        <w:tc>
          <w:tcPr>
            <w:tcW w:w="0" w:type="auto"/>
            <w:gridSpan w:val="3"/>
            <w:shd w:val="clear" w:color="auto" w:fill="auto"/>
            <w:vAlign w:val="bottom"/>
          </w:tcPr>
          <w:p w14:paraId="5F2CCDD1" w14:textId="77777777" w:rsidR="00E836FB" w:rsidRDefault="00E836FB">
            <w:pPr>
              <w:rPr>
                <w:rFonts w:ascii="宋体"/>
                <w:vanish/>
              </w:rPr>
            </w:pPr>
          </w:p>
        </w:tc>
        <w:tc>
          <w:tcPr>
            <w:tcW w:w="0" w:type="auto"/>
            <w:gridSpan w:val="3"/>
            <w:shd w:val="clear" w:color="auto" w:fill="auto"/>
            <w:vAlign w:val="bottom"/>
          </w:tcPr>
          <w:p w14:paraId="5F2CCDD2" w14:textId="77777777" w:rsidR="00E836FB" w:rsidRDefault="00E836FB">
            <w:pPr>
              <w:rPr>
                <w:rFonts w:ascii="宋体"/>
                <w:vanish/>
              </w:rPr>
            </w:pPr>
          </w:p>
        </w:tc>
        <w:tc>
          <w:tcPr>
            <w:tcW w:w="0" w:type="auto"/>
            <w:shd w:val="clear" w:color="auto" w:fill="auto"/>
            <w:vAlign w:val="bottom"/>
          </w:tcPr>
          <w:p w14:paraId="5F2CCDD3" w14:textId="77777777" w:rsidR="00E836FB" w:rsidRDefault="00E836FB">
            <w:pPr>
              <w:rPr>
                <w:rFonts w:ascii="宋体"/>
                <w:vanish/>
              </w:rPr>
            </w:pPr>
          </w:p>
        </w:tc>
      </w:tr>
      <w:tr w:rsidR="00E836FB" w14:paraId="5F2CCDE2" w14:textId="77777777">
        <w:tc>
          <w:tcPr>
            <w:tcW w:w="0" w:type="auto"/>
            <w:gridSpan w:val="3"/>
            <w:shd w:val="clear" w:color="auto" w:fill="FFFFFF"/>
            <w:tcMar>
              <w:top w:w="40" w:type="dxa"/>
              <w:left w:w="125" w:type="dxa"/>
              <w:bottom w:w="40" w:type="dxa"/>
              <w:right w:w="20" w:type="dxa"/>
            </w:tcMar>
            <w:vAlign w:val="bottom"/>
          </w:tcPr>
          <w:p w14:paraId="5F2CCDD5" w14:textId="77777777" w:rsidR="00E836FB" w:rsidRDefault="00994958">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DD6" w14:textId="77777777" w:rsidR="00E836FB" w:rsidRDefault="00994958">
            <w:pPr>
              <w:jc w:val="right"/>
              <w:textAlignment w:val="bottom"/>
            </w:pPr>
            <w:r>
              <w:rPr>
                <w:rFonts w:ascii="Arial" w:eastAsia="宋体" w:hAnsi="Arial" w:cs="Arial"/>
                <w:b/>
                <w:bCs/>
                <w:color w:val="000000"/>
                <w:sz w:val="14"/>
                <w:szCs w:val="14"/>
              </w:rPr>
              <w:t>3,973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D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D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DD9" w14:textId="77777777" w:rsidR="00E836FB" w:rsidRDefault="00994958">
            <w:pPr>
              <w:jc w:val="right"/>
              <w:textAlignment w:val="bottom"/>
            </w:pPr>
            <w:r>
              <w:rPr>
                <w:rFonts w:ascii="Arial" w:eastAsia="宋体" w:hAnsi="Arial" w:cs="Arial"/>
                <w:b/>
                <w:bCs/>
                <w:color w:val="000000"/>
                <w:sz w:val="14"/>
                <w:szCs w:val="14"/>
              </w:rPr>
              <w:t>3,311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D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D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DDC" w14:textId="77777777" w:rsidR="00E836FB" w:rsidRDefault="00994958">
            <w:pPr>
              <w:jc w:val="right"/>
              <w:textAlignment w:val="bottom"/>
            </w:pPr>
            <w:r>
              <w:rPr>
                <w:rFonts w:ascii="Arial" w:eastAsia="宋体" w:hAnsi="Arial" w:cs="Arial"/>
                <w:b/>
                <w:bCs/>
                <w:color w:val="000000"/>
                <w:sz w:val="14"/>
                <w:szCs w:val="14"/>
              </w:rPr>
              <w:t>3,134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D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DD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DDF" w14:textId="77777777" w:rsidR="00E836FB" w:rsidRDefault="00994958">
            <w:pPr>
              <w:jc w:val="right"/>
              <w:textAlignment w:val="bottom"/>
            </w:pPr>
            <w:r>
              <w:rPr>
                <w:rFonts w:ascii="Arial" w:eastAsia="宋体" w:hAnsi="Arial" w:cs="Arial"/>
                <w:b/>
                <w:bCs/>
                <w:color w:val="000000"/>
                <w:sz w:val="14"/>
                <w:szCs w:val="14"/>
              </w:rPr>
              <w:t>10,418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DE0" w14:textId="77777777" w:rsidR="00E836FB" w:rsidRDefault="00E836FB">
            <w:pPr>
              <w:jc w:val="right"/>
              <w:rPr>
                <w:rFonts w:ascii="宋体"/>
              </w:rPr>
            </w:pPr>
          </w:p>
        </w:tc>
        <w:tc>
          <w:tcPr>
            <w:tcW w:w="0" w:type="auto"/>
            <w:shd w:val="clear" w:color="auto" w:fill="auto"/>
            <w:vAlign w:val="bottom"/>
          </w:tcPr>
          <w:p w14:paraId="5F2CCDE1" w14:textId="77777777" w:rsidR="00E836FB" w:rsidRDefault="00E836FB">
            <w:pPr>
              <w:rPr>
                <w:rFonts w:ascii="宋体"/>
                <w:vanish/>
              </w:rPr>
            </w:pPr>
          </w:p>
        </w:tc>
      </w:tr>
      <w:tr w:rsidR="00E836FB" w14:paraId="5F2CCDF4" w14:textId="77777777">
        <w:tc>
          <w:tcPr>
            <w:tcW w:w="0" w:type="auto"/>
            <w:gridSpan w:val="3"/>
            <w:shd w:val="clear" w:color="auto" w:fill="CCEEFF"/>
            <w:tcMar>
              <w:top w:w="40" w:type="dxa"/>
              <w:left w:w="20" w:type="dxa"/>
              <w:bottom w:w="40" w:type="dxa"/>
              <w:right w:w="20" w:type="dxa"/>
            </w:tcMar>
            <w:vAlign w:val="bottom"/>
          </w:tcPr>
          <w:p w14:paraId="5F2CCDE3" w14:textId="77777777" w:rsidR="00E836FB" w:rsidRDefault="00994958">
            <w:pPr>
              <w:textAlignment w:val="bottom"/>
            </w:pPr>
            <w:r>
              <w:rPr>
                <w:rFonts w:ascii="Arial" w:eastAsia="宋体" w:hAnsi="Arial" w:cs="Arial"/>
                <w:color w:val="000000"/>
                <w:sz w:val="14"/>
                <w:szCs w:val="14"/>
              </w:rPr>
              <w:t xml:space="preserve">Total loans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DE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DE5" w14:textId="77777777" w:rsidR="00E836FB" w:rsidRDefault="00994958">
            <w:pPr>
              <w:jc w:val="right"/>
              <w:textAlignment w:val="bottom"/>
            </w:pPr>
            <w:r>
              <w:rPr>
                <w:rFonts w:ascii="Arial" w:eastAsia="宋体" w:hAnsi="Arial" w:cs="Arial"/>
                <w:b/>
                <w:bCs/>
                <w:color w:val="000000"/>
                <w:sz w:val="14"/>
                <w:szCs w:val="14"/>
              </w:rPr>
              <w:t>14,239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D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E7"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DE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DE9" w14:textId="77777777" w:rsidR="00E836FB" w:rsidRDefault="00994958">
            <w:pPr>
              <w:jc w:val="right"/>
              <w:textAlignment w:val="bottom"/>
            </w:pPr>
            <w:r>
              <w:rPr>
                <w:rFonts w:ascii="Arial" w:eastAsia="宋体" w:hAnsi="Arial" w:cs="Arial"/>
                <w:b/>
                <w:bCs/>
                <w:color w:val="000000"/>
                <w:sz w:val="14"/>
                <w:szCs w:val="14"/>
              </w:rPr>
              <w:t>11,780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D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E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DEC"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DED" w14:textId="77777777" w:rsidR="00E836FB" w:rsidRDefault="00994958">
            <w:pPr>
              <w:jc w:val="right"/>
              <w:textAlignment w:val="bottom"/>
            </w:pPr>
            <w:r>
              <w:rPr>
                <w:rFonts w:ascii="Arial" w:eastAsia="宋体" w:hAnsi="Arial" w:cs="Arial"/>
                <w:b/>
                <w:bCs/>
                <w:color w:val="000000"/>
                <w:sz w:val="14"/>
                <w:szCs w:val="14"/>
              </w:rPr>
              <w:t>6,513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D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DE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DF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DF1" w14:textId="77777777" w:rsidR="00E836FB" w:rsidRDefault="00994958">
            <w:pPr>
              <w:jc w:val="right"/>
              <w:textAlignment w:val="bottom"/>
            </w:pPr>
            <w:r>
              <w:rPr>
                <w:rFonts w:ascii="Arial" w:eastAsia="宋体" w:hAnsi="Arial" w:cs="Arial"/>
                <w:b/>
                <w:bCs/>
                <w:color w:val="000000"/>
                <w:sz w:val="14"/>
                <w:szCs w:val="14"/>
              </w:rPr>
              <w:t>32,532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DF2" w14:textId="77777777" w:rsidR="00E836FB" w:rsidRDefault="00E836FB">
            <w:pPr>
              <w:jc w:val="right"/>
              <w:rPr>
                <w:rFonts w:ascii="宋体"/>
              </w:rPr>
            </w:pPr>
          </w:p>
        </w:tc>
        <w:tc>
          <w:tcPr>
            <w:tcW w:w="0" w:type="auto"/>
            <w:shd w:val="clear" w:color="auto" w:fill="auto"/>
            <w:vAlign w:val="bottom"/>
          </w:tcPr>
          <w:p w14:paraId="5F2CCDF3" w14:textId="77777777" w:rsidR="00E836FB" w:rsidRDefault="00E836FB">
            <w:pPr>
              <w:rPr>
                <w:rFonts w:ascii="宋体"/>
                <w:vanish/>
              </w:rPr>
            </w:pPr>
          </w:p>
        </w:tc>
      </w:tr>
    </w:tbl>
    <w:p w14:paraId="5F2CCDF5"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3228"/>
        <w:gridCol w:w="39"/>
        <w:gridCol w:w="100"/>
        <w:gridCol w:w="2312"/>
        <w:gridCol w:w="38"/>
        <w:gridCol w:w="36"/>
        <w:gridCol w:w="52"/>
        <w:gridCol w:w="36"/>
        <w:gridCol w:w="99"/>
        <w:gridCol w:w="2312"/>
        <w:gridCol w:w="37"/>
      </w:tblGrid>
      <w:tr w:rsidR="00E836FB" w14:paraId="5F2CCE02" w14:textId="77777777">
        <w:tc>
          <w:tcPr>
            <w:tcW w:w="50" w:type="pct"/>
            <w:shd w:val="clear" w:color="auto" w:fill="auto"/>
            <w:vAlign w:val="bottom"/>
          </w:tcPr>
          <w:p w14:paraId="5F2CCDF6" w14:textId="77777777" w:rsidR="00E836FB" w:rsidRDefault="00E836FB">
            <w:pPr>
              <w:rPr>
                <w:rFonts w:ascii="宋体"/>
              </w:rPr>
            </w:pPr>
          </w:p>
        </w:tc>
        <w:tc>
          <w:tcPr>
            <w:tcW w:w="1957" w:type="pct"/>
            <w:shd w:val="clear" w:color="auto" w:fill="auto"/>
            <w:vAlign w:val="bottom"/>
          </w:tcPr>
          <w:p w14:paraId="5F2CCDF7" w14:textId="77777777" w:rsidR="00E836FB" w:rsidRDefault="00E836FB">
            <w:pPr>
              <w:rPr>
                <w:rFonts w:ascii="宋体"/>
              </w:rPr>
            </w:pPr>
          </w:p>
        </w:tc>
        <w:tc>
          <w:tcPr>
            <w:tcW w:w="5" w:type="pct"/>
            <w:shd w:val="clear" w:color="auto" w:fill="auto"/>
            <w:vAlign w:val="bottom"/>
          </w:tcPr>
          <w:p w14:paraId="5F2CCDF8" w14:textId="77777777" w:rsidR="00E836FB" w:rsidRDefault="00E836FB">
            <w:pPr>
              <w:rPr>
                <w:rFonts w:ascii="宋体"/>
              </w:rPr>
            </w:pPr>
          </w:p>
        </w:tc>
        <w:tc>
          <w:tcPr>
            <w:tcW w:w="50" w:type="pct"/>
            <w:shd w:val="clear" w:color="auto" w:fill="auto"/>
            <w:vAlign w:val="bottom"/>
          </w:tcPr>
          <w:p w14:paraId="5F2CCDF9" w14:textId="77777777" w:rsidR="00E836FB" w:rsidRDefault="00E836FB">
            <w:pPr>
              <w:rPr>
                <w:rFonts w:ascii="宋体"/>
              </w:rPr>
            </w:pPr>
          </w:p>
        </w:tc>
        <w:tc>
          <w:tcPr>
            <w:tcW w:w="1407" w:type="pct"/>
            <w:shd w:val="clear" w:color="auto" w:fill="auto"/>
            <w:vAlign w:val="bottom"/>
          </w:tcPr>
          <w:p w14:paraId="5F2CCDFA" w14:textId="77777777" w:rsidR="00E836FB" w:rsidRDefault="00E836FB">
            <w:pPr>
              <w:rPr>
                <w:rFonts w:ascii="宋体"/>
              </w:rPr>
            </w:pPr>
          </w:p>
        </w:tc>
        <w:tc>
          <w:tcPr>
            <w:tcW w:w="5" w:type="pct"/>
            <w:shd w:val="clear" w:color="auto" w:fill="auto"/>
            <w:vAlign w:val="bottom"/>
          </w:tcPr>
          <w:p w14:paraId="5F2CCDFB" w14:textId="77777777" w:rsidR="00E836FB" w:rsidRDefault="00E836FB">
            <w:pPr>
              <w:rPr>
                <w:rFonts w:ascii="宋体"/>
              </w:rPr>
            </w:pPr>
          </w:p>
        </w:tc>
        <w:tc>
          <w:tcPr>
            <w:tcW w:w="5" w:type="pct"/>
            <w:shd w:val="clear" w:color="auto" w:fill="auto"/>
            <w:vAlign w:val="bottom"/>
          </w:tcPr>
          <w:p w14:paraId="5F2CCDFC" w14:textId="77777777" w:rsidR="00E836FB" w:rsidRDefault="00E836FB">
            <w:pPr>
              <w:rPr>
                <w:rFonts w:ascii="宋体"/>
              </w:rPr>
            </w:pPr>
          </w:p>
        </w:tc>
        <w:tc>
          <w:tcPr>
            <w:tcW w:w="52" w:type="pct"/>
            <w:shd w:val="clear" w:color="auto" w:fill="auto"/>
            <w:vAlign w:val="bottom"/>
          </w:tcPr>
          <w:p w14:paraId="5F2CCDFD" w14:textId="77777777" w:rsidR="00E836FB" w:rsidRDefault="00E836FB">
            <w:pPr>
              <w:rPr>
                <w:rFonts w:ascii="宋体"/>
              </w:rPr>
            </w:pPr>
          </w:p>
        </w:tc>
        <w:tc>
          <w:tcPr>
            <w:tcW w:w="5" w:type="pct"/>
            <w:shd w:val="clear" w:color="auto" w:fill="auto"/>
            <w:vAlign w:val="bottom"/>
          </w:tcPr>
          <w:p w14:paraId="5F2CCDFE" w14:textId="77777777" w:rsidR="00E836FB" w:rsidRDefault="00E836FB">
            <w:pPr>
              <w:rPr>
                <w:rFonts w:ascii="宋体"/>
              </w:rPr>
            </w:pPr>
          </w:p>
        </w:tc>
        <w:tc>
          <w:tcPr>
            <w:tcW w:w="50" w:type="pct"/>
            <w:shd w:val="clear" w:color="auto" w:fill="auto"/>
            <w:vAlign w:val="bottom"/>
          </w:tcPr>
          <w:p w14:paraId="5F2CCDFF" w14:textId="77777777" w:rsidR="00E836FB" w:rsidRDefault="00E836FB">
            <w:pPr>
              <w:rPr>
                <w:rFonts w:ascii="宋体"/>
              </w:rPr>
            </w:pPr>
          </w:p>
        </w:tc>
        <w:tc>
          <w:tcPr>
            <w:tcW w:w="1407" w:type="pct"/>
            <w:shd w:val="clear" w:color="auto" w:fill="auto"/>
            <w:vAlign w:val="bottom"/>
          </w:tcPr>
          <w:p w14:paraId="5F2CCE00" w14:textId="77777777" w:rsidR="00E836FB" w:rsidRDefault="00E836FB">
            <w:pPr>
              <w:rPr>
                <w:rFonts w:ascii="宋体"/>
              </w:rPr>
            </w:pPr>
          </w:p>
        </w:tc>
        <w:tc>
          <w:tcPr>
            <w:tcW w:w="5" w:type="pct"/>
            <w:shd w:val="clear" w:color="auto" w:fill="auto"/>
            <w:vAlign w:val="bottom"/>
          </w:tcPr>
          <w:p w14:paraId="5F2CCE01" w14:textId="77777777" w:rsidR="00E836FB" w:rsidRDefault="00E836FB">
            <w:pPr>
              <w:rPr>
                <w:rFonts w:ascii="宋体"/>
              </w:rPr>
            </w:pPr>
          </w:p>
        </w:tc>
      </w:tr>
      <w:tr w:rsidR="00E836FB" w14:paraId="5F2CCE04" w14:textId="77777777">
        <w:tc>
          <w:tcPr>
            <w:tcW w:w="0" w:type="auto"/>
            <w:gridSpan w:val="12"/>
            <w:shd w:val="clear" w:color="auto" w:fill="auto"/>
            <w:tcMar>
              <w:top w:w="40" w:type="dxa"/>
              <w:left w:w="20" w:type="dxa"/>
              <w:bottom w:w="40" w:type="dxa"/>
              <w:right w:w="20" w:type="dxa"/>
            </w:tcMar>
            <w:vAlign w:val="bottom"/>
          </w:tcPr>
          <w:p w14:paraId="5F2CCE03" w14:textId="77777777" w:rsidR="00E836FB" w:rsidRDefault="00994958">
            <w:pPr>
              <w:jc w:val="both"/>
              <w:textAlignment w:val="bottom"/>
            </w:pPr>
            <w:r>
              <w:rPr>
                <w:rFonts w:ascii="Arial" w:eastAsia="宋体" w:hAnsi="Arial" w:cs="Arial"/>
                <w:b/>
                <w:bCs/>
                <w:color w:val="000000"/>
                <w:sz w:val="16"/>
                <w:szCs w:val="16"/>
              </w:rPr>
              <w:t>TABLE 28: CLASSIFICATION OF LOAN BALANCES DUE AFTER ONE YEAR</w:t>
            </w:r>
          </w:p>
        </w:tc>
      </w:tr>
      <w:tr w:rsidR="00E836FB" w14:paraId="5F2CCE07" w14:textId="77777777">
        <w:tc>
          <w:tcPr>
            <w:tcW w:w="0" w:type="auto"/>
            <w:gridSpan w:val="3"/>
            <w:shd w:val="clear" w:color="auto" w:fill="auto"/>
            <w:tcMar>
              <w:top w:w="0" w:type="dxa"/>
              <w:left w:w="20" w:type="dxa"/>
              <w:bottom w:w="0" w:type="dxa"/>
              <w:right w:w="20" w:type="dxa"/>
            </w:tcMar>
            <w:vAlign w:val="bottom"/>
          </w:tcPr>
          <w:p w14:paraId="5F2CCE05"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CE06" w14:textId="77777777" w:rsidR="00E836FB" w:rsidRDefault="00994958">
            <w:pPr>
              <w:jc w:val="center"/>
              <w:textAlignment w:val="bottom"/>
            </w:pPr>
            <w:r>
              <w:rPr>
                <w:rFonts w:ascii="Arial" w:eastAsia="宋体" w:hAnsi="Arial" w:cs="Arial"/>
                <w:b/>
                <w:bCs/>
                <w:color w:val="000000"/>
                <w:sz w:val="14"/>
                <w:szCs w:val="14"/>
              </w:rPr>
              <w:t>As of December 31, 2021</w:t>
            </w:r>
          </w:p>
        </w:tc>
      </w:tr>
      <w:tr w:rsidR="00E836FB" w14:paraId="5F2CCE0C" w14:textId="77777777">
        <w:trPr>
          <w:hidden/>
        </w:trPr>
        <w:tc>
          <w:tcPr>
            <w:tcW w:w="0" w:type="auto"/>
            <w:gridSpan w:val="3"/>
            <w:shd w:val="clear" w:color="auto" w:fill="auto"/>
            <w:vAlign w:val="bottom"/>
          </w:tcPr>
          <w:p w14:paraId="5F2CCE08" w14:textId="77777777" w:rsidR="00E836FB" w:rsidRDefault="00E836FB">
            <w:pPr>
              <w:rPr>
                <w:rFonts w:ascii="宋体"/>
                <w:vanish/>
              </w:rPr>
            </w:pPr>
          </w:p>
        </w:tc>
        <w:tc>
          <w:tcPr>
            <w:tcW w:w="0" w:type="auto"/>
            <w:gridSpan w:val="3"/>
            <w:shd w:val="clear" w:color="auto" w:fill="auto"/>
            <w:vAlign w:val="bottom"/>
          </w:tcPr>
          <w:p w14:paraId="5F2CCE09" w14:textId="77777777" w:rsidR="00E836FB" w:rsidRDefault="00E836FB">
            <w:pPr>
              <w:rPr>
                <w:rFonts w:ascii="宋体"/>
                <w:vanish/>
              </w:rPr>
            </w:pPr>
          </w:p>
        </w:tc>
        <w:tc>
          <w:tcPr>
            <w:tcW w:w="0" w:type="auto"/>
            <w:gridSpan w:val="3"/>
            <w:shd w:val="clear" w:color="auto" w:fill="auto"/>
            <w:vAlign w:val="bottom"/>
          </w:tcPr>
          <w:p w14:paraId="5F2CCE0A" w14:textId="77777777" w:rsidR="00E836FB" w:rsidRDefault="00E836FB">
            <w:pPr>
              <w:rPr>
                <w:rFonts w:ascii="宋体"/>
                <w:vanish/>
              </w:rPr>
            </w:pPr>
          </w:p>
        </w:tc>
        <w:tc>
          <w:tcPr>
            <w:tcW w:w="0" w:type="auto"/>
            <w:gridSpan w:val="3"/>
            <w:shd w:val="clear" w:color="auto" w:fill="auto"/>
            <w:vAlign w:val="bottom"/>
          </w:tcPr>
          <w:p w14:paraId="5F2CCE0B" w14:textId="77777777" w:rsidR="00E836FB" w:rsidRDefault="00E836FB">
            <w:pPr>
              <w:rPr>
                <w:rFonts w:ascii="宋体"/>
                <w:vanish/>
              </w:rPr>
            </w:pPr>
          </w:p>
        </w:tc>
      </w:tr>
      <w:tr w:rsidR="00E836FB" w14:paraId="5F2CCE11" w14:textId="77777777">
        <w:tc>
          <w:tcPr>
            <w:tcW w:w="0" w:type="auto"/>
            <w:gridSpan w:val="3"/>
            <w:shd w:val="clear" w:color="auto" w:fill="auto"/>
            <w:tcMar>
              <w:top w:w="40" w:type="dxa"/>
              <w:left w:w="20" w:type="dxa"/>
              <w:bottom w:w="40" w:type="dxa"/>
              <w:right w:w="20" w:type="dxa"/>
            </w:tcMar>
            <w:vAlign w:val="bottom"/>
          </w:tcPr>
          <w:p w14:paraId="5F2CCE0D"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E0E" w14:textId="77777777" w:rsidR="00E836FB" w:rsidRDefault="00994958">
            <w:pPr>
              <w:jc w:val="center"/>
              <w:textAlignment w:val="bottom"/>
            </w:pPr>
            <w:r>
              <w:rPr>
                <w:rFonts w:ascii="Arial" w:eastAsia="宋体" w:hAnsi="Arial" w:cs="Arial"/>
                <w:color w:val="000000"/>
                <w:sz w:val="14"/>
                <w:szCs w:val="14"/>
              </w:rPr>
              <w:t>Loans with predetermined interest rates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E0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E10" w14:textId="77777777" w:rsidR="00E836FB" w:rsidRDefault="00994958">
            <w:pPr>
              <w:jc w:val="center"/>
              <w:textAlignment w:val="bottom"/>
            </w:pPr>
            <w:r>
              <w:rPr>
                <w:rFonts w:ascii="Arial" w:eastAsia="宋体" w:hAnsi="Arial" w:cs="Arial"/>
                <w:color w:val="000000"/>
                <w:sz w:val="14"/>
                <w:szCs w:val="14"/>
              </w:rPr>
              <w:t>Loans with floating or adjustable interest rates</w:t>
            </w:r>
          </w:p>
        </w:tc>
      </w:tr>
      <w:tr w:rsidR="00E836FB" w14:paraId="5F2CCE16" w14:textId="77777777">
        <w:tc>
          <w:tcPr>
            <w:tcW w:w="0" w:type="auto"/>
            <w:gridSpan w:val="3"/>
            <w:shd w:val="clear" w:color="auto" w:fill="auto"/>
            <w:tcMar>
              <w:top w:w="40" w:type="dxa"/>
              <w:left w:w="20" w:type="dxa"/>
              <w:bottom w:w="40" w:type="dxa"/>
              <w:right w:w="20" w:type="dxa"/>
            </w:tcMar>
            <w:vAlign w:val="bottom"/>
          </w:tcPr>
          <w:p w14:paraId="5F2CCE12" w14:textId="77777777" w:rsidR="00E836FB" w:rsidRDefault="00994958">
            <w:pPr>
              <w:textAlignment w:val="bottom"/>
            </w:pPr>
            <w:r>
              <w:rPr>
                <w:rFonts w:ascii="Arial" w:eastAsia="宋体" w:hAnsi="Arial" w:cs="Arial"/>
                <w:b/>
                <w:bCs/>
                <w:color w:val="000000"/>
                <w:sz w:val="14"/>
                <w:szCs w:val="14"/>
              </w:rPr>
              <w:t>Domestic:</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E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E1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E15" w14:textId="77777777" w:rsidR="00E836FB" w:rsidRDefault="00E836FB">
            <w:pPr>
              <w:rPr>
                <w:rFonts w:ascii="宋体"/>
              </w:rPr>
            </w:pPr>
          </w:p>
        </w:tc>
      </w:tr>
      <w:tr w:rsidR="00E836FB" w14:paraId="5F2CCE1F" w14:textId="77777777">
        <w:tc>
          <w:tcPr>
            <w:tcW w:w="0" w:type="auto"/>
            <w:gridSpan w:val="3"/>
            <w:shd w:val="clear" w:color="auto" w:fill="CCEEFF"/>
            <w:tcMar>
              <w:top w:w="40" w:type="dxa"/>
              <w:left w:w="20" w:type="dxa"/>
              <w:bottom w:w="40" w:type="dxa"/>
              <w:right w:w="20" w:type="dxa"/>
            </w:tcMar>
            <w:vAlign w:val="bottom"/>
          </w:tcPr>
          <w:p w14:paraId="5F2CCE17" w14:textId="77777777" w:rsidR="00E836FB" w:rsidRDefault="00994958">
            <w:pPr>
              <w:textAlignment w:val="bottom"/>
            </w:pPr>
            <w:r>
              <w:rPr>
                <w:rFonts w:ascii="Arial" w:eastAsia="宋体" w:hAnsi="Arial" w:cs="Arial"/>
                <w:color w:val="000000"/>
                <w:sz w:val="14"/>
                <w:szCs w:val="14"/>
              </w:rPr>
              <w:t>Commercial and financial</w:t>
            </w:r>
          </w:p>
        </w:tc>
        <w:tc>
          <w:tcPr>
            <w:tcW w:w="0" w:type="auto"/>
            <w:shd w:val="clear" w:color="auto" w:fill="CCEEFF"/>
            <w:tcMar>
              <w:top w:w="40" w:type="dxa"/>
              <w:left w:w="20" w:type="dxa"/>
              <w:bottom w:w="40" w:type="dxa"/>
              <w:right w:w="0" w:type="dxa"/>
            </w:tcMar>
            <w:vAlign w:val="bottom"/>
          </w:tcPr>
          <w:p w14:paraId="5F2CCE1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E19" w14:textId="77777777" w:rsidR="00E836FB" w:rsidRDefault="00994958">
            <w:pPr>
              <w:jc w:val="right"/>
              <w:textAlignment w:val="bottom"/>
            </w:pPr>
            <w:r>
              <w:rPr>
                <w:rFonts w:ascii="Arial" w:eastAsia="宋体" w:hAnsi="Arial" w:cs="Arial"/>
                <w:b/>
                <w:bCs/>
                <w:color w:val="000000"/>
                <w:sz w:val="14"/>
                <w:szCs w:val="14"/>
              </w:rPr>
              <w:t>384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E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1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E1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E1D" w14:textId="77777777" w:rsidR="00E836FB" w:rsidRDefault="00994958">
            <w:pPr>
              <w:jc w:val="right"/>
              <w:textAlignment w:val="bottom"/>
            </w:pPr>
            <w:r>
              <w:rPr>
                <w:rFonts w:ascii="Arial" w:eastAsia="宋体" w:hAnsi="Arial" w:cs="Arial"/>
                <w:b/>
                <w:bCs/>
                <w:color w:val="000000"/>
                <w:sz w:val="14"/>
                <w:szCs w:val="14"/>
              </w:rPr>
              <w:t>8,987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E1E" w14:textId="77777777" w:rsidR="00E836FB" w:rsidRDefault="00E836FB">
            <w:pPr>
              <w:jc w:val="right"/>
              <w:rPr>
                <w:rFonts w:ascii="宋体"/>
              </w:rPr>
            </w:pPr>
          </w:p>
        </w:tc>
      </w:tr>
      <w:tr w:rsidR="00E836FB" w14:paraId="5F2CCE26" w14:textId="77777777">
        <w:tc>
          <w:tcPr>
            <w:tcW w:w="0" w:type="auto"/>
            <w:gridSpan w:val="3"/>
            <w:shd w:val="clear" w:color="auto" w:fill="FFFFFF"/>
            <w:tcMar>
              <w:top w:w="40" w:type="dxa"/>
              <w:left w:w="20" w:type="dxa"/>
              <w:bottom w:w="40" w:type="dxa"/>
              <w:right w:w="20" w:type="dxa"/>
            </w:tcMar>
            <w:vAlign w:val="bottom"/>
          </w:tcPr>
          <w:p w14:paraId="5F2CCE20" w14:textId="77777777" w:rsidR="00E836FB" w:rsidRDefault="00994958">
            <w:pPr>
              <w:textAlignment w:val="bottom"/>
            </w:pPr>
            <w:r>
              <w:rPr>
                <w:rFonts w:ascii="Arial" w:eastAsia="宋体" w:hAnsi="Arial" w:cs="Arial"/>
                <w:color w:val="000000"/>
                <w:sz w:val="14"/>
                <w:szCs w:val="14"/>
              </w:rPr>
              <w:t>Commercial real estate</w:t>
            </w:r>
          </w:p>
        </w:tc>
        <w:tc>
          <w:tcPr>
            <w:tcW w:w="0" w:type="auto"/>
            <w:gridSpan w:val="2"/>
            <w:shd w:val="clear" w:color="auto" w:fill="FFFFFF"/>
            <w:tcMar>
              <w:top w:w="40" w:type="dxa"/>
              <w:left w:w="20" w:type="dxa"/>
              <w:bottom w:w="40" w:type="dxa"/>
              <w:right w:w="0" w:type="dxa"/>
            </w:tcMar>
            <w:vAlign w:val="bottom"/>
          </w:tcPr>
          <w:p w14:paraId="5F2CCE21" w14:textId="77777777" w:rsidR="00E836FB" w:rsidRDefault="00994958">
            <w:pPr>
              <w:jc w:val="right"/>
              <w:textAlignment w:val="bottom"/>
            </w:pPr>
            <w:r>
              <w:rPr>
                <w:rFonts w:ascii="Arial" w:eastAsia="宋体" w:hAnsi="Arial" w:cs="Arial"/>
                <w:b/>
                <w:bCs/>
                <w:color w:val="000000"/>
                <w:sz w:val="14"/>
                <w:szCs w:val="14"/>
              </w:rPr>
              <w:t>2,153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E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E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E24" w14:textId="77777777" w:rsidR="00E836FB" w:rsidRDefault="00994958">
            <w:pPr>
              <w:jc w:val="right"/>
              <w:textAlignment w:val="bottom"/>
            </w:pPr>
            <w:r>
              <w:rPr>
                <w:rFonts w:ascii="Arial" w:eastAsia="宋体" w:hAnsi="Arial" w:cs="Arial"/>
                <w:b/>
                <w:bCs/>
                <w:color w:val="000000"/>
                <w:sz w:val="14"/>
                <w:szCs w:val="14"/>
              </w:rPr>
              <w:t>323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E25" w14:textId="77777777" w:rsidR="00E836FB" w:rsidRDefault="00E836FB">
            <w:pPr>
              <w:jc w:val="right"/>
              <w:rPr>
                <w:rFonts w:ascii="宋体"/>
              </w:rPr>
            </w:pPr>
          </w:p>
        </w:tc>
      </w:tr>
      <w:tr w:rsidR="00E836FB" w14:paraId="5F2CCE2B" w14:textId="77777777">
        <w:trPr>
          <w:hidden/>
        </w:trPr>
        <w:tc>
          <w:tcPr>
            <w:tcW w:w="0" w:type="auto"/>
            <w:gridSpan w:val="3"/>
            <w:shd w:val="clear" w:color="auto" w:fill="auto"/>
            <w:vAlign w:val="bottom"/>
          </w:tcPr>
          <w:p w14:paraId="5F2CCE27" w14:textId="77777777" w:rsidR="00E836FB" w:rsidRDefault="00E836FB">
            <w:pPr>
              <w:rPr>
                <w:rFonts w:ascii="宋体"/>
                <w:vanish/>
              </w:rPr>
            </w:pPr>
          </w:p>
        </w:tc>
        <w:tc>
          <w:tcPr>
            <w:tcW w:w="0" w:type="auto"/>
            <w:gridSpan w:val="3"/>
            <w:shd w:val="clear" w:color="auto" w:fill="auto"/>
            <w:vAlign w:val="bottom"/>
          </w:tcPr>
          <w:p w14:paraId="5F2CCE28" w14:textId="77777777" w:rsidR="00E836FB" w:rsidRDefault="00E836FB">
            <w:pPr>
              <w:rPr>
                <w:rFonts w:ascii="宋体"/>
                <w:vanish/>
              </w:rPr>
            </w:pPr>
          </w:p>
        </w:tc>
        <w:tc>
          <w:tcPr>
            <w:tcW w:w="0" w:type="auto"/>
            <w:gridSpan w:val="3"/>
            <w:shd w:val="clear" w:color="auto" w:fill="auto"/>
            <w:vAlign w:val="bottom"/>
          </w:tcPr>
          <w:p w14:paraId="5F2CCE29" w14:textId="77777777" w:rsidR="00E836FB" w:rsidRDefault="00E836FB">
            <w:pPr>
              <w:rPr>
                <w:rFonts w:ascii="宋体"/>
                <w:vanish/>
              </w:rPr>
            </w:pPr>
          </w:p>
        </w:tc>
        <w:tc>
          <w:tcPr>
            <w:tcW w:w="0" w:type="auto"/>
            <w:gridSpan w:val="3"/>
            <w:shd w:val="clear" w:color="auto" w:fill="auto"/>
            <w:vAlign w:val="bottom"/>
          </w:tcPr>
          <w:p w14:paraId="5F2CCE2A" w14:textId="77777777" w:rsidR="00E836FB" w:rsidRDefault="00E836FB">
            <w:pPr>
              <w:rPr>
                <w:rFonts w:ascii="宋体"/>
                <w:vanish/>
              </w:rPr>
            </w:pPr>
          </w:p>
        </w:tc>
      </w:tr>
      <w:tr w:rsidR="00E836FB" w14:paraId="5F2CCE32" w14:textId="77777777">
        <w:tc>
          <w:tcPr>
            <w:tcW w:w="0" w:type="auto"/>
            <w:gridSpan w:val="3"/>
            <w:shd w:val="clear" w:color="auto" w:fill="CCEEFF"/>
            <w:tcMar>
              <w:top w:w="40" w:type="dxa"/>
              <w:left w:w="125" w:type="dxa"/>
              <w:bottom w:w="40" w:type="dxa"/>
              <w:right w:w="20" w:type="dxa"/>
            </w:tcMar>
            <w:vAlign w:val="bottom"/>
          </w:tcPr>
          <w:p w14:paraId="5F2CCE2C" w14:textId="77777777" w:rsidR="00E836FB" w:rsidRDefault="00994958">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E2D" w14:textId="77777777" w:rsidR="00E836FB" w:rsidRDefault="00994958">
            <w:pPr>
              <w:jc w:val="right"/>
              <w:textAlignment w:val="bottom"/>
            </w:pPr>
            <w:r>
              <w:rPr>
                <w:rFonts w:ascii="Arial" w:eastAsia="宋体" w:hAnsi="Arial" w:cs="Arial"/>
                <w:b/>
                <w:bCs/>
                <w:color w:val="000000"/>
                <w:sz w:val="14"/>
                <w:szCs w:val="14"/>
              </w:rPr>
              <w:t>2,537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E2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2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CE30" w14:textId="77777777" w:rsidR="00E836FB" w:rsidRDefault="00994958">
            <w:pPr>
              <w:jc w:val="right"/>
              <w:textAlignment w:val="bottom"/>
            </w:pPr>
            <w:r>
              <w:rPr>
                <w:rFonts w:ascii="Arial" w:eastAsia="宋体" w:hAnsi="Arial" w:cs="Arial"/>
                <w:b/>
                <w:bCs/>
                <w:color w:val="000000"/>
                <w:sz w:val="14"/>
                <w:szCs w:val="14"/>
              </w:rPr>
              <w:t>9,310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CE31" w14:textId="77777777" w:rsidR="00E836FB" w:rsidRDefault="00E836FB">
            <w:pPr>
              <w:jc w:val="right"/>
              <w:rPr>
                <w:rFonts w:ascii="宋体"/>
              </w:rPr>
            </w:pPr>
          </w:p>
        </w:tc>
      </w:tr>
      <w:tr w:rsidR="00E836FB" w14:paraId="5F2CCE37" w14:textId="77777777">
        <w:tc>
          <w:tcPr>
            <w:tcW w:w="0" w:type="auto"/>
            <w:gridSpan w:val="3"/>
            <w:shd w:val="clear" w:color="auto" w:fill="FFFFFF"/>
            <w:tcMar>
              <w:top w:w="40" w:type="dxa"/>
              <w:left w:w="20" w:type="dxa"/>
              <w:bottom w:w="40" w:type="dxa"/>
              <w:right w:w="20" w:type="dxa"/>
            </w:tcMar>
            <w:vAlign w:val="bottom"/>
          </w:tcPr>
          <w:p w14:paraId="5F2CCE33" w14:textId="77777777" w:rsidR="00E836FB" w:rsidRDefault="00994958">
            <w:pPr>
              <w:textAlignment w:val="bottom"/>
            </w:pPr>
            <w:r>
              <w:rPr>
                <w:rFonts w:ascii="Arial" w:eastAsia="宋体" w:hAnsi="Arial" w:cs="Arial"/>
                <w:b/>
                <w:bCs/>
                <w:color w:val="000000"/>
                <w:sz w:val="14"/>
                <w:szCs w:val="14"/>
              </w:rPr>
              <w:t>Foreign:</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E3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E3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E36" w14:textId="77777777" w:rsidR="00E836FB" w:rsidRDefault="00E836FB">
            <w:pPr>
              <w:rPr>
                <w:rFonts w:ascii="宋体"/>
              </w:rPr>
            </w:pPr>
          </w:p>
        </w:tc>
      </w:tr>
      <w:tr w:rsidR="00E836FB" w14:paraId="5F2CCE3E" w14:textId="77777777">
        <w:tc>
          <w:tcPr>
            <w:tcW w:w="0" w:type="auto"/>
            <w:gridSpan w:val="3"/>
            <w:shd w:val="clear" w:color="auto" w:fill="CCEEFF"/>
            <w:tcMar>
              <w:top w:w="40" w:type="dxa"/>
              <w:left w:w="20" w:type="dxa"/>
              <w:bottom w:w="40" w:type="dxa"/>
              <w:right w:w="20" w:type="dxa"/>
            </w:tcMar>
            <w:vAlign w:val="bottom"/>
          </w:tcPr>
          <w:p w14:paraId="5F2CCE38"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2"/>
            <w:shd w:val="clear" w:color="auto" w:fill="CCEEFF"/>
            <w:tcMar>
              <w:top w:w="40" w:type="dxa"/>
              <w:left w:w="20" w:type="dxa"/>
              <w:bottom w:w="40" w:type="dxa"/>
              <w:right w:w="0" w:type="dxa"/>
            </w:tcMar>
            <w:vAlign w:val="bottom"/>
          </w:tcPr>
          <w:p w14:paraId="5F2CCE39" w14:textId="77777777" w:rsidR="00E836FB" w:rsidRDefault="00994958">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E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3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E3C" w14:textId="77777777" w:rsidR="00E836FB" w:rsidRDefault="00994958">
            <w:pPr>
              <w:jc w:val="right"/>
              <w:textAlignment w:val="bottom"/>
            </w:pPr>
            <w:r>
              <w:rPr>
                <w:rFonts w:ascii="Arial" w:eastAsia="宋体" w:hAnsi="Arial" w:cs="Arial"/>
                <w:b/>
                <w:bCs/>
                <w:color w:val="000000"/>
                <w:sz w:val="14"/>
                <w:szCs w:val="14"/>
              </w:rPr>
              <w:t>6,399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E3D" w14:textId="77777777" w:rsidR="00E836FB" w:rsidRDefault="00E836FB">
            <w:pPr>
              <w:jc w:val="right"/>
              <w:rPr>
                <w:rFonts w:ascii="宋体"/>
              </w:rPr>
            </w:pPr>
          </w:p>
        </w:tc>
      </w:tr>
      <w:tr w:rsidR="00E836FB" w14:paraId="5F2CCE45" w14:textId="77777777">
        <w:tc>
          <w:tcPr>
            <w:tcW w:w="0" w:type="auto"/>
            <w:gridSpan w:val="3"/>
            <w:shd w:val="clear" w:color="auto" w:fill="FFFFFF"/>
            <w:tcMar>
              <w:top w:w="40" w:type="dxa"/>
              <w:left w:w="125" w:type="dxa"/>
              <w:bottom w:w="40" w:type="dxa"/>
              <w:right w:w="20" w:type="dxa"/>
            </w:tcMar>
            <w:vAlign w:val="bottom"/>
          </w:tcPr>
          <w:p w14:paraId="5F2CCE3F" w14:textId="77777777" w:rsidR="00E836FB" w:rsidRDefault="00994958">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E40" w14:textId="77777777" w:rsidR="00E836FB" w:rsidRDefault="00994958">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E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E4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CE43" w14:textId="77777777" w:rsidR="00E836FB" w:rsidRDefault="00994958">
            <w:pPr>
              <w:jc w:val="right"/>
              <w:textAlignment w:val="bottom"/>
            </w:pPr>
            <w:r>
              <w:rPr>
                <w:rFonts w:ascii="Arial" w:eastAsia="宋体" w:hAnsi="Arial" w:cs="Arial"/>
                <w:b/>
                <w:bCs/>
                <w:color w:val="000000"/>
                <w:sz w:val="14"/>
                <w:szCs w:val="14"/>
              </w:rPr>
              <w:t>6,399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CE44" w14:textId="77777777" w:rsidR="00E836FB" w:rsidRDefault="00E836FB">
            <w:pPr>
              <w:jc w:val="right"/>
              <w:rPr>
                <w:rFonts w:ascii="宋体"/>
              </w:rPr>
            </w:pPr>
          </w:p>
        </w:tc>
      </w:tr>
      <w:tr w:rsidR="00E836FB" w14:paraId="5F2CCE4E" w14:textId="77777777">
        <w:tc>
          <w:tcPr>
            <w:tcW w:w="0" w:type="auto"/>
            <w:gridSpan w:val="3"/>
            <w:shd w:val="clear" w:color="auto" w:fill="CCEEFF"/>
            <w:tcMar>
              <w:top w:w="40" w:type="dxa"/>
              <w:left w:w="20" w:type="dxa"/>
              <w:bottom w:w="40" w:type="dxa"/>
              <w:right w:w="20" w:type="dxa"/>
            </w:tcMar>
            <w:vAlign w:val="bottom"/>
          </w:tcPr>
          <w:p w14:paraId="5F2CCE46" w14:textId="77777777" w:rsidR="00E836FB" w:rsidRDefault="00994958">
            <w:pPr>
              <w:textAlignment w:val="bottom"/>
            </w:pPr>
            <w:r>
              <w:rPr>
                <w:rFonts w:ascii="Arial" w:eastAsia="宋体" w:hAnsi="Arial" w:cs="Arial"/>
                <w:color w:val="000000"/>
                <w:sz w:val="14"/>
                <w:szCs w:val="14"/>
              </w:rPr>
              <w:t>Total loans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E4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E48" w14:textId="77777777" w:rsidR="00E836FB" w:rsidRDefault="00994958">
            <w:pPr>
              <w:jc w:val="right"/>
              <w:textAlignment w:val="bottom"/>
            </w:pPr>
            <w:r>
              <w:rPr>
                <w:rFonts w:ascii="Arial" w:eastAsia="宋体" w:hAnsi="Arial" w:cs="Arial"/>
                <w:b/>
                <w:bCs/>
                <w:color w:val="000000"/>
                <w:sz w:val="14"/>
                <w:szCs w:val="14"/>
              </w:rPr>
              <w:t>2,584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E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4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E4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E4C" w14:textId="77777777" w:rsidR="00E836FB" w:rsidRDefault="00994958">
            <w:pPr>
              <w:jc w:val="right"/>
              <w:textAlignment w:val="bottom"/>
            </w:pPr>
            <w:r>
              <w:rPr>
                <w:rFonts w:ascii="Arial" w:eastAsia="宋体" w:hAnsi="Arial" w:cs="Arial"/>
                <w:b/>
                <w:bCs/>
                <w:color w:val="000000"/>
                <w:sz w:val="14"/>
                <w:szCs w:val="14"/>
              </w:rPr>
              <w:t>15,709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E4D" w14:textId="77777777" w:rsidR="00E836FB" w:rsidRDefault="00E836FB">
            <w:pPr>
              <w:jc w:val="right"/>
              <w:rPr>
                <w:rFonts w:ascii="宋体"/>
              </w:rPr>
            </w:pPr>
          </w:p>
        </w:tc>
      </w:tr>
    </w:tbl>
    <w:p w14:paraId="5F2CCE4F" w14:textId="77777777" w:rsidR="00E836FB" w:rsidRDefault="00994958">
      <w:pPr>
        <w:ind w:firstLine="450"/>
        <w:jc w:val="right"/>
      </w:pPr>
      <w:r>
        <w:rPr>
          <w:rFonts w:ascii="Arial" w:eastAsia="宋体" w:hAnsi="Arial" w:cs="Arial"/>
          <w:color w:val="000000"/>
          <w:sz w:val="18"/>
          <w:szCs w:val="18"/>
        </w:rPr>
        <w:t>State Street Corporation | 81</w:t>
      </w:r>
    </w:p>
    <w:p w14:paraId="5F2CCE50" w14:textId="77777777" w:rsidR="00E836FB" w:rsidRDefault="00E836FB">
      <w:pPr>
        <w:ind w:firstLine="450"/>
        <w:jc w:val="center"/>
      </w:pPr>
    </w:p>
    <w:p w14:paraId="5F2CCE51" w14:textId="77777777" w:rsidR="00E836FB" w:rsidRDefault="00994958">
      <w:r>
        <w:pict w14:anchorId="5F2D6DD6">
          <v:rect id="_x0000_i1105" style="width:415.3pt;height:1.5pt" o:hralign="center" o:hrstd="t" o:hr="t" fillcolor="#a0a0a0" stroked="f"/>
        </w:pict>
      </w:r>
    </w:p>
    <w:p w14:paraId="5F2CCE52"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CE53" w14:textId="77777777" w:rsidR="00E836FB" w:rsidRDefault="00994958">
      <w:pPr>
        <w:ind w:firstLine="450"/>
        <w:jc w:val="center"/>
      </w:pPr>
      <w:r>
        <w:rPr>
          <w:rFonts w:ascii="Arial" w:eastAsia="宋体" w:hAnsi="Arial" w:cs="Arial"/>
          <w:b/>
          <w:bCs/>
          <w:color w:val="000000"/>
          <w:sz w:val="20"/>
          <w:szCs w:val="20"/>
        </w:rPr>
        <w:t>AND RESULTS OF OPERATIONS</w:t>
      </w:r>
    </w:p>
    <w:p w14:paraId="5F2CCE54" w14:textId="77777777" w:rsidR="00E836FB" w:rsidRDefault="00994958">
      <w:pPr>
        <w:spacing w:before="60"/>
        <w:textAlignment w:val="top"/>
      </w:pPr>
      <w:r>
        <w:rPr>
          <w:rFonts w:ascii="Arial" w:eastAsia="宋体" w:hAnsi="Arial" w:cs="Arial"/>
          <w:b/>
          <w:bCs/>
          <w:i/>
          <w:iCs/>
          <w:color w:val="000000"/>
          <w:sz w:val="20"/>
          <w:szCs w:val="20"/>
        </w:rPr>
        <w:t xml:space="preserve">Allowance for </w:t>
      </w:r>
      <w:r>
        <w:rPr>
          <w:rFonts w:ascii="Arial" w:eastAsia="宋体" w:hAnsi="Arial" w:cs="Arial"/>
          <w:b/>
          <w:bCs/>
          <w:i/>
          <w:iCs/>
          <w:color w:val="000000"/>
          <w:sz w:val="20"/>
          <w:szCs w:val="20"/>
        </w:rPr>
        <w:t>credit losses</w:t>
      </w:r>
    </w:p>
    <w:tbl>
      <w:tblPr>
        <w:tblW w:w="5000" w:type="pct"/>
        <w:tblCellMar>
          <w:top w:w="15" w:type="dxa"/>
          <w:left w:w="15" w:type="dxa"/>
          <w:bottom w:w="15" w:type="dxa"/>
          <w:right w:w="15" w:type="dxa"/>
        </w:tblCellMar>
        <w:tblLook w:val="04A0" w:firstRow="1" w:lastRow="0" w:firstColumn="1" w:lastColumn="0" w:noHBand="0" w:noVBand="1"/>
      </w:tblPr>
      <w:tblGrid>
        <w:gridCol w:w="39"/>
        <w:gridCol w:w="3186"/>
        <w:gridCol w:w="38"/>
        <w:gridCol w:w="98"/>
        <w:gridCol w:w="1308"/>
        <w:gridCol w:w="36"/>
        <w:gridCol w:w="36"/>
        <w:gridCol w:w="66"/>
        <w:gridCol w:w="36"/>
        <w:gridCol w:w="98"/>
        <w:gridCol w:w="1308"/>
        <w:gridCol w:w="36"/>
        <w:gridCol w:w="36"/>
        <w:gridCol w:w="66"/>
        <w:gridCol w:w="36"/>
        <w:gridCol w:w="99"/>
        <w:gridCol w:w="1309"/>
        <w:gridCol w:w="37"/>
        <w:gridCol w:w="36"/>
        <w:gridCol w:w="36"/>
        <w:gridCol w:w="36"/>
        <w:gridCol w:w="36"/>
        <w:gridCol w:w="36"/>
        <w:gridCol w:w="36"/>
        <w:gridCol w:w="36"/>
        <w:gridCol w:w="36"/>
        <w:gridCol w:w="36"/>
        <w:gridCol w:w="36"/>
        <w:gridCol w:w="36"/>
        <w:gridCol w:w="36"/>
        <w:gridCol w:w="36"/>
      </w:tblGrid>
      <w:tr w:rsidR="00E836FB" w14:paraId="5F2CCE6C" w14:textId="77777777">
        <w:tc>
          <w:tcPr>
            <w:tcW w:w="50" w:type="pct"/>
            <w:shd w:val="clear" w:color="auto" w:fill="auto"/>
            <w:vAlign w:val="bottom"/>
          </w:tcPr>
          <w:p w14:paraId="5F2CCE55" w14:textId="77777777" w:rsidR="00E836FB" w:rsidRDefault="00E836FB">
            <w:pPr>
              <w:rPr>
                <w:rFonts w:ascii="宋体"/>
              </w:rPr>
            </w:pPr>
          </w:p>
        </w:tc>
        <w:tc>
          <w:tcPr>
            <w:tcW w:w="2051" w:type="pct"/>
            <w:shd w:val="clear" w:color="auto" w:fill="auto"/>
            <w:vAlign w:val="bottom"/>
          </w:tcPr>
          <w:p w14:paraId="5F2CCE56" w14:textId="77777777" w:rsidR="00E836FB" w:rsidRDefault="00E836FB">
            <w:pPr>
              <w:rPr>
                <w:rFonts w:ascii="宋体"/>
              </w:rPr>
            </w:pPr>
          </w:p>
        </w:tc>
        <w:tc>
          <w:tcPr>
            <w:tcW w:w="5" w:type="pct"/>
            <w:shd w:val="clear" w:color="auto" w:fill="auto"/>
            <w:vAlign w:val="bottom"/>
          </w:tcPr>
          <w:p w14:paraId="5F2CCE57" w14:textId="77777777" w:rsidR="00E836FB" w:rsidRDefault="00E836FB">
            <w:pPr>
              <w:rPr>
                <w:rFonts w:ascii="宋体"/>
              </w:rPr>
            </w:pPr>
          </w:p>
        </w:tc>
        <w:tc>
          <w:tcPr>
            <w:tcW w:w="50" w:type="pct"/>
            <w:shd w:val="clear" w:color="auto" w:fill="auto"/>
            <w:vAlign w:val="bottom"/>
          </w:tcPr>
          <w:p w14:paraId="5F2CCE58" w14:textId="77777777" w:rsidR="00E836FB" w:rsidRDefault="00E836FB">
            <w:pPr>
              <w:rPr>
                <w:rFonts w:ascii="宋体"/>
              </w:rPr>
            </w:pPr>
          </w:p>
        </w:tc>
        <w:tc>
          <w:tcPr>
            <w:tcW w:w="856" w:type="pct"/>
            <w:shd w:val="clear" w:color="auto" w:fill="auto"/>
            <w:vAlign w:val="bottom"/>
          </w:tcPr>
          <w:p w14:paraId="5F2CCE59" w14:textId="77777777" w:rsidR="00E836FB" w:rsidRDefault="00E836FB">
            <w:pPr>
              <w:rPr>
                <w:rFonts w:ascii="宋体"/>
              </w:rPr>
            </w:pPr>
          </w:p>
        </w:tc>
        <w:tc>
          <w:tcPr>
            <w:tcW w:w="5" w:type="pct"/>
            <w:shd w:val="clear" w:color="auto" w:fill="auto"/>
            <w:vAlign w:val="bottom"/>
          </w:tcPr>
          <w:p w14:paraId="5F2CCE5A" w14:textId="77777777" w:rsidR="00E836FB" w:rsidRDefault="00E836FB">
            <w:pPr>
              <w:rPr>
                <w:rFonts w:ascii="宋体"/>
              </w:rPr>
            </w:pPr>
          </w:p>
        </w:tc>
        <w:tc>
          <w:tcPr>
            <w:tcW w:w="5" w:type="pct"/>
            <w:shd w:val="clear" w:color="auto" w:fill="auto"/>
            <w:vAlign w:val="bottom"/>
          </w:tcPr>
          <w:p w14:paraId="5F2CCE5B" w14:textId="77777777" w:rsidR="00E836FB" w:rsidRDefault="00E836FB">
            <w:pPr>
              <w:rPr>
                <w:rFonts w:ascii="宋体"/>
              </w:rPr>
            </w:pPr>
          </w:p>
        </w:tc>
        <w:tc>
          <w:tcPr>
            <w:tcW w:w="68" w:type="pct"/>
            <w:shd w:val="clear" w:color="auto" w:fill="auto"/>
            <w:vAlign w:val="bottom"/>
          </w:tcPr>
          <w:p w14:paraId="5F2CCE5C" w14:textId="77777777" w:rsidR="00E836FB" w:rsidRDefault="00E836FB">
            <w:pPr>
              <w:rPr>
                <w:rFonts w:ascii="宋体"/>
              </w:rPr>
            </w:pPr>
          </w:p>
        </w:tc>
        <w:tc>
          <w:tcPr>
            <w:tcW w:w="5" w:type="pct"/>
            <w:shd w:val="clear" w:color="auto" w:fill="auto"/>
            <w:vAlign w:val="bottom"/>
          </w:tcPr>
          <w:p w14:paraId="5F2CCE5D" w14:textId="77777777" w:rsidR="00E836FB" w:rsidRDefault="00E836FB">
            <w:pPr>
              <w:rPr>
                <w:rFonts w:ascii="宋体"/>
              </w:rPr>
            </w:pPr>
          </w:p>
        </w:tc>
        <w:tc>
          <w:tcPr>
            <w:tcW w:w="50" w:type="pct"/>
            <w:shd w:val="clear" w:color="auto" w:fill="auto"/>
            <w:vAlign w:val="bottom"/>
          </w:tcPr>
          <w:p w14:paraId="5F2CCE5E" w14:textId="77777777" w:rsidR="00E836FB" w:rsidRDefault="00E836FB">
            <w:pPr>
              <w:rPr>
                <w:rFonts w:ascii="宋体"/>
              </w:rPr>
            </w:pPr>
          </w:p>
        </w:tc>
        <w:tc>
          <w:tcPr>
            <w:tcW w:w="856" w:type="pct"/>
            <w:shd w:val="clear" w:color="auto" w:fill="auto"/>
            <w:vAlign w:val="bottom"/>
          </w:tcPr>
          <w:p w14:paraId="5F2CCE5F" w14:textId="77777777" w:rsidR="00E836FB" w:rsidRDefault="00E836FB">
            <w:pPr>
              <w:rPr>
                <w:rFonts w:ascii="宋体"/>
              </w:rPr>
            </w:pPr>
          </w:p>
        </w:tc>
        <w:tc>
          <w:tcPr>
            <w:tcW w:w="5" w:type="pct"/>
            <w:shd w:val="clear" w:color="auto" w:fill="auto"/>
            <w:vAlign w:val="bottom"/>
          </w:tcPr>
          <w:p w14:paraId="5F2CCE60" w14:textId="77777777" w:rsidR="00E836FB" w:rsidRDefault="00E836FB">
            <w:pPr>
              <w:rPr>
                <w:rFonts w:ascii="宋体"/>
              </w:rPr>
            </w:pPr>
          </w:p>
        </w:tc>
        <w:tc>
          <w:tcPr>
            <w:tcW w:w="5" w:type="pct"/>
            <w:shd w:val="clear" w:color="auto" w:fill="auto"/>
            <w:vAlign w:val="bottom"/>
          </w:tcPr>
          <w:p w14:paraId="5F2CCE61" w14:textId="77777777" w:rsidR="00E836FB" w:rsidRDefault="00E836FB">
            <w:pPr>
              <w:rPr>
                <w:rFonts w:ascii="宋体"/>
              </w:rPr>
            </w:pPr>
          </w:p>
        </w:tc>
        <w:tc>
          <w:tcPr>
            <w:tcW w:w="68" w:type="pct"/>
            <w:shd w:val="clear" w:color="auto" w:fill="auto"/>
            <w:vAlign w:val="bottom"/>
          </w:tcPr>
          <w:p w14:paraId="5F2CCE62" w14:textId="77777777" w:rsidR="00E836FB" w:rsidRDefault="00E836FB">
            <w:pPr>
              <w:rPr>
                <w:rFonts w:ascii="宋体"/>
              </w:rPr>
            </w:pPr>
          </w:p>
        </w:tc>
        <w:tc>
          <w:tcPr>
            <w:tcW w:w="5" w:type="pct"/>
            <w:shd w:val="clear" w:color="auto" w:fill="auto"/>
            <w:vAlign w:val="bottom"/>
          </w:tcPr>
          <w:p w14:paraId="5F2CCE63" w14:textId="77777777" w:rsidR="00E836FB" w:rsidRDefault="00E836FB">
            <w:pPr>
              <w:rPr>
                <w:rFonts w:ascii="宋体"/>
              </w:rPr>
            </w:pPr>
          </w:p>
        </w:tc>
        <w:tc>
          <w:tcPr>
            <w:tcW w:w="50" w:type="pct"/>
            <w:shd w:val="clear" w:color="auto" w:fill="auto"/>
            <w:vAlign w:val="bottom"/>
          </w:tcPr>
          <w:p w14:paraId="5F2CCE64" w14:textId="77777777" w:rsidR="00E836FB" w:rsidRDefault="00E836FB">
            <w:pPr>
              <w:rPr>
                <w:rFonts w:ascii="宋体"/>
              </w:rPr>
            </w:pPr>
          </w:p>
        </w:tc>
        <w:tc>
          <w:tcPr>
            <w:tcW w:w="857" w:type="pct"/>
            <w:shd w:val="clear" w:color="auto" w:fill="auto"/>
            <w:vAlign w:val="bottom"/>
          </w:tcPr>
          <w:p w14:paraId="5F2CCE65" w14:textId="77777777" w:rsidR="00E836FB" w:rsidRDefault="00E836FB">
            <w:pPr>
              <w:rPr>
                <w:rFonts w:ascii="宋体"/>
              </w:rPr>
            </w:pPr>
          </w:p>
        </w:tc>
        <w:tc>
          <w:tcPr>
            <w:tcW w:w="5" w:type="pct"/>
            <w:shd w:val="clear" w:color="auto" w:fill="auto"/>
            <w:vAlign w:val="bottom"/>
          </w:tcPr>
          <w:p w14:paraId="5F2CCE66" w14:textId="77777777" w:rsidR="00E836FB" w:rsidRDefault="00E836FB">
            <w:pPr>
              <w:rPr>
                <w:rFonts w:ascii="宋体"/>
              </w:rPr>
            </w:pPr>
          </w:p>
        </w:tc>
        <w:tc>
          <w:tcPr>
            <w:tcW w:w="0" w:type="auto"/>
            <w:shd w:val="clear" w:color="auto" w:fill="auto"/>
            <w:vAlign w:val="bottom"/>
          </w:tcPr>
          <w:p w14:paraId="5F2CCE67" w14:textId="77777777" w:rsidR="00E836FB" w:rsidRDefault="00E836FB">
            <w:pPr>
              <w:rPr>
                <w:rFonts w:ascii="宋体"/>
                <w:vanish/>
              </w:rPr>
            </w:pPr>
          </w:p>
        </w:tc>
        <w:tc>
          <w:tcPr>
            <w:tcW w:w="0" w:type="auto"/>
            <w:gridSpan w:val="3"/>
            <w:shd w:val="clear" w:color="auto" w:fill="auto"/>
            <w:vAlign w:val="bottom"/>
          </w:tcPr>
          <w:p w14:paraId="5F2CCE68" w14:textId="77777777" w:rsidR="00E836FB" w:rsidRDefault="00E836FB">
            <w:pPr>
              <w:rPr>
                <w:rFonts w:ascii="宋体"/>
                <w:vanish/>
              </w:rPr>
            </w:pPr>
          </w:p>
        </w:tc>
        <w:tc>
          <w:tcPr>
            <w:tcW w:w="0" w:type="auto"/>
            <w:gridSpan w:val="3"/>
            <w:shd w:val="clear" w:color="auto" w:fill="auto"/>
            <w:vAlign w:val="bottom"/>
          </w:tcPr>
          <w:p w14:paraId="5F2CCE69" w14:textId="77777777" w:rsidR="00E836FB" w:rsidRDefault="00E836FB">
            <w:pPr>
              <w:rPr>
                <w:rFonts w:ascii="宋体"/>
                <w:vanish/>
              </w:rPr>
            </w:pPr>
          </w:p>
        </w:tc>
        <w:tc>
          <w:tcPr>
            <w:tcW w:w="0" w:type="auto"/>
            <w:gridSpan w:val="3"/>
            <w:shd w:val="clear" w:color="auto" w:fill="auto"/>
            <w:vAlign w:val="bottom"/>
          </w:tcPr>
          <w:p w14:paraId="5F2CCE6A" w14:textId="77777777" w:rsidR="00E836FB" w:rsidRDefault="00E836FB">
            <w:pPr>
              <w:rPr>
                <w:rFonts w:ascii="宋体"/>
                <w:vanish/>
              </w:rPr>
            </w:pPr>
          </w:p>
        </w:tc>
        <w:tc>
          <w:tcPr>
            <w:tcW w:w="0" w:type="auto"/>
            <w:gridSpan w:val="3"/>
            <w:shd w:val="clear" w:color="auto" w:fill="auto"/>
            <w:vAlign w:val="bottom"/>
          </w:tcPr>
          <w:p w14:paraId="5F2CCE6B" w14:textId="77777777" w:rsidR="00E836FB" w:rsidRDefault="00E836FB">
            <w:pPr>
              <w:rPr>
                <w:rFonts w:ascii="宋体"/>
                <w:vanish/>
              </w:rPr>
            </w:pPr>
          </w:p>
        </w:tc>
      </w:tr>
      <w:tr w:rsidR="00E836FB" w14:paraId="5F2CCE7B" w14:textId="77777777">
        <w:tc>
          <w:tcPr>
            <w:tcW w:w="0" w:type="auto"/>
            <w:gridSpan w:val="18"/>
            <w:shd w:val="clear" w:color="auto" w:fill="auto"/>
            <w:tcMar>
              <w:top w:w="40" w:type="dxa"/>
              <w:left w:w="20" w:type="dxa"/>
              <w:bottom w:w="40" w:type="dxa"/>
              <w:right w:w="20" w:type="dxa"/>
            </w:tcMar>
            <w:vAlign w:val="bottom"/>
          </w:tcPr>
          <w:p w14:paraId="5F2CCE6D" w14:textId="77777777" w:rsidR="00E836FB" w:rsidRDefault="00994958">
            <w:pPr>
              <w:textAlignment w:val="bottom"/>
            </w:pPr>
            <w:r>
              <w:rPr>
                <w:rFonts w:ascii="Arial" w:eastAsia="宋体" w:hAnsi="Arial" w:cs="Arial"/>
                <w:b/>
                <w:bCs/>
                <w:color w:val="000000"/>
                <w:sz w:val="16"/>
                <w:szCs w:val="16"/>
              </w:rPr>
              <w:t>TABLE 29: ALLOWANCE FOR CREDIT LOSSES</w:t>
            </w:r>
          </w:p>
        </w:tc>
        <w:tc>
          <w:tcPr>
            <w:tcW w:w="0" w:type="auto"/>
            <w:shd w:val="clear" w:color="auto" w:fill="auto"/>
            <w:vAlign w:val="bottom"/>
          </w:tcPr>
          <w:p w14:paraId="5F2CCE6E" w14:textId="77777777" w:rsidR="00E836FB" w:rsidRDefault="00E836FB">
            <w:pPr>
              <w:rPr>
                <w:rFonts w:ascii="宋体"/>
                <w:vanish/>
              </w:rPr>
            </w:pPr>
          </w:p>
        </w:tc>
        <w:tc>
          <w:tcPr>
            <w:tcW w:w="0" w:type="auto"/>
            <w:shd w:val="clear" w:color="auto" w:fill="auto"/>
            <w:vAlign w:val="bottom"/>
          </w:tcPr>
          <w:p w14:paraId="5F2CCE6F" w14:textId="77777777" w:rsidR="00E836FB" w:rsidRDefault="00E836FB">
            <w:pPr>
              <w:rPr>
                <w:rFonts w:ascii="宋体"/>
              </w:rPr>
            </w:pPr>
          </w:p>
        </w:tc>
        <w:tc>
          <w:tcPr>
            <w:tcW w:w="0" w:type="auto"/>
            <w:shd w:val="clear" w:color="auto" w:fill="auto"/>
            <w:vAlign w:val="bottom"/>
          </w:tcPr>
          <w:p w14:paraId="5F2CCE70" w14:textId="77777777" w:rsidR="00E836FB" w:rsidRDefault="00E836FB">
            <w:pPr>
              <w:rPr>
                <w:rFonts w:ascii="宋体"/>
              </w:rPr>
            </w:pPr>
          </w:p>
        </w:tc>
        <w:tc>
          <w:tcPr>
            <w:tcW w:w="0" w:type="auto"/>
            <w:shd w:val="clear" w:color="auto" w:fill="auto"/>
            <w:vAlign w:val="bottom"/>
          </w:tcPr>
          <w:p w14:paraId="5F2CCE71" w14:textId="77777777" w:rsidR="00E836FB" w:rsidRDefault="00E836FB">
            <w:pPr>
              <w:rPr>
                <w:rFonts w:ascii="宋体"/>
              </w:rPr>
            </w:pPr>
          </w:p>
        </w:tc>
        <w:tc>
          <w:tcPr>
            <w:tcW w:w="0" w:type="auto"/>
            <w:shd w:val="clear" w:color="auto" w:fill="auto"/>
            <w:vAlign w:val="bottom"/>
          </w:tcPr>
          <w:p w14:paraId="5F2CCE72" w14:textId="77777777" w:rsidR="00E836FB" w:rsidRDefault="00E836FB">
            <w:pPr>
              <w:rPr>
                <w:rFonts w:ascii="宋体"/>
              </w:rPr>
            </w:pPr>
          </w:p>
        </w:tc>
        <w:tc>
          <w:tcPr>
            <w:tcW w:w="0" w:type="auto"/>
            <w:shd w:val="clear" w:color="auto" w:fill="auto"/>
            <w:vAlign w:val="bottom"/>
          </w:tcPr>
          <w:p w14:paraId="5F2CCE73" w14:textId="77777777" w:rsidR="00E836FB" w:rsidRDefault="00E836FB">
            <w:pPr>
              <w:rPr>
                <w:rFonts w:ascii="宋体"/>
              </w:rPr>
            </w:pPr>
          </w:p>
        </w:tc>
        <w:tc>
          <w:tcPr>
            <w:tcW w:w="0" w:type="auto"/>
            <w:shd w:val="clear" w:color="auto" w:fill="auto"/>
            <w:vAlign w:val="bottom"/>
          </w:tcPr>
          <w:p w14:paraId="5F2CCE74" w14:textId="77777777" w:rsidR="00E836FB" w:rsidRDefault="00E836FB">
            <w:pPr>
              <w:rPr>
                <w:rFonts w:ascii="宋体"/>
              </w:rPr>
            </w:pPr>
          </w:p>
        </w:tc>
        <w:tc>
          <w:tcPr>
            <w:tcW w:w="0" w:type="auto"/>
            <w:shd w:val="clear" w:color="auto" w:fill="auto"/>
            <w:vAlign w:val="bottom"/>
          </w:tcPr>
          <w:p w14:paraId="5F2CCE75" w14:textId="77777777" w:rsidR="00E836FB" w:rsidRDefault="00E836FB">
            <w:pPr>
              <w:rPr>
                <w:rFonts w:ascii="宋体"/>
              </w:rPr>
            </w:pPr>
          </w:p>
        </w:tc>
        <w:tc>
          <w:tcPr>
            <w:tcW w:w="0" w:type="auto"/>
            <w:shd w:val="clear" w:color="auto" w:fill="auto"/>
            <w:vAlign w:val="bottom"/>
          </w:tcPr>
          <w:p w14:paraId="5F2CCE76" w14:textId="77777777" w:rsidR="00E836FB" w:rsidRDefault="00E836FB">
            <w:pPr>
              <w:rPr>
                <w:rFonts w:ascii="宋体"/>
              </w:rPr>
            </w:pPr>
          </w:p>
        </w:tc>
        <w:tc>
          <w:tcPr>
            <w:tcW w:w="0" w:type="auto"/>
            <w:shd w:val="clear" w:color="auto" w:fill="auto"/>
            <w:vAlign w:val="bottom"/>
          </w:tcPr>
          <w:p w14:paraId="5F2CCE77" w14:textId="77777777" w:rsidR="00E836FB" w:rsidRDefault="00E836FB">
            <w:pPr>
              <w:rPr>
                <w:rFonts w:ascii="宋体"/>
              </w:rPr>
            </w:pPr>
          </w:p>
        </w:tc>
        <w:tc>
          <w:tcPr>
            <w:tcW w:w="0" w:type="auto"/>
            <w:shd w:val="clear" w:color="auto" w:fill="auto"/>
            <w:vAlign w:val="bottom"/>
          </w:tcPr>
          <w:p w14:paraId="5F2CCE78" w14:textId="77777777" w:rsidR="00E836FB" w:rsidRDefault="00E836FB">
            <w:pPr>
              <w:rPr>
                <w:rFonts w:ascii="宋体"/>
              </w:rPr>
            </w:pPr>
          </w:p>
        </w:tc>
        <w:tc>
          <w:tcPr>
            <w:tcW w:w="0" w:type="auto"/>
            <w:shd w:val="clear" w:color="auto" w:fill="auto"/>
            <w:vAlign w:val="bottom"/>
          </w:tcPr>
          <w:p w14:paraId="5F2CCE79" w14:textId="77777777" w:rsidR="00E836FB" w:rsidRDefault="00E836FB">
            <w:pPr>
              <w:rPr>
                <w:rFonts w:ascii="宋体"/>
              </w:rPr>
            </w:pPr>
          </w:p>
        </w:tc>
        <w:tc>
          <w:tcPr>
            <w:tcW w:w="0" w:type="auto"/>
            <w:shd w:val="clear" w:color="auto" w:fill="auto"/>
            <w:vAlign w:val="bottom"/>
          </w:tcPr>
          <w:p w14:paraId="5F2CCE7A" w14:textId="77777777" w:rsidR="00E836FB" w:rsidRDefault="00E836FB">
            <w:pPr>
              <w:rPr>
                <w:rFonts w:ascii="宋体"/>
              </w:rPr>
            </w:pPr>
          </w:p>
        </w:tc>
      </w:tr>
      <w:tr w:rsidR="00E836FB" w14:paraId="5F2CCE8B" w14:textId="77777777">
        <w:tc>
          <w:tcPr>
            <w:tcW w:w="0" w:type="auto"/>
            <w:gridSpan w:val="3"/>
            <w:shd w:val="clear" w:color="auto" w:fill="auto"/>
            <w:tcMar>
              <w:top w:w="0" w:type="dxa"/>
              <w:left w:w="20" w:type="dxa"/>
              <w:bottom w:w="0" w:type="dxa"/>
              <w:right w:w="20" w:type="dxa"/>
            </w:tcMar>
            <w:vAlign w:val="bottom"/>
          </w:tcPr>
          <w:p w14:paraId="5F2CCE7C"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CE7D"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shd w:val="clear" w:color="auto" w:fill="auto"/>
            <w:vAlign w:val="bottom"/>
          </w:tcPr>
          <w:p w14:paraId="5F2CCE7E" w14:textId="77777777" w:rsidR="00E836FB" w:rsidRDefault="00E836FB">
            <w:pPr>
              <w:rPr>
                <w:rFonts w:ascii="宋体"/>
                <w:vanish/>
              </w:rPr>
            </w:pPr>
          </w:p>
        </w:tc>
        <w:tc>
          <w:tcPr>
            <w:tcW w:w="0" w:type="auto"/>
            <w:shd w:val="clear" w:color="auto" w:fill="auto"/>
            <w:vAlign w:val="bottom"/>
          </w:tcPr>
          <w:p w14:paraId="5F2CCE7F" w14:textId="77777777" w:rsidR="00E836FB" w:rsidRDefault="00E836FB">
            <w:pPr>
              <w:rPr>
                <w:rFonts w:ascii="宋体"/>
              </w:rPr>
            </w:pPr>
          </w:p>
        </w:tc>
        <w:tc>
          <w:tcPr>
            <w:tcW w:w="0" w:type="auto"/>
            <w:shd w:val="clear" w:color="auto" w:fill="auto"/>
            <w:vAlign w:val="bottom"/>
          </w:tcPr>
          <w:p w14:paraId="5F2CCE80" w14:textId="77777777" w:rsidR="00E836FB" w:rsidRDefault="00E836FB">
            <w:pPr>
              <w:rPr>
                <w:rFonts w:ascii="宋体"/>
              </w:rPr>
            </w:pPr>
          </w:p>
        </w:tc>
        <w:tc>
          <w:tcPr>
            <w:tcW w:w="0" w:type="auto"/>
            <w:shd w:val="clear" w:color="auto" w:fill="auto"/>
            <w:vAlign w:val="bottom"/>
          </w:tcPr>
          <w:p w14:paraId="5F2CCE81" w14:textId="77777777" w:rsidR="00E836FB" w:rsidRDefault="00E836FB">
            <w:pPr>
              <w:rPr>
                <w:rFonts w:ascii="宋体"/>
              </w:rPr>
            </w:pPr>
          </w:p>
        </w:tc>
        <w:tc>
          <w:tcPr>
            <w:tcW w:w="0" w:type="auto"/>
            <w:shd w:val="clear" w:color="auto" w:fill="auto"/>
            <w:vAlign w:val="bottom"/>
          </w:tcPr>
          <w:p w14:paraId="5F2CCE82" w14:textId="77777777" w:rsidR="00E836FB" w:rsidRDefault="00E836FB">
            <w:pPr>
              <w:rPr>
                <w:rFonts w:ascii="宋体"/>
              </w:rPr>
            </w:pPr>
          </w:p>
        </w:tc>
        <w:tc>
          <w:tcPr>
            <w:tcW w:w="0" w:type="auto"/>
            <w:shd w:val="clear" w:color="auto" w:fill="auto"/>
            <w:vAlign w:val="bottom"/>
          </w:tcPr>
          <w:p w14:paraId="5F2CCE83" w14:textId="77777777" w:rsidR="00E836FB" w:rsidRDefault="00E836FB">
            <w:pPr>
              <w:rPr>
                <w:rFonts w:ascii="宋体"/>
              </w:rPr>
            </w:pPr>
          </w:p>
        </w:tc>
        <w:tc>
          <w:tcPr>
            <w:tcW w:w="0" w:type="auto"/>
            <w:shd w:val="clear" w:color="auto" w:fill="auto"/>
            <w:vAlign w:val="bottom"/>
          </w:tcPr>
          <w:p w14:paraId="5F2CCE84" w14:textId="77777777" w:rsidR="00E836FB" w:rsidRDefault="00E836FB">
            <w:pPr>
              <w:rPr>
                <w:rFonts w:ascii="宋体"/>
              </w:rPr>
            </w:pPr>
          </w:p>
        </w:tc>
        <w:tc>
          <w:tcPr>
            <w:tcW w:w="0" w:type="auto"/>
            <w:shd w:val="clear" w:color="auto" w:fill="auto"/>
            <w:vAlign w:val="bottom"/>
          </w:tcPr>
          <w:p w14:paraId="5F2CCE85" w14:textId="77777777" w:rsidR="00E836FB" w:rsidRDefault="00E836FB">
            <w:pPr>
              <w:rPr>
                <w:rFonts w:ascii="宋体"/>
              </w:rPr>
            </w:pPr>
          </w:p>
        </w:tc>
        <w:tc>
          <w:tcPr>
            <w:tcW w:w="0" w:type="auto"/>
            <w:shd w:val="clear" w:color="auto" w:fill="auto"/>
            <w:vAlign w:val="bottom"/>
          </w:tcPr>
          <w:p w14:paraId="5F2CCE86" w14:textId="77777777" w:rsidR="00E836FB" w:rsidRDefault="00E836FB">
            <w:pPr>
              <w:rPr>
                <w:rFonts w:ascii="宋体"/>
              </w:rPr>
            </w:pPr>
          </w:p>
        </w:tc>
        <w:tc>
          <w:tcPr>
            <w:tcW w:w="0" w:type="auto"/>
            <w:shd w:val="clear" w:color="auto" w:fill="auto"/>
            <w:vAlign w:val="bottom"/>
          </w:tcPr>
          <w:p w14:paraId="5F2CCE87" w14:textId="77777777" w:rsidR="00E836FB" w:rsidRDefault="00E836FB">
            <w:pPr>
              <w:rPr>
                <w:rFonts w:ascii="宋体"/>
              </w:rPr>
            </w:pPr>
          </w:p>
        </w:tc>
        <w:tc>
          <w:tcPr>
            <w:tcW w:w="0" w:type="auto"/>
            <w:shd w:val="clear" w:color="auto" w:fill="auto"/>
            <w:vAlign w:val="bottom"/>
          </w:tcPr>
          <w:p w14:paraId="5F2CCE88" w14:textId="77777777" w:rsidR="00E836FB" w:rsidRDefault="00E836FB">
            <w:pPr>
              <w:rPr>
                <w:rFonts w:ascii="宋体"/>
              </w:rPr>
            </w:pPr>
          </w:p>
        </w:tc>
        <w:tc>
          <w:tcPr>
            <w:tcW w:w="0" w:type="auto"/>
            <w:shd w:val="clear" w:color="auto" w:fill="auto"/>
            <w:vAlign w:val="bottom"/>
          </w:tcPr>
          <w:p w14:paraId="5F2CCE89" w14:textId="77777777" w:rsidR="00E836FB" w:rsidRDefault="00E836FB">
            <w:pPr>
              <w:rPr>
                <w:rFonts w:ascii="宋体"/>
              </w:rPr>
            </w:pPr>
          </w:p>
        </w:tc>
        <w:tc>
          <w:tcPr>
            <w:tcW w:w="0" w:type="auto"/>
            <w:shd w:val="clear" w:color="auto" w:fill="auto"/>
            <w:vAlign w:val="bottom"/>
          </w:tcPr>
          <w:p w14:paraId="5F2CCE8A" w14:textId="77777777" w:rsidR="00E836FB" w:rsidRDefault="00E836FB">
            <w:pPr>
              <w:rPr>
                <w:rFonts w:ascii="宋体"/>
              </w:rPr>
            </w:pPr>
          </w:p>
        </w:tc>
      </w:tr>
      <w:tr w:rsidR="00E836FB" w14:paraId="5F2CCE97" w14:textId="77777777">
        <w:tc>
          <w:tcPr>
            <w:tcW w:w="0" w:type="auto"/>
            <w:gridSpan w:val="3"/>
            <w:shd w:val="clear" w:color="auto" w:fill="auto"/>
            <w:tcMar>
              <w:top w:w="40" w:type="dxa"/>
              <w:left w:w="20" w:type="dxa"/>
              <w:bottom w:w="40" w:type="dxa"/>
              <w:right w:w="20" w:type="dxa"/>
            </w:tcMar>
            <w:vAlign w:val="bottom"/>
          </w:tcPr>
          <w:p w14:paraId="5F2CCE8C"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E8D"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E8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E8F"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E9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CE91" w14:textId="77777777" w:rsidR="00E836FB" w:rsidRDefault="00994958">
            <w:pPr>
              <w:jc w:val="center"/>
              <w:textAlignment w:val="bottom"/>
            </w:pPr>
            <w:r>
              <w:rPr>
                <w:rFonts w:ascii="Arial" w:eastAsia="宋体" w:hAnsi="Arial" w:cs="Arial"/>
                <w:b/>
                <w:bCs/>
                <w:color w:val="000000"/>
                <w:sz w:val="14"/>
                <w:szCs w:val="14"/>
              </w:rPr>
              <w:t>2019</w:t>
            </w:r>
          </w:p>
        </w:tc>
        <w:tc>
          <w:tcPr>
            <w:tcW w:w="0" w:type="auto"/>
            <w:shd w:val="clear" w:color="auto" w:fill="auto"/>
            <w:vAlign w:val="bottom"/>
          </w:tcPr>
          <w:p w14:paraId="5F2CCE92" w14:textId="77777777" w:rsidR="00E836FB" w:rsidRDefault="00E836FB">
            <w:pPr>
              <w:rPr>
                <w:rFonts w:ascii="宋体"/>
                <w:vanish/>
              </w:rPr>
            </w:pPr>
          </w:p>
        </w:tc>
        <w:tc>
          <w:tcPr>
            <w:tcW w:w="0" w:type="auto"/>
            <w:gridSpan w:val="3"/>
            <w:shd w:val="clear" w:color="auto" w:fill="auto"/>
            <w:vAlign w:val="bottom"/>
          </w:tcPr>
          <w:p w14:paraId="5F2CCE93" w14:textId="77777777" w:rsidR="00E836FB" w:rsidRDefault="00E836FB">
            <w:pPr>
              <w:rPr>
                <w:rFonts w:ascii="宋体"/>
                <w:vanish/>
              </w:rPr>
            </w:pPr>
          </w:p>
        </w:tc>
        <w:tc>
          <w:tcPr>
            <w:tcW w:w="0" w:type="auto"/>
            <w:gridSpan w:val="3"/>
            <w:shd w:val="clear" w:color="auto" w:fill="auto"/>
            <w:vAlign w:val="bottom"/>
          </w:tcPr>
          <w:p w14:paraId="5F2CCE94" w14:textId="77777777" w:rsidR="00E836FB" w:rsidRDefault="00E836FB">
            <w:pPr>
              <w:rPr>
                <w:rFonts w:ascii="宋体"/>
                <w:vanish/>
              </w:rPr>
            </w:pPr>
          </w:p>
        </w:tc>
        <w:tc>
          <w:tcPr>
            <w:tcW w:w="0" w:type="auto"/>
            <w:gridSpan w:val="3"/>
            <w:shd w:val="clear" w:color="auto" w:fill="auto"/>
            <w:vAlign w:val="bottom"/>
          </w:tcPr>
          <w:p w14:paraId="5F2CCE95" w14:textId="77777777" w:rsidR="00E836FB" w:rsidRDefault="00E836FB">
            <w:pPr>
              <w:rPr>
                <w:rFonts w:ascii="宋体"/>
                <w:vanish/>
              </w:rPr>
            </w:pPr>
          </w:p>
        </w:tc>
        <w:tc>
          <w:tcPr>
            <w:tcW w:w="0" w:type="auto"/>
            <w:gridSpan w:val="3"/>
            <w:shd w:val="clear" w:color="auto" w:fill="auto"/>
            <w:vAlign w:val="bottom"/>
          </w:tcPr>
          <w:p w14:paraId="5F2CCE96" w14:textId="77777777" w:rsidR="00E836FB" w:rsidRDefault="00E836FB">
            <w:pPr>
              <w:rPr>
                <w:rFonts w:ascii="宋体"/>
                <w:vanish/>
              </w:rPr>
            </w:pPr>
          </w:p>
        </w:tc>
      </w:tr>
      <w:tr w:rsidR="00E836FB" w14:paraId="5F2CCEA3" w14:textId="77777777">
        <w:tc>
          <w:tcPr>
            <w:tcW w:w="0" w:type="auto"/>
            <w:gridSpan w:val="3"/>
            <w:shd w:val="clear" w:color="auto" w:fill="FFFFFF"/>
            <w:tcMar>
              <w:top w:w="40" w:type="dxa"/>
              <w:left w:w="20" w:type="dxa"/>
              <w:bottom w:w="40" w:type="dxa"/>
              <w:right w:w="20" w:type="dxa"/>
            </w:tcMar>
            <w:vAlign w:val="bottom"/>
          </w:tcPr>
          <w:p w14:paraId="5F2CCE98" w14:textId="77777777" w:rsidR="00E836FB" w:rsidRDefault="00994958">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E9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E9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E9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CE9C"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CE9D" w14:textId="77777777" w:rsidR="00E836FB" w:rsidRDefault="00E836FB">
            <w:pPr>
              <w:rPr>
                <w:rFonts w:ascii="宋体"/>
              </w:rPr>
            </w:pPr>
          </w:p>
        </w:tc>
        <w:tc>
          <w:tcPr>
            <w:tcW w:w="0" w:type="auto"/>
            <w:shd w:val="clear" w:color="auto" w:fill="auto"/>
            <w:vAlign w:val="bottom"/>
          </w:tcPr>
          <w:p w14:paraId="5F2CCE9E" w14:textId="77777777" w:rsidR="00E836FB" w:rsidRDefault="00E836FB">
            <w:pPr>
              <w:rPr>
                <w:rFonts w:ascii="宋体"/>
                <w:vanish/>
              </w:rPr>
            </w:pPr>
          </w:p>
        </w:tc>
        <w:tc>
          <w:tcPr>
            <w:tcW w:w="0" w:type="auto"/>
            <w:gridSpan w:val="3"/>
            <w:shd w:val="clear" w:color="auto" w:fill="auto"/>
            <w:vAlign w:val="bottom"/>
          </w:tcPr>
          <w:p w14:paraId="5F2CCE9F" w14:textId="77777777" w:rsidR="00E836FB" w:rsidRDefault="00E836FB">
            <w:pPr>
              <w:rPr>
                <w:rFonts w:ascii="宋体"/>
                <w:vanish/>
              </w:rPr>
            </w:pPr>
          </w:p>
        </w:tc>
        <w:tc>
          <w:tcPr>
            <w:tcW w:w="0" w:type="auto"/>
            <w:gridSpan w:val="3"/>
            <w:shd w:val="clear" w:color="auto" w:fill="auto"/>
            <w:vAlign w:val="bottom"/>
          </w:tcPr>
          <w:p w14:paraId="5F2CCEA0" w14:textId="77777777" w:rsidR="00E836FB" w:rsidRDefault="00E836FB">
            <w:pPr>
              <w:rPr>
                <w:rFonts w:ascii="宋体"/>
                <w:vanish/>
              </w:rPr>
            </w:pPr>
          </w:p>
        </w:tc>
        <w:tc>
          <w:tcPr>
            <w:tcW w:w="0" w:type="auto"/>
            <w:gridSpan w:val="3"/>
            <w:shd w:val="clear" w:color="auto" w:fill="auto"/>
            <w:vAlign w:val="bottom"/>
          </w:tcPr>
          <w:p w14:paraId="5F2CCEA1" w14:textId="77777777" w:rsidR="00E836FB" w:rsidRDefault="00E836FB">
            <w:pPr>
              <w:rPr>
                <w:rFonts w:ascii="宋体"/>
                <w:vanish/>
              </w:rPr>
            </w:pPr>
          </w:p>
        </w:tc>
        <w:tc>
          <w:tcPr>
            <w:tcW w:w="0" w:type="auto"/>
            <w:gridSpan w:val="3"/>
            <w:shd w:val="clear" w:color="auto" w:fill="auto"/>
            <w:vAlign w:val="bottom"/>
          </w:tcPr>
          <w:p w14:paraId="5F2CCEA2" w14:textId="77777777" w:rsidR="00E836FB" w:rsidRDefault="00E836FB">
            <w:pPr>
              <w:rPr>
                <w:rFonts w:ascii="宋体"/>
                <w:vanish/>
              </w:rPr>
            </w:pPr>
          </w:p>
        </w:tc>
      </w:tr>
      <w:tr w:rsidR="00E836FB" w14:paraId="5F2CCEB5" w14:textId="77777777">
        <w:tc>
          <w:tcPr>
            <w:tcW w:w="0" w:type="auto"/>
            <w:gridSpan w:val="3"/>
            <w:shd w:val="clear" w:color="auto" w:fill="CCEEFF"/>
            <w:tcMar>
              <w:top w:w="40" w:type="dxa"/>
              <w:left w:w="20" w:type="dxa"/>
              <w:bottom w:w="40" w:type="dxa"/>
              <w:right w:w="20" w:type="dxa"/>
            </w:tcMar>
            <w:vAlign w:val="bottom"/>
          </w:tcPr>
          <w:p w14:paraId="5F2CCEA4" w14:textId="77777777" w:rsidR="00E836FB" w:rsidRDefault="00994958">
            <w:pPr>
              <w:textAlignment w:val="bottom"/>
            </w:pPr>
            <w:r>
              <w:rPr>
                <w:rFonts w:ascii="Arial" w:eastAsia="宋体" w:hAnsi="Arial" w:cs="Arial"/>
                <w:color w:val="000000"/>
                <w:sz w:val="14"/>
                <w:szCs w:val="14"/>
              </w:rPr>
              <w:t>Beginning balance</w:t>
            </w:r>
            <w:r>
              <w:rPr>
                <w:rFonts w:ascii="Arial" w:eastAsia="宋体" w:hAnsi="Arial" w:cs="Arial"/>
                <w:color w:val="000000"/>
                <w:sz w:val="9"/>
                <w:szCs w:val="9"/>
              </w:rPr>
              <w:t>(1)</w:t>
            </w:r>
          </w:p>
        </w:tc>
        <w:tc>
          <w:tcPr>
            <w:tcW w:w="0" w:type="auto"/>
            <w:shd w:val="clear" w:color="auto" w:fill="CCEEFF"/>
            <w:tcMar>
              <w:top w:w="40" w:type="dxa"/>
              <w:left w:w="20" w:type="dxa"/>
              <w:bottom w:w="40" w:type="dxa"/>
              <w:right w:w="0" w:type="dxa"/>
            </w:tcMar>
            <w:vAlign w:val="bottom"/>
          </w:tcPr>
          <w:p w14:paraId="5F2CCEA5"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EA6" w14:textId="77777777" w:rsidR="00E836FB" w:rsidRDefault="00994958">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E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A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EA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EAA"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F2CCE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A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EA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EAE" w14:textId="77777777" w:rsidR="00E836FB" w:rsidRDefault="00994958">
            <w:pPr>
              <w:jc w:val="right"/>
              <w:textAlignment w:val="bottom"/>
            </w:pPr>
            <w:r>
              <w:rPr>
                <w:rFonts w:ascii="Arial" w:eastAsia="宋体" w:hAnsi="Arial" w:cs="Arial"/>
                <w:color w:val="000000"/>
                <w:sz w:val="14"/>
                <w:szCs w:val="14"/>
              </w:rPr>
              <w:t>83 </w:t>
            </w:r>
          </w:p>
        </w:tc>
        <w:tc>
          <w:tcPr>
            <w:tcW w:w="0" w:type="auto"/>
            <w:shd w:val="clear" w:color="auto" w:fill="CCEEFF"/>
            <w:tcMar>
              <w:top w:w="40" w:type="dxa"/>
              <w:left w:w="0" w:type="dxa"/>
              <w:bottom w:w="40" w:type="dxa"/>
              <w:right w:w="20" w:type="dxa"/>
            </w:tcMar>
            <w:vAlign w:val="bottom"/>
          </w:tcPr>
          <w:p w14:paraId="5F2CCEAF" w14:textId="77777777" w:rsidR="00E836FB" w:rsidRDefault="00E836FB">
            <w:pPr>
              <w:jc w:val="right"/>
              <w:rPr>
                <w:rFonts w:ascii="宋体"/>
              </w:rPr>
            </w:pPr>
          </w:p>
        </w:tc>
        <w:tc>
          <w:tcPr>
            <w:tcW w:w="0" w:type="auto"/>
            <w:shd w:val="clear" w:color="auto" w:fill="auto"/>
            <w:vAlign w:val="bottom"/>
          </w:tcPr>
          <w:p w14:paraId="5F2CCEB0" w14:textId="77777777" w:rsidR="00E836FB" w:rsidRDefault="00E836FB">
            <w:pPr>
              <w:rPr>
                <w:rFonts w:ascii="宋体"/>
                <w:vanish/>
              </w:rPr>
            </w:pPr>
          </w:p>
        </w:tc>
        <w:tc>
          <w:tcPr>
            <w:tcW w:w="0" w:type="auto"/>
            <w:gridSpan w:val="3"/>
            <w:shd w:val="clear" w:color="auto" w:fill="auto"/>
            <w:vAlign w:val="bottom"/>
          </w:tcPr>
          <w:p w14:paraId="5F2CCEB1" w14:textId="77777777" w:rsidR="00E836FB" w:rsidRDefault="00E836FB">
            <w:pPr>
              <w:rPr>
                <w:rFonts w:ascii="宋体"/>
                <w:vanish/>
              </w:rPr>
            </w:pPr>
          </w:p>
        </w:tc>
        <w:tc>
          <w:tcPr>
            <w:tcW w:w="0" w:type="auto"/>
            <w:gridSpan w:val="3"/>
            <w:shd w:val="clear" w:color="auto" w:fill="auto"/>
            <w:vAlign w:val="bottom"/>
          </w:tcPr>
          <w:p w14:paraId="5F2CCEB2" w14:textId="77777777" w:rsidR="00E836FB" w:rsidRDefault="00E836FB">
            <w:pPr>
              <w:rPr>
                <w:rFonts w:ascii="宋体"/>
                <w:vanish/>
              </w:rPr>
            </w:pPr>
          </w:p>
        </w:tc>
        <w:tc>
          <w:tcPr>
            <w:tcW w:w="0" w:type="auto"/>
            <w:gridSpan w:val="3"/>
            <w:shd w:val="clear" w:color="auto" w:fill="auto"/>
            <w:vAlign w:val="bottom"/>
          </w:tcPr>
          <w:p w14:paraId="5F2CCEB3" w14:textId="77777777" w:rsidR="00E836FB" w:rsidRDefault="00E836FB">
            <w:pPr>
              <w:rPr>
                <w:rFonts w:ascii="宋体"/>
                <w:vanish/>
              </w:rPr>
            </w:pPr>
          </w:p>
        </w:tc>
        <w:tc>
          <w:tcPr>
            <w:tcW w:w="0" w:type="auto"/>
            <w:gridSpan w:val="3"/>
            <w:shd w:val="clear" w:color="auto" w:fill="auto"/>
            <w:vAlign w:val="bottom"/>
          </w:tcPr>
          <w:p w14:paraId="5F2CCEB4" w14:textId="77777777" w:rsidR="00E836FB" w:rsidRDefault="00E836FB">
            <w:pPr>
              <w:rPr>
                <w:rFonts w:ascii="宋体"/>
                <w:vanish/>
              </w:rPr>
            </w:pPr>
          </w:p>
        </w:tc>
      </w:tr>
      <w:tr w:rsidR="00E836FB" w14:paraId="5F2CCEC4" w14:textId="77777777">
        <w:tc>
          <w:tcPr>
            <w:tcW w:w="0" w:type="auto"/>
            <w:gridSpan w:val="3"/>
            <w:shd w:val="clear" w:color="auto" w:fill="FFFFFF"/>
            <w:tcMar>
              <w:top w:w="40" w:type="dxa"/>
              <w:left w:w="20" w:type="dxa"/>
              <w:bottom w:w="40" w:type="dxa"/>
              <w:right w:w="20" w:type="dxa"/>
            </w:tcMar>
            <w:vAlign w:val="bottom"/>
          </w:tcPr>
          <w:p w14:paraId="5F2CCEB6" w14:textId="77777777" w:rsidR="00E836FB" w:rsidRDefault="00994958">
            <w:pPr>
              <w:textAlignment w:val="bottom"/>
            </w:pPr>
            <w:r>
              <w:rPr>
                <w:rFonts w:ascii="Arial" w:eastAsia="宋体" w:hAnsi="Arial" w:cs="Arial"/>
                <w:color w:val="000000"/>
                <w:sz w:val="14"/>
                <w:szCs w:val="14"/>
              </w:rPr>
              <w:t>Provision for credit losses (funded commitments)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CEB7" w14:textId="77777777" w:rsidR="00E836FB" w:rsidRDefault="00994958">
            <w:pPr>
              <w:jc w:val="right"/>
              <w:textAlignment w:val="bottom"/>
            </w:pPr>
            <w:r>
              <w:rPr>
                <w:rFonts w:ascii="Arial" w:eastAsia="宋体" w:hAnsi="Arial" w:cs="Arial"/>
                <w:b/>
                <w:bCs/>
                <w:color w:val="000000"/>
                <w:sz w:val="14"/>
                <w:szCs w:val="14"/>
              </w:rPr>
              <w:t>(29)</w:t>
            </w:r>
          </w:p>
        </w:tc>
        <w:tc>
          <w:tcPr>
            <w:tcW w:w="0" w:type="auto"/>
            <w:shd w:val="clear" w:color="auto" w:fill="FFFFFF"/>
            <w:tcMar>
              <w:top w:w="40" w:type="dxa"/>
              <w:left w:w="0" w:type="dxa"/>
              <w:bottom w:w="40" w:type="dxa"/>
              <w:right w:w="20" w:type="dxa"/>
            </w:tcMar>
            <w:vAlign w:val="bottom"/>
          </w:tcPr>
          <w:p w14:paraId="5F2CCE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E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EBA" w14:textId="77777777" w:rsidR="00E836FB" w:rsidRDefault="00994958">
            <w:pPr>
              <w:jc w:val="right"/>
              <w:textAlignment w:val="bottom"/>
            </w:pPr>
            <w:r>
              <w:rPr>
                <w:rFonts w:ascii="Arial" w:eastAsia="宋体" w:hAnsi="Arial" w:cs="Arial"/>
                <w:color w:val="000000"/>
                <w:sz w:val="14"/>
                <w:szCs w:val="14"/>
              </w:rPr>
              <w:t>83 </w:t>
            </w:r>
          </w:p>
        </w:tc>
        <w:tc>
          <w:tcPr>
            <w:tcW w:w="0" w:type="auto"/>
            <w:shd w:val="clear" w:color="auto" w:fill="FFFFFF"/>
            <w:tcMar>
              <w:top w:w="40" w:type="dxa"/>
              <w:left w:w="0" w:type="dxa"/>
              <w:bottom w:w="40" w:type="dxa"/>
              <w:right w:w="20" w:type="dxa"/>
            </w:tcMar>
            <w:vAlign w:val="bottom"/>
          </w:tcPr>
          <w:p w14:paraId="5F2CCEB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EB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EBD"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5F2CCEBE" w14:textId="77777777" w:rsidR="00E836FB" w:rsidRDefault="00E836FB">
            <w:pPr>
              <w:jc w:val="right"/>
              <w:rPr>
                <w:rFonts w:ascii="宋体"/>
              </w:rPr>
            </w:pPr>
          </w:p>
        </w:tc>
        <w:tc>
          <w:tcPr>
            <w:tcW w:w="0" w:type="auto"/>
            <w:shd w:val="clear" w:color="auto" w:fill="auto"/>
            <w:vAlign w:val="bottom"/>
          </w:tcPr>
          <w:p w14:paraId="5F2CCEBF" w14:textId="77777777" w:rsidR="00E836FB" w:rsidRDefault="00E836FB">
            <w:pPr>
              <w:rPr>
                <w:rFonts w:ascii="宋体"/>
                <w:vanish/>
              </w:rPr>
            </w:pPr>
          </w:p>
        </w:tc>
        <w:tc>
          <w:tcPr>
            <w:tcW w:w="0" w:type="auto"/>
            <w:gridSpan w:val="3"/>
            <w:shd w:val="clear" w:color="auto" w:fill="auto"/>
            <w:vAlign w:val="bottom"/>
          </w:tcPr>
          <w:p w14:paraId="5F2CCEC0" w14:textId="77777777" w:rsidR="00E836FB" w:rsidRDefault="00E836FB">
            <w:pPr>
              <w:rPr>
                <w:rFonts w:ascii="宋体"/>
                <w:vanish/>
              </w:rPr>
            </w:pPr>
          </w:p>
        </w:tc>
        <w:tc>
          <w:tcPr>
            <w:tcW w:w="0" w:type="auto"/>
            <w:gridSpan w:val="3"/>
            <w:shd w:val="clear" w:color="auto" w:fill="auto"/>
            <w:vAlign w:val="bottom"/>
          </w:tcPr>
          <w:p w14:paraId="5F2CCEC1" w14:textId="77777777" w:rsidR="00E836FB" w:rsidRDefault="00E836FB">
            <w:pPr>
              <w:rPr>
                <w:rFonts w:ascii="宋体"/>
                <w:vanish/>
              </w:rPr>
            </w:pPr>
          </w:p>
        </w:tc>
        <w:tc>
          <w:tcPr>
            <w:tcW w:w="0" w:type="auto"/>
            <w:gridSpan w:val="3"/>
            <w:shd w:val="clear" w:color="auto" w:fill="auto"/>
            <w:vAlign w:val="bottom"/>
          </w:tcPr>
          <w:p w14:paraId="5F2CCEC2" w14:textId="77777777" w:rsidR="00E836FB" w:rsidRDefault="00E836FB">
            <w:pPr>
              <w:rPr>
                <w:rFonts w:ascii="宋体"/>
                <w:vanish/>
              </w:rPr>
            </w:pPr>
          </w:p>
        </w:tc>
        <w:tc>
          <w:tcPr>
            <w:tcW w:w="0" w:type="auto"/>
            <w:gridSpan w:val="3"/>
            <w:shd w:val="clear" w:color="auto" w:fill="auto"/>
            <w:vAlign w:val="bottom"/>
          </w:tcPr>
          <w:p w14:paraId="5F2CCEC3" w14:textId="77777777" w:rsidR="00E836FB" w:rsidRDefault="00E836FB">
            <w:pPr>
              <w:rPr>
                <w:rFonts w:ascii="宋体"/>
                <w:vanish/>
              </w:rPr>
            </w:pPr>
          </w:p>
        </w:tc>
      </w:tr>
      <w:tr w:rsidR="00E836FB" w14:paraId="5F2CCED3" w14:textId="77777777">
        <w:tc>
          <w:tcPr>
            <w:tcW w:w="0" w:type="auto"/>
            <w:gridSpan w:val="3"/>
            <w:shd w:val="clear" w:color="auto" w:fill="CCEEFF"/>
            <w:tcMar>
              <w:top w:w="40" w:type="dxa"/>
              <w:left w:w="20" w:type="dxa"/>
              <w:bottom w:w="40" w:type="dxa"/>
              <w:right w:w="20" w:type="dxa"/>
            </w:tcMar>
            <w:vAlign w:val="bottom"/>
          </w:tcPr>
          <w:p w14:paraId="5F2CCEC5" w14:textId="77777777" w:rsidR="00E836FB" w:rsidRDefault="00994958">
            <w:pPr>
              <w:textAlignment w:val="bottom"/>
            </w:pPr>
            <w:r>
              <w:rPr>
                <w:rFonts w:ascii="Arial" w:eastAsia="宋体" w:hAnsi="Arial" w:cs="Arial"/>
                <w:color w:val="000000"/>
                <w:sz w:val="14"/>
                <w:szCs w:val="14"/>
              </w:rPr>
              <w:t xml:space="preserve">Provisions </w:t>
            </w:r>
            <w:r>
              <w:rPr>
                <w:rFonts w:ascii="Arial" w:eastAsia="宋体" w:hAnsi="Arial" w:cs="Arial"/>
                <w:color w:val="000000"/>
                <w:sz w:val="14"/>
                <w:szCs w:val="14"/>
              </w:rPr>
              <w:t>for credit losses (unfunded commitments)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F2CCEC6"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5F2CCE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C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EC9"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F2CCE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ECC"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F2CCECD" w14:textId="77777777" w:rsidR="00E836FB" w:rsidRDefault="00E836FB">
            <w:pPr>
              <w:jc w:val="right"/>
              <w:rPr>
                <w:rFonts w:ascii="宋体"/>
              </w:rPr>
            </w:pPr>
          </w:p>
        </w:tc>
        <w:tc>
          <w:tcPr>
            <w:tcW w:w="0" w:type="auto"/>
            <w:shd w:val="clear" w:color="auto" w:fill="auto"/>
            <w:vAlign w:val="bottom"/>
          </w:tcPr>
          <w:p w14:paraId="5F2CCECE" w14:textId="77777777" w:rsidR="00E836FB" w:rsidRDefault="00E836FB">
            <w:pPr>
              <w:rPr>
                <w:rFonts w:ascii="宋体"/>
                <w:vanish/>
              </w:rPr>
            </w:pPr>
          </w:p>
        </w:tc>
        <w:tc>
          <w:tcPr>
            <w:tcW w:w="0" w:type="auto"/>
            <w:gridSpan w:val="3"/>
            <w:shd w:val="clear" w:color="auto" w:fill="auto"/>
            <w:vAlign w:val="bottom"/>
          </w:tcPr>
          <w:p w14:paraId="5F2CCECF" w14:textId="77777777" w:rsidR="00E836FB" w:rsidRDefault="00E836FB">
            <w:pPr>
              <w:rPr>
                <w:rFonts w:ascii="宋体"/>
                <w:vanish/>
              </w:rPr>
            </w:pPr>
          </w:p>
        </w:tc>
        <w:tc>
          <w:tcPr>
            <w:tcW w:w="0" w:type="auto"/>
            <w:gridSpan w:val="3"/>
            <w:shd w:val="clear" w:color="auto" w:fill="auto"/>
            <w:vAlign w:val="bottom"/>
          </w:tcPr>
          <w:p w14:paraId="5F2CCED0" w14:textId="77777777" w:rsidR="00E836FB" w:rsidRDefault="00E836FB">
            <w:pPr>
              <w:rPr>
                <w:rFonts w:ascii="宋体"/>
                <w:vanish/>
              </w:rPr>
            </w:pPr>
          </w:p>
        </w:tc>
        <w:tc>
          <w:tcPr>
            <w:tcW w:w="0" w:type="auto"/>
            <w:gridSpan w:val="3"/>
            <w:shd w:val="clear" w:color="auto" w:fill="auto"/>
            <w:vAlign w:val="bottom"/>
          </w:tcPr>
          <w:p w14:paraId="5F2CCED1" w14:textId="77777777" w:rsidR="00E836FB" w:rsidRDefault="00E836FB">
            <w:pPr>
              <w:rPr>
                <w:rFonts w:ascii="宋体"/>
                <w:vanish/>
              </w:rPr>
            </w:pPr>
          </w:p>
        </w:tc>
        <w:tc>
          <w:tcPr>
            <w:tcW w:w="0" w:type="auto"/>
            <w:gridSpan w:val="3"/>
            <w:shd w:val="clear" w:color="auto" w:fill="auto"/>
            <w:vAlign w:val="bottom"/>
          </w:tcPr>
          <w:p w14:paraId="5F2CCED2" w14:textId="77777777" w:rsidR="00E836FB" w:rsidRDefault="00E836FB">
            <w:pPr>
              <w:rPr>
                <w:rFonts w:ascii="宋体"/>
                <w:vanish/>
              </w:rPr>
            </w:pPr>
          </w:p>
        </w:tc>
      </w:tr>
      <w:tr w:rsidR="00E836FB" w14:paraId="5F2CCEE2" w14:textId="77777777">
        <w:tc>
          <w:tcPr>
            <w:tcW w:w="0" w:type="auto"/>
            <w:gridSpan w:val="3"/>
            <w:shd w:val="clear" w:color="auto" w:fill="FFFFFF"/>
            <w:tcMar>
              <w:top w:w="40" w:type="dxa"/>
              <w:left w:w="20" w:type="dxa"/>
              <w:bottom w:w="40" w:type="dxa"/>
              <w:right w:w="20" w:type="dxa"/>
            </w:tcMar>
            <w:vAlign w:val="bottom"/>
          </w:tcPr>
          <w:p w14:paraId="5F2CCED4" w14:textId="77777777" w:rsidR="00E836FB" w:rsidRDefault="00994958">
            <w:pPr>
              <w:textAlignment w:val="bottom"/>
            </w:pPr>
            <w:r>
              <w:rPr>
                <w:rFonts w:ascii="Arial" w:eastAsia="宋体" w:hAnsi="Arial" w:cs="Arial"/>
                <w:color w:val="000000"/>
                <w:sz w:val="14"/>
                <w:szCs w:val="14"/>
              </w:rPr>
              <w:t xml:space="preserve">Provisions </w:t>
            </w:r>
            <w:r>
              <w:rPr>
                <w:rFonts w:ascii="Arial" w:eastAsia="宋体" w:hAnsi="Arial" w:cs="Arial"/>
                <w:color w:val="000000"/>
                <w:sz w:val="14"/>
                <w:szCs w:val="14"/>
              </w:rPr>
              <w:t>for credit losses (investment securities and all other)</w:t>
            </w:r>
          </w:p>
        </w:tc>
        <w:tc>
          <w:tcPr>
            <w:tcW w:w="0" w:type="auto"/>
            <w:gridSpan w:val="2"/>
            <w:shd w:val="clear" w:color="auto" w:fill="FFFFFF"/>
            <w:tcMar>
              <w:top w:w="40" w:type="dxa"/>
              <w:left w:w="20" w:type="dxa"/>
              <w:bottom w:w="40" w:type="dxa"/>
              <w:right w:w="0" w:type="dxa"/>
            </w:tcMar>
            <w:vAlign w:val="bottom"/>
          </w:tcPr>
          <w:p w14:paraId="5F2CCED5"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F2CCE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E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ED8"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F2CCE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ED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ED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EDC" w14:textId="77777777" w:rsidR="00E836FB" w:rsidRDefault="00E836FB">
            <w:pPr>
              <w:jc w:val="right"/>
              <w:rPr>
                <w:rFonts w:ascii="宋体"/>
              </w:rPr>
            </w:pPr>
          </w:p>
        </w:tc>
        <w:tc>
          <w:tcPr>
            <w:tcW w:w="0" w:type="auto"/>
            <w:shd w:val="clear" w:color="auto" w:fill="auto"/>
            <w:vAlign w:val="bottom"/>
          </w:tcPr>
          <w:p w14:paraId="5F2CCEDD" w14:textId="77777777" w:rsidR="00E836FB" w:rsidRDefault="00E836FB">
            <w:pPr>
              <w:rPr>
                <w:rFonts w:ascii="宋体"/>
                <w:vanish/>
              </w:rPr>
            </w:pPr>
          </w:p>
        </w:tc>
        <w:tc>
          <w:tcPr>
            <w:tcW w:w="0" w:type="auto"/>
            <w:gridSpan w:val="3"/>
            <w:shd w:val="clear" w:color="auto" w:fill="auto"/>
            <w:vAlign w:val="bottom"/>
          </w:tcPr>
          <w:p w14:paraId="5F2CCEDE" w14:textId="77777777" w:rsidR="00E836FB" w:rsidRDefault="00E836FB">
            <w:pPr>
              <w:rPr>
                <w:rFonts w:ascii="宋体"/>
                <w:vanish/>
              </w:rPr>
            </w:pPr>
          </w:p>
        </w:tc>
        <w:tc>
          <w:tcPr>
            <w:tcW w:w="0" w:type="auto"/>
            <w:gridSpan w:val="3"/>
            <w:shd w:val="clear" w:color="auto" w:fill="auto"/>
            <w:vAlign w:val="bottom"/>
          </w:tcPr>
          <w:p w14:paraId="5F2CCEDF" w14:textId="77777777" w:rsidR="00E836FB" w:rsidRDefault="00E836FB">
            <w:pPr>
              <w:rPr>
                <w:rFonts w:ascii="宋体"/>
                <w:vanish/>
              </w:rPr>
            </w:pPr>
          </w:p>
        </w:tc>
        <w:tc>
          <w:tcPr>
            <w:tcW w:w="0" w:type="auto"/>
            <w:gridSpan w:val="3"/>
            <w:shd w:val="clear" w:color="auto" w:fill="auto"/>
            <w:vAlign w:val="bottom"/>
          </w:tcPr>
          <w:p w14:paraId="5F2CCEE0" w14:textId="77777777" w:rsidR="00E836FB" w:rsidRDefault="00E836FB">
            <w:pPr>
              <w:rPr>
                <w:rFonts w:ascii="宋体"/>
                <w:vanish/>
              </w:rPr>
            </w:pPr>
          </w:p>
        </w:tc>
        <w:tc>
          <w:tcPr>
            <w:tcW w:w="0" w:type="auto"/>
            <w:gridSpan w:val="3"/>
            <w:shd w:val="clear" w:color="auto" w:fill="auto"/>
            <w:vAlign w:val="bottom"/>
          </w:tcPr>
          <w:p w14:paraId="5F2CCEE1" w14:textId="77777777" w:rsidR="00E836FB" w:rsidRDefault="00E836FB">
            <w:pPr>
              <w:rPr>
                <w:rFonts w:ascii="宋体"/>
                <w:vanish/>
              </w:rPr>
            </w:pPr>
          </w:p>
        </w:tc>
      </w:tr>
      <w:tr w:rsidR="00E836FB" w14:paraId="5F2CCEF1" w14:textId="77777777">
        <w:tc>
          <w:tcPr>
            <w:tcW w:w="0" w:type="auto"/>
            <w:gridSpan w:val="3"/>
            <w:shd w:val="clear" w:color="auto" w:fill="CCEEFF"/>
            <w:tcMar>
              <w:top w:w="40" w:type="dxa"/>
              <w:left w:w="20" w:type="dxa"/>
              <w:bottom w:w="40" w:type="dxa"/>
              <w:right w:w="20" w:type="dxa"/>
            </w:tcMar>
            <w:vAlign w:val="bottom"/>
          </w:tcPr>
          <w:p w14:paraId="5F2CCEE3" w14:textId="77777777" w:rsidR="00E836FB" w:rsidRDefault="00994958">
            <w:pPr>
              <w:textAlignment w:val="bottom"/>
            </w:pPr>
            <w:r>
              <w:rPr>
                <w:rFonts w:ascii="Arial" w:eastAsia="宋体" w:hAnsi="Arial" w:cs="Arial"/>
                <w:color w:val="000000"/>
                <w:sz w:val="14"/>
                <w:szCs w:val="14"/>
              </w:rPr>
              <w:t>Charge-offs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5F2CCEE4"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5F2CCEE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E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EE7" w14:textId="77777777" w:rsidR="00E836FB" w:rsidRDefault="00994958">
            <w:pPr>
              <w:jc w:val="right"/>
              <w:textAlignment w:val="bottom"/>
            </w:pPr>
            <w:r>
              <w:rPr>
                <w:rFonts w:ascii="Arial" w:eastAsia="宋体" w:hAnsi="Arial" w:cs="Arial"/>
                <w:color w:val="000000"/>
                <w:sz w:val="14"/>
                <w:szCs w:val="14"/>
              </w:rPr>
              <w:t>(41)</w:t>
            </w:r>
          </w:p>
        </w:tc>
        <w:tc>
          <w:tcPr>
            <w:tcW w:w="0" w:type="auto"/>
            <w:shd w:val="clear" w:color="auto" w:fill="CCEEFF"/>
            <w:tcMar>
              <w:top w:w="40" w:type="dxa"/>
              <w:left w:w="0" w:type="dxa"/>
              <w:bottom w:w="40" w:type="dxa"/>
              <w:right w:w="20" w:type="dxa"/>
            </w:tcMar>
            <w:vAlign w:val="bottom"/>
          </w:tcPr>
          <w:p w14:paraId="5F2CCE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E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EEA" w14:textId="77777777" w:rsidR="00E836FB" w:rsidRDefault="00994958">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5F2CCEEB" w14:textId="77777777" w:rsidR="00E836FB" w:rsidRDefault="00E836FB">
            <w:pPr>
              <w:jc w:val="right"/>
              <w:rPr>
                <w:rFonts w:ascii="宋体"/>
              </w:rPr>
            </w:pPr>
          </w:p>
        </w:tc>
        <w:tc>
          <w:tcPr>
            <w:tcW w:w="0" w:type="auto"/>
            <w:shd w:val="clear" w:color="auto" w:fill="auto"/>
            <w:vAlign w:val="bottom"/>
          </w:tcPr>
          <w:p w14:paraId="5F2CCEEC" w14:textId="77777777" w:rsidR="00E836FB" w:rsidRDefault="00E836FB">
            <w:pPr>
              <w:rPr>
                <w:rFonts w:ascii="宋体"/>
                <w:vanish/>
              </w:rPr>
            </w:pPr>
          </w:p>
        </w:tc>
        <w:tc>
          <w:tcPr>
            <w:tcW w:w="0" w:type="auto"/>
            <w:gridSpan w:val="3"/>
            <w:shd w:val="clear" w:color="auto" w:fill="auto"/>
            <w:vAlign w:val="bottom"/>
          </w:tcPr>
          <w:p w14:paraId="5F2CCEED" w14:textId="77777777" w:rsidR="00E836FB" w:rsidRDefault="00E836FB">
            <w:pPr>
              <w:rPr>
                <w:rFonts w:ascii="宋体"/>
                <w:vanish/>
              </w:rPr>
            </w:pPr>
          </w:p>
        </w:tc>
        <w:tc>
          <w:tcPr>
            <w:tcW w:w="0" w:type="auto"/>
            <w:gridSpan w:val="3"/>
            <w:shd w:val="clear" w:color="auto" w:fill="auto"/>
            <w:vAlign w:val="bottom"/>
          </w:tcPr>
          <w:p w14:paraId="5F2CCEEE" w14:textId="77777777" w:rsidR="00E836FB" w:rsidRDefault="00E836FB">
            <w:pPr>
              <w:rPr>
                <w:rFonts w:ascii="宋体"/>
                <w:vanish/>
              </w:rPr>
            </w:pPr>
          </w:p>
        </w:tc>
        <w:tc>
          <w:tcPr>
            <w:tcW w:w="0" w:type="auto"/>
            <w:gridSpan w:val="3"/>
            <w:shd w:val="clear" w:color="auto" w:fill="auto"/>
            <w:vAlign w:val="bottom"/>
          </w:tcPr>
          <w:p w14:paraId="5F2CCEEF" w14:textId="77777777" w:rsidR="00E836FB" w:rsidRDefault="00E836FB">
            <w:pPr>
              <w:rPr>
                <w:rFonts w:ascii="宋体"/>
                <w:vanish/>
              </w:rPr>
            </w:pPr>
          </w:p>
        </w:tc>
        <w:tc>
          <w:tcPr>
            <w:tcW w:w="0" w:type="auto"/>
            <w:gridSpan w:val="3"/>
            <w:shd w:val="clear" w:color="auto" w:fill="auto"/>
            <w:vAlign w:val="bottom"/>
          </w:tcPr>
          <w:p w14:paraId="5F2CCEF0" w14:textId="77777777" w:rsidR="00E836FB" w:rsidRDefault="00E836FB">
            <w:pPr>
              <w:rPr>
                <w:rFonts w:ascii="宋体"/>
                <w:vanish/>
              </w:rPr>
            </w:pPr>
          </w:p>
        </w:tc>
      </w:tr>
      <w:tr w:rsidR="00E836FB" w14:paraId="5F2CCEFD" w14:textId="77777777">
        <w:trPr>
          <w:hidden/>
        </w:trPr>
        <w:tc>
          <w:tcPr>
            <w:tcW w:w="0" w:type="auto"/>
            <w:gridSpan w:val="3"/>
            <w:shd w:val="clear" w:color="auto" w:fill="auto"/>
            <w:vAlign w:val="bottom"/>
          </w:tcPr>
          <w:p w14:paraId="5F2CCEF2" w14:textId="77777777" w:rsidR="00E836FB" w:rsidRDefault="00E836FB">
            <w:pPr>
              <w:rPr>
                <w:rFonts w:ascii="宋体"/>
                <w:vanish/>
              </w:rPr>
            </w:pPr>
          </w:p>
        </w:tc>
        <w:tc>
          <w:tcPr>
            <w:tcW w:w="0" w:type="auto"/>
            <w:gridSpan w:val="3"/>
            <w:shd w:val="clear" w:color="auto" w:fill="auto"/>
            <w:vAlign w:val="bottom"/>
          </w:tcPr>
          <w:p w14:paraId="5F2CCEF3" w14:textId="77777777" w:rsidR="00E836FB" w:rsidRDefault="00E836FB">
            <w:pPr>
              <w:rPr>
                <w:rFonts w:ascii="宋体"/>
                <w:vanish/>
              </w:rPr>
            </w:pPr>
          </w:p>
        </w:tc>
        <w:tc>
          <w:tcPr>
            <w:tcW w:w="0" w:type="auto"/>
            <w:gridSpan w:val="3"/>
            <w:shd w:val="clear" w:color="auto" w:fill="auto"/>
            <w:vAlign w:val="bottom"/>
          </w:tcPr>
          <w:p w14:paraId="5F2CCEF4" w14:textId="77777777" w:rsidR="00E836FB" w:rsidRDefault="00E836FB">
            <w:pPr>
              <w:rPr>
                <w:rFonts w:ascii="宋体"/>
                <w:vanish/>
              </w:rPr>
            </w:pPr>
          </w:p>
        </w:tc>
        <w:tc>
          <w:tcPr>
            <w:tcW w:w="0" w:type="auto"/>
            <w:gridSpan w:val="3"/>
            <w:shd w:val="clear" w:color="auto" w:fill="auto"/>
            <w:vAlign w:val="bottom"/>
          </w:tcPr>
          <w:p w14:paraId="5F2CCEF5" w14:textId="77777777" w:rsidR="00E836FB" w:rsidRDefault="00E836FB">
            <w:pPr>
              <w:rPr>
                <w:rFonts w:ascii="宋体"/>
                <w:vanish/>
              </w:rPr>
            </w:pPr>
          </w:p>
        </w:tc>
        <w:tc>
          <w:tcPr>
            <w:tcW w:w="0" w:type="auto"/>
            <w:gridSpan w:val="3"/>
            <w:shd w:val="clear" w:color="auto" w:fill="auto"/>
            <w:vAlign w:val="bottom"/>
          </w:tcPr>
          <w:p w14:paraId="5F2CCEF6" w14:textId="77777777" w:rsidR="00E836FB" w:rsidRDefault="00E836FB">
            <w:pPr>
              <w:rPr>
                <w:rFonts w:ascii="宋体"/>
                <w:vanish/>
              </w:rPr>
            </w:pPr>
          </w:p>
        </w:tc>
        <w:tc>
          <w:tcPr>
            <w:tcW w:w="0" w:type="auto"/>
            <w:gridSpan w:val="3"/>
            <w:shd w:val="clear" w:color="auto" w:fill="auto"/>
            <w:vAlign w:val="bottom"/>
          </w:tcPr>
          <w:p w14:paraId="5F2CCEF7" w14:textId="77777777" w:rsidR="00E836FB" w:rsidRDefault="00E836FB">
            <w:pPr>
              <w:rPr>
                <w:rFonts w:ascii="宋体"/>
                <w:vanish/>
              </w:rPr>
            </w:pPr>
          </w:p>
        </w:tc>
        <w:tc>
          <w:tcPr>
            <w:tcW w:w="0" w:type="auto"/>
            <w:shd w:val="clear" w:color="auto" w:fill="auto"/>
            <w:vAlign w:val="bottom"/>
          </w:tcPr>
          <w:p w14:paraId="5F2CCEF8" w14:textId="77777777" w:rsidR="00E836FB" w:rsidRDefault="00E836FB">
            <w:pPr>
              <w:rPr>
                <w:rFonts w:ascii="宋体"/>
                <w:vanish/>
              </w:rPr>
            </w:pPr>
          </w:p>
        </w:tc>
        <w:tc>
          <w:tcPr>
            <w:tcW w:w="0" w:type="auto"/>
            <w:gridSpan w:val="3"/>
            <w:shd w:val="clear" w:color="auto" w:fill="auto"/>
            <w:vAlign w:val="bottom"/>
          </w:tcPr>
          <w:p w14:paraId="5F2CCEF9" w14:textId="77777777" w:rsidR="00E836FB" w:rsidRDefault="00E836FB">
            <w:pPr>
              <w:rPr>
                <w:rFonts w:ascii="宋体"/>
                <w:vanish/>
              </w:rPr>
            </w:pPr>
          </w:p>
        </w:tc>
        <w:tc>
          <w:tcPr>
            <w:tcW w:w="0" w:type="auto"/>
            <w:gridSpan w:val="3"/>
            <w:shd w:val="clear" w:color="auto" w:fill="auto"/>
            <w:vAlign w:val="bottom"/>
          </w:tcPr>
          <w:p w14:paraId="5F2CCEFA" w14:textId="77777777" w:rsidR="00E836FB" w:rsidRDefault="00E836FB">
            <w:pPr>
              <w:rPr>
                <w:rFonts w:ascii="宋体"/>
                <w:vanish/>
              </w:rPr>
            </w:pPr>
          </w:p>
        </w:tc>
        <w:tc>
          <w:tcPr>
            <w:tcW w:w="0" w:type="auto"/>
            <w:gridSpan w:val="3"/>
            <w:shd w:val="clear" w:color="auto" w:fill="auto"/>
            <w:vAlign w:val="bottom"/>
          </w:tcPr>
          <w:p w14:paraId="5F2CCEFB" w14:textId="77777777" w:rsidR="00E836FB" w:rsidRDefault="00E836FB">
            <w:pPr>
              <w:rPr>
                <w:rFonts w:ascii="宋体"/>
                <w:vanish/>
              </w:rPr>
            </w:pPr>
          </w:p>
        </w:tc>
        <w:tc>
          <w:tcPr>
            <w:tcW w:w="0" w:type="auto"/>
            <w:gridSpan w:val="3"/>
            <w:shd w:val="clear" w:color="auto" w:fill="auto"/>
            <w:vAlign w:val="bottom"/>
          </w:tcPr>
          <w:p w14:paraId="5F2CCEFC" w14:textId="77777777" w:rsidR="00E836FB" w:rsidRDefault="00E836FB">
            <w:pPr>
              <w:rPr>
                <w:rFonts w:ascii="宋体"/>
                <w:vanish/>
              </w:rPr>
            </w:pPr>
          </w:p>
        </w:tc>
      </w:tr>
      <w:tr w:rsidR="00E836FB" w14:paraId="5F2CCF0C" w14:textId="77777777">
        <w:tc>
          <w:tcPr>
            <w:tcW w:w="0" w:type="auto"/>
            <w:gridSpan w:val="3"/>
            <w:shd w:val="clear" w:color="auto" w:fill="FFFFFF"/>
            <w:tcMar>
              <w:top w:w="40" w:type="dxa"/>
              <w:left w:w="20" w:type="dxa"/>
              <w:bottom w:w="40" w:type="dxa"/>
              <w:right w:w="20" w:type="dxa"/>
            </w:tcMar>
            <w:vAlign w:val="bottom"/>
          </w:tcPr>
          <w:p w14:paraId="5F2CCEFE" w14:textId="77777777" w:rsidR="00E836FB" w:rsidRDefault="00994958">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5F2CCEFF" w14:textId="77777777" w:rsidR="00E836FB" w:rsidRDefault="00994958">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left w:w="0" w:type="dxa"/>
              <w:bottom w:w="40" w:type="dxa"/>
              <w:right w:w="20" w:type="dxa"/>
            </w:tcMar>
            <w:vAlign w:val="bottom"/>
          </w:tcPr>
          <w:p w14:paraId="5F2CCF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02" w14:textId="77777777" w:rsidR="00E836FB" w:rsidRDefault="00994958">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5F2CCF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05" w14:textId="77777777" w:rsidR="00E836FB" w:rsidRDefault="00994958">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5F2CCF06" w14:textId="77777777" w:rsidR="00E836FB" w:rsidRDefault="00E836FB">
            <w:pPr>
              <w:jc w:val="right"/>
              <w:rPr>
                <w:rFonts w:ascii="宋体"/>
              </w:rPr>
            </w:pPr>
          </w:p>
        </w:tc>
        <w:tc>
          <w:tcPr>
            <w:tcW w:w="0" w:type="auto"/>
            <w:shd w:val="clear" w:color="auto" w:fill="auto"/>
            <w:vAlign w:val="bottom"/>
          </w:tcPr>
          <w:p w14:paraId="5F2CCF07" w14:textId="77777777" w:rsidR="00E836FB" w:rsidRDefault="00E836FB">
            <w:pPr>
              <w:rPr>
                <w:rFonts w:ascii="宋体"/>
                <w:vanish/>
              </w:rPr>
            </w:pPr>
          </w:p>
        </w:tc>
        <w:tc>
          <w:tcPr>
            <w:tcW w:w="0" w:type="auto"/>
            <w:gridSpan w:val="3"/>
            <w:shd w:val="clear" w:color="auto" w:fill="auto"/>
            <w:vAlign w:val="bottom"/>
          </w:tcPr>
          <w:p w14:paraId="5F2CCF08" w14:textId="77777777" w:rsidR="00E836FB" w:rsidRDefault="00E836FB">
            <w:pPr>
              <w:rPr>
                <w:rFonts w:ascii="宋体"/>
                <w:vanish/>
              </w:rPr>
            </w:pPr>
          </w:p>
        </w:tc>
        <w:tc>
          <w:tcPr>
            <w:tcW w:w="0" w:type="auto"/>
            <w:gridSpan w:val="3"/>
            <w:shd w:val="clear" w:color="auto" w:fill="auto"/>
            <w:vAlign w:val="bottom"/>
          </w:tcPr>
          <w:p w14:paraId="5F2CCF09" w14:textId="77777777" w:rsidR="00E836FB" w:rsidRDefault="00E836FB">
            <w:pPr>
              <w:rPr>
                <w:rFonts w:ascii="宋体"/>
                <w:vanish/>
              </w:rPr>
            </w:pPr>
          </w:p>
        </w:tc>
        <w:tc>
          <w:tcPr>
            <w:tcW w:w="0" w:type="auto"/>
            <w:gridSpan w:val="3"/>
            <w:shd w:val="clear" w:color="auto" w:fill="auto"/>
            <w:vAlign w:val="bottom"/>
          </w:tcPr>
          <w:p w14:paraId="5F2CCF0A" w14:textId="77777777" w:rsidR="00E836FB" w:rsidRDefault="00E836FB">
            <w:pPr>
              <w:rPr>
                <w:rFonts w:ascii="宋体"/>
                <w:vanish/>
              </w:rPr>
            </w:pPr>
          </w:p>
        </w:tc>
        <w:tc>
          <w:tcPr>
            <w:tcW w:w="0" w:type="auto"/>
            <w:gridSpan w:val="3"/>
            <w:shd w:val="clear" w:color="auto" w:fill="auto"/>
            <w:vAlign w:val="bottom"/>
          </w:tcPr>
          <w:p w14:paraId="5F2CCF0B" w14:textId="77777777" w:rsidR="00E836FB" w:rsidRDefault="00E836FB">
            <w:pPr>
              <w:rPr>
                <w:rFonts w:ascii="宋体"/>
                <w:vanish/>
              </w:rPr>
            </w:pPr>
          </w:p>
        </w:tc>
      </w:tr>
      <w:tr w:rsidR="00E836FB" w14:paraId="5F2CCF1E" w14:textId="77777777">
        <w:tc>
          <w:tcPr>
            <w:tcW w:w="0" w:type="auto"/>
            <w:gridSpan w:val="3"/>
            <w:shd w:val="clear" w:color="auto" w:fill="CCEEFF"/>
            <w:tcMar>
              <w:top w:w="40" w:type="dxa"/>
              <w:left w:w="20" w:type="dxa"/>
              <w:bottom w:w="40" w:type="dxa"/>
              <w:right w:w="20" w:type="dxa"/>
            </w:tcMar>
            <w:vAlign w:val="bottom"/>
          </w:tcPr>
          <w:p w14:paraId="5F2CCF0D" w14:textId="77777777" w:rsidR="00E836FB" w:rsidRDefault="00994958">
            <w:pPr>
              <w:textAlignment w:val="bottom"/>
            </w:pPr>
            <w:r>
              <w:rPr>
                <w:rFonts w:ascii="Arial" w:eastAsia="宋体" w:hAnsi="Arial" w:cs="Arial"/>
                <w:color w:val="000000"/>
                <w:sz w:val="14"/>
                <w:szCs w:val="14"/>
              </w:rPr>
              <w:t>Ending bala</w:t>
            </w:r>
            <w:r>
              <w:rPr>
                <w:rFonts w:ascii="Arial" w:eastAsia="宋体" w:hAnsi="Arial" w:cs="Arial"/>
                <w:color w:val="000000"/>
                <w:sz w:val="14"/>
                <w:szCs w:val="14"/>
              </w:rPr>
              <w:t>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F0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F0F" w14:textId="77777777" w:rsidR="00E836FB" w:rsidRDefault="00994958">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F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1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F12"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F13" w14:textId="77777777" w:rsidR="00E836FB" w:rsidRDefault="00994958">
            <w:pPr>
              <w:jc w:val="right"/>
              <w:textAlignment w:val="bottom"/>
            </w:pPr>
            <w:r>
              <w:rPr>
                <w:rFonts w:ascii="Arial" w:eastAsia="宋体" w:hAnsi="Arial" w:cs="Arial"/>
                <w:color w:val="000000"/>
                <w:sz w:val="14"/>
                <w:szCs w:val="14"/>
              </w:rPr>
              <w:t>148 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F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1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CF16"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CF17" w14:textId="77777777" w:rsidR="00E836FB" w:rsidRDefault="00994958">
            <w:pPr>
              <w:jc w:val="right"/>
              <w:textAlignment w:val="bottom"/>
            </w:pPr>
            <w:r>
              <w:rPr>
                <w:rFonts w:ascii="Arial" w:eastAsia="宋体" w:hAnsi="Arial" w:cs="Arial"/>
                <w:color w:val="000000"/>
                <w:sz w:val="14"/>
                <w:szCs w:val="14"/>
              </w:rPr>
              <w:t>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CF18" w14:textId="77777777" w:rsidR="00E836FB" w:rsidRDefault="00E836FB">
            <w:pPr>
              <w:jc w:val="right"/>
              <w:rPr>
                <w:rFonts w:ascii="宋体"/>
              </w:rPr>
            </w:pPr>
          </w:p>
        </w:tc>
        <w:tc>
          <w:tcPr>
            <w:tcW w:w="0" w:type="auto"/>
            <w:shd w:val="clear" w:color="auto" w:fill="auto"/>
            <w:vAlign w:val="bottom"/>
          </w:tcPr>
          <w:p w14:paraId="5F2CCF19" w14:textId="77777777" w:rsidR="00E836FB" w:rsidRDefault="00E836FB">
            <w:pPr>
              <w:rPr>
                <w:rFonts w:ascii="宋体"/>
                <w:vanish/>
              </w:rPr>
            </w:pPr>
          </w:p>
        </w:tc>
        <w:tc>
          <w:tcPr>
            <w:tcW w:w="0" w:type="auto"/>
            <w:gridSpan w:val="3"/>
            <w:shd w:val="clear" w:color="auto" w:fill="auto"/>
            <w:vAlign w:val="bottom"/>
          </w:tcPr>
          <w:p w14:paraId="5F2CCF1A" w14:textId="77777777" w:rsidR="00E836FB" w:rsidRDefault="00E836FB">
            <w:pPr>
              <w:rPr>
                <w:rFonts w:ascii="宋体"/>
                <w:vanish/>
              </w:rPr>
            </w:pPr>
          </w:p>
        </w:tc>
        <w:tc>
          <w:tcPr>
            <w:tcW w:w="0" w:type="auto"/>
            <w:gridSpan w:val="3"/>
            <w:shd w:val="clear" w:color="auto" w:fill="auto"/>
            <w:vAlign w:val="bottom"/>
          </w:tcPr>
          <w:p w14:paraId="5F2CCF1B" w14:textId="77777777" w:rsidR="00E836FB" w:rsidRDefault="00E836FB">
            <w:pPr>
              <w:rPr>
                <w:rFonts w:ascii="宋体"/>
                <w:vanish/>
              </w:rPr>
            </w:pPr>
          </w:p>
        </w:tc>
        <w:tc>
          <w:tcPr>
            <w:tcW w:w="0" w:type="auto"/>
            <w:gridSpan w:val="3"/>
            <w:shd w:val="clear" w:color="auto" w:fill="auto"/>
            <w:vAlign w:val="bottom"/>
          </w:tcPr>
          <w:p w14:paraId="5F2CCF1C" w14:textId="77777777" w:rsidR="00E836FB" w:rsidRDefault="00E836FB">
            <w:pPr>
              <w:rPr>
                <w:rFonts w:ascii="宋体"/>
                <w:vanish/>
              </w:rPr>
            </w:pPr>
          </w:p>
        </w:tc>
        <w:tc>
          <w:tcPr>
            <w:tcW w:w="0" w:type="auto"/>
            <w:gridSpan w:val="3"/>
            <w:shd w:val="clear" w:color="auto" w:fill="auto"/>
            <w:vAlign w:val="bottom"/>
          </w:tcPr>
          <w:p w14:paraId="5F2CCF1D" w14:textId="77777777" w:rsidR="00E836FB" w:rsidRDefault="00E836FB">
            <w:pPr>
              <w:rPr>
                <w:rFonts w:ascii="宋体"/>
                <w:vanish/>
              </w:rPr>
            </w:pPr>
          </w:p>
        </w:tc>
      </w:tr>
    </w:tbl>
    <w:p w14:paraId="5F2CCF1F"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0"/>
        <w:gridCol w:w="36"/>
        <w:gridCol w:w="69"/>
        <w:gridCol w:w="1632"/>
        <w:gridCol w:w="36"/>
        <w:gridCol w:w="69"/>
        <w:gridCol w:w="2408"/>
        <w:gridCol w:w="36"/>
        <w:gridCol w:w="36"/>
        <w:gridCol w:w="36"/>
      </w:tblGrid>
      <w:tr w:rsidR="00E836FB" w14:paraId="5F2CCF2B" w14:textId="77777777">
        <w:tc>
          <w:tcPr>
            <w:tcW w:w="50" w:type="pct"/>
            <w:shd w:val="clear" w:color="auto" w:fill="auto"/>
            <w:vAlign w:val="bottom"/>
          </w:tcPr>
          <w:p w14:paraId="5F2CCF20" w14:textId="77777777" w:rsidR="00E836FB" w:rsidRDefault="00E836FB">
            <w:pPr>
              <w:rPr>
                <w:rFonts w:ascii="宋体"/>
              </w:rPr>
            </w:pPr>
          </w:p>
        </w:tc>
        <w:tc>
          <w:tcPr>
            <w:tcW w:w="2374" w:type="pct"/>
            <w:shd w:val="clear" w:color="auto" w:fill="auto"/>
            <w:vAlign w:val="bottom"/>
          </w:tcPr>
          <w:p w14:paraId="5F2CCF21" w14:textId="77777777" w:rsidR="00E836FB" w:rsidRDefault="00E836FB">
            <w:pPr>
              <w:rPr>
                <w:rFonts w:ascii="宋体"/>
              </w:rPr>
            </w:pPr>
          </w:p>
        </w:tc>
        <w:tc>
          <w:tcPr>
            <w:tcW w:w="5" w:type="pct"/>
            <w:shd w:val="clear" w:color="auto" w:fill="auto"/>
            <w:vAlign w:val="bottom"/>
          </w:tcPr>
          <w:p w14:paraId="5F2CCF22" w14:textId="77777777" w:rsidR="00E836FB" w:rsidRDefault="00E836FB">
            <w:pPr>
              <w:rPr>
                <w:rFonts w:ascii="宋体"/>
              </w:rPr>
            </w:pPr>
          </w:p>
        </w:tc>
        <w:tc>
          <w:tcPr>
            <w:tcW w:w="50" w:type="pct"/>
            <w:shd w:val="clear" w:color="auto" w:fill="auto"/>
            <w:vAlign w:val="bottom"/>
          </w:tcPr>
          <w:p w14:paraId="5F2CCF23" w14:textId="77777777" w:rsidR="00E836FB" w:rsidRDefault="00E836FB">
            <w:pPr>
              <w:rPr>
                <w:rFonts w:ascii="宋体"/>
              </w:rPr>
            </w:pPr>
          </w:p>
        </w:tc>
        <w:tc>
          <w:tcPr>
            <w:tcW w:w="995" w:type="pct"/>
            <w:shd w:val="clear" w:color="auto" w:fill="auto"/>
            <w:vAlign w:val="bottom"/>
          </w:tcPr>
          <w:p w14:paraId="5F2CCF24" w14:textId="77777777" w:rsidR="00E836FB" w:rsidRDefault="00E836FB">
            <w:pPr>
              <w:rPr>
                <w:rFonts w:ascii="宋体"/>
              </w:rPr>
            </w:pPr>
          </w:p>
        </w:tc>
        <w:tc>
          <w:tcPr>
            <w:tcW w:w="5" w:type="pct"/>
            <w:shd w:val="clear" w:color="auto" w:fill="auto"/>
            <w:vAlign w:val="bottom"/>
          </w:tcPr>
          <w:p w14:paraId="5F2CCF25" w14:textId="77777777" w:rsidR="00E836FB" w:rsidRDefault="00E836FB">
            <w:pPr>
              <w:rPr>
                <w:rFonts w:ascii="宋体"/>
              </w:rPr>
            </w:pPr>
          </w:p>
        </w:tc>
        <w:tc>
          <w:tcPr>
            <w:tcW w:w="50" w:type="pct"/>
            <w:shd w:val="clear" w:color="auto" w:fill="auto"/>
            <w:vAlign w:val="bottom"/>
          </w:tcPr>
          <w:p w14:paraId="5F2CCF26" w14:textId="77777777" w:rsidR="00E836FB" w:rsidRDefault="00E836FB">
            <w:pPr>
              <w:rPr>
                <w:rFonts w:ascii="宋体"/>
              </w:rPr>
            </w:pPr>
          </w:p>
        </w:tc>
        <w:tc>
          <w:tcPr>
            <w:tcW w:w="1465" w:type="pct"/>
            <w:shd w:val="clear" w:color="auto" w:fill="auto"/>
            <w:vAlign w:val="bottom"/>
          </w:tcPr>
          <w:p w14:paraId="5F2CCF27" w14:textId="77777777" w:rsidR="00E836FB" w:rsidRDefault="00E836FB">
            <w:pPr>
              <w:rPr>
                <w:rFonts w:ascii="宋体"/>
              </w:rPr>
            </w:pPr>
          </w:p>
        </w:tc>
        <w:tc>
          <w:tcPr>
            <w:tcW w:w="5" w:type="pct"/>
            <w:shd w:val="clear" w:color="auto" w:fill="auto"/>
            <w:vAlign w:val="bottom"/>
          </w:tcPr>
          <w:p w14:paraId="5F2CCF28" w14:textId="77777777" w:rsidR="00E836FB" w:rsidRDefault="00E836FB">
            <w:pPr>
              <w:rPr>
                <w:rFonts w:ascii="宋体"/>
              </w:rPr>
            </w:pPr>
          </w:p>
        </w:tc>
        <w:tc>
          <w:tcPr>
            <w:tcW w:w="0" w:type="auto"/>
            <w:shd w:val="clear" w:color="auto" w:fill="auto"/>
            <w:vAlign w:val="bottom"/>
          </w:tcPr>
          <w:p w14:paraId="5F2CCF29" w14:textId="77777777" w:rsidR="00E836FB" w:rsidRDefault="00E836FB">
            <w:pPr>
              <w:rPr>
                <w:rFonts w:ascii="宋体"/>
                <w:vanish/>
              </w:rPr>
            </w:pPr>
          </w:p>
        </w:tc>
        <w:tc>
          <w:tcPr>
            <w:tcW w:w="0" w:type="auto"/>
            <w:shd w:val="clear" w:color="auto" w:fill="auto"/>
            <w:vAlign w:val="bottom"/>
          </w:tcPr>
          <w:p w14:paraId="5F2CCF2A" w14:textId="77777777" w:rsidR="00E836FB" w:rsidRDefault="00E836FB">
            <w:pPr>
              <w:rPr>
                <w:rFonts w:ascii="宋体"/>
                <w:vanish/>
              </w:rPr>
            </w:pPr>
          </w:p>
        </w:tc>
      </w:tr>
      <w:tr w:rsidR="00E836FB" w14:paraId="5F2CCF3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CF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F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F2E" w14:textId="77777777" w:rsidR="00E836FB" w:rsidRDefault="00E836FB">
            <w:pPr>
              <w:rPr>
                <w:rFonts w:ascii="宋体"/>
              </w:rPr>
            </w:pPr>
          </w:p>
        </w:tc>
        <w:tc>
          <w:tcPr>
            <w:tcW w:w="0" w:type="auto"/>
            <w:shd w:val="clear" w:color="auto" w:fill="auto"/>
            <w:vAlign w:val="bottom"/>
          </w:tcPr>
          <w:p w14:paraId="5F2CCF2F" w14:textId="77777777" w:rsidR="00E836FB" w:rsidRDefault="00E836FB">
            <w:pPr>
              <w:rPr>
                <w:rFonts w:ascii="宋体"/>
                <w:vanish/>
              </w:rPr>
            </w:pPr>
          </w:p>
        </w:tc>
        <w:tc>
          <w:tcPr>
            <w:tcW w:w="0" w:type="auto"/>
            <w:shd w:val="clear" w:color="auto" w:fill="auto"/>
            <w:vAlign w:val="bottom"/>
          </w:tcPr>
          <w:p w14:paraId="5F2CCF30" w14:textId="77777777" w:rsidR="00E836FB" w:rsidRDefault="00E836FB">
            <w:pPr>
              <w:rPr>
                <w:rFonts w:ascii="宋体"/>
                <w:vanish/>
              </w:rPr>
            </w:pPr>
          </w:p>
        </w:tc>
      </w:tr>
    </w:tbl>
    <w:p w14:paraId="5F2CCF32" w14:textId="77777777" w:rsidR="00E836FB" w:rsidRDefault="00994958">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Beginning January 1, 2020, we adopted ASC 326. Prior to 2020, we recognized an allowance for loan losses under an incurred loss model. Upon adoption, we increased the allowance and reduced retained earnings by approximately $2 million. As such, the 2020 be</w:t>
      </w:r>
      <w:r>
        <w:rPr>
          <w:rFonts w:ascii="Arial" w:eastAsia="宋体" w:hAnsi="Arial" w:cs="Arial"/>
          <w:color w:val="000000"/>
          <w:sz w:val="13"/>
          <w:szCs w:val="13"/>
        </w:rPr>
        <w:t xml:space="preserve">ginning balance differs from the December 31, 2019 ending balance. </w:t>
      </w:r>
    </w:p>
    <w:p w14:paraId="5F2CCF33" w14:textId="77777777" w:rsidR="00E836FB" w:rsidRDefault="00994958">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The provision for credit losses is primarily related to commercial and financial loans.</w:t>
      </w:r>
    </w:p>
    <w:p w14:paraId="5F2CCF34" w14:textId="77777777" w:rsidR="00E836FB" w:rsidRDefault="00994958">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Prior to the adoption of ASC 326, the provision for unfunded commitments was recorded within</w:t>
      </w:r>
      <w:r>
        <w:rPr>
          <w:rFonts w:ascii="Arial" w:eastAsia="宋体" w:hAnsi="Arial" w:cs="Arial"/>
          <w:color w:val="000000"/>
          <w:sz w:val="13"/>
          <w:szCs w:val="13"/>
        </w:rPr>
        <w:t xml:space="preserve"> other expenses in the consolidated statement of income. Upon adoption of ASC 326 in the first quarter of 2020, the provision for all assets within scope is recorded within the provision for credit losses in the consolidated statement of income.</w:t>
      </w:r>
    </w:p>
    <w:p w14:paraId="5F2CCF35" w14:textId="77777777" w:rsidR="00E836FB" w:rsidRDefault="00994958">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The ch</w:t>
      </w:r>
      <w:r>
        <w:rPr>
          <w:rFonts w:ascii="Arial" w:eastAsia="宋体" w:hAnsi="Arial" w:cs="Arial"/>
          <w:color w:val="000000"/>
          <w:sz w:val="13"/>
          <w:szCs w:val="13"/>
        </w:rPr>
        <w:t>arge-offs are related to commercial and financial loans.</w:t>
      </w:r>
    </w:p>
    <w:p w14:paraId="5F2CCF36" w14:textId="77777777" w:rsidR="00E836FB" w:rsidRDefault="00994958">
      <w:pPr>
        <w:spacing w:before="60"/>
        <w:ind w:firstLine="450"/>
        <w:jc w:val="both"/>
        <w:textAlignment w:val="top"/>
      </w:pPr>
      <w:r>
        <w:rPr>
          <w:rFonts w:ascii="Arial" w:eastAsia="宋体" w:hAnsi="Arial" w:cs="Arial"/>
          <w:color w:val="000000"/>
          <w:sz w:val="20"/>
          <w:szCs w:val="20"/>
        </w:rPr>
        <w:t>We adopted ASC 326 in January 2020. The provision for credit losses related to loans and other financial assets held at amortized cost, including investment securities classified as HTM and off-balan</w:t>
      </w:r>
      <w:r>
        <w:rPr>
          <w:rFonts w:ascii="Arial" w:eastAsia="宋体" w:hAnsi="Arial" w:cs="Arial"/>
          <w:color w:val="000000"/>
          <w:sz w:val="20"/>
          <w:szCs w:val="20"/>
        </w:rPr>
        <w:t>ce sheet commitments, was a $33 million release of credit reserves in 2021, compared to $88 million reserve build in 2020.</w:t>
      </w:r>
    </w:p>
    <w:p w14:paraId="5F2CCF37" w14:textId="77777777" w:rsidR="00E836FB" w:rsidRDefault="00994958">
      <w:pPr>
        <w:spacing w:before="60"/>
        <w:ind w:firstLine="450"/>
        <w:jc w:val="both"/>
        <w:textAlignment w:val="top"/>
      </w:pPr>
      <w:r>
        <w:rPr>
          <w:rFonts w:ascii="Arial" w:eastAsia="宋体" w:hAnsi="Arial" w:cs="Arial"/>
          <w:color w:val="000000"/>
          <w:sz w:val="20"/>
          <w:szCs w:val="20"/>
        </w:rPr>
        <w:t xml:space="preserve">As of December 31, 2021, approximately $61 million of our allowance for credit losses was related to leveraged loans included in </w:t>
      </w:r>
      <w:r>
        <w:rPr>
          <w:rFonts w:ascii="Arial" w:eastAsia="宋体" w:hAnsi="Arial" w:cs="Arial"/>
          <w:color w:val="000000"/>
          <w:sz w:val="20"/>
          <w:szCs w:val="20"/>
        </w:rPr>
        <w:t xml:space="preserve">the commercial and financial segment compared to $97 million as of December 31, 2020. The reduction in the allowance in 2021 was primarily driven by observed and expected improvements in both credit quality and economic outlook. As our view on current and </w:t>
      </w:r>
      <w:r>
        <w:rPr>
          <w:rFonts w:ascii="Arial" w:eastAsia="宋体" w:hAnsi="Arial" w:cs="Arial"/>
          <w:color w:val="000000"/>
          <w:sz w:val="20"/>
          <w:szCs w:val="20"/>
        </w:rPr>
        <w:t>future economic scenarios change, our allowance for credit losses related to these loans may be impacted through a change to the provisions for credit losses, reflecting credit migration within our loan portfolio, as well as changes in management's economi</w:t>
      </w:r>
      <w:r>
        <w:rPr>
          <w:rFonts w:ascii="Arial" w:eastAsia="宋体" w:hAnsi="Arial" w:cs="Arial"/>
          <w:color w:val="000000"/>
          <w:sz w:val="20"/>
          <w:szCs w:val="20"/>
        </w:rPr>
        <w:t>c outlook as of year-end. The remaining $47 million and $51 million as of December 31, 2021 and 2020, respectively, was related to other loans, commercial real estate loans, off-balance sheet commitments and other financial assets held at amortized cost, i</w:t>
      </w:r>
      <w:r>
        <w:rPr>
          <w:rFonts w:ascii="Arial" w:eastAsia="宋体" w:hAnsi="Arial" w:cs="Arial"/>
          <w:color w:val="000000"/>
          <w:sz w:val="20"/>
          <w:szCs w:val="20"/>
        </w:rPr>
        <w:t>ncluding investment securities held to maturity. As of December 31, 2021, the allowance for credit losses represented 0.3% of total loans.</w:t>
      </w:r>
    </w:p>
    <w:p w14:paraId="5F2CCF38" w14:textId="77777777" w:rsidR="00E836FB" w:rsidRDefault="00994958">
      <w:pPr>
        <w:spacing w:before="60"/>
        <w:ind w:firstLine="450"/>
        <w:jc w:val="both"/>
        <w:textAlignment w:val="top"/>
      </w:pPr>
      <w:r>
        <w:rPr>
          <w:rFonts w:ascii="Arial" w:eastAsia="宋体" w:hAnsi="Arial" w:cs="Arial"/>
          <w:color w:val="000000"/>
          <w:sz w:val="20"/>
          <w:szCs w:val="20"/>
        </w:rPr>
        <w:t>An allowance for credit losses is recognized on HTM securities upon acquisition of the security, and on AFS securitie</w:t>
      </w:r>
      <w:r>
        <w:rPr>
          <w:rFonts w:ascii="Arial" w:eastAsia="宋体" w:hAnsi="Arial" w:cs="Arial"/>
          <w:color w:val="000000"/>
          <w:sz w:val="20"/>
          <w:szCs w:val="20"/>
        </w:rPr>
        <w:t xml:space="preserve">s when the fair value and expected future cash flows of the investment securities are less </w:t>
      </w:r>
    </w:p>
    <w:p w14:paraId="5F2CCF39" w14:textId="77777777" w:rsidR="00E836FB" w:rsidRDefault="00994958">
      <w:pPr>
        <w:spacing w:before="60"/>
        <w:jc w:val="both"/>
        <w:textAlignment w:val="top"/>
      </w:pPr>
      <w:r>
        <w:rPr>
          <w:rFonts w:ascii="Arial" w:eastAsia="宋体" w:hAnsi="Arial" w:cs="Arial"/>
          <w:color w:val="000000"/>
          <w:sz w:val="20"/>
          <w:szCs w:val="20"/>
        </w:rPr>
        <w:t>than their amortized cost basis. Our assessment of impairment involves an evaluation of economic and security-specific factors. Such factors are based on estimates,</w:t>
      </w:r>
      <w:r>
        <w:rPr>
          <w:rFonts w:ascii="Arial" w:eastAsia="宋体" w:hAnsi="Arial" w:cs="Arial"/>
          <w:color w:val="000000"/>
          <w:sz w:val="20"/>
          <w:szCs w:val="20"/>
        </w:rPr>
        <w:t xml:space="preserve"> derived by management, which contemplate current market conditions and security-specific performance. To the extent that market conditions are worse than management's expectations or due to idiosyncratic bond performance, the credit-related component of i</w:t>
      </w:r>
      <w:r>
        <w:rPr>
          <w:rFonts w:ascii="Arial" w:eastAsia="宋体" w:hAnsi="Arial" w:cs="Arial"/>
          <w:color w:val="000000"/>
          <w:sz w:val="20"/>
          <w:szCs w:val="20"/>
        </w:rPr>
        <w:t>mpairment, in particular, could increase and would be recorded in the provision for credit losses. Additional information with respect to the allowance for credit losses, net impairment losses and gross unrealized losses related to investment securities, i</w:t>
      </w:r>
      <w:r>
        <w:rPr>
          <w:rFonts w:ascii="Arial" w:eastAsia="宋体" w:hAnsi="Arial" w:cs="Arial"/>
          <w:color w:val="000000"/>
          <w:sz w:val="20"/>
          <w:szCs w:val="20"/>
        </w:rPr>
        <w:t>s provided in Note 3 to the consolidated financial statements in this Form 10-K.</w:t>
      </w:r>
    </w:p>
    <w:p w14:paraId="5F2CCF3A" w14:textId="77777777" w:rsidR="00E836FB" w:rsidRDefault="00994958">
      <w:pPr>
        <w:spacing w:before="90"/>
        <w:textAlignment w:val="top"/>
      </w:pPr>
      <w:r>
        <w:rPr>
          <w:rFonts w:ascii="Arial" w:eastAsia="宋体" w:hAnsi="Arial" w:cs="Arial"/>
          <w:b/>
          <w:bCs/>
          <w:color w:val="000000"/>
          <w:sz w:val="20"/>
          <w:szCs w:val="20"/>
        </w:rPr>
        <w:t>Cross-Border Outstandings</w:t>
      </w:r>
    </w:p>
    <w:p w14:paraId="5F2CCF3B" w14:textId="77777777" w:rsidR="00E836FB" w:rsidRDefault="00994958">
      <w:pPr>
        <w:spacing w:before="60"/>
        <w:ind w:firstLine="450"/>
        <w:jc w:val="both"/>
        <w:textAlignment w:val="top"/>
      </w:pPr>
      <w:r>
        <w:rPr>
          <w:rFonts w:ascii="Arial" w:eastAsia="宋体" w:hAnsi="Arial" w:cs="Arial"/>
          <w:color w:val="000000"/>
          <w:sz w:val="20"/>
          <w:szCs w:val="20"/>
        </w:rPr>
        <w:t xml:space="preserve">Cross-border outstandings are amounts payable to us by non-U.S. counterparties which are denominated in U.S. dollars or other non-local currency, as </w:t>
      </w:r>
      <w:r>
        <w:rPr>
          <w:rFonts w:ascii="Arial" w:eastAsia="宋体" w:hAnsi="Arial" w:cs="Arial"/>
          <w:color w:val="000000"/>
          <w:sz w:val="20"/>
          <w:szCs w:val="20"/>
        </w:rPr>
        <w:t>well as non-U.S. local currency claims not funded by local currency liabilities. Our cross-border outstandings consist primarily of deposits with banks; loans and lease financing, including short-duration advances; investment securities; amounts related to</w:t>
      </w:r>
      <w:r>
        <w:rPr>
          <w:rFonts w:ascii="Arial" w:eastAsia="宋体" w:hAnsi="Arial" w:cs="Arial"/>
          <w:color w:val="000000"/>
          <w:sz w:val="20"/>
          <w:szCs w:val="20"/>
        </w:rPr>
        <w:t xml:space="preserve">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outstandings have the risk that, as a result of political or economic conditions in a country, borrowers may be unable to meet their contractual repayment ob</w:t>
      </w:r>
      <w:r>
        <w:rPr>
          <w:rFonts w:ascii="Arial" w:eastAsia="宋体" w:hAnsi="Arial" w:cs="Arial"/>
          <w:color w:val="000000"/>
          <w:sz w:val="20"/>
          <w:szCs w:val="20"/>
        </w:rPr>
        <w:t>ligations of principal and/or interest when due because of the unavailability of, or restrictions on, FX needed by borrowers to repay their obligations.</w:t>
      </w:r>
    </w:p>
    <w:p w14:paraId="5F2CCF3C" w14:textId="77777777" w:rsidR="00E836FB" w:rsidRDefault="00994958">
      <w:pPr>
        <w:spacing w:before="60"/>
        <w:ind w:firstLine="450"/>
        <w:jc w:val="both"/>
        <w:textAlignment w:val="top"/>
      </w:pPr>
      <w:r>
        <w:rPr>
          <w:rFonts w:ascii="Arial" w:eastAsia="宋体" w:hAnsi="Arial" w:cs="Arial"/>
          <w:color w:val="000000"/>
          <w:sz w:val="20"/>
          <w:szCs w:val="20"/>
        </w:rPr>
        <w:t>As market and economic conditions change, the major independent credit rating agencies may downgrade U.</w:t>
      </w:r>
      <w:r>
        <w:rPr>
          <w:rFonts w:ascii="Arial" w:eastAsia="宋体" w:hAnsi="Arial" w:cs="Arial"/>
          <w:color w:val="000000"/>
          <w:sz w:val="20"/>
          <w:szCs w:val="20"/>
        </w:rPr>
        <w:t>S. and non-U.S. financial institutions and sovereign issuers which have been, and may in the future be, significant counterparties to us, or whose financial instruments serve as collateral on which we rely for credit risk mitigation purposes, and may do so</w:t>
      </w:r>
      <w:r>
        <w:rPr>
          <w:rFonts w:ascii="Arial" w:eastAsia="宋体" w:hAnsi="Arial" w:cs="Arial"/>
          <w:color w:val="000000"/>
          <w:sz w:val="20"/>
          <w:szCs w:val="20"/>
        </w:rPr>
        <w:t xml:space="preserve"> again in the future. As a result, we may be exposed to increased counterparty risk, leading to negative ratings volatility.</w:t>
      </w:r>
    </w:p>
    <w:p w14:paraId="5F2CCF3D" w14:textId="77777777" w:rsidR="00E836FB" w:rsidRDefault="00994958">
      <w:pPr>
        <w:spacing w:before="60"/>
        <w:ind w:firstLine="450"/>
        <w:jc w:val="both"/>
        <w:textAlignment w:val="top"/>
      </w:pPr>
      <w:r>
        <w:rPr>
          <w:rFonts w:ascii="Arial" w:eastAsia="宋体" w:hAnsi="Arial" w:cs="Arial"/>
          <w:color w:val="000000"/>
          <w:sz w:val="20"/>
          <w:szCs w:val="20"/>
        </w:rPr>
        <w:t>The cross-border outstandings presented in Table 30: Cross-border outstandings, represented approximately 27% and 30% of our consol</w:t>
      </w:r>
      <w:r>
        <w:rPr>
          <w:rFonts w:ascii="Arial" w:eastAsia="宋体" w:hAnsi="Arial" w:cs="Arial"/>
          <w:color w:val="000000"/>
          <w:sz w:val="20"/>
          <w:szCs w:val="20"/>
        </w:rPr>
        <w:t>idated total assets as of December 31, 2021 and December 31, 2020, respectively.</w:t>
      </w:r>
    </w:p>
    <w:p w14:paraId="5F2CCF3E" w14:textId="77777777" w:rsidR="00E836FB" w:rsidRDefault="00E836FB">
      <w:pPr>
        <w:spacing w:before="60"/>
        <w:ind w:firstLine="450"/>
        <w:jc w:val="both"/>
        <w:textAlignment w:val="top"/>
      </w:pPr>
    </w:p>
    <w:p w14:paraId="5F2CCF3F" w14:textId="77777777" w:rsidR="00E836FB" w:rsidRDefault="00994958">
      <w:pPr>
        <w:ind w:firstLine="450"/>
        <w:jc w:val="right"/>
      </w:pPr>
      <w:r>
        <w:rPr>
          <w:rFonts w:ascii="Arial" w:eastAsia="宋体" w:hAnsi="Arial" w:cs="Arial"/>
          <w:color w:val="000000"/>
          <w:sz w:val="18"/>
          <w:szCs w:val="18"/>
        </w:rPr>
        <w:t>State Street Corporation | 82</w:t>
      </w:r>
    </w:p>
    <w:p w14:paraId="5F2CCF40" w14:textId="77777777" w:rsidR="00E836FB" w:rsidRDefault="00E836FB">
      <w:pPr>
        <w:ind w:firstLine="450"/>
        <w:jc w:val="center"/>
      </w:pPr>
    </w:p>
    <w:p w14:paraId="5F2CCF41" w14:textId="77777777" w:rsidR="00E836FB" w:rsidRDefault="00994958">
      <w:r>
        <w:pict w14:anchorId="5F2D6DD7">
          <v:rect id="_x0000_i1106" style="width:415.3pt;height:1.5pt" o:hralign="center" o:hrstd="t" o:hr="t" fillcolor="#a0a0a0" stroked="f"/>
        </w:pict>
      </w:r>
    </w:p>
    <w:p w14:paraId="5F2CCF42"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CF43" w14:textId="77777777" w:rsidR="00E836FB" w:rsidRDefault="00994958">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2360"/>
        <w:gridCol w:w="38"/>
        <w:gridCol w:w="99"/>
        <w:gridCol w:w="1757"/>
        <w:gridCol w:w="37"/>
        <w:gridCol w:w="36"/>
        <w:gridCol w:w="74"/>
        <w:gridCol w:w="36"/>
        <w:gridCol w:w="99"/>
        <w:gridCol w:w="1758"/>
        <w:gridCol w:w="37"/>
        <w:gridCol w:w="36"/>
        <w:gridCol w:w="75"/>
        <w:gridCol w:w="36"/>
        <w:gridCol w:w="99"/>
        <w:gridCol w:w="1679"/>
        <w:gridCol w:w="36"/>
      </w:tblGrid>
      <w:tr w:rsidR="00E836FB" w14:paraId="5F2CCF56" w14:textId="77777777">
        <w:tc>
          <w:tcPr>
            <w:tcW w:w="50" w:type="pct"/>
            <w:shd w:val="clear" w:color="auto" w:fill="auto"/>
            <w:vAlign w:val="bottom"/>
          </w:tcPr>
          <w:p w14:paraId="5F2CCF44" w14:textId="77777777" w:rsidR="00E836FB" w:rsidRDefault="00E836FB">
            <w:pPr>
              <w:rPr>
                <w:rFonts w:ascii="宋体"/>
              </w:rPr>
            </w:pPr>
          </w:p>
        </w:tc>
        <w:tc>
          <w:tcPr>
            <w:tcW w:w="1438" w:type="pct"/>
            <w:shd w:val="clear" w:color="auto" w:fill="auto"/>
            <w:vAlign w:val="bottom"/>
          </w:tcPr>
          <w:p w14:paraId="5F2CCF45" w14:textId="77777777" w:rsidR="00E836FB" w:rsidRDefault="00E836FB">
            <w:pPr>
              <w:rPr>
                <w:rFonts w:ascii="宋体"/>
              </w:rPr>
            </w:pPr>
          </w:p>
        </w:tc>
        <w:tc>
          <w:tcPr>
            <w:tcW w:w="5" w:type="pct"/>
            <w:shd w:val="clear" w:color="auto" w:fill="auto"/>
            <w:vAlign w:val="bottom"/>
          </w:tcPr>
          <w:p w14:paraId="5F2CCF46" w14:textId="77777777" w:rsidR="00E836FB" w:rsidRDefault="00E836FB">
            <w:pPr>
              <w:rPr>
                <w:rFonts w:ascii="宋体"/>
              </w:rPr>
            </w:pPr>
          </w:p>
        </w:tc>
        <w:tc>
          <w:tcPr>
            <w:tcW w:w="50" w:type="pct"/>
            <w:shd w:val="clear" w:color="auto" w:fill="auto"/>
            <w:vAlign w:val="bottom"/>
          </w:tcPr>
          <w:p w14:paraId="5F2CCF47" w14:textId="77777777" w:rsidR="00E836FB" w:rsidRDefault="00E836FB">
            <w:pPr>
              <w:rPr>
                <w:rFonts w:ascii="宋体"/>
              </w:rPr>
            </w:pPr>
          </w:p>
        </w:tc>
        <w:tc>
          <w:tcPr>
            <w:tcW w:w="1077" w:type="pct"/>
            <w:shd w:val="clear" w:color="auto" w:fill="auto"/>
            <w:vAlign w:val="bottom"/>
          </w:tcPr>
          <w:p w14:paraId="5F2CCF48" w14:textId="77777777" w:rsidR="00E836FB" w:rsidRDefault="00E836FB">
            <w:pPr>
              <w:rPr>
                <w:rFonts w:ascii="宋体"/>
              </w:rPr>
            </w:pPr>
          </w:p>
        </w:tc>
        <w:tc>
          <w:tcPr>
            <w:tcW w:w="5" w:type="pct"/>
            <w:shd w:val="clear" w:color="auto" w:fill="auto"/>
            <w:vAlign w:val="bottom"/>
          </w:tcPr>
          <w:p w14:paraId="5F2CCF49" w14:textId="77777777" w:rsidR="00E836FB" w:rsidRDefault="00E836FB">
            <w:pPr>
              <w:rPr>
                <w:rFonts w:ascii="宋体"/>
              </w:rPr>
            </w:pPr>
          </w:p>
        </w:tc>
        <w:tc>
          <w:tcPr>
            <w:tcW w:w="5" w:type="pct"/>
            <w:shd w:val="clear" w:color="auto" w:fill="auto"/>
            <w:vAlign w:val="bottom"/>
          </w:tcPr>
          <w:p w14:paraId="5F2CCF4A" w14:textId="77777777" w:rsidR="00E836FB" w:rsidRDefault="00E836FB">
            <w:pPr>
              <w:rPr>
                <w:rFonts w:ascii="宋体"/>
              </w:rPr>
            </w:pPr>
          </w:p>
        </w:tc>
        <w:tc>
          <w:tcPr>
            <w:tcW w:w="68" w:type="pct"/>
            <w:shd w:val="clear" w:color="auto" w:fill="auto"/>
            <w:vAlign w:val="bottom"/>
          </w:tcPr>
          <w:p w14:paraId="5F2CCF4B" w14:textId="77777777" w:rsidR="00E836FB" w:rsidRDefault="00E836FB">
            <w:pPr>
              <w:rPr>
                <w:rFonts w:ascii="宋体"/>
              </w:rPr>
            </w:pPr>
          </w:p>
        </w:tc>
        <w:tc>
          <w:tcPr>
            <w:tcW w:w="5" w:type="pct"/>
            <w:shd w:val="clear" w:color="auto" w:fill="auto"/>
            <w:vAlign w:val="bottom"/>
          </w:tcPr>
          <w:p w14:paraId="5F2CCF4C" w14:textId="77777777" w:rsidR="00E836FB" w:rsidRDefault="00E836FB">
            <w:pPr>
              <w:rPr>
                <w:rFonts w:ascii="宋体"/>
              </w:rPr>
            </w:pPr>
          </w:p>
        </w:tc>
        <w:tc>
          <w:tcPr>
            <w:tcW w:w="50" w:type="pct"/>
            <w:shd w:val="clear" w:color="auto" w:fill="auto"/>
            <w:vAlign w:val="bottom"/>
          </w:tcPr>
          <w:p w14:paraId="5F2CCF4D" w14:textId="77777777" w:rsidR="00E836FB" w:rsidRDefault="00E836FB">
            <w:pPr>
              <w:rPr>
                <w:rFonts w:ascii="宋体"/>
              </w:rPr>
            </w:pPr>
          </w:p>
        </w:tc>
        <w:tc>
          <w:tcPr>
            <w:tcW w:w="1077" w:type="pct"/>
            <w:shd w:val="clear" w:color="auto" w:fill="auto"/>
            <w:vAlign w:val="bottom"/>
          </w:tcPr>
          <w:p w14:paraId="5F2CCF4E" w14:textId="77777777" w:rsidR="00E836FB" w:rsidRDefault="00E836FB">
            <w:pPr>
              <w:rPr>
                <w:rFonts w:ascii="宋体"/>
              </w:rPr>
            </w:pPr>
          </w:p>
        </w:tc>
        <w:tc>
          <w:tcPr>
            <w:tcW w:w="5" w:type="pct"/>
            <w:shd w:val="clear" w:color="auto" w:fill="auto"/>
            <w:vAlign w:val="bottom"/>
          </w:tcPr>
          <w:p w14:paraId="5F2CCF4F" w14:textId="77777777" w:rsidR="00E836FB" w:rsidRDefault="00E836FB">
            <w:pPr>
              <w:rPr>
                <w:rFonts w:ascii="宋体"/>
              </w:rPr>
            </w:pPr>
          </w:p>
        </w:tc>
        <w:tc>
          <w:tcPr>
            <w:tcW w:w="5" w:type="pct"/>
            <w:shd w:val="clear" w:color="auto" w:fill="auto"/>
            <w:vAlign w:val="bottom"/>
          </w:tcPr>
          <w:p w14:paraId="5F2CCF50" w14:textId="77777777" w:rsidR="00E836FB" w:rsidRDefault="00E836FB">
            <w:pPr>
              <w:rPr>
                <w:rFonts w:ascii="宋体"/>
              </w:rPr>
            </w:pPr>
          </w:p>
        </w:tc>
        <w:tc>
          <w:tcPr>
            <w:tcW w:w="68" w:type="pct"/>
            <w:shd w:val="clear" w:color="auto" w:fill="auto"/>
            <w:vAlign w:val="bottom"/>
          </w:tcPr>
          <w:p w14:paraId="5F2CCF51" w14:textId="77777777" w:rsidR="00E836FB" w:rsidRDefault="00E836FB">
            <w:pPr>
              <w:rPr>
                <w:rFonts w:ascii="宋体"/>
              </w:rPr>
            </w:pPr>
          </w:p>
        </w:tc>
        <w:tc>
          <w:tcPr>
            <w:tcW w:w="5" w:type="pct"/>
            <w:shd w:val="clear" w:color="auto" w:fill="auto"/>
            <w:vAlign w:val="bottom"/>
          </w:tcPr>
          <w:p w14:paraId="5F2CCF52" w14:textId="77777777" w:rsidR="00E836FB" w:rsidRDefault="00E836FB">
            <w:pPr>
              <w:rPr>
                <w:rFonts w:ascii="宋体"/>
              </w:rPr>
            </w:pPr>
          </w:p>
        </w:tc>
        <w:tc>
          <w:tcPr>
            <w:tcW w:w="50" w:type="pct"/>
            <w:shd w:val="clear" w:color="auto" w:fill="auto"/>
            <w:vAlign w:val="bottom"/>
          </w:tcPr>
          <w:p w14:paraId="5F2CCF53" w14:textId="77777777" w:rsidR="00E836FB" w:rsidRDefault="00E836FB">
            <w:pPr>
              <w:rPr>
                <w:rFonts w:ascii="宋体"/>
              </w:rPr>
            </w:pPr>
          </w:p>
        </w:tc>
        <w:tc>
          <w:tcPr>
            <w:tcW w:w="1030" w:type="pct"/>
            <w:shd w:val="clear" w:color="auto" w:fill="auto"/>
            <w:vAlign w:val="bottom"/>
          </w:tcPr>
          <w:p w14:paraId="5F2CCF54" w14:textId="77777777" w:rsidR="00E836FB" w:rsidRDefault="00E836FB">
            <w:pPr>
              <w:rPr>
                <w:rFonts w:ascii="宋体"/>
              </w:rPr>
            </w:pPr>
          </w:p>
        </w:tc>
        <w:tc>
          <w:tcPr>
            <w:tcW w:w="5" w:type="pct"/>
            <w:shd w:val="clear" w:color="auto" w:fill="auto"/>
            <w:vAlign w:val="bottom"/>
          </w:tcPr>
          <w:p w14:paraId="5F2CCF55" w14:textId="77777777" w:rsidR="00E836FB" w:rsidRDefault="00E836FB">
            <w:pPr>
              <w:rPr>
                <w:rFonts w:ascii="宋体"/>
              </w:rPr>
            </w:pPr>
          </w:p>
        </w:tc>
      </w:tr>
      <w:tr w:rsidR="00E836FB" w14:paraId="5F2CCF58" w14:textId="77777777">
        <w:tc>
          <w:tcPr>
            <w:tcW w:w="0" w:type="auto"/>
            <w:gridSpan w:val="18"/>
            <w:shd w:val="clear" w:color="auto" w:fill="auto"/>
            <w:tcMar>
              <w:top w:w="40" w:type="dxa"/>
              <w:left w:w="20" w:type="dxa"/>
              <w:bottom w:w="40" w:type="dxa"/>
              <w:right w:w="20" w:type="dxa"/>
            </w:tcMar>
            <w:vAlign w:val="bottom"/>
          </w:tcPr>
          <w:p w14:paraId="5F2CCF57" w14:textId="77777777" w:rsidR="00E836FB" w:rsidRDefault="00994958">
            <w:pPr>
              <w:textAlignment w:val="bottom"/>
            </w:pPr>
            <w:r>
              <w:rPr>
                <w:rFonts w:ascii="Arial" w:eastAsia="宋体" w:hAnsi="Arial" w:cs="Arial"/>
                <w:b/>
                <w:bCs/>
                <w:color w:val="000000"/>
                <w:sz w:val="16"/>
                <w:szCs w:val="16"/>
              </w:rPr>
              <w:t xml:space="preserve">TABLE 30: CROSS-BORDER </w:t>
            </w:r>
            <w:r>
              <w:rPr>
                <w:rFonts w:ascii="Arial" w:eastAsia="宋体" w:hAnsi="Arial" w:cs="Arial"/>
                <w:b/>
                <w:bCs/>
                <w:color w:val="000000"/>
                <w:sz w:val="16"/>
                <w:szCs w:val="16"/>
              </w:rPr>
              <w:t>OUTSTANDINGS</w:t>
            </w:r>
            <w:r>
              <w:rPr>
                <w:rFonts w:ascii="Arial" w:eastAsia="宋体" w:hAnsi="Arial" w:cs="Arial"/>
                <w:b/>
                <w:bCs/>
                <w:color w:val="000000"/>
                <w:sz w:val="10"/>
                <w:szCs w:val="10"/>
              </w:rPr>
              <w:t>(1)</w:t>
            </w:r>
          </w:p>
        </w:tc>
      </w:tr>
      <w:tr w:rsidR="00E836FB" w14:paraId="5F2CCF5F" w14:textId="77777777">
        <w:tc>
          <w:tcPr>
            <w:tcW w:w="0" w:type="auto"/>
            <w:gridSpan w:val="3"/>
            <w:shd w:val="clear" w:color="auto" w:fill="auto"/>
            <w:tcMar>
              <w:top w:w="40" w:type="dxa"/>
              <w:left w:w="20" w:type="dxa"/>
              <w:bottom w:w="40" w:type="dxa"/>
              <w:right w:w="20" w:type="dxa"/>
            </w:tcMar>
            <w:vAlign w:val="bottom"/>
          </w:tcPr>
          <w:p w14:paraId="5F2CCF59"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CCF5A" w14:textId="77777777" w:rsidR="00E836FB" w:rsidRDefault="00994958">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5F2CCF5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F5C" w14:textId="77777777" w:rsidR="00E836FB" w:rsidRDefault="00994958">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top w:w="0" w:type="dxa"/>
              <w:left w:w="20" w:type="dxa"/>
              <w:bottom w:w="0" w:type="dxa"/>
              <w:right w:w="20" w:type="dxa"/>
            </w:tcMar>
            <w:vAlign w:val="bottom"/>
          </w:tcPr>
          <w:p w14:paraId="5F2CCF5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F5E" w14:textId="77777777" w:rsidR="00E836FB" w:rsidRDefault="00994958">
            <w:pPr>
              <w:jc w:val="center"/>
              <w:textAlignment w:val="bottom"/>
            </w:pPr>
            <w:r>
              <w:rPr>
                <w:rFonts w:ascii="Arial" w:eastAsia="宋体" w:hAnsi="Arial" w:cs="Arial"/>
                <w:b/>
                <w:bCs/>
                <w:color w:val="000000"/>
                <w:sz w:val="14"/>
                <w:szCs w:val="14"/>
              </w:rPr>
              <w:t>Total Cross-Border Outstandings</w:t>
            </w:r>
          </w:p>
        </w:tc>
      </w:tr>
      <w:tr w:rsidR="00E836FB" w14:paraId="5F2CCF66" w14:textId="77777777">
        <w:tc>
          <w:tcPr>
            <w:tcW w:w="0" w:type="auto"/>
            <w:gridSpan w:val="3"/>
            <w:shd w:val="clear" w:color="auto" w:fill="auto"/>
            <w:tcMar>
              <w:top w:w="40" w:type="dxa"/>
              <w:left w:w="20" w:type="dxa"/>
              <w:bottom w:w="40" w:type="dxa"/>
              <w:right w:w="20" w:type="dxa"/>
            </w:tcMar>
            <w:vAlign w:val="bottom"/>
          </w:tcPr>
          <w:p w14:paraId="5F2CCF60" w14:textId="77777777" w:rsidR="00E836FB" w:rsidRDefault="00994958">
            <w:pPr>
              <w:textAlignment w:val="bottom"/>
            </w:pPr>
            <w:r>
              <w:rPr>
                <w:rFonts w:ascii="Arial" w:eastAsia="宋体" w:hAnsi="Arial" w:cs="Arial"/>
                <w:b/>
                <w:bCs/>
                <w:color w:val="000000"/>
                <w:sz w:val="14"/>
                <w:szCs w:val="14"/>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F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F6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F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F6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CF65" w14:textId="77777777" w:rsidR="00E836FB" w:rsidRDefault="00E836FB">
            <w:pPr>
              <w:rPr>
                <w:rFonts w:ascii="宋体"/>
              </w:rPr>
            </w:pPr>
          </w:p>
        </w:tc>
      </w:tr>
      <w:tr w:rsidR="00E836FB" w14:paraId="5F2CCF73" w14:textId="77777777">
        <w:tc>
          <w:tcPr>
            <w:tcW w:w="0" w:type="auto"/>
            <w:gridSpan w:val="3"/>
            <w:shd w:val="clear" w:color="auto" w:fill="CCEEFF"/>
            <w:tcMar>
              <w:top w:w="40" w:type="dxa"/>
              <w:left w:w="20" w:type="dxa"/>
              <w:bottom w:w="40" w:type="dxa"/>
              <w:right w:w="20" w:type="dxa"/>
            </w:tcMar>
            <w:vAlign w:val="bottom"/>
          </w:tcPr>
          <w:p w14:paraId="5F2CCF67" w14:textId="77777777" w:rsidR="00E836FB" w:rsidRDefault="00994958">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5F2CCF6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F69" w14:textId="77777777" w:rsidR="00E836FB" w:rsidRDefault="00994958">
            <w:pPr>
              <w:jc w:val="right"/>
              <w:textAlignment w:val="bottom"/>
            </w:pPr>
            <w:r>
              <w:rPr>
                <w:rFonts w:ascii="Arial" w:eastAsia="宋体" w:hAnsi="Arial" w:cs="Arial"/>
                <w:b/>
                <w:bCs/>
                <w:color w:val="000000"/>
                <w:sz w:val="14"/>
                <w:szCs w:val="14"/>
              </w:rPr>
              <w:t>30,263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6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F6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F6D" w14:textId="77777777" w:rsidR="00E836FB" w:rsidRDefault="00994958">
            <w:pPr>
              <w:jc w:val="right"/>
              <w:textAlignment w:val="bottom"/>
            </w:pPr>
            <w:r>
              <w:rPr>
                <w:rFonts w:ascii="Arial" w:eastAsia="宋体" w:hAnsi="Arial" w:cs="Arial"/>
                <w:b/>
                <w:bCs/>
                <w:color w:val="000000"/>
                <w:sz w:val="14"/>
                <w:szCs w:val="14"/>
              </w:rPr>
              <w:t>202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6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F7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CF71" w14:textId="77777777" w:rsidR="00E836FB" w:rsidRDefault="00994958">
            <w:pPr>
              <w:jc w:val="right"/>
              <w:textAlignment w:val="bottom"/>
            </w:pPr>
            <w:r>
              <w:rPr>
                <w:rFonts w:ascii="Arial" w:eastAsia="宋体" w:hAnsi="Arial" w:cs="Arial"/>
                <w:b/>
                <w:bCs/>
                <w:color w:val="000000"/>
                <w:sz w:val="14"/>
                <w:szCs w:val="14"/>
              </w:rPr>
              <w:t>30,465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72" w14:textId="77777777" w:rsidR="00E836FB" w:rsidRDefault="00E836FB">
            <w:pPr>
              <w:jc w:val="right"/>
              <w:rPr>
                <w:rFonts w:ascii="宋体"/>
              </w:rPr>
            </w:pPr>
          </w:p>
        </w:tc>
      </w:tr>
      <w:tr w:rsidR="00E836FB" w14:paraId="5F2CCF7D" w14:textId="77777777">
        <w:tc>
          <w:tcPr>
            <w:tcW w:w="0" w:type="auto"/>
            <w:gridSpan w:val="3"/>
            <w:shd w:val="clear" w:color="auto" w:fill="FFFFFF"/>
            <w:tcMar>
              <w:top w:w="40" w:type="dxa"/>
              <w:left w:w="20" w:type="dxa"/>
              <w:bottom w:w="40" w:type="dxa"/>
              <w:right w:w="20" w:type="dxa"/>
            </w:tcMar>
            <w:vAlign w:val="bottom"/>
          </w:tcPr>
          <w:p w14:paraId="5F2CCF74" w14:textId="77777777" w:rsidR="00E836FB" w:rsidRDefault="00994958">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5F2CCF75" w14:textId="77777777" w:rsidR="00E836FB" w:rsidRDefault="00994958">
            <w:pPr>
              <w:jc w:val="right"/>
              <w:textAlignment w:val="bottom"/>
            </w:pPr>
            <w:r>
              <w:rPr>
                <w:rFonts w:ascii="Arial" w:eastAsia="宋体" w:hAnsi="Arial" w:cs="Arial"/>
                <w:b/>
                <w:bCs/>
                <w:color w:val="000000"/>
                <w:sz w:val="14"/>
                <w:szCs w:val="14"/>
              </w:rPr>
              <w:t>13,075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7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7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78" w14:textId="77777777" w:rsidR="00E836FB" w:rsidRDefault="00994958">
            <w:pPr>
              <w:jc w:val="right"/>
              <w:textAlignment w:val="bottom"/>
            </w:pPr>
            <w:r>
              <w:rPr>
                <w:rFonts w:ascii="Arial" w:eastAsia="宋体" w:hAnsi="Arial" w:cs="Arial"/>
                <w:b/>
                <w:bCs/>
                <w:color w:val="000000"/>
                <w:sz w:val="14"/>
                <w:szCs w:val="14"/>
              </w:rPr>
              <w:t>1,287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7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7B" w14:textId="77777777" w:rsidR="00E836FB" w:rsidRDefault="00994958">
            <w:pPr>
              <w:jc w:val="right"/>
              <w:textAlignment w:val="bottom"/>
            </w:pPr>
            <w:r>
              <w:rPr>
                <w:rFonts w:ascii="Arial" w:eastAsia="宋体" w:hAnsi="Arial" w:cs="Arial"/>
                <w:b/>
                <w:bCs/>
                <w:color w:val="000000"/>
                <w:sz w:val="14"/>
                <w:szCs w:val="14"/>
              </w:rPr>
              <w:t>14,362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7C" w14:textId="77777777" w:rsidR="00E836FB" w:rsidRDefault="00E836FB">
            <w:pPr>
              <w:jc w:val="right"/>
              <w:rPr>
                <w:rFonts w:ascii="宋体"/>
              </w:rPr>
            </w:pPr>
          </w:p>
        </w:tc>
      </w:tr>
      <w:tr w:rsidR="00E836FB" w14:paraId="5F2CCF87" w14:textId="77777777">
        <w:tc>
          <w:tcPr>
            <w:tcW w:w="0" w:type="auto"/>
            <w:gridSpan w:val="3"/>
            <w:shd w:val="clear" w:color="auto" w:fill="CCEEFF"/>
            <w:tcMar>
              <w:top w:w="40" w:type="dxa"/>
              <w:left w:w="20" w:type="dxa"/>
              <w:bottom w:w="40" w:type="dxa"/>
              <w:right w:w="20" w:type="dxa"/>
            </w:tcMar>
            <w:vAlign w:val="bottom"/>
          </w:tcPr>
          <w:p w14:paraId="5F2CCF7E" w14:textId="77777777" w:rsidR="00E836FB" w:rsidRDefault="00994958">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5F2CCF7F" w14:textId="77777777" w:rsidR="00E836FB" w:rsidRDefault="00994958">
            <w:pPr>
              <w:jc w:val="right"/>
              <w:textAlignment w:val="bottom"/>
            </w:pPr>
            <w:r>
              <w:rPr>
                <w:rFonts w:ascii="Arial" w:eastAsia="宋体" w:hAnsi="Arial" w:cs="Arial"/>
                <w:b/>
                <w:bCs/>
                <w:color w:val="000000"/>
                <w:sz w:val="14"/>
                <w:szCs w:val="14"/>
              </w:rPr>
              <w:t>10,713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8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82" w14:textId="77777777" w:rsidR="00E836FB" w:rsidRDefault="00994958">
            <w:pPr>
              <w:jc w:val="right"/>
              <w:textAlignment w:val="bottom"/>
            </w:pPr>
            <w:r>
              <w:rPr>
                <w:rFonts w:ascii="Arial" w:eastAsia="宋体" w:hAnsi="Arial" w:cs="Arial"/>
                <w:b/>
                <w:bCs/>
                <w:color w:val="000000"/>
                <w:sz w:val="14"/>
                <w:szCs w:val="14"/>
              </w:rPr>
              <w:t>878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8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85" w14:textId="77777777" w:rsidR="00E836FB" w:rsidRDefault="00994958">
            <w:pPr>
              <w:jc w:val="right"/>
              <w:textAlignment w:val="bottom"/>
            </w:pPr>
            <w:r>
              <w:rPr>
                <w:rFonts w:ascii="Arial" w:eastAsia="宋体" w:hAnsi="Arial" w:cs="Arial"/>
                <w:b/>
                <w:bCs/>
                <w:color w:val="000000"/>
                <w:sz w:val="14"/>
                <w:szCs w:val="14"/>
              </w:rPr>
              <w:t>11,591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86" w14:textId="77777777" w:rsidR="00E836FB" w:rsidRDefault="00E836FB">
            <w:pPr>
              <w:jc w:val="right"/>
              <w:rPr>
                <w:rFonts w:ascii="宋体"/>
              </w:rPr>
            </w:pPr>
          </w:p>
        </w:tc>
      </w:tr>
      <w:tr w:rsidR="00E836FB" w14:paraId="5F2CCF91" w14:textId="77777777">
        <w:tc>
          <w:tcPr>
            <w:tcW w:w="0" w:type="auto"/>
            <w:gridSpan w:val="3"/>
            <w:shd w:val="clear" w:color="auto" w:fill="FFFFFF"/>
            <w:tcMar>
              <w:top w:w="40" w:type="dxa"/>
              <w:left w:w="20" w:type="dxa"/>
              <w:bottom w:w="40" w:type="dxa"/>
              <w:right w:w="20" w:type="dxa"/>
            </w:tcMar>
            <w:vAlign w:val="bottom"/>
          </w:tcPr>
          <w:p w14:paraId="5F2CCF88" w14:textId="77777777" w:rsidR="00E836FB" w:rsidRDefault="00994958">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5F2CCF89" w14:textId="77777777" w:rsidR="00E836FB" w:rsidRDefault="00994958">
            <w:pPr>
              <w:jc w:val="right"/>
              <w:textAlignment w:val="bottom"/>
            </w:pPr>
            <w:r>
              <w:rPr>
                <w:rFonts w:ascii="Arial" w:eastAsia="宋体" w:hAnsi="Arial" w:cs="Arial"/>
                <w:b/>
                <w:bCs/>
                <w:color w:val="000000"/>
                <w:sz w:val="14"/>
                <w:szCs w:val="14"/>
              </w:rPr>
              <w:t>8,201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8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8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8C" w14:textId="77777777" w:rsidR="00E836FB" w:rsidRDefault="00994958">
            <w:pPr>
              <w:jc w:val="right"/>
              <w:textAlignment w:val="bottom"/>
            </w:pPr>
            <w:r>
              <w:rPr>
                <w:rFonts w:ascii="Arial" w:eastAsia="宋体" w:hAnsi="Arial" w:cs="Arial"/>
                <w:b/>
                <w:bCs/>
                <w:color w:val="000000"/>
                <w:sz w:val="14"/>
                <w:szCs w:val="14"/>
              </w:rPr>
              <w:t>999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8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8F" w14:textId="77777777" w:rsidR="00E836FB" w:rsidRDefault="00994958">
            <w:pPr>
              <w:jc w:val="right"/>
              <w:textAlignment w:val="bottom"/>
            </w:pPr>
            <w:r>
              <w:rPr>
                <w:rFonts w:ascii="Arial" w:eastAsia="宋体" w:hAnsi="Arial" w:cs="Arial"/>
                <w:b/>
                <w:bCs/>
                <w:color w:val="000000"/>
                <w:sz w:val="14"/>
                <w:szCs w:val="14"/>
              </w:rPr>
              <w:t>9,200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90" w14:textId="77777777" w:rsidR="00E836FB" w:rsidRDefault="00E836FB">
            <w:pPr>
              <w:jc w:val="right"/>
              <w:rPr>
                <w:rFonts w:ascii="宋体"/>
              </w:rPr>
            </w:pPr>
          </w:p>
        </w:tc>
      </w:tr>
      <w:tr w:rsidR="00E836FB" w14:paraId="5F2CCF9B" w14:textId="77777777">
        <w:tc>
          <w:tcPr>
            <w:tcW w:w="0" w:type="auto"/>
            <w:gridSpan w:val="3"/>
            <w:shd w:val="clear" w:color="auto" w:fill="CCEEFF"/>
            <w:tcMar>
              <w:top w:w="40" w:type="dxa"/>
              <w:left w:w="20" w:type="dxa"/>
              <w:bottom w:w="40" w:type="dxa"/>
              <w:right w:w="20" w:type="dxa"/>
            </w:tcMar>
            <w:vAlign w:val="bottom"/>
          </w:tcPr>
          <w:p w14:paraId="5F2CCF92" w14:textId="77777777" w:rsidR="00E836FB" w:rsidRDefault="00994958">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F2CCF93" w14:textId="77777777" w:rsidR="00E836FB" w:rsidRDefault="00994958">
            <w:pPr>
              <w:jc w:val="right"/>
              <w:textAlignment w:val="bottom"/>
            </w:pPr>
            <w:r>
              <w:rPr>
                <w:rFonts w:ascii="Arial" w:eastAsia="宋体" w:hAnsi="Arial" w:cs="Arial"/>
                <w:b/>
                <w:bCs/>
                <w:color w:val="000000"/>
                <w:sz w:val="14"/>
                <w:szCs w:val="14"/>
              </w:rPr>
              <w:t>6,862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9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96" w14:textId="77777777" w:rsidR="00E836FB" w:rsidRDefault="00994958">
            <w:pPr>
              <w:jc w:val="right"/>
              <w:textAlignment w:val="bottom"/>
            </w:pPr>
            <w:r>
              <w:rPr>
                <w:rFonts w:ascii="Arial" w:eastAsia="宋体" w:hAnsi="Arial" w:cs="Arial"/>
                <w:b/>
                <w:bCs/>
                <w:color w:val="000000"/>
                <w:sz w:val="14"/>
                <w:szCs w:val="14"/>
              </w:rPr>
              <w:t>534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99" w14:textId="77777777" w:rsidR="00E836FB" w:rsidRDefault="00994958">
            <w:pPr>
              <w:jc w:val="right"/>
              <w:textAlignment w:val="bottom"/>
            </w:pPr>
            <w:r>
              <w:rPr>
                <w:rFonts w:ascii="Arial" w:eastAsia="宋体" w:hAnsi="Arial" w:cs="Arial"/>
                <w:b/>
                <w:bCs/>
                <w:color w:val="000000"/>
                <w:sz w:val="14"/>
                <w:szCs w:val="14"/>
              </w:rPr>
              <w:t>7,396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9A" w14:textId="77777777" w:rsidR="00E836FB" w:rsidRDefault="00E836FB">
            <w:pPr>
              <w:jc w:val="right"/>
              <w:rPr>
                <w:rFonts w:ascii="宋体"/>
              </w:rPr>
            </w:pPr>
          </w:p>
        </w:tc>
      </w:tr>
      <w:tr w:rsidR="00E836FB" w14:paraId="5F2CCFA5" w14:textId="77777777">
        <w:tc>
          <w:tcPr>
            <w:tcW w:w="0" w:type="auto"/>
            <w:gridSpan w:val="3"/>
            <w:shd w:val="clear" w:color="auto" w:fill="FFFFFF"/>
            <w:tcMar>
              <w:top w:w="40" w:type="dxa"/>
              <w:left w:w="20" w:type="dxa"/>
              <w:bottom w:w="40" w:type="dxa"/>
              <w:right w:w="20" w:type="dxa"/>
            </w:tcMar>
            <w:vAlign w:val="bottom"/>
          </w:tcPr>
          <w:p w14:paraId="5F2CCF9C" w14:textId="77777777" w:rsidR="00E836FB" w:rsidRDefault="00994958">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5F2CCF9D" w14:textId="77777777" w:rsidR="00E836FB" w:rsidRDefault="00994958">
            <w:pPr>
              <w:jc w:val="right"/>
              <w:textAlignment w:val="bottom"/>
            </w:pPr>
            <w:r>
              <w:rPr>
                <w:rFonts w:ascii="Arial" w:eastAsia="宋体" w:hAnsi="Arial" w:cs="Arial"/>
                <w:b/>
                <w:bCs/>
                <w:color w:val="000000"/>
                <w:sz w:val="14"/>
                <w:szCs w:val="14"/>
              </w:rPr>
              <w:t>6,300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9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A0" w14:textId="77777777" w:rsidR="00E836FB" w:rsidRDefault="00994958">
            <w:pPr>
              <w:jc w:val="right"/>
              <w:textAlignment w:val="bottom"/>
            </w:pPr>
            <w:r>
              <w:rPr>
                <w:rFonts w:ascii="Arial" w:eastAsia="宋体" w:hAnsi="Arial" w:cs="Arial"/>
                <w:b/>
                <w:bCs/>
                <w:color w:val="000000"/>
                <w:sz w:val="14"/>
                <w:szCs w:val="14"/>
              </w:rPr>
              <w:t>601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A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A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A3" w14:textId="77777777" w:rsidR="00E836FB" w:rsidRDefault="00994958">
            <w:pPr>
              <w:jc w:val="right"/>
              <w:textAlignment w:val="bottom"/>
            </w:pPr>
            <w:r>
              <w:rPr>
                <w:rFonts w:ascii="Arial" w:eastAsia="宋体" w:hAnsi="Arial" w:cs="Arial"/>
                <w:b/>
                <w:bCs/>
                <w:color w:val="000000"/>
                <w:sz w:val="14"/>
                <w:szCs w:val="14"/>
              </w:rPr>
              <w:t>6,901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CFA4" w14:textId="77777777" w:rsidR="00E836FB" w:rsidRDefault="00E836FB">
            <w:pPr>
              <w:jc w:val="right"/>
              <w:rPr>
                <w:rFonts w:ascii="宋体"/>
              </w:rPr>
            </w:pPr>
          </w:p>
        </w:tc>
      </w:tr>
      <w:tr w:rsidR="00E836FB" w14:paraId="5F2CCFAF" w14:textId="77777777">
        <w:tc>
          <w:tcPr>
            <w:tcW w:w="0" w:type="auto"/>
            <w:gridSpan w:val="3"/>
            <w:shd w:val="clear" w:color="auto" w:fill="CCEEFF"/>
            <w:tcMar>
              <w:top w:w="40" w:type="dxa"/>
              <w:left w:w="20" w:type="dxa"/>
              <w:bottom w:w="40" w:type="dxa"/>
              <w:right w:w="20" w:type="dxa"/>
            </w:tcMar>
            <w:vAlign w:val="bottom"/>
          </w:tcPr>
          <w:p w14:paraId="5F2CCFA6" w14:textId="77777777" w:rsidR="00E836FB" w:rsidRDefault="00994958">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5F2CCFA7" w14:textId="77777777" w:rsidR="00E836FB" w:rsidRDefault="00994958">
            <w:pPr>
              <w:jc w:val="right"/>
              <w:textAlignment w:val="bottom"/>
            </w:pPr>
            <w:r>
              <w:rPr>
                <w:rFonts w:ascii="Arial" w:eastAsia="宋体" w:hAnsi="Arial" w:cs="Arial"/>
                <w:b/>
                <w:bCs/>
                <w:color w:val="000000"/>
                <w:sz w:val="14"/>
                <w:szCs w:val="14"/>
              </w:rPr>
              <w:t>2,822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A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AA" w14:textId="77777777" w:rsidR="00E836FB" w:rsidRDefault="00994958">
            <w:pPr>
              <w:jc w:val="right"/>
              <w:textAlignment w:val="bottom"/>
            </w:pPr>
            <w:r>
              <w:rPr>
                <w:rFonts w:ascii="Arial" w:eastAsia="宋体" w:hAnsi="Arial" w:cs="Arial"/>
                <w:b/>
                <w:bCs/>
                <w:color w:val="000000"/>
                <w:sz w:val="14"/>
                <w:szCs w:val="14"/>
              </w:rPr>
              <w:t>852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A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AD" w14:textId="77777777" w:rsidR="00E836FB" w:rsidRDefault="00994958">
            <w:pPr>
              <w:jc w:val="right"/>
              <w:textAlignment w:val="bottom"/>
            </w:pPr>
            <w:r>
              <w:rPr>
                <w:rFonts w:ascii="Arial" w:eastAsia="宋体" w:hAnsi="Arial" w:cs="Arial"/>
                <w:b/>
                <w:bCs/>
                <w:color w:val="000000"/>
                <w:sz w:val="14"/>
                <w:szCs w:val="14"/>
              </w:rPr>
              <w:t>3,674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CFAE" w14:textId="77777777" w:rsidR="00E836FB" w:rsidRDefault="00E836FB">
            <w:pPr>
              <w:jc w:val="right"/>
              <w:rPr>
                <w:rFonts w:ascii="宋体"/>
              </w:rPr>
            </w:pPr>
          </w:p>
        </w:tc>
      </w:tr>
      <w:tr w:rsidR="00E836FB" w14:paraId="5F2CCFB6" w14:textId="77777777">
        <w:tc>
          <w:tcPr>
            <w:tcW w:w="0" w:type="auto"/>
            <w:gridSpan w:val="3"/>
            <w:shd w:val="clear" w:color="auto" w:fill="auto"/>
            <w:tcMar>
              <w:top w:w="40" w:type="dxa"/>
              <w:left w:w="20" w:type="dxa"/>
              <w:bottom w:w="40" w:type="dxa"/>
              <w:right w:w="20" w:type="dxa"/>
            </w:tcMar>
            <w:vAlign w:val="bottom"/>
          </w:tcPr>
          <w:p w14:paraId="5F2CCFB0" w14:textId="77777777" w:rsidR="00E836FB" w:rsidRDefault="00994958">
            <w:pPr>
              <w:textAlignment w:val="bottom"/>
            </w:pPr>
            <w:r>
              <w:rPr>
                <w:rFonts w:ascii="Arial" w:eastAsia="宋体" w:hAnsi="Arial" w:cs="Arial"/>
                <w:b/>
                <w:bCs/>
                <w:color w:val="000000"/>
                <w:sz w:val="14"/>
                <w:szCs w:val="14"/>
              </w:rPr>
              <w:t>December 31, 2020</w:t>
            </w:r>
          </w:p>
        </w:tc>
        <w:tc>
          <w:tcPr>
            <w:tcW w:w="0" w:type="auto"/>
            <w:gridSpan w:val="3"/>
            <w:shd w:val="clear" w:color="auto" w:fill="auto"/>
            <w:tcMar>
              <w:top w:w="40" w:type="dxa"/>
              <w:left w:w="20" w:type="dxa"/>
              <w:bottom w:w="40" w:type="dxa"/>
              <w:right w:w="20" w:type="dxa"/>
            </w:tcMar>
            <w:vAlign w:val="bottom"/>
          </w:tcPr>
          <w:p w14:paraId="5F2CCFB1" w14:textId="77777777" w:rsidR="00E836FB" w:rsidRDefault="00994958">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vAlign w:val="bottom"/>
          </w:tcPr>
          <w:p w14:paraId="5F2CCFB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FB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CFB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CFB5" w14:textId="77777777" w:rsidR="00E836FB" w:rsidRDefault="00994958">
            <w:pPr>
              <w:textAlignment w:val="bottom"/>
            </w:pPr>
            <w:r>
              <w:rPr>
                <w:rFonts w:ascii="Arial" w:eastAsia="宋体" w:hAnsi="Arial" w:cs="Arial"/>
                <w:color w:val="000000"/>
                <w:sz w:val="14"/>
                <w:szCs w:val="14"/>
              </w:rPr>
              <w:t> </w:t>
            </w:r>
          </w:p>
        </w:tc>
      </w:tr>
      <w:tr w:rsidR="00E836FB" w14:paraId="5F2CCFC3" w14:textId="77777777">
        <w:tc>
          <w:tcPr>
            <w:tcW w:w="0" w:type="auto"/>
            <w:gridSpan w:val="3"/>
            <w:shd w:val="clear" w:color="auto" w:fill="CCEEFF"/>
            <w:tcMar>
              <w:top w:w="40" w:type="dxa"/>
              <w:left w:w="20" w:type="dxa"/>
              <w:bottom w:w="40" w:type="dxa"/>
              <w:right w:w="20" w:type="dxa"/>
            </w:tcMar>
            <w:vAlign w:val="bottom"/>
          </w:tcPr>
          <w:p w14:paraId="5F2CCFB7" w14:textId="77777777" w:rsidR="00E836FB" w:rsidRDefault="00994958">
            <w:pPr>
              <w:textAlignment w:val="bottom"/>
            </w:pPr>
            <w:r>
              <w:rPr>
                <w:rFonts w:ascii="Arial" w:eastAsia="宋体" w:hAnsi="Arial" w:cs="Arial"/>
                <w:color w:val="000000"/>
                <w:sz w:val="14"/>
                <w:szCs w:val="14"/>
              </w:rPr>
              <w:t>United Kingdom</w:t>
            </w:r>
          </w:p>
        </w:tc>
        <w:tc>
          <w:tcPr>
            <w:tcW w:w="0" w:type="auto"/>
            <w:shd w:val="clear" w:color="auto" w:fill="CCEEFF"/>
            <w:tcMar>
              <w:top w:w="40" w:type="dxa"/>
              <w:left w:w="20" w:type="dxa"/>
              <w:bottom w:w="40" w:type="dxa"/>
              <w:right w:w="0" w:type="dxa"/>
            </w:tcMar>
            <w:vAlign w:val="bottom"/>
          </w:tcPr>
          <w:p w14:paraId="5F2CCFB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FB9" w14:textId="77777777" w:rsidR="00E836FB" w:rsidRDefault="00994958">
            <w:pPr>
              <w:jc w:val="right"/>
              <w:textAlignment w:val="bottom"/>
            </w:pPr>
            <w:r>
              <w:rPr>
                <w:rFonts w:ascii="Arial" w:eastAsia="宋体" w:hAnsi="Arial" w:cs="Arial"/>
                <w:color w:val="000000"/>
                <w:sz w:val="14"/>
                <w:szCs w:val="14"/>
              </w:rPr>
              <w:t>18,880 </w:t>
            </w:r>
          </w:p>
        </w:tc>
        <w:tc>
          <w:tcPr>
            <w:tcW w:w="0" w:type="auto"/>
            <w:shd w:val="clear" w:color="auto" w:fill="CCEEFF"/>
            <w:tcMar>
              <w:top w:w="40" w:type="dxa"/>
              <w:left w:w="0" w:type="dxa"/>
              <w:bottom w:w="40" w:type="dxa"/>
              <w:right w:w="20" w:type="dxa"/>
            </w:tcMar>
            <w:vAlign w:val="bottom"/>
          </w:tcPr>
          <w:p w14:paraId="5F2CCF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B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FB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FBD" w14:textId="77777777" w:rsidR="00E836FB" w:rsidRDefault="00994958">
            <w:pPr>
              <w:jc w:val="right"/>
              <w:textAlignment w:val="bottom"/>
            </w:pPr>
            <w:r>
              <w:rPr>
                <w:rFonts w:ascii="Arial" w:eastAsia="宋体" w:hAnsi="Arial" w:cs="Arial"/>
                <w:color w:val="000000"/>
                <w:sz w:val="14"/>
                <w:szCs w:val="14"/>
              </w:rPr>
              <w:t>1,797 </w:t>
            </w:r>
          </w:p>
        </w:tc>
        <w:tc>
          <w:tcPr>
            <w:tcW w:w="0" w:type="auto"/>
            <w:shd w:val="clear" w:color="auto" w:fill="CCEEFF"/>
            <w:tcMar>
              <w:top w:w="40" w:type="dxa"/>
              <w:left w:w="0" w:type="dxa"/>
              <w:bottom w:w="40" w:type="dxa"/>
              <w:right w:w="20" w:type="dxa"/>
            </w:tcMar>
            <w:vAlign w:val="bottom"/>
          </w:tcPr>
          <w:p w14:paraId="5F2CCF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B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CFC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CFC1" w14:textId="77777777" w:rsidR="00E836FB" w:rsidRDefault="00994958">
            <w:pPr>
              <w:jc w:val="right"/>
              <w:textAlignment w:val="bottom"/>
            </w:pPr>
            <w:r>
              <w:rPr>
                <w:rFonts w:ascii="Arial" w:eastAsia="宋体" w:hAnsi="Arial" w:cs="Arial"/>
                <w:color w:val="000000"/>
                <w:sz w:val="14"/>
                <w:szCs w:val="14"/>
              </w:rPr>
              <w:t>20,677 </w:t>
            </w:r>
          </w:p>
        </w:tc>
        <w:tc>
          <w:tcPr>
            <w:tcW w:w="0" w:type="auto"/>
            <w:shd w:val="clear" w:color="auto" w:fill="CCEEFF"/>
            <w:tcMar>
              <w:top w:w="40" w:type="dxa"/>
              <w:left w:w="0" w:type="dxa"/>
              <w:bottom w:w="40" w:type="dxa"/>
              <w:right w:w="20" w:type="dxa"/>
            </w:tcMar>
            <w:vAlign w:val="bottom"/>
          </w:tcPr>
          <w:p w14:paraId="5F2CCFC2" w14:textId="77777777" w:rsidR="00E836FB" w:rsidRDefault="00E836FB">
            <w:pPr>
              <w:jc w:val="right"/>
              <w:rPr>
                <w:rFonts w:ascii="宋体"/>
              </w:rPr>
            </w:pPr>
          </w:p>
        </w:tc>
      </w:tr>
      <w:tr w:rsidR="00E836FB" w14:paraId="5F2CCFCD" w14:textId="77777777">
        <w:tc>
          <w:tcPr>
            <w:tcW w:w="0" w:type="auto"/>
            <w:gridSpan w:val="3"/>
            <w:shd w:val="clear" w:color="auto" w:fill="FFFFFF"/>
            <w:tcMar>
              <w:top w:w="40" w:type="dxa"/>
              <w:left w:w="20" w:type="dxa"/>
              <w:bottom w:w="40" w:type="dxa"/>
              <w:right w:w="20" w:type="dxa"/>
            </w:tcMar>
            <w:vAlign w:val="bottom"/>
          </w:tcPr>
          <w:p w14:paraId="5F2CCFC4" w14:textId="77777777" w:rsidR="00E836FB" w:rsidRDefault="00994958">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5F2CCFC5" w14:textId="77777777" w:rsidR="00E836FB" w:rsidRDefault="00994958">
            <w:pPr>
              <w:jc w:val="right"/>
              <w:textAlignment w:val="bottom"/>
            </w:pPr>
            <w:r>
              <w:rPr>
                <w:rFonts w:ascii="Arial" w:eastAsia="宋体" w:hAnsi="Arial" w:cs="Arial"/>
                <w:color w:val="000000"/>
                <w:sz w:val="14"/>
                <w:szCs w:val="14"/>
              </w:rPr>
              <w:t>19,537 </w:t>
            </w:r>
          </w:p>
        </w:tc>
        <w:tc>
          <w:tcPr>
            <w:tcW w:w="0" w:type="auto"/>
            <w:shd w:val="clear" w:color="auto" w:fill="FFFFFF"/>
            <w:tcMar>
              <w:top w:w="40" w:type="dxa"/>
              <w:left w:w="0" w:type="dxa"/>
              <w:bottom w:w="40" w:type="dxa"/>
              <w:right w:w="20" w:type="dxa"/>
            </w:tcMar>
            <w:vAlign w:val="bottom"/>
          </w:tcPr>
          <w:p w14:paraId="5F2CCF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C8" w14:textId="77777777" w:rsidR="00E836FB" w:rsidRDefault="00994958">
            <w:pPr>
              <w:jc w:val="right"/>
              <w:textAlignment w:val="bottom"/>
            </w:pPr>
            <w:r>
              <w:rPr>
                <w:rFonts w:ascii="Arial" w:eastAsia="宋体" w:hAnsi="Arial" w:cs="Arial"/>
                <w:color w:val="000000"/>
                <w:sz w:val="14"/>
                <w:szCs w:val="14"/>
              </w:rPr>
              <w:t>560 </w:t>
            </w:r>
          </w:p>
        </w:tc>
        <w:tc>
          <w:tcPr>
            <w:tcW w:w="0" w:type="auto"/>
            <w:shd w:val="clear" w:color="auto" w:fill="FFFFFF"/>
            <w:tcMar>
              <w:top w:w="40" w:type="dxa"/>
              <w:left w:w="0" w:type="dxa"/>
              <w:bottom w:w="40" w:type="dxa"/>
              <w:right w:w="20" w:type="dxa"/>
            </w:tcMar>
            <w:vAlign w:val="bottom"/>
          </w:tcPr>
          <w:p w14:paraId="5F2CCF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C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CB" w14:textId="77777777" w:rsidR="00E836FB" w:rsidRDefault="00994958">
            <w:pPr>
              <w:jc w:val="right"/>
              <w:textAlignment w:val="bottom"/>
            </w:pPr>
            <w:r>
              <w:rPr>
                <w:rFonts w:ascii="Arial" w:eastAsia="宋体" w:hAnsi="Arial" w:cs="Arial"/>
                <w:color w:val="000000"/>
                <w:sz w:val="14"/>
                <w:szCs w:val="14"/>
              </w:rPr>
              <w:t>20,097 </w:t>
            </w:r>
          </w:p>
        </w:tc>
        <w:tc>
          <w:tcPr>
            <w:tcW w:w="0" w:type="auto"/>
            <w:shd w:val="clear" w:color="auto" w:fill="FFFFFF"/>
            <w:tcMar>
              <w:top w:w="40" w:type="dxa"/>
              <w:left w:w="0" w:type="dxa"/>
              <w:bottom w:w="40" w:type="dxa"/>
              <w:right w:w="20" w:type="dxa"/>
            </w:tcMar>
            <w:vAlign w:val="bottom"/>
          </w:tcPr>
          <w:p w14:paraId="5F2CCFCC" w14:textId="77777777" w:rsidR="00E836FB" w:rsidRDefault="00E836FB">
            <w:pPr>
              <w:jc w:val="right"/>
              <w:rPr>
                <w:rFonts w:ascii="宋体"/>
              </w:rPr>
            </w:pPr>
          </w:p>
        </w:tc>
      </w:tr>
      <w:tr w:rsidR="00E836FB" w14:paraId="5F2CCFD7" w14:textId="77777777">
        <w:tc>
          <w:tcPr>
            <w:tcW w:w="0" w:type="auto"/>
            <w:gridSpan w:val="3"/>
            <w:shd w:val="clear" w:color="auto" w:fill="CCEEFF"/>
            <w:tcMar>
              <w:top w:w="40" w:type="dxa"/>
              <w:left w:w="20" w:type="dxa"/>
              <w:bottom w:w="40" w:type="dxa"/>
              <w:right w:w="20" w:type="dxa"/>
            </w:tcMar>
            <w:vAlign w:val="bottom"/>
          </w:tcPr>
          <w:p w14:paraId="5F2CCFCE" w14:textId="77777777" w:rsidR="00E836FB" w:rsidRDefault="00994958">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5F2CCFCF" w14:textId="77777777" w:rsidR="00E836FB" w:rsidRDefault="00994958">
            <w:pPr>
              <w:jc w:val="right"/>
              <w:textAlignment w:val="bottom"/>
            </w:pPr>
            <w:r>
              <w:rPr>
                <w:rFonts w:ascii="Arial" w:eastAsia="宋体" w:hAnsi="Arial" w:cs="Arial"/>
                <w:color w:val="000000"/>
                <w:sz w:val="14"/>
                <w:szCs w:val="14"/>
              </w:rPr>
              <w:t>18,734 </w:t>
            </w:r>
          </w:p>
        </w:tc>
        <w:tc>
          <w:tcPr>
            <w:tcW w:w="0" w:type="auto"/>
            <w:shd w:val="clear" w:color="auto" w:fill="CCEEFF"/>
            <w:tcMar>
              <w:top w:w="40" w:type="dxa"/>
              <w:left w:w="0" w:type="dxa"/>
              <w:bottom w:w="40" w:type="dxa"/>
              <w:right w:w="20" w:type="dxa"/>
            </w:tcMar>
            <w:vAlign w:val="bottom"/>
          </w:tcPr>
          <w:p w14:paraId="5F2CCF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D2" w14:textId="77777777" w:rsidR="00E836FB" w:rsidRDefault="00994958">
            <w:pPr>
              <w:jc w:val="right"/>
              <w:textAlignment w:val="bottom"/>
            </w:pPr>
            <w:r>
              <w:rPr>
                <w:rFonts w:ascii="Arial" w:eastAsia="宋体" w:hAnsi="Arial" w:cs="Arial"/>
                <w:color w:val="000000"/>
                <w:sz w:val="14"/>
                <w:szCs w:val="14"/>
              </w:rPr>
              <w:t>2,163 </w:t>
            </w:r>
          </w:p>
        </w:tc>
        <w:tc>
          <w:tcPr>
            <w:tcW w:w="0" w:type="auto"/>
            <w:shd w:val="clear" w:color="auto" w:fill="CCEEFF"/>
            <w:tcMar>
              <w:top w:w="40" w:type="dxa"/>
              <w:left w:w="0" w:type="dxa"/>
              <w:bottom w:w="40" w:type="dxa"/>
              <w:right w:w="20" w:type="dxa"/>
            </w:tcMar>
            <w:vAlign w:val="bottom"/>
          </w:tcPr>
          <w:p w14:paraId="5F2CCF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D5" w14:textId="77777777" w:rsidR="00E836FB" w:rsidRDefault="00994958">
            <w:pPr>
              <w:jc w:val="right"/>
              <w:textAlignment w:val="bottom"/>
            </w:pPr>
            <w:r>
              <w:rPr>
                <w:rFonts w:ascii="Arial" w:eastAsia="宋体" w:hAnsi="Arial" w:cs="Arial"/>
                <w:color w:val="000000"/>
                <w:sz w:val="14"/>
                <w:szCs w:val="14"/>
              </w:rPr>
              <w:t>20,897 </w:t>
            </w:r>
          </w:p>
        </w:tc>
        <w:tc>
          <w:tcPr>
            <w:tcW w:w="0" w:type="auto"/>
            <w:shd w:val="clear" w:color="auto" w:fill="CCEEFF"/>
            <w:tcMar>
              <w:top w:w="40" w:type="dxa"/>
              <w:left w:w="0" w:type="dxa"/>
              <w:bottom w:w="40" w:type="dxa"/>
              <w:right w:w="20" w:type="dxa"/>
            </w:tcMar>
            <w:vAlign w:val="bottom"/>
          </w:tcPr>
          <w:p w14:paraId="5F2CCFD6" w14:textId="77777777" w:rsidR="00E836FB" w:rsidRDefault="00E836FB">
            <w:pPr>
              <w:jc w:val="right"/>
              <w:rPr>
                <w:rFonts w:ascii="宋体"/>
              </w:rPr>
            </w:pPr>
          </w:p>
        </w:tc>
      </w:tr>
      <w:tr w:rsidR="00E836FB" w14:paraId="5F2CCFE1" w14:textId="77777777">
        <w:tc>
          <w:tcPr>
            <w:tcW w:w="0" w:type="auto"/>
            <w:gridSpan w:val="3"/>
            <w:shd w:val="clear" w:color="auto" w:fill="FFFFFF"/>
            <w:tcMar>
              <w:top w:w="40" w:type="dxa"/>
              <w:left w:w="20" w:type="dxa"/>
              <w:bottom w:w="40" w:type="dxa"/>
              <w:right w:w="20" w:type="dxa"/>
            </w:tcMar>
            <w:vAlign w:val="bottom"/>
          </w:tcPr>
          <w:p w14:paraId="5F2CCFD8" w14:textId="77777777" w:rsidR="00E836FB" w:rsidRDefault="00994958">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5F2CCFD9" w14:textId="77777777" w:rsidR="00E836FB" w:rsidRDefault="00994958">
            <w:pPr>
              <w:jc w:val="right"/>
              <w:textAlignment w:val="bottom"/>
            </w:pPr>
            <w:r>
              <w:rPr>
                <w:rFonts w:ascii="Arial" w:eastAsia="宋体" w:hAnsi="Arial" w:cs="Arial"/>
                <w:color w:val="000000"/>
                <w:sz w:val="14"/>
                <w:szCs w:val="14"/>
              </w:rPr>
              <w:t>5,997 </w:t>
            </w:r>
          </w:p>
        </w:tc>
        <w:tc>
          <w:tcPr>
            <w:tcW w:w="0" w:type="auto"/>
            <w:shd w:val="clear" w:color="auto" w:fill="FFFFFF"/>
            <w:tcMar>
              <w:top w:w="40" w:type="dxa"/>
              <w:left w:w="0" w:type="dxa"/>
              <w:bottom w:w="40" w:type="dxa"/>
              <w:right w:w="20" w:type="dxa"/>
            </w:tcMar>
            <w:vAlign w:val="bottom"/>
          </w:tcPr>
          <w:p w14:paraId="5F2CCF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DC" w14:textId="77777777" w:rsidR="00E836FB" w:rsidRDefault="00994958">
            <w:pPr>
              <w:jc w:val="right"/>
              <w:textAlignment w:val="bottom"/>
            </w:pPr>
            <w:r>
              <w:rPr>
                <w:rFonts w:ascii="Arial" w:eastAsia="宋体" w:hAnsi="Arial" w:cs="Arial"/>
                <w:color w:val="000000"/>
                <w:sz w:val="14"/>
                <w:szCs w:val="14"/>
              </w:rPr>
              <w:t>3,113 </w:t>
            </w:r>
          </w:p>
        </w:tc>
        <w:tc>
          <w:tcPr>
            <w:tcW w:w="0" w:type="auto"/>
            <w:shd w:val="clear" w:color="auto" w:fill="FFFFFF"/>
            <w:tcMar>
              <w:top w:w="40" w:type="dxa"/>
              <w:left w:w="0" w:type="dxa"/>
              <w:bottom w:w="40" w:type="dxa"/>
              <w:right w:w="20" w:type="dxa"/>
            </w:tcMar>
            <w:vAlign w:val="bottom"/>
          </w:tcPr>
          <w:p w14:paraId="5F2CCF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DF" w14:textId="77777777" w:rsidR="00E836FB" w:rsidRDefault="00994958">
            <w:pPr>
              <w:jc w:val="right"/>
              <w:textAlignment w:val="bottom"/>
            </w:pPr>
            <w:r>
              <w:rPr>
                <w:rFonts w:ascii="Arial" w:eastAsia="宋体" w:hAnsi="Arial" w:cs="Arial"/>
                <w:color w:val="000000"/>
                <w:sz w:val="14"/>
                <w:szCs w:val="14"/>
              </w:rPr>
              <w:t>9,110 </w:t>
            </w:r>
          </w:p>
        </w:tc>
        <w:tc>
          <w:tcPr>
            <w:tcW w:w="0" w:type="auto"/>
            <w:shd w:val="clear" w:color="auto" w:fill="FFFFFF"/>
            <w:tcMar>
              <w:top w:w="40" w:type="dxa"/>
              <w:left w:w="0" w:type="dxa"/>
              <w:bottom w:w="40" w:type="dxa"/>
              <w:right w:w="20" w:type="dxa"/>
            </w:tcMar>
            <w:vAlign w:val="bottom"/>
          </w:tcPr>
          <w:p w14:paraId="5F2CCFE0" w14:textId="77777777" w:rsidR="00E836FB" w:rsidRDefault="00E836FB">
            <w:pPr>
              <w:jc w:val="right"/>
              <w:rPr>
                <w:rFonts w:ascii="宋体"/>
              </w:rPr>
            </w:pPr>
          </w:p>
        </w:tc>
      </w:tr>
      <w:tr w:rsidR="00E836FB" w14:paraId="5F2CCFEB" w14:textId="77777777">
        <w:tc>
          <w:tcPr>
            <w:tcW w:w="0" w:type="auto"/>
            <w:gridSpan w:val="3"/>
            <w:shd w:val="clear" w:color="auto" w:fill="CCEEFF"/>
            <w:tcMar>
              <w:top w:w="40" w:type="dxa"/>
              <w:left w:w="20" w:type="dxa"/>
              <w:bottom w:w="40" w:type="dxa"/>
              <w:right w:w="20" w:type="dxa"/>
            </w:tcMar>
            <w:vAlign w:val="bottom"/>
          </w:tcPr>
          <w:p w14:paraId="5F2CCFE2" w14:textId="77777777" w:rsidR="00E836FB" w:rsidRDefault="00994958">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F2CCFE3" w14:textId="77777777" w:rsidR="00E836FB" w:rsidRDefault="00994958">
            <w:pPr>
              <w:jc w:val="right"/>
              <w:textAlignment w:val="bottom"/>
            </w:pPr>
            <w:r>
              <w:rPr>
                <w:rFonts w:ascii="Arial" w:eastAsia="宋体" w:hAnsi="Arial" w:cs="Arial"/>
                <w:color w:val="000000"/>
                <w:sz w:val="14"/>
                <w:szCs w:val="14"/>
              </w:rPr>
              <w:t>5,790 </w:t>
            </w:r>
          </w:p>
        </w:tc>
        <w:tc>
          <w:tcPr>
            <w:tcW w:w="0" w:type="auto"/>
            <w:shd w:val="clear" w:color="auto" w:fill="CCEEFF"/>
            <w:tcMar>
              <w:top w:w="40" w:type="dxa"/>
              <w:left w:w="0" w:type="dxa"/>
              <w:bottom w:w="40" w:type="dxa"/>
              <w:right w:w="20" w:type="dxa"/>
            </w:tcMar>
            <w:vAlign w:val="bottom"/>
          </w:tcPr>
          <w:p w14:paraId="5F2CCF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E6" w14:textId="77777777" w:rsidR="00E836FB" w:rsidRDefault="00994958">
            <w:pPr>
              <w:jc w:val="right"/>
              <w:textAlignment w:val="bottom"/>
            </w:pPr>
            <w:r>
              <w:rPr>
                <w:rFonts w:ascii="Arial" w:eastAsia="宋体" w:hAnsi="Arial" w:cs="Arial"/>
                <w:color w:val="000000"/>
                <w:sz w:val="14"/>
                <w:szCs w:val="14"/>
              </w:rPr>
              <w:t>2,908 </w:t>
            </w:r>
          </w:p>
        </w:tc>
        <w:tc>
          <w:tcPr>
            <w:tcW w:w="0" w:type="auto"/>
            <w:shd w:val="clear" w:color="auto" w:fill="CCEEFF"/>
            <w:tcMar>
              <w:top w:w="40" w:type="dxa"/>
              <w:left w:w="0" w:type="dxa"/>
              <w:bottom w:w="40" w:type="dxa"/>
              <w:right w:w="20" w:type="dxa"/>
            </w:tcMar>
            <w:vAlign w:val="bottom"/>
          </w:tcPr>
          <w:p w14:paraId="5F2CCF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E9" w14:textId="77777777" w:rsidR="00E836FB" w:rsidRDefault="00994958">
            <w:pPr>
              <w:jc w:val="right"/>
              <w:textAlignment w:val="bottom"/>
            </w:pPr>
            <w:r>
              <w:rPr>
                <w:rFonts w:ascii="Arial" w:eastAsia="宋体" w:hAnsi="Arial" w:cs="Arial"/>
                <w:color w:val="000000"/>
                <w:sz w:val="14"/>
                <w:szCs w:val="14"/>
              </w:rPr>
              <w:t>8,698 </w:t>
            </w:r>
          </w:p>
        </w:tc>
        <w:tc>
          <w:tcPr>
            <w:tcW w:w="0" w:type="auto"/>
            <w:shd w:val="clear" w:color="auto" w:fill="CCEEFF"/>
            <w:tcMar>
              <w:top w:w="40" w:type="dxa"/>
              <w:left w:w="0" w:type="dxa"/>
              <w:bottom w:w="40" w:type="dxa"/>
              <w:right w:w="20" w:type="dxa"/>
            </w:tcMar>
            <w:vAlign w:val="bottom"/>
          </w:tcPr>
          <w:p w14:paraId="5F2CCFEA" w14:textId="77777777" w:rsidR="00E836FB" w:rsidRDefault="00E836FB">
            <w:pPr>
              <w:jc w:val="right"/>
              <w:rPr>
                <w:rFonts w:ascii="宋体"/>
              </w:rPr>
            </w:pPr>
          </w:p>
        </w:tc>
      </w:tr>
      <w:tr w:rsidR="00E836FB" w14:paraId="5F2CCFF5" w14:textId="77777777">
        <w:tc>
          <w:tcPr>
            <w:tcW w:w="0" w:type="auto"/>
            <w:gridSpan w:val="3"/>
            <w:shd w:val="clear" w:color="auto" w:fill="FFFFFF"/>
            <w:tcMar>
              <w:top w:w="40" w:type="dxa"/>
              <w:left w:w="20" w:type="dxa"/>
              <w:bottom w:w="40" w:type="dxa"/>
              <w:right w:w="20" w:type="dxa"/>
            </w:tcMar>
            <w:vAlign w:val="bottom"/>
          </w:tcPr>
          <w:p w14:paraId="5F2CCFEC" w14:textId="77777777" w:rsidR="00E836FB" w:rsidRDefault="00994958">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5F2CCFED" w14:textId="77777777" w:rsidR="00E836FB" w:rsidRDefault="00994958">
            <w:pPr>
              <w:jc w:val="right"/>
              <w:textAlignment w:val="bottom"/>
            </w:pPr>
            <w:r>
              <w:rPr>
                <w:rFonts w:ascii="Arial" w:eastAsia="宋体" w:hAnsi="Arial" w:cs="Arial"/>
                <w:color w:val="000000"/>
                <w:sz w:val="14"/>
                <w:szCs w:val="14"/>
              </w:rPr>
              <w:t>5,036 </w:t>
            </w:r>
          </w:p>
        </w:tc>
        <w:tc>
          <w:tcPr>
            <w:tcW w:w="0" w:type="auto"/>
            <w:shd w:val="clear" w:color="auto" w:fill="FFFFFF"/>
            <w:tcMar>
              <w:top w:w="40" w:type="dxa"/>
              <w:left w:w="0" w:type="dxa"/>
              <w:bottom w:w="40" w:type="dxa"/>
              <w:right w:w="20" w:type="dxa"/>
            </w:tcMar>
            <w:vAlign w:val="bottom"/>
          </w:tcPr>
          <w:p w14:paraId="5F2CCF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F0" w14:textId="77777777" w:rsidR="00E836FB" w:rsidRDefault="00994958">
            <w:pPr>
              <w:jc w:val="right"/>
              <w:textAlignment w:val="bottom"/>
            </w:pPr>
            <w:r>
              <w:rPr>
                <w:rFonts w:ascii="Arial" w:eastAsia="宋体" w:hAnsi="Arial" w:cs="Arial"/>
                <w:color w:val="000000"/>
                <w:sz w:val="14"/>
                <w:szCs w:val="14"/>
              </w:rPr>
              <w:t>2,148 </w:t>
            </w:r>
          </w:p>
        </w:tc>
        <w:tc>
          <w:tcPr>
            <w:tcW w:w="0" w:type="auto"/>
            <w:shd w:val="clear" w:color="auto" w:fill="FFFFFF"/>
            <w:tcMar>
              <w:top w:w="40" w:type="dxa"/>
              <w:left w:w="0" w:type="dxa"/>
              <w:bottom w:w="40" w:type="dxa"/>
              <w:right w:w="20" w:type="dxa"/>
            </w:tcMar>
            <w:vAlign w:val="bottom"/>
          </w:tcPr>
          <w:p w14:paraId="5F2CCF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CF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CFF3" w14:textId="77777777" w:rsidR="00E836FB" w:rsidRDefault="00994958">
            <w:pPr>
              <w:jc w:val="right"/>
              <w:textAlignment w:val="bottom"/>
            </w:pPr>
            <w:r>
              <w:rPr>
                <w:rFonts w:ascii="Arial" w:eastAsia="宋体" w:hAnsi="Arial" w:cs="Arial"/>
                <w:color w:val="000000"/>
                <w:sz w:val="14"/>
                <w:szCs w:val="14"/>
              </w:rPr>
              <w:t>7,184 </w:t>
            </w:r>
          </w:p>
        </w:tc>
        <w:tc>
          <w:tcPr>
            <w:tcW w:w="0" w:type="auto"/>
            <w:shd w:val="clear" w:color="auto" w:fill="FFFFFF"/>
            <w:tcMar>
              <w:top w:w="40" w:type="dxa"/>
              <w:left w:w="0" w:type="dxa"/>
              <w:bottom w:w="40" w:type="dxa"/>
              <w:right w:w="20" w:type="dxa"/>
            </w:tcMar>
            <w:vAlign w:val="bottom"/>
          </w:tcPr>
          <w:p w14:paraId="5F2CCFF4" w14:textId="77777777" w:rsidR="00E836FB" w:rsidRDefault="00E836FB">
            <w:pPr>
              <w:jc w:val="right"/>
              <w:rPr>
                <w:rFonts w:ascii="宋体"/>
              </w:rPr>
            </w:pPr>
          </w:p>
        </w:tc>
      </w:tr>
      <w:tr w:rsidR="00E836FB" w14:paraId="5F2CCFFF" w14:textId="77777777">
        <w:tc>
          <w:tcPr>
            <w:tcW w:w="0" w:type="auto"/>
            <w:gridSpan w:val="3"/>
            <w:shd w:val="clear" w:color="auto" w:fill="CCEEFF"/>
            <w:tcMar>
              <w:top w:w="40" w:type="dxa"/>
              <w:left w:w="20" w:type="dxa"/>
              <w:bottom w:w="40" w:type="dxa"/>
              <w:right w:w="20" w:type="dxa"/>
            </w:tcMar>
            <w:vAlign w:val="bottom"/>
          </w:tcPr>
          <w:p w14:paraId="5F2CCFF6" w14:textId="77777777" w:rsidR="00E836FB" w:rsidRDefault="00994958">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5F2CCFF7" w14:textId="77777777" w:rsidR="00E836FB" w:rsidRDefault="00994958">
            <w:pPr>
              <w:jc w:val="right"/>
              <w:textAlignment w:val="bottom"/>
            </w:pPr>
            <w:r>
              <w:rPr>
                <w:rFonts w:ascii="Arial" w:eastAsia="宋体" w:hAnsi="Arial" w:cs="Arial"/>
                <w:color w:val="000000"/>
                <w:sz w:val="14"/>
                <w:szCs w:val="14"/>
              </w:rPr>
              <w:t>3,586 </w:t>
            </w:r>
          </w:p>
        </w:tc>
        <w:tc>
          <w:tcPr>
            <w:tcW w:w="0" w:type="auto"/>
            <w:shd w:val="clear" w:color="auto" w:fill="CCEEFF"/>
            <w:tcMar>
              <w:top w:w="40" w:type="dxa"/>
              <w:left w:w="0" w:type="dxa"/>
              <w:bottom w:w="40" w:type="dxa"/>
              <w:right w:w="20" w:type="dxa"/>
            </w:tcMar>
            <w:vAlign w:val="bottom"/>
          </w:tcPr>
          <w:p w14:paraId="5F2CCF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FA" w14:textId="77777777" w:rsidR="00E836FB" w:rsidRDefault="00994958">
            <w:pPr>
              <w:jc w:val="right"/>
              <w:textAlignment w:val="bottom"/>
            </w:pPr>
            <w:r>
              <w:rPr>
                <w:rFonts w:ascii="Arial" w:eastAsia="宋体" w:hAnsi="Arial" w:cs="Arial"/>
                <w:color w:val="000000"/>
                <w:sz w:val="14"/>
                <w:szCs w:val="14"/>
              </w:rPr>
              <w:t>3,010 </w:t>
            </w:r>
          </w:p>
        </w:tc>
        <w:tc>
          <w:tcPr>
            <w:tcW w:w="0" w:type="auto"/>
            <w:shd w:val="clear" w:color="auto" w:fill="CCEEFF"/>
            <w:tcMar>
              <w:top w:w="40" w:type="dxa"/>
              <w:left w:w="0" w:type="dxa"/>
              <w:bottom w:w="40" w:type="dxa"/>
              <w:right w:w="20" w:type="dxa"/>
            </w:tcMar>
            <w:vAlign w:val="bottom"/>
          </w:tcPr>
          <w:p w14:paraId="5F2CCF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CFF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CFFD" w14:textId="77777777" w:rsidR="00E836FB" w:rsidRDefault="00994958">
            <w:pPr>
              <w:jc w:val="right"/>
              <w:textAlignment w:val="bottom"/>
            </w:pPr>
            <w:r>
              <w:rPr>
                <w:rFonts w:ascii="Arial" w:eastAsia="宋体" w:hAnsi="Arial" w:cs="Arial"/>
                <w:color w:val="000000"/>
                <w:sz w:val="14"/>
                <w:szCs w:val="14"/>
              </w:rPr>
              <w:t>6,596 </w:t>
            </w:r>
          </w:p>
        </w:tc>
        <w:tc>
          <w:tcPr>
            <w:tcW w:w="0" w:type="auto"/>
            <w:shd w:val="clear" w:color="auto" w:fill="CCEEFF"/>
            <w:tcMar>
              <w:top w:w="40" w:type="dxa"/>
              <w:left w:w="0" w:type="dxa"/>
              <w:bottom w:w="40" w:type="dxa"/>
              <w:right w:w="20" w:type="dxa"/>
            </w:tcMar>
            <w:vAlign w:val="bottom"/>
          </w:tcPr>
          <w:p w14:paraId="5F2CCFFE" w14:textId="77777777" w:rsidR="00E836FB" w:rsidRDefault="00E836FB">
            <w:pPr>
              <w:jc w:val="right"/>
              <w:rPr>
                <w:rFonts w:ascii="宋体"/>
              </w:rPr>
            </w:pPr>
          </w:p>
        </w:tc>
      </w:tr>
      <w:tr w:rsidR="00E836FB" w14:paraId="5F2CD006" w14:textId="77777777">
        <w:trPr>
          <w:hidden/>
        </w:trPr>
        <w:tc>
          <w:tcPr>
            <w:tcW w:w="0" w:type="auto"/>
            <w:gridSpan w:val="3"/>
            <w:shd w:val="clear" w:color="auto" w:fill="auto"/>
            <w:vAlign w:val="bottom"/>
          </w:tcPr>
          <w:p w14:paraId="5F2CD000" w14:textId="77777777" w:rsidR="00E836FB" w:rsidRDefault="00E836FB">
            <w:pPr>
              <w:rPr>
                <w:rFonts w:ascii="宋体"/>
                <w:vanish/>
              </w:rPr>
            </w:pPr>
          </w:p>
        </w:tc>
        <w:tc>
          <w:tcPr>
            <w:tcW w:w="0" w:type="auto"/>
            <w:gridSpan w:val="3"/>
            <w:shd w:val="clear" w:color="auto" w:fill="auto"/>
            <w:vAlign w:val="bottom"/>
          </w:tcPr>
          <w:p w14:paraId="5F2CD001" w14:textId="77777777" w:rsidR="00E836FB" w:rsidRDefault="00E836FB">
            <w:pPr>
              <w:rPr>
                <w:rFonts w:ascii="宋体"/>
                <w:vanish/>
              </w:rPr>
            </w:pPr>
          </w:p>
        </w:tc>
        <w:tc>
          <w:tcPr>
            <w:tcW w:w="0" w:type="auto"/>
            <w:gridSpan w:val="3"/>
            <w:shd w:val="clear" w:color="auto" w:fill="auto"/>
            <w:vAlign w:val="bottom"/>
          </w:tcPr>
          <w:p w14:paraId="5F2CD002" w14:textId="77777777" w:rsidR="00E836FB" w:rsidRDefault="00E836FB">
            <w:pPr>
              <w:rPr>
                <w:rFonts w:ascii="宋体"/>
                <w:vanish/>
              </w:rPr>
            </w:pPr>
          </w:p>
        </w:tc>
        <w:tc>
          <w:tcPr>
            <w:tcW w:w="0" w:type="auto"/>
            <w:gridSpan w:val="3"/>
            <w:shd w:val="clear" w:color="auto" w:fill="auto"/>
            <w:vAlign w:val="bottom"/>
          </w:tcPr>
          <w:p w14:paraId="5F2CD003" w14:textId="77777777" w:rsidR="00E836FB" w:rsidRDefault="00E836FB">
            <w:pPr>
              <w:rPr>
                <w:rFonts w:ascii="宋体"/>
                <w:vanish/>
              </w:rPr>
            </w:pPr>
          </w:p>
        </w:tc>
        <w:tc>
          <w:tcPr>
            <w:tcW w:w="0" w:type="auto"/>
            <w:gridSpan w:val="3"/>
            <w:shd w:val="clear" w:color="auto" w:fill="auto"/>
            <w:vAlign w:val="bottom"/>
          </w:tcPr>
          <w:p w14:paraId="5F2CD004" w14:textId="77777777" w:rsidR="00E836FB" w:rsidRDefault="00E836FB">
            <w:pPr>
              <w:rPr>
                <w:rFonts w:ascii="宋体"/>
                <w:vanish/>
              </w:rPr>
            </w:pPr>
          </w:p>
        </w:tc>
        <w:tc>
          <w:tcPr>
            <w:tcW w:w="0" w:type="auto"/>
            <w:gridSpan w:val="3"/>
            <w:shd w:val="clear" w:color="auto" w:fill="auto"/>
            <w:vAlign w:val="bottom"/>
          </w:tcPr>
          <w:p w14:paraId="5F2CD005" w14:textId="77777777" w:rsidR="00E836FB" w:rsidRDefault="00E836FB">
            <w:pPr>
              <w:rPr>
                <w:rFonts w:ascii="宋体"/>
                <w:vanish/>
              </w:rPr>
            </w:pPr>
          </w:p>
        </w:tc>
      </w:tr>
      <w:tr w:rsidR="00E836FB" w14:paraId="5F2CD00D" w14:textId="77777777">
        <w:trPr>
          <w:hidden/>
        </w:trPr>
        <w:tc>
          <w:tcPr>
            <w:tcW w:w="0" w:type="auto"/>
            <w:gridSpan w:val="3"/>
            <w:shd w:val="clear" w:color="auto" w:fill="auto"/>
            <w:vAlign w:val="bottom"/>
          </w:tcPr>
          <w:p w14:paraId="5F2CD007" w14:textId="77777777" w:rsidR="00E836FB" w:rsidRDefault="00E836FB">
            <w:pPr>
              <w:rPr>
                <w:rFonts w:ascii="宋体"/>
                <w:vanish/>
              </w:rPr>
            </w:pPr>
          </w:p>
        </w:tc>
        <w:tc>
          <w:tcPr>
            <w:tcW w:w="0" w:type="auto"/>
            <w:gridSpan w:val="3"/>
            <w:shd w:val="clear" w:color="auto" w:fill="auto"/>
            <w:vAlign w:val="bottom"/>
          </w:tcPr>
          <w:p w14:paraId="5F2CD008" w14:textId="77777777" w:rsidR="00E836FB" w:rsidRDefault="00E836FB">
            <w:pPr>
              <w:rPr>
                <w:rFonts w:ascii="宋体"/>
                <w:vanish/>
              </w:rPr>
            </w:pPr>
          </w:p>
        </w:tc>
        <w:tc>
          <w:tcPr>
            <w:tcW w:w="0" w:type="auto"/>
            <w:gridSpan w:val="3"/>
            <w:shd w:val="clear" w:color="auto" w:fill="auto"/>
            <w:vAlign w:val="bottom"/>
          </w:tcPr>
          <w:p w14:paraId="5F2CD009" w14:textId="77777777" w:rsidR="00E836FB" w:rsidRDefault="00E836FB">
            <w:pPr>
              <w:rPr>
                <w:rFonts w:ascii="宋体"/>
                <w:vanish/>
              </w:rPr>
            </w:pPr>
          </w:p>
        </w:tc>
        <w:tc>
          <w:tcPr>
            <w:tcW w:w="0" w:type="auto"/>
            <w:gridSpan w:val="3"/>
            <w:shd w:val="clear" w:color="auto" w:fill="auto"/>
            <w:vAlign w:val="bottom"/>
          </w:tcPr>
          <w:p w14:paraId="5F2CD00A" w14:textId="77777777" w:rsidR="00E836FB" w:rsidRDefault="00E836FB">
            <w:pPr>
              <w:rPr>
                <w:rFonts w:ascii="宋体"/>
                <w:vanish/>
              </w:rPr>
            </w:pPr>
          </w:p>
        </w:tc>
        <w:tc>
          <w:tcPr>
            <w:tcW w:w="0" w:type="auto"/>
            <w:gridSpan w:val="3"/>
            <w:shd w:val="clear" w:color="auto" w:fill="auto"/>
            <w:vAlign w:val="bottom"/>
          </w:tcPr>
          <w:p w14:paraId="5F2CD00B" w14:textId="77777777" w:rsidR="00E836FB" w:rsidRDefault="00E836FB">
            <w:pPr>
              <w:rPr>
                <w:rFonts w:ascii="宋体"/>
                <w:vanish/>
              </w:rPr>
            </w:pPr>
          </w:p>
        </w:tc>
        <w:tc>
          <w:tcPr>
            <w:tcW w:w="0" w:type="auto"/>
            <w:gridSpan w:val="3"/>
            <w:shd w:val="clear" w:color="auto" w:fill="auto"/>
            <w:vAlign w:val="bottom"/>
          </w:tcPr>
          <w:p w14:paraId="5F2CD00C" w14:textId="77777777" w:rsidR="00E836FB" w:rsidRDefault="00E836FB">
            <w:pPr>
              <w:rPr>
                <w:rFonts w:ascii="宋体"/>
                <w:vanish/>
              </w:rPr>
            </w:pPr>
          </w:p>
        </w:tc>
      </w:tr>
      <w:tr w:rsidR="00E836FB" w14:paraId="5F2CD014" w14:textId="77777777">
        <w:tc>
          <w:tcPr>
            <w:tcW w:w="0" w:type="auto"/>
            <w:gridSpan w:val="3"/>
            <w:shd w:val="clear" w:color="auto" w:fill="FFFFFF"/>
            <w:tcMar>
              <w:top w:w="40" w:type="dxa"/>
              <w:left w:w="20" w:type="dxa"/>
              <w:bottom w:w="40" w:type="dxa"/>
              <w:right w:w="20" w:type="dxa"/>
            </w:tcMar>
            <w:vAlign w:val="bottom"/>
          </w:tcPr>
          <w:p w14:paraId="5F2CD00E" w14:textId="77777777" w:rsidR="00E836FB" w:rsidRDefault="00994958">
            <w:pPr>
              <w:textAlignment w:val="bottom"/>
            </w:pPr>
            <w:r>
              <w:rPr>
                <w:rFonts w:ascii="Arial" w:eastAsia="宋体" w:hAnsi="Arial" w:cs="Arial"/>
                <w:b/>
                <w:bCs/>
                <w:color w:val="000000"/>
                <w:sz w:val="14"/>
                <w:szCs w:val="14"/>
              </w:rPr>
              <w:t xml:space="preserve">December 31, </w:t>
            </w:r>
            <w:r>
              <w:rPr>
                <w:rFonts w:ascii="Arial" w:eastAsia="宋体" w:hAnsi="Arial" w:cs="Arial"/>
                <w:b/>
                <w:bCs/>
                <w:color w:val="000000"/>
                <w:sz w:val="14"/>
                <w:szCs w:val="14"/>
              </w:rPr>
              <w:t>2019</w:t>
            </w:r>
          </w:p>
        </w:tc>
        <w:tc>
          <w:tcPr>
            <w:tcW w:w="0" w:type="auto"/>
            <w:gridSpan w:val="3"/>
            <w:shd w:val="clear" w:color="auto" w:fill="FFFFFF"/>
            <w:tcMar>
              <w:top w:w="0" w:type="dxa"/>
              <w:left w:w="20" w:type="dxa"/>
              <w:bottom w:w="0" w:type="dxa"/>
              <w:right w:w="20" w:type="dxa"/>
            </w:tcMar>
            <w:vAlign w:val="bottom"/>
          </w:tcPr>
          <w:p w14:paraId="5F2CD00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01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01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012"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013" w14:textId="77777777" w:rsidR="00E836FB" w:rsidRDefault="00994958">
            <w:pPr>
              <w:jc w:val="right"/>
              <w:textAlignment w:val="bottom"/>
            </w:pPr>
            <w:r>
              <w:rPr>
                <w:rFonts w:ascii="Arial" w:eastAsia="宋体" w:hAnsi="Arial" w:cs="Arial"/>
                <w:color w:val="000000"/>
                <w:sz w:val="14"/>
                <w:szCs w:val="14"/>
              </w:rPr>
              <w:t> </w:t>
            </w:r>
          </w:p>
        </w:tc>
      </w:tr>
      <w:tr w:rsidR="00E836FB" w14:paraId="5F2CD021" w14:textId="77777777">
        <w:tc>
          <w:tcPr>
            <w:tcW w:w="0" w:type="auto"/>
            <w:gridSpan w:val="3"/>
            <w:shd w:val="clear" w:color="auto" w:fill="CCEEFF"/>
            <w:tcMar>
              <w:top w:w="40" w:type="dxa"/>
              <w:left w:w="20" w:type="dxa"/>
              <w:bottom w:w="40" w:type="dxa"/>
              <w:right w:w="20" w:type="dxa"/>
            </w:tcMar>
            <w:vAlign w:val="bottom"/>
          </w:tcPr>
          <w:p w14:paraId="5F2CD015" w14:textId="77777777" w:rsidR="00E836FB" w:rsidRDefault="00994958">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5F2CD01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D017" w14:textId="77777777" w:rsidR="00E836FB" w:rsidRDefault="00994958">
            <w:pPr>
              <w:jc w:val="right"/>
              <w:textAlignment w:val="bottom"/>
            </w:pPr>
            <w:r>
              <w:rPr>
                <w:rFonts w:ascii="Arial" w:eastAsia="宋体" w:hAnsi="Arial" w:cs="Arial"/>
                <w:color w:val="000000"/>
                <w:sz w:val="14"/>
                <w:szCs w:val="14"/>
              </w:rPr>
              <w:t>20,968 </w:t>
            </w:r>
          </w:p>
        </w:tc>
        <w:tc>
          <w:tcPr>
            <w:tcW w:w="0" w:type="auto"/>
            <w:shd w:val="clear" w:color="auto" w:fill="CCEEFF"/>
            <w:tcMar>
              <w:top w:w="40" w:type="dxa"/>
              <w:left w:w="0" w:type="dxa"/>
              <w:bottom w:w="40" w:type="dxa"/>
              <w:right w:w="20" w:type="dxa"/>
            </w:tcMar>
            <w:vAlign w:val="bottom"/>
          </w:tcPr>
          <w:p w14:paraId="5F2CD0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1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01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D01B" w14:textId="77777777" w:rsidR="00E836FB" w:rsidRDefault="00994958">
            <w:pPr>
              <w:jc w:val="right"/>
              <w:textAlignment w:val="bottom"/>
            </w:pPr>
            <w:r>
              <w:rPr>
                <w:rFonts w:ascii="Arial" w:eastAsia="宋体" w:hAnsi="Arial" w:cs="Arial"/>
                <w:color w:val="000000"/>
                <w:sz w:val="14"/>
                <w:szCs w:val="14"/>
              </w:rPr>
              <w:t>217 </w:t>
            </w:r>
          </w:p>
        </w:tc>
        <w:tc>
          <w:tcPr>
            <w:tcW w:w="0" w:type="auto"/>
            <w:shd w:val="clear" w:color="auto" w:fill="CCEEFF"/>
            <w:tcMar>
              <w:top w:w="40" w:type="dxa"/>
              <w:left w:w="0" w:type="dxa"/>
              <w:bottom w:w="40" w:type="dxa"/>
              <w:right w:w="20" w:type="dxa"/>
            </w:tcMar>
            <w:vAlign w:val="bottom"/>
          </w:tcPr>
          <w:p w14:paraId="5F2CD0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1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01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D01F" w14:textId="77777777" w:rsidR="00E836FB" w:rsidRDefault="00994958">
            <w:pPr>
              <w:jc w:val="right"/>
              <w:textAlignment w:val="bottom"/>
            </w:pPr>
            <w:r>
              <w:rPr>
                <w:rFonts w:ascii="Arial" w:eastAsia="宋体" w:hAnsi="Arial" w:cs="Arial"/>
                <w:color w:val="000000"/>
                <w:sz w:val="14"/>
                <w:szCs w:val="14"/>
              </w:rPr>
              <w:t>21,185 </w:t>
            </w:r>
          </w:p>
        </w:tc>
        <w:tc>
          <w:tcPr>
            <w:tcW w:w="0" w:type="auto"/>
            <w:shd w:val="clear" w:color="auto" w:fill="CCEEFF"/>
            <w:tcMar>
              <w:top w:w="40" w:type="dxa"/>
              <w:left w:w="0" w:type="dxa"/>
              <w:bottom w:w="40" w:type="dxa"/>
              <w:right w:w="20" w:type="dxa"/>
            </w:tcMar>
            <w:vAlign w:val="bottom"/>
          </w:tcPr>
          <w:p w14:paraId="5F2CD020" w14:textId="77777777" w:rsidR="00E836FB" w:rsidRDefault="00E836FB">
            <w:pPr>
              <w:jc w:val="right"/>
              <w:rPr>
                <w:rFonts w:ascii="宋体"/>
              </w:rPr>
            </w:pPr>
          </w:p>
        </w:tc>
      </w:tr>
      <w:tr w:rsidR="00E836FB" w14:paraId="5F2CD02B" w14:textId="77777777">
        <w:tc>
          <w:tcPr>
            <w:tcW w:w="0" w:type="auto"/>
            <w:gridSpan w:val="3"/>
            <w:shd w:val="clear" w:color="auto" w:fill="FFFFFF"/>
            <w:tcMar>
              <w:top w:w="40" w:type="dxa"/>
              <w:left w:w="20" w:type="dxa"/>
              <w:bottom w:w="40" w:type="dxa"/>
              <w:right w:w="20" w:type="dxa"/>
            </w:tcMar>
            <w:vAlign w:val="bottom"/>
          </w:tcPr>
          <w:p w14:paraId="5F2CD022" w14:textId="77777777" w:rsidR="00E836FB" w:rsidRDefault="00994958">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5F2CD023" w14:textId="77777777" w:rsidR="00E836FB" w:rsidRDefault="00994958">
            <w:pPr>
              <w:jc w:val="right"/>
              <w:textAlignment w:val="bottom"/>
            </w:pPr>
            <w:r>
              <w:rPr>
                <w:rFonts w:ascii="Arial" w:eastAsia="宋体" w:hAnsi="Arial" w:cs="Arial"/>
                <w:color w:val="000000"/>
                <w:sz w:val="14"/>
                <w:szCs w:val="14"/>
              </w:rPr>
              <w:t>13,764 </w:t>
            </w:r>
          </w:p>
        </w:tc>
        <w:tc>
          <w:tcPr>
            <w:tcW w:w="0" w:type="auto"/>
            <w:shd w:val="clear" w:color="auto" w:fill="FFFFFF"/>
            <w:tcMar>
              <w:top w:w="40" w:type="dxa"/>
              <w:left w:w="0" w:type="dxa"/>
              <w:bottom w:w="40" w:type="dxa"/>
              <w:right w:w="20" w:type="dxa"/>
            </w:tcMar>
            <w:vAlign w:val="bottom"/>
          </w:tcPr>
          <w:p w14:paraId="5F2CD0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2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26" w14:textId="77777777" w:rsidR="00E836FB" w:rsidRDefault="00994958">
            <w:pPr>
              <w:jc w:val="right"/>
              <w:textAlignment w:val="bottom"/>
            </w:pPr>
            <w:r>
              <w:rPr>
                <w:rFonts w:ascii="Arial" w:eastAsia="宋体" w:hAnsi="Arial" w:cs="Arial"/>
                <w:color w:val="000000"/>
                <w:sz w:val="14"/>
                <w:szCs w:val="14"/>
              </w:rPr>
              <w:t>1,468 </w:t>
            </w:r>
          </w:p>
        </w:tc>
        <w:tc>
          <w:tcPr>
            <w:tcW w:w="0" w:type="auto"/>
            <w:shd w:val="clear" w:color="auto" w:fill="FFFFFF"/>
            <w:tcMar>
              <w:top w:w="40" w:type="dxa"/>
              <w:left w:w="0" w:type="dxa"/>
              <w:bottom w:w="40" w:type="dxa"/>
              <w:right w:w="20" w:type="dxa"/>
            </w:tcMar>
            <w:vAlign w:val="bottom"/>
          </w:tcPr>
          <w:p w14:paraId="5F2CD0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2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29" w14:textId="77777777" w:rsidR="00E836FB" w:rsidRDefault="00994958">
            <w:pPr>
              <w:jc w:val="right"/>
              <w:textAlignment w:val="bottom"/>
            </w:pPr>
            <w:r>
              <w:rPr>
                <w:rFonts w:ascii="Arial" w:eastAsia="宋体" w:hAnsi="Arial" w:cs="Arial"/>
                <w:color w:val="000000"/>
                <w:sz w:val="14"/>
                <w:szCs w:val="14"/>
              </w:rPr>
              <w:t>15,232 </w:t>
            </w:r>
          </w:p>
        </w:tc>
        <w:tc>
          <w:tcPr>
            <w:tcW w:w="0" w:type="auto"/>
            <w:shd w:val="clear" w:color="auto" w:fill="FFFFFF"/>
            <w:tcMar>
              <w:top w:w="40" w:type="dxa"/>
              <w:left w:w="0" w:type="dxa"/>
              <w:bottom w:w="40" w:type="dxa"/>
              <w:right w:w="20" w:type="dxa"/>
            </w:tcMar>
            <w:vAlign w:val="bottom"/>
          </w:tcPr>
          <w:p w14:paraId="5F2CD02A" w14:textId="77777777" w:rsidR="00E836FB" w:rsidRDefault="00E836FB">
            <w:pPr>
              <w:jc w:val="right"/>
              <w:rPr>
                <w:rFonts w:ascii="宋体"/>
              </w:rPr>
            </w:pPr>
          </w:p>
        </w:tc>
      </w:tr>
      <w:tr w:rsidR="00E836FB" w14:paraId="5F2CD035" w14:textId="77777777">
        <w:tc>
          <w:tcPr>
            <w:tcW w:w="0" w:type="auto"/>
            <w:gridSpan w:val="3"/>
            <w:shd w:val="clear" w:color="auto" w:fill="CCEEFF"/>
            <w:tcMar>
              <w:top w:w="40" w:type="dxa"/>
              <w:left w:w="20" w:type="dxa"/>
              <w:bottom w:w="40" w:type="dxa"/>
              <w:right w:w="20" w:type="dxa"/>
            </w:tcMar>
            <w:vAlign w:val="bottom"/>
          </w:tcPr>
          <w:p w14:paraId="5F2CD02C" w14:textId="77777777" w:rsidR="00E836FB" w:rsidRDefault="00994958">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5F2CD02D" w14:textId="77777777" w:rsidR="00E836FB" w:rsidRDefault="00994958">
            <w:pPr>
              <w:jc w:val="right"/>
              <w:textAlignment w:val="bottom"/>
            </w:pPr>
            <w:r>
              <w:rPr>
                <w:rFonts w:ascii="Arial" w:eastAsia="宋体" w:hAnsi="Arial" w:cs="Arial"/>
                <w:color w:val="000000"/>
                <w:sz w:val="14"/>
                <w:szCs w:val="14"/>
              </w:rPr>
              <w:t>11,121 </w:t>
            </w:r>
          </w:p>
        </w:tc>
        <w:tc>
          <w:tcPr>
            <w:tcW w:w="0" w:type="auto"/>
            <w:shd w:val="clear" w:color="auto" w:fill="CCEEFF"/>
            <w:tcMar>
              <w:top w:w="40" w:type="dxa"/>
              <w:left w:w="0" w:type="dxa"/>
              <w:bottom w:w="40" w:type="dxa"/>
              <w:right w:w="20" w:type="dxa"/>
            </w:tcMar>
            <w:vAlign w:val="bottom"/>
          </w:tcPr>
          <w:p w14:paraId="5F2CD02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2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30" w14:textId="77777777" w:rsidR="00E836FB" w:rsidRDefault="00994958">
            <w:pPr>
              <w:jc w:val="right"/>
              <w:textAlignment w:val="bottom"/>
            </w:pPr>
            <w:r>
              <w:rPr>
                <w:rFonts w:ascii="Arial" w:eastAsia="宋体" w:hAnsi="Arial" w:cs="Arial"/>
                <w:color w:val="000000"/>
                <w:sz w:val="14"/>
                <w:szCs w:val="14"/>
              </w:rPr>
              <w:t>555 </w:t>
            </w:r>
          </w:p>
        </w:tc>
        <w:tc>
          <w:tcPr>
            <w:tcW w:w="0" w:type="auto"/>
            <w:shd w:val="clear" w:color="auto" w:fill="CCEEFF"/>
            <w:tcMar>
              <w:top w:w="40" w:type="dxa"/>
              <w:left w:w="0" w:type="dxa"/>
              <w:bottom w:w="40" w:type="dxa"/>
              <w:right w:w="20" w:type="dxa"/>
            </w:tcMar>
            <w:vAlign w:val="bottom"/>
          </w:tcPr>
          <w:p w14:paraId="5F2CD0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3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33" w14:textId="77777777" w:rsidR="00E836FB" w:rsidRDefault="00994958">
            <w:pPr>
              <w:jc w:val="right"/>
              <w:textAlignment w:val="bottom"/>
            </w:pPr>
            <w:r>
              <w:rPr>
                <w:rFonts w:ascii="Arial" w:eastAsia="宋体" w:hAnsi="Arial" w:cs="Arial"/>
                <w:color w:val="000000"/>
                <w:sz w:val="14"/>
                <w:szCs w:val="14"/>
              </w:rPr>
              <w:t>11,676 </w:t>
            </w:r>
          </w:p>
        </w:tc>
        <w:tc>
          <w:tcPr>
            <w:tcW w:w="0" w:type="auto"/>
            <w:shd w:val="clear" w:color="auto" w:fill="CCEEFF"/>
            <w:tcMar>
              <w:top w:w="40" w:type="dxa"/>
              <w:left w:w="0" w:type="dxa"/>
              <w:bottom w:w="40" w:type="dxa"/>
              <w:right w:w="20" w:type="dxa"/>
            </w:tcMar>
            <w:vAlign w:val="bottom"/>
          </w:tcPr>
          <w:p w14:paraId="5F2CD034" w14:textId="77777777" w:rsidR="00E836FB" w:rsidRDefault="00E836FB">
            <w:pPr>
              <w:jc w:val="right"/>
              <w:rPr>
                <w:rFonts w:ascii="宋体"/>
              </w:rPr>
            </w:pPr>
          </w:p>
        </w:tc>
      </w:tr>
      <w:tr w:rsidR="00E836FB" w14:paraId="5F2CD03F" w14:textId="77777777">
        <w:tc>
          <w:tcPr>
            <w:tcW w:w="0" w:type="auto"/>
            <w:gridSpan w:val="3"/>
            <w:shd w:val="clear" w:color="auto" w:fill="FFFFFF"/>
            <w:tcMar>
              <w:top w:w="40" w:type="dxa"/>
              <w:left w:w="20" w:type="dxa"/>
              <w:bottom w:w="40" w:type="dxa"/>
              <w:right w:w="20" w:type="dxa"/>
            </w:tcMar>
            <w:vAlign w:val="bottom"/>
          </w:tcPr>
          <w:p w14:paraId="5F2CD036" w14:textId="77777777" w:rsidR="00E836FB" w:rsidRDefault="00994958">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5F2CD037" w14:textId="77777777" w:rsidR="00E836FB" w:rsidRDefault="00994958">
            <w:pPr>
              <w:jc w:val="right"/>
              <w:textAlignment w:val="bottom"/>
            </w:pPr>
            <w:r>
              <w:rPr>
                <w:rFonts w:ascii="Arial" w:eastAsia="宋体" w:hAnsi="Arial" w:cs="Arial"/>
                <w:color w:val="000000"/>
                <w:sz w:val="14"/>
                <w:szCs w:val="14"/>
              </w:rPr>
              <w:t>3,399 </w:t>
            </w:r>
          </w:p>
        </w:tc>
        <w:tc>
          <w:tcPr>
            <w:tcW w:w="0" w:type="auto"/>
            <w:shd w:val="clear" w:color="auto" w:fill="FFFFFF"/>
            <w:tcMar>
              <w:top w:w="40" w:type="dxa"/>
              <w:left w:w="0" w:type="dxa"/>
              <w:bottom w:w="40" w:type="dxa"/>
              <w:right w:w="20" w:type="dxa"/>
            </w:tcMar>
            <w:vAlign w:val="bottom"/>
          </w:tcPr>
          <w:p w14:paraId="5F2CD0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3A" w14:textId="77777777" w:rsidR="00E836FB" w:rsidRDefault="00994958">
            <w:pPr>
              <w:jc w:val="right"/>
              <w:textAlignment w:val="bottom"/>
            </w:pPr>
            <w:r>
              <w:rPr>
                <w:rFonts w:ascii="Arial" w:eastAsia="宋体" w:hAnsi="Arial" w:cs="Arial"/>
                <w:color w:val="000000"/>
                <w:sz w:val="14"/>
                <w:szCs w:val="14"/>
              </w:rPr>
              <w:t>668 </w:t>
            </w:r>
          </w:p>
        </w:tc>
        <w:tc>
          <w:tcPr>
            <w:tcW w:w="0" w:type="auto"/>
            <w:shd w:val="clear" w:color="auto" w:fill="FFFFFF"/>
            <w:tcMar>
              <w:top w:w="40" w:type="dxa"/>
              <w:left w:w="0" w:type="dxa"/>
              <w:bottom w:w="40" w:type="dxa"/>
              <w:right w:w="20" w:type="dxa"/>
            </w:tcMar>
            <w:vAlign w:val="bottom"/>
          </w:tcPr>
          <w:p w14:paraId="5F2CD0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3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3D" w14:textId="77777777" w:rsidR="00E836FB" w:rsidRDefault="00994958">
            <w:pPr>
              <w:jc w:val="right"/>
              <w:textAlignment w:val="bottom"/>
            </w:pPr>
            <w:r>
              <w:rPr>
                <w:rFonts w:ascii="Arial" w:eastAsia="宋体" w:hAnsi="Arial" w:cs="Arial"/>
                <w:color w:val="000000"/>
                <w:sz w:val="14"/>
                <w:szCs w:val="14"/>
              </w:rPr>
              <w:t>4,067 </w:t>
            </w:r>
          </w:p>
        </w:tc>
        <w:tc>
          <w:tcPr>
            <w:tcW w:w="0" w:type="auto"/>
            <w:shd w:val="clear" w:color="auto" w:fill="FFFFFF"/>
            <w:tcMar>
              <w:top w:w="40" w:type="dxa"/>
              <w:left w:w="0" w:type="dxa"/>
              <w:bottom w:w="40" w:type="dxa"/>
              <w:right w:w="20" w:type="dxa"/>
            </w:tcMar>
            <w:vAlign w:val="bottom"/>
          </w:tcPr>
          <w:p w14:paraId="5F2CD03E" w14:textId="77777777" w:rsidR="00E836FB" w:rsidRDefault="00E836FB">
            <w:pPr>
              <w:jc w:val="right"/>
              <w:rPr>
                <w:rFonts w:ascii="宋体"/>
              </w:rPr>
            </w:pPr>
          </w:p>
        </w:tc>
      </w:tr>
      <w:tr w:rsidR="00E836FB" w14:paraId="5F2CD049" w14:textId="77777777">
        <w:tc>
          <w:tcPr>
            <w:tcW w:w="0" w:type="auto"/>
            <w:gridSpan w:val="3"/>
            <w:shd w:val="clear" w:color="auto" w:fill="CCEEFF"/>
            <w:tcMar>
              <w:top w:w="40" w:type="dxa"/>
              <w:left w:w="20" w:type="dxa"/>
              <w:bottom w:w="40" w:type="dxa"/>
              <w:right w:w="20" w:type="dxa"/>
            </w:tcMar>
            <w:vAlign w:val="bottom"/>
          </w:tcPr>
          <w:p w14:paraId="5F2CD040" w14:textId="77777777" w:rsidR="00E836FB" w:rsidRDefault="00994958">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5F2CD041" w14:textId="77777777" w:rsidR="00E836FB" w:rsidRDefault="00994958">
            <w:pPr>
              <w:jc w:val="right"/>
              <w:textAlignment w:val="bottom"/>
            </w:pPr>
            <w:r>
              <w:rPr>
                <w:rFonts w:ascii="Arial" w:eastAsia="宋体" w:hAnsi="Arial" w:cs="Arial"/>
                <w:color w:val="000000"/>
                <w:sz w:val="14"/>
                <w:szCs w:val="14"/>
              </w:rPr>
              <w:t>2,955 </w:t>
            </w:r>
          </w:p>
        </w:tc>
        <w:tc>
          <w:tcPr>
            <w:tcW w:w="0" w:type="auto"/>
            <w:shd w:val="clear" w:color="auto" w:fill="CCEEFF"/>
            <w:tcMar>
              <w:top w:w="40" w:type="dxa"/>
              <w:left w:w="0" w:type="dxa"/>
              <w:bottom w:w="40" w:type="dxa"/>
              <w:right w:w="20" w:type="dxa"/>
            </w:tcMar>
            <w:vAlign w:val="bottom"/>
          </w:tcPr>
          <w:p w14:paraId="5F2CD04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4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44" w14:textId="77777777" w:rsidR="00E836FB" w:rsidRDefault="00994958">
            <w:pPr>
              <w:jc w:val="right"/>
              <w:textAlignment w:val="bottom"/>
            </w:pPr>
            <w:r>
              <w:rPr>
                <w:rFonts w:ascii="Arial" w:eastAsia="宋体" w:hAnsi="Arial" w:cs="Arial"/>
                <w:color w:val="000000"/>
                <w:sz w:val="14"/>
                <w:szCs w:val="14"/>
              </w:rPr>
              <w:t>783 </w:t>
            </w:r>
          </w:p>
        </w:tc>
        <w:tc>
          <w:tcPr>
            <w:tcW w:w="0" w:type="auto"/>
            <w:shd w:val="clear" w:color="auto" w:fill="CCEEFF"/>
            <w:tcMar>
              <w:top w:w="40" w:type="dxa"/>
              <w:left w:w="0" w:type="dxa"/>
              <w:bottom w:w="40" w:type="dxa"/>
              <w:right w:w="20" w:type="dxa"/>
            </w:tcMar>
            <w:vAlign w:val="bottom"/>
          </w:tcPr>
          <w:p w14:paraId="5F2CD0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4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47" w14:textId="77777777" w:rsidR="00E836FB" w:rsidRDefault="00994958">
            <w:pPr>
              <w:jc w:val="right"/>
              <w:textAlignment w:val="bottom"/>
            </w:pPr>
            <w:r>
              <w:rPr>
                <w:rFonts w:ascii="Arial" w:eastAsia="宋体" w:hAnsi="Arial" w:cs="Arial"/>
                <w:color w:val="000000"/>
                <w:sz w:val="14"/>
                <w:szCs w:val="14"/>
              </w:rPr>
              <w:t>3,738 </w:t>
            </w:r>
          </w:p>
        </w:tc>
        <w:tc>
          <w:tcPr>
            <w:tcW w:w="0" w:type="auto"/>
            <w:shd w:val="clear" w:color="auto" w:fill="CCEEFF"/>
            <w:tcMar>
              <w:top w:w="40" w:type="dxa"/>
              <w:left w:w="0" w:type="dxa"/>
              <w:bottom w:w="40" w:type="dxa"/>
              <w:right w:w="20" w:type="dxa"/>
            </w:tcMar>
            <w:vAlign w:val="bottom"/>
          </w:tcPr>
          <w:p w14:paraId="5F2CD048" w14:textId="77777777" w:rsidR="00E836FB" w:rsidRDefault="00E836FB">
            <w:pPr>
              <w:jc w:val="right"/>
              <w:rPr>
                <w:rFonts w:ascii="宋体"/>
              </w:rPr>
            </w:pPr>
          </w:p>
        </w:tc>
      </w:tr>
      <w:tr w:rsidR="00E836FB" w14:paraId="5F2CD053" w14:textId="77777777">
        <w:tc>
          <w:tcPr>
            <w:tcW w:w="0" w:type="auto"/>
            <w:gridSpan w:val="3"/>
            <w:shd w:val="clear" w:color="auto" w:fill="FFFFFF"/>
            <w:tcMar>
              <w:top w:w="40" w:type="dxa"/>
              <w:left w:w="20" w:type="dxa"/>
              <w:bottom w:w="40" w:type="dxa"/>
              <w:right w:w="20" w:type="dxa"/>
            </w:tcMar>
            <w:vAlign w:val="bottom"/>
          </w:tcPr>
          <w:p w14:paraId="5F2CD04A" w14:textId="77777777" w:rsidR="00E836FB" w:rsidRDefault="00994958">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5F2CD04B" w14:textId="77777777" w:rsidR="00E836FB" w:rsidRDefault="00994958">
            <w:pPr>
              <w:jc w:val="right"/>
              <w:textAlignment w:val="bottom"/>
            </w:pPr>
            <w:r>
              <w:rPr>
                <w:rFonts w:ascii="Arial" w:eastAsia="宋体" w:hAnsi="Arial" w:cs="Arial"/>
                <w:color w:val="000000"/>
                <w:sz w:val="14"/>
                <w:szCs w:val="14"/>
              </w:rPr>
              <w:t>3,100 </w:t>
            </w:r>
          </w:p>
        </w:tc>
        <w:tc>
          <w:tcPr>
            <w:tcW w:w="0" w:type="auto"/>
            <w:shd w:val="clear" w:color="auto" w:fill="FFFFFF"/>
            <w:tcMar>
              <w:top w:w="40" w:type="dxa"/>
              <w:left w:w="0" w:type="dxa"/>
              <w:bottom w:w="40" w:type="dxa"/>
              <w:right w:w="20" w:type="dxa"/>
            </w:tcMar>
            <w:vAlign w:val="bottom"/>
          </w:tcPr>
          <w:p w14:paraId="5F2CD04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4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4E" w14:textId="77777777" w:rsidR="00E836FB" w:rsidRDefault="00994958">
            <w:pPr>
              <w:jc w:val="right"/>
              <w:textAlignment w:val="bottom"/>
            </w:pPr>
            <w:r>
              <w:rPr>
                <w:rFonts w:ascii="Arial" w:eastAsia="宋体" w:hAnsi="Arial" w:cs="Arial"/>
                <w:color w:val="000000"/>
                <w:sz w:val="14"/>
                <w:szCs w:val="14"/>
              </w:rPr>
              <w:t>597 </w:t>
            </w:r>
          </w:p>
        </w:tc>
        <w:tc>
          <w:tcPr>
            <w:tcW w:w="0" w:type="auto"/>
            <w:shd w:val="clear" w:color="auto" w:fill="FFFFFF"/>
            <w:tcMar>
              <w:top w:w="40" w:type="dxa"/>
              <w:left w:w="0" w:type="dxa"/>
              <w:bottom w:w="40" w:type="dxa"/>
              <w:right w:w="20" w:type="dxa"/>
            </w:tcMar>
            <w:vAlign w:val="bottom"/>
          </w:tcPr>
          <w:p w14:paraId="5F2CD04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5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51" w14:textId="77777777" w:rsidR="00E836FB" w:rsidRDefault="00994958">
            <w:pPr>
              <w:jc w:val="right"/>
              <w:textAlignment w:val="bottom"/>
            </w:pPr>
            <w:r>
              <w:rPr>
                <w:rFonts w:ascii="Arial" w:eastAsia="宋体" w:hAnsi="Arial" w:cs="Arial"/>
                <w:color w:val="000000"/>
                <w:sz w:val="14"/>
                <w:szCs w:val="14"/>
              </w:rPr>
              <w:t>3,697 </w:t>
            </w:r>
          </w:p>
        </w:tc>
        <w:tc>
          <w:tcPr>
            <w:tcW w:w="0" w:type="auto"/>
            <w:shd w:val="clear" w:color="auto" w:fill="FFFFFF"/>
            <w:tcMar>
              <w:top w:w="40" w:type="dxa"/>
              <w:left w:w="0" w:type="dxa"/>
              <w:bottom w:w="40" w:type="dxa"/>
              <w:right w:w="20" w:type="dxa"/>
            </w:tcMar>
            <w:vAlign w:val="bottom"/>
          </w:tcPr>
          <w:p w14:paraId="5F2CD052" w14:textId="77777777" w:rsidR="00E836FB" w:rsidRDefault="00E836FB">
            <w:pPr>
              <w:jc w:val="right"/>
              <w:rPr>
                <w:rFonts w:ascii="宋体"/>
              </w:rPr>
            </w:pPr>
          </w:p>
        </w:tc>
      </w:tr>
      <w:tr w:rsidR="00E836FB" w14:paraId="5F2CD05D" w14:textId="77777777">
        <w:tc>
          <w:tcPr>
            <w:tcW w:w="0" w:type="auto"/>
            <w:gridSpan w:val="3"/>
            <w:shd w:val="clear" w:color="auto" w:fill="CCEEFF"/>
            <w:tcMar>
              <w:top w:w="40" w:type="dxa"/>
              <w:left w:w="20" w:type="dxa"/>
              <w:bottom w:w="40" w:type="dxa"/>
              <w:right w:w="20" w:type="dxa"/>
            </w:tcMar>
            <w:vAlign w:val="bottom"/>
          </w:tcPr>
          <w:p w14:paraId="5F2CD054" w14:textId="77777777" w:rsidR="00E836FB" w:rsidRDefault="00994958">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5F2CD055" w14:textId="77777777" w:rsidR="00E836FB" w:rsidRDefault="00994958">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5F2CD0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5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58" w14:textId="77777777" w:rsidR="00E836FB" w:rsidRDefault="00994958">
            <w:pPr>
              <w:jc w:val="right"/>
              <w:textAlignment w:val="bottom"/>
            </w:pPr>
            <w:r>
              <w:rPr>
                <w:rFonts w:ascii="Arial" w:eastAsia="宋体" w:hAnsi="Arial" w:cs="Arial"/>
                <w:color w:val="000000"/>
                <w:sz w:val="14"/>
                <w:szCs w:val="14"/>
              </w:rPr>
              <w:t>240 </w:t>
            </w:r>
          </w:p>
        </w:tc>
        <w:tc>
          <w:tcPr>
            <w:tcW w:w="0" w:type="auto"/>
            <w:shd w:val="clear" w:color="auto" w:fill="CCEEFF"/>
            <w:tcMar>
              <w:top w:w="40" w:type="dxa"/>
              <w:left w:w="0" w:type="dxa"/>
              <w:bottom w:w="40" w:type="dxa"/>
              <w:right w:w="20" w:type="dxa"/>
            </w:tcMar>
            <w:vAlign w:val="bottom"/>
          </w:tcPr>
          <w:p w14:paraId="5F2CD0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5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5B" w14:textId="77777777" w:rsidR="00E836FB" w:rsidRDefault="00994958">
            <w:pPr>
              <w:jc w:val="right"/>
              <w:textAlignment w:val="bottom"/>
            </w:pPr>
            <w:r>
              <w:rPr>
                <w:rFonts w:ascii="Arial" w:eastAsia="宋体" w:hAnsi="Arial" w:cs="Arial"/>
                <w:color w:val="000000"/>
                <w:sz w:val="14"/>
                <w:szCs w:val="14"/>
              </w:rPr>
              <w:t>3,053 </w:t>
            </w:r>
          </w:p>
        </w:tc>
        <w:tc>
          <w:tcPr>
            <w:tcW w:w="0" w:type="auto"/>
            <w:shd w:val="clear" w:color="auto" w:fill="CCEEFF"/>
            <w:tcMar>
              <w:top w:w="40" w:type="dxa"/>
              <w:left w:w="0" w:type="dxa"/>
              <w:bottom w:w="40" w:type="dxa"/>
              <w:right w:w="20" w:type="dxa"/>
            </w:tcMar>
            <w:vAlign w:val="bottom"/>
          </w:tcPr>
          <w:p w14:paraId="5F2CD05C" w14:textId="77777777" w:rsidR="00E836FB" w:rsidRDefault="00E836FB">
            <w:pPr>
              <w:jc w:val="right"/>
              <w:rPr>
                <w:rFonts w:ascii="宋体"/>
              </w:rPr>
            </w:pPr>
          </w:p>
        </w:tc>
      </w:tr>
      <w:tr w:rsidR="00E836FB" w14:paraId="5F2CD067" w14:textId="77777777">
        <w:tc>
          <w:tcPr>
            <w:tcW w:w="0" w:type="auto"/>
            <w:gridSpan w:val="3"/>
            <w:shd w:val="clear" w:color="auto" w:fill="FFFFFF"/>
            <w:tcMar>
              <w:top w:w="40" w:type="dxa"/>
              <w:left w:w="20" w:type="dxa"/>
              <w:bottom w:w="40" w:type="dxa"/>
              <w:right w:w="20" w:type="dxa"/>
            </w:tcMar>
            <w:vAlign w:val="bottom"/>
          </w:tcPr>
          <w:p w14:paraId="5F2CD05E" w14:textId="77777777" w:rsidR="00E836FB" w:rsidRDefault="00994958">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5F2CD05F" w14:textId="77777777" w:rsidR="00E836FB" w:rsidRDefault="00994958">
            <w:pPr>
              <w:jc w:val="right"/>
              <w:textAlignment w:val="bottom"/>
            </w:pPr>
            <w:r>
              <w:rPr>
                <w:rFonts w:ascii="Arial" w:eastAsia="宋体" w:hAnsi="Arial" w:cs="Arial"/>
                <w:color w:val="000000"/>
                <w:sz w:val="14"/>
                <w:szCs w:val="14"/>
              </w:rPr>
              <w:t>1,988 </w:t>
            </w:r>
          </w:p>
        </w:tc>
        <w:tc>
          <w:tcPr>
            <w:tcW w:w="0" w:type="auto"/>
            <w:shd w:val="clear" w:color="auto" w:fill="FFFFFF"/>
            <w:tcMar>
              <w:top w:w="40" w:type="dxa"/>
              <w:left w:w="0" w:type="dxa"/>
              <w:bottom w:w="40" w:type="dxa"/>
              <w:right w:w="20" w:type="dxa"/>
            </w:tcMar>
            <w:vAlign w:val="bottom"/>
          </w:tcPr>
          <w:p w14:paraId="5F2CD0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62" w14:textId="77777777" w:rsidR="00E836FB" w:rsidRDefault="00994958">
            <w:pPr>
              <w:jc w:val="right"/>
              <w:textAlignment w:val="bottom"/>
            </w:pPr>
            <w:r>
              <w:rPr>
                <w:rFonts w:ascii="Arial" w:eastAsia="宋体" w:hAnsi="Arial" w:cs="Arial"/>
                <w:color w:val="000000"/>
                <w:sz w:val="14"/>
                <w:szCs w:val="14"/>
              </w:rPr>
              <w:t>641 </w:t>
            </w:r>
          </w:p>
        </w:tc>
        <w:tc>
          <w:tcPr>
            <w:tcW w:w="0" w:type="auto"/>
            <w:shd w:val="clear" w:color="auto" w:fill="FFFFFF"/>
            <w:tcMar>
              <w:top w:w="40" w:type="dxa"/>
              <w:left w:w="0" w:type="dxa"/>
              <w:bottom w:w="40" w:type="dxa"/>
              <w:right w:w="20" w:type="dxa"/>
            </w:tcMar>
            <w:vAlign w:val="bottom"/>
          </w:tcPr>
          <w:p w14:paraId="5F2CD0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0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065" w14:textId="77777777" w:rsidR="00E836FB" w:rsidRDefault="00994958">
            <w:pPr>
              <w:jc w:val="right"/>
              <w:textAlignment w:val="bottom"/>
            </w:pPr>
            <w:r>
              <w:rPr>
                <w:rFonts w:ascii="Arial" w:eastAsia="宋体" w:hAnsi="Arial" w:cs="Arial"/>
                <w:color w:val="000000"/>
                <w:sz w:val="14"/>
                <w:szCs w:val="14"/>
              </w:rPr>
              <w:t>2,629 </w:t>
            </w:r>
          </w:p>
        </w:tc>
        <w:tc>
          <w:tcPr>
            <w:tcW w:w="0" w:type="auto"/>
            <w:shd w:val="clear" w:color="auto" w:fill="FFFFFF"/>
            <w:tcMar>
              <w:top w:w="40" w:type="dxa"/>
              <w:left w:w="0" w:type="dxa"/>
              <w:bottom w:w="40" w:type="dxa"/>
              <w:right w:w="20" w:type="dxa"/>
            </w:tcMar>
            <w:vAlign w:val="bottom"/>
          </w:tcPr>
          <w:p w14:paraId="5F2CD066" w14:textId="77777777" w:rsidR="00E836FB" w:rsidRDefault="00E836FB">
            <w:pPr>
              <w:jc w:val="right"/>
              <w:rPr>
                <w:rFonts w:ascii="宋体"/>
              </w:rPr>
            </w:pPr>
          </w:p>
        </w:tc>
      </w:tr>
      <w:tr w:rsidR="00E836FB" w14:paraId="5F2CD071" w14:textId="77777777">
        <w:tc>
          <w:tcPr>
            <w:tcW w:w="0" w:type="auto"/>
            <w:gridSpan w:val="3"/>
            <w:shd w:val="clear" w:color="auto" w:fill="CCEEFF"/>
            <w:tcMar>
              <w:top w:w="40" w:type="dxa"/>
              <w:left w:w="20" w:type="dxa"/>
              <w:bottom w:w="40" w:type="dxa"/>
              <w:right w:w="20" w:type="dxa"/>
            </w:tcMar>
            <w:vAlign w:val="bottom"/>
          </w:tcPr>
          <w:p w14:paraId="5F2CD068" w14:textId="77777777" w:rsidR="00E836FB" w:rsidRDefault="00994958">
            <w:pPr>
              <w:textAlignment w:val="bottom"/>
            </w:pPr>
            <w:r>
              <w:rPr>
                <w:rFonts w:ascii="Arial" w:eastAsia="宋体" w:hAnsi="Arial" w:cs="Arial"/>
                <w:color w:val="000000"/>
                <w:sz w:val="14"/>
                <w:szCs w:val="14"/>
              </w:rPr>
              <w:t>Switzerland</w:t>
            </w:r>
          </w:p>
        </w:tc>
        <w:tc>
          <w:tcPr>
            <w:tcW w:w="0" w:type="auto"/>
            <w:gridSpan w:val="2"/>
            <w:shd w:val="clear" w:color="auto" w:fill="CCEEFF"/>
            <w:tcMar>
              <w:top w:w="40" w:type="dxa"/>
              <w:left w:w="20" w:type="dxa"/>
              <w:bottom w:w="40" w:type="dxa"/>
              <w:right w:w="0" w:type="dxa"/>
            </w:tcMar>
            <w:vAlign w:val="bottom"/>
          </w:tcPr>
          <w:p w14:paraId="5F2CD069" w14:textId="77777777" w:rsidR="00E836FB" w:rsidRDefault="00994958">
            <w:pPr>
              <w:jc w:val="right"/>
              <w:textAlignment w:val="bottom"/>
            </w:pPr>
            <w:r>
              <w:rPr>
                <w:rFonts w:ascii="Arial" w:eastAsia="宋体" w:hAnsi="Arial" w:cs="Arial"/>
                <w:color w:val="000000"/>
                <w:sz w:val="14"/>
                <w:szCs w:val="14"/>
              </w:rPr>
              <w:t>1,724 </w:t>
            </w:r>
          </w:p>
        </w:tc>
        <w:tc>
          <w:tcPr>
            <w:tcW w:w="0" w:type="auto"/>
            <w:shd w:val="clear" w:color="auto" w:fill="CCEEFF"/>
            <w:tcMar>
              <w:top w:w="40" w:type="dxa"/>
              <w:left w:w="0" w:type="dxa"/>
              <w:bottom w:w="40" w:type="dxa"/>
              <w:right w:w="20" w:type="dxa"/>
            </w:tcMar>
            <w:vAlign w:val="bottom"/>
          </w:tcPr>
          <w:p w14:paraId="5F2CD0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6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6C" w14:textId="77777777" w:rsidR="00E836FB" w:rsidRDefault="00994958">
            <w:pPr>
              <w:jc w:val="right"/>
              <w:textAlignment w:val="bottom"/>
            </w:pPr>
            <w:r>
              <w:rPr>
                <w:rFonts w:ascii="Arial" w:eastAsia="宋体" w:hAnsi="Arial" w:cs="Arial"/>
                <w:color w:val="000000"/>
                <w:sz w:val="14"/>
                <w:szCs w:val="14"/>
              </w:rPr>
              <w:t>589 </w:t>
            </w:r>
          </w:p>
        </w:tc>
        <w:tc>
          <w:tcPr>
            <w:tcW w:w="0" w:type="auto"/>
            <w:shd w:val="clear" w:color="auto" w:fill="CCEEFF"/>
            <w:tcMar>
              <w:top w:w="40" w:type="dxa"/>
              <w:left w:w="0" w:type="dxa"/>
              <w:bottom w:w="40" w:type="dxa"/>
              <w:right w:w="20" w:type="dxa"/>
            </w:tcMar>
            <w:vAlign w:val="bottom"/>
          </w:tcPr>
          <w:p w14:paraId="5F2CD0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06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06F" w14:textId="77777777" w:rsidR="00E836FB" w:rsidRDefault="00994958">
            <w:pPr>
              <w:jc w:val="right"/>
              <w:textAlignment w:val="bottom"/>
            </w:pPr>
            <w:r>
              <w:rPr>
                <w:rFonts w:ascii="Arial" w:eastAsia="宋体" w:hAnsi="Arial" w:cs="Arial"/>
                <w:color w:val="000000"/>
                <w:sz w:val="14"/>
                <w:szCs w:val="14"/>
              </w:rPr>
              <w:t>2,313 </w:t>
            </w:r>
          </w:p>
        </w:tc>
        <w:tc>
          <w:tcPr>
            <w:tcW w:w="0" w:type="auto"/>
            <w:shd w:val="clear" w:color="auto" w:fill="CCEEFF"/>
            <w:tcMar>
              <w:top w:w="40" w:type="dxa"/>
              <w:left w:w="0" w:type="dxa"/>
              <w:bottom w:w="40" w:type="dxa"/>
              <w:right w:w="20" w:type="dxa"/>
            </w:tcMar>
            <w:vAlign w:val="bottom"/>
          </w:tcPr>
          <w:p w14:paraId="5F2CD070" w14:textId="77777777" w:rsidR="00E836FB" w:rsidRDefault="00E836FB">
            <w:pPr>
              <w:jc w:val="right"/>
              <w:rPr>
                <w:rFonts w:ascii="宋体"/>
              </w:rPr>
            </w:pPr>
          </w:p>
        </w:tc>
      </w:tr>
    </w:tbl>
    <w:p w14:paraId="5F2CD072"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E836FB" w14:paraId="5F2CD07E" w14:textId="77777777">
        <w:tc>
          <w:tcPr>
            <w:tcW w:w="50" w:type="pct"/>
            <w:shd w:val="clear" w:color="auto" w:fill="auto"/>
            <w:vAlign w:val="bottom"/>
          </w:tcPr>
          <w:p w14:paraId="5F2CD073" w14:textId="77777777" w:rsidR="00E836FB" w:rsidRDefault="00E836FB">
            <w:pPr>
              <w:rPr>
                <w:rFonts w:ascii="宋体"/>
              </w:rPr>
            </w:pPr>
          </w:p>
        </w:tc>
        <w:tc>
          <w:tcPr>
            <w:tcW w:w="2374" w:type="pct"/>
            <w:shd w:val="clear" w:color="auto" w:fill="auto"/>
            <w:vAlign w:val="bottom"/>
          </w:tcPr>
          <w:p w14:paraId="5F2CD074" w14:textId="77777777" w:rsidR="00E836FB" w:rsidRDefault="00E836FB">
            <w:pPr>
              <w:rPr>
                <w:rFonts w:ascii="宋体"/>
              </w:rPr>
            </w:pPr>
          </w:p>
        </w:tc>
        <w:tc>
          <w:tcPr>
            <w:tcW w:w="5" w:type="pct"/>
            <w:shd w:val="clear" w:color="auto" w:fill="auto"/>
            <w:vAlign w:val="bottom"/>
          </w:tcPr>
          <w:p w14:paraId="5F2CD075" w14:textId="77777777" w:rsidR="00E836FB" w:rsidRDefault="00E836FB">
            <w:pPr>
              <w:rPr>
                <w:rFonts w:ascii="宋体"/>
              </w:rPr>
            </w:pPr>
          </w:p>
        </w:tc>
        <w:tc>
          <w:tcPr>
            <w:tcW w:w="50" w:type="pct"/>
            <w:shd w:val="clear" w:color="auto" w:fill="auto"/>
            <w:vAlign w:val="bottom"/>
          </w:tcPr>
          <w:p w14:paraId="5F2CD076" w14:textId="77777777" w:rsidR="00E836FB" w:rsidRDefault="00E836FB">
            <w:pPr>
              <w:rPr>
                <w:rFonts w:ascii="宋体"/>
              </w:rPr>
            </w:pPr>
          </w:p>
        </w:tc>
        <w:tc>
          <w:tcPr>
            <w:tcW w:w="1010" w:type="pct"/>
            <w:shd w:val="clear" w:color="auto" w:fill="auto"/>
            <w:vAlign w:val="bottom"/>
          </w:tcPr>
          <w:p w14:paraId="5F2CD077" w14:textId="77777777" w:rsidR="00E836FB" w:rsidRDefault="00E836FB">
            <w:pPr>
              <w:rPr>
                <w:rFonts w:ascii="宋体"/>
              </w:rPr>
            </w:pPr>
          </w:p>
        </w:tc>
        <w:tc>
          <w:tcPr>
            <w:tcW w:w="5" w:type="pct"/>
            <w:shd w:val="clear" w:color="auto" w:fill="auto"/>
            <w:vAlign w:val="bottom"/>
          </w:tcPr>
          <w:p w14:paraId="5F2CD078" w14:textId="77777777" w:rsidR="00E836FB" w:rsidRDefault="00E836FB">
            <w:pPr>
              <w:rPr>
                <w:rFonts w:ascii="宋体"/>
              </w:rPr>
            </w:pPr>
          </w:p>
        </w:tc>
        <w:tc>
          <w:tcPr>
            <w:tcW w:w="50" w:type="pct"/>
            <w:shd w:val="clear" w:color="auto" w:fill="auto"/>
            <w:vAlign w:val="bottom"/>
          </w:tcPr>
          <w:p w14:paraId="5F2CD079" w14:textId="77777777" w:rsidR="00E836FB" w:rsidRDefault="00E836FB">
            <w:pPr>
              <w:rPr>
                <w:rFonts w:ascii="宋体"/>
              </w:rPr>
            </w:pPr>
          </w:p>
        </w:tc>
        <w:tc>
          <w:tcPr>
            <w:tcW w:w="1449" w:type="pct"/>
            <w:shd w:val="clear" w:color="auto" w:fill="auto"/>
            <w:vAlign w:val="bottom"/>
          </w:tcPr>
          <w:p w14:paraId="5F2CD07A" w14:textId="77777777" w:rsidR="00E836FB" w:rsidRDefault="00E836FB">
            <w:pPr>
              <w:rPr>
                <w:rFonts w:ascii="宋体"/>
              </w:rPr>
            </w:pPr>
          </w:p>
        </w:tc>
        <w:tc>
          <w:tcPr>
            <w:tcW w:w="5" w:type="pct"/>
            <w:shd w:val="clear" w:color="auto" w:fill="auto"/>
            <w:vAlign w:val="bottom"/>
          </w:tcPr>
          <w:p w14:paraId="5F2CD07B" w14:textId="77777777" w:rsidR="00E836FB" w:rsidRDefault="00E836FB">
            <w:pPr>
              <w:rPr>
                <w:rFonts w:ascii="宋体"/>
              </w:rPr>
            </w:pPr>
          </w:p>
        </w:tc>
        <w:tc>
          <w:tcPr>
            <w:tcW w:w="0" w:type="auto"/>
            <w:shd w:val="clear" w:color="auto" w:fill="auto"/>
            <w:vAlign w:val="bottom"/>
          </w:tcPr>
          <w:p w14:paraId="5F2CD07C" w14:textId="77777777" w:rsidR="00E836FB" w:rsidRDefault="00E836FB">
            <w:pPr>
              <w:rPr>
                <w:rFonts w:ascii="宋体"/>
                <w:vanish/>
              </w:rPr>
            </w:pPr>
          </w:p>
        </w:tc>
        <w:tc>
          <w:tcPr>
            <w:tcW w:w="0" w:type="auto"/>
            <w:shd w:val="clear" w:color="auto" w:fill="auto"/>
            <w:vAlign w:val="bottom"/>
          </w:tcPr>
          <w:p w14:paraId="5F2CD07D" w14:textId="77777777" w:rsidR="00E836FB" w:rsidRDefault="00E836FB">
            <w:pPr>
              <w:rPr>
                <w:rFonts w:ascii="宋体"/>
                <w:vanish/>
              </w:rPr>
            </w:pPr>
          </w:p>
        </w:tc>
      </w:tr>
      <w:tr w:rsidR="00E836FB" w14:paraId="5F2CD08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D07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81" w14:textId="77777777" w:rsidR="00E836FB" w:rsidRDefault="00E836FB">
            <w:pPr>
              <w:rPr>
                <w:rFonts w:ascii="宋体"/>
              </w:rPr>
            </w:pPr>
          </w:p>
        </w:tc>
        <w:tc>
          <w:tcPr>
            <w:tcW w:w="0" w:type="auto"/>
            <w:shd w:val="clear" w:color="auto" w:fill="auto"/>
            <w:vAlign w:val="bottom"/>
          </w:tcPr>
          <w:p w14:paraId="5F2CD082" w14:textId="77777777" w:rsidR="00E836FB" w:rsidRDefault="00E836FB">
            <w:pPr>
              <w:rPr>
                <w:rFonts w:ascii="宋体"/>
                <w:vanish/>
              </w:rPr>
            </w:pPr>
          </w:p>
        </w:tc>
        <w:tc>
          <w:tcPr>
            <w:tcW w:w="0" w:type="auto"/>
            <w:shd w:val="clear" w:color="auto" w:fill="auto"/>
            <w:vAlign w:val="bottom"/>
          </w:tcPr>
          <w:p w14:paraId="5F2CD083" w14:textId="77777777" w:rsidR="00E836FB" w:rsidRDefault="00E836FB">
            <w:pPr>
              <w:rPr>
                <w:rFonts w:ascii="宋体"/>
                <w:vanish/>
              </w:rPr>
            </w:pPr>
          </w:p>
        </w:tc>
      </w:tr>
    </w:tbl>
    <w:p w14:paraId="5F2CD085" w14:textId="77777777" w:rsidR="00E836FB" w:rsidRDefault="00994958">
      <w:pPr>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Cross-border outstandings included countries in which we do business, and which amounted to at least 1% of our consolidated total assets as of the dates indicated.</w:t>
      </w:r>
    </w:p>
    <w:p w14:paraId="5F2CD086" w14:textId="77777777" w:rsidR="00E836FB" w:rsidRDefault="00994958">
      <w:pPr>
        <w:spacing w:before="60"/>
        <w:ind w:firstLine="450"/>
        <w:jc w:val="both"/>
        <w:textAlignment w:val="top"/>
      </w:pPr>
      <w:r>
        <w:rPr>
          <w:rFonts w:ascii="Arial" w:eastAsia="宋体" w:hAnsi="Arial" w:cs="Arial"/>
          <w:color w:val="000000"/>
          <w:sz w:val="20"/>
          <w:szCs w:val="20"/>
        </w:rPr>
        <w:t xml:space="preserve">As of December 31, </w:t>
      </w:r>
      <w:r>
        <w:rPr>
          <w:rFonts w:ascii="Arial" w:eastAsia="宋体" w:hAnsi="Arial" w:cs="Arial"/>
          <w:color w:val="000000"/>
          <w:sz w:val="20"/>
          <w:szCs w:val="20"/>
        </w:rPr>
        <w:t>2021, aggregate cross-border outstandings in France amounted to between 0.75% and 1% of our consolidated assets, at approximately $2.83 billion. As of December 31, 2020, aggregate cross-border outstandings in each of Switzerland and Ireland amounted to bet</w:t>
      </w:r>
      <w:r>
        <w:rPr>
          <w:rFonts w:ascii="Arial" w:eastAsia="宋体" w:hAnsi="Arial" w:cs="Arial"/>
          <w:color w:val="000000"/>
          <w:sz w:val="20"/>
          <w:szCs w:val="20"/>
        </w:rPr>
        <w:t>ween 0.75% and 1% of our consolidated assets, at approximately $3.13 billion and $2.93 billion, respectively. As of December 31, 2019, aggregate cross-border outstandings in the Netherlands amounted to between 0.75% and 1% of our consolidated assets, at ap</w:t>
      </w:r>
      <w:r>
        <w:rPr>
          <w:rFonts w:ascii="Arial" w:eastAsia="宋体" w:hAnsi="Arial" w:cs="Arial"/>
          <w:color w:val="000000"/>
          <w:sz w:val="20"/>
          <w:szCs w:val="20"/>
        </w:rPr>
        <w:t>proximately $1.89 billion.</w:t>
      </w:r>
    </w:p>
    <w:p w14:paraId="5F2CD087" w14:textId="77777777" w:rsidR="00E836FB" w:rsidRDefault="00994958">
      <w:pPr>
        <w:spacing w:before="90"/>
        <w:textAlignment w:val="top"/>
      </w:pPr>
      <w:r>
        <w:rPr>
          <w:rFonts w:ascii="Arial" w:eastAsia="宋体" w:hAnsi="Arial" w:cs="Arial"/>
          <w:b/>
          <w:bCs/>
          <w:color w:val="000000"/>
          <w:sz w:val="20"/>
          <w:szCs w:val="20"/>
        </w:rPr>
        <w:t>Risk Management</w:t>
      </w:r>
    </w:p>
    <w:p w14:paraId="5F2CD088" w14:textId="77777777" w:rsidR="00E836FB" w:rsidRDefault="00994958">
      <w:pPr>
        <w:spacing w:before="90"/>
        <w:jc w:val="both"/>
        <w:textAlignment w:val="top"/>
      </w:pPr>
      <w:r>
        <w:rPr>
          <w:rFonts w:ascii="Arial" w:eastAsia="宋体" w:hAnsi="Arial" w:cs="Arial"/>
          <w:b/>
          <w:bCs/>
          <w:color w:val="000000"/>
          <w:sz w:val="20"/>
          <w:szCs w:val="20"/>
        </w:rPr>
        <w:t>General</w:t>
      </w:r>
    </w:p>
    <w:p w14:paraId="5F2CD089" w14:textId="77777777" w:rsidR="00E836FB" w:rsidRDefault="00994958">
      <w:pPr>
        <w:spacing w:before="60"/>
        <w:ind w:firstLine="450"/>
        <w:jc w:val="both"/>
        <w:textAlignment w:val="top"/>
      </w:pPr>
      <w:r>
        <w:rPr>
          <w:rFonts w:ascii="Arial" w:eastAsia="宋体" w:hAnsi="Arial" w:cs="Arial"/>
          <w:color w:val="000000"/>
          <w:sz w:val="20"/>
          <w:szCs w:val="20"/>
        </w:rPr>
        <w:t>In the normal course of our global business activities, we are exposed to a variety of risks, some inherent in the financial services industry, others more specific to our business activities. Our risk man</w:t>
      </w:r>
      <w:r>
        <w:rPr>
          <w:rFonts w:ascii="Arial" w:eastAsia="宋体" w:hAnsi="Arial" w:cs="Arial"/>
          <w:color w:val="000000"/>
          <w:sz w:val="20"/>
          <w:szCs w:val="20"/>
        </w:rPr>
        <w:t>agement framework focuses on material risks, which include the following:</w:t>
      </w:r>
    </w:p>
    <w:p w14:paraId="5F2CD08A" w14:textId="77777777" w:rsidR="00E836FB" w:rsidRDefault="00994958">
      <w:pPr>
        <w:spacing w:before="60"/>
        <w:ind w:hanging="360"/>
        <w:jc w:val="both"/>
        <w:textAlignment w:val="top"/>
      </w:pPr>
      <w:r>
        <w:rPr>
          <w:rFonts w:ascii="Arial" w:eastAsia="宋体" w:hAnsi="Arial" w:cs="Arial"/>
          <w:color w:val="000000"/>
          <w:sz w:val="20"/>
          <w:szCs w:val="20"/>
        </w:rPr>
        <w:t>•credit and counterparty risk;</w:t>
      </w:r>
    </w:p>
    <w:p w14:paraId="5F2CD08B" w14:textId="77777777" w:rsidR="00E836FB" w:rsidRDefault="00994958">
      <w:pPr>
        <w:spacing w:before="60"/>
        <w:ind w:hanging="360"/>
        <w:jc w:val="both"/>
        <w:textAlignment w:val="top"/>
      </w:pPr>
      <w:r>
        <w:rPr>
          <w:rFonts w:ascii="Arial" w:eastAsia="宋体" w:hAnsi="Arial" w:cs="Arial"/>
          <w:color w:val="000000"/>
          <w:sz w:val="20"/>
          <w:szCs w:val="20"/>
        </w:rPr>
        <w:t xml:space="preserve">•liquidity risk, funding and management; </w:t>
      </w:r>
    </w:p>
    <w:p w14:paraId="5F2CD08C" w14:textId="77777777" w:rsidR="00E836FB" w:rsidRDefault="00994958">
      <w:pPr>
        <w:spacing w:before="60"/>
        <w:ind w:hanging="360"/>
        <w:jc w:val="both"/>
        <w:textAlignment w:val="top"/>
      </w:pPr>
      <w:r>
        <w:rPr>
          <w:rFonts w:ascii="Arial" w:eastAsia="宋体" w:hAnsi="Arial" w:cs="Arial"/>
          <w:color w:val="000000"/>
          <w:sz w:val="20"/>
          <w:szCs w:val="20"/>
        </w:rPr>
        <w:t>•operational risk;</w:t>
      </w:r>
    </w:p>
    <w:p w14:paraId="5F2CD08D" w14:textId="77777777" w:rsidR="00E836FB" w:rsidRDefault="00994958">
      <w:pPr>
        <w:spacing w:before="60"/>
        <w:ind w:hanging="360"/>
        <w:jc w:val="both"/>
        <w:textAlignment w:val="top"/>
      </w:pPr>
      <w:r>
        <w:rPr>
          <w:rFonts w:ascii="Arial" w:eastAsia="宋体" w:hAnsi="Arial" w:cs="Arial"/>
          <w:color w:val="000000"/>
          <w:sz w:val="20"/>
          <w:szCs w:val="20"/>
        </w:rPr>
        <w:t>•information technology risk;</w:t>
      </w:r>
    </w:p>
    <w:p w14:paraId="5F2CD08E" w14:textId="77777777" w:rsidR="00E836FB" w:rsidRDefault="00994958">
      <w:pPr>
        <w:spacing w:before="60"/>
        <w:ind w:hanging="360"/>
        <w:jc w:val="both"/>
        <w:textAlignment w:val="top"/>
      </w:pPr>
      <w:r>
        <w:rPr>
          <w:rFonts w:ascii="Arial" w:eastAsia="宋体" w:hAnsi="Arial" w:cs="Arial"/>
          <w:color w:val="000000"/>
          <w:sz w:val="20"/>
          <w:szCs w:val="20"/>
        </w:rPr>
        <w:t>•market risk associated with our trading activities;</w:t>
      </w:r>
    </w:p>
    <w:p w14:paraId="5F2CD08F" w14:textId="77777777" w:rsidR="00E836FB" w:rsidRDefault="00994958">
      <w:pPr>
        <w:spacing w:before="60"/>
        <w:ind w:hanging="360"/>
        <w:jc w:val="both"/>
        <w:textAlignment w:val="top"/>
      </w:pPr>
      <w:r>
        <w:rPr>
          <w:rFonts w:ascii="Arial" w:eastAsia="宋体" w:hAnsi="Arial" w:cs="Arial"/>
          <w:color w:val="000000"/>
          <w:sz w:val="20"/>
          <w:szCs w:val="20"/>
        </w:rPr>
        <w:t>•market</w:t>
      </w:r>
      <w:r>
        <w:rPr>
          <w:rFonts w:ascii="Arial" w:eastAsia="宋体" w:hAnsi="Arial" w:cs="Arial"/>
          <w:color w:val="000000"/>
          <w:sz w:val="20"/>
          <w:szCs w:val="20"/>
        </w:rPr>
        <w:t xml:space="preserve"> risk associated with our non-trading activities, which we refer to as asset and liability management, and which consists primarily of interest rate risk; </w:t>
      </w:r>
    </w:p>
    <w:p w14:paraId="5F2CD090" w14:textId="77777777" w:rsidR="00E836FB" w:rsidRDefault="00994958">
      <w:pPr>
        <w:spacing w:before="60"/>
        <w:ind w:hanging="360"/>
        <w:jc w:val="both"/>
        <w:textAlignment w:val="top"/>
      </w:pPr>
      <w:r>
        <w:rPr>
          <w:rFonts w:ascii="Arial" w:eastAsia="宋体" w:hAnsi="Arial" w:cs="Arial"/>
          <w:color w:val="000000"/>
          <w:sz w:val="20"/>
          <w:szCs w:val="20"/>
        </w:rPr>
        <w:t xml:space="preserve">•strategic risk; </w:t>
      </w:r>
    </w:p>
    <w:p w14:paraId="5F2CD091" w14:textId="77777777" w:rsidR="00E836FB" w:rsidRDefault="00994958">
      <w:pPr>
        <w:spacing w:before="60"/>
        <w:ind w:hanging="360"/>
        <w:jc w:val="both"/>
        <w:textAlignment w:val="top"/>
      </w:pPr>
      <w:r>
        <w:rPr>
          <w:rFonts w:ascii="Arial" w:eastAsia="宋体" w:hAnsi="Arial" w:cs="Arial"/>
          <w:color w:val="000000"/>
          <w:sz w:val="20"/>
          <w:szCs w:val="20"/>
        </w:rPr>
        <w:t xml:space="preserve">•model risk; and </w:t>
      </w:r>
    </w:p>
    <w:p w14:paraId="5F2CD092" w14:textId="77777777" w:rsidR="00E836FB" w:rsidRDefault="00994958">
      <w:pPr>
        <w:spacing w:before="60"/>
        <w:ind w:hanging="360"/>
        <w:jc w:val="both"/>
        <w:textAlignment w:val="top"/>
      </w:pPr>
      <w:r>
        <w:rPr>
          <w:rFonts w:ascii="Arial" w:eastAsia="宋体" w:hAnsi="Arial" w:cs="Arial"/>
          <w:color w:val="000000"/>
          <w:sz w:val="20"/>
          <w:szCs w:val="20"/>
        </w:rPr>
        <w:t xml:space="preserve">•reputational, fiduciary and business conduct risk. </w:t>
      </w:r>
    </w:p>
    <w:p w14:paraId="5F2CD093" w14:textId="77777777" w:rsidR="00E836FB" w:rsidRDefault="00994958">
      <w:pPr>
        <w:spacing w:before="60"/>
        <w:ind w:firstLine="450"/>
        <w:jc w:val="both"/>
        <w:textAlignment w:val="top"/>
      </w:pPr>
      <w:r>
        <w:rPr>
          <w:rFonts w:ascii="Arial" w:eastAsia="宋体" w:hAnsi="Arial" w:cs="Arial"/>
          <w:color w:val="000000"/>
          <w:sz w:val="20"/>
          <w:szCs w:val="20"/>
        </w:rPr>
        <w:t xml:space="preserve">Many of these risks, as well as certain factors underlying each of these risks that could affect our businesses and our consolidated financial statements, are discussed in detail under "Risk Factors" in </w:t>
      </w:r>
      <w:r>
        <w:rPr>
          <w:rFonts w:ascii="Arial" w:eastAsia="宋体" w:hAnsi="Arial" w:cs="Arial"/>
          <w:color w:val="000000"/>
          <w:sz w:val="20"/>
          <w:szCs w:val="20"/>
        </w:rPr>
        <w:t>this Form 10-K.</w:t>
      </w:r>
    </w:p>
    <w:p w14:paraId="5F2CD094" w14:textId="77777777" w:rsidR="00E836FB" w:rsidRDefault="00994958">
      <w:pPr>
        <w:spacing w:before="60"/>
        <w:ind w:firstLine="450"/>
        <w:jc w:val="both"/>
        <w:textAlignment w:val="top"/>
      </w:pPr>
      <w:r>
        <w:rPr>
          <w:rFonts w:ascii="Arial" w:eastAsia="宋体" w:hAnsi="Arial" w:cs="Arial"/>
          <w:color w:val="000000"/>
          <w:sz w:val="20"/>
          <w:szCs w:val="20"/>
        </w:rPr>
        <w:t>The scope of our business requires that we balance these risks with a comprehensive and well-integrated risk management function. The identification, assessment, monitoring, mitigation and reporting of risks are essential to our financial p</w:t>
      </w:r>
      <w:r>
        <w:rPr>
          <w:rFonts w:ascii="Arial" w:eastAsia="宋体" w:hAnsi="Arial" w:cs="Arial"/>
          <w:color w:val="000000"/>
          <w:sz w:val="20"/>
          <w:szCs w:val="20"/>
        </w:rPr>
        <w:t xml:space="preserve">erformance and successful management of our businesses. These risks, if not effectively managed, can result in losses to us as well as erosion of our capital and damage to our reputation. Our approach, including Board and senior management oversight and a </w:t>
      </w:r>
      <w:r>
        <w:rPr>
          <w:rFonts w:ascii="Arial" w:eastAsia="宋体" w:hAnsi="Arial" w:cs="Arial"/>
          <w:color w:val="000000"/>
          <w:sz w:val="20"/>
          <w:szCs w:val="20"/>
        </w:rPr>
        <w:t xml:space="preserve">system of policies, procedures, limits, risk measurement and monitoring and internal controls, allows for an assessment of risks within a framework for evaluating opportunities for the prudent use of capital that appropriately balances risk and return. </w:t>
      </w:r>
    </w:p>
    <w:p w14:paraId="5F2CD095" w14:textId="77777777" w:rsidR="00E836FB" w:rsidRDefault="00994958">
      <w:pPr>
        <w:spacing w:before="60"/>
        <w:ind w:firstLine="450"/>
        <w:jc w:val="both"/>
        <w:textAlignment w:val="top"/>
      </w:pPr>
      <w:r>
        <w:rPr>
          <w:rFonts w:ascii="Arial" w:eastAsia="宋体" w:hAnsi="Arial" w:cs="Arial"/>
          <w:color w:val="000000"/>
          <w:sz w:val="20"/>
          <w:szCs w:val="20"/>
        </w:rPr>
        <w:t>Ou</w:t>
      </w:r>
      <w:r>
        <w:rPr>
          <w:rFonts w:ascii="Arial" w:eastAsia="宋体" w:hAnsi="Arial" w:cs="Arial"/>
          <w:color w:val="000000"/>
          <w:sz w:val="20"/>
          <w:szCs w:val="20"/>
        </w:rPr>
        <w:t>r objective is to optimize our return while operating at a prudent level of risk. In support of this objective, we have instituted a risk appetite framework that aligns our business strategy and financial objectives with the level of risk that we are willi</w:t>
      </w:r>
      <w:r>
        <w:rPr>
          <w:rFonts w:ascii="Arial" w:eastAsia="宋体" w:hAnsi="Arial" w:cs="Arial"/>
          <w:color w:val="000000"/>
          <w:sz w:val="20"/>
          <w:szCs w:val="20"/>
        </w:rPr>
        <w:t xml:space="preserve">ng to incur. </w:t>
      </w:r>
    </w:p>
    <w:p w14:paraId="5F2CD096" w14:textId="77777777" w:rsidR="00E836FB" w:rsidRDefault="00994958">
      <w:pPr>
        <w:spacing w:before="60"/>
        <w:ind w:firstLine="450"/>
        <w:jc w:val="both"/>
        <w:textAlignment w:val="top"/>
      </w:pPr>
      <w:r>
        <w:rPr>
          <w:rFonts w:ascii="Arial" w:eastAsia="宋体" w:hAnsi="Arial" w:cs="Arial"/>
          <w:color w:val="000000"/>
          <w:sz w:val="20"/>
          <w:szCs w:val="20"/>
        </w:rPr>
        <w:t>Our risk management is based on the following major goals:</w:t>
      </w:r>
    </w:p>
    <w:p w14:paraId="5F2CD097" w14:textId="77777777" w:rsidR="00E836FB" w:rsidRDefault="00994958">
      <w:pPr>
        <w:spacing w:before="60"/>
        <w:ind w:hanging="360"/>
        <w:jc w:val="both"/>
        <w:textAlignment w:val="top"/>
      </w:pPr>
      <w:r>
        <w:rPr>
          <w:rFonts w:ascii="Arial" w:eastAsia="宋体" w:hAnsi="Arial" w:cs="Arial"/>
          <w:color w:val="000000"/>
          <w:sz w:val="20"/>
          <w:szCs w:val="20"/>
        </w:rPr>
        <w:t>•A culture of risk awareness that extends across all of our business activities;</w:t>
      </w:r>
    </w:p>
    <w:p w14:paraId="5F2CD098" w14:textId="77777777" w:rsidR="00E836FB" w:rsidRDefault="00994958">
      <w:pPr>
        <w:spacing w:before="60"/>
        <w:ind w:hanging="360"/>
        <w:jc w:val="both"/>
        <w:textAlignment w:val="top"/>
      </w:pPr>
      <w:r>
        <w:rPr>
          <w:rFonts w:ascii="Arial" w:eastAsia="宋体" w:hAnsi="Arial" w:cs="Arial"/>
          <w:color w:val="000000"/>
          <w:sz w:val="20"/>
          <w:szCs w:val="20"/>
        </w:rPr>
        <w:t>•The identification, classification and quantification of our material risks;</w:t>
      </w:r>
    </w:p>
    <w:p w14:paraId="5F2CD099" w14:textId="77777777" w:rsidR="00E836FB" w:rsidRDefault="00994958">
      <w:pPr>
        <w:spacing w:before="60"/>
        <w:ind w:hanging="360"/>
        <w:jc w:val="both"/>
        <w:textAlignment w:val="top"/>
      </w:pPr>
      <w:r>
        <w:rPr>
          <w:rFonts w:ascii="Arial" w:eastAsia="宋体" w:hAnsi="Arial" w:cs="Arial"/>
          <w:color w:val="000000"/>
          <w:sz w:val="20"/>
          <w:szCs w:val="20"/>
        </w:rPr>
        <w:t>•The establishment of ou</w:t>
      </w:r>
      <w:r>
        <w:rPr>
          <w:rFonts w:ascii="Arial" w:eastAsia="宋体" w:hAnsi="Arial" w:cs="Arial"/>
          <w:color w:val="000000"/>
          <w:sz w:val="20"/>
          <w:szCs w:val="20"/>
        </w:rPr>
        <w:t>r risk appetite and associated limits and policies, and our compliance with these limits;</w:t>
      </w:r>
    </w:p>
    <w:p w14:paraId="5F2CD09A" w14:textId="77777777" w:rsidR="00E836FB" w:rsidRDefault="00994958">
      <w:pPr>
        <w:spacing w:before="60"/>
        <w:ind w:hanging="360"/>
        <w:jc w:val="both"/>
        <w:textAlignment w:val="top"/>
      </w:pPr>
      <w:r>
        <w:rPr>
          <w:rFonts w:ascii="Arial" w:eastAsia="宋体" w:hAnsi="Arial" w:cs="Arial"/>
          <w:color w:val="000000"/>
          <w:sz w:val="20"/>
          <w:szCs w:val="20"/>
        </w:rPr>
        <w:t>•The establishment of a risk management structure at the “top of the house” that enables the control and coordination of risk-taking across the business lines;</w:t>
      </w:r>
    </w:p>
    <w:p w14:paraId="5F2CD09B" w14:textId="77777777" w:rsidR="00E836FB" w:rsidRDefault="00994958">
      <w:pPr>
        <w:spacing w:before="60"/>
        <w:ind w:hanging="360"/>
        <w:jc w:val="both"/>
        <w:textAlignment w:val="top"/>
      </w:pPr>
      <w:r>
        <w:rPr>
          <w:rFonts w:ascii="Arial" w:eastAsia="宋体" w:hAnsi="Arial" w:cs="Arial"/>
          <w:color w:val="000000"/>
          <w:sz w:val="20"/>
          <w:szCs w:val="20"/>
        </w:rPr>
        <w:t xml:space="preserve">•The implementation of stress testing practices and a dynamic risk-assessment capability; </w:t>
      </w:r>
    </w:p>
    <w:p w14:paraId="5F2CD09C" w14:textId="77777777" w:rsidR="00E836FB" w:rsidRDefault="00994958">
      <w:pPr>
        <w:ind w:firstLine="450"/>
        <w:jc w:val="right"/>
      </w:pPr>
      <w:r>
        <w:rPr>
          <w:rFonts w:ascii="Arial" w:eastAsia="宋体" w:hAnsi="Arial" w:cs="Arial"/>
          <w:color w:val="000000"/>
          <w:sz w:val="18"/>
          <w:szCs w:val="18"/>
        </w:rPr>
        <w:t>State Street Corporation | 83</w:t>
      </w:r>
    </w:p>
    <w:p w14:paraId="5F2CD09D" w14:textId="77777777" w:rsidR="00E836FB" w:rsidRDefault="00E836FB">
      <w:pPr>
        <w:ind w:firstLine="450"/>
        <w:jc w:val="center"/>
      </w:pPr>
    </w:p>
    <w:p w14:paraId="5F2CD09E" w14:textId="77777777" w:rsidR="00E836FB" w:rsidRDefault="00994958">
      <w:r>
        <w:pict w14:anchorId="5F2D6DD8">
          <v:rect id="_x0000_i1107" style="width:415.3pt;height:1.5pt" o:hralign="center" o:hrstd="t" o:hr="t" fillcolor="#a0a0a0" stroked="f"/>
        </w:pict>
      </w:r>
    </w:p>
    <w:p w14:paraId="5F2CD09F"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0A0" w14:textId="77777777" w:rsidR="00E836FB" w:rsidRDefault="00994958">
      <w:pPr>
        <w:ind w:firstLine="450"/>
        <w:jc w:val="center"/>
      </w:pPr>
      <w:r>
        <w:rPr>
          <w:rFonts w:ascii="Arial" w:eastAsia="宋体" w:hAnsi="Arial" w:cs="Arial"/>
          <w:b/>
          <w:bCs/>
          <w:color w:val="000000"/>
          <w:sz w:val="20"/>
          <w:szCs w:val="20"/>
        </w:rPr>
        <w:t>AND RESULTS OF OPERATIONS</w:t>
      </w:r>
    </w:p>
    <w:p w14:paraId="5F2CD0A1" w14:textId="77777777" w:rsidR="00E836FB" w:rsidRDefault="00994958">
      <w:pPr>
        <w:spacing w:before="60"/>
        <w:ind w:hanging="360"/>
        <w:jc w:val="both"/>
        <w:textAlignment w:val="top"/>
      </w:pPr>
      <w:r>
        <w:rPr>
          <w:rFonts w:ascii="Arial" w:eastAsia="宋体" w:hAnsi="Arial" w:cs="Arial"/>
          <w:color w:val="000000"/>
          <w:sz w:val="20"/>
          <w:szCs w:val="20"/>
        </w:rPr>
        <w:t>•A direct link between risk and strategic-deci</w:t>
      </w:r>
      <w:r>
        <w:rPr>
          <w:rFonts w:ascii="Arial" w:eastAsia="宋体" w:hAnsi="Arial" w:cs="Arial"/>
          <w:color w:val="000000"/>
          <w:sz w:val="20"/>
          <w:szCs w:val="20"/>
        </w:rPr>
        <w:t>sion making processes and incentive compensation practices; and</w:t>
      </w:r>
    </w:p>
    <w:p w14:paraId="5F2CD0A2" w14:textId="77777777" w:rsidR="00E836FB" w:rsidRDefault="00994958">
      <w:pPr>
        <w:spacing w:before="60"/>
        <w:ind w:hanging="360"/>
        <w:jc w:val="both"/>
        <w:textAlignment w:val="top"/>
      </w:pPr>
      <w:r>
        <w:rPr>
          <w:rFonts w:ascii="Arial" w:eastAsia="宋体" w:hAnsi="Arial" w:cs="Arial"/>
          <w:color w:val="000000"/>
          <w:sz w:val="20"/>
          <w:szCs w:val="20"/>
        </w:rPr>
        <w:t>•The overall flexibility to adapt to the ever-changing business and market conditions.</w:t>
      </w:r>
    </w:p>
    <w:p w14:paraId="5F2CD0A3" w14:textId="77777777" w:rsidR="00E836FB" w:rsidRDefault="00994958">
      <w:pPr>
        <w:spacing w:before="60"/>
        <w:ind w:firstLine="450"/>
        <w:jc w:val="both"/>
        <w:textAlignment w:val="top"/>
      </w:pPr>
      <w:r>
        <w:rPr>
          <w:rFonts w:ascii="Arial" w:eastAsia="宋体" w:hAnsi="Arial" w:cs="Arial"/>
          <w:color w:val="000000"/>
          <w:sz w:val="20"/>
          <w:szCs w:val="20"/>
        </w:rPr>
        <w:t>Our risk appetite framework outlines the quantitative limits and qualitative goals that define our risk a</w:t>
      </w:r>
      <w:r>
        <w:rPr>
          <w:rFonts w:ascii="Arial" w:eastAsia="宋体" w:hAnsi="Arial" w:cs="Arial"/>
          <w:color w:val="000000"/>
          <w:sz w:val="20"/>
          <w:szCs w:val="20"/>
        </w:rPr>
        <w:t>ppetite, as well as the responsibilities for measuring and monitoring risk against limits, and for reporting, escalating, approving and addressing exceptions. Our risk appetite framework is established by ERM, a corporate risk oversight group, in conjuncti</w:t>
      </w:r>
      <w:r>
        <w:rPr>
          <w:rFonts w:ascii="Arial" w:eastAsia="宋体" w:hAnsi="Arial" w:cs="Arial"/>
          <w:color w:val="000000"/>
          <w:sz w:val="20"/>
          <w:szCs w:val="20"/>
        </w:rPr>
        <w:t xml:space="preserve">on with the MRAC and the RC of the Board. The Board formally reviews and approves our risk appetite statement annually, or more frequently as required. </w:t>
      </w:r>
    </w:p>
    <w:p w14:paraId="5F2CD0A4" w14:textId="77777777" w:rsidR="00E836FB" w:rsidRDefault="00994958">
      <w:pPr>
        <w:spacing w:before="60"/>
        <w:ind w:firstLine="450"/>
        <w:jc w:val="both"/>
        <w:textAlignment w:val="top"/>
      </w:pPr>
      <w:r>
        <w:rPr>
          <w:rFonts w:ascii="Arial" w:eastAsia="宋体" w:hAnsi="Arial" w:cs="Arial"/>
          <w:color w:val="000000"/>
          <w:sz w:val="20"/>
          <w:szCs w:val="20"/>
        </w:rPr>
        <w:t>The risk appetite framework describes the level and types of risk that we are willing to accommodate in</w:t>
      </w:r>
      <w:r>
        <w:rPr>
          <w:rFonts w:ascii="Arial" w:eastAsia="宋体" w:hAnsi="Arial" w:cs="Arial"/>
          <w:color w:val="000000"/>
          <w:sz w:val="20"/>
          <w:szCs w:val="20"/>
        </w:rPr>
        <w:t xml:space="preserve"> executing our business strategy, and also serves as a guide in setting risk limits across our business units. In addition to our risk appetite framework, we use stress testing as another important tool in our risk management practice. Additional informati</w:t>
      </w:r>
      <w:r>
        <w:rPr>
          <w:rFonts w:ascii="Arial" w:eastAsia="宋体" w:hAnsi="Arial" w:cs="Arial"/>
          <w:color w:val="000000"/>
          <w:sz w:val="20"/>
          <w:szCs w:val="20"/>
        </w:rPr>
        <w:t>on with respect to our stress testing process and practices is provided under “Capital” in this Management's Discussion and Analysis.</w:t>
      </w:r>
    </w:p>
    <w:p w14:paraId="5F2CD0A5" w14:textId="77777777" w:rsidR="00E836FB" w:rsidRDefault="00994958">
      <w:pPr>
        <w:spacing w:before="90"/>
        <w:jc w:val="both"/>
        <w:textAlignment w:val="top"/>
      </w:pPr>
      <w:r>
        <w:rPr>
          <w:rFonts w:ascii="Arial" w:eastAsia="宋体" w:hAnsi="Arial" w:cs="Arial"/>
          <w:b/>
          <w:bCs/>
          <w:color w:val="000000"/>
          <w:sz w:val="20"/>
          <w:szCs w:val="20"/>
        </w:rPr>
        <w:t>Governance and Structure</w:t>
      </w:r>
    </w:p>
    <w:p w14:paraId="5F2CD0A6" w14:textId="77777777" w:rsidR="00E836FB" w:rsidRDefault="00994958">
      <w:pPr>
        <w:ind w:firstLine="450"/>
        <w:jc w:val="both"/>
        <w:textAlignment w:val="top"/>
      </w:pPr>
      <w:r>
        <w:rPr>
          <w:rFonts w:ascii="Arial" w:eastAsia="宋体" w:hAnsi="Arial" w:cs="Arial"/>
          <w:color w:val="000000"/>
          <w:sz w:val="20"/>
          <w:szCs w:val="20"/>
        </w:rPr>
        <w:t>We have an approach to risk management that involves all levels of management, from the Board and</w:t>
      </w:r>
      <w:r>
        <w:rPr>
          <w:rFonts w:ascii="Arial" w:eastAsia="宋体" w:hAnsi="Arial" w:cs="Arial"/>
          <w:color w:val="000000"/>
          <w:sz w:val="20"/>
          <w:szCs w:val="20"/>
        </w:rPr>
        <w:t xml:space="preserve"> its committees, including its E&amp;A Committee, RC, the HRC and Tech &amp; Ops Committee, to each business unit and each employee. We allocate responsibility for risk oversight so that risk/return decisions are made at an appropriate level, and are subject to ro</w:t>
      </w:r>
      <w:r>
        <w:rPr>
          <w:rFonts w:ascii="Arial" w:eastAsia="宋体" w:hAnsi="Arial" w:cs="Arial"/>
          <w:color w:val="000000"/>
          <w:sz w:val="20"/>
          <w:szCs w:val="20"/>
        </w:rPr>
        <w:t xml:space="preserve">bust and effective review and challenge. Risk management is the responsibility of each employee, and is implemented through three lines of defense: the business units, which own and manage </w:t>
      </w:r>
    </w:p>
    <w:p w14:paraId="5F2CD0A7" w14:textId="77777777" w:rsidR="00E836FB" w:rsidRDefault="00994958">
      <w:pPr>
        <w:jc w:val="both"/>
        <w:textAlignment w:val="top"/>
      </w:pPr>
      <w:r>
        <w:rPr>
          <w:rFonts w:ascii="Arial" w:eastAsia="宋体" w:hAnsi="Arial" w:cs="Arial"/>
          <w:color w:val="000000"/>
          <w:sz w:val="20"/>
          <w:szCs w:val="20"/>
        </w:rPr>
        <w:t xml:space="preserve">the risks inherent in their business, are considered the </w:t>
      </w:r>
      <w:r>
        <w:rPr>
          <w:rFonts w:ascii="Arial" w:eastAsia="宋体" w:hAnsi="Arial" w:cs="Arial"/>
          <w:color w:val="000000"/>
          <w:sz w:val="20"/>
          <w:szCs w:val="20"/>
        </w:rPr>
        <w:t>first line of defense; ERM and other support functions, such as Compliance, Finance and Vendor Management, provide the second line of defense. Corporate Audit is the third line of defense, reports to the E&amp;A committee of the Board and is independent from t</w:t>
      </w:r>
      <w:r>
        <w:rPr>
          <w:rFonts w:ascii="Arial" w:eastAsia="宋体" w:hAnsi="Arial" w:cs="Arial"/>
          <w:color w:val="000000"/>
          <w:sz w:val="20"/>
          <w:szCs w:val="20"/>
        </w:rPr>
        <w:t>he business units, ERM and other corporate functions. Corporate Audit provides independent assurance to the Board over the design and operating effectiveness of internal key controls included within the risk management framework.</w:t>
      </w:r>
    </w:p>
    <w:p w14:paraId="5F2CD0A8" w14:textId="77777777" w:rsidR="00E836FB" w:rsidRDefault="00994958">
      <w:pPr>
        <w:ind w:firstLine="450"/>
        <w:jc w:val="both"/>
        <w:textAlignment w:val="top"/>
      </w:pPr>
      <w:r>
        <w:rPr>
          <w:rFonts w:ascii="Arial" w:eastAsia="宋体" w:hAnsi="Arial" w:cs="Arial"/>
          <w:color w:val="000000"/>
          <w:sz w:val="20"/>
          <w:szCs w:val="20"/>
        </w:rPr>
        <w:t>The responsibilities for e</w:t>
      </w:r>
      <w:r>
        <w:rPr>
          <w:rFonts w:ascii="Arial" w:eastAsia="宋体" w:hAnsi="Arial" w:cs="Arial"/>
          <w:color w:val="000000"/>
          <w:sz w:val="20"/>
          <w:szCs w:val="20"/>
        </w:rPr>
        <w:t>ffective review and challenge reside with senior managers, management oversight committees, Corporate Audit and, ultimately, the Board and its committees. While we believe that our risk management program is effective in managing the risks in our businesse</w:t>
      </w:r>
      <w:r>
        <w:rPr>
          <w:rFonts w:ascii="Arial" w:eastAsia="宋体" w:hAnsi="Arial" w:cs="Arial"/>
          <w:color w:val="000000"/>
          <w:sz w:val="20"/>
          <w:szCs w:val="20"/>
        </w:rPr>
        <w:t>s, internal and external factors may create risks that cannot always be identified or anticipated.</w:t>
      </w:r>
    </w:p>
    <w:p w14:paraId="5F2CD0A9" w14:textId="77777777" w:rsidR="00E836FB" w:rsidRDefault="00994958">
      <w:pPr>
        <w:spacing w:before="60"/>
        <w:ind w:firstLine="450"/>
        <w:jc w:val="both"/>
        <w:textAlignment w:val="top"/>
      </w:pPr>
      <w:r>
        <w:rPr>
          <w:rFonts w:ascii="Arial" w:eastAsia="宋体" w:hAnsi="Arial" w:cs="Arial"/>
          <w:color w:val="000000"/>
          <w:sz w:val="20"/>
          <w:szCs w:val="20"/>
        </w:rPr>
        <w:t>Corporate-level risk committees provide focused oversight, and establish corporate standards and policies for specific risks, including credit, sovereign exp</w:t>
      </w:r>
      <w:r>
        <w:rPr>
          <w:rFonts w:ascii="Arial" w:eastAsia="宋体" w:hAnsi="Arial" w:cs="Arial"/>
          <w:color w:val="000000"/>
          <w:sz w:val="20"/>
          <w:szCs w:val="20"/>
        </w:rPr>
        <w:t>osure, market, liquidity, operational, information technology as well as new business products, regulatory compliance and ethics, vendor risk and model risks. These committees have been delegated the responsibility to develop recommendations and remediatio</w:t>
      </w:r>
      <w:r>
        <w:rPr>
          <w:rFonts w:ascii="Arial" w:eastAsia="宋体" w:hAnsi="Arial" w:cs="Arial"/>
          <w:color w:val="000000"/>
          <w:sz w:val="20"/>
          <w:szCs w:val="20"/>
        </w:rPr>
        <w:t>n strategies to address issues that affect or have the potential to affect us.</w:t>
      </w:r>
    </w:p>
    <w:p w14:paraId="5F2CD0AA" w14:textId="77777777" w:rsidR="00E836FB" w:rsidRDefault="00994958">
      <w:pPr>
        <w:spacing w:before="60"/>
        <w:ind w:firstLine="450"/>
        <w:jc w:val="both"/>
        <w:textAlignment w:val="top"/>
      </w:pPr>
      <w:r>
        <w:rPr>
          <w:rFonts w:ascii="Arial" w:eastAsia="宋体" w:hAnsi="Arial" w:cs="Arial"/>
          <w:color w:val="000000"/>
          <w:sz w:val="20"/>
          <w:szCs w:val="20"/>
        </w:rPr>
        <w:t>We maintain a risk governance committee structure which serves as the formal governance mechanism through which we seek to undertake the consistent identification, management an</w:t>
      </w:r>
      <w:r>
        <w:rPr>
          <w:rFonts w:ascii="Arial" w:eastAsia="宋体" w:hAnsi="Arial" w:cs="Arial"/>
          <w:color w:val="000000"/>
          <w:sz w:val="20"/>
          <w:szCs w:val="20"/>
        </w:rPr>
        <w:t>d mitigation of various risks facing us in connection with its business activities. This governance structure is enhanced and integrated through multi-disciplinary involvement, particularly through ERM. The following chart presents this structure.</w:t>
      </w:r>
    </w:p>
    <w:p w14:paraId="5F2CD0AB" w14:textId="77777777" w:rsidR="00E836FB" w:rsidRDefault="00994958">
      <w:pPr>
        <w:ind w:firstLine="450"/>
        <w:jc w:val="right"/>
      </w:pPr>
      <w:r>
        <w:rPr>
          <w:rFonts w:ascii="Arial" w:eastAsia="宋体" w:hAnsi="Arial" w:cs="Arial"/>
          <w:color w:val="000000"/>
          <w:sz w:val="18"/>
          <w:szCs w:val="18"/>
        </w:rPr>
        <w:t>State St</w:t>
      </w:r>
      <w:r>
        <w:rPr>
          <w:rFonts w:ascii="Arial" w:eastAsia="宋体" w:hAnsi="Arial" w:cs="Arial"/>
          <w:color w:val="000000"/>
          <w:sz w:val="18"/>
          <w:szCs w:val="18"/>
        </w:rPr>
        <w:t>reet Corporation | 84</w:t>
      </w:r>
    </w:p>
    <w:p w14:paraId="5F2CD0AC" w14:textId="77777777" w:rsidR="00E836FB" w:rsidRDefault="00E836FB">
      <w:pPr>
        <w:ind w:firstLine="450"/>
        <w:jc w:val="center"/>
      </w:pPr>
    </w:p>
    <w:p w14:paraId="5F2CD0AD" w14:textId="77777777" w:rsidR="00E836FB" w:rsidRDefault="00994958">
      <w:r>
        <w:pict w14:anchorId="5F2D6DD9">
          <v:rect id="_x0000_i1108" style="width:415.3pt;height:1.5pt" o:hralign="center" o:hrstd="t" o:hr="t" fillcolor="#a0a0a0" stroked="f"/>
        </w:pict>
      </w:r>
    </w:p>
    <w:p w14:paraId="5F2CD0AE"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0AF" w14:textId="77777777" w:rsidR="00E836FB" w:rsidRDefault="00994958">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60"/>
        <w:gridCol w:w="1006"/>
        <w:gridCol w:w="40"/>
        <w:gridCol w:w="39"/>
        <w:gridCol w:w="136"/>
        <w:gridCol w:w="39"/>
        <w:gridCol w:w="52"/>
        <w:gridCol w:w="1014"/>
        <w:gridCol w:w="40"/>
        <w:gridCol w:w="52"/>
        <w:gridCol w:w="618"/>
        <w:gridCol w:w="37"/>
        <w:gridCol w:w="52"/>
        <w:gridCol w:w="1089"/>
        <w:gridCol w:w="38"/>
        <w:gridCol w:w="52"/>
        <w:gridCol w:w="618"/>
        <w:gridCol w:w="36"/>
        <w:gridCol w:w="60"/>
        <w:gridCol w:w="953"/>
        <w:gridCol w:w="39"/>
        <w:gridCol w:w="37"/>
        <w:gridCol w:w="167"/>
        <w:gridCol w:w="37"/>
        <w:gridCol w:w="60"/>
        <w:gridCol w:w="954"/>
        <w:gridCol w:w="39"/>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E836FB" w14:paraId="5F2CD0CB" w14:textId="77777777">
        <w:trPr>
          <w:gridAfter w:val="27"/>
        </w:trPr>
        <w:tc>
          <w:tcPr>
            <w:tcW w:w="50" w:type="pct"/>
            <w:shd w:val="clear" w:color="auto" w:fill="auto"/>
            <w:vAlign w:val="bottom"/>
          </w:tcPr>
          <w:p w14:paraId="5F2CD0B0" w14:textId="77777777" w:rsidR="00E836FB" w:rsidRDefault="00E836FB">
            <w:pPr>
              <w:rPr>
                <w:rFonts w:ascii="宋体"/>
              </w:rPr>
            </w:pPr>
          </w:p>
        </w:tc>
        <w:tc>
          <w:tcPr>
            <w:tcW w:w="703" w:type="pct"/>
            <w:shd w:val="clear" w:color="auto" w:fill="auto"/>
            <w:vAlign w:val="bottom"/>
          </w:tcPr>
          <w:p w14:paraId="5F2CD0B1" w14:textId="77777777" w:rsidR="00E836FB" w:rsidRDefault="00E836FB">
            <w:pPr>
              <w:rPr>
                <w:rFonts w:ascii="宋体"/>
              </w:rPr>
            </w:pPr>
          </w:p>
        </w:tc>
        <w:tc>
          <w:tcPr>
            <w:tcW w:w="5" w:type="pct"/>
            <w:shd w:val="clear" w:color="auto" w:fill="auto"/>
            <w:vAlign w:val="bottom"/>
          </w:tcPr>
          <w:p w14:paraId="5F2CD0B2" w14:textId="77777777" w:rsidR="00E836FB" w:rsidRDefault="00E836FB">
            <w:pPr>
              <w:rPr>
                <w:rFonts w:ascii="宋体"/>
              </w:rPr>
            </w:pPr>
          </w:p>
        </w:tc>
        <w:tc>
          <w:tcPr>
            <w:tcW w:w="5" w:type="pct"/>
            <w:shd w:val="clear" w:color="auto" w:fill="auto"/>
            <w:vAlign w:val="bottom"/>
          </w:tcPr>
          <w:p w14:paraId="5F2CD0B3" w14:textId="77777777" w:rsidR="00E836FB" w:rsidRDefault="00E836FB">
            <w:pPr>
              <w:rPr>
                <w:rFonts w:ascii="宋体"/>
              </w:rPr>
            </w:pPr>
          </w:p>
        </w:tc>
        <w:tc>
          <w:tcPr>
            <w:tcW w:w="106" w:type="pct"/>
            <w:shd w:val="clear" w:color="auto" w:fill="auto"/>
            <w:vAlign w:val="bottom"/>
          </w:tcPr>
          <w:p w14:paraId="5F2CD0B4" w14:textId="77777777" w:rsidR="00E836FB" w:rsidRDefault="00E836FB">
            <w:pPr>
              <w:rPr>
                <w:rFonts w:ascii="宋体"/>
              </w:rPr>
            </w:pPr>
          </w:p>
        </w:tc>
        <w:tc>
          <w:tcPr>
            <w:tcW w:w="5" w:type="pct"/>
            <w:shd w:val="clear" w:color="auto" w:fill="auto"/>
            <w:vAlign w:val="bottom"/>
          </w:tcPr>
          <w:p w14:paraId="5F2CD0B5" w14:textId="77777777" w:rsidR="00E836FB" w:rsidRDefault="00E836FB">
            <w:pPr>
              <w:rPr>
                <w:rFonts w:ascii="宋体"/>
              </w:rPr>
            </w:pPr>
          </w:p>
        </w:tc>
        <w:tc>
          <w:tcPr>
            <w:tcW w:w="50" w:type="pct"/>
            <w:shd w:val="clear" w:color="auto" w:fill="auto"/>
            <w:vAlign w:val="bottom"/>
          </w:tcPr>
          <w:p w14:paraId="5F2CD0B6" w14:textId="77777777" w:rsidR="00E836FB" w:rsidRDefault="00E836FB">
            <w:pPr>
              <w:rPr>
                <w:rFonts w:ascii="宋体"/>
              </w:rPr>
            </w:pPr>
          </w:p>
        </w:tc>
        <w:tc>
          <w:tcPr>
            <w:tcW w:w="703" w:type="pct"/>
            <w:shd w:val="clear" w:color="auto" w:fill="auto"/>
            <w:vAlign w:val="bottom"/>
          </w:tcPr>
          <w:p w14:paraId="5F2CD0B7" w14:textId="77777777" w:rsidR="00E836FB" w:rsidRDefault="00E836FB">
            <w:pPr>
              <w:rPr>
                <w:rFonts w:ascii="宋体"/>
              </w:rPr>
            </w:pPr>
          </w:p>
        </w:tc>
        <w:tc>
          <w:tcPr>
            <w:tcW w:w="5" w:type="pct"/>
            <w:shd w:val="clear" w:color="auto" w:fill="auto"/>
            <w:vAlign w:val="bottom"/>
          </w:tcPr>
          <w:p w14:paraId="5F2CD0B8" w14:textId="77777777" w:rsidR="00E836FB" w:rsidRDefault="00E836FB">
            <w:pPr>
              <w:rPr>
                <w:rFonts w:ascii="宋体"/>
              </w:rPr>
            </w:pPr>
          </w:p>
        </w:tc>
        <w:tc>
          <w:tcPr>
            <w:tcW w:w="50" w:type="pct"/>
            <w:shd w:val="clear" w:color="auto" w:fill="auto"/>
            <w:vAlign w:val="bottom"/>
          </w:tcPr>
          <w:p w14:paraId="5F2CD0B9" w14:textId="77777777" w:rsidR="00E836FB" w:rsidRDefault="00E836FB">
            <w:pPr>
              <w:rPr>
                <w:rFonts w:ascii="宋体"/>
              </w:rPr>
            </w:pPr>
          </w:p>
        </w:tc>
        <w:tc>
          <w:tcPr>
            <w:tcW w:w="433" w:type="pct"/>
            <w:shd w:val="clear" w:color="auto" w:fill="auto"/>
            <w:vAlign w:val="bottom"/>
          </w:tcPr>
          <w:p w14:paraId="5F2CD0BA" w14:textId="77777777" w:rsidR="00E836FB" w:rsidRDefault="00E836FB">
            <w:pPr>
              <w:rPr>
                <w:rFonts w:ascii="宋体"/>
              </w:rPr>
            </w:pPr>
          </w:p>
        </w:tc>
        <w:tc>
          <w:tcPr>
            <w:tcW w:w="5" w:type="pct"/>
            <w:shd w:val="clear" w:color="auto" w:fill="auto"/>
            <w:vAlign w:val="bottom"/>
          </w:tcPr>
          <w:p w14:paraId="5F2CD0BB" w14:textId="77777777" w:rsidR="00E836FB" w:rsidRDefault="00E836FB">
            <w:pPr>
              <w:rPr>
                <w:rFonts w:ascii="宋体"/>
              </w:rPr>
            </w:pPr>
          </w:p>
        </w:tc>
        <w:tc>
          <w:tcPr>
            <w:tcW w:w="50" w:type="pct"/>
            <w:shd w:val="clear" w:color="auto" w:fill="auto"/>
            <w:vAlign w:val="bottom"/>
          </w:tcPr>
          <w:p w14:paraId="5F2CD0BC" w14:textId="77777777" w:rsidR="00E836FB" w:rsidRDefault="00E836FB">
            <w:pPr>
              <w:rPr>
                <w:rFonts w:ascii="宋体"/>
              </w:rPr>
            </w:pPr>
          </w:p>
        </w:tc>
        <w:tc>
          <w:tcPr>
            <w:tcW w:w="754" w:type="pct"/>
            <w:shd w:val="clear" w:color="auto" w:fill="auto"/>
            <w:vAlign w:val="bottom"/>
          </w:tcPr>
          <w:p w14:paraId="5F2CD0BD" w14:textId="77777777" w:rsidR="00E836FB" w:rsidRDefault="00E836FB">
            <w:pPr>
              <w:rPr>
                <w:rFonts w:ascii="宋体"/>
              </w:rPr>
            </w:pPr>
          </w:p>
        </w:tc>
        <w:tc>
          <w:tcPr>
            <w:tcW w:w="5" w:type="pct"/>
            <w:shd w:val="clear" w:color="auto" w:fill="auto"/>
            <w:vAlign w:val="bottom"/>
          </w:tcPr>
          <w:p w14:paraId="5F2CD0BE" w14:textId="77777777" w:rsidR="00E836FB" w:rsidRDefault="00E836FB">
            <w:pPr>
              <w:rPr>
                <w:rFonts w:ascii="宋体"/>
              </w:rPr>
            </w:pPr>
          </w:p>
        </w:tc>
        <w:tc>
          <w:tcPr>
            <w:tcW w:w="50" w:type="pct"/>
            <w:shd w:val="clear" w:color="auto" w:fill="auto"/>
            <w:vAlign w:val="bottom"/>
          </w:tcPr>
          <w:p w14:paraId="5F2CD0BF" w14:textId="77777777" w:rsidR="00E836FB" w:rsidRDefault="00E836FB">
            <w:pPr>
              <w:rPr>
                <w:rFonts w:ascii="宋体"/>
              </w:rPr>
            </w:pPr>
          </w:p>
        </w:tc>
        <w:tc>
          <w:tcPr>
            <w:tcW w:w="433" w:type="pct"/>
            <w:shd w:val="clear" w:color="auto" w:fill="auto"/>
            <w:vAlign w:val="bottom"/>
          </w:tcPr>
          <w:p w14:paraId="5F2CD0C0" w14:textId="77777777" w:rsidR="00E836FB" w:rsidRDefault="00E836FB">
            <w:pPr>
              <w:rPr>
                <w:rFonts w:ascii="宋体"/>
              </w:rPr>
            </w:pPr>
          </w:p>
        </w:tc>
        <w:tc>
          <w:tcPr>
            <w:tcW w:w="5" w:type="pct"/>
            <w:shd w:val="clear" w:color="auto" w:fill="auto"/>
            <w:vAlign w:val="bottom"/>
          </w:tcPr>
          <w:p w14:paraId="5F2CD0C1" w14:textId="77777777" w:rsidR="00E836FB" w:rsidRDefault="00E836FB">
            <w:pPr>
              <w:rPr>
                <w:rFonts w:ascii="宋体"/>
              </w:rPr>
            </w:pPr>
          </w:p>
        </w:tc>
        <w:tc>
          <w:tcPr>
            <w:tcW w:w="50" w:type="pct"/>
            <w:shd w:val="clear" w:color="auto" w:fill="auto"/>
            <w:vAlign w:val="bottom"/>
          </w:tcPr>
          <w:p w14:paraId="5F2CD0C2" w14:textId="77777777" w:rsidR="00E836FB" w:rsidRDefault="00E836FB">
            <w:pPr>
              <w:rPr>
                <w:rFonts w:ascii="宋体"/>
              </w:rPr>
            </w:pPr>
          </w:p>
        </w:tc>
        <w:tc>
          <w:tcPr>
            <w:tcW w:w="666" w:type="pct"/>
            <w:shd w:val="clear" w:color="auto" w:fill="auto"/>
            <w:vAlign w:val="bottom"/>
          </w:tcPr>
          <w:p w14:paraId="5F2CD0C3" w14:textId="77777777" w:rsidR="00E836FB" w:rsidRDefault="00E836FB">
            <w:pPr>
              <w:rPr>
                <w:rFonts w:ascii="宋体"/>
              </w:rPr>
            </w:pPr>
          </w:p>
        </w:tc>
        <w:tc>
          <w:tcPr>
            <w:tcW w:w="5" w:type="pct"/>
            <w:shd w:val="clear" w:color="auto" w:fill="auto"/>
            <w:vAlign w:val="bottom"/>
          </w:tcPr>
          <w:p w14:paraId="5F2CD0C4" w14:textId="77777777" w:rsidR="00E836FB" w:rsidRDefault="00E836FB">
            <w:pPr>
              <w:rPr>
                <w:rFonts w:ascii="宋体"/>
              </w:rPr>
            </w:pPr>
          </w:p>
        </w:tc>
        <w:tc>
          <w:tcPr>
            <w:tcW w:w="5" w:type="pct"/>
            <w:shd w:val="clear" w:color="auto" w:fill="auto"/>
            <w:vAlign w:val="bottom"/>
          </w:tcPr>
          <w:p w14:paraId="5F2CD0C5" w14:textId="77777777" w:rsidR="00E836FB" w:rsidRDefault="00E836FB">
            <w:pPr>
              <w:rPr>
                <w:rFonts w:ascii="宋体"/>
              </w:rPr>
            </w:pPr>
          </w:p>
        </w:tc>
        <w:tc>
          <w:tcPr>
            <w:tcW w:w="128" w:type="pct"/>
            <w:shd w:val="clear" w:color="auto" w:fill="auto"/>
            <w:vAlign w:val="bottom"/>
          </w:tcPr>
          <w:p w14:paraId="5F2CD0C6" w14:textId="77777777" w:rsidR="00E836FB" w:rsidRDefault="00E836FB">
            <w:pPr>
              <w:rPr>
                <w:rFonts w:ascii="宋体"/>
              </w:rPr>
            </w:pPr>
          </w:p>
        </w:tc>
        <w:tc>
          <w:tcPr>
            <w:tcW w:w="5" w:type="pct"/>
            <w:shd w:val="clear" w:color="auto" w:fill="auto"/>
            <w:vAlign w:val="bottom"/>
          </w:tcPr>
          <w:p w14:paraId="5F2CD0C7" w14:textId="77777777" w:rsidR="00E836FB" w:rsidRDefault="00E836FB">
            <w:pPr>
              <w:rPr>
                <w:rFonts w:ascii="宋体"/>
              </w:rPr>
            </w:pPr>
          </w:p>
        </w:tc>
        <w:tc>
          <w:tcPr>
            <w:tcW w:w="50" w:type="pct"/>
            <w:shd w:val="clear" w:color="auto" w:fill="auto"/>
            <w:vAlign w:val="bottom"/>
          </w:tcPr>
          <w:p w14:paraId="5F2CD0C8" w14:textId="77777777" w:rsidR="00E836FB" w:rsidRDefault="00E836FB">
            <w:pPr>
              <w:rPr>
                <w:rFonts w:ascii="宋体"/>
              </w:rPr>
            </w:pPr>
          </w:p>
        </w:tc>
        <w:tc>
          <w:tcPr>
            <w:tcW w:w="666" w:type="pct"/>
            <w:shd w:val="clear" w:color="auto" w:fill="auto"/>
            <w:vAlign w:val="bottom"/>
          </w:tcPr>
          <w:p w14:paraId="5F2CD0C9" w14:textId="77777777" w:rsidR="00E836FB" w:rsidRDefault="00E836FB">
            <w:pPr>
              <w:rPr>
                <w:rFonts w:ascii="宋体"/>
              </w:rPr>
            </w:pPr>
          </w:p>
        </w:tc>
        <w:tc>
          <w:tcPr>
            <w:tcW w:w="5" w:type="pct"/>
            <w:shd w:val="clear" w:color="auto" w:fill="auto"/>
            <w:vAlign w:val="bottom"/>
          </w:tcPr>
          <w:p w14:paraId="5F2CD0CA" w14:textId="77777777" w:rsidR="00E836FB" w:rsidRDefault="00E836FB">
            <w:pPr>
              <w:rPr>
                <w:rFonts w:ascii="宋体"/>
              </w:rPr>
            </w:pPr>
          </w:p>
        </w:tc>
      </w:tr>
      <w:tr w:rsidR="00E836FB" w14:paraId="5F2CD0CD" w14:textId="77777777">
        <w:trPr>
          <w:gridAfter w:val="27"/>
          <w:trHeight w:val="400"/>
        </w:trPr>
        <w:tc>
          <w:tcPr>
            <w:tcW w:w="0" w:type="auto"/>
            <w:gridSpan w:val="27"/>
            <w:vMerge w:val="restart"/>
            <w:shd w:val="clear" w:color="auto" w:fill="95B3D7"/>
            <w:tcMar>
              <w:top w:w="40" w:type="dxa"/>
              <w:left w:w="20" w:type="dxa"/>
              <w:bottom w:w="40" w:type="dxa"/>
              <w:right w:w="20" w:type="dxa"/>
            </w:tcMar>
            <w:vAlign w:val="center"/>
          </w:tcPr>
          <w:p w14:paraId="5F2CD0CC" w14:textId="77777777" w:rsidR="00E836FB" w:rsidRDefault="00994958">
            <w:pPr>
              <w:jc w:val="center"/>
              <w:textAlignment w:val="center"/>
            </w:pPr>
            <w:r>
              <w:rPr>
                <w:rFonts w:ascii="Arial" w:eastAsia="宋体" w:hAnsi="Arial" w:cs="Arial"/>
                <w:b/>
                <w:bCs/>
                <w:color w:val="FFFFFF"/>
                <w:sz w:val="28"/>
                <w:szCs w:val="28"/>
              </w:rPr>
              <w:t>Management Risk Governance Committee Structure</w:t>
            </w:r>
          </w:p>
        </w:tc>
      </w:tr>
      <w:tr w:rsidR="00E836FB" w14:paraId="5F2CD0D0" w14:textId="77777777">
        <w:trPr>
          <w:trHeight w:val="400"/>
        </w:trPr>
        <w:tc>
          <w:tcPr>
            <w:tcW w:w="0" w:type="auto"/>
            <w:gridSpan w:val="27"/>
            <w:vMerge/>
            <w:shd w:val="clear" w:color="auto" w:fill="95B3D7"/>
            <w:tcMar>
              <w:top w:w="40" w:type="dxa"/>
              <w:left w:w="20" w:type="dxa"/>
              <w:bottom w:w="40" w:type="dxa"/>
              <w:right w:w="20" w:type="dxa"/>
            </w:tcMar>
            <w:vAlign w:val="center"/>
          </w:tcPr>
          <w:p w14:paraId="5F2CD0CE" w14:textId="77777777" w:rsidR="00E836FB" w:rsidRDefault="00E836FB">
            <w:pPr>
              <w:jc w:val="center"/>
              <w:rPr>
                <w:rFonts w:ascii="宋体"/>
              </w:rPr>
            </w:pPr>
          </w:p>
        </w:tc>
        <w:tc>
          <w:tcPr>
            <w:tcW w:w="0" w:type="auto"/>
            <w:gridSpan w:val="27"/>
            <w:shd w:val="clear" w:color="auto" w:fill="auto"/>
            <w:vAlign w:val="bottom"/>
          </w:tcPr>
          <w:p w14:paraId="5F2CD0CF" w14:textId="77777777" w:rsidR="00E836FB" w:rsidRDefault="00E836FB">
            <w:pPr>
              <w:rPr>
                <w:rFonts w:ascii="宋体"/>
                <w:vanish/>
              </w:rPr>
            </w:pPr>
          </w:p>
        </w:tc>
      </w:tr>
      <w:tr w:rsidR="00E836FB" w14:paraId="5F2CD0F5" w14:textId="77777777">
        <w:trPr>
          <w:hidden/>
        </w:trPr>
        <w:tc>
          <w:tcPr>
            <w:tcW w:w="0" w:type="auto"/>
            <w:gridSpan w:val="3"/>
            <w:shd w:val="clear" w:color="auto" w:fill="auto"/>
            <w:vAlign w:val="bottom"/>
          </w:tcPr>
          <w:p w14:paraId="5F2CD0D1" w14:textId="77777777" w:rsidR="00E836FB" w:rsidRDefault="00E836FB">
            <w:pPr>
              <w:rPr>
                <w:rFonts w:ascii="宋体"/>
                <w:vanish/>
              </w:rPr>
            </w:pPr>
          </w:p>
        </w:tc>
        <w:tc>
          <w:tcPr>
            <w:tcW w:w="0" w:type="auto"/>
            <w:gridSpan w:val="3"/>
            <w:shd w:val="clear" w:color="auto" w:fill="auto"/>
            <w:vAlign w:val="bottom"/>
          </w:tcPr>
          <w:p w14:paraId="5F2CD0D2" w14:textId="77777777" w:rsidR="00E836FB" w:rsidRDefault="00E836FB">
            <w:pPr>
              <w:rPr>
                <w:rFonts w:ascii="宋体"/>
                <w:vanish/>
              </w:rPr>
            </w:pPr>
          </w:p>
        </w:tc>
        <w:tc>
          <w:tcPr>
            <w:tcW w:w="0" w:type="auto"/>
            <w:gridSpan w:val="3"/>
            <w:shd w:val="clear" w:color="auto" w:fill="auto"/>
            <w:vAlign w:val="bottom"/>
          </w:tcPr>
          <w:p w14:paraId="5F2CD0D3" w14:textId="77777777" w:rsidR="00E836FB" w:rsidRDefault="00E836FB">
            <w:pPr>
              <w:rPr>
                <w:rFonts w:ascii="宋体"/>
                <w:vanish/>
              </w:rPr>
            </w:pPr>
          </w:p>
        </w:tc>
        <w:tc>
          <w:tcPr>
            <w:tcW w:w="0" w:type="auto"/>
            <w:gridSpan w:val="3"/>
            <w:shd w:val="clear" w:color="auto" w:fill="auto"/>
            <w:vAlign w:val="bottom"/>
          </w:tcPr>
          <w:p w14:paraId="5F2CD0D4" w14:textId="77777777" w:rsidR="00E836FB" w:rsidRDefault="00E836FB">
            <w:pPr>
              <w:rPr>
                <w:rFonts w:ascii="宋体"/>
                <w:vanish/>
              </w:rPr>
            </w:pPr>
          </w:p>
        </w:tc>
        <w:tc>
          <w:tcPr>
            <w:tcW w:w="0" w:type="auto"/>
            <w:gridSpan w:val="3"/>
            <w:shd w:val="clear" w:color="auto" w:fill="auto"/>
            <w:vAlign w:val="bottom"/>
          </w:tcPr>
          <w:p w14:paraId="5F2CD0D5" w14:textId="77777777" w:rsidR="00E836FB" w:rsidRDefault="00E836FB">
            <w:pPr>
              <w:rPr>
                <w:rFonts w:ascii="宋体"/>
                <w:vanish/>
              </w:rPr>
            </w:pPr>
          </w:p>
        </w:tc>
        <w:tc>
          <w:tcPr>
            <w:tcW w:w="0" w:type="auto"/>
            <w:gridSpan w:val="3"/>
            <w:shd w:val="clear" w:color="auto" w:fill="auto"/>
            <w:vAlign w:val="bottom"/>
          </w:tcPr>
          <w:p w14:paraId="5F2CD0D6" w14:textId="77777777" w:rsidR="00E836FB" w:rsidRDefault="00E836FB">
            <w:pPr>
              <w:rPr>
                <w:rFonts w:ascii="宋体"/>
                <w:vanish/>
              </w:rPr>
            </w:pPr>
          </w:p>
        </w:tc>
        <w:tc>
          <w:tcPr>
            <w:tcW w:w="0" w:type="auto"/>
            <w:gridSpan w:val="3"/>
            <w:shd w:val="clear" w:color="auto" w:fill="auto"/>
            <w:vAlign w:val="bottom"/>
          </w:tcPr>
          <w:p w14:paraId="5F2CD0D7" w14:textId="77777777" w:rsidR="00E836FB" w:rsidRDefault="00E836FB">
            <w:pPr>
              <w:rPr>
                <w:rFonts w:ascii="宋体"/>
                <w:vanish/>
              </w:rPr>
            </w:pPr>
          </w:p>
        </w:tc>
        <w:tc>
          <w:tcPr>
            <w:tcW w:w="0" w:type="auto"/>
            <w:gridSpan w:val="3"/>
            <w:shd w:val="clear" w:color="auto" w:fill="auto"/>
            <w:vAlign w:val="bottom"/>
          </w:tcPr>
          <w:p w14:paraId="5F2CD0D8" w14:textId="77777777" w:rsidR="00E836FB" w:rsidRDefault="00E836FB">
            <w:pPr>
              <w:rPr>
                <w:rFonts w:ascii="宋体"/>
                <w:vanish/>
              </w:rPr>
            </w:pPr>
          </w:p>
        </w:tc>
        <w:tc>
          <w:tcPr>
            <w:tcW w:w="0" w:type="auto"/>
            <w:gridSpan w:val="3"/>
            <w:shd w:val="clear" w:color="auto" w:fill="auto"/>
            <w:vAlign w:val="bottom"/>
          </w:tcPr>
          <w:p w14:paraId="5F2CD0D9" w14:textId="77777777" w:rsidR="00E836FB" w:rsidRDefault="00E836FB">
            <w:pPr>
              <w:rPr>
                <w:rFonts w:ascii="宋体"/>
                <w:vanish/>
              </w:rPr>
            </w:pPr>
          </w:p>
        </w:tc>
        <w:tc>
          <w:tcPr>
            <w:tcW w:w="0" w:type="auto"/>
            <w:shd w:val="clear" w:color="auto" w:fill="auto"/>
            <w:vAlign w:val="bottom"/>
          </w:tcPr>
          <w:p w14:paraId="5F2CD0DA" w14:textId="77777777" w:rsidR="00E836FB" w:rsidRDefault="00E836FB">
            <w:pPr>
              <w:rPr>
                <w:rFonts w:ascii="宋体"/>
              </w:rPr>
            </w:pPr>
          </w:p>
        </w:tc>
        <w:tc>
          <w:tcPr>
            <w:tcW w:w="0" w:type="auto"/>
            <w:shd w:val="clear" w:color="auto" w:fill="auto"/>
            <w:vAlign w:val="bottom"/>
          </w:tcPr>
          <w:p w14:paraId="5F2CD0DB" w14:textId="77777777" w:rsidR="00E836FB" w:rsidRDefault="00E836FB">
            <w:pPr>
              <w:rPr>
                <w:rFonts w:ascii="宋体"/>
              </w:rPr>
            </w:pPr>
          </w:p>
        </w:tc>
        <w:tc>
          <w:tcPr>
            <w:tcW w:w="0" w:type="auto"/>
            <w:shd w:val="clear" w:color="auto" w:fill="auto"/>
            <w:vAlign w:val="bottom"/>
          </w:tcPr>
          <w:p w14:paraId="5F2CD0DC" w14:textId="77777777" w:rsidR="00E836FB" w:rsidRDefault="00E836FB">
            <w:pPr>
              <w:rPr>
                <w:rFonts w:ascii="宋体"/>
              </w:rPr>
            </w:pPr>
          </w:p>
        </w:tc>
        <w:tc>
          <w:tcPr>
            <w:tcW w:w="0" w:type="auto"/>
            <w:shd w:val="clear" w:color="auto" w:fill="auto"/>
            <w:vAlign w:val="bottom"/>
          </w:tcPr>
          <w:p w14:paraId="5F2CD0DD" w14:textId="77777777" w:rsidR="00E836FB" w:rsidRDefault="00E836FB">
            <w:pPr>
              <w:rPr>
                <w:rFonts w:ascii="宋体"/>
              </w:rPr>
            </w:pPr>
          </w:p>
        </w:tc>
        <w:tc>
          <w:tcPr>
            <w:tcW w:w="0" w:type="auto"/>
            <w:shd w:val="clear" w:color="auto" w:fill="auto"/>
            <w:vAlign w:val="bottom"/>
          </w:tcPr>
          <w:p w14:paraId="5F2CD0DE" w14:textId="77777777" w:rsidR="00E836FB" w:rsidRDefault="00E836FB">
            <w:pPr>
              <w:rPr>
                <w:rFonts w:ascii="宋体"/>
              </w:rPr>
            </w:pPr>
          </w:p>
        </w:tc>
        <w:tc>
          <w:tcPr>
            <w:tcW w:w="0" w:type="auto"/>
            <w:shd w:val="clear" w:color="auto" w:fill="auto"/>
            <w:vAlign w:val="bottom"/>
          </w:tcPr>
          <w:p w14:paraId="5F2CD0DF" w14:textId="77777777" w:rsidR="00E836FB" w:rsidRDefault="00E836FB">
            <w:pPr>
              <w:rPr>
                <w:rFonts w:ascii="宋体"/>
              </w:rPr>
            </w:pPr>
          </w:p>
        </w:tc>
        <w:tc>
          <w:tcPr>
            <w:tcW w:w="0" w:type="auto"/>
            <w:shd w:val="clear" w:color="auto" w:fill="auto"/>
            <w:vAlign w:val="bottom"/>
          </w:tcPr>
          <w:p w14:paraId="5F2CD0E0" w14:textId="77777777" w:rsidR="00E836FB" w:rsidRDefault="00E836FB">
            <w:pPr>
              <w:rPr>
                <w:rFonts w:ascii="宋体"/>
              </w:rPr>
            </w:pPr>
          </w:p>
        </w:tc>
        <w:tc>
          <w:tcPr>
            <w:tcW w:w="0" w:type="auto"/>
            <w:shd w:val="clear" w:color="auto" w:fill="auto"/>
            <w:vAlign w:val="bottom"/>
          </w:tcPr>
          <w:p w14:paraId="5F2CD0E1" w14:textId="77777777" w:rsidR="00E836FB" w:rsidRDefault="00E836FB">
            <w:pPr>
              <w:rPr>
                <w:rFonts w:ascii="宋体"/>
              </w:rPr>
            </w:pPr>
          </w:p>
        </w:tc>
        <w:tc>
          <w:tcPr>
            <w:tcW w:w="0" w:type="auto"/>
            <w:shd w:val="clear" w:color="auto" w:fill="auto"/>
            <w:vAlign w:val="bottom"/>
          </w:tcPr>
          <w:p w14:paraId="5F2CD0E2" w14:textId="77777777" w:rsidR="00E836FB" w:rsidRDefault="00E836FB">
            <w:pPr>
              <w:rPr>
                <w:rFonts w:ascii="宋体"/>
              </w:rPr>
            </w:pPr>
          </w:p>
        </w:tc>
        <w:tc>
          <w:tcPr>
            <w:tcW w:w="0" w:type="auto"/>
            <w:shd w:val="clear" w:color="auto" w:fill="auto"/>
            <w:vAlign w:val="bottom"/>
          </w:tcPr>
          <w:p w14:paraId="5F2CD0E3" w14:textId="77777777" w:rsidR="00E836FB" w:rsidRDefault="00E836FB">
            <w:pPr>
              <w:rPr>
                <w:rFonts w:ascii="宋体"/>
              </w:rPr>
            </w:pPr>
          </w:p>
        </w:tc>
        <w:tc>
          <w:tcPr>
            <w:tcW w:w="0" w:type="auto"/>
            <w:shd w:val="clear" w:color="auto" w:fill="auto"/>
            <w:vAlign w:val="bottom"/>
          </w:tcPr>
          <w:p w14:paraId="5F2CD0E4" w14:textId="77777777" w:rsidR="00E836FB" w:rsidRDefault="00E836FB">
            <w:pPr>
              <w:rPr>
                <w:rFonts w:ascii="宋体"/>
              </w:rPr>
            </w:pPr>
          </w:p>
        </w:tc>
        <w:tc>
          <w:tcPr>
            <w:tcW w:w="0" w:type="auto"/>
            <w:shd w:val="clear" w:color="auto" w:fill="auto"/>
            <w:vAlign w:val="bottom"/>
          </w:tcPr>
          <w:p w14:paraId="5F2CD0E5" w14:textId="77777777" w:rsidR="00E836FB" w:rsidRDefault="00E836FB">
            <w:pPr>
              <w:rPr>
                <w:rFonts w:ascii="宋体"/>
              </w:rPr>
            </w:pPr>
          </w:p>
        </w:tc>
        <w:tc>
          <w:tcPr>
            <w:tcW w:w="0" w:type="auto"/>
            <w:shd w:val="clear" w:color="auto" w:fill="auto"/>
            <w:vAlign w:val="bottom"/>
          </w:tcPr>
          <w:p w14:paraId="5F2CD0E6" w14:textId="77777777" w:rsidR="00E836FB" w:rsidRDefault="00E836FB">
            <w:pPr>
              <w:rPr>
                <w:rFonts w:ascii="宋体"/>
              </w:rPr>
            </w:pPr>
          </w:p>
        </w:tc>
        <w:tc>
          <w:tcPr>
            <w:tcW w:w="0" w:type="auto"/>
            <w:shd w:val="clear" w:color="auto" w:fill="auto"/>
            <w:vAlign w:val="bottom"/>
          </w:tcPr>
          <w:p w14:paraId="5F2CD0E7" w14:textId="77777777" w:rsidR="00E836FB" w:rsidRDefault="00E836FB">
            <w:pPr>
              <w:rPr>
                <w:rFonts w:ascii="宋体"/>
              </w:rPr>
            </w:pPr>
          </w:p>
        </w:tc>
        <w:tc>
          <w:tcPr>
            <w:tcW w:w="0" w:type="auto"/>
            <w:shd w:val="clear" w:color="auto" w:fill="auto"/>
            <w:vAlign w:val="bottom"/>
          </w:tcPr>
          <w:p w14:paraId="5F2CD0E8" w14:textId="77777777" w:rsidR="00E836FB" w:rsidRDefault="00E836FB">
            <w:pPr>
              <w:rPr>
                <w:rFonts w:ascii="宋体"/>
              </w:rPr>
            </w:pPr>
          </w:p>
        </w:tc>
        <w:tc>
          <w:tcPr>
            <w:tcW w:w="0" w:type="auto"/>
            <w:shd w:val="clear" w:color="auto" w:fill="auto"/>
            <w:vAlign w:val="bottom"/>
          </w:tcPr>
          <w:p w14:paraId="5F2CD0E9" w14:textId="77777777" w:rsidR="00E836FB" w:rsidRDefault="00E836FB">
            <w:pPr>
              <w:rPr>
                <w:rFonts w:ascii="宋体"/>
              </w:rPr>
            </w:pPr>
          </w:p>
        </w:tc>
        <w:tc>
          <w:tcPr>
            <w:tcW w:w="0" w:type="auto"/>
            <w:shd w:val="clear" w:color="auto" w:fill="auto"/>
            <w:vAlign w:val="bottom"/>
          </w:tcPr>
          <w:p w14:paraId="5F2CD0EA" w14:textId="77777777" w:rsidR="00E836FB" w:rsidRDefault="00E836FB">
            <w:pPr>
              <w:rPr>
                <w:rFonts w:ascii="宋体"/>
              </w:rPr>
            </w:pPr>
          </w:p>
        </w:tc>
        <w:tc>
          <w:tcPr>
            <w:tcW w:w="0" w:type="auto"/>
            <w:shd w:val="clear" w:color="auto" w:fill="auto"/>
            <w:vAlign w:val="bottom"/>
          </w:tcPr>
          <w:p w14:paraId="5F2CD0EB" w14:textId="77777777" w:rsidR="00E836FB" w:rsidRDefault="00E836FB">
            <w:pPr>
              <w:rPr>
                <w:rFonts w:ascii="宋体"/>
              </w:rPr>
            </w:pPr>
          </w:p>
        </w:tc>
        <w:tc>
          <w:tcPr>
            <w:tcW w:w="0" w:type="auto"/>
            <w:shd w:val="clear" w:color="auto" w:fill="auto"/>
            <w:vAlign w:val="bottom"/>
          </w:tcPr>
          <w:p w14:paraId="5F2CD0EC" w14:textId="77777777" w:rsidR="00E836FB" w:rsidRDefault="00E836FB">
            <w:pPr>
              <w:rPr>
                <w:rFonts w:ascii="宋体"/>
              </w:rPr>
            </w:pPr>
          </w:p>
        </w:tc>
        <w:tc>
          <w:tcPr>
            <w:tcW w:w="0" w:type="auto"/>
            <w:shd w:val="clear" w:color="auto" w:fill="auto"/>
            <w:vAlign w:val="bottom"/>
          </w:tcPr>
          <w:p w14:paraId="5F2CD0ED" w14:textId="77777777" w:rsidR="00E836FB" w:rsidRDefault="00E836FB">
            <w:pPr>
              <w:rPr>
                <w:rFonts w:ascii="宋体"/>
              </w:rPr>
            </w:pPr>
          </w:p>
        </w:tc>
        <w:tc>
          <w:tcPr>
            <w:tcW w:w="0" w:type="auto"/>
            <w:shd w:val="clear" w:color="auto" w:fill="auto"/>
            <w:vAlign w:val="bottom"/>
          </w:tcPr>
          <w:p w14:paraId="5F2CD0EE" w14:textId="77777777" w:rsidR="00E836FB" w:rsidRDefault="00E836FB">
            <w:pPr>
              <w:rPr>
                <w:rFonts w:ascii="宋体"/>
              </w:rPr>
            </w:pPr>
          </w:p>
        </w:tc>
        <w:tc>
          <w:tcPr>
            <w:tcW w:w="0" w:type="auto"/>
            <w:shd w:val="clear" w:color="auto" w:fill="auto"/>
            <w:vAlign w:val="bottom"/>
          </w:tcPr>
          <w:p w14:paraId="5F2CD0EF" w14:textId="77777777" w:rsidR="00E836FB" w:rsidRDefault="00E836FB">
            <w:pPr>
              <w:rPr>
                <w:rFonts w:ascii="宋体"/>
              </w:rPr>
            </w:pPr>
          </w:p>
        </w:tc>
        <w:tc>
          <w:tcPr>
            <w:tcW w:w="0" w:type="auto"/>
            <w:shd w:val="clear" w:color="auto" w:fill="auto"/>
            <w:vAlign w:val="bottom"/>
          </w:tcPr>
          <w:p w14:paraId="5F2CD0F0" w14:textId="77777777" w:rsidR="00E836FB" w:rsidRDefault="00E836FB">
            <w:pPr>
              <w:rPr>
                <w:rFonts w:ascii="宋体"/>
              </w:rPr>
            </w:pPr>
          </w:p>
        </w:tc>
        <w:tc>
          <w:tcPr>
            <w:tcW w:w="0" w:type="auto"/>
            <w:shd w:val="clear" w:color="auto" w:fill="auto"/>
            <w:vAlign w:val="bottom"/>
          </w:tcPr>
          <w:p w14:paraId="5F2CD0F1" w14:textId="77777777" w:rsidR="00E836FB" w:rsidRDefault="00E836FB">
            <w:pPr>
              <w:rPr>
                <w:rFonts w:ascii="宋体"/>
              </w:rPr>
            </w:pPr>
          </w:p>
        </w:tc>
        <w:tc>
          <w:tcPr>
            <w:tcW w:w="0" w:type="auto"/>
            <w:shd w:val="clear" w:color="auto" w:fill="auto"/>
            <w:vAlign w:val="bottom"/>
          </w:tcPr>
          <w:p w14:paraId="5F2CD0F2" w14:textId="77777777" w:rsidR="00E836FB" w:rsidRDefault="00E836FB">
            <w:pPr>
              <w:rPr>
                <w:rFonts w:ascii="宋体"/>
              </w:rPr>
            </w:pPr>
          </w:p>
        </w:tc>
        <w:tc>
          <w:tcPr>
            <w:tcW w:w="0" w:type="auto"/>
            <w:shd w:val="clear" w:color="auto" w:fill="auto"/>
            <w:vAlign w:val="bottom"/>
          </w:tcPr>
          <w:p w14:paraId="5F2CD0F3" w14:textId="77777777" w:rsidR="00E836FB" w:rsidRDefault="00E836FB">
            <w:pPr>
              <w:rPr>
                <w:rFonts w:ascii="宋体"/>
              </w:rPr>
            </w:pPr>
          </w:p>
        </w:tc>
        <w:tc>
          <w:tcPr>
            <w:tcW w:w="0" w:type="auto"/>
            <w:shd w:val="clear" w:color="auto" w:fill="auto"/>
            <w:vAlign w:val="bottom"/>
          </w:tcPr>
          <w:p w14:paraId="5F2CD0F4" w14:textId="77777777" w:rsidR="00E836FB" w:rsidRDefault="00E836FB">
            <w:pPr>
              <w:rPr>
                <w:rFonts w:ascii="宋体"/>
              </w:rPr>
            </w:pPr>
          </w:p>
        </w:tc>
      </w:tr>
      <w:tr w:rsidR="00E836FB" w14:paraId="5F2CD11A" w14:textId="77777777">
        <w:trPr>
          <w:trHeight w:val="60"/>
        </w:trPr>
        <w:tc>
          <w:tcPr>
            <w:tcW w:w="0" w:type="auto"/>
            <w:gridSpan w:val="3"/>
            <w:shd w:val="clear" w:color="auto" w:fill="auto"/>
            <w:tcMar>
              <w:top w:w="0" w:type="dxa"/>
              <w:left w:w="20" w:type="dxa"/>
              <w:bottom w:w="0" w:type="dxa"/>
              <w:right w:w="20" w:type="dxa"/>
            </w:tcMar>
            <w:vAlign w:val="bottom"/>
          </w:tcPr>
          <w:p w14:paraId="5F2CD0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0FE" w14:textId="77777777" w:rsidR="00E836FB" w:rsidRDefault="00E836FB">
            <w:pPr>
              <w:rPr>
                <w:rFonts w:ascii="宋体"/>
              </w:rPr>
            </w:pPr>
          </w:p>
        </w:tc>
        <w:tc>
          <w:tcPr>
            <w:tcW w:w="0" w:type="auto"/>
            <w:shd w:val="clear" w:color="auto" w:fill="auto"/>
            <w:vAlign w:val="bottom"/>
          </w:tcPr>
          <w:p w14:paraId="5F2CD0FF" w14:textId="77777777" w:rsidR="00E836FB" w:rsidRDefault="00E836FB">
            <w:pPr>
              <w:rPr>
                <w:rFonts w:ascii="宋体"/>
              </w:rPr>
            </w:pPr>
          </w:p>
        </w:tc>
        <w:tc>
          <w:tcPr>
            <w:tcW w:w="0" w:type="auto"/>
            <w:shd w:val="clear" w:color="auto" w:fill="auto"/>
            <w:vAlign w:val="bottom"/>
          </w:tcPr>
          <w:p w14:paraId="5F2CD100" w14:textId="77777777" w:rsidR="00E836FB" w:rsidRDefault="00E836FB">
            <w:pPr>
              <w:rPr>
                <w:rFonts w:ascii="宋体"/>
              </w:rPr>
            </w:pPr>
          </w:p>
        </w:tc>
        <w:tc>
          <w:tcPr>
            <w:tcW w:w="0" w:type="auto"/>
            <w:shd w:val="clear" w:color="auto" w:fill="auto"/>
            <w:vAlign w:val="bottom"/>
          </w:tcPr>
          <w:p w14:paraId="5F2CD101" w14:textId="77777777" w:rsidR="00E836FB" w:rsidRDefault="00E836FB">
            <w:pPr>
              <w:rPr>
                <w:rFonts w:ascii="宋体"/>
              </w:rPr>
            </w:pPr>
          </w:p>
        </w:tc>
        <w:tc>
          <w:tcPr>
            <w:tcW w:w="0" w:type="auto"/>
            <w:shd w:val="clear" w:color="auto" w:fill="auto"/>
            <w:vAlign w:val="bottom"/>
          </w:tcPr>
          <w:p w14:paraId="5F2CD102" w14:textId="77777777" w:rsidR="00E836FB" w:rsidRDefault="00E836FB">
            <w:pPr>
              <w:rPr>
                <w:rFonts w:ascii="宋体"/>
              </w:rPr>
            </w:pPr>
          </w:p>
        </w:tc>
        <w:tc>
          <w:tcPr>
            <w:tcW w:w="0" w:type="auto"/>
            <w:shd w:val="clear" w:color="auto" w:fill="auto"/>
            <w:vAlign w:val="bottom"/>
          </w:tcPr>
          <w:p w14:paraId="5F2CD103" w14:textId="77777777" w:rsidR="00E836FB" w:rsidRDefault="00E836FB">
            <w:pPr>
              <w:rPr>
                <w:rFonts w:ascii="宋体"/>
              </w:rPr>
            </w:pPr>
          </w:p>
        </w:tc>
        <w:tc>
          <w:tcPr>
            <w:tcW w:w="0" w:type="auto"/>
            <w:shd w:val="clear" w:color="auto" w:fill="auto"/>
            <w:vAlign w:val="bottom"/>
          </w:tcPr>
          <w:p w14:paraId="5F2CD104" w14:textId="77777777" w:rsidR="00E836FB" w:rsidRDefault="00E836FB">
            <w:pPr>
              <w:rPr>
                <w:rFonts w:ascii="宋体"/>
              </w:rPr>
            </w:pPr>
          </w:p>
        </w:tc>
        <w:tc>
          <w:tcPr>
            <w:tcW w:w="0" w:type="auto"/>
            <w:shd w:val="clear" w:color="auto" w:fill="auto"/>
            <w:vAlign w:val="bottom"/>
          </w:tcPr>
          <w:p w14:paraId="5F2CD105" w14:textId="77777777" w:rsidR="00E836FB" w:rsidRDefault="00E836FB">
            <w:pPr>
              <w:rPr>
                <w:rFonts w:ascii="宋体"/>
              </w:rPr>
            </w:pPr>
          </w:p>
        </w:tc>
        <w:tc>
          <w:tcPr>
            <w:tcW w:w="0" w:type="auto"/>
            <w:shd w:val="clear" w:color="auto" w:fill="auto"/>
            <w:vAlign w:val="bottom"/>
          </w:tcPr>
          <w:p w14:paraId="5F2CD106" w14:textId="77777777" w:rsidR="00E836FB" w:rsidRDefault="00E836FB">
            <w:pPr>
              <w:rPr>
                <w:rFonts w:ascii="宋体"/>
              </w:rPr>
            </w:pPr>
          </w:p>
        </w:tc>
        <w:tc>
          <w:tcPr>
            <w:tcW w:w="0" w:type="auto"/>
            <w:shd w:val="clear" w:color="auto" w:fill="auto"/>
            <w:vAlign w:val="bottom"/>
          </w:tcPr>
          <w:p w14:paraId="5F2CD107" w14:textId="77777777" w:rsidR="00E836FB" w:rsidRDefault="00E836FB">
            <w:pPr>
              <w:rPr>
                <w:rFonts w:ascii="宋体"/>
              </w:rPr>
            </w:pPr>
          </w:p>
        </w:tc>
        <w:tc>
          <w:tcPr>
            <w:tcW w:w="0" w:type="auto"/>
            <w:shd w:val="clear" w:color="auto" w:fill="auto"/>
            <w:vAlign w:val="bottom"/>
          </w:tcPr>
          <w:p w14:paraId="5F2CD108" w14:textId="77777777" w:rsidR="00E836FB" w:rsidRDefault="00E836FB">
            <w:pPr>
              <w:rPr>
                <w:rFonts w:ascii="宋体"/>
              </w:rPr>
            </w:pPr>
          </w:p>
        </w:tc>
        <w:tc>
          <w:tcPr>
            <w:tcW w:w="0" w:type="auto"/>
            <w:shd w:val="clear" w:color="auto" w:fill="auto"/>
            <w:vAlign w:val="bottom"/>
          </w:tcPr>
          <w:p w14:paraId="5F2CD109" w14:textId="77777777" w:rsidR="00E836FB" w:rsidRDefault="00E836FB">
            <w:pPr>
              <w:rPr>
                <w:rFonts w:ascii="宋体"/>
              </w:rPr>
            </w:pPr>
          </w:p>
        </w:tc>
        <w:tc>
          <w:tcPr>
            <w:tcW w:w="0" w:type="auto"/>
            <w:shd w:val="clear" w:color="auto" w:fill="auto"/>
            <w:vAlign w:val="bottom"/>
          </w:tcPr>
          <w:p w14:paraId="5F2CD10A" w14:textId="77777777" w:rsidR="00E836FB" w:rsidRDefault="00E836FB">
            <w:pPr>
              <w:rPr>
                <w:rFonts w:ascii="宋体"/>
              </w:rPr>
            </w:pPr>
          </w:p>
        </w:tc>
        <w:tc>
          <w:tcPr>
            <w:tcW w:w="0" w:type="auto"/>
            <w:shd w:val="clear" w:color="auto" w:fill="auto"/>
            <w:vAlign w:val="bottom"/>
          </w:tcPr>
          <w:p w14:paraId="5F2CD10B" w14:textId="77777777" w:rsidR="00E836FB" w:rsidRDefault="00E836FB">
            <w:pPr>
              <w:rPr>
                <w:rFonts w:ascii="宋体"/>
              </w:rPr>
            </w:pPr>
          </w:p>
        </w:tc>
        <w:tc>
          <w:tcPr>
            <w:tcW w:w="0" w:type="auto"/>
            <w:shd w:val="clear" w:color="auto" w:fill="auto"/>
            <w:vAlign w:val="bottom"/>
          </w:tcPr>
          <w:p w14:paraId="5F2CD10C" w14:textId="77777777" w:rsidR="00E836FB" w:rsidRDefault="00E836FB">
            <w:pPr>
              <w:rPr>
                <w:rFonts w:ascii="宋体"/>
              </w:rPr>
            </w:pPr>
          </w:p>
        </w:tc>
        <w:tc>
          <w:tcPr>
            <w:tcW w:w="0" w:type="auto"/>
            <w:shd w:val="clear" w:color="auto" w:fill="auto"/>
            <w:vAlign w:val="bottom"/>
          </w:tcPr>
          <w:p w14:paraId="5F2CD10D" w14:textId="77777777" w:rsidR="00E836FB" w:rsidRDefault="00E836FB">
            <w:pPr>
              <w:rPr>
                <w:rFonts w:ascii="宋体"/>
              </w:rPr>
            </w:pPr>
          </w:p>
        </w:tc>
        <w:tc>
          <w:tcPr>
            <w:tcW w:w="0" w:type="auto"/>
            <w:shd w:val="clear" w:color="auto" w:fill="auto"/>
            <w:vAlign w:val="bottom"/>
          </w:tcPr>
          <w:p w14:paraId="5F2CD10E" w14:textId="77777777" w:rsidR="00E836FB" w:rsidRDefault="00E836FB">
            <w:pPr>
              <w:rPr>
                <w:rFonts w:ascii="宋体"/>
              </w:rPr>
            </w:pPr>
          </w:p>
        </w:tc>
        <w:tc>
          <w:tcPr>
            <w:tcW w:w="0" w:type="auto"/>
            <w:shd w:val="clear" w:color="auto" w:fill="auto"/>
            <w:vAlign w:val="bottom"/>
          </w:tcPr>
          <w:p w14:paraId="5F2CD10F" w14:textId="77777777" w:rsidR="00E836FB" w:rsidRDefault="00E836FB">
            <w:pPr>
              <w:rPr>
                <w:rFonts w:ascii="宋体"/>
              </w:rPr>
            </w:pPr>
          </w:p>
        </w:tc>
        <w:tc>
          <w:tcPr>
            <w:tcW w:w="0" w:type="auto"/>
            <w:shd w:val="clear" w:color="auto" w:fill="auto"/>
            <w:vAlign w:val="bottom"/>
          </w:tcPr>
          <w:p w14:paraId="5F2CD110" w14:textId="77777777" w:rsidR="00E836FB" w:rsidRDefault="00E836FB">
            <w:pPr>
              <w:rPr>
                <w:rFonts w:ascii="宋体"/>
              </w:rPr>
            </w:pPr>
          </w:p>
        </w:tc>
        <w:tc>
          <w:tcPr>
            <w:tcW w:w="0" w:type="auto"/>
            <w:shd w:val="clear" w:color="auto" w:fill="auto"/>
            <w:vAlign w:val="bottom"/>
          </w:tcPr>
          <w:p w14:paraId="5F2CD111" w14:textId="77777777" w:rsidR="00E836FB" w:rsidRDefault="00E836FB">
            <w:pPr>
              <w:rPr>
                <w:rFonts w:ascii="宋体"/>
              </w:rPr>
            </w:pPr>
          </w:p>
        </w:tc>
        <w:tc>
          <w:tcPr>
            <w:tcW w:w="0" w:type="auto"/>
            <w:shd w:val="clear" w:color="auto" w:fill="auto"/>
            <w:vAlign w:val="bottom"/>
          </w:tcPr>
          <w:p w14:paraId="5F2CD112" w14:textId="77777777" w:rsidR="00E836FB" w:rsidRDefault="00E836FB">
            <w:pPr>
              <w:rPr>
                <w:rFonts w:ascii="宋体"/>
              </w:rPr>
            </w:pPr>
          </w:p>
        </w:tc>
        <w:tc>
          <w:tcPr>
            <w:tcW w:w="0" w:type="auto"/>
            <w:shd w:val="clear" w:color="auto" w:fill="auto"/>
            <w:vAlign w:val="bottom"/>
          </w:tcPr>
          <w:p w14:paraId="5F2CD113" w14:textId="77777777" w:rsidR="00E836FB" w:rsidRDefault="00E836FB">
            <w:pPr>
              <w:rPr>
                <w:rFonts w:ascii="宋体"/>
              </w:rPr>
            </w:pPr>
          </w:p>
        </w:tc>
        <w:tc>
          <w:tcPr>
            <w:tcW w:w="0" w:type="auto"/>
            <w:shd w:val="clear" w:color="auto" w:fill="auto"/>
            <w:vAlign w:val="bottom"/>
          </w:tcPr>
          <w:p w14:paraId="5F2CD114" w14:textId="77777777" w:rsidR="00E836FB" w:rsidRDefault="00E836FB">
            <w:pPr>
              <w:rPr>
                <w:rFonts w:ascii="宋体"/>
              </w:rPr>
            </w:pPr>
          </w:p>
        </w:tc>
        <w:tc>
          <w:tcPr>
            <w:tcW w:w="0" w:type="auto"/>
            <w:shd w:val="clear" w:color="auto" w:fill="auto"/>
            <w:vAlign w:val="bottom"/>
          </w:tcPr>
          <w:p w14:paraId="5F2CD115" w14:textId="77777777" w:rsidR="00E836FB" w:rsidRDefault="00E836FB">
            <w:pPr>
              <w:rPr>
                <w:rFonts w:ascii="宋体"/>
              </w:rPr>
            </w:pPr>
          </w:p>
        </w:tc>
        <w:tc>
          <w:tcPr>
            <w:tcW w:w="0" w:type="auto"/>
            <w:shd w:val="clear" w:color="auto" w:fill="auto"/>
            <w:vAlign w:val="bottom"/>
          </w:tcPr>
          <w:p w14:paraId="5F2CD116" w14:textId="77777777" w:rsidR="00E836FB" w:rsidRDefault="00E836FB">
            <w:pPr>
              <w:rPr>
                <w:rFonts w:ascii="宋体"/>
              </w:rPr>
            </w:pPr>
          </w:p>
        </w:tc>
        <w:tc>
          <w:tcPr>
            <w:tcW w:w="0" w:type="auto"/>
            <w:shd w:val="clear" w:color="auto" w:fill="auto"/>
            <w:vAlign w:val="bottom"/>
          </w:tcPr>
          <w:p w14:paraId="5F2CD117" w14:textId="77777777" w:rsidR="00E836FB" w:rsidRDefault="00E836FB">
            <w:pPr>
              <w:rPr>
                <w:rFonts w:ascii="宋体"/>
              </w:rPr>
            </w:pPr>
          </w:p>
        </w:tc>
        <w:tc>
          <w:tcPr>
            <w:tcW w:w="0" w:type="auto"/>
            <w:shd w:val="clear" w:color="auto" w:fill="auto"/>
            <w:vAlign w:val="bottom"/>
          </w:tcPr>
          <w:p w14:paraId="5F2CD118" w14:textId="77777777" w:rsidR="00E836FB" w:rsidRDefault="00E836FB">
            <w:pPr>
              <w:rPr>
                <w:rFonts w:ascii="宋体"/>
              </w:rPr>
            </w:pPr>
          </w:p>
        </w:tc>
        <w:tc>
          <w:tcPr>
            <w:tcW w:w="0" w:type="auto"/>
            <w:shd w:val="clear" w:color="auto" w:fill="auto"/>
            <w:vAlign w:val="bottom"/>
          </w:tcPr>
          <w:p w14:paraId="5F2CD119" w14:textId="77777777" w:rsidR="00E836FB" w:rsidRDefault="00E836FB">
            <w:pPr>
              <w:rPr>
                <w:rFonts w:ascii="宋体"/>
              </w:rPr>
            </w:pPr>
          </w:p>
        </w:tc>
      </w:tr>
      <w:tr w:rsidR="00E836FB" w14:paraId="5F2CD13B" w14:textId="77777777">
        <w:tc>
          <w:tcPr>
            <w:tcW w:w="0" w:type="auto"/>
            <w:gridSpan w:val="15"/>
            <w:shd w:val="clear" w:color="auto" w:fill="auto"/>
            <w:tcMar>
              <w:top w:w="40" w:type="dxa"/>
              <w:left w:w="20" w:type="dxa"/>
              <w:bottom w:w="40" w:type="dxa"/>
              <w:right w:w="20" w:type="dxa"/>
            </w:tcMar>
            <w:vAlign w:val="center"/>
          </w:tcPr>
          <w:p w14:paraId="5F2CD11B" w14:textId="77777777" w:rsidR="00E836FB" w:rsidRDefault="00994958">
            <w:pPr>
              <w:textAlignment w:val="center"/>
            </w:pPr>
            <w:r>
              <w:rPr>
                <w:rFonts w:ascii="Arial" w:eastAsia="宋体" w:hAnsi="Arial" w:cs="Arial"/>
                <w:b/>
                <w:bCs/>
                <w:color w:val="000000"/>
                <w:sz w:val="20"/>
                <w:szCs w:val="20"/>
              </w:rPr>
              <w:t>Executive Management Committees:</w:t>
            </w:r>
          </w:p>
        </w:tc>
        <w:tc>
          <w:tcPr>
            <w:tcW w:w="0" w:type="auto"/>
            <w:gridSpan w:val="3"/>
            <w:shd w:val="clear" w:color="auto" w:fill="auto"/>
            <w:tcMar>
              <w:top w:w="0" w:type="dxa"/>
              <w:left w:w="20" w:type="dxa"/>
              <w:bottom w:w="0" w:type="dxa"/>
              <w:right w:w="20" w:type="dxa"/>
            </w:tcMar>
            <w:vAlign w:val="bottom"/>
          </w:tcPr>
          <w:p w14:paraId="5F2CD1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1F" w14:textId="77777777" w:rsidR="00E836FB" w:rsidRDefault="00E836FB">
            <w:pPr>
              <w:rPr>
                <w:rFonts w:ascii="宋体"/>
              </w:rPr>
            </w:pPr>
          </w:p>
        </w:tc>
        <w:tc>
          <w:tcPr>
            <w:tcW w:w="0" w:type="auto"/>
            <w:shd w:val="clear" w:color="auto" w:fill="auto"/>
            <w:vAlign w:val="bottom"/>
          </w:tcPr>
          <w:p w14:paraId="5F2CD120" w14:textId="77777777" w:rsidR="00E836FB" w:rsidRDefault="00E836FB">
            <w:pPr>
              <w:rPr>
                <w:rFonts w:ascii="宋体"/>
              </w:rPr>
            </w:pPr>
          </w:p>
        </w:tc>
        <w:tc>
          <w:tcPr>
            <w:tcW w:w="0" w:type="auto"/>
            <w:shd w:val="clear" w:color="auto" w:fill="auto"/>
            <w:vAlign w:val="bottom"/>
          </w:tcPr>
          <w:p w14:paraId="5F2CD121" w14:textId="77777777" w:rsidR="00E836FB" w:rsidRDefault="00E836FB">
            <w:pPr>
              <w:rPr>
                <w:rFonts w:ascii="宋体"/>
              </w:rPr>
            </w:pPr>
          </w:p>
        </w:tc>
        <w:tc>
          <w:tcPr>
            <w:tcW w:w="0" w:type="auto"/>
            <w:shd w:val="clear" w:color="auto" w:fill="auto"/>
            <w:vAlign w:val="bottom"/>
          </w:tcPr>
          <w:p w14:paraId="5F2CD122" w14:textId="77777777" w:rsidR="00E836FB" w:rsidRDefault="00E836FB">
            <w:pPr>
              <w:rPr>
                <w:rFonts w:ascii="宋体"/>
              </w:rPr>
            </w:pPr>
          </w:p>
        </w:tc>
        <w:tc>
          <w:tcPr>
            <w:tcW w:w="0" w:type="auto"/>
            <w:shd w:val="clear" w:color="auto" w:fill="auto"/>
            <w:vAlign w:val="bottom"/>
          </w:tcPr>
          <w:p w14:paraId="5F2CD123" w14:textId="77777777" w:rsidR="00E836FB" w:rsidRDefault="00E836FB">
            <w:pPr>
              <w:rPr>
                <w:rFonts w:ascii="宋体"/>
              </w:rPr>
            </w:pPr>
          </w:p>
        </w:tc>
        <w:tc>
          <w:tcPr>
            <w:tcW w:w="0" w:type="auto"/>
            <w:shd w:val="clear" w:color="auto" w:fill="auto"/>
            <w:vAlign w:val="bottom"/>
          </w:tcPr>
          <w:p w14:paraId="5F2CD124" w14:textId="77777777" w:rsidR="00E836FB" w:rsidRDefault="00E836FB">
            <w:pPr>
              <w:rPr>
                <w:rFonts w:ascii="宋体"/>
              </w:rPr>
            </w:pPr>
          </w:p>
        </w:tc>
        <w:tc>
          <w:tcPr>
            <w:tcW w:w="0" w:type="auto"/>
            <w:shd w:val="clear" w:color="auto" w:fill="auto"/>
            <w:vAlign w:val="bottom"/>
          </w:tcPr>
          <w:p w14:paraId="5F2CD125" w14:textId="77777777" w:rsidR="00E836FB" w:rsidRDefault="00E836FB">
            <w:pPr>
              <w:rPr>
                <w:rFonts w:ascii="宋体"/>
              </w:rPr>
            </w:pPr>
          </w:p>
        </w:tc>
        <w:tc>
          <w:tcPr>
            <w:tcW w:w="0" w:type="auto"/>
            <w:shd w:val="clear" w:color="auto" w:fill="auto"/>
            <w:vAlign w:val="bottom"/>
          </w:tcPr>
          <w:p w14:paraId="5F2CD126" w14:textId="77777777" w:rsidR="00E836FB" w:rsidRDefault="00E836FB">
            <w:pPr>
              <w:rPr>
                <w:rFonts w:ascii="宋体"/>
              </w:rPr>
            </w:pPr>
          </w:p>
        </w:tc>
        <w:tc>
          <w:tcPr>
            <w:tcW w:w="0" w:type="auto"/>
            <w:shd w:val="clear" w:color="auto" w:fill="auto"/>
            <w:vAlign w:val="bottom"/>
          </w:tcPr>
          <w:p w14:paraId="5F2CD127" w14:textId="77777777" w:rsidR="00E836FB" w:rsidRDefault="00E836FB">
            <w:pPr>
              <w:rPr>
                <w:rFonts w:ascii="宋体"/>
              </w:rPr>
            </w:pPr>
          </w:p>
        </w:tc>
        <w:tc>
          <w:tcPr>
            <w:tcW w:w="0" w:type="auto"/>
            <w:shd w:val="clear" w:color="auto" w:fill="auto"/>
            <w:vAlign w:val="bottom"/>
          </w:tcPr>
          <w:p w14:paraId="5F2CD128" w14:textId="77777777" w:rsidR="00E836FB" w:rsidRDefault="00E836FB">
            <w:pPr>
              <w:rPr>
                <w:rFonts w:ascii="宋体"/>
              </w:rPr>
            </w:pPr>
          </w:p>
        </w:tc>
        <w:tc>
          <w:tcPr>
            <w:tcW w:w="0" w:type="auto"/>
            <w:shd w:val="clear" w:color="auto" w:fill="auto"/>
            <w:vAlign w:val="bottom"/>
          </w:tcPr>
          <w:p w14:paraId="5F2CD129" w14:textId="77777777" w:rsidR="00E836FB" w:rsidRDefault="00E836FB">
            <w:pPr>
              <w:rPr>
                <w:rFonts w:ascii="宋体"/>
              </w:rPr>
            </w:pPr>
          </w:p>
        </w:tc>
        <w:tc>
          <w:tcPr>
            <w:tcW w:w="0" w:type="auto"/>
            <w:shd w:val="clear" w:color="auto" w:fill="auto"/>
            <w:vAlign w:val="bottom"/>
          </w:tcPr>
          <w:p w14:paraId="5F2CD12A" w14:textId="77777777" w:rsidR="00E836FB" w:rsidRDefault="00E836FB">
            <w:pPr>
              <w:rPr>
                <w:rFonts w:ascii="宋体"/>
              </w:rPr>
            </w:pPr>
          </w:p>
        </w:tc>
        <w:tc>
          <w:tcPr>
            <w:tcW w:w="0" w:type="auto"/>
            <w:shd w:val="clear" w:color="auto" w:fill="auto"/>
            <w:vAlign w:val="bottom"/>
          </w:tcPr>
          <w:p w14:paraId="5F2CD12B" w14:textId="77777777" w:rsidR="00E836FB" w:rsidRDefault="00E836FB">
            <w:pPr>
              <w:rPr>
                <w:rFonts w:ascii="宋体"/>
              </w:rPr>
            </w:pPr>
          </w:p>
        </w:tc>
        <w:tc>
          <w:tcPr>
            <w:tcW w:w="0" w:type="auto"/>
            <w:shd w:val="clear" w:color="auto" w:fill="auto"/>
            <w:vAlign w:val="bottom"/>
          </w:tcPr>
          <w:p w14:paraId="5F2CD12C" w14:textId="77777777" w:rsidR="00E836FB" w:rsidRDefault="00E836FB">
            <w:pPr>
              <w:rPr>
                <w:rFonts w:ascii="宋体"/>
              </w:rPr>
            </w:pPr>
          </w:p>
        </w:tc>
        <w:tc>
          <w:tcPr>
            <w:tcW w:w="0" w:type="auto"/>
            <w:shd w:val="clear" w:color="auto" w:fill="auto"/>
            <w:vAlign w:val="bottom"/>
          </w:tcPr>
          <w:p w14:paraId="5F2CD12D" w14:textId="77777777" w:rsidR="00E836FB" w:rsidRDefault="00E836FB">
            <w:pPr>
              <w:rPr>
                <w:rFonts w:ascii="宋体"/>
              </w:rPr>
            </w:pPr>
          </w:p>
        </w:tc>
        <w:tc>
          <w:tcPr>
            <w:tcW w:w="0" w:type="auto"/>
            <w:shd w:val="clear" w:color="auto" w:fill="auto"/>
            <w:vAlign w:val="bottom"/>
          </w:tcPr>
          <w:p w14:paraId="5F2CD12E" w14:textId="77777777" w:rsidR="00E836FB" w:rsidRDefault="00E836FB">
            <w:pPr>
              <w:rPr>
                <w:rFonts w:ascii="宋体"/>
              </w:rPr>
            </w:pPr>
          </w:p>
        </w:tc>
        <w:tc>
          <w:tcPr>
            <w:tcW w:w="0" w:type="auto"/>
            <w:shd w:val="clear" w:color="auto" w:fill="auto"/>
            <w:vAlign w:val="bottom"/>
          </w:tcPr>
          <w:p w14:paraId="5F2CD12F" w14:textId="77777777" w:rsidR="00E836FB" w:rsidRDefault="00E836FB">
            <w:pPr>
              <w:rPr>
                <w:rFonts w:ascii="宋体"/>
              </w:rPr>
            </w:pPr>
          </w:p>
        </w:tc>
        <w:tc>
          <w:tcPr>
            <w:tcW w:w="0" w:type="auto"/>
            <w:shd w:val="clear" w:color="auto" w:fill="auto"/>
            <w:vAlign w:val="bottom"/>
          </w:tcPr>
          <w:p w14:paraId="5F2CD130" w14:textId="77777777" w:rsidR="00E836FB" w:rsidRDefault="00E836FB">
            <w:pPr>
              <w:rPr>
                <w:rFonts w:ascii="宋体"/>
              </w:rPr>
            </w:pPr>
          </w:p>
        </w:tc>
        <w:tc>
          <w:tcPr>
            <w:tcW w:w="0" w:type="auto"/>
            <w:shd w:val="clear" w:color="auto" w:fill="auto"/>
            <w:vAlign w:val="bottom"/>
          </w:tcPr>
          <w:p w14:paraId="5F2CD131" w14:textId="77777777" w:rsidR="00E836FB" w:rsidRDefault="00E836FB">
            <w:pPr>
              <w:rPr>
                <w:rFonts w:ascii="宋体"/>
              </w:rPr>
            </w:pPr>
          </w:p>
        </w:tc>
        <w:tc>
          <w:tcPr>
            <w:tcW w:w="0" w:type="auto"/>
            <w:shd w:val="clear" w:color="auto" w:fill="auto"/>
            <w:vAlign w:val="bottom"/>
          </w:tcPr>
          <w:p w14:paraId="5F2CD132" w14:textId="77777777" w:rsidR="00E836FB" w:rsidRDefault="00E836FB">
            <w:pPr>
              <w:rPr>
                <w:rFonts w:ascii="宋体"/>
              </w:rPr>
            </w:pPr>
          </w:p>
        </w:tc>
        <w:tc>
          <w:tcPr>
            <w:tcW w:w="0" w:type="auto"/>
            <w:shd w:val="clear" w:color="auto" w:fill="auto"/>
            <w:vAlign w:val="bottom"/>
          </w:tcPr>
          <w:p w14:paraId="5F2CD133" w14:textId="77777777" w:rsidR="00E836FB" w:rsidRDefault="00E836FB">
            <w:pPr>
              <w:rPr>
                <w:rFonts w:ascii="宋体"/>
              </w:rPr>
            </w:pPr>
          </w:p>
        </w:tc>
        <w:tc>
          <w:tcPr>
            <w:tcW w:w="0" w:type="auto"/>
            <w:shd w:val="clear" w:color="auto" w:fill="auto"/>
            <w:vAlign w:val="bottom"/>
          </w:tcPr>
          <w:p w14:paraId="5F2CD134" w14:textId="77777777" w:rsidR="00E836FB" w:rsidRDefault="00E836FB">
            <w:pPr>
              <w:rPr>
                <w:rFonts w:ascii="宋体"/>
              </w:rPr>
            </w:pPr>
          </w:p>
        </w:tc>
        <w:tc>
          <w:tcPr>
            <w:tcW w:w="0" w:type="auto"/>
            <w:shd w:val="clear" w:color="auto" w:fill="auto"/>
            <w:vAlign w:val="bottom"/>
          </w:tcPr>
          <w:p w14:paraId="5F2CD135" w14:textId="77777777" w:rsidR="00E836FB" w:rsidRDefault="00E836FB">
            <w:pPr>
              <w:rPr>
                <w:rFonts w:ascii="宋体"/>
              </w:rPr>
            </w:pPr>
          </w:p>
        </w:tc>
        <w:tc>
          <w:tcPr>
            <w:tcW w:w="0" w:type="auto"/>
            <w:shd w:val="clear" w:color="auto" w:fill="auto"/>
            <w:vAlign w:val="bottom"/>
          </w:tcPr>
          <w:p w14:paraId="5F2CD136" w14:textId="77777777" w:rsidR="00E836FB" w:rsidRDefault="00E836FB">
            <w:pPr>
              <w:rPr>
                <w:rFonts w:ascii="宋体"/>
              </w:rPr>
            </w:pPr>
          </w:p>
        </w:tc>
        <w:tc>
          <w:tcPr>
            <w:tcW w:w="0" w:type="auto"/>
            <w:shd w:val="clear" w:color="auto" w:fill="auto"/>
            <w:vAlign w:val="bottom"/>
          </w:tcPr>
          <w:p w14:paraId="5F2CD137" w14:textId="77777777" w:rsidR="00E836FB" w:rsidRDefault="00E836FB">
            <w:pPr>
              <w:rPr>
                <w:rFonts w:ascii="宋体"/>
              </w:rPr>
            </w:pPr>
          </w:p>
        </w:tc>
        <w:tc>
          <w:tcPr>
            <w:tcW w:w="0" w:type="auto"/>
            <w:shd w:val="clear" w:color="auto" w:fill="auto"/>
            <w:vAlign w:val="bottom"/>
          </w:tcPr>
          <w:p w14:paraId="5F2CD138" w14:textId="77777777" w:rsidR="00E836FB" w:rsidRDefault="00E836FB">
            <w:pPr>
              <w:rPr>
                <w:rFonts w:ascii="宋体"/>
              </w:rPr>
            </w:pPr>
          </w:p>
        </w:tc>
        <w:tc>
          <w:tcPr>
            <w:tcW w:w="0" w:type="auto"/>
            <w:shd w:val="clear" w:color="auto" w:fill="auto"/>
            <w:vAlign w:val="bottom"/>
          </w:tcPr>
          <w:p w14:paraId="5F2CD139" w14:textId="77777777" w:rsidR="00E836FB" w:rsidRDefault="00E836FB">
            <w:pPr>
              <w:rPr>
                <w:rFonts w:ascii="宋体"/>
              </w:rPr>
            </w:pPr>
          </w:p>
        </w:tc>
        <w:tc>
          <w:tcPr>
            <w:tcW w:w="0" w:type="auto"/>
            <w:shd w:val="clear" w:color="auto" w:fill="auto"/>
            <w:vAlign w:val="bottom"/>
          </w:tcPr>
          <w:p w14:paraId="5F2CD13A" w14:textId="77777777" w:rsidR="00E836FB" w:rsidRDefault="00E836FB">
            <w:pPr>
              <w:rPr>
                <w:rFonts w:ascii="宋体"/>
              </w:rPr>
            </w:pPr>
          </w:p>
        </w:tc>
      </w:tr>
      <w:tr w:rsidR="00E836FB" w14:paraId="5F2CD160" w14:textId="77777777">
        <w:trPr>
          <w:trHeight w:val="60"/>
        </w:trPr>
        <w:tc>
          <w:tcPr>
            <w:tcW w:w="0" w:type="auto"/>
            <w:gridSpan w:val="3"/>
            <w:shd w:val="clear" w:color="auto" w:fill="auto"/>
            <w:tcMar>
              <w:top w:w="0" w:type="dxa"/>
              <w:left w:w="20" w:type="dxa"/>
              <w:bottom w:w="0" w:type="dxa"/>
              <w:right w:w="20" w:type="dxa"/>
            </w:tcMar>
            <w:vAlign w:val="bottom"/>
          </w:tcPr>
          <w:p w14:paraId="5F2CD1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3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3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4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44" w14:textId="77777777" w:rsidR="00E836FB" w:rsidRDefault="00E836FB">
            <w:pPr>
              <w:rPr>
                <w:rFonts w:ascii="宋体"/>
              </w:rPr>
            </w:pPr>
          </w:p>
        </w:tc>
        <w:tc>
          <w:tcPr>
            <w:tcW w:w="0" w:type="auto"/>
            <w:shd w:val="clear" w:color="auto" w:fill="auto"/>
            <w:vAlign w:val="bottom"/>
          </w:tcPr>
          <w:p w14:paraId="5F2CD145" w14:textId="77777777" w:rsidR="00E836FB" w:rsidRDefault="00E836FB">
            <w:pPr>
              <w:rPr>
                <w:rFonts w:ascii="宋体"/>
              </w:rPr>
            </w:pPr>
          </w:p>
        </w:tc>
        <w:tc>
          <w:tcPr>
            <w:tcW w:w="0" w:type="auto"/>
            <w:shd w:val="clear" w:color="auto" w:fill="auto"/>
            <w:vAlign w:val="bottom"/>
          </w:tcPr>
          <w:p w14:paraId="5F2CD146" w14:textId="77777777" w:rsidR="00E836FB" w:rsidRDefault="00E836FB">
            <w:pPr>
              <w:rPr>
                <w:rFonts w:ascii="宋体"/>
              </w:rPr>
            </w:pPr>
          </w:p>
        </w:tc>
        <w:tc>
          <w:tcPr>
            <w:tcW w:w="0" w:type="auto"/>
            <w:shd w:val="clear" w:color="auto" w:fill="auto"/>
            <w:vAlign w:val="bottom"/>
          </w:tcPr>
          <w:p w14:paraId="5F2CD147" w14:textId="77777777" w:rsidR="00E836FB" w:rsidRDefault="00E836FB">
            <w:pPr>
              <w:rPr>
                <w:rFonts w:ascii="宋体"/>
              </w:rPr>
            </w:pPr>
          </w:p>
        </w:tc>
        <w:tc>
          <w:tcPr>
            <w:tcW w:w="0" w:type="auto"/>
            <w:shd w:val="clear" w:color="auto" w:fill="auto"/>
            <w:vAlign w:val="bottom"/>
          </w:tcPr>
          <w:p w14:paraId="5F2CD148" w14:textId="77777777" w:rsidR="00E836FB" w:rsidRDefault="00E836FB">
            <w:pPr>
              <w:rPr>
                <w:rFonts w:ascii="宋体"/>
              </w:rPr>
            </w:pPr>
          </w:p>
        </w:tc>
        <w:tc>
          <w:tcPr>
            <w:tcW w:w="0" w:type="auto"/>
            <w:shd w:val="clear" w:color="auto" w:fill="auto"/>
            <w:vAlign w:val="bottom"/>
          </w:tcPr>
          <w:p w14:paraId="5F2CD149" w14:textId="77777777" w:rsidR="00E836FB" w:rsidRDefault="00E836FB">
            <w:pPr>
              <w:rPr>
                <w:rFonts w:ascii="宋体"/>
              </w:rPr>
            </w:pPr>
          </w:p>
        </w:tc>
        <w:tc>
          <w:tcPr>
            <w:tcW w:w="0" w:type="auto"/>
            <w:shd w:val="clear" w:color="auto" w:fill="auto"/>
            <w:vAlign w:val="bottom"/>
          </w:tcPr>
          <w:p w14:paraId="5F2CD14A" w14:textId="77777777" w:rsidR="00E836FB" w:rsidRDefault="00E836FB">
            <w:pPr>
              <w:rPr>
                <w:rFonts w:ascii="宋体"/>
              </w:rPr>
            </w:pPr>
          </w:p>
        </w:tc>
        <w:tc>
          <w:tcPr>
            <w:tcW w:w="0" w:type="auto"/>
            <w:shd w:val="clear" w:color="auto" w:fill="auto"/>
            <w:vAlign w:val="bottom"/>
          </w:tcPr>
          <w:p w14:paraId="5F2CD14B" w14:textId="77777777" w:rsidR="00E836FB" w:rsidRDefault="00E836FB">
            <w:pPr>
              <w:rPr>
                <w:rFonts w:ascii="宋体"/>
              </w:rPr>
            </w:pPr>
          </w:p>
        </w:tc>
        <w:tc>
          <w:tcPr>
            <w:tcW w:w="0" w:type="auto"/>
            <w:shd w:val="clear" w:color="auto" w:fill="auto"/>
            <w:vAlign w:val="bottom"/>
          </w:tcPr>
          <w:p w14:paraId="5F2CD14C" w14:textId="77777777" w:rsidR="00E836FB" w:rsidRDefault="00E836FB">
            <w:pPr>
              <w:rPr>
                <w:rFonts w:ascii="宋体"/>
              </w:rPr>
            </w:pPr>
          </w:p>
        </w:tc>
        <w:tc>
          <w:tcPr>
            <w:tcW w:w="0" w:type="auto"/>
            <w:shd w:val="clear" w:color="auto" w:fill="auto"/>
            <w:vAlign w:val="bottom"/>
          </w:tcPr>
          <w:p w14:paraId="5F2CD14D" w14:textId="77777777" w:rsidR="00E836FB" w:rsidRDefault="00E836FB">
            <w:pPr>
              <w:rPr>
                <w:rFonts w:ascii="宋体"/>
              </w:rPr>
            </w:pPr>
          </w:p>
        </w:tc>
        <w:tc>
          <w:tcPr>
            <w:tcW w:w="0" w:type="auto"/>
            <w:shd w:val="clear" w:color="auto" w:fill="auto"/>
            <w:vAlign w:val="bottom"/>
          </w:tcPr>
          <w:p w14:paraId="5F2CD14E" w14:textId="77777777" w:rsidR="00E836FB" w:rsidRDefault="00E836FB">
            <w:pPr>
              <w:rPr>
                <w:rFonts w:ascii="宋体"/>
              </w:rPr>
            </w:pPr>
          </w:p>
        </w:tc>
        <w:tc>
          <w:tcPr>
            <w:tcW w:w="0" w:type="auto"/>
            <w:shd w:val="clear" w:color="auto" w:fill="auto"/>
            <w:vAlign w:val="bottom"/>
          </w:tcPr>
          <w:p w14:paraId="5F2CD14F" w14:textId="77777777" w:rsidR="00E836FB" w:rsidRDefault="00E836FB">
            <w:pPr>
              <w:rPr>
                <w:rFonts w:ascii="宋体"/>
              </w:rPr>
            </w:pPr>
          </w:p>
        </w:tc>
        <w:tc>
          <w:tcPr>
            <w:tcW w:w="0" w:type="auto"/>
            <w:shd w:val="clear" w:color="auto" w:fill="auto"/>
            <w:vAlign w:val="bottom"/>
          </w:tcPr>
          <w:p w14:paraId="5F2CD150" w14:textId="77777777" w:rsidR="00E836FB" w:rsidRDefault="00E836FB">
            <w:pPr>
              <w:rPr>
                <w:rFonts w:ascii="宋体"/>
              </w:rPr>
            </w:pPr>
          </w:p>
        </w:tc>
        <w:tc>
          <w:tcPr>
            <w:tcW w:w="0" w:type="auto"/>
            <w:shd w:val="clear" w:color="auto" w:fill="auto"/>
            <w:vAlign w:val="bottom"/>
          </w:tcPr>
          <w:p w14:paraId="5F2CD151" w14:textId="77777777" w:rsidR="00E836FB" w:rsidRDefault="00E836FB">
            <w:pPr>
              <w:rPr>
                <w:rFonts w:ascii="宋体"/>
              </w:rPr>
            </w:pPr>
          </w:p>
        </w:tc>
        <w:tc>
          <w:tcPr>
            <w:tcW w:w="0" w:type="auto"/>
            <w:shd w:val="clear" w:color="auto" w:fill="auto"/>
            <w:vAlign w:val="bottom"/>
          </w:tcPr>
          <w:p w14:paraId="5F2CD152" w14:textId="77777777" w:rsidR="00E836FB" w:rsidRDefault="00E836FB">
            <w:pPr>
              <w:rPr>
                <w:rFonts w:ascii="宋体"/>
              </w:rPr>
            </w:pPr>
          </w:p>
        </w:tc>
        <w:tc>
          <w:tcPr>
            <w:tcW w:w="0" w:type="auto"/>
            <w:shd w:val="clear" w:color="auto" w:fill="auto"/>
            <w:vAlign w:val="bottom"/>
          </w:tcPr>
          <w:p w14:paraId="5F2CD153" w14:textId="77777777" w:rsidR="00E836FB" w:rsidRDefault="00E836FB">
            <w:pPr>
              <w:rPr>
                <w:rFonts w:ascii="宋体"/>
              </w:rPr>
            </w:pPr>
          </w:p>
        </w:tc>
        <w:tc>
          <w:tcPr>
            <w:tcW w:w="0" w:type="auto"/>
            <w:shd w:val="clear" w:color="auto" w:fill="auto"/>
            <w:vAlign w:val="bottom"/>
          </w:tcPr>
          <w:p w14:paraId="5F2CD154" w14:textId="77777777" w:rsidR="00E836FB" w:rsidRDefault="00E836FB">
            <w:pPr>
              <w:rPr>
                <w:rFonts w:ascii="宋体"/>
              </w:rPr>
            </w:pPr>
          </w:p>
        </w:tc>
        <w:tc>
          <w:tcPr>
            <w:tcW w:w="0" w:type="auto"/>
            <w:shd w:val="clear" w:color="auto" w:fill="auto"/>
            <w:vAlign w:val="bottom"/>
          </w:tcPr>
          <w:p w14:paraId="5F2CD155" w14:textId="77777777" w:rsidR="00E836FB" w:rsidRDefault="00E836FB">
            <w:pPr>
              <w:rPr>
                <w:rFonts w:ascii="宋体"/>
              </w:rPr>
            </w:pPr>
          </w:p>
        </w:tc>
        <w:tc>
          <w:tcPr>
            <w:tcW w:w="0" w:type="auto"/>
            <w:shd w:val="clear" w:color="auto" w:fill="auto"/>
            <w:vAlign w:val="bottom"/>
          </w:tcPr>
          <w:p w14:paraId="5F2CD156" w14:textId="77777777" w:rsidR="00E836FB" w:rsidRDefault="00E836FB">
            <w:pPr>
              <w:rPr>
                <w:rFonts w:ascii="宋体"/>
              </w:rPr>
            </w:pPr>
          </w:p>
        </w:tc>
        <w:tc>
          <w:tcPr>
            <w:tcW w:w="0" w:type="auto"/>
            <w:shd w:val="clear" w:color="auto" w:fill="auto"/>
            <w:vAlign w:val="bottom"/>
          </w:tcPr>
          <w:p w14:paraId="5F2CD157" w14:textId="77777777" w:rsidR="00E836FB" w:rsidRDefault="00E836FB">
            <w:pPr>
              <w:rPr>
                <w:rFonts w:ascii="宋体"/>
              </w:rPr>
            </w:pPr>
          </w:p>
        </w:tc>
        <w:tc>
          <w:tcPr>
            <w:tcW w:w="0" w:type="auto"/>
            <w:shd w:val="clear" w:color="auto" w:fill="auto"/>
            <w:vAlign w:val="bottom"/>
          </w:tcPr>
          <w:p w14:paraId="5F2CD158" w14:textId="77777777" w:rsidR="00E836FB" w:rsidRDefault="00E836FB">
            <w:pPr>
              <w:rPr>
                <w:rFonts w:ascii="宋体"/>
              </w:rPr>
            </w:pPr>
          </w:p>
        </w:tc>
        <w:tc>
          <w:tcPr>
            <w:tcW w:w="0" w:type="auto"/>
            <w:shd w:val="clear" w:color="auto" w:fill="auto"/>
            <w:vAlign w:val="bottom"/>
          </w:tcPr>
          <w:p w14:paraId="5F2CD159" w14:textId="77777777" w:rsidR="00E836FB" w:rsidRDefault="00E836FB">
            <w:pPr>
              <w:rPr>
                <w:rFonts w:ascii="宋体"/>
              </w:rPr>
            </w:pPr>
          </w:p>
        </w:tc>
        <w:tc>
          <w:tcPr>
            <w:tcW w:w="0" w:type="auto"/>
            <w:shd w:val="clear" w:color="auto" w:fill="auto"/>
            <w:vAlign w:val="bottom"/>
          </w:tcPr>
          <w:p w14:paraId="5F2CD15A" w14:textId="77777777" w:rsidR="00E836FB" w:rsidRDefault="00E836FB">
            <w:pPr>
              <w:rPr>
                <w:rFonts w:ascii="宋体"/>
              </w:rPr>
            </w:pPr>
          </w:p>
        </w:tc>
        <w:tc>
          <w:tcPr>
            <w:tcW w:w="0" w:type="auto"/>
            <w:shd w:val="clear" w:color="auto" w:fill="auto"/>
            <w:vAlign w:val="bottom"/>
          </w:tcPr>
          <w:p w14:paraId="5F2CD15B" w14:textId="77777777" w:rsidR="00E836FB" w:rsidRDefault="00E836FB">
            <w:pPr>
              <w:rPr>
                <w:rFonts w:ascii="宋体"/>
              </w:rPr>
            </w:pPr>
          </w:p>
        </w:tc>
        <w:tc>
          <w:tcPr>
            <w:tcW w:w="0" w:type="auto"/>
            <w:shd w:val="clear" w:color="auto" w:fill="auto"/>
            <w:vAlign w:val="bottom"/>
          </w:tcPr>
          <w:p w14:paraId="5F2CD15C" w14:textId="77777777" w:rsidR="00E836FB" w:rsidRDefault="00E836FB">
            <w:pPr>
              <w:rPr>
                <w:rFonts w:ascii="宋体"/>
              </w:rPr>
            </w:pPr>
          </w:p>
        </w:tc>
        <w:tc>
          <w:tcPr>
            <w:tcW w:w="0" w:type="auto"/>
            <w:shd w:val="clear" w:color="auto" w:fill="auto"/>
            <w:vAlign w:val="bottom"/>
          </w:tcPr>
          <w:p w14:paraId="5F2CD15D" w14:textId="77777777" w:rsidR="00E836FB" w:rsidRDefault="00E836FB">
            <w:pPr>
              <w:rPr>
                <w:rFonts w:ascii="宋体"/>
              </w:rPr>
            </w:pPr>
          </w:p>
        </w:tc>
        <w:tc>
          <w:tcPr>
            <w:tcW w:w="0" w:type="auto"/>
            <w:shd w:val="clear" w:color="auto" w:fill="auto"/>
            <w:vAlign w:val="bottom"/>
          </w:tcPr>
          <w:p w14:paraId="5F2CD15E" w14:textId="77777777" w:rsidR="00E836FB" w:rsidRDefault="00E836FB">
            <w:pPr>
              <w:rPr>
                <w:rFonts w:ascii="宋体"/>
              </w:rPr>
            </w:pPr>
          </w:p>
        </w:tc>
        <w:tc>
          <w:tcPr>
            <w:tcW w:w="0" w:type="auto"/>
            <w:shd w:val="clear" w:color="auto" w:fill="auto"/>
            <w:vAlign w:val="bottom"/>
          </w:tcPr>
          <w:p w14:paraId="5F2CD15F" w14:textId="77777777" w:rsidR="00E836FB" w:rsidRDefault="00E836FB">
            <w:pPr>
              <w:rPr>
                <w:rFonts w:ascii="宋体"/>
              </w:rPr>
            </w:pPr>
          </w:p>
        </w:tc>
      </w:tr>
      <w:tr w:rsidR="00E836FB" w14:paraId="5F2CD181" w14:textId="77777777">
        <w:tc>
          <w:tcPr>
            <w:tcW w:w="0" w:type="auto"/>
            <w:gridSpan w:val="9"/>
            <w:shd w:val="clear" w:color="auto" w:fill="003399"/>
            <w:tcMar>
              <w:top w:w="40" w:type="dxa"/>
              <w:left w:w="20" w:type="dxa"/>
              <w:bottom w:w="40" w:type="dxa"/>
              <w:right w:w="20" w:type="dxa"/>
            </w:tcMar>
            <w:vAlign w:val="center"/>
          </w:tcPr>
          <w:p w14:paraId="5F2CD161" w14:textId="77777777" w:rsidR="00E836FB" w:rsidRDefault="00994958">
            <w:pPr>
              <w:jc w:val="center"/>
              <w:textAlignment w:val="center"/>
            </w:pPr>
            <w:r>
              <w:rPr>
                <w:rFonts w:ascii="Arial" w:eastAsia="宋体" w:hAnsi="Arial" w:cs="Arial"/>
                <w:color w:val="FFFFFF"/>
                <w:sz w:val="16"/>
                <w:szCs w:val="16"/>
              </w:rPr>
              <w:t>Management Risk and Capital Committee</w:t>
            </w:r>
            <w:r>
              <w:rPr>
                <w:rFonts w:ascii="Arial" w:eastAsia="宋体" w:hAnsi="Arial" w:cs="Arial"/>
                <w:color w:val="FFFFFF"/>
                <w:sz w:val="16"/>
                <w:szCs w:val="16"/>
              </w:rPr>
              <w:br/>
              <w:t>(MRAC)</w:t>
            </w:r>
          </w:p>
        </w:tc>
        <w:tc>
          <w:tcPr>
            <w:tcW w:w="0" w:type="auto"/>
            <w:gridSpan w:val="3"/>
            <w:shd w:val="clear" w:color="auto" w:fill="auto"/>
            <w:tcMar>
              <w:top w:w="0" w:type="dxa"/>
              <w:left w:w="20" w:type="dxa"/>
              <w:bottom w:w="0" w:type="dxa"/>
              <w:right w:w="20" w:type="dxa"/>
            </w:tcMar>
            <w:vAlign w:val="bottom"/>
          </w:tcPr>
          <w:p w14:paraId="5F2CD162" w14:textId="77777777" w:rsidR="00E836FB" w:rsidRDefault="00E836FB">
            <w:pPr>
              <w:rPr>
                <w:rFonts w:ascii="宋体"/>
              </w:rPr>
            </w:pPr>
          </w:p>
        </w:tc>
        <w:tc>
          <w:tcPr>
            <w:tcW w:w="0" w:type="auto"/>
            <w:gridSpan w:val="3"/>
            <w:shd w:val="clear" w:color="auto" w:fill="006699"/>
            <w:tcMar>
              <w:top w:w="40" w:type="dxa"/>
              <w:left w:w="20" w:type="dxa"/>
              <w:bottom w:w="40" w:type="dxa"/>
              <w:right w:w="20" w:type="dxa"/>
            </w:tcMar>
            <w:vAlign w:val="center"/>
          </w:tcPr>
          <w:p w14:paraId="5F2CD163" w14:textId="77777777" w:rsidR="00E836FB" w:rsidRDefault="00994958">
            <w:pPr>
              <w:jc w:val="center"/>
              <w:textAlignment w:val="center"/>
            </w:pPr>
            <w:r>
              <w:rPr>
                <w:rFonts w:ascii="Arial" w:eastAsia="宋体" w:hAnsi="Arial" w:cs="Arial"/>
                <w:color w:val="FFFFFF"/>
                <w:sz w:val="16"/>
                <w:szCs w:val="16"/>
              </w:rPr>
              <w:t>Business Conduct Committee</w:t>
            </w:r>
            <w:r>
              <w:rPr>
                <w:rFonts w:ascii="Arial" w:eastAsia="宋体" w:hAnsi="Arial" w:cs="Arial"/>
                <w:color w:val="FFFFFF"/>
                <w:sz w:val="16"/>
                <w:szCs w:val="16"/>
              </w:rPr>
              <w:br/>
              <w:t>(BCC)</w:t>
            </w:r>
          </w:p>
        </w:tc>
        <w:tc>
          <w:tcPr>
            <w:tcW w:w="0" w:type="auto"/>
            <w:gridSpan w:val="3"/>
            <w:shd w:val="clear" w:color="auto" w:fill="auto"/>
            <w:tcMar>
              <w:top w:w="0" w:type="dxa"/>
              <w:left w:w="20" w:type="dxa"/>
              <w:bottom w:w="0" w:type="dxa"/>
              <w:right w:w="20" w:type="dxa"/>
            </w:tcMar>
            <w:vAlign w:val="bottom"/>
          </w:tcPr>
          <w:p w14:paraId="5F2CD164" w14:textId="77777777" w:rsidR="00E836FB" w:rsidRDefault="00E836FB">
            <w:pPr>
              <w:rPr>
                <w:rFonts w:ascii="宋体"/>
              </w:rPr>
            </w:pPr>
          </w:p>
        </w:tc>
        <w:tc>
          <w:tcPr>
            <w:tcW w:w="0" w:type="auto"/>
            <w:gridSpan w:val="9"/>
            <w:shd w:val="clear" w:color="auto" w:fill="6699FF"/>
            <w:tcMar>
              <w:top w:w="40" w:type="dxa"/>
              <w:left w:w="20" w:type="dxa"/>
              <w:bottom w:w="40" w:type="dxa"/>
              <w:right w:w="20" w:type="dxa"/>
            </w:tcMar>
            <w:vAlign w:val="center"/>
          </w:tcPr>
          <w:p w14:paraId="5F2CD165" w14:textId="77777777" w:rsidR="00E836FB" w:rsidRDefault="00994958">
            <w:pPr>
              <w:jc w:val="center"/>
              <w:textAlignment w:val="center"/>
            </w:pPr>
            <w:r>
              <w:rPr>
                <w:rFonts w:ascii="Arial" w:eastAsia="宋体" w:hAnsi="Arial" w:cs="Arial"/>
                <w:color w:val="FFFFFF"/>
                <w:sz w:val="16"/>
                <w:szCs w:val="16"/>
              </w:rPr>
              <w:t>Technology and Operational Risk Committee</w:t>
            </w:r>
            <w:r>
              <w:rPr>
                <w:rFonts w:ascii="Arial" w:eastAsia="宋体" w:hAnsi="Arial" w:cs="Arial"/>
                <w:color w:val="FFFFFF"/>
                <w:sz w:val="16"/>
                <w:szCs w:val="16"/>
              </w:rPr>
              <w:br/>
              <w:t>(TORC)</w:t>
            </w:r>
          </w:p>
        </w:tc>
        <w:tc>
          <w:tcPr>
            <w:tcW w:w="0" w:type="auto"/>
            <w:shd w:val="clear" w:color="auto" w:fill="auto"/>
            <w:vAlign w:val="bottom"/>
          </w:tcPr>
          <w:p w14:paraId="5F2CD166" w14:textId="77777777" w:rsidR="00E836FB" w:rsidRDefault="00E836FB">
            <w:pPr>
              <w:rPr>
                <w:rFonts w:ascii="宋体"/>
              </w:rPr>
            </w:pPr>
          </w:p>
        </w:tc>
        <w:tc>
          <w:tcPr>
            <w:tcW w:w="0" w:type="auto"/>
            <w:shd w:val="clear" w:color="auto" w:fill="auto"/>
            <w:vAlign w:val="bottom"/>
          </w:tcPr>
          <w:p w14:paraId="5F2CD167" w14:textId="77777777" w:rsidR="00E836FB" w:rsidRDefault="00E836FB">
            <w:pPr>
              <w:rPr>
                <w:rFonts w:ascii="宋体"/>
              </w:rPr>
            </w:pPr>
          </w:p>
        </w:tc>
        <w:tc>
          <w:tcPr>
            <w:tcW w:w="0" w:type="auto"/>
            <w:shd w:val="clear" w:color="auto" w:fill="auto"/>
            <w:vAlign w:val="bottom"/>
          </w:tcPr>
          <w:p w14:paraId="5F2CD168" w14:textId="77777777" w:rsidR="00E836FB" w:rsidRDefault="00E836FB">
            <w:pPr>
              <w:rPr>
                <w:rFonts w:ascii="宋体"/>
              </w:rPr>
            </w:pPr>
          </w:p>
        </w:tc>
        <w:tc>
          <w:tcPr>
            <w:tcW w:w="0" w:type="auto"/>
            <w:shd w:val="clear" w:color="auto" w:fill="auto"/>
            <w:vAlign w:val="bottom"/>
          </w:tcPr>
          <w:p w14:paraId="5F2CD169" w14:textId="77777777" w:rsidR="00E836FB" w:rsidRDefault="00E836FB">
            <w:pPr>
              <w:rPr>
                <w:rFonts w:ascii="宋体"/>
              </w:rPr>
            </w:pPr>
          </w:p>
        </w:tc>
        <w:tc>
          <w:tcPr>
            <w:tcW w:w="0" w:type="auto"/>
            <w:shd w:val="clear" w:color="auto" w:fill="auto"/>
            <w:vAlign w:val="bottom"/>
          </w:tcPr>
          <w:p w14:paraId="5F2CD16A" w14:textId="77777777" w:rsidR="00E836FB" w:rsidRDefault="00E836FB">
            <w:pPr>
              <w:rPr>
                <w:rFonts w:ascii="宋体"/>
              </w:rPr>
            </w:pPr>
          </w:p>
        </w:tc>
        <w:tc>
          <w:tcPr>
            <w:tcW w:w="0" w:type="auto"/>
            <w:shd w:val="clear" w:color="auto" w:fill="auto"/>
            <w:vAlign w:val="bottom"/>
          </w:tcPr>
          <w:p w14:paraId="5F2CD16B" w14:textId="77777777" w:rsidR="00E836FB" w:rsidRDefault="00E836FB">
            <w:pPr>
              <w:rPr>
                <w:rFonts w:ascii="宋体"/>
              </w:rPr>
            </w:pPr>
          </w:p>
        </w:tc>
        <w:tc>
          <w:tcPr>
            <w:tcW w:w="0" w:type="auto"/>
            <w:shd w:val="clear" w:color="auto" w:fill="auto"/>
            <w:vAlign w:val="bottom"/>
          </w:tcPr>
          <w:p w14:paraId="5F2CD16C" w14:textId="77777777" w:rsidR="00E836FB" w:rsidRDefault="00E836FB">
            <w:pPr>
              <w:rPr>
                <w:rFonts w:ascii="宋体"/>
              </w:rPr>
            </w:pPr>
          </w:p>
        </w:tc>
        <w:tc>
          <w:tcPr>
            <w:tcW w:w="0" w:type="auto"/>
            <w:shd w:val="clear" w:color="auto" w:fill="auto"/>
            <w:vAlign w:val="bottom"/>
          </w:tcPr>
          <w:p w14:paraId="5F2CD16D" w14:textId="77777777" w:rsidR="00E836FB" w:rsidRDefault="00E836FB">
            <w:pPr>
              <w:rPr>
                <w:rFonts w:ascii="宋体"/>
              </w:rPr>
            </w:pPr>
          </w:p>
        </w:tc>
        <w:tc>
          <w:tcPr>
            <w:tcW w:w="0" w:type="auto"/>
            <w:shd w:val="clear" w:color="auto" w:fill="auto"/>
            <w:vAlign w:val="bottom"/>
          </w:tcPr>
          <w:p w14:paraId="5F2CD16E" w14:textId="77777777" w:rsidR="00E836FB" w:rsidRDefault="00E836FB">
            <w:pPr>
              <w:rPr>
                <w:rFonts w:ascii="宋体"/>
              </w:rPr>
            </w:pPr>
          </w:p>
        </w:tc>
        <w:tc>
          <w:tcPr>
            <w:tcW w:w="0" w:type="auto"/>
            <w:shd w:val="clear" w:color="auto" w:fill="auto"/>
            <w:vAlign w:val="bottom"/>
          </w:tcPr>
          <w:p w14:paraId="5F2CD16F" w14:textId="77777777" w:rsidR="00E836FB" w:rsidRDefault="00E836FB">
            <w:pPr>
              <w:rPr>
                <w:rFonts w:ascii="宋体"/>
              </w:rPr>
            </w:pPr>
          </w:p>
        </w:tc>
        <w:tc>
          <w:tcPr>
            <w:tcW w:w="0" w:type="auto"/>
            <w:shd w:val="clear" w:color="auto" w:fill="auto"/>
            <w:vAlign w:val="bottom"/>
          </w:tcPr>
          <w:p w14:paraId="5F2CD170" w14:textId="77777777" w:rsidR="00E836FB" w:rsidRDefault="00E836FB">
            <w:pPr>
              <w:rPr>
                <w:rFonts w:ascii="宋体"/>
              </w:rPr>
            </w:pPr>
          </w:p>
        </w:tc>
        <w:tc>
          <w:tcPr>
            <w:tcW w:w="0" w:type="auto"/>
            <w:shd w:val="clear" w:color="auto" w:fill="auto"/>
            <w:vAlign w:val="bottom"/>
          </w:tcPr>
          <w:p w14:paraId="5F2CD171" w14:textId="77777777" w:rsidR="00E836FB" w:rsidRDefault="00E836FB">
            <w:pPr>
              <w:rPr>
                <w:rFonts w:ascii="宋体"/>
              </w:rPr>
            </w:pPr>
          </w:p>
        </w:tc>
        <w:tc>
          <w:tcPr>
            <w:tcW w:w="0" w:type="auto"/>
            <w:shd w:val="clear" w:color="auto" w:fill="auto"/>
            <w:vAlign w:val="bottom"/>
          </w:tcPr>
          <w:p w14:paraId="5F2CD172" w14:textId="77777777" w:rsidR="00E836FB" w:rsidRDefault="00E836FB">
            <w:pPr>
              <w:rPr>
                <w:rFonts w:ascii="宋体"/>
              </w:rPr>
            </w:pPr>
          </w:p>
        </w:tc>
        <w:tc>
          <w:tcPr>
            <w:tcW w:w="0" w:type="auto"/>
            <w:shd w:val="clear" w:color="auto" w:fill="auto"/>
            <w:vAlign w:val="bottom"/>
          </w:tcPr>
          <w:p w14:paraId="5F2CD173" w14:textId="77777777" w:rsidR="00E836FB" w:rsidRDefault="00E836FB">
            <w:pPr>
              <w:rPr>
                <w:rFonts w:ascii="宋体"/>
              </w:rPr>
            </w:pPr>
          </w:p>
        </w:tc>
        <w:tc>
          <w:tcPr>
            <w:tcW w:w="0" w:type="auto"/>
            <w:shd w:val="clear" w:color="auto" w:fill="auto"/>
            <w:vAlign w:val="bottom"/>
          </w:tcPr>
          <w:p w14:paraId="5F2CD174" w14:textId="77777777" w:rsidR="00E836FB" w:rsidRDefault="00E836FB">
            <w:pPr>
              <w:rPr>
                <w:rFonts w:ascii="宋体"/>
              </w:rPr>
            </w:pPr>
          </w:p>
        </w:tc>
        <w:tc>
          <w:tcPr>
            <w:tcW w:w="0" w:type="auto"/>
            <w:shd w:val="clear" w:color="auto" w:fill="auto"/>
            <w:vAlign w:val="bottom"/>
          </w:tcPr>
          <w:p w14:paraId="5F2CD175" w14:textId="77777777" w:rsidR="00E836FB" w:rsidRDefault="00E836FB">
            <w:pPr>
              <w:rPr>
                <w:rFonts w:ascii="宋体"/>
              </w:rPr>
            </w:pPr>
          </w:p>
        </w:tc>
        <w:tc>
          <w:tcPr>
            <w:tcW w:w="0" w:type="auto"/>
            <w:shd w:val="clear" w:color="auto" w:fill="auto"/>
            <w:vAlign w:val="bottom"/>
          </w:tcPr>
          <w:p w14:paraId="5F2CD176" w14:textId="77777777" w:rsidR="00E836FB" w:rsidRDefault="00E836FB">
            <w:pPr>
              <w:rPr>
                <w:rFonts w:ascii="宋体"/>
              </w:rPr>
            </w:pPr>
          </w:p>
        </w:tc>
        <w:tc>
          <w:tcPr>
            <w:tcW w:w="0" w:type="auto"/>
            <w:shd w:val="clear" w:color="auto" w:fill="auto"/>
            <w:vAlign w:val="bottom"/>
          </w:tcPr>
          <w:p w14:paraId="5F2CD177" w14:textId="77777777" w:rsidR="00E836FB" w:rsidRDefault="00E836FB">
            <w:pPr>
              <w:rPr>
                <w:rFonts w:ascii="宋体"/>
              </w:rPr>
            </w:pPr>
          </w:p>
        </w:tc>
        <w:tc>
          <w:tcPr>
            <w:tcW w:w="0" w:type="auto"/>
            <w:shd w:val="clear" w:color="auto" w:fill="auto"/>
            <w:vAlign w:val="bottom"/>
          </w:tcPr>
          <w:p w14:paraId="5F2CD178" w14:textId="77777777" w:rsidR="00E836FB" w:rsidRDefault="00E836FB">
            <w:pPr>
              <w:rPr>
                <w:rFonts w:ascii="宋体"/>
              </w:rPr>
            </w:pPr>
          </w:p>
        </w:tc>
        <w:tc>
          <w:tcPr>
            <w:tcW w:w="0" w:type="auto"/>
            <w:shd w:val="clear" w:color="auto" w:fill="auto"/>
            <w:vAlign w:val="bottom"/>
          </w:tcPr>
          <w:p w14:paraId="5F2CD179" w14:textId="77777777" w:rsidR="00E836FB" w:rsidRDefault="00E836FB">
            <w:pPr>
              <w:rPr>
                <w:rFonts w:ascii="宋体"/>
              </w:rPr>
            </w:pPr>
          </w:p>
        </w:tc>
        <w:tc>
          <w:tcPr>
            <w:tcW w:w="0" w:type="auto"/>
            <w:shd w:val="clear" w:color="auto" w:fill="auto"/>
            <w:vAlign w:val="bottom"/>
          </w:tcPr>
          <w:p w14:paraId="5F2CD17A" w14:textId="77777777" w:rsidR="00E836FB" w:rsidRDefault="00E836FB">
            <w:pPr>
              <w:rPr>
                <w:rFonts w:ascii="宋体"/>
              </w:rPr>
            </w:pPr>
          </w:p>
        </w:tc>
        <w:tc>
          <w:tcPr>
            <w:tcW w:w="0" w:type="auto"/>
            <w:shd w:val="clear" w:color="auto" w:fill="auto"/>
            <w:vAlign w:val="bottom"/>
          </w:tcPr>
          <w:p w14:paraId="5F2CD17B" w14:textId="77777777" w:rsidR="00E836FB" w:rsidRDefault="00E836FB">
            <w:pPr>
              <w:rPr>
                <w:rFonts w:ascii="宋体"/>
              </w:rPr>
            </w:pPr>
          </w:p>
        </w:tc>
        <w:tc>
          <w:tcPr>
            <w:tcW w:w="0" w:type="auto"/>
            <w:shd w:val="clear" w:color="auto" w:fill="auto"/>
            <w:vAlign w:val="bottom"/>
          </w:tcPr>
          <w:p w14:paraId="5F2CD17C" w14:textId="77777777" w:rsidR="00E836FB" w:rsidRDefault="00E836FB">
            <w:pPr>
              <w:rPr>
                <w:rFonts w:ascii="宋体"/>
              </w:rPr>
            </w:pPr>
          </w:p>
        </w:tc>
        <w:tc>
          <w:tcPr>
            <w:tcW w:w="0" w:type="auto"/>
            <w:shd w:val="clear" w:color="auto" w:fill="auto"/>
            <w:vAlign w:val="bottom"/>
          </w:tcPr>
          <w:p w14:paraId="5F2CD17D" w14:textId="77777777" w:rsidR="00E836FB" w:rsidRDefault="00E836FB">
            <w:pPr>
              <w:rPr>
                <w:rFonts w:ascii="宋体"/>
              </w:rPr>
            </w:pPr>
          </w:p>
        </w:tc>
        <w:tc>
          <w:tcPr>
            <w:tcW w:w="0" w:type="auto"/>
            <w:shd w:val="clear" w:color="auto" w:fill="auto"/>
            <w:vAlign w:val="bottom"/>
          </w:tcPr>
          <w:p w14:paraId="5F2CD17E" w14:textId="77777777" w:rsidR="00E836FB" w:rsidRDefault="00E836FB">
            <w:pPr>
              <w:rPr>
                <w:rFonts w:ascii="宋体"/>
              </w:rPr>
            </w:pPr>
          </w:p>
        </w:tc>
        <w:tc>
          <w:tcPr>
            <w:tcW w:w="0" w:type="auto"/>
            <w:shd w:val="clear" w:color="auto" w:fill="auto"/>
            <w:vAlign w:val="bottom"/>
          </w:tcPr>
          <w:p w14:paraId="5F2CD17F" w14:textId="77777777" w:rsidR="00E836FB" w:rsidRDefault="00E836FB">
            <w:pPr>
              <w:rPr>
                <w:rFonts w:ascii="宋体"/>
              </w:rPr>
            </w:pPr>
          </w:p>
        </w:tc>
        <w:tc>
          <w:tcPr>
            <w:tcW w:w="0" w:type="auto"/>
            <w:shd w:val="clear" w:color="auto" w:fill="auto"/>
            <w:vAlign w:val="bottom"/>
          </w:tcPr>
          <w:p w14:paraId="5F2CD180" w14:textId="77777777" w:rsidR="00E836FB" w:rsidRDefault="00E836FB">
            <w:pPr>
              <w:rPr>
                <w:rFonts w:ascii="宋体"/>
              </w:rPr>
            </w:pPr>
          </w:p>
        </w:tc>
      </w:tr>
      <w:tr w:rsidR="00E836FB" w14:paraId="5F2CD1A6" w14:textId="77777777">
        <w:trPr>
          <w:trHeight w:val="60"/>
        </w:trPr>
        <w:tc>
          <w:tcPr>
            <w:tcW w:w="0" w:type="auto"/>
            <w:gridSpan w:val="3"/>
            <w:shd w:val="clear" w:color="auto" w:fill="auto"/>
            <w:tcMar>
              <w:top w:w="0" w:type="dxa"/>
              <w:left w:w="20" w:type="dxa"/>
              <w:bottom w:w="0" w:type="dxa"/>
              <w:right w:w="20" w:type="dxa"/>
            </w:tcMar>
            <w:vAlign w:val="bottom"/>
          </w:tcPr>
          <w:p w14:paraId="5F2CD18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8A" w14:textId="77777777" w:rsidR="00E836FB" w:rsidRDefault="00E836FB">
            <w:pPr>
              <w:rPr>
                <w:rFonts w:ascii="宋体"/>
              </w:rPr>
            </w:pPr>
          </w:p>
        </w:tc>
        <w:tc>
          <w:tcPr>
            <w:tcW w:w="0" w:type="auto"/>
            <w:shd w:val="clear" w:color="auto" w:fill="auto"/>
            <w:vAlign w:val="bottom"/>
          </w:tcPr>
          <w:p w14:paraId="5F2CD18B" w14:textId="77777777" w:rsidR="00E836FB" w:rsidRDefault="00E836FB">
            <w:pPr>
              <w:rPr>
                <w:rFonts w:ascii="宋体"/>
              </w:rPr>
            </w:pPr>
          </w:p>
        </w:tc>
        <w:tc>
          <w:tcPr>
            <w:tcW w:w="0" w:type="auto"/>
            <w:shd w:val="clear" w:color="auto" w:fill="auto"/>
            <w:vAlign w:val="bottom"/>
          </w:tcPr>
          <w:p w14:paraId="5F2CD18C" w14:textId="77777777" w:rsidR="00E836FB" w:rsidRDefault="00E836FB">
            <w:pPr>
              <w:rPr>
                <w:rFonts w:ascii="宋体"/>
              </w:rPr>
            </w:pPr>
          </w:p>
        </w:tc>
        <w:tc>
          <w:tcPr>
            <w:tcW w:w="0" w:type="auto"/>
            <w:shd w:val="clear" w:color="auto" w:fill="auto"/>
            <w:vAlign w:val="bottom"/>
          </w:tcPr>
          <w:p w14:paraId="5F2CD18D" w14:textId="77777777" w:rsidR="00E836FB" w:rsidRDefault="00E836FB">
            <w:pPr>
              <w:rPr>
                <w:rFonts w:ascii="宋体"/>
              </w:rPr>
            </w:pPr>
          </w:p>
        </w:tc>
        <w:tc>
          <w:tcPr>
            <w:tcW w:w="0" w:type="auto"/>
            <w:shd w:val="clear" w:color="auto" w:fill="auto"/>
            <w:vAlign w:val="bottom"/>
          </w:tcPr>
          <w:p w14:paraId="5F2CD18E" w14:textId="77777777" w:rsidR="00E836FB" w:rsidRDefault="00E836FB">
            <w:pPr>
              <w:rPr>
                <w:rFonts w:ascii="宋体"/>
              </w:rPr>
            </w:pPr>
          </w:p>
        </w:tc>
        <w:tc>
          <w:tcPr>
            <w:tcW w:w="0" w:type="auto"/>
            <w:shd w:val="clear" w:color="auto" w:fill="auto"/>
            <w:vAlign w:val="bottom"/>
          </w:tcPr>
          <w:p w14:paraId="5F2CD18F" w14:textId="77777777" w:rsidR="00E836FB" w:rsidRDefault="00E836FB">
            <w:pPr>
              <w:rPr>
                <w:rFonts w:ascii="宋体"/>
              </w:rPr>
            </w:pPr>
          </w:p>
        </w:tc>
        <w:tc>
          <w:tcPr>
            <w:tcW w:w="0" w:type="auto"/>
            <w:shd w:val="clear" w:color="auto" w:fill="auto"/>
            <w:vAlign w:val="bottom"/>
          </w:tcPr>
          <w:p w14:paraId="5F2CD190" w14:textId="77777777" w:rsidR="00E836FB" w:rsidRDefault="00E836FB">
            <w:pPr>
              <w:rPr>
                <w:rFonts w:ascii="宋体"/>
              </w:rPr>
            </w:pPr>
          </w:p>
        </w:tc>
        <w:tc>
          <w:tcPr>
            <w:tcW w:w="0" w:type="auto"/>
            <w:shd w:val="clear" w:color="auto" w:fill="auto"/>
            <w:vAlign w:val="bottom"/>
          </w:tcPr>
          <w:p w14:paraId="5F2CD191" w14:textId="77777777" w:rsidR="00E836FB" w:rsidRDefault="00E836FB">
            <w:pPr>
              <w:rPr>
                <w:rFonts w:ascii="宋体"/>
              </w:rPr>
            </w:pPr>
          </w:p>
        </w:tc>
        <w:tc>
          <w:tcPr>
            <w:tcW w:w="0" w:type="auto"/>
            <w:shd w:val="clear" w:color="auto" w:fill="auto"/>
            <w:vAlign w:val="bottom"/>
          </w:tcPr>
          <w:p w14:paraId="5F2CD192" w14:textId="77777777" w:rsidR="00E836FB" w:rsidRDefault="00E836FB">
            <w:pPr>
              <w:rPr>
                <w:rFonts w:ascii="宋体"/>
              </w:rPr>
            </w:pPr>
          </w:p>
        </w:tc>
        <w:tc>
          <w:tcPr>
            <w:tcW w:w="0" w:type="auto"/>
            <w:shd w:val="clear" w:color="auto" w:fill="auto"/>
            <w:vAlign w:val="bottom"/>
          </w:tcPr>
          <w:p w14:paraId="5F2CD193" w14:textId="77777777" w:rsidR="00E836FB" w:rsidRDefault="00E836FB">
            <w:pPr>
              <w:rPr>
                <w:rFonts w:ascii="宋体"/>
              </w:rPr>
            </w:pPr>
          </w:p>
        </w:tc>
        <w:tc>
          <w:tcPr>
            <w:tcW w:w="0" w:type="auto"/>
            <w:shd w:val="clear" w:color="auto" w:fill="auto"/>
            <w:vAlign w:val="bottom"/>
          </w:tcPr>
          <w:p w14:paraId="5F2CD194" w14:textId="77777777" w:rsidR="00E836FB" w:rsidRDefault="00E836FB">
            <w:pPr>
              <w:rPr>
                <w:rFonts w:ascii="宋体"/>
              </w:rPr>
            </w:pPr>
          </w:p>
        </w:tc>
        <w:tc>
          <w:tcPr>
            <w:tcW w:w="0" w:type="auto"/>
            <w:shd w:val="clear" w:color="auto" w:fill="auto"/>
            <w:vAlign w:val="bottom"/>
          </w:tcPr>
          <w:p w14:paraId="5F2CD195" w14:textId="77777777" w:rsidR="00E836FB" w:rsidRDefault="00E836FB">
            <w:pPr>
              <w:rPr>
                <w:rFonts w:ascii="宋体"/>
              </w:rPr>
            </w:pPr>
          </w:p>
        </w:tc>
        <w:tc>
          <w:tcPr>
            <w:tcW w:w="0" w:type="auto"/>
            <w:shd w:val="clear" w:color="auto" w:fill="auto"/>
            <w:vAlign w:val="bottom"/>
          </w:tcPr>
          <w:p w14:paraId="5F2CD196" w14:textId="77777777" w:rsidR="00E836FB" w:rsidRDefault="00E836FB">
            <w:pPr>
              <w:rPr>
                <w:rFonts w:ascii="宋体"/>
              </w:rPr>
            </w:pPr>
          </w:p>
        </w:tc>
        <w:tc>
          <w:tcPr>
            <w:tcW w:w="0" w:type="auto"/>
            <w:shd w:val="clear" w:color="auto" w:fill="auto"/>
            <w:vAlign w:val="bottom"/>
          </w:tcPr>
          <w:p w14:paraId="5F2CD197" w14:textId="77777777" w:rsidR="00E836FB" w:rsidRDefault="00E836FB">
            <w:pPr>
              <w:rPr>
                <w:rFonts w:ascii="宋体"/>
              </w:rPr>
            </w:pPr>
          </w:p>
        </w:tc>
        <w:tc>
          <w:tcPr>
            <w:tcW w:w="0" w:type="auto"/>
            <w:shd w:val="clear" w:color="auto" w:fill="auto"/>
            <w:vAlign w:val="bottom"/>
          </w:tcPr>
          <w:p w14:paraId="5F2CD198" w14:textId="77777777" w:rsidR="00E836FB" w:rsidRDefault="00E836FB">
            <w:pPr>
              <w:rPr>
                <w:rFonts w:ascii="宋体"/>
              </w:rPr>
            </w:pPr>
          </w:p>
        </w:tc>
        <w:tc>
          <w:tcPr>
            <w:tcW w:w="0" w:type="auto"/>
            <w:shd w:val="clear" w:color="auto" w:fill="auto"/>
            <w:vAlign w:val="bottom"/>
          </w:tcPr>
          <w:p w14:paraId="5F2CD199" w14:textId="77777777" w:rsidR="00E836FB" w:rsidRDefault="00E836FB">
            <w:pPr>
              <w:rPr>
                <w:rFonts w:ascii="宋体"/>
              </w:rPr>
            </w:pPr>
          </w:p>
        </w:tc>
        <w:tc>
          <w:tcPr>
            <w:tcW w:w="0" w:type="auto"/>
            <w:shd w:val="clear" w:color="auto" w:fill="auto"/>
            <w:vAlign w:val="bottom"/>
          </w:tcPr>
          <w:p w14:paraId="5F2CD19A" w14:textId="77777777" w:rsidR="00E836FB" w:rsidRDefault="00E836FB">
            <w:pPr>
              <w:rPr>
                <w:rFonts w:ascii="宋体"/>
              </w:rPr>
            </w:pPr>
          </w:p>
        </w:tc>
        <w:tc>
          <w:tcPr>
            <w:tcW w:w="0" w:type="auto"/>
            <w:shd w:val="clear" w:color="auto" w:fill="auto"/>
            <w:vAlign w:val="bottom"/>
          </w:tcPr>
          <w:p w14:paraId="5F2CD19B" w14:textId="77777777" w:rsidR="00E836FB" w:rsidRDefault="00E836FB">
            <w:pPr>
              <w:rPr>
                <w:rFonts w:ascii="宋体"/>
              </w:rPr>
            </w:pPr>
          </w:p>
        </w:tc>
        <w:tc>
          <w:tcPr>
            <w:tcW w:w="0" w:type="auto"/>
            <w:shd w:val="clear" w:color="auto" w:fill="auto"/>
            <w:vAlign w:val="bottom"/>
          </w:tcPr>
          <w:p w14:paraId="5F2CD19C" w14:textId="77777777" w:rsidR="00E836FB" w:rsidRDefault="00E836FB">
            <w:pPr>
              <w:rPr>
                <w:rFonts w:ascii="宋体"/>
              </w:rPr>
            </w:pPr>
          </w:p>
        </w:tc>
        <w:tc>
          <w:tcPr>
            <w:tcW w:w="0" w:type="auto"/>
            <w:shd w:val="clear" w:color="auto" w:fill="auto"/>
            <w:vAlign w:val="bottom"/>
          </w:tcPr>
          <w:p w14:paraId="5F2CD19D" w14:textId="77777777" w:rsidR="00E836FB" w:rsidRDefault="00E836FB">
            <w:pPr>
              <w:rPr>
                <w:rFonts w:ascii="宋体"/>
              </w:rPr>
            </w:pPr>
          </w:p>
        </w:tc>
        <w:tc>
          <w:tcPr>
            <w:tcW w:w="0" w:type="auto"/>
            <w:shd w:val="clear" w:color="auto" w:fill="auto"/>
            <w:vAlign w:val="bottom"/>
          </w:tcPr>
          <w:p w14:paraId="5F2CD19E" w14:textId="77777777" w:rsidR="00E836FB" w:rsidRDefault="00E836FB">
            <w:pPr>
              <w:rPr>
                <w:rFonts w:ascii="宋体"/>
              </w:rPr>
            </w:pPr>
          </w:p>
        </w:tc>
        <w:tc>
          <w:tcPr>
            <w:tcW w:w="0" w:type="auto"/>
            <w:shd w:val="clear" w:color="auto" w:fill="auto"/>
            <w:vAlign w:val="bottom"/>
          </w:tcPr>
          <w:p w14:paraId="5F2CD19F" w14:textId="77777777" w:rsidR="00E836FB" w:rsidRDefault="00E836FB">
            <w:pPr>
              <w:rPr>
                <w:rFonts w:ascii="宋体"/>
              </w:rPr>
            </w:pPr>
          </w:p>
        </w:tc>
        <w:tc>
          <w:tcPr>
            <w:tcW w:w="0" w:type="auto"/>
            <w:shd w:val="clear" w:color="auto" w:fill="auto"/>
            <w:vAlign w:val="bottom"/>
          </w:tcPr>
          <w:p w14:paraId="5F2CD1A0" w14:textId="77777777" w:rsidR="00E836FB" w:rsidRDefault="00E836FB">
            <w:pPr>
              <w:rPr>
                <w:rFonts w:ascii="宋体"/>
              </w:rPr>
            </w:pPr>
          </w:p>
        </w:tc>
        <w:tc>
          <w:tcPr>
            <w:tcW w:w="0" w:type="auto"/>
            <w:shd w:val="clear" w:color="auto" w:fill="auto"/>
            <w:vAlign w:val="bottom"/>
          </w:tcPr>
          <w:p w14:paraId="5F2CD1A1" w14:textId="77777777" w:rsidR="00E836FB" w:rsidRDefault="00E836FB">
            <w:pPr>
              <w:rPr>
                <w:rFonts w:ascii="宋体"/>
              </w:rPr>
            </w:pPr>
          </w:p>
        </w:tc>
        <w:tc>
          <w:tcPr>
            <w:tcW w:w="0" w:type="auto"/>
            <w:shd w:val="clear" w:color="auto" w:fill="auto"/>
            <w:vAlign w:val="bottom"/>
          </w:tcPr>
          <w:p w14:paraId="5F2CD1A2" w14:textId="77777777" w:rsidR="00E836FB" w:rsidRDefault="00E836FB">
            <w:pPr>
              <w:rPr>
                <w:rFonts w:ascii="宋体"/>
              </w:rPr>
            </w:pPr>
          </w:p>
        </w:tc>
        <w:tc>
          <w:tcPr>
            <w:tcW w:w="0" w:type="auto"/>
            <w:shd w:val="clear" w:color="auto" w:fill="auto"/>
            <w:vAlign w:val="bottom"/>
          </w:tcPr>
          <w:p w14:paraId="5F2CD1A3" w14:textId="77777777" w:rsidR="00E836FB" w:rsidRDefault="00E836FB">
            <w:pPr>
              <w:rPr>
                <w:rFonts w:ascii="宋体"/>
              </w:rPr>
            </w:pPr>
          </w:p>
        </w:tc>
        <w:tc>
          <w:tcPr>
            <w:tcW w:w="0" w:type="auto"/>
            <w:shd w:val="clear" w:color="auto" w:fill="auto"/>
            <w:vAlign w:val="bottom"/>
          </w:tcPr>
          <w:p w14:paraId="5F2CD1A4" w14:textId="77777777" w:rsidR="00E836FB" w:rsidRDefault="00E836FB">
            <w:pPr>
              <w:rPr>
                <w:rFonts w:ascii="宋体"/>
              </w:rPr>
            </w:pPr>
          </w:p>
        </w:tc>
        <w:tc>
          <w:tcPr>
            <w:tcW w:w="0" w:type="auto"/>
            <w:shd w:val="clear" w:color="auto" w:fill="auto"/>
            <w:vAlign w:val="bottom"/>
          </w:tcPr>
          <w:p w14:paraId="5F2CD1A5" w14:textId="77777777" w:rsidR="00E836FB" w:rsidRDefault="00E836FB">
            <w:pPr>
              <w:rPr>
                <w:rFonts w:ascii="宋体"/>
              </w:rPr>
            </w:pPr>
          </w:p>
        </w:tc>
      </w:tr>
      <w:tr w:rsidR="00E836FB" w14:paraId="5F2CD1C9" w14:textId="77777777">
        <w:tc>
          <w:tcPr>
            <w:tcW w:w="0" w:type="auto"/>
            <w:gridSpan w:val="9"/>
            <w:shd w:val="clear" w:color="auto" w:fill="auto"/>
            <w:tcMar>
              <w:top w:w="40" w:type="dxa"/>
              <w:left w:w="20" w:type="dxa"/>
              <w:bottom w:w="40" w:type="dxa"/>
              <w:right w:w="20" w:type="dxa"/>
            </w:tcMar>
            <w:vAlign w:val="center"/>
          </w:tcPr>
          <w:p w14:paraId="5F2CD1A7" w14:textId="77777777" w:rsidR="00E836FB" w:rsidRDefault="00994958">
            <w:pPr>
              <w:textAlignment w:val="center"/>
            </w:pPr>
            <w:r>
              <w:rPr>
                <w:rFonts w:ascii="Arial" w:eastAsia="宋体" w:hAnsi="Arial" w:cs="Arial"/>
                <w:b/>
                <w:bCs/>
                <w:color w:val="000000"/>
                <w:sz w:val="20"/>
                <w:szCs w:val="20"/>
              </w:rPr>
              <w:t>Risk Committees:</w:t>
            </w:r>
          </w:p>
        </w:tc>
        <w:tc>
          <w:tcPr>
            <w:tcW w:w="0" w:type="auto"/>
            <w:gridSpan w:val="3"/>
            <w:shd w:val="clear" w:color="auto" w:fill="auto"/>
            <w:tcMar>
              <w:top w:w="0" w:type="dxa"/>
              <w:left w:w="20" w:type="dxa"/>
              <w:bottom w:w="0" w:type="dxa"/>
              <w:right w:w="20" w:type="dxa"/>
            </w:tcMar>
            <w:vAlign w:val="bottom"/>
          </w:tcPr>
          <w:p w14:paraId="5F2CD1A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A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A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A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AD" w14:textId="77777777" w:rsidR="00E836FB" w:rsidRDefault="00E836FB">
            <w:pPr>
              <w:rPr>
                <w:rFonts w:ascii="宋体"/>
              </w:rPr>
            </w:pPr>
          </w:p>
        </w:tc>
        <w:tc>
          <w:tcPr>
            <w:tcW w:w="0" w:type="auto"/>
            <w:shd w:val="clear" w:color="auto" w:fill="auto"/>
            <w:vAlign w:val="bottom"/>
          </w:tcPr>
          <w:p w14:paraId="5F2CD1AE" w14:textId="77777777" w:rsidR="00E836FB" w:rsidRDefault="00E836FB">
            <w:pPr>
              <w:rPr>
                <w:rFonts w:ascii="宋体"/>
              </w:rPr>
            </w:pPr>
          </w:p>
        </w:tc>
        <w:tc>
          <w:tcPr>
            <w:tcW w:w="0" w:type="auto"/>
            <w:shd w:val="clear" w:color="auto" w:fill="auto"/>
            <w:vAlign w:val="bottom"/>
          </w:tcPr>
          <w:p w14:paraId="5F2CD1AF" w14:textId="77777777" w:rsidR="00E836FB" w:rsidRDefault="00E836FB">
            <w:pPr>
              <w:rPr>
                <w:rFonts w:ascii="宋体"/>
              </w:rPr>
            </w:pPr>
          </w:p>
        </w:tc>
        <w:tc>
          <w:tcPr>
            <w:tcW w:w="0" w:type="auto"/>
            <w:shd w:val="clear" w:color="auto" w:fill="auto"/>
            <w:vAlign w:val="bottom"/>
          </w:tcPr>
          <w:p w14:paraId="5F2CD1B0" w14:textId="77777777" w:rsidR="00E836FB" w:rsidRDefault="00E836FB">
            <w:pPr>
              <w:rPr>
                <w:rFonts w:ascii="宋体"/>
              </w:rPr>
            </w:pPr>
          </w:p>
        </w:tc>
        <w:tc>
          <w:tcPr>
            <w:tcW w:w="0" w:type="auto"/>
            <w:shd w:val="clear" w:color="auto" w:fill="auto"/>
            <w:vAlign w:val="bottom"/>
          </w:tcPr>
          <w:p w14:paraId="5F2CD1B1" w14:textId="77777777" w:rsidR="00E836FB" w:rsidRDefault="00E836FB">
            <w:pPr>
              <w:rPr>
                <w:rFonts w:ascii="宋体"/>
              </w:rPr>
            </w:pPr>
          </w:p>
        </w:tc>
        <w:tc>
          <w:tcPr>
            <w:tcW w:w="0" w:type="auto"/>
            <w:shd w:val="clear" w:color="auto" w:fill="auto"/>
            <w:vAlign w:val="bottom"/>
          </w:tcPr>
          <w:p w14:paraId="5F2CD1B2" w14:textId="77777777" w:rsidR="00E836FB" w:rsidRDefault="00E836FB">
            <w:pPr>
              <w:rPr>
                <w:rFonts w:ascii="宋体"/>
              </w:rPr>
            </w:pPr>
          </w:p>
        </w:tc>
        <w:tc>
          <w:tcPr>
            <w:tcW w:w="0" w:type="auto"/>
            <w:shd w:val="clear" w:color="auto" w:fill="auto"/>
            <w:vAlign w:val="bottom"/>
          </w:tcPr>
          <w:p w14:paraId="5F2CD1B3" w14:textId="77777777" w:rsidR="00E836FB" w:rsidRDefault="00E836FB">
            <w:pPr>
              <w:rPr>
                <w:rFonts w:ascii="宋体"/>
              </w:rPr>
            </w:pPr>
          </w:p>
        </w:tc>
        <w:tc>
          <w:tcPr>
            <w:tcW w:w="0" w:type="auto"/>
            <w:shd w:val="clear" w:color="auto" w:fill="auto"/>
            <w:vAlign w:val="bottom"/>
          </w:tcPr>
          <w:p w14:paraId="5F2CD1B4" w14:textId="77777777" w:rsidR="00E836FB" w:rsidRDefault="00E836FB">
            <w:pPr>
              <w:rPr>
                <w:rFonts w:ascii="宋体"/>
              </w:rPr>
            </w:pPr>
          </w:p>
        </w:tc>
        <w:tc>
          <w:tcPr>
            <w:tcW w:w="0" w:type="auto"/>
            <w:shd w:val="clear" w:color="auto" w:fill="auto"/>
            <w:vAlign w:val="bottom"/>
          </w:tcPr>
          <w:p w14:paraId="5F2CD1B5" w14:textId="77777777" w:rsidR="00E836FB" w:rsidRDefault="00E836FB">
            <w:pPr>
              <w:rPr>
                <w:rFonts w:ascii="宋体"/>
              </w:rPr>
            </w:pPr>
          </w:p>
        </w:tc>
        <w:tc>
          <w:tcPr>
            <w:tcW w:w="0" w:type="auto"/>
            <w:shd w:val="clear" w:color="auto" w:fill="auto"/>
            <w:vAlign w:val="bottom"/>
          </w:tcPr>
          <w:p w14:paraId="5F2CD1B6" w14:textId="77777777" w:rsidR="00E836FB" w:rsidRDefault="00E836FB">
            <w:pPr>
              <w:rPr>
                <w:rFonts w:ascii="宋体"/>
              </w:rPr>
            </w:pPr>
          </w:p>
        </w:tc>
        <w:tc>
          <w:tcPr>
            <w:tcW w:w="0" w:type="auto"/>
            <w:shd w:val="clear" w:color="auto" w:fill="auto"/>
            <w:vAlign w:val="bottom"/>
          </w:tcPr>
          <w:p w14:paraId="5F2CD1B7" w14:textId="77777777" w:rsidR="00E836FB" w:rsidRDefault="00E836FB">
            <w:pPr>
              <w:rPr>
                <w:rFonts w:ascii="宋体"/>
              </w:rPr>
            </w:pPr>
          </w:p>
        </w:tc>
        <w:tc>
          <w:tcPr>
            <w:tcW w:w="0" w:type="auto"/>
            <w:shd w:val="clear" w:color="auto" w:fill="auto"/>
            <w:vAlign w:val="bottom"/>
          </w:tcPr>
          <w:p w14:paraId="5F2CD1B8" w14:textId="77777777" w:rsidR="00E836FB" w:rsidRDefault="00E836FB">
            <w:pPr>
              <w:rPr>
                <w:rFonts w:ascii="宋体"/>
              </w:rPr>
            </w:pPr>
          </w:p>
        </w:tc>
        <w:tc>
          <w:tcPr>
            <w:tcW w:w="0" w:type="auto"/>
            <w:shd w:val="clear" w:color="auto" w:fill="auto"/>
            <w:vAlign w:val="bottom"/>
          </w:tcPr>
          <w:p w14:paraId="5F2CD1B9" w14:textId="77777777" w:rsidR="00E836FB" w:rsidRDefault="00E836FB">
            <w:pPr>
              <w:rPr>
                <w:rFonts w:ascii="宋体"/>
              </w:rPr>
            </w:pPr>
          </w:p>
        </w:tc>
        <w:tc>
          <w:tcPr>
            <w:tcW w:w="0" w:type="auto"/>
            <w:shd w:val="clear" w:color="auto" w:fill="auto"/>
            <w:vAlign w:val="bottom"/>
          </w:tcPr>
          <w:p w14:paraId="5F2CD1BA" w14:textId="77777777" w:rsidR="00E836FB" w:rsidRDefault="00E836FB">
            <w:pPr>
              <w:rPr>
                <w:rFonts w:ascii="宋体"/>
              </w:rPr>
            </w:pPr>
          </w:p>
        </w:tc>
        <w:tc>
          <w:tcPr>
            <w:tcW w:w="0" w:type="auto"/>
            <w:shd w:val="clear" w:color="auto" w:fill="auto"/>
            <w:vAlign w:val="bottom"/>
          </w:tcPr>
          <w:p w14:paraId="5F2CD1BB" w14:textId="77777777" w:rsidR="00E836FB" w:rsidRDefault="00E836FB">
            <w:pPr>
              <w:rPr>
                <w:rFonts w:ascii="宋体"/>
              </w:rPr>
            </w:pPr>
          </w:p>
        </w:tc>
        <w:tc>
          <w:tcPr>
            <w:tcW w:w="0" w:type="auto"/>
            <w:shd w:val="clear" w:color="auto" w:fill="auto"/>
            <w:vAlign w:val="bottom"/>
          </w:tcPr>
          <w:p w14:paraId="5F2CD1BC" w14:textId="77777777" w:rsidR="00E836FB" w:rsidRDefault="00E836FB">
            <w:pPr>
              <w:rPr>
                <w:rFonts w:ascii="宋体"/>
              </w:rPr>
            </w:pPr>
          </w:p>
        </w:tc>
        <w:tc>
          <w:tcPr>
            <w:tcW w:w="0" w:type="auto"/>
            <w:shd w:val="clear" w:color="auto" w:fill="auto"/>
            <w:vAlign w:val="bottom"/>
          </w:tcPr>
          <w:p w14:paraId="5F2CD1BD" w14:textId="77777777" w:rsidR="00E836FB" w:rsidRDefault="00E836FB">
            <w:pPr>
              <w:rPr>
                <w:rFonts w:ascii="宋体"/>
              </w:rPr>
            </w:pPr>
          </w:p>
        </w:tc>
        <w:tc>
          <w:tcPr>
            <w:tcW w:w="0" w:type="auto"/>
            <w:shd w:val="clear" w:color="auto" w:fill="auto"/>
            <w:vAlign w:val="bottom"/>
          </w:tcPr>
          <w:p w14:paraId="5F2CD1BE" w14:textId="77777777" w:rsidR="00E836FB" w:rsidRDefault="00E836FB">
            <w:pPr>
              <w:rPr>
                <w:rFonts w:ascii="宋体"/>
              </w:rPr>
            </w:pPr>
          </w:p>
        </w:tc>
        <w:tc>
          <w:tcPr>
            <w:tcW w:w="0" w:type="auto"/>
            <w:shd w:val="clear" w:color="auto" w:fill="auto"/>
            <w:vAlign w:val="bottom"/>
          </w:tcPr>
          <w:p w14:paraId="5F2CD1BF" w14:textId="77777777" w:rsidR="00E836FB" w:rsidRDefault="00E836FB">
            <w:pPr>
              <w:rPr>
                <w:rFonts w:ascii="宋体"/>
              </w:rPr>
            </w:pPr>
          </w:p>
        </w:tc>
        <w:tc>
          <w:tcPr>
            <w:tcW w:w="0" w:type="auto"/>
            <w:shd w:val="clear" w:color="auto" w:fill="auto"/>
            <w:vAlign w:val="bottom"/>
          </w:tcPr>
          <w:p w14:paraId="5F2CD1C0" w14:textId="77777777" w:rsidR="00E836FB" w:rsidRDefault="00E836FB">
            <w:pPr>
              <w:rPr>
                <w:rFonts w:ascii="宋体"/>
              </w:rPr>
            </w:pPr>
          </w:p>
        </w:tc>
        <w:tc>
          <w:tcPr>
            <w:tcW w:w="0" w:type="auto"/>
            <w:shd w:val="clear" w:color="auto" w:fill="auto"/>
            <w:vAlign w:val="bottom"/>
          </w:tcPr>
          <w:p w14:paraId="5F2CD1C1" w14:textId="77777777" w:rsidR="00E836FB" w:rsidRDefault="00E836FB">
            <w:pPr>
              <w:rPr>
                <w:rFonts w:ascii="宋体"/>
              </w:rPr>
            </w:pPr>
          </w:p>
        </w:tc>
        <w:tc>
          <w:tcPr>
            <w:tcW w:w="0" w:type="auto"/>
            <w:shd w:val="clear" w:color="auto" w:fill="auto"/>
            <w:vAlign w:val="bottom"/>
          </w:tcPr>
          <w:p w14:paraId="5F2CD1C2" w14:textId="77777777" w:rsidR="00E836FB" w:rsidRDefault="00E836FB">
            <w:pPr>
              <w:rPr>
                <w:rFonts w:ascii="宋体"/>
              </w:rPr>
            </w:pPr>
          </w:p>
        </w:tc>
        <w:tc>
          <w:tcPr>
            <w:tcW w:w="0" w:type="auto"/>
            <w:shd w:val="clear" w:color="auto" w:fill="auto"/>
            <w:vAlign w:val="bottom"/>
          </w:tcPr>
          <w:p w14:paraId="5F2CD1C3" w14:textId="77777777" w:rsidR="00E836FB" w:rsidRDefault="00E836FB">
            <w:pPr>
              <w:rPr>
                <w:rFonts w:ascii="宋体"/>
              </w:rPr>
            </w:pPr>
          </w:p>
        </w:tc>
        <w:tc>
          <w:tcPr>
            <w:tcW w:w="0" w:type="auto"/>
            <w:shd w:val="clear" w:color="auto" w:fill="auto"/>
            <w:vAlign w:val="bottom"/>
          </w:tcPr>
          <w:p w14:paraId="5F2CD1C4" w14:textId="77777777" w:rsidR="00E836FB" w:rsidRDefault="00E836FB">
            <w:pPr>
              <w:rPr>
                <w:rFonts w:ascii="宋体"/>
              </w:rPr>
            </w:pPr>
          </w:p>
        </w:tc>
        <w:tc>
          <w:tcPr>
            <w:tcW w:w="0" w:type="auto"/>
            <w:shd w:val="clear" w:color="auto" w:fill="auto"/>
            <w:vAlign w:val="bottom"/>
          </w:tcPr>
          <w:p w14:paraId="5F2CD1C5" w14:textId="77777777" w:rsidR="00E836FB" w:rsidRDefault="00E836FB">
            <w:pPr>
              <w:rPr>
                <w:rFonts w:ascii="宋体"/>
              </w:rPr>
            </w:pPr>
          </w:p>
        </w:tc>
        <w:tc>
          <w:tcPr>
            <w:tcW w:w="0" w:type="auto"/>
            <w:shd w:val="clear" w:color="auto" w:fill="auto"/>
            <w:vAlign w:val="bottom"/>
          </w:tcPr>
          <w:p w14:paraId="5F2CD1C6" w14:textId="77777777" w:rsidR="00E836FB" w:rsidRDefault="00E836FB">
            <w:pPr>
              <w:rPr>
                <w:rFonts w:ascii="宋体"/>
              </w:rPr>
            </w:pPr>
          </w:p>
        </w:tc>
        <w:tc>
          <w:tcPr>
            <w:tcW w:w="0" w:type="auto"/>
            <w:shd w:val="clear" w:color="auto" w:fill="auto"/>
            <w:vAlign w:val="bottom"/>
          </w:tcPr>
          <w:p w14:paraId="5F2CD1C7" w14:textId="77777777" w:rsidR="00E836FB" w:rsidRDefault="00E836FB">
            <w:pPr>
              <w:rPr>
                <w:rFonts w:ascii="宋体"/>
              </w:rPr>
            </w:pPr>
          </w:p>
        </w:tc>
        <w:tc>
          <w:tcPr>
            <w:tcW w:w="0" w:type="auto"/>
            <w:shd w:val="clear" w:color="auto" w:fill="auto"/>
            <w:vAlign w:val="bottom"/>
          </w:tcPr>
          <w:p w14:paraId="5F2CD1C8" w14:textId="77777777" w:rsidR="00E836FB" w:rsidRDefault="00E836FB">
            <w:pPr>
              <w:rPr>
                <w:rFonts w:ascii="宋体"/>
              </w:rPr>
            </w:pPr>
          </w:p>
        </w:tc>
      </w:tr>
      <w:tr w:rsidR="00E836FB" w14:paraId="5F2CD1EE" w14:textId="77777777">
        <w:trPr>
          <w:trHeight w:val="60"/>
        </w:trPr>
        <w:tc>
          <w:tcPr>
            <w:tcW w:w="0" w:type="auto"/>
            <w:gridSpan w:val="3"/>
            <w:shd w:val="clear" w:color="auto" w:fill="auto"/>
            <w:tcMar>
              <w:top w:w="0" w:type="dxa"/>
              <w:left w:w="20" w:type="dxa"/>
              <w:bottom w:w="0" w:type="dxa"/>
              <w:right w:w="20" w:type="dxa"/>
            </w:tcMar>
            <w:vAlign w:val="bottom"/>
          </w:tcPr>
          <w:p w14:paraId="5F2CD1C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C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C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C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C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C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D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D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1D2" w14:textId="77777777" w:rsidR="00E836FB" w:rsidRDefault="00E836FB">
            <w:pPr>
              <w:rPr>
                <w:rFonts w:ascii="宋体"/>
              </w:rPr>
            </w:pPr>
          </w:p>
        </w:tc>
        <w:tc>
          <w:tcPr>
            <w:tcW w:w="0" w:type="auto"/>
            <w:shd w:val="clear" w:color="auto" w:fill="auto"/>
            <w:vAlign w:val="bottom"/>
          </w:tcPr>
          <w:p w14:paraId="5F2CD1D3" w14:textId="77777777" w:rsidR="00E836FB" w:rsidRDefault="00E836FB">
            <w:pPr>
              <w:rPr>
                <w:rFonts w:ascii="宋体"/>
              </w:rPr>
            </w:pPr>
          </w:p>
        </w:tc>
        <w:tc>
          <w:tcPr>
            <w:tcW w:w="0" w:type="auto"/>
            <w:shd w:val="clear" w:color="auto" w:fill="auto"/>
            <w:vAlign w:val="bottom"/>
          </w:tcPr>
          <w:p w14:paraId="5F2CD1D4" w14:textId="77777777" w:rsidR="00E836FB" w:rsidRDefault="00E836FB">
            <w:pPr>
              <w:rPr>
                <w:rFonts w:ascii="宋体"/>
              </w:rPr>
            </w:pPr>
          </w:p>
        </w:tc>
        <w:tc>
          <w:tcPr>
            <w:tcW w:w="0" w:type="auto"/>
            <w:shd w:val="clear" w:color="auto" w:fill="auto"/>
            <w:vAlign w:val="bottom"/>
          </w:tcPr>
          <w:p w14:paraId="5F2CD1D5" w14:textId="77777777" w:rsidR="00E836FB" w:rsidRDefault="00E836FB">
            <w:pPr>
              <w:rPr>
                <w:rFonts w:ascii="宋体"/>
              </w:rPr>
            </w:pPr>
          </w:p>
        </w:tc>
        <w:tc>
          <w:tcPr>
            <w:tcW w:w="0" w:type="auto"/>
            <w:shd w:val="clear" w:color="auto" w:fill="auto"/>
            <w:vAlign w:val="bottom"/>
          </w:tcPr>
          <w:p w14:paraId="5F2CD1D6" w14:textId="77777777" w:rsidR="00E836FB" w:rsidRDefault="00E836FB">
            <w:pPr>
              <w:rPr>
                <w:rFonts w:ascii="宋体"/>
              </w:rPr>
            </w:pPr>
          </w:p>
        </w:tc>
        <w:tc>
          <w:tcPr>
            <w:tcW w:w="0" w:type="auto"/>
            <w:shd w:val="clear" w:color="auto" w:fill="auto"/>
            <w:vAlign w:val="bottom"/>
          </w:tcPr>
          <w:p w14:paraId="5F2CD1D7" w14:textId="77777777" w:rsidR="00E836FB" w:rsidRDefault="00E836FB">
            <w:pPr>
              <w:rPr>
                <w:rFonts w:ascii="宋体"/>
              </w:rPr>
            </w:pPr>
          </w:p>
        </w:tc>
        <w:tc>
          <w:tcPr>
            <w:tcW w:w="0" w:type="auto"/>
            <w:shd w:val="clear" w:color="auto" w:fill="auto"/>
            <w:vAlign w:val="bottom"/>
          </w:tcPr>
          <w:p w14:paraId="5F2CD1D8" w14:textId="77777777" w:rsidR="00E836FB" w:rsidRDefault="00E836FB">
            <w:pPr>
              <w:rPr>
                <w:rFonts w:ascii="宋体"/>
              </w:rPr>
            </w:pPr>
          </w:p>
        </w:tc>
        <w:tc>
          <w:tcPr>
            <w:tcW w:w="0" w:type="auto"/>
            <w:shd w:val="clear" w:color="auto" w:fill="auto"/>
            <w:vAlign w:val="bottom"/>
          </w:tcPr>
          <w:p w14:paraId="5F2CD1D9" w14:textId="77777777" w:rsidR="00E836FB" w:rsidRDefault="00E836FB">
            <w:pPr>
              <w:rPr>
                <w:rFonts w:ascii="宋体"/>
              </w:rPr>
            </w:pPr>
          </w:p>
        </w:tc>
        <w:tc>
          <w:tcPr>
            <w:tcW w:w="0" w:type="auto"/>
            <w:shd w:val="clear" w:color="auto" w:fill="auto"/>
            <w:vAlign w:val="bottom"/>
          </w:tcPr>
          <w:p w14:paraId="5F2CD1DA" w14:textId="77777777" w:rsidR="00E836FB" w:rsidRDefault="00E836FB">
            <w:pPr>
              <w:rPr>
                <w:rFonts w:ascii="宋体"/>
              </w:rPr>
            </w:pPr>
          </w:p>
        </w:tc>
        <w:tc>
          <w:tcPr>
            <w:tcW w:w="0" w:type="auto"/>
            <w:shd w:val="clear" w:color="auto" w:fill="auto"/>
            <w:vAlign w:val="bottom"/>
          </w:tcPr>
          <w:p w14:paraId="5F2CD1DB" w14:textId="77777777" w:rsidR="00E836FB" w:rsidRDefault="00E836FB">
            <w:pPr>
              <w:rPr>
                <w:rFonts w:ascii="宋体"/>
              </w:rPr>
            </w:pPr>
          </w:p>
        </w:tc>
        <w:tc>
          <w:tcPr>
            <w:tcW w:w="0" w:type="auto"/>
            <w:shd w:val="clear" w:color="auto" w:fill="auto"/>
            <w:vAlign w:val="bottom"/>
          </w:tcPr>
          <w:p w14:paraId="5F2CD1DC" w14:textId="77777777" w:rsidR="00E836FB" w:rsidRDefault="00E836FB">
            <w:pPr>
              <w:rPr>
                <w:rFonts w:ascii="宋体"/>
              </w:rPr>
            </w:pPr>
          </w:p>
        </w:tc>
        <w:tc>
          <w:tcPr>
            <w:tcW w:w="0" w:type="auto"/>
            <w:shd w:val="clear" w:color="auto" w:fill="auto"/>
            <w:vAlign w:val="bottom"/>
          </w:tcPr>
          <w:p w14:paraId="5F2CD1DD" w14:textId="77777777" w:rsidR="00E836FB" w:rsidRDefault="00E836FB">
            <w:pPr>
              <w:rPr>
                <w:rFonts w:ascii="宋体"/>
              </w:rPr>
            </w:pPr>
          </w:p>
        </w:tc>
        <w:tc>
          <w:tcPr>
            <w:tcW w:w="0" w:type="auto"/>
            <w:shd w:val="clear" w:color="auto" w:fill="auto"/>
            <w:vAlign w:val="bottom"/>
          </w:tcPr>
          <w:p w14:paraId="5F2CD1DE" w14:textId="77777777" w:rsidR="00E836FB" w:rsidRDefault="00E836FB">
            <w:pPr>
              <w:rPr>
                <w:rFonts w:ascii="宋体"/>
              </w:rPr>
            </w:pPr>
          </w:p>
        </w:tc>
        <w:tc>
          <w:tcPr>
            <w:tcW w:w="0" w:type="auto"/>
            <w:shd w:val="clear" w:color="auto" w:fill="auto"/>
            <w:vAlign w:val="bottom"/>
          </w:tcPr>
          <w:p w14:paraId="5F2CD1DF" w14:textId="77777777" w:rsidR="00E836FB" w:rsidRDefault="00E836FB">
            <w:pPr>
              <w:rPr>
                <w:rFonts w:ascii="宋体"/>
              </w:rPr>
            </w:pPr>
          </w:p>
        </w:tc>
        <w:tc>
          <w:tcPr>
            <w:tcW w:w="0" w:type="auto"/>
            <w:shd w:val="clear" w:color="auto" w:fill="auto"/>
            <w:vAlign w:val="bottom"/>
          </w:tcPr>
          <w:p w14:paraId="5F2CD1E0" w14:textId="77777777" w:rsidR="00E836FB" w:rsidRDefault="00E836FB">
            <w:pPr>
              <w:rPr>
                <w:rFonts w:ascii="宋体"/>
              </w:rPr>
            </w:pPr>
          </w:p>
        </w:tc>
        <w:tc>
          <w:tcPr>
            <w:tcW w:w="0" w:type="auto"/>
            <w:shd w:val="clear" w:color="auto" w:fill="auto"/>
            <w:vAlign w:val="bottom"/>
          </w:tcPr>
          <w:p w14:paraId="5F2CD1E1" w14:textId="77777777" w:rsidR="00E836FB" w:rsidRDefault="00E836FB">
            <w:pPr>
              <w:rPr>
                <w:rFonts w:ascii="宋体"/>
              </w:rPr>
            </w:pPr>
          </w:p>
        </w:tc>
        <w:tc>
          <w:tcPr>
            <w:tcW w:w="0" w:type="auto"/>
            <w:shd w:val="clear" w:color="auto" w:fill="auto"/>
            <w:vAlign w:val="bottom"/>
          </w:tcPr>
          <w:p w14:paraId="5F2CD1E2" w14:textId="77777777" w:rsidR="00E836FB" w:rsidRDefault="00E836FB">
            <w:pPr>
              <w:rPr>
                <w:rFonts w:ascii="宋体"/>
              </w:rPr>
            </w:pPr>
          </w:p>
        </w:tc>
        <w:tc>
          <w:tcPr>
            <w:tcW w:w="0" w:type="auto"/>
            <w:shd w:val="clear" w:color="auto" w:fill="auto"/>
            <w:vAlign w:val="bottom"/>
          </w:tcPr>
          <w:p w14:paraId="5F2CD1E3" w14:textId="77777777" w:rsidR="00E836FB" w:rsidRDefault="00E836FB">
            <w:pPr>
              <w:rPr>
                <w:rFonts w:ascii="宋体"/>
              </w:rPr>
            </w:pPr>
          </w:p>
        </w:tc>
        <w:tc>
          <w:tcPr>
            <w:tcW w:w="0" w:type="auto"/>
            <w:shd w:val="clear" w:color="auto" w:fill="auto"/>
            <w:vAlign w:val="bottom"/>
          </w:tcPr>
          <w:p w14:paraId="5F2CD1E4" w14:textId="77777777" w:rsidR="00E836FB" w:rsidRDefault="00E836FB">
            <w:pPr>
              <w:rPr>
                <w:rFonts w:ascii="宋体"/>
              </w:rPr>
            </w:pPr>
          </w:p>
        </w:tc>
        <w:tc>
          <w:tcPr>
            <w:tcW w:w="0" w:type="auto"/>
            <w:shd w:val="clear" w:color="auto" w:fill="auto"/>
            <w:vAlign w:val="bottom"/>
          </w:tcPr>
          <w:p w14:paraId="5F2CD1E5" w14:textId="77777777" w:rsidR="00E836FB" w:rsidRDefault="00E836FB">
            <w:pPr>
              <w:rPr>
                <w:rFonts w:ascii="宋体"/>
              </w:rPr>
            </w:pPr>
          </w:p>
        </w:tc>
        <w:tc>
          <w:tcPr>
            <w:tcW w:w="0" w:type="auto"/>
            <w:shd w:val="clear" w:color="auto" w:fill="auto"/>
            <w:vAlign w:val="bottom"/>
          </w:tcPr>
          <w:p w14:paraId="5F2CD1E6" w14:textId="77777777" w:rsidR="00E836FB" w:rsidRDefault="00E836FB">
            <w:pPr>
              <w:rPr>
                <w:rFonts w:ascii="宋体"/>
              </w:rPr>
            </w:pPr>
          </w:p>
        </w:tc>
        <w:tc>
          <w:tcPr>
            <w:tcW w:w="0" w:type="auto"/>
            <w:shd w:val="clear" w:color="auto" w:fill="auto"/>
            <w:vAlign w:val="bottom"/>
          </w:tcPr>
          <w:p w14:paraId="5F2CD1E7" w14:textId="77777777" w:rsidR="00E836FB" w:rsidRDefault="00E836FB">
            <w:pPr>
              <w:rPr>
                <w:rFonts w:ascii="宋体"/>
              </w:rPr>
            </w:pPr>
          </w:p>
        </w:tc>
        <w:tc>
          <w:tcPr>
            <w:tcW w:w="0" w:type="auto"/>
            <w:shd w:val="clear" w:color="auto" w:fill="auto"/>
            <w:vAlign w:val="bottom"/>
          </w:tcPr>
          <w:p w14:paraId="5F2CD1E8" w14:textId="77777777" w:rsidR="00E836FB" w:rsidRDefault="00E836FB">
            <w:pPr>
              <w:rPr>
                <w:rFonts w:ascii="宋体"/>
              </w:rPr>
            </w:pPr>
          </w:p>
        </w:tc>
        <w:tc>
          <w:tcPr>
            <w:tcW w:w="0" w:type="auto"/>
            <w:shd w:val="clear" w:color="auto" w:fill="auto"/>
            <w:vAlign w:val="bottom"/>
          </w:tcPr>
          <w:p w14:paraId="5F2CD1E9" w14:textId="77777777" w:rsidR="00E836FB" w:rsidRDefault="00E836FB">
            <w:pPr>
              <w:rPr>
                <w:rFonts w:ascii="宋体"/>
              </w:rPr>
            </w:pPr>
          </w:p>
        </w:tc>
        <w:tc>
          <w:tcPr>
            <w:tcW w:w="0" w:type="auto"/>
            <w:shd w:val="clear" w:color="auto" w:fill="auto"/>
            <w:vAlign w:val="bottom"/>
          </w:tcPr>
          <w:p w14:paraId="5F2CD1EA" w14:textId="77777777" w:rsidR="00E836FB" w:rsidRDefault="00E836FB">
            <w:pPr>
              <w:rPr>
                <w:rFonts w:ascii="宋体"/>
              </w:rPr>
            </w:pPr>
          </w:p>
        </w:tc>
        <w:tc>
          <w:tcPr>
            <w:tcW w:w="0" w:type="auto"/>
            <w:shd w:val="clear" w:color="auto" w:fill="auto"/>
            <w:vAlign w:val="bottom"/>
          </w:tcPr>
          <w:p w14:paraId="5F2CD1EB" w14:textId="77777777" w:rsidR="00E836FB" w:rsidRDefault="00E836FB">
            <w:pPr>
              <w:rPr>
                <w:rFonts w:ascii="宋体"/>
              </w:rPr>
            </w:pPr>
          </w:p>
        </w:tc>
        <w:tc>
          <w:tcPr>
            <w:tcW w:w="0" w:type="auto"/>
            <w:shd w:val="clear" w:color="auto" w:fill="auto"/>
            <w:vAlign w:val="bottom"/>
          </w:tcPr>
          <w:p w14:paraId="5F2CD1EC" w14:textId="77777777" w:rsidR="00E836FB" w:rsidRDefault="00E836FB">
            <w:pPr>
              <w:rPr>
                <w:rFonts w:ascii="宋体"/>
              </w:rPr>
            </w:pPr>
          </w:p>
        </w:tc>
        <w:tc>
          <w:tcPr>
            <w:tcW w:w="0" w:type="auto"/>
            <w:shd w:val="clear" w:color="auto" w:fill="auto"/>
            <w:vAlign w:val="bottom"/>
          </w:tcPr>
          <w:p w14:paraId="5F2CD1ED" w14:textId="77777777" w:rsidR="00E836FB" w:rsidRDefault="00E836FB">
            <w:pPr>
              <w:rPr>
                <w:rFonts w:ascii="宋体"/>
              </w:rPr>
            </w:pPr>
          </w:p>
        </w:tc>
      </w:tr>
      <w:tr w:rsidR="00E836FB" w14:paraId="5F2CD213" w14:textId="77777777">
        <w:tc>
          <w:tcPr>
            <w:tcW w:w="0" w:type="auto"/>
            <w:gridSpan w:val="3"/>
            <w:shd w:val="clear" w:color="auto" w:fill="003399"/>
            <w:tcMar>
              <w:top w:w="40" w:type="dxa"/>
              <w:left w:w="20" w:type="dxa"/>
              <w:bottom w:w="40" w:type="dxa"/>
              <w:right w:w="20" w:type="dxa"/>
            </w:tcMar>
            <w:vAlign w:val="center"/>
          </w:tcPr>
          <w:p w14:paraId="5F2CD1EF" w14:textId="77777777" w:rsidR="00E836FB" w:rsidRDefault="00994958">
            <w:pPr>
              <w:jc w:val="center"/>
              <w:textAlignment w:val="center"/>
            </w:pPr>
            <w:r>
              <w:rPr>
                <w:rFonts w:ascii="Arial" w:eastAsia="宋体" w:hAnsi="Arial" w:cs="Arial"/>
                <w:color w:val="FFFFFF"/>
                <w:sz w:val="14"/>
                <w:szCs w:val="14"/>
              </w:rPr>
              <w:t>Asset-Liability Committee (ALCO)</w:t>
            </w:r>
          </w:p>
        </w:tc>
        <w:tc>
          <w:tcPr>
            <w:tcW w:w="0" w:type="auto"/>
            <w:gridSpan w:val="3"/>
            <w:shd w:val="clear" w:color="auto" w:fill="auto"/>
            <w:tcMar>
              <w:top w:w="0" w:type="dxa"/>
              <w:left w:w="20" w:type="dxa"/>
              <w:bottom w:w="0" w:type="dxa"/>
              <w:right w:w="20" w:type="dxa"/>
            </w:tcMar>
            <w:vAlign w:val="bottom"/>
          </w:tcPr>
          <w:p w14:paraId="5F2CD1F0" w14:textId="77777777" w:rsidR="00E836FB" w:rsidRDefault="00E836FB">
            <w:pPr>
              <w:rPr>
                <w:rFonts w:ascii="宋体"/>
              </w:rPr>
            </w:pPr>
          </w:p>
        </w:tc>
        <w:tc>
          <w:tcPr>
            <w:tcW w:w="0" w:type="auto"/>
            <w:gridSpan w:val="3"/>
            <w:shd w:val="clear" w:color="auto" w:fill="003399"/>
            <w:tcMar>
              <w:top w:w="40" w:type="dxa"/>
              <w:left w:w="20" w:type="dxa"/>
              <w:bottom w:w="40" w:type="dxa"/>
              <w:right w:w="20" w:type="dxa"/>
            </w:tcMar>
            <w:vAlign w:val="center"/>
          </w:tcPr>
          <w:p w14:paraId="5F2CD1F1" w14:textId="77777777" w:rsidR="00E836FB" w:rsidRDefault="00994958">
            <w:pPr>
              <w:jc w:val="center"/>
              <w:textAlignment w:val="center"/>
            </w:pPr>
            <w:r>
              <w:rPr>
                <w:rFonts w:ascii="Arial" w:eastAsia="宋体" w:hAnsi="Arial" w:cs="Arial"/>
                <w:color w:val="FFFFFF"/>
                <w:sz w:val="14"/>
                <w:szCs w:val="14"/>
              </w:rPr>
              <w:t>Credit and Market Risk Committee (CMRC)</w:t>
            </w:r>
          </w:p>
        </w:tc>
        <w:tc>
          <w:tcPr>
            <w:tcW w:w="0" w:type="auto"/>
            <w:gridSpan w:val="3"/>
            <w:shd w:val="clear" w:color="auto" w:fill="auto"/>
            <w:tcMar>
              <w:top w:w="0" w:type="dxa"/>
              <w:left w:w="20" w:type="dxa"/>
              <w:bottom w:w="0" w:type="dxa"/>
              <w:right w:w="20" w:type="dxa"/>
            </w:tcMar>
            <w:vAlign w:val="bottom"/>
          </w:tcPr>
          <w:p w14:paraId="5F2CD1F2" w14:textId="77777777" w:rsidR="00E836FB" w:rsidRDefault="00E836FB">
            <w:pPr>
              <w:rPr>
                <w:rFonts w:ascii="宋体"/>
              </w:rPr>
            </w:pPr>
          </w:p>
        </w:tc>
        <w:tc>
          <w:tcPr>
            <w:tcW w:w="0" w:type="auto"/>
            <w:gridSpan w:val="3"/>
            <w:shd w:val="clear" w:color="auto" w:fill="006699"/>
            <w:tcMar>
              <w:top w:w="40" w:type="dxa"/>
              <w:left w:w="20" w:type="dxa"/>
              <w:bottom w:w="40" w:type="dxa"/>
              <w:right w:w="20" w:type="dxa"/>
            </w:tcMar>
            <w:vAlign w:val="center"/>
          </w:tcPr>
          <w:p w14:paraId="5F2CD1F3" w14:textId="77777777" w:rsidR="00E836FB" w:rsidRDefault="00994958">
            <w:pPr>
              <w:jc w:val="center"/>
              <w:textAlignment w:val="center"/>
            </w:pPr>
            <w:r>
              <w:rPr>
                <w:rFonts w:ascii="Arial" w:eastAsia="宋体" w:hAnsi="Arial" w:cs="Arial"/>
                <w:color w:val="FFFFFF"/>
                <w:sz w:val="14"/>
                <w:szCs w:val="14"/>
              </w:rPr>
              <w:t>Fiduciary Review Committee</w:t>
            </w:r>
          </w:p>
        </w:tc>
        <w:tc>
          <w:tcPr>
            <w:tcW w:w="0" w:type="auto"/>
            <w:gridSpan w:val="3"/>
            <w:shd w:val="clear" w:color="auto" w:fill="auto"/>
            <w:tcMar>
              <w:top w:w="0" w:type="dxa"/>
              <w:left w:w="20" w:type="dxa"/>
              <w:bottom w:w="0" w:type="dxa"/>
              <w:right w:w="20" w:type="dxa"/>
            </w:tcMar>
            <w:vAlign w:val="bottom"/>
          </w:tcPr>
          <w:p w14:paraId="5F2CD1F4" w14:textId="77777777" w:rsidR="00E836FB" w:rsidRDefault="00E836FB">
            <w:pPr>
              <w:rPr>
                <w:rFonts w:ascii="宋体"/>
              </w:rPr>
            </w:pPr>
          </w:p>
        </w:tc>
        <w:tc>
          <w:tcPr>
            <w:tcW w:w="0" w:type="auto"/>
            <w:gridSpan w:val="3"/>
            <w:shd w:val="clear" w:color="auto" w:fill="6699FF"/>
            <w:tcMar>
              <w:top w:w="40" w:type="dxa"/>
              <w:left w:w="20" w:type="dxa"/>
              <w:bottom w:w="40" w:type="dxa"/>
              <w:right w:w="20" w:type="dxa"/>
            </w:tcMar>
            <w:vAlign w:val="center"/>
          </w:tcPr>
          <w:p w14:paraId="5F2CD1F5" w14:textId="77777777" w:rsidR="00E836FB" w:rsidRDefault="00994958">
            <w:pPr>
              <w:jc w:val="center"/>
              <w:textAlignment w:val="center"/>
            </w:pPr>
            <w:r>
              <w:rPr>
                <w:rFonts w:ascii="Arial" w:eastAsia="宋体" w:hAnsi="Arial" w:cs="Arial"/>
                <w:color w:val="FFFFFF"/>
                <w:sz w:val="14"/>
                <w:szCs w:val="14"/>
              </w:rPr>
              <w:t>Operational Risk Committee</w:t>
            </w:r>
          </w:p>
        </w:tc>
        <w:tc>
          <w:tcPr>
            <w:tcW w:w="0" w:type="auto"/>
            <w:gridSpan w:val="3"/>
            <w:shd w:val="clear" w:color="auto" w:fill="auto"/>
            <w:tcMar>
              <w:top w:w="0" w:type="dxa"/>
              <w:left w:w="20" w:type="dxa"/>
              <w:bottom w:w="0" w:type="dxa"/>
              <w:right w:w="20" w:type="dxa"/>
            </w:tcMar>
            <w:vAlign w:val="bottom"/>
          </w:tcPr>
          <w:p w14:paraId="5F2CD1F6" w14:textId="77777777" w:rsidR="00E836FB" w:rsidRDefault="00E836FB">
            <w:pPr>
              <w:rPr>
                <w:rFonts w:ascii="宋体"/>
              </w:rPr>
            </w:pPr>
          </w:p>
        </w:tc>
        <w:tc>
          <w:tcPr>
            <w:tcW w:w="0" w:type="auto"/>
            <w:gridSpan w:val="3"/>
            <w:shd w:val="clear" w:color="auto" w:fill="6699FF"/>
            <w:tcMar>
              <w:top w:w="40" w:type="dxa"/>
              <w:left w:w="20" w:type="dxa"/>
              <w:bottom w:w="40" w:type="dxa"/>
              <w:right w:w="20" w:type="dxa"/>
            </w:tcMar>
            <w:vAlign w:val="center"/>
          </w:tcPr>
          <w:p w14:paraId="5F2CD1F7" w14:textId="77777777" w:rsidR="00E836FB" w:rsidRDefault="00994958">
            <w:pPr>
              <w:jc w:val="center"/>
              <w:textAlignment w:val="center"/>
            </w:pPr>
            <w:r>
              <w:rPr>
                <w:rFonts w:ascii="Arial" w:eastAsia="宋体" w:hAnsi="Arial" w:cs="Arial"/>
                <w:color w:val="FFFFFF"/>
                <w:sz w:val="14"/>
                <w:szCs w:val="14"/>
              </w:rPr>
              <w:t>Technology Risk Committee</w:t>
            </w:r>
          </w:p>
        </w:tc>
        <w:tc>
          <w:tcPr>
            <w:tcW w:w="0" w:type="auto"/>
            <w:shd w:val="clear" w:color="auto" w:fill="auto"/>
            <w:vAlign w:val="bottom"/>
          </w:tcPr>
          <w:p w14:paraId="5F2CD1F8" w14:textId="77777777" w:rsidR="00E836FB" w:rsidRDefault="00E836FB">
            <w:pPr>
              <w:rPr>
                <w:rFonts w:ascii="宋体"/>
              </w:rPr>
            </w:pPr>
          </w:p>
        </w:tc>
        <w:tc>
          <w:tcPr>
            <w:tcW w:w="0" w:type="auto"/>
            <w:shd w:val="clear" w:color="auto" w:fill="auto"/>
            <w:vAlign w:val="bottom"/>
          </w:tcPr>
          <w:p w14:paraId="5F2CD1F9" w14:textId="77777777" w:rsidR="00E836FB" w:rsidRDefault="00E836FB">
            <w:pPr>
              <w:rPr>
                <w:rFonts w:ascii="宋体"/>
              </w:rPr>
            </w:pPr>
          </w:p>
        </w:tc>
        <w:tc>
          <w:tcPr>
            <w:tcW w:w="0" w:type="auto"/>
            <w:shd w:val="clear" w:color="auto" w:fill="auto"/>
            <w:vAlign w:val="bottom"/>
          </w:tcPr>
          <w:p w14:paraId="5F2CD1FA" w14:textId="77777777" w:rsidR="00E836FB" w:rsidRDefault="00E836FB">
            <w:pPr>
              <w:rPr>
                <w:rFonts w:ascii="宋体"/>
              </w:rPr>
            </w:pPr>
          </w:p>
        </w:tc>
        <w:tc>
          <w:tcPr>
            <w:tcW w:w="0" w:type="auto"/>
            <w:shd w:val="clear" w:color="auto" w:fill="auto"/>
            <w:vAlign w:val="bottom"/>
          </w:tcPr>
          <w:p w14:paraId="5F2CD1FB" w14:textId="77777777" w:rsidR="00E836FB" w:rsidRDefault="00E836FB">
            <w:pPr>
              <w:rPr>
                <w:rFonts w:ascii="宋体"/>
              </w:rPr>
            </w:pPr>
          </w:p>
        </w:tc>
        <w:tc>
          <w:tcPr>
            <w:tcW w:w="0" w:type="auto"/>
            <w:shd w:val="clear" w:color="auto" w:fill="auto"/>
            <w:vAlign w:val="bottom"/>
          </w:tcPr>
          <w:p w14:paraId="5F2CD1FC" w14:textId="77777777" w:rsidR="00E836FB" w:rsidRDefault="00E836FB">
            <w:pPr>
              <w:rPr>
                <w:rFonts w:ascii="宋体"/>
              </w:rPr>
            </w:pPr>
          </w:p>
        </w:tc>
        <w:tc>
          <w:tcPr>
            <w:tcW w:w="0" w:type="auto"/>
            <w:shd w:val="clear" w:color="auto" w:fill="auto"/>
            <w:vAlign w:val="bottom"/>
          </w:tcPr>
          <w:p w14:paraId="5F2CD1FD" w14:textId="77777777" w:rsidR="00E836FB" w:rsidRDefault="00E836FB">
            <w:pPr>
              <w:rPr>
                <w:rFonts w:ascii="宋体"/>
              </w:rPr>
            </w:pPr>
          </w:p>
        </w:tc>
        <w:tc>
          <w:tcPr>
            <w:tcW w:w="0" w:type="auto"/>
            <w:shd w:val="clear" w:color="auto" w:fill="auto"/>
            <w:vAlign w:val="bottom"/>
          </w:tcPr>
          <w:p w14:paraId="5F2CD1FE" w14:textId="77777777" w:rsidR="00E836FB" w:rsidRDefault="00E836FB">
            <w:pPr>
              <w:rPr>
                <w:rFonts w:ascii="宋体"/>
              </w:rPr>
            </w:pPr>
          </w:p>
        </w:tc>
        <w:tc>
          <w:tcPr>
            <w:tcW w:w="0" w:type="auto"/>
            <w:shd w:val="clear" w:color="auto" w:fill="auto"/>
            <w:vAlign w:val="bottom"/>
          </w:tcPr>
          <w:p w14:paraId="5F2CD1FF" w14:textId="77777777" w:rsidR="00E836FB" w:rsidRDefault="00E836FB">
            <w:pPr>
              <w:rPr>
                <w:rFonts w:ascii="宋体"/>
              </w:rPr>
            </w:pPr>
          </w:p>
        </w:tc>
        <w:tc>
          <w:tcPr>
            <w:tcW w:w="0" w:type="auto"/>
            <w:shd w:val="clear" w:color="auto" w:fill="auto"/>
            <w:vAlign w:val="bottom"/>
          </w:tcPr>
          <w:p w14:paraId="5F2CD200" w14:textId="77777777" w:rsidR="00E836FB" w:rsidRDefault="00E836FB">
            <w:pPr>
              <w:rPr>
                <w:rFonts w:ascii="宋体"/>
              </w:rPr>
            </w:pPr>
          </w:p>
        </w:tc>
        <w:tc>
          <w:tcPr>
            <w:tcW w:w="0" w:type="auto"/>
            <w:shd w:val="clear" w:color="auto" w:fill="auto"/>
            <w:vAlign w:val="bottom"/>
          </w:tcPr>
          <w:p w14:paraId="5F2CD201" w14:textId="77777777" w:rsidR="00E836FB" w:rsidRDefault="00E836FB">
            <w:pPr>
              <w:rPr>
                <w:rFonts w:ascii="宋体"/>
              </w:rPr>
            </w:pPr>
          </w:p>
        </w:tc>
        <w:tc>
          <w:tcPr>
            <w:tcW w:w="0" w:type="auto"/>
            <w:shd w:val="clear" w:color="auto" w:fill="auto"/>
            <w:vAlign w:val="bottom"/>
          </w:tcPr>
          <w:p w14:paraId="5F2CD202" w14:textId="77777777" w:rsidR="00E836FB" w:rsidRDefault="00E836FB">
            <w:pPr>
              <w:rPr>
                <w:rFonts w:ascii="宋体"/>
              </w:rPr>
            </w:pPr>
          </w:p>
        </w:tc>
        <w:tc>
          <w:tcPr>
            <w:tcW w:w="0" w:type="auto"/>
            <w:shd w:val="clear" w:color="auto" w:fill="auto"/>
            <w:vAlign w:val="bottom"/>
          </w:tcPr>
          <w:p w14:paraId="5F2CD203" w14:textId="77777777" w:rsidR="00E836FB" w:rsidRDefault="00E836FB">
            <w:pPr>
              <w:rPr>
                <w:rFonts w:ascii="宋体"/>
              </w:rPr>
            </w:pPr>
          </w:p>
        </w:tc>
        <w:tc>
          <w:tcPr>
            <w:tcW w:w="0" w:type="auto"/>
            <w:shd w:val="clear" w:color="auto" w:fill="auto"/>
            <w:vAlign w:val="bottom"/>
          </w:tcPr>
          <w:p w14:paraId="5F2CD204" w14:textId="77777777" w:rsidR="00E836FB" w:rsidRDefault="00E836FB">
            <w:pPr>
              <w:rPr>
                <w:rFonts w:ascii="宋体"/>
              </w:rPr>
            </w:pPr>
          </w:p>
        </w:tc>
        <w:tc>
          <w:tcPr>
            <w:tcW w:w="0" w:type="auto"/>
            <w:shd w:val="clear" w:color="auto" w:fill="auto"/>
            <w:vAlign w:val="bottom"/>
          </w:tcPr>
          <w:p w14:paraId="5F2CD205" w14:textId="77777777" w:rsidR="00E836FB" w:rsidRDefault="00E836FB">
            <w:pPr>
              <w:rPr>
                <w:rFonts w:ascii="宋体"/>
              </w:rPr>
            </w:pPr>
          </w:p>
        </w:tc>
        <w:tc>
          <w:tcPr>
            <w:tcW w:w="0" w:type="auto"/>
            <w:shd w:val="clear" w:color="auto" w:fill="auto"/>
            <w:vAlign w:val="bottom"/>
          </w:tcPr>
          <w:p w14:paraId="5F2CD206" w14:textId="77777777" w:rsidR="00E836FB" w:rsidRDefault="00E836FB">
            <w:pPr>
              <w:rPr>
                <w:rFonts w:ascii="宋体"/>
              </w:rPr>
            </w:pPr>
          </w:p>
        </w:tc>
        <w:tc>
          <w:tcPr>
            <w:tcW w:w="0" w:type="auto"/>
            <w:shd w:val="clear" w:color="auto" w:fill="auto"/>
            <w:vAlign w:val="bottom"/>
          </w:tcPr>
          <w:p w14:paraId="5F2CD207" w14:textId="77777777" w:rsidR="00E836FB" w:rsidRDefault="00E836FB">
            <w:pPr>
              <w:rPr>
                <w:rFonts w:ascii="宋体"/>
              </w:rPr>
            </w:pPr>
          </w:p>
        </w:tc>
        <w:tc>
          <w:tcPr>
            <w:tcW w:w="0" w:type="auto"/>
            <w:shd w:val="clear" w:color="auto" w:fill="auto"/>
            <w:vAlign w:val="bottom"/>
          </w:tcPr>
          <w:p w14:paraId="5F2CD208" w14:textId="77777777" w:rsidR="00E836FB" w:rsidRDefault="00E836FB">
            <w:pPr>
              <w:rPr>
                <w:rFonts w:ascii="宋体"/>
              </w:rPr>
            </w:pPr>
          </w:p>
        </w:tc>
        <w:tc>
          <w:tcPr>
            <w:tcW w:w="0" w:type="auto"/>
            <w:shd w:val="clear" w:color="auto" w:fill="auto"/>
            <w:vAlign w:val="bottom"/>
          </w:tcPr>
          <w:p w14:paraId="5F2CD209" w14:textId="77777777" w:rsidR="00E836FB" w:rsidRDefault="00E836FB">
            <w:pPr>
              <w:rPr>
                <w:rFonts w:ascii="宋体"/>
              </w:rPr>
            </w:pPr>
          </w:p>
        </w:tc>
        <w:tc>
          <w:tcPr>
            <w:tcW w:w="0" w:type="auto"/>
            <w:shd w:val="clear" w:color="auto" w:fill="auto"/>
            <w:vAlign w:val="bottom"/>
          </w:tcPr>
          <w:p w14:paraId="5F2CD20A" w14:textId="77777777" w:rsidR="00E836FB" w:rsidRDefault="00E836FB">
            <w:pPr>
              <w:rPr>
                <w:rFonts w:ascii="宋体"/>
              </w:rPr>
            </w:pPr>
          </w:p>
        </w:tc>
        <w:tc>
          <w:tcPr>
            <w:tcW w:w="0" w:type="auto"/>
            <w:shd w:val="clear" w:color="auto" w:fill="auto"/>
            <w:vAlign w:val="bottom"/>
          </w:tcPr>
          <w:p w14:paraId="5F2CD20B" w14:textId="77777777" w:rsidR="00E836FB" w:rsidRDefault="00E836FB">
            <w:pPr>
              <w:rPr>
                <w:rFonts w:ascii="宋体"/>
              </w:rPr>
            </w:pPr>
          </w:p>
        </w:tc>
        <w:tc>
          <w:tcPr>
            <w:tcW w:w="0" w:type="auto"/>
            <w:shd w:val="clear" w:color="auto" w:fill="auto"/>
            <w:vAlign w:val="bottom"/>
          </w:tcPr>
          <w:p w14:paraId="5F2CD20C" w14:textId="77777777" w:rsidR="00E836FB" w:rsidRDefault="00E836FB">
            <w:pPr>
              <w:rPr>
                <w:rFonts w:ascii="宋体"/>
              </w:rPr>
            </w:pPr>
          </w:p>
        </w:tc>
        <w:tc>
          <w:tcPr>
            <w:tcW w:w="0" w:type="auto"/>
            <w:shd w:val="clear" w:color="auto" w:fill="auto"/>
            <w:vAlign w:val="bottom"/>
          </w:tcPr>
          <w:p w14:paraId="5F2CD20D" w14:textId="77777777" w:rsidR="00E836FB" w:rsidRDefault="00E836FB">
            <w:pPr>
              <w:rPr>
                <w:rFonts w:ascii="宋体"/>
              </w:rPr>
            </w:pPr>
          </w:p>
        </w:tc>
        <w:tc>
          <w:tcPr>
            <w:tcW w:w="0" w:type="auto"/>
            <w:shd w:val="clear" w:color="auto" w:fill="auto"/>
            <w:vAlign w:val="bottom"/>
          </w:tcPr>
          <w:p w14:paraId="5F2CD20E" w14:textId="77777777" w:rsidR="00E836FB" w:rsidRDefault="00E836FB">
            <w:pPr>
              <w:rPr>
                <w:rFonts w:ascii="宋体"/>
              </w:rPr>
            </w:pPr>
          </w:p>
        </w:tc>
        <w:tc>
          <w:tcPr>
            <w:tcW w:w="0" w:type="auto"/>
            <w:shd w:val="clear" w:color="auto" w:fill="auto"/>
            <w:vAlign w:val="bottom"/>
          </w:tcPr>
          <w:p w14:paraId="5F2CD20F" w14:textId="77777777" w:rsidR="00E836FB" w:rsidRDefault="00E836FB">
            <w:pPr>
              <w:rPr>
                <w:rFonts w:ascii="宋体"/>
              </w:rPr>
            </w:pPr>
          </w:p>
        </w:tc>
        <w:tc>
          <w:tcPr>
            <w:tcW w:w="0" w:type="auto"/>
            <w:shd w:val="clear" w:color="auto" w:fill="auto"/>
            <w:vAlign w:val="bottom"/>
          </w:tcPr>
          <w:p w14:paraId="5F2CD210" w14:textId="77777777" w:rsidR="00E836FB" w:rsidRDefault="00E836FB">
            <w:pPr>
              <w:rPr>
                <w:rFonts w:ascii="宋体"/>
              </w:rPr>
            </w:pPr>
          </w:p>
        </w:tc>
        <w:tc>
          <w:tcPr>
            <w:tcW w:w="0" w:type="auto"/>
            <w:shd w:val="clear" w:color="auto" w:fill="auto"/>
            <w:vAlign w:val="bottom"/>
          </w:tcPr>
          <w:p w14:paraId="5F2CD211" w14:textId="77777777" w:rsidR="00E836FB" w:rsidRDefault="00E836FB">
            <w:pPr>
              <w:rPr>
                <w:rFonts w:ascii="宋体"/>
              </w:rPr>
            </w:pPr>
          </w:p>
        </w:tc>
        <w:tc>
          <w:tcPr>
            <w:tcW w:w="0" w:type="auto"/>
            <w:shd w:val="clear" w:color="auto" w:fill="auto"/>
            <w:vAlign w:val="bottom"/>
          </w:tcPr>
          <w:p w14:paraId="5F2CD212" w14:textId="77777777" w:rsidR="00E836FB" w:rsidRDefault="00E836FB">
            <w:pPr>
              <w:rPr>
                <w:rFonts w:ascii="宋体"/>
              </w:rPr>
            </w:pPr>
          </w:p>
        </w:tc>
      </w:tr>
      <w:tr w:rsidR="00E836FB" w14:paraId="5F2CD238" w14:textId="77777777">
        <w:trPr>
          <w:trHeight w:val="60"/>
        </w:trPr>
        <w:tc>
          <w:tcPr>
            <w:tcW w:w="0" w:type="auto"/>
            <w:gridSpan w:val="3"/>
            <w:shd w:val="clear" w:color="auto" w:fill="auto"/>
            <w:tcMar>
              <w:top w:w="0" w:type="dxa"/>
              <w:left w:w="20" w:type="dxa"/>
              <w:bottom w:w="0" w:type="dxa"/>
              <w:right w:w="20" w:type="dxa"/>
            </w:tcMar>
            <w:vAlign w:val="bottom"/>
          </w:tcPr>
          <w:p w14:paraId="5F2CD2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1C" w14:textId="77777777" w:rsidR="00E836FB" w:rsidRDefault="00E836FB">
            <w:pPr>
              <w:rPr>
                <w:rFonts w:ascii="宋体"/>
              </w:rPr>
            </w:pPr>
          </w:p>
        </w:tc>
        <w:tc>
          <w:tcPr>
            <w:tcW w:w="0" w:type="auto"/>
            <w:shd w:val="clear" w:color="auto" w:fill="auto"/>
            <w:vAlign w:val="bottom"/>
          </w:tcPr>
          <w:p w14:paraId="5F2CD21D" w14:textId="77777777" w:rsidR="00E836FB" w:rsidRDefault="00E836FB">
            <w:pPr>
              <w:rPr>
                <w:rFonts w:ascii="宋体"/>
              </w:rPr>
            </w:pPr>
          </w:p>
        </w:tc>
        <w:tc>
          <w:tcPr>
            <w:tcW w:w="0" w:type="auto"/>
            <w:shd w:val="clear" w:color="auto" w:fill="auto"/>
            <w:vAlign w:val="bottom"/>
          </w:tcPr>
          <w:p w14:paraId="5F2CD21E" w14:textId="77777777" w:rsidR="00E836FB" w:rsidRDefault="00E836FB">
            <w:pPr>
              <w:rPr>
                <w:rFonts w:ascii="宋体"/>
              </w:rPr>
            </w:pPr>
          </w:p>
        </w:tc>
        <w:tc>
          <w:tcPr>
            <w:tcW w:w="0" w:type="auto"/>
            <w:shd w:val="clear" w:color="auto" w:fill="auto"/>
            <w:vAlign w:val="bottom"/>
          </w:tcPr>
          <w:p w14:paraId="5F2CD21F" w14:textId="77777777" w:rsidR="00E836FB" w:rsidRDefault="00E836FB">
            <w:pPr>
              <w:rPr>
                <w:rFonts w:ascii="宋体"/>
              </w:rPr>
            </w:pPr>
          </w:p>
        </w:tc>
        <w:tc>
          <w:tcPr>
            <w:tcW w:w="0" w:type="auto"/>
            <w:shd w:val="clear" w:color="auto" w:fill="auto"/>
            <w:vAlign w:val="bottom"/>
          </w:tcPr>
          <w:p w14:paraId="5F2CD220" w14:textId="77777777" w:rsidR="00E836FB" w:rsidRDefault="00E836FB">
            <w:pPr>
              <w:rPr>
                <w:rFonts w:ascii="宋体"/>
              </w:rPr>
            </w:pPr>
          </w:p>
        </w:tc>
        <w:tc>
          <w:tcPr>
            <w:tcW w:w="0" w:type="auto"/>
            <w:shd w:val="clear" w:color="auto" w:fill="auto"/>
            <w:vAlign w:val="bottom"/>
          </w:tcPr>
          <w:p w14:paraId="5F2CD221" w14:textId="77777777" w:rsidR="00E836FB" w:rsidRDefault="00E836FB">
            <w:pPr>
              <w:rPr>
                <w:rFonts w:ascii="宋体"/>
              </w:rPr>
            </w:pPr>
          </w:p>
        </w:tc>
        <w:tc>
          <w:tcPr>
            <w:tcW w:w="0" w:type="auto"/>
            <w:shd w:val="clear" w:color="auto" w:fill="auto"/>
            <w:vAlign w:val="bottom"/>
          </w:tcPr>
          <w:p w14:paraId="5F2CD222" w14:textId="77777777" w:rsidR="00E836FB" w:rsidRDefault="00E836FB">
            <w:pPr>
              <w:rPr>
                <w:rFonts w:ascii="宋体"/>
              </w:rPr>
            </w:pPr>
          </w:p>
        </w:tc>
        <w:tc>
          <w:tcPr>
            <w:tcW w:w="0" w:type="auto"/>
            <w:shd w:val="clear" w:color="auto" w:fill="auto"/>
            <w:vAlign w:val="bottom"/>
          </w:tcPr>
          <w:p w14:paraId="5F2CD223" w14:textId="77777777" w:rsidR="00E836FB" w:rsidRDefault="00E836FB">
            <w:pPr>
              <w:rPr>
                <w:rFonts w:ascii="宋体"/>
              </w:rPr>
            </w:pPr>
          </w:p>
        </w:tc>
        <w:tc>
          <w:tcPr>
            <w:tcW w:w="0" w:type="auto"/>
            <w:shd w:val="clear" w:color="auto" w:fill="auto"/>
            <w:vAlign w:val="bottom"/>
          </w:tcPr>
          <w:p w14:paraId="5F2CD224" w14:textId="77777777" w:rsidR="00E836FB" w:rsidRDefault="00E836FB">
            <w:pPr>
              <w:rPr>
                <w:rFonts w:ascii="宋体"/>
              </w:rPr>
            </w:pPr>
          </w:p>
        </w:tc>
        <w:tc>
          <w:tcPr>
            <w:tcW w:w="0" w:type="auto"/>
            <w:shd w:val="clear" w:color="auto" w:fill="auto"/>
            <w:vAlign w:val="bottom"/>
          </w:tcPr>
          <w:p w14:paraId="5F2CD225" w14:textId="77777777" w:rsidR="00E836FB" w:rsidRDefault="00E836FB">
            <w:pPr>
              <w:rPr>
                <w:rFonts w:ascii="宋体"/>
              </w:rPr>
            </w:pPr>
          </w:p>
        </w:tc>
        <w:tc>
          <w:tcPr>
            <w:tcW w:w="0" w:type="auto"/>
            <w:shd w:val="clear" w:color="auto" w:fill="auto"/>
            <w:vAlign w:val="bottom"/>
          </w:tcPr>
          <w:p w14:paraId="5F2CD226" w14:textId="77777777" w:rsidR="00E836FB" w:rsidRDefault="00E836FB">
            <w:pPr>
              <w:rPr>
                <w:rFonts w:ascii="宋体"/>
              </w:rPr>
            </w:pPr>
          </w:p>
        </w:tc>
        <w:tc>
          <w:tcPr>
            <w:tcW w:w="0" w:type="auto"/>
            <w:shd w:val="clear" w:color="auto" w:fill="auto"/>
            <w:vAlign w:val="bottom"/>
          </w:tcPr>
          <w:p w14:paraId="5F2CD227" w14:textId="77777777" w:rsidR="00E836FB" w:rsidRDefault="00E836FB">
            <w:pPr>
              <w:rPr>
                <w:rFonts w:ascii="宋体"/>
              </w:rPr>
            </w:pPr>
          </w:p>
        </w:tc>
        <w:tc>
          <w:tcPr>
            <w:tcW w:w="0" w:type="auto"/>
            <w:shd w:val="clear" w:color="auto" w:fill="auto"/>
            <w:vAlign w:val="bottom"/>
          </w:tcPr>
          <w:p w14:paraId="5F2CD228" w14:textId="77777777" w:rsidR="00E836FB" w:rsidRDefault="00E836FB">
            <w:pPr>
              <w:rPr>
                <w:rFonts w:ascii="宋体"/>
              </w:rPr>
            </w:pPr>
          </w:p>
        </w:tc>
        <w:tc>
          <w:tcPr>
            <w:tcW w:w="0" w:type="auto"/>
            <w:shd w:val="clear" w:color="auto" w:fill="auto"/>
            <w:vAlign w:val="bottom"/>
          </w:tcPr>
          <w:p w14:paraId="5F2CD229" w14:textId="77777777" w:rsidR="00E836FB" w:rsidRDefault="00E836FB">
            <w:pPr>
              <w:rPr>
                <w:rFonts w:ascii="宋体"/>
              </w:rPr>
            </w:pPr>
          </w:p>
        </w:tc>
        <w:tc>
          <w:tcPr>
            <w:tcW w:w="0" w:type="auto"/>
            <w:shd w:val="clear" w:color="auto" w:fill="auto"/>
            <w:vAlign w:val="bottom"/>
          </w:tcPr>
          <w:p w14:paraId="5F2CD22A" w14:textId="77777777" w:rsidR="00E836FB" w:rsidRDefault="00E836FB">
            <w:pPr>
              <w:rPr>
                <w:rFonts w:ascii="宋体"/>
              </w:rPr>
            </w:pPr>
          </w:p>
        </w:tc>
        <w:tc>
          <w:tcPr>
            <w:tcW w:w="0" w:type="auto"/>
            <w:shd w:val="clear" w:color="auto" w:fill="auto"/>
            <w:vAlign w:val="bottom"/>
          </w:tcPr>
          <w:p w14:paraId="5F2CD22B" w14:textId="77777777" w:rsidR="00E836FB" w:rsidRDefault="00E836FB">
            <w:pPr>
              <w:rPr>
                <w:rFonts w:ascii="宋体"/>
              </w:rPr>
            </w:pPr>
          </w:p>
        </w:tc>
        <w:tc>
          <w:tcPr>
            <w:tcW w:w="0" w:type="auto"/>
            <w:shd w:val="clear" w:color="auto" w:fill="auto"/>
            <w:vAlign w:val="bottom"/>
          </w:tcPr>
          <w:p w14:paraId="5F2CD22C" w14:textId="77777777" w:rsidR="00E836FB" w:rsidRDefault="00E836FB">
            <w:pPr>
              <w:rPr>
                <w:rFonts w:ascii="宋体"/>
              </w:rPr>
            </w:pPr>
          </w:p>
        </w:tc>
        <w:tc>
          <w:tcPr>
            <w:tcW w:w="0" w:type="auto"/>
            <w:shd w:val="clear" w:color="auto" w:fill="auto"/>
            <w:vAlign w:val="bottom"/>
          </w:tcPr>
          <w:p w14:paraId="5F2CD22D" w14:textId="77777777" w:rsidR="00E836FB" w:rsidRDefault="00E836FB">
            <w:pPr>
              <w:rPr>
                <w:rFonts w:ascii="宋体"/>
              </w:rPr>
            </w:pPr>
          </w:p>
        </w:tc>
        <w:tc>
          <w:tcPr>
            <w:tcW w:w="0" w:type="auto"/>
            <w:shd w:val="clear" w:color="auto" w:fill="auto"/>
            <w:vAlign w:val="bottom"/>
          </w:tcPr>
          <w:p w14:paraId="5F2CD22E" w14:textId="77777777" w:rsidR="00E836FB" w:rsidRDefault="00E836FB">
            <w:pPr>
              <w:rPr>
                <w:rFonts w:ascii="宋体"/>
              </w:rPr>
            </w:pPr>
          </w:p>
        </w:tc>
        <w:tc>
          <w:tcPr>
            <w:tcW w:w="0" w:type="auto"/>
            <w:shd w:val="clear" w:color="auto" w:fill="auto"/>
            <w:vAlign w:val="bottom"/>
          </w:tcPr>
          <w:p w14:paraId="5F2CD22F" w14:textId="77777777" w:rsidR="00E836FB" w:rsidRDefault="00E836FB">
            <w:pPr>
              <w:rPr>
                <w:rFonts w:ascii="宋体"/>
              </w:rPr>
            </w:pPr>
          </w:p>
        </w:tc>
        <w:tc>
          <w:tcPr>
            <w:tcW w:w="0" w:type="auto"/>
            <w:shd w:val="clear" w:color="auto" w:fill="auto"/>
            <w:vAlign w:val="bottom"/>
          </w:tcPr>
          <w:p w14:paraId="5F2CD230" w14:textId="77777777" w:rsidR="00E836FB" w:rsidRDefault="00E836FB">
            <w:pPr>
              <w:rPr>
                <w:rFonts w:ascii="宋体"/>
              </w:rPr>
            </w:pPr>
          </w:p>
        </w:tc>
        <w:tc>
          <w:tcPr>
            <w:tcW w:w="0" w:type="auto"/>
            <w:shd w:val="clear" w:color="auto" w:fill="auto"/>
            <w:vAlign w:val="bottom"/>
          </w:tcPr>
          <w:p w14:paraId="5F2CD231" w14:textId="77777777" w:rsidR="00E836FB" w:rsidRDefault="00E836FB">
            <w:pPr>
              <w:rPr>
                <w:rFonts w:ascii="宋体"/>
              </w:rPr>
            </w:pPr>
          </w:p>
        </w:tc>
        <w:tc>
          <w:tcPr>
            <w:tcW w:w="0" w:type="auto"/>
            <w:shd w:val="clear" w:color="auto" w:fill="auto"/>
            <w:vAlign w:val="bottom"/>
          </w:tcPr>
          <w:p w14:paraId="5F2CD232" w14:textId="77777777" w:rsidR="00E836FB" w:rsidRDefault="00E836FB">
            <w:pPr>
              <w:rPr>
                <w:rFonts w:ascii="宋体"/>
              </w:rPr>
            </w:pPr>
          </w:p>
        </w:tc>
        <w:tc>
          <w:tcPr>
            <w:tcW w:w="0" w:type="auto"/>
            <w:shd w:val="clear" w:color="auto" w:fill="auto"/>
            <w:vAlign w:val="bottom"/>
          </w:tcPr>
          <w:p w14:paraId="5F2CD233" w14:textId="77777777" w:rsidR="00E836FB" w:rsidRDefault="00E836FB">
            <w:pPr>
              <w:rPr>
                <w:rFonts w:ascii="宋体"/>
              </w:rPr>
            </w:pPr>
          </w:p>
        </w:tc>
        <w:tc>
          <w:tcPr>
            <w:tcW w:w="0" w:type="auto"/>
            <w:shd w:val="clear" w:color="auto" w:fill="auto"/>
            <w:vAlign w:val="bottom"/>
          </w:tcPr>
          <w:p w14:paraId="5F2CD234" w14:textId="77777777" w:rsidR="00E836FB" w:rsidRDefault="00E836FB">
            <w:pPr>
              <w:rPr>
                <w:rFonts w:ascii="宋体"/>
              </w:rPr>
            </w:pPr>
          </w:p>
        </w:tc>
        <w:tc>
          <w:tcPr>
            <w:tcW w:w="0" w:type="auto"/>
            <w:shd w:val="clear" w:color="auto" w:fill="auto"/>
            <w:vAlign w:val="bottom"/>
          </w:tcPr>
          <w:p w14:paraId="5F2CD235" w14:textId="77777777" w:rsidR="00E836FB" w:rsidRDefault="00E836FB">
            <w:pPr>
              <w:rPr>
                <w:rFonts w:ascii="宋体"/>
              </w:rPr>
            </w:pPr>
          </w:p>
        </w:tc>
        <w:tc>
          <w:tcPr>
            <w:tcW w:w="0" w:type="auto"/>
            <w:shd w:val="clear" w:color="auto" w:fill="auto"/>
            <w:vAlign w:val="bottom"/>
          </w:tcPr>
          <w:p w14:paraId="5F2CD236" w14:textId="77777777" w:rsidR="00E836FB" w:rsidRDefault="00E836FB">
            <w:pPr>
              <w:rPr>
                <w:rFonts w:ascii="宋体"/>
              </w:rPr>
            </w:pPr>
          </w:p>
        </w:tc>
        <w:tc>
          <w:tcPr>
            <w:tcW w:w="0" w:type="auto"/>
            <w:shd w:val="clear" w:color="auto" w:fill="auto"/>
            <w:vAlign w:val="bottom"/>
          </w:tcPr>
          <w:p w14:paraId="5F2CD237" w14:textId="77777777" w:rsidR="00E836FB" w:rsidRDefault="00E836FB">
            <w:pPr>
              <w:rPr>
                <w:rFonts w:ascii="宋体"/>
              </w:rPr>
            </w:pPr>
          </w:p>
        </w:tc>
      </w:tr>
      <w:tr w:rsidR="00E836FB" w14:paraId="5F2CD25D" w14:textId="77777777">
        <w:tc>
          <w:tcPr>
            <w:tcW w:w="0" w:type="auto"/>
            <w:gridSpan w:val="3"/>
            <w:shd w:val="clear" w:color="auto" w:fill="003399"/>
            <w:tcMar>
              <w:top w:w="40" w:type="dxa"/>
              <w:left w:w="20" w:type="dxa"/>
              <w:bottom w:w="40" w:type="dxa"/>
              <w:right w:w="20" w:type="dxa"/>
            </w:tcMar>
            <w:vAlign w:val="center"/>
          </w:tcPr>
          <w:p w14:paraId="5F2CD239" w14:textId="77777777" w:rsidR="00E836FB" w:rsidRDefault="00994958">
            <w:pPr>
              <w:jc w:val="center"/>
              <w:textAlignment w:val="center"/>
            </w:pPr>
            <w:r>
              <w:rPr>
                <w:rFonts w:ascii="Arial" w:eastAsia="宋体" w:hAnsi="Arial" w:cs="Arial"/>
                <w:color w:val="FFFFFF"/>
                <w:sz w:val="14"/>
                <w:szCs w:val="14"/>
              </w:rPr>
              <w:t>RRP Executive Review Board</w:t>
            </w:r>
          </w:p>
        </w:tc>
        <w:tc>
          <w:tcPr>
            <w:tcW w:w="0" w:type="auto"/>
            <w:gridSpan w:val="3"/>
            <w:shd w:val="clear" w:color="auto" w:fill="auto"/>
            <w:tcMar>
              <w:top w:w="0" w:type="dxa"/>
              <w:left w:w="20" w:type="dxa"/>
              <w:bottom w:w="0" w:type="dxa"/>
              <w:right w:w="20" w:type="dxa"/>
            </w:tcMar>
            <w:vAlign w:val="bottom"/>
          </w:tcPr>
          <w:p w14:paraId="5F2CD23A" w14:textId="77777777" w:rsidR="00E836FB" w:rsidRDefault="00E836FB">
            <w:pPr>
              <w:rPr>
                <w:rFonts w:ascii="宋体"/>
              </w:rPr>
            </w:pPr>
          </w:p>
        </w:tc>
        <w:tc>
          <w:tcPr>
            <w:tcW w:w="0" w:type="auto"/>
            <w:gridSpan w:val="3"/>
            <w:shd w:val="clear" w:color="auto" w:fill="003399"/>
            <w:tcMar>
              <w:top w:w="40" w:type="dxa"/>
              <w:left w:w="20" w:type="dxa"/>
              <w:bottom w:w="40" w:type="dxa"/>
              <w:right w:w="20" w:type="dxa"/>
            </w:tcMar>
            <w:vAlign w:val="center"/>
          </w:tcPr>
          <w:p w14:paraId="5F2CD23B" w14:textId="77777777" w:rsidR="00E836FB" w:rsidRDefault="00994958">
            <w:pPr>
              <w:jc w:val="center"/>
              <w:textAlignment w:val="center"/>
            </w:pPr>
            <w:r>
              <w:rPr>
                <w:rFonts w:ascii="Arial" w:eastAsia="宋体" w:hAnsi="Arial" w:cs="Arial"/>
                <w:color w:val="FFFFFF"/>
                <w:sz w:val="14"/>
                <w:szCs w:val="14"/>
              </w:rPr>
              <w:t xml:space="preserve">Basel Oversight Committee </w:t>
            </w:r>
            <w:r>
              <w:rPr>
                <w:rFonts w:ascii="Arial" w:eastAsia="宋体" w:hAnsi="Arial" w:cs="Arial"/>
                <w:color w:val="FFFFFF"/>
                <w:sz w:val="14"/>
                <w:szCs w:val="14"/>
              </w:rPr>
              <w:br/>
              <w:t>(BOC)</w:t>
            </w:r>
          </w:p>
        </w:tc>
        <w:tc>
          <w:tcPr>
            <w:tcW w:w="0" w:type="auto"/>
            <w:gridSpan w:val="3"/>
            <w:shd w:val="clear" w:color="auto" w:fill="auto"/>
            <w:tcMar>
              <w:top w:w="0" w:type="dxa"/>
              <w:left w:w="20" w:type="dxa"/>
              <w:bottom w:w="0" w:type="dxa"/>
              <w:right w:w="20" w:type="dxa"/>
            </w:tcMar>
            <w:vAlign w:val="bottom"/>
          </w:tcPr>
          <w:p w14:paraId="5F2CD23C" w14:textId="77777777" w:rsidR="00E836FB" w:rsidRDefault="00E836FB">
            <w:pPr>
              <w:rPr>
                <w:rFonts w:ascii="宋体"/>
              </w:rPr>
            </w:pPr>
          </w:p>
        </w:tc>
        <w:tc>
          <w:tcPr>
            <w:tcW w:w="0" w:type="auto"/>
            <w:gridSpan w:val="3"/>
            <w:shd w:val="clear" w:color="auto" w:fill="006699"/>
            <w:tcMar>
              <w:top w:w="40" w:type="dxa"/>
              <w:left w:w="20" w:type="dxa"/>
              <w:bottom w:w="40" w:type="dxa"/>
              <w:right w:w="20" w:type="dxa"/>
            </w:tcMar>
            <w:vAlign w:val="center"/>
          </w:tcPr>
          <w:p w14:paraId="5F2CD23D" w14:textId="77777777" w:rsidR="00E836FB" w:rsidRDefault="00994958">
            <w:pPr>
              <w:jc w:val="center"/>
              <w:textAlignment w:val="center"/>
            </w:pPr>
            <w:r>
              <w:rPr>
                <w:rFonts w:ascii="Arial" w:eastAsia="宋体" w:hAnsi="Arial" w:cs="Arial"/>
                <w:color w:val="FFFFFF"/>
                <w:sz w:val="14"/>
                <w:szCs w:val="14"/>
              </w:rPr>
              <w:t>New Business and Product Committee</w:t>
            </w:r>
          </w:p>
        </w:tc>
        <w:tc>
          <w:tcPr>
            <w:tcW w:w="0" w:type="auto"/>
            <w:gridSpan w:val="3"/>
            <w:shd w:val="clear" w:color="auto" w:fill="auto"/>
            <w:tcMar>
              <w:top w:w="0" w:type="dxa"/>
              <w:left w:w="20" w:type="dxa"/>
              <w:bottom w:w="0" w:type="dxa"/>
              <w:right w:w="20" w:type="dxa"/>
            </w:tcMar>
            <w:vAlign w:val="bottom"/>
          </w:tcPr>
          <w:p w14:paraId="5F2CD23E" w14:textId="77777777" w:rsidR="00E836FB" w:rsidRDefault="00E836FB">
            <w:pPr>
              <w:rPr>
                <w:rFonts w:ascii="宋体"/>
              </w:rPr>
            </w:pPr>
          </w:p>
        </w:tc>
        <w:tc>
          <w:tcPr>
            <w:tcW w:w="0" w:type="auto"/>
            <w:gridSpan w:val="3"/>
            <w:shd w:val="clear" w:color="auto" w:fill="6699FF"/>
            <w:tcMar>
              <w:top w:w="40" w:type="dxa"/>
              <w:left w:w="20" w:type="dxa"/>
              <w:bottom w:w="40" w:type="dxa"/>
              <w:right w:w="20" w:type="dxa"/>
            </w:tcMar>
            <w:vAlign w:val="center"/>
          </w:tcPr>
          <w:p w14:paraId="5F2CD23F" w14:textId="77777777" w:rsidR="00E836FB" w:rsidRDefault="00994958">
            <w:pPr>
              <w:jc w:val="center"/>
              <w:textAlignment w:val="center"/>
            </w:pPr>
            <w:r>
              <w:rPr>
                <w:rFonts w:ascii="Arial" w:eastAsia="宋体" w:hAnsi="Arial" w:cs="Arial"/>
                <w:color w:val="FFFFFF"/>
                <w:sz w:val="14"/>
                <w:szCs w:val="14"/>
              </w:rPr>
              <w:t>Global Third Party and Outsourcing Risk Committee</w:t>
            </w:r>
          </w:p>
        </w:tc>
        <w:tc>
          <w:tcPr>
            <w:tcW w:w="0" w:type="auto"/>
            <w:gridSpan w:val="3"/>
            <w:shd w:val="clear" w:color="auto" w:fill="auto"/>
            <w:tcMar>
              <w:top w:w="0" w:type="dxa"/>
              <w:left w:w="20" w:type="dxa"/>
              <w:bottom w:w="0" w:type="dxa"/>
              <w:right w:w="20" w:type="dxa"/>
            </w:tcMar>
            <w:vAlign w:val="bottom"/>
          </w:tcPr>
          <w:p w14:paraId="5F2CD240" w14:textId="77777777" w:rsidR="00E836FB" w:rsidRDefault="00E836FB">
            <w:pPr>
              <w:rPr>
                <w:rFonts w:ascii="宋体"/>
              </w:rPr>
            </w:pPr>
          </w:p>
        </w:tc>
        <w:tc>
          <w:tcPr>
            <w:tcW w:w="0" w:type="auto"/>
            <w:gridSpan w:val="3"/>
            <w:shd w:val="clear" w:color="auto" w:fill="6699FF"/>
            <w:tcMar>
              <w:top w:w="40" w:type="dxa"/>
              <w:left w:w="20" w:type="dxa"/>
              <w:bottom w:w="40" w:type="dxa"/>
              <w:right w:w="20" w:type="dxa"/>
            </w:tcMar>
            <w:vAlign w:val="center"/>
          </w:tcPr>
          <w:p w14:paraId="5F2CD241" w14:textId="77777777" w:rsidR="00E836FB" w:rsidRDefault="00994958">
            <w:pPr>
              <w:jc w:val="center"/>
              <w:textAlignment w:val="center"/>
            </w:pPr>
            <w:r>
              <w:rPr>
                <w:rFonts w:ascii="Arial" w:eastAsia="宋体" w:hAnsi="Arial" w:cs="Arial"/>
                <w:color w:val="FFFFFF"/>
                <w:sz w:val="14"/>
                <w:szCs w:val="14"/>
              </w:rPr>
              <w:t>Enterprise Continuity Steering Committee</w:t>
            </w:r>
          </w:p>
        </w:tc>
        <w:tc>
          <w:tcPr>
            <w:tcW w:w="0" w:type="auto"/>
            <w:shd w:val="clear" w:color="auto" w:fill="auto"/>
            <w:vAlign w:val="bottom"/>
          </w:tcPr>
          <w:p w14:paraId="5F2CD242" w14:textId="77777777" w:rsidR="00E836FB" w:rsidRDefault="00E836FB">
            <w:pPr>
              <w:rPr>
                <w:rFonts w:ascii="宋体"/>
              </w:rPr>
            </w:pPr>
          </w:p>
        </w:tc>
        <w:tc>
          <w:tcPr>
            <w:tcW w:w="0" w:type="auto"/>
            <w:shd w:val="clear" w:color="auto" w:fill="auto"/>
            <w:vAlign w:val="bottom"/>
          </w:tcPr>
          <w:p w14:paraId="5F2CD243" w14:textId="77777777" w:rsidR="00E836FB" w:rsidRDefault="00E836FB">
            <w:pPr>
              <w:rPr>
                <w:rFonts w:ascii="宋体"/>
              </w:rPr>
            </w:pPr>
          </w:p>
        </w:tc>
        <w:tc>
          <w:tcPr>
            <w:tcW w:w="0" w:type="auto"/>
            <w:shd w:val="clear" w:color="auto" w:fill="auto"/>
            <w:vAlign w:val="bottom"/>
          </w:tcPr>
          <w:p w14:paraId="5F2CD244" w14:textId="77777777" w:rsidR="00E836FB" w:rsidRDefault="00E836FB">
            <w:pPr>
              <w:rPr>
                <w:rFonts w:ascii="宋体"/>
              </w:rPr>
            </w:pPr>
          </w:p>
        </w:tc>
        <w:tc>
          <w:tcPr>
            <w:tcW w:w="0" w:type="auto"/>
            <w:shd w:val="clear" w:color="auto" w:fill="auto"/>
            <w:vAlign w:val="bottom"/>
          </w:tcPr>
          <w:p w14:paraId="5F2CD245" w14:textId="77777777" w:rsidR="00E836FB" w:rsidRDefault="00E836FB">
            <w:pPr>
              <w:rPr>
                <w:rFonts w:ascii="宋体"/>
              </w:rPr>
            </w:pPr>
          </w:p>
        </w:tc>
        <w:tc>
          <w:tcPr>
            <w:tcW w:w="0" w:type="auto"/>
            <w:shd w:val="clear" w:color="auto" w:fill="auto"/>
            <w:vAlign w:val="bottom"/>
          </w:tcPr>
          <w:p w14:paraId="5F2CD246" w14:textId="77777777" w:rsidR="00E836FB" w:rsidRDefault="00E836FB">
            <w:pPr>
              <w:rPr>
                <w:rFonts w:ascii="宋体"/>
              </w:rPr>
            </w:pPr>
          </w:p>
        </w:tc>
        <w:tc>
          <w:tcPr>
            <w:tcW w:w="0" w:type="auto"/>
            <w:shd w:val="clear" w:color="auto" w:fill="auto"/>
            <w:vAlign w:val="bottom"/>
          </w:tcPr>
          <w:p w14:paraId="5F2CD247" w14:textId="77777777" w:rsidR="00E836FB" w:rsidRDefault="00E836FB">
            <w:pPr>
              <w:rPr>
                <w:rFonts w:ascii="宋体"/>
              </w:rPr>
            </w:pPr>
          </w:p>
        </w:tc>
        <w:tc>
          <w:tcPr>
            <w:tcW w:w="0" w:type="auto"/>
            <w:shd w:val="clear" w:color="auto" w:fill="auto"/>
            <w:vAlign w:val="bottom"/>
          </w:tcPr>
          <w:p w14:paraId="5F2CD248" w14:textId="77777777" w:rsidR="00E836FB" w:rsidRDefault="00E836FB">
            <w:pPr>
              <w:rPr>
                <w:rFonts w:ascii="宋体"/>
              </w:rPr>
            </w:pPr>
          </w:p>
        </w:tc>
        <w:tc>
          <w:tcPr>
            <w:tcW w:w="0" w:type="auto"/>
            <w:shd w:val="clear" w:color="auto" w:fill="auto"/>
            <w:vAlign w:val="bottom"/>
          </w:tcPr>
          <w:p w14:paraId="5F2CD249" w14:textId="77777777" w:rsidR="00E836FB" w:rsidRDefault="00E836FB">
            <w:pPr>
              <w:rPr>
                <w:rFonts w:ascii="宋体"/>
              </w:rPr>
            </w:pPr>
          </w:p>
        </w:tc>
        <w:tc>
          <w:tcPr>
            <w:tcW w:w="0" w:type="auto"/>
            <w:shd w:val="clear" w:color="auto" w:fill="auto"/>
            <w:vAlign w:val="bottom"/>
          </w:tcPr>
          <w:p w14:paraId="5F2CD24A" w14:textId="77777777" w:rsidR="00E836FB" w:rsidRDefault="00E836FB">
            <w:pPr>
              <w:rPr>
                <w:rFonts w:ascii="宋体"/>
              </w:rPr>
            </w:pPr>
          </w:p>
        </w:tc>
        <w:tc>
          <w:tcPr>
            <w:tcW w:w="0" w:type="auto"/>
            <w:shd w:val="clear" w:color="auto" w:fill="auto"/>
            <w:vAlign w:val="bottom"/>
          </w:tcPr>
          <w:p w14:paraId="5F2CD24B" w14:textId="77777777" w:rsidR="00E836FB" w:rsidRDefault="00E836FB">
            <w:pPr>
              <w:rPr>
                <w:rFonts w:ascii="宋体"/>
              </w:rPr>
            </w:pPr>
          </w:p>
        </w:tc>
        <w:tc>
          <w:tcPr>
            <w:tcW w:w="0" w:type="auto"/>
            <w:shd w:val="clear" w:color="auto" w:fill="auto"/>
            <w:vAlign w:val="bottom"/>
          </w:tcPr>
          <w:p w14:paraId="5F2CD24C" w14:textId="77777777" w:rsidR="00E836FB" w:rsidRDefault="00E836FB">
            <w:pPr>
              <w:rPr>
                <w:rFonts w:ascii="宋体"/>
              </w:rPr>
            </w:pPr>
          </w:p>
        </w:tc>
        <w:tc>
          <w:tcPr>
            <w:tcW w:w="0" w:type="auto"/>
            <w:shd w:val="clear" w:color="auto" w:fill="auto"/>
            <w:vAlign w:val="bottom"/>
          </w:tcPr>
          <w:p w14:paraId="5F2CD24D" w14:textId="77777777" w:rsidR="00E836FB" w:rsidRDefault="00E836FB">
            <w:pPr>
              <w:rPr>
                <w:rFonts w:ascii="宋体"/>
              </w:rPr>
            </w:pPr>
          </w:p>
        </w:tc>
        <w:tc>
          <w:tcPr>
            <w:tcW w:w="0" w:type="auto"/>
            <w:shd w:val="clear" w:color="auto" w:fill="auto"/>
            <w:vAlign w:val="bottom"/>
          </w:tcPr>
          <w:p w14:paraId="5F2CD24E" w14:textId="77777777" w:rsidR="00E836FB" w:rsidRDefault="00E836FB">
            <w:pPr>
              <w:rPr>
                <w:rFonts w:ascii="宋体"/>
              </w:rPr>
            </w:pPr>
          </w:p>
        </w:tc>
        <w:tc>
          <w:tcPr>
            <w:tcW w:w="0" w:type="auto"/>
            <w:shd w:val="clear" w:color="auto" w:fill="auto"/>
            <w:vAlign w:val="bottom"/>
          </w:tcPr>
          <w:p w14:paraId="5F2CD24F" w14:textId="77777777" w:rsidR="00E836FB" w:rsidRDefault="00E836FB">
            <w:pPr>
              <w:rPr>
                <w:rFonts w:ascii="宋体"/>
              </w:rPr>
            </w:pPr>
          </w:p>
        </w:tc>
        <w:tc>
          <w:tcPr>
            <w:tcW w:w="0" w:type="auto"/>
            <w:shd w:val="clear" w:color="auto" w:fill="auto"/>
            <w:vAlign w:val="bottom"/>
          </w:tcPr>
          <w:p w14:paraId="5F2CD250" w14:textId="77777777" w:rsidR="00E836FB" w:rsidRDefault="00E836FB">
            <w:pPr>
              <w:rPr>
                <w:rFonts w:ascii="宋体"/>
              </w:rPr>
            </w:pPr>
          </w:p>
        </w:tc>
        <w:tc>
          <w:tcPr>
            <w:tcW w:w="0" w:type="auto"/>
            <w:shd w:val="clear" w:color="auto" w:fill="auto"/>
            <w:vAlign w:val="bottom"/>
          </w:tcPr>
          <w:p w14:paraId="5F2CD251" w14:textId="77777777" w:rsidR="00E836FB" w:rsidRDefault="00E836FB">
            <w:pPr>
              <w:rPr>
                <w:rFonts w:ascii="宋体"/>
              </w:rPr>
            </w:pPr>
          </w:p>
        </w:tc>
        <w:tc>
          <w:tcPr>
            <w:tcW w:w="0" w:type="auto"/>
            <w:shd w:val="clear" w:color="auto" w:fill="auto"/>
            <w:vAlign w:val="bottom"/>
          </w:tcPr>
          <w:p w14:paraId="5F2CD252" w14:textId="77777777" w:rsidR="00E836FB" w:rsidRDefault="00E836FB">
            <w:pPr>
              <w:rPr>
                <w:rFonts w:ascii="宋体"/>
              </w:rPr>
            </w:pPr>
          </w:p>
        </w:tc>
        <w:tc>
          <w:tcPr>
            <w:tcW w:w="0" w:type="auto"/>
            <w:shd w:val="clear" w:color="auto" w:fill="auto"/>
            <w:vAlign w:val="bottom"/>
          </w:tcPr>
          <w:p w14:paraId="5F2CD253" w14:textId="77777777" w:rsidR="00E836FB" w:rsidRDefault="00E836FB">
            <w:pPr>
              <w:rPr>
                <w:rFonts w:ascii="宋体"/>
              </w:rPr>
            </w:pPr>
          </w:p>
        </w:tc>
        <w:tc>
          <w:tcPr>
            <w:tcW w:w="0" w:type="auto"/>
            <w:shd w:val="clear" w:color="auto" w:fill="auto"/>
            <w:vAlign w:val="bottom"/>
          </w:tcPr>
          <w:p w14:paraId="5F2CD254" w14:textId="77777777" w:rsidR="00E836FB" w:rsidRDefault="00E836FB">
            <w:pPr>
              <w:rPr>
                <w:rFonts w:ascii="宋体"/>
              </w:rPr>
            </w:pPr>
          </w:p>
        </w:tc>
        <w:tc>
          <w:tcPr>
            <w:tcW w:w="0" w:type="auto"/>
            <w:shd w:val="clear" w:color="auto" w:fill="auto"/>
            <w:vAlign w:val="bottom"/>
          </w:tcPr>
          <w:p w14:paraId="5F2CD255" w14:textId="77777777" w:rsidR="00E836FB" w:rsidRDefault="00E836FB">
            <w:pPr>
              <w:rPr>
                <w:rFonts w:ascii="宋体"/>
              </w:rPr>
            </w:pPr>
          </w:p>
        </w:tc>
        <w:tc>
          <w:tcPr>
            <w:tcW w:w="0" w:type="auto"/>
            <w:shd w:val="clear" w:color="auto" w:fill="auto"/>
            <w:vAlign w:val="bottom"/>
          </w:tcPr>
          <w:p w14:paraId="5F2CD256" w14:textId="77777777" w:rsidR="00E836FB" w:rsidRDefault="00E836FB">
            <w:pPr>
              <w:rPr>
                <w:rFonts w:ascii="宋体"/>
              </w:rPr>
            </w:pPr>
          </w:p>
        </w:tc>
        <w:tc>
          <w:tcPr>
            <w:tcW w:w="0" w:type="auto"/>
            <w:shd w:val="clear" w:color="auto" w:fill="auto"/>
            <w:vAlign w:val="bottom"/>
          </w:tcPr>
          <w:p w14:paraId="5F2CD257" w14:textId="77777777" w:rsidR="00E836FB" w:rsidRDefault="00E836FB">
            <w:pPr>
              <w:rPr>
                <w:rFonts w:ascii="宋体"/>
              </w:rPr>
            </w:pPr>
          </w:p>
        </w:tc>
        <w:tc>
          <w:tcPr>
            <w:tcW w:w="0" w:type="auto"/>
            <w:shd w:val="clear" w:color="auto" w:fill="auto"/>
            <w:vAlign w:val="bottom"/>
          </w:tcPr>
          <w:p w14:paraId="5F2CD258" w14:textId="77777777" w:rsidR="00E836FB" w:rsidRDefault="00E836FB">
            <w:pPr>
              <w:rPr>
                <w:rFonts w:ascii="宋体"/>
              </w:rPr>
            </w:pPr>
          </w:p>
        </w:tc>
        <w:tc>
          <w:tcPr>
            <w:tcW w:w="0" w:type="auto"/>
            <w:shd w:val="clear" w:color="auto" w:fill="auto"/>
            <w:vAlign w:val="bottom"/>
          </w:tcPr>
          <w:p w14:paraId="5F2CD259" w14:textId="77777777" w:rsidR="00E836FB" w:rsidRDefault="00E836FB">
            <w:pPr>
              <w:rPr>
                <w:rFonts w:ascii="宋体"/>
              </w:rPr>
            </w:pPr>
          </w:p>
        </w:tc>
        <w:tc>
          <w:tcPr>
            <w:tcW w:w="0" w:type="auto"/>
            <w:shd w:val="clear" w:color="auto" w:fill="auto"/>
            <w:vAlign w:val="bottom"/>
          </w:tcPr>
          <w:p w14:paraId="5F2CD25A" w14:textId="77777777" w:rsidR="00E836FB" w:rsidRDefault="00E836FB">
            <w:pPr>
              <w:rPr>
                <w:rFonts w:ascii="宋体"/>
              </w:rPr>
            </w:pPr>
          </w:p>
        </w:tc>
        <w:tc>
          <w:tcPr>
            <w:tcW w:w="0" w:type="auto"/>
            <w:shd w:val="clear" w:color="auto" w:fill="auto"/>
            <w:vAlign w:val="bottom"/>
          </w:tcPr>
          <w:p w14:paraId="5F2CD25B" w14:textId="77777777" w:rsidR="00E836FB" w:rsidRDefault="00E836FB">
            <w:pPr>
              <w:rPr>
                <w:rFonts w:ascii="宋体"/>
              </w:rPr>
            </w:pPr>
          </w:p>
        </w:tc>
        <w:tc>
          <w:tcPr>
            <w:tcW w:w="0" w:type="auto"/>
            <w:shd w:val="clear" w:color="auto" w:fill="auto"/>
            <w:vAlign w:val="bottom"/>
          </w:tcPr>
          <w:p w14:paraId="5F2CD25C" w14:textId="77777777" w:rsidR="00E836FB" w:rsidRDefault="00E836FB">
            <w:pPr>
              <w:rPr>
                <w:rFonts w:ascii="宋体"/>
              </w:rPr>
            </w:pPr>
          </w:p>
        </w:tc>
      </w:tr>
      <w:tr w:rsidR="00E836FB" w14:paraId="5F2CD282" w14:textId="77777777">
        <w:trPr>
          <w:trHeight w:val="60"/>
        </w:trPr>
        <w:tc>
          <w:tcPr>
            <w:tcW w:w="0" w:type="auto"/>
            <w:gridSpan w:val="3"/>
            <w:shd w:val="clear" w:color="auto" w:fill="auto"/>
            <w:tcMar>
              <w:top w:w="0" w:type="dxa"/>
              <w:left w:w="20" w:type="dxa"/>
              <w:bottom w:w="0" w:type="dxa"/>
              <w:right w:w="20" w:type="dxa"/>
            </w:tcMar>
            <w:vAlign w:val="bottom"/>
          </w:tcPr>
          <w:p w14:paraId="5F2CD2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5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66" w14:textId="77777777" w:rsidR="00E836FB" w:rsidRDefault="00E836FB">
            <w:pPr>
              <w:rPr>
                <w:rFonts w:ascii="宋体"/>
              </w:rPr>
            </w:pPr>
          </w:p>
        </w:tc>
        <w:tc>
          <w:tcPr>
            <w:tcW w:w="0" w:type="auto"/>
            <w:shd w:val="clear" w:color="auto" w:fill="auto"/>
            <w:vAlign w:val="bottom"/>
          </w:tcPr>
          <w:p w14:paraId="5F2CD267" w14:textId="77777777" w:rsidR="00E836FB" w:rsidRDefault="00E836FB">
            <w:pPr>
              <w:rPr>
                <w:rFonts w:ascii="宋体"/>
              </w:rPr>
            </w:pPr>
          </w:p>
        </w:tc>
        <w:tc>
          <w:tcPr>
            <w:tcW w:w="0" w:type="auto"/>
            <w:shd w:val="clear" w:color="auto" w:fill="auto"/>
            <w:vAlign w:val="bottom"/>
          </w:tcPr>
          <w:p w14:paraId="5F2CD268" w14:textId="77777777" w:rsidR="00E836FB" w:rsidRDefault="00E836FB">
            <w:pPr>
              <w:rPr>
                <w:rFonts w:ascii="宋体"/>
              </w:rPr>
            </w:pPr>
          </w:p>
        </w:tc>
        <w:tc>
          <w:tcPr>
            <w:tcW w:w="0" w:type="auto"/>
            <w:shd w:val="clear" w:color="auto" w:fill="auto"/>
            <w:vAlign w:val="bottom"/>
          </w:tcPr>
          <w:p w14:paraId="5F2CD269" w14:textId="77777777" w:rsidR="00E836FB" w:rsidRDefault="00E836FB">
            <w:pPr>
              <w:rPr>
                <w:rFonts w:ascii="宋体"/>
              </w:rPr>
            </w:pPr>
          </w:p>
        </w:tc>
        <w:tc>
          <w:tcPr>
            <w:tcW w:w="0" w:type="auto"/>
            <w:shd w:val="clear" w:color="auto" w:fill="auto"/>
            <w:vAlign w:val="bottom"/>
          </w:tcPr>
          <w:p w14:paraId="5F2CD26A" w14:textId="77777777" w:rsidR="00E836FB" w:rsidRDefault="00E836FB">
            <w:pPr>
              <w:rPr>
                <w:rFonts w:ascii="宋体"/>
              </w:rPr>
            </w:pPr>
          </w:p>
        </w:tc>
        <w:tc>
          <w:tcPr>
            <w:tcW w:w="0" w:type="auto"/>
            <w:shd w:val="clear" w:color="auto" w:fill="auto"/>
            <w:vAlign w:val="bottom"/>
          </w:tcPr>
          <w:p w14:paraId="5F2CD26B" w14:textId="77777777" w:rsidR="00E836FB" w:rsidRDefault="00E836FB">
            <w:pPr>
              <w:rPr>
                <w:rFonts w:ascii="宋体"/>
              </w:rPr>
            </w:pPr>
          </w:p>
        </w:tc>
        <w:tc>
          <w:tcPr>
            <w:tcW w:w="0" w:type="auto"/>
            <w:shd w:val="clear" w:color="auto" w:fill="auto"/>
            <w:vAlign w:val="bottom"/>
          </w:tcPr>
          <w:p w14:paraId="5F2CD26C" w14:textId="77777777" w:rsidR="00E836FB" w:rsidRDefault="00E836FB">
            <w:pPr>
              <w:rPr>
                <w:rFonts w:ascii="宋体"/>
              </w:rPr>
            </w:pPr>
          </w:p>
        </w:tc>
        <w:tc>
          <w:tcPr>
            <w:tcW w:w="0" w:type="auto"/>
            <w:shd w:val="clear" w:color="auto" w:fill="auto"/>
            <w:vAlign w:val="bottom"/>
          </w:tcPr>
          <w:p w14:paraId="5F2CD26D" w14:textId="77777777" w:rsidR="00E836FB" w:rsidRDefault="00E836FB">
            <w:pPr>
              <w:rPr>
                <w:rFonts w:ascii="宋体"/>
              </w:rPr>
            </w:pPr>
          </w:p>
        </w:tc>
        <w:tc>
          <w:tcPr>
            <w:tcW w:w="0" w:type="auto"/>
            <w:shd w:val="clear" w:color="auto" w:fill="auto"/>
            <w:vAlign w:val="bottom"/>
          </w:tcPr>
          <w:p w14:paraId="5F2CD26E" w14:textId="77777777" w:rsidR="00E836FB" w:rsidRDefault="00E836FB">
            <w:pPr>
              <w:rPr>
                <w:rFonts w:ascii="宋体"/>
              </w:rPr>
            </w:pPr>
          </w:p>
        </w:tc>
        <w:tc>
          <w:tcPr>
            <w:tcW w:w="0" w:type="auto"/>
            <w:shd w:val="clear" w:color="auto" w:fill="auto"/>
            <w:vAlign w:val="bottom"/>
          </w:tcPr>
          <w:p w14:paraId="5F2CD26F" w14:textId="77777777" w:rsidR="00E836FB" w:rsidRDefault="00E836FB">
            <w:pPr>
              <w:rPr>
                <w:rFonts w:ascii="宋体"/>
              </w:rPr>
            </w:pPr>
          </w:p>
        </w:tc>
        <w:tc>
          <w:tcPr>
            <w:tcW w:w="0" w:type="auto"/>
            <w:shd w:val="clear" w:color="auto" w:fill="auto"/>
            <w:vAlign w:val="bottom"/>
          </w:tcPr>
          <w:p w14:paraId="5F2CD270" w14:textId="77777777" w:rsidR="00E836FB" w:rsidRDefault="00E836FB">
            <w:pPr>
              <w:rPr>
                <w:rFonts w:ascii="宋体"/>
              </w:rPr>
            </w:pPr>
          </w:p>
        </w:tc>
        <w:tc>
          <w:tcPr>
            <w:tcW w:w="0" w:type="auto"/>
            <w:shd w:val="clear" w:color="auto" w:fill="auto"/>
            <w:vAlign w:val="bottom"/>
          </w:tcPr>
          <w:p w14:paraId="5F2CD271" w14:textId="77777777" w:rsidR="00E836FB" w:rsidRDefault="00E836FB">
            <w:pPr>
              <w:rPr>
                <w:rFonts w:ascii="宋体"/>
              </w:rPr>
            </w:pPr>
          </w:p>
        </w:tc>
        <w:tc>
          <w:tcPr>
            <w:tcW w:w="0" w:type="auto"/>
            <w:shd w:val="clear" w:color="auto" w:fill="auto"/>
            <w:vAlign w:val="bottom"/>
          </w:tcPr>
          <w:p w14:paraId="5F2CD272" w14:textId="77777777" w:rsidR="00E836FB" w:rsidRDefault="00E836FB">
            <w:pPr>
              <w:rPr>
                <w:rFonts w:ascii="宋体"/>
              </w:rPr>
            </w:pPr>
          </w:p>
        </w:tc>
        <w:tc>
          <w:tcPr>
            <w:tcW w:w="0" w:type="auto"/>
            <w:shd w:val="clear" w:color="auto" w:fill="auto"/>
            <w:vAlign w:val="bottom"/>
          </w:tcPr>
          <w:p w14:paraId="5F2CD273" w14:textId="77777777" w:rsidR="00E836FB" w:rsidRDefault="00E836FB">
            <w:pPr>
              <w:rPr>
                <w:rFonts w:ascii="宋体"/>
              </w:rPr>
            </w:pPr>
          </w:p>
        </w:tc>
        <w:tc>
          <w:tcPr>
            <w:tcW w:w="0" w:type="auto"/>
            <w:shd w:val="clear" w:color="auto" w:fill="auto"/>
            <w:vAlign w:val="bottom"/>
          </w:tcPr>
          <w:p w14:paraId="5F2CD274" w14:textId="77777777" w:rsidR="00E836FB" w:rsidRDefault="00E836FB">
            <w:pPr>
              <w:rPr>
                <w:rFonts w:ascii="宋体"/>
              </w:rPr>
            </w:pPr>
          </w:p>
        </w:tc>
        <w:tc>
          <w:tcPr>
            <w:tcW w:w="0" w:type="auto"/>
            <w:shd w:val="clear" w:color="auto" w:fill="auto"/>
            <w:vAlign w:val="bottom"/>
          </w:tcPr>
          <w:p w14:paraId="5F2CD275" w14:textId="77777777" w:rsidR="00E836FB" w:rsidRDefault="00E836FB">
            <w:pPr>
              <w:rPr>
                <w:rFonts w:ascii="宋体"/>
              </w:rPr>
            </w:pPr>
          </w:p>
        </w:tc>
        <w:tc>
          <w:tcPr>
            <w:tcW w:w="0" w:type="auto"/>
            <w:shd w:val="clear" w:color="auto" w:fill="auto"/>
            <w:vAlign w:val="bottom"/>
          </w:tcPr>
          <w:p w14:paraId="5F2CD276" w14:textId="77777777" w:rsidR="00E836FB" w:rsidRDefault="00E836FB">
            <w:pPr>
              <w:rPr>
                <w:rFonts w:ascii="宋体"/>
              </w:rPr>
            </w:pPr>
          </w:p>
        </w:tc>
        <w:tc>
          <w:tcPr>
            <w:tcW w:w="0" w:type="auto"/>
            <w:shd w:val="clear" w:color="auto" w:fill="auto"/>
            <w:vAlign w:val="bottom"/>
          </w:tcPr>
          <w:p w14:paraId="5F2CD277" w14:textId="77777777" w:rsidR="00E836FB" w:rsidRDefault="00E836FB">
            <w:pPr>
              <w:rPr>
                <w:rFonts w:ascii="宋体"/>
              </w:rPr>
            </w:pPr>
          </w:p>
        </w:tc>
        <w:tc>
          <w:tcPr>
            <w:tcW w:w="0" w:type="auto"/>
            <w:shd w:val="clear" w:color="auto" w:fill="auto"/>
            <w:vAlign w:val="bottom"/>
          </w:tcPr>
          <w:p w14:paraId="5F2CD278" w14:textId="77777777" w:rsidR="00E836FB" w:rsidRDefault="00E836FB">
            <w:pPr>
              <w:rPr>
                <w:rFonts w:ascii="宋体"/>
              </w:rPr>
            </w:pPr>
          </w:p>
        </w:tc>
        <w:tc>
          <w:tcPr>
            <w:tcW w:w="0" w:type="auto"/>
            <w:shd w:val="clear" w:color="auto" w:fill="auto"/>
            <w:vAlign w:val="bottom"/>
          </w:tcPr>
          <w:p w14:paraId="5F2CD279" w14:textId="77777777" w:rsidR="00E836FB" w:rsidRDefault="00E836FB">
            <w:pPr>
              <w:rPr>
                <w:rFonts w:ascii="宋体"/>
              </w:rPr>
            </w:pPr>
          </w:p>
        </w:tc>
        <w:tc>
          <w:tcPr>
            <w:tcW w:w="0" w:type="auto"/>
            <w:shd w:val="clear" w:color="auto" w:fill="auto"/>
            <w:vAlign w:val="bottom"/>
          </w:tcPr>
          <w:p w14:paraId="5F2CD27A" w14:textId="77777777" w:rsidR="00E836FB" w:rsidRDefault="00E836FB">
            <w:pPr>
              <w:rPr>
                <w:rFonts w:ascii="宋体"/>
              </w:rPr>
            </w:pPr>
          </w:p>
        </w:tc>
        <w:tc>
          <w:tcPr>
            <w:tcW w:w="0" w:type="auto"/>
            <w:shd w:val="clear" w:color="auto" w:fill="auto"/>
            <w:vAlign w:val="bottom"/>
          </w:tcPr>
          <w:p w14:paraId="5F2CD27B" w14:textId="77777777" w:rsidR="00E836FB" w:rsidRDefault="00E836FB">
            <w:pPr>
              <w:rPr>
                <w:rFonts w:ascii="宋体"/>
              </w:rPr>
            </w:pPr>
          </w:p>
        </w:tc>
        <w:tc>
          <w:tcPr>
            <w:tcW w:w="0" w:type="auto"/>
            <w:shd w:val="clear" w:color="auto" w:fill="auto"/>
            <w:vAlign w:val="bottom"/>
          </w:tcPr>
          <w:p w14:paraId="5F2CD27C" w14:textId="77777777" w:rsidR="00E836FB" w:rsidRDefault="00E836FB">
            <w:pPr>
              <w:rPr>
                <w:rFonts w:ascii="宋体"/>
              </w:rPr>
            </w:pPr>
          </w:p>
        </w:tc>
        <w:tc>
          <w:tcPr>
            <w:tcW w:w="0" w:type="auto"/>
            <w:shd w:val="clear" w:color="auto" w:fill="auto"/>
            <w:vAlign w:val="bottom"/>
          </w:tcPr>
          <w:p w14:paraId="5F2CD27D" w14:textId="77777777" w:rsidR="00E836FB" w:rsidRDefault="00E836FB">
            <w:pPr>
              <w:rPr>
                <w:rFonts w:ascii="宋体"/>
              </w:rPr>
            </w:pPr>
          </w:p>
        </w:tc>
        <w:tc>
          <w:tcPr>
            <w:tcW w:w="0" w:type="auto"/>
            <w:shd w:val="clear" w:color="auto" w:fill="auto"/>
            <w:vAlign w:val="bottom"/>
          </w:tcPr>
          <w:p w14:paraId="5F2CD27E" w14:textId="77777777" w:rsidR="00E836FB" w:rsidRDefault="00E836FB">
            <w:pPr>
              <w:rPr>
                <w:rFonts w:ascii="宋体"/>
              </w:rPr>
            </w:pPr>
          </w:p>
        </w:tc>
        <w:tc>
          <w:tcPr>
            <w:tcW w:w="0" w:type="auto"/>
            <w:shd w:val="clear" w:color="auto" w:fill="auto"/>
            <w:vAlign w:val="bottom"/>
          </w:tcPr>
          <w:p w14:paraId="5F2CD27F" w14:textId="77777777" w:rsidR="00E836FB" w:rsidRDefault="00E836FB">
            <w:pPr>
              <w:rPr>
                <w:rFonts w:ascii="宋体"/>
              </w:rPr>
            </w:pPr>
          </w:p>
        </w:tc>
        <w:tc>
          <w:tcPr>
            <w:tcW w:w="0" w:type="auto"/>
            <w:shd w:val="clear" w:color="auto" w:fill="auto"/>
            <w:vAlign w:val="bottom"/>
          </w:tcPr>
          <w:p w14:paraId="5F2CD280" w14:textId="77777777" w:rsidR="00E836FB" w:rsidRDefault="00E836FB">
            <w:pPr>
              <w:rPr>
                <w:rFonts w:ascii="宋体"/>
              </w:rPr>
            </w:pPr>
          </w:p>
        </w:tc>
        <w:tc>
          <w:tcPr>
            <w:tcW w:w="0" w:type="auto"/>
            <w:shd w:val="clear" w:color="auto" w:fill="auto"/>
            <w:vAlign w:val="bottom"/>
          </w:tcPr>
          <w:p w14:paraId="5F2CD281" w14:textId="77777777" w:rsidR="00E836FB" w:rsidRDefault="00E836FB">
            <w:pPr>
              <w:rPr>
                <w:rFonts w:ascii="宋体"/>
              </w:rPr>
            </w:pPr>
          </w:p>
        </w:tc>
      </w:tr>
      <w:tr w:rsidR="00E836FB" w14:paraId="5F2CD2A7" w14:textId="77777777">
        <w:tc>
          <w:tcPr>
            <w:tcW w:w="0" w:type="auto"/>
            <w:gridSpan w:val="3"/>
            <w:shd w:val="clear" w:color="auto" w:fill="003399"/>
            <w:tcMar>
              <w:top w:w="40" w:type="dxa"/>
              <w:left w:w="20" w:type="dxa"/>
              <w:bottom w:w="40" w:type="dxa"/>
              <w:right w:w="20" w:type="dxa"/>
            </w:tcMar>
            <w:vAlign w:val="center"/>
          </w:tcPr>
          <w:p w14:paraId="5F2CD283" w14:textId="77777777" w:rsidR="00E836FB" w:rsidRDefault="00994958">
            <w:pPr>
              <w:jc w:val="center"/>
              <w:textAlignment w:val="center"/>
            </w:pPr>
            <w:r>
              <w:rPr>
                <w:rFonts w:ascii="Arial" w:eastAsia="宋体" w:hAnsi="Arial" w:cs="Arial"/>
                <w:color w:val="FFFFFF"/>
                <w:sz w:val="14"/>
                <w:szCs w:val="14"/>
              </w:rPr>
              <w:t>CCAR Steering Committee</w:t>
            </w:r>
          </w:p>
        </w:tc>
        <w:tc>
          <w:tcPr>
            <w:tcW w:w="0" w:type="auto"/>
            <w:gridSpan w:val="3"/>
            <w:shd w:val="clear" w:color="auto" w:fill="auto"/>
            <w:tcMar>
              <w:top w:w="0" w:type="dxa"/>
              <w:left w:w="20" w:type="dxa"/>
              <w:bottom w:w="0" w:type="dxa"/>
              <w:right w:w="20" w:type="dxa"/>
            </w:tcMar>
            <w:vAlign w:val="bottom"/>
          </w:tcPr>
          <w:p w14:paraId="5F2CD284" w14:textId="77777777" w:rsidR="00E836FB" w:rsidRDefault="00E836FB">
            <w:pPr>
              <w:rPr>
                <w:rFonts w:ascii="宋体"/>
              </w:rPr>
            </w:pPr>
          </w:p>
        </w:tc>
        <w:tc>
          <w:tcPr>
            <w:tcW w:w="0" w:type="auto"/>
            <w:gridSpan w:val="3"/>
            <w:shd w:val="clear" w:color="auto" w:fill="003399"/>
            <w:tcMar>
              <w:top w:w="40" w:type="dxa"/>
              <w:left w:w="20" w:type="dxa"/>
              <w:bottom w:w="40" w:type="dxa"/>
              <w:right w:w="20" w:type="dxa"/>
            </w:tcMar>
            <w:vAlign w:val="center"/>
          </w:tcPr>
          <w:p w14:paraId="5F2CD285" w14:textId="77777777" w:rsidR="00E836FB" w:rsidRDefault="00994958">
            <w:pPr>
              <w:jc w:val="center"/>
              <w:textAlignment w:val="center"/>
            </w:pPr>
            <w:r>
              <w:rPr>
                <w:rFonts w:ascii="Arial" w:eastAsia="宋体" w:hAnsi="Arial" w:cs="Arial"/>
                <w:color w:val="FFFFFF"/>
                <w:sz w:val="14"/>
                <w:szCs w:val="14"/>
              </w:rPr>
              <w:t xml:space="preserve">Model Risk Committee </w:t>
            </w:r>
            <w:r>
              <w:rPr>
                <w:rFonts w:ascii="Arial" w:eastAsia="宋体" w:hAnsi="Arial" w:cs="Arial"/>
                <w:color w:val="FFFFFF"/>
                <w:sz w:val="14"/>
                <w:szCs w:val="14"/>
              </w:rPr>
              <w:br/>
              <w:t>(MRC)</w:t>
            </w:r>
          </w:p>
        </w:tc>
        <w:tc>
          <w:tcPr>
            <w:tcW w:w="0" w:type="auto"/>
            <w:gridSpan w:val="3"/>
            <w:shd w:val="clear" w:color="auto" w:fill="auto"/>
            <w:tcMar>
              <w:top w:w="0" w:type="dxa"/>
              <w:left w:w="20" w:type="dxa"/>
              <w:bottom w:w="0" w:type="dxa"/>
              <w:right w:w="20" w:type="dxa"/>
            </w:tcMar>
            <w:vAlign w:val="bottom"/>
          </w:tcPr>
          <w:p w14:paraId="5F2CD286" w14:textId="77777777" w:rsidR="00E836FB" w:rsidRDefault="00E836FB">
            <w:pPr>
              <w:rPr>
                <w:rFonts w:ascii="宋体"/>
              </w:rPr>
            </w:pPr>
          </w:p>
        </w:tc>
        <w:tc>
          <w:tcPr>
            <w:tcW w:w="0" w:type="auto"/>
            <w:gridSpan w:val="3"/>
            <w:shd w:val="clear" w:color="auto" w:fill="006699"/>
            <w:tcMar>
              <w:top w:w="40" w:type="dxa"/>
              <w:left w:w="20" w:type="dxa"/>
              <w:bottom w:w="40" w:type="dxa"/>
              <w:right w:w="20" w:type="dxa"/>
            </w:tcMar>
            <w:vAlign w:val="center"/>
          </w:tcPr>
          <w:p w14:paraId="5F2CD287" w14:textId="77777777" w:rsidR="00E836FB" w:rsidRDefault="00994958">
            <w:pPr>
              <w:jc w:val="center"/>
              <w:textAlignment w:val="center"/>
            </w:pPr>
            <w:r>
              <w:rPr>
                <w:rFonts w:ascii="Arial" w:eastAsia="宋体" w:hAnsi="Arial" w:cs="Arial"/>
                <w:color w:val="FFFFFF"/>
                <w:sz w:val="14"/>
                <w:szCs w:val="14"/>
              </w:rPr>
              <w:t>Core Compliance and Ethics Committee</w:t>
            </w:r>
          </w:p>
        </w:tc>
        <w:tc>
          <w:tcPr>
            <w:tcW w:w="0" w:type="auto"/>
            <w:gridSpan w:val="3"/>
            <w:shd w:val="clear" w:color="auto" w:fill="auto"/>
            <w:tcMar>
              <w:top w:w="0" w:type="dxa"/>
              <w:left w:w="20" w:type="dxa"/>
              <w:bottom w:w="0" w:type="dxa"/>
              <w:right w:w="20" w:type="dxa"/>
            </w:tcMar>
            <w:vAlign w:val="bottom"/>
          </w:tcPr>
          <w:p w14:paraId="5F2CD288" w14:textId="77777777" w:rsidR="00E836FB" w:rsidRDefault="00E836FB">
            <w:pPr>
              <w:rPr>
                <w:rFonts w:ascii="宋体"/>
              </w:rPr>
            </w:pPr>
          </w:p>
        </w:tc>
        <w:tc>
          <w:tcPr>
            <w:tcW w:w="0" w:type="auto"/>
            <w:gridSpan w:val="3"/>
            <w:shd w:val="clear" w:color="auto" w:fill="6699FF"/>
            <w:tcMar>
              <w:top w:w="40" w:type="dxa"/>
              <w:left w:w="20" w:type="dxa"/>
              <w:bottom w:w="40" w:type="dxa"/>
              <w:right w:w="20" w:type="dxa"/>
            </w:tcMar>
            <w:vAlign w:val="center"/>
          </w:tcPr>
          <w:p w14:paraId="5F2CD289" w14:textId="77777777" w:rsidR="00E836FB" w:rsidRDefault="00994958">
            <w:pPr>
              <w:jc w:val="center"/>
              <w:textAlignment w:val="center"/>
            </w:pPr>
            <w:r>
              <w:rPr>
                <w:rFonts w:ascii="Arial" w:eastAsia="宋体" w:hAnsi="Arial" w:cs="Arial"/>
                <w:color w:val="FFFFFF"/>
                <w:sz w:val="14"/>
                <w:szCs w:val="14"/>
              </w:rPr>
              <w:t>Executive Operations Management Committee</w:t>
            </w:r>
          </w:p>
        </w:tc>
        <w:tc>
          <w:tcPr>
            <w:tcW w:w="0" w:type="auto"/>
            <w:gridSpan w:val="3"/>
            <w:shd w:val="clear" w:color="auto" w:fill="auto"/>
            <w:tcMar>
              <w:top w:w="0" w:type="dxa"/>
              <w:left w:w="20" w:type="dxa"/>
              <w:bottom w:w="0" w:type="dxa"/>
              <w:right w:w="20" w:type="dxa"/>
            </w:tcMar>
            <w:vAlign w:val="bottom"/>
          </w:tcPr>
          <w:p w14:paraId="5F2CD28A" w14:textId="77777777" w:rsidR="00E836FB" w:rsidRDefault="00E836FB">
            <w:pPr>
              <w:rPr>
                <w:rFonts w:ascii="宋体"/>
              </w:rPr>
            </w:pPr>
          </w:p>
        </w:tc>
        <w:tc>
          <w:tcPr>
            <w:tcW w:w="0" w:type="auto"/>
            <w:gridSpan w:val="3"/>
            <w:shd w:val="clear" w:color="auto" w:fill="6699FF"/>
            <w:tcMar>
              <w:top w:w="40" w:type="dxa"/>
              <w:left w:w="20" w:type="dxa"/>
              <w:bottom w:w="40" w:type="dxa"/>
              <w:right w:w="20" w:type="dxa"/>
            </w:tcMar>
            <w:vAlign w:val="center"/>
          </w:tcPr>
          <w:p w14:paraId="5F2CD28B" w14:textId="77777777" w:rsidR="00E836FB" w:rsidRDefault="00994958">
            <w:pPr>
              <w:jc w:val="center"/>
              <w:textAlignment w:val="center"/>
            </w:pPr>
            <w:r>
              <w:rPr>
                <w:rFonts w:ascii="Arial" w:eastAsia="宋体" w:hAnsi="Arial" w:cs="Arial"/>
                <w:color w:val="FFFFFF"/>
                <w:sz w:val="14"/>
                <w:szCs w:val="14"/>
              </w:rPr>
              <w:t>Enterprise Data Management Committee</w:t>
            </w:r>
          </w:p>
        </w:tc>
        <w:tc>
          <w:tcPr>
            <w:tcW w:w="0" w:type="auto"/>
            <w:shd w:val="clear" w:color="auto" w:fill="auto"/>
            <w:vAlign w:val="bottom"/>
          </w:tcPr>
          <w:p w14:paraId="5F2CD28C" w14:textId="77777777" w:rsidR="00E836FB" w:rsidRDefault="00E836FB">
            <w:pPr>
              <w:rPr>
                <w:rFonts w:ascii="宋体"/>
              </w:rPr>
            </w:pPr>
          </w:p>
        </w:tc>
        <w:tc>
          <w:tcPr>
            <w:tcW w:w="0" w:type="auto"/>
            <w:shd w:val="clear" w:color="auto" w:fill="auto"/>
            <w:vAlign w:val="bottom"/>
          </w:tcPr>
          <w:p w14:paraId="5F2CD28D" w14:textId="77777777" w:rsidR="00E836FB" w:rsidRDefault="00E836FB">
            <w:pPr>
              <w:rPr>
                <w:rFonts w:ascii="宋体"/>
              </w:rPr>
            </w:pPr>
          </w:p>
        </w:tc>
        <w:tc>
          <w:tcPr>
            <w:tcW w:w="0" w:type="auto"/>
            <w:shd w:val="clear" w:color="auto" w:fill="auto"/>
            <w:vAlign w:val="bottom"/>
          </w:tcPr>
          <w:p w14:paraId="5F2CD28E" w14:textId="77777777" w:rsidR="00E836FB" w:rsidRDefault="00E836FB">
            <w:pPr>
              <w:rPr>
                <w:rFonts w:ascii="宋体"/>
              </w:rPr>
            </w:pPr>
          </w:p>
        </w:tc>
        <w:tc>
          <w:tcPr>
            <w:tcW w:w="0" w:type="auto"/>
            <w:shd w:val="clear" w:color="auto" w:fill="auto"/>
            <w:vAlign w:val="bottom"/>
          </w:tcPr>
          <w:p w14:paraId="5F2CD28F" w14:textId="77777777" w:rsidR="00E836FB" w:rsidRDefault="00E836FB">
            <w:pPr>
              <w:rPr>
                <w:rFonts w:ascii="宋体"/>
              </w:rPr>
            </w:pPr>
          </w:p>
        </w:tc>
        <w:tc>
          <w:tcPr>
            <w:tcW w:w="0" w:type="auto"/>
            <w:shd w:val="clear" w:color="auto" w:fill="auto"/>
            <w:vAlign w:val="bottom"/>
          </w:tcPr>
          <w:p w14:paraId="5F2CD290" w14:textId="77777777" w:rsidR="00E836FB" w:rsidRDefault="00E836FB">
            <w:pPr>
              <w:rPr>
                <w:rFonts w:ascii="宋体"/>
              </w:rPr>
            </w:pPr>
          </w:p>
        </w:tc>
        <w:tc>
          <w:tcPr>
            <w:tcW w:w="0" w:type="auto"/>
            <w:shd w:val="clear" w:color="auto" w:fill="auto"/>
            <w:vAlign w:val="bottom"/>
          </w:tcPr>
          <w:p w14:paraId="5F2CD291" w14:textId="77777777" w:rsidR="00E836FB" w:rsidRDefault="00E836FB">
            <w:pPr>
              <w:rPr>
                <w:rFonts w:ascii="宋体"/>
              </w:rPr>
            </w:pPr>
          </w:p>
        </w:tc>
        <w:tc>
          <w:tcPr>
            <w:tcW w:w="0" w:type="auto"/>
            <w:shd w:val="clear" w:color="auto" w:fill="auto"/>
            <w:vAlign w:val="bottom"/>
          </w:tcPr>
          <w:p w14:paraId="5F2CD292" w14:textId="77777777" w:rsidR="00E836FB" w:rsidRDefault="00E836FB">
            <w:pPr>
              <w:rPr>
                <w:rFonts w:ascii="宋体"/>
              </w:rPr>
            </w:pPr>
          </w:p>
        </w:tc>
        <w:tc>
          <w:tcPr>
            <w:tcW w:w="0" w:type="auto"/>
            <w:shd w:val="clear" w:color="auto" w:fill="auto"/>
            <w:vAlign w:val="bottom"/>
          </w:tcPr>
          <w:p w14:paraId="5F2CD293" w14:textId="77777777" w:rsidR="00E836FB" w:rsidRDefault="00E836FB">
            <w:pPr>
              <w:rPr>
                <w:rFonts w:ascii="宋体"/>
              </w:rPr>
            </w:pPr>
          </w:p>
        </w:tc>
        <w:tc>
          <w:tcPr>
            <w:tcW w:w="0" w:type="auto"/>
            <w:shd w:val="clear" w:color="auto" w:fill="auto"/>
            <w:vAlign w:val="bottom"/>
          </w:tcPr>
          <w:p w14:paraId="5F2CD294" w14:textId="77777777" w:rsidR="00E836FB" w:rsidRDefault="00E836FB">
            <w:pPr>
              <w:rPr>
                <w:rFonts w:ascii="宋体"/>
              </w:rPr>
            </w:pPr>
          </w:p>
        </w:tc>
        <w:tc>
          <w:tcPr>
            <w:tcW w:w="0" w:type="auto"/>
            <w:shd w:val="clear" w:color="auto" w:fill="auto"/>
            <w:vAlign w:val="bottom"/>
          </w:tcPr>
          <w:p w14:paraId="5F2CD295" w14:textId="77777777" w:rsidR="00E836FB" w:rsidRDefault="00E836FB">
            <w:pPr>
              <w:rPr>
                <w:rFonts w:ascii="宋体"/>
              </w:rPr>
            </w:pPr>
          </w:p>
        </w:tc>
        <w:tc>
          <w:tcPr>
            <w:tcW w:w="0" w:type="auto"/>
            <w:shd w:val="clear" w:color="auto" w:fill="auto"/>
            <w:vAlign w:val="bottom"/>
          </w:tcPr>
          <w:p w14:paraId="5F2CD296" w14:textId="77777777" w:rsidR="00E836FB" w:rsidRDefault="00E836FB">
            <w:pPr>
              <w:rPr>
                <w:rFonts w:ascii="宋体"/>
              </w:rPr>
            </w:pPr>
          </w:p>
        </w:tc>
        <w:tc>
          <w:tcPr>
            <w:tcW w:w="0" w:type="auto"/>
            <w:shd w:val="clear" w:color="auto" w:fill="auto"/>
            <w:vAlign w:val="bottom"/>
          </w:tcPr>
          <w:p w14:paraId="5F2CD297" w14:textId="77777777" w:rsidR="00E836FB" w:rsidRDefault="00E836FB">
            <w:pPr>
              <w:rPr>
                <w:rFonts w:ascii="宋体"/>
              </w:rPr>
            </w:pPr>
          </w:p>
        </w:tc>
        <w:tc>
          <w:tcPr>
            <w:tcW w:w="0" w:type="auto"/>
            <w:shd w:val="clear" w:color="auto" w:fill="auto"/>
            <w:vAlign w:val="bottom"/>
          </w:tcPr>
          <w:p w14:paraId="5F2CD298" w14:textId="77777777" w:rsidR="00E836FB" w:rsidRDefault="00E836FB">
            <w:pPr>
              <w:rPr>
                <w:rFonts w:ascii="宋体"/>
              </w:rPr>
            </w:pPr>
          </w:p>
        </w:tc>
        <w:tc>
          <w:tcPr>
            <w:tcW w:w="0" w:type="auto"/>
            <w:shd w:val="clear" w:color="auto" w:fill="auto"/>
            <w:vAlign w:val="bottom"/>
          </w:tcPr>
          <w:p w14:paraId="5F2CD299" w14:textId="77777777" w:rsidR="00E836FB" w:rsidRDefault="00E836FB">
            <w:pPr>
              <w:rPr>
                <w:rFonts w:ascii="宋体"/>
              </w:rPr>
            </w:pPr>
          </w:p>
        </w:tc>
        <w:tc>
          <w:tcPr>
            <w:tcW w:w="0" w:type="auto"/>
            <w:shd w:val="clear" w:color="auto" w:fill="auto"/>
            <w:vAlign w:val="bottom"/>
          </w:tcPr>
          <w:p w14:paraId="5F2CD29A" w14:textId="77777777" w:rsidR="00E836FB" w:rsidRDefault="00E836FB">
            <w:pPr>
              <w:rPr>
                <w:rFonts w:ascii="宋体"/>
              </w:rPr>
            </w:pPr>
          </w:p>
        </w:tc>
        <w:tc>
          <w:tcPr>
            <w:tcW w:w="0" w:type="auto"/>
            <w:shd w:val="clear" w:color="auto" w:fill="auto"/>
            <w:vAlign w:val="bottom"/>
          </w:tcPr>
          <w:p w14:paraId="5F2CD29B" w14:textId="77777777" w:rsidR="00E836FB" w:rsidRDefault="00E836FB">
            <w:pPr>
              <w:rPr>
                <w:rFonts w:ascii="宋体"/>
              </w:rPr>
            </w:pPr>
          </w:p>
        </w:tc>
        <w:tc>
          <w:tcPr>
            <w:tcW w:w="0" w:type="auto"/>
            <w:shd w:val="clear" w:color="auto" w:fill="auto"/>
            <w:vAlign w:val="bottom"/>
          </w:tcPr>
          <w:p w14:paraId="5F2CD29C" w14:textId="77777777" w:rsidR="00E836FB" w:rsidRDefault="00E836FB">
            <w:pPr>
              <w:rPr>
                <w:rFonts w:ascii="宋体"/>
              </w:rPr>
            </w:pPr>
          </w:p>
        </w:tc>
        <w:tc>
          <w:tcPr>
            <w:tcW w:w="0" w:type="auto"/>
            <w:shd w:val="clear" w:color="auto" w:fill="auto"/>
            <w:vAlign w:val="bottom"/>
          </w:tcPr>
          <w:p w14:paraId="5F2CD29D" w14:textId="77777777" w:rsidR="00E836FB" w:rsidRDefault="00E836FB">
            <w:pPr>
              <w:rPr>
                <w:rFonts w:ascii="宋体"/>
              </w:rPr>
            </w:pPr>
          </w:p>
        </w:tc>
        <w:tc>
          <w:tcPr>
            <w:tcW w:w="0" w:type="auto"/>
            <w:shd w:val="clear" w:color="auto" w:fill="auto"/>
            <w:vAlign w:val="bottom"/>
          </w:tcPr>
          <w:p w14:paraId="5F2CD29E" w14:textId="77777777" w:rsidR="00E836FB" w:rsidRDefault="00E836FB">
            <w:pPr>
              <w:rPr>
                <w:rFonts w:ascii="宋体"/>
              </w:rPr>
            </w:pPr>
          </w:p>
        </w:tc>
        <w:tc>
          <w:tcPr>
            <w:tcW w:w="0" w:type="auto"/>
            <w:shd w:val="clear" w:color="auto" w:fill="auto"/>
            <w:vAlign w:val="bottom"/>
          </w:tcPr>
          <w:p w14:paraId="5F2CD29F" w14:textId="77777777" w:rsidR="00E836FB" w:rsidRDefault="00E836FB">
            <w:pPr>
              <w:rPr>
                <w:rFonts w:ascii="宋体"/>
              </w:rPr>
            </w:pPr>
          </w:p>
        </w:tc>
        <w:tc>
          <w:tcPr>
            <w:tcW w:w="0" w:type="auto"/>
            <w:shd w:val="clear" w:color="auto" w:fill="auto"/>
            <w:vAlign w:val="bottom"/>
          </w:tcPr>
          <w:p w14:paraId="5F2CD2A0" w14:textId="77777777" w:rsidR="00E836FB" w:rsidRDefault="00E836FB">
            <w:pPr>
              <w:rPr>
                <w:rFonts w:ascii="宋体"/>
              </w:rPr>
            </w:pPr>
          </w:p>
        </w:tc>
        <w:tc>
          <w:tcPr>
            <w:tcW w:w="0" w:type="auto"/>
            <w:shd w:val="clear" w:color="auto" w:fill="auto"/>
            <w:vAlign w:val="bottom"/>
          </w:tcPr>
          <w:p w14:paraId="5F2CD2A1" w14:textId="77777777" w:rsidR="00E836FB" w:rsidRDefault="00E836FB">
            <w:pPr>
              <w:rPr>
                <w:rFonts w:ascii="宋体"/>
              </w:rPr>
            </w:pPr>
          </w:p>
        </w:tc>
        <w:tc>
          <w:tcPr>
            <w:tcW w:w="0" w:type="auto"/>
            <w:shd w:val="clear" w:color="auto" w:fill="auto"/>
            <w:vAlign w:val="bottom"/>
          </w:tcPr>
          <w:p w14:paraId="5F2CD2A2" w14:textId="77777777" w:rsidR="00E836FB" w:rsidRDefault="00E836FB">
            <w:pPr>
              <w:rPr>
                <w:rFonts w:ascii="宋体"/>
              </w:rPr>
            </w:pPr>
          </w:p>
        </w:tc>
        <w:tc>
          <w:tcPr>
            <w:tcW w:w="0" w:type="auto"/>
            <w:shd w:val="clear" w:color="auto" w:fill="auto"/>
            <w:vAlign w:val="bottom"/>
          </w:tcPr>
          <w:p w14:paraId="5F2CD2A3" w14:textId="77777777" w:rsidR="00E836FB" w:rsidRDefault="00E836FB">
            <w:pPr>
              <w:rPr>
                <w:rFonts w:ascii="宋体"/>
              </w:rPr>
            </w:pPr>
          </w:p>
        </w:tc>
        <w:tc>
          <w:tcPr>
            <w:tcW w:w="0" w:type="auto"/>
            <w:shd w:val="clear" w:color="auto" w:fill="auto"/>
            <w:vAlign w:val="bottom"/>
          </w:tcPr>
          <w:p w14:paraId="5F2CD2A4" w14:textId="77777777" w:rsidR="00E836FB" w:rsidRDefault="00E836FB">
            <w:pPr>
              <w:rPr>
                <w:rFonts w:ascii="宋体"/>
              </w:rPr>
            </w:pPr>
          </w:p>
        </w:tc>
        <w:tc>
          <w:tcPr>
            <w:tcW w:w="0" w:type="auto"/>
            <w:shd w:val="clear" w:color="auto" w:fill="auto"/>
            <w:vAlign w:val="bottom"/>
          </w:tcPr>
          <w:p w14:paraId="5F2CD2A5" w14:textId="77777777" w:rsidR="00E836FB" w:rsidRDefault="00E836FB">
            <w:pPr>
              <w:rPr>
                <w:rFonts w:ascii="宋体"/>
              </w:rPr>
            </w:pPr>
          </w:p>
        </w:tc>
        <w:tc>
          <w:tcPr>
            <w:tcW w:w="0" w:type="auto"/>
            <w:shd w:val="clear" w:color="auto" w:fill="auto"/>
            <w:vAlign w:val="bottom"/>
          </w:tcPr>
          <w:p w14:paraId="5F2CD2A6" w14:textId="77777777" w:rsidR="00E836FB" w:rsidRDefault="00E836FB">
            <w:pPr>
              <w:rPr>
                <w:rFonts w:ascii="宋体"/>
              </w:rPr>
            </w:pPr>
          </w:p>
        </w:tc>
      </w:tr>
      <w:tr w:rsidR="00E836FB" w14:paraId="5F2CD2CC" w14:textId="77777777">
        <w:trPr>
          <w:trHeight w:val="60"/>
        </w:trPr>
        <w:tc>
          <w:tcPr>
            <w:tcW w:w="0" w:type="auto"/>
            <w:gridSpan w:val="3"/>
            <w:shd w:val="clear" w:color="auto" w:fill="auto"/>
            <w:tcMar>
              <w:top w:w="0" w:type="dxa"/>
              <w:left w:w="20" w:type="dxa"/>
              <w:bottom w:w="0" w:type="dxa"/>
              <w:right w:w="20" w:type="dxa"/>
            </w:tcMar>
            <w:vAlign w:val="bottom"/>
          </w:tcPr>
          <w:p w14:paraId="5F2CD2A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A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A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A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A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A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A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B0" w14:textId="77777777" w:rsidR="00E836FB" w:rsidRDefault="00E836FB">
            <w:pPr>
              <w:rPr>
                <w:rFonts w:ascii="宋体"/>
              </w:rPr>
            </w:pPr>
          </w:p>
        </w:tc>
        <w:tc>
          <w:tcPr>
            <w:tcW w:w="0" w:type="auto"/>
            <w:shd w:val="clear" w:color="auto" w:fill="auto"/>
            <w:vAlign w:val="bottom"/>
          </w:tcPr>
          <w:p w14:paraId="5F2CD2B1" w14:textId="77777777" w:rsidR="00E836FB" w:rsidRDefault="00E836FB">
            <w:pPr>
              <w:rPr>
                <w:rFonts w:ascii="宋体"/>
              </w:rPr>
            </w:pPr>
          </w:p>
        </w:tc>
        <w:tc>
          <w:tcPr>
            <w:tcW w:w="0" w:type="auto"/>
            <w:shd w:val="clear" w:color="auto" w:fill="auto"/>
            <w:vAlign w:val="bottom"/>
          </w:tcPr>
          <w:p w14:paraId="5F2CD2B2" w14:textId="77777777" w:rsidR="00E836FB" w:rsidRDefault="00E836FB">
            <w:pPr>
              <w:rPr>
                <w:rFonts w:ascii="宋体"/>
              </w:rPr>
            </w:pPr>
          </w:p>
        </w:tc>
        <w:tc>
          <w:tcPr>
            <w:tcW w:w="0" w:type="auto"/>
            <w:shd w:val="clear" w:color="auto" w:fill="auto"/>
            <w:vAlign w:val="bottom"/>
          </w:tcPr>
          <w:p w14:paraId="5F2CD2B3" w14:textId="77777777" w:rsidR="00E836FB" w:rsidRDefault="00E836FB">
            <w:pPr>
              <w:rPr>
                <w:rFonts w:ascii="宋体"/>
              </w:rPr>
            </w:pPr>
          </w:p>
        </w:tc>
        <w:tc>
          <w:tcPr>
            <w:tcW w:w="0" w:type="auto"/>
            <w:shd w:val="clear" w:color="auto" w:fill="auto"/>
            <w:vAlign w:val="bottom"/>
          </w:tcPr>
          <w:p w14:paraId="5F2CD2B4" w14:textId="77777777" w:rsidR="00E836FB" w:rsidRDefault="00E836FB">
            <w:pPr>
              <w:rPr>
                <w:rFonts w:ascii="宋体"/>
              </w:rPr>
            </w:pPr>
          </w:p>
        </w:tc>
        <w:tc>
          <w:tcPr>
            <w:tcW w:w="0" w:type="auto"/>
            <w:shd w:val="clear" w:color="auto" w:fill="auto"/>
            <w:vAlign w:val="bottom"/>
          </w:tcPr>
          <w:p w14:paraId="5F2CD2B5" w14:textId="77777777" w:rsidR="00E836FB" w:rsidRDefault="00E836FB">
            <w:pPr>
              <w:rPr>
                <w:rFonts w:ascii="宋体"/>
              </w:rPr>
            </w:pPr>
          </w:p>
        </w:tc>
        <w:tc>
          <w:tcPr>
            <w:tcW w:w="0" w:type="auto"/>
            <w:shd w:val="clear" w:color="auto" w:fill="auto"/>
            <w:vAlign w:val="bottom"/>
          </w:tcPr>
          <w:p w14:paraId="5F2CD2B6" w14:textId="77777777" w:rsidR="00E836FB" w:rsidRDefault="00E836FB">
            <w:pPr>
              <w:rPr>
                <w:rFonts w:ascii="宋体"/>
              </w:rPr>
            </w:pPr>
          </w:p>
        </w:tc>
        <w:tc>
          <w:tcPr>
            <w:tcW w:w="0" w:type="auto"/>
            <w:shd w:val="clear" w:color="auto" w:fill="auto"/>
            <w:vAlign w:val="bottom"/>
          </w:tcPr>
          <w:p w14:paraId="5F2CD2B7" w14:textId="77777777" w:rsidR="00E836FB" w:rsidRDefault="00E836FB">
            <w:pPr>
              <w:rPr>
                <w:rFonts w:ascii="宋体"/>
              </w:rPr>
            </w:pPr>
          </w:p>
        </w:tc>
        <w:tc>
          <w:tcPr>
            <w:tcW w:w="0" w:type="auto"/>
            <w:shd w:val="clear" w:color="auto" w:fill="auto"/>
            <w:vAlign w:val="bottom"/>
          </w:tcPr>
          <w:p w14:paraId="5F2CD2B8" w14:textId="77777777" w:rsidR="00E836FB" w:rsidRDefault="00E836FB">
            <w:pPr>
              <w:rPr>
                <w:rFonts w:ascii="宋体"/>
              </w:rPr>
            </w:pPr>
          </w:p>
        </w:tc>
        <w:tc>
          <w:tcPr>
            <w:tcW w:w="0" w:type="auto"/>
            <w:shd w:val="clear" w:color="auto" w:fill="auto"/>
            <w:vAlign w:val="bottom"/>
          </w:tcPr>
          <w:p w14:paraId="5F2CD2B9" w14:textId="77777777" w:rsidR="00E836FB" w:rsidRDefault="00E836FB">
            <w:pPr>
              <w:rPr>
                <w:rFonts w:ascii="宋体"/>
              </w:rPr>
            </w:pPr>
          </w:p>
        </w:tc>
        <w:tc>
          <w:tcPr>
            <w:tcW w:w="0" w:type="auto"/>
            <w:shd w:val="clear" w:color="auto" w:fill="auto"/>
            <w:vAlign w:val="bottom"/>
          </w:tcPr>
          <w:p w14:paraId="5F2CD2BA" w14:textId="77777777" w:rsidR="00E836FB" w:rsidRDefault="00E836FB">
            <w:pPr>
              <w:rPr>
                <w:rFonts w:ascii="宋体"/>
              </w:rPr>
            </w:pPr>
          </w:p>
        </w:tc>
        <w:tc>
          <w:tcPr>
            <w:tcW w:w="0" w:type="auto"/>
            <w:shd w:val="clear" w:color="auto" w:fill="auto"/>
            <w:vAlign w:val="bottom"/>
          </w:tcPr>
          <w:p w14:paraId="5F2CD2BB" w14:textId="77777777" w:rsidR="00E836FB" w:rsidRDefault="00E836FB">
            <w:pPr>
              <w:rPr>
                <w:rFonts w:ascii="宋体"/>
              </w:rPr>
            </w:pPr>
          </w:p>
        </w:tc>
        <w:tc>
          <w:tcPr>
            <w:tcW w:w="0" w:type="auto"/>
            <w:shd w:val="clear" w:color="auto" w:fill="auto"/>
            <w:vAlign w:val="bottom"/>
          </w:tcPr>
          <w:p w14:paraId="5F2CD2BC" w14:textId="77777777" w:rsidR="00E836FB" w:rsidRDefault="00E836FB">
            <w:pPr>
              <w:rPr>
                <w:rFonts w:ascii="宋体"/>
              </w:rPr>
            </w:pPr>
          </w:p>
        </w:tc>
        <w:tc>
          <w:tcPr>
            <w:tcW w:w="0" w:type="auto"/>
            <w:shd w:val="clear" w:color="auto" w:fill="auto"/>
            <w:vAlign w:val="bottom"/>
          </w:tcPr>
          <w:p w14:paraId="5F2CD2BD" w14:textId="77777777" w:rsidR="00E836FB" w:rsidRDefault="00E836FB">
            <w:pPr>
              <w:rPr>
                <w:rFonts w:ascii="宋体"/>
              </w:rPr>
            </w:pPr>
          </w:p>
        </w:tc>
        <w:tc>
          <w:tcPr>
            <w:tcW w:w="0" w:type="auto"/>
            <w:shd w:val="clear" w:color="auto" w:fill="auto"/>
            <w:vAlign w:val="bottom"/>
          </w:tcPr>
          <w:p w14:paraId="5F2CD2BE" w14:textId="77777777" w:rsidR="00E836FB" w:rsidRDefault="00E836FB">
            <w:pPr>
              <w:rPr>
                <w:rFonts w:ascii="宋体"/>
              </w:rPr>
            </w:pPr>
          </w:p>
        </w:tc>
        <w:tc>
          <w:tcPr>
            <w:tcW w:w="0" w:type="auto"/>
            <w:shd w:val="clear" w:color="auto" w:fill="auto"/>
            <w:vAlign w:val="bottom"/>
          </w:tcPr>
          <w:p w14:paraId="5F2CD2BF" w14:textId="77777777" w:rsidR="00E836FB" w:rsidRDefault="00E836FB">
            <w:pPr>
              <w:rPr>
                <w:rFonts w:ascii="宋体"/>
              </w:rPr>
            </w:pPr>
          </w:p>
        </w:tc>
        <w:tc>
          <w:tcPr>
            <w:tcW w:w="0" w:type="auto"/>
            <w:shd w:val="clear" w:color="auto" w:fill="auto"/>
            <w:vAlign w:val="bottom"/>
          </w:tcPr>
          <w:p w14:paraId="5F2CD2C0" w14:textId="77777777" w:rsidR="00E836FB" w:rsidRDefault="00E836FB">
            <w:pPr>
              <w:rPr>
                <w:rFonts w:ascii="宋体"/>
              </w:rPr>
            </w:pPr>
          </w:p>
        </w:tc>
        <w:tc>
          <w:tcPr>
            <w:tcW w:w="0" w:type="auto"/>
            <w:shd w:val="clear" w:color="auto" w:fill="auto"/>
            <w:vAlign w:val="bottom"/>
          </w:tcPr>
          <w:p w14:paraId="5F2CD2C1" w14:textId="77777777" w:rsidR="00E836FB" w:rsidRDefault="00E836FB">
            <w:pPr>
              <w:rPr>
                <w:rFonts w:ascii="宋体"/>
              </w:rPr>
            </w:pPr>
          </w:p>
        </w:tc>
        <w:tc>
          <w:tcPr>
            <w:tcW w:w="0" w:type="auto"/>
            <w:shd w:val="clear" w:color="auto" w:fill="auto"/>
            <w:vAlign w:val="bottom"/>
          </w:tcPr>
          <w:p w14:paraId="5F2CD2C2" w14:textId="77777777" w:rsidR="00E836FB" w:rsidRDefault="00E836FB">
            <w:pPr>
              <w:rPr>
                <w:rFonts w:ascii="宋体"/>
              </w:rPr>
            </w:pPr>
          </w:p>
        </w:tc>
        <w:tc>
          <w:tcPr>
            <w:tcW w:w="0" w:type="auto"/>
            <w:shd w:val="clear" w:color="auto" w:fill="auto"/>
            <w:vAlign w:val="bottom"/>
          </w:tcPr>
          <w:p w14:paraId="5F2CD2C3" w14:textId="77777777" w:rsidR="00E836FB" w:rsidRDefault="00E836FB">
            <w:pPr>
              <w:rPr>
                <w:rFonts w:ascii="宋体"/>
              </w:rPr>
            </w:pPr>
          </w:p>
        </w:tc>
        <w:tc>
          <w:tcPr>
            <w:tcW w:w="0" w:type="auto"/>
            <w:shd w:val="clear" w:color="auto" w:fill="auto"/>
            <w:vAlign w:val="bottom"/>
          </w:tcPr>
          <w:p w14:paraId="5F2CD2C4" w14:textId="77777777" w:rsidR="00E836FB" w:rsidRDefault="00E836FB">
            <w:pPr>
              <w:rPr>
                <w:rFonts w:ascii="宋体"/>
              </w:rPr>
            </w:pPr>
          </w:p>
        </w:tc>
        <w:tc>
          <w:tcPr>
            <w:tcW w:w="0" w:type="auto"/>
            <w:shd w:val="clear" w:color="auto" w:fill="auto"/>
            <w:vAlign w:val="bottom"/>
          </w:tcPr>
          <w:p w14:paraId="5F2CD2C5" w14:textId="77777777" w:rsidR="00E836FB" w:rsidRDefault="00E836FB">
            <w:pPr>
              <w:rPr>
                <w:rFonts w:ascii="宋体"/>
              </w:rPr>
            </w:pPr>
          </w:p>
        </w:tc>
        <w:tc>
          <w:tcPr>
            <w:tcW w:w="0" w:type="auto"/>
            <w:shd w:val="clear" w:color="auto" w:fill="auto"/>
            <w:vAlign w:val="bottom"/>
          </w:tcPr>
          <w:p w14:paraId="5F2CD2C6" w14:textId="77777777" w:rsidR="00E836FB" w:rsidRDefault="00E836FB">
            <w:pPr>
              <w:rPr>
                <w:rFonts w:ascii="宋体"/>
              </w:rPr>
            </w:pPr>
          </w:p>
        </w:tc>
        <w:tc>
          <w:tcPr>
            <w:tcW w:w="0" w:type="auto"/>
            <w:shd w:val="clear" w:color="auto" w:fill="auto"/>
            <w:vAlign w:val="bottom"/>
          </w:tcPr>
          <w:p w14:paraId="5F2CD2C7" w14:textId="77777777" w:rsidR="00E836FB" w:rsidRDefault="00E836FB">
            <w:pPr>
              <w:rPr>
                <w:rFonts w:ascii="宋体"/>
              </w:rPr>
            </w:pPr>
          </w:p>
        </w:tc>
        <w:tc>
          <w:tcPr>
            <w:tcW w:w="0" w:type="auto"/>
            <w:shd w:val="clear" w:color="auto" w:fill="auto"/>
            <w:vAlign w:val="bottom"/>
          </w:tcPr>
          <w:p w14:paraId="5F2CD2C8" w14:textId="77777777" w:rsidR="00E836FB" w:rsidRDefault="00E836FB">
            <w:pPr>
              <w:rPr>
                <w:rFonts w:ascii="宋体"/>
              </w:rPr>
            </w:pPr>
          </w:p>
        </w:tc>
        <w:tc>
          <w:tcPr>
            <w:tcW w:w="0" w:type="auto"/>
            <w:shd w:val="clear" w:color="auto" w:fill="auto"/>
            <w:vAlign w:val="bottom"/>
          </w:tcPr>
          <w:p w14:paraId="5F2CD2C9" w14:textId="77777777" w:rsidR="00E836FB" w:rsidRDefault="00E836FB">
            <w:pPr>
              <w:rPr>
                <w:rFonts w:ascii="宋体"/>
              </w:rPr>
            </w:pPr>
          </w:p>
        </w:tc>
        <w:tc>
          <w:tcPr>
            <w:tcW w:w="0" w:type="auto"/>
            <w:shd w:val="clear" w:color="auto" w:fill="auto"/>
            <w:vAlign w:val="bottom"/>
          </w:tcPr>
          <w:p w14:paraId="5F2CD2CA" w14:textId="77777777" w:rsidR="00E836FB" w:rsidRDefault="00E836FB">
            <w:pPr>
              <w:rPr>
                <w:rFonts w:ascii="宋体"/>
              </w:rPr>
            </w:pPr>
          </w:p>
        </w:tc>
        <w:tc>
          <w:tcPr>
            <w:tcW w:w="0" w:type="auto"/>
            <w:shd w:val="clear" w:color="auto" w:fill="auto"/>
            <w:vAlign w:val="bottom"/>
          </w:tcPr>
          <w:p w14:paraId="5F2CD2CB" w14:textId="77777777" w:rsidR="00E836FB" w:rsidRDefault="00E836FB">
            <w:pPr>
              <w:rPr>
                <w:rFonts w:ascii="宋体"/>
              </w:rPr>
            </w:pPr>
          </w:p>
        </w:tc>
      </w:tr>
      <w:tr w:rsidR="00E836FB" w14:paraId="5F2CD2F1" w14:textId="77777777">
        <w:tc>
          <w:tcPr>
            <w:tcW w:w="0" w:type="auto"/>
            <w:gridSpan w:val="3"/>
            <w:shd w:val="clear" w:color="auto" w:fill="003399"/>
            <w:tcMar>
              <w:top w:w="40" w:type="dxa"/>
              <w:left w:w="20" w:type="dxa"/>
              <w:bottom w:w="40" w:type="dxa"/>
              <w:right w:w="20" w:type="dxa"/>
            </w:tcMar>
            <w:vAlign w:val="center"/>
          </w:tcPr>
          <w:p w14:paraId="5F2CD2CD" w14:textId="77777777" w:rsidR="00E836FB" w:rsidRDefault="00994958">
            <w:pPr>
              <w:jc w:val="center"/>
              <w:textAlignment w:val="center"/>
            </w:pPr>
            <w:r>
              <w:rPr>
                <w:rFonts w:ascii="Arial" w:eastAsia="宋体" w:hAnsi="Arial" w:cs="Arial"/>
                <w:color w:val="FFFFFF"/>
                <w:sz w:val="14"/>
                <w:szCs w:val="14"/>
              </w:rPr>
              <w:t>Country Risk Committee</w:t>
            </w:r>
          </w:p>
        </w:tc>
        <w:tc>
          <w:tcPr>
            <w:tcW w:w="0" w:type="auto"/>
            <w:gridSpan w:val="3"/>
            <w:shd w:val="clear" w:color="auto" w:fill="auto"/>
            <w:tcMar>
              <w:top w:w="0" w:type="dxa"/>
              <w:left w:w="20" w:type="dxa"/>
              <w:bottom w:w="0" w:type="dxa"/>
              <w:right w:w="20" w:type="dxa"/>
            </w:tcMar>
            <w:vAlign w:val="bottom"/>
          </w:tcPr>
          <w:p w14:paraId="5F2CD2CE" w14:textId="77777777" w:rsidR="00E836FB" w:rsidRDefault="00E836FB">
            <w:pPr>
              <w:rPr>
                <w:rFonts w:ascii="宋体"/>
              </w:rPr>
            </w:pPr>
          </w:p>
        </w:tc>
        <w:tc>
          <w:tcPr>
            <w:tcW w:w="0" w:type="auto"/>
            <w:gridSpan w:val="3"/>
            <w:shd w:val="clear" w:color="auto" w:fill="003399"/>
            <w:tcMar>
              <w:top w:w="40" w:type="dxa"/>
              <w:left w:w="20" w:type="dxa"/>
              <w:bottom w:w="40" w:type="dxa"/>
              <w:right w:w="20" w:type="dxa"/>
            </w:tcMar>
            <w:vAlign w:val="center"/>
          </w:tcPr>
          <w:p w14:paraId="5F2CD2CF" w14:textId="77777777" w:rsidR="00E836FB" w:rsidRDefault="00994958">
            <w:pPr>
              <w:jc w:val="center"/>
              <w:textAlignment w:val="center"/>
            </w:pPr>
            <w:r>
              <w:rPr>
                <w:rFonts w:ascii="Arial" w:eastAsia="宋体" w:hAnsi="Arial" w:cs="Arial"/>
                <w:color w:val="FFFFFF"/>
                <w:sz w:val="14"/>
                <w:szCs w:val="14"/>
              </w:rPr>
              <w:t>SSGA Risk Committee</w:t>
            </w:r>
          </w:p>
        </w:tc>
        <w:tc>
          <w:tcPr>
            <w:tcW w:w="0" w:type="auto"/>
            <w:gridSpan w:val="3"/>
            <w:shd w:val="clear" w:color="auto" w:fill="auto"/>
            <w:tcMar>
              <w:top w:w="0" w:type="dxa"/>
              <w:left w:w="20" w:type="dxa"/>
              <w:bottom w:w="0" w:type="dxa"/>
              <w:right w:w="20" w:type="dxa"/>
            </w:tcMar>
            <w:vAlign w:val="bottom"/>
          </w:tcPr>
          <w:p w14:paraId="5F2CD2D0" w14:textId="77777777" w:rsidR="00E836FB" w:rsidRDefault="00E836FB">
            <w:pPr>
              <w:rPr>
                <w:rFonts w:ascii="宋体"/>
              </w:rPr>
            </w:pPr>
          </w:p>
        </w:tc>
        <w:tc>
          <w:tcPr>
            <w:tcW w:w="0" w:type="auto"/>
            <w:gridSpan w:val="3"/>
            <w:shd w:val="clear" w:color="auto" w:fill="006699"/>
            <w:tcMar>
              <w:top w:w="40" w:type="dxa"/>
              <w:left w:w="20" w:type="dxa"/>
              <w:bottom w:w="40" w:type="dxa"/>
              <w:right w:w="20" w:type="dxa"/>
            </w:tcMar>
            <w:vAlign w:val="center"/>
          </w:tcPr>
          <w:p w14:paraId="5F2CD2D1" w14:textId="77777777" w:rsidR="00E836FB" w:rsidRDefault="00994958">
            <w:pPr>
              <w:jc w:val="center"/>
              <w:textAlignment w:val="center"/>
            </w:pPr>
            <w:r>
              <w:rPr>
                <w:rFonts w:ascii="Arial" w:eastAsia="宋体" w:hAnsi="Arial" w:cs="Arial"/>
                <w:color w:val="FFFFFF"/>
                <w:sz w:val="14"/>
                <w:szCs w:val="14"/>
              </w:rPr>
              <w:t>Legal Entity Oversight Committee</w:t>
            </w:r>
          </w:p>
        </w:tc>
        <w:tc>
          <w:tcPr>
            <w:tcW w:w="0" w:type="auto"/>
            <w:gridSpan w:val="3"/>
            <w:shd w:val="clear" w:color="auto" w:fill="auto"/>
            <w:tcMar>
              <w:top w:w="0" w:type="dxa"/>
              <w:left w:w="20" w:type="dxa"/>
              <w:bottom w:w="0" w:type="dxa"/>
              <w:right w:w="20" w:type="dxa"/>
            </w:tcMar>
            <w:vAlign w:val="bottom"/>
          </w:tcPr>
          <w:p w14:paraId="5F2CD2D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D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D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D5" w14:textId="77777777" w:rsidR="00E836FB" w:rsidRDefault="00E836FB">
            <w:pPr>
              <w:rPr>
                <w:rFonts w:ascii="宋体"/>
              </w:rPr>
            </w:pPr>
          </w:p>
        </w:tc>
        <w:tc>
          <w:tcPr>
            <w:tcW w:w="0" w:type="auto"/>
            <w:shd w:val="clear" w:color="auto" w:fill="auto"/>
            <w:vAlign w:val="bottom"/>
          </w:tcPr>
          <w:p w14:paraId="5F2CD2D6" w14:textId="77777777" w:rsidR="00E836FB" w:rsidRDefault="00E836FB">
            <w:pPr>
              <w:rPr>
                <w:rFonts w:ascii="宋体"/>
              </w:rPr>
            </w:pPr>
          </w:p>
        </w:tc>
        <w:tc>
          <w:tcPr>
            <w:tcW w:w="0" w:type="auto"/>
            <w:shd w:val="clear" w:color="auto" w:fill="auto"/>
            <w:vAlign w:val="bottom"/>
          </w:tcPr>
          <w:p w14:paraId="5F2CD2D7" w14:textId="77777777" w:rsidR="00E836FB" w:rsidRDefault="00E836FB">
            <w:pPr>
              <w:rPr>
                <w:rFonts w:ascii="宋体"/>
              </w:rPr>
            </w:pPr>
          </w:p>
        </w:tc>
        <w:tc>
          <w:tcPr>
            <w:tcW w:w="0" w:type="auto"/>
            <w:shd w:val="clear" w:color="auto" w:fill="auto"/>
            <w:vAlign w:val="bottom"/>
          </w:tcPr>
          <w:p w14:paraId="5F2CD2D8" w14:textId="77777777" w:rsidR="00E836FB" w:rsidRDefault="00E836FB">
            <w:pPr>
              <w:rPr>
                <w:rFonts w:ascii="宋体"/>
              </w:rPr>
            </w:pPr>
          </w:p>
        </w:tc>
        <w:tc>
          <w:tcPr>
            <w:tcW w:w="0" w:type="auto"/>
            <w:shd w:val="clear" w:color="auto" w:fill="auto"/>
            <w:vAlign w:val="bottom"/>
          </w:tcPr>
          <w:p w14:paraId="5F2CD2D9" w14:textId="77777777" w:rsidR="00E836FB" w:rsidRDefault="00E836FB">
            <w:pPr>
              <w:rPr>
                <w:rFonts w:ascii="宋体"/>
              </w:rPr>
            </w:pPr>
          </w:p>
        </w:tc>
        <w:tc>
          <w:tcPr>
            <w:tcW w:w="0" w:type="auto"/>
            <w:shd w:val="clear" w:color="auto" w:fill="auto"/>
            <w:vAlign w:val="bottom"/>
          </w:tcPr>
          <w:p w14:paraId="5F2CD2DA" w14:textId="77777777" w:rsidR="00E836FB" w:rsidRDefault="00E836FB">
            <w:pPr>
              <w:rPr>
                <w:rFonts w:ascii="宋体"/>
              </w:rPr>
            </w:pPr>
          </w:p>
        </w:tc>
        <w:tc>
          <w:tcPr>
            <w:tcW w:w="0" w:type="auto"/>
            <w:shd w:val="clear" w:color="auto" w:fill="auto"/>
            <w:vAlign w:val="bottom"/>
          </w:tcPr>
          <w:p w14:paraId="5F2CD2DB" w14:textId="77777777" w:rsidR="00E836FB" w:rsidRDefault="00E836FB">
            <w:pPr>
              <w:rPr>
                <w:rFonts w:ascii="宋体"/>
              </w:rPr>
            </w:pPr>
          </w:p>
        </w:tc>
        <w:tc>
          <w:tcPr>
            <w:tcW w:w="0" w:type="auto"/>
            <w:shd w:val="clear" w:color="auto" w:fill="auto"/>
            <w:vAlign w:val="bottom"/>
          </w:tcPr>
          <w:p w14:paraId="5F2CD2DC" w14:textId="77777777" w:rsidR="00E836FB" w:rsidRDefault="00E836FB">
            <w:pPr>
              <w:rPr>
                <w:rFonts w:ascii="宋体"/>
              </w:rPr>
            </w:pPr>
          </w:p>
        </w:tc>
        <w:tc>
          <w:tcPr>
            <w:tcW w:w="0" w:type="auto"/>
            <w:shd w:val="clear" w:color="auto" w:fill="auto"/>
            <w:vAlign w:val="bottom"/>
          </w:tcPr>
          <w:p w14:paraId="5F2CD2DD" w14:textId="77777777" w:rsidR="00E836FB" w:rsidRDefault="00E836FB">
            <w:pPr>
              <w:rPr>
                <w:rFonts w:ascii="宋体"/>
              </w:rPr>
            </w:pPr>
          </w:p>
        </w:tc>
        <w:tc>
          <w:tcPr>
            <w:tcW w:w="0" w:type="auto"/>
            <w:shd w:val="clear" w:color="auto" w:fill="auto"/>
            <w:vAlign w:val="bottom"/>
          </w:tcPr>
          <w:p w14:paraId="5F2CD2DE" w14:textId="77777777" w:rsidR="00E836FB" w:rsidRDefault="00E836FB">
            <w:pPr>
              <w:rPr>
                <w:rFonts w:ascii="宋体"/>
              </w:rPr>
            </w:pPr>
          </w:p>
        </w:tc>
        <w:tc>
          <w:tcPr>
            <w:tcW w:w="0" w:type="auto"/>
            <w:shd w:val="clear" w:color="auto" w:fill="auto"/>
            <w:vAlign w:val="bottom"/>
          </w:tcPr>
          <w:p w14:paraId="5F2CD2DF" w14:textId="77777777" w:rsidR="00E836FB" w:rsidRDefault="00E836FB">
            <w:pPr>
              <w:rPr>
                <w:rFonts w:ascii="宋体"/>
              </w:rPr>
            </w:pPr>
          </w:p>
        </w:tc>
        <w:tc>
          <w:tcPr>
            <w:tcW w:w="0" w:type="auto"/>
            <w:shd w:val="clear" w:color="auto" w:fill="auto"/>
            <w:vAlign w:val="bottom"/>
          </w:tcPr>
          <w:p w14:paraId="5F2CD2E0" w14:textId="77777777" w:rsidR="00E836FB" w:rsidRDefault="00E836FB">
            <w:pPr>
              <w:rPr>
                <w:rFonts w:ascii="宋体"/>
              </w:rPr>
            </w:pPr>
          </w:p>
        </w:tc>
        <w:tc>
          <w:tcPr>
            <w:tcW w:w="0" w:type="auto"/>
            <w:shd w:val="clear" w:color="auto" w:fill="auto"/>
            <w:vAlign w:val="bottom"/>
          </w:tcPr>
          <w:p w14:paraId="5F2CD2E1" w14:textId="77777777" w:rsidR="00E836FB" w:rsidRDefault="00E836FB">
            <w:pPr>
              <w:rPr>
                <w:rFonts w:ascii="宋体"/>
              </w:rPr>
            </w:pPr>
          </w:p>
        </w:tc>
        <w:tc>
          <w:tcPr>
            <w:tcW w:w="0" w:type="auto"/>
            <w:shd w:val="clear" w:color="auto" w:fill="auto"/>
            <w:vAlign w:val="bottom"/>
          </w:tcPr>
          <w:p w14:paraId="5F2CD2E2" w14:textId="77777777" w:rsidR="00E836FB" w:rsidRDefault="00E836FB">
            <w:pPr>
              <w:rPr>
                <w:rFonts w:ascii="宋体"/>
              </w:rPr>
            </w:pPr>
          </w:p>
        </w:tc>
        <w:tc>
          <w:tcPr>
            <w:tcW w:w="0" w:type="auto"/>
            <w:shd w:val="clear" w:color="auto" w:fill="auto"/>
            <w:vAlign w:val="bottom"/>
          </w:tcPr>
          <w:p w14:paraId="5F2CD2E3" w14:textId="77777777" w:rsidR="00E836FB" w:rsidRDefault="00E836FB">
            <w:pPr>
              <w:rPr>
                <w:rFonts w:ascii="宋体"/>
              </w:rPr>
            </w:pPr>
          </w:p>
        </w:tc>
        <w:tc>
          <w:tcPr>
            <w:tcW w:w="0" w:type="auto"/>
            <w:shd w:val="clear" w:color="auto" w:fill="auto"/>
            <w:vAlign w:val="bottom"/>
          </w:tcPr>
          <w:p w14:paraId="5F2CD2E4" w14:textId="77777777" w:rsidR="00E836FB" w:rsidRDefault="00E836FB">
            <w:pPr>
              <w:rPr>
                <w:rFonts w:ascii="宋体"/>
              </w:rPr>
            </w:pPr>
          </w:p>
        </w:tc>
        <w:tc>
          <w:tcPr>
            <w:tcW w:w="0" w:type="auto"/>
            <w:shd w:val="clear" w:color="auto" w:fill="auto"/>
            <w:vAlign w:val="bottom"/>
          </w:tcPr>
          <w:p w14:paraId="5F2CD2E5" w14:textId="77777777" w:rsidR="00E836FB" w:rsidRDefault="00E836FB">
            <w:pPr>
              <w:rPr>
                <w:rFonts w:ascii="宋体"/>
              </w:rPr>
            </w:pPr>
          </w:p>
        </w:tc>
        <w:tc>
          <w:tcPr>
            <w:tcW w:w="0" w:type="auto"/>
            <w:shd w:val="clear" w:color="auto" w:fill="auto"/>
            <w:vAlign w:val="bottom"/>
          </w:tcPr>
          <w:p w14:paraId="5F2CD2E6" w14:textId="77777777" w:rsidR="00E836FB" w:rsidRDefault="00E836FB">
            <w:pPr>
              <w:rPr>
                <w:rFonts w:ascii="宋体"/>
              </w:rPr>
            </w:pPr>
          </w:p>
        </w:tc>
        <w:tc>
          <w:tcPr>
            <w:tcW w:w="0" w:type="auto"/>
            <w:shd w:val="clear" w:color="auto" w:fill="auto"/>
            <w:vAlign w:val="bottom"/>
          </w:tcPr>
          <w:p w14:paraId="5F2CD2E7" w14:textId="77777777" w:rsidR="00E836FB" w:rsidRDefault="00E836FB">
            <w:pPr>
              <w:rPr>
                <w:rFonts w:ascii="宋体"/>
              </w:rPr>
            </w:pPr>
          </w:p>
        </w:tc>
        <w:tc>
          <w:tcPr>
            <w:tcW w:w="0" w:type="auto"/>
            <w:shd w:val="clear" w:color="auto" w:fill="auto"/>
            <w:vAlign w:val="bottom"/>
          </w:tcPr>
          <w:p w14:paraId="5F2CD2E8" w14:textId="77777777" w:rsidR="00E836FB" w:rsidRDefault="00E836FB">
            <w:pPr>
              <w:rPr>
                <w:rFonts w:ascii="宋体"/>
              </w:rPr>
            </w:pPr>
          </w:p>
        </w:tc>
        <w:tc>
          <w:tcPr>
            <w:tcW w:w="0" w:type="auto"/>
            <w:shd w:val="clear" w:color="auto" w:fill="auto"/>
            <w:vAlign w:val="bottom"/>
          </w:tcPr>
          <w:p w14:paraId="5F2CD2E9" w14:textId="77777777" w:rsidR="00E836FB" w:rsidRDefault="00E836FB">
            <w:pPr>
              <w:rPr>
                <w:rFonts w:ascii="宋体"/>
              </w:rPr>
            </w:pPr>
          </w:p>
        </w:tc>
        <w:tc>
          <w:tcPr>
            <w:tcW w:w="0" w:type="auto"/>
            <w:shd w:val="clear" w:color="auto" w:fill="auto"/>
            <w:vAlign w:val="bottom"/>
          </w:tcPr>
          <w:p w14:paraId="5F2CD2EA" w14:textId="77777777" w:rsidR="00E836FB" w:rsidRDefault="00E836FB">
            <w:pPr>
              <w:rPr>
                <w:rFonts w:ascii="宋体"/>
              </w:rPr>
            </w:pPr>
          </w:p>
        </w:tc>
        <w:tc>
          <w:tcPr>
            <w:tcW w:w="0" w:type="auto"/>
            <w:shd w:val="clear" w:color="auto" w:fill="auto"/>
            <w:vAlign w:val="bottom"/>
          </w:tcPr>
          <w:p w14:paraId="5F2CD2EB" w14:textId="77777777" w:rsidR="00E836FB" w:rsidRDefault="00E836FB">
            <w:pPr>
              <w:rPr>
                <w:rFonts w:ascii="宋体"/>
              </w:rPr>
            </w:pPr>
          </w:p>
        </w:tc>
        <w:tc>
          <w:tcPr>
            <w:tcW w:w="0" w:type="auto"/>
            <w:shd w:val="clear" w:color="auto" w:fill="auto"/>
            <w:vAlign w:val="bottom"/>
          </w:tcPr>
          <w:p w14:paraId="5F2CD2EC" w14:textId="77777777" w:rsidR="00E836FB" w:rsidRDefault="00E836FB">
            <w:pPr>
              <w:rPr>
                <w:rFonts w:ascii="宋体"/>
              </w:rPr>
            </w:pPr>
          </w:p>
        </w:tc>
        <w:tc>
          <w:tcPr>
            <w:tcW w:w="0" w:type="auto"/>
            <w:shd w:val="clear" w:color="auto" w:fill="auto"/>
            <w:vAlign w:val="bottom"/>
          </w:tcPr>
          <w:p w14:paraId="5F2CD2ED" w14:textId="77777777" w:rsidR="00E836FB" w:rsidRDefault="00E836FB">
            <w:pPr>
              <w:rPr>
                <w:rFonts w:ascii="宋体"/>
              </w:rPr>
            </w:pPr>
          </w:p>
        </w:tc>
        <w:tc>
          <w:tcPr>
            <w:tcW w:w="0" w:type="auto"/>
            <w:shd w:val="clear" w:color="auto" w:fill="auto"/>
            <w:vAlign w:val="bottom"/>
          </w:tcPr>
          <w:p w14:paraId="5F2CD2EE" w14:textId="77777777" w:rsidR="00E836FB" w:rsidRDefault="00E836FB">
            <w:pPr>
              <w:rPr>
                <w:rFonts w:ascii="宋体"/>
              </w:rPr>
            </w:pPr>
          </w:p>
        </w:tc>
        <w:tc>
          <w:tcPr>
            <w:tcW w:w="0" w:type="auto"/>
            <w:shd w:val="clear" w:color="auto" w:fill="auto"/>
            <w:vAlign w:val="bottom"/>
          </w:tcPr>
          <w:p w14:paraId="5F2CD2EF" w14:textId="77777777" w:rsidR="00E836FB" w:rsidRDefault="00E836FB">
            <w:pPr>
              <w:rPr>
                <w:rFonts w:ascii="宋体"/>
              </w:rPr>
            </w:pPr>
          </w:p>
        </w:tc>
        <w:tc>
          <w:tcPr>
            <w:tcW w:w="0" w:type="auto"/>
            <w:shd w:val="clear" w:color="auto" w:fill="auto"/>
            <w:vAlign w:val="bottom"/>
          </w:tcPr>
          <w:p w14:paraId="5F2CD2F0" w14:textId="77777777" w:rsidR="00E836FB" w:rsidRDefault="00E836FB">
            <w:pPr>
              <w:rPr>
                <w:rFonts w:ascii="宋体"/>
              </w:rPr>
            </w:pPr>
          </w:p>
        </w:tc>
      </w:tr>
      <w:tr w:rsidR="00E836FB" w14:paraId="5F2CD316" w14:textId="77777777">
        <w:trPr>
          <w:trHeight w:val="60"/>
        </w:trPr>
        <w:tc>
          <w:tcPr>
            <w:tcW w:w="0" w:type="auto"/>
            <w:gridSpan w:val="3"/>
            <w:shd w:val="clear" w:color="auto" w:fill="auto"/>
            <w:tcMar>
              <w:top w:w="0" w:type="dxa"/>
              <w:left w:w="20" w:type="dxa"/>
              <w:bottom w:w="0" w:type="dxa"/>
              <w:right w:w="20" w:type="dxa"/>
            </w:tcMar>
            <w:vAlign w:val="bottom"/>
          </w:tcPr>
          <w:p w14:paraId="5F2CD2F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2FA" w14:textId="77777777" w:rsidR="00E836FB" w:rsidRDefault="00E836FB">
            <w:pPr>
              <w:rPr>
                <w:rFonts w:ascii="宋体"/>
              </w:rPr>
            </w:pPr>
          </w:p>
        </w:tc>
        <w:tc>
          <w:tcPr>
            <w:tcW w:w="0" w:type="auto"/>
            <w:shd w:val="clear" w:color="auto" w:fill="auto"/>
            <w:vAlign w:val="bottom"/>
          </w:tcPr>
          <w:p w14:paraId="5F2CD2FB" w14:textId="77777777" w:rsidR="00E836FB" w:rsidRDefault="00E836FB">
            <w:pPr>
              <w:rPr>
                <w:rFonts w:ascii="宋体"/>
              </w:rPr>
            </w:pPr>
          </w:p>
        </w:tc>
        <w:tc>
          <w:tcPr>
            <w:tcW w:w="0" w:type="auto"/>
            <w:shd w:val="clear" w:color="auto" w:fill="auto"/>
            <w:vAlign w:val="bottom"/>
          </w:tcPr>
          <w:p w14:paraId="5F2CD2FC" w14:textId="77777777" w:rsidR="00E836FB" w:rsidRDefault="00E836FB">
            <w:pPr>
              <w:rPr>
                <w:rFonts w:ascii="宋体"/>
              </w:rPr>
            </w:pPr>
          </w:p>
        </w:tc>
        <w:tc>
          <w:tcPr>
            <w:tcW w:w="0" w:type="auto"/>
            <w:shd w:val="clear" w:color="auto" w:fill="auto"/>
            <w:vAlign w:val="bottom"/>
          </w:tcPr>
          <w:p w14:paraId="5F2CD2FD" w14:textId="77777777" w:rsidR="00E836FB" w:rsidRDefault="00E836FB">
            <w:pPr>
              <w:rPr>
                <w:rFonts w:ascii="宋体"/>
              </w:rPr>
            </w:pPr>
          </w:p>
        </w:tc>
        <w:tc>
          <w:tcPr>
            <w:tcW w:w="0" w:type="auto"/>
            <w:shd w:val="clear" w:color="auto" w:fill="auto"/>
            <w:vAlign w:val="bottom"/>
          </w:tcPr>
          <w:p w14:paraId="5F2CD2FE" w14:textId="77777777" w:rsidR="00E836FB" w:rsidRDefault="00E836FB">
            <w:pPr>
              <w:rPr>
                <w:rFonts w:ascii="宋体"/>
              </w:rPr>
            </w:pPr>
          </w:p>
        </w:tc>
        <w:tc>
          <w:tcPr>
            <w:tcW w:w="0" w:type="auto"/>
            <w:shd w:val="clear" w:color="auto" w:fill="auto"/>
            <w:vAlign w:val="bottom"/>
          </w:tcPr>
          <w:p w14:paraId="5F2CD2FF" w14:textId="77777777" w:rsidR="00E836FB" w:rsidRDefault="00E836FB">
            <w:pPr>
              <w:rPr>
                <w:rFonts w:ascii="宋体"/>
              </w:rPr>
            </w:pPr>
          </w:p>
        </w:tc>
        <w:tc>
          <w:tcPr>
            <w:tcW w:w="0" w:type="auto"/>
            <w:shd w:val="clear" w:color="auto" w:fill="auto"/>
            <w:vAlign w:val="bottom"/>
          </w:tcPr>
          <w:p w14:paraId="5F2CD300" w14:textId="77777777" w:rsidR="00E836FB" w:rsidRDefault="00E836FB">
            <w:pPr>
              <w:rPr>
                <w:rFonts w:ascii="宋体"/>
              </w:rPr>
            </w:pPr>
          </w:p>
        </w:tc>
        <w:tc>
          <w:tcPr>
            <w:tcW w:w="0" w:type="auto"/>
            <w:shd w:val="clear" w:color="auto" w:fill="auto"/>
            <w:vAlign w:val="bottom"/>
          </w:tcPr>
          <w:p w14:paraId="5F2CD301" w14:textId="77777777" w:rsidR="00E836FB" w:rsidRDefault="00E836FB">
            <w:pPr>
              <w:rPr>
                <w:rFonts w:ascii="宋体"/>
              </w:rPr>
            </w:pPr>
          </w:p>
        </w:tc>
        <w:tc>
          <w:tcPr>
            <w:tcW w:w="0" w:type="auto"/>
            <w:shd w:val="clear" w:color="auto" w:fill="auto"/>
            <w:vAlign w:val="bottom"/>
          </w:tcPr>
          <w:p w14:paraId="5F2CD302" w14:textId="77777777" w:rsidR="00E836FB" w:rsidRDefault="00E836FB">
            <w:pPr>
              <w:rPr>
                <w:rFonts w:ascii="宋体"/>
              </w:rPr>
            </w:pPr>
          </w:p>
        </w:tc>
        <w:tc>
          <w:tcPr>
            <w:tcW w:w="0" w:type="auto"/>
            <w:shd w:val="clear" w:color="auto" w:fill="auto"/>
            <w:vAlign w:val="bottom"/>
          </w:tcPr>
          <w:p w14:paraId="5F2CD303" w14:textId="77777777" w:rsidR="00E836FB" w:rsidRDefault="00E836FB">
            <w:pPr>
              <w:rPr>
                <w:rFonts w:ascii="宋体"/>
              </w:rPr>
            </w:pPr>
          </w:p>
        </w:tc>
        <w:tc>
          <w:tcPr>
            <w:tcW w:w="0" w:type="auto"/>
            <w:shd w:val="clear" w:color="auto" w:fill="auto"/>
            <w:vAlign w:val="bottom"/>
          </w:tcPr>
          <w:p w14:paraId="5F2CD304" w14:textId="77777777" w:rsidR="00E836FB" w:rsidRDefault="00E836FB">
            <w:pPr>
              <w:rPr>
                <w:rFonts w:ascii="宋体"/>
              </w:rPr>
            </w:pPr>
          </w:p>
        </w:tc>
        <w:tc>
          <w:tcPr>
            <w:tcW w:w="0" w:type="auto"/>
            <w:shd w:val="clear" w:color="auto" w:fill="auto"/>
            <w:vAlign w:val="bottom"/>
          </w:tcPr>
          <w:p w14:paraId="5F2CD305" w14:textId="77777777" w:rsidR="00E836FB" w:rsidRDefault="00E836FB">
            <w:pPr>
              <w:rPr>
                <w:rFonts w:ascii="宋体"/>
              </w:rPr>
            </w:pPr>
          </w:p>
        </w:tc>
        <w:tc>
          <w:tcPr>
            <w:tcW w:w="0" w:type="auto"/>
            <w:shd w:val="clear" w:color="auto" w:fill="auto"/>
            <w:vAlign w:val="bottom"/>
          </w:tcPr>
          <w:p w14:paraId="5F2CD306" w14:textId="77777777" w:rsidR="00E836FB" w:rsidRDefault="00E836FB">
            <w:pPr>
              <w:rPr>
                <w:rFonts w:ascii="宋体"/>
              </w:rPr>
            </w:pPr>
          </w:p>
        </w:tc>
        <w:tc>
          <w:tcPr>
            <w:tcW w:w="0" w:type="auto"/>
            <w:shd w:val="clear" w:color="auto" w:fill="auto"/>
            <w:vAlign w:val="bottom"/>
          </w:tcPr>
          <w:p w14:paraId="5F2CD307" w14:textId="77777777" w:rsidR="00E836FB" w:rsidRDefault="00E836FB">
            <w:pPr>
              <w:rPr>
                <w:rFonts w:ascii="宋体"/>
              </w:rPr>
            </w:pPr>
          </w:p>
        </w:tc>
        <w:tc>
          <w:tcPr>
            <w:tcW w:w="0" w:type="auto"/>
            <w:shd w:val="clear" w:color="auto" w:fill="auto"/>
            <w:vAlign w:val="bottom"/>
          </w:tcPr>
          <w:p w14:paraId="5F2CD308" w14:textId="77777777" w:rsidR="00E836FB" w:rsidRDefault="00E836FB">
            <w:pPr>
              <w:rPr>
                <w:rFonts w:ascii="宋体"/>
              </w:rPr>
            </w:pPr>
          </w:p>
        </w:tc>
        <w:tc>
          <w:tcPr>
            <w:tcW w:w="0" w:type="auto"/>
            <w:shd w:val="clear" w:color="auto" w:fill="auto"/>
            <w:vAlign w:val="bottom"/>
          </w:tcPr>
          <w:p w14:paraId="5F2CD309" w14:textId="77777777" w:rsidR="00E836FB" w:rsidRDefault="00E836FB">
            <w:pPr>
              <w:rPr>
                <w:rFonts w:ascii="宋体"/>
              </w:rPr>
            </w:pPr>
          </w:p>
        </w:tc>
        <w:tc>
          <w:tcPr>
            <w:tcW w:w="0" w:type="auto"/>
            <w:shd w:val="clear" w:color="auto" w:fill="auto"/>
            <w:vAlign w:val="bottom"/>
          </w:tcPr>
          <w:p w14:paraId="5F2CD30A" w14:textId="77777777" w:rsidR="00E836FB" w:rsidRDefault="00E836FB">
            <w:pPr>
              <w:rPr>
                <w:rFonts w:ascii="宋体"/>
              </w:rPr>
            </w:pPr>
          </w:p>
        </w:tc>
        <w:tc>
          <w:tcPr>
            <w:tcW w:w="0" w:type="auto"/>
            <w:shd w:val="clear" w:color="auto" w:fill="auto"/>
            <w:vAlign w:val="bottom"/>
          </w:tcPr>
          <w:p w14:paraId="5F2CD30B" w14:textId="77777777" w:rsidR="00E836FB" w:rsidRDefault="00E836FB">
            <w:pPr>
              <w:rPr>
                <w:rFonts w:ascii="宋体"/>
              </w:rPr>
            </w:pPr>
          </w:p>
        </w:tc>
        <w:tc>
          <w:tcPr>
            <w:tcW w:w="0" w:type="auto"/>
            <w:shd w:val="clear" w:color="auto" w:fill="auto"/>
            <w:vAlign w:val="bottom"/>
          </w:tcPr>
          <w:p w14:paraId="5F2CD30C" w14:textId="77777777" w:rsidR="00E836FB" w:rsidRDefault="00E836FB">
            <w:pPr>
              <w:rPr>
                <w:rFonts w:ascii="宋体"/>
              </w:rPr>
            </w:pPr>
          </w:p>
        </w:tc>
        <w:tc>
          <w:tcPr>
            <w:tcW w:w="0" w:type="auto"/>
            <w:shd w:val="clear" w:color="auto" w:fill="auto"/>
            <w:vAlign w:val="bottom"/>
          </w:tcPr>
          <w:p w14:paraId="5F2CD30D" w14:textId="77777777" w:rsidR="00E836FB" w:rsidRDefault="00E836FB">
            <w:pPr>
              <w:rPr>
                <w:rFonts w:ascii="宋体"/>
              </w:rPr>
            </w:pPr>
          </w:p>
        </w:tc>
        <w:tc>
          <w:tcPr>
            <w:tcW w:w="0" w:type="auto"/>
            <w:shd w:val="clear" w:color="auto" w:fill="auto"/>
            <w:vAlign w:val="bottom"/>
          </w:tcPr>
          <w:p w14:paraId="5F2CD30E" w14:textId="77777777" w:rsidR="00E836FB" w:rsidRDefault="00E836FB">
            <w:pPr>
              <w:rPr>
                <w:rFonts w:ascii="宋体"/>
              </w:rPr>
            </w:pPr>
          </w:p>
        </w:tc>
        <w:tc>
          <w:tcPr>
            <w:tcW w:w="0" w:type="auto"/>
            <w:shd w:val="clear" w:color="auto" w:fill="auto"/>
            <w:vAlign w:val="bottom"/>
          </w:tcPr>
          <w:p w14:paraId="5F2CD30F" w14:textId="77777777" w:rsidR="00E836FB" w:rsidRDefault="00E836FB">
            <w:pPr>
              <w:rPr>
                <w:rFonts w:ascii="宋体"/>
              </w:rPr>
            </w:pPr>
          </w:p>
        </w:tc>
        <w:tc>
          <w:tcPr>
            <w:tcW w:w="0" w:type="auto"/>
            <w:shd w:val="clear" w:color="auto" w:fill="auto"/>
            <w:vAlign w:val="bottom"/>
          </w:tcPr>
          <w:p w14:paraId="5F2CD310" w14:textId="77777777" w:rsidR="00E836FB" w:rsidRDefault="00E836FB">
            <w:pPr>
              <w:rPr>
                <w:rFonts w:ascii="宋体"/>
              </w:rPr>
            </w:pPr>
          </w:p>
        </w:tc>
        <w:tc>
          <w:tcPr>
            <w:tcW w:w="0" w:type="auto"/>
            <w:shd w:val="clear" w:color="auto" w:fill="auto"/>
            <w:vAlign w:val="bottom"/>
          </w:tcPr>
          <w:p w14:paraId="5F2CD311" w14:textId="77777777" w:rsidR="00E836FB" w:rsidRDefault="00E836FB">
            <w:pPr>
              <w:rPr>
                <w:rFonts w:ascii="宋体"/>
              </w:rPr>
            </w:pPr>
          </w:p>
        </w:tc>
        <w:tc>
          <w:tcPr>
            <w:tcW w:w="0" w:type="auto"/>
            <w:shd w:val="clear" w:color="auto" w:fill="auto"/>
            <w:vAlign w:val="bottom"/>
          </w:tcPr>
          <w:p w14:paraId="5F2CD312" w14:textId="77777777" w:rsidR="00E836FB" w:rsidRDefault="00E836FB">
            <w:pPr>
              <w:rPr>
                <w:rFonts w:ascii="宋体"/>
              </w:rPr>
            </w:pPr>
          </w:p>
        </w:tc>
        <w:tc>
          <w:tcPr>
            <w:tcW w:w="0" w:type="auto"/>
            <w:shd w:val="clear" w:color="auto" w:fill="auto"/>
            <w:vAlign w:val="bottom"/>
          </w:tcPr>
          <w:p w14:paraId="5F2CD313" w14:textId="77777777" w:rsidR="00E836FB" w:rsidRDefault="00E836FB">
            <w:pPr>
              <w:rPr>
                <w:rFonts w:ascii="宋体"/>
              </w:rPr>
            </w:pPr>
          </w:p>
        </w:tc>
        <w:tc>
          <w:tcPr>
            <w:tcW w:w="0" w:type="auto"/>
            <w:shd w:val="clear" w:color="auto" w:fill="auto"/>
            <w:vAlign w:val="bottom"/>
          </w:tcPr>
          <w:p w14:paraId="5F2CD314" w14:textId="77777777" w:rsidR="00E836FB" w:rsidRDefault="00E836FB">
            <w:pPr>
              <w:rPr>
                <w:rFonts w:ascii="宋体"/>
              </w:rPr>
            </w:pPr>
          </w:p>
        </w:tc>
        <w:tc>
          <w:tcPr>
            <w:tcW w:w="0" w:type="auto"/>
            <w:shd w:val="clear" w:color="auto" w:fill="auto"/>
            <w:vAlign w:val="bottom"/>
          </w:tcPr>
          <w:p w14:paraId="5F2CD315" w14:textId="77777777" w:rsidR="00E836FB" w:rsidRDefault="00E836FB">
            <w:pPr>
              <w:rPr>
                <w:rFonts w:ascii="宋体"/>
              </w:rPr>
            </w:pPr>
          </w:p>
        </w:tc>
      </w:tr>
      <w:tr w:rsidR="00E836FB" w14:paraId="5F2CD33B" w14:textId="77777777">
        <w:tc>
          <w:tcPr>
            <w:tcW w:w="0" w:type="auto"/>
            <w:gridSpan w:val="3"/>
            <w:shd w:val="clear" w:color="auto" w:fill="003399"/>
            <w:tcMar>
              <w:top w:w="40" w:type="dxa"/>
              <w:left w:w="20" w:type="dxa"/>
              <w:bottom w:w="40" w:type="dxa"/>
              <w:right w:w="20" w:type="dxa"/>
            </w:tcMar>
            <w:vAlign w:val="center"/>
          </w:tcPr>
          <w:p w14:paraId="5F2CD317" w14:textId="77777777" w:rsidR="00E836FB" w:rsidRDefault="00994958">
            <w:pPr>
              <w:jc w:val="center"/>
              <w:textAlignment w:val="center"/>
            </w:pPr>
            <w:r>
              <w:rPr>
                <w:rFonts w:ascii="Arial" w:eastAsia="宋体" w:hAnsi="Arial" w:cs="Arial"/>
                <w:color w:val="FFFFFF"/>
                <w:sz w:val="14"/>
                <w:szCs w:val="14"/>
              </w:rPr>
              <w:t>Regulatory Reporting Oversight Committee</w:t>
            </w:r>
          </w:p>
        </w:tc>
        <w:tc>
          <w:tcPr>
            <w:tcW w:w="0" w:type="auto"/>
            <w:gridSpan w:val="3"/>
            <w:shd w:val="clear" w:color="auto" w:fill="auto"/>
            <w:tcMar>
              <w:top w:w="0" w:type="dxa"/>
              <w:left w:w="20" w:type="dxa"/>
              <w:bottom w:w="0" w:type="dxa"/>
              <w:right w:w="20" w:type="dxa"/>
            </w:tcMar>
            <w:vAlign w:val="bottom"/>
          </w:tcPr>
          <w:p w14:paraId="5F2CD31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1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1A" w14:textId="77777777" w:rsidR="00E836FB" w:rsidRDefault="00E836FB">
            <w:pPr>
              <w:rPr>
                <w:rFonts w:ascii="宋体"/>
              </w:rPr>
            </w:pPr>
          </w:p>
        </w:tc>
        <w:tc>
          <w:tcPr>
            <w:tcW w:w="0" w:type="auto"/>
            <w:gridSpan w:val="3"/>
            <w:shd w:val="clear" w:color="auto" w:fill="006699"/>
            <w:tcMar>
              <w:top w:w="40" w:type="dxa"/>
              <w:left w:w="20" w:type="dxa"/>
              <w:bottom w:w="40" w:type="dxa"/>
              <w:right w:w="20" w:type="dxa"/>
            </w:tcMar>
            <w:vAlign w:val="center"/>
          </w:tcPr>
          <w:p w14:paraId="5F2CD31B" w14:textId="77777777" w:rsidR="00E836FB" w:rsidRDefault="00994958">
            <w:pPr>
              <w:jc w:val="center"/>
              <w:textAlignment w:val="center"/>
            </w:pPr>
            <w:r>
              <w:rPr>
                <w:rFonts w:ascii="Arial" w:eastAsia="宋体" w:hAnsi="Arial" w:cs="Arial"/>
                <w:color w:val="FFFFFF"/>
                <w:sz w:val="14"/>
                <w:szCs w:val="14"/>
              </w:rPr>
              <w:t>Conduct Standards Committee</w:t>
            </w:r>
          </w:p>
        </w:tc>
        <w:tc>
          <w:tcPr>
            <w:tcW w:w="0" w:type="auto"/>
            <w:gridSpan w:val="3"/>
            <w:shd w:val="clear" w:color="auto" w:fill="auto"/>
            <w:tcMar>
              <w:top w:w="0" w:type="dxa"/>
              <w:left w:w="20" w:type="dxa"/>
              <w:bottom w:w="0" w:type="dxa"/>
              <w:right w:w="20" w:type="dxa"/>
            </w:tcMar>
            <w:vAlign w:val="bottom"/>
          </w:tcPr>
          <w:p w14:paraId="5F2CD3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1F" w14:textId="77777777" w:rsidR="00E836FB" w:rsidRDefault="00E836FB">
            <w:pPr>
              <w:rPr>
                <w:rFonts w:ascii="宋体"/>
              </w:rPr>
            </w:pPr>
          </w:p>
        </w:tc>
        <w:tc>
          <w:tcPr>
            <w:tcW w:w="0" w:type="auto"/>
            <w:shd w:val="clear" w:color="auto" w:fill="auto"/>
            <w:vAlign w:val="bottom"/>
          </w:tcPr>
          <w:p w14:paraId="5F2CD320" w14:textId="77777777" w:rsidR="00E836FB" w:rsidRDefault="00E836FB">
            <w:pPr>
              <w:rPr>
                <w:rFonts w:ascii="宋体"/>
              </w:rPr>
            </w:pPr>
          </w:p>
        </w:tc>
        <w:tc>
          <w:tcPr>
            <w:tcW w:w="0" w:type="auto"/>
            <w:shd w:val="clear" w:color="auto" w:fill="auto"/>
            <w:vAlign w:val="bottom"/>
          </w:tcPr>
          <w:p w14:paraId="5F2CD321" w14:textId="77777777" w:rsidR="00E836FB" w:rsidRDefault="00E836FB">
            <w:pPr>
              <w:rPr>
                <w:rFonts w:ascii="宋体"/>
              </w:rPr>
            </w:pPr>
          </w:p>
        </w:tc>
        <w:tc>
          <w:tcPr>
            <w:tcW w:w="0" w:type="auto"/>
            <w:shd w:val="clear" w:color="auto" w:fill="auto"/>
            <w:vAlign w:val="bottom"/>
          </w:tcPr>
          <w:p w14:paraId="5F2CD322" w14:textId="77777777" w:rsidR="00E836FB" w:rsidRDefault="00E836FB">
            <w:pPr>
              <w:rPr>
                <w:rFonts w:ascii="宋体"/>
              </w:rPr>
            </w:pPr>
          </w:p>
        </w:tc>
        <w:tc>
          <w:tcPr>
            <w:tcW w:w="0" w:type="auto"/>
            <w:shd w:val="clear" w:color="auto" w:fill="auto"/>
            <w:vAlign w:val="bottom"/>
          </w:tcPr>
          <w:p w14:paraId="5F2CD323" w14:textId="77777777" w:rsidR="00E836FB" w:rsidRDefault="00E836FB">
            <w:pPr>
              <w:rPr>
                <w:rFonts w:ascii="宋体"/>
              </w:rPr>
            </w:pPr>
          </w:p>
        </w:tc>
        <w:tc>
          <w:tcPr>
            <w:tcW w:w="0" w:type="auto"/>
            <w:shd w:val="clear" w:color="auto" w:fill="auto"/>
            <w:vAlign w:val="bottom"/>
          </w:tcPr>
          <w:p w14:paraId="5F2CD324" w14:textId="77777777" w:rsidR="00E836FB" w:rsidRDefault="00E836FB">
            <w:pPr>
              <w:rPr>
                <w:rFonts w:ascii="宋体"/>
              </w:rPr>
            </w:pPr>
          </w:p>
        </w:tc>
        <w:tc>
          <w:tcPr>
            <w:tcW w:w="0" w:type="auto"/>
            <w:shd w:val="clear" w:color="auto" w:fill="auto"/>
            <w:vAlign w:val="bottom"/>
          </w:tcPr>
          <w:p w14:paraId="5F2CD325" w14:textId="77777777" w:rsidR="00E836FB" w:rsidRDefault="00E836FB">
            <w:pPr>
              <w:rPr>
                <w:rFonts w:ascii="宋体"/>
              </w:rPr>
            </w:pPr>
          </w:p>
        </w:tc>
        <w:tc>
          <w:tcPr>
            <w:tcW w:w="0" w:type="auto"/>
            <w:shd w:val="clear" w:color="auto" w:fill="auto"/>
            <w:vAlign w:val="bottom"/>
          </w:tcPr>
          <w:p w14:paraId="5F2CD326" w14:textId="77777777" w:rsidR="00E836FB" w:rsidRDefault="00E836FB">
            <w:pPr>
              <w:rPr>
                <w:rFonts w:ascii="宋体"/>
              </w:rPr>
            </w:pPr>
          </w:p>
        </w:tc>
        <w:tc>
          <w:tcPr>
            <w:tcW w:w="0" w:type="auto"/>
            <w:shd w:val="clear" w:color="auto" w:fill="auto"/>
            <w:vAlign w:val="bottom"/>
          </w:tcPr>
          <w:p w14:paraId="5F2CD327" w14:textId="77777777" w:rsidR="00E836FB" w:rsidRDefault="00E836FB">
            <w:pPr>
              <w:rPr>
                <w:rFonts w:ascii="宋体"/>
              </w:rPr>
            </w:pPr>
          </w:p>
        </w:tc>
        <w:tc>
          <w:tcPr>
            <w:tcW w:w="0" w:type="auto"/>
            <w:shd w:val="clear" w:color="auto" w:fill="auto"/>
            <w:vAlign w:val="bottom"/>
          </w:tcPr>
          <w:p w14:paraId="5F2CD328" w14:textId="77777777" w:rsidR="00E836FB" w:rsidRDefault="00E836FB">
            <w:pPr>
              <w:rPr>
                <w:rFonts w:ascii="宋体"/>
              </w:rPr>
            </w:pPr>
          </w:p>
        </w:tc>
        <w:tc>
          <w:tcPr>
            <w:tcW w:w="0" w:type="auto"/>
            <w:shd w:val="clear" w:color="auto" w:fill="auto"/>
            <w:vAlign w:val="bottom"/>
          </w:tcPr>
          <w:p w14:paraId="5F2CD329" w14:textId="77777777" w:rsidR="00E836FB" w:rsidRDefault="00E836FB">
            <w:pPr>
              <w:rPr>
                <w:rFonts w:ascii="宋体"/>
              </w:rPr>
            </w:pPr>
          </w:p>
        </w:tc>
        <w:tc>
          <w:tcPr>
            <w:tcW w:w="0" w:type="auto"/>
            <w:shd w:val="clear" w:color="auto" w:fill="auto"/>
            <w:vAlign w:val="bottom"/>
          </w:tcPr>
          <w:p w14:paraId="5F2CD32A" w14:textId="77777777" w:rsidR="00E836FB" w:rsidRDefault="00E836FB">
            <w:pPr>
              <w:rPr>
                <w:rFonts w:ascii="宋体"/>
              </w:rPr>
            </w:pPr>
          </w:p>
        </w:tc>
        <w:tc>
          <w:tcPr>
            <w:tcW w:w="0" w:type="auto"/>
            <w:shd w:val="clear" w:color="auto" w:fill="auto"/>
            <w:vAlign w:val="bottom"/>
          </w:tcPr>
          <w:p w14:paraId="5F2CD32B" w14:textId="77777777" w:rsidR="00E836FB" w:rsidRDefault="00E836FB">
            <w:pPr>
              <w:rPr>
                <w:rFonts w:ascii="宋体"/>
              </w:rPr>
            </w:pPr>
          </w:p>
        </w:tc>
        <w:tc>
          <w:tcPr>
            <w:tcW w:w="0" w:type="auto"/>
            <w:shd w:val="clear" w:color="auto" w:fill="auto"/>
            <w:vAlign w:val="bottom"/>
          </w:tcPr>
          <w:p w14:paraId="5F2CD32C" w14:textId="77777777" w:rsidR="00E836FB" w:rsidRDefault="00E836FB">
            <w:pPr>
              <w:rPr>
                <w:rFonts w:ascii="宋体"/>
              </w:rPr>
            </w:pPr>
          </w:p>
        </w:tc>
        <w:tc>
          <w:tcPr>
            <w:tcW w:w="0" w:type="auto"/>
            <w:shd w:val="clear" w:color="auto" w:fill="auto"/>
            <w:vAlign w:val="bottom"/>
          </w:tcPr>
          <w:p w14:paraId="5F2CD32D" w14:textId="77777777" w:rsidR="00E836FB" w:rsidRDefault="00E836FB">
            <w:pPr>
              <w:rPr>
                <w:rFonts w:ascii="宋体"/>
              </w:rPr>
            </w:pPr>
          </w:p>
        </w:tc>
        <w:tc>
          <w:tcPr>
            <w:tcW w:w="0" w:type="auto"/>
            <w:shd w:val="clear" w:color="auto" w:fill="auto"/>
            <w:vAlign w:val="bottom"/>
          </w:tcPr>
          <w:p w14:paraId="5F2CD32E" w14:textId="77777777" w:rsidR="00E836FB" w:rsidRDefault="00E836FB">
            <w:pPr>
              <w:rPr>
                <w:rFonts w:ascii="宋体"/>
              </w:rPr>
            </w:pPr>
          </w:p>
        </w:tc>
        <w:tc>
          <w:tcPr>
            <w:tcW w:w="0" w:type="auto"/>
            <w:shd w:val="clear" w:color="auto" w:fill="auto"/>
            <w:vAlign w:val="bottom"/>
          </w:tcPr>
          <w:p w14:paraId="5F2CD32F" w14:textId="77777777" w:rsidR="00E836FB" w:rsidRDefault="00E836FB">
            <w:pPr>
              <w:rPr>
                <w:rFonts w:ascii="宋体"/>
              </w:rPr>
            </w:pPr>
          </w:p>
        </w:tc>
        <w:tc>
          <w:tcPr>
            <w:tcW w:w="0" w:type="auto"/>
            <w:shd w:val="clear" w:color="auto" w:fill="auto"/>
            <w:vAlign w:val="bottom"/>
          </w:tcPr>
          <w:p w14:paraId="5F2CD330" w14:textId="77777777" w:rsidR="00E836FB" w:rsidRDefault="00E836FB">
            <w:pPr>
              <w:rPr>
                <w:rFonts w:ascii="宋体"/>
              </w:rPr>
            </w:pPr>
          </w:p>
        </w:tc>
        <w:tc>
          <w:tcPr>
            <w:tcW w:w="0" w:type="auto"/>
            <w:shd w:val="clear" w:color="auto" w:fill="auto"/>
            <w:vAlign w:val="bottom"/>
          </w:tcPr>
          <w:p w14:paraId="5F2CD331" w14:textId="77777777" w:rsidR="00E836FB" w:rsidRDefault="00E836FB">
            <w:pPr>
              <w:rPr>
                <w:rFonts w:ascii="宋体"/>
              </w:rPr>
            </w:pPr>
          </w:p>
        </w:tc>
        <w:tc>
          <w:tcPr>
            <w:tcW w:w="0" w:type="auto"/>
            <w:shd w:val="clear" w:color="auto" w:fill="auto"/>
            <w:vAlign w:val="bottom"/>
          </w:tcPr>
          <w:p w14:paraId="5F2CD332" w14:textId="77777777" w:rsidR="00E836FB" w:rsidRDefault="00E836FB">
            <w:pPr>
              <w:rPr>
                <w:rFonts w:ascii="宋体"/>
              </w:rPr>
            </w:pPr>
          </w:p>
        </w:tc>
        <w:tc>
          <w:tcPr>
            <w:tcW w:w="0" w:type="auto"/>
            <w:shd w:val="clear" w:color="auto" w:fill="auto"/>
            <w:vAlign w:val="bottom"/>
          </w:tcPr>
          <w:p w14:paraId="5F2CD333" w14:textId="77777777" w:rsidR="00E836FB" w:rsidRDefault="00E836FB">
            <w:pPr>
              <w:rPr>
                <w:rFonts w:ascii="宋体"/>
              </w:rPr>
            </w:pPr>
          </w:p>
        </w:tc>
        <w:tc>
          <w:tcPr>
            <w:tcW w:w="0" w:type="auto"/>
            <w:shd w:val="clear" w:color="auto" w:fill="auto"/>
            <w:vAlign w:val="bottom"/>
          </w:tcPr>
          <w:p w14:paraId="5F2CD334" w14:textId="77777777" w:rsidR="00E836FB" w:rsidRDefault="00E836FB">
            <w:pPr>
              <w:rPr>
                <w:rFonts w:ascii="宋体"/>
              </w:rPr>
            </w:pPr>
          </w:p>
        </w:tc>
        <w:tc>
          <w:tcPr>
            <w:tcW w:w="0" w:type="auto"/>
            <w:shd w:val="clear" w:color="auto" w:fill="auto"/>
            <w:vAlign w:val="bottom"/>
          </w:tcPr>
          <w:p w14:paraId="5F2CD335" w14:textId="77777777" w:rsidR="00E836FB" w:rsidRDefault="00E836FB">
            <w:pPr>
              <w:rPr>
                <w:rFonts w:ascii="宋体"/>
              </w:rPr>
            </w:pPr>
          </w:p>
        </w:tc>
        <w:tc>
          <w:tcPr>
            <w:tcW w:w="0" w:type="auto"/>
            <w:shd w:val="clear" w:color="auto" w:fill="auto"/>
            <w:vAlign w:val="bottom"/>
          </w:tcPr>
          <w:p w14:paraId="5F2CD336" w14:textId="77777777" w:rsidR="00E836FB" w:rsidRDefault="00E836FB">
            <w:pPr>
              <w:rPr>
                <w:rFonts w:ascii="宋体"/>
              </w:rPr>
            </w:pPr>
          </w:p>
        </w:tc>
        <w:tc>
          <w:tcPr>
            <w:tcW w:w="0" w:type="auto"/>
            <w:shd w:val="clear" w:color="auto" w:fill="auto"/>
            <w:vAlign w:val="bottom"/>
          </w:tcPr>
          <w:p w14:paraId="5F2CD337" w14:textId="77777777" w:rsidR="00E836FB" w:rsidRDefault="00E836FB">
            <w:pPr>
              <w:rPr>
                <w:rFonts w:ascii="宋体"/>
              </w:rPr>
            </w:pPr>
          </w:p>
        </w:tc>
        <w:tc>
          <w:tcPr>
            <w:tcW w:w="0" w:type="auto"/>
            <w:shd w:val="clear" w:color="auto" w:fill="auto"/>
            <w:vAlign w:val="bottom"/>
          </w:tcPr>
          <w:p w14:paraId="5F2CD338" w14:textId="77777777" w:rsidR="00E836FB" w:rsidRDefault="00E836FB">
            <w:pPr>
              <w:rPr>
                <w:rFonts w:ascii="宋体"/>
              </w:rPr>
            </w:pPr>
          </w:p>
        </w:tc>
        <w:tc>
          <w:tcPr>
            <w:tcW w:w="0" w:type="auto"/>
            <w:shd w:val="clear" w:color="auto" w:fill="auto"/>
            <w:vAlign w:val="bottom"/>
          </w:tcPr>
          <w:p w14:paraId="5F2CD339" w14:textId="77777777" w:rsidR="00E836FB" w:rsidRDefault="00E836FB">
            <w:pPr>
              <w:rPr>
                <w:rFonts w:ascii="宋体"/>
              </w:rPr>
            </w:pPr>
          </w:p>
        </w:tc>
        <w:tc>
          <w:tcPr>
            <w:tcW w:w="0" w:type="auto"/>
            <w:shd w:val="clear" w:color="auto" w:fill="auto"/>
            <w:vAlign w:val="bottom"/>
          </w:tcPr>
          <w:p w14:paraId="5F2CD33A" w14:textId="77777777" w:rsidR="00E836FB" w:rsidRDefault="00E836FB">
            <w:pPr>
              <w:rPr>
                <w:rFonts w:ascii="宋体"/>
              </w:rPr>
            </w:pPr>
          </w:p>
        </w:tc>
      </w:tr>
      <w:tr w:rsidR="00E836FB" w14:paraId="5F2CD360" w14:textId="77777777">
        <w:trPr>
          <w:trHeight w:val="60"/>
        </w:trPr>
        <w:tc>
          <w:tcPr>
            <w:tcW w:w="0" w:type="auto"/>
            <w:gridSpan w:val="3"/>
            <w:shd w:val="clear" w:color="auto" w:fill="auto"/>
            <w:tcMar>
              <w:top w:w="0" w:type="dxa"/>
              <w:left w:w="20" w:type="dxa"/>
              <w:bottom w:w="0" w:type="dxa"/>
              <w:right w:w="20" w:type="dxa"/>
            </w:tcMar>
            <w:vAlign w:val="bottom"/>
          </w:tcPr>
          <w:p w14:paraId="5F2CD3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3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3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4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344" w14:textId="77777777" w:rsidR="00E836FB" w:rsidRDefault="00E836FB">
            <w:pPr>
              <w:rPr>
                <w:rFonts w:ascii="宋体"/>
              </w:rPr>
            </w:pPr>
          </w:p>
        </w:tc>
        <w:tc>
          <w:tcPr>
            <w:tcW w:w="0" w:type="auto"/>
            <w:shd w:val="clear" w:color="auto" w:fill="auto"/>
            <w:vAlign w:val="bottom"/>
          </w:tcPr>
          <w:p w14:paraId="5F2CD345" w14:textId="77777777" w:rsidR="00E836FB" w:rsidRDefault="00E836FB">
            <w:pPr>
              <w:rPr>
                <w:rFonts w:ascii="宋体"/>
              </w:rPr>
            </w:pPr>
          </w:p>
        </w:tc>
        <w:tc>
          <w:tcPr>
            <w:tcW w:w="0" w:type="auto"/>
            <w:shd w:val="clear" w:color="auto" w:fill="auto"/>
            <w:vAlign w:val="bottom"/>
          </w:tcPr>
          <w:p w14:paraId="5F2CD346" w14:textId="77777777" w:rsidR="00E836FB" w:rsidRDefault="00E836FB">
            <w:pPr>
              <w:rPr>
                <w:rFonts w:ascii="宋体"/>
              </w:rPr>
            </w:pPr>
          </w:p>
        </w:tc>
        <w:tc>
          <w:tcPr>
            <w:tcW w:w="0" w:type="auto"/>
            <w:shd w:val="clear" w:color="auto" w:fill="auto"/>
            <w:vAlign w:val="bottom"/>
          </w:tcPr>
          <w:p w14:paraId="5F2CD347" w14:textId="77777777" w:rsidR="00E836FB" w:rsidRDefault="00E836FB">
            <w:pPr>
              <w:rPr>
                <w:rFonts w:ascii="宋体"/>
              </w:rPr>
            </w:pPr>
          </w:p>
        </w:tc>
        <w:tc>
          <w:tcPr>
            <w:tcW w:w="0" w:type="auto"/>
            <w:shd w:val="clear" w:color="auto" w:fill="auto"/>
            <w:vAlign w:val="bottom"/>
          </w:tcPr>
          <w:p w14:paraId="5F2CD348" w14:textId="77777777" w:rsidR="00E836FB" w:rsidRDefault="00E836FB">
            <w:pPr>
              <w:rPr>
                <w:rFonts w:ascii="宋体"/>
              </w:rPr>
            </w:pPr>
          </w:p>
        </w:tc>
        <w:tc>
          <w:tcPr>
            <w:tcW w:w="0" w:type="auto"/>
            <w:shd w:val="clear" w:color="auto" w:fill="auto"/>
            <w:vAlign w:val="bottom"/>
          </w:tcPr>
          <w:p w14:paraId="5F2CD349" w14:textId="77777777" w:rsidR="00E836FB" w:rsidRDefault="00E836FB">
            <w:pPr>
              <w:rPr>
                <w:rFonts w:ascii="宋体"/>
              </w:rPr>
            </w:pPr>
          </w:p>
        </w:tc>
        <w:tc>
          <w:tcPr>
            <w:tcW w:w="0" w:type="auto"/>
            <w:shd w:val="clear" w:color="auto" w:fill="auto"/>
            <w:vAlign w:val="bottom"/>
          </w:tcPr>
          <w:p w14:paraId="5F2CD34A" w14:textId="77777777" w:rsidR="00E836FB" w:rsidRDefault="00E836FB">
            <w:pPr>
              <w:rPr>
                <w:rFonts w:ascii="宋体"/>
              </w:rPr>
            </w:pPr>
          </w:p>
        </w:tc>
        <w:tc>
          <w:tcPr>
            <w:tcW w:w="0" w:type="auto"/>
            <w:shd w:val="clear" w:color="auto" w:fill="auto"/>
            <w:vAlign w:val="bottom"/>
          </w:tcPr>
          <w:p w14:paraId="5F2CD34B" w14:textId="77777777" w:rsidR="00E836FB" w:rsidRDefault="00E836FB">
            <w:pPr>
              <w:rPr>
                <w:rFonts w:ascii="宋体"/>
              </w:rPr>
            </w:pPr>
          </w:p>
        </w:tc>
        <w:tc>
          <w:tcPr>
            <w:tcW w:w="0" w:type="auto"/>
            <w:shd w:val="clear" w:color="auto" w:fill="auto"/>
            <w:vAlign w:val="bottom"/>
          </w:tcPr>
          <w:p w14:paraId="5F2CD34C" w14:textId="77777777" w:rsidR="00E836FB" w:rsidRDefault="00E836FB">
            <w:pPr>
              <w:rPr>
                <w:rFonts w:ascii="宋体"/>
              </w:rPr>
            </w:pPr>
          </w:p>
        </w:tc>
        <w:tc>
          <w:tcPr>
            <w:tcW w:w="0" w:type="auto"/>
            <w:shd w:val="clear" w:color="auto" w:fill="auto"/>
            <w:vAlign w:val="bottom"/>
          </w:tcPr>
          <w:p w14:paraId="5F2CD34D" w14:textId="77777777" w:rsidR="00E836FB" w:rsidRDefault="00E836FB">
            <w:pPr>
              <w:rPr>
                <w:rFonts w:ascii="宋体"/>
              </w:rPr>
            </w:pPr>
          </w:p>
        </w:tc>
        <w:tc>
          <w:tcPr>
            <w:tcW w:w="0" w:type="auto"/>
            <w:shd w:val="clear" w:color="auto" w:fill="auto"/>
            <w:vAlign w:val="bottom"/>
          </w:tcPr>
          <w:p w14:paraId="5F2CD34E" w14:textId="77777777" w:rsidR="00E836FB" w:rsidRDefault="00E836FB">
            <w:pPr>
              <w:rPr>
                <w:rFonts w:ascii="宋体"/>
              </w:rPr>
            </w:pPr>
          </w:p>
        </w:tc>
        <w:tc>
          <w:tcPr>
            <w:tcW w:w="0" w:type="auto"/>
            <w:shd w:val="clear" w:color="auto" w:fill="auto"/>
            <w:vAlign w:val="bottom"/>
          </w:tcPr>
          <w:p w14:paraId="5F2CD34F" w14:textId="77777777" w:rsidR="00E836FB" w:rsidRDefault="00E836FB">
            <w:pPr>
              <w:rPr>
                <w:rFonts w:ascii="宋体"/>
              </w:rPr>
            </w:pPr>
          </w:p>
        </w:tc>
        <w:tc>
          <w:tcPr>
            <w:tcW w:w="0" w:type="auto"/>
            <w:shd w:val="clear" w:color="auto" w:fill="auto"/>
            <w:vAlign w:val="bottom"/>
          </w:tcPr>
          <w:p w14:paraId="5F2CD350" w14:textId="77777777" w:rsidR="00E836FB" w:rsidRDefault="00E836FB">
            <w:pPr>
              <w:rPr>
                <w:rFonts w:ascii="宋体"/>
              </w:rPr>
            </w:pPr>
          </w:p>
        </w:tc>
        <w:tc>
          <w:tcPr>
            <w:tcW w:w="0" w:type="auto"/>
            <w:shd w:val="clear" w:color="auto" w:fill="auto"/>
            <w:vAlign w:val="bottom"/>
          </w:tcPr>
          <w:p w14:paraId="5F2CD351" w14:textId="77777777" w:rsidR="00E836FB" w:rsidRDefault="00E836FB">
            <w:pPr>
              <w:rPr>
                <w:rFonts w:ascii="宋体"/>
              </w:rPr>
            </w:pPr>
          </w:p>
        </w:tc>
        <w:tc>
          <w:tcPr>
            <w:tcW w:w="0" w:type="auto"/>
            <w:shd w:val="clear" w:color="auto" w:fill="auto"/>
            <w:vAlign w:val="bottom"/>
          </w:tcPr>
          <w:p w14:paraId="5F2CD352" w14:textId="77777777" w:rsidR="00E836FB" w:rsidRDefault="00E836FB">
            <w:pPr>
              <w:rPr>
                <w:rFonts w:ascii="宋体"/>
              </w:rPr>
            </w:pPr>
          </w:p>
        </w:tc>
        <w:tc>
          <w:tcPr>
            <w:tcW w:w="0" w:type="auto"/>
            <w:shd w:val="clear" w:color="auto" w:fill="auto"/>
            <w:vAlign w:val="bottom"/>
          </w:tcPr>
          <w:p w14:paraId="5F2CD353" w14:textId="77777777" w:rsidR="00E836FB" w:rsidRDefault="00E836FB">
            <w:pPr>
              <w:rPr>
                <w:rFonts w:ascii="宋体"/>
              </w:rPr>
            </w:pPr>
          </w:p>
        </w:tc>
        <w:tc>
          <w:tcPr>
            <w:tcW w:w="0" w:type="auto"/>
            <w:shd w:val="clear" w:color="auto" w:fill="auto"/>
            <w:vAlign w:val="bottom"/>
          </w:tcPr>
          <w:p w14:paraId="5F2CD354" w14:textId="77777777" w:rsidR="00E836FB" w:rsidRDefault="00E836FB">
            <w:pPr>
              <w:rPr>
                <w:rFonts w:ascii="宋体"/>
              </w:rPr>
            </w:pPr>
          </w:p>
        </w:tc>
        <w:tc>
          <w:tcPr>
            <w:tcW w:w="0" w:type="auto"/>
            <w:shd w:val="clear" w:color="auto" w:fill="auto"/>
            <w:vAlign w:val="bottom"/>
          </w:tcPr>
          <w:p w14:paraId="5F2CD355" w14:textId="77777777" w:rsidR="00E836FB" w:rsidRDefault="00E836FB">
            <w:pPr>
              <w:rPr>
                <w:rFonts w:ascii="宋体"/>
              </w:rPr>
            </w:pPr>
          </w:p>
        </w:tc>
        <w:tc>
          <w:tcPr>
            <w:tcW w:w="0" w:type="auto"/>
            <w:shd w:val="clear" w:color="auto" w:fill="auto"/>
            <w:vAlign w:val="bottom"/>
          </w:tcPr>
          <w:p w14:paraId="5F2CD356" w14:textId="77777777" w:rsidR="00E836FB" w:rsidRDefault="00E836FB">
            <w:pPr>
              <w:rPr>
                <w:rFonts w:ascii="宋体"/>
              </w:rPr>
            </w:pPr>
          </w:p>
        </w:tc>
        <w:tc>
          <w:tcPr>
            <w:tcW w:w="0" w:type="auto"/>
            <w:shd w:val="clear" w:color="auto" w:fill="auto"/>
            <w:vAlign w:val="bottom"/>
          </w:tcPr>
          <w:p w14:paraId="5F2CD357" w14:textId="77777777" w:rsidR="00E836FB" w:rsidRDefault="00E836FB">
            <w:pPr>
              <w:rPr>
                <w:rFonts w:ascii="宋体"/>
              </w:rPr>
            </w:pPr>
          </w:p>
        </w:tc>
        <w:tc>
          <w:tcPr>
            <w:tcW w:w="0" w:type="auto"/>
            <w:shd w:val="clear" w:color="auto" w:fill="auto"/>
            <w:vAlign w:val="bottom"/>
          </w:tcPr>
          <w:p w14:paraId="5F2CD358" w14:textId="77777777" w:rsidR="00E836FB" w:rsidRDefault="00E836FB">
            <w:pPr>
              <w:rPr>
                <w:rFonts w:ascii="宋体"/>
              </w:rPr>
            </w:pPr>
          </w:p>
        </w:tc>
        <w:tc>
          <w:tcPr>
            <w:tcW w:w="0" w:type="auto"/>
            <w:shd w:val="clear" w:color="auto" w:fill="auto"/>
            <w:vAlign w:val="bottom"/>
          </w:tcPr>
          <w:p w14:paraId="5F2CD359" w14:textId="77777777" w:rsidR="00E836FB" w:rsidRDefault="00E836FB">
            <w:pPr>
              <w:rPr>
                <w:rFonts w:ascii="宋体"/>
              </w:rPr>
            </w:pPr>
          </w:p>
        </w:tc>
        <w:tc>
          <w:tcPr>
            <w:tcW w:w="0" w:type="auto"/>
            <w:shd w:val="clear" w:color="auto" w:fill="auto"/>
            <w:vAlign w:val="bottom"/>
          </w:tcPr>
          <w:p w14:paraId="5F2CD35A" w14:textId="77777777" w:rsidR="00E836FB" w:rsidRDefault="00E836FB">
            <w:pPr>
              <w:rPr>
                <w:rFonts w:ascii="宋体"/>
              </w:rPr>
            </w:pPr>
          </w:p>
        </w:tc>
        <w:tc>
          <w:tcPr>
            <w:tcW w:w="0" w:type="auto"/>
            <w:shd w:val="clear" w:color="auto" w:fill="auto"/>
            <w:vAlign w:val="bottom"/>
          </w:tcPr>
          <w:p w14:paraId="5F2CD35B" w14:textId="77777777" w:rsidR="00E836FB" w:rsidRDefault="00E836FB">
            <w:pPr>
              <w:rPr>
                <w:rFonts w:ascii="宋体"/>
              </w:rPr>
            </w:pPr>
          </w:p>
        </w:tc>
        <w:tc>
          <w:tcPr>
            <w:tcW w:w="0" w:type="auto"/>
            <w:shd w:val="clear" w:color="auto" w:fill="auto"/>
            <w:vAlign w:val="bottom"/>
          </w:tcPr>
          <w:p w14:paraId="5F2CD35C" w14:textId="77777777" w:rsidR="00E836FB" w:rsidRDefault="00E836FB">
            <w:pPr>
              <w:rPr>
                <w:rFonts w:ascii="宋体"/>
              </w:rPr>
            </w:pPr>
          </w:p>
        </w:tc>
        <w:tc>
          <w:tcPr>
            <w:tcW w:w="0" w:type="auto"/>
            <w:shd w:val="clear" w:color="auto" w:fill="auto"/>
            <w:vAlign w:val="bottom"/>
          </w:tcPr>
          <w:p w14:paraId="5F2CD35D" w14:textId="77777777" w:rsidR="00E836FB" w:rsidRDefault="00E836FB">
            <w:pPr>
              <w:rPr>
                <w:rFonts w:ascii="宋体"/>
              </w:rPr>
            </w:pPr>
          </w:p>
        </w:tc>
        <w:tc>
          <w:tcPr>
            <w:tcW w:w="0" w:type="auto"/>
            <w:shd w:val="clear" w:color="auto" w:fill="auto"/>
            <w:vAlign w:val="bottom"/>
          </w:tcPr>
          <w:p w14:paraId="5F2CD35E" w14:textId="77777777" w:rsidR="00E836FB" w:rsidRDefault="00E836FB">
            <w:pPr>
              <w:rPr>
                <w:rFonts w:ascii="宋体"/>
              </w:rPr>
            </w:pPr>
          </w:p>
        </w:tc>
        <w:tc>
          <w:tcPr>
            <w:tcW w:w="0" w:type="auto"/>
            <w:shd w:val="clear" w:color="auto" w:fill="auto"/>
            <w:vAlign w:val="bottom"/>
          </w:tcPr>
          <w:p w14:paraId="5F2CD35F" w14:textId="77777777" w:rsidR="00E836FB" w:rsidRDefault="00E836FB">
            <w:pPr>
              <w:rPr>
                <w:rFonts w:ascii="宋体"/>
              </w:rPr>
            </w:pPr>
          </w:p>
        </w:tc>
      </w:tr>
      <w:tr w:rsidR="00E836FB" w14:paraId="5F2CD395" w14:textId="77777777">
        <w:trPr>
          <w:hidden/>
        </w:trPr>
        <w:tc>
          <w:tcPr>
            <w:tcW w:w="0" w:type="auto"/>
            <w:gridSpan w:val="3"/>
            <w:shd w:val="clear" w:color="auto" w:fill="auto"/>
            <w:vAlign w:val="bottom"/>
          </w:tcPr>
          <w:p w14:paraId="5F2CD361" w14:textId="77777777" w:rsidR="00E836FB" w:rsidRDefault="00E836FB">
            <w:pPr>
              <w:rPr>
                <w:rFonts w:ascii="宋体"/>
                <w:vanish/>
              </w:rPr>
            </w:pPr>
          </w:p>
        </w:tc>
        <w:tc>
          <w:tcPr>
            <w:tcW w:w="0" w:type="auto"/>
            <w:shd w:val="clear" w:color="auto" w:fill="auto"/>
            <w:vAlign w:val="bottom"/>
          </w:tcPr>
          <w:p w14:paraId="5F2CD362" w14:textId="77777777" w:rsidR="00E836FB" w:rsidRDefault="00E836FB">
            <w:pPr>
              <w:rPr>
                <w:rFonts w:ascii="宋体"/>
              </w:rPr>
            </w:pPr>
          </w:p>
        </w:tc>
        <w:tc>
          <w:tcPr>
            <w:tcW w:w="0" w:type="auto"/>
            <w:shd w:val="clear" w:color="auto" w:fill="auto"/>
            <w:vAlign w:val="bottom"/>
          </w:tcPr>
          <w:p w14:paraId="5F2CD363" w14:textId="77777777" w:rsidR="00E836FB" w:rsidRDefault="00E836FB">
            <w:pPr>
              <w:rPr>
                <w:rFonts w:ascii="宋体"/>
              </w:rPr>
            </w:pPr>
          </w:p>
        </w:tc>
        <w:tc>
          <w:tcPr>
            <w:tcW w:w="0" w:type="auto"/>
            <w:shd w:val="clear" w:color="auto" w:fill="auto"/>
            <w:vAlign w:val="bottom"/>
          </w:tcPr>
          <w:p w14:paraId="5F2CD364" w14:textId="77777777" w:rsidR="00E836FB" w:rsidRDefault="00E836FB">
            <w:pPr>
              <w:rPr>
                <w:rFonts w:ascii="宋体"/>
              </w:rPr>
            </w:pPr>
          </w:p>
        </w:tc>
        <w:tc>
          <w:tcPr>
            <w:tcW w:w="0" w:type="auto"/>
            <w:shd w:val="clear" w:color="auto" w:fill="auto"/>
            <w:vAlign w:val="bottom"/>
          </w:tcPr>
          <w:p w14:paraId="5F2CD365" w14:textId="77777777" w:rsidR="00E836FB" w:rsidRDefault="00E836FB">
            <w:pPr>
              <w:rPr>
                <w:rFonts w:ascii="宋体"/>
              </w:rPr>
            </w:pPr>
          </w:p>
        </w:tc>
        <w:tc>
          <w:tcPr>
            <w:tcW w:w="0" w:type="auto"/>
            <w:shd w:val="clear" w:color="auto" w:fill="auto"/>
            <w:vAlign w:val="bottom"/>
          </w:tcPr>
          <w:p w14:paraId="5F2CD366" w14:textId="77777777" w:rsidR="00E836FB" w:rsidRDefault="00E836FB">
            <w:pPr>
              <w:rPr>
                <w:rFonts w:ascii="宋体"/>
              </w:rPr>
            </w:pPr>
          </w:p>
        </w:tc>
        <w:tc>
          <w:tcPr>
            <w:tcW w:w="0" w:type="auto"/>
            <w:shd w:val="clear" w:color="auto" w:fill="auto"/>
            <w:vAlign w:val="bottom"/>
          </w:tcPr>
          <w:p w14:paraId="5F2CD367" w14:textId="77777777" w:rsidR="00E836FB" w:rsidRDefault="00E836FB">
            <w:pPr>
              <w:rPr>
                <w:rFonts w:ascii="宋体"/>
              </w:rPr>
            </w:pPr>
          </w:p>
        </w:tc>
        <w:tc>
          <w:tcPr>
            <w:tcW w:w="0" w:type="auto"/>
            <w:shd w:val="clear" w:color="auto" w:fill="auto"/>
            <w:vAlign w:val="bottom"/>
          </w:tcPr>
          <w:p w14:paraId="5F2CD368" w14:textId="77777777" w:rsidR="00E836FB" w:rsidRDefault="00E836FB">
            <w:pPr>
              <w:rPr>
                <w:rFonts w:ascii="宋体"/>
              </w:rPr>
            </w:pPr>
          </w:p>
        </w:tc>
        <w:tc>
          <w:tcPr>
            <w:tcW w:w="0" w:type="auto"/>
            <w:shd w:val="clear" w:color="auto" w:fill="auto"/>
            <w:vAlign w:val="bottom"/>
          </w:tcPr>
          <w:p w14:paraId="5F2CD369" w14:textId="77777777" w:rsidR="00E836FB" w:rsidRDefault="00E836FB">
            <w:pPr>
              <w:rPr>
                <w:rFonts w:ascii="宋体"/>
              </w:rPr>
            </w:pPr>
          </w:p>
        </w:tc>
        <w:tc>
          <w:tcPr>
            <w:tcW w:w="0" w:type="auto"/>
            <w:shd w:val="clear" w:color="auto" w:fill="auto"/>
            <w:vAlign w:val="bottom"/>
          </w:tcPr>
          <w:p w14:paraId="5F2CD36A" w14:textId="77777777" w:rsidR="00E836FB" w:rsidRDefault="00E836FB">
            <w:pPr>
              <w:rPr>
                <w:rFonts w:ascii="宋体"/>
              </w:rPr>
            </w:pPr>
          </w:p>
        </w:tc>
        <w:tc>
          <w:tcPr>
            <w:tcW w:w="0" w:type="auto"/>
            <w:shd w:val="clear" w:color="auto" w:fill="auto"/>
            <w:vAlign w:val="bottom"/>
          </w:tcPr>
          <w:p w14:paraId="5F2CD36B" w14:textId="77777777" w:rsidR="00E836FB" w:rsidRDefault="00E836FB">
            <w:pPr>
              <w:rPr>
                <w:rFonts w:ascii="宋体"/>
              </w:rPr>
            </w:pPr>
          </w:p>
        </w:tc>
        <w:tc>
          <w:tcPr>
            <w:tcW w:w="0" w:type="auto"/>
            <w:shd w:val="clear" w:color="auto" w:fill="auto"/>
            <w:vAlign w:val="bottom"/>
          </w:tcPr>
          <w:p w14:paraId="5F2CD36C" w14:textId="77777777" w:rsidR="00E836FB" w:rsidRDefault="00E836FB">
            <w:pPr>
              <w:rPr>
                <w:rFonts w:ascii="宋体"/>
              </w:rPr>
            </w:pPr>
          </w:p>
        </w:tc>
        <w:tc>
          <w:tcPr>
            <w:tcW w:w="0" w:type="auto"/>
            <w:shd w:val="clear" w:color="auto" w:fill="auto"/>
            <w:vAlign w:val="bottom"/>
          </w:tcPr>
          <w:p w14:paraId="5F2CD36D" w14:textId="77777777" w:rsidR="00E836FB" w:rsidRDefault="00E836FB">
            <w:pPr>
              <w:rPr>
                <w:rFonts w:ascii="宋体"/>
              </w:rPr>
            </w:pPr>
          </w:p>
        </w:tc>
        <w:tc>
          <w:tcPr>
            <w:tcW w:w="0" w:type="auto"/>
            <w:shd w:val="clear" w:color="auto" w:fill="auto"/>
            <w:vAlign w:val="bottom"/>
          </w:tcPr>
          <w:p w14:paraId="5F2CD36E" w14:textId="77777777" w:rsidR="00E836FB" w:rsidRDefault="00E836FB">
            <w:pPr>
              <w:rPr>
                <w:rFonts w:ascii="宋体"/>
              </w:rPr>
            </w:pPr>
          </w:p>
        </w:tc>
        <w:tc>
          <w:tcPr>
            <w:tcW w:w="0" w:type="auto"/>
            <w:shd w:val="clear" w:color="auto" w:fill="auto"/>
            <w:vAlign w:val="bottom"/>
          </w:tcPr>
          <w:p w14:paraId="5F2CD36F" w14:textId="77777777" w:rsidR="00E836FB" w:rsidRDefault="00E836FB">
            <w:pPr>
              <w:rPr>
                <w:rFonts w:ascii="宋体"/>
              </w:rPr>
            </w:pPr>
          </w:p>
        </w:tc>
        <w:tc>
          <w:tcPr>
            <w:tcW w:w="0" w:type="auto"/>
            <w:shd w:val="clear" w:color="auto" w:fill="auto"/>
            <w:vAlign w:val="bottom"/>
          </w:tcPr>
          <w:p w14:paraId="5F2CD370" w14:textId="77777777" w:rsidR="00E836FB" w:rsidRDefault="00E836FB">
            <w:pPr>
              <w:rPr>
                <w:rFonts w:ascii="宋体"/>
              </w:rPr>
            </w:pPr>
          </w:p>
        </w:tc>
        <w:tc>
          <w:tcPr>
            <w:tcW w:w="0" w:type="auto"/>
            <w:shd w:val="clear" w:color="auto" w:fill="auto"/>
            <w:vAlign w:val="bottom"/>
          </w:tcPr>
          <w:p w14:paraId="5F2CD371" w14:textId="77777777" w:rsidR="00E836FB" w:rsidRDefault="00E836FB">
            <w:pPr>
              <w:rPr>
                <w:rFonts w:ascii="宋体"/>
              </w:rPr>
            </w:pPr>
          </w:p>
        </w:tc>
        <w:tc>
          <w:tcPr>
            <w:tcW w:w="0" w:type="auto"/>
            <w:shd w:val="clear" w:color="auto" w:fill="auto"/>
            <w:vAlign w:val="bottom"/>
          </w:tcPr>
          <w:p w14:paraId="5F2CD372" w14:textId="77777777" w:rsidR="00E836FB" w:rsidRDefault="00E836FB">
            <w:pPr>
              <w:rPr>
                <w:rFonts w:ascii="宋体"/>
              </w:rPr>
            </w:pPr>
          </w:p>
        </w:tc>
        <w:tc>
          <w:tcPr>
            <w:tcW w:w="0" w:type="auto"/>
            <w:shd w:val="clear" w:color="auto" w:fill="auto"/>
            <w:vAlign w:val="bottom"/>
          </w:tcPr>
          <w:p w14:paraId="5F2CD373" w14:textId="77777777" w:rsidR="00E836FB" w:rsidRDefault="00E836FB">
            <w:pPr>
              <w:rPr>
                <w:rFonts w:ascii="宋体"/>
              </w:rPr>
            </w:pPr>
          </w:p>
        </w:tc>
        <w:tc>
          <w:tcPr>
            <w:tcW w:w="0" w:type="auto"/>
            <w:shd w:val="clear" w:color="auto" w:fill="auto"/>
            <w:vAlign w:val="bottom"/>
          </w:tcPr>
          <w:p w14:paraId="5F2CD374" w14:textId="77777777" w:rsidR="00E836FB" w:rsidRDefault="00E836FB">
            <w:pPr>
              <w:rPr>
                <w:rFonts w:ascii="宋体"/>
              </w:rPr>
            </w:pPr>
          </w:p>
        </w:tc>
        <w:tc>
          <w:tcPr>
            <w:tcW w:w="0" w:type="auto"/>
            <w:shd w:val="clear" w:color="auto" w:fill="auto"/>
            <w:vAlign w:val="bottom"/>
          </w:tcPr>
          <w:p w14:paraId="5F2CD375" w14:textId="77777777" w:rsidR="00E836FB" w:rsidRDefault="00E836FB">
            <w:pPr>
              <w:rPr>
                <w:rFonts w:ascii="宋体"/>
              </w:rPr>
            </w:pPr>
          </w:p>
        </w:tc>
        <w:tc>
          <w:tcPr>
            <w:tcW w:w="0" w:type="auto"/>
            <w:shd w:val="clear" w:color="auto" w:fill="auto"/>
            <w:vAlign w:val="bottom"/>
          </w:tcPr>
          <w:p w14:paraId="5F2CD376" w14:textId="77777777" w:rsidR="00E836FB" w:rsidRDefault="00E836FB">
            <w:pPr>
              <w:rPr>
                <w:rFonts w:ascii="宋体"/>
              </w:rPr>
            </w:pPr>
          </w:p>
        </w:tc>
        <w:tc>
          <w:tcPr>
            <w:tcW w:w="0" w:type="auto"/>
            <w:shd w:val="clear" w:color="auto" w:fill="auto"/>
            <w:vAlign w:val="bottom"/>
          </w:tcPr>
          <w:p w14:paraId="5F2CD377" w14:textId="77777777" w:rsidR="00E836FB" w:rsidRDefault="00E836FB">
            <w:pPr>
              <w:rPr>
                <w:rFonts w:ascii="宋体"/>
              </w:rPr>
            </w:pPr>
          </w:p>
        </w:tc>
        <w:tc>
          <w:tcPr>
            <w:tcW w:w="0" w:type="auto"/>
            <w:shd w:val="clear" w:color="auto" w:fill="auto"/>
            <w:vAlign w:val="bottom"/>
          </w:tcPr>
          <w:p w14:paraId="5F2CD378" w14:textId="77777777" w:rsidR="00E836FB" w:rsidRDefault="00E836FB">
            <w:pPr>
              <w:rPr>
                <w:rFonts w:ascii="宋体"/>
              </w:rPr>
            </w:pPr>
          </w:p>
        </w:tc>
        <w:tc>
          <w:tcPr>
            <w:tcW w:w="0" w:type="auto"/>
            <w:shd w:val="clear" w:color="auto" w:fill="auto"/>
            <w:vAlign w:val="bottom"/>
          </w:tcPr>
          <w:p w14:paraId="5F2CD379" w14:textId="77777777" w:rsidR="00E836FB" w:rsidRDefault="00E836FB">
            <w:pPr>
              <w:rPr>
                <w:rFonts w:ascii="宋体"/>
              </w:rPr>
            </w:pPr>
          </w:p>
        </w:tc>
        <w:tc>
          <w:tcPr>
            <w:tcW w:w="0" w:type="auto"/>
            <w:shd w:val="clear" w:color="auto" w:fill="auto"/>
            <w:vAlign w:val="bottom"/>
          </w:tcPr>
          <w:p w14:paraId="5F2CD37A" w14:textId="77777777" w:rsidR="00E836FB" w:rsidRDefault="00E836FB">
            <w:pPr>
              <w:rPr>
                <w:rFonts w:ascii="宋体"/>
              </w:rPr>
            </w:pPr>
          </w:p>
        </w:tc>
        <w:tc>
          <w:tcPr>
            <w:tcW w:w="0" w:type="auto"/>
            <w:shd w:val="clear" w:color="auto" w:fill="auto"/>
            <w:vAlign w:val="bottom"/>
          </w:tcPr>
          <w:p w14:paraId="5F2CD37B" w14:textId="77777777" w:rsidR="00E836FB" w:rsidRDefault="00E836FB">
            <w:pPr>
              <w:rPr>
                <w:rFonts w:ascii="宋体"/>
              </w:rPr>
            </w:pPr>
          </w:p>
        </w:tc>
        <w:tc>
          <w:tcPr>
            <w:tcW w:w="0" w:type="auto"/>
            <w:shd w:val="clear" w:color="auto" w:fill="auto"/>
            <w:vAlign w:val="bottom"/>
          </w:tcPr>
          <w:p w14:paraId="5F2CD37C" w14:textId="77777777" w:rsidR="00E836FB" w:rsidRDefault="00E836FB">
            <w:pPr>
              <w:rPr>
                <w:rFonts w:ascii="宋体"/>
              </w:rPr>
            </w:pPr>
          </w:p>
        </w:tc>
        <w:tc>
          <w:tcPr>
            <w:tcW w:w="0" w:type="auto"/>
            <w:shd w:val="clear" w:color="auto" w:fill="auto"/>
            <w:vAlign w:val="bottom"/>
          </w:tcPr>
          <w:p w14:paraId="5F2CD37D" w14:textId="77777777" w:rsidR="00E836FB" w:rsidRDefault="00E836FB">
            <w:pPr>
              <w:rPr>
                <w:rFonts w:ascii="宋体"/>
              </w:rPr>
            </w:pPr>
          </w:p>
        </w:tc>
        <w:tc>
          <w:tcPr>
            <w:tcW w:w="0" w:type="auto"/>
            <w:shd w:val="clear" w:color="auto" w:fill="auto"/>
            <w:vAlign w:val="bottom"/>
          </w:tcPr>
          <w:p w14:paraId="5F2CD37E" w14:textId="77777777" w:rsidR="00E836FB" w:rsidRDefault="00E836FB">
            <w:pPr>
              <w:rPr>
                <w:rFonts w:ascii="宋体"/>
              </w:rPr>
            </w:pPr>
          </w:p>
        </w:tc>
        <w:tc>
          <w:tcPr>
            <w:tcW w:w="0" w:type="auto"/>
            <w:shd w:val="clear" w:color="auto" w:fill="auto"/>
            <w:vAlign w:val="bottom"/>
          </w:tcPr>
          <w:p w14:paraId="5F2CD37F" w14:textId="77777777" w:rsidR="00E836FB" w:rsidRDefault="00E836FB">
            <w:pPr>
              <w:rPr>
                <w:rFonts w:ascii="宋体"/>
              </w:rPr>
            </w:pPr>
          </w:p>
        </w:tc>
        <w:tc>
          <w:tcPr>
            <w:tcW w:w="0" w:type="auto"/>
            <w:shd w:val="clear" w:color="auto" w:fill="auto"/>
            <w:vAlign w:val="bottom"/>
          </w:tcPr>
          <w:p w14:paraId="5F2CD380" w14:textId="77777777" w:rsidR="00E836FB" w:rsidRDefault="00E836FB">
            <w:pPr>
              <w:rPr>
                <w:rFonts w:ascii="宋体"/>
              </w:rPr>
            </w:pPr>
          </w:p>
        </w:tc>
        <w:tc>
          <w:tcPr>
            <w:tcW w:w="0" w:type="auto"/>
            <w:shd w:val="clear" w:color="auto" w:fill="auto"/>
            <w:vAlign w:val="bottom"/>
          </w:tcPr>
          <w:p w14:paraId="5F2CD381" w14:textId="77777777" w:rsidR="00E836FB" w:rsidRDefault="00E836FB">
            <w:pPr>
              <w:rPr>
                <w:rFonts w:ascii="宋体"/>
              </w:rPr>
            </w:pPr>
          </w:p>
        </w:tc>
        <w:tc>
          <w:tcPr>
            <w:tcW w:w="0" w:type="auto"/>
            <w:shd w:val="clear" w:color="auto" w:fill="auto"/>
            <w:vAlign w:val="bottom"/>
          </w:tcPr>
          <w:p w14:paraId="5F2CD382" w14:textId="77777777" w:rsidR="00E836FB" w:rsidRDefault="00E836FB">
            <w:pPr>
              <w:rPr>
                <w:rFonts w:ascii="宋体"/>
              </w:rPr>
            </w:pPr>
          </w:p>
        </w:tc>
        <w:tc>
          <w:tcPr>
            <w:tcW w:w="0" w:type="auto"/>
            <w:shd w:val="clear" w:color="auto" w:fill="auto"/>
            <w:vAlign w:val="bottom"/>
          </w:tcPr>
          <w:p w14:paraId="5F2CD383" w14:textId="77777777" w:rsidR="00E836FB" w:rsidRDefault="00E836FB">
            <w:pPr>
              <w:rPr>
                <w:rFonts w:ascii="宋体"/>
              </w:rPr>
            </w:pPr>
          </w:p>
        </w:tc>
        <w:tc>
          <w:tcPr>
            <w:tcW w:w="0" w:type="auto"/>
            <w:shd w:val="clear" w:color="auto" w:fill="auto"/>
            <w:vAlign w:val="bottom"/>
          </w:tcPr>
          <w:p w14:paraId="5F2CD384" w14:textId="77777777" w:rsidR="00E836FB" w:rsidRDefault="00E836FB">
            <w:pPr>
              <w:rPr>
                <w:rFonts w:ascii="宋体"/>
              </w:rPr>
            </w:pPr>
          </w:p>
        </w:tc>
        <w:tc>
          <w:tcPr>
            <w:tcW w:w="0" w:type="auto"/>
            <w:shd w:val="clear" w:color="auto" w:fill="auto"/>
            <w:vAlign w:val="bottom"/>
          </w:tcPr>
          <w:p w14:paraId="5F2CD385" w14:textId="77777777" w:rsidR="00E836FB" w:rsidRDefault="00E836FB">
            <w:pPr>
              <w:rPr>
                <w:rFonts w:ascii="宋体"/>
              </w:rPr>
            </w:pPr>
          </w:p>
        </w:tc>
        <w:tc>
          <w:tcPr>
            <w:tcW w:w="0" w:type="auto"/>
            <w:shd w:val="clear" w:color="auto" w:fill="auto"/>
            <w:vAlign w:val="bottom"/>
          </w:tcPr>
          <w:p w14:paraId="5F2CD386" w14:textId="77777777" w:rsidR="00E836FB" w:rsidRDefault="00E836FB">
            <w:pPr>
              <w:rPr>
                <w:rFonts w:ascii="宋体"/>
              </w:rPr>
            </w:pPr>
          </w:p>
        </w:tc>
        <w:tc>
          <w:tcPr>
            <w:tcW w:w="0" w:type="auto"/>
            <w:shd w:val="clear" w:color="auto" w:fill="auto"/>
            <w:vAlign w:val="bottom"/>
          </w:tcPr>
          <w:p w14:paraId="5F2CD387" w14:textId="77777777" w:rsidR="00E836FB" w:rsidRDefault="00E836FB">
            <w:pPr>
              <w:rPr>
                <w:rFonts w:ascii="宋体"/>
              </w:rPr>
            </w:pPr>
          </w:p>
        </w:tc>
        <w:tc>
          <w:tcPr>
            <w:tcW w:w="0" w:type="auto"/>
            <w:shd w:val="clear" w:color="auto" w:fill="auto"/>
            <w:vAlign w:val="bottom"/>
          </w:tcPr>
          <w:p w14:paraId="5F2CD388" w14:textId="77777777" w:rsidR="00E836FB" w:rsidRDefault="00E836FB">
            <w:pPr>
              <w:rPr>
                <w:rFonts w:ascii="宋体"/>
              </w:rPr>
            </w:pPr>
          </w:p>
        </w:tc>
        <w:tc>
          <w:tcPr>
            <w:tcW w:w="0" w:type="auto"/>
            <w:shd w:val="clear" w:color="auto" w:fill="auto"/>
            <w:vAlign w:val="bottom"/>
          </w:tcPr>
          <w:p w14:paraId="5F2CD389" w14:textId="77777777" w:rsidR="00E836FB" w:rsidRDefault="00E836FB">
            <w:pPr>
              <w:rPr>
                <w:rFonts w:ascii="宋体"/>
              </w:rPr>
            </w:pPr>
          </w:p>
        </w:tc>
        <w:tc>
          <w:tcPr>
            <w:tcW w:w="0" w:type="auto"/>
            <w:shd w:val="clear" w:color="auto" w:fill="auto"/>
            <w:vAlign w:val="bottom"/>
          </w:tcPr>
          <w:p w14:paraId="5F2CD38A" w14:textId="77777777" w:rsidR="00E836FB" w:rsidRDefault="00E836FB">
            <w:pPr>
              <w:rPr>
                <w:rFonts w:ascii="宋体"/>
              </w:rPr>
            </w:pPr>
          </w:p>
        </w:tc>
        <w:tc>
          <w:tcPr>
            <w:tcW w:w="0" w:type="auto"/>
            <w:shd w:val="clear" w:color="auto" w:fill="auto"/>
            <w:vAlign w:val="bottom"/>
          </w:tcPr>
          <w:p w14:paraId="5F2CD38B" w14:textId="77777777" w:rsidR="00E836FB" w:rsidRDefault="00E836FB">
            <w:pPr>
              <w:rPr>
                <w:rFonts w:ascii="宋体"/>
              </w:rPr>
            </w:pPr>
          </w:p>
        </w:tc>
        <w:tc>
          <w:tcPr>
            <w:tcW w:w="0" w:type="auto"/>
            <w:shd w:val="clear" w:color="auto" w:fill="auto"/>
            <w:vAlign w:val="bottom"/>
          </w:tcPr>
          <w:p w14:paraId="5F2CD38C" w14:textId="77777777" w:rsidR="00E836FB" w:rsidRDefault="00E836FB">
            <w:pPr>
              <w:rPr>
                <w:rFonts w:ascii="宋体"/>
              </w:rPr>
            </w:pPr>
          </w:p>
        </w:tc>
        <w:tc>
          <w:tcPr>
            <w:tcW w:w="0" w:type="auto"/>
            <w:shd w:val="clear" w:color="auto" w:fill="auto"/>
            <w:vAlign w:val="bottom"/>
          </w:tcPr>
          <w:p w14:paraId="5F2CD38D" w14:textId="77777777" w:rsidR="00E836FB" w:rsidRDefault="00E836FB">
            <w:pPr>
              <w:rPr>
                <w:rFonts w:ascii="宋体"/>
              </w:rPr>
            </w:pPr>
          </w:p>
        </w:tc>
        <w:tc>
          <w:tcPr>
            <w:tcW w:w="0" w:type="auto"/>
            <w:shd w:val="clear" w:color="auto" w:fill="auto"/>
            <w:vAlign w:val="bottom"/>
          </w:tcPr>
          <w:p w14:paraId="5F2CD38E" w14:textId="77777777" w:rsidR="00E836FB" w:rsidRDefault="00E836FB">
            <w:pPr>
              <w:rPr>
                <w:rFonts w:ascii="宋体"/>
              </w:rPr>
            </w:pPr>
          </w:p>
        </w:tc>
        <w:tc>
          <w:tcPr>
            <w:tcW w:w="0" w:type="auto"/>
            <w:shd w:val="clear" w:color="auto" w:fill="auto"/>
            <w:vAlign w:val="bottom"/>
          </w:tcPr>
          <w:p w14:paraId="5F2CD38F" w14:textId="77777777" w:rsidR="00E836FB" w:rsidRDefault="00E836FB">
            <w:pPr>
              <w:rPr>
                <w:rFonts w:ascii="宋体"/>
              </w:rPr>
            </w:pPr>
          </w:p>
        </w:tc>
        <w:tc>
          <w:tcPr>
            <w:tcW w:w="0" w:type="auto"/>
            <w:shd w:val="clear" w:color="auto" w:fill="auto"/>
            <w:vAlign w:val="bottom"/>
          </w:tcPr>
          <w:p w14:paraId="5F2CD390" w14:textId="77777777" w:rsidR="00E836FB" w:rsidRDefault="00E836FB">
            <w:pPr>
              <w:rPr>
                <w:rFonts w:ascii="宋体"/>
              </w:rPr>
            </w:pPr>
          </w:p>
        </w:tc>
        <w:tc>
          <w:tcPr>
            <w:tcW w:w="0" w:type="auto"/>
            <w:shd w:val="clear" w:color="auto" w:fill="auto"/>
            <w:vAlign w:val="bottom"/>
          </w:tcPr>
          <w:p w14:paraId="5F2CD391" w14:textId="77777777" w:rsidR="00E836FB" w:rsidRDefault="00E836FB">
            <w:pPr>
              <w:rPr>
                <w:rFonts w:ascii="宋体"/>
              </w:rPr>
            </w:pPr>
          </w:p>
        </w:tc>
        <w:tc>
          <w:tcPr>
            <w:tcW w:w="0" w:type="auto"/>
            <w:shd w:val="clear" w:color="auto" w:fill="auto"/>
            <w:vAlign w:val="bottom"/>
          </w:tcPr>
          <w:p w14:paraId="5F2CD392" w14:textId="77777777" w:rsidR="00E836FB" w:rsidRDefault="00E836FB">
            <w:pPr>
              <w:rPr>
                <w:rFonts w:ascii="宋体"/>
              </w:rPr>
            </w:pPr>
          </w:p>
        </w:tc>
        <w:tc>
          <w:tcPr>
            <w:tcW w:w="0" w:type="auto"/>
            <w:shd w:val="clear" w:color="auto" w:fill="auto"/>
            <w:vAlign w:val="bottom"/>
          </w:tcPr>
          <w:p w14:paraId="5F2CD393" w14:textId="77777777" w:rsidR="00E836FB" w:rsidRDefault="00E836FB">
            <w:pPr>
              <w:rPr>
                <w:rFonts w:ascii="宋体"/>
              </w:rPr>
            </w:pPr>
          </w:p>
        </w:tc>
        <w:tc>
          <w:tcPr>
            <w:tcW w:w="0" w:type="auto"/>
            <w:shd w:val="clear" w:color="auto" w:fill="auto"/>
            <w:vAlign w:val="bottom"/>
          </w:tcPr>
          <w:p w14:paraId="5F2CD394" w14:textId="77777777" w:rsidR="00E836FB" w:rsidRDefault="00E836FB">
            <w:pPr>
              <w:rPr>
                <w:rFonts w:ascii="宋体"/>
              </w:rPr>
            </w:pPr>
          </w:p>
        </w:tc>
      </w:tr>
    </w:tbl>
    <w:p w14:paraId="5F2CD396" w14:textId="77777777" w:rsidR="00E836FB" w:rsidRDefault="00994958">
      <w:pPr>
        <w:ind w:firstLine="450"/>
        <w:jc w:val="right"/>
      </w:pPr>
      <w:r>
        <w:rPr>
          <w:rFonts w:ascii="Arial" w:eastAsia="宋体" w:hAnsi="Arial" w:cs="Arial"/>
          <w:color w:val="000000"/>
          <w:sz w:val="18"/>
          <w:szCs w:val="18"/>
        </w:rPr>
        <w:t>State Street Corporation | 85</w:t>
      </w:r>
    </w:p>
    <w:p w14:paraId="5F2CD397" w14:textId="77777777" w:rsidR="00E836FB" w:rsidRDefault="00E836FB">
      <w:pPr>
        <w:ind w:firstLine="450"/>
        <w:jc w:val="center"/>
      </w:pPr>
    </w:p>
    <w:p w14:paraId="5F2CD398" w14:textId="77777777" w:rsidR="00E836FB" w:rsidRDefault="00994958">
      <w:r>
        <w:pict w14:anchorId="5F2D6DDA">
          <v:rect id="_x0000_i1109" style="width:415.3pt;height:1.5pt" o:hralign="center" o:hrstd="t" o:hr="t" fillcolor="#a0a0a0" stroked="f"/>
        </w:pict>
      </w:r>
    </w:p>
    <w:p w14:paraId="5F2CD399"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39A" w14:textId="77777777" w:rsidR="00E836FB" w:rsidRDefault="00994958">
      <w:pPr>
        <w:ind w:firstLine="450"/>
        <w:jc w:val="center"/>
      </w:pPr>
      <w:r>
        <w:rPr>
          <w:rFonts w:ascii="Arial" w:eastAsia="宋体" w:hAnsi="Arial" w:cs="Arial"/>
          <w:b/>
          <w:bCs/>
          <w:color w:val="000000"/>
          <w:sz w:val="20"/>
          <w:szCs w:val="20"/>
        </w:rPr>
        <w:t>AND RESULTS OF OPERATIONS</w:t>
      </w:r>
    </w:p>
    <w:p w14:paraId="5F2CD39B" w14:textId="77777777" w:rsidR="00E836FB" w:rsidRDefault="00994958">
      <w:pPr>
        <w:spacing w:before="60"/>
        <w:jc w:val="both"/>
        <w:textAlignment w:val="top"/>
      </w:pPr>
      <w:r>
        <w:rPr>
          <w:rFonts w:ascii="Arial" w:eastAsia="宋体" w:hAnsi="Arial" w:cs="Arial"/>
          <w:b/>
          <w:bCs/>
          <w:i/>
          <w:iCs/>
          <w:color w:val="000000"/>
          <w:sz w:val="20"/>
          <w:szCs w:val="20"/>
        </w:rPr>
        <w:t>Enterprise Risk Ma</w:t>
      </w:r>
      <w:r>
        <w:rPr>
          <w:rFonts w:ascii="Arial" w:eastAsia="宋体" w:hAnsi="Arial" w:cs="Arial"/>
          <w:b/>
          <w:bCs/>
          <w:i/>
          <w:iCs/>
          <w:color w:val="000000"/>
          <w:sz w:val="20"/>
          <w:szCs w:val="20"/>
        </w:rPr>
        <w:t>nagement</w:t>
      </w:r>
    </w:p>
    <w:p w14:paraId="5F2CD39C" w14:textId="77777777" w:rsidR="00E836FB" w:rsidRDefault="00994958">
      <w:pPr>
        <w:spacing w:before="60"/>
        <w:ind w:firstLine="450"/>
        <w:jc w:val="both"/>
        <w:textAlignment w:val="top"/>
      </w:pPr>
      <w:r>
        <w:rPr>
          <w:rFonts w:ascii="Arial" w:eastAsia="宋体" w:hAnsi="Arial" w:cs="Arial"/>
          <w:color w:val="000000"/>
          <w:sz w:val="20"/>
          <w:szCs w:val="20"/>
        </w:rPr>
        <w:t>The goal of ERM is to ensure that risks are proactively identified, well-understood and prudently managed in support of our business strategy. ERM provides risk oversight, support and coordination to allow for the consistent identification, measur</w:t>
      </w:r>
      <w:r>
        <w:rPr>
          <w:rFonts w:ascii="Arial" w:eastAsia="宋体" w:hAnsi="Arial" w:cs="Arial"/>
          <w:color w:val="000000"/>
          <w:sz w:val="20"/>
          <w:szCs w:val="20"/>
        </w:rPr>
        <w:t>ement and management of risks across business units separate from the business units' activities, and is responsible for the formulation and maintenance of corporate-wide risk management policies and guidelines. In addition, ERM establishes and reviews lim</w:t>
      </w:r>
      <w:r>
        <w:rPr>
          <w:rFonts w:ascii="Arial" w:eastAsia="宋体" w:hAnsi="Arial" w:cs="Arial"/>
          <w:color w:val="000000"/>
          <w:sz w:val="20"/>
          <w:szCs w:val="20"/>
        </w:rPr>
        <w:t>its and, in collaboration with business unit management, monitors key risks. Ultimately, ERM works to validate that risk-taking occurs within the risk appetite statement approved by the Board and conforms to associated risk policies, limits and guidelines.</w:t>
      </w:r>
    </w:p>
    <w:p w14:paraId="5F2CD39D" w14:textId="77777777" w:rsidR="00E836FB" w:rsidRDefault="00994958">
      <w:pPr>
        <w:spacing w:before="60"/>
        <w:ind w:firstLine="450"/>
        <w:jc w:val="both"/>
        <w:textAlignment w:val="top"/>
      </w:pPr>
      <w:r>
        <w:rPr>
          <w:rFonts w:ascii="Arial" w:eastAsia="宋体" w:hAnsi="Arial" w:cs="Arial"/>
          <w:color w:val="000000"/>
          <w:sz w:val="20"/>
          <w:szCs w:val="20"/>
        </w:rPr>
        <w:t xml:space="preserve">The Chief Risk Officer (CRO) is responsible for our risk management globally, leads ERM and has a dual reporting line to our CEO and the Board’s RC. ERM manages its responsibilities globally through a three-dimensional organization structure: </w:t>
      </w:r>
    </w:p>
    <w:p w14:paraId="5F2CD39E" w14:textId="77777777" w:rsidR="00E836FB" w:rsidRDefault="00994958">
      <w:pPr>
        <w:spacing w:before="60"/>
        <w:ind w:hanging="360"/>
        <w:jc w:val="both"/>
        <w:textAlignment w:val="top"/>
      </w:pPr>
      <w:r>
        <w:rPr>
          <w:rFonts w:ascii="Arial" w:eastAsia="宋体" w:hAnsi="Arial" w:cs="Arial"/>
          <w:color w:val="000000"/>
          <w:sz w:val="20"/>
          <w:szCs w:val="20"/>
        </w:rPr>
        <w:t xml:space="preserve">•“Vertical” </w:t>
      </w:r>
      <w:r>
        <w:rPr>
          <w:rFonts w:ascii="Arial" w:eastAsia="宋体" w:hAnsi="Arial" w:cs="Arial"/>
          <w:color w:val="000000"/>
          <w:sz w:val="20"/>
          <w:szCs w:val="20"/>
        </w:rPr>
        <w:t xml:space="preserve">business unit-aligned risk groups that support business managers with risk management, measurement and monitoring activities; </w:t>
      </w:r>
    </w:p>
    <w:p w14:paraId="5F2CD39F" w14:textId="77777777" w:rsidR="00E836FB" w:rsidRDefault="00994958">
      <w:pPr>
        <w:spacing w:before="60"/>
        <w:ind w:hanging="360"/>
        <w:jc w:val="both"/>
        <w:textAlignment w:val="top"/>
      </w:pPr>
      <w:r>
        <w:rPr>
          <w:rFonts w:ascii="Arial" w:eastAsia="宋体" w:hAnsi="Arial" w:cs="Arial"/>
          <w:color w:val="000000"/>
          <w:sz w:val="20"/>
          <w:szCs w:val="20"/>
        </w:rPr>
        <w:t>•“Horizontal” risk groups that monitor the risks that cross all of our business units (for example, credit and operational risk);</w:t>
      </w:r>
      <w:r>
        <w:rPr>
          <w:rFonts w:ascii="Arial" w:eastAsia="宋体" w:hAnsi="Arial" w:cs="Arial"/>
          <w:color w:val="000000"/>
          <w:sz w:val="20"/>
          <w:szCs w:val="20"/>
        </w:rPr>
        <w:t xml:space="preserve"> and</w:t>
      </w:r>
    </w:p>
    <w:p w14:paraId="5F2CD3A0" w14:textId="77777777" w:rsidR="00E836FB" w:rsidRDefault="00994958">
      <w:pPr>
        <w:spacing w:before="60"/>
        <w:ind w:hanging="360"/>
        <w:jc w:val="both"/>
        <w:textAlignment w:val="top"/>
      </w:pPr>
      <w:r>
        <w:rPr>
          <w:rFonts w:ascii="Arial" w:eastAsia="宋体" w:hAnsi="Arial" w:cs="Arial"/>
          <w:color w:val="000000"/>
          <w:sz w:val="20"/>
          <w:szCs w:val="20"/>
        </w:rPr>
        <w:t>•Risk oversight for international activities, which combines intersecting “Verticals” and “Horizontals” through a hub and spoke model to provide important regional and legal entity perspectives to the global risk framework.</w:t>
      </w:r>
    </w:p>
    <w:p w14:paraId="5F2CD3A1" w14:textId="77777777" w:rsidR="00E836FB" w:rsidRDefault="00994958">
      <w:pPr>
        <w:spacing w:before="60"/>
        <w:ind w:firstLine="450"/>
        <w:jc w:val="both"/>
        <w:textAlignment w:val="top"/>
      </w:pPr>
      <w:r>
        <w:rPr>
          <w:rFonts w:ascii="Arial" w:eastAsia="宋体" w:hAnsi="Arial" w:cs="Arial"/>
          <w:color w:val="000000"/>
          <w:sz w:val="20"/>
          <w:szCs w:val="20"/>
        </w:rPr>
        <w:t xml:space="preserve">Sitting on top of this </w:t>
      </w:r>
      <w:r>
        <w:rPr>
          <w:rFonts w:ascii="Arial" w:eastAsia="宋体" w:hAnsi="Arial" w:cs="Arial"/>
          <w:color w:val="000000"/>
          <w:sz w:val="20"/>
          <w:szCs w:val="20"/>
        </w:rPr>
        <w:t>three-dimensional organization structure is a centralized group responsible for the aggregation of risk exposures across the vertical, horizontal and regional dimensions, for consolidated reporting, for setting the corporate-level risk appetite framework a</w:t>
      </w:r>
      <w:r>
        <w:rPr>
          <w:rFonts w:ascii="Arial" w:eastAsia="宋体" w:hAnsi="Arial" w:cs="Arial"/>
          <w:color w:val="000000"/>
          <w:sz w:val="20"/>
          <w:szCs w:val="20"/>
        </w:rPr>
        <w:t>nd associated limits and policies, and for dynamic risk assessment across our business.</w:t>
      </w:r>
    </w:p>
    <w:p w14:paraId="5F2CD3A2" w14:textId="77777777" w:rsidR="00E836FB" w:rsidRDefault="00994958">
      <w:pPr>
        <w:spacing w:before="60"/>
        <w:jc w:val="both"/>
        <w:textAlignment w:val="top"/>
      </w:pPr>
      <w:r>
        <w:rPr>
          <w:rFonts w:ascii="Arial" w:eastAsia="宋体" w:hAnsi="Arial" w:cs="Arial"/>
          <w:b/>
          <w:bCs/>
          <w:i/>
          <w:iCs/>
          <w:color w:val="000000"/>
          <w:sz w:val="20"/>
          <w:szCs w:val="20"/>
        </w:rPr>
        <w:t>Board Committees</w:t>
      </w:r>
    </w:p>
    <w:p w14:paraId="5F2CD3A3" w14:textId="77777777" w:rsidR="00E836FB" w:rsidRDefault="00994958">
      <w:pPr>
        <w:ind w:firstLine="450"/>
        <w:jc w:val="both"/>
        <w:textAlignment w:val="top"/>
      </w:pPr>
      <w:r>
        <w:rPr>
          <w:rFonts w:ascii="Arial" w:eastAsia="宋体" w:hAnsi="Arial" w:cs="Arial"/>
          <w:color w:val="000000"/>
          <w:sz w:val="20"/>
          <w:szCs w:val="20"/>
        </w:rPr>
        <w:t>The Board has four committees which assist it in discharging its responsibilities with respect to risk management: the Risk Committee (RC), the Examini</w:t>
      </w:r>
      <w:r>
        <w:rPr>
          <w:rFonts w:ascii="Arial" w:eastAsia="宋体" w:hAnsi="Arial" w:cs="Arial"/>
          <w:color w:val="000000"/>
          <w:sz w:val="20"/>
          <w:szCs w:val="20"/>
        </w:rPr>
        <w:t>ng and Audit Committee (E&amp;A Committee), the Human Resources Committee (HRC) and the Technology and Operations Committee (Tech &amp; Ops Committee). Each of the principal committees of the Board has oversight of ESG matters within their respective scope of resp</w:t>
      </w:r>
      <w:r>
        <w:rPr>
          <w:rFonts w:ascii="Arial" w:eastAsia="宋体" w:hAnsi="Arial" w:cs="Arial"/>
          <w:color w:val="000000"/>
          <w:sz w:val="20"/>
          <w:szCs w:val="20"/>
        </w:rPr>
        <w:t>onsibilities, including climate-related matters.</w:t>
      </w:r>
    </w:p>
    <w:p w14:paraId="5F2CD3A4" w14:textId="77777777" w:rsidR="00E836FB" w:rsidRDefault="00994958">
      <w:pPr>
        <w:spacing w:before="60"/>
        <w:ind w:firstLine="450"/>
        <w:jc w:val="both"/>
        <w:textAlignment w:val="top"/>
      </w:pPr>
      <w:r>
        <w:rPr>
          <w:rFonts w:ascii="Arial" w:eastAsia="宋体" w:hAnsi="Arial" w:cs="Arial"/>
          <w:color w:val="000000"/>
          <w:sz w:val="20"/>
          <w:szCs w:val="20"/>
        </w:rPr>
        <w:t xml:space="preserve">The RC is responsible for oversight related to the operation of our global risk management framework, including policies and procedures </w:t>
      </w:r>
    </w:p>
    <w:p w14:paraId="5F2CD3A5" w14:textId="77777777" w:rsidR="00E836FB" w:rsidRDefault="00994958">
      <w:pPr>
        <w:spacing w:before="60"/>
        <w:jc w:val="both"/>
        <w:textAlignment w:val="top"/>
      </w:pPr>
      <w:r>
        <w:rPr>
          <w:rFonts w:ascii="Arial" w:eastAsia="宋体" w:hAnsi="Arial" w:cs="Arial"/>
          <w:color w:val="000000"/>
          <w:sz w:val="20"/>
          <w:szCs w:val="20"/>
        </w:rPr>
        <w:t>establishing risk management governance and processes and risk control</w:t>
      </w:r>
      <w:r>
        <w:rPr>
          <w:rFonts w:ascii="Arial" w:eastAsia="宋体" w:hAnsi="Arial" w:cs="Arial"/>
          <w:color w:val="000000"/>
          <w:sz w:val="20"/>
          <w:szCs w:val="20"/>
        </w:rPr>
        <w:t xml:space="preserve"> infrastructure for our global operations. The RC is responsible for reviewing and discussing with management our assessment and management of all risks applicable to our operations, including credit, market, interest rate, liquidity, operational, regulato</w:t>
      </w:r>
      <w:r>
        <w:rPr>
          <w:rFonts w:ascii="Arial" w:eastAsia="宋体" w:hAnsi="Arial" w:cs="Arial"/>
          <w:color w:val="000000"/>
          <w:sz w:val="20"/>
          <w:szCs w:val="20"/>
        </w:rPr>
        <w:t>ry, technology, business, compliance and reputation risks, and related policies.</w:t>
      </w:r>
    </w:p>
    <w:p w14:paraId="5F2CD3A6" w14:textId="77777777" w:rsidR="00E836FB" w:rsidRDefault="00994958">
      <w:pPr>
        <w:spacing w:before="60"/>
        <w:ind w:firstLine="450"/>
        <w:jc w:val="both"/>
        <w:textAlignment w:val="top"/>
      </w:pPr>
      <w:r>
        <w:rPr>
          <w:rFonts w:ascii="Arial" w:eastAsia="宋体" w:hAnsi="Arial" w:cs="Arial"/>
          <w:color w:val="000000"/>
          <w:sz w:val="20"/>
          <w:szCs w:val="20"/>
        </w:rPr>
        <w:t>In addition, the RC provides oversight of capital policies, capital planning and balance sheet management, resolution planning and monitors capital adequacy in relation to ris</w:t>
      </w:r>
      <w:r>
        <w:rPr>
          <w:rFonts w:ascii="Arial" w:eastAsia="宋体" w:hAnsi="Arial" w:cs="Arial"/>
          <w:color w:val="000000"/>
          <w:sz w:val="20"/>
          <w:szCs w:val="20"/>
        </w:rPr>
        <w:t xml:space="preserve">k. The RC is also responsible for discharging the duties and obligations of the Board under applicable Basel and other regulatory requirements. </w:t>
      </w:r>
    </w:p>
    <w:p w14:paraId="5F2CD3A7" w14:textId="77777777" w:rsidR="00E836FB" w:rsidRDefault="00994958">
      <w:pPr>
        <w:spacing w:before="60"/>
        <w:ind w:firstLine="450"/>
        <w:jc w:val="both"/>
        <w:textAlignment w:val="top"/>
      </w:pPr>
      <w:r>
        <w:rPr>
          <w:rFonts w:ascii="Arial" w:eastAsia="宋体" w:hAnsi="Arial" w:cs="Arial"/>
          <w:color w:val="000000"/>
          <w:sz w:val="20"/>
          <w:szCs w:val="20"/>
        </w:rPr>
        <w:t>The E&amp;A Committee oversees management's operation of our comprehensive system of internal controls covering the</w:t>
      </w:r>
      <w:r>
        <w:rPr>
          <w:rFonts w:ascii="Arial" w:eastAsia="宋体" w:hAnsi="Arial" w:cs="Arial"/>
          <w:color w:val="000000"/>
          <w:sz w:val="20"/>
          <w:szCs w:val="20"/>
        </w:rPr>
        <w:t xml:space="preserve"> integrity of our consolidated financial statements and reports, compliance with laws, regulations and corporate policies. The E&amp;A Committee acts on behalf of the Board in monitoring and overseeing the performance of Corporate Audit and in reviewing certai</w:t>
      </w:r>
      <w:r>
        <w:rPr>
          <w:rFonts w:ascii="Arial" w:eastAsia="宋体" w:hAnsi="Arial" w:cs="Arial"/>
          <w:color w:val="000000"/>
          <w:sz w:val="20"/>
          <w:szCs w:val="20"/>
        </w:rPr>
        <w:t xml:space="preserve">n communications with banking regulators. The E&amp;A Committee has direct responsibility for the appointment, compensation, retention, evaluation and oversight of the work of our independent registered public accounting firm, including sole authority for the </w:t>
      </w:r>
      <w:r>
        <w:rPr>
          <w:rFonts w:ascii="Arial" w:eastAsia="宋体" w:hAnsi="Arial" w:cs="Arial"/>
          <w:color w:val="000000"/>
          <w:sz w:val="20"/>
          <w:szCs w:val="20"/>
        </w:rPr>
        <w:t>establishment of pre-approval policies and procedures for all audit engagements and any non-audit engagements.</w:t>
      </w:r>
    </w:p>
    <w:p w14:paraId="5F2CD3A8" w14:textId="77777777" w:rsidR="00E836FB" w:rsidRDefault="00994958">
      <w:pPr>
        <w:spacing w:before="60"/>
        <w:ind w:firstLine="450"/>
        <w:jc w:val="both"/>
        <w:textAlignment w:val="top"/>
      </w:pPr>
      <w:r>
        <w:rPr>
          <w:rFonts w:ascii="Arial" w:eastAsia="宋体" w:hAnsi="Arial" w:cs="Arial"/>
          <w:color w:val="000000"/>
          <w:sz w:val="20"/>
          <w:szCs w:val="20"/>
        </w:rPr>
        <w:t>The HRC has direct responsibility for the oversight of human capital management, all compensation plans, policies and programs in which executive</w:t>
      </w:r>
      <w:r>
        <w:rPr>
          <w:rFonts w:ascii="Arial" w:eastAsia="宋体" w:hAnsi="Arial" w:cs="Arial"/>
          <w:color w:val="000000"/>
          <w:sz w:val="20"/>
          <w:szCs w:val="20"/>
        </w:rPr>
        <w:t xml:space="preserve"> officers participate and incentive, retirement, welfare as well as equity plans in which certain of our other employees participate. In addition, the HRC oversees the alignment of our incentive compensation arrangements with our safety and soundness, incl</w:t>
      </w:r>
      <w:r>
        <w:rPr>
          <w:rFonts w:ascii="Arial" w:eastAsia="宋体" w:hAnsi="Arial" w:cs="Arial"/>
          <w:color w:val="000000"/>
          <w:sz w:val="20"/>
          <w:szCs w:val="20"/>
        </w:rPr>
        <w:t>uding the integration of risk management objectives, and related policies, arrangements and control processes consistent with applicable related regulatory rules and guidance.</w:t>
      </w:r>
    </w:p>
    <w:p w14:paraId="5F2CD3A9" w14:textId="77777777" w:rsidR="00E836FB" w:rsidRDefault="00994958">
      <w:pPr>
        <w:spacing w:before="60"/>
        <w:ind w:firstLine="450"/>
        <w:jc w:val="both"/>
        <w:textAlignment w:val="top"/>
      </w:pPr>
      <w:r>
        <w:rPr>
          <w:rFonts w:ascii="Arial" w:eastAsia="宋体" w:hAnsi="Arial" w:cs="Arial"/>
          <w:color w:val="000000"/>
          <w:sz w:val="20"/>
          <w:szCs w:val="20"/>
        </w:rPr>
        <w:t>The Tech &amp; Ops Committee leads and assists in the Board’s oversight of technolog</w:t>
      </w:r>
      <w:r>
        <w:rPr>
          <w:rFonts w:ascii="Arial" w:eastAsia="宋体" w:hAnsi="Arial" w:cs="Arial"/>
          <w:color w:val="000000"/>
          <w:sz w:val="20"/>
          <w:szCs w:val="20"/>
        </w:rPr>
        <w:t>y and operational risk management and the role of these risks in executing our strategy and supporting our global business requirements. The Tech &amp; Ops Committee reviews strategic initiatives from a technology and operational risk perspective and reviews a</w:t>
      </w:r>
      <w:r>
        <w:rPr>
          <w:rFonts w:ascii="Arial" w:eastAsia="宋体" w:hAnsi="Arial" w:cs="Arial"/>
          <w:color w:val="000000"/>
          <w:sz w:val="20"/>
          <w:szCs w:val="20"/>
        </w:rPr>
        <w:t>nd approves technology-related risk matters. In addition, Tech &amp; Ops Committee reviews matters related to corporate information security and cybersecurity programs, operational and technology resiliency, data and access management and third-party risk mana</w:t>
      </w:r>
      <w:r>
        <w:rPr>
          <w:rFonts w:ascii="Arial" w:eastAsia="宋体" w:hAnsi="Arial" w:cs="Arial"/>
          <w:color w:val="000000"/>
          <w:sz w:val="20"/>
          <w:szCs w:val="20"/>
        </w:rPr>
        <w:t>gement.</w:t>
      </w:r>
    </w:p>
    <w:p w14:paraId="5F2CD3AA" w14:textId="77777777" w:rsidR="00E836FB" w:rsidRDefault="00E836FB">
      <w:pPr>
        <w:spacing w:before="60"/>
        <w:jc w:val="both"/>
        <w:textAlignment w:val="top"/>
      </w:pPr>
    </w:p>
    <w:p w14:paraId="5F2CD3AB" w14:textId="77777777" w:rsidR="00E836FB" w:rsidRDefault="00994958">
      <w:pPr>
        <w:ind w:firstLine="450"/>
        <w:jc w:val="right"/>
      </w:pPr>
      <w:r>
        <w:rPr>
          <w:rFonts w:ascii="Arial" w:eastAsia="宋体" w:hAnsi="Arial" w:cs="Arial"/>
          <w:color w:val="000000"/>
          <w:sz w:val="18"/>
          <w:szCs w:val="18"/>
        </w:rPr>
        <w:t>State Street Corporation | 86</w:t>
      </w:r>
    </w:p>
    <w:p w14:paraId="5F2CD3AC" w14:textId="77777777" w:rsidR="00E836FB" w:rsidRDefault="00E836FB">
      <w:pPr>
        <w:ind w:firstLine="450"/>
        <w:jc w:val="center"/>
      </w:pPr>
    </w:p>
    <w:p w14:paraId="5F2CD3AD" w14:textId="77777777" w:rsidR="00E836FB" w:rsidRDefault="00994958">
      <w:r>
        <w:pict w14:anchorId="5F2D6DDB">
          <v:rect id="_x0000_i1110" style="width:415.3pt;height:1.5pt" o:hralign="center" o:hrstd="t" o:hr="t" fillcolor="#a0a0a0" stroked="f"/>
        </w:pict>
      </w:r>
    </w:p>
    <w:p w14:paraId="5F2CD3AE"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3AF" w14:textId="77777777" w:rsidR="00E836FB" w:rsidRDefault="00994958">
      <w:pPr>
        <w:ind w:firstLine="450"/>
        <w:jc w:val="center"/>
      </w:pPr>
      <w:r>
        <w:rPr>
          <w:rFonts w:ascii="Arial" w:eastAsia="宋体" w:hAnsi="Arial" w:cs="Arial"/>
          <w:b/>
          <w:bCs/>
          <w:color w:val="000000"/>
          <w:sz w:val="20"/>
          <w:szCs w:val="20"/>
        </w:rPr>
        <w:t>AND RESULTS OF OPERATIONS</w:t>
      </w:r>
    </w:p>
    <w:p w14:paraId="5F2CD3B0" w14:textId="77777777" w:rsidR="00E836FB" w:rsidRDefault="00994958">
      <w:pPr>
        <w:spacing w:before="60"/>
        <w:jc w:val="both"/>
        <w:textAlignment w:val="top"/>
      </w:pPr>
      <w:r>
        <w:rPr>
          <w:rFonts w:ascii="Arial" w:eastAsia="宋体" w:hAnsi="Arial" w:cs="Arial"/>
          <w:b/>
          <w:bCs/>
          <w:i/>
          <w:iCs/>
          <w:color w:val="000000"/>
          <w:sz w:val="20"/>
          <w:szCs w:val="20"/>
        </w:rPr>
        <w:t>Executive Management Committees</w:t>
      </w:r>
    </w:p>
    <w:p w14:paraId="5F2CD3B1" w14:textId="77777777" w:rsidR="00E836FB" w:rsidRDefault="00994958">
      <w:pPr>
        <w:spacing w:before="60"/>
        <w:ind w:firstLine="450"/>
        <w:jc w:val="both"/>
        <w:textAlignment w:val="top"/>
      </w:pPr>
      <w:r>
        <w:rPr>
          <w:rFonts w:ascii="Arial" w:eastAsia="宋体" w:hAnsi="Arial" w:cs="Arial"/>
          <w:color w:val="000000"/>
          <w:sz w:val="20"/>
          <w:szCs w:val="20"/>
        </w:rPr>
        <w:t>MRAC is the senior management decision-making body for risk and capital issues, and oversees our</w:t>
      </w:r>
      <w:r>
        <w:rPr>
          <w:rFonts w:ascii="Arial" w:eastAsia="宋体" w:hAnsi="Arial" w:cs="Arial"/>
          <w:color w:val="000000"/>
          <w:sz w:val="20"/>
          <w:szCs w:val="20"/>
        </w:rPr>
        <w:t xml:space="preserve"> financial risks, our consolidated statement of condition, and our capital adequacy, liquidity and recovery and resolution planning. Its responsibilities include: </w:t>
      </w:r>
    </w:p>
    <w:p w14:paraId="5F2CD3B2" w14:textId="77777777" w:rsidR="00E836FB" w:rsidRDefault="00994958">
      <w:pPr>
        <w:spacing w:before="60"/>
        <w:ind w:hanging="360"/>
        <w:jc w:val="both"/>
        <w:textAlignment w:val="top"/>
      </w:pPr>
      <w:r>
        <w:rPr>
          <w:rFonts w:ascii="Arial" w:eastAsia="宋体" w:hAnsi="Arial" w:cs="Arial"/>
          <w:color w:val="000000"/>
          <w:sz w:val="20"/>
          <w:szCs w:val="20"/>
        </w:rPr>
        <w:t>•The approval of the policies of our global risk, capital and liquidity management framework</w:t>
      </w:r>
      <w:r>
        <w:rPr>
          <w:rFonts w:ascii="Arial" w:eastAsia="宋体" w:hAnsi="Arial" w:cs="Arial"/>
          <w:color w:val="000000"/>
          <w:sz w:val="20"/>
          <w:szCs w:val="20"/>
        </w:rPr>
        <w:t xml:space="preserve">s, including our risk appetite framework; </w:t>
      </w:r>
    </w:p>
    <w:p w14:paraId="5F2CD3B3" w14:textId="77777777" w:rsidR="00E836FB" w:rsidRDefault="00994958">
      <w:pPr>
        <w:spacing w:before="60"/>
        <w:ind w:hanging="360"/>
        <w:jc w:val="both"/>
        <w:textAlignment w:val="top"/>
      </w:pPr>
      <w:r>
        <w:rPr>
          <w:rFonts w:ascii="Arial" w:eastAsia="宋体" w:hAnsi="Arial" w:cs="Arial"/>
          <w:color w:val="000000"/>
          <w:sz w:val="20"/>
          <w:szCs w:val="20"/>
        </w:rPr>
        <w:t xml:space="preserve">•The monitoring and assessment of our capital adequacy based on internal policies and regulatory requirements; </w:t>
      </w:r>
    </w:p>
    <w:p w14:paraId="5F2CD3B4" w14:textId="77777777" w:rsidR="00E836FB" w:rsidRDefault="00994958">
      <w:pPr>
        <w:spacing w:before="60"/>
        <w:ind w:hanging="360"/>
        <w:jc w:val="both"/>
        <w:textAlignment w:val="top"/>
      </w:pPr>
      <w:r>
        <w:rPr>
          <w:rFonts w:ascii="Arial" w:eastAsia="宋体" w:hAnsi="Arial" w:cs="Arial"/>
          <w:color w:val="000000"/>
          <w:sz w:val="20"/>
          <w:szCs w:val="20"/>
        </w:rPr>
        <w:t>•The oversight of our firm-wide risk identification, model risk governance, stress testing and Recovery and Resolution Plan programs; and</w:t>
      </w:r>
    </w:p>
    <w:p w14:paraId="5F2CD3B5" w14:textId="77777777" w:rsidR="00E836FB" w:rsidRDefault="00994958">
      <w:pPr>
        <w:spacing w:before="60"/>
        <w:ind w:hanging="360"/>
        <w:jc w:val="both"/>
        <w:textAlignment w:val="top"/>
      </w:pPr>
      <w:r>
        <w:rPr>
          <w:rFonts w:ascii="Arial" w:eastAsia="宋体" w:hAnsi="Arial" w:cs="Arial"/>
          <w:color w:val="000000"/>
          <w:sz w:val="20"/>
          <w:szCs w:val="20"/>
        </w:rPr>
        <w:t>•The o</w:t>
      </w:r>
      <w:r>
        <w:rPr>
          <w:rFonts w:ascii="Arial" w:eastAsia="宋体" w:hAnsi="Arial" w:cs="Arial"/>
          <w:color w:val="000000"/>
          <w:sz w:val="20"/>
          <w:szCs w:val="20"/>
        </w:rPr>
        <w:t xml:space="preserve">ngoing monitoring and review of risks undertaken within the businesses, and our senior management oversight and approval of risk strategies and tactics. </w:t>
      </w:r>
    </w:p>
    <w:p w14:paraId="5F2CD3B6" w14:textId="77777777" w:rsidR="00E836FB" w:rsidRDefault="00994958">
      <w:pPr>
        <w:spacing w:before="60"/>
        <w:ind w:firstLine="450"/>
        <w:jc w:val="both"/>
        <w:textAlignment w:val="top"/>
      </w:pPr>
      <w:r>
        <w:rPr>
          <w:rFonts w:ascii="Arial" w:eastAsia="宋体" w:hAnsi="Arial" w:cs="Arial"/>
          <w:color w:val="000000"/>
          <w:sz w:val="20"/>
          <w:szCs w:val="20"/>
        </w:rPr>
        <w:t>MRAC is co-chaired by our CRO and Chief Financial Officer, who regularly present to the RC on developm</w:t>
      </w:r>
      <w:r>
        <w:rPr>
          <w:rFonts w:ascii="Arial" w:eastAsia="宋体" w:hAnsi="Arial" w:cs="Arial"/>
          <w:color w:val="000000"/>
          <w:sz w:val="20"/>
          <w:szCs w:val="20"/>
        </w:rPr>
        <w:t>ents in the risk environment and performance trends in our key business areas.</w:t>
      </w:r>
    </w:p>
    <w:p w14:paraId="5F2CD3B7" w14:textId="77777777" w:rsidR="00E836FB" w:rsidRDefault="00994958">
      <w:pPr>
        <w:spacing w:before="60"/>
        <w:ind w:firstLine="450"/>
        <w:jc w:val="both"/>
        <w:textAlignment w:val="top"/>
      </w:pPr>
      <w:r>
        <w:rPr>
          <w:rFonts w:ascii="Arial" w:eastAsia="宋体" w:hAnsi="Arial" w:cs="Arial"/>
          <w:color w:val="000000"/>
          <w:sz w:val="20"/>
          <w:szCs w:val="20"/>
        </w:rPr>
        <w:t>BCC provides oversight of our business conduct and culture risks and standards, our commitments to clients and others with whom we do business, and our potential reputational ri</w:t>
      </w:r>
      <w:r>
        <w:rPr>
          <w:rFonts w:ascii="Arial" w:eastAsia="宋体" w:hAnsi="Arial" w:cs="Arial"/>
          <w:color w:val="000000"/>
          <w:sz w:val="20"/>
          <w:szCs w:val="20"/>
        </w:rPr>
        <w:t>sks, on an enterprise-wide basis. Management considers adherence to high ethical standards to be critical to the success of our business and to our reputation. The BCC is co-chaired by our Chief Compliance Officer and our General Counsel.</w:t>
      </w:r>
    </w:p>
    <w:p w14:paraId="5F2CD3B8" w14:textId="77777777" w:rsidR="00E836FB" w:rsidRDefault="00994958">
      <w:pPr>
        <w:spacing w:before="60"/>
        <w:ind w:firstLine="450"/>
        <w:jc w:val="both"/>
        <w:textAlignment w:val="top"/>
      </w:pPr>
      <w:r>
        <w:rPr>
          <w:rFonts w:ascii="Arial" w:eastAsia="宋体" w:hAnsi="Arial" w:cs="Arial"/>
          <w:color w:val="000000"/>
          <w:sz w:val="20"/>
          <w:szCs w:val="20"/>
        </w:rPr>
        <w:t>TORC provides ove</w:t>
      </w:r>
      <w:r>
        <w:rPr>
          <w:rFonts w:ascii="Arial" w:eastAsia="宋体" w:hAnsi="Arial" w:cs="Arial"/>
          <w:color w:val="000000"/>
          <w:sz w:val="20"/>
          <w:szCs w:val="20"/>
        </w:rPr>
        <w:t>rsight of, and assesses the effectiveness of, corporate-wide technology and operational risk management programs, and reviews areas of improvement to manage and control technology and operational risk consistently across the organization. TORC is co-chaire</w:t>
      </w:r>
      <w:r>
        <w:rPr>
          <w:rFonts w:ascii="Arial" w:eastAsia="宋体" w:hAnsi="Arial" w:cs="Arial"/>
          <w:color w:val="000000"/>
          <w:sz w:val="20"/>
          <w:szCs w:val="20"/>
        </w:rPr>
        <w:t>d by the Chief Operating Officer and the Chief Risk Officer.</w:t>
      </w:r>
    </w:p>
    <w:p w14:paraId="5F2CD3B9" w14:textId="77777777" w:rsidR="00E836FB" w:rsidRDefault="00994958">
      <w:pPr>
        <w:spacing w:before="60"/>
        <w:jc w:val="both"/>
        <w:textAlignment w:val="top"/>
      </w:pPr>
      <w:r>
        <w:rPr>
          <w:rFonts w:ascii="Arial" w:eastAsia="宋体" w:hAnsi="Arial" w:cs="Arial"/>
          <w:b/>
          <w:bCs/>
          <w:i/>
          <w:iCs/>
          <w:color w:val="000000"/>
          <w:sz w:val="20"/>
          <w:szCs w:val="20"/>
        </w:rPr>
        <w:t>Risk Committees</w:t>
      </w:r>
    </w:p>
    <w:p w14:paraId="5F2CD3BA" w14:textId="77777777" w:rsidR="00E836FB" w:rsidRDefault="00994958">
      <w:pPr>
        <w:spacing w:before="60"/>
        <w:ind w:firstLine="450"/>
        <w:jc w:val="both"/>
        <w:textAlignment w:val="top"/>
      </w:pPr>
      <w:r>
        <w:rPr>
          <w:rFonts w:ascii="Arial" w:eastAsia="宋体" w:hAnsi="Arial" w:cs="Arial"/>
          <w:color w:val="000000"/>
          <w:sz w:val="20"/>
          <w:szCs w:val="20"/>
        </w:rPr>
        <w:t>The following risk committees, under the oversight of the respective executive management committees, have focused responsibilities for oversight of specific areas of risk managem</w:t>
      </w:r>
      <w:r>
        <w:rPr>
          <w:rFonts w:ascii="Arial" w:eastAsia="宋体" w:hAnsi="Arial" w:cs="Arial"/>
          <w:color w:val="000000"/>
          <w:sz w:val="20"/>
          <w:szCs w:val="20"/>
        </w:rPr>
        <w:t>ent:</w:t>
      </w:r>
    </w:p>
    <w:p w14:paraId="5F2CD3BB" w14:textId="77777777" w:rsidR="00E836FB" w:rsidRDefault="00994958">
      <w:pPr>
        <w:spacing w:before="60"/>
        <w:textAlignment w:val="top"/>
      </w:pPr>
      <w:r>
        <w:rPr>
          <w:rFonts w:ascii="Arial" w:eastAsia="宋体" w:hAnsi="Arial" w:cs="Arial"/>
          <w:i/>
          <w:iCs/>
          <w:color w:val="000000"/>
          <w:sz w:val="20"/>
          <w:szCs w:val="20"/>
        </w:rPr>
        <w:t>Management Risk and Capital Committee</w:t>
      </w:r>
    </w:p>
    <w:p w14:paraId="5F2CD3BC" w14:textId="77777777" w:rsidR="00E836FB" w:rsidRDefault="00994958">
      <w:pPr>
        <w:spacing w:before="60"/>
        <w:ind w:hanging="360"/>
        <w:jc w:val="both"/>
        <w:textAlignment w:val="top"/>
      </w:pPr>
      <w:r>
        <w:rPr>
          <w:rFonts w:ascii="Arial" w:eastAsia="宋体" w:hAnsi="Arial" w:cs="Arial"/>
          <w:color w:val="000000"/>
          <w:sz w:val="20"/>
          <w:szCs w:val="20"/>
        </w:rPr>
        <w:t>•ALCO is the senior corporate oversight and decision-making body for balance sheet strategy, Global Treasury business activities and risk management for interest rate risk, liquidity risk and non-trading market ri</w:t>
      </w:r>
      <w:r>
        <w:rPr>
          <w:rFonts w:ascii="Arial" w:eastAsia="宋体" w:hAnsi="Arial" w:cs="Arial"/>
          <w:color w:val="000000"/>
          <w:sz w:val="20"/>
          <w:szCs w:val="20"/>
        </w:rPr>
        <w:t xml:space="preserve">sk. ALCO’s roles and responsibilities are designed to be complementary to, and in </w:t>
      </w:r>
    </w:p>
    <w:p w14:paraId="5F2CD3BD" w14:textId="77777777" w:rsidR="00E836FB" w:rsidRDefault="00994958">
      <w:pPr>
        <w:spacing w:before="60"/>
        <w:jc w:val="both"/>
        <w:textAlignment w:val="top"/>
      </w:pPr>
      <w:r>
        <w:rPr>
          <w:rFonts w:ascii="Arial" w:eastAsia="宋体" w:hAnsi="Arial" w:cs="Arial"/>
          <w:color w:val="000000"/>
          <w:sz w:val="20"/>
          <w:szCs w:val="20"/>
        </w:rPr>
        <w:t xml:space="preserve">coordination with the MRAC, which approves the corporate risk appetite and associated balance sheet strategy; </w:t>
      </w:r>
    </w:p>
    <w:p w14:paraId="5F2CD3BE" w14:textId="77777777" w:rsidR="00E836FB" w:rsidRDefault="00994958">
      <w:pPr>
        <w:spacing w:before="60"/>
        <w:ind w:hanging="360"/>
        <w:jc w:val="both"/>
        <w:textAlignment w:val="top"/>
      </w:pPr>
      <w:r>
        <w:rPr>
          <w:rFonts w:ascii="Arial" w:eastAsia="宋体" w:hAnsi="Arial" w:cs="Arial"/>
          <w:color w:val="000000"/>
          <w:sz w:val="20"/>
          <w:szCs w:val="20"/>
        </w:rPr>
        <w:t xml:space="preserve">•CMRC is the independent risk oversight and </w:t>
      </w:r>
      <w:r>
        <w:rPr>
          <w:rFonts w:ascii="Arial" w:eastAsia="宋体" w:hAnsi="Arial" w:cs="Arial"/>
          <w:color w:val="000000"/>
          <w:sz w:val="20"/>
          <w:szCs w:val="20"/>
        </w:rPr>
        <w:t xml:space="preserve">decision-making body for our credit, counterparty, and trading-related activities. The CMRC is responsible, as part of the second line of defense within ERM, for overseeing alignment of these activities with our appetite for risk and prevailing policy and </w:t>
      </w:r>
      <w:r>
        <w:rPr>
          <w:rFonts w:ascii="Arial" w:eastAsia="宋体" w:hAnsi="Arial" w:cs="Arial"/>
          <w:color w:val="000000"/>
          <w:sz w:val="20"/>
          <w:szCs w:val="20"/>
        </w:rPr>
        <w:t>guidelines. This committee also serves as a forum to discuss, address, and escalate material risk issues;</w:t>
      </w:r>
    </w:p>
    <w:p w14:paraId="5F2CD3BF" w14:textId="77777777" w:rsidR="00E836FB" w:rsidRDefault="00994958">
      <w:pPr>
        <w:spacing w:before="60"/>
        <w:ind w:hanging="360"/>
        <w:jc w:val="both"/>
        <w:textAlignment w:val="top"/>
      </w:pPr>
      <w:r>
        <w:rPr>
          <w:rFonts w:ascii="Arial" w:eastAsia="宋体" w:hAnsi="Arial" w:cs="Arial"/>
          <w:color w:val="000000"/>
          <w:sz w:val="20"/>
          <w:szCs w:val="20"/>
        </w:rPr>
        <w:t xml:space="preserve">•BOC provides oversight and governance over Basel related regulatory requirements, assesses compliance with respect to Basel regulations and approves </w:t>
      </w:r>
      <w:r>
        <w:rPr>
          <w:rFonts w:ascii="Arial" w:eastAsia="宋体" w:hAnsi="Arial" w:cs="Arial"/>
          <w:color w:val="000000"/>
          <w:sz w:val="20"/>
          <w:szCs w:val="20"/>
        </w:rPr>
        <w:t>all material methodologies and changes, policies and reporting;</w:t>
      </w:r>
    </w:p>
    <w:p w14:paraId="5F2CD3C0" w14:textId="77777777" w:rsidR="00E836FB" w:rsidRDefault="00994958">
      <w:pPr>
        <w:spacing w:before="60"/>
        <w:ind w:hanging="360"/>
        <w:jc w:val="both"/>
        <w:textAlignment w:val="top"/>
      </w:pPr>
      <w:r>
        <w:rPr>
          <w:rFonts w:ascii="Arial" w:eastAsia="宋体" w:hAnsi="Arial" w:cs="Arial"/>
          <w:color w:val="000000"/>
          <w:sz w:val="20"/>
          <w:szCs w:val="20"/>
        </w:rPr>
        <w:t xml:space="preserve">•The Recovery and Resolution Planning Executive Review Board oversees the development of recovery and resolution plans as required by banking regulators; </w:t>
      </w:r>
    </w:p>
    <w:p w14:paraId="5F2CD3C1" w14:textId="77777777" w:rsidR="00E836FB" w:rsidRDefault="00994958">
      <w:pPr>
        <w:spacing w:before="60"/>
        <w:ind w:hanging="360"/>
        <w:jc w:val="both"/>
        <w:textAlignment w:val="top"/>
      </w:pPr>
      <w:r>
        <w:rPr>
          <w:rFonts w:ascii="Arial" w:eastAsia="宋体" w:hAnsi="Arial" w:cs="Arial"/>
          <w:color w:val="000000"/>
          <w:sz w:val="20"/>
          <w:szCs w:val="20"/>
        </w:rPr>
        <w:t>•MRC monitors the overall level of mo</w:t>
      </w:r>
      <w:r>
        <w:rPr>
          <w:rFonts w:ascii="Arial" w:eastAsia="宋体" w:hAnsi="Arial" w:cs="Arial"/>
          <w:color w:val="000000"/>
          <w:sz w:val="20"/>
          <w:szCs w:val="20"/>
        </w:rPr>
        <w:t>del risk and provides oversight of the model governance process pertaining to financial models, including the validation of key models and the ongoing monitoring of model performance. The MRC may also, as appropriate, mandate remedial actions and compensat</w:t>
      </w:r>
      <w:r>
        <w:rPr>
          <w:rFonts w:ascii="Arial" w:eastAsia="宋体" w:hAnsi="Arial" w:cs="Arial"/>
          <w:color w:val="000000"/>
          <w:sz w:val="20"/>
          <w:szCs w:val="20"/>
        </w:rPr>
        <w:t xml:space="preserve">ing controls to be applied to models to address modeling deficiencies as well as other issues identified; </w:t>
      </w:r>
    </w:p>
    <w:p w14:paraId="5F2CD3C2" w14:textId="77777777" w:rsidR="00E836FB" w:rsidRDefault="00994958">
      <w:pPr>
        <w:spacing w:before="60"/>
        <w:ind w:hanging="360"/>
        <w:jc w:val="both"/>
        <w:textAlignment w:val="top"/>
      </w:pPr>
      <w:r>
        <w:rPr>
          <w:rFonts w:ascii="Arial" w:eastAsia="宋体" w:hAnsi="Arial" w:cs="Arial"/>
          <w:color w:val="000000"/>
          <w:sz w:val="20"/>
          <w:szCs w:val="20"/>
        </w:rPr>
        <w:t>•The CCAR Steering Committee provides primary supervision of the stress tests performed in conformity with the Federal Reserve's CCAR process and the</w:t>
      </w:r>
      <w:r>
        <w:rPr>
          <w:rFonts w:ascii="Arial" w:eastAsia="宋体" w:hAnsi="Arial" w:cs="Arial"/>
          <w:color w:val="000000"/>
          <w:sz w:val="20"/>
          <w:szCs w:val="20"/>
        </w:rPr>
        <w:t xml:space="preserve"> Dodd-Frank Act, and is responsible for the overall management, review, and approval of all material assumptions, methodologies, and results of each stress scenario;</w:t>
      </w:r>
    </w:p>
    <w:p w14:paraId="5F2CD3C3" w14:textId="77777777" w:rsidR="00E836FB" w:rsidRDefault="00994958">
      <w:pPr>
        <w:spacing w:before="60"/>
        <w:ind w:hanging="360"/>
        <w:jc w:val="both"/>
        <w:textAlignment w:val="top"/>
      </w:pPr>
      <w:r>
        <w:rPr>
          <w:rFonts w:ascii="Arial" w:eastAsia="宋体" w:hAnsi="Arial" w:cs="Arial"/>
          <w:color w:val="000000"/>
          <w:sz w:val="20"/>
          <w:szCs w:val="20"/>
        </w:rPr>
        <w:t>•The State Street Global Advisors Risk Committee is the most senior oversight and decision</w:t>
      </w:r>
      <w:r>
        <w:rPr>
          <w:rFonts w:ascii="Arial" w:eastAsia="宋体" w:hAnsi="Arial" w:cs="Arial"/>
          <w:color w:val="000000"/>
          <w:sz w:val="20"/>
          <w:szCs w:val="20"/>
        </w:rPr>
        <w:t xml:space="preserve"> making committee for risk management within State Street Global Advisors; the committee is responsible for overseeing the alignment of State Street Global Advisors' strategy, and risk appetite, as well as alignment with our corporate-wide strategies and r</w:t>
      </w:r>
      <w:r>
        <w:rPr>
          <w:rFonts w:ascii="Arial" w:eastAsia="宋体" w:hAnsi="Arial" w:cs="Arial"/>
          <w:color w:val="000000"/>
          <w:sz w:val="20"/>
          <w:szCs w:val="20"/>
        </w:rPr>
        <w:t>isk management standards; and</w:t>
      </w:r>
    </w:p>
    <w:p w14:paraId="5F2CD3C4" w14:textId="77777777" w:rsidR="00E836FB" w:rsidRDefault="00994958">
      <w:pPr>
        <w:spacing w:before="60"/>
        <w:ind w:hanging="360"/>
        <w:jc w:val="both"/>
        <w:textAlignment w:val="top"/>
      </w:pPr>
      <w:r>
        <w:rPr>
          <w:rFonts w:ascii="Arial" w:eastAsia="宋体" w:hAnsi="Arial" w:cs="Arial"/>
          <w:color w:val="000000"/>
          <w:sz w:val="20"/>
          <w:szCs w:val="20"/>
        </w:rPr>
        <w:t>•The Country Risk Committee oversees the identification, assessment, monitoring, reporting and mitigation, where necessary, of country risks.</w:t>
      </w:r>
    </w:p>
    <w:p w14:paraId="5F2CD3C5" w14:textId="77777777" w:rsidR="00E836FB" w:rsidRDefault="00994958">
      <w:pPr>
        <w:ind w:firstLine="450"/>
        <w:jc w:val="right"/>
      </w:pPr>
      <w:r>
        <w:rPr>
          <w:rFonts w:ascii="Arial" w:eastAsia="宋体" w:hAnsi="Arial" w:cs="Arial"/>
          <w:color w:val="000000"/>
          <w:sz w:val="18"/>
          <w:szCs w:val="18"/>
        </w:rPr>
        <w:t>State Street Corporation | 87</w:t>
      </w:r>
    </w:p>
    <w:p w14:paraId="5F2CD3C6" w14:textId="77777777" w:rsidR="00E836FB" w:rsidRDefault="00E836FB">
      <w:pPr>
        <w:ind w:firstLine="450"/>
        <w:jc w:val="center"/>
      </w:pPr>
    </w:p>
    <w:p w14:paraId="5F2CD3C7" w14:textId="77777777" w:rsidR="00E836FB" w:rsidRDefault="00994958">
      <w:r>
        <w:pict w14:anchorId="5F2D6DDC">
          <v:rect id="_x0000_i1111" style="width:415.3pt;height:1.5pt" o:hralign="center" o:hrstd="t" o:hr="t" fillcolor="#a0a0a0" stroked="f"/>
        </w:pict>
      </w:r>
    </w:p>
    <w:p w14:paraId="5F2CD3C8" w14:textId="77777777" w:rsidR="00E836FB" w:rsidRDefault="00994958">
      <w:pPr>
        <w:ind w:firstLine="450"/>
        <w:jc w:val="center"/>
      </w:pPr>
      <w:r>
        <w:rPr>
          <w:rFonts w:ascii="Arial" w:eastAsia="宋体" w:hAnsi="Arial" w:cs="Arial"/>
          <w:b/>
          <w:bCs/>
          <w:color w:val="000000"/>
          <w:sz w:val="20"/>
          <w:szCs w:val="20"/>
        </w:rPr>
        <w:t>MANAGEMENT’S DISCUSSION AND ANALYSIS OF FINANCIAL C</w:t>
      </w:r>
      <w:r>
        <w:rPr>
          <w:rFonts w:ascii="Arial" w:eastAsia="宋体" w:hAnsi="Arial" w:cs="Arial"/>
          <w:b/>
          <w:bCs/>
          <w:color w:val="000000"/>
          <w:sz w:val="20"/>
          <w:szCs w:val="20"/>
        </w:rPr>
        <w:t>ONDITION</w:t>
      </w:r>
    </w:p>
    <w:p w14:paraId="5F2CD3C9" w14:textId="77777777" w:rsidR="00E836FB" w:rsidRDefault="00994958">
      <w:pPr>
        <w:ind w:firstLine="450"/>
        <w:jc w:val="center"/>
      </w:pPr>
      <w:r>
        <w:rPr>
          <w:rFonts w:ascii="Arial" w:eastAsia="宋体" w:hAnsi="Arial" w:cs="Arial"/>
          <w:b/>
          <w:bCs/>
          <w:color w:val="000000"/>
          <w:sz w:val="20"/>
          <w:szCs w:val="20"/>
        </w:rPr>
        <w:t>AND RESULTS OF OPERATIONS</w:t>
      </w:r>
    </w:p>
    <w:p w14:paraId="5F2CD3CA" w14:textId="77777777" w:rsidR="00E836FB" w:rsidRDefault="00994958">
      <w:pPr>
        <w:spacing w:before="60"/>
        <w:ind w:hanging="360"/>
        <w:jc w:val="both"/>
        <w:textAlignment w:val="top"/>
      </w:pPr>
      <w:r>
        <w:rPr>
          <w:rFonts w:ascii="Arial" w:eastAsia="宋体" w:hAnsi="Arial" w:cs="Arial"/>
          <w:color w:val="000000"/>
          <w:sz w:val="20"/>
          <w:szCs w:val="20"/>
        </w:rPr>
        <w:t>•The Regulatory Reporting Oversight Committee is responsible for providing oversight of regulatory reporting and related report governance processes and accountabilities.</w:t>
      </w:r>
    </w:p>
    <w:p w14:paraId="5F2CD3CB" w14:textId="77777777" w:rsidR="00E836FB" w:rsidRDefault="00994958">
      <w:pPr>
        <w:spacing w:before="60"/>
        <w:textAlignment w:val="top"/>
      </w:pPr>
      <w:r>
        <w:rPr>
          <w:rFonts w:ascii="Arial" w:eastAsia="宋体" w:hAnsi="Arial" w:cs="Arial"/>
          <w:i/>
          <w:iCs/>
          <w:color w:val="000000"/>
          <w:sz w:val="20"/>
          <w:szCs w:val="20"/>
        </w:rPr>
        <w:t>Business Conduct Committee</w:t>
      </w:r>
    </w:p>
    <w:p w14:paraId="5F2CD3CC" w14:textId="77777777" w:rsidR="00E836FB" w:rsidRDefault="00994958">
      <w:pPr>
        <w:spacing w:before="60"/>
        <w:ind w:hanging="360"/>
        <w:jc w:val="both"/>
        <w:textAlignment w:val="top"/>
      </w:pPr>
      <w:r>
        <w:rPr>
          <w:rFonts w:ascii="Arial" w:eastAsia="宋体" w:hAnsi="Arial" w:cs="Arial"/>
          <w:color w:val="000000"/>
          <w:sz w:val="20"/>
          <w:szCs w:val="20"/>
        </w:rPr>
        <w:t xml:space="preserve">•The Fiduciary Review Committee reviews and assesses the fiduciary risk management programs of those units in which we serve in a fiduciary capacity; </w:t>
      </w:r>
    </w:p>
    <w:p w14:paraId="5F2CD3CD" w14:textId="77777777" w:rsidR="00E836FB" w:rsidRDefault="00994958">
      <w:pPr>
        <w:spacing w:before="60"/>
        <w:ind w:hanging="360"/>
        <w:jc w:val="both"/>
        <w:textAlignment w:val="top"/>
      </w:pPr>
      <w:r>
        <w:rPr>
          <w:rFonts w:ascii="Arial" w:eastAsia="宋体" w:hAnsi="Arial" w:cs="Arial"/>
          <w:color w:val="000000"/>
          <w:sz w:val="20"/>
          <w:szCs w:val="20"/>
        </w:rPr>
        <w:t>•The New Business and Product Committee provides oversight of the evaluation of the risk inherent in prop</w:t>
      </w:r>
      <w:r>
        <w:rPr>
          <w:rFonts w:ascii="Arial" w:eastAsia="宋体" w:hAnsi="Arial" w:cs="Arial"/>
          <w:color w:val="000000"/>
          <w:sz w:val="20"/>
          <w:szCs w:val="20"/>
        </w:rPr>
        <w:t>osed new products or services and new business, and extensions of existing products or services, evaluations including economic justification, material risk, compliance, regulatory and legal considerations, and capital and liquidity analyses;</w:t>
      </w:r>
    </w:p>
    <w:p w14:paraId="5F2CD3CE" w14:textId="77777777" w:rsidR="00E836FB" w:rsidRDefault="00994958">
      <w:pPr>
        <w:spacing w:before="60"/>
        <w:ind w:hanging="360"/>
        <w:jc w:val="both"/>
        <w:textAlignment w:val="top"/>
      </w:pPr>
      <w:r>
        <w:rPr>
          <w:rFonts w:ascii="Arial" w:eastAsia="宋体" w:hAnsi="Arial" w:cs="Arial"/>
          <w:color w:val="000000"/>
          <w:sz w:val="20"/>
          <w:szCs w:val="20"/>
        </w:rPr>
        <w:t>•The Core Com</w:t>
      </w:r>
      <w:r>
        <w:rPr>
          <w:rFonts w:ascii="Arial" w:eastAsia="宋体" w:hAnsi="Arial" w:cs="Arial"/>
          <w:color w:val="000000"/>
          <w:sz w:val="20"/>
          <w:szCs w:val="20"/>
        </w:rPr>
        <w:t>pliance and Ethics Committee provides review and oversight of our compliance programs, including our culture of compliance and high standards of ethical behavior;</w:t>
      </w:r>
    </w:p>
    <w:p w14:paraId="5F2CD3CF" w14:textId="77777777" w:rsidR="00E836FB" w:rsidRDefault="00994958">
      <w:pPr>
        <w:spacing w:before="60"/>
        <w:ind w:hanging="360"/>
        <w:jc w:val="both"/>
        <w:textAlignment w:val="top"/>
      </w:pPr>
      <w:r>
        <w:rPr>
          <w:rFonts w:ascii="Arial" w:eastAsia="宋体" w:hAnsi="Arial" w:cs="Arial"/>
          <w:color w:val="000000"/>
          <w:sz w:val="20"/>
          <w:szCs w:val="20"/>
        </w:rPr>
        <w:t>•The Legal Entity Oversight Committee establishes standards with respect to the governance of</w:t>
      </w:r>
      <w:r>
        <w:rPr>
          <w:rFonts w:ascii="Arial" w:eastAsia="宋体" w:hAnsi="Arial" w:cs="Arial"/>
          <w:color w:val="000000"/>
          <w:sz w:val="20"/>
          <w:szCs w:val="20"/>
        </w:rPr>
        <w:t xml:space="preserve"> our legal entities, monitors adherence to those standards, and oversees the ongoing evaluation of our legal entity structure, including the formation, maintenance and dissolution of legal entities; and</w:t>
      </w:r>
    </w:p>
    <w:p w14:paraId="5F2CD3D0" w14:textId="77777777" w:rsidR="00E836FB" w:rsidRDefault="00994958">
      <w:pPr>
        <w:spacing w:before="60"/>
        <w:ind w:hanging="360"/>
        <w:jc w:val="both"/>
        <w:textAlignment w:val="top"/>
      </w:pPr>
      <w:r>
        <w:rPr>
          <w:rFonts w:ascii="Arial" w:eastAsia="宋体" w:hAnsi="Arial" w:cs="Arial"/>
          <w:color w:val="000000"/>
          <w:sz w:val="20"/>
          <w:szCs w:val="20"/>
        </w:rPr>
        <w:t>•The Conduct Standards Committee provides oversight o</w:t>
      </w:r>
      <w:r>
        <w:rPr>
          <w:rFonts w:ascii="Arial" w:eastAsia="宋体" w:hAnsi="Arial" w:cs="Arial"/>
          <w:color w:val="000000"/>
          <w:sz w:val="20"/>
          <w:szCs w:val="20"/>
        </w:rPr>
        <w:t>f our enforcement of employee conduct standards.</w:t>
      </w:r>
    </w:p>
    <w:p w14:paraId="5F2CD3D1" w14:textId="77777777" w:rsidR="00E836FB" w:rsidRDefault="00994958">
      <w:pPr>
        <w:spacing w:before="60"/>
        <w:textAlignment w:val="top"/>
      </w:pPr>
      <w:r>
        <w:rPr>
          <w:rFonts w:ascii="Arial" w:eastAsia="宋体" w:hAnsi="Arial" w:cs="Arial"/>
          <w:i/>
          <w:iCs/>
          <w:color w:val="000000"/>
          <w:sz w:val="20"/>
          <w:szCs w:val="20"/>
        </w:rPr>
        <w:t>Technology and Operational Risk Committee</w:t>
      </w:r>
    </w:p>
    <w:p w14:paraId="5F2CD3D2" w14:textId="77777777" w:rsidR="00E836FB" w:rsidRDefault="00994958">
      <w:pPr>
        <w:spacing w:before="60"/>
        <w:ind w:hanging="360"/>
        <w:jc w:val="both"/>
        <w:textAlignment w:val="top"/>
      </w:pPr>
      <w:r>
        <w:rPr>
          <w:rFonts w:ascii="Arial" w:eastAsia="宋体" w:hAnsi="Arial" w:cs="Arial"/>
          <w:color w:val="000000"/>
          <w:sz w:val="20"/>
          <w:szCs w:val="20"/>
        </w:rPr>
        <w:t>•The Operational Risk Committee, along with the support of regional business or entity-specific working groups and committees, is responsible for oversight of our op</w:t>
      </w:r>
      <w:r>
        <w:rPr>
          <w:rFonts w:ascii="Arial" w:eastAsia="宋体" w:hAnsi="Arial" w:cs="Arial"/>
          <w:color w:val="000000"/>
          <w:sz w:val="20"/>
          <w:szCs w:val="20"/>
        </w:rPr>
        <w:t>erational risk programs, including determining that the implementation of those programs is designed to identify, manage and control operational risk in an effective and consistent manner across the firm;</w:t>
      </w:r>
    </w:p>
    <w:p w14:paraId="5F2CD3D3" w14:textId="77777777" w:rsidR="00E836FB" w:rsidRDefault="00994958">
      <w:pPr>
        <w:spacing w:before="60"/>
        <w:ind w:hanging="360"/>
        <w:jc w:val="both"/>
        <w:textAlignment w:val="top"/>
      </w:pPr>
      <w:r>
        <w:rPr>
          <w:rFonts w:ascii="Arial" w:eastAsia="宋体" w:hAnsi="Arial" w:cs="Arial"/>
          <w:color w:val="000000"/>
          <w:sz w:val="20"/>
          <w:szCs w:val="20"/>
        </w:rPr>
        <w:t>•The Technology Risk Committee is responsible for t</w:t>
      </w:r>
      <w:r>
        <w:rPr>
          <w:rFonts w:ascii="Arial" w:eastAsia="宋体" w:hAnsi="Arial" w:cs="Arial"/>
          <w:color w:val="000000"/>
          <w:sz w:val="20"/>
          <w:szCs w:val="20"/>
        </w:rPr>
        <w:t>he global oversight, review and monitoring of operational, legal and regulatory compliance and reputational risk that may result in a significant change to our Information Technology risk profile or a material financial loss or reputational impact to globa</w:t>
      </w:r>
      <w:r>
        <w:rPr>
          <w:rFonts w:ascii="Arial" w:eastAsia="宋体" w:hAnsi="Arial" w:cs="Arial"/>
          <w:color w:val="000000"/>
          <w:sz w:val="20"/>
          <w:szCs w:val="20"/>
        </w:rPr>
        <w:t xml:space="preserve">l technology services. The Committee serves as a forum to provide regular reporting </w:t>
      </w:r>
    </w:p>
    <w:p w14:paraId="5F2CD3D4" w14:textId="77777777" w:rsidR="00E836FB" w:rsidRDefault="00994958">
      <w:pPr>
        <w:spacing w:before="60"/>
        <w:jc w:val="both"/>
        <w:textAlignment w:val="top"/>
      </w:pPr>
      <w:r>
        <w:rPr>
          <w:rFonts w:ascii="Arial" w:eastAsia="宋体" w:hAnsi="Arial" w:cs="Arial"/>
          <w:color w:val="000000"/>
          <w:sz w:val="20"/>
          <w:szCs w:val="20"/>
        </w:rPr>
        <w:t xml:space="preserve">to TORC and escalate technology risk and control issues to TORC, as appropriate; </w:t>
      </w:r>
    </w:p>
    <w:p w14:paraId="5F2CD3D5" w14:textId="77777777" w:rsidR="00E836FB" w:rsidRDefault="00994958">
      <w:pPr>
        <w:spacing w:before="60"/>
        <w:ind w:hanging="360"/>
        <w:jc w:val="both"/>
        <w:textAlignment w:val="top"/>
      </w:pPr>
      <w:r>
        <w:rPr>
          <w:rFonts w:ascii="Arial" w:eastAsia="宋体" w:hAnsi="Arial" w:cs="Arial"/>
          <w:color w:val="000000"/>
          <w:sz w:val="20"/>
          <w:szCs w:val="20"/>
        </w:rPr>
        <w:t xml:space="preserve">•The Enterprise Continuity Steering Committee considers matters pertaining to continuity </w:t>
      </w:r>
      <w:r>
        <w:rPr>
          <w:rFonts w:ascii="Arial" w:eastAsia="宋体" w:hAnsi="Arial" w:cs="Arial"/>
          <w:color w:val="000000"/>
          <w:sz w:val="20"/>
          <w:szCs w:val="20"/>
        </w:rPr>
        <w:t>and related risks, including oversight in determining the direction of the continuity program;</w:t>
      </w:r>
    </w:p>
    <w:p w14:paraId="5F2CD3D6" w14:textId="77777777" w:rsidR="00E836FB" w:rsidRDefault="00994958">
      <w:pPr>
        <w:spacing w:before="60"/>
        <w:ind w:hanging="360"/>
        <w:jc w:val="both"/>
        <w:textAlignment w:val="top"/>
      </w:pPr>
      <w:r>
        <w:rPr>
          <w:rFonts w:ascii="Arial" w:eastAsia="宋体" w:hAnsi="Arial" w:cs="Arial"/>
          <w:color w:val="000000"/>
          <w:sz w:val="20"/>
          <w:szCs w:val="20"/>
        </w:rPr>
        <w:t>•The Global Third Party and Outsourcing Risk Committee is responsible for overseeing a clear and transparent framework and effective processes for the identifica</w:t>
      </w:r>
      <w:r>
        <w:rPr>
          <w:rFonts w:ascii="Arial" w:eastAsia="宋体" w:hAnsi="Arial" w:cs="Arial"/>
          <w:color w:val="000000"/>
          <w:sz w:val="20"/>
          <w:szCs w:val="20"/>
        </w:rPr>
        <w:t>tion, assessment, and ongoing management of third party and outsourcing-related risks. This committee is also a decision-making body for outsourcing strategy, third party risk acceptance, and the end-to-end third party management process, including the ove</w:t>
      </w:r>
      <w:r>
        <w:rPr>
          <w:rFonts w:ascii="Arial" w:eastAsia="宋体" w:hAnsi="Arial" w:cs="Arial"/>
          <w:color w:val="000000"/>
          <w:sz w:val="20"/>
          <w:szCs w:val="20"/>
        </w:rPr>
        <w:t>rsight of appropriate controls and risk mitigants that comply with applicable regulatory standards;</w:t>
      </w:r>
    </w:p>
    <w:p w14:paraId="5F2CD3D7" w14:textId="77777777" w:rsidR="00E836FB" w:rsidRDefault="00994958">
      <w:pPr>
        <w:spacing w:before="60"/>
        <w:ind w:hanging="360"/>
        <w:jc w:val="both"/>
        <w:textAlignment w:val="top"/>
      </w:pPr>
      <w:r>
        <w:rPr>
          <w:rFonts w:ascii="Arial" w:eastAsia="宋体" w:hAnsi="Arial" w:cs="Arial"/>
          <w:color w:val="000000"/>
          <w:sz w:val="20"/>
          <w:szCs w:val="20"/>
        </w:rPr>
        <w:t>•The Executive Operations Management Committee is a forum for the development of strategy, decision-making, and escalation for operations, regulatory remedi</w:t>
      </w:r>
      <w:r>
        <w:rPr>
          <w:rFonts w:ascii="Arial" w:eastAsia="宋体" w:hAnsi="Arial" w:cs="Arial"/>
          <w:color w:val="000000"/>
          <w:sz w:val="20"/>
          <w:szCs w:val="20"/>
        </w:rPr>
        <w:t>ation, product management, technology, and the operating model; and</w:t>
      </w:r>
    </w:p>
    <w:p w14:paraId="5F2CD3D8" w14:textId="77777777" w:rsidR="00E836FB" w:rsidRDefault="00994958">
      <w:pPr>
        <w:spacing w:before="60"/>
        <w:ind w:hanging="360"/>
        <w:jc w:val="both"/>
        <w:textAlignment w:val="top"/>
      </w:pPr>
      <w:r>
        <w:rPr>
          <w:rFonts w:ascii="Arial" w:eastAsia="宋体" w:hAnsi="Arial" w:cs="Arial"/>
          <w:color w:val="000000"/>
          <w:sz w:val="20"/>
          <w:szCs w:val="20"/>
        </w:rPr>
        <w:t>•The Enterprise Data Management Committee oversees the enterprise-wide data management strategy, provides independent oversight of the programs associated with enterprise-wide data managem</w:t>
      </w:r>
      <w:r>
        <w:rPr>
          <w:rFonts w:ascii="Arial" w:eastAsia="宋体" w:hAnsi="Arial" w:cs="Arial"/>
          <w:color w:val="000000"/>
          <w:sz w:val="20"/>
          <w:szCs w:val="20"/>
        </w:rPr>
        <w:t>ent, serves as an escalation point for material and emerging enterprise-wide data management issues, and determines / oversees enterprise-wide data management priorities and strategy.</w:t>
      </w:r>
    </w:p>
    <w:p w14:paraId="5F2CD3D9" w14:textId="77777777" w:rsidR="00E836FB" w:rsidRDefault="00994958">
      <w:pPr>
        <w:spacing w:before="90"/>
        <w:textAlignment w:val="top"/>
      </w:pPr>
      <w:r>
        <w:rPr>
          <w:rFonts w:ascii="Arial" w:eastAsia="宋体" w:hAnsi="Arial" w:cs="Arial"/>
          <w:b/>
          <w:bCs/>
          <w:color w:val="000000"/>
          <w:sz w:val="20"/>
          <w:szCs w:val="20"/>
        </w:rPr>
        <w:t>Credit Risk Management</w:t>
      </w:r>
    </w:p>
    <w:p w14:paraId="5F2CD3DA" w14:textId="77777777" w:rsidR="00E836FB" w:rsidRDefault="00994958">
      <w:pPr>
        <w:spacing w:before="60"/>
        <w:textAlignment w:val="top"/>
      </w:pPr>
      <w:r>
        <w:rPr>
          <w:rFonts w:ascii="Arial" w:eastAsia="宋体" w:hAnsi="Arial" w:cs="Arial"/>
          <w:b/>
          <w:bCs/>
          <w:i/>
          <w:iCs/>
          <w:color w:val="000000"/>
          <w:sz w:val="20"/>
          <w:szCs w:val="20"/>
        </w:rPr>
        <w:t>Core Policies and Principles</w:t>
      </w:r>
    </w:p>
    <w:p w14:paraId="5F2CD3DB" w14:textId="77777777" w:rsidR="00E836FB" w:rsidRDefault="00994958">
      <w:pPr>
        <w:spacing w:before="60"/>
        <w:ind w:firstLine="450"/>
        <w:jc w:val="both"/>
        <w:textAlignment w:val="top"/>
      </w:pPr>
      <w:r>
        <w:rPr>
          <w:rFonts w:ascii="Arial" w:eastAsia="宋体" w:hAnsi="Arial" w:cs="Arial"/>
          <w:color w:val="000000"/>
          <w:sz w:val="20"/>
          <w:szCs w:val="20"/>
        </w:rPr>
        <w:t xml:space="preserve">We define </w:t>
      </w:r>
      <w:r>
        <w:rPr>
          <w:rFonts w:ascii="Arial" w:eastAsia="宋体" w:hAnsi="Arial" w:cs="Arial"/>
          <w:color w:val="000000"/>
          <w:sz w:val="20"/>
          <w:szCs w:val="20"/>
        </w:rPr>
        <w:t>credit risk as the risk of financial loss if a counterparty, borrower or obligor, collectively referred to as a counterparty, is either unable or unwilling to repay borrowings or settle a transaction in accordance with underlying contractual terms. We assu</w:t>
      </w:r>
      <w:r>
        <w:rPr>
          <w:rFonts w:ascii="Arial" w:eastAsia="宋体" w:hAnsi="Arial" w:cs="Arial"/>
          <w:color w:val="000000"/>
          <w:sz w:val="20"/>
          <w:szCs w:val="20"/>
        </w:rPr>
        <w:t>me credit risk in our traditional non-trading lending activities, such as overdrafts, loans and contingent commitments, in our investment securities portfolio, where recourse to a counterparty exists, and in our direct and indirect trading activities, such</w:t>
      </w:r>
      <w:r>
        <w:rPr>
          <w:rFonts w:ascii="Arial" w:eastAsia="宋体" w:hAnsi="Arial" w:cs="Arial"/>
          <w:color w:val="000000"/>
          <w:sz w:val="20"/>
          <w:szCs w:val="20"/>
        </w:rPr>
        <w:t xml:space="preserve"> as securities purchased under a resale agreement, principal securities lending and foreign exchange and indemnified agency securities lending. We also assume credit risk in our day-to-day treasury and securities</w:t>
      </w:r>
      <w:r>
        <w:rPr>
          <w:rFonts w:ascii="Arial" w:eastAsia="宋体" w:hAnsi="Arial" w:cs="Arial"/>
          <w:b/>
          <w:bCs/>
          <w:i/>
          <w:iCs/>
          <w:color w:val="000000"/>
          <w:sz w:val="20"/>
          <w:szCs w:val="20"/>
        </w:rPr>
        <w:t xml:space="preserve"> </w:t>
      </w:r>
      <w:r>
        <w:rPr>
          <w:rFonts w:ascii="Arial" w:eastAsia="宋体" w:hAnsi="Arial" w:cs="Arial"/>
          <w:color w:val="000000"/>
          <w:sz w:val="20"/>
          <w:szCs w:val="20"/>
        </w:rPr>
        <w:t>and other settlement operations, in the for</w:t>
      </w:r>
      <w:r>
        <w:rPr>
          <w:rFonts w:ascii="Arial" w:eastAsia="宋体" w:hAnsi="Arial" w:cs="Arial"/>
          <w:color w:val="000000"/>
          <w:sz w:val="20"/>
          <w:szCs w:val="20"/>
        </w:rPr>
        <w:t>m of deposit placements and other cash balances, with central banks or private sector institutions and fees receivables.     </w:t>
      </w:r>
    </w:p>
    <w:p w14:paraId="5F2CD3DC" w14:textId="77777777" w:rsidR="00E836FB" w:rsidRDefault="00994958">
      <w:pPr>
        <w:spacing w:before="60"/>
        <w:ind w:firstLine="450"/>
        <w:jc w:val="both"/>
        <w:textAlignment w:val="top"/>
      </w:pPr>
      <w:r>
        <w:rPr>
          <w:rFonts w:ascii="Arial" w:eastAsia="宋体" w:hAnsi="Arial" w:cs="Arial"/>
          <w:color w:val="000000"/>
          <w:sz w:val="20"/>
          <w:szCs w:val="20"/>
        </w:rPr>
        <w:t xml:space="preserve">We distinguish between three major types of credit risk: </w:t>
      </w:r>
    </w:p>
    <w:p w14:paraId="5F2CD3DD" w14:textId="77777777" w:rsidR="00E836FB" w:rsidRDefault="00994958">
      <w:pPr>
        <w:ind w:firstLine="450"/>
        <w:jc w:val="right"/>
      </w:pPr>
      <w:r>
        <w:rPr>
          <w:rFonts w:ascii="Arial" w:eastAsia="宋体" w:hAnsi="Arial" w:cs="Arial"/>
          <w:color w:val="000000"/>
          <w:sz w:val="18"/>
          <w:szCs w:val="18"/>
        </w:rPr>
        <w:t>State Street Corporation | 88</w:t>
      </w:r>
    </w:p>
    <w:p w14:paraId="5F2CD3DE" w14:textId="77777777" w:rsidR="00E836FB" w:rsidRDefault="00E836FB">
      <w:pPr>
        <w:ind w:firstLine="450"/>
        <w:jc w:val="center"/>
      </w:pPr>
    </w:p>
    <w:p w14:paraId="5F2CD3DF" w14:textId="77777777" w:rsidR="00E836FB" w:rsidRDefault="00994958">
      <w:r>
        <w:pict w14:anchorId="5F2D6DDD">
          <v:rect id="_x0000_i1112" style="width:415.3pt;height:1.5pt" o:hralign="center" o:hrstd="t" o:hr="t" fillcolor="#a0a0a0" stroked="f"/>
        </w:pict>
      </w:r>
    </w:p>
    <w:p w14:paraId="5F2CD3E0" w14:textId="77777777" w:rsidR="00E836FB" w:rsidRDefault="00994958">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5F2CD3E1" w14:textId="77777777" w:rsidR="00E836FB" w:rsidRDefault="00994958">
      <w:pPr>
        <w:ind w:firstLine="450"/>
        <w:jc w:val="center"/>
      </w:pPr>
      <w:r>
        <w:rPr>
          <w:rFonts w:ascii="Arial" w:eastAsia="宋体" w:hAnsi="Arial" w:cs="Arial"/>
          <w:b/>
          <w:bCs/>
          <w:color w:val="000000"/>
          <w:sz w:val="20"/>
          <w:szCs w:val="20"/>
        </w:rPr>
        <w:t>AND RESULTS OF OPERATIONS</w:t>
      </w:r>
    </w:p>
    <w:p w14:paraId="5F2CD3E2" w14:textId="77777777" w:rsidR="00E836FB" w:rsidRDefault="00994958">
      <w:pPr>
        <w:spacing w:before="60"/>
        <w:ind w:hanging="360"/>
        <w:jc w:val="both"/>
        <w:textAlignment w:val="top"/>
      </w:pPr>
      <w:r>
        <w:rPr>
          <w:rFonts w:ascii="Arial" w:eastAsia="宋体" w:hAnsi="Arial" w:cs="Arial"/>
          <w:color w:val="000000"/>
          <w:sz w:val="20"/>
          <w:szCs w:val="20"/>
        </w:rPr>
        <w:t>•Default risk - the risk that a counterparty fails to meet its contractual payment obligations;</w:t>
      </w:r>
    </w:p>
    <w:p w14:paraId="5F2CD3E3" w14:textId="77777777" w:rsidR="00E836FB" w:rsidRDefault="00994958">
      <w:pPr>
        <w:spacing w:before="60"/>
        <w:ind w:hanging="360"/>
        <w:jc w:val="both"/>
        <w:textAlignment w:val="top"/>
      </w:pPr>
      <w:r>
        <w:rPr>
          <w:rFonts w:ascii="Arial" w:eastAsia="宋体" w:hAnsi="Arial" w:cs="Arial"/>
          <w:color w:val="000000"/>
          <w:sz w:val="20"/>
          <w:szCs w:val="20"/>
        </w:rPr>
        <w:t xml:space="preserve">•Country risk - the risk that we may suffer a loss, in any given country, due to any of the following </w:t>
      </w:r>
      <w:r>
        <w:rPr>
          <w:rFonts w:ascii="Arial" w:eastAsia="宋体" w:hAnsi="Arial" w:cs="Arial"/>
          <w:color w:val="000000"/>
          <w:sz w:val="20"/>
          <w:szCs w:val="20"/>
        </w:rPr>
        <w:t xml:space="preserve">reasons: deterioration of economic conditions, political and social upheaval, nationalization and appropriation of assets, government repudiation of indebtedness, exchange controls and disruptive currency depreciation or devaluation; and </w:t>
      </w:r>
    </w:p>
    <w:p w14:paraId="5F2CD3E4" w14:textId="77777777" w:rsidR="00E836FB" w:rsidRDefault="00994958">
      <w:pPr>
        <w:spacing w:before="60"/>
        <w:ind w:hanging="360"/>
        <w:jc w:val="both"/>
        <w:textAlignment w:val="top"/>
      </w:pPr>
      <w:r>
        <w:rPr>
          <w:rFonts w:ascii="Arial" w:eastAsia="宋体" w:hAnsi="Arial" w:cs="Arial"/>
          <w:color w:val="000000"/>
          <w:sz w:val="20"/>
          <w:szCs w:val="20"/>
        </w:rPr>
        <w:t xml:space="preserve">•Settlement risk </w:t>
      </w:r>
      <w:r>
        <w:rPr>
          <w:rFonts w:ascii="Arial" w:eastAsia="宋体" w:hAnsi="Arial" w:cs="Arial"/>
          <w:color w:val="000000"/>
          <w:sz w:val="20"/>
          <w:szCs w:val="20"/>
        </w:rPr>
        <w:t>- the risk that the settlement or clearance of transactions will fail, which arises whenever the exchange of cash, securities and/or other assets is not simultaneous.</w:t>
      </w:r>
    </w:p>
    <w:p w14:paraId="5F2CD3E5" w14:textId="77777777" w:rsidR="00E836FB" w:rsidRDefault="00994958">
      <w:pPr>
        <w:spacing w:before="60"/>
        <w:ind w:firstLine="450"/>
        <w:jc w:val="both"/>
        <w:textAlignment w:val="top"/>
      </w:pPr>
      <w:r>
        <w:rPr>
          <w:rFonts w:ascii="Arial" w:eastAsia="宋体" w:hAnsi="Arial" w:cs="Arial"/>
          <w:color w:val="000000"/>
          <w:sz w:val="20"/>
          <w:szCs w:val="20"/>
        </w:rPr>
        <w:t>The acceptance of credit risk by us is governed by corporate policies and guidelines, whi</w:t>
      </w:r>
      <w:r>
        <w:rPr>
          <w:rFonts w:ascii="Arial" w:eastAsia="宋体" w:hAnsi="Arial" w:cs="Arial"/>
          <w:color w:val="000000"/>
          <w:sz w:val="20"/>
          <w:szCs w:val="20"/>
        </w:rPr>
        <w:t>ch include standardized procedures applied across the entire organization. These policies and guidelines include specific requirements related to each counterparty's risk profile; the markets served; counterparty, industry and country concentrations; and r</w:t>
      </w:r>
      <w:r>
        <w:rPr>
          <w:rFonts w:ascii="Arial" w:eastAsia="宋体" w:hAnsi="Arial" w:cs="Arial"/>
          <w:color w:val="000000"/>
          <w:sz w:val="20"/>
          <w:szCs w:val="20"/>
        </w:rPr>
        <w:t>egulatory compliance. These policies and procedures also implement a number of core principles, which include the following:</w:t>
      </w:r>
    </w:p>
    <w:p w14:paraId="5F2CD3E6" w14:textId="77777777" w:rsidR="00E836FB" w:rsidRDefault="00994958">
      <w:pPr>
        <w:spacing w:before="60"/>
        <w:ind w:hanging="360"/>
        <w:jc w:val="both"/>
        <w:textAlignment w:val="top"/>
      </w:pPr>
      <w:r>
        <w:rPr>
          <w:rFonts w:ascii="Arial" w:eastAsia="宋体" w:hAnsi="Arial" w:cs="Arial"/>
          <w:color w:val="000000"/>
          <w:sz w:val="20"/>
          <w:szCs w:val="20"/>
        </w:rPr>
        <w:t>•We measure and consolidate credit risks to each counterparty, or group of counterparties, in accordance with a “one-obligor” princ</w:t>
      </w:r>
      <w:r>
        <w:rPr>
          <w:rFonts w:ascii="Arial" w:eastAsia="宋体" w:hAnsi="Arial" w:cs="Arial"/>
          <w:color w:val="000000"/>
          <w:sz w:val="20"/>
          <w:szCs w:val="20"/>
        </w:rPr>
        <w:t>iple that aggregates risks across our business units;</w:t>
      </w:r>
    </w:p>
    <w:p w14:paraId="5F2CD3E7" w14:textId="77777777" w:rsidR="00E836FB" w:rsidRDefault="00994958">
      <w:pPr>
        <w:spacing w:before="60"/>
        <w:ind w:hanging="360"/>
        <w:jc w:val="both"/>
        <w:textAlignment w:val="top"/>
      </w:pPr>
      <w:r>
        <w:rPr>
          <w:rFonts w:ascii="Arial" w:eastAsia="宋体" w:hAnsi="Arial" w:cs="Arial"/>
          <w:color w:val="000000"/>
          <w:sz w:val="20"/>
          <w:szCs w:val="20"/>
        </w:rPr>
        <w:t>•ERM reviews and approves all material extensions of credit, and material changes to such extensions of credit (such as changes in term, collateral structure or covenants), in accordance with assigned c</w:t>
      </w:r>
      <w:r>
        <w:rPr>
          <w:rFonts w:ascii="Arial" w:eastAsia="宋体" w:hAnsi="Arial" w:cs="Arial"/>
          <w:color w:val="000000"/>
          <w:sz w:val="20"/>
          <w:szCs w:val="20"/>
        </w:rPr>
        <w:t xml:space="preserve">redit-approval authorities; </w:t>
      </w:r>
    </w:p>
    <w:p w14:paraId="5F2CD3E8" w14:textId="77777777" w:rsidR="00E836FB" w:rsidRDefault="00994958">
      <w:pPr>
        <w:spacing w:before="60"/>
        <w:ind w:hanging="360"/>
        <w:jc w:val="both"/>
        <w:textAlignment w:val="top"/>
      </w:pPr>
      <w:r>
        <w:rPr>
          <w:rFonts w:ascii="Arial" w:eastAsia="宋体" w:hAnsi="Arial" w:cs="Arial"/>
          <w:color w:val="000000"/>
          <w:sz w:val="20"/>
          <w:szCs w:val="20"/>
        </w:rPr>
        <w:t>•Credit-approval authorities are assigned to individuals according to their qualifications, experience and training, and these authorities are periodically reviewed. Our largest exposures require approval by the Credit Committe</w:t>
      </w:r>
      <w:r>
        <w:rPr>
          <w:rFonts w:ascii="Arial" w:eastAsia="宋体" w:hAnsi="Arial" w:cs="Arial"/>
          <w:color w:val="000000"/>
          <w:sz w:val="20"/>
          <w:szCs w:val="20"/>
        </w:rPr>
        <w:t>e, a sub-committee of the CMRC. With respect to small and low-risk extensions of credit to certain types of counterparties, approval authority may be granted to individuals outside of ERM;</w:t>
      </w:r>
    </w:p>
    <w:p w14:paraId="5F2CD3E9" w14:textId="77777777" w:rsidR="00E836FB" w:rsidRDefault="00994958">
      <w:pPr>
        <w:spacing w:before="60"/>
        <w:ind w:hanging="360"/>
        <w:jc w:val="both"/>
        <w:textAlignment w:val="top"/>
      </w:pPr>
      <w:r>
        <w:rPr>
          <w:rFonts w:ascii="Arial" w:eastAsia="宋体" w:hAnsi="Arial" w:cs="Arial"/>
          <w:color w:val="000000"/>
          <w:sz w:val="20"/>
          <w:szCs w:val="20"/>
        </w:rPr>
        <w:t>•We seek to avoid or limit undue concentrations of risk. Counterpar</w:t>
      </w:r>
      <w:r>
        <w:rPr>
          <w:rFonts w:ascii="Arial" w:eastAsia="宋体" w:hAnsi="Arial" w:cs="Arial"/>
          <w:color w:val="000000"/>
          <w:sz w:val="20"/>
          <w:szCs w:val="20"/>
        </w:rPr>
        <w:t>ty (or groups of counterparties), industry, country and product-specific concentrations of risk are subject to frequent review and approval in accordance with our risk appetite;</w:t>
      </w:r>
    </w:p>
    <w:p w14:paraId="5F2CD3EA" w14:textId="77777777" w:rsidR="00E836FB" w:rsidRDefault="00994958">
      <w:pPr>
        <w:spacing w:before="60"/>
        <w:ind w:hanging="360"/>
        <w:jc w:val="both"/>
        <w:textAlignment w:val="top"/>
      </w:pPr>
      <w:r>
        <w:rPr>
          <w:rFonts w:ascii="Arial" w:eastAsia="宋体" w:hAnsi="Arial" w:cs="Arial"/>
          <w:color w:val="000000"/>
          <w:sz w:val="20"/>
          <w:szCs w:val="20"/>
        </w:rPr>
        <w:t xml:space="preserve">•We determine the creditworthiness of counterparties through a detailed risk </w:t>
      </w:r>
    </w:p>
    <w:p w14:paraId="5F2CD3EB" w14:textId="77777777" w:rsidR="00E836FB" w:rsidRDefault="00994958">
      <w:pPr>
        <w:spacing w:before="60"/>
        <w:jc w:val="both"/>
        <w:textAlignment w:val="top"/>
      </w:pPr>
      <w:r>
        <w:rPr>
          <w:rFonts w:ascii="Arial" w:eastAsia="宋体" w:hAnsi="Arial" w:cs="Arial"/>
          <w:color w:val="000000"/>
          <w:sz w:val="20"/>
          <w:szCs w:val="20"/>
        </w:rPr>
        <w:t xml:space="preserve">assessment, including the use of internal risk-rating methodologies; </w:t>
      </w:r>
    </w:p>
    <w:p w14:paraId="5F2CD3EC" w14:textId="77777777" w:rsidR="00E836FB" w:rsidRDefault="00994958">
      <w:pPr>
        <w:spacing w:before="60"/>
        <w:ind w:hanging="360"/>
        <w:jc w:val="both"/>
        <w:textAlignment w:val="top"/>
      </w:pPr>
      <w:r>
        <w:rPr>
          <w:rFonts w:ascii="Arial" w:eastAsia="宋体" w:hAnsi="Arial" w:cs="Arial"/>
          <w:color w:val="000000"/>
          <w:sz w:val="20"/>
          <w:szCs w:val="20"/>
        </w:rPr>
        <w:t>•We review all extensions of credit and the creditworthiness of counterparties at least annually. The nature and extent of these reviews are determined by the size, nature and term of th</w:t>
      </w:r>
      <w:r>
        <w:rPr>
          <w:rFonts w:ascii="Arial" w:eastAsia="宋体" w:hAnsi="Arial" w:cs="Arial"/>
          <w:color w:val="000000"/>
          <w:sz w:val="20"/>
          <w:szCs w:val="20"/>
        </w:rPr>
        <w:t>e extensions of credit and the creditworthiness of the counterparty; and</w:t>
      </w:r>
    </w:p>
    <w:p w14:paraId="5F2CD3ED" w14:textId="77777777" w:rsidR="00E836FB" w:rsidRDefault="00994958">
      <w:pPr>
        <w:spacing w:before="60"/>
        <w:ind w:hanging="360"/>
        <w:jc w:val="both"/>
        <w:textAlignment w:val="top"/>
      </w:pPr>
      <w:r>
        <w:rPr>
          <w:rFonts w:ascii="Arial" w:eastAsia="宋体" w:hAnsi="Arial" w:cs="Arial"/>
          <w:color w:val="000000"/>
          <w:sz w:val="20"/>
          <w:szCs w:val="20"/>
        </w:rPr>
        <w:t>•We subject all corporate policies and guidelines to annual review as an integral part of our periodic assessment of our risk appetite.</w:t>
      </w:r>
    </w:p>
    <w:p w14:paraId="5F2CD3EE" w14:textId="77777777" w:rsidR="00E836FB" w:rsidRDefault="00994958">
      <w:pPr>
        <w:spacing w:before="60"/>
        <w:ind w:firstLine="450"/>
        <w:jc w:val="both"/>
        <w:textAlignment w:val="top"/>
      </w:pPr>
      <w:r>
        <w:rPr>
          <w:rFonts w:ascii="Arial" w:eastAsia="宋体" w:hAnsi="Arial" w:cs="Arial"/>
          <w:color w:val="000000"/>
          <w:sz w:val="20"/>
          <w:szCs w:val="20"/>
        </w:rPr>
        <w:t>Our corporate policies and guidelines require t</w:t>
      </w:r>
      <w:r>
        <w:rPr>
          <w:rFonts w:ascii="Arial" w:eastAsia="宋体" w:hAnsi="Arial" w:cs="Arial"/>
          <w:color w:val="000000"/>
          <w:sz w:val="20"/>
          <w:szCs w:val="20"/>
        </w:rPr>
        <w:t>hat the business units which engage in activities that give rise to credit and counterparty risk comply with procedures that promote the extension of credit for legitimate business purposes; are consistent with the maintenance of proper credit standards; l</w:t>
      </w:r>
      <w:r>
        <w:rPr>
          <w:rFonts w:ascii="Arial" w:eastAsia="宋体" w:hAnsi="Arial" w:cs="Arial"/>
          <w:color w:val="000000"/>
          <w:sz w:val="20"/>
          <w:szCs w:val="20"/>
        </w:rPr>
        <w:t>imit credit-related losses; and are consistent with our goal of maintaining a strong financial condition.</w:t>
      </w:r>
    </w:p>
    <w:p w14:paraId="5F2CD3EF" w14:textId="77777777" w:rsidR="00E836FB" w:rsidRDefault="00994958">
      <w:pPr>
        <w:spacing w:before="60"/>
        <w:textAlignment w:val="top"/>
      </w:pPr>
      <w:r>
        <w:rPr>
          <w:rFonts w:ascii="Arial" w:eastAsia="宋体" w:hAnsi="Arial" w:cs="Arial"/>
          <w:b/>
          <w:bCs/>
          <w:i/>
          <w:iCs/>
          <w:color w:val="000000"/>
          <w:sz w:val="20"/>
          <w:szCs w:val="20"/>
        </w:rPr>
        <w:t>Structure and Organization</w:t>
      </w:r>
    </w:p>
    <w:p w14:paraId="5F2CD3F0" w14:textId="77777777" w:rsidR="00E836FB" w:rsidRDefault="00994958">
      <w:pPr>
        <w:spacing w:before="60"/>
        <w:ind w:firstLine="450"/>
        <w:jc w:val="both"/>
        <w:textAlignment w:val="top"/>
      </w:pPr>
      <w:r>
        <w:rPr>
          <w:rFonts w:ascii="Arial" w:eastAsia="宋体" w:hAnsi="Arial" w:cs="Arial"/>
          <w:color w:val="000000"/>
          <w:sz w:val="20"/>
          <w:szCs w:val="20"/>
        </w:rPr>
        <w:t>The Credit and Global Markets Risk group within ERM is responsible for the assessment, approval and monitoring of credit ri</w:t>
      </w:r>
      <w:r>
        <w:rPr>
          <w:rFonts w:ascii="Arial" w:eastAsia="宋体" w:hAnsi="Arial" w:cs="Arial"/>
          <w:color w:val="000000"/>
          <w:sz w:val="20"/>
          <w:szCs w:val="20"/>
        </w:rPr>
        <w:t>sk across our business. The group is managed centrally, has dedicated teams in a number of locations worldwide, and is responsible for related policies and procedures, and for our internal credit-rating systems and methodologies. In addition, the group, in</w:t>
      </w:r>
      <w:r>
        <w:rPr>
          <w:rFonts w:ascii="Arial" w:eastAsia="宋体" w:hAnsi="Arial" w:cs="Arial"/>
          <w:color w:val="000000"/>
          <w:sz w:val="20"/>
          <w:szCs w:val="20"/>
        </w:rPr>
        <w:t xml:space="preserve"> conjunction with the business units, establishes measurements and limits to control the amount of credit risk accepted across its various business activities, both at the portfolio level and for each individual counterparty or group of counterparties, to </w:t>
      </w:r>
      <w:r>
        <w:rPr>
          <w:rFonts w:ascii="Arial" w:eastAsia="宋体" w:hAnsi="Arial" w:cs="Arial"/>
          <w:color w:val="000000"/>
          <w:sz w:val="20"/>
          <w:szCs w:val="20"/>
        </w:rPr>
        <w:t xml:space="preserve">individual sectors, and also to counterparties by product and country of risk. These measurements and limits are reviewed periodically, but at least annually. </w:t>
      </w:r>
    </w:p>
    <w:p w14:paraId="5F2CD3F1" w14:textId="77777777" w:rsidR="00E836FB" w:rsidRDefault="00994958">
      <w:pPr>
        <w:spacing w:before="60"/>
        <w:ind w:firstLine="450"/>
        <w:jc w:val="both"/>
        <w:textAlignment w:val="top"/>
      </w:pPr>
      <w:r>
        <w:rPr>
          <w:rFonts w:ascii="Arial" w:eastAsia="宋体" w:hAnsi="Arial" w:cs="Arial"/>
          <w:color w:val="000000"/>
          <w:sz w:val="20"/>
          <w:szCs w:val="20"/>
        </w:rPr>
        <w:t>In conjunction with other groups in ERM, the Credit and Global Markets Risk group is jointly res</w:t>
      </w:r>
      <w:r>
        <w:rPr>
          <w:rFonts w:ascii="Arial" w:eastAsia="宋体" w:hAnsi="Arial" w:cs="Arial"/>
          <w:color w:val="000000"/>
          <w:sz w:val="20"/>
          <w:szCs w:val="20"/>
        </w:rPr>
        <w:t xml:space="preserve">ponsible for the design, implementation and oversight of our credit risk measurement and management systems, including data and assessment systems, quantification systems and the reporting framework. </w:t>
      </w:r>
    </w:p>
    <w:p w14:paraId="5F2CD3F2" w14:textId="77777777" w:rsidR="00E836FB" w:rsidRDefault="00994958">
      <w:pPr>
        <w:spacing w:before="60"/>
        <w:ind w:firstLine="450"/>
        <w:jc w:val="both"/>
        <w:textAlignment w:val="top"/>
      </w:pPr>
      <w:r>
        <w:rPr>
          <w:rFonts w:ascii="Arial" w:eastAsia="宋体" w:hAnsi="Arial" w:cs="Arial"/>
          <w:color w:val="000000"/>
          <w:sz w:val="20"/>
          <w:szCs w:val="20"/>
        </w:rPr>
        <w:t>Various key committees within our company are responsib</w:t>
      </w:r>
      <w:r>
        <w:rPr>
          <w:rFonts w:ascii="Arial" w:eastAsia="宋体" w:hAnsi="Arial" w:cs="Arial"/>
          <w:color w:val="000000"/>
          <w:sz w:val="20"/>
          <w:szCs w:val="20"/>
        </w:rPr>
        <w:t>le for the oversight of credit risk and associated credit risk policies, systems and models. All credit-related activities are governed by our risk appetite framework and our credit risk guidelines, which define our general philosophy with respect to credi</w:t>
      </w:r>
      <w:r>
        <w:rPr>
          <w:rFonts w:ascii="Arial" w:eastAsia="宋体" w:hAnsi="Arial" w:cs="Arial"/>
          <w:color w:val="000000"/>
          <w:sz w:val="20"/>
          <w:szCs w:val="20"/>
        </w:rPr>
        <w:t xml:space="preserve">t risk and the manner in which we control, manage and monitor such risks. </w:t>
      </w:r>
    </w:p>
    <w:p w14:paraId="5F2CD3F3" w14:textId="77777777" w:rsidR="00E836FB" w:rsidRDefault="00994958">
      <w:pPr>
        <w:spacing w:before="60"/>
        <w:ind w:firstLine="450"/>
        <w:jc w:val="both"/>
        <w:textAlignment w:val="top"/>
      </w:pPr>
      <w:r>
        <w:rPr>
          <w:rFonts w:ascii="Arial" w:eastAsia="宋体" w:hAnsi="Arial" w:cs="Arial"/>
          <w:color w:val="000000"/>
          <w:sz w:val="20"/>
          <w:szCs w:val="20"/>
        </w:rPr>
        <w:t xml:space="preserve">The previously described CMRC (refer to "Risk Committees") has primary responsibility for the oversight, review and approval of the credit risk </w:t>
      </w:r>
    </w:p>
    <w:p w14:paraId="5F2CD3F4" w14:textId="77777777" w:rsidR="00E836FB" w:rsidRDefault="00994958">
      <w:pPr>
        <w:ind w:firstLine="450"/>
        <w:jc w:val="right"/>
      </w:pPr>
      <w:r>
        <w:rPr>
          <w:rFonts w:ascii="Arial" w:eastAsia="宋体" w:hAnsi="Arial" w:cs="Arial"/>
          <w:color w:val="000000"/>
          <w:sz w:val="18"/>
          <w:szCs w:val="18"/>
        </w:rPr>
        <w:t>State Street Corporation | 89</w:t>
      </w:r>
    </w:p>
    <w:p w14:paraId="5F2CD3F5" w14:textId="77777777" w:rsidR="00E836FB" w:rsidRDefault="00E836FB">
      <w:pPr>
        <w:ind w:firstLine="450"/>
        <w:jc w:val="center"/>
      </w:pPr>
    </w:p>
    <w:p w14:paraId="5F2CD3F6" w14:textId="77777777" w:rsidR="00E836FB" w:rsidRDefault="00994958">
      <w:r>
        <w:pict w14:anchorId="5F2D6DDE">
          <v:rect id="_x0000_i1113" style="width:415.3pt;height:1.5pt" o:hralign="center" o:hrstd="t" o:hr="t" fillcolor="#a0a0a0" stroked="f"/>
        </w:pict>
      </w:r>
    </w:p>
    <w:p w14:paraId="5F2CD3F7"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3F8" w14:textId="77777777" w:rsidR="00E836FB" w:rsidRDefault="00994958">
      <w:pPr>
        <w:ind w:firstLine="450"/>
        <w:jc w:val="center"/>
      </w:pPr>
      <w:r>
        <w:rPr>
          <w:rFonts w:ascii="Arial" w:eastAsia="宋体" w:hAnsi="Arial" w:cs="Arial"/>
          <w:b/>
          <w:bCs/>
          <w:color w:val="000000"/>
          <w:sz w:val="20"/>
          <w:szCs w:val="20"/>
        </w:rPr>
        <w:t>AND RESULTS OF OPERATIONS</w:t>
      </w:r>
    </w:p>
    <w:p w14:paraId="5F2CD3F9" w14:textId="77777777" w:rsidR="00E836FB" w:rsidRDefault="00994958">
      <w:pPr>
        <w:spacing w:before="60"/>
        <w:jc w:val="both"/>
        <w:textAlignment w:val="top"/>
      </w:pPr>
      <w:r>
        <w:rPr>
          <w:rFonts w:ascii="Arial" w:eastAsia="宋体" w:hAnsi="Arial" w:cs="Arial"/>
          <w:color w:val="000000"/>
          <w:sz w:val="20"/>
          <w:szCs w:val="20"/>
        </w:rPr>
        <w:t>guidelines and policies. Credit risk guidelines and policies are reviewed periodically, but at least annually.</w:t>
      </w:r>
    </w:p>
    <w:p w14:paraId="5F2CD3FA" w14:textId="77777777" w:rsidR="00E836FB" w:rsidRDefault="00994958">
      <w:pPr>
        <w:spacing w:before="60"/>
        <w:ind w:firstLine="450"/>
        <w:jc w:val="both"/>
        <w:textAlignment w:val="top"/>
      </w:pPr>
      <w:r>
        <w:rPr>
          <w:rFonts w:ascii="Arial" w:eastAsia="宋体" w:hAnsi="Arial" w:cs="Arial"/>
          <w:color w:val="000000"/>
          <w:sz w:val="20"/>
          <w:szCs w:val="20"/>
        </w:rPr>
        <w:t xml:space="preserve">The Credit Committee, a sub-committee of the CMRC, has responsibility for assigning credit authority and approving the largest and higher-risk extensions of credit to individual counterparties or groups of counterparties. </w:t>
      </w:r>
    </w:p>
    <w:p w14:paraId="5F2CD3FB" w14:textId="77777777" w:rsidR="00E836FB" w:rsidRDefault="00994958">
      <w:pPr>
        <w:spacing w:before="60"/>
        <w:ind w:firstLine="450"/>
        <w:jc w:val="both"/>
        <w:textAlignment w:val="top"/>
      </w:pPr>
      <w:r>
        <w:rPr>
          <w:rFonts w:ascii="Arial" w:eastAsia="宋体" w:hAnsi="Arial" w:cs="Arial"/>
          <w:color w:val="000000"/>
          <w:sz w:val="20"/>
          <w:szCs w:val="20"/>
        </w:rPr>
        <w:t>CMRC provides periodic updates to</w:t>
      </w:r>
      <w:r>
        <w:rPr>
          <w:rFonts w:ascii="Arial" w:eastAsia="宋体" w:hAnsi="Arial" w:cs="Arial"/>
          <w:color w:val="000000"/>
          <w:sz w:val="20"/>
          <w:szCs w:val="20"/>
        </w:rPr>
        <w:t xml:space="preserve"> MRAC and the Board's RC.</w:t>
      </w:r>
    </w:p>
    <w:p w14:paraId="5F2CD3FC" w14:textId="77777777" w:rsidR="00E836FB" w:rsidRDefault="00994958">
      <w:pPr>
        <w:spacing w:before="60"/>
        <w:textAlignment w:val="top"/>
      </w:pPr>
      <w:r>
        <w:rPr>
          <w:rFonts w:ascii="Arial" w:eastAsia="宋体" w:hAnsi="Arial" w:cs="Arial"/>
          <w:b/>
          <w:bCs/>
          <w:i/>
          <w:iCs/>
          <w:color w:val="000000"/>
          <w:sz w:val="20"/>
          <w:szCs w:val="20"/>
        </w:rPr>
        <w:t xml:space="preserve">Credit Ratings </w:t>
      </w:r>
    </w:p>
    <w:p w14:paraId="5F2CD3FD" w14:textId="77777777" w:rsidR="00E836FB" w:rsidRDefault="00994958">
      <w:pPr>
        <w:spacing w:before="60"/>
        <w:ind w:firstLine="450"/>
        <w:jc w:val="both"/>
        <w:textAlignment w:val="top"/>
      </w:pPr>
      <w:r>
        <w:rPr>
          <w:rFonts w:ascii="Arial" w:eastAsia="宋体" w:hAnsi="Arial" w:cs="Arial"/>
          <w:color w:val="000000"/>
          <w:sz w:val="20"/>
          <w:szCs w:val="20"/>
        </w:rPr>
        <w:t xml:space="preserve">We perform initial and ongoing reviews to exercise due diligence on the creditworthiness of our counterparties when conducting any business with them or approving any credit limits. </w:t>
      </w:r>
    </w:p>
    <w:p w14:paraId="5F2CD3FE" w14:textId="77777777" w:rsidR="00E836FB" w:rsidRDefault="00994958">
      <w:pPr>
        <w:spacing w:before="60"/>
        <w:ind w:firstLine="450"/>
        <w:jc w:val="both"/>
        <w:textAlignment w:val="top"/>
      </w:pPr>
      <w:r>
        <w:rPr>
          <w:rFonts w:ascii="Arial" w:eastAsia="宋体" w:hAnsi="Arial" w:cs="Arial"/>
          <w:color w:val="000000"/>
          <w:sz w:val="20"/>
          <w:szCs w:val="20"/>
        </w:rPr>
        <w:t>This due diligence process gene</w:t>
      </w:r>
      <w:r>
        <w:rPr>
          <w:rFonts w:ascii="Arial" w:eastAsia="宋体" w:hAnsi="Arial" w:cs="Arial"/>
          <w:color w:val="000000"/>
          <w:sz w:val="20"/>
          <w:szCs w:val="20"/>
        </w:rPr>
        <w:t>rally includes the assignment of an internal credit rating, which is determined by the use of internally developed and validated methodologies, scorecards and a 15-grade rating scale. This risk-rating process incorporates the use of risk-rating tools in co</w:t>
      </w:r>
      <w:r>
        <w:rPr>
          <w:rFonts w:ascii="Arial" w:eastAsia="宋体" w:hAnsi="Arial" w:cs="Arial"/>
          <w:color w:val="000000"/>
          <w:sz w:val="20"/>
          <w:szCs w:val="20"/>
        </w:rPr>
        <w:t>njunction with management judgment; qualitative and quantitative inputs are captured in a replicable manner and, following a formal review and approval process, an internal credit rating based on our rating scale is assigned. We generally rate our counterp</w:t>
      </w:r>
      <w:r>
        <w:rPr>
          <w:rFonts w:ascii="Arial" w:eastAsia="宋体" w:hAnsi="Arial" w:cs="Arial"/>
          <w:color w:val="000000"/>
          <w:sz w:val="20"/>
          <w:szCs w:val="20"/>
        </w:rPr>
        <w:t>arties individually, although some counterparties defined by us as low-risk are rated on a pooled basis. Credit ratings are reviewed and approved by the Credit and Global Markets Risk group or its delegates. We evaluate and rate the credit risk of our coun</w:t>
      </w:r>
      <w:r>
        <w:rPr>
          <w:rFonts w:ascii="Arial" w:eastAsia="宋体" w:hAnsi="Arial" w:cs="Arial"/>
          <w:color w:val="000000"/>
          <w:sz w:val="20"/>
          <w:szCs w:val="20"/>
        </w:rPr>
        <w:t xml:space="preserve">terparties on an ongoing basis. To facilitate comparability across the portfolio, counterparties within a given sector are rated using a risk-rating tool developed for that sector. </w:t>
      </w:r>
    </w:p>
    <w:p w14:paraId="5F2CD3FF" w14:textId="77777777" w:rsidR="00E836FB" w:rsidRDefault="00994958">
      <w:pPr>
        <w:spacing w:before="60"/>
        <w:ind w:firstLine="450"/>
        <w:jc w:val="both"/>
        <w:textAlignment w:val="top"/>
      </w:pPr>
      <w:r>
        <w:rPr>
          <w:rFonts w:ascii="Arial" w:eastAsia="宋体" w:hAnsi="Arial" w:cs="Arial"/>
          <w:color w:val="000000"/>
          <w:sz w:val="20"/>
          <w:szCs w:val="20"/>
        </w:rPr>
        <w:t>Our risk-rating methodologies are approved for use by the Portfolio Risk C</w:t>
      </w:r>
      <w:r>
        <w:rPr>
          <w:rFonts w:ascii="Arial" w:eastAsia="宋体" w:hAnsi="Arial" w:cs="Arial"/>
          <w:color w:val="000000"/>
          <w:sz w:val="20"/>
          <w:szCs w:val="20"/>
        </w:rPr>
        <w:t xml:space="preserve">ommittee, a subcommittee of the CMRC, after completion of internal model validation processes, and are subject to an annual review, including re-validation. </w:t>
      </w:r>
    </w:p>
    <w:p w14:paraId="5F2CD400" w14:textId="77777777" w:rsidR="00E836FB" w:rsidRDefault="00994958">
      <w:pPr>
        <w:spacing w:before="60"/>
        <w:jc w:val="both"/>
        <w:textAlignment w:val="top"/>
      </w:pPr>
      <w:r>
        <w:rPr>
          <w:rFonts w:ascii="Arial" w:eastAsia="宋体" w:hAnsi="Arial" w:cs="Arial"/>
          <w:b/>
          <w:bCs/>
          <w:i/>
          <w:iCs/>
          <w:color w:val="000000"/>
          <w:sz w:val="20"/>
          <w:szCs w:val="20"/>
        </w:rPr>
        <w:t>Risk Parameter Estimates</w:t>
      </w:r>
    </w:p>
    <w:p w14:paraId="5F2CD401" w14:textId="77777777" w:rsidR="00E836FB" w:rsidRDefault="00994958">
      <w:pPr>
        <w:spacing w:before="60"/>
        <w:ind w:firstLine="450"/>
        <w:jc w:val="both"/>
        <w:textAlignment w:val="top"/>
      </w:pPr>
      <w:r>
        <w:rPr>
          <w:rFonts w:ascii="Arial" w:eastAsia="宋体" w:hAnsi="Arial" w:cs="Arial"/>
          <w:color w:val="000000"/>
          <w:sz w:val="20"/>
          <w:szCs w:val="20"/>
        </w:rPr>
        <w:t xml:space="preserve">Our internal risk-rating system promotes a clear and consistent approach </w:t>
      </w:r>
      <w:r>
        <w:rPr>
          <w:rFonts w:ascii="Arial" w:eastAsia="宋体" w:hAnsi="Arial" w:cs="Arial"/>
          <w:color w:val="000000"/>
          <w:sz w:val="20"/>
          <w:szCs w:val="20"/>
        </w:rPr>
        <w:t xml:space="preserve">to the determination of appropriate credit risk classifications for our credit counterparties and exposures, tracking the changes in risk associated with these counterparties and exposures over time. This capability enhances our ability to more accurately </w:t>
      </w:r>
      <w:r>
        <w:rPr>
          <w:rFonts w:ascii="Arial" w:eastAsia="宋体" w:hAnsi="Arial" w:cs="Arial"/>
          <w:color w:val="000000"/>
          <w:sz w:val="20"/>
          <w:szCs w:val="20"/>
        </w:rPr>
        <w:t xml:space="preserve">calculate both risk exposures and capital, enabling better strategic decision making across the organization. </w:t>
      </w:r>
    </w:p>
    <w:p w14:paraId="5F2CD402" w14:textId="77777777" w:rsidR="00E836FB" w:rsidRDefault="00994958">
      <w:pPr>
        <w:spacing w:before="60"/>
        <w:ind w:firstLine="450"/>
        <w:jc w:val="both"/>
        <w:textAlignment w:val="top"/>
      </w:pPr>
      <w:r>
        <w:rPr>
          <w:rFonts w:ascii="Arial" w:eastAsia="宋体" w:hAnsi="Arial" w:cs="Arial"/>
          <w:color w:val="000000"/>
          <w:sz w:val="20"/>
          <w:szCs w:val="20"/>
        </w:rPr>
        <w:t>More specifically, our internal risk rating system is used for the following purposes:</w:t>
      </w:r>
    </w:p>
    <w:p w14:paraId="5F2CD403" w14:textId="77777777" w:rsidR="00E836FB" w:rsidRDefault="00994958">
      <w:pPr>
        <w:spacing w:before="60"/>
        <w:ind w:hanging="360"/>
        <w:jc w:val="both"/>
        <w:textAlignment w:val="top"/>
      </w:pPr>
      <w:r>
        <w:rPr>
          <w:rFonts w:ascii="Arial" w:eastAsia="宋体" w:hAnsi="Arial" w:cs="Arial"/>
          <w:color w:val="000000"/>
          <w:sz w:val="20"/>
          <w:szCs w:val="20"/>
        </w:rPr>
        <w:t>•The assessment of the creditworthiness of new counterpart</w:t>
      </w:r>
      <w:r>
        <w:rPr>
          <w:rFonts w:ascii="Arial" w:eastAsia="宋体" w:hAnsi="Arial" w:cs="Arial"/>
          <w:color w:val="000000"/>
          <w:sz w:val="20"/>
          <w:szCs w:val="20"/>
        </w:rPr>
        <w:t xml:space="preserve">ies and, in conjunction with our risk appetite statement, the development </w:t>
      </w:r>
    </w:p>
    <w:p w14:paraId="5F2CD404" w14:textId="77777777" w:rsidR="00E836FB" w:rsidRDefault="00994958">
      <w:pPr>
        <w:spacing w:before="60"/>
        <w:jc w:val="both"/>
        <w:textAlignment w:val="top"/>
      </w:pPr>
      <w:r>
        <w:rPr>
          <w:rFonts w:ascii="Arial" w:eastAsia="宋体" w:hAnsi="Arial" w:cs="Arial"/>
          <w:color w:val="000000"/>
          <w:sz w:val="20"/>
          <w:szCs w:val="20"/>
        </w:rPr>
        <w:t>of appropriate credit limits for our products and services, including loans, foreign exchange, securities finance, placements and repurchase agreements;</w:t>
      </w:r>
    </w:p>
    <w:p w14:paraId="5F2CD405" w14:textId="77777777" w:rsidR="00E836FB" w:rsidRDefault="00994958">
      <w:pPr>
        <w:spacing w:before="60"/>
        <w:ind w:hanging="360"/>
        <w:jc w:val="both"/>
        <w:textAlignment w:val="top"/>
      </w:pPr>
      <w:r>
        <w:rPr>
          <w:rFonts w:ascii="Arial" w:eastAsia="宋体" w:hAnsi="Arial" w:cs="Arial"/>
          <w:color w:val="000000"/>
          <w:sz w:val="20"/>
          <w:szCs w:val="20"/>
        </w:rPr>
        <w:t>•The automation of limit app</w:t>
      </w:r>
      <w:r>
        <w:rPr>
          <w:rFonts w:ascii="Arial" w:eastAsia="宋体" w:hAnsi="Arial" w:cs="Arial"/>
          <w:color w:val="000000"/>
          <w:sz w:val="20"/>
          <w:szCs w:val="20"/>
        </w:rPr>
        <w:t xml:space="preserve">rovals for certain low-risk counterparties, as defined in our credit risk guidelines, based on the counterparty’s probability-of-default; </w:t>
      </w:r>
    </w:p>
    <w:p w14:paraId="5F2CD406" w14:textId="77777777" w:rsidR="00E836FB" w:rsidRDefault="00994958">
      <w:pPr>
        <w:spacing w:before="60"/>
        <w:ind w:hanging="360"/>
        <w:jc w:val="both"/>
        <w:textAlignment w:val="top"/>
      </w:pPr>
      <w:r>
        <w:rPr>
          <w:rFonts w:ascii="Arial" w:eastAsia="宋体" w:hAnsi="Arial" w:cs="Arial"/>
          <w:color w:val="000000"/>
          <w:sz w:val="20"/>
          <w:szCs w:val="20"/>
        </w:rPr>
        <w:t>•The development of approval authority matrices based on PD; riskier counterparties with higher PDs require higher le</w:t>
      </w:r>
      <w:r>
        <w:rPr>
          <w:rFonts w:ascii="Arial" w:eastAsia="宋体" w:hAnsi="Arial" w:cs="Arial"/>
          <w:color w:val="000000"/>
          <w:sz w:val="20"/>
          <w:szCs w:val="20"/>
        </w:rPr>
        <w:t>vels of approval for a comparable PD and limit size compared to less risky counterparties with lower PDs;</w:t>
      </w:r>
    </w:p>
    <w:p w14:paraId="5F2CD407" w14:textId="77777777" w:rsidR="00E836FB" w:rsidRDefault="00994958">
      <w:pPr>
        <w:spacing w:before="60"/>
        <w:ind w:hanging="360"/>
        <w:jc w:val="both"/>
        <w:textAlignment w:val="top"/>
      </w:pPr>
      <w:r>
        <w:rPr>
          <w:rFonts w:ascii="Arial" w:eastAsia="宋体" w:hAnsi="Arial" w:cs="Arial"/>
          <w:color w:val="000000"/>
          <w:sz w:val="20"/>
          <w:szCs w:val="20"/>
        </w:rPr>
        <w:t xml:space="preserve">•The analysis of risk concentration trends using historical PD and exposure-at-default (or EAD), data; </w:t>
      </w:r>
    </w:p>
    <w:p w14:paraId="5F2CD408" w14:textId="77777777" w:rsidR="00E836FB" w:rsidRDefault="00994958">
      <w:pPr>
        <w:spacing w:before="60"/>
        <w:ind w:hanging="360"/>
        <w:jc w:val="both"/>
        <w:textAlignment w:val="top"/>
      </w:pPr>
      <w:r>
        <w:rPr>
          <w:rFonts w:ascii="Arial" w:eastAsia="宋体" w:hAnsi="Arial" w:cs="Arial"/>
          <w:color w:val="000000"/>
          <w:sz w:val="20"/>
          <w:szCs w:val="20"/>
        </w:rPr>
        <w:t xml:space="preserve">•The determination of the level of management </w:t>
      </w:r>
      <w:r>
        <w:rPr>
          <w:rFonts w:ascii="Arial" w:eastAsia="宋体" w:hAnsi="Arial" w:cs="Arial"/>
          <w:color w:val="000000"/>
          <w:sz w:val="20"/>
          <w:szCs w:val="20"/>
        </w:rPr>
        <w:t>review of short-duration advances depending on PD; riskier counterparties with higher rating class values generally trigger higher levels of management escalation for comparable short-duration advances compared to less risky counterparties with lower ratin</w:t>
      </w:r>
      <w:r>
        <w:rPr>
          <w:rFonts w:ascii="Arial" w:eastAsia="宋体" w:hAnsi="Arial" w:cs="Arial"/>
          <w:color w:val="000000"/>
          <w:sz w:val="20"/>
          <w:szCs w:val="20"/>
        </w:rPr>
        <w:t>g-class values;</w:t>
      </w:r>
    </w:p>
    <w:p w14:paraId="5F2CD409" w14:textId="77777777" w:rsidR="00E836FB" w:rsidRDefault="00994958">
      <w:pPr>
        <w:spacing w:before="60"/>
        <w:ind w:hanging="360"/>
        <w:jc w:val="both"/>
        <w:textAlignment w:val="top"/>
      </w:pPr>
      <w:r>
        <w:rPr>
          <w:rFonts w:ascii="Arial" w:eastAsia="宋体" w:hAnsi="Arial" w:cs="Arial"/>
          <w:color w:val="000000"/>
          <w:sz w:val="20"/>
          <w:szCs w:val="20"/>
        </w:rPr>
        <w:t xml:space="preserve">•The monitoring of credit facility utilization levels using EAD values and the identification of instances where counterparties have exceeded limits; </w:t>
      </w:r>
    </w:p>
    <w:p w14:paraId="5F2CD40A" w14:textId="77777777" w:rsidR="00E836FB" w:rsidRDefault="00994958">
      <w:pPr>
        <w:spacing w:before="60"/>
        <w:ind w:hanging="360"/>
        <w:jc w:val="both"/>
        <w:textAlignment w:val="top"/>
      </w:pPr>
      <w:r>
        <w:rPr>
          <w:rFonts w:ascii="Arial" w:eastAsia="宋体" w:hAnsi="Arial" w:cs="Arial"/>
          <w:color w:val="000000"/>
          <w:sz w:val="20"/>
          <w:szCs w:val="20"/>
        </w:rPr>
        <w:t>•The aggregation and comparison of counterparty exposures with risk appetite levels to de</w:t>
      </w:r>
      <w:r>
        <w:rPr>
          <w:rFonts w:ascii="Arial" w:eastAsia="宋体" w:hAnsi="Arial" w:cs="Arial"/>
          <w:color w:val="000000"/>
          <w:sz w:val="20"/>
          <w:szCs w:val="20"/>
        </w:rPr>
        <w:t>termine if businesses are maintaining appropriate risk levels; and</w:t>
      </w:r>
    </w:p>
    <w:p w14:paraId="5F2CD40B" w14:textId="77777777" w:rsidR="00E836FB" w:rsidRDefault="00994958">
      <w:pPr>
        <w:spacing w:before="60"/>
        <w:ind w:hanging="360"/>
        <w:jc w:val="both"/>
        <w:textAlignment w:val="top"/>
      </w:pPr>
      <w:r>
        <w:rPr>
          <w:rFonts w:ascii="Arial" w:eastAsia="宋体" w:hAnsi="Arial" w:cs="Arial"/>
          <w:color w:val="000000"/>
          <w:sz w:val="20"/>
          <w:szCs w:val="20"/>
        </w:rPr>
        <w:t>•The determination of our regulatory capital requirements for the AIRB set forth in the Basel framework.</w:t>
      </w:r>
    </w:p>
    <w:p w14:paraId="5F2CD40C" w14:textId="77777777" w:rsidR="00E836FB" w:rsidRDefault="00994958">
      <w:pPr>
        <w:spacing w:before="60"/>
        <w:textAlignment w:val="top"/>
      </w:pPr>
      <w:r>
        <w:rPr>
          <w:rFonts w:ascii="Arial" w:eastAsia="宋体" w:hAnsi="Arial" w:cs="Arial"/>
          <w:b/>
          <w:bCs/>
          <w:i/>
          <w:iCs/>
          <w:color w:val="000000"/>
          <w:sz w:val="20"/>
          <w:szCs w:val="20"/>
        </w:rPr>
        <w:t>Credit Risk Mitigation</w:t>
      </w:r>
    </w:p>
    <w:p w14:paraId="5F2CD40D" w14:textId="77777777" w:rsidR="00E836FB" w:rsidRDefault="00994958">
      <w:pPr>
        <w:spacing w:before="60"/>
        <w:ind w:firstLine="450"/>
        <w:jc w:val="both"/>
        <w:textAlignment w:val="top"/>
      </w:pPr>
      <w:r>
        <w:rPr>
          <w:rFonts w:ascii="Arial" w:eastAsia="宋体" w:hAnsi="Arial" w:cs="Arial"/>
          <w:color w:val="000000"/>
          <w:sz w:val="20"/>
          <w:szCs w:val="20"/>
        </w:rPr>
        <w:t xml:space="preserve">We seek to limit our credit exposure and reduce any </w:t>
      </w:r>
      <w:r>
        <w:rPr>
          <w:rFonts w:ascii="Arial" w:eastAsia="宋体" w:hAnsi="Arial" w:cs="Arial"/>
          <w:color w:val="000000"/>
          <w:sz w:val="20"/>
          <w:szCs w:val="20"/>
        </w:rPr>
        <w:t>potential credit losses through the use of various types of credit risk mitigation. The Basel III final rule permits us to reflect the application of credit risk mitigation when it meets the standards outlined therein. Examples of forms of credit risk miti</w:t>
      </w:r>
      <w:r>
        <w:rPr>
          <w:rFonts w:ascii="Arial" w:eastAsia="宋体" w:hAnsi="Arial" w:cs="Arial"/>
          <w:color w:val="000000"/>
          <w:sz w:val="20"/>
          <w:szCs w:val="20"/>
        </w:rPr>
        <w:t xml:space="preserve">gation include collateral, netting, guarantees and secured interest in non-financial assets. Where possible, we apply the recognition of collateral, guarantees and secured interest over non-financial assets to mitigate overall risk within our counterparty </w:t>
      </w:r>
      <w:r>
        <w:rPr>
          <w:rFonts w:ascii="Arial" w:eastAsia="宋体" w:hAnsi="Arial" w:cs="Arial"/>
          <w:color w:val="000000"/>
          <w:sz w:val="20"/>
          <w:szCs w:val="20"/>
        </w:rPr>
        <w:t>credit portfolio. While credit default swaps are permitted under the Basel III final rule, we do not actively use credit default swaps as a risk mitigation tool.</w:t>
      </w:r>
    </w:p>
    <w:p w14:paraId="5F2CD40E" w14:textId="77777777" w:rsidR="00E836FB" w:rsidRDefault="00994958">
      <w:pPr>
        <w:ind w:firstLine="450"/>
        <w:jc w:val="right"/>
      </w:pPr>
      <w:r>
        <w:rPr>
          <w:rFonts w:ascii="Arial" w:eastAsia="宋体" w:hAnsi="Arial" w:cs="Arial"/>
          <w:color w:val="000000"/>
          <w:sz w:val="18"/>
          <w:szCs w:val="18"/>
        </w:rPr>
        <w:t>State Street Corporation | 90</w:t>
      </w:r>
    </w:p>
    <w:p w14:paraId="5F2CD40F" w14:textId="77777777" w:rsidR="00E836FB" w:rsidRDefault="00E836FB">
      <w:pPr>
        <w:ind w:firstLine="450"/>
        <w:jc w:val="center"/>
      </w:pPr>
    </w:p>
    <w:p w14:paraId="5F2CD410" w14:textId="77777777" w:rsidR="00E836FB" w:rsidRDefault="00994958">
      <w:r>
        <w:pict w14:anchorId="5F2D6DDF">
          <v:rect id="_x0000_i1114" style="width:415.3pt;height:1.5pt" o:hralign="center" o:hrstd="t" o:hr="t" fillcolor="#a0a0a0" stroked="f"/>
        </w:pict>
      </w:r>
    </w:p>
    <w:p w14:paraId="5F2CD411"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412" w14:textId="77777777" w:rsidR="00E836FB" w:rsidRDefault="00994958">
      <w:pPr>
        <w:ind w:firstLine="450"/>
        <w:jc w:val="center"/>
      </w:pPr>
      <w:r>
        <w:rPr>
          <w:rFonts w:ascii="Arial" w:eastAsia="宋体" w:hAnsi="Arial" w:cs="Arial"/>
          <w:b/>
          <w:bCs/>
          <w:color w:val="000000"/>
          <w:sz w:val="20"/>
          <w:szCs w:val="20"/>
        </w:rPr>
        <w:t>A</w:t>
      </w:r>
      <w:r>
        <w:rPr>
          <w:rFonts w:ascii="Arial" w:eastAsia="宋体" w:hAnsi="Arial" w:cs="Arial"/>
          <w:b/>
          <w:bCs/>
          <w:color w:val="000000"/>
          <w:sz w:val="20"/>
          <w:szCs w:val="20"/>
        </w:rPr>
        <w:t>ND RESULTS OF OPERATIONS</w:t>
      </w:r>
    </w:p>
    <w:p w14:paraId="5F2CD413" w14:textId="77777777" w:rsidR="00E836FB" w:rsidRDefault="00994958">
      <w:pPr>
        <w:spacing w:before="60"/>
        <w:jc w:val="both"/>
        <w:textAlignment w:val="top"/>
      </w:pPr>
      <w:r>
        <w:rPr>
          <w:rFonts w:ascii="Arial" w:eastAsia="宋体" w:hAnsi="Arial" w:cs="Arial"/>
          <w:i/>
          <w:iCs/>
          <w:color w:val="000000"/>
          <w:sz w:val="20"/>
          <w:szCs w:val="20"/>
        </w:rPr>
        <w:t>Collateral</w:t>
      </w:r>
    </w:p>
    <w:p w14:paraId="5F2CD414" w14:textId="77777777" w:rsidR="00E836FB" w:rsidRDefault="00994958">
      <w:pPr>
        <w:spacing w:before="60"/>
        <w:ind w:firstLine="450"/>
        <w:jc w:val="both"/>
        <w:textAlignment w:val="top"/>
      </w:pPr>
      <w:r>
        <w:rPr>
          <w:rFonts w:ascii="Arial" w:eastAsia="宋体" w:hAnsi="Arial" w:cs="Arial"/>
          <w:color w:val="000000"/>
          <w:sz w:val="20"/>
          <w:szCs w:val="20"/>
        </w:rPr>
        <w:t>In many parts of our business, we regularly require or agree for collateral to be received from or provided to clients and counterparties in connection with contracts that incur credit risk. In our trading businesses, th</w:t>
      </w:r>
      <w:r>
        <w:rPr>
          <w:rFonts w:ascii="Arial" w:eastAsia="宋体" w:hAnsi="Arial" w:cs="Arial"/>
          <w:color w:val="000000"/>
          <w:sz w:val="20"/>
          <w:szCs w:val="20"/>
        </w:rPr>
        <w:t xml:space="preserve">is collateral is typically in the form of cash, as well as highly-rated and/or liquid securities (i.e. government securities and other bonds or equity securities). Credit risks in our non-trading and securities finance businesses are also often secured by </w:t>
      </w:r>
      <w:r>
        <w:rPr>
          <w:rFonts w:ascii="Arial" w:eastAsia="宋体" w:hAnsi="Arial" w:cs="Arial"/>
          <w:color w:val="000000"/>
          <w:sz w:val="20"/>
          <w:szCs w:val="20"/>
        </w:rPr>
        <w:t>bonds and equity securities and by other types of assets. Collateral serves to reduce the risk of loss inherent in an exposure. However, changing market values of the collateral we hold, unexpected increases in the credit exposure to a client or counterpar</w:t>
      </w:r>
      <w:r>
        <w:rPr>
          <w:rFonts w:ascii="Arial" w:eastAsia="宋体" w:hAnsi="Arial" w:cs="Arial"/>
          <w:color w:val="000000"/>
          <w:sz w:val="20"/>
          <w:szCs w:val="20"/>
        </w:rPr>
        <w:t>ty, reductions in the value or change in the type of securities held by us, as well as operational errors or errors in the manner in which we seek to exercise our rights, may reduce the risk mitigation effects of collateral or result in other security inte</w:t>
      </w:r>
      <w:r>
        <w:rPr>
          <w:rFonts w:ascii="Arial" w:eastAsia="宋体" w:hAnsi="Arial" w:cs="Arial"/>
          <w:color w:val="000000"/>
          <w:sz w:val="20"/>
          <w:szCs w:val="20"/>
        </w:rPr>
        <w:t xml:space="preserve">rests not being effective to reduce potential credit exposure. While collateral is often an alternative source of repayment, it does not replace the requirement within our policies and guidelines for high-quality underwriting standards. We also may choose </w:t>
      </w:r>
      <w:r>
        <w:rPr>
          <w:rFonts w:ascii="Arial" w:eastAsia="宋体" w:hAnsi="Arial" w:cs="Arial"/>
          <w:color w:val="000000"/>
          <w:sz w:val="20"/>
          <w:szCs w:val="20"/>
        </w:rPr>
        <w:t xml:space="preserve">to incur credit exposure without the benefit of collateral or other risk mitigating credits rights. </w:t>
      </w:r>
    </w:p>
    <w:p w14:paraId="5F2CD415" w14:textId="77777777" w:rsidR="00E836FB" w:rsidRDefault="00994958">
      <w:pPr>
        <w:spacing w:before="60"/>
        <w:ind w:firstLine="450"/>
        <w:jc w:val="both"/>
        <w:textAlignment w:val="top"/>
      </w:pPr>
      <w:r>
        <w:rPr>
          <w:rFonts w:ascii="Arial" w:eastAsia="宋体" w:hAnsi="Arial" w:cs="Arial"/>
          <w:color w:val="000000"/>
          <w:sz w:val="20"/>
          <w:szCs w:val="20"/>
        </w:rPr>
        <w:t xml:space="preserve">Our credit risk guidelines require that the collateral we accept for risk mitigation purposes is of high quality, can be reliably valued and is </w:t>
      </w:r>
      <w:r>
        <w:rPr>
          <w:rFonts w:ascii="Arial" w:eastAsia="宋体" w:hAnsi="Arial" w:cs="Arial"/>
          <w:color w:val="000000"/>
          <w:sz w:val="20"/>
          <w:szCs w:val="20"/>
        </w:rPr>
        <w:t>supported by a valid security interest that permits liquidation if or when required. Generally, when collateral is of lower quality, more difficult to value or more challenging to liquidate, higher discounts to market values are applied for the purposes of</w:t>
      </w:r>
      <w:r>
        <w:rPr>
          <w:rFonts w:ascii="Arial" w:eastAsia="宋体" w:hAnsi="Arial" w:cs="Arial"/>
          <w:color w:val="000000"/>
          <w:sz w:val="20"/>
          <w:szCs w:val="20"/>
        </w:rPr>
        <w:t xml:space="preserve"> measuring credit risk. For certain less liquid collateral, longer liquidation periods are assumed when determining the credit exposure.</w:t>
      </w:r>
    </w:p>
    <w:p w14:paraId="5F2CD416" w14:textId="77777777" w:rsidR="00E836FB" w:rsidRDefault="00994958">
      <w:pPr>
        <w:spacing w:before="60"/>
        <w:ind w:firstLine="450"/>
        <w:jc w:val="both"/>
        <w:textAlignment w:val="top"/>
      </w:pPr>
      <w:r>
        <w:rPr>
          <w:rFonts w:ascii="Arial" w:eastAsia="宋体" w:hAnsi="Arial" w:cs="Arial"/>
          <w:color w:val="000000"/>
          <w:sz w:val="20"/>
          <w:szCs w:val="20"/>
        </w:rPr>
        <w:t>All types of collateral are assessed regularly by ERM, as is the basis on which the collateral is valued. Our assessmen</w:t>
      </w:r>
      <w:r>
        <w:rPr>
          <w:rFonts w:ascii="Arial" w:eastAsia="宋体" w:hAnsi="Arial" w:cs="Arial"/>
          <w:color w:val="000000"/>
          <w:sz w:val="20"/>
          <w:szCs w:val="20"/>
        </w:rPr>
        <w:t>t of collateral, including the ability to liquidate collateral in the event of a counterparty default, and also with regard to market values of collateral under a variety of hypothetical market conditions, is an integral component of our assessment of risk</w:t>
      </w:r>
      <w:r>
        <w:rPr>
          <w:rFonts w:ascii="Arial" w:eastAsia="宋体" w:hAnsi="Arial" w:cs="Arial"/>
          <w:color w:val="000000"/>
          <w:sz w:val="20"/>
          <w:szCs w:val="20"/>
        </w:rPr>
        <w:t xml:space="preserve"> and approval of credit limits. We also seek to identify, limit and monitor instances of "wrong-way" risk, where a counterparty’s risk of default is positively correlated with the risk of our collateral eroding in value.</w:t>
      </w:r>
    </w:p>
    <w:p w14:paraId="5F2CD417" w14:textId="77777777" w:rsidR="00E836FB" w:rsidRDefault="00994958">
      <w:pPr>
        <w:spacing w:before="60"/>
        <w:ind w:firstLine="450"/>
        <w:jc w:val="both"/>
        <w:textAlignment w:val="top"/>
      </w:pPr>
      <w:r>
        <w:rPr>
          <w:rFonts w:ascii="Arial" w:eastAsia="宋体" w:hAnsi="Arial" w:cs="Arial"/>
          <w:color w:val="000000"/>
          <w:sz w:val="20"/>
          <w:szCs w:val="20"/>
        </w:rPr>
        <w:t>We maintain policies and procedures</w:t>
      </w:r>
      <w:r>
        <w:rPr>
          <w:rFonts w:ascii="Arial" w:eastAsia="宋体" w:hAnsi="Arial" w:cs="Arial"/>
          <w:color w:val="000000"/>
          <w:sz w:val="20"/>
          <w:szCs w:val="20"/>
        </w:rPr>
        <w:t xml:space="preserve"> requiring that documentation used to collateralize a transaction is legal, valid, binding and enforceable in the relevant jurisdictions. We also conduct legal reviews to assess whether our documentation meets these standards on an ongoing basis. </w:t>
      </w:r>
    </w:p>
    <w:p w14:paraId="5F2CD418" w14:textId="77777777" w:rsidR="00E836FB" w:rsidRDefault="00994958">
      <w:pPr>
        <w:spacing w:before="60"/>
        <w:jc w:val="both"/>
        <w:textAlignment w:val="top"/>
      </w:pPr>
      <w:r>
        <w:rPr>
          <w:rFonts w:ascii="Arial" w:eastAsia="宋体" w:hAnsi="Arial" w:cs="Arial"/>
          <w:i/>
          <w:iCs/>
          <w:color w:val="000000"/>
          <w:sz w:val="20"/>
          <w:szCs w:val="20"/>
        </w:rPr>
        <w:t xml:space="preserve">Netting </w:t>
      </w:r>
    </w:p>
    <w:p w14:paraId="5F2CD419" w14:textId="77777777" w:rsidR="00E836FB" w:rsidRDefault="00994958">
      <w:pPr>
        <w:spacing w:before="60"/>
        <w:ind w:firstLine="450"/>
        <w:jc w:val="both"/>
        <w:textAlignment w:val="top"/>
      </w:pPr>
      <w:r>
        <w:rPr>
          <w:rFonts w:ascii="Arial" w:eastAsia="宋体" w:hAnsi="Arial" w:cs="Arial"/>
          <w:color w:val="000000"/>
          <w:sz w:val="20"/>
          <w:szCs w:val="20"/>
        </w:rPr>
        <w:t>Netting is a mechanism that allows institutions and counterparties to net offsetting exposures and payment obligations against one another through the use of qualifying master netting agreements. A master netting agreement allows for certain rights and re</w:t>
      </w:r>
      <w:r>
        <w:rPr>
          <w:rFonts w:ascii="Arial" w:eastAsia="宋体" w:hAnsi="Arial" w:cs="Arial"/>
          <w:color w:val="000000"/>
          <w:sz w:val="20"/>
          <w:szCs w:val="20"/>
        </w:rPr>
        <w:t>medies upon a counterparty default, including the right to net obligations arising under derivatives or other transactions under such agreement. In such an event, the netting of obligations would result in a single net claim owed by, or to, the counterpart</w:t>
      </w:r>
      <w:r>
        <w:rPr>
          <w:rFonts w:ascii="Arial" w:eastAsia="宋体" w:hAnsi="Arial" w:cs="Arial"/>
          <w:color w:val="000000"/>
          <w:sz w:val="20"/>
          <w:szCs w:val="20"/>
        </w:rPr>
        <w:t xml:space="preserve">y. This is commonly referred to as "close-out netting,” and is pursued wherever possible. We may also enter into master agreements that allow for the netting of amounts payable on a given day and in the same currency, reducing our settlement risk. This is </w:t>
      </w:r>
      <w:r>
        <w:rPr>
          <w:rFonts w:ascii="Arial" w:eastAsia="宋体" w:hAnsi="Arial" w:cs="Arial"/>
          <w:color w:val="000000"/>
          <w:sz w:val="20"/>
          <w:szCs w:val="20"/>
        </w:rPr>
        <w:t xml:space="preserve">commonly referred to as “payment netting,” and is widely used in our foreign exchange activities. </w:t>
      </w:r>
    </w:p>
    <w:p w14:paraId="5F2CD41A" w14:textId="77777777" w:rsidR="00E836FB" w:rsidRDefault="00994958">
      <w:pPr>
        <w:spacing w:before="60"/>
        <w:ind w:firstLine="450"/>
        <w:jc w:val="both"/>
        <w:textAlignment w:val="top"/>
      </w:pPr>
      <w:r>
        <w:rPr>
          <w:rFonts w:ascii="Arial" w:eastAsia="宋体" w:hAnsi="Arial" w:cs="Arial"/>
          <w:color w:val="000000"/>
          <w:sz w:val="20"/>
          <w:szCs w:val="20"/>
        </w:rPr>
        <w:t>As with collateral, we have policies and procedures in place to apply close-out and payment netting only to the extent that we have verified legal validity a</w:t>
      </w:r>
      <w:r>
        <w:rPr>
          <w:rFonts w:ascii="Arial" w:eastAsia="宋体" w:hAnsi="Arial" w:cs="Arial"/>
          <w:color w:val="000000"/>
          <w:sz w:val="20"/>
          <w:szCs w:val="20"/>
        </w:rPr>
        <w:t>nd enforceability of the master agreement. In the case of payment netting, operational constraints may preclude us from reducing settlement risk, notwithstanding the legal right to require the same under the master netting agreement. In the event we become</w:t>
      </w:r>
      <w:r>
        <w:rPr>
          <w:rFonts w:ascii="Arial" w:eastAsia="宋体" w:hAnsi="Arial" w:cs="Arial"/>
          <w:color w:val="000000"/>
          <w:sz w:val="20"/>
          <w:szCs w:val="20"/>
        </w:rPr>
        <w:t xml:space="preserve"> unable, due to operational constraints, actions by regulators, changes in accounting principles, law or regulation (or related interpretations) or other factors, to net some or all of our offsetting exposures and payment obligations under those agreements</w:t>
      </w:r>
      <w:r>
        <w:rPr>
          <w:rFonts w:ascii="Arial" w:eastAsia="宋体" w:hAnsi="Arial" w:cs="Arial"/>
          <w:color w:val="000000"/>
          <w:sz w:val="20"/>
          <w:szCs w:val="20"/>
        </w:rPr>
        <w:t xml:space="preserve">, we would be required to gross up our assets and liabilities on our statement of condition and our calculation of RWA, accordingly.  This would result in a potentially material change in our regulatory ratios, including LCR, and present increased credit, </w:t>
      </w:r>
      <w:r>
        <w:rPr>
          <w:rFonts w:ascii="Arial" w:eastAsia="宋体" w:hAnsi="Arial" w:cs="Arial"/>
          <w:color w:val="000000"/>
          <w:sz w:val="20"/>
          <w:szCs w:val="20"/>
        </w:rPr>
        <w:t>liquidity, asset-and-liability management and operational risks, some of which could be material.</w:t>
      </w:r>
    </w:p>
    <w:p w14:paraId="5F2CD41B" w14:textId="77777777" w:rsidR="00E836FB" w:rsidRDefault="00994958">
      <w:pPr>
        <w:spacing w:before="60"/>
        <w:jc w:val="both"/>
        <w:textAlignment w:val="top"/>
      </w:pPr>
      <w:r>
        <w:rPr>
          <w:rFonts w:ascii="Arial" w:eastAsia="宋体" w:hAnsi="Arial" w:cs="Arial"/>
          <w:i/>
          <w:iCs/>
          <w:color w:val="000000"/>
          <w:sz w:val="20"/>
          <w:szCs w:val="20"/>
        </w:rPr>
        <w:t>Guarantees</w:t>
      </w:r>
    </w:p>
    <w:p w14:paraId="5F2CD41C" w14:textId="77777777" w:rsidR="00E836FB" w:rsidRDefault="00994958">
      <w:pPr>
        <w:spacing w:before="60"/>
        <w:ind w:firstLine="450"/>
        <w:jc w:val="both"/>
        <w:textAlignment w:val="top"/>
      </w:pPr>
      <w:r>
        <w:rPr>
          <w:rFonts w:ascii="Arial" w:eastAsia="宋体" w:hAnsi="Arial" w:cs="Arial"/>
          <w:color w:val="000000"/>
          <w:sz w:val="20"/>
          <w:szCs w:val="20"/>
        </w:rPr>
        <w:t>A guarantee is a financial instrument that results in credit support being provided by a third party, (i.e., the protection provider) to the underl</w:t>
      </w:r>
      <w:r>
        <w:rPr>
          <w:rFonts w:ascii="Arial" w:eastAsia="宋体" w:hAnsi="Arial" w:cs="Arial"/>
          <w:color w:val="000000"/>
          <w:sz w:val="20"/>
          <w:szCs w:val="20"/>
        </w:rPr>
        <w:t>ying obligor (the beneficiary of the provided protection) on account of an exposure owing by the obligor. The protection provider may support the underlying exposure either in whole or in part. Support of this kind may take different forms. Typical forms o</w:t>
      </w:r>
      <w:r>
        <w:rPr>
          <w:rFonts w:ascii="Arial" w:eastAsia="宋体" w:hAnsi="Arial" w:cs="Arial"/>
          <w:color w:val="000000"/>
          <w:sz w:val="20"/>
          <w:szCs w:val="20"/>
        </w:rPr>
        <w:t>f guarantees provided to us include financial guarantees, letters of credit, bankers’ acceptances, purchase undertaking agreement contracts and insurance.</w:t>
      </w:r>
    </w:p>
    <w:p w14:paraId="5F2CD41D" w14:textId="77777777" w:rsidR="00E836FB" w:rsidRDefault="00994958">
      <w:pPr>
        <w:spacing w:before="60"/>
        <w:ind w:firstLine="450"/>
        <w:jc w:val="both"/>
        <w:textAlignment w:val="top"/>
      </w:pPr>
      <w:r>
        <w:rPr>
          <w:rFonts w:ascii="Arial" w:eastAsia="宋体" w:hAnsi="Arial" w:cs="Arial"/>
          <w:color w:val="000000"/>
          <w:sz w:val="20"/>
          <w:szCs w:val="20"/>
        </w:rPr>
        <w:t xml:space="preserve">We have established a review process to evaluate guarantees under the applicable requirements of our </w:t>
      </w:r>
      <w:r>
        <w:rPr>
          <w:rFonts w:ascii="Arial" w:eastAsia="宋体" w:hAnsi="Arial" w:cs="Arial"/>
          <w:color w:val="000000"/>
          <w:sz w:val="20"/>
          <w:szCs w:val="20"/>
        </w:rPr>
        <w:t>policies and Basel III requirements. Governance for this evaluation is covered under policies and procedures that require regular reviews of documentation, jurisdictions and credit quality of protection providers.</w:t>
      </w:r>
    </w:p>
    <w:p w14:paraId="5F2CD41E" w14:textId="77777777" w:rsidR="00E836FB" w:rsidRDefault="00994958">
      <w:pPr>
        <w:ind w:firstLine="450"/>
        <w:jc w:val="right"/>
      </w:pPr>
      <w:r>
        <w:rPr>
          <w:rFonts w:ascii="Arial" w:eastAsia="宋体" w:hAnsi="Arial" w:cs="Arial"/>
          <w:color w:val="000000"/>
          <w:sz w:val="18"/>
          <w:szCs w:val="18"/>
        </w:rPr>
        <w:t>State Street Corporation | 91</w:t>
      </w:r>
    </w:p>
    <w:p w14:paraId="5F2CD41F" w14:textId="77777777" w:rsidR="00E836FB" w:rsidRDefault="00E836FB">
      <w:pPr>
        <w:ind w:firstLine="450"/>
        <w:jc w:val="center"/>
      </w:pPr>
    </w:p>
    <w:p w14:paraId="5F2CD420" w14:textId="77777777" w:rsidR="00E836FB" w:rsidRDefault="00994958">
      <w:r>
        <w:pict w14:anchorId="5F2D6DE0">
          <v:rect id="_x0000_i1115" style="width:415.3pt;height:1.5pt" o:hralign="center" o:hrstd="t" o:hr="t" fillcolor="#a0a0a0" stroked="f"/>
        </w:pict>
      </w:r>
    </w:p>
    <w:p w14:paraId="5F2CD421" w14:textId="77777777" w:rsidR="00E836FB" w:rsidRDefault="00994958">
      <w:pPr>
        <w:ind w:firstLine="450"/>
        <w:jc w:val="center"/>
      </w:pPr>
      <w:r>
        <w:rPr>
          <w:rFonts w:ascii="Arial" w:eastAsia="宋体" w:hAnsi="Arial" w:cs="Arial"/>
          <w:b/>
          <w:bCs/>
          <w:color w:val="000000"/>
          <w:sz w:val="20"/>
          <w:szCs w:val="20"/>
        </w:rPr>
        <w:t>MANAGEMEN</w:t>
      </w:r>
      <w:r>
        <w:rPr>
          <w:rFonts w:ascii="Arial" w:eastAsia="宋体" w:hAnsi="Arial" w:cs="Arial"/>
          <w:b/>
          <w:bCs/>
          <w:color w:val="000000"/>
          <w:sz w:val="20"/>
          <w:szCs w:val="20"/>
        </w:rPr>
        <w:t>T’S DISCUSSION AND ANALYSIS OF FINANCIAL CONDITION</w:t>
      </w:r>
    </w:p>
    <w:p w14:paraId="5F2CD422" w14:textId="77777777" w:rsidR="00E836FB" w:rsidRDefault="00994958">
      <w:pPr>
        <w:ind w:firstLine="450"/>
        <w:jc w:val="center"/>
      </w:pPr>
      <w:r>
        <w:rPr>
          <w:rFonts w:ascii="Arial" w:eastAsia="宋体" w:hAnsi="Arial" w:cs="Arial"/>
          <w:b/>
          <w:bCs/>
          <w:color w:val="000000"/>
          <w:sz w:val="20"/>
          <w:szCs w:val="20"/>
        </w:rPr>
        <w:t>AND RESULTS OF OPERATIONS</w:t>
      </w:r>
    </w:p>
    <w:p w14:paraId="5F2CD423" w14:textId="77777777" w:rsidR="00E836FB" w:rsidRDefault="00994958">
      <w:pPr>
        <w:spacing w:before="60"/>
        <w:textAlignment w:val="top"/>
      </w:pPr>
      <w:r>
        <w:rPr>
          <w:rFonts w:ascii="Arial" w:eastAsia="宋体" w:hAnsi="Arial" w:cs="Arial"/>
          <w:b/>
          <w:bCs/>
          <w:i/>
          <w:iCs/>
          <w:color w:val="000000"/>
          <w:sz w:val="20"/>
          <w:szCs w:val="20"/>
        </w:rPr>
        <w:t xml:space="preserve">Credit Limits </w:t>
      </w:r>
    </w:p>
    <w:p w14:paraId="5F2CD424" w14:textId="77777777" w:rsidR="00E836FB" w:rsidRDefault="00994958">
      <w:pPr>
        <w:spacing w:before="60"/>
        <w:ind w:firstLine="450"/>
        <w:jc w:val="both"/>
        <w:textAlignment w:val="top"/>
      </w:pPr>
      <w:r>
        <w:rPr>
          <w:rFonts w:ascii="Arial" w:eastAsia="宋体" w:hAnsi="Arial" w:cs="Arial"/>
          <w:color w:val="000000"/>
          <w:sz w:val="20"/>
          <w:szCs w:val="20"/>
        </w:rPr>
        <w:t>Central to our philosophy for our management of credit risk is the approval and imposition of credit limits, against which we monitor the actual and potential future credit exposure arising from our business activities with counterparties or groups of coun</w:t>
      </w:r>
      <w:r>
        <w:rPr>
          <w:rFonts w:ascii="Arial" w:eastAsia="宋体" w:hAnsi="Arial" w:cs="Arial"/>
          <w:color w:val="000000"/>
          <w:sz w:val="20"/>
          <w:szCs w:val="20"/>
        </w:rPr>
        <w:t>terparties. Credit limits are a reflection of our risk appetite, which may be determined by the creditworthiness of the counterparty, the nature of the risk inherent in the business undertaken with the counterparty, or a combination of relevant credit fact</w:t>
      </w:r>
      <w:r>
        <w:rPr>
          <w:rFonts w:ascii="Arial" w:eastAsia="宋体" w:hAnsi="Arial" w:cs="Arial"/>
          <w:color w:val="000000"/>
          <w:sz w:val="20"/>
          <w:szCs w:val="20"/>
        </w:rPr>
        <w:t xml:space="preserve">ors. Our risk appetite for certain sectors and certain countries and geographic regions may also influence the level of risk we are willing to assume to certain counterparties. </w:t>
      </w:r>
    </w:p>
    <w:p w14:paraId="5F2CD425" w14:textId="77777777" w:rsidR="00E836FB" w:rsidRDefault="00994958">
      <w:pPr>
        <w:spacing w:before="60"/>
        <w:ind w:firstLine="450"/>
        <w:jc w:val="both"/>
        <w:textAlignment w:val="top"/>
      </w:pPr>
      <w:r>
        <w:rPr>
          <w:rFonts w:ascii="Arial" w:eastAsia="宋体" w:hAnsi="Arial" w:cs="Arial"/>
          <w:color w:val="000000"/>
          <w:sz w:val="20"/>
          <w:szCs w:val="20"/>
        </w:rPr>
        <w:t>The analysis and approval of credit limits is undertaken in a consistent manne</w:t>
      </w:r>
      <w:r>
        <w:rPr>
          <w:rFonts w:ascii="Arial" w:eastAsia="宋体" w:hAnsi="Arial" w:cs="Arial"/>
          <w:color w:val="000000"/>
          <w:sz w:val="20"/>
          <w:szCs w:val="20"/>
        </w:rPr>
        <w:t>r across our businesses, although the nature and extent of the analysis may vary, based on the type, term and magnitude of the risk being assumed. Credit limits and underlying exposures are assessed and measured on both a gross and net basis where appropri</w:t>
      </w:r>
      <w:r>
        <w:rPr>
          <w:rFonts w:ascii="Arial" w:eastAsia="宋体" w:hAnsi="Arial" w:cs="Arial"/>
          <w:color w:val="000000"/>
          <w:sz w:val="20"/>
          <w:szCs w:val="20"/>
        </w:rPr>
        <w:t>ate, with net exposure determined by deducting the value of any collateral held. For certain types of risk being assumed, we will also assess and measure exposures under a variety of hypothetical market conditions. Credit limit approvals across our busines</w:t>
      </w:r>
      <w:r>
        <w:rPr>
          <w:rFonts w:ascii="Arial" w:eastAsia="宋体" w:hAnsi="Arial" w:cs="Arial"/>
          <w:color w:val="000000"/>
          <w:sz w:val="20"/>
          <w:szCs w:val="20"/>
        </w:rPr>
        <w:t xml:space="preserve">s are undertaken by the Credit and Global Markets Risk group, by individuals to whom credit authority has been delegated, or by the Credit Committee. </w:t>
      </w:r>
    </w:p>
    <w:p w14:paraId="5F2CD426" w14:textId="77777777" w:rsidR="00E836FB" w:rsidRDefault="00994958">
      <w:pPr>
        <w:spacing w:before="60"/>
        <w:ind w:firstLine="450"/>
        <w:jc w:val="both"/>
        <w:textAlignment w:val="top"/>
      </w:pPr>
      <w:r>
        <w:rPr>
          <w:rFonts w:ascii="Arial" w:eastAsia="宋体" w:hAnsi="Arial" w:cs="Arial"/>
          <w:color w:val="000000"/>
          <w:sz w:val="20"/>
          <w:szCs w:val="20"/>
        </w:rPr>
        <w:t>Credit limits are re-evaluated annually, or more frequently as needed, and are revised periodically on pr</w:t>
      </w:r>
      <w:r>
        <w:rPr>
          <w:rFonts w:ascii="Arial" w:eastAsia="宋体" w:hAnsi="Arial" w:cs="Arial"/>
          <w:color w:val="000000"/>
          <w:sz w:val="20"/>
          <w:szCs w:val="20"/>
        </w:rPr>
        <w:t>evailing and anticipated market conditions, changes in counterparty or country-specific credit ratings and outlook, changes in our risk appetite for certain counterparties, sectors or countries, and enhancements to the measurement of credit utilization.</w:t>
      </w:r>
    </w:p>
    <w:p w14:paraId="5F2CD427" w14:textId="77777777" w:rsidR="00E836FB" w:rsidRDefault="00994958">
      <w:pPr>
        <w:spacing w:before="60"/>
        <w:textAlignment w:val="top"/>
      </w:pPr>
      <w:r>
        <w:rPr>
          <w:rFonts w:ascii="Arial" w:eastAsia="宋体" w:hAnsi="Arial" w:cs="Arial"/>
          <w:b/>
          <w:bCs/>
          <w:i/>
          <w:iCs/>
          <w:color w:val="000000"/>
          <w:sz w:val="20"/>
          <w:szCs w:val="20"/>
        </w:rPr>
        <w:t>Re</w:t>
      </w:r>
      <w:r>
        <w:rPr>
          <w:rFonts w:ascii="Arial" w:eastAsia="宋体" w:hAnsi="Arial" w:cs="Arial"/>
          <w:b/>
          <w:bCs/>
          <w:i/>
          <w:iCs/>
          <w:color w:val="000000"/>
          <w:sz w:val="20"/>
          <w:szCs w:val="20"/>
        </w:rPr>
        <w:t xml:space="preserve">porting </w:t>
      </w:r>
    </w:p>
    <w:p w14:paraId="5F2CD428" w14:textId="77777777" w:rsidR="00E836FB" w:rsidRDefault="00994958">
      <w:pPr>
        <w:spacing w:before="60"/>
        <w:ind w:firstLine="450"/>
        <w:jc w:val="both"/>
        <w:textAlignment w:val="top"/>
      </w:pPr>
      <w:r>
        <w:rPr>
          <w:rFonts w:ascii="Arial" w:eastAsia="宋体" w:hAnsi="Arial" w:cs="Arial"/>
          <w:color w:val="000000"/>
          <w:sz w:val="20"/>
          <w:szCs w:val="20"/>
        </w:rPr>
        <w:t>Ongoing active monitoring and management of our credit risk is an integral part of our credit risk management framework. We maintain management information systems to identify, measure, monitor and report credit risk across businesses and legal en</w:t>
      </w:r>
      <w:r>
        <w:rPr>
          <w:rFonts w:ascii="Arial" w:eastAsia="宋体" w:hAnsi="Arial" w:cs="Arial"/>
          <w:color w:val="000000"/>
          <w:sz w:val="20"/>
          <w:szCs w:val="20"/>
        </w:rPr>
        <w:t>tities, enabling ERM and our businesses to have timely access to accurate information on credit limits and exposures. Monitoring is performed along the dimensions of counterparty, industry, country and product-specific risks to facilitate the identificatio</w:t>
      </w:r>
      <w:r>
        <w:rPr>
          <w:rFonts w:ascii="Arial" w:eastAsia="宋体" w:hAnsi="Arial" w:cs="Arial"/>
          <w:color w:val="000000"/>
          <w:sz w:val="20"/>
          <w:szCs w:val="20"/>
        </w:rPr>
        <w:t xml:space="preserve">n of concentrations of risk and emerging trends. </w:t>
      </w:r>
    </w:p>
    <w:p w14:paraId="5F2CD429" w14:textId="77777777" w:rsidR="00E836FB" w:rsidRDefault="00994958">
      <w:pPr>
        <w:spacing w:before="60"/>
        <w:ind w:firstLine="450"/>
        <w:jc w:val="both"/>
        <w:textAlignment w:val="top"/>
      </w:pPr>
      <w:r>
        <w:rPr>
          <w:rFonts w:ascii="Arial" w:eastAsia="宋体" w:hAnsi="Arial" w:cs="Arial"/>
          <w:color w:val="000000"/>
          <w:sz w:val="20"/>
          <w:szCs w:val="20"/>
        </w:rPr>
        <w:t>Key aspects of this credit risk reporting structure include governance and oversight groups and policies that define standards for the reporting of credit risk, data aggregation and sourcing systems.</w:t>
      </w:r>
    </w:p>
    <w:p w14:paraId="5F2CD42A" w14:textId="77777777" w:rsidR="00E836FB" w:rsidRDefault="00994958">
      <w:pPr>
        <w:spacing w:before="60"/>
        <w:ind w:firstLine="450"/>
        <w:jc w:val="both"/>
        <w:textAlignment w:val="top"/>
      </w:pPr>
      <w:r>
        <w:rPr>
          <w:rFonts w:ascii="Arial" w:eastAsia="宋体" w:hAnsi="Arial" w:cs="Arial"/>
          <w:color w:val="000000"/>
          <w:sz w:val="20"/>
          <w:szCs w:val="20"/>
        </w:rPr>
        <w:t>The Cr</w:t>
      </w:r>
      <w:r>
        <w:rPr>
          <w:rFonts w:ascii="Arial" w:eastAsia="宋体" w:hAnsi="Arial" w:cs="Arial"/>
          <w:color w:val="000000"/>
          <w:sz w:val="20"/>
          <w:szCs w:val="20"/>
        </w:rPr>
        <w:t>edit and Global Markets Risk group routinely assesses the composition of our overall credit risk portfolio for alignment with our stated risk appetite. This assessment includes routine analysis and reporting of the portfolio, monitoring of market-based ind</w:t>
      </w:r>
      <w:r>
        <w:rPr>
          <w:rFonts w:ascii="Arial" w:eastAsia="宋体" w:hAnsi="Arial" w:cs="Arial"/>
          <w:color w:val="000000"/>
          <w:sz w:val="20"/>
          <w:szCs w:val="20"/>
        </w:rPr>
        <w:t>icators, the assessment of industry trends and developments and regular reviews of concentrated risks. The Credit and Global Markets Risk group is also responsible, in conjunction with the business units, for defining the appetite for credit risk in the ma</w:t>
      </w:r>
      <w:r>
        <w:rPr>
          <w:rFonts w:ascii="Arial" w:eastAsia="宋体" w:hAnsi="Arial" w:cs="Arial"/>
          <w:color w:val="000000"/>
          <w:sz w:val="20"/>
          <w:szCs w:val="20"/>
        </w:rPr>
        <w:t>jor sectors in which we have a concentration of business activities. These sector-level risk appetite statements, which include counterparty selection criteria and granular underwriting guidelines, are reviewed periodically and approved by the CMRC.</w:t>
      </w:r>
    </w:p>
    <w:p w14:paraId="5F2CD42B" w14:textId="77777777" w:rsidR="00E836FB" w:rsidRDefault="00994958">
      <w:pPr>
        <w:spacing w:before="60"/>
        <w:textAlignment w:val="top"/>
      </w:pPr>
      <w:r>
        <w:rPr>
          <w:rFonts w:ascii="Arial" w:eastAsia="宋体" w:hAnsi="Arial" w:cs="Arial"/>
          <w:b/>
          <w:bCs/>
          <w:i/>
          <w:iCs/>
          <w:color w:val="000000"/>
          <w:sz w:val="20"/>
          <w:szCs w:val="20"/>
        </w:rPr>
        <w:t>Monito</w:t>
      </w:r>
      <w:r>
        <w:rPr>
          <w:rFonts w:ascii="Arial" w:eastAsia="宋体" w:hAnsi="Arial" w:cs="Arial"/>
          <w:b/>
          <w:bCs/>
          <w:i/>
          <w:iCs/>
          <w:color w:val="000000"/>
          <w:sz w:val="20"/>
          <w:szCs w:val="20"/>
        </w:rPr>
        <w:t>ring</w:t>
      </w:r>
    </w:p>
    <w:p w14:paraId="5F2CD42C" w14:textId="77777777" w:rsidR="00E836FB" w:rsidRDefault="00994958">
      <w:pPr>
        <w:spacing w:before="60"/>
        <w:ind w:firstLine="450"/>
        <w:jc w:val="both"/>
        <w:textAlignment w:val="top"/>
      </w:pPr>
      <w:r>
        <w:rPr>
          <w:rFonts w:ascii="Arial" w:eastAsia="宋体" w:hAnsi="Arial" w:cs="Arial"/>
          <w:color w:val="000000"/>
          <w:sz w:val="20"/>
          <w:szCs w:val="20"/>
        </w:rPr>
        <w:t>Regular surveillance of credit and counterparty risks is undertaken by our business units, the Credit and Global Markets Risk group and designees with ERM, allowing for frequent and extensive oversight. This surveillance process includes, but is not l</w:t>
      </w:r>
      <w:r>
        <w:rPr>
          <w:rFonts w:ascii="Arial" w:eastAsia="宋体" w:hAnsi="Arial" w:cs="Arial"/>
          <w:color w:val="000000"/>
          <w:sz w:val="20"/>
          <w:szCs w:val="20"/>
        </w:rPr>
        <w:t>imited to, the following components:</w:t>
      </w:r>
    </w:p>
    <w:p w14:paraId="5F2CD42D" w14:textId="77777777" w:rsidR="00E836FB" w:rsidRDefault="00994958">
      <w:pPr>
        <w:spacing w:before="60"/>
        <w:ind w:hanging="360"/>
        <w:jc w:val="both"/>
        <w:textAlignment w:val="top"/>
      </w:pPr>
      <w:r>
        <w:rPr>
          <w:rFonts w:ascii="Arial" w:eastAsia="宋体" w:hAnsi="Arial" w:cs="Arial"/>
          <w:color w:val="000000"/>
          <w:sz w:val="20"/>
          <w:szCs w:val="20"/>
        </w:rPr>
        <w:t>•Annual Reviews. A formal review of counterparties is conducted at least annually and includes a thorough review of operating performance, primary risk factors and our internal credit risk rating. This annual review als</w:t>
      </w:r>
      <w:r>
        <w:rPr>
          <w:rFonts w:ascii="Arial" w:eastAsia="宋体" w:hAnsi="Arial" w:cs="Arial"/>
          <w:color w:val="000000"/>
          <w:sz w:val="20"/>
          <w:szCs w:val="20"/>
        </w:rPr>
        <w:t>o includes a review of current and proposed credit limits, an assessment of our ongoing risk appetite and verification that supporting legal documentation remains effective.</w:t>
      </w:r>
    </w:p>
    <w:p w14:paraId="5F2CD42E" w14:textId="77777777" w:rsidR="00E836FB" w:rsidRDefault="00994958">
      <w:pPr>
        <w:spacing w:before="60"/>
        <w:ind w:hanging="360"/>
        <w:jc w:val="both"/>
        <w:textAlignment w:val="top"/>
      </w:pPr>
      <w:r>
        <w:rPr>
          <w:rFonts w:ascii="Arial" w:eastAsia="宋体" w:hAnsi="Arial" w:cs="Arial"/>
          <w:color w:val="000000"/>
          <w:sz w:val="20"/>
          <w:szCs w:val="20"/>
        </w:rPr>
        <w:t>•Interim Monitoring. Monitoring of our largest and riskiest counterparties is unde</w:t>
      </w:r>
      <w:r>
        <w:rPr>
          <w:rFonts w:ascii="Arial" w:eastAsia="宋体" w:hAnsi="Arial" w:cs="Arial"/>
          <w:color w:val="000000"/>
          <w:sz w:val="20"/>
          <w:szCs w:val="20"/>
        </w:rPr>
        <w:t>rtaken more frequently, utilizing financial information, market indicators and other relevant credit and performance measures. The nature and extent of this interim monitoring is individually tailored to certain counterparties and/or industry sectors to id</w:t>
      </w:r>
      <w:r>
        <w:rPr>
          <w:rFonts w:ascii="Arial" w:eastAsia="宋体" w:hAnsi="Arial" w:cs="Arial"/>
          <w:color w:val="000000"/>
          <w:sz w:val="20"/>
          <w:szCs w:val="20"/>
        </w:rPr>
        <w:t>entify material changes to the risk profile of a counterparty (or group of counterparties) and assign an updated internal risk rating in a timely manner.</w:t>
      </w:r>
    </w:p>
    <w:p w14:paraId="5F2CD42F" w14:textId="77777777" w:rsidR="00E836FB" w:rsidRDefault="00994958">
      <w:pPr>
        <w:spacing w:before="60"/>
        <w:ind w:firstLine="450"/>
        <w:jc w:val="both"/>
        <w:textAlignment w:val="top"/>
      </w:pPr>
      <w:r>
        <w:rPr>
          <w:rFonts w:ascii="Arial" w:eastAsia="宋体" w:hAnsi="Arial" w:cs="Arial"/>
          <w:color w:val="000000"/>
          <w:sz w:val="20"/>
          <w:szCs w:val="20"/>
        </w:rPr>
        <w:t>We maintain an active "watch list" for all counterparties. The watch list status denotes a concern wit</w:t>
      </w:r>
      <w:r>
        <w:rPr>
          <w:rFonts w:ascii="Arial" w:eastAsia="宋体" w:hAnsi="Arial" w:cs="Arial"/>
          <w:color w:val="000000"/>
          <w:sz w:val="20"/>
          <w:szCs w:val="20"/>
        </w:rPr>
        <w:t>h some aspect of a counterparty's risk profile that warrants closer monitoring of the counterparty's financial performance and related risk factors. Our ongoing monitoring processes are designed to facilitate the early identification of counterparties whos</w:t>
      </w:r>
      <w:r>
        <w:rPr>
          <w:rFonts w:ascii="Arial" w:eastAsia="宋体" w:hAnsi="Arial" w:cs="Arial"/>
          <w:color w:val="000000"/>
          <w:sz w:val="20"/>
          <w:szCs w:val="20"/>
        </w:rPr>
        <w:t>e creditworthiness is deteriorating; any counterparty may be placed on the watch list by ERM at its sole discretion.</w:t>
      </w:r>
    </w:p>
    <w:p w14:paraId="5F2CD430" w14:textId="77777777" w:rsidR="00E836FB" w:rsidRDefault="00994958">
      <w:pPr>
        <w:spacing w:before="60"/>
        <w:ind w:firstLine="450"/>
        <w:jc w:val="both"/>
        <w:textAlignment w:val="top"/>
      </w:pPr>
      <w:r>
        <w:rPr>
          <w:rFonts w:ascii="Arial" w:eastAsia="宋体" w:hAnsi="Arial" w:cs="Arial"/>
          <w:color w:val="000000"/>
          <w:sz w:val="20"/>
          <w:szCs w:val="20"/>
        </w:rPr>
        <w:t xml:space="preserve">Counterparties on the watch list generally correspond with the non-investment grade or near </w:t>
      </w:r>
    </w:p>
    <w:p w14:paraId="5F2CD431" w14:textId="77777777" w:rsidR="00E836FB" w:rsidRDefault="00994958">
      <w:pPr>
        <w:ind w:firstLine="450"/>
        <w:jc w:val="right"/>
      </w:pPr>
      <w:r>
        <w:rPr>
          <w:rFonts w:ascii="Arial" w:eastAsia="宋体" w:hAnsi="Arial" w:cs="Arial"/>
          <w:color w:val="000000"/>
          <w:sz w:val="18"/>
          <w:szCs w:val="18"/>
        </w:rPr>
        <w:t>State Street Corporation | 92</w:t>
      </w:r>
    </w:p>
    <w:p w14:paraId="5F2CD432" w14:textId="77777777" w:rsidR="00E836FB" w:rsidRDefault="00E836FB">
      <w:pPr>
        <w:ind w:firstLine="450"/>
        <w:jc w:val="center"/>
      </w:pPr>
    </w:p>
    <w:p w14:paraId="5F2CD433" w14:textId="77777777" w:rsidR="00E836FB" w:rsidRDefault="00994958">
      <w:r>
        <w:pict w14:anchorId="5F2D6DE1">
          <v:rect id="_x0000_i1116" style="width:415.3pt;height:1.5pt" o:hralign="center" o:hrstd="t" o:hr="t" fillcolor="#a0a0a0" stroked="f"/>
        </w:pict>
      </w:r>
    </w:p>
    <w:p w14:paraId="5F2CD434"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435" w14:textId="77777777" w:rsidR="00E836FB" w:rsidRDefault="00994958">
      <w:pPr>
        <w:ind w:firstLine="450"/>
        <w:jc w:val="center"/>
      </w:pPr>
      <w:r>
        <w:rPr>
          <w:rFonts w:ascii="Arial" w:eastAsia="宋体" w:hAnsi="Arial" w:cs="Arial"/>
          <w:b/>
          <w:bCs/>
          <w:color w:val="000000"/>
          <w:sz w:val="20"/>
          <w:szCs w:val="20"/>
        </w:rPr>
        <w:t>AND RESULTS OF OPERATIONS</w:t>
      </w:r>
    </w:p>
    <w:p w14:paraId="5F2CD436" w14:textId="77777777" w:rsidR="00E836FB" w:rsidRDefault="00994958">
      <w:pPr>
        <w:spacing w:before="60"/>
        <w:jc w:val="both"/>
        <w:textAlignment w:val="top"/>
      </w:pPr>
      <w:r>
        <w:rPr>
          <w:rFonts w:ascii="Arial" w:eastAsia="宋体" w:hAnsi="Arial" w:cs="Arial"/>
          <w:color w:val="000000"/>
          <w:sz w:val="20"/>
          <w:szCs w:val="20"/>
        </w:rPr>
        <w:t>non-investment grade ratings established by the major independent credit-rating agencies. The watch list also includes any counterparties rated “Special Mention,” “Substa</w:t>
      </w:r>
      <w:r>
        <w:rPr>
          <w:rFonts w:ascii="Arial" w:eastAsia="宋体" w:hAnsi="Arial" w:cs="Arial"/>
          <w:color w:val="000000"/>
          <w:sz w:val="20"/>
          <w:szCs w:val="20"/>
        </w:rPr>
        <w:t>ndard,” “Doubtful” and “Loss.”</w:t>
      </w:r>
    </w:p>
    <w:p w14:paraId="5F2CD437" w14:textId="77777777" w:rsidR="00E836FB" w:rsidRDefault="00994958">
      <w:pPr>
        <w:spacing w:before="60"/>
        <w:ind w:firstLine="450"/>
        <w:jc w:val="both"/>
        <w:textAlignment w:val="top"/>
      </w:pPr>
      <w:r>
        <w:rPr>
          <w:rFonts w:ascii="Arial" w:eastAsia="宋体" w:hAnsi="Arial" w:cs="Arial"/>
          <w:color w:val="000000"/>
          <w:sz w:val="20"/>
          <w:szCs w:val="20"/>
        </w:rPr>
        <w:t>The Credit and Global Markets Risk group maintains primary responsibility for our watch list processes, and generates a quarterly report of all watch list counterparties. The watch list is formally reviewed at least on a quar</w:t>
      </w:r>
      <w:r>
        <w:rPr>
          <w:rFonts w:ascii="Arial" w:eastAsia="宋体" w:hAnsi="Arial" w:cs="Arial"/>
          <w:color w:val="000000"/>
          <w:sz w:val="20"/>
          <w:szCs w:val="20"/>
        </w:rPr>
        <w:t>terly basis, with participation from senior ERM staff, and representatives from the business units and our corporate finance and legal groups as appropriate. These meetings include a review of individual watch list counterparties, together with credit limi</w:t>
      </w:r>
      <w:r>
        <w:rPr>
          <w:rFonts w:ascii="Arial" w:eastAsia="宋体" w:hAnsi="Arial" w:cs="Arial"/>
          <w:color w:val="000000"/>
          <w:sz w:val="20"/>
          <w:szCs w:val="20"/>
        </w:rPr>
        <w:t>ts and prevailing exposures, and are focused on actions to contain, reduce or eliminate the risk of loss to us. Identified actions are documented and monitored.</w:t>
      </w:r>
    </w:p>
    <w:p w14:paraId="5F2CD438" w14:textId="77777777" w:rsidR="00E836FB" w:rsidRDefault="00994958">
      <w:pPr>
        <w:spacing w:before="60"/>
        <w:textAlignment w:val="top"/>
      </w:pPr>
      <w:r>
        <w:rPr>
          <w:rFonts w:ascii="Arial" w:eastAsia="宋体" w:hAnsi="Arial" w:cs="Arial"/>
          <w:b/>
          <w:bCs/>
          <w:i/>
          <w:iCs/>
          <w:color w:val="000000"/>
          <w:sz w:val="20"/>
          <w:szCs w:val="20"/>
        </w:rPr>
        <w:t>Controls</w:t>
      </w:r>
    </w:p>
    <w:p w14:paraId="5F2CD439" w14:textId="77777777" w:rsidR="00E836FB" w:rsidRDefault="00994958">
      <w:pPr>
        <w:spacing w:before="60"/>
        <w:ind w:firstLine="450"/>
        <w:jc w:val="both"/>
        <w:textAlignment w:val="top"/>
      </w:pPr>
      <w:r>
        <w:rPr>
          <w:rFonts w:ascii="Arial" w:eastAsia="宋体" w:hAnsi="Arial" w:cs="Arial"/>
          <w:color w:val="000000"/>
          <w:sz w:val="20"/>
          <w:szCs w:val="20"/>
        </w:rPr>
        <w:t xml:space="preserve">GCR provides a separate level of surveillance and oversight over the integrity of our </w:t>
      </w:r>
      <w:r>
        <w:rPr>
          <w:rFonts w:ascii="Arial" w:eastAsia="宋体" w:hAnsi="Arial" w:cs="Arial"/>
          <w:color w:val="000000"/>
          <w:sz w:val="20"/>
          <w:szCs w:val="20"/>
        </w:rPr>
        <w:t xml:space="preserve">credit risk management processes, including the internal risk-rating system. GCR reviews counterparty credit ratings for all identified sectors on an ongoing basis. GCR is subject to oversight by the CMRC, and provides periodic updates to the Board’s RC. </w:t>
      </w:r>
    </w:p>
    <w:p w14:paraId="5F2CD43A" w14:textId="77777777" w:rsidR="00E836FB" w:rsidRDefault="00994958">
      <w:pPr>
        <w:spacing w:before="60"/>
        <w:ind w:firstLine="450"/>
        <w:jc w:val="both"/>
        <w:textAlignment w:val="top"/>
      </w:pPr>
      <w:r>
        <w:rPr>
          <w:rFonts w:ascii="Arial" w:eastAsia="宋体" w:hAnsi="Arial" w:cs="Arial"/>
          <w:color w:val="000000"/>
          <w:sz w:val="20"/>
          <w:szCs w:val="20"/>
        </w:rPr>
        <w:t>Specific activities of GCR include the following:</w:t>
      </w:r>
    </w:p>
    <w:p w14:paraId="5F2CD43B" w14:textId="77777777" w:rsidR="00E836FB" w:rsidRDefault="00994958">
      <w:pPr>
        <w:spacing w:before="60"/>
        <w:ind w:hanging="360"/>
        <w:jc w:val="both"/>
        <w:textAlignment w:val="top"/>
      </w:pPr>
      <w:r>
        <w:rPr>
          <w:rFonts w:ascii="Arial" w:eastAsia="宋体" w:hAnsi="Arial" w:cs="Arial"/>
          <w:color w:val="000000"/>
          <w:sz w:val="20"/>
          <w:szCs w:val="20"/>
        </w:rPr>
        <w:t>•Perform separate and objective assessments of our credit and counterparty exposures to determine the nature and extent of risk undertaken by the business units;</w:t>
      </w:r>
    </w:p>
    <w:p w14:paraId="5F2CD43C" w14:textId="77777777" w:rsidR="00E836FB" w:rsidRDefault="00994958">
      <w:pPr>
        <w:spacing w:before="60"/>
        <w:ind w:hanging="360"/>
        <w:jc w:val="both"/>
        <w:textAlignment w:val="top"/>
      </w:pPr>
      <w:r>
        <w:rPr>
          <w:rFonts w:ascii="Arial" w:eastAsia="宋体" w:hAnsi="Arial" w:cs="Arial"/>
          <w:color w:val="000000"/>
          <w:sz w:val="20"/>
          <w:szCs w:val="20"/>
        </w:rPr>
        <w:t xml:space="preserve">•Execute periodic credit process and credit </w:t>
      </w:r>
      <w:r>
        <w:rPr>
          <w:rFonts w:ascii="Arial" w:eastAsia="宋体" w:hAnsi="Arial" w:cs="Arial"/>
          <w:color w:val="000000"/>
          <w:sz w:val="20"/>
          <w:szCs w:val="20"/>
        </w:rPr>
        <w:t>product reviews to assess the quality of credit analysis, compliance with policies, guidelines and relevant regulation, transaction structures and underwriting standards, and risk-rating integrity;</w:t>
      </w:r>
    </w:p>
    <w:p w14:paraId="5F2CD43D" w14:textId="77777777" w:rsidR="00E836FB" w:rsidRDefault="00994958">
      <w:pPr>
        <w:spacing w:before="60"/>
        <w:ind w:hanging="360"/>
        <w:jc w:val="both"/>
        <w:textAlignment w:val="top"/>
      </w:pPr>
      <w:r>
        <w:rPr>
          <w:rFonts w:ascii="Arial" w:eastAsia="宋体" w:hAnsi="Arial" w:cs="Arial"/>
          <w:color w:val="000000"/>
          <w:sz w:val="20"/>
          <w:szCs w:val="20"/>
        </w:rPr>
        <w:t>•Identify and monitor developing counterparty, market and/</w:t>
      </w:r>
      <w:r>
        <w:rPr>
          <w:rFonts w:ascii="Arial" w:eastAsia="宋体" w:hAnsi="Arial" w:cs="Arial"/>
          <w:color w:val="000000"/>
          <w:sz w:val="20"/>
          <w:szCs w:val="20"/>
        </w:rPr>
        <w:t>or industry sector trends to limit risk of loss and protect capital;</w:t>
      </w:r>
    </w:p>
    <w:p w14:paraId="5F2CD43E" w14:textId="77777777" w:rsidR="00E836FB" w:rsidRDefault="00994958">
      <w:pPr>
        <w:spacing w:before="60"/>
        <w:ind w:hanging="360"/>
        <w:jc w:val="both"/>
        <w:textAlignment w:val="top"/>
      </w:pPr>
      <w:r>
        <w:rPr>
          <w:rFonts w:ascii="Arial" w:eastAsia="宋体" w:hAnsi="Arial" w:cs="Arial"/>
          <w:color w:val="000000"/>
          <w:sz w:val="20"/>
          <w:szCs w:val="20"/>
        </w:rPr>
        <w:t>•Deliver regular and formal reporting to stakeholders, including exam results, identified issues and the status of requisite actions to remedy identified deficiencies;</w:t>
      </w:r>
    </w:p>
    <w:p w14:paraId="5F2CD43F" w14:textId="77777777" w:rsidR="00E836FB" w:rsidRDefault="00994958">
      <w:pPr>
        <w:spacing w:before="60"/>
        <w:ind w:hanging="360"/>
        <w:jc w:val="both"/>
        <w:textAlignment w:val="top"/>
      </w:pPr>
      <w:r>
        <w:rPr>
          <w:rFonts w:ascii="Arial" w:eastAsia="宋体" w:hAnsi="Arial" w:cs="Arial"/>
          <w:color w:val="000000"/>
          <w:sz w:val="20"/>
          <w:szCs w:val="20"/>
        </w:rPr>
        <w:t>•Allocate resources</w:t>
      </w:r>
      <w:r>
        <w:rPr>
          <w:rFonts w:ascii="Arial" w:eastAsia="宋体" w:hAnsi="Arial" w:cs="Arial"/>
          <w:color w:val="000000"/>
          <w:sz w:val="20"/>
          <w:szCs w:val="20"/>
        </w:rPr>
        <w:t xml:space="preserve"> for specialized risk assessments (on an as-needed basis); and</w:t>
      </w:r>
    </w:p>
    <w:p w14:paraId="5F2CD440" w14:textId="77777777" w:rsidR="00E836FB" w:rsidRDefault="00994958">
      <w:pPr>
        <w:spacing w:before="60"/>
        <w:ind w:hanging="360"/>
        <w:jc w:val="both"/>
        <w:textAlignment w:val="top"/>
      </w:pPr>
      <w:r>
        <w:rPr>
          <w:rFonts w:ascii="Arial" w:eastAsia="宋体" w:hAnsi="Arial" w:cs="Arial"/>
          <w:color w:val="000000"/>
          <w:sz w:val="20"/>
          <w:szCs w:val="20"/>
        </w:rPr>
        <w:t>•Liaise with assurance partners and regulatory personnel on matters relating to risk rating, reporting and measurement.</w:t>
      </w:r>
    </w:p>
    <w:p w14:paraId="5F2CD441" w14:textId="77777777" w:rsidR="00E836FB" w:rsidRDefault="00994958">
      <w:pPr>
        <w:spacing w:before="60"/>
        <w:textAlignment w:val="top"/>
      </w:pPr>
      <w:r>
        <w:rPr>
          <w:rFonts w:ascii="Arial" w:eastAsia="宋体" w:hAnsi="Arial" w:cs="Arial"/>
          <w:b/>
          <w:bCs/>
          <w:i/>
          <w:iCs/>
          <w:color w:val="000000"/>
          <w:sz w:val="20"/>
          <w:szCs w:val="20"/>
        </w:rPr>
        <w:t>Allowance for Credit Losses</w:t>
      </w:r>
    </w:p>
    <w:p w14:paraId="5F2CD442" w14:textId="77777777" w:rsidR="00E836FB" w:rsidRDefault="00994958">
      <w:pPr>
        <w:spacing w:before="60"/>
        <w:ind w:firstLine="450"/>
        <w:jc w:val="both"/>
        <w:textAlignment w:val="top"/>
      </w:pPr>
      <w:r>
        <w:rPr>
          <w:rFonts w:ascii="Arial" w:eastAsia="宋体" w:hAnsi="Arial" w:cs="Arial"/>
          <w:color w:val="000000"/>
          <w:sz w:val="20"/>
          <w:szCs w:val="20"/>
        </w:rPr>
        <w:t>We maintain an allowance for credit losses to</w:t>
      </w:r>
      <w:r>
        <w:rPr>
          <w:rFonts w:ascii="Arial" w:eastAsia="宋体" w:hAnsi="Arial" w:cs="Arial"/>
          <w:color w:val="000000"/>
          <w:sz w:val="20"/>
          <w:szCs w:val="20"/>
        </w:rPr>
        <w:t xml:space="preserve"> support our financial assets held at amortized cost. We also maintain an allowance for unfunded commitments and letters of credit to support our off-</w:t>
      </w:r>
    </w:p>
    <w:p w14:paraId="5F2CD443" w14:textId="77777777" w:rsidR="00E836FB" w:rsidRDefault="00994958">
      <w:pPr>
        <w:spacing w:before="60"/>
        <w:jc w:val="both"/>
        <w:textAlignment w:val="top"/>
      </w:pPr>
      <w:r>
        <w:rPr>
          <w:rFonts w:ascii="Arial" w:eastAsia="宋体" w:hAnsi="Arial" w:cs="Arial"/>
          <w:color w:val="000000"/>
          <w:sz w:val="20"/>
          <w:szCs w:val="20"/>
        </w:rPr>
        <w:t>balance sheet credit exposure. The two components together represent the Allowance for Credit Losses. Rev</w:t>
      </w:r>
      <w:r>
        <w:rPr>
          <w:rFonts w:ascii="Arial" w:eastAsia="宋体" w:hAnsi="Arial" w:cs="Arial"/>
          <w:color w:val="000000"/>
          <w:sz w:val="20"/>
          <w:szCs w:val="20"/>
        </w:rPr>
        <w:t>iew and evaluation of the adequacy of the Allowance for Credit Losses is ongoing throughout the year, but occurs at least quarterly, and is based, among other factors, on our evaluation of the level of risk in the portfolio and the estimated effects of our</w:t>
      </w:r>
      <w:r>
        <w:rPr>
          <w:rFonts w:ascii="Arial" w:eastAsia="宋体" w:hAnsi="Arial" w:cs="Arial"/>
          <w:color w:val="000000"/>
          <w:sz w:val="20"/>
          <w:szCs w:val="20"/>
        </w:rPr>
        <w:t xml:space="preserve"> forecasts on our counterparty risk. We utilize multiple economic scenarios, consisting of a baseline, upside and downside scenarios, to develop management's forecast of expected losses.</w:t>
      </w:r>
    </w:p>
    <w:p w14:paraId="5F2CD444" w14:textId="77777777" w:rsidR="00E836FB" w:rsidRDefault="00994958">
      <w:pPr>
        <w:spacing w:before="60"/>
        <w:ind w:firstLine="450"/>
        <w:jc w:val="both"/>
        <w:textAlignment w:val="top"/>
      </w:pPr>
      <w:r>
        <w:rPr>
          <w:rFonts w:ascii="Arial" w:eastAsia="宋体" w:hAnsi="Arial" w:cs="Arial"/>
          <w:color w:val="000000"/>
          <w:sz w:val="20"/>
          <w:szCs w:val="20"/>
        </w:rPr>
        <w:t xml:space="preserve">The economic forecast utilized throughout 2021 reflects observed and </w:t>
      </w:r>
      <w:r>
        <w:rPr>
          <w:rFonts w:ascii="Arial" w:eastAsia="宋体" w:hAnsi="Arial" w:cs="Arial"/>
          <w:color w:val="000000"/>
          <w:sz w:val="20"/>
          <w:szCs w:val="20"/>
        </w:rPr>
        <w:t>expected improvements in both credit quality and economic outlook. Allowance estimates remain subject to continued model and economic uncertainty and management may use qualitative adjustments. If future data and forecasts deviate relative to the forecasts</w:t>
      </w:r>
      <w:r>
        <w:rPr>
          <w:rFonts w:ascii="Arial" w:eastAsia="宋体" w:hAnsi="Arial" w:cs="Arial"/>
          <w:color w:val="000000"/>
          <w:sz w:val="20"/>
          <w:szCs w:val="20"/>
        </w:rPr>
        <w:t xml:space="preserve"> utilized to determine our allowance for credit losses as of December 31, 2021, or if credit risk migration is higher or lower than forecasted for reasons independent of the economic forecast, our allowance for credit losses will also change.</w:t>
      </w:r>
    </w:p>
    <w:p w14:paraId="5F2CD445" w14:textId="77777777" w:rsidR="00E836FB" w:rsidRDefault="00994958">
      <w:pPr>
        <w:spacing w:before="60"/>
        <w:ind w:firstLine="450"/>
        <w:jc w:val="both"/>
        <w:textAlignment w:val="top"/>
      </w:pPr>
      <w:r>
        <w:rPr>
          <w:rFonts w:ascii="Arial" w:eastAsia="宋体" w:hAnsi="Arial" w:cs="Arial"/>
          <w:color w:val="000000"/>
          <w:sz w:val="20"/>
          <w:szCs w:val="20"/>
        </w:rPr>
        <w:t>Additional in</w:t>
      </w:r>
      <w:r>
        <w:rPr>
          <w:rFonts w:ascii="Arial" w:eastAsia="宋体" w:hAnsi="Arial" w:cs="Arial"/>
          <w:color w:val="000000"/>
          <w:sz w:val="20"/>
          <w:szCs w:val="20"/>
        </w:rPr>
        <w:t>formation about the allowance for credit losses is provided in Note 4 to the consolidated financial statements in this Form 10-K.</w:t>
      </w:r>
    </w:p>
    <w:p w14:paraId="5F2CD446" w14:textId="77777777" w:rsidR="00E836FB" w:rsidRDefault="00994958">
      <w:pPr>
        <w:spacing w:before="90"/>
        <w:textAlignment w:val="top"/>
      </w:pPr>
      <w:r>
        <w:rPr>
          <w:rFonts w:ascii="Arial" w:eastAsia="宋体" w:hAnsi="Arial" w:cs="Arial"/>
          <w:b/>
          <w:bCs/>
          <w:color w:val="000000"/>
          <w:sz w:val="20"/>
          <w:szCs w:val="20"/>
        </w:rPr>
        <w:t>Liquidity Risk Management</w:t>
      </w:r>
    </w:p>
    <w:p w14:paraId="5F2CD447" w14:textId="77777777" w:rsidR="00E836FB" w:rsidRDefault="00994958">
      <w:pPr>
        <w:spacing w:before="60"/>
        <w:ind w:firstLine="450"/>
        <w:jc w:val="both"/>
        <w:textAlignment w:val="top"/>
      </w:pPr>
      <w:r>
        <w:rPr>
          <w:rFonts w:ascii="Arial" w:eastAsia="宋体" w:hAnsi="Arial" w:cs="Arial"/>
          <w:color w:val="000000"/>
          <w:sz w:val="20"/>
          <w:szCs w:val="20"/>
        </w:rPr>
        <w:t>Our liquidity framework contemplates areas of potential risk based on our activities, size and other</w:t>
      </w:r>
      <w:r>
        <w:rPr>
          <w:rFonts w:ascii="Arial" w:eastAsia="宋体" w:hAnsi="Arial" w:cs="Arial"/>
          <w:color w:val="000000"/>
          <w:sz w:val="20"/>
          <w:szCs w:val="20"/>
        </w:rPr>
        <w:t xml:space="preserve"> appropriate risk-related factors. In managing liquidity risk we employ limits, maintain established metrics and early warning indicators and perform routine stress testing to identify potential liquidity needs. This process involves the evaluation of a co</w:t>
      </w:r>
      <w:r>
        <w:rPr>
          <w:rFonts w:ascii="Arial" w:eastAsia="宋体" w:hAnsi="Arial" w:cs="Arial"/>
          <w:color w:val="000000"/>
          <w:sz w:val="20"/>
          <w:szCs w:val="20"/>
        </w:rPr>
        <w:t>mbination of internal and external scenarios which assist us in measuring our liquidity position and in identifying potential increases in cash needs or decreases in available sources of cash, as well as the potential impairment of our ability to access th</w:t>
      </w:r>
      <w:r>
        <w:rPr>
          <w:rFonts w:ascii="Arial" w:eastAsia="宋体" w:hAnsi="Arial" w:cs="Arial"/>
          <w:color w:val="000000"/>
          <w:sz w:val="20"/>
          <w:szCs w:val="20"/>
        </w:rPr>
        <w:t>e global capital markets.</w:t>
      </w:r>
    </w:p>
    <w:p w14:paraId="5F2CD448" w14:textId="77777777" w:rsidR="00E836FB" w:rsidRDefault="00994958">
      <w:pPr>
        <w:spacing w:before="60"/>
        <w:ind w:firstLine="450"/>
        <w:jc w:val="both"/>
        <w:textAlignment w:val="top"/>
      </w:pPr>
      <w:r>
        <w:rPr>
          <w:rFonts w:ascii="Arial" w:eastAsia="宋体" w:hAnsi="Arial" w:cs="Arial"/>
          <w:color w:val="000000"/>
          <w:sz w:val="20"/>
          <w:szCs w:val="20"/>
        </w:rPr>
        <w:t xml:space="preserve">We manage our liquidity on a global, consolidated basis. We also manage liquidity on a stand-alone basis at our Parent Company, as well as at certain branches and subsidiaries of State Street Bank. State Street Bank generally has </w:t>
      </w:r>
      <w:r>
        <w:rPr>
          <w:rFonts w:ascii="Arial" w:eastAsia="宋体" w:hAnsi="Arial" w:cs="Arial"/>
          <w:color w:val="000000"/>
          <w:sz w:val="20"/>
          <w:szCs w:val="20"/>
        </w:rPr>
        <w:t>access to markets and funding sources limited to banks, such as the federal funds market and the Federal Reserve's discount window. The Parent Company is managed to a more conservative liquidity profile, reflecting narrower market access. Additionally, the</w:t>
      </w:r>
      <w:r>
        <w:rPr>
          <w:rFonts w:ascii="Arial" w:eastAsia="宋体" w:hAnsi="Arial" w:cs="Arial"/>
          <w:color w:val="000000"/>
          <w:sz w:val="20"/>
          <w:szCs w:val="20"/>
        </w:rPr>
        <w:t xml:space="preserve"> Parent Company typically holds, or has direct access to, primarily through SSIF, a direct subsidiary of the Parent Company, and the support agreement, as discussed in "Supervision and Regulation" in Business in this Form 10-K, enough cash to meet its curr</w:t>
      </w:r>
      <w:r>
        <w:rPr>
          <w:rFonts w:ascii="Arial" w:eastAsia="宋体" w:hAnsi="Arial" w:cs="Arial"/>
          <w:color w:val="000000"/>
          <w:sz w:val="20"/>
          <w:szCs w:val="20"/>
        </w:rPr>
        <w:t xml:space="preserve">ent debt maturities and cash needs, as well as those projected over the next one-year period. Absent </w:t>
      </w:r>
    </w:p>
    <w:p w14:paraId="5F2CD449" w14:textId="77777777" w:rsidR="00E836FB" w:rsidRDefault="00994958">
      <w:pPr>
        <w:ind w:firstLine="450"/>
        <w:jc w:val="right"/>
      </w:pPr>
      <w:r>
        <w:rPr>
          <w:rFonts w:ascii="Arial" w:eastAsia="宋体" w:hAnsi="Arial" w:cs="Arial"/>
          <w:color w:val="000000"/>
          <w:sz w:val="18"/>
          <w:szCs w:val="18"/>
        </w:rPr>
        <w:t>State Street Corporation | 93</w:t>
      </w:r>
    </w:p>
    <w:p w14:paraId="5F2CD44A" w14:textId="77777777" w:rsidR="00E836FB" w:rsidRDefault="00E836FB">
      <w:pPr>
        <w:ind w:firstLine="450"/>
        <w:jc w:val="center"/>
      </w:pPr>
    </w:p>
    <w:p w14:paraId="5F2CD44B" w14:textId="77777777" w:rsidR="00E836FB" w:rsidRDefault="00994958">
      <w:r>
        <w:pict w14:anchorId="5F2D6DE2">
          <v:rect id="_x0000_i1117" style="width:415.3pt;height:1.5pt" o:hralign="center" o:hrstd="t" o:hr="t" fillcolor="#a0a0a0" stroked="f"/>
        </w:pict>
      </w:r>
    </w:p>
    <w:p w14:paraId="5F2CD44C"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44D" w14:textId="77777777" w:rsidR="00E836FB" w:rsidRDefault="00994958">
      <w:pPr>
        <w:ind w:firstLine="450"/>
        <w:jc w:val="center"/>
      </w:pPr>
      <w:r>
        <w:rPr>
          <w:rFonts w:ascii="Arial" w:eastAsia="宋体" w:hAnsi="Arial" w:cs="Arial"/>
          <w:b/>
          <w:bCs/>
          <w:color w:val="000000"/>
          <w:sz w:val="20"/>
          <w:szCs w:val="20"/>
        </w:rPr>
        <w:t>AND RESULTS OF OPERATIONS</w:t>
      </w:r>
    </w:p>
    <w:p w14:paraId="5F2CD44E" w14:textId="77777777" w:rsidR="00E836FB" w:rsidRDefault="00994958">
      <w:pPr>
        <w:spacing w:before="60"/>
        <w:jc w:val="both"/>
        <w:textAlignment w:val="top"/>
      </w:pPr>
      <w:r>
        <w:rPr>
          <w:rFonts w:ascii="Arial" w:eastAsia="宋体" w:hAnsi="Arial" w:cs="Arial"/>
          <w:color w:val="000000"/>
          <w:sz w:val="20"/>
          <w:szCs w:val="20"/>
        </w:rPr>
        <w:t>financial distress at the Parent Co</w:t>
      </w:r>
      <w:r>
        <w:rPr>
          <w:rFonts w:ascii="Arial" w:eastAsia="宋体" w:hAnsi="Arial" w:cs="Arial"/>
          <w:color w:val="000000"/>
          <w:sz w:val="20"/>
          <w:szCs w:val="20"/>
        </w:rPr>
        <w:t>mpany, the liquid assets available at SSIF continue to be available to the Parent Company. As of December 31, 2021, the value of our Parent Company's net liquid assets totaled $482 million, compared with $492 million as of December 31, 2020, which amount d</w:t>
      </w:r>
      <w:r>
        <w:rPr>
          <w:rFonts w:ascii="Arial" w:eastAsia="宋体" w:hAnsi="Arial" w:cs="Arial"/>
          <w:color w:val="000000"/>
          <w:sz w:val="20"/>
          <w:szCs w:val="20"/>
        </w:rPr>
        <w:t>oes not include available liquidity through SSIF. As of December 31, 2021, our Parent Company and State Street Bank had no senior notes or subordinated debentures outstanding that will mature in the next twelve months.</w:t>
      </w:r>
    </w:p>
    <w:p w14:paraId="5F2CD44F" w14:textId="77777777" w:rsidR="00E836FB" w:rsidRDefault="00994958">
      <w:pPr>
        <w:spacing w:before="60"/>
        <w:ind w:firstLine="450"/>
        <w:jc w:val="both"/>
        <w:textAlignment w:val="top"/>
      </w:pPr>
      <w:r>
        <w:rPr>
          <w:rFonts w:ascii="Arial" w:eastAsia="宋体" w:hAnsi="Arial" w:cs="Arial"/>
          <w:color w:val="000000"/>
          <w:sz w:val="20"/>
          <w:szCs w:val="20"/>
        </w:rPr>
        <w:t xml:space="preserve">As a SIFI, our liquidity risk </w:t>
      </w:r>
      <w:r>
        <w:rPr>
          <w:rFonts w:ascii="Arial" w:eastAsia="宋体" w:hAnsi="Arial" w:cs="Arial"/>
          <w:color w:val="000000"/>
          <w:sz w:val="20"/>
          <w:szCs w:val="20"/>
        </w:rPr>
        <w:t>management activities are subject to heightened and evolving regulatory requirements, including interpretations of those requirements, under specific U.S. and international regulations and also resulting from published and unpublished guidance, supervisory</w:t>
      </w:r>
      <w:r>
        <w:rPr>
          <w:rFonts w:ascii="Arial" w:eastAsia="宋体" w:hAnsi="Arial" w:cs="Arial"/>
          <w:color w:val="000000"/>
          <w:sz w:val="20"/>
          <w:szCs w:val="20"/>
        </w:rPr>
        <w:t xml:space="preserve"> activities, such as stress tests, resolution planning, examinations and other regulatory interactions. Satisfaction of these requirements could, in some cases, result in changes in the composition of our investment portfolio, reduced NII or NIM, a reducti</w:t>
      </w:r>
      <w:r>
        <w:rPr>
          <w:rFonts w:ascii="Arial" w:eastAsia="宋体" w:hAnsi="Arial" w:cs="Arial"/>
          <w:color w:val="000000"/>
          <w:sz w:val="20"/>
          <w:szCs w:val="20"/>
        </w:rPr>
        <w:t>on in the level of certain business activities or modifications to the way in which we deliver our products and services. If we fail to meet regulatory requirements to the satisfaction of our regulators, we could receive negative regulatory stress test res</w:t>
      </w:r>
      <w:r>
        <w:rPr>
          <w:rFonts w:ascii="Arial" w:eastAsia="宋体" w:hAnsi="Arial" w:cs="Arial"/>
          <w:color w:val="000000"/>
          <w:sz w:val="20"/>
          <w:szCs w:val="20"/>
        </w:rPr>
        <w:t>ults, incur a resolution plan deficiency or determination of a non-credible resolution plan or otherwise receive an adverse regulatory finding. Our efforts to satisfy, or our failure to satisfy, these regulatory requirements could materially adversely affe</w:t>
      </w:r>
      <w:r>
        <w:rPr>
          <w:rFonts w:ascii="Arial" w:eastAsia="宋体" w:hAnsi="Arial" w:cs="Arial"/>
          <w:color w:val="000000"/>
          <w:sz w:val="20"/>
          <w:szCs w:val="20"/>
        </w:rPr>
        <w:t>ct our business, financial condition or results of operations.</w:t>
      </w:r>
    </w:p>
    <w:p w14:paraId="5F2CD450" w14:textId="77777777" w:rsidR="00E836FB" w:rsidRDefault="00994958">
      <w:pPr>
        <w:spacing w:before="60"/>
        <w:jc w:val="both"/>
        <w:textAlignment w:val="top"/>
      </w:pPr>
      <w:r>
        <w:rPr>
          <w:rFonts w:ascii="Arial" w:eastAsia="宋体" w:hAnsi="Arial" w:cs="Arial"/>
          <w:b/>
          <w:bCs/>
          <w:i/>
          <w:iCs/>
          <w:color w:val="000000"/>
          <w:sz w:val="20"/>
          <w:szCs w:val="20"/>
        </w:rPr>
        <w:t>Governance</w:t>
      </w:r>
    </w:p>
    <w:p w14:paraId="5F2CD451" w14:textId="77777777" w:rsidR="00E836FB" w:rsidRDefault="00994958">
      <w:pPr>
        <w:spacing w:before="60"/>
        <w:ind w:firstLine="450"/>
        <w:jc w:val="both"/>
        <w:textAlignment w:val="top"/>
      </w:pPr>
      <w:r>
        <w:rPr>
          <w:rFonts w:ascii="Arial" w:eastAsia="宋体" w:hAnsi="Arial" w:cs="Arial"/>
          <w:color w:val="000000"/>
          <w:sz w:val="20"/>
          <w:szCs w:val="20"/>
        </w:rPr>
        <w:t xml:space="preserve">Global Treasury is responsible for our management of liquidity. This includes the day-to-day management of our global liquidity position, the development and monitoring of early </w:t>
      </w:r>
      <w:r>
        <w:rPr>
          <w:rFonts w:ascii="Arial" w:eastAsia="宋体" w:hAnsi="Arial" w:cs="Arial"/>
          <w:color w:val="000000"/>
          <w:sz w:val="20"/>
          <w:szCs w:val="20"/>
        </w:rPr>
        <w:t>warning indicators, key liquidity risk metrics, the creation and execution of stress tests, the evaluation and implementation of regulatory requirements, the maintenance and execution of our liquidity guidelines and contingency funding plan (CFP), and rout</w:t>
      </w:r>
      <w:r>
        <w:rPr>
          <w:rFonts w:ascii="Arial" w:eastAsia="宋体" w:hAnsi="Arial" w:cs="Arial"/>
          <w:color w:val="000000"/>
          <w:sz w:val="20"/>
          <w:szCs w:val="20"/>
        </w:rPr>
        <w:t>ine management reporting to ALCO, MRAC and the Board's RC.</w:t>
      </w:r>
    </w:p>
    <w:p w14:paraId="5F2CD452" w14:textId="77777777" w:rsidR="00E836FB" w:rsidRDefault="00994958">
      <w:pPr>
        <w:spacing w:before="60"/>
        <w:ind w:firstLine="450"/>
        <w:jc w:val="both"/>
        <w:textAlignment w:val="top"/>
      </w:pPr>
      <w:r>
        <w:rPr>
          <w:rFonts w:ascii="Arial" w:eastAsia="宋体" w:hAnsi="Arial" w:cs="Arial"/>
          <w:color w:val="000000"/>
          <w:sz w:val="20"/>
          <w:szCs w:val="20"/>
        </w:rPr>
        <w:t>Global Treasury Risk Management, part of ERM, provides separate oversight over the identification, communication and management of Global Treasury’s risks in support of our business strategy. Globa</w:t>
      </w:r>
      <w:r>
        <w:rPr>
          <w:rFonts w:ascii="Arial" w:eastAsia="宋体" w:hAnsi="Arial" w:cs="Arial"/>
          <w:color w:val="000000"/>
          <w:sz w:val="20"/>
          <w:szCs w:val="20"/>
        </w:rPr>
        <w:t>l Treasury Risk Management reports to the CRO. Global Treasury Risk Management’s responsibilities relative to liquidity risk management include the development and review of policies and guidelines; the monitoring of limits related to adherence to the liqu</w:t>
      </w:r>
      <w:r>
        <w:rPr>
          <w:rFonts w:ascii="Arial" w:eastAsia="宋体" w:hAnsi="Arial" w:cs="Arial"/>
          <w:color w:val="000000"/>
          <w:sz w:val="20"/>
          <w:szCs w:val="20"/>
        </w:rPr>
        <w:t>idity risk guidelines and associated reporting.</w:t>
      </w:r>
    </w:p>
    <w:p w14:paraId="5F2CD453" w14:textId="77777777" w:rsidR="00E836FB" w:rsidRDefault="00994958">
      <w:pPr>
        <w:spacing w:before="60"/>
        <w:jc w:val="both"/>
        <w:textAlignment w:val="top"/>
      </w:pPr>
      <w:r>
        <w:rPr>
          <w:rFonts w:ascii="Arial" w:eastAsia="宋体" w:hAnsi="Arial" w:cs="Arial"/>
          <w:b/>
          <w:bCs/>
          <w:i/>
          <w:iCs/>
          <w:color w:val="000000"/>
          <w:sz w:val="20"/>
          <w:szCs w:val="20"/>
        </w:rPr>
        <w:t>Liquidity Framework</w:t>
      </w:r>
    </w:p>
    <w:p w14:paraId="5F2CD454" w14:textId="77777777" w:rsidR="00E836FB" w:rsidRDefault="00994958">
      <w:pPr>
        <w:spacing w:before="60"/>
        <w:ind w:firstLine="450"/>
        <w:jc w:val="both"/>
        <w:textAlignment w:val="top"/>
      </w:pPr>
      <w:r>
        <w:rPr>
          <w:rFonts w:ascii="Arial" w:eastAsia="宋体" w:hAnsi="Arial" w:cs="Arial"/>
          <w:color w:val="000000"/>
          <w:sz w:val="20"/>
          <w:szCs w:val="20"/>
        </w:rPr>
        <w:t>Our liquidity framework contemplates areas of potential risk based on our activities, size and other appropriate risk-related factors. In managing liquidity risk we employ limits, maintain</w:t>
      </w:r>
      <w:r>
        <w:rPr>
          <w:rFonts w:ascii="Arial" w:eastAsia="宋体" w:hAnsi="Arial" w:cs="Arial"/>
          <w:color w:val="000000"/>
          <w:sz w:val="20"/>
          <w:szCs w:val="20"/>
        </w:rPr>
        <w:t xml:space="preserve"> established metrics and early warning indicators, and perform routine stress testing to identify potential liquidity needs. This process involves the evaluation of a combination of internal and external scenarios which assist us in measuring our liquidity</w:t>
      </w:r>
      <w:r>
        <w:rPr>
          <w:rFonts w:ascii="Arial" w:eastAsia="宋体" w:hAnsi="Arial" w:cs="Arial"/>
          <w:color w:val="000000"/>
          <w:sz w:val="20"/>
          <w:szCs w:val="20"/>
        </w:rPr>
        <w:t xml:space="preserve"> position and in identifying potential increases in cash needs or decreases in available sources of cash, as well as the potential impairment of our ability to access the global capital markets.</w:t>
      </w:r>
    </w:p>
    <w:p w14:paraId="5F2CD455" w14:textId="77777777" w:rsidR="00E836FB" w:rsidRDefault="00994958">
      <w:pPr>
        <w:spacing w:before="60"/>
        <w:ind w:firstLine="450"/>
        <w:jc w:val="both"/>
        <w:textAlignment w:val="top"/>
      </w:pPr>
      <w:r>
        <w:rPr>
          <w:rFonts w:ascii="Arial" w:eastAsia="宋体" w:hAnsi="Arial" w:cs="Arial"/>
          <w:color w:val="000000"/>
          <w:sz w:val="20"/>
          <w:szCs w:val="20"/>
        </w:rPr>
        <w:t xml:space="preserve">We manage liquidity according to several principles that are </w:t>
      </w:r>
      <w:r>
        <w:rPr>
          <w:rFonts w:ascii="Arial" w:eastAsia="宋体" w:hAnsi="Arial" w:cs="Arial"/>
          <w:color w:val="000000"/>
          <w:sz w:val="20"/>
          <w:szCs w:val="20"/>
        </w:rPr>
        <w:t>equally important to our overall liquidity risk management framework:</w:t>
      </w:r>
    </w:p>
    <w:p w14:paraId="5F2CD456" w14:textId="77777777" w:rsidR="00E836FB" w:rsidRDefault="00994958">
      <w:pPr>
        <w:spacing w:before="60"/>
        <w:ind w:hanging="360"/>
        <w:jc w:val="both"/>
        <w:textAlignment w:val="top"/>
      </w:pPr>
      <w:r>
        <w:rPr>
          <w:rFonts w:ascii="Arial" w:eastAsia="宋体" w:hAnsi="Arial" w:cs="Arial"/>
          <w:color w:val="000000"/>
          <w:sz w:val="20"/>
          <w:szCs w:val="20"/>
        </w:rPr>
        <w:t>•Structural liquidity management addresses liquidity by monitoring and directing the composition of our consolidated statement of condition. Structural liquidity is measured by metrics s</w:t>
      </w:r>
      <w:r>
        <w:rPr>
          <w:rFonts w:ascii="Arial" w:eastAsia="宋体" w:hAnsi="Arial" w:cs="Arial"/>
          <w:color w:val="000000"/>
          <w:sz w:val="20"/>
          <w:szCs w:val="20"/>
        </w:rPr>
        <w:t xml:space="preserve">uch as the percentage of total wholesale funds to consolidated total assets, and the percentage of non-government investment securities to client deposits. In addition, on a regular basis and as described below, our structural liquidity is evaluated under </w:t>
      </w:r>
      <w:r>
        <w:rPr>
          <w:rFonts w:ascii="Arial" w:eastAsia="宋体" w:hAnsi="Arial" w:cs="Arial"/>
          <w:color w:val="000000"/>
          <w:sz w:val="20"/>
          <w:szCs w:val="20"/>
        </w:rPr>
        <w:t>various stress scenarios.</w:t>
      </w:r>
    </w:p>
    <w:p w14:paraId="5F2CD457" w14:textId="77777777" w:rsidR="00E836FB" w:rsidRDefault="00994958">
      <w:pPr>
        <w:spacing w:before="60"/>
        <w:ind w:hanging="360"/>
        <w:jc w:val="both"/>
        <w:textAlignment w:val="top"/>
      </w:pPr>
      <w:r>
        <w:rPr>
          <w:rFonts w:ascii="Arial" w:eastAsia="宋体" w:hAnsi="Arial" w:cs="Arial"/>
          <w:color w:val="000000"/>
          <w:sz w:val="20"/>
          <w:szCs w:val="20"/>
        </w:rPr>
        <w:t>•Tactical liquidity management addresses our day-to-day funding requirements and is largely driven by changes in our primary source of funding, which are client deposits. Fluctuations in client deposits may be supplemented with sh</w:t>
      </w:r>
      <w:r>
        <w:rPr>
          <w:rFonts w:ascii="Arial" w:eastAsia="宋体" w:hAnsi="Arial" w:cs="Arial"/>
          <w:color w:val="000000"/>
          <w:sz w:val="20"/>
          <w:szCs w:val="20"/>
        </w:rPr>
        <w:t>ort-term borrowings, repurchase agreements, FHLB products and certificates of deposit.</w:t>
      </w:r>
    </w:p>
    <w:p w14:paraId="5F2CD458" w14:textId="77777777" w:rsidR="00E836FB" w:rsidRDefault="00994958">
      <w:pPr>
        <w:spacing w:before="60"/>
        <w:ind w:hanging="360"/>
        <w:jc w:val="both"/>
        <w:textAlignment w:val="top"/>
      </w:pPr>
      <w:r>
        <w:rPr>
          <w:rFonts w:ascii="Arial" w:eastAsia="宋体" w:hAnsi="Arial" w:cs="Arial"/>
          <w:color w:val="000000"/>
          <w:sz w:val="20"/>
          <w:szCs w:val="20"/>
        </w:rPr>
        <w:t xml:space="preserve">•Stress testing and contingent funding planning are longer-term strategic liquidity risk management practices. Regular and ad hoc liquidity stress testing are performed </w:t>
      </w:r>
      <w:r>
        <w:rPr>
          <w:rFonts w:ascii="Arial" w:eastAsia="宋体" w:hAnsi="Arial" w:cs="Arial"/>
          <w:color w:val="000000"/>
          <w:sz w:val="20"/>
          <w:szCs w:val="20"/>
        </w:rPr>
        <w:t>under various severe but plausible scenarios at the consolidated level and at significant subsidiaries, including State Street Bank. These tests contemplate severe market and events specific to us under various time horizons and severities. Tests contempla</w:t>
      </w:r>
      <w:r>
        <w:rPr>
          <w:rFonts w:ascii="Arial" w:eastAsia="宋体" w:hAnsi="Arial" w:cs="Arial"/>
          <w:color w:val="000000"/>
          <w:sz w:val="20"/>
          <w:szCs w:val="20"/>
        </w:rPr>
        <w:t xml:space="preserve">te the impact of material changes in key funding sources, credit ratings, additional collateral requirements, contingent uses of funding, systemic shocks to the financial markets and operational failures based on market and assumptions specific to us. The </w:t>
      </w:r>
      <w:r>
        <w:rPr>
          <w:rFonts w:ascii="Arial" w:eastAsia="宋体" w:hAnsi="Arial" w:cs="Arial"/>
          <w:color w:val="000000"/>
          <w:sz w:val="20"/>
          <w:szCs w:val="20"/>
        </w:rPr>
        <w:t xml:space="preserve">stress tests evaluate the required level of funding versus available sources in an adverse environment. As stress testing contemplates potential forward-looking scenarios, results also serve </w:t>
      </w:r>
    </w:p>
    <w:p w14:paraId="5F2CD459" w14:textId="77777777" w:rsidR="00E836FB" w:rsidRDefault="00994958">
      <w:pPr>
        <w:ind w:firstLine="450"/>
        <w:jc w:val="right"/>
      </w:pPr>
      <w:r>
        <w:rPr>
          <w:rFonts w:ascii="Arial" w:eastAsia="宋体" w:hAnsi="Arial" w:cs="Arial"/>
          <w:color w:val="000000"/>
          <w:sz w:val="18"/>
          <w:szCs w:val="18"/>
        </w:rPr>
        <w:t>State Street Corporation | 94</w:t>
      </w:r>
    </w:p>
    <w:p w14:paraId="5F2CD45A" w14:textId="77777777" w:rsidR="00E836FB" w:rsidRDefault="00E836FB">
      <w:pPr>
        <w:ind w:firstLine="450"/>
        <w:jc w:val="center"/>
      </w:pPr>
    </w:p>
    <w:p w14:paraId="5F2CD45B" w14:textId="77777777" w:rsidR="00E836FB" w:rsidRDefault="00994958">
      <w:r>
        <w:pict w14:anchorId="5F2D6DE3">
          <v:rect id="_x0000_i1118" style="width:415.3pt;height:1.5pt" o:hralign="center" o:hrstd="t" o:hr="t" fillcolor="#a0a0a0" stroked="f"/>
        </w:pict>
      </w:r>
    </w:p>
    <w:p w14:paraId="5F2CD45C" w14:textId="77777777" w:rsidR="00E836FB" w:rsidRDefault="00994958">
      <w:pPr>
        <w:ind w:firstLine="450"/>
        <w:jc w:val="center"/>
      </w:pPr>
      <w:r>
        <w:rPr>
          <w:rFonts w:ascii="Arial" w:eastAsia="宋体" w:hAnsi="Arial" w:cs="Arial"/>
          <w:b/>
          <w:bCs/>
          <w:color w:val="000000"/>
          <w:sz w:val="20"/>
          <w:szCs w:val="20"/>
        </w:rPr>
        <w:t>MANAGEMENT’S DISCUSSION AND ANA</w:t>
      </w:r>
      <w:r>
        <w:rPr>
          <w:rFonts w:ascii="Arial" w:eastAsia="宋体" w:hAnsi="Arial" w:cs="Arial"/>
          <w:b/>
          <w:bCs/>
          <w:color w:val="000000"/>
          <w:sz w:val="20"/>
          <w:szCs w:val="20"/>
        </w:rPr>
        <w:t>LYSIS OF FINANCIAL CONDITION</w:t>
      </w:r>
    </w:p>
    <w:p w14:paraId="5F2CD45D" w14:textId="77777777" w:rsidR="00E836FB" w:rsidRDefault="00994958">
      <w:pPr>
        <w:ind w:firstLine="450"/>
        <w:jc w:val="center"/>
      </w:pPr>
      <w:r>
        <w:rPr>
          <w:rFonts w:ascii="Arial" w:eastAsia="宋体" w:hAnsi="Arial" w:cs="Arial"/>
          <w:b/>
          <w:bCs/>
          <w:color w:val="000000"/>
          <w:sz w:val="20"/>
          <w:szCs w:val="20"/>
        </w:rPr>
        <w:t>AND RESULTS OF OPERATIONS</w:t>
      </w:r>
    </w:p>
    <w:p w14:paraId="5F2CD45E" w14:textId="77777777" w:rsidR="00E836FB" w:rsidRDefault="00994958">
      <w:pPr>
        <w:spacing w:before="60"/>
        <w:jc w:val="both"/>
        <w:textAlignment w:val="top"/>
      </w:pPr>
      <w:r>
        <w:rPr>
          <w:rFonts w:ascii="Arial" w:eastAsia="宋体" w:hAnsi="Arial" w:cs="Arial"/>
          <w:color w:val="000000"/>
          <w:sz w:val="20"/>
          <w:szCs w:val="20"/>
        </w:rPr>
        <w:t>as a trigger to activate specific liquidity stress levels and contingent funding actions.</w:t>
      </w:r>
    </w:p>
    <w:p w14:paraId="5F2CD45F" w14:textId="77777777" w:rsidR="00E836FB" w:rsidRDefault="00994958">
      <w:pPr>
        <w:spacing w:before="60"/>
        <w:ind w:firstLine="450"/>
        <w:jc w:val="both"/>
        <w:textAlignment w:val="top"/>
      </w:pPr>
      <w:r>
        <w:rPr>
          <w:rFonts w:ascii="Arial" w:eastAsia="宋体" w:hAnsi="Arial" w:cs="Arial"/>
          <w:color w:val="000000"/>
          <w:sz w:val="20"/>
          <w:szCs w:val="20"/>
        </w:rPr>
        <w:t>CFPs are designed to assist senior management with decision-making associated with any contingency funding resp</w:t>
      </w:r>
      <w:r>
        <w:rPr>
          <w:rFonts w:ascii="Arial" w:eastAsia="宋体" w:hAnsi="Arial" w:cs="Arial"/>
          <w:color w:val="000000"/>
          <w:sz w:val="20"/>
          <w:szCs w:val="20"/>
        </w:rPr>
        <w:t xml:space="preserve">onse to a possible or actual crisis scenario. The CFPs define roles, responsibilities and management actions to be taken in the event of deterioration of our liquidity profile caused by either an event specific to us or a broader disruption in the capital </w:t>
      </w:r>
      <w:r>
        <w:rPr>
          <w:rFonts w:ascii="Arial" w:eastAsia="宋体" w:hAnsi="Arial" w:cs="Arial"/>
          <w:color w:val="000000"/>
          <w:sz w:val="20"/>
          <w:szCs w:val="20"/>
        </w:rPr>
        <w:t>markets. Specific actions are linked to the level of stress indicated by these measures or by management judgment of market conditions.</w:t>
      </w:r>
    </w:p>
    <w:p w14:paraId="5F2CD460" w14:textId="77777777" w:rsidR="00E836FB" w:rsidRDefault="00994958">
      <w:pPr>
        <w:spacing w:before="60"/>
        <w:jc w:val="both"/>
        <w:textAlignment w:val="top"/>
      </w:pPr>
      <w:r>
        <w:rPr>
          <w:rFonts w:ascii="Arial" w:eastAsia="宋体" w:hAnsi="Arial" w:cs="Arial"/>
          <w:b/>
          <w:bCs/>
          <w:i/>
          <w:iCs/>
          <w:color w:val="000000"/>
          <w:sz w:val="20"/>
          <w:szCs w:val="20"/>
        </w:rPr>
        <w:t>Liquidity Risk Metrics</w:t>
      </w:r>
    </w:p>
    <w:p w14:paraId="5F2CD461" w14:textId="77777777" w:rsidR="00E836FB" w:rsidRDefault="00994958">
      <w:pPr>
        <w:spacing w:before="60"/>
        <w:ind w:firstLine="450"/>
        <w:jc w:val="both"/>
        <w:textAlignment w:val="top"/>
      </w:pPr>
      <w:r>
        <w:rPr>
          <w:rFonts w:ascii="Arial" w:eastAsia="宋体" w:hAnsi="Arial" w:cs="Arial"/>
          <w:color w:val="000000"/>
          <w:sz w:val="20"/>
          <w:szCs w:val="20"/>
        </w:rPr>
        <w:t>In managing our liquidity, we employ early warning indicators and metrics. Early warning indicato</w:t>
      </w:r>
      <w:r>
        <w:rPr>
          <w:rFonts w:ascii="Arial" w:eastAsia="宋体" w:hAnsi="Arial" w:cs="Arial"/>
          <w:color w:val="000000"/>
          <w:sz w:val="20"/>
          <w:szCs w:val="20"/>
        </w:rPr>
        <w:t>rs are intended to detect situations which may result in a liquidity stress, including changes in our common stock price and the spread on our long-term debt. Additional metrics that are critical to the management of our consolidated statement of condition</w:t>
      </w:r>
      <w:r>
        <w:rPr>
          <w:rFonts w:ascii="Arial" w:eastAsia="宋体" w:hAnsi="Arial" w:cs="Arial"/>
          <w:color w:val="000000"/>
          <w:sz w:val="20"/>
          <w:szCs w:val="20"/>
        </w:rPr>
        <w:t xml:space="preserve"> and monitored as part of our routine liquidity management include measures of our fungible cash position, purchased wholesale funds, unencumbered liquid assets, deposits and the total of investment securities and loans as a percentage of total client depo</w:t>
      </w:r>
      <w:r>
        <w:rPr>
          <w:rFonts w:ascii="Arial" w:eastAsia="宋体" w:hAnsi="Arial" w:cs="Arial"/>
          <w:color w:val="000000"/>
          <w:sz w:val="20"/>
          <w:szCs w:val="20"/>
        </w:rPr>
        <w:t>sits.</w:t>
      </w:r>
    </w:p>
    <w:p w14:paraId="5F2CD462" w14:textId="77777777" w:rsidR="00E836FB" w:rsidRDefault="00994958">
      <w:pPr>
        <w:spacing w:before="60"/>
        <w:jc w:val="both"/>
        <w:textAlignment w:val="top"/>
      </w:pPr>
      <w:r>
        <w:rPr>
          <w:rFonts w:ascii="Arial" w:eastAsia="宋体" w:hAnsi="Arial" w:cs="Arial"/>
          <w:b/>
          <w:bCs/>
          <w:i/>
          <w:iCs/>
          <w:color w:val="000000"/>
          <w:sz w:val="20"/>
          <w:szCs w:val="20"/>
        </w:rPr>
        <w:t>Asset Liquidity</w:t>
      </w:r>
    </w:p>
    <w:p w14:paraId="5F2CD463" w14:textId="77777777" w:rsidR="00E836FB" w:rsidRDefault="00994958">
      <w:pPr>
        <w:ind w:firstLine="450"/>
        <w:jc w:val="both"/>
        <w:textAlignment w:val="top"/>
      </w:pPr>
      <w:r>
        <w:rPr>
          <w:rFonts w:ascii="Arial" w:eastAsia="宋体" w:hAnsi="Arial" w:cs="Arial"/>
          <w:color w:val="000000"/>
          <w:sz w:val="20"/>
          <w:szCs w:val="20"/>
        </w:rPr>
        <w:t>Central to the management of our liquidity is asset liquidity, which consists primarily of HQLA. HQLA is the amount of liquid assets that qualify for inclusion in the LCR. As a banking organization, we are subject to a minimum LCR und</w:t>
      </w:r>
      <w:r>
        <w:rPr>
          <w:rFonts w:ascii="Arial" w:eastAsia="宋体" w:hAnsi="Arial" w:cs="Arial"/>
          <w:color w:val="000000"/>
          <w:sz w:val="20"/>
          <w:szCs w:val="20"/>
        </w:rPr>
        <w:t>er the LCR rule approved by U.S. banking regulators. The LCR is intended to promote the short-term resilience of internationally active banking organizations, like us, to improve the banking industry's ability to absorb shocks arising from market stress ov</w:t>
      </w:r>
      <w:r>
        <w:rPr>
          <w:rFonts w:ascii="Arial" w:eastAsia="宋体" w:hAnsi="Arial" w:cs="Arial"/>
          <w:color w:val="000000"/>
          <w:sz w:val="20"/>
          <w:szCs w:val="20"/>
        </w:rPr>
        <w:t>er a 30 calendar day period and improve the measurement and management of liquidity risk. The LCR measures an institution’s HQLA against its net cash outflows. HQLA primarily consists of unencumbered cash and certain high quality liquid securities that qua</w:t>
      </w:r>
      <w:r>
        <w:rPr>
          <w:rFonts w:ascii="Arial" w:eastAsia="宋体" w:hAnsi="Arial" w:cs="Arial"/>
          <w:color w:val="000000"/>
          <w:sz w:val="20"/>
          <w:szCs w:val="20"/>
        </w:rPr>
        <w:t>lify for inclusion under the LCR rule. We report LCR to the Federal Reserve daily. For the quarters ended December 31, 2021 and December 31, 2020, daily average LCR for the Parent Company was 105% and 108%, respectively, with the lower daily average LCR fo</w:t>
      </w:r>
      <w:r>
        <w:rPr>
          <w:rFonts w:ascii="Arial" w:eastAsia="宋体" w:hAnsi="Arial" w:cs="Arial"/>
          <w:color w:val="000000"/>
          <w:sz w:val="20"/>
          <w:szCs w:val="20"/>
        </w:rPr>
        <w:t>r the quarter ended December 31, 2021 driven primarily by higher deposits. The Parent Company LCR does not benefit from the increase in higher deposits as their HQLA is partially restricted by a cap on the HQLA from State Street Bank and Trust under the U.</w:t>
      </w:r>
      <w:r>
        <w:rPr>
          <w:rFonts w:ascii="Arial" w:eastAsia="宋体" w:hAnsi="Arial" w:cs="Arial"/>
          <w:color w:val="000000"/>
          <w:sz w:val="20"/>
          <w:szCs w:val="20"/>
        </w:rPr>
        <w:t xml:space="preserve">S. LCR final rule as it prohibits the upstreaming of liquidity to the Parent Company under stress. The average HQLA for the Parent Company under the LCR final rule definition was $159.36 billion and $143.61 billion, post-prescribed haircuts, for the </w:t>
      </w:r>
    </w:p>
    <w:p w14:paraId="5F2CD464" w14:textId="77777777" w:rsidR="00E836FB" w:rsidRDefault="00994958">
      <w:pPr>
        <w:jc w:val="both"/>
        <w:textAlignment w:val="top"/>
      </w:pPr>
      <w:r>
        <w:rPr>
          <w:rFonts w:ascii="Arial" w:eastAsia="宋体" w:hAnsi="Arial" w:cs="Arial"/>
          <w:color w:val="000000"/>
          <w:sz w:val="20"/>
          <w:szCs w:val="20"/>
        </w:rPr>
        <w:t>quarters ended December 31, 2021 and December 31, 2020, respectively. The increase in average HQLA for the quarter ended December 31, 2021, compared to the quarter ended December 31, 2020, was primarily due to a higher level of client deposits. For the qua</w:t>
      </w:r>
      <w:r>
        <w:rPr>
          <w:rFonts w:ascii="Arial" w:eastAsia="宋体" w:hAnsi="Arial" w:cs="Arial"/>
          <w:color w:val="000000"/>
          <w:sz w:val="20"/>
          <w:szCs w:val="20"/>
        </w:rPr>
        <w:t>rter ended December 31, 2021, LCR for State Street Bank and Trust was approximately 129%. State Street Bank and Trust's LCR is higher than the Parent Company's LCR, primarily due to application of the transferability restriction in the LCR final rule to th</w:t>
      </w:r>
      <w:r>
        <w:rPr>
          <w:rFonts w:ascii="Arial" w:eastAsia="宋体" w:hAnsi="Arial" w:cs="Arial"/>
          <w:color w:val="000000"/>
          <w:sz w:val="20"/>
          <w:szCs w:val="20"/>
        </w:rPr>
        <w:t>e calculation of the Parent Company's LCR. This restriction limits the HQLA used in the calculation of the Parent Company's LCR to the amount of net cash outflows of its principal banking subsidiary (State Street Bank and Trust). This transferability restr</w:t>
      </w:r>
      <w:r>
        <w:rPr>
          <w:rFonts w:ascii="Arial" w:eastAsia="宋体" w:hAnsi="Arial" w:cs="Arial"/>
          <w:color w:val="000000"/>
          <w:sz w:val="20"/>
          <w:szCs w:val="20"/>
        </w:rPr>
        <w:t>iction does not apply in the calculation of State Street Bank and Trust's LCR, and therefore State Street Bank and Trust's LCR reflects the benefit of all of its HQLA holdings.</w:t>
      </w:r>
    </w:p>
    <w:p w14:paraId="5F2CD465" w14:textId="77777777" w:rsidR="00E836FB" w:rsidRDefault="00994958">
      <w:pPr>
        <w:spacing w:before="60"/>
        <w:ind w:firstLine="450"/>
        <w:jc w:val="both"/>
        <w:textAlignment w:val="top"/>
      </w:pPr>
      <w:r>
        <w:rPr>
          <w:rFonts w:ascii="Arial" w:eastAsia="宋体" w:hAnsi="Arial" w:cs="Arial"/>
          <w:color w:val="000000"/>
          <w:sz w:val="20"/>
          <w:szCs w:val="20"/>
        </w:rPr>
        <w:t>We maintained average cash balances in excess of regulatory requirements govern</w:t>
      </w:r>
      <w:r>
        <w:rPr>
          <w:rFonts w:ascii="Arial" w:eastAsia="宋体" w:hAnsi="Arial" w:cs="Arial"/>
          <w:color w:val="000000"/>
          <w:sz w:val="20"/>
          <w:szCs w:val="20"/>
        </w:rPr>
        <w:t>ing deposits with the Federal Reserve of approximately $83.48 billion at the Federal Reserve, the ECB and other non-U.S. central banks for the quarter ended December 31, 2021, and $75.68 billion for the quarter ended December 31, 2020. The higher levels of</w:t>
      </w:r>
      <w:r>
        <w:rPr>
          <w:rFonts w:ascii="Arial" w:eastAsia="宋体" w:hAnsi="Arial" w:cs="Arial"/>
          <w:color w:val="000000"/>
          <w:sz w:val="20"/>
          <w:szCs w:val="20"/>
        </w:rPr>
        <w:t xml:space="preserve"> average cash balances with central banks reflect higher levels of client deposits. </w:t>
      </w:r>
    </w:p>
    <w:p w14:paraId="5F2CD466" w14:textId="77777777" w:rsidR="00E836FB" w:rsidRDefault="00994958">
      <w:pPr>
        <w:spacing w:before="60"/>
        <w:ind w:firstLine="450"/>
        <w:jc w:val="both"/>
        <w:textAlignment w:val="top"/>
      </w:pPr>
      <w:r>
        <w:rPr>
          <w:rFonts w:ascii="Arial" w:eastAsia="宋体" w:hAnsi="Arial" w:cs="Arial"/>
          <w:color w:val="000000"/>
          <w:sz w:val="20"/>
          <w:szCs w:val="20"/>
        </w:rPr>
        <w:t>Liquid securities carried in our asset liquidity include securities pledged without corresponding advances from the Federal Reserve Bank of Boston (FRBB), the FHLB, and ot</w:t>
      </w:r>
      <w:r>
        <w:rPr>
          <w:rFonts w:ascii="Arial" w:eastAsia="宋体" w:hAnsi="Arial" w:cs="Arial"/>
          <w:color w:val="000000"/>
          <w:sz w:val="20"/>
          <w:szCs w:val="20"/>
        </w:rPr>
        <w:t>her non-U.S. central banks. State Street Bank is a member of the FHLB. This membership allows for advances of liquidity in varying terms against high-quality collateral, which helps facilitate asset-and-liability management. As of December 31, 2021 and Dec</w:t>
      </w:r>
      <w:r>
        <w:rPr>
          <w:rFonts w:ascii="Arial" w:eastAsia="宋体" w:hAnsi="Arial" w:cs="Arial"/>
          <w:color w:val="000000"/>
          <w:sz w:val="20"/>
          <w:szCs w:val="20"/>
        </w:rPr>
        <w:t>ember 31, 2020, we had no outstanding borrowings from the FHLB.</w:t>
      </w:r>
    </w:p>
    <w:p w14:paraId="5F2CD467" w14:textId="77777777" w:rsidR="00E836FB" w:rsidRDefault="00994958">
      <w:pPr>
        <w:spacing w:before="60"/>
        <w:ind w:firstLine="450"/>
        <w:jc w:val="both"/>
        <w:textAlignment w:val="top"/>
      </w:pPr>
      <w:r>
        <w:rPr>
          <w:rFonts w:ascii="Arial" w:eastAsia="宋体" w:hAnsi="Arial" w:cs="Arial"/>
          <w:color w:val="000000"/>
          <w:sz w:val="20"/>
          <w:szCs w:val="20"/>
        </w:rPr>
        <w:t>Access to primary, intra-day and contingent liquidity provided by these utilities is an important source of contingent liquidity with utilization subject to underlying conditions. As of Decemb</w:t>
      </w:r>
      <w:r>
        <w:rPr>
          <w:rFonts w:ascii="Arial" w:eastAsia="宋体" w:hAnsi="Arial" w:cs="Arial"/>
          <w:color w:val="000000"/>
          <w:sz w:val="20"/>
          <w:szCs w:val="20"/>
        </w:rPr>
        <w:t>er 31, 2021 and December 31, 2020, we had no outstanding primary credit borrowings from the FRBB discount window or any other central bank facility.</w:t>
      </w:r>
    </w:p>
    <w:p w14:paraId="5F2CD468" w14:textId="77777777" w:rsidR="00E836FB" w:rsidRDefault="00994958">
      <w:pPr>
        <w:spacing w:before="60"/>
        <w:ind w:firstLine="450"/>
        <w:jc w:val="both"/>
        <w:textAlignment w:val="top"/>
      </w:pPr>
      <w:r>
        <w:rPr>
          <w:rFonts w:ascii="Arial" w:eastAsia="宋体" w:hAnsi="Arial" w:cs="Arial"/>
          <w:color w:val="000000"/>
          <w:sz w:val="20"/>
          <w:szCs w:val="20"/>
        </w:rPr>
        <w:t>In addition to the securities included in our asset liquidity, we have significant amounts of other unencum</w:t>
      </w:r>
      <w:r>
        <w:rPr>
          <w:rFonts w:ascii="Arial" w:eastAsia="宋体" w:hAnsi="Arial" w:cs="Arial"/>
          <w:color w:val="000000"/>
          <w:sz w:val="20"/>
          <w:szCs w:val="20"/>
        </w:rPr>
        <w:t>bered investment securities. These securities are available sources of liquidity, although not as rapidly deployed as those included in our asset liquidity.</w:t>
      </w:r>
    </w:p>
    <w:p w14:paraId="5F2CD469" w14:textId="77777777" w:rsidR="00E836FB" w:rsidRDefault="00994958">
      <w:pPr>
        <w:spacing w:before="60"/>
        <w:ind w:firstLine="450"/>
        <w:jc w:val="both"/>
        <w:textAlignment w:val="top"/>
      </w:pPr>
      <w:r>
        <w:rPr>
          <w:rFonts w:ascii="Arial" w:eastAsia="宋体" w:hAnsi="Arial" w:cs="Arial"/>
          <w:color w:val="000000"/>
          <w:sz w:val="20"/>
          <w:szCs w:val="20"/>
        </w:rPr>
        <w:t>The average fair value of total unencumbered securities was $99.47 billion for the quarter ended De</w:t>
      </w:r>
      <w:r>
        <w:rPr>
          <w:rFonts w:ascii="Arial" w:eastAsia="宋体" w:hAnsi="Arial" w:cs="Arial"/>
          <w:color w:val="000000"/>
          <w:sz w:val="20"/>
          <w:szCs w:val="20"/>
        </w:rPr>
        <w:t>cember 31, 2021, compared to $89.12 billion for the quarter ended December 31, 2020.</w:t>
      </w:r>
    </w:p>
    <w:p w14:paraId="5F2CD46A" w14:textId="77777777" w:rsidR="00E836FB" w:rsidRDefault="00994958">
      <w:pPr>
        <w:ind w:firstLine="450"/>
        <w:jc w:val="right"/>
      </w:pPr>
      <w:r>
        <w:rPr>
          <w:rFonts w:ascii="Arial" w:eastAsia="宋体" w:hAnsi="Arial" w:cs="Arial"/>
          <w:color w:val="000000"/>
          <w:sz w:val="18"/>
          <w:szCs w:val="18"/>
        </w:rPr>
        <w:t>State Street Corporation | 95</w:t>
      </w:r>
    </w:p>
    <w:p w14:paraId="5F2CD46B" w14:textId="77777777" w:rsidR="00E836FB" w:rsidRDefault="00E836FB">
      <w:pPr>
        <w:ind w:firstLine="450"/>
        <w:jc w:val="center"/>
      </w:pPr>
    </w:p>
    <w:p w14:paraId="5F2CD46C" w14:textId="77777777" w:rsidR="00E836FB" w:rsidRDefault="00994958">
      <w:r>
        <w:pict w14:anchorId="5F2D6DE4">
          <v:rect id="_x0000_i1119" style="width:415.3pt;height:1.5pt" o:hralign="center" o:hrstd="t" o:hr="t" fillcolor="#a0a0a0" stroked="f"/>
        </w:pict>
      </w:r>
    </w:p>
    <w:p w14:paraId="5F2CD46D"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46E" w14:textId="77777777" w:rsidR="00E836FB" w:rsidRDefault="00994958">
      <w:pPr>
        <w:ind w:firstLine="450"/>
        <w:jc w:val="center"/>
      </w:pPr>
      <w:r>
        <w:rPr>
          <w:rFonts w:ascii="Arial" w:eastAsia="宋体" w:hAnsi="Arial" w:cs="Arial"/>
          <w:b/>
          <w:bCs/>
          <w:color w:val="000000"/>
          <w:sz w:val="20"/>
          <w:szCs w:val="20"/>
        </w:rPr>
        <w:t>AND RESULTS OF OPERATIONS</w:t>
      </w:r>
    </w:p>
    <w:p w14:paraId="5F2CD46F" w14:textId="77777777" w:rsidR="00E836FB" w:rsidRDefault="00994958">
      <w:pPr>
        <w:spacing w:before="60"/>
        <w:ind w:firstLine="450"/>
        <w:jc w:val="both"/>
        <w:textAlignment w:val="top"/>
      </w:pPr>
      <w:r>
        <w:rPr>
          <w:rFonts w:ascii="Arial" w:eastAsia="宋体" w:hAnsi="Arial" w:cs="Arial"/>
          <w:color w:val="000000"/>
          <w:sz w:val="20"/>
          <w:szCs w:val="20"/>
        </w:rPr>
        <w:t>Measures of liquidity include LCR and NSFR, which ar</w:t>
      </w:r>
      <w:r>
        <w:rPr>
          <w:rFonts w:ascii="Arial" w:eastAsia="宋体" w:hAnsi="Arial" w:cs="Arial"/>
          <w:color w:val="000000"/>
          <w:sz w:val="20"/>
          <w:szCs w:val="20"/>
        </w:rPr>
        <w:t>e described in "Supervision and Regulation" in Business in this Form 10-K.</w:t>
      </w:r>
    </w:p>
    <w:p w14:paraId="5F2CD470" w14:textId="77777777" w:rsidR="00E836FB" w:rsidRDefault="00994958">
      <w:pPr>
        <w:spacing w:before="60"/>
        <w:jc w:val="both"/>
        <w:textAlignment w:val="top"/>
      </w:pPr>
      <w:r>
        <w:rPr>
          <w:rFonts w:ascii="Arial" w:eastAsia="宋体" w:hAnsi="Arial" w:cs="Arial"/>
          <w:b/>
          <w:bCs/>
          <w:i/>
          <w:iCs/>
          <w:color w:val="000000"/>
          <w:sz w:val="20"/>
          <w:szCs w:val="20"/>
        </w:rPr>
        <w:t>Uses of Liquidity</w:t>
      </w:r>
    </w:p>
    <w:p w14:paraId="5F2CD471" w14:textId="77777777" w:rsidR="00E836FB" w:rsidRDefault="00994958">
      <w:pPr>
        <w:spacing w:before="60"/>
        <w:ind w:firstLine="450"/>
        <w:jc w:val="both"/>
        <w:textAlignment w:val="top"/>
      </w:pPr>
      <w:r>
        <w:rPr>
          <w:rFonts w:ascii="Arial" w:eastAsia="宋体" w:hAnsi="Arial" w:cs="Arial"/>
          <w:color w:val="000000"/>
          <w:sz w:val="20"/>
          <w:szCs w:val="20"/>
        </w:rPr>
        <w:t xml:space="preserve">Significant uses of our liquidity could result from the following: withdrawals of client deposits; draw-downs by our custody clients of lines of credit; </w:t>
      </w:r>
      <w:r>
        <w:rPr>
          <w:rFonts w:ascii="Arial" w:eastAsia="宋体" w:hAnsi="Arial" w:cs="Arial"/>
          <w:color w:val="000000"/>
          <w:sz w:val="20"/>
          <w:szCs w:val="20"/>
        </w:rPr>
        <w:t>advances to clients to settle securities transactions; increases in our investment and loan portfolios; or other permitted purposes. Such circumstances would generally arise under stress conditions including deterioration in credit ratings. A recurring use</w:t>
      </w:r>
      <w:r>
        <w:rPr>
          <w:rFonts w:ascii="Arial" w:eastAsia="宋体" w:hAnsi="Arial" w:cs="Arial"/>
          <w:color w:val="000000"/>
          <w:sz w:val="20"/>
          <w:szCs w:val="20"/>
        </w:rPr>
        <w:t xml:space="preserve"> of our liquidity involves our deployment of HQLA from our investment portfolio to post collateral to financial institutions serving as sources of securities under our enhanced custody program.</w:t>
      </w:r>
    </w:p>
    <w:p w14:paraId="5F2CD472" w14:textId="77777777" w:rsidR="00E836FB" w:rsidRDefault="00994958">
      <w:pPr>
        <w:spacing w:before="60"/>
        <w:ind w:firstLine="450"/>
        <w:jc w:val="both"/>
        <w:textAlignment w:val="top"/>
      </w:pPr>
      <w:r>
        <w:rPr>
          <w:rFonts w:ascii="Arial" w:eastAsia="宋体" w:hAnsi="Arial" w:cs="Arial"/>
          <w:color w:val="000000"/>
          <w:sz w:val="20"/>
          <w:szCs w:val="20"/>
        </w:rPr>
        <w:t>We had unfunded commitments to extend credit with gross contra</w:t>
      </w:r>
      <w:r>
        <w:rPr>
          <w:rFonts w:ascii="Arial" w:eastAsia="宋体" w:hAnsi="Arial" w:cs="Arial"/>
          <w:color w:val="000000"/>
          <w:sz w:val="20"/>
          <w:szCs w:val="20"/>
        </w:rPr>
        <w:t>ctual amounts totaling $33.03 billion and $34.21 billion and standby letters of credit totaling $3.24 billion and $3.33 billion as of December 31, 2021 and December 31, 2020, respectively. These amounts do not reflect the value of any collateral. As of Dec</w:t>
      </w:r>
      <w:r>
        <w:rPr>
          <w:rFonts w:ascii="Arial" w:eastAsia="宋体" w:hAnsi="Arial" w:cs="Arial"/>
          <w:color w:val="000000"/>
          <w:sz w:val="20"/>
          <w:szCs w:val="20"/>
        </w:rPr>
        <w:t>ember 31, 2021, approximately 76% of our unfunded commitments to extend credit and 43% of our standby letters of credit expire within one year. Since many of our commitments are expected to expire or renew without being drawn upon, the gross contractual am</w:t>
      </w:r>
      <w:r>
        <w:rPr>
          <w:rFonts w:ascii="Arial" w:eastAsia="宋体" w:hAnsi="Arial" w:cs="Arial"/>
          <w:color w:val="000000"/>
          <w:sz w:val="20"/>
          <w:szCs w:val="20"/>
        </w:rPr>
        <w:t>ounts do not necessarily represent our future cash requirements.</w:t>
      </w:r>
    </w:p>
    <w:p w14:paraId="5F2CD473" w14:textId="77777777" w:rsidR="00E836FB" w:rsidRDefault="00994958">
      <w:pPr>
        <w:spacing w:before="60"/>
        <w:ind w:firstLine="450"/>
        <w:jc w:val="both"/>
        <w:textAlignment w:val="top"/>
      </w:pPr>
      <w:r>
        <w:rPr>
          <w:rFonts w:ascii="Arial" w:eastAsia="宋体" w:hAnsi="Arial" w:cs="Arial"/>
          <w:color w:val="000000"/>
          <w:sz w:val="20"/>
          <w:szCs w:val="20"/>
        </w:rPr>
        <w:t>Information about our resolution planning and the impact actions under our resolution plans could have on our liquidity is provided in "Supervision and Regulation" in Business in this Form 10</w:t>
      </w:r>
      <w:r>
        <w:rPr>
          <w:rFonts w:ascii="Arial" w:eastAsia="宋体" w:hAnsi="Arial" w:cs="Arial"/>
          <w:color w:val="000000"/>
          <w:sz w:val="20"/>
          <w:szCs w:val="20"/>
        </w:rPr>
        <w:t>-K.</w:t>
      </w:r>
    </w:p>
    <w:p w14:paraId="5F2CD474" w14:textId="77777777" w:rsidR="00E836FB" w:rsidRDefault="00994958">
      <w:pPr>
        <w:spacing w:before="60"/>
        <w:textAlignment w:val="top"/>
      </w:pPr>
      <w:r>
        <w:rPr>
          <w:rFonts w:ascii="Arial" w:eastAsia="宋体" w:hAnsi="Arial" w:cs="Arial"/>
          <w:b/>
          <w:bCs/>
          <w:i/>
          <w:iCs/>
          <w:color w:val="000000"/>
          <w:sz w:val="20"/>
          <w:szCs w:val="20"/>
        </w:rPr>
        <w:t>Funding</w:t>
      </w:r>
    </w:p>
    <w:p w14:paraId="5F2CD475" w14:textId="77777777" w:rsidR="00E836FB" w:rsidRDefault="00994958">
      <w:pPr>
        <w:spacing w:before="60"/>
        <w:textAlignment w:val="top"/>
      </w:pPr>
      <w:r>
        <w:rPr>
          <w:rFonts w:ascii="Arial" w:eastAsia="宋体" w:hAnsi="Arial" w:cs="Arial"/>
          <w:i/>
          <w:iCs/>
          <w:color w:val="000000"/>
          <w:sz w:val="20"/>
          <w:szCs w:val="20"/>
        </w:rPr>
        <w:t>Deposits</w:t>
      </w:r>
    </w:p>
    <w:p w14:paraId="5F2CD476" w14:textId="77777777" w:rsidR="00E836FB" w:rsidRDefault="00994958">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management, financial asset management, securities finance and investment advisory services. As a provider of these produc</w:t>
      </w:r>
      <w:r>
        <w:rPr>
          <w:rFonts w:ascii="Arial" w:eastAsia="宋体" w:hAnsi="Arial" w:cs="Arial"/>
          <w:color w:val="000000"/>
          <w:sz w:val="20"/>
          <w:szCs w:val="20"/>
        </w:rPr>
        <w:t>ts and services, we generate client deposits, which have generally provided a stable, low-cost source of funds. As a global custodian, clients place deposits with our entities in various currencies. As of both December 31, 2021 and December 31, 2020, appro</w:t>
      </w:r>
      <w:r>
        <w:rPr>
          <w:rFonts w:ascii="Arial" w:eastAsia="宋体" w:hAnsi="Arial" w:cs="Arial"/>
          <w:color w:val="000000"/>
          <w:sz w:val="20"/>
          <w:szCs w:val="20"/>
        </w:rPr>
        <w:t>ximately 65% of our average total deposit balances were denominated in U.S. dollars, approximately 15% in EUR, 10% in GBP and 10% in all other currencies.</w:t>
      </w:r>
    </w:p>
    <w:p w14:paraId="5F2CD477" w14:textId="77777777" w:rsidR="00E836FB" w:rsidRDefault="00994958">
      <w:pPr>
        <w:spacing w:before="60"/>
        <w:textAlignment w:val="top"/>
      </w:pPr>
      <w:r>
        <w:rPr>
          <w:rFonts w:ascii="Arial" w:eastAsia="宋体" w:hAnsi="Arial" w:cs="Arial"/>
          <w:i/>
          <w:iCs/>
          <w:color w:val="000000"/>
          <w:sz w:val="20"/>
          <w:szCs w:val="20"/>
        </w:rPr>
        <w:t>Short-Term Funding</w:t>
      </w:r>
    </w:p>
    <w:p w14:paraId="5F2CD478" w14:textId="77777777" w:rsidR="00E836FB" w:rsidRDefault="00994958">
      <w:pPr>
        <w:spacing w:before="60"/>
        <w:ind w:firstLine="450"/>
        <w:jc w:val="both"/>
        <w:textAlignment w:val="top"/>
      </w:pPr>
      <w:r>
        <w:rPr>
          <w:rFonts w:ascii="Arial" w:eastAsia="宋体" w:hAnsi="Arial" w:cs="Arial"/>
          <w:color w:val="000000"/>
          <w:sz w:val="20"/>
          <w:szCs w:val="20"/>
        </w:rPr>
        <w:t>Our on-balance sheet liquid assets are also an integral component of our liquidity</w:t>
      </w:r>
      <w:r>
        <w:rPr>
          <w:rFonts w:ascii="Arial" w:eastAsia="宋体" w:hAnsi="Arial" w:cs="Arial"/>
          <w:color w:val="000000"/>
          <w:sz w:val="20"/>
          <w:szCs w:val="20"/>
        </w:rPr>
        <w:t xml:space="preserve"> management strategy. These assets provide liquidity through maturities of the assets, but more importantly, they provide us with the ability to raise funds by pledging the securities as collateral for borrowings or through outright sales. In addition, our</w:t>
      </w:r>
      <w:r>
        <w:rPr>
          <w:rFonts w:ascii="Arial" w:eastAsia="宋体" w:hAnsi="Arial" w:cs="Arial"/>
          <w:color w:val="000000"/>
          <w:sz w:val="20"/>
          <w:szCs w:val="20"/>
        </w:rPr>
        <w:t xml:space="preserve"> access to the global capital markets gives us the ability to source incremental funding from wholesale investors. As discussed earlier under “Asset Liquidity,” State Street Bank's membership in the FHLB allows for advances of liquidity with varying terms </w:t>
      </w:r>
      <w:r>
        <w:rPr>
          <w:rFonts w:ascii="Arial" w:eastAsia="宋体" w:hAnsi="Arial" w:cs="Arial"/>
          <w:color w:val="000000"/>
          <w:sz w:val="20"/>
          <w:szCs w:val="20"/>
        </w:rPr>
        <w:t>against high-quality collateral.</w:t>
      </w:r>
    </w:p>
    <w:p w14:paraId="5F2CD479" w14:textId="77777777" w:rsidR="00E836FB" w:rsidRDefault="00994958">
      <w:pPr>
        <w:spacing w:before="60"/>
        <w:ind w:firstLine="450"/>
        <w:jc w:val="both"/>
        <w:textAlignment w:val="top"/>
      </w:pPr>
      <w:r>
        <w:rPr>
          <w:rFonts w:ascii="Arial" w:eastAsia="宋体" w:hAnsi="Arial" w:cs="Arial"/>
          <w:color w:val="000000"/>
          <w:sz w:val="20"/>
          <w:szCs w:val="20"/>
        </w:rPr>
        <w:t>Short-term secured funding also comes in the form of securities lent or sold under agreements to repurchase. These transactions are short-term in nature, generally overnight and are collateralized by high-quality investment</w:t>
      </w:r>
      <w:r>
        <w:rPr>
          <w:rFonts w:ascii="Arial" w:eastAsia="宋体" w:hAnsi="Arial" w:cs="Arial"/>
          <w:color w:val="000000"/>
          <w:sz w:val="20"/>
          <w:szCs w:val="20"/>
        </w:rPr>
        <w:t xml:space="preserve"> securities. These balances were $1.58 billion and $3.41 billion as of December 31, 2021 and December 31, 2020, respectively.</w:t>
      </w:r>
    </w:p>
    <w:p w14:paraId="5F2CD47A" w14:textId="77777777" w:rsidR="00E836FB" w:rsidRDefault="00994958">
      <w:pPr>
        <w:spacing w:before="60"/>
        <w:ind w:firstLine="450"/>
        <w:jc w:val="both"/>
        <w:textAlignment w:val="top"/>
      </w:pPr>
      <w:r>
        <w:rPr>
          <w:rFonts w:ascii="Arial" w:eastAsia="宋体" w:hAnsi="Arial" w:cs="Arial"/>
          <w:color w:val="000000"/>
          <w:sz w:val="20"/>
          <w:szCs w:val="20"/>
        </w:rPr>
        <w:t>State Street Bank currently maintains a line of credit with a financial institution of CAD $1.40 billion, or approximately $1.11 b</w:t>
      </w:r>
      <w:r>
        <w:rPr>
          <w:rFonts w:ascii="Arial" w:eastAsia="宋体" w:hAnsi="Arial" w:cs="Arial"/>
          <w:color w:val="000000"/>
          <w:sz w:val="20"/>
          <w:szCs w:val="20"/>
        </w:rPr>
        <w:t>illion, as of December 31, 2021, to support its Canadian securities processing operations. The line of credit has no stated termination date and is cancellable by either party with prior notice. As of both December 31, 2021 and December 31, 2020, there was</w:t>
      </w:r>
      <w:r>
        <w:rPr>
          <w:rFonts w:ascii="Arial" w:eastAsia="宋体" w:hAnsi="Arial" w:cs="Arial"/>
          <w:color w:val="000000"/>
          <w:sz w:val="20"/>
          <w:szCs w:val="20"/>
        </w:rPr>
        <w:t xml:space="preserve"> no balance outstanding on this line of credit.</w:t>
      </w:r>
    </w:p>
    <w:p w14:paraId="5F2CD47B" w14:textId="77777777" w:rsidR="00E836FB" w:rsidRDefault="00994958">
      <w:pPr>
        <w:spacing w:before="60"/>
        <w:textAlignment w:val="top"/>
      </w:pPr>
      <w:r>
        <w:rPr>
          <w:rFonts w:ascii="Arial" w:eastAsia="宋体" w:hAnsi="Arial" w:cs="Arial"/>
          <w:i/>
          <w:iCs/>
          <w:color w:val="000000"/>
          <w:sz w:val="20"/>
          <w:szCs w:val="20"/>
        </w:rPr>
        <w:t>Long-Term Funding</w:t>
      </w:r>
    </w:p>
    <w:p w14:paraId="5F2CD47C" w14:textId="77777777" w:rsidR="00E836FB" w:rsidRDefault="00994958">
      <w:pPr>
        <w:spacing w:before="60"/>
        <w:ind w:firstLine="450"/>
        <w:jc w:val="both"/>
        <w:textAlignment w:val="top"/>
      </w:pPr>
      <w:r>
        <w:rPr>
          <w:rFonts w:ascii="Arial" w:eastAsia="宋体" w:hAnsi="Arial" w:cs="Arial"/>
          <w:color w:val="000000"/>
          <w:sz w:val="20"/>
          <w:szCs w:val="20"/>
        </w:rPr>
        <w:t xml:space="preserve">We have the ability to issue debt and equity securities under our current universal shelf registration statement to meet current commitments and business needs, including </w:t>
      </w:r>
      <w:r>
        <w:rPr>
          <w:rFonts w:ascii="Arial" w:eastAsia="宋体" w:hAnsi="Arial" w:cs="Arial"/>
          <w:color w:val="000000"/>
          <w:sz w:val="20"/>
          <w:szCs w:val="20"/>
        </w:rPr>
        <w:t>accommodating the transaction and cash management needs of our clients. The total amount remaining for issuance under the registration statement is $3.75 billion as of December 31, 2021. In addition, State Street Bank also has current authorization from th</w:t>
      </w:r>
      <w:r>
        <w:rPr>
          <w:rFonts w:ascii="Arial" w:eastAsia="宋体" w:hAnsi="Arial" w:cs="Arial"/>
          <w:color w:val="000000"/>
          <w:sz w:val="20"/>
          <w:szCs w:val="20"/>
        </w:rPr>
        <w:t>e Board to issue up to $5 billion in unsecured senior debt.</w:t>
      </w:r>
    </w:p>
    <w:p w14:paraId="5F2CD47D" w14:textId="77777777" w:rsidR="00E836FB" w:rsidRDefault="00994958">
      <w:pPr>
        <w:spacing w:before="60"/>
        <w:ind w:firstLine="450"/>
        <w:jc w:val="both"/>
        <w:textAlignment w:val="top"/>
      </w:pPr>
      <w:r>
        <w:rPr>
          <w:rFonts w:ascii="Arial" w:eastAsia="宋体" w:hAnsi="Arial" w:cs="Arial"/>
          <w:color w:val="000000"/>
          <w:sz w:val="20"/>
          <w:szCs w:val="20"/>
        </w:rPr>
        <w:t>On March 3, 2021, we issued $850 million aggregate principal amount of 2.200% Senior Subordinated Notes due 2031.</w:t>
      </w:r>
    </w:p>
    <w:p w14:paraId="5F2CD47E" w14:textId="77777777" w:rsidR="00E836FB" w:rsidRDefault="00994958">
      <w:pPr>
        <w:spacing w:before="60"/>
        <w:ind w:firstLine="450"/>
        <w:jc w:val="both"/>
        <w:textAlignment w:val="top"/>
      </w:pPr>
      <w:r>
        <w:rPr>
          <w:rFonts w:ascii="Arial" w:eastAsia="宋体" w:hAnsi="Arial" w:cs="Arial"/>
          <w:color w:val="000000"/>
          <w:sz w:val="20"/>
          <w:szCs w:val="20"/>
        </w:rPr>
        <w:t>In September 2021, we completed a public offering of approximately 21.7 million sh</w:t>
      </w:r>
      <w:r>
        <w:rPr>
          <w:rFonts w:ascii="Arial" w:eastAsia="宋体" w:hAnsi="Arial" w:cs="Arial"/>
          <w:color w:val="000000"/>
          <w:sz w:val="20"/>
          <w:szCs w:val="20"/>
        </w:rPr>
        <w:t>ares of our common stock to provide partial funding for our $3.5 billion planned acquisition of the BBH Investor Services business. The offering price was $87.60 per share and net proceeds totaled approximately $1.9 billion.</w:t>
      </w:r>
    </w:p>
    <w:p w14:paraId="5F2CD47F" w14:textId="77777777" w:rsidR="00E836FB" w:rsidRDefault="00994958">
      <w:pPr>
        <w:spacing w:before="60"/>
        <w:ind w:firstLine="450"/>
        <w:jc w:val="both"/>
        <w:textAlignment w:val="top"/>
      </w:pPr>
      <w:r>
        <w:rPr>
          <w:rFonts w:ascii="Arial" w:eastAsia="宋体" w:hAnsi="Arial" w:cs="Arial"/>
          <w:color w:val="000000"/>
          <w:sz w:val="20"/>
          <w:szCs w:val="20"/>
        </w:rPr>
        <w:t>On November 18, 2021, we issued</w:t>
      </w:r>
      <w:r>
        <w:rPr>
          <w:rFonts w:ascii="Arial" w:eastAsia="宋体" w:hAnsi="Arial" w:cs="Arial"/>
          <w:color w:val="000000"/>
          <w:sz w:val="20"/>
          <w:szCs w:val="20"/>
        </w:rPr>
        <w:t xml:space="preserve"> $500 million aggregate principal amount of 1.684% Fixed-to-Floating Rate Senior Notes due 2027.</w:t>
      </w:r>
    </w:p>
    <w:p w14:paraId="5F2CD480" w14:textId="77777777" w:rsidR="00E836FB" w:rsidRDefault="00994958">
      <w:pPr>
        <w:ind w:firstLine="450"/>
        <w:jc w:val="right"/>
      </w:pPr>
      <w:r>
        <w:rPr>
          <w:rFonts w:ascii="Arial" w:eastAsia="宋体" w:hAnsi="Arial" w:cs="Arial"/>
          <w:color w:val="000000"/>
          <w:sz w:val="18"/>
          <w:szCs w:val="18"/>
        </w:rPr>
        <w:t>State Street Corporation | 96</w:t>
      </w:r>
    </w:p>
    <w:p w14:paraId="5F2CD481" w14:textId="77777777" w:rsidR="00E836FB" w:rsidRDefault="00E836FB">
      <w:pPr>
        <w:ind w:firstLine="450"/>
        <w:jc w:val="center"/>
      </w:pPr>
    </w:p>
    <w:p w14:paraId="5F2CD482" w14:textId="77777777" w:rsidR="00E836FB" w:rsidRDefault="00994958">
      <w:r>
        <w:pict w14:anchorId="5F2D6DE5">
          <v:rect id="_x0000_i1120" style="width:415.3pt;height:1.5pt" o:hralign="center" o:hrstd="t" o:hr="t" fillcolor="#a0a0a0" stroked="f"/>
        </w:pict>
      </w:r>
    </w:p>
    <w:p w14:paraId="5F2CD483"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484" w14:textId="77777777" w:rsidR="00E836FB" w:rsidRDefault="00994958">
      <w:pPr>
        <w:ind w:firstLine="450"/>
        <w:jc w:val="center"/>
      </w:pPr>
      <w:r>
        <w:rPr>
          <w:rFonts w:ascii="Arial" w:eastAsia="宋体" w:hAnsi="Arial" w:cs="Arial"/>
          <w:b/>
          <w:bCs/>
          <w:color w:val="000000"/>
          <w:sz w:val="20"/>
          <w:szCs w:val="20"/>
        </w:rPr>
        <w:t>AND RESULTS OF OPERATIONS</w:t>
      </w:r>
    </w:p>
    <w:p w14:paraId="5F2CD485" w14:textId="77777777" w:rsidR="00E836FB" w:rsidRDefault="00994958">
      <w:pPr>
        <w:spacing w:before="60"/>
        <w:jc w:val="both"/>
        <w:textAlignment w:val="top"/>
      </w:pPr>
      <w:r>
        <w:rPr>
          <w:rFonts w:ascii="Arial" w:eastAsia="宋体" w:hAnsi="Arial" w:cs="Arial"/>
          <w:b/>
          <w:bCs/>
          <w:i/>
          <w:iCs/>
          <w:color w:val="000000"/>
          <w:sz w:val="20"/>
          <w:szCs w:val="20"/>
        </w:rPr>
        <w:t>Agency Credit Ratings</w:t>
      </w:r>
    </w:p>
    <w:p w14:paraId="5F2CD486" w14:textId="77777777" w:rsidR="00E836FB" w:rsidRDefault="00994958">
      <w:pPr>
        <w:spacing w:before="60"/>
        <w:ind w:firstLine="450"/>
        <w:jc w:val="both"/>
        <w:textAlignment w:val="top"/>
      </w:pPr>
      <w:r>
        <w:rPr>
          <w:rFonts w:ascii="Arial" w:eastAsia="宋体" w:hAnsi="Arial" w:cs="Arial"/>
          <w:color w:val="000000"/>
          <w:sz w:val="20"/>
          <w:szCs w:val="20"/>
        </w:rPr>
        <w:t>Our ability to mai</w:t>
      </w:r>
      <w:r>
        <w:rPr>
          <w:rFonts w:ascii="Arial" w:eastAsia="宋体" w:hAnsi="Arial" w:cs="Arial"/>
          <w:color w:val="000000"/>
          <w:sz w:val="20"/>
          <w:szCs w:val="20"/>
        </w:rPr>
        <w:t>ntain consistent access to liquidity is fostered by the maintenance of high investment grade ratings as measured by the major independent credit rating agencies. Factors essential to maintaining high credit ratings include:</w:t>
      </w:r>
    </w:p>
    <w:p w14:paraId="5F2CD487" w14:textId="77777777" w:rsidR="00E836FB" w:rsidRDefault="00994958">
      <w:pPr>
        <w:spacing w:before="60"/>
        <w:ind w:hanging="360"/>
        <w:jc w:val="both"/>
        <w:textAlignment w:val="top"/>
      </w:pPr>
      <w:r>
        <w:rPr>
          <w:rFonts w:ascii="Arial" w:eastAsia="宋体" w:hAnsi="Arial" w:cs="Arial"/>
          <w:color w:val="000000"/>
          <w:sz w:val="20"/>
          <w:szCs w:val="20"/>
        </w:rPr>
        <w:t>•diverse and stable core earning</w:t>
      </w:r>
      <w:r>
        <w:rPr>
          <w:rFonts w:ascii="Arial" w:eastAsia="宋体" w:hAnsi="Arial" w:cs="Arial"/>
          <w:color w:val="000000"/>
          <w:sz w:val="20"/>
          <w:szCs w:val="20"/>
        </w:rPr>
        <w:t>s;</w:t>
      </w:r>
    </w:p>
    <w:p w14:paraId="5F2CD488" w14:textId="77777777" w:rsidR="00E836FB" w:rsidRDefault="00994958">
      <w:pPr>
        <w:spacing w:before="60"/>
        <w:ind w:hanging="360"/>
        <w:jc w:val="both"/>
        <w:textAlignment w:val="top"/>
      </w:pPr>
      <w:r>
        <w:rPr>
          <w:rFonts w:ascii="Arial" w:eastAsia="宋体" w:hAnsi="Arial" w:cs="Arial"/>
          <w:color w:val="000000"/>
          <w:sz w:val="20"/>
          <w:szCs w:val="20"/>
        </w:rPr>
        <w:t>•relative market position;</w:t>
      </w:r>
    </w:p>
    <w:p w14:paraId="5F2CD489" w14:textId="77777777" w:rsidR="00E836FB" w:rsidRDefault="00994958">
      <w:pPr>
        <w:spacing w:before="60"/>
        <w:ind w:hanging="360"/>
        <w:jc w:val="both"/>
        <w:textAlignment w:val="top"/>
      </w:pPr>
      <w:r>
        <w:rPr>
          <w:rFonts w:ascii="Arial" w:eastAsia="宋体" w:hAnsi="Arial" w:cs="Arial"/>
          <w:color w:val="000000"/>
          <w:sz w:val="20"/>
          <w:szCs w:val="20"/>
        </w:rPr>
        <w:t>•strong risk management;</w:t>
      </w:r>
    </w:p>
    <w:p w14:paraId="5F2CD48A" w14:textId="77777777" w:rsidR="00E836FB" w:rsidRDefault="00994958">
      <w:pPr>
        <w:spacing w:before="60"/>
        <w:ind w:hanging="360"/>
        <w:jc w:val="both"/>
        <w:textAlignment w:val="top"/>
      </w:pPr>
      <w:r>
        <w:rPr>
          <w:rFonts w:ascii="Arial" w:eastAsia="宋体" w:hAnsi="Arial" w:cs="Arial"/>
          <w:color w:val="000000"/>
          <w:sz w:val="20"/>
          <w:szCs w:val="20"/>
        </w:rPr>
        <w:t>•strong capital ratios;</w:t>
      </w:r>
    </w:p>
    <w:p w14:paraId="5F2CD48B" w14:textId="77777777" w:rsidR="00E836FB" w:rsidRDefault="00994958">
      <w:pPr>
        <w:spacing w:before="60"/>
        <w:ind w:hanging="360"/>
        <w:jc w:val="both"/>
        <w:textAlignment w:val="top"/>
      </w:pPr>
      <w:r>
        <w:rPr>
          <w:rFonts w:ascii="Arial" w:eastAsia="宋体" w:hAnsi="Arial" w:cs="Arial"/>
          <w:color w:val="000000"/>
          <w:sz w:val="20"/>
          <w:szCs w:val="20"/>
        </w:rPr>
        <w:t>•diverse liquidity sources, including the global capital markets and client deposits;</w:t>
      </w:r>
    </w:p>
    <w:p w14:paraId="5F2CD48C" w14:textId="77777777" w:rsidR="00E836FB" w:rsidRDefault="00994958">
      <w:pPr>
        <w:spacing w:before="60"/>
        <w:ind w:hanging="360"/>
        <w:jc w:val="both"/>
        <w:textAlignment w:val="top"/>
      </w:pPr>
      <w:r>
        <w:rPr>
          <w:rFonts w:ascii="Arial" w:eastAsia="宋体" w:hAnsi="Arial" w:cs="Arial"/>
          <w:color w:val="000000"/>
          <w:sz w:val="20"/>
          <w:szCs w:val="20"/>
        </w:rPr>
        <w:t>•strong liquidity monitoring procedures; and</w:t>
      </w:r>
    </w:p>
    <w:p w14:paraId="5F2CD48D" w14:textId="77777777" w:rsidR="00E836FB" w:rsidRDefault="00994958">
      <w:pPr>
        <w:spacing w:before="60"/>
        <w:ind w:hanging="360"/>
        <w:jc w:val="both"/>
        <w:textAlignment w:val="top"/>
      </w:pPr>
      <w:r>
        <w:rPr>
          <w:rFonts w:ascii="Arial" w:eastAsia="宋体" w:hAnsi="Arial" w:cs="Arial"/>
          <w:color w:val="000000"/>
          <w:sz w:val="20"/>
          <w:szCs w:val="20"/>
        </w:rPr>
        <w:t xml:space="preserve">•preparedness for current or future </w:t>
      </w:r>
      <w:r>
        <w:rPr>
          <w:rFonts w:ascii="Arial" w:eastAsia="宋体" w:hAnsi="Arial" w:cs="Arial"/>
          <w:color w:val="000000"/>
          <w:sz w:val="20"/>
          <w:szCs w:val="20"/>
        </w:rPr>
        <w:t>regulatory developments.</w:t>
      </w:r>
    </w:p>
    <w:p w14:paraId="5F2CD48E" w14:textId="77777777" w:rsidR="00E836FB" w:rsidRDefault="00994958">
      <w:pPr>
        <w:spacing w:before="60"/>
        <w:ind w:firstLine="450"/>
        <w:jc w:val="both"/>
        <w:textAlignment w:val="top"/>
      </w:pPr>
      <w:r>
        <w:rPr>
          <w:rFonts w:ascii="Arial" w:eastAsia="宋体" w:hAnsi="Arial" w:cs="Arial"/>
          <w:color w:val="000000"/>
          <w:sz w:val="20"/>
          <w:szCs w:val="20"/>
        </w:rPr>
        <w:t>High ratings limit borrowing costs and enhance our liquidity by:</w:t>
      </w:r>
    </w:p>
    <w:p w14:paraId="5F2CD48F" w14:textId="77777777" w:rsidR="00E836FB" w:rsidRDefault="00994958">
      <w:pPr>
        <w:spacing w:before="60"/>
        <w:ind w:hanging="360"/>
        <w:jc w:val="both"/>
        <w:textAlignment w:val="top"/>
      </w:pPr>
      <w:r>
        <w:rPr>
          <w:rFonts w:ascii="Arial" w:eastAsia="宋体" w:hAnsi="Arial" w:cs="Arial"/>
          <w:color w:val="000000"/>
          <w:sz w:val="20"/>
          <w:szCs w:val="20"/>
        </w:rPr>
        <w:t>•providing assurance for unsecured funding and depositors;</w:t>
      </w:r>
    </w:p>
    <w:p w14:paraId="5F2CD490" w14:textId="77777777" w:rsidR="00E836FB" w:rsidRDefault="00994958">
      <w:pPr>
        <w:spacing w:before="60"/>
        <w:ind w:hanging="360"/>
        <w:jc w:val="both"/>
        <w:textAlignment w:val="top"/>
      </w:pPr>
      <w:r>
        <w:rPr>
          <w:rFonts w:ascii="Arial" w:eastAsia="宋体" w:hAnsi="Arial" w:cs="Arial"/>
          <w:color w:val="000000"/>
          <w:sz w:val="20"/>
          <w:szCs w:val="20"/>
        </w:rPr>
        <w:t>•increasing the potential market for our debt and improving our ability to offer products;</w:t>
      </w:r>
    </w:p>
    <w:p w14:paraId="5F2CD491" w14:textId="77777777" w:rsidR="00E836FB" w:rsidRDefault="00994958">
      <w:pPr>
        <w:spacing w:before="60"/>
        <w:ind w:hanging="360"/>
        <w:jc w:val="both"/>
        <w:textAlignment w:val="top"/>
      </w:pPr>
      <w:r>
        <w:rPr>
          <w:rFonts w:ascii="Arial" w:eastAsia="宋体" w:hAnsi="Arial" w:cs="Arial"/>
          <w:color w:val="000000"/>
          <w:sz w:val="20"/>
          <w:szCs w:val="20"/>
        </w:rPr>
        <w:t xml:space="preserve">•serving markets; and </w:t>
      </w:r>
    </w:p>
    <w:p w14:paraId="5F2CD492" w14:textId="77777777" w:rsidR="00E836FB" w:rsidRDefault="00994958">
      <w:pPr>
        <w:spacing w:before="60"/>
        <w:ind w:hanging="360"/>
        <w:jc w:val="both"/>
        <w:textAlignment w:val="top"/>
      </w:pPr>
      <w:r>
        <w:rPr>
          <w:rFonts w:ascii="Arial" w:eastAsia="宋体" w:hAnsi="Arial" w:cs="Arial"/>
          <w:color w:val="000000"/>
          <w:sz w:val="20"/>
          <w:szCs w:val="20"/>
        </w:rPr>
        <w:t>•engaging in transactions in which clients value high credit ratings.</w:t>
      </w:r>
    </w:p>
    <w:p w14:paraId="5F2CD493" w14:textId="77777777" w:rsidR="00E836FB" w:rsidRDefault="00994958">
      <w:pPr>
        <w:spacing w:before="60"/>
        <w:ind w:firstLine="450"/>
        <w:jc w:val="both"/>
        <w:textAlignment w:val="top"/>
      </w:pPr>
      <w:r>
        <w:rPr>
          <w:rFonts w:ascii="Arial" w:eastAsia="宋体" w:hAnsi="Arial" w:cs="Arial"/>
          <w:color w:val="000000"/>
          <w:sz w:val="20"/>
          <w:szCs w:val="20"/>
        </w:rPr>
        <w:t>A downgrade or reduction of our credit ratings could have a material adverse effect on our liquidity by restricting our ability to access the capital markets, whic</w:t>
      </w:r>
      <w:r>
        <w:rPr>
          <w:rFonts w:ascii="Arial" w:eastAsia="宋体" w:hAnsi="Arial" w:cs="Arial"/>
          <w:color w:val="000000"/>
          <w:sz w:val="20"/>
          <w:szCs w:val="20"/>
        </w:rPr>
        <w:t>h could increase the related cost of funds. In turn, this could cause the sudden and large-scale withdrawal of unsecured deposits by our clients, which could lead to draw-downs of unfunded commitments to extend credit or trigger requirements under securiti</w:t>
      </w:r>
      <w:r>
        <w:rPr>
          <w:rFonts w:ascii="Arial" w:eastAsia="宋体" w:hAnsi="Arial" w:cs="Arial"/>
          <w:color w:val="000000"/>
          <w:sz w:val="20"/>
          <w:szCs w:val="20"/>
        </w:rPr>
        <w:t>es purchase commitments; or require additional collateral or force terminations of certain trading derivative contracts.</w:t>
      </w:r>
    </w:p>
    <w:p w14:paraId="5F2CD494" w14:textId="77777777" w:rsidR="00E836FB" w:rsidRDefault="00994958">
      <w:pPr>
        <w:spacing w:before="60"/>
        <w:ind w:firstLine="450"/>
        <w:jc w:val="both"/>
        <w:textAlignment w:val="top"/>
      </w:pPr>
      <w:r>
        <w:rPr>
          <w:rFonts w:ascii="Arial" w:eastAsia="宋体" w:hAnsi="Arial" w:cs="Arial"/>
          <w:color w:val="000000"/>
          <w:sz w:val="20"/>
          <w:szCs w:val="20"/>
        </w:rPr>
        <w:t>A majority of our derivative contracts have been entered into under bilateral agreements with counterparties who may require us to post</w:t>
      </w:r>
      <w:r>
        <w:rPr>
          <w:rFonts w:ascii="Arial" w:eastAsia="宋体" w:hAnsi="Arial" w:cs="Arial"/>
          <w:color w:val="000000"/>
          <w:sz w:val="20"/>
          <w:szCs w:val="20"/>
        </w:rPr>
        <w:t xml:space="preserve"> collateral or terminate the transactions based on changes in our credit ratings. We assess the impact of these arrangements by determining the collateral that would be required assuming a downgrade by all rating agencies. The additional collateral or term</w:t>
      </w:r>
      <w:r>
        <w:rPr>
          <w:rFonts w:ascii="Arial" w:eastAsia="宋体" w:hAnsi="Arial" w:cs="Arial"/>
          <w:color w:val="000000"/>
          <w:sz w:val="20"/>
          <w:szCs w:val="20"/>
        </w:rPr>
        <w:t>ination payments related to our net derivative liabilities under these arrangements that could have been called by counterparties in the event of a downgrade in our credit ratings below levels specified in the agreements is provided in Note 10 to the conso</w:t>
      </w:r>
      <w:r>
        <w:rPr>
          <w:rFonts w:ascii="Arial" w:eastAsia="宋体" w:hAnsi="Arial" w:cs="Arial"/>
          <w:color w:val="000000"/>
          <w:sz w:val="20"/>
          <w:szCs w:val="20"/>
        </w:rPr>
        <w:t>lidated financial statements in this Form 10-K. Other funding sources, such as secured financing transactions and other margin requirements, for which there are no explicit triggers, could also be adversely affected.</w:t>
      </w:r>
    </w:p>
    <w:tbl>
      <w:tblPr>
        <w:tblW w:w="5000" w:type="pct"/>
        <w:tblCellMar>
          <w:top w:w="15" w:type="dxa"/>
          <w:left w:w="15" w:type="dxa"/>
          <w:bottom w:w="15" w:type="dxa"/>
          <w:right w:w="15" w:type="dxa"/>
        </w:tblCellMar>
        <w:tblLook w:val="04A0" w:firstRow="1" w:lastRow="0" w:firstColumn="1" w:lastColumn="0" w:noHBand="0" w:noVBand="1"/>
      </w:tblPr>
      <w:tblGrid>
        <w:gridCol w:w="59"/>
        <w:gridCol w:w="2667"/>
        <w:gridCol w:w="39"/>
        <w:gridCol w:w="59"/>
        <w:gridCol w:w="1628"/>
        <w:gridCol w:w="37"/>
        <w:gridCol w:w="37"/>
        <w:gridCol w:w="89"/>
        <w:gridCol w:w="37"/>
        <w:gridCol w:w="60"/>
        <w:gridCol w:w="1628"/>
        <w:gridCol w:w="37"/>
        <w:gridCol w:w="36"/>
        <w:gridCol w:w="89"/>
        <w:gridCol w:w="36"/>
        <w:gridCol w:w="60"/>
        <w:gridCol w:w="1628"/>
        <w:gridCol w:w="38"/>
        <w:gridCol w:w="36"/>
        <w:gridCol w:w="36"/>
      </w:tblGrid>
      <w:tr w:rsidR="00E836FB" w14:paraId="5F2CD4A9" w14:textId="77777777">
        <w:tc>
          <w:tcPr>
            <w:tcW w:w="50" w:type="pct"/>
            <w:shd w:val="clear" w:color="auto" w:fill="auto"/>
            <w:vAlign w:val="bottom"/>
          </w:tcPr>
          <w:p w14:paraId="5F2CD495" w14:textId="77777777" w:rsidR="00E836FB" w:rsidRDefault="00E836FB">
            <w:pPr>
              <w:rPr>
                <w:rFonts w:ascii="宋体"/>
              </w:rPr>
            </w:pPr>
          </w:p>
        </w:tc>
        <w:tc>
          <w:tcPr>
            <w:tcW w:w="1627" w:type="pct"/>
            <w:shd w:val="clear" w:color="auto" w:fill="auto"/>
            <w:vAlign w:val="bottom"/>
          </w:tcPr>
          <w:p w14:paraId="5F2CD496" w14:textId="77777777" w:rsidR="00E836FB" w:rsidRDefault="00E836FB">
            <w:pPr>
              <w:rPr>
                <w:rFonts w:ascii="宋体"/>
              </w:rPr>
            </w:pPr>
          </w:p>
        </w:tc>
        <w:tc>
          <w:tcPr>
            <w:tcW w:w="5" w:type="pct"/>
            <w:shd w:val="clear" w:color="auto" w:fill="auto"/>
            <w:vAlign w:val="bottom"/>
          </w:tcPr>
          <w:p w14:paraId="5F2CD497" w14:textId="77777777" w:rsidR="00E836FB" w:rsidRDefault="00E836FB">
            <w:pPr>
              <w:rPr>
                <w:rFonts w:ascii="宋体"/>
              </w:rPr>
            </w:pPr>
          </w:p>
        </w:tc>
        <w:tc>
          <w:tcPr>
            <w:tcW w:w="50" w:type="pct"/>
            <w:shd w:val="clear" w:color="auto" w:fill="auto"/>
            <w:vAlign w:val="bottom"/>
          </w:tcPr>
          <w:p w14:paraId="5F2CD498" w14:textId="77777777" w:rsidR="00E836FB" w:rsidRDefault="00E836FB">
            <w:pPr>
              <w:rPr>
                <w:rFonts w:ascii="宋体"/>
              </w:rPr>
            </w:pPr>
          </w:p>
        </w:tc>
        <w:tc>
          <w:tcPr>
            <w:tcW w:w="998" w:type="pct"/>
            <w:shd w:val="clear" w:color="auto" w:fill="auto"/>
            <w:vAlign w:val="bottom"/>
          </w:tcPr>
          <w:p w14:paraId="5F2CD499" w14:textId="77777777" w:rsidR="00E836FB" w:rsidRDefault="00E836FB">
            <w:pPr>
              <w:rPr>
                <w:rFonts w:ascii="宋体"/>
              </w:rPr>
            </w:pPr>
          </w:p>
        </w:tc>
        <w:tc>
          <w:tcPr>
            <w:tcW w:w="5" w:type="pct"/>
            <w:shd w:val="clear" w:color="auto" w:fill="auto"/>
            <w:vAlign w:val="bottom"/>
          </w:tcPr>
          <w:p w14:paraId="5F2CD49A" w14:textId="77777777" w:rsidR="00E836FB" w:rsidRDefault="00E836FB">
            <w:pPr>
              <w:rPr>
                <w:rFonts w:ascii="宋体"/>
              </w:rPr>
            </w:pPr>
          </w:p>
        </w:tc>
        <w:tc>
          <w:tcPr>
            <w:tcW w:w="5" w:type="pct"/>
            <w:shd w:val="clear" w:color="auto" w:fill="auto"/>
            <w:vAlign w:val="bottom"/>
          </w:tcPr>
          <w:p w14:paraId="5F2CD49B" w14:textId="77777777" w:rsidR="00E836FB" w:rsidRDefault="00E836FB">
            <w:pPr>
              <w:rPr>
                <w:rFonts w:ascii="宋体"/>
              </w:rPr>
            </w:pPr>
          </w:p>
        </w:tc>
        <w:tc>
          <w:tcPr>
            <w:tcW w:w="68" w:type="pct"/>
            <w:shd w:val="clear" w:color="auto" w:fill="auto"/>
            <w:vAlign w:val="bottom"/>
          </w:tcPr>
          <w:p w14:paraId="5F2CD49C" w14:textId="77777777" w:rsidR="00E836FB" w:rsidRDefault="00E836FB">
            <w:pPr>
              <w:rPr>
                <w:rFonts w:ascii="宋体"/>
              </w:rPr>
            </w:pPr>
          </w:p>
        </w:tc>
        <w:tc>
          <w:tcPr>
            <w:tcW w:w="5" w:type="pct"/>
            <w:shd w:val="clear" w:color="auto" w:fill="auto"/>
            <w:vAlign w:val="bottom"/>
          </w:tcPr>
          <w:p w14:paraId="5F2CD49D" w14:textId="77777777" w:rsidR="00E836FB" w:rsidRDefault="00E836FB">
            <w:pPr>
              <w:rPr>
                <w:rFonts w:ascii="宋体"/>
              </w:rPr>
            </w:pPr>
          </w:p>
        </w:tc>
        <w:tc>
          <w:tcPr>
            <w:tcW w:w="50" w:type="pct"/>
            <w:shd w:val="clear" w:color="auto" w:fill="auto"/>
            <w:vAlign w:val="bottom"/>
          </w:tcPr>
          <w:p w14:paraId="5F2CD49E" w14:textId="77777777" w:rsidR="00E836FB" w:rsidRDefault="00E836FB">
            <w:pPr>
              <w:rPr>
                <w:rFonts w:ascii="宋体"/>
              </w:rPr>
            </w:pPr>
          </w:p>
        </w:tc>
        <w:tc>
          <w:tcPr>
            <w:tcW w:w="998" w:type="pct"/>
            <w:shd w:val="clear" w:color="auto" w:fill="auto"/>
            <w:vAlign w:val="bottom"/>
          </w:tcPr>
          <w:p w14:paraId="5F2CD49F" w14:textId="77777777" w:rsidR="00E836FB" w:rsidRDefault="00E836FB">
            <w:pPr>
              <w:rPr>
                <w:rFonts w:ascii="宋体"/>
              </w:rPr>
            </w:pPr>
          </w:p>
        </w:tc>
        <w:tc>
          <w:tcPr>
            <w:tcW w:w="5" w:type="pct"/>
            <w:shd w:val="clear" w:color="auto" w:fill="auto"/>
            <w:vAlign w:val="bottom"/>
          </w:tcPr>
          <w:p w14:paraId="5F2CD4A0" w14:textId="77777777" w:rsidR="00E836FB" w:rsidRDefault="00E836FB">
            <w:pPr>
              <w:rPr>
                <w:rFonts w:ascii="宋体"/>
              </w:rPr>
            </w:pPr>
          </w:p>
        </w:tc>
        <w:tc>
          <w:tcPr>
            <w:tcW w:w="5" w:type="pct"/>
            <w:shd w:val="clear" w:color="auto" w:fill="auto"/>
            <w:vAlign w:val="bottom"/>
          </w:tcPr>
          <w:p w14:paraId="5F2CD4A1" w14:textId="77777777" w:rsidR="00E836FB" w:rsidRDefault="00E836FB">
            <w:pPr>
              <w:rPr>
                <w:rFonts w:ascii="宋体"/>
              </w:rPr>
            </w:pPr>
          </w:p>
        </w:tc>
        <w:tc>
          <w:tcPr>
            <w:tcW w:w="68" w:type="pct"/>
            <w:shd w:val="clear" w:color="auto" w:fill="auto"/>
            <w:vAlign w:val="bottom"/>
          </w:tcPr>
          <w:p w14:paraId="5F2CD4A2" w14:textId="77777777" w:rsidR="00E836FB" w:rsidRDefault="00E836FB">
            <w:pPr>
              <w:rPr>
                <w:rFonts w:ascii="宋体"/>
              </w:rPr>
            </w:pPr>
          </w:p>
        </w:tc>
        <w:tc>
          <w:tcPr>
            <w:tcW w:w="5" w:type="pct"/>
            <w:shd w:val="clear" w:color="auto" w:fill="auto"/>
            <w:vAlign w:val="bottom"/>
          </w:tcPr>
          <w:p w14:paraId="5F2CD4A3" w14:textId="77777777" w:rsidR="00E836FB" w:rsidRDefault="00E836FB">
            <w:pPr>
              <w:rPr>
                <w:rFonts w:ascii="宋体"/>
              </w:rPr>
            </w:pPr>
          </w:p>
        </w:tc>
        <w:tc>
          <w:tcPr>
            <w:tcW w:w="50" w:type="pct"/>
            <w:shd w:val="clear" w:color="auto" w:fill="auto"/>
            <w:vAlign w:val="bottom"/>
          </w:tcPr>
          <w:p w14:paraId="5F2CD4A4" w14:textId="77777777" w:rsidR="00E836FB" w:rsidRDefault="00E836FB">
            <w:pPr>
              <w:rPr>
                <w:rFonts w:ascii="宋体"/>
              </w:rPr>
            </w:pPr>
          </w:p>
        </w:tc>
        <w:tc>
          <w:tcPr>
            <w:tcW w:w="998" w:type="pct"/>
            <w:shd w:val="clear" w:color="auto" w:fill="auto"/>
            <w:vAlign w:val="bottom"/>
          </w:tcPr>
          <w:p w14:paraId="5F2CD4A5" w14:textId="77777777" w:rsidR="00E836FB" w:rsidRDefault="00E836FB">
            <w:pPr>
              <w:rPr>
                <w:rFonts w:ascii="宋体"/>
              </w:rPr>
            </w:pPr>
          </w:p>
        </w:tc>
        <w:tc>
          <w:tcPr>
            <w:tcW w:w="5" w:type="pct"/>
            <w:shd w:val="clear" w:color="auto" w:fill="auto"/>
            <w:vAlign w:val="bottom"/>
          </w:tcPr>
          <w:p w14:paraId="5F2CD4A6" w14:textId="77777777" w:rsidR="00E836FB" w:rsidRDefault="00E836FB">
            <w:pPr>
              <w:rPr>
                <w:rFonts w:ascii="宋体"/>
              </w:rPr>
            </w:pPr>
          </w:p>
        </w:tc>
        <w:tc>
          <w:tcPr>
            <w:tcW w:w="0" w:type="auto"/>
            <w:shd w:val="clear" w:color="auto" w:fill="auto"/>
            <w:vAlign w:val="bottom"/>
          </w:tcPr>
          <w:p w14:paraId="5F2CD4A7" w14:textId="77777777" w:rsidR="00E836FB" w:rsidRDefault="00E836FB">
            <w:pPr>
              <w:rPr>
                <w:rFonts w:ascii="宋体"/>
                <w:vanish/>
              </w:rPr>
            </w:pPr>
          </w:p>
        </w:tc>
        <w:tc>
          <w:tcPr>
            <w:tcW w:w="0" w:type="auto"/>
            <w:shd w:val="clear" w:color="auto" w:fill="auto"/>
            <w:vAlign w:val="bottom"/>
          </w:tcPr>
          <w:p w14:paraId="5F2CD4A8" w14:textId="77777777" w:rsidR="00E836FB" w:rsidRDefault="00E836FB">
            <w:pPr>
              <w:rPr>
                <w:rFonts w:ascii="宋体"/>
                <w:vanish/>
              </w:rPr>
            </w:pPr>
          </w:p>
        </w:tc>
      </w:tr>
      <w:tr w:rsidR="00E836FB" w14:paraId="5F2CD4AD" w14:textId="77777777">
        <w:tc>
          <w:tcPr>
            <w:tcW w:w="0" w:type="auto"/>
            <w:gridSpan w:val="18"/>
            <w:shd w:val="clear" w:color="auto" w:fill="auto"/>
            <w:tcMar>
              <w:top w:w="40" w:type="dxa"/>
              <w:left w:w="20" w:type="dxa"/>
              <w:bottom w:w="40" w:type="dxa"/>
              <w:right w:w="20" w:type="dxa"/>
            </w:tcMar>
            <w:vAlign w:val="bottom"/>
          </w:tcPr>
          <w:p w14:paraId="5F2CD4AA" w14:textId="77777777" w:rsidR="00E836FB" w:rsidRDefault="00994958">
            <w:pPr>
              <w:textAlignment w:val="bottom"/>
            </w:pPr>
            <w:r>
              <w:rPr>
                <w:rFonts w:ascii="Arial" w:eastAsia="宋体" w:hAnsi="Arial" w:cs="Arial"/>
                <w:b/>
                <w:bCs/>
                <w:color w:val="000000"/>
                <w:sz w:val="16"/>
                <w:szCs w:val="16"/>
              </w:rPr>
              <w:t xml:space="preserve">TABLE 31: CREDIT </w:t>
            </w:r>
            <w:r>
              <w:rPr>
                <w:rFonts w:ascii="Arial" w:eastAsia="宋体" w:hAnsi="Arial" w:cs="Arial"/>
                <w:b/>
                <w:bCs/>
                <w:color w:val="000000"/>
                <w:sz w:val="16"/>
                <w:szCs w:val="16"/>
              </w:rPr>
              <w:t>RATINGS</w:t>
            </w:r>
          </w:p>
        </w:tc>
        <w:tc>
          <w:tcPr>
            <w:tcW w:w="0" w:type="auto"/>
            <w:shd w:val="clear" w:color="auto" w:fill="auto"/>
            <w:vAlign w:val="bottom"/>
          </w:tcPr>
          <w:p w14:paraId="5F2CD4AB" w14:textId="77777777" w:rsidR="00E836FB" w:rsidRDefault="00E836FB">
            <w:pPr>
              <w:rPr>
                <w:rFonts w:ascii="宋体"/>
                <w:vanish/>
              </w:rPr>
            </w:pPr>
          </w:p>
        </w:tc>
        <w:tc>
          <w:tcPr>
            <w:tcW w:w="0" w:type="auto"/>
            <w:shd w:val="clear" w:color="auto" w:fill="auto"/>
            <w:vAlign w:val="bottom"/>
          </w:tcPr>
          <w:p w14:paraId="5F2CD4AC" w14:textId="77777777" w:rsidR="00E836FB" w:rsidRDefault="00E836FB">
            <w:pPr>
              <w:rPr>
                <w:rFonts w:ascii="宋体"/>
                <w:vanish/>
              </w:rPr>
            </w:pPr>
          </w:p>
        </w:tc>
      </w:tr>
      <w:tr w:rsidR="00E836FB" w14:paraId="5F2CD4B2" w14:textId="77777777">
        <w:tc>
          <w:tcPr>
            <w:tcW w:w="0" w:type="auto"/>
            <w:gridSpan w:val="3"/>
            <w:shd w:val="clear" w:color="auto" w:fill="auto"/>
            <w:tcMar>
              <w:top w:w="0" w:type="dxa"/>
              <w:left w:w="20" w:type="dxa"/>
              <w:bottom w:w="0" w:type="dxa"/>
              <w:right w:w="20" w:type="dxa"/>
            </w:tcMar>
            <w:vAlign w:val="bottom"/>
          </w:tcPr>
          <w:p w14:paraId="5F2CD4AE"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D4AF" w14:textId="77777777" w:rsidR="00E836FB" w:rsidRDefault="00994958">
            <w:pPr>
              <w:jc w:val="center"/>
              <w:textAlignment w:val="bottom"/>
            </w:pPr>
            <w:r>
              <w:rPr>
                <w:rFonts w:ascii="Arial" w:eastAsia="宋体" w:hAnsi="Arial" w:cs="Arial"/>
                <w:b/>
                <w:bCs/>
                <w:color w:val="000000"/>
                <w:sz w:val="15"/>
                <w:szCs w:val="15"/>
              </w:rPr>
              <w:t>As of December 31, 2021</w:t>
            </w:r>
          </w:p>
        </w:tc>
        <w:tc>
          <w:tcPr>
            <w:tcW w:w="0" w:type="auto"/>
            <w:shd w:val="clear" w:color="auto" w:fill="auto"/>
            <w:vAlign w:val="bottom"/>
          </w:tcPr>
          <w:p w14:paraId="5F2CD4B0" w14:textId="77777777" w:rsidR="00E836FB" w:rsidRDefault="00E836FB">
            <w:pPr>
              <w:rPr>
                <w:rFonts w:ascii="宋体"/>
                <w:vanish/>
              </w:rPr>
            </w:pPr>
          </w:p>
        </w:tc>
        <w:tc>
          <w:tcPr>
            <w:tcW w:w="0" w:type="auto"/>
            <w:shd w:val="clear" w:color="auto" w:fill="auto"/>
            <w:vAlign w:val="bottom"/>
          </w:tcPr>
          <w:p w14:paraId="5F2CD4B1" w14:textId="77777777" w:rsidR="00E836FB" w:rsidRDefault="00E836FB">
            <w:pPr>
              <w:rPr>
                <w:rFonts w:ascii="宋体"/>
                <w:vanish/>
              </w:rPr>
            </w:pPr>
          </w:p>
        </w:tc>
      </w:tr>
      <w:tr w:rsidR="00E836FB" w14:paraId="5F2CD4BB" w14:textId="77777777">
        <w:tc>
          <w:tcPr>
            <w:tcW w:w="0" w:type="auto"/>
            <w:gridSpan w:val="3"/>
            <w:shd w:val="clear" w:color="auto" w:fill="auto"/>
            <w:tcMar>
              <w:top w:w="40" w:type="dxa"/>
              <w:left w:w="20" w:type="dxa"/>
              <w:bottom w:w="40" w:type="dxa"/>
              <w:right w:w="20" w:type="dxa"/>
            </w:tcMar>
            <w:vAlign w:val="bottom"/>
          </w:tcPr>
          <w:p w14:paraId="5F2CD4B3" w14:textId="77777777" w:rsidR="00E836FB" w:rsidRDefault="00994958">
            <w:pPr>
              <w:textAlignment w:val="bottom"/>
            </w:pPr>
            <w:r>
              <w:rPr>
                <w:rFonts w:ascii="Arial" w:eastAsia="宋体" w:hAnsi="Arial" w:cs="Arial"/>
                <w:color w:val="000000"/>
                <w:sz w:val="15"/>
                <w:szCs w:val="15"/>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5F2CD4B4" w14:textId="77777777" w:rsidR="00E836FB" w:rsidRDefault="00994958">
            <w:pPr>
              <w:jc w:val="center"/>
              <w:textAlignment w:val="center"/>
            </w:pPr>
            <w:r>
              <w:rPr>
                <w:rFonts w:ascii="Arial" w:eastAsia="宋体" w:hAnsi="Arial" w:cs="Arial"/>
                <w:b/>
                <w:bCs/>
                <w:color w:val="000000"/>
                <w:sz w:val="15"/>
                <w:szCs w:val="15"/>
              </w:rPr>
              <w:t>Standard &amp; Poor’s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4B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F2CD4B6" w14:textId="77777777" w:rsidR="00E836FB" w:rsidRDefault="00994958">
            <w:pPr>
              <w:jc w:val="center"/>
              <w:textAlignment w:val="center"/>
            </w:pPr>
            <w:r>
              <w:rPr>
                <w:rFonts w:ascii="Arial" w:eastAsia="宋体" w:hAnsi="Arial" w:cs="Arial"/>
                <w:b/>
                <w:bCs/>
                <w:color w:val="000000"/>
                <w:sz w:val="15"/>
                <w:szCs w:val="15"/>
              </w:rPr>
              <w:t>Moody’s Investors Service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4B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F2CD4B8" w14:textId="77777777" w:rsidR="00E836FB" w:rsidRDefault="00994958">
            <w:pPr>
              <w:jc w:val="center"/>
              <w:textAlignment w:val="center"/>
            </w:pPr>
            <w:r>
              <w:rPr>
                <w:rFonts w:ascii="Arial" w:eastAsia="宋体" w:hAnsi="Arial" w:cs="Arial"/>
                <w:b/>
                <w:bCs/>
                <w:color w:val="000000"/>
                <w:sz w:val="15"/>
                <w:szCs w:val="15"/>
              </w:rPr>
              <w:t>Fitch</w:t>
            </w:r>
          </w:p>
        </w:tc>
        <w:tc>
          <w:tcPr>
            <w:tcW w:w="0" w:type="auto"/>
            <w:shd w:val="clear" w:color="auto" w:fill="auto"/>
            <w:vAlign w:val="bottom"/>
          </w:tcPr>
          <w:p w14:paraId="5F2CD4B9" w14:textId="77777777" w:rsidR="00E836FB" w:rsidRDefault="00E836FB">
            <w:pPr>
              <w:rPr>
                <w:rFonts w:ascii="宋体"/>
                <w:vanish/>
              </w:rPr>
            </w:pPr>
          </w:p>
        </w:tc>
        <w:tc>
          <w:tcPr>
            <w:tcW w:w="0" w:type="auto"/>
            <w:shd w:val="clear" w:color="auto" w:fill="auto"/>
            <w:vAlign w:val="bottom"/>
          </w:tcPr>
          <w:p w14:paraId="5F2CD4BA" w14:textId="77777777" w:rsidR="00E836FB" w:rsidRDefault="00E836FB">
            <w:pPr>
              <w:rPr>
                <w:rFonts w:ascii="宋体"/>
                <w:vanish/>
              </w:rPr>
            </w:pPr>
          </w:p>
        </w:tc>
      </w:tr>
      <w:tr w:rsidR="00E836FB" w14:paraId="5F2CD4C3" w14:textId="77777777">
        <w:tc>
          <w:tcPr>
            <w:tcW w:w="0" w:type="auto"/>
            <w:gridSpan w:val="6"/>
            <w:shd w:val="clear" w:color="auto" w:fill="auto"/>
            <w:tcMar>
              <w:top w:w="40" w:type="dxa"/>
              <w:left w:w="20" w:type="dxa"/>
              <w:bottom w:w="40" w:type="dxa"/>
              <w:right w:w="20" w:type="dxa"/>
            </w:tcMar>
            <w:vAlign w:val="bottom"/>
          </w:tcPr>
          <w:p w14:paraId="5F2CD4BC" w14:textId="77777777" w:rsidR="00E836FB" w:rsidRDefault="00994958">
            <w:pPr>
              <w:textAlignment w:val="bottom"/>
            </w:pPr>
            <w:r>
              <w:rPr>
                <w:rFonts w:ascii="Arial" w:eastAsia="宋体" w:hAnsi="Arial" w:cs="Arial"/>
                <w:b/>
                <w:bCs/>
                <w:color w:val="000000"/>
                <w:sz w:val="15"/>
                <w:szCs w:val="15"/>
              </w:rPr>
              <w:t>State Street:</w:t>
            </w:r>
          </w:p>
        </w:tc>
        <w:tc>
          <w:tcPr>
            <w:tcW w:w="0" w:type="auto"/>
            <w:gridSpan w:val="3"/>
            <w:shd w:val="clear" w:color="auto" w:fill="auto"/>
            <w:tcMar>
              <w:top w:w="0" w:type="dxa"/>
              <w:left w:w="20" w:type="dxa"/>
              <w:bottom w:w="0" w:type="dxa"/>
              <w:right w:w="20" w:type="dxa"/>
            </w:tcMar>
            <w:vAlign w:val="bottom"/>
          </w:tcPr>
          <w:p w14:paraId="5F2CD4B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4B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4B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4C0" w14:textId="77777777" w:rsidR="00E836FB" w:rsidRDefault="00E836FB">
            <w:pPr>
              <w:rPr>
                <w:rFonts w:ascii="宋体"/>
              </w:rPr>
            </w:pPr>
          </w:p>
        </w:tc>
        <w:tc>
          <w:tcPr>
            <w:tcW w:w="0" w:type="auto"/>
            <w:shd w:val="clear" w:color="auto" w:fill="auto"/>
            <w:vAlign w:val="bottom"/>
          </w:tcPr>
          <w:p w14:paraId="5F2CD4C1" w14:textId="77777777" w:rsidR="00E836FB" w:rsidRDefault="00E836FB">
            <w:pPr>
              <w:rPr>
                <w:rFonts w:ascii="宋体"/>
                <w:vanish/>
              </w:rPr>
            </w:pPr>
          </w:p>
        </w:tc>
        <w:tc>
          <w:tcPr>
            <w:tcW w:w="0" w:type="auto"/>
            <w:shd w:val="clear" w:color="auto" w:fill="auto"/>
            <w:vAlign w:val="bottom"/>
          </w:tcPr>
          <w:p w14:paraId="5F2CD4C2" w14:textId="77777777" w:rsidR="00E836FB" w:rsidRDefault="00E836FB">
            <w:pPr>
              <w:rPr>
                <w:rFonts w:ascii="宋体"/>
                <w:vanish/>
              </w:rPr>
            </w:pPr>
          </w:p>
        </w:tc>
      </w:tr>
      <w:tr w:rsidR="00E836FB" w14:paraId="5F2CD4CC" w14:textId="77777777">
        <w:trPr>
          <w:hidden/>
        </w:trPr>
        <w:tc>
          <w:tcPr>
            <w:tcW w:w="0" w:type="auto"/>
            <w:gridSpan w:val="3"/>
            <w:shd w:val="clear" w:color="auto" w:fill="auto"/>
            <w:vAlign w:val="bottom"/>
          </w:tcPr>
          <w:p w14:paraId="5F2CD4C4" w14:textId="77777777" w:rsidR="00E836FB" w:rsidRDefault="00E836FB">
            <w:pPr>
              <w:rPr>
                <w:rFonts w:ascii="宋体"/>
                <w:vanish/>
              </w:rPr>
            </w:pPr>
          </w:p>
        </w:tc>
        <w:tc>
          <w:tcPr>
            <w:tcW w:w="0" w:type="auto"/>
            <w:gridSpan w:val="3"/>
            <w:shd w:val="clear" w:color="auto" w:fill="auto"/>
            <w:vAlign w:val="bottom"/>
          </w:tcPr>
          <w:p w14:paraId="5F2CD4C5" w14:textId="77777777" w:rsidR="00E836FB" w:rsidRDefault="00E836FB">
            <w:pPr>
              <w:rPr>
                <w:rFonts w:ascii="宋体"/>
                <w:vanish/>
              </w:rPr>
            </w:pPr>
          </w:p>
        </w:tc>
        <w:tc>
          <w:tcPr>
            <w:tcW w:w="0" w:type="auto"/>
            <w:gridSpan w:val="3"/>
            <w:shd w:val="clear" w:color="auto" w:fill="auto"/>
            <w:vAlign w:val="bottom"/>
          </w:tcPr>
          <w:p w14:paraId="5F2CD4C6" w14:textId="77777777" w:rsidR="00E836FB" w:rsidRDefault="00E836FB">
            <w:pPr>
              <w:rPr>
                <w:rFonts w:ascii="宋体"/>
                <w:vanish/>
              </w:rPr>
            </w:pPr>
          </w:p>
        </w:tc>
        <w:tc>
          <w:tcPr>
            <w:tcW w:w="0" w:type="auto"/>
            <w:gridSpan w:val="3"/>
            <w:shd w:val="clear" w:color="auto" w:fill="auto"/>
            <w:vAlign w:val="bottom"/>
          </w:tcPr>
          <w:p w14:paraId="5F2CD4C7" w14:textId="77777777" w:rsidR="00E836FB" w:rsidRDefault="00E836FB">
            <w:pPr>
              <w:rPr>
                <w:rFonts w:ascii="宋体"/>
                <w:vanish/>
              </w:rPr>
            </w:pPr>
          </w:p>
        </w:tc>
        <w:tc>
          <w:tcPr>
            <w:tcW w:w="0" w:type="auto"/>
            <w:gridSpan w:val="3"/>
            <w:shd w:val="clear" w:color="auto" w:fill="auto"/>
            <w:vAlign w:val="bottom"/>
          </w:tcPr>
          <w:p w14:paraId="5F2CD4C8" w14:textId="77777777" w:rsidR="00E836FB" w:rsidRDefault="00E836FB">
            <w:pPr>
              <w:rPr>
                <w:rFonts w:ascii="宋体"/>
                <w:vanish/>
              </w:rPr>
            </w:pPr>
          </w:p>
        </w:tc>
        <w:tc>
          <w:tcPr>
            <w:tcW w:w="0" w:type="auto"/>
            <w:gridSpan w:val="3"/>
            <w:shd w:val="clear" w:color="auto" w:fill="auto"/>
            <w:vAlign w:val="bottom"/>
          </w:tcPr>
          <w:p w14:paraId="5F2CD4C9" w14:textId="77777777" w:rsidR="00E836FB" w:rsidRDefault="00E836FB">
            <w:pPr>
              <w:rPr>
                <w:rFonts w:ascii="宋体"/>
                <w:vanish/>
              </w:rPr>
            </w:pPr>
          </w:p>
        </w:tc>
        <w:tc>
          <w:tcPr>
            <w:tcW w:w="0" w:type="auto"/>
            <w:shd w:val="clear" w:color="auto" w:fill="auto"/>
            <w:vAlign w:val="bottom"/>
          </w:tcPr>
          <w:p w14:paraId="5F2CD4CA" w14:textId="77777777" w:rsidR="00E836FB" w:rsidRDefault="00E836FB">
            <w:pPr>
              <w:rPr>
                <w:rFonts w:ascii="宋体"/>
                <w:vanish/>
              </w:rPr>
            </w:pPr>
          </w:p>
        </w:tc>
        <w:tc>
          <w:tcPr>
            <w:tcW w:w="0" w:type="auto"/>
            <w:shd w:val="clear" w:color="auto" w:fill="auto"/>
            <w:vAlign w:val="bottom"/>
          </w:tcPr>
          <w:p w14:paraId="5F2CD4CB" w14:textId="77777777" w:rsidR="00E836FB" w:rsidRDefault="00E836FB">
            <w:pPr>
              <w:rPr>
                <w:rFonts w:ascii="宋体"/>
                <w:vanish/>
              </w:rPr>
            </w:pPr>
          </w:p>
        </w:tc>
      </w:tr>
      <w:tr w:rsidR="00E836FB" w14:paraId="5F2CD4D5" w14:textId="77777777">
        <w:tc>
          <w:tcPr>
            <w:tcW w:w="0" w:type="auto"/>
            <w:gridSpan w:val="3"/>
            <w:shd w:val="clear" w:color="auto" w:fill="CCEEFF"/>
            <w:tcMar>
              <w:top w:w="40" w:type="dxa"/>
              <w:left w:w="20" w:type="dxa"/>
              <w:bottom w:w="40" w:type="dxa"/>
              <w:right w:w="20" w:type="dxa"/>
            </w:tcMar>
            <w:vAlign w:val="bottom"/>
          </w:tcPr>
          <w:p w14:paraId="5F2CD4CD" w14:textId="77777777" w:rsidR="00E836FB" w:rsidRDefault="00994958">
            <w:pPr>
              <w:textAlignment w:val="bottom"/>
            </w:pPr>
            <w:r>
              <w:rPr>
                <w:rFonts w:ascii="Arial" w:eastAsia="宋体" w:hAnsi="Arial" w:cs="Arial"/>
                <w:color w:val="000000"/>
                <w:sz w:val="15"/>
                <w:szCs w:val="15"/>
              </w:rPr>
              <w:t>Senior debt</w:t>
            </w:r>
          </w:p>
        </w:tc>
        <w:tc>
          <w:tcPr>
            <w:tcW w:w="0" w:type="auto"/>
            <w:gridSpan w:val="3"/>
            <w:shd w:val="clear" w:color="auto" w:fill="CCEEFF"/>
            <w:tcMar>
              <w:top w:w="40" w:type="dxa"/>
              <w:left w:w="20" w:type="dxa"/>
              <w:bottom w:w="40" w:type="dxa"/>
              <w:right w:w="20" w:type="dxa"/>
            </w:tcMar>
            <w:vAlign w:val="bottom"/>
          </w:tcPr>
          <w:p w14:paraId="5F2CD4CE" w14:textId="77777777" w:rsidR="00E836FB" w:rsidRDefault="00994958">
            <w:pPr>
              <w:jc w:val="center"/>
              <w:textAlignment w:val="bottom"/>
            </w:pPr>
            <w:r>
              <w:rPr>
                <w:rFonts w:ascii="Arial" w:eastAsia="宋体" w:hAnsi="Arial" w:cs="Arial"/>
                <w:b/>
                <w:bCs/>
                <w:color w:val="000000"/>
                <w:sz w:val="15"/>
                <w:szCs w:val="15"/>
              </w:rPr>
              <w:t>A</w:t>
            </w:r>
          </w:p>
        </w:tc>
        <w:tc>
          <w:tcPr>
            <w:tcW w:w="0" w:type="auto"/>
            <w:gridSpan w:val="3"/>
            <w:shd w:val="clear" w:color="auto" w:fill="CCEEFF"/>
            <w:tcMar>
              <w:top w:w="0" w:type="dxa"/>
              <w:left w:w="20" w:type="dxa"/>
              <w:bottom w:w="0" w:type="dxa"/>
              <w:right w:w="20" w:type="dxa"/>
            </w:tcMar>
            <w:vAlign w:val="bottom"/>
          </w:tcPr>
          <w:p w14:paraId="5F2CD4C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4D0" w14:textId="77777777" w:rsidR="00E836FB" w:rsidRDefault="00994958">
            <w:pPr>
              <w:jc w:val="center"/>
              <w:textAlignment w:val="bottom"/>
            </w:pPr>
            <w:r>
              <w:rPr>
                <w:rFonts w:ascii="Arial" w:eastAsia="宋体" w:hAnsi="Arial" w:cs="Arial"/>
                <w:b/>
                <w:bCs/>
                <w:color w:val="000000"/>
                <w:sz w:val="15"/>
                <w:szCs w:val="15"/>
              </w:rPr>
              <w:t>A1</w:t>
            </w:r>
          </w:p>
        </w:tc>
        <w:tc>
          <w:tcPr>
            <w:tcW w:w="0" w:type="auto"/>
            <w:gridSpan w:val="3"/>
            <w:shd w:val="clear" w:color="auto" w:fill="CCEEFF"/>
            <w:tcMar>
              <w:top w:w="0" w:type="dxa"/>
              <w:left w:w="20" w:type="dxa"/>
              <w:bottom w:w="0" w:type="dxa"/>
              <w:right w:w="20" w:type="dxa"/>
            </w:tcMar>
            <w:vAlign w:val="bottom"/>
          </w:tcPr>
          <w:p w14:paraId="5F2CD4D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4D2" w14:textId="77777777" w:rsidR="00E836FB" w:rsidRDefault="00994958">
            <w:pPr>
              <w:jc w:val="center"/>
              <w:textAlignment w:val="bottom"/>
            </w:pPr>
            <w:r>
              <w:rPr>
                <w:rFonts w:ascii="Arial" w:eastAsia="宋体" w:hAnsi="Arial" w:cs="Arial"/>
                <w:b/>
                <w:bCs/>
                <w:color w:val="000000"/>
                <w:sz w:val="15"/>
                <w:szCs w:val="15"/>
              </w:rPr>
              <w:t>AA-</w:t>
            </w:r>
          </w:p>
        </w:tc>
        <w:tc>
          <w:tcPr>
            <w:tcW w:w="0" w:type="auto"/>
            <w:shd w:val="clear" w:color="auto" w:fill="auto"/>
            <w:vAlign w:val="bottom"/>
          </w:tcPr>
          <w:p w14:paraId="5F2CD4D3" w14:textId="77777777" w:rsidR="00E836FB" w:rsidRDefault="00E836FB">
            <w:pPr>
              <w:rPr>
                <w:rFonts w:ascii="宋体"/>
                <w:vanish/>
              </w:rPr>
            </w:pPr>
          </w:p>
        </w:tc>
        <w:tc>
          <w:tcPr>
            <w:tcW w:w="0" w:type="auto"/>
            <w:shd w:val="clear" w:color="auto" w:fill="auto"/>
            <w:vAlign w:val="bottom"/>
          </w:tcPr>
          <w:p w14:paraId="5F2CD4D4" w14:textId="77777777" w:rsidR="00E836FB" w:rsidRDefault="00E836FB">
            <w:pPr>
              <w:rPr>
                <w:rFonts w:ascii="宋体"/>
                <w:vanish/>
              </w:rPr>
            </w:pPr>
          </w:p>
        </w:tc>
      </w:tr>
      <w:tr w:rsidR="00E836FB" w14:paraId="5F2CD4DE" w14:textId="77777777">
        <w:tc>
          <w:tcPr>
            <w:tcW w:w="0" w:type="auto"/>
            <w:gridSpan w:val="3"/>
            <w:shd w:val="clear" w:color="auto" w:fill="FFFFFF"/>
            <w:tcMar>
              <w:top w:w="40" w:type="dxa"/>
              <w:left w:w="20" w:type="dxa"/>
              <w:bottom w:w="40" w:type="dxa"/>
              <w:right w:w="20" w:type="dxa"/>
            </w:tcMar>
            <w:vAlign w:val="bottom"/>
          </w:tcPr>
          <w:p w14:paraId="5F2CD4D6" w14:textId="77777777" w:rsidR="00E836FB" w:rsidRDefault="00994958">
            <w:pPr>
              <w:textAlignment w:val="bottom"/>
            </w:pPr>
            <w:r>
              <w:rPr>
                <w:rFonts w:ascii="Arial" w:eastAsia="宋体" w:hAnsi="Arial" w:cs="Arial"/>
                <w:color w:val="000000"/>
                <w:sz w:val="15"/>
                <w:szCs w:val="15"/>
              </w:rPr>
              <w:t>Subordinated debt</w:t>
            </w:r>
          </w:p>
        </w:tc>
        <w:tc>
          <w:tcPr>
            <w:tcW w:w="0" w:type="auto"/>
            <w:gridSpan w:val="3"/>
            <w:shd w:val="clear" w:color="auto" w:fill="FFFFFF"/>
            <w:tcMar>
              <w:top w:w="40" w:type="dxa"/>
              <w:left w:w="20" w:type="dxa"/>
              <w:bottom w:w="40" w:type="dxa"/>
              <w:right w:w="20" w:type="dxa"/>
            </w:tcMar>
            <w:vAlign w:val="bottom"/>
          </w:tcPr>
          <w:p w14:paraId="5F2CD4D7" w14:textId="77777777" w:rsidR="00E836FB" w:rsidRDefault="00994958">
            <w:pPr>
              <w:jc w:val="center"/>
              <w:textAlignment w:val="bottom"/>
            </w:pPr>
            <w:r>
              <w:rPr>
                <w:rFonts w:ascii="Arial" w:eastAsia="宋体" w:hAnsi="Arial" w:cs="Arial"/>
                <w:b/>
                <w:bCs/>
                <w:color w:val="000000"/>
                <w:sz w:val="15"/>
                <w:szCs w:val="15"/>
              </w:rPr>
              <w:t>A-</w:t>
            </w:r>
          </w:p>
        </w:tc>
        <w:tc>
          <w:tcPr>
            <w:tcW w:w="0" w:type="auto"/>
            <w:gridSpan w:val="3"/>
            <w:shd w:val="clear" w:color="auto" w:fill="FFFFFF"/>
            <w:tcMar>
              <w:top w:w="0" w:type="dxa"/>
              <w:left w:w="20" w:type="dxa"/>
              <w:bottom w:w="0" w:type="dxa"/>
              <w:right w:w="20" w:type="dxa"/>
            </w:tcMar>
            <w:vAlign w:val="bottom"/>
          </w:tcPr>
          <w:p w14:paraId="5F2CD4D8"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4D9" w14:textId="77777777" w:rsidR="00E836FB" w:rsidRDefault="00994958">
            <w:pPr>
              <w:jc w:val="center"/>
              <w:textAlignment w:val="bottom"/>
            </w:pPr>
            <w:r>
              <w:rPr>
                <w:rFonts w:ascii="Arial" w:eastAsia="宋体" w:hAnsi="Arial" w:cs="Arial"/>
                <w:b/>
                <w:bCs/>
                <w:color w:val="000000"/>
                <w:sz w:val="15"/>
                <w:szCs w:val="15"/>
              </w:rPr>
              <w:t>A2</w:t>
            </w:r>
          </w:p>
        </w:tc>
        <w:tc>
          <w:tcPr>
            <w:tcW w:w="0" w:type="auto"/>
            <w:gridSpan w:val="3"/>
            <w:shd w:val="clear" w:color="auto" w:fill="FFFFFF"/>
            <w:tcMar>
              <w:top w:w="0" w:type="dxa"/>
              <w:left w:w="20" w:type="dxa"/>
              <w:bottom w:w="0" w:type="dxa"/>
              <w:right w:w="20" w:type="dxa"/>
            </w:tcMar>
            <w:vAlign w:val="bottom"/>
          </w:tcPr>
          <w:p w14:paraId="5F2CD4DA"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4DB" w14:textId="77777777" w:rsidR="00E836FB" w:rsidRDefault="00994958">
            <w:pPr>
              <w:jc w:val="center"/>
              <w:textAlignment w:val="bottom"/>
            </w:pPr>
            <w:r>
              <w:rPr>
                <w:rFonts w:ascii="Arial" w:eastAsia="宋体" w:hAnsi="Arial" w:cs="Arial"/>
                <w:b/>
                <w:bCs/>
                <w:color w:val="000000"/>
                <w:sz w:val="15"/>
                <w:szCs w:val="15"/>
              </w:rPr>
              <w:t>A</w:t>
            </w:r>
          </w:p>
        </w:tc>
        <w:tc>
          <w:tcPr>
            <w:tcW w:w="0" w:type="auto"/>
            <w:shd w:val="clear" w:color="auto" w:fill="auto"/>
            <w:vAlign w:val="bottom"/>
          </w:tcPr>
          <w:p w14:paraId="5F2CD4DC" w14:textId="77777777" w:rsidR="00E836FB" w:rsidRDefault="00E836FB">
            <w:pPr>
              <w:rPr>
                <w:rFonts w:ascii="宋体"/>
                <w:vanish/>
              </w:rPr>
            </w:pPr>
          </w:p>
        </w:tc>
        <w:tc>
          <w:tcPr>
            <w:tcW w:w="0" w:type="auto"/>
            <w:shd w:val="clear" w:color="auto" w:fill="auto"/>
            <w:vAlign w:val="bottom"/>
          </w:tcPr>
          <w:p w14:paraId="5F2CD4DD" w14:textId="77777777" w:rsidR="00E836FB" w:rsidRDefault="00E836FB">
            <w:pPr>
              <w:rPr>
                <w:rFonts w:ascii="宋体"/>
                <w:vanish/>
              </w:rPr>
            </w:pPr>
          </w:p>
        </w:tc>
      </w:tr>
      <w:tr w:rsidR="00E836FB" w14:paraId="5F2CD4E7" w14:textId="77777777">
        <w:trPr>
          <w:hidden/>
        </w:trPr>
        <w:tc>
          <w:tcPr>
            <w:tcW w:w="0" w:type="auto"/>
            <w:gridSpan w:val="3"/>
            <w:shd w:val="clear" w:color="auto" w:fill="auto"/>
            <w:vAlign w:val="bottom"/>
          </w:tcPr>
          <w:p w14:paraId="5F2CD4DF" w14:textId="77777777" w:rsidR="00E836FB" w:rsidRDefault="00E836FB">
            <w:pPr>
              <w:rPr>
                <w:rFonts w:ascii="宋体"/>
                <w:vanish/>
              </w:rPr>
            </w:pPr>
          </w:p>
        </w:tc>
        <w:tc>
          <w:tcPr>
            <w:tcW w:w="0" w:type="auto"/>
            <w:gridSpan w:val="3"/>
            <w:shd w:val="clear" w:color="auto" w:fill="auto"/>
            <w:vAlign w:val="bottom"/>
          </w:tcPr>
          <w:p w14:paraId="5F2CD4E0" w14:textId="77777777" w:rsidR="00E836FB" w:rsidRDefault="00E836FB">
            <w:pPr>
              <w:rPr>
                <w:rFonts w:ascii="宋体"/>
                <w:vanish/>
              </w:rPr>
            </w:pPr>
          </w:p>
        </w:tc>
        <w:tc>
          <w:tcPr>
            <w:tcW w:w="0" w:type="auto"/>
            <w:gridSpan w:val="3"/>
            <w:shd w:val="clear" w:color="auto" w:fill="auto"/>
            <w:vAlign w:val="bottom"/>
          </w:tcPr>
          <w:p w14:paraId="5F2CD4E1" w14:textId="77777777" w:rsidR="00E836FB" w:rsidRDefault="00E836FB">
            <w:pPr>
              <w:rPr>
                <w:rFonts w:ascii="宋体"/>
                <w:vanish/>
              </w:rPr>
            </w:pPr>
          </w:p>
        </w:tc>
        <w:tc>
          <w:tcPr>
            <w:tcW w:w="0" w:type="auto"/>
            <w:gridSpan w:val="3"/>
            <w:shd w:val="clear" w:color="auto" w:fill="auto"/>
            <w:vAlign w:val="bottom"/>
          </w:tcPr>
          <w:p w14:paraId="5F2CD4E2" w14:textId="77777777" w:rsidR="00E836FB" w:rsidRDefault="00E836FB">
            <w:pPr>
              <w:rPr>
                <w:rFonts w:ascii="宋体"/>
                <w:vanish/>
              </w:rPr>
            </w:pPr>
          </w:p>
        </w:tc>
        <w:tc>
          <w:tcPr>
            <w:tcW w:w="0" w:type="auto"/>
            <w:gridSpan w:val="3"/>
            <w:shd w:val="clear" w:color="auto" w:fill="auto"/>
            <w:vAlign w:val="bottom"/>
          </w:tcPr>
          <w:p w14:paraId="5F2CD4E3" w14:textId="77777777" w:rsidR="00E836FB" w:rsidRDefault="00E836FB">
            <w:pPr>
              <w:rPr>
                <w:rFonts w:ascii="宋体"/>
                <w:vanish/>
              </w:rPr>
            </w:pPr>
          </w:p>
        </w:tc>
        <w:tc>
          <w:tcPr>
            <w:tcW w:w="0" w:type="auto"/>
            <w:gridSpan w:val="3"/>
            <w:shd w:val="clear" w:color="auto" w:fill="auto"/>
            <w:vAlign w:val="bottom"/>
          </w:tcPr>
          <w:p w14:paraId="5F2CD4E4" w14:textId="77777777" w:rsidR="00E836FB" w:rsidRDefault="00E836FB">
            <w:pPr>
              <w:rPr>
                <w:rFonts w:ascii="宋体"/>
                <w:vanish/>
              </w:rPr>
            </w:pPr>
          </w:p>
        </w:tc>
        <w:tc>
          <w:tcPr>
            <w:tcW w:w="0" w:type="auto"/>
            <w:shd w:val="clear" w:color="auto" w:fill="auto"/>
            <w:vAlign w:val="bottom"/>
          </w:tcPr>
          <w:p w14:paraId="5F2CD4E5" w14:textId="77777777" w:rsidR="00E836FB" w:rsidRDefault="00E836FB">
            <w:pPr>
              <w:rPr>
                <w:rFonts w:ascii="宋体"/>
                <w:vanish/>
              </w:rPr>
            </w:pPr>
          </w:p>
        </w:tc>
        <w:tc>
          <w:tcPr>
            <w:tcW w:w="0" w:type="auto"/>
            <w:shd w:val="clear" w:color="auto" w:fill="auto"/>
            <w:vAlign w:val="bottom"/>
          </w:tcPr>
          <w:p w14:paraId="5F2CD4E6" w14:textId="77777777" w:rsidR="00E836FB" w:rsidRDefault="00E836FB">
            <w:pPr>
              <w:rPr>
                <w:rFonts w:ascii="宋体"/>
                <w:vanish/>
              </w:rPr>
            </w:pPr>
          </w:p>
        </w:tc>
      </w:tr>
      <w:tr w:rsidR="00E836FB" w14:paraId="5F2CD4F0" w14:textId="77777777">
        <w:tc>
          <w:tcPr>
            <w:tcW w:w="0" w:type="auto"/>
            <w:gridSpan w:val="3"/>
            <w:shd w:val="clear" w:color="auto" w:fill="CCEEFF"/>
            <w:tcMar>
              <w:top w:w="40" w:type="dxa"/>
              <w:left w:w="20" w:type="dxa"/>
              <w:bottom w:w="40" w:type="dxa"/>
              <w:right w:w="20" w:type="dxa"/>
            </w:tcMar>
            <w:vAlign w:val="bottom"/>
          </w:tcPr>
          <w:p w14:paraId="5F2CD4E8" w14:textId="77777777" w:rsidR="00E836FB" w:rsidRDefault="00994958">
            <w:pPr>
              <w:textAlignment w:val="bottom"/>
            </w:pPr>
            <w:r>
              <w:rPr>
                <w:rFonts w:ascii="Arial" w:eastAsia="宋体" w:hAnsi="Arial" w:cs="Arial"/>
                <w:color w:val="000000"/>
                <w:sz w:val="15"/>
                <w:szCs w:val="15"/>
              </w:rPr>
              <w:t>Junior subordinated debt</w:t>
            </w:r>
          </w:p>
        </w:tc>
        <w:tc>
          <w:tcPr>
            <w:tcW w:w="0" w:type="auto"/>
            <w:gridSpan w:val="3"/>
            <w:shd w:val="clear" w:color="auto" w:fill="CCEEFF"/>
            <w:tcMar>
              <w:top w:w="40" w:type="dxa"/>
              <w:left w:w="20" w:type="dxa"/>
              <w:bottom w:w="40" w:type="dxa"/>
              <w:right w:w="20" w:type="dxa"/>
            </w:tcMar>
            <w:vAlign w:val="bottom"/>
          </w:tcPr>
          <w:p w14:paraId="5F2CD4E9" w14:textId="77777777" w:rsidR="00E836FB" w:rsidRDefault="00994958">
            <w:pPr>
              <w:jc w:val="center"/>
              <w:textAlignment w:val="bottom"/>
            </w:pPr>
            <w:r>
              <w:rPr>
                <w:rFonts w:ascii="Arial" w:eastAsia="宋体" w:hAnsi="Arial" w:cs="Arial"/>
                <w:b/>
                <w:bCs/>
                <w:color w:val="000000"/>
                <w:sz w:val="15"/>
                <w:szCs w:val="15"/>
              </w:rPr>
              <w:t>BBB</w:t>
            </w:r>
          </w:p>
        </w:tc>
        <w:tc>
          <w:tcPr>
            <w:tcW w:w="0" w:type="auto"/>
            <w:gridSpan w:val="3"/>
            <w:shd w:val="clear" w:color="auto" w:fill="CCEEFF"/>
            <w:tcMar>
              <w:top w:w="0" w:type="dxa"/>
              <w:left w:w="20" w:type="dxa"/>
              <w:bottom w:w="0" w:type="dxa"/>
              <w:right w:w="20" w:type="dxa"/>
            </w:tcMar>
            <w:vAlign w:val="bottom"/>
          </w:tcPr>
          <w:p w14:paraId="5F2CD4EA"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4EB" w14:textId="77777777" w:rsidR="00E836FB" w:rsidRDefault="00994958">
            <w:pPr>
              <w:jc w:val="center"/>
              <w:textAlignment w:val="bottom"/>
            </w:pPr>
            <w:r>
              <w:rPr>
                <w:rFonts w:ascii="Arial" w:eastAsia="宋体" w:hAnsi="Arial" w:cs="Arial"/>
                <w:b/>
                <w:bCs/>
                <w:color w:val="000000"/>
                <w:sz w:val="15"/>
                <w:szCs w:val="15"/>
              </w:rPr>
              <w:t>A3</w:t>
            </w:r>
          </w:p>
        </w:tc>
        <w:tc>
          <w:tcPr>
            <w:tcW w:w="0" w:type="auto"/>
            <w:gridSpan w:val="3"/>
            <w:shd w:val="clear" w:color="auto" w:fill="CCEEFF"/>
            <w:tcMar>
              <w:top w:w="0" w:type="dxa"/>
              <w:left w:w="20" w:type="dxa"/>
              <w:bottom w:w="0" w:type="dxa"/>
              <w:right w:w="20" w:type="dxa"/>
            </w:tcMar>
            <w:vAlign w:val="bottom"/>
          </w:tcPr>
          <w:p w14:paraId="5F2CD4EC"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4ED" w14:textId="77777777" w:rsidR="00E836FB" w:rsidRDefault="00994958">
            <w:pPr>
              <w:jc w:val="center"/>
              <w:textAlignment w:val="bottom"/>
            </w:pPr>
            <w:r>
              <w:rPr>
                <w:rFonts w:ascii="Arial" w:eastAsia="宋体" w:hAnsi="Arial" w:cs="Arial"/>
                <w:b/>
                <w:bCs/>
                <w:color w:val="000000"/>
                <w:sz w:val="15"/>
                <w:szCs w:val="15"/>
              </w:rPr>
              <w:t>NR</w:t>
            </w:r>
          </w:p>
        </w:tc>
        <w:tc>
          <w:tcPr>
            <w:tcW w:w="0" w:type="auto"/>
            <w:shd w:val="clear" w:color="auto" w:fill="auto"/>
            <w:vAlign w:val="bottom"/>
          </w:tcPr>
          <w:p w14:paraId="5F2CD4EE" w14:textId="77777777" w:rsidR="00E836FB" w:rsidRDefault="00E836FB">
            <w:pPr>
              <w:rPr>
                <w:rFonts w:ascii="宋体"/>
                <w:vanish/>
              </w:rPr>
            </w:pPr>
          </w:p>
        </w:tc>
        <w:tc>
          <w:tcPr>
            <w:tcW w:w="0" w:type="auto"/>
            <w:shd w:val="clear" w:color="auto" w:fill="auto"/>
            <w:vAlign w:val="bottom"/>
          </w:tcPr>
          <w:p w14:paraId="5F2CD4EF" w14:textId="77777777" w:rsidR="00E836FB" w:rsidRDefault="00E836FB">
            <w:pPr>
              <w:rPr>
                <w:rFonts w:ascii="宋体"/>
                <w:vanish/>
              </w:rPr>
            </w:pPr>
          </w:p>
        </w:tc>
      </w:tr>
      <w:tr w:rsidR="00E836FB" w14:paraId="5F2CD4F9" w14:textId="77777777">
        <w:tc>
          <w:tcPr>
            <w:tcW w:w="0" w:type="auto"/>
            <w:gridSpan w:val="3"/>
            <w:shd w:val="clear" w:color="auto" w:fill="FFFFFF"/>
            <w:tcMar>
              <w:top w:w="40" w:type="dxa"/>
              <w:left w:w="20" w:type="dxa"/>
              <w:bottom w:w="40" w:type="dxa"/>
              <w:right w:w="20" w:type="dxa"/>
            </w:tcMar>
            <w:vAlign w:val="bottom"/>
          </w:tcPr>
          <w:p w14:paraId="5F2CD4F1" w14:textId="77777777" w:rsidR="00E836FB" w:rsidRDefault="00994958">
            <w:pPr>
              <w:textAlignment w:val="bottom"/>
            </w:pPr>
            <w:r>
              <w:rPr>
                <w:rFonts w:ascii="Arial" w:eastAsia="宋体" w:hAnsi="Arial" w:cs="Arial"/>
                <w:color w:val="000000"/>
                <w:sz w:val="15"/>
                <w:szCs w:val="15"/>
              </w:rPr>
              <w:t>Preferred stock</w:t>
            </w:r>
          </w:p>
        </w:tc>
        <w:tc>
          <w:tcPr>
            <w:tcW w:w="0" w:type="auto"/>
            <w:gridSpan w:val="3"/>
            <w:shd w:val="clear" w:color="auto" w:fill="FFFFFF"/>
            <w:tcMar>
              <w:top w:w="40" w:type="dxa"/>
              <w:left w:w="20" w:type="dxa"/>
              <w:bottom w:w="40" w:type="dxa"/>
              <w:right w:w="20" w:type="dxa"/>
            </w:tcMar>
            <w:vAlign w:val="bottom"/>
          </w:tcPr>
          <w:p w14:paraId="5F2CD4F2" w14:textId="77777777" w:rsidR="00E836FB" w:rsidRDefault="00994958">
            <w:pPr>
              <w:jc w:val="center"/>
              <w:textAlignment w:val="bottom"/>
            </w:pPr>
            <w:r>
              <w:rPr>
                <w:rFonts w:ascii="Arial" w:eastAsia="宋体" w:hAnsi="Arial" w:cs="Arial"/>
                <w:b/>
                <w:bCs/>
                <w:color w:val="000000"/>
                <w:sz w:val="15"/>
                <w:szCs w:val="15"/>
              </w:rPr>
              <w:t>BBB</w:t>
            </w:r>
          </w:p>
        </w:tc>
        <w:tc>
          <w:tcPr>
            <w:tcW w:w="0" w:type="auto"/>
            <w:gridSpan w:val="3"/>
            <w:shd w:val="clear" w:color="auto" w:fill="FFFFFF"/>
            <w:tcMar>
              <w:top w:w="0" w:type="dxa"/>
              <w:left w:w="20" w:type="dxa"/>
              <w:bottom w:w="0" w:type="dxa"/>
              <w:right w:w="20" w:type="dxa"/>
            </w:tcMar>
            <w:vAlign w:val="bottom"/>
          </w:tcPr>
          <w:p w14:paraId="5F2CD4F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4F4" w14:textId="77777777" w:rsidR="00E836FB" w:rsidRDefault="00994958">
            <w:pPr>
              <w:jc w:val="center"/>
              <w:textAlignment w:val="bottom"/>
            </w:pPr>
            <w:r>
              <w:rPr>
                <w:rFonts w:ascii="Arial" w:eastAsia="宋体" w:hAnsi="Arial" w:cs="Arial"/>
                <w:b/>
                <w:bCs/>
                <w:color w:val="000000"/>
                <w:sz w:val="15"/>
                <w:szCs w:val="15"/>
              </w:rPr>
              <w:t>Baa1</w:t>
            </w:r>
          </w:p>
        </w:tc>
        <w:tc>
          <w:tcPr>
            <w:tcW w:w="0" w:type="auto"/>
            <w:gridSpan w:val="3"/>
            <w:shd w:val="clear" w:color="auto" w:fill="FFFFFF"/>
            <w:tcMar>
              <w:top w:w="0" w:type="dxa"/>
              <w:left w:w="20" w:type="dxa"/>
              <w:bottom w:w="0" w:type="dxa"/>
              <w:right w:w="20" w:type="dxa"/>
            </w:tcMar>
            <w:vAlign w:val="bottom"/>
          </w:tcPr>
          <w:p w14:paraId="5F2CD4F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4F6" w14:textId="77777777" w:rsidR="00E836FB" w:rsidRDefault="00994958">
            <w:pPr>
              <w:jc w:val="center"/>
              <w:textAlignment w:val="bottom"/>
            </w:pPr>
            <w:r>
              <w:rPr>
                <w:rFonts w:ascii="Arial" w:eastAsia="宋体" w:hAnsi="Arial" w:cs="Arial"/>
                <w:b/>
                <w:bCs/>
                <w:color w:val="000000"/>
                <w:sz w:val="15"/>
                <w:szCs w:val="15"/>
              </w:rPr>
              <w:t>BBB+</w:t>
            </w:r>
          </w:p>
        </w:tc>
        <w:tc>
          <w:tcPr>
            <w:tcW w:w="0" w:type="auto"/>
            <w:shd w:val="clear" w:color="auto" w:fill="auto"/>
            <w:vAlign w:val="bottom"/>
          </w:tcPr>
          <w:p w14:paraId="5F2CD4F7" w14:textId="77777777" w:rsidR="00E836FB" w:rsidRDefault="00E836FB">
            <w:pPr>
              <w:rPr>
                <w:rFonts w:ascii="宋体"/>
                <w:vanish/>
              </w:rPr>
            </w:pPr>
          </w:p>
        </w:tc>
        <w:tc>
          <w:tcPr>
            <w:tcW w:w="0" w:type="auto"/>
            <w:shd w:val="clear" w:color="auto" w:fill="auto"/>
            <w:vAlign w:val="bottom"/>
          </w:tcPr>
          <w:p w14:paraId="5F2CD4F8" w14:textId="77777777" w:rsidR="00E836FB" w:rsidRDefault="00E836FB">
            <w:pPr>
              <w:rPr>
                <w:rFonts w:ascii="宋体"/>
                <w:vanish/>
              </w:rPr>
            </w:pPr>
          </w:p>
        </w:tc>
      </w:tr>
      <w:tr w:rsidR="00E836FB" w14:paraId="5F2CD502" w14:textId="77777777">
        <w:tc>
          <w:tcPr>
            <w:tcW w:w="0" w:type="auto"/>
            <w:gridSpan w:val="3"/>
            <w:shd w:val="clear" w:color="auto" w:fill="CCEEFF"/>
            <w:tcMar>
              <w:top w:w="40" w:type="dxa"/>
              <w:left w:w="20" w:type="dxa"/>
              <w:bottom w:w="40" w:type="dxa"/>
              <w:right w:w="20" w:type="dxa"/>
            </w:tcMar>
            <w:vAlign w:val="bottom"/>
          </w:tcPr>
          <w:p w14:paraId="5F2CD4FA" w14:textId="77777777" w:rsidR="00E836FB" w:rsidRDefault="00994958">
            <w:pPr>
              <w:textAlignment w:val="bottom"/>
            </w:pPr>
            <w:r>
              <w:rPr>
                <w:rFonts w:ascii="Arial" w:eastAsia="宋体" w:hAnsi="Arial" w:cs="Arial"/>
                <w:color w:val="000000"/>
                <w:sz w:val="15"/>
                <w:szCs w:val="15"/>
              </w:rPr>
              <w:t>Outlook</w:t>
            </w:r>
          </w:p>
        </w:tc>
        <w:tc>
          <w:tcPr>
            <w:tcW w:w="0" w:type="auto"/>
            <w:gridSpan w:val="3"/>
            <w:shd w:val="clear" w:color="auto" w:fill="CCEEFF"/>
            <w:tcMar>
              <w:top w:w="40" w:type="dxa"/>
              <w:left w:w="20" w:type="dxa"/>
              <w:bottom w:w="40" w:type="dxa"/>
              <w:right w:w="20" w:type="dxa"/>
            </w:tcMar>
            <w:vAlign w:val="bottom"/>
          </w:tcPr>
          <w:p w14:paraId="5F2CD4FB" w14:textId="77777777" w:rsidR="00E836FB" w:rsidRDefault="00994958">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vAlign w:val="bottom"/>
          </w:tcPr>
          <w:p w14:paraId="5F2CD4FC"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4FD" w14:textId="77777777" w:rsidR="00E836FB" w:rsidRDefault="00994958">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vAlign w:val="bottom"/>
          </w:tcPr>
          <w:p w14:paraId="5F2CD4FE"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4FF" w14:textId="77777777" w:rsidR="00E836FB" w:rsidRDefault="00994958">
            <w:pPr>
              <w:jc w:val="center"/>
              <w:textAlignment w:val="bottom"/>
            </w:pPr>
            <w:r>
              <w:rPr>
                <w:rFonts w:ascii="Arial" w:eastAsia="宋体" w:hAnsi="Arial" w:cs="Arial"/>
                <w:b/>
                <w:bCs/>
                <w:color w:val="000000"/>
                <w:sz w:val="15"/>
                <w:szCs w:val="15"/>
              </w:rPr>
              <w:t>Stable</w:t>
            </w:r>
          </w:p>
        </w:tc>
        <w:tc>
          <w:tcPr>
            <w:tcW w:w="0" w:type="auto"/>
            <w:shd w:val="clear" w:color="auto" w:fill="auto"/>
            <w:vAlign w:val="bottom"/>
          </w:tcPr>
          <w:p w14:paraId="5F2CD500" w14:textId="77777777" w:rsidR="00E836FB" w:rsidRDefault="00E836FB">
            <w:pPr>
              <w:rPr>
                <w:rFonts w:ascii="宋体"/>
                <w:vanish/>
              </w:rPr>
            </w:pPr>
          </w:p>
        </w:tc>
        <w:tc>
          <w:tcPr>
            <w:tcW w:w="0" w:type="auto"/>
            <w:shd w:val="clear" w:color="auto" w:fill="auto"/>
            <w:vAlign w:val="bottom"/>
          </w:tcPr>
          <w:p w14:paraId="5F2CD501" w14:textId="77777777" w:rsidR="00E836FB" w:rsidRDefault="00E836FB">
            <w:pPr>
              <w:rPr>
                <w:rFonts w:ascii="宋体"/>
                <w:vanish/>
              </w:rPr>
            </w:pPr>
          </w:p>
        </w:tc>
      </w:tr>
      <w:tr w:rsidR="00E836FB" w14:paraId="5F2CD50A" w14:textId="77777777">
        <w:tc>
          <w:tcPr>
            <w:tcW w:w="0" w:type="auto"/>
            <w:gridSpan w:val="6"/>
            <w:shd w:val="clear" w:color="auto" w:fill="FFFFFF"/>
            <w:tcMar>
              <w:top w:w="40" w:type="dxa"/>
              <w:left w:w="20" w:type="dxa"/>
              <w:bottom w:w="40" w:type="dxa"/>
              <w:right w:w="20" w:type="dxa"/>
            </w:tcMar>
            <w:vAlign w:val="bottom"/>
          </w:tcPr>
          <w:p w14:paraId="5F2CD503" w14:textId="77777777" w:rsidR="00E836FB" w:rsidRDefault="00994958">
            <w:pPr>
              <w:textAlignment w:val="bottom"/>
            </w:pPr>
            <w:r>
              <w:rPr>
                <w:rFonts w:ascii="Arial" w:eastAsia="宋体" w:hAnsi="Arial" w:cs="Arial"/>
                <w:b/>
                <w:bCs/>
                <w:color w:val="000000"/>
                <w:sz w:val="15"/>
                <w:szCs w:val="15"/>
              </w:rPr>
              <w:t>State Street Bank:</w:t>
            </w:r>
          </w:p>
        </w:tc>
        <w:tc>
          <w:tcPr>
            <w:tcW w:w="0" w:type="auto"/>
            <w:gridSpan w:val="3"/>
            <w:shd w:val="clear" w:color="auto" w:fill="FFFFFF"/>
            <w:tcMar>
              <w:top w:w="0" w:type="dxa"/>
              <w:left w:w="20" w:type="dxa"/>
              <w:bottom w:w="0" w:type="dxa"/>
              <w:right w:w="20" w:type="dxa"/>
            </w:tcMar>
            <w:vAlign w:val="bottom"/>
          </w:tcPr>
          <w:p w14:paraId="5F2CD50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50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50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507" w14:textId="77777777" w:rsidR="00E836FB" w:rsidRDefault="00E836FB">
            <w:pPr>
              <w:rPr>
                <w:rFonts w:ascii="宋体"/>
              </w:rPr>
            </w:pPr>
          </w:p>
        </w:tc>
        <w:tc>
          <w:tcPr>
            <w:tcW w:w="0" w:type="auto"/>
            <w:shd w:val="clear" w:color="auto" w:fill="auto"/>
            <w:vAlign w:val="bottom"/>
          </w:tcPr>
          <w:p w14:paraId="5F2CD508" w14:textId="77777777" w:rsidR="00E836FB" w:rsidRDefault="00E836FB">
            <w:pPr>
              <w:rPr>
                <w:rFonts w:ascii="宋体"/>
                <w:vanish/>
              </w:rPr>
            </w:pPr>
          </w:p>
        </w:tc>
        <w:tc>
          <w:tcPr>
            <w:tcW w:w="0" w:type="auto"/>
            <w:shd w:val="clear" w:color="auto" w:fill="auto"/>
            <w:vAlign w:val="bottom"/>
          </w:tcPr>
          <w:p w14:paraId="5F2CD509" w14:textId="77777777" w:rsidR="00E836FB" w:rsidRDefault="00E836FB">
            <w:pPr>
              <w:rPr>
                <w:rFonts w:ascii="宋体"/>
                <w:vanish/>
              </w:rPr>
            </w:pPr>
          </w:p>
        </w:tc>
      </w:tr>
      <w:tr w:rsidR="00E836FB" w14:paraId="5F2CD513" w14:textId="77777777">
        <w:tc>
          <w:tcPr>
            <w:tcW w:w="0" w:type="auto"/>
            <w:gridSpan w:val="3"/>
            <w:shd w:val="clear" w:color="auto" w:fill="CCEEFF"/>
            <w:tcMar>
              <w:top w:w="40" w:type="dxa"/>
              <w:left w:w="20" w:type="dxa"/>
              <w:bottom w:w="40" w:type="dxa"/>
              <w:right w:w="20" w:type="dxa"/>
            </w:tcMar>
            <w:vAlign w:val="bottom"/>
          </w:tcPr>
          <w:p w14:paraId="5F2CD50B" w14:textId="77777777" w:rsidR="00E836FB" w:rsidRDefault="00994958">
            <w:pPr>
              <w:textAlignment w:val="bottom"/>
            </w:pPr>
            <w:r>
              <w:rPr>
                <w:rFonts w:ascii="Arial" w:eastAsia="宋体" w:hAnsi="Arial" w:cs="Arial"/>
                <w:color w:val="000000"/>
                <w:sz w:val="15"/>
                <w:szCs w:val="15"/>
              </w:rPr>
              <w:t>Short-term deposits</w:t>
            </w:r>
          </w:p>
        </w:tc>
        <w:tc>
          <w:tcPr>
            <w:tcW w:w="0" w:type="auto"/>
            <w:gridSpan w:val="3"/>
            <w:shd w:val="clear" w:color="auto" w:fill="CCEEFF"/>
            <w:tcMar>
              <w:top w:w="40" w:type="dxa"/>
              <w:left w:w="20" w:type="dxa"/>
              <w:bottom w:w="40" w:type="dxa"/>
              <w:right w:w="20" w:type="dxa"/>
            </w:tcMar>
            <w:vAlign w:val="bottom"/>
          </w:tcPr>
          <w:p w14:paraId="5F2CD50C" w14:textId="77777777" w:rsidR="00E836FB" w:rsidRDefault="00994958">
            <w:pPr>
              <w:jc w:val="center"/>
              <w:textAlignment w:val="bottom"/>
            </w:pPr>
            <w:r>
              <w:rPr>
                <w:rFonts w:ascii="Arial" w:eastAsia="宋体" w:hAnsi="Arial" w:cs="Arial"/>
                <w:b/>
                <w:bCs/>
                <w:color w:val="000000"/>
                <w:sz w:val="15"/>
                <w:szCs w:val="15"/>
              </w:rPr>
              <w:t>A-1+</w:t>
            </w:r>
          </w:p>
        </w:tc>
        <w:tc>
          <w:tcPr>
            <w:tcW w:w="0" w:type="auto"/>
            <w:gridSpan w:val="3"/>
            <w:shd w:val="clear" w:color="auto" w:fill="CCEEFF"/>
            <w:tcMar>
              <w:top w:w="0" w:type="dxa"/>
              <w:left w:w="20" w:type="dxa"/>
              <w:bottom w:w="0" w:type="dxa"/>
              <w:right w:w="20" w:type="dxa"/>
            </w:tcMar>
            <w:vAlign w:val="bottom"/>
          </w:tcPr>
          <w:p w14:paraId="5F2CD50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50E" w14:textId="77777777" w:rsidR="00E836FB" w:rsidRDefault="00994958">
            <w:pPr>
              <w:jc w:val="center"/>
              <w:textAlignment w:val="bottom"/>
            </w:pPr>
            <w:r>
              <w:rPr>
                <w:rFonts w:ascii="Arial" w:eastAsia="宋体" w:hAnsi="Arial" w:cs="Arial"/>
                <w:b/>
                <w:bCs/>
                <w:color w:val="000000"/>
                <w:sz w:val="15"/>
                <w:szCs w:val="15"/>
              </w:rPr>
              <w:t>P-1</w:t>
            </w:r>
          </w:p>
        </w:tc>
        <w:tc>
          <w:tcPr>
            <w:tcW w:w="0" w:type="auto"/>
            <w:gridSpan w:val="3"/>
            <w:shd w:val="clear" w:color="auto" w:fill="CCEEFF"/>
            <w:tcMar>
              <w:top w:w="0" w:type="dxa"/>
              <w:left w:w="20" w:type="dxa"/>
              <w:bottom w:w="0" w:type="dxa"/>
              <w:right w:w="20" w:type="dxa"/>
            </w:tcMar>
            <w:vAlign w:val="bottom"/>
          </w:tcPr>
          <w:p w14:paraId="5F2CD50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510" w14:textId="77777777" w:rsidR="00E836FB" w:rsidRDefault="00994958">
            <w:pPr>
              <w:jc w:val="center"/>
              <w:textAlignment w:val="bottom"/>
            </w:pPr>
            <w:r>
              <w:rPr>
                <w:rFonts w:ascii="Arial" w:eastAsia="宋体" w:hAnsi="Arial" w:cs="Arial"/>
                <w:b/>
                <w:bCs/>
                <w:color w:val="000000"/>
                <w:sz w:val="15"/>
                <w:szCs w:val="15"/>
              </w:rPr>
              <w:t>F1+</w:t>
            </w:r>
          </w:p>
        </w:tc>
        <w:tc>
          <w:tcPr>
            <w:tcW w:w="0" w:type="auto"/>
            <w:shd w:val="clear" w:color="auto" w:fill="auto"/>
            <w:vAlign w:val="bottom"/>
          </w:tcPr>
          <w:p w14:paraId="5F2CD511" w14:textId="77777777" w:rsidR="00E836FB" w:rsidRDefault="00E836FB">
            <w:pPr>
              <w:rPr>
                <w:rFonts w:ascii="宋体"/>
                <w:vanish/>
              </w:rPr>
            </w:pPr>
          </w:p>
        </w:tc>
        <w:tc>
          <w:tcPr>
            <w:tcW w:w="0" w:type="auto"/>
            <w:shd w:val="clear" w:color="auto" w:fill="auto"/>
            <w:vAlign w:val="bottom"/>
          </w:tcPr>
          <w:p w14:paraId="5F2CD512" w14:textId="77777777" w:rsidR="00E836FB" w:rsidRDefault="00E836FB">
            <w:pPr>
              <w:rPr>
                <w:rFonts w:ascii="宋体"/>
                <w:vanish/>
              </w:rPr>
            </w:pPr>
          </w:p>
        </w:tc>
      </w:tr>
      <w:tr w:rsidR="00E836FB" w14:paraId="5F2CD51C" w14:textId="77777777">
        <w:tc>
          <w:tcPr>
            <w:tcW w:w="0" w:type="auto"/>
            <w:gridSpan w:val="3"/>
            <w:shd w:val="clear" w:color="auto" w:fill="FFFFFF"/>
            <w:tcMar>
              <w:top w:w="40" w:type="dxa"/>
              <w:left w:w="20" w:type="dxa"/>
              <w:bottom w:w="40" w:type="dxa"/>
              <w:right w:w="20" w:type="dxa"/>
            </w:tcMar>
            <w:vAlign w:val="bottom"/>
          </w:tcPr>
          <w:p w14:paraId="5F2CD514" w14:textId="77777777" w:rsidR="00E836FB" w:rsidRDefault="00994958">
            <w:pPr>
              <w:textAlignment w:val="bottom"/>
            </w:pPr>
            <w:r>
              <w:rPr>
                <w:rFonts w:ascii="Arial" w:eastAsia="宋体" w:hAnsi="Arial" w:cs="Arial"/>
                <w:color w:val="000000"/>
                <w:sz w:val="15"/>
                <w:szCs w:val="15"/>
              </w:rPr>
              <w:t>Long-term deposits</w:t>
            </w:r>
          </w:p>
        </w:tc>
        <w:tc>
          <w:tcPr>
            <w:tcW w:w="0" w:type="auto"/>
            <w:gridSpan w:val="3"/>
            <w:shd w:val="clear" w:color="auto" w:fill="FFFFFF"/>
            <w:tcMar>
              <w:top w:w="40" w:type="dxa"/>
              <w:left w:w="20" w:type="dxa"/>
              <w:bottom w:w="40" w:type="dxa"/>
              <w:right w:w="20" w:type="dxa"/>
            </w:tcMar>
            <w:vAlign w:val="bottom"/>
          </w:tcPr>
          <w:p w14:paraId="5F2CD515" w14:textId="77777777" w:rsidR="00E836FB" w:rsidRDefault="00994958">
            <w:pPr>
              <w:jc w:val="center"/>
              <w:textAlignment w:val="bottom"/>
            </w:pPr>
            <w:r>
              <w:rPr>
                <w:rFonts w:ascii="Arial" w:eastAsia="宋体" w:hAnsi="Arial" w:cs="Arial"/>
                <w:b/>
                <w:bCs/>
                <w:color w:val="000000"/>
                <w:sz w:val="15"/>
                <w:szCs w:val="15"/>
              </w:rPr>
              <w:t>AA-</w:t>
            </w:r>
          </w:p>
        </w:tc>
        <w:tc>
          <w:tcPr>
            <w:tcW w:w="0" w:type="auto"/>
            <w:gridSpan w:val="3"/>
            <w:shd w:val="clear" w:color="auto" w:fill="FFFFFF"/>
            <w:tcMar>
              <w:top w:w="0" w:type="dxa"/>
              <w:left w:w="20" w:type="dxa"/>
              <w:bottom w:w="0" w:type="dxa"/>
              <w:right w:w="20" w:type="dxa"/>
            </w:tcMar>
            <w:vAlign w:val="bottom"/>
          </w:tcPr>
          <w:p w14:paraId="5F2CD516"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517" w14:textId="77777777" w:rsidR="00E836FB" w:rsidRDefault="00994958">
            <w:pPr>
              <w:jc w:val="center"/>
              <w:textAlignment w:val="bottom"/>
            </w:pPr>
            <w:r>
              <w:rPr>
                <w:rFonts w:ascii="Arial" w:eastAsia="宋体" w:hAnsi="Arial" w:cs="Arial"/>
                <w:b/>
                <w:bCs/>
                <w:color w:val="000000"/>
                <w:sz w:val="15"/>
                <w:szCs w:val="15"/>
              </w:rPr>
              <w:t>Aa1</w:t>
            </w:r>
          </w:p>
        </w:tc>
        <w:tc>
          <w:tcPr>
            <w:tcW w:w="0" w:type="auto"/>
            <w:gridSpan w:val="3"/>
            <w:shd w:val="clear" w:color="auto" w:fill="FFFFFF"/>
            <w:tcMar>
              <w:top w:w="0" w:type="dxa"/>
              <w:left w:w="20" w:type="dxa"/>
              <w:bottom w:w="0" w:type="dxa"/>
              <w:right w:w="20" w:type="dxa"/>
            </w:tcMar>
            <w:vAlign w:val="bottom"/>
          </w:tcPr>
          <w:p w14:paraId="5F2CD518"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519" w14:textId="77777777" w:rsidR="00E836FB" w:rsidRDefault="00994958">
            <w:pPr>
              <w:jc w:val="center"/>
              <w:textAlignment w:val="bottom"/>
            </w:pPr>
            <w:r>
              <w:rPr>
                <w:rFonts w:ascii="Arial" w:eastAsia="宋体" w:hAnsi="Arial" w:cs="Arial"/>
                <w:b/>
                <w:bCs/>
                <w:color w:val="000000"/>
                <w:sz w:val="15"/>
                <w:szCs w:val="15"/>
              </w:rPr>
              <w:t>AA+</w:t>
            </w:r>
          </w:p>
        </w:tc>
        <w:tc>
          <w:tcPr>
            <w:tcW w:w="0" w:type="auto"/>
            <w:shd w:val="clear" w:color="auto" w:fill="auto"/>
            <w:vAlign w:val="bottom"/>
          </w:tcPr>
          <w:p w14:paraId="5F2CD51A" w14:textId="77777777" w:rsidR="00E836FB" w:rsidRDefault="00E836FB">
            <w:pPr>
              <w:rPr>
                <w:rFonts w:ascii="宋体"/>
                <w:vanish/>
              </w:rPr>
            </w:pPr>
          </w:p>
        </w:tc>
        <w:tc>
          <w:tcPr>
            <w:tcW w:w="0" w:type="auto"/>
            <w:shd w:val="clear" w:color="auto" w:fill="auto"/>
            <w:vAlign w:val="bottom"/>
          </w:tcPr>
          <w:p w14:paraId="5F2CD51B" w14:textId="77777777" w:rsidR="00E836FB" w:rsidRDefault="00E836FB">
            <w:pPr>
              <w:rPr>
                <w:rFonts w:ascii="宋体"/>
                <w:vanish/>
              </w:rPr>
            </w:pPr>
          </w:p>
        </w:tc>
      </w:tr>
      <w:tr w:rsidR="00E836FB" w14:paraId="5F2CD525" w14:textId="77777777">
        <w:tc>
          <w:tcPr>
            <w:tcW w:w="0" w:type="auto"/>
            <w:gridSpan w:val="3"/>
            <w:shd w:val="clear" w:color="auto" w:fill="CCEEFF"/>
            <w:tcMar>
              <w:top w:w="40" w:type="dxa"/>
              <w:left w:w="20" w:type="dxa"/>
              <w:bottom w:w="40" w:type="dxa"/>
              <w:right w:w="20" w:type="dxa"/>
            </w:tcMar>
            <w:vAlign w:val="bottom"/>
          </w:tcPr>
          <w:p w14:paraId="5F2CD51D" w14:textId="77777777" w:rsidR="00E836FB" w:rsidRDefault="00994958">
            <w:pPr>
              <w:textAlignment w:val="bottom"/>
            </w:pPr>
            <w:r>
              <w:rPr>
                <w:rFonts w:ascii="Arial" w:eastAsia="宋体" w:hAnsi="Arial" w:cs="Arial"/>
                <w:color w:val="000000"/>
                <w:sz w:val="15"/>
                <w:szCs w:val="15"/>
              </w:rPr>
              <w:t>Senior debt/Long-term issuer</w:t>
            </w:r>
          </w:p>
        </w:tc>
        <w:tc>
          <w:tcPr>
            <w:tcW w:w="0" w:type="auto"/>
            <w:gridSpan w:val="3"/>
            <w:shd w:val="clear" w:color="auto" w:fill="CCEEFF"/>
            <w:tcMar>
              <w:top w:w="40" w:type="dxa"/>
              <w:left w:w="20" w:type="dxa"/>
              <w:bottom w:w="40" w:type="dxa"/>
              <w:right w:w="20" w:type="dxa"/>
            </w:tcMar>
            <w:vAlign w:val="bottom"/>
          </w:tcPr>
          <w:p w14:paraId="5F2CD51E" w14:textId="77777777" w:rsidR="00E836FB" w:rsidRDefault="00994958">
            <w:pPr>
              <w:jc w:val="center"/>
              <w:textAlignment w:val="bottom"/>
            </w:pPr>
            <w:r>
              <w:rPr>
                <w:rFonts w:ascii="Arial" w:eastAsia="宋体" w:hAnsi="Arial" w:cs="Arial"/>
                <w:b/>
                <w:bCs/>
                <w:color w:val="000000"/>
                <w:sz w:val="15"/>
                <w:szCs w:val="15"/>
              </w:rPr>
              <w:t>AA-</w:t>
            </w:r>
          </w:p>
        </w:tc>
        <w:tc>
          <w:tcPr>
            <w:tcW w:w="0" w:type="auto"/>
            <w:gridSpan w:val="3"/>
            <w:shd w:val="clear" w:color="auto" w:fill="CCEEFF"/>
            <w:tcMar>
              <w:top w:w="0" w:type="dxa"/>
              <w:left w:w="20" w:type="dxa"/>
              <w:bottom w:w="0" w:type="dxa"/>
              <w:right w:w="20" w:type="dxa"/>
            </w:tcMar>
            <w:vAlign w:val="bottom"/>
          </w:tcPr>
          <w:p w14:paraId="5F2CD51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520" w14:textId="77777777" w:rsidR="00E836FB" w:rsidRDefault="00994958">
            <w:pPr>
              <w:jc w:val="center"/>
              <w:textAlignment w:val="bottom"/>
            </w:pPr>
            <w:r>
              <w:rPr>
                <w:rFonts w:ascii="Arial" w:eastAsia="宋体" w:hAnsi="Arial" w:cs="Arial"/>
                <w:b/>
                <w:bCs/>
                <w:color w:val="000000"/>
                <w:sz w:val="15"/>
                <w:szCs w:val="15"/>
              </w:rPr>
              <w:t>Aa3</w:t>
            </w:r>
          </w:p>
        </w:tc>
        <w:tc>
          <w:tcPr>
            <w:tcW w:w="0" w:type="auto"/>
            <w:gridSpan w:val="3"/>
            <w:shd w:val="clear" w:color="auto" w:fill="CCEEFF"/>
            <w:tcMar>
              <w:top w:w="0" w:type="dxa"/>
              <w:left w:w="20" w:type="dxa"/>
              <w:bottom w:w="0" w:type="dxa"/>
              <w:right w:w="20" w:type="dxa"/>
            </w:tcMar>
            <w:vAlign w:val="bottom"/>
          </w:tcPr>
          <w:p w14:paraId="5F2CD52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522" w14:textId="77777777" w:rsidR="00E836FB" w:rsidRDefault="00994958">
            <w:pPr>
              <w:jc w:val="center"/>
              <w:textAlignment w:val="bottom"/>
            </w:pPr>
            <w:r>
              <w:rPr>
                <w:rFonts w:ascii="Arial" w:eastAsia="宋体" w:hAnsi="Arial" w:cs="Arial"/>
                <w:b/>
                <w:bCs/>
                <w:color w:val="000000"/>
                <w:sz w:val="15"/>
                <w:szCs w:val="15"/>
              </w:rPr>
              <w:t>AA</w:t>
            </w:r>
          </w:p>
        </w:tc>
        <w:tc>
          <w:tcPr>
            <w:tcW w:w="0" w:type="auto"/>
            <w:shd w:val="clear" w:color="auto" w:fill="auto"/>
            <w:vAlign w:val="bottom"/>
          </w:tcPr>
          <w:p w14:paraId="5F2CD523" w14:textId="77777777" w:rsidR="00E836FB" w:rsidRDefault="00E836FB">
            <w:pPr>
              <w:rPr>
                <w:rFonts w:ascii="宋体"/>
                <w:vanish/>
              </w:rPr>
            </w:pPr>
          </w:p>
        </w:tc>
        <w:tc>
          <w:tcPr>
            <w:tcW w:w="0" w:type="auto"/>
            <w:shd w:val="clear" w:color="auto" w:fill="auto"/>
            <w:vAlign w:val="bottom"/>
          </w:tcPr>
          <w:p w14:paraId="5F2CD524" w14:textId="77777777" w:rsidR="00E836FB" w:rsidRDefault="00E836FB">
            <w:pPr>
              <w:rPr>
                <w:rFonts w:ascii="宋体"/>
                <w:vanish/>
              </w:rPr>
            </w:pPr>
          </w:p>
        </w:tc>
      </w:tr>
      <w:tr w:rsidR="00E836FB" w14:paraId="5F2CD52E" w14:textId="77777777">
        <w:trPr>
          <w:hidden/>
        </w:trPr>
        <w:tc>
          <w:tcPr>
            <w:tcW w:w="0" w:type="auto"/>
            <w:gridSpan w:val="3"/>
            <w:shd w:val="clear" w:color="auto" w:fill="auto"/>
            <w:vAlign w:val="bottom"/>
          </w:tcPr>
          <w:p w14:paraId="5F2CD526" w14:textId="77777777" w:rsidR="00E836FB" w:rsidRDefault="00E836FB">
            <w:pPr>
              <w:rPr>
                <w:rFonts w:ascii="宋体"/>
                <w:vanish/>
              </w:rPr>
            </w:pPr>
          </w:p>
        </w:tc>
        <w:tc>
          <w:tcPr>
            <w:tcW w:w="0" w:type="auto"/>
            <w:gridSpan w:val="3"/>
            <w:shd w:val="clear" w:color="auto" w:fill="auto"/>
            <w:vAlign w:val="bottom"/>
          </w:tcPr>
          <w:p w14:paraId="5F2CD527" w14:textId="77777777" w:rsidR="00E836FB" w:rsidRDefault="00E836FB">
            <w:pPr>
              <w:rPr>
                <w:rFonts w:ascii="宋体"/>
                <w:vanish/>
              </w:rPr>
            </w:pPr>
          </w:p>
        </w:tc>
        <w:tc>
          <w:tcPr>
            <w:tcW w:w="0" w:type="auto"/>
            <w:gridSpan w:val="3"/>
            <w:shd w:val="clear" w:color="auto" w:fill="auto"/>
            <w:vAlign w:val="bottom"/>
          </w:tcPr>
          <w:p w14:paraId="5F2CD528" w14:textId="77777777" w:rsidR="00E836FB" w:rsidRDefault="00E836FB">
            <w:pPr>
              <w:rPr>
                <w:rFonts w:ascii="宋体"/>
                <w:vanish/>
              </w:rPr>
            </w:pPr>
          </w:p>
        </w:tc>
        <w:tc>
          <w:tcPr>
            <w:tcW w:w="0" w:type="auto"/>
            <w:gridSpan w:val="3"/>
            <w:shd w:val="clear" w:color="auto" w:fill="auto"/>
            <w:vAlign w:val="bottom"/>
          </w:tcPr>
          <w:p w14:paraId="5F2CD529" w14:textId="77777777" w:rsidR="00E836FB" w:rsidRDefault="00E836FB">
            <w:pPr>
              <w:rPr>
                <w:rFonts w:ascii="宋体"/>
                <w:vanish/>
              </w:rPr>
            </w:pPr>
          </w:p>
        </w:tc>
        <w:tc>
          <w:tcPr>
            <w:tcW w:w="0" w:type="auto"/>
            <w:gridSpan w:val="3"/>
            <w:shd w:val="clear" w:color="auto" w:fill="auto"/>
            <w:vAlign w:val="bottom"/>
          </w:tcPr>
          <w:p w14:paraId="5F2CD52A" w14:textId="77777777" w:rsidR="00E836FB" w:rsidRDefault="00E836FB">
            <w:pPr>
              <w:rPr>
                <w:rFonts w:ascii="宋体"/>
                <w:vanish/>
              </w:rPr>
            </w:pPr>
          </w:p>
        </w:tc>
        <w:tc>
          <w:tcPr>
            <w:tcW w:w="0" w:type="auto"/>
            <w:gridSpan w:val="3"/>
            <w:shd w:val="clear" w:color="auto" w:fill="auto"/>
            <w:vAlign w:val="bottom"/>
          </w:tcPr>
          <w:p w14:paraId="5F2CD52B" w14:textId="77777777" w:rsidR="00E836FB" w:rsidRDefault="00E836FB">
            <w:pPr>
              <w:rPr>
                <w:rFonts w:ascii="宋体"/>
                <w:vanish/>
              </w:rPr>
            </w:pPr>
          </w:p>
        </w:tc>
        <w:tc>
          <w:tcPr>
            <w:tcW w:w="0" w:type="auto"/>
            <w:shd w:val="clear" w:color="auto" w:fill="auto"/>
            <w:vAlign w:val="bottom"/>
          </w:tcPr>
          <w:p w14:paraId="5F2CD52C" w14:textId="77777777" w:rsidR="00E836FB" w:rsidRDefault="00E836FB">
            <w:pPr>
              <w:rPr>
                <w:rFonts w:ascii="宋体"/>
                <w:vanish/>
              </w:rPr>
            </w:pPr>
          </w:p>
        </w:tc>
        <w:tc>
          <w:tcPr>
            <w:tcW w:w="0" w:type="auto"/>
            <w:shd w:val="clear" w:color="auto" w:fill="auto"/>
            <w:vAlign w:val="bottom"/>
          </w:tcPr>
          <w:p w14:paraId="5F2CD52D" w14:textId="77777777" w:rsidR="00E836FB" w:rsidRDefault="00E836FB">
            <w:pPr>
              <w:rPr>
                <w:rFonts w:ascii="宋体"/>
                <w:vanish/>
              </w:rPr>
            </w:pPr>
          </w:p>
        </w:tc>
      </w:tr>
      <w:tr w:rsidR="00E836FB" w14:paraId="5F2CD537" w14:textId="77777777">
        <w:tc>
          <w:tcPr>
            <w:tcW w:w="0" w:type="auto"/>
            <w:gridSpan w:val="3"/>
            <w:shd w:val="clear" w:color="auto" w:fill="FFFFFF"/>
            <w:tcMar>
              <w:top w:w="40" w:type="dxa"/>
              <w:left w:w="20" w:type="dxa"/>
              <w:bottom w:w="40" w:type="dxa"/>
              <w:right w:w="20" w:type="dxa"/>
            </w:tcMar>
            <w:vAlign w:val="bottom"/>
          </w:tcPr>
          <w:p w14:paraId="5F2CD52F" w14:textId="77777777" w:rsidR="00E836FB" w:rsidRDefault="00994958">
            <w:pPr>
              <w:textAlignment w:val="bottom"/>
            </w:pPr>
            <w:r>
              <w:rPr>
                <w:rFonts w:ascii="Arial" w:eastAsia="宋体" w:hAnsi="Arial" w:cs="Arial"/>
                <w:color w:val="000000"/>
                <w:sz w:val="15"/>
                <w:szCs w:val="15"/>
              </w:rPr>
              <w:t>Subordinated debt</w:t>
            </w:r>
          </w:p>
        </w:tc>
        <w:tc>
          <w:tcPr>
            <w:tcW w:w="0" w:type="auto"/>
            <w:gridSpan w:val="3"/>
            <w:shd w:val="clear" w:color="auto" w:fill="FFFFFF"/>
            <w:tcMar>
              <w:top w:w="40" w:type="dxa"/>
              <w:left w:w="20" w:type="dxa"/>
              <w:bottom w:w="40" w:type="dxa"/>
              <w:right w:w="20" w:type="dxa"/>
            </w:tcMar>
            <w:vAlign w:val="bottom"/>
          </w:tcPr>
          <w:p w14:paraId="5F2CD530" w14:textId="77777777" w:rsidR="00E836FB" w:rsidRDefault="00994958">
            <w:pPr>
              <w:jc w:val="center"/>
              <w:textAlignment w:val="bottom"/>
            </w:pPr>
            <w:r>
              <w:rPr>
                <w:rFonts w:ascii="Arial" w:eastAsia="宋体" w:hAnsi="Arial" w:cs="Arial"/>
                <w:b/>
                <w:bCs/>
                <w:color w:val="000000"/>
                <w:sz w:val="15"/>
                <w:szCs w:val="15"/>
              </w:rPr>
              <w:t>A</w:t>
            </w:r>
          </w:p>
        </w:tc>
        <w:tc>
          <w:tcPr>
            <w:tcW w:w="0" w:type="auto"/>
            <w:gridSpan w:val="3"/>
            <w:shd w:val="clear" w:color="auto" w:fill="FFFFFF"/>
            <w:tcMar>
              <w:top w:w="0" w:type="dxa"/>
              <w:left w:w="20" w:type="dxa"/>
              <w:bottom w:w="0" w:type="dxa"/>
              <w:right w:w="20" w:type="dxa"/>
            </w:tcMar>
            <w:vAlign w:val="bottom"/>
          </w:tcPr>
          <w:p w14:paraId="5F2CD53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532" w14:textId="77777777" w:rsidR="00E836FB" w:rsidRDefault="00994958">
            <w:pPr>
              <w:jc w:val="center"/>
              <w:textAlignment w:val="bottom"/>
            </w:pPr>
            <w:r>
              <w:rPr>
                <w:rFonts w:ascii="Arial" w:eastAsia="宋体" w:hAnsi="Arial" w:cs="Arial"/>
                <w:b/>
                <w:bCs/>
                <w:color w:val="000000"/>
                <w:sz w:val="15"/>
                <w:szCs w:val="15"/>
              </w:rPr>
              <w:t>Aa3</w:t>
            </w:r>
          </w:p>
        </w:tc>
        <w:tc>
          <w:tcPr>
            <w:tcW w:w="0" w:type="auto"/>
            <w:gridSpan w:val="3"/>
            <w:shd w:val="clear" w:color="auto" w:fill="FFFFFF"/>
            <w:tcMar>
              <w:top w:w="0" w:type="dxa"/>
              <w:left w:w="20" w:type="dxa"/>
              <w:bottom w:w="0" w:type="dxa"/>
              <w:right w:w="20" w:type="dxa"/>
            </w:tcMar>
            <w:vAlign w:val="bottom"/>
          </w:tcPr>
          <w:p w14:paraId="5F2CD53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D534" w14:textId="77777777" w:rsidR="00E836FB" w:rsidRDefault="00994958">
            <w:pPr>
              <w:jc w:val="center"/>
              <w:textAlignment w:val="bottom"/>
            </w:pPr>
            <w:r>
              <w:rPr>
                <w:rFonts w:ascii="Arial" w:eastAsia="宋体" w:hAnsi="Arial" w:cs="Arial"/>
                <w:b/>
                <w:bCs/>
                <w:color w:val="000000"/>
                <w:sz w:val="15"/>
                <w:szCs w:val="15"/>
              </w:rPr>
              <w:t>A+</w:t>
            </w:r>
          </w:p>
        </w:tc>
        <w:tc>
          <w:tcPr>
            <w:tcW w:w="0" w:type="auto"/>
            <w:shd w:val="clear" w:color="auto" w:fill="auto"/>
            <w:vAlign w:val="bottom"/>
          </w:tcPr>
          <w:p w14:paraId="5F2CD535" w14:textId="77777777" w:rsidR="00E836FB" w:rsidRDefault="00E836FB">
            <w:pPr>
              <w:rPr>
                <w:rFonts w:ascii="宋体"/>
                <w:vanish/>
              </w:rPr>
            </w:pPr>
          </w:p>
        </w:tc>
        <w:tc>
          <w:tcPr>
            <w:tcW w:w="0" w:type="auto"/>
            <w:shd w:val="clear" w:color="auto" w:fill="auto"/>
            <w:vAlign w:val="bottom"/>
          </w:tcPr>
          <w:p w14:paraId="5F2CD536" w14:textId="77777777" w:rsidR="00E836FB" w:rsidRDefault="00E836FB">
            <w:pPr>
              <w:rPr>
                <w:rFonts w:ascii="宋体"/>
                <w:vanish/>
              </w:rPr>
            </w:pPr>
          </w:p>
        </w:tc>
      </w:tr>
      <w:tr w:rsidR="00E836FB" w14:paraId="5F2CD540" w14:textId="77777777">
        <w:tc>
          <w:tcPr>
            <w:tcW w:w="0" w:type="auto"/>
            <w:gridSpan w:val="3"/>
            <w:shd w:val="clear" w:color="auto" w:fill="CCEEFF"/>
            <w:tcMar>
              <w:top w:w="40" w:type="dxa"/>
              <w:left w:w="20" w:type="dxa"/>
              <w:bottom w:w="40" w:type="dxa"/>
              <w:right w:w="20" w:type="dxa"/>
            </w:tcMar>
            <w:vAlign w:val="bottom"/>
          </w:tcPr>
          <w:p w14:paraId="5F2CD538" w14:textId="77777777" w:rsidR="00E836FB" w:rsidRDefault="00994958">
            <w:pPr>
              <w:textAlignment w:val="bottom"/>
            </w:pPr>
            <w:r>
              <w:rPr>
                <w:rFonts w:ascii="Arial" w:eastAsia="宋体" w:hAnsi="Arial" w:cs="Arial"/>
                <w:color w:val="000000"/>
                <w:sz w:val="15"/>
                <w:szCs w:val="15"/>
              </w:rPr>
              <w:t>Outlook</w:t>
            </w:r>
          </w:p>
        </w:tc>
        <w:tc>
          <w:tcPr>
            <w:tcW w:w="0" w:type="auto"/>
            <w:gridSpan w:val="3"/>
            <w:shd w:val="clear" w:color="auto" w:fill="CCEEFF"/>
            <w:tcMar>
              <w:top w:w="40" w:type="dxa"/>
              <w:left w:w="20" w:type="dxa"/>
              <w:bottom w:w="40" w:type="dxa"/>
              <w:right w:w="20" w:type="dxa"/>
            </w:tcMar>
            <w:vAlign w:val="bottom"/>
          </w:tcPr>
          <w:p w14:paraId="5F2CD539" w14:textId="77777777" w:rsidR="00E836FB" w:rsidRDefault="00994958">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vAlign w:val="bottom"/>
          </w:tcPr>
          <w:p w14:paraId="5F2CD53A"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53B" w14:textId="77777777" w:rsidR="00E836FB" w:rsidRDefault="00994958">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vAlign w:val="bottom"/>
          </w:tcPr>
          <w:p w14:paraId="5F2CD53C"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D53D" w14:textId="77777777" w:rsidR="00E836FB" w:rsidRDefault="00994958">
            <w:pPr>
              <w:jc w:val="center"/>
              <w:textAlignment w:val="bottom"/>
            </w:pPr>
            <w:r>
              <w:rPr>
                <w:rFonts w:ascii="Arial" w:eastAsia="宋体" w:hAnsi="Arial" w:cs="Arial"/>
                <w:b/>
                <w:bCs/>
                <w:color w:val="000000"/>
                <w:sz w:val="15"/>
                <w:szCs w:val="15"/>
              </w:rPr>
              <w:t>Stable</w:t>
            </w:r>
          </w:p>
        </w:tc>
        <w:tc>
          <w:tcPr>
            <w:tcW w:w="0" w:type="auto"/>
            <w:shd w:val="clear" w:color="auto" w:fill="auto"/>
            <w:vAlign w:val="bottom"/>
          </w:tcPr>
          <w:p w14:paraId="5F2CD53E" w14:textId="77777777" w:rsidR="00E836FB" w:rsidRDefault="00E836FB">
            <w:pPr>
              <w:rPr>
                <w:rFonts w:ascii="宋体"/>
                <w:vanish/>
              </w:rPr>
            </w:pPr>
          </w:p>
        </w:tc>
        <w:tc>
          <w:tcPr>
            <w:tcW w:w="0" w:type="auto"/>
            <w:shd w:val="clear" w:color="auto" w:fill="auto"/>
            <w:vAlign w:val="bottom"/>
          </w:tcPr>
          <w:p w14:paraId="5F2CD53F" w14:textId="77777777" w:rsidR="00E836FB" w:rsidRDefault="00E836FB">
            <w:pPr>
              <w:rPr>
                <w:rFonts w:ascii="宋体"/>
                <w:vanish/>
              </w:rPr>
            </w:pPr>
          </w:p>
        </w:tc>
      </w:tr>
    </w:tbl>
    <w:p w14:paraId="5F2CD541" w14:textId="77777777" w:rsidR="00E836FB" w:rsidRDefault="00994958">
      <w:pPr>
        <w:ind w:firstLine="450"/>
        <w:jc w:val="right"/>
      </w:pPr>
      <w:r>
        <w:rPr>
          <w:rFonts w:ascii="Arial" w:eastAsia="宋体" w:hAnsi="Arial" w:cs="Arial"/>
          <w:color w:val="000000"/>
          <w:sz w:val="18"/>
          <w:szCs w:val="18"/>
        </w:rPr>
        <w:t>State Street Corporation | 97</w:t>
      </w:r>
    </w:p>
    <w:p w14:paraId="5F2CD542" w14:textId="77777777" w:rsidR="00E836FB" w:rsidRDefault="00E836FB">
      <w:pPr>
        <w:ind w:firstLine="450"/>
        <w:jc w:val="center"/>
      </w:pPr>
    </w:p>
    <w:p w14:paraId="5F2CD543" w14:textId="77777777" w:rsidR="00E836FB" w:rsidRDefault="00994958">
      <w:r>
        <w:pict w14:anchorId="5F2D6DE6">
          <v:rect id="_x0000_i1121" style="width:415.3pt;height:1.5pt" o:hralign="center" o:hrstd="t" o:hr="t" fillcolor="#a0a0a0" stroked="f"/>
        </w:pict>
      </w:r>
    </w:p>
    <w:p w14:paraId="5F2CD544"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545" w14:textId="77777777" w:rsidR="00E836FB" w:rsidRDefault="00994958">
      <w:pPr>
        <w:ind w:firstLine="450"/>
        <w:jc w:val="center"/>
      </w:pPr>
      <w:r>
        <w:rPr>
          <w:rFonts w:ascii="Arial" w:eastAsia="宋体" w:hAnsi="Arial" w:cs="Arial"/>
          <w:b/>
          <w:bCs/>
          <w:color w:val="000000"/>
          <w:sz w:val="20"/>
          <w:szCs w:val="20"/>
        </w:rPr>
        <w:t>AND RESULTS OF OPERATIONS</w:t>
      </w:r>
    </w:p>
    <w:p w14:paraId="5F2CD546" w14:textId="77777777" w:rsidR="00E836FB" w:rsidRDefault="00994958">
      <w:pPr>
        <w:spacing w:before="60"/>
        <w:jc w:val="both"/>
      </w:pPr>
      <w:r>
        <w:rPr>
          <w:rFonts w:ascii="Arial" w:eastAsia="宋体" w:hAnsi="Arial" w:cs="Arial"/>
          <w:b/>
          <w:bCs/>
          <w:i/>
          <w:iCs/>
          <w:color w:val="000000"/>
          <w:sz w:val="20"/>
          <w:szCs w:val="20"/>
        </w:rPr>
        <w:t>Contractual Cash Obligations and Other Commitments</w:t>
      </w:r>
    </w:p>
    <w:p w14:paraId="5F2CD547" w14:textId="77777777" w:rsidR="00E836FB" w:rsidRDefault="00994958">
      <w:pPr>
        <w:spacing w:before="60"/>
        <w:ind w:firstLine="450"/>
        <w:jc w:val="both"/>
      </w:pPr>
      <w:r>
        <w:rPr>
          <w:rFonts w:ascii="Arial" w:eastAsia="宋体" w:hAnsi="Arial" w:cs="Arial"/>
          <w:color w:val="000000"/>
          <w:sz w:val="20"/>
          <w:szCs w:val="20"/>
        </w:rPr>
        <w:t xml:space="preserve">The long-term contractual cash obligations included within </w:t>
      </w:r>
      <w:r>
        <w:rPr>
          <w:rFonts w:ascii="Arial" w:eastAsia="宋体" w:hAnsi="Arial" w:cs="Arial"/>
          <w:color w:val="000000"/>
          <w:sz w:val="20"/>
          <w:szCs w:val="20"/>
        </w:rPr>
        <w:t>Table 32: Long-Term Contractual Cash Obligations were recorded in our consolidated statement of condition as of December 31, 2021, except for the interest portions of long-term debt and finance leases.</w:t>
      </w:r>
    </w:p>
    <w:tbl>
      <w:tblPr>
        <w:tblW w:w="4963" w:type="pct"/>
        <w:tblCellMar>
          <w:top w:w="15" w:type="dxa"/>
          <w:left w:w="15" w:type="dxa"/>
          <w:bottom w:w="15" w:type="dxa"/>
          <w:right w:w="15" w:type="dxa"/>
        </w:tblCellMar>
        <w:tblLook w:val="04A0" w:firstRow="1" w:lastRow="0" w:firstColumn="1" w:lastColumn="0" w:noHBand="0" w:noVBand="1"/>
      </w:tblPr>
      <w:tblGrid>
        <w:gridCol w:w="38"/>
        <w:gridCol w:w="2594"/>
        <w:gridCol w:w="37"/>
        <w:gridCol w:w="105"/>
        <w:gridCol w:w="924"/>
        <w:gridCol w:w="36"/>
        <w:gridCol w:w="36"/>
        <w:gridCol w:w="36"/>
        <w:gridCol w:w="36"/>
        <w:gridCol w:w="104"/>
        <w:gridCol w:w="887"/>
        <w:gridCol w:w="36"/>
        <w:gridCol w:w="36"/>
        <w:gridCol w:w="36"/>
        <w:gridCol w:w="36"/>
        <w:gridCol w:w="104"/>
        <w:gridCol w:w="887"/>
        <w:gridCol w:w="36"/>
        <w:gridCol w:w="36"/>
        <w:gridCol w:w="36"/>
        <w:gridCol w:w="36"/>
        <w:gridCol w:w="104"/>
        <w:gridCol w:w="887"/>
        <w:gridCol w:w="36"/>
        <w:gridCol w:w="36"/>
        <w:gridCol w:w="36"/>
        <w:gridCol w:w="36"/>
        <w:gridCol w:w="104"/>
        <w:gridCol w:w="887"/>
        <w:gridCol w:w="36"/>
      </w:tblGrid>
      <w:tr w:rsidR="00E836FB" w14:paraId="5F2CD566" w14:textId="77777777">
        <w:tc>
          <w:tcPr>
            <w:tcW w:w="50" w:type="pct"/>
            <w:shd w:val="clear" w:color="auto" w:fill="auto"/>
            <w:vAlign w:val="bottom"/>
          </w:tcPr>
          <w:p w14:paraId="5F2CD548" w14:textId="77777777" w:rsidR="00E836FB" w:rsidRDefault="00E836FB">
            <w:pPr>
              <w:rPr>
                <w:rFonts w:ascii="宋体"/>
              </w:rPr>
            </w:pPr>
          </w:p>
        </w:tc>
        <w:tc>
          <w:tcPr>
            <w:tcW w:w="1594" w:type="pct"/>
            <w:shd w:val="clear" w:color="auto" w:fill="auto"/>
            <w:vAlign w:val="bottom"/>
          </w:tcPr>
          <w:p w14:paraId="5F2CD549" w14:textId="77777777" w:rsidR="00E836FB" w:rsidRDefault="00E836FB">
            <w:pPr>
              <w:rPr>
                <w:rFonts w:ascii="宋体"/>
              </w:rPr>
            </w:pPr>
          </w:p>
        </w:tc>
        <w:tc>
          <w:tcPr>
            <w:tcW w:w="5" w:type="pct"/>
            <w:shd w:val="clear" w:color="auto" w:fill="auto"/>
            <w:vAlign w:val="bottom"/>
          </w:tcPr>
          <w:p w14:paraId="5F2CD54A" w14:textId="77777777" w:rsidR="00E836FB" w:rsidRDefault="00E836FB">
            <w:pPr>
              <w:rPr>
                <w:rFonts w:ascii="宋体"/>
              </w:rPr>
            </w:pPr>
          </w:p>
        </w:tc>
        <w:tc>
          <w:tcPr>
            <w:tcW w:w="50" w:type="pct"/>
            <w:shd w:val="clear" w:color="auto" w:fill="auto"/>
            <w:vAlign w:val="bottom"/>
          </w:tcPr>
          <w:p w14:paraId="5F2CD54B" w14:textId="77777777" w:rsidR="00E836FB" w:rsidRDefault="00E836FB">
            <w:pPr>
              <w:rPr>
                <w:rFonts w:ascii="宋体"/>
              </w:rPr>
            </w:pPr>
          </w:p>
        </w:tc>
        <w:tc>
          <w:tcPr>
            <w:tcW w:w="585" w:type="pct"/>
            <w:shd w:val="clear" w:color="auto" w:fill="auto"/>
            <w:vAlign w:val="bottom"/>
          </w:tcPr>
          <w:p w14:paraId="5F2CD54C" w14:textId="77777777" w:rsidR="00E836FB" w:rsidRDefault="00E836FB">
            <w:pPr>
              <w:rPr>
                <w:rFonts w:ascii="宋体"/>
              </w:rPr>
            </w:pPr>
          </w:p>
        </w:tc>
        <w:tc>
          <w:tcPr>
            <w:tcW w:w="5" w:type="pct"/>
            <w:shd w:val="clear" w:color="auto" w:fill="auto"/>
            <w:vAlign w:val="bottom"/>
          </w:tcPr>
          <w:p w14:paraId="5F2CD54D" w14:textId="77777777" w:rsidR="00E836FB" w:rsidRDefault="00E836FB">
            <w:pPr>
              <w:rPr>
                <w:rFonts w:ascii="宋体"/>
              </w:rPr>
            </w:pPr>
          </w:p>
        </w:tc>
        <w:tc>
          <w:tcPr>
            <w:tcW w:w="5" w:type="pct"/>
            <w:shd w:val="clear" w:color="auto" w:fill="auto"/>
            <w:vAlign w:val="bottom"/>
          </w:tcPr>
          <w:p w14:paraId="5F2CD54E" w14:textId="77777777" w:rsidR="00E836FB" w:rsidRDefault="00E836FB">
            <w:pPr>
              <w:rPr>
                <w:rFonts w:ascii="宋体"/>
              </w:rPr>
            </w:pPr>
          </w:p>
        </w:tc>
        <w:tc>
          <w:tcPr>
            <w:tcW w:w="26" w:type="pct"/>
            <w:shd w:val="clear" w:color="auto" w:fill="auto"/>
            <w:vAlign w:val="bottom"/>
          </w:tcPr>
          <w:p w14:paraId="5F2CD54F" w14:textId="77777777" w:rsidR="00E836FB" w:rsidRDefault="00E836FB">
            <w:pPr>
              <w:rPr>
                <w:rFonts w:ascii="宋体"/>
              </w:rPr>
            </w:pPr>
          </w:p>
        </w:tc>
        <w:tc>
          <w:tcPr>
            <w:tcW w:w="5" w:type="pct"/>
            <w:shd w:val="clear" w:color="auto" w:fill="auto"/>
            <w:vAlign w:val="bottom"/>
          </w:tcPr>
          <w:p w14:paraId="5F2CD550" w14:textId="77777777" w:rsidR="00E836FB" w:rsidRDefault="00E836FB">
            <w:pPr>
              <w:rPr>
                <w:rFonts w:ascii="宋体"/>
              </w:rPr>
            </w:pPr>
          </w:p>
        </w:tc>
        <w:tc>
          <w:tcPr>
            <w:tcW w:w="50" w:type="pct"/>
            <w:shd w:val="clear" w:color="auto" w:fill="auto"/>
            <w:vAlign w:val="bottom"/>
          </w:tcPr>
          <w:p w14:paraId="5F2CD551" w14:textId="77777777" w:rsidR="00E836FB" w:rsidRDefault="00E836FB">
            <w:pPr>
              <w:rPr>
                <w:rFonts w:ascii="宋体"/>
              </w:rPr>
            </w:pPr>
          </w:p>
        </w:tc>
        <w:tc>
          <w:tcPr>
            <w:tcW w:w="585" w:type="pct"/>
            <w:shd w:val="clear" w:color="auto" w:fill="auto"/>
            <w:vAlign w:val="bottom"/>
          </w:tcPr>
          <w:p w14:paraId="5F2CD552" w14:textId="77777777" w:rsidR="00E836FB" w:rsidRDefault="00E836FB">
            <w:pPr>
              <w:rPr>
                <w:rFonts w:ascii="宋体"/>
              </w:rPr>
            </w:pPr>
          </w:p>
        </w:tc>
        <w:tc>
          <w:tcPr>
            <w:tcW w:w="5" w:type="pct"/>
            <w:shd w:val="clear" w:color="auto" w:fill="auto"/>
            <w:vAlign w:val="bottom"/>
          </w:tcPr>
          <w:p w14:paraId="5F2CD553" w14:textId="77777777" w:rsidR="00E836FB" w:rsidRDefault="00E836FB">
            <w:pPr>
              <w:rPr>
                <w:rFonts w:ascii="宋体"/>
              </w:rPr>
            </w:pPr>
          </w:p>
        </w:tc>
        <w:tc>
          <w:tcPr>
            <w:tcW w:w="5" w:type="pct"/>
            <w:shd w:val="clear" w:color="auto" w:fill="auto"/>
            <w:vAlign w:val="bottom"/>
          </w:tcPr>
          <w:p w14:paraId="5F2CD554" w14:textId="77777777" w:rsidR="00E836FB" w:rsidRDefault="00E836FB">
            <w:pPr>
              <w:rPr>
                <w:rFonts w:ascii="宋体"/>
              </w:rPr>
            </w:pPr>
          </w:p>
        </w:tc>
        <w:tc>
          <w:tcPr>
            <w:tcW w:w="26" w:type="pct"/>
            <w:shd w:val="clear" w:color="auto" w:fill="auto"/>
            <w:vAlign w:val="bottom"/>
          </w:tcPr>
          <w:p w14:paraId="5F2CD555" w14:textId="77777777" w:rsidR="00E836FB" w:rsidRDefault="00E836FB">
            <w:pPr>
              <w:rPr>
                <w:rFonts w:ascii="宋体"/>
              </w:rPr>
            </w:pPr>
          </w:p>
        </w:tc>
        <w:tc>
          <w:tcPr>
            <w:tcW w:w="5" w:type="pct"/>
            <w:shd w:val="clear" w:color="auto" w:fill="auto"/>
            <w:vAlign w:val="bottom"/>
          </w:tcPr>
          <w:p w14:paraId="5F2CD556" w14:textId="77777777" w:rsidR="00E836FB" w:rsidRDefault="00E836FB">
            <w:pPr>
              <w:rPr>
                <w:rFonts w:ascii="宋体"/>
              </w:rPr>
            </w:pPr>
          </w:p>
        </w:tc>
        <w:tc>
          <w:tcPr>
            <w:tcW w:w="50" w:type="pct"/>
            <w:shd w:val="clear" w:color="auto" w:fill="auto"/>
            <w:vAlign w:val="bottom"/>
          </w:tcPr>
          <w:p w14:paraId="5F2CD557" w14:textId="77777777" w:rsidR="00E836FB" w:rsidRDefault="00E836FB">
            <w:pPr>
              <w:rPr>
                <w:rFonts w:ascii="宋体"/>
              </w:rPr>
            </w:pPr>
          </w:p>
        </w:tc>
        <w:tc>
          <w:tcPr>
            <w:tcW w:w="585" w:type="pct"/>
            <w:shd w:val="clear" w:color="auto" w:fill="auto"/>
            <w:vAlign w:val="bottom"/>
          </w:tcPr>
          <w:p w14:paraId="5F2CD558" w14:textId="77777777" w:rsidR="00E836FB" w:rsidRDefault="00E836FB">
            <w:pPr>
              <w:rPr>
                <w:rFonts w:ascii="宋体"/>
              </w:rPr>
            </w:pPr>
          </w:p>
        </w:tc>
        <w:tc>
          <w:tcPr>
            <w:tcW w:w="5" w:type="pct"/>
            <w:shd w:val="clear" w:color="auto" w:fill="auto"/>
            <w:vAlign w:val="bottom"/>
          </w:tcPr>
          <w:p w14:paraId="5F2CD559" w14:textId="77777777" w:rsidR="00E836FB" w:rsidRDefault="00E836FB">
            <w:pPr>
              <w:rPr>
                <w:rFonts w:ascii="宋体"/>
              </w:rPr>
            </w:pPr>
          </w:p>
        </w:tc>
        <w:tc>
          <w:tcPr>
            <w:tcW w:w="5" w:type="pct"/>
            <w:shd w:val="clear" w:color="auto" w:fill="auto"/>
            <w:vAlign w:val="bottom"/>
          </w:tcPr>
          <w:p w14:paraId="5F2CD55A" w14:textId="77777777" w:rsidR="00E836FB" w:rsidRDefault="00E836FB">
            <w:pPr>
              <w:rPr>
                <w:rFonts w:ascii="宋体"/>
              </w:rPr>
            </w:pPr>
          </w:p>
        </w:tc>
        <w:tc>
          <w:tcPr>
            <w:tcW w:w="26" w:type="pct"/>
            <w:shd w:val="clear" w:color="auto" w:fill="auto"/>
            <w:vAlign w:val="bottom"/>
          </w:tcPr>
          <w:p w14:paraId="5F2CD55B" w14:textId="77777777" w:rsidR="00E836FB" w:rsidRDefault="00E836FB">
            <w:pPr>
              <w:rPr>
                <w:rFonts w:ascii="宋体"/>
              </w:rPr>
            </w:pPr>
          </w:p>
        </w:tc>
        <w:tc>
          <w:tcPr>
            <w:tcW w:w="5" w:type="pct"/>
            <w:shd w:val="clear" w:color="auto" w:fill="auto"/>
            <w:vAlign w:val="bottom"/>
          </w:tcPr>
          <w:p w14:paraId="5F2CD55C" w14:textId="77777777" w:rsidR="00E836FB" w:rsidRDefault="00E836FB">
            <w:pPr>
              <w:rPr>
                <w:rFonts w:ascii="宋体"/>
              </w:rPr>
            </w:pPr>
          </w:p>
        </w:tc>
        <w:tc>
          <w:tcPr>
            <w:tcW w:w="50" w:type="pct"/>
            <w:shd w:val="clear" w:color="auto" w:fill="auto"/>
            <w:vAlign w:val="bottom"/>
          </w:tcPr>
          <w:p w14:paraId="5F2CD55D" w14:textId="77777777" w:rsidR="00E836FB" w:rsidRDefault="00E836FB">
            <w:pPr>
              <w:rPr>
                <w:rFonts w:ascii="宋体"/>
              </w:rPr>
            </w:pPr>
          </w:p>
        </w:tc>
        <w:tc>
          <w:tcPr>
            <w:tcW w:w="585" w:type="pct"/>
            <w:shd w:val="clear" w:color="auto" w:fill="auto"/>
            <w:vAlign w:val="bottom"/>
          </w:tcPr>
          <w:p w14:paraId="5F2CD55E" w14:textId="77777777" w:rsidR="00E836FB" w:rsidRDefault="00E836FB">
            <w:pPr>
              <w:rPr>
                <w:rFonts w:ascii="宋体"/>
              </w:rPr>
            </w:pPr>
          </w:p>
        </w:tc>
        <w:tc>
          <w:tcPr>
            <w:tcW w:w="5" w:type="pct"/>
            <w:shd w:val="clear" w:color="auto" w:fill="auto"/>
            <w:vAlign w:val="bottom"/>
          </w:tcPr>
          <w:p w14:paraId="5F2CD55F" w14:textId="77777777" w:rsidR="00E836FB" w:rsidRDefault="00E836FB">
            <w:pPr>
              <w:rPr>
                <w:rFonts w:ascii="宋体"/>
              </w:rPr>
            </w:pPr>
          </w:p>
        </w:tc>
        <w:tc>
          <w:tcPr>
            <w:tcW w:w="5" w:type="pct"/>
            <w:shd w:val="clear" w:color="auto" w:fill="auto"/>
            <w:vAlign w:val="bottom"/>
          </w:tcPr>
          <w:p w14:paraId="5F2CD560" w14:textId="77777777" w:rsidR="00E836FB" w:rsidRDefault="00E836FB">
            <w:pPr>
              <w:rPr>
                <w:rFonts w:ascii="宋体"/>
              </w:rPr>
            </w:pPr>
          </w:p>
        </w:tc>
        <w:tc>
          <w:tcPr>
            <w:tcW w:w="26" w:type="pct"/>
            <w:shd w:val="clear" w:color="auto" w:fill="auto"/>
            <w:vAlign w:val="bottom"/>
          </w:tcPr>
          <w:p w14:paraId="5F2CD561" w14:textId="77777777" w:rsidR="00E836FB" w:rsidRDefault="00E836FB">
            <w:pPr>
              <w:rPr>
                <w:rFonts w:ascii="宋体"/>
              </w:rPr>
            </w:pPr>
          </w:p>
        </w:tc>
        <w:tc>
          <w:tcPr>
            <w:tcW w:w="5" w:type="pct"/>
            <w:shd w:val="clear" w:color="auto" w:fill="auto"/>
            <w:vAlign w:val="bottom"/>
          </w:tcPr>
          <w:p w14:paraId="5F2CD562" w14:textId="77777777" w:rsidR="00E836FB" w:rsidRDefault="00E836FB">
            <w:pPr>
              <w:rPr>
                <w:rFonts w:ascii="宋体"/>
              </w:rPr>
            </w:pPr>
          </w:p>
        </w:tc>
        <w:tc>
          <w:tcPr>
            <w:tcW w:w="50" w:type="pct"/>
            <w:shd w:val="clear" w:color="auto" w:fill="auto"/>
            <w:vAlign w:val="bottom"/>
          </w:tcPr>
          <w:p w14:paraId="5F2CD563" w14:textId="77777777" w:rsidR="00E836FB" w:rsidRDefault="00E836FB">
            <w:pPr>
              <w:rPr>
                <w:rFonts w:ascii="宋体"/>
              </w:rPr>
            </w:pPr>
          </w:p>
        </w:tc>
        <w:tc>
          <w:tcPr>
            <w:tcW w:w="585" w:type="pct"/>
            <w:shd w:val="clear" w:color="auto" w:fill="auto"/>
            <w:vAlign w:val="bottom"/>
          </w:tcPr>
          <w:p w14:paraId="5F2CD564" w14:textId="77777777" w:rsidR="00E836FB" w:rsidRDefault="00E836FB">
            <w:pPr>
              <w:rPr>
                <w:rFonts w:ascii="宋体"/>
              </w:rPr>
            </w:pPr>
          </w:p>
        </w:tc>
        <w:tc>
          <w:tcPr>
            <w:tcW w:w="5" w:type="pct"/>
            <w:shd w:val="clear" w:color="auto" w:fill="auto"/>
            <w:vAlign w:val="bottom"/>
          </w:tcPr>
          <w:p w14:paraId="5F2CD565" w14:textId="77777777" w:rsidR="00E836FB" w:rsidRDefault="00E836FB">
            <w:pPr>
              <w:rPr>
                <w:rFonts w:ascii="宋体"/>
              </w:rPr>
            </w:pPr>
          </w:p>
        </w:tc>
      </w:tr>
      <w:tr w:rsidR="00E836FB" w14:paraId="5F2CD56A" w14:textId="77777777">
        <w:tc>
          <w:tcPr>
            <w:tcW w:w="0" w:type="auto"/>
            <w:gridSpan w:val="24"/>
            <w:shd w:val="clear" w:color="auto" w:fill="auto"/>
            <w:tcMar>
              <w:top w:w="40" w:type="dxa"/>
              <w:left w:w="20" w:type="dxa"/>
              <w:bottom w:w="40" w:type="dxa"/>
              <w:right w:w="20" w:type="dxa"/>
            </w:tcMar>
            <w:vAlign w:val="bottom"/>
          </w:tcPr>
          <w:p w14:paraId="5F2CD567" w14:textId="77777777" w:rsidR="00E836FB" w:rsidRDefault="00994958">
            <w:pPr>
              <w:textAlignment w:val="bottom"/>
            </w:pPr>
            <w:r>
              <w:rPr>
                <w:rFonts w:ascii="Arial" w:eastAsia="宋体" w:hAnsi="Arial" w:cs="Arial"/>
                <w:b/>
                <w:bCs/>
                <w:color w:val="000000"/>
                <w:sz w:val="16"/>
                <w:szCs w:val="16"/>
              </w:rPr>
              <w:t>TABLE 32: LONG-TERM CONTRACTUAL CASH OBLIGATIONS</w:t>
            </w:r>
          </w:p>
        </w:tc>
        <w:tc>
          <w:tcPr>
            <w:tcW w:w="0" w:type="auto"/>
            <w:gridSpan w:val="3"/>
            <w:shd w:val="clear" w:color="auto" w:fill="auto"/>
            <w:tcMar>
              <w:top w:w="0" w:type="dxa"/>
              <w:left w:w="20" w:type="dxa"/>
              <w:bottom w:w="0" w:type="dxa"/>
              <w:right w:w="20" w:type="dxa"/>
            </w:tcMar>
            <w:vAlign w:val="bottom"/>
          </w:tcPr>
          <w:p w14:paraId="5F2CD5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569" w14:textId="77777777" w:rsidR="00E836FB" w:rsidRDefault="00E836FB">
            <w:pPr>
              <w:rPr>
                <w:rFonts w:ascii="宋体"/>
              </w:rPr>
            </w:pPr>
          </w:p>
        </w:tc>
      </w:tr>
      <w:tr w:rsidR="00E836FB" w14:paraId="5F2CD56D" w14:textId="77777777">
        <w:tc>
          <w:tcPr>
            <w:tcW w:w="0" w:type="auto"/>
            <w:gridSpan w:val="3"/>
            <w:shd w:val="clear" w:color="auto" w:fill="auto"/>
            <w:tcMar>
              <w:top w:w="40" w:type="dxa"/>
              <w:left w:w="20" w:type="dxa"/>
              <w:bottom w:w="40" w:type="dxa"/>
              <w:right w:w="20" w:type="dxa"/>
            </w:tcMar>
            <w:vAlign w:val="bottom"/>
          </w:tcPr>
          <w:p w14:paraId="5F2CD56B" w14:textId="77777777" w:rsidR="00E836FB" w:rsidRDefault="00994958">
            <w:pPr>
              <w:textAlignment w:val="bottom"/>
            </w:pPr>
            <w:r>
              <w:rPr>
                <w:rFonts w:ascii="Arial" w:eastAsia="宋体" w:hAnsi="Arial" w:cs="Arial"/>
                <w:b/>
                <w:bCs/>
                <w:color w:val="000000"/>
                <w:sz w:val="15"/>
                <w:szCs w:val="15"/>
              </w:rPr>
              <w:t>December 31, 2021</w:t>
            </w:r>
          </w:p>
        </w:tc>
        <w:tc>
          <w:tcPr>
            <w:tcW w:w="0" w:type="auto"/>
            <w:gridSpan w:val="27"/>
            <w:shd w:val="clear" w:color="auto" w:fill="auto"/>
            <w:tcMar>
              <w:top w:w="40" w:type="dxa"/>
              <w:left w:w="20" w:type="dxa"/>
              <w:bottom w:w="40" w:type="dxa"/>
              <w:right w:w="20" w:type="dxa"/>
            </w:tcMar>
            <w:vAlign w:val="bottom"/>
          </w:tcPr>
          <w:p w14:paraId="5F2CD56C" w14:textId="77777777" w:rsidR="00E836FB" w:rsidRDefault="00994958">
            <w:pPr>
              <w:jc w:val="center"/>
              <w:textAlignment w:val="bottom"/>
            </w:pPr>
            <w:r>
              <w:rPr>
                <w:rFonts w:ascii="Arial" w:eastAsia="宋体" w:hAnsi="Arial" w:cs="Arial"/>
                <w:b/>
                <w:bCs/>
                <w:color w:val="000000"/>
                <w:sz w:val="15"/>
                <w:szCs w:val="15"/>
              </w:rPr>
              <w:t>Payments Due by Period</w:t>
            </w:r>
          </w:p>
        </w:tc>
      </w:tr>
      <w:tr w:rsidR="00E836FB" w14:paraId="5F2CD578" w14:textId="77777777">
        <w:tc>
          <w:tcPr>
            <w:tcW w:w="0" w:type="auto"/>
            <w:gridSpan w:val="3"/>
            <w:shd w:val="clear" w:color="auto" w:fill="auto"/>
            <w:tcMar>
              <w:top w:w="40" w:type="dxa"/>
              <w:left w:w="20" w:type="dxa"/>
              <w:bottom w:w="40" w:type="dxa"/>
              <w:right w:w="20" w:type="dxa"/>
            </w:tcMar>
            <w:vAlign w:val="bottom"/>
          </w:tcPr>
          <w:p w14:paraId="5F2CD56E"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56F" w14:textId="77777777" w:rsidR="00E836FB" w:rsidRDefault="00994958">
            <w:pPr>
              <w:jc w:val="center"/>
              <w:textAlignment w:val="bottom"/>
            </w:pPr>
            <w:r>
              <w:rPr>
                <w:rFonts w:ascii="Arial" w:eastAsia="宋体" w:hAnsi="Arial" w:cs="Arial"/>
                <w:b/>
                <w:bCs/>
                <w:color w:val="000000"/>
                <w:sz w:val="15"/>
                <w:szCs w:val="15"/>
              </w:rPr>
              <w:t>Less than 1</w:t>
            </w:r>
            <w:r>
              <w:rPr>
                <w:rFonts w:ascii="Arial" w:eastAsia="宋体" w:hAnsi="Arial" w:cs="Arial"/>
                <w:b/>
                <w:bCs/>
                <w:color w:val="000000"/>
                <w:sz w:val="15"/>
                <w:szCs w:val="15"/>
              </w:rPr>
              <w:br/>
              <w:t>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57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571" w14:textId="77777777" w:rsidR="00E836FB" w:rsidRDefault="00994958">
            <w:pPr>
              <w:jc w:val="center"/>
              <w:textAlignment w:val="bottom"/>
            </w:pPr>
            <w:r>
              <w:rPr>
                <w:rFonts w:ascii="Arial" w:eastAsia="宋体" w:hAnsi="Arial" w:cs="Arial"/>
                <w:b/>
                <w:bCs/>
                <w:color w:val="000000"/>
                <w:sz w:val="15"/>
                <w:szCs w:val="15"/>
              </w:rPr>
              <w:t>1-3</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57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573" w14:textId="77777777" w:rsidR="00E836FB" w:rsidRDefault="00994958">
            <w:pPr>
              <w:jc w:val="center"/>
              <w:textAlignment w:val="bottom"/>
            </w:pPr>
            <w:r>
              <w:rPr>
                <w:rFonts w:ascii="Arial" w:eastAsia="宋体" w:hAnsi="Arial" w:cs="Arial"/>
                <w:b/>
                <w:bCs/>
                <w:color w:val="000000"/>
                <w:sz w:val="15"/>
                <w:szCs w:val="15"/>
              </w:rPr>
              <w:t>4-5</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57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575" w14:textId="77777777" w:rsidR="00E836FB" w:rsidRDefault="00994958">
            <w:pPr>
              <w:jc w:val="center"/>
              <w:textAlignment w:val="bottom"/>
            </w:pPr>
            <w:r>
              <w:rPr>
                <w:rFonts w:ascii="Arial" w:eastAsia="宋体" w:hAnsi="Arial" w:cs="Arial"/>
                <w:b/>
                <w:bCs/>
                <w:color w:val="000000"/>
                <w:sz w:val="15"/>
                <w:szCs w:val="15"/>
              </w:rPr>
              <w:t>Over 5</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57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577" w14:textId="77777777" w:rsidR="00E836FB" w:rsidRDefault="00994958">
            <w:pPr>
              <w:jc w:val="center"/>
              <w:textAlignment w:val="bottom"/>
            </w:pPr>
            <w:r>
              <w:rPr>
                <w:rFonts w:ascii="Arial" w:eastAsia="宋体" w:hAnsi="Arial" w:cs="Arial"/>
                <w:b/>
                <w:bCs/>
                <w:color w:val="000000"/>
                <w:sz w:val="15"/>
                <w:szCs w:val="15"/>
              </w:rPr>
              <w:t>Total</w:t>
            </w:r>
          </w:p>
        </w:tc>
      </w:tr>
      <w:tr w:rsidR="00E836FB" w14:paraId="5F2CD58D" w14:textId="77777777">
        <w:tc>
          <w:tcPr>
            <w:tcW w:w="0" w:type="auto"/>
            <w:gridSpan w:val="3"/>
            <w:shd w:val="clear" w:color="auto" w:fill="CCEEFF"/>
            <w:tcMar>
              <w:top w:w="40" w:type="dxa"/>
              <w:left w:w="20" w:type="dxa"/>
              <w:bottom w:w="40" w:type="dxa"/>
              <w:right w:w="20" w:type="dxa"/>
            </w:tcMar>
            <w:vAlign w:val="bottom"/>
          </w:tcPr>
          <w:p w14:paraId="5F2CD579" w14:textId="77777777" w:rsidR="00E836FB" w:rsidRDefault="00994958">
            <w:pPr>
              <w:textAlignment w:val="bottom"/>
            </w:pPr>
            <w:r>
              <w:rPr>
                <w:rFonts w:ascii="Arial" w:eastAsia="宋体" w:hAnsi="Arial" w:cs="Arial"/>
                <w:color w:val="000000"/>
                <w:sz w:val="15"/>
                <w:szCs w:val="15"/>
              </w:rPr>
              <w:t>Long-term debt</w:t>
            </w:r>
            <w:r>
              <w:rPr>
                <w:rFonts w:ascii="Arial" w:eastAsia="宋体" w:hAnsi="Arial" w:cs="Arial"/>
                <w:color w:val="000000"/>
                <w:sz w:val="9"/>
                <w:szCs w:val="9"/>
              </w:rPr>
              <w:t>(1)(2)</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D57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57B"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5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7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57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57F" w14:textId="77777777" w:rsidR="00E836FB" w:rsidRDefault="00994958">
            <w:pPr>
              <w:jc w:val="right"/>
              <w:textAlignment w:val="bottom"/>
            </w:pPr>
            <w:r>
              <w:rPr>
                <w:rFonts w:ascii="Arial" w:eastAsia="宋体" w:hAnsi="Arial" w:cs="Arial"/>
                <w:b/>
                <w:bCs/>
                <w:color w:val="000000"/>
                <w:sz w:val="15"/>
                <w:szCs w:val="15"/>
              </w:rPr>
              <w:t>5,131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5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8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58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583" w14:textId="77777777" w:rsidR="00E836FB" w:rsidRDefault="00994958">
            <w:pPr>
              <w:jc w:val="right"/>
              <w:textAlignment w:val="bottom"/>
            </w:pPr>
            <w:r>
              <w:rPr>
                <w:rFonts w:ascii="Arial" w:eastAsia="宋体" w:hAnsi="Arial" w:cs="Arial"/>
                <w:b/>
                <w:bCs/>
                <w:color w:val="000000"/>
                <w:sz w:val="15"/>
                <w:szCs w:val="15"/>
              </w:rPr>
              <w:t>3,816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5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8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58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587" w14:textId="77777777" w:rsidR="00E836FB" w:rsidRDefault="00994958">
            <w:pPr>
              <w:jc w:val="right"/>
              <w:textAlignment w:val="bottom"/>
            </w:pPr>
            <w:r>
              <w:rPr>
                <w:rFonts w:ascii="Arial" w:eastAsia="宋体" w:hAnsi="Arial" w:cs="Arial"/>
                <w:b/>
                <w:bCs/>
                <w:color w:val="000000"/>
                <w:sz w:val="15"/>
                <w:szCs w:val="15"/>
              </w:rPr>
              <w:t>4,364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5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8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58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58B" w14:textId="77777777" w:rsidR="00E836FB" w:rsidRDefault="00994958">
            <w:pPr>
              <w:jc w:val="right"/>
              <w:textAlignment w:val="bottom"/>
            </w:pPr>
            <w:r>
              <w:rPr>
                <w:rFonts w:ascii="Arial" w:eastAsia="宋体" w:hAnsi="Arial" w:cs="Arial"/>
                <w:b/>
                <w:bCs/>
                <w:color w:val="000000"/>
                <w:sz w:val="15"/>
                <w:szCs w:val="15"/>
              </w:rPr>
              <w:t>13,311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58C" w14:textId="77777777" w:rsidR="00E836FB" w:rsidRDefault="00E836FB">
            <w:pPr>
              <w:jc w:val="right"/>
              <w:rPr>
                <w:rFonts w:ascii="宋体"/>
              </w:rPr>
            </w:pPr>
          </w:p>
        </w:tc>
      </w:tr>
      <w:tr w:rsidR="00E836FB" w14:paraId="5F2CD59D" w14:textId="77777777">
        <w:tc>
          <w:tcPr>
            <w:tcW w:w="0" w:type="auto"/>
            <w:gridSpan w:val="3"/>
            <w:shd w:val="clear" w:color="auto" w:fill="FFFFFF"/>
            <w:tcMar>
              <w:top w:w="40" w:type="dxa"/>
              <w:left w:w="20" w:type="dxa"/>
              <w:bottom w:w="40" w:type="dxa"/>
              <w:right w:w="20" w:type="dxa"/>
            </w:tcMar>
          </w:tcPr>
          <w:p w14:paraId="5F2CD58E" w14:textId="77777777" w:rsidR="00E836FB" w:rsidRDefault="00994958">
            <w:pPr>
              <w:textAlignment w:val="top"/>
            </w:pPr>
            <w:r>
              <w:rPr>
                <w:rFonts w:ascii="Arial" w:eastAsia="宋体" w:hAnsi="Arial" w:cs="Arial"/>
                <w:color w:val="000000"/>
                <w:sz w:val="15"/>
                <w:szCs w:val="15"/>
              </w:rPr>
              <w:t>Operating leases</w:t>
            </w:r>
          </w:p>
        </w:tc>
        <w:tc>
          <w:tcPr>
            <w:tcW w:w="0" w:type="auto"/>
            <w:gridSpan w:val="2"/>
            <w:shd w:val="clear" w:color="auto" w:fill="FFFFFF"/>
            <w:tcMar>
              <w:top w:w="40" w:type="dxa"/>
              <w:left w:w="20" w:type="dxa"/>
              <w:bottom w:w="40" w:type="dxa"/>
              <w:right w:w="0" w:type="dxa"/>
            </w:tcMar>
            <w:vAlign w:val="bottom"/>
          </w:tcPr>
          <w:p w14:paraId="5F2CD58F" w14:textId="77777777" w:rsidR="00E836FB" w:rsidRDefault="00994958">
            <w:pPr>
              <w:jc w:val="right"/>
              <w:textAlignment w:val="bottom"/>
            </w:pPr>
            <w:r>
              <w:rPr>
                <w:rFonts w:ascii="Arial" w:eastAsia="宋体" w:hAnsi="Arial" w:cs="Arial"/>
                <w:b/>
                <w:bCs/>
                <w:color w:val="000000"/>
                <w:sz w:val="15"/>
                <w:szCs w:val="15"/>
              </w:rPr>
              <w:t>158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9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9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92" w14:textId="77777777" w:rsidR="00E836FB" w:rsidRDefault="00994958">
            <w:pPr>
              <w:jc w:val="right"/>
              <w:textAlignment w:val="bottom"/>
            </w:pPr>
            <w:r>
              <w:rPr>
                <w:rFonts w:ascii="Arial" w:eastAsia="宋体" w:hAnsi="Arial" w:cs="Arial"/>
                <w:b/>
                <w:bCs/>
                <w:color w:val="000000"/>
                <w:sz w:val="15"/>
                <w:szCs w:val="15"/>
              </w:rPr>
              <w:t>257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9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9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95" w14:textId="77777777" w:rsidR="00E836FB" w:rsidRDefault="00994958">
            <w:pPr>
              <w:jc w:val="right"/>
              <w:textAlignment w:val="bottom"/>
            </w:pPr>
            <w:r>
              <w:rPr>
                <w:rFonts w:ascii="Arial" w:eastAsia="宋体" w:hAnsi="Arial" w:cs="Arial"/>
                <w:b/>
                <w:bCs/>
                <w:color w:val="000000"/>
                <w:sz w:val="15"/>
                <w:szCs w:val="15"/>
              </w:rPr>
              <w:t>172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9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98" w14:textId="77777777" w:rsidR="00E836FB" w:rsidRDefault="00994958">
            <w:pPr>
              <w:jc w:val="right"/>
              <w:textAlignment w:val="bottom"/>
            </w:pPr>
            <w:r>
              <w:rPr>
                <w:rFonts w:ascii="Arial" w:eastAsia="宋体" w:hAnsi="Arial" w:cs="Arial"/>
                <w:b/>
                <w:bCs/>
                <w:color w:val="000000"/>
                <w:sz w:val="15"/>
                <w:szCs w:val="15"/>
              </w:rPr>
              <w:t>162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9B" w14:textId="77777777" w:rsidR="00E836FB" w:rsidRDefault="00994958">
            <w:pPr>
              <w:jc w:val="right"/>
              <w:textAlignment w:val="bottom"/>
            </w:pPr>
            <w:r>
              <w:rPr>
                <w:rFonts w:ascii="Arial" w:eastAsia="宋体" w:hAnsi="Arial" w:cs="Arial"/>
                <w:b/>
                <w:bCs/>
                <w:color w:val="000000"/>
                <w:sz w:val="15"/>
                <w:szCs w:val="15"/>
              </w:rPr>
              <w:t>749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9C" w14:textId="77777777" w:rsidR="00E836FB" w:rsidRDefault="00E836FB">
            <w:pPr>
              <w:jc w:val="right"/>
              <w:rPr>
                <w:rFonts w:ascii="宋体"/>
              </w:rPr>
            </w:pPr>
          </w:p>
        </w:tc>
      </w:tr>
      <w:tr w:rsidR="00E836FB" w14:paraId="5F2CD5AD" w14:textId="77777777">
        <w:tc>
          <w:tcPr>
            <w:tcW w:w="0" w:type="auto"/>
            <w:gridSpan w:val="3"/>
            <w:shd w:val="clear" w:color="auto" w:fill="CCEEFF"/>
            <w:tcMar>
              <w:top w:w="40" w:type="dxa"/>
              <w:left w:w="20" w:type="dxa"/>
              <w:bottom w:w="40" w:type="dxa"/>
              <w:right w:w="20" w:type="dxa"/>
            </w:tcMar>
          </w:tcPr>
          <w:p w14:paraId="5F2CD59E" w14:textId="77777777" w:rsidR="00E836FB" w:rsidRDefault="00994958">
            <w:pPr>
              <w:textAlignment w:val="top"/>
            </w:pPr>
            <w:r>
              <w:rPr>
                <w:rFonts w:ascii="Arial" w:eastAsia="宋体" w:hAnsi="Arial" w:cs="Arial"/>
                <w:color w:val="000000"/>
                <w:sz w:val="15"/>
                <w:szCs w:val="15"/>
              </w:rPr>
              <w:t>Finance lease obligations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CD59F" w14:textId="77777777" w:rsidR="00E836FB" w:rsidRDefault="00994958">
            <w:pPr>
              <w:jc w:val="right"/>
              <w:textAlignment w:val="bottom"/>
            </w:pPr>
            <w:r>
              <w:rPr>
                <w:rFonts w:ascii="Arial" w:eastAsia="宋体" w:hAnsi="Arial" w:cs="Arial"/>
                <w:b/>
                <w:bCs/>
                <w:color w:val="000000"/>
                <w:sz w:val="15"/>
                <w:szCs w:val="15"/>
              </w:rPr>
              <w:t>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5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A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5A2" w14:textId="77777777" w:rsidR="00E836FB" w:rsidRDefault="00994958">
            <w:pPr>
              <w:jc w:val="right"/>
              <w:textAlignment w:val="bottom"/>
            </w:pPr>
            <w:r>
              <w:rPr>
                <w:rFonts w:ascii="Arial" w:eastAsia="宋体" w:hAnsi="Arial" w:cs="Arial"/>
                <w:b/>
                <w:bCs/>
                <w:color w:val="000000"/>
                <w:sz w:val="15"/>
                <w:szCs w:val="15"/>
              </w:rPr>
              <w:t>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5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A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5A5" w14:textId="77777777" w:rsidR="00E836FB" w:rsidRDefault="00994958">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5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A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5A8"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5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A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5AB" w14:textId="77777777" w:rsidR="00E836FB" w:rsidRDefault="00994958">
            <w:pPr>
              <w:jc w:val="right"/>
              <w:textAlignment w:val="bottom"/>
            </w:pPr>
            <w:r>
              <w:rPr>
                <w:rFonts w:ascii="Arial" w:eastAsia="宋体" w:hAnsi="Arial" w:cs="Arial"/>
                <w:b/>
                <w:bCs/>
                <w:color w:val="000000"/>
                <w:sz w:val="15"/>
                <w:szCs w:val="15"/>
              </w:rPr>
              <w:t>170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5AC" w14:textId="77777777" w:rsidR="00E836FB" w:rsidRDefault="00E836FB">
            <w:pPr>
              <w:jc w:val="right"/>
              <w:rPr>
                <w:rFonts w:ascii="宋体"/>
              </w:rPr>
            </w:pPr>
          </w:p>
        </w:tc>
      </w:tr>
      <w:tr w:rsidR="00E836FB" w14:paraId="5F2CD5BD" w14:textId="77777777">
        <w:tc>
          <w:tcPr>
            <w:tcW w:w="0" w:type="auto"/>
            <w:gridSpan w:val="3"/>
            <w:shd w:val="clear" w:color="auto" w:fill="FFFFFF"/>
            <w:tcMar>
              <w:top w:w="40" w:type="dxa"/>
              <w:left w:w="20" w:type="dxa"/>
              <w:bottom w:w="40" w:type="dxa"/>
              <w:right w:w="20" w:type="dxa"/>
            </w:tcMar>
          </w:tcPr>
          <w:p w14:paraId="5F2CD5AE" w14:textId="77777777" w:rsidR="00E836FB" w:rsidRDefault="00994958">
            <w:pPr>
              <w:textAlignment w:val="top"/>
            </w:pPr>
            <w:r>
              <w:rPr>
                <w:rFonts w:ascii="Arial" w:eastAsia="宋体" w:hAnsi="Arial" w:cs="Arial"/>
                <w:color w:val="000000"/>
                <w:sz w:val="15"/>
                <w:szCs w:val="15"/>
              </w:rPr>
              <w:t>Tax liability</w:t>
            </w:r>
          </w:p>
        </w:tc>
        <w:tc>
          <w:tcPr>
            <w:tcW w:w="0" w:type="auto"/>
            <w:gridSpan w:val="2"/>
            <w:shd w:val="clear" w:color="auto" w:fill="FFFFFF"/>
            <w:tcMar>
              <w:top w:w="40" w:type="dxa"/>
              <w:left w:w="20" w:type="dxa"/>
              <w:bottom w:w="40" w:type="dxa"/>
              <w:right w:w="0" w:type="dxa"/>
            </w:tcMar>
            <w:vAlign w:val="bottom"/>
          </w:tcPr>
          <w:p w14:paraId="5F2CD5AF"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B2" w14:textId="77777777" w:rsidR="00E836FB" w:rsidRDefault="00994958">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B5" w14:textId="77777777" w:rsidR="00E836FB" w:rsidRDefault="00994958">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B8"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5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5BB" w14:textId="77777777" w:rsidR="00E836FB" w:rsidRDefault="00994958">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5BC" w14:textId="77777777" w:rsidR="00E836FB" w:rsidRDefault="00E836FB">
            <w:pPr>
              <w:jc w:val="right"/>
              <w:rPr>
                <w:rFonts w:ascii="宋体"/>
              </w:rPr>
            </w:pPr>
          </w:p>
        </w:tc>
      </w:tr>
      <w:tr w:rsidR="00E836FB" w14:paraId="5F2CD5D2" w14:textId="77777777">
        <w:tc>
          <w:tcPr>
            <w:tcW w:w="0" w:type="auto"/>
            <w:gridSpan w:val="3"/>
            <w:shd w:val="clear" w:color="auto" w:fill="CCEEFF"/>
            <w:tcMar>
              <w:top w:w="40" w:type="dxa"/>
              <w:left w:w="20" w:type="dxa"/>
              <w:bottom w:w="40" w:type="dxa"/>
              <w:right w:w="20" w:type="dxa"/>
            </w:tcMar>
          </w:tcPr>
          <w:p w14:paraId="5F2CD5BE" w14:textId="77777777" w:rsidR="00E836FB" w:rsidRDefault="00994958">
            <w:pPr>
              <w:textAlignment w:val="top"/>
            </w:pPr>
            <w:r>
              <w:rPr>
                <w:rFonts w:ascii="Arial" w:eastAsia="宋体" w:hAnsi="Arial" w:cs="Arial"/>
                <w:color w:val="000000"/>
                <w:sz w:val="15"/>
                <w:szCs w:val="15"/>
              </w:rPr>
              <w:t>Total contractual cash obligations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5B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5C0" w14:textId="77777777" w:rsidR="00E836FB" w:rsidRDefault="00994958">
            <w:pPr>
              <w:jc w:val="right"/>
              <w:textAlignment w:val="bottom"/>
            </w:pPr>
            <w:r>
              <w:rPr>
                <w:rFonts w:ascii="Arial" w:eastAsia="宋体" w:hAnsi="Arial" w:cs="Arial"/>
                <w:b/>
                <w:bCs/>
                <w:color w:val="000000"/>
                <w:sz w:val="15"/>
                <w:szCs w:val="15"/>
              </w:rPr>
              <w:t>229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5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C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5C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5C4" w14:textId="77777777" w:rsidR="00E836FB" w:rsidRDefault="00994958">
            <w:pPr>
              <w:jc w:val="right"/>
              <w:textAlignment w:val="bottom"/>
            </w:pPr>
            <w:r>
              <w:rPr>
                <w:rFonts w:ascii="Arial" w:eastAsia="宋体" w:hAnsi="Arial" w:cs="Arial"/>
                <w:b/>
                <w:bCs/>
                <w:color w:val="000000"/>
                <w:sz w:val="15"/>
                <w:szCs w:val="15"/>
              </w:rPr>
              <w:t>5,512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5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C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5C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5C8" w14:textId="77777777" w:rsidR="00E836FB" w:rsidRDefault="00994958">
            <w:pPr>
              <w:jc w:val="right"/>
              <w:textAlignment w:val="bottom"/>
            </w:pPr>
            <w:r>
              <w:rPr>
                <w:rFonts w:ascii="Arial" w:eastAsia="宋体" w:hAnsi="Arial" w:cs="Arial"/>
                <w:b/>
                <w:bCs/>
                <w:color w:val="000000"/>
                <w:sz w:val="15"/>
                <w:szCs w:val="15"/>
              </w:rPr>
              <w:t>4,025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5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C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5C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5CC" w14:textId="77777777" w:rsidR="00E836FB" w:rsidRDefault="00994958">
            <w:pPr>
              <w:jc w:val="right"/>
              <w:textAlignment w:val="bottom"/>
            </w:pPr>
            <w:r>
              <w:rPr>
                <w:rFonts w:ascii="Arial" w:eastAsia="宋体" w:hAnsi="Arial" w:cs="Arial"/>
                <w:b/>
                <w:bCs/>
                <w:color w:val="000000"/>
                <w:sz w:val="15"/>
                <w:szCs w:val="15"/>
              </w:rPr>
              <w:t>4,526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5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5C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5C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5D0" w14:textId="77777777" w:rsidR="00E836FB" w:rsidRDefault="00994958">
            <w:pPr>
              <w:jc w:val="right"/>
              <w:textAlignment w:val="bottom"/>
            </w:pPr>
            <w:r>
              <w:rPr>
                <w:rFonts w:ascii="Arial" w:eastAsia="宋体" w:hAnsi="Arial" w:cs="Arial"/>
                <w:b/>
                <w:bCs/>
                <w:color w:val="000000"/>
                <w:sz w:val="15"/>
                <w:szCs w:val="15"/>
              </w:rPr>
              <w:t>14,292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5D1" w14:textId="77777777" w:rsidR="00E836FB" w:rsidRDefault="00E836FB">
            <w:pPr>
              <w:jc w:val="right"/>
              <w:rPr>
                <w:rFonts w:ascii="宋体"/>
              </w:rPr>
            </w:pPr>
          </w:p>
        </w:tc>
      </w:tr>
    </w:tbl>
    <w:p w14:paraId="5F2CD5D3" w14:textId="77777777" w:rsidR="00E836FB" w:rsidRDefault="00E836FB">
      <w:pPr>
        <w:rPr>
          <w:vanish/>
        </w:rPr>
      </w:pPr>
    </w:p>
    <w:tbl>
      <w:tblPr>
        <w:tblW w:w="10230" w:type="dxa"/>
        <w:tblCellMar>
          <w:top w:w="15" w:type="dxa"/>
          <w:left w:w="15" w:type="dxa"/>
          <w:bottom w:w="15" w:type="dxa"/>
          <w:right w:w="15" w:type="dxa"/>
        </w:tblCellMar>
        <w:tblLook w:val="04A0" w:firstRow="1" w:lastRow="0" w:firstColumn="1" w:lastColumn="0" w:noHBand="0" w:noVBand="1"/>
      </w:tblPr>
      <w:tblGrid>
        <w:gridCol w:w="36"/>
        <w:gridCol w:w="3825"/>
        <w:gridCol w:w="36"/>
        <w:gridCol w:w="36"/>
        <w:gridCol w:w="1634"/>
        <w:gridCol w:w="36"/>
        <w:gridCol w:w="36"/>
        <w:gridCol w:w="1501"/>
        <w:gridCol w:w="36"/>
        <w:gridCol w:w="36"/>
        <w:gridCol w:w="2982"/>
        <w:gridCol w:w="36"/>
      </w:tblGrid>
      <w:tr w:rsidR="00E836FB" w14:paraId="5F2CD5E0" w14:textId="77777777">
        <w:tc>
          <w:tcPr>
            <w:tcW w:w="20" w:type="dxa"/>
            <w:shd w:val="clear" w:color="auto" w:fill="auto"/>
            <w:vAlign w:val="bottom"/>
          </w:tcPr>
          <w:p w14:paraId="5F2CD5D4" w14:textId="77777777" w:rsidR="00E836FB" w:rsidRDefault="00E836FB">
            <w:pPr>
              <w:rPr>
                <w:rFonts w:ascii="宋体"/>
              </w:rPr>
            </w:pPr>
          </w:p>
        </w:tc>
        <w:tc>
          <w:tcPr>
            <w:tcW w:w="3875" w:type="dxa"/>
            <w:shd w:val="clear" w:color="auto" w:fill="auto"/>
            <w:vAlign w:val="bottom"/>
          </w:tcPr>
          <w:p w14:paraId="5F2CD5D5" w14:textId="77777777" w:rsidR="00E836FB" w:rsidRDefault="00E836FB">
            <w:pPr>
              <w:rPr>
                <w:rFonts w:ascii="宋体"/>
              </w:rPr>
            </w:pPr>
          </w:p>
        </w:tc>
        <w:tc>
          <w:tcPr>
            <w:tcW w:w="20" w:type="dxa"/>
            <w:shd w:val="clear" w:color="auto" w:fill="auto"/>
            <w:vAlign w:val="bottom"/>
          </w:tcPr>
          <w:p w14:paraId="5F2CD5D6" w14:textId="77777777" w:rsidR="00E836FB" w:rsidRDefault="00E836FB">
            <w:pPr>
              <w:rPr>
                <w:rFonts w:ascii="宋体"/>
              </w:rPr>
            </w:pPr>
          </w:p>
        </w:tc>
        <w:tc>
          <w:tcPr>
            <w:tcW w:w="20" w:type="dxa"/>
            <w:shd w:val="clear" w:color="auto" w:fill="auto"/>
            <w:vAlign w:val="bottom"/>
          </w:tcPr>
          <w:p w14:paraId="5F2CD5D7" w14:textId="77777777" w:rsidR="00E836FB" w:rsidRDefault="00E836FB">
            <w:pPr>
              <w:rPr>
                <w:rFonts w:ascii="宋体"/>
              </w:rPr>
            </w:pPr>
          </w:p>
        </w:tc>
        <w:tc>
          <w:tcPr>
            <w:tcW w:w="1655" w:type="dxa"/>
            <w:shd w:val="clear" w:color="auto" w:fill="auto"/>
            <w:vAlign w:val="bottom"/>
          </w:tcPr>
          <w:p w14:paraId="5F2CD5D8" w14:textId="77777777" w:rsidR="00E836FB" w:rsidRDefault="00E836FB">
            <w:pPr>
              <w:rPr>
                <w:rFonts w:ascii="宋体"/>
              </w:rPr>
            </w:pPr>
          </w:p>
        </w:tc>
        <w:tc>
          <w:tcPr>
            <w:tcW w:w="20" w:type="dxa"/>
            <w:shd w:val="clear" w:color="auto" w:fill="auto"/>
            <w:vAlign w:val="bottom"/>
          </w:tcPr>
          <w:p w14:paraId="5F2CD5D9" w14:textId="77777777" w:rsidR="00E836FB" w:rsidRDefault="00E836FB">
            <w:pPr>
              <w:rPr>
                <w:rFonts w:ascii="宋体"/>
              </w:rPr>
            </w:pPr>
          </w:p>
        </w:tc>
        <w:tc>
          <w:tcPr>
            <w:tcW w:w="20" w:type="dxa"/>
            <w:shd w:val="clear" w:color="auto" w:fill="auto"/>
            <w:vAlign w:val="bottom"/>
          </w:tcPr>
          <w:p w14:paraId="5F2CD5DA" w14:textId="77777777" w:rsidR="00E836FB" w:rsidRDefault="00E836FB">
            <w:pPr>
              <w:rPr>
                <w:rFonts w:ascii="宋体"/>
              </w:rPr>
            </w:pPr>
          </w:p>
        </w:tc>
        <w:tc>
          <w:tcPr>
            <w:tcW w:w="1520" w:type="dxa"/>
            <w:shd w:val="clear" w:color="auto" w:fill="auto"/>
            <w:vAlign w:val="bottom"/>
          </w:tcPr>
          <w:p w14:paraId="5F2CD5DB" w14:textId="77777777" w:rsidR="00E836FB" w:rsidRDefault="00E836FB">
            <w:pPr>
              <w:rPr>
                <w:rFonts w:ascii="宋体"/>
              </w:rPr>
            </w:pPr>
          </w:p>
        </w:tc>
        <w:tc>
          <w:tcPr>
            <w:tcW w:w="20" w:type="dxa"/>
            <w:shd w:val="clear" w:color="auto" w:fill="auto"/>
            <w:vAlign w:val="bottom"/>
          </w:tcPr>
          <w:p w14:paraId="5F2CD5DC" w14:textId="77777777" w:rsidR="00E836FB" w:rsidRDefault="00E836FB">
            <w:pPr>
              <w:rPr>
                <w:rFonts w:ascii="宋体"/>
              </w:rPr>
            </w:pPr>
          </w:p>
        </w:tc>
        <w:tc>
          <w:tcPr>
            <w:tcW w:w="20" w:type="dxa"/>
            <w:shd w:val="clear" w:color="auto" w:fill="auto"/>
            <w:vAlign w:val="bottom"/>
          </w:tcPr>
          <w:p w14:paraId="5F2CD5DD" w14:textId="77777777" w:rsidR="00E836FB" w:rsidRDefault="00E836FB">
            <w:pPr>
              <w:rPr>
                <w:rFonts w:ascii="宋体"/>
              </w:rPr>
            </w:pPr>
          </w:p>
        </w:tc>
        <w:tc>
          <w:tcPr>
            <w:tcW w:w="3020" w:type="dxa"/>
            <w:shd w:val="clear" w:color="auto" w:fill="auto"/>
            <w:vAlign w:val="bottom"/>
          </w:tcPr>
          <w:p w14:paraId="5F2CD5DE" w14:textId="77777777" w:rsidR="00E836FB" w:rsidRDefault="00E836FB">
            <w:pPr>
              <w:rPr>
                <w:rFonts w:ascii="宋体"/>
              </w:rPr>
            </w:pPr>
          </w:p>
        </w:tc>
        <w:tc>
          <w:tcPr>
            <w:tcW w:w="20" w:type="dxa"/>
            <w:shd w:val="clear" w:color="auto" w:fill="auto"/>
            <w:vAlign w:val="bottom"/>
          </w:tcPr>
          <w:p w14:paraId="5F2CD5DF" w14:textId="77777777" w:rsidR="00E836FB" w:rsidRDefault="00E836FB">
            <w:pPr>
              <w:rPr>
                <w:rFonts w:ascii="宋体"/>
              </w:rPr>
            </w:pPr>
          </w:p>
        </w:tc>
      </w:tr>
      <w:tr w:rsidR="00E836FB" w14:paraId="5F2CD5E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D5E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5E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5E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5E4" w14:textId="77777777" w:rsidR="00E836FB" w:rsidRDefault="00E836FB">
            <w:pPr>
              <w:rPr>
                <w:rFonts w:ascii="宋体"/>
              </w:rPr>
            </w:pPr>
          </w:p>
        </w:tc>
      </w:tr>
    </w:tbl>
    <w:p w14:paraId="5F2CD5E6"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Long-term debt excludes finance lease obligations (presented as a separate line item) and the effect of interest rate swaps. Interest payments were calculated at the stated rate with the exception of floating-rate debt, for which payments were calculat</w:t>
      </w:r>
      <w:r>
        <w:rPr>
          <w:rFonts w:ascii="Arial" w:eastAsia="宋体" w:hAnsi="Arial" w:cs="Arial"/>
          <w:color w:val="000000"/>
          <w:sz w:val="14"/>
          <w:szCs w:val="14"/>
        </w:rPr>
        <w:t xml:space="preserve">ed using the indexed rate in effect as of December 31, 2021. </w:t>
      </w:r>
    </w:p>
    <w:p w14:paraId="5F2CD5E7" w14:textId="77777777" w:rsidR="00E836FB" w:rsidRDefault="00994958">
      <w:pPr>
        <w:spacing w:before="20" w:after="180"/>
        <w:jc w:val="both"/>
      </w:pPr>
      <w:r>
        <w:rPr>
          <w:rFonts w:ascii="Arial" w:eastAsia="宋体" w:hAnsi="Arial" w:cs="Arial"/>
          <w:color w:val="000000"/>
          <w:sz w:val="9"/>
          <w:szCs w:val="9"/>
        </w:rPr>
        <w:t>(2)</w:t>
      </w:r>
      <w:r>
        <w:rPr>
          <w:rFonts w:ascii="Arial" w:eastAsia="宋体" w:hAnsi="Arial" w:cs="Arial"/>
          <w:color w:val="000000"/>
          <w:sz w:val="14"/>
          <w:szCs w:val="14"/>
        </w:rPr>
        <w:t xml:space="preserve"> Additional information about contractual cash obligations related to long-term debt and operating and finance leases is provided in Notes 9 and 20 to the consolidated financial statements in</w:t>
      </w:r>
      <w:r>
        <w:rPr>
          <w:rFonts w:ascii="Arial" w:eastAsia="宋体" w:hAnsi="Arial" w:cs="Arial"/>
          <w:color w:val="000000"/>
          <w:sz w:val="14"/>
          <w:szCs w:val="14"/>
        </w:rPr>
        <w:t xml:space="preserve"> this Form 10-K.</w:t>
      </w:r>
    </w:p>
    <w:p w14:paraId="5F2CD5E8" w14:textId="77777777" w:rsidR="00E836FB" w:rsidRDefault="00994958">
      <w:pPr>
        <w:spacing w:before="60"/>
        <w:ind w:firstLine="450"/>
        <w:jc w:val="both"/>
      </w:pPr>
      <w:r>
        <w:rPr>
          <w:rFonts w:ascii="Arial" w:eastAsia="宋体" w:hAnsi="Arial" w:cs="Arial"/>
          <w:color w:val="000000"/>
          <w:sz w:val="20"/>
          <w:szCs w:val="20"/>
        </w:rPr>
        <w:t>Total contractual cash obligations shown in Table 32: Long-Term Contractual Cash Obligations do not include:</w:t>
      </w:r>
    </w:p>
    <w:p w14:paraId="5F2CD5E9" w14:textId="77777777" w:rsidR="00E836FB" w:rsidRDefault="00994958">
      <w:pPr>
        <w:spacing w:before="60"/>
        <w:ind w:hanging="360"/>
        <w:jc w:val="both"/>
      </w:pPr>
      <w:r>
        <w:rPr>
          <w:rFonts w:ascii="Arial" w:eastAsia="宋体" w:hAnsi="Arial" w:cs="Arial"/>
          <w:color w:val="000000"/>
          <w:sz w:val="20"/>
          <w:szCs w:val="20"/>
        </w:rPr>
        <w:t>•Obligations which will be settled in cash, primarily in less than one year, such as client deposits, federal funds purchased, sec</w:t>
      </w:r>
      <w:r>
        <w:rPr>
          <w:rFonts w:ascii="Arial" w:eastAsia="宋体" w:hAnsi="Arial" w:cs="Arial"/>
          <w:color w:val="000000"/>
          <w:sz w:val="20"/>
          <w:szCs w:val="20"/>
        </w:rPr>
        <w:t xml:space="preserve">urities sold under repurchase agreements and other short-term borrowings. Additional information about deposits, federal funds purchased, securities sold under repurchase agreements and other short-term borrowings is provided in Note 8 to the consolidated </w:t>
      </w:r>
      <w:r>
        <w:rPr>
          <w:rFonts w:ascii="Arial" w:eastAsia="宋体" w:hAnsi="Arial" w:cs="Arial"/>
          <w:color w:val="000000"/>
          <w:sz w:val="20"/>
          <w:szCs w:val="20"/>
        </w:rPr>
        <w:t xml:space="preserve">financial statements in this Form 10-K. </w:t>
      </w:r>
    </w:p>
    <w:p w14:paraId="5F2CD5EA" w14:textId="77777777" w:rsidR="00E836FB" w:rsidRDefault="00994958">
      <w:pPr>
        <w:spacing w:before="60"/>
        <w:ind w:hanging="360"/>
        <w:jc w:val="both"/>
      </w:pPr>
      <w:r>
        <w:rPr>
          <w:rFonts w:ascii="Arial" w:eastAsia="宋体" w:hAnsi="Arial" w:cs="Arial"/>
          <w:color w:val="000000"/>
          <w:sz w:val="20"/>
          <w:szCs w:val="20"/>
        </w:rPr>
        <w:t xml:space="preserve">•Obligations related to derivative instruments because the derivative-related amounts recorded in our consolidated statement of condition as of December 31, 2021 did not represent the amounts that may ultimately be </w:t>
      </w:r>
      <w:r>
        <w:rPr>
          <w:rFonts w:ascii="Arial" w:eastAsia="宋体" w:hAnsi="Arial" w:cs="Arial"/>
          <w:color w:val="000000"/>
          <w:sz w:val="20"/>
          <w:szCs w:val="20"/>
        </w:rPr>
        <w:t xml:space="preserve">paid under the contracts upon settlement. Additional information about our derivative instruments is provided in Note 10 to the consolidated financial statements in this Form 10-K. We have obligations under pension and other post-retirement benefit plans, </w:t>
      </w:r>
      <w:r>
        <w:rPr>
          <w:rFonts w:ascii="Arial" w:eastAsia="宋体" w:hAnsi="Arial" w:cs="Arial"/>
          <w:color w:val="000000"/>
          <w:sz w:val="20"/>
          <w:szCs w:val="20"/>
        </w:rPr>
        <w:t>with additional information provided in Note 19 to the consolidated financial statements in this Form 10-K, which are not included in Table 32: Long-Term Contractual Cash Obligations.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2335"/>
        <w:gridCol w:w="39"/>
        <w:gridCol w:w="104"/>
        <w:gridCol w:w="985"/>
        <w:gridCol w:w="36"/>
        <w:gridCol w:w="36"/>
        <w:gridCol w:w="36"/>
        <w:gridCol w:w="36"/>
        <w:gridCol w:w="104"/>
        <w:gridCol w:w="947"/>
        <w:gridCol w:w="36"/>
        <w:gridCol w:w="36"/>
        <w:gridCol w:w="36"/>
        <w:gridCol w:w="36"/>
        <w:gridCol w:w="104"/>
        <w:gridCol w:w="948"/>
        <w:gridCol w:w="36"/>
        <w:gridCol w:w="36"/>
        <w:gridCol w:w="36"/>
        <w:gridCol w:w="36"/>
        <w:gridCol w:w="105"/>
        <w:gridCol w:w="948"/>
        <w:gridCol w:w="36"/>
        <w:gridCol w:w="36"/>
        <w:gridCol w:w="36"/>
        <w:gridCol w:w="36"/>
        <w:gridCol w:w="105"/>
        <w:gridCol w:w="948"/>
        <w:gridCol w:w="36"/>
      </w:tblGrid>
      <w:tr w:rsidR="00E836FB" w14:paraId="5F2CD609" w14:textId="77777777">
        <w:tc>
          <w:tcPr>
            <w:tcW w:w="50" w:type="pct"/>
            <w:shd w:val="clear" w:color="auto" w:fill="auto"/>
            <w:vAlign w:val="bottom"/>
          </w:tcPr>
          <w:p w14:paraId="5F2CD5EB" w14:textId="77777777" w:rsidR="00E836FB" w:rsidRDefault="00E836FB">
            <w:pPr>
              <w:rPr>
                <w:rFonts w:ascii="宋体"/>
              </w:rPr>
            </w:pPr>
          </w:p>
        </w:tc>
        <w:tc>
          <w:tcPr>
            <w:tcW w:w="1431" w:type="pct"/>
            <w:shd w:val="clear" w:color="auto" w:fill="auto"/>
            <w:vAlign w:val="bottom"/>
          </w:tcPr>
          <w:p w14:paraId="5F2CD5EC" w14:textId="77777777" w:rsidR="00E836FB" w:rsidRDefault="00E836FB">
            <w:pPr>
              <w:rPr>
                <w:rFonts w:ascii="宋体"/>
              </w:rPr>
            </w:pPr>
          </w:p>
        </w:tc>
        <w:tc>
          <w:tcPr>
            <w:tcW w:w="5" w:type="pct"/>
            <w:shd w:val="clear" w:color="auto" w:fill="auto"/>
            <w:vAlign w:val="bottom"/>
          </w:tcPr>
          <w:p w14:paraId="5F2CD5ED" w14:textId="77777777" w:rsidR="00E836FB" w:rsidRDefault="00E836FB">
            <w:pPr>
              <w:rPr>
                <w:rFonts w:ascii="宋体"/>
              </w:rPr>
            </w:pPr>
          </w:p>
        </w:tc>
        <w:tc>
          <w:tcPr>
            <w:tcW w:w="50" w:type="pct"/>
            <w:shd w:val="clear" w:color="auto" w:fill="auto"/>
            <w:vAlign w:val="bottom"/>
          </w:tcPr>
          <w:p w14:paraId="5F2CD5EE" w14:textId="77777777" w:rsidR="00E836FB" w:rsidRDefault="00E836FB">
            <w:pPr>
              <w:rPr>
                <w:rFonts w:ascii="宋体"/>
              </w:rPr>
            </w:pPr>
          </w:p>
        </w:tc>
        <w:tc>
          <w:tcPr>
            <w:tcW w:w="618" w:type="pct"/>
            <w:shd w:val="clear" w:color="auto" w:fill="auto"/>
            <w:vAlign w:val="bottom"/>
          </w:tcPr>
          <w:p w14:paraId="5F2CD5EF" w14:textId="77777777" w:rsidR="00E836FB" w:rsidRDefault="00E836FB">
            <w:pPr>
              <w:rPr>
                <w:rFonts w:ascii="宋体"/>
              </w:rPr>
            </w:pPr>
          </w:p>
        </w:tc>
        <w:tc>
          <w:tcPr>
            <w:tcW w:w="5" w:type="pct"/>
            <w:shd w:val="clear" w:color="auto" w:fill="auto"/>
            <w:vAlign w:val="bottom"/>
          </w:tcPr>
          <w:p w14:paraId="5F2CD5F0" w14:textId="77777777" w:rsidR="00E836FB" w:rsidRDefault="00E836FB">
            <w:pPr>
              <w:rPr>
                <w:rFonts w:ascii="宋体"/>
              </w:rPr>
            </w:pPr>
          </w:p>
        </w:tc>
        <w:tc>
          <w:tcPr>
            <w:tcW w:w="5" w:type="pct"/>
            <w:shd w:val="clear" w:color="auto" w:fill="auto"/>
            <w:vAlign w:val="bottom"/>
          </w:tcPr>
          <w:p w14:paraId="5F2CD5F1" w14:textId="77777777" w:rsidR="00E836FB" w:rsidRDefault="00E836FB">
            <w:pPr>
              <w:rPr>
                <w:rFonts w:ascii="宋体"/>
              </w:rPr>
            </w:pPr>
          </w:p>
        </w:tc>
        <w:tc>
          <w:tcPr>
            <w:tcW w:w="26" w:type="pct"/>
            <w:shd w:val="clear" w:color="auto" w:fill="auto"/>
            <w:vAlign w:val="bottom"/>
          </w:tcPr>
          <w:p w14:paraId="5F2CD5F2" w14:textId="77777777" w:rsidR="00E836FB" w:rsidRDefault="00E836FB">
            <w:pPr>
              <w:rPr>
                <w:rFonts w:ascii="宋体"/>
              </w:rPr>
            </w:pPr>
          </w:p>
        </w:tc>
        <w:tc>
          <w:tcPr>
            <w:tcW w:w="5" w:type="pct"/>
            <w:shd w:val="clear" w:color="auto" w:fill="auto"/>
            <w:vAlign w:val="bottom"/>
          </w:tcPr>
          <w:p w14:paraId="5F2CD5F3" w14:textId="77777777" w:rsidR="00E836FB" w:rsidRDefault="00E836FB">
            <w:pPr>
              <w:rPr>
                <w:rFonts w:ascii="宋体"/>
              </w:rPr>
            </w:pPr>
          </w:p>
        </w:tc>
        <w:tc>
          <w:tcPr>
            <w:tcW w:w="50" w:type="pct"/>
            <w:shd w:val="clear" w:color="auto" w:fill="auto"/>
            <w:vAlign w:val="bottom"/>
          </w:tcPr>
          <w:p w14:paraId="5F2CD5F4" w14:textId="77777777" w:rsidR="00E836FB" w:rsidRDefault="00E836FB">
            <w:pPr>
              <w:rPr>
                <w:rFonts w:ascii="宋体"/>
              </w:rPr>
            </w:pPr>
          </w:p>
        </w:tc>
        <w:tc>
          <w:tcPr>
            <w:tcW w:w="618" w:type="pct"/>
            <w:shd w:val="clear" w:color="auto" w:fill="auto"/>
            <w:vAlign w:val="bottom"/>
          </w:tcPr>
          <w:p w14:paraId="5F2CD5F5" w14:textId="77777777" w:rsidR="00E836FB" w:rsidRDefault="00E836FB">
            <w:pPr>
              <w:rPr>
                <w:rFonts w:ascii="宋体"/>
              </w:rPr>
            </w:pPr>
          </w:p>
        </w:tc>
        <w:tc>
          <w:tcPr>
            <w:tcW w:w="5" w:type="pct"/>
            <w:shd w:val="clear" w:color="auto" w:fill="auto"/>
            <w:vAlign w:val="bottom"/>
          </w:tcPr>
          <w:p w14:paraId="5F2CD5F6" w14:textId="77777777" w:rsidR="00E836FB" w:rsidRDefault="00E836FB">
            <w:pPr>
              <w:rPr>
                <w:rFonts w:ascii="宋体"/>
              </w:rPr>
            </w:pPr>
          </w:p>
        </w:tc>
        <w:tc>
          <w:tcPr>
            <w:tcW w:w="5" w:type="pct"/>
            <w:shd w:val="clear" w:color="auto" w:fill="auto"/>
            <w:vAlign w:val="bottom"/>
          </w:tcPr>
          <w:p w14:paraId="5F2CD5F7" w14:textId="77777777" w:rsidR="00E836FB" w:rsidRDefault="00E836FB">
            <w:pPr>
              <w:rPr>
                <w:rFonts w:ascii="宋体"/>
              </w:rPr>
            </w:pPr>
          </w:p>
        </w:tc>
        <w:tc>
          <w:tcPr>
            <w:tcW w:w="26" w:type="pct"/>
            <w:shd w:val="clear" w:color="auto" w:fill="auto"/>
            <w:vAlign w:val="bottom"/>
          </w:tcPr>
          <w:p w14:paraId="5F2CD5F8" w14:textId="77777777" w:rsidR="00E836FB" w:rsidRDefault="00E836FB">
            <w:pPr>
              <w:rPr>
                <w:rFonts w:ascii="宋体"/>
              </w:rPr>
            </w:pPr>
          </w:p>
        </w:tc>
        <w:tc>
          <w:tcPr>
            <w:tcW w:w="5" w:type="pct"/>
            <w:shd w:val="clear" w:color="auto" w:fill="auto"/>
            <w:vAlign w:val="bottom"/>
          </w:tcPr>
          <w:p w14:paraId="5F2CD5F9" w14:textId="77777777" w:rsidR="00E836FB" w:rsidRDefault="00E836FB">
            <w:pPr>
              <w:rPr>
                <w:rFonts w:ascii="宋体"/>
              </w:rPr>
            </w:pPr>
          </w:p>
        </w:tc>
        <w:tc>
          <w:tcPr>
            <w:tcW w:w="50" w:type="pct"/>
            <w:shd w:val="clear" w:color="auto" w:fill="auto"/>
            <w:vAlign w:val="bottom"/>
          </w:tcPr>
          <w:p w14:paraId="5F2CD5FA" w14:textId="77777777" w:rsidR="00E836FB" w:rsidRDefault="00E836FB">
            <w:pPr>
              <w:rPr>
                <w:rFonts w:ascii="宋体"/>
              </w:rPr>
            </w:pPr>
          </w:p>
        </w:tc>
        <w:tc>
          <w:tcPr>
            <w:tcW w:w="618" w:type="pct"/>
            <w:shd w:val="clear" w:color="auto" w:fill="auto"/>
            <w:vAlign w:val="bottom"/>
          </w:tcPr>
          <w:p w14:paraId="5F2CD5FB" w14:textId="77777777" w:rsidR="00E836FB" w:rsidRDefault="00E836FB">
            <w:pPr>
              <w:rPr>
                <w:rFonts w:ascii="宋体"/>
              </w:rPr>
            </w:pPr>
          </w:p>
        </w:tc>
        <w:tc>
          <w:tcPr>
            <w:tcW w:w="5" w:type="pct"/>
            <w:shd w:val="clear" w:color="auto" w:fill="auto"/>
            <w:vAlign w:val="bottom"/>
          </w:tcPr>
          <w:p w14:paraId="5F2CD5FC" w14:textId="77777777" w:rsidR="00E836FB" w:rsidRDefault="00E836FB">
            <w:pPr>
              <w:rPr>
                <w:rFonts w:ascii="宋体"/>
              </w:rPr>
            </w:pPr>
          </w:p>
        </w:tc>
        <w:tc>
          <w:tcPr>
            <w:tcW w:w="5" w:type="pct"/>
            <w:shd w:val="clear" w:color="auto" w:fill="auto"/>
            <w:vAlign w:val="bottom"/>
          </w:tcPr>
          <w:p w14:paraId="5F2CD5FD" w14:textId="77777777" w:rsidR="00E836FB" w:rsidRDefault="00E836FB">
            <w:pPr>
              <w:rPr>
                <w:rFonts w:ascii="宋体"/>
              </w:rPr>
            </w:pPr>
          </w:p>
        </w:tc>
        <w:tc>
          <w:tcPr>
            <w:tcW w:w="26" w:type="pct"/>
            <w:shd w:val="clear" w:color="auto" w:fill="auto"/>
            <w:vAlign w:val="bottom"/>
          </w:tcPr>
          <w:p w14:paraId="5F2CD5FE" w14:textId="77777777" w:rsidR="00E836FB" w:rsidRDefault="00E836FB">
            <w:pPr>
              <w:rPr>
                <w:rFonts w:ascii="宋体"/>
              </w:rPr>
            </w:pPr>
          </w:p>
        </w:tc>
        <w:tc>
          <w:tcPr>
            <w:tcW w:w="5" w:type="pct"/>
            <w:shd w:val="clear" w:color="auto" w:fill="auto"/>
            <w:vAlign w:val="bottom"/>
          </w:tcPr>
          <w:p w14:paraId="5F2CD5FF" w14:textId="77777777" w:rsidR="00E836FB" w:rsidRDefault="00E836FB">
            <w:pPr>
              <w:rPr>
                <w:rFonts w:ascii="宋体"/>
              </w:rPr>
            </w:pPr>
          </w:p>
        </w:tc>
        <w:tc>
          <w:tcPr>
            <w:tcW w:w="50" w:type="pct"/>
            <w:shd w:val="clear" w:color="auto" w:fill="auto"/>
            <w:vAlign w:val="bottom"/>
          </w:tcPr>
          <w:p w14:paraId="5F2CD600" w14:textId="77777777" w:rsidR="00E836FB" w:rsidRDefault="00E836FB">
            <w:pPr>
              <w:rPr>
                <w:rFonts w:ascii="宋体"/>
              </w:rPr>
            </w:pPr>
          </w:p>
        </w:tc>
        <w:tc>
          <w:tcPr>
            <w:tcW w:w="618" w:type="pct"/>
            <w:shd w:val="clear" w:color="auto" w:fill="auto"/>
            <w:vAlign w:val="bottom"/>
          </w:tcPr>
          <w:p w14:paraId="5F2CD601" w14:textId="77777777" w:rsidR="00E836FB" w:rsidRDefault="00E836FB">
            <w:pPr>
              <w:rPr>
                <w:rFonts w:ascii="宋体"/>
              </w:rPr>
            </w:pPr>
          </w:p>
        </w:tc>
        <w:tc>
          <w:tcPr>
            <w:tcW w:w="5" w:type="pct"/>
            <w:shd w:val="clear" w:color="auto" w:fill="auto"/>
            <w:vAlign w:val="bottom"/>
          </w:tcPr>
          <w:p w14:paraId="5F2CD602" w14:textId="77777777" w:rsidR="00E836FB" w:rsidRDefault="00E836FB">
            <w:pPr>
              <w:rPr>
                <w:rFonts w:ascii="宋体"/>
              </w:rPr>
            </w:pPr>
          </w:p>
        </w:tc>
        <w:tc>
          <w:tcPr>
            <w:tcW w:w="5" w:type="pct"/>
            <w:shd w:val="clear" w:color="auto" w:fill="auto"/>
            <w:vAlign w:val="bottom"/>
          </w:tcPr>
          <w:p w14:paraId="5F2CD603" w14:textId="77777777" w:rsidR="00E836FB" w:rsidRDefault="00E836FB">
            <w:pPr>
              <w:rPr>
                <w:rFonts w:ascii="宋体"/>
              </w:rPr>
            </w:pPr>
          </w:p>
        </w:tc>
        <w:tc>
          <w:tcPr>
            <w:tcW w:w="26" w:type="pct"/>
            <w:shd w:val="clear" w:color="auto" w:fill="auto"/>
            <w:vAlign w:val="bottom"/>
          </w:tcPr>
          <w:p w14:paraId="5F2CD604" w14:textId="77777777" w:rsidR="00E836FB" w:rsidRDefault="00E836FB">
            <w:pPr>
              <w:rPr>
                <w:rFonts w:ascii="宋体"/>
              </w:rPr>
            </w:pPr>
          </w:p>
        </w:tc>
        <w:tc>
          <w:tcPr>
            <w:tcW w:w="5" w:type="pct"/>
            <w:shd w:val="clear" w:color="auto" w:fill="auto"/>
            <w:vAlign w:val="bottom"/>
          </w:tcPr>
          <w:p w14:paraId="5F2CD605" w14:textId="77777777" w:rsidR="00E836FB" w:rsidRDefault="00E836FB">
            <w:pPr>
              <w:rPr>
                <w:rFonts w:ascii="宋体"/>
              </w:rPr>
            </w:pPr>
          </w:p>
        </w:tc>
        <w:tc>
          <w:tcPr>
            <w:tcW w:w="50" w:type="pct"/>
            <w:shd w:val="clear" w:color="auto" w:fill="auto"/>
            <w:vAlign w:val="bottom"/>
          </w:tcPr>
          <w:p w14:paraId="5F2CD606" w14:textId="77777777" w:rsidR="00E836FB" w:rsidRDefault="00E836FB">
            <w:pPr>
              <w:rPr>
                <w:rFonts w:ascii="宋体"/>
              </w:rPr>
            </w:pPr>
          </w:p>
        </w:tc>
        <w:tc>
          <w:tcPr>
            <w:tcW w:w="618" w:type="pct"/>
            <w:shd w:val="clear" w:color="auto" w:fill="auto"/>
            <w:vAlign w:val="bottom"/>
          </w:tcPr>
          <w:p w14:paraId="5F2CD607" w14:textId="77777777" w:rsidR="00E836FB" w:rsidRDefault="00E836FB">
            <w:pPr>
              <w:rPr>
                <w:rFonts w:ascii="宋体"/>
              </w:rPr>
            </w:pPr>
          </w:p>
        </w:tc>
        <w:tc>
          <w:tcPr>
            <w:tcW w:w="5" w:type="pct"/>
            <w:shd w:val="clear" w:color="auto" w:fill="auto"/>
            <w:vAlign w:val="bottom"/>
          </w:tcPr>
          <w:p w14:paraId="5F2CD608" w14:textId="77777777" w:rsidR="00E836FB" w:rsidRDefault="00E836FB">
            <w:pPr>
              <w:rPr>
                <w:rFonts w:ascii="宋体"/>
              </w:rPr>
            </w:pPr>
          </w:p>
        </w:tc>
      </w:tr>
      <w:tr w:rsidR="00E836FB" w14:paraId="5F2CD611" w14:textId="77777777">
        <w:tc>
          <w:tcPr>
            <w:tcW w:w="0" w:type="auto"/>
            <w:gridSpan w:val="12"/>
            <w:shd w:val="clear" w:color="auto" w:fill="auto"/>
            <w:tcMar>
              <w:top w:w="40" w:type="dxa"/>
              <w:left w:w="20" w:type="dxa"/>
              <w:bottom w:w="40" w:type="dxa"/>
              <w:right w:w="20" w:type="dxa"/>
            </w:tcMar>
            <w:vAlign w:val="bottom"/>
          </w:tcPr>
          <w:p w14:paraId="5F2CD60A" w14:textId="77777777" w:rsidR="00E836FB" w:rsidRDefault="00994958">
            <w:pPr>
              <w:textAlignment w:val="bottom"/>
            </w:pPr>
            <w:r>
              <w:rPr>
                <w:rFonts w:ascii="Arial" w:eastAsia="宋体" w:hAnsi="Arial" w:cs="Arial"/>
                <w:b/>
                <w:bCs/>
                <w:color w:val="000000"/>
                <w:sz w:val="16"/>
                <w:szCs w:val="16"/>
              </w:rPr>
              <w:t>TABLE 33: OTHER COMMERCIAL COMMITMENTS</w:t>
            </w:r>
          </w:p>
        </w:tc>
        <w:tc>
          <w:tcPr>
            <w:tcW w:w="0" w:type="auto"/>
            <w:gridSpan w:val="3"/>
            <w:shd w:val="clear" w:color="auto" w:fill="auto"/>
            <w:tcMar>
              <w:top w:w="0" w:type="dxa"/>
              <w:left w:w="20" w:type="dxa"/>
              <w:bottom w:w="0" w:type="dxa"/>
              <w:right w:w="20" w:type="dxa"/>
            </w:tcMar>
            <w:vAlign w:val="bottom"/>
          </w:tcPr>
          <w:p w14:paraId="5F2CD60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0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0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0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0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10" w14:textId="77777777" w:rsidR="00E836FB" w:rsidRDefault="00E836FB">
            <w:pPr>
              <w:rPr>
                <w:rFonts w:ascii="宋体"/>
              </w:rPr>
            </w:pPr>
          </w:p>
        </w:tc>
      </w:tr>
      <w:tr w:rsidR="00E836FB" w14:paraId="5F2CD614" w14:textId="77777777">
        <w:tc>
          <w:tcPr>
            <w:tcW w:w="0" w:type="auto"/>
            <w:gridSpan w:val="3"/>
            <w:shd w:val="clear" w:color="auto" w:fill="auto"/>
            <w:tcMar>
              <w:top w:w="40" w:type="dxa"/>
              <w:left w:w="20" w:type="dxa"/>
              <w:bottom w:w="40" w:type="dxa"/>
              <w:right w:w="20" w:type="dxa"/>
            </w:tcMar>
            <w:vAlign w:val="bottom"/>
          </w:tcPr>
          <w:p w14:paraId="5F2CD612" w14:textId="77777777" w:rsidR="00E836FB" w:rsidRDefault="00994958">
            <w:pPr>
              <w:textAlignment w:val="bottom"/>
            </w:pPr>
            <w:r>
              <w:rPr>
                <w:rFonts w:ascii="Arial" w:eastAsia="宋体" w:hAnsi="Arial" w:cs="Arial"/>
                <w:color w:val="000000"/>
                <w:sz w:val="15"/>
                <w:szCs w:val="15"/>
              </w:rPr>
              <w:t> </w:t>
            </w:r>
          </w:p>
        </w:tc>
        <w:tc>
          <w:tcPr>
            <w:tcW w:w="0" w:type="auto"/>
            <w:gridSpan w:val="27"/>
            <w:shd w:val="clear" w:color="auto" w:fill="auto"/>
            <w:tcMar>
              <w:top w:w="40" w:type="dxa"/>
              <w:left w:w="20" w:type="dxa"/>
              <w:bottom w:w="40" w:type="dxa"/>
              <w:right w:w="20" w:type="dxa"/>
            </w:tcMar>
            <w:vAlign w:val="bottom"/>
          </w:tcPr>
          <w:p w14:paraId="5F2CD613" w14:textId="77777777" w:rsidR="00E836FB" w:rsidRDefault="00994958">
            <w:pPr>
              <w:jc w:val="center"/>
              <w:textAlignment w:val="bottom"/>
            </w:pPr>
            <w:r>
              <w:rPr>
                <w:rFonts w:ascii="Arial" w:eastAsia="宋体" w:hAnsi="Arial" w:cs="Arial"/>
                <w:b/>
                <w:bCs/>
                <w:color w:val="000000"/>
                <w:sz w:val="15"/>
                <w:szCs w:val="15"/>
              </w:rPr>
              <w:t>Duration of Commitment as of December 31, 2021</w:t>
            </w:r>
          </w:p>
        </w:tc>
      </w:tr>
      <w:tr w:rsidR="00E836FB" w14:paraId="5F2CD620" w14:textId="77777777">
        <w:tc>
          <w:tcPr>
            <w:tcW w:w="0" w:type="auto"/>
            <w:gridSpan w:val="3"/>
            <w:shd w:val="clear" w:color="auto" w:fill="auto"/>
            <w:tcMar>
              <w:top w:w="40" w:type="dxa"/>
              <w:left w:w="20" w:type="dxa"/>
              <w:bottom w:w="40" w:type="dxa"/>
              <w:right w:w="20" w:type="dxa"/>
            </w:tcMar>
            <w:vAlign w:val="bottom"/>
          </w:tcPr>
          <w:p w14:paraId="5F2CD615"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616" w14:textId="77777777" w:rsidR="00E836FB" w:rsidRDefault="00994958">
            <w:pPr>
              <w:jc w:val="center"/>
              <w:textAlignment w:val="bottom"/>
            </w:pPr>
            <w:r>
              <w:rPr>
                <w:rFonts w:ascii="Arial" w:eastAsia="宋体" w:hAnsi="Arial" w:cs="Arial"/>
                <w:b/>
                <w:bCs/>
                <w:color w:val="000000"/>
                <w:sz w:val="15"/>
                <w:szCs w:val="15"/>
              </w:rPr>
              <w:t>Less than</w:t>
            </w:r>
            <w:r>
              <w:rPr>
                <w:rFonts w:ascii="Arial" w:eastAsia="宋体" w:hAnsi="Arial" w:cs="Arial"/>
                <w:b/>
                <w:bCs/>
                <w:color w:val="000000"/>
                <w:sz w:val="15"/>
                <w:szCs w:val="15"/>
              </w:rPr>
              <w:br/>
              <w:t>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61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618" w14:textId="77777777" w:rsidR="00E836FB" w:rsidRDefault="00994958">
            <w:pPr>
              <w:jc w:val="center"/>
              <w:textAlignment w:val="bottom"/>
            </w:pPr>
            <w:r>
              <w:rPr>
                <w:rFonts w:ascii="Arial" w:eastAsia="宋体" w:hAnsi="Arial" w:cs="Arial"/>
                <w:b/>
                <w:bCs/>
                <w:color w:val="000000"/>
                <w:sz w:val="15"/>
                <w:szCs w:val="15"/>
              </w:rPr>
              <w:t>1-3</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61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61A" w14:textId="77777777" w:rsidR="00E836FB" w:rsidRDefault="00994958">
            <w:pPr>
              <w:jc w:val="center"/>
              <w:textAlignment w:val="bottom"/>
            </w:pPr>
            <w:r>
              <w:rPr>
                <w:rFonts w:ascii="Arial" w:eastAsia="宋体" w:hAnsi="Arial" w:cs="Arial"/>
                <w:b/>
                <w:bCs/>
                <w:color w:val="000000"/>
                <w:sz w:val="15"/>
                <w:szCs w:val="15"/>
              </w:rPr>
              <w:t>4-5</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61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61C" w14:textId="77777777" w:rsidR="00E836FB" w:rsidRDefault="00994958">
            <w:pPr>
              <w:jc w:val="center"/>
              <w:textAlignment w:val="bottom"/>
            </w:pPr>
            <w:r>
              <w:rPr>
                <w:rFonts w:ascii="Arial" w:eastAsia="宋体" w:hAnsi="Arial" w:cs="Arial"/>
                <w:b/>
                <w:bCs/>
                <w:color w:val="000000"/>
                <w:sz w:val="15"/>
                <w:szCs w:val="15"/>
              </w:rPr>
              <w:t>Over 5</w:t>
            </w:r>
            <w:r>
              <w:rPr>
                <w:rFonts w:ascii="Arial" w:eastAsia="宋体" w:hAnsi="Arial" w:cs="Arial"/>
                <w:b/>
                <w:bCs/>
                <w:color w:val="000000"/>
                <w:sz w:val="15"/>
                <w:szCs w:val="15"/>
              </w:rPr>
              <w:br/>
            </w:r>
            <w:r>
              <w:rPr>
                <w:rFonts w:ascii="Arial" w:eastAsia="宋体" w:hAnsi="Arial" w:cs="Arial"/>
                <w:b/>
                <w:bCs/>
                <w:color w:val="000000"/>
                <w:sz w:val="15"/>
                <w:szCs w:val="15"/>
              </w:rP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61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61E" w14:textId="77777777" w:rsidR="00E836FB" w:rsidRDefault="00994958">
            <w:pPr>
              <w:jc w:val="center"/>
              <w:textAlignment w:val="bottom"/>
            </w:pPr>
            <w:r>
              <w:rPr>
                <w:rFonts w:ascii="Arial" w:eastAsia="宋体" w:hAnsi="Arial" w:cs="Arial"/>
                <w:b/>
                <w:bCs/>
                <w:color w:val="000000"/>
                <w:sz w:val="15"/>
                <w:szCs w:val="15"/>
              </w:rPr>
              <w:t>Total amounts</w:t>
            </w:r>
          </w:p>
          <w:p w14:paraId="5F2CD61F" w14:textId="77777777" w:rsidR="00E836FB" w:rsidRDefault="00994958">
            <w:pPr>
              <w:jc w:val="center"/>
              <w:textAlignment w:val="bottom"/>
            </w:pPr>
            <w:r>
              <w:rPr>
                <w:rFonts w:ascii="Arial" w:eastAsia="宋体" w:hAnsi="Arial" w:cs="Arial"/>
                <w:b/>
                <w:bCs/>
                <w:color w:val="000000"/>
                <w:sz w:val="15"/>
                <w:szCs w:val="15"/>
              </w:rPr>
              <w:t>committed</w:t>
            </w:r>
            <w:r>
              <w:rPr>
                <w:rFonts w:ascii="Arial" w:eastAsia="宋体" w:hAnsi="Arial" w:cs="Arial"/>
                <w:b/>
                <w:bCs/>
                <w:color w:val="000000"/>
                <w:sz w:val="9"/>
                <w:szCs w:val="9"/>
              </w:rPr>
              <w:t>(1)</w:t>
            </w:r>
          </w:p>
        </w:tc>
      </w:tr>
      <w:tr w:rsidR="00E836FB" w14:paraId="5F2CD635" w14:textId="77777777">
        <w:tc>
          <w:tcPr>
            <w:tcW w:w="0" w:type="auto"/>
            <w:gridSpan w:val="3"/>
            <w:shd w:val="clear" w:color="auto" w:fill="CCEEFF"/>
            <w:tcMar>
              <w:top w:w="40" w:type="dxa"/>
              <w:left w:w="20" w:type="dxa"/>
              <w:bottom w:w="40" w:type="dxa"/>
              <w:right w:w="20" w:type="dxa"/>
            </w:tcMar>
          </w:tcPr>
          <w:p w14:paraId="5F2CD621" w14:textId="77777777" w:rsidR="00E836FB" w:rsidRDefault="00994958">
            <w:pPr>
              <w:textAlignment w:val="top"/>
            </w:pPr>
            <w:r>
              <w:rPr>
                <w:rFonts w:ascii="Arial" w:eastAsia="宋体" w:hAnsi="Arial" w:cs="Arial"/>
                <w:color w:val="000000"/>
                <w:sz w:val="15"/>
                <w:szCs w:val="15"/>
              </w:rPr>
              <w:t>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D62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623" w14:textId="77777777" w:rsidR="00E836FB" w:rsidRDefault="00994958">
            <w:pPr>
              <w:jc w:val="right"/>
              <w:textAlignment w:val="bottom"/>
            </w:pPr>
            <w:r>
              <w:rPr>
                <w:rFonts w:ascii="Arial" w:eastAsia="宋体" w:hAnsi="Arial" w:cs="Arial"/>
                <w:b/>
                <w:bCs/>
                <w:color w:val="000000"/>
                <w:sz w:val="15"/>
                <w:szCs w:val="15"/>
              </w:rPr>
              <w:t>385,740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6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2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62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627"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6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2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62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62B"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6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2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62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62F"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6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3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63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633" w14:textId="77777777" w:rsidR="00E836FB" w:rsidRDefault="00994958">
            <w:pPr>
              <w:jc w:val="right"/>
              <w:textAlignment w:val="bottom"/>
            </w:pPr>
            <w:r>
              <w:rPr>
                <w:rFonts w:ascii="Arial" w:eastAsia="宋体" w:hAnsi="Arial" w:cs="Arial"/>
                <w:b/>
                <w:bCs/>
                <w:color w:val="000000"/>
                <w:sz w:val="15"/>
                <w:szCs w:val="15"/>
              </w:rPr>
              <w:t>385,740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634" w14:textId="77777777" w:rsidR="00E836FB" w:rsidRDefault="00E836FB">
            <w:pPr>
              <w:jc w:val="right"/>
              <w:rPr>
                <w:rFonts w:ascii="宋体"/>
              </w:rPr>
            </w:pPr>
          </w:p>
        </w:tc>
      </w:tr>
      <w:tr w:rsidR="00E836FB" w14:paraId="5F2CD645" w14:textId="77777777">
        <w:tc>
          <w:tcPr>
            <w:tcW w:w="0" w:type="auto"/>
            <w:gridSpan w:val="3"/>
            <w:shd w:val="clear" w:color="auto" w:fill="FFFFFF"/>
            <w:tcMar>
              <w:top w:w="40" w:type="dxa"/>
              <w:left w:w="20" w:type="dxa"/>
              <w:bottom w:w="40" w:type="dxa"/>
              <w:right w:w="20" w:type="dxa"/>
            </w:tcMar>
          </w:tcPr>
          <w:p w14:paraId="5F2CD636" w14:textId="77777777" w:rsidR="00E836FB" w:rsidRDefault="00994958">
            <w:pPr>
              <w:textAlignment w:val="top"/>
            </w:pPr>
            <w:r>
              <w:rPr>
                <w:rFonts w:ascii="Arial" w:eastAsia="宋体" w:hAnsi="Arial" w:cs="Arial"/>
                <w:color w:val="000000"/>
                <w:sz w:val="15"/>
                <w:szCs w:val="15"/>
              </w:rPr>
              <w:t>Unfunded credit facilities</w:t>
            </w:r>
          </w:p>
        </w:tc>
        <w:tc>
          <w:tcPr>
            <w:tcW w:w="0" w:type="auto"/>
            <w:gridSpan w:val="2"/>
            <w:shd w:val="clear" w:color="auto" w:fill="FFFFFF"/>
            <w:tcMar>
              <w:top w:w="40" w:type="dxa"/>
              <w:left w:w="20" w:type="dxa"/>
              <w:bottom w:w="40" w:type="dxa"/>
              <w:right w:w="0" w:type="dxa"/>
            </w:tcMar>
            <w:vAlign w:val="bottom"/>
          </w:tcPr>
          <w:p w14:paraId="5F2CD637" w14:textId="77777777" w:rsidR="00E836FB" w:rsidRDefault="00994958">
            <w:pPr>
              <w:jc w:val="right"/>
              <w:textAlignment w:val="bottom"/>
            </w:pPr>
            <w:r>
              <w:rPr>
                <w:rFonts w:ascii="Arial" w:eastAsia="宋体" w:hAnsi="Arial" w:cs="Arial"/>
                <w:b/>
                <w:bCs/>
                <w:color w:val="000000"/>
                <w:sz w:val="15"/>
                <w:szCs w:val="15"/>
              </w:rPr>
              <w:t>22,082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3A" w14:textId="77777777" w:rsidR="00E836FB" w:rsidRDefault="00994958">
            <w:pPr>
              <w:jc w:val="right"/>
              <w:textAlignment w:val="bottom"/>
            </w:pPr>
            <w:r>
              <w:rPr>
                <w:rFonts w:ascii="Arial" w:eastAsia="宋体" w:hAnsi="Arial" w:cs="Arial"/>
                <w:b/>
                <w:bCs/>
                <w:color w:val="000000"/>
                <w:sz w:val="15"/>
                <w:szCs w:val="15"/>
              </w:rPr>
              <w:t>6,410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3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3D" w14:textId="77777777" w:rsidR="00E836FB" w:rsidRDefault="00994958">
            <w:pPr>
              <w:jc w:val="right"/>
              <w:textAlignment w:val="bottom"/>
            </w:pPr>
            <w:r>
              <w:rPr>
                <w:rFonts w:ascii="Arial" w:eastAsia="宋体" w:hAnsi="Arial" w:cs="Arial"/>
                <w:b/>
                <w:bCs/>
                <w:color w:val="000000"/>
                <w:sz w:val="15"/>
                <w:szCs w:val="15"/>
              </w:rPr>
              <w:t>4,252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3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40" w14:textId="77777777" w:rsidR="00E836FB" w:rsidRDefault="00994958">
            <w:pPr>
              <w:jc w:val="right"/>
              <w:textAlignment w:val="bottom"/>
            </w:pPr>
            <w:r>
              <w:rPr>
                <w:rFonts w:ascii="Arial" w:eastAsia="宋体" w:hAnsi="Arial" w:cs="Arial"/>
                <w:b/>
                <w:bCs/>
                <w:color w:val="000000"/>
                <w:sz w:val="15"/>
                <w:szCs w:val="15"/>
              </w:rPr>
              <w:t>282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4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43" w14:textId="77777777" w:rsidR="00E836FB" w:rsidRDefault="00994958">
            <w:pPr>
              <w:jc w:val="right"/>
              <w:textAlignment w:val="bottom"/>
            </w:pPr>
            <w:r>
              <w:rPr>
                <w:rFonts w:ascii="Arial" w:eastAsia="宋体" w:hAnsi="Arial" w:cs="Arial"/>
                <w:b/>
                <w:bCs/>
                <w:color w:val="000000"/>
                <w:sz w:val="15"/>
                <w:szCs w:val="15"/>
              </w:rPr>
              <w:t>33,026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44" w14:textId="77777777" w:rsidR="00E836FB" w:rsidRDefault="00E836FB">
            <w:pPr>
              <w:jc w:val="right"/>
              <w:rPr>
                <w:rFonts w:ascii="宋体"/>
              </w:rPr>
            </w:pPr>
          </w:p>
        </w:tc>
      </w:tr>
      <w:tr w:rsidR="00E836FB" w14:paraId="5F2CD655" w14:textId="77777777">
        <w:tc>
          <w:tcPr>
            <w:tcW w:w="0" w:type="auto"/>
            <w:gridSpan w:val="3"/>
            <w:shd w:val="clear" w:color="auto" w:fill="CCEEFF"/>
            <w:tcMar>
              <w:top w:w="40" w:type="dxa"/>
              <w:left w:w="20" w:type="dxa"/>
              <w:bottom w:w="40" w:type="dxa"/>
              <w:right w:w="20" w:type="dxa"/>
            </w:tcMar>
          </w:tcPr>
          <w:p w14:paraId="5F2CD646" w14:textId="77777777" w:rsidR="00E836FB" w:rsidRDefault="00994958">
            <w:pPr>
              <w:textAlignment w:val="top"/>
            </w:pPr>
            <w:r>
              <w:rPr>
                <w:rFonts w:ascii="Arial" w:eastAsia="宋体" w:hAnsi="Arial" w:cs="Arial"/>
                <w:color w:val="000000"/>
                <w:sz w:val="15"/>
                <w:szCs w:val="15"/>
              </w:rPr>
              <w:t>Standby letters of credit</w:t>
            </w:r>
          </w:p>
        </w:tc>
        <w:tc>
          <w:tcPr>
            <w:tcW w:w="0" w:type="auto"/>
            <w:gridSpan w:val="2"/>
            <w:shd w:val="clear" w:color="auto" w:fill="CCEEFF"/>
            <w:tcMar>
              <w:top w:w="40" w:type="dxa"/>
              <w:left w:w="20" w:type="dxa"/>
              <w:bottom w:w="40" w:type="dxa"/>
              <w:right w:w="0" w:type="dxa"/>
            </w:tcMar>
            <w:vAlign w:val="bottom"/>
          </w:tcPr>
          <w:p w14:paraId="5F2CD647" w14:textId="77777777" w:rsidR="00E836FB" w:rsidRDefault="00994958">
            <w:pPr>
              <w:jc w:val="right"/>
              <w:textAlignment w:val="bottom"/>
            </w:pPr>
            <w:r>
              <w:rPr>
                <w:rFonts w:ascii="Arial" w:eastAsia="宋体" w:hAnsi="Arial" w:cs="Arial"/>
                <w:b/>
                <w:bCs/>
                <w:color w:val="000000"/>
                <w:sz w:val="15"/>
                <w:szCs w:val="15"/>
              </w:rPr>
              <w:t>1,377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64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4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64A" w14:textId="77777777" w:rsidR="00E836FB" w:rsidRDefault="00994958">
            <w:pPr>
              <w:jc w:val="right"/>
              <w:textAlignment w:val="bottom"/>
            </w:pPr>
            <w:r>
              <w:rPr>
                <w:rFonts w:ascii="Arial" w:eastAsia="宋体" w:hAnsi="Arial" w:cs="Arial"/>
                <w:b/>
                <w:bCs/>
                <w:color w:val="000000"/>
                <w:sz w:val="15"/>
                <w:szCs w:val="15"/>
              </w:rPr>
              <w:t>1,287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6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4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64D" w14:textId="77777777" w:rsidR="00E836FB" w:rsidRDefault="00994958">
            <w:pPr>
              <w:jc w:val="right"/>
              <w:textAlignment w:val="bottom"/>
            </w:pPr>
            <w:r>
              <w:rPr>
                <w:rFonts w:ascii="Arial" w:eastAsia="宋体" w:hAnsi="Arial" w:cs="Arial"/>
                <w:b/>
                <w:bCs/>
                <w:color w:val="000000"/>
                <w:sz w:val="15"/>
                <w:szCs w:val="15"/>
              </w:rPr>
              <w:t>573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64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4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65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6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5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653" w14:textId="77777777" w:rsidR="00E836FB" w:rsidRDefault="00994958">
            <w:pPr>
              <w:jc w:val="right"/>
              <w:textAlignment w:val="bottom"/>
            </w:pPr>
            <w:r>
              <w:rPr>
                <w:rFonts w:ascii="Arial" w:eastAsia="宋体" w:hAnsi="Arial" w:cs="Arial"/>
                <w:b/>
                <w:bCs/>
                <w:color w:val="000000"/>
                <w:sz w:val="15"/>
                <w:szCs w:val="15"/>
              </w:rPr>
              <w:t>3,237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654" w14:textId="77777777" w:rsidR="00E836FB" w:rsidRDefault="00E836FB">
            <w:pPr>
              <w:jc w:val="right"/>
              <w:rPr>
                <w:rFonts w:ascii="宋体"/>
              </w:rPr>
            </w:pPr>
          </w:p>
        </w:tc>
      </w:tr>
      <w:tr w:rsidR="00E836FB" w14:paraId="5F2CD665" w14:textId="77777777">
        <w:tc>
          <w:tcPr>
            <w:tcW w:w="0" w:type="auto"/>
            <w:gridSpan w:val="3"/>
            <w:shd w:val="clear" w:color="auto" w:fill="FFFFFF"/>
            <w:tcMar>
              <w:top w:w="40" w:type="dxa"/>
              <w:left w:w="20" w:type="dxa"/>
              <w:bottom w:w="40" w:type="dxa"/>
              <w:right w:w="20" w:type="dxa"/>
            </w:tcMar>
            <w:vAlign w:val="bottom"/>
          </w:tcPr>
          <w:p w14:paraId="5F2CD656" w14:textId="77777777" w:rsidR="00E836FB" w:rsidRDefault="00994958">
            <w:pPr>
              <w:textAlignment w:val="bottom"/>
            </w:pPr>
            <w:r>
              <w:rPr>
                <w:rFonts w:ascii="Arial" w:eastAsia="宋体" w:hAnsi="Arial" w:cs="Arial"/>
                <w:color w:val="000000"/>
                <w:sz w:val="15"/>
                <w:szCs w:val="15"/>
              </w:rPr>
              <w:t>Purchase obligations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D657" w14:textId="77777777" w:rsidR="00E836FB" w:rsidRDefault="00994958">
            <w:pPr>
              <w:jc w:val="right"/>
              <w:textAlignment w:val="bottom"/>
            </w:pPr>
            <w:r>
              <w:rPr>
                <w:rFonts w:ascii="Arial" w:eastAsia="宋体" w:hAnsi="Arial" w:cs="Arial"/>
                <w:b/>
                <w:bCs/>
                <w:color w:val="000000"/>
                <w:sz w:val="15"/>
                <w:szCs w:val="15"/>
              </w:rPr>
              <w:t>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5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5A" w14:textId="77777777" w:rsidR="00E836FB" w:rsidRDefault="00994958">
            <w:pPr>
              <w:jc w:val="right"/>
              <w:textAlignment w:val="bottom"/>
            </w:pPr>
            <w:r>
              <w:rPr>
                <w:rFonts w:ascii="Arial" w:eastAsia="宋体" w:hAnsi="Arial" w:cs="Arial"/>
                <w:b/>
                <w:bCs/>
                <w:color w:val="000000"/>
                <w:sz w:val="15"/>
                <w:szCs w:val="15"/>
              </w:rPr>
              <w:t>158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5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5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5D" w14:textId="77777777" w:rsidR="00E836FB" w:rsidRDefault="00994958">
            <w:pPr>
              <w:jc w:val="right"/>
              <w:textAlignment w:val="bottom"/>
            </w:pPr>
            <w:r>
              <w:rPr>
                <w:rFonts w:ascii="Arial" w:eastAsia="宋体" w:hAnsi="Arial" w:cs="Arial"/>
                <w:b/>
                <w:bCs/>
                <w:color w:val="000000"/>
                <w:sz w:val="15"/>
                <w:szCs w:val="15"/>
              </w:rPr>
              <w:t>114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5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5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60" w14:textId="77777777" w:rsidR="00E836FB" w:rsidRDefault="00994958">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6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66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663" w14:textId="77777777" w:rsidR="00E836FB" w:rsidRDefault="00994958">
            <w:pPr>
              <w:jc w:val="right"/>
              <w:textAlignment w:val="bottom"/>
            </w:pPr>
            <w:r>
              <w:rPr>
                <w:rFonts w:ascii="Arial" w:eastAsia="宋体" w:hAnsi="Arial" w:cs="Arial"/>
                <w:b/>
                <w:bCs/>
                <w:color w:val="000000"/>
                <w:sz w:val="15"/>
                <w:szCs w:val="15"/>
              </w:rPr>
              <w:t>373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664" w14:textId="77777777" w:rsidR="00E836FB" w:rsidRDefault="00E836FB">
            <w:pPr>
              <w:jc w:val="right"/>
              <w:rPr>
                <w:rFonts w:ascii="宋体"/>
              </w:rPr>
            </w:pPr>
          </w:p>
        </w:tc>
      </w:tr>
      <w:tr w:rsidR="00E836FB" w14:paraId="5F2CD67A" w14:textId="77777777">
        <w:tc>
          <w:tcPr>
            <w:tcW w:w="0" w:type="auto"/>
            <w:gridSpan w:val="3"/>
            <w:shd w:val="clear" w:color="auto" w:fill="CCEEFF"/>
            <w:tcMar>
              <w:top w:w="40" w:type="dxa"/>
              <w:left w:w="20" w:type="dxa"/>
              <w:bottom w:w="40" w:type="dxa"/>
              <w:right w:w="20" w:type="dxa"/>
            </w:tcMar>
          </w:tcPr>
          <w:p w14:paraId="5F2CD666" w14:textId="77777777" w:rsidR="00E836FB" w:rsidRDefault="00994958">
            <w:pPr>
              <w:textAlignment w:val="top"/>
            </w:pPr>
            <w:r>
              <w:rPr>
                <w:rFonts w:ascii="Arial" w:eastAsia="宋体" w:hAnsi="Arial" w:cs="Arial"/>
                <w:color w:val="000000"/>
                <w:sz w:val="15"/>
                <w:szCs w:val="15"/>
              </w:rPr>
              <w:t>Total commercial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66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668" w14:textId="77777777" w:rsidR="00E836FB" w:rsidRDefault="00994958">
            <w:pPr>
              <w:jc w:val="right"/>
              <w:textAlignment w:val="bottom"/>
            </w:pPr>
            <w:r>
              <w:rPr>
                <w:rFonts w:ascii="Arial" w:eastAsia="宋体" w:hAnsi="Arial" w:cs="Arial"/>
                <w:b/>
                <w:bCs/>
                <w:color w:val="000000"/>
                <w:sz w:val="15"/>
                <w:szCs w:val="15"/>
              </w:rPr>
              <w:t>409,285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6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6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66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66C" w14:textId="77777777" w:rsidR="00E836FB" w:rsidRDefault="00994958">
            <w:pPr>
              <w:jc w:val="right"/>
              <w:textAlignment w:val="bottom"/>
            </w:pPr>
            <w:r>
              <w:rPr>
                <w:rFonts w:ascii="Arial" w:eastAsia="宋体" w:hAnsi="Arial" w:cs="Arial"/>
                <w:b/>
                <w:bCs/>
                <w:color w:val="000000"/>
                <w:sz w:val="15"/>
                <w:szCs w:val="15"/>
              </w:rPr>
              <w:t>7,855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6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6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66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670" w14:textId="77777777" w:rsidR="00E836FB" w:rsidRDefault="00994958">
            <w:pPr>
              <w:jc w:val="right"/>
              <w:textAlignment w:val="bottom"/>
            </w:pPr>
            <w:r>
              <w:rPr>
                <w:rFonts w:ascii="Arial" w:eastAsia="宋体" w:hAnsi="Arial" w:cs="Arial"/>
                <w:b/>
                <w:bCs/>
                <w:color w:val="000000"/>
                <w:sz w:val="15"/>
                <w:szCs w:val="15"/>
              </w:rPr>
              <w:t>4,939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67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7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67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674" w14:textId="77777777" w:rsidR="00E836FB" w:rsidRDefault="00994958">
            <w:pPr>
              <w:jc w:val="right"/>
              <w:textAlignment w:val="bottom"/>
            </w:pPr>
            <w:r>
              <w:rPr>
                <w:rFonts w:ascii="Arial" w:eastAsia="宋体" w:hAnsi="Arial" w:cs="Arial"/>
                <w:b/>
                <w:bCs/>
                <w:color w:val="000000"/>
                <w:sz w:val="15"/>
                <w:szCs w:val="15"/>
              </w:rPr>
              <w:t>297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6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67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D67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D678" w14:textId="77777777" w:rsidR="00E836FB" w:rsidRDefault="00994958">
            <w:pPr>
              <w:jc w:val="right"/>
              <w:textAlignment w:val="bottom"/>
            </w:pPr>
            <w:r>
              <w:rPr>
                <w:rFonts w:ascii="Arial" w:eastAsia="宋体" w:hAnsi="Arial" w:cs="Arial"/>
                <w:b/>
                <w:bCs/>
                <w:color w:val="000000"/>
                <w:sz w:val="15"/>
                <w:szCs w:val="15"/>
              </w:rPr>
              <w:t>422,376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D679" w14:textId="77777777" w:rsidR="00E836FB" w:rsidRDefault="00E836FB">
            <w:pPr>
              <w:jc w:val="right"/>
              <w:rPr>
                <w:rFonts w:ascii="宋体"/>
              </w:rPr>
            </w:pPr>
          </w:p>
        </w:tc>
      </w:tr>
    </w:tbl>
    <w:p w14:paraId="5F2CD67B" w14:textId="77777777" w:rsidR="00E836FB" w:rsidRDefault="00E836FB">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966"/>
        <w:gridCol w:w="36"/>
        <w:gridCol w:w="36"/>
        <w:gridCol w:w="2212"/>
        <w:gridCol w:w="36"/>
        <w:gridCol w:w="36"/>
        <w:gridCol w:w="1501"/>
        <w:gridCol w:w="36"/>
        <w:gridCol w:w="36"/>
        <w:gridCol w:w="3293"/>
        <w:gridCol w:w="36"/>
      </w:tblGrid>
      <w:tr w:rsidR="00E836FB" w14:paraId="5F2CD688" w14:textId="77777777">
        <w:tc>
          <w:tcPr>
            <w:tcW w:w="20" w:type="dxa"/>
            <w:shd w:val="clear" w:color="auto" w:fill="auto"/>
            <w:vAlign w:val="bottom"/>
          </w:tcPr>
          <w:p w14:paraId="5F2CD67C" w14:textId="77777777" w:rsidR="00E836FB" w:rsidRDefault="00E836FB">
            <w:pPr>
              <w:rPr>
                <w:rFonts w:ascii="宋体"/>
              </w:rPr>
            </w:pPr>
          </w:p>
        </w:tc>
        <w:tc>
          <w:tcPr>
            <w:tcW w:w="3005" w:type="dxa"/>
            <w:shd w:val="clear" w:color="auto" w:fill="auto"/>
            <w:vAlign w:val="bottom"/>
          </w:tcPr>
          <w:p w14:paraId="5F2CD67D" w14:textId="77777777" w:rsidR="00E836FB" w:rsidRDefault="00E836FB">
            <w:pPr>
              <w:rPr>
                <w:rFonts w:ascii="宋体"/>
              </w:rPr>
            </w:pPr>
          </w:p>
        </w:tc>
        <w:tc>
          <w:tcPr>
            <w:tcW w:w="20" w:type="dxa"/>
            <w:shd w:val="clear" w:color="auto" w:fill="auto"/>
            <w:vAlign w:val="bottom"/>
          </w:tcPr>
          <w:p w14:paraId="5F2CD67E" w14:textId="77777777" w:rsidR="00E836FB" w:rsidRDefault="00E836FB">
            <w:pPr>
              <w:rPr>
                <w:rFonts w:ascii="宋体"/>
              </w:rPr>
            </w:pPr>
          </w:p>
        </w:tc>
        <w:tc>
          <w:tcPr>
            <w:tcW w:w="20" w:type="dxa"/>
            <w:shd w:val="clear" w:color="auto" w:fill="auto"/>
            <w:vAlign w:val="bottom"/>
          </w:tcPr>
          <w:p w14:paraId="5F2CD67F" w14:textId="77777777" w:rsidR="00E836FB" w:rsidRDefault="00E836FB">
            <w:pPr>
              <w:rPr>
                <w:rFonts w:ascii="宋体"/>
              </w:rPr>
            </w:pPr>
          </w:p>
        </w:tc>
        <w:tc>
          <w:tcPr>
            <w:tcW w:w="2240" w:type="dxa"/>
            <w:shd w:val="clear" w:color="auto" w:fill="auto"/>
            <w:vAlign w:val="bottom"/>
          </w:tcPr>
          <w:p w14:paraId="5F2CD680" w14:textId="77777777" w:rsidR="00E836FB" w:rsidRDefault="00E836FB">
            <w:pPr>
              <w:rPr>
                <w:rFonts w:ascii="宋体"/>
              </w:rPr>
            </w:pPr>
          </w:p>
        </w:tc>
        <w:tc>
          <w:tcPr>
            <w:tcW w:w="20" w:type="dxa"/>
            <w:shd w:val="clear" w:color="auto" w:fill="auto"/>
            <w:vAlign w:val="bottom"/>
          </w:tcPr>
          <w:p w14:paraId="5F2CD681" w14:textId="77777777" w:rsidR="00E836FB" w:rsidRDefault="00E836FB">
            <w:pPr>
              <w:rPr>
                <w:rFonts w:ascii="宋体"/>
              </w:rPr>
            </w:pPr>
          </w:p>
        </w:tc>
        <w:tc>
          <w:tcPr>
            <w:tcW w:w="20" w:type="dxa"/>
            <w:shd w:val="clear" w:color="auto" w:fill="auto"/>
            <w:vAlign w:val="bottom"/>
          </w:tcPr>
          <w:p w14:paraId="5F2CD682" w14:textId="77777777" w:rsidR="00E836FB" w:rsidRDefault="00E836FB">
            <w:pPr>
              <w:rPr>
                <w:rFonts w:ascii="宋体"/>
              </w:rPr>
            </w:pPr>
          </w:p>
        </w:tc>
        <w:tc>
          <w:tcPr>
            <w:tcW w:w="1520" w:type="dxa"/>
            <w:shd w:val="clear" w:color="auto" w:fill="auto"/>
            <w:vAlign w:val="bottom"/>
          </w:tcPr>
          <w:p w14:paraId="5F2CD683" w14:textId="77777777" w:rsidR="00E836FB" w:rsidRDefault="00E836FB">
            <w:pPr>
              <w:rPr>
                <w:rFonts w:ascii="宋体"/>
              </w:rPr>
            </w:pPr>
          </w:p>
        </w:tc>
        <w:tc>
          <w:tcPr>
            <w:tcW w:w="20" w:type="dxa"/>
            <w:shd w:val="clear" w:color="auto" w:fill="auto"/>
            <w:vAlign w:val="bottom"/>
          </w:tcPr>
          <w:p w14:paraId="5F2CD684" w14:textId="77777777" w:rsidR="00E836FB" w:rsidRDefault="00E836FB">
            <w:pPr>
              <w:rPr>
                <w:rFonts w:ascii="宋体"/>
              </w:rPr>
            </w:pPr>
          </w:p>
        </w:tc>
        <w:tc>
          <w:tcPr>
            <w:tcW w:w="20" w:type="dxa"/>
            <w:shd w:val="clear" w:color="auto" w:fill="auto"/>
            <w:vAlign w:val="bottom"/>
          </w:tcPr>
          <w:p w14:paraId="5F2CD685" w14:textId="77777777" w:rsidR="00E836FB" w:rsidRDefault="00E836FB">
            <w:pPr>
              <w:rPr>
                <w:rFonts w:ascii="宋体"/>
              </w:rPr>
            </w:pPr>
          </w:p>
        </w:tc>
        <w:tc>
          <w:tcPr>
            <w:tcW w:w="3335" w:type="dxa"/>
            <w:shd w:val="clear" w:color="auto" w:fill="auto"/>
            <w:vAlign w:val="bottom"/>
          </w:tcPr>
          <w:p w14:paraId="5F2CD686" w14:textId="77777777" w:rsidR="00E836FB" w:rsidRDefault="00E836FB">
            <w:pPr>
              <w:rPr>
                <w:rFonts w:ascii="宋体"/>
              </w:rPr>
            </w:pPr>
          </w:p>
        </w:tc>
        <w:tc>
          <w:tcPr>
            <w:tcW w:w="20" w:type="dxa"/>
            <w:shd w:val="clear" w:color="auto" w:fill="auto"/>
            <w:vAlign w:val="bottom"/>
          </w:tcPr>
          <w:p w14:paraId="5F2CD687" w14:textId="77777777" w:rsidR="00E836FB" w:rsidRDefault="00E836FB">
            <w:pPr>
              <w:rPr>
                <w:rFonts w:ascii="宋体"/>
              </w:rPr>
            </w:pPr>
          </w:p>
        </w:tc>
      </w:tr>
      <w:tr w:rsidR="00E836FB" w14:paraId="5F2CD68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D6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8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68C" w14:textId="77777777" w:rsidR="00E836FB" w:rsidRDefault="00E836FB">
            <w:pPr>
              <w:rPr>
                <w:rFonts w:ascii="宋体"/>
              </w:rPr>
            </w:pPr>
          </w:p>
        </w:tc>
      </w:tr>
    </w:tbl>
    <w:p w14:paraId="5F2CD68E"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Total amounts committed reflect participations to independent third parties, if any. </w:t>
      </w:r>
    </w:p>
    <w:p w14:paraId="5F2CD68F" w14:textId="77777777" w:rsidR="00E836FB" w:rsidRDefault="00994958">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Amounts represent obligations pursuant to legally binding agreements, where we have agreed to purchase products or services with a specific minimum quantity defin</w:t>
      </w:r>
      <w:r>
        <w:rPr>
          <w:rFonts w:ascii="Arial" w:eastAsia="宋体" w:hAnsi="Arial" w:cs="Arial"/>
          <w:color w:val="000000"/>
          <w:sz w:val="14"/>
          <w:szCs w:val="14"/>
        </w:rPr>
        <w:t>ed at a fixed, minimum or variable price over a specified period of time.</w:t>
      </w:r>
    </w:p>
    <w:p w14:paraId="5F2CD690" w14:textId="77777777" w:rsidR="00E836FB" w:rsidRDefault="00994958">
      <w:pPr>
        <w:spacing w:before="60"/>
        <w:ind w:firstLine="450"/>
        <w:jc w:val="both"/>
      </w:pPr>
      <w:r>
        <w:rPr>
          <w:rFonts w:ascii="Arial" w:eastAsia="宋体" w:hAnsi="Arial" w:cs="Arial"/>
          <w:color w:val="000000"/>
          <w:sz w:val="20"/>
          <w:szCs w:val="20"/>
        </w:rPr>
        <w:t>Additional information about the commitments presented in Table 33: Other commercial commitments, except for purchase obligations, is provided in Note 12 to the consolidated financia</w:t>
      </w:r>
      <w:r>
        <w:rPr>
          <w:rFonts w:ascii="Arial" w:eastAsia="宋体" w:hAnsi="Arial" w:cs="Arial"/>
          <w:color w:val="000000"/>
          <w:sz w:val="20"/>
          <w:szCs w:val="20"/>
        </w:rPr>
        <w:t>l statements in this Form 10-K.</w:t>
      </w:r>
    </w:p>
    <w:p w14:paraId="5F2CD691" w14:textId="77777777" w:rsidR="00E836FB" w:rsidRDefault="00994958">
      <w:pPr>
        <w:ind w:firstLine="450"/>
        <w:jc w:val="right"/>
      </w:pPr>
      <w:r>
        <w:rPr>
          <w:rFonts w:ascii="Arial" w:eastAsia="宋体" w:hAnsi="Arial" w:cs="Arial"/>
          <w:color w:val="000000"/>
          <w:sz w:val="18"/>
          <w:szCs w:val="18"/>
        </w:rPr>
        <w:t>State Street Corporation | 98</w:t>
      </w:r>
    </w:p>
    <w:p w14:paraId="5F2CD692" w14:textId="77777777" w:rsidR="00E836FB" w:rsidRDefault="00E836FB">
      <w:pPr>
        <w:ind w:firstLine="450"/>
        <w:jc w:val="center"/>
      </w:pPr>
    </w:p>
    <w:p w14:paraId="5F2CD693" w14:textId="77777777" w:rsidR="00E836FB" w:rsidRDefault="00994958">
      <w:r>
        <w:pict w14:anchorId="5F2D6DE7">
          <v:rect id="_x0000_i1122" style="width:415.3pt;height:1.5pt" o:hralign="center" o:hrstd="t" o:hr="t" fillcolor="#a0a0a0" stroked="f"/>
        </w:pict>
      </w:r>
    </w:p>
    <w:p w14:paraId="5F2CD694"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695" w14:textId="77777777" w:rsidR="00E836FB" w:rsidRDefault="00994958">
      <w:pPr>
        <w:ind w:firstLine="450"/>
        <w:jc w:val="center"/>
      </w:pPr>
      <w:r>
        <w:rPr>
          <w:rFonts w:ascii="Arial" w:eastAsia="宋体" w:hAnsi="Arial" w:cs="Arial"/>
          <w:b/>
          <w:bCs/>
          <w:color w:val="000000"/>
          <w:sz w:val="20"/>
          <w:szCs w:val="20"/>
        </w:rPr>
        <w:t>AND RESULTS OF OPERATIONS</w:t>
      </w:r>
    </w:p>
    <w:p w14:paraId="5F2CD696" w14:textId="77777777" w:rsidR="00E836FB" w:rsidRDefault="00E836FB">
      <w:pPr>
        <w:spacing w:before="60"/>
        <w:ind w:firstLine="450"/>
        <w:jc w:val="both"/>
      </w:pPr>
    </w:p>
    <w:p w14:paraId="5F2CD697" w14:textId="77777777" w:rsidR="00E836FB" w:rsidRDefault="00994958">
      <w:pPr>
        <w:spacing w:before="90"/>
        <w:jc w:val="both"/>
        <w:textAlignment w:val="top"/>
      </w:pPr>
      <w:r>
        <w:rPr>
          <w:rFonts w:ascii="Arial" w:eastAsia="宋体" w:hAnsi="Arial" w:cs="Arial"/>
          <w:b/>
          <w:bCs/>
          <w:color w:val="000000"/>
          <w:sz w:val="20"/>
          <w:szCs w:val="20"/>
        </w:rPr>
        <w:t>Operational Risk Management</w:t>
      </w:r>
    </w:p>
    <w:p w14:paraId="5F2CD698" w14:textId="77777777" w:rsidR="00E836FB" w:rsidRDefault="00994958">
      <w:pPr>
        <w:spacing w:before="60"/>
        <w:textAlignment w:val="top"/>
      </w:pPr>
      <w:r>
        <w:rPr>
          <w:rFonts w:ascii="Arial" w:eastAsia="宋体" w:hAnsi="Arial" w:cs="Arial"/>
          <w:b/>
          <w:bCs/>
          <w:i/>
          <w:iCs/>
          <w:color w:val="000000"/>
          <w:sz w:val="20"/>
          <w:szCs w:val="20"/>
        </w:rPr>
        <w:t>Overview</w:t>
      </w:r>
    </w:p>
    <w:p w14:paraId="5F2CD699" w14:textId="77777777" w:rsidR="00E836FB" w:rsidRDefault="00994958">
      <w:pPr>
        <w:spacing w:before="60"/>
        <w:ind w:firstLine="450"/>
        <w:jc w:val="both"/>
        <w:textAlignment w:val="top"/>
      </w:pPr>
      <w:r>
        <w:rPr>
          <w:rFonts w:ascii="Arial" w:eastAsia="宋体" w:hAnsi="Arial" w:cs="Arial"/>
          <w:color w:val="000000"/>
          <w:sz w:val="20"/>
          <w:szCs w:val="20"/>
        </w:rPr>
        <w:t xml:space="preserve">Operational risk is the risk of loss resulting from </w:t>
      </w:r>
      <w:r>
        <w:rPr>
          <w:rFonts w:ascii="Arial" w:eastAsia="宋体" w:hAnsi="Arial" w:cs="Arial"/>
          <w:color w:val="000000"/>
          <w:sz w:val="20"/>
          <w:szCs w:val="20"/>
        </w:rPr>
        <w:t>inadequate or failed internal processes, people and systems or from external events. Operational risk encompasses fiduciary risk and legal risk. Fiduciary risk is defined as the risk that we fail to properly exercise our fiduciary duties in our provision o</w:t>
      </w:r>
      <w:r>
        <w:rPr>
          <w:rFonts w:ascii="Arial" w:eastAsia="宋体" w:hAnsi="Arial" w:cs="Arial"/>
          <w:color w:val="000000"/>
          <w:sz w:val="20"/>
          <w:szCs w:val="20"/>
        </w:rPr>
        <w:t>f products or services to clients. Legal risk is the risk of loss resulting from failure to comply with laws and contractual obligations.</w:t>
      </w:r>
    </w:p>
    <w:p w14:paraId="5F2CD69A" w14:textId="77777777" w:rsidR="00E836FB" w:rsidRDefault="00994958">
      <w:pPr>
        <w:spacing w:before="60"/>
        <w:ind w:firstLine="450"/>
        <w:jc w:val="both"/>
        <w:textAlignment w:val="top"/>
      </w:pPr>
      <w:r>
        <w:rPr>
          <w:rFonts w:ascii="Arial" w:eastAsia="宋体" w:hAnsi="Arial" w:cs="Arial"/>
          <w:color w:val="000000"/>
          <w:sz w:val="20"/>
          <w:szCs w:val="20"/>
        </w:rPr>
        <w:t>Operational risk is inherent in the performance of investment servicing and investment management activities on behalf</w:t>
      </w:r>
      <w:r>
        <w:rPr>
          <w:rFonts w:ascii="Arial" w:eastAsia="宋体" w:hAnsi="Arial" w:cs="Arial"/>
          <w:color w:val="000000"/>
          <w:sz w:val="20"/>
          <w:szCs w:val="20"/>
        </w:rPr>
        <w:t xml:space="preserve"> of our clients. Whether it be fiduciary risk, risk associated with execution and processing or other types of operational risk, a consistent, transparent and effective operational risk framework is key to identifying, monitoring and managing operational r</w:t>
      </w:r>
      <w:r>
        <w:rPr>
          <w:rFonts w:ascii="Arial" w:eastAsia="宋体" w:hAnsi="Arial" w:cs="Arial"/>
          <w:color w:val="000000"/>
          <w:sz w:val="20"/>
          <w:szCs w:val="20"/>
        </w:rPr>
        <w:t xml:space="preserve">isk. </w:t>
      </w:r>
    </w:p>
    <w:p w14:paraId="5F2CD69B" w14:textId="77777777" w:rsidR="00E836FB" w:rsidRDefault="00994958">
      <w:pPr>
        <w:spacing w:before="60"/>
        <w:ind w:firstLine="450"/>
        <w:jc w:val="both"/>
        <w:textAlignment w:val="top"/>
      </w:pPr>
      <w:r>
        <w:rPr>
          <w:rFonts w:ascii="Arial" w:eastAsia="宋体" w:hAnsi="Arial" w:cs="Arial"/>
          <w:color w:val="000000"/>
          <w:sz w:val="20"/>
          <w:szCs w:val="20"/>
        </w:rPr>
        <w:t>We have established an operational risk framework that is based on three major goals:</w:t>
      </w:r>
    </w:p>
    <w:p w14:paraId="5F2CD69C" w14:textId="77777777" w:rsidR="00E836FB" w:rsidRDefault="00994958">
      <w:pPr>
        <w:spacing w:before="60"/>
        <w:ind w:hanging="360"/>
        <w:jc w:val="both"/>
        <w:textAlignment w:val="top"/>
      </w:pPr>
      <w:r>
        <w:rPr>
          <w:rFonts w:ascii="Arial" w:eastAsia="宋体" w:hAnsi="Arial" w:cs="Arial"/>
          <w:color w:val="000000"/>
          <w:sz w:val="20"/>
          <w:szCs w:val="20"/>
        </w:rPr>
        <w:t>•Strong, active governance;</w:t>
      </w:r>
    </w:p>
    <w:p w14:paraId="5F2CD69D" w14:textId="77777777" w:rsidR="00E836FB" w:rsidRDefault="00994958">
      <w:pPr>
        <w:spacing w:before="60"/>
        <w:ind w:hanging="360"/>
        <w:jc w:val="both"/>
        <w:textAlignment w:val="top"/>
      </w:pPr>
      <w:r>
        <w:rPr>
          <w:rFonts w:ascii="Arial" w:eastAsia="宋体" w:hAnsi="Arial" w:cs="Arial"/>
          <w:color w:val="000000"/>
          <w:sz w:val="20"/>
          <w:szCs w:val="20"/>
        </w:rPr>
        <w:t>•Ownership and accountability; and</w:t>
      </w:r>
    </w:p>
    <w:p w14:paraId="5F2CD69E" w14:textId="77777777" w:rsidR="00E836FB" w:rsidRDefault="00994958">
      <w:pPr>
        <w:spacing w:before="60"/>
        <w:ind w:hanging="360"/>
        <w:jc w:val="both"/>
        <w:textAlignment w:val="top"/>
      </w:pPr>
      <w:r>
        <w:rPr>
          <w:rFonts w:ascii="Arial" w:eastAsia="宋体" w:hAnsi="Arial" w:cs="Arial"/>
          <w:color w:val="000000"/>
          <w:sz w:val="20"/>
          <w:szCs w:val="20"/>
        </w:rPr>
        <w:t>•Consistency and transparency.</w:t>
      </w:r>
    </w:p>
    <w:p w14:paraId="5F2CD69F" w14:textId="77777777" w:rsidR="00E836FB" w:rsidRDefault="00994958">
      <w:pPr>
        <w:spacing w:before="60"/>
        <w:jc w:val="both"/>
        <w:textAlignment w:val="top"/>
      </w:pPr>
      <w:r>
        <w:rPr>
          <w:rFonts w:ascii="Arial" w:eastAsia="宋体" w:hAnsi="Arial" w:cs="Arial"/>
          <w:b/>
          <w:bCs/>
          <w:i/>
          <w:iCs/>
          <w:color w:val="000000"/>
          <w:sz w:val="20"/>
          <w:szCs w:val="20"/>
        </w:rPr>
        <w:t>Governance</w:t>
      </w:r>
    </w:p>
    <w:p w14:paraId="5F2CD6A0" w14:textId="77777777" w:rsidR="00E836FB" w:rsidRDefault="00994958">
      <w:pPr>
        <w:spacing w:before="60"/>
        <w:ind w:firstLine="450"/>
        <w:jc w:val="both"/>
        <w:textAlignment w:val="top"/>
      </w:pPr>
      <w:r>
        <w:rPr>
          <w:rFonts w:ascii="Arial" w:eastAsia="宋体" w:hAnsi="Arial" w:cs="Arial"/>
          <w:color w:val="000000"/>
          <w:sz w:val="20"/>
          <w:szCs w:val="20"/>
        </w:rPr>
        <w:t xml:space="preserve">Our Board is responsible for the approval and oversight of </w:t>
      </w:r>
      <w:r>
        <w:rPr>
          <w:rFonts w:ascii="Arial" w:eastAsia="宋体" w:hAnsi="Arial" w:cs="Arial"/>
          <w:color w:val="000000"/>
          <w:sz w:val="20"/>
          <w:szCs w:val="20"/>
        </w:rPr>
        <w:t xml:space="preserve">our overall operational risk framework. It does so through its TOPS, which reviews our operational risk framework and approves our operational risk policy annually. </w:t>
      </w:r>
    </w:p>
    <w:p w14:paraId="5F2CD6A1" w14:textId="77777777" w:rsidR="00E836FB" w:rsidRDefault="00994958">
      <w:pPr>
        <w:spacing w:before="60"/>
        <w:ind w:firstLine="450"/>
        <w:jc w:val="both"/>
        <w:textAlignment w:val="top"/>
      </w:pPr>
      <w:r>
        <w:rPr>
          <w:rFonts w:ascii="Arial" w:eastAsia="宋体" w:hAnsi="Arial" w:cs="Arial"/>
          <w:color w:val="000000"/>
          <w:sz w:val="20"/>
          <w:szCs w:val="20"/>
        </w:rPr>
        <w:t>Our operational risk policy establishes our approach to our management of operational risk</w:t>
      </w:r>
      <w:r>
        <w:rPr>
          <w:rFonts w:ascii="Arial" w:eastAsia="宋体" w:hAnsi="Arial" w:cs="Arial"/>
          <w:color w:val="000000"/>
          <w:sz w:val="20"/>
          <w:szCs w:val="20"/>
        </w:rPr>
        <w:t xml:space="preserve"> across our business. The policy identifies the responsibilities of individuals and committees charged with oversight of the management of operational risk, and articulates a broad mandate that supports implementation of the operational risk framework.</w:t>
      </w:r>
    </w:p>
    <w:p w14:paraId="5F2CD6A2" w14:textId="77777777" w:rsidR="00E836FB" w:rsidRDefault="00994958">
      <w:pPr>
        <w:spacing w:before="60"/>
        <w:ind w:firstLine="450"/>
        <w:jc w:val="both"/>
        <w:textAlignment w:val="top"/>
      </w:pPr>
      <w:r>
        <w:rPr>
          <w:rFonts w:ascii="Arial" w:eastAsia="宋体" w:hAnsi="Arial" w:cs="Arial"/>
          <w:color w:val="000000"/>
          <w:sz w:val="20"/>
          <w:szCs w:val="20"/>
        </w:rPr>
        <w:t>ERM</w:t>
      </w:r>
      <w:r>
        <w:rPr>
          <w:rFonts w:ascii="Arial" w:eastAsia="宋体" w:hAnsi="Arial" w:cs="Arial"/>
          <w:color w:val="000000"/>
          <w:sz w:val="20"/>
          <w:szCs w:val="20"/>
        </w:rPr>
        <w:t xml:space="preserve"> and other control groups provide the oversight, validation and verification of the management and measurement of operational risk. </w:t>
      </w:r>
    </w:p>
    <w:p w14:paraId="5F2CD6A3" w14:textId="77777777" w:rsidR="00E836FB" w:rsidRDefault="00994958">
      <w:pPr>
        <w:spacing w:before="60"/>
        <w:ind w:firstLine="450"/>
        <w:jc w:val="both"/>
        <w:textAlignment w:val="top"/>
      </w:pPr>
      <w:r>
        <w:rPr>
          <w:rFonts w:ascii="Arial" w:eastAsia="宋体" w:hAnsi="Arial" w:cs="Arial"/>
          <w:color w:val="000000"/>
          <w:sz w:val="20"/>
          <w:szCs w:val="20"/>
        </w:rPr>
        <w:t>Executive management actively manages and oversees our operational risk framework through membership on various risk manage</w:t>
      </w:r>
      <w:r>
        <w:rPr>
          <w:rFonts w:ascii="Arial" w:eastAsia="宋体" w:hAnsi="Arial" w:cs="Arial"/>
          <w:color w:val="000000"/>
          <w:sz w:val="20"/>
          <w:szCs w:val="20"/>
        </w:rPr>
        <w:t>ment committees, including MRAC, the BCC, TORC, the Operational Risk Committee, the Executive Information Security Steering Committee, the Enterprise Continuity Steering Committee, the Compliance and Ethics Committee, the Vendor Management Lifecycle Execut</w:t>
      </w:r>
      <w:r>
        <w:rPr>
          <w:rFonts w:ascii="Arial" w:eastAsia="宋体" w:hAnsi="Arial" w:cs="Arial"/>
          <w:color w:val="000000"/>
          <w:sz w:val="20"/>
          <w:szCs w:val="20"/>
        </w:rPr>
        <w:t>ive Review Board and the Fiduciary Review Committee, all of which ultimately report to the appropriate committee of the Board.</w:t>
      </w:r>
    </w:p>
    <w:p w14:paraId="5F2CD6A4" w14:textId="77777777" w:rsidR="00E836FB" w:rsidRDefault="00994958">
      <w:pPr>
        <w:spacing w:before="60"/>
        <w:ind w:firstLine="450"/>
        <w:jc w:val="both"/>
        <w:textAlignment w:val="top"/>
      </w:pPr>
      <w:r>
        <w:rPr>
          <w:rFonts w:ascii="Arial" w:eastAsia="宋体" w:hAnsi="Arial" w:cs="Arial"/>
          <w:color w:val="000000"/>
          <w:sz w:val="20"/>
          <w:szCs w:val="20"/>
        </w:rPr>
        <w:t xml:space="preserve">The Operational Risk Committee, chaired by the global head of Operational Risk, provides cross-business oversight of operational </w:t>
      </w:r>
      <w:r>
        <w:rPr>
          <w:rFonts w:ascii="Arial" w:eastAsia="宋体" w:hAnsi="Arial" w:cs="Arial"/>
          <w:color w:val="000000"/>
          <w:sz w:val="20"/>
          <w:szCs w:val="20"/>
        </w:rPr>
        <w:t>risk, operational risk programs and their implementation to identify, measure, manage and control operational risk in an effective and consistent manner and reviews and approves operational risk guidelines intended to maintain a consistent implementation o</w:t>
      </w:r>
      <w:r>
        <w:rPr>
          <w:rFonts w:ascii="Arial" w:eastAsia="宋体" w:hAnsi="Arial" w:cs="Arial"/>
          <w:color w:val="000000"/>
          <w:sz w:val="20"/>
          <w:szCs w:val="20"/>
        </w:rPr>
        <w:t xml:space="preserve">f our corporate operational risk policy and framework. </w:t>
      </w:r>
    </w:p>
    <w:p w14:paraId="5F2CD6A5" w14:textId="77777777" w:rsidR="00E836FB" w:rsidRDefault="00994958">
      <w:pPr>
        <w:spacing w:before="60"/>
        <w:jc w:val="both"/>
        <w:textAlignment w:val="top"/>
      </w:pPr>
      <w:r>
        <w:rPr>
          <w:rFonts w:ascii="Arial" w:eastAsia="宋体" w:hAnsi="Arial" w:cs="Arial"/>
          <w:b/>
          <w:bCs/>
          <w:i/>
          <w:iCs/>
          <w:color w:val="000000"/>
          <w:sz w:val="20"/>
          <w:szCs w:val="20"/>
        </w:rPr>
        <w:t>Ownership and Accountability</w:t>
      </w:r>
    </w:p>
    <w:p w14:paraId="5F2CD6A6" w14:textId="77777777" w:rsidR="00E836FB" w:rsidRDefault="00994958">
      <w:pPr>
        <w:spacing w:before="60"/>
        <w:ind w:firstLine="450"/>
        <w:jc w:val="both"/>
        <w:textAlignment w:val="top"/>
      </w:pPr>
      <w:r>
        <w:rPr>
          <w:rFonts w:ascii="Arial" w:eastAsia="宋体" w:hAnsi="Arial" w:cs="Arial"/>
          <w:color w:val="000000"/>
          <w:sz w:val="20"/>
          <w:szCs w:val="20"/>
        </w:rPr>
        <w:t xml:space="preserve">We have implemented our operational risk framework to support the broad mandate established by our operational risk policy. This framework represents an integrated set of </w:t>
      </w:r>
      <w:r>
        <w:rPr>
          <w:rFonts w:ascii="Arial" w:eastAsia="宋体" w:hAnsi="Arial" w:cs="Arial"/>
          <w:color w:val="000000"/>
          <w:sz w:val="20"/>
          <w:szCs w:val="20"/>
        </w:rPr>
        <w:t>processes and tools that assists us in the management and measurement of operational risk, including our calculation of required capital and RWA.</w:t>
      </w:r>
    </w:p>
    <w:p w14:paraId="5F2CD6A7" w14:textId="77777777" w:rsidR="00E836FB" w:rsidRDefault="00994958">
      <w:pPr>
        <w:spacing w:before="60"/>
        <w:ind w:firstLine="450"/>
        <w:jc w:val="both"/>
        <w:textAlignment w:val="top"/>
      </w:pPr>
      <w:r>
        <w:rPr>
          <w:rFonts w:ascii="Arial" w:eastAsia="宋体" w:hAnsi="Arial" w:cs="Arial"/>
          <w:color w:val="000000"/>
          <w:sz w:val="20"/>
          <w:szCs w:val="20"/>
        </w:rPr>
        <w:t>The framework takes a comprehensive view and integrates the methods and tools used to manage and measure opera</w:t>
      </w:r>
      <w:r>
        <w:rPr>
          <w:rFonts w:ascii="Arial" w:eastAsia="宋体" w:hAnsi="Arial" w:cs="Arial"/>
          <w:color w:val="000000"/>
          <w:sz w:val="20"/>
          <w:szCs w:val="20"/>
        </w:rPr>
        <w:t>tional risk. The framework utilizes aspects of the Committee of Sponsoring Organizations of the Treadway Commission (COSO) framework and other industry leading practices, and is designed foremost to address our risk management needs while complying with re</w:t>
      </w:r>
      <w:r>
        <w:rPr>
          <w:rFonts w:ascii="Arial" w:eastAsia="宋体" w:hAnsi="Arial" w:cs="Arial"/>
          <w:color w:val="000000"/>
          <w:sz w:val="20"/>
          <w:szCs w:val="20"/>
        </w:rPr>
        <w:t xml:space="preserve">gulatory requirements. The operational risk framework is intended to provide a number of important benefits, including: </w:t>
      </w:r>
    </w:p>
    <w:p w14:paraId="5F2CD6A8" w14:textId="77777777" w:rsidR="00E836FB" w:rsidRDefault="00994958">
      <w:pPr>
        <w:spacing w:before="60"/>
        <w:ind w:hanging="360"/>
        <w:jc w:val="both"/>
        <w:textAlignment w:val="top"/>
      </w:pPr>
      <w:r>
        <w:rPr>
          <w:rFonts w:ascii="Arial" w:eastAsia="宋体" w:hAnsi="Arial" w:cs="Arial"/>
          <w:color w:val="000000"/>
          <w:sz w:val="20"/>
          <w:szCs w:val="20"/>
        </w:rPr>
        <w:t xml:space="preserve">•A common understanding of operational risk management and its supporting processes; </w:t>
      </w:r>
    </w:p>
    <w:p w14:paraId="5F2CD6A9" w14:textId="77777777" w:rsidR="00E836FB" w:rsidRDefault="00994958">
      <w:pPr>
        <w:spacing w:before="60"/>
        <w:ind w:hanging="360"/>
        <w:jc w:val="both"/>
        <w:textAlignment w:val="top"/>
      </w:pPr>
      <w:r>
        <w:rPr>
          <w:rFonts w:ascii="Arial" w:eastAsia="宋体" w:hAnsi="Arial" w:cs="Arial"/>
          <w:color w:val="000000"/>
          <w:sz w:val="20"/>
          <w:szCs w:val="20"/>
        </w:rPr>
        <w:t>•The clarification of responsibilities for the ma</w:t>
      </w:r>
      <w:r>
        <w:rPr>
          <w:rFonts w:ascii="Arial" w:eastAsia="宋体" w:hAnsi="Arial" w:cs="Arial"/>
          <w:color w:val="000000"/>
          <w:sz w:val="20"/>
          <w:szCs w:val="20"/>
        </w:rPr>
        <w:t>nagement of operational risk across our business;</w:t>
      </w:r>
    </w:p>
    <w:p w14:paraId="5F2CD6AA" w14:textId="77777777" w:rsidR="00E836FB" w:rsidRDefault="00994958">
      <w:pPr>
        <w:spacing w:before="60"/>
        <w:ind w:hanging="360"/>
        <w:jc w:val="both"/>
        <w:textAlignment w:val="top"/>
      </w:pPr>
      <w:r>
        <w:rPr>
          <w:rFonts w:ascii="Arial" w:eastAsia="宋体" w:hAnsi="Arial" w:cs="Arial"/>
          <w:color w:val="000000"/>
          <w:sz w:val="20"/>
          <w:szCs w:val="20"/>
        </w:rPr>
        <w:t>•The alignment of business priorities with risk management objectives;</w:t>
      </w:r>
    </w:p>
    <w:p w14:paraId="5F2CD6AB" w14:textId="77777777" w:rsidR="00E836FB" w:rsidRDefault="00994958">
      <w:pPr>
        <w:spacing w:before="60"/>
        <w:ind w:hanging="360"/>
        <w:jc w:val="both"/>
        <w:textAlignment w:val="top"/>
      </w:pPr>
      <w:r>
        <w:rPr>
          <w:rFonts w:ascii="Arial" w:eastAsia="宋体" w:hAnsi="Arial" w:cs="Arial"/>
          <w:color w:val="000000"/>
          <w:sz w:val="20"/>
          <w:szCs w:val="20"/>
        </w:rPr>
        <w:t>•The active management of risk and early identification of emerging risks;</w:t>
      </w:r>
    </w:p>
    <w:p w14:paraId="5F2CD6AC" w14:textId="77777777" w:rsidR="00E836FB" w:rsidRDefault="00994958">
      <w:pPr>
        <w:spacing w:before="60"/>
        <w:ind w:hanging="360"/>
        <w:jc w:val="both"/>
        <w:textAlignment w:val="top"/>
      </w:pPr>
      <w:r>
        <w:rPr>
          <w:rFonts w:ascii="Arial" w:eastAsia="宋体" w:hAnsi="Arial" w:cs="Arial"/>
          <w:color w:val="000000"/>
          <w:sz w:val="20"/>
          <w:szCs w:val="20"/>
        </w:rPr>
        <w:t>•The consistent application of policies and the collection o</w:t>
      </w:r>
      <w:r>
        <w:rPr>
          <w:rFonts w:ascii="Arial" w:eastAsia="宋体" w:hAnsi="Arial" w:cs="Arial"/>
          <w:color w:val="000000"/>
          <w:sz w:val="20"/>
          <w:szCs w:val="20"/>
        </w:rPr>
        <w:t>f data for risk management and measurement; and</w:t>
      </w:r>
    </w:p>
    <w:p w14:paraId="5F2CD6AD" w14:textId="77777777" w:rsidR="00E836FB" w:rsidRDefault="00994958">
      <w:pPr>
        <w:spacing w:before="60"/>
        <w:ind w:hanging="360"/>
        <w:jc w:val="both"/>
        <w:textAlignment w:val="top"/>
      </w:pPr>
      <w:r>
        <w:rPr>
          <w:rFonts w:ascii="Arial" w:eastAsia="宋体" w:hAnsi="Arial" w:cs="Arial"/>
          <w:color w:val="000000"/>
          <w:sz w:val="20"/>
          <w:szCs w:val="20"/>
        </w:rPr>
        <w:t>•The estimation of our operational risk capital requirement.</w:t>
      </w:r>
    </w:p>
    <w:p w14:paraId="5F2CD6AE" w14:textId="77777777" w:rsidR="00E836FB" w:rsidRDefault="00994958">
      <w:pPr>
        <w:spacing w:before="60"/>
        <w:ind w:firstLine="450"/>
        <w:jc w:val="both"/>
        <w:textAlignment w:val="top"/>
      </w:pPr>
      <w:r>
        <w:rPr>
          <w:rFonts w:ascii="Arial" w:eastAsia="宋体" w:hAnsi="Arial" w:cs="Arial"/>
          <w:color w:val="000000"/>
          <w:sz w:val="20"/>
          <w:szCs w:val="20"/>
        </w:rPr>
        <w:t>The operational risk framework employs a distributed risk management infrastructure executed by ERM groups aligned with the business units, which a</w:t>
      </w:r>
      <w:r>
        <w:rPr>
          <w:rFonts w:ascii="Arial" w:eastAsia="宋体" w:hAnsi="Arial" w:cs="Arial"/>
          <w:color w:val="000000"/>
          <w:sz w:val="20"/>
          <w:szCs w:val="20"/>
        </w:rPr>
        <w:t>re responsible for the implementation of the operational risk framework at the business unit level.</w:t>
      </w:r>
    </w:p>
    <w:p w14:paraId="5F2CD6AF" w14:textId="77777777" w:rsidR="00E836FB" w:rsidRDefault="00994958">
      <w:pPr>
        <w:spacing w:before="60"/>
        <w:ind w:firstLine="450"/>
        <w:jc w:val="both"/>
        <w:textAlignment w:val="top"/>
      </w:pPr>
      <w:r>
        <w:rPr>
          <w:rFonts w:ascii="Arial" w:eastAsia="宋体" w:hAnsi="Arial" w:cs="Arial"/>
          <w:color w:val="000000"/>
          <w:sz w:val="20"/>
          <w:szCs w:val="20"/>
        </w:rPr>
        <w:t>As with other risks, senior business unit management is responsible for the day-to-day operational risk management of their respective businesses. It is bus</w:t>
      </w:r>
      <w:r>
        <w:rPr>
          <w:rFonts w:ascii="Arial" w:eastAsia="宋体" w:hAnsi="Arial" w:cs="Arial"/>
          <w:color w:val="000000"/>
          <w:sz w:val="20"/>
          <w:szCs w:val="20"/>
        </w:rPr>
        <w:t xml:space="preserve">iness unit management's responsibility to provide oversight of the implementation and ongoing execution of the operational risk framework within their respective </w:t>
      </w:r>
    </w:p>
    <w:p w14:paraId="5F2CD6B0" w14:textId="77777777" w:rsidR="00E836FB" w:rsidRDefault="00994958">
      <w:pPr>
        <w:ind w:firstLine="450"/>
        <w:jc w:val="right"/>
      </w:pPr>
      <w:r>
        <w:rPr>
          <w:rFonts w:ascii="Arial" w:eastAsia="宋体" w:hAnsi="Arial" w:cs="Arial"/>
          <w:color w:val="000000"/>
          <w:sz w:val="18"/>
          <w:szCs w:val="18"/>
        </w:rPr>
        <w:t>State Street Corporation | 99</w:t>
      </w:r>
    </w:p>
    <w:p w14:paraId="5F2CD6B1" w14:textId="77777777" w:rsidR="00E836FB" w:rsidRDefault="00E836FB">
      <w:pPr>
        <w:ind w:firstLine="450"/>
        <w:jc w:val="center"/>
      </w:pPr>
    </w:p>
    <w:p w14:paraId="5F2CD6B2" w14:textId="77777777" w:rsidR="00E836FB" w:rsidRDefault="00994958">
      <w:r>
        <w:pict w14:anchorId="5F2D6DE8">
          <v:rect id="_x0000_i1123" style="width:415.3pt;height:1.5pt" o:hralign="center" o:hrstd="t" o:hr="t" fillcolor="#a0a0a0" stroked="f"/>
        </w:pict>
      </w:r>
    </w:p>
    <w:p w14:paraId="5F2CD6B3" w14:textId="77777777" w:rsidR="00E836FB" w:rsidRDefault="00994958">
      <w:pPr>
        <w:ind w:firstLine="450"/>
        <w:jc w:val="center"/>
      </w:pPr>
      <w:r>
        <w:rPr>
          <w:rFonts w:ascii="Arial" w:eastAsia="宋体" w:hAnsi="Arial" w:cs="Arial"/>
          <w:b/>
          <w:bCs/>
          <w:color w:val="000000"/>
          <w:sz w:val="20"/>
          <w:szCs w:val="20"/>
        </w:rPr>
        <w:t xml:space="preserve">MANAGEMENT’S DISCUSSION AND ANALYSIS OF FINANCIAL </w:t>
      </w:r>
      <w:r>
        <w:rPr>
          <w:rFonts w:ascii="Arial" w:eastAsia="宋体" w:hAnsi="Arial" w:cs="Arial"/>
          <w:b/>
          <w:bCs/>
          <w:color w:val="000000"/>
          <w:sz w:val="20"/>
          <w:szCs w:val="20"/>
        </w:rPr>
        <w:t>CONDITION</w:t>
      </w:r>
    </w:p>
    <w:p w14:paraId="5F2CD6B4" w14:textId="77777777" w:rsidR="00E836FB" w:rsidRDefault="00994958">
      <w:pPr>
        <w:ind w:firstLine="450"/>
        <w:jc w:val="center"/>
      </w:pPr>
      <w:r>
        <w:rPr>
          <w:rFonts w:ascii="Arial" w:eastAsia="宋体" w:hAnsi="Arial" w:cs="Arial"/>
          <w:b/>
          <w:bCs/>
          <w:color w:val="000000"/>
          <w:sz w:val="20"/>
          <w:szCs w:val="20"/>
        </w:rPr>
        <w:t>AND RESULTS OF OPERATIONS</w:t>
      </w:r>
    </w:p>
    <w:p w14:paraId="5F2CD6B5" w14:textId="77777777" w:rsidR="00E836FB" w:rsidRDefault="00994958">
      <w:pPr>
        <w:spacing w:before="60"/>
        <w:jc w:val="both"/>
        <w:textAlignment w:val="top"/>
      </w:pPr>
      <w:r>
        <w:rPr>
          <w:rFonts w:ascii="Arial" w:eastAsia="宋体" w:hAnsi="Arial" w:cs="Arial"/>
          <w:color w:val="000000"/>
          <w:sz w:val="20"/>
          <w:szCs w:val="20"/>
        </w:rPr>
        <w:t xml:space="preserve">organizations, as well as coordination and communication with ERM. </w:t>
      </w:r>
    </w:p>
    <w:p w14:paraId="5F2CD6B6" w14:textId="77777777" w:rsidR="00E836FB" w:rsidRDefault="00994958">
      <w:pPr>
        <w:spacing w:before="60"/>
        <w:jc w:val="both"/>
        <w:textAlignment w:val="top"/>
      </w:pPr>
      <w:r>
        <w:rPr>
          <w:rFonts w:ascii="Arial" w:eastAsia="宋体" w:hAnsi="Arial" w:cs="Arial"/>
          <w:b/>
          <w:bCs/>
          <w:i/>
          <w:iCs/>
          <w:color w:val="000000"/>
          <w:sz w:val="20"/>
          <w:szCs w:val="20"/>
        </w:rPr>
        <w:t>Consistency and Transparency</w:t>
      </w:r>
    </w:p>
    <w:p w14:paraId="5F2CD6B7" w14:textId="77777777" w:rsidR="00E836FB" w:rsidRDefault="00994958">
      <w:pPr>
        <w:spacing w:before="60"/>
        <w:ind w:firstLine="450"/>
        <w:jc w:val="both"/>
        <w:textAlignment w:val="top"/>
      </w:pPr>
      <w:r>
        <w:rPr>
          <w:rFonts w:ascii="Arial" w:eastAsia="宋体" w:hAnsi="Arial" w:cs="Arial"/>
          <w:color w:val="000000"/>
          <w:sz w:val="20"/>
          <w:szCs w:val="20"/>
        </w:rPr>
        <w:t xml:space="preserve">A number of corporate control functions are directly responsible for implementing and assessing various aspects of our </w:t>
      </w:r>
      <w:r>
        <w:rPr>
          <w:rFonts w:ascii="Arial" w:eastAsia="宋体" w:hAnsi="Arial" w:cs="Arial"/>
          <w:color w:val="000000"/>
          <w:sz w:val="20"/>
          <w:szCs w:val="20"/>
        </w:rPr>
        <w:t>operational risk framework, with the overarching goal of consistency and transparency to meet the evolving needs of the business:</w:t>
      </w:r>
    </w:p>
    <w:p w14:paraId="5F2CD6B8" w14:textId="77777777" w:rsidR="00E836FB" w:rsidRDefault="00994958">
      <w:pPr>
        <w:spacing w:before="60"/>
        <w:ind w:hanging="360"/>
        <w:jc w:val="both"/>
        <w:textAlignment w:val="top"/>
      </w:pPr>
      <w:r>
        <w:rPr>
          <w:rFonts w:ascii="Arial" w:eastAsia="宋体" w:hAnsi="Arial" w:cs="Arial"/>
          <w:color w:val="000000"/>
          <w:sz w:val="20"/>
          <w:szCs w:val="20"/>
        </w:rPr>
        <w:t>•The global head of Operational Risk, a member of the CRO’s executive management team, leads ERM’s corporate ORM group. ORM is</w:t>
      </w:r>
      <w:r>
        <w:rPr>
          <w:rFonts w:ascii="Arial" w:eastAsia="宋体" w:hAnsi="Arial" w:cs="Arial"/>
          <w:color w:val="000000"/>
          <w:sz w:val="20"/>
          <w:szCs w:val="20"/>
        </w:rPr>
        <w:t xml:space="preserve"> responsible for the strategy, evolution and consistent implementation of our operational risk guidelines, framework and supporting tools across our business. ORM reviews and analyzes operational key risk information, events, metrics and indicators at the </w:t>
      </w:r>
      <w:r>
        <w:rPr>
          <w:rFonts w:ascii="Arial" w:eastAsia="宋体" w:hAnsi="Arial" w:cs="Arial"/>
          <w:color w:val="000000"/>
          <w:sz w:val="20"/>
          <w:szCs w:val="20"/>
        </w:rPr>
        <w:t xml:space="preserve">business unit and corporate level for purposes of risk management, reporting and escalation to the CRO, senior management and governance committees; </w:t>
      </w:r>
    </w:p>
    <w:p w14:paraId="5F2CD6B9" w14:textId="77777777" w:rsidR="00E836FB" w:rsidRDefault="00994958">
      <w:pPr>
        <w:spacing w:before="60"/>
        <w:ind w:hanging="360"/>
        <w:jc w:val="both"/>
        <w:textAlignment w:val="top"/>
      </w:pPr>
      <w:r>
        <w:rPr>
          <w:rFonts w:ascii="Arial" w:eastAsia="宋体" w:hAnsi="Arial" w:cs="Arial"/>
          <w:color w:val="000000"/>
          <w:sz w:val="20"/>
          <w:szCs w:val="20"/>
        </w:rPr>
        <w:t>•ERM’s Centralized Modeling and Analytics group develops and maintains operational risk capital estimation</w:t>
      </w:r>
      <w:r>
        <w:rPr>
          <w:rFonts w:ascii="Arial" w:eastAsia="宋体" w:hAnsi="Arial" w:cs="Arial"/>
          <w:color w:val="000000"/>
          <w:sz w:val="20"/>
          <w:szCs w:val="20"/>
        </w:rPr>
        <w:t xml:space="preserve"> models, and ORM's Capital Analysis group calculates our required capital for operational risk;</w:t>
      </w:r>
    </w:p>
    <w:p w14:paraId="5F2CD6BA" w14:textId="77777777" w:rsidR="00E836FB" w:rsidRDefault="00994958">
      <w:pPr>
        <w:spacing w:before="60"/>
        <w:ind w:hanging="360"/>
        <w:jc w:val="both"/>
        <w:textAlignment w:val="top"/>
      </w:pPr>
      <w:r>
        <w:rPr>
          <w:rFonts w:ascii="Arial" w:eastAsia="宋体" w:hAnsi="Arial" w:cs="Arial"/>
          <w:color w:val="000000"/>
          <w:sz w:val="20"/>
          <w:szCs w:val="20"/>
        </w:rPr>
        <w:t>•ERM’s MVG independently validates the quantitative models used to measure operational risk, and ORM performs validation checks on the output of the model;</w:t>
      </w:r>
    </w:p>
    <w:p w14:paraId="5F2CD6BB" w14:textId="77777777" w:rsidR="00E836FB" w:rsidRDefault="00994958">
      <w:pPr>
        <w:spacing w:before="60"/>
        <w:ind w:hanging="360"/>
        <w:jc w:val="both"/>
        <w:textAlignment w:val="top"/>
      </w:pPr>
      <w:r>
        <w:rPr>
          <w:rFonts w:ascii="Arial" w:eastAsia="宋体" w:hAnsi="Arial" w:cs="Arial"/>
          <w:color w:val="000000"/>
          <w:sz w:val="20"/>
          <w:szCs w:val="20"/>
        </w:rPr>
        <w:t>•CIS</w:t>
      </w:r>
      <w:r>
        <w:rPr>
          <w:rFonts w:ascii="Arial" w:eastAsia="宋体" w:hAnsi="Arial" w:cs="Arial"/>
          <w:color w:val="000000"/>
          <w:sz w:val="20"/>
          <w:szCs w:val="20"/>
        </w:rPr>
        <w:t xml:space="preserve"> establishes the framework, policies and related programs to measure, monitor and report on information security risks, including the effectiveness of cybersecurity program protections. CIS defines and manages the enterprise-wide information security progr</w:t>
      </w:r>
      <w:r>
        <w:rPr>
          <w:rFonts w:ascii="Arial" w:eastAsia="宋体" w:hAnsi="Arial" w:cs="Arial"/>
          <w:color w:val="000000"/>
          <w:sz w:val="20"/>
          <w:szCs w:val="20"/>
        </w:rPr>
        <w:t>am. CIS coordinates with Information Technology, control functions and business units to support the confidentiality, integrity and availability of corporate information assets. CIS identifies and employs a risk-based methodology consistent with applicable</w:t>
      </w:r>
      <w:r>
        <w:rPr>
          <w:rFonts w:ascii="Arial" w:eastAsia="宋体" w:hAnsi="Arial" w:cs="Arial"/>
          <w:color w:val="000000"/>
          <w:sz w:val="20"/>
          <w:szCs w:val="20"/>
        </w:rPr>
        <w:t xml:space="preserve"> regulatory cybersecurity requirements and monitors the compliance of our systems with information security policies; and</w:t>
      </w:r>
    </w:p>
    <w:p w14:paraId="5F2CD6BC" w14:textId="77777777" w:rsidR="00E836FB" w:rsidRDefault="00994958">
      <w:pPr>
        <w:spacing w:before="60"/>
        <w:ind w:hanging="360"/>
        <w:jc w:val="both"/>
        <w:textAlignment w:val="top"/>
      </w:pPr>
      <w:r>
        <w:rPr>
          <w:rFonts w:ascii="Arial" w:eastAsia="宋体" w:hAnsi="Arial" w:cs="Arial"/>
          <w:color w:val="000000"/>
          <w:sz w:val="20"/>
          <w:szCs w:val="20"/>
        </w:rPr>
        <w:t>•Corporate Audit performs separate reviews of the application of operational risk management practices and methodologies utilized acro</w:t>
      </w:r>
      <w:r>
        <w:rPr>
          <w:rFonts w:ascii="Arial" w:eastAsia="宋体" w:hAnsi="Arial" w:cs="Arial"/>
          <w:color w:val="000000"/>
          <w:sz w:val="20"/>
          <w:szCs w:val="20"/>
        </w:rPr>
        <w:t>ss our business.</w:t>
      </w:r>
    </w:p>
    <w:p w14:paraId="5F2CD6BD" w14:textId="77777777" w:rsidR="00E836FB" w:rsidRDefault="00994958">
      <w:pPr>
        <w:spacing w:before="60"/>
        <w:ind w:firstLine="450"/>
        <w:jc w:val="both"/>
        <w:textAlignment w:val="top"/>
      </w:pPr>
      <w:r>
        <w:rPr>
          <w:rFonts w:ascii="Arial" w:eastAsia="宋体" w:hAnsi="Arial" w:cs="Arial"/>
          <w:color w:val="000000"/>
          <w:sz w:val="20"/>
          <w:szCs w:val="20"/>
        </w:rPr>
        <w:t xml:space="preserve">Our operational risk framework consists of five components, each described below, which provide a working structure that integrates distinct risk programs into a continuous process focused on </w:t>
      </w:r>
    </w:p>
    <w:p w14:paraId="5F2CD6BE" w14:textId="77777777" w:rsidR="00E836FB" w:rsidRDefault="00994958">
      <w:pPr>
        <w:spacing w:before="60"/>
        <w:jc w:val="both"/>
        <w:textAlignment w:val="top"/>
      </w:pPr>
      <w:r>
        <w:rPr>
          <w:rFonts w:ascii="Arial" w:eastAsia="宋体" w:hAnsi="Arial" w:cs="Arial"/>
          <w:color w:val="000000"/>
          <w:sz w:val="20"/>
          <w:szCs w:val="20"/>
        </w:rPr>
        <w:t>managing and measuring operational risk in a c</w:t>
      </w:r>
      <w:r>
        <w:rPr>
          <w:rFonts w:ascii="Arial" w:eastAsia="宋体" w:hAnsi="Arial" w:cs="Arial"/>
          <w:color w:val="000000"/>
          <w:sz w:val="20"/>
          <w:szCs w:val="20"/>
        </w:rPr>
        <w:t xml:space="preserve">oordinated and consistent manner. </w:t>
      </w:r>
    </w:p>
    <w:p w14:paraId="5F2CD6BF" w14:textId="77777777" w:rsidR="00E836FB" w:rsidRDefault="00994958">
      <w:pPr>
        <w:spacing w:before="60" w:after="60"/>
        <w:ind w:hanging="90"/>
        <w:jc w:val="both"/>
        <w:textAlignment w:val="top"/>
      </w:pPr>
      <w:r>
        <w:rPr>
          <w:rFonts w:ascii="Arial" w:eastAsia="宋体" w:hAnsi="Arial" w:cs="Arial"/>
          <w:b/>
          <w:bCs/>
          <w:i/>
          <w:iCs/>
          <w:color w:val="000000"/>
          <w:sz w:val="20"/>
          <w:szCs w:val="20"/>
        </w:rPr>
        <w:t>Risk Identification and Assessments</w:t>
      </w:r>
    </w:p>
    <w:p w14:paraId="5F2CD6C0" w14:textId="77777777" w:rsidR="00E836FB" w:rsidRDefault="00994958">
      <w:pPr>
        <w:spacing w:after="60"/>
        <w:ind w:firstLine="450"/>
        <w:jc w:val="both"/>
        <w:textAlignment w:val="top"/>
      </w:pPr>
      <w:r>
        <w:rPr>
          <w:rFonts w:ascii="Arial" w:eastAsia="宋体" w:hAnsi="Arial" w:cs="Arial"/>
          <w:color w:val="000000"/>
          <w:sz w:val="20"/>
          <w:szCs w:val="20"/>
        </w:rPr>
        <w:t>The objective of risk identification and assessments is to understand business unit strategy, risk profile and potential exposures. It is achieved through a series of risk assessments a</w:t>
      </w:r>
      <w:r>
        <w:rPr>
          <w:rFonts w:ascii="Arial" w:eastAsia="宋体" w:hAnsi="Arial" w:cs="Arial"/>
          <w:color w:val="000000"/>
          <w:sz w:val="20"/>
          <w:szCs w:val="20"/>
        </w:rPr>
        <w:t>cross our business using techniques for the identification, assessment and measurement of risk across a spectrum of potential frequency and severity combinations, including business-specific programs to identify, assess and measure risk, such as new busine</w:t>
      </w:r>
      <w:r>
        <w:rPr>
          <w:rFonts w:ascii="Arial" w:eastAsia="宋体" w:hAnsi="Arial" w:cs="Arial"/>
          <w:color w:val="000000"/>
          <w:sz w:val="20"/>
          <w:szCs w:val="20"/>
        </w:rPr>
        <w:t>ss and product review and approval, new client screening, and, as deemed appropriate, targeted risk assessments. Two primary risk assessment programs, which occur annually, augmented by other business-specific programs, are the core of this component:</w:t>
      </w:r>
    </w:p>
    <w:p w14:paraId="5F2CD6C1" w14:textId="77777777" w:rsidR="00E836FB" w:rsidRDefault="00994958">
      <w:pPr>
        <w:spacing w:before="60"/>
        <w:ind w:hanging="360"/>
        <w:jc w:val="both"/>
        <w:textAlignment w:val="top"/>
      </w:pPr>
      <w:r>
        <w:rPr>
          <w:rFonts w:ascii="Arial" w:eastAsia="宋体" w:hAnsi="Arial" w:cs="Arial"/>
          <w:color w:val="000000"/>
          <w:sz w:val="20"/>
          <w:szCs w:val="20"/>
        </w:rPr>
        <w:t>•The</w:t>
      </w:r>
      <w:r>
        <w:rPr>
          <w:rFonts w:ascii="Arial" w:eastAsia="宋体" w:hAnsi="Arial" w:cs="Arial"/>
          <w:color w:val="000000"/>
          <w:sz w:val="20"/>
          <w:szCs w:val="20"/>
        </w:rPr>
        <w:t xml:space="preserve"> risk and control assessment program seeks to understand the risks associated with day-to-day activities, and the effectiveness of controls intended to manage potential exposures arising from these activities. These risks are typically frequent in nature b</w:t>
      </w:r>
      <w:r>
        <w:rPr>
          <w:rFonts w:ascii="Arial" w:eastAsia="宋体" w:hAnsi="Arial" w:cs="Arial"/>
          <w:color w:val="000000"/>
          <w:sz w:val="20"/>
          <w:szCs w:val="20"/>
        </w:rPr>
        <w:t>ut generally not severe in terms of exposure; and</w:t>
      </w:r>
    </w:p>
    <w:p w14:paraId="5F2CD6C2" w14:textId="77777777" w:rsidR="00E836FB" w:rsidRDefault="00994958">
      <w:pPr>
        <w:spacing w:before="60"/>
        <w:ind w:hanging="360"/>
        <w:jc w:val="both"/>
        <w:textAlignment w:val="top"/>
      </w:pPr>
      <w:r>
        <w:rPr>
          <w:rFonts w:ascii="Arial" w:eastAsia="宋体" w:hAnsi="Arial" w:cs="Arial"/>
          <w:color w:val="000000"/>
          <w:sz w:val="20"/>
          <w:szCs w:val="20"/>
        </w:rPr>
        <w:t>•The Material Risk Identification process utilizes a bottom-up approach to identify our most significant risk exposures across all on- and off-balance sheet risk-taking activities. The program is specifical</w:t>
      </w:r>
      <w:r>
        <w:rPr>
          <w:rFonts w:ascii="Arial" w:eastAsia="宋体" w:hAnsi="Arial" w:cs="Arial"/>
          <w:color w:val="000000"/>
          <w:sz w:val="20"/>
          <w:szCs w:val="20"/>
        </w:rPr>
        <w:t xml:space="preserve">ly designed to consider risks that could have a material impact irrespective of their likelihood or frequency. This can include risks that may have an impact on longer-term business objectives, such as significant change management activities or long-term </w:t>
      </w:r>
      <w:r>
        <w:rPr>
          <w:rFonts w:ascii="Arial" w:eastAsia="宋体" w:hAnsi="Arial" w:cs="Arial"/>
          <w:color w:val="000000"/>
          <w:sz w:val="20"/>
          <w:szCs w:val="20"/>
        </w:rPr>
        <w:t>strategic initiatives.</w:t>
      </w:r>
    </w:p>
    <w:p w14:paraId="5F2CD6C3" w14:textId="77777777" w:rsidR="00E836FB" w:rsidRDefault="00994958">
      <w:pPr>
        <w:spacing w:before="60"/>
        <w:jc w:val="both"/>
        <w:textAlignment w:val="top"/>
      </w:pPr>
      <w:r>
        <w:rPr>
          <w:rFonts w:ascii="Arial" w:eastAsia="宋体" w:hAnsi="Arial" w:cs="Arial"/>
          <w:b/>
          <w:bCs/>
          <w:i/>
          <w:iCs/>
          <w:color w:val="000000"/>
          <w:sz w:val="20"/>
          <w:szCs w:val="20"/>
        </w:rPr>
        <w:t>Capital Analysis</w:t>
      </w:r>
    </w:p>
    <w:p w14:paraId="5F2CD6C4" w14:textId="77777777" w:rsidR="00E836FB" w:rsidRDefault="00994958">
      <w:pPr>
        <w:spacing w:before="60"/>
        <w:ind w:firstLine="450"/>
        <w:jc w:val="both"/>
        <w:textAlignment w:val="top"/>
      </w:pPr>
      <w:r>
        <w:rPr>
          <w:rFonts w:ascii="Arial" w:eastAsia="宋体" w:hAnsi="Arial" w:cs="Arial"/>
          <w:color w:val="000000"/>
          <w:sz w:val="20"/>
          <w:szCs w:val="20"/>
        </w:rPr>
        <w:t>The primary measurement tool used is an internally developed loss distribution approach (LDA) model. We use the LDA model to quantify required operational risk capital, from which we calculate RWA related to operatio</w:t>
      </w:r>
      <w:r>
        <w:rPr>
          <w:rFonts w:ascii="Arial" w:eastAsia="宋体" w:hAnsi="Arial" w:cs="Arial"/>
          <w:color w:val="000000"/>
          <w:sz w:val="20"/>
          <w:szCs w:val="20"/>
        </w:rPr>
        <w:t>nal risk. Such required capital and RWA totaled $3.64 billion and $45.60 billion, respectively, as of December 31, 2021, compared to $3.53 billion and $44.15 billion, respectively, as of December 31, 2020; refer to the "Capital" section in "Financial Condi</w:t>
      </w:r>
      <w:r>
        <w:rPr>
          <w:rFonts w:ascii="Arial" w:eastAsia="宋体" w:hAnsi="Arial" w:cs="Arial"/>
          <w:color w:val="000000"/>
          <w:sz w:val="20"/>
          <w:szCs w:val="20"/>
        </w:rPr>
        <w:t>tion," of this Management's Discussion and Analysis.</w:t>
      </w:r>
    </w:p>
    <w:p w14:paraId="5F2CD6C5" w14:textId="77777777" w:rsidR="00E836FB" w:rsidRDefault="00994958">
      <w:pPr>
        <w:spacing w:before="60"/>
        <w:ind w:firstLine="450"/>
        <w:jc w:val="both"/>
        <w:textAlignment w:val="top"/>
      </w:pPr>
      <w:r>
        <w:rPr>
          <w:rFonts w:ascii="Arial" w:eastAsia="宋体" w:hAnsi="Arial" w:cs="Arial"/>
          <w:color w:val="000000"/>
          <w:sz w:val="20"/>
          <w:szCs w:val="20"/>
        </w:rPr>
        <w:t>The LDA model incorporates the three required operational risk elements described below:</w:t>
      </w:r>
    </w:p>
    <w:p w14:paraId="5F2CD6C6" w14:textId="77777777" w:rsidR="00E836FB" w:rsidRDefault="00994958">
      <w:pPr>
        <w:spacing w:before="60"/>
        <w:ind w:hanging="360"/>
        <w:jc w:val="both"/>
        <w:textAlignment w:val="top"/>
      </w:pPr>
      <w:r>
        <w:rPr>
          <w:rFonts w:ascii="Arial" w:eastAsia="宋体" w:hAnsi="Arial" w:cs="Arial"/>
          <w:color w:val="000000"/>
          <w:sz w:val="20"/>
          <w:szCs w:val="20"/>
        </w:rPr>
        <w:t xml:space="preserve">•Internal loss event data is collected from across our business in conformity with our operating loss policy that establishes the </w:t>
      </w:r>
    </w:p>
    <w:p w14:paraId="5F2CD6C7" w14:textId="77777777" w:rsidR="00E836FB" w:rsidRDefault="00994958">
      <w:pPr>
        <w:ind w:firstLine="450"/>
        <w:jc w:val="right"/>
      </w:pPr>
      <w:r>
        <w:rPr>
          <w:rFonts w:ascii="Arial" w:eastAsia="宋体" w:hAnsi="Arial" w:cs="Arial"/>
          <w:color w:val="000000"/>
          <w:sz w:val="18"/>
          <w:szCs w:val="18"/>
        </w:rPr>
        <w:t>State Street Corporation | 100</w:t>
      </w:r>
    </w:p>
    <w:p w14:paraId="5F2CD6C8" w14:textId="77777777" w:rsidR="00E836FB" w:rsidRDefault="00E836FB">
      <w:pPr>
        <w:ind w:firstLine="450"/>
        <w:jc w:val="center"/>
      </w:pPr>
    </w:p>
    <w:p w14:paraId="5F2CD6C9" w14:textId="77777777" w:rsidR="00E836FB" w:rsidRDefault="00994958">
      <w:r>
        <w:pict w14:anchorId="5F2D6DE9">
          <v:rect id="_x0000_i1124" style="width:415.3pt;height:1.5pt" o:hralign="center" o:hrstd="t" o:hr="t" fillcolor="#a0a0a0" stroked="f"/>
        </w:pict>
      </w:r>
    </w:p>
    <w:p w14:paraId="5F2CD6CA"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6CB" w14:textId="77777777" w:rsidR="00E836FB" w:rsidRDefault="00994958">
      <w:pPr>
        <w:ind w:firstLine="450"/>
        <w:jc w:val="center"/>
      </w:pPr>
      <w:r>
        <w:rPr>
          <w:rFonts w:ascii="Arial" w:eastAsia="宋体" w:hAnsi="Arial" w:cs="Arial"/>
          <w:b/>
          <w:bCs/>
          <w:color w:val="000000"/>
          <w:sz w:val="20"/>
          <w:szCs w:val="20"/>
        </w:rPr>
        <w:t>AND RESULTS OF OPERATIONS</w:t>
      </w:r>
    </w:p>
    <w:p w14:paraId="5F2CD6CC" w14:textId="77777777" w:rsidR="00E836FB" w:rsidRDefault="00994958">
      <w:pPr>
        <w:spacing w:before="60"/>
        <w:jc w:val="both"/>
        <w:textAlignment w:val="top"/>
      </w:pPr>
      <w:r>
        <w:rPr>
          <w:rFonts w:ascii="Arial" w:eastAsia="宋体" w:hAnsi="Arial" w:cs="Arial"/>
          <w:color w:val="000000"/>
          <w:sz w:val="20"/>
          <w:szCs w:val="20"/>
        </w:rPr>
        <w:t>requi</w:t>
      </w:r>
      <w:r>
        <w:rPr>
          <w:rFonts w:ascii="Arial" w:eastAsia="宋体" w:hAnsi="Arial" w:cs="Arial"/>
          <w:color w:val="000000"/>
          <w:sz w:val="20"/>
          <w:szCs w:val="20"/>
        </w:rPr>
        <w:t>rements for collecting and reporting individual loss events. We categorize the data into seven Basel-defined event types and further subdivide the data by business unit, as deemed appropriate. Each of these loss events are represented in a UOM which is use</w:t>
      </w:r>
      <w:r>
        <w:rPr>
          <w:rFonts w:ascii="Arial" w:eastAsia="宋体" w:hAnsi="Arial" w:cs="Arial"/>
          <w:color w:val="000000"/>
          <w:sz w:val="20"/>
          <w:szCs w:val="20"/>
        </w:rPr>
        <w:t>d to estimate a specific amount of capital required for the types of loss events that fall into each specific category. Some UOMs are measured at the corporate level because they are not “business specific,” such as damage to physical assets, where the cau</w:t>
      </w:r>
      <w:r>
        <w:rPr>
          <w:rFonts w:ascii="Arial" w:eastAsia="宋体" w:hAnsi="Arial" w:cs="Arial"/>
          <w:color w:val="000000"/>
          <w:sz w:val="20"/>
          <w:szCs w:val="20"/>
        </w:rPr>
        <w:t>se of an event is not primarily driven by the behavior of a single business unit. Internal losses of $500 or greater are captured, analyzed and included in the modeling approach. Loss event data is collected using a corporate-wide data collection tool, Inc</w:t>
      </w:r>
      <w:r>
        <w:rPr>
          <w:rFonts w:ascii="Arial" w:eastAsia="宋体" w:hAnsi="Arial" w:cs="Arial"/>
          <w:color w:val="000000"/>
          <w:sz w:val="20"/>
          <w:szCs w:val="20"/>
        </w:rPr>
        <w:t>ident Capture and Management System (ICAMS), to support processes related to analysis, management reporting and the calculation of required capital. Internal loss event data provides our frequency and severity information to our capital calculation process</w:t>
      </w:r>
      <w:r>
        <w:rPr>
          <w:rFonts w:ascii="Arial" w:eastAsia="宋体" w:hAnsi="Arial" w:cs="Arial"/>
          <w:color w:val="000000"/>
          <w:sz w:val="20"/>
          <w:szCs w:val="20"/>
        </w:rPr>
        <w:t xml:space="preserve"> for historical loss events experienced by us. Internal loss event data may be incorporated into our LDA model in a future quarter following the realization of the losses, with the timing and categorization dependent on the processes for model updates and,</w:t>
      </w:r>
      <w:r>
        <w:rPr>
          <w:rFonts w:ascii="Arial" w:eastAsia="宋体" w:hAnsi="Arial" w:cs="Arial"/>
          <w:color w:val="000000"/>
          <w:sz w:val="20"/>
          <w:szCs w:val="20"/>
        </w:rPr>
        <w:t xml:space="preserve"> if applicable, model revalidation and regulatory review and related supervisory processes. An individual loss event can have a significant effect on the output of our LDA model and our operational risk RWA under the advanced approaches depending on the se</w:t>
      </w:r>
      <w:r>
        <w:rPr>
          <w:rFonts w:ascii="Arial" w:eastAsia="宋体" w:hAnsi="Arial" w:cs="Arial"/>
          <w:color w:val="000000"/>
          <w:sz w:val="20"/>
          <w:szCs w:val="20"/>
        </w:rPr>
        <w:t>verity of the loss event, its categorization among the seven Basel-defined UOMs and the stability of the distributional approach for a particular UOM;</w:t>
      </w:r>
    </w:p>
    <w:p w14:paraId="5F2CD6CD" w14:textId="77777777" w:rsidR="00E836FB" w:rsidRDefault="00994958">
      <w:pPr>
        <w:spacing w:before="60"/>
        <w:ind w:hanging="360"/>
        <w:jc w:val="both"/>
        <w:textAlignment w:val="top"/>
      </w:pPr>
      <w:r>
        <w:rPr>
          <w:rFonts w:ascii="Arial" w:eastAsia="宋体" w:hAnsi="Arial" w:cs="Arial"/>
          <w:color w:val="000000"/>
          <w:sz w:val="20"/>
          <w:szCs w:val="20"/>
        </w:rPr>
        <w:t>•External loss event data provides information with respect to loss event severity from other financial i</w:t>
      </w:r>
      <w:r>
        <w:rPr>
          <w:rFonts w:ascii="Arial" w:eastAsia="宋体" w:hAnsi="Arial" w:cs="Arial"/>
          <w:color w:val="000000"/>
          <w:sz w:val="20"/>
          <w:szCs w:val="20"/>
        </w:rPr>
        <w:t xml:space="preserve">nstitutions to inform our capital estimation process of events in similar business units at other banking organizations. This information supplements the data pool available for use in our LDA model. Assessments of the sufficiency of internal data and the </w:t>
      </w:r>
      <w:r>
        <w:rPr>
          <w:rFonts w:ascii="Arial" w:eastAsia="宋体" w:hAnsi="Arial" w:cs="Arial"/>
          <w:color w:val="000000"/>
          <w:sz w:val="20"/>
          <w:szCs w:val="20"/>
        </w:rPr>
        <w:t>relevance of external data are completed before pooling the two data sources for use in our LDA model; and</w:t>
      </w:r>
    </w:p>
    <w:p w14:paraId="5F2CD6CE" w14:textId="77777777" w:rsidR="00E836FB" w:rsidRDefault="00994958">
      <w:pPr>
        <w:spacing w:before="60"/>
        <w:ind w:hanging="360"/>
        <w:jc w:val="both"/>
        <w:textAlignment w:val="top"/>
      </w:pPr>
      <w:r>
        <w:rPr>
          <w:rFonts w:ascii="Arial" w:eastAsia="宋体" w:hAnsi="Arial" w:cs="Arial"/>
          <w:color w:val="000000"/>
          <w:sz w:val="20"/>
          <w:szCs w:val="20"/>
        </w:rPr>
        <w:t xml:space="preserve">•Business environment and internal control factors are gathered from internal loss event data and business-relevant metrics, such as risk assessment </w:t>
      </w:r>
      <w:r>
        <w:rPr>
          <w:rFonts w:ascii="Arial" w:eastAsia="宋体" w:hAnsi="Arial" w:cs="Arial"/>
          <w:color w:val="000000"/>
          <w:sz w:val="20"/>
          <w:szCs w:val="20"/>
        </w:rPr>
        <w:t xml:space="preserve">program results, along with industry loss event data and case studies where appropriate. Business environment </w:t>
      </w:r>
    </w:p>
    <w:p w14:paraId="5F2CD6CF" w14:textId="77777777" w:rsidR="00E836FB" w:rsidRDefault="00994958">
      <w:pPr>
        <w:spacing w:before="60"/>
        <w:jc w:val="both"/>
        <w:textAlignment w:val="top"/>
      </w:pPr>
      <w:r>
        <w:rPr>
          <w:rFonts w:ascii="Arial" w:eastAsia="宋体" w:hAnsi="Arial" w:cs="Arial"/>
          <w:color w:val="000000"/>
          <w:sz w:val="20"/>
          <w:szCs w:val="20"/>
        </w:rPr>
        <w:t>and internal control factors are those characteristics of a bank’s internal and external operating environment that bear an exposure to operation</w:t>
      </w:r>
      <w:r>
        <w:rPr>
          <w:rFonts w:ascii="Arial" w:eastAsia="宋体" w:hAnsi="Arial" w:cs="Arial"/>
          <w:color w:val="000000"/>
          <w:sz w:val="20"/>
          <w:szCs w:val="20"/>
        </w:rPr>
        <w:t xml:space="preserve">al risk. The use of this information indirectly influences our calculation of required capital by providing additional relevant data to workshop participants when reviewing specific UOM risks. </w:t>
      </w:r>
    </w:p>
    <w:p w14:paraId="5F2CD6D0" w14:textId="77777777" w:rsidR="00E836FB" w:rsidRDefault="00994958">
      <w:pPr>
        <w:spacing w:before="60"/>
        <w:jc w:val="both"/>
        <w:textAlignment w:val="top"/>
      </w:pPr>
      <w:r>
        <w:rPr>
          <w:rFonts w:ascii="Arial" w:eastAsia="宋体" w:hAnsi="Arial" w:cs="Arial"/>
          <w:b/>
          <w:bCs/>
          <w:i/>
          <w:iCs/>
          <w:color w:val="000000"/>
          <w:sz w:val="20"/>
          <w:szCs w:val="20"/>
        </w:rPr>
        <w:t>Monitoring, Reporting and Analytics</w:t>
      </w:r>
    </w:p>
    <w:p w14:paraId="5F2CD6D1" w14:textId="77777777" w:rsidR="00E836FB" w:rsidRDefault="00994958">
      <w:pPr>
        <w:spacing w:before="60"/>
        <w:ind w:firstLine="450"/>
        <w:jc w:val="both"/>
        <w:textAlignment w:val="top"/>
      </w:pPr>
      <w:r>
        <w:rPr>
          <w:rFonts w:ascii="Arial" w:eastAsia="宋体" w:hAnsi="Arial" w:cs="Arial"/>
          <w:color w:val="000000"/>
          <w:sz w:val="20"/>
          <w:szCs w:val="20"/>
        </w:rPr>
        <w:t>The objective of risk moni</w:t>
      </w:r>
      <w:r>
        <w:rPr>
          <w:rFonts w:ascii="Arial" w:eastAsia="宋体" w:hAnsi="Arial" w:cs="Arial"/>
          <w:color w:val="000000"/>
          <w:sz w:val="20"/>
          <w:szCs w:val="20"/>
        </w:rPr>
        <w:t>toring is to proactively monitor the changing business environment and corresponding operational risk exposure. It is achieved through a series of quantitative and qualitative monitoring tools that are designed to allow us to understand changes in the busi</w:t>
      </w:r>
      <w:r>
        <w:rPr>
          <w:rFonts w:ascii="Arial" w:eastAsia="宋体" w:hAnsi="Arial" w:cs="Arial"/>
          <w:color w:val="000000"/>
          <w:sz w:val="20"/>
          <w:szCs w:val="20"/>
        </w:rPr>
        <w:t>ness environment, internal control factors, risk metrics, risk assessments, exposures and operating effectiveness, as well as details of loss events and progress on risk initiatives implemented to mitigate potential risk exposures.</w:t>
      </w:r>
    </w:p>
    <w:p w14:paraId="5F2CD6D2" w14:textId="77777777" w:rsidR="00E836FB" w:rsidRDefault="00994958">
      <w:pPr>
        <w:spacing w:before="60"/>
        <w:ind w:firstLine="450"/>
        <w:jc w:val="both"/>
        <w:textAlignment w:val="top"/>
      </w:pPr>
      <w:r>
        <w:rPr>
          <w:rFonts w:ascii="Arial" w:eastAsia="宋体" w:hAnsi="Arial" w:cs="Arial"/>
          <w:color w:val="000000"/>
          <w:sz w:val="20"/>
          <w:szCs w:val="20"/>
        </w:rPr>
        <w:t>Operational risk reporti</w:t>
      </w:r>
      <w:r>
        <w:rPr>
          <w:rFonts w:ascii="Arial" w:eastAsia="宋体" w:hAnsi="Arial" w:cs="Arial"/>
          <w:color w:val="000000"/>
          <w:sz w:val="20"/>
          <w:szCs w:val="20"/>
        </w:rPr>
        <w:t>ng is intended to provide transparency, thereby enabling management to manage risk, provide oversight and escalate issues in a timely manner. It is designed to allow the business units, executive management, and the Board's control functions and committees</w:t>
      </w:r>
      <w:r>
        <w:rPr>
          <w:rFonts w:ascii="Arial" w:eastAsia="宋体" w:hAnsi="Arial" w:cs="Arial"/>
          <w:color w:val="000000"/>
          <w:sz w:val="20"/>
          <w:szCs w:val="20"/>
        </w:rPr>
        <w:t xml:space="preserve"> to gain insight into activities that may result in risks and potential exposures. Reports are intended to identify business activities that are experiencing processing issues, whether or not they result in actual loss events. Reporting includes results of</w:t>
      </w:r>
      <w:r>
        <w:rPr>
          <w:rFonts w:ascii="Arial" w:eastAsia="宋体" w:hAnsi="Arial" w:cs="Arial"/>
          <w:color w:val="000000"/>
          <w:sz w:val="20"/>
          <w:szCs w:val="20"/>
        </w:rPr>
        <w:t xml:space="preserve"> monitoring activities, internal and external examinations, regulatory reviews and control assessments. These elements combine in a manner designed to provide a view of potential and emerging risks facing us and information that details its progress on man</w:t>
      </w:r>
      <w:r>
        <w:rPr>
          <w:rFonts w:ascii="Arial" w:eastAsia="宋体" w:hAnsi="Arial" w:cs="Arial"/>
          <w:color w:val="000000"/>
          <w:sz w:val="20"/>
          <w:szCs w:val="20"/>
        </w:rPr>
        <w:t>aging risks.</w:t>
      </w:r>
    </w:p>
    <w:p w14:paraId="5F2CD6D3" w14:textId="77777777" w:rsidR="00E836FB" w:rsidRDefault="00994958">
      <w:pPr>
        <w:spacing w:before="60"/>
        <w:jc w:val="both"/>
        <w:textAlignment w:val="top"/>
      </w:pPr>
      <w:r>
        <w:rPr>
          <w:rFonts w:ascii="Arial" w:eastAsia="宋体" w:hAnsi="Arial" w:cs="Arial"/>
          <w:b/>
          <w:bCs/>
          <w:i/>
          <w:iCs/>
          <w:color w:val="000000"/>
          <w:sz w:val="20"/>
          <w:szCs w:val="20"/>
        </w:rPr>
        <w:t>Effectiveness and Testing</w:t>
      </w:r>
    </w:p>
    <w:p w14:paraId="5F2CD6D4" w14:textId="77777777" w:rsidR="00E836FB" w:rsidRDefault="00994958">
      <w:pPr>
        <w:spacing w:before="60"/>
        <w:ind w:firstLine="450"/>
        <w:jc w:val="both"/>
        <w:textAlignment w:val="top"/>
      </w:pPr>
      <w:r>
        <w:rPr>
          <w:rFonts w:ascii="Arial" w:eastAsia="宋体" w:hAnsi="Arial" w:cs="Arial"/>
          <w:color w:val="000000"/>
          <w:sz w:val="20"/>
          <w:szCs w:val="20"/>
        </w:rPr>
        <w:t xml:space="preserve">The objective of effectiveness and testing is to verify that internal controls are designed appropriately, are consistent with corporate and regulatory standards, and are operating effectively. It is achieved </w:t>
      </w:r>
      <w:r>
        <w:rPr>
          <w:rFonts w:ascii="Arial" w:eastAsia="宋体" w:hAnsi="Arial" w:cs="Arial"/>
          <w:color w:val="000000"/>
          <w:sz w:val="20"/>
          <w:szCs w:val="20"/>
        </w:rPr>
        <w:t>through a series of assessments by both internal and external parties, independent registered public accounting firms, business self-assessments and other control function reviews, such as a Sarbanes-Oxley Act of 2002 (SOX) testing program.</w:t>
      </w:r>
    </w:p>
    <w:p w14:paraId="5F2CD6D5" w14:textId="77777777" w:rsidR="00E836FB" w:rsidRDefault="00994958">
      <w:pPr>
        <w:spacing w:before="60"/>
        <w:ind w:firstLine="450"/>
        <w:jc w:val="both"/>
        <w:textAlignment w:val="top"/>
      </w:pPr>
      <w:r>
        <w:rPr>
          <w:rFonts w:ascii="Arial" w:eastAsia="宋体" w:hAnsi="Arial" w:cs="Arial"/>
          <w:color w:val="000000"/>
          <w:sz w:val="20"/>
          <w:szCs w:val="20"/>
        </w:rPr>
        <w:t>Consistent with</w:t>
      </w:r>
      <w:r>
        <w:rPr>
          <w:rFonts w:ascii="Arial" w:eastAsia="宋体" w:hAnsi="Arial" w:cs="Arial"/>
          <w:color w:val="000000"/>
          <w:sz w:val="20"/>
          <w:szCs w:val="20"/>
        </w:rPr>
        <w:t xml:space="preserve"> our standard model validation process, the operational risk LDA model is subject to a detailed review, overseen by the MRC. In addition, the model is subject to a rigorous internal governance process. All changes to the model or input parameters, and the </w:t>
      </w:r>
      <w:r>
        <w:rPr>
          <w:rFonts w:ascii="Arial" w:eastAsia="宋体" w:hAnsi="Arial" w:cs="Arial"/>
          <w:color w:val="000000"/>
          <w:sz w:val="20"/>
          <w:szCs w:val="20"/>
        </w:rPr>
        <w:t>deployment of model updates, are reviewed and approved by the Operational Risk Committee, which has oversight responsibility for the model, with technical input from the MRC.</w:t>
      </w:r>
    </w:p>
    <w:p w14:paraId="5F2CD6D6" w14:textId="77777777" w:rsidR="00E836FB" w:rsidRDefault="00994958">
      <w:pPr>
        <w:ind w:firstLine="450"/>
        <w:jc w:val="right"/>
      </w:pPr>
      <w:r>
        <w:rPr>
          <w:rFonts w:ascii="Arial" w:eastAsia="宋体" w:hAnsi="Arial" w:cs="Arial"/>
          <w:color w:val="000000"/>
          <w:sz w:val="18"/>
          <w:szCs w:val="18"/>
        </w:rPr>
        <w:t>State Street Corporation | 101</w:t>
      </w:r>
    </w:p>
    <w:p w14:paraId="5F2CD6D7" w14:textId="77777777" w:rsidR="00E836FB" w:rsidRDefault="00E836FB">
      <w:pPr>
        <w:ind w:firstLine="450"/>
        <w:jc w:val="center"/>
      </w:pPr>
    </w:p>
    <w:p w14:paraId="5F2CD6D8" w14:textId="77777777" w:rsidR="00E836FB" w:rsidRDefault="00994958">
      <w:r>
        <w:pict w14:anchorId="5F2D6DEA">
          <v:rect id="_x0000_i1125" style="width:415.3pt;height:1.5pt" o:hralign="center" o:hrstd="t" o:hr="t" fillcolor="#a0a0a0" stroked="f"/>
        </w:pict>
      </w:r>
    </w:p>
    <w:p w14:paraId="5F2CD6D9" w14:textId="77777777" w:rsidR="00E836FB" w:rsidRDefault="00994958">
      <w:pPr>
        <w:ind w:firstLine="450"/>
        <w:jc w:val="center"/>
      </w:pPr>
      <w:r>
        <w:rPr>
          <w:rFonts w:ascii="Arial" w:eastAsia="宋体" w:hAnsi="Arial" w:cs="Arial"/>
          <w:b/>
          <w:bCs/>
          <w:color w:val="000000"/>
          <w:sz w:val="20"/>
          <w:szCs w:val="20"/>
        </w:rPr>
        <w:t>MANAGEMENT’S DISCUSSION AND ANALYSIS OF FINANCI</w:t>
      </w:r>
      <w:r>
        <w:rPr>
          <w:rFonts w:ascii="Arial" w:eastAsia="宋体" w:hAnsi="Arial" w:cs="Arial"/>
          <w:b/>
          <w:bCs/>
          <w:color w:val="000000"/>
          <w:sz w:val="20"/>
          <w:szCs w:val="20"/>
        </w:rPr>
        <w:t>AL CONDITION</w:t>
      </w:r>
    </w:p>
    <w:p w14:paraId="5F2CD6DA" w14:textId="77777777" w:rsidR="00E836FB" w:rsidRDefault="00994958">
      <w:pPr>
        <w:ind w:firstLine="450"/>
        <w:jc w:val="center"/>
      </w:pPr>
      <w:r>
        <w:rPr>
          <w:rFonts w:ascii="Arial" w:eastAsia="宋体" w:hAnsi="Arial" w:cs="Arial"/>
          <w:b/>
          <w:bCs/>
          <w:color w:val="000000"/>
          <w:sz w:val="20"/>
          <w:szCs w:val="20"/>
        </w:rPr>
        <w:t>AND RESULTS OF OPERATIONS</w:t>
      </w:r>
    </w:p>
    <w:p w14:paraId="5F2CD6DB" w14:textId="77777777" w:rsidR="00E836FB" w:rsidRDefault="00994958">
      <w:pPr>
        <w:spacing w:before="60"/>
        <w:jc w:val="both"/>
        <w:textAlignment w:val="top"/>
      </w:pPr>
      <w:r>
        <w:rPr>
          <w:rFonts w:ascii="Arial" w:eastAsia="宋体" w:hAnsi="Arial" w:cs="Arial"/>
          <w:b/>
          <w:bCs/>
          <w:i/>
          <w:iCs/>
          <w:color w:val="000000"/>
          <w:sz w:val="20"/>
          <w:szCs w:val="20"/>
        </w:rPr>
        <w:t>Documentation and Guidelines</w:t>
      </w:r>
    </w:p>
    <w:p w14:paraId="5F2CD6DC" w14:textId="77777777" w:rsidR="00E836FB" w:rsidRDefault="00994958">
      <w:pPr>
        <w:spacing w:before="60"/>
        <w:ind w:firstLine="450"/>
        <w:jc w:val="both"/>
        <w:textAlignment w:val="top"/>
      </w:pPr>
      <w:r>
        <w:rPr>
          <w:rFonts w:ascii="Arial" w:eastAsia="宋体" w:hAnsi="Arial" w:cs="Arial"/>
          <w:color w:val="000000"/>
          <w:sz w:val="20"/>
          <w:szCs w:val="20"/>
        </w:rPr>
        <w:t xml:space="preserve">Documentation and guidelines allow for consistency and repeatability of the various processes that support the operational risk framework across our business. </w:t>
      </w:r>
    </w:p>
    <w:p w14:paraId="5F2CD6DD" w14:textId="77777777" w:rsidR="00E836FB" w:rsidRDefault="00994958">
      <w:pPr>
        <w:spacing w:before="60"/>
        <w:ind w:firstLine="450"/>
        <w:jc w:val="both"/>
        <w:textAlignment w:val="top"/>
      </w:pPr>
      <w:r>
        <w:rPr>
          <w:rFonts w:ascii="Arial" w:eastAsia="宋体" w:hAnsi="Arial" w:cs="Arial"/>
          <w:color w:val="000000"/>
          <w:sz w:val="20"/>
          <w:szCs w:val="20"/>
        </w:rPr>
        <w:t xml:space="preserve">Operational risk </w:t>
      </w:r>
      <w:r>
        <w:rPr>
          <w:rFonts w:ascii="Arial" w:eastAsia="宋体" w:hAnsi="Arial" w:cs="Arial"/>
          <w:color w:val="000000"/>
          <w:sz w:val="20"/>
          <w:szCs w:val="20"/>
        </w:rPr>
        <w:t>guidelines document our practices and describe the key elements in a business unit's operational risk management program. The purpose of the guidelines is to set forth and define key operational risk terms, provide further detail on our operational risk pr</w:t>
      </w:r>
      <w:r>
        <w:rPr>
          <w:rFonts w:ascii="Arial" w:eastAsia="宋体" w:hAnsi="Arial" w:cs="Arial"/>
          <w:color w:val="000000"/>
          <w:sz w:val="20"/>
          <w:szCs w:val="20"/>
        </w:rPr>
        <w:t>ograms, and detail the business units' responsibilities to identify, assess, measure, monitor and report operational risk. The guideline supports our operational risk policy.</w:t>
      </w:r>
    </w:p>
    <w:p w14:paraId="5F2CD6DE" w14:textId="77777777" w:rsidR="00E836FB" w:rsidRDefault="00994958">
      <w:pPr>
        <w:spacing w:before="60"/>
        <w:ind w:firstLine="450"/>
        <w:jc w:val="both"/>
        <w:textAlignment w:val="top"/>
      </w:pPr>
      <w:r>
        <w:rPr>
          <w:rFonts w:ascii="Arial" w:eastAsia="宋体" w:hAnsi="Arial" w:cs="Arial"/>
          <w:color w:val="000000"/>
          <w:sz w:val="20"/>
          <w:szCs w:val="20"/>
        </w:rPr>
        <w:t>Data standards have been established to maintain consistent data repositories and</w:t>
      </w:r>
      <w:r>
        <w:rPr>
          <w:rFonts w:ascii="Arial" w:eastAsia="宋体" w:hAnsi="Arial" w:cs="Arial"/>
          <w:color w:val="000000"/>
          <w:sz w:val="20"/>
          <w:szCs w:val="20"/>
        </w:rPr>
        <w:t xml:space="preserve"> systems that are controlled, accurate and available on a timely basis to support operational risk management.</w:t>
      </w:r>
    </w:p>
    <w:p w14:paraId="5F2CD6DF" w14:textId="77777777" w:rsidR="00E836FB" w:rsidRDefault="00994958">
      <w:pPr>
        <w:spacing w:before="90"/>
        <w:jc w:val="both"/>
        <w:textAlignment w:val="top"/>
      </w:pPr>
      <w:r>
        <w:rPr>
          <w:rFonts w:ascii="Arial" w:eastAsia="宋体" w:hAnsi="Arial" w:cs="Arial"/>
          <w:b/>
          <w:bCs/>
          <w:color w:val="000000"/>
          <w:sz w:val="20"/>
          <w:szCs w:val="20"/>
        </w:rPr>
        <w:t>Information Technology Risk Management</w:t>
      </w:r>
    </w:p>
    <w:p w14:paraId="5F2CD6E0" w14:textId="77777777" w:rsidR="00E836FB" w:rsidRDefault="00994958">
      <w:pPr>
        <w:spacing w:before="60"/>
        <w:jc w:val="both"/>
        <w:textAlignment w:val="top"/>
      </w:pPr>
      <w:r>
        <w:rPr>
          <w:rFonts w:ascii="Arial" w:eastAsia="宋体" w:hAnsi="Arial" w:cs="Arial"/>
          <w:b/>
          <w:bCs/>
          <w:i/>
          <w:iCs/>
          <w:color w:val="000000"/>
          <w:sz w:val="20"/>
          <w:szCs w:val="20"/>
        </w:rPr>
        <w:t>Overview and Principles</w:t>
      </w:r>
    </w:p>
    <w:p w14:paraId="5F2CD6E1" w14:textId="77777777" w:rsidR="00E836FB" w:rsidRDefault="00994958">
      <w:pPr>
        <w:spacing w:before="60"/>
        <w:ind w:firstLine="450"/>
        <w:jc w:val="both"/>
        <w:textAlignment w:val="top"/>
      </w:pPr>
      <w:r>
        <w:rPr>
          <w:rFonts w:ascii="Arial" w:eastAsia="宋体" w:hAnsi="Arial" w:cs="Arial"/>
          <w:color w:val="000000"/>
          <w:sz w:val="20"/>
          <w:szCs w:val="20"/>
        </w:rPr>
        <w:t>We define technology risk as the risk associated with the use, ownership, operatio</w:t>
      </w:r>
      <w:r>
        <w:rPr>
          <w:rFonts w:ascii="Arial" w:eastAsia="宋体" w:hAnsi="Arial" w:cs="Arial"/>
          <w:color w:val="000000"/>
          <w:sz w:val="20"/>
          <w:szCs w:val="20"/>
        </w:rPr>
        <w:t>n, involvement, influence and adoption of information technology. Technology risk includes risks potentially triggered by technology non-compliance with regulatory obligations, information security and privacy incidents, business disruption, technology int</w:t>
      </w:r>
      <w:r>
        <w:rPr>
          <w:rFonts w:ascii="Arial" w:eastAsia="宋体" w:hAnsi="Arial" w:cs="Arial"/>
          <w:color w:val="000000"/>
          <w:sz w:val="20"/>
          <w:szCs w:val="20"/>
        </w:rPr>
        <w:t>ernal control and process gaps, technology operational events and adoption of new business technologies.</w:t>
      </w:r>
    </w:p>
    <w:p w14:paraId="5F2CD6E2" w14:textId="77777777" w:rsidR="00E836FB" w:rsidRDefault="00994958">
      <w:pPr>
        <w:spacing w:before="60"/>
        <w:ind w:firstLine="450"/>
        <w:jc w:val="both"/>
        <w:textAlignment w:val="top"/>
      </w:pPr>
      <w:r>
        <w:rPr>
          <w:rFonts w:ascii="Arial" w:eastAsia="宋体" w:hAnsi="Arial" w:cs="Arial"/>
          <w:color w:val="000000"/>
          <w:sz w:val="20"/>
          <w:szCs w:val="20"/>
        </w:rPr>
        <w:t>The principal technology risks within our technology risk policy and risk appetite framework include:</w:t>
      </w:r>
    </w:p>
    <w:p w14:paraId="5F2CD6E3" w14:textId="77777777" w:rsidR="00E836FB" w:rsidRDefault="00994958">
      <w:pPr>
        <w:spacing w:before="60"/>
        <w:ind w:hanging="360"/>
        <w:jc w:val="both"/>
        <w:textAlignment w:val="top"/>
      </w:pPr>
      <w:r>
        <w:rPr>
          <w:rFonts w:ascii="Arial" w:eastAsia="宋体" w:hAnsi="Arial" w:cs="Arial"/>
          <w:color w:val="000000"/>
          <w:sz w:val="20"/>
          <w:szCs w:val="20"/>
        </w:rPr>
        <w:t>•Third party and vendor management risk;</w:t>
      </w:r>
    </w:p>
    <w:p w14:paraId="5F2CD6E4" w14:textId="77777777" w:rsidR="00E836FB" w:rsidRDefault="00994958">
      <w:pPr>
        <w:spacing w:before="60"/>
        <w:ind w:hanging="360"/>
        <w:jc w:val="both"/>
        <w:textAlignment w:val="top"/>
      </w:pPr>
      <w:r>
        <w:rPr>
          <w:rFonts w:ascii="Arial" w:eastAsia="宋体" w:hAnsi="Arial" w:cs="Arial"/>
          <w:color w:val="000000"/>
          <w:sz w:val="20"/>
          <w:szCs w:val="20"/>
        </w:rPr>
        <w:t>•Busines</w:t>
      </w:r>
      <w:r>
        <w:rPr>
          <w:rFonts w:ascii="Arial" w:eastAsia="宋体" w:hAnsi="Arial" w:cs="Arial"/>
          <w:color w:val="000000"/>
          <w:sz w:val="20"/>
          <w:szCs w:val="20"/>
        </w:rPr>
        <w:t>s disruption and technology resiliency risk;</w:t>
      </w:r>
    </w:p>
    <w:p w14:paraId="5F2CD6E5" w14:textId="77777777" w:rsidR="00E836FB" w:rsidRDefault="00994958">
      <w:pPr>
        <w:spacing w:before="60"/>
        <w:ind w:hanging="360"/>
        <w:jc w:val="both"/>
        <w:textAlignment w:val="top"/>
      </w:pPr>
      <w:r>
        <w:rPr>
          <w:rFonts w:ascii="Arial" w:eastAsia="宋体" w:hAnsi="Arial" w:cs="Arial"/>
          <w:color w:val="000000"/>
          <w:sz w:val="20"/>
          <w:szCs w:val="20"/>
        </w:rPr>
        <w:t>•Technology change management risk;</w:t>
      </w:r>
    </w:p>
    <w:p w14:paraId="5F2CD6E6" w14:textId="77777777" w:rsidR="00E836FB" w:rsidRDefault="00994958">
      <w:pPr>
        <w:spacing w:before="60"/>
        <w:ind w:hanging="360"/>
        <w:jc w:val="both"/>
        <w:textAlignment w:val="top"/>
      </w:pPr>
      <w:r>
        <w:rPr>
          <w:rFonts w:ascii="Arial" w:eastAsia="宋体" w:hAnsi="Arial" w:cs="Arial"/>
          <w:color w:val="000000"/>
          <w:sz w:val="20"/>
          <w:szCs w:val="20"/>
        </w:rPr>
        <w:t>•Cyber and information security risk;</w:t>
      </w:r>
    </w:p>
    <w:p w14:paraId="5F2CD6E7" w14:textId="77777777" w:rsidR="00E836FB" w:rsidRDefault="00994958">
      <w:pPr>
        <w:spacing w:before="60"/>
        <w:ind w:hanging="360"/>
        <w:jc w:val="both"/>
        <w:textAlignment w:val="top"/>
      </w:pPr>
      <w:r>
        <w:rPr>
          <w:rFonts w:ascii="Arial" w:eastAsia="宋体" w:hAnsi="Arial" w:cs="Arial"/>
          <w:color w:val="000000"/>
          <w:sz w:val="20"/>
          <w:szCs w:val="20"/>
        </w:rPr>
        <w:t>•Technology asset and configuration risk; and</w:t>
      </w:r>
    </w:p>
    <w:p w14:paraId="5F2CD6E8" w14:textId="77777777" w:rsidR="00E836FB" w:rsidRDefault="00994958">
      <w:pPr>
        <w:spacing w:before="60"/>
        <w:ind w:hanging="360"/>
        <w:jc w:val="both"/>
        <w:textAlignment w:val="top"/>
      </w:pPr>
      <w:r>
        <w:rPr>
          <w:rFonts w:ascii="Arial" w:eastAsia="宋体" w:hAnsi="Arial" w:cs="Arial"/>
          <w:color w:val="000000"/>
          <w:sz w:val="20"/>
          <w:szCs w:val="20"/>
        </w:rPr>
        <w:t>•Technology obsolescence risk.</w:t>
      </w:r>
    </w:p>
    <w:p w14:paraId="5F2CD6E9" w14:textId="77777777" w:rsidR="00E836FB" w:rsidRDefault="00994958">
      <w:pPr>
        <w:spacing w:before="60"/>
        <w:jc w:val="both"/>
        <w:textAlignment w:val="top"/>
      </w:pPr>
      <w:r>
        <w:rPr>
          <w:rFonts w:ascii="Arial" w:eastAsia="宋体" w:hAnsi="Arial" w:cs="Arial"/>
          <w:b/>
          <w:bCs/>
          <w:i/>
          <w:iCs/>
          <w:color w:val="000000"/>
          <w:sz w:val="20"/>
          <w:szCs w:val="20"/>
        </w:rPr>
        <w:t>Governance</w:t>
      </w:r>
    </w:p>
    <w:p w14:paraId="5F2CD6EA" w14:textId="77777777" w:rsidR="00E836FB" w:rsidRDefault="00994958">
      <w:pPr>
        <w:spacing w:before="60"/>
        <w:ind w:firstLine="450"/>
        <w:jc w:val="both"/>
        <w:textAlignment w:val="top"/>
      </w:pPr>
      <w:r>
        <w:rPr>
          <w:rFonts w:ascii="Arial" w:eastAsia="宋体" w:hAnsi="Arial" w:cs="Arial"/>
          <w:color w:val="000000"/>
          <w:sz w:val="20"/>
          <w:szCs w:val="20"/>
        </w:rPr>
        <w:t>Our Board is responsible for the approval and ove</w:t>
      </w:r>
      <w:r>
        <w:rPr>
          <w:rFonts w:ascii="Arial" w:eastAsia="宋体" w:hAnsi="Arial" w:cs="Arial"/>
          <w:color w:val="000000"/>
          <w:sz w:val="20"/>
          <w:szCs w:val="20"/>
        </w:rPr>
        <w:t xml:space="preserve">rsight of our overall technology risk framework and program. It does so through its TOPS, which reviews and approves our technology risk policy and appetite framework annually. </w:t>
      </w:r>
    </w:p>
    <w:p w14:paraId="5F2CD6EB" w14:textId="77777777" w:rsidR="00E836FB" w:rsidRDefault="00994958">
      <w:pPr>
        <w:spacing w:before="60"/>
        <w:ind w:firstLine="450"/>
        <w:jc w:val="both"/>
        <w:textAlignment w:val="top"/>
      </w:pPr>
      <w:r>
        <w:rPr>
          <w:rFonts w:ascii="Arial" w:eastAsia="宋体" w:hAnsi="Arial" w:cs="Arial"/>
          <w:color w:val="000000"/>
          <w:sz w:val="20"/>
          <w:szCs w:val="20"/>
        </w:rPr>
        <w:t>Our technology risk policy establishes our approach to our management of techn</w:t>
      </w:r>
      <w:r>
        <w:rPr>
          <w:rFonts w:ascii="Arial" w:eastAsia="宋体" w:hAnsi="Arial" w:cs="Arial"/>
          <w:color w:val="000000"/>
          <w:sz w:val="20"/>
          <w:szCs w:val="20"/>
        </w:rPr>
        <w:t>ology risk across our business. The policy identifies the responsibilities of individuals and committees charged with oversight of the management of technology risk and articulates a broad mandate that supports implementation of the technology risk framewo</w:t>
      </w:r>
      <w:r>
        <w:rPr>
          <w:rFonts w:ascii="Arial" w:eastAsia="宋体" w:hAnsi="Arial" w:cs="Arial"/>
          <w:color w:val="000000"/>
          <w:sz w:val="20"/>
          <w:szCs w:val="20"/>
        </w:rPr>
        <w:t>rk.</w:t>
      </w:r>
    </w:p>
    <w:p w14:paraId="5F2CD6EC" w14:textId="77777777" w:rsidR="00E836FB" w:rsidRDefault="00994958">
      <w:pPr>
        <w:spacing w:before="60"/>
        <w:ind w:firstLine="450"/>
        <w:jc w:val="both"/>
        <w:textAlignment w:val="top"/>
      </w:pPr>
      <w:r>
        <w:rPr>
          <w:rFonts w:ascii="Arial" w:eastAsia="宋体" w:hAnsi="Arial" w:cs="Arial"/>
          <w:color w:val="000000"/>
          <w:sz w:val="20"/>
          <w:szCs w:val="20"/>
        </w:rPr>
        <w:t>Risk control functions in the business are responsible for adopting and executing the information technology risk framework and reporting requirements. They do this, in part, by developing and maintaining an inventory of critical applications and suppo</w:t>
      </w:r>
      <w:r>
        <w:rPr>
          <w:rFonts w:ascii="Arial" w:eastAsia="宋体" w:hAnsi="Arial" w:cs="Arial"/>
          <w:color w:val="000000"/>
          <w:sz w:val="20"/>
          <w:szCs w:val="20"/>
        </w:rPr>
        <w:t>rting infrastructure, as well as identifying, assessing and measuring technology risk utilizing the technology risk framework. They are also responsible for monitoring and evaluating risk on a continual basis using key risk indicators, risk reporting and a</w:t>
      </w:r>
      <w:r>
        <w:rPr>
          <w:rFonts w:ascii="Arial" w:eastAsia="宋体" w:hAnsi="Arial" w:cs="Arial"/>
          <w:color w:val="000000"/>
          <w:sz w:val="20"/>
          <w:szCs w:val="20"/>
        </w:rPr>
        <w:t xml:space="preserve">dopting appropriate risk responses to risk issues. </w:t>
      </w:r>
    </w:p>
    <w:p w14:paraId="5F2CD6ED" w14:textId="77777777" w:rsidR="00E836FB" w:rsidRDefault="00994958">
      <w:pPr>
        <w:spacing w:before="60"/>
        <w:ind w:firstLine="450"/>
        <w:jc w:val="both"/>
        <w:textAlignment w:val="top"/>
      </w:pPr>
      <w:r>
        <w:rPr>
          <w:rFonts w:ascii="Arial" w:eastAsia="宋体" w:hAnsi="Arial" w:cs="Arial"/>
          <w:color w:val="000000"/>
          <w:sz w:val="20"/>
          <w:szCs w:val="20"/>
        </w:rPr>
        <w:t xml:space="preserve">The Chief Technology Risk Officer, a member of the CRO’s executive management team, leads the Enterprise Technology Risk Management (ETRM) function. ETRM is the separate risk function responsible for the </w:t>
      </w:r>
      <w:r>
        <w:rPr>
          <w:rFonts w:ascii="Arial" w:eastAsia="宋体" w:hAnsi="Arial" w:cs="Arial"/>
          <w:color w:val="000000"/>
          <w:sz w:val="20"/>
          <w:szCs w:val="20"/>
        </w:rPr>
        <w:t>technology risk strategy and appetite, and technology risk framework development and execution. ETRM also performs overall technology risk monitoring and reporting to the Board, and provides a separate view of the technology risk posture to executive leade</w:t>
      </w:r>
      <w:r>
        <w:rPr>
          <w:rFonts w:ascii="Arial" w:eastAsia="宋体" w:hAnsi="Arial" w:cs="Arial"/>
          <w:color w:val="000000"/>
          <w:sz w:val="20"/>
          <w:szCs w:val="20"/>
        </w:rPr>
        <w:t xml:space="preserve">rship. </w:t>
      </w:r>
    </w:p>
    <w:p w14:paraId="5F2CD6EE" w14:textId="77777777" w:rsidR="00E836FB" w:rsidRDefault="00994958">
      <w:pPr>
        <w:spacing w:before="60"/>
        <w:ind w:firstLine="450"/>
        <w:jc w:val="both"/>
        <w:textAlignment w:val="top"/>
      </w:pPr>
      <w:r>
        <w:rPr>
          <w:rFonts w:ascii="Arial" w:eastAsia="宋体" w:hAnsi="Arial" w:cs="Arial"/>
          <w:color w:val="000000"/>
          <w:sz w:val="20"/>
          <w:szCs w:val="20"/>
        </w:rPr>
        <w:t>We manage technology risks by:</w:t>
      </w:r>
    </w:p>
    <w:p w14:paraId="5F2CD6EF" w14:textId="77777777" w:rsidR="00E836FB" w:rsidRDefault="00994958">
      <w:pPr>
        <w:spacing w:before="60"/>
        <w:ind w:hanging="360"/>
        <w:jc w:val="both"/>
        <w:textAlignment w:val="top"/>
      </w:pPr>
      <w:r>
        <w:rPr>
          <w:rFonts w:ascii="Arial" w:eastAsia="宋体" w:hAnsi="Arial" w:cs="Arial"/>
          <w:color w:val="000000"/>
          <w:sz w:val="20"/>
          <w:szCs w:val="20"/>
        </w:rPr>
        <w:t>•Coordinating various risk assessment and risk management activities, including ERM operational risk programs;</w:t>
      </w:r>
    </w:p>
    <w:p w14:paraId="5F2CD6F0" w14:textId="77777777" w:rsidR="00E836FB" w:rsidRDefault="00994958">
      <w:pPr>
        <w:spacing w:before="60"/>
        <w:ind w:hanging="360"/>
        <w:jc w:val="both"/>
        <w:textAlignment w:val="top"/>
      </w:pPr>
      <w:r>
        <w:rPr>
          <w:rFonts w:ascii="Arial" w:eastAsia="宋体" w:hAnsi="Arial" w:cs="Arial"/>
          <w:color w:val="000000"/>
          <w:sz w:val="20"/>
          <w:szCs w:val="20"/>
        </w:rPr>
        <w:t>•Establishing, through TORC and TOPS of the Board, the enterprise level technology risk and cyber risk app</w:t>
      </w:r>
      <w:r>
        <w:rPr>
          <w:rFonts w:ascii="Arial" w:eastAsia="宋体" w:hAnsi="Arial" w:cs="Arial"/>
          <w:color w:val="000000"/>
          <w:sz w:val="20"/>
          <w:szCs w:val="20"/>
        </w:rPr>
        <w:t>etite and limits;</w:t>
      </w:r>
    </w:p>
    <w:p w14:paraId="5F2CD6F1" w14:textId="77777777" w:rsidR="00E836FB" w:rsidRDefault="00994958">
      <w:pPr>
        <w:spacing w:before="60"/>
        <w:ind w:hanging="360"/>
        <w:jc w:val="both"/>
        <w:textAlignment w:val="top"/>
      </w:pPr>
      <w:r>
        <w:rPr>
          <w:rFonts w:ascii="Arial" w:eastAsia="宋体" w:hAnsi="Arial" w:cs="Arial"/>
          <w:color w:val="000000"/>
          <w:sz w:val="20"/>
          <w:szCs w:val="20"/>
        </w:rPr>
        <w:t>•Producing enterprise level risk reporting, aggregation, dashboards, profiles and risk appetite statements;</w:t>
      </w:r>
    </w:p>
    <w:p w14:paraId="5F2CD6F2" w14:textId="77777777" w:rsidR="00E836FB" w:rsidRDefault="00994958">
      <w:pPr>
        <w:spacing w:before="60"/>
        <w:ind w:hanging="360"/>
        <w:jc w:val="both"/>
        <w:textAlignment w:val="top"/>
      </w:pPr>
      <w:r>
        <w:rPr>
          <w:rFonts w:ascii="Arial" w:eastAsia="宋体" w:hAnsi="Arial" w:cs="Arial"/>
          <w:color w:val="000000"/>
          <w:sz w:val="20"/>
          <w:szCs w:val="20"/>
        </w:rPr>
        <w:t xml:space="preserve">•Validating appropriateness of reporting of information technology risks and risk acceptance to senior management risk committees </w:t>
      </w:r>
      <w:r>
        <w:rPr>
          <w:rFonts w:ascii="Arial" w:eastAsia="宋体" w:hAnsi="Arial" w:cs="Arial"/>
          <w:color w:val="000000"/>
          <w:sz w:val="20"/>
          <w:szCs w:val="20"/>
        </w:rPr>
        <w:t>and the Board;</w:t>
      </w:r>
    </w:p>
    <w:p w14:paraId="5F2CD6F3" w14:textId="77777777" w:rsidR="00E836FB" w:rsidRDefault="00994958">
      <w:pPr>
        <w:spacing w:before="60"/>
        <w:ind w:hanging="360"/>
        <w:jc w:val="both"/>
        <w:textAlignment w:val="top"/>
      </w:pPr>
      <w:r>
        <w:rPr>
          <w:rFonts w:ascii="Arial" w:eastAsia="宋体" w:hAnsi="Arial" w:cs="Arial"/>
          <w:color w:val="000000"/>
          <w:sz w:val="20"/>
          <w:szCs w:val="20"/>
        </w:rPr>
        <w:t>•Promoting a strong technology risk culture through communication;</w:t>
      </w:r>
    </w:p>
    <w:p w14:paraId="5F2CD6F4" w14:textId="77777777" w:rsidR="00E836FB" w:rsidRDefault="00994958">
      <w:pPr>
        <w:spacing w:before="60"/>
        <w:ind w:hanging="360"/>
        <w:jc w:val="both"/>
        <w:textAlignment w:val="top"/>
      </w:pPr>
      <w:r>
        <w:rPr>
          <w:rFonts w:ascii="Arial" w:eastAsia="宋体" w:hAnsi="Arial" w:cs="Arial"/>
          <w:color w:val="000000"/>
          <w:sz w:val="20"/>
          <w:szCs w:val="20"/>
        </w:rPr>
        <w:t xml:space="preserve">•Serving as an escalation and challenge point for technology risk policy guidance, expectations and clarifications; </w:t>
      </w:r>
    </w:p>
    <w:p w14:paraId="5F2CD6F5" w14:textId="77777777" w:rsidR="00E836FB" w:rsidRDefault="00994958">
      <w:pPr>
        <w:spacing w:before="60"/>
        <w:ind w:hanging="360"/>
        <w:jc w:val="both"/>
        <w:textAlignment w:val="top"/>
      </w:pPr>
      <w:r>
        <w:rPr>
          <w:rFonts w:ascii="Arial" w:eastAsia="宋体" w:hAnsi="Arial" w:cs="Arial"/>
          <w:color w:val="000000"/>
          <w:sz w:val="20"/>
          <w:szCs w:val="20"/>
        </w:rPr>
        <w:t xml:space="preserve">•Assessing effectiveness of key enterprise information technology risk and internal control remediation programs; and </w:t>
      </w:r>
    </w:p>
    <w:p w14:paraId="5F2CD6F6" w14:textId="77777777" w:rsidR="00E836FB" w:rsidRDefault="00994958">
      <w:pPr>
        <w:spacing w:before="60"/>
        <w:ind w:hanging="360"/>
        <w:jc w:val="both"/>
        <w:textAlignment w:val="top"/>
      </w:pPr>
      <w:r>
        <w:rPr>
          <w:rFonts w:ascii="Arial" w:eastAsia="宋体" w:hAnsi="Arial" w:cs="Arial"/>
          <w:color w:val="000000"/>
          <w:sz w:val="20"/>
          <w:szCs w:val="20"/>
        </w:rPr>
        <w:t>•Providing risk oversight, challenge and monitoring for the Global Continuity and Third Party Vendor Management Program, including the co</w:t>
      </w:r>
      <w:r>
        <w:rPr>
          <w:rFonts w:ascii="Arial" w:eastAsia="宋体" w:hAnsi="Arial" w:cs="Arial"/>
          <w:color w:val="000000"/>
          <w:sz w:val="20"/>
          <w:szCs w:val="20"/>
        </w:rPr>
        <w:t>llection of risk appetite, metrics and key risk indicators, and reviewing issue management processes and consistent program adoption.</w:t>
      </w:r>
    </w:p>
    <w:p w14:paraId="5F2CD6F7" w14:textId="77777777" w:rsidR="00E836FB" w:rsidRDefault="00994958">
      <w:pPr>
        <w:ind w:firstLine="450"/>
        <w:jc w:val="right"/>
      </w:pPr>
      <w:r>
        <w:rPr>
          <w:rFonts w:ascii="Arial" w:eastAsia="宋体" w:hAnsi="Arial" w:cs="Arial"/>
          <w:color w:val="000000"/>
          <w:sz w:val="18"/>
          <w:szCs w:val="18"/>
        </w:rPr>
        <w:t>State Street Corporation | 102</w:t>
      </w:r>
    </w:p>
    <w:p w14:paraId="5F2CD6F8" w14:textId="77777777" w:rsidR="00E836FB" w:rsidRDefault="00E836FB">
      <w:pPr>
        <w:ind w:firstLine="450"/>
        <w:jc w:val="center"/>
      </w:pPr>
    </w:p>
    <w:p w14:paraId="5F2CD6F9" w14:textId="77777777" w:rsidR="00E836FB" w:rsidRDefault="00994958">
      <w:r>
        <w:pict w14:anchorId="5F2D6DEB">
          <v:rect id="_x0000_i1126" style="width:415.3pt;height:1.5pt" o:hralign="center" o:hrstd="t" o:hr="t" fillcolor="#a0a0a0" stroked="f"/>
        </w:pict>
      </w:r>
    </w:p>
    <w:p w14:paraId="5F2CD6FA"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6FB" w14:textId="77777777" w:rsidR="00E836FB" w:rsidRDefault="00994958">
      <w:pPr>
        <w:ind w:firstLine="450"/>
        <w:jc w:val="center"/>
      </w:pPr>
      <w:r>
        <w:rPr>
          <w:rFonts w:ascii="Arial" w:eastAsia="宋体" w:hAnsi="Arial" w:cs="Arial"/>
          <w:b/>
          <w:bCs/>
          <w:color w:val="000000"/>
          <w:sz w:val="20"/>
          <w:szCs w:val="20"/>
        </w:rPr>
        <w:t>AND RESULTS OF OPERATIONS</w:t>
      </w:r>
    </w:p>
    <w:p w14:paraId="5F2CD6FC" w14:textId="77777777" w:rsidR="00E836FB" w:rsidRDefault="00994958">
      <w:pPr>
        <w:spacing w:before="60"/>
        <w:textAlignment w:val="top"/>
      </w:pPr>
      <w:r>
        <w:rPr>
          <w:rFonts w:ascii="Arial" w:eastAsia="宋体" w:hAnsi="Arial" w:cs="Arial"/>
          <w:b/>
          <w:bCs/>
          <w:i/>
          <w:iCs/>
          <w:color w:val="000000"/>
          <w:sz w:val="20"/>
          <w:szCs w:val="20"/>
        </w:rPr>
        <w:t>Cy</w:t>
      </w:r>
      <w:r>
        <w:rPr>
          <w:rFonts w:ascii="Arial" w:eastAsia="宋体" w:hAnsi="Arial" w:cs="Arial"/>
          <w:b/>
          <w:bCs/>
          <w:i/>
          <w:iCs/>
          <w:color w:val="000000"/>
          <w:sz w:val="20"/>
          <w:szCs w:val="20"/>
        </w:rPr>
        <w:t>bersecurity Risk Management</w:t>
      </w:r>
    </w:p>
    <w:p w14:paraId="5F2CD6FD" w14:textId="77777777" w:rsidR="00E836FB" w:rsidRDefault="00994958">
      <w:pPr>
        <w:spacing w:before="60"/>
        <w:ind w:firstLine="450"/>
        <w:jc w:val="both"/>
        <w:textAlignment w:val="top"/>
      </w:pPr>
      <w:r>
        <w:rPr>
          <w:rFonts w:ascii="Arial" w:eastAsia="宋体" w:hAnsi="Arial" w:cs="Arial"/>
          <w:color w:val="000000"/>
          <w:sz w:val="20"/>
          <w:szCs w:val="20"/>
        </w:rPr>
        <w:t>Cybersecurity risk is managed as part of our overall information technology risk framework as outlined above under the direction of our Chief Information Security Officer.</w:t>
      </w:r>
    </w:p>
    <w:p w14:paraId="5F2CD6FE" w14:textId="77777777" w:rsidR="00E836FB" w:rsidRDefault="00994958">
      <w:pPr>
        <w:spacing w:before="60" w:after="60"/>
        <w:ind w:firstLine="450"/>
        <w:jc w:val="both"/>
        <w:textAlignment w:val="top"/>
      </w:pPr>
      <w:r>
        <w:rPr>
          <w:rFonts w:ascii="Arial" w:eastAsia="宋体" w:hAnsi="Arial" w:cs="Arial"/>
          <w:color w:val="000000"/>
          <w:sz w:val="20"/>
          <w:szCs w:val="20"/>
        </w:rPr>
        <w:t xml:space="preserve">We recognize the significance of cyber-attacks and have </w:t>
      </w:r>
      <w:r>
        <w:rPr>
          <w:rFonts w:ascii="Arial" w:eastAsia="宋体" w:hAnsi="Arial" w:cs="Arial"/>
          <w:color w:val="000000"/>
          <w:sz w:val="20"/>
          <w:szCs w:val="20"/>
        </w:rPr>
        <w:t>taken steps to mitigate the risks associated with them. We have made significant investments in building a mature cybersecurity program to leverage people, technology and processes to protect our systems and the data in our care. We have also implemented a</w:t>
      </w:r>
      <w:r>
        <w:rPr>
          <w:rFonts w:ascii="Arial" w:eastAsia="宋体" w:hAnsi="Arial" w:cs="Arial"/>
          <w:color w:val="000000"/>
          <w:sz w:val="20"/>
          <w:szCs w:val="20"/>
        </w:rPr>
        <w:t xml:space="preserve"> program to help us better measure and manage the cybersecurity risk we face when we engage with third parties for services.</w:t>
      </w:r>
    </w:p>
    <w:p w14:paraId="5F2CD6FF" w14:textId="77777777" w:rsidR="00E836FB" w:rsidRDefault="00994958">
      <w:pPr>
        <w:spacing w:before="60" w:after="60"/>
        <w:ind w:firstLine="450"/>
        <w:jc w:val="both"/>
        <w:textAlignment w:val="top"/>
      </w:pPr>
      <w:r>
        <w:rPr>
          <w:rFonts w:ascii="Arial" w:eastAsia="宋体" w:hAnsi="Arial" w:cs="Arial"/>
          <w:color w:val="000000"/>
          <w:sz w:val="20"/>
          <w:szCs w:val="20"/>
        </w:rPr>
        <w:t>All employees are required to adhere to our cybersecurity policy and standards. Our centralized information security group provides</w:t>
      </w:r>
      <w:r>
        <w:rPr>
          <w:rFonts w:ascii="Arial" w:eastAsia="宋体" w:hAnsi="Arial" w:cs="Arial"/>
          <w:color w:val="000000"/>
          <w:sz w:val="20"/>
          <w:szCs w:val="20"/>
        </w:rPr>
        <w:t xml:space="preserve"> education and training. This training includes a required annual online training class for all employees, multiple simulated phishing attacks and regular information security awareness materials. </w:t>
      </w:r>
    </w:p>
    <w:p w14:paraId="5F2CD700" w14:textId="77777777" w:rsidR="00E836FB" w:rsidRDefault="00994958">
      <w:pPr>
        <w:spacing w:before="60" w:after="60"/>
        <w:ind w:firstLine="450"/>
        <w:jc w:val="both"/>
        <w:textAlignment w:val="top"/>
      </w:pPr>
      <w:r>
        <w:rPr>
          <w:rFonts w:ascii="Arial" w:eastAsia="宋体" w:hAnsi="Arial" w:cs="Arial"/>
          <w:color w:val="000000"/>
          <w:sz w:val="20"/>
          <w:szCs w:val="20"/>
        </w:rPr>
        <w:t>We employ Information Security Officers to help the busine</w:t>
      </w:r>
      <w:r>
        <w:rPr>
          <w:rFonts w:ascii="Arial" w:eastAsia="宋体" w:hAnsi="Arial" w:cs="Arial"/>
          <w:color w:val="000000"/>
          <w:sz w:val="20"/>
          <w:szCs w:val="20"/>
        </w:rPr>
        <w:t xml:space="preserve">ss better understand and manage their information security risks, as well as to work with the centralized Information Security team to drive awareness and compliance throughout the business. </w:t>
      </w:r>
    </w:p>
    <w:p w14:paraId="5F2CD701" w14:textId="77777777" w:rsidR="00E836FB" w:rsidRDefault="00994958">
      <w:pPr>
        <w:spacing w:before="60" w:after="60"/>
        <w:ind w:firstLine="450"/>
        <w:jc w:val="both"/>
        <w:textAlignment w:val="top"/>
      </w:pPr>
      <w:r>
        <w:rPr>
          <w:rFonts w:ascii="Arial" w:eastAsia="宋体" w:hAnsi="Arial" w:cs="Arial"/>
          <w:color w:val="000000"/>
          <w:sz w:val="20"/>
          <w:szCs w:val="20"/>
        </w:rPr>
        <w:t>We use independent third parties to perform ethical hacks of key</w:t>
      </w:r>
      <w:r>
        <w:rPr>
          <w:rFonts w:ascii="Arial" w:eastAsia="宋体" w:hAnsi="Arial" w:cs="Arial"/>
          <w:color w:val="000000"/>
          <w:sz w:val="20"/>
          <w:szCs w:val="20"/>
        </w:rPr>
        <w:t xml:space="preserve"> systems to help us better understand the effectiveness of our controls and to better implement more effective controls, and we engage with third parties to conduct reviews of our overall program to help us better align our cybersecurity program with what </w:t>
      </w:r>
      <w:r>
        <w:rPr>
          <w:rFonts w:ascii="Arial" w:eastAsia="宋体" w:hAnsi="Arial" w:cs="Arial"/>
          <w:color w:val="000000"/>
          <w:sz w:val="20"/>
          <w:szCs w:val="20"/>
        </w:rPr>
        <w:t>is required of a large financial services organization.</w:t>
      </w:r>
    </w:p>
    <w:p w14:paraId="5F2CD702" w14:textId="77777777" w:rsidR="00E836FB" w:rsidRDefault="00994958">
      <w:pPr>
        <w:spacing w:before="60" w:after="60"/>
        <w:ind w:firstLine="450"/>
        <w:jc w:val="both"/>
        <w:textAlignment w:val="top"/>
      </w:pPr>
      <w:r>
        <w:rPr>
          <w:rFonts w:ascii="Arial" w:eastAsia="宋体" w:hAnsi="Arial" w:cs="Arial"/>
          <w:color w:val="000000"/>
          <w:sz w:val="20"/>
          <w:szCs w:val="20"/>
        </w:rPr>
        <w:t>We have an incident response program in place that is designed to enable a well-coordinated response to mitigate the impact of cyber-attacks, recover from the attack and to drive the appropriate level</w:t>
      </w:r>
      <w:r>
        <w:rPr>
          <w:rFonts w:ascii="Arial" w:eastAsia="宋体" w:hAnsi="Arial" w:cs="Arial"/>
          <w:color w:val="000000"/>
          <w:sz w:val="20"/>
          <w:szCs w:val="20"/>
        </w:rPr>
        <w:t xml:space="preserve"> of communication to internal and external stakeholders. </w:t>
      </w:r>
    </w:p>
    <w:p w14:paraId="5F2CD703" w14:textId="77777777" w:rsidR="00E836FB" w:rsidRDefault="00994958">
      <w:pPr>
        <w:ind w:firstLine="450"/>
        <w:jc w:val="both"/>
        <w:textAlignment w:val="top"/>
      </w:pPr>
      <w:r>
        <w:rPr>
          <w:rFonts w:ascii="Arial" w:eastAsia="宋体" w:hAnsi="Arial" w:cs="Arial"/>
          <w:color w:val="000000"/>
          <w:sz w:val="20"/>
          <w:szCs w:val="20"/>
        </w:rPr>
        <w:t>The TORC assesses and manages the effectiveness of our cybersecurity program, which is overseen by the TOPS of our Board. The TOPS receives regular cybersecurity updates throughout the year and is r</w:t>
      </w:r>
      <w:r>
        <w:rPr>
          <w:rFonts w:ascii="Arial" w:eastAsia="宋体" w:hAnsi="Arial" w:cs="Arial"/>
          <w:color w:val="000000"/>
          <w:sz w:val="20"/>
          <w:szCs w:val="20"/>
        </w:rPr>
        <w:t xml:space="preserve">esponsible for reviewing and approving the program on an annual basis. </w:t>
      </w:r>
    </w:p>
    <w:p w14:paraId="5F2CD704" w14:textId="77777777" w:rsidR="00E836FB" w:rsidRDefault="00994958">
      <w:pPr>
        <w:spacing w:before="90"/>
        <w:jc w:val="both"/>
        <w:textAlignment w:val="top"/>
      </w:pPr>
      <w:r>
        <w:rPr>
          <w:rFonts w:ascii="Arial" w:eastAsia="宋体" w:hAnsi="Arial" w:cs="Arial"/>
          <w:b/>
          <w:bCs/>
          <w:color w:val="000000"/>
          <w:sz w:val="20"/>
          <w:szCs w:val="20"/>
        </w:rPr>
        <w:t>Market Risk Management</w:t>
      </w:r>
    </w:p>
    <w:p w14:paraId="5F2CD705" w14:textId="77777777" w:rsidR="00E836FB" w:rsidRDefault="00994958">
      <w:pPr>
        <w:spacing w:before="60"/>
        <w:ind w:firstLine="450"/>
        <w:jc w:val="both"/>
        <w:textAlignment w:val="top"/>
      </w:pPr>
      <w:r>
        <w:rPr>
          <w:rFonts w:ascii="Arial" w:eastAsia="宋体" w:hAnsi="Arial" w:cs="Arial"/>
          <w:color w:val="000000"/>
          <w:sz w:val="20"/>
          <w:szCs w:val="20"/>
        </w:rPr>
        <w:t>Market risk is defined by U.S. banking regulators as the risk of loss that could result from broad market movements, such as changes in the general level of inte</w:t>
      </w:r>
      <w:r>
        <w:rPr>
          <w:rFonts w:ascii="Arial" w:eastAsia="宋体" w:hAnsi="Arial" w:cs="Arial"/>
          <w:color w:val="000000"/>
          <w:sz w:val="20"/>
          <w:szCs w:val="20"/>
        </w:rPr>
        <w:t xml:space="preserve">rest rates, credit spreads, foreign exchange rates or commodity prices. We are exposed to market risk in both our trading and certain of our non-trading, or asset-and-liability management, activities. </w:t>
      </w:r>
    </w:p>
    <w:p w14:paraId="5F2CD706" w14:textId="77777777" w:rsidR="00E836FB" w:rsidRDefault="00994958">
      <w:pPr>
        <w:spacing w:before="60"/>
        <w:ind w:firstLine="450"/>
        <w:jc w:val="both"/>
        <w:textAlignment w:val="top"/>
      </w:pPr>
      <w:r>
        <w:rPr>
          <w:rFonts w:ascii="Arial" w:eastAsia="宋体" w:hAnsi="Arial" w:cs="Arial"/>
          <w:color w:val="000000"/>
          <w:sz w:val="20"/>
          <w:szCs w:val="20"/>
        </w:rPr>
        <w:t xml:space="preserve">Information about the market risk associated with our </w:t>
      </w:r>
      <w:r>
        <w:rPr>
          <w:rFonts w:ascii="Arial" w:eastAsia="宋体" w:hAnsi="Arial" w:cs="Arial"/>
          <w:color w:val="000000"/>
          <w:sz w:val="20"/>
          <w:szCs w:val="20"/>
        </w:rPr>
        <w:t>trading activities is provided below under “Trading Activities.” Information about the market risk associated with our non-trading activities, which consists primarily of interest rate risk, is provided below under “Asset-and-Liability Management Activitie</w:t>
      </w:r>
      <w:r>
        <w:rPr>
          <w:rFonts w:ascii="Arial" w:eastAsia="宋体" w:hAnsi="Arial" w:cs="Arial"/>
          <w:color w:val="000000"/>
          <w:sz w:val="20"/>
          <w:szCs w:val="20"/>
        </w:rPr>
        <w:t>s.”</w:t>
      </w:r>
    </w:p>
    <w:p w14:paraId="5F2CD707" w14:textId="77777777" w:rsidR="00E836FB" w:rsidRDefault="00994958">
      <w:pPr>
        <w:spacing w:before="60"/>
        <w:jc w:val="both"/>
        <w:textAlignment w:val="top"/>
      </w:pPr>
      <w:r>
        <w:rPr>
          <w:rFonts w:ascii="Arial" w:eastAsia="宋体" w:hAnsi="Arial" w:cs="Arial"/>
          <w:b/>
          <w:bCs/>
          <w:i/>
          <w:iCs/>
          <w:color w:val="000000"/>
          <w:sz w:val="20"/>
          <w:szCs w:val="20"/>
        </w:rPr>
        <w:t>Trading Activities</w:t>
      </w:r>
    </w:p>
    <w:p w14:paraId="5F2CD708" w14:textId="77777777" w:rsidR="00E836FB" w:rsidRDefault="00994958">
      <w:pPr>
        <w:spacing w:before="60"/>
        <w:ind w:firstLine="450"/>
        <w:jc w:val="both"/>
        <w:textAlignment w:val="top"/>
      </w:pPr>
      <w:r>
        <w:rPr>
          <w:rFonts w:ascii="Arial" w:eastAsia="宋体" w:hAnsi="Arial" w:cs="Arial"/>
          <w:color w:val="000000"/>
          <w:sz w:val="20"/>
          <w:szCs w:val="20"/>
        </w:rPr>
        <w:t>In the conduct of our trading activities, we assume market risk, the level of which is a function of our overall risk appetite, business objectives and liquidity needs, our clients' requirements and market volatility and our execution against those factors</w:t>
      </w:r>
      <w:r>
        <w:rPr>
          <w:rFonts w:ascii="Arial" w:eastAsia="宋体" w:hAnsi="Arial" w:cs="Arial"/>
          <w:color w:val="000000"/>
          <w:sz w:val="20"/>
          <w:szCs w:val="20"/>
        </w:rPr>
        <w:t xml:space="preserve">. </w:t>
      </w:r>
    </w:p>
    <w:p w14:paraId="5F2CD709" w14:textId="77777777" w:rsidR="00E836FB" w:rsidRDefault="00994958">
      <w:pPr>
        <w:spacing w:before="60"/>
        <w:ind w:firstLine="450"/>
        <w:jc w:val="both"/>
        <w:textAlignment w:val="top"/>
      </w:pPr>
      <w:r>
        <w:rPr>
          <w:rFonts w:ascii="Arial" w:eastAsia="宋体" w:hAnsi="Arial" w:cs="Arial"/>
          <w:color w:val="000000"/>
          <w:sz w:val="20"/>
          <w:szCs w:val="20"/>
        </w:rPr>
        <w:t>We engage in trading activities primarily to support our clients' needs and to contribute to our overall corporate earnings and liquidity. In connection with certain of these trading activities, we enter into a variety of derivative financial instrument</w:t>
      </w:r>
      <w:r>
        <w:rPr>
          <w:rFonts w:ascii="Arial" w:eastAsia="宋体" w:hAnsi="Arial" w:cs="Arial"/>
          <w:color w:val="000000"/>
          <w:sz w:val="20"/>
          <w:szCs w:val="20"/>
        </w:rPr>
        <w:t>s to support our clients' needs and to manage our interest rate and currency risk. These activities are generally intended to generate foreign exchange trading services revenue and to manage potential earnings volatility. In addition, we provide services r</w:t>
      </w:r>
      <w:r>
        <w:rPr>
          <w:rFonts w:ascii="Arial" w:eastAsia="宋体" w:hAnsi="Arial" w:cs="Arial"/>
          <w:color w:val="000000"/>
          <w:sz w:val="20"/>
          <w:szCs w:val="20"/>
        </w:rPr>
        <w:t>elated to derivatives in our role as both a manager and a servicer of financial assets.</w:t>
      </w:r>
    </w:p>
    <w:p w14:paraId="5F2CD70A" w14:textId="77777777" w:rsidR="00E836FB" w:rsidRDefault="00994958">
      <w:pPr>
        <w:spacing w:before="60"/>
        <w:ind w:firstLine="450"/>
        <w:jc w:val="both"/>
        <w:textAlignment w:val="top"/>
      </w:pPr>
      <w:r>
        <w:rPr>
          <w:rFonts w:ascii="Arial" w:eastAsia="宋体" w:hAnsi="Arial" w:cs="Arial"/>
          <w:color w:val="000000"/>
          <w:sz w:val="20"/>
          <w:szCs w:val="20"/>
        </w:rPr>
        <w:t>Our clients use derivatives to manage the financial risks associated with their investment goals and business activities. With the growth of cross-border investing, our</w:t>
      </w:r>
      <w:r>
        <w:rPr>
          <w:rFonts w:ascii="Arial" w:eastAsia="宋体" w:hAnsi="Arial" w:cs="Arial"/>
          <w:color w:val="000000"/>
          <w:sz w:val="20"/>
          <w:szCs w:val="20"/>
        </w:rPr>
        <w:t xml:space="preserve"> clients often enter into foreign exchange forward contracts to convert currency for international investments and to manage the currency risk in their international investment portfolios. As an active participant in the foreign exchange markets, we provid</w:t>
      </w:r>
      <w:r>
        <w:rPr>
          <w:rFonts w:ascii="Arial" w:eastAsia="宋体" w:hAnsi="Arial" w:cs="Arial"/>
          <w:color w:val="000000"/>
          <w:sz w:val="20"/>
          <w:szCs w:val="20"/>
        </w:rPr>
        <w:t xml:space="preserve">e foreign exchange forward and option contracts in support of these client needs, and also act as a dealer in the currency markets.   </w:t>
      </w:r>
    </w:p>
    <w:p w14:paraId="5F2CD70B" w14:textId="77777777" w:rsidR="00E836FB" w:rsidRDefault="00994958">
      <w:pPr>
        <w:spacing w:before="60"/>
        <w:ind w:firstLine="450"/>
        <w:jc w:val="both"/>
        <w:textAlignment w:val="top"/>
      </w:pPr>
      <w:r>
        <w:rPr>
          <w:rFonts w:ascii="Arial" w:eastAsia="宋体" w:hAnsi="Arial" w:cs="Arial"/>
          <w:color w:val="000000"/>
          <w:sz w:val="20"/>
          <w:szCs w:val="20"/>
        </w:rPr>
        <w:t>As part of our trading activities, we assume positions in the foreign exchange and interest rate markets by buying and se</w:t>
      </w:r>
      <w:r>
        <w:rPr>
          <w:rFonts w:ascii="Arial" w:eastAsia="宋体" w:hAnsi="Arial" w:cs="Arial"/>
          <w:color w:val="000000"/>
          <w:sz w:val="20"/>
          <w:szCs w:val="20"/>
        </w:rPr>
        <w:t>lling cash instruments and entering into derivative instruments, including foreign exchange forward contracts, foreign exchange and interest rate options and interest rate swaps, interest rate forward contracts and interest rate futures. As of December 31,</w:t>
      </w:r>
      <w:r>
        <w:rPr>
          <w:rFonts w:ascii="Arial" w:eastAsia="宋体" w:hAnsi="Arial" w:cs="Arial"/>
          <w:color w:val="000000"/>
          <w:sz w:val="20"/>
          <w:szCs w:val="20"/>
        </w:rPr>
        <w:t xml:space="preserve"> 2021, the notional amount of these derivative contracts was $2.60 trillion, of which $2.58 trillion was composed of foreign exchange forward, swap and spot contracts. We seek to match positions closely with the objective of mitigating related currency and</w:t>
      </w:r>
      <w:r>
        <w:rPr>
          <w:rFonts w:ascii="Arial" w:eastAsia="宋体" w:hAnsi="Arial" w:cs="Arial"/>
          <w:color w:val="000000"/>
          <w:sz w:val="20"/>
          <w:szCs w:val="20"/>
        </w:rPr>
        <w:t xml:space="preserve"> interest rate risk. All foreign exchange contracts are valued daily at current market rates. </w:t>
      </w:r>
    </w:p>
    <w:p w14:paraId="5F2CD70C" w14:textId="77777777" w:rsidR="00E836FB" w:rsidRDefault="00994958">
      <w:pPr>
        <w:spacing w:before="60"/>
        <w:jc w:val="both"/>
        <w:textAlignment w:val="top"/>
      </w:pPr>
      <w:r>
        <w:rPr>
          <w:rFonts w:ascii="Arial" w:eastAsia="宋体" w:hAnsi="Arial" w:cs="Arial"/>
          <w:b/>
          <w:bCs/>
          <w:i/>
          <w:iCs/>
          <w:color w:val="000000"/>
          <w:sz w:val="20"/>
          <w:szCs w:val="20"/>
        </w:rPr>
        <w:t>Governance</w:t>
      </w:r>
    </w:p>
    <w:p w14:paraId="5F2CD70D" w14:textId="77777777" w:rsidR="00E836FB" w:rsidRDefault="00994958">
      <w:pPr>
        <w:spacing w:before="60"/>
        <w:ind w:firstLine="450"/>
        <w:jc w:val="both"/>
        <w:textAlignment w:val="top"/>
      </w:pPr>
      <w:r>
        <w:rPr>
          <w:rFonts w:ascii="Arial" w:eastAsia="宋体" w:hAnsi="Arial" w:cs="Arial"/>
          <w:color w:val="000000"/>
          <w:sz w:val="20"/>
          <w:szCs w:val="20"/>
        </w:rPr>
        <w:t>Our assumption of market risk in our trading activities is an integral part of our corporate risk appetite. Our Board reviews and oversees our managem</w:t>
      </w:r>
      <w:r>
        <w:rPr>
          <w:rFonts w:ascii="Arial" w:eastAsia="宋体" w:hAnsi="Arial" w:cs="Arial"/>
          <w:color w:val="000000"/>
          <w:sz w:val="20"/>
          <w:szCs w:val="20"/>
        </w:rPr>
        <w:t xml:space="preserve">ent of market risk, including the approval of key market risk policies and the receipt and review of </w:t>
      </w:r>
    </w:p>
    <w:p w14:paraId="5F2CD70E" w14:textId="77777777" w:rsidR="00E836FB" w:rsidRDefault="00994958">
      <w:pPr>
        <w:ind w:firstLine="450"/>
        <w:jc w:val="right"/>
      </w:pPr>
      <w:r>
        <w:rPr>
          <w:rFonts w:ascii="Arial" w:eastAsia="宋体" w:hAnsi="Arial" w:cs="Arial"/>
          <w:color w:val="000000"/>
          <w:sz w:val="18"/>
          <w:szCs w:val="18"/>
        </w:rPr>
        <w:t>State Street Corporation | 103</w:t>
      </w:r>
    </w:p>
    <w:p w14:paraId="5F2CD70F" w14:textId="77777777" w:rsidR="00E836FB" w:rsidRDefault="00E836FB">
      <w:pPr>
        <w:ind w:firstLine="450"/>
        <w:jc w:val="center"/>
      </w:pPr>
    </w:p>
    <w:p w14:paraId="5F2CD710" w14:textId="77777777" w:rsidR="00E836FB" w:rsidRDefault="00994958">
      <w:r>
        <w:pict w14:anchorId="5F2D6DEC">
          <v:rect id="_x0000_i1127" style="width:415.3pt;height:1.5pt" o:hralign="center" o:hrstd="t" o:hr="t" fillcolor="#a0a0a0" stroked="f"/>
        </w:pict>
      </w:r>
    </w:p>
    <w:p w14:paraId="5F2CD711"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712" w14:textId="77777777" w:rsidR="00E836FB" w:rsidRDefault="00994958">
      <w:pPr>
        <w:ind w:firstLine="450"/>
        <w:jc w:val="center"/>
      </w:pPr>
      <w:r>
        <w:rPr>
          <w:rFonts w:ascii="Arial" w:eastAsia="宋体" w:hAnsi="Arial" w:cs="Arial"/>
          <w:b/>
          <w:bCs/>
          <w:color w:val="000000"/>
          <w:sz w:val="20"/>
          <w:szCs w:val="20"/>
        </w:rPr>
        <w:t>AND RESULTS OF OPERATIONS</w:t>
      </w:r>
    </w:p>
    <w:p w14:paraId="5F2CD713" w14:textId="77777777" w:rsidR="00E836FB" w:rsidRDefault="00994958">
      <w:pPr>
        <w:spacing w:before="60"/>
        <w:jc w:val="both"/>
        <w:textAlignment w:val="top"/>
      </w:pPr>
      <w:r>
        <w:rPr>
          <w:rFonts w:ascii="Arial" w:eastAsia="宋体" w:hAnsi="Arial" w:cs="Arial"/>
          <w:color w:val="000000"/>
          <w:sz w:val="20"/>
          <w:szCs w:val="20"/>
        </w:rPr>
        <w:t xml:space="preserve">regular market risk reporting, as </w:t>
      </w:r>
      <w:r>
        <w:rPr>
          <w:rFonts w:ascii="Arial" w:eastAsia="宋体" w:hAnsi="Arial" w:cs="Arial"/>
          <w:color w:val="000000"/>
          <w:sz w:val="20"/>
          <w:szCs w:val="20"/>
        </w:rPr>
        <w:t xml:space="preserve">well as periodic updates on selected market risk topics. </w:t>
      </w:r>
    </w:p>
    <w:p w14:paraId="5F2CD714" w14:textId="77777777" w:rsidR="00E836FB" w:rsidRDefault="00994958">
      <w:pPr>
        <w:spacing w:before="60"/>
        <w:ind w:firstLine="450"/>
        <w:jc w:val="both"/>
        <w:textAlignment w:val="top"/>
      </w:pPr>
      <w:r>
        <w:rPr>
          <w:rFonts w:ascii="Arial" w:eastAsia="宋体" w:hAnsi="Arial" w:cs="Arial"/>
          <w:color w:val="000000"/>
          <w:sz w:val="20"/>
          <w:szCs w:val="20"/>
        </w:rPr>
        <w:t xml:space="preserve">The previously described CMRC (refer to "Risk Committees") oversees all market risk-taking activities across our business associated with trading. The CMRC, which reports to MRAC, is </w:t>
      </w:r>
      <w:r>
        <w:rPr>
          <w:rFonts w:ascii="Arial" w:eastAsia="宋体" w:hAnsi="Arial" w:cs="Arial"/>
          <w:color w:val="000000"/>
          <w:sz w:val="20"/>
          <w:szCs w:val="20"/>
        </w:rPr>
        <w:t>composed of members of ERM, our global markets business and our Global Treasury group, as well as our senior executives who manage our trading businesses and other members of management who possess specialized knowledge and expertise. The CMRC meets regula</w:t>
      </w:r>
      <w:r>
        <w:rPr>
          <w:rFonts w:ascii="Arial" w:eastAsia="宋体" w:hAnsi="Arial" w:cs="Arial"/>
          <w:color w:val="000000"/>
          <w:sz w:val="20"/>
          <w:szCs w:val="20"/>
        </w:rPr>
        <w:t>rly to monitor the management of our trading market risk activities.</w:t>
      </w:r>
    </w:p>
    <w:p w14:paraId="5F2CD715" w14:textId="77777777" w:rsidR="00E836FB" w:rsidRDefault="00994958">
      <w:pPr>
        <w:spacing w:before="60"/>
        <w:ind w:firstLine="450"/>
        <w:jc w:val="both"/>
        <w:textAlignment w:val="top"/>
      </w:pPr>
      <w:r>
        <w:rPr>
          <w:rFonts w:ascii="Arial" w:eastAsia="宋体" w:hAnsi="Arial" w:cs="Arial"/>
          <w:color w:val="000000"/>
          <w:sz w:val="20"/>
          <w:szCs w:val="20"/>
        </w:rPr>
        <w:t>Our business units identify, actively manage and are responsible for the market risks inherent in their businesses. A dedicated market risk management group within ERM, and other groups w</w:t>
      </w:r>
      <w:r>
        <w:rPr>
          <w:rFonts w:ascii="Arial" w:eastAsia="宋体" w:hAnsi="Arial" w:cs="Arial"/>
          <w:color w:val="000000"/>
          <w:sz w:val="20"/>
          <w:szCs w:val="20"/>
        </w:rPr>
        <w:t>ithin ERM, work with those business units to assist them in the identification, assessment, monitoring, management and control of market risk, and assist business unit managers with their market risk management and measurement activities. ERM provides an a</w:t>
      </w:r>
      <w:r>
        <w:rPr>
          <w:rFonts w:ascii="Arial" w:eastAsia="宋体" w:hAnsi="Arial" w:cs="Arial"/>
          <w:color w:val="000000"/>
          <w:sz w:val="20"/>
          <w:szCs w:val="20"/>
        </w:rPr>
        <w:t xml:space="preserve">dditional line of oversight, support and coordination designed to promote the consistent identification, measurement and management of market risk across business units, separate from those business units' discrete activities. </w:t>
      </w:r>
    </w:p>
    <w:p w14:paraId="5F2CD716" w14:textId="77777777" w:rsidR="00E836FB" w:rsidRDefault="00994958">
      <w:pPr>
        <w:spacing w:before="60"/>
        <w:ind w:firstLine="450"/>
        <w:jc w:val="both"/>
        <w:textAlignment w:val="top"/>
      </w:pPr>
      <w:r>
        <w:rPr>
          <w:rFonts w:ascii="Arial" w:eastAsia="宋体" w:hAnsi="Arial" w:cs="Arial"/>
          <w:color w:val="000000"/>
          <w:sz w:val="20"/>
          <w:szCs w:val="20"/>
        </w:rPr>
        <w:t>The ERM market risk manageme</w:t>
      </w:r>
      <w:r>
        <w:rPr>
          <w:rFonts w:ascii="Arial" w:eastAsia="宋体" w:hAnsi="Arial" w:cs="Arial"/>
          <w:color w:val="000000"/>
          <w:sz w:val="20"/>
          <w:szCs w:val="20"/>
        </w:rPr>
        <w:t>nt group is responsible for the management of corporate-wide market risk, the monitoring of key market risks and the development and maintenance of market risk management policies, guidelines and standards aligned with our corporate risk appetite. This gro</w:t>
      </w:r>
      <w:r>
        <w:rPr>
          <w:rFonts w:ascii="Arial" w:eastAsia="宋体" w:hAnsi="Arial" w:cs="Arial"/>
          <w:color w:val="000000"/>
          <w:sz w:val="20"/>
          <w:szCs w:val="20"/>
        </w:rPr>
        <w:t>up also establishes and approves market risk tolerance limits and trading authorities based on, but not limited to, measures of notional amounts, sensitivity, VaR and stress. Such limits and authorities are specified in our trading and market risk guidelin</w:t>
      </w:r>
      <w:r>
        <w:rPr>
          <w:rFonts w:ascii="Arial" w:eastAsia="宋体" w:hAnsi="Arial" w:cs="Arial"/>
          <w:color w:val="000000"/>
          <w:sz w:val="20"/>
          <w:szCs w:val="20"/>
        </w:rPr>
        <w:t>es which govern our management of trading market risk.</w:t>
      </w:r>
    </w:p>
    <w:p w14:paraId="5F2CD717" w14:textId="77777777" w:rsidR="00E836FB" w:rsidRDefault="00994958">
      <w:pPr>
        <w:spacing w:before="60"/>
        <w:ind w:firstLine="450"/>
        <w:jc w:val="both"/>
        <w:textAlignment w:val="top"/>
      </w:pPr>
      <w:r>
        <w:rPr>
          <w:rFonts w:ascii="Arial" w:eastAsia="宋体" w:hAnsi="Arial" w:cs="Arial"/>
          <w:color w:val="000000"/>
          <w:sz w:val="20"/>
          <w:szCs w:val="20"/>
        </w:rPr>
        <w:t>We are subject to regular monitoring, reviews and supervisory exams of our market risk function by the Federal Reserve. In addition, we are regulated by, among others, the SEC, the Financial Industry R</w:t>
      </w:r>
      <w:r>
        <w:rPr>
          <w:rFonts w:ascii="Arial" w:eastAsia="宋体" w:hAnsi="Arial" w:cs="Arial"/>
          <w:color w:val="000000"/>
          <w:sz w:val="20"/>
          <w:szCs w:val="20"/>
        </w:rPr>
        <w:t>egulatory Authority and the U.S. Commodities Futures Trading Commission.</w:t>
      </w:r>
    </w:p>
    <w:p w14:paraId="5F2CD718" w14:textId="77777777" w:rsidR="00E836FB" w:rsidRDefault="00994958">
      <w:pPr>
        <w:spacing w:before="60"/>
        <w:jc w:val="both"/>
        <w:textAlignment w:val="top"/>
      </w:pPr>
      <w:r>
        <w:rPr>
          <w:rFonts w:ascii="Arial" w:eastAsia="宋体" w:hAnsi="Arial" w:cs="Arial"/>
          <w:b/>
          <w:bCs/>
          <w:i/>
          <w:iCs/>
          <w:color w:val="000000"/>
          <w:sz w:val="20"/>
          <w:szCs w:val="20"/>
        </w:rPr>
        <w:t xml:space="preserve">Risk Appetite </w:t>
      </w:r>
    </w:p>
    <w:p w14:paraId="5F2CD719" w14:textId="77777777" w:rsidR="00E836FB" w:rsidRDefault="00994958">
      <w:pPr>
        <w:spacing w:before="60"/>
        <w:ind w:firstLine="450"/>
        <w:jc w:val="both"/>
        <w:textAlignment w:val="top"/>
      </w:pPr>
      <w:r>
        <w:rPr>
          <w:rFonts w:ascii="Arial" w:eastAsia="宋体" w:hAnsi="Arial" w:cs="Arial"/>
          <w:color w:val="000000"/>
          <w:sz w:val="20"/>
          <w:szCs w:val="20"/>
        </w:rPr>
        <w:t>Our corporate market risk appetite is specified in policy statements that outline the governance, responsibilities and requirements surrounding the identification, meas</w:t>
      </w:r>
      <w:r>
        <w:rPr>
          <w:rFonts w:ascii="Arial" w:eastAsia="宋体" w:hAnsi="Arial" w:cs="Arial"/>
          <w:color w:val="000000"/>
          <w:sz w:val="20"/>
          <w:szCs w:val="20"/>
        </w:rPr>
        <w:t>urement, analysis, management and communication of market risk arising from our trading activities. These policy statements also set forth the market risk control framework to monitor, support, manage and control this portion of our risk appetite. All grou</w:t>
      </w:r>
      <w:r>
        <w:rPr>
          <w:rFonts w:ascii="Arial" w:eastAsia="宋体" w:hAnsi="Arial" w:cs="Arial"/>
          <w:color w:val="000000"/>
          <w:sz w:val="20"/>
          <w:szCs w:val="20"/>
        </w:rPr>
        <w:t xml:space="preserve">ps involved in the management and control of market risk associated with trading activities </w:t>
      </w:r>
    </w:p>
    <w:p w14:paraId="5F2CD71A" w14:textId="77777777" w:rsidR="00E836FB" w:rsidRDefault="00994958">
      <w:pPr>
        <w:spacing w:before="60"/>
        <w:jc w:val="both"/>
        <w:textAlignment w:val="top"/>
      </w:pPr>
      <w:r>
        <w:rPr>
          <w:rFonts w:ascii="Arial" w:eastAsia="宋体" w:hAnsi="Arial" w:cs="Arial"/>
          <w:color w:val="000000"/>
          <w:sz w:val="20"/>
          <w:szCs w:val="20"/>
        </w:rPr>
        <w:t>are required to comply with the qualitative and quantitative elements of these policy statements. Our trading market risk control framework is composed of the foll</w:t>
      </w:r>
      <w:r>
        <w:rPr>
          <w:rFonts w:ascii="Arial" w:eastAsia="宋体" w:hAnsi="Arial" w:cs="Arial"/>
          <w:color w:val="000000"/>
          <w:sz w:val="20"/>
          <w:szCs w:val="20"/>
        </w:rPr>
        <w:t>owing:</w:t>
      </w:r>
    </w:p>
    <w:p w14:paraId="5F2CD71B" w14:textId="77777777" w:rsidR="00E836FB" w:rsidRDefault="00994958">
      <w:pPr>
        <w:spacing w:before="60"/>
        <w:ind w:hanging="360"/>
        <w:jc w:val="both"/>
        <w:textAlignment w:val="top"/>
      </w:pPr>
      <w:r>
        <w:rPr>
          <w:rFonts w:ascii="Arial" w:eastAsia="宋体" w:hAnsi="Arial" w:cs="Arial"/>
          <w:color w:val="000000"/>
          <w:sz w:val="20"/>
          <w:szCs w:val="20"/>
        </w:rPr>
        <w:t xml:space="preserve">•A trading market risk management process led by ERM, separate from the business units' discrete activities; </w:t>
      </w:r>
    </w:p>
    <w:p w14:paraId="5F2CD71C" w14:textId="77777777" w:rsidR="00E836FB" w:rsidRDefault="00994958">
      <w:pPr>
        <w:spacing w:before="60"/>
        <w:ind w:hanging="360"/>
        <w:jc w:val="both"/>
        <w:textAlignment w:val="top"/>
      </w:pPr>
      <w:r>
        <w:rPr>
          <w:rFonts w:ascii="Arial" w:eastAsia="宋体" w:hAnsi="Arial" w:cs="Arial"/>
          <w:color w:val="000000"/>
          <w:sz w:val="20"/>
          <w:szCs w:val="20"/>
        </w:rPr>
        <w:t xml:space="preserve">•Defined responsibilities and authorities for the primary groups involved in trading market risk management; </w:t>
      </w:r>
    </w:p>
    <w:p w14:paraId="5F2CD71D" w14:textId="77777777" w:rsidR="00E836FB" w:rsidRDefault="00994958">
      <w:pPr>
        <w:spacing w:before="60"/>
        <w:ind w:hanging="360"/>
        <w:jc w:val="both"/>
        <w:textAlignment w:val="top"/>
      </w:pPr>
      <w:r>
        <w:rPr>
          <w:rFonts w:ascii="Arial" w:eastAsia="宋体" w:hAnsi="Arial" w:cs="Arial"/>
          <w:color w:val="000000"/>
          <w:sz w:val="20"/>
          <w:szCs w:val="20"/>
        </w:rPr>
        <w:t>•A trading market risk measur</w:t>
      </w:r>
      <w:r>
        <w:rPr>
          <w:rFonts w:ascii="Arial" w:eastAsia="宋体" w:hAnsi="Arial" w:cs="Arial"/>
          <w:color w:val="000000"/>
          <w:sz w:val="20"/>
          <w:szCs w:val="20"/>
        </w:rPr>
        <w:t xml:space="preserve">ement methodology that captures correlation effects and allows aggregation of market risk across risk types, markets and business lines; </w:t>
      </w:r>
    </w:p>
    <w:p w14:paraId="5F2CD71E" w14:textId="77777777" w:rsidR="00E836FB" w:rsidRDefault="00994958">
      <w:pPr>
        <w:spacing w:before="60"/>
        <w:ind w:hanging="360"/>
        <w:jc w:val="both"/>
        <w:textAlignment w:val="top"/>
      </w:pPr>
      <w:r>
        <w:rPr>
          <w:rFonts w:ascii="Arial" w:eastAsia="宋体" w:hAnsi="Arial" w:cs="Arial"/>
          <w:color w:val="000000"/>
          <w:sz w:val="20"/>
          <w:szCs w:val="20"/>
        </w:rPr>
        <w:t xml:space="preserve">•Daily monitoring, analysis and reporting of market risk exposures associated with trading activities against market risk limits; </w:t>
      </w:r>
    </w:p>
    <w:p w14:paraId="5F2CD71F" w14:textId="77777777" w:rsidR="00E836FB" w:rsidRDefault="00994958">
      <w:pPr>
        <w:spacing w:before="60"/>
        <w:ind w:hanging="360"/>
        <w:jc w:val="both"/>
        <w:textAlignment w:val="top"/>
      </w:pPr>
      <w:r>
        <w:rPr>
          <w:rFonts w:ascii="Arial" w:eastAsia="宋体" w:hAnsi="Arial" w:cs="Arial"/>
          <w:color w:val="000000"/>
          <w:sz w:val="20"/>
          <w:szCs w:val="20"/>
        </w:rPr>
        <w:t xml:space="preserve">•A defined limit structure and escalation process in the event of a market risk limit excess; </w:t>
      </w:r>
    </w:p>
    <w:p w14:paraId="5F2CD720" w14:textId="77777777" w:rsidR="00E836FB" w:rsidRDefault="00994958">
      <w:pPr>
        <w:spacing w:before="60"/>
        <w:ind w:hanging="360"/>
        <w:jc w:val="both"/>
        <w:textAlignment w:val="top"/>
      </w:pPr>
      <w:r>
        <w:rPr>
          <w:rFonts w:ascii="Arial" w:eastAsia="宋体" w:hAnsi="Arial" w:cs="Arial"/>
          <w:color w:val="000000"/>
          <w:sz w:val="20"/>
          <w:szCs w:val="20"/>
        </w:rPr>
        <w:t xml:space="preserve">•Use of VaR models to measure </w:t>
      </w:r>
      <w:r>
        <w:rPr>
          <w:rFonts w:ascii="Arial" w:eastAsia="宋体" w:hAnsi="Arial" w:cs="Arial"/>
          <w:color w:val="000000"/>
          <w:sz w:val="20"/>
          <w:szCs w:val="20"/>
        </w:rPr>
        <w:t>the one-day market risk exposure of trading positions;</w:t>
      </w:r>
    </w:p>
    <w:p w14:paraId="5F2CD721" w14:textId="77777777" w:rsidR="00E836FB" w:rsidRDefault="00994958">
      <w:pPr>
        <w:spacing w:before="60"/>
        <w:ind w:hanging="360"/>
        <w:jc w:val="both"/>
        <w:textAlignment w:val="top"/>
      </w:pPr>
      <w:r>
        <w:rPr>
          <w:rFonts w:ascii="Arial" w:eastAsia="宋体" w:hAnsi="Arial" w:cs="Arial"/>
          <w:color w:val="000000"/>
          <w:sz w:val="20"/>
          <w:szCs w:val="20"/>
        </w:rPr>
        <w:t xml:space="preserve">•Use of VaR as a ten-day-based regulatory capital measure of the market risk exposure of trading positions; </w:t>
      </w:r>
    </w:p>
    <w:p w14:paraId="5F2CD722" w14:textId="77777777" w:rsidR="00E836FB" w:rsidRDefault="00994958">
      <w:pPr>
        <w:spacing w:before="60"/>
        <w:ind w:hanging="360"/>
        <w:jc w:val="both"/>
        <w:textAlignment w:val="top"/>
      </w:pPr>
      <w:r>
        <w:rPr>
          <w:rFonts w:ascii="Arial" w:eastAsia="宋体" w:hAnsi="Arial" w:cs="Arial"/>
          <w:color w:val="000000"/>
          <w:sz w:val="20"/>
          <w:szCs w:val="20"/>
        </w:rPr>
        <w:t xml:space="preserve">•Use of non-VaR-based limits and other controls; </w:t>
      </w:r>
    </w:p>
    <w:p w14:paraId="5F2CD723" w14:textId="77777777" w:rsidR="00E836FB" w:rsidRDefault="00994958">
      <w:pPr>
        <w:spacing w:before="60"/>
        <w:ind w:hanging="360"/>
        <w:jc w:val="both"/>
        <w:textAlignment w:val="top"/>
      </w:pPr>
      <w:r>
        <w:rPr>
          <w:rFonts w:ascii="Arial" w:eastAsia="宋体" w:hAnsi="Arial" w:cs="Arial"/>
          <w:color w:val="000000"/>
          <w:sz w:val="20"/>
          <w:szCs w:val="20"/>
        </w:rPr>
        <w:t>•Use of stressed-VaR models, stress-testin</w:t>
      </w:r>
      <w:r>
        <w:rPr>
          <w:rFonts w:ascii="Arial" w:eastAsia="宋体" w:hAnsi="Arial" w:cs="Arial"/>
          <w:color w:val="000000"/>
          <w:sz w:val="20"/>
          <w:szCs w:val="20"/>
        </w:rPr>
        <w:t xml:space="preserve">g analysis and scenario analysis to support the trading market risk measurement and management process by assessing how portfolios and global business lines perform under extreme market conditions; </w:t>
      </w:r>
    </w:p>
    <w:p w14:paraId="5F2CD724" w14:textId="77777777" w:rsidR="00E836FB" w:rsidRDefault="00994958">
      <w:pPr>
        <w:spacing w:before="60"/>
        <w:ind w:hanging="360"/>
        <w:jc w:val="both"/>
        <w:textAlignment w:val="top"/>
      </w:pPr>
      <w:r>
        <w:rPr>
          <w:rFonts w:ascii="Arial" w:eastAsia="宋体" w:hAnsi="Arial" w:cs="Arial"/>
          <w:color w:val="000000"/>
          <w:sz w:val="20"/>
          <w:szCs w:val="20"/>
        </w:rPr>
        <w:t>•Use of back-testing as a diagnostic tool to assess the a</w:t>
      </w:r>
      <w:r>
        <w:rPr>
          <w:rFonts w:ascii="Arial" w:eastAsia="宋体" w:hAnsi="Arial" w:cs="Arial"/>
          <w:color w:val="000000"/>
          <w:sz w:val="20"/>
          <w:szCs w:val="20"/>
        </w:rPr>
        <w:t xml:space="preserve">ccuracy of VaR models and other risk management techniques; and </w:t>
      </w:r>
    </w:p>
    <w:p w14:paraId="5F2CD725" w14:textId="77777777" w:rsidR="00E836FB" w:rsidRDefault="00994958">
      <w:pPr>
        <w:spacing w:before="60"/>
        <w:ind w:hanging="360"/>
        <w:jc w:val="both"/>
        <w:textAlignment w:val="top"/>
      </w:pPr>
      <w:r>
        <w:rPr>
          <w:rFonts w:ascii="Arial" w:eastAsia="宋体" w:hAnsi="Arial" w:cs="Arial"/>
          <w:color w:val="000000"/>
          <w:sz w:val="20"/>
          <w:szCs w:val="20"/>
        </w:rPr>
        <w:t xml:space="preserve">•A new product approval process that requires market risk teams to assess trading-related market risks and apply risk tolerance limits to proposed new products and business activities. </w:t>
      </w:r>
    </w:p>
    <w:p w14:paraId="5F2CD726" w14:textId="77777777" w:rsidR="00E836FB" w:rsidRDefault="00994958">
      <w:pPr>
        <w:spacing w:before="60"/>
        <w:ind w:firstLine="450"/>
        <w:jc w:val="both"/>
        <w:textAlignment w:val="top"/>
      </w:pPr>
      <w:r>
        <w:rPr>
          <w:rFonts w:ascii="Arial" w:eastAsia="宋体" w:hAnsi="Arial" w:cs="Arial"/>
          <w:color w:val="000000"/>
          <w:sz w:val="20"/>
          <w:szCs w:val="20"/>
        </w:rPr>
        <w:t>We us</w:t>
      </w:r>
      <w:r>
        <w:rPr>
          <w:rFonts w:ascii="Arial" w:eastAsia="宋体" w:hAnsi="Arial" w:cs="Arial"/>
          <w:color w:val="000000"/>
          <w:sz w:val="20"/>
          <w:szCs w:val="20"/>
        </w:rPr>
        <w:t>e our CAP to assess our overall capital and liquidity in relation to our risk profile and provide a comprehensive strategy for maintaining appropriate capital and liquidity levels. With respect to market risk associated with trading activities, our risk ma</w:t>
      </w:r>
      <w:r>
        <w:rPr>
          <w:rFonts w:ascii="Arial" w:eastAsia="宋体" w:hAnsi="Arial" w:cs="Arial"/>
          <w:color w:val="000000"/>
          <w:sz w:val="20"/>
          <w:szCs w:val="20"/>
        </w:rPr>
        <w:t xml:space="preserve">nagement and our calculations of regulatory capital are based primarily on our internal VaR models and stress testing analysis. As discussed in detail under “Value-at-Risk and Stressed VaR” below, VaR is measured daily by ERM. </w:t>
      </w:r>
    </w:p>
    <w:p w14:paraId="5F2CD727" w14:textId="77777777" w:rsidR="00E836FB" w:rsidRDefault="00994958">
      <w:pPr>
        <w:spacing w:before="60"/>
        <w:ind w:firstLine="450"/>
        <w:jc w:val="both"/>
        <w:textAlignment w:val="top"/>
      </w:pPr>
      <w:r>
        <w:rPr>
          <w:rFonts w:ascii="Arial" w:eastAsia="宋体" w:hAnsi="Arial" w:cs="Arial"/>
          <w:color w:val="000000"/>
          <w:sz w:val="20"/>
          <w:szCs w:val="20"/>
        </w:rPr>
        <w:t>The CMRC oversees our market</w:t>
      </w:r>
      <w:r>
        <w:rPr>
          <w:rFonts w:ascii="Arial" w:eastAsia="宋体" w:hAnsi="Arial" w:cs="Arial"/>
          <w:color w:val="000000"/>
          <w:sz w:val="20"/>
          <w:szCs w:val="20"/>
        </w:rPr>
        <w:t xml:space="preserve"> risk exposure in relation to limits established within our risk appetite framework. These limits define threshold levels for </w:t>
      </w:r>
    </w:p>
    <w:p w14:paraId="5F2CD728" w14:textId="77777777" w:rsidR="00E836FB" w:rsidRDefault="00994958">
      <w:pPr>
        <w:ind w:firstLine="450"/>
        <w:jc w:val="right"/>
      </w:pPr>
      <w:r>
        <w:rPr>
          <w:rFonts w:ascii="Arial" w:eastAsia="宋体" w:hAnsi="Arial" w:cs="Arial"/>
          <w:color w:val="000000"/>
          <w:sz w:val="18"/>
          <w:szCs w:val="18"/>
        </w:rPr>
        <w:t>State Street Corporation | 104</w:t>
      </w:r>
    </w:p>
    <w:p w14:paraId="5F2CD729" w14:textId="77777777" w:rsidR="00E836FB" w:rsidRDefault="00E836FB">
      <w:pPr>
        <w:ind w:firstLine="450"/>
        <w:jc w:val="center"/>
      </w:pPr>
    </w:p>
    <w:p w14:paraId="5F2CD72A" w14:textId="77777777" w:rsidR="00E836FB" w:rsidRDefault="00994958">
      <w:r>
        <w:pict w14:anchorId="5F2D6DED">
          <v:rect id="_x0000_i1128" style="width:415.3pt;height:1.5pt" o:hralign="center" o:hrstd="t" o:hr="t" fillcolor="#a0a0a0" stroked="f"/>
        </w:pict>
      </w:r>
    </w:p>
    <w:p w14:paraId="5F2CD72B"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72C" w14:textId="77777777" w:rsidR="00E836FB" w:rsidRDefault="00994958">
      <w:pPr>
        <w:ind w:firstLine="450"/>
        <w:jc w:val="center"/>
      </w:pPr>
      <w:r>
        <w:rPr>
          <w:rFonts w:ascii="Arial" w:eastAsia="宋体" w:hAnsi="Arial" w:cs="Arial"/>
          <w:b/>
          <w:bCs/>
          <w:color w:val="000000"/>
          <w:sz w:val="20"/>
          <w:szCs w:val="20"/>
        </w:rPr>
        <w:t>AND RESULTS OF OPERATIONS</w:t>
      </w:r>
    </w:p>
    <w:p w14:paraId="5F2CD72D" w14:textId="77777777" w:rsidR="00E836FB" w:rsidRDefault="00994958">
      <w:pPr>
        <w:spacing w:before="60"/>
        <w:jc w:val="both"/>
        <w:textAlignment w:val="top"/>
      </w:pPr>
      <w:r>
        <w:rPr>
          <w:rFonts w:ascii="Arial" w:eastAsia="宋体" w:hAnsi="Arial" w:cs="Arial"/>
          <w:color w:val="000000"/>
          <w:sz w:val="20"/>
          <w:szCs w:val="20"/>
        </w:rPr>
        <w:t xml:space="preserve">VaR- and </w:t>
      </w:r>
      <w:r>
        <w:rPr>
          <w:rFonts w:ascii="Arial" w:eastAsia="宋体" w:hAnsi="Arial" w:cs="Arial"/>
          <w:color w:val="000000"/>
          <w:sz w:val="20"/>
          <w:szCs w:val="20"/>
        </w:rPr>
        <w:t>stressed VaR-based measures and are applicable to all trading positions subject to regulatory capital requirements. These limits are designed to prevent any undue concentration of market risk exposure, in light of the primarily non-proprietary nature of ou</w:t>
      </w:r>
      <w:r>
        <w:rPr>
          <w:rFonts w:ascii="Arial" w:eastAsia="宋体" w:hAnsi="Arial" w:cs="Arial"/>
          <w:color w:val="000000"/>
          <w:sz w:val="20"/>
          <w:szCs w:val="20"/>
        </w:rPr>
        <w:t xml:space="preserve">r trading activities. The risk appetite framework and associated limits are reviewed and approved by the Board's RC. </w:t>
      </w:r>
    </w:p>
    <w:p w14:paraId="5F2CD72E" w14:textId="77777777" w:rsidR="00E836FB" w:rsidRDefault="00994958">
      <w:pPr>
        <w:spacing w:before="60"/>
        <w:jc w:val="both"/>
        <w:textAlignment w:val="top"/>
      </w:pPr>
      <w:r>
        <w:rPr>
          <w:rFonts w:ascii="Arial" w:eastAsia="宋体" w:hAnsi="Arial" w:cs="Arial"/>
          <w:b/>
          <w:bCs/>
          <w:i/>
          <w:iCs/>
          <w:color w:val="000000"/>
          <w:sz w:val="20"/>
          <w:szCs w:val="20"/>
        </w:rPr>
        <w:t xml:space="preserve">Covered Positions </w:t>
      </w:r>
    </w:p>
    <w:p w14:paraId="5F2CD72F" w14:textId="77777777" w:rsidR="00E836FB" w:rsidRDefault="00994958">
      <w:pPr>
        <w:spacing w:before="60"/>
        <w:ind w:firstLine="450"/>
        <w:jc w:val="both"/>
        <w:textAlignment w:val="top"/>
      </w:pPr>
      <w:r>
        <w:rPr>
          <w:rFonts w:ascii="Arial" w:eastAsia="宋体" w:hAnsi="Arial" w:cs="Arial"/>
          <w:color w:val="000000"/>
          <w:sz w:val="20"/>
          <w:szCs w:val="20"/>
        </w:rPr>
        <w:t>Our trading positions are subject to regulatory market risk capital requirements if they meet the regulatory definition</w:t>
      </w:r>
      <w:r>
        <w:rPr>
          <w:rFonts w:ascii="Arial" w:eastAsia="宋体" w:hAnsi="Arial" w:cs="Arial"/>
          <w:color w:val="000000"/>
          <w:sz w:val="20"/>
          <w:szCs w:val="20"/>
        </w:rPr>
        <w:t xml:space="preserve"> of a “covered position.” A covered position is generally defined by U.S. banking regulators as an on- or off-balance sheet position associated with the organization's trading activities that is free of any restrictions on its tradability, but does not inc</w:t>
      </w:r>
      <w:r>
        <w:rPr>
          <w:rFonts w:ascii="Arial" w:eastAsia="宋体" w:hAnsi="Arial" w:cs="Arial"/>
          <w:color w:val="000000"/>
          <w:sz w:val="20"/>
          <w:szCs w:val="20"/>
        </w:rPr>
        <w:t>lude intangible assets, certain credit derivatives recognized as guarantees and certain equity positions not publicly traded. All FX and commodity positions are considered covered positions, regardless of the accounting treatment they receive. The identifi</w:t>
      </w:r>
      <w:r>
        <w:rPr>
          <w:rFonts w:ascii="Arial" w:eastAsia="宋体" w:hAnsi="Arial" w:cs="Arial"/>
          <w:color w:val="000000"/>
          <w:sz w:val="20"/>
          <w:szCs w:val="20"/>
        </w:rPr>
        <w:t xml:space="preserve">cation of covered positions for inclusion in our market risk capital framework is governed by our trading and market risk guidelines, which outlines the standards we use to determine whether a trading position is a covered position. </w:t>
      </w:r>
    </w:p>
    <w:p w14:paraId="5F2CD730" w14:textId="77777777" w:rsidR="00E836FB" w:rsidRDefault="00994958">
      <w:pPr>
        <w:spacing w:before="60"/>
        <w:ind w:firstLine="450"/>
        <w:jc w:val="both"/>
        <w:textAlignment w:val="top"/>
      </w:pPr>
      <w:r>
        <w:rPr>
          <w:rFonts w:ascii="Arial" w:eastAsia="宋体" w:hAnsi="Arial" w:cs="Arial"/>
          <w:color w:val="000000"/>
          <w:sz w:val="20"/>
          <w:szCs w:val="20"/>
        </w:rPr>
        <w:t xml:space="preserve">Our covered positions </w:t>
      </w:r>
      <w:r>
        <w:rPr>
          <w:rFonts w:ascii="Arial" w:eastAsia="宋体" w:hAnsi="Arial" w:cs="Arial"/>
          <w:color w:val="000000"/>
          <w:sz w:val="20"/>
          <w:szCs w:val="20"/>
        </w:rPr>
        <w:t>consist primarily of the trading portfolios held by our global markets business. They also arise from certain positions held by our Global Treasury group. These trading positions include products such as foreign exchange spot, foreign exchange forwards, no</w:t>
      </w:r>
      <w:r>
        <w:rPr>
          <w:rFonts w:ascii="Arial" w:eastAsia="宋体" w:hAnsi="Arial" w:cs="Arial"/>
          <w:color w:val="000000"/>
          <w:sz w:val="20"/>
          <w:szCs w:val="20"/>
        </w:rPr>
        <w:t xml:space="preserve">n-deliverable forwards, foreign exchange options, foreign exchange funding swaps, currency futures, financial futures and interest rate futures. New activities are analyzed to determine if the positions arising from such new activities meet the definition </w:t>
      </w:r>
      <w:r>
        <w:rPr>
          <w:rFonts w:ascii="Arial" w:eastAsia="宋体" w:hAnsi="Arial" w:cs="Arial"/>
          <w:color w:val="000000"/>
          <w:sz w:val="20"/>
          <w:szCs w:val="20"/>
        </w:rPr>
        <w:t xml:space="preserve">of a covered position and conform to our trading and market risk guidelines. This documented analysis, including any decisions with respect to market risk treatments, must receive approval from the CMRC. </w:t>
      </w:r>
    </w:p>
    <w:p w14:paraId="5F2CD731" w14:textId="77777777" w:rsidR="00E836FB" w:rsidRDefault="00994958">
      <w:pPr>
        <w:spacing w:before="60"/>
        <w:ind w:firstLine="450"/>
        <w:jc w:val="both"/>
        <w:textAlignment w:val="top"/>
      </w:pPr>
      <w:r>
        <w:rPr>
          <w:rFonts w:ascii="Arial" w:eastAsia="宋体" w:hAnsi="Arial" w:cs="Arial"/>
          <w:color w:val="000000"/>
          <w:sz w:val="20"/>
          <w:szCs w:val="20"/>
        </w:rPr>
        <w:t>We use spot rates, forward points, yield curves and</w:t>
      </w:r>
      <w:r>
        <w:rPr>
          <w:rFonts w:ascii="Arial" w:eastAsia="宋体" w:hAnsi="Arial" w:cs="Arial"/>
          <w:color w:val="000000"/>
          <w:sz w:val="20"/>
          <w:szCs w:val="20"/>
        </w:rPr>
        <w:t xml:space="preserve"> discount factors imported from third-party sources to measure the value of our covered positions, and we use such values to mark our covered positions to market on a daily basis. These values are subject to separate validation by us in order to evaluate r</w:t>
      </w:r>
      <w:r>
        <w:rPr>
          <w:rFonts w:ascii="Arial" w:eastAsia="宋体" w:hAnsi="Arial" w:cs="Arial"/>
          <w:color w:val="000000"/>
          <w:sz w:val="20"/>
          <w:szCs w:val="20"/>
        </w:rPr>
        <w:t>easonableness and consistency with market experience. The mark-to-market gain or loss on spot transactions is calculated by applying the spot rate to the foreign currency principal and comparing the resultant base currency amount to the original transactio</w:t>
      </w:r>
      <w:r>
        <w:rPr>
          <w:rFonts w:ascii="Arial" w:eastAsia="宋体" w:hAnsi="Arial" w:cs="Arial"/>
          <w:color w:val="000000"/>
          <w:sz w:val="20"/>
          <w:szCs w:val="20"/>
        </w:rPr>
        <w:t xml:space="preserve">n principal. The mark-to-market gain or loss on a forward foreign exchange contract or forward cash flow contract is determined as the difference between the life-to-date (historical) value of </w:t>
      </w:r>
    </w:p>
    <w:p w14:paraId="5F2CD732" w14:textId="77777777" w:rsidR="00E836FB" w:rsidRDefault="00994958">
      <w:pPr>
        <w:spacing w:before="60"/>
        <w:jc w:val="both"/>
        <w:textAlignment w:val="top"/>
      </w:pPr>
      <w:r>
        <w:rPr>
          <w:rFonts w:ascii="Arial" w:eastAsia="宋体" w:hAnsi="Arial" w:cs="Arial"/>
          <w:color w:val="000000"/>
          <w:sz w:val="20"/>
          <w:szCs w:val="20"/>
        </w:rPr>
        <w:t xml:space="preserve">the cash flow and the value of the cash flow at the inception </w:t>
      </w:r>
      <w:r>
        <w:rPr>
          <w:rFonts w:ascii="Arial" w:eastAsia="宋体" w:hAnsi="Arial" w:cs="Arial"/>
          <w:color w:val="000000"/>
          <w:sz w:val="20"/>
          <w:szCs w:val="20"/>
        </w:rPr>
        <w:t>of the transaction. The mark-to-market gain or loss on interest rate swaps is determined by discounting the future cash flows from each leg of the swap transaction.</w:t>
      </w:r>
    </w:p>
    <w:p w14:paraId="5F2CD733" w14:textId="77777777" w:rsidR="00E836FB" w:rsidRDefault="00994958">
      <w:pPr>
        <w:spacing w:before="60"/>
        <w:jc w:val="both"/>
        <w:textAlignment w:val="top"/>
      </w:pPr>
      <w:r>
        <w:rPr>
          <w:rFonts w:ascii="Arial" w:eastAsia="宋体" w:hAnsi="Arial" w:cs="Arial"/>
          <w:b/>
          <w:bCs/>
          <w:i/>
          <w:iCs/>
          <w:color w:val="000000"/>
          <w:sz w:val="20"/>
          <w:szCs w:val="20"/>
        </w:rPr>
        <w:t>Value-at-Risk and Stressed VaR</w:t>
      </w:r>
    </w:p>
    <w:p w14:paraId="5F2CD734" w14:textId="77777777" w:rsidR="00E836FB" w:rsidRDefault="00994958">
      <w:pPr>
        <w:spacing w:before="60"/>
        <w:ind w:firstLine="450"/>
        <w:jc w:val="both"/>
        <w:textAlignment w:val="top"/>
      </w:pPr>
      <w:r>
        <w:rPr>
          <w:rFonts w:ascii="Arial" w:eastAsia="宋体" w:hAnsi="Arial" w:cs="Arial"/>
          <w:color w:val="000000"/>
          <w:sz w:val="20"/>
          <w:szCs w:val="20"/>
        </w:rPr>
        <w:t>We use a variety of risk measurement tools and methodologies, including VaR, which is an estimate of potential loss for a given period within a stated statistical confidence interval. We use a risk measurement methodology to measure trading-related VaR dai</w:t>
      </w:r>
      <w:r>
        <w:rPr>
          <w:rFonts w:ascii="Arial" w:eastAsia="宋体" w:hAnsi="Arial" w:cs="Arial"/>
          <w:color w:val="000000"/>
          <w:sz w:val="20"/>
          <w:szCs w:val="20"/>
        </w:rPr>
        <w:t xml:space="preserve">ly. We have adopted standards for measuring trading-related VaR, and we maintain regulatory capital for market risk associated with our trading activities in conformity with currently applicable bank regulatory market risk requirements. </w:t>
      </w:r>
    </w:p>
    <w:p w14:paraId="5F2CD735" w14:textId="77777777" w:rsidR="00E836FB" w:rsidRDefault="00994958">
      <w:pPr>
        <w:spacing w:before="60"/>
        <w:ind w:firstLine="450"/>
        <w:jc w:val="both"/>
        <w:textAlignment w:val="top"/>
      </w:pPr>
      <w:r>
        <w:rPr>
          <w:rFonts w:ascii="Arial" w:eastAsia="宋体" w:hAnsi="Arial" w:cs="Arial"/>
          <w:color w:val="000000"/>
          <w:sz w:val="20"/>
          <w:szCs w:val="20"/>
        </w:rPr>
        <w:t xml:space="preserve">We utilize an </w:t>
      </w:r>
      <w:r>
        <w:rPr>
          <w:rFonts w:ascii="Arial" w:eastAsia="宋体" w:hAnsi="Arial" w:cs="Arial"/>
          <w:color w:val="000000"/>
          <w:sz w:val="20"/>
          <w:szCs w:val="20"/>
        </w:rPr>
        <w:t>internal VaR model to calculate our regulatory market risk capital requirements. We use a historical simulation model to calculate daily VaR- and stressed VaR-based measures for our covered positions in conformity with regulatory requirements. Our VaR mode</w:t>
      </w:r>
      <w:r>
        <w:rPr>
          <w:rFonts w:ascii="Arial" w:eastAsia="宋体" w:hAnsi="Arial" w:cs="Arial"/>
          <w:color w:val="000000"/>
          <w:sz w:val="20"/>
          <w:szCs w:val="20"/>
        </w:rPr>
        <w:t>l seeks to capture identified material risk factors associated with our covered positions, including risks arising from market movements such as changes in foreign exchange rates, interest rates and option-implied volatilities.</w:t>
      </w:r>
    </w:p>
    <w:p w14:paraId="5F2CD736" w14:textId="77777777" w:rsidR="00E836FB" w:rsidRDefault="00994958">
      <w:pPr>
        <w:spacing w:before="60"/>
        <w:ind w:firstLine="450"/>
        <w:jc w:val="both"/>
        <w:textAlignment w:val="top"/>
      </w:pPr>
      <w:r>
        <w:rPr>
          <w:rFonts w:ascii="Arial" w:eastAsia="宋体" w:hAnsi="Arial" w:cs="Arial"/>
          <w:color w:val="000000"/>
          <w:sz w:val="20"/>
          <w:szCs w:val="20"/>
        </w:rPr>
        <w:t>We have adopted standards an</w:t>
      </w:r>
      <w:r>
        <w:rPr>
          <w:rFonts w:ascii="Arial" w:eastAsia="宋体" w:hAnsi="Arial" w:cs="Arial"/>
          <w:color w:val="000000"/>
          <w:sz w:val="20"/>
          <w:szCs w:val="20"/>
        </w:rPr>
        <w:t>d guidelines to value our covered positions which govern our VaR- and stressed VaR-based measures. Our regulatory VaR-based measure is calculated based on historical volatilities of market risk factors during a two-year observation period calibrated to a o</w:t>
      </w:r>
      <w:r>
        <w:rPr>
          <w:rFonts w:ascii="Arial" w:eastAsia="宋体" w:hAnsi="Arial" w:cs="Arial"/>
          <w:color w:val="000000"/>
          <w:sz w:val="20"/>
          <w:szCs w:val="20"/>
        </w:rPr>
        <w:t>ne-tail, 99% confidence interval and a ten-business-day holding period. We also use the same platform to calculate a one-tail, 99% confidence interval, one-business-day VaR for internal risk management purposes. A 99% one-tail confidence interval implies t</w:t>
      </w:r>
      <w:r>
        <w:rPr>
          <w:rFonts w:ascii="Arial" w:eastAsia="宋体" w:hAnsi="Arial" w:cs="Arial"/>
          <w:color w:val="000000"/>
          <w:sz w:val="20"/>
          <w:szCs w:val="20"/>
        </w:rPr>
        <w:t xml:space="preserve">hat daily trading losses are not expected to exceed the estimated VaR more than 1% of the time, or less than three business days out of a year. </w:t>
      </w:r>
    </w:p>
    <w:p w14:paraId="5F2CD737" w14:textId="77777777" w:rsidR="00E836FB" w:rsidRDefault="00994958">
      <w:pPr>
        <w:spacing w:before="60"/>
        <w:ind w:firstLine="450"/>
        <w:jc w:val="both"/>
        <w:textAlignment w:val="top"/>
      </w:pPr>
      <w:r>
        <w:rPr>
          <w:rFonts w:ascii="Arial" w:eastAsia="宋体" w:hAnsi="Arial" w:cs="Arial"/>
          <w:color w:val="000000"/>
          <w:sz w:val="20"/>
          <w:szCs w:val="20"/>
        </w:rPr>
        <w:t>Our market risk models, including our VaR model, are subject to change in connection with the governance, valid</w:t>
      </w:r>
      <w:r>
        <w:rPr>
          <w:rFonts w:ascii="Arial" w:eastAsia="宋体" w:hAnsi="Arial" w:cs="Arial"/>
          <w:color w:val="000000"/>
          <w:sz w:val="20"/>
          <w:szCs w:val="20"/>
        </w:rPr>
        <w:t>ation and back-testing processes described below. These models can change as a result of changes in our business activities, our historical experiences, market forces and events, regulations and regulatory interpretations and other factors. In addition, th</w:t>
      </w:r>
      <w:r>
        <w:rPr>
          <w:rFonts w:ascii="Arial" w:eastAsia="宋体" w:hAnsi="Arial" w:cs="Arial"/>
          <w:color w:val="000000"/>
          <w:sz w:val="20"/>
          <w:szCs w:val="20"/>
        </w:rPr>
        <w:t>e models are subject to continuing regulatory review and approval. Changes in our models may result in changes in our measurements of our market risk exposures, including VaR, and related measures, including regulatory capital. These changes could result i</w:t>
      </w:r>
      <w:r>
        <w:rPr>
          <w:rFonts w:ascii="Arial" w:eastAsia="宋体" w:hAnsi="Arial" w:cs="Arial"/>
          <w:color w:val="000000"/>
          <w:sz w:val="20"/>
          <w:szCs w:val="20"/>
        </w:rPr>
        <w:t>n material changes in those risk measurements and related measures as calculated and compared from period to period.</w:t>
      </w:r>
    </w:p>
    <w:p w14:paraId="5F2CD738" w14:textId="77777777" w:rsidR="00E836FB" w:rsidRDefault="00994958">
      <w:pPr>
        <w:ind w:firstLine="450"/>
        <w:jc w:val="right"/>
      </w:pPr>
      <w:r>
        <w:rPr>
          <w:rFonts w:ascii="Arial" w:eastAsia="宋体" w:hAnsi="Arial" w:cs="Arial"/>
          <w:color w:val="000000"/>
          <w:sz w:val="18"/>
          <w:szCs w:val="18"/>
        </w:rPr>
        <w:t>State Street Corporation | 105</w:t>
      </w:r>
    </w:p>
    <w:p w14:paraId="5F2CD739" w14:textId="77777777" w:rsidR="00E836FB" w:rsidRDefault="00E836FB">
      <w:pPr>
        <w:ind w:firstLine="450"/>
        <w:jc w:val="center"/>
      </w:pPr>
    </w:p>
    <w:p w14:paraId="5F2CD73A" w14:textId="77777777" w:rsidR="00E836FB" w:rsidRDefault="00994958">
      <w:r>
        <w:pict w14:anchorId="5F2D6DEE">
          <v:rect id="_x0000_i1129" style="width:415.3pt;height:1.5pt" o:hralign="center" o:hrstd="t" o:hr="t" fillcolor="#a0a0a0" stroked="f"/>
        </w:pict>
      </w:r>
    </w:p>
    <w:p w14:paraId="5F2CD73B"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73C" w14:textId="77777777" w:rsidR="00E836FB" w:rsidRDefault="00994958">
      <w:pPr>
        <w:ind w:firstLine="450"/>
        <w:jc w:val="center"/>
      </w:pPr>
      <w:r>
        <w:rPr>
          <w:rFonts w:ascii="Arial" w:eastAsia="宋体" w:hAnsi="Arial" w:cs="Arial"/>
          <w:b/>
          <w:bCs/>
          <w:color w:val="000000"/>
          <w:sz w:val="20"/>
          <w:szCs w:val="20"/>
        </w:rPr>
        <w:t>AND RESULTS OF OPERATIONS</w:t>
      </w:r>
    </w:p>
    <w:p w14:paraId="5F2CD73D" w14:textId="77777777" w:rsidR="00E836FB" w:rsidRDefault="00994958">
      <w:pPr>
        <w:spacing w:before="90"/>
        <w:jc w:val="both"/>
        <w:textAlignment w:val="top"/>
      </w:pPr>
      <w:r>
        <w:rPr>
          <w:rFonts w:ascii="Arial" w:eastAsia="宋体" w:hAnsi="Arial" w:cs="Arial"/>
          <w:i/>
          <w:iCs/>
          <w:color w:val="000000"/>
          <w:sz w:val="20"/>
          <w:szCs w:val="20"/>
        </w:rPr>
        <w:t>Value-at-Risk Measu</w:t>
      </w:r>
      <w:r>
        <w:rPr>
          <w:rFonts w:ascii="Arial" w:eastAsia="宋体" w:hAnsi="Arial" w:cs="Arial"/>
          <w:i/>
          <w:iCs/>
          <w:color w:val="000000"/>
          <w:sz w:val="20"/>
          <w:szCs w:val="20"/>
        </w:rPr>
        <w:t>res</w:t>
      </w:r>
    </w:p>
    <w:p w14:paraId="5F2CD73E" w14:textId="77777777" w:rsidR="00E836FB" w:rsidRDefault="00994958">
      <w:pPr>
        <w:spacing w:before="20"/>
        <w:ind w:firstLine="450"/>
        <w:jc w:val="both"/>
        <w:textAlignment w:val="top"/>
      </w:pPr>
      <w:r>
        <w:rPr>
          <w:rFonts w:ascii="Arial" w:eastAsia="宋体" w:hAnsi="Arial" w:cs="Arial"/>
          <w:color w:val="000000"/>
          <w:sz w:val="20"/>
          <w:szCs w:val="20"/>
        </w:rPr>
        <w:t>VaR measures are based on the most recent two years of historical price movements for instruments and related risk factors to which we have exposure. The instruments in question are limited to foreign exchange spot, forward and options contracts and in</w:t>
      </w:r>
      <w:r>
        <w:rPr>
          <w:rFonts w:ascii="Arial" w:eastAsia="宋体" w:hAnsi="Arial" w:cs="Arial"/>
          <w:color w:val="000000"/>
          <w:sz w:val="20"/>
          <w:szCs w:val="20"/>
        </w:rPr>
        <w:t>terest rate contracts, including futures and interest rate swaps. Historically, these instruments have exhibited a higher degree of liquidity relative to other available capital markets instruments. As a result, the VaR measures shown reflect our ability t</w:t>
      </w:r>
      <w:r>
        <w:rPr>
          <w:rFonts w:ascii="Arial" w:eastAsia="宋体" w:hAnsi="Arial" w:cs="Arial"/>
          <w:color w:val="000000"/>
          <w:sz w:val="20"/>
          <w:szCs w:val="20"/>
        </w:rPr>
        <w:t xml:space="preserve">o rapidly adjust exposures in highly dynamic markets. For this reason, risk inventory, in the form of net open positions, across all currencies is typically limited. In addition, long and short positions in major, as well as minor, currencies provide risk </w:t>
      </w:r>
      <w:r>
        <w:rPr>
          <w:rFonts w:ascii="Arial" w:eastAsia="宋体" w:hAnsi="Arial" w:cs="Arial"/>
          <w:color w:val="000000"/>
          <w:sz w:val="20"/>
          <w:szCs w:val="20"/>
        </w:rPr>
        <w:t xml:space="preserve">offsets that limit our potential downside exposure. </w:t>
      </w:r>
    </w:p>
    <w:p w14:paraId="5F2CD73F" w14:textId="77777777" w:rsidR="00E836FB" w:rsidRDefault="00994958">
      <w:pPr>
        <w:spacing w:before="20"/>
        <w:ind w:firstLine="450"/>
        <w:jc w:val="both"/>
        <w:textAlignment w:val="top"/>
      </w:pPr>
      <w:r>
        <w:rPr>
          <w:rFonts w:ascii="Arial" w:eastAsia="宋体" w:hAnsi="Arial" w:cs="Arial"/>
          <w:color w:val="000000"/>
          <w:sz w:val="20"/>
          <w:szCs w:val="20"/>
        </w:rPr>
        <w:t>Our VaR methodology uses a historical simulation approach based on market-observed changes in foreign exchange rates, U.S. and non-U.S. interest rates and implied volatilities, and incorporates the resul</w:t>
      </w:r>
      <w:r>
        <w:rPr>
          <w:rFonts w:ascii="Arial" w:eastAsia="宋体" w:hAnsi="Arial" w:cs="Arial"/>
          <w:color w:val="000000"/>
          <w:sz w:val="20"/>
          <w:szCs w:val="20"/>
        </w:rPr>
        <w:t>ting diversification benefits provided from the mix of our trading positions. Our VaR model incorporates approximately 5,000 risk factors and includes correlations among currency, interest rates and other market rates.</w:t>
      </w:r>
    </w:p>
    <w:p w14:paraId="5F2CD740" w14:textId="77777777" w:rsidR="00E836FB" w:rsidRDefault="00994958">
      <w:pPr>
        <w:spacing w:before="20"/>
        <w:ind w:firstLine="450"/>
        <w:jc w:val="both"/>
        <w:textAlignment w:val="top"/>
      </w:pPr>
      <w:r>
        <w:rPr>
          <w:rFonts w:ascii="Arial" w:eastAsia="宋体" w:hAnsi="Arial" w:cs="Arial"/>
          <w:color w:val="000000"/>
          <w:sz w:val="20"/>
          <w:szCs w:val="20"/>
        </w:rPr>
        <w:t>All VaR measures are subject to limit</w:t>
      </w:r>
      <w:r>
        <w:rPr>
          <w:rFonts w:ascii="Arial" w:eastAsia="宋体" w:hAnsi="Arial" w:cs="Arial"/>
          <w:color w:val="000000"/>
          <w:sz w:val="20"/>
          <w:szCs w:val="20"/>
        </w:rPr>
        <w:t>ations and must be interpreted accordingly. Some, but not all, of the limitations of our VaR methodology include the following:</w:t>
      </w:r>
    </w:p>
    <w:p w14:paraId="5F2CD741" w14:textId="77777777" w:rsidR="00E836FB" w:rsidRDefault="00994958">
      <w:pPr>
        <w:spacing w:before="60"/>
        <w:ind w:hanging="360"/>
        <w:jc w:val="both"/>
        <w:textAlignment w:val="top"/>
      </w:pPr>
      <w:r>
        <w:rPr>
          <w:rFonts w:ascii="Arial" w:eastAsia="宋体" w:hAnsi="Arial" w:cs="Arial"/>
          <w:color w:val="000000"/>
          <w:sz w:val="20"/>
          <w:szCs w:val="20"/>
        </w:rPr>
        <w:t>•Compared to a shorter observation period, a two-year observation period is slower to reflect increases in market volatility (al</w:t>
      </w:r>
      <w:r>
        <w:rPr>
          <w:rFonts w:ascii="Arial" w:eastAsia="宋体" w:hAnsi="Arial" w:cs="Arial"/>
          <w:color w:val="000000"/>
          <w:sz w:val="20"/>
          <w:szCs w:val="20"/>
        </w:rPr>
        <w:t>though temporary increases in market volatility will affect the calculation of VaR for a longer period); consequently, in periods of sudden increases in volatility or increasing volatility, in each case relative to the prior two-year period, the calculatio</w:t>
      </w:r>
      <w:r>
        <w:rPr>
          <w:rFonts w:ascii="Arial" w:eastAsia="宋体" w:hAnsi="Arial" w:cs="Arial"/>
          <w:color w:val="000000"/>
          <w:sz w:val="20"/>
          <w:szCs w:val="20"/>
        </w:rPr>
        <w:t xml:space="preserve">n of VaR may understate current risk; </w:t>
      </w:r>
    </w:p>
    <w:p w14:paraId="5F2CD742" w14:textId="77777777" w:rsidR="00E836FB" w:rsidRDefault="00994958">
      <w:pPr>
        <w:spacing w:before="60"/>
        <w:ind w:hanging="360"/>
        <w:jc w:val="both"/>
        <w:textAlignment w:val="top"/>
      </w:pPr>
      <w:r>
        <w:rPr>
          <w:rFonts w:ascii="Arial" w:eastAsia="宋体" w:hAnsi="Arial" w:cs="Arial"/>
          <w:color w:val="000000"/>
          <w:sz w:val="20"/>
          <w:szCs w:val="20"/>
        </w:rPr>
        <w:t>•Compared to a longer observation period, a two-year observation period may not reflect as many past periods of volatility in the markets, because such past volatility is no longer in the observation period; consequen</w:t>
      </w:r>
      <w:r>
        <w:rPr>
          <w:rFonts w:ascii="Arial" w:eastAsia="宋体" w:hAnsi="Arial" w:cs="Arial"/>
          <w:color w:val="000000"/>
          <w:sz w:val="20"/>
          <w:szCs w:val="20"/>
        </w:rPr>
        <w:t xml:space="preserve">tly, historical market scenarios of high volatility, even if similar to current or likely future market circumstances, may fall outside the two-year observation period, resulting in a potential understatement of current risk; </w:t>
      </w:r>
    </w:p>
    <w:p w14:paraId="5F2CD743" w14:textId="77777777" w:rsidR="00E836FB" w:rsidRDefault="00994958">
      <w:pPr>
        <w:spacing w:before="60"/>
        <w:ind w:hanging="360"/>
        <w:jc w:val="both"/>
        <w:textAlignment w:val="top"/>
      </w:pPr>
      <w:r>
        <w:rPr>
          <w:rFonts w:ascii="Arial" w:eastAsia="宋体" w:hAnsi="Arial" w:cs="Arial"/>
          <w:color w:val="000000"/>
          <w:sz w:val="20"/>
          <w:szCs w:val="20"/>
        </w:rPr>
        <w:t>•The VaR-based measure is cal</w:t>
      </w:r>
      <w:r>
        <w:rPr>
          <w:rFonts w:ascii="Arial" w:eastAsia="宋体" w:hAnsi="Arial" w:cs="Arial"/>
          <w:color w:val="000000"/>
          <w:sz w:val="20"/>
          <w:szCs w:val="20"/>
        </w:rPr>
        <w:t xml:space="preserve">ibrated to a specified level of confidence and does not indicate the potential magnitude of losses beyond this confidence level; </w:t>
      </w:r>
    </w:p>
    <w:p w14:paraId="5F2CD744" w14:textId="77777777" w:rsidR="00E836FB" w:rsidRDefault="00994958">
      <w:pPr>
        <w:spacing w:before="60"/>
        <w:ind w:hanging="360"/>
        <w:jc w:val="both"/>
        <w:textAlignment w:val="top"/>
      </w:pPr>
      <w:r>
        <w:rPr>
          <w:rFonts w:ascii="Arial" w:eastAsia="宋体" w:hAnsi="Arial" w:cs="Arial"/>
          <w:color w:val="000000"/>
          <w:sz w:val="20"/>
          <w:szCs w:val="20"/>
        </w:rPr>
        <w:t>•In certain cases, VaR-based measures approximate the impact of changes in risk factors on the values of positions and portfol</w:t>
      </w:r>
      <w:r>
        <w:rPr>
          <w:rFonts w:ascii="Arial" w:eastAsia="宋体" w:hAnsi="Arial" w:cs="Arial"/>
          <w:color w:val="000000"/>
          <w:sz w:val="20"/>
          <w:szCs w:val="20"/>
        </w:rPr>
        <w:t xml:space="preserve">ios; this may happen because the number of inputs included in the VaR model is necessarily limited; for example, yield curve risk factors do not exist for all future dates; </w:t>
      </w:r>
    </w:p>
    <w:p w14:paraId="5F2CD745" w14:textId="77777777" w:rsidR="00E836FB" w:rsidRDefault="00994958">
      <w:pPr>
        <w:spacing w:before="60"/>
        <w:ind w:hanging="360"/>
        <w:jc w:val="both"/>
        <w:textAlignment w:val="top"/>
      </w:pPr>
      <w:r>
        <w:rPr>
          <w:rFonts w:ascii="Arial" w:eastAsia="宋体" w:hAnsi="Arial" w:cs="Arial"/>
          <w:color w:val="000000"/>
          <w:sz w:val="20"/>
          <w:szCs w:val="20"/>
        </w:rPr>
        <w:t xml:space="preserve">•The use of historical market information may not be predictive of future events, </w:t>
      </w:r>
      <w:r>
        <w:rPr>
          <w:rFonts w:ascii="Arial" w:eastAsia="宋体" w:hAnsi="Arial" w:cs="Arial"/>
          <w:color w:val="000000"/>
          <w:sz w:val="20"/>
          <w:szCs w:val="20"/>
        </w:rPr>
        <w:t xml:space="preserve">particularly those that are extreme in nature; this “backward-looking” limitation can cause VaR to understate or overstate risk; </w:t>
      </w:r>
    </w:p>
    <w:p w14:paraId="5F2CD746" w14:textId="77777777" w:rsidR="00E836FB" w:rsidRDefault="00994958">
      <w:pPr>
        <w:spacing w:before="60"/>
        <w:ind w:hanging="360"/>
        <w:jc w:val="both"/>
        <w:textAlignment w:val="top"/>
      </w:pPr>
      <w:r>
        <w:rPr>
          <w:rFonts w:ascii="Arial" w:eastAsia="宋体" w:hAnsi="Arial" w:cs="Arial"/>
          <w:color w:val="000000"/>
          <w:sz w:val="20"/>
          <w:szCs w:val="20"/>
        </w:rPr>
        <w:t xml:space="preserve">•The effect of extreme and rare market movements is difficult to estimate; this may result from non-linear risk sensitivities </w:t>
      </w:r>
      <w:r>
        <w:rPr>
          <w:rFonts w:ascii="Arial" w:eastAsia="宋体" w:hAnsi="Arial" w:cs="Arial"/>
          <w:color w:val="000000"/>
          <w:sz w:val="20"/>
          <w:szCs w:val="20"/>
        </w:rPr>
        <w:t xml:space="preserve">as well as the potential for actual volatility and correlation levels to differ from assumptions implicit in the VaR calculations; and </w:t>
      </w:r>
    </w:p>
    <w:p w14:paraId="5F2CD747" w14:textId="77777777" w:rsidR="00E836FB" w:rsidRDefault="00994958">
      <w:pPr>
        <w:spacing w:before="60"/>
        <w:ind w:hanging="360"/>
        <w:jc w:val="both"/>
        <w:textAlignment w:val="top"/>
      </w:pPr>
      <w:r>
        <w:rPr>
          <w:rFonts w:ascii="Arial" w:eastAsia="宋体" w:hAnsi="Arial" w:cs="Arial"/>
          <w:color w:val="000000"/>
          <w:sz w:val="20"/>
          <w:szCs w:val="20"/>
        </w:rPr>
        <w:t>•Intra-day risk is not captured.</w:t>
      </w:r>
    </w:p>
    <w:p w14:paraId="5F2CD748" w14:textId="77777777" w:rsidR="00E836FB" w:rsidRDefault="00994958">
      <w:pPr>
        <w:spacing w:before="60"/>
        <w:ind w:firstLine="450"/>
        <w:jc w:val="both"/>
        <w:textAlignment w:val="top"/>
      </w:pPr>
      <w:r>
        <w:rPr>
          <w:rFonts w:ascii="Arial" w:eastAsia="宋体" w:hAnsi="Arial" w:cs="Arial"/>
          <w:color w:val="000000"/>
          <w:sz w:val="20"/>
          <w:szCs w:val="20"/>
        </w:rPr>
        <w:t>We calculate a stressed VaR-based measure using the same model we use to calculate VaR,</w:t>
      </w:r>
      <w:r>
        <w:rPr>
          <w:rFonts w:ascii="Arial" w:eastAsia="宋体" w:hAnsi="Arial" w:cs="Arial"/>
          <w:color w:val="000000"/>
          <w:sz w:val="20"/>
          <w:szCs w:val="20"/>
        </w:rPr>
        <w:t xml:space="preserve"> but with model inputs calibrated to historical data from a range of continuous twelve-month periods that reflect significant financial stress. The stressed VaR model is designed to identify the second-worst outcome occurring in the worst continuous one-ye</w:t>
      </w:r>
      <w:r>
        <w:rPr>
          <w:rFonts w:ascii="Arial" w:eastAsia="宋体" w:hAnsi="Arial" w:cs="Arial"/>
          <w:color w:val="000000"/>
          <w:sz w:val="20"/>
          <w:szCs w:val="20"/>
        </w:rPr>
        <w:t>ar rolling period since July 2007. This stressed VaR meets the regulatory requirement as the rolling ten-day period with an outcome that is worse than 99% of other outcomes during that twelve-month period of financial stress. For each portfolio, the stress</w:t>
      </w:r>
      <w:r>
        <w:rPr>
          <w:rFonts w:ascii="Arial" w:eastAsia="宋体" w:hAnsi="Arial" w:cs="Arial"/>
          <w:color w:val="000000"/>
          <w:sz w:val="20"/>
          <w:szCs w:val="20"/>
        </w:rPr>
        <w:t xml:space="preserve"> period is determined algorithmically by seeking the one-year time horizon that produces the largest ten-business-day VaR from within the available historical data. This historical data set includes the financial crisis of 2008, the highly volatile period </w:t>
      </w:r>
      <w:r>
        <w:rPr>
          <w:rFonts w:ascii="Arial" w:eastAsia="宋体" w:hAnsi="Arial" w:cs="Arial"/>
          <w:color w:val="000000"/>
          <w:sz w:val="20"/>
          <w:szCs w:val="20"/>
        </w:rPr>
        <w:t xml:space="preserve">surrounding the Eurozone sovereign debt crisis and the Standard &amp; Poor's downgrade of U.S. Treasury debt in August 2011. As the historical data set used to determine the stress period expands over time, future market stress events will be incorporated. </w:t>
      </w:r>
    </w:p>
    <w:p w14:paraId="5F2CD749" w14:textId="77777777" w:rsidR="00E836FB" w:rsidRDefault="00994958">
      <w:pPr>
        <w:spacing w:before="60"/>
        <w:jc w:val="both"/>
        <w:textAlignment w:val="top"/>
      </w:pPr>
      <w:r>
        <w:rPr>
          <w:rFonts w:ascii="Arial" w:eastAsia="宋体" w:hAnsi="Arial" w:cs="Arial"/>
          <w:i/>
          <w:iCs/>
          <w:color w:val="000000"/>
          <w:sz w:val="20"/>
          <w:szCs w:val="20"/>
        </w:rPr>
        <w:t>Stress Testing</w:t>
      </w:r>
    </w:p>
    <w:p w14:paraId="5F2CD74A" w14:textId="77777777" w:rsidR="00E836FB" w:rsidRDefault="00994958">
      <w:pPr>
        <w:spacing w:before="60"/>
        <w:ind w:firstLine="450"/>
        <w:jc w:val="both"/>
        <w:textAlignment w:val="top"/>
      </w:pPr>
      <w:r>
        <w:rPr>
          <w:rFonts w:ascii="Arial" w:eastAsia="宋体" w:hAnsi="Arial" w:cs="Arial"/>
          <w:color w:val="000000"/>
          <w:sz w:val="20"/>
          <w:szCs w:val="20"/>
        </w:rPr>
        <w:t>We have a corporate-wide stress testing program in place that incorporates an array of techniques to measure the potential loss we could suffer in a hypothetical scenario of adverse economic and financial conditions. We also monitor concentr</w:t>
      </w:r>
      <w:r>
        <w:rPr>
          <w:rFonts w:ascii="Arial" w:eastAsia="宋体" w:hAnsi="Arial" w:cs="Arial"/>
          <w:color w:val="000000"/>
          <w:sz w:val="20"/>
          <w:szCs w:val="20"/>
        </w:rPr>
        <w:t>ations of risk such as concentration by branch, risk component, and currency pairs. We conduct stress testing on a daily basis based on selected historical stress events that are relevant to our positions in order to estimate the potential impact to our cu</w:t>
      </w:r>
      <w:r>
        <w:rPr>
          <w:rFonts w:ascii="Arial" w:eastAsia="宋体" w:hAnsi="Arial" w:cs="Arial"/>
          <w:color w:val="000000"/>
          <w:sz w:val="20"/>
          <w:szCs w:val="20"/>
        </w:rPr>
        <w:t xml:space="preserve">rrent portfolio should similar market conditions recur, and we also perform stress testing as part of the Federal Reserve's CCAR process. </w:t>
      </w:r>
    </w:p>
    <w:p w14:paraId="5F2CD74B" w14:textId="77777777" w:rsidR="00E836FB" w:rsidRDefault="00994958">
      <w:pPr>
        <w:ind w:firstLine="450"/>
        <w:jc w:val="right"/>
      </w:pPr>
      <w:r>
        <w:rPr>
          <w:rFonts w:ascii="Arial" w:eastAsia="宋体" w:hAnsi="Arial" w:cs="Arial"/>
          <w:color w:val="000000"/>
          <w:sz w:val="18"/>
          <w:szCs w:val="18"/>
        </w:rPr>
        <w:t>State Street Corporation | 106</w:t>
      </w:r>
    </w:p>
    <w:p w14:paraId="5F2CD74C" w14:textId="77777777" w:rsidR="00E836FB" w:rsidRDefault="00E836FB">
      <w:pPr>
        <w:ind w:firstLine="450"/>
        <w:jc w:val="center"/>
      </w:pPr>
    </w:p>
    <w:p w14:paraId="5F2CD74D" w14:textId="77777777" w:rsidR="00E836FB" w:rsidRDefault="00994958">
      <w:r>
        <w:pict w14:anchorId="5F2D6DEF">
          <v:rect id="_x0000_i1130" style="width:415.3pt;height:1.5pt" o:hralign="center" o:hrstd="t" o:hr="t" fillcolor="#a0a0a0" stroked="f"/>
        </w:pict>
      </w:r>
    </w:p>
    <w:p w14:paraId="5F2CD74E"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74F" w14:textId="77777777" w:rsidR="00E836FB" w:rsidRDefault="00994958">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5F2CD750" w14:textId="77777777" w:rsidR="00E836FB" w:rsidRDefault="00994958">
      <w:pPr>
        <w:spacing w:before="60"/>
        <w:jc w:val="both"/>
        <w:textAlignment w:val="top"/>
      </w:pPr>
      <w:r>
        <w:rPr>
          <w:rFonts w:ascii="Arial" w:eastAsia="宋体" w:hAnsi="Arial" w:cs="Arial"/>
          <w:color w:val="000000"/>
          <w:sz w:val="20"/>
          <w:szCs w:val="20"/>
        </w:rPr>
        <w:t xml:space="preserve">Stress testing is conducted, analyzed and reported at the corporate, trading desk, division and risk-factor level (for example, exchange risk, interest rate risk and volatility risk). </w:t>
      </w:r>
    </w:p>
    <w:p w14:paraId="5F2CD751" w14:textId="77777777" w:rsidR="00E836FB" w:rsidRDefault="00994958">
      <w:pPr>
        <w:spacing w:before="60"/>
        <w:ind w:firstLine="450"/>
        <w:jc w:val="both"/>
        <w:textAlignment w:val="top"/>
      </w:pPr>
      <w:r>
        <w:rPr>
          <w:rFonts w:ascii="Arial" w:eastAsia="宋体" w:hAnsi="Arial" w:cs="Arial"/>
          <w:color w:val="000000"/>
          <w:sz w:val="20"/>
          <w:szCs w:val="20"/>
        </w:rPr>
        <w:t xml:space="preserve">Stress testing results and limits are actively monitored on </w:t>
      </w:r>
      <w:r>
        <w:rPr>
          <w:rFonts w:ascii="Arial" w:eastAsia="宋体" w:hAnsi="Arial" w:cs="Arial"/>
          <w:color w:val="000000"/>
          <w:sz w:val="20"/>
          <w:szCs w:val="20"/>
        </w:rPr>
        <w:t>a daily basis by ERM and reported to the CMRC. Limit breaches are addressed by ERM risk managers in conjunction with the business units, escalated as appropriate, and reviewed by the CMRC if material. In addition, we have established several action trigger</w:t>
      </w:r>
      <w:r>
        <w:rPr>
          <w:rFonts w:ascii="Arial" w:eastAsia="宋体" w:hAnsi="Arial" w:cs="Arial"/>
          <w:color w:val="000000"/>
          <w:sz w:val="20"/>
          <w:szCs w:val="20"/>
        </w:rPr>
        <w:t>s that prompt immediate review by management and the implementation of a remediation plan.</w:t>
      </w:r>
    </w:p>
    <w:p w14:paraId="5F2CD752" w14:textId="77777777" w:rsidR="00E836FB" w:rsidRDefault="00994958">
      <w:pPr>
        <w:spacing w:before="60"/>
        <w:ind w:firstLine="450"/>
        <w:jc w:val="both"/>
        <w:textAlignment w:val="top"/>
      </w:pPr>
      <w:r>
        <w:rPr>
          <w:rFonts w:ascii="Arial" w:eastAsia="宋体" w:hAnsi="Arial" w:cs="Arial"/>
          <w:color w:val="000000"/>
          <w:sz w:val="20"/>
          <w:szCs w:val="20"/>
        </w:rPr>
        <w:t>We perform scenario analysis daily based on selected historical stress events that are relevant to our positions in order to estimate the potential impact to our cur</w:t>
      </w:r>
      <w:r>
        <w:rPr>
          <w:rFonts w:ascii="Arial" w:eastAsia="宋体" w:hAnsi="Arial" w:cs="Arial"/>
          <w:color w:val="000000"/>
          <w:sz w:val="20"/>
          <w:szCs w:val="20"/>
        </w:rPr>
        <w:t>rent portfolio should similar market conditions recur. Relevant scenarios are chosen from an inventory of historical financial stresses and applied to our current portfolio. These historical event scenarios involve spot foreign exchange, credit, equity, un</w:t>
      </w:r>
      <w:r>
        <w:rPr>
          <w:rFonts w:ascii="Arial" w:eastAsia="宋体" w:hAnsi="Arial" w:cs="Arial"/>
          <w:color w:val="000000"/>
          <w:sz w:val="20"/>
          <w:szCs w:val="20"/>
        </w:rPr>
        <w:t>foreseen geo-political events and natural disasters, and government and central bank intervention scenarios. Examples of the specific historical scenarios we incorporate in our stress testing program may include the Asian financial crisis of 1997, the Sept</w:t>
      </w:r>
      <w:r>
        <w:rPr>
          <w:rFonts w:ascii="Arial" w:eastAsia="宋体" w:hAnsi="Arial" w:cs="Arial"/>
          <w:color w:val="000000"/>
          <w:sz w:val="20"/>
          <w:szCs w:val="20"/>
        </w:rPr>
        <w:t>ember 11, 2001 terrorist attacks in the U.S. and the 2008 financial crisis. We continue to update our inventory of historical stress scenarios as new stress conditions emerge in the financial markets.</w:t>
      </w:r>
    </w:p>
    <w:p w14:paraId="5F2CD753" w14:textId="77777777" w:rsidR="00E836FB" w:rsidRDefault="00994958">
      <w:pPr>
        <w:spacing w:before="60"/>
        <w:ind w:firstLine="450"/>
        <w:jc w:val="both"/>
        <w:textAlignment w:val="top"/>
      </w:pPr>
      <w:r>
        <w:rPr>
          <w:rFonts w:ascii="Arial" w:eastAsia="宋体" w:hAnsi="Arial" w:cs="Arial"/>
          <w:color w:val="000000"/>
          <w:sz w:val="20"/>
          <w:szCs w:val="20"/>
        </w:rPr>
        <w:t>As each of the historical stress events is associated w</w:t>
      </w:r>
      <w:r>
        <w:rPr>
          <w:rFonts w:ascii="Arial" w:eastAsia="宋体" w:hAnsi="Arial" w:cs="Arial"/>
          <w:color w:val="000000"/>
          <w:sz w:val="20"/>
          <w:szCs w:val="20"/>
        </w:rPr>
        <w:t>ith a different time horizon, we normalize results by scaling down the longer horizon events to a ten-day horizon and keeping the shorter horizon events (i.e., events that are shorter than ten days) at their original terms. We also conduct sensitivity anal</w:t>
      </w:r>
      <w:r>
        <w:rPr>
          <w:rFonts w:ascii="Arial" w:eastAsia="宋体" w:hAnsi="Arial" w:cs="Arial"/>
          <w:color w:val="000000"/>
          <w:sz w:val="20"/>
          <w:szCs w:val="20"/>
        </w:rPr>
        <w:t>ysis daily to calculate the impact of a large predefined shock in a specific risk factor or a group of risk factors on our current portfolio. These predefined shocks include parallel and non-parallel yield curve shifts and foreign exchange spot and volatil</w:t>
      </w:r>
      <w:r>
        <w:rPr>
          <w:rFonts w:ascii="Arial" w:eastAsia="宋体" w:hAnsi="Arial" w:cs="Arial"/>
          <w:color w:val="000000"/>
          <w:sz w:val="20"/>
          <w:szCs w:val="20"/>
        </w:rPr>
        <w:t xml:space="preserve">ity surface shifts. In a parallel shift scenario, we apply a constant factor shift across all yield curve tenors. In a non-parallel shift scenario, we apply different shock levels to different tenors of a yield curve, rather than shifting the entire curve </w:t>
      </w:r>
      <w:r>
        <w:rPr>
          <w:rFonts w:ascii="Arial" w:eastAsia="宋体" w:hAnsi="Arial" w:cs="Arial"/>
          <w:color w:val="000000"/>
          <w:sz w:val="20"/>
          <w:szCs w:val="20"/>
        </w:rPr>
        <w:t xml:space="preserve">by a constant amount. Non-parallel shifts include steepening, flattening and butterflies. </w:t>
      </w:r>
    </w:p>
    <w:p w14:paraId="5F2CD754" w14:textId="77777777" w:rsidR="00E836FB" w:rsidRDefault="00994958">
      <w:pPr>
        <w:spacing w:before="60"/>
        <w:jc w:val="both"/>
        <w:textAlignment w:val="top"/>
      </w:pPr>
      <w:r>
        <w:rPr>
          <w:rFonts w:ascii="Arial" w:eastAsia="宋体" w:hAnsi="Arial" w:cs="Arial"/>
          <w:b/>
          <w:bCs/>
          <w:i/>
          <w:iCs/>
          <w:color w:val="000000"/>
          <w:sz w:val="20"/>
          <w:szCs w:val="20"/>
        </w:rPr>
        <w:t>Validation and Back-Testing</w:t>
      </w:r>
    </w:p>
    <w:p w14:paraId="5F2CD755" w14:textId="77777777" w:rsidR="00E836FB" w:rsidRDefault="00994958">
      <w:pPr>
        <w:spacing w:before="60"/>
        <w:ind w:firstLine="450"/>
        <w:jc w:val="both"/>
        <w:textAlignment w:val="top"/>
      </w:pPr>
      <w:r>
        <w:rPr>
          <w:rFonts w:ascii="Arial" w:eastAsia="宋体" w:hAnsi="Arial" w:cs="Arial"/>
          <w:color w:val="000000"/>
          <w:sz w:val="20"/>
          <w:szCs w:val="20"/>
        </w:rPr>
        <w:t>We perform frequent back-testing to assess the accuracy of our VaR-based model in estimating loss at the stated confidence level. This ba</w:t>
      </w:r>
      <w:r>
        <w:rPr>
          <w:rFonts w:ascii="Arial" w:eastAsia="宋体" w:hAnsi="Arial" w:cs="Arial"/>
          <w:color w:val="000000"/>
          <w:sz w:val="20"/>
          <w:szCs w:val="20"/>
        </w:rPr>
        <w:t>ck-testing involves the comparison of estimated VaR model outputs to daily, actual profit-and-loss (P&amp;L) outcomes observed from daily market movements. We back-test our VaR model using “clean” P&amp;L, which excludes non-trading revenue such as fees, commissio</w:t>
      </w:r>
      <w:r>
        <w:rPr>
          <w:rFonts w:ascii="Arial" w:eastAsia="宋体" w:hAnsi="Arial" w:cs="Arial"/>
          <w:color w:val="000000"/>
          <w:sz w:val="20"/>
          <w:szCs w:val="20"/>
        </w:rPr>
        <w:t xml:space="preserve">ns and NII, as well as estimated revenue from intra-day trading. </w:t>
      </w:r>
    </w:p>
    <w:p w14:paraId="5F2CD756" w14:textId="77777777" w:rsidR="00E836FB" w:rsidRDefault="00994958">
      <w:pPr>
        <w:spacing w:before="60"/>
        <w:ind w:firstLine="450"/>
        <w:jc w:val="both"/>
        <w:textAlignment w:val="top"/>
      </w:pPr>
      <w:r>
        <w:rPr>
          <w:rFonts w:ascii="Arial" w:eastAsia="宋体" w:hAnsi="Arial" w:cs="Arial"/>
          <w:color w:val="000000"/>
          <w:sz w:val="20"/>
          <w:szCs w:val="20"/>
        </w:rPr>
        <w:t>Our VaR definition of trading losses excludes items that are not specific to the price movement of the trading assets and liabilities themselves, such as fees, commissions, changes to reserv</w:t>
      </w:r>
      <w:r>
        <w:rPr>
          <w:rFonts w:ascii="Arial" w:eastAsia="宋体" w:hAnsi="Arial" w:cs="Arial"/>
          <w:color w:val="000000"/>
          <w:sz w:val="20"/>
          <w:szCs w:val="20"/>
        </w:rPr>
        <w:t>es and gains or losses from intra-day activity.</w:t>
      </w:r>
    </w:p>
    <w:p w14:paraId="5F2CD757" w14:textId="77777777" w:rsidR="00E836FB" w:rsidRDefault="00994958">
      <w:pPr>
        <w:spacing w:before="60"/>
        <w:ind w:firstLine="450"/>
        <w:jc w:val="both"/>
        <w:textAlignment w:val="top"/>
      </w:pPr>
      <w:r>
        <w:rPr>
          <w:rFonts w:ascii="Arial" w:eastAsia="宋体" w:hAnsi="Arial" w:cs="Arial"/>
          <w:color w:val="000000"/>
          <w:sz w:val="20"/>
          <w:szCs w:val="20"/>
        </w:rPr>
        <w:t>We experienced one back-testing exception in 2021 and three back-testing exceptions in 2020. At a 99% confidence interval, the statistical expectation for a VaR model is to witness one exception every hundred</w:t>
      </w:r>
      <w:r>
        <w:rPr>
          <w:rFonts w:ascii="Arial" w:eastAsia="宋体" w:hAnsi="Arial" w:cs="Arial"/>
          <w:color w:val="000000"/>
          <w:sz w:val="20"/>
          <w:szCs w:val="20"/>
        </w:rPr>
        <w:t xml:space="preserve"> trading days (or two to three exceptions per year). The 2021 back-testing exception has been attributed to dislocation in FX markets caused by greater demand for funding over year-end periods. The 2020 back-testing exceptions were all noted during the Mar</w:t>
      </w:r>
      <w:r>
        <w:rPr>
          <w:rFonts w:ascii="Arial" w:eastAsia="宋体" w:hAnsi="Arial" w:cs="Arial"/>
          <w:color w:val="000000"/>
          <w:sz w:val="20"/>
          <w:szCs w:val="20"/>
        </w:rPr>
        <w:t xml:space="preserve">ch 2020 market turmoil where some of the largest risk factor shifts since the 2007/2008 financial crisis were observed. </w:t>
      </w:r>
    </w:p>
    <w:p w14:paraId="5F2CD758" w14:textId="77777777" w:rsidR="00E836FB" w:rsidRDefault="00994958">
      <w:pPr>
        <w:spacing w:before="60"/>
        <w:ind w:firstLine="450"/>
        <w:jc w:val="both"/>
        <w:textAlignment w:val="top"/>
      </w:pPr>
      <w:r>
        <w:rPr>
          <w:rFonts w:ascii="Arial" w:eastAsia="宋体" w:hAnsi="Arial" w:cs="Arial"/>
          <w:color w:val="000000"/>
          <w:sz w:val="20"/>
          <w:szCs w:val="20"/>
        </w:rPr>
        <w:t>Our model validation process also evaluates the integrity of our VaR models through the use of regular outcome analysis. This outcome a</w:t>
      </w:r>
      <w:r>
        <w:rPr>
          <w:rFonts w:ascii="Arial" w:eastAsia="宋体" w:hAnsi="Arial" w:cs="Arial"/>
          <w:color w:val="000000"/>
          <w:sz w:val="20"/>
          <w:szCs w:val="20"/>
        </w:rPr>
        <w:t>nalysis includes back-testing, which compares the VaR model's predictions to actual outcomes using out-of-sample information. Consistent with regulatory guidance, the back-testing compared “clean” P&amp;L, defined above, with the one-day VaR produced by the mo</w:t>
      </w:r>
      <w:r>
        <w:rPr>
          <w:rFonts w:ascii="Arial" w:eastAsia="宋体" w:hAnsi="Arial" w:cs="Arial"/>
          <w:color w:val="000000"/>
          <w:sz w:val="20"/>
          <w:szCs w:val="20"/>
        </w:rPr>
        <w:t xml:space="preserve">del. The back-testing was performed for a time period not used for model development. The number of occurrences where “clean” trading-book P&amp;L exceeded the one-day VaR was within our expected VaR tolerance level. </w:t>
      </w:r>
    </w:p>
    <w:p w14:paraId="5F2CD759" w14:textId="77777777" w:rsidR="00E836FB" w:rsidRDefault="00E836FB">
      <w:pPr>
        <w:spacing w:before="60"/>
        <w:jc w:val="both"/>
        <w:textAlignment w:val="top"/>
      </w:pPr>
    </w:p>
    <w:p w14:paraId="5F2CD75A" w14:textId="77777777" w:rsidR="00E836FB" w:rsidRDefault="00994958">
      <w:pPr>
        <w:ind w:firstLine="450"/>
        <w:jc w:val="right"/>
      </w:pPr>
      <w:r>
        <w:rPr>
          <w:rFonts w:ascii="Arial" w:eastAsia="宋体" w:hAnsi="Arial" w:cs="Arial"/>
          <w:color w:val="000000"/>
          <w:sz w:val="18"/>
          <w:szCs w:val="18"/>
        </w:rPr>
        <w:t>State Street Corporation | 107</w:t>
      </w:r>
    </w:p>
    <w:p w14:paraId="5F2CD75B" w14:textId="77777777" w:rsidR="00E836FB" w:rsidRDefault="00E836FB">
      <w:pPr>
        <w:ind w:firstLine="450"/>
        <w:jc w:val="center"/>
      </w:pPr>
    </w:p>
    <w:p w14:paraId="5F2CD75C" w14:textId="77777777" w:rsidR="00E836FB" w:rsidRDefault="00994958">
      <w:r>
        <w:pict w14:anchorId="5F2D6DF0">
          <v:rect id="_x0000_i1131" style="width:415.3pt;height:1.5pt" o:hralign="center" o:hrstd="t" o:hr="t" fillcolor="#a0a0a0" stroked="f"/>
        </w:pict>
      </w:r>
    </w:p>
    <w:p w14:paraId="5F2CD75D" w14:textId="77777777" w:rsidR="00E836FB" w:rsidRDefault="00994958">
      <w:pPr>
        <w:ind w:firstLine="450"/>
        <w:jc w:val="center"/>
      </w:pPr>
      <w:r>
        <w:rPr>
          <w:rFonts w:ascii="Arial" w:eastAsia="宋体" w:hAnsi="Arial" w:cs="Arial"/>
          <w:b/>
          <w:bCs/>
          <w:color w:val="000000"/>
          <w:sz w:val="20"/>
          <w:szCs w:val="20"/>
        </w:rPr>
        <w:t>MANAGEM</w:t>
      </w:r>
      <w:r>
        <w:rPr>
          <w:rFonts w:ascii="Arial" w:eastAsia="宋体" w:hAnsi="Arial" w:cs="Arial"/>
          <w:b/>
          <w:bCs/>
          <w:color w:val="000000"/>
          <w:sz w:val="20"/>
          <w:szCs w:val="20"/>
        </w:rPr>
        <w:t>ENT’S DISCUSSION AND ANALYSIS OF FINANCIAL CONDITION</w:t>
      </w:r>
    </w:p>
    <w:p w14:paraId="5F2CD75E" w14:textId="77777777" w:rsidR="00E836FB" w:rsidRDefault="00994958">
      <w:pPr>
        <w:ind w:firstLine="450"/>
        <w:jc w:val="center"/>
      </w:pPr>
      <w:r>
        <w:rPr>
          <w:rFonts w:ascii="Arial" w:eastAsia="宋体" w:hAnsi="Arial" w:cs="Arial"/>
          <w:b/>
          <w:bCs/>
          <w:color w:val="000000"/>
          <w:sz w:val="20"/>
          <w:szCs w:val="20"/>
        </w:rPr>
        <w:t>AND RESULTS OF OPERATIONS</w:t>
      </w:r>
    </w:p>
    <w:p w14:paraId="5F2CD75F" w14:textId="77777777" w:rsidR="00E836FB" w:rsidRDefault="00994958">
      <w:pPr>
        <w:spacing w:before="60"/>
        <w:jc w:val="both"/>
      </w:pPr>
      <w:r>
        <w:rPr>
          <w:rFonts w:ascii="Arial" w:eastAsia="宋体" w:hAnsi="Arial" w:cs="Arial"/>
          <w:b/>
          <w:bCs/>
          <w:i/>
          <w:iCs/>
          <w:color w:val="000000"/>
          <w:sz w:val="20"/>
          <w:szCs w:val="20"/>
        </w:rPr>
        <w:t>Market Risk Reporting</w:t>
      </w:r>
    </w:p>
    <w:p w14:paraId="5F2CD760" w14:textId="77777777" w:rsidR="00E836FB" w:rsidRDefault="00994958">
      <w:pPr>
        <w:spacing w:before="60"/>
        <w:ind w:firstLine="450"/>
        <w:jc w:val="both"/>
      </w:pPr>
      <w:r>
        <w:rPr>
          <w:rFonts w:ascii="Arial" w:eastAsia="宋体" w:hAnsi="Arial" w:cs="Arial"/>
          <w:color w:val="000000"/>
          <w:sz w:val="20"/>
          <w:szCs w:val="20"/>
        </w:rPr>
        <w:t xml:space="preserve">Our ERM market risk management group is responsible for market risk monitoring and reporting. We use a variety of systems and controlled market feeds </w:t>
      </w:r>
      <w:r>
        <w:rPr>
          <w:rFonts w:ascii="Arial" w:eastAsia="宋体" w:hAnsi="Arial" w:cs="Arial"/>
          <w:color w:val="000000"/>
          <w:sz w:val="20"/>
          <w:szCs w:val="20"/>
        </w:rPr>
        <w:t>from third-party services to compile data for several daily, weekly and monthly management reports.</w:t>
      </w:r>
    </w:p>
    <w:p w14:paraId="5F2CD761" w14:textId="77777777" w:rsidR="00E836FB" w:rsidRDefault="00994958">
      <w:pPr>
        <w:spacing w:before="60"/>
        <w:ind w:firstLine="450"/>
        <w:jc w:val="both"/>
      </w:pPr>
      <w:r>
        <w:rPr>
          <w:rFonts w:ascii="Arial" w:eastAsia="宋体" w:hAnsi="Arial" w:cs="Arial"/>
          <w:color w:val="000000"/>
          <w:sz w:val="20"/>
          <w:szCs w:val="20"/>
        </w:rPr>
        <w:t>The following tables present VaR and stressed VaR associated with our trading activities for covered positions held during the years ended December 31, 2021</w:t>
      </w:r>
      <w:r>
        <w:rPr>
          <w:rFonts w:ascii="Arial" w:eastAsia="宋体" w:hAnsi="Arial" w:cs="Arial"/>
          <w:color w:val="000000"/>
          <w:sz w:val="20"/>
          <w:szCs w:val="20"/>
        </w:rPr>
        <w:t xml:space="preserve"> and 2020, respectively, as measured by our VaR methodology. Diversification effect in the tables below represents the difference between total VaR and the sum of the VaRs for each trading activity. This effect arises because the risks present in our tradi</w:t>
      </w:r>
      <w:r>
        <w:rPr>
          <w:rFonts w:ascii="Arial" w:eastAsia="宋体" w:hAnsi="Arial" w:cs="Arial"/>
          <w:color w:val="000000"/>
          <w:sz w:val="20"/>
          <w:szCs w:val="20"/>
        </w:rPr>
        <w:t>ng activities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70"/>
        <w:gridCol w:w="908"/>
        <w:gridCol w:w="37"/>
        <w:gridCol w:w="36"/>
        <w:gridCol w:w="36"/>
        <w:gridCol w:w="104"/>
        <w:gridCol w:w="667"/>
        <w:gridCol w:w="36"/>
        <w:gridCol w:w="36"/>
        <w:gridCol w:w="36"/>
        <w:gridCol w:w="36"/>
        <w:gridCol w:w="105"/>
        <w:gridCol w:w="667"/>
        <w:gridCol w:w="37"/>
        <w:gridCol w:w="36"/>
        <w:gridCol w:w="36"/>
        <w:gridCol w:w="36"/>
        <w:gridCol w:w="105"/>
        <w:gridCol w:w="668"/>
        <w:gridCol w:w="37"/>
        <w:gridCol w:w="36"/>
        <w:gridCol w:w="36"/>
        <w:gridCol w:w="36"/>
        <w:gridCol w:w="105"/>
        <w:gridCol w:w="684"/>
        <w:gridCol w:w="37"/>
        <w:gridCol w:w="36"/>
        <w:gridCol w:w="36"/>
        <w:gridCol w:w="36"/>
        <w:gridCol w:w="104"/>
        <w:gridCol w:w="654"/>
        <w:gridCol w:w="36"/>
        <w:gridCol w:w="36"/>
        <w:gridCol w:w="36"/>
        <w:gridCol w:w="36"/>
        <w:gridCol w:w="105"/>
        <w:gridCol w:w="669"/>
        <w:gridCol w:w="37"/>
        <w:gridCol w:w="36"/>
        <w:gridCol w:w="36"/>
        <w:gridCol w:w="36"/>
        <w:gridCol w:w="105"/>
        <w:gridCol w:w="669"/>
        <w:gridCol w:w="37"/>
        <w:gridCol w:w="36"/>
        <w:gridCol w:w="36"/>
        <w:gridCol w:w="36"/>
        <w:gridCol w:w="105"/>
        <w:gridCol w:w="684"/>
        <w:gridCol w:w="36"/>
      </w:tblGrid>
      <w:tr w:rsidR="00E836FB" w14:paraId="5F2CD794" w14:textId="77777777">
        <w:tc>
          <w:tcPr>
            <w:tcW w:w="50" w:type="pct"/>
            <w:shd w:val="clear" w:color="auto" w:fill="auto"/>
            <w:vAlign w:val="bottom"/>
          </w:tcPr>
          <w:p w14:paraId="5F2CD762" w14:textId="77777777" w:rsidR="00E836FB" w:rsidRDefault="00E836FB">
            <w:pPr>
              <w:rPr>
                <w:rFonts w:ascii="宋体"/>
              </w:rPr>
            </w:pPr>
          </w:p>
        </w:tc>
        <w:tc>
          <w:tcPr>
            <w:tcW w:w="646" w:type="pct"/>
            <w:shd w:val="clear" w:color="auto" w:fill="auto"/>
            <w:vAlign w:val="bottom"/>
          </w:tcPr>
          <w:p w14:paraId="5F2CD763" w14:textId="77777777" w:rsidR="00E836FB" w:rsidRDefault="00E836FB">
            <w:pPr>
              <w:rPr>
                <w:rFonts w:ascii="宋体"/>
              </w:rPr>
            </w:pPr>
          </w:p>
        </w:tc>
        <w:tc>
          <w:tcPr>
            <w:tcW w:w="5" w:type="pct"/>
            <w:shd w:val="clear" w:color="auto" w:fill="auto"/>
            <w:vAlign w:val="bottom"/>
          </w:tcPr>
          <w:p w14:paraId="5F2CD764" w14:textId="77777777" w:rsidR="00E836FB" w:rsidRDefault="00E836FB">
            <w:pPr>
              <w:rPr>
                <w:rFonts w:ascii="宋体"/>
              </w:rPr>
            </w:pPr>
          </w:p>
        </w:tc>
        <w:tc>
          <w:tcPr>
            <w:tcW w:w="0" w:type="auto"/>
            <w:shd w:val="clear" w:color="auto" w:fill="auto"/>
            <w:vAlign w:val="bottom"/>
          </w:tcPr>
          <w:p w14:paraId="5F2CD765" w14:textId="77777777" w:rsidR="00E836FB" w:rsidRDefault="00E836FB">
            <w:pPr>
              <w:rPr>
                <w:rFonts w:ascii="宋体"/>
                <w:vanish/>
              </w:rPr>
            </w:pPr>
          </w:p>
        </w:tc>
        <w:tc>
          <w:tcPr>
            <w:tcW w:w="0" w:type="auto"/>
            <w:shd w:val="clear" w:color="auto" w:fill="auto"/>
            <w:vAlign w:val="bottom"/>
          </w:tcPr>
          <w:p w14:paraId="5F2CD766" w14:textId="77777777" w:rsidR="00E836FB" w:rsidRDefault="00E836FB">
            <w:pPr>
              <w:rPr>
                <w:rFonts w:ascii="宋体"/>
                <w:vanish/>
              </w:rPr>
            </w:pPr>
          </w:p>
        </w:tc>
        <w:tc>
          <w:tcPr>
            <w:tcW w:w="50" w:type="pct"/>
            <w:shd w:val="clear" w:color="auto" w:fill="auto"/>
            <w:vAlign w:val="bottom"/>
          </w:tcPr>
          <w:p w14:paraId="5F2CD767" w14:textId="77777777" w:rsidR="00E836FB" w:rsidRDefault="00E836FB">
            <w:pPr>
              <w:rPr>
                <w:rFonts w:ascii="宋体"/>
              </w:rPr>
            </w:pPr>
          </w:p>
        </w:tc>
        <w:tc>
          <w:tcPr>
            <w:tcW w:w="456" w:type="pct"/>
            <w:shd w:val="clear" w:color="auto" w:fill="auto"/>
            <w:vAlign w:val="bottom"/>
          </w:tcPr>
          <w:p w14:paraId="5F2CD768" w14:textId="77777777" w:rsidR="00E836FB" w:rsidRDefault="00E836FB">
            <w:pPr>
              <w:rPr>
                <w:rFonts w:ascii="宋体"/>
              </w:rPr>
            </w:pPr>
          </w:p>
        </w:tc>
        <w:tc>
          <w:tcPr>
            <w:tcW w:w="5" w:type="pct"/>
            <w:shd w:val="clear" w:color="auto" w:fill="auto"/>
            <w:vAlign w:val="bottom"/>
          </w:tcPr>
          <w:p w14:paraId="5F2CD769" w14:textId="77777777" w:rsidR="00E836FB" w:rsidRDefault="00E836FB">
            <w:pPr>
              <w:rPr>
                <w:rFonts w:ascii="宋体"/>
              </w:rPr>
            </w:pPr>
          </w:p>
        </w:tc>
        <w:tc>
          <w:tcPr>
            <w:tcW w:w="5" w:type="pct"/>
            <w:shd w:val="clear" w:color="auto" w:fill="auto"/>
            <w:vAlign w:val="bottom"/>
          </w:tcPr>
          <w:p w14:paraId="5F2CD76A" w14:textId="77777777" w:rsidR="00E836FB" w:rsidRDefault="00E836FB">
            <w:pPr>
              <w:rPr>
                <w:rFonts w:ascii="宋体"/>
              </w:rPr>
            </w:pPr>
          </w:p>
        </w:tc>
        <w:tc>
          <w:tcPr>
            <w:tcW w:w="19" w:type="pct"/>
            <w:shd w:val="clear" w:color="auto" w:fill="auto"/>
            <w:vAlign w:val="bottom"/>
          </w:tcPr>
          <w:p w14:paraId="5F2CD76B" w14:textId="77777777" w:rsidR="00E836FB" w:rsidRDefault="00E836FB">
            <w:pPr>
              <w:rPr>
                <w:rFonts w:ascii="宋体"/>
              </w:rPr>
            </w:pPr>
          </w:p>
        </w:tc>
        <w:tc>
          <w:tcPr>
            <w:tcW w:w="5" w:type="pct"/>
            <w:shd w:val="clear" w:color="auto" w:fill="auto"/>
            <w:vAlign w:val="bottom"/>
          </w:tcPr>
          <w:p w14:paraId="5F2CD76C" w14:textId="77777777" w:rsidR="00E836FB" w:rsidRDefault="00E836FB">
            <w:pPr>
              <w:rPr>
                <w:rFonts w:ascii="宋体"/>
              </w:rPr>
            </w:pPr>
          </w:p>
        </w:tc>
        <w:tc>
          <w:tcPr>
            <w:tcW w:w="50" w:type="pct"/>
            <w:shd w:val="clear" w:color="auto" w:fill="auto"/>
            <w:vAlign w:val="bottom"/>
          </w:tcPr>
          <w:p w14:paraId="5F2CD76D" w14:textId="77777777" w:rsidR="00E836FB" w:rsidRDefault="00E836FB">
            <w:pPr>
              <w:rPr>
                <w:rFonts w:ascii="宋体"/>
              </w:rPr>
            </w:pPr>
          </w:p>
        </w:tc>
        <w:tc>
          <w:tcPr>
            <w:tcW w:w="456" w:type="pct"/>
            <w:shd w:val="clear" w:color="auto" w:fill="auto"/>
            <w:vAlign w:val="bottom"/>
          </w:tcPr>
          <w:p w14:paraId="5F2CD76E" w14:textId="77777777" w:rsidR="00E836FB" w:rsidRDefault="00E836FB">
            <w:pPr>
              <w:rPr>
                <w:rFonts w:ascii="宋体"/>
              </w:rPr>
            </w:pPr>
          </w:p>
        </w:tc>
        <w:tc>
          <w:tcPr>
            <w:tcW w:w="5" w:type="pct"/>
            <w:shd w:val="clear" w:color="auto" w:fill="auto"/>
            <w:vAlign w:val="bottom"/>
          </w:tcPr>
          <w:p w14:paraId="5F2CD76F" w14:textId="77777777" w:rsidR="00E836FB" w:rsidRDefault="00E836FB">
            <w:pPr>
              <w:rPr>
                <w:rFonts w:ascii="宋体"/>
              </w:rPr>
            </w:pPr>
          </w:p>
        </w:tc>
        <w:tc>
          <w:tcPr>
            <w:tcW w:w="5" w:type="pct"/>
            <w:shd w:val="clear" w:color="auto" w:fill="auto"/>
            <w:vAlign w:val="bottom"/>
          </w:tcPr>
          <w:p w14:paraId="5F2CD770" w14:textId="77777777" w:rsidR="00E836FB" w:rsidRDefault="00E836FB">
            <w:pPr>
              <w:rPr>
                <w:rFonts w:ascii="宋体"/>
              </w:rPr>
            </w:pPr>
          </w:p>
        </w:tc>
        <w:tc>
          <w:tcPr>
            <w:tcW w:w="19" w:type="pct"/>
            <w:shd w:val="clear" w:color="auto" w:fill="auto"/>
            <w:vAlign w:val="bottom"/>
          </w:tcPr>
          <w:p w14:paraId="5F2CD771" w14:textId="77777777" w:rsidR="00E836FB" w:rsidRDefault="00E836FB">
            <w:pPr>
              <w:rPr>
                <w:rFonts w:ascii="宋体"/>
              </w:rPr>
            </w:pPr>
          </w:p>
        </w:tc>
        <w:tc>
          <w:tcPr>
            <w:tcW w:w="5" w:type="pct"/>
            <w:shd w:val="clear" w:color="auto" w:fill="auto"/>
            <w:vAlign w:val="bottom"/>
          </w:tcPr>
          <w:p w14:paraId="5F2CD772" w14:textId="77777777" w:rsidR="00E836FB" w:rsidRDefault="00E836FB">
            <w:pPr>
              <w:rPr>
                <w:rFonts w:ascii="宋体"/>
              </w:rPr>
            </w:pPr>
          </w:p>
        </w:tc>
        <w:tc>
          <w:tcPr>
            <w:tcW w:w="50" w:type="pct"/>
            <w:shd w:val="clear" w:color="auto" w:fill="auto"/>
            <w:vAlign w:val="bottom"/>
          </w:tcPr>
          <w:p w14:paraId="5F2CD773" w14:textId="77777777" w:rsidR="00E836FB" w:rsidRDefault="00E836FB">
            <w:pPr>
              <w:rPr>
                <w:rFonts w:ascii="宋体"/>
              </w:rPr>
            </w:pPr>
          </w:p>
        </w:tc>
        <w:tc>
          <w:tcPr>
            <w:tcW w:w="456" w:type="pct"/>
            <w:shd w:val="clear" w:color="auto" w:fill="auto"/>
            <w:vAlign w:val="bottom"/>
          </w:tcPr>
          <w:p w14:paraId="5F2CD774" w14:textId="77777777" w:rsidR="00E836FB" w:rsidRDefault="00E836FB">
            <w:pPr>
              <w:rPr>
                <w:rFonts w:ascii="宋体"/>
              </w:rPr>
            </w:pPr>
          </w:p>
        </w:tc>
        <w:tc>
          <w:tcPr>
            <w:tcW w:w="5" w:type="pct"/>
            <w:shd w:val="clear" w:color="auto" w:fill="auto"/>
            <w:vAlign w:val="bottom"/>
          </w:tcPr>
          <w:p w14:paraId="5F2CD775" w14:textId="77777777" w:rsidR="00E836FB" w:rsidRDefault="00E836FB">
            <w:pPr>
              <w:rPr>
                <w:rFonts w:ascii="宋体"/>
              </w:rPr>
            </w:pPr>
          </w:p>
        </w:tc>
        <w:tc>
          <w:tcPr>
            <w:tcW w:w="5" w:type="pct"/>
            <w:shd w:val="clear" w:color="auto" w:fill="auto"/>
            <w:vAlign w:val="bottom"/>
          </w:tcPr>
          <w:p w14:paraId="5F2CD776" w14:textId="77777777" w:rsidR="00E836FB" w:rsidRDefault="00E836FB">
            <w:pPr>
              <w:rPr>
                <w:rFonts w:ascii="宋体"/>
              </w:rPr>
            </w:pPr>
          </w:p>
        </w:tc>
        <w:tc>
          <w:tcPr>
            <w:tcW w:w="19" w:type="pct"/>
            <w:shd w:val="clear" w:color="auto" w:fill="auto"/>
            <w:vAlign w:val="bottom"/>
          </w:tcPr>
          <w:p w14:paraId="5F2CD777" w14:textId="77777777" w:rsidR="00E836FB" w:rsidRDefault="00E836FB">
            <w:pPr>
              <w:rPr>
                <w:rFonts w:ascii="宋体"/>
              </w:rPr>
            </w:pPr>
          </w:p>
        </w:tc>
        <w:tc>
          <w:tcPr>
            <w:tcW w:w="5" w:type="pct"/>
            <w:shd w:val="clear" w:color="auto" w:fill="auto"/>
            <w:vAlign w:val="bottom"/>
          </w:tcPr>
          <w:p w14:paraId="5F2CD778" w14:textId="77777777" w:rsidR="00E836FB" w:rsidRDefault="00E836FB">
            <w:pPr>
              <w:rPr>
                <w:rFonts w:ascii="宋体"/>
              </w:rPr>
            </w:pPr>
          </w:p>
        </w:tc>
        <w:tc>
          <w:tcPr>
            <w:tcW w:w="50" w:type="pct"/>
            <w:shd w:val="clear" w:color="auto" w:fill="auto"/>
            <w:vAlign w:val="bottom"/>
          </w:tcPr>
          <w:p w14:paraId="5F2CD779" w14:textId="77777777" w:rsidR="00E836FB" w:rsidRDefault="00E836FB">
            <w:pPr>
              <w:rPr>
                <w:rFonts w:ascii="宋体"/>
              </w:rPr>
            </w:pPr>
          </w:p>
        </w:tc>
        <w:tc>
          <w:tcPr>
            <w:tcW w:w="456" w:type="pct"/>
            <w:shd w:val="clear" w:color="auto" w:fill="auto"/>
            <w:vAlign w:val="bottom"/>
          </w:tcPr>
          <w:p w14:paraId="5F2CD77A" w14:textId="77777777" w:rsidR="00E836FB" w:rsidRDefault="00E836FB">
            <w:pPr>
              <w:rPr>
                <w:rFonts w:ascii="宋体"/>
              </w:rPr>
            </w:pPr>
          </w:p>
        </w:tc>
        <w:tc>
          <w:tcPr>
            <w:tcW w:w="5" w:type="pct"/>
            <w:shd w:val="clear" w:color="auto" w:fill="auto"/>
            <w:vAlign w:val="bottom"/>
          </w:tcPr>
          <w:p w14:paraId="5F2CD77B" w14:textId="77777777" w:rsidR="00E836FB" w:rsidRDefault="00E836FB">
            <w:pPr>
              <w:rPr>
                <w:rFonts w:ascii="宋体"/>
              </w:rPr>
            </w:pPr>
          </w:p>
        </w:tc>
        <w:tc>
          <w:tcPr>
            <w:tcW w:w="5" w:type="pct"/>
            <w:shd w:val="clear" w:color="auto" w:fill="auto"/>
            <w:vAlign w:val="bottom"/>
          </w:tcPr>
          <w:p w14:paraId="5F2CD77C" w14:textId="77777777" w:rsidR="00E836FB" w:rsidRDefault="00E836FB">
            <w:pPr>
              <w:rPr>
                <w:rFonts w:ascii="宋体"/>
              </w:rPr>
            </w:pPr>
          </w:p>
        </w:tc>
        <w:tc>
          <w:tcPr>
            <w:tcW w:w="19" w:type="pct"/>
            <w:shd w:val="clear" w:color="auto" w:fill="auto"/>
            <w:vAlign w:val="bottom"/>
          </w:tcPr>
          <w:p w14:paraId="5F2CD77D" w14:textId="77777777" w:rsidR="00E836FB" w:rsidRDefault="00E836FB">
            <w:pPr>
              <w:rPr>
                <w:rFonts w:ascii="宋体"/>
              </w:rPr>
            </w:pPr>
          </w:p>
        </w:tc>
        <w:tc>
          <w:tcPr>
            <w:tcW w:w="5" w:type="pct"/>
            <w:shd w:val="clear" w:color="auto" w:fill="auto"/>
            <w:vAlign w:val="bottom"/>
          </w:tcPr>
          <w:p w14:paraId="5F2CD77E" w14:textId="77777777" w:rsidR="00E836FB" w:rsidRDefault="00E836FB">
            <w:pPr>
              <w:rPr>
                <w:rFonts w:ascii="宋体"/>
              </w:rPr>
            </w:pPr>
          </w:p>
        </w:tc>
        <w:tc>
          <w:tcPr>
            <w:tcW w:w="50" w:type="pct"/>
            <w:shd w:val="clear" w:color="auto" w:fill="auto"/>
            <w:vAlign w:val="bottom"/>
          </w:tcPr>
          <w:p w14:paraId="5F2CD77F" w14:textId="77777777" w:rsidR="00E836FB" w:rsidRDefault="00E836FB">
            <w:pPr>
              <w:rPr>
                <w:rFonts w:ascii="宋体"/>
              </w:rPr>
            </w:pPr>
          </w:p>
        </w:tc>
        <w:tc>
          <w:tcPr>
            <w:tcW w:w="456" w:type="pct"/>
            <w:shd w:val="clear" w:color="auto" w:fill="auto"/>
            <w:vAlign w:val="bottom"/>
          </w:tcPr>
          <w:p w14:paraId="5F2CD780" w14:textId="77777777" w:rsidR="00E836FB" w:rsidRDefault="00E836FB">
            <w:pPr>
              <w:rPr>
                <w:rFonts w:ascii="宋体"/>
              </w:rPr>
            </w:pPr>
          </w:p>
        </w:tc>
        <w:tc>
          <w:tcPr>
            <w:tcW w:w="5" w:type="pct"/>
            <w:shd w:val="clear" w:color="auto" w:fill="auto"/>
            <w:vAlign w:val="bottom"/>
          </w:tcPr>
          <w:p w14:paraId="5F2CD781" w14:textId="77777777" w:rsidR="00E836FB" w:rsidRDefault="00E836FB">
            <w:pPr>
              <w:rPr>
                <w:rFonts w:ascii="宋体"/>
              </w:rPr>
            </w:pPr>
          </w:p>
        </w:tc>
        <w:tc>
          <w:tcPr>
            <w:tcW w:w="5" w:type="pct"/>
            <w:shd w:val="clear" w:color="auto" w:fill="auto"/>
            <w:vAlign w:val="bottom"/>
          </w:tcPr>
          <w:p w14:paraId="5F2CD782" w14:textId="77777777" w:rsidR="00E836FB" w:rsidRDefault="00E836FB">
            <w:pPr>
              <w:rPr>
                <w:rFonts w:ascii="宋体"/>
              </w:rPr>
            </w:pPr>
          </w:p>
        </w:tc>
        <w:tc>
          <w:tcPr>
            <w:tcW w:w="19" w:type="pct"/>
            <w:shd w:val="clear" w:color="auto" w:fill="auto"/>
            <w:vAlign w:val="bottom"/>
          </w:tcPr>
          <w:p w14:paraId="5F2CD783" w14:textId="77777777" w:rsidR="00E836FB" w:rsidRDefault="00E836FB">
            <w:pPr>
              <w:rPr>
                <w:rFonts w:ascii="宋体"/>
              </w:rPr>
            </w:pPr>
          </w:p>
        </w:tc>
        <w:tc>
          <w:tcPr>
            <w:tcW w:w="5" w:type="pct"/>
            <w:shd w:val="clear" w:color="auto" w:fill="auto"/>
            <w:vAlign w:val="bottom"/>
          </w:tcPr>
          <w:p w14:paraId="5F2CD784" w14:textId="77777777" w:rsidR="00E836FB" w:rsidRDefault="00E836FB">
            <w:pPr>
              <w:rPr>
                <w:rFonts w:ascii="宋体"/>
              </w:rPr>
            </w:pPr>
          </w:p>
        </w:tc>
        <w:tc>
          <w:tcPr>
            <w:tcW w:w="50" w:type="pct"/>
            <w:shd w:val="clear" w:color="auto" w:fill="auto"/>
            <w:vAlign w:val="bottom"/>
          </w:tcPr>
          <w:p w14:paraId="5F2CD785" w14:textId="77777777" w:rsidR="00E836FB" w:rsidRDefault="00E836FB">
            <w:pPr>
              <w:rPr>
                <w:rFonts w:ascii="宋体"/>
              </w:rPr>
            </w:pPr>
          </w:p>
        </w:tc>
        <w:tc>
          <w:tcPr>
            <w:tcW w:w="456" w:type="pct"/>
            <w:shd w:val="clear" w:color="auto" w:fill="auto"/>
            <w:vAlign w:val="bottom"/>
          </w:tcPr>
          <w:p w14:paraId="5F2CD786" w14:textId="77777777" w:rsidR="00E836FB" w:rsidRDefault="00E836FB">
            <w:pPr>
              <w:rPr>
                <w:rFonts w:ascii="宋体"/>
              </w:rPr>
            </w:pPr>
          </w:p>
        </w:tc>
        <w:tc>
          <w:tcPr>
            <w:tcW w:w="5" w:type="pct"/>
            <w:shd w:val="clear" w:color="auto" w:fill="auto"/>
            <w:vAlign w:val="bottom"/>
          </w:tcPr>
          <w:p w14:paraId="5F2CD787" w14:textId="77777777" w:rsidR="00E836FB" w:rsidRDefault="00E836FB">
            <w:pPr>
              <w:rPr>
                <w:rFonts w:ascii="宋体"/>
              </w:rPr>
            </w:pPr>
          </w:p>
        </w:tc>
        <w:tc>
          <w:tcPr>
            <w:tcW w:w="5" w:type="pct"/>
            <w:shd w:val="clear" w:color="auto" w:fill="auto"/>
            <w:vAlign w:val="bottom"/>
          </w:tcPr>
          <w:p w14:paraId="5F2CD788" w14:textId="77777777" w:rsidR="00E836FB" w:rsidRDefault="00E836FB">
            <w:pPr>
              <w:rPr>
                <w:rFonts w:ascii="宋体"/>
              </w:rPr>
            </w:pPr>
          </w:p>
        </w:tc>
        <w:tc>
          <w:tcPr>
            <w:tcW w:w="19" w:type="pct"/>
            <w:shd w:val="clear" w:color="auto" w:fill="auto"/>
            <w:vAlign w:val="bottom"/>
          </w:tcPr>
          <w:p w14:paraId="5F2CD789" w14:textId="77777777" w:rsidR="00E836FB" w:rsidRDefault="00E836FB">
            <w:pPr>
              <w:rPr>
                <w:rFonts w:ascii="宋体"/>
              </w:rPr>
            </w:pPr>
          </w:p>
        </w:tc>
        <w:tc>
          <w:tcPr>
            <w:tcW w:w="5" w:type="pct"/>
            <w:shd w:val="clear" w:color="auto" w:fill="auto"/>
            <w:vAlign w:val="bottom"/>
          </w:tcPr>
          <w:p w14:paraId="5F2CD78A" w14:textId="77777777" w:rsidR="00E836FB" w:rsidRDefault="00E836FB">
            <w:pPr>
              <w:rPr>
                <w:rFonts w:ascii="宋体"/>
              </w:rPr>
            </w:pPr>
          </w:p>
        </w:tc>
        <w:tc>
          <w:tcPr>
            <w:tcW w:w="50" w:type="pct"/>
            <w:shd w:val="clear" w:color="auto" w:fill="auto"/>
            <w:vAlign w:val="bottom"/>
          </w:tcPr>
          <w:p w14:paraId="5F2CD78B" w14:textId="77777777" w:rsidR="00E836FB" w:rsidRDefault="00E836FB">
            <w:pPr>
              <w:rPr>
                <w:rFonts w:ascii="宋体"/>
              </w:rPr>
            </w:pPr>
          </w:p>
        </w:tc>
        <w:tc>
          <w:tcPr>
            <w:tcW w:w="456" w:type="pct"/>
            <w:shd w:val="clear" w:color="auto" w:fill="auto"/>
            <w:vAlign w:val="bottom"/>
          </w:tcPr>
          <w:p w14:paraId="5F2CD78C" w14:textId="77777777" w:rsidR="00E836FB" w:rsidRDefault="00E836FB">
            <w:pPr>
              <w:rPr>
                <w:rFonts w:ascii="宋体"/>
              </w:rPr>
            </w:pPr>
          </w:p>
        </w:tc>
        <w:tc>
          <w:tcPr>
            <w:tcW w:w="5" w:type="pct"/>
            <w:shd w:val="clear" w:color="auto" w:fill="auto"/>
            <w:vAlign w:val="bottom"/>
          </w:tcPr>
          <w:p w14:paraId="5F2CD78D" w14:textId="77777777" w:rsidR="00E836FB" w:rsidRDefault="00E836FB">
            <w:pPr>
              <w:rPr>
                <w:rFonts w:ascii="宋体"/>
              </w:rPr>
            </w:pPr>
          </w:p>
        </w:tc>
        <w:tc>
          <w:tcPr>
            <w:tcW w:w="5" w:type="pct"/>
            <w:shd w:val="clear" w:color="auto" w:fill="auto"/>
            <w:vAlign w:val="bottom"/>
          </w:tcPr>
          <w:p w14:paraId="5F2CD78E" w14:textId="77777777" w:rsidR="00E836FB" w:rsidRDefault="00E836FB">
            <w:pPr>
              <w:rPr>
                <w:rFonts w:ascii="宋体"/>
              </w:rPr>
            </w:pPr>
          </w:p>
        </w:tc>
        <w:tc>
          <w:tcPr>
            <w:tcW w:w="19" w:type="pct"/>
            <w:shd w:val="clear" w:color="auto" w:fill="auto"/>
            <w:vAlign w:val="bottom"/>
          </w:tcPr>
          <w:p w14:paraId="5F2CD78F" w14:textId="77777777" w:rsidR="00E836FB" w:rsidRDefault="00E836FB">
            <w:pPr>
              <w:rPr>
                <w:rFonts w:ascii="宋体"/>
              </w:rPr>
            </w:pPr>
          </w:p>
        </w:tc>
        <w:tc>
          <w:tcPr>
            <w:tcW w:w="5" w:type="pct"/>
            <w:shd w:val="clear" w:color="auto" w:fill="auto"/>
            <w:vAlign w:val="bottom"/>
          </w:tcPr>
          <w:p w14:paraId="5F2CD790" w14:textId="77777777" w:rsidR="00E836FB" w:rsidRDefault="00E836FB">
            <w:pPr>
              <w:rPr>
                <w:rFonts w:ascii="宋体"/>
              </w:rPr>
            </w:pPr>
          </w:p>
        </w:tc>
        <w:tc>
          <w:tcPr>
            <w:tcW w:w="50" w:type="pct"/>
            <w:shd w:val="clear" w:color="auto" w:fill="auto"/>
            <w:vAlign w:val="bottom"/>
          </w:tcPr>
          <w:p w14:paraId="5F2CD791" w14:textId="77777777" w:rsidR="00E836FB" w:rsidRDefault="00E836FB">
            <w:pPr>
              <w:rPr>
                <w:rFonts w:ascii="宋体"/>
              </w:rPr>
            </w:pPr>
          </w:p>
        </w:tc>
        <w:tc>
          <w:tcPr>
            <w:tcW w:w="457" w:type="pct"/>
            <w:shd w:val="clear" w:color="auto" w:fill="auto"/>
            <w:vAlign w:val="bottom"/>
          </w:tcPr>
          <w:p w14:paraId="5F2CD792" w14:textId="77777777" w:rsidR="00E836FB" w:rsidRDefault="00E836FB">
            <w:pPr>
              <w:rPr>
                <w:rFonts w:ascii="宋体"/>
              </w:rPr>
            </w:pPr>
          </w:p>
        </w:tc>
        <w:tc>
          <w:tcPr>
            <w:tcW w:w="5" w:type="pct"/>
            <w:shd w:val="clear" w:color="auto" w:fill="auto"/>
            <w:vAlign w:val="bottom"/>
          </w:tcPr>
          <w:p w14:paraId="5F2CD793" w14:textId="77777777" w:rsidR="00E836FB" w:rsidRDefault="00E836FB">
            <w:pPr>
              <w:rPr>
                <w:rFonts w:ascii="宋体"/>
              </w:rPr>
            </w:pPr>
          </w:p>
        </w:tc>
      </w:tr>
      <w:tr w:rsidR="00E836FB" w14:paraId="5F2CD79C" w14:textId="77777777">
        <w:tc>
          <w:tcPr>
            <w:tcW w:w="0" w:type="auto"/>
            <w:gridSpan w:val="44"/>
            <w:shd w:val="clear" w:color="auto" w:fill="auto"/>
            <w:tcMar>
              <w:top w:w="40" w:type="dxa"/>
              <w:left w:w="20" w:type="dxa"/>
              <w:bottom w:w="40" w:type="dxa"/>
              <w:right w:w="20" w:type="dxa"/>
            </w:tcMar>
            <w:vAlign w:val="bottom"/>
          </w:tcPr>
          <w:p w14:paraId="5F2CD795" w14:textId="77777777" w:rsidR="00E836FB" w:rsidRDefault="00994958">
            <w:pPr>
              <w:textAlignment w:val="bottom"/>
            </w:pPr>
            <w:r>
              <w:rPr>
                <w:rFonts w:ascii="Arial" w:eastAsia="宋体" w:hAnsi="Arial" w:cs="Arial"/>
                <w:b/>
                <w:bCs/>
                <w:color w:val="000000"/>
                <w:sz w:val="16"/>
                <w:szCs w:val="16"/>
              </w:rPr>
              <w:t>TABLE 34: TEN-DAY VALUE-AT-RISK ASSOCIATED WITH TRADING ACTIVITIES FOR COVERED POSITIONS</w:t>
            </w:r>
          </w:p>
        </w:tc>
        <w:tc>
          <w:tcPr>
            <w:tcW w:w="0" w:type="auto"/>
            <w:shd w:val="clear" w:color="auto" w:fill="auto"/>
            <w:vAlign w:val="bottom"/>
          </w:tcPr>
          <w:p w14:paraId="5F2CD796" w14:textId="77777777" w:rsidR="00E836FB" w:rsidRDefault="00E836FB">
            <w:pPr>
              <w:rPr>
                <w:rFonts w:ascii="宋体"/>
              </w:rPr>
            </w:pPr>
          </w:p>
        </w:tc>
        <w:tc>
          <w:tcPr>
            <w:tcW w:w="0" w:type="auto"/>
            <w:shd w:val="clear" w:color="auto" w:fill="auto"/>
            <w:vAlign w:val="bottom"/>
          </w:tcPr>
          <w:p w14:paraId="5F2CD797" w14:textId="77777777" w:rsidR="00E836FB" w:rsidRDefault="00E836FB">
            <w:pPr>
              <w:rPr>
                <w:rFonts w:ascii="宋体"/>
              </w:rPr>
            </w:pPr>
          </w:p>
        </w:tc>
        <w:tc>
          <w:tcPr>
            <w:tcW w:w="0" w:type="auto"/>
            <w:shd w:val="clear" w:color="auto" w:fill="auto"/>
            <w:vAlign w:val="bottom"/>
          </w:tcPr>
          <w:p w14:paraId="5F2CD798" w14:textId="77777777" w:rsidR="00E836FB" w:rsidRDefault="00E836FB">
            <w:pPr>
              <w:rPr>
                <w:rFonts w:ascii="宋体"/>
              </w:rPr>
            </w:pPr>
          </w:p>
        </w:tc>
        <w:tc>
          <w:tcPr>
            <w:tcW w:w="0" w:type="auto"/>
            <w:shd w:val="clear" w:color="auto" w:fill="auto"/>
            <w:vAlign w:val="bottom"/>
          </w:tcPr>
          <w:p w14:paraId="5F2CD799" w14:textId="77777777" w:rsidR="00E836FB" w:rsidRDefault="00E836FB">
            <w:pPr>
              <w:rPr>
                <w:rFonts w:ascii="宋体"/>
              </w:rPr>
            </w:pPr>
          </w:p>
        </w:tc>
        <w:tc>
          <w:tcPr>
            <w:tcW w:w="0" w:type="auto"/>
            <w:shd w:val="clear" w:color="auto" w:fill="auto"/>
            <w:vAlign w:val="bottom"/>
          </w:tcPr>
          <w:p w14:paraId="5F2CD79A" w14:textId="77777777" w:rsidR="00E836FB" w:rsidRDefault="00E836FB">
            <w:pPr>
              <w:rPr>
                <w:rFonts w:ascii="宋体"/>
              </w:rPr>
            </w:pPr>
          </w:p>
        </w:tc>
        <w:tc>
          <w:tcPr>
            <w:tcW w:w="0" w:type="auto"/>
            <w:shd w:val="clear" w:color="auto" w:fill="auto"/>
            <w:vAlign w:val="bottom"/>
          </w:tcPr>
          <w:p w14:paraId="5F2CD79B" w14:textId="77777777" w:rsidR="00E836FB" w:rsidRDefault="00E836FB">
            <w:pPr>
              <w:rPr>
                <w:rFonts w:ascii="宋体"/>
              </w:rPr>
            </w:pPr>
          </w:p>
        </w:tc>
      </w:tr>
      <w:tr w:rsidR="00E836FB" w14:paraId="5F2CD7A7" w14:textId="77777777">
        <w:tc>
          <w:tcPr>
            <w:tcW w:w="0" w:type="auto"/>
            <w:gridSpan w:val="3"/>
            <w:shd w:val="clear" w:color="auto" w:fill="auto"/>
            <w:tcMar>
              <w:top w:w="0" w:type="dxa"/>
              <w:left w:w="20" w:type="dxa"/>
              <w:bottom w:w="0" w:type="dxa"/>
              <w:right w:w="20" w:type="dxa"/>
            </w:tcMar>
            <w:vAlign w:val="bottom"/>
          </w:tcPr>
          <w:p w14:paraId="5F2CD79D" w14:textId="77777777" w:rsidR="00E836FB" w:rsidRDefault="00E836FB">
            <w:pPr>
              <w:rPr>
                <w:rFonts w:ascii="宋体"/>
              </w:rPr>
            </w:pPr>
          </w:p>
        </w:tc>
        <w:tc>
          <w:tcPr>
            <w:tcW w:w="0" w:type="auto"/>
            <w:shd w:val="clear" w:color="auto" w:fill="auto"/>
            <w:vAlign w:val="bottom"/>
          </w:tcPr>
          <w:p w14:paraId="5F2CD79E" w14:textId="77777777" w:rsidR="00E836FB" w:rsidRDefault="00E836FB">
            <w:pPr>
              <w:rPr>
                <w:rFonts w:ascii="宋体"/>
                <w:vanish/>
              </w:rPr>
            </w:pPr>
          </w:p>
        </w:tc>
        <w:tc>
          <w:tcPr>
            <w:tcW w:w="0" w:type="auto"/>
            <w:shd w:val="clear" w:color="auto" w:fill="auto"/>
            <w:vAlign w:val="bottom"/>
          </w:tcPr>
          <w:p w14:paraId="5F2CD79F" w14:textId="77777777" w:rsidR="00E836FB" w:rsidRDefault="00E836FB">
            <w:pPr>
              <w:rPr>
                <w:rFonts w:ascii="宋体"/>
                <w:vanish/>
              </w:rPr>
            </w:pPr>
          </w:p>
        </w:tc>
        <w:tc>
          <w:tcPr>
            <w:tcW w:w="0" w:type="auto"/>
            <w:gridSpan w:val="15"/>
            <w:shd w:val="clear" w:color="auto" w:fill="auto"/>
            <w:tcMar>
              <w:top w:w="40" w:type="dxa"/>
              <w:left w:w="20" w:type="dxa"/>
              <w:bottom w:w="40" w:type="dxa"/>
              <w:right w:w="20" w:type="dxa"/>
            </w:tcMar>
            <w:vAlign w:val="bottom"/>
          </w:tcPr>
          <w:p w14:paraId="5F2CD7A0" w14:textId="77777777" w:rsidR="00E836FB" w:rsidRDefault="00994958">
            <w:pPr>
              <w:jc w:val="center"/>
              <w:textAlignment w:val="bottom"/>
            </w:pPr>
            <w:r>
              <w:rPr>
                <w:rFonts w:ascii="Arial" w:eastAsia="宋体" w:hAnsi="Arial" w:cs="Arial"/>
                <w:b/>
                <w:bCs/>
                <w:color w:val="000000"/>
                <w:sz w:val="15"/>
                <w:szCs w:val="15"/>
              </w:rPr>
              <w:t>Year Ended December 31, 2021</w:t>
            </w:r>
          </w:p>
        </w:tc>
        <w:tc>
          <w:tcPr>
            <w:tcW w:w="0" w:type="auto"/>
            <w:gridSpan w:val="3"/>
            <w:shd w:val="clear" w:color="auto" w:fill="auto"/>
            <w:tcMar>
              <w:top w:w="0" w:type="dxa"/>
              <w:left w:w="20" w:type="dxa"/>
              <w:bottom w:w="0" w:type="dxa"/>
              <w:right w:w="20" w:type="dxa"/>
            </w:tcMar>
            <w:vAlign w:val="bottom"/>
          </w:tcPr>
          <w:p w14:paraId="5F2CD7A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D7A2" w14:textId="77777777" w:rsidR="00E836FB" w:rsidRDefault="00994958">
            <w:pPr>
              <w:jc w:val="center"/>
              <w:textAlignment w:val="bottom"/>
            </w:pPr>
            <w:r>
              <w:rPr>
                <w:rFonts w:ascii="Arial" w:eastAsia="宋体" w:hAnsi="Arial" w:cs="Arial"/>
                <w:b/>
                <w:bCs/>
                <w:color w:val="000000"/>
                <w:sz w:val="15"/>
                <w:szCs w:val="15"/>
              </w:rPr>
              <w:t>As of December 31, 2021</w:t>
            </w:r>
          </w:p>
        </w:tc>
        <w:tc>
          <w:tcPr>
            <w:tcW w:w="0" w:type="auto"/>
            <w:gridSpan w:val="3"/>
            <w:shd w:val="clear" w:color="auto" w:fill="auto"/>
            <w:tcMar>
              <w:top w:w="0" w:type="dxa"/>
              <w:left w:w="20" w:type="dxa"/>
              <w:bottom w:w="0" w:type="dxa"/>
              <w:right w:w="20" w:type="dxa"/>
            </w:tcMar>
            <w:vAlign w:val="bottom"/>
          </w:tcPr>
          <w:p w14:paraId="5F2CD7A3"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D7A4" w14:textId="77777777" w:rsidR="00E836FB" w:rsidRDefault="00994958">
            <w:pPr>
              <w:jc w:val="center"/>
              <w:textAlignment w:val="bottom"/>
            </w:pPr>
            <w:r>
              <w:rPr>
                <w:rFonts w:ascii="Arial" w:eastAsia="宋体" w:hAnsi="Arial" w:cs="Arial"/>
                <w:b/>
                <w:bCs/>
                <w:color w:val="000000"/>
                <w:sz w:val="15"/>
                <w:szCs w:val="15"/>
              </w:rPr>
              <w:t>Year Ended December 31, 2020</w:t>
            </w:r>
          </w:p>
        </w:tc>
        <w:tc>
          <w:tcPr>
            <w:tcW w:w="0" w:type="auto"/>
            <w:gridSpan w:val="3"/>
            <w:shd w:val="clear" w:color="auto" w:fill="auto"/>
            <w:tcMar>
              <w:top w:w="0" w:type="dxa"/>
              <w:left w:w="20" w:type="dxa"/>
              <w:bottom w:w="0" w:type="dxa"/>
              <w:right w:w="20" w:type="dxa"/>
            </w:tcMar>
            <w:vAlign w:val="bottom"/>
          </w:tcPr>
          <w:p w14:paraId="5F2CD7A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D7A6" w14:textId="77777777" w:rsidR="00E836FB" w:rsidRDefault="00994958">
            <w:pPr>
              <w:jc w:val="center"/>
              <w:textAlignment w:val="bottom"/>
            </w:pPr>
            <w:r>
              <w:rPr>
                <w:rFonts w:ascii="Arial" w:eastAsia="宋体" w:hAnsi="Arial" w:cs="Arial"/>
                <w:b/>
                <w:bCs/>
                <w:color w:val="000000"/>
                <w:sz w:val="15"/>
                <w:szCs w:val="15"/>
              </w:rPr>
              <w:t>As of December 31, 2020</w:t>
            </w:r>
          </w:p>
        </w:tc>
      </w:tr>
      <w:tr w:rsidR="00E836FB" w14:paraId="5F2CD7BA" w14:textId="77777777">
        <w:tc>
          <w:tcPr>
            <w:tcW w:w="0" w:type="auto"/>
            <w:gridSpan w:val="3"/>
            <w:shd w:val="clear" w:color="auto" w:fill="auto"/>
            <w:tcMar>
              <w:top w:w="40" w:type="dxa"/>
              <w:left w:w="20" w:type="dxa"/>
              <w:bottom w:w="40" w:type="dxa"/>
              <w:right w:w="20" w:type="dxa"/>
            </w:tcMar>
            <w:vAlign w:val="bottom"/>
          </w:tcPr>
          <w:p w14:paraId="5F2CD7A8" w14:textId="77777777" w:rsidR="00E836FB" w:rsidRDefault="00994958">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thousands)</w:t>
            </w:r>
          </w:p>
        </w:tc>
        <w:tc>
          <w:tcPr>
            <w:tcW w:w="0" w:type="auto"/>
            <w:shd w:val="clear" w:color="auto" w:fill="auto"/>
            <w:vAlign w:val="bottom"/>
          </w:tcPr>
          <w:p w14:paraId="5F2CD7A9" w14:textId="77777777" w:rsidR="00E836FB" w:rsidRDefault="00E836FB">
            <w:pPr>
              <w:rPr>
                <w:rFonts w:ascii="宋体"/>
                <w:vanish/>
              </w:rPr>
            </w:pPr>
          </w:p>
        </w:tc>
        <w:tc>
          <w:tcPr>
            <w:tcW w:w="0" w:type="auto"/>
            <w:shd w:val="clear" w:color="auto" w:fill="auto"/>
            <w:vAlign w:val="bottom"/>
          </w:tcPr>
          <w:p w14:paraId="5F2CD7AA"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AB" w14:textId="77777777" w:rsidR="00E836FB" w:rsidRDefault="00994958">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7A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AD" w14:textId="77777777" w:rsidR="00E836FB" w:rsidRDefault="00994958">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7A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AF" w14:textId="77777777" w:rsidR="00E836FB" w:rsidRDefault="00994958">
            <w:pPr>
              <w:jc w:val="center"/>
              <w:textAlignment w:val="bottom"/>
            </w:pPr>
            <w:r>
              <w:rPr>
                <w:rFonts w:ascii="Arial" w:eastAsia="宋体" w:hAnsi="Arial" w:cs="Arial"/>
                <w:b/>
                <w:bCs/>
                <w:color w:val="000000"/>
                <w:sz w:val="15"/>
                <w:szCs w:val="15"/>
              </w:rPr>
              <w:t>Minimum</w:t>
            </w:r>
          </w:p>
        </w:tc>
        <w:tc>
          <w:tcPr>
            <w:tcW w:w="0" w:type="auto"/>
            <w:gridSpan w:val="3"/>
            <w:shd w:val="clear" w:color="auto" w:fill="auto"/>
            <w:tcMar>
              <w:top w:w="0" w:type="dxa"/>
              <w:left w:w="20" w:type="dxa"/>
              <w:bottom w:w="0" w:type="dxa"/>
              <w:right w:w="20" w:type="dxa"/>
            </w:tcMar>
            <w:vAlign w:val="bottom"/>
          </w:tcPr>
          <w:p w14:paraId="5F2CD7B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B1" w14:textId="77777777" w:rsidR="00E836FB" w:rsidRDefault="00994958">
            <w:pPr>
              <w:jc w:val="center"/>
              <w:textAlignment w:val="bottom"/>
            </w:pPr>
            <w:r>
              <w:rPr>
                <w:rFonts w:ascii="Arial" w:eastAsia="宋体" w:hAnsi="Arial" w:cs="Arial"/>
                <w:b/>
                <w:bCs/>
                <w:color w:val="000000"/>
                <w:sz w:val="15"/>
                <w:szCs w:val="15"/>
              </w:rPr>
              <w:t>VaR</w:t>
            </w:r>
          </w:p>
        </w:tc>
        <w:tc>
          <w:tcPr>
            <w:tcW w:w="0" w:type="auto"/>
            <w:gridSpan w:val="3"/>
            <w:shd w:val="clear" w:color="auto" w:fill="auto"/>
            <w:tcMar>
              <w:top w:w="0" w:type="dxa"/>
              <w:left w:w="20" w:type="dxa"/>
              <w:bottom w:w="0" w:type="dxa"/>
              <w:right w:w="20" w:type="dxa"/>
            </w:tcMar>
            <w:vAlign w:val="bottom"/>
          </w:tcPr>
          <w:p w14:paraId="5F2CD7B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B3" w14:textId="77777777" w:rsidR="00E836FB" w:rsidRDefault="00994958">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7B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B5" w14:textId="77777777" w:rsidR="00E836FB" w:rsidRDefault="00994958">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7B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B7" w14:textId="77777777" w:rsidR="00E836FB" w:rsidRDefault="00994958">
            <w:pPr>
              <w:jc w:val="center"/>
              <w:textAlignment w:val="bottom"/>
            </w:pPr>
            <w:r>
              <w:rPr>
                <w:rFonts w:ascii="Arial" w:eastAsia="宋体" w:hAnsi="Arial" w:cs="Arial"/>
                <w:b/>
                <w:bCs/>
                <w:color w:val="000000"/>
                <w:sz w:val="15"/>
                <w:szCs w:val="15"/>
              </w:rPr>
              <w:t>Minimum</w:t>
            </w:r>
          </w:p>
        </w:tc>
        <w:tc>
          <w:tcPr>
            <w:tcW w:w="0" w:type="auto"/>
            <w:gridSpan w:val="3"/>
            <w:shd w:val="clear" w:color="auto" w:fill="auto"/>
            <w:tcMar>
              <w:top w:w="0" w:type="dxa"/>
              <w:left w:w="20" w:type="dxa"/>
              <w:bottom w:w="0" w:type="dxa"/>
              <w:right w:w="20" w:type="dxa"/>
            </w:tcMar>
            <w:vAlign w:val="bottom"/>
          </w:tcPr>
          <w:p w14:paraId="5F2CD7B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7B9" w14:textId="77777777" w:rsidR="00E836FB" w:rsidRDefault="00994958">
            <w:pPr>
              <w:jc w:val="center"/>
              <w:textAlignment w:val="bottom"/>
            </w:pPr>
            <w:r>
              <w:rPr>
                <w:rFonts w:ascii="Arial" w:eastAsia="宋体" w:hAnsi="Arial" w:cs="Arial"/>
                <w:b/>
                <w:bCs/>
                <w:color w:val="000000"/>
                <w:sz w:val="15"/>
                <w:szCs w:val="15"/>
              </w:rPr>
              <w:t>VaR</w:t>
            </w:r>
          </w:p>
        </w:tc>
      </w:tr>
      <w:tr w:rsidR="00994958" w14:paraId="5F2CD7DD" w14:textId="77777777">
        <w:tc>
          <w:tcPr>
            <w:tcW w:w="0" w:type="auto"/>
            <w:gridSpan w:val="3"/>
            <w:shd w:val="clear" w:color="auto" w:fill="CCEEFF"/>
            <w:tcMar>
              <w:top w:w="40" w:type="dxa"/>
              <w:left w:w="20" w:type="dxa"/>
              <w:bottom w:w="40" w:type="dxa"/>
              <w:right w:w="20" w:type="dxa"/>
            </w:tcMar>
            <w:vAlign w:val="bottom"/>
          </w:tcPr>
          <w:p w14:paraId="5F2CD7BB" w14:textId="77777777" w:rsidR="00E836FB" w:rsidRDefault="00994958">
            <w:pPr>
              <w:textAlignment w:val="bottom"/>
            </w:pPr>
            <w:r>
              <w:rPr>
                <w:rFonts w:ascii="Arial" w:eastAsia="宋体" w:hAnsi="Arial" w:cs="Arial"/>
                <w:color w:val="000000"/>
                <w:sz w:val="15"/>
                <w:szCs w:val="15"/>
              </w:rPr>
              <w:t>Global Markets</w:t>
            </w:r>
          </w:p>
        </w:tc>
        <w:tc>
          <w:tcPr>
            <w:tcW w:w="0" w:type="auto"/>
            <w:shd w:val="clear" w:color="auto" w:fill="auto"/>
            <w:vAlign w:val="bottom"/>
          </w:tcPr>
          <w:p w14:paraId="5F2CD7BC" w14:textId="77777777" w:rsidR="00E836FB" w:rsidRDefault="00E836FB">
            <w:pPr>
              <w:rPr>
                <w:rFonts w:ascii="宋体"/>
                <w:vanish/>
              </w:rPr>
            </w:pPr>
          </w:p>
        </w:tc>
        <w:tc>
          <w:tcPr>
            <w:tcW w:w="0" w:type="auto"/>
            <w:shd w:val="clear" w:color="auto" w:fill="auto"/>
            <w:vAlign w:val="bottom"/>
          </w:tcPr>
          <w:p w14:paraId="5F2CD7BD"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B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BF" w14:textId="77777777" w:rsidR="00E836FB" w:rsidRDefault="00994958">
            <w:pPr>
              <w:jc w:val="right"/>
              <w:textAlignment w:val="bottom"/>
            </w:pPr>
            <w:r>
              <w:rPr>
                <w:rFonts w:ascii="Arial" w:eastAsia="宋体" w:hAnsi="Arial" w:cs="Arial"/>
                <w:b/>
                <w:bCs/>
                <w:color w:val="000000"/>
                <w:sz w:val="15"/>
                <w:szCs w:val="15"/>
              </w:rPr>
              <w:t>15,214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C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C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C3" w14:textId="77777777" w:rsidR="00E836FB" w:rsidRDefault="00994958">
            <w:pPr>
              <w:jc w:val="right"/>
              <w:textAlignment w:val="bottom"/>
            </w:pPr>
            <w:r>
              <w:rPr>
                <w:rFonts w:ascii="Arial" w:eastAsia="宋体" w:hAnsi="Arial" w:cs="Arial"/>
                <w:b/>
                <w:bCs/>
                <w:color w:val="000000"/>
                <w:sz w:val="15"/>
                <w:szCs w:val="15"/>
              </w:rPr>
              <w:t>30,485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C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C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C7" w14:textId="77777777" w:rsidR="00E836FB" w:rsidRDefault="00994958">
            <w:pPr>
              <w:jc w:val="right"/>
              <w:textAlignment w:val="bottom"/>
            </w:pPr>
            <w:r>
              <w:rPr>
                <w:rFonts w:ascii="Arial" w:eastAsia="宋体" w:hAnsi="Arial" w:cs="Arial"/>
                <w:b/>
                <w:bCs/>
                <w:color w:val="000000"/>
                <w:sz w:val="15"/>
                <w:szCs w:val="15"/>
              </w:rPr>
              <w:t>5,252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C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C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CB" w14:textId="77777777" w:rsidR="00E836FB" w:rsidRDefault="00994958">
            <w:pPr>
              <w:jc w:val="right"/>
              <w:textAlignment w:val="bottom"/>
            </w:pPr>
            <w:r>
              <w:rPr>
                <w:rFonts w:ascii="Arial" w:eastAsia="宋体" w:hAnsi="Arial" w:cs="Arial"/>
                <w:b/>
                <w:bCs/>
                <w:color w:val="000000"/>
                <w:sz w:val="15"/>
                <w:szCs w:val="15"/>
              </w:rPr>
              <w:t>16,998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C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CE"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CF" w14:textId="77777777" w:rsidR="00E836FB" w:rsidRDefault="00994958">
            <w:pPr>
              <w:jc w:val="right"/>
              <w:textAlignment w:val="bottom"/>
            </w:pPr>
            <w:r>
              <w:rPr>
                <w:rFonts w:ascii="Arial" w:eastAsia="宋体" w:hAnsi="Arial" w:cs="Arial"/>
                <w:color w:val="000000"/>
                <w:sz w:val="15"/>
                <w:szCs w:val="15"/>
              </w:rPr>
              <w:t>12,430 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D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D2"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D3" w14:textId="77777777" w:rsidR="00E836FB" w:rsidRDefault="00994958">
            <w:pPr>
              <w:jc w:val="right"/>
              <w:textAlignment w:val="bottom"/>
            </w:pPr>
            <w:r>
              <w:rPr>
                <w:rFonts w:ascii="Arial" w:eastAsia="宋体" w:hAnsi="Arial" w:cs="Arial"/>
                <w:color w:val="000000"/>
                <w:sz w:val="15"/>
                <w:szCs w:val="15"/>
              </w:rPr>
              <w:t>33,991 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D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D6"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D7" w14:textId="77777777" w:rsidR="00E836FB" w:rsidRDefault="00994958">
            <w:pPr>
              <w:jc w:val="right"/>
              <w:textAlignment w:val="bottom"/>
            </w:pPr>
            <w:r>
              <w:rPr>
                <w:rFonts w:ascii="Arial" w:eastAsia="宋体" w:hAnsi="Arial" w:cs="Arial"/>
                <w:color w:val="000000"/>
                <w:sz w:val="15"/>
                <w:szCs w:val="15"/>
              </w:rPr>
              <w:t>5,220 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D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7DA"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7DB" w14:textId="77777777" w:rsidR="00E836FB" w:rsidRDefault="00994958">
            <w:pPr>
              <w:jc w:val="right"/>
              <w:textAlignment w:val="bottom"/>
            </w:pPr>
            <w:r>
              <w:rPr>
                <w:rFonts w:ascii="Arial" w:eastAsia="宋体" w:hAnsi="Arial" w:cs="Arial"/>
                <w:color w:val="000000"/>
                <w:sz w:val="15"/>
                <w:szCs w:val="15"/>
              </w:rPr>
              <w:t>9,321 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7DC" w14:textId="77777777" w:rsidR="00E836FB" w:rsidRDefault="00E836FB">
            <w:pPr>
              <w:jc w:val="right"/>
              <w:rPr>
                <w:rFonts w:ascii="宋体"/>
              </w:rPr>
            </w:pPr>
          </w:p>
        </w:tc>
      </w:tr>
      <w:tr w:rsidR="00E836FB" w14:paraId="5F2CD7F8" w14:textId="77777777">
        <w:tc>
          <w:tcPr>
            <w:tcW w:w="0" w:type="auto"/>
            <w:gridSpan w:val="3"/>
            <w:shd w:val="clear" w:color="auto" w:fill="FFFFFF"/>
            <w:tcMar>
              <w:top w:w="40" w:type="dxa"/>
              <w:left w:w="20" w:type="dxa"/>
              <w:bottom w:w="40" w:type="dxa"/>
              <w:right w:w="20" w:type="dxa"/>
            </w:tcMar>
            <w:vAlign w:val="bottom"/>
          </w:tcPr>
          <w:p w14:paraId="5F2CD7DE" w14:textId="77777777" w:rsidR="00E836FB" w:rsidRDefault="00994958">
            <w:pPr>
              <w:textAlignment w:val="bottom"/>
            </w:pPr>
            <w:r>
              <w:rPr>
                <w:rFonts w:ascii="Arial" w:eastAsia="宋体" w:hAnsi="Arial" w:cs="Arial"/>
                <w:color w:val="000000"/>
                <w:sz w:val="15"/>
                <w:szCs w:val="15"/>
              </w:rPr>
              <w:t>Global Treasury</w:t>
            </w:r>
          </w:p>
        </w:tc>
        <w:tc>
          <w:tcPr>
            <w:tcW w:w="0" w:type="auto"/>
            <w:shd w:val="clear" w:color="auto" w:fill="auto"/>
            <w:vAlign w:val="bottom"/>
          </w:tcPr>
          <w:p w14:paraId="5F2CD7DF" w14:textId="77777777" w:rsidR="00E836FB" w:rsidRDefault="00E836FB">
            <w:pPr>
              <w:rPr>
                <w:rFonts w:ascii="宋体"/>
                <w:vanish/>
              </w:rPr>
            </w:pPr>
          </w:p>
        </w:tc>
        <w:tc>
          <w:tcPr>
            <w:tcW w:w="0" w:type="auto"/>
            <w:shd w:val="clear" w:color="auto" w:fill="auto"/>
            <w:vAlign w:val="bottom"/>
          </w:tcPr>
          <w:p w14:paraId="5F2CD7E0"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D7E1" w14:textId="77777777" w:rsidR="00E836FB" w:rsidRDefault="00994958">
            <w:pPr>
              <w:jc w:val="right"/>
              <w:textAlignment w:val="bottom"/>
            </w:pPr>
            <w:r>
              <w:rPr>
                <w:rFonts w:ascii="Arial" w:eastAsia="宋体" w:hAnsi="Arial" w:cs="Arial"/>
                <w:b/>
                <w:bCs/>
                <w:color w:val="000000"/>
                <w:sz w:val="15"/>
                <w:szCs w:val="15"/>
              </w:rPr>
              <w:t>3,189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7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7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7E4" w14:textId="77777777" w:rsidR="00E836FB" w:rsidRDefault="00994958">
            <w:pPr>
              <w:jc w:val="right"/>
              <w:textAlignment w:val="bottom"/>
            </w:pPr>
            <w:r>
              <w:rPr>
                <w:rFonts w:ascii="Arial" w:eastAsia="宋体" w:hAnsi="Arial" w:cs="Arial"/>
                <w:b/>
                <w:bCs/>
                <w:color w:val="000000"/>
                <w:sz w:val="15"/>
                <w:szCs w:val="15"/>
              </w:rPr>
              <w:t>9,762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7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7E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7E7" w14:textId="77777777" w:rsidR="00E836FB" w:rsidRDefault="00994958">
            <w:pPr>
              <w:jc w:val="right"/>
              <w:textAlignment w:val="bottom"/>
            </w:pPr>
            <w:r>
              <w:rPr>
                <w:rFonts w:ascii="Arial" w:eastAsia="宋体" w:hAnsi="Arial" w:cs="Arial"/>
                <w:b/>
                <w:bCs/>
                <w:color w:val="000000"/>
                <w:sz w:val="15"/>
                <w:szCs w:val="15"/>
              </w:rPr>
              <w:t>220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7E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7E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7EA"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b/>
                <w:bCs/>
                <w:color w:val="000000"/>
                <w:sz w:val="15"/>
                <w:szCs w:val="15"/>
              </w:rPr>
              <w:t>,556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7E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7E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7ED" w14:textId="77777777" w:rsidR="00E836FB" w:rsidRDefault="00994958">
            <w:pPr>
              <w:jc w:val="right"/>
              <w:textAlignment w:val="bottom"/>
            </w:pPr>
            <w:r>
              <w:rPr>
                <w:rFonts w:ascii="Arial" w:eastAsia="宋体" w:hAnsi="Arial" w:cs="Arial"/>
                <w:color w:val="000000"/>
                <w:sz w:val="15"/>
                <w:szCs w:val="15"/>
              </w:rPr>
              <w:t>2,899 </w:t>
            </w:r>
          </w:p>
        </w:tc>
        <w:tc>
          <w:tcPr>
            <w:tcW w:w="0" w:type="auto"/>
            <w:shd w:val="clear" w:color="auto" w:fill="FFFFFF"/>
            <w:tcMar>
              <w:top w:w="40" w:type="dxa"/>
              <w:left w:w="0" w:type="dxa"/>
              <w:bottom w:w="40" w:type="dxa"/>
              <w:right w:w="20" w:type="dxa"/>
            </w:tcMar>
            <w:vAlign w:val="bottom"/>
          </w:tcPr>
          <w:p w14:paraId="5F2CD7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7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7F0" w14:textId="77777777" w:rsidR="00E836FB" w:rsidRDefault="00994958">
            <w:pPr>
              <w:jc w:val="right"/>
              <w:textAlignment w:val="bottom"/>
            </w:pPr>
            <w:r>
              <w:rPr>
                <w:rFonts w:ascii="Arial" w:eastAsia="宋体" w:hAnsi="Arial" w:cs="Arial"/>
                <w:color w:val="000000"/>
                <w:sz w:val="15"/>
                <w:szCs w:val="15"/>
              </w:rPr>
              <w:t>8,874 </w:t>
            </w:r>
          </w:p>
        </w:tc>
        <w:tc>
          <w:tcPr>
            <w:tcW w:w="0" w:type="auto"/>
            <w:shd w:val="clear" w:color="auto" w:fill="FFFFFF"/>
            <w:tcMar>
              <w:top w:w="40" w:type="dxa"/>
              <w:left w:w="0" w:type="dxa"/>
              <w:bottom w:w="40" w:type="dxa"/>
              <w:right w:w="20" w:type="dxa"/>
            </w:tcMar>
            <w:vAlign w:val="bottom"/>
          </w:tcPr>
          <w:p w14:paraId="5F2CD7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7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7F3" w14:textId="77777777" w:rsidR="00E836FB" w:rsidRDefault="00994958">
            <w:pPr>
              <w:jc w:val="right"/>
              <w:textAlignment w:val="bottom"/>
            </w:pPr>
            <w:r>
              <w:rPr>
                <w:rFonts w:ascii="Arial" w:eastAsia="宋体" w:hAnsi="Arial" w:cs="Arial"/>
                <w:color w:val="000000"/>
                <w:sz w:val="15"/>
                <w:szCs w:val="15"/>
              </w:rPr>
              <w:t>112 </w:t>
            </w:r>
          </w:p>
        </w:tc>
        <w:tc>
          <w:tcPr>
            <w:tcW w:w="0" w:type="auto"/>
            <w:shd w:val="clear" w:color="auto" w:fill="FFFFFF"/>
            <w:tcMar>
              <w:top w:w="40" w:type="dxa"/>
              <w:left w:w="0" w:type="dxa"/>
              <w:bottom w:w="40" w:type="dxa"/>
              <w:right w:w="20" w:type="dxa"/>
            </w:tcMar>
            <w:vAlign w:val="bottom"/>
          </w:tcPr>
          <w:p w14:paraId="5F2CD7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7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7F6" w14:textId="77777777" w:rsidR="00E836FB" w:rsidRDefault="00994958">
            <w:pPr>
              <w:jc w:val="right"/>
              <w:textAlignment w:val="bottom"/>
            </w:pPr>
            <w:r>
              <w:rPr>
                <w:rFonts w:ascii="Arial" w:eastAsia="宋体" w:hAnsi="Arial" w:cs="Arial"/>
                <w:color w:val="000000"/>
                <w:sz w:val="15"/>
                <w:szCs w:val="15"/>
              </w:rPr>
              <w:t>4,015 </w:t>
            </w:r>
          </w:p>
        </w:tc>
        <w:tc>
          <w:tcPr>
            <w:tcW w:w="0" w:type="auto"/>
            <w:shd w:val="clear" w:color="auto" w:fill="FFFFFF"/>
            <w:tcMar>
              <w:top w:w="40" w:type="dxa"/>
              <w:left w:w="0" w:type="dxa"/>
              <w:bottom w:w="40" w:type="dxa"/>
              <w:right w:w="20" w:type="dxa"/>
            </w:tcMar>
            <w:vAlign w:val="bottom"/>
          </w:tcPr>
          <w:p w14:paraId="5F2CD7F7" w14:textId="77777777" w:rsidR="00E836FB" w:rsidRDefault="00E836FB">
            <w:pPr>
              <w:jc w:val="right"/>
              <w:rPr>
                <w:rFonts w:ascii="宋体"/>
              </w:rPr>
            </w:pPr>
          </w:p>
        </w:tc>
      </w:tr>
      <w:tr w:rsidR="00E836FB" w14:paraId="5F2CD813" w14:textId="77777777">
        <w:tc>
          <w:tcPr>
            <w:tcW w:w="0" w:type="auto"/>
            <w:gridSpan w:val="3"/>
            <w:shd w:val="clear" w:color="auto" w:fill="CCEEFF"/>
            <w:tcMar>
              <w:top w:w="40" w:type="dxa"/>
              <w:left w:w="20" w:type="dxa"/>
              <w:bottom w:w="40" w:type="dxa"/>
              <w:right w:w="20" w:type="dxa"/>
            </w:tcMar>
            <w:vAlign w:val="bottom"/>
          </w:tcPr>
          <w:p w14:paraId="5F2CD7F9" w14:textId="77777777" w:rsidR="00E836FB" w:rsidRDefault="00994958">
            <w:pPr>
              <w:textAlignment w:val="bottom"/>
            </w:pPr>
            <w:r>
              <w:rPr>
                <w:rFonts w:ascii="Arial" w:eastAsia="宋体" w:hAnsi="Arial" w:cs="Arial"/>
                <w:color w:val="000000"/>
                <w:sz w:val="15"/>
                <w:szCs w:val="15"/>
              </w:rPr>
              <w:t>Diversification</w:t>
            </w:r>
          </w:p>
        </w:tc>
        <w:tc>
          <w:tcPr>
            <w:tcW w:w="0" w:type="auto"/>
            <w:shd w:val="clear" w:color="auto" w:fill="auto"/>
            <w:vAlign w:val="bottom"/>
          </w:tcPr>
          <w:p w14:paraId="5F2CD7FA" w14:textId="77777777" w:rsidR="00E836FB" w:rsidRDefault="00E836FB">
            <w:pPr>
              <w:rPr>
                <w:rFonts w:ascii="宋体"/>
                <w:vanish/>
              </w:rPr>
            </w:pPr>
          </w:p>
        </w:tc>
        <w:tc>
          <w:tcPr>
            <w:tcW w:w="0" w:type="auto"/>
            <w:shd w:val="clear" w:color="auto" w:fill="auto"/>
            <w:vAlign w:val="bottom"/>
          </w:tcPr>
          <w:p w14:paraId="5F2CD7FB"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D7FC" w14:textId="77777777" w:rsidR="00E836FB" w:rsidRDefault="00994958">
            <w:pPr>
              <w:jc w:val="right"/>
              <w:textAlignment w:val="bottom"/>
            </w:pPr>
            <w:r>
              <w:rPr>
                <w:rFonts w:ascii="Arial" w:eastAsia="宋体" w:hAnsi="Arial" w:cs="Arial"/>
                <w:b/>
                <w:bCs/>
                <w:color w:val="000000"/>
                <w:sz w:val="15"/>
                <w:szCs w:val="15"/>
              </w:rPr>
              <w:t>(2,115)</w:t>
            </w:r>
          </w:p>
        </w:tc>
        <w:tc>
          <w:tcPr>
            <w:tcW w:w="0" w:type="auto"/>
            <w:shd w:val="clear" w:color="auto" w:fill="CCEEFF"/>
            <w:tcMar>
              <w:top w:w="40" w:type="dxa"/>
              <w:left w:w="0" w:type="dxa"/>
              <w:bottom w:w="40" w:type="dxa"/>
              <w:right w:w="20" w:type="dxa"/>
            </w:tcMar>
            <w:vAlign w:val="bottom"/>
          </w:tcPr>
          <w:p w14:paraId="5F2CD7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7F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7FF" w14:textId="77777777" w:rsidR="00E836FB" w:rsidRDefault="00994958">
            <w:pPr>
              <w:jc w:val="right"/>
              <w:textAlignment w:val="bottom"/>
            </w:pPr>
            <w:r>
              <w:rPr>
                <w:rFonts w:ascii="Arial" w:eastAsia="宋体" w:hAnsi="Arial" w:cs="Arial"/>
                <w:b/>
                <w:bCs/>
                <w:color w:val="000000"/>
                <w:sz w:val="15"/>
                <w:szCs w:val="15"/>
              </w:rPr>
              <w:t>(7,958)</w:t>
            </w:r>
          </w:p>
        </w:tc>
        <w:tc>
          <w:tcPr>
            <w:tcW w:w="0" w:type="auto"/>
            <w:shd w:val="clear" w:color="auto" w:fill="CCEEFF"/>
            <w:tcMar>
              <w:top w:w="40" w:type="dxa"/>
              <w:left w:w="0" w:type="dxa"/>
              <w:bottom w:w="40" w:type="dxa"/>
              <w:right w:w="20" w:type="dxa"/>
            </w:tcMar>
            <w:vAlign w:val="bottom"/>
          </w:tcPr>
          <w:p w14:paraId="5F2CD8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0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02" w14:textId="77777777" w:rsidR="00E836FB" w:rsidRDefault="00994958">
            <w:pPr>
              <w:jc w:val="right"/>
              <w:textAlignment w:val="bottom"/>
            </w:pPr>
            <w:r>
              <w:rPr>
                <w:rFonts w:ascii="Arial" w:eastAsia="宋体" w:hAnsi="Arial" w:cs="Arial"/>
                <w:b/>
                <w:bCs/>
                <w:color w:val="000000"/>
                <w:sz w:val="15"/>
                <w:szCs w:val="15"/>
              </w:rPr>
              <w:t>1,024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8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05" w14:textId="77777777" w:rsidR="00E836FB" w:rsidRDefault="00994958">
            <w:pPr>
              <w:jc w:val="right"/>
              <w:textAlignment w:val="bottom"/>
            </w:pPr>
            <w:r>
              <w:rPr>
                <w:rFonts w:ascii="Arial" w:eastAsia="宋体" w:hAnsi="Arial" w:cs="Arial"/>
                <w:b/>
                <w:bCs/>
                <w:color w:val="000000"/>
                <w:sz w:val="15"/>
                <w:szCs w:val="15"/>
              </w:rPr>
              <w:t>(4,519)</w:t>
            </w:r>
          </w:p>
        </w:tc>
        <w:tc>
          <w:tcPr>
            <w:tcW w:w="0" w:type="auto"/>
            <w:shd w:val="clear" w:color="auto" w:fill="CCEEFF"/>
            <w:tcMar>
              <w:top w:w="40" w:type="dxa"/>
              <w:left w:w="0" w:type="dxa"/>
              <w:bottom w:w="40" w:type="dxa"/>
              <w:right w:w="20" w:type="dxa"/>
            </w:tcMar>
            <w:vAlign w:val="bottom"/>
          </w:tcPr>
          <w:p w14:paraId="5F2CD8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08" w14:textId="77777777" w:rsidR="00E836FB" w:rsidRDefault="00994958">
            <w:pPr>
              <w:jc w:val="right"/>
              <w:textAlignment w:val="bottom"/>
            </w:pPr>
            <w:r>
              <w:rPr>
                <w:rFonts w:ascii="Arial" w:eastAsia="宋体" w:hAnsi="Arial" w:cs="Arial"/>
                <w:color w:val="000000"/>
                <w:sz w:val="15"/>
                <w:szCs w:val="15"/>
              </w:rPr>
              <w:t>(2,253)</w:t>
            </w:r>
          </w:p>
        </w:tc>
        <w:tc>
          <w:tcPr>
            <w:tcW w:w="0" w:type="auto"/>
            <w:shd w:val="clear" w:color="auto" w:fill="CCEEFF"/>
            <w:tcMar>
              <w:top w:w="40" w:type="dxa"/>
              <w:left w:w="0" w:type="dxa"/>
              <w:bottom w:w="40" w:type="dxa"/>
              <w:right w:w="20" w:type="dxa"/>
            </w:tcMar>
            <w:vAlign w:val="bottom"/>
          </w:tcPr>
          <w:p w14:paraId="5F2CD8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0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0B" w14:textId="77777777" w:rsidR="00E836FB" w:rsidRDefault="00994958">
            <w:pPr>
              <w:jc w:val="right"/>
              <w:textAlignment w:val="bottom"/>
            </w:pPr>
            <w:r>
              <w:rPr>
                <w:rFonts w:ascii="Arial" w:eastAsia="宋体" w:hAnsi="Arial" w:cs="Arial"/>
                <w:color w:val="000000"/>
                <w:sz w:val="15"/>
                <w:szCs w:val="15"/>
              </w:rPr>
              <w:t>(9,062)</w:t>
            </w:r>
          </w:p>
        </w:tc>
        <w:tc>
          <w:tcPr>
            <w:tcW w:w="0" w:type="auto"/>
            <w:shd w:val="clear" w:color="auto" w:fill="CCEEFF"/>
            <w:tcMar>
              <w:top w:w="40" w:type="dxa"/>
              <w:left w:w="0" w:type="dxa"/>
              <w:bottom w:w="40" w:type="dxa"/>
              <w:right w:w="20" w:type="dxa"/>
            </w:tcMar>
            <w:vAlign w:val="bottom"/>
          </w:tcPr>
          <w:p w14:paraId="5F2CD8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0E" w14:textId="77777777" w:rsidR="00E836FB" w:rsidRDefault="00994958">
            <w:pPr>
              <w:jc w:val="right"/>
              <w:textAlignment w:val="bottom"/>
            </w:pPr>
            <w:r>
              <w:rPr>
                <w:rFonts w:ascii="Arial" w:eastAsia="宋体" w:hAnsi="Arial" w:cs="Arial"/>
                <w:color w:val="000000"/>
                <w:sz w:val="15"/>
                <w:szCs w:val="15"/>
              </w:rPr>
              <w:t>(121)</w:t>
            </w:r>
          </w:p>
        </w:tc>
        <w:tc>
          <w:tcPr>
            <w:tcW w:w="0" w:type="auto"/>
            <w:shd w:val="clear" w:color="auto" w:fill="CCEEFF"/>
            <w:tcMar>
              <w:top w:w="40" w:type="dxa"/>
              <w:left w:w="0" w:type="dxa"/>
              <w:bottom w:w="40" w:type="dxa"/>
              <w:right w:w="20" w:type="dxa"/>
            </w:tcMar>
            <w:vAlign w:val="bottom"/>
          </w:tcPr>
          <w:p w14:paraId="5F2CD8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11" w14:textId="77777777" w:rsidR="00E836FB" w:rsidRDefault="00994958">
            <w:pPr>
              <w:jc w:val="right"/>
              <w:textAlignment w:val="bottom"/>
            </w:pPr>
            <w:r>
              <w:rPr>
                <w:rFonts w:ascii="Arial" w:eastAsia="宋体" w:hAnsi="Arial" w:cs="Arial"/>
                <w:color w:val="000000"/>
                <w:sz w:val="15"/>
                <w:szCs w:val="15"/>
              </w:rPr>
              <w:t>(4,068)</w:t>
            </w:r>
          </w:p>
        </w:tc>
        <w:tc>
          <w:tcPr>
            <w:tcW w:w="0" w:type="auto"/>
            <w:shd w:val="clear" w:color="auto" w:fill="CCEEFF"/>
            <w:tcMar>
              <w:top w:w="40" w:type="dxa"/>
              <w:left w:w="0" w:type="dxa"/>
              <w:bottom w:w="40" w:type="dxa"/>
              <w:right w:w="20" w:type="dxa"/>
            </w:tcMar>
            <w:vAlign w:val="bottom"/>
          </w:tcPr>
          <w:p w14:paraId="5F2CD812" w14:textId="77777777" w:rsidR="00E836FB" w:rsidRDefault="00E836FB">
            <w:pPr>
              <w:jc w:val="right"/>
              <w:rPr>
                <w:rFonts w:ascii="宋体"/>
              </w:rPr>
            </w:pPr>
          </w:p>
        </w:tc>
      </w:tr>
      <w:tr w:rsidR="00994958" w14:paraId="5F2CD836" w14:textId="77777777">
        <w:tc>
          <w:tcPr>
            <w:tcW w:w="0" w:type="auto"/>
            <w:gridSpan w:val="3"/>
            <w:shd w:val="clear" w:color="auto" w:fill="FFFFFF"/>
            <w:tcMar>
              <w:top w:w="40" w:type="dxa"/>
              <w:left w:w="20" w:type="dxa"/>
              <w:bottom w:w="40" w:type="dxa"/>
              <w:right w:w="20" w:type="dxa"/>
            </w:tcMar>
            <w:vAlign w:val="bottom"/>
          </w:tcPr>
          <w:p w14:paraId="5F2CD814" w14:textId="77777777" w:rsidR="00E836FB" w:rsidRDefault="00994958">
            <w:pPr>
              <w:textAlignment w:val="bottom"/>
            </w:pPr>
            <w:r>
              <w:rPr>
                <w:rFonts w:ascii="Arial" w:eastAsia="宋体" w:hAnsi="Arial" w:cs="Arial"/>
                <w:color w:val="000000"/>
                <w:sz w:val="15"/>
                <w:szCs w:val="15"/>
              </w:rPr>
              <w:t>Total VaR</w:t>
            </w:r>
          </w:p>
        </w:tc>
        <w:tc>
          <w:tcPr>
            <w:tcW w:w="0" w:type="auto"/>
            <w:shd w:val="clear" w:color="auto" w:fill="auto"/>
            <w:vAlign w:val="bottom"/>
          </w:tcPr>
          <w:p w14:paraId="5F2CD815" w14:textId="77777777" w:rsidR="00E836FB" w:rsidRDefault="00E836FB">
            <w:pPr>
              <w:rPr>
                <w:rFonts w:ascii="宋体"/>
                <w:vanish/>
              </w:rPr>
            </w:pPr>
          </w:p>
        </w:tc>
        <w:tc>
          <w:tcPr>
            <w:tcW w:w="0" w:type="auto"/>
            <w:shd w:val="clear" w:color="auto" w:fill="auto"/>
            <w:vAlign w:val="bottom"/>
          </w:tcPr>
          <w:p w14:paraId="5F2CD816" w14:textId="77777777" w:rsidR="00E836FB" w:rsidRDefault="00E836F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1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18" w14:textId="77777777" w:rsidR="00E836FB" w:rsidRDefault="00994958">
            <w:pPr>
              <w:jc w:val="right"/>
              <w:textAlignment w:val="bottom"/>
            </w:pPr>
            <w:r>
              <w:rPr>
                <w:rFonts w:ascii="Arial" w:eastAsia="宋体" w:hAnsi="Arial" w:cs="Arial"/>
                <w:b/>
                <w:bCs/>
                <w:color w:val="000000"/>
                <w:sz w:val="15"/>
                <w:szCs w:val="15"/>
              </w:rPr>
              <w:t>16,288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1A"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1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1C" w14:textId="77777777" w:rsidR="00E836FB" w:rsidRDefault="00994958">
            <w:pPr>
              <w:jc w:val="right"/>
              <w:textAlignment w:val="bottom"/>
            </w:pPr>
            <w:r>
              <w:rPr>
                <w:rFonts w:ascii="Arial" w:eastAsia="宋体" w:hAnsi="Arial" w:cs="Arial"/>
                <w:b/>
                <w:bCs/>
                <w:color w:val="000000"/>
                <w:sz w:val="15"/>
                <w:szCs w:val="15"/>
              </w:rPr>
              <w:t>32,289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1E"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1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20" w14:textId="77777777" w:rsidR="00E836FB" w:rsidRDefault="00994958">
            <w:pPr>
              <w:jc w:val="right"/>
              <w:textAlignment w:val="bottom"/>
            </w:pPr>
            <w:r>
              <w:rPr>
                <w:rFonts w:ascii="Arial" w:eastAsia="宋体" w:hAnsi="Arial" w:cs="Arial"/>
                <w:b/>
                <w:bCs/>
                <w:color w:val="000000"/>
                <w:sz w:val="15"/>
                <w:szCs w:val="15"/>
              </w:rPr>
              <w:t>6,496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22"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2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24" w14:textId="77777777" w:rsidR="00E836FB" w:rsidRDefault="00994958">
            <w:pPr>
              <w:jc w:val="right"/>
              <w:textAlignment w:val="bottom"/>
            </w:pPr>
            <w:r>
              <w:rPr>
                <w:rFonts w:ascii="Arial" w:eastAsia="宋体" w:hAnsi="Arial" w:cs="Arial"/>
                <w:b/>
                <w:bCs/>
                <w:color w:val="000000"/>
                <w:sz w:val="15"/>
                <w:szCs w:val="15"/>
              </w:rPr>
              <w:t>16,035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26"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2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28" w14:textId="77777777" w:rsidR="00E836FB" w:rsidRDefault="00994958">
            <w:pPr>
              <w:jc w:val="right"/>
              <w:textAlignment w:val="bottom"/>
            </w:pPr>
            <w:r>
              <w:rPr>
                <w:rFonts w:ascii="Arial" w:eastAsia="宋体" w:hAnsi="Arial" w:cs="Arial"/>
                <w:color w:val="000000"/>
                <w:sz w:val="15"/>
                <w:szCs w:val="15"/>
              </w:rPr>
              <w:t>13,076 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2A"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2B"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2C" w14:textId="77777777" w:rsidR="00E836FB" w:rsidRDefault="00994958">
            <w:pPr>
              <w:jc w:val="right"/>
              <w:textAlignment w:val="bottom"/>
            </w:pPr>
            <w:r>
              <w:rPr>
                <w:rFonts w:ascii="Arial" w:eastAsia="宋体" w:hAnsi="Arial" w:cs="Arial"/>
                <w:color w:val="000000"/>
                <w:sz w:val="15"/>
                <w:szCs w:val="15"/>
              </w:rPr>
              <w:t>33,803 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2E"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2F"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30" w14:textId="77777777" w:rsidR="00E836FB" w:rsidRDefault="00994958">
            <w:pPr>
              <w:jc w:val="right"/>
              <w:textAlignment w:val="bottom"/>
            </w:pPr>
            <w:r>
              <w:rPr>
                <w:rFonts w:ascii="Arial" w:eastAsia="宋体" w:hAnsi="Arial" w:cs="Arial"/>
                <w:color w:val="000000"/>
                <w:sz w:val="15"/>
                <w:szCs w:val="15"/>
              </w:rPr>
              <w:t>5,211 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32"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83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834" w14:textId="77777777" w:rsidR="00E836FB" w:rsidRDefault="00994958">
            <w:pPr>
              <w:jc w:val="right"/>
              <w:textAlignment w:val="bottom"/>
            </w:pPr>
            <w:r>
              <w:rPr>
                <w:rFonts w:ascii="Arial" w:eastAsia="宋体" w:hAnsi="Arial" w:cs="Arial"/>
                <w:color w:val="000000"/>
                <w:sz w:val="15"/>
                <w:szCs w:val="15"/>
              </w:rPr>
              <w:t>9,268 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835" w14:textId="77777777" w:rsidR="00E836FB" w:rsidRDefault="00E836FB">
            <w:pPr>
              <w:jc w:val="right"/>
              <w:rPr>
                <w:rFonts w:ascii="宋体"/>
              </w:rPr>
            </w:pPr>
          </w:p>
        </w:tc>
      </w:tr>
      <w:tr w:rsidR="00E836FB" w14:paraId="5F2CD849" w14:textId="77777777">
        <w:trPr>
          <w:trHeight w:val="60"/>
        </w:trPr>
        <w:tc>
          <w:tcPr>
            <w:tcW w:w="0" w:type="auto"/>
            <w:gridSpan w:val="3"/>
            <w:shd w:val="clear" w:color="auto" w:fill="auto"/>
            <w:tcMar>
              <w:top w:w="0" w:type="dxa"/>
              <w:left w:w="20" w:type="dxa"/>
              <w:bottom w:w="0" w:type="dxa"/>
              <w:right w:w="20" w:type="dxa"/>
            </w:tcMar>
            <w:vAlign w:val="bottom"/>
          </w:tcPr>
          <w:p w14:paraId="5F2CD837" w14:textId="77777777" w:rsidR="00E836FB" w:rsidRDefault="00E836FB">
            <w:pPr>
              <w:rPr>
                <w:rFonts w:ascii="宋体"/>
              </w:rPr>
            </w:pPr>
          </w:p>
        </w:tc>
        <w:tc>
          <w:tcPr>
            <w:tcW w:w="0" w:type="auto"/>
            <w:shd w:val="clear" w:color="auto" w:fill="auto"/>
            <w:vAlign w:val="bottom"/>
          </w:tcPr>
          <w:p w14:paraId="5F2CD838" w14:textId="77777777" w:rsidR="00E836FB" w:rsidRDefault="00E836FB">
            <w:pPr>
              <w:rPr>
                <w:rFonts w:ascii="宋体"/>
                <w:vanish/>
              </w:rPr>
            </w:pPr>
          </w:p>
        </w:tc>
        <w:tc>
          <w:tcPr>
            <w:tcW w:w="0" w:type="auto"/>
            <w:shd w:val="clear" w:color="auto" w:fill="auto"/>
            <w:vAlign w:val="bottom"/>
          </w:tcPr>
          <w:p w14:paraId="5F2CD839" w14:textId="77777777" w:rsidR="00E836FB" w:rsidRDefault="00E836F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3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83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83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83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84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84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4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84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4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84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D848" w14:textId="77777777" w:rsidR="00E836FB" w:rsidRDefault="00E836FB">
            <w:pPr>
              <w:rPr>
                <w:rFonts w:ascii="宋体"/>
              </w:rPr>
            </w:pPr>
          </w:p>
        </w:tc>
      </w:tr>
      <w:tr w:rsidR="00E836FB" w14:paraId="5F2CD851" w14:textId="77777777">
        <w:tc>
          <w:tcPr>
            <w:tcW w:w="0" w:type="auto"/>
            <w:gridSpan w:val="44"/>
            <w:shd w:val="clear" w:color="auto" w:fill="auto"/>
            <w:tcMar>
              <w:top w:w="40" w:type="dxa"/>
              <w:left w:w="20" w:type="dxa"/>
              <w:bottom w:w="40" w:type="dxa"/>
              <w:right w:w="20" w:type="dxa"/>
            </w:tcMar>
            <w:vAlign w:val="bottom"/>
          </w:tcPr>
          <w:p w14:paraId="5F2CD84A" w14:textId="77777777" w:rsidR="00E836FB" w:rsidRDefault="00994958">
            <w:pPr>
              <w:textAlignment w:val="bottom"/>
            </w:pPr>
            <w:r>
              <w:rPr>
                <w:rFonts w:ascii="Arial" w:eastAsia="宋体" w:hAnsi="Arial" w:cs="Arial"/>
                <w:b/>
                <w:bCs/>
                <w:color w:val="000000"/>
                <w:sz w:val="16"/>
                <w:szCs w:val="16"/>
              </w:rPr>
              <w:t>TA</w:t>
            </w:r>
            <w:r>
              <w:rPr>
                <w:rFonts w:ascii="Arial" w:eastAsia="宋体" w:hAnsi="Arial" w:cs="Arial"/>
                <w:b/>
                <w:bCs/>
                <w:color w:val="000000"/>
                <w:sz w:val="16"/>
                <w:szCs w:val="16"/>
              </w:rPr>
              <w:t>BLE 35: TEN-DAY STRESSED VALUE-AT-RISK ASSOCIATED WITH TRADING ACTIVITIES FOR COVERED POSITIONS</w:t>
            </w:r>
          </w:p>
        </w:tc>
        <w:tc>
          <w:tcPr>
            <w:tcW w:w="0" w:type="auto"/>
            <w:shd w:val="clear" w:color="auto" w:fill="auto"/>
            <w:vAlign w:val="bottom"/>
          </w:tcPr>
          <w:p w14:paraId="5F2CD84B" w14:textId="77777777" w:rsidR="00E836FB" w:rsidRDefault="00E836FB">
            <w:pPr>
              <w:rPr>
                <w:rFonts w:ascii="宋体"/>
              </w:rPr>
            </w:pPr>
          </w:p>
        </w:tc>
        <w:tc>
          <w:tcPr>
            <w:tcW w:w="0" w:type="auto"/>
            <w:shd w:val="clear" w:color="auto" w:fill="auto"/>
            <w:vAlign w:val="bottom"/>
          </w:tcPr>
          <w:p w14:paraId="5F2CD84C" w14:textId="77777777" w:rsidR="00E836FB" w:rsidRDefault="00E836FB">
            <w:pPr>
              <w:rPr>
                <w:rFonts w:ascii="宋体"/>
              </w:rPr>
            </w:pPr>
          </w:p>
        </w:tc>
        <w:tc>
          <w:tcPr>
            <w:tcW w:w="0" w:type="auto"/>
            <w:shd w:val="clear" w:color="auto" w:fill="auto"/>
            <w:vAlign w:val="bottom"/>
          </w:tcPr>
          <w:p w14:paraId="5F2CD84D" w14:textId="77777777" w:rsidR="00E836FB" w:rsidRDefault="00E836FB">
            <w:pPr>
              <w:rPr>
                <w:rFonts w:ascii="宋体"/>
              </w:rPr>
            </w:pPr>
          </w:p>
        </w:tc>
        <w:tc>
          <w:tcPr>
            <w:tcW w:w="0" w:type="auto"/>
            <w:shd w:val="clear" w:color="auto" w:fill="auto"/>
            <w:vAlign w:val="bottom"/>
          </w:tcPr>
          <w:p w14:paraId="5F2CD84E" w14:textId="77777777" w:rsidR="00E836FB" w:rsidRDefault="00E836FB">
            <w:pPr>
              <w:rPr>
                <w:rFonts w:ascii="宋体"/>
              </w:rPr>
            </w:pPr>
          </w:p>
        </w:tc>
        <w:tc>
          <w:tcPr>
            <w:tcW w:w="0" w:type="auto"/>
            <w:shd w:val="clear" w:color="auto" w:fill="auto"/>
            <w:vAlign w:val="bottom"/>
          </w:tcPr>
          <w:p w14:paraId="5F2CD84F" w14:textId="77777777" w:rsidR="00E836FB" w:rsidRDefault="00E836FB">
            <w:pPr>
              <w:rPr>
                <w:rFonts w:ascii="宋体"/>
              </w:rPr>
            </w:pPr>
          </w:p>
        </w:tc>
        <w:tc>
          <w:tcPr>
            <w:tcW w:w="0" w:type="auto"/>
            <w:shd w:val="clear" w:color="auto" w:fill="auto"/>
            <w:vAlign w:val="bottom"/>
          </w:tcPr>
          <w:p w14:paraId="5F2CD850" w14:textId="77777777" w:rsidR="00E836FB" w:rsidRDefault="00E836FB">
            <w:pPr>
              <w:rPr>
                <w:rFonts w:ascii="宋体"/>
              </w:rPr>
            </w:pPr>
          </w:p>
        </w:tc>
      </w:tr>
      <w:tr w:rsidR="00E836FB" w14:paraId="5F2CD85C" w14:textId="77777777">
        <w:tc>
          <w:tcPr>
            <w:tcW w:w="0" w:type="auto"/>
            <w:gridSpan w:val="3"/>
            <w:shd w:val="clear" w:color="auto" w:fill="auto"/>
            <w:tcMar>
              <w:top w:w="0" w:type="dxa"/>
              <w:left w:w="20" w:type="dxa"/>
              <w:bottom w:w="0" w:type="dxa"/>
              <w:right w:w="20" w:type="dxa"/>
            </w:tcMar>
            <w:vAlign w:val="bottom"/>
          </w:tcPr>
          <w:p w14:paraId="5F2CD852" w14:textId="77777777" w:rsidR="00E836FB" w:rsidRDefault="00E836FB">
            <w:pPr>
              <w:rPr>
                <w:rFonts w:ascii="宋体"/>
              </w:rPr>
            </w:pPr>
          </w:p>
        </w:tc>
        <w:tc>
          <w:tcPr>
            <w:tcW w:w="0" w:type="auto"/>
            <w:shd w:val="clear" w:color="auto" w:fill="auto"/>
            <w:vAlign w:val="bottom"/>
          </w:tcPr>
          <w:p w14:paraId="5F2CD853" w14:textId="77777777" w:rsidR="00E836FB" w:rsidRDefault="00E836FB">
            <w:pPr>
              <w:rPr>
                <w:rFonts w:ascii="宋体"/>
                <w:vanish/>
              </w:rPr>
            </w:pPr>
          </w:p>
        </w:tc>
        <w:tc>
          <w:tcPr>
            <w:tcW w:w="0" w:type="auto"/>
            <w:shd w:val="clear" w:color="auto" w:fill="auto"/>
            <w:vAlign w:val="bottom"/>
          </w:tcPr>
          <w:p w14:paraId="5F2CD854" w14:textId="77777777" w:rsidR="00E836FB" w:rsidRDefault="00E836FB">
            <w:pPr>
              <w:rPr>
                <w:rFonts w:ascii="宋体"/>
                <w:vanish/>
              </w:rPr>
            </w:pPr>
          </w:p>
        </w:tc>
        <w:tc>
          <w:tcPr>
            <w:tcW w:w="0" w:type="auto"/>
            <w:gridSpan w:val="15"/>
            <w:shd w:val="clear" w:color="auto" w:fill="auto"/>
            <w:tcMar>
              <w:top w:w="40" w:type="dxa"/>
              <w:left w:w="20" w:type="dxa"/>
              <w:bottom w:w="40" w:type="dxa"/>
              <w:right w:w="20" w:type="dxa"/>
            </w:tcMar>
            <w:vAlign w:val="bottom"/>
          </w:tcPr>
          <w:p w14:paraId="5F2CD855" w14:textId="77777777" w:rsidR="00E836FB" w:rsidRDefault="00994958">
            <w:pPr>
              <w:jc w:val="center"/>
              <w:textAlignment w:val="bottom"/>
            </w:pPr>
            <w:r>
              <w:rPr>
                <w:rFonts w:ascii="Arial" w:eastAsia="宋体" w:hAnsi="Arial" w:cs="Arial"/>
                <w:b/>
                <w:bCs/>
                <w:color w:val="000000"/>
                <w:sz w:val="15"/>
                <w:szCs w:val="15"/>
              </w:rPr>
              <w:t>Year Ended December 31, 2021</w:t>
            </w:r>
          </w:p>
        </w:tc>
        <w:tc>
          <w:tcPr>
            <w:tcW w:w="0" w:type="auto"/>
            <w:gridSpan w:val="3"/>
            <w:shd w:val="clear" w:color="auto" w:fill="auto"/>
            <w:tcMar>
              <w:top w:w="0" w:type="dxa"/>
              <w:left w:w="20" w:type="dxa"/>
              <w:bottom w:w="0" w:type="dxa"/>
              <w:right w:w="20" w:type="dxa"/>
            </w:tcMar>
            <w:vAlign w:val="bottom"/>
          </w:tcPr>
          <w:p w14:paraId="5F2CD85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D857" w14:textId="77777777" w:rsidR="00E836FB" w:rsidRDefault="00994958">
            <w:pPr>
              <w:jc w:val="center"/>
              <w:textAlignment w:val="bottom"/>
            </w:pPr>
            <w:r>
              <w:rPr>
                <w:rFonts w:ascii="Arial" w:eastAsia="宋体" w:hAnsi="Arial" w:cs="Arial"/>
                <w:b/>
                <w:bCs/>
                <w:color w:val="000000"/>
                <w:sz w:val="15"/>
                <w:szCs w:val="15"/>
              </w:rPr>
              <w:t>As of December 31, 2021</w:t>
            </w:r>
          </w:p>
        </w:tc>
        <w:tc>
          <w:tcPr>
            <w:tcW w:w="0" w:type="auto"/>
            <w:gridSpan w:val="3"/>
            <w:shd w:val="clear" w:color="auto" w:fill="auto"/>
            <w:tcMar>
              <w:top w:w="0" w:type="dxa"/>
              <w:left w:w="20" w:type="dxa"/>
              <w:bottom w:w="0" w:type="dxa"/>
              <w:right w:w="20" w:type="dxa"/>
            </w:tcMar>
            <w:vAlign w:val="bottom"/>
          </w:tcPr>
          <w:p w14:paraId="5F2CD858"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D859" w14:textId="77777777" w:rsidR="00E836FB" w:rsidRDefault="00994958">
            <w:pPr>
              <w:jc w:val="center"/>
              <w:textAlignment w:val="bottom"/>
            </w:pPr>
            <w:r>
              <w:rPr>
                <w:rFonts w:ascii="Arial" w:eastAsia="宋体" w:hAnsi="Arial" w:cs="Arial"/>
                <w:b/>
                <w:bCs/>
                <w:color w:val="000000"/>
                <w:sz w:val="15"/>
                <w:szCs w:val="15"/>
              </w:rPr>
              <w:t>Year Ended December 31, 2020</w:t>
            </w:r>
          </w:p>
        </w:tc>
        <w:tc>
          <w:tcPr>
            <w:tcW w:w="0" w:type="auto"/>
            <w:gridSpan w:val="3"/>
            <w:shd w:val="clear" w:color="auto" w:fill="auto"/>
            <w:tcMar>
              <w:top w:w="0" w:type="dxa"/>
              <w:left w:w="20" w:type="dxa"/>
              <w:bottom w:w="0" w:type="dxa"/>
              <w:right w:w="20" w:type="dxa"/>
            </w:tcMar>
            <w:vAlign w:val="bottom"/>
          </w:tcPr>
          <w:p w14:paraId="5F2CD85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D85B" w14:textId="77777777" w:rsidR="00E836FB" w:rsidRDefault="00994958">
            <w:pPr>
              <w:jc w:val="center"/>
              <w:textAlignment w:val="bottom"/>
            </w:pPr>
            <w:r>
              <w:rPr>
                <w:rFonts w:ascii="Arial" w:eastAsia="宋体" w:hAnsi="Arial" w:cs="Arial"/>
                <w:b/>
                <w:bCs/>
                <w:color w:val="000000"/>
                <w:sz w:val="15"/>
                <w:szCs w:val="15"/>
              </w:rPr>
              <w:t>As of December 31, 2020</w:t>
            </w:r>
          </w:p>
        </w:tc>
      </w:tr>
      <w:tr w:rsidR="00E836FB" w14:paraId="5F2CD86F" w14:textId="77777777">
        <w:tc>
          <w:tcPr>
            <w:tcW w:w="0" w:type="auto"/>
            <w:gridSpan w:val="3"/>
            <w:shd w:val="clear" w:color="auto" w:fill="auto"/>
            <w:tcMar>
              <w:top w:w="40" w:type="dxa"/>
              <w:left w:w="20" w:type="dxa"/>
              <w:bottom w:w="40" w:type="dxa"/>
              <w:right w:w="20" w:type="dxa"/>
            </w:tcMar>
            <w:vAlign w:val="bottom"/>
          </w:tcPr>
          <w:p w14:paraId="5F2CD85D" w14:textId="77777777" w:rsidR="00E836FB" w:rsidRDefault="00994958">
            <w:pPr>
              <w:textAlignment w:val="bottom"/>
            </w:pPr>
            <w:r>
              <w:rPr>
                <w:rFonts w:ascii="Arial" w:eastAsia="宋体" w:hAnsi="Arial" w:cs="Arial"/>
                <w:b/>
                <w:bCs/>
                <w:color w:val="000000"/>
                <w:sz w:val="15"/>
                <w:szCs w:val="15"/>
              </w:rPr>
              <w:t>(In thousands)</w:t>
            </w:r>
          </w:p>
        </w:tc>
        <w:tc>
          <w:tcPr>
            <w:tcW w:w="0" w:type="auto"/>
            <w:shd w:val="clear" w:color="auto" w:fill="auto"/>
            <w:vAlign w:val="bottom"/>
          </w:tcPr>
          <w:p w14:paraId="5F2CD85E" w14:textId="77777777" w:rsidR="00E836FB" w:rsidRDefault="00E836FB">
            <w:pPr>
              <w:rPr>
                <w:rFonts w:ascii="宋体"/>
                <w:vanish/>
              </w:rPr>
            </w:pPr>
          </w:p>
        </w:tc>
        <w:tc>
          <w:tcPr>
            <w:tcW w:w="0" w:type="auto"/>
            <w:shd w:val="clear" w:color="auto" w:fill="auto"/>
            <w:vAlign w:val="bottom"/>
          </w:tcPr>
          <w:p w14:paraId="5F2CD85F"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0" w14:textId="77777777" w:rsidR="00E836FB" w:rsidRDefault="00994958">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86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2" w14:textId="77777777" w:rsidR="00E836FB" w:rsidRDefault="00994958">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86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4" w14:textId="77777777" w:rsidR="00E836FB" w:rsidRDefault="00994958">
            <w:pPr>
              <w:jc w:val="center"/>
              <w:textAlignment w:val="bottom"/>
            </w:pPr>
            <w:r>
              <w:rPr>
                <w:rFonts w:ascii="Arial" w:eastAsia="宋体" w:hAnsi="Arial" w:cs="Arial"/>
                <w:b/>
                <w:bCs/>
                <w:color w:val="000000"/>
                <w:sz w:val="15"/>
                <w:szCs w:val="15"/>
              </w:rPr>
              <w:t>Minimum</w:t>
            </w:r>
          </w:p>
        </w:tc>
        <w:tc>
          <w:tcPr>
            <w:tcW w:w="0" w:type="auto"/>
            <w:gridSpan w:val="3"/>
            <w:shd w:val="clear" w:color="auto" w:fill="auto"/>
            <w:tcMar>
              <w:top w:w="0" w:type="dxa"/>
              <w:left w:w="20" w:type="dxa"/>
              <w:bottom w:w="0" w:type="dxa"/>
              <w:right w:w="20" w:type="dxa"/>
            </w:tcMar>
            <w:vAlign w:val="bottom"/>
          </w:tcPr>
          <w:p w14:paraId="5F2CD86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6" w14:textId="77777777" w:rsidR="00E836FB" w:rsidRDefault="00994958">
            <w:pPr>
              <w:jc w:val="center"/>
              <w:textAlignment w:val="bottom"/>
            </w:pPr>
            <w:r>
              <w:rPr>
                <w:rFonts w:ascii="Arial" w:eastAsia="宋体" w:hAnsi="Arial" w:cs="Arial"/>
                <w:b/>
                <w:bCs/>
                <w:color w:val="000000"/>
                <w:sz w:val="15"/>
                <w:szCs w:val="15"/>
              </w:rPr>
              <w:t>VaR</w:t>
            </w:r>
          </w:p>
        </w:tc>
        <w:tc>
          <w:tcPr>
            <w:tcW w:w="0" w:type="auto"/>
            <w:gridSpan w:val="3"/>
            <w:shd w:val="clear" w:color="auto" w:fill="auto"/>
            <w:tcMar>
              <w:top w:w="0" w:type="dxa"/>
              <w:left w:w="20" w:type="dxa"/>
              <w:bottom w:w="0" w:type="dxa"/>
              <w:right w:w="20" w:type="dxa"/>
            </w:tcMar>
            <w:vAlign w:val="bottom"/>
          </w:tcPr>
          <w:p w14:paraId="5F2CD86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8" w14:textId="77777777" w:rsidR="00E836FB" w:rsidRDefault="00994958">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86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A" w14:textId="77777777" w:rsidR="00E836FB" w:rsidRDefault="00994958">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86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C" w14:textId="77777777" w:rsidR="00E836FB" w:rsidRDefault="00994958">
            <w:pPr>
              <w:jc w:val="center"/>
              <w:textAlignment w:val="bottom"/>
            </w:pPr>
            <w:r>
              <w:rPr>
                <w:rFonts w:ascii="Arial" w:eastAsia="宋体" w:hAnsi="Arial" w:cs="Arial"/>
                <w:b/>
                <w:bCs/>
                <w:color w:val="000000"/>
                <w:sz w:val="15"/>
                <w:szCs w:val="15"/>
              </w:rPr>
              <w:t>Minimum</w:t>
            </w:r>
          </w:p>
        </w:tc>
        <w:tc>
          <w:tcPr>
            <w:tcW w:w="0" w:type="auto"/>
            <w:gridSpan w:val="3"/>
            <w:shd w:val="clear" w:color="auto" w:fill="auto"/>
            <w:tcMar>
              <w:top w:w="0" w:type="dxa"/>
              <w:left w:w="20" w:type="dxa"/>
              <w:bottom w:w="0" w:type="dxa"/>
              <w:right w:w="20" w:type="dxa"/>
            </w:tcMar>
            <w:vAlign w:val="bottom"/>
          </w:tcPr>
          <w:p w14:paraId="5F2CD86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86E" w14:textId="77777777" w:rsidR="00E836FB" w:rsidRDefault="00994958">
            <w:pPr>
              <w:jc w:val="center"/>
              <w:textAlignment w:val="bottom"/>
            </w:pPr>
            <w:r>
              <w:rPr>
                <w:rFonts w:ascii="Arial" w:eastAsia="宋体" w:hAnsi="Arial" w:cs="Arial"/>
                <w:b/>
                <w:bCs/>
                <w:color w:val="000000"/>
                <w:sz w:val="15"/>
                <w:szCs w:val="15"/>
              </w:rPr>
              <w:t>VaR</w:t>
            </w:r>
          </w:p>
        </w:tc>
      </w:tr>
      <w:tr w:rsidR="00994958" w14:paraId="5F2CD892" w14:textId="77777777">
        <w:tc>
          <w:tcPr>
            <w:tcW w:w="0" w:type="auto"/>
            <w:gridSpan w:val="3"/>
            <w:shd w:val="clear" w:color="auto" w:fill="CCEEFF"/>
            <w:tcMar>
              <w:top w:w="40" w:type="dxa"/>
              <w:left w:w="20" w:type="dxa"/>
              <w:bottom w:w="40" w:type="dxa"/>
              <w:right w:w="20" w:type="dxa"/>
            </w:tcMar>
            <w:vAlign w:val="bottom"/>
          </w:tcPr>
          <w:p w14:paraId="5F2CD870" w14:textId="77777777" w:rsidR="00E836FB" w:rsidRDefault="00994958">
            <w:pPr>
              <w:textAlignment w:val="bottom"/>
            </w:pPr>
            <w:r>
              <w:rPr>
                <w:rFonts w:ascii="Arial" w:eastAsia="宋体" w:hAnsi="Arial" w:cs="Arial"/>
                <w:color w:val="000000"/>
                <w:sz w:val="15"/>
                <w:szCs w:val="15"/>
              </w:rPr>
              <w:t>Global Markets</w:t>
            </w:r>
          </w:p>
        </w:tc>
        <w:tc>
          <w:tcPr>
            <w:tcW w:w="0" w:type="auto"/>
            <w:shd w:val="clear" w:color="auto" w:fill="auto"/>
            <w:vAlign w:val="bottom"/>
          </w:tcPr>
          <w:p w14:paraId="5F2CD871" w14:textId="77777777" w:rsidR="00E836FB" w:rsidRDefault="00E836FB">
            <w:pPr>
              <w:rPr>
                <w:rFonts w:ascii="宋体"/>
                <w:vanish/>
              </w:rPr>
            </w:pPr>
          </w:p>
        </w:tc>
        <w:tc>
          <w:tcPr>
            <w:tcW w:w="0" w:type="auto"/>
            <w:shd w:val="clear" w:color="auto" w:fill="auto"/>
            <w:vAlign w:val="bottom"/>
          </w:tcPr>
          <w:p w14:paraId="5F2CD872"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7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74" w14:textId="77777777" w:rsidR="00E836FB" w:rsidRDefault="00994958">
            <w:pPr>
              <w:jc w:val="right"/>
              <w:textAlignment w:val="bottom"/>
            </w:pPr>
            <w:r>
              <w:rPr>
                <w:rFonts w:ascii="Arial" w:eastAsia="宋体" w:hAnsi="Arial" w:cs="Arial"/>
                <w:b/>
                <w:bCs/>
                <w:color w:val="000000"/>
                <w:sz w:val="15"/>
                <w:szCs w:val="15"/>
              </w:rPr>
              <w:t>41,698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7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7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78" w14:textId="77777777" w:rsidR="00E836FB" w:rsidRDefault="00994958">
            <w:pPr>
              <w:jc w:val="right"/>
              <w:textAlignment w:val="bottom"/>
            </w:pPr>
            <w:r>
              <w:rPr>
                <w:rFonts w:ascii="Arial" w:eastAsia="宋体" w:hAnsi="Arial" w:cs="Arial"/>
                <w:b/>
                <w:bCs/>
                <w:color w:val="000000"/>
                <w:sz w:val="15"/>
                <w:szCs w:val="15"/>
              </w:rPr>
              <w:t>101,535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7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7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7C" w14:textId="77777777" w:rsidR="00E836FB" w:rsidRDefault="00994958">
            <w:pPr>
              <w:jc w:val="right"/>
              <w:textAlignment w:val="bottom"/>
            </w:pPr>
            <w:r>
              <w:rPr>
                <w:rFonts w:ascii="Arial" w:eastAsia="宋体" w:hAnsi="Arial" w:cs="Arial"/>
                <w:b/>
                <w:bCs/>
                <w:color w:val="000000"/>
                <w:sz w:val="15"/>
                <w:szCs w:val="15"/>
              </w:rPr>
              <w:t>13,037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7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7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7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80" w14:textId="77777777" w:rsidR="00E836FB" w:rsidRDefault="00994958">
            <w:pPr>
              <w:jc w:val="right"/>
              <w:textAlignment w:val="bottom"/>
            </w:pPr>
            <w:r>
              <w:rPr>
                <w:rFonts w:ascii="Arial" w:eastAsia="宋体" w:hAnsi="Arial" w:cs="Arial"/>
                <w:b/>
                <w:bCs/>
                <w:color w:val="000000"/>
                <w:sz w:val="15"/>
                <w:szCs w:val="15"/>
              </w:rPr>
              <w:t>65,840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8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8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8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84" w14:textId="77777777" w:rsidR="00E836FB" w:rsidRDefault="00994958">
            <w:pPr>
              <w:jc w:val="right"/>
              <w:textAlignment w:val="bottom"/>
            </w:pPr>
            <w:r>
              <w:rPr>
                <w:rFonts w:ascii="Arial" w:eastAsia="宋体" w:hAnsi="Arial" w:cs="Arial"/>
                <w:color w:val="000000"/>
                <w:sz w:val="15"/>
                <w:szCs w:val="15"/>
              </w:rPr>
              <w:t>35,031 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8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8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88" w14:textId="77777777" w:rsidR="00E836FB" w:rsidRDefault="00994958">
            <w:pPr>
              <w:jc w:val="right"/>
              <w:textAlignment w:val="bottom"/>
            </w:pPr>
            <w:r>
              <w:rPr>
                <w:rFonts w:ascii="Arial" w:eastAsia="宋体" w:hAnsi="Arial" w:cs="Arial"/>
                <w:color w:val="000000"/>
                <w:sz w:val="15"/>
                <w:szCs w:val="15"/>
              </w:rPr>
              <w:t>84,755 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8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8B"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8C" w14:textId="77777777" w:rsidR="00E836FB" w:rsidRDefault="00994958">
            <w:pPr>
              <w:jc w:val="right"/>
              <w:textAlignment w:val="bottom"/>
            </w:pPr>
            <w:r>
              <w:rPr>
                <w:rFonts w:ascii="Arial" w:eastAsia="宋体" w:hAnsi="Arial" w:cs="Arial"/>
                <w:color w:val="000000"/>
                <w:sz w:val="15"/>
                <w:szCs w:val="15"/>
              </w:rPr>
              <w:t>15,399 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8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88F"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890" w14:textId="77777777" w:rsidR="00E836FB" w:rsidRDefault="00994958">
            <w:pPr>
              <w:jc w:val="right"/>
              <w:textAlignment w:val="bottom"/>
            </w:pPr>
            <w:r>
              <w:rPr>
                <w:rFonts w:ascii="Arial" w:eastAsia="宋体" w:hAnsi="Arial" w:cs="Arial"/>
                <w:color w:val="000000"/>
                <w:sz w:val="15"/>
                <w:szCs w:val="15"/>
              </w:rPr>
              <w:t>35,999 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891" w14:textId="77777777" w:rsidR="00E836FB" w:rsidRDefault="00E836FB">
            <w:pPr>
              <w:jc w:val="right"/>
              <w:rPr>
                <w:rFonts w:ascii="宋体"/>
              </w:rPr>
            </w:pPr>
          </w:p>
        </w:tc>
      </w:tr>
      <w:tr w:rsidR="00E836FB" w14:paraId="5F2CD8AD" w14:textId="77777777">
        <w:tc>
          <w:tcPr>
            <w:tcW w:w="0" w:type="auto"/>
            <w:gridSpan w:val="3"/>
            <w:shd w:val="clear" w:color="auto" w:fill="FFFFFF"/>
            <w:tcMar>
              <w:top w:w="40" w:type="dxa"/>
              <w:left w:w="20" w:type="dxa"/>
              <w:bottom w:w="40" w:type="dxa"/>
              <w:right w:w="20" w:type="dxa"/>
            </w:tcMar>
            <w:vAlign w:val="bottom"/>
          </w:tcPr>
          <w:p w14:paraId="5F2CD893" w14:textId="77777777" w:rsidR="00E836FB" w:rsidRDefault="00994958">
            <w:pPr>
              <w:textAlignment w:val="bottom"/>
            </w:pPr>
            <w:r>
              <w:rPr>
                <w:rFonts w:ascii="Arial" w:eastAsia="宋体" w:hAnsi="Arial" w:cs="Arial"/>
                <w:color w:val="000000"/>
                <w:sz w:val="15"/>
                <w:szCs w:val="15"/>
              </w:rPr>
              <w:t>Global Treasury</w:t>
            </w:r>
          </w:p>
        </w:tc>
        <w:tc>
          <w:tcPr>
            <w:tcW w:w="0" w:type="auto"/>
            <w:shd w:val="clear" w:color="auto" w:fill="auto"/>
            <w:vAlign w:val="bottom"/>
          </w:tcPr>
          <w:p w14:paraId="5F2CD894" w14:textId="77777777" w:rsidR="00E836FB" w:rsidRDefault="00E836FB">
            <w:pPr>
              <w:rPr>
                <w:rFonts w:ascii="宋体"/>
                <w:vanish/>
              </w:rPr>
            </w:pPr>
          </w:p>
        </w:tc>
        <w:tc>
          <w:tcPr>
            <w:tcW w:w="0" w:type="auto"/>
            <w:shd w:val="clear" w:color="auto" w:fill="auto"/>
            <w:vAlign w:val="bottom"/>
          </w:tcPr>
          <w:p w14:paraId="5F2CD895"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D896" w14:textId="77777777" w:rsidR="00E836FB" w:rsidRDefault="00994958">
            <w:pPr>
              <w:jc w:val="right"/>
              <w:textAlignment w:val="bottom"/>
            </w:pPr>
            <w:r>
              <w:rPr>
                <w:rFonts w:ascii="Arial" w:eastAsia="宋体" w:hAnsi="Arial" w:cs="Arial"/>
                <w:b/>
                <w:bCs/>
                <w:color w:val="000000"/>
                <w:sz w:val="15"/>
                <w:szCs w:val="15"/>
              </w:rPr>
              <w:t>9,601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89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9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899" w14:textId="77777777" w:rsidR="00E836FB" w:rsidRDefault="00994958">
            <w:pPr>
              <w:jc w:val="right"/>
              <w:textAlignment w:val="bottom"/>
            </w:pPr>
            <w:r>
              <w:rPr>
                <w:rFonts w:ascii="Arial" w:eastAsia="宋体" w:hAnsi="Arial" w:cs="Arial"/>
                <w:b/>
                <w:bCs/>
                <w:color w:val="000000"/>
                <w:sz w:val="15"/>
                <w:szCs w:val="15"/>
              </w:rPr>
              <w:t>29,651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8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89C" w14:textId="77777777" w:rsidR="00E836FB" w:rsidRDefault="00994958">
            <w:pPr>
              <w:jc w:val="right"/>
              <w:textAlignment w:val="bottom"/>
            </w:pPr>
            <w:r>
              <w:rPr>
                <w:rFonts w:ascii="Arial" w:eastAsia="宋体" w:hAnsi="Arial" w:cs="Arial"/>
                <w:b/>
                <w:bCs/>
                <w:color w:val="000000"/>
                <w:sz w:val="15"/>
                <w:szCs w:val="15"/>
              </w:rPr>
              <w:t>814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8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89F" w14:textId="77777777" w:rsidR="00E836FB" w:rsidRDefault="00994958">
            <w:pPr>
              <w:jc w:val="right"/>
              <w:textAlignment w:val="bottom"/>
            </w:pPr>
            <w:r>
              <w:rPr>
                <w:rFonts w:ascii="Arial" w:eastAsia="宋体" w:hAnsi="Arial" w:cs="Arial"/>
                <w:b/>
                <w:bCs/>
                <w:color w:val="000000"/>
                <w:sz w:val="15"/>
                <w:szCs w:val="15"/>
              </w:rPr>
              <w:t>12,419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8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8A2" w14:textId="77777777" w:rsidR="00E836FB" w:rsidRDefault="00994958">
            <w:pPr>
              <w:jc w:val="right"/>
              <w:textAlignment w:val="bottom"/>
            </w:pPr>
            <w:r>
              <w:rPr>
                <w:rFonts w:ascii="Arial" w:eastAsia="宋体" w:hAnsi="Arial" w:cs="Arial"/>
                <w:color w:val="000000"/>
                <w:sz w:val="15"/>
                <w:szCs w:val="15"/>
              </w:rPr>
              <w:t>7,895 </w:t>
            </w:r>
          </w:p>
        </w:tc>
        <w:tc>
          <w:tcPr>
            <w:tcW w:w="0" w:type="auto"/>
            <w:shd w:val="clear" w:color="auto" w:fill="FFFFFF"/>
            <w:tcMar>
              <w:top w:w="40" w:type="dxa"/>
              <w:left w:w="0" w:type="dxa"/>
              <w:bottom w:w="40" w:type="dxa"/>
              <w:right w:w="20" w:type="dxa"/>
            </w:tcMar>
            <w:vAlign w:val="bottom"/>
          </w:tcPr>
          <w:p w14:paraId="5F2CD8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8A5" w14:textId="77777777" w:rsidR="00E836FB" w:rsidRDefault="00994958">
            <w:pPr>
              <w:jc w:val="right"/>
              <w:textAlignment w:val="bottom"/>
            </w:pPr>
            <w:r>
              <w:rPr>
                <w:rFonts w:ascii="Arial" w:eastAsia="宋体" w:hAnsi="Arial" w:cs="Arial"/>
                <w:color w:val="000000"/>
                <w:sz w:val="15"/>
                <w:szCs w:val="15"/>
              </w:rPr>
              <w:t>23,533 </w:t>
            </w:r>
          </w:p>
        </w:tc>
        <w:tc>
          <w:tcPr>
            <w:tcW w:w="0" w:type="auto"/>
            <w:shd w:val="clear" w:color="auto" w:fill="FFFFFF"/>
            <w:tcMar>
              <w:top w:w="40" w:type="dxa"/>
              <w:left w:w="0" w:type="dxa"/>
              <w:bottom w:w="40" w:type="dxa"/>
              <w:right w:w="20" w:type="dxa"/>
            </w:tcMar>
            <w:vAlign w:val="bottom"/>
          </w:tcPr>
          <w:p w14:paraId="5F2CD8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8A8" w14:textId="77777777" w:rsidR="00E836FB" w:rsidRDefault="00994958">
            <w:pPr>
              <w:jc w:val="right"/>
              <w:textAlignment w:val="bottom"/>
            </w:pPr>
            <w:r>
              <w:rPr>
                <w:rFonts w:ascii="Arial" w:eastAsia="宋体" w:hAnsi="Arial" w:cs="Arial"/>
                <w:color w:val="000000"/>
                <w:sz w:val="15"/>
                <w:szCs w:val="15"/>
              </w:rPr>
              <w:t>587 </w:t>
            </w:r>
          </w:p>
        </w:tc>
        <w:tc>
          <w:tcPr>
            <w:tcW w:w="0" w:type="auto"/>
            <w:shd w:val="clear" w:color="auto" w:fill="FFFFFF"/>
            <w:tcMar>
              <w:top w:w="40" w:type="dxa"/>
              <w:left w:w="0" w:type="dxa"/>
              <w:bottom w:w="40" w:type="dxa"/>
              <w:right w:w="20" w:type="dxa"/>
            </w:tcMar>
            <w:vAlign w:val="bottom"/>
          </w:tcPr>
          <w:p w14:paraId="5F2CD8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8AB" w14:textId="77777777" w:rsidR="00E836FB" w:rsidRDefault="00994958">
            <w:pPr>
              <w:jc w:val="right"/>
              <w:textAlignment w:val="bottom"/>
            </w:pPr>
            <w:r>
              <w:rPr>
                <w:rFonts w:ascii="Arial" w:eastAsia="宋体" w:hAnsi="Arial" w:cs="Arial"/>
                <w:color w:val="000000"/>
                <w:sz w:val="15"/>
                <w:szCs w:val="15"/>
              </w:rPr>
              <w:t>8,555 </w:t>
            </w:r>
          </w:p>
        </w:tc>
        <w:tc>
          <w:tcPr>
            <w:tcW w:w="0" w:type="auto"/>
            <w:shd w:val="clear" w:color="auto" w:fill="FFFFFF"/>
            <w:tcMar>
              <w:top w:w="40" w:type="dxa"/>
              <w:left w:w="0" w:type="dxa"/>
              <w:bottom w:w="40" w:type="dxa"/>
              <w:right w:w="20" w:type="dxa"/>
            </w:tcMar>
            <w:vAlign w:val="bottom"/>
          </w:tcPr>
          <w:p w14:paraId="5F2CD8AC" w14:textId="77777777" w:rsidR="00E836FB" w:rsidRDefault="00E836FB">
            <w:pPr>
              <w:jc w:val="right"/>
              <w:rPr>
                <w:rFonts w:ascii="宋体"/>
              </w:rPr>
            </w:pPr>
          </w:p>
        </w:tc>
      </w:tr>
      <w:tr w:rsidR="00E836FB" w14:paraId="5F2CD8C8" w14:textId="77777777">
        <w:tc>
          <w:tcPr>
            <w:tcW w:w="0" w:type="auto"/>
            <w:gridSpan w:val="3"/>
            <w:shd w:val="clear" w:color="auto" w:fill="CCEEFF"/>
            <w:tcMar>
              <w:top w:w="40" w:type="dxa"/>
              <w:left w:w="20" w:type="dxa"/>
              <w:bottom w:w="40" w:type="dxa"/>
              <w:right w:w="20" w:type="dxa"/>
            </w:tcMar>
            <w:vAlign w:val="bottom"/>
          </w:tcPr>
          <w:p w14:paraId="5F2CD8AE" w14:textId="77777777" w:rsidR="00E836FB" w:rsidRDefault="00994958">
            <w:pPr>
              <w:textAlignment w:val="bottom"/>
            </w:pPr>
            <w:r>
              <w:rPr>
                <w:rFonts w:ascii="Arial" w:eastAsia="宋体" w:hAnsi="Arial" w:cs="Arial"/>
                <w:color w:val="000000"/>
                <w:sz w:val="15"/>
                <w:szCs w:val="15"/>
              </w:rPr>
              <w:t>Diversification</w:t>
            </w:r>
          </w:p>
        </w:tc>
        <w:tc>
          <w:tcPr>
            <w:tcW w:w="0" w:type="auto"/>
            <w:shd w:val="clear" w:color="auto" w:fill="auto"/>
            <w:vAlign w:val="bottom"/>
          </w:tcPr>
          <w:p w14:paraId="5F2CD8AF" w14:textId="77777777" w:rsidR="00E836FB" w:rsidRDefault="00E836FB">
            <w:pPr>
              <w:rPr>
                <w:rFonts w:ascii="宋体"/>
                <w:vanish/>
              </w:rPr>
            </w:pPr>
          </w:p>
        </w:tc>
        <w:tc>
          <w:tcPr>
            <w:tcW w:w="0" w:type="auto"/>
            <w:shd w:val="clear" w:color="auto" w:fill="auto"/>
            <w:vAlign w:val="bottom"/>
          </w:tcPr>
          <w:p w14:paraId="5F2CD8B0"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D8B1" w14:textId="77777777" w:rsidR="00E836FB" w:rsidRDefault="00994958">
            <w:pPr>
              <w:jc w:val="right"/>
              <w:textAlignment w:val="bottom"/>
            </w:pPr>
            <w:r>
              <w:rPr>
                <w:rFonts w:ascii="Arial" w:eastAsia="宋体" w:hAnsi="Arial" w:cs="Arial"/>
                <w:b/>
                <w:bCs/>
                <w:color w:val="000000"/>
                <w:sz w:val="15"/>
                <w:szCs w:val="15"/>
              </w:rPr>
              <w:t>(5,607)</w:t>
            </w:r>
          </w:p>
        </w:tc>
        <w:tc>
          <w:tcPr>
            <w:tcW w:w="0" w:type="auto"/>
            <w:shd w:val="clear" w:color="auto" w:fill="CCEEFF"/>
            <w:tcMar>
              <w:top w:w="40" w:type="dxa"/>
              <w:left w:w="0" w:type="dxa"/>
              <w:bottom w:w="40" w:type="dxa"/>
              <w:right w:w="20" w:type="dxa"/>
            </w:tcMar>
            <w:vAlign w:val="bottom"/>
          </w:tcPr>
          <w:p w14:paraId="5F2CD8B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B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B4" w14:textId="77777777" w:rsidR="00E836FB" w:rsidRDefault="00994958">
            <w:pPr>
              <w:jc w:val="right"/>
              <w:textAlignment w:val="bottom"/>
            </w:pPr>
            <w:r>
              <w:rPr>
                <w:rFonts w:ascii="Arial" w:eastAsia="宋体" w:hAnsi="Arial" w:cs="Arial"/>
                <w:b/>
                <w:bCs/>
                <w:color w:val="000000"/>
                <w:sz w:val="15"/>
                <w:szCs w:val="15"/>
              </w:rPr>
              <w:t>(20,018)</w:t>
            </w:r>
          </w:p>
        </w:tc>
        <w:tc>
          <w:tcPr>
            <w:tcW w:w="0" w:type="auto"/>
            <w:shd w:val="clear" w:color="auto" w:fill="CCEEFF"/>
            <w:tcMar>
              <w:top w:w="40" w:type="dxa"/>
              <w:left w:w="0" w:type="dxa"/>
              <w:bottom w:w="40" w:type="dxa"/>
              <w:right w:w="20" w:type="dxa"/>
            </w:tcMar>
            <w:vAlign w:val="bottom"/>
          </w:tcPr>
          <w:p w14:paraId="5F2CD8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B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B7" w14:textId="77777777" w:rsidR="00E836FB" w:rsidRDefault="00994958">
            <w:pPr>
              <w:jc w:val="right"/>
              <w:textAlignment w:val="bottom"/>
            </w:pPr>
            <w:r>
              <w:rPr>
                <w:rFonts w:ascii="Arial" w:eastAsia="宋体" w:hAnsi="Arial" w:cs="Arial"/>
                <w:b/>
                <w:bCs/>
                <w:color w:val="000000"/>
                <w:sz w:val="15"/>
                <w:szCs w:val="15"/>
              </w:rPr>
              <w:t>2,918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8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B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BA" w14:textId="77777777" w:rsidR="00E836FB" w:rsidRDefault="00994958">
            <w:pPr>
              <w:jc w:val="right"/>
              <w:textAlignment w:val="bottom"/>
            </w:pPr>
            <w:r>
              <w:rPr>
                <w:rFonts w:ascii="Arial" w:eastAsia="宋体" w:hAnsi="Arial" w:cs="Arial"/>
                <w:b/>
                <w:bCs/>
                <w:color w:val="000000"/>
                <w:sz w:val="15"/>
                <w:szCs w:val="15"/>
              </w:rPr>
              <w:t>(17,505)</w:t>
            </w:r>
          </w:p>
        </w:tc>
        <w:tc>
          <w:tcPr>
            <w:tcW w:w="0" w:type="auto"/>
            <w:shd w:val="clear" w:color="auto" w:fill="CCEEFF"/>
            <w:tcMar>
              <w:top w:w="40" w:type="dxa"/>
              <w:left w:w="0" w:type="dxa"/>
              <w:bottom w:w="40" w:type="dxa"/>
              <w:right w:w="20" w:type="dxa"/>
            </w:tcMar>
            <w:vAlign w:val="bottom"/>
          </w:tcPr>
          <w:p w14:paraId="5F2CD8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B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BD" w14:textId="77777777" w:rsidR="00E836FB" w:rsidRDefault="00994958">
            <w:pPr>
              <w:jc w:val="right"/>
              <w:textAlignment w:val="bottom"/>
            </w:pPr>
            <w:r>
              <w:rPr>
                <w:rFonts w:ascii="Arial" w:eastAsia="宋体" w:hAnsi="Arial" w:cs="Arial"/>
                <w:color w:val="000000"/>
                <w:sz w:val="15"/>
                <w:szCs w:val="15"/>
              </w:rPr>
              <w:t>(6,330)</w:t>
            </w:r>
          </w:p>
        </w:tc>
        <w:tc>
          <w:tcPr>
            <w:tcW w:w="0" w:type="auto"/>
            <w:shd w:val="clear" w:color="auto" w:fill="CCEEFF"/>
            <w:tcMar>
              <w:top w:w="40" w:type="dxa"/>
              <w:left w:w="0" w:type="dxa"/>
              <w:bottom w:w="40" w:type="dxa"/>
              <w:right w:w="20" w:type="dxa"/>
            </w:tcMar>
            <w:vAlign w:val="bottom"/>
          </w:tcPr>
          <w:p w14:paraId="5F2CD8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B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C0" w14:textId="77777777" w:rsidR="00E836FB" w:rsidRDefault="00994958">
            <w:pPr>
              <w:jc w:val="right"/>
              <w:textAlignment w:val="bottom"/>
            </w:pPr>
            <w:r>
              <w:rPr>
                <w:rFonts w:ascii="Arial" w:eastAsia="宋体" w:hAnsi="Arial" w:cs="Arial"/>
                <w:color w:val="000000"/>
                <w:sz w:val="15"/>
                <w:szCs w:val="15"/>
              </w:rPr>
              <w:t>(23,570)</w:t>
            </w:r>
          </w:p>
        </w:tc>
        <w:tc>
          <w:tcPr>
            <w:tcW w:w="0" w:type="auto"/>
            <w:shd w:val="clear" w:color="auto" w:fill="CCEEFF"/>
            <w:tcMar>
              <w:top w:w="40" w:type="dxa"/>
              <w:left w:w="0" w:type="dxa"/>
              <w:bottom w:w="40" w:type="dxa"/>
              <w:right w:w="20" w:type="dxa"/>
            </w:tcMar>
            <w:vAlign w:val="bottom"/>
          </w:tcPr>
          <w:p w14:paraId="5F2CD8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C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C3" w14:textId="77777777" w:rsidR="00E836FB" w:rsidRDefault="00994958">
            <w:pPr>
              <w:jc w:val="right"/>
              <w:textAlignment w:val="bottom"/>
            </w:pPr>
            <w:r>
              <w:rPr>
                <w:rFonts w:ascii="Arial" w:eastAsia="宋体" w:hAnsi="Arial" w:cs="Arial"/>
                <w:color w:val="000000"/>
                <w:sz w:val="15"/>
                <w:szCs w:val="15"/>
              </w:rPr>
              <w:t>1,620 </w:t>
            </w:r>
          </w:p>
        </w:tc>
        <w:tc>
          <w:tcPr>
            <w:tcW w:w="0" w:type="auto"/>
            <w:shd w:val="clear" w:color="auto" w:fill="CCEEFF"/>
            <w:tcMar>
              <w:top w:w="40" w:type="dxa"/>
              <w:left w:w="0" w:type="dxa"/>
              <w:bottom w:w="40" w:type="dxa"/>
              <w:right w:w="20" w:type="dxa"/>
            </w:tcMar>
            <w:vAlign w:val="bottom"/>
          </w:tcPr>
          <w:p w14:paraId="5F2CD8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8C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8C6" w14:textId="77777777" w:rsidR="00E836FB" w:rsidRDefault="00994958">
            <w:pPr>
              <w:jc w:val="right"/>
              <w:textAlignment w:val="bottom"/>
            </w:pPr>
            <w:r>
              <w:rPr>
                <w:rFonts w:ascii="Arial" w:eastAsia="宋体" w:hAnsi="Arial" w:cs="Arial"/>
                <w:color w:val="000000"/>
                <w:sz w:val="15"/>
                <w:szCs w:val="15"/>
              </w:rPr>
              <w:t>(1,106)</w:t>
            </w:r>
          </w:p>
        </w:tc>
        <w:tc>
          <w:tcPr>
            <w:tcW w:w="0" w:type="auto"/>
            <w:shd w:val="clear" w:color="auto" w:fill="CCEEFF"/>
            <w:tcMar>
              <w:top w:w="40" w:type="dxa"/>
              <w:left w:w="0" w:type="dxa"/>
              <w:bottom w:w="40" w:type="dxa"/>
              <w:right w:w="20" w:type="dxa"/>
            </w:tcMar>
            <w:vAlign w:val="bottom"/>
          </w:tcPr>
          <w:p w14:paraId="5F2CD8C7" w14:textId="77777777" w:rsidR="00E836FB" w:rsidRDefault="00E836FB">
            <w:pPr>
              <w:jc w:val="right"/>
              <w:rPr>
                <w:rFonts w:ascii="宋体"/>
              </w:rPr>
            </w:pPr>
          </w:p>
        </w:tc>
      </w:tr>
      <w:tr w:rsidR="00994958" w14:paraId="5F2CD8EB" w14:textId="77777777">
        <w:tc>
          <w:tcPr>
            <w:tcW w:w="0" w:type="auto"/>
            <w:gridSpan w:val="3"/>
            <w:shd w:val="clear" w:color="auto" w:fill="FFFFFF"/>
            <w:tcMar>
              <w:top w:w="40" w:type="dxa"/>
              <w:left w:w="20" w:type="dxa"/>
              <w:bottom w:w="40" w:type="dxa"/>
              <w:right w:w="20" w:type="dxa"/>
            </w:tcMar>
            <w:vAlign w:val="bottom"/>
          </w:tcPr>
          <w:p w14:paraId="5F2CD8C9" w14:textId="77777777" w:rsidR="00E836FB" w:rsidRDefault="00994958">
            <w:pPr>
              <w:textAlignment w:val="bottom"/>
            </w:pPr>
            <w:r>
              <w:rPr>
                <w:rFonts w:ascii="Arial" w:eastAsia="宋体" w:hAnsi="Arial" w:cs="Arial"/>
                <w:color w:val="000000"/>
                <w:sz w:val="15"/>
                <w:szCs w:val="15"/>
              </w:rPr>
              <w:t>Total Stressed VaR</w:t>
            </w:r>
          </w:p>
        </w:tc>
        <w:tc>
          <w:tcPr>
            <w:tcW w:w="0" w:type="auto"/>
            <w:shd w:val="clear" w:color="auto" w:fill="auto"/>
            <w:vAlign w:val="bottom"/>
          </w:tcPr>
          <w:p w14:paraId="5F2CD8CA" w14:textId="77777777" w:rsidR="00E836FB" w:rsidRDefault="00E836FB">
            <w:pPr>
              <w:rPr>
                <w:rFonts w:ascii="宋体"/>
                <w:vanish/>
              </w:rPr>
            </w:pPr>
          </w:p>
        </w:tc>
        <w:tc>
          <w:tcPr>
            <w:tcW w:w="0" w:type="auto"/>
            <w:shd w:val="clear" w:color="auto" w:fill="auto"/>
            <w:vAlign w:val="bottom"/>
          </w:tcPr>
          <w:p w14:paraId="5F2CD8CB" w14:textId="77777777" w:rsidR="00E836FB" w:rsidRDefault="00E836FB">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CC"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CD" w14:textId="77777777" w:rsidR="00E836FB" w:rsidRDefault="00994958">
            <w:pPr>
              <w:jc w:val="right"/>
              <w:textAlignment w:val="bottom"/>
            </w:pPr>
            <w:r>
              <w:rPr>
                <w:rFonts w:ascii="Arial" w:eastAsia="宋体" w:hAnsi="Arial" w:cs="Arial"/>
                <w:b/>
                <w:bCs/>
                <w:color w:val="000000"/>
                <w:sz w:val="15"/>
                <w:szCs w:val="15"/>
              </w:rPr>
              <w:t>45,692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C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D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D1" w14:textId="77777777" w:rsidR="00E836FB" w:rsidRDefault="00994958">
            <w:pPr>
              <w:jc w:val="right"/>
              <w:textAlignment w:val="bottom"/>
            </w:pPr>
            <w:r>
              <w:rPr>
                <w:rFonts w:ascii="Arial" w:eastAsia="宋体" w:hAnsi="Arial" w:cs="Arial"/>
                <w:b/>
                <w:bCs/>
                <w:color w:val="000000"/>
                <w:sz w:val="15"/>
                <w:szCs w:val="15"/>
              </w:rPr>
              <w:t>111,168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D3"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D4"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D5" w14:textId="77777777" w:rsidR="00E836FB" w:rsidRDefault="00994958">
            <w:pPr>
              <w:jc w:val="right"/>
              <w:textAlignment w:val="bottom"/>
            </w:pPr>
            <w:r>
              <w:rPr>
                <w:rFonts w:ascii="Arial" w:eastAsia="宋体" w:hAnsi="Arial" w:cs="Arial"/>
                <w:b/>
                <w:bCs/>
                <w:color w:val="000000"/>
                <w:sz w:val="15"/>
                <w:szCs w:val="15"/>
              </w:rPr>
              <w:t>16,769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D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D8"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D9" w14:textId="77777777" w:rsidR="00E836FB" w:rsidRDefault="00994958">
            <w:pPr>
              <w:jc w:val="right"/>
              <w:textAlignment w:val="bottom"/>
            </w:pPr>
            <w:r>
              <w:rPr>
                <w:rFonts w:ascii="Arial" w:eastAsia="宋体" w:hAnsi="Arial" w:cs="Arial"/>
                <w:b/>
                <w:bCs/>
                <w:color w:val="000000"/>
                <w:sz w:val="15"/>
                <w:szCs w:val="15"/>
              </w:rPr>
              <w:t>60,754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DB"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DC"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DD" w14:textId="77777777" w:rsidR="00E836FB" w:rsidRDefault="00994958">
            <w:pPr>
              <w:jc w:val="right"/>
              <w:textAlignment w:val="bottom"/>
            </w:pPr>
            <w:r>
              <w:rPr>
                <w:rFonts w:ascii="Arial" w:eastAsia="宋体" w:hAnsi="Arial" w:cs="Arial"/>
                <w:color w:val="000000"/>
                <w:sz w:val="15"/>
                <w:szCs w:val="15"/>
              </w:rPr>
              <w:t>36,596 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D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E0"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E1" w14:textId="77777777" w:rsidR="00E836FB" w:rsidRDefault="00994958">
            <w:pPr>
              <w:jc w:val="right"/>
              <w:textAlignment w:val="bottom"/>
            </w:pPr>
            <w:r>
              <w:rPr>
                <w:rFonts w:ascii="Arial" w:eastAsia="宋体" w:hAnsi="Arial" w:cs="Arial"/>
                <w:color w:val="000000"/>
                <w:sz w:val="15"/>
                <w:szCs w:val="15"/>
              </w:rPr>
              <w:t>84,718 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E3"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E4"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E5" w14:textId="77777777" w:rsidR="00E836FB" w:rsidRDefault="00994958">
            <w:pPr>
              <w:jc w:val="right"/>
              <w:textAlignment w:val="bottom"/>
            </w:pPr>
            <w:r>
              <w:rPr>
                <w:rFonts w:ascii="Arial" w:eastAsia="宋体" w:hAnsi="Arial" w:cs="Arial"/>
                <w:color w:val="000000"/>
                <w:sz w:val="15"/>
                <w:szCs w:val="15"/>
              </w:rPr>
              <w:t>17,606 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8E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8E8"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8E9" w14:textId="77777777" w:rsidR="00E836FB" w:rsidRDefault="00994958">
            <w:pPr>
              <w:jc w:val="right"/>
              <w:textAlignment w:val="bottom"/>
            </w:pPr>
            <w:r>
              <w:rPr>
                <w:rFonts w:ascii="Arial" w:eastAsia="宋体" w:hAnsi="Arial" w:cs="Arial"/>
                <w:color w:val="000000"/>
                <w:sz w:val="15"/>
                <w:szCs w:val="15"/>
              </w:rPr>
              <w:t>43,448 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8EA" w14:textId="77777777" w:rsidR="00E836FB" w:rsidRDefault="00E836FB">
            <w:pPr>
              <w:jc w:val="right"/>
              <w:rPr>
                <w:rFonts w:ascii="宋体"/>
              </w:rPr>
            </w:pPr>
          </w:p>
        </w:tc>
      </w:tr>
    </w:tbl>
    <w:p w14:paraId="5F2CD8EC" w14:textId="77777777" w:rsidR="00E836FB" w:rsidRDefault="00994958">
      <w:pPr>
        <w:ind w:firstLine="450"/>
        <w:jc w:val="both"/>
      </w:pPr>
      <w:r>
        <w:rPr>
          <w:rFonts w:ascii="Arial" w:eastAsia="宋体" w:hAnsi="Arial" w:cs="Arial"/>
          <w:color w:val="000000"/>
          <w:sz w:val="20"/>
          <w:szCs w:val="20"/>
        </w:rPr>
        <w:t>The average and period-end stressed VaR-based measures were approximately $46 million and $61 million, respectively, for the year ended December 31, 2021, compared to $37 million and $43 million, respectively, for the year ended December 31, 20</w:t>
      </w:r>
      <w:r>
        <w:rPr>
          <w:rFonts w:ascii="Arial" w:eastAsia="宋体" w:hAnsi="Arial" w:cs="Arial"/>
          <w:color w:val="000000"/>
          <w:sz w:val="20"/>
          <w:szCs w:val="20"/>
        </w:rPr>
        <w:t>20. The increase in the average and period-end VaR-based and stressed VaR-based measures was primarily due to higher residual interest rate positions throughout the year. With regards to our VaR-based measure, the model uses a two-year historical observati</w:t>
      </w:r>
      <w:r>
        <w:rPr>
          <w:rFonts w:ascii="Arial" w:eastAsia="宋体" w:hAnsi="Arial" w:cs="Arial"/>
          <w:color w:val="000000"/>
          <w:sz w:val="20"/>
          <w:szCs w:val="20"/>
        </w:rPr>
        <w:t>on period, and as such, the measure is still driven by the heightened market volatility experienced during the early stages of the COVID-19 pandemic, primarily with respect to FX rates and interest rates.</w:t>
      </w:r>
    </w:p>
    <w:p w14:paraId="5F2CD8ED" w14:textId="77777777" w:rsidR="00E836FB" w:rsidRDefault="00994958">
      <w:pPr>
        <w:spacing w:before="60"/>
        <w:ind w:firstLine="450"/>
        <w:jc w:val="both"/>
      </w:pPr>
      <w:r>
        <w:rPr>
          <w:rFonts w:ascii="Arial" w:eastAsia="宋体" w:hAnsi="Arial" w:cs="Arial"/>
          <w:color w:val="000000"/>
          <w:sz w:val="20"/>
          <w:szCs w:val="20"/>
        </w:rPr>
        <w:t>The VaR-based measures presented in the preceding t</w:t>
      </w:r>
      <w:r>
        <w:rPr>
          <w:rFonts w:ascii="Arial" w:eastAsia="宋体" w:hAnsi="Arial" w:cs="Arial"/>
          <w:color w:val="000000"/>
          <w:sz w:val="20"/>
          <w:szCs w:val="20"/>
        </w:rPr>
        <w:t>ables are primarily a reflection of the overall level of market volatility and our appetite for taking market risk in our trading activities. Overall levels of volatility have been low both on an absolute basis and relative to the historical information ob</w:t>
      </w:r>
      <w:r>
        <w:rPr>
          <w:rFonts w:ascii="Arial" w:eastAsia="宋体" w:hAnsi="Arial" w:cs="Arial"/>
          <w:color w:val="000000"/>
          <w:sz w:val="20"/>
          <w:szCs w:val="20"/>
        </w:rPr>
        <w:t xml:space="preserve">served at the beginning of the period used for the calculations. Both the ten-day VaR-based measures and the stressed VaR-based measures are based on historical changes observed during rolling ten-day periods for the portfolios as of the close of business </w:t>
      </w:r>
      <w:r>
        <w:rPr>
          <w:rFonts w:ascii="Arial" w:eastAsia="宋体" w:hAnsi="Arial" w:cs="Arial"/>
          <w:color w:val="000000"/>
          <w:sz w:val="20"/>
          <w:szCs w:val="20"/>
        </w:rPr>
        <w:t>each day over the past one-year period.</w:t>
      </w:r>
    </w:p>
    <w:p w14:paraId="5F2CD8EE" w14:textId="77777777" w:rsidR="00E836FB" w:rsidRDefault="00994958">
      <w:pPr>
        <w:spacing w:before="60"/>
        <w:ind w:firstLine="450"/>
        <w:jc w:val="both"/>
      </w:pPr>
      <w:r>
        <w:rPr>
          <w:rFonts w:ascii="Arial" w:eastAsia="宋体" w:hAnsi="Arial" w:cs="Arial"/>
          <w:color w:val="000000"/>
          <w:sz w:val="20"/>
          <w:szCs w:val="20"/>
        </w:rPr>
        <w:t>We have in the past and may in the future modify and adjust our models and methodologies used to calculate VaR and stressed VaR, subject to regulatory review and approval, and any future modifications and adjustments</w:t>
      </w:r>
      <w:r>
        <w:rPr>
          <w:rFonts w:ascii="Arial" w:eastAsia="宋体" w:hAnsi="Arial" w:cs="Arial"/>
          <w:color w:val="000000"/>
          <w:sz w:val="20"/>
          <w:szCs w:val="20"/>
        </w:rPr>
        <w:t xml:space="preserve"> may result in changes in our VaR-based and stressed VaR-based measures.</w:t>
      </w:r>
    </w:p>
    <w:p w14:paraId="5F2CD8EF" w14:textId="77777777" w:rsidR="00E836FB" w:rsidRDefault="00994958">
      <w:pPr>
        <w:spacing w:before="60"/>
        <w:ind w:firstLine="450"/>
        <w:jc w:val="both"/>
      </w:pPr>
      <w:r>
        <w:rPr>
          <w:rFonts w:ascii="Arial" w:eastAsia="宋体" w:hAnsi="Arial" w:cs="Arial"/>
          <w:color w:val="000000"/>
          <w:sz w:val="20"/>
          <w:szCs w:val="20"/>
        </w:rPr>
        <w:t>The following tables present the VaR and stressed-VaR associated with our trading activities attributable to foreign exchange risk, interest rate risk and volatility risk as of Decemb</w:t>
      </w:r>
      <w:r>
        <w:rPr>
          <w:rFonts w:ascii="Arial" w:eastAsia="宋体" w:hAnsi="Arial" w:cs="Arial"/>
          <w:color w:val="000000"/>
          <w:sz w:val="20"/>
          <w:szCs w:val="20"/>
        </w:rPr>
        <w:t>er 31, 2021 and 2020, respectively. The totals of the VaR-based and stressed VaR-based measures for the three attributes in total exceeded the related total VaR and total stressed VaR presented in the foregoing tables as of each period-end, primarily due t</w:t>
      </w:r>
      <w:r>
        <w:rPr>
          <w:rFonts w:ascii="Arial" w:eastAsia="宋体" w:hAnsi="Arial" w:cs="Arial"/>
          <w:color w:val="000000"/>
          <w:sz w:val="20"/>
          <w:szCs w:val="20"/>
        </w:rPr>
        <w:t>o the benefits of diversification across risk types. Diversification effect in the tables below represents the difference between total VaR and the sum of the VaRs for each trading activity. This effect arises because the risks present in our trading activ</w:t>
      </w:r>
      <w:r>
        <w:rPr>
          <w:rFonts w:ascii="Arial" w:eastAsia="宋体" w:hAnsi="Arial" w:cs="Arial"/>
          <w:color w:val="000000"/>
          <w:sz w:val="20"/>
          <w:szCs w:val="20"/>
        </w:rPr>
        <w:t>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1858"/>
        <w:gridCol w:w="37"/>
        <w:gridCol w:w="105"/>
        <w:gridCol w:w="911"/>
        <w:gridCol w:w="37"/>
        <w:gridCol w:w="36"/>
        <w:gridCol w:w="36"/>
        <w:gridCol w:w="36"/>
        <w:gridCol w:w="104"/>
        <w:gridCol w:w="706"/>
        <w:gridCol w:w="36"/>
        <w:gridCol w:w="36"/>
        <w:gridCol w:w="36"/>
        <w:gridCol w:w="36"/>
        <w:gridCol w:w="105"/>
        <w:gridCol w:w="616"/>
        <w:gridCol w:w="37"/>
        <w:gridCol w:w="46"/>
        <w:gridCol w:w="36"/>
        <w:gridCol w:w="36"/>
        <w:gridCol w:w="36"/>
        <w:gridCol w:w="36"/>
        <w:gridCol w:w="105"/>
        <w:gridCol w:w="911"/>
        <w:gridCol w:w="37"/>
        <w:gridCol w:w="36"/>
        <w:gridCol w:w="36"/>
        <w:gridCol w:w="36"/>
        <w:gridCol w:w="104"/>
        <w:gridCol w:w="706"/>
        <w:gridCol w:w="36"/>
        <w:gridCol w:w="36"/>
        <w:gridCol w:w="36"/>
        <w:gridCol w:w="36"/>
        <w:gridCol w:w="105"/>
        <w:gridCol w:w="616"/>
        <w:gridCol w:w="36"/>
        <w:gridCol w:w="36"/>
        <w:gridCol w:w="36"/>
        <w:gridCol w:w="36"/>
        <w:gridCol w:w="36"/>
        <w:gridCol w:w="36"/>
        <w:gridCol w:w="36"/>
        <w:gridCol w:w="36"/>
        <w:gridCol w:w="36"/>
        <w:gridCol w:w="36"/>
        <w:gridCol w:w="36"/>
        <w:gridCol w:w="36"/>
        <w:gridCol w:w="36"/>
        <w:gridCol w:w="36"/>
      </w:tblGrid>
      <w:tr w:rsidR="00E836FB" w14:paraId="5F2CD91E" w14:textId="77777777">
        <w:tc>
          <w:tcPr>
            <w:tcW w:w="50" w:type="pct"/>
            <w:shd w:val="clear" w:color="auto" w:fill="auto"/>
            <w:vAlign w:val="bottom"/>
          </w:tcPr>
          <w:p w14:paraId="5F2CD8F0" w14:textId="77777777" w:rsidR="00E836FB" w:rsidRDefault="00E836FB">
            <w:pPr>
              <w:rPr>
                <w:rFonts w:ascii="宋体"/>
              </w:rPr>
            </w:pPr>
          </w:p>
        </w:tc>
        <w:tc>
          <w:tcPr>
            <w:tcW w:w="1275" w:type="pct"/>
            <w:shd w:val="clear" w:color="auto" w:fill="auto"/>
            <w:vAlign w:val="bottom"/>
          </w:tcPr>
          <w:p w14:paraId="5F2CD8F1" w14:textId="77777777" w:rsidR="00E836FB" w:rsidRDefault="00E836FB">
            <w:pPr>
              <w:rPr>
                <w:rFonts w:ascii="宋体"/>
              </w:rPr>
            </w:pPr>
          </w:p>
        </w:tc>
        <w:tc>
          <w:tcPr>
            <w:tcW w:w="5" w:type="pct"/>
            <w:shd w:val="clear" w:color="auto" w:fill="auto"/>
            <w:vAlign w:val="bottom"/>
          </w:tcPr>
          <w:p w14:paraId="5F2CD8F2" w14:textId="77777777" w:rsidR="00E836FB" w:rsidRDefault="00E836FB">
            <w:pPr>
              <w:rPr>
                <w:rFonts w:ascii="宋体"/>
              </w:rPr>
            </w:pPr>
          </w:p>
        </w:tc>
        <w:tc>
          <w:tcPr>
            <w:tcW w:w="50" w:type="pct"/>
            <w:shd w:val="clear" w:color="auto" w:fill="auto"/>
            <w:vAlign w:val="bottom"/>
          </w:tcPr>
          <w:p w14:paraId="5F2CD8F3" w14:textId="77777777" w:rsidR="00E836FB" w:rsidRDefault="00E836FB">
            <w:pPr>
              <w:rPr>
                <w:rFonts w:ascii="宋体"/>
              </w:rPr>
            </w:pPr>
          </w:p>
        </w:tc>
        <w:tc>
          <w:tcPr>
            <w:tcW w:w="639" w:type="pct"/>
            <w:shd w:val="clear" w:color="auto" w:fill="auto"/>
            <w:vAlign w:val="bottom"/>
          </w:tcPr>
          <w:p w14:paraId="5F2CD8F4" w14:textId="77777777" w:rsidR="00E836FB" w:rsidRDefault="00E836FB">
            <w:pPr>
              <w:rPr>
                <w:rFonts w:ascii="宋体"/>
              </w:rPr>
            </w:pPr>
          </w:p>
        </w:tc>
        <w:tc>
          <w:tcPr>
            <w:tcW w:w="5" w:type="pct"/>
            <w:shd w:val="clear" w:color="auto" w:fill="auto"/>
            <w:vAlign w:val="bottom"/>
          </w:tcPr>
          <w:p w14:paraId="5F2CD8F5" w14:textId="77777777" w:rsidR="00E836FB" w:rsidRDefault="00E836FB">
            <w:pPr>
              <w:rPr>
                <w:rFonts w:ascii="宋体"/>
              </w:rPr>
            </w:pPr>
          </w:p>
        </w:tc>
        <w:tc>
          <w:tcPr>
            <w:tcW w:w="5" w:type="pct"/>
            <w:shd w:val="clear" w:color="auto" w:fill="auto"/>
            <w:vAlign w:val="bottom"/>
          </w:tcPr>
          <w:p w14:paraId="5F2CD8F6" w14:textId="77777777" w:rsidR="00E836FB" w:rsidRDefault="00E836FB">
            <w:pPr>
              <w:rPr>
                <w:rFonts w:ascii="宋体"/>
              </w:rPr>
            </w:pPr>
          </w:p>
        </w:tc>
        <w:tc>
          <w:tcPr>
            <w:tcW w:w="19" w:type="pct"/>
            <w:shd w:val="clear" w:color="auto" w:fill="auto"/>
            <w:vAlign w:val="bottom"/>
          </w:tcPr>
          <w:p w14:paraId="5F2CD8F7" w14:textId="77777777" w:rsidR="00E836FB" w:rsidRDefault="00E836FB">
            <w:pPr>
              <w:rPr>
                <w:rFonts w:ascii="宋体"/>
              </w:rPr>
            </w:pPr>
          </w:p>
        </w:tc>
        <w:tc>
          <w:tcPr>
            <w:tcW w:w="5" w:type="pct"/>
            <w:shd w:val="clear" w:color="auto" w:fill="auto"/>
            <w:vAlign w:val="bottom"/>
          </w:tcPr>
          <w:p w14:paraId="5F2CD8F8" w14:textId="77777777" w:rsidR="00E836FB" w:rsidRDefault="00E836FB">
            <w:pPr>
              <w:rPr>
                <w:rFonts w:ascii="宋体"/>
              </w:rPr>
            </w:pPr>
          </w:p>
        </w:tc>
        <w:tc>
          <w:tcPr>
            <w:tcW w:w="50" w:type="pct"/>
            <w:shd w:val="clear" w:color="auto" w:fill="auto"/>
            <w:vAlign w:val="bottom"/>
          </w:tcPr>
          <w:p w14:paraId="5F2CD8F9" w14:textId="77777777" w:rsidR="00E836FB" w:rsidRDefault="00E836FB">
            <w:pPr>
              <w:rPr>
                <w:rFonts w:ascii="宋体"/>
              </w:rPr>
            </w:pPr>
          </w:p>
        </w:tc>
        <w:tc>
          <w:tcPr>
            <w:tcW w:w="507" w:type="pct"/>
            <w:shd w:val="clear" w:color="auto" w:fill="auto"/>
            <w:vAlign w:val="bottom"/>
          </w:tcPr>
          <w:p w14:paraId="5F2CD8FA" w14:textId="77777777" w:rsidR="00E836FB" w:rsidRDefault="00E836FB">
            <w:pPr>
              <w:rPr>
                <w:rFonts w:ascii="宋体"/>
              </w:rPr>
            </w:pPr>
          </w:p>
        </w:tc>
        <w:tc>
          <w:tcPr>
            <w:tcW w:w="5" w:type="pct"/>
            <w:shd w:val="clear" w:color="auto" w:fill="auto"/>
            <w:vAlign w:val="bottom"/>
          </w:tcPr>
          <w:p w14:paraId="5F2CD8FB" w14:textId="77777777" w:rsidR="00E836FB" w:rsidRDefault="00E836FB">
            <w:pPr>
              <w:rPr>
                <w:rFonts w:ascii="宋体"/>
              </w:rPr>
            </w:pPr>
          </w:p>
        </w:tc>
        <w:tc>
          <w:tcPr>
            <w:tcW w:w="5" w:type="pct"/>
            <w:shd w:val="clear" w:color="auto" w:fill="auto"/>
            <w:vAlign w:val="bottom"/>
          </w:tcPr>
          <w:p w14:paraId="5F2CD8FC" w14:textId="77777777" w:rsidR="00E836FB" w:rsidRDefault="00E836FB">
            <w:pPr>
              <w:rPr>
                <w:rFonts w:ascii="宋体"/>
              </w:rPr>
            </w:pPr>
          </w:p>
        </w:tc>
        <w:tc>
          <w:tcPr>
            <w:tcW w:w="19" w:type="pct"/>
            <w:shd w:val="clear" w:color="auto" w:fill="auto"/>
            <w:vAlign w:val="bottom"/>
          </w:tcPr>
          <w:p w14:paraId="5F2CD8FD" w14:textId="77777777" w:rsidR="00E836FB" w:rsidRDefault="00E836FB">
            <w:pPr>
              <w:rPr>
                <w:rFonts w:ascii="宋体"/>
              </w:rPr>
            </w:pPr>
          </w:p>
        </w:tc>
        <w:tc>
          <w:tcPr>
            <w:tcW w:w="5" w:type="pct"/>
            <w:shd w:val="clear" w:color="auto" w:fill="auto"/>
            <w:vAlign w:val="bottom"/>
          </w:tcPr>
          <w:p w14:paraId="5F2CD8FE" w14:textId="77777777" w:rsidR="00E836FB" w:rsidRDefault="00E836FB">
            <w:pPr>
              <w:rPr>
                <w:rFonts w:ascii="宋体"/>
              </w:rPr>
            </w:pPr>
          </w:p>
        </w:tc>
        <w:tc>
          <w:tcPr>
            <w:tcW w:w="50" w:type="pct"/>
            <w:shd w:val="clear" w:color="auto" w:fill="auto"/>
            <w:vAlign w:val="bottom"/>
          </w:tcPr>
          <w:p w14:paraId="5F2CD8FF" w14:textId="77777777" w:rsidR="00E836FB" w:rsidRDefault="00E836FB">
            <w:pPr>
              <w:rPr>
                <w:rFonts w:ascii="宋体"/>
              </w:rPr>
            </w:pPr>
          </w:p>
        </w:tc>
        <w:tc>
          <w:tcPr>
            <w:tcW w:w="449" w:type="pct"/>
            <w:shd w:val="clear" w:color="auto" w:fill="auto"/>
            <w:vAlign w:val="bottom"/>
          </w:tcPr>
          <w:p w14:paraId="5F2CD900" w14:textId="77777777" w:rsidR="00E836FB" w:rsidRDefault="00E836FB">
            <w:pPr>
              <w:rPr>
                <w:rFonts w:ascii="宋体"/>
              </w:rPr>
            </w:pPr>
          </w:p>
        </w:tc>
        <w:tc>
          <w:tcPr>
            <w:tcW w:w="5" w:type="pct"/>
            <w:shd w:val="clear" w:color="auto" w:fill="auto"/>
            <w:vAlign w:val="bottom"/>
          </w:tcPr>
          <w:p w14:paraId="5F2CD901" w14:textId="77777777" w:rsidR="00E836FB" w:rsidRDefault="00E836FB">
            <w:pPr>
              <w:rPr>
                <w:rFonts w:ascii="宋体"/>
              </w:rPr>
            </w:pPr>
          </w:p>
        </w:tc>
        <w:tc>
          <w:tcPr>
            <w:tcW w:w="0" w:type="auto"/>
            <w:shd w:val="clear" w:color="auto" w:fill="auto"/>
            <w:vAlign w:val="bottom"/>
          </w:tcPr>
          <w:p w14:paraId="5F2CD902" w14:textId="77777777" w:rsidR="00E836FB" w:rsidRDefault="00E836FB">
            <w:pPr>
              <w:rPr>
                <w:rFonts w:ascii="宋体"/>
                <w:vanish/>
              </w:rPr>
            </w:pPr>
          </w:p>
        </w:tc>
        <w:tc>
          <w:tcPr>
            <w:tcW w:w="0" w:type="auto"/>
            <w:shd w:val="clear" w:color="auto" w:fill="auto"/>
            <w:vAlign w:val="bottom"/>
          </w:tcPr>
          <w:p w14:paraId="5F2CD903" w14:textId="77777777" w:rsidR="00E836FB" w:rsidRDefault="00E836FB">
            <w:pPr>
              <w:rPr>
                <w:rFonts w:ascii="宋体"/>
                <w:vanish/>
              </w:rPr>
            </w:pPr>
          </w:p>
        </w:tc>
        <w:tc>
          <w:tcPr>
            <w:tcW w:w="5" w:type="pct"/>
            <w:shd w:val="clear" w:color="auto" w:fill="auto"/>
            <w:vAlign w:val="bottom"/>
          </w:tcPr>
          <w:p w14:paraId="5F2CD904" w14:textId="77777777" w:rsidR="00E836FB" w:rsidRDefault="00E836FB">
            <w:pPr>
              <w:rPr>
                <w:rFonts w:ascii="宋体"/>
              </w:rPr>
            </w:pPr>
          </w:p>
        </w:tc>
        <w:tc>
          <w:tcPr>
            <w:tcW w:w="19" w:type="pct"/>
            <w:shd w:val="clear" w:color="auto" w:fill="auto"/>
            <w:vAlign w:val="bottom"/>
          </w:tcPr>
          <w:p w14:paraId="5F2CD905" w14:textId="77777777" w:rsidR="00E836FB" w:rsidRDefault="00E836FB">
            <w:pPr>
              <w:rPr>
                <w:rFonts w:ascii="宋体"/>
              </w:rPr>
            </w:pPr>
          </w:p>
        </w:tc>
        <w:tc>
          <w:tcPr>
            <w:tcW w:w="5" w:type="pct"/>
            <w:shd w:val="clear" w:color="auto" w:fill="auto"/>
            <w:vAlign w:val="bottom"/>
          </w:tcPr>
          <w:p w14:paraId="5F2CD906" w14:textId="77777777" w:rsidR="00E836FB" w:rsidRDefault="00E836FB">
            <w:pPr>
              <w:rPr>
                <w:rFonts w:ascii="宋体"/>
              </w:rPr>
            </w:pPr>
          </w:p>
        </w:tc>
        <w:tc>
          <w:tcPr>
            <w:tcW w:w="50" w:type="pct"/>
            <w:shd w:val="clear" w:color="auto" w:fill="auto"/>
            <w:vAlign w:val="bottom"/>
          </w:tcPr>
          <w:p w14:paraId="5F2CD907" w14:textId="77777777" w:rsidR="00E836FB" w:rsidRDefault="00E836FB">
            <w:pPr>
              <w:rPr>
                <w:rFonts w:ascii="宋体"/>
              </w:rPr>
            </w:pPr>
          </w:p>
        </w:tc>
        <w:tc>
          <w:tcPr>
            <w:tcW w:w="639" w:type="pct"/>
            <w:shd w:val="clear" w:color="auto" w:fill="auto"/>
            <w:vAlign w:val="bottom"/>
          </w:tcPr>
          <w:p w14:paraId="5F2CD908" w14:textId="77777777" w:rsidR="00E836FB" w:rsidRDefault="00E836FB">
            <w:pPr>
              <w:rPr>
                <w:rFonts w:ascii="宋体"/>
              </w:rPr>
            </w:pPr>
          </w:p>
        </w:tc>
        <w:tc>
          <w:tcPr>
            <w:tcW w:w="5" w:type="pct"/>
            <w:shd w:val="clear" w:color="auto" w:fill="auto"/>
            <w:vAlign w:val="bottom"/>
          </w:tcPr>
          <w:p w14:paraId="5F2CD909" w14:textId="77777777" w:rsidR="00E836FB" w:rsidRDefault="00E836FB">
            <w:pPr>
              <w:rPr>
                <w:rFonts w:ascii="宋体"/>
              </w:rPr>
            </w:pPr>
          </w:p>
        </w:tc>
        <w:tc>
          <w:tcPr>
            <w:tcW w:w="5" w:type="pct"/>
            <w:shd w:val="clear" w:color="auto" w:fill="auto"/>
            <w:vAlign w:val="bottom"/>
          </w:tcPr>
          <w:p w14:paraId="5F2CD90A" w14:textId="77777777" w:rsidR="00E836FB" w:rsidRDefault="00E836FB">
            <w:pPr>
              <w:rPr>
                <w:rFonts w:ascii="宋体"/>
              </w:rPr>
            </w:pPr>
          </w:p>
        </w:tc>
        <w:tc>
          <w:tcPr>
            <w:tcW w:w="19" w:type="pct"/>
            <w:shd w:val="clear" w:color="auto" w:fill="auto"/>
            <w:vAlign w:val="bottom"/>
          </w:tcPr>
          <w:p w14:paraId="5F2CD90B" w14:textId="77777777" w:rsidR="00E836FB" w:rsidRDefault="00E836FB">
            <w:pPr>
              <w:rPr>
                <w:rFonts w:ascii="宋体"/>
              </w:rPr>
            </w:pPr>
          </w:p>
        </w:tc>
        <w:tc>
          <w:tcPr>
            <w:tcW w:w="5" w:type="pct"/>
            <w:shd w:val="clear" w:color="auto" w:fill="auto"/>
            <w:vAlign w:val="bottom"/>
          </w:tcPr>
          <w:p w14:paraId="5F2CD90C" w14:textId="77777777" w:rsidR="00E836FB" w:rsidRDefault="00E836FB">
            <w:pPr>
              <w:rPr>
                <w:rFonts w:ascii="宋体"/>
              </w:rPr>
            </w:pPr>
          </w:p>
        </w:tc>
        <w:tc>
          <w:tcPr>
            <w:tcW w:w="50" w:type="pct"/>
            <w:shd w:val="clear" w:color="auto" w:fill="auto"/>
            <w:vAlign w:val="bottom"/>
          </w:tcPr>
          <w:p w14:paraId="5F2CD90D" w14:textId="77777777" w:rsidR="00E836FB" w:rsidRDefault="00E836FB">
            <w:pPr>
              <w:rPr>
                <w:rFonts w:ascii="宋体"/>
              </w:rPr>
            </w:pPr>
          </w:p>
        </w:tc>
        <w:tc>
          <w:tcPr>
            <w:tcW w:w="507" w:type="pct"/>
            <w:shd w:val="clear" w:color="auto" w:fill="auto"/>
            <w:vAlign w:val="bottom"/>
          </w:tcPr>
          <w:p w14:paraId="5F2CD90E" w14:textId="77777777" w:rsidR="00E836FB" w:rsidRDefault="00E836FB">
            <w:pPr>
              <w:rPr>
                <w:rFonts w:ascii="宋体"/>
              </w:rPr>
            </w:pPr>
          </w:p>
        </w:tc>
        <w:tc>
          <w:tcPr>
            <w:tcW w:w="5" w:type="pct"/>
            <w:shd w:val="clear" w:color="auto" w:fill="auto"/>
            <w:vAlign w:val="bottom"/>
          </w:tcPr>
          <w:p w14:paraId="5F2CD90F" w14:textId="77777777" w:rsidR="00E836FB" w:rsidRDefault="00E836FB">
            <w:pPr>
              <w:rPr>
                <w:rFonts w:ascii="宋体"/>
              </w:rPr>
            </w:pPr>
          </w:p>
        </w:tc>
        <w:tc>
          <w:tcPr>
            <w:tcW w:w="5" w:type="pct"/>
            <w:shd w:val="clear" w:color="auto" w:fill="auto"/>
            <w:vAlign w:val="bottom"/>
          </w:tcPr>
          <w:p w14:paraId="5F2CD910" w14:textId="77777777" w:rsidR="00E836FB" w:rsidRDefault="00E836FB">
            <w:pPr>
              <w:rPr>
                <w:rFonts w:ascii="宋体"/>
              </w:rPr>
            </w:pPr>
          </w:p>
        </w:tc>
        <w:tc>
          <w:tcPr>
            <w:tcW w:w="19" w:type="pct"/>
            <w:shd w:val="clear" w:color="auto" w:fill="auto"/>
            <w:vAlign w:val="bottom"/>
          </w:tcPr>
          <w:p w14:paraId="5F2CD911" w14:textId="77777777" w:rsidR="00E836FB" w:rsidRDefault="00E836FB">
            <w:pPr>
              <w:rPr>
                <w:rFonts w:ascii="宋体"/>
              </w:rPr>
            </w:pPr>
          </w:p>
        </w:tc>
        <w:tc>
          <w:tcPr>
            <w:tcW w:w="5" w:type="pct"/>
            <w:shd w:val="clear" w:color="auto" w:fill="auto"/>
            <w:vAlign w:val="bottom"/>
          </w:tcPr>
          <w:p w14:paraId="5F2CD912" w14:textId="77777777" w:rsidR="00E836FB" w:rsidRDefault="00E836FB">
            <w:pPr>
              <w:rPr>
                <w:rFonts w:ascii="宋体"/>
              </w:rPr>
            </w:pPr>
          </w:p>
        </w:tc>
        <w:tc>
          <w:tcPr>
            <w:tcW w:w="50" w:type="pct"/>
            <w:shd w:val="clear" w:color="auto" w:fill="auto"/>
            <w:vAlign w:val="bottom"/>
          </w:tcPr>
          <w:p w14:paraId="5F2CD913" w14:textId="77777777" w:rsidR="00E836FB" w:rsidRDefault="00E836FB">
            <w:pPr>
              <w:rPr>
                <w:rFonts w:ascii="宋体"/>
              </w:rPr>
            </w:pPr>
          </w:p>
        </w:tc>
        <w:tc>
          <w:tcPr>
            <w:tcW w:w="449" w:type="pct"/>
            <w:shd w:val="clear" w:color="auto" w:fill="auto"/>
            <w:vAlign w:val="bottom"/>
          </w:tcPr>
          <w:p w14:paraId="5F2CD914" w14:textId="77777777" w:rsidR="00E836FB" w:rsidRDefault="00E836FB">
            <w:pPr>
              <w:rPr>
                <w:rFonts w:ascii="宋体"/>
              </w:rPr>
            </w:pPr>
          </w:p>
        </w:tc>
        <w:tc>
          <w:tcPr>
            <w:tcW w:w="5" w:type="pct"/>
            <w:shd w:val="clear" w:color="auto" w:fill="auto"/>
            <w:vAlign w:val="bottom"/>
          </w:tcPr>
          <w:p w14:paraId="5F2CD915" w14:textId="77777777" w:rsidR="00E836FB" w:rsidRDefault="00E836FB">
            <w:pPr>
              <w:rPr>
                <w:rFonts w:ascii="宋体"/>
              </w:rPr>
            </w:pPr>
          </w:p>
        </w:tc>
        <w:tc>
          <w:tcPr>
            <w:tcW w:w="0" w:type="auto"/>
            <w:shd w:val="clear" w:color="auto" w:fill="auto"/>
            <w:vAlign w:val="bottom"/>
          </w:tcPr>
          <w:p w14:paraId="5F2CD916" w14:textId="77777777" w:rsidR="00E836FB" w:rsidRDefault="00E836FB">
            <w:pPr>
              <w:rPr>
                <w:rFonts w:ascii="宋体"/>
                <w:vanish/>
              </w:rPr>
            </w:pPr>
          </w:p>
        </w:tc>
        <w:tc>
          <w:tcPr>
            <w:tcW w:w="0" w:type="auto"/>
            <w:shd w:val="clear" w:color="auto" w:fill="auto"/>
            <w:vAlign w:val="bottom"/>
          </w:tcPr>
          <w:p w14:paraId="5F2CD917" w14:textId="77777777" w:rsidR="00E836FB" w:rsidRDefault="00E836FB">
            <w:pPr>
              <w:rPr>
                <w:rFonts w:ascii="宋体"/>
                <w:vanish/>
              </w:rPr>
            </w:pPr>
          </w:p>
        </w:tc>
        <w:tc>
          <w:tcPr>
            <w:tcW w:w="0" w:type="auto"/>
            <w:shd w:val="clear" w:color="auto" w:fill="auto"/>
            <w:vAlign w:val="bottom"/>
          </w:tcPr>
          <w:p w14:paraId="5F2CD918" w14:textId="77777777" w:rsidR="00E836FB" w:rsidRDefault="00E836FB">
            <w:pPr>
              <w:rPr>
                <w:rFonts w:ascii="宋体"/>
                <w:vanish/>
              </w:rPr>
            </w:pPr>
          </w:p>
        </w:tc>
        <w:tc>
          <w:tcPr>
            <w:tcW w:w="0" w:type="auto"/>
            <w:shd w:val="clear" w:color="auto" w:fill="auto"/>
            <w:vAlign w:val="bottom"/>
          </w:tcPr>
          <w:p w14:paraId="5F2CD919" w14:textId="77777777" w:rsidR="00E836FB" w:rsidRDefault="00E836FB">
            <w:pPr>
              <w:rPr>
                <w:rFonts w:ascii="宋体"/>
                <w:vanish/>
              </w:rPr>
            </w:pPr>
          </w:p>
        </w:tc>
        <w:tc>
          <w:tcPr>
            <w:tcW w:w="0" w:type="auto"/>
            <w:gridSpan w:val="3"/>
            <w:shd w:val="clear" w:color="auto" w:fill="auto"/>
            <w:vAlign w:val="bottom"/>
          </w:tcPr>
          <w:p w14:paraId="5F2CD91A" w14:textId="77777777" w:rsidR="00E836FB" w:rsidRDefault="00E836FB">
            <w:pPr>
              <w:rPr>
                <w:rFonts w:ascii="宋体"/>
                <w:vanish/>
              </w:rPr>
            </w:pPr>
          </w:p>
        </w:tc>
        <w:tc>
          <w:tcPr>
            <w:tcW w:w="0" w:type="auto"/>
            <w:gridSpan w:val="3"/>
            <w:shd w:val="clear" w:color="auto" w:fill="auto"/>
            <w:vAlign w:val="bottom"/>
          </w:tcPr>
          <w:p w14:paraId="5F2CD91B" w14:textId="77777777" w:rsidR="00E836FB" w:rsidRDefault="00E836FB">
            <w:pPr>
              <w:rPr>
                <w:rFonts w:ascii="宋体"/>
                <w:vanish/>
              </w:rPr>
            </w:pPr>
          </w:p>
        </w:tc>
        <w:tc>
          <w:tcPr>
            <w:tcW w:w="0" w:type="auto"/>
            <w:gridSpan w:val="2"/>
            <w:shd w:val="clear" w:color="auto" w:fill="auto"/>
            <w:vAlign w:val="bottom"/>
          </w:tcPr>
          <w:p w14:paraId="5F2CD91C" w14:textId="77777777" w:rsidR="00E836FB" w:rsidRDefault="00E836FB">
            <w:pPr>
              <w:rPr>
                <w:rFonts w:ascii="宋体"/>
                <w:vanish/>
              </w:rPr>
            </w:pPr>
          </w:p>
        </w:tc>
        <w:tc>
          <w:tcPr>
            <w:tcW w:w="0" w:type="auto"/>
            <w:shd w:val="clear" w:color="auto" w:fill="auto"/>
            <w:vAlign w:val="bottom"/>
          </w:tcPr>
          <w:p w14:paraId="5F2CD91D" w14:textId="77777777" w:rsidR="00E836FB" w:rsidRDefault="00E836FB">
            <w:pPr>
              <w:rPr>
                <w:rFonts w:ascii="宋体"/>
                <w:vanish/>
              </w:rPr>
            </w:pPr>
          </w:p>
        </w:tc>
      </w:tr>
      <w:tr w:rsidR="00E836FB" w14:paraId="5F2CD92A" w14:textId="77777777">
        <w:tc>
          <w:tcPr>
            <w:tcW w:w="0" w:type="auto"/>
            <w:gridSpan w:val="32"/>
            <w:shd w:val="clear" w:color="auto" w:fill="auto"/>
            <w:tcMar>
              <w:top w:w="40" w:type="dxa"/>
              <w:left w:w="20" w:type="dxa"/>
              <w:bottom w:w="40" w:type="dxa"/>
              <w:right w:w="20" w:type="dxa"/>
            </w:tcMar>
            <w:vAlign w:val="bottom"/>
          </w:tcPr>
          <w:p w14:paraId="5F2CD91F" w14:textId="77777777" w:rsidR="00E836FB" w:rsidRDefault="00994958">
            <w:pPr>
              <w:spacing w:after="20"/>
              <w:textAlignment w:val="bottom"/>
            </w:pPr>
            <w:r>
              <w:rPr>
                <w:rFonts w:ascii="Arial" w:eastAsia="宋体" w:hAnsi="Arial" w:cs="Arial"/>
                <w:b/>
                <w:bCs/>
                <w:color w:val="000000"/>
                <w:sz w:val="16"/>
                <w:szCs w:val="16"/>
              </w:rPr>
              <w:t>TABLE 36: TEN-DAY VaR ASSOCIATED</w:t>
            </w:r>
            <w:r>
              <w:rPr>
                <w:rFonts w:ascii="Arial" w:eastAsia="宋体" w:hAnsi="Arial" w:cs="Arial"/>
                <w:b/>
                <w:bCs/>
                <w:color w:val="000000"/>
                <w:sz w:val="16"/>
                <w:szCs w:val="16"/>
              </w:rPr>
              <w:t xml:space="preserve">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5F2CD920" w14:textId="77777777" w:rsidR="00E836FB" w:rsidRDefault="00E836FB">
            <w:pPr>
              <w:rPr>
                <w:rFonts w:ascii="宋体"/>
                <w:vanish/>
              </w:rPr>
            </w:pPr>
          </w:p>
        </w:tc>
        <w:tc>
          <w:tcPr>
            <w:tcW w:w="0" w:type="auto"/>
            <w:gridSpan w:val="3"/>
            <w:shd w:val="clear" w:color="auto" w:fill="auto"/>
            <w:vAlign w:val="bottom"/>
          </w:tcPr>
          <w:p w14:paraId="5F2CD921" w14:textId="77777777" w:rsidR="00E836FB" w:rsidRDefault="00E836FB">
            <w:pPr>
              <w:rPr>
                <w:rFonts w:ascii="宋体"/>
                <w:vanish/>
              </w:rPr>
            </w:pPr>
          </w:p>
        </w:tc>
        <w:tc>
          <w:tcPr>
            <w:tcW w:w="0" w:type="auto"/>
            <w:shd w:val="clear" w:color="auto" w:fill="auto"/>
            <w:vAlign w:val="bottom"/>
          </w:tcPr>
          <w:p w14:paraId="5F2CD922" w14:textId="77777777" w:rsidR="00E836FB" w:rsidRDefault="00E836FB">
            <w:pPr>
              <w:rPr>
                <w:rFonts w:ascii="宋体"/>
                <w:vanish/>
              </w:rPr>
            </w:pPr>
          </w:p>
        </w:tc>
        <w:tc>
          <w:tcPr>
            <w:tcW w:w="0" w:type="auto"/>
            <w:shd w:val="clear" w:color="auto" w:fill="auto"/>
            <w:vAlign w:val="bottom"/>
          </w:tcPr>
          <w:p w14:paraId="5F2CD923" w14:textId="77777777" w:rsidR="00E836FB" w:rsidRDefault="00E836FB">
            <w:pPr>
              <w:rPr>
                <w:rFonts w:ascii="宋体"/>
                <w:vanish/>
              </w:rPr>
            </w:pPr>
          </w:p>
        </w:tc>
        <w:tc>
          <w:tcPr>
            <w:tcW w:w="0" w:type="auto"/>
            <w:shd w:val="clear" w:color="auto" w:fill="auto"/>
            <w:vAlign w:val="bottom"/>
          </w:tcPr>
          <w:p w14:paraId="5F2CD924" w14:textId="77777777" w:rsidR="00E836FB" w:rsidRDefault="00E836FB">
            <w:pPr>
              <w:rPr>
                <w:rFonts w:ascii="宋体"/>
                <w:vanish/>
              </w:rPr>
            </w:pPr>
          </w:p>
        </w:tc>
        <w:tc>
          <w:tcPr>
            <w:tcW w:w="0" w:type="auto"/>
            <w:shd w:val="clear" w:color="auto" w:fill="auto"/>
            <w:vAlign w:val="bottom"/>
          </w:tcPr>
          <w:p w14:paraId="5F2CD925" w14:textId="77777777" w:rsidR="00E836FB" w:rsidRDefault="00E836FB">
            <w:pPr>
              <w:rPr>
                <w:rFonts w:ascii="宋体"/>
                <w:vanish/>
              </w:rPr>
            </w:pPr>
          </w:p>
        </w:tc>
        <w:tc>
          <w:tcPr>
            <w:tcW w:w="0" w:type="auto"/>
            <w:gridSpan w:val="3"/>
            <w:shd w:val="clear" w:color="auto" w:fill="auto"/>
            <w:vAlign w:val="bottom"/>
          </w:tcPr>
          <w:p w14:paraId="5F2CD926" w14:textId="77777777" w:rsidR="00E836FB" w:rsidRDefault="00E836FB">
            <w:pPr>
              <w:rPr>
                <w:rFonts w:ascii="宋体"/>
                <w:vanish/>
              </w:rPr>
            </w:pPr>
          </w:p>
        </w:tc>
        <w:tc>
          <w:tcPr>
            <w:tcW w:w="0" w:type="auto"/>
            <w:gridSpan w:val="3"/>
            <w:shd w:val="clear" w:color="auto" w:fill="auto"/>
            <w:vAlign w:val="bottom"/>
          </w:tcPr>
          <w:p w14:paraId="5F2CD927" w14:textId="77777777" w:rsidR="00E836FB" w:rsidRDefault="00E836FB">
            <w:pPr>
              <w:rPr>
                <w:rFonts w:ascii="宋体"/>
                <w:vanish/>
              </w:rPr>
            </w:pPr>
          </w:p>
        </w:tc>
        <w:tc>
          <w:tcPr>
            <w:tcW w:w="0" w:type="auto"/>
            <w:gridSpan w:val="2"/>
            <w:shd w:val="clear" w:color="auto" w:fill="auto"/>
            <w:vAlign w:val="bottom"/>
          </w:tcPr>
          <w:p w14:paraId="5F2CD928" w14:textId="77777777" w:rsidR="00E836FB" w:rsidRDefault="00E836FB">
            <w:pPr>
              <w:rPr>
                <w:rFonts w:ascii="宋体"/>
                <w:vanish/>
              </w:rPr>
            </w:pPr>
          </w:p>
        </w:tc>
        <w:tc>
          <w:tcPr>
            <w:tcW w:w="0" w:type="auto"/>
            <w:shd w:val="clear" w:color="auto" w:fill="auto"/>
            <w:vAlign w:val="bottom"/>
          </w:tcPr>
          <w:p w14:paraId="5F2CD929" w14:textId="77777777" w:rsidR="00E836FB" w:rsidRDefault="00E836FB">
            <w:pPr>
              <w:rPr>
                <w:rFonts w:ascii="宋体"/>
                <w:vanish/>
              </w:rPr>
            </w:pPr>
          </w:p>
        </w:tc>
      </w:tr>
      <w:tr w:rsidR="00E836FB" w14:paraId="5F2CD93E" w14:textId="77777777">
        <w:tc>
          <w:tcPr>
            <w:tcW w:w="0" w:type="auto"/>
            <w:gridSpan w:val="3"/>
            <w:shd w:val="clear" w:color="auto" w:fill="auto"/>
            <w:tcMar>
              <w:top w:w="0" w:type="dxa"/>
              <w:left w:w="20" w:type="dxa"/>
              <w:bottom w:w="0" w:type="dxa"/>
              <w:right w:w="20" w:type="dxa"/>
            </w:tcMar>
            <w:vAlign w:val="bottom"/>
          </w:tcPr>
          <w:p w14:paraId="5F2CD92B"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D92C" w14:textId="77777777" w:rsidR="00E836FB" w:rsidRDefault="00994958">
            <w:pPr>
              <w:spacing w:after="20"/>
              <w:jc w:val="center"/>
              <w:textAlignment w:val="bottom"/>
            </w:pPr>
            <w:r>
              <w:rPr>
                <w:rFonts w:ascii="Arial" w:eastAsia="宋体" w:hAnsi="Arial" w:cs="Arial"/>
                <w:b/>
                <w:bCs/>
                <w:color w:val="000000"/>
                <w:sz w:val="15"/>
                <w:szCs w:val="15"/>
              </w:rPr>
              <w:t>As of December 31, 2021</w:t>
            </w:r>
          </w:p>
        </w:tc>
        <w:tc>
          <w:tcPr>
            <w:tcW w:w="0" w:type="auto"/>
            <w:shd w:val="clear" w:color="auto" w:fill="auto"/>
            <w:tcMar>
              <w:top w:w="0" w:type="dxa"/>
              <w:left w:w="20" w:type="dxa"/>
              <w:bottom w:w="0" w:type="dxa"/>
              <w:right w:w="20" w:type="dxa"/>
            </w:tcMar>
            <w:vAlign w:val="bottom"/>
          </w:tcPr>
          <w:p w14:paraId="5F2CD92D" w14:textId="77777777" w:rsidR="00E836FB" w:rsidRDefault="00E836FB">
            <w:pPr>
              <w:rPr>
                <w:rFonts w:ascii="宋体"/>
              </w:rPr>
            </w:pPr>
          </w:p>
        </w:tc>
        <w:tc>
          <w:tcPr>
            <w:tcW w:w="0" w:type="auto"/>
            <w:gridSpan w:val="13"/>
            <w:shd w:val="clear" w:color="auto" w:fill="auto"/>
            <w:tcMar>
              <w:top w:w="40" w:type="dxa"/>
              <w:left w:w="20" w:type="dxa"/>
              <w:bottom w:w="40" w:type="dxa"/>
              <w:right w:w="20" w:type="dxa"/>
            </w:tcMar>
            <w:vAlign w:val="bottom"/>
          </w:tcPr>
          <w:p w14:paraId="5F2CD92E" w14:textId="77777777" w:rsidR="00E836FB" w:rsidRDefault="00994958">
            <w:pPr>
              <w:spacing w:after="20"/>
              <w:jc w:val="center"/>
              <w:textAlignment w:val="bottom"/>
            </w:pPr>
            <w:r>
              <w:rPr>
                <w:rFonts w:ascii="Arial" w:eastAsia="宋体" w:hAnsi="Arial" w:cs="Arial"/>
                <w:b/>
                <w:bCs/>
                <w:color w:val="000000"/>
                <w:sz w:val="15"/>
                <w:szCs w:val="15"/>
              </w:rPr>
              <w:t>As of December 31, 2020</w:t>
            </w:r>
          </w:p>
        </w:tc>
        <w:tc>
          <w:tcPr>
            <w:tcW w:w="0" w:type="auto"/>
            <w:gridSpan w:val="3"/>
            <w:shd w:val="clear" w:color="auto" w:fill="auto"/>
            <w:vAlign w:val="bottom"/>
          </w:tcPr>
          <w:p w14:paraId="5F2CD92F" w14:textId="77777777" w:rsidR="00E836FB" w:rsidRDefault="00E836FB">
            <w:pPr>
              <w:rPr>
                <w:rFonts w:ascii="宋体"/>
                <w:vanish/>
              </w:rPr>
            </w:pPr>
          </w:p>
        </w:tc>
        <w:tc>
          <w:tcPr>
            <w:tcW w:w="0" w:type="auto"/>
            <w:gridSpan w:val="3"/>
            <w:shd w:val="clear" w:color="auto" w:fill="auto"/>
            <w:vAlign w:val="bottom"/>
          </w:tcPr>
          <w:p w14:paraId="5F2CD930" w14:textId="77777777" w:rsidR="00E836FB" w:rsidRDefault="00E836FB">
            <w:pPr>
              <w:rPr>
                <w:rFonts w:ascii="宋体"/>
                <w:vanish/>
              </w:rPr>
            </w:pPr>
          </w:p>
        </w:tc>
        <w:tc>
          <w:tcPr>
            <w:tcW w:w="0" w:type="auto"/>
            <w:shd w:val="clear" w:color="auto" w:fill="auto"/>
            <w:vAlign w:val="bottom"/>
          </w:tcPr>
          <w:p w14:paraId="5F2CD931" w14:textId="77777777" w:rsidR="00E836FB" w:rsidRDefault="00E836FB">
            <w:pPr>
              <w:rPr>
                <w:rFonts w:ascii="宋体"/>
                <w:vanish/>
              </w:rPr>
            </w:pPr>
          </w:p>
        </w:tc>
        <w:tc>
          <w:tcPr>
            <w:tcW w:w="0" w:type="auto"/>
            <w:shd w:val="clear" w:color="auto" w:fill="auto"/>
            <w:vAlign w:val="bottom"/>
          </w:tcPr>
          <w:p w14:paraId="5F2CD932" w14:textId="77777777" w:rsidR="00E836FB" w:rsidRDefault="00E836FB">
            <w:pPr>
              <w:rPr>
                <w:rFonts w:ascii="宋体"/>
                <w:vanish/>
              </w:rPr>
            </w:pPr>
          </w:p>
        </w:tc>
        <w:tc>
          <w:tcPr>
            <w:tcW w:w="0" w:type="auto"/>
            <w:shd w:val="clear" w:color="auto" w:fill="auto"/>
            <w:vAlign w:val="bottom"/>
          </w:tcPr>
          <w:p w14:paraId="5F2CD933" w14:textId="77777777" w:rsidR="00E836FB" w:rsidRDefault="00E836FB">
            <w:pPr>
              <w:rPr>
                <w:rFonts w:ascii="宋体"/>
                <w:vanish/>
              </w:rPr>
            </w:pPr>
          </w:p>
        </w:tc>
        <w:tc>
          <w:tcPr>
            <w:tcW w:w="0" w:type="auto"/>
            <w:shd w:val="clear" w:color="auto" w:fill="auto"/>
            <w:vAlign w:val="bottom"/>
          </w:tcPr>
          <w:p w14:paraId="5F2CD934" w14:textId="77777777" w:rsidR="00E836FB" w:rsidRDefault="00E836FB">
            <w:pPr>
              <w:rPr>
                <w:rFonts w:ascii="宋体"/>
                <w:vanish/>
              </w:rPr>
            </w:pPr>
          </w:p>
        </w:tc>
        <w:tc>
          <w:tcPr>
            <w:tcW w:w="0" w:type="auto"/>
            <w:shd w:val="clear" w:color="auto" w:fill="auto"/>
            <w:vAlign w:val="bottom"/>
          </w:tcPr>
          <w:p w14:paraId="5F2CD935" w14:textId="77777777" w:rsidR="00E836FB" w:rsidRDefault="00E836FB">
            <w:pPr>
              <w:rPr>
                <w:rFonts w:ascii="宋体"/>
              </w:rPr>
            </w:pPr>
          </w:p>
        </w:tc>
        <w:tc>
          <w:tcPr>
            <w:tcW w:w="0" w:type="auto"/>
            <w:shd w:val="clear" w:color="auto" w:fill="auto"/>
            <w:vAlign w:val="bottom"/>
          </w:tcPr>
          <w:p w14:paraId="5F2CD936" w14:textId="77777777" w:rsidR="00E836FB" w:rsidRDefault="00E836FB">
            <w:pPr>
              <w:rPr>
                <w:rFonts w:ascii="宋体"/>
              </w:rPr>
            </w:pPr>
          </w:p>
        </w:tc>
        <w:tc>
          <w:tcPr>
            <w:tcW w:w="0" w:type="auto"/>
            <w:shd w:val="clear" w:color="auto" w:fill="auto"/>
            <w:vAlign w:val="bottom"/>
          </w:tcPr>
          <w:p w14:paraId="5F2CD937" w14:textId="77777777" w:rsidR="00E836FB" w:rsidRDefault="00E836FB">
            <w:pPr>
              <w:rPr>
                <w:rFonts w:ascii="宋体"/>
              </w:rPr>
            </w:pPr>
          </w:p>
        </w:tc>
        <w:tc>
          <w:tcPr>
            <w:tcW w:w="0" w:type="auto"/>
            <w:shd w:val="clear" w:color="auto" w:fill="auto"/>
            <w:vAlign w:val="bottom"/>
          </w:tcPr>
          <w:p w14:paraId="5F2CD938" w14:textId="77777777" w:rsidR="00E836FB" w:rsidRDefault="00E836FB">
            <w:pPr>
              <w:rPr>
                <w:rFonts w:ascii="宋体"/>
              </w:rPr>
            </w:pPr>
          </w:p>
        </w:tc>
        <w:tc>
          <w:tcPr>
            <w:tcW w:w="0" w:type="auto"/>
            <w:shd w:val="clear" w:color="auto" w:fill="auto"/>
            <w:vAlign w:val="bottom"/>
          </w:tcPr>
          <w:p w14:paraId="5F2CD939" w14:textId="77777777" w:rsidR="00E836FB" w:rsidRDefault="00E836FB">
            <w:pPr>
              <w:rPr>
                <w:rFonts w:ascii="宋体"/>
              </w:rPr>
            </w:pPr>
          </w:p>
        </w:tc>
        <w:tc>
          <w:tcPr>
            <w:tcW w:w="0" w:type="auto"/>
            <w:shd w:val="clear" w:color="auto" w:fill="auto"/>
            <w:vAlign w:val="bottom"/>
          </w:tcPr>
          <w:p w14:paraId="5F2CD93A" w14:textId="77777777" w:rsidR="00E836FB" w:rsidRDefault="00E836FB">
            <w:pPr>
              <w:rPr>
                <w:rFonts w:ascii="宋体"/>
              </w:rPr>
            </w:pPr>
          </w:p>
        </w:tc>
        <w:tc>
          <w:tcPr>
            <w:tcW w:w="0" w:type="auto"/>
            <w:shd w:val="clear" w:color="auto" w:fill="auto"/>
            <w:vAlign w:val="bottom"/>
          </w:tcPr>
          <w:p w14:paraId="5F2CD93B" w14:textId="77777777" w:rsidR="00E836FB" w:rsidRDefault="00E836FB">
            <w:pPr>
              <w:rPr>
                <w:rFonts w:ascii="宋体"/>
              </w:rPr>
            </w:pPr>
          </w:p>
        </w:tc>
        <w:tc>
          <w:tcPr>
            <w:tcW w:w="0" w:type="auto"/>
            <w:shd w:val="clear" w:color="auto" w:fill="auto"/>
            <w:vAlign w:val="bottom"/>
          </w:tcPr>
          <w:p w14:paraId="5F2CD93C" w14:textId="77777777" w:rsidR="00E836FB" w:rsidRDefault="00E836FB">
            <w:pPr>
              <w:rPr>
                <w:rFonts w:ascii="宋体"/>
              </w:rPr>
            </w:pPr>
          </w:p>
        </w:tc>
        <w:tc>
          <w:tcPr>
            <w:tcW w:w="0" w:type="auto"/>
            <w:shd w:val="clear" w:color="auto" w:fill="auto"/>
            <w:vAlign w:val="bottom"/>
          </w:tcPr>
          <w:p w14:paraId="5F2CD93D" w14:textId="77777777" w:rsidR="00E836FB" w:rsidRDefault="00E836FB">
            <w:pPr>
              <w:rPr>
                <w:rFonts w:ascii="宋体"/>
              </w:rPr>
            </w:pPr>
          </w:p>
        </w:tc>
      </w:tr>
      <w:tr w:rsidR="00E836FB" w14:paraId="5F2CD955" w14:textId="77777777">
        <w:tc>
          <w:tcPr>
            <w:tcW w:w="0" w:type="auto"/>
            <w:gridSpan w:val="3"/>
            <w:shd w:val="clear" w:color="auto" w:fill="auto"/>
            <w:tcMar>
              <w:top w:w="40" w:type="dxa"/>
              <w:left w:w="20" w:type="dxa"/>
              <w:bottom w:w="40" w:type="dxa"/>
              <w:right w:w="20" w:type="dxa"/>
            </w:tcMar>
            <w:vAlign w:val="bottom"/>
          </w:tcPr>
          <w:p w14:paraId="5F2CD93F" w14:textId="77777777" w:rsidR="00E836FB" w:rsidRDefault="00994958">
            <w:pPr>
              <w:spacing w:after="20"/>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940" w14:textId="77777777" w:rsidR="00E836FB" w:rsidRDefault="00994958">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4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942" w14:textId="77777777" w:rsidR="00E836FB" w:rsidRDefault="00994958">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4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944" w14:textId="77777777" w:rsidR="00E836FB" w:rsidRDefault="00994958">
            <w:pPr>
              <w:jc w:val="center"/>
              <w:textAlignment w:val="bottom"/>
            </w:pPr>
            <w:r>
              <w:rPr>
                <w:rFonts w:ascii="Arial" w:eastAsia="宋体" w:hAnsi="Arial" w:cs="Arial"/>
                <w:b/>
                <w:bCs/>
                <w:color w:val="000000"/>
                <w:sz w:val="15"/>
                <w:szCs w:val="15"/>
              </w:rPr>
              <w:t>Volatility Risk</w:t>
            </w:r>
          </w:p>
        </w:tc>
        <w:tc>
          <w:tcPr>
            <w:tcW w:w="0" w:type="auto"/>
            <w:shd w:val="clear" w:color="auto" w:fill="auto"/>
            <w:vAlign w:val="bottom"/>
          </w:tcPr>
          <w:p w14:paraId="5F2CD945" w14:textId="77777777" w:rsidR="00E836FB" w:rsidRDefault="00E836FB">
            <w:pPr>
              <w:rPr>
                <w:rFonts w:ascii="宋体"/>
                <w:vanish/>
              </w:rPr>
            </w:pPr>
          </w:p>
        </w:tc>
        <w:tc>
          <w:tcPr>
            <w:tcW w:w="0" w:type="auto"/>
            <w:shd w:val="clear" w:color="auto" w:fill="auto"/>
            <w:vAlign w:val="bottom"/>
          </w:tcPr>
          <w:p w14:paraId="5F2CD946"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D94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948" w14:textId="77777777" w:rsidR="00E836FB" w:rsidRDefault="00994958">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4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94A" w14:textId="77777777" w:rsidR="00E836FB" w:rsidRDefault="00994958">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4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94C" w14:textId="77777777" w:rsidR="00E836FB" w:rsidRDefault="00994958">
            <w:pPr>
              <w:jc w:val="center"/>
              <w:textAlignment w:val="bottom"/>
            </w:pPr>
            <w:r>
              <w:rPr>
                <w:rFonts w:ascii="Arial" w:eastAsia="宋体" w:hAnsi="Arial" w:cs="Arial"/>
                <w:b/>
                <w:bCs/>
                <w:color w:val="000000"/>
                <w:sz w:val="15"/>
                <w:szCs w:val="15"/>
              </w:rPr>
              <w:t>Volatility Risk</w:t>
            </w:r>
          </w:p>
        </w:tc>
        <w:tc>
          <w:tcPr>
            <w:tcW w:w="0" w:type="auto"/>
            <w:shd w:val="clear" w:color="auto" w:fill="auto"/>
            <w:vAlign w:val="bottom"/>
          </w:tcPr>
          <w:p w14:paraId="5F2CD94D" w14:textId="77777777" w:rsidR="00E836FB" w:rsidRDefault="00E836FB">
            <w:pPr>
              <w:rPr>
                <w:rFonts w:ascii="宋体"/>
                <w:vanish/>
              </w:rPr>
            </w:pPr>
          </w:p>
        </w:tc>
        <w:tc>
          <w:tcPr>
            <w:tcW w:w="0" w:type="auto"/>
            <w:shd w:val="clear" w:color="auto" w:fill="auto"/>
            <w:vAlign w:val="bottom"/>
          </w:tcPr>
          <w:p w14:paraId="5F2CD94E" w14:textId="77777777" w:rsidR="00E836FB" w:rsidRDefault="00E836FB">
            <w:pPr>
              <w:rPr>
                <w:rFonts w:ascii="宋体"/>
                <w:vanish/>
              </w:rPr>
            </w:pPr>
          </w:p>
        </w:tc>
        <w:tc>
          <w:tcPr>
            <w:tcW w:w="0" w:type="auto"/>
            <w:shd w:val="clear" w:color="auto" w:fill="auto"/>
            <w:vAlign w:val="bottom"/>
          </w:tcPr>
          <w:p w14:paraId="5F2CD94F" w14:textId="77777777" w:rsidR="00E836FB" w:rsidRDefault="00E836FB">
            <w:pPr>
              <w:rPr>
                <w:rFonts w:ascii="宋体"/>
                <w:vanish/>
              </w:rPr>
            </w:pPr>
          </w:p>
        </w:tc>
        <w:tc>
          <w:tcPr>
            <w:tcW w:w="0" w:type="auto"/>
            <w:shd w:val="clear" w:color="auto" w:fill="auto"/>
            <w:vAlign w:val="bottom"/>
          </w:tcPr>
          <w:p w14:paraId="5F2CD950" w14:textId="77777777" w:rsidR="00E836FB" w:rsidRDefault="00E836FB">
            <w:pPr>
              <w:rPr>
                <w:rFonts w:ascii="宋体"/>
                <w:vanish/>
              </w:rPr>
            </w:pPr>
          </w:p>
        </w:tc>
        <w:tc>
          <w:tcPr>
            <w:tcW w:w="0" w:type="auto"/>
            <w:gridSpan w:val="3"/>
            <w:shd w:val="clear" w:color="auto" w:fill="auto"/>
            <w:vAlign w:val="bottom"/>
          </w:tcPr>
          <w:p w14:paraId="5F2CD951" w14:textId="77777777" w:rsidR="00E836FB" w:rsidRDefault="00E836FB">
            <w:pPr>
              <w:rPr>
                <w:rFonts w:ascii="宋体"/>
                <w:vanish/>
              </w:rPr>
            </w:pPr>
          </w:p>
        </w:tc>
        <w:tc>
          <w:tcPr>
            <w:tcW w:w="0" w:type="auto"/>
            <w:gridSpan w:val="3"/>
            <w:shd w:val="clear" w:color="auto" w:fill="auto"/>
            <w:vAlign w:val="bottom"/>
          </w:tcPr>
          <w:p w14:paraId="5F2CD952" w14:textId="77777777" w:rsidR="00E836FB" w:rsidRDefault="00E836FB">
            <w:pPr>
              <w:rPr>
                <w:rFonts w:ascii="宋体"/>
                <w:vanish/>
              </w:rPr>
            </w:pPr>
          </w:p>
        </w:tc>
        <w:tc>
          <w:tcPr>
            <w:tcW w:w="0" w:type="auto"/>
            <w:gridSpan w:val="2"/>
            <w:shd w:val="clear" w:color="auto" w:fill="auto"/>
            <w:vAlign w:val="bottom"/>
          </w:tcPr>
          <w:p w14:paraId="5F2CD953" w14:textId="77777777" w:rsidR="00E836FB" w:rsidRDefault="00E836FB">
            <w:pPr>
              <w:rPr>
                <w:rFonts w:ascii="宋体"/>
                <w:vanish/>
              </w:rPr>
            </w:pPr>
          </w:p>
        </w:tc>
        <w:tc>
          <w:tcPr>
            <w:tcW w:w="0" w:type="auto"/>
            <w:shd w:val="clear" w:color="auto" w:fill="auto"/>
            <w:vAlign w:val="bottom"/>
          </w:tcPr>
          <w:p w14:paraId="5F2CD954" w14:textId="77777777" w:rsidR="00E836FB" w:rsidRDefault="00E836FB">
            <w:pPr>
              <w:rPr>
                <w:rFonts w:ascii="宋体"/>
                <w:vanish/>
              </w:rPr>
            </w:pPr>
          </w:p>
        </w:tc>
      </w:tr>
      <w:tr w:rsidR="00E836FB" w14:paraId="5F2CD96C" w14:textId="77777777">
        <w:tc>
          <w:tcPr>
            <w:tcW w:w="0" w:type="auto"/>
            <w:gridSpan w:val="3"/>
            <w:shd w:val="clear" w:color="auto" w:fill="auto"/>
            <w:tcMar>
              <w:top w:w="40" w:type="dxa"/>
              <w:left w:w="20" w:type="dxa"/>
              <w:bottom w:w="40" w:type="dxa"/>
              <w:right w:w="20" w:type="dxa"/>
            </w:tcMar>
            <w:vAlign w:val="bottom"/>
          </w:tcPr>
          <w:p w14:paraId="5F2CD956" w14:textId="77777777" w:rsidR="00E836FB" w:rsidRDefault="00994958">
            <w:pPr>
              <w:spacing w:after="20"/>
              <w:textAlignment w:val="bottom"/>
            </w:pPr>
            <w:r>
              <w:rPr>
                <w:rFonts w:ascii="Arial" w:eastAsia="宋体" w:hAnsi="Arial" w:cs="Arial"/>
                <w:color w:val="000000"/>
                <w:sz w:val="15"/>
                <w:szCs w:val="15"/>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5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95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5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95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5B" w14:textId="77777777" w:rsidR="00E836FB" w:rsidRDefault="00E836FB">
            <w:pPr>
              <w:rPr>
                <w:rFonts w:ascii="宋体"/>
              </w:rPr>
            </w:pPr>
          </w:p>
        </w:tc>
        <w:tc>
          <w:tcPr>
            <w:tcW w:w="0" w:type="auto"/>
            <w:shd w:val="clear" w:color="auto" w:fill="auto"/>
            <w:vAlign w:val="bottom"/>
          </w:tcPr>
          <w:p w14:paraId="5F2CD95C" w14:textId="77777777" w:rsidR="00E836FB" w:rsidRDefault="00E836FB">
            <w:pPr>
              <w:rPr>
                <w:rFonts w:ascii="宋体"/>
                <w:vanish/>
              </w:rPr>
            </w:pPr>
          </w:p>
        </w:tc>
        <w:tc>
          <w:tcPr>
            <w:tcW w:w="0" w:type="auto"/>
            <w:shd w:val="clear" w:color="auto" w:fill="auto"/>
            <w:vAlign w:val="bottom"/>
          </w:tcPr>
          <w:p w14:paraId="5F2CD95D"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D95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5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96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96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963" w14:textId="77777777" w:rsidR="00E836FB" w:rsidRDefault="00E836FB">
            <w:pPr>
              <w:rPr>
                <w:rFonts w:ascii="宋体"/>
              </w:rPr>
            </w:pPr>
          </w:p>
        </w:tc>
        <w:tc>
          <w:tcPr>
            <w:tcW w:w="0" w:type="auto"/>
            <w:shd w:val="clear" w:color="auto" w:fill="auto"/>
            <w:vAlign w:val="bottom"/>
          </w:tcPr>
          <w:p w14:paraId="5F2CD964" w14:textId="77777777" w:rsidR="00E836FB" w:rsidRDefault="00E836FB">
            <w:pPr>
              <w:rPr>
                <w:rFonts w:ascii="宋体"/>
                <w:vanish/>
              </w:rPr>
            </w:pPr>
          </w:p>
        </w:tc>
        <w:tc>
          <w:tcPr>
            <w:tcW w:w="0" w:type="auto"/>
            <w:shd w:val="clear" w:color="auto" w:fill="auto"/>
            <w:vAlign w:val="bottom"/>
          </w:tcPr>
          <w:p w14:paraId="5F2CD965" w14:textId="77777777" w:rsidR="00E836FB" w:rsidRDefault="00E836FB">
            <w:pPr>
              <w:rPr>
                <w:rFonts w:ascii="宋体"/>
                <w:vanish/>
              </w:rPr>
            </w:pPr>
          </w:p>
        </w:tc>
        <w:tc>
          <w:tcPr>
            <w:tcW w:w="0" w:type="auto"/>
            <w:shd w:val="clear" w:color="auto" w:fill="auto"/>
            <w:vAlign w:val="bottom"/>
          </w:tcPr>
          <w:p w14:paraId="5F2CD966" w14:textId="77777777" w:rsidR="00E836FB" w:rsidRDefault="00E836FB">
            <w:pPr>
              <w:rPr>
                <w:rFonts w:ascii="宋体"/>
                <w:vanish/>
              </w:rPr>
            </w:pPr>
          </w:p>
        </w:tc>
        <w:tc>
          <w:tcPr>
            <w:tcW w:w="0" w:type="auto"/>
            <w:shd w:val="clear" w:color="auto" w:fill="auto"/>
            <w:vAlign w:val="bottom"/>
          </w:tcPr>
          <w:p w14:paraId="5F2CD967" w14:textId="77777777" w:rsidR="00E836FB" w:rsidRDefault="00E836FB">
            <w:pPr>
              <w:rPr>
                <w:rFonts w:ascii="宋体"/>
                <w:vanish/>
              </w:rPr>
            </w:pPr>
          </w:p>
        </w:tc>
        <w:tc>
          <w:tcPr>
            <w:tcW w:w="0" w:type="auto"/>
            <w:gridSpan w:val="3"/>
            <w:shd w:val="clear" w:color="auto" w:fill="auto"/>
            <w:vAlign w:val="bottom"/>
          </w:tcPr>
          <w:p w14:paraId="5F2CD968" w14:textId="77777777" w:rsidR="00E836FB" w:rsidRDefault="00E836FB">
            <w:pPr>
              <w:rPr>
                <w:rFonts w:ascii="宋体"/>
                <w:vanish/>
              </w:rPr>
            </w:pPr>
          </w:p>
        </w:tc>
        <w:tc>
          <w:tcPr>
            <w:tcW w:w="0" w:type="auto"/>
            <w:gridSpan w:val="3"/>
            <w:shd w:val="clear" w:color="auto" w:fill="auto"/>
            <w:vAlign w:val="bottom"/>
          </w:tcPr>
          <w:p w14:paraId="5F2CD969" w14:textId="77777777" w:rsidR="00E836FB" w:rsidRDefault="00E836FB">
            <w:pPr>
              <w:rPr>
                <w:rFonts w:ascii="宋体"/>
                <w:vanish/>
              </w:rPr>
            </w:pPr>
          </w:p>
        </w:tc>
        <w:tc>
          <w:tcPr>
            <w:tcW w:w="0" w:type="auto"/>
            <w:gridSpan w:val="2"/>
            <w:shd w:val="clear" w:color="auto" w:fill="auto"/>
            <w:vAlign w:val="bottom"/>
          </w:tcPr>
          <w:p w14:paraId="5F2CD96A" w14:textId="77777777" w:rsidR="00E836FB" w:rsidRDefault="00E836FB">
            <w:pPr>
              <w:rPr>
                <w:rFonts w:ascii="宋体"/>
                <w:vanish/>
              </w:rPr>
            </w:pPr>
          </w:p>
        </w:tc>
        <w:tc>
          <w:tcPr>
            <w:tcW w:w="0" w:type="auto"/>
            <w:shd w:val="clear" w:color="auto" w:fill="auto"/>
            <w:vAlign w:val="bottom"/>
          </w:tcPr>
          <w:p w14:paraId="5F2CD96B" w14:textId="77777777" w:rsidR="00E836FB" w:rsidRDefault="00E836FB">
            <w:pPr>
              <w:rPr>
                <w:rFonts w:ascii="宋体"/>
                <w:vanish/>
              </w:rPr>
            </w:pPr>
          </w:p>
        </w:tc>
      </w:tr>
      <w:tr w:rsidR="00E836FB" w14:paraId="5F2CD98F" w14:textId="77777777">
        <w:tc>
          <w:tcPr>
            <w:tcW w:w="0" w:type="auto"/>
            <w:gridSpan w:val="3"/>
            <w:shd w:val="clear" w:color="auto" w:fill="CCEEFF"/>
            <w:tcMar>
              <w:top w:w="40" w:type="dxa"/>
              <w:left w:w="20" w:type="dxa"/>
              <w:bottom w:w="40" w:type="dxa"/>
              <w:right w:w="20" w:type="dxa"/>
            </w:tcMar>
            <w:vAlign w:val="bottom"/>
          </w:tcPr>
          <w:p w14:paraId="5F2CD96D" w14:textId="77777777" w:rsidR="00E836FB" w:rsidRDefault="00994958">
            <w:pPr>
              <w:spacing w:after="20"/>
              <w:textAlignment w:val="bottom"/>
            </w:pPr>
            <w:r>
              <w:rPr>
                <w:rFonts w:ascii="Arial" w:eastAsia="宋体" w:hAnsi="Arial" w:cs="Arial"/>
                <w:color w:val="000000"/>
                <w:sz w:val="15"/>
                <w:szCs w:val="15"/>
              </w:rPr>
              <w:t>Global Markets</w:t>
            </w:r>
          </w:p>
        </w:tc>
        <w:tc>
          <w:tcPr>
            <w:tcW w:w="0" w:type="auto"/>
            <w:shd w:val="clear" w:color="auto" w:fill="CCEEFF"/>
            <w:tcMar>
              <w:top w:w="40" w:type="dxa"/>
              <w:left w:w="20" w:type="dxa"/>
              <w:bottom w:w="40" w:type="dxa"/>
              <w:right w:w="0" w:type="dxa"/>
            </w:tcMar>
            <w:vAlign w:val="bottom"/>
          </w:tcPr>
          <w:p w14:paraId="5F2CD96E"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D96F" w14:textId="77777777" w:rsidR="00E836FB" w:rsidRDefault="00994958">
            <w:pPr>
              <w:jc w:val="right"/>
              <w:textAlignment w:val="bottom"/>
            </w:pPr>
            <w:r>
              <w:rPr>
                <w:rFonts w:ascii="Arial" w:eastAsia="宋体" w:hAnsi="Arial" w:cs="Arial"/>
                <w:b/>
                <w:bCs/>
                <w:color w:val="000000"/>
                <w:sz w:val="15"/>
                <w:szCs w:val="15"/>
              </w:rPr>
              <w:t>6,945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9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7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972"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D973" w14:textId="77777777" w:rsidR="00E836FB" w:rsidRDefault="00994958">
            <w:pPr>
              <w:jc w:val="right"/>
              <w:textAlignment w:val="bottom"/>
            </w:pPr>
            <w:r>
              <w:rPr>
                <w:rFonts w:ascii="Arial" w:eastAsia="宋体" w:hAnsi="Arial" w:cs="Arial"/>
                <w:b/>
                <w:bCs/>
                <w:color w:val="000000"/>
                <w:sz w:val="15"/>
                <w:szCs w:val="15"/>
              </w:rPr>
              <w:t>16,424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9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7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976"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D977" w14:textId="77777777" w:rsidR="00E836FB" w:rsidRDefault="00994958">
            <w:pPr>
              <w:jc w:val="right"/>
              <w:textAlignment w:val="bottom"/>
            </w:pPr>
            <w:r>
              <w:rPr>
                <w:rFonts w:ascii="Arial" w:eastAsia="宋体" w:hAnsi="Arial" w:cs="Arial"/>
                <w:b/>
                <w:bCs/>
                <w:color w:val="000000"/>
                <w:sz w:val="15"/>
                <w:szCs w:val="15"/>
              </w:rPr>
              <w:t>108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978" w14:textId="77777777" w:rsidR="00E836FB" w:rsidRDefault="00E836FB">
            <w:pPr>
              <w:jc w:val="right"/>
              <w:rPr>
                <w:rFonts w:ascii="宋体"/>
              </w:rPr>
            </w:pPr>
          </w:p>
        </w:tc>
        <w:tc>
          <w:tcPr>
            <w:tcW w:w="0" w:type="auto"/>
            <w:shd w:val="clear" w:color="auto" w:fill="auto"/>
            <w:vAlign w:val="bottom"/>
          </w:tcPr>
          <w:p w14:paraId="5F2CD979" w14:textId="77777777" w:rsidR="00E836FB" w:rsidRDefault="00E836FB">
            <w:pPr>
              <w:rPr>
                <w:rFonts w:ascii="宋体"/>
                <w:vanish/>
              </w:rPr>
            </w:pPr>
          </w:p>
        </w:tc>
        <w:tc>
          <w:tcPr>
            <w:tcW w:w="0" w:type="auto"/>
            <w:shd w:val="clear" w:color="auto" w:fill="auto"/>
            <w:vAlign w:val="bottom"/>
          </w:tcPr>
          <w:p w14:paraId="5F2CD97A"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D97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97C"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D97D" w14:textId="77777777" w:rsidR="00E836FB" w:rsidRDefault="00994958">
            <w:pPr>
              <w:jc w:val="right"/>
              <w:textAlignment w:val="bottom"/>
            </w:pPr>
            <w:r>
              <w:rPr>
                <w:rFonts w:ascii="Arial" w:eastAsia="宋体" w:hAnsi="Arial" w:cs="Arial"/>
                <w:color w:val="000000"/>
                <w:sz w:val="15"/>
                <w:szCs w:val="15"/>
              </w:rPr>
              <w:t>2,977 </w:t>
            </w:r>
          </w:p>
        </w:tc>
        <w:tc>
          <w:tcPr>
            <w:tcW w:w="0" w:type="auto"/>
            <w:shd w:val="clear" w:color="auto" w:fill="CCEEFF"/>
            <w:tcMar>
              <w:top w:w="40" w:type="dxa"/>
              <w:left w:w="0" w:type="dxa"/>
              <w:bottom w:w="40" w:type="dxa"/>
              <w:right w:w="20" w:type="dxa"/>
            </w:tcMar>
            <w:vAlign w:val="bottom"/>
          </w:tcPr>
          <w:p w14:paraId="5F2CD9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7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980"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D981" w14:textId="77777777" w:rsidR="00E836FB" w:rsidRDefault="00994958">
            <w:pPr>
              <w:jc w:val="right"/>
              <w:textAlignment w:val="bottom"/>
            </w:pPr>
            <w:r>
              <w:rPr>
                <w:rFonts w:ascii="Arial" w:eastAsia="宋体" w:hAnsi="Arial" w:cs="Arial"/>
                <w:color w:val="000000"/>
                <w:sz w:val="15"/>
                <w:szCs w:val="15"/>
              </w:rPr>
              <w:t>8,880 </w:t>
            </w:r>
          </w:p>
        </w:tc>
        <w:tc>
          <w:tcPr>
            <w:tcW w:w="0" w:type="auto"/>
            <w:shd w:val="clear" w:color="auto" w:fill="CCEEFF"/>
            <w:tcMar>
              <w:top w:w="40" w:type="dxa"/>
              <w:left w:w="0" w:type="dxa"/>
              <w:bottom w:w="40" w:type="dxa"/>
              <w:right w:w="20" w:type="dxa"/>
            </w:tcMar>
            <w:vAlign w:val="bottom"/>
          </w:tcPr>
          <w:p w14:paraId="5F2CD9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8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984"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D985" w14:textId="77777777" w:rsidR="00E836FB" w:rsidRDefault="00994958">
            <w:pPr>
              <w:jc w:val="right"/>
              <w:textAlignment w:val="bottom"/>
            </w:pPr>
            <w:r>
              <w:rPr>
                <w:rFonts w:ascii="Arial" w:eastAsia="宋体" w:hAnsi="Arial" w:cs="Arial"/>
                <w:color w:val="000000"/>
                <w:sz w:val="15"/>
                <w:szCs w:val="15"/>
              </w:rPr>
              <w:t>179 </w:t>
            </w:r>
          </w:p>
        </w:tc>
        <w:tc>
          <w:tcPr>
            <w:tcW w:w="0" w:type="auto"/>
            <w:shd w:val="clear" w:color="auto" w:fill="CCEEFF"/>
            <w:tcMar>
              <w:top w:w="40" w:type="dxa"/>
              <w:left w:w="0" w:type="dxa"/>
              <w:bottom w:w="40" w:type="dxa"/>
              <w:right w:w="20" w:type="dxa"/>
            </w:tcMar>
            <w:vAlign w:val="bottom"/>
          </w:tcPr>
          <w:p w14:paraId="5F2CD986" w14:textId="77777777" w:rsidR="00E836FB" w:rsidRDefault="00E836FB">
            <w:pPr>
              <w:jc w:val="right"/>
              <w:rPr>
                <w:rFonts w:ascii="宋体"/>
              </w:rPr>
            </w:pPr>
          </w:p>
        </w:tc>
        <w:tc>
          <w:tcPr>
            <w:tcW w:w="0" w:type="auto"/>
            <w:shd w:val="clear" w:color="auto" w:fill="auto"/>
            <w:vAlign w:val="bottom"/>
          </w:tcPr>
          <w:p w14:paraId="5F2CD987" w14:textId="77777777" w:rsidR="00E836FB" w:rsidRDefault="00E836FB">
            <w:pPr>
              <w:rPr>
                <w:rFonts w:ascii="宋体"/>
                <w:vanish/>
              </w:rPr>
            </w:pPr>
          </w:p>
        </w:tc>
        <w:tc>
          <w:tcPr>
            <w:tcW w:w="0" w:type="auto"/>
            <w:shd w:val="clear" w:color="auto" w:fill="auto"/>
            <w:vAlign w:val="bottom"/>
          </w:tcPr>
          <w:p w14:paraId="5F2CD988" w14:textId="77777777" w:rsidR="00E836FB" w:rsidRDefault="00E836FB">
            <w:pPr>
              <w:rPr>
                <w:rFonts w:ascii="宋体"/>
                <w:vanish/>
              </w:rPr>
            </w:pPr>
          </w:p>
        </w:tc>
        <w:tc>
          <w:tcPr>
            <w:tcW w:w="0" w:type="auto"/>
            <w:shd w:val="clear" w:color="auto" w:fill="auto"/>
            <w:vAlign w:val="bottom"/>
          </w:tcPr>
          <w:p w14:paraId="5F2CD989" w14:textId="77777777" w:rsidR="00E836FB" w:rsidRDefault="00E836FB">
            <w:pPr>
              <w:rPr>
                <w:rFonts w:ascii="宋体"/>
                <w:vanish/>
              </w:rPr>
            </w:pPr>
          </w:p>
        </w:tc>
        <w:tc>
          <w:tcPr>
            <w:tcW w:w="0" w:type="auto"/>
            <w:shd w:val="clear" w:color="auto" w:fill="auto"/>
            <w:vAlign w:val="bottom"/>
          </w:tcPr>
          <w:p w14:paraId="5F2CD98A" w14:textId="77777777" w:rsidR="00E836FB" w:rsidRDefault="00E836FB">
            <w:pPr>
              <w:rPr>
                <w:rFonts w:ascii="宋体"/>
                <w:vanish/>
              </w:rPr>
            </w:pPr>
          </w:p>
        </w:tc>
        <w:tc>
          <w:tcPr>
            <w:tcW w:w="0" w:type="auto"/>
            <w:gridSpan w:val="3"/>
            <w:shd w:val="clear" w:color="auto" w:fill="auto"/>
            <w:vAlign w:val="bottom"/>
          </w:tcPr>
          <w:p w14:paraId="5F2CD98B" w14:textId="77777777" w:rsidR="00E836FB" w:rsidRDefault="00E836FB">
            <w:pPr>
              <w:rPr>
                <w:rFonts w:ascii="宋体"/>
                <w:vanish/>
              </w:rPr>
            </w:pPr>
          </w:p>
        </w:tc>
        <w:tc>
          <w:tcPr>
            <w:tcW w:w="0" w:type="auto"/>
            <w:gridSpan w:val="3"/>
            <w:shd w:val="clear" w:color="auto" w:fill="auto"/>
            <w:vAlign w:val="bottom"/>
          </w:tcPr>
          <w:p w14:paraId="5F2CD98C" w14:textId="77777777" w:rsidR="00E836FB" w:rsidRDefault="00E836FB">
            <w:pPr>
              <w:rPr>
                <w:rFonts w:ascii="宋体"/>
                <w:vanish/>
              </w:rPr>
            </w:pPr>
          </w:p>
        </w:tc>
        <w:tc>
          <w:tcPr>
            <w:tcW w:w="0" w:type="auto"/>
            <w:gridSpan w:val="2"/>
            <w:shd w:val="clear" w:color="auto" w:fill="auto"/>
            <w:vAlign w:val="bottom"/>
          </w:tcPr>
          <w:p w14:paraId="5F2CD98D" w14:textId="77777777" w:rsidR="00E836FB" w:rsidRDefault="00E836FB">
            <w:pPr>
              <w:rPr>
                <w:rFonts w:ascii="宋体"/>
                <w:vanish/>
              </w:rPr>
            </w:pPr>
          </w:p>
        </w:tc>
        <w:tc>
          <w:tcPr>
            <w:tcW w:w="0" w:type="auto"/>
            <w:shd w:val="clear" w:color="auto" w:fill="auto"/>
            <w:vAlign w:val="bottom"/>
          </w:tcPr>
          <w:p w14:paraId="5F2CD98E" w14:textId="77777777" w:rsidR="00E836FB" w:rsidRDefault="00E836FB">
            <w:pPr>
              <w:rPr>
                <w:rFonts w:ascii="宋体"/>
                <w:vanish/>
              </w:rPr>
            </w:pPr>
          </w:p>
        </w:tc>
      </w:tr>
      <w:tr w:rsidR="00E836FB" w14:paraId="5F2CD9AC" w14:textId="77777777">
        <w:tc>
          <w:tcPr>
            <w:tcW w:w="0" w:type="auto"/>
            <w:gridSpan w:val="3"/>
            <w:shd w:val="clear" w:color="auto" w:fill="FFFFFF"/>
            <w:tcMar>
              <w:top w:w="40" w:type="dxa"/>
              <w:left w:w="20" w:type="dxa"/>
              <w:bottom w:w="40" w:type="dxa"/>
              <w:right w:w="20" w:type="dxa"/>
            </w:tcMar>
            <w:vAlign w:val="bottom"/>
          </w:tcPr>
          <w:p w14:paraId="5F2CD990" w14:textId="77777777" w:rsidR="00E836FB" w:rsidRDefault="00994958">
            <w:pPr>
              <w:spacing w:after="20"/>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5F2CD991" w14:textId="77777777" w:rsidR="00E836FB" w:rsidRDefault="00994958">
            <w:pPr>
              <w:jc w:val="right"/>
              <w:textAlignment w:val="bottom"/>
            </w:pPr>
            <w:r>
              <w:rPr>
                <w:rFonts w:ascii="Arial" w:eastAsia="宋体" w:hAnsi="Arial" w:cs="Arial"/>
                <w:b/>
                <w:bCs/>
                <w:color w:val="000000"/>
                <w:sz w:val="15"/>
                <w:szCs w:val="15"/>
              </w:rPr>
              <w:t>531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99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9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994" w14:textId="77777777" w:rsidR="00E836FB" w:rsidRDefault="00994958">
            <w:pPr>
              <w:jc w:val="right"/>
              <w:textAlignment w:val="bottom"/>
            </w:pPr>
            <w:r>
              <w:rPr>
                <w:rFonts w:ascii="Arial" w:eastAsia="宋体" w:hAnsi="Arial" w:cs="Arial"/>
                <w:b/>
                <w:bCs/>
                <w:color w:val="000000"/>
                <w:sz w:val="15"/>
                <w:szCs w:val="15"/>
              </w:rPr>
              <w:t>3,688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9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9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997"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998" w14:textId="77777777" w:rsidR="00E836FB" w:rsidRDefault="00E836FB">
            <w:pPr>
              <w:jc w:val="right"/>
              <w:rPr>
                <w:rFonts w:ascii="宋体"/>
              </w:rPr>
            </w:pPr>
          </w:p>
        </w:tc>
        <w:tc>
          <w:tcPr>
            <w:tcW w:w="0" w:type="auto"/>
            <w:shd w:val="clear" w:color="auto" w:fill="auto"/>
            <w:vAlign w:val="bottom"/>
          </w:tcPr>
          <w:p w14:paraId="5F2CD999" w14:textId="77777777" w:rsidR="00E836FB" w:rsidRDefault="00E836FB">
            <w:pPr>
              <w:rPr>
                <w:rFonts w:ascii="宋体"/>
                <w:vanish/>
              </w:rPr>
            </w:pPr>
          </w:p>
        </w:tc>
        <w:tc>
          <w:tcPr>
            <w:tcW w:w="0" w:type="auto"/>
            <w:shd w:val="clear" w:color="auto" w:fill="auto"/>
            <w:vAlign w:val="bottom"/>
          </w:tcPr>
          <w:p w14:paraId="5F2CD99A"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D9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99C" w14:textId="77777777" w:rsidR="00E836FB" w:rsidRDefault="00994958">
            <w:pPr>
              <w:jc w:val="right"/>
              <w:textAlignment w:val="bottom"/>
            </w:pPr>
            <w:r>
              <w:rPr>
                <w:rFonts w:ascii="Arial" w:eastAsia="宋体" w:hAnsi="Arial" w:cs="Arial"/>
                <w:color w:val="000000"/>
                <w:sz w:val="15"/>
                <w:szCs w:val="15"/>
              </w:rPr>
              <w:t>33 </w:t>
            </w:r>
          </w:p>
        </w:tc>
        <w:tc>
          <w:tcPr>
            <w:tcW w:w="0" w:type="auto"/>
            <w:shd w:val="clear" w:color="auto" w:fill="FFFFFF"/>
            <w:tcMar>
              <w:top w:w="40" w:type="dxa"/>
              <w:left w:w="0" w:type="dxa"/>
              <w:bottom w:w="40" w:type="dxa"/>
              <w:right w:w="20" w:type="dxa"/>
            </w:tcMar>
            <w:vAlign w:val="bottom"/>
          </w:tcPr>
          <w:p w14:paraId="5F2CD9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99F" w14:textId="77777777" w:rsidR="00E836FB" w:rsidRDefault="00994958">
            <w:pPr>
              <w:jc w:val="right"/>
              <w:textAlignment w:val="bottom"/>
            </w:pPr>
            <w:r>
              <w:rPr>
                <w:rFonts w:ascii="Arial" w:eastAsia="宋体" w:hAnsi="Arial" w:cs="Arial"/>
                <w:color w:val="000000"/>
                <w:sz w:val="15"/>
                <w:szCs w:val="15"/>
              </w:rPr>
              <w:t>4,257 </w:t>
            </w:r>
          </w:p>
        </w:tc>
        <w:tc>
          <w:tcPr>
            <w:tcW w:w="0" w:type="auto"/>
            <w:shd w:val="clear" w:color="auto" w:fill="FFFFFF"/>
            <w:tcMar>
              <w:top w:w="40" w:type="dxa"/>
              <w:left w:w="0" w:type="dxa"/>
              <w:bottom w:w="40" w:type="dxa"/>
              <w:right w:w="20" w:type="dxa"/>
            </w:tcMar>
            <w:vAlign w:val="bottom"/>
          </w:tcPr>
          <w:p w14:paraId="5F2CD9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9A2"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9A3" w14:textId="77777777" w:rsidR="00E836FB" w:rsidRDefault="00E836FB">
            <w:pPr>
              <w:jc w:val="right"/>
              <w:rPr>
                <w:rFonts w:ascii="宋体"/>
              </w:rPr>
            </w:pPr>
          </w:p>
        </w:tc>
        <w:tc>
          <w:tcPr>
            <w:tcW w:w="0" w:type="auto"/>
            <w:shd w:val="clear" w:color="auto" w:fill="auto"/>
            <w:vAlign w:val="bottom"/>
          </w:tcPr>
          <w:p w14:paraId="5F2CD9A4" w14:textId="77777777" w:rsidR="00E836FB" w:rsidRDefault="00E836FB">
            <w:pPr>
              <w:rPr>
                <w:rFonts w:ascii="宋体"/>
                <w:vanish/>
              </w:rPr>
            </w:pPr>
          </w:p>
        </w:tc>
        <w:tc>
          <w:tcPr>
            <w:tcW w:w="0" w:type="auto"/>
            <w:shd w:val="clear" w:color="auto" w:fill="auto"/>
            <w:vAlign w:val="bottom"/>
          </w:tcPr>
          <w:p w14:paraId="5F2CD9A5" w14:textId="77777777" w:rsidR="00E836FB" w:rsidRDefault="00E836FB">
            <w:pPr>
              <w:rPr>
                <w:rFonts w:ascii="宋体"/>
                <w:vanish/>
              </w:rPr>
            </w:pPr>
          </w:p>
        </w:tc>
        <w:tc>
          <w:tcPr>
            <w:tcW w:w="0" w:type="auto"/>
            <w:shd w:val="clear" w:color="auto" w:fill="auto"/>
            <w:vAlign w:val="bottom"/>
          </w:tcPr>
          <w:p w14:paraId="5F2CD9A6" w14:textId="77777777" w:rsidR="00E836FB" w:rsidRDefault="00E836FB">
            <w:pPr>
              <w:rPr>
                <w:rFonts w:ascii="宋体"/>
                <w:vanish/>
              </w:rPr>
            </w:pPr>
          </w:p>
        </w:tc>
        <w:tc>
          <w:tcPr>
            <w:tcW w:w="0" w:type="auto"/>
            <w:shd w:val="clear" w:color="auto" w:fill="auto"/>
            <w:vAlign w:val="bottom"/>
          </w:tcPr>
          <w:p w14:paraId="5F2CD9A7" w14:textId="77777777" w:rsidR="00E836FB" w:rsidRDefault="00E836FB">
            <w:pPr>
              <w:rPr>
                <w:rFonts w:ascii="宋体"/>
                <w:vanish/>
              </w:rPr>
            </w:pPr>
          </w:p>
        </w:tc>
        <w:tc>
          <w:tcPr>
            <w:tcW w:w="0" w:type="auto"/>
            <w:gridSpan w:val="3"/>
            <w:shd w:val="clear" w:color="auto" w:fill="auto"/>
            <w:vAlign w:val="bottom"/>
          </w:tcPr>
          <w:p w14:paraId="5F2CD9A8" w14:textId="77777777" w:rsidR="00E836FB" w:rsidRDefault="00E836FB">
            <w:pPr>
              <w:rPr>
                <w:rFonts w:ascii="宋体"/>
                <w:vanish/>
              </w:rPr>
            </w:pPr>
          </w:p>
        </w:tc>
        <w:tc>
          <w:tcPr>
            <w:tcW w:w="0" w:type="auto"/>
            <w:gridSpan w:val="3"/>
            <w:shd w:val="clear" w:color="auto" w:fill="auto"/>
            <w:vAlign w:val="bottom"/>
          </w:tcPr>
          <w:p w14:paraId="5F2CD9A9" w14:textId="77777777" w:rsidR="00E836FB" w:rsidRDefault="00E836FB">
            <w:pPr>
              <w:rPr>
                <w:rFonts w:ascii="宋体"/>
                <w:vanish/>
              </w:rPr>
            </w:pPr>
          </w:p>
        </w:tc>
        <w:tc>
          <w:tcPr>
            <w:tcW w:w="0" w:type="auto"/>
            <w:gridSpan w:val="2"/>
            <w:shd w:val="clear" w:color="auto" w:fill="auto"/>
            <w:vAlign w:val="bottom"/>
          </w:tcPr>
          <w:p w14:paraId="5F2CD9AA" w14:textId="77777777" w:rsidR="00E836FB" w:rsidRDefault="00E836FB">
            <w:pPr>
              <w:rPr>
                <w:rFonts w:ascii="宋体"/>
                <w:vanish/>
              </w:rPr>
            </w:pPr>
          </w:p>
        </w:tc>
        <w:tc>
          <w:tcPr>
            <w:tcW w:w="0" w:type="auto"/>
            <w:shd w:val="clear" w:color="auto" w:fill="auto"/>
            <w:vAlign w:val="bottom"/>
          </w:tcPr>
          <w:p w14:paraId="5F2CD9AB" w14:textId="77777777" w:rsidR="00E836FB" w:rsidRDefault="00E836FB">
            <w:pPr>
              <w:rPr>
                <w:rFonts w:ascii="宋体"/>
                <w:vanish/>
              </w:rPr>
            </w:pPr>
          </w:p>
        </w:tc>
      </w:tr>
      <w:tr w:rsidR="00E836FB" w14:paraId="5F2CD9C9" w14:textId="77777777">
        <w:tc>
          <w:tcPr>
            <w:tcW w:w="0" w:type="auto"/>
            <w:gridSpan w:val="3"/>
            <w:shd w:val="clear" w:color="auto" w:fill="CCEEFF"/>
            <w:tcMar>
              <w:top w:w="40" w:type="dxa"/>
              <w:left w:w="20" w:type="dxa"/>
              <w:bottom w:w="40" w:type="dxa"/>
              <w:right w:w="20" w:type="dxa"/>
            </w:tcMar>
            <w:vAlign w:val="bottom"/>
          </w:tcPr>
          <w:p w14:paraId="5F2CD9AD" w14:textId="77777777" w:rsidR="00E836FB" w:rsidRDefault="00994958">
            <w:pPr>
              <w:spacing w:after="20"/>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5F2CD9AE" w14:textId="77777777" w:rsidR="00E836FB" w:rsidRDefault="00994958">
            <w:pPr>
              <w:jc w:val="right"/>
              <w:textAlignment w:val="bottom"/>
            </w:pPr>
            <w:r>
              <w:rPr>
                <w:rFonts w:ascii="Arial" w:eastAsia="宋体" w:hAnsi="Arial" w:cs="Arial"/>
                <w:b/>
                <w:bCs/>
                <w:color w:val="000000"/>
                <w:sz w:val="15"/>
                <w:szCs w:val="15"/>
              </w:rPr>
              <w:t>(877)</w:t>
            </w:r>
          </w:p>
        </w:tc>
        <w:tc>
          <w:tcPr>
            <w:tcW w:w="0" w:type="auto"/>
            <w:shd w:val="clear" w:color="auto" w:fill="CCEEFF"/>
            <w:tcMar>
              <w:top w:w="40" w:type="dxa"/>
              <w:left w:w="0" w:type="dxa"/>
              <w:bottom w:w="40" w:type="dxa"/>
              <w:right w:w="20" w:type="dxa"/>
            </w:tcMar>
            <w:vAlign w:val="bottom"/>
          </w:tcPr>
          <w:p w14:paraId="5F2CD9A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B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9B1" w14:textId="77777777" w:rsidR="00E836FB" w:rsidRDefault="00994958">
            <w:pPr>
              <w:jc w:val="right"/>
              <w:textAlignment w:val="bottom"/>
            </w:pPr>
            <w:r>
              <w:rPr>
                <w:rFonts w:ascii="Arial" w:eastAsia="宋体" w:hAnsi="Arial" w:cs="Arial"/>
                <w:b/>
                <w:bCs/>
                <w:color w:val="000000"/>
                <w:sz w:val="15"/>
                <w:szCs w:val="15"/>
              </w:rPr>
              <w:t>(3,682)</w:t>
            </w:r>
          </w:p>
        </w:tc>
        <w:tc>
          <w:tcPr>
            <w:tcW w:w="0" w:type="auto"/>
            <w:shd w:val="clear" w:color="auto" w:fill="CCEEFF"/>
            <w:tcMar>
              <w:top w:w="40" w:type="dxa"/>
              <w:left w:w="0" w:type="dxa"/>
              <w:bottom w:w="40" w:type="dxa"/>
              <w:right w:w="20" w:type="dxa"/>
            </w:tcMar>
            <w:vAlign w:val="bottom"/>
          </w:tcPr>
          <w:p w14:paraId="5F2CD9B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B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9B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9B5" w14:textId="77777777" w:rsidR="00E836FB" w:rsidRDefault="00E836FB">
            <w:pPr>
              <w:jc w:val="right"/>
              <w:rPr>
                <w:rFonts w:ascii="宋体"/>
              </w:rPr>
            </w:pPr>
          </w:p>
        </w:tc>
        <w:tc>
          <w:tcPr>
            <w:tcW w:w="0" w:type="auto"/>
            <w:shd w:val="clear" w:color="auto" w:fill="auto"/>
            <w:vAlign w:val="bottom"/>
          </w:tcPr>
          <w:p w14:paraId="5F2CD9B6" w14:textId="77777777" w:rsidR="00E836FB" w:rsidRDefault="00E836FB">
            <w:pPr>
              <w:rPr>
                <w:rFonts w:ascii="宋体"/>
                <w:vanish/>
              </w:rPr>
            </w:pPr>
          </w:p>
        </w:tc>
        <w:tc>
          <w:tcPr>
            <w:tcW w:w="0" w:type="auto"/>
            <w:shd w:val="clear" w:color="auto" w:fill="auto"/>
            <w:vAlign w:val="bottom"/>
          </w:tcPr>
          <w:p w14:paraId="5F2CD9B7"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D9B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9B9" w14:textId="77777777" w:rsidR="00E836FB" w:rsidRDefault="00994958">
            <w:pPr>
              <w:jc w:val="right"/>
              <w:textAlignment w:val="bottom"/>
            </w:pPr>
            <w:r>
              <w:rPr>
                <w:rFonts w:ascii="Arial" w:eastAsia="宋体" w:hAnsi="Arial" w:cs="Arial"/>
                <w:color w:val="000000"/>
                <w:sz w:val="15"/>
                <w:szCs w:val="15"/>
              </w:rPr>
              <w:t>(42)</w:t>
            </w:r>
          </w:p>
        </w:tc>
        <w:tc>
          <w:tcPr>
            <w:tcW w:w="0" w:type="auto"/>
            <w:shd w:val="clear" w:color="auto" w:fill="CCEEFF"/>
            <w:tcMar>
              <w:top w:w="40" w:type="dxa"/>
              <w:left w:w="0" w:type="dxa"/>
              <w:bottom w:w="40" w:type="dxa"/>
              <w:right w:w="20" w:type="dxa"/>
            </w:tcMar>
            <w:vAlign w:val="bottom"/>
          </w:tcPr>
          <w:p w14:paraId="5F2CD9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B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9BC" w14:textId="77777777" w:rsidR="00E836FB" w:rsidRDefault="00994958">
            <w:pPr>
              <w:jc w:val="right"/>
              <w:textAlignment w:val="bottom"/>
            </w:pPr>
            <w:r>
              <w:rPr>
                <w:rFonts w:ascii="Arial" w:eastAsia="宋体" w:hAnsi="Arial" w:cs="Arial"/>
                <w:color w:val="000000"/>
                <w:sz w:val="15"/>
                <w:szCs w:val="15"/>
              </w:rPr>
              <w:t>(2,246)</w:t>
            </w:r>
          </w:p>
        </w:tc>
        <w:tc>
          <w:tcPr>
            <w:tcW w:w="0" w:type="auto"/>
            <w:shd w:val="clear" w:color="auto" w:fill="CCEEFF"/>
            <w:tcMar>
              <w:top w:w="40" w:type="dxa"/>
              <w:left w:w="0" w:type="dxa"/>
              <w:bottom w:w="40" w:type="dxa"/>
              <w:right w:w="20" w:type="dxa"/>
            </w:tcMar>
            <w:vAlign w:val="bottom"/>
          </w:tcPr>
          <w:p w14:paraId="5F2CD9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9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9B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9C0" w14:textId="77777777" w:rsidR="00E836FB" w:rsidRDefault="00E836FB">
            <w:pPr>
              <w:jc w:val="right"/>
              <w:rPr>
                <w:rFonts w:ascii="宋体"/>
              </w:rPr>
            </w:pPr>
          </w:p>
        </w:tc>
        <w:tc>
          <w:tcPr>
            <w:tcW w:w="0" w:type="auto"/>
            <w:shd w:val="clear" w:color="auto" w:fill="auto"/>
            <w:vAlign w:val="bottom"/>
          </w:tcPr>
          <w:p w14:paraId="5F2CD9C1" w14:textId="77777777" w:rsidR="00E836FB" w:rsidRDefault="00E836FB">
            <w:pPr>
              <w:rPr>
                <w:rFonts w:ascii="宋体"/>
                <w:vanish/>
              </w:rPr>
            </w:pPr>
          </w:p>
        </w:tc>
        <w:tc>
          <w:tcPr>
            <w:tcW w:w="0" w:type="auto"/>
            <w:shd w:val="clear" w:color="auto" w:fill="auto"/>
            <w:vAlign w:val="bottom"/>
          </w:tcPr>
          <w:p w14:paraId="5F2CD9C2" w14:textId="77777777" w:rsidR="00E836FB" w:rsidRDefault="00E836FB">
            <w:pPr>
              <w:rPr>
                <w:rFonts w:ascii="宋体"/>
                <w:vanish/>
              </w:rPr>
            </w:pPr>
          </w:p>
        </w:tc>
        <w:tc>
          <w:tcPr>
            <w:tcW w:w="0" w:type="auto"/>
            <w:shd w:val="clear" w:color="auto" w:fill="auto"/>
            <w:vAlign w:val="bottom"/>
          </w:tcPr>
          <w:p w14:paraId="5F2CD9C3" w14:textId="77777777" w:rsidR="00E836FB" w:rsidRDefault="00E836FB">
            <w:pPr>
              <w:rPr>
                <w:rFonts w:ascii="宋体"/>
                <w:vanish/>
              </w:rPr>
            </w:pPr>
          </w:p>
        </w:tc>
        <w:tc>
          <w:tcPr>
            <w:tcW w:w="0" w:type="auto"/>
            <w:shd w:val="clear" w:color="auto" w:fill="auto"/>
            <w:vAlign w:val="bottom"/>
          </w:tcPr>
          <w:p w14:paraId="5F2CD9C4" w14:textId="77777777" w:rsidR="00E836FB" w:rsidRDefault="00E836FB">
            <w:pPr>
              <w:rPr>
                <w:rFonts w:ascii="宋体"/>
                <w:vanish/>
              </w:rPr>
            </w:pPr>
          </w:p>
        </w:tc>
        <w:tc>
          <w:tcPr>
            <w:tcW w:w="0" w:type="auto"/>
            <w:gridSpan w:val="3"/>
            <w:shd w:val="clear" w:color="auto" w:fill="auto"/>
            <w:vAlign w:val="bottom"/>
          </w:tcPr>
          <w:p w14:paraId="5F2CD9C5" w14:textId="77777777" w:rsidR="00E836FB" w:rsidRDefault="00E836FB">
            <w:pPr>
              <w:rPr>
                <w:rFonts w:ascii="宋体"/>
                <w:vanish/>
              </w:rPr>
            </w:pPr>
          </w:p>
        </w:tc>
        <w:tc>
          <w:tcPr>
            <w:tcW w:w="0" w:type="auto"/>
            <w:gridSpan w:val="3"/>
            <w:shd w:val="clear" w:color="auto" w:fill="auto"/>
            <w:vAlign w:val="bottom"/>
          </w:tcPr>
          <w:p w14:paraId="5F2CD9C6" w14:textId="77777777" w:rsidR="00E836FB" w:rsidRDefault="00E836FB">
            <w:pPr>
              <w:rPr>
                <w:rFonts w:ascii="宋体"/>
                <w:vanish/>
              </w:rPr>
            </w:pPr>
          </w:p>
        </w:tc>
        <w:tc>
          <w:tcPr>
            <w:tcW w:w="0" w:type="auto"/>
            <w:gridSpan w:val="2"/>
            <w:shd w:val="clear" w:color="auto" w:fill="auto"/>
            <w:vAlign w:val="bottom"/>
          </w:tcPr>
          <w:p w14:paraId="5F2CD9C7" w14:textId="77777777" w:rsidR="00E836FB" w:rsidRDefault="00E836FB">
            <w:pPr>
              <w:rPr>
                <w:rFonts w:ascii="宋体"/>
                <w:vanish/>
              </w:rPr>
            </w:pPr>
          </w:p>
        </w:tc>
        <w:tc>
          <w:tcPr>
            <w:tcW w:w="0" w:type="auto"/>
            <w:shd w:val="clear" w:color="auto" w:fill="auto"/>
            <w:vAlign w:val="bottom"/>
          </w:tcPr>
          <w:p w14:paraId="5F2CD9C8" w14:textId="77777777" w:rsidR="00E836FB" w:rsidRDefault="00E836FB">
            <w:pPr>
              <w:rPr>
                <w:rFonts w:ascii="宋体"/>
                <w:vanish/>
              </w:rPr>
            </w:pPr>
          </w:p>
        </w:tc>
      </w:tr>
      <w:tr w:rsidR="00E836FB" w14:paraId="5F2CD9EC" w14:textId="77777777">
        <w:tc>
          <w:tcPr>
            <w:tcW w:w="0" w:type="auto"/>
            <w:gridSpan w:val="3"/>
            <w:shd w:val="clear" w:color="auto" w:fill="FFFFFF"/>
            <w:tcMar>
              <w:top w:w="40" w:type="dxa"/>
              <w:left w:w="20" w:type="dxa"/>
              <w:bottom w:w="40" w:type="dxa"/>
              <w:right w:w="20" w:type="dxa"/>
            </w:tcMar>
            <w:vAlign w:val="bottom"/>
          </w:tcPr>
          <w:p w14:paraId="5F2CD9CA" w14:textId="77777777" w:rsidR="00E836FB" w:rsidRDefault="00994958">
            <w:pPr>
              <w:spacing w:after="20"/>
              <w:textAlignment w:val="bottom"/>
            </w:pPr>
            <w:r>
              <w:rPr>
                <w:rFonts w:ascii="Arial" w:eastAsia="宋体" w:hAnsi="Arial" w:cs="Arial"/>
                <w:color w:val="000000"/>
                <w:sz w:val="15"/>
                <w:szCs w:val="15"/>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9C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9CC" w14:textId="77777777" w:rsidR="00E836FB" w:rsidRDefault="00994958">
            <w:pPr>
              <w:jc w:val="right"/>
              <w:textAlignment w:val="bottom"/>
            </w:pPr>
            <w:r>
              <w:rPr>
                <w:rFonts w:ascii="Arial" w:eastAsia="宋体" w:hAnsi="Arial" w:cs="Arial"/>
                <w:b/>
                <w:bCs/>
                <w:color w:val="000000"/>
                <w:sz w:val="15"/>
                <w:szCs w:val="15"/>
              </w:rPr>
              <w:t>6,599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9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CE"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9C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9D0" w14:textId="77777777" w:rsidR="00E836FB" w:rsidRDefault="00994958">
            <w:pPr>
              <w:jc w:val="right"/>
              <w:textAlignment w:val="bottom"/>
            </w:pPr>
            <w:r>
              <w:rPr>
                <w:rFonts w:ascii="Arial" w:eastAsia="宋体" w:hAnsi="Arial" w:cs="Arial"/>
                <w:b/>
                <w:bCs/>
                <w:color w:val="000000"/>
                <w:sz w:val="15"/>
                <w:szCs w:val="15"/>
              </w:rPr>
              <w:t>16,430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9D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D2"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9D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9D4" w14:textId="77777777" w:rsidR="00E836FB" w:rsidRDefault="00994958">
            <w:pPr>
              <w:jc w:val="right"/>
              <w:textAlignment w:val="bottom"/>
            </w:pPr>
            <w:r>
              <w:rPr>
                <w:rFonts w:ascii="Arial" w:eastAsia="宋体" w:hAnsi="Arial" w:cs="Arial"/>
                <w:b/>
                <w:bCs/>
                <w:color w:val="000000"/>
                <w:sz w:val="15"/>
                <w:szCs w:val="15"/>
              </w:rPr>
              <w:t>108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9D5" w14:textId="77777777" w:rsidR="00E836FB" w:rsidRDefault="00E836FB">
            <w:pPr>
              <w:jc w:val="right"/>
              <w:rPr>
                <w:rFonts w:ascii="宋体"/>
              </w:rPr>
            </w:pPr>
          </w:p>
        </w:tc>
        <w:tc>
          <w:tcPr>
            <w:tcW w:w="0" w:type="auto"/>
            <w:shd w:val="clear" w:color="auto" w:fill="auto"/>
            <w:vAlign w:val="bottom"/>
          </w:tcPr>
          <w:p w14:paraId="5F2CD9D6" w14:textId="77777777" w:rsidR="00E836FB" w:rsidRDefault="00E836FB">
            <w:pPr>
              <w:rPr>
                <w:rFonts w:ascii="宋体"/>
                <w:vanish/>
              </w:rPr>
            </w:pPr>
          </w:p>
        </w:tc>
        <w:tc>
          <w:tcPr>
            <w:tcW w:w="0" w:type="auto"/>
            <w:shd w:val="clear" w:color="auto" w:fill="auto"/>
            <w:vAlign w:val="bottom"/>
          </w:tcPr>
          <w:p w14:paraId="5F2CD9D7"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D9D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9D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9DA" w14:textId="77777777" w:rsidR="00E836FB" w:rsidRDefault="00994958">
            <w:pPr>
              <w:jc w:val="right"/>
              <w:textAlignment w:val="bottom"/>
            </w:pPr>
            <w:r>
              <w:rPr>
                <w:rFonts w:ascii="Arial" w:eastAsia="宋体" w:hAnsi="Arial" w:cs="Arial"/>
                <w:color w:val="000000"/>
                <w:sz w:val="15"/>
                <w:szCs w:val="15"/>
              </w:rPr>
              <w:t>2,968 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9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DC"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9D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9DE" w14:textId="77777777" w:rsidR="00E836FB" w:rsidRDefault="00994958">
            <w:pPr>
              <w:jc w:val="right"/>
              <w:textAlignment w:val="bottom"/>
            </w:pPr>
            <w:r>
              <w:rPr>
                <w:rFonts w:ascii="Arial" w:eastAsia="宋体" w:hAnsi="Arial" w:cs="Arial"/>
                <w:color w:val="000000"/>
                <w:sz w:val="15"/>
                <w:szCs w:val="15"/>
              </w:rPr>
              <w:t>10,891 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9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9E0"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9E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9E2" w14:textId="77777777" w:rsidR="00E836FB" w:rsidRDefault="00994958">
            <w:pPr>
              <w:jc w:val="right"/>
              <w:textAlignment w:val="bottom"/>
            </w:pPr>
            <w:r>
              <w:rPr>
                <w:rFonts w:ascii="Arial" w:eastAsia="宋体" w:hAnsi="Arial" w:cs="Arial"/>
                <w:color w:val="000000"/>
                <w:sz w:val="15"/>
                <w:szCs w:val="15"/>
              </w:rPr>
              <w:t>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9E3" w14:textId="77777777" w:rsidR="00E836FB" w:rsidRDefault="00E836FB">
            <w:pPr>
              <w:jc w:val="right"/>
              <w:rPr>
                <w:rFonts w:ascii="宋体"/>
              </w:rPr>
            </w:pPr>
          </w:p>
        </w:tc>
        <w:tc>
          <w:tcPr>
            <w:tcW w:w="0" w:type="auto"/>
            <w:shd w:val="clear" w:color="auto" w:fill="auto"/>
            <w:vAlign w:val="bottom"/>
          </w:tcPr>
          <w:p w14:paraId="5F2CD9E4" w14:textId="77777777" w:rsidR="00E836FB" w:rsidRDefault="00E836FB">
            <w:pPr>
              <w:rPr>
                <w:rFonts w:ascii="宋体"/>
                <w:vanish/>
              </w:rPr>
            </w:pPr>
          </w:p>
        </w:tc>
        <w:tc>
          <w:tcPr>
            <w:tcW w:w="0" w:type="auto"/>
            <w:shd w:val="clear" w:color="auto" w:fill="auto"/>
            <w:vAlign w:val="bottom"/>
          </w:tcPr>
          <w:p w14:paraId="5F2CD9E5" w14:textId="77777777" w:rsidR="00E836FB" w:rsidRDefault="00E836FB">
            <w:pPr>
              <w:rPr>
                <w:rFonts w:ascii="宋体"/>
                <w:vanish/>
              </w:rPr>
            </w:pPr>
          </w:p>
        </w:tc>
        <w:tc>
          <w:tcPr>
            <w:tcW w:w="0" w:type="auto"/>
            <w:shd w:val="clear" w:color="auto" w:fill="auto"/>
            <w:vAlign w:val="bottom"/>
          </w:tcPr>
          <w:p w14:paraId="5F2CD9E6" w14:textId="77777777" w:rsidR="00E836FB" w:rsidRDefault="00E836FB">
            <w:pPr>
              <w:rPr>
                <w:rFonts w:ascii="宋体"/>
                <w:vanish/>
              </w:rPr>
            </w:pPr>
          </w:p>
        </w:tc>
        <w:tc>
          <w:tcPr>
            <w:tcW w:w="0" w:type="auto"/>
            <w:shd w:val="clear" w:color="auto" w:fill="auto"/>
            <w:vAlign w:val="bottom"/>
          </w:tcPr>
          <w:p w14:paraId="5F2CD9E7" w14:textId="77777777" w:rsidR="00E836FB" w:rsidRDefault="00E836FB">
            <w:pPr>
              <w:rPr>
                <w:rFonts w:ascii="宋体"/>
                <w:vanish/>
              </w:rPr>
            </w:pPr>
          </w:p>
        </w:tc>
        <w:tc>
          <w:tcPr>
            <w:tcW w:w="0" w:type="auto"/>
            <w:gridSpan w:val="3"/>
            <w:shd w:val="clear" w:color="auto" w:fill="auto"/>
            <w:vAlign w:val="bottom"/>
          </w:tcPr>
          <w:p w14:paraId="5F2CD9E8" w14:textId="77777777" w:rsidR="00E836FB" w:rsidRDefault="00E836FB">
            <w:pPr>
              <w:rPr>
                <w:rFonts w:ascii="宋体"/>
                <w:vanish/>
              </w:rPr>
            </w:pPr>
          </w:p>
        </w:tc>
        <w:tc>
          <w:tcPr>
            <w:tcW w:w="0" w:type="auto"/>
            <w:gridSpan w:val="3"/>
            <w:shd w:val="clear" w:color="auto" w:fill="auto"/>
            <w:vAlign w:val="bottom"/>
          </w:tcPr>
          <w:p w14:paraId="5F2CD9E9" w14:textId="77777777" w:rsidR="00E836FB" w:rsidRDefault="00E836FB">
            <w:pPr>
              <w:rPr>
                <w:rFonts w:ascii="宋体"/>
                <w:vanish/>
              </w:rPr>
            </w:pPr>
          </w:p>
        </w:tc>
        <w:tc>
          <w:tcPr>
            <w:tcW w:w="0" w:type="auto"/>
            <w:gridSpan w:val="2"/>
            <w:shd w:val="clear" w:color="auto" w:fill="auto"/>
            <w:vAlign w:val="bottom"/>
          </w:tcPr>
          <w:p w14:paraId="5F2CD9EA" w14:textId="77777777" w:rsidR="00E836FB" w:rsidRDefault="00E836FB">
            <w:pPr>
              <w:rPr>
                <w:rFonts w:ascii="宋体"/>
                <w:vanish/>
              </w:rPr>
            </w:pPr>
          </w:p>
        </w:tc>
        <w:tc>
          <w:tcPr>
            <w:tcW w:w="0" w:type="auto"/>
            <w:shd w:val="clear" w:color="auto" w:fill="auto"/>
            <w:vAlign w:val="bottom"/>
          </w:tcPr>
          <w:p w14:paraId="5F2CD9EB" w14:textId="77777777" w:rsidR="00E836FB" w:rsidRDefault="00E836FB">
            <w:pPr>
              <w:rPr>
                <w:rFonts w:ascii="宋体"/>
                <w:vanish/>
              </w:rPr>
            </w:pPr>
          </w:p>
        </w:tc>
      </w:tr>
    </w:tbl>
    <w:p w14:paraId="5F2CD9ED" w14:textId="77777777" w:rsidR="00E836FB" w:rsidRDefault="00994958">
      <w:pPr>
        <w:ind w:firstLine="450"/>
        <w:jc w:val="right"/>
      </w:pPr>
      <w:r>
        <w:rPr>
          <w:rFonts w:ascii="Arial" w:eastAsia="宋体" w:hAnsi="Arial" w:cs="Arial"/>
          <w:color w:val="000000"/>
          <w:sz w:val="18"/>
          <w:szCs w:val="18"/>
        </w:rPr>
        <w:t>State Street Corporation | 108</w:t>
      </w:r>
    </w:p>
    <w:p w14:paraId="5F2CD9EE" w14:textId="77777777" w:rsidR="00E836FB" w:rsidRDefault="00E836FB">
      <w:pPr>
        <w:ind w:firstLine="450"/>
        <w:jc w:val="center"/>
      </w:pPr>
    </w:p>
    <w:p w14:paraId="5F2CD9EF" w14:textId="77777777" w:rsidR="00E836FB" w:rsidRDefault="00994958">
      <w:r>
        <w:pict w14:anchorId="5F2D6DF1">
          <v:rect id="_x0000_i1132" style="width:415.3pt;height:1.5pt" o:hralign="center" o:hrstd="t" o:hr="t" fillcolor="#a0a0a0" stroked="f"/>
        </w:pict>
      </w:r>
    </w:p>
    <w:p w14:paraId="5F2CD9F0"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9F1" w14:textId="77777777" w:rsidR="00E836FB" w:rsidRDefault="00994958">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1849"/>
        <w:gridCol w:w="37"/>
        <w:gridCol w:w="105"/>
        <w:gridCol w:w="891"/>
        <w:gridCol w:w="37"/>
        <w:gridCol w:w="36"/>
        <w:gridCol w:w="36"/>
        <w:gridCol w:w="36"/>
        <w:gridCol w:w="104"/>
        <w:gridCol w:w="699"/>
        <w:gridCol w:w="36"/>
        <w:gridCol w:w="36"/>
        <w:gridCol w:w="36"/>
        <w:gridCol w:w="36"/>
        <w:gridCol w:w="105"/>
        <w:gridCol w:w="611"/>
        <w:gridCol w:w="37"/>
        <w:gridCol w:w="46"/>
        <w:gridCol w:w="36"/>
        <w:gridCol w:w="36"/>
        <w:gridCol w:w="36"/>
        <w:gridCol w:w="36"/>
        <w:gridCol w:w="105"/>
        <w:gridCol w:w="819"/>
        <w:gridCol w:w="37"/>
        <w:gridCol w:w="36"/>
        <w:gridCol w:w="36"/>
        <w:gridCol w:w="36"/>
        <w:gridCol w:w="104"/>
        <w:gridCol w:w="699"/>
        <w:gridCol w:w="36"/>
        <w:gridCol w:w="36"/>
        <w:gridCol w:w="36"/>
        <w:gridCol w:w="36"/>
        <w:gridCol w:w="105"/>
        <w:gridCol w:w="612"/>
        <w:gridCol w:w="36"/>
        <w:gridCol w:w="36"/>
        <w:gridCol w:w="36"/>
        <w:gridCol w:w="36"/>
        <w:gridCol w:w="36"/>
        <w:gridCol w:w="36"/>
        <w:gridCol w:w="36"/>
        <w:gridCol w:w="36"/>
        <w:gridCol w:w="36"/>
        <w:gridCol w:w="36"/>
        <w:gridCol w:w="36"/>
        <w:gridCol w:w="36"/>
        <w:gridCol w:w="36"/>
        <w:gridCol w:w="36"/>
        <w:gridCol w:w="36"/>
        <w:gridCol w:w="36"/>
        <w:gridCol w:w="36"/>
        <w:gridCol w:w="36"/>
      </w:tblGrid>
      <w:tr w:rsidR="00E836FB" w14:paraId="5F2CDA20" w14:textId="77777777">
        <w:tc>
          <w:tcPr>
            <w:tcW w:w="50" w:type="pct"/>
            <w:shd w:val="clear" w:color="auto" w:fill="auto"/>
            <w:vAlign w:val="bottom"/>
          </w:tcPr>
          <w:p w14:paraId="5F2CD9F2" w14:textId="77777777" w:rsidR="00E836FB" w:rsidRDefault="00E836FB">
            <w:pPr>
              <w:rPr>
                <w:rFonts w:ascii="宋体"/>
              </w:rPr>
            </w:pPr>
          </w:p>
        </w:tc>
        <w:tc>
          <w:tcPr>
            <w:tcW w:w="1282" w:type="pct"/>
            <w:shd w:val="clear" w:color="auto" w:fill="auto"/>
            <w:vAlign w:val="bottom"/>
          </w:tcPr>
          <w:p w14:paraId="5F2CD9F3" w14:textId="77777777" w:rsidR="00E836FB" w:rsidRDefault="00E836FB">
            <w:pPr>
              <w:rPr>
                <w:rFonts w:ascii="宋体"/>
              </w:rPr>
            </w:pPr>
          </w:p>
        </w:tc>
        <w:tc>
          <w:tcPr>
            <w:tcW w:w="5" w:type="pct"/>
            <w:shd w:val="clear" w:color="auto" w:fill="auto"/>
            <w:vAlign w:val="bottom"/>
          </w:tcPr>
          <w:p w14:paraId="5F2CD9F4" w14:textId="77777777" w:rsidR="00E836FB" w:rsidRDefault="00E836FB">
            <w:pPr>
              <w:rPr>
                <w:rFonts w:ascii="宋体"/>
              </w:rPr>
            </w:pPr>
          </w:p>
        </w:tc>
        <w:tc>
          <w:tcPr>
            <w:tcW w:w="50" w:type="pct"/>
            <w:shd w:val="clear" w:color="auto" w:fill="auto"/>
            <w:vAlign w:val="bottom"/>
          </w:tcPr>
          <w:p w14:paraId="5F2CD9F5" w14:textId="77777777" w:rsidR="00E836FB" w:rsidRDefault="00E836FB">
            <w:pPr>
              <w:rPr>
                <w:rFonts w:ascii="宋体"/>
              </w:rPr>
            </w:pPr>
          </w:p>
        </w:tc>
        <w:tc>
          <w:tcPr>
            <w:tcW w:w="632" w:type="pct"/>
            <w:shd w:val="clear" w:color="auto" w:fill="auto"/>
            <w:vAlign w:val="bottom"/>
          </w:tcPr>
          <w:p w14:paraId="5F2CD9F6" w14:textId="77777777" w:rsidR="00E836FB" w:rsidRDefault="00E836FB">
            <w:pPr>
              <w:rPr>
                <w:rFonts w:ascii="宋体"/>
              </w:rPr>
            </w:pPr>
          </w:p>
        </w:tc>
        <w:tc>
          <w:tcPr>
            <w:tcW w:w="5" w:type="pct"/>
            <w:shd w:val="clear" w:color="auto" w:fill="auto"/>
            <w:vAlign w:val="bottom"/>
          </w:tcPr>
          <w:p w14:paraId="5F2CD9F7" w14:textId="77777777" w:rsidR="00E836FB" w:rsidRDefault="00E836FB">
            <w:pPr>
              <w:rPr>
                <w:rFonts w:ascii="宋体"/>
              </w:rPr>
            </w:pPr>
          </w:p>
        </w:tc>
        <w:tc>
          <w:tcPr>
            <w:tcW w:w="5" w:type="pct"/>
            <w:shd w:val="clear" w:color="auto" w:fill="auto"/>
            <w:vAlign w:val="bottom"/>
          </w:tcPr>
          <w:p w14:paraId="5F2CD9F8" w14:textId="77777777" w:rsidR="00E836FB" w:rsidRDefault="00E836FB">
            <w:pPr>
              <w:rPr>
                <w:rFonts w:ascii="宋体"/>
              </w:rPr>
            </w:pPr>
          </w:p>
        </w:tc>
        <w:tc>
          <w:tcPr>
            <w:tcW w:w="19" w:type="pct"/>
            <w:shd w:val="clear" w:color="auto" w:fill="auto"/>
            <w:vAlign w:val="bottom"/>
          </w:tcPr>
          <w:p w14:paraId="5F2CD9F9" w14:textId="77777777" w:rsidR="00E836FB" w:rsidRDefault="00E836FB">
            <w:pPr>
              <w:rPr>
                <w:rFonts w:ascii="宋体"/>
              </w:rPr>
            </w:pPr>
          </w:p>
        </w:tc>
        <w:tc>
          <w:tcPr>
            <w:tcW w:w="5" w:type="pct"/>
            <w:shd w:val="clear" w:color="auto" w:fill="auto"/>
            <w:vAlign w:val="bottom"/>
          </w:tcPr>
          <w:p w14:paraId="5F2CD9FA" w14:textId="77777777" w:rsidR="00E836FB" w:rsidRDefault="00E836FB">
            <w:pPr>
              <w:rPr>
                <w:rFonts w:ascii="宋体"/>
              </w:rPr>
            </w:pPr>
          </w:p>
        </w:tc>
        <w:tc>
          <w:tcPr>
            <w:tcW w:w="50" w:type="pct"/>
            <w:shd w:val="clear" w:color="auto" w:fill="auto"/>
            <w:vAlign w:val="bottom"/>
          </w:tcPr>
          <w:p w14:paraId="5F2CD9FB" w14:textId="77777777" w:rsidR="00E836FB" w:rsidRDefault="00E836FB">
            <w:pPr>
              <w:rPr>
                <w:rFonts w:ascii="宋体"/>
              </w:rPr>
            </w:pPr>
          </w:p>
        </w:tc>
        <w:tc>
          <w:tcPr>
            <w:tcW w:w="507" w:type="pct"/>
            <w:shd w:val="clear" w:color="auto" w:fill="auto"/>
            <w:vAlign w:val="bottom"/>
          </w:tcPr>
          <w:p w14:paraId="5F2CD9FC" w14:textId="77777777" w:rsidR="00E836FB" w:rsidRDefault="00E836FB">
            <w:pPr>
              <w:rPr>
                <w:rFonts w:ascii="宋体"/>
              </w:rPr>
            </w:pPr>
          </w:p>
        </w:tc>
        <w:tc>
          <w:tcPr>
            <w:tcW w:w="5" w:type="pct"/>
            <w:shd w:val="clear" w:color="auto" w:fill="auto"/>
            <w:vAlign w:val="bottom"/>
          </w:tcPr>
          <w:p w14:paraId="5F2CD9FD" w14:textId="77777777" w:rsidR="00E836FB" w:rsidRDefault="00E836FB">
            <w:pPr>
              <w:rPr>
                <w:rFonts w:ascii="宋体"/>
              </w:rPr>
            </w:pPr>
          </w:p>
        </w:tc>
        <w:tc>
          <w:tcPr>
            <w:tcW w:w="5" w:type="pct"/>
            <w:shd w:val="clear" w:color="auto" w:fill="auto"/>
            <w:vAlign w:val="bottom"/>
          </w:tcPr>
          <w:p w14:paraId="5F2CD9FE" w14:textId="77777777" w:rsidR="00E836FB" w:rsidRDefault="00E836FB">
            <w:pPr>
              <w:rPr>
                <w:rFonts w:ascii="宋体"/>
              </w:rPr>
            </w:pPr>
          </w:p>
        </w:tc>
        <w:tc>
          <w:tcPr>
            <w:tcW w:w="19" w:type="pct"/>
            <w:shd w:val="clear" w:color="auto" w:fill="auto"/>
            <w:vAlign w:val="bottom"/>
          </w:tcPr>
          <w:p w14:paraId="5F2CD9FF" w14:textId="77777777" w:rsidR="00E836FB" w:rsidRDefault="00E836FB">
            <w:pPr>
              <w:rPr>
                <w:rFonts w:ascii="宋体"/>
              </w:rPr>
            </w:pPr>
          </w:p>
        </w:tc>
        <w:tc>
          <w:tcPr>
            <w:tcW w:w="5" w:type="pct"/>
            <w:shd w:val="clear" w:color="auto" w:fill="auto"/>
            <w:vAlign w:val="bottom"/>
          </w:tcPr>
          <w:p w14:paraId="5F2CDA00" w14:textId="77777777" w:rsidR="00E836FB" w:rsidRDefault="00E836FB">
            <w:pPr>
              <w:rPr>
                <w:rFonts w:ascii="宋体"/>
              </w:rPr>
            </w:pPr>
          </w:p>
        </w:tc>
        <w:tc>
          <w:tcPr>
            <w:tcW w:w="50" w:type="pct"/>
            <w:shd w:val="clear" w:color="auto" w:fill="auto"/>
            <w:vAlign w:val="bottom"/>
          </w:tcPr>
          <w:p w14:paraId="5F2CDA01" w14:textId="77777777" w:rsidR="00E836FB" w:rsidRDefault="00E836FB">
            <w:pPr>
              <w:rPr>
                <w:rFonts w:ascii="宋体"/>
              </w:rPr>
            </w:pPr>
          </w:p>
        </w:tc>
        <w:tc>
          <w:tcPr>
            <w:tcW w:w="449" w:type="pct"/>
            <w:shd w:val="clear" w:color="auto" w:fill="auto"/>
            <w:vAlign w:val="bottom"/>
          </w:tcPr>
          <w:p w14:paraId="5F2CDA02" w14:textId="77777777" w:rsidR="00E836FB" w:rsidRDefault="00E836FB">
            <w:pPr>
              <w:rPr>
                <w:rFonts w:ascii="宋体"/>
              </w:rPr>
            </w:pPr>
          </w:p>
        </w:tc>
        <w:tc>
          <w:tcPr>
            <w:tcW w:w="5" w:type="pct"/>
            <w:shd w:val="clear" w:color="auto" w:fill="auto"/>
            <w:vAlign w:val="bottom"/>
          </w:tcPr>
          <w:p w14:paraId="5F2CDA03" w14:textId="77777777" w:rsidR="00E836FB" w:rsidRDefault="00E836FB">
            <w:pPr>
              <w:rPr>
                <w:rFonts w:ascii="宋体"/>
              </w:rPr>
            </w:pPr>
          </w:p>
        </w:tc>
        <w:tc>
          <w:tcPr>
            <w:tcW w:w="0" w:type="auto"/>
            <w:shd w:val="clear" w:color="auto" w:fill="auto"/>
            <w:vAlign w:val="bottom"/>
          </w:tcPr>
          <w:p w14:paraId="5F2CDA04" w14:textId="77777777" w:rsidR="00E836FB" w:rsidRDefault="00E836FB">
            <w:pPr>
              <w:rPr>
                <w:rFonts w:ascii="宋体"/>
                <w:vanish/>
              </w:rPr>
            </w:pPr>
          </w:p>
        </w:tc>
        <w:tc>
          <w:tcPr>
            <w:tcW w:w="0" w:type="auto"/>
            <w:shd w:val="clear" w:color="auto" w:fill="auto"/>
            <w:vAlign w:val="bottom"/>
          </w:tcPr>
          <w:p w14:paraId="5F2CDA05" w14:textId="77777777" w:rsidR="00E836FB" w:rsidRDefault="00E836FB">
            <w:pPr>
              <w:rPr>
                <w:rFonts w:ascii="宋体"/>
                <w:vanish/>
              </w:rPr>
            </w:pPr>
          </w:p>
        </w:tc>
        <w:tc>
          <w:tcPr>
            <w:tcW w:w="5" w:type="pct"/>
            <w:shd w:val="clear" w:color="auto" w:fill="auto"/>
            <w:vAlign w:val="bottom"/>
          </w:tcPr>
          <w:p w14:paraId="5F2CDA06" w14:textId="77777777" w:rsidR="00E836FB" w:rsidRDefault="00E836FB">
            <w:pPr>
              <w:rPr>
                <w:rFonts w:ascii="宋体"/>
              </w:rPr>
            </w:pPr>
          </w:p>
        </w:tc>
        <w:tc>
          <w:tcPr>
            <w:tcW w:w="26" w:type="pct"/>
            <w:shd w:val="clear" w:color="auto" w:fill="auto"/>
            <w:vAlign w:val="bottom"/>
          </w:tcPr>
          <w:p w14:paraId="5F2CDA07" w14:textId="77777777" w:rsidR="00E836FB" w:rsidRDefault="00E836FB">
            <w:pPr>
              <w:rPr>
                <w:rFonts w:ascii="宋体"/>
              </w:rPr>
            </w:pPr>
          </w:p>
        </w:tc>
        <w:tc>
          <w:tcPr>
            <w:tcW w:w="5" w:type="pct"/>
            <w:shd w:val="clear" w:color="auto" w:fill="auto"/>
            <w:vAlign w:val="bottom"/>
          </w:tcPr>
          <w:p w14:paraId="5F2CDA08" w14:textId="77777777" w:rsidR="00E836FB" w:rsidRDefault="00E836FB">
            <w:pPr>
              <w:rPr>
                <w:rFonts w:ascii="宋体"/>
              </w:rPr>
            </w:pPr>
          </w:p>
        </w:tc>
        <w:tc>
          <w:tcPr>
            <w:tcW w:w="50" w:type="pct"/>
            <w:shd w:val="clear" w:color="auto" w:fill="auto"/>
            <w:vAlign w:val="bottom"/>
          </w:tcPr>
          <w:p w14:paraId="5F2CDA09" w14:textId="77777777" w:rsidR="00E836FB" w:rsidRDefault="00E836FB">
            <w:pPr>
              <w:rPr>
                <w:rFonts w:ascii="宋体"/>
              </w:rPr>
            </w:pPr>
          </w:p>
        </w:tc>
        <w:tc>
          <w:tcPr>
            <w:tcW w:w="632" w:type="pct"/>
            <w:shd w:val="clear" w:color="auto" w:fill="auto"/>
            <w:vAlign w:val="bottom"/>
          </w:tcPr>
          <w:p w14:paraId="5F2CDA0A" w14:textId="77777777" w:rsidR="00E836FB" w:rsidRDefault="00E836FB">
            <w:pPr>
              <w:rPr>
                <w:rFonts w:ascii="宋体"/>
              </w:rPr>
            </w:pPr>
          </w:p>
        </w:tc>
        <w:tc>
          <w:tcPr>
            <w:tcW w:w="5" w:type="pct"/>
            <w:shd w:val="clear" w:color="auto" w:fill="auto"/>
            <w:vAlign w:val="bottom"/>
          </w:tcPr>
          <w:p w14:paraId="5F2CDA0B" w14:textId="77777777" w:rsidR="00E836FB" w:rsidRDefault="00E836FB">
            <w:pPr>
              <w:rPr>
                <w:rFonts w:ascii="宋体"/>
              </w:rPr>
            </w:pPr>
          </w:p>
        </w:tc>
        <w:tc>
          <w:tcPr>
            <w:tcW w:w="5" w:type="pct"/>
            <w:shd w:val="clear" w:color="auto" w:fill="auto"/>
            <w:vAlign w:val="bottom"/>
          </w:tcPr>
          <w:p w14:paraId="5F2CDA0C" w14:textId="77777777" w:rsidR="00E836FB" w:rsidRDefault="00E836FB">
            <w:pPr>
              <w:rPr>
                <w:rFonts w:ascii="宋体"/>
              </w:rPr>
            </w:pPr>
          </w:p>
        </w:tc>
        <w:tc>
          <w:tcPr>
            <w:tcW w:w="19" w:type="pct"/>
            <w:shd w:val="clear" w:color="auto" w:fill="auto"/>
            <w:vAlign w:val="bottom"/>
          </w:tcPr>
          <w:p w14:paraId="5F2CDA0D" w14:textId="77777777" w:rsidR="00E836FB" w:rsidRDefault="00E836FB">
            <w:pPr>
              <w:rPr>
                <w:rFonts w:ascii="宋体"/>
              </w:rPr>
            </w:pPr>
          </w:p>
        </w:tc>
        <w:tc>
          <w:tcPr>
            <w:tcW w:w="5" w:type="pct"/>
            <w:shd w:val="clear" w:color="auto" w:fill="auto"/>
            <w:vAlign w:val="bottom"/>
          </w:tcPr>
          <w:p w14:paraId="5F2CDA0E" w14:textId="77777777" w:rsidR="00E836FB" w:rsidRDefault="00E836FB">
            <w:pPr>
              <w:rPr>
                <w:rFonts w:ascii="宋体"/>
              </w:rPr>
            </w:pPr>
          </w:p>
        </w:tc>
        <w:tc>
          <w:tcPr>
            <w:tcW w:w="50" w:type="pct"/>
            <w:shd w:val="clear" w:color="auto" w:fill="auto"/>
            <w:vAlign w:val="bottom"/>
          </w:tcPr>
          <w:p w14:paraId="5F2CDA0F" w14:textId="77777777" w:rsidR="00E836FB" w:rsidRDefault="00E836FB">
            <w:pPr>
              <w:rPr>
                <w:rFonts w:ascii="宋体"/>
              </w:rPr>
            </w:pPr>
          </w:p>
        </w:tc>
        <w:tc>
          <w:tcPr>
            <w:tcW w:w="507" w:type="pct"/>
            <w:shd w:val="clear" w:color="auto" w:fill="auto"/>
            <w:vAlign w:val="bottom"/>
          </w:tcPr>
          <w:p w14:paraId="5F2CDA10" w14:textId="77777777" w:rsidR="00E836FB" w:rsidRDefault="00E836FB">
            <w:pPr>
              <w:rPr>
                <w:rFonts w:ascii="宋体"/>
              </w:rPr>
            </w:pPr>
          </w:p>
        </w:tc>
        <w:tc>
          <w:tcPr>
            <w:tcW w:w="5" w:type="pct"/>
            <w:shd w:val="clear" w:color="auto" w:fill="auto"/>
            <w:vAlign w:val="bottom"/>
          </w:tcPr>
          <w:p w14:paraId="5F2CDA11" w14:textId="77777777" w:rsidR="00E836FB" w:rsidRDefault="00E836FB">
            <w:pPr>
              <w:rPr>
                <w:rFonts w:ascii="宋体"/>
              </w:rPr>
            </w:pPr>
          </w:p>
        </w:tc>
        <w:tc>
          <w:tcPr>
            <w:tcW w:w="5" w:type="pct"/>
            <w:shd w:val="clear" w:color="auto" w:fill="auto"/>
            <w:vAlign w:val="bottom"/>
          </w:tcPr>
          <w:p w14:paraId="5F2CDA12" w14:textId="77777777" w:rsidR="00E836FB" w:rsidRDefault="00E836FB">
            <w:pPr>
              <w:rPr>
                <w:rFonts w:ascii="宋体"/>
              </w:rPr>
            </w:pPr>
          </w:p>
        </w:tc>
        <w:tc>
          <w:tcPr>
            <w:tcW w:w="19" w:type="pct"/>
            <w:shd w:val="clear" w:color="auto" w:fill="auto"/>
            <w:vAlign w:val="bottom"/>
          </w:tcPr>
          <w:p w14:paraId="5F2CDA13" w14:textId="77777777" w:rsidR="00E836FB" w:rsidRDefault="00E836FB">
            <w:pPr>
              <w:rPr>
                <w:rFonts w:ascii="宋体"/>
              </w:rPr>
            </w:pPr>
          </w:p>
        </w:tc>
        <w:tc>
          <w:tcPr>
            <w:tcW w:w="5" w:type="pct"/>
            <w:shd w:val="clear" w:color="auto" w:fill="auto"/>
            <w:vAlign w:val="bottom"/>
          </w:tcPr>
          <w:p w14:paraId="5F2CDA14" w14:textId="77777777" w:rsidR="00E836FB" w:rsidRDefault="00E836FB">
            <w:pPr>
              <w:rPr>
                <w:rFonts w:ascii="宋体"/>
              </w:rPr>
            </w:pPr>
          </w:p>
        </w:tc>
        <w:tc>
          <w:tcPr>
            <w:tcW w:w="50" w:type="pct"/>
            <w:shd w:val="clear" w:color="auto" w:fill="auto"/>
            <w:vAlign w:val="bottom"/>
          </w:tcPr>
          <w:p w14:paraId="5F2CDA15" w14:textId="77777777" w:rsidR="00E836FB" w:rsidRDefault="00E836FB">
            <w:pPr>
              <w:rPr>
                <w:rFonts w:ascii="宋体"/>
              </w:rPr>
            </w:pPr>
          </w:p>
        </w:tc>
        <w:tc>
          <w:tcPr>
            <w:tcW w:w="449" w:type="pct"/>
            <w:shd w:val="clear" w:color="auto" w:fill="auto"/>
            <w:vAlign w:val="bottom"/>
          </w:tcPr>
          <w:p w14:paraId="5F2CDA16" w14:textId="77777777" w:rsidR="00E836FB" w:rsidRDefault="00E836FB">
            <w:pPr>
              <w:rPr>
                <w:rFonts w:ascii="宋体"/>
              </w:rPr>
            </w:pPr>
          </w:p>
        </w:tc>
        <w:tc>
          <w:tcPr>
            <w:tcW w:w="5" w:type="pct"/>
            <w:shd w:val="clear" w:color="auto" w:fill="auto"/>
            <w:vAlign w:val="bottom"/>
          </w:tcPr>
          <w:p w14:paraId="5F2CDA17" w14:textId="77777777" w:rsidR="00E836FB" w:rsidRDefault="00E836FB">
            <w:pPr>
              <w:rPr>
                <w:rFonts w:ascii="宋体"/>
              </w:rPr>
            </w:pPr>
          </w:p>
        </w:tc>
        <w:tc>
          <w:tcPr>
            <w:tcW w:w="0" w:type="auto"/>
            <w:shd w:val="clear" w:color="auto" w:fill="auto"/>
            <w:vAlign w:val="bottom"/>
          </w:tcPr>
          <w:p w14:paraId="5F2CDA18" w14:textId="77777777" w:rsidR="00E836FB" w:rsidRDefault="00E836FB">
            <w:pPr>
              <w:rPr>
                <w:rFonts w:ascii="宋体"/>
                <w:vanish/>
              </w:rPr>
            </w:pPr>
          </w:p>
        </w:tc>
        <w:tc>
          <w:tcPr>
            <w:tcW w:w="0" w:type="auto"/>
            <w:shd w:val="clear" w:color="auto" w:fill="auto"/>
            <w:vAlign w:val="bottom"/>
          </w:tcPr>
          <w:p w14:paraId="5F2CDA19" w14:textId="77777777" w:rsidR="00E836FB" w:rsidRDefault="00E836FB">
            <w:pPr>
              <w:rPr>
                <w:rFonts w:ascii="宋体"/>
                <w:vanish/>
              </w:rPr>
            </w:pPr>
          </w:p>
        </w:tc>
        <w:tc>
          <w:tcPr>
            <w:tcW w:w="0" w:type="auto"/>
            <w:gridSpan w:val="3"/>
            <w:shd w:val="clear" w:color="auto" w:fill="auto"/>
            <w:vAlign w:val="bottom"/>
          </w:tcPr>
          <w:p w14:paraId="5F2CDA1A" w14:textId="77777777" w:rsidR="00E836FB" w:rsidRDefault="00E836FB">
            <w:pPr>
              <w:rPr>
                <w:rFonts w:ascii="宋体"/>
                <w:vanish/>
              </w:rPr>
            </w:pPr>
          </w:p>
        </w:tc>
        <w:tc>
          <w:tcPr>
            <w:tcW w:w="0" w:type="auto"/>
            <w:gridSpan w:val="3"/>
            <w:shd w:val="clear" w:color="auto" w:fill="auto"/>
            <w:vAlign w:val="bottom"/>
          </w:tcPr>
          <w:p w14:paraId="5F2CDA1B" w14:textId="77777777" w:rsidR="00E836FB" w:rsidRDefault="00E836FB">
            <w:pPr>
              <w:rPr>
                <w:rFonts w:ascii="宋体"/>
                <w:vanish/>
              </w:rPr>
            </w:pPr>
          </w:p>
        </w:tc>
        <w:tc>
          <w:tcPr>
            <w:tcW w:w="0" w:type="auto"/>
            <w:gridSpan w:val="3"/>
            <w:shd w:val="clear" w:color="auto" w:fill="auto"/>
            <w:vAlign w:val="bottom"/>
          </w:tcPr>
          <w:p w14:paraId="5F2CDA1C" w14:textId="77777777" w:rsidR="00E836FB" w:rsidRDefault="00E836FB">
            <w:pPr>
              <w:rPr>
                <w:rFonts w:ascii="宋体"/>
                <w:vanish/>
              </w:rPr>
            </w:pPr>
          </w:p>
        </w:tc>
        <w:tc>
          <w:tcPr>
            <w:tcW w:w="0" w:type="auto"/>
            <w:gridSpan w:val="3"/>
            <w:shd w:val="clear" w:color="auto" w:fill="auto"/>
            <w:vAlign w:val="bottom"/>
          </w:tcPr>
          <w:p w14:paraId="5F2CDA1D" w14:textId="77777777" w:rsidR="00E836FB" w:rsidRDefault="00E836FB">
            <w:pPr>
              <w:rPr>
                <w:rFonts w:ascii="宋体"/>
                <w:vanish/>
              </w:rPr>
            </w:pPr>
          </w:p>
        </w:tc>
        <w:tc>
          <w:tcPr>
            <w:tcW w:w="0" w:type="auto"/>
            <w:gridSpan w:val="2"/>
            <w:shd w:val="clear" w:color="auto" w:fill="auto"/>
            <w:vAlign w:val="bottom"/>
          </w:tcPr>
          <w:p w14:paraId="5F2CDA1E" w14:textId="77777777" w:rsidR="00E836FB" w:rsidRDefault="00E836FB">
            <w:pPr>
              <w:rPr>
                <w:rFonts w:ascii="宋体"/>
                <w:vanish/>
              </w:rPr>
            </w:pPr>
          </w:p>
        </w:tc>
        <w:tc>
          <w:tcPr>
            <w:tcW w:w="0" w:type="auto"/>
            <w:shd w:val="clear" w:color="auto" w:fill="auto"/>
            <w:vAlign w:val="bottom"/>
          </w:tcPr>
          <w:p w14:paraId="5F2CDA1F" w14:textId="77777777" w:rsidR="00E836FB" w:rsidRDefault="00E836FB">
            <w:pPr>
              <w:rPr>
                <w:rFonts w:ascii="宋体"/>
                <w:vanish/>
              </w:rPr>
            </w:pPr>
          </w:p>
        </w:tc>
      </w:tr>
      <w:tr w:rsidR="00E836FB" w14:paraId="5F2CDA2C" w14:textId="77777777">
        <w:tc>
          <w:tcPr>
            <w:tcW w:w="0" w:type="auto"/>
            <w:gridSpan w:val="32"/>
            <w:shd w:val="clear" w:color="auto" w:fill="auto"/>
            <w:tcMar>
              <w:top w:w="40" w:type="dxa"/>
              <w:left w:w="20" w:type="dxa"/>
              <w:bottom w:w="40" w:type="dxa"/>
              <w:right w:w="20" w:type="dxa"/>
            </w:tcMar>
            <w:vAlign w:val="bottom"/>
          </w:tcPr>
          <w:p w14:paraId="5F2CDA21" w14:textId="77777777" w:rsidR="00E836FB" w:rsidRDefault="00994958">
            <w:pPr>
              <w:textAlignment w:val="bottom"/>
            </w:pPr>
            <w:r>
              <w:rPr>
                <w:rFonts w:ascii="Arial" w:eastAsia="宋体" w:hAnsi="Arial" w:cs="Arial"/>
                <w:b/>
                <w:bCs/>
                <w:color w:val="000000"/>
                <w:sz w:val="16"/>
                <w:szCs w:val="16"/>
              </w:rPr>
              <w:t>TABLE 37: TEN-DAY STRESSED VaR A</w:t>
            </w:r>
            <w:r>
              <w:rPr>
                <w:rFonts w:ascii="Arial" w:eastAsia="宋体" w:hAnsi="Arial" w:cs="Arial"/>
                <w:b/>
                <w:bCs/>
                <w:color w:val="000000"/>
                <w:sz w:val="16"/>
                <w:szCs w:val="16"/>
              </w:rPr>
              <w:t>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5F2CDA22" w14:textId="77777777" w:rsidR="00E836FB" w:rsidRDefault="00E836FB">
            <w:pPr>
              <w:rPr>
                <w:rFonts w:ascii="宋体"/>
                <w:vanish/>
              </w:rPr>
            </w:pPr>
          </w:p>
        </w:tc>
        <w:tc>
          <w:tcPr>
            <w:tcW w:w="0" w:type="auto"/>
            <w:gridSpan w:val="3"/>
            <w:shd w:val="clear" w:color="auto" w:fill="auto"/>
            <w:vAlign w:val="bottom"/>
          </w:tcPr>
          <w:p w14:paraId="5F2CDA23" w14:textId="77777777" w:rsidR="00E836FB" w:rsidRDefault="00E836FB">
            <w:pPr>
              <w:rPr>
                <w:rFonts w:ascii="宋体"/>
                <w:vanish/>
              </w:rPr>
            </w:pPr>
          </w:p>
        </w:tc>
        <w:tc>
          <w:tcPr>
            <w:tcW w:w="0" w:type="auto"/>
            <w:shd w:val="clear" w:color="auto" w:fill="auto"/>
            <w:vAlign w:val="bottom"/>
          </w:tcPr>
          <w:p w14:paraId="5F2CDA24" w14:textId="77777777" w:rsidR="00E836FB" w:rsidRDefault="00E836FB">
            <w:pPr>
              <w:rPr>
                <w:rFonts w:ascii="宋体"/>
                <w:vanish/>
              </w:rPr>
            </w:pPr>
          </w:p>
        </w:tc>
        <w:tc>
          <w:tcPr>
            <w:tcW w:w="0" w:type="auto"/>
            <w:shd w:val="clear" w:color="auto" w:fill="auto"/>
            <w:vAlign w:val="bottom"/>
          </w:tcPr>
          <w:p w14:paraId="5F2CDA25" w14:textId="77777777" w:rsidR="00E836FB" w:rsidRDefault="00E836FB">
            <w:pPr>
              <w:rPr>
                <w:rFonts w:ascii="宋体"/>
                <w:vanish/>
              </w:rPr>
            </w:pPr>
          </w:p>
        </w:tc>
        <w:tc>
          <w:tcPr>
            <w:tcW w:w="0" w:type="auto"/>
            <w:gridSpan w:val="3"/>
            <w:shd w:val="clear" w:color="auto" w:fill="auto"/>
            <w:vAlign w:val="bottom"/>
          </w:tcPr>
          <w:p w14:paraId="5F2CDA26" w14:textId="77777777" w:rsidR="00E836FB" w:rsidRDefault="00E836FB">
            <w:pPr>
              <w:rPr>
                <w:rFonts w:ascii="宋体"/>
                <w:vanish/>
              </w:rPr>
            </w:pPr>
          </w:p>
        </w:tc>
        <w:tc>
          <w:tcPr>
            <w:tcW w:w="0" w:type="auto"/>
            <w:gridSpan w:val="3"/>
            <w:shd w:val="clear" w:color="auto" w:fill="auto"/>
            <w:vAlign w:val="bottom"/>
          </w:tcPr>
          <w:p w14:paraId="5F2CDA27" w14:textId="77777777" w:rsidR="00E836FB" w:rsidRDefault="00E836FB">
            <w:pPr>
              <w:rPr>
                <w:rFonts w:ascii="宋体"/>
                <w:vanish/>
              </w:rPr>
            </w:pPr>
          </w:p>
        </w:tc>
        <w:tc>
          <w:tcPr>
            <w:tcW w:w="0" w:type="auto"/>
            <w:gridSpan w:val="3"/>
            <w:shd w:val="clear" w:color="auto" w:fill="auto"/>
            <w:vAlign w:val="bottom"/>
          </w:tcPr>
          <w:p w14:paraId="5F2CDA28" w14:textId="77777777" w:rsidR="00E836FB" w:rsidRDefault="00E836FB">
            <w:pPr>
              <w:rPr>
                <w:rFonts w:ascii="宋体"/>
                <w:vanish/>
              </w:rPr>
            </w:pPr>
          </w:p>
        </w:tc>
        <w:tc>
          <w:tcPr>
            <w:tcW w:w="0" w:type="auto"/>
            <w:gridSpan w:val="3"/>
            <w:shd w:val="clear" w:color="auto" w:fill="auto"/>
            <w:vAlign w:val="bottom"/>
          </w:tcPr>
          <w:p w14:paraId="5F2CDA29" w14:textId="77777777" w:rsidR="00E836FB" w:rsidRDefault="00E836FB">
            <w:pPr>
              <w:rPr>
                <w:rFonts w:ascii="宋体"/>
                <w:vanish/>
              </w:rPr>
            </w:pPr>
          </w:p>
        </w:tc>
        <w:tc>
          <w:tcPr>
            <w:tcW w:w="0" w:type="auto"/>
            <w:gridSpan w:val="2"/>
            <w:shd w:val="clear" w:color="auto" w:fill="auto"/>
            <w:vAlign w:val="bottom"/>
          </w:tcPr>
          <w:p w14:paraId="5F2CDA2A" w14:textId="77777777" w:rsidR="00E836FB" w:rsidRDefault="00E836FB">
            <w:pPr>
              <w:rPr>
                <w:rFonts w:ascii="宋体"/>
                <w:vanish/>
              </w:rPr>
            </w:pPr>
          </w:p>
        </w:tc>
        <w:tc>
          <w:tcPr>
            <w:tcW w:w="0" w:type="auto"/>
            <w:shd w:val="clear" w:color="auto" w:fill="auto"/>
            <w:vAlign w:val="bottom"/>
          </w:tcPr>
          <w:p w14:paraId="5F2CDA2B" w14:textId="77777777" w:rsidR="00E836FB" w:rsidRDefault="00E836FB">
            <w:pPr>
              <w:rPr>
                <w:rFonts w:ascii="宋体"/>
                <w:vanish/>
              </w:rPr>
            </w:pPr>
          </w:p>
        </w:tc>
      </w:tr>
      <w:tr w:rsidR="00E836FB" w14:paraId="5F2CDA44" w14:textId="77777777">
        <w:tc>
          <w:tcPr>
            <w:tcW w:w="0" w:type="auto"/>
            <w:gridSpan w:val="3"/>
            <w:shd w:val="clear" w:color="auto" w:fill="auto"/>
            <w:tcMar>
              <w:top w:w="0" w:type="dxa"/>
              <w:left w:w="20" w:type="dxa"/>
              <w:bottom w:w="0" w:type="dxa"/>
              <w:right w:w="20" w:type="dxa"/>
            </w:tcMar>
            <w:vAlign w:val="bottom"/>
          </w:tcPr>
          <w:p w14:paraId="5F2CDA2D"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DA2E" w14:textId="77777777" w:rsidR="00E836FB" w:rsidRDefault="00994958">
            <w:pPr>
              <w:spacing w:after="20"/>
              <w:jc w:val="center"/>
              <w:textAlignment w:val="bottom"/>
            </w:pPr>
            <w:r>
              <w:rPr>
                <w:rFonts w:ascii="Arial" w:eastAsia="宋体" w:hAnsi="Arial" w:cs="Arial"/>
                <w:b/>
                <w:bCs/>
                <w:color w:val="000000"/>
                <w:sz w:val="15"/>
                <w:szCs w:val="15"/>
              </w:rPr>
              <w:t>As of December 31, 2021</w:t>
            </w:r>
          </w:p>
        </w:tc>
        <w:tc>
          <w:tcPr>
            <w:tcW w:w="0" w:type="auto"/>
            <w:shd w:val="clear" w:color="auto" w:fill="auto"/>
            <w:tcMar>
              <w:top w:w="0" w:type="dxa"/>
              <w:left w:w="20" w:type="dxa"/>
              <w:bottom w:w="0" w:type="dxa"/>
              <w:right w:w="20" w:type="dxa"/>
            </w:tcMar>
            <w:vAlign w:val="bottom"/>
          </w:tcPr>
          <w:p w14:paraId="5F2CDA2F" w14:textId="77777777" w:rsidR="00E836FB" w:rsidRDefault="00E836FB">
            <w:pPr>
              <w:rPr>
                <w:rFonts w:ascii="宋体"/>
              </w:rPr>
            </w:pPr>
          </w:p>
        </w:tc>
        <w:tc>
          <w:tcPr>
            <w:tcW w:w="0" w:type="auto"/>
            <w:gridSpan w:val="13"/>
            <w:shd w:val="clear" w:color="auto" w:fill="auto"/>
            <w:tcMar>
              <w:top w:w="40" w:type="dxa"/>
              <w:left w:w="20" w:type="dxa"/>
              <w:bottom w:w="40" w:type="dxa"/>
              <w:right w:w="20" w:type="dxa"/>
            </w:tcMar>
            <w:vAlign w:val="bottom"/>
          </w:tcPr>
          <w:p w14:paraId="5F2CDA30" w14:textId="77777777" w:rsidR="00E836FB" w:rsidRDefault="00994958">
            <w:pPr>
              <w:spacing w:after="20"/>
              <w:jc w:val="center"/>
              <w:textAlignment w:val="bottom"/>
            </w:pPr>
            <w:r>
              <w:rPr>
                <w:rFonts w:ascii="Arial" w:eastAsia="宋体" w:hAnsi="Arial" w:cs="Arial"/>
                <w:b/>
                <w:bCs/>
                <w:color w:val="000000"/>
                <w:sz w:val="15"/>
                <w:szCs w:val="15"/>
              </w:rPr>
              <w:t>As of December 31, 2020</w:t>
            </w:r>
          </w:p>
        </w:tc>
        <w:tc>
          <w:tcPr>
            <w:tcW w:w="0" w:type="auto"/>
            <w:gridSpan w:val="3"/>
            <w:shd w:val="clear" w:color="auto" w:fill="auto"/>
            <w:vAlign w:val="bottom"/>
          </w:tcPr>
          <w:p w14:paraId="5F2CDA31" w14:textId="77777777" w:rsidR="00E836FB" w:rsidRDefault="00E836FB">
            <w:pPr>
              <w:rPr>
                <w:rFonts w:ascii="宋体"/>
                <w:vanish/>
              </w:rPr>
            </w:pPr>
          </w:p>
        </w:tc>
        <w:tc>
          <w:tcPr>
            <w:tcW w:w="0" w:type="auto"/>
            <w:gridSpan w:val="3"/>
            <w:shd w:val="clear" w:color="auto" w:fill="auto"/>
            <w:vAlign w:val="bottom"/>
          </w:tcPr>
          <w:p w14:paraId="5F2CDA32" w14:textId="77777777" w:rsidR="00E836FB" w:rsidRDefault="00E836FB">
            <w:pPr>
              <w:rPr>
                <w:rFonts w:ascii="宋体"/>
                <w:vanish/>
              </w:rPr>
            </w:pPr>
          </w:p>
        </w:tc>
        <w:tc>
          <w:tcPr>
            <w:tcW w:w="0" w:type="auto"/>
            <w:shd w:val="clear" w:color="auto" w:fill="auto"/>
            <w:vAlign w:val="bottom"/>
          </w:tcPr>
          <w:p w14:paraId="5F2CDA33" w14:textId="77777777" w:rsidR="00E836FB" w:rsidRDefault="00E836FB">
            <w:pPr>
              <w:rPr>
                <w:rFonts w:ascii="宋体"/>
                <w:vanish/>
              </w:rPr>
            </w:pPr>
          </w:p>
        </w:tc>
        <w:tc>
          <w:tcPr>
            <w:tcW w:w="0" w:type="auto"/>
            <w:shd w:val="clear" w:color="auto" w:fill="auto"/>
            <w:vAlign w:val="bottom"/>
          </w:tcPr>
          <w:p w14:paraId="5F2CDA34" w14:textId="77777777" w:rsidR="00E836FB" w:rsidRDefault="00E836FB">
            <w:pPr>
              <w:rPr>
                <w:rFonts w:ascii="宋体"/>
                <w:vanish/>
              </w:rPr>
            </w:pPr>
          </w:p>
        </w:tc>
        <w:tc>
          <w:tcPr>
            <w:tcW w:w="0" w:type="auto"/>
            <w:shd w:val="clear" w:color="auto" w:fill="auto"/>
            <w:vAlign w:val="bottom"/>
          </w:tcPr>
          <w:p w14:paraId="5F2CDA35" w14:textId="77777777" w:rsidR="00E836FB" w:rsidRDefault="00E836FB">
            <w:pPr>
              <w:rPr>
                <w:rFonts w:ascii="宋体"/>
              </w:rPr>
            </w:pPr>
          </w:p>
        </w:tc>
        <w:tc>
          <w:tcPr>
            <w:tcW w:w="0" w:type="auto"/>
            <w:shd w:val="clear" w:color="auto" w:fill="auto"/>
            <w:vAlign w:val="bottom"/>
          </w:tcPr>
          <w:p w14:paraId="5F2CDA36" w14:textId="77777777" w:rsidR="00E836FB" w:rsidRDefault="00E836FB">
            <w:pPr>
              <w:rPr>
                <w:rFonts w:ascii="宋体"/>
              </w:rPr>
            </w:pPr>
          </w:p>
        </w:tc>
        <w:tc>
          <w:tcPr>
            <w:tcW w:w="0" w:type="auto"/>
            <w:shd w:val="clear" w:color="auto" w:fill="auto"/>
            <w:vAlign w:val="bottom"/>
          </w:tcPr>
          <w:p w14:paraId="5F2CDA37" w14:textId="77777777" w:rsidR="00E836FB" w:rsidRDefault="00E836FB">
            <w:pPr>
              <w:rPr>
                <w:rFonts w:ascii="宋体"/>
              </w:rPr>
            </w:pPr>
          </w:p>
        </w:tc>
        <w:tc>
          <w:tcPr>
            <w:tcW w:w="0" w:type="auto"/>
            <w:shd w:val="clear" w:color="auto" w:fill="auto"/>
            <w:vAlign w:val="bottom"/>
          </w:tcPr>
          <w:p w14:paraId="5F2CDA38" w14:textId="77777777" w:rsidR="00E836FB" w:rsidRDefault="00E836FB">
            <w:pPr>
              <w:rPr>
                <w:rFonts w:ascii="宋体"/>
              </w:rPr>
            </w:pPr>
          </w:p>
        </w:tc>
        <w:tc>
          <w:tcPr>
            <w:tcW w:w="0" w:type="auto"/>
            <w:shd w:val="clear" w:color="auto" w:fill="auto"/>
            <w:vAlign w:val="bottom"/>
          </w:tcPr>
          <w:p w14:paraId="5F2CDA39" w14:textId="77777777" w:rsidR="00E836FB" w:rsidRDefault="00E836FB">
            <w:pPr>
              <w:rPr>
                <w:rFonts w:ascii="宋体"/>
              </w:rPr>
            </w:pPr>
          </w:p>
        </w:tc>
        <w:tc>
          <w:tcPr>
            <w:tcW w:w="0" w:type="auto"/>
            <w:shd w:val="clear" w:color="auto" w:fill="auto"/>
            <w:vAlign w:val="bottom"/>
          </w:tcPr>
          <w:p w14:paraId="5F2CDA3A" w14:textId="77777777" w:rsidR="00E836FB" w:rsidRDefault="00E836FB">
            <w:pPr>
              <w:rPr>
                <w:rFonts w:ascii="宋体"/>
              </w:rPr>
            </w:pPr>
          </w:p>
        </w:tc>
        <w:tc>
          <w:tcPr>
            <w:tcW w:w="0" w:type="auto"/>
            <w:shd w:val="clear" w:color="auto" w:fill="auto"/>
            <w:vAlign w:val="bottom"/>
          </w:tcPr>
          <w:p w14:paraId="5F2CDA3B" w14:textId="77777777" w:rsidR="00E836FB" w:rsidRDefault="00E836FB">
            <w:pPr>
              <w:rPr>
                <w:rFonts w:ascii="宋体"/>
              </w:rPr>
            </w:pPr>
          </w:p>
        </w:tc>
        <w:tc>
          <w:tcPr>
            <w:tcW w:w="0" w:type="auto"/>
            <w:shd w:val="clear" w:color="auto" w:fill="auto"/>
            <w:vAlign w:val="bottom"/>
          </w:tcPr>
          <w:p w14:paraId="5F2CDA3C" w14:textId="77777777" w:rsidR="00E836FB" w:rsidRDefault="00E836FB">
            <w:pPr>
              <w:rPr>
                <w:rFonts w:ascii="宋体"/>
              </w:rPr>
            </w:pPr>
          </w:p>
        </w:tc>
        <w:tc>
          <w:tcPr>
            <w:tcW w:w="0" w:type="auto"/>
            <w:shd w:val="clear" w:color="auto" w:fill="auto"/>
            <w:vAlign w:val="bottom"/>
          </w:tcPr>
          <w:p w14:paraId="5F2CDA3D" w14:textId="77777777" w:rsidR="00E836FB" w:rsidRDefault="00E836FB">
            <w:pPr>
              <w:rPr>
                <w:rFonts w:ascii="宋体"/>
              </w:rPr>
            </w:pPr>
          </w:p>
        </w:tc>
        <w:tc>
          <w:tcPr>
            <w:tcW w:w="0" w:type="auto"/>
            <w:shd w:val="clear" w:color="auto" w:fill="auto"/>
            <w:vAlign w:val="bottom"/>
          </w:tcPr>
          <w:p w14:paraId="5F2CDA3E" w14:textId="77777777" w:rsidR="00E836FB" w:rsidRDefault="00E836FB">
            <w:pPr>
              <w:rPr>
                <w:rFonts w:ascii="宋体"/>
              </w:rPr>
            </w:pPr>
          </w:p>
        </w:tc>
        <w:tc>
          <w:tcPr>
            <w:tcW w:w="0" w:type="auto"/>
            <w:shd w:val="clear" w:color="auto" w:fill="auto"/>
            <w:vAlign w:val="bottom"/>
          </w:tcPr>
          <w:p w14:paraId="5F2CDA3F" w14:textId="77777777" w:rsidR="00E836FB" w:rsidRDefault="00E836FB">
            <w:pPr>
              <w:rPr>
                <w:rFonts w:ascii="宋体"/>
              </w:rPr>
            </w:pPr>
          </w:p>
        </w:tc>
        <w:tc>
          <w:tcPr>
            <w:tcW w:w="0" w:type="auto"/>
            <w:shd w:val="clear" w:color="auto" w:fill="auto"/>
            <w:vAlign w:val="bottom"/>
          </w:tcPr>
          <w:p w14:paraId="5F2CDA40" w14:textId="77777777" w:rsidR="00E836FB" w:rsidRDefault="00E836FB">
            <w:pPr>
              <w:rPr>
                <w:rFonts w:ascii="宋体"/>
              </w:rPr>
            </w:pPr>
          </w:p>
        </w:tc>
        <w:tc>
          <w:tcPr>
            <w:tcW w:w="0" w:type="auto"/>
            <w:shd w:val="clear" w:color="auto" w:fill="auto"/>
            <w:vAlign w:val="bottom"/>
          </w:tcPr>
          <w:p w14:paraId="5F2CDA41" w14:textId="77777777" w:rsidR="00E836FB" w:rsidRDefault="00E836FB">
            <w:pPr>
              <w:rPr>
                <w:rFonts w:ascii="宋体"/>
              </w:rPr>
            </w:pPr>
          </w:p>
        </w:tc>
        <w:tc>
          <w:tcPr>
            <w:tcW w:w="0" w:type="auto"/>
            <w:shd w:val="clear" w:color="auto" w:fill="auto"/>
            <w:vAlign w:val="bottom"/>
          </w:tcPr>
          <w:p w14:paraId="5F2CDA42" w14:textId="77777777" w:rsidR="00E836FB" w:rsidRDefault="00E836FB">
            <w:pPr>
              <w:rPr>
                <w:rFonts w:ascii="宋体"/>
              </w:rPr>
            </w:pPr>
          </w:p>
        </w:tc>
        <w:tc>
          <w:tcPr>
            <w:tcW w:w="0" w:type="auto"/>
            <w:shd w:val="clear" w:color="auto" w:fill="auto"/>
            <w:vAlign w:val="bottom"/>
          </w:tcPr>
          <w:p w14:paraId="5F2CDA43" w14:textId="77777777" w:rsidR="00E836FB" w:rsidRDefault="00E836FB">
            <w:pPr>
              <w:rPr>
                <w:rFonts w:ascii="宋体"/>
              </w:rPr>
            </w:pPr>
          </w:p>
        </w:tc>
      </w:tr>
      <w:tr w:rsidR="00E836FB" w14:paraId="5F2CDA5B" w14:textId="77777777">
        <w:tc>
          <w:tcPr>
            <w:tcW w:w="0" w:type="auto"/>
            <w:gridSpan w:val="3"/>
            <w:shd w:val="clear" w:color="auto" w:fill="auto"/>
            <w:tcMar>
              <w:top w:w="40" w:type="dxa"/>
              <w:left w:w="20" w:type="dxa"/>
              <w:bottom w:w="40" w:type="dxa"/>
              <w:right w:w="20" w:type="dxa"/>
            </w:tcMar>
            <w:vAlign w:val="bottom"/>
          </w:tcPr>
          <w:p w14:paraId="5F2CDA45" w14:textId="77777777" w:rsidR="00E836FB" w:rsidRDefault="00994958">
            <w:pPr>
              <w:spacing w:after="20"/>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A46" w14:textId="77777777" w:rsidR="00E836FB" w:rsidRDefault="00994958">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4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A48" w14:textId="77777777" w:rsidR="00E836FB" w:rsidRDefault="00994958">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4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A4A" w14:textId="77777777" w:rsidR="00E836FB" w:rsidRDefault="00994958">
            <w:pPr>
              <w:jc w:val="center"/>
              <w:textAlignment w:val="bottom"/>
            </w:pPr>
            <w:r>
              <w:rPr>
                <w:rFonts w:ascii="Arial" w:eastAsia="宋体" w:hAnsi="Arial" w:cs="Arial"/>
                <w:b/>
                <w:bCs/>
                <w:color w:val="000000"/>
                <w:sz w:val="15"/>
                <w:szCs w:val="15"/>
              </w:rPr>
              <w:t>Volatility Risk</w:t>
            </w:r>
          </w:p>
        </w:tc>
        <w:tc>
          <w:tcPr>
            <w:tcW w:w="0" w:type="auto"/>
            <w:shd w:val="clear" w:color="auto" w:fill="auto"/>
            <w:vAlign w:val="bottom"/>
          </w:tcPr>
          <w:p w14:paraId="5F2CDA4B" w14:textId="77777777" w:rsidR="00E836FB" w:rsidRDefault="00E836FB">
            <w:pPr>
              <w:rPr>
                <w:rFonts w:ascii="宋体"/>
                <w:vanish/>
              </w:rPr>
            </w:pPr>
          </w:p>
        </w:tc>
        <w:tc>
          <w:tcPr>
            <w:tcW w:w="0" w:type="auto"/>
            <w:shd w:val="clear" w:color="auto" w:fill="auto"/>
            <w:vAlign w:val="bottom"/>
          </w:tcPr>
          <w:p w14:paraId="5F2CDA4C"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DA4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A4E" w14:textId="77777777" w:rsidR="00E836FB" w:rsidRDefault="00994958">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4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A50" w14:textId="77777777" w:rsidR="00E836FB" w:rsidRDefault="00994958">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5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A52" w14:textId="77777777" w:rsidR="00E836FB" w:rsidRDefault="00994958">
            <w:pPr>
              <w:jc w:val="center"/>
              <w:textAlignment w:val="bottom"/>
            </w:pPr>
            <w:r>
              <w:rPr>
                <w:rFonts w:ascii="Arial" w:eastAsia="宋体" w:hAnsi="Arial" w:cs="Arial"/>
                <w:b/>
                <w:bCs/>
                <w:color w:val="000000"/>
                <w:sz w:val="15"/>
                <w:szCs w:val="15"/>
              </w:rPr>
              <w:t>Volatility Risk</w:t>
            </w:r>
          </w:p>
        </w:tc>
        <w:tc>
          <w:tcPr>
            <w:tcW w:w="0" w:type="auto"/>
            <w:shd w:val="clear" w:color="auto" w:fill="auto"/>
            <w:vAlign w:val="bottom"/>
          </w:tcPr>
          <w:p w14:paraId="5F2CDA53" w14:textId="77777777" w:rsidR="00E836FB" w:rsidRDefault="00E836FB">
            <w:pPr>
              <w:rPr>
                <w:rFonts w:ascii="宋体"/>
                <w:vanish/>
              </w:rPr>
            </w:pPr>
          </w:p>
        </w:tc>
        <w:tc>
          <w:tcPr>
            <w:tcW w:w="0" w:type="auto"/>
            <w:shd w:val="clear" w:color="auto" w:fill="auto"/>
            <w:vAlign w:val="bottom"/>
          </w:tcPr>
          <w:p w14:paraId="5F2CDA54" w14:textId="77777777" w:rsidR="00E836FB" w:rsidRDefault="00E836FB">
            <w:pPr>
              <w:rPr>
                <w:rFonts w:ascii="宋体"/>
                <w:vanish/>
              </w:rPr>
            </w:pPr>
          </w:p>
        </w:tc>
        <w:tc>
          <w:tcPr>
            <w:tcW w:w="0" w:type="auto"/>
            <w:gridSpan w:val="3"/>
            <w:shd w:val="clear" w:color="auto" w:fill="auto"/>
            <w:vAlign w:val="bottom"/>
          </w:tcPr>
          <w:p w14:paraId="5F2CDA55" w14:textId="77777777" w:rsidR="00E836FB" w:rsidRDefault="00E836FB">
            <w:pPr>
              <w:rPr>
                <w:rFonts w:ascii="宋体"/>
                <w:vanish/>
              </w:rPr>
            </w:pPr>
          </w:p>
        </w:tc>
        <w:tc>
          <w:tcPr>
            <w:tcW w:w="0" w:type="auto"/>
            <w:gridSpan w:val="3"/>
            <w:shd w:val="clear" w:color="auto" w:fill="auto"/>
            <w:vAlign w:val="bottom"/>
          </w:tcPr>
          <w:p w14:paraId="5F2CDA56" w14:textId="77777777" w:rsidR="00E836FB" w:rsidRDefault="00E836FB">
            <w:pPr>
              <w:rPr>
                <w:rFonts w:ascii="宋体"/>
                <w:vanish/>
              </w:rPr>
            </w:pPr>
          </w:p>
        </w:tc>
        <w:tc>
          <w:tcPr>
            <w:tcW w:w="0" w:type="auto"/>
            <w:gridSpan w:val="3"/>
            <w:shd w:val="clear" w:color="auto" w:fill="auto"/>
            <w:vAlign w:val="bottom"/>
          </w:tcPr>
          <w:p w14:paraId="5F2CDA57" w14:textId="77777777" w:rsidR="00E836FB" w:rsidRDefault="00E836FB">
            <w:pPr>
              <w:rPr>
                <w:rFonts w:ascii="宋体"/>
                <w:vanish/>
              </w:rPr>
            </w:pPr>
          </w:p>
        </w:tc>
        <w:tc>
          <w:tcPr>
            <w:tcW w:w="0" w:type="auto"/>
            <w:gridSpan w:val="3"/>
            <w:shd w:val="clear" w:color="auto" w:fill="auto"/>
            <w:vAlign w:val="bottom"/>
          </w:tcPr>
          <w:p w14:paraId="5F2CDA58" w14:textId="77777777" w:rsidR="00E836FB" w:rsidRDefault="00E836FB">
            <w:pPr>
              <w:rPr>
                <w:rFonts w:ascii="宋体"/>
                <w:vanish/>
              </w:rPr>
            </w:pPr>
          </w:p>
        </w:tc>
        <w:tc>
          <w:tcPr>
            <w:tcW w:w="0" w:type="auto"/>
            <w:gridSpan w:val="2"/>
            <w:shd w:val="clear" w:color="auto" w:fill="auto"/>
            <w:vAlign w:val="bottom"/>
          </w:tcPr>
          <w:p w14:paraId="5F2CDA59" w14:textId="77777777" w:rsidR="00E836FB" w:rsidRDefault="00E836FB">
            <w:pPr>
              <w:rPr>
                <w:rFonts w:ascii="宋体"/>
                <w:vanish/>
              </w:rPr>
            </w:pPr>
          </w:p>
        </w:tc>
        <w:tc>
          <w:tcPr>
            <w:tcW w:w="0" w:type="auto"/>
            <w:shd w:val="clear" w:color="auto" w:fill="auto"/>
            <w:vAlign w:val="bottom"/>
          </w:tcPr>
          <w:p w14:paraId="5F2CDA5A" w14:textId="77777777" w:rsidR="00E836FB" w:rsidRDefault="00E836FB">
            <w:pPr>
              <w:rPr>
                <w:rFonts w:ascii="宋体"/>
                <w:vanish/>
              </w:rPr>
            </w:pPr>
          </w:p>
        </w:tc>
      </w:tr>
      <w:tr w:rsidR="00E836FB" w14:paraId="5F2CDA72" w14:textId="77777777">
        <w:tc>
          <w:tcPr>
            <w:tcW w:w="0" w:type="auto"/>
            <w:gridSpan w:val="3"/>
            <w:shd w:val="clear" w:color="auto" w:fill="auto"/>
            <w:tcMar>
              <w:top w:w="40" w:type="dxa"/>
              <w:left w:w="20" w:type="dxa"/>
              <w:bottom w:w="40" w:type="dxa"/>
              <w:right w:w="20" w:type="dxa"/>
            </w:tcMar>
            <w:vAlign w:val="bottom"/>
          </w:tcPr>
          <w:p w14:paraId="5F2CDA5C" w14:textId="77777777" w:rsidR="00E836FB" w:rsidRDefault="00994958">
            <w:pPr>
              <w:spacing w:after="20"/>
              <w:textAlignment w:val="bottom"/>
            </w:pPr>
            <w:r>
              <w:rPr>
                <w:rFonts w:ascii="Arial" w:eastAsia="宋体" w:hAnsi="Arial" w:cs="Arial"/>
                <w:color w:val="000000"/>
                <w:sz w:val="15"/>
                <w:szCs w:val="15"/>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5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A5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5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A6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61" w14:textId="77777777" w:rsidR="00E836FB" w:rsidRDefault="00E836FB">
            <w:pPr>
              <w:rPr>
                <w:rFonts w:ascii="宋体"/>
              </w:rPr>
            </w:pPr>
          </w:p>
        </w:tc>
        <w:tc>
          <w:tcPr>
            <w:tcW w:w="0" w:type="auto"/>
            <w:shd w:val="clear" w:color="auto" w:fill="auto"/>
            <w:vAlign w:val="bottom"/>
          </w:tcPr>
          <w:p w14:paraId="5F2CDA62" w14:textId="77777777" w:rsidR="00E836FB" w:rsidRDefault="00E836FB">
            <w:pPr>
              <w:rPr>
                <w:rFonts w:ascii="宋体"/>
                <w:vanish/>
              </w:rPr>
            </w:pPr>
          </w:p>
        </w:tc>
        <w:tc>
          <w:tcPr>
            <w:tcW w:w="0" w:type="auto"/>
            <w:shd w:val="clear" w:color="auto" w:fill="auto"/>
            <w:vAlign w:val="bottom"/>
          </w:tcPr>
          <w:p w14:paraId="5F2CDA63"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DA6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A6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6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A6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A69" w14:textId="77777777" w:rsidR="00E836FB" w:rsidRDefault="00E836FB">
            <w:pPr>
              <w:rPr>
                <w:rFonts w:ascii="宋体"/>
              </w:rPr>
            </w:pPr>
          </w:p>
        </w:tc>
        <w:tc>
          <w:tcPr>
            <w:tcW w:w="0" w:type="auto"/>
            <w:shd w:val="clear" w:color="auto" w:fill="auto"/>
            <w:vAlign w:val="bottom"/>
          </w:tcPr>
          <w:p w14:paraId="5F2CDA6A" w14:textId="77777777" w:rsidR="00E836FB" w:rsidRDefault="00E836FB">
            <w:pPr>
              <w:rPr>
                <w:rFonts w:ascii="宋体"/>
                <w:vanish/>
              </w:rPr>
            </w:pPr>
          </w:p>
        </w:tc>
        <w:tc>
          <w:tcPr>
            <w:tcW w:w="0" w:type="auto"/>
            <w:shd w:val="clear" w:color="auto" w:fill="auto"/>
            <w:vAlign w:val="bottom"/>
          </w:tcPr>
          <w:p w14:paraId="5F2CDA6B" w14:textId="77777777" w:rsidR="00E836FB" w:rsidRDefault="00E836FB">
            <w:pPr>
              <w:rPr>
                <w:rFonts w:ascii="宋体"/>
                <w:vanish/>
              </w:rPr>
            </w:pPr>
          </w:p>
        </w:tc>
        <w:tc>
          <w:tcPr>
            <w:tcW w:w="0" w:type="auto"/>
            <w:gridSpan w:val="3"/>
            <w:shd w:val="clear" w:color="auto" w:fill="auto"/>
            <w:vAlign w:val="bottom"/>
          </w:tcPr>
          <w:p w14:paraId="5F2CDA6C" w14:textId="77777777" w:rsidR="00E836FB" w:rsidRDefault="00E836FB">
            <w:pPr>
              <w:rPr>
                <w:rFonts w:ascii="宋体"/>
                <w:vanish/>
              </w:rPr>
            </w:pPr>
          </w:p>
        </w:tc>
        <w:tc>
          <w:tcPr>
            <w:tcW w:w="0" w:type="auto"/>
            <w:gridSpan w:val="3"/>
            <w:shd w:val="clear" w:color="auto" w:fill="auto"/>
            <w:vAlign w:val="bottom"/>
          </w:tcPr>
          <w:p w14:paraId="5F2CDA6D" w14:textId="77777777" w:rsidR="00E836FB" w:rsidRDefault="00E836FB">
            <w:pPr>
              <w:rPr>
                <w:rFonts w:ascii="宋体"/>
                <w:vanish/>
              </w:rPr>
            </w:pPr>
          </w:p>
        </w:tc>
        <w:tc>
          <w:tcPr>
            <w:tcW w:w="0" w:type="auto"/>
            <w:gridSpan w:val="3"/>
            <w:shd w:val="clear" w:color="auto" w:fill="auto"/>
            <w:vAlign w:val="bottom"/>
          </w:tcPr>
          <w:p w14:paraId="5F2CDA6E" w14:textId="77777777" w:rsidR="00E836FB" w:rsidRDefault="00E836FB">
            <w:pPr>
              <w:rPr>
                <w:rFonts w:ascii="宋体"/>
                <w:vanish/>
              </w:rPr>
            </w:pPr>
          </w:p>
        </w:tc>
        <w:tc>
          <w:tcPr>
            <w:tcW w:w="0" w:type="auto"/>
            <w:gridSpan w:val="3"/>
            <w:shd w:val="clear" w:color="auto" w:fill="auto"/>
            <w:vAlign w:val="bottom"/>
          </w:tcPr>
          <w:p w14:paraId="5F2CDA6F" w14:textId="77777777" w:rsidR="00E836FB" w:rsidRDefault="00E836FB">
            <w:pPr>
              <w:rPr>
                <w:rFonts w:ascii="宋体"/>
                <w:vanish/>
              </w:rPr>
            </w:pPr>
          </w:p>
        </w:tc>
        <w:tc>
          <w:tcPr>
            <w:tcW w:w="0" w:type="auto"/>
            <w:gridSpan w:val="2"/>
            <w:shd w:val="clear" w:color="auto" w:fill="auto"/>
            <w:vAlign w:val="bottom"/>
          </w:tcPr>
          <w:p w14:paraId="5F2CDA70" w14:textId="77777777" w:rsidR="00E836FB" w:rsidRDefault="00E836FB">
            <w:pPr>
              <w:rPr>
                <w:rFonts w:ascii="宋体"/>
                <w:vanish/>
              </w:rPr>
            </w:pPr>
          </w:p>
        </w:tc>
        <w:tc>
          <w:tcPr>
            <w:tcW w:w="0" w:type="auto"/>
            <w:shd w:val="clear" w:color="auto" w:fill="auto"/>
            <w:vAlign w:val="bottom"/>
          </w:tcPr>
          <w:p w14:paraId="5F2CDA71" w14:textId="77777777" w:rsidR="00E836FB" w:rsidRDefault="00E836FB">
            <w:pPr>
              <w:rPr>
                <w:rFonts w:ascii="宋体"/>
                <w:vanish/>
              </w:rPr>
            </w:pPr>
          </w:p>
        </w:tc>
      </w:tr>
      <w:tr w:rsidR="00E836FB" w14:paraId="5F2CDA95" w14:textId="77777777">
        <w:tc>
          <w:tcPr>
            <w:tcW w:w="0" w:type="auto"/>
            <w:gridSpan w:val="3"/>
            <w:shd w:val="clear" w:color="auto" w:fill="CCEEFF"/>
            <w:tcMar>
              <w:top w:w="40" w:type="dxa"/>
              <w:left w:w="20" w:type="dxa"/>
              <w:bottom w:w="40" w:type="dxa"/>
              <w:right w:w="20" w:type="dxa"/>
            </w:tcMar>
            <w:vAlign w:val="bottom"/>
          </w:tcPr>
          <w:p w14:paraId="5F2CDA73" w14:textId="77777777" w:rsidR="00E836FB" w:rsidRDefault="00994958">
            <w:pPr>
              <w:spacing w:after="20"/>
              <w:textAlignment w:val="bottom"/>
            </w:pPr>
            <w:r>
              <w:rPr>
                <w:rFonts w:ascii="Arial" w:eastAsia="宋体" w:hAnsi="Arial" w:cs="Arial"/>
                <w:color w:val="000000"/>
                <w:sz w:val="15"/>
                <w:szCs w:val="15"/>
              </w:rPr>
              <w:t>Global Markets</w:t>
            </w:r>
          </w:p>
        </w:tc>
        <w:tc>
          <w:tcPr>
            <w:tcW w:w="0" w:type="auto"/>
            <w:shd w:val="clear" w:color="auto" w:fill="CCEEFF"/>
            <w:tcMar>
              <w:top w:w="40" w:type="dxa"/>
              <w:left w:w="20" w:type="dxa"/>
              <w:bottom w:w="40" w:type="dxa"/>
              <w:right w:w="0" w:type="dxa"/>
            </w:tcMar>
            <w:vAlign w:val="bottom"/>
          </w:tcPr>
          <w:p w14:paraId="5F2CDA74"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DA75" w14:textId="77777777" w:rsidR="00E836FB" w:rsidRDefault="00994958">
            <w:pPr>
              <w:jc w:val="right"/>
              <w:textAlignment w:val="bottom"/>
            </w:pPr>
            <w:r>
              <w:rPr>
                <w:rFonts w:ascii="Arial" w:eastAsia="宋体" w:hAnsi="Arial" w:cs="Arial"/>
                <w:b/>
                <w:bCs/>
                <w:color w:val="000000"/>
                <w:sz w:val="15"/>
                <w:szCs w:val="15"/>
              </w:rPr>
              <w:t>9,445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A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7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A78"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DA79" w14:textId="77777777" w:rsidR="00E836FB" w:rsidRDefault="00994958">
            <w:pPr>
              <w:jc w:val="right"/>
              <w:textAlignment w:val="bottom"/>
            </w:pPr>
            <w:r>
              <w:rPr>
                <w:rFonts w:ascii="Arial" w:eastAsia="宋体" w:hAnsi="Arial" w:cs="Arial"/>
                <w:b/>
                <w:bCs/>
                <w:color w:val="000000"/>
                <w:sz w:val="15"/>
                <w:szCs w:val="15"/>
              </w:rPr>
              <w:t>63,368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A7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7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A7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DA7D" w14:textId="77777777" w:rsidR="00E836FB" w:rsidRDefault="00994958">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A7E" w14:textId="77777777" w:rsidR="00E836FB" w:rsidRDefault="00E836FB">
            <w:pPr>
              <w:jc w:val="right"/>
              <w:rPr>
                <w:rFonts w:ascii="宋体"/>
              </w:rPr>
            </w:pPr>
          </w:p>
        </w:tc>
        <w:tc>
          <w:tcPr>
            <w:tcW w:w="0" w:type="auto"/>
            <w:shd w:val="clear" w:color="auto" w:fill="auto"/>
            <w:vAlign w:val="bottom"/>
          </w:tcPr>
          <w:p w14:paraId="5F2CDA7F" w14:textId="77777777" w:rsidR="00E836FB" w:rsidRDefault="00E836FB">
            <w:pPr>
              <w:rPr>
                <w:rFonts w:ascii="宋体"/>
                <w:vanish/>
              </w:rPr>
            </w:pPr>
          </w:p>
        </w:tc>
        <w:tc>
          <w:tcPr>
            <w:tcW w:w="0" w:type="auto"/>
            <w:shd w:val="clear" w:color="auto" w:fill="auto"/>
            <w:vAlign w:val="bottom"/>
          </w:tcPr>
          <w:p w14:paraId="5F2CDA80"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DA8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A82"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DA83" w14:textId="77777777" w:rsidR="00E836FB" w:rsidRDefault="00994958">
            <w:pPr>
              <w:jc w:val="right"/>
              <w:textAlignment w:val="bottom"/>
            </w:pPr>
            <w:r>
              <w:rPr>
                <w:rFonts w:ascii="Arial" w:eastAsia="宋体" w:hAnsi="Arial" w:cs="Arial"/>
                <w:color w:val="000000"/>
                <w:sz w:val="15"/>
                <w:szCs w:val="15"/>
              </w:rPr>
              <w:t>5,102 </w:t>
            </w:r>
          </w:p>
        </w:tc>
        <w:tc>
          <w:tcPr>
            <w:tcW w:w="0" w:type="auto"/>
            <w:shd w:val="clear" w:color="auto" w:fill="CCEEFF"/>
            <w:tcMar>
              <w:top w:w="40" w:type="dxa"/>
              <w:left w:w="0" w:type="dxa"/>
              <w:bottom w:w="40" w:type="dxa"/>
              <w:right w:w="20" w:type="dxa"/>
            </w:tcMar>
            <w:vAlign w:val="bottom"/>
          </w:tcPr>
          <w:p w14:paraId="5F2CDA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8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A86"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DA87" w14:textId="77777777" w:rsidR="00E836FB" w:rsidRDefault="00994958">
            <w:pPr>
              <w:jc w:val="right"/>
              <w:textAlignment w:val="bottom"/>
            </w:pPr>
            <w:r>
              <w:rPr>
                <w:rFonts w:ascii="Arial" w:eastAsia="宋体" w:hAnsi="Arial" w:cs="Arial"/>
                <w:color w:val="000000"/>
                <w:sz w:val="15"/>
                <w:szCs w:val="15"/>
              </w:rPr>
              <w:t>39,615 </w:t>
            </w:r>
          </w:p>
        </w:tc>
        <w:tc>
          <w:tcPr>
            <w:tcW w:w="0" w:type="auto"/>
            <w:shd w:val="clear" w:color="auto" w:fill="CCEEFF"/>
            <w:tcMar>
              <w:top w:w="40" w:type="dxa"/>
              <w:left w:w="0" w:type="dxa"/>
              <w:bottom w:w="40" w:type="dxa"/>
              <w:right w:w="20" w:type="dxa"/>
            </w:tcMar>
            <w:vAlign w:val="bottom"/>
          </w:tcPr>
          <w:p w14:paraId="5F2CDA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8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A8A"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DA8B" w14:textId="77777777" w:rsidR="00E836FB" w:rsidRDefault="00994958">
            <w:pPr>
              <w:jc w:val="right"/>
              <w:textAlignment w:val="bottom"/>
            </w:pPr>
            <w:r>
              <w:rPr>
                <w:rFonts w:ascii="Arial" w:eastAsia="宋体" w:hAnsi="Arial" w:cs="Arial"/>
                <w:color w:val="000000"/>
                <w:sz w:val="15"/>
                <w:szCs w:val="15"/>
              </w:rPr>
              <w:t>265 </w:t>
            </w:r>
          </w:p>
        </w:tc>
        <w:tc>
          <w:tcPr>
            <w:tcW w:w="0" w:type="auto"/>
            <w:shd w:val="clear" w:color="auto" w:fill="CCEEFF"/>
            <w:tcMar>
              <w:top w:w="40" w:type="dxa"/>
              <w:left w:w="0" w:type="dxa"/>
              <w:bottom w:w="40" w:type="dxa"/>
              <w:right w:w="20" w:type="dxa"/>
            </w:tcMar>
            <w:vAlign w:val="bottom"/>
          </w:tcPr>
          <w:p w14:paraId="5F2CDA8C" w14:textId="77777777" w:rsidR="00E836FB" w:rsidRDefault="00E836FB">
            <w:pPr>
              <w:jc w:val="right"/>
              <w:rPr>
                <w:rFonts w:ascii="宋体"/>
              </w:rPr>
            </w:pPr>
          </w:p>
        </w:tc>
        <w:tc>
          <w:tcPr>
            <w:tcW w:w="0" w:type="auto"/>
            <w:shd w:val="clear" w:color="auto" w:fill="auto"/>
            <w:vAlign w:val="bottom"/>
          </w:tcPr>
          <w:p w14:paraId="5F2CDA8D" w14:textId="77777777" w:rsidR="00E836FB" w:rsidRDefault="00E836FB">
            <w:pPr>
              <w:rPr>
                <w:rFonts w:ascii="宋体"/>
                <w:vanish/>
              </w:rPr>
            </w:pPr>
          </w:p>
        </w:tc>
        <w:tc>
          <w:tcPr>
            <w:tcW w:w="0" w:type="auto"/>
            <w:shd w:val="clear" w:color="auto" w:fill="auto"/>
            <w:vAlign w:val="bottom"/>
          </w:tcPr>
          <w:p w14:paraId="5F2CDA8E" w14:textId="77777777" w:rsidR="00E836FB" w:rsidRDefault="00E836FB">
            <w:pPr>
              <w:rPr>
                <w:rFonts w:ascii="宋体"/>
                <w:vanish/>
              </w:rPr>
            </w:pPr>
          </w:p>
        </w:tc>
        <w:tc>
          <w:tcPr>
            <w:tcW w:w="0" w:type="auto"/>
            <w:gridSpan w:val="3"/>
            <w:shd w:val="clear" w:color="auto" w:fill="auto"/>
            <w:vAlign w:val="bottom"/>
          </w:tcPr>
          <w:p w14:paraId="5F2CDA8F" w14:textId="77777777" w:rsidR="00E836FB" w:rsidRDefault="00E836FB">
            <w:pPr>
              <w:rPr>
                <w:rFonts w:ascii="宋体"/>
                <w:vanish/>
              </w:rPr>
            </w:pPr>
          </w:p>
        </w:tc>
        <w:tc>
          <w:tcPr>
            <w:tcW w:w="0" w:type="auto"/>
            <w:gridSpan w:val="3"/>
            <w:shd w:val="clear" w:color="auto" w:fill="auto"/>
            <w:vAlign w:val="bottom"/>
          </w:tcPr>
          <w:p w14:paraId="5F2CDA90" w14:textId="77777777" w:rsidR="00E836FB" w:rsidRDefault="00E836FB">
            <w:pPr>
              <w:rPr>
                <w:rFonts w:ascii="宋体"/>
                <w:vanish/>
              </w:rPr>
            </w:pPr>
          </w:p>
        </w:tc>
        <w:tc>
          <w:tcPr>
            <w:tcW w:w="0" w:type="auto"/>
            <w:gridSpan w:val="3"/>
            <w:shd w:val="clear" w:color="auto" w:fill="auto"/>
            <w:vAlign w:val="bottom"/>
          </w:tcPr>
          <w:p w14:paraId="5F2CDA91" w14:textId="77777777" w:rsidR="00E836FB" w:rsidRDefault="00E836FB">
            <w:pPr>
              <w:rPr>
                <w:rFonts w:ascii="宋体"/>
                <w:vanish/>
              </w:rPr>
            </w:pPr>
          </w:p>
        </w:tc>
        <w:tc>
          <w:tcPr>
            <w:tcW w:w="0" w:type="auto"/>
            <w:gridSpan w:val="3"/>
            <w:shd w:val="clear" w:color="auto" w:fill="auto"/>
            <w:vAlign w:val="bottom"/>
          </w:tcPr>
          <w:p w14:paraId="5F2CDA92" w14:textId="77777777" w:rsidR="00E836FB" w:rsidRDefault="00E836FB">
            <w:pPr>
              <w:rPr>
                <w:rFonts w:ascii="宋体"/>
                <w:vanish/>
              </w:rPr>
            </w:pPr>
          </w:p>
        </w:tc>
        <w:tc>
          <w:tcPr>
            <w:tcW w:w="0" w:type="auto"/>
            <w:gridSpan w:val="2"/>
            <w:shd w:val="clear" w:color="auto" w:fill="auto"/>
            <w:vAlign w:val="bottom"/>
          </w:tcPr>
          <w:p w14:paraId="5F2CDA93" w14:textId="77777777" w:rsidR="00E836FB" w:rsidRDefault="00E836FB">
            <w:pPr>
              <w:rPr>
                <w:rFonts w:ascii="宋体"/>
                <w:vanish/>
              </w:rPr>
            </w:pPr>
          </w:p>
        </w:tc>
        <w:tc>
          <w:tcPr>
            <w:tcW w:w="0" w:type="auto"/>
            <w:shd w:val="clear" w:color="auto" w:fill="auto"/>
            <w:vAlign w:val="bottom"/>
          </w:tcPr>
          <w:p w14:paraId="5F2CDA94" w14:textId="77777777" w:rsidR="00E836FB" w:rsidRDefault="00E836FB">
            <w:pPr>
              <w:rPr>
                <w:rFonts w:ascii="宋体"/>
                <w:vanish/>
              </w:rPr>
            </w:pPr>
          </w:p>
        </w:tc>
      </w:tr>
      <w:tr w:rsidR="00E836FB" w14:paraId="5F2CDAB2" w14:textId="77777777">
        <w:tc>
          <w:tcPr>
            <w:tcW w:w="0" w:type="auto"/>
            <w:gridSpan w:val="3"/>
            <w:shd w:val="clear" w:color="auto" w:fill="FFFFFF"/>
            <w:tcMar>
              <w:top w:w="40" w:type="dxa"/>
              <w:left w:w="20" w:type="dxa"/>
              <w:bottom w:w="40" w:type="dxa"/>
              <w:right w:w="20" w:type="dxa"/>
            </w:tcMar>
            <w:vAlign w:val="bottom"/>
          </w:tcPr>
          <w:p w14:paraId="5F2CDA96" w14:textId="77777777" w:rsidR="00E836FB" w:rsidRDefault="00994958">
            <w:pPr>
              <w:spacing w:after="20"/>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5F2CDA97" w14:textId="77777777" w:rsidR="00E836FB" w:rsidRDefault="00994958">
            <w:pPr>
              <w:jc w:val="right"/>
              <w:textAlignment w:val="bottom"/>
            </w:pPr>
            <w:r>
              <w:rPr>
                <w:rFonts w:ascii="Arial" w:eastAsia="宋体" w:hAnsi="Arial" w:cs="Arial"/>
                <w:b/>
                <w:bCs/>
                <w:color w:val="000000"/>
                <w:sz w:val="15"/>
                <w:szCs w:val="15"/>
              </w:rPr>
              <w:t>667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A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9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A9A" w14:textId="77777777" w:rsidR="00E836FB" w:rsidRDefault="00994958">
            <w:pPr>
              <w:jc w:val="right"/>
              <w:textAlignment w:val="bottom"/>
            </w:pPr>
            <w:r>
              <w:rPr>
                <w:rFonts w:ascii="Arial" w:eastAsia="宋体" w:hAnsi="Arial" w:cs="Arial"/>
                <w:b/>
                <w:bCs/>
                <w:color w:val="000000"/>
                <w:sz w:val="15"/>
                <w:szCs w:val="15"/>
              </w:rPr>
              <w:t>13,218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A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9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A9D"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A9E" w14:textId="77777777" w:rsidR="00E836FB" w:rsidRDefault="00E836FB">
            <w:pPr>
              <w:jc w:val="right"/>
              <w:rPr>
                <w:rFonts w:ascii="宋体"/>
              </w:rPr>
            </w:pPr>
          </w:p>
        </w:tc>
        <w:tc>
          <w:tcPr>
            <w:tcW w:w="0" w:type="auto"/>
            <w:shd w:val="clear" w:color="auto" w:fill="auto"/>
            <w:vAlign w:val="bottom"/>
          </w:tcPr>
          <w:p w14:paraId="5F2CDA9F" w14:textId="77777777" w:rsidR="00E836FB" w:rsidRDefault="00E836FB">
            <w:pPr>
              <w:rPr>
                <w:rFonts w:ascii="宋体"/>
                <w:vanish/>
              </w:rPr>
            </w:pPr>
          </w:p>
        </w:tc>
        <w:tc>
          <w:tcPr>
            <w:tcW w:w="0" w:type="auto"/>
            <w:shd w:val="clear" w:color="auto" w:fill="auto"/>
            <w:vAlign w:val="bottom"/>
          </w:tcPr>
          <w:p w14:paraId="5F2CDAA0"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DA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AA2" w14:textId="77777777" w:rsidR="00E836FB" w:rsidRDefault="00994958">
            <w:pPr>
              <w:jc w:val="right"/>
              <w:textAlignment w:val="bottom"/>
            </w:pPr>
            <w:r>
              <w:rPr>
                <w:rFonts w:ascii="Arial" w:eastAsia="宋体" w:hAnsi="Arial" w:cs="Arial"/>
                <w:color w:val="000000"/>
                <w:sz w:val="15"/>
                <w:szCs w:val="15"/>
              </w:rPr>
              <w:t>83 </w:t>
            </w:r>
          </w:p>
        </w:tc>
        <w:tc>
          <w:tcPr>
            <w:tcW w:w="0" w:type="auto"/>
            <w:shd w:val="clear" w:color="auto" w:fill="FFFFFF"/>
            <w:tcMar>
              <w:top w:w="40" w:type="dxa"/>
              <w:left w:w="0" w:type="dxa"/>
              <w:bottom w:w="40" w:type="dxa"/>
              <w:right w:w="20" w:type="dxa"/>
            </w:tcMar>
            <w:vAlign w:val="bottom"/>
          </w:tcPr>
          <w:p w14:paraId="5F2CDA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AA5" w14:textId="77777777" w:rsidR="00E836FB" w:rsidRDefault="00994958">
            <w:pPr>
              <w:jc w:val="right"/>
              <w:textAlignment w:val="bottom"/>
            </w:pPr>
            <w:r>
              <w:rPr>
                <w:rFonts w:ascii="Arial" w:eastAsia="宋体" w:hAnsi="Arial" w:cs="Arial"/>
                <w:color w:val="000000"/>
                <w:sz w:val="15"/>
                <w:szCs w:val="15"/>
              </w:rPr>
              <w:t>8,465 </w:t>
            </w:r>
          </w:p>
        </w:tc>
        <w:tc>
          <w:tcPr>
            <w:tcW w:w="0" w:type="auto"/>
            <w:shd w:val="clear" w:color="auto" w:fill="FFFFFF"/>
            <w:tcMar>
              <w:top w:w="40" w:type="dxa"/>
              <w:left w:w="0" w:type="dxa"/>
              <w:bottom w:w="40" w:type="dxa"/>
              <w:right w:w="20" w:type="dxa"/>
            </w:tcMar>
            <w:vAlign w:val="bottom"/>
          </w:tcPr>
          <w:p w14:paraId="5F2CDA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AA8"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AA9" w14:textId="77777777" w:rsidR="00E836FB" w:rsidRDefault="00E836FB">
            <w:pPr>
              <w:jc w:val="right"/>
              <w:rPr>
                <w:rFonts w:ascii="宋体"/>
              </w:rPr>
            </w:pPr>
          </w:p>
        </w:tc>
        <w:tc>
          <w:tcPr>
            <w:tcW w:w="0" w:type="auto"/>
            <w:shd w:val="clear" w:color="auto" w:fill="auto"/>
            <w:vAlign w:val="bottom"/>
          </w:tcPr>
          <w:p w14:paraId="5F2CDAAA" w14:textId="77777777" w:rsidR="00E836FB" w:rsidRDefault="00E836FB">
            <w:pPr>
              <w:rPr>
                <w:rFonts w:ascii="宋体"/>
                <w:vanish/>
              </w:rPr>
            </w:pPr>
          </w:p>
        </w:tc>
        <w:tc>
          <w:tcPr>
            <w:tcW w:w="0" w:type="auto"/>
            <w:shd w:val="clear" w:color="auto" w:fill="auto"/>
            <w:vAlign w:val="bottom"/>
          </w:tcPr>
          <w:p w14:paraId="5F2CDAAB" w14:textId="77777777" w:rsidR="00E836FB" w:rsidRDefault="00E836FB">
            <w:pPr>
              <w:rPr>
                <w:rFonts w:ascii="宋体"/>
                <w:vanish/>
              </w:rPr>
            </w:pPr>
          </w:p>
        </w:tc>
        <w:tc>
          <w:tcPr>
            <w:tcW w:w="0" w:type="auto"/>
            <w:gridSpan w:val="3"/>
            <w:shd w:val="clear" w:color="auto" w:fill="auto"/>
            <w:vAlign w:val="bottom"/>
          </w:tcPr>
          <w:p w14:paraId="5F2CDAAC" w14:textId="77777777" w:rsidR="00E836FB" w:rsidRDefault="00E836FB">
            <w:pPr>
              <w:rPr>
                <w:rFonts w:ascii="宋体"/>
                <w:vanish/>
              </w:rPr>
            </w:pPr>
          </w:p>
        </w:tc>
        <w:tc>
          <w:tcPr>
            <w:tcW w:w="0" w:type="auto"/>
            <w:gridSpan w:val="3"/>
            <w:shd w:val="clear" w:color="auto" w:fill="auto"/>
            <w:vAlign w:val="bottom"/>
          </w:tcPr>
          <w:p w14:paraId="5F2CDAAD" w14:textId="77777777" w:rsidR="00E836FB" w:rsidRDefault="00E836FB">
            <w:pPr>
              <w:rPr>
                <w:rFonts w:ascii="宋体"/>
                <w:vanish/>
              </w:rPr>
            </w:pPr>
          </w:p>
        </w:tc>
        <w:tc>
          <w:tcPr>
            <w:tcW w:w="0" w:type="auto"/>
            <w:gridSpan w:val="3"/>
            <w:shd w:val="clear" w:color="auto" w:fill="auto"/>
            <w:vAlign w:val="bottom"/>
          </w:tcPr>
          <w:p w14:paraId="5F2CDAAE" w14:textId="77777777" w:rsidR="00E836FB" w:rsidRDefault="00E836FB">
            <w:pPr>
              <w:rPr>
                <w:rFonts w:ascii="宋体"/>
                <w:vanish/>
              </w:rPr>
            </w:pPr>
          </w:p>
        </w:tc>
        <w:tc>
          <w:tcPr>
            <w:tcW w:w="0" w:type="auto"/>
            <w:gridSpan w:val="3"/>
            <w:shd w:val="clear" w:color="auto" w:fill="auto"/>
            <w:vAlign w:val="bottom"/>
          </w:tcPr>
          <w:p w14:paraId="5F2CDAAF" w14:textId="77777777" w:rsidR="00E836FB" w:rsidRDefault="00E836FB">
            <w:pPr>
              <w:rPr>
                <w:rFonts w:ascii="宋体"/>
                <w:vanish/>
              </w:rPr>
            </w:pPr>
          </w:p>
        </w:tc>
        <w:tc>
          <w:tcPr>
            <w:tcW w:w="0" w:type="auto"/>
            <w:gridSpan w:val="2"/>
            <w:shd w:val="clear" w:color="auto" w:fill="auto"/>
            <w:vAlign w:val="bottom"/>
          </w:tcPr>
          <w:p w14:paraId="5F2CDAB0" w14:textId="77777777" w:rsidR="00E836FB" w:rsidRDefault="00E836FB">
            <w:pPr>
              <w:rPr>
                <w:rFonts w:ascii="宋体"/>
                <w:vanish/>
              </w:rPr>
            </w:pPr>
          </w:p>
        </w:tc>
        <w:tc>
          <w:tcPr>
            <w:tcW w:w="0" w:type="auto"/>
            <w:shd w:val="clear" w:color="auto" w:fill="auto"/>
            <w:vAlign w:val="bottom"/>
          </w:tcPr>
          <w:p w14:paraId="5F2CDAB1" w14:textId="77777777" w:rsidR="00E836FB" w:rsidRDefault="00E836FB">
            <w:pPr>
              <w:rPr>
                <w:rFonts w:ascii="宋体"/>
                <w:vanish/>
              </w:rPr>
            </w:pPr>
          </w:p>
        </w:tc>
      </w:tr>
      <w:tr w:rsidR="00E836FB" w14:paraId="5F2CDACF" w14:textId="77777777">
        <w:tc>
          <w:tcPr>
            <w:tcW w:w="0" w:type="auto"/>
            <w:gridSpan w:val="3"/>
            <w:shd w:val="clear" w:color="auto" w:fill="CCEEFF"/>
            <w:tcMar>
              <w:top w:w="40" w:type="dxa"/>
              <w:left w:w="20" w:type="dxa"/>
              <w:bottom w:w="40" w:type="dxa"/>
              <w:right w:w="20" w:type="dxa"/>
            </w:tcMar>
            <w:vAlign w:val="bottom"/>
          </w:tcPr>
          <w:p w14:paraId="5F2CDAB3" w14:textId="77777777" w:rsidR="00E836FB" w:rsidRDefault="00994958">
            <w:pPr>
              <w:spacing w:after="20"/>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5F2CDAB4" w14:textId="77777777" w:rsidR="00E836FB" w:rsidRDefault="00994958">
            <w:pPr>
              <w:jc w:val="right"/>
              <w:textAlignment w:val="bottom"/>
            </w:pPr>
            <w:r>
              <w:rPr>
                <w:rFonts w:ascii="Arial" w:eastAsia="宋体" w:hAnsi="Arial" w:cs="Arial"/>
                <w:b/>
                <w:bCs/>
                <w:color w:val="000000"/>
                <w:sz w:val="15"/>
                <w:szCs w:val="15"/>
              </w:rPr>
              <w:t>(1,551)</w:t>
            </w:r>
          </w:p>
        </w:tc>
        <w:tc>
          <w:tcPr>
            <w:tcW w:w="0" w:type="auto"/>
            <w:shd w:val="clear" w:color="auto" w:fill="CCEEFF"/>
            <w:tcMar>
              <w:top w:w="40" w:type="dxa"/>
              <w:left w:w="0" w:type="dxa"/>
              <w:bottom w:w="40" w:type="dxa"/>
              <w:right w:w="20" w:type="dxa"/>
            </w:tcMar>
            <w:vAlign w:val="bottom"/>
          </w:tcPr>
          <w:p w14:paraId="5F2CDA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B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AB7" w14:textId="77777777" w:rsidR="00E836FB" w:rsidRDefault="00994958">
            <w:pPr>
              <w:jc w:val="right"/>
              <w:textAlignment w:val="bottom"/>
            </w:pPr>
            <w:r>
              <w:rPr>
                <w:rFonts w:ascii="Arial" w:eastAsia="宋体" w:hAnsi="Arial" w:cs="Arial"/>
                <w:b/>
                <w:bCs/>
                <w:color w:val="000000"/>
                <w:sz w:val="15"/>
                <w:szCs w:val="15"/>
              </w:rPr>
              <w:t>(17,500)</w:t>
            </w:r>
          </w:p>
        </w:tc>
        <w:tc>
          <w:tcPr>
            <w:tcW w:w="0" w:type="auto"/>
            <w:shd w:val="clear" w:color="auto" w:fill="CCEEFF"/>
            <w:tcMar>
              <w:top w:w="40" w:type="dxa"/>
              <w:left w:w="0" w:type="dxa"/>
              <w:bottom w:w="40" w:type="dxa"/>
              <w:right w:w="20" w:type="dxa"/>
            </w:tcMar>
            <w:vAlign w:val="bottom"/>
          </w:tcPr>
          <w:p w14:paraId="5F2CDA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B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AB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ABB" w14:textId="77777777" w:rsidR="00E836FB" w:rsidRDefault="00E836FB">
            <w:pPr>
              <w:jc w:val="right"/>
              <w:rPr>
                <w:rFonts w:ascii="宋体"/>
              </w:rPr>
            </w:pPr>
          </w:p>
        </w:tc>
        <w:tc>
          <w:tcPr>
            <w:tcW w:w="0" w:type="auto"/>
            <w:shd w:val="clear" w:color="auto" w:fill="auto"/>
            <w:vAlign w:val="bottom"/>
          </w:tcPr>
          <w:p w14:paraId="5F2CDABC" w14:textId="77777777" w:rsidR="00E836FB" w:rsidRDefault="00E836FB">
            <w:pPr>
              <w:rPr>
                <w:rFonts w:ascii="宋体"/>
                <w:vanish/>
              </w:rPr>
            </w:pPr>
          </w:p>
        </w:tc>
        <w:tc>
          <w:tcPr>
            <w:tcW w:w="0" w:type="auto"/>
            <w:shd w:val="clear" w:color="auto" w:fill="auto"/>
            <w:vAlign w:val="bottom"/>
          </w:tcPr>
          <w:p w14:paraId="5F2CDABD"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DA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ABF" w14:textId="77777777" w:rsidR="00E836FB" w:rsidRDefault="00994958">
            <w:pPr>
              <w:jc w:val="right"/>
              <w:textAlignment w:val="bottom"/>
            </w:pPr>
            <w:r>
              <w:rPr>
                <w:rFonts w:ascii="Arial" w:eastAsia="宋体" w:hAnsi="Arial" w:cs="Arial"/>
                <w:color w:val="000000"/>
                <w:sz w:val="15"/>
                <w:szCs w:val="15"/>
              </w:rPr>
              <w:t>(51)</w:t>
            </w:r>
          </w:p>
        </w:tc>
        <w:tc>
          <w:tcPr>
            <w:tcW w:w="0" w:type="auto"/>
            <w:shd w:val="clear" w:color="auto" w:fill="CCEEFF"/>
            <w:tcMar>
              <w:top w:w="40" w:type="dxa"/>
              <w:left w:w="0" w:type="dxa"/>
              <w:bottom w:w="40" w:type="dxa"/>
              <w:right w:w="20" w:type="dxa"/>
            </w:tcMar>
            <w:vAlign w:val="bottom"/>
          </w:tcPr>
          <w:p w14:paraId="5F2CDA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AC2" w14:textId="77777777" w:rsidR="00E836FB" w:rsidRDefault="00994958">
            <w:pPr>
              <w:jc w:val="right"/>
              <w:textAlignment w:val="bottom"/>
            </w:pPr>
            <w:r>
              <w:rPr>
                <w:rFonts w:ascii="Arial" w:eastAsia="宋体" w:hAnsi="Arial" w:cs="Arial"/>
                <w:color w:val="000000"/>
                <w:sz w:val="15"/>
                <w:szCs w:val="15"/>
              </w:rPr>
              <w:t>(8,102)</w:t>
            </w:r>
          </w:p>
        </w:tc>
        <w:tc>
          <w:tcPr>
            <w:tcW w:w="0" w:type="auto"/>
            <w:shd w:val="clear" w:color="auto" w:fill="CCEEFF"/>
            <w:tcMar>
              <w:top w:w="40" w:type="dxa"/>
              <w:left w:w="0" w:type="dxa"/>
              <w:bottom w:w="40" w:type="dxa"/>
              <w:right w:w="20" w:type="dxa"/>
            </w:tcMar>
            <w:vAlign w:val="bottom"/>
          </w:tcPr>
          <w:p w14:paraId="5F2CDA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A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AC5"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DAC6" w14:textId="77777777" w:rsidR="00E836FB" w:rsidRDefault="00E836FB">
            <w:pPr>
              <w:jc w:val="right"/>
              <w:rPr>
                <w:rFonts w:ascii="宋体"/>
              </w:rPr>
            </w:pPr>
          </w:p>
        </w:tc>
        <w:tc>
          <w:tcPr>
            <w:tcW w:w="0" w:type="auto"/>
            <w:shd w:val="clear" w:color="auto" w:fill="auto"/>
            <w:vAlign w:val="bottom"/>
          </w:tcPr>
          <w:p w14:paraId="5F2CDAC7" w14:textId="77777777" w:rsidR="00E836FB" w:rsidRDefault="00E836FB">
            <w:pPr>
              <w:rPr>
                <w:rFonts w:ascii="宋体"/>
                <w:vanish/>
              </w:rPr>
            </w:pPr>
          </w:p>
        </w:tc>
        <w:tc>
          <w:tcPr>
            <w:tcW w:w="0" w:type="auto"/>
            <w:shd w:val="clear" w:color="auto" w:fill="auto"/>
            <w:vAlign w:val="bottom"/>
          </w:tcPr>
          <w:p w14:paraId="5F2CDAC8" w14:textId="77777777" w:rsidR="00E836FB" w:rsidRDefault="00E836FB">
            <w:pPr>
              <w:rPr>
                <w:rFonts w:ascii="宋体"/>
                <w:vanish/>
              </w:rPr>
            </w:pPr>
          </w:p>
        </w:tc>
        <w:tc>
          <w:tcPr>
            <w:tcW w:w="0" w:type="auto"/>
            <w:gridSpan w:val="3"/>
            <w:shd w:val="clear" w:color="auto" w:fill="auto"/>
            <w:vAlign w:val="bottom"/>
          </w:tcPr>
          <w:p w14:paraId="5F2CDAC9" w14:textId="77777777" w:rsidR="00E836FB" w:rsidRDefault="00E836FB">
            <w:pPr>
              <w:rPr>
                <w:rFonts w:ascii="宋体"/>
                <w:vanish/>
              </w:rPr>
            </w:pPr>
          </w:p>
        </w:tc>
        <w:tc>
          <w:tcPr>
            <w:tcW w:w="0" w:type="auto"/>
            <w:gridSpan w:val="3"/>
            <w:shd w:val="clear" w:color="auto" w:fill="auto"/>
            <w:vAlign w:val="bottom"/>
          </w:tcPr>
          <w:p w14:paraId="5F2CDACA" w14:textId="77777777" w:rsidR="00E836FB" w:rsidRDefault="00E836FB">
            <w:pPr>
              <w:rPr>
                <w:rFonts w:ascii="宋体"/>
                <w:vanish/>
              </w:rPr>
            </w:pPr>
          </w:p>
        </w:tc>
        <w:tc>
          <w:tcPr>
            <w:tcW w:w="0" w:type="auto"/>
            <w:gridSpan w:val="3"/>
            <w:shd w:val="clear" w:color="auto" w:fill="auto"/>
            <w:vAlign w:val="bottom"/>
          </w:tcPr>
          <w:p w14:paraId="5F2CDACB" w14:textId="77777777" w:rsidR="00E836FB" w:rsidRDefault="00E836FB">
            <w:pPr>
              <w:rPr>
                <w:rFonts w:ascii="宋体"/>
                <w:vanish/>
              </w:rPr>
            </w:pPr>
          </w:p>
        </w:tc>
        <w:tc>
          <w:tcPr>
            <w:tcW w:w="0" w:type="auto"/>
            <w:gridSpan w:val="3"/>
            <w:shd w:val="clear" w:color="auto" w:fill="auto"/>
            <w:vAlign w:val="bottom"/>
          </w:tcPr>
          <w:p w14:paraId="5F2CDACC" w14:textId="77777777" w:rsidR="00E836FB" w:rsidRDefault="00E836FB">
            <w:pPr>
              <w:rPr>
                <w:rFonts w:ascii="宋体"/>
                <w:vanish/>
              </w:rPr>
            </w:pPr>
          </w:p>
        </w:tc>
        <w:tc>
          <w:tcPr>
            <w:tcW w:w="0" w:type="auto"/>
            <w:gridSpan w:val="2"/>
            <w:shd w:val="clear" w:color="auto" w:fill="auto"/>
            <w:vAlign w:val="bottom"/>
          </w:tcPr>
          <w:p w14:paraId="5F2CDACD" w14:textId="77777777" w:rsidR="00E836FB" w:rsidRDefault="00E836FB">
            <w:pPr>
              <w:rPr>
                <w:rFonts w:ascii="宋体"/>
                <w:vanish/>
              </w:rPr>
            </w:pPr>
          </w:p>
        </w:tc>
        <w:tc>
          <w:tcPr>
            <w:tcW w:w="0" w:type="auto"/>
            <w:shd w:val="clear" w:color="auto" w:fill="auto"/>
            <w:vAlign w:val="bottom"/>
          </w:tcPr>
          <w:p w14:paraId="5F2CDACE" w14:textId="77777777" w:rsidR="00E836FB" w:rsidRDefault="00E836FB">
            <w:pPr>
              <w:rPr>
                <w:rFonts w:ascii="宋体"/>
                <w:vanish/>
              </w:rPr>
            </w:pPr>
          </w:p>
        </w:tc>
      </w:tr>
      <w:tr w:rsidR="00E836FB" w14:paraId="5F2CDAF2" w14:textId="77777777">
        <w:tc>
          <w:tcPr>
            <w:tcW w:w="0" w:type="auto"/>
            <w:gridSpan w:val="3"/>
            <w:shd w:val="clear" w:color="auto" w:fill="FFFFFF"/>
            <w:tcMar>
              <w:top w:w="40" w:type="dxa"/>
              <w:left w:w="20" w:type="dxa"/>
              <w:bottom w:w="40" w:type="dxa"/>
              <w:right w:w="20" w:type="dxa"/>
            </w:tcMar>
            <w:vAlign w:val="bottom"/>
          </w:tcPr>
          <w:p w14:paraId="5F2CDAD0" w14:textId="77777777" w:rsidR="00E836FB" w:rsidRDefault="00994958">
            <w:pPr>
              <w:spacing w:after="20"/>
              <w:textAlignment w:val="bottom"/>
            </w:pPr>
            <w:r>
              <w:rPr>
                <w:rFonts w:ascii="Arial" w:eastAsia="宋体" w:hAnsi="Arial" w:cs="Arial"/>
                <w:color w:val="000000"/>
                <w:sz w:val="15"/>
                <w:szCs w:val="15"/>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AD1"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AD2" w14:textId="77777777" w:rsidR="00E836FB" w:rsidRDefault="00994958">
            <w:pPr>
              <w:jc w:val="right"/>
              <w:textAlignment w:val="bottom"/>
            </w:pPr>
            <w:r>
              <w:rPr>
                <w:rFonts w:ascii="Arial" w:eastAsia="宋体" w:hAnsi="Arial" w:cs="Arial"/>
                <w:b/>
                <w:bCs/>
                <w:color w:val="000000"/>
                <w:sz w:val="15"/>
                <w:szCs w:val="15"/>
              </w:rPr>
              <w:t>8,561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A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D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AD5"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AD6" w14:textId="77777777" w:rsidR="00E836FB" w:rsidRDefault="00994958">
            <w:pPr>
              <w:jc w:val="right"/>
              <w:textAlignment w:val="bottom"/>
            </w:pPr>
            <w:r>
              <w:rPr>
                <w:rFonts w:ascii="Arial" w:eastAsia="宋体" w:hAnsi="Arial" w:cs="Arial"/>
                <w:b/>
                <w:bCs/>
                <w:color w:val="000000"/>
                <w:sz w:val="15"/>
                <w:szCs w:val="15"/>
              </w:rPr>
              <w:t>59,086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A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D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AD9"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ADA" w14:textId="77777777" w:rsidR="00E836FB" w:rsidRDefault="00994958">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ADB" w14:textId="77777777" w:rsidR="00E836FB" w:rsidRDefault="00E836FB">
            <w:pPr>
              <w:jc w:val="right"/>
              <w:rPr>
                <w:rFonts w:ascii="宋体"/>
              </w:rPr>
            </w:pPr>
          </w:p>
        </w:tc>
        <w:tc>
          <w:tcPr>
            <w:tcW w:w="0" w:type="auto"/>
            <w:shd w:val="clear" w:color="auto" w:fill="auto"/>
            <w:vAlign w:val="bottom"/>
          </w:tcPr>
          <w:p w14:paraId="5F2CDADC" w14:textId="77777777" w:rsidR="00E836FB" w:rsidRDefault="00E836FB">
            <w:pPr>
              <w:rPr>
                <w:rFonts w:ascii="宋体"/>
                <w:vanish/>
              </w:rPr>
            </w:pPr>
          </w:p>
        </w:tc>
        <w:tc>
          <w:tcPr>
            <w:tcW w:w="0" w:type="auto"/>
            <w:shd w:val="clear" w:color="auto" w:fill="auto"/>
            <w:vAlign w:val="bottom"/>
          </w:tcPr>
          <w:p w14:paraId="5F2CDADD"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CDADE"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ADF"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AE0" w14:textId="77777777" w:rsidR="00E836FB" w:rsidRDefault="00994958">
            <w:pPr>
              <w:jc w:val="right"/>
              <w:textAlignment w:val="bottom"/>
            </w:pPr>
            <w:r>
              <w:rPr>
                <w:rFonts w:ascii="Arial" w:eastAsia="宋体" w:hAnsi="Arial" w:cs="Arial"/>
                <w:color w:val="000000"/>
                <w:sz w:val="15"/>
                <w:szCs w:val="15"/>
              </w:rPr>
              <w:t>5,134 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A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E2"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AE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AE4" w14:textId="77777777" w:rsidR="00E836FB" w:rsidRDefault="00994958">
            <w:pPr>
              <w:jc w:val="right"/>
              <w:textAlignment w:val="bottom"/>
            </w:pPr>
            <w:r>
              <w:rPr>
                <w:rFonts w:ascii="Arial" w:eastAsia="宋体" w:hAnsi="Arial" w:cs="Arial"/>
                <w:color w:val="000000"/>
                <w:sz w:val="15"/>
                <w:szCs w:val="15"/>
              </w:rPr>
              <w:t>39,978 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A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AE6"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DAE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DAE8" w14:textId="77777777" w:rsidR="00E836FB" w:rsidRDefault="00994958">
            <w:pPr>
              <w:jc w:val="right"/>
              <w:textAlignment w:val="bottom"/>
            </w:pPr>
            <w:r>
              <w:rPr>
                <w:rFonts w:ascii="Arial" w:eastAsia="宋体" w:hAnsi="Arial" w:cs="Arial"/>
                <w:color w:val="000000"/>
                <w:sz w:val="15"/>
                <w:szCs w:val="15"/>
              </w:rPr>
              <w:t>265 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DAE9" w14:textId="77777777" w:rsidR="00E836FB" w:rsidRDefault="00E836FB">
            <w:pPr>
              <w:jc w:val="right"/>
              <w:rPr>
                <w:rFonts w:ascii="宋体"/>
              </w:rPr>
            </w:pPr>
          </w:p>
        </w:tc>
        <w:tc>
          <w:tcPr>
            <w:tcW w:w="0" w:type="auto"/>
            <w:shd w:val="clear" w:color="auto" w:fill="auto"/>
            <w:vAlign w:val="bottom"/>
          </w:tcPr>
          <w:p w14:paraId="5F2CDAEA" w14:textId="77777777" w:rsidR="00E836FB" w:rsidRDefault="00E836FB">
            <w:pPr>
              <w:rPr>
                <w:rFonts w:ascii="宋体"/>
                <w:vanish/>
              </w:rPr>
            </w:pPr>
          </w:p>
        </w:tc>
        <w:tc>
          <w:tcPr>
            <w:tcW w:w="0" w:type="auto"/>
            <w:shd w:val="clear" w:color="auto" w:fill="auto"/>
            <w:vAlign w:val="bottom"/>
          </w:tcPr>
          <w:p w14:paraId="5F2CDAEB" w14:textId="77777777" w:rsidR="00E836FB" w:rsidRDefault="00E836FB">
            <w:pPr>
              <w:rPr>
                <w:rFonts w:ascii="宋体"/>
                <w:vanish/>
              </w:rPr>
            </w:pPr>
          </w:p>
        </w:tc>
        <w:tc>
          <w:tcPr>
            <w:tcW w:w="0" w:type="auto"/>
            <w:gridSpan w:val="3"/>
            <w:shd w:val="clear" w:color="auto" w:fill="auto"/>
            <w:vAlign w:val="bottom"/>
          </w:tcPr>
          <w:p w14:paraId="5F2CDAEC" w14:textId="77777777" w:rsidR="00E836FB" w:rsidRDefault="00E836FB">
            <w:pPr>
              <w:rPr>
                <w:rFonts w:ascii="宋体"/>
                <w:vanish/>
              </w:rPr>
            </w:pPr>
          </w:p>
        </w:tc>
        <w:tc>
          <w:tcPr>
            <w:tcW w:w="0" w:type="auto"/>
            <w:gridSpan w:val="3"/>
            <w:shd w:val="clear" w:color="auto" w:fill="auto"/>
            <w:vAlign w:val="bottom"/>
          </w:tcPr>
          <w:p w14:paraId="5F2CDAED" w14:textId="77777777" w:rsidR="00E836FB" w:rsidRDefault="00E836FB">
            <w:pPr>
              <w:rPr>
                <w:rFonts w:ascii="宋体"/>
                <w:vanish/>
              </w:rPr>
            </w:pPr>
          </w:p>
        </w:tc>
        <w:tc>
          <w:tcPr>
            <w:tcW w:w="0" w:type="auto"/>
            <w:gridSpan w:val="3"/>
            <w:shd w:val="clear" w:color="auto" w:fill="auto"/>
            <w:vAlign w:val="bottom"/>
          </w:tcPr>
          <w:p w14:paraId="5F2CDAEE" w14:textId="77777777" w:rsidR="00E836FB" w:rsidRDefault="00E836FB">
            <w:pPr>
              <w:rPr>
                <w:rFonts w:ascii="宋体"/>
                <w:vanish/>
              </w:rPr>
            </w:pPr>
          </w:p>
        </w:tc>
        <w:tc>
          <w:tcPr>
            <w:tcW w:w="0" w:type="auto"/>
            <w:gridSpan w:val="3"/>
            <w:shd w:val="clear" w:color="auto" w:fill="auto"/>
            <w:vAlign w:val="bottom"/>
          </w:tcPr>
          <w:p w14:paraId="5F2CDAEF" w14:textId="77777777" w:rsidR="00E836FB" w:rsidRDefault="00E836FB">
            <w:pPr>
              <w:rPr>
                <w:rFonts w:ascii="宋体"/>
                <w:vanish/>
              </w:rPr>
            </w:pPr>
          </w:p>
        </w:tc>
        <w:tc>
          <w:tcPr>
            <w:tcW w:w="0" w:type="auto"/>
            <w:gridSpan w:val="2"/>
            <w:shd w:val="clear" w:color="auto" w:fill="auto"/>
            <w:vAlign w:val="bottom"/>
          </w:tcPr>
          <w:p w14:paraId="5F2CDAF0" w14:textId="77777777" w:rsidR="00E836FB" w:rsidRDefault="00E836FB">
            <w:pPr>
              <w:rPr>
                <w:rFonts w:ascii="宋体"/>
                <w:vanish/>
              </w:rPr>
            </w:pPr>
          </w:p>
        </w:tc>
        <w:tc>
          <w:tcPr>
            <w:tcW w:w="0" w:type="auto"/>
            <w:shd w:val="clear" w:color="auto" w:fill="auto"/>
            <w:vAlign w:val="bottom"/>
          </w:tcPr>
          <w:p w14:paraId="5F2CDAF1" w14:textId="77777777" w:rsidR="00E836FB" w:rsidRDefault="00E836FB">
            <w:pPr>
              <w:rPr>
                <w:rFonts w:ascii="宋体"/>
                <w:vanish/>
              </w:rPr>
            </w:pPr>
          </w:p>
        </w:tc>
      </w:tr>
    </w:tbl>
    <w:p w14:paraId="5F2CDAF3"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E836FB" w14:paraId="5F2CDAFD" w14:textId="77777777">
        <w:tc>
          <w:tcPr>
            <w:tcW w:w="50" w:type="pct"/>
            <w:shd w:val="clear" w:color="auto" w:fill="auto"/>
            <w:vAlign w:val="bottom"/>
          </w:tcPr>
          <w:p w14:paraId="5F2CDAF4" w14:textId="77777777" w:rsidR="00E836FB" w:rsidRDefault="00E836FB">
            <w:pPr>
              <w:rPr>
                <w:rFonts w:ascii="宋体"/>
              </w:rPr>
            </w:pPr>
          </w:p>
        </w:tc>
        <w:tc>
          <w:tcPr>
            <w:tcW w:w="1348" w:type="pct"/>
            <w:shd w:val="clear" w:color="auto" w:fill="auto"/>
            <w:vAlign w:val="bottom"/>
          </w:tcPr>
          <w:p w14:paraId="5F2CDAF5" w14:textId="77777777" w:rsidR="00E836FB" w:rsidRDefault="00E836FB">
            <w:pPr>
              <w:rPr>
                <w:rFonts w:ascii="宋体"/>
              </w:rPr>
            </w:pPr>
          </w:p>
        </w:tc>
        <w:tc>
          <w:tcPr>
            <w:tcW w:w="5" w:type="pct"/>
            <w:shd w:val="clear" w:color="auto" w:fill="auto"/>
            <w:vAlign w:val="bottom"/>
          </w:tcPr>
          <w:p w14:paraId="5F2CDAF6" w14:textId="77777777" w:rsidR="00E836FB" w:rsidRDefault="00E836FB">
            <w:pPr>
              <w:rPr>
                <w:rFonts w:ascii="宋体"/>
              </w:rPr>
            </w:pPr>
          </w:p>
        </w:tc>
        <w:tc>
          <w:tcPr>
            <w:tcW w:w="50" w:type="pct"/>
            <w:shd w:val="clear" w:color="auto" w:fill="auto"/>
            <w:vAlign w:val="bottom"/>
          </w:tcPr>
          <w:p w14:paraId="5F2CDAF7" w14:textId="77777777" w:rsidR="00E836FB" w:rsidRDefault="00E836FB">
            <w:pPr>
              <w:rPr>
                <w:rFonts w:ascii="宋体"/>
              </w:rPr>
            </w:pPr>
          </w:p>
        </w:tc>
        <w:tc>
          <w:tcPr>
            <w:tcW w:w="1290" w:type="pct"/>
            <w:shd w:val="clear" w:color="auto" w:fill="auto"/>
            <w:vAlign w:val="bottom"/>
          </w:tcPr>
          <w:p w14:paraId="5F2CDAF8" w14:textId="77777777" w:rsidR="00E836FB" w:rsidRDefault="00E836FB">
            <w:pPr>
              <w:rPr>
                <w:rFonts w:ascii="宋体"/>
              </w:rPr>
            </w:pPr>
          </w:p>
        </w:tc>
        <w:tc>
          <w:tcPr>
            <w:tcW w:w="5" w:type="pct"/>
            <w:shd w:val="clear" w:color="auto" w:fill="auto"/>
            <w:vAlign w:val="bottom"/>
          </w:tcPr>
          <w:p w14:paraId="5F2CDAF9" w14:textId="77777777" w:rsidR="00E836FB" w:rsidRDefault="00E836FB">
            <w:pPr>
              <w:rPr>
                <w:rFonts w:ascii="宋体"/>
              </w:rPr>
            </w:pPr>
          </w:p>
        </w:tc>
        <w:tc>
          <w:tcPr>
            <w:tcW w:w="50" w:type="pct"/>
            <w:shd w:val="clear" w:color="auto" w:fill="auto"/>
            <w:vAlign w:val="bottom"/>
          </w:tcPr>
          <w:p w14:paraId="5F2CDAFA" w14:textId="77777777" w:rsidR="00E836FB" w:rsidRDefault="00E836FB">
            <w:pPr>
              <w:rPr>
                <w:rFonts w:ascii="宋体"/>
              </w:rPr>
            </w:pPr>
          </w:p>
        </w:tc>
        <w:tc>
          <w:tcPr>
            <w:tcW w:w="2196" w:type="pct"/>
            <w:shd w:val="clear" w:color="auto" w:fill="auto"/>
            <w:vAlign w:val="bottom"/>
          </w:tcPr>
          <w:p w14:paraId="5F2CDAFB" w14:textId="77777777" w:rsidR="00E836FB" w:rsidRDefault="00E836FB">
            <w:pPr>
              <w:rPr>
                <w:rFonts w:ascii="宋体"/>
              </w:rPr>
            </w:pPr>
          </w:p>
        </w:tc>
        <w:tc>
          <w:tcPr>
            <w:tcW w:w="5" w:type="pct"/>
            <w:shd w:val="clear" w:color="auto" w:fill="auto"/>
            <w:vAlign w:val="bottom"/>
          </w:tcPr>
          <w:p w14:paraId="5F2CDAFC" w14:textId="77777777" w:rsidR="00E836FB" w:rsidRDefault="00E836FB">
            <w:pPr>
              <w:rPr>
                <w:rFonts w:ascii="宋体"/>
              </w:rPr>
            </w:pPr>
          </w:p>
        </w:tc>
      </w:tr>
      <w:tr w:rsidR="00E836FB" w14:paraId="5F2CDB0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DAF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A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B00" w14:textId="77777777" w:rsidR="00E836FB" w:rsidRDefault="00E836FB">
            <w:pPr>
              <w:rPr>
                <w:rFonts w:ascii="宋体"/>
              </w:rPr>
            </w:pPr>
          </w:p>
        </w:tc>
      </w:tr>
    </w:tbl>
    <w:p w14:paraId="5F2CDB02"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For purposes of risk attribution by component, foreign exchange refers only to the risk from </w:t>
      </w:r>
      <w:r>
        <w:rPr>
          <w:rFonts w:ascii="Arial" w:eastAsia="宋体" w:hAnsi="Arial" w:cs="Arial"/>
          <w:color w:val="000000"/>
          <w:sz w:val="14"/>
          <w:szCs w:val="14"/>
        </w:rPr>
        <w:t>market movements in period-end rates.  Forwards, futures, options and swaps with maturities greater than period-end have embedded interest rate risk that is captured by t</w:t>
      </w:r>
      <w:r>
        <w:rPr>
          <w:rFonts w:ascii="Arial" w:eastAsia="宋体" w:hAnsi="Arial" w:cs="Arial"/>
          <w:color w:val="000000"/>
          <w:sz w:val="13"/>
          <w:szCs w:val="13"/>
        </w:rPr>
        <w:t>he measures used for interest rate risk.  Accordingly, the interest rate risk embedded</w:t>
      </w:r>
      <w:r>
        <w:rPr>
          <w:rFonts w:ascii="Arial" w:eastAsia="宋体" w:hAnsi="Arial" w:cs="Arial"/>
          <w:color w:val="000000"/>
          <w:sz w:val="13"/>
          <w:szCs w:val="13"/>
        </w:rPr>
        <w:t xml:space="preserve"> in these foreign exchange instruments is included in the interest rate risk component. </w:t>
      </w:r>
    </w:p>
    <w:p w14:paraId="5F2CDB03" w14:textId="77777777" w:rsidR="00E836FB" w:rsidRDefault="00994958">
      <w:pPr>
        <w:spacing w:before="60"/>
      </w:pPr>
      <w:r>
        <w:rPr>
          <w:rFonts w:ascii="Arial" w:eastAsia="宋体" w:hAnsi="Arial" w:cs="Arial"/>
          <w:b/>
          <w:bCs/>
          <w:i/>
          <w:iCs/>
          <w:color w:val="000000"/>
          <w:sz w:val="20"/>
          <w:szCs w:val="20"/>
        </w:rPr>
        <w:t>Asset and Liability Management Activities</w:t>
      </w:r>
    </w:p>
    <w:p w14:paraId="5F2CDB04" w14:textId="77777777" w:rsidR="00E836FB" w:rsidRDefault="00994958">
      <w:pPr>
        <w:spacing w:before="60"/>
        <w:ind w:firstLine="450"/>
        <w:jc w:val="both"/>
      </w:pPr>
      <w:r>
        <w:rPr>
          <w:rFonts w:ascii="Arial" w:eastAsia="宋体" w:hAnsi="Arial" w:cs="Arial"/>
          <w:color w:val="000000"/>
          <w:sz w:val="20"/>
          <w:szCs w:val="20"/>
        </w:rPr>
        <w:t xml:space="preserve">The primary objective of asset and liability management is to provide sustainable NII under varying economic </w:t>
      </w:r>
      <w:r>
        <w:rPr>
          <w:rFonts w:ascii="Arial" w:eastAsia="宋体" w:hAnsi="Arial" w:cs="Arial"/>
          <w:color w:val="000000"/>
          <w:sz w:val="20"/>
          <w:szCs w:val="20"/>
        </w:rPr>
        <w:t>conditions, while protecting the economic value of the assets and liabilities carried on our consolidated statement of condition from the adverse effects of changes in interest rates. While many market factors affect the level of NII and the economic value</w:t>
      </w:r>
      <w:r>
        <w:rPr>
          <w:rFonts w:ascii="Arial" w:eastAsia="宋体" w:hAnsi="Arial" w:cs="Arial"/>
          <w:color w:val="000000"/>
          <w:sz w:val="20"/>
          <w:szCs w:val="20"/>
        </w:rPr>
        <w:t xml:space="preserve"> of our assets and liabilities, one of the most significant factors is our exposure to movements in interest rates. Most of our NII is earned from the investment of client deposits generated by our businesses. We invest these client deposits in assets that</w:t>
      </w:r>
      <w:r>
        <w:rPr>
          <w:rFonts w:ascii="Arial" w:eastAsia="宋体" w:hAnsi="Arial" w:cs="Arial"/>
          <w:color w:val="000000"/>
          <w:sz w:val="20"/>
          <w:szCs w:val="20"/>
        </w:rPr>
        <w:t xml:space="preserve"> conform generally to the characteristics of our balance sheet liabilities, including the currency composition of our significant non-U.S. dollar denominated client liabilities.</w:t>
      </w:r>
    </w:p>
    <w:p w14:paraId="5F2CDB05" w14:textId="77777777" w:rsidR="00E836FB" w:rsidRDefault="00994958">
      <w:pPr>
        <w:spacing w:before="60"/>
        <w:ind w:firstLine="450"/>
        <w:jc w:val="both"/>
      </w:pPr>
      <w:r>
        <w:rPr>
          <w:rFonts w:ascii="Arial" w:eastAsia="宋体" w:hAnsi="Arial" w:cs="Arial"/>
          <w:color w:val="000000"/>
          <w:sz w:val="20"/>
          <w:szCs w:val="20"/>
        </w:rPr>
        <w:t>We quantify NII sensitivity using an earnings simulation model that includes o</w:t>
      </w:r>
      <w:r>
        <w:rPr>
          <w:rFonts w:ascii="Arial" w:eastAsia="宋体" w:hAnsi="Arial" w:cs="Arial"/>
          <w:color w:val="000000"/>
          <w:sz w:val="20"/>
          <w:szCs w:val="20"/>
        </w:rPr>
        <w:t>ur expectations for new business growth, changes in balance sheet mix and investment portfolio positioning. This measure compares our baseline view of NII over a twelve-month horizon, based on our internal forecast of interest rates, to a wide range of rat</w:t>
      </w:r>
      <w:r>
        <w:rPr>
          <w:rFonts w:ascii="Arial" w:eastAsia="宋体" w:hAnsi="Arial" w:cs="Arial"/>
          <w:color w:val="000000"/>
          <w:sz w:val="20"/>
          <w:szCs w:val="20"/>
        </w:rPr>
        <w:t>e shocks. The baseline view of NII is updated on a regular basis. Relative to December 31, 2020, the December 31, 2021 baseline forecast reflects an increased balance sheet size. Table 38, Key Interest Rates for Baseline Forecasts, presents the spot and 12</w:t>
      </w:r>
      <w:r>
        <w:rPr>
          <w:rFonts w:ascii="Arial" w:eastAsia="宋体" w:hAnsi="Arial" w:cs="Arial"/>
          <w:color w:val="000000"/>
          <w:sz w:val="20"/>
          <w:szCs w:val="20"/>
        </w:rPr>
        <w:t>-month forward rates used in our baseline forecasts at December 31, 2021 and December 31, 2020. Our December 31, 2021 baseline forecast includes the expectation of three rate hikes by the Federal Reserve over the next 12 months.</w:t>
      </w:r>
    </w:p>
    <w:tbl>
      <w:tblPr>
        <w:tblW w:w="4993" w:type="pct"/>
        <w:tblCellMar>
          <w:top w:w="15" w:type="dxa"/>
          <w:left w:w="15" w:type="dxa"/>
          <w:bottom w:w="15" w:type="dxa"/>
          <w:right w:w="15" w:type="dxa"/>
        </w:tblCellMar>
        <w:tblLook w:val="04A0" w:firstRow="1" w:lastRow="0" w:firstColumn="1" w:lastColumn="0" w:noHBand="0" w:noVBand="1"/>
      </w:tblPr>
      <w:tblGrid>
        <w:gridCol w:w="38"/>
        <w:gridCol w:w="2178"/>
        <w:gridCol w:w="38"/>
        <w:gridCol w:w="37"/>
        <w:gridCol w:w="1288"/>
        <w:gridCol w:w="146"/>
        <w:gridCol w:w="37"/>
        <w:gridCol w:w="37"/>
        <w:gridCol w:w="37"/>
        <w:gridCol w:w="38"/>
        <w:gridCol w:w="1238"/>
        <w:gridCol w:w="147"/>
        <w:gridCol w:w="36"/>
        <w:gridCol w:w="36"/>
        <w:gridCol w:w="36"/>
        <w:gridCol w:w="37"/>
        <w:gridCol w:w="1240"/>
        <w:gridCol w:w="146"/>
        <w:gridCol w:w="37"/>
        <w:gridCol w:w="37"/>
        <w:gridCol w:w="37"/>
        <w:gridCol w:w="38"/>
        <w:gridCol w:w="1238"/>
        <w:gridCol w:w="147"/>
      </w:tblGrid>
      <w:tr w:rsidR="00E836FB" w14:paraId="5F2CDB1E" w14:textId="77777777">
        <w:tc>
          <w:tcPr>
            <w:tcW w:w="50" w:type="pct"/>
            <w:shd w:val="clear" w:color="auto" w:fill="auto"/>
            <w:vAlign w:val="bottom"/>
          </w:tcPr>
          <w:p w14:paraId="5F2CDB06" w14:textId="77777777" w:rsidR="00E836FB" w:rsidRDefault="00E836FB">
            <w:pPr>
              <w:rPr>
                <w:rFonts w:ascii="宋体"/>
              </w:rPr>
            </w:pPr>
          </w:p>
        </w:tc>
        <w:tc>
          <w:tcPr>
            <w:tcW w:w="1350" w:type="pct"/>
            <w:shd w:val="clear" w:color="auto" w:fill="auto"/>
            <w:vAlign w:val="bottom"/>
          </w:tcPr>
          <w:p w14:paraId="5F2CDB07" w14:textId="77777777" w:rsidR="00E836FB" w:rsidRDefault="00E836FB">
            <w:pPr>
              <w:rPr>
                <w:rFonts w:ascii="宋体"/>
              </w:rPr>
            </w:pPr>
          </w:p>
        </w:tc>
        <w:tc>
          <w:tcPr>
            <w:tcW w:w="5" w:type="pct"/>
            <w:shd w:val="clear" w:color="auto" w:fill="auto"/>
            <w:vAlign w:val="bottom"/>
          </w:tcPr>
          <w:p w14:paraId="5F2CDB08" w14:textId="77777777" w:rsidR="00E836FB" w:rsidRDefault="00E836FB">
            <w:pPr>
              <w:rPr>
                <w:rFonts w:ascii="宋体"/>
              </w:rPr>
            </w:pPr>
          </w:p>
        </w:tc>
        <w:tc>
          <w:tcPr>
            <w:tcW w:w="50" w:type="pct"/>
            <w:shd w:val="clear" w:color="auto" w:fill="auto"/>
            <w:vAlign w:val="bottom"/>
          </w:tcPr>
          <w:p w14:paraId="5F2CDB09" w14:textId="77777777" w:rsidR="00E836FB" w:rsidRDefault="00E836FB">
            <w:pPr>
              <w:rPr>
                <w:rFonts w:ascii="宋体"/>
              </w:rPr>
            </w:pPr>
          </w:p>
        </w:tc>
        <w:tc>
          <w:tcPr>
            <w:tcW w:w="816" w:type="pct"/>
            <w:shd w:val="clear" w:color="auto" w:fill="auto"/>
            <w:vAlign w:val="bottom"/>
          </w:tcPr>
          <w:p w14:paraId="5F2CDB0A" w14:textId="77777777" w:rsidR="00E836FB" w:rsidRDefault="00E836FB">
            <w:pPr>
              <w:rPr>
                <w:rFonts w:ascii="宋体"/>
              </w:rPr>
            </w:pPr>
          </w:p>
        </w:tc>
        <w:tc>
          <w:tcPr>
            <w:tcW w:w="5" w:type="pct"/>
            <w:shd w:val="clear" w:color="auto" w:fill="auto"/>
            <w:vAlign w:val="bottom"/>
          </w:tcPr>
          <w:p w14:paraId="5F2CDB0B" w14:textId="77777777" w:rsidR="00E836FB" w:rsidRDefault="00E836FB">
            <w:pPr>
              <w:rPr>
                <w:rFonts w:ascii="宋体"/>
              </w:rPr>
            </w:pPr>
          </w:p>
        </w:tc>
        <w:tc>
          <w:tcPr>
            <w:tcW w:w="5" w:type="pct"/>
            <w:shd w:val="clear" w:color="auto" w:fill="auto"/>
            <w:vAlign w:val="bottom"/>
          </w:tcPr>
          <w:p w14:paraId="5F2CDB0C" w14:textId="77777777" w:rsidR="00E836FB" w:rsidRDefault="00E836FB">
            <w:pPr>
              <w:rPr>
                <w:rFonts w:ascii="宋体"/>
              </w:rPr>
            </w:pPr>
          </w:p>
        </w:tc>
        <w:tc>
          <w:tcPr>
            <w:tcW w:w="26" w:type="pct"/>
            <w:shd w:val="clear" w:color="auto" w:fill="auto"/>
            <w:vAlign w:val="bottom"/>
          </w:tcPr>
          <w:p w14:paraId="5F2CDB0D" w14:textId="77777777" w:rsidR="00E836FB" w:rsidRDefault="00E836FB">
            <w:pPr>
              <w:rPr>
                <w:rFonts w:ascii="宋体"/>
              </w:rPr>
            </w:pPr>
          </w:p>
        </w:tc>
        <w:tc>
          <w:tcPr>
            <w:tcW w:w="5" w:type="pct"/>
            <w:shd w:val="clear" w:color="auto" w:fill="auto"/>
            <w:vAlign w:val="bottom"/>
          </w:tcPr>
          <w:p w14:paraId="5F2CDB0E" w14:textId="77777777" w:rsidR="00E836FB" w:rsidRDefault="00E836FB">
            <w:pPr>
              <w:rPr>
                <w:rFonts w:ascii="宋体"/>
              </w:rPr>
            </w:pPr>
          </w:p>
        </w:tc>
        <w:tc>
          <w:tcPr>
            <w:tcW w:w="50" w:type="pct"/>
            <w:shd w:val="clear" w:color="auto" w:fill="auto"/>
            <w:vAlign w:val="bottom"/>
          </w:tcPr>
          <w:p w14:paraId="5F2CDB0F" w14:textId="77777777" w:rsidR="00E836FB" w:rsidRDefault="00E836FB">
            <w:pPr>
              <w:rPr>
                <w:rFonts w:ascii="宋体"/>
              </w:rPr>
            </w:pPr>
          </w:p>
        </w:tc>
        <w:tc>
          <w:tcPr>
            <w:tcW w:w="816" w:type="pct"/>
            <w:shd w:val="clear" w:color="auto" w:fill="auto"/>
            <w:vAlign w:val="bottom"/>
          </w:tcPr>
          <w:p w14:paraId="5F2CDB10" w14:textId="77777777" w:rsidR="00E836FB" w:rsidRDefault="00E836FB">
            <w:pPr>
              <w:rPr>
                <w:rFonts w:ascii="宋体"/>
              </w:rPr>
            </w:pPr>
          </w:p>
        </w:tc>
        <w:tc>
          <w:tcPr>
            <w:tcW w:w="5" w:type="pct"/>
            <w:shd w:val="clear" w:color="auto" w:fill="auto"/>
            <w:vAlign w:val="bottom"/>
          </w:tcPr>
          <w:p w14:paraId="5F2CDB11" w14:textId="77777777" w:rsidR="00E836FB" w:rsidRDefault="00E836FB">
            <w:pPr>
              <w:rPr>
                <w:rFonts w:ascii="宋体"/>
              </w:rPr>
            </w:pPr>
          </w:p>
        </w:tc>
        <w:tc>
          <w:tcPr>
            <w:tcW w:w="5" w:type="pct"/>
            <w:shd w:val="clear" w:color="auto" w:fill="auto"/>
            <w:vAlign w:val="bottom"/>
          </w:tcPr>
          <w:p w14:paraId="5F2CDB12" w14:textId="77777777" w:rsidR="00E836FB" w:rsidRDefault="00E836FB">
            <w:pPr>
              <w:rPr>
                <w:rFonts w:ascii="宋体"/>
              </w:rPr>
            </w:pPr>
          </w:p>
        </w:tc>
        <w:tc>
          <w:tcPr>
            <w:tcW w:w="26" w:type="pct"/>
            <w:shd w:val="clear" w:color="auto" w:fill="auto"/>
            <w:vAlign w:val="bottom"/>
          </w:tcPr>
          <w:p w14:paraId="5F2CDB13" w14:textId="77777777" w:rsidR="00E836FB" w:rsidRDefault="00E836FB">
            <w:pPr>
              <w:rPr>
                <w:rFonts w:ascii="宋体"/>
              </w:rPr>
            </w:pPr>
          </w:p>
        </w:tc>
        <w:tc>
          <w:tcPr>
            <w:tcW w:w="5" w:type="pct"/>
            <w:shd w:val="clear" w:color="auto" w:fill="auto"/>
            <w:vAlign w:val="bottom"/>
          </w:tcPr>
          <w:p w14:paraId="5F2CDB14" w14:textId="77777777" w:rsidR="00E836FB" w:rsidRDefault="00E836FB">
            <w:pPr>
              <w:rPr>
                <w:rFonts w:ascii="宋体"/>
              </w:rPr>
            </w:pPr>
          </w:p>
        </w:tc>
        <w:tc>
          <w:tcPr>
            <w:tcW w:w="50" w:type="pct"/>
            <w:shd w:val="clear" w:color="auto" w:fill="auto"/>
            <w:vAlign w:val="bottom"/>
          </w:tcPr>
          <w:p w14:paraId="5F2CDB15" w14:textId="77777777" w:rsidR="00E836FB" w:rsidRDefault="00E836FB">
            <w:pPr>
              <w:rPr>
                <w:rFonts w:ascii="宋体"/>
              </w:rPr>
            </w:pPr>
          </w:p>
        </w:tc>
        <w:tc>
          <w:tcPr>
            <w:tcW w:w="816" w:type="pct"/>
            <w:shd w:val="clear" w:color="auto" w:fill="auto"/>
            <w:vAlign w:val="bottom"/>
          </w:tcPr>
          <w:p w14:paraId="5F2CDB16" w14:textId="77777777" w:rsidR="00E836FB" w:rsidRDefault="00E836FB">
            <w:pPr>
              <w:rPr>
                <w:rFonts w:ascii="宋体"/>
              </w:rPr>
            </w:pPr>
          </w:p>
        </w:tc>
        <w:tc>
          <w:tcPr>
            <w:tcW w:w="5" w:type="pct"/>
            <w:shd w:val="clear" w:color="auto" w:fill="auto"/>
            <w:vAlign w:val="bottom"/>
          </w:tcPr>
          <w:p w14:paraId="5F2CDB17" w14:textId="77777777" w:rsidR="00E836FB" w:rsidRDefault="00E836FB">
            <w:pPr>
              <w:rPr>
                <w:rFonts w:ascii="宋体"/>
              </w:rPr>
            </w:pPr>
          </w:p>
        </w:tc>
        <w:tc>
          <w:tcPr>
            <w:tcW w:w="5" w:type="pct"/>
            <w:shd w:val="clear" w:color="auto" w:fill="auto"/>
            <w:vAlign w:val="bottom"/>
          </w:tcPr>
          <w:p w14:paraId="5F2CDB18" w14:textId="77777777" w:rsidR="00E836FB" w:rsidRDefault="00E836FB">
            <w:pPr>
              <w:rPr>
                <w:rFonts w:ascii="宋体"/>
              </w:rPr>
            </w:pPr>
          </w:p>
        </w:tc>
        <w:tc>
          <w:tcPr>
            <w:tcW w:w="26" w:type="pct"/>
            <w:shd w:val="clear" w:color="auto" w:fill="auto"/>
            <w:vAlign w:val="bottom"/>
          </w:tcPr>
          <w:p w14:paraId="5F2CDB19" w14:textId="77777777" w:rsidR="00E836FB" w:rsidRDefault="00E836FB">
            <w:pPr>
              <w:rPr>
                <w:rFonts w:ascii="宋体"/>
              </w:rPr>
            </w:pPr>
          </w:p>
        </w:tc>
        <w:tc>
          <w:tcPr>
            <w:tcW w:w="5" w:type="pct"/>
            <w:shd w:val="clear" w:color="auto" w:fill="auto"/>
            <w:vAlign w:val="bottom"/>
          </w:tcPr>
          <w:p w14:paraId="5F2CDB1A" w14:textId="77777777" w:rsidR="00E836FB" w:rsidRDefault="00E836FB">
            <w:pPr>
              <w:rPr>
                <w:rFonts w:ascii="宋体"/>
              </w:rPr>
            </w:pPr>
          </w:p>
        </w:tc>
        <w:tc>
          <w:tcPr>
            <w:tcW w:w="50" w:type="pct"/>
            <w:shd w:val="clear" w:color="auto" w:fill="auto"/>
            <w:vAlign w:val="bottom"/>
          </w:tcPr>
          <w:p w14:paraId="5F2CDB1B" w14:textId="77777777" w:rsidR="00E836FB" w:rsidRDefault="00E836FB">
            <w:pPr>
              <w:rPr>
                <w:rFonts w:ascii="宋体"/>
              </w:rPr>
            </w:pPr>
          </w:p>
        </w:tc>
        <w:tc>
          <w:tcPr>
            <w:tcW w:w="816" w:type="pct"/>
            <w:shd w:val="clear" w:color="auto" w:fill="auto"/>
            <w:vAlign w:val="bottom"/>
          </w:tcPr>
          <w:p w14:paraId="5F2CDB1C" w14:textId="77777777" w:rsidR="00E836FB" w:rsidRDefault="00E836FB">
            <w:pPr>
              <w:rPr>
                <w:rFonts w:ascii="宋体"/>
              </w:rPr>
            </w:pPr>
          </w:p>
        </w:tc>
        <w:tc>
          <w:tcPr>
            <w:tcW w:w="5" w:type="pct"/>
            <w:shd w:val="clear" w:color="auto" w:fill="auto"/>
            <w:vAlign w:val="bottom"/>
          </w:tcPr>
          <w:p w14:paraId="5F2CDB1D" w14:textId="77777777" w:rsidR="00E836FB" w:rsidRDefault="00E836FB">
            <w:pPr>
              <w:rPr>
                <w:rFonts w:ascii="宋体"/>
              </w:rPr>
            </w:pPr>
          </w:p>
        </w:tc>
      </w:tr>
      <w:tr w:rsidR="00E836FB" w14:paraId="5F2CDB20" w14:textId="77777777">
        <w:tc>
          <w:tcPr>
            <w:tcW w:w="0" w:type="auto"/>
            <w:gridSpan w:val="24"/>
            <w:shd w:val="clear" w:color="auto" w:fill="auto"/>
            <w:tcMar>
              <w:top w:w="40" w:type="dxa"/>
              <w:left w:w="20" w:type="dxa"/>
              <w:bottom w:w="40" w:type="dxa"/>
              <w:right w:w="20" w:type="dxa"/>
            </w:tcMar>
            <w:vAlign w:val="bottom"/>
          </w:tcPr>
          <w:p w14:paraId="5F2CDB1F" w14:textId="77777777" w:rsidR="00E836FB" w:rsidRDefault="00994958">
            <w:pPr>
              <w:textAlignment w:val="bottom"/>
            </w:pPr>
            <w:r>
              <w:rPr>
                <w:rFonts w:ascii="Arial" w:eastAsia="宋体" w:hAnsi="Arial" w:cs="Arial"/>
                <w:b/>
                <w:bCs/>
                <w:color w:val="000000"/>
                <w:sz w:val="16"/>
                <w:szCs w:val="16"/>
              </w:rPr>
              <w:t>TABLE 38: KEY INTEREST RATES FOR BASELINE FORECASTS</w:t>
            </w:r>
          </w:p>
        </w:tc>
      </w:tr>
      <w:tr w:rsidR="00E836FB" w14:paraId="5F2CDB25" w14:textId="77777777">
        <w:tc>
          <w:tcPr>
            <w:tcW w:w="0" w:type="auto"/>
            <w:gridSpan w:val="3"/>
            <w:shd w:val="clear" w:color="auto" w:fill="auto"/>
            <w:tcMar>
              <w:top w:w="0" w:type="dxa"/>
              <w:left w:w="20" w:type="dxa"/>
              <w:bottom w:w="0" w:type="dxa"/>
              <w:right w:w="20" w:type="dxa"/>
            </w:tcMar>
            <w:vAlign w:val="bottom"/>
          </w:tcPr>
          <w:p w14:paraId="5F2CDB21"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DB22" w14:textId="77777777" w:rsidR="00E836FB" w:rsidRDefault="00994958">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5F2CDB23"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DB24" w14:textId="77777777" w:rsidR="00E836FB" w:rsidRDefault="00994958">
            <w:pPr>
              <w:jc w:val="center"/>
              <w:textAlignment w:val="bottom"/>
            </w:pPr>
            <w:r>
              <w:rPr>
                <w:rFonts w:ascii="Arial" w:eastAsia="宋体" w:hAnsi="Arial" w:cs="Arial"/>
                <w:b/>
                <w:bCs/>
                <w:color w:val="000000"/>
                <w:sz w:val="14"/>
                <w:szCs w:val="14"/>
              </w:rPr>
              <w:t>December 31, 2020</w:t>
            </w:r>
          </w:p>
        </w:tc>
      </w:tr>
      <w:tr w:rsidR="00E836FB" w14:paraId="5F2CDB2E" w14:textId="77777777">
        <w:tc>
          <w:tcPr>
            <w:tcW w:w="0" w:type="auto"/>
            <w:gridSpan w:val="3"/>
            <w:shd w:val="clear" w:color="auto" w:fill="auto"/>
            <w:tcMar>
              <w:top w:w="0" w:type="dxa"/>
              <w:left w:w="20" w:type="dxa"/>
              <w:bottom w:w="0" w:type="dxa"/>
              <w:right w:w="20" w:type="dxa"/>
            </w:tcMar>
            <w:vAlign w:val="bottom"/>
          </w:tcPr>
          <w:p w14:paraId="5F2CDB2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B27" w14:textId="77777777" w:rsidR="00E836FB" w:rsidRDefault="00994958">
            <w:pPr>
              <w:jc w:val="center"/>
              <w:textAlignment w:val="bottom"/>
            </w:pPr>
            <w:r>
              <w:rPr>
                <w:rFonts w:ascii="Arial" w:eastAsia="宋体" w:hAnsi="Arial" w:cs="Arial"/>
                <w:b/>
                <w:bCs/>
                <w:color w:val="000000"/>
                <w:sz w:val="14"/>
                <w:szCs w:val="14"/>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2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B29" w14:textId="77777777" w:rsidR="00E836FB" w:rsidRDefault="00994958">
            <w:pPr>
              <w:jc w:val="center"/>
              <w:textAlignment w:val="bottom"/>
            </w:pPr>
            <w:r>
              <w:rPr>
                <w:rFonts w:ascii="Arial" w:eastAsia="宋体" w:hAnsi="Arial" w:cs="Arial"/>
                <w:b/>
                <w:bCs/>
                <w:color w:val="000000"/>
                <w:sz w:val="14"/>
                <w:szCs w:val="14"/>
              </w:rPr>
              <w:t>10-Year Treasury</w:t>
            </w:r>
          </w:p>
        </w:tc>
        <w:tc>
          <w:tcPr>
            <w:tcW w:w="0" w:type="auto"/>
            <w:gridSpan w:val="3"/>
            <w:shd w:val="clear" w:color="auto" w:fill="auto"/>
            <w:tcMar>
              <w:top w:w="0" w:type="dxa"/>
              <w:left w:w="20" w:type="dxa"/>
              <w:bottom w:w="0" w:type="dxa"/>
              <w:right w:w="20" w:type="dxa"/>
            </w:tcMar>
            <w:vAlign w:val="bottom"/>
          </w:tcPr>
          <w:p w14:paraId="5F2CDB2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B2B" w14:textId="77777777" w:rsidR="00E836FB" w:rsidRDefault="00994958">
            <w:pPr>
              <w:jc w:val="center"/>
              <w:textAlignment w:val="bottom"/>
            </w:pPr>
            <w:r>
              <w:rPr>
                <w:rFonts w:ascii="Arial" w:eastAsia="宋体" w:hAnsi="Arial" w:cs="Arial"/>
                <w:b/>
                <w:bCs/>
                <w:color w:val="000000"/>
                <w:sz w:val="14"/>
                <w:szCs w:val="14"/>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2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B2D" w14:textId="77777777" w:rsidR="00E836FB" w:rsidRDefault="00994958">
            <w:pPr>
              <w:jc w:val="center"/>
              <w:textAlignment w:val="bottom"/>
            </w:pPr>
            <w:r>
              <w:rPr>
                <w:rFonts w:ascii="Arial" w:eastAsia="宋体" w:hAnsi="Arial" w:cs="Arial"/>
                <w:b/>
                <w:bCs/>
                <w:color w:val="000000"/>
                <w:sz w:val="14"/>
                <w:szCs w:val="14"/>
              </w:rPr>
              <w:t>10-Year Treasury</w:t>
            </w:r>
          </w:p>
        </w:tc>
      </w:tr>
      <w:tr w:rsidR="00E836FB" w14:paraId="5F2CDB3B" w14:textId="77777777">
        <w:tc>
          <w:tcPr>
            <w:tcW w:w="0" w:type="auto"/>
            <w:gridSpan w:val="3"/>
            <w:shd w:val="clear" w:color="auto" w:fill="CCEEFF"/>
            <w:tcMar>
              <w:top w:w="40" w:type="dxa"/>
              <w:left w:w="20" w:type="dxa"/>
              <w:bottom w:w="40" w:type="dxa"/>
              <w:right w:w="20" w:type="dxa"/>
            </w:tcMar>
            <w:vAlign w:val="bottom"/>
          </w:tcPr>
          <w:p w14:paraId="5F2CDB2F" w14:textId="77777777" w:rsidR="00E836FB" w:rsidRDefault="00994958">
            <w:pPr>
              <w:textAlignment w:val="bottom"/>
            </w:pPr>
            <w:r>
              <w:rPr>
                <w:rFonts w:ascii="Arial" w:eastAsia="宋体" w:hAnsi="Arial" w:cs="Arial"/>
                <w:color w:val="000000"/>
                <w:sz w:val="14"/>
                <w:szCs w:val="14"/>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B30" w14:textId="77777777" w:rsidR="00E836FB" w:rsidRDefault="00994958">
            <w:pPr>
              <w:jc w:val="right"/>
              <w:textAlignment w:val="bottom"/>
            </w:pPr>
            <w:r>
              <w:rPr>
                <w:rFonts w:ascii="Arial" w:eastAsia="宋体" w:hAnsi="Arial" w:cs="Arial"/>
                <w:b/>
                <w:bCs/>
                <w:color w:val="000000"/>
                <w:sz w:val="14"/>
                <w:szCs w:val="14"/>
              </w:rPr>
              <w:t>0.25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B31"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DB3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B33" w14:textId="77777777" w:rsidR="00E836FB" w:rsidRDefault="00994958">
            <w:pPr>
              <w:jc w:val="right"/>
              <w:textAlignment w:val="bottom"/>
            </w:pPr>
            <w:r>
              <w:rPr>
                <w:rFonts w:ascii="Arial" w:eastAsia="宋体" w:hAnsi="Arial" w:cs="Arial"/>
                <w:b/>
                <w:bCs/>
                <w:color w:val="000000"/>
                <w:sz w:val="14"/>
                <w:szCs w:val="14"/>
              </w:rPr>
              <w:t>1.77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B34"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DB3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B36" w14:textId="77777777" w:rsidR="00E836FB" w:rsidRDefault="00994958">
            <w:pPr>
              <w:jc w:val="right"/>
              <w:textAlignment w:val="bottom"/>
            </w:pPr>
            <w:r>
              <w:rPr>
                <w:rFonts w:ascii="Arial" w:eastAsia="宋体" w:hAnsi="Arial" w:cs="Arial"/>
                <w:color w:val="000000"/>
                <w:sz w:val="14"/>
                <w:szCs w:val="14"/>
              </w:rPr>
              <w:t>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B37"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CDB3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B39" w14:textId="77777777" w:rsidR="00E836FB" w:rsidRDefault="00994958">
            <w:pPr>
              <w:jc w:val="right"/>
              <w:textAlignment w:val="bottom"/>
            </w:pPr>
            <w:r>
              <w:rPr>
                <w:rFonts w:ascii="Arial" w:eastAsia="宋体" w:hAnsi="Arial" w:cs="Arial"/>
                <w:color w:val="000000"/>
                <w:sz w:val="14"/>
                <w:szCs w:val="14"/>
              </w:rPr>
              <w:t>0.93 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B3A" w14:textId="77777777" w:rsidR="00E836FB" w:rsidRDefault="00994958">
            <w:pPr>
              <w:jc w:val="right"/>
              <w:textAlignment w:val="bottom"/>
            </w:pPr>
            <w:r>
              <w:rPr>
                <w:rFonts w:ascii="Arial" w:eastAsia="宋体" w:hAnsi="Arial" w:cs="Arial"/>
                <w:color w:val="000000"/>
                <w:sz w:val="14"/>
                <w:szCs w:val="14"/>
              </w:rPr>
              <w:t>%</w:t>
            </w:r>
          </w:p>
        </w:tc>
      </w:tr>
      <w:tr w:rsidR="00E836FB" w14:paraId="5F2CDB48" w14:textId="77777777">
        <w:tc>
          <w:tcPr>
            <w:tcW w:w="0" w:type="auto"/>
            <w:gridSpan w:val="3"/>
            <w:shd w:val="clear" w:color="auto" w:fill="FFFFFF"/>
            <w:tcMar>
              <w:top w:w="40" w:type="dxa"/>
              <w:left w:w="20" w:type="dxa"/>
              <w:bottom w:w="40" w:type="dxa"/>
              <w:right w:w="20" w:type="dxa"/>
            </w:tcMar>
            <w:vAlign w:val="bottom"/>
          </w:tcPr>
          <w:p w14:paraId="5F2CDB3C" w14:textId="77777777" w:rsidR="00E836FB" w:rsidRDefault="00994958">
            <w:pPr>
              <w:textAlignment w:val="bottom"/>
            </w:pPr>
            <w:r>
              <w:rPr>
                <w:rFonts w:ascii="Arial" w:eastAsia="宋体" w:hAnsi="Arial" w:cs="Arial"/>
                <w:color w:val="000000"/>
                <w:sz w:val="14"/>
                <w:szCs w:val="14"/>
              </w:rPr>
              <w:t>12-month forward rates</w:t>
            </w:r>
          </w:p>
        </w:tc>
        <w:tc>
          <w:tcPr>
            <w:tcW w:w="0" w:type="auto"/>
            <w:gridSpan w:val="2"/>
            <w:shd w:val="clear" w:color="auto" w:fill="FFFFFF"/>
            <w:tcMar>
              <w:top w:w="40" w:type="dxa"/>
              <w:left w:w="20" w:type="dxa"/>
              <w:bottom w:w="40" w:type="dxa"/>
              <w:right w:w="0" w:type="dxa"/>
            </w:tcMar>
            <w:vAlign w:val="bottom"/>
          </w:tcPr>
          <w:p w14:paraId="5F2CDB3D" w14:textId="77777777" w:rsidR="00E836FB" w:rsidRDefault="00994958">
            <w:pPr>
              <w:jc w:val="right"/>
              <w:textAlignment w:val="bottom"/>
            </w:pPr>
            <w:r>
              <w:rPr>
                <w:rFonts w:ascii="Arial" w:eastAsia="宋体" w:hAnsi="Arial" w:cs="Arial"/>
                <w:b/>
                <w:bCs/>
                <w:color w:val="000000"/>
                <w:sz w:val="14"/>
                <w:szCs w:val="14"/>
              </w:rPr>
              <w:t>1.00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DB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3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40" w14:textId="77777777" w:rsidR="00E836FB" w:rsidRDefault="00994958">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DB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4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43" w14:textId="77777777" w:rsidR="00E836FB" w:rsidRDefault="00994958">
            <w:pPr>
              <w:jc w:val="right"/>
              <w:textAlignment w:val="bottom"/>
            </w:pPr>
            <w:r>
              <w:rPr>
                <w:rFonts w:ascii="Arial" w:eastAsia="宋体" w:hAnsi="Arial" w:cs="Arial"/>
                <w:color w:val="000000"/>
                <w:sz w:val="14"/>
                <w:szCs w:val="14"/>
              </w:rPr>
              <w:t>0.25 </w:t>
            </w:r>
          </w:p>
        </w:tc>
        <w:tc>
          <w:tcPr>
            <w:tcW w:w="0" w:type="auto"/>
            <w:shd w:val="clear" w:color="auto" w:fill="FFFFFF"/>
            <w:tcMar>
              <w:top w:w="40" w:type="dxa"/>
              <w:left w:w="0" w:type="dxa"/>
              <w:bottom w:w="40" w:type="dxa"/>
              <w:right w:w="20" w:type="dxa"/>
            </w:tcMar>
            <w:vAlign w:val="bottom"/>
          </w:tcPr>
          <w:p w14:paraId="5F2CDB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46" w14:textId="77777777" w:rsidR="00E836FB" w:rsidRDefault="00994958">
            <w:pPr>
              <w:jc w:val="right"/>
              <w:textAlignment w:val="bottom"/>
            </w:pPr>
            <w:r>
              <w:rPr>
                <w:rFonts w:ascii="Arial" w:eastAsia="宋体" w:hAnsi="Arial" w:cs="Arial"/>
                <w:color w:val="000000"/>
                <w:sz w:val="14"/>
                <w:szCs w:val="14"/>
              </w:rPr>
              <w:t>1.12 </w:t>
            </w:r>
          </w:p>
        </w:tc>
        <w:tc>
          <w:tcPr>
            <w:tcW w:w="0" w:type="auto"/>
            <w:shd w:val="clear" w:color="auto" w:fill="FFFFFF"/>
            <w:tcMar>
              <w:top w:w="40" w:type="dxa"/>
              <w:left w:w="0" w:type="dxa"/>
              <w:bottom w:w="40" w:type="dxa"/>
              <w:right w:w="20" w:type="dxa"/>
            </w:tcMar>
            <w:vAlign w:val="bottom"/>
          </w:tcPr>
          <w:p w14:paraId="5F2CDB47" w14:textId="77777777" w:rsidR="00E836FB" w:rsidRDefault="00E836FB">
            <w:pPr>
              <w:jc w:val="right"/>
              <w:rPr>
                <w:rFonts w:ascii="宋体"/>
              </w:rPr>
            </w:pPr>
          </w:p>
        </w:tc>
      </w:tr>
    </w:tbl>
    <w:p w14:paraId="5F2CDB49" w14:textId="77777777" w:rsidR="00E836FB" w:rsidRDefault="00994958">
      <w:pPr>
        <w:spacing w:before="60"/>
        <w:ind w:firstLine="450"/>
        <w:jc w:val="both"/>
      </w:pPr>
      <w:r>
        <w:rPr>
          <w:rFonts w:ascii="Arial" w:eastAsia="宋体" w:hAnsi="Arial" w:cs="Arial"/>
          <w:color w:val="000000"/>
          <w:sz w:val="20"/>
          <w:szCs w:val="20"/>
        </w:rPr>
        <w:t xml:space="preserve">In Table 39: Net Interest Income Sensitivity, we report the expected change in NII over the next twelve months from instantaneous shocks to various tenors on the yield curve, including the impacts from U.S. and non-U.S. rates. Each </w:t>
      </w:r>
      <w:r>
        <w:rPr>
          <w:rFonts w:ascii="Arial" w:eastAsia="宋体" w:hAnsi="Arial" w:cs="Arial"/>
          <w:color w:val="000000"/>
          <w:sz w:val="20"/>
          <w:szCs w:val="20"/>
        </w:rPr>
        <w:t>scenario assumes no management action is taken to mitigate the adverse effects of interest rate changes on our financial performance. While investment securities balances and composition can fluctuate with the level of rates as prepayment assumptions chang</w:t>
      </w:r>
      <w:r>
        <w:rPr>
          <w:rFonts w:ascii="Arial" w:eastAsia="宋体" w:hAnsi="Arial" w:cs="Arial"/>
          <w:color w:val="000000"/>
          <w:sz w:val="20"/>
          <w:szCs w:val="20"/>
        </w:rPr>
        <w:t>e, for purposes of this analysis our deposit balances are assumed to remain consistent with the baseline forecast. In lower rate scenarios, the full impact of the shock is realized for all currencies even if the result is negative interest rates.</w:t>
      </w:r>
    </w:p>
    <w:p w14:paraId="5F2CDB4A" w14:textId="77777777" w:rsidR="00E836FB" w:rsidRDefault="00994958">
      <w:pPr>
        <w:ind w:firstLine="450"/>
        <w:jc w:val="right"/>
      </w:pPr>
      <w:r>
        <w:rPr>
          <w:rFonts w:ascii="Arial" w:eastAsia="宋体" w:hAnsi="Arial" w:cs="Arial"/>
          <w:color w:val="000000"/>
          <w:sz w:val="18"/>
          <w:szCs w:val="18"/>
        </w:rPr>
        <w:t>State Str</w:t>
      </w:r>
      <w:r>
        <w:rPr>
          <w:rFonts w:ascii="Arial" w:eastAsia="宋体" w:hAnsi="Arial" w:cs="Arial"/>
          <w:color w:val="000000"/>
          <w:sz w:val="18"/>
          <w:szCs w:val="18"/>
        </w:rPr>
        <w:t>eet Corporation | 109</w:t>
      </w:r>
    </w:p>
    <w:p w14:paraId="5F2CDB4B" w14:textId="77777777" w:rsidR="00E836FB" w:rsidRDefault="00E836FB">
      <w:pPr>
        <w:ind w:firstLine="450"/>
        <w:jc w:val="center"/>
      </w:pPr>
    </w:p>
    <w:p w14:paraId="5F2CDB4C" w14:textId="77777777" w:rsidR="00E836FB" w:rsidRDefault="00994958">
      <w:r>
        <w:pict w14:anchorId="5F2D6DF2">
          <v:rect id="_x0000_i1133" style="width:415.3pt;height:1.5pt" o:hralign="center" o:hrstd="t" o:hr="t" fillcolor="#a0a0a0" stroked="f"/>
        </w:pict>
      </w:r>
    </w:p>
    <w:p w14:paraId="5F2CDB4D"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B4E" w14:textId="77777777" w:rsidR="00E836FB" w:rsidRDefault="00994958">
      <w:pPr>
        <w:ind w:firstLine="450"/>
        <w:jc w:val="center"/>
      </w:pPr>
      <w:r>
        <w:rPr>
          <w:rFonts w:ascii="Arial" w:eastAsia="宋体" w:hAnsi="Arial" w:cs="Arial"/>
          <w:b/>
          <w:bCs/>
          <w:color w:val="000000"/>
          <w:sz w:val="20"/>
          <w:szCs w:val="20"/>
        </w:rPr>
        <w:t>AND RESULTS OF OPERATIONS</w:t>
      </w:r>
    </w:p>
    <w:p w14:paraId="5F2CDB4F" w14:textId="77777777" w:rsidR="00E836FB" w:rsidRDefault="00E836FB">
      <w:pPr>
        <w:spacing w:before="60"/>
        <w:jc w:val="both"/>
      </w:pPr>
    </w:p>
    <w:tbl>
      <w:tblPr>
        <w:tblW w:w="4971" w:type="pct"/>
        <w:tblCellMar>
          <w:top w:w="15" w:type="dxa"/>
          <w:left w:w="15" w:type="dxa"/>
          <w:bottom w:w="15" w:type="dxa"/>
          <w:right w:w="15" w:type="dxa"/>
        </w:tblCellMar>
        <w:tblLook w:val="04A0" w:firstRow="1" w:lastRow="0" w:firstColumn="1" w:lastColumn="0" w:noHBand="0" w:noVBand="1"/>
      </w:tblPr>
      <w:tblGrid>
        <w:gridCol w:w="38"/>
        <w:gridCol w:w="2218"/>
        <w:gridCol w:w="36"/>
        <w:gridCol w:w="99"/>
        <w:gridCol w:w="804"/>
        <w:gridCol w:w="37"/>
        <w:gridCol w:w="36"/>
        <w:gridCol w:w="36"/>
        <w:gridCol w:w="36"/>
        <w:gridCol w:w="99"/>
        <w:gridCol w:w="768"/>
        <w:gridCol w:w="36"/>
        <w:gridCol w:w="36"/>
        <w:gridCol w:w="36"/>
        <w:gridCol w:w="36"/>
        <w:gridCol w:w="98"/>
        <w:gridCol w:w="768"/>
        <w:gridCol w:w="36"/>
        <w:gridCol w:w="36"/>
        <w:gridCol w:w="36"/>
        <w:gridCol w:w="36"/>
        <w:gridCol w:w="99"/>
        <w:gridCol w:w="768"/>
        <w:gridCol w:w="37"/>
        <w:gridCol w:w="36"/>
        <w:gridCol w:w="36"/>
        <w:gridCol w:w="36"/>
        <w:gridCol w:w="99"/>
        <w:gridCol w:w="768"/>
        <w:gridCol w:w="36"/>
        <w:gridCol w:w="36"/>
        <w:gridCol w:w="36"/>
        <w:gridCol w:w="36"/>
        <w:gridCol w:w="99"/>
        <w:gridCol w:w="768"/>
        <w:gridCol w:w="37"/>
      </w:tblGrid>
      <w:tr w:rsidR="00E836FB" w14:paraId="5F2CDB74" w14:textId="77777777">
        <w:tc>
          <w:tcPr>
            <w:tcW w:w="50" w:type="pct"/>
            <w:shd w:val="clear" w:color="auto" w:fill="auto"/>
            <w:vAlign w:val="bottom"/>
          </w:tcPr>
          <w:p w14:paraId="5F2CDB50" w14:textId="77777777" w:rsidR="00E836FB" w:rsidRDefault="00E836FB">
            <w:pPr>
              <w:rPr>
                <w:rFonts w:ascii="宋体"/>
              </w:rPr>
            </w:pPr>
          </w:p>
        </w:tc>
        <w:tc>
          <w:tcPr>
            <w:tcW w:w="1364" w:type="pct"/>
            <w:shd w:val="clear" w:color="auto" w:fill="auto"/>
            <w:vAlign w:val="bottom"/>
          </w:tcPr>
          <w:p w14:paraId="5F2CDB51" w14:textId="77777777" w:rsidR="00E836FB" w:rsidRDefault="00E836FB">
            <w:pPr>
              <w:rPr>
                <w:rFonts w:ascii="宋体"/>
              </w:rPr>
            </w:pPr>
          </w:p>
        </w:tc>
        <w:tc>
          <w:tcPr>
            <w:tcW w:w="5" w:type="pct"/>
            <w:shd w:val="clear" w:color="auto" w:fill="auto"/>
            <w:vAlign w:val="bottom"/>
          </w:tcPr>
          <w:p w14:paraId="5F2CDB52" w14:textId="77777777" w:rsidR="00E836FB" w:rsidRDefault="00E836FB">
            <w:pPr>
              <w:rPr>
                <w:rFonts w:ascii="宋体"/>
              </w:rPr>
            </w:pPr>
          </w:p>
        </w:tc>
        <w:tc>
          <w:tcPr>
            <w:tcW w:w="50" w:type="pct"/>
            <w:shd w:val="clear" w:color="auto" w:fill="auto"/>
            <w:vAlign w:val="bottom"/>
          </w:tcPr>
          <w:p w14:paraId="5F2CDB53" w14:textId="77777777" w:rsidR="00E836FB" w:rsidRDefault="00E836FB">
            <w:pPr>
              <w:rPr>
                <w:rFonts w:ascii="宋体"/>
              </w:rPr>
            </w:pPr>
          </w:p>
        </w:tc>
        <w:tc>
          <w:tcPr>
            <w:tcW w:w="511" w:type="pct"/>
            <w:shd w:val="clear" w:color="auto" w:fill="auto"/>
            <w:vAlign w:val="bottom"/>
          </w:tcPr>
          <w:p w14:paraId="5F2CDB54" w14:textId="77777777" w:rsidR="00E836FB" w:rsidRDefault="00E836FB">
            <w:pPr>
              <w:rPr>
                <w:rFonts w:ascii="宋体"/>
              </w:rPr>
            </w:pPr>
          </w:p>
        </w:tc>
        <w:tc>
          <w:tcPr>
            <w:tcW w:w="5" w:type="pct"/>
            <w:shd w:val="clear" w:color="auto" w:fill="auto"/>
            <w:vAlign w:val="bottom"/>
          </w:tcPr>
          <w:p w14:paraId="5F2CDB55" w14:textId="77777777" w:rsidR="00E836FB" w:rsidRDefault="00E836FB">
            <w:pPr>
              <w:rPr>
                <w:rFonts w:ascii="宋体"/>
              </w:rPr>
            </w:pPr>
          </w:p>
        </w:tc>
        <w:tc>
          <w:tcPr>
            <w:tcW w:w="5" w:type="pct"/>
            <w:shd w:val="clear" w:color="auto" w:fill="auto"/>
            <w:vAlign w:val="bottom"/>
          </w:tcPr>
          <w:p w14:paraId="5F2CDB56" w14:textId="77777777" w:rsidR="00E836FB" w:rsidRDefault="00E836FB">
            <w:pPr>
              <w:rPr>
                <w:rFonts w:ascii="宋体"/>
              </w:rPr>
            </w:pPr>
          </w:p>
        </w:tc>
        <w:tc>
          <w:tcPr>
            <w:tcW w:w="26" w:type="pct"/>
            <w:shd w:val="clear" w:color="auto" w:fill="auto"/>
            <w:vAlign w:val="bottom"/>
          </w:tcPr>
          <w:p w14:paraId="5F2CDB57" w14:textId="77777777" w:rsidR="00E836FB" w:rsidRDefault="00E836FB">
            <w:pPr>
              <w:rPr>
                <w:rFonts w:ascii="宋体"/>
              </w:rPr>
            </w:pPr>
          </w:p>
        </w:tc>
        <w:tc>
          <w:tcPr>
            <w:tcW w:w="5" w:type="pct"/>
            <w:shd w:val="clear" w:color="auto" w:fill="auto"/>
            <w:vAlign w:val="bottom"/>
          </w:tcPr>
          <w:p w14:paraId="5F2CDB58" w14:textId="77777777" w:rsidR="00E836FB" w:rsidRDefault="00E836FB">
            <w:pPr>
              <w:rPr>
                <w:rFonts w:ascii="宋体"/>
              </w:rPr>
            </w:pPr>
          </w:p>
        </w:tc>
        <w:tc>
          <w:tcPr>
            <w:tcW w:w="50" w:type="pct"/>
            <w:shd w:val="clear" w:color="auto" w:fill="auto"/>
            <w:vAlign w:val="bottom"/>
          </w:tcPr>
          <w:p w14:paraId="5F2CDB59" w14:textId="77777777" w:rsidR="00E836FB" w:rsidRDefault="00E836FB">
            <w:pPr>
              <w:rPr>
                <w:rFonts w:ascii="宋体"/>
              </w:rPr>
            </w:pPr>
          </w:p>
        </w:tc>
        <w:tc>
          <w:tcPr>
            <w:tcW w:w="511" w:type="pct"/>
            <w:shd w:val="clear" w:color="auto" w:fill="auto"/>
            <w:vAlign w:val="bottom"/>
          </w:tcPr>
          <w:p w14:paraId="5F2CDB5A" w14:textId="77777777" w:rsidR="00E836FB" w:rsidRDefault="00E836FB">
            <w:pPr>
              <w:rPr>
                <w:rFonts w:ascii="宋体"/>
              </w:rPr>
            </w:pPr>
          </w:p>
        </w:tc>
        <w:tc>
          <w:tcPr>
            <w:tcW w:w="5" w:type="pct"/>
            <w:shd w:val="clear" w:color="auto" w:fill="auto"/>
            <w:vAlign w:val="bottom"/>
          </w:tcPr>
          <w:p w14:paraId="5F2CDB5B" w14:textId="77777777" w:rsidR="00E836FB" w:rsidRDefault="00E836FB">
            <w:pPr>
              <w:rPr>
                <w:rFonts w:ascii="宋体"/>
              </w:rPr>
            </w:pPr>
          </w:p>
        </w:tc>
        <w:tc>
          <w:tcPr>
            <w:tcW w:w="5" w:type="pct"/>
            <w:shd w:val="clear" w:color="auto" w:fill="auto"/>
            <w:vAlign w:val="bottom"/>
          </w:tcPr>
          <w:p w14:paraId="5F2CDB5C" w14:textId="77777777" w:rsidR="00E836FB" w:rsidRDefault="00E836FB">
            <w:pPr>
              <w:rPr>
                <w:rFonts w:ascii="宋体"/>
              </w:rPr>
            </w:pPr>
          </w:p>
        </w:tc>
        <w:tc>
          <w:tcPr>
            <w:tcW w:w="26" w:type="pct"/>
            <w:shd w:val="clear" w:color="auto" w:fill="auto"/>
            <w:vAlign w:val="bottom"/>
          </w:tcPr>
          <w:p w14:paraId="5F2CDB5D" w14:textId="77777777" w:rsidR="00E836FB" w:rsidRDefault="00E836FB">
            <w:pPr>
              <w:rPr>
                <w:rFonts w:ascii="宋体"/>
              </w:rPr>
            </w:pPr>
          </w:p>
        </w:tc>
        <w:tc>
          <w:tcPr>
            <w:tcW w:w="5" w:type="pct"/>
            <w:shd w:val="clear" w:color="auto" w:fill="auto"/>
            <w:vAlign w:val="bottom"/>
          </w:tcPr>
          <w:p w14:paraId="5F2CDB5E" w14:textId="77777777" w:rsidR="00E836FB" w:rsidRDefault="00E836FB">
            <w:pPr>
              <w:rPr>
                <w:rFonts w:ascii="宋体"/>
              </w:rPr>
            </w:pPr>
          </w:p>
        </w:tc>
        <w:tc>
          <w:tcPr>
            <w:tcW w:w="50" w:type="pct"/>
            <w:shd w:val="clear" w:color="auto" w:fill="auto"/>
            <w:vAlign w:val="bottom"/>
          </w:tcPr>
          <w:p w14:paraId="5F2CDB5F" w14:textId="77777777" w:rsidR="00E836FB" w:rsidRDefault="00E836FB">
            <w:pPr>
              <w:rPr>
                <w:rFonts w:ascii="宋体"/>
              </w:rPr>
            </w:pPr>
          </w:p>
        </w:tc>
        <w:tc>
          <w:tcPr>
            <w:tcW w:w="511" w:type="pct"/>
            <w:shd w:val="clear" w:color="auto" w:fill="auto"/>
            <w:vAlign w:val="bottom"/>
          </w:tcPr>
          <w:p w14:paraId="5F2CDB60" w14:textId="77777777" w:rsidR="00E836FB" w:rsidRDefault="00E836FB">
            <w:pPr>
              <w:rPr>
                <w:rFonts w:ascii="宋体"/>
              </w:rPr>
            </w:pPr>
          </w:p>
        </w:tc>
        <w:tc>
          <w:tcPr>
            <w:tcW w:w="5" w:type="pct"/>
            <w:shd w:val="clear" w:color="auto" w:fill="auto"/>
            <w:vAlign w:val="bottom"/>
          </w:tcPr>
          <w:p w14:paraId="5F2CDB61" w14:textId="77777777" w:rsidR="00E836FB" w:rsidRDefault="00E836FB">
            <w:pPr>
              <w:rPr>
                <w:rFonts w:ascii="宋体"/>
              </w:rPr>
            </w:pPr>
          </w:p>
        </w:tc>
        <w:tc>
          <w:tcPr>
            <w:tcW w:w="5" w:type="pct"/>
            <w:shd w:val="clear" w:color="auto" w:fill="auto"/>
            <w:vAlign w:val="bottom"/>
          </w:tcPr>
          <w:p w14:paraId="5F2CDB62" w14:textId="77777777" w:rsidR="00E836FB" w:rsidRDefault="00E836FB">
            <w:pPr>
              <w:rPr>
                <w:rFonts w:ascii="宋体"/>
              </w:rPr>
            </w:pPr>
          </w:p>
        </w:tc>
        <w:tc>
          <w:tcPr>
            <w:tcW w:w="26" w:type="pct"/>
            <w:shd w:val="clear" w:color="auto" w:fill="auto"/>
            <w:vAlign w:val="bottom"/>
          </w:tcPr>
          <w:p w14:paraId="5F2CDB63" w14:textId="77777777" w:rsidR="00E836FB" w:rsidRDefault="00E836FB">
            <w:pPr>
              <w:rPr>
                <w:rFonts w:ascii="宋体"/>
              </w:rPr>
            </w:pPr>
          </w:p>
        </w:tc>
        <w:tc>
          <w:tcPr>
            <w:tcW w:w="5" w:type="pct"/>
            <w:shd w:val="clear" w:color="auto" w:fill="auto"/>
            <w:vAlign w:val="bottom"/>
          </w:tcPr>
          <w:p w14:paraId="5F2CDB64" w14:textId="77777777" w:rsidR="00E836FB" w:rsidRDefault="00E836FB">
            <w:pPr>
              <w:rPr>
                <w:rFonts w:ascii="宋体"/>
              </w:rPr>
            </w:pPr>
          </w:p>
        </w:tc>
        <w:tc>
          <w:tcPr>
            <w:tcW w:w="50" w:type="pct"/>
            <w:shd w:val="clear" w:color="auto" w:fill="auto"/>
            <w:vAlign w:val="bottom"/>
          </w:tcPr>
          <w:p w14:paraId="5F2CDB65" w14:textId="77777777" w:rsidR="00E836FB" w:rsidRDefault="00E836FB">
            <w:pPr>
              <w:rPr>
                <w:rFonts w:ascii="宋体"/>
              </w:rPr>
            </w:pPr>
          </w:p>
        </w:tc>
        <w:tc>
          <w:tcPr>
            <w:tcW w:w="511" w:type="pct"/>
            <w:shd w:val="clear" w:color="auto" w:fill="auto"/>
            <w:vAlign w:val="bottom"/>
          </w:tcPr>
          <w:p w14:paraId="5F2CDB66" w14:textId="77777777" w:rsidR="00E836FB" w:rsidRDefault="00E836FB">
            <w:pPr>
              <w:rPr>
                <w:rFonts w:ascii="宋体"/>
              </w:rPr>
            </w:pPr>
          </w:p>
        </w:tc>
        <w:tc>
          <w:tcPr>
            <w:tcW w:w="5" w:type="pct"/>
            <w:shd w:val="clear" w:color="auto" w:fill="auto"/>
            <w:vAlign w:val="bottom"/>
          </w:tcPr>
          <w:p w14:paraId="5F2CDB67" w14:textId="77777777" w:rsidR="00E836FB" w:rsidRDefault="00E836FB">
            <w:pPr>
              <w:rPr>
                <w:rFonts w:ascii="宋体"/>
              </w:rPr>
            </w:pPr>
          </w:p>
        </w:tc>
        <w:tc>
          <w:tcPr>
            <w:tcW w:w="5" w:type="pct"/>
            <w:shd w:val="clear" w:color="auto" w:fill="auto"/>
            <w:vAlign w:val="bottom"/>
          </w:tcPr>
          <w:p w14:paraId="5F2CDB68" w14:textId="77777777" w:rsidR="00E836FB" w:rsidRDefault="00E836FB">
            <w:pPr>
              <w:rPr>
                <w:rFonts w:ascii="宋体"/>
              </w:rPr>
            </w:pPr>
          </w:p>
        </w:tc>
        <w:tc>
          <w:tcPr>
            <w:tcW w:w="26" w:type="pct"/>
            <w:shd w:val="clear" w:color="auto" w:fill="auto"/>
            <w:vAlign w:val="bottom"/>
          </w:tcPr>
          <w:p w14:paraId="5F2CDB69" w14:textId="77777777" w:rsidR="00E836FB" w:rsidRDefault="00E836FB">
            <w:pPr>
              <w:rPr>
                <w:rFonts w:ascii="宋体"/>
              </w:rPr>
            </w:pPr>
          </w:p>
        </w:tc>
        <w:tc>
          <w:tcPr>
            <w:tcW w:w="5" w:type="pct"/>
            <w:shd w:val="clear" w:color="auto" w:fill="auto"/>
            <w:vAlign w:val="bottom"/>
          </w:tcPr>
          <w:p w14:paraId="5F2CDB6A" w14:textId="77777777" w:rsidR="00E836FB" w:rsidRDefault="00E836FB">
            <w:pPr>
              <w:rPr>
                <w:rFonts w:ascii="宋体"/>
              </w:rPr>
            </w:pPr>
          </w:p>
        </w:tc>
        <w:tc>
          <w:tcPr>
            <w:tcW w:w="50" w:type="pct"/>
            <w:shd w:val="clear" w:color="auto" w:fill="auto"/>
            <w:vAlign w:val="bottom"/>
          </w:tcPr>
          <w:p w14:paraId="5F2CDB6B" w14:textId="77777777" w:rsidR="00E836FB" w:rsidRDefault="00E836FB">
            <w:pPr>
              <w:rPr>
                <w:rFonts w:ascii="宋体"/>
              </w:rPr>
            </w:pPr>
          </w:p>
        </w:tc>
        <w:tc>
          <w:tcPr>
            <w:tcW w:w="511" w:type="pct"/>
            <w:shd w:val="clear" w:color="auto" w:fill="auto"/>
            <w:vAlign w:val="bottom"/>
          </w:tcPr>
          <w:p w14:paraId="5F2CDB6C" w14:textId="77777777" w:rsidR="00E836FB" w:rsidRDefault="00E836FB">
            <w:pPr>
              <w:rPr>
                <w:rFonts w:ascii="宋体"/>
              </w:rPr>
            </w:pPr>
          </w:p>
        </w:tc>
        <w:tc>
          <w:tcPr>
            <w:tcW w:w="5" w:type="pct"/>
            <w:shd w:val="clear" w:color="auto" w:fill="auto"/>
            <w:vAlign w:val="bottom"/>
          </w:tcPr>
          <w:p w14:paraId="5F2CDB6D" w14:textId="77777777" w:rsidR="00E836FB" w:rsidRDefault="00E836FB">
            <w:pPr>
              <w:rPr>
                <w:rFonts w:ascii="宋体"/>
              </w:rPr>
            </w:pPr>
          </w:p>
        </w:tc>
        <w:tc>
          <w:tcPr>
            <w:tcW w:w="5" w:type="pct"/>
            <w:shd w:val="clear" w:color="auto" w:fill="auto"/>
            <w:vAlign w:val="bottom"/>
          </w:tcPr>
          <w:p w14:paraId="5F2CDB6E" w14:textId="77777777" w:rsidR="00E836FB" w:rsidRDefault="00E836FB">
            <w:pPr>
              <w:rPr>
                <w:rFonts w:ascii="宋体"/>
              </w:rPr>
            </w:pPr>
          </w:p>
        </w:tc>
        <w:tc>
          <w:tcPr>
            <w:tcW w:w="26" w:type="pct"/>
            <w:shd w:val="clear" w:color="auto" w:fill="auto"/>
            <w:vAlign w:val="bottom"/>
          </w:tcPr>
          <w:p w14:paraId="5F2CDB6F" w14:textId="77777777" w:rsidR="00E836FB" w:rsidRDefault="00E836FB">
            <w:pPr>
              <w:rPr>
                <w:rFonts w:ascii="宋体"/>
              </w:rPr>
            </w:pPr>
          </w:p>
        </w:tc>
        <w:tc>
          <w:tcPr>
            <w:tcW w:w="5" w:type="pct"/>
            <w:shd w:val="clear" w:color="auto" w:fill="auto"/>
            <w:vAlign w:val="bottom"/>
          </w:tcPr>
          <w:p w14:paraId="5F2CDB70" w14:textId="77777777" w:rsidR="00E836FB" w:rsidRDefault="00E836FB">
            <w:pPr>
              <w:rPr>
                <w:rFonts w:ascii="宋体"/>
              </w:rPr>
            </w:pPr>
          </w:p>
        </w:tc>
        <w:tc>
          <w:tcPr>
            <w:tcW w:w="50" w:type="pct"/>
            <w:shd w:val="clear" w:color="auto" w:fill="auto"/>
            <w:vAlign w:val="bottom"/>
          </w:tcPr>
          <w:p w14:paraId="5F2CDB71" w14:textId="77777777" w:rsidR="00E836FB" w:rsidRDefault="00E836FB">
            <w:pPr>
              <w:rPr>
                <w:rFonts w:ascii="宋体"/>
              </w:rPr>
            </w:pPr>
          </w:p>
        </w:tc>
        <w:tc>
          <w:tcPr>
            <w:tcW w:w="511" w:type="pct"/>
            <w:shd w:val="clear" w:color="auto" w:fill="auto"/>
            <w:vAlign w:val="bottom"/>
          </w:tcPr>
          <w:p w14:paraId="5F2CDB72" w14:textId="77777777" w:rsidR="00E836FB" w:rsidRDefault="00E836FB">
            <w:pPr>
              <w:rPr>
                <w:rFonts w:ascii="宋体"/>
              </w:rPr>
            </w:pPr>
          </w:p>
        </w:tc>
        <w:tc>
          <w:tcPr>
            <w:tcW w:w="5" w:type="pct"/>
            <w:shd w:val="clear" w:color="auto" w:fill="auto"/>
            <w:vAlign w:val="bottom"/>
          </w:tcPr>
          <w:p w14:paraId="5F2CDB73" w14:textId="77777777" w:rsidR="00E836FB" w:rsidRDefault="00E836FB">
            <w:pPr>
              <w:rPr>
                <w:rFonts w:ascii="宋体"/>
              </w:rPr>
            </w:pPr>
          </w:p>
        </w:tc>
      </w:tr>
      <w:tr w:rsidR="00E836FB" w14:paraId="5F2CDB76" w14:textId="77777777">
        <w:tc>
          <w:tcPr>
            <w:tcW w:w="0" w:type="auto"/>
            <w:gridSpan w:val="36"/>
            <w:shd w:val="clear" w:color="auto" w:fill="auto"/>
            <w:tcMar>
              <w:top w:w="40" w:type="dxa"/>
              <w:left w:w="20" w:type="dxa"/>
              <w:bottom w:w="40" w:type="dxa"/>
              <w:right w:w="20" w:type="dxa"/>
            </w:tcMar>
            <w:vAlign w:val="bottom"/>
          </w:tcPr>
          <w:p w14:paraId="5F2CDB75" w14:textId="77777777" w:rsidR="00E836FB" w:rsidRDefault="00994958">
            <w:pPr>
              <w:textAlignment w:val="bottom"/>
            </w:pPr>
            <w:r>
              <w:rPr>
                <w:rFonts w:ascii="Arial" w:eastAsia="宋体" w:hAnsi="Arial" w:cs="Arial"/>
                <w:b/>
                <w:bCs/>
                <w:color w:val="000000"/>
                <w:sz w:val="16"/>
                <w:szCs w:val="16"/>
              </w:rPr>
              <w:t>TABLE 39: NET INTEREST INCOME SENSITIVITY</w:t>
            </w:r>
          </w:p>
        </w:tc>
      </w:tr>
      <w:tr w:rsidR="00E836FB" w14:paraId="5F2CDB7B" w14:textId="77777777">
        <w:tc>
          <w:tcPr>
            <w:tcW w:w="0" w:type="auto"/>
            <w:gridSpan w:val="3"/>
            <w:shd w:val="clear" w:color="auto" w:fill="auto"/>
            <w:tcMar>
              <w:top w:w="0" w:type="dxa"/>
              <w:left w:w="20" w:type="dxa"/>
              <w:bottom w:w="0" w:type="dxa"/>
              <w:right w:w="20" w:type="dxa"/>
            </w:tcMar>
            <w:vAlign w:val="bottom"/>
          </w:tcPr>
          <w:p w14:paraId="5F2CDB77"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DB78" w14:textId="77777777" w:rsidR="00E836FB" w:rsidRDefault="00994958">
            <w:pPr>
              <w:jc w:val="center"/>
              <w:textAlignment w:val="bottom"/>
            </w:pPr>
            <w:r>
              <w:rPr>
                <w:rFonts w:ascii="Arial" w:eastAsia="宋体" w:hAnsi="Arial" w:cs="Arial"/>
                <w:b/>
                <w:bCs/>
                <w:color w:val="000000"/>
                <w:sz w:val="14"/>
                <w:szCs w:val="14"/>
              </w:rPr>
              <w:t>December 31, 2021</w:t>
            </w:r>
            <w:r>
              <w:rPr>
                <w:rFonts w:ascii="Arial" w:eastAsia="宋体" w:hAnsi="Arial" w:cs="Arial"/>
                <w:b/>
                <w:bCs/>
                <w:color w:val="000000"/>
                <w:sz w:val="9"/>
                <w:szCs w:val="9"/>
              </w:rPr>
              <w:t>(2)</w:t>
            </w:r>
          </w:p>
        </w:tc>
        <w:tc>
          <w:tcPr>
            <w:tcW w:w="0" w:type="auto"/>
            <w:gridSpan w:val="3"/>
            <w:shd w:val="clear" w:color="auto" w:fill="auto"/>
            <w:tcMar>
              <w:top w:w="0" w:type="dxa"/>
              <w:left w:w="20" w:type="dxa"/>
              <w:bottom w:w="0" w:type="dxa"/>
              <w:right w:w="20" w:type="dxa"/>
            </w:tcMar>
            <w:vAlign w:val="bottom"/>
          </w:tcPr>
          <w:p w14:paraId="5F2CDB79"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DB7A" w14:textId="77777777" w:rsidR="00E836FB" w:rsidRDefault="00994958">
            <w:pPr>
              <w:jc w:val="center"/>
              <w:textAlignment w:val="bottom"/>
            </w:pPr>
            <w:r>
              <w:rPr>
                <w:rFonts w:ascii="Arial" w:eastAsia="宋体" w:hAnsi="Arial" w:cs="Arial"/>
                <w:b/>
                <w:bCs/>
                <w:color w:val="000000"/>
                <w:sz w:val="14"/>
                <w:szCs w:val="14"/>
              </w:rPr>
              <w:t>December 31, 2020</w:t>
            </w:r>
          </w:p>
        </w:tc>
      </w:tr>
      <w:tr w:rsidR="00E836FB" w14:paraId="5F2CDB88" w14:textId="77777777">
        <w:tc>
          <w:tcPr>
            <w:tcW w:w="0" w:type="auto"/>
            <w:gridSpan w:val="3"/>
            <w:shd w:val="clear" w:color="auto" w:fill="auto"/>
            <w:tcMar>
              <w:top w:w="40" w:type="dxa"/>
              <w:left w:w="20" w:type="dxa"/>
              <w:bottom w:w="40" w:type="dxa"/>
              <w:right w:w="20" w:type="dxa"/>
            </w:tcMar>
            <w:vAlign w:val="bottom"/>
          </w:tcPr>
          <w:p w14:paraId="5F2CDB7C"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B7D" w14:textId="77777777" w:rsidR="00E836FB" w:rsidRDefault="00994958">
            <w:pPr>
              <w:jc w:val="center"/>
              <w:textAlignment w:val="bottom"/>
            </w:pPr>
            <w:r>
              <w:rPr>
                <w:rFonts w:ascii="Arial" w:eastAsia="宋体" w:hAnsi="Arial" w:cs="Arial"/>
                <w:b/>
                <w:bCs/>
                <w:color w:val="000000"/>
                <w:sz w:val="14"/>
                <w:szCs w:val="14"/>
              </w:rPr>
              <w:t xml:space="preserve">U.S. </w:t>
            </w:r>
            <w:r>
              <w:rPr>
                <w:rFonts w:ascii="Arial" w:eastAsia="宋体" w:hAnsi="Arial" w:cs="Arial"/>
                <w:b/>
                <w:bCs/>
                <w:color w:val="000000"/>
                <w:sz w:val="14"/>
                <w:szCs w:val="14"/>
              </w:rPr>
              <w:t>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F2CDB7E"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CDB7F" w14:textId="77777777" w:rsidR="00E836FB" w:rsidRDefault="00994958">
            <w:pPr>
              <w:jc w:val="center"/>
              <w:textAlignment w:val="bottom"/>
            </w:pPr>
            <w:r>
              <w:rPr>
                <w:rFonts w:ascii="Arial" w:eastAsia="宋体" w:hAnsi="Arial" w:cs="Arial"/>
                <w:b/>
                <w:bCs/>
                <w:color w:val="000000"/>
                <w:sz w:val="14"/>
                <w:szCs w:val="14"/>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F2CDB80"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CDB81"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CDB8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B83" w14:textId="77777777" w:rsidR="00E836FB" w:rsidRDefault="00994958">
            <w:pPr>
              <w:jc w:val="center"/>
              <w:textAlignment w:val="bottom"/>
            </w:pPr>
            <w:r>
              <w:rPr>
                <w:rFonts w:ascii="Arial" w:eastAsia="宋体" w:hAnsi="Arial" w:cs="Arial"/>
                <w:b/>
                <w:bCs/>
                <w:color w:val="000000"/>
                <w:sz w:val="14"/>
                <w:szCs w:val="14"/>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F2CDB84"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CDB85" w14:textId="77777777" w:rsidR="00E836FB" w:rsidRDefault="00994958">
            <w:pPr>
              <w:jc w:val="center"/>
              <w:textAlignment w:val="bottom"/>
            </w:pPr>
            <w:r>
              <w:rPr>
                <w:rFonts w:ascii="Arial" w:eastAsia="宋体" w:hAnsi="Arial" w:cs="Arial"/>
                <w:b/>
                <w:bCs/>
                <w:color w:val="000000"/>
                <w:sz w:val="14"/>
                <w:szCs w:val="14"/>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F2CDB86"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CDB87" w14:textId="77777777" w:rsidR="00E836FB" w:rsidRDefault="00994958">
            <w:pPr>
              <w:jc w:val="center"/>
              <w:textAlignment w:val="bottom"/>
            </w:pPr>
            <w:r>
              <w:rPr>
                <w:rFonts w:ascii="Arial" w:eastAsia="宋体" w:hAnsi="Arial" w:cs="Arial"/>
                <w:b/>
                <w:bCs/>
                <w:color w:val="000000"/>
                <w:sz w:val="16"/>
                <w:szCs w:val="16"/>
              </w:rPr>
              <w:t>Total</w:t>
            </w:r>
          </w:p>
        </w:tc>
      </w:tr>
      <w:tr w:rsidR="00E836FB" w14:paraId="5F2CDB8D" w14:textId="77777777">
        <w:tc>
          <w:tcPr>
            <w:tcW w:w="0" w:type="auto"/>
            <w:gridSpan w:val="3"/>
            <w:shd w:val="clear" w:color="auto" w:fill="auto"/>
            <w:tcMar>
              <w:top w:w="40" w:type="dxa"/>
              <w:left w:w="20" w:type="dxa"/>
              <w:bottom w:w="40" w:type="dxa"/>
              <w:right w:w="20" w:type="dxa"/>
            </w:tcMar>
            <w:vAlign w:val="bottom"/>
          </w:tcPr>
          <w:p w14:paraId="5F2CDB89" w14:textId="77777777" w:rsidR="00E836FB" w:rsidRDefault="00994958">
            <w:pPr>
              <w:textAlignment w:val="bottom"/>
            </w:pPr>
            <w:r>
              <w:rPr>
                <w:rFonts w:ascii="Arial" w:eastAsia="宋体" w:hAnsi="Arial" w:cs="Arial"/>
                <w:color w:val="000000"/>
                <w:sz w:val="14"/>
                <w:szCs w:val="14"/>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DB8A" w14:textId="77777777" w:rsidR="00E836FB" w:rsidRDefault="00994958">
            <w:pPr>
              <w:jc w:val="center"/>
              <w:textAlignment w:val="bottom"/>
            </w:pPr>
            <w:r>
              <w:rPr>
                <w:rFonts w:ascii="Arial" w:eastAsia="宋体" w:hAnsi="Arial" w:cs="Arial"/>
                <w:b/>
                <w:bCs/>
                <w:color w:val="000000"/>
                <w:sz w:val="14"/>
                <w:szCs w:val="14"/>
              </w:rPr>
              <w:t>Benefit (Exposure)</w:t>
            </w:r>
          </w:p>
        </w:tc>
        <w:tc>
          <w:tcPr>
            <w:tcW w:w="0" w:type="auto"/>
            <w:gridSpan w:val="3"/>
            <w:shd w:val="clear" w:color="auto" w:fill="auto"/>
            <w:tcMar>
              <w:top w:w="0" w:type="dxa"/>
              <w:left w:w="20" w:type="dxa"/>
              <w:bottom w:w="0" w:type="dxa"/>
              <w:right w:w="20" w:type="dxa"/>
            </w:tcMar>
            <w:vAlign w:val="bottom"/>
          </w:tcPr>
          <w:p w14:paraId="5F2CDB8B"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DB8C" w14:textId="77777777" w:rsidR="00E836FB" w:rsidRDefault="00994958">
            <w:pPr>
              <w:jc w:val="center"/>
              <w:textAlignment w:val="bottom"/>
            </w:pPr>
            <w:r>
              <w:rPr>
                <w:rFonts w:ascii="Arial" w:eastAsia="宋体" w:hAnsi="Arial" w:cs="Arial"/>
                <w:b/>
                <w:bCs/>
                <w:color w:val="000000"/>
                <w:sz w:val="14"/>
                <w:szCs w:val="14"/>
              </w:rPr>
              <w:t>Benefit (Exposure)</w:t>
            </w:r>
          </w:p>
        </w:tc>
      </w:tr>
      <w:tr w:rsidR="00E836FB" w14:paraId="5F2CDB9A" w14:textId="77777777">
        <w:tc>
          <w:tcPr>
            <w:tcW w:w="0" w:type="auto"/>
            <w:gridSpan w:val="3"/>
            <w:shd w:val="clear" w:color="auto" w:fill="auto"/>
            <w:tcMar>
              <w:top w:w="40" w:type="dxa"/>
              <w:left w:w="20" w:type="dxa"/>
              <w:bottom w:w="40" w:type="dxa"/>
              <w:right w:w="20" w:type="dxa"/>
            </w:tcMar>
            <w:vAlign w:val="bottom"/>
          </w:tcPr>
          <w:p w14:paraId="5F2CDB8E" w14:textId="77777777" w:rsidR="00E836FB" w:rsidRDefault="00994958">
            <w:pPr>
              <w:textAlignment w:val="bottom"/>
            </w:pPr>
            <w:r>
              <w:rPr>
                <w:rFonts w:ascii="Arial" w:eastAsia="宋体" w:hAnsi="Arial" w:cs="Arial"/>
                <w:b/>
                <w:bCs/>
                <w:color w:val="000000"/>
                <w:sz w:val="14"/>
                <w:szCs w:val="14"/>
              </w:rPr>
              <w:t>Parallel shifts: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8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B9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B99" w14:textId="77777777" w:rsidR="00E836FB" w:rsidRDefault="00E836FB">
            <w:pPr>
              <w:rPr>
                <w:rFonts w:ascii="宋体"/>
              </w:rPr>
            </w:pPr>
          </w:p>
        </w:tc>
      </w:tr>
      <w:tr w:rsidR="00E836FB" w14:paraId="5F2CDBB3" w14:textId="77777777">
        <w:tc>
          <w:tcPr>
            <w:tcW w:w="0" w:type="auto"/>
            <w:gridSpan w:val="3"/>
            <w:shd w:val="clear" w:color="auto" w:fill="CCEEFF"/>
            <w:tcMar>
              <w:top w:w="40" w:type="dxa"/>
              <w:left w:w="20" w:type="dxa"/>
              <w:bottom w:w="40" w:type="dxa"/>
              <w:right w:w="20" w:type="dxa"/>
            </w:tcMar>
            <w:vAlign w:val="bottom"/>
          </w:tcPr>
          <w:p w14:paraId="5F2CDB9B" w14:textId="77777777" w:rsidR="00E836FB" w:rsidRDefault="00994958">
            <w:pPr>
              <w:textAlignment w:val="bottom"/>
            </w:pPr>
            <w:r>
              <w:rPr>
                <w:rFonts w:ascii="Arial" w:eastAsia="宋体" w:hAnsi="Arial" w:cs="Arial"/>
                <w:color w:val="000000"/>
                <w:sz w:val="14"/>
                <w:szCs w:val="14"/>
              </w:rPr>
              <w:t>+100 bps shock</w:t>
            </w:r>
          </w:p>
        </w:tc>
        <w:tc>
          <w:tcPr>
            <w:tcW w:w="0" w:type="auto"/>
            <w:shd w:val="clear" w:color="auto" w:fill="CCEEFF"/>
            <w:tcMar>
              <w:top w:w="40" w:type="dxa"/>
              <w:left w:w="20" w:type="dxa"/>
              <w:bottom w:w="40" w:type="dxa"/>
              <w:right w:w="0" w:type="dxa"/>
            </w:tcMar>
            <w:vAlign w:val="bottom"/>
          </w:tcPr>
          <w:p w14:paraId="5F2CDB9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DB9D" w14:textId="77777777" w:rsidR="00E836FB" w:rsidRDefault="00994958">
            <w:pPr>
              <w:jc w:val="right"/>
              <w:textAlignment w:val="bottom"/>
            </w:pPr>
            <w:r>
              <w:rPr>
                <w:rFonts w:ascii="Arial" w:eastAsia="宋体" w:hAnsi="Arial" w:cs="Arial"/>
                <w:b/>
                <w:bCs/>
                <w:color w:val="000000"/>
                <w:sz w:val="14"/>
                <w:szCs w:val="14"/>
              </w:rPr>
              <w:t>447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B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9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BA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DBA1" w14:textId="77777777" w:rsidR="00E836FB" w:rsidRDefault="00994958">
            <w:pPr>
              <w:jc w:val="right"/>
              <w:textAlignment w:val="bottom"/>
            </w:pPr>
            <w:r>
              <w:rPr>
                <w:rFonts w:ascii="Arial" w:eastAsia="宋体" w:hAnsi="Arial" w:cs="Arial"/>
                <w:b/>
                <w:bCs/>
                <w:color w:val="000000"/>
                <w:sz w:val="14"/>
                <w:szCs w:val="14"/>
              </w:rPr>
              <w:t>306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B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A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BA4"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DBA5" w14:textId="77777777" w:rsidR="00E836FB" w:rsidRDefault="00994958">
            <w:pPr>
              <w:jc w:val="right"/>
              <w:textAlignment w:val="bottom"/>
            </w:pPr>
            <w:r>
              <w:rPr>
                <w:rFonts w:ascii="Arial" w:eastAsia="宋体" w:hAnsi="Arial" w:cs="Arial"/>
                <w:b/>
                <w:bCs/>
                <w:color w:val="000000"/>
                <w:sz w:val="14"/>
                <w:szCs w:val="14"/>
              </w:rPr>
              <w:t>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B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A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BA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DBA9" w14:textId="77777777" w:rsidR="00E836FB" w:rsidRDefault="00994958">
            <w:pPr>
              <w:jc w:val="right"/>
              <w:textAlignment w:val="bottom"/>
            </w:pPr>
            <w:r>
              <w:rPr>
                <w:rFonts w:ascii="Arial" w:eastAsia="宋体" w:hAnsi="Arial" w:cs="Arial"/>
                <w:color w:val="000000"/>
                <w:sz w:val="14"/>
                <w:szCs w:val="14"/>
              </w:rPr>
              <w:t>410 </w:t>
            </w:r>
          </w:p>
        </w:tc>
        <w:tc>
          <w:tcPr>
            <w:tcW w:w="0" w:type="auto"/>
            <w:shd w:val="clear" w:color="auto" w:fill="CCEEFF"/>
            <w:tcMar>
              <w:top w:w="40" w:type="dxa"/>
              <w:left w:w="0" w:type="dxa"/>
              <w:bottom w:w="40" w:type="dxa"/>
              <w:right w:w="20" w:type="dxa"/>
            </w:tcMar>
            <w:vAlign w:val="bottom"/>
          </w:tcPr>
          <w:p w14:paraId="5F2CDB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A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BA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DBAD" w14:textId="77777777" w:rsidR="00E836FB" w:rsidRDefault="00994958">
            <w:pPr>
              <w:jc w:val="right"/>
              <w:textAlignment w:val="bottom"/>
            </w:pPr>
            <w:r>
              <w:rPr>
                <w:rFonts w:ascii="Arial" w:eastAsia="宋体" w:hAnsi="Arial" w:cs="Arial"/>
                <w:color w:val="000000"/>
                <w:sz w:val="14"/>
                <w:szCs w:val="14"/>
              </w:rPr>
              <w:t>172 </w:t>
            </w:r>
          </w:p>
        </w:tc>
        <w:tc>
          <w:tcPr>
            <w:tcW w:w="0" w:type="auto"/>
            <w:shd w:val="clear" w:color="auto" w:fill="CCEEFF"/>
            <w:tcMar>
              <w:top w:w="40" w:type="dxa"/>
              <w:left w:w="0" w:type="dxa"/>
              <w:bottom w:w="40" w:type="dxa"/>
              <w:right w:w="20" w:type="dxa"/>
            </w:tcMar>
            <w:vAlign w:val="bottom"/>
          </w:tcPr>
          <w:p w14:paraId="5F2CDB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A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BB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DBB1" w14:textId="77777777" w:rsidR="00E836FB" w:rsidRDefault="00994958">
            <w:pPr>
              <w:jc w:val="right"/>
              <w:textAlignment w:val="bottom"/>
            </w:pPr>
            <w:r>
              <w:rPr>
                <w:rFonts w:ascii="Arial" w:eastAsia="宋体" w:hAnsi="Arial" w:cs="Arial"/>
                <w:color w:val="000000"/>
                <w:sz w:val="14"/>
                <w:szCs w:val="14"/>
              </w:rPr>
              <w:t>582 </w:t>
            </w:r>
          </w:p>
        </w:tc>
        <w:tc>
          <w:tcPr>
            <w:tcW w:w="0" w:type="auto"/>
            <w:shd w:val="clear" w:color="auto" w:fill="CCEEFF"/>
            <w:tcMar>
              <w:top w:w="40" w:type="dxa"/>
              <w:left w:w="0" w:type="dxa"/>
              <w:bottom w:w="40" w:type="dxa"/>
              <w:right w:w="20" w:type="dxa"/>
            </w:tcMar>
            <w:vAlign w:val="bottom"/>
          </w:tcPr>
          <w:p w14:paraId="5F2CDBB2" w14:textId="77777777" w:rsidR="00E836FB" w:rsidRDefault="00E836FB">
            <w:pPr>
              <w:jc w:val="right"/>
              <w:rPr>
                <w:rFonts w:ascii="宋体"/>
              </w:rPr>
            </w:pPr>
          </w:p>
        </w:tc>
      </w:tr>
      <w:tr w:rsidR="00E836FB" w14:paraId="5F2CDBC6" w14:textId="77777777">
        <w:tc>
          <w:tcPr>
            <w:tcW w:w="0" w:type="auto"/>
            <w:gridSpan w:val="3"/>
            <w:shd w:val="clear" w:color="auto" w:fill="FFFFFF"/>
            <w:tcMar>
              <w:top w:w="40" w:type="dxa"/>
              <w:left w:w="20" w:type="dxa"/>
              <w:bottom w:w="40" w:type="dxa"/>
              <w:right w:w="20" w:type="dxa"/>
            </w:tcMar>
            <w:vAlign w:val="bottom"/>
          </w:tcPr>
          <w:p w14:paraId="5F2CDBB4" w14:textId="77777777" w:rsidR="00E836FB" w:rsidRDefault="00994958">
            <w:pPr>
              <w:textAlignment w:val="bottom"/>
            </w:pPr>
            <w:r>
              <w:rPr>
                <w:rFonts w:ascii="Arial" w:eastAsia="宋体" w:hAnsi="Arial" w:cs="Arial"/>
                <w:color w:val="000000"/>
                <w:sz w:val="14"/>
                <w:szCs w:val="14"/>
              </w:rPr>
              <w:t>–100 bps sh</w:t>
            </w:r>
            <w:r>
              <w:rPr>
                <w:rFonts w:ascii="Arial" w:eastAsia="宋体" w:hAnsi="Arial" w:cs="Arial"/>
                <w:color w:val="000000"/>
                <w:sz w:val="14"/>
                <w:szCs w:val="14"/>
              </w:rPr>
              <w:t>ock</w:t>
            </w:r>
          </w:p>
        </w:tc>
        <w:tc>
          <w:tcPr>
            <w:tcW w:w="0" w:type="auto"/>
            <w:gridSpan w:val="2"/>
            <w:shd w:val="clear" w:color="auto" w:fill="FFFFFF"/>
            <w:tcMar>
              <w:top w:w="40" w:type="dxa"/>
              <w:left w:w="20" w:type="dxa"/>
              <w:bottom w:w="40" w:type="dxa"/>
              <w:right w:w="0" w:type="dxa"/>
            </w:tcMar>
            <w:vAlign w:val="bottom"/>
          </w:tcPr>
          <w:p w14:paraId="5F2CDBB5" w14:textId="77777777" w:rsidR="00E836FB" w:rsidRDefault="00994958">
            <w:pPr>
              <w:jc w:val="right"/>
              <w:textAlignment w:val="bottom"/>
            </w:pPr>
            <w:r>
              <w:rPr>
                <w:rFonts w:ascii="Arial" w:eastAsia="宋体" w:hAnsi="Arial" w:cs="Arial"/>
                <w:b/>
                <w:bCs/>
                <w:color w:val="000000"/>
                <w:sz w:val="14"/>
                <w:szCs w:val="14"/>
              </w:rPr>
              <w:t>384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DB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B8" w14:textId="77777777" w:rsidR="00E836FB" w:rsidRDefault="00994958">
            <w:pPr>
              <w:jc w:val="right"/>
              <w:textAlignment w:val="bottom"/>
            </w:pPr>
            <w:r>
              <w:rPr>
                <w:rFonts w:ascii="Arial" w:eastAsia="宋体" w:hAnsi="Arial" w:cs="Arial"/>
                <w:b/>
                <w:bCs/>
                <w:color w:val="000000"/>
                <w:sz w:val="14"/>
                <w:szCs w:val="14"/>
              </w:rPr>
              <w:t>(39)</w:t>
            </w:r>
          </w:p>
        </w:tc>
        <w:tc>
          <w:tcPr>
            <w:tcW w:w="0" w:type="auto"/>
            <w:shd w:val="clear" w:color="auto" w:fill="FFFFFF"/>
            <w:tcMar>
              <w:top w:w="40" w:type="dxa"/>
              <w:left w:w="0" w:type="dxa"/>
              <w:bottom w:w="40" w:type="dxa"/>
              <w:right w:w="20" w:type="dxa"/>
            </w:tcMar>
            <w:vAlign w:val="bottom"/>
          </w:tcPr>
          <w:p w14:paraId="5F2CDB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BB" w14:textId="77777777" w:rsidR="00E836FB" w:rsidRDefault="00994958">
            <w:pPr>
              <w:jc w:val="right"/>
              <w:textAlignment w:val="bottom"/>
            </w:pPr>
            <w:r>
              <w:rPr>
                <w:rFonts w:ascii="Arial" w:eastAsia="宋体" w:hAnsi="Arial" w:cs="Arial"/>
                <w:b/>
                <w:bCs/>
                <w:color w:val="000000"/>
                <w:sz w:val="14"/>
                <w:szCs w:val="14"/>
              </w:rPr>
              <w:t>345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DB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BE" w14:textId="77777777" w:rsidR="00E836FB" w:rsidRDefault="00994958">
            <w:pPr>
              <w:jc w:val="right"/>
              <w:textAlignment w:val="bottom"/>
            </w:pPr>
            <w:r>
              <w:rPr>
                <w:rFonts w:ascii="Arial" w:eastAsia="宋体" w:hAnsi="Arial" w:cs="Arial"/>
                <w:color w:val="000000"/>
                <w:sz w:val="14"/>
                <w:szCs w:val="14"/>
              </w:rPr>
              <w:t>591 </w:t>
            </w:r>
          </w:p>
        </w:tc>
        <w:tc>
          <w:tcPr>
            <w:tcW w:w="0" w:type="auto"/>
            <w:shd w:val="clear" w:color="auto" w:fill="FFFFFF"/>
            <w:tcMar>
              <w:top w:w="40" w:type="dxa"/>
              <w:left w:w="0" w:type="dxa"/>
              <w:bottom w:w="40" w:type="dxa"/>
              <w:right w:w="20" w:type="dxa"/>
            </w:tcMar>
            <w:vAlign w:val="bottom"/>
          </w:tcPr>
          <w:p w14:paraId="5F2CDB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C1" w14:textId="77777777" w:rsidR="00E836FB" w:rsidRDefault="00994958">
            <w:pPr>
              <w:jc w:val="right"/>
              <w:textAlignment w:val="bottom"/>
            </w:pPr>
            <w:r>
              <w:rPr>
                <w:rFonts w:ascii="Arial" w:eastAsia="宋体" w:hAnsi="Arial" w:cs="Arial"/>
                <w:color w:val="000000"/>
                <w:sz w:val="14"/>
                <w:szCs w:val="14"/>
              </w:rPr>
              <w:t>196 </w:t>
            </w:r>
          </w:p>
        </w:tc>
        <w:tc>
          <w:tcPr>
            <w:tcW w:w="0" w:type="auto"/>
            <w:shd w:val="clear" w:color="auto" w:fill="FFFFFF"/>
            <w:tcMar>
              <w:top w:w="40" w:type="dxa"/>
              <w:left w:w="0" w:type="dxa"/>
              <w:bottom w:w="40" w:type="dxa"/>
              <w:right w:w="20" w:type="dxa"/>
            </w:tcMar>
            <w:vAlign w:val="bottom"/>
          </w:tcPr>
          <w:p w14:paraId="5F2CDB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C4" w14:textId="77777777" w:rsidR="00E836FB" w:rsidRDefault="00994958">
            <w:pPr>
              <w:jc w:val="right"/>
              <w:textAlignment w:val="bottom"/>
            </w:pPr>
            <w:r>
              <w:rPr>
                <w:rFonts w:ascii="Arial" w:eastAsia="宋体" w:hAnsi="Arial" w:cs="Arial"/>
                <w:color w:val="000000"/>
                <w:sz w:val="14"/>
                <w:szCs w:val="14"/>
              </w:rPr>
              <w:t>787 </w:t>
            </w:r>
          </w:p>
        </w:tc>
        <w:tc>
          <w:tcPr>
            <w:tcW w:w="0" w:type="auto"/>
            <w:shd w:val="clear" w:color="auto" w:fill="FFFFFF"/>
            <w:tcMar>
              <w:top w:w="40" w:type="dxa"/>
              <w:left w:w="0" w:type="dxa"/>
              <w:bottom w:w="40" w:type="dxa"/>
              <w:right w:w="20" w:type="dxa"/>
            </w:tcMar>
            <w:vAlign w:val="bottom"/>
          </w:tcPr>
          <w:p w14:paraId="5F2CDBC5" w14:textId="77777777" w:rsidR="00E836FB" w:rsidRDefault="00E836FB">
            <w:pPr>
              <w:jc w:val="right"/>
              <w:rPr>
                <w:rFonts w:ascii="宋体"/>
              </w:rPr>
            </w:pPr>
          </w:p>
        </w:tc>
      </w:tr>
      <w:tr w:rsidR="00E836FB" w14:paraId="5F2CDBD3" w14:textId="77777777">
        <w:tc>
          <w:tcPr>
            <w:tcW w:w="0" w:type="auto"/>
            <w:gridSpan w:val="3"/>
            <w:shd w:val="clear" w:color="auto" w:fill="CCEEFF"/>
            <w:tcMar>
              <w:top w:w="40" w:type="dxa"/>
              <w:left w:w="20" w:type="dxa"/>
              <w:bottom w:w="40" w:type="dxa"/>
              <w:right w:w="20" w:type="dxa"/>
            </w:tcMar>
            <w:vAlign w:val="bottom"/>
          </w:tcPr>
          <w:p w14:paraId="5F2CDBC7" w14:textId="77777777" w:rsidR="00E836FB" w:rsidRDefault="00994958">
            <w:pPr>
              <w:textAlignment w:val="bottom"/>
            </w:pPr>
            <w:r>
              <w:rPr>
                <w:rFonts w:ascii="Arial" w:eastAsia="宋体" w:hAnsi="Arial" w:cs="Arial"/>
                <w:b/>
                <w:bCs/>
                <w:color w:val="000000"/>
                <w:sz w:val="14"/>
                <w:szCs w:val="14"/>
              </w:rPr>
              <w:t>Steeper yield curve:</w:t>
            </w:r>
          </w:p>
        </w:tc>
        <w:tc>
          <w:tcPr>
            <w:tcW w:w="0" w:type="auto"/>
            <w:gridSpan w:val="3"/>
            <w:shd w:val="clear" w:color="auto" w:fill="CCEEFF"/>
            <w:tcMar>
              <w:top w:w="0" w:type="dxa"/>
              <w:left w:w="20" w:type="dxa"/>
              <w:bottom w:w="0" w:type="dxa"/>
              <w:right w:w="20" w:type="dxa"/>
            </w:tcMar>
            <w:vAlign w:val="bottom"/>
          </w:tcPr>
          <w:p w14:paraId="5F2CDBC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C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C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C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C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C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C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C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D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D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BD2" w14:textId="77777777" w:rsidR="00E836FB" w:rsidRDefault="00E836FB">
            <w:pPr>
              <w:rPr>
                <w:rFonts w:ascii="宋体"/>
              </w:rPr>
            </w:pPr>
          </w:p>
        </w:tc>
      </w:tr>
      <w:tr w:rsidR="00E836FB" w14:paraId="5F2CDBE6" w14:textId="77777777">
        <w:tc>
          <w:tcPr>
            <w:tcW w:w="0" w:type="auto"/>
            <w:gridSpan w:val="3"/>
            <w:shd w:val="clear" w:color="auto" w:fill="auto"/>
            <w:tcMar>
              <w:top w:w="40" w:type="dxa"/>
              <w:left w:w="20" w:type="dxa"/>
              <w:bottom w:w="40" w:type="dxa"/>
              <w:right w:w="20" w:type="dxa"/>
            </w:tcMar>
            <w:vAlign w:val="bottom"/>
          </w:tcPr>
          <w:p w14:paraId="5F2CDBD4" w14:textId="77777777" w:rsidR="00E836FB" w:rsidRDefault="00994958">
            <w:pPr>
              <w:textAlignment w:val="bottom"/>
            </w:pPr>
            <w:r>
              <w:rPr>
                <w:rFonts w:ascii="Arial" w:eastAsia="宋体" w:hAnsi="Arial" w:cs="Arial"/>
                <w:color w:val="000000"/>
                <w:sz w:val="14"/>
                <w:szCs w:val="14"/>
              </w:rPr>
              <w:t>'+100 bps shift in long-end rates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F2CDBD5" w14:textId="77777777" w:rsidR="00E836FB" w:rsidRDefault="00994958">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DB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D8" w14:textId="77777777" w:rsidR="00E836FB" w:rsidRDefault="00994958">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DB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D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DB" w14:textId="77777777" w:rsidR="00E836FB" w:rsidRDefault="00994958">
            <w:pPr>
              <w:jc w:val="right"/>
              <w:textAlignment w:val="bottom"/>
            </w:pPr>
            <w:r>
              <w:rPr>
                <w:rFonts w:ascii="Arial" w:eastAsia="宋体" w:hAnsi="Arial" w:cs="Arial"/>
                <w:b/>
                <w:bCs/>
                <w:color w:val="000000"/>
                <w:sz w:val="14"/>
                <w:szCs w:val="14"/>
              </w:rPr>
              <w:t>130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DBD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D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DE" w14:textId="77777777" w:rsidR="00E836FB" w:rsidRDefault="00994958">
            <w:pPr>
              <w:jc w:val="right"/>
              <w:textAlignment w:val="bottom"/>
            </w:pPr>
            <w:r>
              <w:rPr>
                <w:rFonts w:ascii="Arial" w:eastAsia="宋体" w:hAnsi="Arial" w:cs="Arial"/>
                <w:color w:val="000000"/>
                <w:sz w:val="14"/>
                <w:szCs w:val="14"/>
              </w:rPr>
              <w:t>135 </w:t>
            </w:r>
          </w:p>
        </w:tc>
        <w:tc>
          <w:tcPr>
            <w:tcW w:w="0" w:type="auto"/>
            <w:shd w:val="clear" w:color="auto" w:fill="FFFFFF"/>
            <w:tcMar>
              <w:top w:w="40" w:type="dxa"/>
              <w:left w:w="0" w:type="dxa"/>
              <w:bottom w:w="40" w:type="dxa"/>
              <w:right w:w="20" w:type="dxa"/>
            </w:tcMar>
            <w:vAlign w:val="bottom"/>
          </w:tcPr>
          <w:p w14:paraId="5F2CDB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E1"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F2CDB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B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BE4" w14:textId="77777777" w:rsidR="00E836FB" w:rsidRDefault="00994958">
            <w:pPr>
              <w:jc w:val="right"/>
              <w:textAlignment w:val="bottom"/>
            </w:pPr>
            <w:r>
              <w:rPr>
                <w:rFonts w:ascii="Arial" w:eastAsia="宋体" w:hAnsi="Arial" w:cs="Arial"/>
                <w:color w:val="000000"/>
                <w:sz w:val="14"/>
                <w:szCs w:val="14"/>
              </w:rPr>
              <w:t>138 </w:t>
            </w:r>
          </w:p>
        </w:tc>
        <w:tc>
          <w:tcPr>
            <w:tcW w:w="0" w:type="auto"/>
            <w:shd w:val="clear" w:color="auto" w:fill="FFFFFF"/>
            <w:tcMar>
              <w:top w:w="40" w:type="dxa"/>
              <w:left w:w="0" w:type="dxa"/>
              <w:bottom w:w="40" w:type="dxa"/>
              <w:right w:w="20" w:type="dxa"/>
            </w:tcMar>
            <w:vAlign w:val="bottom"/>
          </w:tcPr>
          <w:p w14:paraId="5F2CDBE5" w14:textId="77777777" w:rsidR="00E836FB" w:rsidRDefault="00E836FB">
            <w:pPr>
              <w:jc w:val="right"/>
              <w:rPr>
                <w:rFonts w:ascii="宋体"/>
              </w:rPr>
            </w:pPr>
          </w:p>
        </w:tc>
      </w:tr>
      <w:tr w:rsidR="00E836FB" w14:paraId="5F2CDBF9" w14:textId="77777777">
        <w:tc>
          <w:tcPr>
            <w:tcW w:w="0" w:type="auto"/>
            <w:gridSpan w:val="3"/>
            <w:shd w:val="clear" w:color="auto" w:fill="CCEEFF"/>
            <w:tcMar>
              <w:top w:w="40" w:type="dxa"/>
              <w:left w:w="20" w:type="dxa"/>
              <w:bottom w:w="40" w:type="dxa"/>
              <w:right w:w="20" w:type="dxa"/>
            </w:tcMar>
            <w:vAlign w:val="bottom"/>
          </w:tcPr>
          <w:p w14:paraId="5F2CDBE7" w14:textId="77777777" w:rsidR="00E836FB" w:rsidRDefault="00994958">
            <w:pPr>
              <w:textAlignment w:val="bottom"/>
            </w:pPr>
            <w:r>
              <w:rPr>
                <w:rFonts w:ascii="Arial" w:eastAsia="宋体" w:hAnsi="Arial" w:cs="Arial"/>
                <w:color w:val="000000"/>
                <w:sz w:val="14"/>
                <w:szCs w:val="14"/>
              </w:rPr>
              <w:t>'-100 bps shift in short-end rates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CDBE8" w14:textId="77777777" w:rsidR="00E836FB" w:rsidRDefault="00994958">
            <w:pPr>
              <w:jc w:val="right"/>
              <w:textAlignment w:val="bottom"/>
            </w:pPr>
            <w:r>
              <w:rPr>
                <w:rFonts w:ascii="Arial" w:eastAsia="宋体" w:hAnsi="Arial" w:cs="Arial"/>
                <w:b/>
                <w:bCs/>
                <w:color w:val="000000"/>
                <w:sz w:val="14"/>
                <w:szCs w:val="14"/>
              </w:rPr>
              <w:t>519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B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E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BEB" w14:textId="77777777" w:rsidR="00E836FB" w:rsidRDefault="00994958">
            <w:pPr>
              <w:jc w:val="right"/>
              <w:textAlignment w:val="bottom"/>
            </w:pPr>
            <w:r>
              <w:rPr>
                <w:rFonts w:ascii="Arial" w:eastAsia="宋体" w:hAnsi="Arial" w:cs="Arial"/>
                <w:b/>
                <w:bCs/>
                <w:color w:val="000000"/>
                <w:sz w:val="14"/>
                <w:szCs w:val="14"/>
              </w:rPr>
              <w:t>(22)</w:t>
            </w:r>
          </w:p>
        </w:tc>
        <w:tc>
          <w:tcPr>
            <w:tcW w:w="0" w:type="auto"/>
            <w:shd w:val="clear" w:color="auto" w:fill="CCEEFF"/>
            <w:tcMar>
              <w:top w:w="40" w:type="dxa"/>
              <w:left w:w="0" w:type="dxa"/>
              <w:bottom w:w="40" w:type="dxa"/>
              <w:right w:w="20" w:type="dxa"/>
            </w:tcMar>
            <w:vAlign w:val="bottom"/>
          </w:tcPr>
          <w:p w14:paraId="5F2CDB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BEE" w14:textId="77777777" w:rsidR="00E836FB" w:rsidRDefault="00994958">
            <w:pPr>
              <w:jc w:val="right"/>
              <w:textAlignment w:val="bottom"/>
            </w:pPr>
            <w:r>
              <w:rPr>
                <w:rFonts w:ascii="Arial" w:eastAsia="宋体" w:hAnsi="Arial" w:cs="Arial"/>
                <w:b/>
                <w:bCs/>
                <w:color w:val="000000"/>
                <w:sz w:val="14"/>
                <w:szCs w:val="14"/>
              </w:rPr>
              <w:t>497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B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BF1" w14:textId="77777777" w:rsidR="00E836FB" w:rsidRDefault="00994958">
            <w:pPr>
              <w:jc w:val="right"/>
              <w:textAlignment w:val="bottom"/>
            </w:pPr>
            <w:r>
              <w:rPr>
                <w:rFonts w:ascii="Arial" w:eastAsia="宋体" w:hAnsi="Arial" w:cs="Arial"/>
                <w:color w:val="000000"/>
                <w:sz w:val="14"/>
                <w:szCs w:val="14"/>
              </w:rPr>
              <w:t>743 </w:t>
            </w:r>
          </w:p>
        </w:tc>
        <w:tc>
          <w:tcPr>
            <w:tcW w:w="0" w:type="auto"/>
            <w:shd w:val="clear" w:color="auto" w:fill="CCEEFF"/>
            <w:tcMar>
              <w:top w:w="40" w:type="dxa"/>
              <w:left w:w="0" w:type="dxa"/>
              <w:bottom w:w="40" w:type="dxa"/>
              <w:right w:w="20" w:type="dxa"/>
            </w:tcMar>
            <w:vAlign w:val="bottom"/>
          </w:tcPr>
          <w:p w14:paraId="5F2CDB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BF4" w14:textId="77777777" w:rsidR="00E836FB" w:rsidRDefault="00994958">
            <w:pPr>
              <w:jc w:val="right"/>
              <w:textAlignment w:val="bottom"/>
            </w:pPr>
            <w:r>
              <w:rPr>
                <w:rFonts w:ascii="Arial" w:eastAsia="宋体" w:hAnsi="Arial" w:cs="Arial"/>
                <w:color w:val="000000"/>
                <w:sz w:val="14"/>
                <w:szCs w:val="14"/>
              </w:rPr>
              <w:t>199 </w:t>
            </w:r>
          </w:p>
        </w:tc>
        <w:tc>
          <w:tcPr>
            <w:tcW w:w="0" w:type="auto"/>
            <w:shd w:val="clear" w:color="auto" w:fill="CCEEFF"/>
            <w:tcMar>
              <w:top w:w="40" w:type="dxa"/>
              <w:left w:w="0" w:type="dxa"/>
              <w:bottom w:w="40" w:type="dxa"/>
              <w:right w:w="20" w:type="dxa"/>
            </w:tcMar>
            <w:vAlign w:val="bottom"/>
          </w:tcPr>
          <w:p w14:paraId="5F2CDB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B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BF7" w14:textId="77777777" w:rsidR="00E836FB" w:rsidRDefault="00994958">
            <w:pPr>
              <w:jc w:val="right"/>
              <w:textAlignment w:val="bottom"/>
            </w:pPr>
            <w:r>
              <w:rPr>
                <w:rFonts w:ascii="Arial" w:eastAsia="宋体" w:hAnsi="Arial" w:cs="Arial"/>
                <w:color w:val="000000"/>
                <w:sz w:val="14"/>
                <w:szCs w:val="14"/>
              </w:rPr>
              <w:t>942 </w:t>
            </w:r>
          </w:p>
        </w:tc>
        <w:tc>
          <w:tcPr>
            <w:tcW w:w="0" w:type="auto"/>
            <w:shd w:val="clear" w:color="auto" w:fill="CCEEFF"/>
            <w:tcMar>
              <w:top w:w="40" w:type="dxa"/>
              <w:left w:w="0" w:type="dxa"/>
              <w:bottom w:w="40" w:type="dxa"/>
              <w:right w:w="20" w:type="dxa"/>
            </w:tcMar>
            <w:vAlign w:val="bottom"/>
          </w:tcPr>
          <w:p w14:paraId="5F2CDBF8" w14:textId="77777777" w:rsidR="00E836FB" w:rsidRDefault="00E836FB">
            <w:pPr>
              <w:jc w:val="right"/>
              <w:rPr>
                <w:rFonts w:ascii="宋体"/>
              </w:rPr>
            </w:pPr>
          </w:p>
        </w:tc>
      </w:tr>
      <w:tr w:rsidR="00E836FB" w14:paraId="5F2CDC06" w14:textId="77777777">
        <w:tc>
          <w:tcPr>
            <w:tcW w:w="0" w:type="auto"/>
            <w:gridSpan w:val="3"/>
            <w:shd w:val="clear" w:color="auto" w:fill="FFFFFF"/>
            <w:tcMar>
              <w:top w:w="40" w:type="dxa"/>
              <w:left w:w="20" w:type="dxa"/>
              <w:bottom w:w="40" w:type="dxa"/>
              <w:right w:w="20" w:type="dxa"/>
            </w:tcMar>
            <w:vAlign w:val="bottom"/>
          </w:tcPr>
          <w:p w14:paraId="5F2CDBFA" w14:textId="77777777" w:rsidR="00E836FB" w:rsidRDefault="00994958">
            <w:pPr>
              <w:textAlignment w:val="bottom"/>
            </w:pPr>
            <w:r>
              <w:rPr>
                <w:rFonts w:ascii="Arial" w:eastAsia="宋体" w:hAnsi="Arial" w:cs="Arial"/>
                <w:b/>
                <w:bCs/>
                <w:color w:val="000000"/>
                <w:sz w:val="14"/>
                <w:szCs w:val="14"/>
              </w:rPr>
              <w:t>Flatter yield curve:</w:t>
            </w:r>
          </w:p>
        </w:tc>
        <w:tc>
          <w:tcPr>
            <w:tcW w:w="0" w:type="auto"/>
            <w:gridSpan w:val="3"/>
            <w:shd w:val="clear" w:color="auto" w:fill="FFFFFF"/>
            <w:tcMar>
              <w:top w:w="0" w:type="dxa"/>
              <w:left w:w="20" w:type="dxa"/>
              <w:bottom w:w="0" w:type="dxa"/>
              <w:right w:w="20" w:type="dxa"/>
            </w:tcMar>
            <w:vAlign w:val="bottom"/>
          </w:tcPr>
          <w:p w14:paraId="5F2CDBF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BF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BF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BF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BF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C0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C0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C0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C0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C0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C05" w14:textId="77777777" w:rsidR="00E836FB" w:rsidRDefault="00E836FB">
            <w:pPr>
              <w:rPr>
                <w:rFonts w:ascii="宋体"/>
              </w:rPr>
            </w:pPr>
          </w:p>
        </w:tc>
      </w:tr>
      <w:tr w:rsidR="00E836FB" w14:paraId="5F2CDC19" w14:textId="77777777">
        <w:tc>
          <w:tcPr>
            <w:tcW w:w="0" w:type="auto"/>
            <w:gridSpan w:val="3"/>
            <w:shd w:val="clear" w:color="auto" w:fill="CCEEFF"/>
            <w:tcMar>
              <w:top w:w="40" w:type="dxa"/>
              <w:left w:w="20" w:type="dxa"/>
              <w:bottom w:w="40" w:type="dxa"/>
              <w:right w:w="20" w:type="dxa"/>
            </w:tcMar>
            <w:vAlign w:val="bottom"/>
          </w:tcPr>
          <w:p w14:paraId="5F2CDC07" w14:textId="77777777" w:rsidR="00E836FB" w:rsidRDefault="00994958">
            <w:pPr>
              <w:textAlignment w:val="bottom"/>
            </w:pPr>
            <w:r>
              <w:rPr>
                <w:rFonts w:ascii="Arial" w:eastAsia="宋体" w:hAnsi="Arial" w:cs="Arial"/>
                <w:color w:val="000000"/>
                <w:sz w:val="14"/>
                <w:szCs w:val="14"/>
              </w:rPr>
              <w:t>'+100 bps shift in short-end rates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CDC08" w14:textId="77777777" w:rsidR="00E836FB" w:rsidRDefault="00994958">
            <w:pPr>
              <w:jc w:val="right"/>
              <w:textAlignment w:val="bottom"/>
            </w:pPr>
            <w:r>
              <w:rPr>
                <w:rFonts w:ascii="Arial" w:eastAsia="宋体" w:hAnsi="Arial" w:cs="Arial"/>
                <w:b/>
                <w:bCs/>
                <w:color w:val="000000"/>
                <w:sz w:val="14"/>
                <w:szCs w:val="14"/>
              </w:rPr>
              <w:t>337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C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C0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C0B" w14:textId="77777777" w:rsidR="00E836FB" w:rsidRDefault="00994958">
            <w:pPr>
              <w:jc w:val="right"/>
              <w:textAlignment w:val="bottom"/>
            </w:pPr>
            <w:r>
              <w:rPr>
                <w:rFonts w:ascii="Arial" w:eastAsia="宋体" w:hAnsi="Arial" w:cs="Arial"/>
                <w:b/>
                <w:bCs/>
                <w:color w:val="000000"/>
                <w:sz w:val="14"/>
                <w:szCs w:val="14"/>
              </w:rPr>
              <w:t>290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C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C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C0E" w14:textId="77777777" w:rsidR="00E836FB" w:rsidRDefault="00994958">
            <w:pPr>
              <w:jc w:val="right"/>
              <w:textAlignment w:val="bottom"/>
            </w:pPr>
            <w:r>
              <w:rPr>
                <w:rFonts w:ascii="Arial" w:eastAsia="宋体" w:hAnsi="Arial" w:cs="Arial"/>
                <w:b/>
                <w:bCs/>
                <w:color w:val="000000"/>
                <w:sz w:val="14"/>
                <w:szCs w:val="14"/>
              </w:rPr>
              <w:t>627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DC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C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C11" w14:textId="77777777" w:rsidR="00E836FB" w:rsidRDefault="00994958">
            <w:pPr>
              <w:jc w:val="right"/>
              <w:textAlignment w:val="bottom"/>
            </w:pPr>
            <w:r>
              <w:rPr>
                <w:rFonts w:ascii="Arial" w:eastAsia="宋体" w:hAnsi="Arial" w:cs="Arial"/>
                <w:color w:val="000000"/>
                <w:sz w:val="14"/>
                <w:szCs w:val="14"/>
              </w:rPr>
              <w:t>282 </w:t>
            </w:r>
          </w:p>
        </w:tc>
        <w:tc>
          <w:tcPr>
            <w:tcW w:w="0" w:type="auto"/>
            <w:shd w:val="clear" w:color="auto" w:fill="CCEEFF"/>
            <w:tcMar>
              <w:top w:w="40" w:type="dxa"/>
              <w:left w:w="0" w:type="dxa"/>
              <w:bottom w:w="40" w:type="dxa"/>
              <w:right w:w="20" w:type="dxa"/>
            </w:tcMar>
            <w:vAlign w:val="bottom"/>
          </w:tcPr>
          <w:p w14:paraId="5F2CDC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C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C14" w14:textId="77777777" w:rsidR="00E836FB" w:rsidRDefault="00994958">
            <w:pPr>
              <w:jc w:val="right"/>
              <w:textAlignment w:val="bottom"/>
            </w:pPr>
            <w:r>
              <w:rPr>
                <w:rFonts w:ascii="Arial" w:eastAsia="宋体" w:hAnsi="Arial" w:cs="Arial"/>
                <w:color w:val="000000"/>
                <w:sz w:val="14"/>
                <w:szCs w:val="14"/>
              </w:rPr>
              <w:t>168 </w:t>
            </w:r>
          </w:p>
        </w:tc>
        <w:tc>
          <w:tcPr>
            <w:tcW w:w="0" w:type="auto"/>
            <w:shd w:val="clear" w:color="auto" w:fill="CCEEFF"/>
            <w:tcMar>
              <w:top w:w="40" w:type="dxa"/>
              <w:left w:w="0" w:type="dxa"/>
              <w:bottom w:w="40" w:type="dxa"/>
              <w:right w:w="20" w:type="dxa"/>
            </w:tcMar>
            <w:vAlign w:val="bottom"/>
          </w:tcPr>
          <w:p w14:paraId="5F2CDC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C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C17" w14:textId="77777777" w:rsidR="00E836FB" w:rsidRDefault="00994958">
            <w:pPr>
              <w:jc w:val="right"/>
              <w:textAlignment w:val="bottom"/>
            </w:pPr>
            <w:r>
              <w:rPr>
                <w:rFonts w:ascii="Arial" w:eastAsia="宋体" w:hAnsi="Arial" w:cs="Arial"/>
                <w:color w:val="000000"/>
                <w:sz w:val="14"/>
                <w:szCs w:val="14"/>
              </w:rPr>
              <w:t>450 </w:t>
            </w:r>
          </w:p>
        </w:tc>
        <w:tc>
          <w:tcPr>
            <w:tcW w:w="0" w:type="auto"/>
            <w:shd w:val="clear" w:color="auto" w:fill="CCEEFF"/>
            <w:tcMar>
              <w:top w:w="40" w:type="dxa"/>
              <w:left w:w="0" w:type="dxa"/>
              <w:bottom w:w="40" w:type="dxa"/>
              <w:right w:w="20" w:type="dxa"/>
            </w:tcMar>
            <w:vAlign w:val="bottom"/>
          </w:tcPr>
          <w:p w14:paraId="5F2CDC18" w14:textId="77777777" w:rsidR="00E836FB" w:rsidRDefault="00E836FB">
            <w:pPr>
              <w:jc w:val="right"/>
              <w:rPr>
                <w:rFonts w:ascii="宋体"/>
              </w:rPr>
            </w:pPr>
          </w:p>
        </w:tc>
      </w:tr>
      <w:tr w:rsidR="00E836FB" w14:paraId="5F2CDC2C" w14:textId="77777777">
        <w:tc>
          <w:tcPr>
            <w:tcW w:w="0" w:type="auto"/>
            <w:gridSpan w:val="3"/>
            <w:shd w:val="clear" w:color="auto" w:fill="FFFFFF"/>
            <w:tcMar>
              <w:top w:w="40" w:type="dxa"/>
              <w:left w:w="20" w:type="dxa"/>
              <w:bottom w:w="40" w:type="dxa"/>
              <w:right w:w="20" w:type="dxa"/>
            </w:tcMar>
            <w:vAlign w:val="bottom"/>
          </w:tcPr>
          <w:p w14:paraId="5F2CDC1A" w14:textId="77777777" w:rsidR="00E836FB" w:rsidRDefault="00994958">
            <w:pPr>
              <w:textAlignment w:val="bottom"/>
            </w:pPr>
            <w:r>
              <w:rPr>
                <w:rFonts w:ascii="Arial" w:eastAsia="宋体" w:hAnsi="Arial" w:cs="Arial"/>
                <w:color w:val="000000"/>
                <w:sz w:val="14"/>
                <w:szCs w:val="14"/>
              </w:rPr>
              <w:t>'-100 bps shift in long-end rates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F2CDC1B" w14:textId="77777777" w:rsidR="00E836FB" w:rsidRDefault="00994958">
            <w:pPr>
              <w:jc w:val="right"/>
              <w:textAlignment w:val="bottom"/>
            </w:pPr>
            <w:r>
              <w:rPr>
                <w:rFonts w:ascii="Arial" w:eastAsia="宋体" w:hAnsi="Arial" w:cs="Arial"/>
                <w:b/>
                <w:bCs/>
                <w:color w:val="000000"/>
                <w:sz w:val="14"/>
                <w:szCs w:val="14"/>
              </w:rPr>
              <w:t>(132)</w:t>
            </w:r>
          </w:p>
        </w:tc>
        <w:tc>
          <w:tcPr>
            <w:tcW w:w="0" w:type="auto"/>
            <w:shd w:val="clear" w:color="auto" w:fill="FFFFFF"/>
            <w:tcMar>
              <w:top w:w="40" w:type="dxa"/>
              <w:left w:w="0" w:type="dxa"/>
              <w:bottom w:w="40" w:type="dxa"/>
              <w:right w:w="20" w:type="dxa"/>
            </w:tcMar>
            <w:vAlign w:val="bottom"/>
          </w:tcPr>
          <w:p w14:paraId="5F2CDC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C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C1E" w14:textId="77777777" w:rsidR="00E836FB" w:rsidRDefault="00994958">
            <w:pPr>
              <w:jc w:val="right"/>
              <w:textAlignment w:val="bottom"/>
            </w:pPr>
            <w:r>
              <w:rPr>
                <w:rFonts w:ascii="Arial" w:eastAsia="宋体" w:hAnsi="Arial" w:cs="Arial"/>
                <w:b/>
                <w:bCs/>
                <w:color w:val="000000"/>
                <w:sz w:val="14"/>
                <w:szCs w:val="14"/>
              </w:rPr>
              <w:t>(16)</w:t>
            </w:r>
          </w:p>
        </w:tc>
        <w:tc>
          <w:tcPr>
            <w:tcW w:w="0" w:type="auto"/>
            <w:shd w:val="clear" w:color="auto" w:fill="FFFFFF"/>
            <w:tcMar>
              <w:top w:w="40" w:type="dxa"/>
              <w:left w:w="0" w:type="dxa"/>
              <w:bottom w:w="40" w:type="dxa"/>
              <w:right w:w="20" w:type="dxa"/>
            </w:tcMar>
            <w:vAlign w:val="bottom"/>
          </w:tcPr>
          <w:p w14:paraId="5F2CDC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C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C21" w14:textId="77777777" w:rsidR="00E836FB" w:rsidRDefault="00994958">
            <w:pPr>
              <w:jc w:val="right"/>
              <w:textAlignment w:val="bottom"/>
            </w:pPr>
            <w:r>
              <w:rPr>
                <w:rFonts w:ascii="Arial" w:eastAsia="宋体" w:hAnsi="Arial" w:cs="Arial"/>
                <w:b/>
                <w:bCs/>
                <w:color w:val="000000"/>
                <w:sz w:val="14"/>
                <w:szCs w:val="14"/>
              </w:rPr>
              <w:t>(148)</w:t>
            </w:r>
          </w:p>
        </w:tc>
        <w:tc>
          <w:tcPr>
            <w:tcW w:w="0" w:type="auto"/>
            <w:shd w:val="clear" w:color="auto" w:fill="FFFFFF"/>
            <w:tcMar>
              <w:top w:w="40" w:type="dxa"/>
              <w:left w:w="0" w:type="dxa"/>
              <w:bottom w:w="40" w:type="dxa"/>
              <w:right w:w="20" w:type="dxa"/>
            </w:tcMar>
            <w:vAlign w:val="bottom"/>
          </w:tcPr>
          <w:p w14:paraId="5F2CDC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C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C24" w14:textId="77777777" w:rsidR="00E836FB" w:rsidRDefault="00994958">
            <w:pPr>
              <w:jc w:val="right"/>
              <w:textAlignment w:val="bottom"/>
            </w:pPr>
            <w:r>
              <w:rPr>
                <w:rFonts w:ascii="Arial" w:eastAsia="宋体" w:hAnsi="Arial" w:cs="Arial"/>
                <w:color w:val="000000"/>
                <w:sz w:val="14"/>
                <w:szCs w:val="14"/>
              </w:rPr>
              <w:t>(141)</w:t>
            </w:r>
          </w:p>
        </w:tc>
        <w:tc>
          <w:tcPr>
            <w:tcW w:w="0" w:type="auto"/>
            <w:shd w:val="clear" w:color="auto" w:fill="FFFFFF"/>
            <w:tcMar>
              <w:top w:w="40" w:type="dxa"/>
              <w:left w:w="0" w:type="dxa"/>
              <w:bottom w:w="40" w:type="dxa"/>
              <w:right w:w="20" w:type="dxa"/>
            </w:tcMar>
            <w:vAlign w:val="bottom"/>
          </w:tcPr>
          <w:p w14:paraId="5F2CDC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C2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C27" w14:textId="77777777" w:rsidR="00E836FB" w:rsidRDefault="00994958">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5F2CDC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C2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C2A" w14:textId="77777777" w:rsidR="00E836FB" w:rsidRDefault="00994958">
            <w:pPr>
              <w:jc w:val="right"/>
              <w:textAlignment w:val="bottom"/>
            </w:pPr>
            <w:r>
              <w:rPr>
                <w:rFonts w:ascii="Arial" w:eastAsia="宋体" w:hAnsi="Arial" w:cs="Arial"/>
                <w:color w:val="000000"/>
                <w:sz w:val="14"/>
                <w:szCs w:val="14"/>
              </w:rPr>
              <w:t>(144)</w:t>
            </w:r>
          </w:p>
        </w:tc>
        <w:tc>
          <w:tcPr>
            <w:tcW w:w="0" w:type="auto"/>
            <w:shd w:val="clear" w:color="auto" w:fill="FFFFFF"/>
            <w:tcMar>
              <w:top w:w="40" w:type="dxa"/>
              <w:left w:w="0" w:type="dxa"/>
              <w:bottom w:w="40" w:type="dxa"/>
              <w:right w:w="20" w:type="dxa"/>
            </w:tcMar>
            <w:vAlign w:val="bottom"/>
          </w:tcPr>
          <w:p w14:paraId="5F2CDC2B" w14:textId="77777777" w:rsidR="00E836FB" w:rsidRDefault="00E836FB">
            <w:pPr>
              <w:jc w:val="right"/>
              <w:rPr>
                <w:rFonts w:ascii="宋体"/>
              </w:rPr>
            </w:pPr>
          </w:p>
        </w:tc>
      </w:tr>
    </w:tbl>
    <w:p w14:paraId="5F2CDC2D"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E836FB" w14:paraId="5F2CDC37" w14:textId="77777777">
        <w:tc>
          <w:tcPr>
            <w:tcW w:w="50" w:type="pct"/>
            <w:shd w:val="clear" w:color="auto" w:fill="auto"/>
            <w:vAlign w:val="bottom"/>
          </w:tcPr>
          <w:p w14:paraId="5F2CDC2E" w14:textId="77777777" w:rsidR="00E836FB" w:rsidRDefault="00E836FB">
            <w:pPr>
              <w:rPr>
                <w:rFonts w:ascii="宋体"/>
              </w:rPr>
            </w:pPr>
          </w:p>
        </w:tc>
        <w:tc>
          <w:tcPr>
            <w:tcW w:w="1348" w:type="pct"/>
            <w:shd w:val="clear" w:color="auto" w:fill="auto"/>
            <w:vAlign w:val="bottom"/>
          </w:tcPr>
          <w:p w14:paraId="5F2CDC2F" w14:textId="77777777" w:rsidR="00E836FB" w:rsidRDefault="00E836FB">
            <w:pPr>
              <w:rPr>
                <w:rFonts w:ascii="宋体"/>
              </w:rPr>
            </w:pPr>
          </w:p>
        </w:tc>
        <w:tc>
          <w:tcPr>
            <w:tcW w:w="5" w:type="pct"/>
            <w:shd w:val="clear" w:color="auto" w:fill="auto"/>
            <w:vAlign w:val="bottom"/>
          </w:tcPr>
          <w:p w14:paraId="5F2CDC30" w14:textId="77777777" w:rsidR="00E836FB" w:rsidRDefault="00E836FB">
            <w:pPr>
              <w:rPr>
                <w:rFonts w:ascii="宋体"/>
              </w:rPr>
            </w:pPr>
          </w:p>
        </w:tc>
        <w:tc>
          <w:tcPr>
            <w:tcW w:w="50" w:type="pct"/>
            <w:shd w:val="clear" w:color="auto" w:fill="auto"/>
            <w:vAlign w:val="bottom"/>
          </w:tcPr>
          <w:p w14:paraId="5F2CDC31" w14:textId="77777777" w:rsidR="00E836FB" w:rsidRDefault="00E836FB">
            <w:pPr>
              <w:rPr>
                <w:rFonts w:ascii="宋体"/>
              </w:rPr>
            </w:pPr>
          </w:p>
        </w:tc>
        <w:tc>
          <w:tcPr>
            <w:tcW w:w="1290" w:type="pct"/>
            <w:shd w:val="clear" w:color="auto" w:fill="auto"/>
            <w:vAlign w:val="bottom"/>
          </w:tcPr>
          <w:p w14:paraId="5F2CDC32" w14:textId="77777777" w:rsidR="00E836FB" w:rsidRDefault="00E836FB">
            <w:pPr>
              <w:rPr>
                <w:rFonts w:ascii="宋体"/>
              </w:rPr>
            </w:pPr>
          </w:p>
        </w:tc>
        <w:tc>
          <w:tcPr>
            <w:tcW w:w="5" w:type="pct"/>
            <w:shd w:val="clear" w:color="auto" w:fill="auto"/>
            <w:vAlign w:val="bottom"/>
          </w:tcPr>
          <w:p w14:paraId="5F2CDC33" w14:textId="77777777" w:rsidR="00E836FB" w:rsidRDefault="00E836FB">
            <w:pPr>
              <w:rPr>
                <w:rFonts w:ascii="宋体"/>
              </w:rPr>
            </w:pPr>
          </w:p>
        </w:tc>
        <w:tc>
          <w:tcPr>
            <w:tcW w:w="50" w:type="pct"/>
            <w:shd w:val="clear" w:color="auto" w:fill="auto"/>
            <w:vAlign w:val="bottom"/>
          </w:tcPr>
          <w:p w14:paraId="5F2CDC34" w14:textId="77777777" w:rsidR="00E836FB" w:rsidRDefault="00E836FB">
            <w:pPr>
              <w:rPr>
                <w:rFonts w:ascii="宋体"/>
              </w:rPr>
            </w:pPr>
          </w:p>
        </w:tc>
        <w:tc>
          <w:tcPr>
            <w:tcW w:w="2196" w:type="pct"/>
            <w:shd w:val="clear" w:color="auto" w:fill="auto"/>
            <w:vAlign w:val="bottom"/>
          </w:tcPr>
          <w:p w14:paraId="5F2CDC35" w14:textId="77777777" w:rsidR="00E836FB" w:rsidRDefault="00E836FB">
            <w:pPr>
              <w:rPr>
                <w:rFonts w:ascii="宋体"/>
              </w:rPr>
            </w:pPr>
          </w:p>
        </w:tc>
        <w:tc>
          <w:tcPr>
            <w:tcW w:w="5" w:type="pct"/>
            <w:shd w:val="clear" w:color="auto" w:fill="auto"/>
            <w:vAlign w:val="bottom"/>
          </w:tcPr>
          <w:p w14:paraId="5F2CDC36" w14:textId="77777777" w:rsidR="00E836FB" w:rsidRDefault="00E836FB">
            <w:pPr>
              <w:rPr>
                <w:rFonts w:ascii="宋体"/>
              </w:rPr>
            </w:pPr>
          </w:p>
        </w:tc>
      </w:tr>
      <w:tr w:rsidR="00E836FB" w14:paraId="5F2CDC3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DC3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C3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C3A" w14:textId="77777777" w:rsidR="00E836FB" w:rsidRDefault="00E836FB">
            <w:pPr>
              <w:rPr>
                <w:rFonts w:ascii="宋体"/>
              </w:rPr>
            </w:pPr>
          </w:p>
        </w:tc>
      </w:tr>
    </w:tbl>
    <w:p w14:paraId="5F2CDC3C" w14:textId="77777777" w:rsidR="00E836FB" w:rsidRDefault="00994958">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The short end is 0-3 months. The long end is 5 years and above. Interim term points are interpolated. </w:t>
      </w:r>
    </w:p>
    <w:p w14:paraId="5F2CDC3D" w14:textId="77777777" w:rsidR="00E836FB" w:rsidRDefault="00994958">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Does not reflect any impact of our planned acquisition of the BBH Investor Services business.</w:t>
      </w:r>
    </w:p>
    <w:p w14:paraId="5F2CDC3E" w14:textId="77777777" w:rsidR="00E836FB" w:rsidRDefault="00994958">
      <w:pPr>
        <w:spacing w:before="60"/>
        <w:ind w:firstLine="450"/>
        <w:jc w:val="both"/>
      </w:pPr>
      <w:r>
        <w:rPr>
          <w:rFonts w:ascii="Arial" w:eastAsia="宋体" w:hAnsi="Arial" w:cs="Arial"/>
          <w:color w:val="000000"/>
          <w:sz w:val="20"/>
          <w:szCs w:val="20"/>
        </w:rPr>
        <w:t>As of December 31, 2021, NII is expected to benefit fro</w:t>
      </w:r>
      <w:r>
        <w:rPr>
          <w:rFonts w:ascii="Arial" w:eastAsia="宋体" w:hAnsi="Arial" w:cs="Arial"/>
          <w:color w:val="000000"/>
          <w:sz w:val="20"/>
          <w:szCs w:val="20"/>
        </w:rPr>
        <w:t xml:space="preserve">m an increase in interest rates. Compared to December 31, 2020, our NII is more sensitive to parallel rate increases primarily driven by higher levels of deposits partially offset by higher expected client deposit betas as rates rise. Our projection of an </w:t>
      </w:r>
      <w:r>
        <w:rPr>
          <w:rFonts w:ascii="Arial" w:eastAsia="宋体" w:hAnsi="Arial" w:cs="Arial"/>
          <w:color w:val="000000"/>
          <w:sz w:val="20"/>
          <w:szCs w:val="20"/>
        </w:rPr>
        <w:t>NII benefit to an upward rate shock of +100bps assumes deposit betas are similar to the 2016-2017 rising rate cycle. Our projection also assumes that baseline deposit levels remain relatively consistent with fourth quarter 2021 averages. We expect that our</w:t>
      </w:r>
      <w:r>
        <w:rPr>
          <w:rFonts w:ascii="Arial" w:eastAsia="宋体" w:hAnsi="Arial" w:cs="Arial"/>
          <w:color w:val="000000"/>
          <w:sz w:val="20"/>
          <w:szCs w:val="20"/>
        </w:rPr>
        <w:t xml:space="preserve"> NII benefit in the +100bps scenarios would be lower if either deposit levels decline relative to our baseline or client deposit betas are higher than the prior rising rate cycle.</w:t>
      </w:r>
    </w:p>
    <w:p w14:paraId="5F2CDC3F" w14:textId="77777777" w:rsidR="00E836FB" w:rsidRDefault="00994958">
      <w:pPr>
        <w:spacing w:before="60"/>
        <w:ind w:firstLine="450"/>
        <w:jc w:val="both"/>
      </w:pPr>
      <w:r>
        <w:rPr>
          <w:rFonts w:ascii="Arial" w:eastAsia="宋体" w:hAnsi="Arial" w:cs="Arial"/>
          <w:color w:val="000000"/>
          <w:sz w:val="20"/>
          <w:szCs w:val="20"/>
        </w:rPr>
        <w:t xml:space="preserve">Our NII is expected to benefit from a -100 bps rate shock due to assets with contractual floors, primarily in our lending portfolio, but compared to December 31, 2020, the benefit has decreased primarily due to the expectation that some central banks will </w:t>
      </w:r>
      <w:r>
        <w:rPr>
          <w:rFonts w:ascii="Arial" w:eastAsia="宋体" w:hAnsi="Arial" w:cs="Arial"/>
          <w:color w:val="000000"/>
          <w:sz w:val="20"/>
          <w:szCs w:val="20"/>
        </w:rPr>
        <w:t xml:space="preserve">raise rates over the next 12 months. This expectation widens the margin on client deposits in our baseline, but compresses them in lower rate scenarios. </w:t>
      </w:r>
    </w:p>
    <w:p w14:paraId="5F2CDC40" w14:textId="77777777" w:rsidR="00E836FB" w:rsidRDefault="00994958">
      <w:pPr>
        <w:spacing w:before="60"/>
        <w:ind w:firstLine="450"/>
        <w:jc w:val="both"/>
      </w:pPr>
      <w:r>
        <w:rPr>
          <w:rFonts w:ascii="Arial" w:eastAsia="宋体" w:hAnsi="Arial" w:cs="Arial"/>
          <w:color w:val="000000"/>
          <w:sz w:val="20"/>
          <w:szCs w:val="20"/>
        </w:rPr>
        <w:t>EVE sensitivity is a discounted cash flow model designed to estimate the fair value of assets and liab</w:t>
      </w:r>
      <w:r>
        <w:rPr>
          <w:rFonts w:ascii="Arial" w:eastAsia="宋体" w:hAnsi="Arial" w:cs="Arial"/>
          <w:color w:val="000000"/>
          <w:sz w:val="20"/>
          <w:szCs w:val="20"/>
        </w:rPr>
        <w:t xml:space="preserve">ilities under a series of interest rate shocks over a long-term horizon. In the following table, we report our EVE sensitivity to 200 bps instantaneous rate shocks, relative to spot interest rates. Management compares the change in EVE sensitivity against </w:t>
      </w:r>
      <w:r>
        <w:rPr>
          <w:rFonts w:ascii="Arial" w:eastAsia="宋体" w:hAnsi="Arial" w:cs="Arial"/>
          <w:color w:val="000000"/>
          <w:sz w:val="20"/>
          <w:szCs w:val="20"/>
        </w:rPr>
        <w:t>our aggregate Tier 1 and Tier 2 risk-based capital, calculated in conformity with current applicable regulatory requirements. EVE sensitivity is dependent on the timing of interest and principal cash flows. Also, the measure only evaluates the spot balance</w:t>
      </w:r>
      <w:r>
        <w:rPr>
          <w:rFonts w:ascii="Arial" w:eastAsia="宋体" w:hAnsi="Arial" w:cs="Arial"/>
          <w:color w:val="000000"/>
          <w:sz w:val="20"/>
          <w:szCs w:val="20"/>
        </w:rPr>
        <w:t xml:space="preserve"> sheet and does not include the impact of new business assumptions.</w:t>
      </w:r>
    </w:p>
    <w:tbl>
      <w:tblPr>
        <w:tblW w:w="4993" w:type="pct"/>
        <w:tblCellMar>
          <w:top w:w="15" w:type="dxa"/>
          <w:left w:w="15" w:type="dxa"/>
          <w:bottom w:w="15" w:type="dxa"/>
          <w:right w:w="15" w:type="dxa"/>
        </w:tblCellMar>
        <w:tblLook w:val="04A0" w:firstRow="1" w:lastRow="0" w:firstColumn="1" w:lastColumn="0" w:noHBand="0" w:noVBand="1"/>
      </w:tblPr>
      <w:tblGrid>
        <w:gridCol w:w="37"/>
        <w:gridCol w:w="3115"/>
        <w:gridCol w:w="36"/>
        <w:gridCol w:w="104"/>
        <w:gridCol w:w="2374"/>
        <w:gridCol w:w="36"/>
        <w:gridCol w:w="36"/>
        <w:gridCol w:w="36"/>
        <w:gridCol w:w="36"/>
        <w:gridCol w:w="104"/>
        <w:gridCol w:w="2374"/>
        <w:gridCol w:w="36"/>
      </w:tblGrid>
      <w:tr w:rsidR="00E836FB" w14:paraId="5F2CDC4D" w14:textId="77777777">
        <w:tc>
          <w:tcPr>
            <w:tcW w:w="50" w:type="pct"/>
            <w:shd w:val="clear" w:color="auto" w:fill="auto"/>
            <w:vAlign w:val="bottom"/>
          </w:tcPr>
          <w:p w14:paraId="5F2CDC41" w14:textId="77777777" w:rsidR="00E836FB" w:rsidRDefault="00E836FB">
            <w:pPr>
              <w:rPr>
                <w:rFonts w:ascii="宋体"/>
              </w:rPr>
            </w:pPr>
          </w:p>
        </w:tc>
        <w:tc>
          <w:tcPr>
            <w:tcW w:w="1899" w:type="pct"/>
            <w:shd w:val="clear" w:color="auto" w:fill="auto"/>
            <w:vAlign w:val="bottom"/>
          </w:tcPr>
          <w:p w14:paraId="5F2CDC42" w14:textId="77777777" w:rsidR="00E836FB" w:rsidRDefault="00E836FB">
            <w:pPr>
              <w:rPr>
                <w:rFonts w:ascii="宋体"/>
              </w:rPr>
            </w:pPr>
          </w:p>
        </w:tc>
        <w:tc>
          <w:tcPr>
            <w:tcW w:w="5" w:type="pct"/>
            <w:shd w:val="clear" w:color="auto" w:fill="auto"/>
            <w:vAlign w:val="bottom"/>
          </w:tcPr>
          <w:p w14:paraId="5F2CDC43" w14:textId="77777777" w:rsidR="00E836FB" w:rsidRDefault="00E836FB">
            <w:pPr>
              <w:rPr>
                <w:rFonts w:ascii="宋体"/>
              </w:rPr>
            </w:pPr>
          </w:p>
        </w:tc>
        <w:tc>
          <w:tcPr>
            <w:tcW w:w="50" w:type="pct"/>
            <w:shd w:val="clear" w:color="auto" w:fill="auto"/>
            <w:vAlign w:val="bottom"/>
          </w:tcPr>
          <w:p w14:paraId="5F2CDC44" w14:textId="77777777" w:rsidR="00E836FB" w:rsidRDefault="00E836FB">
            <w:pPr>
              <w:rPr>
                <w:rFonts w:ascii="宋体"/>
              </w:rPr>
            </w:pPr>
          </w:p>
        </w:tc>
        <w:tc>
          <w:tcPr>
            <w:tcW w:w="1453" w:type="pct"/>
            <w:shd w:val="clear" w:color="auto" w:fill="auto"/>
            <w:vAlign w:val="bottom"/>
          </w:tcPr>
          <w:p w14:paraId="5F2CDC45" w14:textId="77777777" w:rsidR="00E836FB" w:rsidRDefault="00E836FB">
            <w:pPr>
              <w:rPr>
                <w:rFonts w:ascii="宋体"/>
              </w:rPr>
            </w:pPr>
          </w:p>
        </w:tc>
        <w:tc>
          <w:tcPr>
            <w:tcW w:w="5" w:type="pct"/>
            <w:shd w:val="clear" w:color="auto" w:fill="auto"/>
            <w:vAlign w:val="bottom"/>
          </w:tcPr>
          <w:p w14:paraId="5F2CDC46" w14:textId="77777777" w:rsidR="00E836FB" w:rsidRDefault="00E836FB">
            <w:pPr>
              <w:rPr>
                <w:rFonts w:ascii="宋体"/>
              </w:rPr>
            </w:pPr>
          </w:p>
        </w:tc>
        <w:tc>
          <w:tcPr>
            <w:tcW w:w="5" w:type="pct"/>
            <w:shd w:val="clear" w:color="auto" w:fill="auto"/>
            <w:vAlign w:val="bottom"/>
          </w:tcPr>
          <w:p w14:paraId="5F2CDC47" w14:textId="77777777" w:rsidR="00E836FB" w:rsidRDefault="00E836FB">
            <w:pPr>
              <w:rPr>
                <w:rFonts w:ascii="宋体"/>
              </w:rPr>
            </w:pPr>
          </w:p>
        </w:tc>
        <w:tc>
          <w:tcPr>
            <w:tcW w:w="19" w:type="pct"/>
            <w:shd w:val="clear" w:color="auto" w:fill="auto"/>
            <w:vAlign w:val="bottom"/>
          </w:tcPr>
          <w:p w14:paraId="5F2CDC48" w14:textId="77777777" w:rsidR="00E836FB" w:rsidRDefault="00E836FB">
            <w:pPr>
              <w:rPr>
                <w:rFonts w:ascii="宋体"/>
              </w:rPr>
            </w:pPr>
          </w:p>
        </w:tc>
        <w:tc>
          <w:tcPr>
            <w:tcW w:w="5" w:type="pct"/>
            <w:shd w:val="clear" w:color="auto" w:fill="auto"/>
            <w:vAlign w:val="bottom"/>
          </w:tcPr>
          <w:p w14:paraId="5F2CDC49" w14:textId="77777777" w:rsidR="00E836FB" w:rsidRDefault="00E836FB">
            <w:pPr>
              <w:rPr>
                <w:rFonts w:ascii="宋体"/>
              </w:rPr>
            </w:pPr>
          </w:p>
        </w:tc>
        <w:tc>
          <w:tcPr>
            <w:tcW w:w="50" w:type="pct"/>
            <w:shd w:val="clear" w:color="auto" w:fill="auto"/>
            <w:vAlign w:val="bottom"/>
          </w:tcPr>
          <w:p w14:paraId="5F2CDC4A" w14:textId="77777777" w:rsidR="00E836FB" w:rsidRDefault="00E836FB">
            <w:pPr>
              <w:rPr>
                <w:rFonts w:ascii="宋体"/>
              </w:rPr>
            </w:pPr>
          </w:p>
        </w:tc>
        <w:tc>
          <w:tcPr>
            <w:tcW w:w="1453" w:type="pct"/>
            <w:shd w:val="clear" w:color="auto" w:fill="auto"/>
            <w:vAlign w:val="bottom"/>
          </w:tcPr>
          <w:p w14:paraId="5F2CDC4B" w14:textId="77777777" w:rsidR="00E836FB" w:rsidRDefault="00E836FB">
            <w:pPr>
              <w:rPr>
                <w:rFonts w:ascii="宋体"/>
              </w:rPr>
            </w:pPr>
          </w:p>
        </w:tc>
        <w:tc>
          <w:tcPr>
            <w:tcW w:w="5" w:type="pct"/>
            <w:shd w:val="clear" w:color="auto" w:fill="auto"/>
            <w:vAlign w:val="bottom"/>
          </w:tcPr>
          <w:p w14:paraId="5F2CDC4C" w14:textId="77777777" w:rsidR="00E836FB" w:rsidRDefault="00E836FB">
            <w:pPr>
              <w:rPr>
                <w:rFonts w:ascii="宋体"/>
              </w:rPr>
            </w:pPr>
          </w:p>
        </w:tc>
      </w:tr>
      <w:tr w:rsidR="00E836FB" w14:paraId="5F2CDC4F" w14:textId="77777777">
        <w:tc>
          <w:tcPr>
            <w:tcW w:w="0" w:type="auto"/>
            <w:gridSpan w:val="12"/>
            <w:shd w:val="clear" w:color="auto" w:fill="auto"/>
            <w:tcMar>
              <w:top w:w="40" w:type="dxa"/>
              <w:left w:w="20" w:type="dxa"/>
              <w:bottom w:w="40" w:type="dxa"/>
              <w:right w:w="20" w:type="dxa"/>
            </w:tcMar>
            <w:vAlign w:val="bottom"/>
          </w:tcPr>
          <w:p w14:paraId="5F2CDC4E" w14:textId="77777777" w:rsidR="00E836FB" w:rsidRDefault="00994958">
            <w:pPr>
              <w:textAlignment w:val="bottom"/>
            </w:pPr>
            <w:r>
              <w:rPr>
                <w:rFonts w:ascii="Arial" w:eastAsia="宋体" w:hAnsi="Arial" w:cs="Arial"/>
                <w:b/>
                <w:bCs/>
                <w:color w:val="000000"/>
                <w:sz w:val="16"/>
                <w:szCs w:val="16"/>
              </w:rPr>
              <w:t>TABLE 40: ECONOMIC VALUE OF EQUITY SENSITIVITY</w:t>
            </w:r>
          </w:p>
        </w:tc>
      </w:tr>
      <w:tr w:rsidR="00E836FB" w14:paraId="5F2CDC52" w14:textId="77777777">
        <w:tc>
          <w:tcPr>
            <w:tcW w:w="0" w:type="auto"/>
            <w:gridSpan w:val="3"/>
            <w:shd w:val="clear" w:color="auto" w:fill="auto"/>
            <w:tcMar>
              <w:top w:w="0" w:type="dxa"/>
              <w:left w:w="20" w:type="dxa"/>
              <w:bottom w:w="0" w:type="dxa"/>
              <w:right w:w="20" w:type="dxa"/>
            </w:tcMar>
            <w:vAlign w:val="bottom"/>
          </w:tcPr>
          <w:p w14:paraId="5F2CDC50"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DC51" w14:textId="77777777" w:rsidR="00E836FB" w:rsidRDefault="00994958">
            <w:pPr>
              <w:jc w:val="center"/>
              <w:textAlignment w:val="bottom"/>
            </w:pPr>
            <w:r>
              <w:rPr>
                <w:rFonts w:ascii="Arial" w:eastAsia="宋体" w:hAnsi="Arial" w:cs="Arial"/>
                <w:b/>
                <w:bCs/>
                <w:color w:val="000000"/>
                <w:sz w:val="15"/>
                <w:szCs w:val="15"/>
              </w:rPr>
              <w:t>As of December 31,</w:t>
            </w:r>
          </w:p>
        </w:tc>
      </w:tr>
      <w:tr w:rsidR="00E836FB" w14:paraId="5F2CDC57" w14:textId="77777777">
        <w:tc>
          <w:tcPr>
            <w:tcW w:w="0" w:type="auto"/>
            <w:gridSpan w:val="3"/>
            <w:shd w:val="clear" w:color="auto" w:fill="auto"/>
            <w:tcMar>
              <w:top w:w="40" w:type="dxa"/>
              <w:left w:w="20" w:type="dxa"/>
              <w:bottom w:w="40" w:type="dxa"/>
              <w:right w:w="20" w:type="dxa"/>
            </w:tcMar>
            <w:vAlign w:val="bottom"/>
          </w:tcPr>
          <w:p w14:paraId="5F2CDC53"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C54" w14:textId="77777777" w:rsidR="00E836FB" w:rsidRDefault="00994958">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C55"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CDC56" w14:textId="77777777" w:rsidR="00E836FB" w:rsidRDefault="00994958">
            <w:pPr>
              <w:jc w:val="center"/>
              <w:textAlignment w:val="bottom"/>
            </w:pPr>
            <w:r>
              <w:rPr>
                <w:rFonts w:ascii="Arial" w:eastAsia="宋体" w:hAnsi="Arial" w:cs="Arial"/>
                <w:b/>
                <w:bCs/>
                <w:color w:val="000000"/>
                <w:sz w:val="15"/>
                <w:szCs w:val="15"/>
              </w:rPr>
              <w:t>2020</w:t>
            </w:r>
          </w:p>
        </w:tc>
      </w:tr>
      <w:tr w:rsidR="00E836FB" w14:paraId="5F2CDC5A" w14:textId="77777777">
        <w:tc>
          <w:tcPr>
            <w:tcW w:w="0" w:type="auto"/>
            <w:gridSpan w:val="3"/>
            <w:shd w:val="clear" w:color="auto" w:fill="auto"/>
            <w:tcMar>
              <w:top w:w="40" w:type="dxa"/>
              <w:left w:w="20" w:type="dxa"/>
              <w:bottom w:w="40" w:type="dxa"/>
              <w:right w:w="20" w:type="dxa"/>
            </w:tcMar>
            <w:vAlign w:val="bottom"/>
          </w:tcPr>
          <w:p w14:paraId="5F2CDC58" w14:textId="77777777" w:rsidR="00E836FB" w:rsidRDefault="00994958">
            <w:pPr>
              <w:textAlignment w:val="bottom"/>
            </w:pPr>
            <w:r>
              <w:rPr>
                <w:rFonts w:ascii="Arial" w:eastAsia="宋体" w:hAnsi="Arial" w:cs="Arial"/>
                <w:color w:val="000000"/>
                <w:sz w:val="15"/>
                <w:szCs w:val="15"/>
              </w:rPr>
              <w:t>Rate change:</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CDC59" w14:textId="77777777" w:rsidR="00E836FB" w:rsidRDefault="00994958">
            <w:pPr>
              <w:jc w:val="center"/>
              <w:textAlignment w:val="bottom"/>
            </w:pPr>
            <w:r>
              <w:rPr>
                <w:rFonts w:ascii="Arial" w:eastAsia="宋体" w:hAnsi="Arial" w:cs="Arial"/>
                <w:b/>
                <w:bCs/>
                <w:color w:val="000000"/>
                <w:sz w:val="15"/>
                <w:szCs w:val="15"/>
              </w:rPr>
              <w:t>Benefit (Exposure)</w:t>
            </w:r>
          </w:p>
        </w:tc>
      </w:tr>
      <w:tr w:rsidR="00E836FB" w14:paraId="5F2CDC63" w14:textId="77777777">
        <w:tc>
          <w:tcPr>
            <w:tcW w:w="0" w:type="auto"/>
            <w:gridSpan w:val="3"/>
            <w:shd w:val="clear" w:color="auto" w:fill="CCEEFF"/>
            <w:tcMar>
              <w:top w:w="40" w:type="dxa"/>
              <w:left w:w="20" w:type="dxa"/>
              <w:bottom w:w="40" w:type="dxa"/>
              <w:right w:w="20" w:type="dxa"/>
            </w:tcMar>
            <w:vAlign w:val="bottom"/>
          </w:tcPr>
          <w:p w14:paraId="5F2CDC5B" w14:textId="77777777" w:rsidR="00E836FB" w:rsidRDefault="00994958">
            <w:pPr>
              <w:textAlignment w:val="bottom"/>
            </w:pPr>
            <w:r>
              <w:rPr>
                <w:rFonts w:ascii="Arial" w:eastAsia="宋体" w:hAnsi="Arial" w:cs="Arial"/>
                <w:color w:val="000000"/>
                <w:sz w:val="15"/>
                <w:szCs w:val="15"/>
              </w:rPr>
              <w:t>+200 bps shock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DC5C"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C5D" w14:textId="77777777" w:rsidR="00E836FB" w:rsidRDefault="00994958">
            <w:pPr>
              <w:jc w:val="right"/>
              <w:textAlignment w:val="bottom"/>
            </w:pPr>
            <w:r>
              <w:rPr>
                <w:rFonts w:ascii="Arial" w:eastAsia="宋体" w:hAnsi="Arial" w:cs="Arial"/>
                <w:b/>
                <w:bCs/>
                <w:color w:val="000000"/>
                <w:sz w:val="15"/>
                <w:szCs w:val="15"/>
              </w:rPr>
              <w:t>(1,380)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C5E" w14:textId="77777777" w:rsidR="00E836FB" w:rsidRDefault="00E83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DC5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DC6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DC61" w14:textId="77777777" w:rsidR="00E836FB" w:rsidRDefault="00994958">
            <w:pPr>
              <w:jc w:val="right"/>
              <w:textAlignment w:val="bottom"/>
            </w:pPr>
            <w:r>
              <w:rPr>
                <w:rFonts w:ascii="Arial" w:eastAsia="宋体" w:hAnsi="Arial" w:cs="Arial"/>
                <w:b/>
                <w:bCs/>
                <w:color w:val="000000"/>
                <w:sz w:val="15"/>
                <w:szCs w:val="15"/>
              </w:rPr>
              <w:t>(1,603)</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C62" w14:textId="77777777" w:rsidR="00E836FB" w:rsidRDefault="00E836FB">
            <w:pPr>
              <w:jc w:val="right"/>
              <w:rPr>
                <w:rFonts w:ascii="宋体"/>
              </w:rPr>
            </w:pPr>
          </w:p>
        </w:tc>
      </w:tr>
      <w:tr w:rsidR="00E836FB" w14:paraId="5F2CDC6A" w14:textId="77777777">
        <w:tc>
          <w:tcPr>
            <w:tcW w:w="0" w:type="auto"/>
            <w:gridSpan w:val="3"/>
            <w:shd w:val="clear" w:color="auto" w:fill="FFFFFF"/>
            <w:tcMar>
              <w:top w:w="40" w:type="dxa"/>
              <w:left w:w="20" w:type="dxa"/>
              <w:bottom w:w="40" w:type="dxa"/>
              <w:right w:w="20" w:type="dxa"/>
            </w:tcMar>
            <w:vAlign w:val="bottom"/>
          </w:tcPr>
          <w:p w14:paraId="5F2CDC64" w14:textId="77777777" w:rsidR="00E836FB" w:rsidRDefault="00994958">
            <w:pPr>
              <w:textAlignment w:val="bottom"/>
            </w:pPr>
            <w:r>
              <w:rPr>
                <w:rFonts w:ascii="Arial" w:eastAsia="宋体" w:hAnsi="Arial" w:cs="Arial"/>
                <w:color w:val="000000"/>
                <w:sz w:val="15"/>
                <w:szCs w:val="15"/>
              </w:rPr>
              <w:t xml:space="preserve">–200 </w:t>
            </w:r>
            <w:r>
              <w:rPr>
                <w:rFonts w:ascii="Arial" w:eastAsia="宋体" w:hAnsi="Arial" w:cs="Arial"/>
                <w:color w:val="000000"/>
                <w:sz w:val="15"/>
                <w:szCs w:val="15"/>
              </w:rPr>
              <w:t>bps shock</w:t>
            </w:r>
          </w:p>
        </w:tc>
        <w:tc>
          <w:tcPr>
            <w:tcW w:w="0" w:type="auto"/>
            <w:gridSpan w:val="2"/>
            <w:shd w:val="clear" w:color="auto" w:fill="FFFFFF"/>
            <w:tcMar>
              <w:top w:w="40" w:type="dxa"/>
              <w:left w:w="20" w:type="dxa"/>
              <w:bottom w:w="40" w:type="dxa"/>
              <w:right w:w="0" w:type="dxa"/>
            </w:tcMar>
            <w:vAlign w:val="bottom"/>
          </w:tcPr>
          <w:p w14:paraId="5F2CDC65" w14:textId="77777777" w:rsidR="00E836FB" w:rsidRDefault="00994958">
            <w:pPr>
              <w:jc w:val="right"/>
              <w:textAlignment w:val="bottom"/>
            </w:pPr>
            <w:r>
              <w:rPr>
                <w:rFonts w:ascii="Arial" w:eastAsia="宋体" w:hAnsi="Arial" w:cs="Arial"/>
                <w:b/>
                <w:bCs/>
                <w:color w:val="000000"/>
                <w:sz w:val="15"/>
                <w:szCs w:val="15"/>
              </w:rPr>
              <w:t>3,829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C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C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C68" w14:textId="77777777" w:rsidR="00E836FB" w:rsidRDefault="00994958">
            <w:pPr>
              <w:jc w:val="right"/>
              <w:textAlignment w:val="bottom"/>
            </w:pPr>
            <w:r>
              <w:rPr>
                <w:rFonts w:ascii="Arial" w:eastAsia="宋体" w:hAnsi="Arial" w:cs="Arial"/>
                <w:b/>
                <w:bCs/>
                <w:color w:val="000000"/>
                <w:sz w:val="15"/>
                <w:szCs w:val="15"/>
              </w:rPr>
              <w:t>5,538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DC69" w14:textId="77777777" w:rsidR="00E836FB" w:rsidRDefault="00E836FB">
            <w:pPr>
              <w:jc w:val="right"/>
              <w:rPr>
                <w:rFonts w:ascii="宋体"/>
              </w:rPr>
            </w:pPr>
          </w:p>
        </w:tc>
      </w:tr>
    </w:tbl>
    <w:p w14:paraId="5F2CDC6B" w14:textId="77777777" w:rsidR="00E836FB" w:rsidRDefault="00994958">
      <w:pPr>
        <w:spacing w:before="60"/>
        <w:ind w:firstLine="450"/>
        <w:jc w:val="both"/>
      </w:pPr>
      <w:r>
        <w:rPr>
          <w:rFonts w:ascii="Arial" w:eastAsia="宋体" w:hAnsi="Arial" w:cs="Arial"/>
          <w:color w:val="000000"/>
          <w:sz w:val="20"/>
          <w:szCs w:val="20"/>
        </w:rPr>
        <w:t xml:space="preserve">As of December 31, 2021, EVE sensitivity remains exposed to upward shifts in interest rates. Compared to December 31, 2020, our sensitivity in the up 200 bps shock scenario decreased due to higher client deposits and an </w:t>
      </w:r>
      <w:r>
        <w:rPr>
          <w:rFonts w:ascii="Arial" w:eastAsia="宋体" w:hAnsi="Arial" w:cs="Arial"/>
          <w:color w:val="000000"/>
          <w:sz w:val="20"/>
          <w:szCs w:val="20"/>
        </w:rPr>
        <w:t>increase in expected prepayment speeds on agency RMBS, partially offset by growth in our securities portfolio and interest rate hedging activity.</w:t>
      </w:r>
    </w:p>
    <w:p w14:paraId="5F2CDC6C" w14:textId="77777777" w:rsidR="00E836FB" w:rsidRDefault="00994958">
      <w:pPr>
        <w:spacing w:before="60"/>
        <w:ind w:firstLine="450"/>
        <w:jc w:val="both"/>
      </w:pPr>
      <w:r>
        <w:rPr>
          <w:rFonts w:ascii="Arial" w:eastAsia="宋体" w:hAnsi="Arial" w:cs="Arial"/>
          <w:color w:val="000000"/>
          <w:sz w:val="20"/>
          <w:szCs w:val="20"/>
        </w:rPr>
        <w:t>Both NII sensitivity and EVE sensitivity are routinely monitored as market conditions change. For additional i</w:t>
      </w:r>
      <w:r>
        <w:rPr>
          <w:rFonts w:ascii="Arial" w:eastAsia="宋体" w:hAnsi="Arial" w:cs="Arial"/>
          <w:color w:val="000000"/>
          <w:sz w:val="20"/>
          <w:szCs w:val="20"/>
        </w:rPr>
        <w:t>nformation about our Asset and Liability Management Activities, refer to Management's Discussion and Analysis of Financial Condition and Results of Operations, "Risk Management."</w:t>
      </w:r>
    </w:p>
    <w:p w14:paraId="5F2CDC6D" w14:textId="77777777" w:rsidR="00E836FB" w:rsidRDefault="00E836FB">
      <w:pPr>
        <w:ind w:firstLine="450"/>
      </w:pPr>
    </w:p>
    <w:p w14:paraId="5F2CDC6E" w14:textId="77777777" w:rsidR="00E836FB" w:rsidRDefault="00994958">
      <w:pPr>
        <w:ind w:firstLine="450"/>
        <w:jc w:val="right"/>
      </w:pPr>
      <w:r>
        <w:rPr>
          <w:rFonts w:ascii="Arial" w:eastAsia="宋体" w:hAnsi="Arial" w:cs="Arial"/>
          <w:color w:val="000000"/>
          <w:sz w:val="18"/>
          <w:szCs w:val="18"/>
        </w:rPr>
        <w:t>State Street Corporation | 110</w:t>
      </w:r>
    </w:p>
    <w:p w14:paraId="5F2CDC6F" w14:textId="77777777" w:rsidR="00E836FB" w:rsidRDefault="00E836FB">
      <w:pPr>
        <w:ind w:firstLine="450"/>
        <w:jc w:val="center"/>
      </w:pPr>
    </w:p>
    <w:p w14:paraId="5F2CDC70" w14:textId="77777777" w:rsidR="00E836FB" w:rsidRDefault="00994958">
      <w:r>
        <w:pict w14:anchorId="5F2D6DF3">
          <v:rect id="_x0000_i1134" style="width:415.3pt;height:1.5pt" o:hralign="center" o:hrstd="t" o:hr="t" fillcolor="#a0a0a0" stroked="f"/>
        </w:pict>
      </w:r>
    </w:p>
    <w:p w14:paraId="5F2CDC71" w14:textId="77777777" w:rsidR="00E836FB" w:rsidRDefault="00994958">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5F2CDC72" w14:textId="77777777" w:rsidR="00E836FB" w:rsidRDefault="00994958">
      <w:pPr>
        <w:ind w:firstLine="450"/>
        <w:jc w:val="center"/>
      </w:pPr>
      <w:r>
        <w:rPr>
          <w:rFonts w:ascii="Arial" w:eastAsia="宋体" w:hAnsi="Arial" w:cs="Arial"/>
          <w:b/>
          <w:bCs/>
          <w:color w:val="000000"/>
          <w:sz w:val="20"/>
          <w:szCs w:val="20"/>
        </w:rPr>
        <w:t>AND RESULTS OF OPERATIONS</w:t>
      </w:r>
    </w:p>
    <w:p w14:paraId="5F2CDC73" w14:textId="77777777" w:rsidR="00E836FB" w:rsidRDefault="00994958">
      <w:pPr>
        <w:spacing w:before="90"/>
        <w:jc w:val="both"/>
        <w:textAlignment w:val="top"/>
      </w:pPr>
      <w:r>
        <w:rPr>
          <w:rFonts w:ascii="Arial" w:eastAsia="宋体" w:hAnsi="Arial" w:cs="Arial"/>
          <w:b/>
          <w:bCs/>
          <w:color w:val="000000"/>
          <w:sz w:val="20"/>
          <w:szCs w:val="20"/>
        </w:rPr>
        <w:t xml:space="preserve">Model Risk Management </w:t>
      </w:r>
    </w:p>
    <w:p w14:paraId="5F2CDC74" w14:textId="77777777" w:rsidR="00E836FB" w:rsidRDefault="00994958">
      <w:pPr>
        <w:spacing w:before="60"/>
        <w:ind w:firstLine="450"/>
        <w:jc w:val="both"/>
        <w:textAlignment w:val="top"/>
      </w:pPr>
      <w:r>
        <w:rPr>
          <w:rFonts w:ascii="Arial" w:eastAsia="宋体" w:hAnsi="Arial" w:cs="Arial"/>
          <w:color w:val="000000"/>
          <w:sz w:val="20"/>
          <w:szCs w:val="20"/>
        </w:rPr>
        <w:t>The use of models is widespread throughout the financial services industry, with large and complex organizations relying on sophisticated models to support numerous aspects of</w:t>
      </w:r>
      <w:r>
        <w:rPr>
          <w:rFonts w:ascii="Arial" w:eastAsia="宋体" w:hAnsi="Arial" w:cs="Arial"/>
          <w:color w:val="000000"/>
          <w:sz w:val="20"/>
          <w:szCs w:val="20"/>
        </w:rPr>
        <w:t xml:space="preserve"> their financial decision making. The models contemporaneously represent both a significant advancement in financial management and a source of risk. In large banking organizations like us, model results influence business decisions, and model failure coul</w:t>
      </w:r>
      <w:r>
        <w:rPr>
          <w:rFonts w:ascii="Arial" w:eastAsia="宋体" w:hAnsi="Arial" w:cs="Arial"/>
          <w:color w:val="000000"/>
          <w:sz w:val="20"/>
          <w:szCs w:val="20"/>
        </w:rPr>
        <w:t>d have a harmful effect on our financial performance. As a result, the MRM Framework seeks to mitigate our model risk.</w:t>
      </w:r>
    </w:p>
    <w:p w14:paraId="5F2CDC75" w14:textId="77777777" w:rsidR="00E836FB" w:rsidRDefault="00994958">
      <w:pPr>
        <w:spacing w:before="60"/>
        <w:ind w:firstLine="450"/>
        <w:jc w:val="both"/>
        <w:textAlignment w:val="top"/>
      </w:pPr>
      <w:r>
        <w:rPr>
          <w:rFonts w:ascii="Arial" w:eastAsia="宋体" w:hAnsi="Arial" w:cs="Arial"/>
          <w:color w:val="000000"/>
          <w:sz w:val="20"/>
          <w:szCs w:val="20"/>
        </w:rPr>
        <w:t xml:space="preserve">Our MRM program has three principal components: </w:t>
      </w:r>
    </w:p>
    <w:p w14:paraId="5F2CDC76" w14:textId="77777777" w:rsidR="00E836FB" w:rsidRDefault="00994958">
      <w:pPr>
        <w:spacing w:before="60"/>
        <w:ind w:hanging="360"/>
        <w:jc w:val="both"/>
        <w:textAlignment w:val="top"/>
      </w:pPr>
      <w:r>
        <w:rPr>
          <w:rFonts w:ascii="Arial" w:eastAsia="宋体" w:hAnsi="Arial" w:cs="Arial"/>
          <w:color w:val="000000"/>
          <w:sz w:val="20"/>
          <w:szCs w:val="20"/>
        </w:rPr>
        <w:t xml:space="preserve">•A model risk governance program that defines roles and responsibilities, including the </w:t>
      </w:r>
      <w:r>
        <w:rPr>
          <w:rFonts w:ascii="Arial" w:eastAsia="宋体" w:hAnsi="Arial" w:cs="Arial"/>
          <w:color w:val="000000"/>
          <w:sz w:val="20"/>
          <w:szCs w:val="20"/>
        </w:rPr>
        <w:t xml:space="preserve">authority to restrict model usage, provides policies and guidance, monitors compliance and reports regularly to the Board on the overall degree of model risk across the corporation; </w:t>
      </w:r>
    </w:p>
    <w:p w14:paraId="5F2CDC77" w14:textId="77777777" w:rsidR="00E836FB" w:rsidRDefault="00994958">
      <w:pPr>
        <w:spacing w:before="60"/>
        <w:ind w:hanging="360"/>
        <w:jc w:val="both"/>
        <w:textAlignment w:val="top"/>
      </w:pPr>
      <w:r>
        <w:rPr>
          <w:rFonts w:ascii="Arial" w:eastAsia="宋体" w:hAnsi="Arial" w:cs="Arial"/>
          <w:color w:val="000000"/>
          <w:sz w:val="20"/>
          <w:szCs w:val="20"/>
        </w:rPr>
        <w:t>•A model development process that focuses on sound design and computation</w:t>
      </w:r>
      <w:r>
        <w:rPr>
          <w:rFonts w:ascii="Arial" w:eastAsia="宋体" w:hAnsi="Arial" w:cs="Arial"/>
          <w:color w:val="000000"/>
          <w:sz w:val="20"/>
          <w:szCs w:val="20"/>
        </w:rPr>
        <w:t xml:space="preserve">al accuracy, and includes activities designed to assess data quality, to test for robustness, stability and sensitivity to assumptions, and to conduct ongoing monitoring of model performance; and </w:t>
      </w:r>
    </w:p>
    <w:p w14:paraId="5F2CDC78" w14:textId="77777777" w:rsidR="00E836FB" w:rsidRDefault="00994958">
      <w:pPr>
        <w:spacing w:before="60"/>
        <w:ind w:hanging="360"/>
        <w:jc w:val="both"/>
        <w:textAlignment w:val="top"/>
      </w:pPr>
      <w:r>
        <w:rPr>
          <w:rFonts w:ascii="Arial" w:eastAsia="宋体" w:hAnsi="Arial" w:cs="Arial"/>
          <w:color w:val="000000"/>
          <w:sz w:val="20"/>
          <w:szCs w:val="20"/>
        </w:rPr>
        <w:t>•An independent model validation function designed to verif</w:t>
      </w:r>
      <w:r>
        <w:rPr>
          <w:rFonts w:ascii="Arial" w:eastAsia="宋体" w:hAnsi="Arial" w:cs="Arial"/>
          <w:color w:val="000000"/>
          <w:sz w:val="20"/>
          <w:szCs w:val="20"/>
        </w:rPr>
        <w:t>y that models are conceptually sound, computationally accurate, are performing as expected, and are in line with their intended use.</w:t>
      </w:r>
    </w:p>
    <w:p w14:paraId="5F2CDC79" w14:textId="77777777" w:rsidR="00E836FB" w:rsidRDefault="00994958">
      <w:pPr>
        <w:spacing w:before="60"/>
        <w:ind w:firstLine="450"/>
        <w:jc w:val="both"/>
        <w:textAlignment w:val="top"/>
      </w:pPr>
      <w:r>
        <w:rPr>
          <w:rFonts w:ascii="Arial" w:eastAsia="宋体" w:hAnsi="Arial" w:cs="Arial"/>
          <w:color w:val="000000"/>
          <w:sz w:val="20"/>
          <w:szCs w:val="20"/>
        </w:rPr>
        <w:t>The MRM Framework, highlighted above, also provides insight</w:t>
      </w:r>
      <w:r>
        <w:rPr>
          <w:rFonts w:ascii="Arial" w:eastAsia="宋体" w:hAnsi="Arial" w:cs="Arial"/>
          <w:color w:val="000000"/>
        </w:rPr>
        <w:t xml:space="preserve"> </w:t>
      </w:r>
      <w:r>
        <w:rPr>
          <w:rFonts w:ascii="Arial" w:eastAsia="宋体" w:hAnsi="Arial" w:cs="Arial"/>
          <w:color w:val="000000"/>
          <w:sz w:val="20"/>
          <w:szCs w:val="20"/>
        </w:rPr>
        <w:t>and guidance into addressing key model risks that arise.</w:t>
      </w:r>
    </w:p>
    <w:p w14:paraId="5F2CDC7A" w14:textId="77777777" w:rsidR="00E836FB" w:rsidRDefault="00994958">
      <w:pPr>
        <w:spacing w:before="60"/>
        <w:jc w:val="both"/>
        <w:textAlignment w:val="top"/>
      </w:pPr>
      <w:r>
        <w:rPr>
          <w:rFonts w:ascii="Arial" w:eastAsia="宋体" w:hAnsi="Arial" w:cs="Arial"/>
          <w:b/>
          <w:bCs/>
          <w:i/>
          <w:iCs/>
          <w:color w:val="000000"/>
          <w:sz w:val="20"/>
          <w:szCs w:val="20"/>
        </w:rPr>
        <w:t>Govern</w:t>
      </w:r>
      <w:r>
        <w:rPr>
          <w:rFonts w:ascii="Arial" w:eastAsia="宋体" w:hAnsi="Arial" w:cs="Arial"/>
          <w:b/>
          <w:bCs/>
          <w:i/>
          <w:iCs/>
          <w:color w:val="000000"/>
          <w:sz w:val="20"/>
          <w:szCs w:val="20"/>
        </w:rPr>
        <w:t>ance</w:t>
      </w:r>
    </w:p>
    <w:p w14:paraId="5F2CDC7B" w14:textId="77777777" w:rsidR="00E836FB" w:rsidRDefault="00994958">
      <w:pPr>
        <w:spacing w:before="60"/>
        <w:ind w:firstLine="450"/>
        <w:jc w:val="both"/>
        <w:textAlignment w:val="top"/>
      </w:pPr>
      <w:r>
        <w:rPr>
          <w:rFonts w:ascii="Arial" w:eastAsia="宋体" w:hAnsi="Arial" w:cs="Arial"/>
          <w:color w:val="000000"/>
          <w:sz w:val="20"/>
          <w:szCs w:val="20"/>
        </w:rPr>
        <w:t xml:space="preserve">Models used in the regulatory capital calculation can only be deployed for use after undergoing a model validation by ERM's MRM group. The model validation results and/or a decision by the Model Risk Committee must permit model usage or the model may </w:t>
      </w:r>
      <w:r>
        <w:rPr>
          <w:rFonts w:ascii="Arial" w:eastAsia="宋体" w:hAnsi="Arial" w:cs="Arial"/>
          <w:color w:val="000000"/>
          <w:sz w:val="20"/>
          <w:szCs w:val="20"/>
        </w:rPr>
        <w:t>not be used.</w:t>
      </w:r>
    </w:p>
    <w:p w14:paraId="5F2CDC7C" w14:textId="77777777" w:rsidR="00E836FB" w:rsidRDefault="00994958">
      <w:pPr>
        <w:spacing w:before="60"/>
        <w:ind w:firstLine="450"/>
        <w:jc w:val="both"/>
        <w:textAlignment w:val="top"/>
      </w:pPr>
      <w:r>
        <w:rPr>
          <w:rFonts w:ascii="Arial" w:eastAsia="宋体" w:hAnsi="Arial" w:cs="Arial"/>
          <w:color w:val="000000"/>
          <w:sz w:val="20"/>
          <w:szCs w:val="20"/>
        </w:rPr>
        <w:t xml:space="preserve">ERM’s MRM group is responsible for defining the corporate-wide model risk management framework, maintaining policies that achieve the framework’s objectives. All regulatory capital calculation models, including any artificial intelligence and </w:t>
      </w:r>
      <w:r>
        <w:rPr>
          <w:rFonts w:ascii="Arial" w:eastAsia="宋体" w:hAnsi="Arial" w:cs="Arial"/>
          <w:color w:val="000000"/>
          <w:sz w:val="20"/>
          <w:szCs w:val="20"/>
        </w:rPr>
        <w:t>machine learning models, must comply with the model risk management framework and corresponding policies. The team is responsible for overall model risk governance capabilities, with particular emphasis in the areas of model validation, model risk reportin</w:t>
      </w:r>
      <w:r>
        <w:rPr>
          <w:rFonts w:ascii="Arial" w:eastAsia="宋体" w:hAnsi="Arial" w:cs="Arial"/>
          <w:color w:val="000000"/>
          <w:sz w:val="20"/>
          <w:szCs w:val="20"/>
        </w:rPr>
        <w:t xml:space="preserve">g, model performance monitoring, </w:t>
      </w:r>
    </w:p>
    <w:p w14:paraId="5F2CDC7D" w14:textId="77777777" w:rsidR="00E836FB" w:rsidRDefault="00994958">
      <w:pPr>
        <w:spacing w:before="60"/>
        <w:jc w:val="both"/>
        <w:textAlignment w:val="top"/>
      </w:pPr>
      <w:r>
        <w:rPr>
          <w:rFonts w:ascii="Arial" w:eastAsia="宋体" w:hAnsi="Arial" w:cs="Arial"/>
          <w:color w:val="000000"/>
          <w:sz w:val="20"/>
          <w:szCs w:val="20"/>
        </w:rPr>
        <w:t>tracking of new model development status and committee-level review and challenge.</w:t>
      </w:r>
    </w:p>
    <w:p w14:paraId="5F2CDC7E" w14:textId="77777777" w:rsidR="00E836FB" w:rsidRDefault="00994958">
      <w:pPr>
        <w:spacing w:before="60"/>
        <w:ind w:firstLine="450"/>
        <w:jc w:val="both"/>
        <w:textAlignment w:val="top"/>
      </w:pPr>
      <w:r>
        <w:rPr>
          <w:rFonts w:ascii="Arial" w:eastAsia="宋体" w:hAnsi="Arial" w:cs="Arial"/>
          <w:color w:val="000000"/>
          <w:sz w:val="20"/>
          <w:szCs w:val="20"/>
        </w:rPr>
        <w:t>MRC, which is composed of senior managers responsible for representing functional areas and business units with key models across the organ</w:t>
      </w:r>
      <w:r>
        <w:rPr>
          <w:rFonts w:ascii="Arial" w:eastAsia="宋体" w:hAnsi="Arial" w:cs="Arial"/>
          <w:color w:val="000000"/>
          <w:sz w:val="20"/>
          <w:szCs w:val="20"/>
        </w:rPr>
        <w:t>ization, reports to MRAC, and provides guidance and oversight to the MRM function.</w:t>
      </w:r>
    </w:p>
    <w:p w14:paraId="5F2CDC7F" w14:textId="77777777" w:rsidR="00E836FB" w:rsidRDefault="00994958">
      <w:pPr>
        <w:spacing w:before="60"/>
        <w:jc w:val="both"/>
        <w:textAlignment w:val="top"/>
      </w:pPr>
      <w:r>
        <w:rPr>
          <w:rFonts w:ascii="Arial" w:eastAsia="宋体" w:hAnsi="Arial" w:cs="Arial"/>
          <w:b/>
          <w:bCs/>
          <w:i/>
          <w:iCs/>
          <w:color w:val="000000"/>
          <w:sz w:val="20"/>
          <w:szCs w:val="20"/>
        </w:rPr>
        <w:t>Model Development and Ongoing Monitoring</w:t>
      </w:r>
    </w:p>
    <w:p w14:paraId="5F2CDC80" w14:textId="77777777" w:rsidR="00E836FB" w:rsidRDefault="00994958">
      <w:pPr>
        <w:spacing w:before="80"/>
        <w:ind w:firstLine="450"/>
        <w:jc w:val="both"/>
        <w:textAlignment w:val="top"/>
      </w:pPr>
      <w:r>
        <w:rPr>
          <w:rFonts w:ascii="Arial" w:eastAsia="宋体" w:hAnsi="Arial" w:cs="Arial"/>
          <w:color w:val="000000"/>
          <w:sz w:val="20"/>
          <w:szCs w:val="20"/>
        </w:rPr>
        <w:t xml:space="preserve">Models are developed under standards governing data sourcing, methodology selection and model integrity testing. Model </w:t>
      </w:r>
      <w:r>
        <w:rPr>
          <w:rFonts w:ascii="Arial" w:eastAsia="宋体" w:hAnsi="Arial" w:cs="Arial"/>
          <w:color w:val="000000"/>
          <w:sz w:val="20"/>
          <w:szCs w:val="20"/>
        </w:rPr>
        <w:t>development includes a statement of purpose to align development with intended use. It may also include a comparison of alternative approaches to promote a sound modeling approach.</w:t>
      </w:r>
    </w:p>
    <w:p w14:paraId="5F2CDC81" w14:textId="77777777" w:rsidR="00E836FB" w:rsidRDefault="00994958">
      <w:pPr>
        <w:spacing w:before="80"/>
        <w:ind w:firstLine="450"/>
        <w:jc w:val="both"/>
        <w:textAlignment w:val="top"/>
      </w:pPr>
      <w:r>
        <w:rPr>
          <w:rFonts w:ascii="Arial" w:eastAsia="宋体" w:hAnsi="Arial" w:cs="Arial"/>
          <w:color w:val="000000"/>
          <w:sz w:val="20"/>
          <w:szCs w:val="20"/>
        </w:rPr>
        <w:t>Model developers conduct an assessment of data quality and relevance. The d</w:t>
      </w:r>
      <w:r>
        <w:rPr>
          <w:rFonts w:ascii="Arial" w:eastAsia="宋体" w:hAnsi="Arial" w:cs="Arial"/>
          <w:color w:val="000000"/>
          <w:sz w:val="20"/>
          <w:szCs w:val="20"/>
        </w:rPr>
        <w:t xml:space="preserve">evelopment teams conduct a variety of tests of the accuracy, robustness and stability of each model. </w:t>
      </w:r>
    </w:p>
    <w:p w14:paraId="5F2CDC82" w14:textId="77777777" w:rsidR="00E836FB" w:rsidRDefault="00994958">
      <w:pPr>
        <w:spacing w:before="60"/>
        <w:ind w:firstLine="450"/>
        <w:jc w:val="both"/>
        <w:textAlignment w:val="top"/>
      </w:pPr>
      <w:r>
        <w:rPr>
          <w:rFonts w:ascii="Arial" w:eastAsia="宋体" w:hAnsi="Arial" w:cs="Arial"/>
          <w:color w:val="000000"/>
          <w:sz w:val="20"/>
          <w:szCs w:val="20"/>
        </w:rPr>
        <w:t>Model owners submit models to the MVG for validation on a regular basis, as per the existing policy. The model owners also conduct ongoing monitoring of e</w:t>
      </w:r>
      <w:r>
        <w:rPr>
          <w:rFonts w:ascii="Arial" w:eastAsia="宋体" w:hAnsi="Arial" w:cs="Arial"/>
          <w:color w:val="000000"/>
          <w:sz w:val="20"/>
          <w:szCs w:val="20"/>
        </w:rPr>
        <w:t>ach model.</w:t>
      </w:r>
    </w:p>
    <w:p w14:paraId="5F2CDC83" w14:textId="77777777" w:rsidR="00E836FB" w:rsidRDefault="00994958">
      <w:pPr>
        <w:spacing w:before="60"/>
        <w:jc w:val="both"/>
        <w:textAlignment w:val="top"/>
      </w:pPr>
      <w:r>
        <w:rPr>
          <w:rFonts w:ascii="Arial" w:eastAsia="宋体" w:hAnsi="Arial" w:cs="Arial"/>
          <w:b/>
          <w:bCs/>
          <w:i/>
          <w:iCs/>
          <w:color w:val="000000"/>
          <w:sz w:val="20"/>
          <w:szCs w:val="20"/>
        </w:rPr>
        <w:t>Model Validation</w:t>
      </w:r>
    </w:p>
    <w:p w14:paraId="5F2CDC84" w14:textId="77777777" w:rsidR="00E836FB" w:rsidRDefault="00994958">
      <w:pPr>
        <w:spacing w:before="60"/>
        <w:ind w:firstLine="450"/>
        <w:jc w:val="both"/>
        <w:textAlignment w:val="top"/>
      </w:pPr>
      <w:r>
        <w:rPr>
          <w:rFonts w:ascii="Arial" w:eastAsia="宋体" w:hAnsi="Arial" w:cs="Arial"/>
          <w:color w:val="000000"/>
          <w:sz w:val="20"/>
          <w:szCs w:val="20"/>
        </w:rPr>
        <w:t>MVG is part of MRM within ERM and performs model validations and reviews. MVG is independent, as contemplated by applicable bank regulatory requirements, of both the developers and users of the models. MVG validates models throu</w:t>
      </w:r>
      <w:r>
        <w:rPr>
          <w:rFonts w:ascii="Arial" w:eastAsia="宋体" w:hAnsi="Arial" w:cs="Arial"/>
          <w:color w:val="000000"/>
          <w:sz w:val="20"/>
          <w:szCs w:val="20"/>
        </w:rPr>
        <w:t>gh an evaluation process that assesses the appropriateness, accuracy, and suitability of data inputs, methodologies, documentation, assumptions, and processing code. Model validation also encompasses an assessment of model performance, sensitivity, and rob</w:t>
      </w:r>
      <w:r>
        <w:rPr>
          <w:rFonts w:ascii="Arial" w:eastAsia="宋体" w:hAnsi="Arial" w:cs="Arial"/>
          <w:color w:val="000000"/>
          <w:sz w:val="20"/>
          <w:szCs w:val="20"/>
        </w:rPr>
        <w:t>ustness, as well as a model’s potential limitations given its particular assumptions or deficiencies. Based on the results of its review, MVG issues a model use decision and may require remedial actions and/or compensating controls on model use. MVG also m</w:t>
      </w:r>
      <w:r>
        <w:rPr>
          <w:rFonts w:ascii="Arial" w:eastAsia="宋体" w:hAnsi="Arial" w:cs="Arial"/>
          <w:color w:val="000000"/>
          <w:sz w:val="20"/>
          <w:szCs w:val="20"/>
        </w:rPr>
        <w:t>aintains a model risk rating system, which assigns a risk rating to each model based on an assessment of a model's inherent and residual risks. These ratings aid in the understanding and reporting of model risk across the model portfolio, and enable the tr</w:t>
      </w:r>
      <w:r>
        <w:rPr>
          <w:rFonts w:ascii="Arial" w:eastAsia="宋体" w:hAnsi="Arial" w:cs="Arial"/>
          <w:color w:val="000000"/>
          <w:sz w:val="20"/>
          <w:szCs w:val="20"/>
        </w:rPr>
        <w:t>iaging of needs for remediation.</w:t>
      </w:r>
    </w:p>
    <w:p w14:paraId="5F2CDC85" w14:textId="77777777" w:rsidR="00E836FB" w:rsidRDefault="00994958">
      <w:pPr>
        <w:spacing w:before="60"/>
        <w:ind w:firstLine="450"/>
        <w:jc w:val="both"/>
        <w:textAlignment w:val="top"/>
      </w:pPr>
      <w:r>
        <w:rPr>
          <w:rFonts w:ascii="Arial" w:eastAsia="宋体" w:hAnsi="Arial" w:cs="Arial"/>
          <w:color w:val="000000"/>
          <w:sz w:val="20"/>
          <w:szCs w:val="20"/>
        </w:rPr>
        <w:t>Although model validation is the primary method of subjecting models to independent review and challenge, in practice, a multi-step governance process provides the opportunity for challenge by multiple parties. First, MVG c</w:t>
      </w:r>
      <w:r>
        <w:rPr>
          <w:rFonts w:ascii="Arial" w:eastAsia="宋体" w:hAnsi="Arial" w:cs="Arial"/>
          <w:color w:val="000000"/>
          <w:sz w:val="20"/>
          <w:szCs w:val="20"/>
        </w:rPr>
        <w:t xml:space="preserve">onducts a model validation and issues a model use decision. MVG communicates their result as one of the following three outcomes: “Approved”, “Approved with conditions”, or “Not Approved”.  There are three ways in which a model can be deemed “Not approved </w:t>
      </w:r>
      <w:r>
        <w:rPr>
          <w:rFonts w:ascii="Arial" w:eastAsia="宋体" w:hAnsi="Arial" w:cs="Arial"/>
          <w:color w:val="000000"/>
          <w:sz w:val="20"/>
          <w:szCs w:val="20"/>
        </w:rPr>
        <w:t xml:space="preserve">for </w:t>
      </w:r>
    </w:p>
    <w:p w14:paraId="5F2CDC86" w14:textId="77777777" w:rsidR="00E836FB" w:rsidRDefault="00994958">
      <w:pPr>
        <w:ind w:firstLine="450"/>
        <w:jc w:val="right"/>
      </w:pPr>
      <w:r>
        <w:rPr>
          <w:rFonts w:ascii="Arial" w:eastAsia="宋体" w:hAnsi="Arial" w:cs="Arial"/>
          <w:color w:val="000000"/>
          <w:sz w:val="18"/>
          <w:szCs w:val="18"/>
        </w:rPr>
        <w:t>State Street Corporation | 111</w:t>
      </w:r>
    </w:p>
    <w:p w14:paraId="5F2CDC87" w14:textId="77777777" w:rsidR="00E836FB" w:rsidRDefault="00E836FB">
      <w:pPr>
        <w:ind w:firstLine="450"/>
        <w:jc w:val="center"/>
      </w:pPr>
    </w:p>
    <w:p w14:paraId="5F2CDC88" w14:textId="77777777" w:rsidR="00E836FB" w:rsidRDefault="00994958">
      <w:r>
        <w:pict w14:anchorId="5F2D6DF4">
          <v:rect id="_x0000_i1135" style="width:415.3pt;height:1.5pt" o:hralign="center" o:hrstd="t" o:hr="t" fillcolor="#a0a0a0" stroked="f"/>
        </w:pict>
      </w:r>
    </w:p>
    <w:p w14:paraId="5F2CDC89"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C8A" w14:textId="77777777" w:rsidR="00E836FB" w:rsidRDefault="00994958">
      <w:pPr>
        <w:ind w:firstLine="450"/>
        <w:jc w:val="center"/>
      </w:pPr>
      <w:r>
        <w:rPr>
          <w:rFonts w:ascii="Arial" w:eastAsia="宋体" w:hAnsi="Arial" w:cs="Arial"/>
          <w:b/>
          <w:bCs/>
          <w:color w:val="000000"/>
          <w:sz w:val="20"/>
          <w:szCs w:val="20"/>
        </w:rPr>
        <w:t>AND RESULTS OF OPERATIONS</w:t>
      </w:r>
    </w:p>
    <w:p w14:paraId="5F2CDC8B" w14:textId="77777777" w:rsidR="00E836FB" w:rsidRDefault="00994958">
      <w:pPr>
        <w:spacing w:before="60"/>
        <w:jc w:val="both"/>
        <w:textAlignment w:val="top"/>
      </w:pPr>
      <w:r>
        <w:rPr>
          <w:rFonts w:ascii="Arial" w:eastAsia="宋体" w:hAnsi="Arial" w:cs="Arial"/>
          <w:color w:val="000000"/>
          <w:sz w:val="20"/>
          <w:szCs w:val="20"/>
        </w:rPr>
        <w:t>Use” given a validation:  1) the aggregation of the model scoring within MRM’s Model Risk Rating System (MRRS) model is poor enough</w:t>
      </w:r>
      <w:r>
        <w:rPr>
          <w:rFonts w:ascii="Arial" w:eastAsia="宋体" w:hAnsi="Arial" w:cs="Arial"/>
          <w:color w:val="000000"/>
          <w:sz w:val="20"/>
          <w:szCs w:val="20"/>
        </w:rPr>
        <w:t xml:space="preserve"> to result in a “high” rating, 2) the scoring of one or more MRRS model element(s) is deemed “critical” resulting in an automatic “high” rating irrespective of the other elements as the “critical” element(s) undermines the model, or 3) the remediation acti</w:t>
      </w:r>
      <w:r>
        <w:rPr>
          <w:rFonts w:ascii="Arial" w:eastAsia="宋体" w:hAnsi="Arial" w:cs="Arial"/>
          <w:color w:val="000000"/>
          <w:sz w:val="20"/>
          <w:szCs w:val="20"/>
        </w:rPr>
        <w:t xml:space="preserve">on is not properly taken by the due date resulting in a severe compliance breach that undercuts the model rating. Second, these decisions may be reviewed, challenged, and confirmed by the MRC. Finally, model use decisions, risk ratings, and overall levels </w:t>
      </w:r>
      <w:r>
        <w:rPr>
          <w:rFonts w:ascii="Arial" w:eastAsia="宋体" w:hAnsi="Arial" w:cs="Arial"/>
          <w:color w:val="000000"/>
          <w:sz w:val="20"/>
          <w:szCs w:val="20"/>
        </w:rPr>
        <w:t>of model risk may be reported to and reviewed by MRAC. MRM also reports regularly on model risk issues to the Board.</w:t>
      </w:r>
    </w:p>
    <w:p w14:paraId="5F2CDC8C" w14:textId="77777777" w:rsidR="00E836FB" w:rsidRDefault="00994958">
      <w:pPr>
        <w:spacing w:before="90"/>
        <w:jc w:val="both"/>
        <w:textAlignment w:val="top"/>
      </w:pPr>
      <w:r>
        <w:rPr>
          <w:rFonts w:ascii="Arial" w:eastAsia="宋体" w:hAnsi="Arial" w:cs="Arial"/>
          <w:b/>
          <w:bCs/>
          <w:color w:val="000000"/>
          <w:sz w:val="20"/>
          <w:szCs w:val="20"/>
        </w:rPr>
        <w:t>Strategic Risk Management</w:t>
      </w:r>
    </w:p>
    <w:p w14:paraId="5F2CDC8D" w14:textId="77777777" w:rsidR="00E836FB" w:rsidRDefault="00994958">
      <w:pPr>
        <w:spacing w:before="60"/>
        <w:ind w:firstLine="450"/>
        <w:jc w:val="both"/>
        <w:textAlignment w:val="top"/>
      </w:pPr>
      <w:r>
        <w:rPr>
          <w:rFonts w:ascii="Arial" w:eastAsia="宋体" w:hAnsi="Arial" w:cs="Arial"/>
          <w:color w:val="000000"/>
          <w:sz w:val="20"/>
          <w:szCs w:val="20"/>
        </w:rPr>
        <w:t xml:space="preserve">We define strategic risk as the current or prospective impact on earnings or capital arising from adverse </w:t>
      </w:r>
      <w:r>
        <w:rPr>
          <w:rFonts w:ascii="Arial" w:eastAsia="宋体" w:hAnsi="Arial" w:cs="Arial"/>
          <w:color w:val="000000"/>
          <w:sz w:val="20"/>
          <w:szCs w:val="20"/>
        </w:rPr>
        <w:t>business decisions, improper implementation of strategic initiatives, or lack of responsiveness to industry-wide changes. Strategic risks are influenced by changes in the competitive environment; decline in market performance or changes in our business act</w:t>
      </w:r>
      <w:r>
        <w:rPr>
          <w:rFonts w:ascii="Arial" w:eastAsia="宋体" w:hAnsi="Arial" w:cs="Arial"/>
          <w:color w:val="000000"/>
          <w:sz w:val="20"/>
          <w:szCs w:val="20"/>
        </w:rPr>
        <w:t>ivities; and the potential secondary impacts of reputational risks, not already captured as market, interest rate, credit, operational, model or liquidity risks. We incorporate strategic risk into our assessment of our business plans and risk and capital m</w:t>
      </w:r>
      <w:r>
        <w:rPr>
          <w:rFonts w:ascii="Arial" w:eastAsia="宋体" w:hAnsi="Arial" w:cs="Arial"/>
          <w:color w:val="000000"/>
          <w:sz w:val="20"/>
          <w:szCs w:val="20"/>
        </w:rPr>
        <w:t>anagement processes. Active management of strategic risk is an integral component of all aspects of our business.</w:t>
      </w:r>
    </w:p>
    <w:p w14:paraId="5F2CDC8E" w14:textId="77777777" w:rsidR="00E836FB" w:rsidRDefault="00994958">
      <w:pPr>
        <w:spacing w:before="60"/>
        <w:ind w:firstLine="450"/>
        <w:jc w:val="both"/>
        <w:textAlignment w:val="top"/>
      </w:pPr>
      <w:r>
        <w:rPr>
          <w:rFonts w:ascii="Arial" w:eastAsia="宋体" w:hAnsi="Arial" w:cs="Arial"/>
          <w:color w:val="000000"/>
          <w:sz w:val="20"/>
          <w:szCs w:val="20"/>
        </w:rPr>
        <w:t>Separating the effects of a potential material adverse event into operational and strategic risk is sometimes difficult. For instance, the dir</w:t>
      </w:r>
      <w:r>
        <w:rPr>
          <w:rFonts w:ascii="Arial" w:eastAsia="宋体" w:hAnsi="Arial" w:cs="Arial"/>
          <w:color w:val="000000"/>
          <w:sz w:val="20"/>
          <w:szCs w:val="20"/>
        </w:rPr>
        <w:t xml:space="preserve">ect financial impact of an unfavorable event in the form of fines or penalties would be classified as an operational risk loss, while the impact on our reputation and consequently the potential loss of clients and corresponding decline in revenue would be </w:t>
      </w:r>
      <w:r>
        <w:rPr>
          <w:rFonts w:ascii="Arial" w:eastAsia="宋体" w:hAnsi="Arial" w:cs="Arial"/>
          <w:color w:val="000000"/>
          <w:sz w:val="20"/>
          <w:szCs w:val="20"/>
        </w:rPr>
        <w:t>classified as a strategic risk loss. An additional example of strategic risk is the integration of a major acquisition. Failure to successfully integrate the operations of an acquired business, and the resultant inability to retain clients and the associat</w:t>
      </w:r>
      <w:r>
        <w:rPr>
          <w:rFonts w:ascii="Arial" w:eastAsia="宋体" w:hAnsi="Arial" w:cs="Arial"/>
          <w:color w:val="000000"/>
          <w:sz w:val="20"/>
          <w:szCs w:val="20"/>
        </w:rPr>
        <w:t>ed revenue, would be classified as a loss due to strategic risk.</w:t>
      </w:r>
    </w:p>
    <w:p w14:paraId="5F2CDC8F" w14:textId="77777777" w:rsidR="00E836FB" w:rsidRDefault="00994958">
      <w:pPr>
        <w:spacing w:before="60"/>
        <w:ind w:firstLine="450"/>
        <w:jc w:val="both"/>
        <w:textAlignment w:val="top"/>
      </w:pPr>
      <w:r>
        <w:rPr>
          <w:rFonts w:ascii="Arial" w:eastAsia="宋体" w:hAnsi="Arial" w:cs="Arial"/>
          <w:color w:val="000000"/>
          <w:sz w:val="20"/>
          <w:szCs w:val="20"/>
        </w:rPr>
        <w:t>Strategic risk is managed with a long-term focus. Techniques for its assessment and management include the development of business plans, which are subject to robust review and challenge from</w:t>
      </w:r>
      <w:r>
        <w:rPr>
          <w:rFonts w:ascii="Arial" w:eastAsia="宋体" w:hAnsi="Arial" w:cs="Arial"/>
          <w:color w:val="000000"/>
          <w:sz w:val="20"/>
          <w:szCs w:val="20"/>
        </w:rPr>
        <w:t xml:space="preserve"> senior management and the Board of Directors, as well as a formal review and approval process for all new business and product proposals. The potential impact of the various elements of strategic risk is difficult to quantify with any degree of precision.</w:t>
      </w:r>
      <w:r>
        <w:rPr>
          <w:rFonts w:ascii="Arial" w:eastAsia="宋体" w:hAnsi="Arial" w:cs="Arial"/>
          <w:color w:val="000000"/>
          <w:sz w:val="20"/>
          <w:szCs w:val="20"/>
        </w:rPr>
        <w:t xml:space="preserve"> We use a combination of historical earnings volatility, scenario </w:t>
      </w:r>
    </w:p>
    <w:p w14:paraId="5F2CDC90" w14:textId="77777777" w:rsidR="00E836FB" w:rsidRDefault="00994958">
      <w:pPr>
        <w:spacing w:before="60"/>
        <w:jc w:val="both"/>
        <w:textAlignment w:val="top"/>
      </w:pPr>
      <w:r>
        <w:rPr>
          <w:rFonts w:ascii="Arial" w:eastAsia="宋体" w:hAnsi="Arial" w:cs="Arial"/>
          <w:color w:val="000000"/>
          <w:sz w:val="20"/>
          <w:szCs w:val="20"/>
        </w:rPr>
        <w:t>analysis, stress-testing and management judgment to help assess the potential effect on us attributable to strategic risk. Management and control of strategic risks are generally the respon</w:t>
      </w:r>
      <w:r>
        <w:rPr>
          <w:rFonts w:ascii="Arial" w:eastAsia="宋体" w:hAnsi="Arial" w:cs="Arial"/>
          <w:color w:val="000000"/>
          <w:sz w:val="20"/>
          <w:szCs w:val="20"/>
        </w:rPr>
        <w:t>sibility of the business units, with oversight from the control functions, as part of their overall strategic planning and internal risk management processes.</w:t>
      </w:r>
    </w:p>
    <w:p w14:paraId="5F2CDC91" w14:textId="77777777" w:rsidR="00E836FB" w:rsidRDefault="00994958">
      <w:pPr>
        <w:spacing w:before="60"/>
        <w:ind w:firstLine="450"/>
        <w:jc w:val="both"/>
        <w:textAlignment w:val="top"/>
      </w:pPr>
      <w:r>
        <w:rPr>
          <w:rFonts w:ascii="Arial" w:eastAsia="宋体" w:hAnsi="Arial" w:cs="Arial"/>
          <w:color w:val="000000"/>
          <w:sz w:val="20"/>
          <w:szCs w:val="20"/>
        </w:rPr>
        <w:t>On March 5, 2021, the Intercontinental Exchange Benchmark Administration announced, in conjunctio</w:t>
      </w:r>
      <w:r>
        <w:rPr>
          <w:rFonts w:ascii="Arial" w:eastAsia="宋体" w:hAnsi="Arial" w:cs="Arial"/>
          <w:color w:val="000000"/>
          <w:sz w:val="20"/>
          <w:szCs w:val="20"/>
        </w:rPr>
        <w:t>n with the United Kingdom Financial Conduct Authority (FCA), that it would cease the publication of GBP, EUR, Swiss Franc and the Japanese Yen LIBOR settings for all tenors, as well as one week and two months U.S. dollar LIBOR settings, on December 31, 202</w:t>
      </w:r>
      <w:r>
        <w:rPr>
          <w:rFonts w:ascii="Arial" w:eastAsia="宋体" w:hAnsi="Arial" w:cs="Arial"/>
          <w:color w:val="000000"/>
          <w:sz w:val="20"/>
          <w:szCs w:val="20"/>
        </w:rPr>
        <w:t>1 and would cease the publication of overnight and twelve months U.S. dollar LIBOR settings on June 30, 2023.</w:t>
      </w:r>
    </w:p>
    <w:p w14:paraId="5F2CDC92" w14:textId="77777777" w:rsidR="00E836FB" w:rsidRDefault="00994958">
      <w:pPr>
        <w:spacing w:before="60"/>
        <w:ind w:firstLine="450"/>
        <w:jc w:val="both"/>
        <w:textAlignment w:val="top"/>
      </w:pPr>
      <w:r>
        <w:rPr>
          <w:rFonts w:ascii="Arial" w:eastAsia="宋体" w:hAnsi="Arial" w:cs="Arial"/>
          <w:color w:val="000000"/>
          <w:sz w:val="20"/>
          <w:szCs w:val="20"/>
        </w:rPr>
        <w:t>We have established a process to identify, assess, plan for and remediate the use of LIBOR and other reference rates affected by reference rate re</w:t>
      </w:r>
      <w:r>
        <w:rPr>
          <w:rFonts w:ascii="Arial" w:eastAsia="宋体" w:hAnsi="Arial" w:cs="Arial"/>
          <w:color w:val="000000"/>
          <w:sz w:val="20"/>
          <w:szCs w:val="20"/>
        </w:rPr>
        <w:t>form that addresses both direct exposures on our balance sheet, and, more importantly, the use of LIBOR in our various service provider roles to our customers. This process is led by a wide, multi-disciplinary LIBOR program management office (“LIBOR PMO”),</w:t>
      </w:r>
      <w:r>
        <w:rPr>
          <w:rFonts w:ascii="Arial" w:eastAsia="宋体" w:hAnsi="Arial" w:cs="Arial"/>
          <w:color w:val="000000"/>
          <w:sz w:val="20"/>
          <w:szCs w:val="20"/>
        </w:rPr>
        <w:t xml:space="preserve"> established in September 2018, that will continue to lead our transition efforts through June of 2023. </w:t>
      </w:r>
    </w:p>
    <w:p w14:paraId="5F2CDC93" w14:textId="77777777" w:rsidR="00E836FB" w:rsidRDefault="00994958">
      <w:pPr>
        <w:spacing w:before="60"/>
        <w:ind w:firstLine="450"/>
        <w:jc w:val="both"/>
        <w:textAlignment w:val="top"/>
      </w:pPr>
      <w:r>
        <w:rPr>
          <w:rFonts w:ascii="Arial" w:eastAsia="宋体" w:hAnsi="Arial" w:cs="Arial"/>
          <w:color w:val="000000"/>
          <w:sz w:val="20"/>
          <w:szCs w:val="20"/>
        </w:rPr>
        <w:t xml:space="preserve">The LIBOR PMO reports regularly to executive management of the firm and our key regulators on progress with respect to client communications, updating </w:t>
      </w:r>
      <w:r>
        <w:rPr>
          <w:rFonts w:ascii="Arial" w:eastAsia="宋体" w:hAnsi="Arial" w:cs="Arial"/>
          <w:color w:val="000000"/>
          <w:sz w:val="20"/>
          <w:szCs w:val="20"/>
        </w:rPr>
        <w:t>quantitative models and information technology systems, managing vendors, contracts remediation, adoption of alternative reference rates for various financial products and services, evaluation of fallback provisions contained in LIBOR-priced loans, investm</w:t>
      </w:r>
      <w:r>
        <w:rPr>
          <w:rFonts w:ascii="Arial" w:eastAsia="宋体" w:hAnsi="Arial" w:cs="Arial"/>
          <w:color w:val="000000"/>
          <w:sz w:val="20"/>
          <w:szCs w:val="20"/>
        </w:rPr>
        <w:t xml:space="preserve">ent securities, derivatives and long-term debt and general operational readiness for each stage of the transition. </w:t>
      </w:r>
    </w:p>
    <w:p w14:paraId="5F2CDC94" w14:textId="77777777" w:rsidR="00E836FB" w:rsidRDefault="00994958">
      <w:pPr>
        <w:spacing w:before="60"/>
        <w:ind w:firstLine="450"/>
        <w:jc w:val="both"/>
        <w:textAlignment w:val="top"/>
      </w:pPr>
      <w:r>
        <w:rPr>
          <w:rFonts w:ascii="Arial" w:eastAsia="宋体" w:hAnsi="Arial" w:cs="Arial"/>
          <w:color w:val="000000"/>
          <w:sz w:val="20"/>
          <w:szCs w:val="20"/>
        </w:rPr>
        <w:t>Most of the work identified by the LIBOR PMO for implementation of the transition is substantially complete, and contingency plans have been</w:t>
      </w:r>
      <w:r>
        <w:rPr>
          <w:rFonts w:ascii="Arial" w:eastAsia="宋体" w:hAnsi="Arial" w:cs="Arial"/>
          <w:color w:val="000000"/>
          <w:sz w:val="20"/>
          <w:szCs w:val="20"/>
        </w:rPr>
        <w:t xml:space="preserve"> developed to deal with identified uncertainties. No incremental material investments are expected to be needed for systems and processes related to the transition. Potential risks that could impact our remediation efforts include overall transition readin</w:t>
      </w:r>
      <w:r>
        <w:rPr>
          <w:rFonts w:ascii="Arial" w:eastAsia="宋体" w:hAnsi="Arial" w:cs="Arial"/>
          <w:color w:val="000000"/>
          <w:sz w:val="20"/>
          <w:szCs w:val="20"/>
        </w:rPr>
        <w:t>ess across the industry, third party vendor dependencies and resource constraints from the concentration of remediation activities at key points in the transition process.</w:t>
      </w:r>
    </w:p>
    <w:p w14:paraId="5F2CDC95" w14:textId="77777777" w:rsidR="00E836FB" w:rsidRDefault="00994958">
      <w:pPr>
        <w:spacing w:before="60"/>
        <w:ind w:firstLine="450"/>
        <w:jc w:val="both"/>
        <w:textAlignment w:val="top"/>
      </w:pPr>
      <w:r>
        <w:rPr>
          <w:rFonts w:ascii="Arial" w:eastAsia="宋体" w:hAnsi="Arial" w:cs="Arial"/>
          <w:color w:val="000000"/>
          <w:sz w:val="20"/>
          <w:szCs w:val="20"/>
        </w:rPr>
        <w:t>Our direct on balance sheet exposures to LIBOR are limited and primarily include assets held in the investment portfolio, certain loans made through Global Credit Finance and issuances of long-term debt and preferred stock. We have planned for, and are pre</w:t>
      </w:r>
      <w:r>
        <w:rPr>
          <w:rFonts w:ascii="Arial" w:eastAsia="宋体" w:hAnsi="Arial" w:cs="Arial"/>
          <w:color w:val="000000"/>
          <w:sz w:val="20"/>
          <w:szCs w:val="20"/>
        </w:rPr>
        <w:t xml:space="preserve">pared to transition our remaining on balance sheet exposures in a manner consistent with regulatory guidance and the availability of interim solutions for various legacy LIBOR contracts. We will not originate or issue new LIBOR-based loans or </w:t>
      </w:r>
    </w:p>
    <w:p w14:paraId="5F2CDC96" w14:textId="77777777" w:rsidR="00E836FB" w:rsidRDefault="00994958">
      <w:pPr>
        <w:ind w:firstLine="450"/>
        <w:jc w:val="right"/>
      </w:pPr>
      <w:r>
        <w:rPr>
          <w:rFonts w:ascii="Arial" w:eastAsia="宋体" w:hAnsi="Arial" w:cs="Arial"/>
          <w:color w:val="000000"/>
          <w:sz w:val="18"/>
          <w:szCs w:val="18"/>
        </w:rPr>
        <w:t>State Street</w:t>
      </w:r>
      <w:r>
        <w:rPr>
          <w:rFonts w:ascii="Arial" w:eastAsia="宋体" w:hAnsi="Arial" w:cs="Arial"/>
          <w:color w:val="000000"/>
          <w:sz w:val="18"/>
          <w:szCs w:val="18"/>
        </w:rPr>
        <w:t xml:space="preserve"> Corporation | 112</w:t>
      </w:r>
    </w:p>
    <w:p w14:paraId="5F2CDC97" w14:textId="77777777" w:rsidR="00E836FB" w:rsidRDefault="00E836FB">
      <w:pPr>
        <w:ind w:firstLine="450"/>
        <w:jc w:val="center"/>
      </w:pPr>
    </w:p>
    <w:p w14:paraId="5F2CDC98" w14:textId="77777777" w:rsidR="00E836FB" w:rsidRDefault="00994958">
      <w:r>
        <w:pict w14:anchorId="5F2D6DF5">
          <v:rect id="_x0000_i1136" style="width:415.3pt;height:1.5pt" o:hralign="center" o:hrstd="t" o:hr="t" fillcolor="#a0a0a0" stroked="f"/>
        </w:pict>
      </w:r>
    </w:p>
    <w:p w14:paraId="5F2CDC99"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C9A" w14:textId="77777777" w:rsidR="00E836FB" w:rsidRDefault="00994958">
      <w:pPr>
        <w:ind w:firstLine="450"/>
        <w:jc w:val="center"/>
      </w:pPr>
      <w:r>
        <w:rPr>
          <w:rFonts w:ascii="Arial" w:eastAsia="宋体" w:hAnsi="Arial" w:cs="Arial"/>
          <w:b/>
          <w:bCs/>
          <w:color w:val="000000"/>
          <w:sz w:val="20"/>
          <w:szCs w:val="20"/>
        </w:rPr>
        <w:t>AND RESULTS OF OPERATIONS</w:t>
      </w:r>
    </w:p>
    <w:p w14:paraId="5F2CDC9B" w14:textId="77777777" w:rsidR="00E836FB" w:rsidRDefault="00994958">
      <w:pPr>
        <w:spacing w:before="60"/>
        <w:jc w:val="both"/>
        <w:textAlignment w:val="top"/>
      </w:pPr>
      <w:r>
        <w:rPr>
          <w:rFonts w:ascii="Arial" w:eastAsia="宋体" w:hAnsi="Arial" w:cs="Arial"/>
          <w:color w:val="000000"/>
          <w:sz w:val="20"/>
          <w:szCs w:val="20"/>
        </w:rPr>
        <w:t>long-term debt, and any purchases of LIBOR-based investment securities will be screened for adequate fallback language. Our remaining exposure outst</w:t>
      </w:r>
      <w:r>
        <w:rPr>
          <w:rFonts w:ascii="Arial" w:eastAsia="宋体" w:hAnsi="Arial" w:cs="Arial"/>
          <w:color w:val="000000"/>
          <w:sz w:val="20"/>
          <w:szCs w:val="20"/>
        </w:rPr>
        <w:t>anding at June 2023 is largely governed by existing fallback language, or jurisdictional legislation that provides for appropriate fallback provisions. Our financial performance depends, in part, on our ability to adapt to market changes promptly, while av</w:t>
      </w:r>
      <w:r>
        <w:rPr>
          <w:rFonts w:ascii="Arial" w:eastAsia="宋体" w:hAnsi="Arial" w:cs="Arial"/>
          <w:color w:val="000000"/>
          <w:sz w:val="20"/>
          <w:szCs w:val="20"/>
        </w:rPr>
        <w:t>oiding increased related expenses or operational errors. Substantial risks and uncertainties are associated with the market transition away from the use of LIBOR as an interest rate benchmark used to determine amounts payable under, and the value of, relev</w:t>
      </w:r>
      <w:r>
        <w:rPr>
          <w:rFonts w:ascii="Arial" w:eastAsia="宋体" w:hAnsi="Arial" w:cs="Arial"/>
          <w:color w:val="000000"/>
          <w:sz w:val="20"/>
          <w:szCs w:val="20"/>
        </w:rPr>
        <w:t>ant financial instruments and contracts.</w:t>
      </w:r>
    </w:p>
    <w:p w14:paraId="5F2CDC9C" w14:textId="77777777" w:rsidR="00E836FB" w:rsidRDefault="00994958">
      <w:pPr>
        <w:spacing w:before="90"/>
        <w:textAlignment w:val="top"/>
      </w:pPr>
      <w:r>
        <w:rPr>
          <w:rFonts w:ascii="Arial" w:eastAsia="宋体" w:hAnsi="Arial" w:cs="Arial"/>
          <w:b/>
          <w:bCs/>
          <w:color w:val="000000"/>
          <w:sz w:val="20"/>
          <w:szCs w:val="20"/>
        </w:rPr>
        <w:t>Capital</w:t>
      </w:r>
    </w:p>
    <w:p w14:paraId="5F2CDC9D" w14:textId="77777777" w:rsidR="00E836FB" w:rsidRDefault="00994958">
      <w:pPr>
        <w:spacing w:before="60"/>
        <w:ind w:firstLine="450"/>
        <w:jc w:val="both"/>
        <w:textAlignment w:val="top"/>
      </w:pPr>
      <w:r>
        <w:rPr>
          <w:rFonts w:ascii="Arial" w:eastAsia="宋体" w:hAnsi="Arial" w:cs="Arial"/>
          <w:color w:val="000000"/>
          <w:sz w:val="20"/>
          <w:szCs w:val="20"/>
        </w:rPr>
        <w:t>Managing our capital involves evaluating whether our actual and projected levels of capital are commensurate with our risk profile, are in compliance with all applicable regulatory requirements, and are suff</w:t>
      </w:r>
      <w:r>
        <w:rPr>
          <w:rFonts w:ascii="Arial" w:eastAsia="宋体" w:hAnsi="Arial" w:cs="Arial"/>
          <w:color w:val="000000"/>
          <w:sz w:val="20"/>
          <w:szCs w:val="20"/>
        </w:rPr>
        <w:t>icient to provide us with the financial flexibility to undertake future strategic business initiatives. We assess capital adequacy based on relevant regulatory capital requirements, as well as our own internal capital goals, targets and other relevant metr</w:t>
      </w:r>
      <w:r>
        <w:rPr>
          <w:rFonts w:ascii="Arial" w:eastAsia="宋体" w:hAnsi="Arial" w:cs="Arial"/>
          <w:color w:val="000000"/>
          <w:sz w:val="20"/>
          <w:szCs w:val="20"/>
        </w:rPr>
        <w:t>ics.</w:t>
      </w:r>
    </w:p>
    <w:p w14:paraId="5F2CDC9E" w14:textId="77777777" w:rsidR="00E836FB" w:rsidRDefault="00994958">
      <w:pPr>
        <w:spacing w:before="60"/>
        <w:jc w:val="both"/>
        <w:textAlignment w:val="top"/>
      </w:pPr>
      <w:r>
        <w:rPr>
          <w:rFonts w:ascii="Arial" w:eastAsia="宋体" w:hAnsi="Arial" w:cs="Arial"/>
          <w:b/>
          <w:bCs/>
          <w:i/>
          <w:iCs/>
          <w:color w:val="000000"/>
          <w:sz w:val="20"/>
          <w:szCs w:val="20"/>
        </w:rPr>
        <w:t>Framework</w:t>
      </w:r>
    </w:p>
    <w:p w14:paraId="5F2CDC9F" w14:textId="77777777" w:rsidR="00E836FB" w:rsidRDefault="00994958">
      <w:pPr>
        <w:spacing w:before="60"/>
        <w:ind w:firstLine="450"/>
        <w:jc w:val="both"/>
        <w:textAlignment w:val="top"/>
      </w:pPr>
      <w:r>
        <w:rPr>
          <w:rFonts w:ascii="Arial" w:eastAsia="宋体" w:hAnsi="Arial" w:cs="Arial"/>
          <w:color w:val="000000"/>
          <w:sz w:val="20"/>
          <w:szCs w:val="20"/>
        </w:rPr>
        <w:t xml:space="preserve">Our objective with respect to management of our capital is to maintain a strong capital base in order to provide financial flexibility for our business needs, including funding corporate growth and supporting clients’ cash management needs, </w:t>
      </w:r>
      <w:r>
        <w:rPr>
          <w:rFonts w:ascii="Arial" w:eastAsia="宋体" w:hAnsi="Arial" w:cs="Arial"/>
          <w:color w:val="000000"/>
          <w:sz w:val="20"/>
          <w:szCs w:val="20"/>
        </w:rPr>
        <w:t xml:space="preserve">and to provide protection against loss to depositors and creditors. We strive to maintain an appropriate level of capital, commensurate with our risk profile, on which an attractive return to shareholders is expected to be realized over both the short and </w:t>
      </w:r>
      <w:r>
        <w:rPr>
          <w:rFonts w:ascii="Arial" w:eastAsia="宋体" w:hAnsi="Arial" w:cs="Arial"/>
          <w:color w:val="000000"/>
          <w:sz w:val="20"/>
          <w:szCs w:val="20"/>
        </w:rPr>
        <w:t>long-term, while protecting our obligations to depositors and creditors and complying with regulatory capital requirements.</w:t>
      </w:r>
    </w:p>
    <w:p w14:paraId="5F2CDCA0" w14:textId="77777777" w:rsidR="00E836FB" w:rsidRDefault="00994958">
      <w:pPr>
        <w:spacing w:before="60"/>
        <w:ind w:firstLine="450"/>
        <w:jc w:val="both"/>
        <w:textAlignment w:val="top"/>
      </w:pPr>
      <w:r>
        <w:rPr>
          <w:rFonts w:ascii="Arial" w:eastAsia="宋体" w:hAnsi="Arial" w:cs="Arial"/>
          <w:color w:val="000000"/>
          <w:sz w:val="20"/>
          <w:szCs w:val="20"/>
        </w:rPr>
        <w:t xml:space="preserve">Our capital management focuses on our risk exposures, the regulatory requirements applicable to us with respect to multiple capital </w:t>
      </w:r>
      <w:r>
        <w:rPr>
          <w:rFonts w:ascii="Arial" w:eastAsia="宋体" w:hAnsi="Arial" w:cs="Arial"/>
          <w:color w:val="000000"/>
          <w:sz w:val="20"/>
          <w:szCs w:val="20"/>
        </w:rPr>
        <w:t>measures, the evaluations and resulting credit ratings of the major independent rating agencies, our return on capital at both the consolidated and line-of-business level and our capital position relative to our peers.</w:t>
      </w:r>
    </w:p>
    <w:p w14:paraId="5F2CDCA1" w14:textId="77777777" w:rsidR="00E836FB" w:rsidRDefault="00994958">
      <w:pPr>
        <w:spacing w:before="60"/>
        <w:ind w:firstLine="450"/>
        <w:jc w:val="both"/>
        <w:textAlignment w:val="top"/>
      </w:pPr>
      <w:r>
        <w:rPr>
          <w:rFonts w:ascii="Arial" w:eastAsia="宋体" w:hAnsi="Arial" w:cs="Arial"/>
          <w:color w:val="000000"/>
          <w:sz w:val="20"/>
          <w:szCs w:val="20"/>
        </w:rPr>
        <w:t>Assessment of our overall capital ade</w:t>
      </w:r>
      <w:r>
        <w:rPr>
          <w:rFonts w:ascii="Arial" w:eastAsia="宋体" w:hAnsi="Arial" w:cs="Arial"/>
          <w:color w:val="000000"/>
          <w:sz w:val="20"/>
          <w:szCs w:val="20"/>
        </w:rPr>
        <w:t>quacy includes the comparison of capital sources with capital uses, as well as the consideration of the quality and quantity of the various components of capital. The assessment seeks to determine the optimal level of capital and composition of capital ins</w:t>
      </w:r>
      <w:r>
        <w:rPr>
          <w:rFonts w:ascii="Arial" w:eastAsia="宋体" w:hAnsi="Arial" w:cs="Arial"/>
          <w:color w:val="000000"/>
          <w:sz w:val="20"/>
          <w:szCs w:val="20"/>
        </w:rPr>
        <w:t>truments to satisfy all constituents of capital, with the lowest overall cost to shareholders. Other factors considered in our assessment of capital adequacy are strategic and contingency planning, stress testing and planned capital actions.</w:t>
      </w:r>
    </w:p>
    <w:p w14:paraId="5F2CDCA2" w14:textId="77777777" w:rsidR="00E836FB" w:rsidRDefault="00994958">
      <w:pPr>
        <w:spacing w:before="60"/>
        <w:jc w:val="both"/>
        <w:textAlignment w:val="top"/>
      </w:pPr>
      <w:r>
        <w:rPr>
          <w:rFonts w:ascii="Arial" w:eastAsia="宋体" w:hAnsi="Arial" w:cs="Arial"/>
          <w:b/>
          <w:bCs/>
          <w:i/>
          <w:iCs/>
          <w:color w:val="000000"/>
          <w:sz w:val="20"/>
          <w:szCs w:val="20"/>
        </w:rPr>
        <w:t>Capital Adequa</w:t>
      </w:r>
      <w:r>
        <w:rPr>
          <w:rFonts w:ascii="Arial" w:eastAsia="宋体" w:hAnsi="Arial" w:cs="Arial"/>
          <w:b/>
          <w:bCs/>
          <w:i/>
          <w:iCs/>
          <w:color w:val="000000"/>
          <w:sz w:val="20"/>
          <w:szCs w:val="20"/>
        </w:rPr>
        <w:t>cy Process (CAP)</w:t>
      </w:r>
    </w:p>
    <w:p w14:paraId="5F2CDCA3" w14:textId="77777777" w:rsidR="00E836FB" w:rsidRDefault="00994958">
      <w:pPr>
        <w:spacing w:before="60"/>
        <w:ind w:firstLine="450"/>
        <w:jc w:val="both"/>
        <w:textAlignment w:val="top"/>
      </w:pPr>
      <w:r>
        <w:rPr>
          <w:rFonts w:ascii="Arial" w:eastAsia="宋体" w:hAnsi="Arial" w:cs="Arial"/>
          <w:color w:val="000000"/>
          <w:sz w:val="20"/>
          <w:szCs w:val="20"/>
        </w:rPr>
        <w:t>Our primary federal banking regulator is the Federal Reserve. Both we and State Street Bank are subject to the minimum regulatory capital requirements established by the Federal Reserve and defined in the Federal Deposit Insurance Corporat</w:t>
      </w:r>
      <w:r>
        <w:rPr>
          <w:rFonts w:ascii="Arial" w:eastAsia="宋体" w:hAnsi="Arial" w:cs="Arial"/>
          <w:color w:val="000000"/>
          <w:sz w:val="20"/>
          <w:szCs w:val="20"/>
        </w:rPr>
        <w:t>ion Improvement Act. State Street Bank must exceed the regulatory capital thresholds for “well capitalized” in order for our Parent Company to maintain its status as a financial holding company. Accordingly, one of our primary objectives with respect to ca</w:t>
      </w:r>
      <w:r>
        <w:rPr>
          <w:rFonts w:ascii="Arial" w:eastAsia="宋体" w:hAnsi="Arial" w:cs="Arial"/>
          <w:color w:val="000000"/>
          <w:sz w:val="20"/>
          <w:szCs w:val="20"/>
        </w:rPr>
        <w:t>pital management is to exceed all applicable minimum regulatory capital requirements and for State Street Bank to be “well capitalized” under the PCA guidelines established by the FDIC. Our capital management activities are conducted as part of our corpora</w:t>
      </w:r>
      <w:r>
        <w:rPr>
          <w:rFonts w:ascii="Arial" w:eastAsia="宋体" w:hAnsi="Arial" w:cs="Arial"/>
          <w:color w:val="000000"/>
          <w:sz w:val="20"/>
          <w:szCs w:val="20"/>
        </w:rPr>
        <w:t>te-wide CAP and associated Capital Policy and Guidelines.</w:t>
      </w:r>
    </w:p>
    <w:p w14:paraId="5F2CDCA4" w14:textId="77777777" w:rsidR="00E836FB" w:rsidRDefault="00994958">
      <w:pPr>
        <w:spacing w:before="60"/>
        <w:ind w:firstLine="450"/>
        <w:jc w:val="both"/>
        <w:textAlignment w:val="top"/>
      </w:pPr>
      <w:r>
        <w:rPr>
          <w:rFonts w:ascii="Arial" w:eastAsia="宋体" w:hAnsi="Arial" w:cs="Arial"/>
          <w:color w:val="000000"/>
          <w:sz w:val="20"/>
          <w:szCs w:val="20"/>
        </w:rPr>
        <w:t>We consider capital adequacy to be a key element of our financial well-being, which affects our ability to attract and maintain client relationships; operate effectively in the global capital market</w:t>
      </w:r>
      <w:r>
        <w:rPr>
          <w:rFonts w:ascii="Arial" w:eastAsia="宋体" w:hAnsi="Arial" w:cs="Arial"/>
          <w:color w:val="000000"/>
          <w:sz w:val="20"/>
          <w:szCs w:val="20"/>
        </w:rPr>
        <w:t>s; and satisfy regulatory, security holders and shareholder needs. Capital is one of several elements that affect our credit ratings and the ratings of our principal subsidiaries.</w:t>
      </w:r>
    </w:p>
    <w:p w14:paraId="5F2CDCA5" w14:textId="77777777" w:rsidR="00E836FB" w:rsidRDefault="00994958">
      <w:pPr>
        <w:spacing w:before="60"/>
        <w:ind w:firstLine="450"/>
        <w:jc w:val="both"/>
        <w:textAlignment w:val="top"/>
      </w:pPr>
      <w:r>
        <w:rPr>
          <w:rFonts w:ascii="Arial" w:eastAsia="宋体" w:hAnsi="Arial" w:cs="Arial"/>
          <w:color w:val="000000"/>
          <w:sz w:val="20"/>
          <w:szCs w:val="20"/>
        </w:rPr>
        <w:t>In conformity with our Capital Policy and Guidelines, we strive to achieve a</w:t>
      </w:r>
      <w:r>
        <w:rPr>
          <w:rFonts w:ascii="Arial" w:eastAsia="宋体" w:hAnsi="Arial" w:cs="Arial"/>
          <w:color w:val="000000"/>
          <w:sz w:val="20"/>
          <w:szCs w:val="20"/>
        </w:rPr>
        <w:t>nd maintain specific internal capital levels, not just at a point in time, but over time and during periods of stress, to account for changes in our strategic direction, evolving economic conditions, and financial and market volatility. We have developed a</w:t>
      </w:r>
      <w:r>
        <w:rPr>
          <w:rFonts w:ascii="Arial" w:eastAsia="宋体" w:hAnsi="Arial" w:cs="Arial"/>
          <w:color w:val="000000"/>
          <w:sz w:val="20"/>
          <w:szCs w:val="20"/>
        </w:rPr>
        <w:t>nd implemented a corporate-wide CAP to assess our overall capital in relation to our risk profile and to provide a comprehensive strategy for maintaining appropriate capital levels. The CAP considers material risks under multiple scenarios, with an emphasi</w:t>
      </w:r>
      <w:r>
        <w:rPr>
          <w:rFonts w:ascii="Arial" w:eastAsia="宋体" w:hAnsi="Arial" w:cs="Arial"/>
          <w:color w:val="000000"/>
          <w:sz w:val="20"/>
          <w:szCs w:val="20"/>
        </w:rPr>
        <w:t xml:space="preserve">s on stress scenarios, and encompasses existing processes and systems used to measure our capital adequacy. </w:t>
      </w:r>
    </w:p>
    <w:p w14:paraId="5F2CDCA6" w14:textId="77777777" w:rsidR="00E836FB" w:rsidRDefault="00994958">
      <w:pPr>
        <w:spacing w:before="60"/>
        <w:jc w:val="both"/>
        <w:textAlignment w:val="top"/>
      </w:pPr>
      <w:r>
        <w:rPr>
          <w:rFonts w:ascii="Arial" w:eastAsia="宋体" w:hAnsi="Arial" w:cs="Arial"/>
          <w:b/>
          <w:bCs/>
          <w:i/>
          <w:iCs/>
          <w:color w:val="000000"/>
          <w:sz w:val="20"/>
          <w:szCs w:val="20"/>
        </w:rPr>
        <w:t>Capital Contingency Planning</w:t>
      </w:r>
    </w:p>
    <w:p w14:paraId="5F2CDCA7" w14:textId="77777777" w:rsidR="00E836FB" w:rsidRDefault="00994958">
      <w:pPr>
        <w:spacing w:before="60"/>
        <w:ind w:firstLine="450"/>
        <w:jc w:val="both"/>
        <w:textAlignment w:val="top"/>
      </w:pPr>
      <w:r>
        <w:rPr>
          <w:rFonts w:ascii="Arial" w:eastAsia="宋体" w:hAnsi="Arial" w:cs="Arial"/>
          <w:color w:val="000000"/>
          <w:sz w:val="20"/>
          <w:szCs w:val="20"/>
        </w:rPr>
        <w:t>Contingency planning is an integral component of capital management. The objective of contingency planning is to monit</w:t>
      </w:r>
      <w:r>
        <w:rPr>
          <w:rFonts w:ascii="Arial" w:eastAsia="宋体" w:hAnsi="Arial" w:cs="Arial"/>
          <w:color w:val="000000"/>
          <w:sz w:val="20"/>
          <w:szCs w:val="20"/>
        </w:rPr>
        <w:t>or current and forecast levels of select capital, liquidity and other measures that serve as early indicators of a potentially adverse capital or liquidity adequacy situation. These measures are one of the inputs used to set our internal capital adequacy l</w:t>
      </w:r>
      <w:r>
        <w:rPr>
          <w:rFonts w:ascii="Arial" w:eastAsia="宋体" w:hAnsi="Arial" w:cs="Arial"/>
          <w:color w:val="000000"/>
          <w:sz w:val="20"/>
          <w:szCs w:val="20"/>
        </w:rPr>
        <w:t>evel. We review these measures annually for appropriateness and relevance in relation to our financial budget and capital plan. In addition, we maintain an inventory of capital contingency actions designed to conserve or generate capital to support the uni</w:t>
      </w:r>
      <w:r>
        <w:rPr>
          <w:rFonts w:ascii="Arial" w:eastAsia="宋体" w:hAnsi="Arial" w:cs="Arial"/>
          <w:color w:val="000000"/>
          <w:sz w:val="20"/>
          <w:szCs w:val="20"/>
        </w:rPr>
        <w:t>que risks in our business model, our client and investor demands and regulatory requirements.</w:t>
      </w:r>
    </w:p>
    <w:p w14:paraId="5F2CDCA8" w14:textId="77777777" w:rsidR="00E836FB" w:rsidRDefault="00994958">
      <w:pPr>
        <w:ind w:firstLine="450"/>
        <w:jc w:val="right"/>
      </w:pPr>
      <w:r>
        <w:rPr>
          <w:rFonts w:ascii="Arial" w:eastAsia="宋体" w:hAnsi="Arial" w:cs="Arial"/>
          <w:color w:val="000000"/>
          <w:sz w:val="18"/>
          <w:szCs w:val="18"/>
        </w:rPr>
        <w:t>State Street Corporation | 113</w:t>
      </w:r>
    </w:p>
    <w:p w14:paraId="5F2CDCA9" w14:textId="77777777" w:rsidR="00E836FB" w:rsidRDefault="00E836FB">
      <w:pPr>
        <w:ind w:firstLine="450"/>
        <w:jc w:val="center"/>
      </w:pPr>
    </w:p>
    <w:p w14:paraId="5F2CDCAA" w14:textId="77777777" w:rsidR="00E836FB" w:rsidRDefault="00994958">
      <w:r>
        <w:pict w14:anchorId="5F2D6DF6">
          <v:rect id="_x0000_i1137" style="width:415.3pt;height:1.5pt" o:hralign="center" o:hrstd="t" o:hr="t" fillcolor="#a0a0a0" stroked="f"/>
        </w:pict>
      </w:r>
    </w:p>
    <w:p w14:paraId="5F2CDCAB"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CAC" w14:textId="77777777" w:rsidR="00E836FB" w:rsidRDefault="00994958">
      <w:pPr>
        <w:ind w:firstLine="450"/>
        <w:jc w:val="center"/>
      </w:pPr>
      <w:r>
        <w:rPr>
          <w:rFonts w:ascii="Arial" w:eastAsia="宋体" w:hAnsi="Arial" w:cs="Arial"/>
          <w:b/>
          <w:bCs/>
          <w:color w:val="000000"/>
          <w:sz w:val="20"/>
          <w:szCs w:val="20"/>
        </w:rPr>
        <w:t>AND RESULTS OF OPERATIONS</w:t>
      </w:r>
    </w:p>
    <w:p w14:paraId="5F2CDCAD" w14:textId="77777777" w:rsidR="00E836FB" w:rsidRDefault="00994958">
      <w:pPr>
        <w:spacing w:before="60"/>
        <w:jc w:val="both"/>
        <w:textAlignment w:val="top"/>
      </w:pPr>
      <w:r>
        <w:rPr>
          <w:rFonts w:ascii="Arial" w:eastAsia="宋体" w:hAnsi="Arial" w:cs="Arial"/>
          <w:b/>
          <w:bCs/>
          <w:i/>
          <w:iCs/>
          <w:color w:val="000000"/>
          <w:sz w:val="20"/>
          <w:szCs w:val="20"/>
        </w:rPr>
        <w:t>Stress Testing</w:t>
      </w:r>
    </w:p>
    <w:p w14:paraId="5F2CDCAE" w14:textId="77777777" w:rsidR="00E836FB" w:rsidRDefault="00994958">
      <w:pPr>
        <w:spacing w:before="60"/>
        <w:ind w:firstLine="450"/>
        <w:jc w:val="both"/>
        <w:textAlignment w:val="top"/>
      </w:pPr>
      <w:r>
        <w:rPr>
          <w:rFonts w:ascii="Arial" w:eastAsia="宋体" w:hAnsi="Arial" w:cs="Arial"/>
          <w:color w:val="000000"/>
          <w:sz w:val="20"/>
          <w:szCs w:val="20"/>
        </w:rPr>
        <w:t>We administer a robust business-wide stress-testing program that executes stress tests each year to assess the institution’s capital adequacy and/or future performance under adverse conditions. Our stress testing program is structured around what we determ</w:t>
      </w:r>
      <w:r>
        <w:rPr>
          <w:rFonts w:ascii="Arial" w:eastAsia="宋体" w:hAnsi="Arial" w:cs="Arial"/>
          <w:color w:val="000000"/>
          <w:sz w:val="20"/>
          <w:szCs w:val="20"/>
        </w:rPr>
        <w:t>ine to be the key risks inherent in our business, as assessed through a recurring material risk identification process. The material risk identification process represents a bottom-up approach to identifying the institution’s most significant risk exposure</w:t>
      </w:r>
      <w:r>
        <w:rPr>
          <w:rFonts w:ascii="Arial" w:eastAsia="宋体" w:hAnsi="Arial" w:cs="Arial"/>
          <w:color w:val="000000"/>
          <w:sz w:val="20"/>
          <w:szCs w:val="20"/>
        </w:rPr>
        <w:t>s across all on- and off-balance sheet risk-taking activities, including credit, market, liquidity, interest rate, operational, fiduciary, business, reputation and regulatory risks. These key risks serve as an organizing principle for much of our risk mana</w:t>
      </w:r>
      <w:r>
        <w:rPr>
          <w:rFonts w:ascii="Arial" w:eastAsia="宋体" w:hAnsi="Arial" w:cs="Arial"/>
          <w:color w:val="000000"/>
          <w:sz w:val="20"/>
          <w:szCs w:val="20"/>
        </w:rPr>
        <w:t xml:space="preserve">gement framework, as well as reporting, including the “risk dashboard” provided to the Board. </w:t>
      </w:r>
    </w:p>
    <w:p w14:paraId="5F2CDCAF" w14:textId="77777777" w:rsidR="00E836FB" w:rsidRDefault="00994958">
      <w:pPr>
        <w:spacing w:before="60"/>
        <w:ind w:firstLine="450"/>
        <w:jc w:val="both"/>
        <w:textAlignment w:val="top"/>
      </w:pPr>
      <w:r>
        <w:rPr>
          <w:rFonts w:ascii="Arial" w:eastAsia="宋体" w:hAnsi="Arial" w:cs="Arial"/>
          <w:color w:val="000000"/>
          <w:sz w:val="20"/>
          <w:szCs w:val="20"/>
        </w:rPr>
        <w:t>In connection with the focus on our key risks, each stress test incorporates idiosyncratic loss events tailored to our unique risk profile and business activitie</w:t>
      </w:r>
      <w:r>
        <w:rPr>
          <w:rFonts w:ascii="Arial" w:eastAsia="宋体" w:hAnsi="Arial" w:cs="Arial"/>
          <w:color w:val="000000"/>
          <w:sz w:val="20"/>
          <w:szCs w:val="20"/>
        </w:rPr>
        <w:t>s. Due to the nature of our business model and our consolidated statement of condition, our risks differ from those of a traditional commercial bank. Over the past few years, stress scenarios have included a deep recession in the U.S., including impacts fr</w:t>
      </w:r>
      <w:r>
        <w:rPr>
          <w:rFonts w:ascii="Arial" w:eastAsia="宋体" w:hAnsi="Arial" w:cs="Arial"/>
          <w:color w:val="000000"/>
          <w:sz w:val="20"/>
          <w:szCs w:val="20"/>
        </w:rPr>
        <w:t>om the COVID-19 pandemic, a break-up of the Eurozone, a severe recession in China and an oil shock precipitated by turmoil in the Middle East/North Africa region.</w:t>
      </w:r>
    </w:p>
    <w:p w14:paraId="5F2CDCB0" w14:textId="77777777" w:rsidR="00E836FB" w:rsidRDefault="00994958">
      <w:pPr>
        <w:spacing w:before="60"/>
        <w:ind w:firstLine="450"/>
        <w:jc w:val="both"/>
        <w:textAlignment w:val="top"/>
      </w:pPr>
      <w:r>
        <w:rPr>
          <w:rFonts w:ascii="Arial" w:eastAsia="宋体" w:hAnsi="Arial" w:cs="Arial"/>
          <w:color w:val="000000"/>
          <w:sz w:val="20"/>
          <w:szCs w:val="20"/>
        </w:rPr>
        <w:t>The Federal Reserve requires bank holding companies with total consolidated assets of $50 bil</w:t>
      </w:r>
      <w:r>
        <w:rPr>
          <w:rFonts w:ascii="Arial" w:eastAsia="宋体" w:hAnsi="Arial" w:cs="Arial"/>
          <w:color w:val="000000"/>
          <w:sz w:val="20"/>
          <w:szCs w:val="20"/>
        </w:rPr>
        <w:t>lion or more, which includes us, to submit a capital plan on an annual basis. The Federal Reserve uses its annual CCAR process, which incorporates hypothetical financial and economic stress scenarios, to review those capital plans and assess whether bankin</w:t>
      </w:r>
      <w:r>
        <w:rPr>
          <w:rFonts w:ascii="Arial" w:eastAsia="宋体" w:hAnsi="Arial" w:cs="Arial"/>
          <w:color w:val="000000"/>
          <w:sz w:val="20"/>
          <w:szCs w:val="20"/>
        </w:rPr>
        <w:t>g organizations have capital planning processes that account for idiosyncratic risks and provide for sufficient capital to continue operations throughout times of economic and financial stress. As part of its CCAR process, the Federal Reserve assesses each</w:t>
      </w:r>
      <w:r>
        <w:rPr>
          <w:rFonts w:ascii="Arial" w:eastAsia="宋体" w:hAnsi="Arial" w:cs="Arial"/>
          <w:color w:val="000000"/>
          <w:sz w:val="20"/>
          <w:szCs w:val="20"/>
        </w:rPr>
        <w:t xml:space="preserve"> organization’s capital adequacy, capital planning process and plans to distribute capital, such as dividend payments or stock purchase programs. Management and Board risk committees review, challenge and approve CCAR results and assumptions before submiss</w:t>
      </w:r>
      <w:r>
        <w:rPr>
          <w:rFonts w:ascii="Arial" w:eastAsia="宋体" w:hAnsi="Arial" w:cs="Arial"/>
          <w:color w:val="000000"/>
          <w:sz w:val="20"/>
          <w:szCs w:val="20"/>
        </w:rPr>
        <w:t>ion to the Federal Reserve.</w:t>
      </w:r>
    </w:p>
    <w:p w14:paraId="5F2CDCB1" w14:textId="77777777" w:rsidR="00E836FB" w:rsidRDefault="00994958">
      <w:pPr>
        <w:spacing w:before="60"/>
        <w:ind w:firstLine="450"/>
        <w:jc w:val="both"/>
        <w:textAlignment w:val="top"/>
      </w:pPr>
      <w:r>
        <w:rPr>
          <w:rFonts w:ascii="Arial" w:eastAsia="宋体" w:hAnsi="Arial" w:cs="Arial"/>
          <w:color w:val="000000"/>
          <w:sz w:val="20"/>
          <w:szCs w:val="20"/>
        </w:rPr>
        <w:t xml:space="preserve">Through the evaluation of our capital adequacy and/or future performance under adverse conditions, the stress testing process provides us important insights for capital planning, risk management and strategic decision-making. </w:t>
      </w:r>
    </w:p>
    <w:p w14:paraId="5F2CDCB2" w14:textId="77777777" w:rsidR="00E836FB" w:rsidRDefault="00994958">
      <w:pPr>
        <w:spacing w:before="60"/>
        <w:jc w:val="both"/>
        <w:textAlignment w:val="top"/>
      </w:pPr>
      <w:r>
        <w:rPr>
          <w:rFonts w:ascii="Arial" w:eastAsia="宋体" w:hAnsi="Arial" w:cs="Arial"/>
          <w:b/>
          <w:bCs/>
          <w:i/>
          <w:iCs/>
          <w:color w:val="000000"/>
          <w:sz w:val="20"/>
          <w:szCs w:val="20"/>
        </w:rPr>
        <w:t>G</w:t>
      </w:r>
      <w:r>
        <w:rPr>
          <w:rFonts w:ascii="Arial" w:eastAsia="宋体" w:hAnsi="Arial" w:cs="Arial"/>
          <w:b/>
          <w:bCs/>
          <w:i/>
          <w:iCs/>
          <w:color w:val="000000"/>
          <w:sz w:val="20"/>
          <w:szCs w:val="20"/>
        </w:rPr>
        <w:t>overnance</w:t>
      </w:r>
    </w:p>
    <w:p w14:paraId="5F2CDCB3" w14:textId="77777777" w:rsidR="00E836FB" w:rsidRDefault="00994958">
      <w:pPr>
        <w:spacing w:before="60"/>
        <w:ind w:firstLine="450"/>
        <w:jc w:val="both"/>
        <w:textAlignment w:val="top"/>
      </w:pPr>
      <w:r>
        <w:rPr>
          <w:rFonts w:ascii="Arial" w:eastAsia="宋体" w:hAnsi="Arial" w:cs="Arial"/>
          <w:color w:val="000000"/>
          <w:sz w:val="20"/>
          <w:szCs w:val="20"/>
        </w:rPr>
        <w:t>In order to support integrated decision making, we have identified three management elements to aid in the compatibility and coordination of our CAP:</w:t>
      </w:r>
    </w:p>
    <w:p w14:paraId="5F2CDCB4" w14:textId="77777777" w:rsidR="00E836FB" w:rsidRDefault="00994958">
      <w:pPr>
        <w:spacing w:before="60"/>
        <w:ind w:hanging="360"/>
        <w:jc w:val="both"/>
        <w:textAlignment w:val="top"/>
      </w:pPr>
      <w:r>
        <w:rPr>
          <w:rFonts w:ascii="Arial" w:eastAsia="宋体" w:hAnsi="Arial" w:cs="Arial"/>
          <w:color w:val="000000"/>
          <w:sz w:val="20"/>
          <w:szCs w:val="20"/>
        </w:rPr>
        <w:t>•Risk Management - identification, measurement, monitoring and forecasting of different types of</w:t>
      </w:r>
      <w:r>
        <w:rPr>
          <w:rFonts w:ascii="Arial" w:eastAsia="宋体" w:hAnsi="Arial" w:cs="Arial"/>
          <w:color w:val="000000"/>
          <w:sz w:val="20"/>
          <w:szCs w:val="20"/>
        </w:rPr>
        <w:t xml:space="preserve"> risk and their combined impact on capital adequacy;</w:t>
      </w:r>
    </w:p>
    <w:p w14:paraId="5F2CDCB5" w14:textId="77777777" w:rsidR="00E836FB" w:rsidRDefault="00994958">
      <w:pPr>
        <w:spacing w:before="60"/>
        <w:ind w:hanging="360"/>
        <w:jc w:val="both"/>
        <w:textAlignment w:val="top"/>
      </w:pPr>
      <w:r>
        <w:rPr>
          <w:rFonts w:ascii="Arial" w:eastAsia="宋体" w:hAnsi="Arial" w:cs="Arial"/>
          <w:color w:val="000000"/>
          <w:sz w:val="20"/>
          <w:szCs w:val="20"/>
        </w:rPr>
        <w:t>•Capital management - determination of optimal capital levels; and</w:t>
      </w:r>
    </w:p>
    <w:p w14:paraId="5F2CDCB6" w14:textId="77777777" w:rsidR="00E836FB" w:rsidRDefault="00994958">
      <w:pPr>
        <w:spacing w:before="60"/>
        <w:ind w:hanging="360"/>
        <w:jc w:val="both"/>
        <w:textAlignment w:val="top"/>
      </w:pPr>
      <w:r>
        <w:rPr>
          <w:rFonts w:ascii="Arial" w:eastAsia="宋体" w:hAnsi="Arial" w:cs="Arial"/>
          <w:color w:val="000000"/>
          <w:sz w:val="20"/>
          <w:szCs w:val="20"/>
        </w:rPr>
        <w:t>•Business Management - strategic planning, budgeting, forecasting and performance management.</w:t>
      </w:r>
    </w:p>
    <w:p w14:paraId="5F2CDCB7" w14:textId="77777777" w:rsidR="00E836FB" w:rsidRDefault="00994958">
      <w:pPr>
        <w:spacing w:before="60"/>
        <w:ind w:firstLine="450"/>
        <w:jc w:val="both"/>
        <w:textAlignment w:val="top"/>
      </w:pPr>
      <w:r>
        <w:rPr>
          <w:rFonts w:ascii="Arial" w:eastAsia="宋体" w:hAnsi="Arial" w:cs="Arial"/>
          <w:color w:val="000000"/>
          <w:sz w:val="20"/>
          <w:szCs w:val="20"/>
        </w:rPr>
        <w:t>We have a hierarchical structure supportin</w:t>
      </w:r>
      <w:r>
        <w:rPr>
          <w:rFonts w:ascii="Arial" w:eastAsia="宋体" w:hAnsi="Arial" w:cs="Arial"/>
          <w:color w:val="000000"/>
          <w:sz w:val="20"/>
          <w:szCs w:val="20"/>
        </w:rPr>
        <w:t>g appropriate committee review of relevant risk and capital information. The ongoing responsibility for capital management rests with our Treasurer. The Capital Management group within Global Treasury is responsible for the Capital Policy and Guidelines, d</w:t>
      </w:r>
      <w:r>
        <w:rPr>
          <w:rFonts w:ascii="Arial" w:eastAsia="宋体" w:hAnsi="Arial" w:cs="Arial"/>
          <w:color w:val="000000"/>
          <w:sz w:val="20"/>
          <w:szCs w:val="20"/>
        </w:rPr>
        <w:t>evelopment of the Capital Plan, the oversight of global capital management and optimization.</w:t>
      </w:r>
    </w:p>
    <w:p w14:paraId="5F2CDCB8" w14:textId="77777777" w:rsidR="00E836FB" w:rsidRDefault="00994958">
      <w:pPr>
        <w:spacing w:before="60"/>
        <w:ind w:firstLine="450"/>
        <w:jc w:val="both"/>
        <w:textAlignment w:val="top"/>
      </w:pPr>
      <w:r>
        <w:rPr>
          <w:rFonts w:ascii="Arial" w:eastAsia="宋体" w:hAnsi="Arial" w:cs="Arial"/>
          <w:color w:val="000000"/>
          <w:sz w:val="20"/>
          <w:szCs w:val="20"/>
        </w:rPr>
        <w:t>The MRAC provides oversight of our capital management, our capital adequacy, our internal targets and the expectations of the major independent credit rating agenc</w:t>
      </w:r>
      <w:r>
        <w:rPr>
          <w:rFonts w:ascii="Arial" w:eastAsia="宋体" w:hAnsi="Arial" w:cs="Arial"/>
          <w:color w:val="000000"/>
          <w:sz w:val="20"/>
          <w:szCs w:val="20"/>
        </w:rPr>
        <w:t>ies. In addition, MRAC approves our balance sheet strategy and related activities. The Board’s RC assists the Board in fulfilling its oversight responsibilities related to the assessment and management of risk and capital. Our Capital Policy is reviewed an</w:t>
      </w:r>
      <w:r>
        <w:rPr>
          <w:rFonts w:ascii="Arial" w:eastAsia="宋体" w:hAnsi="Arial" w:cs="Arial"/>
          <w:color w:val="000000"/>
          <w:sz w:val="20"/>
          <w:szCs w:val="20"/>
        </w:rPr>
        <w:t>d approved annually by the Board's RC.</w:t>
      </w:r>
    </w:p>
    <w:p w14:paraId="5F2CDCB9" w14:textId="77777777" w:rsidR="00E836FB" w:rsidRDefault="00994958">
      <w:pPr>
        <w:spacing w:before="60" w:after="60"/>
        <w:jc w:val="both"/>
        <w:textAlignment w:val="top"/>
      </w:pPr>
      <w:r>
        <w:rPr>
          <w:rFonts w:ascii="Arial" w:eastAsia="宋体" w:hAnsi="Arial" w:cs="Arial"/>
          <w:b/>
          <w:bCs/>
          <w:i/>
          <w:iCs/>
          <w:color w:val="000000"/>
          <w:sz w:val="20"/>
          <w:szCs w:val="20"/>
        </w:rPr>
        <w:t>Global Systemically Important Bank</w:t>
      </w:r>
    </w:p>
    <w:p w14:paraId="5F2CDCBA" w14:textId="77777777" w:rsidR="00E836FB" w:rsidRDefault="00994958">
      <w:pPr>
        <w:ind w:firstLine="450"/>
        <w:jc w:val="both"/>
        <w:textAlignment w:val="top"/>
      </w:pPr>
      <w:r>
        <w:rPr>
          <w:rFonts w:ascii="Arial" w:eastAsia="宋体" w:hAnsi="Arial" w:cs="Arial"/>
          <w:color w:val="000000"/>
          <w:sz w:val="20"/>
          <w:szCs w:val="20"/>
        </w:rPr>
        <w:t>We have been identified by the Financial Stability Board and the Basel Committee on Banking Supervision as a G-SIB. Our designation as a G-SIB is based on a number of factors, as eva</w:t>
      </w:r>
      <w:r>
        <w:rPr>
          <w:rFonts w:ascii="Arial" w:eastAsia="宋体" w:hAnsi="Arial" w:cs="Arial"/>
          <w:color w:val="000000"/>
          <w:sz w:val="20"/>
          <w:szCs w:val="20"/>
        </w:rPr>
        <w:t>luated by banking regulators, and requires us to maintain an additional capital surcharge above the minimum capital ratios set forth in the Basel III rule.</w:t>
      </w:r>
    </w:p>
    <w:p w14:paraId="5F2CDCBB" w14:textId="77777777" w:rsidR="00E836FB" w:rsidRDefault="00994958">
      <w:pPr>
        <w:ind w:firstLine="450"/>
        <w:jc w:val="both"/>
        <w:textAlignment w:val="top"/>
      </w:pPr>
      <w:r>
        <w:rPr>
          <w:rFonts w:ascii="Arial" w:eastAsia="宋体" w:hAnsi="Arial" w:cs="Arial"/>
          <w:color w:val="000000"/>
          <w:sz w:val="20"/>
          <w:szCs w:val="20"/>
        </w:rPr>
        <w:t>We and our depositary institution subsidiaries are subject to the current Basel III minimum risk-bas</w:t>
      </w:r>
      <w:r>
        <w:rPr>
          <w:rFonts w:ascii="Arial" w:eastAsia="宋体" w:hAnsi="Arial" w:cs="Arial"/>
          <w:color w:val="000000"/>
          <w:sz w:val="20"/>
          <w:szCs w:val="20"/>
        </w:rPr>
        <w:t xml:space="preserve">ed capital and leverage ratio guidelines. </w:t>
      </w:r>
    </w:p>
    <w:p w14:paraId="5F2CDCBC" w14:textId="77777777" w:rsidR="00E836FB" w:rsidRDefault="00994958">
      <w:pPr>
        <w:ind w:firstLine="450"/>
        <w:jc w:val="both"/>
        <w:textAlignment w:val="top"/>
      </w:pPr>
      <w:r>
        <w:rPr>
          <w:rFonts w:ascii="Arial" w:eastAsia="宋体" w:hAnsi="Arial" w:cs="Arial"/>
          <w:color w:val="000000"/>
          <w:sz w:val="20"/>
          <w:szCs w:val="20"/>
        </w:rPr>
        <w:t>Additional information about G-SIBs is provided under "Regulatory Capital Adequacy and Liquidity Standards" in "Supervision and Regulation" in Business in this Form 10-K.</w:t>
      </w:r>
    </w:p>
    <w:p w14:paraId="5F2CDCBD" w14:textId="77777777" w:rsidR="00E836FB" w:rsidRDefault="00994958">
      <w:pPr>
        <w:spacing w:before="60"/>
        <w:jc w:val="both"/>
        <w:textAlignment w:val="top"/>
      </w:pPr>
      <w:r>
        <w:rPr>
          <w:rFonts w:ascii="Arial" w:eastAsia="宋体" w:hAnsi="Arial" w:cs="Arial"/>
          <w:b/>
          <w:bCs/>
          <w:i/>
          <w:iCs/>
          <w:color w:val="000000"/>
          <w:sz w:val="20"/>
          <w:szCs w:val="20"/>
        </w:rPr>
        <w:t>Regulatory Capital</w:t>
      </w:r>
    </w:p>
    <w:p w14:paraId="5F2CDCBE" w14:textId="77777777" w:rsidR="00E836FB" w:rsidRDefault="00994958">
      <w:pPr>
        <w:spacing w:before="60"/>
        <w:ind w:firstLine="450"/>
        <w:jc w:val="both"/>
        <w:textAlignment w:val="top"/>
      </w:pPr>
      <w:r>
        <w:rPr>
          <w:rFonts w:ascii="Arial" w:eastAsia="宋体" w:hAnsi="Arial" w:cs="Arial"/>
          <w:color w:val="000000"/>
          <w:sz w:val="20"/>
          <w:szCs w:val="20"/>
        </w:rPr>
        <w:t>We and State Street Ban</w:t>
      </w:r>
      <w:r>
        <w:rPr>
          <w:rFonts w:ascii="Arial" w:eastAsia="宋体" w:hAnsi="Arial" w:cs="Arial"/>
          <w:color w:val="000000"/>
          <w:sz w:val="20"/>
          <w:szCs w:val="20"/>
        </w:rPr>
        <w:t>k, as advanced approaches banking organizations, are subject to the U.S. Basel III framework. Provisions of the Basel III rule became effective with full implementation on January 1, 2019. We are also subject to the final market risk capital rule issued by</w:t>
      </w:r>
      <w:r>
        <w:rPr>
          <w:rFonts w:ascii="Arial" w:eastAsia="宋体" w:hAnsi="Arial" w:cs="Arial"/>
          <w:color w:val="000000"/>
          <w:sz w:val="20"/>
          <w:szCs w:val="20"/>
        </w:rPr>
        <w:t xml:space="preserve"> U.S. banking regulators effective as of January 2013.</w:t>
      </w:r>
    </w:p>
    <w:p w14:paraId="5F2CDCBF" w14:textId="77777777" w:rsidR="00E836FB" w:rsidRDefault="00994958">
      <w:pPr>
        <w:ind w:firstLine="450"/>
        <w:jc w:val="right"/>
      </w:pPr>
      <w:r>
        <w:rPr>
          <w:rFonts w:ascii="Arial" w:eastAsia="宋体" w:hAnsi="Arial" w:cs="Arial"/>
          <w:color w:val="000000"/>
          <w:sz w:val="18"/>
          <w:szCs w:val="18"/>
        </w:rPr>
        <w:t>State Street Corporation | 114</w:t>
      </w:r>
    </w:p>
    <w:p w14:paraId="5F2CDCC0" w14:textId="77777777" w:rsidR="00E836FB" w:rsidRDefault="00E836FB">
      <w:pPr>
        <w:ind w:firstLine="450"/>
        <w:jc w:val="center"/>
      </w:pPr>
    </w:p>
    <w:p w14:paraId="5F2CDCC1" w14:textId="77777777" w:rsidR="00E836FB" w:rsidRDefault="00994958">
      <w:r>
        <w:pict w14:anchorId="5F2D6DF7">
          <v:rect id="_x0000_i1138" style="width:415.3pt;height:1.5pt" o:hralign="center" o:hrstd="t" o:hr="t" fillcolor="#a0a0a0" stroked="f"/>
        </w:pict>
      </w:r>
    </w:p>
    <w:p w14:paraId="5F2CDCC2"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CC3" w14:textId="77777777" w:rsidR="00E836FB" w:rsidRDefault="00994958">
      <w:pPr>
        <w:ind w:firstLine="450"/>
        <w:jc w:val="center"/>
      </w:pPr>
      <w:r>
        <w:rPr>
          <w:rFonts w:ascii="Arial" w:eastAsia="宋体" w:hAnsi="Arial" w:cs="Arial"/>
          <w:b/>
          <w:bCs/>
          <w:color w:val="000000"/>
          <w:sz w:val="20"/>
          <w:szCs w:val="20"/>
        </w:rPr>
        <w:t>AND RESULTS OF OPERATIONS</w:t>
      </w:r>
    </w:p>
    <w:p w14:paraId="5F2CDCC4" w14:textId="77777777" w:rsidR="00E836FB" w:rsidRDefault="00994958">
      <w:pPr>
        <w:spacing w:before="60"/>
        <w:ind w:firstLine="450"/>
        <w:jc w:val="both"/>
        <w:textAlignment w:val="top"/>
      </w:pPr>
      <w:r>
        <w:rPr>
          <w:rFonts w:ascii="Arial" w:eastAsia="宋体" w:hAnsi="Arial" w:cs="Arial"/>
          <w:color w:val="000000"/>
          <w:sz w:val="20"/>
          <w:szCs w:val="20"/>
        </w:rPr>
        <w:t xml:space="preserve">The Basel III rule provides for two frameworks for monitoring capital </w:t>
      </w:r>
      <w:r>
        <w:rPr>
          <w:rFonts w:ascii="Arial" w:eastAsia="宋体" w:hAnsi="Arial" w:cs="Arial"/>
          <w:color w:val="000000"/>
          <w:sz w:val="20"/>
          <w:szCs w:val="20"/>
        </w:rPr>
        <w:t xml:space="preserve">adequacy: the “standardized” approach and the “advanced” approaches, applicable to advanced approaches banking organizations, like us. The standardized approach prescribes standardized calculations for credit risk RWA, including specified risk weights for </w:t>
      </w:r>
      <w:r>
        <w:rPr>
          <w:rFonts w:ascii="Arial" w:eastAsia="宋体" w:hAnsi="Arial" w:cs="Arial"/>
          <w:color w:val="000000"/>
          <w:sz w:val="20"/>
          <w:szCs w:val="20"/>
        </w:rPr>
        <w:t>certain on- and off-balance sheet exposures.</w:t>
      </w:r>
    </w:p>
    <w:p w14:paraId="5F2CDCC5" w14:textId="77777777" w:rsidR="00E836FB" w:rsidRDefault="00994958">
      <w:pPr>
        <w:spacing w:before="60"/>
        <w:ind w:firstLine="450"/>
        <w:jc w:val="both"/>
        <w:textAlignment w:val="top"/>
      </w:pPr>
      <w:r>
        <w:rPr>
          <w:rFonts w:ascii="Arial" w:eastAsia="宋体" w:hAnsi="Arial" w:cs="Arial"/>
          <w:color w:val="000000"/>
          <w:sz w:val="20"/>
          <w:szCs w:val="20"/>
        </w:rPr>
        <w:t>The advanced approaches consist of the Advanced Internal Ratings-Based Approach used for the calculation of RWA related to credit risk, and the Advanced Measurement Approach used for the calculation of RWA relat</w:t>
      </w:r>
      <w:r>
        <w:rPr>
          <w:rFonts w:ascii="Arial" w:eastAsia="宋体" w:hAnsi="Arial" w:cs="Arial"/>
          <w:color w:val="000000"/>
          <w:sz w:val="20"/>
          <w:szCs w:val="20"/>
        </w:rPr>
        <w:t>ed to operational risk.</w:t>
      </w:r>
    </w:p>
    <w:p w14:paraId="5F2CDCC6" w14:textId="77777777" w:rsidR="00E836FB" w:rsidRDefault="00994958">
      <w:pPr>
        <w:spacing w:before="60"/>
        <w:ind w:firstLine="450"/>
        <w:jc w:val="both"/>
        <w:textAlignment w:val="top"/>
      </w:pPr>
      <w:r>
        <w:rPr>
          <w:rFonts w:ascii="Arial" w:eastAsia="宋体" w:hAnsi="Arial" w:cs="Arial"/>
          <w:color w:val="000000"/>
          <w:sz w:val="20"/>
          <w:szCs w:val="20"/>
        </w:rPr>
        <w:t>The market risk capital rule requires us to use internal models to calculate daily measures of VaR, which reflect general market risk for certain of our trading positions defined by the rule as “covered positions,” as well as stress</w:t>
      </w:r>
      <w:r>
        <w:rPr>
          <w:rFonts w:ascii="Arial" w:eastAsia="宋体" w:hAnsi="Arial" w:cs="Arial"/>
          <w:color w:val="000000"/>
          <w:sz w:val="20"/>
          <w:szCs w:val="20"/>
        </w:rPr>
        <w:t xml:space="preserve">ed-VaR measures to supplement the VaR measures. The rule also requires a public disclosure composed of qualitative and quantitative information about the market risk associated with our trading activities and our related VaR and stressed-VaR measures. The </w:t>
      </w:r>
      <w:r>
        <w:rPr>
          <w:rFonts w:ascii="Arial" w:eastAsia="宋体" w:hAnsi="Arial" w:cs="Arial"/>
          <w:color w:val="000000"/>
          <w:sz w:val="20"/>
          <w:szCs w:val="20"/>
        </w:rPr>
        <w:t>qualitative and quantitative information required by the rule is provided under "Market Risk" included in this Management's Discussion and Analysis.</w:t>
      </w:r>
    </w:p>
    <w:p w14:paraId="5F2CDCC7" w14:textId="77777777" w:rsidR="00E836FB" w:rsidRDefault="00994958">
      <w:pPr>
        <w:spacing w:before="60"/>
        <w:ind w:firstLine="450"/>
        <w:jc w:val="both"/>
        <w:textAlignment w:val="top"/>
      </w:pPr>
      <w:r>
        <w:rPr>
          <w:rFonts w:ascii="Arial" w:eastAsia="宋体" w:hAnsi="Arial" w:cs="Arial"/>
          <w:color w:val="000000"/>
          <w:sz w:val="20"/>
          <w:szCs w:val="20"/>
        </w:rPr>
        <w:t>As required by the Dodd-Frank Act enacted in 2010, and the Stress Capital Buffer (SCB) rule enacted in 2020</w:t>
      </w:r>
      <w:r>
        <w:rPr>
          <w:rFonts w:ascii="Arial" w:eastAsia="宋体" w:hAnsi="Arial" w:cs="Arial"/>
          <w:color w:val="000000"/>
          <w:sz w:val="20"/>
          <w:szCs w:val="20"/>
        </w:rPr>
        <w:t>, we and State Street Bank, as advanced approaches banking organizations, are subject to a "capital floor," also referred to as the Collins Amendment, in the assessment of our regulatory capital adequacy, including the capital conservation buffer (CCB) and</w:t>
      </w:r>
      <w:r>
        <w:rPr>
          <w:rFonts w:ascii="Arial" w:eastAsia="宋体" w:hAnsi="Arial" w:cs="Arial"/>
          <w:color w:val="000000"/>
          <w:sz w:val="20"/>
          <w:szCs w:val="20"/>
        </w:rPr>
        <w:t xml:space="preserve"> the SCB, for the advanced approach and standardized approach, respectively, and a countercyclical capital buffer. The countercyclical buffer is currently set to zero by the U.S. federal banking agencies. In addition, we are </w:t>
      </w:r>
    </w:p>
    <w:p w14:paraId="5F2CDCC8" w14:textId="77777777" w:rsidR="00E836FB" w:rsidRDefault="00994958">
      <w:pPr>
        <w:spacing w:before="60"/>
        <w:jc w:val="both"/>
        <w:textAlignment w:val="top"/>
      </w:pPr>
      <w:r>
        <w:rPr>
          <w:rFonts w:ascii="Arial" w:eastAsia="宋体" w:hAnsi="Arial" w:cs="Arial"/>
          <w:color w:val="000000"/>
          <w:sz w:val="20"/>
          <w:szCs w:val="20"/>
        </w:rPr>
        <w:t xml:space="preserve">subject to a G-SIB surcharge. </w:t>
      </w:r>
      <w:r>
        <w:rPr>
          <w:rFonts w:ascii="Arial" w:eastAsia="宋体" w:hAnsi="Arial" w:cs="Arial"/>
          <w:color w:val="000000"/>
          <w:sz w:val="20"/>
          <w:szCs w:val="20"/>
        </w:rPr>
        <w:t xml:space="preserve">Our risk-based capital ratios for regulatory assessment purposes are the lower of each ratio calculated under the standardized approach and the advanced approaches. </w:t>
      </w:r>
    </w:p>
    <w:p w14:paraId="5F2CDCC9" w14:textId="77777777" w:rsidR="00E836FB" w:rsidRDefault="00994958">
      <w:pPr>
        <w:spacing w:before="40"/>
        <w:ind w:firstLine="450"/>
        <w:jc w:val="both"/>
        <w:textAlignment w:val="top"/>
      </w:pPr>
      <w:r>
        <w:rPr>
          <w:rFonts w:ascii="Arial" w:eastAsia="宋体" w:hAnsi="Arial" w:cs="Arial"/>
          <w:color w:val="000000"/>
          <w:sz w:val="20"/>
          <w:szCs w:val="20"/>
        </w:rPr>
        <w:t xml:space="preserve">The SCB replaced, under the standardized approach, the capital conservation buffer with a </w:t>
      </w:r>
      <w:r>
        <w:rPr>
          <w:rFonts w:ascii="Arial" w:eastAsia="宋体" w:hAnsi="Arial" w:cs="Arial"/>
          <w:color w:val="000000"/>
          <w:sz w:val="20"/>
          <w:szCs w:val="20"/>
        </w:rPr>
        <w:t xml:space="preserve">buffer calculated as the difference between the institution’s starting and lowest projected CET1 ratio under the CCAR severely adverse scenario plus planned common stock dividend payments (as a percentage of RWA) from the fourth through seventh quarter of </w:t>
      </w:r>
      <w:r>
        <w:rPr>
          <w:rFonts w:ascii="Arial" w:eastAsia="宋体" w:hAnsi="Arial" w:cs="Arial"/>
          <w:color w:val="000000"/>
          <w:sz w:val="20"/>
          <w:szCs w:val="20"/>
        </w:rPr>
        <w:t>the CCAR planning horizon. The SCB requirement, which became effective October 1, 2020, can be no less than 2.5% of RWA. Breaching the SCB or other regulatory buffer or surcharge will limit a banking organization’s ability to make capital distributions and</w:t>
      </w:r>
      <w:r>
        <w:rPr>
          <w:rFonts w:ascii="Arial" w:eastAsia="宋体" w:hAnsi="Arial" w:cs="Arial"/>
          <w:color w:val="000000"/>
          <w:sz w:val="20"/>
          <w:szCs w:val="20"/>
        </w:rPr>
        <w:t xml:space="preserve"> discretionary bonus payments to executive officers. The countercyclical capital buffer is currently set at zero by U.S. banking regulators.</w:t>
      </w:r>
    </w:p>
    <w:p w14:paraId="5F2CDCCA" w14:textId="77777777" w:rsidR="00E836FB" w:rsidRDefault="00994958">
      <w:pPr>
        <w:spacing w:before="60"/>
        <w:ind w:firstLine="450"/>
        <w:jc w:val="both"/>
        <w:textAlignment w:val="top"/>
      </w:pPr>
      <w:r>
        <w:rPr>
          <w:rFonts w:ascii="Arial" w:eastAsia="宋体" w:hAnsi="Arial" w:cs="Arial"/>
          <w:color w:val="000000"/>
          <w:sz w:val="20"/>
          <w:szCs w:val="20"/>
        </w:rPr>
        <w:t>Our minimum risk-based capital ratios as of January 1, 2021 include a CCB of 2.5% and a SCB of 2.5% for the advance</w:t>
      </w:r>
      <w:r>
        <w:rPr>
          <w:rFonts w:ascii="Arial" w:eastAsia="宋体" w:hAnsi="Arial" w:cs="Arial"/>
          <w:color w:val="000000"/>
          <w:sz w:val="20"/>
          <w:szCs w:val="20"/>
        </w:rPr>
        <w:t>d approaches and standardized approach, respectively, a G-SIB surcharge of 1.0%, and a countercyclical buffer of 0.0%. This results in minimum risk-based ratios of 8.0% for the Common Equity Tier 1 (CET1) capital ratio, 9.5% for the tier 1 capital ratio, a</w:t>
      </w:r>
      <w:r>
        <w:rPr>
          <w:rFonts w:ascii="Arial" w:eastAsia="宋体" w:hAnsi="Arial" w:cs="Arial"/>
          <w:color w:val="000000"/>
          <w:sz w:val="20"/>
          <w:szCs w:val="20"/>
        </w:rPr>
        <w:t>nd 11.5% for the total capital ratio.</w:t>
      </w:r>
    </w:p>
    <w:p w14:paraId="5F2CDCCB" w14:textId="77777777" w:rsidR="00E836FB" w:rsidRDefault="00994958">
      <w:pPr>
        <w:spacing w:before="60"/>
        <w:ind w:firstLine="450"/>
        <w:jc w:val="both"/>
        <w:textAlignment w:val="top"/>
      </w:pPr>
      <w:r>
        <w:rPr>
          <w:rFonts w:ascii="Arial" w:eastAsia="宋体" w:hAnsi="Arial" w:cs="Arial"/>
          <w:color w:val="000000"/>
          <w:sz w:val="20"/>
          <w:szCs w:val="20"/>
        </w:rPr>
        <w:t>Based on a calculation date of December 31, 2019, our current G-SIB surcharge, through December 31, 2022, is 1.0%. Based on a calculation date of December 31, 2020, our G-SIB surcharge beginning January 1, 2023 could h</w:t>
      </w:r>
      <w:r>
        <w:rPr>
          <w:rFonts w:ascii="Arial" w:eastAsia="宋体" w:hAnsi="Arial" w:cs="Arial"/>
          <w:color w:val="000000"/>
          <w:sz w:val="20"/>
          <w:szCs w:val="20"/>
        </w:rPr>
        <w:t>ave been 1.5%. However, in May 2021, the Federal Reserve granted our request for relief relating to the effects of the MMLF program on the calculation of our G-SIB surcharge. As a result of this relief, our G-SIB surcharge for 2023 will remain at 1.0%.</w:t>
      </w:r>
    </w:p>
    <w:p w14:paraId="5F2CDCCC" w14:textId="77777777" w:rsidR="00E836FB" w:rsidRDefault="00E836FB">
      <w:pPr>
        <w:ind w:firstLine="450"/>
        <w:jc w:val="both"/>
      </w:pPr>
    </w:p>
    <w:p w14:paraId="5F2CDCCD" w14:textId="77777777" w:rsidR="00E836FB" w:rsidRDefault="00E836FB">
      <w:pPr>
        <w:ind w:firstLine="450"/>
        <w:jc w:val="both"/>
      </w:pPr>
    </w:p>
    <w:p w14:paraId="5F2CDCCE" w14:textId="77777777" w:rsidR="00E836FB" w:rsidRDefault="00E836FB">
      <w:pPr>
        <w:ind w:firstLine="450"/>
        <w:jc w:val="both"/>
      </w:pPr>
    </w:p>
    <w:p w14:paraId="5F2CDCCF" w14:textId="77777777" w:rsidR="00E836FB" w:rsidRDefault="00E836FB">
      <w:pPr>
        <w:ind w:firstLine="450"/>
        <w:jc w:val="both"/>
      </w:pPr>
    </w:p>
    <w:p w14:paraId="5F2CDCD0" w14:textId="77777777" w:rsidR="00E836FB" w:rsidRDefault="00E836FB">
      <w:pPr>
        <w:ind w:firstLine="450"/>
        <w:jc w:val="both"/>
      </w:pPr>
    </w:p>
    <w:p w14:paraId="5F2CDCD1" w14:textId="77777777" w:rsidR="00E836FB" w:rsidRDefault="00E836FB">
      <w:pPr>
        <w:ind w:firstLine="450"/>
        <w:jc w:val="both"/>
      </w:pPr>
    </w:p>
    <w:p w14:paraId="5F2CDCD2" w14:textId="77777777" w:rsidR="00E836FB" w:rsidRDefault="00E836FB">
      <w:pPr>
        <w:ind w:firstLine="450"/>
        <w:jc w:val="both"/>
      </w:pPr>
    </w:p>
    <w:p w14:paraId="5F2CDCD3" w14:textId="77777777" w:rsidR="00E836FB" w:rsidRDefault="00E836FB">
      <w:pPr>
        <w:ind w:firstLine="450"/>
        <w:jc w:val="both"/>
      </w:pPr>
    </w:p>
    <w:p w14:paraId="5F2CDCD4" w14:textId="77777777" w:rsidR="00E836FB" w:rsidRDefault="00E836FB">
      <w:pPr>
        <w:ind w:firstLine="450"/>
        <w:jc w:val="both"/>
      </w:pPr>
    </w:p>
    <w:p w14:paraId="5F2CDCD5" w14:textId="77777777" w:rsidR="00E836FB" w:rsidRDefault="00E836FB">
      <w:pPr>
        <w:ind w:firstLine="450"/>
        <w:jc w:val="both"/>
      </w:pPr>
    </w:p>
    <w:p w14:paraId="5F2CDCD6" w14:textId="77777777" w:rsidR="00E836FB" w:rsidRDefault="00E836FB">
      <w:pPr>
        <w:ind w:firstLine="450"/>
        <w:jc w:val="both"/>
      </w:pPr>
    </w:p>
    <w:p w14:paraId="5F2CDCD7" w14:textId="77777777" w:rsidR="00E836FB" w:rsidRDefault="00E836FB">
      <w:pPr>
        <w:ind w:firstLine="450"/>
        <w:jc w:val="both"/>
      </w:pPr>
    </w:p>
    <w:p w14:paraId="5F2CDCD8" w14:textId="77777777" w:rsidR="00E836FB" w:rsidRDefault="00E836FB">
      <w:pPr>
        <w:ind w:firstLine="450"/>
        <w:jc w:val="both"/>
      </w:pPr>
    </w:p>
    <w:p w14:paraId="5F2CDCD9" w14:textId="77777777" w:rsidR="00E836FB" w:rsidRDefault="00E836FB">
      <w:pPr>
        <w:ind w:firstLine="450"/>
        <w:jc w:val="both"/>
      </w:pPr>
    </w:p>
    <w:p w14:paraId="5F2CDCDA" w14:textId="77777777" w:rsidR="00E836FB" w:rsidRDefault="00E836FB">
      <w:pPr>
        <w:ind w:firstLine="450"/>
        <w:jc w:val="both"/>
      </w:pPr>
    </w:p>
    <w:p w14:paraId="5F2CDCDB" w14:textId="77777777" w:rsidR="00E836FB" w:rsidRDefault="00E836FB">
      <w:pPr>
        <w:ind w:firstLine="450"/>
        <w:jc w:val="both"/>
      </w:pPr>
    </w:p>
    <w:p w14:paraId="5F2CDCDC" w14:textId="77777777" w:rsidR="00E836FB" w:rsidRDefault="00E836FB">
      <w:pPr>
        <w:ind w:firstLine="450"/>
        <w:jc w:val="both"/>
      </w:pPr>
    </w:p>
    <w:p w14:paraId="5F2CDCDD" w14:textId="77777777" w:rsidR="00E836FB" w:rsidRDefault="00E836FB">
      <w:pPr>
        <w:ind w:firstLine="450"/>
        <w:jc w:val="both"/>
      </w:pPr>
    </w:p>
    <w:p w14:paraId="5F2CDCDE" w14:textId="77777777" w:rsidR="00E836FB" w:rsidRDefault="00994958">
      <w:pPr>
        <w:ind w:firstLine="450"/>
        <w:jc w:val="right"/>
      </w:pPr>
      <w:r>
        <w:rPr>
          <w:rFonts w:ascii="Arial" w:eastAsia="宋体" w:hAnsi="Arial" w:cs="Arial"/>
          <w:color w:val="000000"/>
          <w:sz w:val="18"/>
          <w:szCs w:val="18"/>
        </w:rPr>
        <w:t>State Street Corporation | 115</w:t>
      </w:r>
    </w:p>
    <w:p w14:paraId="5F2CDCDF" w14:textId="77777777" w:rsidR="00E836FB" w:rsidRDefault="00E836FB">
      <w:pPr>
        <w:ind w:firstLine="450"/>
        <w:jc w:val="center"/>
      </w:pPr>
    </w:p>
    <w:p w14:paraId="5F2CDCE0" w14:textId="77777777" w:rsidR="00E836FB" w:rsidRDefault="00994958">
      <w:r>
        <w:pict w14:anchorId="5F2D6DF8">
          <v:rect id="_x0000_i1139" style="width:415.3pt;height:1.5pt" o:hralign="center" o:hrstd="t" o:hr="t" fillcolor="#a0a0a0" stroked="f"/>
        </w:pict>
      </w:r>
    </w:p>
    <w:p w14:paraId="5F2CDCE1"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DCE2" w14:textId="77777777" w:rsidR="00E836FB" w:rsidRDefault="00994958">
      <w:pPr>
        <w:ind w:firstLine="450"/>
        <w:jc w:val="center"/>
      </w:pPr>
      <w:r>
        <w:rPr>
          <w:rFonts w:ascii="Arial" w:eastAsia="宋体" w:hAnsi="Arial" w:cs="Arial"/>
          <w:b/>
          <w:bCs/>
          <w:color w:val="000000"/>
          <w:sz w:val="20"/>
          <w:szCs w:val="20"/>
        </w:rPr>
        <w:t>AND RESULTS OF OPERATIONS</w:t>
      </w:r>
    </w:p>
    <w:p w14:paraId="5F2CDCE3" w14:textId="77777777" w:rsidR="00E836FB" w:rsidRDefault="00994958">
      <w:pPr>
        <w:ind w:firstLine="450"/>
        <w:jc w:val="both"/>
      </w:pPr>
      <w:r>
        <w:rPr>
          <w:rFonts w:ascii="Arial" w:eastAsia="宋体" w:hAnsi="Arial" w:cs="Arial"/>
          <w:color w:val="000000"/>
          <w:sz w:val="20"/>
          <w:szCs w:val="20"/>
        </w:rPr>
        <w:t xml:space="preserve">The following table presents the regulatory capital structure and related regulatory capital ratios for us and </w:t>
      </w:r>
      <w:r>
        <w:rPr>
          <w:rFonts w:ascii="Arial" w:eastAsia="宋体" w:hAnsi="Arial" w:cs="Arial"/>
          <w:color w:val="000000"/>
          <w:sz w:val="20"/>
          <w:szCs w:val="20"/>
        </w:rPr>
        <w:t>State Street Bank as of the dates indicated. We are subject to the more stringent of the risk-based capital ratios calculated under the standardized approach and those calculated under the advanced approaches in the assessment of our capital adequacy under</w:t>
      </w:r>
      <w:r>
        <w:rPr>
          <w:rFonts w:ascii="Arial" w:eastAsia="宋体" w:hAnsi="Arial" w:cs="Arial"/>
          <w:color w:val="000000"/>
          <w:sz w:val="20"/>
          <w:szCs w:val="20"/>
        </w:rPr>
        <w:t xml:space="preserve"> applicable bank regulatory standards.</w:t>
      </w:r>
    </w:p>
    <w:tbl>
      <w:tblPr>
        <w:tblW w:w="4993" w:type="pct"/>
        <w:tblCellMar>
          <w:top w:w="15" w:type="dxa"/>
          <w:left w:w="15" w:type="dxa"/>
          <w:bottom w:w="15" w:type="dxa"/>
          <w:right w:w="15" w:type="dxa"/>
        </w:tblCellMar>
        <w:tblLook w:val="04A0" w:firstRow="1" w:lastRow="0" w:firstColumn="1" w:lastColumn="0" w:noHBand="0" w:noVBand="1"/>
      </w:tblPr>
      <w:tblGrid>
        <w:gridCol w:w="265"/>
        <w:gridCol w:w="227"/>
        <w:gridCol w:w="39"/>
        <w:gridCol w:w="74"/>
        <w:gridCol w:w="608"/>
        <w:gridCol w:w="116"/>
        <w:gridCol w:w="74"/>
        <w:gridCol w:w="608"/>
        <w:gridCol w:w="116"/>
        <w:gridCol w:w="80"/>
        <w:gridCol w:w="407"/>
        <w:gridCol w:w="114"/>
        <w:gridCol w:w="40"/>
        <w:gridCol w:w="32"/>
        <w:gridCol w:w="35"/>
        <w:gridCol w:w="160"/>
        <w:gridCol w:w="491"/>
        <w:gridCol w:w="114"/>
        <w:gridCol w:w="40"/>
        <w:gridCol w:w="32"/>
        <w:gridCol w:w="35"/>
        <w:gridCol w:w="80"/>
        <w:gridCol w:w="407"/>
        <w:gridCol w:w="114"/>
        <w:gridCol w:w="40"/>
        <w:gridCol w:w="32"/>
        <w:gridCol w:w="35"/>
        <w:gridCol w:w="160"/>
        <w:gridCol w:w="489"/>
        <w:gridCol w:w="114"/>
        <w:gridCol w:w="40"/>
        <w:gridCol w:w="32"/>
        <w:gridCol w:w="35"/>
        <w:gridCol w:w="80"/>
        <w:gridCol w:w="407"/>
        <w:gridCol w:w="114"/>
        <w:gridCol w:w="40"/>
        <w:gridCol w:w="32"/>
        <w:gridCol w:w="35"/>
        <w:gridCol w:w="160"/>
        <w:gridCol w:w="491"/>
        <w:gridCol w:w="114"/>
        <w:gridCol w:w="40"/>
        <w:gridCol w:w="32"/>
        <w:gridCol w:w="35"/>
        <w:gridCol w:w="80"/>
        <w:gridCol w:w="407"/>
        <w:gridCol w:w="114"/>
        <w:gridCol w:w="40"/>
        <w:gridCol w:w="32"/>
        <w:gridCol w:w="35"/>
        <w:gridCol w:w="160"/>
        <w:gridCol w:w="489"/>
        <w:gridCol w:w="114"/>
      </w:tblGrid>
      <w:tr w:rsidR="00E836FB" w14:paraId="5F2CDD1A" w14:textId="77777777">
        <w:tc>
          <w:tcPr>
            <w:tcW w:w="50" w:type="pct"/>
            <w:shd w:val="clear" w:color="auto" w:fill="auto"/>
            <w:vAlign w:val="bottom"/>
          </w:tcPr>
          <w:p w14:paraId="5F2CDCE4" w14:textId="77777777" w:rsidR="00E836FB" w:rsidRDefault="00E836FB">
            <w:pPr>
              <w:rPr>
                <w:rFonts w:ascii="宋体"/>
              </w:rPr>
            </w:pPr>
          </w:p>
        </w:tc>
        <w:tc>
          <w:tcPr>
            <w:tcW w:w="325" w:type="pct"/>
            <w:shd w:val="clear" w:color="auto" w:fill="auto"/>
            <w:vAlign w:val="bottom"/>
          </w:tcPr>
          <w:p w14:paraId="5F2CDCE5" w14:textId="77777777" w:rsidR="00E836FB" w:rsidRDefault="00E836FB">
            <w:pPr>
              <w:rPr>
                <w:rFonts w:ascii="宋体"/>
              </w:rPr>
            </w:pPr>
          </w:p>
        </w:tc>
        <w:tc>
          <w:tcPr>
            <w:tcW w:w="5" w:type="pct"/>
            <w:shd w:val="clear" w:color="auto" w:fill="auto"/>
            <w:vAlign w:val="bottom"/>
          </w:tcPr>
          <w:p w14:paraId="5F2CDCE6" w14:textId="77777777" w:rsidR="00E836FB" w:rsidRDefault="00E836FB">
            <w:pPr>
              <w:rPr>
                <w:rFonts w:ascii="宋体"/>
              </w:rPr>
            </w:pPr>
          </w:p>
        </w:tc>
        <w:tc>
          <w:tcPr>
            <w:tcW w:w="50" w:type="pct"/>
            <w:shd w:val="clear" w:color="auto" w:fill="auto"/>
            <w:vAlign w:val="bottom"/>
          </w:tcPr>
          <w:p w14:paraId="5F2CDCE7" w14:textId="77777777" w:rsidR="00E836FB" w:rsidRDefault="00E836FB">
            <w:pPr>
              <w:rPr>
                <w:rFonts w:ascii="宋体"/>
              </w:rPr>
            </w:pPr>
          </w:p>
        </w:tc>
        <w:tc>
          <w:tcPr>
            <w:tcW w:w="442" w:type="pct"/>
            <w:shd w:val="clear" w:color="auto" w:fill="auto"/>
            <w:vAlign w:val="bottom"/>
          </w:tcPr>
          <w:p w14:paraId="5F2CDCE8" w14:textId="77777777" w:rsidR="00E836FB" w:rsidRDefault="00E836FB">
            <w:pPr>
              <w:rPr>
                <w:rFonts w:ascii="宋体"/>
              </w:rPr>
            </w:pPr>
          </w:p>
        </w:tc>
        <w:tc>
          <w:tcPr>
            <w:tcW w:w="5" w:type="pct"/>
            <w:shd w:val="clear" w:color="auto" w:fill="auto"/>
            <w:vAlign w:val="bottom"/>
          </w:tcPr>
          <w:p w14:paraId="5F2CDCE9" w14:textId="77777777" w:rsidR="00E836FB" w:rsidRDefault="00E836FB">
            <w:pPr>
              <w:rPr>
                <w:rFonts w:ascii="宋体"/>
              </w:rPr>
            </w:pPr>
          </w:p>
        </w:tc>
        <w:tc>
          <w:tcPr>
            <w:tcW w:w="50" w:type="pct"/>
            <w:shd w:val="clear" w:color="auto" w:fill="auto"/>
            <w:vAlign w:val="bottom"/>
          </w:tcPr>
          <w:p w14:paraId="5F2CDCEA" w14:textId="77777777" w:rsidR="00E836FB" w:rsidRDefault="00E836FB">
            <w:pPr>
              <w:rPr>
                <w:rFonts w:ascii="宋体"/>
              </w:rPr>
            </w:pPr>
          </w:p>
        </w:tc>
        <w:tc>
          <w:tcPr>
            <w:tcW w:w="442" w:type="pct"/>
            <w:shd w:val="clear" w:color="auto" w:fill="auto"/>
            <w:vAlign w:val="bottom"/>
          </w:tcPr>
          <w:p w14:paraId="5F2CDCEB" w14:textId="77777777" w:rsidR="00E836FB" w:rsidRDefault="00E836FB">
            <w:pPr>
              <w:rPr>
                <w:rFonts w:ascii="宋体"/>
              </w:rPr>
            </w:pPr>
          </w:p>
        </w:tc>
        <w:tc>
          <w:tcPr>
            <w:tcW w:w="5" w:type="pct"/>
            <w:shd w:val="clear" w:color="auto" w:fill="auto"/>
            <w:vAlign w:val="bottom"/>
          </w:tcPr>
          <w:p w14:paraId="5F2CDCEC" w14:textId="77777777" w:rsidR="00E836FB" w:rsidRDefault="00E836FB">
            <w:pPr>
              <w:rPr>
                <w:rFonts w:ascii="宋体"/>
              </w:rPr>
            </w:pPr>
          </w:p>
        </w:tc>
        <w:tc>
          <w:tcPr>
            <w:tcW w:w="50" w:type="pct"/>
            <w:shd w:val="clear" w:color="auto" w:fill="auto"/>
            <w:vAlign w:val="bottom"/>
          </w:tcPr>
          <w:p w14:paraId="5F2CDCED" w14:textId="77777777" w:rsidR="00E836FB" w:rsidRDefault="00E836FB">
            <w:pPr>
              <w:rPr>
                <w:rFonts w:ascii="宋体"/>
              </w:rPr>
            </w:pPr>
          </w:p>
        </w:tc>
        <w:tc>
          <w:tcPr>
            <w:tcW w:w="376" w:type="pct"/>
            <w:shd w:val="clear" w:color="auto" w:fill="auto"/>
            <w:vAlign w:val="bottom"/>
          </w:tcPr>
          <w:p w14:paraId="5F2CDCEE" w14:textId="77777777" w:rsidR="00E836FB" w:rsidRDefault="00E836FB">
            <w:pPr>
              <w:rPr>
                <w:rFonts w:ascii="宋体"/>
              </w:rPr>
            </w:pPr>
          </w:p>
        </w:tc>
        <w:tc>
          <w:tcPr>
            <w:tcW w:w="5" w:type="pct"/>
            <w:shd w:val="clear" w:color="auto" w:fill="auto"/>
            <w:vAlign w:val="bottom"/>
          </w:tcPr>
          <w:p w14:paraId="5F2CDCEF" w14:textId="77777777" w:rsidR="00E836FB" w:rsidRDefault="00E836FB">
            <w:pPr>
              <w:rPr>
                <w:rFonts w:ascii="宋体"/>
              </w:rPr>
            </w:pPr>
          </w:p>
        </w:tc>
        <w:tc>
          <w:tcPr>
            <w:tcW w:w="5" w:type="pct"/>
            <w:shd w:val="clear" w:color="auto" w:fill="auto"/>
            <w:vAlign w:val="bottom"/>
          </w:tcPr>
          <w:p w14:paraId="5F2CDCF0" w14:textId="77777777" w:rsidR="00E836FB" w:rsidRDefault="00E836FB">
            <w:pPr>
              <w:rPr>
                <w:rFonts w:ascii="宋体"/>
              </w:rPr>
            </w:pPr>
          </w:p>
        </w:tc>
        <w:tc>
          <w:tcPr>
            <w:tcW w:w="26" w:type="pct"/>
            <w:shd w:val="clear" w:color="auto" w:fill="auto"/>
            <w:vAlign w:val="bottom"/>
          </w:tcPr>
          <w:p w14:paraId="5F2CDCF1" w14:textId="77777777" w:rsidR="00E836FB" w:rsidRDefault="00E836FB">
            <w:pPr>
              <w:rPr>
                <w:rFonts w:ascii="宋体"/>
              </w:rPr>
            </w:pPr>
          </w:p>
        </w:tc>
        <w:tc>
          <w:tcPr>
            <w:tcW w:w="5" w:type="pct"/>
            <w:shd w:val="clear" w:color="auto" w:fill="auto"/>
            <w:vAlign w:val="bottom"/>
          </w:tcPr>
          <w:p w14:paraId="5F2CDCF2" w14:textId="77777777" w:rsidR="00E836FB" w:rsidRDefault="00E836FB">
            <w:pPr>
              <w:rPr>
                <w:rFonts w:ascii="宋体"/>
              </w:rPr>
            </w:pPr>
          </w:p>
        </w:tc>
        <w:tc>
          <w:tcPr>
            <w:tcW w:w="50" w:type="pct"/>
            <w:shd w:val="clear" w:color="auto" w:fill="auto"/>
            <w:vAlign w:val="bottom"/>
          </w:tcPr>
          <w:p w14:paraId="5F2CDCF3" w14:textId="77777777" w:rsidR="00E836FB" w:rsidRDefault="00E836FB">
            <w:pPr>
              <w:rPr>
                <w:rFonts w:ascii="宋体"/>
              </w:rPr>
            </w:pPr>
          </w:p>
        </w:tc>
        <w:tc>
          <w:tcPr>
            <w:tcW w:w="376" w:type="pct"/>
            <w:shd w:val="clear" w:color="auto" w:fill="auto"/>
            <w:vAlign w:val="bottom"/>
          </w:tcPr>
          <w:p w14:paraId="5F2CDCF4" w14:textId="77777777" w:rsidR="00E836FB" w:rsidRDefault="00E836FB">
            <w:pPr>
              <w:rPr>
                <w:rFonts w:ascii="宋体"/>
              </w:rPr>
            </w:pPr>
          </w:p>
        </w:tc>
        <w:tc>
          <w:tcPr>
            <w:tcW w:w="5" w:type="pct"/>
            <w:shd w:val="clear" w:color="auto" w:fill="auto"/>
            <w:vAlign w:val="bottom"/>
          </w:tcPr>
          <w:p w14:paraId="5F2CDCF5" w14:textId="77777777" w:rsidR="00E836FB" w:rsidRDefault="00E836FB">
            <w:pPr>
              <w:rPr>
                <w:rFonts w:ascii="宋体"/>
              </w:rPr>
            </w:pPr>
          </w:p>
        </w:tc>
        <w:tc>
          <w:tcPr>
            <w:tcW w:w="5" w:type="pct"/>
            <w:shd w:val="clear" w:color="auto" w:fill="auto"/>
            <w:vAlign w:val="bottom"/>
          </w:tcPr>
          <w:p w14:paraId="5F2CDCF6" w14:textId="77777777" w:rsidR="00E836FB" w:rsidRDefault="00E836FB">
            <w:pPr>
              <w:rPr>
                <w:rFonts w:ascii="宋体"/>
              </w:rPr>
            </w:pPr>
          </w:p>
        </w:tc>
        <w:tc>
          <w:tcPr>
            <w:tcW w:w="26" w:type="pct"/>
            <w:shd w:val="clear" w:color="auto" w:fill="auto"/>
            <w:vAlign w:val="bottom"/>
          </w:tcPr>
          <w:p w14:paraId="5F2CDCF7" w14:textId="77777777" w:rsidR="00E836FB" w:rsidRDefault="00E836FB">
            <w:pPr>
              <w:rPr>
                <w:rFonts w:ascii="宋体"/>
              </w:rPr>
            </w:pPr>
          </w:p>
        </w:tc>
        <w:tc>
          <w:tcPr>
            <w:tcW w:w="5" w:type="pct"/>
            <w:shd w:val="clear" w:color="auto" w:fill="auto"/>
            <w:vAlign w:val="bottom"/>
          </w:tcPr>
          <w:p w14:paraId="5F2CDCF8" w14:textId="77777777" w:rsidR="00E836FB" w:rsidRDefault="00E836FB">
            <w:pPr>
              <w:rPr>
                <w:rFonts w:ascii="宋体"/>
              </w:rPr>
            </w:pPr>
          </w:p>
        </w:tc>
        <w:tc>
          <w:tcPr>
            <w:tcW w:w="50" w:type="pct"/>
            <w:shd w:val="clear" w:color="auto" w:fill="auto"/>
            <w:vAlign w:val="bottom"/>
          </w:tcPr>
          <w:p w14:paraId="5F2CDCF9" w14:textId="77777777" w:rsidR="00E836FB" w:rsidRDefault="00E836FB">
            <w:pPr>
              <w:rPr>
                <w:rFonts w:ascii="宋体"/>
              </w:rPr>
            </w:pPr>
          </w:p>
        </w:tc>
        <w:tc>
          <w:tcPr>
            <w:tcW w:w="354" w:type="pct"/>
            <w:shd w:val="clear" w:color="auto" w:fill="auto"/>
            <w:vAlign w:val="bottom"/>
          </w:tcPr>
          <w:p w14:paraId="5F2CDCFA" w14:textId="77777777" w:rsidR="00E836FB" w:rsidRDefault="00E836FB">
            <w:pPr>
              <w:rPr>
                <w:rFonts w:ascii="宋体"/>
              </w:rPr>
            </w:pPr>
          </w:p>
        </w:tc>
        <w:tc>
          <w:tcPr>
            <w:tcW w:w="5" w:type="pct"/>
            <w:shd w:val="clear" w:color="auto" w:fill="auto"/>
            <w:vAlign w:val="bottom"/>
          </w:tcPr>
          <w:p w14:paraId="5F2CDCFB" w14:textId="77777777" w:rsidR="00E836FB" w:rsidRDefault="00E836FB">
            <w:pPr>
              <w:rPr>
                <w:rFonts w:ascii="宋体"/>
              </w:rPr>
            </w:pPr>
          </w:p>
        </w:tc>
        <w:tc>
          <w:tcPr>
            <w:tcW w:w="5" w:type="pct"/>
            <w:shd w:val="clear" w:color="auto" w:fill="auto"/>
            <w:vAlign w:val="bottom"/>
          </w:tcPr>
          <w:p w14:paraId="5F2CDCFC" w14:textId="77777777" w:rsidR="00E836FB" w:rsidRDefault="00E836FB">
            <w:pPr>
              <w:rPr>
                <w:rFonts w:ascii="宋体"/>
              </w:rPr>
            </w:pPr>
          </w:p>
        </w:tc>
        <w:tc>
          <w:tcPr>
            <w:tcW w:w="26" w:type="pct"/>
            <w:shd w:val="clear" w:color="auto" w:fill="auto"/>
            <w:vAlign w:val="bottom"/>
          </w:tcPr>
          <w:p w14:paraId="5F2CDCFD" w14:textId="77777777" w:rsidR="00E836FB" w:rsidRDefault="00E836FB">
            <w:pPr>
              <w:rPr>
                <w:rFonts w:ascii="宋体"/>
              </w:rPr>
            </w:pPr>
          </w:p>
        </w:tc>
        <w:tc>
          <w:tcPr>
            <w:tcW w:w="5" w:type="pct"/>
            <w:shd w:val="clear" w:color="auto" w:fill="auto"/>
            <w:vAlign w:val="bottom"/>
          </w:tcPr>
          <w:p w14:paraId="5F2CDCFE" w14:textId="77777777" w:rsidR="00E836FB" w:rsidRDefault="00E836FB">
            <w:pPr>
              <w:rPr>
                <w:rFonts w:ascii="宋体"/>
              </w:rPr>
            </w:pPr>
          </w:p>
        </w:tc>
        <w:tc>
          <w:tcPr>
            <w:tcW w:w="50" w:type="pct"/>
            <w:shd w:val="clear" w:color="auto" w:fill="auto"/>
            <w:vAlign w:val="bottom"/>
          </w:tcPr>
          <w:p w14:paraId="5F2CDCFF" w14:textId="77777777" w:rsidR="00E836FB" w:rsidRDefault="00E836FB">
            <w:pPr>
              <w:rPr>
                <w:rFonts w:ascii="宋体"/>
              </w:rPr>
            </w:pPr>
          </w:p>
        </w:tc>
        <w:tc>
          <w:tcPr>
            <w:tcW w:w="354" w:type="pct"/>
            <w:shd w:val="clear" w:color="auto" w:fill="auto"/>
            <w:vAlign w:val="bottom"/>
          </w:tcPr>
          <w:p w14:paraId="5F2CDD00" w14:textId="77777777" w:rsidR="00E836FB" w:rsidRDefault="00E836FB">
            <w:pPr>
              <w:rPr>
                <w:rFonts w:ascii="宋体"/>
              </w:rPr>
            </w:pPr>
          </w:p>
        </w:tc>
        <w:tc>
          <w:tcPr>
            <w:tcW w:w="5" w:type="pct"/>
            <w:shd w:val="clear" w:color="auto" w:fill="auto"/>
            <w:vAlign w:val="bottom"/>
          </w:tcPr>
          <w:p w14:paraId="5F2CDD01" w14:textId="77777777" w:rsidR="00E836FB" w:rsidRDefault="00E836FB">
            <w:pPr>
              <w:rPr>
                <w:rFonts w:ascii="宋体"/>
              </w:rPr>
            </w:pPr>
          </w:p>
        </w:tc>
        <w:tc>
          <w:tcPr>
            <w:tcW w:w="5" w:type="pct"/>
            <w:shd w:val="clear" w:color="auto" w:fill="auto"/>
            <w:vAlign w:val="bottom"/>
          </w:tcPr>
          <w:p w14:paraId="5F2CDD02" w14:textId="77777777" w:rsidR="00E836FB" w:rsidRDefault="00E836FB">
            <w:pPr>
              <w:rPr>
                <w:rFonts w:ascii="宋体"/>
              </w:rPr>
            </w:pPr>
          </w:p>
        </w:tc>
        <w:tc>
          <w:tcPr>
            <w:tcW w:w="26" w:type="pct"/>
            <w:shd w:val="clear" w:color="auto" w:fill="auto"/>
            <w:vAlign w:val="bottom"/>
          </w:tcPr>
          <w:p w14:paraId="5F2CDD03" w14:textId="77777777" w:rsidR="00E836FB" w:rsidRDefault="00E836FB">
            <w:pPr>
              <w:rPr>
                <w:rFonts w:ascii="宋体"/>
              </w:rPr>
            </w:pPr>
          </w:p>
        </w:tc>
        <w:tc>
          <w:tcPr>
            <w:tcW w:w="5" w:type="pct"/>
            <w:shd w:val="clear" w:color="auto" w:fill="auto"/>
            <w:vAlign w:val="bottom"/>
          </w:tcPr>
          <w:p w14:paraId="5F2CDD04" w14:textId="77777777" w:rsidR="00E836FB" w:rsidRDefault="00E836FB">
            <w:pPr>
              <w:rPr>
                <w:rFonts w:ascii="宋体"/>
              </w:rPr>
            </w:pPr>
          </w:p>
        </w:tc>
        <w:tc>
          <w:tcPr>
            <w:tcW w:w="50" w:type="pct"/>
            <w:shd w:val="clear" w:color="auto" w:fill="auto"/>
            <w:vAlign w:val="bottom"/>
          </w:tcPr>
          <w:p w14:paraId="5F2CDD05" w14:textId="77777777" w:rsidR="00E836FB" w:rsidRDefault="00E836FB">
            <w:pPr>
              <w:rPr>
                <w:rFonts w:ascii="宋体"/>
              </w:rPr>
            </w:pPr>
          </w:p>
        </w:tc>
        <w:tc>
          <w:tcPr>
            <w:tcW w:w="376" w:type="pct"/>
            <w:shd w:val="clear" w:color="auto" w:fill="auto"/>
            <w:vAlign w:val="bottom"/>
          </w:tcPr>
          <w:p w14:paraId="5F2CDD06" w14:textId="77777777" w:rsidR="00E836FB" w:rsidRDefault="00E836FB">
            <w:pPr>
              <w:rPr>
                <w:rFonts w:ascii="宋体"/>
              </w:rPr>
            </w:pPr>
          </w:p>
        </w:tc>
        <w:tc>
          <w:tcPr>
            <w:tcW w:w="5" w:type="pct"/>
            <w:shd w:val="clear" w:color="auto" w:fill="auto"/>
            <w:vAlign w:val="bottom"/>
          </w:tcPr>
          <w:p w14:paraId="5F2CDD07" w14:textId="77777777" w:rsidR="00E836FB" w:rsidRDefault="00E836FB">
            <w:pPr>
              <w:rPr>
                <w:rFonts w:ascii="宋体"/>
              </w:rPr>
            </w:pPr>
          </w:p>
        </w:tc>
        <w:tc>
          <w:tcPr>
            <w:tcW w:w="5" w:type="pct"/>
            <w:shd w:val="clear" w:color="auto" w:fill="auto"/>
            <w:vAlign w:val="bottom"/>
          </w:tcPr>
          <w:p w14:paraId="5F2CDD08" w14:textId="77777777" w:rsidR="00E836FB" w:rsidRDefault="00E836FB">
            <w:pPr>
              <w:rPr>
                <w:rFonts w:ascii="宋体"/>
              </w:rPr>
            </w:pPr>
          </w:p>
        </w:tc>
        <w:tc>
          <w:tcPr>
            <w:tcW w:w="26" w:type="pct"/>
            <w:shd w:val="clear" w:color="auto" w:fill="auto"/>
            <w:vAlign w:val="bottom"/>
          </w:tcPr>
          <w:p w14:paraId="5F2CDD09" w14:textId="77777777" w:rsidR="00E836FB" w:rsidRDefault="00E836FB">
            <w:pPr>
              <w:rPr>
                <w:rFonts w:ascii="宋体"/>
              </w:rPr>
            </w:pPr>
          </w:p>
        </w:tc>
        <w:tc>
          <w:tcPr>
            <w:tcW w:w="5" w:type="pct"/>
            <w:shd w:val="clear" w:color="auto" w:fill="auto"/>
            <w:vAlign w:val="bottom"/>
          </w:tcPr>
          <w:p w14:paraId="5F2CDD0A" w14:textId="77777777" w:rsidR="00E836FB" w:rsidRDefault="00E836FB">
            <w:pPr>
              <w:rPr>
                <w:rFonts w:ascii="宋体"/>
              </w:rPr>
            </w:pPr>
          </w:p>
        </w:tc>
        <w:tc>
          <w:tcPr>
            <w:tcW w:w="50" w:type="pct"/>
            <w:shd w:val="clear" w:color="auto" w:fill="auto"/>
            <w:vAlign w:val="bottom"/>
          </w:tcPr>
          <w:p w14:paraId="5F2CDD0B" w14:textId="77777777" w:rsidR="00E836FB" w:rsidRDefault="00E836FB">
            <w:pPr>
              <w:rPr>
                <w:rFonts w:ascii="宋体"/>
              </w:rPr>
            </w:pPr>
          </w:p>
        </w:tc>
        <w:tc>
          <w:tcPr>
            <w:tcW w:w="376" w:type="pct"/>
            <w:shd w:val="clear" w:color="auto" w:fill="auto"/>
            <w:vAlign w:val="bottom"/>
          </w:tcPr>
          <w:p w14:paraId="5F2CDD0C" w14:textId="77777777" w:rsidR="00E836FB" w:rsidRDefault="00E836FB">
            <w:pPr>
              <w:rPr>
                <w:rFonts w:ascii="宋体"/>
              </w:rPr>
            </w:pPr>
          </w:p>
        </w:tc>
        <w:tc>
          <w:tcPr>
            <w:tcW w:w="5" w:type="pct"/>
            <w:shd w:val="clear" w:color="auto" w:fill="auto"/>
            <w:vAlign w:val="bottom"/>
          </w:tcPr>
          <w:p w14:paraId="5F2CDD0D" w14:textId="77777777" w:rsidR="00E836FB" w:rsidRDefault="00E836FB">
            <w:pPr>
              <w:rPr>
                <w:rFonts w:ascii="宋体"/>
              </w:rPr>
            </w:pPr>
          </w:p>
        </w:tc>
        <w:tc>
          <w:tcPr>
            <w:tcW w:w="5" w:type="pct"/>
            <w:shd w:val="clear" w:color="auto" w:fill="auto"/>
            <w:vAlign w:val="bottom"/>
          </w:tcPr>
          <w:p w14:paraId="5F2CDD0E" w14:textId="77777777" w:rsidR="00E836FB" w:rsidRDefault="00E836FB">
            <w:pPr>
              <w:rPr>
                <w:rFonts w:ascii="宋体"/>
              </w:rPr>
            </w:pPr>
          </w:p>
        </w:tc>
        <w:tc>
          <w:tcPr>
            <w:tcW w:w="26" w:type="pct"/>
            <w:shd w:val="clear" w:color="auto" w:fill="auto"/>
            <w:vAlign w:val="bottom"/>
          </w:tcPr>
          <w:p w14:paraId="5F2CDD0F" w14:textId="77777777" w:rsidR="00E836FB" w:rsidRDefault="00E836FB">
            <w:pPr>
              <w:rPr>
                <w:rFonts w:ascii="宋体"/>
              </w:rPr>
            </w:pPr>
          </w:p>
        </w:tc>
        <w:tc>
          <w:tcPr>
            <w:tcW w:w="5" w:type="pct"/>
            <w:shd w:val="clear" w:color="auto" w:fill="auto"/>
            <w:vAlign w:val="bottom"/>
          </w:tcPr>
          <w:p w14:paraId="5F2CDD10" w14:textId="77777777" w:rsidR="00E836FB" w:rsidRDefault="00E836FB">
            <w:pPr>
              <w:rPr>
                <w:rFonts w:ascii="宋体"/>
              </w:rPr>
            </w:pPr>
          </w:p>
        </w:tc>
        <w:tc>
          <w:tcPr>
            <w:tcW w:w="50" w:type="pct"/>
            <w:shd w:val="clear" w:color="auto" w:fill="auto"/>
            <w:vAlign w:val="bottom"/>
          </w:tcPr>
          <w:p w14:paraId="5F2CDD11" w14:textId="77777777" w:rsidR="00E836FB" w:rsidRDefault="00E836FB">
            <w:pPr>
              <w:rPr>
                <w:rFonts w:ascii="宋体"/>
              </w:rPr>
            </w:pPr>
          </w:p>
        </w:tc>
        <w:tc>
          <w:tcPr>
            <w:tcW w:w="354" w:type="pct"/>
            <w:shd w:val="clear" w:color="auto" w:fill="auto"/>
            <w:vAlign w:val="bottom"/>
          </w:tcPr>
          <w:p w14:paraId="5F2CDD12" w14:textId="77777777" w:rsidR="00E836FB" w:rsidRDefault="00E836FB">
            <w:pPr>
              <w:rPr>
                <w:rFonts w:ascii="宋体"/>
              </w:rPr>
            </w:pPr>
          </w:p>
        </w:tc>
        <w:tc>
          <w:tcPr>
            <w:tcW w:w="5" w:type="pct"/>
            <w:shd w:val="clear" w:color="auto" w:fill="auto"/>
            <w:vAlign w:val="bottom"/>
          </w:tcPr>
          <w:p w14:paraId="5F2CDD13" w14:textId="77777777" w:rsidR="00E836FB" w:rsidRDefault="00E836FB">
            <w:pPr>
              <w:rPr>
                <w:rFonts w:ascii="宋体"/>
              </w:rPr>
            </w:pPr>
          </w:p>
        </w:tc>
        <w:tc>
          <w:tcPr>
            <w:tcW w:w="5" w:type="pct"/>
            <w:shd w:val="clear" w:color="auto" w:fill="auto"/>
            <w:vAlign w:val="bottom"/>
          </w:tcPr>
          <w:p w14:paraId="5F2CDD14" w14:textId="77777777" w:rsidR="00E836FB" w:rsidRDefault="00E836FB">
            <w:pPr>
              <w:rPr>
                <w:rFonts w:ascii="宋体"/>
              </w:rPr>
            </w:pPr>
          </w:p>
        </w:tc>
        <w:tc>
          <w:tcPr>
            <w:tcW w:w="26" w:type="pct"/>
            <w:shd w:val="clear" w:color="auto" w:fill="auto"/>
            <w:vAlign w:val="bottom"/>
          </w:tcPr>
          <w:p w14:paraId="5F2CDD15" w14:textId="77777777" w:rsidR="00E836FB" w:rsidRDefault="00E836FB">
            <w:pPr>
              <w:rPr>
                <w:rFonts w:ascii="宋体"/>
              </w:rPr>
            </w:pPr>
          </w:p>
        </w:tc>
        <w:tc>
          <w:tcPr>
            <w:tcW w:w="5" w:type="pct"/>
            <w:shd w:val="clear" w:color="auto" w:fill="auto"/>
            <w:vAlign w:val="bottom"/>
          </w:tcPr>
          <w:p w14:paraId="5F2CDD16" w14:textId="77777777" w:rsidR="00E836FB" w:rsidRDefault="00E836FB">
            <w:pPr>
              <w:rPr>
                <w:rFonts w:ascii="宋体"/>
              </w:rPr>
            </w:pPr>
          </w:p>
        </w:tc>
        <w:tc>
          <w:tcPr>
            <w:tcW w:w="50" w:type="pct"/>
            <w:shd w:val="clear" w:color="auto" w:fill="auto"/>
            <w:vAlign w:val="bottom"/>
          </w:tcPr>
          <w:p w14:paraId="5F2CDD17" w14:textId="77777777" w:rsidR="00E836FB" w:rsidRDefault="00E836FB">
            <w:pPr>
              <w:rPr>
                <w:rFonts w:ascii="宋体"/>
              </w:rPr>
            </w:pPr>
          </w:p>
        </w:tc>
        <w:tc>
          <w:tcPr>
            <w:tcW w:w="355" w:type="pct"/>
            <w:shd w:val="clear" w:color="auto" w:fill="auto"/>
            <w:vAlign w:val="bottom"/>
          </w:tcPr>
          <w:p w14:paraId="5F2CDD18" w14:textId="77777777" w:rsidR="00E836FB" w:rsidRDefault="00E836FB">
            <w:pPr>
              <w:rPr>
                <w:rFonts w:ascii="宋体"/>
              </w:rPr>
            </w:pPr>
          </w:p>
        </w:tc>
        <w:tc>
          <w:tcPr>
            <w:tcW w:w="5" w:type="pct"/>
            <w:shd w:val="clear" w:color="auto" w:fill="auto"/>
            <w:vAlign w:val="bottom"/>
          </w:tcPr>
          <w:p w14:paraId="5F2CDD19" w14:textId="77777777" w:rsidR="00E836FB" w:rsidRDefault="00E836FB">
            <w:pPr>
              <w:rPr>
                <w:rFonts w:ascii="宋体"/>
              </w:rPr>
            </w:pPr>
          </w:p>
        </w:tc>
      </w:tr>
      <w:tr w:rsidR="00E836FB" w14:paraId="5F2CDD1C" w14:textId="77777777">
        <w:tc>
          <w:tcPr>
            <w:tcW w:w="0" w:type="auto"/>
            <w:gridSpan w:val="54"/>
            <w:shd w:val="clear" w:color="auto" w:fill="auto"/>
            <w:tcMar>
              <w:top w:w="40" w:type="dxa"/>
              <w:left w:w="20" w:type="dxa"/>
              <w:bottom w:w="40" w:type="dxa"/>
              <w:right w:w="20" w:type="dxa"/>
            </w:tcMar>
            <w:vAlign w:val="center"/>
          </w:tcPr>
          <w:p w14:paraId="5F2CDD1B" w14:textId="77777777" w:rsidR="00E836FB" w:rsidRDefault="00994958">
            <w:pPr>
              <w:textAlignment w:val="center"/>
            </w:pPr>
            <w:r>
              <w:rPr>
                <w:rFonts w:ascii="Arial" w:eastAsia="宋体" w:hAnsi="Arial" w:cs="Arial"/>
                <w:b/>
                <w:bCs/>
                <w:color w:val="000000"/>
                <w:sz w:val="16"/>
                <w:szCs w:val="16"/>
              </w:rPr>
              <w:t>TABLE 41: REGULATORY CAPITAL STRUCTURE AND RELATED REGULATORY CAPITAL RATIOS</w:t>
            </w:r>
          </w:p>
        </w:tc>
      </w:tr>
      <w:tr w:rsidR="00E836FB" w14:paraId="5F2CDD21" w14:textId="77777777">
        <w:tc>
          <w:tcPr>
            <w:tcW w:w="0" w:type="auto"/>
            <w:gridSpan w:val="9"/>
            <w:shd w:val="clear" w:color="auto" w:fill="auto"/>
            <w:tcMar>
              <w:top w:w="0" w:type="dxa"/>
              <w:left w:w="20" w:type="dxa"/>
              <w:bottom w:w="0" w:type="dxa"/>
              <w:right w:w="20" w:type="dxa"/>
            </w:tcMar>
            <w:vAlign w:val="bottom"/>
          </w:tcPr>
          <w:p w14:paraId="5F2CDD1D" w14:textId="77777777" w:rsidR="00E836FB" w:rsidRDefault="00E836FB">
            <w:pPr>
              <w:rPr>
                <w:rFonts w:ascii="宋体"/>
              </w:rPr>
            </w:pPr>
          </w:p>
        </w:tc>
        <w:tc>
          <w:tcPr>
            <w:tcW w:w="0" w:type="auto"/>
            <w:gridSpan w:val="21"/>
            <w:shd w:val="clear" w:color="auto" w:fill="auto"/>
            <w:tcMar>
              <w:top w:w="40" w:type="dxa"/>
              <w:left w:w="20" w:type="dxa"/>
              <w:bottom w:w="40" w:type="dxa"/>
              <w:right w:w="20" w:type="dxa"/>
            </w:tcMar>
            <w:vAlign w:val="bottom"/>
          </w:tcPr>
          <w:p w14:paraId="5F2CDD1E" w14:textId="77777777" w:rsidR="00E836FB" w:rsidRDefault="00994958">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vAlign w:val="bottom"/>
          </w:tcPr>
          <w:p w14:paraId="5F2CDD1F" w14:textId="77777777" w:rsidR="00E836FB" w:rsidRDefault="00E836FB">
            <w:pPr>
              <w:rPr>
                <w:rFonts w:ascii="宋体"/>
              </w:rPr>
            </w:pPr>
          </w:p>
        </w:tc>
        <w:tc>
          <w:tcPr>
            <w:tcW w:w="0" w:type="auto"/>
            <w:gridSpan w:val="21"/>
            <w:shd w:val="clear" w:color="auto" w:fill="auto"/>
            <w:tcMar>
              <w:top w:w="40" w:type="dxa"/>
              <w:left w:w="20" w:type="dxa"/>
              <w:bottom w:w="40" w:type="dxa"/>
              <w:right w:w="20" w:type="dxa"/>
            </w:tcMar>
            <w:vAlign w:val="bottom"/>
          </w:tcPr>
          <w:p w14:paraId="5F2CDD20" w14:textId="77777777" w:rsidR="00E836FB" w:rsidRDefault="00994958">
            <w:pPr>
              <w:jc w:val="center"/>
              <w:textAlignment w:val="bottom"/>
            </w:pPr>
            <w:r>
              <w:rPr>
                <w:rFonts w:ascii="Arial" w:eastAsia="宋体" w:hAnsi="Arial" w:cs="Arial"/>
                <w:b/>
                <w:bCs/>
                <w:color w:val="000000"/>
                <w:sz w:val="14"/>
                <w:szCs w:val="14"/>
              </w:rPr>
              <w:t>State Street Bank</w:t>
            </w:r>
          </w:p>
        </w:tc>
      </w:tr>
      <w:tr w:rsidR="00E836FB" w14:paraId="5F2CDD32" w14:textId="77777777">
        <w:tc>
          <w:tcPr>
            <w:tcW w:w="0" w:type="auto"/>
            <w:gridSpan w:val="9"/>
            <w:shd w:val="clear" w:color="auto" w:fill="auto"/>
            <w:tcMar>
              <w:top w:w="40" w:type="dxa"/>
              <w:left w:w="20" w:type="dxa"/>
              <w:bottom w:w="40" w:type="dxa"/>
              <w:right w:w="20" w:type="dxa"/>
            </w:tcMar>
            <w:vAlign w:val="bottom"/>
          </w:tcPr>
          <w:p w14:paraId="5F2CDD22" w14:textId="77777777" w:rsidR="00E836FB" w:rsidRDefault="00994958">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23" w14:textId="77777777" w:rsidR="00E836FB" w:rsidRDefault="00994958">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2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25" w14:textId="77777777" w:rsidR="00E836FB" w:rsidRDefault="00994958">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2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27" w14:textId="77777777" w:rsidR="00E836FB" w:rsidRDefault="00994958">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2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29" w14:textId="77777777" w:rsidR="00E836FB" w:rsidRDefault="00994958">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vAlign w:val="bottom"/>
          </w:tcPr>
          <w:p w14:paraId="5F2CDD2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2B" w14:textId="77777777" w:rsidR="00E836FB" w:rsidRDefault="00994958">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2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2D" w14:textId="77777777" w:rsidR="00E836FB" w:rsidRDefault="00994958">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2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2F" w14:textId="77777777" w:rsidR="00E836FB" w:rsidRDefault="00994958">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3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DD31" w14:textId="77777777" w:rsidR="00E836FB" w:rsidRDefault="00994958">
            <w:pPr>
              <w:jc w:val="center"/>
              <w:textAlignment w:val="bottom"/>
            </w:pPr>
            <w:r>
              <w:rPr>
                <w:rFonts w:ascii="Arial" w:eastAsia="宋体" w:hAnsi="Arial" w:cs="Arial"/>
                <w:b/>
                <w:bCs/>
                <w:color w:val="000000"/>
                <w:sz w:val="11"/>
                <w:szCs w:val="11"/>
              </w:rPr>
              <w:t>Basel III Standardized Approach December 31, 2020</w:t>
            </w:r>
          </w:p>
        </w:tc>
      </w:tr>
      <w:tr w:rsidR="00E836FB" w14:paraId="5F2CDD43" w14:textId="77777777">
        <w:tc>
          <w:tcPr>
            <w:tcW w:w="0" w:type="auto"/>
            <w:gridSpan w:val="9"/>
            <w:shd w:val="clear" w:color="auto" w:fill="auto"/>
            <w:tcMar>
              <w:top w:w="40" w:type="dxa"/>
              <w:left w:w="20" w:type="dxa"/>
              <w:bottom w:w="40" w:type="dxa"/>
              <w:right w:w="20" w:type="dxa"/>
            </w:tcMar>
            <w:vAlign w:val="bottom"/>
          </w:tcPr>
          <w:p w14:paraId="5F2CDD33" w14:textId="77777777" w:rsidR="00E836FB" w:rsidRDefault="00994958">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3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D3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D3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3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D3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3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D3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D3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D3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DD4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DD42" w14:textId="77777777" w:rsidR="00E836FB" w:rsidRDefault="00E836FB">
            <w:pPr>
              <w:rPr>
                <w:rFonts w:ascii="宋体"/>
              </w:rPr>
            </w:pPr>
          </w:p>
        </w:tc>
      </w:tr>
      <w:tr w:rsidR="00994958" w14:paraId="5F2CDD64" w14:textId="77777777">
        <w:tc>
          <w:tcPr>
            <w:tcW w:w="0" w:type="auto"/>
            <w:gridSpan w:val="9"/>
            <w:shd w:val="clear" w:color="auto" w:fill="CCEEFF"/>
            <w:tcMar>
              <w:top w:w="40" w:type="dxa"/>
              <w:left w:w="245" w:type="dxa"/>
              <w:bottom w:w="40" w:type="dxa"/>
              <w:right w:w="20" w:type="dxa"/>
            </w:tcMar>
            <w:vAlign w:val="bottom"/>
          </w:tcPr>
          <w:p w14:paraId="5F2CDD44" w14:textId="77777777" w:rsidR="00E836FB" w:rsidRDefault="00994958">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5F2CDD45"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CDD46" w14:textId="77777777" w:rsidR="00E836FB" w:rsidRDefault="00994958">
            <w:pPr>
              <w:jc w:val="right"/>
              <w:textAlignment w:val="bottom"/>
            </w:pPr>
            <w:r>
              <w:rPr>
                <w:rFonts w:ascii="Arial" w:eastAsia="宋体" w:hAnsi="Arial" w:cs="Arial"/>
                <w:b/>
                <w:bCs/>
                <w:color w:val="000000"/>
                <w:sz w:val="12"/>
                <w:szCs w:val="12"/>
              </w:rPr>
              <w:t>11,291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D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4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D49"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CDD4A" w14:textId="77777777" w:rsidR="00E836FB" w:rsidRDefault="00994958">
            <w:pPr>
              <w:jc w:val="right"/>
              <w:textAlignment w:val="bottom"/>
            </w:pPr>
            <w:r>
              <w:rPr>
                <w:rFonts w:ascii="Arial" w:eastAsia="宋体" w:hAnsi="Arial" w:cs="Arial"/>
                <w:b/>
                <w:bCs/>
                <w:color w:val="000000"/>
                <w:sz w:val="12"/>
                <w:szCs w:val="12"/>
              </w:rPr>
              <w:t>11,291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D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4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D4D"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CDD4E" w14:textId="77777777" w:rsidR="00E836FB" w:rsidRDefault="00994958">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F2CDD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5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D51"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CDD52" w14:textId="77777777" w:rsidR="00E836FB" w:rsidRDefault="00994958">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F2CDD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5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D55"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CDD56" w14:textId="77777777" w:rsidR="00E836FB" w:rsidRDefault="00994958">
            <w:pPr>
              <w:jc w:val="right"/>
              <w:textAlignment w:val="bottom"/>
            </w:pPr>
            <w:r>
              <w:rPr>
                <w:rFonts w:ascii="Arial" w:eastAsia="宋体" w:hAnsi="Arial" w:cs="Arial"/>
                <w:b/>
                <w:bCs/>
                <w:color w:val="000000"/>
                <w:sz w:val="12"/>
                <w:szCs w:val="12"/>
              </w:rPr>
              <w:t>13,047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D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5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D59"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CDD5A" w14:textId="77777777" w:rsidR="00E836FB" w:rsidRDefault="00994958">
            <w:pPr>
              <w:jc w:val="right"/>
              <w:textAlignment w:val="bottom"/>
            </w:pPr>
            <w:r>
              <w:rPr>
                <w:rFonts w:ascii="Arial" w:eastAsia="宋体" w:hAnsi="Arial" w:cs="Arial"/>
                <w:b/>
                <w:bCs/>
                <w:color w:val="000000"/>
                <w:sz w:val="12"/>
                <w:szCs w:val="12"/>
              </w:rPr>
              <w:t>13,047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D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5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D5D"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CDD5E" w14:textId="77777777" w:rsidR="00E836FB" w:rsidRDefault="00994958">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F2CDD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6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DD61"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CDD62" w14:textId="77777777" w:rsidR="00E836FB" w:rsidRDefault="00994958">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F2CDD63" w14:textId="77777777" w:rsidR="00E836FB" w:rsidRDefault="00E836FB">
            <w:pPr>
              <w:jc w:val="right"/>
              <w:rPr>
                <w:rFonts w:ascii="宋体"/>
              </w:rPr>
            </w:pPr>
          </w:p>
        </w:tc>
      </w:tr>
      <w:tr w:rsidR="00E836FB" w14:paraId="5F2CDD7D" w14:textId="77777777">
        <w:tc>
          <w:tcPr>
            <w:tcW w:w="0" w:type="auto"/>
            <w:gridSpan w:val="9"/>
            <w:shd w:val="clear" w:color="auto" w:fill="FFFFFF"/>
            <w:tcMar>
              <w:top w:w="40" w:type="dxa"/>
              <w:left w:w="245" w:type="dxa"/>
              <w:bottom w:w="40" w:type="dxa"/>
              <w:right w:w="20" w:type="dxa"/>
            </w:tcMar>
            <w:vAlign w:val="bottom"/>
          </w:tcPr>
          <w:p w14:paraId="5F2CDD65" w14:textId="77777777" w:rsidR="00E836FB" w:rsidRDefault="00994958">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5F2CDD66" w14:textId="77777777" w:rsidR="00E836FB" w:rsidRDefault="00994958">
            <w:pPr>
              <w:jc w:val="right"/>
              <w:textAlignment w:val="bottom"/>
            </w:pPr>
            <w:r>
              <w:rPr>
                <w:rFonts w:ascii="Arial" w:eastAsia="宋体" w:hAnsi="Arial" w:cs="Arial"/>
                <w:b/>
                <w:bCs/>
                <w:color w:val="000000"/>
                <w:sz w:val="12"/>
                <w:szCs w:val="12"/>
              </w:rPr>
              <w:t>25,238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6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6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69" w14:textId="77777777" w:rsidR="00E836FB" w:rsidRDefault="00994958">
            <w:pPr>
              <w:jc w:val="right"/>
              <w:textAlignment w:val="bottom"/>
            </w:pPr>
            <w:r>
              <w:rPr>
                <w:rFonts w:ascii="Arial" w:eastAsia="宋体" w:hAnsi="Arial" w:cs="Arial"/>
                <w:b/>
                <w:bCs/>
                <w:color w:val="000000"/>
                <w:sz w:val="12"/>
                <w:szCs w:val="12"/>
              </w:rPr>
              <w:t>25,238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6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6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6C" w14:textId="77777777" w:rsidR="00E836FB" w:rsidRDefault="00994958">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F2CDD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6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6F" w14:textId="77777777" w:rsidR="00E836FB" w:rsidRDefault="00994958">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F2CDD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7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72" w14:textId="77777777" w:rsidR="00E836FB" w:rsidRDefault="00994958">
            <w:pPr>
              <w:jc w:val="right"/>
              <w:textAlignment w:val="bottom"/>
            </w:pPr>
            <w:r>
              <w:rPr>
                <w:rFonts w:ascii="Arial" w:eastAsia="宋体" w:hAnsi="Arial" w:cs="Arial"/>
                <w:b/>
                <w:bCs/>
                <w:color w:val="000000"/>
                <w:sz w:val="12"/>
                <w:szCs w:val="12"/>
              </w:rPr>
              <w:t>15,700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75" w14:textId="77777777" w:rsidR="00E836FB" w:rsidRDefault="00994958">
            <w:pPr>
              <w:jc w:val="right"/>
              <w:textAlignment w:val="bottom"/>
            </w:pPr>
            <w:r>
              <w:rPr>
                <w:rFonts w:ascii="Arial" w:eastAsia="宋体" w:hAnsi="Arial" w:cs="Arial"/>
                <w:b/>
                <w:bCs/>
                <w:color w:val="000000"/>
                <w:sz w:val="12"/>
                <w:szCs w:val="12"/>
              </w:rPr>
              <w:t>15,700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7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7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78" w14:textId="77777777" w:rsidR="00E836FB" w:rsidRDefault="00994958">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F2CDD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7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7B" w14:textId="77777777" w:rsidR="00E836FB" w:rsidRDefault="00994958">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F2CDD7C" w14:textId="77777777" w:rsidR="00E836FB" w:rsidRDefault="00E836FB">
            <w:pPr>
              <w:jc w:val="right"/>
              <w:rPr>
                <w:rFonts w:ascii="宋体"/>
              </w:rPr>
            </w:pPr>
          </w:p>
        </w:tc>
      </w:tr>
      <w:tr w:rsidR="00E836FB" w14:paraId="5F2CDD96" w14:textId="77777777">
        <w:tc>
          <w:tcPr>
            <w:tcW w:w="0" w:type="auto"/>
            <w:gridSpan w:val="9"/>
            <w:shd w:val="clear" w:color="auto" w:fill="CCEEFF"/>
            <w:tcMar>
              <w:top w:w="40" w:type="dxa"/>
              <w:left w:w="245" w:type="dxa"/>
              <w:bottom w:w="40" w:type="dxa"/>
              <w:right w:w="20" w:type="dxa"/>
            </w:tcMar>
            <w:vAlign w:val="bottom"/>
          </w:tcPr>
          <w:p w14:paraId="5F2CDD7E" w14:textId="77777777" w:rsidR="00E836FB" w:rsidRDefault="00994958">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5F2CDD7F" w14:textId="77777777" w:rsidR="00E836FB" w:rsidRDefault="00994958">
            <w:pPr>
              <w:jc w:val="right"/>
              <w:textAlignment w:val="bottom"/>
            </w:pPr>
            <w:r>
              <w:rPr>
                <w:rFonts w:ascii="Arial" w:eastAsia="宋体" w:hAnsi="Arial" w:cs="Arial"/>
                <w:b/>
                <w:bCs/>
                <w:color w:val="000000"/>
                <w:sz w:val="12"/>
                <w:szCs w:val="12"/>
              </w:rPr>
              <w:t>(1,133)</w:t>
            </w:r>
          </w:p>
        </w:tc>
        <w:tc>
          <w:tcPr>
            <w:tcW w:w="0" w:type="auto"/>
            <w:shd w:val="clear" w:color="auto" w:fill="CCEEFF"/>
            <w:tcMar>
              <w:top w:w="40" w:type="dxa"/>
              <w:left w:w="0" w:type="dxa"/>
              <w:bottom w:w="40" w:type="dxa"/>
              <w:right w:w="20" w:type="dxa"/>
            </w:tcMar>
            <w:vAlign w:val="bottom"/>
          </w:tcPr>
          <w:p w14:paraId="5F2CDD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8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82" w14:textId="77777777" w:rsidR="00E836FB" w:rsidRDefault="00994958">
            <w:pPr>
              <w:jc w:val="right"/>
              <w:textAlignment w:val="bottom"/>
            </w:pPr>
            <w:r>
              <w:rPr>
                <w:rFonts w:ascii="Arial" w:eastAsia="宋体" w:hAnsi="Arial" w:cs="Arial"/>
                <w:b/>
                <w:bCs/>
                <w:color w:val="000000"/>
                <w:sz w:val="12"/>
                <w:szCs w:val="12"/>
              </w:rPr>
              <w:t>(1,133)</w:t>
            </w:r>
          </w:p>
        </w:tc>
        <w:tc>
          <w:tcPr>
            <w:tcW w:w="0" w:type="auto"/>
            <w:shd w:val="clear" w:color="auto" w:fill="CCEEFF"/>
            <w:tcMar>
              <w:top w:w="40" w:type="dxa"/>
              <w:left w:w="0" w:type="dxa"/>
              <w:bottom w:w="40" w:type="dxa"/>
              <w:right w:w="20" w:type="dxa"/>
            </w:tcMar>
            <w:vAlign w:val="bottom"/>
          </w:tcPr>
          <w:p w14:paraId="5F2CDD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8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85" w14:textId="77777777" w:rsidR="00E836FB" w:rsidRDefault="00994958">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F2CDD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8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88" w14:textId="77777777" w:rsidR="00E836FB" w:rsidRDefault="00994958">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F2CDD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8B" w14:textId="77777777" w:rsidR="00E836FB" w:rsidRDefault="00994958">
            <w:pPr>
              <w:jc w:val="right"/>
              <w:textAlignment w:val="bottom"/>
            </w:pPr>
            <w:r>
              <w:rPr>
                <w:rFonts w:ascii="Arial" w:eastAsia="宋体" w:hAnsi="Arial" w:cs="Arial"/>
                <w:b/>
                <w:bCs/>
                <w:color w:val="000000"/>
                <w:sz w:val="12"/>
                <w:szCs w:val="12"/>
              </w:rPr>
              <w:t>(926)</w:t>
            </w:r>
          </w:p>
        </w:tc>
        <w:tc>
          <w:tcPr>
            <w:tcW w:w="0" w:type="auto"/>
            <w:shd w:val="clear" w:color="auto" w:fill="CCEEFF"/>
            <w:tcMar>
              <w:top w:w="40" w:type="dxa"/>
              <w:left w:w="0" w:type="dxa"/>
              <w:bottom w:w="40" w:type="dxa"/>
              <w:right w:w="20" w:type="dxa"/>
            </w:tcMar>
            <w:vAlign w:val="bottom"/>
          </w:tcPr>
          <w:p w14:paraId="5F2CDD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8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8E" w14:textId="77777777" w:rsidR="00E836FB" w:rsidRDefault="00994958">
            <w:pPr>
              <w:jc w:val="right"/>
              <w:textAlignment w:val="bottom"/>
            </w:pPr>
            <w:r>
              <w:rPr>
                <w:rFonts w:ascii="Arial" w:eastAsia="宋体" w:hAnsi="Arial" w:cs="Arial"/>
                <w:b/>
                <w:bCs/>
                <w:color w:val="000000"/>
                <w:sz w:val="12"/>
                <w:szCs w:val="12"/>
              </w:rPr>
              <w:t>(926)</w:t>
            </w:r>
          </w:p>
        </w:tc>
        <w:tc>
          <w:tcPr>
            <w:tcW w:w="0" w:type="auto"/>
            <w:shd w:val="clear" w:color="auto" w:fill="CCEEFF"/>
            <w:tcMar>
              <w:top w:w="40" w:type="dxa"/>
              <w:left w:w="0" w:type="dxa"/>
              <w:bottom w:w="40" w:type="dxa"/>
              <w:right w:w="20" w:type="dxa"/>
            </w:tcMar>
            <w:vAlign w:val="bottom"/>
          </w:tcPr>
          <w:p w14:paraId="5F2CDD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9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91" w14:textId="77777777" w:rsidR="00E836FB" w:rsidRDefault="00994958">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F2CDD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9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94" w14:textId="77777777" w:rsidR="00E836FB" w:rsidRDefault="00994958">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F2CDD95" w14:textId="77777777" w:rsidR="00E836FB" w:rsidRDefault="00E836FB">
            <w:pPr>
              <w:jc w:val="right"/>
              <w:rPr>
                <w:rFonts w:ascii="宋体"/>
              </w:rPr>
            </w:pPr>
          </w:p>
        </w:tc>
      </w:tr>
      <w:tr w:rsidR="00E836FB" w14:paraId="5F2CDDAF" w14:textId="77777777">
        <w:tc>
          <w:tcPr>
            <w:tcW w:w="0" w:type="auto"/>
            <w:gridSpan w:val="9"/>
            <w:shd w:val="clear" w:color="auto" w:fill="FFFFFF"/>
            <w:tcMar>
              <w:top w:w="40" w:type="dxa"/>
              <w:left w:w="245" w:type="dxa"/>
              <w:bottom w:w="40" w:type="dxa"/>
              <w:right w:w="20" w:type="dxa"/>
            </w:tcMar>
            <w:vAlign w:val="bottom"/>
          </w:tcPr>
          <w:p w14:paraId="5F2CDD97" w14:textId="77777777" w:rsidR="00E836FB" w:rsidRDefault="00994958">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5F2CDD98" w14:textId="77777777" w:rsidR="00E836FB" w:rsidRDefault="00994958">
            <w:pPr>
              <w:jc w:val="right"/>
              <w:textAlignment w:val="bottom"/>
            </w:pPr>
            <w:r>
              <w:rPr>
                <w:rFonts w:ascii="Arial" w:eastAsia="宋体" w:hAnsi="Arial" w:cs="Arial"/>
                <w:b/>
                <w:bCs/>
                <w:color w:val="000000"/>
                <w:sz w:val="12"/>
                <w:szCs w:val="12"/>
              </w:rPr>
              <w:t>(10,009)</w:t>
            </w:r>
          </w:p>
        </w:tc>
        <w:tc>
          <w:tcPr>
            <w:tcW w:w="0" w:type="auto"/>
            <w:shd w:val="clear" w:color="auto" w:fill="FFFFFF"/>
            <w:tcMar>
              <w:top w:w="40" w:type="dxa"/>
              <w:left w:w="0" w:type="dxa"/>
              <w:bottom w:w="40" w:type="dxa"/>
              <w:right w:w="20" w:type="dxa"/>
            </w:tcMar>
            <w:vAlign w:val="bottom"/>
          </w:tcPr>
          <w:p w14:paraId="5F2CDD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9B" w14:textId="77777777" w:rsidR="00E836FB" w:rsidRDefault="00994958">
            <w:pPr>
              <w:jc w:val="right"/>
              <w:textAlignment w:val="bottom"/>
            </w:pPr>
            <w:r>
              <w:rPr>
                <w:rFonts w:ascii="Arial" w:eastAsia="宋体" w:hAnsi="Arial" w:cs="Arial"/>
                <w:b/>
                <w:bCs/>
                <w:color w:val="000000"/>
                <w:sz w:val="12"/>
                <w:szCs w:val="12"/>
              </w:rPr>
              <w:t>(10,009)</w:t>
            </w:r>
          </w:p>
        </w:tc>
        <w:tc>
          <w:tcPr>
            <w:tcW w:w="0" w:type="auto"/>
            <w:shd w:val="clear" w:color="auto" w:fill="FFFFFF"/>
            <w:tcMar>
              <w:top w:w="40" w:type="dxa"/>
              <w:left w:w="0" w:type="dxa"/>
              <w:bottom w:w="40" w:type="dxa"/>
              <w:right w:w="20" w:type="dxa"/>
            </w:tcMar>
            <w:vAlign w:val="bottom"/>
          </w:tcPr>
          <w:p w14:paraId="5F2CDD9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9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9E" w14:textId="77777777" w:rsidR="00E836FB" w:rsidRDefault="00994958">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F2CDD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A1" w14:textId="77777777" w:rsidR="00E836FB" w:rsidRDefault="00994958">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F2CDD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A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A4"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A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A7"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A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A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AA" w14:textId="77777777" w:rsidR="00E836FB" w:rsidRDefault="00994958">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A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AD" w14:textId="77777777" w:rsidR="00E836FB" w:rsidRDefault="00994958">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DAE" w14:textId="77777777" w:rsidR="00E836FB" w:rsidRDefault="00E836FB">
            <w:pPr>
              <w:jc w:val="right"/>
              <w:rPr>
                <w:rFonts w:ascii="宋体"/>
              </w:rPr>
            </w:pPr>
          </w:p>
        </w:tc>
      </w:tr>
      <w:tr w:rsidR="00E836FB" w14:paraId="5F2CDDC8" w14:textId="77777777">
        <w:tc>
          <w:tcPr>
            <w:tcW w:w="0" w:type="auto"/>
            <w:gridSpan w:val="9"/>
            <w:shd w:val="clear" w:color="auto" w:fill="CCEEFF"/>
            <w:tcMar>
              <w:top w:w="40" w:type="dxa"/>
              <w:left w:w="155" w:type="dxa"/>
              <w:bottom w:w="40" w:type="dxa"/>
              <w:right w:w="20" w:type="dxa"/>
            </w:tcMar>
            <w:vAlign w:val="bottom"/>
          </w:tcPr>
          <w:p w14:paraId="5F2CDDB0" w14:textId="77777777" w:rsidR="00E836FB" w:rsidRDefault="00994958">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B1" w14:textId="77777777" w:rsidR="00E836FB" w:rsidRDefault="00994958">
            <w:pPr>
              <w:jc w:val="right"/>
              <w:textAlignment w:val="bottom"/>
            </w:pPr>
            <w:r>
              <w:rPr>
                <w:rFonts w:ascii="Arial" w:eastAsia="宋体" w:hAnsi="Arial" w:cs="Arial"/>
                <w:b/>
                <w:bCs/>
                <w:color w:val="000000"/>
                <w:sz w:val="12"/>
                <w:szCs w:val="12"/>
              </w:rPr>
              <w:t>25,387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B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B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B4" w14:textId="77777777" w:rsidR="00E836FB" w:rsidRDefault="00994958">
            <w:pPr>
              <w:jc w:val="right"/>
              <w:textAlignment w:val="bottom"/>
            </w:pPr>
            <w:r>
              <w:rPr>
                <w:rFonts w:ascii="Arial" w:eastAsia="宋体" w:hAnsi="Arial" w:cs="Arial"/>
                <w:b/>
                <w:bCs/>
                <w:color w:val="000000"/>
                <w:sz w:val="12"/>
                <w:szCs w:val="12"/>
              </w:rPr>
              <w:t>25,387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B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B7" w14:textId="77777777" w:rsidR="00E836FB" w:rsidRDefault="00994958">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B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BA" w14:textId="77777777" w:rsidR="00E836FB" w:rsidRDefault="00994958">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B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BD" w14:textId="77777777" w:rsidR="00E836FB" w:rsidRDefault="00994958">
            <w:pPr>
              <w:jc w:val="right"/>
              <w:textAlignment w:val="bottom"/>
            </w:pPr>
            <w:r>
              <w:rPr>
                <w:rFonts w:ascii="Arial" w:eastAsia="宋体" w:hAnsi="Arial" w:cs="Arial"/>
                <w:b/>
                <w:bCs/>
                <w:color w:val="000000"/>
                <w:sz w:val="12"/>
                <w:szCs w:val="12"/>
              </w:rPr>
              <w:t>27,821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B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C0" w14:textId="77777777" w:rsidR="00E836FB" w:rsidRDefault="00994958">
            <w:pPr>
              <w:jc w:val="right"/>
              <w:textAlignment w:val="bottom"/>
            </w:pPr>
            <w:r>
              <w:rPr>
                <w:rFonts w:ascii="Arial" w:eastAsia="宋体" w:hAnsi="Arial" w:cs="Arial"/>
                <w:b/>
                <w:bCs/>
                <w:color w:val="000000"/>
                <w:sz w:val="12"/>
                <w:szCs w:val="12"/>
              </w:rPr>
              <w:t>27,821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C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C3" w14:textId="77777777" w:rsidR="00E836FB" w:rsidRDefault="00994958">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C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DC6" w14:textId="77777777" w:rsidR="00E836FB" w:rsidRDefault="00994958">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DC7" w14:textId="77777777" w:rsidR="00E836FB" w:rsidRDefault="00E836FB">
            <w:pPr>
              <w:jc w:val="right"/>
              <w:rPr>
                <w:rFonts w:ascii="宋体"/>
              </w:rPr>
            </w:pPr>
          </w:p>
        </w:tc>
      </w:tr>
      <w:tr w:rsidR="00E836FB" w14:paraId="5F2CDDD9" w14:textId="77777777">
        <w:tc>
          <w:tcPr>
            <w:tcW w:w="0" w:type="auto"/>
            <w:gridSpan w:val="9"/>
            <w:shd w:val="clear" w:color="auto" w:fill="FFFFFF"/>
            <w:tcMar>
              <w:top w:w="40" w:type="dxa"/>
              <w:left w:w="155" w:type="dxa"/>
              <w:bottom w:w="40" w:type="dxa"/>
              <w:right w:w="20" w:type="dxa"/>
            </w:tcMar>
            <w:vAlign w:val="bottom"/>
          </w:tcPr>
          <w:p w14:paraId="5F2CDDC9" w14:textId="77777777" w:rsidR="00E836FB" w:rsidRDefault="00994958">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5F2CDDC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C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C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C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C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C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DDD8" w14:textId="77777777" w:rsidR="00E836FB" w:rsidRDefault="00E836FB">
            <w:pPr>
              <w:rPr>
                <w:rFonts w:ascii="宋体"/>
              </w:rPr>
            </w:pPr>
          </w:p>
        </w:tc>
      </w:tr>
      <w:tr w:rsidR="00E836FB" w14:paraId="5F2CDDF2" w14:textId="77777777">
        <w:tc>
          <w:tcPr>
            <w:tcW w:w="0" w:type="auto"/>
            <w:gridSpan w:val="9"/>
            <w:shd w:val="clear" w:color="auto" w:fill="CCEEFF"/>
            <w:tcMar>
              <w:top w:w="40" w:type="dxa"/>
              <w:left w:w="245" w:type="dxa"/>
              <w:bottom w:w="40" w:type="dxa"/>
              <w:right w:w="20" w:type="dxa"/>
            </w:tcMar>
            <w:vAlign w:val="bottom"/>
          </w:tcPr>
          <w:p w14:paraId="5F2CDDDA" w14:textId="77777777" w:rsidR="00E836FB" w:rsidRDefault="00994958">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5F2CDDDB" w14:textId="77777777" w:rsidR="00E836FB" w:rsidRDefault="00994958">
            <w:pPr>
              <w:jc w:val="right"/>
              <w:textAlignment w:val="bottom"/>
            </w:pPr>
            <w:r>
              <w:rPr>
                <w:rFonts w:ascii="Arial" w:eastAsia="宋体" w:hAnsi="Arial" w:cs="Arial"/>
                <w:b/>
                <w:bCs/>
                <w:color w:val="000000"/>
                <w:sz w:val="12"/>
                <w:szCs w:val="12"/>
              </w:rPr>
              <w:t>(8,935)</w:t>
            </w:r>
          </w:p>
        </w:tc>
        <w:tc>
          <w:tcPr>
            <w:tcW w:w="0" w:type="auto"/>
            <w:shd w:val="clear" w:color="auto" w:fill="CCEEFF"/>
            <w:tcMar>
              <w:top w:w="40" w:type="dxa"/>
              <w:left w:w="0" w:type="dxa"/>
              <w:bottom w:w="40" w:type="dxa"/>
              <w:right w:w="20" w:type="dxa"/>
            </w:tcMar>
            <w:vAlign w:val="bottom"/>
          </w:tcPr>
          <w:p w14:paraId="5F2CDDD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D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DE" w14:textId="77777777" w:rsidR="00E836FB" w:rsidRDefault="00994958">
            <w:pPr>
              <w:jc w:val="right"/>
              <w:textAlignment w:val="bottom"/>
            </w:pPr>
            <w:r>
              <w:rPr>
                <w:rFonts w:ascii="Arial" w:eastAsia="宋体" w:hAnsi="Arial" w:cs="Arial"/>
                <w:b/>
                <w:bCs/>
                <w:color w:val="000000"/>
                <w:sz w:val="12"/>
                <w:szCs w:val="12"/>
              </w:rPr>
              <w:t>(8,935)</w:t>
            </w:r>
          </w:p>
        </w:tc>
        <w:tc>
          <w:tcPr>
            <w:tcW w:w="0" w:type="auto"/>
            <w:shd w:val="clear" w:color="auto" w:fill="CCEEFF"/>
            <w:tcMar>
              <w:top w:w="40" w:type="dxa"/>
              <w:left w:w="0" w:type="dxa"/>
              <w:bottom w:w="40" w:type="dxa"/>
              <w:right w:w="20" w:type="dxa"/>
            </w:tcMar>
            <w:vAlign w:val="bottom"/>
          </w:tcPr>
          <w:p w14:paraId="5F2CDDD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E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E1" w14:textId="77777777" w:rsidR="00E836FB" w:rsidRDefault="00994958">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F2CDD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E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E4" w14:textId="77777777" w:rsidR="00E836FB" w:rsidRDefault="00994958">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F2CDDE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E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E7" w14:textId="77777777" w:rsidR="00E836FB" w:rsidRDefault="00994958">
            <w:pPr>
              <w:jc w:val="right"/>
              <w:textAlignment w:val="bottom"/>
            </w:pPr>
            <w:r>
              <w:rPr>
                <w:rFonts w:ascii="Arial" w:eastAsia="宋体" w:hAnsi="Arial" w:cs="Arial"/>
                <w:b/>
                <w:bCs/>
                <w:color w:val="000000"/>
                <w:sz w:val="12"/>
                <w:szCs w:val="12"/>
              </w:rPr>
              <w:t>(8,667)</w:t>
            </w:r>
          </w:p>
        </w:tc>
        <w:tc>
          <w:tcPr>
            <w:tcW w:w="0" w:type="auto"/>
            <w:shd w:val="clear" w:color="auto" w:fill="CCEEFF"/>
            <w:tcMar>
              <w:top w:w="40" w:type="dxa"/>
              <w:left w:w="0" w:type="dxa"/>
              <w:bottom w:w="40" w:type="dxa"/>
              <w:right w:w="20" w:type="dxa"/>
            </w:tcMar>
            <w:vAlign w:val="bottom"/>
          </w:tcPr>
          <w:p w14:paraId="5F2CDD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EA" w14:textId="77777777" w:rsidR="00E836FB" w:rsidRDefault="00994958">
            <w:pPr>
              <w:jc w:val="right"/>
              <w:textAlignment w:val="bottom"/>
            </w:pPr>
            <w:r>
              <w:rPr>
                <w:rFonts w:ascii="Arial" w:eastAsia="宋体" w:hAnsi="Arial" w:cs="Arial"/>
                <w:b/>
                <w:bCs/>
                <w:color w:val="000000"/>
                <w:sz w:val="12"/>
                <w:szCs w:val="12"/>
              </w:rPr>
              <w:t>(8,667)</w:t>
            </w:r>
          </w:p>
        </w:tc>
        <w:tc>
          <w:tcPr>
            <w:tcW w:w="0" w:type="auto"/>
            <w:shd w:val="clear" w:color="auto" w:fill="CCEEFF"/>
            <w:tcMar>
              <w:top w:w="40" w:type="dxa"/>
              <w:left w:w="0" w:type="dxa"/>
              <w:bottom w:w="40" w:type="dxa"/>
              <w:right w:w="20" w:type="dxa"/>
            </w:tcMar>
            <w:vAlign w:val="bottom"/>
          </w:tcPr>
          <w:p w14:paraId="5F2CDD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ED" w14:textId="77777777" w:rsidR="00E836FB" w:rsidRDefault="00994958">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F2CDD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D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DF0" w14:textId="77777777" w:rsidR="00E836FB" w:rsidRDefault="00994958">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F2CDDF1" w14:textId="77777777" w:rsidR="00E836FB" w:rsidRDefault="00E836FB">
            <w:pPr>
              <w:jc w:val="right"/>
              <w:rPr>
                <w:rFonts w:ascii="宋体"/>
              </w:rPr>
            </w:pPr>
          </w:p>
        </w:tc>
      </w:tr>
      <w:tr w:rsidR="00E836FB" w14:paraId="5F2CDE0B" w14:textId="77777777">
        <w:tc>
          <w:tcPr>
            <w:tcW w:w="0" w:type="auto"/>
            <w:gridSpan w:val="9"/>
            <w:shd w:val="clear" w:color="auto" w:fill="FFFFFF"/>
            <w:tcMar>
              <w:top w:w="40" w:type="dxa"/>
              <w:left w:w="20" w:type="dxa"/>
              <w:bottom w:w="40" w:type="dxa"/>
              <w:right w:w="20" w:type="dxa"/>
            </w:tcMar>
            <w:vAlign w:val="bottom"/>
          </w:tcPr>
          <w:p w14:paraId="5F2CDDF3" w14:textId="77777777" w:rsidR="00E836FB" w:rsidRDefault="00994958">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5F2CDDF4" w14:textId="77777777" w:rsidR="00E836FB" w:rsidRDefault="00994958">
            <w:pPr>
              <w:jc w:val="right"/>
              <w:textAlignment w:val="bottom"/>
            </w:pPr>
            <w:r>
              <w:rPr>
                <w:rFonts w:ascii="Arial" w:eastAsia="宋体" w:hAnsi="Arial" w:cs="Arial"/>
                <w:b/>
                <w:bCs/>
                <w:color w:val="000000"/>
                <w:sz w:val="12"/>
                <w:szCs w:val="12"/>
              </w:rPr>
              <w:t>(505)</w:t>
            </w:r>
          </w:p>
        </w:tc>
        <w:tc>
          <w:tcPr>
            <w:tcW w:w="0" w:type="auto"/>
            <w:shd w:val="clear" w:color="auto" w:fill="FFFFFF"/>
            <w:tcMar>
              <w:top w:w="40" w:type="dxa"/>
              <w:left w:w="0" w:type="dxa"/>
              <w:bottom w:w="40" w:type="dxa"/>
              <w:right w:w="20" w:type="dxa"/>
            </w:tcMar>
            <w:vAlign w:val="bottom"/>
          </w:tcPr>
          <w:p w14:paraId="5F2CDD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F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F7" w14:textId="77777777" w:rsidR="00E836FB" w:rsidRDefault="00994958">
            <w:pPr>
              <w:jc w:val="right"/>
              <w:textAlignment w:val="bottom"/>
            </w:pPr>
            <w:r>
              <w:rPr>
                <w:rFonts w:ascii="Arial" w:eastAsia="宋体" w:hAnsi="Arial" w:cs="Arial"/>
                <w:b/>
                <w:bCs/>
                <w:color w:val="000000"/>
                <w:sz w:val="12"/>
                <w:szCs w:val="12"/>
              </w:rPr>
              <w:t>(505)</w:t>
            </w:r>
          </w:p>
        </w:tc>
        <w:tc>
          <w:tcPr>
            <w:tcW w:w="0" w:type="auto"/>
            <w:shd w:val="clear" w:color="auto" w:fill="FFFFFF"/>
            <w:tcMar>
              <w:top w:w="40" w:type="dxa"/>
              <w:left w:w="0" w:type="dxa"/>
              <w:bottom w:w="40" w:type="dxa"/>
              <w:right w:w="20" w:type="dxa"/>
            </w:tcMar>
            <w:vAlign w:val="bottom"/>
          </w:tcPr>
          <w:p w14:paraId="5F2CDD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F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FA" w14:textId="77777777" w:rsidR="00E836FB" w:rsidRDefault="00994958">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F2CDDF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F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DFD" w14:textId="77777777" w:rsidR="00E836FB" w:rsidRDefault="00994958">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F2CDDF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DF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E00" w14:textId="77777777" w:rsidR="00E836FB" w:rsidRDefault="00994958">
            <w:pPr>
              <w:jc w:val="right"/>
              <w:textAlignment w:val="bottom"/>
            </w:pPr>
            <w:r>
              <w:rPr>
                <w:rFonts w:ascii="Arial" w:eastAsia="宋体" w:hAnsi="Arial" w:cs="Arial"/>
                <w:b/>
                <w:bCs/>
                <w:color w:val="000000"/>
                <w:sz w:val="12"/>
                <w:szCs w:val="12"/>
              </w:rPr>
              <w:t>(309)</w:t>
            </w:r>
          </w:p>
        </w:tc>
        <w:tc>
          <w:tcPr>
            <w:tcW w:w="0" w:type="auto"/>
            <w:shd w:val="clear" w:color="auto" w:fill="FFFFFF"/>
            <w:tcMar>
              <w:top w:w="40" w:type="dxa"/>
              <w:left w:w="0" w:type="dxa"/>
              <w:bottom w:w="40" w:type="dxa"/>
              <w:right w:w="20" w:type="dxa"/>
            </w:tcMar>
            <w:vAlign w:val="bottom"/>
          </w:tcPr>
          <w:p w14:paraId="5F2CDE0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0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E03" w14:textId="77777777" w:rsidR="00E836FB" w:rsidRDefault="00994958">
            <w:pPr>
              <w:jc w:val="right"/>
              <w:textAlignment w:val="bottom"/>
            </w:pPr>
            <w:r>
              <w:rPr>
                <w:rFonts w:ascii="Arial" w:eastAsia="宋体" w:hAnsi="Arial" w:cs="Arial"/>
                <w:b/>
                <w:bCs/>
                <w:color w:val="000000"/>
                <w:sz w:val="12"/>
                <w:szCs w:val="12"/>
              </w:rPr>
              <w:t>(309)</w:t>
            </w:r>
          </w:p>
        </w:tc>
        <w:tc>
          <w:tcPr>
            <w:tcW w:w="0" w:type="auto"/>
            <w:shd w:val="clear" w:color="auto" w:fill="FFFFFF"/>
            <w:tcMar>
              <w:top w:w="40" w:type="dxa"/>
              <w:left w:w="0" w:type="dxa"/>
              <w:bottom w:w="40" w:type="dxa"/>
              <w:right w:w="20" w:type="dxa"/>
            </w:tcMar>
            <w:vAlign w:val="bottom"/>
          </w:tcPr>
          <w:p w14:paraId="5F2CDE0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0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E06" w14:textId="77777777" w:rsidR="00E836FB" w:rsidRDefault="00994958">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F2CDE0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0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E09" w14:textId="77777777" w:rsidR="00E836FB" w:rsidRDefault="00994958">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F2CDE0A" w14:textId="77777777" w:rsidR="00E836FB" w:rsidRDefault="00E836FB">
            <w:pPr>
              <w:jc w:val="right"/>
              <w:rPr>
                <w:rFonts w:ascii="宋体"/>
              </w:rPr>
            </w:pPr>
          </w:p>
        </w:tc>
      </w:tr>
      <w:tr w:rsidR="00E836FB" w14:paraId="5F2CDE24" w14:textId="77777777">
        <w:tc>
          <w:tcPr>
            <w:tcW w:w="0" w:type="auto"/>
            <w:gridSpan w:val="9"/>
            <w:shd w:val="clear" w:color="auto" w:fill="CCEEFF"/>
            <w:tcMar>
              <w:top w:w="40" w:type="dxa"/>
              <w:left w:w="20" w:type="dxa"/>
              <w:bottom w:w="40" w:type="dxa"/>
              <w:right w:w="20" w:type="dxa"/>
            </w:tcMar>
            <w:vAlign w:val="bottom"/>
          </w:tcPr>
          <w:p w14:paraId="5F2CDE0C" w14:textId="77777777" w:rsidR="00E836FB" w:rsidRDefault="00994958">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0D" w14:textId="77777777" w:rsidR="00E836FB" w:rsidRDefault="00994958">
            <w:pPr>
              <w:jc w:val="right"/>
              <w:textAlignment w:val="bottom"/>
            </w:pPr>
            <w:r>
              <w:rPr>
                <w:rFonts w:ascii="Arial" w:eastAsia="宋体" w:hAnsi="Arial" w:cs="Arial"/>
                <w:b/>
                <w:bCs/>
                <w:color w:val="000000"/>
                <w:sz w:val="12"/>
                <w:szCs w:val="12"/>
              </w:rPr>
              <w:t>15,947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0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0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10" w14:textId="77777777" w:rsidR="00E836FB" w:rsidRDefault="00994958">
            <w:pPr>
              <w:jc w:val="right"/>
              <w:textAlignment w:val="bottom"/>
            </w:pPr>
            <w:r>
              <w:rPr>
                <w:rFonts w:ascii="Arial" w:eastAsia="宋体" w:hAnsi="Arial" w:cs="Arial"/>
                <w:b/>
                <w:bCs/>
                <w:color w:val="000000"/>
                <w:sz w:val="12"/>
                <w:szCs w:val="12"/>
              </w:rPr>
              <w:t>15,947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1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13" w14:textId="77777777" w:rsidR="00E836FB" w:rsidRDefault="00994958">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1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16" w14:textId="77777777" w:rsidR="00E836FB" w:rsidRDefault="00994958">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1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1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19"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1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1C"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1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1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1F"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2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22"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23" w14:textId="77777777" w:rsidR="00E836FB" w:rsidRDefault="00E836FB">
            <w:pPr>
              <w:jc w:val="right"/>
              <w:rPr>
                <w:rFonts w:ascii="宋体"/>
              </w:rPr>
            </w:pPr>
          </w:p>
        </w:tc>
      </w:tr>
      <w:tr w:rsidR="00E836FB" w14:paraId="5F2CDE3D" w14:textId="77777777">
        <w:tc>
          <w:tcPr>
            <w:tcW w:w="0" w:type="auto"/>
            <w:gridSpan w:val="9"/>
            <w:shd w:val="clear" w:color="auto" w:fill="FFFFFF"/>
            <w:tcMar>
              <w:top w:w="40" w:type="dxa"/>
              <w:left w:w="245" w:type="dxa"/>
              <w:bottom w:w="40" w:type="dxa"/>
              <w:right w:w="20" w:type="dxa"/>
            </w:tcMar>
            <w:vAlign w:val="bottom"/>
          </w:tcPr>
          <w:p w14:paraId="5F2CDE25" w14:textId="77777777" w:rsidR="00E836FB" w:rsidRDefault="00994958">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26" w14:textId="77777777" w:rsidR="00E836FB" w:rsidRDefault="00994958">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2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29" w14:textId="77777777" w:rsidR="00E836FB" w:rsidRDefault="00994958">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2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2C" w14:textId="77777777" w:rsidR="00E836FB" w:rsidRDefault="00994958">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2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2F" w14:textId="77777777" w:rsidR="00E836FB" w:rsidRDefault="00994958">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3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32"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3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35"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3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38" w14:textId="77777777" w:rsidR="00E836FB" w:rsidRDefault="00994958">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3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3B" w14:textId="77777777" w:rsidR="00E836FB" w:rsidRDefault="00994958">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3C" w14:textId="77777777" w:rsidR="00E836FB" w:rsidRDefault="00E836FB">
            <w:pPr>
              <w:jc w:val="right"/>
              <w:rPr>
                <w:rFonts w:ascii="宋体"/>
              </w:rPr>
            </w:pPr>
          </w:p>
        </w:tc>
      </w:tr>
      <w:tr w:rsidR="00E836FB" w14:paraId="5F2CDE54" w14:textId="77777777">
        <w:trPr>
          <w:hidden/>
        </w:trPr>
        <w:tc>
          <w:tcPr>
            <w:tcW w:w="0" w:type="auto"/>
            <w:gridSpan w:val="3"/>
            <w:shd w:val="clear" w:color="auto" w:fill="auto"/>
            <w:vAlign w:val="bottom"/>
          </w:tcPr>
          <w:p w14:paraId="5F2CDE3E" w14:textId="77777777" w:rsidR="00E836FB" w:rsidRDefault="00E836FB">
            <w:pPr>
              <w:rPr>
                <w:rFonts w:ascii="宋体"/>
                <w:vanish/>
              </w:rPr>
            </w:pPr>
          </w:p>
        </w:tc>
        <w:tc>
          <w:tcPr>
            <w:tcW w:w="0" w:type="auto"/>
            <w:gridSpan w:val="3"/>
            <w:shd w:val="clear" w:color="auto" w:fill="auto"/>
            <w:vAlign w:val="bottom"/>
          </w:tcPr>
          <w:p w14:paraId="5F2CDE3F" w14:textId="77777777" w:rsidR="00E836FB" w:rsidRDefault="00E836FB">
            <w:pPr>
              <w:rPr>
                <w:rFonts w:ascii="宋体"/>
                <w:vanish/>
              </w:rPr>
            </w:pPr>
          </w:p>
        </w:tc>
        <w:tc>
          <w:tcPr>
            <w:tcW w:w="0" w:type="auto"/>
            <w:gridSpan w:val="3"/>
            <w:shd w:val="clear" w:color="auto" w:fill="auto"/>
            <w:vAlign w:val="bottom"/>
          </w:tcPr>
          <w:p w14:paraId="5F2CDE40" w14:textId="77777777" w:rsidR="00E836FB" w:rsidRDefault="00E836FB">
            <w:pPr>
              <w:rPr>
                <w:rFonts w:ascii="宋体"/>
                <w:vanish/>
              </w:rPr>
            </w:pPr>
          </w:p>
        </w:tc>
        <w:tc>
          <w:tcPr>
            <w:tcW w:w="0" w:type="auto"/>
            <w:gridSpan w:val="3"/>
            <w:shd w:val="clear" w:color="auto" w:fill="auto"/>
            <w:vAlign w:val="bottom"/>
          </w:tcPr>
          <w:p w14:paraId="5F2CDE41" w14:textId="77777777" w:rsidR="00E836FB" w:rsidRDefault="00E836FB">
            <w:pPr>
              <w:rPr>
                <w:rFonts w:ascii="宋体"/>
                <w:vanish/>
              </w:rPr>
            </w:pPr>
          </w:p>
        </w:tc>
        <w:tc>
          <w:tcPr>
            <w:tcW w:w="0" w:type="auto"/>
            <w:gridSpan w:val="3"/>
            <w:shd w:val="clear" w:color="auto" w:fill="auto"/>
            <w:vAlign w:val="bottom"/>
          </w:tcPr>
          <w:p w14:paraId="5F2CDE42" w14:textId="77777777" w:rsidR="00E836FB" w:rsidRDefault="00E836FB">
            <w:pPr>
              <w:rPr>
                <w:rFonts w:ascii="宋体"/>
                <w:vanish/>
              </w:rPr>
            </w:pPr>
          </w:p>
        </w:tc>
        <w:tc>
          <w:tcPr>
            <w:tcW w:w="0" w:type="auto"/>
            <w:gridSpan w:val="3"/>
            <w:shd w:val="clear" w:color="auto" w:fill="auto"/>
            <w:vAlign w:val="bottom"/>
          </w:tcPr>
          <w:p w14:paraId="5F2CDE43" w14:textId="77777777" w:rsidR="00E836FB" w:rsidRDefault="00E836FB">
            <w:pPr>
              <w:rPr>
                <w:rFonts w:ascii="宋体"/>
                <w:vanish/>
              </w:rPr>
            </w:pPr>
          </w:p>
        </w:tc>
        <w:tc>
          <w:tcPr>
            <w:tcW w:w="0" w:type="auto"/>
            <w:gridSpan w:val="3"/>
            <w:shd w:val="clear" w:color="auto" w:fill="auto"/>
            <w:vAlign w:val="bottom"/>
          </w:tcPr>
          <w:p w14:paraId="5F2CDE44" w14:textId="77777777" w:rsidR="00E836FB" w:rsidRDefault="00E836FB">
            <w:pPr>
              <w:rPr>
                <w:rFonts w:ascii="宋体"/>
                <w:vanish/>
              </w:rPr>
            </w:pPr>
          </w:p>
        </w:tc>
        <w:tc>
          <w:tcPr>
            <w:tcW w:w="0" w:type="auto"/>
            <w:gridSpan w:val="3"/>
            <w:shd w:val="clear" w:color="auto" w:fill="auto"/>
            <w:vAlign w:val="bottom"/>
          </w:tcPr>
          <w:p w14:paraId="5F2CDE45" w14:textId="77777777" w:rsidR="00E836FB" w:rsidRDefault="00E836FB">
            <w:pPr>
              <w:rPr>
                <w:rFonts w:ascii="宋体"/>
                <w:vanish/>
              </w:rPr>
            </w:pPr>
          </w:p>
        </w:tc>
        <w:tc>
          <w:tcPr>
            <w:tcW w:w="0" w:type="auto"/>
            <w:gridSpan w:val="3"/>
            <w:shd w:val="clear" w:color="auto" w:fill="auto"/>
            <w:vAlign w:val="bottom"/>
          </w:tcPr>
          <w:p w14:paraId="5F2CDE46" w14:textId="77777777" w:rsidR="00E836FB" w:rsidRDefault="00E836FB">
            <w:pPr>
              <w:rPr>
                <w:rFonts w:ascii="宋体"/>
                <w:vanish/>
              </w:rPr>
            </w:pPr>
          </w:p>
        </w:tc>
        <w:tc>
          <w:tcPr>
            <w:tcW w:w="0" w:type="auto"/>
            <w:gridSpan w:val="3"/>
            <w:shd w:val="clear" w:color="auto" w:fill="auto"/>
            <w:vAlign w:val="bottom"/>
          </w:tcPr>
          <w:p w14:paraId="5F2CDE47" w14:textId="77777777" w:rsidR="00E836FB" w:rsidRDefault="00E836FB">
            <w:pPr>
              <w:rPr>
                <w:rFonts w:ascii="宋体"/>
                <w:vanish/>
              </w:rPr>
            </w:pPr>
          </w:p>
        </w:tc>
        <w:tc>
          <w:tcPr>
            <w:tcW w:w="0" w:type="auto"/>
            <w:gridSpan w:val="3"/>
            <w:shd w:val="clear" w:color="auto" w:fill="auto"/>
            <w:vAlign w:val="bottom"/>
          </w:tcPr>
          <w:p w14:paraId="5F2CDE48" w14:textId="77777777" w:rsidR="00E836FB" w:rsidRDefault="00E836FB">
            <w:pPr>
              <w:rPr>
                <w:rFonts w:ascii="宋体"/>
                <w:vanish/>
              </w:rPr>
            </w:pPr>
          </w:p>
        </w:tc>
        <w:tc>
          <w:tcPr>
            <w:tcW w:w="0" w:type="auto"/>
            <w:gridSpan w:val="3"/>
            <w:shd w:val="clear" w:color="auto" w:fill="auto"/>
            <w:vAlign w:val="bottom"/>
          </w:tcPr>
          <w:p w14:paraId="5F2CDE49" w14:textId="77777777" w:rsidR="00E836FB" w:rsidRDefault="00E836FB">
            <w:pPr>
              <w:rPr>
                <w:rFonts w:ascii="宋体"/>
                <w:vanish/>
              </w:rPr>
            </w:pPr>
          </w:p>
        </w:tc>
        <w:tc>
          <w:tcPr>
            <w:tcW w:w="0" w:type="auto"/>
            <w:gridSpan w:val="3"/>
            <w:shd w:val="clear" w:color="auto" w:fill="auto"/>
            <w:vAlign w:val="bottom"/>
          </w:tcPr>
          <w:p w14:paraId="5F2CDE4A" w14:textId="77777777" w:rsidR="00E836FB" w:rsidRDefault="00E836FB">
            <w:pPr>
              <w:rPr>
                <w:rFonts w:ascii="宋体"/>
                <w:vanish/>
              </w:rPr>
            </w:pPr>
          </w:p>
        </w:tc>
        <w:tc>
          <w:tcPr>
            <w:tcW w:w="0" w:type="auto"/>
            <w:gridSpan w:val="3"/>
            <w:shd w:val="clear" w:color="auto" w:fill="auto"/>
            <w:vAlign w:val="bottom"/>
          </w:tcPr>
          <w:p w14:paraId="5F2CDE4B" w14:textId="77777777" w:rsidR="00E836FB" w:rsidRDefault="00E836FB">
            <w:pPr>
              <w:rPr>
                <w:rFonts w:ascii="宋体"/>
                <w:vanish/>
              </w:rPr>
            </w:pPr>
          </w:p>
        </w:tc>
        <w:tc>
          <w:tcPr>
            <w:tcW w:w="0" w:type="auto"/>
            <w:gridSpan w:val="3"/>
            <w:shd w:val="clear" w:color="auto" w:fill="auto"/>
            <w:vAlign w:val="bottom"/>
          </w:tcPr>
          <w:p w14:paraId="5F2CDE4C" w14:textId="77777777" w:rsidR="00E836FB" w:rsidRDefault="00E836FB">
            <w:pPr>
              <w:rPr>
                <w:rFonts w:ascii="宋体"/>
                <w:vanish/>
              </w:rPr>
            </w:pPr>
          </w:p>
        </w:tc>
        <w:tc>
          <w:tcPr>
            <w:tcW w:w="0" w:type="auto"/>
            <w:gridSpan w:val="3"/>
            <w:shd w:val="clear" w:color="auto" w:fill="auto"/>
            <w:vAlign w:val="bottom"/>
          </w:tcPr>
          <w:p w14:paraId="5F2CDE4D" w14:textId="77777777" w:rsidR="00E836FB" w:rsidRDefault="00E836FB">
            <w:pPr>
              <w:rPr>
                <w:rFonts w:ascii="宋体"/>
                <w:vanish/>
              </w:rPr>
            </w:pPr>
          </w:p>
        </w:tc>
        <w:tc>
          <w:tcPr>
            <w:tcW w:w="0" w:type="auto"/>
            <w:shd w:val="clear" w:color="auto" w:fill="auto"/>
            <w:vAlign w:val="bottom"/>
          </w:tcPr>
          <w:p w14:paraId="5F2CDE4E" w14:textId="77777777" w:rsidR="00E836FB" w:rsidRDefault="00E836FB">
            <w:pPr>
              <w:rPr>
                <w:rFonts w:ascii="宋体"/>
              </w:rPr>
            </w:pPr>
          </w:p>
        </w:tc>
        <w:tc>
          <w:tcPr>
            <w:tcW w:w="0" w:type="auto"/>
            <w:shd w:val="clear" w:color="auto" w:fill="auto"/>
            <w:vAlign w:val="bottom"/>
          </w:tcPr>
          <w:p w14:paraId="5F2CDE4F" w14:textId="77777777" w:rsidR="00E836FB" w:rsidRDefault="00E836FB">
            <w:pPr>
              <w:rPr>
                <w:rFonts w:ascii="宋体"/>
              </w:rPr>
            </w:pPr>
          </w:p>
        </w:tc>
        <w:tc>
          <w:tcPr>
            <w:tcW w:w="0" w:type="auto"/>
            <w:shd w:val="clear" w:color="auto" w:fill="auto"/>
            <w:vAlign w:val="bottom"/>
          </w:tcPr>
          <w:p w14:paraId="5F2CDE50" w14:textId="77777777" w:rsidR="00E836FB" w:rsidRDefault="00E836FB">
            <w:pPr>
              <w:rPr>
                <w:rFonts w:ascii="宋体"/>
              </w:rPr>
            </w:pPr>
          </w:p>
        </w:tc>
        <w:tc>
          <w:tcPr>
            <w:tcW w:w="0" w:type="auto"/>
            <w:shd w:val="clear" w:color="auto" w:fill="auto"/>
            <w:vAlign w:val="bottom"/>
          </w:tcPr>
          <w:p w14:paraId="5F2CDE51" w14:textId="77777777" w:rsidR="00E836FB" w:rsidRDefault="00E836FB">
            <w:pPr>
              <w:rPr>
                <w:rFonts w:ascii="宋体"/>
              </w:rPr>
            </w:pPr>
          </w:p>
        </w:tc>
        <w:tc>
          <w:tcPr>
            <w:tcW w:w="0" w:type="auto"/>
            <w:shd w:val="clear" w:color="auto" w:fill="auto"/>
            <w:vAlign w:val="bottom"/>
          </w:tcPr>
          <w:p w14:paraId="5F2CDE52" w14:textId="77777777" w:rsidR="00E836FB" w:rsidRDefault="00E836FB">
            <w:pPr>
              <w:rPr>
                <w:rFonts w:ascii="宋体"/>
              </w:rPr>
            </w:pPr>
          </w:p>
        </w:tc>
        <w:tc>
          <w:tcPr>
            <w:tcW w:w="0" w:type="auto"/>
            <w:shd w:val="clear" w:color="auto" w:fill="auto"/>
            <w:vAlign w:val="bottom"/>
          </w:tcPr>
          <w:p w14:paraId="5F2CDE53" w14:textId="77777777" w:rsidR="00E836FB" w:rsidRDefault="00E836FB">
            <w:pPr>
              <w:rPr>
                <w:rFonts w:ascii="宋体"/>
              </w:rPr>
            </w:pPr>
          </w:p>
        </w:tc>
      </w:tr>
      <w:tr w:rsidR="00E836FB" w14:paraId="5F2CDE6B" w14:textId="77777777">
        <w:trPr>
          <w:hidden/>
        </w:trPr>
        <w:tc>
          <w:tcPr>
            <w:tcW w:w="0" w:type="auto"/>
            <w:gridSpan w:val="3"/>
            <w:shd w:val="clear" w:color="auto" w:fill="auto"/>
            <w:vAlign w:val="bottom"/>
          </w:tcPr>
          <w:p w14:paraId="5F2CDE55" w14:textId="77777777" w:rsidR="00E836FB" w:rsidRDefault="00E836FB">
            <w:pPr>
              <w:rPr>
                <w:rFonts w:ascii="宋体"/>
                <w:vanish/>
              </w:rPr>
            </w:pPr>
          </w:p>
        </w:tc>
        <w:tc>
          <w:tcPr>
            <w:tcW w:w="0" w:type="auto"/>
            <w:gridSpan w:val="3"/>
            <w:shd w:val="clear" w:color="auto" w:fill="auto"/>
            <w:vAlign w:val="bottom"/>
          </w:tcPr>
          <w:p w14:paraId="5F2CDE56" w14:textId="77777777" w:rsidR="00E836FB" w:rsidRDefault="00E836FB">
            <w:pPr>
              <w:rPr>
                <w:rFonts w:ascii="宋体"/>
                <w:vanish/>
              </w:rPr>
            </w:pPr>
          </w:p>
        </w:tc>
        <w:tc>
          <w:tcPr>
            <w:tcW w:w="0" w:type="auto"/>
            <w:gridSpan w:val="3"/>
            <w:shd w:val="clear" w:color="auto" w:fill="auto"/>
            <w:vAlign w:val="bottom"/>
          </w:tcPr>
          <w:p w14:paraId="5F2CDE57" w14:textId="77777777" w:rsidR="00E836FB" w:rsidRDefault="00E836FB">
            <w:pPr>
              <w:rPr>
                <w:rFonts w:ascii="宋体"/>
                <w:vanish/>
              </w:rPr>
            </w:pPr>
          </w:p>
        </w:tc>
        <w:tc>
          <w:tcPr>
            <w:tcW w:w="0" w:type="auto"/>
            <w:gridSpan w:val="3"/>
            <w:shd w:val="clear" w:color="auto" w:fill="auto"/>
            <w:vAlign w:val="bottom"/>
          </w:tcPr>
          <w:p w14:paraId="5F2CDE58" w14:textId="77777777" w:rsidR="00E836FB" w:rsidRDefault="00E836FB">
            <w:pPr>
              <w:rPr>
                <w:rFonts w:ascii="宋体"/>
                <w:vanish/>
              </w:rPr>
            </w:pPr>
          </w:p>
        </w:tc>
        <w:tc>
          <w:tcPr>
            <w:tcW w:w="0" w:type="auto"/>
            <w:gridSpan w:val="3"/>
            <w:shd w:val="clear" w:color="auto" w:fill="auto"/>
            <w:vAlign w:val="bottom"/>
          </w:tcPr>
          <w:p w14:paraId="5F2CDE59" w14:textId="77777777" w:rsidR="00E836FB" w:rsidRDefault="00E836FB">
            <w:pPr>
              <w:rPr>
                <w:rFonts w:ascii="宋体"/>
                <w:vanish/>
              </w:rPr>
            </w:pPr>
          </w:p>
        </w:tc>
        <w:tc>
          <w:tcPr>
            <w:tcW w:w="0" w:type="auto"/>
            <w:gridSpan w:val="3"/>
            <w:shd w:val="clear" w:color="auto" w:fill="auto"/>
            <w:vAlign w:val="bottom"/>
          </w:tcPr>
          <w:p w14:paraId="5F2CDE5A" w14:textId="77777777" w:rsidR="00E836FB" w:rsidRDefault="00E836FB">
            <w:pPr>
              <w:rPr>
                <w:rFonts w:ascii="宋体"/>
                <w:vanish/>
              </w:rPr>
            </w:pPr>
          </w:p>
        </w:tc>
        <w:tc>
          <w:tcPr>
            <w:tcW w:w="0" w:type="auto"/>
            <w:gridSpan w:val="3"/>
            <w:shd w:val="clear" w:color="auto" w:fill="auto"/>
            <w:vAlign w:val="bottom"/>
          </w:tcPr>
          <w:p w14:paraId="5F2CDE5B" w14:textId="77777777" w:rsidR="00E836FB" w:rsidRDefault="00E836FB">
            <w:pPr>
              <w:rPr>
                <w:rFonts w:ascii="宋体"/>
                <w:vanish/>
              </w:rPr>
            </w:pPr>
          </w:p>
        </w:tc>
        <w:tc>
          <w:tcPr>
            <w:tcW w:w="0" w:type="auto"/>
            <w:gridSpan w:val="3"/>
            <w:shd w:val="clear" w:color="auto" w:fill="auto"/>
            <w:vAlign w:val="bottom"/>
          </w:tcPr>
          <w:p w14:paraId="5F2CDE5C" w14:textId="77777777" w:rsidR="00E836FB" w:rsidRDefault="00E836FB">
            <w:pPr>
              <w:rPr>
                <w:rFonts w:ascii="宋体"/>
                <w:vanish/>
              </w:rPr>
            </w:pPr>
          </w:p>
        </w:tc>
        <w:tc>
          <w:tcPr>
            <w:tcW w:w="0" w:type="auto"/>
            <w:gridSpan w:val="3"/>
            <w:shd w:val="clear" w:color="auto" w:fill="auto"/>
            <w:vAlign w:val="bottom"/>
          </w:tcPr>
          <w:p w14:paraId="5F2CDE5D" w14:textId="77777777" w:rsidR="00E836FB" w:rsidRDefault="00E836FB">
            <w:pPr>
              <w:rPr>
                <w:rFonts w:ascii="宋体"/>
                <w:vanish/>
              </w:rPr>
            </w:pPr>
          </w:p>
        </w:tc>
        <w:tc>
          <w:tcPr>
            <w:tcW w:w="0" w:type="auto"/>
            <w:gridSpan w:val="3"/>
            <w:shd w:val="clear" w:color="auto" w:fill="auto"/>
            <w:vAlign w:val="bottom"/>
          </w:tcPr>
          <w:p w14:paraId="5F2CDE5E" w14:textId="77777777" w:rsidR="00E836FB" w:rsidRDefault="00E836FB">
            <w:pPr>
              <w:rPr>
                <w:rFonts w:ascii="宋体"/>
                <w:vanish/>
              </w:rPr>
            </w:pPr>
          </w:p>
        </w:tc>
        <w:tc>
          <w:tcPr>
            <w:tcW w:w="0" w:type="auto"/>
            <w:gridSpan w:val="3"/>
            <w:shd w:val="clear" w:color="auto" w:fill="auto"/>
            <w:vAlign w:val="bottom"/>
          </w:tcPr>
          <w:p w14:paraId="5F2CDE5F" w14:textId="77777777" w:rsidR="00E836FB" w:rsidRDefault="00E836FB">
            <w:pPr>
              <w:rPr>
                <w:rFonts w:ascii="宋体"/>
                <w:vanish/>
              </w:rPr>
            </w:pPr>
          </w:p>
        </w:tc>
        <w:tc>
          <w:tcPr>
            <w:tcW w:w="0" w:type="auto"/>
            <w:gridSpan w:val="3"/>
            <w:shd w:val="clear" w:color="auto" w:fill="auto"/>
            <w:vAlign w:val="bottom"/>
          </w:tcPr>
          <w:p w14:paraId="5F2CDE60" w14:textId="77777777" w:rsidR="00E836FB" w:rsidRDefault="00E836FB">
            <w:pPr>
              <w:rPr>
                <w:rFonts w:ascii="宋体"/>
                <w:vanish/>
              </w:rPr>
            </w:pPr>
          </w:p>
        </w:tc>
        <w:tc>
          <w:tcPr>
            <w:tcW w:w="0" w:type="auto"/>
            <w:gridSpan w:val="3"/>
            <w:shd w:val="clear" w:color="auto" w:fill="auto"/>
            <w:vAlign w:val="bottom"/>
          </w:tcPr>
          <w:p w14:paraId="5F2CDE61" w14:textId="77777777" w:rsidR="00E836FB" w:rsidRDefault="00E836FB">
            <w:pPr>
              <w:rPr>
                <w:rFonts w:ascii="宋体"/>
                <w:vanish/>
              </w:rPr>
            </w:pPr>
          </w:p>
        </w:tc>
        <w:tc>
          <w:tcPr>
            <w:tcW w:w="0" w:type="auto"/>
            <w:gridSpan w:val="3"/>
            <w:shd w:val="clear" w:color="auto" w:fill="auto"/>
            <w:vAlign w:val="bottom"/>
          </w:tcPr>
          <w:p w14:paraId="5F2CDE62" w14:textId="77777777" w:rsidR="00E836FB" w:rsidRDefault="00E836FB">
            <w:pPr>
              <w:rPr>
                <w:rFonts w:ascii="宋体"/>
                <w:vanish/>
              </w:rPr>
            </w:pPr>
          </w:p>
        </w:tc>
        <w:tc>
          <w:tcPr>
            <w:tcW w:w="0" w:type="auto"/>
            <w:gridSpan w:val="3"/>
            <w:shd w:val="clear" w:color="auto" w:fill="auto"/>
            <w:vAlign w:val="bottom"/>
          </w:tcPr>
          <w:p w14:paraId="5F2CDE63" w14:textId="77777777" w:rsidR="00E836FB" w:rsidRDefault="00E836FB">
            <w:pPr>
              <w:rPr>
                <w:rFonts w:ascii="宋体"/>
                <w:vanish/>
              </w:rPr>
            </w:pPr>
          </w:p>
        </w:tc>
        <w:tc>
          <w:tcPr>
            <w:tcW w:w="0" w:type="auto"/>
            <w:gridSpan w:val="3"/>
            <w:shd w:val="clear" w:color="auto" w:fill="auto"/>
            <w:vAlign w:val="bottom"/>
          </w:tcPr>
          <w:p w14:paraId="5F2CDE64" w14:textId="77777777" w:rsidR="00E836FB" w:rsidRDefault="00E836FB">
            <w:pPr>
              <w:rPr>
                <w:rFonts w:ascii="宋体"/>
                <w:vanish/>
              </w:rPr>
            </w:pPr>
          </w:p>
        </w:tc>
        <w:tc>
          <w:tcPr>
            <w:tcW w:w="0" w:type="auto"/>
            <w:shd w:val="clear" w:color="auto" w:fill="auto"/>
            <w:vAlign w:val="bottom"/>
          </w:tcPr>
          <w:p w14:paraId="5F2CDE65" w14:textId="77777777" w:rsidR="00E836FB" w:rsidRDefault="00E836FB">
            <w:pPr>
              <w:rPr>
                <w:rFonts w:ascii="宋体"/>
              </w:rPr>
            </w:pPr>
          </w:p>
        </w:tc>
        <w:tc>
          <w:tcPr>
            <w:tcW w:w="0" w:type="auto"/>
            <w:shd w:val="clear" w:color="auto" w:fill="auto"/>
            <w:vAlign w:val="bottom"/>
          </w:tcPr>
          <w:p w14:paraId="5F2CDE66" w14:textId="77777777" w:rsidR="00E836FB" w:rsidRDefault="00E836FB">
            <w:pPr>
              <w:rPr>
                <w:rFonts w:ascii="宋体"/>
              </w:rPr>
            </w:pPr>
          </w:p>
        </w:tc>
        <w:tc>
          <w:tcPr>
            <w:tcW w:w="0" w:type="auto"/>
            <w:shd w:val="clear" w:color="auto" w:fill="auto"/>
            <w:vAlign w:val="bottom"/>
          </w:tcPr>
          <w:p w14:paraId="5F2CDE67" w14:textId="77777777" w:rsidR="00E836FB" w:rsidRDefault="00E836FB">
            <w:pPr>
              <w:rPr>
                <w:rFonts w:ascii="宋体"/>
              </w:rPr>
            </w:pPr>
          </w:p>
        </w:tc>
        <w:tc>
          <w:tcPr>
            <w:tcW w:w="0" w:type="auto"/>
            <w:shd w:val="clear" w:color="auto" w:fill="auto"/>
            <w:vAlign w:val="bottom"/>
          </w:tcPr>
          <w:p w14:paraId="5F2CDE68" w14:textId="77777777" w:rsidR="00E836FB" w:rsidRDefault="00E836FB">
            <w:pPr>
              <w:rPr>
                <w:rFonts w:ascii="宋体"/>
              </w:rPr>
            </w:pPr>
          </w:p>
        </w:tc>
        <w:tc>
          <w:tcPr>
            <w:tcW w:w="0" w:type="auto"/>
            <w:shd w:val="clear" w:color="auto" w:fill="auto"/>
            <w:vAlign w:val="bottom"/>
          </w:tcPr>
          <w:p w14:paraId="5F2CDE69" w14:textId="77777777" w:rsidR="00E836FB" w:rsidRDefault="00E836FB">
            <w:pPr>
              <w:rPr>
                <w:rFonts w:ascii="宋体"/>
              </w:rPr>
            </w:pPr>
          </w:p>
        </w:tc>
        <w:tc>
          <w:tcPr>
            <w:tcW w:w="0" w:type="auto"/>
            <w:shd w:val="clear" w:color="auto" w:fill="auto"/>
            <w:vAlign w:val="bottom"/>
          </w:tcPr>
          <w:p w14:paraId="5F2CDE6A" w14:textId="77777777" w:rsidR="00E836FB" w:rsidRDefault="00E836FB">
            <w:pPr>
              <w:rPr>
                <w:rFonts w:ascii="宋体"/>
              </w:rPr>
            </w:pPr>
          </w:p>
        </w:tc>
      </w:tr>
      <w:tr w:rsidR="00E836FB" w14:paraId="5F2CDE84" w14:textId="77777777">
        <w:tc>
          <w:tcPr>
            <w:tcW w:w="0" w:type="auto"/>
            <w:gridSpan w:val="9"/>
            <w:shd w:val="clear" w:color="auto" w:fill="CCEEFF"/>
            <w:tcMar>
              <w:top w:w="40" w:type="dxa"/>
              <w:left w:w="20" w:type="dxa"/>
              <w:bottom w:w="40" w:type="dxa"/>
              <w:right w:w="20" w:type="dxa"/>
            </w:tcMar>
            <w:vAlign w:val="bottom"/>
          </w:tcPr>
          <w:p w14:paraId="5F2CDE6C" w14:textId="77777777" w:rsidR="00E836FB" w:rsidRDefault="00994958">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6D" w14:textId="77777777" w:rsidR="00E836FB" w:rsidRDefault="00994958">
            <w:pPr>
              <w:jc w:val="right"/>
              <w:textAlignment w:val="bottom"/>
            </w:pPr>
            <w:r>
              <w:rPr>
                <w:rFonts w:ascii="Arial" w:eastAsia="宋体" w:hAnsi="Arial" w:cs="Arial"/>
                <w:b/>
                <w:bCs/>
                <w:color w:val="000000"/>
                <w:sz w:val="12"/>
                <w:szCs w:val="12"/>
              </w:rPr>
              <w:t>17,923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6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70" w14:textId="77777777" w:rsidR="00E836FB" w:rsidRDefault="00994958">
            <w:pPr>
              <w:jc w:val="right"/>
              <w:textAlignment w:val="bottom"/>
            </w:pPr>
            <w:r>
              <w:rPr>
                <w:rFonts w:ascii="Arial" w:eastAsia="宋体" w:hAnsi="Arial" w:cs="Arial"/>
                <w:b/>
                <w:bCs/>
                <w:color w:val="000000"/>
                <w:sz w:val="12"/>
                <w:szCs w:val="12"/>
              </w:rPr>
              <w:t>17,923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7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7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73" w14:textId="77777777" w:rsidR="00E836FB" w:rsidRDefault="00994958">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7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76" w14:textId="77777777" w:rsidR="00E836FB" w:rsidRDefault="00994958">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7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7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79"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7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7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7C"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7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7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7F"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8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DE82"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DE83" w14:textId="77777777" w:rsidR="00E836FB" w:rsidRDefault="00E836FB">
            <w:pPr>
              <w:jc w:val="right"/>
              <w:rPr>
                <w:rFonts w:ascii="宋体"/>
              </w:rPr>
            </w:pPr>
          </w:p>
        </w:tc>
      </w:tr>
      <w:tr w:rsidR="00E836FB" w14:paraId="5F2CDE9D" w14:textId="77777777">
        <w:tc>
          <w:tcPr>
            <w:tcW w:w="0" w:type="auto"/>
            <w:gridSpan w:val="9"/>
            <w:shd w:val="clear" w:color="auto" w:fill="FFFFFF"/>
            <w:tcMar>
              <w:top w:w="40" w:type="dxa"/>
              <w:left w:w="245" w:type="dxa"/>
              <w:bottom w:w="40" w:type="dxa"/>
              <w:right w:w="20" w:type="dxa"/>
            </w:tcMar>
            <w:vAlign w:val="bottom"/>
          </w:tcPr>
          <w:p w14:paraId="5F2CDE85" w14:textId="77777777" w:rsidR="00E836FB" w:rsidRDefault="00994958">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86" w14:textId="77777777" w:rsidR="00E836FB" w:rsidRDefault="00994958">
            <w:pPr>
              <w:jc w:val="right"/>
              <w:textAlignment w:val="bottom"/>
            </w:pPr>
            <w:r>
              <w:rPr>
                <w:rFonts w:ascii="Arial" w:eastAsia="宋体" w:hAnsi="Arial" w:cs="Arial"/>
                <w:b/>
                <w:bCs/>
                <w:color w:val="000000"/>
                <w:sz w:val="12"/>
                <w:szCs w:val="12"/>
              </w:rPr>
              <w:t>1,588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8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8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89" w14:textId="77777777" w:rsidR="00E836FB" w:rsidRDefault="00994958">
            <w:pPr>
              <w:jc w:val="right"/>
              <w:textAlignment w:val="bottom"/>
            </w:pPr>
            <w:r>
              <w:rPr>
                <w:rFonts w:ascii="Arial" w:eastAsia="宋体" w:hAnsi="Arial" w:cs="Arial"/>
                <w:b/>
                <w:bCs/>
                <w:color w:val="000000"/>
                <w:sz w:val="12"/>
                <w:szCs w:val="12"/>
              </w:rPr>
              <w:t>1,588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8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8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8C" w14:textId="77777777" w:rsidR="00E836FB" w:rsidRDefault="00994958">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8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8F" w14:textId="77777777" w:rsidR="00E836FB" w:rsidRDefault="00994958">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9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9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92" w14:textId="77777777" w:rsidR="00E836FB" w:rsidRDefault="00994958">
            <w:pPr>
              <w:jc w:val="right"/>
              <w:textAlignment w:val="bottom"/>
            </w:pPr>
            <w:r>
              <w:rPr>
                <w:rFonts w:ascii="Arial" w:eastAsia="宋体" w:hAnsi="Arial" w:cs="Arial"/>
                <w:b/>
                <w:bCs/>
                <w:color w:val="000000"/>
                <w:sz w:val="12"/>
                <w:szCs w:val="12"/>
              </w:rPr>
              <w:t>752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9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9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95" w14:textId="77777777" w:rsidR="00E836FB" w:rsidRDefault="00994958">
            <w:pPr>
              <w:jc w:val="right"/>
              <w:textAlignment w:val="bottom"/>
            </w:pPr>
            <w:r>
              <w:rPr>
                <w:rFonts w:ascii="Arial" w:eastAsia="宋体" w:hAnsi="Arial" w:cs="Arial"/>
                <w:b/>
                <w:bCs/>
                <w:color w:val="000000"/>
                <w:sz w:val="12"/>
                <w:szCs w:val="12"/>
              </w:rPr>
              <w:t>752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9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98" w14:textId="77777777" w:rsidR="00E836FB" w:rsidRDefault="00994958">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9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DE9B" w14:textId="77777777" w:rsidR="00E836FB" w:rsidRDefault="00994958">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9C" w14:textId="77777777" w:rsidR="00E836FB" w:rsidRDefault="00E836FB">
            <w:pPr>
              <w:jc w:val="right"/>
              <w:rPr>
                <w:rFonts w:ascii="宋体"/>
              </w:rPr>
            </w:pPr>
          </w:p>
        </w:tc>
      </w:tr>
      <w:tr w:rsidR="00E836FB" w14:paraId="5F2CDEB4" w14:textId="77777777">
        <w:trPr>
          <w:hidden/>
        </w:trPr>
        <w:tc>
          <w:tcPr>
            <w:tcW w:w="0" w:type="auto"/>
            <w:gridSpan w:val="3"/>
            <w:shd w:val="clear" w:color="auto" w:fill="auto"/>
            <w:vAlign w:val="bottom"/>
          </w:tcPr>
          <w:p w14:paraId="5F2CDE9E" w14:textId="77777777" w:rsidR="00E836FB" w:rsidRDefault="00E836FB">
            <w:pPr>
              <w:rPr>
                <w:rFonts w:ascii="宋体"/>
                <w:vanish/>
              </w:rPr>
            </w:pPr>
          </w:p>
        </w:tc>
        <w:tc>
          <w:tcPr>
            <w:tcW w:w="0" w:type="auto"/>
            <w:gridSpan w:val="3"/>
            <w:shd w:val="clear" w:color="auto" w:fill="auto"/>
            <w:vAlign w:val="bottom"/>
          </w:tcPr>
          <w:p w14:paraId="5F2CDE9F" w14:textId="77777777" w:rsidR="00E836FB" w:rsidRDefault="00E836FB">
            <w:pPr>
              <w:rPr>
                <w:rFonts w:ascii="宋体"/>
                <w:vanish/>
              </w:rPr>
            </w:pPr>
          </w:p>
        </w:tc>
        <w:tc>
          <w:tcPr>
            <w:tcW w:w="0" w:type="auto"/>
            <w:gridSpan w:val="3"/>
            <w:shd w:val="clear" w:color="auto" w:fill="auto"/>
            <w:vAlign w:val="bottom"/>
          </w:tcPr>
          <w:p w14:paraId="5F2CDEA0" w14:textId="77777777" w:rsidR="00E836FB" w:rsidRDefault="00E836FB">
            <w:pPr>
              <w:rPr>
                <w:rFonts w:ascii="宋体"/>
                <w:vanish/>
              </w:rPr>
            </w:pPr>
          </w:p>
        </w:tc>
        <w:tc>
          <w:tcPr>
            <w:tcW w:w="0" w:type="auto"/>
            <w:gridSpan w:val="3"/>
            <w:shd w:val="clear" w:color="auto" w:fill="auto"/>
            <w:vAlign w:val="bottom"/>
          </w:tcPr>
          <w:p w14:paraId="5F2CDEA1" w14:textId="77777777" w:rsidR="00E836FB" w:rsidRDefault="00E836FB">
            <w:pPr>
              <w:rPr>
                <w:rFonts w:ascii="宋体"/>
                <w:vanish/>
              </w:rPr>
            </w:pPr>
          </w:p>
        </w:tc>
        <w:tc>
          <w:tcPr>
            <w:tcW w:w="0" w:type="auto"/>
            <w:gridSpan w:val="3"/>
            <w:shd w:val="clear" w:color="auto" w:fill="auto"/>
            <w:vAlign w:val="bottom"/>
          </w:tcPr>
          <w:p w14:paraId="5F2CDEA2" w14:textId="77777777" w:rsidR="00E836FB" w:rsidRDefault="00E836FB">
            <w:pPr>
              <w:rPr>
                <w:rFonts w:ascii="宋体"/>
                <w:vanish/>
              </w:rPr>
            </w:pPr>
          </w:p>
        </w:tc>
        <w:tc>
          <w:tcPr>
            <w:tcW w:w="0" w:type="auto"/>
            <w:gridSpan w:val="3"/>
            <w:shd w:val="clear" w:color="auto" w:fill="auto"/>
            <w:vAlign w:val="bottom"/>
          </w:tcPr>
          <w:p w14:paraId="5F2CDEA3" w14:textId="77777777" w:rsidR="00E836FB" w:rsidRDefault="00E836FB">
            <w:pPr>
              <w:rPr>
                <w:rFonts w:ascii="宋体"/>
                <w:vanish/>
              </w:rPr>
            </w:pPr>
          </w:p>
        </w:tc>
        <w:tc>
          <w:tcPr>
            <w:tcW w:w="0" w:type="auto"/>
            <w:gridSpan w:val="3"/>
            <w:shd w:val="clear" w:color="auto" w:fill="auto"/>
            <w:vAlign w:val="bottom"/>
          </w:tcPr>
          <w:p w14:paraId="5F2CDEA4" w14:textId="77777777" w:rsidR="00E836FB" w:rsidRDefault="00E836FB">
            <w:pPr>
              <w:rPr>
                <w:rFonts w:ascii="宋体"/>
                <w:vanish/>
              </w:rPr>
            </w:pPr>
          </w:p>
        </w:tc>
        <w:tc>
          <w:tcPr>
            <w:tcW w:w="0" w:type="auto"/>
            <w:gridSpan w:val="3"/>
            <w:shd w:val="clear" w:color="auto" w:fill="auto"/>
            <w:vAlign w:val="bottom"/>
          </w:tcPr>
          <w:p w14:paraId="5F2CDEA5" w14:textId="77777777" w:rsidR="00E836FB" w:rsidRDefault="00E836FB">
            <w:pPr>
              <w:rPr>
                <w:rFonts w:ascii="宋体"/>
                <w:vanish/>
              </w:rPr>
            </w:pPr>
          </w:p>
        </w:tc>
        <w:tc>
          <w:tcPr>
            <w:tcW w:w="0" w:type="auto"/>
            <w:gridSpan w:val="3"/>
            <w:shd w:val="clear" w:color="auto" w:fill="auto"/>
            <w:vAlign w:val="bottom"/>
          </w:tcPr>
          <w:p w14:paraId="5F2CDEA6" w14:textId="77777777" w:rsidR="00E836FB" w:rsidRDefault="00E836FB">
            <w:pPr>
              <w:rPr>
                <w:rFonts w:ascii="宋体"/>
                <w:vanish/>
              </w:rPr>
            </w:pPr>
          </w:p>
        </w:tc>
        <w:tc>
          <w:tcPr>
            <w:tcW w:w="0" w:type="auto"/>
            <w:gridSpan w:val="3"/>
            <w:shd w:val="clear" w:color="auto" w:fill="auto"/>
            <w:vAlign w:val="bottom"/>
          </w:tcPr>
          <w:p w14:paraId="5F2CDEA7" w14:textId="77777777" w:rsidR="00E836FB" w:rsidRDefault="00E836FB">
            <w:pPr>
              <w:rPr>
                <w:rFonts w:ascii="宋体"/>
                <w:vanish/>
              </w:rPr>
            </w:pPr>
          </w:p>
        </w:tc>
        <w:tc>
          <w:tcPr>
            <w:tcW w:w="0" w:type="auto"/>
            <w:gridSpan w:val="3"/>
            <w:shd w:val="clear" w:color="auto" w:fill="auto"/>
            <w:vAlign w:val="bottom"/>
          </w:tcPr>
          <w:p w14:paraId="5F2CDEA8" w14:textId="77777777" w:rsidR="00E836FB" w:rsidRDefault="00E836FB">
            <w:pPr>
              <w:rPr>
                <w:rFonts w:ascii="宋体"/>
                <w:vanish/>
              </w:rPr>
            </w:pPr>
          </w:p>
        </w:tc>
        <w:tc>
          <w:tcPr>
            <w:tcW w:w="0" w:type="auto"/>
            <w:gridSpan w:val="3"/>
            <w:shd w:val="clear" w:color="auto" w:fill="auto"/>
            <w:vAlign w:val="bottom"/>
          </w:tcPr>
          <w:p w14:paraId="5F2CDEA9" w14:textId="77777777" w:rsidR="00E836FB" w:rsidRDefault="00E836FB">
            <w:pPr>
              <w:rPr>
                <w:rFonts w:ascii="宋体"/>
                <w:vanish/>
              </w:rPr>
            </w:pPr>
          </w:p>
        </w:tc>
        <w:tc>
          <w:tcPr>
            <w:tcW w:w="0" w:type="auto"/>
            <w:gridSpan w:val="3"/>
            <w:shd w:val="clear" w:color="auto" w:fill="auto"/>
            <w:vAlign w:val="bottom"/>
          </w:tcPr>
          <w:p w14:paraId="5F2CDEAA" w14:textId="77777777" w:rsidR="00E836FB" w:rsidRDefault="00E836FB">
            <w:pPr>
              <w:rPr>
                <w:rFonts w:ascii="宋体"/>
                <w:vanish/>
              </w:rPr>
            </w:pPr>
          </w:p>
        </w:tc>
        <w:tc>
          <w:tcPr>
            <w:tcW w:w="0" w:type="auto"/>
            <w:gridSpan w:val="3"/>
            <w:shd w:val="clear" w:color="auto" w:fill="auto"/>
            <w:vAlign w:val="bottom"/>
          </w:tcPr>
          <w:p w14:paraId="5F2CDEAB" w14:textId="77777777" w:rsidR="00E836FB" w:rsidRDefault="00E836FB">
            <w:pPr>
              <w:rPr>
                <w:rFonts w:ascii="宋体"/>
                <w:vanish/>
              </w:rPr>
            </w:pPr>
          </w:p>
        </w:tc>
        <w:tc>
          <w:tcPr>
            <w:tcW w:w="0" w:type="auto"/>
            <w:gridSpan w:val="3"/>
            <w:shd w:val="clear" w:color="auto" w:fill="auto"/>
            <w:vAlign w:val="bottom"/>
          </w:tcPr>
          <w:p w14:paraId="5F2CDEAC" w14:textId="77777777" w:rsidR="00E836FB" w:rsidRDefault="00E836FB">
            <w:pPr>
              <w:rPr>
                <w:rFonts w:ascii="宋体"/>
                <w:vanish/>
              </w:rPr>
            </w:pPr>
          </w:p>
        </w:tc>
        <w:tc>
          <w:tcPr>
            <w:tcW w:w="0" w:type="auto"/>
            <w:gridSpan w:val="3"/>
            <w:shd w:val="clear" w:color="auto" w:fill="auto"/>
            <w:vAlign w:val="bottom"/>
          </w:tcPr>
          <w:p w14:paraId="5F2CDEAD" w14:textId="77777777" w:rsidR="00E836FB" w:rsidRDefault="00E836FB">
            <w:pPr>
              <w:rPr>
                <w:rFonts w:ascii="宋体"/>
                <w:vanish/>
              </w:rPr>
            </w:pPr>
          </w:p>
        </w:tc>
        <w:tc>
          <w:tcPr>
            <w:tcW w:w="0" w:type="auto"/>
            <w:shd w:val="clear" w:color="auto" w:fill="auto"/>
            <w:vAlign w:val="bottom"/>
          </w:tcPr>
          <w:p w14:paraId="5F2CDEAE" w14:textId="77777777" w:rsidR="00E836FB" w:rsidRDefault="00E836FB">
            <w:pPr>
              <w:rPr>
                <w:rFonts w:ascii="宋体"/>
              </w:rPr>
            </w:pPr>
          </w:p>
        </w:tc>
        <w:tc>
          <w:tcPr>
            <w:tcW w:w="0" w:type="auto"/>
            <w:shd w:val="clear" w:color="auto" w:fill="auto"/>
            <w:vAlign w:val="bottom"/>
          </w:tcPr>
          <w:p w14:paraId="5F2CDEAF" w14:textId="77777777" w:rsidR="00E836FB" w:rsidRDefault="00E836FB">
            <w:pPr>
              <w:rPr>
                <w:rFonts w:ascii="宋体"/>
              </w:rPr>
            </w:pPr>
          </w:p>
        </w:tc>
        <w:tc>
          <w:tcPr>
            <w:tcW w:w="0" w:type="auto"/>
            <w:shd w:val="clear" w:color="auto" w:fill="auto"/>
            <w:vAlign w:val="bottom"/>
          </w:tcPr>
          <w:p w14:paraId="5F2CDEB0" w14:textId="77777777" w:rsidR="00E836FB" w:rsidRDefault="00E836FB">
            <w:pPr>
              <w:rPr>
                <w:rFonts w:ascii="宋体"/>
              </w:rPr>
            </w:pPr>
          </w:p>
        </w:tc>
        <w:tc>
          <w:tcPr>
            <w:tcW w:w="0" w:type="auto"/>
            <w:shd w:val="clear" w:color="auto" w:fill="auto"/>
            <w:vAlign w:val="bottom"/>
          </w:tcPr>
          <w:p w14:paraId="5F2CDEB1" w14:textId="77777777" w:rsidR="00E836FB" w:rsidRDefault="00E836FB">
            <w:pPr>
              <w:rPr>
                <w:rFonts w:ascii="宋体"/>
              </w:rPr>
            </w:pPr>
          </w:p>
        </w:tc>
        <w:tc>
          <w:tcPr>
            <w:tcW w:w="0" w:type="auto"/>
            <w:shd w:val="clear" w:color="auto" w:fill="auto"/>
            <w:vAlign w:val="bottom"/>
          </w:tcPr>
          <w:p w14:paraId="5F2CDEB2" w14:textId="77777777" w:rsidR="00E836FB" w:rsidRDefault="00E836FB">
            <w:pPr>
              <w:rPr>
                <w:rFonts w:ascii="宋体"/>
              </w:rPr>
            </w:pPr>
          </w:p>
        </w:tc>
        <w:tc>
          <w:tcPr>
            <w:tcW w:w="0" w:type="auto"/>
            <w:shd w:val="clear" w:color="auto" w:fill="auto"/>
            <w:vAlign w:val="bottom"/>
          </w:tcPr>
          <w:p w14:paraId="5F2CDEB3" w14:textId="77777777" w:rsidR="00E836FB" w:rsidRDefault="00E836FB">
            <w:pPr>
              <w:rPr>
                <w:rFonts w:ascii="宋体"/>
              </w:rPr>
            </w:pPr>
          </w:p>
        </w:tc>
      </w:tr>
      <w:tr w:rsidR="00E836FB" w14:paraId="5F2CDECD" w14:textId="77777777">
        <w:tc>
          <w:tcPr>
            <w:tcW w:w="0" w:type="auto"/>
            <w:gridSpan w:val="9"/>
            <w:shd w:val="clear" w:color="auto" w:fill="CCEEFF"/>
            <w:tcMar>
              <w:top w:w="40" w:type="dxa"/>
              <w:left w:w="245" w:type="dxa"/>
              <w:bottom w:w="40" w:type="dxa"/>
              <w:right w:w="20" w:type="dxa"/>
            </w:tcMar>
            <w:vAlign w:val="bottom"/>
          </w:tcPr>
          <w:p w14:paraId="5F2CDEB5" w14:textId="77777777" w:rsidR="00E836FB" w:rsidRDefault="00994958">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5F2CDEB6"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E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B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EB9" w14:textId="77777777" w:rsidR="00E836FB" w:rsidRDefault="00994958">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E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B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EBC" w14:textId="77777777" w:rsidR="00E836FB" w:rsidRDefault="00994958">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5F2CDE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EBF" w14:textId="77777777" w:rsidR="00E836FB" w:rsidRDefault="00994958">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F2CDE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EC2"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E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EC5" w14:textId="77777777" w:rsidR="00E836FB" w:rsidRDefault="00994958">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E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EC8" w14:textId="77777777" w:rsidR="00E836FB" w:rsidRDefault="00994958">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5F2CDE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E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ECB" w14:textId="77777777" w:rsidR="00E836FB" w:rsidRDefault="00994958">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F2CDECC" w14:textId="77777777" w:rsidR="00E836FB" w:rsidRDefault="00E836FB">
            <w:pPr>
              <w:jc w:val="right"/>
              <w:rPr>
                <w:rFonts w:ascii="宋体"/>
              </w:rPr>
            </w:pPr>
          </w:p>
        </w:tc>
      </w:tr>
      <w:tr w:rsidR="00E836FB" w14:paraId="5F2CDEE4" w14:textId="77777777">
        <w:trPr>
          <w:hidden/>
        </w:trPr>
        <w:tc>
          <w:tcPr>
            <w:tcW w:w="0" w:type="auto"/>
            <w:gridSpan w:val="3"/>
            <w:shd w:val="clear" w:color="auto" w:fill="auto"/>
            <w:vAlign w:val="bottom"/>
          </w:tcPr>
          <w:p w14:paraId="5F2CDECE" w14:textId="77777777" w:rsidR="00E836FB" w:rsidRDefault="00E836FB">
            <w:pPr>
              <w:rPr>
                <w:rFonts w:ascii="宋体"/>
                <w:vanish/>
              </w:rPr>
            </w:pPr>
          </w:p>
        </w:tc>
        <w:tc>
          <w:tcPr>
            <w:tcW w:w="0" w:type="auto"/>
            <w:gridSpan w:val="3"/>
            <w:shd w:val="clear" w:color="auto" w:fill="auto"/>
            <w:vAlign w:val="bottom"/>
          </w:tcPr>
          <w:p w14:paraId="5F2CDECF" w14:textId="77777777" w:rsidR="00E836FB" w:rsidRDefault="00E836FB">
            <w:pPr>
              <w:rPr>
                <w:rFonts w:ascii="宋体"/>
                <w:vanish/>
              </w:rPr>
            </w:pPr>
          </w:p>
        </w:tc>
        <w:tc>
          <w:tcPr>
            <w:tcW w:w="0" w:type="auto"/>
            <w:gridSpan w:val="3"/>
            <w:shd w:val="clear" w:color="auto" w:fill="auto"/>
            <w:vAlign w:val="bottom"/>
          </w:tcPr>
          <w:p w14:paraId="5F2CDED0" w14:textId="77777777" w:rsidR="00E836FB" w:rsidRDefault="00E836FB">
            <w:pPr>
              <w:rPr>
                <w:rFonts w:ascii="宋体"/>
                <w:vanish/>
              </w:rPr>
            </w:pPr>
          </w:p>
        </w:tc>
        <w:tc>
          <w:tcPr>
            <w:tcW w:w="0" w:type="auto"/>
            <w:gridSpan w:val="3"/>
            <w:shd w:val="clear" w:color="auto" w:fill="auto"/>
            <w:vAlign w:val="bottom"/>
          </w:tcPr>
          <w:p w14:paraId="5F2CDED1" w14:textId="77777777" w:rsidR="00E836FB" w:rsidRDefault="00E836FB">
            <w:pPr>
              <w:rPr>
                <w:rFonts w:ascii="宋体"/>
                <w:vanish/>
              </w:rPr>
            </w:pPr>
          </w:p>
        </w:tc>
        <w:tc>
          <w:tcPr>
            <w:tcW w:w="0" w:type="auto"/>
            <w:gridSpan w:val="3"/>
            <w:shd w:val="clear" w:color="auto" w:fill="auto"/>
            <w:vAlign w:val="bottom"/>
          </w:tcPr>
          <w:p w14:paraId="5F2CDED2" w14:textId="77777777" w:rsidR="00E836FB" w:rsidRDefault="00E836FB">
            <w:pPr>
              <w:rPr>
                <w:rFonts w:ascii="宋体"/>
                <w:vanish/>
              </w:rPr>
            </w:pPr>
          </w:p>
        </w:tc>
        <w:tc>
          <w:tcPr>
            <w:tcW w:w="0" w:type="auto"/>
            <w:gridSpan w:val="3"/>
            <w:shd w:val="clear" w:color="auto" w:fill="auto"/>
            <w:vAlign w:val="bottom"/>
          </w:tcPr>
          <w:p w14:paraId="5F2CDED3" w14:textId="77777777" w:rsidR="00E836FB" w:rsidRDefault="00E836FB">
            <w:pPr>
              <w:rPr>
                <w:rFonts w:ascii="宋体"/>
                <w:vanish/>
              </w:rPr>
            </w:pPr>
          </w:p>
        </w:tc>
        <w:tc>
          <w:tcPr>
            <w:tcW w:w="0" w:type="auto"/>
            <w:gridSpan w:val="3"/>
            <w:shd w:val="clear" w:color="auto" w:fill="auto"/>
            <w:vAlign w:val="bottom"/>
          </w:tcPr>
          <w:p w14:paraId="5F2CDED4" w14:textId="77777777" w:rsidR="00E836FB" w:rsidRDefault="00E836FB">
            <w:pPr>
              <w:rPr>
                <w:rFonts w:ascii="宋体"/>
                <w:vanish/>
              </w:rPr>
            </w:pPr>
          </w:p>
        </w:tc>
        <w:tc>
          <w:tcPr>
            <w:tcW w:w="0" w:type="auto"/>
            <w:gridSpan w:val="3"/>
            <w:shd w:val="clear" w:color="auto" w:fill="auto"/>
            <w:vAlign w:val="bottom"/>
          </w:tcPr>
          <w:p w14:paraId="5F2CDED5" w14:textId="77777777" w:rsidR="00E836FB" w:rsidRDefault="00E836FB">
            <w:pPr>
              <w:rPr>
                <w:rFonts w:ascii="宋体"/>
                <w:vanish/>
              </w:rPr>
            </w:pPr>
          </w:p>
        </w:tc>
        <w:tc>
          <w:tcPr>
            <w:tcW w:w="0" w:type="auto"/>
            <w:gridSpan w:val="3"/>
            <w:shd w:val="clear" w:color="auto" w:fill="auto"/>
            <w:vAlign w:val="bottom"/>
          </w:tcPr>
          <w:p w14:paraId="5F2CDED6" w14:textId="77777777" w:rsidR="00E836FB" w:rsidRDefault="00E836FB">
            <w:pPr>
              <w:rPr>
                <w:rFonts w:ascii="宋体"/>
                <w:vanish/>
              </w:rPr>
            </w:pPr>
          </w:p>
        </w:tc>
        <w:tc>
          <w:tcPr>
            <w:tcW w:w="0" w:type="auto"/>
            <w:gridSpan w:val="3"/>
            <w:shd w:val="clear" w:color="auto" w:fill="auto"/>
            <w:vAlign w:val="bottom"/>
          </w:tcPr>
          <w:p w14:paraId="5F2CDED7" w14:textId="77777777" w:rsidR="00E836FB" w:rsidRDefault="00E836FB">
            <w:pPr>
              <w:rPr>
                <w:rFonts w:ascii="宋体"/>
                <w:vanish/>
              </w:rPr>
            </w:pPr>
          </w:p>
        </w:tc>
        <w:tc>
          <w:tcPr>
            <w:tcW w:w="0" w:type="auto"/>
            <w:gridSpan w:val="3"/>
            <w:shd w:val="clear" w:color="auto" w:fill="auto"/>
            <w:vAlign w:val="bottom"/>
          </w:tcPr>
          <w:p w14:paraId="5F2CDED8" w14:textId="77777777" w:rsidR="00E836FB" w:rsidRDefault="00E836FB">
            <w:pPr>
              <w:rPr>
                <w:rFonts w:ascii="宋体"/>
                <w:vanish/>
              </w:rPr>
            </w:pPr>
          </w:p>
        </w:tc>
        <w:tc>
          <w:tcPr>
            <w:tcW w:w="0" w:type="auto"/>
            <w:gridSpan w:val="3"/>
            <w:shd w:val="clear" w:color="auto" w:fill="auto"/>
            <w:vAlign w:val="bottom"/>
          </w:tcPr>
          <w:p w14:paraId="5F2CDED9" w14:textId="77777777" w:rsidR="00E836FB" w:rsidRDefault="00E836FB">
            <w:pPr>
              <w:rPr>
                <w:rFonts w:ascii="宋体"/>
                <w:vanish/>
              </w:rPr>
            </w:pPr>
          </w:p>
        </w:tc>
        <w:tc>
          <w:tcPr>
            <w:tcW w:w="0" w:type="auto"/>
            <w:gridSpan w:val="3"/>
            <w:shd w:val="clear" w:color="auto" w:fill="auto"/>
            <w:vAlign w:val="bottom"/>
          </w:tcPr>
          <w:p w14:paraId="5F2CDEDA" w14:textId="77777777" w:rsidR="00E836FB" w:rsidRDefault="00E836FB">
            <w:pPr>
              <w:rPr>
                <w:rFonts w:ascii="宋体"/>
                <w:vanish/>
              </w:rPr>
            </w:pPr>
          </w:p>
        </w:tc>
        <w:tc>
          <w:tcPr>
            <w:tcW w:w="0" w:type="auto"/>
            <w:gridSpan w:val="3"/>
            <w:shd w:val="clear" w:color="auto" w:fill="auto"/>
            <w:vAlign w:val="bottom"/>
          </w:tcPr>
          <w:p w14:paraId="5F2CDEDB" w14:textId="77777777" w:rsidR="00E836FB" w:rsidRDefault="00E836FB">
            <w:pPr>
              <w:rPr>
                <w:rFonts w:ascii="宋体"/>
                <w:vanish/>
              </w:rPr>
            </w:pPr>
          </w:p>
        </w:tc>
        <w:tc>
          <w:tcPr>
            <w:tcW w:w="0" w:type="auto"/>
            <w:gridSpan w:val="3"/>
            <w:shd w:val="clear" w:color="auto" w:fill="auto"/>
            <w:vAlign w:val="bottom"/>
          </w:tcPr>
          <w:p w14:paraId="5F2CDEDC" w14:textId="77777777" w:rsidR="00E836FB" w:rsidRDefault="00E836FB">
            <w:pPr>
              <w:rPr>
                <w:rFonts w:ascii="宋体"/>
                <w:vanish/>
              </w:rPr>
            </w:pPr>
          </w:p>
        </w:tc>
        <w:tc>
          <w:tcPr>
            <w:tcW w:w="0" w:type="auto"/>
            <w:gridSpan w:val="3"/>
            <w:shd w:val="clear" w:color="auto" w:fill="auto"/>
            <w:vAlign w:val="bottom"/>
          </w:tcPr>
          <w:p w14:paraId="5F2CDEDD" w14:textId="77777777" w:rsidR="00E836FB" w:rsidRDefault="00E836FB">
            <w:pPr>
              <w:rPr>
                <w:rFonts w:ascii="宋体"/>
                <w:vanish/>
              </w:rPr>
            </w:pPr>
          </w:p>
        </w:tc>
        <w:tc>
          <w:tcPr>
            <w:tcW w:w="0" w:type="auto"/>
            <w:shd w:val="clear" w:color="auto" w:fill="auto"/>
            <w:vAlign w:val="bottom"/>
          </w:tcPr>
          <w:p w14:paraId="5F2CDEDE" w14:textId="77777777" w:rsidR="00E836FB" w:rsidRDefault="00E836FB">
            <w:pPr>
              <w:rPr>
                <w:rFonts w:ascii="宋体"/>
              </w:rPr>
            </w:pPr>
          </w:p>
        </w:tc>
        <w:tc>
          <w:tcPr>
            <w:tcW w:w="0" w:type="auto"/>
            <w:shd w:val="clear" w:color="auto" w:fill="auto"/>
            <w:vAlign w:val="bottom"/>
          </w:tcPr>
          <w:p w14:paraId="5F2CDEDF" w14:textId="77777777" w:rsidR="00E836FB" w:rsidRDefault="00E836FB">
            <w:pPr>
              <w:rPr>
                <w:rFonts w:ascii="宋体"/>
              </w:rPr>
            </w:pPr>
          </w:p>
        </w:tc>
        <w:tc>
          <w:tcPr>
            <w:tcW w:w="0" w:type="auto"/>
            <w:shd w:val="clear" w:color="auto" w:fill="auto"/>
            <w:vAlign w:val="bottom"/>
          </w:tcPr>
          <w:p w14:paraId="5F2CDEE0" w14:textId="77777777" w:rsidR="00E836FB" w:rsidRDefault="00E836FB">
            <w:pPr>
              <w:rPr>
                <w:rFonts w:ascii="宋体"/>
              </w:rPr>
            </w:pPr>
          </w:p>
        </w:tc>
        <w:tc>
          <w:tcPr>
            <w:tcW w:w="0" w:type="auto"/>
            <w:shd w:val="clear" w:color="auto" w:fill="auto"/>
            <w:vAlign w:val="bottom"/>
          </w:tcPr>
          <w:p w14:paraId="5F2CDEE1" w14:textId="77777777" w:rsidR="00E836FB" w:rsidRDefault="00E836FB">
            <w:pPr>
              <w:rPr>
                <w:rFonts w:ascii="宋体"/>
              </w:rPr>
            </w:pPr>
          </w:p>
        </w:tc>
        <w:tc>
          <w:tcPr>
            <w:tcW w:w="0" w:type="auto"/>
            <w:shd w:val="clear" w:color="auto" w:fill="auto"/>
            <w:vAlign w:val="bottom"/>
          </w:tcPr>
          <w:p w14:paraId="5F2CDEE2" w14:textId="77777777" w:rsidR="00E836FB" w:rsidRDefault="00E836FB">
            <w:pPr>
              <w:rPr>
                <w:rFonts w:ascii="宋体"/>
              </w:rPr>
            </w:pPr>
          </w:p>
        </w:tc>
        <w:tc>
          <w:tcPr>
            <w:tcW w:w="0" w:type="auto"/>
            <w:shd w:val="clear" w:color="auto" w:fill="auto"/>
            <w:vAlign w:val="bottom"/>
          </w:tcPr>
          <w:p w14:paraId="5F2CDEE3" w14:textId="77777777" w:rsidR="00E836FB" w:rsidRDefault="00E836FB">
            <w:pPr>
              <w:rPr>
                <w:rFonts w:ascii="宋体"/>
              </w:rPr>
            </w:pPr>
          </w:p>
        </w:tc>
      </w:tr>
      <w:tr w:rsidR="00994958" w14:paraId="5F2CDF05" w14:textId="77777777">
        <w:tc>
          <w:tcPr>
            <w:tcW w:w="0" w:type="auto"/>
            <w:gridSpan w:val="9"/>
            <w:shd w:val="clear" w:color="auto" w:fill="FFFFFF"/>
            <w:tcMar>
              <w:top w:w="40" w:type="dxa"/>
              <w:left w:w="20" w:type="dxa"/>
              <w:bottom w:w="40" w:type="dxa"/>
              <w:right w:w="20" w:type="dxa"/>
            </w:tcMar>
            <w:vAlign w:val="bottom"/>
          </w:tcPr>
          <w:p w14:paraId="5F2CDEE5" w14:textId="77777777" w:rsidR="00E836FB" w:rsidRDefault="00994958">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DEE6"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EE7" w14:textId="77777777" w:rsidR="00E836FB" w:rsidRDefault="00994958">
            <w:pPr>
              <w:jc w:val="right"/>
              <w:textAlignment w:val="bottom"/>
            </w:pPr>
            <w:r>
              <w:rPr>
                <w:rFonts w:ascii="Arial" w:eastAsia="宋体" w:hAnsi="Arial" w:cs="Arial"/>
                <w:b/>
                <w:bCs/>
                <w:color w:val="000000"/>
                <w:sz w:val="12"/>
                <w:szCs w:val="12"/>
              </w:rPr>
              <w:t>19,511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E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E9"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EEA"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EEB" w14:textId="77777777" w:rsidR="00E836FB" w:rsidRDefault="00994958">
            <w:pPr>
              <w:jc w:val="right"/>
              <w:textAlignment w:val="bottom"/>
            </w:pPr>
            <w:r>
              <w:rPr>
                <w:rFonts w:ascii="Arial" w:eastAsia="宋体" w:hAnsi="Arial" w:cs="Arial"/>
                <w:b/>
                <w:bCs/>
                <w:color w:val="000000"/>
                <w:sz w:val="12"/>
                <w:szCs w:val="12"/>
              </w:rPr>
              <w:t>19,619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E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E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EEE"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EEF" w14:textId="77777777" w:rsidR="00E836FB" w:rsidRDefault="00994958">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F1"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EF2"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EF3" w14:textId="77777777" w:rsidR="00E836FB" w:rsidRDefault="00994958">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F5"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EF6"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EF7" w14:textId="77777777" w:rsidR="00E836FB" w:rsidRDefault="00994958">
            <w:pPr>
              <w:jc w:val="right"/>
              <w:textAlignment w:val="bottom"/>
            </w:pPr>
            <w:r>
              <w:rPr>
                <w:rFonts w:ascii="Arial" w:eastAsia="宋体" w:hAnsi="Arial" w:cs="Arial"/>
                <w:b/>
                <w:bCs/>
                <w:color w:val="000000"/>
                <w:sz w:val="12"/>
                <w:szCs w:val="12"/>
              </w:rPr>
              <w:t>19,597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F9"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EFA"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EFB" w14:textId="77777777" w:rsidR="00E836FB" w:rsidRDefault="00994958">
            <w:pPr>
              <w:jc w:val="right"/>
              <w:textAlignment w:val="bottom"/>
            </w:pPr>
            <w:r>
              <w:rPr>
                <w:rFonts w:ascii="Arial" w:eastAsia="宋体" w:hAnsi="Arial" w:cs="Arial"/>
                <w:b/>
                <w:bCs/>
                <w:color w:val="000000"/>
                <w:sz w:val="12"/>
                <w:szCs w:val="12"/>
              </w:rPr>
              <w:t>19,705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E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EF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EFE"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EFF" w14:textId="77777777" w:rsidR="00E836FB" w:rsidRDefault="00994958">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F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01"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DF02"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DF03" w14:textId="77777777" w:rsidR="00E836FB" w:rsidRDefault="00994958">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DF04" w14:textId="77777777" w:rsidR="00E836FB" w:rsidRDefault="00E836FB">
            <w:pPr>
              <w:jc w:val="right"/>
              <w:rPr>
                <w:rFonts w:ascii="宋体"/>
              </w:rPr>
            </w:pPr>
          </w:p>
        </w:tc>
      </w:tr>
      <w:tr w:rsidR="00E836FB" w14:paraId="5F2CDF16" w14:textId="77777777">
        <w:tc>
          <w:tcPr>
            <w:tcW w:w="0" w:type="auto"/>
            <w:gridSpan w:val="9"/>
            <w:shd w:val="clear" w:color="auto" w:fill="CCEEFF"/>
            <w:tcMar>
              <w:top w:w="40" w:type="dxa"/>
              <w:left w:w="20" w:type="dxa"/>
              <w:bottom w:w="40" w:type="dxa"/>
              <w:right w:w="20" w:type="dxa"/>
            </w:tcMar>
            <w:vAlign w:val="bottom"/>
          </w:tcPr>
          <w:p w14:paraId="5F2CDF06" w14:textId="77777777" w:rsidR="00E836FB" w:rsidRDefault="00994958">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0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F08"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0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F0A"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0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F0C"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0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F0E"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0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F10"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1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F12"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1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DF14"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DF15" w14:textId="77777777" w:rsidR="00E836FB" w:rsidRDefault="00E836FB">
            <w:pPr>
              <w:rPr>
                <w:rFonts w:ascii="宋体"/>
              </w:rPr>
            </w:pPr>
          </w:p>
        </w:tc>
      </w:tr>
      <w:tr w:rsidR="00E836FB" w14:paraId="5F2CDF29" w14:textId="77777777">
        <w:trPr>
          <w:hidden/>
        </w:trPr>
        <w:tc>
          <w:tcPr>
            <w:tcW w:w="0" w:type="auto"/>
            <w:gridSpan w:val="3"/>
            <w:shd w:val="clear" w:color="auto" w:fill="auto"/>
            <w:vAlign w:val="bottom"/>
          </w:tcPr>
          <w:p w14:paraId="5F2CDF17" w14:textId="77777777" w:rsidR="00E836FB" w:rsidRDefault="00E836FB">
            <w:pPr>
              <w:rPr>
                <w:rFonts w:ascii="宋体"/>
                <w:vanish/>
              </w:rPr>
            </w:pPr>
          </w:p>
        </w:tc>
        <w:tc>
          <w:tcPr>
            <w:tcW w:w="0" w:type="auto"/>
            <w:gridSpan w:val="3"/>
            <w:shd w:val="clear" w:color="auto" w:fill="auto"/>
            <w:vAlign w:val="bottom"/>
          </w:tcPr>
          <w:p w14:paraId="5F2CDF18" w14:textId="77777777" w:rsidR="00E836FB" w:rsidRDefault="00E836FB">
            <w:pPr>
              <w:rPr>
                <w:rFonts w:ascii="宋体"/>
                <w:vanish/>
              </w:rPr>
            </w:pPr>
          </w:p>
        </w:tc>
        <w:tc>
          <w:tcPr>
            <w:tcW w:w="0" w:type="auto"/>
            <w:gridSpan w:val="3"/>
            <w:shd w:val="clear" w:color="auto" w:fill="auto"/>
            <w:vAlign w:val="bottom"/>
          </w:tcPr>
          <w:p w14:paraId="5F2CDF19" w14:textId="77777777" w:rsidR="00E836FB" w:rsidRDefault="00E836FB">
            <w:pPr>
              <w:rPr>
                <w:rFonts w:ascii="宋体"/>
                <w:vanish/>
              </w:rPr>
            </w:pPr>
          </w:p>
        </w:tc>
        <w:tc>
          <w:tcPr>
            <w:tcW w:w="0" w:type="auto"/>
            <w:gridSpan w:val="3"/>
            <w:shd w:val="clear" w:color="auto" w:fill="auto"/>
            <w:vAlign w:val="bottom"/>
          </w:tcPr>
          <w:p w14:paraId="5F2CDF1A" w14:textId="77777777" w:rsidR="00E836FB" w:rsidRDefault="00E836FB">
            <w:pPr>
              <w:rPr>
                <w:rFonts w:ascii="宋体"/>
                <w:vanish/>
              </w:rPr>
            </w:pPr>
          </w:p>
        </w:tc>
        <w:tc>
          <w:tcPr>
            <w:tcW w:w="0" w:type="auto"/>
            <w:gridSpan w:val="3"/>
            <w:shd w:val="clear" w:color="auto" w:fill="auto"/>
            <w:vAlign w:val="bottom"/>
          </w:tcPr>
          <w:p w14:paraId="5F2CDF1B" w14:textId="77777777" w:rsidR="00E836FB" w:rsidRDefault="00E836FB">
            <w:pPr>
              <w:rPr>
                <w:rFonts w:ascii="宋体"/>
                <w:vanish/>
              </w:rPr>
            </w:pPr>
          </w:p>
        </w:tc>
        <w:tc>
          <w:tcPr>
            <w:tcW w:w="0" w:type="auto"/>
            <w:gridSpan w:val="3"/>
            <w:shd w:val="clear" w:color="auto" w:fill="auto"/>
            <w:vAlign w:val="bottom"/>
          </w:tcPr>
          <w:p w14:paraId="5F2CDF1C" w14:textId="77777777" w:rsidR="00E836FB" w:rsidRDefault="00E836FB">
            <w:pPr>
              <w:rPr>
                <w:rFonts w:ascii="宋体"/>
                <w:vanish/>
              </w:rPr>
            </w:pPr>
          </w:p>
        </w:tc>
        <w:tc>
          <w:tcPr>
            <w:tcW w:w="0" w:type="auto"/>
            <w:gridSpan w:val="3"/>
            <w:shd w:val="clear" w:color="auto" w:fill="auto"/>
            <w:vAlign w:val="bottom"/>
          </w:tcPr>
          <w:p w14:paraId="5F2CDF1D" w14:textId="77777777" w:rsidR="00E836FB" w:rsidRDefault="00E836FB">
            <w:pPr>
              <w:rPr>
                <w:rFonts w:ascii="宋体"/>
                <w:vanish/>
              </w:rPr>
            </w:pPr>
          </w:p>
        </w:tc>
        <w:tc>
          <w:tcPr>
            <w:tcW w:w="0" w:type="auto"/>
            <w:gridSpan w:val="3"/>
            <w:shd w:val="clear" w:color="auto" w:fill="auto"/>
            <w:vAlign w:val="bottom"/>
          </w:tcPr>
          <w:p w14:paraId="5F2CDF1E" w14:textId="77777777" w:rsidR="00E836FB" w:rsidRDefault="00E836FB">
            <w:pPr>
              <w:rPr>
                <w:rFonts w:ascii="宋体"/>
                <w:vanish/>
              </w:rPr>
            </w:pPr>
          </w:p>
        </w:tc>
        <w:tc>
          <w:tcPr>
            <w:tcW w:w="0" w:type="auto"/>
            <w:gridSpan w:val="3"/>
            <w:shd w:val="clear" w:color="auto" w:fill="auto"/>
            <w:vAlign w:val="bottom"/>
          </w:tcPr>
          <w:p w14:paraId="5F2CDF1F" w14:textId="77777777" w:rsidR="00E836FB" w:rsidRDefault="00E836FB">
            <w:pPr>
              <w:rPr>
                <w:rFonts w:ascii="宋体"/>
                <w:vanish/>
              </w:rPr>
            </w:pPr>
          </w:p>
        </w:tc>
        <w:tc>
          <w:tcPr>
            <w:tcW w:w="0" w:type="auto"/>
            <w:gridSpan w:val="3"/>
            <w:shd w:val="clear" w:color="auto" w:fill="auto"/>
            <w:vAlign w:val="bottom"/>
          </w:tcPr>
          <w:p w14:paraId="5F2CDF20" w14:textId="77777777" w:rsidR="00E836FB" w:rsidRDefault="00E836FB">
            <w:pPr>
              <w:rPr>
                <w:rFonts w:ascii="宋体"/>
                <w:vanish/>
              </w:rPr>
            </w:pPr>
          </w:p>
        </w:tc>
        <w:tc>
          <w:tcPr>
            <w:tcW w:w="0" w:type="auto"/>
            <w:gridSpan w:val="3"/>
            <w:shd w:val="clear" w:color="auto" w:fill="auto"/>
            <w:vAlign w:val="bottom"/>
          </w:tcPr>
          <w:p w14:paraId="5F2CDF21" w14:textId="77777777" w:rsidR="00E836FB" w:rsidRDefault="00E836FB">
            <w:pPr>
              <w:rPr>
                <w:rFonts w:ascii="宋体"/>
                <w:vanish/>
              </w:rPr>
            </w:pPr>
          </w:p>
        </w:tc>
        <w:tc>
          <w:tcPr>
            <w:tcW w:w="0" w:type="auto"/>
            <w:gridSpan w:val="3"/>
            <w:shd w:val="clear" w:color="auto" w:fill="auto"/>
            <w:vAlign w:val="bottom"/>
          </w:tcPr>
          <w:p w14:paraId="5F2CDF22" w14:textId="77777777" w:rsidR="00E836FB" w:rsidRDefault="00E836FB">
            <w:pPr>
              <w:rPr>
                <w:rFonts w:ascii="宋体"/>
                <w:vanish/>
              </w:rPr>
            </w:pPr>
          </w:p>
        </w:tc>
        <w:tc>
          <w:tcPr>
            <w:tcW w:w="0" w:type="auto"/>
            <w:gridSpan w:val="3"/>
            <w:shd w:val="clear" w:color="auto" w:fill="auto"/>
            <w:vAlign w:val="bottom"/>
          </w:tcPr>
          <w:p w14:paraId="5F2CDF23" w14:textId="77777777" w:rsidR="00E836FB" w:rsidRDefault="00E836FB">
            <w:pPr>
              <w:rPr>
                <w:rFonts w:ascii="宋体"/>
                <w:vanish/>
              </w:rPr>
            </w:pPr>
          </w:p>
        </w:tc>
        <w:tc>
          <w:tcPr>
            <w:tcW w:w="0" w:type="auto"/>
            <w:gridSpan w:val="3"/>
            <w:shd w:val="clear" w:color="auto" w:fill="auto"/>
            <w:vAlign w:val="bottom"/>
          </w:tcPr>
          <w:p w14:paraId="5F2CDF24" w14:textId="77777777" w:rsidR="00E836FB" w:rsidRDefault="00E836FB">
            <w:pPr>
              <w:rPr>
                <w:rFonts w:ascii="宋体"/>
                <w:vanish/>
              </w:rPr>
            </w:pPr>
          </w:p>
        </w:tc>
        <w:tc>
          <w:tcPr>
            <w:tcW w:w="0" w:type="auto"/>
            <w:gridSpan w:val="3"/>
            <w:shd w:val="clear" w:color="auto" w:fill="auto"/>
            <w:vAlign w:val="bottom"/>
          </w:tcPr>
          <w:p w14:paraId="5F2CDF25" w14:textId="77777777" w:rsidR="00E836FB" w:rsidRDefault="00E836FB">
            <w:pPr>
              <w:rPr>
                <w:rFonts w:ascii="宋体"/>
                <w:vanish/>
              </w:rPr>
            </w:pPr>
          </w:p>
        </w:tc>
        <w:tc>
          <w:tcPr>
            <w:tcW w:w="0" w:type="auto"/>
            <w:gridSpan w:val="3"/>
            <w:shd w:val="clear" w:color="auto" w:fill="auto"/>
            <w:vAlign w:val="bottom"/>
          </w:tcPr>
          <w:p w14:paraId="5F2CDF26" w14:textId="77777777" w:rsidR="00E836FB" w:rsidRDefault="00E836FB">
            <w:pPr>
              <w:rPr>
                <w:rFonts w:ascii="宋体"/>
                <w:vanish/>
              </w:rPr>
            </w:pPr>
          </w:p>
        </w:tc>
        <w:tc>
          <w:tcPr>
            <w:tcW w:w="0" w:type="auto"/>
            <w:gridSpan w:val="3"/>
            <w:shd w:val="clear" w:color="auto" w:fill="auto"/>
            <w:vAlign w:val="bottom"/>
          </w:tcPr>
          <w:p w14:paraId="5F2CDF27" w14:textId="77777777" w:rsidR="00E836FB" w:rsidRDefault="00E836FB">
            <w:pPr>
              <w:rPr>
                <w:rFonts w:ascii="宋体"/>
                <w:vanish/>
              </w:rPr>
            </w:pPr>
          </w:p>
        </w:tc>
        <w:tc>
          <w:tcPr>
            <w:tcW w:w="0" w:type="auto"/>
            <w:gridSpan w:val="3"/>
            <w:shd w:val="clear" w:color="auto" w:fill="auto"/>
            <w:vAlign w:val="bottom"/>
          </w:tcPr>
          <w:p w14:paraId="5F2CDF28" w14:textId="77777777" w:rsidR="00E836FB" w:rsidRDefault="00E836FB">
            <w:pPr>
              <w:rPr>
                <w:rFonts w:ascii="宋体"/>
                <w:vanish/>
              </w:rPr>
            </w:pPr>
          </w:p>
        </w:tc>
      </w:tr>
      <w:tr w:rsidR="00E836FB" w14:paraId="5F2CDF3C" w14:textId="77777777">
        <w:trPr>
          <w:hidden/>
        </w:trPr>
        <w:tc>
          <w:tcPr>
            <w:tcW w:w="0" w:type="auto"/>
            <w:gridSpan w:val="3"/>
            <w:shd w:val="clear" w:color="auto" w:fill="auto"/>
            <w:vAlign w:val="bottom"/>
          </w:tcPr>
          <w:p w14:paraId="5F2CDF2A" w14:textId="77777777" w:rsidR="00E836FB" w:rsidRDefault="00E836FB">
            <w:pPr>
              <w:rPr>
                <w:rFonts w:ascii="宋体"/>
                <w:vanish/>
              </w:rPr>
            </w:pPr>
          </w:p>
        </w:tc>
        <w:tc>
          <w:tcPr>
            <w:tcW w:w="0" w:type="auto"/>
            <w:gridSpan w:val="3"/>
            <w:shd w:val="clear" w:color="auto" w:fill="auto"/>
            <w:vAlign w:val="bottom"/>
          </w:tcPr>
          <w:p w14:paraId="5F2CDF2B" w14:textId="77777777" w:rsidR="00E836FB" w:rsidRDefault="00E836FB">
            <w:pPr>
              <w:rPr>
                <w:rFonts w:ascii="宋体"/>
                <w:vanish/>
              </w:rPr>
            </w:pPr>
          </w:p>
        </w:tc>
        <w:tc>
          <w:tcPr>
            <w:tcW w:w="0" w:type="auto"/>
            <w:gridSpan w:val="3"/>
            <w:shd w:val="clear" w:color="auto" w:fill="auto"/>
            <w:vAlign w:val="bottom"/>
          </w:tcPr>
          <w:p w14:paraId="5F2CDF2C" w14:textId="77777777" w:rsidR="00E836FB" w:rsidRDefault="00E836FB">
            <w:pPr>
              <w:rPr>
                <w:rFonts w:ascii="宋体"/>
                <w:vanish/>
              </w:rPr>
            </w:pPr>
          </w:p>
        </w:tc>
        <w:tc>
          <w:tcPr>
            <w:tcW w:w="0" w:type="auto"/>
            <w:gridSpan w:val="3"/>
            <w:shd w:val="clear" w:color="auto" w:fill="auto"/>
            <w:vAlign w:val="bottom"/>
          </w:tcPr>
          <w:p w14:paraId="5F2CDF2D" w14:textId="77777777" w:rsidR="00E836FB" w:rsidRDefault="00E836FB">
            <w:pPr>
              <w:rPr>
                <w:rFonts w:ascii="宋体"/>
                <w:vanish/>
              </w:rPr>
            </w:pPr>
          </w:p>
        </w:tc>
        <w:tc>
          <w:tcPr>
            <w:tcW w:w="0" w:type="auto"/>
            <w:gridSpan w:val="3"/>
            <w:shd w:val="clear" w:color="auto" w:fill="auto"/>
            <w:vAlign w:val="bottom"/>
          </w:tcPr>
          <w:p w14:paraId="5F2CDF2E" w14:textId="77777777" w:rsidR="00E836FB" w:rsidRDefault="00E836FB">
            <w:pPr>
              <w:rPr>
                <w:rFonts w:ascii="宋体"/>
                <w:vanish/>
              </w:rPr>
            </w:pPr>
          </w:p>
        </w:tc>
        <w:tc>
          <w:tcPr>
            <w:tcW w:w="0" w:type="auto"/>
            <w:gridSpan w:val="3"/>
            <w:shd w:val="clear" w:color="auto" w:fill="auto"/>
            <w:vAlign w:val="bottom"/>
          </w:tcPr>
          <w:p w14:paraId="5F2CDF2F" w14:textId="77777777" w:rsidR="00E836FB" w:rsidRDefault="00E836FB">
            <w:pPr>
              <w:rPr>
                <w:rFonts w:ascii="宋体"/>
                <w:vanish/>
              </w:rPr>
            </w:pPr>
          </w:p>
        </w:tc>
        <w:tc>
          <w:tcPr>
            <w:tcW w:w="0" w:type="auto"/>
            <w:gridSpan w:val="3"/>
            <w:shd w:val="clear" w:color="auto" w:fill="auto"/>
            <w:vAlign w:val="bottom"/>
          </w:tcPr>
          <w:p w14:paraId="5F2CDF30" w14:textId="77777777" w:rsidR="00E836FB" w:rsidRDefault="00E836FB">
            <w:pPr>
              <w:rPr>
                <w:rFonts w:ascii="宋体"/>
                <w:vanish/>
              </w:rPr>
            </w:pPr>
          </w:p>
        </w:tc>
        <w:tc>
          <w:tcPr>
            <w:tcW w:w="0" w:type="auto"/>
            <w:gridSpan w:val="3"/>
            <w:shd w:val="clear" w:color="auto" w:fill="auto"/>
            <w:vAlign w:val="bottom"/>
          </w:tcPr>
          <w:p w14:paraId="5F2CDF31" w14:textId="77777777" w:rsidR="00E836FB" w:rsidRDefault="00E836FB">
            <w:pPr>
              <w:rPr>
                <w:rFonts w:ascii="宋体"/>
                <w:vanish/>
              </w:rPr>
            </w:pPr>
          </w:p>
        </w:tc>
        <w:tc>
          <w:tcPr>
            <w:tcW w:w="0" w:type="auto"/>
            <w:gridSpan w:val="3"/>
            <w:shd w:val="clear" w:color="auto" w:fill="auto"/>
            <w:vAlign w:val="bottom"/>
          </w:tcPr>
          <w:p w14:paraId="5F2CDF32" w14:textId="77777777" w:rsidR="00E836FB" w:rsidRDefault="00E836FB">
            <w:pPr>
              <w:rPr>
                <w:rFonts w:ascii="宋体"/>
                <w:vanish/>
              </w:rPr>
            </w:pPr>
          </w:p>
        </w:tc>
        <w:tc>
          <w:tcPr>
            <w:tcW w:w="0" w:type="auto"/>
            <w:gridSpan w:val="3"/>
            <w:shd w:val="clear" w:color="auto" w:fill="auto"/>
            <w:vAlign w:val="bottom"/>
          </w:tcPr>
          <w:p w14:paraId="5F2CDF33" w14:textId="77777777" w:rsidR="00E836FB" w:rsidRDefault="00E836FB">
            <w:pPr>
              <w:rPr>
                <w:rFonts w:ascii="宋体"/>
                <w:vanish/>
              </w:rPr>
            </w:pPr>
          </w:p>
        </w:tc>
        <w:tc>
          <w:tcPr>
            <w:tcW w:w="0" w:type="auto"/>
            <w:gridSpan w:val="3"/>
            <w:shd w:val="clear" w:color="auto" w:fill="auto"/>
            <w:vAlign w:val="bottom"/>
          </w:tcPr>
          <w:p w14:paraId="5F2CDF34" w14:textId="77777777" w:rsidR="00E836FB" w:rsidRDefault="00E836FB">
            <w:pPr>
              <w:rPr>
                <w:rFonts w:ascii="宋体"/>
                <w:vanish/>
              </w:rPr>
            </w:pPr>
          </w:p>
        </w:tc>
        <w:tc>
          <w:tcPr>
            <w:tcW w:w="0" w:type="auto"/>
            <w:gridSpan w:val="3"/>
            <w:shd w:val="clear" w:color="auto" w:fill="auto"/>
            <w:vAlign w:val="bottom"/>
          </w:tcPr>
          <w:p w14:paraId="5F2CDF35" w14:textId="77777777" w:rsidR="00E836FB" w:rsidRDefault="00E836FB">
            <w:pPr>
              <w:rPr>
                <w:rFonts w:ascii="宋体"/>
                <w:vanish/>
              </w:rPr>
            </w:pPr>
          </w:p>
        </w:tc>
        <w:tc>
          <w:tcPr>
            <w:tcW w:w="0" w:type="auto"/>
            <w:gridSpan w:val="3"/>
            <w:shd w:val="clear" w:color="auto" w:fill="auto"/>
            <w:vAlign w:val="bottom"/>
          </w:tcPr>
          <w:p w14:paraId="5F2CDF36" w14:textId="77777777" w:rsidR="00E836FB" w:rsidRDefault="00E836FB">
            <w:pPr>
              <w:rPr>
                <w:rFonts w:ascii="宋体"/>
                <w:vanish/>
              </w:rPr>
            </w:pPr>
          </w:p>
        </w:tc>
        <w:tc>
          <w:tcPr>
            <w:tcW w:w="0" w:type="auto"/>
            <w:gridSpan w:val="3"/>
            <w:shd w:val="clear" w:color="auto" w:fill="auto"/>
            <w:vAlign w:val="bottom"/>
          </w:tcPr>
          <w:p w14:paraId="5F2CDF37" w14:textId="77777777" w:rsidR="00E836FB" w:rsidRDefault="00E836FB">
            <w:pPr>
              <w:rPr>
                <w:rFonts w:ascii="宋体"/>
                <w:vanish/>
              </w:rPr>
            </w:pPr>
          </w:p>
        </w:tc>
        <w:tc>
          <w:tcPr>
            <w:tcW w:w="0" w:type="auto"/>
            <w:gridSpan w:val="3"/>
            <w:shd w:val="clear" w:color="auto" w:fill="auto"/>
            <w:vAlign w:val="bottom"/>
          </w:tcPr>
          <w:p w14:paraId="5F2CDF38" w14:textId="77777777" w:rsidR="00E836FB" w:rsidRDefault="00E836FB">
            <w:pPr>
              <w:rPr>
                <w:rFonts w:ascii="宋体"/>
                <w:vanish/>
              </w:rPr>
            </w:pPr>
          </w:p>
        </w:tc>
        <w:tc>
          <w:tcPr>
            <w:tcW w:w="0" w:type="auto"/>
            <w:gridSpan w:val="3"/>
            <w:shd w:val="clear" w:color="auto" w:fill="auto"/>
            <w:vAlign w:val="bottom"/>
          </w:tcPr>
          <w:p w14:paraId="5F2CDF39" w14:textId="77777777" w:rsidR="00E836FB" w:rsidRDefault="00E836FB">
            <w:pPr>
              <w:rPr>
                <w:rFonts w:ascii="宋体"/>
                <w:vanish/>
              </w:rPr>
            </w:pPr>
          </w:p>
        </w:tc>
        <w:tc>
          <w:tcPr>
            <w:tcW w:w="0" w:type="auto"/>
            <w:gridSpan w:val="3"/>
            <w:shd w:val="clear" w:color="auto" w:fill="auto"/>
            <w:vAlign w:val="bottom"/>
          </w:tcPr>
          <w:p w14:paraId="5F2CDF3A" w14:textId="77777777" w:rsidR="00E836FB" w:rsidRDefault="00E836FB">
            <w:pPr>
              <w:rPr>
                <w:rFonts w:ascii="宋体"/>
                <w:vanish/>
              </w:rPr>
            </w:pPr>
          </w:p>
        </w:tc>
        <w:tc>
          <w:tcPr>
            <w:tcW w:w="0" w:type="auto"/>
            <w:gridSpan w:val="3"/>
            <w:shd w:val="clear" w:color="auto" w:fill="auto"/>
            <w:vAlign w:val="bottom"/>
          </w:tcPr>
          <w:p w14:paraId="5F2CDF3B" w14:textId="77777777" w:rsidR="00E836FB" w:rsidRDefault="00E836FB">
            <w:pPr>
              <w:rPr>
                <w:rFonts w:ascii="宋体"/>
                <w:vanish/>
              </w:rPr>
            </w:pPr>
          </w:p>
        </w:tc>
      </w:tr>
      <w:tr w:rsidR="00E836FB" w14:paraId="5F2CDF4F" w14:textId="77777777">
        <w:trPr>
          <w:hidden/>
        </w:trPr>
        <w:tc>
          <w:tcPr>
            <w:tcW w:w="0" w:type="auto"/>
            <w:gridSpan w:val="3"/>
            <w:shd w:val="clear" w:color="auto" w:fill="auto"/>
            <w:vAlign w:val="bottom"/>
          </w:tcPr>
          <w:p w14:paraId="5F2CDF3D" w14:textId="77777777" w:rsidR="00E836FB" w:rsidRDefault="00E836FB">
            <w:pPr>
              <w:rPr>
                <w:rFonts w:ascii="宋体"/>
                <w:vanish/>
              </w:rPr>
            </w:pPr>
          </w:p>
        </w:tc>
        <w:tc>
          <w:tcPr>
            <w:tcW w:w="0" w:type="auto"/>
            <w:gridSpan w:val="3"/>
            <w:shd w:val="clear" w:color="auto" w:fill="auto"/>
            <w:vAlign w:val="bottom"/>
          </w:tcPr>
          <w:p w14:paraId="5F2CDF3E" w14:textId="77777777" w:rsidR="00E836FB" w:rsidRDefault="00E836FB">
            <w:pPr>
              <w:rPr>
                <w:rFonts w:ascii="宋体"/>
                <w:vanish/>
              </w:rPr>
            </w:pPr>
          </w:p>
        </w:tc>
        <w:tc>
          <w:tcPr>
            <w:tcW w:w="0" w:type="auto"/>
            <w:gridSpan w:val="3"/>
            <w:shd w:val="clear" w:color="auto" w:fill="auto"/>
            <w:vAlign w:val="bottom"/>
          </w:tcPr>
          <w:p w14:paraId="5F2CDF3F" w14:textId="77777777" w:rsidR="00E836FB" w:rsidRDefault="00E836FB">
            <w:pPr>
              <w:rPr>
                <w:rFonts w:ascii="宋体"/>
                <w:vanish/>
              </w:rPr>
            </w:pPr>
          </w:p>
        </w:tc>
        <w:tc>
          <w:tcPr>
            <w:tcW w:w="0" w:type="auto"/>
            <w:gridSpan w:val="3"/>
            <w:shd w:val="clear" w:color="auto" w:fill="auto"/>
            <w:vAlign w:val="bottom"/>
          </w:tcPr>
          <w:p w14:paraId="5F2CDF40" w14:textId="77777777" w:rsidR="00E836FB" w:rsidRDefault="00E836FB">
            <w:pPr>
              <w:rPr>
                <w:rFonts w:ascii="宋体"/>
                <w:vanish/>
              </w:rPr>
            </w:pPr>
          </w:p>
        </w:tc>
        <w:tc>
          <w:tcPr>
            <w:tcW w:w="0" w:type="auto"/>
            <w:gridSpan w:val="3"/>
            <w:shd w:val="clear" w:color="auto" w:fill="auto"/>
            <w:vAlign w:val="bottom"/>
          </w:tcPr>
          <w:p w14:paraId="5F2CDF41" w14:textId="77777777" w:rsidR="00E836FB" w:rsidRDefault="00E836FB">
            <w:pPr>
              <w:rPr>
                <w:rFonts w:ascii="宋体"/>
                <w:vanish/>
              </w:rPr>
            </w:pPr>
          </w:p>
        </w:tc>
        <w:tc>
          <w:tcPr>
            <w:tcW w:w="0" w:type="auto"/>
            <w:gridSpan w:val="3"/>
            <w:shd w:val="clear" w:color="auto" w:fill="auto"/>
            <w:vAlign w:val="bottom"/>
          </w:tcPr>
          <w:p w14:paraId="5F2CDF42" w14:textId="77777777" w:rsidR="00E836FB" w:rsidRDefault="00E836FB">
            <w:pPr>
              <w:rPr>
                <w:rFonts w:ascii="宋体"/>
                <w:vanish/>
              </w:rPr>
            </w:pPr>
          </w:p>
        </w:tc>
        <w:tc>
          <w:tcPr>
            <w:tcW w:w="0" w:type="auto"/>
            <w:gridSpan w:val="3"/>
            <w:shd w:val="clear" w:color="auto" w:fill="auto"/>
            <w:vAlign w:val="bottom"/>
          </w:tcPr>
          <w:p w14:paraId="5F2CDF43" w14:textId="77777777" w:rsidR="00E836FB" w:rsidRDefault="00E836FB">
            <w:pPr>
              <w:rPr>
                <w:rFonts w:ascii="宋体"/>
                <w:vanish/>
              </w:rPr>
            </w:pPr>
          </w:p>
        </w:tc>
        <w:tc>
          <w:tcPr>
            <w:tcW w:w="0" w:type="auto"/>
            <w:gridSpan w:val="3"/>
            <w:shd w:val="clear" w:color="auto" w:fill="auto"/>
            <w:vAlign w:val="bottom"/>
          </w:tcPr>
          <w:p w14:paraId="5F2CDF44" w14:textId="77777777" w:rsidR="00E836FB" w:rsidRDefault="00E836FB">
            <w:pPr>
              <w:rPr>
                <w:rFonts w:ascii="宋体"/>
                <w:vanish/>
              </w:rPr>
            </w:pPr>
          </w:p>
        </w:tc>
        <w:tc>
          <w:tcPr>
            <w:tcW w:w="0" w:type="auto"/>
            <w:gridSpan w:val="3"/>
            <w:shd w:val="clear" w:color="auto" w:fill="auto"/>
            <w:vAlign w:val="bottom"/>
          </w:tcPr>
          <w:p w14:paraId="5F2CDF45" w14:textId="77777777" w:rsidR="00E836FB" w:rsidRDefault="00E836FB">
            <w:pPr>
              <w:rPr>
                <w:rFonts w:ascii="宋体"/>
                <w:vanish/>
              </w:rPr>
            </w:pPr>
          </w:p>
        </w:tc>
        <w:tc>
          <w:tcPr>
            <w:tcW w:w="0" w:type="auto"/>
            <w:gridSpan w:val="3"/>
            <w:shd w:val="clear" w:color="auto" w:fill="auto"/>
            <w:vAlign w:val="bottom"/>
          </w:tcPr>
          <w:p w14:paraId="5F2CDF46" w14:textId="77777777" w:rsidR="00E836FB" w:rsidRDefault="00E836FB">
            <w:pPr>
              <w:rPr>
                <w:rFonts w:ascii="宋体"/>
                <w:vanish/>
              </w:rPr>
            </w:pPr>
          </w:p>
        </w:tc>
        <w:tc>
          <w:tcPr>
            <w:tcW w:w="0" w:type="auto"/>
            <w:gridSpan w:val="3"/>
            <w:shd w:val="clear" w:color="auto" w:fill="auto"/>
            <w:vAlign w:val="bottom"/>
          </w:tcPr>
          <w:p w14:paraId="5F2CDF47" w14:textId="77777777" w:rsidR="00E836FB" w:rsidRDefault="00E836FB">
            <w:pPr>
              <w:rPr>
                <w:rFonts w:ascii="宋体"/>
                <w:vanish/>
              </w:rPr>
            </w:pPr>
          </w:p>
        </w:tc>
        <w:tc>
          <w:tcPr>
            <w:tcW w:w="0" w:type="auto"/>
            <w:gridSpan w:val="3"/>
            <w:shd w:val="clear" w:color="auto" w:fill="auto"/>
            <w:vAlign w:val="bottom"/>
          </w:tcPr>
          <w:p w14:paraId="5F2CDF48" w14:textId="77777777" w:rsidR="00E836FB" w:rsidRDefault="00E836FB">
            <w:pPr>
              <w:rPr>
                <w:rFonts w:ascii="宋体"/>
                <w:vanish/>
              </w:rPr>
            </w:pPr>
          </w:p>
        </w:tc>
        <w:tc>
          <w:tcPr>
            <w:tcW w:w="0" w:type="auto"/>
            <w:gridSpan w:val="3"/>
            <w:shd w:val="clear" w:color="auto" w:fill="auto"/>
            <w:vAlign w:val="bottom"/>
          </w:tcPr>
          <w:p w14:paraId="5F2CDF49" w14:textId="77777777" w:rsidR="00E836FB" w:rsidRDefault="00E836FB">
            <w:pPr>
              <w:rPr>
                <w:rFonts w:ascii="宋体"/>
                <w:vanish/>
              </w:rPr>
            </w:pPr>
          </w:p>
        </w:tc>
        <w:tc>
          <w:tcPr>
            <w:tcW w:w="0" w:type="auto"/>
            <w:gridSpan w:val="3"/>
            <w:shd w:val="clear" w:color="auto" w:fill="auto"/>
            <w:vAlign w:val="bottom"/>
          </w:tcPr>
          <w:p w14:paraId="5F2CDF4A" w14:textId="77777777" w:rsidR="00E836FB" w:rsidRDefault="00E836FB">
            <w:pPr>
              <w:rPr>
                <w:rFonts w:ascii="宋体"/>
                <w:vanish/>
              </w:rPr>
            </w:pPr>
          </w:p>
        </w:tc>
        <w:tc>
          <w:tcPr>
            <w:tcW w:w="0" w:type="auto"/>
            <w:gridSpan w:val="3"/>
            <w:shd w:val="clear" w:color="auto" w:fill="auto"/>
            <w:vAlign w:val="bottom"/>
          </w:tcPr>
          <w:p w14:paraId="5F2CDF4B" w14:textId="77777777" w:rsidR="00E836FB" w:rsidRDefault="00E836FB">
            <w:pPr>
              <w:rPr>
                <w:rFonts w:ascii="宋体"/>
                <w:vanish/>
              </w:rPr>
            </w:pPr>
          </w:p>
        </w:tc>
        <w:tc>
          <w:tcPr>
            <w:tcW w:w="0" w:type="auto"/>
            <w:gridSpan w:val="3"/>
            <w:shd w:val="clear" w:color="auto" w:fill="auto"/>
            <w:vAlign w:val="bottom"/>
          </w:tcPr>
          <w:p w14:paraId="5F2CDF4C" w14:textId="77777777" w:rsidR="00E836FB" w:rsidRDefault="00E836FB">
            <w:pPr>
              <w:rPr>
                <w:rFonts w:ascii="宋体"/>
                <w:vanish/>
              </w:rPr>
            </w:pPr>
          </w:p>
        </w:tc>
        <w:tc>
          <w:tcPr>
            <w:tcW w:w="0" w:type="auto"/>
            <w:gridSpan w:val="3"/>
            <w:shd w:val="clear" w:color="auto" w:fill="auto"/>
            <w:vAlign w:val="bottom"/>
          </w:tcPr>
          <w:p w14:paraId="5F2CDF4D" w14:textId="77777777" w:rsidR="00E836FB" w:rsidRDefault="00E836FB">
            <w:pPr>
              <w:rPr>
                <w:rFonts w:ascii="宋体"/>
                <w:vanish/>
              </w:rPr>
            </w:pPr>
          </w:p>
        </w:tc>
        <w:tc>
          <w:tcPr>
            <w:tcW w:w="0" w:type="auto"/>
            <w:gridSpan w:val="3"/>
            <w:shd w:val="clear" w:color="auto" w:fill="auto"/>
            <w:vAlign w:val="bottom"/>
          </w:tcPr>
          <w:p w14:paraId="5F2CDF4E" w14:textId="77777777" w:rsidR="00E836FB" w:rsidRDefault="00E836FB">
            <w:pPr>
              <w:rPr>
                <w:rFonts w:ascii="宋体"/>
                <w:vanish/>
              </w:rPr>
            </w:pPr>
          </w:p>
        </w:tc>
      </w:tr>
      <w:tr w:rsidR="00E836FB" w14:paraId="5F2CDF62" w14:textId="77777777">
        <w:trPr>
          <w:hidden/>
        </w:trPr>
        <w:tc>
          <w:tcPr>
            <w:tcW w:w="0" w:type="auto"/>
            <w:gridSpan w:val="3"/>
            <w:shd w:val="clear" w:color="auto" w:fill="auto"/>
            <w:vAlign w:val="bottom"/>
          </w:tcPr>
          <w:p w14:paraId="5F2CDF50" w14:textId="77777777" w:rsidR="00E836FB" w:rsidRDefault="00E836FB">
            <w:pPr>
              <w:rPr>
                <w:rFonts w:ascii="宋体"/>
                <w:vanish/>
              </w:rPr>
            </w:pPr>
          </w:p>
        </w:tc>
        <w:tc>
          <w:tcPr>
            <w:tcW w:w="0" w:type="auto"/>
            <w:gridSpan w:val="3"/>
            <w:shd w:val="clear" w:color="auto" w:fill="auto"/>
            <w:vAlign w:val="bottom"/>
          </w:tcPr>
          <w:p w14:paraId="5F2CDF51" w14:textId="77777777" w:rsidR="00E836FB" w:rsidRDefault="00E836FB">
            <w:pPr>
              <w:rPr>
                <w:rFonts w:ascii="宋体"/>
                <w:vanish/>
              </w:rPr>
            </w:pPr>
          </w:p>
        </w:tc>
        <w:tc>
          <w:tcPr>
            <w:tcW w:w="0" w:type="auto"/>
            <w:gridSpan w:val="3"/>
            <w:shd w:val="clear" w:color="auto" w:fill="auto"/>
            <w:vAlign w:val="bottom"/>
          </w:tcPr>
          <w:p w14:paraId="5F2CDF52" w14:textId="77777777" w:rsidR="00E836FB" w:rsidRDefault="00E836FB">
            <w:pPr>
              <w:rPr>
                <w:rFonts w:ascii="宋体"/>
                <w:vanish/>
              </w:rPr>
            </w:pPr>
          </w:p>
        </w:tc>
        <w:tc>
          <w:tcPr>
            <w:tcW w:w="0" w:type="auto"/>
            <w:gridSpan w:val="3"/>
            <w:shd w:val="clear" w:color="auto" w:fill="auto"/>
            <w:vAlign w:val="bottom"/>
          </w:tcPr>
          <w:p w14:paraId="5F2CDF53" w14:textId="77777777" w:rsidR="00E836FB" w:rsidRDefault="00E836FB">
            <w:pPr>
              <w:rPr>
                <w:rFonts w:ascii="宋体"/>
                <w:vanish/>
              </w:rPr>
            </w:pPr>
          </w:p>
        </w:tc>
        <w:tc>
          <w:tcPr>
            <w:tcW w:w="0" w:type="auto"/>
            <w:gridSpan w:val="3"/>
            <w:shd w:val="clear" w:color="auto" w:fill="auto"/>
            <w:vAlign w:val="bottom"/>
          </w:tcPr>
          <w:p w14:paraId="5F2CDF54" w14:textId="77777777" w:rsidR="00E836FB" w:rsidRDefault="00E836FB">
            <w:pPr>
              <w:rPr>
                <w:rFonts w:ascii="宋体"/>
                <w:vanish/>
              </w:rPr>
            </w:pPr>
          </w:p>
        </w:tc>
        <w:tc>
          <w:tcPr>
            <w:tcW w:w="0" w:type="auto"/>
            <w:gridSpan w:val="3"/>
            <w:shd w:val="clear" w:color="auto" w:fill="auto"/>
            <w:vAlign w:val="bottom"/>
          </w:tcPr>
          <w:p w14:paraId="5F2CDF55" w14:textId="77777777" w:rsidR="00E836FB" w:rsidRDefault="00E836FB">
            <w:pPr>
              <w:rPr>
                <w:rFonts w:ascii="宋体"/>
                <w:vanish/>
              </w:rPr>
            </w:pPr>
          </w:p>
        </w:tc>
        <w:tc>
          <w:tcPr>
            <w:tcW w:w="0" w:type="auto"/>
            <w:gridSpan w:val="3"/>
            <w:shd w:val="clear" w:color="auto" w:fill="auto"/>
            <w:vAlign w:val="bottom"/>
          </w:tcPr>
          <w:p w14:paraId="5F2CDF56" w14:textId="77777777" w:rsidR="00E836FB" w:rsidRDefault="00E836FB">
            <w:pPr>
              <w:rPr>
                <w:rFonts w:ascii="宋体"/>
                <w:vanish/>
              </w:rPr>
            </w:pPr>
          </w:p>
        </w:tc>
        <w:tc>
          <w:tcPr>
            <w:tcW w:w="0" w:type="auto"/>
            <w:gridSpan w:val="3"/>
            <w:shd w:val="clear" w:color="auto" w:fill="auto"/>
            <w:vAlign w:val="bottom"/>
          </w:tcPr>
          <w:p w14:paraId="5F2CDF57" w14:textId="77777777" w:rsidR="00E836FB" w:rsidRDefault="00E836FB">
            <w:pPr>
              <w:rPr>
                <w:rFonts w:ascii="宋体"/>
                <w:vanish/>
              </w:rPr>
            </w:pPr>
          </w:p>
        </w:tc>
        <w:tc>
          <w:tcPr>
            <w:tcW w:w="0" w:type="auto"/>
            <w:gridSpan w:val="3"/>
            <w:shd w:val="clear" w:color="auto" w:fill="auto"/>
            <w:vAlign w:val="bottom"/>
          </w:tcPr>
          <w:p w14:paraId="5F2CDF58" w14:textId="77777777" w:rsidR="00E836FB" w:rsidRDefault="00E836FB">
            <w:pPr>
              <w:rPr>
                <w:rFonts w:ascii="宋体"/>
                <w:vanish/>
              </w:rPr>
            </w:pPr>
          </w:p>
        </w:tc>
        <w:tc>
          <w:tcPr>
            <w:tcW w:w="0" w:type="auto"/>
            <w:gridSpan w:val="3"/>
            <w:shd w:val="clear" w:color="auto" w:fill="auto"/>
            <w:vAlign w:val="bottom"/>
          </w:tcPr>
          <w:p w14:paraId="5F2CDF59" w14:textId="77777777" w:rsidR="00E836FB" w:rsidRDefault="00E836FB">
            <w:pPr>
              <w:rPr>
                <w:rFonts w:ascii="宋体"/>
                <w:vanish/>
              </w:rPr>
            </w:pPr>
          </w:p>
        </w:tc>
        <w:tc>
          <w:tcPr>
            <w:tcW w:w="0" w:type="auto"/>
            <w:gridSpan w:val="3"/>
            <w:shd w:val="clear" w:color="auto" w:fill="auto"/>
            <w:vAlign w:val="bottom"/>
          </w:tcPr>
          <w:p w14:paraId="5F2CDF5A" w14:textId="77777777" w:rsidR="00E836FB" w:rsidRDefault="00E836FB">
            <w:pPr>
              <w:rPr>
                <w:rFonts w:ascii="宋体"/>
                <w:vanish/>
              </w:rPr>
            </w:pPr>
          </w:p>
        </w:tc>
        <w:tc>
          <w:tcPr>
            <w:tcW w:w="0" w:type="auto"/>
            <w:gridSpan w:val="3"/>
            <w:shd w:val="clear" w:color="auto" w:fill="auto"/>
            <w:vAlign w:val="bottom"/>
          </w:tcPr>
          <w:p w14:paraId="5F2CDF5B" w14:textId="77777777" w:rsidR="00E836FB" w:rsidRDefault="00E836FB">
            <w:pPr>
              <w:rPr>
                <w:rFonts w:ascii="宋体"/>
                <w:vanish/>
              </w:rPr>
            </w:pPr>
          </w:p>
        </w:tc>
        <w:tc>
          <w:tcPr>
            <w:tcW w:w="0" w:type="auto"/>
            <w:gridSpan w:val="3"/>
            <w:shd w:val="clear" w:color="auto" w:fill="auto"/>
            <w:vAlign w:val="bottom"/>
          </w:tcPr>
          <w:p w14:paraId="5F2CDF5C" w14:textId="77777777" w:rsidR="00E836FB" w:rsidRDefault="00E836FB">
            <w:pPr>
              <w:rPr>
                <w:rFonts w:ascii="宋体"/>
                <w:vanish/>
              </w:rPr>
            </w:pPr>
          </w:p>
        </w:tc>
        <w:tc>
          <w:tcPr>
            <w:tcW w:w="0" w:type="auto"/>
            <w:gridSpan w:val="3"/>
            <w:shd w:val="clear" w:color="auto" w:fill="auto"/>
            <w:vAlign w:val="bottom"/>
          </w:tcPr>
          <w:p w14:paraId="5F2CDF5D" w14:textId="77777777" w:rsidR="00E836FB" w:rsidRDefault="00E836FB">
            <w:pPr>
              <w:rPr>
                <w:rFonts w:ascii="宋体"/>
                <w:vanish/>
              </w:rPr>
            </w:pPr>
          </w:p>
        </w:tc>
        <w:tc>
          <w:tcPr>
            <w:tcW w:w="0" w:type="auto"/>
            <w:gridSpan w:val="3"/>
            <w:shd w:val="clear" w:color="auto" w:fill="auto"/>
            <w:vAlign w:val="bottom"/>
          </w:tcPr>
          <w:p w14:paraId="5F2CDF5E" w14:textId="77777777" w:rsidR="00E836FB" w:rsidRDefault="00E836FB">
            <w:pPr>
              <w:rPr>
                <w:rFonts w:ascii="宋体"/>
                <w:vanish/>
              </w:rPr>
            </w:pPr>
          </w:p>
        </w:tc>
        <w:tc>
          <w:tcPr>
            <w:tcW w:w="0" w:type="auto"/>
            <w:gridSpan w:val="3"/>
            <w:shd w:val="clear" w:color="auto" w:fill="auto"/>
            <w:vAlign w:val="bottom"/>
          </w:tcPr>
          <w:p w14:paraId="5F2CDF5F" w14:textId="77777777" w:rsidR="00E836FB" w:rsidRDefault="00E836FB">
            <w:pPr>
              <w:rPr>
                <w:rFonts w:ascii="宋体"/>
                <w:vanish/>
              </w:rPr>
            </w:pPr>
          </w:p>
        </w:tc>
        <w:tc>
          <w:tcPr>
            <w:tcW w:w="0" w:type="auto"/>
            <w:gridSpan w:val="3"/>
            <w:shd w:val="clear" w:color="auto" w:fill="auto"/>
            <w:vAlign w:val="bottom"/>
          </w:tcPr>
          <w:p w14:paraId="5F2CDF60" w14:textId="77777777" w:rsidR="00E836FB" w:rsidRDefault="00E836FB">
            <w:pPr>
              <w:rPr>
                <w:rFonts w:ascii="宋体"/>
                <w:vanish/>
              </w:rPr>
            </w:pPr>
          </w:p>
        </w:tc>
        <w:tc>
          <w:tcPr>
            <w:tcW w:w="0" w:type="auto"/>
            <w:gridSpan w:val="3"/>
            <w:shd w:val="clear" w:color="auto" w:fill="auto"/>
            <w:vAlign w:val="bottom"/>
          </w:tcPr>
          <w:p w14:paraId="5F2CDF61" w14:textId="77777777" w:rsidR="00E836FB" w:rsidRDefault="00E836FB">
            <w:pPr>
              <w:rPr>
                <w:rFonts w:ascii="宋体"/>
                <w:vanish/>
              </w:rPr>
            </w:pPr>
          </w:p>
        </w:tc>
      </w:tr>
      <w:tr w:rsidR="00E836FB" w14:paraId="5F2CDF75" w14:textId="77777777">
        <w:trPr>
          <w:hidden/>
        </w:trPr>
        <w:tc>
          <w:tcPr>
            <w:tcW w:w="0" w:type="auto"/>
            <w:gridSpan w:val="3"/>
            <w:shd w:val="clear" w:color="auto" w:fill="auto"/>
            <w:vAlign w:val="bottom"/>
          </w:tcPr>
          <w:p w14:paraId="5F2CDF63" w14:textId="77777777" w:rsidR="00E836FB" w:rsidRDefault="00E836FB">
            <w:pPr>
              <w:rPr>
                <w:rFonts w:ascii="宋体"/>
                <w:vanish/>
              </w:rPr>
            </w:pPr>
          </w:p>
        </w:tc>
        <w:tc>
          <w:tcPr>
            <w:tcW w:w="0" w:type="auto"/>
            <w:gridSpan w:val="3"/>
            <w:shd w:val="clear" w:color="auto" w:fill="auto"/>
            <w:vAlign w:val="bottom"/>
          </w:tcPr>
          <w:p w14:paraId="5F2CDF64" w14:textId="77777777" w:rsidR="00E836FB" w:rsidRDefault="00E836FB">
            <w:pPr>
              <w:rPr>
                <w:rFonts w:ascii="宋体"/>
                <w:vanish/>
              </w:rPr>
            </w:pPr>
          </w:p>
        </w:tc>
        <w:tc>
          <w:tcPr>
            <w:tcW w:w="0" w:type="auto"/>
            <w:gridSpan w:val="3"/>
            <w:shd w:val="clear" w:color="auto" w:fill="auto"/>
            <w:vAlign w:val="bottom"/>
          </w:tcPr>
          <w:p w14:paraId="5F2CDF65" w14:textId="77777777" w:rsidR="00E836FB" w:rsidRDefault="00E836FB">
            <w:pPr>
              <w:rPr>
                <w:rFonts w:ascii="宋体"/>
                <w:vanish/>
              </w:rPr>
            </w:pPr>
          </w:p>
        </w:tc>
        <w:tc>
          <w:tcPr>
            <w:tcW w:w="0" w:type="auto"/>
            <w:gridSpan w:val="3"/>
            <w:shd w:val="clear" w:color="auto" w:fill="auto"/>
            <w:vAlign w:val="bottom"/>
          </w:tcPr>
          <w:p w14:paraId="5F2CDF66" w14:textId="77777777" w:rsidR="00E836FB" w:rsidRDefault="00E836FB">
            <w:pPr>
              <w:rPr>
                <w:rFonts w:ascii="宋体"/>
                <w:vanish/>
              </w:rPr>
            </w:pPr>
          </w:p>
        </w:tc>
        <w:tc>
          <w:tcPr>
            <w:tcW w:w="0" w:type="auto"/>
            <w:gridSpan w:val="3"/>
            <w:shd w:val="clear" w:color="auto" w:fill="auto"/>
            <w:vAlign w:val="bottom"/>
          </w:tcPr>
          <w:p w14:paraId="5F2CDF67" w14:textId="77777777" w:rsidR="00E836FB" w:rsidRDefault="00E836FB">
            <w:pPr>
              <w:rPr>
                <w:rFonts w:ascii="宋体"/>
                <w:vanish/>
              </w:rPr>
            </w:pPr>
          </w:p>
        </w:tc>
        <w:tc>
          <w:tcPr>
            <w:tcW w:w="0" w:type="auto"/>
            <w:gridSpan w:val="3"/>
            <w:shd w:val="clear" w:color="auto" w:fill="auto"/>
            <w:vAlign w:val="bottom"/>
          </w:tcPr>
          <w:p w14:paraId="5F2CDF68" w14:textId="77777777" w:rsidR="00E836FB" w:rsidRDefault="00E836FB">
            <w:pPr>
              <w:rPr>
                <w:rFonts w:ascii="宋体"/>
                <w:vanish/>
              </w:rPr>
            </w:pPr>
          </w:p>
        </w:tc>
        <w:tc>
          <w:tcPr>
            <w:tcW w:w="0" w:type="auto"/>
            <w:gridSpan w:val="3"/>
            <w:shd w:val="clear" w:color="auto" w:fill="auto"/>
            <w:vAlign w:val="bottom"/>
          </w:tcPr>
          <w:p w14:paraId="5F2CDF69" w14:textId="77777777" w:rsidR="00E836FB" w:rsidRDefault="00E836FB">
            <w:pPr>
              <w:rPr>
                <w:rFonts w:ascii="宋体"/>
                <w:vanish/>
              </w:rPr>
            </w:pPr>
          </w:p>
        </w:tc>
        <w:tc>
          <w:tcPr>
            <w:tcW w:w="0" w:type="auto"/>
            <w:gridSpan w:val="3"/>
            <w:shd w:val="clear" w:color="auto" w:fill="auto"/>
            <w:vAlign w:val="bottom"/>
          </w:tcPr>
          <w:p w14:paraId="5F2CDF6A" w14:textId="77777777" w:rsidR="00E836FB" w:rsidRDefault="00E836FB">
            <w:pPr>
              <w:rPr>
                <w:rFonts w:ascii="宋体"/>
                <w:vanish/>
              </w:rPr>
            </w:pPr>
          </w:p>
        </w:tc>
        <w:tc>
          <w:tcPr>
            <w:tcW w:w="0" w:type="auto"/>
            <w:gridSpan w:val="3"/>
            <w:shd w:val="clear" w:color="auto" w:fill="auto"/>
            <w:vAlign w:val="bottom"/>
          </w:tcPr>
          <w:p w14:paraId="5F2CDF6B" w14:textId="77777777" w:rsidR="00E836FB" w:rsidRDefault="00E836FB">
            <w:pPr>
              <w:rPr>
                <w:rFonts w:ascii="宋体"/>
                <w:vanish/>
              </w:rPr>
            </w:pPr>
          </w:p>
        </w:tc>
        <w:tc>
          <w:tcPr>
            <w:tcW w:w="0" w:type="auto"/>
            <w:gridSpan w:val="3"/>
            <w:shd w:val="clear" w:color="auto" w:fill="auto"/>
            <w:vAlign w:val="bottom"/>
          </w:tcPr>
          <w:p w14:paraId="5F2CDF6C" w14:textId="77777777" w:rsidR="00E836FB" w:rsidRDefault="00E836FB">
            <w:pPr>
              <w:rPr>
                <w:rFonts w:ascii="宋体"/>
                <w:vanish/>
              </w:rPr>
            </w:pPr>
          </w:p>
        </w:tc>
        <w:tc>
          <w:tcPr>
            <w:tcW w:w="0" w:type="auto"/>
            <w:gridSpan w:val="3"/>
            <w:shd w:val="clear" w:color="auto" w:fill="auto"/>
            <w:vAlign w:val="bottom"/>
          </w:tcPr>
          <w:p w14:paraId="5F2CDF6D" w14:textId="77777777" w:rsidR="00E836FB" w:rsidRDefault="00E836FB">
            <w:pPr>
              <w:rPr>
                <w:rFonts w:ascii="宋体"/>
                <w:vanish/>
              </w:rPr>
            </w:pPr>
          </w:p>
        </w:tc>
        <w:tc>
          <w:tcPr>
            <w:tcW w:w="0" w:type="auto"/>
            <w:gridSpan w:val="3"/>
            <w:shd w:val="clear" w:color="auto" w:fill="auto"/>
            <w:vAlign w:val="bottom"/>
          </w:tcPr>
          <w:p w14:paraId="5F2CDF6E" w14:textId="77777777" w:rsidR="00E836FB" w:rsidRDefault="00E836FB">
            <w:pPr>
              <w:rPr>
                <w:rFonts w:ascii="宋体"/>
                <w:vanish/>
              </w:rPr>
            </w:pPr>
          </w:p>
        </w:tc>
        <w:tc>
          <w:tcPr>
            <w:tcW w:w="0" w:type="auto"/>
            <w:gridSpan w:val="3"/>
            <w:shd w:val="clear" w:color="auto" w:fill="auto"/>
            <w:vAlign w:val="bottom"/>
          </w:tcPr>
          <w:p w14:paraId="5F2CDF6F" w14:textId="77777777" w:rsidR="00E836FB" w:rsidRDefault="00E836FB">
            <w:pPr>
              <w:rPr>
                <w:rFonts w:ascii="宋体"/>
                <w:vanish/>
              </w:rPr>
            </w:pPr>
          </w:p>
        </w:tc>
        <w:tc>
          <w:tcPr>
            <w:tcW w:w="0" w:type="auto"/>
            <w:gridSpan w:val="3"/>
            <w:shd w:val="clear" w:color="auto" w:fill="auto"/>
            <w:vAlign w:val="bottom"/>
          </w:tcPr>
          <w:p w14:paraId="5F2CDF70" w14:textId="77777777" w:rsidR="00E836FB" w:rsidRDefault="00E836FB">
            <w:pPr>
              <w:rPr>
                <w:rFonts w:ascii="宋体"/>
                <w:vanish/>
              </w:rPr>
            </w:pPr>
          </w:p>
        </w:tc>
        <w:tc>
          <w:tcPr>
            <w:tcW w:w="0" w:type="auto"/>
            <w:gridSpan w:val="3"/>
            <w:shd w:val="clear" w:color="auto" w:fill="auto"/>
            <w:vAlign w:val="bottom"/>
          </w:tcPr>
          <w:p w14:paraId="5F2CDF71" w14:textId="77777777" w:rsidR="00E836FB" w:rsidRDefault="00E836FB">
            <w:pPr>
              <w:rPr>
                <w:rFonts w:ascii="宋体"/>
                <w:vanish/>
              </w:rPr>
            </w:pPr>
          </w:p>
        </w:tc>
        <w:tc>
          <w:tcPr>
            <w:tcW w:w="0" w:type="auto"/>
            <w:gridSpan w:val="3"/>
            <w:shd w:val="clear" w:color="auto" w:fill="auto"/>
            <w:vAlign w:val="bottom"/>
          </w:tcPr>
          <w:p w14:paraId="5F2CDF72" w14:textId="77777777" w:rsidR="00E836FB" w:rsidRDefault="00E836FB">
            <w:pPr>
              <w:rPr>
                <w:rFonts w:ascii="宋体"/>
                <w:vanish/>
              </w:rPr>
            </w:pPr>
          </w:p>
        </w:tc>
        <w:tc>
          <w:tcPr>
            <w:tcW w:w="0" w:type="auto"/>
            <w:gridSpan w:val="3"/>
            <w:shd w:val="clear" w:color="auto" w:fill="auto"/>
            <w:vAlign w:val="bottom"/>
          </w:tcPr>
          <w:p w14:paraId="5F2CDF73" w14:textId="77777777" w:rsidR="00E836FB" w:rsidRDefault="00E836FB">
            <w:pPr>
              <w:rPr>
                <w:rFonts w:ascii="宋体"/>
                <w:vanish/>
              </w:rPr>
            </w:pPr>
          </w:p>
        </w:tc>
        <w:tc>
          <w:tcPr>
            <w:tcW w:w="0" w:type="auto"/>
            <w:gridSpan w:val="3"/>
            <w:shd w:val="clear" w:color="auto" w:fill="auto"/>
            <w:vAlign w:val="bottom"/>
          </w:tcPr>
          <w:p w14:paraId="5F2CDF74" w14:textId="77777777" w:rsidR="00E836FB" w:rsidRDefault="00E836FB">
            <w:pPr>
              <w:rPr>
                <w:rFonts w:ascii="宋体"/>
                <w:vanish/>
              </w:rPr>
            </w:pPr>
          </w:p>
        </w:tc>
      </w:tr>
      <w:tr w:rsidR="00994958" w14:paraId="5F2CDF96" w14:textId="77777777">
        <w:tc>
          <w:tcPr>
            <w:tcW w:w="0" w:type="auto"/>
            <w:gridSpan w:val="9"/>
            <w:shd w:val="clear" w:color="auto" w:fill="FFFFFF"/>
            <w:tcMar>
              <w:top w:w="40" w:type="dxa"/>
              <w:left w:w="20" w:type="dxa"/>
              <w:bottom w:w="40" w:type="dxa"/>
              <w:right w:w="20" w:type="dxa"/>
            </w:tcMar>
            <w:vAlign w:val="bottom"/>
          </w:tcPr>
          <w:p w14:paraId="5F2CDF76" w14:textId="77777777" w:rsidR="00E836FB" w:rsidRDefault="00994958">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5F2CDF77"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CDF78" w14:textId="77777777" w:rsidR="00E836FB" w:rsidRDefault="00994958">
            <w:pPr>
              <w:jc w:val="right"/>
              <w:textAlignment w:val="bottom"/>
            </w:pPr>
            <w:r>
              <w:rPr>
                <w:rFonts w:ascii="Arial" w:eastAsia="宋体" w:hAnsi="Arial" w:cs="Arial"/>
                <w:b/>
                <w:bCs/>
                <w:color w:val="000000"/>
                <w:sz w:val="12"/>
                <w:szCs w:val="12"/>
              </w:rPr>
              <w:t>63,735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F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7A"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DF7B"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CDF7C" w14:textId="77777777" w:rsidR="00E836FB" w:rsidRDefault="00994958">
            <w:pPr>
              <w:jc w:val="right"/>
              <w:textAlignment w:val="bottom"/>
            </w:pPr>
            <w:r>
              <w:rPr>
                <w:rFonts w:ascii="Arial" w:eastAsia="宋体" w:hAnsi="Arial" w:cs="Arial"/>
                <w:b/>
                <w:bCs/>
                <w:color w:val="000000"/>
                <w:sz w:val="12"/>
                <w:szCs w:val="12"/>
              </w:rPr>
              <w:t>109,554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F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7E"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DF7F"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CDF80" w14:textId="77777777" w:rsidR="00E836FB" w:rsidRDefault="00994958">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5F2CDF8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82"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DF83"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CDF84" w14:textId="77777777" w:rsidR="00E836FB" w:rsidRDefault="00994958">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5F2CDF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86"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DF87"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CDF88" w14:textId="77777777" w:rsidR="00E836FB" w:rsidRDefault="00994958">
            <w:pPr>
              <w:jc w:val="right"/>
              <w:textAlignment w:val="bottom"/>
            </w:pPr>
            <w:r>
              <w:rPr>
                <w:rFonts w:ascii="Arial" w:eastAsia="宋体" w:hAnsi="Arial" w:cs="Arial"/>
                <w:b/>
                <w:bCs/>
                <w:color w:val="000000"/>
                <w:sz w:val="12"/>
                <w:szCs w:val="12"/>
              </w:rPr>
              <w:t>57,405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F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8A"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DF8B"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CDF8C" w14:textId="77777777" w:rsidR="00E836FB" w:rsidRDefault="00994958">
            <w:pPr>
              <w:jc w:val="right"/>
              <w:textAlignment w:val="bottom"/>
            </w:pPr>
            <w:r>
              <w:rPr>
                <w:rFonts w:ascii="Arial" w:eastAsia="宋体" w:hAnsi="Arial" w:cs="Arial"/>
                <w:b/>
                <w:bCs/>
                <w:color w:val="000000"/>
                <w:sz w:val="12"/>
                <w:szCs w:val="12"/>
              </w:rPr>
              <w:t>106,405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F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8E"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DF8F"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CDF90" w14:textId="77777777" w:rsidR="00E836FB" w:rsidRDefault="00994958">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5F2CDF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92"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DF93"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CDF94" w14:textId="77777777" w:rsidR="00E836FB" w:rsidRDefault="00994958">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5F2CDF95" w14:textId="77777777" w:rsidR="00E836FB" w:rsidRDefault="00E836FB">
            <w:pPr>
              <w:jc w:val="right"/>
              <w:rPr>
                <w:rFonts w:ascii="宋体"/>
              </w:rPr>
            </w:pPr>
          </w:p>
        </w:tc>
      </w:tr>
      <w:tr w:rsidR="00E836FB" w14:paraId="5F2CDFAB" w14:textId="77777777">
        <w:tc>
          <w:tcPr>
            <w:tcW w:w="0" w:type="auto"/>
            <w:gridSpan w:val="9"/>
            <w:shd w:val="clear" w:color="auto" w:fill="CCEEFF"/>
            <w:tcMar>
              <w:top w:w="40" w:type="dxa"/>
              <w:left w:w="20" w:type="dxa"/>
              <w:bottom w:w="40" w:type="dxa"/>
              <w:right w:w="20" w:type="dxa"/>
            </w:tcMar>
            <w:vAlign w:val="bottom"/>
          </w:tcPr>
          <w:p w14:paraId="5F2CDF97" w14:textId="77777777" w:rsidR="00E836FB" w:rsidRDefault="00994958">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5F2CDF98" w14:textId="77777777" w:rsidR="00E836FB" w:rsidRDefault="00994958">
            <w:pPr>
              <w:jc w:val="right"/>
              <w:textAlignment w:val="bottom"/>
            </w:pPr>
            <w:r>
              <w:rPr>
                <w:rFonts w:ascii="Arial" w:eastAsia="宋体" w:hAnsi="Arial" w:cs="Arial"/>
                <w:b/>
                <w:bCs/>
                <w:color w:val="000000"/>
                <w:sz w:val="12"/>
                <w:szCs w:val="12"/>
              </w:rPr>
              <w:t>45,550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F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F9A"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DF9B" w14:textId="77777777" w:rsidR="00E836FB" w:rsidRDefault="00994958">
            <w:pPr>
              <w:jc w:val="right"/>
              <w:textAlignment w:val="bottom"/>
            </w:pPr>
            <w:r>
              <w:rPr>
                <w:rFonts w:ascii="Arial" w:eastAsia="宋体" w:hAnsi="Arial" w:cs="Arial"/>
                <w:b/>
                <w:bCs/>
                <w:color w:val="000000"/>
                <w:sz w:val="12"/>
                <w:szCs w:val="12"/>
              </w:rPr>
              <w:t> NA</w:t>
            </w:r>
          </w:p>
        </w:tc>
        <w:tc>
          <w:tcPr>
            <w:tcW w:w="0" w:type="auto"/>
            <w:gridSpan w:val="3"/>
            <w:shd w:val="clear" w:color="auto" w:fill="CCEEFF"/>
            <w:tcMar>
              <w:top w:w="0" w:type="dxa"/>
              <w:left w:w="20" w:type="dxa"/>
              <w:bottom w:w="0" w:type="dxa"/>
              <w:right w:w="20" w:type="dxa"/>
            </w:tcMar>
            <w:vAlign w:val="bottom"/>
          </w:tcPr>
          <w:p w14:paraId="5F2CDF9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F9D" w14:textId="77777777" w:rsidR="00E836FB" w:rsidRDefault="00994958">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5F2CDF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F9F"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DFA0" w14:textId="77777777" w:rsidR="00E836FB" w:rsidRDefault="00994958">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F2CDFA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FA2" w14:textId="77777777" w:rsidR="00E836FB" w:rsidRDefault="00994958">
            <w:pPr>
              <w:jc w:val="right"/>
              <w:textAlignment w:val="bottom"/>
            </w:pPr>
            <w:r>
              <w:rPr>
                <w:rFonts w:ascii="Arial" w:eastAsia="宋体" w:hAnsi="Arial" w:cs="Arial"/>
                <w:b/>
                <w:bCs/>
                <w:color w:val="000000"/>
                <w:sz w:val="12"/>
                <w:szCs w:val="12"/>
              </w:rPr>
              <w:t>42,813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DF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FA4"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DFA5" w14:textId="77777777" w:rsidR="00E836FB" w:rsidRDefault="00994958">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F2CDFA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DFA7" w14:textId="77777777" w:rsidR="00E836FB" w:rsidRDefault="00994958">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5F2CDF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DFA9"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CDFAA" w14:textId="77777777" w:rsidR="00E836FB" w:rsidRDefault="00994958">
            <w:pPr>
              <w:jc w:val="right"/>
              <w:textAlignment w:val="bottom"/>
            </w:pPr>
            <w:r>
              <w:rPr>
                <w:rFonts w:ascii="Arial" w:eastAsia="宋体" w:hAnsi="Arial" w:cs="Arial"/>
                <w:color w:val="000000"/>
                <w:sz w:val="12"/>
                <w:szCs w:val="12"/>
              </w:rPr>
              <w:t>NA</w:t>
            </w:r>
          </w:p>
        </w:tc>
      </w:tr>
      <w:tr w:rsidR="00E836FB" w14:paraId="5F2CDFBE" w14:textId="77777777">
        <w:trPr>
          <w:hidden/>
        </w:trPr>
        <w:tc>
          <w:tcPr>
            <w:tcW w:w="0" w:type="auto"/>
            <w:gridSpan w:val="3"/>
            <w:shd w:val="clear" w:color="auto" w:fill="auto"/>
            <w:vAlign w:val="bottom"/>
          </w:tcPr>
          <w:p w14:paraId="5F2CDFAC" w14:textId="77777777" w:rsidR="00E836FB" w:rsidRDefault="00E836FB">
            <w:pPr>
              <w:rPr>
                <w:rFonts w:ascii="宋体"/>
                <w:vanish/>
              </w:rPr>
            </w:pPr>
          </w:p>
        </w:tc>
        <w:tc>
          <w:tcPr>
            <w:tcW w:w="0" w:type="auto"/>
            <w:gridSpan w:val="3"/>
            <w:shd w:val="clear" w:color="auto" w:fill="auto"/>
            <w:vAlign w:val="bottom"/>
          </w:tcPr>
          <w:p w14:paraId="5F2CDFAD" w14:textId="77777777" w:rsidR="00E836FB" w:rsidRDefault="00E836FB">
            <w:pPr>
              <w:rPr>
                <w:rFonts w:ascii="宋体"/>
                <w:vanish/>
              </w:rPr>
            </w:pPr>
          </w:p>
        </w:tc>
        <w:tc>
          <w:tcPr>
            <w:tcW w:w="0" w:type="auto"/>
            <w:gridSpan w:val="3"/>
            <w:shd w:val="clear" w:color="auto" w:fill="auto"/>
            <w:vAlign w:val="bottom"/>
          </w:tcPr>
          <w:p w14:paraId="5F2CDFAE" w14:textId="77777777" w:rsidR="00E836FB" w:rsidRDefault="00E836FB">
            <w:pPr>
              <w:rPr>
                <w:rFonts w:ascii="宋体"/>
                <w:vanish/>
              </w:rPr>
            </w:pPr>
          </w:p>
        </w:tc>
        <w:tc>
          <w:tcPr>
            <w:tcW w:w="0" w:type="auto"/>
            <w:gridSpan w:val="3"/>
            <w:shd w:val="clear" w:color="auto" w:fill="auto"/>
            <w:vAlign w:val="bottom"/>
          </w:tcPr>
          <w:p w14:paraId="5F2CDFAF" w14:textId="77777777" w:rsidR="00E836FB" w:rsidRDefault="00E836FB">
            <w:pPr>
              <w:rPr>
                <w:rFonts w:ascii="宋体"/>
                <w:vanish/>
              </w:rPr>
            </w:pPr>
          </w:p>
        </w:tc>
        <w:tc>
          <w:tcPr>
            <w:tcW w:w="0" w:type="auto"/>
            <w:gridSpan w:val="3"/>
            <w:shd w:val="clear" w:color="auto" w:fill="auto"/>
            <w:vAlign w:val="bottom"/>
          </w:tcPr>
          <w:p w14:paraId="5F2CDFB0" w14:textId="77777777" w:rsidR="00E836FB" w:rsidRDefault="00E836FB">
            <w:pPr>
              <w:rPr>
                <w:rFonts w:ascii="宋体"/>
                <w:vanish/>
              </w:rPr>
            </w:pPr>
          </w:p>
        </w:tc>
        <w:tc>
          <w:tcPr>
            <w:tcW w:w="0" w:type="auto"/>
            <w:gridSpan w:val="3"/>
            <w:shd w:val="clear" w:color="auto" w:fill="auto"/>
            <w:vAlign w:val="bottom"/>
          </w:tcPr>
          <w:p w14:paraId="5F2CDFB1" w14:textId="77777777" w:rsidR="00E836FB" w:rsidRDefault="00E836FB">
            <w:pPr>
              <w:rPr>
                <w:rFonts w:ascii="宋体"/>
                <w:vanish/>
              </w:rPr>
            </w:pPr>
          </w:p>
        </w:tc>
        <w:tc>
          <w:tcPr>
            <w:tcW w:w="0" w:type="auto"/>
            <w:gridSpan w:val="3"/>
            <w:shd w:val="clear" w:color="auto" w:fill="auto"/>
            <w:vAlign w:val="bottom"/>
          </w:tcPr>
          <w:p w14:paraId="5F2CDFB2" w14:textId="77777777" w:rsidR="00E836FB" w:rsidRDefault="00E836FB">
            <w:pPr>
              <w:rPr>
                <w:rFonts w:ascii="宋体"/>
                <w:vanish/>
              </w:rPr>
            </w:pPr>
          </w:p>
        </w:tc>
        <w:tc>
          <w:tcPr>
            <w:tcW w:w="0" w:type="auto"/>
            <w:gridSpan w:val="3"/>
            <w:shd w:val="clear" w:color="auto" w:fill="auto"/>
            <w:vAlign w:val="bottom"/>
          </w:tcPr>
          <w:p w14:paraId="5F2CDFB3" w14:textId="77777777" w:rsidR="00E836FB" w:rsidRDefault="00E836FB">
            <w:pPr>
              <w:rPr>
                <w:rFonts w:ascii="宋体"/>
                <w:vanish/>
              </w:rPr>
            </w:pPr>
          </w:p>
        </w:tc>
        <w:tc>
          <w:tcPr>
            <w:tcW w:w="0" w:type="auto"/>
            <w:gridSpan w:val="3"/>
            <w:shd w:val="clear" w:color="auto" w:fill="auto"/>
            <w:vAlign w:val="bottom"/>
          </w:tcPr>
          <w:p w14:paraId="5F2CDFB4" w14:textId="77777777" w:rsidR="00E836FB" w:rsidRDefault="00E836FB">
            <w:pPr>
              <w:rPr>
                <w:rFonts w:ascii="宋体"/>
                <w:vanish/>
              </w:rPr>
            </w:pPr>
          </w:p>
        </w:tc>
        <w:tc>
          <w:tcPr>
            <w:tcW w:w="0" w:type="auto"/>
            <w:gridSpan w:val="3"/>
            <w:shd w:val="clear" w:color="auto" w:fill="auto"/>
            <w:vAlign w:val="bottom"/>
          </w:tcPr>
          <w:p w14:paraId="5F2CDFB5" w14:textId="77777777" w:rsidR="00E836FB" w:rsidRDefault="00E836FB">
            <w:pPr>
              <w:rPr>
                <w:rFonts w:ascii="宋体"/>
                <w:vanish/>
              </w:rPr>
            </w:pPr>
          </w:p>
        </w:tc>
        <w:tc>
          <w:tcPr>
            <w:tcW w:w="0" w:type="auto"/>
            <w:gridSpan w:val="3"/>
            <w:shd w:val="clear" w:color="auto" w:fill="auto"/>
            <w:vAlign w:val="bottom"/>
          </w:tcPr>
          <w:p w14:paraId="5F2CDFB6" w14:textId="77777777" w:rsidR="00E836FB" w:rsidRDefault="00E836FB">
            <w:pPr>
              <w:rPr>
                <w:rFonts w:ascii="宋体"/>
                <w:vanish/>
              </w:rPr>
            </w:pPr>
          </w:p>
        </w:tc>
        <w:tc>
          <w:tcPr>
            <w:tcW w:w="0" w:type="auto"/>
            <w:gridSpan w:val="3"/>
            <w:shd w:val="clear" w:color="auto" w:fill="auto"/>
            <w:vAlign w:val="bottom"/>
          </w:tcPr>
          <w:p w14:paraId="5F2CDFB7" w14:textId="77777777" w:rsidR="00E836FB" w:rsidRDefault="00E836FB">
            <w:pPr>
              <w:rPr>
                <w:rFonts w:ascii="宋体"/>
                <w:vanish/>
              </w:rPr>
            </w:pPr>
          </w:p>
        </w:tc>
        <w:tc>
          <w:tcPr>
            <w:tcW w:w="0" w:type="auto"/>
            <w:gridSpan w:val="3"/>
            <w:shd w:val="clear" w:color="auto" w:fill="auto"/>
            <w:vAlign w:val="bottom"/>
          </w:tcPr>
          <w:p w14:paraId="5F2CDFB8" w14:textId="77777777" w:rsidR="00E836FB" w:rsidRDefault="00E836FB">
            <w:pPr>
              <w:rPr>
                <w:rFonts w:ascii="宋体"/>
                <w:vanish/>
              </w:rPr>
            </w:pPr>
          </w:p>
        </w:tc>
        <w:tc>
          <w:tcPr>
            <w:tcW w:w="0" w:type="auto"/>
            <w:gridSpan w:val="3"/>
            <w:shd w:val="clear" w:color="auto" w:fill="auto"/>
            <w:vAlign w:val="bottom"/>
          </w:tcPr>
          <w:p w14:paraId="5F2CDFB9" w14:textId="77777777" w:rsidR="00E836FB" w:rsidRDefault="00E836FB">
            <w:pPr>
              <w:rPr>
                <w:rFonts w:ascii="宋体"/>
                <w:vanish/>
              </w:rPr>
            </w:pPr>
          </w:p>
        </w:tc>
        <w:tc>
          <w:tcPr>
            <w:tcW w:w="0" w:type="auto"/>
            <w:gridSpan w:val="3"/>
            <w:shd w:val="clear" w:color="auto" w:fill="auto"/>
            <w:vAlign w:val="bottom"/>
          </w:tcPr>
          <w:p w14:paraId="5F2CDFBA" w14:textId="77777777" w:rsidR="00E836FB" w:rsidRDefault="00E836FB">
            <w:pPr>
              <w:rPr>
                <w:rFonts w:ascii="宋体"/>
                <w:vanish/>
              </w:rPr>
            </w:pPr>
          </w:p>
        </w:tc>
        <w:tc>
          <w:tcPr>
            <w:tcW w:w="0" w:type="auto"/>
            <w:gridSpan w:val="3"/>
            <w:shd w:val="clear" w:color="auto" w:fill="auto"/>
            <w:vAlign w:val="bottom"/>
          </w:tcPr>
          <w:p w14:paraId="5F2CDFBB" w14:textId="77777777" w:rsidR="00E836FB" w:rsidRDefault="00E836FB">
            <w:pPr>
              <w:rPr>
                <w:rFonts w:ascii="宋体"/>
                <w:vanish/>
              </w:rPr>
            </w:pPr>
          </w:p>
        </w:tc>
        <w:tc>
          <w:tcPr>
            <w:tcW w:w="0" w:type="auto"/>
            <w:gridSpan w:val="3"/>
            <w:shd w:val="clear" w:color="auto" w:fill="auto"/>
            <w:vAlign w:val="bottom"/>
          </w:tcPr>
          <w:p w14:paraId="5F2CDFBC" w14:textId="77777777" w:rsidR="00E836FB" w:rsidRDefault="00E836FB">
            <w:pPr>
              <w:rPr>
                <w:rFonts w:ascii="宋体"/>
                <w:vanish/>
              </w:rPr>
            </w:pPr>
          </w:p>
        </w:tc>
        <w:tc>
          <w:tcPr>
            <w:tcW w:w="0" w:type="auto"/>
            <w:gridSpan w:val="3"/>
            <w:shd w:val="clear" w:color="auto" w:fill="auto"/>
            <w:vAlign w:val="bottom"/>
          </w:tcPr>
          <w:p w14:paraId="5F2CDFBD" w14:textId="77777777" w:rsidR="00E836FB" w:rsidRDefault="00E836FB">
            <w:pPr>
              <w:rPr>
                <w:rFonts w:ascii="宋体"/>
                <w:vanish/>
              </w:rPr>
            </w:pPr>
          </w:p>
        </w:tc>
      </w:tr>
      <w:tr w:rsidR="00E836FB" w14:paraId="5F2CDFD1" w14:textId="77777777">
        <w:trPr>
          <w:hidden/>
        </w:trPr>
        <w:tc>
          <w:tcPr>
            <w:tcW w:w="0" w:type="auto"/>
            <w:gridSpan w:val="3"/>
            <w:shd w:val="clear" w:color="auto" w:fill="auto"/>
            <w:vAlign w:val="bottom"/>
          </w:tcPr>
          <w:p w14:paraId="5F2CDFBF" w14:textId="77777777" w:rsidR="00E836FB" w:rsidRDefault="00E836FB">
            <w:pPr>
              <w:rPr>
                <w:rFonts w:ascii="宋体"/>
                <w:vanish/>
              </w:rPr>
            </w:pPr>
          </w:p>
        </w:tc>
        <w:tc>
          <w:tcPr>
            <w:tcW w:w="0" w:type="auto"/>
            <w:gridSpan w:val="3"/>
            <w:shd w:val="clear" w:color="auto" w:fill="auto"/>
            <w:vAlign w:val="bottom"/>
          </w:tcPr>
          <w:p w14:paraId="5F2CDFC0" w14:textId="77777777" w:rsidR="00E836FB" w:rsidRDefault="00E836FB">
            <w:pPr>
              <w:rPr>
                <w:rFonts w:ascii="宋体"/>
                <w:vanish/>
              </w:rPr>
            </w:pPr>
          </w:p>
        </w:tc>
        <w:tc>
          <w:tcPr>
            <w:tcW w:w="0" w:type="auto"/>
            <w:gridSpan w:val="3"/>
            <w:shd w:val="clear" w:color="auto" w:fill="auto"/>
            <w:vAlign w:val="bottom"/>
          </w:tcPr>
          <w:p w14:paraId="5F2CDFC1" w14:textId="77777777" w:rsidR="00E836FB" w:rsidRDefault="00E836FB">
            <w:pPr>
              <w:rPr>
                <w:rFonts w:ascii="宋体"/>
                <w:vanish/>
              </w:rPr>
            </w:pPr>
          </w:p>
        </w:tc>
        <w:tc>
          <w:tcPr>
            <w:tcW w:w="0" w:type="auto"/>
            <w:gridSpan w:val="3"/>
            <w:shd w:val="clear" w:color="auto" w:fill="auto"/>
            <w:vAlign w:val="bottom"/>
          </w:tcPr>
          <w:p w14:paraId="5F2CDFC2" w14:textId="77777777" w:rsidR="00E836FB" w:rsidRDefault="00E836FB">
            <w:pPr>
              <w:rPr>
                <w:rFonts w:ascii="宋体"/>
                <w:vanish/>
              </w:rPr>
            </w:pPr>
          </w:p>
        </w:tc>
        <w:tc>
          <w:tcPr>
            <w:tcW w:w="0" w:type="auto"/>
            <w:gridSpan w:val="3"/>
            <w:shd w:val="clear" w:color="auto" w:fill="auto"/>
            <w:vAlign w:val="bottom"/>
          </w:tcPr>
          <w:p w14:paraId="5F2CDFC3" w14:textId="77777777" w:rsidR="00E836FB" w:rsidRDefault="00E836FB">
            <w:pPr>
              <w:rPr>
                <w:rFonts w:ascii="宋体"/>
                <w:vanish/>
              </w:rPr>
            </w:pPr>
          </w:p>
        </w:tc>
        <w:tc>
          <w:tcPr>
            <w:tcW w:w="0" w:type="auto"/>
            <w:gridSpan w:val="3"/>
            <w:shd w:val="clear" w:color="auto" w:fill="auto"/>
            <w:vAlign w:val="bottom"/>
          </w:tcPr>
          <w:p w14:paraId="5F2CDFC4" w14:textId="77777777" w:rsidR="00E836FB" w:rsidRDefault="00E836FB">
            <w:pPr>
              <w:rPr>
                <w:rFonts w:ascii="宋体"/>
                <w:vanish/>
              </w:rPr>
            </w:pPr>
          </w:p>
        </w:tc>
        <w:tc>
          <w:tcPr>
            <w:tcW w:w="0" w:type="auto"/>
            <w:gridSpan w:val="3"/>
            <w:shd w:val="clear" w:color="auto" w:fill="auto"/>
            <w:vAlign w:val="bottom"/>
          </w:tcPr>
          <w:p w14:paraId="5F2CDFC5" w14:textId="77777777" w:rsidR="00E836FB" w:rsidRDefault="00E836FB">
            <w:pPr>
              <w:rPr>
                <w:rFonts w:ascii="宋体"/>
                <w:vanish/>
              </w:rPr>
            </w:pPr>
          </w:p>
        </w:tc>
        <w:tc>
          <w:tcPr>
            <w:tcW w:w="0" w:type="auto"/>
            <w:gridSpan w:val="3"/>
            <w:shd w:val="clear" w:color="auto" w:fill="auto"/>
            <w:vAlign w:val="bottom"/>
          </w:tcPr>
          <w:p w14:paraId="5F2CDFC6" w14:textId="77777777" w:rsidR="00E836FB" w:rsidRDefault="00E836FB">
            <w:pPr>
              <w:rPr>
                <w:rFonts w:ascii="宋体"/>
                <w:vanish/>
              </w:rPr>
            </w:pPr>
          </w:p>
        </w:tc>
        <w:tc>
          <w:tcPr>
            <w:tcW w:w="0" w:type="auto"/>
            <w:gridSpan w:val="3"/>
            <w:shd w:val="clear" w:color="auto" w:fill="auto"/>
            <w:vAlign w:val="bottom"/>
          </w:tcPr>
          <w:p w14:paraId="5F2CDFC7" w14:textId="77777777" w:rsidR="00E836FB" w:rsidRDefault="00E836FB">
            <w:pPr>
              <w:rPr>
                <w:rFonts w:ascii="宋体"/>
                <w:vanish/>
              </w:rPr>
            </w:pPr>
          </w:p>
        </w:tc>
        <w:tc>
          <w:tcPr>
            <w:tcW w:w="0" w:type="auto"/>
            <w:gridSpan w:val="3"/>
            <w:shd w:val="clear" w:color="auto" w:fill="auto"/>
            <w:vAlign w:val="bottom"/>
          </w:tcPr>
          <w:p w14:paraId="5F2CDFC8" w14:textId="77777777" w:rsidR="00E836FB" w:rsidRDefault="00E836FB">
            <w:pPr>
              <w:rPr>
                <w:rFonts w:ascii="宋体"/>
                <w:vanish/>
              </w:rPr>
            </w:pPr>
          </w:p>
        </w:tc>
        <w:tc>
          <w:tcPr>
            <w:tcW w:w="0" w:type="auto"/>
            <w:gridSpan w:val="3"/>
            <w:shd w:val="clear" w:color="auto" w:fill="auto"/>
            <w:vAlign w:val="bottom"/>
          </w:tcPr>
          <w:p w14:paraId="5F2CDFC9" w14:textId="77777777" w:rsidR="00E836FB" w:rsidRDefault="00E836FB">
            <w:pPr>
              <w:rPr>
                <w:rFonts w:ascii="宋体"/>
                <w:vanish/>
              </w:rPr>
            </w:pPr>
          </w:p>
        </w:tc>
        <w:tc>
          <w:tcPr>
            <w:tcW w:w="0" w:type="auto"/>
            <w:gridSpan w:val="3"/>
            <w:shd w:val="clear" w:color="auto" w:fill="auto"/>
            <w:vAlign w:val="bottom"/>
          </w:tcPr>
          <w:p w14:paraId="5F2CDFCA" w14:textId="77777777" w:rsidR="00E836FB" w:rsidRDefault="00E836FB">
            <w:pPr>
              <w:rPr>
                <w:rFonts w:ascii="宋体"/>
                <w:vanish/>
              </w:rPr>
            </w:pPr>
          </w:p>
        </w:tc>
        <w:tc>
          <w:tcPr>
            <w:tcW w:w="0" w:type="auto"/>
            <w:gridSpan w:val="3"/>
            <w:shd w:val="clear" w:color="auto" w:fill="auto"/>
            <w:vAlign w:val="bottom"/>
          </w:tcPr>
          <w:p w14:paraId="5F2CDFCB" w14:textId="77777777" w:rsidR="00E836FB" w:rsidRDefault="00E836FB">
            <w:pPr>
              <w:rPr>
                <w:rFonts w:ascii="宋体"/>
                <w:vanish/>
              </w:rPr>
            </w:pPr>
          </w:p>
        </w:tc>
        <w:tc>
          <w:tcPr>
            <w:tcW w:w="0" w:type="auto"/>
            <w:gridSpan w:val="3"/>
            <w:shd w:val="clear" w:color="auto" w:fill="auto"/>
            <w:vAlign w:val="bottom"/>
          </w:tcPr>
          <w:p w14:paraId="5F2CDFCC" w14:textId="77777777" w:rsidR="00E836FB" w:rsidRDefault="00E836FB">
            <w:pPr>
              <w:rPr>
                <w:rFonts w:ascii="宋体"/>
                <w:vanish/>
              </w:rPr>
            </w:pPr>
          </w:p>
        </w:tc>
        <w:tc>
          <w:tcPr>
            <w:tcW w:w="0" w:type="auto"/>
            <w:gridSpan w:val="3"/>
            <w:shd w:val="clear" w:color="auto" w:fill="auto"/>
            <w:vAlign w:val="bottom"/>
          </w:tcPr>
          <w:p w14:paraId="5F2CDFCD" w14:textId="77777777" w:rsidR="00E836FB" w:rsidRDefault="00E836FB">
            <w:pPr>
              <w:rPr>
                <w:rFonts w:ascii="宋体"/>
                <w:vanish/>
              </w:rPr>
            </w:pPr>
          </w:p>
        </w:tc>
        <w:tc>
          <w:tcPr>
            <w:tcW w:w="0" w:type="auto"/>
            <w:gridSpan w:val="3"/>
            <w:shd w:val="clear" w:color="auto" w:fill="auto"/>
            <w:vAlign w:val="bottom"/>
          </w:tcPr>
          <w:p w14:paraId="5F2CDFCE" w14:textId="77777777" w:rsidR="00E836FB" w:rsidRDefault="00E836FB">
            <w:pPr>
              <w:rPr>
                <w:rFonts w:ascii="宋体"/>
                <w:vanish/>
              </w:rPr>
            </w:pPr>
          </w:p>
        </w:tc>
        <w:tc>
          <w:tcPr>
            <w:tcW w:w="0" w:type="auto"/>
            <w:gridSpan w:val="3"/>
            <w:shd w:val="clear" w:color="auto" w:fill="auto"/>
            <w:vAlign w:val="bottom"/>
          </w:tcPr>
          <w:p w14:paraId="5F2CDFCF" w14:textId="77777777" w:rsidR="00E836FB" w:rsidRDefault="00E836FB">
            <w:pPr>
              <w:rPr>
                <w:rFonts w:ascii="宋体"/>
                <w:vanish/>
              </w:rPr>
            </w:pPr>
          </w:p>
        </w:tc>
        <w:tc>
          <w:tcPr>
            <w:tcW w:w="0" w:type="auto"/>
            <w:gridSpan w:val="3"/>
            <w:shd w:val="clear" w:color="auto" w:fill="auto"/>
            <w:vAlign w:val="bottom"/>
          </w:tcPr>
          <w:p w14:paraId="5F2CDFD0" w14:textId="77777777" w:rsidR="00E836FB" w:rsidRDefault="00E836FB">
            <w:pPr>
              <w:rPr>
                <w:rFonts w:ascii="宋体"/>
                <w:vanish/>
              </w:rPr>
            </w:pPr>
          </w:p>
        </w:tc>
      </w:tr>
      <w:tr w:rsidR="00E836FB" w14:paraId="5F2CDFE4" w14:textId="77777777">
        <w:trPr>
          <w:hidden/>
        </w:trPr>
        <w:tc>
          <w:tcPr>
            <w:tcW w:w="0" w:type="auto"/>
            <w:gridSpan w:val="3"/>
            <w:shd w:val="clear" w:color="auto" w:fill="auto"/>
            <w:vAlign w:val="bottom"/>
          </w:tcPr>
          <w:p w14:paraId="5F2CDFD2" w14:textId="77777777" w:rsidR="00E836FB" w:rsidRDefault="00E836FB">
            <w:pPr>
              <w:rPr>
                <w:rFonts w:ascii="宋体"/>
                <w:vanish/>
              </w:rPr>
            </w:pPr>
          </w:p>
        </w:tc>
        <w:tc>
          <w:tcPr>
            <w:tcW w:w="0" w:type="auto"/>
            <w:gridSpan w:val="3"/>
            <w:shd w:val="clear" w:color="auto" w:fill="auto"/>
            <w:vAlign w:val="bottom"/>
          </w:tcPr>
          <w:p w14:paraId="5F2CDFD3" w14:textId="77777777" w:rsidR="00E836FB" w:rsidRDefault="00E836FB">
            <w:pPr>
              <w:rPr>
                <w:rFonts w:ascii="宋体"/>
                <w:vanish/>
              </w:rPr>
            </w:pPr>
          </w:p>
        </w:tc>
        <w:tc>
          <w:tcPr>
            <w:tcW w:w="0" w:type="auto"/>
            <w:gridSpan w:val="3"/>
            <w:shd w:val="clear" w:color="auto" w:fill="auto"/>
            <w:vAlign w:val="bottom"/>
          </w:tcPr>
          <w:p w14:paraId="5F2CDFD4" w14:textId="77777777" w:rsidR="00E836FB" w:rsidRDefault="00E836FB">
            <w:pPr>
              <w:rPr>
                <w:rFonts w:ascii="宋体"/>
                <w:vanish/>
              </w:rPr>
            </w:pPr>
          </w:p>
        </w:tc>
        <w:tc>
          <w:tcPr>
            <w:tcW w:w="0" w:type="auto"/>
            <w:gridSpan w:val="3"/>
            <w:shd w:val="clear" w:color="auto" w:fill="auto"/>
            <w:vAlign w:val="bottom"/>
          </w:tcPr>
          <w:p w14:paraId="5F2CDFD5" w14:textId="77777777" w:rsidR="00E836FB" w:rsidRDefault="00E836FB">
            <w:pPr>
              <w:rPr>
                <w:rFonts w:ascii="宋体"/>
                <w:vanish/>
              </w:rPr>
            </w:pPr>
          </w:p>
        </w:tc>
        <w:tc>
          <w:tcPr>
            <w:tcW w:w="0" w:type="auto"/>
            <w:gridSpan w:val="3"/>
            <w:shd w:val="clear" w:color="auto" w:fill="auto"/>
            <w:vAlign w:val="bottom"/>
          </w:tcPr>
          <w:p w14:paraId="5F2CDFD6" w14:textId="77777777" w:rsidR="00E836FB" w:rsidRDefault="00E836FB">
            <w:pPr>
              <w:rPr>
                <w:rFonts w:ascii="宋体"/>
                <w:vanish/>
              </w:rPr>
            </w:pPr>
          </w:p>
        </w:tc>
        <w:tc>
          <w:tcPr>
            <w:tcW w:w="0" w:type="auto"/>
            <w:gridSpan w:val="3"/>
            <w:shd w:val="clear" w:color="auto" w:fill="auto"/>
            <w:vAlign w:val="bottom"/>
          </w:tcPr>
          <w:p w14:paraId="5F2CDFD7" w14:textId="77777777" w:rsidR="00E836FB" w:rsidRDefault="00E836FB">
            <w:pPr>
              <w:rPr>
                <w:rFonts w:ascii="宋体"/>
                <w:vanish/>
              </w:rPr>
            </w:pPr>
          </w:p>
        </w:tc>
        <w:tc>
          <w:tcPr>
            <w:tcW w:w="0" w:type="auto"/>
            <w:gridSpan w:val="3"/>
            <w:shd w:val="clear" w:color="auto" w:fill="auto"/>
            <w:vAlign w:val="bottom"/>
          </w:tcPr>
          <w:p w14:paraId="5F2CDFD8" w14:textId="77777777" w:rsidR="00E836FB" w:rsidRDefault="00E836FB">
            <w:pPr>
              <w:rPr>
                <w:rFonts w:ascii="宋体"/>
                <w:vanish/>
              </w:rPr>
            </w:pPr>
          </w:p>
        </w:tc>
        <w:tc>
          <w:tcPr>
            <w:tcW w:w="0" w:type="auto"/>
            <w:gridSpan w:val="3"/>
            <w:shd w:val="clear" w:color="auto" w:fill="auto"/>
            <w:vAlign w:val="bottom"/>
          </w:tcPr>
          <w:p w14:paraId="5F2CDFD9" w14:textId="77777777" w:rsidR="00E836FB" w:rsidRDefault="00E836FB">
            <w:pPr>
              <w:rPr>
                <w:rFonts w:ascii="宋体"/>
                <w:vanish/>
              </w:rPr>
            </w:pPr>
          </w:p>
        </w:tc>
        <w:tc>
          <w:tcPr>
            <w:tcW w:w="0" w:type="auto"/>
            <w:gridSpan w:val="3"/>
            <w:shd w:val="clear" w:color="auto" w:fill="auto"/>
            <w:vAlign w:val="bottom"/>
          </w:tcPr>
          <w:p w14:paraId="5F2CDFDA" w14:textId="77777777" w:rsidR="00E836FB" w:rsidRDefault="00E836FB">
            <w:pPr>
              <w:rPr>
                <w:rFonts w:ascii="宋体"/>
                <w:vanish/>
              </w:rPr>
            </w:pPr>
          </w:p>
        </w:tc>
        <w:tc>
          <w:tcPr>
            <w:tcW w:w="0" w:type="auto"/>
            <w:gridSpan w:val="3"/>
            <w:shd w:val="clear" w:color="auto" w:fill="auto"/>
            <w:vAlign w:val="bottom"/>
          </w:tcPr>
          <w:p w14:paraId="5F2CDFDB" w14:textId="77777777" w:rsidR="00E836FB" w:rsidRDefault="00E836FB">
            <w:pPr>
              <w:rPr>
                <w:rFonts w:ascii="宋体"/>
                <w:vanish/>
              </w:rPr>
            </w:pPr>
          </w:p>
        </w:tc>
        <w:tc>
          <w:tcPr>
            <w:tcW w:w="0" w:type="auto"/>
            <w:gridSpan w:val="3"/>
            <w:shd w:val="clear" w:color="auto" w:fill="auto"/>
            <w:vAlign w:val="bottom"/>
          </w:tcPr>
          <w:p w14:paraId="5F2CDFDC" w14:textId="77777777" w:rsidR="00E836FB" w:rsidRDefault="00E836FB">
            <w:pPr>
              <w:rPr>
                <w:rFonts w:ascii="宋体"/>
                <w:vanish/>
              </w:rPr>
            </w:pPr>
          </w:p>
        </w:tc>
        <w:tc>
          <w:tcPr>
            <w:tcW w:w="0" w:type="auto"/>
            <w:gridSpan w:val="3"/>
            <w:shd w:val="clear" w:color="auto" w:fill="auto"/>
            <w:vAlign w:val="bottom"/>
          </w:tcPr>
          <w:p w14:paraId="5F2CDFDD" w14:textId="77777777" w:rsidR="00E836FB" w:rsidRDefault="00E836FB">
            <w:pPr>
              <w:rPr>
                <w:rFonts w:ascii="宋体"/>
                <w:vanish/>
              </w:rPr>
            </w:pPr>
          </w:p>
        </w:tc>
        <w:tc>
          <w:tcPr>
            <w:tcW w:w="0" w:type="auto"/>
            <w:gridSpan w:val="3"/>
            <w:shd w:val="clear" w:color="auto" w:fill="auto"/>
            <w:vAlign w:val="bottom"/>
          </w:tcPr>
          <w:p w14:paraId="5F2CDFDE" w14:textId="77777777" w:rsidR="00E836FB" w:rsidRDefault="00E836FB">
            <w:pPr>
              <w:rPr>
                <w:rFonts w:ascii="宋体"/>
                <w:vanish/>
              </w:rPr>
            </w:pPr>
          </w:p>
        </w:tc>
        <w:tc>
          <w:tcPr>
            <w:tcW w:w="0" w:type="auto"/>
            <w:gridSpan w:val="3"/>
            <w:shd w:val="clear" w:color="auto" w:fill="auto"/>
            <w:vAlign w:val="bottom"/>
          </w:tcPr>
          <w:p w14:paraId="5F2CDFDF" w14:textId="77777777" w:rsidR="00E836FB" w:rsidRDefault="00E836FB">
            <w:pPr>
              <w:rPr>
                <w:rFonts w:ascii="宋体"/>
                <w:vanish/>
              </w:rPr>
            </w:pPr>
          </w:p>
        </w:tc>
        <w:tc>
          <w:tcPr>
            <w:tcW w:w="0" w:type="auto"/>
            <w:gridSpan w:val="3"/>
            <w:shd w:val="clear" w:color="auto" w:fill="auto"/>
            <w:vAlign w:val="bottom"/>
          </w:tcPr>
          <w:p w14:paraId="5F2CDFE0" w14:textId="77777777" w:rsidR="00E836FB" w:rsidRDefault="00E836FB">
            <w:pPr>
              <w:rPr>
                <w:rFonts w:ascii="宋体"/>
                <w:vanish/>
              </w:rPr>
            </w:pPr>
          </w:p>
        </w:tc>
        <w:tc>
          <w:tcPr>
            <w:tcW w:w="0" w:type="auto"/>
            <w:gridSpan w:val="3"/>
            <w:shd w:val="clear" w:color="auto" w:fill="auto"/>
            <w:vAlign w:val="bottom"/>
          </w:tcPr>
          <w:p w14:paraId="5F2CDFE1" w14:textId="77777777" w:rsidR="00E836FB" w:rsidRDefault="00E836FB">
            <w:pPr>
              <w:rPr>
                <w:rFonts w:ascii="宋体"/>
                <w:vanish/>
              </w:rPr>
            </w:pPr>
          </w:p>
        </w:tc>
        <w:tc>
          <w:tcPr>
            <w:tcW w:w="0" w:type="auto"/>
            <w:gridSpan w:val="3"/>
            <w:shd w:val="clear" w:color="auto" w:fill="auto"/>
            <w:vAlign w:val="bottom"/>
          </w:tcPr>
          <w:p w14:paraId="5F2CDFE2" w14:textId="77777777" w:rsidR="00E836FB" w:rsidRDefault="00E836FB">
            <w:pPr>
              <w:rPr>
                <w:rFonts w:ascii="宋体"/>
                <w:vanish/>
              </w:rPr>
            </w:pPr>
          </w:p>
        </w:tc>
        <w:tc>
          <w:tcPr>
            <w:tcW w:w="0" w:type="auto"/>
            <w:gridSpan w:val="3"/>
            <w:shd w:val="clear" w:color="auto" w:fill="auto"/>
            <w:vAlign w:val="bottom"/>
          </w:tcPr>
          <w:p w14:paraId="5F2CDFE3" w14:textId="77777777" w:rsidR="00E836FB" w:rsidRDefault="00E836FB">
            <w:pPr>
              <w:rPr>
                <w:rFonts w:ascii="宋体"/>
                <w:vanish/>
              </w:rPr>
            </w:pPr>
          </w:p>
        </w:tc>
      </w:tr>
      <w:tr w:rsidR="00E836FB" w14:paraId="5F2CDFF7" w14:textId="77777777">
        <w:trPr>
          <w:hidden/>
        </w:trPr>
        <w:tc>
          <w:tcPr>
            <w:tcW w:w="0" w:type="auto"/>
            <w:gridSpan w:val="3"/>
            <w:shd w:val="clear" w:color="auto" w:fill="auto"/>
            <w:vAlign w:val="bottom"/>
          </w:tcPr>
          <w:p w14:paraId="5F2CDFE5" w14:textId="77777777" w:rsidR="00E836FB" w:rsidRDefault="00E836FB">
            <w:pPr>
              <w:rPr>
                <w:rFonts w:ascii="宋体"/>
                <w:vanish/>
              </w:rPr>
            </w:pPr>
          </w:p>
        </w:tc>
        <w:tc>
          <w:tcPr>
            <w:tcW w:w="0" w:type="auto"/>
            <w:gridSpan w:val="3"/>
            <w:shd w:val="clear" w:color="auto" w:fill="auto"/>
            <w:vAlign w:val="bottom"/>
          </w:tcPr>
          <w:p w14:paraId="5F2CDFE6" w14:textId="77777777" w:rsidR="00E836FB" w:rsidRDefault="00E836FB">
            <w:pPr>
              <w:rPr>
                <w:rFonts w:ascii="宋体"/>
                <w:vanish/>
              </w:rPr>
            </w:pPr>
          </w:p>
        </w:tc>
        <w:tc>
          <w:tcPr>
            <w:tcW w:w="0" w:type="auto"/>
            <w:gridSpan w:val="3"/>
            <w:shd w:val="clear" w:color="auto" w:fill="auto"/>
            <w:vAlign w:val="bottom"/>
          </w:tcPr>
          <w:p w14:paraId="5F2CDFE7" w14:textId="77777777" w:rsidR="00E836FB" w:rsidRDefault="00E836FB">
            <w:pPr>
              <w:rPr>
                <w:rFonts w:ascii="宋体"/>
                <w:vanish/>
              </w:rPr>
            </w:pPr>
          </w:p>
        </w:tc>
        <w:tc>
          <w:tcPr>
            <w:tcW w:w="0" w:type="auto"/>
            <w:gridSpan w:val="3"/>
            <w:shd w:val="clear" w:color="auto" w:fill="auto"/>
            <w:vAlign w:val="bottom"/>
          </w:tcPr>
          <w:p w14:paraId="5F2CDFE8" w14:textId="77777777" w:rsidR="00E836FB" w:rsidRDefault="00E836FB">
            <w:pPr>
              <w:rPr>
                <w:rFonts w:ascii="宋体"/>
                <w:vanish/>
              </w:rPr>
            </w:pPr>
          </w:p>
        </w:tc>
        <w:tc>
          <w:tcPr>
            <w:tcW w:w="0" w:type="auto"/>
            <w:gridSpan w:val="3"/>
            <w:shd w:val="clear" w:color="auto" w:fill="auto"/>
            <w:vAlign w:val="bottom"/>
          </w:tcPr>
          <w:p w14:paraId="5F2CDFE9" w14:textId="77777777" w:rsidR="00E836FB" w:rsidRDefault="00E836FB">
            <w:pPr>
              <w:rPr>
                <w:rFonts w:ascii="宋体"/>
                <w:vanish/>
              </w:rPr>
            </w:pPr>
          </w:p>
        </w:tc>
        <w:tc>
          <w:tcPr>
            <w:tcW w:w="0" w:type="auto"/>
            <w:gridSpan w:val="3"/>
            <w:shd w:val="clear" w:color="auto" w:fill="auto"/>
            <w:vAlign w:val="bottom"/>
          </w:tcPr>
          <w:p w14:paraId="5F2CDFEA" w14:textId="77777777" w:rsidR="00E836FB" w:rsidRDefault="00E836FB">
            <w:pPr>
              <w:rPr>
                <w:rFonts w:ascii="宋体"/>
                <w:vanish/>
              </w:rPr>
            </w:pPr>
          </w:p>
        </w:tc>
        <w:tc>
          <w:tcPr>
            <w:tcW w:w="0" w:type="auto"/>
            <w:gridSpan w:val="3"/>
            <w:shd w:val="clear" w:color="auto" w:fill="auto"/>
            <w:vAlign w:val="bottom"/>
          </w:tcPr>
          <w:p w14:paraId="5F2CDFEB" w14:textId="77777777" w:rsidR="00E836FB" w:rsidRDefault="00E836FB">
            <w:pPr>
              <w:rPr>
                <w:rFonts w:ascii="宋体"/>
                <w:vanish/>
              </w:rPr>
            </w:pPr>
          </w:p>
        </w:tc>
        <w:tc>
          <w:tcPr>
            <w:tcW w:w="0" w:type="auto"/>
            <w:gridSpan w:val="3"/>
            <w:shd w:val="clear" w:color="auto" w:fill="auto"/>
            <w:vAlign w:val="bottom"/>
          </w:tcPr>
          <w:p w14:paraId="5F2CDFEC" w14:textId="77777777" w:rsidR="00E836FB" w:rsidRDefault="00E836FB">
            <w:pPr>
              <w:rPr>
                <w:rFonts w:ascii="宋体"/>
                <w:vanish/>
              </w:rPr>
            </w:pPr>
          </w:p>
        </w:tc>
        <w:tc>
          <w:tcPr>
            <w:tcW w:w="0" w:type="auto"/>
            <w:gridSpan w:val="3"/>
            <w:shd w:val="clear" w:color="auto" w:fill="auto"/>
            <w:vAlign w:val="bottom"/>
          </w:tcPr>
          <w:p w14:paraId="5F2CDFED" w14:textId="77777777" w:rsidR="00E836FB" w:rsidRDefault="00E836FB">
            <w:pPr>
              <w:rPr>
                <w:rFonts w:ascii="宋体"/>
                <w:vanish/>
              </w:rPr>
            </w:pPr>
          </w:p>
        </w:tc>
        <w:tc>
          <w:tcPr>
            <w:tcW w:w="0" w:type="auto"/>
            <w:gridSpan w:val="3"/>
            <w:shd w:val="clear" w:color="auto" w:fill="auto"/>
            <w:vAlign w:val="bottom"/>
          </w:tcPr>
          <w:p w14:paraId="5F2CDFEE" w14:textId="77777777" w:rsidR="00E836FB" w:rsidRDefault="00E836FB">
            <w:pPr>
              <w:rPr>
                <w:rFonts w:ascii="宋体"/>
                <w:vanish/>
              </w:rPr>
            </w:pPr>
          </w:p>
        </w:tc>
        <w:tc>
          <w:tcPr>
            <w:tcW w:w="0" w:type="auto"/>
            <w:gridSpan w:val="3"/>
            <w:shd w:val="clear" w:color="auto" w:fill="auto"/>
            <w:vAlign w:val="bottom"/>
          </w:tcPr>
          <w:p w14:paraId="5F2CDFEF" w14:textId="77777777" w:rsidR="00E836FB" w:rsidRDefault="00E836FB">
            <w:pPr>
              <w:rPr>
                <w:rFonts w:ascii="宋体"/>
                <w:vanish/>
              </w:rPr>
            </w:pPr>
          </w:p>
        </w:tc>
        <w:tc>
          <w:tcPr>
            <w:tcW w:w="0" w:type="auto"/>
            <w:gridSpan w:val="3"/>
            <w:shd w:val="clear" w:color="auto" w:fill="auto"/>
            <w:vAlign w:val="bottom"/>
          </w:tcPr>
          <w:p w14:paraId="5F2CDFF0" w14:textId="77777777" w:rsidR="00E836FB" w:rsidRDefault="00E836FB">
            <w:pPr>
              <w:rPr>
                <w:rFonts w:ascii="宋体"/>
                <w:vanish/>
              </w:rPr>
            </w:pPr>
          </w:p>
        </w:tc>
        <w:tc>
          <w:tcPr>
            <w:tcW w:w="0" w:type="auto"/>
            <w:gridSpan w:val="3"/>
            <w:shd w:val="clear" w:color="auto" w:fill="auto"/>
            <w:vAlign w:val="bottom"/>
          </w:tcPr>
          <w:p w14:paraId="5F2CDFF1" w14:textId="77777777" w:rsidR="00E836FB" w:rsidRDefault="00E836FB">
            <w:pPr>
              <w:rPr>
                <w:rFonts w:ascii="宋体"/>
                <w:vanish/>
              </w:rPr>
            </w:pPr>
          </w:p>
        </w:tc>
        <w:tc>
          <w:tcPr>
            <w:tcW w:w="0" w:type="auto"/>
            <w:gridSpan w:val="3"/>
            <w:shd w:val="clear" w:color="auto" w:fill="auto"/>
            <w:vAlign w:val="bottom"/>
          </w:tcPr>
          <w:p w14:paraId="5F2CDFF2" w14:textId="77777777" w:rsidR="00E836FB" w:rsidRDefault="00E836FB">
            <w:pPr>
              <w:rPr>
                <w:rFonts w:ascii="宋体"/>
                <w:vanish/>
              </w:rPr>
            </w:pPr>
          </w:p>
        </w:tc>
        <w:tc>
          <w:tcPr>
            <w:tcW w:w="0" w:type="auto"/>
            <w:gridSpan w:val="3"/>
            <w:shd w:val="clear" w:color="auto" w:fill="auto"/>
            <w:vAlign w:val="bottom"/>
          </w:tcPr>
          <w:p w14:paraId="5F2CDFF3" w14:textId="77777777" w:rsidR="00E836FB" w:rsidRDefault="00E836FB">
            <w:pPr>
              <w:rPr>
                <w:rFonts w:ascii="宋体"/>
                <w:vanish/>
              </w:rPr>
            </w:pPr>
          </w:p>
        </w:tc>
        <w:tc>
          <w:tcPr>
            <w:tcW w:w="0" w:type="auto"/>
            <w:gridSpan w:val="3"/>
            <w:shd w:val="clear" w:color="auto" w:fill="auto"/>
            <w:vAlign w:val="bottom"/>
          </w:tcPr>
          <w:p w14:paraId="5F2CDFF4" w14:textId="77777777" w:rsidR="00E836FB" w:rsidRDefault="00E836FB">
            <w:pPr>
              <w:rPr>
                <w:rFonts w:ascii="宋体"/>
                <w:vanish/>
              </w:rPr>
            </w:pPr>
          </w:p>
        </w:tc>
        <w:tc>
          <w:tcPr>
            <w:tcW w:w="0" w:type="auto"/>
            <w:gridSpan w:val="3"/>
            <w:shd w:val="clear" w:color="auto" w:fill="auto"/>
            <w:vAlign w:val="bottom"/>
          </w:tcPr>
          <w:p w14:paraId="5F2CDFF5" w14:textId="77777777" w:rsidR="00E836FB" w:rsidRDefault="00E836FB">
            <w:pPr>
              <w:rPr>
                <w:rFonts w:ascii="宋体"/>
                <w:vanish/>
              </w:rPr>
            </w:pPr>
          </w:p>
        </w:tc>
        <w:tc>
          <w:tcPr>
            <w:tcW w:w="0" w:type="auto"/>
            <w:gridSpan w:val="3"/>
            <w:shd w:val="clear" w:color="auto" w:fill="auto"/>
            <w:vAlign w:val="bottom"/>
          </w:tcPr>
          <w:p w14:paraId="5F2CDFF6" w14:textId="77777777" w:rsidR="00E836FB" w:rsidRDefault="00E836FB">
            <w:pPr>
              <w:rPr>
                <w:rFonts w:ascii="宋体"/>
                <w:vanish/>
              </w:rPr>
            </w:pPr>
          </w:p>
        </w:tc>
      </w:tr>
      <w:tr w:rsidR="00E836FB" w14:paraId="5F2CE010" w14:textId="77777777">
        <w:tc>
          <w:tcPr>
            <w:tcW w:w="0" w:type="auto"/>
            <w:gridSpan w:val="9"/>
            <w:shd w:val="clear" w:color="auto" w:fill="FFFFFF"/>
            <w:tcMar>
              <w:top w:w="40" w:type="dxa"/>
              <w:left w:w="155" w:type="dxa"/>
              <w:bottom w:w="40" w:type="dxa"/>
              <w:right w:w="20" w:type="dxa"/>
            </w:tcMar>
            <w:vAlign w:val="bottom"/>
          </w:tcPr>
          <w:p w14:paraId="5F2CDFF8" w14:textId="77777777" w:rsidR="00E836FB" w:rsidRDefault="00994958">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5F2CDFF9"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F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FFC"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DF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DF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DFFF"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CE0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02"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CE0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05"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E00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0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08"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E0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0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0B"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CE0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0E"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CE00F" w14:textId="77777777" w:rsidR="00E836FB" w:rsidRDefault="00E836FB">
            <w:pPr>
              <w:jc w:val="right"/>
              <w:rPr>
                <w:rFonts w:ascii="宋体"/>
              </w:rPr>
            </w:pPr>
          </w:p>
        </w:tc>
      </w:tr>
      <w:tr w:rsidR="00994958" w14:paraId="5F2CE031" w14:textId="77777777">
        <w:tc>
          <w:tcPr>
            <w:tcW w:w="0" w:type="auto"/>
            <w:gridSpan w:val="9"/>
            <w:shd w:val="clear" w:color="auto" w:fill="CCEEFF"/>
            <w:tcMar>
              <w:top w:w="40" w:type="dxa"/>
              <w:left w:w="20" w:type="dxa"/>
              <w:bottom w:w="40" w:type="dxa"/>
              <w:right w:w="20" w:type="dxa"/>
            </w:tcMar>
            <w:vAlign w:val="bottom"/>
          </w:tcPr>
          <w:p w14:paraId="5F2CE011" w14:textId="77777777" w:rsidR="00E836FB" w:rsidRDefault="00994958">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E012"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13" w14:textId="77777777" w:rsidR="00E836FB" w:rsidRDefault="00994958">
            <w:pPr>
              <w:jc w:val="right"/>
              <w:textAlignment w:val="bottom"/>
            </w:pPr>
            <w:r>
              <w:rPr>
                <w:rFonts w:ascii="Arial" w:eastAsia="宋体" w:hAnsi="Arial" w:cs="Arial"/>
                <w:b/>
                <w:bCs/>
                <w:color w:val="000000"/>
                <w:sz w:val="12"/>
                <w:szCs w:val="12"/>
              </w:rPr>
              <w:t>111,398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1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016"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17" w14:textId="77777777" w:rsidR="00E836FB" w:rsidRDefault="00994958">
            <w:pPr>
              <w:jc w:val="right"/>
              <w:textAlignment w:val="bottom"/>
            </w:pPr>
            <w:r>
              <w:rPr>
                <w:rFonts w:ascii="Arial" w:eastAsia="宋体" w:hAnsi="Arial" w:cs="Arial"/>
                <w:b/>
                <w:bCs/>
                <w:color w:val="000000"/>
                <w:sz w:val="12"/>
                <w:szCs w:val="12"/>
              </w:rPr>
              <w:t>111,667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1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01A"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1B" w14:textId="77777777" w:rsidR="00E836FB" w:rsidRDefault="00994958">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1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01E"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1F" w14:textId="77777777" w:rsidR="00E836FB" w:rsidRDefault="00994958">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2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022"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23" w14:textId="77777777" w:rsidR="00E836FB" w:rsidRDefault="00994958">
            <w:pPr>
              <w:jc w:val="right"/>
              <w:textAlignment w:val="bottom"/>
            </w:pPr>
            <w:r>
              <w:rPr>
                <w:rFonts w:ascii="Arial" w:eastAsia="宋体" w:hAnsi="Arial" w:cs="Arial"/>
                <w:b/>
                <w:bCs/>
                <w:color w:val="000000"/>
                <w:sz w:val="12"/>
                <w:szCs w:val="12"/>
              </w:rPr>
              <w:t>102,331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2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026"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27" w14:textId="77777777" w:rsidR="00E836FB" w:rsidRDefault="00994958">
            <w:pPr>
              <w:jc w:val="right"/>
              <w:textAlignment w:val="bottom"/>
            </w:pPr>
            <w:r>
              <w:rPr>
                <w:rFonts w:ascii="Arial" w:eastAsia="宋体" w:hAnsi="Arial" w:cs="Arial"/>
                <w:b/>
                <w:bCs/>
                <w:color w:val="000000"/>
                <w:sz w:val="12"/>
                <w:szCs w:val="12"/>
              </w:rPr>
              <w:t>108,518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2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02A"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2B" w14:textId="77777777" w:rsidR="00E836FB" w:rsidRDefault="00994958">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2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02E"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02F" w14:textId="77777777" w:rsidR="00E836FB" w:rsidRDefault="00994958">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30" w14:textId="77777777" w:rsidR="00E836FB" w:rsidRDefault="00E836FB">
            <w:pPr>
              <w:jc w:val="right"/>
              <w:rPr>
                <w:rFonts w:ascii="宋体"/>
              </w:rPr>
            </w:pPr>
          </w:p>
        </w:tc>
      </w:tr>
      <w:tr w:rsidR="00994958" w14:paraId="5F2CE052" w14:textId="77777777">
        <w:tc>
          <w:tcPr>
            <w:tcW w:w="0" w:type="auto"/>
            <w:gridSpan w:val="9"/>
            <w:shd w:val="clear" w:color="auto" w:fill="FFFFFF"/>
            <w:tcMar>
              <w:top w:w="40" w:type="dxa"/>
              <w:left w:w="20" w:type="dxa"/>
              <w:bottom w:w="40" w:type="dxa"/>
              <w:right w:w="20" w:type="dxa"/>
            </w:tcMar>
            <w:vAlign w:val="bottom"/>
          </w:tcPr>
          <w:p w14:paraId="5F2CE032" w14:textId="77777777" w:rsidR="00E836FB" w:rsidRDefault="00994958">
            <w:pPr>
              <w:textAlignment w:val="bottom"/>
            </w:pPr>
            <w:r>
              <w:rPr>
                <w:rFonts w:ascii="Arial" w:eastAsia="宋体" w:hAnsi="Arial" w:cs="Arial"/>
                <w:b/>
                <w:bCs/>
                <w:color w:val="000000"/>
                <w:sz w:val="12"/>
                <w:szCs w:val="12"/>
              </w:rPr>
              <w:t>Adjusted quarterly average assets</w:t>
            </w:r>
          </w:p>
        </w:tc>
        <w:tc>
          <w:tcPr>
            <w:tcW w:w="0" w:type="auto"/>
            <w:tcBorders>
              <w:top w:val="double" w:sz="6" w:space="0" w:color="000000"/>
            </w:tcBorders>
            <w:shd w:val="clear" w:color="auto" w:fill="FFFFFF"/>
            <w:tcMar>
              <w:top w:w="40" w:type="dxa"/>
              <w:left w:w="20" w:type="dxa"/>
              <w:bottom w:w="40" w:type="dxa"/>
              <w:right w:w="0" w:type="dxa"/>
            </w:tcMar>
            <w:vAlign w:val="bottom"/>
          </w:tcPr>
          <w:p w14:paraId="5F2CE033"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34" w14:textId="77777777" w:rsidR="00E836FB" w:rsidRDefault="00994958">
            <w:pPr>
              <w:jc w:val="right"/>
              <w:textAlignment w:val="bottom"/>
            </w:pPr>
            <w:r>
              <w:rPr>
                <w:rFonts w:ascii="Arial" w:eastAsia="宋体" w:hAnsi="Arial" w:cs="Arial"/>
                <w:b/>
                <w:bCs/>
                <w:color w:val="000000"/>
                <w:sz w:val="12"/>
                <w:szCs w:val="12"/>
              </w:rPr>
              <w:t>293,567</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36"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CE037"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38" w14:textId="77777777" w:rsidR="00E836FB" w:rsidRDefault="00994958">
            <w:pPr>
              <w:jc w:val="right"/>
              <w:textAlignment w:val="bottom"/>
            </w:pPr>
            <w:r>
              <w:rPr>
                <w:rFonts w:ascii="Arial" w:eastAsia="宋体" w:hAnsi="Arial" w:cs="Arial"/>
                <w:b/>
                <w:bCs/>
                <w:color w:val="000000"/>
                <w:sz w:val="12"/>
                <w:szCs w:val="12"/>
              </w:rPr>
              <w:t>293,567</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3A"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CE03B"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3C" w14:textId="77777777" w:rsidR="00E836FB" w:rsidRDefault="00994958">
            <w:pPr>
              <w:jc w:val="right"/>
              <w:textAlignment w:val="bottom"/>
            </w:pPr>
            <w:r>
              <w:rPr>
                <w:rFonts w:ascii="Arial" w:eastAsia="宋体" w:hAnsi="Arial" w:cs="Arial"/>
                <w:color w:val="000000"/>
                <w:sz w:val="12"/>
                <w:szCs w:val="12"/>
              </w:rPr>
              <w:t>263,490 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3E"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CE03F"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40" w14:textId="77777777" w:rsidR="00E836FB" w:rsidRDefault="00994958">
            <w:pPr>
              <w:jc w:val="right"/>
              <w:textAlignment w:val="bottom"/>
            </w:pPr>
            <w:r>
              <w:rPr>
                <w:rFonts w:ascii="Arial" w:eastAsia="宋体" w:hAnsi="Arial" w:cs="Arial"/>
                <w:color w:val="000000"/>
                <w:sz w:val="12"/>
                <w:szCs w:val="12"/>
              </w:rPr>
              <w:t>263,490 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42"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CE043"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44" w14:textId="77777777" w:rsidR="00E836FB" w:rsidRDefault="00994958">
            <w:pPr>
              <w:jc w:val="right"/>
              <w:textAlignment w:val="bottom"/>
            </w:pPr>
            <w:r>
              <w:rPr>
                <w:rFonts w:ascii="Arial" w:eastAsia="宋体" w:hAnsi="Arial" w:cs="Arial"/>
                <w:b/>
                <w:bCs/>
                <w:color w:val="000000"/>
                <w:sz w:val="12"/>
                <w:szCs w:val="12"/>
              </w:rPr>
              <w:t>290,403</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46"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CE047"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48" w14:textId="77777777" w:rsidR="00E836FB" w:rsidRDefault="00994958">
            <w:pPr>
              <w:jc w:val="right"/>
              <w:textAlignment w:val="bottom"/>
            </w:pPr>
            <w:r>
              <w:rPr>
                <w:rFonts w:ascii="Arial" w:eastAsia="宋体" w:hAnsi="Arial" w:cs="Arial"/>
                <w:b/>
                <w:bCs/>
                <w:color w:val="000000"/>
                <w:sz w:val="12"/>
                <w:szCs w:val="12"/>
              </w:rPr>
              <w:t>290,403</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4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4A"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CE04B"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4C" w14:textId="77777777" w:rsidR="00E836FB" w:rsidRDefault="00994958">
            <w:pPr>
              <w:jc w:val="right"/>
              <w:textAlignment w:val="bottom"/>
            </w:pPr>
            <w:r>
              <w:rPr>
                <w:rFonts w:ascii="Arial" w:eastAsia="宋体" w:hAnsi="Arial" w:cs="Arial"/>
                <w:color w:val="000000"/>
                <w:sz w:val="12"/>
                <w:szCs w:val="12"/>
              </w:rPr>
              <w:t>260,489 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4E"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CE04F"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CE050" w14:textId="77777777" w:rsidR="00E836FB" w:rsidRDefault="00994958">
            <w:pPr>
              <w:jc w:val="right"/>
              <w:textAlignment w:val="bottom"/>
            </w:pPr>
            <w:r>
              <w:rPr>
                <w:rFonts w:ascii="Arial" w:eastAsia="宋体" w:hAnsi="Arial" w:cs="Arial"/>
                <w:color w:val="000000"/>
                <w:sz w:val="12"/>
                <w:szCs w:val="12"/>
              </w:rPr>
              <w:t>260,489 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051" w14:textId="77777777" w:rsidR="00E836FB" w:rsidRDefault="00E836FB">
            <w:pPr>
              <w:jc w:val="right"/>
              <w:rPr>
                <w:rFonts w:ascii="宋体"/>
              </w:rPr>
            </w:pPr>
          </w:p>
        </w:tc>
      </w:tr>
      <w:tr w:rsidR="00E836FB" w14:paraId="5F2CE065" w14:textId="77777777">
        <w:trPr>
          <w:trHeight w:val="100"/>
        </w:trPr>
        <w:tc>
          <w:tcPr>
            <w:tcW w:w="0" w:type="auto"/>
            <w:gridSpan w:val="3"/>
            <w:shd w:val="clear" w:color="auto" w:fill="auto"/>
            <w:tcMar>
              <w:top w:w="0" w:type="dxa"/>
              <w:left w:w="20" w:type="dxa"/>
              <w:bottom w:w="0" w:type="dxa"/>
              <w:right w:w="20" w:type="dxa"/>
            </w:tcMar>
            <w:vAlign w:val="bottom"/>
          </w:tcPr>
          <w:p w14:paraId="5F2CE0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5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5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5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5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5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59"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5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5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5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5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6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6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E064" w14:textId="77777777" w:rsidR="00E836FB" w:rsidRDefault="00E836FB">
            <w:pPr>
              <w:rPr>
                <w:rFonts w:ascii="宋体"/>
              </w:rPr>
            </w:pPr>
          </w:p>
        </w:tc>
      </w:tr>
      <w:tr w:rsidR="00E836FB" w14:paraId="5F2CE078" w14:textId="77777777">
        <w:tc>
          <w:tcPr>
            <w:tcW w:w="0" w:type="auto"/>
            <w:gridSpan w:val="3"/>
            <w:shd w:val="clear" w:color="auto" w:fill="FFFFFF"/>
            <w:tcMar>
              <w:top w:w="40" w:type="dxa"/>
              <w:left w:w="20" w:type="dxa"/>
              <w:bottom w:w="40" w:type="dxa"/>
              <w:right w:w="20" w:type="dxa"/>
            </w:tcMar>
            <w:vAlign w:val="bottom"/>
          </w:tcPr>
          <w:p w14:paraId="5F2CE066" w14:textId="77777777" w:rsidR="00E836FB" w:rsidRDefault="00994958">
            <w:pPr>
              <w:textAlignment w:val="bottom"/>
            </w:pPr>
            <w:r>
              <w:rPr>
                <w:rFonts w:ascii="Arial" w:eastAsia="宋体" w:hAnsi="Arial" w:cs="Arial"/>
                <w:b/>
                <w:bCs/>
                <w:color w:val="000000"/>
                <w:sz w:val="12"/>
                <w:szCs w:val="12"/>
              </w:rPr>
              <w:t>Capital Rat</w:t>
            </w:r>
            <w:r>
              <w:rPr>
                <w:rFonts w:ascii="Arial" w:eastAsia="宋体" w:hAnsi="Arial" w:cs="Arial"/>
                <w:b/>
                <w:bCs/>
                <w:color w:val="000000"/>
                <w:sz w:val="12"/>
                <w:szCs w:val="12"/>
              </w:rPr>
              <w:t>ios:</w:t>
            </w:r>
          </w:p>
        </w:tc>
        <w:tc>
          <w:tcPr>
            <w:tcW w:w="0" w:type="auto"/>
            <w:gridSpan w:val="3"/>
            <w:shd w:val="clear" w:color="auto" w:fill="auto"/>
            <w:tcMar>
              <w:top w:w="40" w:type="dxa"/>
              <w:left w:w="20" w:type="dxa"/>
              <w:bottom w:w="40" w:type="dxa"/>
              <w:right w:w="20" w:type="dxa"/>
            </w:tcMar>
            <w:vAlign w:val="bottom"/>
          </w:tcPr>
          <w:p w14:paraId="5F2CE067" w14:textId="77777777" w:rsidR="00E836FB" w:rsidRDefault="00994958">
            <w:pPr>
              <w:jc w:val="center"/>
              <w:textAlignment w:val="bottom"/>
            </w:pPr>
            <w:r>
              <w:rPr>
                <w:rFonts w:ascii="Arial" w:eastAsia="宋体" w:hAnsi="Arial" w:cs="Arial"/>
                <w:color w:val="000000"/>
                <w:sz w:val="12"/>
                <w:szCs w:val="12"/>
              </w:rPr>
              <w:t>2021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5F2CE068" w14:textId="77777777" w:rsidR="00E836FB" w:rsidRDefault="00994958">
            <w:pPr>
              <w:jc w:val="center"/>
              <w:textAlignment w:val="bottom"/>
            </w:pPr>
            <w:r>
              <w:rPr>
                <w:rFonts w:ascii="Arial" w:eastAsia="宋体" w:hAnsi="Arial" w:cs="Arial"/>
                <w:color w:val="000000"/>
                <w:sz w:val="12"/>
                <w:szCs w:val="12"/>
              </w:rPr>
              <w:t>2020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vAlign w:val="bottom"/>
          </w:tcPr>
          <w:p w14:paraId="5F2CE06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6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6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6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6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6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6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077" w14:textId="77777777" w:rsidR="00E836FB" w:rsidRDefault="00E836FB">
            <w:pPr>
              <w:rPr>
                <w:rFonts w:ascii="宋体"/>
              </w:rPr>
            </w:pPr>
          </w:p>
        </w:tc>
      </w:tr>
      <w:tr w:rsidR="00994958" w14:paraId="5F2CE095" w14:textId="77777777">
        <w:tc>
          <w:tcPr>
            <w:tcW w:w="0" w:type="auto"/>
            <w:gridSpan w:val="3"/>
            <w:shd w:val="clear" w:color="auto" w:fill="CCEEFF"/>
            <w:tcMar>
              <w:top w:w="40" w:type="dxa"/>
              <w:left w:w="20" w:type="dxa"/>
              <w:bottom w:w="40" w:type="dxa"/>
              <w:right w:w="20" w:type="dxa"/>
            </w:tcMar>
            <w:vAlign w:val="bottom"/>
          </w:tcPr>
          <w:p w14:paraId="5F2CE079" w14:textId="77777777" w:rsidR="00E836FB" w:rsidRDefault="00994958">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07A" w14:textId="77777777" w:rsidR="00E836FB" w:rsidRDefault="00994958">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7B"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07C" w14:textId="77777777" w:rsidR="00E836FB" w:rsidRDefault="00994958">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07D" w14:textId="77777777" w:rsidR="00E836FB" w:rsidRDefault="00994958">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5F2CE07E" w14:textId="77777777" w:rsidR="00E836FB" w:rsidRDefault="00994958">
            <w:pPr>
              <w:jc w:val="right"/>
              <w:textAlignment w:val="bottom"/>
            </w:pPr>
            <w:r>
              <w:rPr>
                <w:rFonts w:ascii="Arial" w:eastAsia="宋体" w:hAnsi="Arial" w:cs="Arial"/>
                <w:b/>
                <w:bCs/>
                <w:color w:val="000000"/>
                <w:sz w:val="12"/>
                <w:szCs w:val="12"/>
              </w:rPr>
              <w:t>14.3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7F"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CE08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81" w14:textId="77777777" w:rsidR="00E836FB" w:rsidRDefault="00994958">
            <w:pPr>
              <w:jc w:val="right"/>
              <w:textAlignment w:val="bottom"/>
            </w:pPr>
            <w:r>
              <w:rPr>
                <w:rFonts w:ascii="Arial" w:eastAsia="宋体" w:hAnsi="Arial" w:cs="Arial"/>
                <w:b/>
                <w:bCs/>
                <w:color w:val="000000"/>
                <w:sz w:val="12"/>
                <w:szCs w:val="12"/>
              </w:rPr>
              <w:t>14.3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82"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CE08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84" w14:textId="77777777" w:rsidR="00E836FB" w:rsidRDefault="00994958">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5F2CE085" w14:textId="77777777" w:rsidR="00E836FB" w:rsidRDefault="00994958">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CE08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87" w14:textId="77777777" w:rsidR="00E836FB" w:rsidRDefault="00994958">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5F2CE088" w14:textId="77777777" w:rsidR="00E836FB" w:rsidRDefault="00994958">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CE08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8A" w14:textId="77777777" w:rsidR="00E836FB" w:rsidRDefault="00994958">
            <w:pPr>
              <w:jc w:val="right"/>
              <w:textAlignment w:val="bottom"/>
            </w:pPr>
            <w:r>
              <w:rPr>
                <w:rFonts w:ascii="Arial" w:eastAsia="宋体" w:hAnsi="Arial" w:cs="Arial"/>
                <w:b/>
                <w:bCs/>
                <w:color w:val="000000"/>
                <w:sz w:val="12"/>
                <w:szCs w:val="12"/>
              </w:rPr>
              <w:t>18.4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8B"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CE0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8D" w14:textId="77777777" w:rsidR="00E836FB" w:rsidRDefault="00994958">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8E"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CE0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90" w14:textId="77777777" w:rsidR="00E836FB" w:rsidRDefault="00994958">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5F2CE091" w14:textId="77777777" w:rsidR="00E836FB" w:rsidRDefault="00994958">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CE0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93" w14:textId="77777777" w:rsidR="00E836FB" w:rsidRDefault="00994958">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F2CE094" w14:textId="77777777" w:rsidR="00E836FB" w:rsidRDefault="00994958">
            <w:pPr>
              <w:jc w:val="right"/>
              <w:textAlignment w:val="bottom"/>
            </w:pPr>
            <w:r>
              <w:rPr>
                <w:rFonts w:ascii="Arial" w:eastAsia="宋体" w:hAnsi="Arial" w:cs="Arial"/>
                <w:color w:val="000000"/>
                <w:sz w:val="12"/>
                <w:szCs w:val="12"/>
              </w:rPr>
              <w:t>%</w:t>
            </w:r>
          </w:p>
        </w:tc>
      </w:tr>
      <w:tr w:rsidR="00994958" w14:paraId="5F2CE0B2" w14:textId="77777777">
        <w:tc>
          <w:tcPr>
            <w:tcW w:w="0" w:type="auto"/>
            <w:gridSpan w:val="3"/>
            <w:shd w:val="clear" w:color="auto" w:fill="FFFFFF"/>
            <w:tcMar>
              <w:top w:w="40" w:type="dxa"/>
              <w:left w:w="20" w:type="dxa"/>
              <w:bottom w:w="40" w:type="dxa"/>
              <w:right w:w="20" w:type="dxa"/>
            </w:tcMar>
            <w:vAlign w:val="bottom"/>
          </w:tcPr>
          <w:p w14:paraId="5F2CE096" w14:textId="77777777" w:rsidR="00E836FB" w:rsidRDefault="00994958">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5F2CE097" w14:textId="77777777" w:rsidR="00E836FB" w:rsidRDefault="00994958">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E098" w14:textId="77777777" w:rsidR="00E836FB" w:rsidRDefault="00E83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F2CE099" w14:textId="77777777" w:rsidR="00E836FB" w:rsidRDefault="00994958">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5F2CE09A" w14:textId="77777777" w:rsidR="00E836FB" w:rsidRDefault="00E83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F2CE09B" w14:textId="77777777" w:rsidR="00E836FB" w:rsidRDefault="00994958">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E09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9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9E" w14:textId="77777777" w:rsidR="00E836FB" w:rsidRDefault="00994958">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E0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A1" w14:textId="77777777" w:rsidR="00E836FB" w:rsidRDefault="00994958">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5F2CE0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A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A4" w14:textId="77777777" w:rsidR="00E836FB" w:rsidRDefault="00994958">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5F2CE0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A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A7" w14:textId="77777777" w:rsidR="00E836FB" w:rsidRDefault="00994958">
            <w:pPr>
              <w:jc w:val="right"/>
              <w:textAlignment w:val="bottom"/>
            </w:pPr>
            <w:r>
              <w:rPr>
                <w:rFonts w:ascii="Arial" w:eastAsia="宋体" w:hAnsi="Arial" w:cs="Arial"/>
                <w:b/>
                <w:bCs/>
                <w:color w:val="000000"/>
                <w:sz w:val="12"/>
                <w:szCs w:val="12"/>
              </w:rPr>
              <w:t>18.4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E0A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A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AA" w14:textId="77777777" w:rsidR="00E836FB" w:rsidRDefault="00994958">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CE0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A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AD" w14:textId="77777777" w:rsidR="00E836FB" w:rsidRDefault="00994958">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5F2CE0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0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0B0" w14:textId="77777777" w:rsidR="00E836FB" w:rsidRDefault="00994958">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5F2CE0B1" w14:textId="77777777" w:rsidR="00E836FB" w:rsidRDefault="00E836FB">
            <w:pPr>
              <w:jc w:val="right"/>
              <w:rPr>
                <w:rFonts w:ascii="宋体"/>
              </w:rPr>
            </w:pPr>
          </w:p>
        </w:tc>
      </w:tr>
      <w:tr w:rsidR="00994958" w14:paraId="5F2CE0CF" w14:textId="77777777">
        <w:tc>
          <w:tcPr>
            <w:tcW w:w="0" w:type="auto"/>
            <w:gridSpan w:val="3"/>
            <w:shd w:val="clear" w:color="auto" w:fill="CCEEFF"/>
            <w:tcMar>
              <w:top w:w="40" w:type="dxa"/>
              <w:left w:w="20" w:type="dxa"/>
              <w:bottom w:w="40" w:type="dxa"/>
              <w:right w:w="20" w:type="dxa"/>
            </w:tcMar>
            <w:vAlign w:val="bottom"/>
          </w:tcPr>
          <w:p w14:paraId="5F2CE0B3" w14:textId="77777777" w:rsidR="00E836FB" w:rsidRDefault="00994958">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5F2CE0B4" w14:textId="77777777" w:rsidR="00E836FB" w:rsidRDefault="00994958">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B5" w14:textId="77777777" w:rsidR="00E836FB" w:rsidRDefault="00E83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F2CE0B6" w14:textId="77777777" w:rsidR="00E836FB" w:rsidRDefault="00994958">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5F2CE0B7" w14:textId="77777777" w:rsidR="00E836FB" w:rsidRDefault="00E83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F2CE0B8" w14:textId="77777777" w:rsidR="00E836FB" w:rsidRDefault="00994958">
            <w:pPr>
              <w:jc w:val="right"/>
              <w:textAlignment w:val="bottom"/>
            </w:pPr>
            <w:r>
              <w:rPr>
                <w:rFonts w:ascii="Arial" w:eastAsia="宋体" w:hAnsi="Arial" w:cs="Arial"/>
                <w:b/>
                <w:bCs/>
                <w:color w:val="000000"/>
                <w:sz w:val="12"/>
                <w:szCs w:val="12"/>
              </w:rPr>
              <w:t>17.5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B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BB" w14:textId="77777777" w:rsidR="00E836FB" w:rsidRDefault="00994958">
            <w:pPr>
              <w:jc w:val="right"/>
              <w:textAlignment w:val="bottom"/>
            </w:pPr>
            <w:r>
              <w:rPr>
                <w:rFonts w:ascii="Arial" w:eastAsia="宋体" w:hAnsi="Arial" w:cs="Arial"/>
                <w:b/>
                <w:bCs/>
                <w:color w:val="000000"/>
                <w:sz w:val="12"/>
                <w:szCs w:val="12"/>
              </w:rPr>
              <w:t>17.6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BE" w14:textId="77777777" w:rsidR="00E836FB" w:rsidRDefault="00994958">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5F2CE0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C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C1" w14:textId="77777777" w:rsidR="00E836FB" w:rsidRDefault="00994958">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F2CE0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C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C4" w14:textId="77777777" w:rsidR="00E836FB" w:rsidRDefault="00994958">
            <w:pPr>
              <w:jc w:val="right"/>
              <w:textAlignment w:val="bottom"/>
            </w:pPr>
            <w:r>
              <w:rPr>
                <w:rFonts w:ascii="Arial" w:eastAsia="宋体" w:hAnsi="Arial" w:cs="Arial"/>
                <w:b/>
                <w:bCs/>
                <w:color w:val="000000"/>
                <w:sz w:val="12"/>
                <w:szCs w:val="12"/>
              </w:rPr>
              <w:t>19.2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C7" w14:textId="77777777" w:rsidR="00E836FB" w:rsidRDefault="00994958">
            <w:pPr>
              <w:jc w:val="right"/>
              <w:textAlignment w:val="bottom"/>
            </w:pPr>
            <w:r>
              <w:rPr>
                <w:rFonts w:ascii="Arial" w:eastAsia="宋体" w:hAnsi="Arial" w:cs="Arial"/>
                <w:b/>
                <w:bCs/>
                <w:color w:val="000000"/>
                <w:sz w:val="12"/>
                <w:szCs w:val="12"/>
              </w:rPr>
              <w:t>18.2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CE0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C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CA" w14:textId="77777777" w:rsidR="00E836FB" w:rsidRDefault="00994958">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5F2CE0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0C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0CD" w14:textId="77777777" w:rsidR="00E836FB" w:rsidRDefault="00994958">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5F2CE0CE" w14:textId="77777777" w:rsidR="00E836FB" w:rsidRDefault="00E836FB">
            <w:pPr>
              <w:jc w:val="right"/>
              <w:rPr>
                <w:rFonts w:ascii="宋体"/>
              </w:rPr>
            </w:pPr>
          </w:p>
        </w:tc>
      </w:tr>
      <w:tr w:rsidR="00E836FB" w14:paraId="5F2CE0E2" w14:textId="77777777">
        <w:trPr>
          <w:hidden/>
        </w:trPr>
        <w:tc>
          <w:tcPr>
            <w:tcW w:w="0" w:type="auto"/>
            <w:gridSpan w:val="3"/>
            <w:shd w:val="clear" w:color="auto" w:fill="auto"/>
            <w:vAlign w:val="bottom"/>
          </w:tcPr>
          <w:p w14:paraId="5F2CE0D0" w14:textId="77777777" w:rsidR="00E836FB" w:rsidRDefault="00E836FB">
            <w:pPr>
              <w:rPr>
                <w:rFonts w:ascii="宋体"/>
                <w:vanish/>
              </w:rPr>
            </w:pPr>
          </w:p>
        </w:tc>
        <w:tc>
          <w:tcPr>
            <w:tcW w:w="0" w:type="auto"/>
            <w:gridSpan w:val="3"/>
            <w:shd w:val="clear" w:color="auto" w:fill="auto"/>
            <w:vAlign w:val="bottom"/>
          </w:tcPr>
          <w:p w14:paraId="5F2CE0D1" w14:textId="77777777" w:rsidR="00E836FB" w:rsidRDefault="00E836FB">
            <w:pPr>
              <w:rPr>
                <w:rFonts w:ascii="宋体"/>
                <w:vanish/>
              </w:rPr>
            </w:pPr>
          </w:p>
        </w:tc>
        <w:tc>
          <w:tcPr>
            <w:tcW w:w="0" w:type="auto"/>
            <w:gridSpan w:val="3"/>
            <w:shd w:val="clear" w:color="auto" w:fill="auto"/>
            <w:vAlign w:val="bottom"/>
          </w:tcPr>
          <w:p w14:paraId="5F2CE0D2" w14:textId="77777777" w:rsidR="00E836FB" w:rsidRDefault="00E836FB">
            <w:pPr>
              <w:rPr>
                <w:rFonts w:ascii="宋体"/>
                <w:vanish/>
              </w:rPr>
            </w:pPr>
          </w:p>
        </w:tc>
        <w:tc>
          <w:tcPr>
            <w:tcW w:w="0" w:type="auto"/>
            <w:gridSpan w:val="3"/>
            <w:shd w:val="clear" w:color="auto" w:fill="auto"/>
            <w:vAlign w:val="bottom"/>
          </w:tcPr>
          <w:p w14:paraId="5F2CE0D3" w14:textId="77777777" w:rsidR="00E836FB" w:rsidRDefault="00E836FB">
            <w:pPr>
              <w:rPr>
                <w:rFonts w:ascii="宋体"/>
                <w:vanish/>
              </w:rPr>
            </w:pPr>
          </w:p>
        </w:tc>
        <w:tc>
          <w:tcPr>
            <w:tcW w:w="0" w:type="auto"/>
            <w:gridSpan w:val="3"/>
            <w:shd w:val="clear" w:color="auto" w:fill="auto"/>
            <w:vAlign w:val="bottom"/>
          </w:tcPr>
          <w:p w14:paraId="5F2CE0D4" w14:textId="77777777" w:rsidR="00E836FB" w:rsidRDefault="00E836FB">
            <w:pPr>
              <w:rPr>
                <w:rFonts w:ascii="宋体"/>
                <w:vanish/>
              </w:rPr>
            </w:pPr>
          </w:p>
        </w:tc>
        <w:tc>
          <w:tcPr>
            <w:tcW w:w="0" w:type="auto"/>
            <w:gridSpan w:val="3"/>
            <w:shd w:val="clear" w:color="auto" w:fill="auto"/>
            <w:vAlign w:val="bottom"/>
          </w:tcPr>
          <w:p w14:paraId="5F2CE0D5" w14:textId="77777777" w:rsidR="00E836FB" w:rsidRDefault="00E836FB">
            <w:pPr>
              <w:rPr>
                <w:rFonts w:ascii="宋体"/>
                <w:vanish/>
              </w:rPr>
            </w:pPr>
          </w:p>
        </w:tc>
        <w:tc>
          <w:tcPr>
            <w:tcW w:w="0" w:type="auto"/>
            <w:gridSpan w:val="3"/>
            <w:shd w:val="clear" w:color="auto" w:fill="auto"/>
            <w:vAlign w:val="bottom"/>
          </w:tcPr>
          <w:p w14:paraId="5F2CE0D6" w14:textId="77777777" w:rsidR="00E836FB" w:rsidRDefault="00E836FB">
            <w:pPr>
              <w:rPr>
                <w:rFonts w:ascii="宋体"/>
                <w:vanish/>
              </w:rPr>
            </w:pPr>
          </w:p>
        </w:tc>
        <w:tc>
          <w:tcPr>
            <w:tcW w:w="0" w:type="auto"/>
            <w:gridSpan w:val="3"/>
            <w:shd w:val="clear" w:color="auto" w:fill="auto"/>
            <w:vAlign w:val="bottom"/>
          </w:tcPr>
          <w:p w14:paraId="5F2CE0D7" w14:textId="77777777" w:rsidR="00E836FB" w:rsidRDefault="00E836FB">
            <w:pPr>
              <w:rPr>
                <w:rFonts w:ascii="宋体"/>
                <w:vanish/>
              </w:rPr>
            </w:pPr>
          </w:p>
        </w:tc>
        <w:tc>
          <w:tcPr>
            <w:tcW w:w="0" w:type="auto"/>
            <w:gridSpan w:val="3"/>
            <w:shd w:val="clear" w:color="auto" w:fill="auto"/>
            <w:vAlign w:val="bottom"/>
          </w:tcPr>
          <w:p w14:paraId="5F2CE0D8" w14:textId="77777777" w:rsidR="00E836FB" w:rsidRDefault="00E836FB">
            <w:pPr>
              <w:rPr>
                <w:rFonts w:ascii="宋体"/>
                <w:vanish/>
              </w:rPr>
            </w:pPr>
          </w:p>
        </w:tc>
        <w:tc>
          <w:tcPr>
            <w:tcW w:w="0" w:type="auto"/>
            <w:gridSpan w:val="3"/>
            <w:shd w:val="clear" w:color="auto" w:fill="auto"/>
            <w:vAlign w:val="bottom"/>
          </w:tcPr>
          <w:p w14:paraId="5F2CE0D9" w14:textId="77777777" w:rsidR="00E836FB" w:rsidRDefault="00E836FB">
            <w:pPr>
              <w:rPr>
                <w:rFonts w:ascii="宋体"/>
                <w:vanish/>
              </w:rPr>
            </w:pPr>
          </w:p>
        </w:tc>
        <w:tc>
          <w:tcPr>
            <w:tcW w:w="0" w:type="auto"/>
            <w:gridSpan w:val="3"/>
            <w:shd w:val="clear" w:color="auto" w:fill="auto"/>
            <w:vAlign w:val="bottom"/>
          </w:tcPr>
          <w:p w14:paraId="5F2CE0DA" w14:textId="77777777" w:rsidR="00E836FB" w:rsidRDefault="00E836FB">
            <w:pPr>
              <w:rPr>
                <w:rFonts w:ascii="宋体"/>
                <w:vanish/>
              </w:rPr>
            </w:pPr>
          </w:p>
        </w:tc>
        <w:tc>
          <w:tcPr>
            <w:tcW w:w="0" w:type="auto"/>
            <w:gridSpan w:val="3"/>
            <w:shd w:val="clear" w:color="auto" w:fill="auto"/>
            <w:vAlign w:val="bottom"/>
          </w:tcPr>
          <w:p w14:paraId="5F2CE0DB" w14:textId="77777777" w:rsidR="00E836FB" w:rsidRDefault="00E836FB">
            <w:pPr>
              <w:rPr>
                <w:rFonts w:ascii="宋体"/>
                <w:vanish/>
              </w:rPr>
            </w:pPr>
          </w:p>
        </w:tc>
        <w:tc>
          <w:tcPr>
            <w:tcW w:w="0" w:type="auto"/>
            <w:gridSpan w:val="3"/>
            <w:shd w:val="clear" w:color="auto" w:fill="auto"/>
            <w:vAlign w:val="bottom"/>
          </w:tcPr>
          <w:p w14:paraId="5F2CE0DC" w14:textId="77777777" w:rsidR="00E836FB" w:rsidRDefault="00E836FB">
            <w:pPr>
              <w:rPr>
                <w:rFonts w:ascii="宋体"/>
                <w:vanish/>
              </w:rPr>
            </w:pPr>
          </w:p>
        </w:tc>
        <w:tc>
          <w:tcPr>
            <w:tcW w:w="0" w:type="auto"/>
            <w:gridSpan w:val="3"/>
            <w:shd w:val="clear" w:color="auto" w:fill="auto"/>
            <w:vAlign w:val="bottom"/>
          </w:tcPr>
          <w:p w14:paraId="5F2CE0DD" w14:textId="77777777" w:rsidR="00E836FB" w:rsidRDefault="00E836FB">
            <w:pPr>
              <w:rPr>
                <w:rFonts w:ascii="宋体"/>
                <w:vanish/>
              </w:rPr>
            </w:pPr>
          </w:p>
        </w:tc>
        <w:tc>
          <w:tcPr>
            <w:tcW w:w="0" w:type="auto"/>
            <w:gridSpan w:val="3"/>
            <w:shd w:val="clear" w:color="auto" w:fill="auto"/>
            <w:vAlign w:val="bottom"/>
          </w:tcPr>
          <w:p w14:paraId="5F2CE0DE" w14:textId="77777777" w:rsidR="00E836FB" w:rsidRDefault="00E836FB">
            <w:pPr>
              <w:rPr>
                <w:rFonts w:ascii="宋体"/>
                <w:vanish/>
              </w:rPr>
            </w:pPr>
          </w:p>
        </w:tc>
        <w:tc>
          <w:tcPr>
            <w:tcW w:w="0" w:type="auto"/>
            <w:gridSpan w:val="3"/>
            <w:shd w:val="clear" w:color="auto" w:fill="auto"/>
            <w:vAlign w:val="bottom"/>
          </w:tcPr>
          <w:p w14:paraId="5F2CE0DF" w14:textId="77777777" w:rsidR="00E836FB" w:rsidRDefault="00E836FB">
            <w:pPr>
              <w:rPr>
                <w:rFonts w:ascii="宋体"/>
                <w:vanish/>
              </w:rPr>
            </w:pPr>
          </w:p>
        </w:tc>
        <w:tc>
          <w:tcPr>
            <w:tcW w:w="0" w:type="auto"/>
            <w:gridSpan w:val="3"/>
            <w:shd w:val="clear" w:color="auto" w:fill="auto"/>
            <w:vAlign w:val="bottom"/>
          </w:tcPr>
          <w:p w14:paraId="5F2CE0E0" w14:textId="77777777" w:rsidR="00E836FB" w:rsidRDefault="00E836FB">
            <w:pPr>
              <w:rPr>
                <w:rFonts w:ascii="宋体"/>
                <w:vanish/>
              </w:rPr>
            </w:pPr>
          </w:p>
        </w:tc>
        <w:tc>
          <w:tcPr>
            <w:tcW w:w="0" w:type="auto"/>
            <w:gridSpan w:val="3"/>
            <w:shd w:val="clear" w:color="auto" w:fill="auto"/>
            <w:vAlign w:val="bottom"/>
          </w:tcPr>
          <w:p w14:paraId="5F2CE0E1" w14:textId="77777777" w:rsidR="00E836FB" w:rsidRDefault="00E836FB">
            <w:pPr>
              <w:rPr>
                <w:rFonts w:ascii="宋体"/>
                <w:vanish/>
              </w:rPr>
            </w:pPr>
          </w:p>
        </w:tc>
      </w:tr>
    </w:tbl>
    <w:p w14:paraId="5F2CE0E3" w14:textId="77777777" w:rsidR="00E836FB" w:rsidRDefault="00E836F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E836FB" w14:paraId="5F2CE0F0" w14:textId="77777777">
        <w:tc>
          <w:tcPr>
            <w:tcW w:w="50" w:type="pct"/>
            <w:shd w:val="clear" w:color="auto" w:fill="auto"/>
            <w:vAlign w:val="bottom"/>
          </w:tcPr>
          <w:p w14:paraId="5F2CE0E4" w14:textId="77777777" w:rsidR="00E836FB" w:rsidRDefault="00E836FB">
            <w:pPr>
              <w:rPr>
                <w:rFonts w:ascii="宋体"/>
              </w:rPr>
            </w:pPr>
          </w:p>
        </w:tc>
        <w:tc>
          <w:tcPr>
            <w:tcW w:w="1350" w:type="pct"/>
            <w:shd w:val="clear" w:color="auto" w:fill="auto"/>
            <w:vAlign w:val="bottom"/>
          </w:tcPr>
          <w:p w14:paraId="5F2CE0E5" w14:textId="77777777" w:rsidR="00E836FB" w:rsidRDefault="00E836FB">
            <w:pPr>
              <w:rPr>
                <w:rFonts w:ascii="宋体"/>
              </w:rPr>
            </w:pPr>
          </w:p>
        </w:tc>
        <w:tc>
          <w:tcPr>
            <w:tcW w:w="5" w:type="pct"/>
            <w:shd w:val="clear" w:color="auto" w:fill="auto"/>
            <w:vAlign w:val="bottom"/>
          </w:tcPr>
          <w:p w14:paraId="5F2CE0E6" w14:textId="77777777" w:rsidR="00E836FB" w:rsidRDefault="00E836FB">
            <w:pPr>
              <w:rPr>
                <w:rFonts w:ascii="宋体"/>
              </w:rPr>
            </w:pPr>
          </w:p>
        </w:tc>
        <w:tc>
          <w:tcPr>
            <w:tcW w:w="50" w:type="pct"/>
            <w:shd w:val="clear" w:color="auto" w:fill="auto"/>
            <w:vAlign w:val="bottom"/>
          </w:tcPr>
          <w:p w14:paraId="5F2CE0E7" w14:textId="77777777" w:rsidR="00E836FB" w:rsidRDefault="00E836FB">
            <w:pPr>
              <w:rPr>
                <w:rFonts w:ascii="宋体"/>
              </w:rPr>
            </w:pPr>
          </w:p>
        </w:tc>
        <w:tc>
          <w:tcPr>
            <w:tcW w:w="918" w:type="pct"/>
            <w:shd w:val="clear" w:color="auto" w:fill="auto"/>
            <w:vAlign w:val="bottom"/>
          </w:tcPr>
          <w:p w14:paraId="5F2CE0E8" w14:textId="77777777" w:rsidR="00E836FB" w:rsidRDefault="00E836FB">
            <w:pPr>
              <w:rPr>
                <w:rFonts w:ascii="宋体"/>
              </w:rPr>
            </w:pPr>
          </w:p>
        </w:tc>
        <w:tc>
          <w:tcPr>
            <w:tcW w:w="5" w:type="pct"/>
            <w:shd w:val="clear" w:color="auto" w:fill="auto"/>
            <w:vAlign w:val="bottom"/>
          </w:tcPr>
          <w:p w14:paraId="5F2CE0E9" w14:textId="77777777" w:rsidR="00E836FB" w:rsidRDefault="00E836FB">
            <w:pPr>
              <w:rPr>
                <w:rFonts w:ascii="宋体"/>
              </w:rPr>
            </w:pPr>
          </w:p>
        </w:tc>
        <w:tc>
          <w:tcPr>
            <w:tcW w:w="50" w:type="pct"/>
            <w:shd w:val="clear" w:color="auto" w:fill="auto"/>
            <w:vAlign w:val="bottom"/>
          </w:tcPr>
          <w:p w14:paraId="5F2CE0EA" w14:textId="77777777" w:rsidR="00E836FB" w:rsidRDefault="00E836FB">
            <w:pPr>
              <w:rPr>
                <w:rFonts w:ascii="宋体"/>
              </w:rPr>
            </w:pPr>
          </w:p>
        </w:tc>
        <w:tc>
          <w:tcPr>
            <w:tcW w:w="918" w:type="pct"/>
            <w:shd w:val="clear" w:color="auto" w:fill="auto"/>
            <w:vAlign w:val="bottom"/>
          </w:tcPr>
          <w:p w14:paraId="5F2CE0EB" w14:textId="77777777" w:rsidR="00E836FB" w:rsidRDefault="00E836FB">
            <w:pPr>
              <w:rPr>
                <w:rFonts w:ascii="宋体"/>
              </w:rPr>
            </w:pPr>
          </w:p>
        </w:tc>
        <w:tc>
          <w:tcPr>
            <w:tcW w:w="5" w:type="pct"/>
            <w:shd w:val="clear" w:color="auto" w:fill="auto"/>
            <w:vAlign w:val="bottom"/>
          </w:tcPr>
          <w:p w14:paraId="5F2CE0EC" w14:textId="77777777" w:rsidR="00E836FB" w:rsidRDefault="00E836FB">
            <w:pPr>
              <w:rPr>
                <w:rFonts w:ascii="宋体"/>
              </w:rPr>
            </w:pPr>
          </w:p>
        </w:tc>
        <w:tc>
          <w:tcPr>
            <w:tcW w:w="50" w:type="pct"/>
            <w:shd w:val="clear" w:color="auto" w:fill="auto"/>
            <w:vAlign w:val="bottom"/>
          </w:tcPr>
          <w:p w14:paraId="5F2CE0ED" w14:textId="77777777" w:rsidR="00E836FB" w:rsidRDefault="00E836FB">
            <w:pPr>
              <w:rPr>
                <w:rFonts w:ascii="宋体"/>
              </w:rPr>
            </w:pPr>
          </w:p>
        </w:tc>
        <w:tc>
          <w:tcPr>
            <w:tcW w:w="1592" w:type="pct"/>
            <w:shd w:val="clear" w:color="auto" w:fill="auto"/>
            <w:vAlign w:val="bottom"/>
          </w:tcPr>
          <w:p w14:paraId="5F2CE0EE" w14:textId="77777777" w:rsidR="00E836FB" w:rsidRDefault="00E836FB">
            <w:pPr>
              <w:rPr>
                <w:rFonts w:ascii="宋体"/>
              </w:rPr>
            </w:pPr>
          </w:p>
        </w:tc>
        <w:tc>
          <w:tcPr>
            <w:tcW w:w="5" w:type="pct"/>
            <w:shd w:val="clear" w:color="auto" w:fill="auto"/>
            <w:vAlign w:val="bottom"/>
          </w:tcPr>
          <w:p w14:paraId="5F2CE0EF" w14:textId="77777777" w:rsidR="00E836FB" w:rsidRDefault="00E836FB">
            <w:pPr>
              <w:rPr>
                <w:rFonts w:ascii="宋体"/>
              </w:rPr>
            </w:pPr>
          </w:p>
        </w:tc>
      </w:tr>
      <w:tr w:rsidR="00E836FB" w14:paraId="5F2CE0F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E0F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F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F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0F4" w14:textId="77777777" w:rsidR="00E836FB" w:rsidRDefault="00E836FB">
            <w:pPr>
              <w:rPr>
                <w:rFonts w:ascii="宋体"/>
              </w:rPr>
            </w:pPr>
          </w:p>
        </w:tc>
      </w:tr>
    </w:tbl>
    <w:p w14:paraId="5F2CE0F6" w14:textId="77777777" w:rsidR="00E836FB" w:rsidRDefault="00994958">
      <w:pPr>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5F2CE0F7" w14:textId="77777777" w:rsidR="00E836FB" w:rsidRDefault="00994958">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Under the advanced approaches, credit risk RWA includes a CVA which reflects the risk of potential fair value adjustments for credit risk reflected in our valuation of over-the-counter (OTC) derivative contracts. We used a simple CVA approach in conformity</w:t>
      </w:r>
      <w:r>
        <w:rPr>
          <w:rFonts w:ascii="Arial" w:eastAsia="宋体" w:hAnsi="Arial" w:cs="Arial"/>
          <w:color w:val="000000"/>
          <w:sz w:val="12"/>
          <w:szCs w:val="12"/>
        </w:rPr>
        <w:t xml:space="preserve"> with the Basel III advanced approaches.</w:t>
      </w:r>
    </w:p>
    <w:p w14:paraId="5F2CE0F8" w14:textId="77777777" w:rsidR="00E836FB" w:rsidRDefault="00994958">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advanced approaches rules and regulatory guidance concerning operational risk models, RWA attributable to operational risk can vary substantially from period-to-period, without direct correlati</w:t>
      </w:r>
      <w:r>
        <w:rPr>
          <w:rFonts w:ascii="Arial" w:eastAsia="宋体" w:hAnsi="Arial" w:cs="Arial"/>
          <w:color w:val="000000"/>
          <w:sz w:val="12"/>
          <w:szCs w:val="12"/>
        </w:rPr>
        <w:t>on to the effects of a particular loss event on our results of operations and financial condition and impacting dates and periods that may differ from the dates and periods as of and during which the loss event is reflected in our financial statements, wit</w:t>
      </w:r>
      <w:r>
        <w:rPr>
          <w:rFonts w:ascii="Arial" w:eastAsia="宋体" w:hAnsi="Arial" w:cs="Arial"/>
          <w:color w:val="000000"/>
          <w:sz w:val="12"/>
          <w:szCs w:val="12"/>
        </w:rPr>
        <w:t>h the timing and categorization dependent on the processes for model updates and, if applicable, model revalidation and regulatory review and related supervisory processes. An individual loss event can have a significant effect on the output of our operati</w:t>
      </w:r>
      <w:r>
        <w:rPr>
          <w:rFonts w:ascii="Arial" w:eastAsia="宋体" w:hAnsi="Arial" w:cs="Arial"/>
          <w:color w:val="000000"/>
          <w:sz w:val="12"/>
          <w:szCs w:val="12"/>
        </w:rPr>
        <w:t xml:space="preserve">onal RWA under the advanced approaches depending on the severity of the loss event and its categorization among the seven Basel-defined UOMs. </w:t>
      </w:r>
    </w:p>
    <w:p w14:paraId="5F2CE0F9" w14:textId="77777777" w:rsidR="00E836FB" w:rsidRDefault="00994958">
      <w:pPr>
        <w:spacing w:before="20"/>
        <w:jc w:val="both"/>
      </w:pPr>
      <w:r>
        <w:rPr>
          <w:rFonts w:ascii="Arial" w:eastAsia="宋体" w:hAnsi="Arial" w:cs="Arial"/>
          <w:color w:val="000000"/>
          <w:sz w:val="7"/>
          <w:szCs w:val="7"/>
        </w:rPr>
        <w:t xml:space="preserve">(4) </w:t>
      </w:r>
      <w:r>
        <w:rPr>
          <w:rFonts w:ascii="Arial" w:eastAsia="宋体" w:hAnsi="Arial" w:cs="Arial"/>
          <w:color w:val="000000"/>
          <w:sz w:val="12"/>
          <w:szCs w:val="12"/>
        </w:rPr>
        <w:t>Minimum requirements include a CCB of 2.5% and a SCB of 2.5% for the advanced approaches and the standardized</w:t>
      </w:r>
      <w:r>
        <w:rPr>
          <w:rFonts w:ascii="Arial" w:eastAsia="宋体" w:hAnsi="Arial" w:cs="Arial"/>
          <w:color w:val="000000"/>
          <w:sz w:val="12"/>
          <w:szCs w:val="12"/>
        </w:rPr>
        <w:t xml:space="preserve"> approach, respectively, a G-SIB surcharge of 1.0% and a countercyclical buffer of 0%.</w:t>
      </w:r>
    </w:p>
    <w:p w14:paraId="5F2CE0FA" w14:textId="77777777" w:rsidR="00E836FB" w:rsidRDefault="00994958">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5F2CE0FB" w14:textId="77777777" w:rsidR="00E836FB" w:rsidRDefault="00994958">
      <w:pPr>
        <w:spacing w:before="60"/>
        <w:ind w:firstLine="450"/>
        <w:jc w:val="both"/>
      </w:pPr>
      <w:r>
        <w:rPr>
          <w:rFonts w:ascii="Arial" w:eastAsia="宋体" w:hAnsi="Arial" w:cs="Arial"/>
          <w:color w:val="000000"/>
          <w:sz w:val="20"/>
          <w:szCs w:val="20"/>
        </w:rPr>
        <w:t>Our CET1 capital increased $1.57 billion as of December 31, 2021 compared to December 31, 2020, primarily driven by net income and the issuance of com</w:t>
      </w:r>
      <w:r>
        <w:rPr>
          <w:rFonts w:ascii="Arial" w:eastAsia="宋体" w:hAnsi="Arial" w:cs="Arial"/>
          <w:color w:val="000000"/>
          <w:sz w:val="20"/>
          <w:szCs w:val="20"/>
        </w:rPr>
        <w:t>mon stock, partially offset by accumulated other comprehensive income and dividend distributions in the year ended December 31, 2021.</w:t>
      </w:r>
    </w:p>
    <w:p w14:paraId="5F2CE0FC" w14:textId="77777777" w:rsidR="00E836FB" w:rsidRDefault="00994958">
      <w:pPr>
        <w:spacing w:before="60"/>
        <w:ind w:firstLine="450"/>
        <w:jc w:val="both"/>
      </w:pPr>
      <w:r>
        <w:rPr>
          <w:rFonts w:ascii="Arial" w:eastAsia="宋体" w:hAnsi="Arial" w:cs="Arial"/>
          <w:color w:val="000000"/>
          <w:sz w:val="20"/>
          <w:szCs w:val="20"/>
        </w:rPr>
        <w:t>Our Tier 1 capital increased $1.08 billion as of December 31, 2021 compared to December 31, 2020 under both the advanced a</w:t>
      </w:r>
      <w:r>
        <w:rPr>
          <w:rFonts w:ascii="Arial" w:eastAsia="宋体" w:hAnsi="Arial" w:cs="Arial"/>
          <w:color w:val="000000"/>
          <w:sz w:val="20"/>
          <w:szCs w:val="20"/>
        </w:rPr>
        <w:t>pproaches and standardized approach due to the increase in CET1 capital, partially offset by the partial redemption of the Series F preferred stock.</w:t>
      </w:r>
    </w:p>
    <w:p w14:paraId="5F2CE0FD" w14:textId="77777777" w:rsidR="00E836FB" w:rsidRDefault="00994958">
      <w:pPr>
        <w:spacing w:before="60"/>
        <w:ind w:firstLine="450"/>
        <w:jc w:val="both"/>
      </w:pPr>
      <w:r>
        <w:rPr>
          <w:rFonts w:ascii="Arial" w:eastAsia="宋体" w:hAnsi="Arial" w:cs="Arial"/>
          <w:color w:val="000000"/>
          <w:sz w:val="20"/>
          <w:szCs w:val="20"/>
        </w:rPr>
        <w:t>Our Tier 2 capital increased under the advanced approaches and standardized approach, as of December 31, 20</w:t>
      </w:r>
      <w:r>
        <w:rPr>
          <w:rFonts w:ascii="Arial" w:eastAsia="宋体" w:hAnsi="Arial" w:cs="Arial"/>
          <w:color w:val="000000"/>
          <w:sz w:val="20"/>
          <w:szCs w:val="20"/>
        </w:rPr>
        <w:t>21 compared to December 31, 2020, by $0.63 billion and $0.59 billion, respectively, mainly driven by the issuance of our Tier 2 qualifying debt.</w:t>
      </w:r>
    </w:p>
    <w:p w14:paraId="5F2CE0FE" w14:textId="77777777" w:rsidR="00E836FB" w:rsidRDefault="00994958">
      <w:pPr>
        <w:ind w:firstLine="450"/>
        <w:jc w:val="right"/>
      </w:pPr>
      <w:r>
        <w:rPr>
          <w:rFonts w:ascii="Arial" w:eastAsia="宋体" w:hAnsi="Arial" w:cs="Arial"/>
          <w:color w:val="000000"/>
          <w:sz w:val="18"/>
          <w:szCs w:val="18"/>
        </w:rPr>
        <w:t>State Street Corporation | 116</w:t>
      </w:r>
    </w:p>
    <w:p w14:paraId="5F2CE0FF" w14:textId="77777777" w:rsidR="00E836FB" w:rsidRDefault="00E836FB">
      <w:pPr>
        <w:ind w:firstLine="450"/>
        <w:jc w:val="center"/>
      </w:pPr>
    </w:p>
    <w:p w14:paraId="5F2CE100" w14:textId="77777777" w:rsidR="00E836FB" w:rsidRDefault="00994958">
      <w:r>
        <w:pict w14:anchorId="5F2D6DF9">
          <v:rect id="_x0000_i1140" style="width:415.3pt;height:1.5pt" o:hralign="center" o:hrstd="t" o:hr="t" fillcolor="#a0a0a0" stroked="f"/>
        </w:pict>
      </w:r>
    </w:p>
    <w:p w14:paraId="5F2CE101"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102" w14:textId="77777777" w:rsidR="00E836FB" w:rsidRDefault="00994958">
      <w:pPr>
        <w:ind w:firstLine="450"/>
        <w:jc w:val="center"/>
      </w:pPr>
      <w:r>
        <w:rPr>
          <w:rFonts w:ascii="Arial" w:eastAsia="宋体" w:hAnsi="Arial" w:cs="Arial"/>
          <w:b/>
          <w:bCs/>
          <w:color w:val="000000"/>
          <w:sz w:val="20"/>
          <w:szCs w:val="20"/>
        </w:rPr>
        <w:t>AND RESULTS OF OP</w:t>
      </w:r>
      <w:r>
        <w:rPr>
          <w:rFonts w:ascii="Arial" w:eastAsia="宋体" w:hAnsi="Arial" w:cs="Arial"/>
          <w:b/>
          <w:bCs/>
          <w:color w:val="000000"/>
          <w:sz w:val="20"/>
          <w:szCs w:val="20"/>
        </w:rPr>
        <w:t>ERATIONS</w:t>
      </w:r>
    </w:p>
    <w:p w14:paraId="5F2CE103" w14:textId="77777777" w:rsidR="00E836FB" w:rsidRDefault="00994958">
      <w:pPr>
        <w:spacing w:before="60"/>
        <w:ind w:firstLine="450"/>
        <w:jc w:val="both"/>
      </w:pPr>
      <w:r>
        <w:rPr>
          <w:rFonts w:ascii="Arial" w:eastAsia="宋体" w:hAnsi="Arial" w:cs="Arial"/>
          <w:color w:val="000000"/>
          <w:sz w:val="20"/>
          <w:szCs w:val="20"/>
        </w:rPr>
        <w:t xml:space="preserve">Total capital increased under the advanced approaches and standardized approach, as of December 31, 2021 compared to December 31, 2020, by $1.70 billion and $1.66 billion, respectively, mainly driven by the increase in our Tier 1 capital and </w:t>
      </w:r>
      <w:r>
        <w:rPr>
          <w:rFonts w:ascii="Arial" w:eastAsia="宋体" w:hAnsi="Arial" w:cs="Arial"/>
          <w:color w:val="000000"/>
          <w:sz w:val="20"/>
          <w:szCs w:val="20"/>
        </w:rPr>
        <w:t>Tier 2 capital.</w:t>
      </w:r>
    </w:p>
    <w:p w14:paraId="5F2CE104" w14:textId="77777777" w:rsidR="00E836FB" w:rsidRDefault="00994958">
      <w:pPr>
        <w:spacing w:before="60"/>
        <w:ind w:firstLine="450"/>
        <w:jc w:val="both"/>
      </w:pPr>
      <w:r>
        <w:rPr>
          <w:rFonts w:ascii="Arial" w:eastAsia="宋体" w:hAnsi="Arial" w:cs="Arial"/>
          <w:color w:val="000000"/>
          <w:sz w:val="20"/>
          <w:szCs w:val="20"/>
        </w:rPr>
        <w:t>The table below presents a roll-forward of CET1 capital, Tier 1 capital and total capital for the years ended December 31, 2021 and 2020.</w:t>
      </w:r>
    </w:p>
    <w:tbl>
      <w:tblPr>
        <w:tblW w:w="4993" w:type="pct"/>
        <w:tblCellMar>
          <w:top w:w="15" w:type="dxa"/>
          <w:left w:w="15" w:type="dxa"/>
          <w:bottom w:w="15" w:type="dxa"/>
          <w:right w:w="15" w:type="dxa"/>
        </w:tblCellMar>
        <w:tblLook w:val="04A0" w:firstRow="1" w:lastRow="0" w:firstColumn="1" w:lastColumn="0" w:noHBand="0" w:noVBand="1"/>
      </w:tblPr>
      <w:tblGrid>
        <w:gridCol w:w="40"/>
        <w:gridCol w:w="3945"/>
        <w:gridCol w:w="39"/>
        <w:gridCol w:w="99"/>
        <w:gridCol w:w="935"/>
        <w:gridCol w:w="36"/>
        <w:gridCol w:w="36"/>
        <w:gridCol w:w="36"/>
        <w:gridCol w:w="36"/>
        <w:gridCol w:w="99"/>
        <w:gridCol w:w="864"/>
        <w:gridCol w:w="36"/>
        <w:gridCol w:w="36"/>
        <w:gridCol w:w="36"/>
        <w:gridCol w:w="36"/>
        <w:gridCol w:w="99"/>
        <w:gridCol w:w="803"/>
        <w:gridCol w:w="36"/>
        <w:gridCol w:w="36"/>
        <w:gridCol w:w="36"/>
        <w:gridCol w:w="36"/>
        <w:gridCol w:w="99"/>
        <w:gridCol w:w="834"/>
        <w:gridCol w:w="36"/>
      </w:tblGrid>
      <w:tr w:rsidR="00E836FB" w14:paraId="5F2CE11D" w14:textId="77777777">
        <w:tc>
          <w:tcPr>
            <w:tcW w:w="50" w:type="pct"/>
            <w:shd w:val="clear" w:color="auto" w:fill="auto"/>
            <w:vAlign w:val="bottom"/>
          </w:tcPr>
          <w:p w14:paraId="5F2CE105" w14:textId="77777777" w:rsidR="00E836FB" w:rsidRDefault="00E836FB">
            <w:pPr>
              <w:rPr>
                <w:rFonts w:ascii="宋体"/>
              </w:rPr>
            </w:pPr>
          </w:p>
        </w:tc>
        <w:tc>
          <w:tcPr>
            <w:tcW w:w="2397" w:type="pct"/>
            <w:shd w:val="clear" w:color="auto" w:fill="auto"/>
            <w:vAlign w:val="bottom"/>
          </w:tcPr>
          <w:p w14:paraId="5F2CE106" w14:textId="77777777" w:rsidR="00E836FB" w:rsidRDefault="00E836FB">
            <w:pPr>
              <w:rPr>
                <w:rFonts w:ascii="宋体"/>
              </w:rPr>
            </w:pPr>
          </w:p>
        </w:tc>
        <w:tc>
          <w:tcPr>
            <w:tcW w:w="5" w:type="pct"/>
            <w:shd w:val="clear" w:color="auto" w:fill="auto"/>
            <w:vAlign w:val="bottom"/>
          </w:tcPr>
          <w:p w14:paraId="5F2CE107" w14:textId="77777777" w:rsidR="00E836FB" w:rsidRDefault="00E836FB">
            <w:pPr>
              <w:rPr>
                <w:rFonts w:ascii="宋体"/>
              </w:rPr>
            </w:pPr>
          </w:p>
        </w:tc>
        <w:tc>
          <w:tcPr>
            <w:tcW w:w="50" w:type="pct"/>
            <w:shd w:val="clear" w:color="auto" w:fill="auto"/>
            <w:vAlign w:val="bottom"/>
          </w:tcPr>
          <w:p w14:paraId="5F2CE108" w14:textId="77777777" w:rsidR="00E836FB" w:rsidRDefault="00E836FB">
            <w:pPr>
              <w:rPr>
                <w:rFonts w:ascii="宋体"/>
              </w:rPr>
            </w:pPr>
          </w:p>
        </w:tc>
        <w:tc>
          <w:tcPr>
            <w:tcW w:w="589" w:type="pct"/>
            <w:shd w:val="clear" w:color="auto" w:fill="auto"/>
            <w:vAlign w:val="bottom"/>
          </w:tcPr>
          <w:p w14:paraId="5F2CE109" w14:textId="77777777" w:rsidR="00E836FB" w:rsidRDefault="00E836FB">
            <w:pPr>
              <w:rPr>
                <w:rFonts w:ascii="宋体"/>
              </w:rPr>
            </w:pPr>
          </w:p>
        </w:tc>
        <w:tc>
          <w:tcPr>
            <w:tcW w:w="5" w:type="pct"/>
            <w:shd w:val="clear" w:color="auto" w:fill="auto"/>
            <w:vAlign w:val="bottom"/>
          </w:tcPr>
          <w:p w14:paraId="5F2CE10A" w14:textId="77777777" w:rsidR="00E836FB" w:rsidRDefault="00E836FB">
            <w:pPr>
              <w:rPr>
                <w:rFonts w:ascii="宋体"/>
              </w:rPr>
            </w:pPr>
          </w:p>
        </w:tc>
        <w:tc>
          <w:tcPr>
            <w:tcW w:w="5" w:type="pct"/>
            <w:shd w:val="clear" w:color="auto" w:fill="auto"/>
            <w:vAlign w:val="bottom"/>
          </w:tcPr>
          <w:p w14:paraId="5F2CE10B" w14:textId="77777777" w:rsidR="00E836FB" w:rsidRDefault="00E836FB">
            <w:pPr>
              <w:rPr>
                <w:rFonts w:ascii="宋体"/>
              </w:rPr>
            </w:pPr>
          </w:p>
        </w:tc>
        <w:tc>
          <w:tcPr>
            <w:tcW w:w="26" w:type="pct"/>
            <w:shd w:val="clear" w:color="auto" w:fill="auto"/>
            <w:vAlign w:val="bottom"/>
          </w:tcPr>
          <w:p w14:paraId="5F2CE10C" w14:textId="77777777" w:rsidR="00E836FB" w:rsidRDefault="00E836FB">
            <w:pPr>
              <w:rPr>
                <w:rFonts w:ascii="宋体"/>
              </w:rPr>
            </w:pPr>
          </w:p>
        </w:tc>
        <w:tc>
          <w:tcPr>
            <w:tcW w:w="5" w:type="pct"/>
            <w:shd w:val="clear" w:color="auto" w:fill="auto"/>
            <w:vAlign w:val="bottom"/>
          </w:tcPr>
          <w:p w14:paraId="5F2CE10D" w14:textId="77777777" w:rsidR="00E836FB" w:rsidRDefault="00E836FB">
            <w:pPr>
              <w:rPr>
                <w:rFonts w:ascii="宋体"/>
              </w:rPr>
            </w:pPr>
          </w:p>
        </w:tc>
        <w:tc>
          <w:tcPr>
            <w:tcW w:w="50" w:type="pct"/>
            <w:shd w:val="clear" w:color="auto" w:fill="auto"/>
            <w:vAlign w:val="bottom"/>
          </w:tcPr>
          <w:p w14:paraId="5F2CE10E" w14:textId="77777777" w:rsidR="00E836FB" w:rsidRDefault="00E836FB">
            <w:pPr>
              <w:rPr>
                <w:rFonts w:ascii="宋体"/>
              </w:rPr>
            </w:pPr>
          </w:p>
        </w:tc>
        <w:tc>
          <w:tcPr>
            <w:tcW w:w="567" w:type="pct"/>
            <w:shd w:val="clear" w:color="auto" w:fill="auto"/>
            <w:vAlign w:val="bottom"/>
          </w:tcPr>
          <w:p w14:paraId="5F2CE10F" w14:textId="77777777" w:rsidR="00E836FB" w:rsidRDefault="00E836FB">
            <w:pPr>
              <w:rPr>
                <w:rFonts w:ascii="宋体"/>
              </w:rPr>
            </w:pPr>
          </w:p>
        </w:tc>
        <w:tc>
          <w:tcPr>
            <w:tcW w:w="5" w:type="pct"/>
            <w:shd w:val="clear" w:color="auto" w:fill="auto"/>
            <w:vAlign w:val="bottom"/>
          </w:tcPr>
          <w:p w14:paraId="5F2CE110" w14:textId="77777777" w:rsidR="00E836FB" w:rsidRDefault="00E836FB">
            <w:pPr>
              <w:rPr>
                <w:rFonts w:ascii="宋体"/>
              </w:rPr>
            </w:pPr>
          </w:p>
        </w:tc>
        <w:tc>
          <w:tcPr>
            <w:tcW w:w="5" w:type="pct"/>
            <w:shd w:val="clear" w:color="auto" w:fill="auto"/>
            <w:vAlign w:val="bottom"/>
          </w:tcPr>
          <w:p w14:paraId="5F2CE111" w14:textId="77777777" w:rsidR="00E836FB" w:rsidRDefault="00E836FB">
            <w:pPr>
              <w:rPr>
                <w:rFonts w:ascii="宋体"/>
              </w:rPr>
            </w:pPr>
          </w:p>
        </w:tc>
        <w:tc>
          <w:tcPr>
            <w:tcW w:w="26" w:type="pct"/>
            <w:shd w:val="clear" w:color="auto" w:fill="auto"/>
            <w:vAlign w:val="bottom"/>
          </w:tcPr>
          <w:p w14:paraId="5F2CE112" w14:textId="77777777" w:rsidR="00E836FB" w:rsidRDefault="00E836FB">
            <w:pPr>
              <w:rPr>
                <w:rFonts w:ascii="宋体"/>
              </w:rPr>
            </w:pPr>
          </w:p>
        </w:tc>
        <w:tc>
          <w:tcPr>
            <w:tcW w:w="5" w:type="pct"/>
            <w:shd w:val="clear" w:color="auto" w:fill="auto"/>
            <w:vAlign w:val="bottom"/>
          </w:tcPr>
          <w:p w14:paraId="5F2CE113" w14:textId="77777777" w:rsidR="00E836FB" w:rsidRDefault="00E836FB">
            <w:pPr>
              <w:rPr>
                <w:rFonts w:ascii="宋体"/>
              </w:rPr>
            </w:pPr>
          </w:p>
        </w:tc>
        <w:tc>
          <w:tcPr>
            <w:tcW w:w="50" w:type="pct"/>
            <w:shd w:val="clear" w:color="auto" w:fill="auto"/>
            <w:vAlign w:val="bottom"/>
          </w:tcPr>
          <w:p w14:paraId="5F2CE114" w14:textId="77777777" w:rsidR="00E836FB" w:rsidRDefault="00E836FB">
            <w:pPr>
              <w:rPr>
                <w:rFonts w:ascii="宋体"/>
              </w:rPr>
            </w:pPr>
          </w:p>
        </w:tc>
        <w:tc>
          <w:tcPr>
            <w:tcW w:w="530" w:type="pct"/>
            <w:shd w:val="clear" w:color="auto" w:fill="auto"/>
            <w:vAlign w:val="bottom"/>
          </w:tcPr>
          <w:p w14:paraId="5F2CE115" w14:textId="77777777" w:rsidR="00E836FB" w:rsidRDefault="00E836FB">
            <w:pPr>
              <w:rPr>
                <w:rFonts w:ascii="宋体"/>
              </w:rPr>
            </w:pPr>
          </w:p>
        </w:tc>
        <w:tc>
          <w:tcPr>
            <w:tcW w:w="5" w:type="pct"/>
            <w:shd w:val="clear" w:color="auto" w:fill="auto"/>
            <w:vAlign w:val="bottom"/>
          </w:tcPr>
          <w:p w14:paraId="5F2CE116" w14:textId="77777777" w:rsidR="00E836FB" w:rsidRDefault="00E836FB">
            <w:pPr>
              <w:rPr>
                <w:rFonts w:ascii="宋体"/>
              </w:rPr>
            </w:pPr>
          </w:p>
        </w:tc>
        <w:tc>
          <w:tcPr>
            <w:tcW w:w="5" w:type="pct"/>
            <w:shd w:val="clear" w:color="auto" w:fill="auto"/>
            <w:vAlign w:val="bottom"/>
          </w:tcPr>
          <w:p w14:paraId="5F2CE117" w14:textId="77777777" w:rsidR="00E836FB" w:rsidRDefault="00E836FB">
            <w:pPr>
              <w:rPr>
                <w:rFonts w:ascii="宋体"/>
              </w:rPr>
            </w:pPr>
          </w:p>
        </w:tc>
        <w:tc>
          <w:tcPr>
            <w:tcW w:w="26" w:type="pct"/>
            <w:shd w:val="clear" w:color="auto" w:fill="auto"/>
            <w:vAlign w:val="bottom"/>
          </w:tcPr>
          <w:p w14:paraId="5F2CE118" w14:textId="77777777" w:rsidR="00E836FB" w:rsidRDefault="00E836FB">
            <w:pPr>
              <w:rPr>
                <w:rFonts w:ascii="宋体"/>
              </w:rPr>
            </w:pPr>
          </w:p>
        </w:tc>
        <w:tc>
          <w:tcPr>
            <w:tcW w:w="5" w:type="pct"/>
            <w:shd w:val="clear" w:color="auto" w:fill="auto"/>
            <w:vAlign w:val="bottom"/>
          </w:tcPr>
          <w:p w14:paraId="5F2CE119" w14:textId="77777777" w:rsidR="00E836FB" w:rsidRDefault="00E836FB">
            <w:pPr>
              <w:rPr>
                <w:rFonts w:ascii="宋体"/>
              </w:rPr>
            </w:pPr>
          </w:p>
        </w:tc>
        <w:tc>
          <w:tcPr>
            <w:tcW w:w="50" w:type="pct"/>
            <w:shd w:val="clear" w:color="auto" w:fill="auto"/>
            <w:vAlign w:val="bottom"/>
          </w:tcPr>
          <w:p w14:paraId="5F2CE11A" w14:textId="77777777" w:rsidR="00E836FB" w:rsidRDefault="00E836FB">
            <w:pPr>
              <w:rPr>
                <w:rFonts w:ascii="宋体"/>
              </w:rPr>
            </w:pPr>
          </w:p>
        </w:tc>
        <w:tc>
          <w:tcPr>
            <w:tcW w:w="530" w:type="pct"/>
            <w:shd w:val="clear" w:color="auto" w:fill="auto"/>
            <w:vAlign w:val="bottom"/>
          </w:tcPr>
          <w:p w14:paraId="5F2CE11B" w14:textId="77777777" w:rsidR="00E836FB" w:rsidRDefault="00E836FB">
            <w:pPr>
              <w:rPr>
                <w:rFonts w:ascii="宋体"/>
              </w:rPr>
            </w:pPr>
          </w:p>
        </w:tc>
        <w:tc>
          <w:tcPr>
            <w:tcW w:w="5" w:type="pct"/>
            <w:shd w:val="clear" w:color="auto" w:fill="auto"/>
            <w:vAlign w:val="bottom"/>
          </w:tcPr>
          <w:p w14:paraId="5F2CE11C" w14:textId="77777777" w:rsidR="00E836FB" w:rsidRDefault="00E836FB">
            <w:pPr>
              <w:rPr>
                <w:rFonts w:ascii="宋体"/>
              </w:rPr>
            </w:pPr>
          </w:p>
        </w:tc>
      </w:tr>
      <w:tr w:rsidR="00E836FB" w14:paraId="5F2CE11F" w14:textId="77777777">
        <w:tc>
          <w:tcPr>
            <w:tcW w:w="0" w:type="auto"/>
            <w:gridSpan w:val="24"/>
            <w:shd w:val="clear" w:color="auto" w:fill="auto"/>
            <w:tcMar>
              <w:top w:w="40" w:type="dxa"/>
              <w:left w:w="20" w:type="dxa"/>
              <w:bottom w:w="40" w:type="dxa"/>
              <w:right w:w="20" w:type="dxa"/>
            </w:tcMar>
            <w:vAlign w:val="bottom"/>
          </w:tcPr>
          <w:p w14:paraId="5F2CE11E" w14:textId="77777777" w:rsidR="00E836FB" w:rsidRDefault="00994958">
            <w:pPr>
              <w:textAlignment w:val="bottom"/>
            </w:pPr>
            <w:r>
              <w:rPr>
                <w:rFonts w:ascii="Arial" w:eastAsia="宋体" w:hAnsi="Arial" w:cs="Arial"/>
                <w:b/>
                <w:bCs/>
                <w:color w:val="000000"/>
                <w:sz w:val="16"/>
                <w:szCs w:val="16"/>
              </w:rPr>
              <w:t>TABLE 42: CAPITAL ROLL-FORWARD</w:t>
            </w:r>
          </w:p>
        </w:tc>
      </w:tr>
      <w:tr w:rsidR="00E836FB" w14:paraId="5F2CE128" w14:textId="77777777">
        <w:tc>
          <w:tcPr>
            <w:tcW w:w="0" w:type="auto"/>
            <w:gridSpan w:val="3"/>
            <w:shd w:val="clear" w:color="auto" w:fill="auto"/>
            <w:tcMar>
              <w:top w:w="40" w:type="dxa"/>
              <w:left w:w="20" w:type="dxa"/>
              <w:bottom w:w="40" w:type="dxa"/>
              <w:right w:w="20" w:type="dxa"/>
            </w:tcMar>
            <w:vAlign w:val="bottom"/>
          </w:tcPr>
          <w:p w14:paraId="5F2CE120" w14:textId="77777777" w:rsidR="00E836FB" w:rsidRDefault="00994958">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5F2CE121" w14:textId="77777777" w:rsidR="00E836FB" w:rsidRDefault="00994958">
            <w:pPr>
              <w:jc w:val="center"/>
              <w:textAlignment w:val="bottom"/>
            </w:pPr>
            <w:r>
              <w:rPr>
                <w:rFonts w:ascii="Arial" w:eastAsia="宋体" w:hAnsi="Arial" w:cs="Arial"/>
                <w:b/>
                <w:bCs/>
                <w:color w:val="000000"/>
                <w:sz w:val="14"/>
                <w:szCs w:val="14"/>
              </w:rPr>
              <w:t>Basel III Advanced Approaches December 31, 2021</w:t>
            </w:r>
          </w:p>
        </w:tc>
        <w:tc>
          <w:tcPr>
            <w:tcW w:w="0" w:type="auto"/>
            <w:gridSpan w:val="3"/>
            <w:shd w:val="clear" w:color="auto" w:fill="auto"/>
            <w:tcMar>
              <w:top w:w="0" w:type="dxa"/>
              <w:left w:w="20" w:type="dxa"/>
              <w:bottom w:w="0" w:type="dxa"/>
              <w:right w:w="20" w:type="dxa"/>
            </w:tcMar>
            <w:vAlign w:val="bottom"/>
          </w:tcPr>
          <w:p w14:paraId="5F2CE12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123" w14:textId="77777777" w:rsidR="00E836FB" w:rsidRDefault="00994958">
            <w:pPr>
              <w:jc w:val="center"/>
              <w:textAlignment w:val="bottom"/>
            </w:pPr>
            <w:r>
              <w:rPr>
                <w:rFonts w:ascii="Arial" w:eastAsia="宋体" w:hAnsi="Arial" w:cs="Arial"/>
                <w:b/>
                <w:bCs/>
                <w:color w:val="000000"/>
                <w:sz w:val="14"/>
                <w:szCs w:val="14"/>
              </w:rPr>
              <w:t>Basel III Standardized Approach December, 31, 2021</w:t>
            </w:r>
          </w:p>
        </w:tc>
        <w:tc>
          <w:tcPr>
            <w:tcW w:w="0" w:type="auto"/>
            <w:gridSpan w:val="3"/>
            <w:shd w:val="clear" w:color="auto" w:fill="auto"/>
            <w:tcMar>
              <w:top w:w="0" w:type="dxa"/>
              <w:left w:w="20" w:type="dxa"/>
              <w:bottom w:w="0" w:type="dxa"/>
              <w:right w:w="20" w:type="dxa"/>
            </w:tcMar>
            <w:vAlign w:val="bottom"/>
          </w:tcPr>
          <w:p w14:paraId="5F2CE12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125" w14:textId="77777777" w:rsidR="00E836FB" w:rsidRDefault="00994958">
            <w:pPr>
              <w:jc w:val="center"/>
              <w:textAlignment w:val="bottom"/>
            </w:pPr>
            <w:r>
              <w:rPr>
                <w:rFonts w:ascii="Arial" w:eastAsia="宋体" w:hAnsi="Arial" w:cs="Arial"/>
                <w:b/>
                <w:bCs/>
                <w:color w:val="000000"/>
                <w:sz w:val="14"/>
                <w:szCs w:val="14"/>
              </w:rPr>
              <w:t>Basel III Advanced Approaches December 31, 2020</w:t>
            </w:r>
          </w:p>
        </w:tc>
        <w:tc>
          <w:tcPr>
            <w:tcW w:w="0" w:type="auto"/>
            <w:gridSpan w:val="3"/>
            <w:shd w:val="clear" w:color="auto" w:fill="auto"/>
            <w:tcMar>
              <w:top w:w="0" w:type="dxa"/>
              <w:left w:w="20" w:type="dxa"/>
              <w:bottom w:w="0" w:type="dxa"/>
              <w:right w:w="20" w:type="dxa"/>
            </w:tcMar>
            <w:vAlign w:val="bottom"/>
          </w:tcPr>
          <w:p w14:paraId="5F2CE12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127" w14:textId="77777777" w:rsidR="00E836FB" w:rsidRDefault="00994958">
            <w:pPr>
              <w:jc w:val="center"/>
              <w:textAlignment w:val="bottom"/>
            </w:pPr>
            <w:r>
              <w:rPr>
                <w:rFonts w:ascii="Arial" w:eastAsia="宋体" w:hAnsi="Arial" w:cs="Arial"/>
                <w:b/>
                <w:bCs/>
                <w:color w:val="000000"/>
                <w:sz w:val="14"/>
                <w:szCs w:val="14"/>
              </w:rPr>
              <w:t>Basel III Standardized Approach December 31, 2020</w:t>
            </w:r>
          </w:p>
        </w:tc>
      </w:tr>
      <w:tr w:rsidR="00E836FB" w14:paraId="5F2CE131" w14:textId="77777777">
        <w:tc>
          <w:tcPr>
            <w:tcW w:w="0" w:type="auto"/>
            <w:gridSpan w:val="3"/>
            <w:shd w:val="clear" w:color="auto" w:fill="auto"/>
            <w:tcMar>
              <w:top w:w="40" w:type="dxa"/>
              <w:left w:w="20" w:type="dxa"/>
              <w:bottom w:w="40" w:type="dxa"/>
              <w:right w:w="20" w:type="dxa"/>
            </w:tcMar>
            <w:vAlign w:val="bottom"/>
          </w:tcPr>
          <w:p w14:paraId="5F2CE129" w14:textId="77777777" w:rsidR="00E836FB" w:rsidRDefault="00994958">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12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12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1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12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12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12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130" w14:textId="77777777" w:rsidR="00E836FB" w:rsidRDefault="00E836FB">
            <w:pPr>
              <w:rPr>
                <w:rFonts w:ascii="宋体"/>
              </w:rPr>
            </w:pPr>
          </w:p>
        </w:tc>
      </w:tr>
      <w:tr w:rsidR="00E836FB" w14:paraId="5F2CE142" w14:textId="77777777">
        <w:tc>
          <w:tcPr>
            <w:tcW w:w="0" w:type="auto"/>
            <w:gridSpan w:val="3"/>
            <w:shd w:val="clear" w:color="auto" w:fill="CCEEFF"/>
            <w:tcMar>
              <w:top w:w="40" w:type="dxa"/>
              <w:left w:w="20" w:type="dxa"/>
              <w:bottom w:w="40" w:type="dxa"/>
              <w:right w:w="20" w:type="dxa"/>
            </w:tcMar>
            <w:vAlign w:val="bottom"/>
          </w:tcPr>
          <w:p w14:paraId="5F2CE132" w14:textId="77777777" w:rsidR="00E836FB" w:rsidRDefault="00994958">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5F2CE133"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E134" w14:textId="77777777" w:rsidR="00E836FB" w:rsidRDefault="00994958">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3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137"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CE138" w14:textId="77777777" w:rsidR="00E836FB" w:rsidRDefault="00994958">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3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3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13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E13C" w14:textId="77777777" w:rsidR="00E836FB" w:rsidRDefault="00994958">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5F2CE1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3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13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CE140" w14:textId="77777777" w:rsidR="00E836FB" w:rsidRDefault="00994958">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5F2CE141" w14:textId="77777777" w:rsidR="00E836FB" w:rsidRDefault="00E836FB">
            <w:pPr>
              <w:jc w:val="right"/>
              <w:rPr>
                <w:rFonts w:ascii="宋体"/>
              </w:rPr>
            </w:pPr>
          </w:p>
        </w:tc>
      </w:tr>
      <w:tr w:rsidR="00E836FB" w14:paraId="5F2CE14F" w14:textId="77777777">
        <w:tc>
          <w:tcPr>
            <w:tcW w:w="0" w:type="auto"/>
            <w:gridSpan w:val="3"/>
            <w:shd w:val="clear" w:color="auto" w:fill="FFFFFF"/>
            <w:tcMar>
              <w:top w:w="40" w:type="dxa"/>
              <w:left w:w="155" w:type="dxa"/>
              <w:bottom w:w="40" w:type="dxa"/>
              <w:right w:w="20" w:type="dxa"/>
            </w:tcMar>
            <w:vAlign w:val="bottom"/>
          </w:tcPr>
          <w:p w14:paraId="5F2CE143" w14:textId="77777777" w:rsidR="00E836FB" w:rsidRDefault="00994958">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5F2CE144" w14:textId="77777777" w:rsidR="00E836FB" w:rsidRDefault="00994958">
            <w:pPr>
              <w:jc w:val="right"/>
              <w:textAlignment w:val="bottom"/>
            </w:pPr>
            <w:r>
              <w:rPr>
                <w:rFonts w:ascii="Arial" w:eastAsia="宋体" w:hAnsi="Arial" w:cs="Arial"/>
                <w:b/>
                <w:bCs/>
                <w:color w:val="000000"/>
                <w:sz w:val="14"/>
                <w:szCs w:val="14"/>
              </w:rPr>
              <w:t>2,693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1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4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47" w14:textId="77777777" w:rsidR="00E836FB" w:rsidRDefault="00994958">
            <w:pPr>
              <w:jc w:val="right"/>
              <w:textAlignment w:val="bottom"/>
            </w:pPr>
            <w:r>
              <w:rPr>
                <w:rFonts w:ascii="Arial" w:eastAsia="宋体" w:hAnsi="Arial" w:cs="Arial"/>
                <w:b/>
                <w:bCs/>
                <w:color w:val="000000"/>
                <w:sz w:val="14"/>
                <w:szCs w:val="14"/>
              </w:rPr>
              <w:t>2,693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14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4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4A" w14:textId="77777777" w:rsidR="00E836FB" w:rsidRDefault="00994958">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5F2CE1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4D" w14:textId="77777777" w:rsidR="00E836FB" w:rsidRDefault="00994958">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5F2CE14E" w14:textId="77777777" w:rsidR="00E836FB" w:rsidRDefault="00E836FB">
            <w:pPr>
              <w:jc w:val="right"/>
              <w:rPr>
                <w:rFonts w:ascii="宋体"/>
              </w:rPr>
            </w:pPr>
          </w:p>
        </w:tc>
      </w:tr>
      <w:tr w:rsidR="00E836FB" w14:paraId="5F2CE15C" w14:textId="77777777">
        <w:tc>
          <w:tcPr>
            <w:tcW w:w="0" w:type="auto"/>
            <w:gridSpan w:val="3"/>
            <w:shd w:val="clear" w:color="auto" w:fill="CCEEFF"/>
            <w:tcMar>
              <w:top w:w="40" w:type="dxa"/>
              <w:left w:w="155" w:type="dxa"/>
              <w:bottom w:w="40" w:type="dxa"/>
              <w:right w:w="20" w:type="dxa"/>
            </w:tcMar>
            <w:vAlign w:val="bottom"/>
          </w:tcPr>
          <w:p w14:paraId="5F2CE150" w14:textId="77777777" w:rsidR="00E836FB" w:rsidRDefault="00994958">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5F2CE151" w14:textId="77777777" w:rsidR="00E836FB" w:rsidRDefault="00994958">
            <w:pPr>
              <w:jc w:val="right"/>
              <w:textAlignment w:val="bottom"/>
            </w:pPr>
            <w:r>
              <w:rPr>
                <w:rFonts w:ascii="Arial" w:eastAsia="宋体" w:hAnsi="Arial" w:cs="Arial"/>
                <w:b/>
                <w:bCs/>
                <w:color w:val="000000"/>
                <w:sz w:val="14"/>
                <w:szCs w:val="14"/>
              </w:rPr>
              <w:t>600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54" w14:textId="77777777" w:rsidR="00E836FB" w:rsidRDefault="00994958">
            <w:pPr>
              <w:jc w:val="right"/>
              <w:textAlignment w:val="bottom"/>
            </w:pPr>
            <w:r>
              <w:rPr>
                <w:rFonts w:ascii="Arial" w:eastAsia="宋体" w:hAnsi="Arial" w:cs="Arial"/>
                <w:b/>
                <w:bCs/>
                <w:color w:val="000000"/>
                <w:sz w:val="14"/>
                <w:szCs w:val="14"/>
              </w:rPr>
              <w:t>600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57" w14:textId="77777777" w:rsidR="00E836FB" w:rsidRDefault="00994958">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5F2CE1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5A" w14:textId="77777777" w:rsidR="00E836FB" w:rsidRDefault="00994958">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5F2CE15B" w14:textId="77777777" w:rsidR="00E836FB" w:rsidRDefault="00E836FB">
            <w:pPr>
              <w:jc w:val="right"/>
              <w:rPr>
                <w:rFonts w:ascii="宋体"/>
              </w:rPr>
            </w:pPr>
          </w:p>
        </w:tc>
      </w:tr>
      <w:tr w:rsidR="00E836FB" w14:paraId="5F2CE169" w14:textId="77777777">
        <w:tc>
          <w:tcPr>
            <w:tcW w:w="0" w:type="auto"/>
            <w:gridSpan w:val="3"/>
            <w:shd w:val="clear" w:color="auto" w:fill="FFFFFF"/>
            <w:tcMar>
              <w:top w:w="40" w:type="dxa"/>
              <w:left w:w="155" w:type="dxa"/>
              <w:bottom w:w="40" w:type="dxa"/>
              <w:right w:w="20" w:type="dxa"/>
            </w:tcMar>
            <w:vAlign w:val="bottom"/>
          </w:tcPr>
          <w:p w14:paraId="5F2CE15D" w14:textId="77777777" w:rsidR="00E836FB" w:rsidRDefault="00994958">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5F2CE15E" w14:textId="77777777" w:rsidR="00E836FB" w:rsidRDefault="00994958">
            <w:pPr>
              <w:jc w:val="right"/>
              <w:textAlignment w:val="bottom"/>
            </w:pPr>
            <w:r>
              <w:rPr>
                <w:rFonts w:ascii="Arial" w:eastAsia="宋体" w:hAnsi="Arial" w:cs="Arial"/>
                <w:b/>
                <w:bCs/>
                <w:color w:val="000000"/>
                <w:sz w:val="14"/>
                <w:szCs w:val="14"/>
              </w:rPr>
              <w:t>(897)</w:t>
            </w:r>
          </w:p>
        </w:tc>
        <w:tc>
          <w:tcPr>
            <w:tcW w:w="0" w:type="auto"/>
            <w:shd w:val="clear" w:color="auto" w:fill="FFFFFF"/>
            <w:tcMar>
              <w:top w:w="40" w:type="dxa"/>
              <w:left w:w="0" w:type="dxa"/>
              <w:bottom w:w="40" w:type="dxa"/>
              <w:right w:w="20" w:type="dxa"/>
            </w:tcMar>
            <w:vAlign w:val="bottom"/>
          </w:tcPr>
          <w:p w14:paraId="5F2CE1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61" w14:textId="77777777" w:rsidR="00E836FB" w:rsidRDefault="00994958">
            <w:pPr>
              <w:jc w:val="right"/>
              <w:textAlignment w:val="bottom"/>
            </w:pPr>
            <w:r>
              <w:rPr>
                <w:rFonts w:ascii="Arial" w:eastAsia="宋体" w:hAnsi="Arial" w:cs="Arial"/>
                <w:b/>
                <w:bCs/>
                <w:color w:val="000000"/>
                <w:sz w:val="14"/>
                <w:szCs w:val="14"/>
              </w:rPr>
              <w:t>(897)</w:t>
            </w:r>
          </w:p>
        </w:tc>
        <w:tc>
          <w:tcPr>
            <w:tcW w:w="0" w:type="auto"/>
            <w:shd w:val="clear" w:color="auto" w:fill="FFFFFF"/>
            <w:tcMar>
              <w:top w:w="40" w:type="dxa"/>
              <w:left w:w="0" w:type="dxa"/>
              <w:bottom w:w="40" w:type="dxa"/>
              <w:right w:w="20" w:type="dxa"/>
            </w:tcMar>
            <w:vAlign w:val="bottom"/>
          </w:tcPr>
          <w:p w14:paraId="5F2CE1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64" w14:textId="77777777" w:rsidR="00E836FB" w:rsidRDefault="00994958">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5F2CE1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67" w14:textId="77777777" w:rsidR="00E836FB" w:rsidRDefault="00994958">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5F2CE168" w14:textId="77777777" w:rsidR="00E836FB" w:rsidRDefault="00E836FB">
            <w:pPr>
              <w:jc w:val="right"/>
              <w:rPr>
                <w:rFonts w:ascii="宋体"/>
              </w:rPr>
            </w:pPr>
          </w:p>
        </w:tc>
      </w:tr>
      <w:tr w:rsidR="00E836FB" w14:paraId="5F2CE176" w14:textId="77777777">
        <w:tc>
          <w:tcPr>
            <w:tcW w:w="0" w:type="auto"/>
            <w:gridSpan w:val="3"/>
            <w:shd w:val="clear" w:color="auto" w:fill="CCEEFF"/>
            <w:tcMar>
              <w:top w:w="40" w:type="dxa"/>
              <w:left w:w="155" w:type="dxa"/>
              <w:bottom w:w="40" w:type="dxa"/>
              <w:right w:w="20" w:type="dxa"/>
            </w:tcMar>
            <w:vAlign w:val="bottom"/>
          </w:tcPr>
          <w:p w14:paraId="5F2CE16A" w14:textId="77777777" w:rsidR="00E836FB" w:rsidRDefault="00994958">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5F2CE16B" w14:textId="77777777" w:rsidR="00E836FB" w:rsidRDefault="00994958">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6E" w14:textId="77777777" w:rsidR="00E836FB" w:rsidRDefault="00994958">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71"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F2CE1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74"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F2CE175" w14:textId="77777777" w:rsidR="00E836FB" w:rsidRDefault="00E836FB">
            <w:pPr>
              <w:jc w:val="right"/>
              <w:rPr>
                <w:rFonts w:ascii="宋体"/>
              </w:rPr>
            </w:pPr>
          </w:p>
        </w:tc>
      </w:tr>
      <w:tr w:rsidR="00E836FB" w14:paraId="5F2CE183" w14:textId="77777777">
        <w:tc>
          <w:tcPr>
            <w:tcW w:w="0" w:type="auto"/>
            <w:gridSpan w:val="3"/>
            <w:shd w:val="clear" w:color="auto" w:fill="FFFFFF"/>
            <w:tcMar>
              <w:top w:w="40" w:type="dxa"/>
              <w:left w:w="155" w:type="dxa"/>
              <w:bottom w:w="40" w:type="dxa"/>
              <w:right w:w="20" w:type="dxa"/>
            </w:tcMar>
            <w:vAlign w:val="bottom"/>
          </w:tcPr>
          <w:p w14:paraId="5F2CE177" w14:textId="77777777" w:rsidR="00E836FB" w:rsidRDefault="00994958">
            <w:pPr>
              <w:textAlignment w:val="bottom"/>
            </w:pPr>
            <w:r>
              <w:rPr>
                <w:rFonts w:ascii="Arial" w:eastAsia="宋体" w:hAnsi="Arial" w:cs="Arial"/>
                <w:color w:val="000000"/>
                <w:sz w:val="14"/>
                <w:szCs w:val="14"/>
              </w:rPr>
              <w:t>Effect of certain items in accumulated other comprehensive income (loss)</w:t>
            </w:r>
          </w:p>
        </w:tc>
        <w:tc>
          <w:tcPr>
            <w:tcW w:w="0" w:type="auto"/>
            <w:gridSpan w:val="2"/>
            <w:shd w:val="clear" w:color="auto" w:fill="FFFFFF"/>
            <w:tcMar>
              <w:top w:w="40" w:type="dxa"/>
              <w:left w:w="20" w:type="dxa"/>
              <w:bottom w:w="40" w:type="dxa"/>
              <w:right w:w="0" w:type="dxa"/>
            </w:tcMar>
            <w:vAlign w:val="bottom"/>
          </w:tcPr>
          <w:p w14:paraId="5F2CE178" w14:textId="77777777" w:rsidR="00E836FB" w:rsidRDefault="00994958">
            <w:pPr>
              <w:jc w:val="right"/>
              <w:textAlignment w:val="bottom"/>
            </w:pPr>
            <w:r>
              <w:rPr>
                <w:rFonts w:ascii="Arial" w:eastAsia="宋体" w:hAnsi="Arial" w:cs="Arial"/>
                <w:b/>
                <w:bCs/>
                <w:color w:val="000000"/>
                <w:sz w:val="14"/>
                <w:szCs w:val="14"/>
              </w:rPr>
              <w:t>(1,320)</w:t>
            </w:r>
          </w:p>
        </w:tc>
        <w:tc>
          <w:tcPr>
            <w:tcW w:w="0" w:type="auto"/>
            <w:shd w:val="clear" w:color="auto" w:fill="FFFFFF"/>
            <w:tcMar>
              <w:top w:w="40" w:type="dxa"/>
              <w:left w:w="0" w:type="dxa"/>
              <w:bottom w:w="40" w:type="dxa"/>
              <w:right w:w="20" w:type="dxa"/>
            </w:tcMar>
            <w:vAlign w:val="bottom"/>
          </w:tcPr>
          <w:p w14:paraId="5F2CE1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7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7B" w14:textId="77777777" w:rsidR="00E836FB" w:rsidRDefault="00994958">
            <w:pPr>
              <w:jc w:val="right"/>
              <w:textAlignment w:val="bottom"/>
            </w:pPr>
            <w:r>
              <w:rPr>
                <w:rFonts w:ascii="Arial" w:eastAsia="宋体" w:hAnsi="Arial" w:cs="Arial"/>
                <w:b/>
                <w:bCs/>
                <w:color w:val="000000"/>
                <w:sz w:val="14"/>
                <w:szCs w:val="14"/>
              </w:rPr>
              <w:t>(1,320)</w:t>
            </w:r>
          </w:p>
        </w:tc>
        <w:tc>
          <w:tcPr>
            <w:tcW w:w="0" w:type="auto"/>
            <w:shd w:val="clear" w:color="auto" w:fill="FFFFFF"/>
            <w:tcMar>
              <w:top w:w="40" w:type="dxa"/>
              <w:left w:w="0" w:type="dxa"/>
              <w:bottom w:w="40" w:type="dxa"/>
              <w:right w:w="20" w:type="dxa"/>
            </w:tcMar>
            <w:vAlign w:val="bottom"/>
          </w:tcPr>
          <w:p w14:paraId="5F2CE17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7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7E" w14:textId="77777777" w:rsidR="00E836FB" w:rsidRDefault="00994958">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5F2CE1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8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81" w14:textId="77777777" w:rsidR="00E836FB" w:rsidRDefault="00994958">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5F2CE182" w14:textId="77777777" w:rsidR="00E836FB" w:rsidRDefault="00E836FB">
            <w:pPr>
              <w:jc w:val="right"/>
              <w:rPr>
                <w:rFonts w:ascii="宋体"/>
              </w:rPr>
            </w:pPr>
          </w:p>
        </w:tc>
      </w:tr>
      <w:tr w:rsidR="00E836FB" w14:paraId="5F2CE190" w14:textId="77777777">
        <w:tc>
          <w:tcPr>
            <w:tcW w:w="0" w:type="auto"/>
            <w:gridSpan w:val="3"/>
            <w:shd w:val="clear" w:color="auto" w:fill="CCEEFF"/>
            <w:tcMar>
              <w:top w:w="40" w:type="dxa"/>
              <w:left w:w="155" w:type="dxa"/>
              <w:bottom w:w="40" w:type="dxa"/>
              <w:right w:w="20" w:type="dxa"/>
            </w:tcMar>
            <w:vAlign w:val="bottom"/>
          </w:tcPr>
          <w:p w14:paraId="5F2CE184" w14:textId="77777777" w:rsidR="00E836FB" w:rsidRDefault="00994958">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5F2CE185" w14:textId="77777777" w:rsidR="00E836FB" w:rsidRDefault="00994958">
            <w:pPr>
              <w:jc w:val="right"/>
              <w:textAlignment w:val="bottom"/>
            </w:pPr>
            <w:r>
              <w:rPr>
                <w:rFonts w:ascii="Arial" w:eastAsia="宋体" w:hAnsi="Arial" w:cs="Arial"/>
                <w:b/>
                <w:bCs/>
                <w:color w:val="000000"/>
                <w:sz w:val="14"/>
                <w:szCs w:val="14"/>
              </w:rPr>
              <w:t>410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8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88" w14:textId="77777777" w:rsidR="00E836FB" w:rsidRDefault="00994958">
            <w:pPr>
              <w:jc w:val="right"/>
              <w:textAlignment w:val="bottom"/>
            </w:pPr>
            <w:r>
              <w:rPr>
                <w:rFonts w:ascii="Arial" w:eastAsia="宋体" w:hAnsi="Arial" w:cs="Arial"/>
                <w:b/>
                <w:bCs/>
                <w:color w:val="000000"/>
                <w:sz w:val="14"/>
                <w:szCs w:val="14"/>
              </w:rPr>
              <w:t>410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8B" w14:textId="77777777" w:rsidR="00E836FB" w:rsidRDefault="00994958">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5F2CE1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8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8E" w14:textId="77777777" w:rsidR="00E836FB" w:rsidRDefault="00994958">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5F2CE18F" w14:textId="77777777" w:rsidR="00E836FB" w:rsidRDefault="00E836FB">
            <w:pPr>
              <w:jc w:val="right"/>
              <w:rPr>
                <w:rFonts w:ascii="宋体"/>
              </w:rPr>
            </w:pPr>
          </w:p>
        </w:tc>
      </w:tr>
      <w:tr w:rsidR="00E836FB" w14:paraId="5F2CE19D" w14:textId="77777777">
        <w:tc>
          <w:tcPr>
            <w:tcW w:w="0" w:type="auto"/>
            <w:gridSpan w:val="3"/>
            <w:shd w:val="clear" w:color="auto" w:fill="FFFFFF"/>
            <w:tcMar>
              <w:top w:w="40" w:type="dxa"/>
              <w:left w:w="20" w:type="dxa"/>
              <w:bottom w:w="40" w:type="dxa"/>
              <w:right w:w="20" w:type="dxa"/>
            </w:tcMar>
            <w:vAlign w:val="bottom"/>
          </w:tcPr>
          <w:p w14:paraId="5F2CE191" w14:textId="77777777" w:rsidR="00E836FB" w:rsidRDefault="00994958">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92" w14:textId="77777777" w:rsidR="00E836FB" w:rsidRDefault="00994958">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9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9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95" w14:textId="77777777" w:rsidR="00E836FB" w:rsidRDefault="00994958">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9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98" w14:textId="77777777" w:rsidR="00E836FB" w:rsidRDefault="00994958">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9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9B" w14:textId="77777777" w:rsidR="00E836FB" w:rsidRDefault="00994958">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9C" w14:textId="77777777" w:rsidR="00E836FB" w:rsidRDefault="00E836FB">
            <w:pPr>
              <w:jc w:val="right"/>
              <w:rPr>
                <w:rFonts w:ascii="宋体"/>
              </w:rPr>
            </w:pPr>
          </w:p>
        </w:tc>
      </w:tr>
      <w:tr w:rsidR="00E836FB" w14:paraId="5F2CE1AA" w14:textId="77777777">
        <w:tc>
          <w:tcPr>
            <w:tcW w:w="0" w:type="auto"/>
            <w:gridSpan w:val="3"/>
            <w:shd w:val="clear" w:color="auto" w:fill="CCEEFF"/>
            <w:tcMar>
              <w:top w:w="40" w:type="dxa"/>
              <w:left w:w="20" w:type="dxa"/>
              <w:bottom w:w="40" w:type="dxa"/>
              <w:right w:w="20" w:type="dxa"/>
            </w:tcMar>
            <w:vAlign w:val="bottom"/>
          </w:tcPr>
          <w:p w14:paraId="5F2CE19E" w14:textId="77777777" w:rsidR="00E836FB" w:rsidRDefault="00994958">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19F" w14:textId="77777777" w:rsidR="00E836FB" w:rsidRDefault="00994958">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1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A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1A2" w14:textId="77777777" w:rsidR="00E836FB" w:rsidRDefault="00994958">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1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A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1A5" w14:textId="77777777" w:rsidR="00E836FB" w:rsidRDefault="00994958">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1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A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1A8" w14:textId="77777777" w:rsidR="00E836FB" w:rsidRDefault="00994958">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1A9" w14:textId="77777777" w:rsidR="00E836FB" w:rsidRDefault="00E836FB">
            <w:pPr>
              <w:jc w:val="right"/>
              <w:rPr>
                <w:rFonts w:ascii="宋体"/>
              </w:rPr>
            </w:pPr>
          </w:p>
        </w:tc>
      </w:tr>
      <w:tr w:rsidR="00E836FB" w14:paraId="5F2CE1B3" w14:textId="77777777">
        <w:tc>
          <w:tcPr>
            <w:tcW w:w="0" w:type="auto"/>
            <w:gridSpan w:val="3"/>
            <w:shd w:val="clear" w:color="auto" w:fill="FFFFFF"/>
            <w:tcMar>
              <w:top w:w="40" w:type="dxa"/>
              <w:left w:w="20" w:type="dxa"/>
              <w:bottom w:w="40" w:type="dxa"/>
              <w:right w:w="20" w:type="dxa"/>
            </w:tcMar>
            <w:vAlign w:val="bottom"/>
          </w:tcPr>
          <w:p w14:paraId="5F2CE1AB" w14:textId="77777777" w:rsidR="00E836FB" w:rsidRDefault="00994958">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1A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1A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1A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1AF"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1B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1B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1B2" w14:textId="77777777" w:rsidR="00E836FB" w:rsidRDefault="00E836FB">
            <w:pPr>
              <w:rPr>
                <w:rFonts w:ascii="宋体"/>
              </w:rPr>
            </w:pPr>
          </w:p>
        </w:tc>
      </w:tr>
      <w:tr w:rsidR="00E836FB" w14:paraId="5F2CE1C0" w14:textId="77777777">
        <w:tc>
          <w:tcPr>
            <w:tcW w:w="0" w:type="auto"/>
            <w:gridSpan w:val="3"/>
            <w:shd w:val="clear" w:color="auto" w:fill="CCEEFF"/>
            <w:tcMar>
              <w:top w:w="40" w:type="dxa"/>
              <w:left w:w="20" w:type="dxa"/>
              <w:bottom w:w="40" w:type="dxa"/>
              <w:right w:w="20" w:type="dxa"/>
            </w:tcMar>
            <w:vAlign w:val="bottom"/>
          </w:tcPr>
          <w:p w14:paraId="5F2CE1B4" w14:textId="77777777" w:rsidR="00E836FB" w:rsidRDefault="00994958">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5F2CE1B5" w14:textId="77777777" w:rsidR="00E836FB" w:rsidRDefault="00994958">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B8" w14:textId="77777777" w:rsidR="00E836FB" w:rsidRDefault="00994958">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1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B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BB" w14:textId="77777777" w:rsidR="00E836FB" w:rsidRDefault="00994958">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5F2CE1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BE" w14:textId="77777777" w:rsidR="00E836FB" w:rsidRDefault="00994958">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5F2CE1BF" w14:textId="77777777" w:rsidR="00E836FB" w:rsidRDefault="00E836FB">
            <w:pPr>
              <w:jc w:val="right"/>
              <w:rPr>
                <w:rFonts w:ascii="宋体"/>
              </w:rPr>
            </w:pPr>
          </w:p>
        </w:tc>
      </w:tr>
      <w:tr w:rsidR="00E836FB" w14:paraId="5F2CE1CD" w14:textId="77777777">
        <w:tc>
          <w:tcPr>
            <w:tcW w:w="0" w:type="auto"/>
            <w:gridSpan w:val="3"/>
            <w:shd w:val="clear" w:color="auto" w:fill="FFFFFF"/>
            <w:tcMar>
              <w:top w:w="40" w:type="dxa"/>
              <w:left w:w="155" w:type="dxa"/>
              <w:bottom w:w="40" w:type="dxa"/>
              <w:right w:w="20" w:type="dxa"/>
            </w:tcMar>
            <w:vAlign w:val="bottom"/>
          </w:tcPr>
          <w:p w14:paraId="5F2CE1C1" w14:textId="77777777" w:rsidR="00E836FB" w:rsidRDefault="00994958">
            <w:pPr>
              <w:textAlignment w:val="bottom"/>
            </w:pPr>
            <w:r>
              <w:rPr>
                <w:rFonts w:ascii="Arial" w:eastAsia="宋体" w:hAnsi="Arial" w:cs="Arial"/>
                <w:color w:val="000000"/>
                <w:sz w:val="14"/>
                <w:szCs w:val="14"/>
              </w:rPr>
              <w:t>Changes in common equity tier 1 capital</w:t>
            </w:r>
          </w:p>
        </w:tc>
        <w:tc>
          <w:tcPr>
            <w:tcW w:w="0" w:type="auto"/>
            <w:gridSpan w:val="2"/>
            <w:shd w:val="clear" w:color="auto" w:fill="FFFFFF"/>
            <w:tcMar>
              <w:top w:w="40" w:type="dxa"/>
              <w:left w:w="20" w:type="dxa"/>
              <w:bottom w:w="40" w:type="dxa"/>
              <w:right w:w="0" w:type="dxa"/>
            </w:tcMar>
            <w:vAlign w:val="bottom"/>
          </w:tcPr>
          <w:p w14:paraId="5F2CE1C2" w14:textId="77777777" w:rsidR="00E836FB" w:rsidRDefault="00994958">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1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C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C5" w14:textId="77777777" w:rsidR="00E836FB" w:rsidRDefault="00994958">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1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C8" w14:textId="77777777" w:rsidR="00E836FB" w:rsidRDefault="00994958">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5F2CE1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C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1CB" w14:textId="77777777" w:rsidR="00E836FB" w:rsidRDefault="00994958">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5F2CE1CC" w14:textId="77777777" w:rsidR="00E836FB" w:rsidRDefault="00E836FB">
            <w:pPr>
              <w:jc w:val="right"/>
              <w:rPr>
                <w:rFonts w:ascii="宋体"/>
              </w:rPr>
            </w:pPr>
          </w:p>
        </w:tc>
      </w:tr>
      <w:tr w:rsidR="00E836FB" w14:paraId="5F2CE1DA" w14:textId="77777777">
        <w:tc>
          <w:tcPr>
            <w:tcW w:w="0" w:type="auto"/>
            <w:gridSpan w:val="3"/>
            <w:shd w:val="clear" w:color="auto" w:fill="CCEEFF"/>
            <w:tcMar>
              <w:top w:w="40" w:type="dxa"/>
              <w:left w:w="155" w:type="dxa"/>
              <w:bottom w:w="40" w:type="dxa"/>
              <w:right w:w="20" w:type="dxa"/>
            </w:tcMar>
            <w:vAlign w:val="bottom"/>
          </w:tcPr>
          <w:p w14:paraId="5F2CE1CE" w14:textId="77777777" w:rsidR="00E836FB" w:rsidRDefault="00994958">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5F2CE1CF" w14:textId="77777777" w:rsidR="00E836FB" w:rsidRDefault="00994958">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5F2CE1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D2" w14:textId="77777777" w:rsidR="00E836FB" w:rsidRDefault="00994958">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5F2CE1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D5" w14:textId="77777777" w:rsidR="00E836FB" w:rsidRDefault="00994958">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5F2CE1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D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1D8" w14:textId="77777777" w:rsidR="00E836FB" w:rsidRDefault="00994958">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5F2CE1D9" w14:textId="77777777" w:rsidR="00E836FB" w:rsidRDefault="00E836FB">
            <w:pPr>
              <w:jc w:val="right"/>
              <w:rPr>
                <w:rFonts w:ascii="宋体"/>
              </w:rPr>
            </w:pPr>
          </w:p>
        </w:tc>
      </w:tr>
      <w:tr w:rsidR="00E836FB" w14:paraId="5F2CE1E3" w14:textId="77777777">
        <w:trPr>
          <w:hidden/>
        </w:trPr>
        <w:tc>
          <w:tcPr>
            <w:tcW w:w="0" w:type="auto"/>
            <w:gridSpan w:val="3"/>
            <w:shd w:val="clear" w:color="auto" w:fill="auto"/>
            <w:vAlign w:val="bottom"/>
          </w:tcPr>
          <w:p w14:paraId="5F2CE1DB" w14:textId="77777777" w:rsidR="00E836FB" w:rsidRDefault="00E836FB">
            <w:pPr>
              <w:rPr>
                <w:rFonts w:ascii="宋体"/>
                <w:vanish/>
              </w:rPr>
            </w:pPr>
          </w:p>
        </w:tc>
        <w:tc>
          <w:tcPr>
            <w:tcW w:w="0" w:type="auto"/>
            <w:gridSpan w:val="3"/>
            <w:shd w:val="clear" w:color="auto" w:fill="auto"/>
            <w:vAlign w:val="bottom"/>
          </w:tcPr>
          <w:p w14:paraId="5F2CE1DC" w14:textId="77777777" w:rsidR="00E836FB" w:rsidRDefault="00E836FB">
            <w:pPr>
              <w:rPr>
                <w:rFonts w:ascii="宋体"/>
                <w:vanish/>
              </w:rPr>
            </w:pPr>
          </w:p>
        </w:tc>
        <w:tc>
          <w:tcPr>
            <w:tcW w:w="0" w:type="auto"/>
            <w:gridSpan w:val="3"/>
            <w:shd w:val="clear" w:color="auto" w:fill="auto"/>
            <w:vAlign w:val="bottom"/>
          </w:tcPr>
          <w:p w14:paraId="5F2CE1DD" w14:textId="77777777" w:rsidR="00E836FB" w:rsidRDefault="00E836FB">
            <w:pPr>
              <w:rPr>
                <w:rFonts w:ascii="宋体"/>
                <w:vanish/>
              </w:rPr>
            </w:pPr>
          </w:p>
        </w:tc>
        <w:tc>
          <w:tcPr>
            <w:tcW w:w="0" w:type="auto"/>
            <w:gridSpan w:val="3"/>
            <w:shd w:val="clear" w:color="auto" w:fill="auto"/>
            <w:vAlign w:val="bottom"/>
          </w:tcPr>
          <w:p w14:paraId="5F2CE1DE" w14:textId="77777777" w:rsidR="00E836FB" w:rsidRDefault="00E836FB">
            <w:pPr>
              <w:rPr>
                <w:rFonts w:ascii="宋体"/>
                <w:vanish/>
              </w:rPr>
            </w:pPr>
          </w:p>
        </w:tc>
        <w:tc>
          <w:tcPr>
            <w:tcW w:w="0" w:type="auto"/>
            <w:gridSpan w:val="3"/>
            <w:shd w:val="clear" w:color="auto" w:fill="auto"/>
            <w:vAlign w:val="bottom"/>
          </w:tcPr>
          <w:p w14:paraId="5F2CE1DF" w14:textId="77777777" w:rsidR="00E836FB" w:rsidRDefault="00E836FB">
            <w:pPr>
              <w:rPr>
                <w:rFonts w:ascii="宋体"/>
                <w:vanish/>
              </w:rPr>
            </w:pPr>
          </w:p>
        </w:tc>
        <w:tc>
          <w:tcPr>
            <w:tcW w:w="0" w:type="auto"/>
            <w:gridSpan w:val="3"/>
            <w:shd w:val="clear" w:color="auto" w:fill="auto"/>
            <w:vAlign w:val="bottom"/>
          </w:tcPr>
          <w:p w14:paraId="5F2CE1E0" w14:textId="77777777" w:rsidR="00E836FB" w:rsidRDefault="00E836FB">
            <w:pPr>
              <w:rPr>
                <w:rFonts w:ascii="宋体"/>
                <w:vanish/>
              </w:rPr>
            </w:pPr>
          </w:p>
        </w:tc>
        <w:tc>
          <w:tcPr>
            <w:tcW w:w="0" w:type="auto"/>
            <w:gridSpan w:val="3"/>
            <w:shd w:val="clear" w:color="auto" w:fill="auto"/>
            <w:vAlign w:val="bottom"/>
          </w:tcPr>
          <w:p w14:paraId="5F2CE1E1" w14:textId="77777777" w:rsidR="00E836FB" w:rsidRDefault="00E836FB">
            <w:pPr>
              <w:rPr>
                <w:rFonts w:ascii="宋体"/>
                <w:vanish/>
              </w:rPr>
            </w:pPr>
          </w:p>
        </w:tc>
        <w:tc>
          <w:tcPr>
            <w:tcW w:w="0" w:type="auto"/>
            <w:gridSpan w:val="3"/>
            <w:shd w:val="clear" w:color="auto" w:fill="auto"/>
            <w:vAlign w:val="bottom"/>
          </w:tcPr>
          <w:p w14:paraId="5F2CE1E2" w14:textId="77777777" w:rsidR="00E836FB" w:rsidRDefault="00E836FB">
            <w:pPr>
              <w:rPr>
                <w:rFonts w:ascii="宋体"/>
                <w:vanish/>
              </w:rPr>
            </w:pPr>
          </w:p>
        </w:tc>
      </w:tr>
      <w:tr w:rsidR="00E836FB" w14:paraId="5F2CE1EC" w14:textId="77777777">
        <w:trPr>
          <w:hidden/>
        </w:trPr>
        <w:tc>
          <w:tcPr>
            <w:tcW w:w="0" w:type="auto"/>
            <w:gridSpan w:val="3"/>
            <w:shd w:val="clear" w:color="auto" w:fill="auto"/>
            <w:vAlign w:val="bottom"/>
          </w:tcPr>
          <w:p w14:paraId="5F2CE1E4" w14:textId="77777777" w:rsidR="00E836FB" w:rsidRDefault="00E836FB">
            <w:pPr>
              <w:rPr>
                <w:rFonts w:ascii="宋体"/>
                <w:vanish/>
              </w:rPr>
            </w:pPr>
          </w:p>
        </w:tc>
        <w:tc>
          <w:tcPr>
            <w:tcW w:w="0" w:type="auto"/>
            <w:gridSpan w:val="3"/>
            <w:shd w:val="clear" w:color="auto" w:fill="auto"/>
            <w:vAlign w:val="bottom"/>
          </w:tcPr>
          <w:p w14:paraId="5F2CE1E5" w14:textId="77777777" w:rsidR="00E836FB" w:rsidRDefault="00E836FB">
            <w:pPr>
              <w:rPr>
                <w:rFonts w:ascii="宋体"/>
                <w:vanish/>
              </w:rPr>
            </w:pPr>
          </w:p>
        </w:tc>
        <w:tc>
          <w:tcPr>
            <w:tcW w:w="0" w:type="auto"/>
            <w:gridSpan w:val="3"/>
            <w:shd w:val="clear" w:color="auto" w:fill="auto"/>
            <w:vAlign w:val="bottom"/>
          </w:tcPr>
          <w:p w14:paraId="5F2CE1E6" w14:textId="77777777" w:rsidR="00E836FB" w:rsidRDefault="00E836FB">
            <w:pPr>
              <w:rPr>
                <w:rFonts w:ascii="宋体"/>
                <w:vanish/>
              </w:rPr>
            </w:pPr>
          </w:p>
        </w:tc>
        <w:tc>
          <w:tcPr>
            <w:tcW w:w="0" w:type="auto"/>
            <w:gridSpan w:val="3"/>
            <w:shd w:val="clear" w:color="auto" w:fill="auto"/>
            <w:vAlign w:val="bottom"/>
          </w:tcPr>
          <w:p w14:paraId="5F2CE1E7" w14:textId="77777777" w:rsidR="00E836FB" w:rsidRDefault="00E836FB">
            <w:pPr>
              <w:rPr>
                <w:rFonts w:ascii="宋体"/>
                <w:vanish/>
              </w:rPr>
            </w:pPr>
          </w:p>
        </w:tc>
        <w:tc>
          <w:tcPr>
            <w:tcW w:w="0" w:type="auto"/>
            <w:gridSpan w:val="3"/>
            <w:shd w:val="clear" w:color="auto" w:fill="auto"/>
            <w:vAlign w:val="bottom"/>
          </w:tcPr>
          <w:p w14:paraId="5F2CE1E8" w14:textId="77777777" w:rsidR="00E836FB" w:rsidRDefault="00E836FB">
            <w:pPr>
              <w:rPr>
                <w:rFonts w:ascii="宋体"/>
                <w:vanish/>
              </w:rPr>
            </w:pPr>
          </w:p>
        </w:tc>
        <w:tc>
          <w:tcPr>
            <w:tcW w:w="0" w:type="auto"/>
            <w:gridSpan w:val="3"/>
            <w:shd w:val="clear" w:color="auto" w:fill="auto"/>
            <w:vAlign w:val="bottom"/>
          </w:tcPr>
          <w:p w14:paraId="5F2CE1E9" w14:textId="77777777" w:rsidR="00E836FB" w:rsidRDefault="00E836FB">
            <w:pPr>
              <w:rPr>
                <w:rFonts w:ascii="宋体"/>
                <w:vanish/>
              </w:rPr>
            </w:pPr>
          </w:p>
        </w:tc>
        <w:tc>
          <w:tcPr>
            <w:tcW w:w="0" w:type="auto"/>
            <w:gridSpan w:val="3"/>
            <w:shd w:val="clear" w:color="auto" w:fill="auto"/>
            <w:vAlign w:val="bottom"/>
          </w:tcPr>
          <w:p w14:paraId="5F2CE1EA" w14:textId="77777777" w:rsidR="00E836FB" w:rsidRDefault="00E836FB">
            <w:pPr>
              <w:rPr>
                <w:rFonts w:ascii="宋体"/>
                <w:vanish/>
              </w:rPr>
            </w:pPr>
          </w:p>
        </w:tc>
        <w:tc>
          <w:tcPr>
            <w:tcW w:w="0" w:type="auto"/>
            <w:gridSpan w:val="3"/>
            <w:shd w:val="clear" w:color="auto" w:fill="auto"/>
            <w:vAlign w:val="bottom"/>
          </w:tcPr>
          <w:p w14:paraId="5F2CE1EB" w14:textId="77777777" w:rsidR="00E836FB" w:rsidRDefault="00E836FB">
            <w:pPr>
              <w:rPr>
                <w:rFonts w:ascii="宋体"/>
                <w:vanish/>
              </w:rPr>
            </w:pPr>
          </w:p>
        </w:tc>
      </w:tr>
      <w:tr w:rsidR="00E836FB" w14:paraId="5F2CE1F9" w14:textId="77777777">
        <w:tc>
          <w:tcPr>
            <w:tcW w:w="0" w:type="auto"/>
            <w:gridSpan w:val="3"/>
            <w:shd w:val="clear" w:color="auto" w:fill="FFFFFF"/>
            <w:tcMar>
              <w:top w:w="40" w:type="dxa"/>
              <w:left w:w="20" w:type="dxa"/>
              <w:bottom w:w="40" w:type="dxa"/>
              <w:right w:w="20" w:type="dxa"/>
            </w:tcMar>
            <w:vAlign w:val="bottom"/>
          </w:tcPr>
          <w:p w14:paraId="5F2CE1ED" w14:textId="77777777" w:rsidR="00E836FB" w:rsidRDefault="00994958">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EE" w14:textId="77777777" w:rsidR="00E836FB" w:rsidRDefault="00994958">
            <w:pPr>
              <w:jc w:val="right"/>
              <w:textAlignment w:val="bottom"/>
            </w:pPr>
            <w:r>
              <w:rPr>
                <w:rFonts w:ascii="Arial" w:eastAsia="宋体" w:hAnsi="Arial" w:cs="Arial"/>
                <w:b/>
                <w:bCs/>
                <w:color w:val="000000"/>
                <w:sz w:val="14"/>
                <w:szCs w:val="14"/>
              </w:rPr>
              <w:t>1,075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E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F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F1" w14:textId="77777777" w:rsidR="00E836FB" w:rsidRDefault="00994958">
            <w:pPr>
              <w:jc w:val="right"/>
              <w:textAlignment w:val="bottom"/>
            </w:pPr>
            <w:r>
              <w:rPr>
                <w:rFonts w:ascii="Arial" w:eastAsia="宋体" w:hAnsi="Arial" w:cs="Arial"/>
                <w:b/>
                <w:bCs/>
                <w:color w:val="000000"/>
                <w:sz w:val="14"/>
                <w:szCs w:val="14"/>
              </w:rPr>
              <w:t>1,075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F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F4" w14:textId="77777777" w:rsidR="00E836FB" w:rsidRDefault="00994958">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1F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1F7" w14:textId="77777777" w:rsidR="00E836FB" w:rsidRDefault="00994958">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1F8" w14:textId="77777777" w:rsidR="00E836FB" w:rsidRDefault="00E836FB">
            <w:pPr>
              <w:jc w:val="right"/>
              <w:rPr>
                <w:rFonts w:ascii="宋体"/>
              </w:rPr>
            </w:pPr>
          </w:p>
        </w:tc>
      </w:tr>
      <w:tr w:rsidR="00E836FB" w14:paraId="5F2CE206" w14:textId="77777777">
        <w:tc>
          <w:tcPr>
            <w:tcW w:w="0" w:type="auto"/>
            <w:gridSpan w:val="3"/>
            <w:shd w:val="clear" w:color="auto" w:fill="CCEEFF"/>
            <w:tcMar>
              <w:top w:w="40" w:type="dxa"/>
              <w:left w:w="20" w:type="dxa"/>
              <w:bottom w:w="40" w:type="dxa"/>
              <w:right w:w="20" w:type="dxa"/>
            </w:tcMar>
            <w:vAlign w:val="bottom"/>
          </w:tcPr>
          <w:p w14:paraId="5F2CE1FA" w14:textId="77777777" w:rsidR="00E836FB" w:rsidRDefault="00994958">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1FB" w14:textId="77777777" w:rsidR="00E836FB" w:rsidRDefault="00994958">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1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1F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1FE" w14:textId="77777777" w:rsidR="00E836FB" w:rsidRDefault="00994958">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1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0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201" w14:textId="77777777" w:rsidR="00E836FB" w:rsidRDefault="00994958">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0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204" w14:textId="77777777" w:rsidR="00E836FB" w:rsidRDefault="00994958">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05" w14:textId="77777777" w:rsidR="00E836FB" w:rsidRDefault="00E836FB">
            <w:pPr>
              <w:jc w:val="right"/>
              <w:rPr>
                <w:rFonts w:ascii="宋体"/>
              </w:rPr>
            </w:pPr>
          </w:p>
        </w:tc>
      </w:tr>
      <w:tr w:rsidR="00E836FB" w14:paraId="5F2CE20F" w14:textId="77777777">
        <w:tc>
          <w:tcPr>
            <w:tcW w:w="0" w:type="auto"/>
            <w:gridSpan w:val="3"/>
            <w:shd w:val="clear" w:color="auto" w:fill="FFFFFF"/>
            <w:tcMar>
              <w:top w:w="40" w:type="dxa"/>
              <w:left w:w="20" w:type="dxa"/>
              <w:bottom w:w="40" w:type="dxa"/>
              <w:right w:w="20" w:type="dxa"/>
            </w:tcMar>
            <w:vAlign w:val="bottom"/>
          </w:tcPr>
          <w:p w14:paraId="5F2CE207" w14:textId="77777777" w:rsidR="00E836FB" w:rsidRDefault="00994958">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0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09"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0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0B"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0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0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0E" w14:textId="77777777" w:rsidR="00E836FB" w:rsidRDefault="00E836FB">
            <w:pPr>
              <w:rPr>
                <w:rFonts w:ascii="宋体"/>
              </w:rPr>
            </w:pPr>
          </w:p>
        </w:tc>
      </w:tr>
      <w:tr w:rsidR="00E836FB" w14:paraId="5F2CE21C" w14:textId="77777777">
        <w:tc>
          <w:tcPr>
            <w:tcW w:w="0" w:type="auto"/>
            <w:gridSpan w:val="3"/>
            <w:shd w:val="clear" w:color="auto" w:fill="CCEEFF"/>
            <w:tcMar>
              <w:top w:w="40" w:type="dxa"/>
              <w:left w:w="20" w:type="dxa"/>
              <w:bottom w:w="40" w:type="dxa"/>
              <w:right w:w="20" w:type="dxa"/>
            </w:tcMar>
            <w:vAlign w:val="bottom"/>
          </w:tcPr>
          <w:p w14:paraId="5F2CE210" w14:textId="77777777" w:rsidR="00E836FB" w:rsidRDefault="00994958">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5F2CE211" w14:textId="77777777" w:rsidR="00E836FB" w:rsidRDefault="00994958">
            <w:pPr>
              <w:jc w:val="right"/>
              <w:textAlignment w:val="bottom"/>
            </w:pPr>
            <w:r>
              <w:rPr>
                <w:rFonts w:ascii="Arial" w:eastAsia="宋体" w:hAnsi="Arial" w:cs="Arial"/>
                <w:b/>
                <w:bCs/>
                <w:color w:val="000000"/>
                <w:sz w:val="14"/>
                <w:szCs w:val="14"/>
              </w:rPr>
              <w:t>962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2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14" w14:textId="77777777" w:rsidR="00E836FB" w:rsidRDefault="00994958">
            <w:pPr>
              <w:jc w:val="right"/>
              <w:textAlignment w:val="bottom"/>
            </w:pPr>
            <w:r>
              <w:rPr>
                <w:rFonts w:ascii="Arial" w:eastAsia="宋体" w:hAnsi="Arial" w:cs="Arial"/>
                <w:b/>
                <w:bCs/>
                <w:color w:val="000000"/>
                <w:sz w:val="14"/>
                <w:szCs w:val="14"/>
              </w:rPr>
              <w:t>1,109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2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17" w14:textId="77777777" w:rsidR="00E836FB" w:rsidRDefault="00994958">
            <w:pPr>
              <w:jc w:val="right"/>
              <w:textAlignment w:val="bottom"/>
            </w:pPr>
            <w:r>
              <w:rPr>
                <w:rFonts w:ascii="Arial" w:eastAsia="宋体" w:hAnsi="Arial" w:cs="Arial"/>
                <w:color w:val="000000"/>
                <w:sz w:val="14"/>
                <w:szCs w:val="14"/>
              </w:rPr>
              <w:t>1,100 </w:t>
            </w:r>
          </w:p>
        </w:tc>
        <w:tc>
          <w:tcPr>
            <w:tcW w:w="0" w:type="auto"/>
            <w:shd w:val="clear" w:color="auto" w:fill="CCEEFF"/>
            <w:tcMar>
              <w:top w:w="40" w:type="dxa"/>
              <w:left w:w="0" w:type="dxa"/>
              <w:bottom w:w="40" w:type="dxa"/>
              <w:right w:w="20" w:type="dxa"/>
            </w:tcMar>
            <w:vAlign w:val="bottom"/>
          </w:tcPr>
          <w:p w14:paraId="5F2CE2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1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1A" w14:textId="77777777" w:rsidR="00E836FB" w:rsidRDefault="00994958">
            <w:pPr>
              <w:jc w:val="right"/>
              <w:textAlignment w:val="bottom"/>
            </w:pPr>
            <w:r>
              <w:rPr>
                <w:rFonts w:ascii="Arial" w:eastAsia="宋体" w:hAnsi="Arial" w:cs="Arial"/>
                <w:color w:val="000000"/>
                <w:sz w:val="14"/>
                <w:szCs w:val="14"/>
              </w:rPr>
              <w:t>1,185 </w:t>
            </w:r>
          </w:p>
        </w:tc>
        <w:tc>
          <w:tcPr>
            <w:tcW w:w="0" w:type="auto"/>
            <w:shd w:val="clear" w:color="auto" w:fill="CCEEFF"/>
            <w:tcMar>
              <w:top w:w="40" w:type="dxa"/>
              <w:left w:w="0" w:type="dxa"/>
              <w:bottom w:w="40" w:type="dxa"/>
              <w:right w:w="20" w:type="dxa"/>
            </w:tcMar>
            <w:vAlign w:val="bottom"/>
          </w:tcPr>
          <w:p w14:paraId="5F2CE21B" w14:textId="77777777" w:rsidR="00E836FB" w:rsidRDefault="00E836FB">
            <w:pPr>
              <w:jc w:val="right"/>
              <w:rPr>
                <w:rFonts w:ascii="宋体"/>
              </w:rPr>
            </w:pPr>
          </w:p>
        </w:tc>
      </w:tr>
      <w:tr w:rsidR="00E836FB" w14:paraId="5F2CE229" w14:textId="77777777">
        <w:tc>
          <w:tcPr>
            <w:tcW w:w="0" w:type="auto"/>
            <w:gridSpan w:val="3"/>
            <w:shd w:val="clear" w:color="auto" w:fill="FFFFFF"/>
            <w:tcMar>
              <w:top w:w="40" w:type="dxa"/>
              <w:left w:w="140" w:type="dxa"/>
              <w:bottom w:w="40" w:type="dxa"/>
              <w:right w:w="20" w:type="dxa"/>
            </w:tcMar>
            <w:vAlign w:val="bottom"/>
          </w:tcPr>
          <w:p w14:paraId="5F2CE21D" w14:textId="77777777" w:rsidR="00E836FB" w:rsidRDefault="00994958">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5F2CE21E" w14:textId="77777777" w:rsidR="00E836FB" w:rsidRDefault="00994958">
            <w:pPr>
              <w:jc w:val="right"/>
              <w:textAlignment w:val="bottom"/>
            </w:pPr>
            <w:r>
              <w:rPr>
                <w:rFonts w:ascii="Arial" w:eastAsia="宋体" w:hAnsi="Arial" w:cs="Arial"/>
                <w:b/>
                <w:bCs/>
                <w:color w:val="000000"/>
                <w:sz w:val="14"/>
                <w:szCs w:val="14"/>
              </w:rPr>
              <w:t>627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2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221" w14:textId="77777777" w:rsidR="00E836FB" w:rsidRDefault="00994958">
            <w:pPr>
              <w:jc w:val="right"/>
              <w:textAlignment w:val="bottom"/>
            </w:pPr>
            <w:r>
              <w:rPr>
                <w:rFonts w:ascii="Arial" w:eastAsia="宋体" w:hAnsi="Arial" w:cs="Arial"/>
                <w:b/>
                <w:bCs/>
                <w:color w:val="000000"/>
                <w:sz w:val="14"/>
                <w:szCs w:val="14"/>
              </w:rPr>
              <w:t>627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2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224" w14:textId="77777777" w:rsidR="00E836FB" w:rsidRDefault="00994958">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5F2CE2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2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227" w14:textId="77777777" w:rsidR="00E836FB" w:rsidRDefault="00994958">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5F2CE228" w14:textId="77777777" w:rsidR="00E836FB" w:rsidRDefault="00E836FB">
            <w:pPr>
              <w:jc w:val="right"/>
              <w:rPr>
                <w:rFonts w:ascii="宋体"/>
              </w:rPr>
            </w:pPr>
          </w:p>
        </w:tc>
      </w:tr>
      <w:tr w:rsidR="00E836FB" w14:paraId="5F2CE232" w14:textId="77777777">
        <w:trPr>
          <w:hidden/>
        </w:trPr>
        <w:tc>
          <w:tcPr>
            <w:tcW w:w="0" w:type="auto"/>
            <w:gridSpan w:val="3"/>
            <w:shd w:val="clear" w:color="auto" w:fill="auto"/>
            <w:vAlign w:val="bottom"/>
          </w:tcPr>
          <w:p w14:paraId="5F2CE22A" w14:textId="77777777" w:rsidR="00E836FB" w:rsidRDefault="00E836FB">
            <w:pPr>
              <w:rPr>
                <w:rFonts w:ascii="宋体"/>
                <w:vanish/>
              </w:rPr>
            </w:pPr>
          </w:p>
        </w:tc>
        <w:tc>
          <w:tcPr>
            <w:tcW w:w="0" w:type="auto"/>
            <w:gridSpan w:val="3"/>
            <w:shd w:val="clear" w:color="auto" w:fill="auto"/>
            <w:vAlign w:val="bottom"/>
          </w:tcPr>
          <w:p w14:paraId="5F2CE22B" w14:textId="77777777" w:rsidR="00E836FB" w:rsidRDefault="00E836FB">
            <w:pPr>
              <w:rPr>
                <w:rFonts w:ascii="宋体"/>
                <w:vanish/>
              </w:rPr>
            </w:pPr>
          </w:p>
        </w:tc>
        <w:tc>
          <w:tcPr>
            <w:tcW w:w="0" w:type="auto"/>
            <w:gridSpan w:val="3"/>
            <w:shd w:val="clear" w:color="auto" w:fill="auto"/>
            <w:vAlign w:val="bottom"/>
          </w:tcPr>
          <w:p w14:paraId="5F2CE22C" w14:textId="77777777" w:rsidR="00E836FB" w:rsidRDefault="00E836FB">
            <w:pPr>
              <w:rPr>
                <w:rFonts w:ascii="宋体"/>
                <w:vanish/>
              </w:rPr>
            </w:pPr>
          </w:p>
        </w:tc>
        <w:tc>
          <w:tcPr>
            <w:tcW w:w="0" w:type="auto"/>
            <w:gridSpan w:val="3"/>
            <w:shd w:val="clear" w:color="auto" w:fill="auto"/>
            <w:vAlign w:val="bottom"/>
          </w:tcPr>
          <w:p w14:paraId="5F2CE22D" w14:textId="77777777" w:rsidR="00E836FB" w:rsidRDefault="00E836FB">
            <w:pPr>
              <w:rPr>
                <w:rFonts w:ascii="宋体"/>
                <w:vanish/>
              </w:rPr>
            </w:pPr>
          </w:p>
        </w:tc>
        <w:tc>
          <w:tcPr>
            <w:tcW w:w="0" w:type="auto"/>
            <w:gridSpan w:val="3"/>
            <w:shd w:val="clear" w:color="auto" w:fill="auto"/>
            <w:vAlign w:val="bottom"/>
          </w:tcPr>
          <w:p w14:paraId="5F2CE22E" w14:textId="77777777" w:rsidR="00E836FB" w:rsidRDefault="00E836FB">
            <w:pPr>
              <w:rPr>
                <w:rFonts w:ascii="宋体"/>
                <w:vanish/>
              </w:rPr>
            </w:pPr>
          </w:p>
        </w:tc>
        <w:tc>
          <w:tcPr>
            <w:tcW w:w="0" w:type="auto"/>
            <w:gridSpan w:val="3"/>
            <w:shd w:val="clear" w:color="auto" w:fill="auto"/>
            <w:vAlign w:val="bottom"/>
          </w:tcPr>
          <w:p w14:paraId="5F2CE22F" w14:textId="77777777" w:rsidR="00E836FB" w:rsidRDefault="00E836FB">
            <w:pPr>
              <w:rPr>
                <w:rFonts w:ascii="宋体"/>
                <w:vanish/>
              </w:rPr>
            </w:pPr>
          </w:p>
        </w:tc>
        <w:tc>
          <w:tcPr>
            <w:tcW w:w="0" w:type="auto"/>
            <w:gridSpan w:val="3"/>
            <w:shd w:val="clear" w:color="auto" w:fill="auto"/>
            <w:vAlign w:val="bottom"/>
          </w:tcPr>
          <w:p w14:paraId="5F2CE230" w14:textId="77777777" w:rsidR="00E836FB" w:rsidRDefault="00E836FB">
            <w:pPr>
              <w:rPr>
                <w:rFonts w:ascii="宋体"/>
                <w:vanish/>
              </w:rPr>
            </w:pPr>
          </w:p>
        </w:tc>
        <w:tc>
          <w:tcPr>
            <w:tcW w:w="0" w:type="auto"/>
            <w:gridSpan w:val="3"/>
            <w:shd w:val="clear" w:color="auto" w:fill="auto"/>
            <w:vAlign w:val="bottom"/>
          </w:tcPr>
          <w:p w14:paraId="5F2CE231" w14:textId="77777777" w:rsidR="00E836FB" w:rsidRDefault="00E836FB">
            <w:pPr>
              <w:rPr>
                <w:rFonts w:ascii="宋体"/>
                <w:vanish/>
              </w:rPr>
            </w:pPr>
          </w:p>
        </w:tc>
      </w:tr>
      <w:tr w:rsidR="00E836FB" w14:paraId="5F2CE23F" w14:textId="77777777">
        <w:tc>
          <w:tcPr>
            <w:tcW w:w="0" w:type="auto"/>
            <w:gridSpan w:val="3"/>
            <w:shd w:val="clear" w:color="auto" w:fill="CCEEFF"/>
            <w:tcMar>
              <w:top w:w="40" w:type="dxa"/>
              <w:left w:w="155" w:type="dxa"/>
              <w:bottom w:w="40" w:type="dxa"/>
              <w:right w:w="20" w:type="dxa"/>
            </w:tcMar>
            <w:vAlign w:val="bottom"/>
          </w:tcPr>
          <w:p w14:paraId="5F2CE233" w14:textId="77777777" w:rsidR="00E836FB" w:rsidRDefault="00994958">
            <w:pPr>
              <w:textAlignment w:val="bottom"/>
            </w:pPr>
            <w:r>
              <w:rPr>
                <w:rFonts w:ascii="Arial" w:eastAsia="宋体" w:hAnsi="Arial" w:cs="Arial"/>
                <w:color w:val="000000"/>
                <w:sz w:val="14"/>
                <w:szCs w:val="14"/>
              </w:rPr>
              <w:t>Changes in allowance for credit losses</w:t>
            </w:r>
          </w:p>
        </w:tc>
        <w:tc>
          <w:tcPr>
            <w:tcW w:w="0" w:type="auto"/>
            <w:gridSpan w:val="2"/>
            <w:shd w:val="clear" w:color="auto" w:fill="CCEEFF"/>
            <w:tcMar>
              <w:top w:w="40" w:type="dxa"/>
              <w:left w:w="20" w:type="dxa"/>
              <w:bottom w:w="40" w:type="dxa"/>
              <w:right w:w="0" w:type="dxa"/>
            </w:tcMar>
            <w:vAlign w:val="bottom"/>
          </w:tcPr>
          <w:p w14:paraId="5F2CE234"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F2CE2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3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37" w14:textId="77777777" w:rsidR="00E836FB" w:rsidRDefault="00994958">
            <w:pPr>
              <w:jc w:val="right"/>
              <w:textAlignment w:val="bottom"/>
            </w:pPr>
            <w:r>
              <w:rPr>
                <w:rFonts w:ascii="Arial" w:eastAsia="宋体" w:hAnsi="Arial" w:cs="Arial"/>
                <w:b/>
                <w:bCs/>
                <w:color w:val="000000"/>
                <w:sz w:val="14"/>
                <w:szCs w:val="14"/>
              </w:rPr>
              <w:t>(40)</w:t>
            </w:r>
          </w:p>
        </w:tc>
        <w:tc>
          <w:tcPr>
            <w:tcW w:w="0" w:type="auto"/>
            <w:shd w:val="clear" w:color="auto" w:fill="CCEEFF"/>
            <w:tcMar>
              <w:top w:w="40" w:type="dxa"/>
              <w:left w:w="0" w:type="dxa"/>
              <w:bottom w:w="40" w:type="dxa"/>
              <w:right w:w="20" w:type="dxa"/>
            </w:tcMar>
            <w:vAlign w:val="bottom"/>
          </w:tcPr>
          <w:p w14:paraId="5F2CE23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3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3A"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F2CE23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3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3D" w14:textId="77777777" w:rsidR="00E836FB" w:rsidRDefault="00994958">
            <w:pPr>
              <w:jc w:val="right"/>
              <w:textAlignment w:val="bottom"/>
            </w:pPr>
            <w:r>
              <w:rPr>
                <w:rFonts w:ascii="Arial" w:eastAsia="宋体" w:hAnsi="Arial" w:cs="Arial"/>
                <w:color w:val="000000"/>
                <w:sz w:val="14"/>
                <w:szCs w:val="14"/>
              </w:rPr>
              <w:t>58 </w:t>
            </w:r>
          </w:p>
        </w:tc>
        <w:tc>
          <w:tcPr>
            <w:tcW w:w="0" w:type="auto"/>
            <w:shd w:val="clear" w:color="auto" w:fill="CCEEFF"/>
            <w:tcMar>
              <w:top w:w="40" w:type="dxa"/>
              <w:left w:w="0" w:type="dxa"/>
              <w:bottom w:w="40" w:type="dxa"/>
              <w:right w:w="20" w:type="dxa"/>
            </w:tcMar>
            <w:vAlign w:val="bottom"/>
          </w:tcPr>
          <w:p w14:paraId="5F2CE23E" w14:textId="77777777" w:rsidR="00E836FB" w:rsidRDefault="00E836FB">
            <w:pPr>
              <w:jc w:val="right"/>
              <w:rPr>
                <w:rFonts w:ascii="宋体"/>
              </w:rPr>
            </w:pPr>
          </w:p>
        </w:tc>
      </w:tr>
      <w:tr w:rsidR="00E836FB" w14:paraId="5F2CE248" w14:textId="77777777">
        <w:trPr>
          <w:hidden/>
        </w:trPr>
        <w:tc>
          <w:tcPr>
            <w:tcW w:w="0" w:type="auto"/>
            <w:gridSpan w:val="3"/>
            <w:shd w:val="clear" w:color="auto" w:fill="auto"/>
            <w:vAlign w:val="bottom"/>
          </w:tcPr>
          <w:p w14:paraId="5F2CE240" w14:textId="77777777" w:rsidR="00E836FB" w:rsidRDefault="00E836FB">
            <w:pPr>
              <w:rPr>
                <w:rFonts w:ascii="宋体"/>
                <w:vanish/>
              </w:rPr>
            </w:pPr>
          </w:p>
        </w:tc>
        <w:tc>
          <w:tcPr>
            <w:tcW w:w="0" w:type="auto"/>
            <w:gridSpan w:val="3"/>
            <w:shd w:val="clear" w:color="auto" w:fill="auto"/>
            <w:vAlign w:val="bottom"/>
          </w:tcPr>
          <w:p w14:paraId="5F2CE241" w14:textId="77777777" w:rsidR="00E836FB" w:rsidRDefault="00E836FB">
            <w:pPr>
              <w:rPr>
                <w:rFonts w:ascii="宋体"/>
                <w:vanish/>
              </w:rPr>
            </w:pPr>
          </w:p>
        </w:tc>
        <w:tc>
          <w:tcPr>
            <w:tcW w:w="0" w:type="auto"/>
            <w:gridSpan w:val="3"/>
            <w:shd w:val="clear" w:color="auto" w:fill="auto"/>
            <w:vAlign w:val="bottom"/>
          </w:tcPr>
          <w:p w14:paraId="5F2CE242" w14:textId="77777777" w:rsidR="00E836FB" w:rsidRDefault="00E836FB">
            <w:pPr>
              <w:rPr>
                <w:rFonts w:ascii="宋体"/>
                <w:vanish/>
              </w:rPr>
            </w:pPr>
          </w:p>
        </w:tc>
        <w:tc>
          <w:tcPr>
            <w:tcW w:w="0" w:type="auto"/>
            <w:gridSpan w:val="3"/>
            <w:shd w:val="clear" w:color="auto" w:fill="auto"/>
            <w:vAlign w:val="bottom"/>
          </w:tcPr>
          <w:p w14:paraId="5F2CE243" w14:textId="77777777" w:rsidR="00E836FB" w:rsidRDefault="00E836FB">
            <w:pPr>
              <w:rPr>
                <w:rFonts w:ascii="宋体"/>
                <w:vanish/>
              </w:rPr>
            </w:pPr>
          </w:p>
        </w:tc>
        <w:tc>
          <w:tcPr>
            <w:tcW w:w="0" w:type="auto"/>
            <w:gridSpan w:val="3"/>
            <w:shd w:val="clear" w:color="auto" w:fill="auto"/>
            <w:vAlign w:val="bottom"/>
          </w:tcPr>
          <w:p w14:paraId="5F2CE244" w14:textId="77777777" w:rsidR="00E836FB" w:rsidRDefault="00E836FB">
            <w:pPr>
              <w:rPr>
                <w:rFonts w:ascii="宋体"/>
                <w:vanish/>
              </w:rPr>
            </w:pPr>
          </w:p>
        </w:tc>
        <w:tc>
          <w:tcPr>
            <w:tcW w:w="0" w:type="auto"/>
            <w:gridSpan w:val="3"/>
            <w:shd w:val="clear" w:color="auto" w:fill="auto"/>
            <w:vAlign w:val="bottom"/>
          </w:tcPr>
          <w:p w14:paraId="5F2CE245" w14:textId="77777777" w:rsidR="00E836FB" w:rsidRDefault="00E836FB">
            <w:pPr>
              <w:rPr>
                <w:rFonts w:ascii="宋体"/>
                <w:vanish/>
              </w:rPr>
            </w:pPr>
          </w:p>
        </w:tc>
        <w:tc>
          <w:tcPr>
            <w:tcW w:w="0" w:type="auto"/>
            <w:gridSpan w:val="3"/>
            <w:shd w:val="clear" w:color="auto" w:fill="auto"/>
            <w:vAlign w:val="bottom"/>
          </w:tcPr>
          <w:p w14:paraId="5F2CE246" w14:textId="77777777" w:rsidR="00E836FB" w:rsidRDefault="00E836FB">
            <w:pPr>
              <w:rPr>
                <w:rFonts w:ascii="宋体"/>
                <w:vanish/>
              </w:rPr>
            </w:pPr>
          </w:p>
        </w:tc>
        <w:tc>
          <w:tcPr>
            <w:tcW w:w="0" w:type="auto"/>
            <w:gridSpan w:val="3"/>
            <w:shd w:val="clear" w:color="auto" w:fill="auto"/>
            <w:vAlign w:val="bottom"/>
          </w:tcPr>
          <w:p w14:paraId="5F2CE247" w14:textId="77777777" w:rsidR="00E836FB" w:rsidRDefault="00E836FB">
            <w:pPr>
              <w:rPr>
                <w:rFonts w:ascii="宋体"/>
                <w:vanish/>
              </w:rPr>
            </w:pPr>
          </w:p>
        </w:tc>
      </w:tr>
      <w:tr w:rsidR="00E836FB" w14:paraId="5F2CE255" w14:textId="77777777">
        <w:tc>
          <w:tcPr>
            <w:tcW w:w="0" w:type="auto"/>
            <w:gridSpan w:val="3"/>
            <w:shd w:val="clear" w:color="auto" w:fill="FFFFFF"/>
            <w:tcMar>
              <w:top w:w="40" w:type="dxa"/>
              <w:left w:w="20" w:type="dxa"/>
              <w:bottom w:w="40" w:type="dxa"/>
              <w:right w:w="20" w:type="dxa"/>
            </w:tcMar>
            <w:vAlign w:val="bottom"/>
          </w:tcPr>
          <w:p w14:paraId="5F2CE249" w14:textId="77777777" w:rsidR="00E836FB" w:rsidRDefault="00994958">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24A" w14:textId="77777777" w:rsidR="00E836FB" w:rsidRDefault="00994958">
            <w:pPr>
              <w:jc w:val="right"/>
              <w:textAlignment w:val="bottom"/>
            </w:pPr>
            <w:r>
              <w:rPr>
                <w:rFonts w:ascii="Arial" w:eastAsia="宋体" w:hAnsi="Arial" w:cs="Arial"/>
                <w:b/>
                <w:bCs/>
                <w:color w:val="000000"/>
                <w:sz w:val="14"/>
                <w:szCs w:val="14"/>
              </w:rPr>
              <w:t>626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2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4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24D" w14:textId="77777777" w:rsidR="00E836FB" w:rsidRDefault="00994958">
            <w:pPr>
              <w:jc w:val="right"/>
              <w:textAlignment w:val="bottom"/>
            </w:pPr>
            <w:r>
              <w:rPr>
                <w:rFonts w:ascii="Arial" w:eastAsia="宋体" w:hAnsi="Arial" w:cs="Arial"/>
                <w:b/>
                <w:bCs/>
                <w:color w:val="000000"/>
                <w:sz w:val="14"/>
                <w:szCs w:val="14"/>
              </w:rPr>
              <w:t>587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2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4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250" w14:textId="77777777" w:rsidR="00E836FB" w:rsidRDefault="00994958">
            <w:pPr>
              <w:jc w:val="right"/>
              <w:textAlignment w:val="bottom"/>
            </w:pPr>
            <w:r>
              <w:rPr>
                <w:rFonts w:ascii="Arial" w:eastAsia="宋体" w:hAnsi="Arial" w:cs="Arial"/>
                <w:color w:val="000000"/>
                <w:sz w:val="14"/>
                <w:szCs w:val="14"/>
              </w:rPr>
              <w:t>(138)</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25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5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253" w14:textId="77777777" w:rsidR="00E836FB" w:rsidRDefault="00994958">
            <w:pPr>
              <w:jc w:val="right"/>
              <w:textAlignment w:val="bottom"/>
            </w:pPr>
            <w:r>
              <w:rPr>
                <w:rFonts w:ascii="Arial" w:eastAsia="宋体" w:hAnsi="Arial" w:cs="Arial"/>
                <w:color w:val="000000"/>
                <w:sz w:val="14"/>
                <w:szCs w:val="14"/>
              </w:rPr>
              <w:t>(76)</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254" w14:textId="77777777" w:rsidR="00E836FB" w:rsidRDefault="00E836FB">
            <w:pPr>
              <w:jc w:val="right"/>
              <w:rPr>
                <w:rFonts w:ascii="宋体"/>
              </w:rPr>
            </w:pPr>
          </w:p>
        </w:tc>
      </w:tr>
      <w:tr w:rsidR="00E836FB" w14:paraId="5F2CE262" w14:textId="77777777">
        <w:tc>
          <w:tcPr>
            <w:tcW w:w="0" w:type="auto"/>
            <w:gridSpan w:val="3"/>
            <w:shd w:val="clear" w:color="auto" w:fill="CCEEFF"/>
            <w:tcMar>
              <w:top w:w="40" w:type="dxa"/>
              <w:left w:w="20" w:type="dxa"/>
              <w:bottom w:w="40" w:type="dxa"/>
              <w:right w:w="20" w:type="dxa"/>
            </w:tcMar>
            <w:vAlign w:val="bottom"/>
          </w:tcPr>
          <w:p w14:paraId="5F2CE256" w14:textId="77777777" w:rsidR="00E836FB" w:rsidRDefault="00994958">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257" w14:textId="77777777" w:rsidR="00E836FB" w:rsidRDefault="00994958">
            <w:pPr>
              <w:jc w:val="right"/>
              <w:textAlignment w:val="bottom"/>
            </w:pPr>
            <w:r>
              <w:rPr>
                <w:rFonts w:ascii="Arial" w:eastAsia="宋体" w:hAnsi="Arial" w:cs="Arial"/>
                <w:b/>
                <w:bCs/>
                <w:color w:val="000000"/>
                <w:sz w:val="14"/>
                <w:szCs w:val="14"/>
              </w:rPr>
              <w:t>1,588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5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25A" w14:textId="77777777" w:rsidR="00E836FB" w:rsidRDefault="00994958">
            <w:pPr>
              <w:jc w:val="right"/>
              <w:textAlignment w:val="bottom"/>
            </w:pPr>
            <w:r>
              <w:rPr>
                <w:rFonts w:ascii="Arial" w:eastAsia="宋体" w:hAnsi="Arial" w:cs="Arial"/>
                <w:b/>
                <w:bCs/>
                <w:color w:val="000000"/>
                <w:sz w:val="14"/>
                <w:szCs w:val="14"/>
              </w:rPr>
              <w:t>1,696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5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25D" w14:textId="77777777" w:rsidR="00E836FB" w:rsidRDefault="00994958">
            <w:pPr>
              <w:jc w:val="right"/>
              <w:textAlignment w:val="bottom"/>
            </w:pPr>
            <w:r>
              <w:rPr>
                <w:rFonts w:ascii="Arial" w:eastAsia="宋体" w:hAnsi="Arial" w:cs="Arial"/>
                <w:color w:val="000000"/>
                <w:sz w:val="14"/>
                <w:szCs w:val="14"/>
              </w:rPr>
              <w:t>962 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5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260" w14:textId="77777777" w:rsidR="00E836FB" w:rsidRDefault="00994958">
            <w:pPr>
              <w:jc w:val="right"/>
              <w:textAlignment w:val="bottom"/>
            </w:pPr>
            <w:r>
              <w:rPr>
                <w:rFonts w:ascii="Arial" w:eastAsia="宋体" w:hAnsi="Arial" w:cs="Arial"/>
                <w:color w:val="000000"/>
                <w:sz w:val="14"/>
                <w:szCs w:val="14"/>
              </w:rPr>
              <w:t>1,109 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61" w14:textId="77777777" w:rsidR="00E836FB" w:rsidRDefault="00E836FB">
            <w:pPr>
              <w:jc w:val="right"/>
              <w:rPr>
                <w:rFonts w:ascii="宋体"/>
              </w:rPr>
            </w:pPr>
          </w:p>
        </w:tc>
      </w:tr>
      <w:tr w:rsidR="00E836FB" w14:paraId="5F2CE26B" w14:textId="77777777">
        <w:tc>
          <w:tcPr>
            <w:tcW w:w="0" w:type="auto"/>
            <w:gridSpan w:val="3"/>
            <w:shd w:val="clear" w:color="auto" w:fill="FFFFFF"/>
            <w:tcMar>
              <w:top w:w="40" w:type="dxa"/>
              <w:left w:w="20" w:type="dxa"/>
              <w:bottom w:w="40" w:type="dxa"/>
              <w:right w:w="20" w:type="dxa"/>
            </w:tcMar>
            <w:vAlign w:val="bottom"/>
          </w:tcPr>
          <w:p w14:paraId="5F2CE263" w14:textId="77777777" w:rsidR="00E836FB" w:rsidRDefault="00994958">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6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6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6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67"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6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69"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26A" w14:textId="77777777" w:rsidR="00E836FB" w:rsidRDefault="00E836FB">
            <w:pPr>
              <w:rPr>
                <w:rFonts w:ascii="宋体"/>
              </w:rPr>
            </w:pPr>
          </w:p>
        </w:tc>
      </w:tr>
      <w:tr w:rsidR="00E836FB" w14:paraId="5F2CE278" w14:textId="77777777">
        <w:tc>
          <w:tcPr>
            <w:tcW w:w="0" w:type="auto"/>
            <w:gridSpan w:val="3"/>
            <w:shd w:val="clear" w:color="auto" w:fill="CCEEFF"/>
            <w:tcMar>
              <w:top w:w="40" w:type="dxa"/>
              <w:left w:w="20" w:type="dxa"/>
              <w:bottom w:w="40" w:type="dxa"/>
              <w:right w:w="20" w:type="dxa"/>
            </w:tcMar>
            <w:vAlign w:val="bottom"/>
          </w:tcPr>
          <w:p w14:paraId="5F2CE26C" w14:textId="77777777" w:rsidR="00E836FB" w:rsidRDefault="00994958">
            <w:pPr>
              <w:textAlignment w:val="bottom"/>
            </w:pPr>
            <w:r>
              <w:rPr>
                <w:rFonts w:ascii="Arial" w:eastAsia="宋体" w:hAnsi="Arial" w:cs="Arial"/>
                <w:color w:val="000000"/>
                <w:sz w:val="14"/>
                <w:szCs w:val="14"/>
              </w:rPr>
              <w:t>Total capital balance, beginning of period</w:t>
            </w:r>
          </w:p>
        </w:tc>
        <w:tc>
          <w:tcPr>
            <w:tcW w:w="0" w:type="auto"/>
            <w:gridSpan w:val="2"/>
            <w:shd w:val="clear" w:color="auto" w:fill="CCEEFF"/>
            <w:tcMar>
              <w:top w:w="40" w:type="dxa"/>
              <w:left w:w="20" w:type="dxa"/>
              <w:bottom w:w="40" w:type="dxa"/>
              <w:right w:w="0" w:type="dxa"/>
            </w:tcMar>
            <w:vAlign w:val="bottom"/>
          </w:tcPr>
          <w:p w14:paraId="5F2CE26D" w14:textId="77777777" w:rsidR="00E836FB" w:rsidRDefault="00994958">
            <w:pPr>
              <w:jc w:val="right"/>
              <w:textAlignment w:val="bottom"/>
            </w:pPr>
            <w:r>
              <w:rPr>
                <w:rFonts w:ascii="Arial" w:eastAsia="宋体" w:hAnsi="Arial" w:cs="Arial"/>
                <w:b/>
                <w:bCs/>
                <w:color w:val="000000"/>
                <w:sz w:val="14"/>
                <w:szCs w:val="14"/>
              </w:rPr>
              <w:t>17,810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2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6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70" w14:textId="77777777" w:rsidR="00E836FB" w:rsidRDefault="00994958">
            <w:pPr>
              <w:jc w:val="right"/>
              <w:textAlignment w:val="bottom"/>
            </w:pPr>
            <w:r>
              <w:rPr>
                <w:rFonts w:ascii="Arial" w:eastAsia="宋体" w:hAnsi="Arial" w:cs="Arial"/>
                <w:b/>
                <w:bCs/>
                <w:color w:val="000000"/>
                <w:sz w:val="14"/>
                <w:szCs w:val="14"/>
              </w:rPr>
              <w:t>17,957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27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7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73" w14:textId="77777777" w:rsidR="00E836FB" w:rsidRDefault="00994958">
            <w:pPr>
              <w:jc w:val="right"/>
              <w:textAlignment w:val="bottom"/>
            </w:pPr>
            <w:r>
              <w:rPr>
                <w:rFonts w:ascii="Arial" w:eastAsia="宋体" w:hAnsi="Arial" w:cs="Arial"/>
                <w:color w:val="000000"/>
                <w:sz w:val="14"/>
                <w:szCs w:val="14"/>
              </w:rPr>
              <w:t>16,275 </w:t>
            </w:r>
          </w:p>
        </w:tc>
        <w:tc>
          <w:tcPr>
            <w:tcW w:w="0" w:type="auto"/>
            <w:shd w:val="clear" w:color="auto" w:fill="CCEEFF"/>
            <w:tcMar>
              <w:top w:w="40" w:type="dxa"/>
              <w:left w:w="0" w:type="dxa"/>
              <w:bottom w:w="40" w:type="dxa"/>
              <w:right w:w="20" w:type="dxa"/>
            </w:tcMar>
            <w:vAlign w:val="bottom"/>
          </w:tcPr>
          <w:p w14:paraId="5F2CE2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7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76" w14:textId="77777777" w:rsidR="00E836FB" w:rsidRDefault="00994958">
            <w:pPr>
              <w:jc w:val="right"/>
              <w:textAlignment w:val="bottom"/>
            </w:pPr>
            <w:r>
              <w:rPr>
                <w:rFonts w:ascii="Arial" w:eastAsia="宋体" w:hAnsi="Arial" w:cs="Arial"/>
                <w:color w:val="000000"/>
                <w:sz w:val="14"/>
                <w:szCs w:val="14"/>
              </w:rPr>
              <w:t>16,360 </w:t>
            </w:r>
          </w:p>
        </w:tc>
        <w:tc>
          <w:tcPr>
            <w:tcW w:w="0" w:type="auto"/>
            <w:shd w:val="clear" w:color="auto" w:fill="CCEEFF"/>
            <w:tcMar>
              <w:top w:w="40" w:type="dxa"/>
              <w:left w:w="0" w:type="dxa"/>
              <w:bottom w:w="40" w:type="dxa"/>
              <w:right w:w="20" w:type="dxa"/>
            </w:tcMar>
            <w:vAlign w:val="bottom"/>
          </w:tcPr>
          <w:p w14:paraId="5F2CE277" w14:textId="77777777" w:rsidR="00E836FB" w:rsidRDefault="00E836FB">
            <w:pPr>
              <w:jc w:val="right"/>
              <w:rPr>
                <w:rFonts w:ascii="宋体"/>
              </w:rPr>
            </w:pPr>
          </w:p>
        </w:tc>
      </w:tr>
      <w:tr w:rsidR="00E836FB" w14:paraId="5F2CE285" w14:textId="77777777">
        <w:tc>
          <w:tcPr>
            <w:tcW w:w="0" w:type="auto"/>
            <w:gridSpan w:val="3"/>
            <w:shd w:val="clear" w:color="auto" w:fill="FFFFFF"/>
            <w:tcMar>
              <w:top w:w="40" w:type="dxa"/>
              <w:left w:w="20" w:type="dxa"/>
              <w:bottom w:w="40" w:type="dxa"/>
              <w:right w:w="20" w:type="dxa"/>
            </w:tcMar>
            <w:vAlign w:val="bottom"/>
          </w:tcPr>
          <w:p w14:paraId="5F2CE279" w14:textId="77777777" w:rsidR="00E836FB" w:rsidRDefault="00994958">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5F2CE27A" w14:textId="77777777" w:rsidR="00E836FB" w:rsidRDefault="00994958">
            <w:pPr>
              <w:jc w:val="right"/>
              <w:textAlignment w:val="bottom"/>
            </w:pPr>
            <w:r>
              <w:rPr>
                <w:rFonts w:ascii="Arial" w:eastAsia="宋体" w:hAnsi="Arial" w:cs="Arial"/>
                <w:b/>
                <w:bCs/>
                <w:color w:val="000000"/>
                <w:sz w:val="14"/>
                <w:szCs w:val="14"/>
              </w:rPr>
              <w:t>1,075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2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27D" w14:textId="77777777" w:rsidR="00E836FB" w:rsidRDefault="00994958">
            <w:pPr>
              <w:jc w:val="right"/>
              <w:textAlignment w:val="bottom"/>
            </w:pPr>
            <w:r>
              <w:rPr>
                <w:rFonts w:ascii="Arial" w:eastAsia="宋体" w:hAnsi="Arial" w:cs="Arial"/>
                <w:b/>
                <w:bCs/>
                <w:color w:val="000000"/>
                <w:sz w:val="14"/>
                <w:szCs w:val="14"/>
              </w:rPr>
              <w:t>1,075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27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7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280" w14:textId="77777777" w:rsidR="00E836FB" w:rsidRDefault="00994958">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5F2CE28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8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283" w14:textId="77777777" w:rsidR="00E836FB" w:rsidRDefault="00994958">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5F2CE284" w14:textId="77777777" w:rsidR="00E836FB" w:rsidRDefault="00E836FB">
            <w:pPr>
              <w:jc w:val="right"/>
              <w:rPr>
                <w:rFonts w:ascii="宋体"/>
              </w:rPr>
            </w:pPr>
          </w:p>
        </w:tc>
      </w:tr>
      <w:tr w:rsidR="00E836FB" w14:paraId="5F2CE292" w14:textId="77777777">
        <w:tc>
          <w:tcPr>
            <w:tcW w:w="0" w:type="auto"/>
            <w:gridSpan w:val="3"/>
            <w:shd w:val="clear" w:color="auto" w:fill="CCEEFF"/>
            <w:tcMar>
              <w:top w:w="40" w:type="dxa"/>
              <w:left w:w="20" w:type="dxa"/>
              <w:bottom w:w="40" w:type="dxa"/>
              <w:right w:w="20" w:type="dxa"/>
            </w:tcMar>
            <w:vAlign w:val="bottom"/>
          </w:tcPr>
          <w:p w14:paraId="5F2CE286" w14:textId="77777777" w:rsidR="00E836FB" w:rsidRDefault="00994958">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5F2CE287" w14:textId="77777777" w:rsidR="00E836FB" w:rsidRDefault="00994958">
            <w:pPr>
              <w:jc w:val="right"/>
              <w:textAlignment w:val="bottom"/>
            </w:pPr>
            <w:r>
              <w:rPr>
                <w:rFonts w:ascii="Arial" w:eastAsia="宋体" w:hAnsi="Arial" w:cs="Arial"/>
                <w:b/>
                <w:bCs/>
                <w:color w:val="000000"/>
                <w:sz w:val="14"/>
                <w:szCs w:val="14"/>
              </w:rPr>
              <w:t>626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2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8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8A" w14:textId="77777777" w:rsidR="00E836FB" w:rsidRDefault="00994958">
            <w:pPr>
              <w:jc w:val="right"/>
              <w:textAlignment w:val="bottom"/>
            </w:pPr>
            <w:r>
              <w:rPr>
                <w:rFonts w:ascii="Arial" w:eastAsia="宋体" w:hAnsi="Arial" w:cs="Arial"/>
                <w:b/>
                <w:bCs/>
                <w:color w:val="000000"/>
                <w:sz w:val="14"/>
                <w:szCs w:val="14"/>
              </w:rPr>
              <w:t>587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2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8D" w14:textId="77777777" w:rsidR="00E836FB" w:rsidRDefault="00994958">
            <w:pPr>
              <w:jc w:val="right"/>
              <w:textAlignment w:val="bottom"/>
            </w:pPr>
            <w:r>
              <w:rPr>
                <w:rFonts w:ascii="Arial" w:eastAsia="宋体" w:hAnsi="Arial" w:cs="Arial"/>
                <w:color w:val="000000"/>
                <w:sz w:val="14"/>
                <w:szCs w:val="14"/>
              </w:rPr>
              <w:t>(138)</w:t>
            </w:r>
          </w:p>
        </w:tc>
        <w:tc>
          <w:tcPr>
            <w:tcW w:w="0" w:type="auto"/>
            <w:shd w:val="clear" w:color="auto" w:fill="CCEEFF"/>
            <w:tcMar>
              <w:top w:w="40" w:type="dxa"/>
              <w:left w:w="0" w:type="dxa"/>
              <w:bottom w:w="40" w:type="dxa"/>
              <w:right w:w="20" w:type="dxa"/>
            </w:tcMar>
            <w:vAlign w:val="bottom"/>
          </w:tcPr>
          <w:p w14:paraId="5F2CE2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90" w14:textId="77777777" w:rsidR="00E836FB" w:rsidRDefault="00994958">
            <w:pPr>
              <w:jc w:val="right"/>
              <w:textAlignment w:val="bottom"/>
            </w:pPr>
            <w:r>
              <w:rPr>
                <w:rFonts w:ascii="Arial" w:eastAsia="宋体" w:hAnsi="Arial" w:cs="Arial"/>
                <w:color w:val="000000"/>
                <w:sz w:val="14"/>
                <w:szCs w:val="14"/>
              </w:rPr>
              <w:t>(76)</w:t>
            </w:r>
          </w:p>
        </w:tc>
        <w:tc>
          <w:tcPr>
            <w:tcW w:w="0" w:type="auto"/>
            <w:shd w:val="clear" w:color="auto" w:fill="CCEEFF"/>
            <w:tcMar>
              <w:top w:w="40" w:type="dxa"/>
              <w:left w:w="0" w:type="dxa"/>
              <w:bottom w:w="40" w:type="dxa"/>
              <w:right w:w="20" w:type="dxa"/>
            </w:tcMar>
            <w:vAlign w:val="bottom"/>
          </w:tcPr>
          <w:p w14:paraId="5F2CE291" w14:textId="77777777" w:rsidR="00E836FB" w:rsidRDefault="00E836FB">
            <w:pPr>
              <w:jc w:val="right"/>
              <w:rPr>
                <w:rFonts w:ascii="宋体"/>
              </w:rPr>
            </w:pPr>
          </w:p>
        </w:tc>
      </w:tr>
      <w:tr w:rsidR="00E836FB" w14:paraId="5F2CE2A3" w14:textId="77777777">
        <w:tc>
          <w:tcPr>
            <w:tcW w:w="0" w:type="auto"/>
            <w:gridSpan w:val="3"/>
            <w:shd w:val="clear" w:color="auto" w:fill="FFFFFF"/>
            <w:tcMar>
              <w:top w:w="40" w:type="dxa"/>
              <w:left w:w="20" w:type="dxa"/>
              <w:bottom w:w="40" w:type="dxa"/>
              <w:right w:w="20" w:type="dxa"/>
            </w:tcMar>
            <w:vAlign w:val="bottom"/>
          </w:tcPr>
          <w:p w14:paraId="5F2CE293" w14:textId="77777777" w:rsidR="00E836FB" w:rsidRDefault="00994958">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29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295" w14:textId="77777777" w:rsidR="00E836FB" w:rsidRDefault="00994958">
            <w:pPr>
              <w:jc w:val="right"/>
              <w:textAlignment w:val="bottom"/>
            </w:pPr>
            <w:r>
              <w:rPr>
                <w:rFonts w:ascii="Arial" w:eastAsia="宋体" w:hAnsi="Arial" w:cs="Arial"/>
                <w:b/>
                <w:bCs/>
                <w:color w:val="000000"/>
                <w:sz w:val="14"/>
                <w:szCs w:val="14"/>
              </w:rPr>
              <w:t>19,511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2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9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29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299" w14:textId="77777777" w:rsidR="00E836FB" w:rsidRDefault="00994958">
            <w:pPr>
              <w:jc w:val="right"/>
              <w:textAlignment w:val="bottom"/>
            </w:pPr>
            <w:r>
              <w:rPr>
                <w:rFonts w:ascii="Arial" w:eastAsia="宋体" w:hAnsi="Arial" w:cs="Arial"/>
                <w:b/>
                <w:bCs/>
                <w:color w:val="000000"/>
                <w:sz w:val="14"/>
                <w:szCs w:val="14"/>
              </w:rPr>
              <w:t>19,619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2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9B"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29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29D" w14:textId="77777777" w:rsidR="00E836FB" w:rsidRDefault="00994958">
            <w:pPr>
              <w:jc w:val="right"/>
              <w:textAlignment w:val="bottom"/>
            </w:pPr>
            <w:r>
              <w:rPr>
                <w:rFonts w:ascii="Arial" w:eastAsia="宋体" w:hAnsi="Arial" w:cs="Arial"/>
                <w:color w:val="000000"/>
                <w:sz w:val="14"/>
                <w:szCs w:val="14"/>
              </w:rPr>
              <w:t>17,810 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2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29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2A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2A1" w14:textId="77777777" w:rsidR="00E836FB" w:rsidRDefault="00994958">
            <w:pPr>
              <w:jc w:val="right"/>
              <w:textAlignment w:val="bottom"/>
            </w:pPr>
            <w:r>
              <w:rPr>
                <w:rFonts w:ascii="Arial" w:eastAsia="宋体" w:hAnsi="Arial" w:cs="Arial"/>
                <w:color w:val="000000"/>
                <w:sz w:val="14"/>
                <w:szCs w:val="14"/>
              </w:rPr>
              <w:t>17,957 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2A2" w14:textId="77777777" w:rsidR="00E836FB" w:rsidRDefault="00E836FB">
            <w:pPr>
              <w:jc w:val="right"/>
              <w:rPr>
                <w:rFonts w:ascii="宋体"/>
              </w:rPr>
            </w:pPr>
          </w:p>
        </w:tc>
      </w:tr>
    </w:tbl>
    <w:p w14:paraId="5F2CE2A4" w14:textId="77777777" w:rsidR="00E836FB" w:rsidRDefault="00994958">
      <w:pPr>
        <w:spacing w:before="60"/>
        <w:ind w:firstLine="450"/>
        <w:jc w:val="both"/>
      </w:pPr>
      <w:r>
        <w:rPr>
          <w:rFonts w:ascii="Arial" w:eastAsia="宋体" w:hAnsi="Arial" w:cs="Arial"/>
          <w:color w:val="000000"/>
          <w:sz w:val="20"/>
          <w:szCs w:val="20"/>
        </w:rPr>
        <w:t xml:space="preserve">The following table presents a roll-forward of the Basel III advanced approaches and standardized approach RWA </w:t>
      </w:r>
      <w:r>
        <w:rPr>
          <w:rFonts w:ascii="Arial" w:eastAsia="宋体" w:hAnsi="Arial" w:cs="Arial"/>
          <w:color w:val="000000"/>
          <w:sz w:val="20"/>
          <w:szCs w:val="20"/>
        </w:rPr>
        <w:t>for the years ended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3140"/>
        <w:gridCol w:w="37"/>
        <w:gridCol w:w="99"/>
        <w:gridCol w:w="1062"/>
        <w:gridCol w:w="37"/>
        <w:gridCol w:w="36"/>
        <w:gridCol w:w="36"/>
        <w:gridCol w:w="36"/>
        <w:gridCol w:w="99"/>
        <w:gridCol w:w="1062"/>
        <w:gridCol w:w="37"/>
        <w:gridCol w:w="36"/>
        <w:gridCol w:w="36"/>
        <w:gridCol w:w="36"/>
        <w:gridCol w:w="99"/>
        <w:gridCol w:w="1063"/>
        <w:gridCol w:w="37"/>
        <w:gridCol w:w="36"/>
        <w:gridCol w:w="36"/>
        <w:gridCol w:w="36"/>
        <w:gridCol w:w="99"/>
        <w:gridCol w:w="1065"/>
        <w:gridCol w:w="37"/>
      </w:tblGrid>
      <w:tr w:rsidR="00E836FB" w14:paraId="5F2CE2BD" w14:textId="77777777">
        <w:tc>
          <w:tcPr>
            <w:tcW w:w="50" w:type="pct"/>
            <w:shd w:val="clear" w:color="auto" w:fill="auto"/>
            <w:vAlign w:val="bottom"/>
          </w:tcPr>
          <w:p w14:paraId="5F2CE2A5" w14:textId="77777777" w:rsidR="00E836FB" w:rsidRDefault="00E836FB">
            <w:pPr>
              <w:rPr>
                <w:rFonts w:ascii="宋体"/>
              </w:rPr>
            </w:pPr>
          </w:p>
        </w:tc>
        <w:tc>
          <w:tcPr>
            <w:tcW w:w="1933" w:type="pct"/>
            <w:shd w:val="clear" w:color="auto" w:fill="auto"/>
            <w:vAlign w:val="bottom"/>
          </w:tcPr>
          <w:p w14:paraId="5F2CE2A6" w14:textId="77777777" w:rsidR="00E836FB" w:rsidRDefault="00E836FB">
            <w:pPr>
              <w:rPr>
                <w:rFonts w:ascii="宋体"/>
              </w:rPr>
            </w:pPr>
          </w:p>
        </w:tc>
        <w:tc>
          <w:tcPr>
            <w:tcW w:w="5" w:type="pct"/>
            <w:shd w:val="clear" w:color="auto" w:fill="auto"/>
            <w:vAlign w:val="bottom"/>
          </w:tcPr>
          <w:p w14:paraId="5F2CE2A7" w14:textId="77777777" w:rsidR="00E836FB" w:rsidRDefault="00E836FB">
            <w:pPr>
              <w:rPr>
                <w:rFonts w:ascii="宋体"/>
              </w:rPr>
            </w:pPr>
          </w:p>
        </w:tc>
        <w:tc>
          <w:tcPr>
            <w:tcW w:w="50" w:type="pct"/>
            <w:shd w:val="clear" w:color="auto" w:fill="auto"/>
            <w:vAlign w:val="bottom"/>
          </w:tcPr>
          <w:p w14:paraId="5F2CE2A8" w14:textId="77777777" w:rsidR="00E836FB" w:rsidRDefault="00E836FB">
            <w:pPr>
              <w:rPr>
                <w:rFonts w:ascii="宋体"/>
              </w:rPr>
            </w:pPr>
          </w:p>
        </w:tc>
        <w:tc>
          <w:tcPr>
            <w:tcW w:w="675" w:type="pct"/>
            <w:shd w:val="clear" w:color="auto" w:fill="auto"/>
            <w:vAlign w:val="bottom"/>
          </w:tcPr>
          <w:p w14:paraId="5F2CE2A9" w14:textId="77777777" w:rsidR="00E836FB" w:rsidRDefault="00E836FB">
            <w:pPr>
              <w:rPr>
                <w:rFonts w:ascii="宋体"/>
              </w:rPr>
            </w:pPr>
          </w:p>
        </w:tc>
        <w:tc>
          <w:tcPr>
            <w:tcW w:w="5" w:type="pct"/>
            <w:shd w:val="clear" w:color="auto" w:fill="auto"/>
            <w:vAlign w:val="bottom"/>
          </w:tcPr>
          <w:p w14:paraId="5F2CE2AA" w14:textId="77777777" w:rsidR="00E836FB" w:rsidRDefault="00E836FB">
            <w:pPr>
              <w:rPr>
                <w:rFonts w:ascii="宋体"/>
              </w:rPr>
            </w:pPr>
          </w:p>
        </w:tc>
        <w:tc>
          <w:tcPr>
            <w:tcW w:w="5" w:type="pct"/>
            <w:shd w:val="clear" w:color="auto" w:fill="auto"/>
            <w:vAlign w:val="bottom"/>
          </w:tcPr>
          <w:p w14:paraId="5F2CE2AB" w14:textId="77777777" w:rsidR="00E836FB" w:rsidRDefault="00E836FB">
            <w:pPr>
              <w:rPr>
                <w:rFonts w:ascii="宋体"/>
              </w:rPr>
            </w:pPr>
          </w:p>
        </w:tc>
        <w:tc>
          <w:tcPr>
            <w:tcW w:w="19" w:type="pct"/>
            <w:shd w:val="clear" w:color="auto" w:fill="auto"/>
            <w:vAlign w:val="bottom"/>
          </w:tcPr>
          <w:p w14:paraId="5F2CE2AC" w14:textId="77777777" w:rsidR="00E836FB" w:rsidRDefault="00E836FB">
            <w:pPr>
              <w:rPr>
                <w:rFonts w:ascii="宋体"/>
              </w:rPr>
            </w:pPr>
          </w:p>
        </w:tc>
        <w:tc>
          <w:tcPr>
            <w:tcW w:w="5" w:type="pct"/>
            <w:shd w:val="clear" w:color="auto" w:fill="auto"/>
            <w:vAlign w:val="bottom"/>
          </w:tcPr>
          <w:p w14:paraId="5F2CE2AD" w14:textId="77777777" w:rsidR="00E836FB" w:rsidRDefault="00E836FB">
            <w:pPr>
              <w:rPr>
                <w:rFonts w:ascii="宋体"/>
              </w:rPr>
            </w:pPr>
          </w:p>
        </w:tc>
        <w:tc>
          <w:tcPr>
            <w:tcW w:w="50" w:type="pct"/>
            <w:shd w:val="clear" w:color="auto" w:fill="auto"/>
            <w:vAlign w:val="bottom"/>
          </w:tcPr>
          <w:p w14:paraId="5F2CE2AE" w14:textId="77777777" w:rsidR="00E836FB" w:rsidRDefault="00E836FB">
            <w:pPr>
              <w:rPr>
                <w:rFonts w:ascii="宋体"/>
              </w:rPr>
            </w:pPr>
          </w:p>
        </w:tc>
        <w:tc>
          <w:tcPr>
            <w:tcW w:w="675" w:type="pct"/>
            <w:shd w:val="clear" w:color="auto" w:fill="auto"/>
            <w:vAlign w:val="bottom"/>
          </w:tcPr>
          <w:p w14:paraId="5F2CE2AF" w14:textId="77777777" w:rsidR="00E836FB" w:rsidRDefault="00E836FB">
            <w:pPr>
              <w:rPr>
                <w:rFonts w:ascii="宋体"/>
              </w:rPr>
            </w:pPr>
          </w:p>
        </w:tc>
        <w:tc>
          <w:tcPr>
            <w:tcW w:w="5" w:type="pct"/>
            <w:shd w:val="clear" w:color="auto" w:fill="auto"/>
            <w:vAlign w:val="bottom"/>
          </w:tcPr>
          <w:p w14:paraId="5F2CE2B0" w14:textId="77777777" w:rsidR="00E836FB" w:rsidRDefault="00E836FB">
            <w:pPr>
              <w:rPr>
                <w:rFonts w:ascii="宋体"/>
              </w:rPr>
            </w:pPr>
          </w:p>
        </w:tc>
        <w:tc>
          <w:tcPr>
            <w:tcW w:w="5" w:type="pct"/>
            <w:shd w:val="clear" w:color="auto" w:fill="auto"/>
            <w:vAlign w:val="bottom"/>
          </w:tcPr>
          <w:p w14:paraId="5F2CE2B1" w14:textId="77777777" w:rsidR="00E836FB" w:rsidRDefault="00E836FB">
            <w:pPr>
              <w:rPr>
                <w:rFonts w:ascii="宋体"/>
              </w:rPr>
            </w:pPr>
          </w:p>
        </w:tc>
        <w:tc>
          <w:tcPr>
            <w:tcW w:w="19" w:type="pct"/>
            <w:shd w:val="clear" w:color="auto" w:fill="auto"/>
            <w:vAlign w:val="bottom"/>
          </w:tcPr>
          <w:p w14:paraId="5F2CE2B2" w14:textId="77777777" w:rsidR="00E836FB" w:rsidRDefault="00E836FB">
            <w:pPr>
              <w:rPr>
                <w:rFonts w:ascii="宋体"/>
              </w:rPr>
            </w:pPr>
          </w:p>
        </w:tc>
        <w:tc>
          <w:tcPr>
            <w:tcW w:w="5" w:type="pct"/>
            <w:shd w:val="clear" w:color="auto" w:fill="auto"/>
            <w:vAlign w:val="bottom"/>
          </w:tcPr>
          <w:p w14:paraId="5F2CE2B3" w14:textId="77777777" w:rsidR="00E836FB" w:rsidRDefault="00E836FB">
            <w:pPr>
              <w:rPr>
                <w:rFonts w:ascii="宋体"/>
              </w:rPr>
            </w:pPr>
          </w:p>
        </w:tc>
        <w:tc>
          <w:tcPr>
            <w:tcW w:w="50" w:type="pct"/>
            <w:shd w:val="clear" w:color="auto" w:fill="auto"/>
            <w:vAlign w:val="bottom"/>
          </w:tcPr>
          <w:p w14:paraId="5F2CE2B4" w14:textId="77777777" w:rsidR="00E836FB" w:rsidRDefault="00E836FB">
            <w:pPr>
              <w:rPr>
                <w:rFonts w:ascii="宋体"/>
              </w:rPr>
            </w:pPr>
          </w:p>
        </w:tc>
        <w:tc>
          <w:tcPr>
            <w:tcW w:w="675" w:type="pct"/>
            <w:shd w:val="clear" w:color="auto" w:fill="auto"/>
            <w:vAlign w:val="bottom"/>
          </w:tcPr>
          <w:p w14:paraId="5F2CE2B5" w14:textId="77777777" w:rsidR="00E836FB" w:rsidRDefault="00E836FB">
            <w:pPr>
              <w:rPr>
                <w:rFonts w:ascii="宋体"/>
              </w:rPr>
            </w:pPr>
          </w:p>
        </w:tc>
        <w:tc>
          <w:tcPr>
            <w:tcW w:w="5" w:type="pct"/>
            <w:shd w:val="clear" w:color="auto" w:fill="auto"/>
            <w:vAlign w:val="bottom"/>
          </w:tcPr>
          <w:p w14:paraId="5F2CE2B6" w14:textId="77777777" w:rsidR="00E836FB" w:rsidRDefault="00E836FB">
            <w:pPr>
              <w:rPr>
                <w:rFonts w:ascii="宋体"/>
              </w:rPr>
            </w:pPr>
          </w:p>
        </w:tc>
        <w:tc>
          <w:tcPr>
            <w:tcW w:w="5" w:type="pct"/>
            <w:shd w:val="clear" w:color="auto" w:fill="auto"/>
            <w:vAlign w:val="bottom"/>
          </w:tcPr>
          <w:p w14:paraId="5F2CE2B7" w14:textId="77777777" w:rsidR="00E836FB" w:rsidRDefault="00E836FB">
            <w:pPr>
              <w:rPr>
                <w:rFonts w:ascii="宋体"/>
              </w:rPr>
            </w:pPr>
          </w:p>
        </w:tc>
        <w:tc>
          <w:tcPr>
            <w:tcW w:w="19" w:type="pct"/>
            <w:shd w:val="clear" w:color="auto" w:fill="auto"/>
            <w:vAlign w:val="bottom"/>
          </w:tcPr>
          <w:p w14:paraId="5F2CE2B8" w14:textId="77777777" w:rsidR="00E836FB" w:rsidRDefault="00E836FB">
            <w:pPr>
              <w:rPr>
                <w:rFonts w:ascii="宋体"/>
              </w:rPr>
            </w:pPr>
          </w:p>
        </w:tc>
        <w:tc>
          <w:tcPr>
            <w:tcW w:w="5" w:type="pct"/>
            <w:shd w:val="clear" w:color="auto" w:fill="auto"/>
            <w:vAlign w:val="bottom"/>
          </w:tcPr>
          <w:p w14:paraId="5F2CE2B9" w14:textId="77777777" w:rsidR="00E836FB" w:rsidRDefault="00E836FB">
            <w:pPr>
              <w:rPr>
                <w:rFonts w:ascii="宋体"/>
              </w:rPr>
            </w:pPr>
          </w:p>
        </w:tc>
        <w:tc>
          <w:tcPr>
            <w:tcW w:w="50" w:type="pct"/>
            <w:shd w:val="clear" w:color="auto" w:fill="auto"/>
            <w:vAlign w:val="bottom"/>
          </w:tcPr>
          <w:p w14:paraId="5F2CE2BA" w14:textId="77777777" w:rsidR="00E836FB" w:rsidRDefault="00E836FB">
            <w:pPr>
              <w:rPr>
                <w:rFonts w:ascii="宋体"/>
              </w:rPr>
            </w:pPr>
          </w:p>
        </w:tc>
        <w:tc>
          <w:tcPr>
            <w:tcW w:w="676" w:type="pct"/>
            <w:shd w:val="clear" w:color="auto" w:fill="auto"/>
            <w:vAlign w:val="bottom"/>
          </w:tcPr>
          <w:p w14:paraId="5F2CE2BB" w14:textId="77777777" w:rsidR="00E836FB" w:rsidRDefault="00E836FB">
            <w:pPr>
              <w:rPr>
                <w:rFonts w:ascii="宋体"/>
              </w:rPr>
            </w:pPr>
          </w:p>
        </w:tc>
        <w:tc>
          <w:tcPr>
            <w:tcW w:w="5" w:type="pct"/>
            <w:shd w:val="clear" w:color="auto" w:fill="auto"/>
            <w:vAlign w:val="bottom"/>
          </w:tcPr>
          <w:p w14:paraId="5F2CE2BC" w14:textId="77777777" w:rsidR="00E836FB" w:rsidRDefault="00E836FB">
            <w:pPr>
              <w:rPr>
                <w:rFonts w:ascii="宋体"/>
              </w:rPr>
            </w:pPr>
          </w:p>
        </w:tc>
      </w:tr>
      <w:tr w:rsidR="00E836FB" w14:paraId="5F2CE2BF" w14:textId="77777777">
        <w:tc>
          <w:tcPr>
            <w:tcW w:w="0" w:type="auto"/>
            <w:gridSpan w:val="24"/>
            <w:shd w:val="clear" w:color="auto" w:fill="auto"/>
            <w:tcMar>
              <w:top w:w="40" w:type="dxa"/>
              <w:left w:w="20" w:type="dxa"/>
              <w:bottom w:w="40" w:type="dxa"/>
              <w:right w:w="20" w:type="dxa"/>
            </w:tcMar>
            <w:vAlign w:val="bottom"/>
          </w:tcPr>
          <w:p w14:paraId="5F2CE2BE" w14:textId="77777777" w:rsidR="00E836FB" w:rsidRDefault="00994958">
            <w:pPr>
              <w:textAlignment w:val="bottom"/>
            </w:pPr>
            <w:r>
              <w:rPr>
                <w:rFonts w:ascii="Arial" w:eastAsia="宋体" w:hAnsi="Arial" w:cs="Arial"/>
                <w:b/>
                <w:bCs/>
                <w:color w:val="000000"/>
                <w:sz w:val="16"/>
                <w:szCs w:val="16"/>
              </w:rPr>
              <w:t>TABLE 43: ADVANCED &amp; STANDARDIZED APPROACHES RISK-WEIGHTED ASSETS ROLL-FORWARD</w:t>
            </w:r>
          </w:p>
        </w:tc>
      </w:tr>
      <w:tr w:rsidR="00E836FB" w14:paraId="5F2CE2CC" w14:textId="77777777">
        <w:trPr>
          <w:hidden/>
        </w:trPr>
        <w:tc>
          <w:tcPr>
            <w:tcW w:w="0" w:type="auto"/>
            <w:gridSpan w:val="3"/>
            <w:shd w:val="clear" w:color="auto" w:fill="auto"/>
            <w:vAlign w:val="bottom"/>
          </w:tcPr>
          <w:p w14:paraId="5F2CE2C0" w14:textId="77777777" w:rsidR="00E836FB" w:rsidRDefault="00E836FB">
            <w:pPr>
              <w:rPr>
                <w:rFonts w:ascii="宋体"/>
                <w:vanish/>
              </w:rPr>
            </w:pPr>
          </w:p>
        </w:tc>
        <w:tc>
          <w:tcPr>
            <w:tcW w:w="0" w:type="auto"/>
            <w:gridSpan w:val="3"/>
            <w:shd w:val="clear" w:color="auto" w:fill="auto"/>
            <w:vAlign w:val="bottom"/>
          </w:tcPr>
          <w:p w14:paraId="5F2CE2C1" w14:textId="77777777" w:rsidR="00E836FB" w:rsidRDefault="00E836FB">
            <w:pPr>
              <w:rPr>
                <w:rFonts w:ascii="宋体"/>
                <w:vanish/>
              </w:rPr>
            </w:pPr>
          </w:p>
        </w:tc>
        <w:tc>
          <w:tcPr>
            <w:tcW w:w="0" w:type="auto"/>
            <w:gridSpan w:val="3"/>
            <w:shd w:val="clear" w:color="auto" w:fill="auto"/>
            <w:vAlign w:val="bottom"/>
          </w:tcPr>
          <w:p w14:paraId="5F2CE2C2" w14:textId="77777777" w:rsidR="00E836FB" w:rsidRDefault="00E836FB">
            <w:pPr>
              <w:rPr>
                <w:rFonts w:ascii="宋体"/>
                <w:vanish/>
              </w:rPr>
            </w:pPr>
          </w:p>
        </w:tc>
        <w:tc>
          <w:tcPr>
            <w:tcW w:w="0" w:type="auto"/>
            <w:gridSpan w:val="3"/>
            <w:shd w:val="clear" w:color="auto" w:fill="auto"/>
            <w:vAlign w:val="bottom"/>
          </w:tcPr>
          <w:p w14:paraId="5F2CE2C3" w14:textId="77777777" w:rsidR="00E836FB" w:rsidRDefault="00E836FB">
            <w:pPr>
              <w:rPr>
                <w:rFonts w:ascii="宋体"/>
                <w:vanish/>
              </w:rPr>
            </w:pPr>
          </w:p>
        </w:tc>
        <w:tc>
          <w:tcPr>
            <w:tcW w:w="0" w:type="auto"/>
            <w:gridSpan w:val="3"/>
            <w:shd w:val="clear" w:color="auto" w:fill="auto"/>
            <w:vAlign w:val="bottom"/>
          </w:tcPr>
          <w:p w14:paraId="5F2CE2C4" w14:textId="77777777" w:rsidR="00E836FB" w:rsidRDefault="00E836FB">
            <w:pPr>
              <w:rPr>
                <w:rFonts w:ascii="宋体"/>
                <w:vanish/>
              </w:rPr>
            </w:pPr>
          </w:p>
        </w:tc>
        <w:tc>
          <w:tcPr>
            <w:tcW w:w="0" w:type="auto"/>
            <w:gridSpan w:val="3"/>
            <w:shd w:val="clear" w:color="auto" w:fill="auto"/>
            <w:vAlign w:val="bottom"/>
          </w:tcPr>
          <w:p w14:paraId="5F2CE2C5" w14:textId="77777777" w:rsidR="00E836FB" w:rsidRDefault="00E836FB">
            <w:pPr>
              <w:rPr>
                <w:rFonts w:ascii="宋体"/>
                <w:vanish/>
              </w:rPr>
            </w:pPr>
          </w:p>
        </w:tc>
        <w:tc>
          <w:tcPr>
            <w:tcW w:w="0" w:type="auto"/>
            <w:shd w:val="clear" w:color="auto" w:fill="auto"/>
            <w:vAlign w:val="bottom"/>
          </w:tcPr>
          <w:p w14:paraId="5F2CE2C6" w14:textId="77777777" w:rsidR="00E836FB" w:rsidRDefault="00E836FB">
            <w:pPr>
              <w:rPr>
                <w:rFonts w:ascii="宋体"/>
              </w:rPr>
            </w:pPr>
          </w:p>
        </w:tc>
        <w:tc>
          <w:tcPr>
            <w:tcW w:w="0" w:type="auto"/>
            <w:shd w:val="clear" w:color="auto" w:fill="auto"/>
            <w:vAlign w:val="bottom"/>
          </w:tcPr>
          <w:p w14:paraId="5F2CE2C7" w14:textId="77777777" w:rsidR="00E836FB" w:rsidRDefault="00E836FB">
            <w:pPr>
              <w:rPr>
                <w:rFonts w:ascii="宋体"/>
              </w:rPr>
            </w:pPr>
          </w:p>
        </w:tc>
        <w:tc>
          <w:tcPr>
            <w:tcW w:w="0" w:type="auto"/>
            <w:shd w:val="clear" w:color="auto" w:fill="auto"/>
            <w:vAlign w:val="bottom"/>
          </w:tcPr>
          <w:p w14:paraId="5F2CE2C8" w14:textId="77777777" w:rsidR="00E836FB" w:rsidRDefault="00E836FB">
            <w:pPr>
              <w:rPr>
                <w:rFonts w:ascii="宋体"/>
              </w:rPr>
            </w:pPr>
          </w:p>
        </w:tc>
        <w:tc>
          <w:tcPr>
            <w:tcW w:w="0" w:type="auto"/>
            <w:shd w:val="clear" w:color="auto" w:fill="auto"/>
            <w:vAlign w:val="bottom"/>
          </w:tcPr>
          <w:p w14:paraId="5F2CE2C9" w14:textId="77777777" w:rsidR="00E836FB" w:rsidRDefault="00E836FB">
            <w:pPr>
              <w:rPr>
                <w:rFonts w:ascii="宋体"/>
              </w:rPr>
            </w:pPr>
          </w:p>
        </w:tc>
        <w:tc>
          <w:tcPr>
            <w:tcW w:w="0" w:type="auto"/>
            <w:shd w:val="clear" w:color="auto" w:fill="auto"/>
            <w:vAlign w:val="bottom"/>
          </w:tcPr>
          <w:p w14:paraId="5F2CE2CA" w14:textId="77777777" w:rsidR="00E836FB" w:rsidRDefault="00E836FB">
            <w:pPr>
              <w:rPr>
                <w:rFonts w:ascii="宋体"/>
              </w:rPr>
            </w:pPr>
          </w:p>
        </w:tc>
        <w:tc>
          <w:tcPr>
            <w:tcW w:w="0" w:type="auto"/>
            <w:shd w:val="clear" w:color="auto" w:fill="auto"/>
            <w:vAlign w:val="bottom"/>
          </w:tcPr>
          <w:p w14:paraId="5F2CE2CB" w14:textId="77777777" w:rsidR="00E836FB" w:rsidRDefault="00E836FB">
            <w:pPr>
              <w:rPr>
                <w:rFonts w:ascii="宋体"/>
              </w:rPr>
            </w:pPr>
          </w:p>
        </w:tc>
      </w:tr>
      <w:tr w:rsidR="00E836FB" w14:paraId="5F2CE2D5" w14:textId="77777777">
        <w:tc>
          <w:tcPr>
            <w:tcW w:w="0" w:type="auto"/>
            <w:gridSpan w:val="3"/>
            <w:shd w:val="clear" w:color="auto" w:fill="FFFFFF"/>
            <w:tcMar>
              <w:top w:w="40" w:type="dxa"/>
              <w:left w:w="20" w:type="dxa"/>
              <w:bottom w:w="40" w:type="dxa"/>
              <w:right w:w="20" w:type="dxa"/>
            </w:tcMar>
            <w:vAlign w:val="bottom"/>
          </w:tcPr>
          <w:p w14:paraId="5F2CE2CD"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FFFFFF"/>
            <w:tcMar>
              <w:top w:w="40" w:type="dxa"/>
              <w:left w:w="20" w:type="dxa"/>
              <w:bottom w:w="40" w:type="dxa"/>
              <w:right w:w="20" w:type="dxa"/>
            </w:tcMar>
            <w:vAlign w:val="bottom"/>
          </w:tcPr>
          <w:p w14:paraId="5F2CE2CE" w14:textId="77777777" w:rsidR="00E836FB" w:rsidRDefault="00994958">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br/>
              <w:t>Advanced Approaches December 31, 2021</w:t>
            </w:r>
          </w:p>
        </w:tc>
        <w:tc>
          <w:tcPr>
            <w:tcW w:w="0" w:type="auto"/>
            <w:gridSpan w:val="3"/>
            <w:shd w:val="clear" w:color="auto" w:fill="FFFFFF"/>
            <w:tcMar>
              <w:top w:w="0" w:type="dxa"/>
              <w:left w:w="20" w:type="dxa"/>
              <w:bottom w:w="0" w:type="dxa"/>
              <w:right w:w="20" w:type="dxa"/>
            </w:tcMar>
            <w:vAlign w:val="bottom"/>
          </w:tcPr>
          <w:p w14:paraId="5F2CE2C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E2D0" w14:textId="77777777" w:rsidR="00E836FB" w:rsidRDefault="00994958">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br/>
              <w:t>Advanced Approaches December 31, 2020</w:t>
            </w:r>
          </w:p>
        </w:tc>
        <w:tc>
          <w:tcPr>
            <w:tcW w:w="0" w:type="auto"/>
            <w:gridSpan w:val="3"/>
            <w:shd w:val="clear" w:color="auto" w:fill="FFFFFF"/>
            <w:tcMar>
              <w:top w:w="0" w:type="dxa"/>
              <w:left w:w="20" w:type="dxa"/>
              <w:bottom w:w="0" w:type="dxa"/>
              <w:right w:w="20" w:type="dxa"/>
            </w:tcMar>
            <w:vAlign w:val="bottom"/>
          </w:tcPr>
          <w:p w14:paraId="5F2CE2D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E2D2" w14:textId="77777777" w:rsidR="00E836FB" w:rsidRDefault="00994958">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December 31, 2021</w:t>
            </w:r>
          </w:p>
        </w:tc>
        <w:tc>
          <w:tcPr>
            <w:tcW w:w="0" w:type="auto"/>
            <w:gridSpan w:val="3"/>
            <w:shd w:val="clear" w:color="auto" w:fill="FFFFFF"/>
            <w:tcMar>
              <w:top w:w="0" w:type="dxa"/>
              <w:left w:w="20" w:type="dxa"/>
              <w:bottom w:w="0" w:type="dxa"/>
              <w:right w:w="20" w:type="dxa"/>
            </w:tcMar>
            <w:vAlign w:val="bottom"/>
          </w:tcPr>
          <w:p w14:paraId="5F2CE2D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CE2D4" w14:textId="77777777" w:rsidR="00E836FB" w:rsidRDefault="00994958">
            <w:pPr>
              <w:jc w:val="center"/>
              <w:textAlignment w:val="bottom"/>
            </w:pPr>
            <w:r>
              <w:rPr>
                <w:rFonts w:ascii="Arial" w:eastAsia="宋体" w:hAnsi="Arial" w:cs="Arial"/>
                <w:b/>
                <w:bCs/>
                <w:color w:val="000000"/>
                <w:sz w:val="14"/>
                <w:szCs w:val="14"/>
              </w:rPr>
              <w:t>Basel III Standardized Approach December 31, 2020</w:t>
            </w:r>
          </w:p>
        </w:tc>
      </w:tr>
      <w:tr w:rsidR="00E836FB" w14:paraId="5F2CE2E6" w14:textId="77777777">
        <w:tc>
          <w:tcPr>
            <w:tcW w:w="0" w:type="auto"/>
            <w:gridSpan w:val="3"/>
            <w:shd w:val="clear" w:color="auto" w:fill="CCEEFF"/>
            <w:tcMar>
              <w:top w:w="40" w:type="dxa"/>
              <w:left w:w="20" w:type="dxa"/>
              <w:bottom w:w="40" w:type="dxa"/>
              <w:right w:w="20" w:type="dxa"/>
            </w:tcMar>
            <w:vAlign w:val="bottom"/>
          </w:tcPr>
          <w:p w14:paraId="5F2CE2D6" w14:textId="77777777" w:rsidR="00E836FB" w:rsidRDefault="00994958">
            <w:pPr>
              <w:textAlignment w:val="bottom"/>
            </w:pPr>
            <w:r>
              <w:rPr>
                <w:rFonts w:ascii="Arial" w:eastAsia="宋体" w:hAnsi="Arial" w:cs="Arial"/>
                <w:color w:val="000000"/>
                <w:sz w:val="14"/>
                <w:szCs w:val="14"/>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E2D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2D8" w14:textId="77777777" w:rsidR="00E836FB" w:rsidRDefault="00994958">
            <w:pPr>
              <w:jc w:val="right"/>
              <w:textAlignment w:val="bottom"/>
            </w:pPr>
            <w:r>
              <w:rPr>
                <w:rFonts w:ascii="Arial" w:eastAsia="宋体" w:hAnsi="Arial" w:cs="Arial"/>
                <w:b/>
                <w:bCs/>
                <w:color w:val="000000"/>
                <w:sz w:val="14"/>
                <w:szCs w:val="14"/>
              </w:rPr>
              <w:t>109,705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D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D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2D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2DC" w14:textId="77777777" w:rsidR="00E836FB" w:rsidRDefault="00994958">
            <w:pPr>
              <w:jc w:val="right"/>
              <w:textAlignment w:val="bottom"/>
            </w:pPr>
            <w:r>
              <w:rPr>
                <w:rFonts w:ascii="Arial" w:eastAsia="宋体" w:hAnsi="Arial" w:cs="Arial"/>
                <w:color w:val="000000"/>
                <w:sz w:val="14"/>
                <w:szCs w:val="14"/>
              </w:rPr>
              <w:t>104,364 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D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D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2DF"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2E0" w14:textId="77777777" w:rsidR="00E836FB" w:rsidRDefault="00994958">
            <w:pPr>
              <w:jc w:val="right"/>
              <w:textAlignment w:val="bottom"/>
            </w:pPr>
            <w:r>
              <w:rPr>
                <w:rFonts w:ascii="Arial" w:eastAsia="宋体" w:hAnsi="Arial" w:cs="Arial"/>
                <w:b/>
                <w:bCs/>
                <w:color w:val="000000"/>
                <w:sz w:val="14"/>
                <w:szCs w:val="14"/>
              </w:rPr>
              <w:t>117,080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E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2E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2E4" w14:textId="77777777" w:rsidR="00E836FB" w:rsidRDefault="00994958">
            <w:pPr>
              <w:jc w:val="right"/>
              <w:textAlignment w:val="bottom"/>
            </w:pPr>
            <w:r>
              <w:rPr>
                <w:rFonts w:ascii="Arial" w:eastAsia="宋体" w:hAnsi="Arial" w:cs="Arial"/>
                <w:color w:val="000000"/>
                <w:sz w:val="14"/>
                <w:szCs w:val="14"/>
              </w:rPr>
              <w:t>104,005 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2E5" w14:textId="77777777" w:rsidR="00E836FB" w:rsidRDefault="00E836FB">
            <w:pPr>
              <w:jc w:val="right"/>
              <w:rPr>
                <w:rFonts w:ascii="宋体"/>
              </w:rPr>
            </w:pPr>
          </w:p>
        </w:tc>
      </w:tr>
      <w:tr w:rsidR="00E836FB" w14:paraId="5F2CE2EF" w14:textId="77777777">
        <w:tc>
          <w:tcPr>
            <w:tcW w:w="0" w:type="auto"/>
            <w:gridSpan w:val="3"/>
            <w:shd w:val="clear" w:color="auto" w:fill="FFFFFF"/>
            <w:tcMar>
              <w:top w:w="40" w:type="dxa"/>
              <w:left w:w="20" w:type="dxa"/>
              <w:bottom w:w="40" w:type="dxa"/>
              <w:right w:w="20" w:type="dxa"/>
            </w:tcMar>
            <w:vAlign w:val="bottom"/>
          </w:tcPr>
          <w:p w14:paraId="5F2CE2E7" w14:textId="77777777" w:rsidR="00E836FB" w:rsidRDefault="00994958">
            <w:pPr>
              <w:textAlignment w:val="bottom"/>
            </w:pPr>
            <w:r>
              <w:rPr>
                <w:rFonts w:ascii="Arial" w:eastAsia="宋体" w:hAnsi="Arial" w:cs="Arial"/>
                <w:color w:val="000000"/>
                <w:sz w:val="14"/>
                <w:szCs w:val="14"/>
              </w:rPr>
              <w:t>Changes in credit risk-weighted assets:</w:t>
            </w:r>
          </w:p>
        </w:tc>
        <w:tc>
          <w:tcPr>
            <w:tcW w:w="0" w:type="auto"/>
            <w:gridSpan w:val="3"/>
            <w:shd w:val="clear" w:color="auto" w:fill="FFFFFF"/>
            <w:tcMar>
              <w:top w:w="0" w:type="dxa"/>
              <w:left w:w="20" w:type="dxa"/>
              <w:bottom w:w="0" w:type="dxa"/>
              <w:right w:w="20" w:type="dxa"/>
            </w:tcMar>
            <w:vAlign w:val="bottom"/>
          </w:tcPr>
          <w:p w14:paraId="5F2CE2E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E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E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E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E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E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2EE" w14:textId="77777777" w:rsidR="00E836FB" w:rsidRDefault="00E836FB">
            <w:pPr>
              <w:rPr>
                <w:rFonts w:ascii="宋体"/>
              </w:rPr>
            </w:pPr>
          </w:p>
        </w:tc>
      </w:tr>
      <w:tr w:rsidR="00E836FB" w14:paraId="5F2CE2FC" w14:textId="77777777">
        <w:tc>
          <w:tcPr>
            <w:tcW w:w="0" w:type="auto"/>
            <w:gridSpan w:val="3"/>
            <w:shd w:val="clear" w:color="auto" w:fill="CCEEFF"/>
            <w:tcMar>
              <w:top w:w="40" w:type="dxa"/>
              <w:left w:w="155" w:type="dxa"/>
              <w:bottom w:w="40" w:type="dxa"/>
              <w:right w:w="20" w:type="dxa"/>
            </w:tcMar>
            <w:vAlign w:val="bottom"/>
          </w:tcPr>
          <w:p w14:paraId="5F2CE2F0" w14:textId="77777777" w:rsidR="00E836FB" w:rsidRDefault="00994958">
            <w:pPr>
              <w:textAlignment w:val="bottom"/>
            </w:pPr>
            <w:r>
              <w:rPr>
                <w:rFonts w:ascii="Arial" w:eastAsia="宋体" w:hAnsi="Arial" w:cs="Arial"/>
                <w:color w:val="000000"/>
                <w:sz w:val="14"/>
                <w:szCs w:val="14"/>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5F2CE2F1" w14:textId="77777777" w:rsidR="00E836FB" w:rsidRDefault="00994958">
            <w:pPr>
              <w:jc w:val="right"/>
              <w:textAlignment w:val="bottom"/>
            </w:pPr>
            <w:r>
              <w:rPr>
                <w:rFonts w:ascii="Arial" w:eastAsia="宋体" w:hAnsi="Arial" w:cs="Arial"/>
                <w:b/>
                <w:bCs/>
                <w:color w:val="000000"/>
                <w:sz w:val="14"/>
                <w:szCs w:val="14"/>
              </w:rPr>
              <w:t>(476)</w:t>
            </w:r>
          </w:p>
        </w:tc>
        <w:tc>
          <w:tcPr>
            <w:tcW w:w="0" w:type="auto"/>
            <w:shd w:val="clear" w:color="auto" w:fill="CCEEFF"/>
            <w:tcMar>
              <w:top w:w="40" w:type="dxa"/>
              <w:left w:w="0" w:type="dxa"/>
              <w:bottom w:w="40" w:type="dxa"/>
              <w:right w:w="20" w:type="dxa"/>
            </w:tcMar>
            <w:vAlign w:val="bottom"/>
          </w:tcPr>
          <w:p w14:paraId="5F2CE2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F4" w14:textId="77777777" w:rsidR="00E836FB" w:rsidRDefault="00994958">
            <w:pPr>
              <w:jc w:val="right"/>
              <w:textAlignment w:val="bottom"/>
            </w:pPr>
            <w:r>
              <w:rPr>
                <w:rFonts w:ascii="Arial" w:eastAsia="宋体" w:hAnsi="Arial" w:cs="Arial"/>
                <w:color w:val="000000"/>
                <w:sz w:val="14"/>
                <w:szCs w:val="14"/>
              </w:rPr>
              <w:t>3,008 </w:t>
            </w:r>
          </w:p>
        </w:tc>
        <w:tc>
          <w:tcPr>
            <w:tcW w:w="0" w:type="auto"/>
            <w:shd w:val="clear" w:color="auto" w:fill="CCEEFF"/>
            <w:tcMar>
              <w:top w:w="40" w:type="dxa"/>
              <w:left w:w="0" w:type="dxa"/>
              <w:bottom w:w="40" w:type="dxa"/>
              <w:right w:w="20" w:type="dxa"/>
            </w:tcMar>
            <w:vAlign w:val="bottom"/>
          </w:tcPr>
          <w:p w14:paraId="5F2CE2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F7" w14:textId="77777777" w:rsidR="00E836FB" w:rsidRDefault="00994958">
            <w:pPr>
              <w:jc w:val="right"/>
              <w:textAlignment w:val="bottom"/>
            </w:pPr>
            <w:r>
              <w:rPr>
                <w:rFonts w:ascii="Arial" w:eastAsia="宋体" w:hAnsi="Arial" w:cs="Arial"/>
                <w:b/>
                <w:bCs/>
                <w:color w:val="000000"/>
                <w:sz w:val="14"/>
                <w:szCs w:val="14"/>
              </w:rPr>
              <w:t>(707)</w:t>
            </w:r>
          </w:p>
        </w:tc>
        <w:tc>
          <w:tcPr>
            <w:tcW w:w="0" w:type="auto"/>
            <w:shd w:val="clear" w:color="auto" w:fill="CCEEFF"/>
            <w:tcMar>
              <w:top w:w="40" w:type="dxa"/>
              <w:left w:w="0" w:type="dxa"/>
              <w:bottom w:w="40" w:type="dxa"/>
              <w:right w:w="20" w:type="dxa"/>
            </w:tcMar>
            <w:vAlign w:val="bottom"/>
          </w:tcPr>
          <w:p w14:paraId="5F2CE2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2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2FA" w14:textId="77777777" w:rsidR="00E836FB" w:rsidRDefault="00994958">
            <w:pPr>
              <w:jc w:val="right"/>
              <w:textAlignment w:val="bottom"/>
            </w:pPr>
            <w:r>
              <w:rPr>
                <w:rFonts w:ascii="Arial" w:eastAsia="宋体" w:hAnsi="Arial" w:cs="Arial"/>
                <w:color w:val="000000"/>
                <w:sz w:val="14"/>
                <w:szCs w:val="14"/>
              </w:rPr>
              <w:t>1,762 </w:t>
            </w:r>
          </w:p>
        </w:tc>
        <w:tc>
          <w:tcPr>
            <w:tcW w:w="0" w:type="auto"/>
            <w:shd w:val="clear" w:color="auto" w:fill="CCEEFF"/>
            <w:tcMar>
              <w:top w:w="40" w:type="dxa"/>
              <w:left w:w="0" w:type="dxa"/>
              <w:bottom w:w="40" w:type="dxa"/>
              <w:right w:w="20" w:type="dxa"/>
            </w:tcMar>
            <w:vAlign w:val="bottom"/>
          </w:tcPr>
          <w:p w14:paraId="5F2CE2FB" w14:textId="77777777" w:rsidR="00E836FB" w:rsidRDefault="00E836FB">
            <w:pPr>
              <w:jc w:val="right"/>
              <w:rPr>
                <w:rFonts w:ascii="宋体"/>
              </w:rPr>
            </w:pPr>
          </w:p>
        </w:tc>
      </w:tr>
      <w:tr w:rsidR="00E836FB" w14:paraId="5F2CE309" w14:textId="77777777">
        <w:tc>
          <w:tcPr>
            <w:tcW w:w="0" w:type="auto"/>
            <w:gridSpan w:val="3"/>
            <w:shd w:val="clear" w:color="auto" w:fill="FFFFFF"/>
            <w:tcMar>
              <w:top w:w="40" w:type="dxa"/>
              <w:left w:w="155" w:type="dxa"/>
              <w:bottom w:w="40" w:type="dxa"/>
              <w:right w:w="20" w:type="dxa"/>
            </w:tcMar>
            <w:vAlign w:val="bottom"/>
          </w:tcPr>
          <w:p w14:paraId="5F2CE2FD" w14:textId="77777777" w:rsidR="00E836FB" w:rsidRDefault="00994958">
            <w:pPr>
              <w:textAlignment w:val="bottom"/>
            </w:pPr>
            <w:r>
              <w:rPr>
                <w:rFonts w:ascii="Arial" w:eastAsia="宋体" w:hAnsi="Arial" w:cs="Arial"/>
                <w:color w:val="000000"/>
                <w:sz w:val="14"/>
                <w:szCs w:val="14"/>
              </w:rPr>
              <w:t xml:space="preserve">Net increase in loans </w:t>
            </w:r>
          </w:p>
        </w:tc>
        <w:tc>
          <w:tcPr>
            <w:tcW w:w="0" w:type="auto"/>
            <w:gridSpan w:val="2"/>
            <w:shd w:val="clear" w:color="auto" w:fill="FFFFFF"/>
            <w:tcMar>
              <w:top w:w="40" w:type="dxa"/>
              <w:left w:w="20" w:type="dxa"/>
              <w:bottom w:w="40" w:type="dxa"/>
              <w:right w:w="0" w:type="dxa"/>
            </w:tcMar>
            <w:vAlign w:val="bottom"/>
          </w:tcPr>
          <w:p w14:paraId="5F2CE2FE" w14:textId="77777777" w:rsidR="00E836FB" w:rsidRDefault="00994958">
            <w:pPr>
              <w:jc w:val="right"/>
              <w:textAlignment w:val="bottom"/>
            </w:pPr>
            <w:r>
              <w:rPr>
                <w:rFonts w:ascii="Arial" w:eastAsia="宋体" w:hAnsi="Arial" w:cs="Arial"/>
                <w:b/>
                <w:bCs/>
                <w:color w:val="000000"/>
                <w:sz w:val="14"/>
                <w:szCs w:val="14"/>
              </w:rPr>
              <w:t>2,017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2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01" w14:textId="77777777" w:rsidR="00E836FB" w:rsidRDefault="00994958">
            <w:pPr>
              <w:jc w:val="right"/>
              <w:textAlignment w:val="bottom"/>
            </w:pPr>
            <w:r>
              <w:rPr>
                <w:rFonts w:ascii="Arial" w:eastAsia="宋体" w:hAnsi="Arial" w:cs="Arial"/>
                <w:color w:val="000000"/>
                <w:sz w:val="14"/>
                <w:szCs w:val="14"/>
              </w:rPr>
              <w:t>2,973 </w:t>
            </w:r>
          </w:p>
        </w:tc>
        <w:tc>
          <w:tcPr>
            <w:tcW w:w="0" w:type="auto"/>
            <w:shd w:val="clear" w:color="auto" w:fill="FFFFFF"/>
            <w:tcMar>
              <w:top w:w="40" w:type="dxa"/>
              <w:left w:w="0" w:type="dxa"/>
              <w:bottom w:w="40" w:type="dxa"/>
              <w:right w:w="20" w:type="dxa"/>
            </w:tcMar>
            <w:vAlign w:val="bottom"/>
          </w:tcPr>
          <w:p w14:paraId="5F2CE3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04" w14:textId="77777777" w:rsidR="00E836FB" w:rsidRDefault="00994958">
            <w:pPr>
              <w:jc w:val="right"/>
              <w:textAlignment w:val="bottom"/>
            </w:pPr>
            <w:r>
              <w:rPr>
                <w:rFonts w:ascii="Arial" w:eastAsia="宋体" w:hAnsi="Arial" w:cs="Arial"/>
                <w:b/>
                <w:bCs/>
                <w:color w:val="000000"/>
                <w:sz w:val="14"/>
                <w:szCs w:val="14"/>
              </w:rPr>
              <w:t>946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3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07" w14:textId="77777777" w:rsidR="00E836FB" w:rsidRDefault="00994958">
            <w:pPr>
              <w:jc w:val="right"/>
              <w:textAlignment w:val="bottom"/>
            </w:pPr>
            <w:r>
              <w:rPr>
                <w:rFonts w:ascii="Arial" w:eastAsia="宋体" w:hAnsi="Arial" w:cs="Arial"/>
                <w:color w:val="000000"/>
                <w:sz w:val="14"/>
                <w:szCs w:val="14"/>
              </w:rPr>
              <w:t>3,638 </w:t>
            </w:r>
          </w:p>
        </w:tc>
        <w:tc>
          <w:tcPr>
            <w:tcW w:w="0" w:type="auto"/>
            <w:shd w:val="clear" w:color="auto" w:fill="FFFFFF"/>
            <w:tcMar>
              <w:top w:w="40" w:type="dxa"/>
              <w:left w:w="0" w:type="dxa"/>
              <w:bottom w:w="40" w:type="dxa"/>
              <w:right w:w="20" w:type="dxa"/>
            </w:tcMar>
            <w:vAlign w:val="bottom"/>
          </w:tcPr>
          <w:p w14:paraId="5F2CE308" w14:textId="77777777" w:rsidR="00E836FB" w:rsidRDefault="00E836FB">
            <w:pPr>
              <w:jc w:val="right"/>
              <w:rPr>
                <w:rFonts w:ascii="宋体"/>
              </w:rPr>
            </w:pPr>
          </w:p>
        </w:tc>
      </w:tr>
      <w:tr w:rsidR="00E836FB" w14:paraId="5F2CE316" w14:textId="77777777">
        <w:tc>
          <w:tcPr>
            <w:tcW w:w="0" w:type="auto"/>
            <w:gridSpan w:val="3"/>
            <w:shd w:val="clear" w:color="auto" w:fill="CCEEFF"/>
            <w:tcMar>
              <w:top w:w="40" w:type="dxa"/>
              <w:left w:w="155" w:type="dxa"/>
              <w:bottom w:w="40" w:type="dxa"/>
              <w:right w:w="20" w:type="dxa"/>
            </w:tcMar>
            <w:vAlign w:val="bottom"/>
          </w:tcPr>
          <w:p w14:paraId="5F2CE30A" w14:textId="77777777" w:rsidR="00E836FB" w:rsidRDefault="00994958">
            <w:pPr>
              <w:textAlignment w:val="bottom"/>
            </w:pPr>
            <w:r>
              <w:rPr>
                <w:rFonts w:ascii="Arial" w:eastAsia="宋体" w:hAnsi="Arial" w:cs="Arial"/>
                <w:color w:val="000000"/>
                <w:sz w:val="14"/>
                <w:szCs w:val="14"/>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5F2CE30B" w14:textId="77777777" w:rsidR="00E836FB" w:rsidRDefault="00994958">
            <w:pPr>
              <w:jc w:val="right"/>
              <w:textAlignment w:val="bottom"/>
            </w:pPr>
            <w:r>
              <w:rPr>
                <w:rFonts w:ascii="Arial" w:eastAsia="宋体" w:hAnsi="Arial" w:cs="Arial"/>
                <w:b/>
                <w:bCs/>
                <w:color w:val="000000"/>
                <w:sz w:val="14"/>
                <w:szCs w:val="14"/>
              </w:rPr>
              <w:t>(404)</w:t>
            </w:r>
          </w:p>
        </w:tc>
        <w:tc>
          <w:tcPr>
            <w:tcW w:w="0" w:type="auto"/>
            <w:shd w:val="clear" w:color="auto" w:fill="CCEEFF"/>
            <w:tcMar>
              <w:top w:w="40" w:type="dxa"/>
              <w:left w:w="0" w:type="dxa"/>
              <w:bottom w:w="40" w:type="dxa"/>
              <w:right w:w="20" w:type="dxa"/>
            </w:tcMar>
            <w:vAlign w:val="bottom"/>
          </w:tcPr>
          <w:p w14:paraId="5F2CE3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0E" w14:textId="77777777" w:rsidR="00E836FB" w:rsidRDefault="00994958">
            <w:pPr>
              <w:jc w:val="right"/>
              <w:textAlignment w:val="bottom"/>
            </w:pPr>
            <w:r>
              <w:rPr>
                <w:rFonts w:ascii="Arial" w:eastAsia="宋体" w:hAnsi="Arial" w:cs="Arial"/>
                <w:color w:val="000000"/>
                <w:sz w:val="14"/>
                <w:szCs w:val="14"/>
              </w:rPr>
              <w:t>578 </w:t>
            </w:r>
          </w:p>
        </w:tc>
        <w:tc>
          <w:tcPr>
            <w:tcW w:w="0" w:type="auto"/>
            <w:shd w:val="clear" w:color="auto" w:fill="CCEEFF"/>
            <w:tcMar>
              <w:top w:w="40" w:type="dxa"/>
              <w:left w:w="0" w:type="dxa"/>
              <w:bottom w:w="40" w:type="dxa"/>
              <w:right w:w="20" w:type="dxa"/>
            </w:tcMar>
            <w:vAlign w:val="bottom"/>
          </w:tcPr>
          <w:p w14:paraId="5F2CE3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11" w14:textId="77777777" w:rsidR="00E836FB" w:rsidRDefault="00994958">
            <w:pPr>
              <w:jc w:val="right"/>
              <w:textAlignment w:val="bottom"/>
            </w:pPr>
            <w:r>
              <w:rPr>
                <w:rFonts w:ascii="Arial" w:eastAsia="宋体" w:hAnsi="Arial" w:cs="Arial"/>
                <w:b/>
                <w:bCs/>
                <w:color w:val="000000"/>
                <w:sz w:val="14"/>
                <w:szCs w:val="14"/>
              </w:rPr>
              <w:t>(489)</w:t>
            </w:r>
          </w:p>
        </w:tc>
        <w:tc>
          <w:tcPr>
            <w:tcW w:w="0" w:type="auto"/>
            <w:shd w:val="clear" w:color="auto" w:fill="CCEEFF"/>
            <w:tcMar>
              <w:top w:w="40" w:type="dxa"/>
              <w:left w:w="0" w:type="dxa"/>
              <w:bottom w:w="40" w:type="dxa"/>
              <w:right w:w="20" w:type="dxa"/>
            </w:tcMar>
            <w:vAlign w:val="bottom"/>
          </w:tcPr>
          <w:p w14:paraId="5F2CE3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14" w14:textId="77777777" w:rsidR="00E836FB" w:rsidRDefault="00994958">
            <w:pPr>
              <w:jc w:val="right"/>
              <w:textAlignment w:val="bottom"/>
            </w:pPr>
            <w:r>
              <w:rPr>
                <w:rFonts w:ascii="Arial" w:eastAsia="宋体" w:hAnsi="Arial" w:cs="Arial"/>
                <w:color w:val="000000"/>
                <w:sz w:val="14"/>
                <w:szCs w:val="14"/>
              </w:rPr>
              <w:t>351 </w:t>
            </w:r>
          </w:p>
        </w:tc>
        <w:tc>
          <w:tcPr>
            <w:tcW w:w="0" w:type="auto"/>
            <w:shd w:val="clear" w:color="auto" w:fill="CCEEFF"/>
            <w:tcMar>
              <w:top w:w="40" w:type="dxa"/>
              <w:left w:w="0" w:type="dxa"/>
              <w:bottom w:w="40" w:type="dxa"/>
              <w:right w:w="20" w:type="dxa"/>
            </w:tcMar>
            <w:vAlign w:val="bottom"/>
          </w:tcPr>
          <w:p w14:paraId="5F2CE315" w14:textId="77777777" w:rsidR="00E836FB" w:rsidRDefault="00E836FB">
            <w:pPr>
              <w:jc w:val="right"/>
              <w:rPr>
                <w:rFonts w:ascii="宋体"/>
              </w:rPr>
            </w:pPr>
          </w:p>
        </w:tc>
      </w:tr>
      <w:tr w:rsidR="00E836FB" w14:paraId="5F2CE323" w14:textId="77777777">
        <w:tc>
          <w:tcPr>
            <w:tcW w:w="0" w:type="auto"/>
            <w:gridSpan w:val="3"/>
            <w:shd w:val="clear" w:color="auto" w:fill="FFFFFF"/>
            <w:tcMar>
              <w:top w:w="40" w:type="dxa"/>
              <w:left w:w="155" w:type="dxa"/>
              <w:bottom w:w="40" w:type="dxa"/>
              <w:right w:w="20" w:type="dxa"/>
            </w:tcMar>
            <w:vAlign w:val="bottom"/>
          </w:tcPr>
          <w:p w14:paraId="5F2CE317" w14:textId="77777777" w:rsidR="00E836FB" w:rsidRDefault="00994958">
            <w:pPr>
              <w:textAlignment w:val="bottom"/>
            </w:pPr>
            <w:r>
              <w:rPr>
                <w:rFonts w:ascii="Arial" w:eastAsia="宋体" w:hAnsi="Arial" w:cs="Arial"/>
                <w:color w:val="000000"/>
                <w:sz w:val="14"/>
                <w:szCs w:val="14"/>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5F2CE318" w14:textId="77777777" w:rsidR="00E836FB" w:rsidRDefault="00994958">
            <w:pPr>
              <w:jc w:val="right"/>
              <w:textAlignment w:val="bottom"/>
            </w:pPr>
            <w:r>
              <w:rPr>
                <w:rFonts w:ascii="Arial" w:eastAsia="宋体" w:hAnsi="Arial" w:cs="Arial"/>
                <w:b/>
                <w:bCs/>
                <w:color w:val="000000"/>
                <w:sz w:val="14"/>
                <w:szCs w:val="14"/>
              </w:rPr>
              <w:t>(440)</w:t>
            </w:r>
          </w:p>
        </w:tc>
        <w:tc>
          <w:tcPr>
            <w:tcW w:w="0" w:type="auto"/>
            <w:shd w:val="clear" w:color="auto" w:fill="FFFFFF"/>
            <w:tcMar>
              <w:top w:w="40" w:type="dxa"/>
              <w:left w:w="0" w:type="dxa"/>
              <w:bottom w:w="40" w:type="dxa"/>
              <w:right w:w="20" w:type="dxa"/>
            </w:tcMar>
            <w:vAlign w:val="bottom"/>
          </w:tcPr>
          <w:p w14:paraId="5F2CE3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1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1B" w14:textId="77777777" w:rsidR="00E836FB" w:rsidRDefault="00994958">
            <w:pPr>
              <w:jc w:val="right"/>
              <w:textAlignment w:val="bottom"/>
            </w:pPr>
            <w:r>
              <w:rPr>
                <w:rFonts w:ascii="Arial" w:eastAsia="宋体" w:hAnsi="Arial" w:cs="Arial"/>
                <w:color w:val="000000"/>
                <w:sz w:val="14"/>
                <w:szCs w:val="14"/>
              </w:rPr>
              <w:t>1,763 </w:t>
            </w:r>
          </w:p>
        </w:tc>
        <w:tc>
          <w:tcPr>
            <w:tcW w:w="0" w:type="auto"/>
            <w:shd w:val="clear" w:color="auto" w:fill="FFFFFF"/>
            <w:tcMar>
              <w:top w:w="40" w:type="dxa"/>
              <w:left w:w="0" w:type="dxa"/>
              <w:bottom w:w="40" w:type="dxa"/>
              <w:right w:w="20" w:type="dxa"/>
            </w:tcMar>
            <w:vAlign w:val="bottom"/>
          </w:tcPr>
          <w:p w14:paraId="5F2CE3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1E" w14:textId="77777777" w:rsidR="00E836FB" w:rsidRDefault="00994958">
            <w:pPr>
              <w:jc w:val="right"/>
              <w:textAlignment w:val="bottom"/>
            </w:pPr>
            <w:r>
              <w:rPr>
                <w:rFonts w:ascii="Arial" w:eastAsia="宋体" w:hAnsi="Arial" w:cs="Arial"/>
                <w:b/>
                <w:bCs/>
                <w:color w:val="000000"/>
                <w:sz w:val="14"/>
                <w:szCs w:val="14"/>
              </w:rPr>
              <w:t>(1,658)</w:t>
            </w:r>
          </w:p>
        </w:tc>
        <w:tc>
          <w:tcPr>
            <w:tcW w:w="0" w:type="auto"/>
            <w:shd w:val="clear" w:color="auto" w:fill="FFFFFF"/>
            <w:tcMar>
              <w:top w:w="40" w:type="dxa"/>
              <w:left w:w="0" w:type="dxa"/>
              <w:bottom w:w="40" w:type="dxa"/>
              <w:right w:w="20" w:type="dxa"/>
            </w:tcMar>
            <w:vAlign w:val="bottom"/>
          </w:tcPr>
          <w:p w14:paraId="5F2CE3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21" w14:textId="77777777" w:rsidR="00E836FB" w:rsidRDefault="00994958">
            <w:pPr>
              <w:jc w:val="right"/>
              <w:textAlignment w:val="bottom"/>
            </w:pPr>
            <w:r>
              <w:rPr>
                <w:rFonts w:ascii="Arial" w:eastAsia="宋体" w:hAnsi="Arial" w:cs="Arial"/>
                <w:color w:val="000000"/>
                <w:sz w:val="14"/>
                <w:szCs w:val="14"/>
              </w:rPr>
              <w:t>3,895 </w:t>
            </w:r>
          </w:p>
        </w:tc>
        <w:tc>
          <w:tcPr>
            <w:tcW w:w="0" w:type="auto"/>
            <w:shd w:val="clear" w:color="auto" w:fill="FFFFFF"/>
            <w:tcMar>
              <w:top w:w="40" w:type="dxa"/>
              <w:left w:w="0" w:type="dxa"/>
              <w:bottom w:w="40" w:type="dxa"/>
              <w:right w:w="20" w:type="dxa"/>
            </w:tcMar>
            <w:vAlign w:val="bottom"/>
          </w:tcPr>
          <w:p w14:paraId="5F2CE322" w14:textId="77777777" w:rsidR="00E836FB" w:rsidRDefault="00E836FB">
            <w:pPr>
              <w:jc w:val="right"/>
              <w:rPr>
                <w:rFonts w:ascii="宋体"/>
              </w:rPr>
            </w:pPr>
          </w:p>
        </w:tc>
      </w:tr>
      <w:tr w:rsidR="00E836FB" w14:paraId="5F2CE330" w14:textId="77777777">
        <w:tc>
          <w:tcPr>
            <w:tcW w:w="0" w:type="auto"/>
            <w:gridSpan w:val="3"/>
            <w:shd w:val="clear" w:color="auto" w:fill="CCEEFF"/>
            <w:tcMar>
              <w:top w:w="40" w:type="dxa"/>
              <w:left w:w="20" w:type="dxa"/>
              <w:bottom w:w="40" w:type="dxa"/>
              <w:right w:w="20" w:type="dxa"/>
            </w:tcMar>
            <w:vAlign w:val="bottom"/>
          </w:tcPr>
          <w:p w14:paraId="5F2CE324" w14:textId="77777777" w:rsidR="00E836FB" w:rsidRDefault="00994958">
            <w:pPr>
              <w:textAlignment w:val="bottom"/>
            </w:pPr>
            <w:r>
              <w:rPr>
                <w:rFonts w:ascii="Arial" w:eastAsia="宋体" w:hAnsi="Arial" w:cs="Arial"/>
                <w:color w:val="000000"/>
                <w:sz w:val="14"/>
                <w:szCs w:val="14"/>
              </w:rPr>
              <w:t>Net increase (decrease) in over-the-counter derivatives exposures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CE325" w14:textId="77777777" w:rsidR="00E836FB" w:rsidRDefault="00994958">
            <w:pPr>
              <w:jc w:val="right"/>
              <w:textAlignment w:val="bottom"/>
            </w:pPr>
            <w:r>
              <w:rPr>
                <w:rFonts w:ascii="Arial" w:eastAsia="宋体" w:hAnsi="Arial" w:cs="Arial"/>
                <w:b/>
                <w:bCs/>
                <w:color w:val="000000"/>
                <w:sz w:val="14"/>
                <w:szCs w:val="14"/>
              </w:rPr>
              <w:t>(1,353)</w:t>
            </w:r>
          </w:p>
        </w:tc>
        <w:tc>
          <w:tcPr>
            <w:tcW w:w="0" w:type="auto"/>
            <w:shd w:val="clear" w:color="auto" w:fill="CCEEFF"/>
            <w:tcMar>
              <w:top w:w="40" w:type="dxa"/>
              <w:left w:w="0" w:type="dxa"/>
              <w:bottom w:w="40" w:type="dxa"/>
              <w:right w:w="20" w:type="dxa"/>
            </w:tcMar>
            <w:vAlign w:val="bottom"/>
          </w:tcPr>
          <w:p w14:paraId="5F2CE3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2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28" w14:textId="77777777" w:rsidR="00E836FB" w:rsidRDefault="00994958">
            <w:pPr>
              <w:jc w:val="right"/>
              <w:textAlignment w:val="bottom"/>
            </w:pPr>
            <w:r>
              <w:rPr>
                <w:rFonts w:ascii="Arial" w:eastAsia="宋体" w:hAnsi="Arial" w:cs="Arial"/>
                <w:color w:val="000000"/>
                <w:sz w:val="14"/>
                <w:szCs w:val="14"/>
              </w:rPr>
              <w:t>780 </w:t>
            </w:r>
          </w:p>
        </w:tc>
        <w:tc>
          <w:tcPr>
            <w:tcW w:w="0" w:type="auto"/>
            <w:shd w:val="clear" w:color="auto" w:fill="CCEEFF"/>
            <w:tcMar>
              <w:top w:w="40" w:type="dxa"/>
              <w:left w:w="0" w:type="dxa"/>
              <w:bottom w:w="40" w:type="dxa"/>
              <w:right w:w="20" w:type="dxa"/>
            </w:tcMar>
            <w:vAlign w:val="bottom"/>
          </w:tcPr>
          <w:p w14:paraId="5F2CE32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2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2B" w14:textId="77777777" w:rsidR="00E836FB" w:rsidRDefault="00994958">
            <w:pPr>
              <w:jc w:val="right"/>
              <w:textAlignment w:val="bottom"/>
            </w:pPr>
            <w:r>
              <w:rPr>
                <w:rFonts w:ascii="Arial" w:eastAsia="宋体" w:hAnsi="Arial" w:cs="Arial"/>
                <w:b/>
                <w:bCs/>
                <w:color w:val="000000"/>
                <w:sz w:val="14"/>
                <w:szCs w:val="14"/>
              </w:rPr>
              <w:t>(863)</w:t>
            </w:r>
          </w:p>
        </w:tc>
        <w:tc>
          <w:tcPr>
            <w:tcW w:w="0" w:type="auto"/>
            <w:shd w:val="clear" w:color="auto" w:fill="CCEEFF"/>
            <w:tcMar>
              <w:top w:w="40" w:type="dxa"/>
              <w:left w:w="0" w:type="dxa"/>
              <w:bottom w:w="40" w:type="dxa"/>
              <w:right w:w="20" w:type="dxa"/>
            </w:tcMar>
            <w:vAlign w:val="bottom"/>
          </w:tcPr>
          <w:p w14:paraId="5F2CE3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2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2E" w14:textId="77777777" w:rsidR="00E836FB" w:rsidRDefault="00994958">
            <w:pPr>
              <w:jc w:val="right"/>
              <w:textAlignment w:val="bottom"/>
            </w:pPr>
            <w:r>
              <w:rPr>
                <w:rFonts w:ascii="Arial" w:eastAsia="宋体" w:hAnsi="Arial" w:cs="Arial"/>
                <w:color w:val="000000"/>
                <w:sz w:val="14"/>
                <w:szCs w:val="14"/>
              </w:rPr>
              <w:t>457 </w:t>
            </w:r>
          </w:p>
        </w:tc>
        <w:tc>
          <w:tcPr>
            <w:tcW w:w="0" w:type="auto"/>
            <w:shd w:val="clear" w:color="auto" w:fill="CCEEFF"/>
            <w:tcMar>
              <w:top w:w="40" w:type="dxa"/>
              <w:left w:w="0" w:type="dxa"/>
              <w:bottom w:w="40" w:type="dxa"/>
              <w:right w:w="20" w:type="dxa"/>
            </w:tcMar>
            <w:vAlign w:val="bottom"/>
          </w:tcPr>
          <w:p w14:paraId="5F2CE32F" w14:textId="77777777" w:rsidR="00E836FB" w:rsidRDefault="00E836FB">
            <w:pPr>
              <w:jc w:val="right"/>
              <w:rPr>
                <w:rFonts w:ascii="宋体"/>
              </w:rPr>
            </w:pPr>
          </w:p>
        </w:tc>
      </w:tr>
      <w:tr w:rsidR="00E836FB" w14:paraId="5F2CE33D" w14:textId="77777777">
        <w:tc>
          <w:tcPr>
            <w:tcW w:w="0" w:type="auto"/>
            <w:gridSpan w:val="3"/>
            <w:shd w:val="clear" w:color="auto" w:fill="FFFFFF"/>
            <w:tcMar>
              <w:top w:w="40" w:type="dxa"/>
              <w:left w:w="20" w:type="dxa"/>
              <w:bottom w:w="40" w:type="dxa"/>
              <w:right w:w="20" w:type="dxa"/>
            </w:tcMar>
            <w:vAlign w:val="bottom"/>
          </w:tcPr>
          <w:p w14:paraId="5F2CE331" w14:textId="77777777" w:rsidR="00E836FB" w:rsidRDefault="00994958">
            <w:pPr>
              <w:textAlignment w:val="bottom"/>
            </w:pPr>
            <w:r>
              <w:rPr>
                <w:rFonts w:ascii="Arial" w:eastAsia="宋体" w:hAnsi="Arial" w:cs="Arial"/>
                <w:color w:val="000000"/>
                <w:sz w:val="14"/>
                <w:szCs w:val="14"/>
              </w:rPr>
              <w:t>Net increase (decrease) in all 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CE332" w14:textId="77777777" w:rsidR="00E836FB" w:rsidRDefault="00994958">
            <w:pPr>
              <w:jc w:val="right"/>
              <w:textAlignment w:val="bottom"/>
            </w:pPr>
            <w:r>
              <w:rPr>
                <w:rFonts w:ascii="Arial" w:eastAsia="宋体" w:hAnsi="Arial" w:cs="Arial"/>
                <w:b/>
                <w:bCs/>
                <w:color w:val="000000"/>
                <w:sz w:val="14"/>
                <w:szCs w:val="14"/>
              </w:rPr>
              <w:t>1,024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CE3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3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35" w14:textId="77777777" w:rsidR="00E836FB" w:rsidRDefault="00994958">
            <w:pPr>
              <w:jc w:val="right"/>
              <w:textAlignment w:val="bottom"/>
            </w:pPr>
            <w:r>
              <w:rPr>
                <w:rFonts w:ascii="Arial" w:eastAsia="宋体" w:hAnsi="Arial" w:cs="Arial"/>
                <w:color w:val="000000"/>
                <w:sz w:val="14"/>
                <w:szCs w:val="14"/>
              </w:rPr>
              <w:t>(498)</w:t>
            </w:r>
          </w:p>
        </w:tc>
        <w:tc>
          <w:tcPr>
            <w:tcW w:w="0" w:type="auto"/>
            <w:shd w:val="clear" w:color="auto" w:fill="FFFFFF"/>
            <w:tcMar>
              <w:top w:w="40" w:type="dxa"/>
              <w:left w:w="0" w:type="dxa"/>
              <w:bottom w:w="40" w:type="dxa"/>
              <w:right w:w="20" w:type="dxa"/>
            </w:tcMar>
            <w:vAlign w:val="bottom"/>
          </w:tcPr>
          <w:p w14:paraId="5F2CE3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3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38" w14:textId="77777777" w:rsidR="00E836FB" w:rsidRDefault="00994958">
            <w:pPr>
              <w:jc w:val="right"/>
              <w:textAlignment w:val="bottom"/>
            </w:pPr>
            <w:r>
              <w:rPr>
                <w:rFonts w:ascii="Arial" w:eastAsia="宋体" w:hAnsi="Arial" w:cs="Arial"/>
                <w:b/>
                <w:bCs/>
                <w:color w:val="000000"/>
                <w:sz w:val="14"/>
                <w:szCs w:val="14"/>
              </w:rPr>
              <w:t>(2,567)</w:t>
            </w:r>
          </w:p>
        </w:tc>
        <w:tc>
          <w:tcPr>
            <w:tcW w:w="0" w:type="auto"/>
            <w:shd w:val="clear" w:color="auto" w:fill="FFFFFF"/>
            <w:tcMar>
              <w:top w:w="40" w:type="dxa"/>
              <w:left w:w="0" w:type="dxa"/>
              <w:bottom w:w="40" w:type="dxa"/>
              <w:right w:w="20" w:type="dxa"/>
            </w:tcMar>
            <w:vAlign w:val="bottom"/>
          </w:tcPr>
          <w:p w14:paraId="5F2CE3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3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3B" w14:textId="77777777" w:rsidR="00E836FB" w:rsidRDefault="00994958">
            <w:pPr>
              <w:jc w:val="right"/>
              <w:textAlignment w:val="bottom"/>
            </w:pPr>
            <w:r>
              <w:rPr>
                <w:rFonts w:ascii="Arial" w:eastAsia="宋体" w:hAnsi="Arial" w:cs="Arial"/>
                <w:color w:val="000000"/>
                <w:sz w:val="14"/>
                <w:szCs w:val="14"/>
              </w:rPr>
              <w:t>2,422 </w:t>
            </w:r>
          </w:p>
        </w:tc>
        <w:tc>
          <w:tcPr>
            <w:tcW w:w="0" w:type="auto"/>
            <w:shd w:val="clear" w:color="auto" w:fill="FFFFFF"/>
            <w:tcMar>
              <w:top w:w="40" w:type="dxa"/>
              <w:left w:w="0" w:type="dxa"/>
              <w:bottom w:w="40" w:type="dxa"/>
              <w:right w:w="20" w:type="dxa"/>
            </w:tcMar>
            <w:vAlign w:val="bottom"/>
          </w:tcPr>
          <w:p w14:paraId="5F2CE33C" w14:textId="77777777" w:rsidR="00E836FB" w:rsidRDefault="00E836FB">
            <w:pPr>
              <w:jc w:val="right"/>
              <w:rPr>
                <w:rFonts w:ascii="宋体"/>
              </w:rPr>
            </w:pPr>
          </w:p>
        </w:tc>
      </w:tr>
      <w:tr w:rsidR="00E836FB" w14:paraId="5F2CE34A" w14:textId="77777777">
        <w:tc>
          <w:tcPr>
            <w:tcW w:w="0" w:type="auto"/>
            <w:gridSpan w:val="3"/>
            <w:shd w:val="clear" w:color="auto" w:fill="CCEEFF"/>
            <w:tcMar>
              <w:top w:w="40" w:type="dxa"/>
              <w:left w:w="20" w:type="dxa"/>
              <w:bottom w:w="40" w:type="dxa"/>
              <w:right w:w="20" w:type="dxa"/>
            </w:tcMar>
            <w:vAlign w:val="bottom"/>
          </w:tcPr>
          <w:p w14:paraId="5F2CE33E" w14:textId="77777777" w:rsidR="00E836FB" w:rsidRDefault="00994958">
            <w:pPr>
              <w:textAlignment w:val="bottom"/>
            </w:pPr>
            <w:r>
              <w:rPr>
                <w:rFonts w:ascii="Arial" w:eastAsia="宋体" w:hAnsi="Arial" w:cs="Arial"/>
                <w:color w:val="000000"/>
                <w:sz w:val="14"/>
                <w:szCs w:val="14"/>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33F" w14:textId="77777777" w:rsidR="00E836FB" w:rsidRDefault="00994958">
            <w:pPr>
              <w:jc w:val="right"/>
              <w:textAlignment w:val="bottom"/>
            </w:pPr>
            <w:r>
              <w:rPr>
                <w:rFonts w:ascii="Arial" w:eastAsia="宋体" w:hAnsi="Arial" w:cs="Arial"/>
                <w:b/>
                <w:bCs/>
                <w:color w:val="000000"/>
                <w:sz w:val="14"/>
                <w:szCs w:val="14"/>
              </w:rPr>
              <w:t>368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3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4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342" w14:textId="77777777" w:rsidR="00E836FB" w:rsidRDefault="00994958">
            <w:pPr>
              <w:jc w:val="right"/>
              <w:textAlignment w:val="bottom"/>
            </w:pPr>
            <w:r>
              <w:rPr>
                <w:rFonts w:ascii="Arial" w:eastAsia="宋体" w:hAnsi="Arial" w:cs="Arial"/>
                <w:color w:val="000000"/>
                <w:sz w:val="14"/>
                <w:szCs w:val="14"/>
              </w:rPr>
              <w:t>8,604 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3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4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345" w14:textId="77777777" w:rsidR="00E836FB" w:rsidRDefault="00994958">
            <w:pPr>
              <w:jc w:val="right"/>
              <w:textAlignment w:val="bottom"/>
            </w:pPr>
            <w:r>
              <w:rPr>
                <w:rFonts w:ascii="Arial" w:eastAsia="宋体" w:hAnsi="Arial" w:cs="Arial"/>
                <w:b/>
                <w:bCs/>
                <w:color w:val="000000"/>
                <w:sz w:val="14"/>
                <w:szCs w:val="14"/>
              </w:rPr>
              <w:t>(5,338)</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3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4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348" w14:textId="77777777" w:rsidR="00E836FB" w:rsidRDefault="00994958">
            <w:pPr>
              <w:jc w:val="right"/>
              <w:textAlignment w:val="bottom"/>
            </w:pPr>
            <w:r>
              <w:rPr>
                <w:rFonts w:ascii="Arial" w:eastAsia="宋体" w:hAnsi="Arial" w:cs="Arial"/>
                <w:color w:val="000000"/>
                <w:sz w:val="14"/>
                <w:szCs w:val="14"/>
              </w:rPr>
              <w:t>12,525 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349" w14:textId="77777777" w:rsidR="00E836FB" w:rsidRDefault="00E836FB">
            <w:pPr>
              <w:jc w:val="right"/>
              <w:rPr>
                <w:rFonts w:ascii="宋体"/>
              </w:rPr>
            </w:pPr>
          </w:p>
        </w:tc>
      </w:tr>
      <w:tr w:rsidR="00E836FB" w14:paraId="5F2CE357" w14:textId="77777777">
        <w:tc>
          <w:tcPr>
            <w:tcW w:w="0" w:type="auto"/>
            <w:gridSpan w:val="3"/>
            <w:shd w:val="clear" w:color="auto" w:fill="FFFFFF"/>
            <w:tcMar>
              <w:top w:w="40" w:type="dxa"/>
              <w:left w:w="20" w:type="dxa"/>
              <w:bottom w:w="40" w:type="dxa"/>
              <w:right w:w="20" w:type="dxa"/>
            </w:tcMar>
            <w:vAlign w:val="bottom"/>
          </w:tcPr>
          <w:p w14:paraId="5F2CE34B" w14:textId="77777777" w:rsidR="00E836FB" w:rsidRDefault="00994958">
            <w:pPr>
              <w:textAlignment w:val="bottom"/>
            </w:pPr>
            <w:r>
              <w:rPr>
                <w:rFonts w:ascii="Arial" w:eastAsia="宋体" w:hAnsi="Arial" w:cs="Arial"/>
                <w:color w:val="000000"/>
                <w:sz w:val="14"/>
                <w:szCs w:val="14"/>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5F2CE34C" w14:textId="77777777" w:rsidR="00E836FB" w:rsidRDefault="00994958">
            <w:pPr>
              <w:jc w:val="right"/>
              <w:textAlignment w:val="bottom"/>
            </w:pPr>
            <w:r>
              <w:rPr>
                <w:rFonts w:ascii="Arial" w:eastAsia="宋体" w:hAnsi="Arial" w:cs="Arial"/>
                <w:b/>
                <w:bCs/>
                <w:color w:val="000000"/>
                <w:sz w:val="14"/>
                <w:szCs w:val="14"/>
              </w:rPr>
              <w:t>(75)</w:t>
            </w:r>
          </w:p>
        </w:tc>
        <w:tc>
          <w:tcPr>
            <w:tcW w:w="0" w:type="auto"/>
            <w:shd w:val="clear" w:color="auto" w:fill="FFFFFF"/>
            <w:tcMar>
              <w:top w:w="40" w:type="dxa"/>
              <w:left w:w="0" w:type="dxa"/>
              <w:bottom w:w="40" w:type="dxa"/>
              <w:right w:w="20" w:type="dxa"/>
            </w:tcMar>
            <w:vAlign w:val="bottom"/>
          </w:tcPr>
          <w:p w14:paraId="5F2CE3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4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4F" w14:textId="77777777" w:rsidR="00E836FB" w:rsidRDefault="00994958">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5F2CE3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5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52" w14:textId="77777777" w:rsidR="00E836FB" w:rsidRDefault="00994958">
            <w:pPr>
              <w:jc w:val="right"/>
              <w:textAlignment w:val="bottom"/>
            </w:pPr>
            <w:r>
              <w:rPr>
                <w:rFonts w:ascii="Arial" w:eastAsia="宋体" w:hAnsi="Arial" w:cs="Arial"/>
                <w:b/>
                <w:bCs/>
                <w:color w:val="000000"/>
                <w:sz w:val="14"/>
                <w:szCs w:val="14"/>
              </w:rPr>
              <w:t>(75)</w:t>
            </w:r>
          </w:p>
        </w:tc>
        <w:tc>
          <w:tcPr>
            <w:tcW w:w="0" w:type="auto"/>
            <w:shd w:val="clear" w:color="auto" w:fill="FFFFFF"/>
            <w:tcMar>
              <w:top w:w="40" w:type="dxa"/>
              <w:left w:w="0" w:type="dxa"/>
              <w:bottom w:w="40" w:type="dxa"/>
              <w:right w:w="20" w:type="dxa"/>
            </w:tcMar>
            <w:vAlign w:val="bottom"/>
          </w:tcPr>
          <w:p w14:paraId="5F2CE3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5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55" w14:textId="77777777" w:rsidR="00E836FB" w:rsidRDefault="00994958">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5F2CE356" w14:textId="77777777" w:rsidR="00E836FB" w:rsidRDefault="00E836FB">
            <w:pPr>
              <w:jc w:val="right"/>
              <w:rPr>
                <w:rFonts w:ascii="宋体"/>
              </w:rPr>
            </w:pPr>
          </w:p>
        </w:tc>
      </w:tr>
      <w:tr w:rsidR="00E836FB" w14:paraId="5F2CE362" w14:textId="77777777">
        <w:tc>
          <w:tcPr>
            <w:tcW w:w="0" w:type="auto"/>
            <w:gridSpan w:val="3"/>
            <w:shd w:val="clear" w:color="auto" w:fill="CCEEFF"/>
            <w:tcMar>
              <w:top w:w="40" w:type="dxa"/>
              <w:left w:w="20" w:type="dxa"/>
              <w:bottom w:w="40" w:type="dxa"/>
              <w:right w:w="20" w:type="dxa"/>
            </w:tcMar>
            <w:vAlign w:val="bottom"/>
          </w:tcPr>
          <w:p w14:paraId="5F2CE358" w14:textId="77777777" w:rsidR="00E836FB" w:rsidRDefault="00994958">
            <w:pPr>
              <w:textAlignment w:val="bottom"/>
            </w:pPr>
            <w:r>
              <w:rPr>
                <w:rFonts w:ascii="Arial" w:eastAsia="宋体" w:hAnsi="Arial" w:cs="Arial"/>
                <w:color w:val="000000"/>
                <w:sz w:val="14"/>
                <w:szCs w:val="14"/>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5F2CE359" w14:textId="77777777" w:rsidR="00E836FB" w:rsidRDefault="00994958">
            <w:pPr>
              <w:jc w:val="right"/>
              <w:textAlignment w:val="bottom"/>
            </w:pPr>
            <w:r>
              <w:rPr>
                <w:rFonts w:ascii="Arial" w:eastAsia="宋体" w:hAnsi="Arial" w:cs="Arial"/>
                <w:b/>
                <w:bCs/>
                <w:color w:val="000000"/>
                <w:sz w:val="14"/>
                <w:szCs w:val="14"/>
              </w:rPr>
              <w:t>1,400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CE3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5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5C" w14:textId="77777777" w:rsidR="00E836FB" w:rsidRDefault="00994958">
            <w:pPr>
              <w:jc w:val="right"/>
              <w:textAlignment w:val="bottom"/>
            </w:pPr>
            <w:r>
              <w:rPr>
                <w:rFonts w:ascii="Arial" w:eastAsia="宋体" w:hAnsi="Arial" w:cs="Arial"/>
                <w:color w:val="000000"/>
                <w:sz w:val="14"/>
                <w:szCs w:val="14"/>
              </w:rPr>
              <w:t>(3,813)</w:t>
            </w:r>
          </w:p>
        </w:tc>
        <w:tc>
          <w:tcPr>
            <w:tcW w:w="0" w:type="auto"/>
            <w:shd w:val="clear" w:color="auto" w:fill="CCEEFF"/>
            <w:tcMar>
              <w:top w:w="40" w:type="dxa"/>
              <w:left w:w="0" w:type="dxa"/>
              <w:bottom w:w="40" w:type="dxa"/>
              <w:right w:w="20" w:type="dxa"/>
            </w:tcMar>
            <w:vAlign w:val="bottom"/>
          </w:tcPr>
          <w:p w14:paraId="5F2CE35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5E"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E35F" w14:textId="77777777" w:rsidR="00E836FB" w:rsidRDefault="00994958">
            <w:pPr>
              <w:jc w:val="right"/>
              <w:textAlignment w:val="bottom"/>
            </w:pPr>
            <w:r>
              <w:rPr>
                <w:rFonts w:ascii="Arial" w:eastAsia="宋体" w:hAnsi="Arial" w:cs="Arial"/>
                <w:b/>
                <w:bCs/>
                <w:color w:val="000000"/>
                <w:sz w:val="14"/>
                <w:szCs w:val="14"/>
              </w:rPr>
              <w:t>N/A</w:t>
            </w:r>
          </w:p>
        </w:tc>
        <w:tc>
          <w:tcPr>
            <w:tcW w:w="0" w:type="auto"/>
            <w:gridSpan w:val="3"/>
            <w:shd w:val="clear" w:color="auto" w:fill="CCEEFF"/>
            <w:tcMar>
              <w:top w:w="0" w:type="dxa"/>
              <w:left w:w="20" w:type="dxa"/>
              <w:bottom w:w="0" w:type="dxa"/>
              <w:right w:w="20" w:type="dxa"/>
            </w:tcMar>
            <w:vAlign w:val="bottom"/>
          </w:tcPr>
          <w:p w14:paraId="5F2CE360"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CE361" w14:textId="77777777" w:rsidR="00E836FB" w:rsidRDefault="00994958">
            <w:pPr>
              <w:jc w:val="right"/>
              <w:textAlignment w:val="bottom"/>
            </w:pPr>
            <w:r>
              <w:rPr>
                <w:rFonts w:ascii="Arial" w:eastAsia="宋体" w:hAnsi="Arial" w:cs="Arial"/>
                <w:color w:val="000000"/>
                <w:sz w:val="14"/>
                <w:szCs w:val="14"/>
              </w:rPr>
              <w:t>N/A</w:t>
            </w:r>
          </w:p>
        </w:tc>
      </w:tr>
      <w:tr w:rsidR="00E836FB" w14:paraId="5F2CE373" w14:textId="77777777">
        <w:tc>
          <w:tcPr>
            <w:tcW w:w="0" w:type="auto"/>
            <w:gridSpan w:val="3"/>
            <w:shd w:val="clear" w:color="auto" w:fill="FFFFFF"/>
            <w:tcMar>
              <w:top w:w="40" w:type="dxa"/>
              <w:left w:w="20" w:type="dxa"/>
              <w:bottom w:w="40" w:type="dxa"/>
              <w:right w:w="20" w:type="dxa"/>
            </w:tcMar>
            <w:vAlign w:val="bottom"/>
          </w:tcPr>
          <w:p w14:paraId="5F2CE363" w14:textId="77777777" w:rsidR="00E836FB" w:rsidRDefault="00994958">
            <w:pPr>
              <w:textAlignment w:val="bottom"/>
            </w:pPr>
            <w:r>
              <w:rPr>
                <w:rFonts w:ascii="Arial" w:eastAsia="宋体" w:hAnsi="Arial" w:cs="Arial"/>
                <w:color w:val="000000"/>
                <w:sz w:val="14"/>
                <w:szCs w:val="14"/>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36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365" w14:textId="77777777" w:rsidR="00E836FB" w:rsidRDefault="00994958">
            <w:pPr>
              <w:jc w:val="right"/>
              <w:textAlignment w:val="bottom"/>
            </w:pPr>
            <w:r>
              <w:rPr>
                <w:rFonts w:ascii="Arial" w:eastAsia="宋体" w:hAnsi="Arial" w:cs="Arial"/>
                <w:b/>
                <w:bCs/>
                <w:color w:val="000000"/>
                <w:sz w:val="14"/>
                <w:szCs w:val="14"/>
              </w:rPr>
              <w:t>111,398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3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6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36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369" w14:textId="77777777" w:rsidR="00E836FB" w:rsidRDefault="00994958">
            <w:pPr>
              <w:jc w:val="right"/>
              <w:textAlignment w:val="bottom"/>
            </w:pPr>
            <w:r>
              <w:rPr>
                <w:rFonts w:ascii="Arial" w:eastAsia="宋体" w:hAnsi="Arial" w:cs="Arial"/>
                <w:color w:val="000000"/>
                <w:sz w:val="14"/>
                <w:szCs w:val="14"/>
              </w:rPr>
              <w:t>109,705 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36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6B"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36C"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36D" w14:textId="77777777" w:rsidR="00E836FB" w:rsidRDefault="00994958">
            <w:pPr>
              <w:jc w:val="right"/>
              <w:textAlignment w:val="bottom"/>
            </w:pPr>
            <w:r>
              <w:rPr>
                <w:rFonts w:ascii="Arial" w:eastAsia="宋体" w:hAnsi="Arial" w:cs="Arial"/>
                <w:b/>
                <w:bCs/>
                <w:color w:val="000000"/>
                <w:sz w:val="14"/>
                <w:szCs w:val="14"/>
              </w:rPr>
              <w:t>111,667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36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6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37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371" w14:textId="77777777" w:rsidR="00E836FB" w:rsidRDefault="00994958">
            <w:pPr>
              <w:jc w:val="right"/>
              <w:textAlignment w:val="bottom"/>
            </w:pPr>
            <w:r>
              <w:rPr>
                <w:rFonts w:ascii="Arial" w:eastAsia="宋体" w:hAnsi="Arial" w:cs="Arial"/>
                <w:color w:val="000000"/>
                <w:sz w:val="14"/>
                <w:szCs w:val="14"/>
              </w:rPr>
              <w:t>117,080 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372" w14:textId="77777777" w:rsidR="00E836FB" w:rsidRDefault="00E836FB">
            <w:pPr>
              <w:jc w:val="right"/>
              <w:rPr>
                <w:rFonts w:ascii="宋体"/>
              </w:rPr>
            </w:pPr>
          </w:p>
        </w:tc>
      </w:tr>
    </w:tbl>
    <w:p w14:paraId="5F2CE374"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E836FB" w14:paraId="5F2CE37E" w14:textId="77777777">
        <w:tc>
          <w:tcPr>
            <w:tcW w:w="50" w:type="pct"/>
            <w:shd w:val="clear" w:color="auto" w:fill="auto"/>
            <w:vAlign w:val="bottom"/>
          </w:tcPr>
          <w:p w14:paraId="5F2CE375" w14:textId="77777777" w:rsidR="00E836FB" w:rsidRDefault="00E836FB">
            <w:pPr>
              <w:rPr>
                <w:rFonts w:ascii="宋体"/>
              </w:rPr>
            </w:pPr>
          </w:p>
        </w:tc>
        <w:tc>
          <w:tcPr>
            <w:tcW w:w="1348" w:type="pct"/>
            <w:shd w:val="clear" w:color="auto" w:fill="auto"/>
            <w:vAlign w:val="bottom"/>
          </w:tcPr>
          <w:p w14:paraId="5F2CE376" w14:textId="77777777" w:rsidR="00E836FB" w:rsidRDefault="00E836FB">
            <w:pPr>
              <w:rPr>
                <w:rFonts w:ascii="宋体"/>
              </w:rPr>
            </w:pPr>
          </w:p>
        </w:tc>
        <w:tc>
          <w:tcPr>
            <w:tcW w:w="5" w:type="pct"/>
            <w:shd w:val="clear" w:color="auto" w:fill="auto"/>
            <w:vAlign w:val="bottom"/>
          </w:tcPr>
          <w:p w14:paraId="5F2CE377" w14:textId="77777777" w:rsidR="00E836FB" w:rsidRDefault="00E836FB">
            <w:pPr>
              <w:rPr>
                <w:rFonts w:ascii="宋体"/>
              </w:rPr>
            </w:pPr>
          </w:p>
        </w:tc>
        <w:tc>
          <w:tcPr>
            <w:tcW w:w="50" w:type="pct"/>
            <w:shd w:val="clear" w:color="auto" w:fill="auto"/>
            <w:vAlign w:val="bottom"/>
          </w:tcPr>
          <w:p w14:paraId="5F2CE378" w14:textId="77777777" w:rsidR="00E836FB" w:rsidRDefault="00E836FB">
            <w:pPr>
              <w:rPr>
                <w:rFonts w:ascii="宋体"/>
              </w:rPr>
            </w:pPr>
          </w:p>
        </w:tc>
        <w:tc>
          <w:tcPr>
            <w:tcW w:w="2781" w:type="pct"/>
            <w:shd w:val="clear" w:color="auto" w:fill="auto"/>
            <w:vAlign w:val="bottom"/>
          </w:tcPr>
          <w:p w14:paraId="5F2CE379" w14:textId="77777777" w:rsidR="00E836FB" w:rsidRDefault="00E836FB">
            <w:pPr>
              <w:rPr>
                <w:rFonts w:ascii="宋体"/>
              </w:rPr>
            </w:pPr>
          </w:p>
        </w:tc>
        <w:tc>
          <w:tcPr>
            <w:tcW w:w="5" w:type="pct"/>
            <w:shd w:val="clear" w:color="auto" w:fill="auto"/>
            <w:vAlign w:val="bottom"/>
          </w:tcPr>
          <w:p w14:paraId="5F2CE37A" w14:textId="77777777" w:rsidR="00E836FB" w:rsidRDefault="00E836FB">
            <w:pPr>
              <w:rPr>
                <w:rFonts w:ascii="宋体"/>
              </w:rPr>
            </w:pPr>
          </w:p>
        </w:tc>
        <w:tc>
          <w:tcPr>
            <w:tcW w:w="50" w:type="pct"/>
            <w:shd w:val="clear" w:color="auto" w:fill="auto"/>
            <w:vAlign w:val="bottom"/>
          </w:tcPr>
          <w:p w14:paraId="5F2CE37B" w14:textId="77777777" w:rsidR="00E836FB" w:rsidRDefault="00E836FB">
            <w:pPr>
              <w:rPr>
                <w:rFonts w:ascii="宋体"/>
              </w:rPr>
            </w:pPr>
          </w:p>
        </w:tc>
        <w:tc>
          <w:tcPr>
            <w:tcW w:w="705" w:type="pct"/>
            <w:shd w:val="clear" w:color="auto" w:fill="auto"/>
            <w:vAlign w:val="bottom"/>
          </w:tcPr>
          <w:p w14:paraId="5F2CE37C" w14:textId="77777777" w:rsidR="00E836FB" w:rsidRDefault="00E836FB">
            <w:pPr>
              <w:rPr>
                <w:rFonts w:ascii="宋体"/>
              </w:rPr>
            </w:pPr>
          </w:p>
        </w:tc>
        <w:tc>
          <w:tcPr>
            <w:tcW w:w="5" w:type="pct"/>
            <w:shd w:val="clear" w:color="auto" w:fill="auto"/>
            <w:vAlign w:val="bottom"/>
          </w:tcPr>
          <w:p w14:paraId="5F2CE37D" w14:textId="77777777" w:rsidR="00E836FB" w:rsidRDefault="00E836FB">
            <w:pPr>
              <w:rPr>
                <w:rFonts w:ascii="宋体"/>
              </w:rPr>
            </w:pPr>
          </w:p>
        </w:tc>
      </w:tr>
      <w:tr w:rsidR="00E836FB" w14:paraId="5F2CE38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E37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3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381" w14:textId="77777777" w:rsidR="00E836FB" w:rsidRDefault="00E836FB">
            <w:pPr>
              <w:rPr>
                <w:rFonts w:ascii="宋体"/>
              </w:rPr>
            </w:pPr>
          </w:p>
        </w:tc>
      </w:tr>
    </w:tbl>
    <w:p w14:paraId="5F2CE383" w14:textId="77777777" w:rsidR="00E836FB" w:rsidRDefault="00994958">
      <w:pPr>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5F2CE384" w14:textId="77777777" w:rsidR="00E836FB" w:rsidRDefault="00994958">
      <w:pPr>
        <w:jc w:val="both"/>
      </w:pPr>
      <w:r>
        <w:rPr>
          <w:rFonts w:ascii="Arial" w:eastAsia="宋体" w:hAnsi="Arial" w:cs="Arial"/>
          <w:color w:val="000000"/>
          <w:sz w:val="7"/>
          <w:szCs w:val="7"/>
        </w:rPr>
        <w:t>(2 )</w:t>
      </w:r>
      <w:r>
        <w:rPr>
          <w:rFonts w:ascii="Arial" w:eastAsia="宋体" w:hAnsi="Arial" w:cs="Arial"/>
          <w:color w:val="000000"/>
          <w:sz w:val="12"/>
          <w:szCs w:val="12"/>
        </w:rPr>
        <w:t xml:space="preserve">Includes assets not in a </w:t>
      </w:r>
      <w:r>
        <w:rPr>
          <w:rFonts w:ascii="Arial" w:eastAsia="宋体" w:hAnsi="Arial" w:cs="Arial"/>
          <w:color w:val="000000"/>
          <w:sz w:val="12"/>
          <w:szCs w:val="12"/>
        </w:rPr>
        <w:t>definable category, non-material portfolio, cleared transactions, other wholesale, cash and due from banks, interest-bearing deposits with banks and equity exposures.</w:t>
      </w:r>
    </w:p>
    <w:p w14:paraId="5F2CE385" w14:textId="77777777" w:rsidR="00E836FB" w:rsidRDefault="00994958">
      <w:pPr>
        <w:jc w:val="both"/>
      </w:pPr>
      <w:r>
        <w:rPr>
          <w:rFonts w:ascii="Arial" w:eastAsia="宋体" w:hAnsi="Arial" w:cs="Arial"/>
          <w:color w:val="000000"/>
          <w:sz w:val="7"/>
          <w:szCs w:val="7"/>
        </w:rPr>
        <w:t xml:space="preserve">NA </w:t>
      </w:r>
      <w:r>
        <w:rPr>
          <w:rFonts w:ascii="Arial" w:eastAsia="宋体" w:hAnsi="Arial" w:cs="Arial"/>
          <w:color w:val="000000"/>
          <w:sz w:val="12"/>
          <w:szCs w:val="12"/>
        </w:rPr>
        <w:t>Not applicable.</w:t>
      </w:r>
    </w:p>
    <w:p w14:paraId="5F2CE386" w14:textId="77777777" w:rsidR="00E836FB" w:rsidRDefault="00994958">
      <w:pPr>
        <w:ind w:firstLine="450"/>
        <w:jc w:val="right"/>
      </w:pPr>
      <w:r>
        <w:rPr>
          <w:rFonts w:ascii="Arial" w:eastAsia="宋体" w:hAnsi="Arial" w:cs="Arial"/>
          <w:color w:val="000000"/>
          <w:sz w:val="18"/>
          <w:szCs w:val="18"/>
        </w:rPr>
        <w:t>State Street Corporation | 117</w:t>
      </w:r>
    </w:p>
    <w:p w14:paraId="5F2CE387" w14:textId="77777777" w:rsidR="00E836FB" w:rsidRDefault="00E836FB">
      <w:pPr>
        <w:ind w:firstLine="450"/>
        <w:jc w:val="center"/>
      </w:pPr>
    </w:p>
    <w:p w14:paraId="5F2CE388" w14:textId="77777777" w:rsidR="00E836FB" w:rsidRDefault="00994958">
      <w:r>
        <w:pict w14:anchorId="5F2D6DFA">
          <v:rect id="_x0000_i1141" style="width:415.3pt;height:1.5pt" o:hralign="center" o:hrstd="t" o:hr="t" fillcolor="#a0a0a0" stroked="f"/>
        </w:pict>
      </w:r>
    </w:p>
    <w:p w14:paraId="5F2CE389" w14:textId="77777777" w:rsidR="00E836FB" w:rsidRDefault="00994958">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5F2CE38A" w14:textId="77777777" w:rsidR="00E836FB" w:rsidRDefault="00994958">
      <w:pPr>
        <w:ind w:firstLine="450"/>
        <w:jc w:val="center"/>
      </w:pPr>
      <w:r>
        <w:rPr>
          <w:rFonts w:ascii="Arial" w:eastAsia="宋体" w:hAnsi="Arial" w:cs="Arial"/>
          <w:b/>
          <w:bCs/>
          <w:color w:val="000000"/>
          <w:sz w:val="20"/>
          <w:szCs w:val="20"/>
        </w:rPr>
        <w:t>AND RESULTS OF OPERATIONS</w:t>
      </w:r>
    </w:p>
    <w:p w14:paraId="5F2CE38B" w14:textId="77777777" w:rsidR="00E836FB" w:rsidRDefault="00994958">
      <w:pPr>
        <w:ind w:firstLine="450"/>
        <w:jc w:val="both"/>
        <w:textAlignment w:val="top"/>
      </w:pPr>
      <w:r>
        <w:rPr>
          <w:rFonts w:ascii="Arial" w:eastAsia="宋体" w:hAnsi="Arial" w:cs="Arial"/>
          <w:color w:val="000000"/>
          <w:sz w:val="20"/>
          <w:szCs w:val="20"/>
        </w:rPr>
        <w:t>As of December 31, 2021, total advanced approaches RWA increased $1.69 billion compared to December 31, 2020, primarily due to an increase in operational risk RWA and credit risk RWA. The increase i</w:t>
      </w:r>
      <w:r>
        <w:rPr>
          <w:rFonts w:ascii="Arial" w:eastAsia="宋体" w:hAnsi="Arial" w:cs="Arial"/>
          <w:color w:val="000000"/>
          <w:sz w:val="20"/>
          <w:szCs w:val="20"/>
        </w:rPr>
        <w:t>n operational risk RWA was primarily due to an increase in the frequency of certain operational loss events. The increase in credit risk RWA was primarily driven by an increase in loans RWA, partially offset by a decrease in over-the-counter derivatives RW</w:t>
      </w:r>
      <w:r>
        <w:rPr>
          <w:rFonts w:ascii="Arial" w:eastAsia="宋体" w:hAnsi="Arial" w:cs="Arial"/>
          <w:color w:val="000000"/>
          <w:sz w:val="20"/>
          <w:szCs w:val="20"/>
        </w:rPr>
        <w:t>A.</w:t>
      </w:r>
    </w:p>
    <w:p w14:paraId="5F2CE38C" w14:textId="77777777" w:rsidR="00E836FB" w:rsidRDefault="00994958">
      <w:pPr>
        <w:spacing w:before="60"/>
        <w:ind w:firstLine="450"/>
        <w:jc w:val="both"/>
        <w:textAlignment w:val="top"/>
      </w:pPr>
      <w:r>
        <w:rPr>
          <w:rFonts w:ascii="Arial" w:eastAsia="宋体" w:hAnsi="Arial" w:cs="Arial"/>
          <w:color w:val="000000"/>
          <w:sz w:val="20"/>
          <w:szCs w:val="20"/>
        </w:rPr>
        <w:t>As of December 31, 2021, total standardized approach RWA decreased $5.41 billion compared to December 31, 2020, primarily due to lower credit risk RWA. The decrease in credit risk RWA was primarily driven by a decrease in all other RWA, repo-style trans</w:t>
      </w:r>
      <w:r>
        <w:rPr>
          <w:rFonts w:ascii="Arial" w:eastAsia="宋体" w:hAnsi="Arial" w:cs="Arial"/>
          <w:color w:val="000000"/>
          <w:sz w:val="20"/>
          <w:szCs w:val="20"/>
        </w:rPr>
        <w:t>actions RWA, and over-the-counter derivatives RWA, partially offset by an increase in loans RWA.</w:t>
      </w:r>
    </w:p>
    <w:p w14:paraId="5F2CE38D" w14:textId="77777777" w:rsidR="00E836FB" w:rsidRDefault="00994958">
      <w:pPr>
        <w:spacing w:before="60"/>
        <w:ind w:firstLine="450"/>
        <w:jc w:val="both"/>
        <w:textAlignment w:val="top"/>
      </w:pPr>
      <w:r>
        <w:rPr>
          <w:rFonts w:ascii="Arial" w:eastAsia="宋体" w:hAnsi="Arial" w:cs="Arial"/>
          <w:color w:val="000000"/>
          <w:sz w:val="20"/>
          <w:szCs w:val="20"/>
        </w:rPr>
        <w:t>The regulatory capital ratios as of December 31, 2021, presented in Table 41: Regulatory Capital Structure and Related Regulatory Capital Ratios, are calculate</w:t>
      </w:r>
      <w:r>
        <w:rPr>
          <w:rFonts w:ascii="Arial" w:eastAsia="宋体" w:hAnsi="Arial" w:cs="Arial"/>
          <w:color w:val="000000"/>
          <w:sz w:val="20"/>
          <w:szCs w:val="20"/>
        </w:rPr>
        <w:t>d under the advanced approaches and standardized approach in conformity with the Basel III final rule. The advanced approaches based ratios reflect calculations and determinations with respect to our capital and related matters as of December 31, 2021, bas</w:t>
      </w:r>
      <w:r>
        <w:rPr>
          <w:rFonts w:ascii="Arial" w:eastAsia="宋体" w:hAnsi="Arial" w:cs="Arial"/>
          <w:color w:val="000000"/>
          <w:sz w:val="20"/>
          <w:szCs w:val="20"/>
        </w:rPr>
        <w:t>ed on our and external data, quantitative formulae, statistical models, historical correlations and assumptions, collectively referred to as “advanced systems,” in effect and used by us for those purposes as of the time we first reported such ratios in a q</w:t>
      </w:r>
      <w:r>
        <w:rPr>
          <w:rFonts w:ascii="Arial" w:eastAsia="宋体" w:hAnsi="Arial" w:cs="Arial"/>
          <w:color w:val="000000"/>
          <w:sz w:val="20"/>
          <w:szCs w:val="20"/>
        </w:rPr>
        <w:t>uarterly report on Form 10-Q or an annual report on Form 10-K. Significant components of these advanced systems involve the exercise of judgment by us and our regulators, and our advanced systems may not, individually or collectively, precisely represent o</w:t>
      </w:r>
      <w:r>
        <w:rPr>
          <w:rFonts w:ascii="Arial" w:eastAsia="宋体" w:hAnsi="Arial" w:cs="Arial"/>
          <w:color w:val="000000"/>
          <w:sz w:val="20"/>
          <w:szCs w:val="20"/>
        </w:rPr>
        <w:t xml:space="preserve">r calculate the scenarios, circumstances, outputs or other results for which they are designed or intended. </w:t>
      </w:r>
    </w:p>
    <w:p w14:paraId="5F2CE38E" w14:textId="77777777" w:rsidR="00E836FB" w:rsidRDefault="00994958">
      <w:pPr>
        <w:spacing w:before="60"/>
        <w:ind w:firstLine="450"/>
        <w:jc w:val="both"/>
        <w:textAlignment w:val="top"/>
      </w:pPr>
      <w:r>
        <w:rPr>
          <w:rFonts w:ascii="Arial" w:eastAsia="宋体" w:hAnsi="Arial" w:cs="Arial"/>
          <w:color w:val="000000"/>
          <w:sz w:val="20"/>
          <w:szCs w:val="20"/>
        </w:rPr>
        <w:t>Our advanced systems are subject to update and periodic revalidation in response to changes in our business activities and our historical experienc</w:t>
      </w:r>
      <w:r>
        <w:rPr>
          <w:rFonts w:ascii="Arial" w:eastAsia="宋体" w:hAnsi="Arial" w:cs="Arial"/>
          <w:color w:val="000000"/>
          <w:sz w:val="20"/>
          <w:szCs w:val="20"/>
        </w:rPr>
        <w:t>es, forces and events experienced by the market broadly or by individual financial institutions, changes in regulations and regulatory interpretations and other factors, and are also subject to continuing regulatory review and approval. For example, a sign</w:t>
      </w:r>
      <w:r>
        <w:rPr>
          <w:rFonts w:ascii="Arial" w:eastAsia="宋体" w:hAnsi="Arial" w:cs="Arial"/>
          <w:color w:val="000000"/>
          <w:sz w:val="20"/>
          <w:szCs w:val="20"/>
        </w:rPr>
        <w:t>ificant operational loss experienced by another financial institution, even if we do not experience a related loss, could result in a material change in the output of our advanced systems and a corresponding material change in our risk exposures, our total</w:t>
      </w:r>
      <w:r>
        <w:rPr>
          <w:rFonts w:ascii="Arial" w:eastAsia="宋体" w:hAnsi="Arial" w:cs="Arial"/>
          <w:color w:val="000000"/>
          <w:sz w:val="20"/>
          <w:szCs w:val="20"/>
        </w:rPr>
        <w:t xml:space="preserve"> RWA, and our capital ratios compared to prior periods. An operational loss that we experience could also result in a material change in our capital requirements for operational risk under the advanced approaches, depending on the severity of the loss even</w:t>
      </w:r>
      <w:r>
        <w:rPr>
          <w:rFonts w:ascii="Arial" w:eastAsia="宋体" w:hAnsi="Arial" w:cs="Arial"/>
          <w:color w:val="000000"/>
          <w:sz w:val="20"/>
          <w:szCs w:val="20"/>
        </w:rPr>
        <w:t xml:space="preserve">t, its characterization among the seven Basel-defined </w:t>
      </w:r>
    </w:p>
    <w:p w14:paraId="5F2CE38F" w14:textId="77777777" w:rsidR="00E836FB" w:rsidRDefault="00994958">
      <w:pPr>
        <w:spacing w:before="60"/>
        <w:jc w:val="both"/>
        <w:textAlignment w:val="top"/>
      </w:pPr>
      <w:r>
        <w:rPr>
          <w:rFonts w:ascii="Arial" w:eastAsia="宋体" w:hAnsi="Arial" w:cs="Arial"/>
          <w:color w:val="000000"/>
          <w:sz w:val="20"/>
          <w:szCs w:val="20"/>
        </w:rPr>
        <w:t xml:space="preserve">UOM, and the stability of the distributional approach for a particular UOM, and without direct correlation to the effects of the loss event, or the timing of such effects, on our results of </w:t>
      </w:r>
      <w:r>
        <w:rPr>
          <w:rFonts w:ascii="Arial" w:eastAsia="宋体" w:hAnsi="Arial" w:cs="Arial"/>
          <w:color w:val="000000"/>
          <w:sz w:val="20"/>
          <w:szCs w:val="20"/>
        </w:rPr>
        <w:t>operations.</w:t>
      </w:r>
    </w:p>
    <w:p w14:paraId="5F2CE390" w14:textId="77777777" w:rsidR="00E836FB" w:rsidRDefault="00994958">
      <w:pPr>
        <w:spacing w:before="60"/>
        <w:ind w:firstLine="450"/>
        <w:jc w:val="both"/>
        <w:textAlignment w:val="top"/>
      </w:pPr>
      <w:r>
        <w:rPr>
          <w:rFonts w:ascii="Arial" w:eastAsia="宋体" w:hAnsi="Arial" w:cs="Arial"/>
          <w:color w:val="000000"/>
          <w:sz w:val="20"/>
          <w:szCs w:val="20"/>
        </w:rPr>
        <w:t>Due to the influence of changes in these advanced systems, whether resulting from changes in data inputs, regulation or regulatory supervision or interpretation, specific to us or market activities or experiences or other updates or factors, we</w:t>
      </w:r>
      <w:r>
        <w:rPr>
          <w:rFonts w:ascii="Arial" w:eastAsia="宋体" w:hAnsi="Arial" w:cs="Arial"/>
          <w:color w:val="000000"/>
          <w:sz w:val="20"/>
          <w:szCs w:val="20"/>
        </w:rPr>
        <w:t xml:space="preserve"> expect that our advanced systems and our capital ratios calculated in conformity with the Basel III final rule will change and may be volatile over time, and that those latter changes or volatility could be material as calculated and measured from period </w:t>
      </w:r>
      <w:r>
        <w:rPr>
          <w:rFonts w:ascii="Arial" w:eastAsia="宋体" w:hAnsi="Arial" w:cs="Arial"/>
          <w:color w:val="000000"/>
          <w:sz w:val="20"/>
          <w:szCs w:val="20"/>
        </w:rPr>
        <w:t>to period. We and State Street Bank are subject to further regulatory guidance, action, and rule-making.</w:t>
      </w:r>
    </w:p>
    <w:p w14:paraId="5F2CE391" w14:textId="77777777" w:rsidR="00E836FB" w:rsidRDefault="00994958">
      <w:pPr>
        <w:ind w:firstLine="450"/>
        <w:jc w:val="right"/>
      </w:pPr>
      <w:r>
        <w:rPr>
          <w:rFonts w:ascii="Arial" w:eastAsia="宋体" w:hAnsi="Arial" w:cs="Arial"/>
          <w:color w:val="000000"/>
          <w:sz w:val="18"/>
          <w:szCs w:val="18"/>
        </w:rPr>
        <w:t>State Street Corporation | 118</w:t>
      </w:r>
    </w:p>
    <w:p w14:paraId="5F2CE392" w14:textId="77777777" w:rsidR="00E836FB" w:rsidRDefault="00E836FB">
      <w:pPr>
        <w:ind w:firstLine="450"/>
        <w:jc w:val="center"/>
      </w:pPr>
    </w:p>
    <w:p w14:paraId="5F2CE393" w14:textId="77777777" w:rsidR="00E836FB" w:rsidRDefault="00994958">
      <w:r>
        <w:pict w14:anchorId="5F2D6DFB">
          <v:rect id="_x0000_i1142" style="width:415.3pt;height:1.5pt" o:hralign="center" o:hrstd="t" o:hr="t" fillcolor="#a0a0a0" stroked="f"/>
        </w:pict>
      </w:r>
    </w:p>
    <w:p w14:paraId="5F2CE394"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395" w14:textId="77777777" w:rsidR="00E836FB" w:rsidRDefault="00994958">
      <w:pPr>
        <w:ind w:firstLine="450"/>
        <w:jc w:val="center"/>
      </w:pPr>
      <w:r>
        <w:rPr>
          <w:rFonts w:ascii="Arial" w:eastAsia="宋体" w:hAnsi="Arial" w:cs="Arial"/>
          <w:b/>
          <w:bCs/>
          <w:color w:val="000000"/>
          <w:sz w:val="20"/>
          <w:szCs w:val="20"/>
        </w:rPr>
        <w:t>AND RESULTS OF OPERATIONS</w:t>
      </w:r>
    </w:p>
    <w:p w14:paraId="5F2CE396" w14:textId="77777777" w:rsidR="00E836FB" w:rsidRDefault="00E836FB">
      <w:pPr>
        <w:spacing w:before="60"/>
        <w:ind w:firstLine="450"/>
        <w:jc w:val="both"/>
        <w:textAlignment w:val="top"/>
      </w:pPr>
    </w:p>
    <w:p w14:paraId="5F2CE397" w14:textId="77777777" w:rsidR="00E836FB" w:rsidRDefault="00994958">
      <w:pPr>
        <w:spacing w:before="60"/>
        <w:textAlignment w:val="top"/>
      </w:pPr>
      <w:r>
        <w:rPr>
          <w:rFonts w:ascii="Arial" w:eastAsia="宋体" w:hAnsi="Arial" w:cs="Arial"/>
          <w:b/>
          <w:bCs/>
          <w:i/>
          <w:iCs/>
          <w:color w:val="000000"/>
          <w:sz w:val="20"/>
          <w:szCs w:val="20"/>
        </w:rPr>
        <w:t>Tier 1 and Supplementary Lever</w:t>
      </w:r>
      <w:r>
        <w:rPr>
          <w:rFonts w:ascii="Arial" w:eastAsia="宋体" w:hAnsi="Arial" w:cs="Arial"/>
          <w:b/>
          <w:bCs/>
          <w:i/>
          <w:iCs/>
          <w:color w:val="000000"/>
          <w:sz w:val="20"/>
          <w:szCs w:val="20"/>
        </w:rPr>
        <w:t>age Ratios</w:t>
      </w:r>
    </w:p>
    <w:p w14:paraId="5F2CE398" w14:textId="77777777" w:rsidR="00E836FB" w:rsidRDefault="00994958">
      <w:pPr>
        <w:ind w:firstLine="450"/>
        <w:jc w:val="both"/>
        <w:textAlignment w:val="top"/>
      </w:pPr>
      <w:r>
        <w:rPr>
          <w:rFonts w:ascii="Arial" w:eastAsia="宋体" w:hAnsi="Arial" w:cs="Arial"/>
          <w:color w:val="000000"/>
          <w:sz w:val="20"/>
          <w:szCs w:val="20"/>
        </w:rPr>
        <w:t>We are subject to a minimum Tier 1 leverage ratio and a supplementary leverage ratio. The Tier 1 leverage ratio is based on Tier 1 capital and adjusted quarterly average on-balance sheet assets. The Tier 1 leverage ratio differs from the SLR pri</w:t>
      </w:r>
      <w:r>
        <w:rPr>
          <w:rFonts w:ascii="Arial" w:eastAsia="宋体" w:hAnsi="Arial" w:cs="Arial"/>
          <w:color w:val="000000"/>
          <w:sz w:val="20"/>
          <w:szCs w:val="20"/>
        </w:rPr>
        <w:t>marily in that the denominator of the Tier 1 leverage ratio is a quarterly average of on-balance sheet assets, while the SLR includes both on-balance sheet and certain off-balance sheet exposures. We must maintain a minimum Tier 1 leverage ratio of 4%.</w:t>
      </w:r>
    </w:p>
    <w:p w14:paraId="5F2CE399" w14:textId="77777777" w:rsidR="00E836FB" w:rsidRDefault="00994958">
      <w:pPr>
        <w:ind w:firstLine="450"/>
        <w:jc w:val="both"/>
        <w:textAlignment w:val="top"/>
      </w:pPr>
      <w:r>
        <w:rPr>
          <w:rFonts w:ascii="Arial" w:eastAsia="宋体" w:hAnsi="Arial" w:cs="Arial"/>
          <w:color w:val="000000"/>
          <w:sz w:val="20"/>
          <w:szCs w:val="20"/>
        </w:rPr>
        <w:t xml:space="preserve">We </w:t>
      </w:r>
      <w:r>
        <w:rPr>
          <w:rFonts w:ascii="Arial" w:eastAsia="宋体" w:hAnsi="Arial" w:cs="Arial"/>
          <w:color w:val="000000"/>
          <w:sz w:val="20"/>
          <w:szCs w:val="20"/>
        </w:rPr>
        <w:t>are also subject to a minimum SLR of 3%, and as a U.S. G-SIB, we must maintain an additional 2% SLR buffer in order to avoid any limitations on distributions to shareholders and discretionary bonus payments to certain executives. If we do not maintain this</w:t>
      </w:r>
      <w:r>
        <w:rPr>
          <w:rFonts w:ascii="Arial" w:eastAsia="宋体" w:hAnsi="Arial" w:cs="Arial"/>
          <w:color w:val="000000"/>
          <w:sz w:val="20"/>
          <w:szCs w:val="20"/>
        </w:rPr>
        <w:t xml:space="preserve"> buffer, limitations on these distributions and discretionary bonus payments would be increasingly stringent based upon the extent of the shortfall.</w:t>
      </w:r>
    </w:p>
    <w:tbl>
      <w:tblPr>
        <w:tblW w:w="5000" w:type="pct"/>
        <w:tblCellMar>
          <w:top w:w="15" w:type="dxa"/>
          <w:left w:w="15" w:type="dxa"/>
          <w:bottom w:w="15" w:type="dxa"/>
          <w:right w:w="15" w:type="dxa"/>
        </w:tblCellMar>
        <w:tblLook w:val="04A0" w:firstRow="1" w:lastRow="0" w:firstColumn="1" w:lastColumn="0" w:noHBand="0" w:noVBand="1"/>
      </w:tblPr>
      <w:tblGrid>
        <w:gridCol w:w="39"/>
        <w:gridCol w:w="4191"/>
        <w:gridCol w:w="38"/>
        <w:gridCol w:w="104"/>
        <w:gridCol w:w="1738"/>
        <w:gridCol w:w="154"/>
        <w:gridCol w:w="36"/>
        <w:gridCol w:w="36"/>
        <w:gridCol w:w="36"/>
        <w:gridCol w:w="104"/>
        <w:gridCol w:w="1706"/>
        <w:gridCol w:w="154"/>
      </w:tblGrid>
      <w:tr w:rsidR="00E836FB" w14:paraId="5F2CE3A6" w14:textId="77777777">
        <w:tc>
          <w:tcPr>
            <w:tcW w:w="50" w:type="pct"/>
            <w:shd w:val="clear" w:color="auto" w:fill="auto"/>
            <w:vAlign w:val="bottom"/>
          </w:tcPr>
          <w:p w14:paraId="5F2CE39A" w14:textId="77777777" w:rsidR="00E836FB" w:rsidRDefault="00E836FB">
            <w:pPr>
              <w:rPr>
                <w:rFonts w:ascii="宋体"/>
              </w:rPr>
            </w:pPr>
          </w:p>
        </w:tc>
        <w:tc>
          <w:tcPr>
            <w:tcW w:w="2586" w:type="pct"/>
            <w:shd w:val="clear" w:color="auto" w:fill="auto"/>
            <w:vAlign w:val="bottom"/>
          </w:tcPr>
          <w:p w14:paraId="5F2CE39B" w14:textId="77777777" w:rsidR="00E836FB" w:rsidRDefault="00E836FB">
            <w:pPr>
              <w:rPr>
                <w:rFonts w:ascii="宋体"/>
              </w:rPr>
            </w:pPr>
          </w:p>
        </w:tc>
        <w:tc>
          <w:tcPr>
            <w:tcW w:w="5" w:type="pct"/>
            <w:shd w:val="clear" w:color="auto" w:fill="auto"/>
            <w:vAlign w:val="bottom"/>
          </w:tcPr>
          <w:p w14:paraId="5F2CE39C" w14:textId="77777777" w:rsidR="00E836FB" w:rsidRDefault="00E836FB">
            <w:pPr>
              <w:rPr>
                <w:rFonts w:ascii="宋体"/>
              </w:rPr>
            </w:pPr>
          </w:p>
        </w:tc>
        <w:tc>
          <w:tcPr>
            <w:tcW w:w="50" w:type="pct"/>
            <w:shd w:val="clear" w:color="auto" w:fill="auto"/>
            <w:vAlign w:val="bottom"/>
          </w:tcPr>
          <w:p w14:paraId="5F2CE39D" w14:textId="77777777" w:rsidR="00E836FB" w:rsidRDefault="00E836FB">
            <w:pPr>
              <w:rPr>
                <w:rFonts w:ascii="宋体"/>
              </w:rPr>
            </w:pPr>
          </w:p>
        </w:tc>
        <w:tc>
          <w:tcPr>
            <w:tcW w:w="1092" w:type="pct"/>
            <w:shd w:val="clear" w:color="auto" w:fill="auto"/>
            <w:vAlign w:val="bottom"/>
          </w:tcPr>
          <w:p w14:paraId="5F2CE39E" w14:textId="77777777" w:rsidR="00E836FB" w:rsidRDefault="00E836FB">
            <w:pPr>
              <w:rPr>
                <w:rFonts w:ascii="宋体"/>
              </w:rPr>
            </w:pPr>
          </w:p>
        </w:tc>
        <w:tc>
          <w:tcPr>
            <w:tcW w:w="5" w:type="pct"/>
            <w:shd w:val="clear" w:color="auto" w:fill="auto"/>
            <w:vAlign w:val="bottom"/>
          </w:tcPr>
          <w:p w14:paraId="5F2CE39F" w14:textId="77777777" w:rsidR="00E836FB" w:rsidRDefault="00E836FB">
            <w:pPr>
              <w:rPr>
                <w:rFonts w:ascii="宋体"/>
              </w:rPr>
            </w:pPr>
          </w:p>
        </w:tc>
        <w:tc>
          <w:tcPr>
            <w:tcW w:w="5" w:type="pct"/>
            <w:shd w:val="clear" w:color="auto" w:fill="auto"/>
            <w:vAlign w:val="bottom"/>
          </w:tcPr>
          <w:p w14:paraId="5F2CE3A0" w14:textId="77777777" w:rsidR="00E836FB" w:rsidRDefault="00E836FB">
            <w:pPr>
              <w:rPr>
                <w:rFonts w:ascii="宋体"/>
              </w:rPr>
            </w:pPr>
          </w:p>
        </w:tc>
        <w:tc>
          <w:tcPr>
            <w:tcW w:w="52" w:type="pct"/>
            <w:shd w:val="clear" w:color="auto" w:fill="auto"/>
            <w:vAlign w:val="bottom"/>
          </w:tcPr>
          <w:p w14:paraId="5F2CE3A1" w14:textId="77777777" w:rsidR="00E836FB" w:rsidRDefault="00E836FB">
            <w:pPr>
              <w:rPr>
                <w:rFonts w:ascii="宋体"/>
              </w:rPr>
            </w:pPr>
          </w:p>
        </w:tc>
        <w:tc>
          <w:tcPr>
            <w:tcW w:w="5" w:type="pct"/>
            <w:shd w:val="clear" w:color="auto" w:fill="auto"/>
            <w:vAlign w:val="bottom"/>
          </w:tcPr>
          <w:p w14:paraId="5F2CE3A2" w14:textId="77777777" w:rsidR="00E836FB" w:rsidRDefault="00E836FB">
            <w:pPr>
              <w:rPr>
                <w:rFonts w:ascii="宋体"/>
              </w:rPr>
            </w:pPr>
          </w:p>
        </w:tc>
        <w:tc>
          <w:tcPr>
            <w:tcW w:w="50" w:type="pct"/>
            <w:shd w:val="clear" w:color="auto" w:fill="auto"/>
            <w:vAlign w:val="bottom"/>
          </w:tcPr>
          <w:p w14:paraId="5F2CE3A3" w14:textId="77777777" w:rsidR="00E836FB" w:rsidRDefault="00E836FB">
            <w:pPr>
              <w:rPr>
                <w:rFonts w:ascii="宋体"/>
              </w:rPr>
            </w:pPr>
          </w:p>
        </w:tc>
        <w:tc>
          <w:tcPr>
            <w:tcW w:w="1092" w:type="pct"/>
            <w:shd w:val="clear" w:color="auto" w:fill="auto"/>
            <w:vAlign w:val="bottom"/>
          </w:tcPr>
          <w:p w14:paraId="5F2CE3A4" w14:textId="77777777" w:rsidR="00E836FB" w:rsidRDefault="00E836FB">
            <w:pPr>
              <w:rPr>
                <w:rFonts w:ascii="宋体"/>
              </w:rPr>
            </w:pPr>
          </w:p>
        </w:tc>
        <w:tc>
          <w:tcPr>
            <w:tcW w:w="5" w:type="pct"/>
            <w:shd w:val="clear" w:color="auto" w:fill="auto"/>
            <w:vAlign w:val="bottom"/>
          </w:tcPr>
          <w:p w14:paraId="5F2CE3A5" w14:textId="77777777" w:rsidR="00E836FB" w:rsidRDefault="00E836FB">
            <w:pPr>
              <w:rPr>
                <w:rFonts w:ascii="宋体"/>
              </w:rPr>
            </w:pPr>
          </w:p>
        </w:tc>
      </w:tr>
      <w:tr w:rsidR="00E836FB" w14:paraId="5F2CE3A8" w14:textId="77777777">
        <w:tc>
          <w:tcPr>
            <w:tcW w:w="0" w:type="auto"/>
            <w:gridSpan w:val="12"/>
            <w:shd w:val="clear" w:color="auto" w:fill="auto"/>
            <w:tcMar>
              <w:top w:w="40" w:type="dxa"/>
              <w:left w:w="20" w:type="dxa"/>
              <w:bottom w:w="40" w:type="dxa"/>
              <w:right w:w="20" w:type="dxa"/>
            </w:tcMar>
            <w:vAlign w:val="bottom"/>
          </w:tcPr>
          <w:p w14:paraId="5F2CE3A7" w14:textId="77777777" w:rsidR="00E836FB" w:rsidRDefault="00994958">
            <w:pPr>
              <w:textAlignment w:val="bottom"/>
            </w:pPr>
            <w:r>
              <w:rPr>
                <w:rFonts w:ascii="Arial" w:eastAsia="宋体" w:hAnsi="Arial" w:cs="Arial"/>
                <w:b/>
                <w:bCs/>
                <w:color w:val="000000"/>
                <w:sz w:val="16"/>
                <w:szCs w:val="16"/>
              </w:rPr>
              <w:t>TABLE 44: TIER 1 AND SUPPLEMENTARY LEVERAGE RATIOS</w:t>
            </w:r>
          </w:p>
        </w:tc>
      </w:tr>
      <w:tr w:rsidR="00E836FB" w14:paraId="5F2CE3AD" w14:textId="77777777">
        <w:tc>
          <w:tcPr>
            <w:tcW w:w="0" w:type="auto"/>
            <w:gridSpan w:val="3"/>
            <w:shd w:val="clear" w:color="auto" w:fill="auto"/>
            <w:tcMar>
              <w:top w:w="40" w:type="dxa"/>
              <w:left w:w="20" w:type="dxa"/>
              <w:bottom w:w="40" w:type="dxa"/>
              <w:right w:w="20" w:type="dxa"/>
            </w:tcMar>
            <w:vAlign w:val="bottom"/>
          </w:tcPr>
          <w:p w14:paraId="5F2CE3A9" w14:textId="77777777" w:rsidR="00E836FB" w:rsidRDefault="00994958">
            <w:pPr>
              <w:textAlignment w:val="bottom"/>
            </w:pPr>
            <w:r>
              <w:rPr>
                <w:rFonts w:ascii="Arial" w:eastAsia="宋体" w:hAnsi="Arial" w:cs="Arial"/>
                <w:b/>
                <w:bCs/>
                <w:color w:val="000000"/>
                <w:sz w:val="15"/>
                <w:szCs w:val="15"/>
              </w:rPr>
              <w:t>(Dollars in millions)</w:t>
            </w:r>
          </w:p>
        </w:tc>
        <w:tc>
          <w:tcPr>
            <w:tcW w:w="0" w:type="auto"/>
            <w:gridSpan w:val="3"/>
            <w:shd w:val="clear" w:color="auto" w:fill="auto"/>
            <w:tcMar>
              <w:top w:w="40" w:type="dxa"/>
              <w:left w:w="20" w:type="dxa"/>
              <w:bottom w:w="40" w:type="dxa"/>
              <w:right w:w="20" w:type="dxa"/>
            </w:tcMar>
            <w:vAlign w:val="bottom"/>
          </w:tcPr>
          <w:p w14:paraId="5F2CE3AA" w14:textId="77777777" w:rsidR="00E836FB" w:rsidRDefault="00994958">
            <w:pPr>
              <w:jc w:val="center"/>
              <w:textAlignment w:val="bottom"/>
            </w:pPr>
            <w:r>
              <w:rPr>
                <w:rFonts w:ascii="Arial" w:eastAsia="宋体" w:hAnsi="Arial" w:cs="Arial"/>
                <w:b/>
                <w:bCs/>
                <w:color w:val="000000"/>
                <w:sz w:val="15"/>
                <w:szCs w:val="15"/>
              </w:rPr>
              <w:t xml:space="preserve">December 31, </w:t>
            </w:r>
            <w:r>
              <w:rPr>
                <w:rFonts w:ascii="Arial" w:eastAsia="宋体" w:hAnsi="Arial" w:cs="Arial"/>
                <w:b/>
                <w:bCs/>
                <w:color w:val="000000"/>
                <w:sz w:val="15"/>
                <w:szCs w:val="15"/>
              </w:rPr>
              <w:t>2021</w:t>
            </w:r>
          </w:p>
        </w:tc>
        <w:tc>
          <w:tcPr>
            <w:tcW w:w="0" w:type="auto"/>
            <w:gridSpan w:val="3"/>
            <w:shd w:val="clear" w:color="auto" w:fill="auto"/>
            <w:tcMar>
              <w:top w:w="0" w:type="dxa"/>
              <w:left w:w="20" w:type="dxa"/>
              <w:bottom w:w="0" w:type="dxa"/>
              <w:right w:w="20" w:type="dxa"/>
            </w:tcMar>
            <w:vAlign w:val="bottom"/>
          </w:tcPr>
          <w:p w14:paraId="5F2CE3A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3AC"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CE3B2" w14:textId="77777777">
        <w:tc>
          <w:tcPr>
            <w:tcW w:w="0" w:type="auto"/>
            <w:gridSpan w:val="3"/>
            <w:shd w:val="clear" w:color="auto" w:fill="auto"/>
            <w:tcMar>
              <w:top w:w="40" w:type="dxa"/>
              <w:left w:w="20" w:type="dxa"/>
              <w:bottom w:w="40" w:type="dxa"/>
              <w:right w:w="20" w:type="dxa"/>
            </w:tcMar>
            <w:vAlign w:val="bottom"/>
          </w:tcPr>
          <w:p w14:paraId="5F2CE3AE" w14:textId="77777777" w:rsidR="00E836FB" w:rsidRDefault="00994958">
            <w:pPr>
              <w:textAlignment w:val="bottom"/>
            </w:pPr>
            <w:r>
              <w:rPr>
                <w:rFonts w:ascii="Arial" w:eastAsia="宋体" w:hAnsi="Arial" w:cs="Arial"/>
                <w:b/>
                <w:bCs/>
                <w:color w:val="000000"/>
                <w:sz w:val="15"/>
                <w:szCs w:val="15"/>
              </w:rPr>
              <w:t>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3A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3B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3B1" w14:textId="77777777" w:rsidR="00E836FB" w:rsidRDefault="00E836FB">
            <w:pPr>
              <w:rPr>
                <w:rFonts w:ascii="宋体"/>
              </w:rPr>
            </w:pPr>
          </w:p>
        </w:tc>
      </w:tr>
      <w:tr w:rsidR="00E836FB" w14:paraId="5F2CE3BB" w14:textId="77777777">
        <w:tc>
          <w:tcPr>
            <w:tcW w:w="0" w:type="auto"/>
            <w:gridSpan w:val="3"/>
            <w:shd w:val="clear" w:color="auto" w:fill="CCEEFF"/>
            <w:tcMar>
              <w:top w:w="40" w:type="dxa"/>
              <w:left w:w="20" w:type="dxa"/>
              <w:bottom w:w="40" w:type="dxa"/>
              <w:right w:w="20" w:type="dxa"/>
            </w:tcMar>
            <w:vAlign w:val="bottom"/>
          </w:tcPr>
          <w:p w14:paraId="5F2CE3B3" w14:textId="77777777" w:rsidR="00E836FB" w:rsidRDefault="00994958">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5F2CE3B4"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E3B5" w14:textId="77777777" w:rsidR="00E836FB" w:rsidRDefault="00994958">
            <w:pPr>
              <w:jc w:val="right"/>
              <w:textAlignment w:val="bottom"/>
            </w:pPr>
            <w:r>
              <w:rPr>
                <w:rFonts w:ascii="Arial" w:eastAsia="宋体" w:hAnsi="Arial" w:cs="Arial"/>
                <w:b/>
                <w:bCs/>
                <w:color w:val="000000"/>
                <w:sz w:val="15"/>
                <w:szCs w:val="15"/>
              </w:rPr>
              <w:t>17,923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E3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B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3B8"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E3B9" w14:textId="77777777" w:rsidR="00E836FB" w:rsidRDefault="00994958">
            <w:pPr>
              <w:jc w:val="right"/>
              <w:textAlignment w:val="bottom"/>
            </w:pPr>
            <w:r>
              <w:rPr>
                <w:rFonts w:ascii="Arial" w:eastAsia="宋体" w:hAnsi="Arial" w:cs="Arial"/>
                <w:color w:val="000000"/>
                <w:sz w:val="15"/>
                <w:szCs w:val="15"/>
              </w:rPr>
              <w:t>16,848 </w:t>
            </w:r>
          </w:p>
        </w:tc>
        <w:tc>
          <w:tcPr>
            <w:tcW w:w="0" w:type="auto"/>
            <w:shd w:val="clear" w:color="auto" w:fill="CCEEFF"/>
            <w:tcMar>
              <w:top w:w="40" w:type="dxa"/>
              <w:left w:w="0" w:type="dxa"/>
              <w:bottom w:w="40" w:type="dxa"/>
              <w:right w:w="20" w:type="dxa"/>
            </w:tcMar>
            <w:vAlign w:val="bottom"/>
          </w:tcPr>
          <w:p w14:paraId="5F2CE3BA" w14:textId="77777777" w:rsidR="00E836FB" w:rsidRDefault="00E836FB">
            <w:pPr>
              <w:jc w:val="right"/>
              <w:rPr>
                <w:rFonts w:ascii="宋体"/>
              </w:rPr>
            </w:pPr>
          </w:p>
        </w:tc>
      </w:tr>
      <w:tr w:rsidR="00E836FB" w14:paraId="5F2CE3C2" w14:textId="77777777">
        <w:tc>
          <w:tcPr>
            <w:tcW w:w="0" w:type="auto"/>
            <w:gridSpan w:val="3"/>
            <w:shd w:val="clear" w:color="auto" w:fill="FFFFFF"/>
            <w:tcMar>
              <w:top w:w="40" w:type="dxa"/>
              <w:left w:w="20" w:type="dxa"/>
              <w:bottom w:w="40" w:type="dxa"/>
              <w:right w:w="20" w:type="dxa"/>
            </w:tcMar>
            <w:vAlign w:val="bottom"/>
          </w:tcPr>
          <w:p w14:paraId="5F2CE3BC" w14:textId="77777777" w:rsidR="00E836FB" w:rsidRDefault="00994958">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5F2CE3BD" w14:textId="77777777" w:rsidR="00E836FB" w:rsidRDefault="00994958">
            <w:pPr>
              <w:jc w:val="right"/>
              <w:textAlignment w:val="bottom"/>
            </w:pPr>
            <w:r>
              <w:rPr>
                <w:rFonts w:ascii="Arial" w:eastAsia="宋体" w:hAnsi="Arial" w:cs="Arial"/>
                <w:b/>
                <w:bCs/>
                <w:color w:val="000000"/>
                <w:sz w:val="15"/>
                <w:szCs w:val="15"/>
              </w:rPr>
              <w:t>303,007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E3B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B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C0" w14:textId="77777777" w:rsidR="00E836FB" w:rsidRDefault="00994958">
            <w:pPr>
              <w:jc w:val="right"/>
              <w:textAlignment w:val="bottom"/>
            </w:pPr>
            <w:r>
              <w:rPr>
                <w:rFonts w:ascii="Arial" w:eastAsia="宋体" w:hAnsi="Arial" w:cs="Arial"/>
                <w:color w:val="000000"/>
                <w:sz w:val="15"/>
                <w:szCs w:val="15"/>
              </w:rPr>
              <w:t>277,055 </w:t>
            </w:r>
          </w:p>
        </w:tc>
        <w:tc>
          <w:tcPr>
            <w:tcW w:w="0" w:type="auto"/>
            <w:shd w:val="clear" w:color="auto" w:fill="FFFFFF"/>
            <w:tcMar>
              <w:top w:w="40" w:type="dxa"/>
              <w:left w:w="0" w:type="dxa"/>
              <w:bottom w:w="40" w:type="dxa"/>
              <w:right w:w="20" w:type="dxa"/>
            </w:tcMar>
            <w:vAlign w:val="bottom"/>
          </w:tcPr>
          <w:p w14:paraId="5F2CE3C1" w14:textId="77777777" w:rsidR="00E836FB" w:rsidRDefault="00E836FB">
            <w:pPr>
              <w:jc w:val="right"/>
              <w:rPr>
                <w:rFonts w:ascii="宋体"/>
              </w:rPr>
            </w:pPr>
          </w:p>
        </w:tc>
      </w:tr>
      <w:tr w:rsidR="00E836FB" w14:paraId="5F2CE3C9" w14:textId="77777777">
        <w:tc>
          <w:tcPr>
            <w:tcW w:w="0" w:type="auto"/>
            <w:gridSpan w:val="3"/>
            <w:shd w:val="clear" w:color="auto" w:fill="CCEEFF"/>
            <w:tcMar>
              <w:top w:w="40" w:type="dxa"/>
              <w:left w:w="20" w:type="dxa"/>
              <w:bottom w:w="40" w:type="dxa"/>
              <w:right w:w="20" w:type="dxa"/>
            </w:tcMar>
            <w:vAlign w:val="bottom"/>
          </w:tcPr>
          <w:p w14:paraId="5F2CE3C3" w14:textId="77777777" w:rsidR="00E836FB" w:rsidRDefault="00994958">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5F2CE3C4" w14:textId="77777777" w:rsidR="00E836FB" w:rsidRDefault="00994958">
            <w:pPr>
              <w:jc w:val="right"/>
              <w:textAlignment w:val="bottom"/>
            </w:pPr>
            <w:r>
              <w:rPr>
                <w:rFonts w:ascii="Arial" w:eastAsia="宋体" w:hAnsi="Arial" w:cs="Arial"/>
                <w:b/>
                <w:bCs/>
                <w:color w:val="000000"/>
                <w:sz w:val="15"/>
                <w:szCs w:val="15"/>
              </w:rPr>
              <w:t>(9,440)</w:t>
            </w:r>
          </w:p>
        </w:tc>
        <w:tc>
          <w:tcPr>
            <w:tcW w:w="0" w:type="auto"/>
            <w:shd w:val="clear" w:color="auto" w:fill="CCEEFF"/>
            <w:tcMar>
              <w:top w:w="40" w:type="dxa"/>
              <w:left w:w="0" w:type="dxa"/>
              <w:bottom w:w="40" w:type="dxa"/>
              <w:right w:w="20" w:type="dxa"/>
            </w:tcMar>
            <w:vAlign w:val="bottom"/>
          </w:tcPr>
          <w:p w14:paraId="5F2CE3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C7" w14:textId="77777777" w:rsidR="00E836FB" w:rsidRDefault="00994958">
            <w:pPr>
              <w:jc w:val="right"/>
              <w:textAlignment w:val="bottom"/>
            </w:pPr>
            <w:r>
              <w:rPr>
                <w:rFonts w:ascii="Arial" w:eastAsia="宋体" w:hAnsi="Arial" w:cs="Arial"/>
                <w:color w:val="000000"/>
                <w:sz w:val="15"/>
                <w:szCs w:val="15"/>
              </w:rPr>
              <w:t>(13,565)</w:t>
            </w:r>
          </w:p>
        </w:tc>
        <w:tc>
          <w:tcPr>
            <w:tcW w:w="0" w:type="auto"/>
            <w:shd w:val="clear" w:color="auto" w:fill="CCEEFF"/>
            <w:tcMar>
              <w:top w:w="40" w:type="dxa"/>
              <w:left w:w="0" w:type="dxa"/>
              <w:bottom w:w="40" w:type="dxa"/>
              <w:right w:w="20" w:type="dxa"/>
            </w:tcMar>
            <w:vAlign w:val="bottom"/>
          </w:tcPr>
          <w:p w14:paraId="5F2CE3C8" w14:textId="77777777" w:rsidR="00E836FB" w:rsidRDefault="00E836FB">
            <w:pPr>
              <w:jc w:val="right"/>
              <w:rPr>
                <w:rFonts w:ascii="宋体"/>
              </w:rPr>
            </w:pPr>
          </w:p>
        </w:tc>
      </w:tr>
      <w:tr w:rsidR="00E836FB" w14:paraId="5F2CE3D0" w14:textId="77777777">
        <w:tc>
          <w:tcPr>
            <w:tcW w:w="0" w:type="auto"/>
            <w:gridSpan w:val="3"/>
            <w:shd w:val="clear" w:color="auto" w:fill="FFFFFF"/>
            <w:tcMar>
              <w:top w:w="40" w:type="dxa"/>
              <w:left w:w="20" w:type="dxa"/>
              <w:bottom w:w="40" w:type="dxa"/>
              <w:right w:w="20" w:type="dxa"/>
            </w:tcMar>
            <w:vAlign w:val="bottom"/>
          </w:tcPr>
          <w:p w14:paraId="5F2CE3CA" w14:textId="77777777" w:rsidR="00E836FB" w:rsidRDefault="00994958">
            <w:pPr>
              <w:textAlignment w:val="bottom"/>
            </w:pPr>
            <w:r>
              <w:rPr>
                <w:rFonts w:ascii="Arial" w:eastAsia="宋体" w:hAnsi="Arial" w:cs="Arial"/>
                <w:color w:val="000000"/>
                <w:sz w:val="15"/>
                <w:szCs w:val="15"/>
              </w:rPr>
              <w:t xml:space="preserve">Adjusted average assets for Tier 1 leverage </w:t>
            </w:r>
            <w:r>
              <w:rPr>
                <w:rFonts w:ascii="Arial" w:eastAsia="宋体" w:hAnsi="Arial" w:cs="Arial"/>
                <w:color w:val="000000"/>
                <w:sz w:val="15"/>
                <w:szCs w:val="15"/>
              </w:rPr>
              <w:t>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3CB" w14:textId="77777777" w:rsidR="00E836FB" w:rsidRDefault="00994958">
            <w:pPr>
              <w:jc w:val="right"/>
              <w:textAlignment w:val="bottom"/>
            </w:pPr>
            <w:r>
              <w:rPr>
                <w:rFonts w:ascii="Arial" w:eastAsia="宋体" w:hAnsi="Arial" w:cs="Arial"/>
                <w:b/>
                <w:bCs/>
                <w:color w:val="000000"/>
                <w:sz w:val="15"/>
                <w:szCs w:val="15"/>
              </w:rPr>
              <w:t>293,567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3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C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3CE" w14:textId="77777777" w:rsidR="00E836FB" w:rsidRDefault="00994958">
            <w:pPr>
              <w:jc w:val="right"/>
              <w:textAlignment w:val="bottom"/>
            </w:pPr>
            <w:r>
              <w:rPr>
                <w:rFonts w:ascii="Arial" w:eastAsia="宋体" w:hAnsi="Arial" w:cs="Arial"/>
                <w:color w:val="000000"/>
                <w:sz w:val="15"/>
                <w:szCs w:val="15"/>
              </w:rPr>
              <w:t>263,490 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3CF" w14:textId="77777777" w:rsidR="00E836FB" w:rsidRDefault="00E836FB">
            <w:pPr>
              <w:jc w:val="right"/>
              <w:rPr>
                <w:rFonts w:ascii="宋体"/>
              </w:rPr>
            </w:pPr>
          </w:p>
        </w:tc>
      </w:tr>
      <w:tr w:rsidR="00E836FB" w14:paraId="5F2CE3D7" w14:textId="77777777">
        <w:tc>
          <w:tcPr>
            <w:tcW w:w="0" w:type="auto"/>
            <w:gridSpan w:val="3"/>
            <w:shd w:val="clear" w:color="auto" w:fill="CCEEFF"/>
            <w:tcMar>
              <w:top w:w="40" w:type="dxa"/>
              <w:left w:w="20" w:type="dxa"/>
              <w:bottom w:w="40" w:type="dxa"/>
              <w:right w:w="20" w:type="dxa"/>
            </w:tcMar>
            <w:vAlign w:val="bottom"/>
          </w:tcPr>
          <w:p w14:paraId="5F2CE3D1" w14:textId="77777777" w:rsidR="00E836FB" w:rsidRDefault="00994958">
            <w:pPr>
              <w:textAlignment w:val="bottom"/>
            </w:pPr>
            <w:r>
              <w:rPr>
                <w:rFonts w:ascii="Arial" w:eastAsia="宋体" w:hAnsi="Arial" w:cs="Arial"/>
                <w:color w:val="000000"/>
                <w:sz w:val="15"/>
                <w:szCs w:val="15"/>
              </w:rPr>
              <w:t>Derivatives and repo-style transactions and off-balance sheet exposures</w:t>
            </w:r>
          </w:p>
        </w:tc>
        <w:tc>
          <w:tcPr>
            <w:tcW w:w="0" w:type="auto"/>
            <w:gridSpan w:val="2"/>
            <w:shd w:val="clear" w:color="auto" w:fill="CCEEFF"/>
            <w:tcMar>
              <w:top w:w="40" w:type="dxa"/>
              <w:left w:w="20" w:type="dxa"/>
              <w:bottom w:w="40" w:type="dxa"/>
              <w:right w:w="0" w:type="dxa"/>
            </w:tcMar>
            <w:vAlign w:val="bottom"/>
          </w:tcPr>
          <w:p w14:paraId="5F2CE3D2" w14:textId="77777777" w:rsidR="00E836FB" w:rsidRDefault="00994958">
            <w:pPr>
              <w:jc w:val="right"/>
              <w:textAlignment w:val="bottom"/>
            </w:pPr>
            <w:r>
              <w:rPr>
                <w:rFonts w:ascii="Arial" w:eastAsia="宋体" w:hAnsi="Arial" w:cs="Arial"/>
                <w:b/>
                <w:bCs/>
                <w:color w:val="000000"/>
                <w:sz w:val="15"/>
                <w:szCs w:val="15"/>
              </w:rPr>
              <w:t>32,985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E3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D5" w14:textId="77777777" w:rsidR="00E836FB" w:rsidRDefault="00994958">
            <w:pPr>
              <w:jc w:val="right"/>
              <w:textAlignment w:val="bottom"/>
            </w:pPr>
            <w:r>
              <w:rPr>
                <w:rFonts w:ascii="Arial" w:eastAsia="宋体" w:hAnsi="Arial" w:cs="Arial"/>
                <w:color w:val="000000"/>
                <w:sz w:val="15"/>
                <w:szCs w:val="15"/>
              </w:rPr>
              <w:t>34,379 </w:t>
            </w:r>
          </w:p>
        </w:tc>
        <w:tc>
          <w:tcPr>
            <w:tcW w:w="0" w:type="auto"/>
            <w:shd w:val="clear" w:color="auto" w:fill="CCEEFF"/>
            <w:tcMar>
              <w:top w:w="40" w:type="dxa"/>
              <w:left w:w="0" w:type="dxa"/>
              <w:bottom w:w="40" w:type="dxa"/>
              <w:right w:w="20" w:type="dxa"/>
            </w:tcMar>
            <w:vAlign w:val="bottom"/>
          </w:tcPr>
          <w:p w14:paraId="5F2CE3D6" w14:textId="77777777" w:rsidR="00E836FB" w:rsidRDefault="00E836FB">
            <w:pPr>
              <w:jc w:val="right"/>
              <w:rPr>
                <w:rFonts w:ascii="宋体"/>
              </w:rPr>
            </w:pPr>
          </w:p>
        </w:tc>
      </w:tr>
      <w:tr w:rsidR="00E836FB" w14:paraId="5F2CE3DE" w14:textId="77777777">
        <w:tc>
          <w:tcPr>
            <w:tcW w:w="0" w:type="auto"/>
            <w:gridSpan w:val="3"/>
            <w:shd w:val="clear" w:color="auto" w:fill="FFFFFF"/>
            <w:tcMar>
              <w:top w:w="40" w:type="dxa"/>
              <w:left w:w="20" w:type="dxa"/>
              <w:bottom w:w="40" w:type="dxa"/>
              <w:right w:w="20" w:type="dxa"/>
            </w:tcMar>
            <w:vAlign w:val="bottom"/>
          </w:tcPr>
          <w:p w14:paraId="5F2CE3D8" w14:textId="77777777" w:rsidR="00E836FB" w:rsidRDefault="00994958">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5F2CE3D9" w14:textId="77777777" w:rsidR="00E836FB" w:rsidRDefault="00994958">
            <w:pPr>
              <w:jc w:val="right"/>
              <w:textAlignment w:val="bottom"/>
            </w:pPr>
            <w:r>
              <w:rPr>
                <w:rFonts w:ascii="Arial" w:eastAsia="宋体" w:hAnsi="Arial" w:cs="Arial"/>
                <w:b/>
                <w:bCs/>
                <w:color w:val="000000"/>
                <w:sz w:val="15"/>
                <w:szCs w:val="15"/>
              </w:rPr>
              <w:t>(84,113)</w:t>
            </w:r>
          </w:p>
        </w:tc>
        <w:tc>
          <w:tcPr>
            <w:tcW w:w="0" w:type="auto"/>
            <w:shd w:val="clear" w:color="auto" w:fill="FFFFFF"/>
            <w:tcMar>
              <w:top w:w="40" w:type="dxa"/>
              <w:left w:w="0" w:type="dxa"/>
              <w:bottom w:w="40" w:type="dxa"/>
              <w:right w:w="20" w:type="dxa"/>
            </w:tcMar>
            <w:vAlign w:val="bottom"/>
          </w:tcPr>
          <w:p w14:paraId="5F2CE3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3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3DC" w14:textId="77777777" w:rsidR="00E836FB" w:rsidRDefault="00994958">
            <w:pPr>
              <w:jc w:val="right"/>
              <w:textAlignment w:val="bottom"/>
            </w:pPr>
            <w:r>
              <w:rPr>
                <w:rFonts w:ascii="Arial" w:eastAsia="宋体" w:hAnsi="Arial" w:cs="Arial"/>
                <w:color w:val="000000"/>
                <w:sz w:val="15"/>
                <w:szCs w:val="15"/>
              </w:rPr>
              <w:t>(90,322)</w:t>
            </w:r>
          </w:p>
        </w:tc>
        <w:tc>
          <w:tcPr>
            <w:tcW w:w="0" w:type="auto"/>
            <w:shd w:val="clear" w:color="auto" w:fill="FFFFFF"/>
            <w:tcMar>
              <w:top w:w="40" w:type="dxa"/>
              <w:left w:w="0" w:type="dxa"/>
              <w:bottom w:w="40" w:type="dxa"/>
              <w:right w:w="20" w:type="dxa"/>
            </w:tcMar>
            <w:vAlign w:val="bottom"/>
          </w:tcPr>
          <w:p w14:paraId="5F2CE3DD" w14:textId="77777777" w:rsidR="00E836FB" w:rsidRDefault="00E836FB">
            <w:pPr>
              <w:jc w:val="right"/>
              <w:rPr>
                <w:rFonts w:ascii="宋体"/>
              </w:rPr>
            </w:pPr>
          </w:p>
        </w:tc>
      </w:tr>
      <w:tr w:rsidR="00E836FB" w14:paraId="5F2CE3E7" w14:textId="77777777">
        <w:tc>
          <w:tcPr>
            <w:tcW w:w="0" w:type="auto"/>
            <w:gridSpan w:val="3"/>
            <w:shd w:val="clear" w:color="auto" w:fill="CCEEFF"/>
            <w:tcMar>
              <w:top w:w="40" w:type="dxa"/>
              <w:left w:w="20" w:type="dxa"/>
              <w:bottom w:w="40" w:type="dxa"/>
              <w:right w:w="20" w:type="dxa"/>
            </w:tcMar>
            <w:vAlign w:val="bottom"/>
          </w:tcPr>
          <w:p w14:paraId="5F2CE3DF" w14:textId="77777777" w:rsidR="00E836FB" w:rsidRDefault="00994958">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E3E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3E1" w14:textId="77777777" w:rsidR="00E836FB" w:rsidRDefault="00994958">
            <w:pPr>
              <w:jc w:val="right"/>
              <w:textAlignment w:val="bottom"/>
            </w:pPr>
            <w:r>
              <w:rPr>
                <w:rFonts w:ascii="Arial" w:eastAsia="宋体" w:hAnsi="Arial" w:cs="Arial"/>
                <w:b/>
                <w:bCs/>
                <w:color w:val="000000"/>
                <w:sz w:val="15"/>
                <w:szCs w:val="15"/>
              </w:rPr>
              <w:t>242,439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3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E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3E4"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3E5" w14:textId="77777777" w:rsidR="00E836FB" w:rsidRDefault="00994958">
            <w:pPr>
              <w:jc w:val="right"/>
              <w:textAlignment w:val="bottom"/>
            </w:pPr>
            <w:r>
              <w:rPr>
                <w:rFonts w:ascii="Arial" w:eastAsia="宋体" w:hAnsi="Arial" w:cs="Arial"/>
                <w:color w:val="000000"/>
                <w:sz w:val="15"/>
                <w:szCs w:val="15"/>
              </w:rPr>
              <w:t>207,547 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3E6" w14:textId="77777777" w:rsidR="00E836FB" w:rsidRDefault="00E836FB">
            <w:pPr>
              <w:jc w:val="right"/>
              <w:rPr>
                <w:rFonts w:ascii="宋体"/>
              </w:rPr>
            </w:pPr>
          </w:p>
        </w:tc>
      </w:tr>
      <w:tr w:rsidR="00E836FB" w14:paraId="5F2CE3EE" w14:textId="77777777">
        <w:tc>
          <w:tcPr>
            <w:tcW w:w="0" w:type="auto"/>
            <w:gridSpan w:val="3"/>
            <w:shd w:val="clear" w:color="auto" w:fill="FFFFFF"/>
            <w:tcMar>
              <w:top w:w="40" w:type="dxa"/>
              <w:left w:w="20" w:type="dxa"/>
              <w:bottom w:w="40" w:type="dxa"/>
              <w:right w:w="20" w:type="dxa"/>
            </w:tcMar>
            <w:vAlign w:val="bottom"/>
          </w:tcPr>
          <w:p w14:paraId="5F2CE3E8" w14:textId="77777777" w:rsidR="00E836FB" w:rsidRDefault="00994958">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F2CE3E9" w14:textId="77777777" w:rsidR="00E836FB" w:rsidRDefault="00994958">
            <w:pPr>
              <w:jc w:val="right"/>
              <w:textAlignment w:val="bottom"/>
            </w:pPr>
            <w:r>
              <w:rPr>
                <w:rFonts w:ascii="Arial" w:eastAsia="宋体" w:hAnsi="Arial" w:cs="Arial"/>
                <w:b/>
                <w:bCs/>
                <w:color w:val="000000"/>
                <w:sz w:val="15"/>
                <w:szCs w:val="15"/>
              </w:rPr>
              <w:t>6.1</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3EA"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F2CE3EB" w14:textId="77777777" w:rsidR="00E836FB" w:rsidRDefault="00E83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F2CE3EC" w14:textId="77777777" w:rsidR="00E836FB" w:rsidRDefault="00994958">
            <w:pPr>
              <w:jc w:val="right"/>
              <w:textAlignment w:val="bottom"/>
            </w:pPr>
            <w:r>
              <w:rPr>
                <w:rFonts w:ascii="Arial" w:eastAsia="宋体" w:hAnsi="Arial" w:cs="Arial"/>
                <w:color w:val="000000"/>
                <w:sz w:val="15"/>
                <w:szCs w:val="15"/>
              </w:rPr>
              <w:t>6.4 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3ED" w14:textId="77777777" w:rsidR="00E836FB" w:rsidRDefault="00994958">
            <w:pPr>
              <w:jc w:val="right"/>
              <w:textAlignment w:val="bottom"/>
            </w:pPr>
            <w:r>
              <w:rPr>
                <w:rFonts w:ascii="Arial" w:eastAsia="宋体" w:hAnsi="Arial" w:cs="Arial"/>
                <w:color w:val="000000"/>
                <w:sz w:val="15"/>
                <w:szCs w:val="15"/>
              </w:rPr>
              <w:t>%</w:t>
            </w:r>
          </w:p>
        </w:tc>
      </w:tr>
      <w:tr w:rsidR="00E836FB" w14:paraId="5F2CE3F5" w14:textId="77777777">
        <w:tc>
          <w:tcPr>
            <w:tcW w:w="0" w:type="auto"/>
            <w:gridSpan w:val="3"/>
            <w:shd w:val="clear" w:color="auto" w:fill="CCEEFF"/>
            <w:tcMar>
              <w:top w:w="40" w:type="dxa"/>
              <w:left w:w="20" w:type="dxa"/>
              <w:bottom w:w="40" w:type="dxa"/>
              <w:right w:w="20" w:type="dxa"/>
            </w:tcMar>
            <w:vAlign w:val="bottom"/>
          </w:tcPr>
          <w:p w14:paraId="5F2CE3EF" w14:textId="77777777" w:rsidR="00E836FB" w:rsidRDefault="00994958">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5F2CE3F0" w14:textId="77777777" w:rsidR="00E836FB" w:rsidRDefault="00994958">
            <w:pPr>
              <w:jc w:val="right"/>
              <w:textAlignment w:val="bottom"/>
            </w:pPr>
            <w:r>
              <w:rPr>
                <w:rFonts w:ascii="Arial" w:eastAsia="宋体" w:hAnsi="Arial" w:cs="Arial"/>
                <w:b/>
                <w:bCs/>
                <w:color w:val="000000"/>
                <w:sz w:val="15"/>
                <w:szCs w:val="15"/>
              </w:rPr>
              <w:t>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E3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3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3F3" w14:textId="77777777" w:rsidR="00E836FB" w:rsidRDefault="00994958">
            <w:pPr>
              <w:jc w:val="right"/>
              <w:textAlignment w:val="bottom"/>
            </w:pPr>
            <w:r>
              <w:rPr>
                <w:rFonts w:ascii="Arial" w:eastAsia="宋体" w:hAnsi="Arial" w:cs="Arial"/>
                <w:color w:val="000000"/>
                <w:sz w:val="15"/>
                <w:szCs w:val="15"/>
              </w:rPr>
              <w:t>8.1 </w:t>
            </w:r>
          </w:p>
        </w:tc>
        <w:tc>
          <w:tcPr>
            <w:tcW w:w="0" w:type="auto"/>
            <w:shd w:val="clear" w:color="auto" w:fill="CCEEFF"/>
            <w:tcMar>
              <w:top w:w="40" w:type="dxa"/>
              <w:left w:w="0" w:type="dxa"/>
              <w:bottom w:w="40" w:type="dxa"/>
              <w:right w:w="20" w:type="dxa"/>
            </w:tcMar>
            <w:vAlign w:val="bottom"/>
          </w:tcPr>
          <w:p w14:paraId="5F2CE3F4" w14:textId="77777777" w:rsidR="00E836FB" w:rsidRDefault="00E836FB">
            <w:pPr>
              <w:jc w:val="right"/>
              <w:rPr>
                <w:rFonts w:ascii="宋体"/>
              </w:rPr>
            </w:pPr>
          </w:p>
        </w:tc>
      </w:tr>
      <w:tr w:rsidR="00E836FB" w14:paraId="5F2CE3FA" w14:textId="77777777">
        <w:trPr>
          <w:trHeight w:val="60"/>
        </w:trPr>
        <w:tc>
          <w:tcPr>
            <w:tcW w:w="0" w:type="auto"/>
            <w:gridSpan w:val="3"/>
            <w:shd w:val="clear" w:color="auto" w:fill="auto"/>
            <w:tcMar>
              <w:top w:w="0" w:type="dxa"/>
              <w:left w:w="20" w:type="dxa"/>
              <w:bottom w:w="0" w:type="dxa"/>
              <w:right w:w="20" w:type="dxa"/>
            </w:tcMar>
            <w:vAlign w:val="bottom"/>
          </w:tcPr>
          <w:p w14:paraId="5F2CE3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3F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3F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3F9" w14:textId="77777777" w:rsidR="00E836FB" w:rsidRDefault="00E836FB">
            <w:pPr>
              <w:rPr>
                <w:rFonts w:ascii="宋体"/>
              </w:rPr>
            </w:pPr>
          </w:p>
        </w:tc>
      </w:tr>
      <w:tr w:rsidR="00E836FB" w14:paraId="5F2CE3FF" w14:textId="77777777">
        <w:tc>
          <w:tcPr>
            <w:tcW w:w="0" w:type="auto"/>
            <w:gridSpan w:val="3"/>
            <w:shd w:val="clear" w:color="auto" w:fill="FFFFFF"/>
            <w:tcMar>
              <w:top w:w="40" w:type="dxa"/>
              <w:left w:w="20" w:type="dxa"/>
              <w:bottom w:w="40" w:type="dxa"/>
              <w:right w:w="20" w:type="dxa"/>
            </w:tcMar>
            <w:vAlign w:val="bottom"/>
          </w:tcPr>
          <w:p w14:paraId="5F2CE3FB" w14:textId="77777777" w:rsidR="00E836FB" w:rsidRDefault="00994958">
            <w:pPr>
              <w:textAlignment w:val="bottom"/>
            </w:pPr>
            <w:r>
              <w:rPr>
                <w:rFonts w:ascii="Arial" w:eastAsia="宋体" w:hAnsi="Arial" w:cs="Arial"/>
                <w:b/>
                <w:bCs/>
                <w:color w:val="000000"/>
                <w:sz w:val="15"/>
                <w:szCs w:val="15"/>
              </w:rPr>
              <w:t>State Street Bank</w:t>
            </w:r>
            <w:r>
              <w:rPr>
                <w:rFonts w:ascii="Arial" w:eastAsia="宋体" w:hAnsi="Arial" w:cs="Arial"/>
                <w:b/>
                <w:bCs/>
                <w:color w:val="000000"/>
                <w:sz w:val="9"/>
                <w:szCs w:val="9"/>
              </w:rPr>
              <w:t>(2)</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F2CE3F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3F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3FE" w14:textId="77777777" w:rsidR="00E836FB" w:rsidRDefault="00E836FB">
            <w:pPr>
              <w:rPr>
                <w:rFonts w:ascii="宋体"/>
              </w:rPr>
            </w:pPr>
          </w:p>
        </w:tc>
      </w:tr>
      <w:tr w:rsidR="00E836FB" w14:paraId="5F2CE408" w14:textId="77777777">
        <w:tc>
          <w:tcPr>
            <w:tcW w:w="0" w:type="auto"/>
            <w:gridSpan w:val="3"/>
            <w:shd w:val="clear" w:color="auto" w:fill="CCEEFF"/>
            <w:tcMar>
              <w:top w:w="40" w:type="dxa"/>
              <w:left w:w="20" w:type="dxa"/>
              <w:bottom w:w="40" w:type="dxa"/>
              <w:right w:w="20" w:type="dxa"/>
            </w:tcMar>
            <w:vAlign w:val="bottom"/>
          </w:tcPr>
          <w:p w14:paraId="5F2CE400" w14:textId="77777777" w:rsidR="00E836FB" w:rsidRDefault="00994958">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5F2CE40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E402" w14:textId="77777777" w:rsidR="00E836FB" w:rsidRDefault="00994958">
            <w:pPr>
              <w:jc w:val="right"/>
              <w:textAlignment w:val="bottom"/>
            </w:pPr>
            <w:r>
              <w:rPr>
                <w:rFonts w:ascii="Arial" w:eastAsia="宋体" w:hAnsi="Arial" w:cs="Arial"/>
                <w:b/>
                <w:bCs/>
                <w:color w:val="000000"/>
                <w:sz w:val="15"/>
                <w:szCs w:val="15"/>
              </w:rPr>
              <w:t>18,845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E4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0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405"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E406" w14:textId="77777777" w:rsidR="00E836FB" w:rsidRDefault="00994958">
            <w:pPr>
              <w:jc w:val="right"/>
              <w:textAlignment w:val="bottom"/>
            </w:pPr>
            <w:r>
              <w:rPr>
                <w:rFonts w:ascii="Arial" w:eastAsia="宋体" w:hAnsi="Arial" w:cs="Arial"/>
                <w:color w:val="000000"/>
                <w:sz w:val="15"/>
                <w:szCs w:val="15"/>
              </w:rPr>
              <w:t>17,306 </w:t>
            </w:r>
          </w:p>
        </w:tc>
        <w:tc>
          <w:tcPr>
            <w:tcW w:w="0" w:type="auto"/>
            <w:shd w:val="clear" w:color="auto" w:fill="CCEEFF"/>
            <w:tcMar>
              <w:top w:w="40" w:type="dxa"/>
              <w:left w:w="0" w:type="dxa"/>
              <w:bottom w:w="40" w:type="dxa"/>
              <w:right w:w="20" w:type="dxa"/>
            </w:tcMar>
            <w:vAlign w:val="bottom"/>
          </w:tcPr>
          <w:p w14:paraId="5F2CE407" w14:textId="77777777" w:rsidR="00E836FB" w:rsidRDefault="00E836FB">
            <w:pPr>
              <w:jc w:val="right"/>
              <w:rPr>
                <w:rFonts w:ascii="宋体"/>
              </w:rPr>
            </w:pPr>
          </w:p>
        </w:tc>
      </w:tr>
      <w:tr w:rsidR="00E836FB" w14:paraId="5F2CE40F" w14:textId="77777777">
        <w:tc>
          <w:tcPr>
            <w:tcW w:w="0" w:type="auto"/>
            <w:gridSpan w:val="3"/>
            <w:shd w:val="clear" w:color="auto" w:fill="FFFFFF"/>
            <w:tcMar>
              <w:top w:w="40" w:type="dxa"/>
              <w:left w:w="20" w:type="dxa"/>
              <w:bottom w:w="40" w:type="dxa"/>
              <w:right w:w="20" w:type="dxa"/>
            </w:tcMar>
            <w:vAlign w:val="bottom"/>
          </w:tcPr>
          <w:p w14:paraId="5F2CE409" w14:textId="77777777" w:rsidR="00E836FB" w:rsidRDefault="00994958">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5F2CE40A" w14:textId="77777777" w:rsidR="00E836FB" w:rsidRDefault="00994958">
            <w:pPr>
              <w:jc w:val="right"/>
              <w:textAlignment w:val="bottom"/>
            </w:pPr>
            <w:r>
              <w:rPr>
                <w:rFonts w:ascii="Arial" w:eastAsia="宋体" w:hAnsi="Arial" w:cs="Arial"/>
                <w:b/>
                <w:bCs/>
                <w:color w:val="000000"/>
                <w:sz w:val="15"/>
                <w:szCs w:val="15"/>
              </w:rPr>
              <w:t>299,379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E4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0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40D" w14:textId="77777777" w:rsidR="00E836FB" w:rsidRDefault="00994958">
            <w:pPr>
              <w:jc w:val="right"/>
              <w:textAlignment w:val="bottom"/>
            </w:pPr>
            <w:r>
              <w:rPr>
                <w:rFonts w:ascii="Arial" w:eastAsia="宋体" w:hAnsi="Arial" w:cs="Arial"/>
                <w:color w:val="000000"/>
                <w:sz w:val="15"/>
                <w:szCs w:val="15"/>
              </w:rPr>
              <w:t>273,599 </w:t>
            </w:r>
          </w:p>
        </w:tc>
        <w:tc>
          <w:tcPr>
            <w:tcW w:w="0" w:type="auto"/>
            <w:shd w:val="clear" w:color="auto" w:fill="FFFFFF"/>
            <w:tcMar>
              <w:top w:w="40" w:type="dxa"/>
              <w:left w:w="0" w:type="dxa"/>
              <w:bottom w:w="40" w:type="dxa"/>
              <w:right w:w="20" w:type="dxa"/>
            </w:tcMar>
            <w:vAlign w:val="bottom"/>
          </w:tcPr>
          <w:p w14:paraId="5F2CE40E" w14:textId="77777777" w:rsidR="00E836FB" w:rsidRDefault="00E836FB">
            <w:pPr>
              <w:jc w:val="right"/>
              <w:rPr>
                <w:rFonts w:ascii="宋体"/>
              </w:rPr>
            </w:pPr>
          </w:p>
        </w:tc>
      </w:tr>
      <w:tr w:rsidR="00E836FB" w14:paraId="5F2CE416" w14:textId="77777777">
        <w:tc>
          <w:tcPr>
            <w:tcW w:w="0" w:type="auto"/>
            <w:gridSpan w:val="3"/>
            <w:shd w:val="clear" w:color="auto" w:fill="CCEEFF"/>
            <w:tcMar>
              <w:top w:w="40" w:type="dxa"/>
              <w:left w:w="20" w:type="dxa"/>
              <w:bottom w:w="40" w:type="dxa"/>
              <w:right w:w="20" w:type="dxa"/>
            </w:tcMar>
            <w:vAlign w:val="bottom"/>
          </w:tcPr>
          <w:p w14:paraId="5F2CE410" w14:textId="77777777" w:rsidR="00E836FB" w:rsidRDefault="00994958">
            <w:pPr>
              <w:textAlignment w:val="bottom"/>
            </w:pPr>
            <w:r>
              <w:rPr>
                <w:rFonts w:ascii="Arial" w:eastAsia="宋体" w:hAnsi="Arial" w:cs="Arial"/>
                <w:color w:val="000000"/>
                <w:sz w:val="15"/>
                <w:szCs w:val="15"/>
              </w:rPr>
              <w:t xml:space="preserve">Less: adjustments for deductions from tier 1 </w:t>
            </w:r>
            <w:r>
              <w:rPr>
                <w:rFonts w:ascii="Arial" w:eastAsia="宋体" w:hAnsi="Arial" w:cs="Arial"/>
                <w:color w:val="000000"/>
                <w:sz w:val="15"/>
                <w:szCs w:val="15"/>
              </w:rPr>
              <w:t>capital and other</w:t>
            </w:r>
          </w:p>
        </w:tc>
        <w:tc>
          <w:tcPr>
            <w:tcW w:w="0" w:type="auto"/>
            <w:gridSpan w:val="2"/>
            <w:shd w:val="clear" w:color="auto" w:fill="CCEEFF"/>
            <w:tcMar>
              <w:top w:w="40" w:type="dxa"/>
              <w:left w:w="20" w:type="dxa"/>
              <w:bottom w:w="40" w:type="dxa"/>
              <w:right w:w="0" w:type="dxa"/>
            </w:tcMar>
            <w:vAlign w:val="bottom"/>
          </w:tcPr>
          <w:p w14:paraId="5F2CE411" w14:textId="77777777" w:rsidR="00E836FB" w:rsidRDefault="00994958">
            <w:pPr>
              <w:jc w:val="right"/>
              <w:textAlignment w:val="bottom"/>
            </w:pPr>
            <w:r>
              <w:rPr>
                <w:rFonts w:ascii="Arial" w:eastAsia="宋体" w:hAnsi="Arial" w:cs="Arial"/>
                <w:b/>
                <w:bCs/>
                <w:color w:val="000000"/>
                <w:sz w:val="15"/>
                <w:szCs w:val="15"/>
              </w:rPr>
              <w:t>(8,976)</w:t>
            </w:r>
          </w:p>
        </w:tc>
        <w:tc>
          <w:tcPr>
            <w:tcW w:w="0" w:type="auto"/>
            <w:shd w:val="clear" w:color="auto" w:fill="CCEEFF"/>
            <w:tcMar>
              <w:top w:w="40" w:type="dxa"/>
              <w:left w:w="0" w:type="dxa"/>
              <w:bottom w:w="40" w:type="dxa"/>
              <w:right w:w="20" w:type="dxa"/>
            </w:tcMar>
            <w:vAlign w:val="bottom"/>
          </w:tcPr>
          <w:p w14:paraId="5F2CE4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414" w14:textId="77777777" w:rsidR="00E836FB" w:rsidRDefault="00994958">
            <w:pPr>
              <w:jc w:val="right"/>
              <w:textAlignment w:val="bottom"/>
            </w:pPr>
            <w:r>
              <w:rPr>
                <w:rFonts w:ascii="Arial" w:eastAsia="宋体" w:hAnsi="Arial" w:cs="Arial"/>
                <w:color w:val="000000"/>
                <w:sz w:val="15"/>
                <w:szCs w:val="15"/>
              </w:rPr>
              <w:t>(13,110)</w:t>
            </w:r>
          </w:p>
        </w:tc>
        <w:tc>
          <w:tcPr>
            <w:tcW w:w="0" w:type="auto"/>
            <w:shd w:val="clear" w:color="auto" w:fill="CCEEFF"/>
            <w:tcMar>
              <w:top w:w="40" w:type="dxa"/>
              <w:left w:w="0" w:type="dxa"/>
              <w:bottom w:w="40" w:type="dxa"/>
              <w:right w:w="20" w:type="dxa"/>
            </w:tcMar>
            <w:vAlign w:val="bottom"/>
          </w:tcPr>
          <w:p w14:paraId="5F2CE415" w14:textId="77777777" w:rsidR="00E836FB" w:rsidRDefault="00E836FB">
            <w:pPr>
              <w:jc w:val="right"/>
              <w:rPr>
                <w:rFonts w:ascii="宋体"/>
              </w:rPr>
            </w:pPr>
          </w:p>
        </w:tc>
      </w:tr>
      <w:tr w:rsidR="00E836FB" w14:paraId="5F2CE41D" w14:textId="77777777">
        <w:tc>
          <w:tcPr>
            <w:tcW w:w="0" w:type="auto"/>
            <w:gridSpan w:val="3"/>
            <w:shd w:val="clear" w:color="auto" w:fill="FFFFFF"/>
            <w:tcMar>
              <w:top w:w="40" w:type="dxa"/>
              <w:left w:w="20" w:type="dxa"/>
              <w:bottom w:w="40" w:type="dxa"/>
              <w:right w:w="20" w:type="dxa"/>
            </w:tcMar>
            <w:vAlign w:val="bottom"/>
          </w:tcPr>
          <w:p w14:paraId="5F2CE417" w14:textId="77777777" w:rsidR="00E836FB" w:rsidRDefault="00994958">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418" w14:textId="77777777" w:rsidR="00E836FB" w:rsidRDefault="00994958">
            <w:pPr>
              <w:jc w:val="right"/>
              <w:textAlignment w:val="bottom"/>
            </w:pPr>
            <w:r>
              <w:rPr>
                <w:rFonts w:ascii="Arial" w:eastAsia="宋体" w:hAnsi="Arial" w:cs="Arial"/>
                <w:b/>
                <w:bCs/>
                <w:color w:val="000000"/>
                <w:sz w:val="15"/>
                <w:szCs w:val="15"/>
              </w:rPr>
              <w:t>290,403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4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1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41B" w14:textId="77777777" w:rsidR="00E836FB" w:rsidRDefault="00994958">
            <w:pPr>
              <w:jc w:val="right"/>
              <w:textAlignment w:val="bottom"/>
            </w:pPr>
            <w:r>
              <w:rPr>
                <w:rFonts w:ascii="Arial" w:eastAsia="宋体" w:hAnsi="Arial" w:cs="Arial"/>
                <w:color w:val="000000"/>
                <w:sz w:val="15"/>
                <w:szCs w:val="15"/>
              </w:rPr>
              <w:t>260,489 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41C" w14:textId="77777777" w:rsidR="00E836FB" w:rsidRDefault="00E836FB">
            <w:pPr>
              <w:jc w:val="right"/>
              <w:rPr>
                <w:rFonts w:ascii="宋体"/>
              </w:rPr>
            </w:pPr>
          </w:p>
        </w:tc>
      </w:tr>
      <w:tr w:rsidR="00E836FB" w14:paraId="5F2CE424" w14:textId="77777777">
        <w:tc>
          <w:tcPr>
            <w:tcW w:w="0" w:type="auto"/>
            <w:gridSpan w:val="3"/>
            <w:shd w:val="clear" w:color="auto" w:fill="CCEEFF"/>
            <w:tcMar>
              <w:top w:w="40" w:type="dxa"/>
              <w:left w:w="20" w:type="dxa"/>
              <w:bottom w:w="40" w:type="dxa"/>
              <w:right w:w="20" w:type="dxa"/>
            </w:tcMar>
            <w:vAlign w:val="bottom"/>
          </w:tcPr>
          <w:p w14:paraId="5F2CE41E" w14:textId="77777777" w:rsidR="00E836FB" w:rsidRDefault="00994958">
            <w:pPr>
              <w:textAlignment w:val="bottom"/>
            </w:pPr>
            <w:r>
              <w:rPr>
                <w:rFonts w:ascii="Arial" w:eastAsia="宋体" w:hAnsi="Arial" w:cs="Arial"/>
                <w:color w:val="000000"/>
                <w:sz w:val="15"/>
                <w:szCs w:val="15"/>
              </w:rPr>
              <w:t>Off-balance sheet exposures</w:t>
            </w:r>
          </w:p>
        </w:tc>
        <w:tc>
          <w:tcPr>
            <w:tcW w:w="0" w:type="auto"/>
            <w:gridSpan w:val="2"/>
            <w:shd w:val="clear" w:color="auto" w:fill="CCEEFF"/>
            <w:tcMar>
              <w:top w:w="40" w:type="dxa"/>
              <w:left w:w="20" w:type="dxa"/>
              <w:bottom w:w="40" w:type="dxa"/>
              <w:right w:w="0" w:type="dxa"/>
            </w:tcMar>
            <w:vAlign w:val="bottom"/>
          </w:tcPr>
          <w:p w14:paraId="5F2CE41F" w14:textId="77777777" w:rsidR="00E836FB" w:rsidRDefault="00994958">
            <w:pPr>
              <w:jc w:val="right"/>
              <w:textAlignment w:val="bottom"/>
            </w:pPr>
            <w:r>
              <w:rPr>
                <w:rFonts w:ascii="Arial" w:eastAsia="宋体" w:hAnsi="Arial" w:cs="Arial"/>
                <w:b/>
                <w:bCs/>
                <w:color w:val="000000"/>
                <w:sz w:val="15"/>
                <w:szCs w:val="15"/>
              </w:rPr>
              <w:t>32,985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E4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2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422" w14:textId="77777777" w:rsidR="00E836FB" w:rsidRDefault="00994958">
            <w:pPr>
              <w:jc w:val="right"/>
              <w:textAlignment w:val="bottom"/>
            </w:pPr>
            <w:r>
              <w:rPr>
                <w:rFonts w:ascii="Arial" w:eastAsia="宋体" w:hAnsi="Arial" w:cs="Arial"/>
                <w:color w:val="000000"/>
                <w:sz w:val="15"/>
                <w:szCs w:val="15"/>
              </w:rPr>
              <w:t>38,591 </w:t>
            </w:r>
          </w:p>
        </w:tc>
        <w:tc>
          <w:tcPr>
            <w:tcW w:w="0" w:type="auto"/>
            <w:shd w:val="clear" w:color="auto" w:fill="CCEEFF"/>
            <w:tcMar>
              <w:top w:w="40" w:type="dxa"/>
              <w:left w:w="0" w:type="dxa"/>
              <w:bottom w:w="40" w:type="dxa"/>
              <w:right w:w="20" w:type="dxa"/>
            </w:tcMar>
            <w:vAlign w:val="bottom"/>
          </w:tcPr>
          <w:p w14:paraId="5F2CE423" w14:textId="77777777" w:rsidR="00E836FB" w:rsidRDefault="00E836FB">
            <w:pPr>
              <w:jc w:val="right"/>
              <w:rPr>
                <w:rFonts w:ascii="宋体"/>
              </w:rPr>
            </w:pPr>
          </w:p>
        </w:tc>
      </w:tr>
      <w:tr w:rsidR="00E836FB" w14:paraId="5F2CE42B" w14:textId="77777777">
        <w:tc>
          <w:tcPr>
            <w:tcW w:w="0" w:type="auto"/>
            <w:gridSpan w:val="3"/>
            <w:shd w:val="clear" w:color="auto" w:fill="FFFFFF"/>
            <w:tcMar>
              <w:top w:w="40" w:type="dxa"/>
              <w:left w:w="20" w:type="dxa"/>
              <w:bottom w:w="40" w:type="dxa"/>
              <w:right w:w="20" w:type="dxa"/>
            </w:tcMar>
            <w:vAlign w:val="bottom"/>
          </w:tcPr>
          <w:p w14:paraId="5F2CE425" w14:textId="77777777" w:rsidR="00E836FB" w:rsidRDefault="00994958">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5F2CE426" w14:textId="77777777" w:rsidR="00E836FB" w:rsidRDefault="00994958">
            <w:pPr>
              <w:jc w:val="right"/>
              <w:textAlignment w:val="bottom"/>
            </w:pPr>
            <w:r>
              <w:rPr>
                <w:rFonts w:ascii="Arial" w:eastAsia="宋体" w:hAnsi="Arial" w:cs="Arial"/>
                <w:b/>
                <w:bCs/>
                <w:color w:val="000000"/>
                <w:sz w:val="15"/>
                <w:szCs w:val="15"/>
              </w:rPr>
              <w:t>(84,113)</w:t>
            </w:r>
          </w:p>
        </w:tc>
        <w:tc>
          <w:tcPr>
            <w:tcW w:w="0" w:type="auto"/>
            <w:shd w:val="clear" w:color="auto" w:fill="FFFFFF"/>
            <w:tcMar>
              <w:top w:w="40" w:type="dxa"/>
              <w:left w:w="0" w:type="dxa"/>
              <w:bottom w:w="40" w:type="dxa"/>
              <w:right w:w="20" w:type="dxa"/>
            </w:tcMar>
            <w:vAlign w:val="bottom"/>
          </w:tcPr>
          <w:p w14:paraId="5F2CE4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2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429" w14:textId="77777777" w:rsidR="00E836FB" w:rsidRDefault="00994958">
            <w:pPr>
              <w:jc w:val="right"/>
              <w:textAlignment w:val="bottom"/>
            </w:pPr>
            <w:r>
              <w:rPr>
                <w:rFonts w:ascii="Arial" w:eastAsia="宋体" w:hAnsi="Arial" w:cs="Arial"/>
                <w:color w:val="000000"/>
                <w:sz w:val="15"/>
                <w:szCs w:val="15"/>
              </w:rPr>
              <w:t>(80,935)</w:t>
            </w:r>
          </w:p>
        </w:tc>
        <w:tc>
          <w:tcPr>
            <w:tcW w:w="0" w:type="auto"/>
            <w:shd w:val="clear" w:color="auto" w:fill="FFFFFF"/>
            <w:tcMar>
              <w:top w:w="40" w:type="dxa"/>
              <w:left w:w="0" w:type="dxa"/>
              <w:bottom w:w="40" w:type="dxa"/>
              <w:right w:w="20" w:type="dxa"/>
            </w:tcMar>
            <w:vAlign w:val="bottom"/>
          </w:tcPr>
          <w:p w14:paraId="5F2CE42A" w14:textId="77777777" w:rsidR="00E836FB" w:rsidRDefault="00E836FB">
            <w:pPr>
              <w:jc w:val="right"/>
              <w:rPr>
                <w:rFonts w:ascii="宋体"/>
              </w:rPr>
            </w:pPr>
          </w:p>
        </w:tc>
      </w:tr>
      <w:tr w:rsidR="00E836FB" w14:paraId="5F2CE434" w14:textId="77777777">
        <w:tc>
          <w:tcPr>
            <w:tcW w:w="0" w:type="auto"/>
            <w:gridSpan w:val="3"/>
            <w:shd w:val="clear" w:color="auto" w:fill="CCEEFF"/>
            <w:tcMar>
              <w:top w:w="40" w:type="dxa"/>
              <w:left w:w="20" w:type="dxa"/>
              <w:bottom w:w="40" w:type="dxa"/>
              <w:right w:w="20" w:type="dxa"/>
            </w:tcMar>
            <w:vAlign w:val="bottom"/>
          </w:tcPr>
          <w:p w14:paraId="5F2CE42C" w14:textId="77777777" w:rsidR="00E836FB" w:rsidRDefault="00994958">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E42D"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42E" w14:textId="77777777" w:rsidR="00E836FB" w:rsidRDefault="00994958">
            <w:pPr>
              <w:jc w:val="right"/>
              <w:textAlignment w:val="bottom"/>
            </w:pPr>
            <w:r>
              <w:rPr>
                <w:rFonts w:ascii="Arial" w:eastAsia="宋体" w:hAnsi="Arial" w:cs="Arial"/>
                <w:b/>
                <w:bCs/>
                <w:color w:val="000000"/>
                <w:sz w:val="15"/>
                <w:szCs w:val="15"/>
              </w:rPr>
              <w:t>239,275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42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3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43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432" w14:textId="77777777" w:rsidR="00E836FB" w:rsidRDefault="00994958">
            <w:pPr>
              <w:jc w:val="right"/>
              <w:textAlignment w:val="bottom"/>
            </w:pPr>
            <w:r>
              <w:rPr>
                <w:rFonts w:ascii="Arial" w:eastAsia="宋体" w:hAnsi="Arial" w:cs="Arial"/>
                <w:color w:val="000000"/>
                <w:sz w:val="15"/>
                <w:szCs w:val="15"/>
              </w:rPr>
              <w:t>218,145 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433" w14:textId="77777777" w:rsidR="00E836FB" w:rsidRDefault="00E836FB">
            <w:pPr>
              <w:jc w:val="right"/>
              <w:rPr>
                <w:rFonts w:ascii="宋体"/>
              </w:rPr>
            </w:pPr>
          </w:p>
        </w:tc>
      </w:tr>
      <w:tr w:rsidR="00E836FB" w14:paraId="5F2CE43B" w14:textId="77777777">
        <w:tc>
          <w:tcPr>
            <w:tcW w:w="0" w:type="auto"/>
            <w:gridSpan w:val="3"/>
            <w:shd w:val="clear" w:color="auto" w:fill="FFFFFF"/>
            <w:tcMar>
              <w:top w:w="40" w:type="dxa"/>
              <w:left w:w="20" w:type="dxa"/>
              <w:bottom w:w="40" w:type="dxa"/>
              <w:right w:w="20" w:type="dxa"/>
            </w:tcMar>
            <w:vAlign w:val="bottom"/>
          </w:tcPr>
          <w:p w14:paraId="5F2CE435" w14:textId="77777777" w:rsidR="00E836FB" w:rsidRDefault="00994958">
            <w:pPr>
              <w:textAlignment w:val="bottom"/>
            </w:pPr>
            <w:r>
              <w:rPr>
                <w:rFonts w:ascii="Arial" w:eastAsia="宋体" w:hAnsi="Arial" w:cs="Arial"/>
                <w:color w:val="000000"/>
                <w:sz w:val="15"/>
                <w:szCs w:val="15"/>
              </w:rPr>
              <w:t xml:space="preserve">Tier 1 leverage ratio </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F2CE436" w14:textId="77777777" w:rsidR="00E836FB" w:rsidRDefault="00994958">
            <w:pPr>
              <w:jc w:val="right"/>
              <w:textAlignment w:val="bottom"/>
            </w:pPr>
            <w:r>
              <w:rPr>
                <w:rFonts w:ascii="Arial" w:eastAsia="宋体" w:hAnsi="Arial" w:cs="Arial"/>
                <w:b/>
                <w:bCs/>
                <w:color w:val="000000"/>
                <w:sz w:val="15"/>
                <w:szCs w:val="15"/>
              </w:rPr>
              <w:t>6.5</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437" w14:textId="77777777" w:rsidR="00E836FB" w:rsidRDefault="00994958">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F2CE438" w14:textId="77777777" w:rsidR="00E836FB" w:rsidRDefault="00E83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F2CE439" w14:textId="77777777" w:rsidR="00E836FB" w:rsidRDefault="00994958">
            <w:pPr>
              <w:jc w:val="right"/>
              <w:textAlignment w:val="bottom"/>
            </w:pPr>
            <w:r>
              <w:rPr>
                <w:rFonts w:ascii="Arial" w:eastAsia="宋体" w:hAnsi="Arial" w:cs="Arial"/>
                <w:color w:val="000000"/>
                <w:sz w:val="15"/>
                <w:szCs w:val="15"/>
              </w:rPr>
              <w:t>6.6 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CE43A" w14:textId="77777777" w:rsidR="00E836FB" w:rsidRDefault="00994958">
            <w:pPr>
              <w:jc w:val="right"/>
              <w:textAlignment w:val="bottom"/>
            </w:pPr>
            <w:r>
              <w:rPr>
                <w:rFonts w:ascii="Arial" w:eastAsia="宋体" w:hAnsi="Arial" w:cs="Arial"/>
                <w:color w:val="000000"/>
                <w:sz w:val="15"/>
                <w:szCs w:val="15"/>
              </w:rPr>
              <w:t>%</w:t>
            </w:r>
          </w:p>
        </w:tc>
      </w:tr>
      <w:tr w:rsidR="00E836FB" w14:paraId="5F2CE442" w14:textId="77777777">
        <w:tc>
          <w:tcPr>
            <w:tcW w:w="0" w:type="auto"/>
            <w:gridSpan w:val="3"/>
            <w:shd w:val="clear" w:color="auto" w:fill="CCEEFF"/>
            <w:tcMar>
              <w:top w:w="40" w:type="dxa"/>
              <w:left w:w="20" w:type="dxa"/>
              <w:bottom w:w="40" w:type="dxa"/>
              <w:right w:w="20" w:type="dxa"/>
            </w:tcMar>
            <w:vAlign w:val="bottom"/>
          </w:tcPr>
          <w:p w14:paraId="5F2CE43C" w14:textId="77777777" w:rsidR="00E836FB" w:rsidRDefault="00994958">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5F2CE43D" w14:textId="77777777" w:rsidR="00E836FB" w:rsidRDefault="00994958">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E4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3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440" w14:textId="77777777" w:rsidR="00E836FB" w:rsidRDefault="00994958">
            <w:pPr>
              <w:jc w:val="right"/>
              <w:textAlignment w:val="bottom"/>
            </w:pPr>
            <w:r>
              <w:rPr>
                <w:rFonts w:ascii="Arial" w:eastAsia="宋体" w:hAnsi="Arial" w:cs="Arial"/>
                <w:color w:val="000000"/>
                <w:sz w:val="15"/>
                <w:szCs w:val="15"/>
              </w:rPr>
              <w:t>7.9 </w:t>
            </w:r>
          </w:p>
        </w:tc>
        <w:tc>
          <w:tcPr>
            <w:tcW w:w="0" w:type="auto"/>
            <w:shd w:val="clear" w:color="auto" w:fill="CCEEFF"/>
            <w:tcMar>
              <w:top w:w="40" w:type="dxa"/>
              <w:left w:w="0" w:type="dxa"/>
              <w:bottom w:w="40" w:type="dxa"/>
              <w:right w:w="20" w:type="dxa"/>
            </w:tcMar>
            <w:vAlign w:val="bottom"/>
          </w:tcPr>
          <w:p w14:paraId="5F2CE441" w14:textId="77777777" w:rsidR="00E836FB" w:rsidRDefault="00E836FB">
            <w:pPr>
              <w:jc w:val="right"/>
              <w:rPr>
                <w:rFonts w:ascii="宋体"/>
              </w:rPr>
            </w:pPr>
          </w:p>
        </w:tc>
      </w:tr>
    </w:tbl>
    <w:p w14:paraId="5F2CE443"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04"/>
        <w:gridCol w:w="36"/>
        <w:gridCol w:w="70"/>
        <w:gridCol w:w="1494"/>
        <w:gridCol w:w="36"/>
        <w:gridCol w:w="70"/>
        <w:gridCol w:w="2621"/>
        <w:gridCol w:w="36"/>
      </w:tblGrid>
      <w:tr w:rsidR="00E836FB" w14:paraId="5F2CE44D" w14:textId="77777777">
        <w:tc>
          <w:tcPr>
            <w:tcW w:w="50" w:type="pct"/>
            <w:shd w:val="clear" w:color="auto" w:fill="auto"/>
            <w:vAlign w:val="bottom"/>
          </w:tcPr>
          <w:p w14:paraId="5F2CE444" w14:textId="77777777" w:rsidR="00E836FB" w:rsidRDefault="00E836FB">
            <w:pPr>
              <w:rPr>
                <w:rFonts w:ascii="宋体"/>
              </w:rPr>
            </w:pPr>
          </w:p>
        </w:tc>
        <w:tc>
          <w:tcPr>
            <w:tcW w:w="2350" w:type="pct"/>
            <w:shd w:val="clear" w:color="auto" w:fill="auto"/>
            <w:vAlign w:val="bottom"/>
          </w:tcPr>
          <w:p w14:paraId="5F2CE445" w14:textId="77777777" w:rsidR="00E836FB" w:rsidRDefault="00E836FB">
            <w:pPr>
              <w:rPr>
                <w:rFonts w:ascii="宋体"/>
              </w:rPr>
            </w:pPr>
          </w:p>
        </w:tc>
        <w:tc>
          <w:tcPr>
            <w:tcW w:w="5" w:type="pct"/>
            <w:shd w:val="clear" w:color="auto" w:fill="auto"/>
            <w:vAlign w:val="bottom"/>
          </w:tcPr>
          <w:p w14:paraId="5F2CE446" w14:textId="77777777" w:rsidR="00E836FB" w:rsidRDefault="00E836FB">
            <w:pPr>
              <w:rPr>
                <w:rFonts w:ascii="宋体"/>
              </w:rPr>
            </w:pPr>
          </w:p>
        </w:tc>
        <w:tc>
          <w:tcPr>
            <w:tcW w:w="50" w:type="pct"/>
            <w:shd w:val="clear" w:color="auto" w:fill="auto"/>
            <w:vAlign w:val="bottom"/>
          </w:tcPr>
          <w:p w14:paraId="5F2CE447" w14:textId="77777777" w:rsidR="00E836FB" w:rsidRDefault="00E836FB">
            <w:pPr>
              <w:rPr>
                <w:rFonts w:ascii="宋体"/>
              </w:rPr>
            </w:pPr>
          </w:p>
        </w:tc>
        <w:tc>
          <w:tcPr>
            <w:tcW w:w="904" w:type="pct"/>
            <w:shd w:val="clear" w:color="auto" w:fill="auto"/>
            <w:vAlign w:val="bottom"/>
          </w:tcPr>
          <w:p w14:paraId="5F2CE448" w14:textId="77777777" w:rsidR="00E836FB" w:rsidRDefault="00E836FB">
            <w:pPr>
              <w:rPr>
                <w:rFonts w:ascii="宋体"/>
              </w:rPr>
            </w:pPr>
          </w:p>
        </w:tc>
        <w:tc>
          <w:tcPr>
            <w:tcW w:w="5" w:type="pct"/>
            <w:shd w:val="clear" w:color="auto" w:fill="auto"/>
            <w:vAlign w:val="bottom"/>
          </w:tcPr>
          <w:p w14:paraId="5F2CE449" w14:textId="77777777" w:rsidR="00E836FB" w:rsidRDefault="00E836FB">
            <w:pPr>
              <w:rPr>
                <w:rFonts w:ascii="宋体"/>
              </w:rPr>
            </w:pPr>
          </w:p>
        </w:tc>
        <w:tc>
          <w:tcPr>
            <w:tcW w:w="50" w:type="pct"/>
            <w:shd w:val="clear" w:color="auto" w:fill="auto"/>
            <w:vAlign w:val="bottom"/>
          </w:tcPr>
          <w:p w14:paraId="5F2CE44A" w14:textId="77777777" w:rsidR="00E836FB" w:rsidRDefault="00E836FB">
            <w:pPr>
              <w:rPr>
                <w:rFonts w:ascii="宋体"/>
              </w:rPr>
            </w:pPr>
          </w:p>
        </w:tc>
        <w:tc>
          <w:tcPr>
            <w:tcW w:w="1580" w:type="pct"/>
            <w:shd w:val="clear" w:color="auto" w:fill="auto"/>
            <w:vAlign w:val="bottom"/>
          </w:tcPr>
          <w:p w14:paraId="5F2CE44B" w14:textId="77777777" w:rsidR="00E836FB" w:rsidRDefault="00E836FB">
            <w:pPr>
              <w:rPr>
                <w:rFonts w:ascii="宋体"/>
              </w:rPr>
            </w:pPr>
          </w:p>
        </w:tc>
        <w:tc>
          <w:tcPr>
            <w:tcW w:w="5" w:type="pct"/>
            <w:shd w:val="clear" w:color="auto" w:fill="auto"/>
            <w:vAlign w:val="bottom"/>
          </w:tcPr>
          <w:p w14:paraId="5F2CE44C" w14:textId="77777777" w:rsidR="00E836FB" w:rsidRDefault="00E836FB">
            <w:pPr>
              <w:rPr>
                <w:rFonts w:ascii="宋体"/>
              </w:rPr>
            </w:pPr>
          </w:p>
        </w:tc>
      </w:tr>
      <w:tr w:rsidR="00E836FB" w14:paraId="5F2CE45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E4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44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450" w14:textId="77777777" w:rsidR="00E836FB" w:rsidRDefault="00E836FB">
            <w:pPr>
              <w:rPr>
                <w:rFonts w:ascii="宋体"/>
              </w:rPr>
            </w:pPr>
          </w:p>
        </w:tc>
      </w:tr>
    </w:tbl>
    <w:p w14:paraId="5F2CE452" w14:textId="77777777" w:rsidR="00E836FB" w:rsidRDefault="00994958">
      <w:pPr>
        <w:spacing w:before="4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Tier 1 leverage ratios were calculated in conformity with the Basel III final rule.</w:t>
      </w:r>
    </w:p>
    <w:p w14:paraId="5F2CE453" w14:textId="77777777" w:rsidR="00E836FB" w:rsidRDefault="00994958">
      <w:pPr>
        <w:spacing w:before="4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The SLR rule </w:t>
      </w:r>
      <w:r>
        <w:rPr>
          <w:rFonts w:ascii="Arial" w:eastAsia="宋体" w:hAnsi="Arial" w:cs="Arial"/>
          <w:color w:val="000000"/>
          <w:sz w:val="13"/>
          <w:szCs w:val="13"/>
        </w:rPr>
        <w:t xml:space="preserve">requires that, as of January 1, 2018, (i) State Street Bank maintains an SLR of at least 6.0% to be well capitalized under the U.S. banking regulators’ Prompt Corrective Action Framework and (ii) we maintain an SLR of at least 5.0% to avoid limitations on </w:t>
      </w:r>
      <w:r>
        <w:rPr>
          <w:rFonts w:ascii="Arial" w:eastAsia="宋体" w:hAnsi="Arial" w:cs="Arial"/>
          <w:color w:val="000000"/>
          <w:sz w:val="13"/>
          <w:szCs w:val="13"/>
        </w:rPr>
        <w:t>capital distributions and discretionary bonus payments. In addition to the SLR, State Street Bank is subject to a well capitalized Tier 1 leverage ratio requirement of 5.0%.</w:t>
      </w:r>
    </w:p>
    <w:p w14:paraId="5F2CE454" w14:textId="77777777" w:rsidR="00E836FB" w:rsidRDefault="00E836FB">
      <w:pPr>
        <w:spacing w:before="60"/>
        <w:jc w:val="both"/>
        <w:textAlignment w:val="top"/>
      </w:pPr>
    </w:p>
    <w:p w14:paraId="5F2CE455" w14:textId="77777777" w:rsidR="00E836FB" w:rsidRDefault="00994958">
      <w:pPr>
        <w:spacing w:before="60"/>
        <w:jc w:val="both"/>
        <w:textAlignment w:val="top"/>
      </w:pPr>
      <w:r>
        <w:rPr>
          <w:rFonts w:ascii="Arial" w:eastAsia="宋体" w:hAnsi="Arial" w:cs="Arial"/>
          <w:b/>
          <w:bCs/>
          <w:i/>
          <w:iCs/>
          <w:color w:val="000000"/>
          <w:sz w:val="20"/>
          <w:szCs w:val="20"/>
        </w:rPr>
        <w:t>Total Loss-Absorbing Capacity (TLAC)</w:t>
      </w:r>
    </w:p>
    <w:p w14:paraId="5F2CE456" w14:textId="77777777" w:rsidR="00E836FB" w:rsidRDefault="00994958">
      <w:pPr>
        <w:spacing w:before="60"/>
        <w:ind w:firstLine="450"/>
        <w:jc w:val="both"/>
        <w:textAlignment w:val="top"/>
      </w:pPr>
      <w:r>
        <w:rPr>
          <w:rFonts w:ascii="Arial" w:eastAsia="宋体" w:hAnsi="Arial" w:cs="Arial"/>
          <w:color w:val="000000"/>
          <w:sz w:val="20"/>
          <w:szCs w:val="20"/>
        </w:rPr>
        <w:t>The Federal Reserve's final rule on TLAC, LT</w:t>
      </w:r>
      <w:r>
        <w:rPr>
          <w:rFonts w:ascii="Arial" w:eastAsia="宋体" w:hAnsi="Arial" w:cs="Arial"/>
          <w:color w:val="000000"/>
          <w:sz w:val="20"/>
          <w:szCs w:val="20"/>
        </w:rPr>
        <w:t>D, and clean holding company requirements for U.S. domiciled G-SIBs, such as us, is intended to improve the resiliency and resolvability of certain U.S. banking organizations through enhanced prudential standards, and requires us, among other things, to co</w:t>
      </w:r>
      <w:r>
        <w:rPr>
          <w:rFonts w:ascii="Arial" w:eastAsia="宋体" w:hAnsi="Arial" w:cs="Arial"/>
          <w:color w:val="000000"/>
          <w:sz w:val="20"/>
          <w:szCs w:val="20"/>
        </w:rPr>
        <w:t>mply with minimum requirements for external TLAC and LTD. Specifically,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1807"/>
        <w:gridCol w:w="36"/>
        <w:gridCol w:w="69"/>
        <w:gridCol w:w="6319"/>
        <w:gridCol w:w="36"/>
      </w:tblGrid>
      <w:tr w:rsidR="00E836FB" w14:paraId="5F2CE45D" w14:textId="77777777">
        <w:tc>
          <w:tcPr>
            <w:tcW w:w="50" w:type="pct"/>
            <w:shd w:val="clear" w:color="auto" w:fill="auto"/>
            <w:vAlign w:val="bottom"/>
          </w:tcPr>
          <w:p w14:paraId="5F2CE457" w14:textId="77777777" w:rsidR="00E836FB" w:rsidRDefault="00E836FB">
            <w:pPr>
              <w:rPr>
                <w:rFonts w:ascii="宋体"/>
              </w:rPr>
            </w:pPr>
          </w:p>
        </w:tc>
        <w:tc>
          <w:tcPr>
            <w:tcW w:w="1092" w:type="pct"/>
            <w:shd w:val="clear" w:color="auto" w:fill="auto"/>
            <w:vAlign w:val="bottom"/>
          </w:tcPr>
          <w:p w14:paraId="5F2CE458" w14:textId="77777777" w:rsidR="00E836FB" w:rsidRDefault="00E836FB">
            <w:pPr>
              <w:rPr>
                <w:rFonts w:ascii="宋体"/>
              </w:rPr>
            </w:pPr>
          </w:p>
        </w:tc>
        <w:tc>
          <w:tcPr>
            <w:tcW w:w="5" w:type="pct"/>
            <w:shd w:val="clear" w:color="auto" w:fill="auto"/>
            <w:vAlign w:val="bottom"/>
          </w:tcPr>
          <w:p w14:paraId="5F2CE459" w14:textId="77777777" w:rsidR="00E836FB" w:rsidRDefault="00E836FB">
            <w:pPr>
              <w:rPr>
                <w:rFonts w:ascii="宋体"/>
              </w:rPr>
            </w:pPr>
          </w:p>
        </w:tc>
        <w:tc>
          <w:tcPr>
            <w:tcW w:w="50" w:type="pct"/>
            <w:shd w:val="clear" w:color="auto" w:fill="auto"/>
            <w:vAlign w:val="bottom"/>
          </w:tcPr>
          <w:p w14:paraId="5F2CE45A" w14:textId="77777777" w:rsidR="00E836FB" w:rsidRDefault="00E836FB">
            <w:pPr>
              <w:rPr>
                <w:rFonts w:ascii="宋体"/>
              </w:rPr>
            </w:pPr>
          </w:p>
        </w:tc>
        <w:tc>
          <w:tcPr>
            <w:tcW w:w="3797" w:type="pct"/>
            <w:shd w:val="clear" w:color="auto" w:fill="auto"/>
            <w:vAlign w:val="bottom"/>
          </w:tcPr>
          <w:p w14:paraId="5F2CE45B" w14:textId="77777777" w:rsidR="00E836FB" w:rsidRDefault="00E836FB">
            <w:pPr>
              <w:rPr>
                <w:rFonts w:ascii="宋体"/>
              </w:rPr>
            </w:pPr>
          </w:p>
        </w:tc>
        <w:tc>
          <w:tcPr>
            <w:tcW w:w="5" w:type="pct"/>
            <w:shd w:val="clear" w:color="auto" w:fill="auto"/>
            <w:vAlign w:val="bottom"/>
          </w:tcPr>
          <w:p w14:paraId="5F2CE45C" w14:textId="77777777" w:rsidR="00E836FB" w:rsidRDefault="00E836FB">
            <w:pPr>
              <w:rPr>
                <w:rFonts w:ascii="宋体"/>
              </w:rPr>
            </w:pPr>
          </w:p>
        </w:tc>
      </w:tr>
      <w:tr w:rsidR="00E836FB" w14:paraId="5F2CE460" w14:textId="77777777">
        <w:tc>
          <w:tcPr>
            <w:tcW w:w="0" w:type="auto"/>
            <w:gridSpan w:val="3"/>
            <w:shd w:val="clear" w:color="auto" w:fill="auto"/>
            <w:tcMar>
              <w:top w:w="0" w:type="dxa"/>
              <w:left w:w="20" w:type="dxa"/>
              <w:bottom w:w="0" w:type="dxa"/>
              <w:right w:w="20" w:type="dxa"/>
            </w:tcMar>
            <w:vAlign w:val="bottom"/>
          </w:tcPr>
          <w:p w14:paraId="5F2CE45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45F" w14:textId="77777777" w:rsidR="00E836FB" w:rsidRDefault="00994958">
            <w:pPr>
              <w:textAlignment w:val="bottom"/>
            </w:pPr>
            <w:r>
              <w:rPr>
                <w:rFonts w:ascii="Arial" w:eastAsia="宋体" w:hAnsi="Arial" w:cs="Arial"/>
                <w:b/>
                <w:bCs/>
                <w:color w:val="000000"/>
                <w:sz w:val="16"/>
                <w:szCs w:val="16"/>
              </w:rPr>
              <w:t>Amount equal to:</w:t>
            </w:r>
          </w:p>
        </w:tc>
      </w:tr>
      <w:tr w:rsidR="00E836FB" w14:paraId="5F2CE466"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F2CE461" w14:textId="77777777" w:rsidR="00E836FB" w:rsidRDefault="00994958">
            <w:pPr>
              <w:textAlignment w:val="center"/>
            </w:pPr>
            <w:r>
              <w:rPr>
                <w:rFonts w:ascii="Arial" w:eastAsia="宋体" w:hAnsi="Arial" w:cs="Arial"/>
                <w:color w:val="000000"/>
                <w:sz w:val="16"/>
                <w:szCs w:val="16"/>
              </w:rPr>
              <w:t>Combined eligible tier 1 regulatory capital and LTD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5F2CE462" w14:textId="77777777" w:rsidR="00E836FB" w:rsidRDefault="00994958">
            <w:pPr>
              <w:textAlignment w:val="bottom"/>
            </w:pPr>
            <w:r>
              <w:rPr>
                <w:rFonts w:ascii="Arial" w:eastAsia="宋体" w:hAnsi="Arial" w:cs="Arial"/>
                <w:color w:val="000000"/>
                <w:sz w:val="16"/>
                <w:szCs w:val="16"/>
              </w:rPr>
              <w:t>Greater of:</w:t>
            </w:r>
          </w:p>
          <w:p w14:paraId="5F2CE463" w14:textId="77777777" w:rsidR="00E836FB" w:rsidRDefault="00994958">
            <w:pPr>
              <w:ind w:hanging="360"/>
              <w:jc w:val="both"/>
              <w:textAlignment w:val="bottom"/>
            </w:pPr>
            <w:r>
              <w:rPr>
                <w:rFonts w:ascii="Arial" w:eastAsia="宋体" w:hAnsi="Arial" w:cs="Arial"/>
                <w:color w:val="000000"/>
                <w:sz w:val="16"/>
                <w:szCs w:val="16"/>
              </w:rPr>
              <w:t xml:space="preserve">•21.5% of total RWA (18.0% minimum plus 2.5% plus a G-SIB surcharge </w:t>
            </w:r>
            <w:r>
              <w:rPr>
                <w:rFonts w:ascii="Arial" w:eastAsia="宋体" w:hAnsi="Arial" w:cs="Arial"/>
                <w:color w:val="000000"/>
                <w:sz w:val="16"/>
                <w:szCs w:val="16"/>
              </w:rPr>
              <w:t>calculated for these purposes under Method 1 of 1.0% plus any applicable counter- cyclical buffer, which is currently 0%); and</w:t>
            </w:r>
          </w:p>
          <w:p w14:paraId="5F2CE464" w14:textId="77777777" w:rsidR="00E836FB" w:rsidRDefault="00994958">
            <w:pPr>
              <w:jc w:val="both"/>
              <w:textAlignment w:val="bottom"/>
            </w:pPr>
            <w:r>
              <w:rPr>
                <w:rFonts w:ascii="Arial" w:eastAsia="宋体" w:hAnsi="Arial" w:cs="Arial"/>
                <w:color w:val="000000"/>
                <w:sz w:val="16"/>
                <w:szCs w:val="16"/>
              </w:rPr>
              <w:t> </w:t>
            </w:r>
          </w:p>
          <w:p w14:paraId="5F2CE465" w14:textId="77777777" w:rsidR="00E836FB" w:rsidRDefault="00994958">
            <w:pPr>
              <w:ind w:hanging="360"/>
              <w:jc w:val="both"/>
              <w:textAlignment w:val="bottom"/>
            </w:pPr>
            <w:r>
              <w:rPr>
                <w:rFonts w:ascii="Arial" w:eastAsia="宋体" w:hAnsi="Arial" w:cs="Arial"/>
                <w:color w:val="000000"/>
                <w:sz w:val="16"/>
                <w:szCs w:val="16"/>
              </w:rPr>
              <w:t>•9.5% of total leverage exposure (7.5% minimum plus the SLR buffer of 2.0%), as defined by the SLR final rule.</w:t>
            </w:r>
          </w:p>
        </w:tc>
      </w:tr>
      <w:tr w:rsidR="00E836FB" w14:paraId="5F2CE46C"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5F2CE467" w14:textId="77777777" w:rsidR="00E836FB" w:rsidRDefault="00994958">
            <w:pPr>
              <w:textAlignment w:val="center"/>
            </w:pPr>
            <w:r>
              <w:rPr>
                <w:rFonts w:ascii="Arial" w:eastAsia="宋体" w:hAnsi="Arial" w:cs="Arial"/>
                <w:color w:val="000000"/>
                <w:sz w:val="16"/>
                <w:szCs w:val="16"/>
              </w:rPr>
              <w:t>Qualifying exte</w:t>
            </w:r>
            <w:r>
              <w:rPr>
                <w:rFonts w:ascii="Arial" w:eastAsia="宋体" w:hAnsi="Arial" w:cs="Arial"/>
                <w:color w:val="000000"/>
                <w:sz w:val="16"/>
                <w:szCs w:val="16"/>
              </w:rPr>
              <w:t>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5F2CE468" w14:textId="77777777" w:rsidR="00E836FB" w:rsidRDefault="00994958">
            <w:pPr>
              <w:textAlignment w:val="bottom"/>
            </w:pPr>
            <w:r>
              <w:rPr>
                <w:rFonts w:ascii="Arial" w:eastAsia="宋体" w:hAnsi="Arial" w:cs="Arial"/>
                <w:color w:val="000000"/>
                <w:sz w:val="16"/>
                <w:szCs w:val="16"/>
              </w:rPr>
              <w:t>Greater of:</w:t>
            </w:r>
          </w:p>
          <w:p w14:paraId="5F2CE469" w14:textId="77777777" w:rsidR="00E836FB" w:rsidRDefault="00994958">
            <w:pPr>
              <w:ind w:hanging="360"/>
              <w:jc w:val="both"/>
              <w:textAlignment w:val="bottom"/>
            </w:pPr>
            <w:r>
              <w:rPr>
                <w:rFonts w:ascii="Arial" w:eastAsia="宋体" w:hAnsi="Arial" w:cs="Arial"/>
                <w:color w:val="000000"/>
                <w:sz w:val="16"/>
                <w:szCs w:val="16"/>
              </w:rPr>
              <w:t xml:space="preserve">•7.0% of RWA (6.0% minimum plus a G-SIB surcharge calculated for these purposes under method 2 of 1.0%); and </w:t>
            </w:r>
          </w:p>
          <w:p w14:paraId="5F2CE46A" w14:textId="77777777" w:rsidR="00E836FB" w:rsidRDefault="00E836FB">
            <w:pPr>
              <w:jc w:val="both"/>
              <w:textAlignment w:val="bottom"/>
            </w:pPr>
          </w:p>
          <w:p w14:paraId="5F2CE46B" w14:textId="77777777" w:rsidR="00E836FB" w:rsidRDefault="00994958">
            <w:pPr>
              <w:ind w:hanging="360"/>
              <w:jc w:val="both"/>
              <w:textAlignment w:val="bottom"/>
            </w:pPr>
            <w:r>
              <w:rPr>
                <w:rFonts w:ascii="Arial" w:eastAsia="宋体" w:hAnsi="Arial" w:cs="Arial"/>
                <w:color w:val="000000"/>
                <w:sz w:val="16"/>
                <w:szCs w:val="16"/>
              </w:rPr>
              <w:t>•4.5% of total leverage exposure, as defined by the SLR final rule.</w:t>
            </w:r>
          </w:p>
        </w:tc>
      </w:tr>
    </w:tbl>
    <w:p w14:paraId="5F2CE46D" w14:textId="77777777" w:rsidR="00E836FB" w:rsidRDefault="00994958">
      <w:pPr>
        <w:ind w:firstLine="450"/>
        <w:jc w:val="both"/>
        <w:textAlignment w:val="top"/>
      </w:pPr>
      <w:r>
        <w:rPr>
          <w:rFonts w:ascii="Arial" w:eastAsia="宋体" w:hAnsi="Arial" w:cs="Arial"/>
          <w:color w:val="000000"/>
          <w:sz w:val="20"/>
          <w:szCs w:val="20"/>
        </w:rPr>
        <w:t xml:space="preserve">As of April 1, 2020, the TLAC and LTD </w:t>
      </w:r>
      <w:r>
        <w:rPr>
          <w:rFonts w:ascii="Arial" w:eastAsia="宋体" w:hAnsi="Arial" w:cs="Arial"/>
          <w:color w:val="000000"/>
          <w:sz w:val="20"/>
          <w:szCs w:val="20"/>
        </w:rPr>
        <w:t>requirements calibrated to the SLR denominator to reflect the deduction of certain central bank balances as prescribed by the regulatory relief implemented under the EGRRCPA.</w:t>
      </w:r>
    </w:p>
    <w:p w14:paraId="5F2CE46E"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external LTD and external TLAC as of December 31, 20</w:t>
      </w:r>
      <w:r>
        <w:rPr>
          <w:rFonts w:ascii="Arial" w:eastAsia="宋体" w:hAnsi="Arial" w:cs="Arial"/>
          <w:color w:val="000000"/>
          <w:sz w:val="20"/>
          <w:szCs w:val="20"/>
        </w:rPr>
        <w:t>21.</w:t>
      </w:r>
    </w:p>
    <w:tbl>
      <w:tblPr>
        <w:tblW w:w="4969" w:type="pct"/>
        <w:tblCellMar>
          <w:top w:w="15" w:type="dxa"/>
          <w:left w:w="15" w:type="dxa"/>
          <w:bottom w:w="15" w:type="dxa"/>
          <w:right w:w="15" w:type="dxa"/>
        </w:tblCellMar>
        <w:tblLook w:val="04A0" w:firstRow="1" w:lastRow="0" w:firstColumn="1" w:lastColumn="0" w:noHBand="0" w:noVBand="1"/>
      </w:tblPr>
      <w:tblGrid>
        <w:gridCol w:w="39"/>
        <w:gridCol w:w="1327"/>
        <w:gridCol w:w="39"/>
        <w:gridCol w:w="39"/>
        <w:gridCol w:w="1617"/>
        <w:gridCol w:w="38"/>
        <w:gridCol w:w="104"/>
        <w:gridCol w:w="1119"/>
        <w:gridCol w:w="36"/>
        <w:gridCol w:w="36"/>
        <w:gridCol w:w="67"/>
        <w:gridCol w:w="36"/>
        <w:gridCol w:w="37"/>
        <w:gridCol w:w="934"/>
        <w:gridCol w:w="154"/>
        <w:gridCol w:w="36"/>
        <w:gridCol w:w="67"/>
        <w:gridCol w:w="36"/>
        <w:gridCol w:w="104"/>
        <w:gridCol w:w="1119"/>
        <w:gridCol w:w="36"/>
        <w:gridCol w:w="36"/>
        <w:gridCol w:w="67"/>
        <w:gridCol w:w="36"/>
        <w:gridCol w:w="37"/>
        <w:gridCol w:w="934"/>
        <w:gridCol w:w="154"/>
      </w:tblGrid>
      <w:tr w:rsidR="00E836FB" w14:paraId="5F2CE48A" w14:textId="77777777">
        <w:tc>
          <w:tcPr>
            <w:tcW w:w="50" w:type="pct"/>
            <w:shd w:val="clear" w:color="auto" w:fill="auto"/>
            <w:vAlign w:val="bottom"/>
          </w:tcPr>
          <w:p w14:paraId="5F2CE46F" w14:textId="77777777" w:rsidR="00E836FB" w:rsidRDefault="00E836FB">
            <w:pPr>
              <w:rPr>
                <w:rFonts w:ascii="宋体"/>
              </w:rPr>
            </w:pPr>
          </w:p>
        </w:tc>
        <w:tc>
          <w:tcPr>
            <w:tcW w:w="831" w:type="pct"/>
            <w:shd w:val="clear" w:color="auto" w:fill="auto"/>
            <w:vAlign w:val="bottom"/>
          </w:tcPr>
          <w:p w14:paraId="5F2CE470" w14:textId="77777777" w:rsidR="00E836FB" w:rsidRDefault="00E836FB">
            <w:pPr>
              <w:rPr>
                <w:rFonts w:ascii="宋体"/>
              </w:rPr>
            </w:pPr>
          </w:p>
        </w:tc>
        <w:tc>
          <w:tcPr>
            <w:tcW w:w="5" w:type="pct"/>
            <w:shd w:val="clear" w:color="auto" w:fill="auto"/>
            <w:vAlign w:val="bottom"/>
          </w:tcPr>
          <w:p w14:paraId="5F2CE471" w14:textId="77777777" w:rsidR="00E836FB" w:rsidRDefault="00E836FB">
            <w:pPr>
              <w:rPr>
                <w:rFonts w:ascii="宋体"/>
              </w:rPr>
            </w:pPr>
          </w:p>
        </w:tc>
        <w:tc>
          <w:tcPr>
            <w:tcW w:w="50" w:type="pct"/>
            <w:shd w:val="clear" w:color="auto" w:fill="auto"/>
            <w:vAlign w:val="bottom"/>
          </w:tcPr>
          <w:p w14:paraId="5F2CE472" w14:textId="77777777" w:rsidR="00E836FB" w:rsidRDefault="00E836FB">
            <w:pPr>
              <w:rPr>
                <w:rFonts w:ascii="宋体"/>
              </w:rPr>
            </w:pPr>
          </w:p>
        </w:tc>
        <w:tc>
          <w:tcPr>
            <w:tcW w:w="1005" w:type="pct"/>
            <w:shd w:val="clear" w:color="auto" w:fill="auto"/>
            <w:vAlign w:val="bottom"/>
          </w:tcPr>
          <w:p w14:paraId="5F2CE473" w14:textId="77777777" w:rsidR="00E836FB" w:rsidRDefault="00E836FB">
            <w:pPr>
              <w:rPr>
                <w:rFonts w:ascii="宋体"/>
              </w:rPr>
            </w:pPr>
          </w:p>
        </w:tc>
        <w:tc>
          <w:tcPr>
            <w:tcW w:w="5" w:type="pct"/>
            <w:shd w:val="clear" w:color="auto" w:fill="auto"/>
            <w:vAlign w:val="bottom"/>
          </w:tcPr>
          <w:p w14:paraId="5F2CE474" w14:textId="77777777" w:rsidR="00E836FB" w:rsidRDefault="00E836FB">
            <w:pPr>
              <w:rPr>
                <w:rFonts w:ascii="宋体"/>
              </w:rPr>
            </w:pPr>
          </w:p>
        </w:tc>
        <w:tc>
          <w:tcPr>
            <w:tcW w:w="50" w:type="pct"/>
            <w:shd w:val="clear" w:color="auto" w:fill="auto"/>
            <w:vAlign w:val="bottom"/>
          </w:tcPr>
          <w:p w14:paraId="5F2CE475" w14:textId="77777777" w:rsidR="00E836FB" w:rsidRDefault="00E836FB">
            <w:pPr>
              <w:rPr>
                <w:rFonts w:ascii="宋体"/>
              </w:rPr>
            </w:pPr>
          </w:p>
        </w:tc>
        <w:tc>
          <w:tcPr>
            <w:tcW w:w="704" w:type="pct"/>
            <w:shd w:val="clear" w:color="auto" w:fill="auto"/>
            <w:vAlign w:val="bottom"/>
          </w:tcPr>
          <w:p w14:paraId="5F2CE476" w14:textId="77777777" w:rsidR="00E836FB" w:rsidRDefault="00E836FB">
            <w:pPr>
              <w:rPr>
                <w:rFonts w:ascii="宋体"/>
              </w:rPr>
            </w:pPr>
          </w:p>
        </w:tc>
        <w:tc>
          <w:tcPr>
            <w:tcW w:w="5" w:type="pct"/>
            <w:shd w:val="clear" w:color="auto" w:fill="auto"/>
            <w:vAlign w:val="bottom"/>
          </w:tcPr>
          <w:p w14:paraId="5F2CE477" w14:textId="77777777" w:rsidR="00E836FB" w:rsidRDefault="00E836FB">
            <w:pPr>
              <w:rPr>
                <w:rFonts w:ascii="宋体"/>
              </w:rPr>
            </w:pPr>
          </w:p>
        </w:tc>
        <w:tc>
          <w:tcPr>
            <w:tcW w:w="5" w:type="pct"/>
            <w:shd w:val="clear" w:color="auto" w:fill="auto"/>
            <w:vAlign w:val="bottom"/>
          </w:tcPr>
          <w:p w14:paraId="5F2CE478" w14:textId="77777777" w:rsidR="00E836FB" w:rsidRDefault="00E836FB">
            <w:pPr>
              <w:rPr>
                <w:rFonts w:ascii="宋体"/>
              </w:rPr>
            </w:pPr>
          </w:p>
        </w:tc>
        <w:tc>
          <w:tcPr>
            <w:tcW w:w="69" w:type="pct"/>
            <w:shd w:val="clear" w:color="auto" w:fill="auto"/>
            <w:vAlign w:val="bottom"/>
          </w:tcPr>
          <w:p w14:paraId="5F2CE479" w14:textId="77777777" w:rsidR="00E836FB" w:rsidRDefault="00E836FB">
            <w:pPr>
              <w:rPr>
                <w:rFonts w:ascii="宋体"/>
              </w:rPr>
            </w:pPr>
          </w:p>
        </w:tc>
        <w:tc>
          <w:tcPr>
            <w:tcW w:w="5" w:type="pct"/>
            <w:shd w:val="clear" w:color="auto" w:fill="auto"/>
            <w:vAlign w:val="bottom"/>
          </w:tcPr>
          <w:p w14:paraId="5F2CE47A" w14:textId="77777777" w:rsidR="00E836FB" w:rsidRDefault="00E836FB">
            <w:pPr>
              <w:rPr>
                <w:rFonts w:ascii="宋体"/>
              </w:rPr>
            </w:pPr>
          </w:p>
        </w:tc>
        <w:tc>
          <w:tcPr>
            <w:tcW w:w="50" w:type="pct"/>
            <w:shd w:val="clear" w:color="auto" w:fill="auto"/>
            <w:vAlign w:val="bottom"/>
          </w:tcPr>
          <w:p w14:paraId="5F2CE47B" w14:textId="77777777" w:rsidR="00E836FB" w:rsidRDefault="00E836FB">
            <w:pPr>
              <w:rPr>
                <w:rFonts w:ascii="宋体"/>
              </w:rPr>
            </w:pPr>
          </w:p>
        </w:tc>
        <w:tc>
          <w:tcPr>
            <w:tcW w:w="593" w:type="pct"/>
            <w:shd w:val="clear" w:color="auto" w:fill="auto"/>
            <w:vAlign w:val="bottom"/>
          </w:tcPr>
          <w:p w14:paraId="5F2CE47C" w14:textId="77777777" w:rsidR="00E836FB" w:rsidRDefault="00E836FB">
            <w:pPr>
              <w:rPr>
                <w:rFonts w:ascii="宋体"/>
              </w:rPr>
            </w:pPr>
          </w:p>
        </w:tc>
        <w:tc>
          <w:tcPr>
            <w:tcW w:w="5" w:type="pct"/>
            <w:shd w:val="clear" w:color="auto" w:fill="auto"/>
            <w:vAlign w:val="bottom"/>
          </w:tcPr>
          <w:p w14:paraId="5F2CE47D" w14:textId="77777777" w:rsidR="00E836FB" w:rsidRDefault="00E836FB">
            <w:pPr>
              <w:rPr>
                <w:rFonts w:ascii="宋体"/>
              </w:rPr>
            </w:pPr>
          </w:p>
        </w:tc>
        <w:tc>
          <w:tcPr>
            <w:tcW w:w="5" w:type="pct"/>
            <w:shd w:val="clear" w:color="auto" w:fill="auto"/>
            <w:vAlign w:val="bottom"/>
          </w:tcPr>
          <w:p w14:paraId="5F2CE47E" w14:textId="77777777" w:rsidR="00E836FB" w:rsidRDefault="00E836FB">
            <w:pPr>
              <w:rPr>
                <w:rFonts w:ascii="宋体"/>
              </w:rPr>
            </w:pPr>
          </w:p>
        </w:tc>
        <w:tc>
          <w:tcPr>
            <w:tcW w:w="69" w:type="pct"/>
            <w:shd w:val="clear" w:color="auto" w:fill="auto"/>
            <w:vAlign w:val="bottom"/>
          </w:tcPr>
          <w:p w14:paraId="5F2CE47F" w14:textId="77777777" w:rsidR="00E836FB" w:rsidRDefault="00E836FB">
            <w:pPr>
              <w:rPr>
                <w:rFonts w:ascii="宋体"/>
              </w:rPr>
            </w:pPr>
          </w:p>
        </w:tc>
        <w:tc>
          <w:tcPr>
            <w:tcW w:w="5" w:type="pct"/>
            <w:shd w:val="clear" w:color="auto" w:fill="auto"/>
            <w:vAlign w:val="bottom"/>
          </w:tcPr>
          <w:p w14:paraId="5F2CE480" w14:textId="77777777" w:rsidR="00E836FB" w:rsidRDefault="00E836FB">
            <w:pPr>
              <w:rPr>
                <w:rFonts w:ascii="宋体"/>
              </w:rPr>
            </w:pPr>
          </w:p>
        </w:tc>
        <w:tc>
          <w:tcPr>
            <w:tcW w:w="50" w:type="pct"/>
            <w:shd w:val="clear" w:color="auto" w:fill="auto"/>
            <w:vAlign w:val="bottom"/>
          </w:tcPr>
          <w:p w14:paraId="5F2CE481" w14:textId="77777777" w:rsidR="00E836FB" w:rsidRDefault="00E836FB">
            <w:pPr>
              <w:rPr>
                <w:rFonts w:ascii="宋体"/>
              </w:rPr>
            </w:pPr>
          </w:p>
        </w:tc>
        <w:tc>
          <w:tcPr>
            <w:tcW w:w="704" w:type="pct"/>
            <w:shd w:val="clear" w:color="auto" w:fill="auto"/>
            <w:vAlign w:val="bottom"/>
          </w:tcPr>
          <w:p w14:paraId="5F2CE482" w14:textId="77777777" w:rsidR="00E836FB" w:rsidRDefault="00E836FB">
            <w:pPr>
              <w:rPr>
                <w:rFonts w:ascii="宋体"/>
              </w:rPr>
            </w:pPr>
          </w:p>
        </w:tc>
        <w:tc>
          <w:tcPr>
            <w:tcW w:w="5" w:type="pct"/>
            <w:shd w:val="clear" w:color="auto" w:fill="auto"/>
            <w:vAlign w:val="bottom"/>
          </w:tcPr>
          <w:p w14:paraId="5F2CE483" w14:textId="77777777" w:rsidR="00E836FB" w:rsidRDefault="00E836FB">
            <w:pPr>
              <w:rPr>
                <w:rFonts w:ascii="宋体"/>
              </w:rPr>
            </w:pPr>
          </w:p>
        </w:tc>
        <w:tc>
          <w:tcPr>
            <w:tcW w:w="5" w:type="pct"/>
            <w:shd w:val="clear" w:color="auto" w:fill="auto"/>
            <w:vAlign w:val="bottom"/>
          </w:tcPr>
          <w:p w14:paraId="5F2CE484" w14:textId="77777777" w:rsidR="00E836FB" w:rsidRDefault="00E836FB">
            <w:pPr>
              <w:rPr>
                <w:rFonts w:ascii="宋体"/>
              </w:rPr>
            </w:pPr>
          </w:p>
        </w:tc>
        <w:tc>
          <w:tcPr>
            <w:tcW w:w="69" w:type="pct"/>
            <w:shd w:val="clear" w:color="auto" w:fill="auto"/>
            <w:vAlign w:val="bottom"/>
          </w:tcPr>
          <w:p w14:paraId="5F2CE485" w14:textId="77777777" w:rsidR="00E836FB" w:rsidRDefault="00E836FB">
            <w:pPr>
              <w:rPr>
                <w:rFonts w:ascii="宋体"/>
              </w:rPr>
            </w:pPr>
          </w:p>
        </w:tc>
        <w:tc>
          <w:tcPr>
            <w:tcW w:w="5" w:type="pct"/>
            <w:shd w:val="clear" w:color="auto" w:fill="auto"/>
            <w:vAlign w:val="bottom"/>
          </w:tcPr>
          <w:p w14:paraId="5F2CE486" w14:textId="77777777" w:rsidR="00E836FB" w:rsidRDefault="00E836FB">
            <w:pPr>
              <w:rPr>
                <w:rFonts w:ascii="宋体"/>
              </w:rPr>
            </w:pPr>
          </w:p>
        </w:tc>
        <w:tc>
          <w:tcPr>
            <w:tcW w:w="50" w:type="pct"/>
            <w:shd w:val="clear" w:color="auto" w:fill="auto"/>
            <w:vAlign w:val="bottom"/>
          </w:tcPr>
          <w:p w14:paraId="5F2CE487" w14:textId="77777777" w:rsidR="00E836FB" w:rsidRDefault="00E836FB">
            <w:pPr>
              <w:rPr>
                <w:rFonts w:ascii="宋体"/>
              </w:rPr>
            </w:pPr>
          </w:p>
        </w:tc>
        <w:tc>
          <w:tcPr>
            <w:tcW w:w="593" w:type="pct"/>
            <w:shd w:val="clear" w:color="auto" w:fill="auto"/>
            <w:vAlign w:val="bottom"/>
          </w:tcPr>
          <w:p w14:paraId="5F2CE488" w14:textId="77777777" w:rsidR="00E836FB" w:rsidRDefault="00E836FB">
            <w:pPr>
              <w:rPr>
                <w:rFonts w:ascii="宋体"/>
              </w:rPr>
            </w:pPr>
          </w:p>
        </w:tc>
        <w:tc>
          <w:tcPr>
            <w:tcW w:w="5" w:type="pct"/>
            <w:shd w:val="clear" w:color="auto" w:fill="auto"/>
            <w:vAlign w:val="bottom"/>
          </w:tcPr>
          <w:p w14:paraId="5F2CE489" w14:textId="77777777" w:rsidR="00E836FB" w:rsidRDefault="00E836FB">
            <w:pPr>
              <w:rPr>
                <w:rFonts w:ascii="宋体"/>
              </w:rPr>
            </w:pPr>
          </w:p>
        </w:tc>
      </w:tr>
      <w:tr w:rsidR="00E836FB" w14:paraId="5F2CE48C" w14:textId="77777777">
        <w:tc>
          <w:tcPr>
            <w:tcW w:w="0" w:type="auto"/>
            <w:gridSpan w:val="27"/>
            <w:shd w:val="clear" w:color="auto" w:fill="auto"/>
            <w:tcMar>
              <w:top w:w="40" w:type="dxa"/>
              <w:left w:w="20" w:type="dxa"/>
              <w:bottom w:w="40" w:type="dxa"/>
              <w:right w:w="20" w:type="dxa"/>
            </w:tcMar>
            <w:vAlign w:val="bottom"/>
          </w:tcPr>
          <w:p w14:paraId="5F2CE48B" w14:textId="77777777" w:rsidR="00E836FB" w:rsidRDefault="00994958">
            <w:pPr>
              <w:textAlignment w:val="bottom"/>
            </w:pPr>
            <w:r>
              <w:rPr>
                <w:rFonts w:ascii="Arial" w:eastAsia="宋体" w:hAnsi="Arial" w:cs="Arial"/>
                <w:b/>
                <w:bCs/>
                <w:color w:val="000000"/>
                <w:sz w:val="16"/>
                <w:szCs w:val="16"/>
              </w:rPr>
              <w:t>TABLE 45: TOTAL LOSS-ABSORBING CAPACITY</w:t>
            </w:r>
          </w:p>
        </w:tc>
      </w:tr>
      <w:tr w:rsidR="00E836FB" w14:paraId="5F2CE48F" w14:textId="77777777">
        <w:tc>
          <w:tcPr>
            <w:tcW w:w="0" w:type="auto"/>
            <w:gridSpan w:val="6"/>
            <w:shd w:val="clear" w:color="auto" w:fill="auto"/>
            <w:tcMar>
              <w:top w:w="0" w:type="dxa"/>
              <w:left w:w="20" w:type="dxa"/>
              <w:bottom w:w="0" w:type="dxa"/>
              <w:right w:w="20" w:type="dxa"/>
            </w:tcMar>
            <w:vAlign w:val="bottom"/>
          </w:tcPr>
          <w:p w14:paraId="5F2CE48D" w14:textId="77777777" w:rsidR="00E836FB" w:rsidRDefault="00E836F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F2CE48E" w14:textId="77777777" w:rsidR="00E836FB" w:rsidRDefault="00994958">
            <w:pPr>
              <w:jc w:val="center"/>
              <w:textAlignment w:val="bottom"/>
            </w:pPr>
            <w:r>
              <w:rPr>
                <w:rFonts w:ascii="Arial" w:eastAsia="宋体" w:hAnsi="Arial" w:cs="Arial"/>
                <w:b/>
                <w:bCs/>
                <w:color w:val="000000"/>
                <w:sz w:val="15"/>
                <w:szCs w:val="15"/>
              </w:rPr>
              <w:t>As of December 31, 2021</w:t>
            </w:r>
          </w:p>
        </w:tc>
      </w:tr>
      <w:tr w:rsidR="00E836FB" w14:paraId="5F2CE494" w14:textId="77777777">
        <w:tc>
          <w:tcPr>
            <w:tcW w:w="0" w:type="auto"/>
            <w:gridSpan w:val="6"/>
            <w:shd w:val="clear" w:color="auto" w:fill="auto"/>
            <w:tcMar>
              <w:top w:w="40" w:type="dxa"/>
              <w:left w:w="20" w:type="dxa"/>
              <w:bottom w:w="40" w:type="dxa"/>
              <w:right w:w="20" w:type="dxa"/>
            </w:tcMar>
            <w:vAlign w:val="bottom"/>
          </w:tcPr>
          <w:p w14:paraId="5F2CE490" w14:textId="77777777" w:rsidR="00E836FB" w:rsidRDefault="00994958">
            <w:pP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CE491" w14:textId="77777777" w:rsidR="00E836FB" w:rsidRDefault="00994958">
            <w:pPr>
              <w:jc w:val="center"/>
              <w:textAlignment w:val="bottom"/>
            </w:pPr>
            <w:r>
              <w:rPr>
                <w:rFonts w:ascii="Arial" w:eastAsia="宋体" w:hAnsi="Arial" w:cs="Arial"/>
                <w:b/>
                <w:bCs/>
                <w:color w:val="000000"/>
                <w:sz w:val="15"/>
                <w:szCs w:val="15"/>
              </w:rPr>
              <w:t>Actual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492"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CE493" w14:textId="77777777" w:rsidR="00E836FB" w:rsidRDefault="00994958">
            <w:pPr>
              <w:jc w:val="center"/>
              <w:textAlignment w:val="bottom"/>
            </w:pPr>
            <w:r>
              <w:rPr>
                <w:rFonts w:ascii="Arial" w:eastAsia="宋体" w:hAnsi="Arial" w:cs="Arial"/>
                <w:b/>
                <w:bCs/>
                <w:color w:val="000000"/>
                <w:sz w:val="15"/>
                <w:szCs w:val="15"/>
              </w:rPr>
              <w:t>Requirement</w:t>
            </w:r>
          </w:p>
        </w:tc>
      </w:tr>
      <w:tr w:rsidR="00E836FB" w14:paraId="5F2CE49D" w14:textId="77777777">
        <w:tc>
          <w:tcPr>
            <w:tcW w:w="0" w:type="auto"/>
            <w:gridSpan w:val="6"/>
            <w:shd w:val="clear" w:color="auto" w:fill="auto"/>
            <w:tcMar>
              <w:top w:w="40" w:type="dxa"/>
              <w:left w:w="20" w:type="dxa"/>
              <w:bottom w:w="40" w:type="dxa"/>
              <w:right w:w="20" w:type="dxa"/>
            </w:tcMar>
            <w:vAlign w:val="center"/>
          </w:tcPr>
          <w:p w14:paraId="5F2CE495" w14:textId="77777777" w:rsidR="00E836FB" w:rsidRDefault="00994958">
            <w:pPr>
              <w:textAlignment w:val="center"/>
            </w:pPr>
            <w:r>
              <w:rPr>
                <w:rFonts w:ascii="Arial" w:eastAsia="宋体" w:hAnsi="Arial" w:cs="Arial"/>
                <w:color w:val="000000"/>
                <w:sz w:val="15"/>
                <w:szCs w:val="15"/>
              </w:rPr>
              <w:t xml:space="preserve">Total loss-absorbing capacity (eligible Tier 1 regulatory </w:t>
            </w:r>
            <w:r>
              <w:rPr>
                <w:rFonts w:ascii="Arial" w:eastAsia="宋体" w:hAnsi="Arial" w:cs="Arial"/>
                <w:color w:val="000000"/>
                <w:sz w:val="15"/>
                <w:szCs w:val="15"/>
              </w:rPr>
              <w:t>capacity and long-term debt):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49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49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4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49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49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49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49C" w14:textId="77777777" w:rsidR="00E836FB" w:rsidRDefault="00E836FB">
            <w:pPr>
              <w:rPr>
                <w:rFonts w:ascii="宋体"/>
              </w:rPr>
            </w:pPr>
          </w:p>
        </w:tc>
      </w:tr>
      <w:tr w:rsidR="00E836FB" w14:paraId="5F2CE4AC" w14:textId="77777777">
        <w:tc>
          <w:tcPr>
            <w:tcW w:w="0" w:type="auto"/>
            <w:gridSpan w:val="6"/>
            <w:shd w:val="clear" w:color="auto" w:fill="CCEEFF"/>
            <w:tcMar>
              <w:top w:w="40" w:type="dxa"/>
              <w:left w:w="155" w:type="dxa"/>
              <w:bottom w:w="40" w:type="dxa"/>
              <w:right w:w="20" w:type="dxa"/>
            </w:tcMar>
            <w:vAlign w:val="center"/>
          </w:tcPr>
          <w:p w14:paraId="5F2CE49E" w14:textId="77777777" w:rsidR="00E836FB" w:rsidRDefault="00994958">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5F2CE49F" w14:textId="77777777" w:rsidR="00E836FB" w:rsidRDefault="00994958">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5F2CE4A0" w14:textId="77777777" w:rsidR="00E836FB" w:rsidRDefault="00994958">
            <w:pPr>
              <w:jc w:val="right"/>
              <w:textAlignment w:val="center"/>
            </w:pPr>
            <w:r>
              <w:rPr>
                <w:rFonts w:ascii="Arial" w:eastAsia="宋体" w:hAnsi="Arial" w:cs="Arial"/>
                <w:b/>
                <w:bCs/>
                <w:color w:val="000000"/>
                <w:sz w:val="15"/>
                <w:szCs w:val="15"/>
              </w:rPr>
              <w:t>31,231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A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4A3" w14:textId="77777777" w:rsidR="00E836FB" w:rsidRDefault="00994958">
            <w:pPr>
              <w:jc w:val="right"/>
              <w:textAlignment w:val="center"/>
            </w:pPr>
            <w:r>
              <w:rPr>
                <w:rFonts w:ascii="Arial" w:eastAsia="宋体" w:hAnsi="Arial" w:cs="Arial"/>
                <w:b/>
                <w:bCs/>
                <w:color w:val="000000"/>
                <w:sz w:val="15"/>
                <w:szCs w:val="15"/>
              </w:rPr>
              <w:t>28.0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A4" w14:textId="77777777" w:rsidR="00E836FB" w:rsidRDefault="00994958">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F2CE4A5"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CE4A6" w14:textId="77777777" w:rsidR="00E836FB" w:rsidRDefault="00994958">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5F2CE4A7" w14:textId="77777777" w:rsidR="00E836FB" w:rsidRDefault="00994958">
            <w:pPr>
              <w:jc w:val="right"/>
              <w:textAlignment w:val="center"/>
            </w:pPr>
            <w:r>
              <w:rPr>
                <w:rFonts w:ascii="Arial" w:eastAsia="宋体" w:hAnsi="Arial" w:cs="Arial"/>
                <w:b/>
                <w:bCs/>
                <w:color w:val="000000"/>
                <w:sz w:val="15"/>
                <w:szCs w:val="15"/>
              </w:rPr>
              <w:t>24,008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A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4AA" w14:textId="77777777" w:rsidR="00E836FB" w:rsidRDefault="00994958">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AB" w14:textId="77777777" w:rsidR="00E836FB" w:rsidRDefault="00994958">
            <w:pPr>
              <w:jc w:val="right"/>
              <w:textAlignment w:val="center"/>
            </w:pPr>
            <w:r>
              <w:rPr>
                <w:rFonts w:ascii="Arial" w:eastAsia="宋体" w:hAnsi="Arial" w:cs="Arial"/>
                <w:b/>
                <w:bCs/>
                <w:color w:val="000000"/>
                <w:sz w:val="15"/>
                <w:szCs w:val="15"/>
              </w:rPr>
              <w:t>%</w:t>
            </w:r>
          </w:p>
        </w:tc>
      </w:tr>
      <w:tr w:rsidR="00E836FB" w14:paraId="5F2CE4B9" w14:textId="77777777">
        <w:tc>
          <w:tcPr>
            <w:tcW w:w="0" w:type="auto"/>
            <w:gridSpan w:val="6"/>
            <w:shd w:val="clear" w:color="auto" w:fill="FFFFFF"/>
            <w:tcMar>
              <w:top w:w="40" w:type="dxa"/>
              <w:left w:w="155" w:type="dxa"/>
              <w:bottom w:w="40" w:type="dxa"/>
              <w:right w:w="20" w:type="dxa"/>
            </w:tcMar>
            <w:vAlign w:val="center"/>
          </w:tcPr>
          <w:p w14:paraId="5F2CE4AD" w14:textId="77777777" w:rsidR="00E836FB" w:rsidRDefault="00994958">
            <w:pPr>
              <w:textAlignment w:val="center"/>
            </w:pPr>
            <w:r>
              <w:rPr>
                <w:rFonts w:ascii="Arial" w:eastAsia="宋体" w:hAnsi="Arial" w:cs="Arial"/>
                <w:color w:val="000000"/>
                <w:sz w:val="15"/>
                <w:szCs w:val="15"/>
              </w:rPr>
              <w:t>Supplementary leverage exposure</w:t>
            </w:r>
          </w:p>
        </w:tc>
        <w:tc>
          <w:tcPr>
            <w:tcW w:w="0" w:type="auto"/>
            <w:gridSpan w:val="2"/>
            <w:shd w:val="clear" w:color="auto" w:fill="FFFFFF"/>
            <w:tcMar>
              <w:top w:w="40" w:type="dxa"/>
              <w:left w:w="20" w:type="dxa"/>
              <w:bottom w:w="40" w:type="dxa"/>
              <w:right w:w="0" w:type="dxa"/>
            </w:tcMar>
            <w:vAlign w:val="center"/>
          </w:tcPr>
          <w:p w14:paraId="5F2CE4AE" w14:textId="77777777" w:rsidR="00E836FB" w:rsidRDefault="00994958">
            <w:pPr>
              <w:jc w:val="right"/>
              <w:textAlignment w:val="center"/>
            </w:pPr>
            <w:r>
              <w:rPr>
                <w:rFonts w:ascii="Arial" w:eastAsia="宋体" w:hAnsi="Arial" w:cs="Arial"/>
                <w:b/>
                <w:bCs/>
                <w:color w:val="000000"/>
                <w:sz w:val="15"/>
                <w:szCs w:val="15"/>
              </w:rPr>
              <w:t>31,231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4B1" w14:textId="77777777" w:rsidR="00E836FB" w:rsidRDefault="00994958">
            <w:pPr>
              <w:jc w:val="right"/>
              <w:textAlignment w:val="center"/>
            </w:pPr>
            <w:r>
              <w:rPr>
                <w:rFonts w:ascii="Arial" w:eastAsia="宋体" w:hAnsi="Arial" w:cs="Arial"/>
                <w:b/>
                <w:bCs/>
                <w:color w:val="000000"/>
                <w:sz w:val="15"/>
                <w:szCs w:val="15"/>
              </w:rPr>
              <w:t>12.9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4B4" w14:textId="77777777" w:rsidR="00E836FB" w:rsidRDefault="00994958">
            <w:pPr>
              <w:jc w:val="right"/>
              <w:textAlignment w:val="center"/>
            </w:pPr>
            <w:r>
              <w:rPr>
                <w:rFonts w:ascii="Arial" w:eastAsia="宋体" w:hAnsi="Arial" w:cs="Arial"/>
                <w:b/>
                <w:bCs/>
                <w:color w:val="000000"/>
                <w:sz w:val="15"/>
                <w:szCs w:val="15"/>
              </w:rPr>
              <w:t>23,032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4B7" w14:textId="77777777" w:rsidR="00E836FB" w:rsidRDefault="00994958">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B8" w14:textId="77777777" w:rsidR="00E836FB" w:rsidRDefault="00E836FB">
            <w:pPr>
              <w:jc w:val="right"/>
              <w:rPr>
                <w:rFonts w:ascii="宋体"/>
              </w:rPr>
            </w:pPr>
          </w:p>
        </w:tc>
      </w:tr>
      <w:tr w:rsidR="00E836FB" w14:paraId="5F2CE4C2" w14:textId="77777777">
        <w:tc>
          <w:tcPr>
            <w:tcW w:w="0" w:type="auto"/>
            <w:gridSpan w:val="6"/>
            <w:shd w:val="clear" w:color="auto" w:fill="CCEEFF"/>
            <w:tcMar>
              <w:top w:w="40" w:type="dxa"/>
              <w:left w:w="20" w:type="dxa"/>
              <w:bottom w:w="40" w:type="dxa"/>
              <w:right w:w="20" w:type="dxa"/>
            </w:tcMar>
            <w:vAlign w:val="center"/>
          </w:tcPr>
          <w:p w14:paraId="5F2CE4BA" w14:textId="77777777" w:rsidR="00E836FB" w:rsidRDefault="00994958">
            <w:pPr>
              <w:textAlignment w:val="center"/>
            </w:pPr>
            <w:r>
              <w:rPr>
                <w:rFonts w:ascii="Arial" w:eastAsia="宋体" w:hAnsi="Arial" w:cs="Arial"/>
                <w:color w:val="000000"/>
                <w:sz w:val="15"/>
                <w:szCs w:val="15"/>
              </w:rPr>
              <w:t>Long-term debt:</w:t>
            </w:r>
          </w:p>
        </w:tc>
        <w:tc>
          <w:tcPr>
            <w:tcW w:w="0" w:type="auto"/>
            <w:gridSpan w:val="3"/>
            <w:shd w:val="clear" w:color="auto" w:fill="CCEEFF"/>
            <w:tcMar>
              <w:top w:w="0" w:type="dxa"/>
              <w:left w:w="20" w:type="dxa"/>
              <w:bottom w:w="0" w:type="dxa"/>
              <w:right w:w="20" w:type="dxa"/>
            </w:tcMar>
            <w:vAlign w:val="bottom"/>
          </w:tcPr>
          <w:p w14:paraId="5F2CE4B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4B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4B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4B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4B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4C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4C1" w14:textId="77777777" w:rsidR="00E836FB" w:rsidRDefault="00E836FB">
            <w:pPr>
              <w:rPr>
                <w:rFonts w:ascii="宋体"/>
              </w:rPr>
            </w:pPr>
          </w:p>
        </w:tc>
      </w:tr>
      <w:tr w:rsidR="00E836FB" w14:paraId="5F2CE4CF" w14:textId="77777777">
        <w:tc>
          <w:tcPr>
            <w:tcW w:w="0" w:type="auto"/>
            <w:gridSpan w:val="6"/>
            <w:shd w:val="clear" w:color="auto" w:fill="FFFFFF"/>
            <w:tcMar>
              <w:top w:w="40" w:type="dxa"/>
              <w:left w:w="155" w:type="dxa"/>
              <w:bottom w:w="40" w:type="dxa"/>
              <w:right w:w="20" w:type="dxa"/>
            </w:tcMar>
            <w:vAlign w:val="center"/>
          </w:tcPr>
          <w:p w14:paraId="5F2CE4C3" w14:textId="77777777" w:rsidR="00E836FB" w:rsidRDefault="00994958">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5F2CE4C4" w14:textId="77777777" w:rsidR="00E836FB" w:rsidRDefault="00994958">
            <w:pPr>
              <w:jc w:val="right"/>
              <w:textAlignment w:val="center"/>
            </w:pPr>
            <w:r>
              <w:rPr>
                <w:rFonts w:ascii="Arial" w:eastAsia="宋体" w:hAnsi="Arial" w:cs="Arial"/>
                <w:b/>
                <w:bCs/>
                <w:color w:val="000000"/>
                <w:sz w:val="15"/>
                <w:szCs w:val="15"/>
              </w:rPr>
              <w:t>13,308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4C7" w14:textId="77777777" w:rsidR="00E836FB" w:rsidRDefault="00994958">
            <w:pPr>
              <w:jc w:val="right"/>
              <w:textAlignment w:val="center"/>
            </w:pPr>
            <w:r>
              <w:rPr>
                <w:rFonts w:ascii="Arial" w:eastAsia="宋体" w:hAnsi="Arial" w:cs="Arial"/>
                <w:b/>
                <w:bCs/>
                <w:color w:val="000000"/>
                <w:sz w:val="15"/>
                <w:szCs w:val="15"/>
              </w:rPr>
              <w:t>11.9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C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C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4CA" w14:textId="77777777" w:rsidR="00E836FB" w:rsidRDefault="00994958">
            <w:pPr>
              <w:jc w:val="right"/>
              <w:textAlignment w:val="center"/>
            </w:pPr>
            <w:r>
              <w:rPr>
                <w:rFonts w:ascii="Arial" w:eastAsia="宋体" w:hAnsi="Arial" w:cs="Arial"/>
                <w:b/>
                <w:bCs/>
                <w:color w:val="000000"/>
                <w:sz w:val="15"/>
                <w:szCs w:val="15"/>
              </w:rPr>
              <w:t>7,817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C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4C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4CD" w14:textId="77777777" w:rsidR="00E836FB" w:rsidRDefault="00994958">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F2CE4CE" w14:textId="77777777" w:rsidR="00E836FB" w:rsidRDefault="00E836FB">
            <w:pPr>
              <w:jc w:val="right"/>
              <w:rPr>
                <w:rFonts w:ascii="宋体"/>
              </w:rPr>
            </w:pPr>
          </w:p>
        </w:tc>
      </w:tr>
      <w:tr w:rsidR="00E836FB" w14:paraId="5F2CE4DC" w14:textId="77777777">
        <w:tc>
          <w:tcPr>
            <w:tcW w:w="0" w:type="auto"/>
            <w:gridSpan w:val="6"/>
            <w:shd w:val="clear" w:color="auto" w:fill="CCEEFF"/>
            <w:tcMar>
              <w:top w:w="40" w:type="dxa"/>
              <w:left w:w="155" w:type="dxa"/>
              <w:bottom w:w="40" w:type="dxa"/>
              <w:right w:w="20" w:type="dxa"/>
            </w:tcMar>
            <w:vAlign w:val="center"/>
          </w:tcPr>
          <w:p w14:paraId="5F2CE4D0" w14:textId="77777777" w:rsidR="00E836FB" w:rsidRDefault="00994958">
            <w:pPr>
              <w:textAlignment w:val="center"/>
            </w:pPr>
            <w:r>
              <w:rPr>
                <w:rFonts w:ascii="Arial" w:eastAsia="宋体" w:hAnsi="Arial" w:cs="Arial"/>
                <w:color w:val="000000"/>
                <w:sz w:val="15"/>
                <w:szCs w:val="15"/>
              </w:rPr>
              <w:t>Supplementary leverage exposure</w:t>
            </w:r>
          </w:p>
        </w:tc>
        <w:tc>
          <w:tcPr>
            <w:tcW w:w="0" w:type="auto"/>
            <w:gridSpan w:val="2"/>
            <w:shd w:val="clear" w:color="auto" w:fill="CCEEFF"/>
            <w:tcMar>
              <w:top w:w="40" w:type="dxa"/>
              <w:left w:w="20" w:type="dxa"/>
              <w:bottom w:w="40" w:type="dxa"/>
              <w:right w:w="0" w:type="dxa"/>
            </w:tcMar>
            <w:vAlign w:val="center"/>
          </w:tcPr>
          <w:p w14:paraId="5F2CE4D1" w14:textId="77777777" w:rsidR="00E836FB" w:rsidRDefault="00994958">
            <w:pPr>
              <w:jc w:val="right"/>
              <w:textAlignment w:val="center"/>
            </w:pPr>
            <w:r>
              <w:rPr>
                <w:rFonts w:ascii="Arial" w:eastAsia="宋体" w:hAnsi="Arial" w:cs="Arial"/>
                <w:b/>
                <w:bCs/>
                <w:color w:val="000000"/>
                <w:sz w:val="15"/>
                <w:szCs w:val="15"/>
              </w:rPr>
              <w:t>13,308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4D4" w14:textId="77777777" w:rsidR="00E836FB" w:rsidRDefault="00994958">
            <w:pPr>
              <w:jc w:val="right"/>
              <w:textAlignment w:val="center"/>
            </w:pPr>
            <w:r>
              <w:rPr>
                <w:rFonts w:ascii="Arial" w:eastAsia="宋体" w:hAnsi="Arial" w:cs="Arial"/>
                <w:b/>
                <w:bCs/>
                <w:color w:val="000000"/>
                <w:sz w:val="15"/>
                <w:szCs w:val="15"/>
              </w:rPr>
              <w:t>5.5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4D7" w14:textId="77777777" w:rsidR="00E836FB" w:rsidRDefault="00994958">
            <w:pPr>
              <w:jc w:val="right"/>
              <w:textAlignment w:val="center"/>
            </w:pPr>
            <w:r>
              <w:rPr>
                <w:rFonts w:ascii="Arial" w:eastAsia="宋体" w:hAnsi="Arial" w:cs="Arial"/>
                <w:b/>
                <w:bCs/>
                <w:color w:val="000000"/>
                <w:sz w:val="15"/>
                <w:szCs w:val="15"/>
              </w:rPr>
              <w:t>10,910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4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4DA" w14:textId="77777777" w:rsidR="00E836FB" w:rsidRDefault="00994958">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F2CE4DB" w14:textId="77777777" w:rsidR="00E836FB" w:rsidRDefault="00E836FB">
            <w:pPr>
              <w:jc w:val="right"/>
              <w:rPr>
                <w:rFonts w:ascii="宋体"/>
              </w:rPr>
            </w:pPr>
          </w:p>
        </w:tc>
      </w:tr>
    </w:tbl>
    <w:p w14:paraId="5F2CE4DD" w14:textId="77777777" w:rsidR="00E836FB" w:rsidRDefault="00994958">
      <w:pPr>
        <w:ind w:firstLine="450"/>
        <w:jc w:val="both"/>
        <w:textAlignment w:val="top"/>
      </w:pPr>
      <w:r>
        <w:rPr>
          <w:rFonts w:ascii="Arial" w:eastAsia="宋体" w:hAnsi="Arial" w:cs="Arial"/>
          <w:color w:val="000000"/>
          <w:sz w:val="20"/>
          <w:szCs w:val="20"/>
        </w:rPr>
        <w:t>Additional information about TLAC is provided under "Total Loss-Absorbing Capacity" in "Supervision and Regulation" in Business in this Form 10-K.</w:t>
      </w:r>
    </w:p>
    <w:p w14:paraId="5F2CE4DE" w14:textId="77777777" w:rsidR="00E836FB" w:rsidRDefault="00994958">
      <w:pPr>
        <w:ind w:firstLine="450"/>
        <w:jc w:val="right"/>
      </w:pPr>
      <w:r>
        <w:rPr>
          <w:rFonts w:ascii="Arial" w:eastAsia="宋体" w:hAnsi="Arial" w:cs="Arial"/>
          <w:color w:val="000000"/>
          <w:sz w:val="18"/>
          <w:szCs w:val="18"/>
        </w:rPr>
        <w:t>State Street Corporation | 119</w:t>
      </w:r>
    </w:p>
    <w:p w14:paraId="5F2CE4DF" w14:textId="77777777" w:rsidR="00E836FB" w:rsidRDefault="00E836FB">
      <w:pPr>
        <w:ind w:firstLine="450"/>
        <w:jc w:val="center"/>
      </w:pPr>
    </w:p>
    <w:p w14:paraId="5F2CE4E0" w14:textId="77777777" w:rsidR="00E836FB" w:rsidRDefault="00994958">
      <w:r>
        <w:pict w14:anchorId="5F2D6DFC">
          <v:rect id="_x0000_i1143" style="width:415.3pt;height:1.5pt" o:hralign="center" o:hrstd="t" o:hr="t" fillcolor="#a0a0a0" stroked="f"/>
        </w:pict>
      </w:r>
    </w:p>
    <w:p w14:paraId="5F2CE4E1" w14:textId="77777777" w:rsidR="00E836FB" w:rsidRDefault="00994958">
      <w:pPr>
        <w:ind w:firstLine="450"/>
        <w:jc w:val="center"/>
      </w:pPr>
      <w:r>
        <w:rPr>
          <w:rFonts w:ascii="Arial" w:eastAsia="宋体" w:hAnsi="Arial" w:cs="Arial"/>
          <w:b/>
          <w:bCs/>
          <w:color w:val="000000"/>
          <w:sz w:val="20"/>
          <w:szCs w:val="20"/>
        </w:rPr>
        <w:t>MANAGEMENT’S DISCUSSION AND ANA</w:t>
      </w:r>
      <w:r>
        <w:rPr>
          <w:rFonts w:ascii="Arial" w:eastAsia="宋体" w:hAnsi="Arial" w:cs="Arial"/>
          <w:b/>
          <w:bCs/>
          <w:color w:val="000000"/>
          <w:sz w:val="20"/>
          <w:szCs w:val="20"/>
        </w:rPr>
        <w:t>LYSIS OF FINANCIAL CONDITION</w:t>
      </w:r>
    </w:p>
    <w:p w14:paraId="5F2CE4E2" w14:textId="77777777" w:rsidR="00E836FB" w:rsidRDefault="00994958">
      <w:pPr>
        <w:ind w:firstLine="450"/>
        <w:jc w:val="center"/>
      </w:pPr>
      <w:r>
        <w:rPr>
          <w:rFonts w:ascii="Arial" w:eastAsia="宋体" w:hAnsi="Arial" w:cs="Arial"/>
          <w:b/>
          <w:bCs/>
          <w:color w:val="000000"/>
          <w:sz w:val="20"/>
          <w:szCs w:val="20"/>
        </w:rPr>
        <w:t>AND RESULTS OF OPERATIONS</w:t>
      </w:r>
    </w:p>
    <w:p w14:paraId="5F2CE4E3" w14:textId="77777777" w:rsidR="00E836FB" w:rsidRDefault="00994958">
      <w:pPr>
        <w:spacing w:before="60"/>
        <w:jc w:val="both"/>
        <w:textAlignment w:val="top"/>
      </w:pPr>
      <w:r>
        <w:rPr>
          <w:rFonts w:ascii="Arial" w:eastAsia="宋体" w:hAnsi="Arial" w:cs="Arial"/>
          <w:b/>
          <w:bCs/>
          <w:i/>
          <w:iCs/>
          <w:color w:val="000000"/>
          <w:sz w:val="20"/>
          <w:szCs w:val="20"/>
        </w:rPr>
        <w:t>Regulatory Developments</w:t>
      </w:r>
    </w:p>
    <w:p w14:paraId="5F2CE4E4" w14:textId="77777777" w:rsidR="00E836FB" w:rsidRDefault="00994958">
      <w:pPr>
        <w:spacing w:before="60"/>
        <w:ind w:firstLine="450"/>
        <w:jc w:val="both"/>
        <w:textAlignment w:val="top"/>
      </w:pPr>
      <w:r>
        <w:rPr>
          <w:rFonts w:ascii="Arial" w:eastAsia="宋体" w:hAnsi="Arial" w:cs="Arial"/>
          <w:color w:val="000000"/>
          <w:sz w:val="20"/>
          <w:szCs w:val="20"/>
        </w:rPr>
        <w:t>In April 2018, the Federal Reserve issued a proposed rule which would replace the current 2.0% SLR buffer for G-SIBs, with a buffer equal to 50% of their G-SIB surcharge. This p</w:t>
      </w:r>
      <w:r>
        <w:rPr>
          <w:rFonts w:ascii="Arial" w:eastAsia="宋体" w:hAnsi="Arial" w:cs="Arial"/>
          <w:color w:val="000000"/>
          <w:sz w:val="20"/>
          <w:szCs w:val="20"/>
        </w:rPr>
        <w:t>roposal would also make conforming modifications to our TLAC and eligible LTD requirements applicable to G-SIBs. At this point in time, it is unclear whether this proposal will be implemented as proposed.</w:t>
      </w:r>
    </w:p>
    <w:p w14:paraId="5F2CE4E5" w14:textId="77777777" w:rsidR="00E836FB" w:rsidRDefault="00994958">
      <w:pPr>
        <w:spacing w:before="60"/>
        <w:ind w:firstLine="450"/>
        <w:jc w:val="both"/>
        <w:textAlignment w:val="top"/>
      </w:pPr>
      <w:r>
        <w:rPr>
          <w:rFonts w:ascii="Arial" w:eastAsia="宋体" w:hAnsi="Arial" w:cs="Arial"/>
          <w:color w:val="000000"/>
          <w:sz w:val="20"/>
          <w:szCs w:val="20"/>
        </w:rPr>
        <w:t>In November 2019, the Federal Reserve and other U.S</w:t>
      </w:r>
      <w:r>
        <w:rPr>
          <w:rFonts w:ascii="Arial" w:eastAsia="宋体" w:hAnsi="Arial" w:cs="Arial"/>
          <w:color w:val="000000"/>
          <w:sz w:val="20"/>
          <w:szCs w:val="20"/>
        </w:rPr>
        <w:t>. federal banking agencies issued a final rule that, among other things, implements the SA-CCR, a new methodology for calculating the exposure amount for derivative contracts. Under the final rule, which became effective on January 1, 2022, we will have th</w:t>
      </w:r>
      <w:r>
        <w:rPr>
          <w:rFonts w:ascii="Arial" w:eastAsia="宋体" w:hAnsi="Arial" w:cs="Arial"/>
          <w:color w:val="000000"/>
          <w:sz w:val="20"/>
          <w:szCs w:val="20"/>
        </w:rPr>
        <w:t>e option to use the SA-CCR or the IMM to measure the exposure amount of our cleared and uncleared derivative transactions under our advanced approaches calculation. We will be required to determine the amount of these exposures using the SA-CCR under our s</w:t>
      </w:r>
      <w:r>
        <w:rPr>
          <w:rFonts w:ascii="Arial" w:eastAsia="宋体" w:hAnsi="Arial" w:cs="Arial"/>
          <w:color w:val="000000"/>
          <w:sz w:val="20"/>
          <w:szCs w:val="20"/>
        </w:rPr>
        <w:t xml:space="preserve">tandardized approach capital calculation. Additionally, we will have to apply a revised formula to determine the RWA amount of our central counterparty default fund contributions. Applying the SA-CCR to our derivative exposures as of December 31, 2021, in </w:t>
      </w:r>
      <w:r>
        <w:rPr>
          <w:rFonts w:ascii="Arial" w:eastAsia="宋体" w:hAnsi="Arial" w:cs="Arial"/>
          <w:color w:val="000000"/>
          <w:sz w:val="20"/>
          <w:szCs w:val="20"/>
        </w:rPr>
        <w:t>place of then-applicable Current Exposure Method (CEM), under the standardized approach, with all else equal, would on a pro- forma basis increase our total RWA as of that date by approximately 10%. As part of a plan to partially offset these SA-CCR RWA im</w:t>
      </w:r>
      <w:r>
        <w:rPr>
          <w:rFonts w:ascii="Arial" w:eastAsia="宋体" w:hAnsi="Arial" w:cs="Arial"/>
          <w:color w:val="000000"/>
          <w:sz w:val="20"/>
          <w:szCs w:val="20"/>
        </w:rPr>
        <w:t xml:space="preserve">pacts, various business actions have been identified for optimization and completion in the first half of 2022. </w:t>
      </w:r>
    </w:p>
    <w:p w14:paraId="5F2CE4E6" w14:textId="77777777" w:rsidR="00E836FB" w:rsidRDefault="00994958">
      <w:pPr>
        <w:spacing w:before="60"/>
        <w:ind w:firstLine="450"/>
        <w:jc w:val="both"/>
        <w:textAlignment w:val="top"/>
      </w:pPr>
      <w:r>
        <w:rPr>
          <w:rFonts w:ascii="Arial" w:eastAsia="宋体" w:hAnsi="Arial" w:cs="Arial"/>
          <w:color w:val="000000"/>
          <w:sz w:val="20"/>
          <w:szCs w:val="20"/>
        </w:rPr>
        <w:t>On March 4, 2020, the U.S. federal banking agencies issued the SCB final rule that replaces, under the standardized approach, the capital conse</w:t>
      </w:r>
      <w:r>
        <w:rPr>
          <w:rFonts w:ascii="Arial" w:eastAsia="宋体" w:hAnsi="Arial" w:cs="Arial"/>
          <w:color w:val="000000"/>
          <w:sz w:val="20"/>
          <w:szCs w:val="20"/>
        </w:rPr>
        <w:t>rvation buffer (2.5%) with a SCB calculated as the difference between an institution’s starting and lowest projected CET1 ratio under the CCAR severely adverse scenario plus planned common stock dividend payments (as a percentage of RWA) from the fourth th</w:t>
      </w:r>
      <w:r>
        <w:rPr>
          <w:rFonts w:ascii="Arial" w:eastAsia="宋体" w:hAnsi="Arial" w:cs="Arial"/>
          <w:color w:val="000000"/>
          <w:sz w:val="20"/>
          <w:szCs w:val="20"/>
        </w:rPr>
        <w:t xml:space="preserve">rough seventh quarter of the CCAR planning horizon. Based on our results from the 2021 supervisory stress test, our SCB for the period of October 1, 2021 through September 2022 is set at the minimum of 2.5% of RWA. </w:t>
      </w:r>
    </w:p>
    <w:p w14:paraId="5F2CE4E7" w14:textId="77777777" w:rsidR="00E836FB" w:rsidRDefault="00994958">
      <w:pPr>
        <w:spacing w:before="60"/>
        <w:ind w:firstLine="450"/>
        <w:jc w:val="both"/>
        <w:textAlignment w:val="top"/>
      </w:pPr>
      <w:r>
        <w:rPr>
          <w:rFonts w:ascii="Arial" w:eastAsia="宋体" w:hAnsi="Arial" w:cs="Arial"/>
          <w:color w:val="000000"/>
          <w:sz w:val="20"/>
          <w:szCs w:val="20"/>
        </w:rPr>
        <w:t>The Federal Reserve and other U.S. feder</w:t>
      </w:r>
      <w:r>
        <w:rPr>
          <w:rFonts w:ascii="Arial" w:eastAsia="宋体" w:hAnsi="Arial" w:cs="Arial"/>
          <w:color w:val="000000"/>
          <w:sz w:val="20"/>
          <w:szCs w:val="20"/>
        </w:rPr>
        <w:t>al banking agencies issued an interim final rule effective in March 2020 and later finalized on a permanent basis on August 26, 2020, which revised the definition of eligible retained income for all U.S. banking organizations. The revised definition of eli</w:t>
      </w:r>
      <w:r>
        <w:rPr>
          <w:rFonts w:ascii="Arial" w:eastAsia="宋体" w:hAnsi="Arial" w:cs="Arial"/>
          <w:color w:val="000000"/>
          <w:sz w:val="20"/>
          <w:szCs w:val="20"/>
        </w:rPr>
        <w:t>gible retained income makes any automatic limitations on capital distributions, where a banking organization's regulatory ratios were to decline below the respective minimum requirements, take effect on a more gradual basis.</w:t>
      </w:r>
    </w:p>
    <w:p w14:paraId="5F2CE4E8" w14:textId="77777777" w:rsidR="00E836FB" w:rsidRDefault="00994958">
      <w:pPr>
        <w:spacing w:before="60"/>
        <w:ind w:firstLine="450"/>
        <w:jc w:val="both"/>
        <w:textAlignment w:val="top"/>
      </w:pPr>
      <w:r>
        <w:rPr>
          <w:rFonts w:ascii="Arial" w:eastAsia="宋体" w:hAnsi="Arial" w:cs="Arial"/>
          <w:color w:val="000000"/>
          <w:sz w:val="20"/>
          <w:szCs w:val="20"/>
        </w:rPr>
        <w:t>Following the launch of the MML</w:t>
      </w:r>
      <w:r>
        <w:rPr>
          <w:rFonts w:ascii="Arial" w:eastAsia="宋体" w:hAnsi="Arial" w:cs="Arial"/>
          <w:color w:val="000000"/>
          <w:sz w:val="20"/>
          <w:szCs w:val="20"/>
        </w:rPr>
        <w:t>F program, which we participated in, the Federal Reserve issued an interim final rule on March 19, 2020 (followed by a final rule on September 29, 2020), allowing Bank Holding Companies (BHCs) to exclude assets purchased with the MMLF program from their RW</w:t>
      </w:r>
      <w:r>
        <w:rPr>
          <w:rFonts w:ascii="Arial" w:eastAsia="宋体" w:hAnsi="Arial" w:cs="Arial"/>
          <w:color w:val="000000"/>
          <w:sz w:val="20"/>
          <w:szCs w:val="20"/>
        </w:rPr>
        <w:t xml:space="preserve">A, total leverage exposure and average total consolidated assets. No new credit extensions were made after March 31, 2021, as the program had expired. </w:t>
      </w:r>
    </w:p>
    <w:p w14:paraId="5F2CE4E9" w14:textId="77777777" w:rsidR="00E836FB" w:rsidRDefault="00994958">
      <w:pPr>
        <w:spacing w:before="60"/>
        <w:ind w:firstLine="450"/>
        <w:jc w:val="both"/>
        <w:textAlignment w:val="top"/>
      </w:pPr>
      <w:r>
        <w:rPr>
          <w:rFonts w:ascii="Arial" w:eastAsia="宋体" w:hAnsi="Arial" w:cs="Arial"/>
          <w:color w:val="000000"/>
          <w:sz w:val="20"/>
          <w:szCs w:val="20"/>
        </w:rPr>
        <w:t>On March 27, 2020, the BCBS announced the deferral of the implementation of the revisions to the Basel I</w:t>
      </w:r>
      <w:r>
        <w:rPr>
          <w:rFonts w:ascii="Arial" w:eastAsia="宋体" w:hAnsi="Arial" w:cs="Arial"/>
          <w:color w:val="000000"/>
          <w:sz w:val="20"/>
          <w:szCs w:val="20"/>
        </w:rPr>
        <w:t>II framework to January 1, 2023. As of now, the U.S. federal banking agencies have not formally proposed the implementation of the BCBS revisions.</w:t>
      </w:r>
    </w:p>
    <w:p w14:paraId="5F2CE4EA" w14:textId="77777777" w:rsidR="00E836FB" w:rsidRDefault="00994958">
      <w:pPr>
        <w:spacing w:before="60"/>
        <w:ind w:firstLine="450"/>
        <w:jc w:val="both"/>
        <w:textAlignment w:val="top"/>
      </w:pPr>
      <w:r>
        <w:rPr>
          <w:rFonts w:ascii="Arial" w:eastAsia="宋体" w:hAnsi="Arial" w:cs="Arial"/>
          <w:color w:val="000000"/>
          <w:sz w:val="20"/>
          <w:szCs w:val="20"/>
        </w:rPr>
        <w:t xml:space="preserve">Effective April 1, 2020, the Federal Reserve and other U.S. federal banking agencies adopted a final rule as </w:t>
      </w:r>
      <w:r>
        <w:rPr>
          <w:rFonts w:ascii="Arial" w:eastAsia="宋体" w:hAnsi="Arial" w:cs="Arial"/>
          <w:color w:val="000000"/>
          <w:sz w:val="20"/>
          <w:szCs w:val="20"/>
        </w:rPr>
        <w:t>part of EGRRCPA that establishes a deduction for qualifying central bank deposits from a custodial banking organization’s total leverage exposure equal to the lesser of (i) the total amount of funds the custodial banking organization and its consolidated s</w:t>
      </w:r>
      <w:r>
        <w:rPr>
          <w:rFonts w:ascii="Arial" w:eastAsia="宋体" w:hAnsi="Arial" w:cs="Arial"/>
          <w:color w:val="000000"/>
          <w:sz w:val="20"/>
          <w:szCs w:val="20"/>
        </w:rPr>
        <w:t xml:space="preserve">ubsidiaries have on deposit at qualifying central banks and (ii) the total amount of client funds on deposit at the custodial banking organization that are linked to fiduciary or custodial and safekeeping accounts. For the quarter ended December 31, 2021, </w:t>
      </w:r>
      <w:r>
        <w:rPr>
          <w:rFonts w:ascii="Arial" w:eastAsia="宋体" w:hAnsi="Arial" w:cs="Arial"/>
          <w:color w:val="000000"/>
          <w:sz w:val="20"/>
          <w:szCs w:val="20"/>
        </w:rPr>
        <w:t>we deducted $84.1 billion of average balances held on deposit at central banks from the denominator used in the calculation of our SLR, based on this custodial banking deduction.</w:t>
      </w:r>
    </w:p>
    <w:p w14:paraId="5F2CE4EB" w14:textId="77777777" w:rsidR="00E836FB" w:rsidRDefault="00994958">
      <w:pPr>
        <w:spacing w:before="60"/>
        <w:ind w:firstLine="450"/>
        <w:jc w:val="both"/>
        <w:textAlignment w:val="top"/>
      </w:pPr>
      <w:r>
        <w:rPr>
          <w:rFonts w:ascii="Arial" w:eastAsia="宋体" w:hAnsi="Arial" w:cs="Arial"/>
          <w:color w:val="000000"/>
          <w:sz w:val="20"/>
          <w:szCs w:val="20"/>
        </w:rPr>
        <w:t>On October 20, 2020, the Federal Reserve and other U.S. federal banking agenc</w:t>
      </w:r>
      <w:r>
        <w:rPr>
          <w:rFonts w:ascii="Arial" w:eastAsia="宋体" w:hAnsi="Arial" w:cs="Arial"/>
          <w:color w:val="000000"/>
          <w:sz w:val="20"/>
          <w:szCs w:val="20"/>
        </w:rPr>
        <w:t>ies issued a final rule that requires us and State Street Bank to make certain deductions from regulatory capital for investments in certain unsecured debt instruments, including eligible LTD under the TLAC rule, issued by the Parent Company and other U.S.</w:t>
      </w:r>
      <w:r>
        <w:rPr>
          <w:rFonts w:ascii="Arial" w:eastAsia="宋体" w:hAnsi="Arial" w:cs="Arial"/>
          <w:color w:val="000000"/>
          <w:sz w:val="20"/>
          <w:szCs w:val="20"/>
        </w:rPr>
        <w:t xml:space="preserve"> and foreign G-SIBs. The final rule became effective on April 1, 2021.</w:t>
      </w:r>
    </w:p>
    <w:p w14:paraId="5F2CE4EC" w14:textId="77777777" w:rsidR="00E836FB" w:rsidRDefault="00994958">
      <w:pPr>
        <w:spacing w:before="60"/>
        <w:ind w:firstLine="450"/>
        <w:jc w:val="both"/>
        <w:textAlignment w:val="top"/>
      </w:pPr>
      <w:r>
        <w:rPr>
          <w:rFonts w:ascii="Arial" w:eastAsia="宋体" w:hAnsi="Arial" w:cs="Arial"/>
          <w:color w:val="000000"/>
          <w:sz w:val="20"/>
          <w:szCs w:val="20"/>
        </w:rPr>
        <w:t>In light of the decision to administer a new stress test, the Federal Reserve limited the ability of all CCAR banking organizations to make capital distributions in the third and fourth</w:t>
      </w:r>
      <w:r>
        <w:rPr>
          <w:rFonts w:ascii="Arial" w:eastAsia="宋体" w:hAnsi="Arial" w:cs="Arial"/>
          <w:color w:val="000000"/>
          <w:sz w:val="20"/>
          <w:szCs w:val="20"/>
        </w:rPr>
        <w:t xml:space="preserve"> quarters of 2020, although banking organizations were permitted to pay common stock dividends at previous levels provided such distributions did not exceed an amount determined by a formula based on the banking organization's recent income. As a result, C</w:t>
      </w:r>
      <w:r>
        <w:rPr>
          <w:rFonts w:ascii="Arial" w:eastAsia="宋体" w:hAnsi="Arial" w:cs="Arial"/>
          <w:color w:val="000000"/>
          <w:sz w:val="20"/>
          <w:szCs w:val="20"/>
        </w:rPr>
        <w:t>CAR banking organizations, including us, were not permitted to return capital to shareholders in the form of common share repurchases during the third quarter and fourth quarter of 2020.</w:t>
      </w:r>
    </w:p>
    <w:p w14:paraId="5F2CE4ED" w14:textId="77777777" w:rsidR="00E836FB" w:rsidRDefault="00994958">
      <w:pPr>
        <w:spacing w:before="60"/>
        <w:ind w:firstLine="450"/>
        <w:jc w:val="both"/>
        <w:textAlignment w:val="top"/>
      </w:pPr>
      <w:r>
        <w:rPr>
          <w:rFonts w:ascii="Arial" w:eastAsia="宋体" w:hAnsi="Arial" w:cs="Arial"/>
          <w:color w:val="000000"/>
          <w:sz w:val="20"/>
          <w:szCs w:val="20"/>
        </w:rPr>
        <w:t xml:space="preserve">On August 10, 2020, the Federal Reserve confirmed that our SCB was </w:t>
      </w:r>
      <w:r>
        <w:rPr>
          <w:rFonts w:ascii="Arial" w:eastAsia="宋体" w:hAnsi="Arial" w:cs="Arial"/>
          <w:color w:val="000000"/>
          <w:sz w:val="20"/>
          <w:szCs w:val="20"/>
        </w:rPr>
        <w:t>2.5% for the period starting on October 1, 2020 and ending on September 30, 2021.</w:t>
      </w:r>
    </w:p>
    <w:p w14:paraId="5F2CE4EE" w14:textId="77777777" w:rsidR="00E836FB" w:rsidRDefault="00994958">
      <w:pPr>
        <w:ind w:firstLine="450"/>
        <w:jc w:val="right"/>
      </w:pPr>
      <w:r>
        <w:rPr>
          <w:rFonts w:ascii="Arial" w:eastAsia="宋体" w:hAnsi="Arial" w:cs="Arial"/>
          <w:color w:val="000000"/>
          <w:sz w:val="18"/>
          <w:szCs w:val="18"/>
        </w:rPr>
        <w:t>State Street Corporation | 120</w:t>
      </w:r>
    </w:p>
    <w:p w14:paraId="5F2CE4EF" w14:textId="77777777" w:rsidR="00E836FB" w:rsidRDefault="00E836FB">
      <w:pPr>
        <w:ind w:firstLine="450"/>
        <w:jc w:val="center"/>
      </w:pPr>
    </w:p>
    <w:p w14:paraId="5F2CE4F0" w14:textId="77777777" w:rsidR="00E836FB" w:rsidRDefault="00994958">
      <w:r>
        <w:pict w14:anchorId="5F2D6DFD">
          <v:rect id="_x0000_i1144" style="width:415.3pt;height:1.5pt" o:hralign="center" o:hrstd="t" o:hr="t" fillcolor="#a0a0a0" stroked="f"/>
        </w:pict>
      </w:r>
    </w:p>
    <w:p w14:paraId="5F2CE4F1"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4F2" w14:textId="77777777" w:rsidR="00E836FB" w:rsidRDefault="00994958">
      <w:pPr>
        <w:ind w:firstLine="450"/>
        <w:jc w:val="center"/>
      </w:pPr>
      <w:r>
        <w:rPr>
          <w:rFonts w:ascii="Arial" w:eastAsia="宋体" w:hAnsi="Arial" w:cs="Arial"/>
          <w:b/>
          <w:bCs/>
          <w:color w:val="000000"/>
          <w:sz w:val="20"/>
          <w:szCs w:val="20"/>
        </w:rPr>
        <w:t>AND RESULTS OF OPERATIONS</w:t>
      </w:r>
    </w:p>
    <w:p w14:paraId="5F2CE4F3" w14:textId="77777777" w:rsidR="00E836FB" w:rsidRDefault="00994958">
      <w:pPr>
        <w:spacing w:before="60"/>
        <w:ind w:firstLine="450"/>
        <w:jc w:val="both"/>
      </w:pPr>
      <w:r>
        <w:rPr>
          <w:rFonts w:ascii="Arial" w:eastAsia="宋体" w:hAnsi="Arial" w:cs="Arial"/>
          <w:color w:val="000000"/>
          <w:sz w:val="20"/>
          <w:szCs w:val="20"/>
        </w:rPr>
        <w:t>On December 18, 2020, following the release of a secon</w:t>
      </w:r>
      <w:r>
        <w:rPr>
          <w:rFonts w:ascii="Arial" w:eastAsia="宋体" w:hAnsi="Arial" w:cs="Arial"/>
          <w:color w:val="000000"/>
          <w:sz w:val="20"/>
          <w:szCs w:val="20"/>
        </w:rPr>
        <w:t xml:space="preserve">d round of stress test results for 2020, the Federal Reserve modified the restrictions on capital distributions for the first quarter of 2021. Common stock dividends and share repurchases in the first quarter of 2021 were limited to the average of our net </w:t>
      </w:r>
      <w:r>
        <w:rPr>
          <w:rFonts w:ascii="Arial" w:eastAsia="宋体" w:hAnsi="Arial" w:cs="Arial"/>
          <w:color w:val="000000"/>
          <w:sz w:val="20"/>
          <w:szCs w:val="20"/>
        </w:rPr>
        <w:t>income for the four preceding quarters plus a number of shares equal to the share issuances in the quarter related to expensed employee compensation, provided that we did not increase the amount of our common stock dividends to be larger than the level pai</w:t>
      </w:r>
      <w:r>
        <w:rPr>
          <w:rFonts w:ascii="Arial" w:eastAsia="宋体" w:hAnsi="Arial" w:cs="Arial"/>
          <w:color w:val="000000"/>
          <w:sz w:val="20"/>
          <w:szCs w:val="20"/>
        </w:rPr>
        <w:t xml:space="preserve">d in the second quarter of 2020. On March 25, 2021, the Federal Reserve extended these restrictions through the second quarter of 2021. </w:t>
      </w:r>
    </w:p>
    <w:p w14:paraId="5F2CE4F4" w14:textId="77777777" w:rsidR="00E836FB" w:rsidRDefault="00994958">
      <w:pPr>
        <w:spacing w:before="60"/>
        <w:ind w:firstLine="450"/>
        <w:jc w:val="both"/>
      </w:pPr>
      <w:r>
        <w:rPr>
          <w:rFonts w:ascii="Arial" w:eastAsia="宋体" w:hAnsi="Arial" w:cs="Arial"/>
          <w:color w:val="000000"/>
          <w:sz w:val="20"/>
          <w:szCs w:val="20"/>
        </w:rPr>
        <w:t>On June 24, 2021, we were notified by the Federal Reserve of the results from the 2021 supervisory stress test. Our SCB</w:t>
      </w:r>
      <w:r>
        <w:rPr>
          <w:rFonts w:ascii="Arial" w:eastAsia="宋体" w:hAnsi="Arial" w:cs="Arial"/>
          <w:color w:val="000000"/>
          <w:sz w:val="20"/>
          <w:szCs w:val="20"/>
        </w:rPr>
        <w:t xml:space="preserve"> calculated under this supervisory stress test was well below the 2.5% minimum, resulting in an SCB at that floor, which was effective starting October 1, 2021 and will run through September 30, 2022. The Federal Reserve also lifted the restrictions on cap</w:t>
      </w:r>
      <w:r>
        <w:rPr>
          <w:rFonts w:ascii="Arial" w:eastAsia="宋体" w:hAnsi="Arial" w:cs="Arial"/>
          <w:color w:val="000000"/>
          <w:sz w:val="20"/>
          <w:szCs w:val="20"/>
        </w:rPr>
        <w:t>ital distributions implemented in response to the COVID-19 pandemic and we are currently governed in our capital distributions by minimum capital requirements inclusive of the SCB.</w:t>
      </w:r>
    </w:p>
    <w:p w14:paraId="5F2CE4F5" w14:textId="77777777" w:rsidR="00E836FB" w:rsidRDefault="00994958">
      <w:pPr>
        <w:spacing w:before="60"/>
        <w:ind w:firstLine="450"/>
        <w:jc w:val="both"/>
      </w:pPr>
      <w:r>
        <w:rPr>
          <w:rFonts w:ascii="Arial" w:eastAsia="宋体" w:hAnsi="Arial" w:cs="Arial"/>
          <w:color w:val="000000"/>
          <w:sz w:val="20"/>
          <w:szCs w:val="20"/>
        </w:rPr>
        <w:t>For additional information about regulatory developments, refer to the "Reg</w:t>
      </w:r>
      <w:r>
        <w:rPr>
          <w:rFonts w:ascii="Arial" w:eastAsia="宋体" w:hAnsi="Arial" w:cs="Arial"/>
          <w:color w:val="000000"/>
          <w:sz w:val="20"/>
          <w:szCs w:val="20"/>
        </w:rPr>
        <w:t xml:space="preserve">ulatory Capital Adequacy and Liquidity Standards" section of "Supervision and Regulation" in Business in this Form 10-K. </w:t>
      </w:r>
    </w:p>
    <w:p w14:paraId="5F2CE4F6" w14:textId="77777777" w:rsidR="00E836FB" w:rsidRDefault="00994958">
      <w:pPr>
        <w:spacing w:before="60"/>
      </w:pPr>
      <w:r>
        <w:rPr>
          <w:rFonts w:ascii="Arial" w:eastAsia="宋体" w:hAnsi="Arial" w:cs="Arial"/>
          <w:b/>
          <w:bCs/>
          <w:i/>
          <w:iCs/>
          <w:color w:val="000000"/>
          <w:sz w:val="20"/>
          <w:szCs w:val="20"/>
        </w:rPr>
        <w:t>Capital Actions</w:t>
      </w:r>
    </w:p>
    <w:p w14:paraId="5F2CE4F7" w14:textId="77777777" w:rsidR="00E836FB" w:rsidRDefault="00994958">
      <w:pPr>
        <w:spacing w:before="60"/>
      </w:pPr>
      <w:r>
        <w:rPr>
          <w:rFonts w:ascii="Arial" w:eastAsia="宋体" w:hAnsi="Arial" w:cs="Arial"/>
          <w:i/>
          <w:iCs/>
          <w:color w:val="000000"/>
          <w:sz w:val="20"/>
          <w:szCs w:val="20"/>
        </w:rPr>
        <w:t>Preferred Stock</w:t>
      </w:r>
    </w:p>
    <w:p w14:paraId="5F2CE4F8" w14:textId="77777777" w:rsidR="00E836FB" w:rsidRDefault="00994958">
      <w:pPr>
        <w:spacing w:before="60"/>
        <w:ind w:firstLine="450"/>
        <w:jc w:val="both"/>
      </w:pPr>
      <w:r>
        <w:rPr>
          <w:rFonts w:ascii="Arial" w:eastAsia="宋体" w:hAnsi="Arial" w:cs="Arial"/>
          <w:color w:val="000000"/>
          <w:sz w:val="20"/>
          <w:szCs w:val="20"/>
        </w:rPr>
        <w:t xml:space="preserve">The following table summarizes selected terms of each of the series of the preferred stock issued and </w:t>
      </w:r>
      <w:r>
        <w:rPr>
          <w:rFonts w:ascii="Arial" w:eastAsia="宋体" w:hAnsi="Arial" w:cs="Arial"/>
          <w:color w:val="000000"/>
          <w:sz w:val="20"/>
          <w:szCs w:val="20"/>
        </w:rPr>
        <w:t>outstanding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78"/>
        <w:gridCol w:w="449"/>
        <w:gridCol w:w="36"/>
        <w:gridCol w:w="40"/>
        <w:gridCol w:w="33"/>
        <w:gridCol w:w="36"/>
        <w:gridCol w:w="64"/>
        <w:gridCol w:w="513"/>
        <w:gridCol w:w="37"/>
        <w:gridCol w:w="40"/>
        <w:gridCol w:w="33"/>
        <w:gridCol w:w="36"/>
        <w:gridCol w:w="81"/>
        <w:gridCol w:w="527"/>
        <w:gridCol w:w="36"/>
        <w:gridCol w:w="40"/>
        <w:gridCol w:w="33"/>
        <w:gridCol w:w="36"/>
        <w:gridCol w:w="85"/>
        <w:gridCol w:w="582"/>
        <w:gridCol w:w="35"/>
        <w:gridCol w:w="40"/>
        <w:gridCol w:w="31"/>
        <w:gridCol w:w="35"/>
        <w:gridCol w:w="79"/>
        <w:gridCol w:w="524"/>
        <w:gridCol w:w="35"/>
        <w:gridCol w:w="40"/>
        <w:gridCol w:w="31"/>
        <w:gridCol w:w="35"/>
        <w:gridCol w:w="84"/>
        <w:gridCol w:w="552"/>
        <w:gridCol w:w="36"/>
        <w:gridCol w:w="40"/>
        <w:gridCol w:w="31"/>
        <w:gridCol w:w="35"/>
        <w:gridCol w:w="86"/>
        <w:gridCol w:w="541"/>
        <w:gridCol w:w="35"/>
        <w:gridCol w:w="40"/>
        <w:gridCol w:w="31"/>
        <w:gridCol w:w="35"/>
        <w:gridCol w:w="59"/>
        <w:gridCol w:w="570"/>
        <w:gridCol w:w="36"/>
        <w:gridCol w:w="40"/>
        <w:gridCol w:w="31"/>
        <w:gridCol w:w="35"/>
        <w:gridCol w:w="93"/>
        <w:gridCol w:w="667"/>
        <w:gridCol w:w="36"/>
        <w:gridCol w:w="40"/>
        <w:gridCol w:w="31"/>
        <w:gridCol w:w="35"/>
        <w:gridCol w:w="84"/>
        <w:gridCol w:w="487"/>
        <w:gridCol w:w="35"/>
        <w:gridCol w:w="40"/>
        <w:gridCol w:w="31"/>
        <w:gridCol w:w="35"/>
        <w:gridCol w:w="81"/>
        <w:gridCol w:w="589"/>
        <w:gridCol w:w="35"/>
      </w:tblGrid>
      <w:tr w:rsidR="00E836FB" w14:paraId="5F2CE538" w14:textId="77777777">
        <w:tc>
          <w:tcPr>
            <w:tcW w:w="50" w:type="pct"/>
            <w:shd w:val="clear" w:color="auto" w:fill="auto"/>
            <w:vAlign w:val="bottom"/>
          </w:tcPr>
          <w:p w14:paraId="5F2CE4F9" w14:textId="77777777" w:rsidR="00E836FB" w:rsidRDefault="00E836FB">
            <w:pPr>
              <w:rPr>
                <w:rFonts w:ascii="宋体"/>
              </w:rPr>
            </w:pPr>
          </w:p>
        </w:tc>
        <w:tc>
          <w:tcPr>
            <w:tcW w:w="308" w:type="pct"/>
            <w:shd w:val="clear" w:color="auto" w:fill="auto"/>
            <w:vAlign w:val="bottom"/>
          </w:tcPr>
          <w:p w14:paraId="5F2CE4FA" w14:textId="77777777" w:rsidR="00E836FB" w:rsidRDefault="00E836FB">
            <w:pPr>
              <w:rPr>
                <w:rFonts w:ascii="宋体"/>
              </w:rPr>
            </w:pPr>
          </w:p>
        </w:tc>
        <w:tc>
          <w:tcPr>
            <w:tcW w:w="5" w:type="pct"/>
            <w:shd w:val="clear" w:color="auto" w:fill="auto"/>
            <w:vAlign w:val="bottom"/>
          </w:tcPr>
          <w:p w14:paraId="5F2CE4FB" w14:textId="77777777" w:rsidR="00E836FB" w:rsidRDefault="00E836FB">
            <w:pPr>
              <w:rPr>
                <w:rFonts w:ascii="宋体"/>
              </w:rPr>
            </w:pPr>
          </w:p>
        </w:tc>
        <w:tc>
          <w:tcPr>
            <w:tcW w:w="5" w:type="pct"/>
            <w:shd w:val="clear" w:color="auto" w:fill="auto"/>
            <w:vAlign w:val="bottom"/>
          </w:tcPr>
          <w:p w14:paraId="5F2CE4FC" w14:textId="77777777" w:rsidR="00E836FB" w:rsidRDefault="00E836FB">
            <w:pPr>
              <w:rPr>
                <w:rFonts w:ascii="宋体"/>
              </w:rPr>
            </w:pPr>
          </w:p>
        </w:tc>
        <w:tc>
          <w:tcPr>
            <w:tcW w:w="19" w:type="pct"/>
            <w:shd w:val="clear" w:color="auto" w:fill="auto"/>
            <w:vAlign w:val="bottom"/>
          </w:tcPr>
          <w:p w14:paraId="5F2CE4FD" w14:textId="77777777" w:rsidR="00E836FB" w:rsidRDefault="00E836FB">
            <w:pPr>
              <w:rPr>
                <w:rFonts w:ascii="宋体"/>
              </w:rPr>
            </w:pPr>
          </w:p>
        </w:tc>
        <w:tc>
          <w:tcPr>
            <w:tcW w:w="5" w:type="pct"/>
            <w:shd w:val="clear" w:color="auto" w:fill="auto"/>
            <w:vAlign w:val="bottom"/>
          </w:tcPr>
          <w:p w14:paraId="5F2CE4FE" w14:textId="77777777" w:rsidR="00E836FB" w:rsidRDefault="00E836FB">
            <w:pPr>
              <w:rPr>
                <w:rFonts w:ascii="宋体"/>
              </w:rPr>
            </w:pPr>
          </w:p>
        </w:tc>
        <w:tc>
          <w:tcPr>
            <w:tcW w:w="50" w:type="pct"/>
            <w:shd w:val="clear" w:color="auto" w:fill="auto"/>
            <w:vAlign w:val="bottom"/>
          </w:tcPr>
          <w:p w14:paraId="5F2CE4FF" w14:textId="77777777" w:rsidR="00E836FB" w:rsidRDefault="00E836FB">
            <w:pPr>
              <w:rPr>
                <w:rFonts w:ascii="宋体"/>
              </w:rPr>
            </w:pPr>
          </w:p>
        </w:tc>
        <w:tc>
          <w:tcPr>
            <w:tcW w:w="431" w:type="pct"/>
            <w:shd w:val="clear" w:color="auto" w:fill="auto"/>
            <w:vAlign w:val="bottom"/>
          </w:tcPr>
          <w:p w14:paraId="5F2CE500" w14:textId="77777777" w:rsidR="00E836FB" w:rsidRDefault="00E836FB">
            <w:pPr>
              <w:rPr>
                <w:rFonts w:ascii="宋体"/>
              </w:rPr>
            </w:pPr>
          </w:p>
        </w:tc>
        <w:tc>
          <w:tcPr>
            <w:tcW w:w="5" w:type="pct"/>
            <w:shd w:val="clear" w:color="auto" w:fill="auto"/>
            <w:vAlign w:val="bottom"/>
          </w:tcPr>
          <w:p w14:paraId="5F2CE501" w14:textId="77777777" w:rsidR="00E836FB" w:rsidRDefault="00E836FB">
            <w:pPr>
              <w:rPr>
                <w:rFonts w:ascii="宋体"/>
              </w:rPr>
            </w:pPr>
          </w:p>
        </w:tc>
        <w:tc>
          <w:tcPr>
            <w:tcW w:w="5" w:type="pct"/>
            <w:shd w:val="clear" w:color="auto" w:fill="auto"/>
            <w:vAlign w:val="bottom"/>
          </w:tcPr>
          <w:p w14:paraId="5F2CE502" w14:textId="77777777" w:rsidR="00E836FB" w:rsidRDefault="00E836FB">
            <w:pPr>
              <w:rPr>
                <w:rFonts w:ascii="宋体"/>
              </w:rPr>
            </w:pPr>
          </w:p>
        </w:tc>
        <w:tc>
          <w:tcPr>
            <w:tcW w:w="19" w:type="pct"/>
            <w:shd w:val="clear" w:color="auto" w:fill="auto"/>
            <w:vAlign w:val="bottom"/>
          </w:tcPr>
          <w:p w14:paraId="5F2CE503" w14:textId="77777777" w:rsidR="00E836FB" w:rsidRDefault="00E836FB">
            <w:pPr>
              <w:rPr>
                <w:rFonts w:ascii="宋体"/>
              </w:rPr>
            </w:pPr>
          </w:p>
        </w:tc>
        <w:tc>
          <w:tcPr>
            <w:tcW w:w="5" w:type="pct"/>
            <w:shd w:val="clear" w:color="auto" w:fill="auto"/>
            <w:vAlign w:val="bottom"/>
          </w:tcPr>
          <w:p w14:paraId="5F2CE504" w14:textId="77777777" w:rsidR="00E836FB" w:rsidRDefault="00E836FB">
            <w:pPr>
              <w:rPr>
                <w:rFonts w:ascii="宋体"/>
              </w:rPr>
            </w:pPr>
          </w:p>
        </w:tc>
        <w:tc>
          <w:tcPr>
            <w:tcW w:w="50" w:type="pct"/>
            <w:shd w:val="clear" w:color="auto" w:fill="auto"/>
            <w:vAlign w:val="bottom"/>
          </w:tcPr>
          <w:p w14:paraId="5F2CE505" w14:textId="77777777" w:rsidR="00E836FB" w:rsidRDefault="00E836FB">
            <w:pPr>
              <w:rPr>
                <w:rFonts w:ascii="宋体"/>
              </w:rPr>
            </w:pPr>
          </w:p>
        </w:tc>
        <w:tc>
          <w:tcPr>
            <w:tcW w:w="344" w:type="pct"/>
            <w:shd w:val="clear" w:color="auto" w:fill="auto"/>
            <w:vAlign w:val="bottom"/>
          </w:tcPr>
          <w:p w14:paraId="5F2CE506" w14:textId="77777777" w:rsidR="00E836FB" w:rsidRDefault="00E836FB">
            <w:pPr>
              <w:rPr>
                <w:rFonts w:ascii="宋体"/>
              </w:rPr>
            </w:pPr>
          </w:p>
        </w:tc>
        <w:tc>
          <w:tcPr>
            <w:tcW w:w="5" w:type="pct"/>
            <w:shd w:val="clear" w:color="auto" w:fill="auto"/>
            <w:vAlign w:val="bottom"/>
          </w:tcPr>
          <w:p w14:paraId="5F2CE507" w14:textId="77777777" w:rsidR="00E836FB" w:rsidRDefault="00E836FB">
            <w:pPr>
              <w:rPr>
                <w:rFonts w:ascii="宋体"/>
              </w:rPr>
            </w:pPr>
          </w:p>
        </w:tc>
        <w:tc>
          <w:tcPr>
            <w:tcW w:w="5" w:type="pct"/>
            <w:shd w:val="clear" w:color="auto" w:fill="auto"/>
            <w:vAlign w:val="bottom"/>
          </w:tcPr>
          <w:p w14:paraId="5F2CE508" w14:textId="77777777" w:rsidR="00E836FB" w:rsidRDefault="00E836FB">
            <w:pPr>
              <w:rPr>
                <w:rFonts w:ascii="宋体"/>
              </w:rPr>
            </w:pPr>
          </w:p>
        </w:tc>
        <w:tc>
          <w:tcPr>
            <w:tcW w:w="19" w:type="pct"/>
            <w:shd w:val="clear" w:color="auto" w:fill="auto"/>
            <w:vAlign w:val="bottom"/>
          </w:tcPr>
          <w:p w14:paraId="5F2CE509" w14:textId="77777777" w:rsidR="00E836FB" w:rsidRDefault="00E836FB">
            <w:pPr>
              <w:rPr>
                <w:rFonts w:ascii="宋体"/>
              </w:rPr>
            </w:pPr>
          </w:p>
        </w:tc>
        <w:tc>
          <w:tcPr>
            <w:tcW w:w="5" w:type="pct"/>
            <w:shd w:val="clear" w:color="auto" w:fill="auto"/>
            <w:vAlign w:val="bottom"/>
          </w:tcPr>
          <w:p w14:paraId="5F2CE50A" w14:textId="77777777" w:rsidR="00E836FB" w:rsidRDefault="00E836FB">
            <w:pPr>
              <w:rPr>
                <w:rFonts w:ascii="宋体"/>
              </w:rPr>
            </w:pPr>
          </w:p>
        </w:tc>
        <w:tc>
          <w:tcPr>
            <w:tcW w:w="50" w:type="pct"/>
            <w:shd w:val="clear" w:color="auto" w:fill="auto"/>
            <w:vAlign w:val="bottom"/>
          </w:tcPr>
          <w:p w14:paraId="5F2CE50B" w14:textId="77777777" w:rsidR="00E836FB" w:rsidRDefault="00E836FB">
            <w:pPr>
              <w:rPr>
                <w:rFonts w:ascii="宋体"/>
              </w:rPr>
            </w:pPr>
          </w:p>
        </w:tc>
        <w:tc>
          <w:tcPr>
            <w:tcW w:w="373" w:type="pct"/>
            <w:shd w:val="clear" w:color="auto" w:fill="auto"/>
            <w:vAlign w:val="bottom"/>
          </w:tcPr>
          <w:p w14:paraId="5F2CE50C" w14:textId="77777777" w:rsidR="00E836FB" w:rsidRDefault="00E836FB">
            <w:pPr>
              <w:rPr>
                <w:rFonts w:ascii="宋体"/>
              </w:rPr>
            </w:pPr>
          </w:p>
        </w:tc>
        <w:tc>
          <w:tcPr>
            <w:tcW w:w="5" w:type="pct"/>
            <w:shd w:val="clear" w:color="auto" w:fill="auto"/>
            <w:vAlign w:val="bottom"/>
          </w:tcPr>
          <w:p w14:paraId="5F2CE50D" w14:textId="77777777" w:rsidR="00E836FB" w:rsidRDefault="00E836FB">
            <w:pPr>
              <w:rPr>
                <w:rFonts w:ascii="宋体"/>
              </w:rPr>
            </w:pPr>
          </w:p>
        </w:tc>
        <w:tc>
          <w:tcPr>
            <w:tcW w:w="5" w:type="pct"/>
            <w:shd w:val="clear" w:color="auto" w:fill="auto"/>
            <w:vAlign w:val="bottom"/>
          </w:tcPr>
          <w:p w14:paraId="5F2CE50E" w14:textId="77777777" w:rsidR="00E836FB" w:rsidRDefault="00E836FB">
            <w:pPr>
              <w:rPr>
                <w:rFonts w:ascii="宋体"/>
              </w:rPr>
            </w:pPr>
          </w:p>
        </w:tc>
        <w:tc>
          <w:tcPr>
            <w:tcW w:w="19" w:type="pct"/>
            <w:shd w:val="clear" w:color="auto" w:fill="auto"/>
            <w:vAlign w:val="bottom"/>
          </w:tcPr>
          <w:p w14:paraId="5F2CE50F" w14:textId="77777777" w:rsidR="00E836FB" w:rsidRDefault="00E836FB">
            <w:pPr>
              <w:rPr>
                <w:rFonts w:ascii="宋体"/>
              </w:rPr>
            </w:pPr>
          </w:p>
        </w:tc>
        <w:tc>
          <w:tcPr>
            <w:tcW w:w="5" w:type="pct"/>
            <w:shd w:val="clear" w:color="auto" w:fill="auto"/>
            <w:vAlign w:val="bottom"/>
          </w:tcPr>
          <w:p w14:paraId="5F2CE510" w14:textId="77777777" w:rsidR="00E836FB" w:rsidRDefault="00E836FB">
            <w:pPr>
              <w:rPr>
                <w:rFonts w:ascii="宋体"/>
              </w:rPr>
            </w:pPr>
          </w:p>
        </w:tc>
        <w:tc>
          <w:tcPr>
            <w:tcW w:w="50" w:type="pct"/>
            <w:shd w:val="clear" w:color="auto" w:fill="auto"/>
            <w:vAlign w:val="bottom"/>
          </w:tcPr>
          <w:p w14:paraId="5F2CE511" w14:textId="77777777" w:rsidR="00E836FB" w:rsidRDefault="00E836FB">
            <w:pPr>
              <w:rPr>
                <w:rFonts w:ascii="宋体"/>
              </w:rPr>
            </w:pPr>
          </w:p>
        </w:tc>
        <w:tc>
          <w:tcPr>
            <w:tcW w:w="344" w:type="pct"/>
            <w:shd w:val="clear" w:color="auto" w:fill="auto"/>
            <w:vAlign w:val="bottom"/>
          </w:tcPr>
          <w:p w14:paraId="5F2CE512" w14:textId="77777777" w:rsidR="00E836FB" w:rsidRDefault="00E836FB">
            <w:pPr>
              <w:rPr>
                <w:rFonts w:ascii="宋体"/>
              </w:rPr>
            </w:pPr>
          </w:p>
        </w:tc>
        <w:tc>
          <w:tcPr>
            <w:tcW w:w="5" w:type="pct"/>
            <w:shd w:val="clear" w:color="auto" w:fill="auto"/>
            <w:vAlign w:val="bottom"/>
          </w:tcPr>
          <w:p w14:paraId="5F2CE513" w14:textId="77777777" w:rsidR="00E836FB" w:rsidRDefault="00E836FB">
            <w:pPr>
              <w:rPr>
                <w:rFonts w:ascii="宋体"/>
              </w:rPr>
            </w:pPr>
          </w:p>
        </w:tc>
        <w:tc>
          <w:tcPr>
            <w:tcW w:w="5" w:type="pct"/>
            <w:shd w:val="clear" w:color="auto" w:fill="auto"/>
            <w:vAlign w:val="bottom"/>
          </w:tcPr>
          <w:p w14:paraId="5F2CE514" w14:textId="77777777" w:rsidR="00E836FB" w:rsidRDefault="00E836FB">
            <w:pPr>
              <w:rPr>
                <w:rFonts w:ascii="宋体"/>
              </w:rPr>
            </w:pPr>
          </w:p>
        </w:tc>
        <w:tc>
          <w:tcPr>
            <w:tcW w:w="19" w:type="pct"/>
            <w:shd w:val="clear" w:color="auto" w:fill="auto"/>
            <w:vAlign w:val="bottom"/>
          </w:tcPr>
          <w:p w14:paraId="5F2CE515" w14:textId="77777777" w:rsidR="00E836FB" w:rsidRDefault="00E836FB">
            <w:pPr>
              <w:rPr>
                <w:rFonts w:ascii="宋体"/>
              </w:rPr>
            </w:pPr>
          </w:p>
        </w:tc>
        <w:tc>
          <w:tcPr>
            <w:tcW w:w="5" w:type="pct"/>
            <w:shd w:val="clear" w:color="auto" w:fill="auto"/>
            <w:vAlign w:val="bottom"/>
          </w:tcPr>
          <w:p w14:paraId="5F2CE516" w14:textId="77777777" w:rsidR="00E836FB" w:rsidRDefault="00E836FB">
            <w:pPr>
              <w:rPr>
                <w:rFonts w:ascii="宋体"/>
              </w:rPr>
            </w:pPr>
          </w:p>
        </w:tc>
        <w:tc>
          <w:tcPr>
            <w:tcW w:w="50" w:type="pct"/>
            <w:shd w:val="clear" w:color="auto" w:fill="auto"/>
            <w:vAlign w:val="bottom"/>
          </w:tcPr>
          <w:p w14:paraId="5F2CE517" w14:textId="77777777" w:rsidR="00E836FB" w:rsidRDefault="00E836FB">
            <w:pPr>
              <w:rPr>
                <w:rFonts w:ascii="宋体"/>
              </w:rPr>
            </w:pPr>
          </w:p>
        </w:tc>
        <w:tc>
          <w:tcPr>
            <w:tcW w:w="381" w:type="pct"/>
            <w:shd w:val="clear" w:color="auto" w:fill="auto"/>
            <w:vAlign w:val="bottom"/>
          </w:tcPr>
          <w:p w14:paraId="5F2CE518" w14:textId="77777777" w:rsidR="00E836FB" w:rsidRDefault="00E836FB">
            <w:pPr>
              <w:rPr>
                <w:rFonts w:ascii="宋体"/>
              </w:rPr>
            </w:pPr>
          </w:p>
        </w:tc>
        <w:tc>
          <w:tcPr>
            <w:tcW w:w="5" w:type="pct"/>
            <w:shd w:val="clear" w:color="auto" w:fill="auto"/>
            <w:vAlign w:val="bottom"/>
          </w:tcPr>
          <w:p w14:paraId="5F2CE519" w14:textId="77777777" w:rsidR="00E836FB" w:rsidRDefault="00E836FB">
            <w:pPr>
              <w:rPr>
                <w:rFonts w:ascii="宋体"/>
              </w:rPr>
            </w:pPr>
          </w:p>
        </w:tc>
        <w:tc>
          <w:tcPr>
            <w:tcW w:w="5" w:type="pct"/>
            <w:shd w:val="clear" w:color="auto" w:fill="auto"/>
            <w:vAlign w:val="bottom"/>
          </w:tcPr>
          <w:p w14:paraId="5F2CE51A" w14:textId="77777777" w:rsidR="00E836FB" w:rsidRDefault="00E836FB">
            <w:pPr>
              <w:rPr>
                <w:rFonts w:ascii="宋体"/>
              </w:rPr>
            </w:pPr>
          </w:p>
        </w:tc>
        <w:tc>
          <w:tcPr>
            <w:tcW w:w="19" w:type="pct"/>
            <w:shd w:val="clear" w:color="auto" w:fill="auto"/>
            <w:vAlign w:val="bottom"/>
          </w:tcPr>
          <w:p w14:paraId="5F2CE51B" w14:textId="77777777" w:rsidR="00E836FB" w:rsidRDefault="00E836FB">
            <w:pPr>
              <w:rPr>
                <w:rFonts w:ascii="宋体"/>
              </w:rPr>
            </w:pPr>
          </w:p>
        </w:tc>
        <w:tc>
          <w:tcPr>
            <w:tcW w:w="5" w:type="pct"/>
            <w:shd w:val="clear" w:color="auto" w:fill="auto"/>
            <w:vAlign w:val="bottom"/>
          </w:tcPr>
          <w:p w14:paraId="5F2CE51C" w14:textId="77777777" w:rsidR="00E836FB" w:rsidRDefault="00E836FB">
            <w:pPr>
              <w:rPr>
                <w:rFonts w:ascii="宋体"/>
              </w:rPr>
            </w:pPr>
          </w:p>
        </w:tc>
        <w:tc>
          <w:tcPr>
            <w:tcW w:w="50" w:type="pct"/>
            <w:shd w:val="clear" w:color="auto" w:fill="auto"/>
            <w:vAlign w:val="bottom"/>
          </w:tcPr>
          <w:p w14:paraId="5F2CE51D" w14:textId="77777777" w:rsidR="00E836FB" w:rsidRDefault="00E836FB">
            <w:pPr>
              <w:rPr>
                <w:rFonts w:ascii="宋体"/>
              </w:rPr>
            </w:pPr>
          </w:p>
        </w:tc>
        <w:tc>
          <w:tcPr>
            <w:tcW w:w="330" w:type="pct"/>
            <w:shd w:val="clear" w:color="auto" w:fill="auto"/>
            <w:vAlign w:val="bottom"/>
          </w:tcPr>
          <w:p w14:paraId="5F2CE51E" w14:textId="77777777" w:rsidR="00E836FB" w:rsidRDefault="00E836FB">
            <w:pPr>
              <w:rPr>
                <w:rFonts w:ascii="宋体"/>
              </w:rPr>
            </w:pPr>
          </w:p>
        </w:tc>
        <w:tc>
          <w:tcPr>
            <w:tcW w:w="5" w:type="pct"/>
            <w:shd w:val="clear" w:color="auto" w:fill="auto"/>
            <w:vAlign w:val="bottom"/>
          </w:tcPr>
          <w:p w14:paraId="5F2CE51F" w14:textId="77777777" w:rsidR="00E836FB" w:rsidRDefault="00E836FB">
            <w:pPr>
              <w:rPr>
                <w:rFonts w:ascii="宋体"/>
              </w:rPr>
            </w:pPr>
          </w:p>
        </w:tc>
        <w:tc>
          <w:tcPr>
            <w:tcW w:w="5" w:type="pct"/>
            <w:shd w:val="clear" w:color="auto" w:fill="auto"/>
            <w:vAlign w:val="bottom"/>
          </w:tcPr>
          <w:p w14:paraId="5F2CE520" w14:textId="77777777" w:rsidR="00E836FB" w:rsidRDefault="00E836FB">
            <w:pPr>
              <w:rPr>
                <w:rFonts w:ascii="宋体"/>
              </w:rPr>
            </w:pPr>
          </w:p>
        </w:tc>
        <w:tc>
          <w:tcPr>
            <w:tcW w:w="19" w:type="pct"/>
            <w:shd w:val="clear" w:color="auto" w:fill="auto"/>
            <w:vAlign w:val="bottom"/>
          </w:tcPr>
          <w:p w14:paraId="5F2CE521" w14:textId="77777777" w:rsidR="00E836FB" w:rsidRDefault="00E836FB">
            <w:pPr>
              <w:rPr>
                <w:rFonts w:ascii="宋体"/>
              </w:rPr>
            </w:pPr>
          </w:p>
        </w:tc>
        <w:tc>
          <w:tcPr>
            <w:tcW w:w="5" w:type="pct"/>
            <w:shd w:val="clear" w:color="auto" w:fill="auto"/>
            <w:vAlign w:val="bottom"/>
          </w:tcPr>
          <w:p w14:paraId="5F2CE522" w14:textId="77777777" w:rsidR="00E836FB" w:rsidRDefault="00E836FB">
            <w:pPr>
              <w:rPr>
                <w:rFonts w:ascii="宋体"/>
              </w:rPr>
            </w:pPr>
          </w:p>
        </w:tc>
        <w:tc>
          <w:tcPr>
            <w:tcW w:w="50" w:type="pct"/>
            <w:shd w:val="clear" w:color="auto" w:fill="auto"/>
            <w:vAlign w:val="bottom"/>
          </w:tcPr>
          <w:p w14:paraId="5F2CE523" w14:textId="77777777" w:rsidR="00E836FB" w:rsidRDefault="00E836FB">
            <w:pPr>
              <w:rPr>
                <w:rFonts w:ascii="宋体"/>
              </w:rPr>
            </w:pPr>
          </w:p>
        </w:tc>
        <w:tc>
          <w:tcPr>
            <w:tcW w:w="511" w:type="pct"/>
            <w:shd w:val="clear" w:color="auto" w:fill="auto"/>
            <w:vAlign w:val="bottom"/>
          </w:tcPr>
          <w:p w14:paraId="5F2CE524" w14:textId="77777777" w:rsidR="00E836FB" w:rsidRDefault="00E836FB">
            <w:pPr>
              <w:rPr>
                <w:rFonts w:ascii="宋体"/>
              </w:rPr>
            </w:pPr>
          </w:p>
        </w:tc>
        <w:tc>
          <w:tcPr>
            <w:tcW w:w="5" w:type="pct"/>
            <w:shd w:val="clear" w:color="auto" w:fill="auto"/>
            <w:vAlign w:val="bottom"/>
          </w:tcPr>
          <w:p w14:paraId="5F2CE525" w14:textId="77777777" w:rsidR="00E836FB" w:rsidRDefault="00E836FB">
            <w:pPr>
              <w:rPr>
                <w:rFonts w:ascii="宋体"/>
              </w:rPr>
            </w:pPr>
          </w:p>
        </w:tc>
        <w:tc>
          <w:tcPr>
            <w:tcW w:w="5" w:type="pct"/>
            <w:shd w:val="clear" w:color="auto" w:fill="auto"/>
            <w:vAlign w:val="bottom"/>
          </w:tcPr>
          <w:p w14:paraId="5F2CE526" w14:textId="77777777" w:rsidR="00E836FB" w:rsidRDefault="00E836FB">
            <w:pPr>
              <w:rPr>
                <w:rFonts w:ascii="宋体"/>
              </w:rPr>
            </w:pPr>
          </w:p>
        </w:tc>
        <w:tc>
          <w:tcPr>
            <w:tcW w:w="19" w:type="pct"/>
            <w:shd w:val="clear" w:color="auto" w:fill="auto"/>
            <w:vAlign w:val="bottom"/>
          </w:tcPr>
          <w:p w14:paraId="5F2CE527" w14:textId="77777777" w:rsidR="00E836FB" w:rsidRDefault="00E836FB">
            <w:pPr>
              <w:rPr>
                <w:rFonts w:ascii="宋体"/>
              </w:rPr>
            </w:pPr>
          </w:p>
        </w:tc>
        <w:tc>
          <w:tcPr>
            <w:tcW w:w="5" w:type="pct"/>
            <w:shd w:val="clear" w:color="auto" w:fill="auto"/>
            <w:vAlign w:val="bottom"/>
          </w:tcPr>
          <w:p w14:paraId="5F2CE528" w14:textId="77777777" w:rsidR="00E836FB" w:rsidRDefault="00E836FB">
            <w:pPr>
              <w:rPr>
                <w:rFonts w:ascii="宋体"/>
              </w:rPr>
            </w:pPr>
          </w:p>
        </w:tc>
        <w:tc>
          <w:tcPr>
            <w:tcW w:w="50" w:type="pct"/>
            <w:shd w:val="clear" w:color="auto" w:fill="auto"/>
            <w:vAlign w:val="bottom"/>
          </w:tcPr>
          <w:p w14:paraId="5F2CE529" w14:textId="77777777" w:rsidR="00E836FB" w:rsidRDefault="00E836FB">
            <w:pPr>
              <w:rPr>
                <w:rFonts w:ascii="宋体"/>
              </w:rPr>
            </w:pPr>
          </w:p>
        </w:tc>
        <w:tc>
          <w:tcPr>
            <w:tcW w:w="373" w:type="pct"/>
            <w:shd w:val="clear" w:color="auto" w:fill="auto"/>
            <w:vAlign w:val="bottom"/>
          </w:tcPr>
          <w:p w14:paraId="5F2CE52A" w14:textId="77777777" w:rsidR="00E836FB" w:rsidRDefault="00E836FB">
            <w:pPr>
              <w:rPr>
                <w:rFonts w:ascii="宋体"/>
              </w:rPr>
            </w:pPr>
          </w:p>
        </w:tc>
        <w:tc>
          <w:tcPr>
            <w:tcW w:w="5" w:type="pct"/>
            <w:shd w:val="clear" w:color="auto" w:fill="auto"/>
            <w:vAlign w:val="bottom"/>
          </w:tcPr>
          <w:p w14:paraId="5F2CE52B" w14:textId="77777777" w:rsidR="00E836FB" w:rsidRDefault="00E836FB">
            <w:pPr>
              <w:rPr>
                <w:rFonts w:ascii="宋体"/>
              </w:rPr>
            </w:pPr>
          </w:p>
        </w:tc>
        <w:tc>
          <w:tcPr>
            <w:tcW w:w="5" w:type="pct"/>
            <w:shd w:val="clear" w:color="auto" w:fill="auto"/>
            <w:vAlign w:val="bottom"/>
          </w:tcPr>
          <w:p w14:paraId="5F2CE52C" w14:textId="77777777" w:rsidR="00E836FB" w:rsidRDefault="00E836FB">
            <w:pPr>
              <w:rPr>
                <w:rFonts w:ascii="宋体"/>
              </w:rPr>
            </w:pPr>
          </w:p>
        </w:tc>
        <w:tc>
          <w:tcPr>
            <w:tcW w:w="19" w:type="pct"/>
            <w:shd w:val="clear" w:color="auto" w:fill="auto"/>
            <w:vAlign w:val="bottom"/>
          </w:tcPr>
          <w:p w14:paraId="5F2CE52D" w14:textId="77777777" w:rsidR="00E836FB" w:rsidRDefault="00E836FB">
            <w:pPr>
              <w:rPr>
                <w:rFonts w:ascii="宋体"/>
              </w:rPr>
            </w:pPr>
          </w:p>
        </w:tc>
        <w:tc>
          <w:tcPr>
            <w:tcW w:w="5" w:type="pct"/>
            <w:shd w:val="clear" w:color="auto" w:fill="auto"/>
            <w:vAlign w:val="bottom"/>
          </w:tcPr>
          <w:p w14:paraId="5F2CE52E" w14:textId="77777777" w:rsidR="00E836FB" w:rsidRDefault="00E836FB">
            <w:pPr>
              <w:rPr>
                <w:rFonts w:ascii="宋体"/>
              </w:rPr>
            </w:pPr>
          </w:p>
        </w:tc>
        <w:tc>
          <w:tcPr>
            <w:tcW w:w="50" w:type="pct"/>
            <w:shd w:val="clear" w:color="auto" w:fill="auto"/>
            <w:vAlign w:val="bottom"/>
          </w:tcPr>
          <w:p w14:paraId="5F2CE52F" w14:textId="77777777" w:rsidR="00E836FB" w:rsidRDefault="00E836FB">
            <w:pPr>
              <w:rPr>
                <w:rFonts w:ascii="宋体"/>
              </w:rPr>
            </w:pPr>
          </w:p>
        </w:tc>
        <w:tc>
          <w:tcPr>
            <w:tcW w:w="322" w:type="pct"/>
            <w:shd w:val="clear" w:color="auto" w:fill="auto"/>
            <w:vAlign w:val="bottom"/>
          </w:tcPr>
          <w:p w14:paraId="5F2CE530" w14:textId="77777777" w:rsidR="00E836FB" w:rsidRDefault="00E836FB">
            <w:pPr>
              <w:rPr>
                <w:rFonts w:ascii="宋体"/>
              </w:rPr>
            </w:pPr>
          </w:p>
        </w:tc>
        <w:tc>
          <w:tcPr>
            <w:tcW w:w="5" w:type="pct"/>
            <w:shd w:val="clear" w:color="auto" w:fill="auto"/>
            <w:vAlign w:val="bottom"/>
          </w:tcPr>
          <w:p w14:paraId="5F2CE531" w14:textId="77777777" w:rsidR="00E836FB" w:rsidRDefault="00E836FB">
            <w:pPr>
              <w:rPr>
                <w:rFonts w:ascii="宋体"/>
              </w:rPr>
            </w:pPr>
          </w:p>
        </w:tc>
        <w:tc>
          <w:tcPr>
            <w:tcW w:w="5" w:type="pct"/>
            <w:shd w:val="clear" w:color="auto" w:fill="auto"/>
            <w:vAlign w:val="bottom"/>
          </w:tcPr>
          <w:p w14:paraId="5F2CE532" w14:textId="77777777" w:rsidR="00E836FB" w:rsidRDefault="00E836FB">
            <w:pPr>
              <w:rPr>
                <w:rFonts w:ascii="宋体"/>
              </w:rPr>
            </w:pPr>
          </w:p>
        </w:tc>
        <w:tc>
          <w:tcPr>
            <w:tcW w:w="19" w:type="pct"/>
            <w:shd w:val="clear" w:color="auto" w:fill="auto"/>
            <w:vAlign w:val="bottom"/>
          </w:tcPr>
          <w:p w14:paraId="5F2CE533" w14:textId="77777777" w:rsidR="00E836FB" w:rsidRDefault="00E836FB">
            <w:pPr>
              <w:rPr>
                <w:rFonts w:ascii="宋体"/>
              </w:rPr>
            </w:pPr>
          </w:p>
        </w:tc>
        <w:tc>
          <w:tcPr>
            <w:tcW w:w="5" w:type="pct"/>
            <w:shd w:val="clear" w:color="auto" w:fill="auto"/>
            <w:vAlign w:val="bottom"/>
          </w:tcPr>
          <w:p w14:paraId="5F2CE534" w14:textId="77777777" w:rsidR="00E836FB" w:rsidRDefault="00E836FB">
            <w:pPr>
              <w:rPr>
                <w:rFonts w:ascii="宋体"/>
              </w:rPr>
            </w:pPr>
          </w:p>
        </w:tc>
        <w:tc>
          <w:tcPr>
            <w:tcW w:w="50" w:type="pct"/>
            <w:shd w:val="clear" w:color="auto" w:fill="auto"/>
            <w:vAlign w:val="bottom"/>
          </w:tcPr>
          <w:p w14:paraId="5F2CE535" w14:textId="77777777" w:rsidR="00E836FB" w:rsidRDefault="00E836FB">
            <w:pPr>
              <w:rPr>
                <w:rFonts w:ascii="宋体"/>
              </w:rPr>
            </w:pPr>
          </w:p>
        </w:tc>
        <w:tc>
          <w:tcPr>
            <w:tcW w:w="381" w:type="pct"/>
            <w:shd w:val="clear" w:color="auto" w:fill="auto"/>
            <w:vAlign w:val="bottom"/>
          </w:tcPr>
          <w:p w14:paraId="5F2CE536" w14:textId="77777777" w:rsidR="00E836FB" w:rsidRDefault="00E836FB">
            <w:pPr>
              <w:rPr>
                <w:rFonts w:ascii="宋体"/>
              </w:rPr>
            </w:pPr>
          </w:p>
        </w:tc>
        <w:tc>
          <w:tcPr>
            <w:tcW w:w="5" w:type="pct"/>
            <w:shd w:val="clear" w:color="auto" w:fill="auto"/>
            <w:vAlign w:val="bottom"/>
          </w:tcPr>
          <w:p w14:paraId="5F2CE537" w14:textId="77777777" w:rsidR="00E836FB" w:rsidRDefault="00E836FB">
            <w:pPr>
              <w:rPr>
                <w:rFonts w:ascii="宋体"/>
              </w:rPr>
            </w:pPr>
          </w:p>
        </w:tc>
      </w:tr>
      <w:tr w:rsidR="00E836FB" w14:paraId="5F2CE53A" w14:textId="77777777">
        <w:tc>
          <w:tcPr>
            <w:tcW w:w="0" w:type="auto"/>
            <w:gridSpan w:val="63"/>
            <w:shd w:val="clear" w:color="auto" w:fill="auto"/>
            <w:tcMar>
              <w:top w:w="40" w:type="dxa"/>
              <w:left w:w="20" w:type="dxa"/>
              <w:bottom w:w="40" w:type="dxa"/>
              <w:right w:w="20" w:type="dxa"/>
            </w:tcMar>
            <w:vAlign w:val="bottom"/>
          </w:tcPr>
          <w:p w14:paraId="5F2CE539" w14:textId="77777777" w:rsidR="00E836FB" w:rsidRDefault="00994958">
            <w:pPr>
              <w:textAlignment w:val="bottom"/>
            </w:pPr>
            <w:r>
              <w:rPr>
                <w:rFonts w:ascii="Arial" w:eastAsia="宋体" w:hAnsi="Arial" w:cs="Arial"/>
                <w:b/>
                <w:bCs/>
                <w:color w:val="000000"/>
                <w:sz w:val="16"/>
                <w:szCs w:val="16"/>
              </w:rPr>
              <w:t>TABLE 46: PREFERRED STOCK ISSUED AND OUTSTANDING</w:t>
            </w:r>
          </w:p>
        </w:tc>
      </w:tr>
      <w:tr w:rsidR="00E836FB" w14:paraId="5F2CE550" w14:textId="77777777">
        <w:tc>
          <w:tcPr>
            <w:tcW w:w="0" w:type="auto"/>
            <w:gridSpan w:val="3"/>
            <w:shd w:val="clear" w:color="auto" w:fill="auto"/>
            <w:tcMar>
              <w:top w:w="40" w:type="dxa"/>
              <w:left w:w="20" w:type="dxa"/>
              <w:bottom w:w="40" w:type="dxa"/>
              <w:right w:w="20" w:type="dxa"/>
            </w:tcMar>
            <w:vAlign w:val="bottom"/>
          </w:tcPr>
          <w:p w14:paraId="5F2CE53B" w14:textId="77777777" w:rsidR="00E836FB" w:rsidRDefault="00994958">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5F2CE53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3D" w14:textId="77777777" w:rsidR="00E836FB" w:rsidRDefault="00994958">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5F2CE53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3F" w14:textId="77777777" w:rsidR="00E836FB" w:rsidRDefault="00994958">
            <w:pPr>
              <w:jc w:val="center"/>
              <w:textAlignment w:val="bottom"/>
            </w:pPr>
            <w:r>
              <w:rPr>
                <w:rFonts w:ascii="Arial" w:eastAsia="宋体" w:hAnsi="Arial" w:cs="Arial"/>
                <w:b/>
                <w:bCs/>
                <w:color w:val="000000"/>
                <w:sz w:val="12"/>
                <w:szCs w:val="12"/>
              </w:rPr>
              <w:t xml:space="preserve">Depositary </w:t>
            </w:r>
            <w:r>
              <w:rPr>
                <w:rFonts w:ascii="Arial" w:eastAsia="宋体" w:hAnsi="Arial" w:cs="Arial"/>
                <w:b/>
                <w:bCs/>
                <w:color w:val="000000"/>
                <w:sz w:val="12"/>
                <w:szCs w:val="12"/>
              </w:rPr>
              <w:t>Shares Issued</w:t>
            </w:r>
          </w:p>
        </w:tc>
        <w:tc>
          <w:tcPr>
            <w:tcW w:w="0" w:type="auto"/>
            <w:gridSpan w:val="3"/>
            <w:shd w:val="clear" w:color="auto" w:fill="auto"/>
            <w:tcMar>
              <w:top w:w="0" w:type="dxa"/>
              <w:left w:w="20" w:type="dxa"/>
              <w:bottom w:w="0" w:type="dxa"/>
              <w:right w:w="20" w:type="dxa"/>
            </w:tcMar>
            <w:vAlign w:val="bottom"/>
          </w:tcPr>
          <w:p w14:paraId="5F2CE54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1" w14:textId="77777777" w:rsidR="00E836FB" w:rsidRDefault="00994958">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vAlign w:val="bottom"/>
          </w:tcPr>
          <w:p w14:paraId="5F2CE54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3" w14:textId="77777777" w:rsidR="00E836FB" w:rsidRDefault="00994958">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5F2CE54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5" w14:textId="77777777" w:rsidR="00E836FB" w:rsidRDefault="00994958">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5F2CE54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7" w14:textId="77777777" w:rsidR="00E836FB" w:rsidRDefault="00994958">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5F2CE54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9" w14:textId="77777777" w:rsidR="00E836FB" w:rsidRDefault="00994958">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5F2CE54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B" w14:textId="77777777" w:rsidR="00E836FB" w:rsidRDefault="00994958">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5F2CE54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D" w14:textId="77777777" w:rsidR="00E836FB" w:rsidRDefault="00994958">
            <w:pPr>
              <w:jc w:val="center"/>
              <w:textAlignment w:val="bottom"/>
            </w:pPr>
            <w:r>
              <w:rPr>
                <w:rFonts w:ascii="Arial" w:eastAsia="宋体" w:hAnsi="Arial" w:cs="Arial"/>
                <w:b/>
                <w:bCs/>
                <w:color w:val="000000"/>
                <w:sz w:val="12"/>
                <w:szCs w:val="12"/>
              </w:rPr>
              <w:t xml:space="preserve">Carrying Value as of December 31, 2021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5F2CE54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54F" w14:textId="77777777" w:rsidR="00E836FB" w:rsidRDefault="00994958">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E836FB" w14:paraId="5F2CE566" w14:textId="77777777">
        <w:trPr>
          <w:hidden/>
        </w:trPr>
        <w:tc>
          <w:tcPr>
            <w:tcW w:w="0" w:type="auto"/>
            <w:gridSpan w:val="3"/>
            <w:shd w:val="clear" w:color="auto" w:fill="auto"/>
            <w:vAlign w:val="bottom"/>
          </w:tcPr>
          <w:p w14:paraId="5F2CE551" w14:textId="77777777" w:rsidR="00E836FB" w:rsidRDefault="00E836FB">
            <w:pPr>
              <w:rPr>
                <w:rFonts w:ascii="宋体"/>
                <w:vanish/>
              </w:rPr>
            </w:pPr>
          </w:p>
        </w:tc>
        <w:tc>
          <w:tcPr>
            <w:tcW w:w="0" w:type="auto"/>
            <w:gridSpan w:val="3"/>
            <w:shd w:val="clear" w:color="auto" w:fill="auto"/>
            <w:vAlign w:val="bottom"/>
          </w:tcPr>
          <w:p w14:paraId="5F2CE552" w14:textId="77777777" w:rsidR="00E836FB" w:rsidRDefault="00E836FB">
            <w:pPr>
              <w:rPr>
                <w:rFonts w:ascii="宋体"/>
                <w:vanish/>
              </w:rPr>
            </w:pPr>
          </w:p>
        </w:tc>
        <w:tc>
          <w:tcPr>
            <w:tcW w:w="0" w:type="auto"/>
            <w:gridSpan w:val="3"/>
            <w:shd w:val="clear" w:color="auto" w:fill="auto"/>
            <w:vAlign w:val="bottom"/>
          </w:tcPr>
          <w:p w14:paraId="5F2CE553" w14:textId="77777777" w:rsidR="00E836FB" w:rsidRDefault="00E836FB">
            <w:pPr>
              <w:rPr>
                <w:rFonts w:ascii="宋体"/>
                <w:vanish/>
              </w:rPr>
            </w:pPr>
          </w:p>
        </w:tc>
        <w:tc>
          <w:tcPr>
            <w:tcW w:w="0" w:type="auto"/>
            <w:gridSpan w:val="3"/>
            <w:shd w:val="clear" w:color="auto" w:fill="auto"/>
            <w:vAlign w:val="bottom"/>
          </w:tcPr>
          <w:p w14:paraId="5F2CE554" w14:textId="77777777" w:rsidR="00E836FB" w:rsidRDefault="00E836FB">
            <w:pPr>
              <w:rPr>
                <w:rFonts w:ascii="宋体"/>
                <w:vanish/>
              </w:rPr>
            </w:pPr>
          </w:p>
        </w:tc>
        <w:tc>
          <w:tcPr>
            <w:tcW w:w="0" w:type="auto"/>
            <w:gridSpan w:val="3"/>
            <w:shd w:val="clear" w:color="auto" w:fill="auto"/>
            <w:vAlign w:val="bottom"/>
          </w:tcPr>
          <w:p w14:paraId="5F2CE555" w14:textId="77777777" w:rsidR="00E836FB" w:rsidRDefault="00E836FB">
            <w:pPr>
              <w:rPr>
                <w:rFonts w:ascii="宋体"/>
                <w:vanish/>
              </w:rPr>
            </w:pPr>
          </w:p>
        </w:tc>
        <w:tc>
          <w:tcPr>
            <w:tcW w:w="0" w:type="auto"/>
            <w:gridSpan w:val="3"/>
            <w:shd w:val="clear" w:color="auto" w:fill="auto"/>
            <w:vAlign w:val="bottom"/>
          </w:tcPr>
          <w:p w14:paraId="5F2CE556" w14:textId="77777777" w:rsidR="00E836FB" w:rsidRDefault="00E836FB">
            <w:pPr>
              <w:rPr>
                <w:rFonts w:ascii="宋体"/>
                <w:vanish/>
              </w:rPr>
            </w:pPr>
          </w:p>
        </w:tc>
        <w:tc>
          <w:tcPr>
            <w:tcW w:w="0" w:type="auto"/>
            <w:gridSpan w:val="3"/>
            <w:shd w:val="clear" w:color="auto" w:fill="auto"/>
            <w:vAlign w:val="bottom"/>
          </w:tcPr>
          <w:p w14:paraId="5F2CE557" w14:textId="77777777" w:rsidR="00E836FB" w:rsidRDefault="00E836FB">
            <w:pPr>
              <w:rPr>
                <w:rFonts w:ascii="宋体"/>
                <w:vanish/>
              </w:rPr>
            </w:pPr>
          </w:p>
        </w:tc>
        <w:tc>
          <w:tcPr>
            <w:tcW w:w="0" w:type="auto"/>
            <w:gridSpan w:val="3"/>
            <w:shd w:val="clear" w:color="auto" w:fill="auto"/>
            <w:vAlign w:val="bottom"/>
          </w:tcPr>
          <w:p w14:paraId="5F2CE558" w14:textId="77777777" w:rsidR="00E836FB" w:rsidRDefault="00E836FB">
            <w:pPr>
              <w:rPr>
                <w:rFonts w:ascii="宋体"/>
                <w:vanish/>
              </w:rPr>
            </w:pPr>
          </w:p>
        </w:tc>
        <w:tc>
          <w:tcPr>
            <w:tcW w:w="0" w:type="auto"/>
            <w:gridSpan w:val="3"/>
            <w:shd w:val="clear" w:color="auto" w:fill="auto"/>
            <w:vAlign w:val="bottom"/>
          </w:tcPr>
          <w:p w14:paraId="5F2CE559" w14:textId="77777777" w:rsidR="00E836FB" w:rsidRDefault="00E836FB">
            <w:pPr>
              <w:rPr>
                <w:rFonts w:ascii="宋体"/>
                <w:vanish/>
              </w:rPr>
            </w:pPr>
          </w:p>
        </w:tc>
        <w:tc>
          <w:tcPr>
            <w:tcW w:w="0" w:type="auto"/>
            <w:gridSpan w:val="3"/>
            <w:shd w:val="clear" w:color="auto" w:fill="auto"/>
            <w:vAlign w:val="bottom"/>
          </w:tcPr>
          <w:p w14:paraId="5F2CE55A" w14:textId="77777777" w:rsidR="00E836FB" w:rsidRDefault="00E836FB">
            <w:pPr>
              <w:rPr>
                <w:rFonts w:ascii="宋体"/>
                <w:vanish/>
              </w:rPr>
            </w:pPr>
          </w:p>
        </w:tc>
        <w:tc>
          <w:tcPr>
            <w:tcW w:w="0" w:type="auto"/>
            <w:gridSpan w:val="3"/>
            <w:shd w:val="clear" w:color="auto" w:fill="auto"/>
            <w:vAlign w:val="bottom"/>
          </w:tcPr>
          <w:p w14:paraId="5F2CE55B" w14:textId="77777777" w:rsidR="00E836FB" w:rsidRDefault="00E836FB">
            <w:pPr>
              <w:rPr>
                <w:rFonts w:ascii="宋体"/>
                <w:vanish/>
              </w:rPr>
            </w:pPr>
          </w:p>
        </w:tc>
        <w:tc>
          <w:tcPr>
            <w:tcW w:w="0" w:type="auto"/>
            <w:gridSpan w:val="3"/>
            <w:shd w:val="clear" w:color="auto" w:fill="auto"/>
            <w:vAlign w:val="bottom"/>
          </w:tcPr>
          <w:p w14:paraId="5F2CE55C" w14:textId="77777777" w:rsidR="00E836FB" w:rsidRDefault="00E836FB">
            <w:pPr>
              <w:rPr>
                <w:rFonts w:ascii="宋体"/>
                <w:vanish/>
              </w:rPr>
            </w:pPr>
          </w:p>
        </w:tc>
        <w:tc>
          <w:tcPr>
            <w:tcW w:w="0" w:type="auto"/>
            <w:gridSpan w:val="3"/>
            <w:shd w:val="clear" w:color="auto" w:fill="auto"/>
            <w:vAlign w:val="bottom"/>
          </w:tcPr>
          <w:p w14:paraId="5F2CE55D" w14:textId="77777777" w:rsidR="00E836FB" w:rsidRDefault="00E836FB">
            <w:pPr>
              <w:rPr>
                <w:rFonts w:ascii="宋体"/>
                <w:vanish/>
              </w:rPr>
            </w:pPr>
          </w:p>
        </w:tc>
        <w:tc>
          <w:tcPr>
            <w:tcW w:w="0" w:type="auto"/>
            <w:gridSpan w:val="3"/>
            <w:shd w:val="clear" w:color="auto" w:fill="auto"/>
            <w:vAlign w:val="bottom"/>
          </w:tcPr>
          <w:p w14:paraId="5F2CE55E" w14:textId="77777777" w:rsidR="00E836FB" w:rsidRDefault="00E836FB">
            <w:pPr>
              <w:rPr>
                <w:rFonts w:ascii="宋体"/>
                <w:vanish/>
              </w:rPr>
            </w:pPr>
          </w:p>
        </w:tc>
        <w:tc>
          <w:tcPr>
            <w:tcW w:w="0" w:type="auto"/>
            <w:gridSpan w:val="3"/>
            <w:shd w:val="clear" w:color="auto" w:fill="auto"/>
            <w:vAlign w:val="bottom"/>
          </w:tcPr>
          <w:p w14:paraId="5F2CE55F" w14:textId="77777777" w:rsidR="00E836FB" w:rsidRDefault="00E836FB">
            <w:pPr>
              <w:rPr>
                <w:rFonts w:ascii="宋体"/>
                <w:vanish/>
              </w:rPr>
            </w:pPr>
          </w:p>
        </w:tc>
        <w:tc>
          <w:tcPr>
            <w:tcW w:w="0" w:type="auto"/>
            <w:gridSpan w:val="3"/>
            <w:shd w:val="clear" w:color="auto" w:fill="auto"/>
            <w:vAlign w:val="bottom"/>
          </w:tcPr>
          <w:p w14:paraId="5F2CE560" w14:textId="77777777" w:rsidR="00E836FB" w:rsidRDefault="00E836FB">
            <w:pPr>
              <w:rPr>
                <w:rFonts w:ascii="宋体"/>
                <w:vanish/>
              </w:rPr>
            </w:pPr>
          </w:p>
        </w:tc>
        <w:tc>
          <w:tcPr>
            <w:tcW w:w="0" w:type="auto"/>
            <w:gridSpan w:val="3"/>
            <w:shd w:val="clear" w:color="auto" w:fill="auto"/>
            <w:vAlign w:val="bottom"/>
          </w:tcPr>
          <w:p w14:paraId="5F2CE561" w14:textId="77777777" w:rsidR="00E836FB" w:rsidRDefault="00E836FB">
            <w:pPr>
              <w:rPr>
                <w:rFonts w:ascii="宋体"/>
                <w:vanish/>
              </w:rPr>
            </w:pPr>
          </w:p>
        </w:tc>
        <w:tc>
          <w:tcPr>
            <w:tcW w:w="0" w:type="auto"/>
            <w:gridSpan w:val="3"/>
            <w:shd w:val="clear" w:color="auto" w:fill="auto"/>
            <w:vAlign w:val="bottom"/>
          </w:tcPr>
          <w:p w14:paraId="5F2CE562" w14:textId="77777777" w:rsidR="00E836FB" w:rsidRDefault="00E836FB">
            <w:pPr>
              <w:rPr>
                <w:rFonts w:ascii="宋体"/>
                <w:vanish/>
              </w:rPr>
            </w:pPr>
          </w:p>
        </w:tc>
        <w:tc>
          <w:tcPr>
            <w:tcW w:w="0" w:type="auto"/>
            <w:gridSpan w:val="3"/>
            <w:shd w:val="clear" w:color="auto" w:fill="auto"/>
            <w:vAlign w:val="bottom"/>
          </w:tcPr>
          <w:p w14:paraId="5F2CE563" w14:textId="77777777" w:rsidR="00E836FB" w:rsidRDefault="00E836FB">
            <w:pPr>
              <w:rPr>
                <w:rFonts w:ascii="宋体"/>
                <w:vanish/>
              </w:rPr>
            </w:pPr>
          </w:p>
        </w:tc>
        <w:tc>
          <w:tcPr>
            <w:tcW w:w="0" w:type="auto"/>
            <w:gridSpan w:val="3"/>
            <w:shd w:val="clear" w:color="auto" w:fill="auto"/>
            <w:vAlign w:val="bottom"/>
          </w:tcPr>
          <w:p w14:paraId="5F2CE564" w14:textId="77777777" w:rsidR="00E836FB" w:rsidRDefault="00E836FB">
            <w:pPr>
              <w:rPr>
                <w:rFonts w:ascii="宋体"/>
                <w:vanish/>
              </w:rPr>
            </w:pPr>
          </w:p>
        </w:tc>
        <w:tc>
          <w:tcPr>
            <w:tcW w:w="0" w:type="auto"/>
            <w:gridSpan w:val="3"/>
            <w:shd w:val="clear" w:color="auto" w:fill="auto"/>
            <w:vAlign w:val="bottom"/>
          </w:tcPr>
          <w:p w14:paraId="5F2CE565" w14:textId="77777777" w:rsidR="00E836FB" w:rsidRDefault="00E836FB">
            <w:pPr>
              <w:rPr>
                <w:rFonts w:ascii="宋体"/>
                <w:vanish/>
              </w:rPr>
            </w:pPr>
          </w:p>
        </w:tc>
      </w:tr>
      <w:tr w:rsidR="00994958" w14:paraId="5F2CE585"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E567" w14:textId="77777777" w:rsidR="00E836FB" w:rsidRDefault="00994958">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5F2CE568"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E569" w14:textId="77777777" w:rsidR="00E836FB" w:rsidRDefault="00994958">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5F2CE56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CE56B" w14:textId="77777777" w:rsidR="00E836FB" w:rsidRDefault="00994958">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E5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6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F2CE56E"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F2CE56F" w14:textId="77777777" w:rsidR="00E836FB" w:rsidRDefault="00994958">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E570" w14:textId="77777777" w:rsidR="00E836FB" w:rsidRDefault="00E83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E571"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E572" w14:textId="77777777" w:rsidR="00E836FB" w:rsidRDefault="00994958">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F2CE57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F2CE574"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F2CE575" w14:textId="77777777" w:rsidR="00E836FB" w:rsidRDefault="00994958">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E5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7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F2CE578"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F2CE579" w14:textId="77777777" w:rsidR="00E836FB" w:rsidRDefault="00994958">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E57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7B"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E57C" w14:textId="77777777" w:rsidR="00E836FB" w:rsidRDefault="00994958">
            <w:pPr>
              <w:textAlignment w:val="center"/>
            </w:pPr>
            <w:r>
              <w:rPr>
                <w:rFonts w:ascii="Arial" w:eastAsia="宋体" w:hAnsi="Arial" w:cs="Arial"/>
                <w:color w:val="000000"/>
                <w:sz w:val="12"/>
                <w:szCs w:val="12"/>
              </w:rPr>
              <w:t>5.90%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5F2CE57D"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E57E" w14:textId="77777777" w:rsidR="00E836FB" w:rsidRDefault="00994958">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vAlign w:val="bottom"/>
          </w:tcPr>
          <w:p w14:paraId="5F2CE57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F2CE580"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F2CE581" w14:textId="77777777" w:rsidR="00E836FB" w:rsidRDefault="00994958">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CE5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83"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CE584" w14:textId="77777777" w:rsidR="00E836FB" w:rsidRDefault="00994958">
            <w:pPr>
              <w:textAlignment w:val="center"/>
            </w:pPr>
            <w:r>
              <w:rPr>
                <w:rFonts w:ascii="Arial" w:eastAsia="宋体" w:hAnsi="Arial" w:cs="Arial"/>
                <w:color w:val="000000"/>
                <w:sz w:val="12"/>
                <w:szCs w:val="12"/>
              </w:rPr>
              <w:t>March 15, 2024</w:t>
            </w:r>
          </w:p>
        </w:tc>
      </w:tr>
      <w:tr w:rsidR="00E836FB" w14:paraId="5F2CE59F" w14:textId="77777777">
        <w:tc>
          <w:tcPr>
            <w:tcW w:w="0" w:type="auto"/>
            <w:gridSpan w:val="3"/>
            <w:shd w:val="clear" w:color="auto" w:fill="FFFFFF"/>
            <w:tcMar>
              <w:top w:w="40" w:type="dxa"/>
              <w:left w:w="20" w:type="dxa"/>
              <w:bottom w:w="40" w:type="dxa"/>
              <w:right w:w="20" w:type="dxa"/>
            </w:tcMar>
            <w:vAlign w:val="center"/>
          </w:tcPr>
          <w:p w14:paraId="5F2CE586" w14:textId="77777777" w:rsidR="00E836FB" w:rsidRDefault="00994958">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5F2CE587"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88" w14:textId="77777777" w:rsidR="00E836FB" w:rsidRDefault="00994958">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5F2CE58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8A" w14:textId="77777777" w:rsidR="00E836FB" w:rsidRDefault="00994958">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5F2CE5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8C"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8D" w14:textId="77777777" w:rsidR="00E836FB" w:rsidRDefault="00994958">
            <w:pPr>
              <w:jc w:val="right"/>
              <w:textAlignment w:val="center"/>
            </w:pPr>
            <w:r>
              <w:rPr>
                <w:rFonts w:ascii="Arial" w:eastAsia="宋体" w:hAnsi="Arial" w:cs="Arial"/>
                <w:color w:val="000000"/>
                <w:sz w:val="12"/>
                <w:szCs w:val="12"/>
              </w:rPr>
              <w:t>250</w:t>
            </w:r>
          </w:p>
        </w:tc>
        <w:tc>
          <w:tcPr>
            <w:tcW w:w="0" w:type="auto"/>
            <w:gridSpan w:val="3"/>
            <w:shd w:val="clear" w:color="auto" w:fill="FFFFFF"/>
            <w:tcMar>
              <w:top w:w="0" w:type="dxa"/>
              <w:left w:w="20" w:type="dxa"/>
              <w:bottom w:w="0" w:type="dxa"/>
              <w:right w:w="20" w:type="dxa"/>
            </w:tcMar>
            <w:vAlign w:val="bottom"/>
          </w:tcPr>
          <w:p w14:paraId="5F2CE58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8F" w14:textId="77777777" w:rsidR="00E836FB" w:rsidRDefault="00994958">
            <w:pPr>
              <w:jc w:val="right"/>
              <w:textAlignment w:val="center"/>
            </w:pPr>
            <w:r>
              <w:rPr>
                <w:rFonts w:ascii="Arial" w:eastAsia="宋体" w:hAnsi="Arial" w:cs="Arial"/>
                <w:color w:val="000000"/>
                <w:sz w:val="12"/>
                <w:szCs w:val="12"/>
              </w:rPr>
              <w:t>1/100</w:t>
            </w:r>
            <w:r>
              <w:rPr>
                <w:rFonts w:ascii="Arial" w:eastAsia="宋体" w:hAnsi="Arial" w:cs="Arial"/>
                <w:color w:val="000000"/>
                <w:sz w:val="12"/>
                <w:szCs w:val="12"/>
              </w:rPr>
              <w:t>th</w:t>
            </w:r>
          </w:p>
        </w:tc>
        <w:tc>
          <w:tcPr>
            <w:tcW w:w="0" w:type="auto"/>
            <w:gridSpan w:val="3"/>
            <w:shd w:val="clear" w:color="auto" w:fill="FFFFFF"/>
            <w:tcMar>
              <w:top w:w="0" w:type="dxa"/>
              <w:left w:w="20" w:type="dxa"/>
              <w:bottom w:w="0" w:type="dxa"/>
              <w:right w:w="20" w:type="dxa"/>
            </w:tcMar>
            <w:vAlign w:val="bottom"/>
          </w:tcPr>
          <w:p w14:paraId="5F2CE59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91" w14:textId="77777777" w:rsidR="00E836FB" w:rsidRDefault="00994958">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F2CE59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9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94" w14:textId="77777777" w:rsidR="00E836FB" w:rsidRDefault="00994958">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F2CE5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96"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97" w14:textId="77777777" w:rsidR="00E836FB" w:rsidRDefault="00994958">
            <w:pPr>
              <w:textAlignment w:val="center"/>
            </w:pPr>
            <w:r>
              <w:rPr>
                <w:rFonts w:ascii="Arial" w:eastAsia="宋体" w:hAnsi="Arial" w:cs="Arial"/>
                <w:color w:val="000000"/>
                <w:sz w:val="12"/>
                <w:szCs w:val="12"/>
              </w:rPr>
              <w:t>5.25% to but excluding September 15, 2020, then a floating rate equal to the three-month LIBOR plus 3.597%, or 3.7998% effective December 15, 2021</w:t>
            </w:r>
          </w:p>
        </w:tc>
        <w:tc>
          <w:tcPr>
            <w:tcW w:w="0" w:type="auto"/>
            <w:gridSpan w:val="3"/>
            <w:shd w:val="clear" w:color="auto" w:fill="FFFFFF"/>
            <w:tcMar>
              <w:top w:w="0" w:type="dxa"/>
              <w:left w:w="20" w:type="dxa"/>
              <w:bottom w:w="0" w:type="dxa"/>
              <w:right w:w="20" w:type="dxa"/>
            </w:tcMar>
            <w:vAlign w:val="bottom"/>
          </w:tcPr>
          <w:p w14:paraId="5F2CE598"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99" w14:textId="77777777" w:rsidR="00E836FB" w:rsidRDefault="00994958">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vAlign w:val="bottom"/>
          </w:tcPr>
          <w:p w14:paraId="5F2CE5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9B" w14:textId="77777777" w:rsidR="00E836FB" w:rsidRDefault="00994958">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5F2CE59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9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9E" w14:textId="77777777" w:rsidR="00E836FB" w:rsidRDefault="00994958">
            <w:pPr>
              <w:textAlignment w:val="center"/>
            </w:pPr>
            <w:r>
              <w:rPr>
                <w:rFonts w:ascii="Arial" w:eastAsia="宋体" w:hAnsi="Arial" w:cs="Arial"/>
                <w:color w:val="000000"/>
                <w:sz w:val="12"/>
                <w:szCs w:val="12"/>
              </w:rPr>
              <w:t>September 15, 2020</w:t>
            </w:r>
          </w:p>
        </w:tc>
      </w:tr>
      <w:tr w:rsidR="00E836FB" w14:paraId="5F2CE5B9" w14:textId="77777777">
        <w:tc>
          <w:tcPr>
            <w:tcW w:w="0" w:type="auto"/>
            <w:gridSpan w:val="3"/>
            <w:shd w:val="clear" w:color="auto" w:fill="CCEEFF"/>
            <w:tcMar>
              <w:top w:w="40" w:type="dxa"/>
              <w:left w:w="20" w:type="dxa"/>
              <w:bottom w:w="40" w:type="dxa"/>
              <w:right w:w="20" w:type="dxa"/>
            </w:tcMar>
            <w:vAlign w:val="center"/>
          </w:tcPr>
          <w:p w14:paraId="5F2CE5A0" w14:textId="77777777" w:rsidR="00E836FB" w:rsidRDefault="00994958">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5F2CE5A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E5A2" w14:textId="77777777" w:rsidR="00E836FB" w:rsidRDefault="00994958">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5F2CE5A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5A4" w14:textId="77777777" w:rsidR="00E836FB" w:rsidRDefault="00994958">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5F2CE5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A6"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E5A7" w14:textId="77777777" w:rsidR="00E836FB" w:rsidRDefault="00994958">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vAlign w:val="bottom"/>
          </w:tcPr>
          <w:p w14:paraId="5F2CE5A8"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E5A9" w14:textId="77777777" w:rsidR="00E836FB" w:rsidRDefault="00994958">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F2CE5A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5AB" w14:textId="77777777" w:rsidR="00E836FB" w:rsidRDefault="00994958">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5F2CE5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5AE" w14:textId="77777777" w:rsidR="00E836FB" w:rsidRDefault="00994958">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5F2CE5A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B0"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E5B1" w14:textId="77777777" w:rsidR="00E836FB" w:rsidRDefault="00994958">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5F2CE5B2"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E5B3" w14:textId="77777777" w:rsidR="00E836FB" w:rsidRDefault="00994958">
            <w:pPr>
              <w:textAlignment w:val="center"/>
            </w:pPr>
            <w:r>
              <w:rPr>
                <w:rFonts w:ascii="Arial" w:eastAsia="宋体" w:hAnsi="Arial" w:cs="Arial"/>
                <w:color w:val="000000"/>
                <w:sz w:val="12"/>
                <w:szCs w:val="12"/>
              </w:rPr>
              <w:t xml:space="preserve">Quarterly: March, June, </w:t>
            </w:r>
            <w:r>
              <w:rPr>
                <w:rFonts w:ascii="Arial" w:eastAsia="宋体" w:hAnsi="Arial" w:cs="Arial"/>
                <w:color w:val="000000"/>
                <w:sz w:val="12"/>
                <w:szCs w:val="12"/>
              </w:rPr>
              <w:t>September and December</w:t>
            </w:r>
          </w:p>
        </w:tc>
        <w:tc>
          <w:tcPr>
            <w:tcW w:w="0" w:type="auto"/>
            <w:gridSpan w:val="3"/>
            <w:shd w:val="clear" w:color="auto" w:fill="CCEEFF"/>
            <w:tcMar>
              <w:top w:w="0" w:type="dxa"/>
              <w:left w:w="20" w:type="dxa"/>
              <w:bottom w:w="0" w:type="dxa"/>
              <w:right w:w="20" w:type="dxa"/>
            </w:tcMar>
            <w:vAlign w:val="bottom"/>
          </w:tcPr>
          <w:p w14:paraId="5F2CE5B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CE5B5" w14:textId="77777777" w:rsidR="00E836FB" w:rsidRDefault="00994958">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5F2CE5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5B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CE5B8" w14:textId="77777777" w:rsidR="00E836FB" w:rsidRDefault="00994958">
            <w:pPr>
              <w:textAlignment w:val="center"/>
            </w:pPr>
            <w:r>
              <w:rPr>
                <w:rFonts w:ascii="Arial" w:eastAsia="宋体" w:hAnsi="Arial" w:cs="Arial"/>
                <w:color w:val="000000"/>
                <w:sz w:val="12"/>
                <w:szCs w:val="12"/>
              </w:rPr>
              <w:t>March 15, 2026</w:t>
            </w:r>
          </w:p>
        </w:tc>
      </w:tr>
      <w:tr w:rsidR="00E836FB" w14:paraId="5F2CE5D3" w14:textId="77777777">
        <w:tc>
          <w:tcPr>
            <w:tcW w:w="0" w:type="auto"/>
            <w:gridSpan w:val="3"/>
            <w:shd w:val="clear" w:color="auto" w:fill="FFFFFF"/>
            <w:tcMar>
              <w:top w:w="40" w:type="dxa"/>
              <w:left w:w="20" w:type="dxa"/>
              <w:bottom w:w="40" w:type="dxa"/>
              <w:right w:w="20" w:type="dxa"/>
            </w:tcMar>
            <w:vAlign w:val="center"/>
          </w:tcPr>
          <w:p w14:paraId="5F2CE5BA" w14:textId="77777777" w:rsidR="00E836FB" w:rsidRDefault="00994958">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5F2CE5BB"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BC" w14:textId="77777777" w:rsidR="00E836FB" w:rsidRDefault="00994958">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5F2CE5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BE" w14:textId="77777777" w:rsidR="00E836FB" w:rsidRDefault="00994958">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5F2CE5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C0"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C1" w14:textId="77777777" w:rsidR="00E836FB" w:rsidRDefault="00994958">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vAlign w:val="bottom"/>
          </w:tcPr>
          <w:p w14:paraId="5F2CE5C2"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C3" w14:textId="77777777" w:rsidR="00E836FB" w:rsidRDefault="00994958">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5F2CE5C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C5" w14:textId="77777777" w:rsidR="00E836FB" w:rsidRDefault="00994958">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F2CE5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C8" w14:textId="77777777" w:rsidR="00E836FB" w:rsidRDefault="00994958">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F2CE5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CA"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CB" w14:textId="77777777" w:rsidR="00E836FB" w:rsidRDefault="00994958">
            <w:pPr>
              <w:textAlignment w:val="center"/>
            </w:pPr>
            <w:r>
              <w:rPr>
                <w:rFonts w:ascii="Arial" w:eastAsia="宋体" w:hAnsi="Arial" w:cs="Arial"/>
                <w:color w:val="000000"/>
                <w:sz w:val="12"/>
                <w:szCs w:val="12"/>
              </w:rPr>
              <w:t xml:space="preserve">5.625% to but excluding December 15, 2023, then a floating rate equal to the </w:t>
            </w:r>
            <w:r>
              <w:rPr>
                <w:rFonts w:ascii="Arial" w:eastAsia="宋体" w:hAnsi="Arial" w:cs="Arial"/>
                <w:color w:val="000000"/>
                <w:sz w:val="12"/>
                <w:szCs w:val="12"/>
              </w:rPr>
              <w:t>three-month LIBOR plus 2.539%</w:t>
            </w:r>
          </w:p>
        </w:tc>
        <w:tc>
          <w:tcPr>
            <w:tcW w:w="0" w:type="auto"/>
            <w:gridSpan w:val="3"/>
            <w:shd w:val="clear" w:color="auto" w:fill="FFFFFF"/>
            <w:tcMar>
              <w:top w:w="0" w:type="dxa"/>
              <w:left w:w="20" w:type="dxa"/>
              <w:bottom w:w="0" w:type="dxa"/>
              <w:right w:w="20" w:type="dxa"/>
            </w:tcMar>
            <w:vAlign w:val="bottom"/>
          </w:tcPr>
          <w:p w14:paraId="5F2CE5CC"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CD" w14:textId="77777777" w:rsidR="00E836FB" w:rsidRDefault="00994958">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vAlign w:val="bottom"/>
          </w:tcPr>
          <w:p w14:paraId="5F2CE5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CE5CF" w14:textId="77777777" w:rsidR="00E836FB" w:rsidRDefault="00994958">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5F2CE5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5D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CE5D2" w14:textId="77777777" w:rsidR="00E836FB" w:rsidRDefault="00994958">
            <w:pPr>
              <w:textAlignment w:val="center"/>
            </w:pPr>
            <w:r>
              <w:rPr>
                <w:rFonts w:ascii="Arial" w:eastAsia="宋体" w:hAnsi="Arial" w:cs="Arial"/>
                <w:color w:val="000000"/>
                <w:sz w:val="12"/>
                <w:szCs w:val="12"/>
              </w:rPr>
              <w:t>December 15, 2023</w:t>
            </w:r>
          </w:p>
        </w:tc>
      </w:tr>
    </w:tbl>
    <w:p w14:paraId="5F2CE5D4"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E836FB" w14:paraId="5F2CE5E1" w14:textId="77777777">
        <w:tc>
          <w:tcPr>
            <w:tcW w:w="50" w:type="pct"/>
            <w:shd w:val="clear" w:color="auto" w:fill="auto"/>
            <w:vAlign w:val="bottom"/>
          </w:tcPr>
          <w:p w14:paraId="5F2CE5D5" w14:textId="77777777" w:rsidR="00E836FB" w:rsidRDefault="00E836FB">
            <w:pPr>
              <w:rPr>
                <w:rFonts w:ascii="宋体"/>
              </w:rPr>
            </w:pPr>
          </w:p>
        </w:tc>
        <w:tc>
          <w:tcPr>
            <w:tcW w:w="1341" w:type="pct"/>
            <w:shd w:val="clear" w:color="auto" w:fill="auto"/>
            <w:vAlign w:val="bottom"/>
          </w:tcPr>
          <w:p w14:paraId="5F2CE5D6" w14:textId="77777777" w:rsidR="00E836FB" w:rsidRDefault="00E836FB">
            <w:pPr>
              <w:rPr>
                <w:rFonts w:ascii="宋体"/>
              </w:rPr>
            </w:pPr>
          </w:p>
        </w:tc>
        <w:tc>
          <w:tcPr>
            <w:tcW w:w="5" w:type="pct"/>
            <w:shd w:val="clear" w:color="auto" w:fill="auto"/>
            <w:vAlign w:val="bottom"/>
          </w:tcPr>
          <w:p w14:paraId="5F2CE5D7" w14:textId="77777777" w:rsidR="00E836FB" w:rsidRDefault="00E836FB">
            <w:pPr>
              <w:rPr>
                <w:rFonts w:ascii="宋体"/>
              </w:rPr>
            </w:pPr>
          </w:p>
        </w:tc>
        <w:tc>
          <w:tcPr>
            <w:tcW w:w="50" w:type="pct"/>
            <w:shd w:val="clear" w:color="auto" w:fill="auto"/>
            <w:vAlign w:val="bottom"/>
          </w:tcPr>
          <w:p w14:paraId="5F2CE5D8" w14:textId="77777777" w:rsidR="00E836FB" w:rsidRDefault="00E836FB">
            <w:pPr>
              <w:rPr>
                <w:rFonts w:ascii="宋体"/>
              </w:rPr>
            </w:pPr>
          </w:p>
        </w:tc>
        <w:tc>
          <w:tcPr>
            <w:tcW w:w="909" w:type="pct"/>
            <w:shd w:val="clear" w:color="auto" w:fill="auto"/>
            <w:vAlign w:val="bottom"/>
          </w:tcPr>
          <w:p w14:paraId="5F2CE5D9" w14:textId="77777777" w:rsidR="00E836FB" w:rsidRDefault="00E836FB">
            <w:pPr>
              <w:rPr>
                <w:rFonts w:ascii="宋体"/>
              </w:rPr>
            </w:pPr>
          </w:p>
        </w:tc>
        <w:tc>
          <w:tcPr>
            <w:tcW w:w="5" w:type="pct"/>
            <w:shd w:val="clear" w:color="auto" w:fill="auto"/>
            <w:vAlign w:val="bottom"/>
          </w:tcPr>
          <w:p w14:paraId="5F2CE5DA" w14:textId="77777777" w:rsidR="00E836FB" w:rsidRDefault="00E836FB">
            <w:pPr>
              <w:rPr>
                <w:rFonts w:ascii="宋体"/>
              </w:rPr>
            </w:pPr>
          </w:p>
        </w:tc>
        <w:tc>
          <w:tcPr>
            <w:tcW w:w="50" w:type="pct"/>
            <w:shd w:val="clear" w:color="auto" w:fill="auto"/>
            <w:vAlign w:val="bottom"/>
          </w:tcPr>
          <w:p w14:paraId="5F2CE5DB" w14:textId="77777777" w:rsidR="00E836FB" w:rsidRDefault="00E836FB">
            <w:pPr>
              <w:rPr>
                <w:rFonts w:ascii="宋体"/>
              </w:rPr>
            </w:pPr>
          </w:p>
        </w:tc>
        <w:tc>
          <w:tcPr>
            <w:tcW w:w="939" w:type="pct"/>
            <w:shd w:val="clear" w:color="auto" w:fill="auto"/>
            <w:vAlign w:val="bottom"/>
          </w:tcPr>
          <w:p w14:paraId="5F2CE5DC" w14:textId="77777777" w:rsidR="00E836FB" w:rsidRDefault="00E836FB">
            <w:pPr>
              <w:rPr>
                <w:rFonts w:ascii="宋体"/>
              </w:rPr>
            </w:pPr>
          </w:p>
        </w:tc>
        <w:tc>
          <w:tcPr>
            <w:tcW w:w="5" w:type="pct"/>
            <w:shd w:val="clear" w:color="auto" w:fill="auto"/>
            <w:vAlign w:val="bottom"/>
          </w:tcPr>
          <w:p w14:paraId="5F2CE5DD" w14:textId="77777777" w:rsidR="00E836FB" w:rsidRDefault="00E836FB">
            <w:pPr>
              <w:rPr>
                <w:rFonts w:ascii="宋体"/>
              </w:rPr>
            </w:pPr>
          </w:p>
        </w:tc>
        <w:tc>
          <w:tcPr>
            <w:tcW w:w="50" w:type="pct"/>
            <w:shd w:val="clear" w:color="auto" w:fill="auto"/>
            <w:vAlign w:val="bottom"/>
          </w:tcPr>
          <w:p w14:paraId="5F2CE5DE" w14:textId="77777777" w:rsidR="00E836FB" w:rsidRDefault="00E836FB">
            <w:pPr>
              <w:rPr>
                <w:rFonts w:ascii="宋体"/>
              </w:rPr>
            </w:pPr>
          </w:p>
        </w:tc>
        <w:tc>
          <w:tcPr>
            <w:tcW w:w="1589" w:type="pct"/>
            <w:shd w:val="clear" w:color="auto" w:fill="auto"/>
            <w:vAlign w:val="bottom"/>
          </w:tcPr>
          <w:p w14:paraId="5F2CE5DF" w14:textId="77777777" w:rsidR="00E836FB" w:rsidRDefault="00E836FB">
            <w:pPr>
              <w:rPr>
                <w:rFonts w:ascii="宋体"/>
              </w:rPr>
            </w:pPr>
          </w:p>
        </w:tc>
        <w:tc>
          <w:tcPr>
            <w:tcW w:w="5" w:type="pct"/>
            <w:shd w:val="clear" w:color="auto" w:fill="auto"/>
            <w:vAlign w:val="bottom"/>
          </w:tcPr>
          <w:p w14:paraId="5F2CE5E0" w14:textId="77777777" w:rsidR="00E836FB" w:rsidRDefault="00E836FB">
            <w:pPr>
              <w:rPr>
                <w:rFonts w:ascii="宋体"/>
              </w:rPr>
            </w:pPr>
          </w:p>
        </w:tc>
      </w:tr>
      <w:tr w:rsidR="00E836FB" w14:paraId="5F2CE5E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E5E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5E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5E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5E5" w14:textId="77777777" w:rsidR="00E836FB" w:rsidRDefault="00E836FB">
            <w:pPr>
              <w:rPr>
                <w:rFonts w:ascii="宋体"/>
              </w:rPr>
            </w:pPr>
          </w:p>
        </w:tc>
      </w:tr>
    </w:tbl>
    <w:p w14:paraId="5F2CE5E7" w14:textId="77777777" w:rsidR="00E836FB" w:rsidRDefault="00994958">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t>
      </w:r>
      <w:r>
        <w:rPr>
          <w:rFonts w:ascii="Arial" w:eastAsia="宋体" w:hAnsi="Arial" w:cs="Arial"/>
          <w:color w:val="000000"/>
          <w:sz w:val="12"/>
          <w:szCs w:val="12"/>
        </w:rPr>
        <w:t>whole, but not in part, prior to the redemption date upon the occurrence of a regulatory capital treatment event, as defined in the certificate of designation, at a redemption price equal to the liquidation price per share and liquidation price per deposit</w:t>
      </w:r>
      <w:r>
        <w:rPr>
          <w:rFonts w:ascii="Arial" w:eastAsia="宋体" w:hAnsi="Arial" w:cs="Arial"/>
          <w:color w:val="000000"/>
          <w:sz w:val="12"/>
          <w:szCs w:val="12"/>
        </w:rPr>
        <w:t>ary share plus any declared and unpaid dividends, without accumulation of any undeclared dividends.</w:t>
      </w:r>
    </w:p>
    <w:p w14:paraId="5F2CE5E8" w14:textId="77777777" w:rsidR="00E836FB" w:rsidRDefault="00994958">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w:t>
      </w:r>
      <w:r>
        <w:rPr>
          <w:rFonts w:ascii="Arial" w:eastAsia="宋体" w:hAnsi="Arial" w:cs="Arial"/>
          <w:color w:val="000000"/>
          <w:sz w:val="12"/>
          <w:szCs w:val="12"/>
        </w:rPr>
        <w:t xml:space="preserve"> or in part, at the liquidation price per share and liquidation price per depositary share plus any declared and unpaid dividends, without accumulation of any undeclared dividends.</w:t>
      </w:r>
    </w:p>
    <w:p w14:paraId="5F2CE5E9" w14:textId="77777777" w:rsidR="00E836FB" w:rsidRDefault="00994958">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w:t>
      </w:r>
      <w:r>
        <w:rPr>
          <w:rFonts w:ascii="Arial" w:eastAsia="宋体" w:hAnsi="Arial" w:cs="Arial"/>
          <w:color w:val="000000"/>
          <w:sz w:val="12"/>
          <w:szCs w:val="12"/>
        </w:rPr>
        <w:t xml:space="preserve">h succeeding dividend payment date. </w:t>
      </w:r>
    </w:p>
    <w:p w14:paraId="5F2CE5EA" w14:textId="77777777" w:rsidR="00E836FB" w:rsidRDefault="00994958">
      <w:pPr>
        <w:ind w:firstLine="450"/>
        <w:jc w:val="right"/>
      </w:pPr>
      <w:r>
        <w:rPr>
          <w:rFonts w:ascii="Arial" w:eastAsia="宋体" w:hAnsi="Arial" w:cs="Arial"/>
          <w:color w:val="000000"/>
          <w:sz w:val="18"/>
          <w:szCs w:val="18"/>
        </w:rPr>
        <w:t>State Street Corporation | 121</w:t>
      </w:r>
    </w:p>
    <w:p w14:paraId="5F2CE5EB" w14:textId="77777777" w:rsidR="00E836FB" w:rsidRDefault="00E836FB">
      <w:pPr>
        <w:ind w:firstLine="450"/>
        <w:jc w:val="center"/>
      </w:pPr>
    </w:p>
    <w:p w14:paraId="5F2CE5EC" w14:textId="77777777" w:rsidR="00E836FB" w:rsidRDefault="00994958">
      <w:r>
        <w:pict w14:anchorId="5F2D6DFE">
          <v:rect id="_x0000_i1145" style="width:415.3pt;height:1.5pt" o:hralign="center" o:hrstd="t" o:hr="t" fillcolor="#a0a0a0" stroked="f"/>
        </w:pict>
      </w:r>
    </w:p>
    <w:p w14:paraId="5F2CE5ED"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5EE" w14:textId="77777777" w:rsidR="00E836FB" w:rsidRDefault="00994958">
      <w:pPr>
        <w:ind w:firstLine="450"/>
        <w:jc w:val="center"/>
      </w:pPr>
      <w:r>
        <w:rPr>
          <w:rFonts w:ascii="Arial" w:eastAsia="宋体" w:hAnsi="Arial" w:cs="Arial"/>
          <w:b/>
          <w:bCs/>
          <w:color w:val="000000"/>
          <w:sz w:val="20"/>
          <w:szCs w:val="20"/>
        </w:rPr>
        <w:t>AND RESULTS OF OPERATIONS</w:t>
      </w:r>
    </w:p>
    <w:p w14:paraId="5F2CE5EF" w14:textId="77777777" w:rsidR="00E836FB" w:rsidRDefault="00994958">
      <w:pPr>
        <w:spacing w:before="60"/>
        <w:ind w:firstLine="450"/>
        <w:jc w:val="both"/>
      </w:pPr>
      <w:r>
        <w:rPr>
          <w:rFonts w:ascii="Arial" w:eastAsia="宋体" w:hAnsi="Arial" w:cs="Arial"/>
          <w:color w:val="000000"/>
          <w:sz w:val="20"/>
          <w:szCs w:val="20"/>
        </w:rPr>
        <w:t>On March 15, 2021, we redeemed an aggregate of $500 million, or 5,000 of the 7,500 outstanding shar</w:t>
      </w:r>
      <w:r>
        <w:rPr>
          <w:rFonts w:ascii="Arial" w:eastAsia="宋体" w:hAnsi="Arial" w:cs="Arial"/>
          <w:color w:val="000000"/>
          <w:sz w:val="20"/>
          <w:szCs w:val="20"/>
        </w:rPr>
        <w:t xml:space="preserve">es of our non-cumulative perpetual preferred stock, Series F, for cash at a redemption price of $100,000 per share (equivalent to $1,000 per depositary share) plus all declared and unpaid dividends. </w:t>
      </w:r>
    </w:p>
    <w:p w14:paraId="5F2CE5F0" w14:textId="77777777" w:rsidR="00E836FB" w:rsidRDefault="00994958">
      <w:pPr>
        <w:spacing w:before="60"/>
        <w:ind w:firstLine="450"/>
        <w:jc w:val="both"/>
      </w:pPr>
      <w:r>
        <w:rPr>
          <w:rFonts w:ascii="Arial" w:eastAsia="宋体" w:hAnsi="Arial" w:cs="Arial"/>
          <w:color w:val="000000"/>
          <w:sz w:val="20"/>
          <w:szCs w:val="20"/>
        </w:rPr>
        <w:t xml:space="preserve">The following table presents the dividends </w:t>
      </w:r>
      <w:r>
        <w:rPr>
          <w:rFonts w:ascii="Arial" w:eastAsia="宋体" w:hAnsi="Arial" w:cs="Arial"/>
          <w:color w:val="000000"/>
          <w:sz w:val="20"/>
          <w:szCs w:val="20"/>
        </w:rPr>
        <w:t>declared for each of the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E836FB" w14:paraId="5F2CE615" w14:textId="77777777">
        <w:tc>
          <w:tcPr>
            <w:tcW w:w="50" w:type="pct"/>
            <w:shd w:val="clear" w:color="auto" w:fill="auto"/>
            <w:vAlign w:val="bottom"/>
          </w:tcPr>
          <w:p w14:paraId="5F2CE5F1" w14:textId="77777777" w:rsidR="00E836FB" w:rsidRDefault="00E836FB">
            <w:pPr>
              <w:rPr>
                <w:rFonts w:ascii="宋体"/>
              </w:rPr>
            </w:pPr>
          </w:p>
        </w:tc>
        <w:tc>
          <w:tcPr>
            <w:tcW w:w="1011" w:type="pct"/>
            <w:shd w:val="clear" w:color="auto" w:fill="auto"/>
            <w:vAlign w:val="bottom"/>
          </w:tcPr>
          <w:p w14:paraId="5F2CE5F2" w14:textId="77777777" w:rsidR="00E836FB" w:rsidRDefault="00E836FB">
            <w:pPr>
              <w:rPr>
                <w:rFonts w:ascii="宋体"/>
              </w:rPr>
            </w:pPr>
          </w:p>
        </w:tc>
        <w:tc>
          <w:tcPr>
            <w:tcW w:w="5" w:type="pct"/>
            <w:shd w:val="clear" w:color="auto" w:fill="auto"/>
            <w:vAlign w:val="bottom"/>
          </w:tcPr>
          <w:p w14:paraId="5F2CE5F3" w14:textId="77777777" w:rsidR="00E836FB" w:rsidRDefault="00E836FB">
            <w:pPr>
              <w:rPr>
                <w:rFonts w:ascii="宋体"/>
              </w:rPr>
            </w:pPr>
          </w:p>
        </w:tc>
        <w:tc>
          <w:tcPr>
            <w:tcW w:w="50" w:type="pct"/>
            <w:shd w:val="clear" w:color="auto" w:fill="auto"/>
            <w:vAlign w:val="bottom"/>
          </w:tcPr>
          <w:p w14:paraId="5F2CE5F4" w14:textId="77777777" w:rsidR="00E836FB" w:rsidRDefault="00E836FB">
            <w:pPr>
              <w:rPr>
                <w:rFonts w:ascii="宋体"/>
              </w:rPr>
            </w:pPr>
          </w:p>
        </w:tc>
        <w:tc>
          <w:tcPr>
            <w:tcW w:w="570" w:type="pct"/>
            <w:shd w:val="clear" w:color="auto" w:fill="auto"/>
            <w:vAlign w:val="bottom"/>
          </w:tcPr>
          <w:p w14:paraId="5F2CE5F5" w14:textId="77777777" w:rsidR="00E836FB" w:rsidRDefault="00E836FB">
            <w:pPr>
              <w:rPr>
                <w:rFonts w:ascii="宋体"/>
              </w:rPr>
            </w:pPr>
          </w:p>
        </w:tc>
        <w:tc>
          <w:tcPr>
            <w:tcW w:w="5" w:type="pct"/>
            <w:shd w:val="clear" w:color="auto" w:fill="auto"/>
            <w:vAlign w:val="bottom"/>
          </w:tcPr>
          <w:p w14:paraId="5F2CE5F6" w14:textId="77777777" w:rsidR="00E836FB" w:rsidRDefault="00E836FB">
            <w:pPr>
              <w:rPr>
                <w:rFonts w:ascii="宋体"/>
              </w:rPr>
            </w:pPr>
          </w:p>
        </w:tc>
        <w:tc>
          <w:tcPr>
            <w:tcW w:w="5" w:type="pct"/>
            <w:shd w:val="clear" w:color="auto" w:fill="auto"/>
            <w:vAlign w:val="bottom"/>
          </w:tcPr>
          <w:p w14:paraId="5F2CE5F7" w14:textId="77777777" w:rsidR="00E836FB" w:rsidRDefault="00E836FB">
            <w:pPr>
              <w:rPr>
                <w:rFonts w:ascii="宋体"/>
              </w:rPr>
            </w:pPr>
          </w:p>
        </w:tc>
        <w:tc>
          <w:tcPr>
            <w:tcW w:w="26" w:type="pct"/>
            <w:shd w:val="clear" w:color="auto" w:fill="auto"/>
            <w:vAlign w:val="bottom"/>
          </w:tcPr>
          <w:p w14:paraId="5F2CE5F8" w14:textId="77777777" w:rsidR="00E836FB" w:rsidRDefault="00E836FB">
            <w:pPr>
              <w:rPr>
                <w:rFonts w:ascii="宋体"/>
              </w:rPr>
            </w:pPr>
          </w:p>
        </w:tc>
        <w:tc>
          <w:tcPr>
            <w:tcW w:w="5" w:type="pct"/>
            <w:shd w:val="clear" w:color="auto" w:fill="auto"/>
            <w:vAlign w:val="bottom"/>
          </w:tcPr>
          <w:p w14:paraId="5F2CE5F9" w14:textId="77777777" w:rsidR="00E836FB" w:rsidRDefault="00E836FB">
            <w:pPr>
              <w:rPr>
                <w:rFonts w:ascii="宋体"/>
              </w:rPr>
            </w:pPr>
          </w:p>
        </w:tc>
        <w:tc>
          <w:tcPr>
            <w:tcW w:w="50" w:type="pct"/>
            <w:shd w:val="clear" w:color="auto" w:fill="auto"/>
            <w:vAlign w:val="bottom"/>
          </w:tcPr>
          <w:p w14:paraId="5F2CE5FA" w14:textId="77777777" w:rsidR="00E836FB" w:rsidRDefault="00E836FB">
            <w:pPr>
              <w:rPr>
                <w:rFonts w:ascii="宋体"/>
              </w:rPr>
            </w:pPr>
          </w:p>
        </w:tc>
        <w:tc>
          <w:tcPr>
            <w:tcW w:w="570" w:type="pct"/>
            <w:shd w:val="clear" w:color="auto" w:fill="auto"/>
            <w:vAlign w:val="bottom"/>
          </w:tcPr>
          <w:p w14:paraId="5F2CE5FB" w14:textId="77777777" w:rsidR="00E836FB" w:rsidRDefault="00E836FB">
            <w:pPr>
              <w:rPr>
                <w:rFonts w:ascii="宋体"/>
              </w:rPr>
            </w:pPr>
          </w:p>
        </w:tc>
        <w:tc>
          <w:tcPr>
            <w:tcW w:w="5" w:type="pct"/>
            <w:shd w:val="clear" w:color="auto" w:fill="auto"/>
            <w:vAlign w:val="bottom"/>
          </w:tcPr>
          <w:p w14:paraId="5F2CE5FC" w14:textId="77777777" w:rsidR="00E836FB" w:rsidRDefault="00E836FB">
            <w:pPr>
              <w:rPr>
                <w:rFonts w:ascii="宋体"/>
              </w:rPr>
            </w:pPr>
          </w:p>
        </w:tc>
        <w:tc>
          <w:tcPr>
            <w:tcW w:w="5" w:type="pct"/>
            <w:shd w:val="clear" w:color="auto" w:fill="auto"/>
            <w:vAlign w:val="bottom"/>
          </w:tcPr>
          <w:p w14:paraId="5F2CE5FD" w14:textId="77777777" w:rsidR="00E836FB" w:rsidRDefault="00E836FB">
            <w:pPr>
              <w:rPr>
                <w:rFonts w:ascii="宋体"/>
              </w:rPr>
            </w:pPr>
          </w:p>
        </w:tc>
        <w:tc>
          <w:tcPr>
            <w:tcW w:w="26" w:type="pct"/>
            <w:shd w:val="clear" w:color="auto" w:fill="auto"/>
            <w:vAlign w:val="bottom"/>
          </w:tcPr>
          <w:p w14:paraId="5F2CE5FE" w14:textId="77777777" w:rsidR="00E836FB" w:rsidRDefault="00E836FB">
            <w:pPr>
              <w:rPr>
                <w:rFonts w:ascii="宋体"/>
              </w:rPr>
            </w:pPr>
          </w:p>
        </w:tc>
        <w:tc>
          <w:tcPr>
            <w:tcW w:w="5" w:type="pct"/>
            <w:shd w:val="clear" w:color="auto" w:fill="auto"/>
            <w:vAlign w:val="bottom"/>
          </w:tcPr>
          <w:p w14:paraId="5F2CE5FF" w14:textId="77777777" w:rsidR="00E836FB" w:rsidRDefault="00E836FB">
            <w:pPr>
              <w:rPr>
                <w:rFonts w:ascii="宋体"/>
              </w:rPr>
            </w:pPr>
          </w:p>
        </w:tc>
        <w:tc>
          <w:tcPr>
            <w:tcW w:w="50" w:type="pct"/>
            <w:shd w:val="clear" w:color="auto" w:fill="auto"/>
            <w:vAlign w:val="bottom"/>
          </w:tcPr>
          <w:p w14:paraId="5F2CE600" w14:textId="77777777" w:rsidR="00E836FB" w:rsidRDefault="00E836FB">
            <w:pPr>
              <w:rPr>
                <w:rFonts w:ascii="宋体"/>
              </w:rPr>
            </w:pPr>
          </w:p>
        </w:tc>
        <w:tc>
          <w:tcPr>
            <w:tcW w:w="570" w:type="pct"/>
            <w:shd w:val="clear" w:color="auto" w:fill="auto"/>
            <w:vAlign w:val="bottom"/>
          </w:tcPr>
          <w:p w14:paraId="5F2CE601" w14:textId="77777777" w:rsidR="00E836FB" w:rsidRDefault="00E836FB">
            <w:pPr>
              <w:rPr>
                <w:rFonts w:ascii="宋体"/>
              </w:rPr>
            </w:pPr>
          </w:p>
        </w:tc>
        <w:tc>
          <w:tcPr>
            <w:tcW w:w="5" w:type="pct"/>
            <w:shd w:val="clear" w:color="auto" w:fill="auto"/>
            <w:vAlign w:val="bottom"/>
          </w:tcPr>
          <w:p w14:paraId="5F2CE602" w14:textId="77777777" w:rsidR="00E836FB" w:rsidRDefault="00E836FB">
            <w:pPr>
              <w:rPr>
                <w:rFonts w:ascii="宋体"/>
              </w:rPr>
            </w:pPr>
          </w:p>
        </w:tc>
        <w:tc>
          <w:tcPr>
            <w:tcW w:w="5" w:type="pct"/>
            <w:shd w:val="clear" w:color="auto" w:fill="auto"/>
            <w:vAlign w:val="bottom"/>
          </w:tcPr>
          <w:p w14:paraId="5F2CE603" w14:textId="77777777" w:rsidR="00E836FB" w:rsidRDefault="00E836FB">
            <w:pPr>
              <w:rPr>
                <w:rFonts w:ascii="宋体"/>
              </w:rPr>
            </w:pPr>
          </w:p>
        </w:tc>
        <w:tc>
          <w:tcPr>
            <w:tcW w:w="26" w:type="pct"/>
            <w:shd w:val="clear" w:color="auto" w:fill="auto"/>
            <w:vAlign w:val="bottom"/>
          </w:tcPr>
          <w:p w14:paraId="5F2CE604" w14:textId="77777777" w:rsidR="00E836FB" w:rsidRDefault="00E836FB">
            <w:pPr>
              <w:rPr>
                <w:rFonts w:ascii="宋体"/>
              </w:rPr>
            </w:pPr>
          </w:p>
        </w:tc>
        <w:tc>
          <w:tcPr>
            <w:tcW w:w="5" w:type="pct"/>
            <w:shd w:val="clear" w:color="auto" w:fill="auto"/>
            <w:vAlign w:val="bottom"/>
          </w:tcPr>
          <w:p w14:paraId="5F2CE605" w14:textId="77777777" w:rsidR="00E836FB" w:rsidRDefault="00E836FB">
            <w:pPr>
              <w:rPr>
                <w:rFonts w:ascii="宋体"/>
              </w:rPr>
            </w:pPr>
          </w:p>
        </w:tc>
        <w:tc>
          <w:tcPr>
            <w:tcW w:w="50" w:type="pct"/>
            <w:shd w:val="clear" w:color="auto" w:fill="auto"/>
            <w:vAlign w:val="bottom"/>
          </w:tcPr>
          <w:p w14:paraId="5F2CE606" w14:textId="77777777" w:rsidR="00E836FB" w:rsidRDefault="00E836FB">
            <w:pPr>
              <w:rPr>
                <w:rFonts w:ascii="宋体"/>
              </w:rPr>
            </w:pPr>
          </w:p>
        </w:tc>
        <w:tc>
          <w:tcPr>
            <w:tcW w:w="570" w:type="pct"/>
            <w:shd w:val="clear" w:color="auto" w:fill="auto"/>
            <w:vAlign w:val="bottom"/>
          </w:tcPr>
          <w:p w14:paraId="5F2CE607" w14:textId="77777777" w:rsidR="00E836FB" w:rsidRDefault="00E836FB">
            <w:pPr>
              <w:rPr>
                <w:rFonts w:ascii="宋体"/>
              </w:rPr>
            </w:pPr>
          </w:p>
        </w:tc>
        <w:tc>
          <w:tcPr>
            <w:tcW w:w="5" w:type="pct"/>
            <w:shd w:val="clear" w:color="auto" w:fill="auto"/>
            <w:vAlign w:val="bottom"/>
          </w:tcPr>
          <w:p w14:paraId="5F2CE608" w14:textId="77777777" w:rsidR="00E836FB" w:rsidRDefault="00E836FB">
            <w:pPr>
              <w:rPr>
                <w:rFonts w:ascii="宋体"/>
              </w:rPr>
            </w:pPr>
          </w:p>
        </w:tc>
        <w:tc>
          <w:tcPr>
            <w:tcW w:w="5" w:type="pct"/>
            <w:shd w:val="clear" w:color="auto" w:fill="auto"/>
            <w:vAlign w:val="bottom"/>
          </w:tcPr>
          <w:p w14:paraId="5F2CE609" w14:textId="77777777" w:rsidR="00E836FB" w:rsidRDefault="00E836FB">
            <w:pPr>
              <w:rPr>
                <w:rFonts w:ascii="宋体"/>
              </w:rPr>
            </w:pPr>
          </w:p>
        </w:tc>
        <w:tc>
          <w:tcPr>
            <w:tcW w:w="26" w:type="pct"/>
            <w:shd w:val="clear" w:color="auto" w:fill="auto"/>
            <w:vAlign w:val="bottom"/>
          </w:tcPr>
          <w:p w14:paraId="5F2CE60A" w14:textId="77777777" w:rsidR="00E836FB" w:rsidRDefault="00E836FB">
            <w:pPr>
              <w:rPr>
                <w:rFonts w:ascii="宋体"/>
              </w:rPr>
            </w:pPr>
          </w:p>
        </w:tc>
        <w:tc>
          <w:tcPr>
            <w:tcW w:w="5" w:type="pct"/>
            <w:shd w:val="clear" w:color="auto" w:fill="auto"/>
            <w:vAlign w:val="bottom"/>
          </w:tcPr>
          <w:p w14:paraId="5F2CE60B" w14:textId="77777777" w:rsidR="00E836FB" w:rsidRDefault="00E836FB">
            <w:pPr>
              <w:rPr>
                <w:rFonts w:ascii="宋体"/>
              </w:rPr>
            </w:pPr>
          </w:p>
        </w:tc>
        <w:tc>
          <w:tcPr>
            <w:tcW w:w="50" w:type="pct"/>
            <w:shd w:val="clear" w:color="auto" w:fill="auto"/>
            <w:vAlign w:val="bottom"/>
          </w:tcPr>
          <w:p w14:paraId="5F2CE60C" w14:textId="77777777" w:rsidR="00E836FB" w:rsidRDefault="00E836FB">
            <w:pPr>
              <w:rPr>
                <w:rFonts w:ascii="宋体"/>
              </w:rPr>
            </w:pPr>
          </w:p>
        </w:tc>
        <w:tc>
          <w:tcPr>
            <w:tcW w:w="570" w:type="pct"/>
            <w:shd w:val="clear" w:color="auto" w:fill="auto"/>
            <w:vAlign w:val="bottom"/>
          </w:tcPr>
          <w:p w14:paraId="5F2CE60D" w14:textId="77777777" w:rsidR="00E836FB" w:rsidRDefault="00E836FB">
            <w:pPr>
              <w:rPr>
                <w:rFonts w:ascii="宋体"/>
              </w:rPr>
            </w:pPr>
          </w:p>
        </w:tc>
        <w:tc>
          <w:tcPr>
            <w:tcW w:w="5" w:type="pct"/>
            <w:shd w:val="clear" w:color="auto" w:fill="auto"/>
            <w:vAlign w:val="bottom"/>
          </w:tcPr>
          <w:p w14:paraId="5F2CE60E" w14:textId="77777777" w:rsidR="00E836FB" w:rsidRDefault="00E836FB">
            <w:pPr>
              <w:rPr>
                <w:rFonts w:ascii="宋体"/>
              </w:rPr>
            </w:pPr>
          </w:p>
        </w:tc>
        <w:tc>
          <w:tcPr>
            <w:tcW w:w="5" w:type="pct"/>
            <w:shd w:val="clear" w:color="auto" w:fill="auto"/>
            <w:vAlign w:val="bottom"/>
          </w:tcPr>
          <w:p w14:paraId="5F2CE60F" w14:textId="77777777" w:rsidR="00E836FB" w:rsidRDefault="00E836FB">
            <w:pPr>
              <w:rPr>
                <w:rFonts w:ascii="宋体"/>
              </w:rPr>
            </w:pPr>
          </w:p>
        </w:tc>
        <w:tc>
          <w:tcPr>
            <w:tcW w:w="26" w:type="pct"/>
            <w:shd w:val="clear" w:color="auto" w:fill="auto"/>
            <w:vAlign w:val="bottom"/>
          </w:tcPr>
          <w:p w14:paraId="5F2CE610" w14:textId="77777777" w:rsidR="00E836FB" w:rsidRDefault="00E836FB">
            <w:pPr>
              <w:rPr>
                <w:rFonts w:ascii="宋体"/>
              </w:rPr>
            </w:pPr>
          </w:p>
        </w:tc>
        <w:tc>
          <w:tcPr>
            <w:tcW w:w="5" w:type="pct"/>
            <w:shd w:val="clear" w:color="auto" w:fill="auto"/>
            <w:vAlign w:val="bottom"/>
          </w:tcPr>
          <w:p w14:paraId="5F2CE611" w14:textId="77777777" w:rsidR="00E836FB" w:rsidRDefault="00E836FB">
            <w:pPr>
              <w:rPr>
                <w:rFonts w:ascii="宋体"/>
              </w:rPr>
            </w:pPr>
          </w:p>
        </w:tc>
        <w:tc>
          <w:tcPr>
            <w:tcW w:w="50" w:type="pct"/>
            <w:shd w:val="clear" w:color="auto" w:fill="auto"/>
            <w:vAlign w:val="bottom"/>
          </w:tcPr>
          <w:p w14:paraId="5F2CE612" w14:textId="77777777" w:rsidR="00E836FB" w:rsidRDefault="00E836FB">
            <w:pPr>
              <w:rPr>
                <w:rFonts w:ascii="宋体"/>
              </w:rPr>
            </w:pPr>
          </w:p>
        </w:tc>
        <w:tc>
          <w:tcPr>
            <w:tcW w:w="570" w:type="pct"/>
            <w:shd w:val="clear" w:color="auto" w:fill="auto"/>
            <w:vAlign w:val="bottom"/>
          </w:tcPr>
          <w:p w14:paraId="5F2CE613" w14:textId="77777777" w:rsidR="00E836FB" w:rsidRDefault="00E836FB">
            <w:pPr>
              <w:rPr>
                <w:rFonts w:ascii="宋体"/>
              </w:rPr>
            </w:pPr>
          </w:p>
        </w:tc>
        <w:tc>
          <w:tcPr>
            <w:tcW w:w="5" w:type="pct"/>
            <w:shd w:val="clear" w:color="auto" w:fill="auto"/>
            <w:vAlign w:val="bottom"/>
          </w:tcPr>
          <w:p w14:paraId="5F2CE614" w14:textId="77777777" w:rsidR="00E836FB" w:rsidRDefault="00E836FB">
            <w:pPr>
              <w:rPr>
                <w:rFonts w:ascii="宋体"/>
              </w:rPr>
            </w:pPr>
          </w:p>
        </w:tc>
      </w:tr>
      <w:tr w:rsidR="00E836FB" w14:paraId="5F2CE617" w14:textId="77777777">
        <w:tc>
          <w:tcPr>
            <w:tcW w:w="0" w:type="auto"/>
            <w:gridSpan w:val="36"/>
            <w:shd w:val="clear" w:color="auto" w:fill="auto"/>
            <w:tcMar>
              <w:top w:w="40" w:type="dxa"/>
              <w:left w:w="20" w:type="dxa"/>
              <w:bottom w:w="40" w:type="dxa"/>
              <w:right w:w="20" w:type="dxa"/>
            </w:tcMar>
            <w:vAlign w:val="bottom"/>
          </w:tcPr>
          <w:p w14:paraId="5F2CE616" w14:textId="77777777" w:rsidR="00E836FB" w:rsidRDefault="00994958">
            <w:pPr>
              <w:textAlignment w:val="bottom"/>
            </w:pPr>
            <w:r>
              <w:rPr>
                <w:rFonts w:ascii="Arial" w:eastAsia="宋体" w:hAnsi="Arial" w:cs="Arial"/>
                <w:b/>
                <w:bCs/>
                <w:color w:val="000000"/>
                <w:sz w:val="16"/>
                <w:szCs w:val="16"/>
              </w:rPr>
              <w:t>TABLE 47: PREFERRED STOCK DIVIDENDS</w:t>
            </w:r>
          </w:p>
        </w:tc>
      </w:tr>
      <w:tr w:rsidR="00E836FB" w14:paraId="5F2CE638" w14:textId="77777777">
        <w:trPr>
          <w:hidden/>
        </w:trPr>
        <w:tc>
          <w:tcPr>
            <w:tcW w:w="0" w:type="auto"/>
            <w:gridSpan w:val="3"/>
            <w:shd w:val="clear" w:color="auto" w:fill="auto"/>
            <w:vAlign w:val="bottom"/>
          </w:tcPr>
          <w:p w14:paraId="5F2CE618" w14:textId="77777777" w:rsidR="00E836FB" w:rsidRDefault="00E836FB">
            <w:pPr>
              <w:rPr>
                <w:rFonts w:ascii="宋体"/>
                <w:vanish/>
              </w:rPr>
            </w:pPr>
          </w:p>
        </w:tc>
        <w:tc>
          <w:tcPr>
            <w:tcW w:w="0" w:type="auto"/>
            <w:gridSpan w:val="3"/>
            <w:shd w:val="clear" w:color="auto" w:fill="auto"/>
            <w:vAlign w:val="bottom"/>
          </w:tcPr>
          <w:p w14:paraId="5F2CE619" w14:textId="77777777" w:rsidR="00E836FB" w:rsidRDefault="00E836FB">
            <w:pPr>
              <w:rPr>
                <w:rFonts w:ascii="宋体"/>
                <w:vanish/>
              </w:rPr>
            </w:pPr>
          </w:p>
        </w:tc>
        <w:tc>
          <w:tcPr>
            <w:tcW w:w="0" w:type="auto"/>
            <w:shd w:val="clear" w:color="auto" w:fill="auto"/>
            <w:vAlign w:val="bottom"/>
          </w:tcPr>
          <w:p w14:paraId="5F2CE61A" w14:textId="77777777" w:rsidR="00E836FB" w:rsidRDefault="00E836FB">
            <w:pPr>
              <w:rPr>
                <w:rFonts w:ascii="宋体"/>
              </w:rPr>
            </w:pPr>
          </w:p>
        </w:tc>
        <w:tc>
          <w:tcPr>
            <w:tcW w:w="0" w:type="auto"/>
            <w:shd w:val="clear" w:color="auto" w:fill="auto"/>
            <w:vAlign w:val="bottom"/>
          </w:tcPr>
          <w:p w14:paraId="5F2CE61B" w14:textId="77777777" w:rsidR="00E836FB" w:rsidRDefault="00E836FB">
            <w:pPr>
              <w:rPr>
                <w:rFonts w:ascii="宋体"/>
              </w:rPr>
            </w:pPr>
          </w:p>
        </w:tc>
        <w:tc>
          <w:tcPr>
            <w:tcW w:w="0" w:type="auto"/>
            <w:shd w:val="clear" w:color="auto" w:fill="auto"/>
            <w:vAlign w:val="bottom"/>
          </w:tcPr>
          <w:p w14:paraId="5F2CE61C" w14:textId="77777777" w:rsidR="00E836FB" w:rsidRDefault="00E836FB">
            <w:pPr>
              <w:rPr>
                <w:rFonts w:ascii="宋体"/>
              </w:rPr>
            </w:pPr>
          </w:p>
        </w:tc>
        <w:tc>
          <w:tcPr>
            <w:tcW w:w="0" w:type="auto"/>
            <w:shd w:val="clear" w:color="auto" w:fill="auto"/>
            <w:vAlign w:val="bottom"/>
          </w:tcPr>
          <w:p w14:paraId="5F2CE61D" w14:textId="77777777" w:rsidR="00E836FB" w:rsidRDefault="00E836FB">
            <w:pPr>
              <w:rPr>
                <w:rFonts w:ascii="宋体"/>
              </w:rPr>
            </w:pPr>
          </w:p>
        </w:tc>
        <w:tc>
          <w:tcPr>
            <w:tcW w:w="0" w:type="auto"/>
            <w:shd w:val="clear" w:color="auto" w:fill="auto"/>
            <w:vAlign w:val="bottom"/>
          </w:tcPr>
          <w:p w14:paraId="5F2CE61E" w14:textId="77777777" w:rsidR="00E836FB" w:rsidRDefault="00E836FB">
            <w:pPr>
              <w:rPr>
                <w:rFonts w:ascii="宋体"/>
              </w:rPr>
            </w:pPr>
          </w:p>
        </w:tc>
        <w:tc>
          <w:tcPr>
            <w:tcW w:w="0" w:type="auto"/>
            <w:shd w:val="clear" w:color="auto" w:fill="auto"/>
            <w:vAlign w:val="bottom"/>
          </w:tcPr>
          <w:p w14:paraId="5F2CE61F" w14:textId="77777777" w:rsidR="00E836FB" w:rsidRDefault="00E836FB">
            <w:pPr>
              <w:rPr>
                <w:rFonts w:ascii="宋体"/>
              </w:rPr>
            </w:pPr>
          </w:p>
        </w:tc>
        <w:tc>
          <w:tcPr>
            <w:tcW w:w="0" w:type="auto"/>
            <w:shd w:val="clear" w:color="auto" w:fill="auto"/>
            <w:vAlign w:val="bottom"/>
          </w:tcPr>
          <w:p w14:paraId="5F2CE620" w14:textId="77777777" w:rsidR="00E836FB" w:rsidRDefault="00E836FB">
            <w:pPr>
              <w:rPr>
                <w:rFonts w:ascii="宋体"/>
              </w:rPr>
            </w:pPr>
          </w:p>
        </w:tc>
        <w:tc>
          <w:tcPr>
            <w:tcW w:w="0" w:type="auto"/>
            <w:shd w:val="clear" w:color="auto" w:fill="auto"/>
            <w:vAlign w:val="bottom"/>
          </w:tcPr>
          <w:p w14:paraId="5F2CE621" w14:textId="77777777" w:rsidR="00E836FB" w:rsidRDefault="00E836FB">
            <w:pPr>
              <w:rPr>
                <w:rFonts w:ascii="宋体"/>
              </w:rPr>
            </w:pPr>
          </w:p>
        </w:tc>
        <w:tc>
          <w:tcPr>
            <w:tcW w:w="0" w:type="auto"/>
            <w:shd w:val="clear" w:color="auto" w:fill="auto"/>
            <w:vAlign w:val="bottom"/>
          </w:tcPr>
          <w:p w14:paraId="5F2CE622" w14:textId="77777777" w:rsidR="00E836FB" w:rsidRDefault="00E836FB">
            <w:pPr>
              <w:rPr>
                <w:rFonts w:ascii="宋体"/>
              </w:rPr>
            </w:pPr>
          </w:p>
        </w:tc>
        <w:tc>
          <w:tcPr>
            <w:tcW w:w="0" w:type="auto"/>
            <w:shd w:val="clear" w:color="auto" w:fill="auto"/>
            <w:vAlign w:val="bottom"/>
          </w:tcPr>
          <w:p w14:paraId="5F2CE623" w14:textId="77777777" w:rsidR="00E836FB" w:rsidRDefault="00E836FB">
            <w:pPr>
              <w:rPr>
                <w:rFonts w:ascii="宋体"/>
              </w:rPr>
            </w:pPr>
          </w:p>
        </w:tc>
        <w:tc>
          <w:tcPr>
            <w:tcW w:w="0" w:type="auto"/>
            <w:shd w:val="clear" w:color="auto" w:fill="auto"/>
            <w:vAlign w:val="bottom"/>
          </w:tcPr>
          <w:p w14:paraId="5F2CE624" w14:textId="77777777" w:rsidR="00E836FB" w:rsidRDefault="00E836FB">
            <w:pPr>
              <w:rPr>
                <w:rFonts w:ascii="宋体"/>
              </w:rPr>
            </w:pPr>
          </w:p>
        </w:tc>
        <w:tc>
          <w:tcPr>
            <w:tcW w:w="0" w:type="auto"/>
            <w:shd w:val="clear" w:color="auto" w:fill="auto"/>
            <w:vAlign w:val="bottom"/>
          </w:tcPr>
          <w:p w14:paraId="5F2CE625" w14:textId="77777777" w:rsidR="00E836FB" w:rsidRDefault="00E836FB">
            <w:pPr>
              <w:rPr>
                <w:rFonts w:ascii="宋体"/>
              </w:rPr>
            </w:pPr>
          </w:p>
        </w:tc>
        <w:tc>
          <w:tcPr>
            <w:tcW w:w="0" w:type="auto"/>
            <w:shd w:val="clear" w:color="auto" w:fill="auto"/>
            <w:vAlign w:val="bottom"/>
          </w:tcPr>
          <w:p w14:paraId="5F2CE626" w14:textId="77777777" w:rsidR="00E836FB" w:rsidRDefault="00E836FB">
            <w:pPr>
              <w:rPr>
                <w:rFonts w:ascii="宋体"/>
              </w:rPr>
            </w:pPr>
          </w:p>
        </w:tc>
        <w:tc>
          <w:tcPr>
            <w:tcW w:w="0" w:type="auto"/>
            <w:shd w:val="clear" w:color="auto" w:fill="auto"/>
            <w:vAlign w:val="bottom"/>
          </w:tcPr>
          <w:p w14:paraId="5F2CE627" w14:textId="77777777" w:rsidR="00E836FB" w:rsidRDefault="00E836FB">
            <w:pPr>
              <w:rPr>
                <w:rFonts w:ascii="宋体"/>
              </w:rPr>
            </w:pPr>
          </w:p>
        </w:tc>
        <w:tc>
          <w:tcPr>
            <w:tcW w:w="0" w:type="auto"/>
            <w:shd w:val="clear" w:color="auto" w:fill="auto"/>
            <w:vAlign w:val="bottom"/>
          </w:tcPr>
          <w:p w14:paraId="5F2CE628" w14:textId="77777777" w:rsidR="00E836FB" w:rsidRDefault="00E836FB">
            <w:pPr>
              <w:rPr>
                <w:rFonts w:ascii="宋体"/>
              </w:rPr>
            </w:pPr>
          </w:p>
        </w:tc>
        <w:tc>
          <w:tcPr>
            <w:tcW w:w="0" w:type="auto"/>
            <w:shd w:val="clear" w:color="auto" w:fill="auto"/>
            <w:vAlign w:val="bottom"/>
          </w:tcPr>
          <w:p w14:paraId="5F2CE629" w14:textId="77777777" w:rsidR="00E836FB" w:rsidRDefault="00E836FB">
            <w:pPr>
              <w:rPr>
                <w:rFonts w:ascii="宋体"/>
              </w:rPr>
            </w:pPr>
          </w:p>
        </w:tc>
        <w:tc>
          <w:tcPr>
            <w:tcW w:w="0" w:type="auto"/>
            <w:shd w:val="clear" w:color="auto" w:fill="auto"/>
            <w:vAlign w:val="bottom"/>
          </w:tcPr>
          <w:p w14:paraId="5F2CE62A" w14:textId="77777777" w:rsidR="00E836FB" w:rsidRDefault="00E836FB">
            <w:pPr>
              <w:rPr>
                <w:rFonts w:ascii="宋体"/>
              </w:rPr>
            </w:pPr>
          </w:p>
        </w:tc>
        <w:tc>
          <w:tcPr>
            <w:tcW w:w="0" w:type="auto"/>
            <w:shd w:val="clear" w:color="auto" w:fill="auto"/>
            <w:vAlign w:val="bottom"/>
          </w:tcPr>
          <w:p w14:paraId="5F2CE62B" w14:textId="77777777" w:rsidR="00E836FB" w:rsidRDefault="00E836FB">
            <w:pPr>
              <w:rPr>
                <w:rFonts w:ascii="宋体"/>
              </w:rPr>
            </w:pPr>
          </w:p>
        </w:tc>
        <w:tc>
          <w:tcPr>
            <w:tcW w:w="0" w:type="auto"/>
            <w:shd w:val="clear" w:color="auto" w:fill="auto"/>
            <w:vAlign w:val="bottom"/>
          </w:tcPr>
          <w:p w14:paraId="5F2CE62C" w14:textId="77777777" w:rsidR="00E836FB" w:rsidRDefault="00E836FB">
            <w:pPr>
              <w:rPr>
                <w:rFonts w:ascii="宋体"/>
              </w:rPr>
            </w:pPr>
          </w:p>
        </w:tc>
        <w:tc>
          <w:tcPr>
            <w:tcW w:w="0" w:type="auto"/>
            <w:shd w:val="clear" w:color="auto" w:fill="auto"/>
            <w:vAlign w:val="bottom"/>
          </w:tcPr>
          <w:p w14:paraId="5F2CE62D" w14:textId="77777777" w:rsidR="00E836FB" w:rsidRDefault="00E836FB">
            <w:pPr>
              <w:rPr>
                <w:rFonts w:ascii="宋体"/>
              </w:rPr>
            </w:pPr>
          </w:p>
        </w:tc>
        <w:tc>
          <w:tcPr>
            <w:tcW w:w="0" w:type="auto"/>
            <w:shd w:val="clear" w:color="auto" w:fill="auto"/>
            <w:vAlign w:val="bottom"/>
          </w:tcPr>
          <w:p w14:paraId="5F2CE62E" w14:textId="77777777" w:rsidR="00E836FB" w:rsidRDefault="00E836FB">
            <w:pPr>
              <w:rPr>
                <w:rFonts w:ascii="宋体"/>
              </w:rPr>
            </w:pPr>
          </w:p>
        </w:tc>
        <w:tc>
          <w:tcPr>
            <w:tcW w:w="0" w:type="auto"/>
            <w:shd w:val="clear" w:color="auto" w:fill="auto"/>
            <w:vAlign w:val="bottom"/>
          </w:tcPr>
          <w:p w14:paraId="5F2CE62F" w14:textId="77777777" w:rsidR="00E836FB" w:rsidRDefault="00E836FB">
            <w:pPr>
              <w:rPr>
                <w:rFonts w:ascii="宋体"/>
              </w:rPr>
            </w:pPr>
          </w:p>
        </w:tc>
        <w:tc>
          <w:tcPr>
            <w:tcW w:w="0" w:type="auto"/>
            <w:shd w:val="clear" w:color="auto" w:fill="auto"/>
            <w:vAlign w:val="bottom"/>
          </w:tcPr>
          <w:p w14:paraId="5F2CE630" w14:textId="77777777" w:rsidR="00E836FB" w:rsidRDefault="00E836FB">
            <w:pPr>
              <w:rPr>
                <w:rFonts w:ascii="宋体"/>
              </w:rPr>
            </w:pPr>
          </w:p>
        </w:tc>
        <w:tc>
          <w:tcPr>
            <w:tcW w:w="0" w:type="auto"/>
            <w:shd w:val="clear" w:color="auto" w:fill="auto"/>
            <w:vAlign w:val="bottom"/>
          </w:tcPr>
          <w:p w14:paraId="5F2CE631" w14:textId="77777777" w:rsidR="00E836FB" w:rsidRDefault="00E836FB">
            <w:pPr>
              <w:rPr>
                <w:rFonts w:ascii="宋体"/>
              </w:rPr>
            </w:pPr>
          </w:p>
        </w:tc>
        <w:tc>
          <w:tcPr>
            <w:tcW w:w="0" w:type="auto"/>
            <w:shd w:val="clear" w:color="auto" w:fill="auto"/>
            <w:vAlign w:val="bottom"/>
          </w:tcPr>
          <w:p w14:paraId="5F2CE632" w14:textId="77777777" w:rsidR="00E836FB" w:rsidRDefault="00E836FB">
            <w:pPr>
              <w:rPr>
                <w:rFonts w:ascii="宋体"/>
              </w:rPr>
            </w:pPr>
          </w:p>
        </w:tc>
        <w:tc>
          <w:tcPr>
            <w:tcW w:w="0" w:type="auto"/>
            <w:shd w:val="clear" w:color="auto" w:fill="auto"/>
            <w:vAlign w:val="bottom"/>
          </w:tcPr>
          <w:p w14:paraId="5F2CE633" w14:textId="77777777" w:rsidR="00E836FB" w:rsidRDefault="00E836FB">
            <w:pPr>
              <w:rPr>
                <w:rFonts w:ascii="宋体"/>
              </w:rPr>
            </w:pPr>
          </w:p>
        </w:tc>
        <w:tc>
          <w:tcPr>
            <w:tcW w:w="0" w:type="auto"/>
            <w:shd w:val="clear" w:color="auto" w:fill="auto"/>
            <w:vAlign w:val="bottom"/>
          </w:tcPr>
          <w:p w14:paraId="5F2CE634" w14:textId="77777777" w:rsidR="00E836FB" w:rsidRDefault="00E836FB">
            <w:pPr>
              <w:rPr>
                <w:rFonts w:ascii="宋体"/>
              </w:rPr>
            </w:pPr>
          </w:p>
        </w:tc>
        <w:tc>
          <w:tcPr>
            <w:tcW w:w="0" w:type="auto"/>
            <w:shd w:val="clear" w:color="auto" w:fill="auto"/>
            <w:vAlign w:val="bottom"/>
          </w:tcPr>
          <w:p w14:paraId="5F2CE635" w14:textId="77777777" w:rsidR="00E836FB" w:rsidRDefault="00E836FB">
            <w:pPr>
              <w:rPr>
                <w:rFonts w:ascii="宋体"/>
              </w:rPr>
            </w:pPr>
          </w:p>
        </w:tc>
        <w:tc>
          <w:tcPr>
            <w:tcW w:w="0" w:type="auto"/>
            <w:shd w:val="clear" w:color="auto" w:fill="auto"/>
            <w:vAlign w:val="bottom"/>
          </w:tcPr>
          <w:p w14:paraId="5F2CE636" w14:textId="77777777" w:rsidR="00E836FB" w:rsidRDefault="00E836FB">
            <w:pPr>
              <w:rPr>
                <w:rFonts w:ascii="宋体"/>
              </w:rPr>
            </w:pPr>
          </w:p>
        </w:tc>
        <w:tc>
          <w:tcPr>
            <w:tcW w:w="0" w:type="auto"/>
            <w:shd w:val="clear" w:color="auto" w:fill="auto"/>
            <w:vAlign w:val="bottom"/>
          </w:tcPr>
          <w:p w14:paraId="5F2CE637" w14:textId="77777777" w:rsidR="00E836FB" w:rsidRDefault="00E836FB">
            <w:pPr>
              <w:rPr>
                <w:rFonts w:ascii="宋体"/>
              </w:rPr>
            </w:pPr>
          </w:p>
        </w:tc>
      </w:tr>
      <w:tr w:rsidR="00E836FB" w14:paraId="5F2CE655" w14:textId="77777777">
        <w:trPr>
          <w:hidden/>
        </w:trPr>
        <w:tc>
          <w:tcPr>
            <w:tcW w:w="0" w:type="auto"/>
            <w:gridSpan w:val="3"/>
            <w:shd w:val="clear" w:color="auto" w:fill="auto"/>
            <w:vAlign w:val="bottom"/>
          </w:tcPr>
          <w:p w14:paraId="5F2CE639" w14:textId="77777777" w:rsidR="00E836FB" w:rsidRDefault="00E836FB">
            <w:pPr>
              <w:rPr>
                <w:rFonts w:ascii="宋体"/>
                <w:vanish/>
              </w:rPr>
            </w:pPr>
          </w:p>
        </w:tc>
        <w:tc>
          <w:tcPr>
            <w:tcW w:w="0" w:type="auto"/>
            <w:gridSpan w:val="3"/>
            <w:shd w:val="clear" w:color="auto" w:fill="auto"/>
            <w:vAlign w:val="bottom"/>
          </w:tcPr>
          <w:p w14:paraId="5F2CE63A" w14:textId="77777777" w:rsidR="00E836FB" w:rsidRDefault="00E836FB">
            <w:pPr>
              <w:rPr>
                <w:rFonts w:ascii="宋体"/>
                <w:vanish/>
              </w:rPr>
            </w:pPr>
          </w:p>
        </w:tc>
        <w:tc>
          <w:tcPr>
            <w:tcW w:w="0" w:type="auto"/>
            <w:gridSpan w:val="3"/>
            <w:shd w:val="clear" w:color="auto" w:fill="auto"/>
            <w:vAlign w:val="bottom"/>
          </w:tcPr>
          <w:p w14:paraId="5F2CE63B" w14:textId="77777777" w:rsidR="00E836FB" w:rsidRDefault="00E836FB">
            <w:pPr>
              <w:rPr>
                <w:rFonts w:ascii="宋体"/>
                <w:vanish/>
              </w:rPr>
            </w:pPr>
          </w:p>
        </w:tc>
        <w:tc>
          <w:tcPr>
            <w:tcW w:w="0" w:type="auto"/>
            <w:gridSpan w:val="3"/>
            <w:shd w:val="clear" w:color="auto" w:fill="auto"/>
            <w:vAlign w:val="bottom"/>
          </w:tcPr>
          <w:p w14:paraId="5F2CE63C" w14:textId="77777777" w:rsidR="00E836FB" w:rsidRDefault="00E836FB">
            <w:pPr>
              <w:rPr>
                <w:rFonts w:ascii="宋体"/>
                <w:vanish/>
              </w:rPr>
            </w:pPr>
          </w:p>
        </w:tc>
        <w:tc>
          <w:tcPr>
            <w:tcW w:w="0" w:type="auto"/>
            <w:shd w:val="clear" w:color="auto" w:fill="auto"/>
            <w:vAlign w:val="bottom"/>
          </w:tcPr>
          <w:p w14:paraId="5F2CE63D" w14:textId="77777777" w:rsidR="00E836FB" w:rsidRDefault="00E836FB">
            <w:pPr>
              <w:rPr>
                <w:rFonts w:ascii="宋体"/>
              </w:rPr>
            </w:pPr>
          </w:p>
        </w:tc>
        <w:tc>
          <w:tcPr>
            <w:tcW w:w="0" w:type="auto"/>
            <w:shd w:val="clear" w:color="auto" w:fill="auto"/>
            <w:vAlign w:val="bottom"/>
          </w:tcPr>
          <w:p w14:paraId="5F2CE63E" w14:textId="77777777" w:rsidR="00E836FB" w:rsidRDefault="00E836FB">
            <w:pPr>
              <w:rPr>
                <w:rFonts w:ascii="宋体"/>
              </w:rPr>
            </w:pPr>
          </w:p>
        </w:tc>
        <w:tc>
          <w:tcPr>
            <w:tcW w:w="0" w:type="auto"/>
            <w:shd w:val="clear" w:color="auto" w:fill="auto"/>
            <w:vAlign w:val="bottom"/>
          </w:tcPr>
          <w:p w14:paraId="5F2CE63F" w14:textId="77777777" w:rsidR="00E836FB" w:rsidRDefault="00E836FB">
            <w:pPr>
              <w:rPr>
                <w:rFonts w:ascii="宋体"/>
              </w:rPr>
            </w:pPr>
          </w:p>
        </w:tc>
        <w:tc>
          <w:tcPr>
            <w:tcW w:w="0" w:type="auto"/>
            <w:shd w:val="clear" w:color="auto" w:fill="auto"/>
            <w:vAlign w:val="bottom"/>
          </w:tcPr>
          <w:p w14:paraId="5F2CE640" w14:textId="77777777" w:rsidR="00E836FB" w:rsidRDefault="00E836FB">
            <w:pPr>
              <w:rPr>
                <w:rFonts w:ascii="宋体"/>
              </w:rPr>
            </w:pPr>
          </w:p>
        </w:tc>
        <w:tc>
          <w:tcPr>
            <w:tcW w:w="0" w:type="auto"/>
            <w:shd w:val="clear" w:color="auto" w:fill="auto"/>
            <w:vAlign w:val="bottom"/>
          </w:tcPr>
          <w:p w14:paraId="5F2CE641" w14:textId="77777777" w:rsidR="00E836FB" w:rsidRDefault="00E836FB">
            <w:pPr>
              <w:rPr>
                <w:rFonts w:ascii="宋体"/>
              </w:rPr>
            </w:pPr>
          </w:p>
        </w:tc>
        <w:tc>
          <w:tcPr>
            <w:tcW w:w="0" w:type="auto"/>
            <w:shd w:val="clear" w:color="auto" w:fill="auto"/>
            <w:vAlign w:val="bottom"/>
          </w:tcPr>
          <w:p w14:paraId="5F2CE642" w14:textId="77777777" w:rsidR="00E836FB" w:rsidRDefault="00E836FB">
            <w:pPr>
              <w:rPr>
                <w:rFonts w:ascii="宋体"/>
              </w:rPr>
            </w:pPr>
          </w:p>
        </w:tc>
        <w:tc>
          <w:tcPr>
            <w:tcW w:w="0" w:type="auto"/>
            <w:shd w:val="clear" w:color="auto" w:fill="auto"/>
            <w:vAlign w:val="bottom"/>
          </w:tcPr>
          <w:p w14:paraId="5F2CE643" w14:textId="77777777" w:rsidR="00E836FB" w:rsidRDefault="00E836FB">
            <w:pPr>
              <w:rPr>
                <w:rFonts w:ascii="宋体"/>
              </w:rPr>
            </w:pPr>
          </w:p>
        </w:tc>
        <w:tc>
          <w:tcPr>
            <w:tcW w:w="0" w:type="auto"/>
            <w:shd w:val="clear" w:color="auto" w:fill="auto"/>
            <w:vAlign w:val="bottom"/>
          </w:tcPr>
          <w:p w14:paraId="5F2CE644" w14:textId="77777777" w:rsidR="00E836FB" w:rsidRDefault="00E836FB">
            <w:pPr>
              <w:rPr>
                <w:rFonts w:ascii="宋体"/>
              </w:rPr>
            </w:pPr>
          </w:p>
        </w:tc>
        <w:tc>
          <w:tcPr>
            <w:tcW w:w="0" w:type="auto"/>
            <w:shd w:val="clear" w:color="auto" w:fill="auto"/>
            <w:vAlign w:val="bottom"/>
          </w:tcPr>
          <w:p w14:paraId="5F2CE645" w14:textId="77777777" w:rsidR="00E836FB" w:rsidRDefault="00E836FB">
            <w:pPr>
              <w:rPr>
                <w:rFonts w:ascii="宋体"/>
              </w:rPr>
            </w:pPr>
          </w:p>
        </w:tc>
        <w:tc>
          <w:tcPr>
            <w:tcW w:w="0" w:type="auto"/>
            <w:shd w:val="clear" w:color="auto" w:fill="auto"/>
            <w:vAlign w:val="bottom"/>
          </w:tcPr>
          <w:p w14:paraId="5F2CE646" w14:textId="77777777" w:rsidR="00E836FB" w:rsidRDefault="00E836FB">
            <w:pPr>
              <w:rPr>
                <w:rFonts w:ascii="宋体"/>
              </w:rPr>
            </w:pPr>
          </w:p>
        </w:tc>
        <w:tc>
          <w:tcPr>
            <w:tcW w:w="0" w:type="auto"/>
            <w:shd w:val="clear" w:color="auto" w:fill="auto"/>
            <w:vAlign w:val="bottom"/>
          </w:tcPr>
          <w:p w14:paraId="5F2CE647" w14:textId="77777777" w:rsidR="00E836FB" w:rsidRDefault="00E836FB">
            <w:pPr>
              <w:rPr>
                <w:rFonts w:ascii="宋体"/>
              </w:rPr>
            </w:pPr>
          </w:p>
        </w:tc>
        <w:tc>
          <w:tcPr>
            <w:tcW w:w="0" w:type="auto"/>
            <w:shd w:val="clear" w:color="auto" w:fill="auto"/>
            <w:vAlign w:val="bottom"/>
          </w:tcPr>
          <w:p w14:paraId="5F2CE648" w14:textId="77777777" w:rsidR="00E836FB" w:rsidRDefault="00E836FB">
            <w:pPr>
              <w:rPr>
                <w:rFonts w:ascii="宋体"/>
              </w:rPr>
            </w:pPr>
          </w:p>
        </w:tc>
        <w:tc>
          <w:tcPr>
            <w:tcW w:w="0" w:type="auto"/>
            <w:shd w:val="clear" w:color="auto" w:fill="auto"/>
            <w:vAlign w:val="bottom"/>
          </w:tcPr>
          <w:p w14:paraId="5F2CE649" w14:textId="77777777" w:rsidR="00E836FB" w:rsidRDefault="00E836FB">
            <w:pPr>
              <w:rPr>
                <w:rFonts w:ascii="宋体"/>
              </w:rPr>
            </w:pPr>
          </w:p>
        </w:tc>
        <w:tc>
          <w:tcPr>
            <w:tcW w:w="0" w:type="auto"/>
            <w:shd w:val="clear" w:color="auto" w:fill="auto"/>
            <w:vAlign w:val="bottom"/>
          </w:tcPr>
          <w:p w14:paraId="5F2CE64A" w14:textId="77777777" w:rsidR="00E836FB" w:rsidRDefault="00E836FB">
            <w:pPr>
              <w:rPr>
                <w:rFonts w:ascii="宋体"/>
              </w:rPr>
            </w:pPr>
          </w:p>
        </w:tc>
        <w:tc>
          <w:tcPr>
            <w:tcW w:w="0" w:type="auto"/>
            <w:shd w:val="clear" w:color="auto" w:fill="auto"/>
            <w:vAlign w:val="bottom"/>
          </w:tcPr>
          <w:p w14:paraId="5F2CE64B" w14:textId="77777777" w:rsidR="00E836FB" w:rsidRDefault="00E836FB">
            <w:pPr>
              <w:rPr>
                <w:rFonts w:ascii="宋体"/>
              </w:rPr>
            </w:pPr>
          </w:p>
        </w:tc>
        <w:tc>
          <w:tcPr>
            <w:tcW w:w="0" w:type="auto"/>
            <w:shd w:val="clear" w:color="auto" w:fill="auto"/>
            <w:vAlign w:val="bottom"/>
          </w:tcPr>
          <w:p w14:paraId="5F2CE64C" w14:textId="77777777" w:rsidR="00E836FB" w:rsidRDefault="00E836FB">
            <w:pPr>
              <w:rPr>
                <w:rFonts w:ascii="宋体"/>
              </w:rPr>
            </w:pPr>
          </w:p>
        </w:tc>
        <w:tc>
          <w:tcPr>
            <w:tcW w:w="0" w:type="auto"/>
            <w:shd w:val="clear" w:color="auto" w:fill="auto"/>
            <w:vAlign w:val="bottom"/>
          </w:tcPr>
          <w:p w14:paraId="5F2CE64D" w14:textId="77777777" w:rsidR="00E836FB" w:rsidRDefault="00E836FB">
            <w:pPr>
              <w:rPr>
                <w:rFonts w:ascii="宋体"/>
              </w:rPr>
            </w:pPr>
          </w:p>
        </w:tc>
        <w:tc>
          <w:tcPr>
            <w:tcW w:w="0" w:type="auto"/>
            <w:shd w:val="clear" w:color="auto" w:fill="auto"/>
            <w:vAlign w:val="bottom"/>
          </w:tcPr>
          <w:p w14:paraId="5F2CE64E" w14:textId="77777777" w:rsidR="00E836FB" w:rsidRDefault="00E836FB">
            <w:pPr>
              <w:rPr>
                <w:rFonts w:ascii="宋体"/>
              </w:rPr>
            </w:pPr>
          </w:p>
        </w:tc>
        <w:tc>
          <w:tcPr>
            <w:tcW w:w="0" w:type="auto"/>
            <w:shd w:val="clear" w:color="auto" w:fill="auto"/>
            <w:vAlign w:val="bottom"/>
          </w:tcPr>
          <w:p w14:paraId="5F2CE64F" w14:textId="77777777" w:rsidR="00E836FB" w:rsidRDefault="00E836FB">
            <w:pPr>
              <w:rPr>
                <w:rFonts w:ascii="宋体"/>
              </w:rPr>
            </w:pPr>
          </w:p>
        </w:tc>
        <w:tc>
          <w:tcPr>
            <w:tcW w:w="0" w:type="auto"/>
            <w:shd w:val="clear" w:color="auto" w:fill="auto"/>
            <w:vAlign w:val="bottom"/>
          </w:tcPr>
          <w:p w14:paraId="5F2CE650" w14:textId="77777777" w:rsidR="00E836FB" w:rsidRDefault="00E836FB">
            <w:pPr>
              <w:rPr>
                <w:rFonts w:ascii="宋体"/>
              </w:rPr>
            </w:pPr>
          </w:p>
        </w:tc>
        <w:tc>
          <w:tcPr>
            <w:tcW w:w="0" w:type="auto"/>
            <w:shd w:val="clear" w:color="auto" w:fill="auto"/>
            <w:vAlign w:val="bottom"/>
          </w:tcPr>
          <w:p w14:paraId="5F2CE651" w14:textId="77777777" w:rsidR="00E836FB" w:rsidRDefault="00E836FB">
            <w:pPr>
              <w:rPr>
                <w:rFonts w:ascii="宋体"/>
              </w:rPr>
            </w:pPr>
          </w:p>
        </w:tc>
        <w:tc>
          <w:tcPr>
            <w:tcW w:w="0" w:type="auto"/>
            <w:shd w:val="clear" w:color="auto" w:fill="auto"/>
            <w:vAlign w:val="bottom"/>
          </w:tcPr>
          <w:p w14:paraId="5F2CE652" w14:textId="77777777" w:rsidR="00E836FB" w:rsidRDefault="00E836FB">
            <w:pPr>
              <w:rPr>
                <w:rFonts w:ascii="宋体"/>
              </w:rPr>
            </w:pPr>
          </w:p>
        </w:tc>
        <w:tc>
          <w:tcPr>
            <w:tcW w:w="0" w:type="auto"/>
            <w:shd w:val="clear" w:color="auto" w:fill="auto"/>
            <w:vAlign w:val="bottom"/>
          </w:tcPr>
          <w:p w14:paraId="5F2CE653" w14:textId="77777777" w:rsidR="00E836FB" w:rsidRDefault="00E836FB">
            <w:pPr>
              <w:rPr>
                <w:rFonts w:ascii="宋体"/>
              </w:rPr>
            </w:pPr>
          </w:p>
        </w:tc>
        <w:tc>
          <w:tcPr>
            <w:tcW w:w="0" w:type="auto"/>
            <w:shd w:val="clear" w:color="auto" w:fill="auto"/>
            <w:vAlign w:val="bottom"/>
          </w:tcPr>
          <w:p w14:paraId="5F2CE654" w14:textId="77777777" w:rsidR="00E836FB" w:rsidRDefault="00E836FB">
            <w:pPr>
              <w:rPr>
                <w:rFonts w:ascii="宋体"/>
              </w:rPr>
            </w:pPr>
          </w:p>
        </w:tc>
      </w:tr>
      <w:tr w:rsidR="00E836FB" w14:paraId="5F2CE662" w14:textId="77777777">
        <w:trPr>
          <w:hidden/>
        </w:trPr>
        <w:tc>
          <w:tcPr>
            <w:tcW w:w="0" w:type="auto"/>
            <w:gridSpan w:val="3"/>
            <w:shd w:val="clear" w:color="auto" w:fill="auto"/>
            <w:vAlign w:val="bottom"/>
          </w:tcPr>
          <w:p w14:paraId="5F2CE656" w14:textId="77777777" w:rsidR="00E836FB" w:rsidRDefault="00E836FB">
            <w:pPr>
              <w:rPr>
                <w:rFonts w:ascii="宋体"/>
                <w:vanish/>
              </w:rPr>
            </w:pPr>
          </w:p>
        </w:tc>
        <w:tc>
          <w:tcPr>
            <w:tcW w:w="0" w:type="auto"/>
            <w:gridSpan w:val="3"/>
            <w:shd w:val="clear" w:color="auto" w:fill="auto"/>
            <w:vAlign w:val="bottom"/>
          </w:tcPr>
          <w:p w14:paraId="5F2CE657" w14:textId="77777777" w:rsidR="00E836FB" w:rsidRDefault="00E836FB">
            <w:pPr>
              <w:rPr>
                <w:rFonts w:ascii="宋体"/>
                <w:vanish/>
              </w:rPr>
            </w:pPr>
          </w:p>
        </w:tc>
        <w:tc>
          <w:tcPr>
            <w:tcW w:w="0" w:type="auto"/>
            <w:gridSpan w:val="3"/>
            <w:shd w:val="clear" w:color="auto" w:fill="auto"/>
            <w:vAlign w:val="bottom"/>
          </w:tcPr>
          <w:p w14:paraId="5F2CE658" w14:textId="77777777" w:rsidR="00E836FB" w:rsidRDefault="00E836FB">
            <w:pPr>
              <w:rPr>
                <w:rFonts w:ascii="宋体"/>
                <w:vanish/>
              </w:rPr>
            </w:pPr>
          </w:p>
        </w:tc>
        <w:tc>
          <w:tcPr>
            <w:tcW w:w="0" w:type="auto"/>
            <w:gridSpan w:val="3"/>
            <w:shd w:val="clear" w:color="auto" w:fill="auto"/>
            <w:vAlign w:val="bottom"/>
          </w:tcPr>
          <w:p w14:paraId="5F2CE659" w14:textId="77777777" w:rsidR="00E836FB" w:rsidRDefault="00E836FB">
            <w:pPr>
              <w:rPr>
                <w:rFonts w:ascii="宋体"/>
                <w:vanish/>
              </w:rPr>
            </w:pPr>
          </w:p>
        </w:tc>
        <w:tc>
          <w:tcPr>
            <w:tcW w:w="0" w:type="auto"/>
            <w:gridSpan w:val="3"/>
            <w:shd w:val="clear" w:color="auto" w:fill="auto"/>
            <w:vAlign w:val="bottom"/>
          </w:tcPr>
          <w:p w14:paraId="5F2CE65A" w14:textId="77777777" w:rsidR="00E836FB" w:rsidRDefault="00E836FB">
            <w:pPr>
              <w:rPr>
                <w:rFonts w:ascii="宋体"/>
                <w:vanish/>
              </w:rPr>
            </w:pPr>
          </w:p>
        </w:tc>
        <w:tc>
          <w:tcPr>
            <w:tcW w:w="0" w:type="auto"/>
            <w:gridSpan w:val="3"/>
            <w:shd w:val="clear" w:color="auto" w:fill="auto"/>
            <w:vAlign w:val="bottom"/>
          </w:tcPr>
          <w:p w14:paraId="5F2CE65B" w14:textId="77777777" w:rsidR="00E836FB" w:rsidRDefault="00E836FB">
            <w:pPr>
              <w:rPr>
                <w:rFonts w:ascii="宋体"/>
                <w:vanish/>
              </w:rPr>
            </w:pPr>
          </w:p>
        </w:tc>
        <w:tc>
          <w:tcPr>
            <w:tcW w:w="0" w:type="auto"/>
            <w:gridSpan w:val="3"/>
            <w:shd w:val="clear" w:color="auto" w:fill="auto"/>
            <w:vAlign w:val="bottom"/>
          </w:tcPr>
          <w:p w14:paraId="5F2CE65C" w14:textId="77777777" w:rsidR="00E836FB" w:rsidRDefault="00E836FB">
            <w:pPr>
              <w:rPr>
                <w:rFonts w:ascii="宋体"/>
                <w:vanish/>
              </w:rPr>
            </w:pPr>
          </w:p>
        </w:tc>
        <w:tc>
          <w:tcPr>
            <w:tcW w:w="0" w:type="auto"/>
            <w:gridSpan w:val="3"/>
            <w:shd w:val="clear" w:color="auto" w:fill="auto"/>
            <w:vAlign w:val="bottom"/>
          </w:tcPr>
          <w:p w14:paraId="5F2CE65D" w14:textId="77777777" w:rsidR="00E836FB" w:rsidRDefault="00E836FB">
            <w:pPr>
              <w:rPr>
                <w:rFonts w:ascii="宋体"/>
                <w:vanish/>
              </w:rPr>
            </w:pPr>
          </w:p>
        </w:tc>
        <w:tc>
          <w:tcPr>
            <w:tcW w:w="0" w:type="auto"/>
            <w:gridSpan w:val="3"/>
            <w:shd w:val="clear" w:color="auto" w:fill="auto"/>
            <w:vAlign w:val="bottom"/>
          </w:tcPr>
          <w:p w14:paraId="5F2CE65E" w14:textId="77777777" w:rsidR="00E836FB" w:rsidRDefault="00E836FB">
            <w:pPr>
              <w:rPr>
                <w:rFonts w:ascii="宋体"/>
                <w:vanish/>
              </w:rPr>
            </w:pPr>
          </w:p>
        </w:tc>
        <w:tc>
          <w:tcPr>
            <w:tcW w:w="0" w:type="auto"/>
            <w:gridSpan w:val="3"/>
            <w:shd w:val="clear" w:color="auto" w:fill="auto"/>
            <w:vAlign w:val="bottom"/>
          </w:tcPr>
          <w:p w14:paraId="5F2CE65F" w14:textId="77777777" w:rsidR="00E836FB" w:rsidRDefault="00E836FB">
            <w:pPr>
              <w:rPr>
                <w:rFonts w:ascii="宋体"/>
                <w:vanish/>
              </w:rPr>
            </w:pPr>
          </w:p>
        </w:tc>
        <w:tc>
          <w:tcPr>
            <w:tcW w:w="0" w:type="auto"/>
            <w:gridSpan w:val="3"/>
            <w:shd w:val="clear" w:color="auto" w:fill="auto"/>
            <w:vAlign w:val="bottom"/>
          </w:tcPr>
          <w:p w14:paraId="5F2CE660" w14:textId="77777777" w:rsidR="00E836FB" w:rsidRDefault="00E836FB">
            <w:pPr>
              <w:rPr>
                <w:rFonts w:ascii="宋体"/>
                <w:vanish/>
              </w:rPr>
            </w:pPr>
          </w:p>
        </w:tc>
        <w:tc>
          <w:tcPr>
            <w:tcW w:w="0" w:type="auto"/>
            <w:gridSpan w:val="3"/>
            <w:shd w:val="clear" w:color="auto" w:fill="auto"/>
            <w:vAlign w:val="bottom"/>
          </w:tcPr>
          <w:p w14:paraId="5F2CE661" w14:textId="77777777" w:rsidR="00E836FB" w:rsidRDefault="00E836FB">
            <w:pPr>
              <w:rPr>
                <w:rFonts w:ascii="宋体"/>
                <w:vanish/>
              </w:rPr>
            </w:pPr>
          </w:p>
        </w:tc>
      </w:tr>
      <w:tr w:rsidR="00E836FB" w14:paraId="5F2CE66F" w14:textId="77777777">
        <w:trPr>
          <w:hidden/>
        </w:trPr>
        <w:tc>
          <w:tcPr>
            <w:tcW w:w="0" w:type="auto"/>
            <w:gridSpan w:val="3"/>
            <w:shd w:val="clear" w:color="auto" w:fill="auto"/>
            <w:vAlign w:val="bottom"/>
          </w:tcPr>
          <w:p w14:paraId="5F2CE663" w14:textId="77777777" w:rsidR="00E836FB" w:rsidRDefault="00E836FB">
            <w:pPr>
              <w:rPr>
                <w:rFonts w:ascii="宋体"/>
                <w:vanish/>
              </w:rPr>
            </w:pPr>
          </w:p>
        </w:tc>
        <w:tc>
          <w:tcPr>
            <w:tcW w:w="0" w:type="auto"/>
            <w:gridSpan w:val="3"/>
            <w:shd w:val="clear" w:color="auto" w:fill="auto"/>
            <w:vAlign w:val="bottom"/>
          </w:tcPr>
          <w:p w14:paraId="5F2CE664" w14:textId="77777777" w:rsidR="00E836FB" w:rsidRDefault="00E836FB">
            <w:pPr>
              <w:rPr>
                <w:rFonts w:ascii="宋体"/>
                <w:vanish/>
              </w:rPr>
            </w:pPr>
          </w:p>
        </w:tc>
        <w:tc>
          <w:tcPr>
            <w:tcW w:w="0" w:type="auto"/>
            <w:gridSpan w:val="3"/>
            <w:shd w:val="clear" w:color="auto" w:fill="auto"/>
            <w:vAlign w:val="bottom"/>
          </w:tcPr>
          <w:p w14:paraId="5F2CE665" w14:textId="77777777" w:rsidR="00E836FB" w:rsidRDefault="00E836FB">
            <w:pPr>
              <w:rPr>
                <w:rFonts w:ascii="宋体"/>
                <w:vanish/>
              </w:rPr>
            </w:pPr>
          </w:p>
        </w:tc>
        <w:tc>
          <w:tcPr>
            <w:tcW w:w="0" w:type="auto"/>
            <w:gridSpan w:val="3"/>
            <w:shd w:val="clear" w:color="auto" w:fill="auto"/>
            <w:vAlign w:val="bottom"/>
          </w:tcPr>
          <w:p w14:paraId="5F2CE666" w14:textId="77777777" w:rsidR="00E836FB" w:rsidRDefault="00E836FB">
            <w:pPr>
              <w:rPr>
                <w:rFonts w:ascii="宋体"/>
                <w:vanish/>
              </w:rPr>
            </w:pPr>
          </w:p>
        </w:tc>
        <w:tc>
          <w:tcPr>
            <w:tcW w:w="0" w:type="auto"/>
            <w:gridSpan w:val="3"/>
            <w:shd w:val="clear" w:color="auto" w:fill="auto"/>
            <w:vAlign w:val="bottom"/>
          </w:tcPr>
          <w:p w14:paraId="5F2CE667" w14:textId="77777777" w:rsidR="00E836FB" w:rsidRDefault="00E836FB">
            <w:pPr>
              <w:rPr>
                <w:rFonts w:ascii="宋体"/>
                <w:vanish/>
              </w:rPr>
            </w:pPr>
          </w:p>
        </w:tc>
        <w:tc>
          <w:tcPr>
            <w:tcW w:w="0" w:type="auto"/>
            <w:gridSpan w:val="3"/>
            <w:shd w:val="clear" w:color="auto" w:fill="auto"/>
            <w:vAlign w:val="bottom"/>
          </w:tcPr>
          <w:p w14:paraId="5F2CE668" w14:textId="77777777" w:rsidR="00E836FB" w:rsidRDefault="00E836FB">
            <w:pPr>
              <w:rPr>
                <w:rFonts w:ascii="宋体"/>
                <w:vanish/>
              </w:rPr>
            </w:pPr>
          </w:p>
        </w:tc>
        <w:tc>
          <w:tcPr>
            <w:tcW w:w="0" w:type="auto"/>
            <w:gridSpan w:val="3"/>
            <w:shd w:val="clear" w:color="auto" w:fill="auto"/>
            <w:vAlign w:val="bottom"/>
          </w:tcPr>
          <w:p w14:paraId="5F2CE669" w14:textId="77777777" w:rsidR="00E836FB" w:rsidRDefault="00E836FB">
            <w:pPr>
              <w:rPr>
                <w:rFonts w:ascii="宋体"/>
                <w:vanish/>
              </w:rPr>
            </w:pPr>
          </w:p>
        </w:tc>
        <w:tc>
          <w:tcPr>
            <w:tcW w:w="0" w:type="auto"/>
            <w:gridSpan w:val="3"/>
            <w:shd w:val="clear" w:color="auto" w:fill="auto"/>
            <w:vAlign w:val="bottom"/>
          </w:tcPr>
          <w:p w14:paraId="5F2CE66A" w14:textId="77777777" w:rsidR="00E836FB" w:rsidRDefault="00E836FB">
            <w:pPr>
              <w:rPr>
                <w:rFonts w:ascii="宋体"/>
                <w:vanish/>
              </w:rPr>
            </w:pPr>
          </w:p>
        </w:tc>
        <w:tc>
          <w:tcPr>
            <w:tcW w:w="0" w:type="auto"/>
            <w:gridSpan w:val="3"/>
            <w:shd w:val="clear" w:color="auto" w:fill="auto"/>
            <w:vAlign w:val="bottom"/>
          </w:tcPr>
          <w:p w14:paraId="5F2CE66B" w14:textId="77777777" w:rsidR="00E836FB" w:rsidRDefault="00E836FB">
            <w:pPr>
              <w:rPr>
                <w:rFonts w:ascii="宋体"/>
                <w:vanish/>
              </w:rPr>
            </w:pPr>
          </w:p>
        </w:tc>
        <w:tc>
          <w:tcPr>
            <w:tcW w:w="0" w:type="auto"/>
            <w:gridSpan w:val="3"/>
            <w:shd w:val="clear" w:color="auto" w:fill="auto"/>
            <w:vAlign w:val="bottom"/>
          </w:tcPr>
          <w:p w14:paraId="5F2CE66C" w14:textId="77777777" w:rsidR="00E836FB" w:rsidRDefault="00E836FB">
            <w:pPr>
              <w:rPr>
                <w:rFonts w:ascii="宋体"/>
                <w:vanish/>
              </w:rPr>
            </w:pPr>
          </w:p>
        </w:tc>
        <w:tc>
          <w:tcPr>
            <w:tcW w:w="0" w:type="auto"/>
            <w:gridSpan w:val="3"/>
            <w:shd w:val="clear" w:color="auto" w:fill="auto"/>
            <w:vAlign w:val="bottom"/>
          </w:tcPr>
          <w:p w14:paraId="5F2CE66D" w14:textId="77777777" w:rsidR="00E836FB" w:rsidRDefault="00E836FB">
            <w:pPr>
              <w:rPr>
                <w:rFonts w:ascii="宋体"/>
                <w:vanish/>
              </w:rPr>
            </w:pPr>
          </w:p>
        </w:tc>
        <w:tc>
          <w:tcPr>
            <w:tcW w:w="0" w:type="auto"/>
            <w:gridSpan w:val="3"/>
            <w:shd w:val="clear" w:color="auto" w:fill="auto"/>
            <w:vAlign w:val="bottom"/>
          </w:tcPr>
          <w:p w14:paraId="5F2CE66E" w14:textId="77777777" w:rsidR="00E836FB" w:rsidRDefault="00E836FB">
            <w:pPr>
              <w:rPr>
                <w:rFonts w:ascii="宋体"/>
                <w:vanish/>
              </w:rPr>
            </w:pPr>
          </w:p>
        </w:tc>
      </w:tr>
      <w:tr w:rsidR="00E836FB" w14:paraId="5F2CE67C" w14:textId="77777777">
        <w:trPr>
          <w:hidden/>
        </w:trPr>
        <w:tc>
          <w:tcPr>
            <w:tcW w:w="0" w:type="auto"/>
            <w:gridSpan w:val="3"/>
            <w:shd w:val="clear" w:color="auto" w:fill="auto"/>
            <w:vAlign w:val="bottom"/>
          </w:tcPr>
          <w:p w14:paraId="5F2CE670" w14:textId="77777777" w:rsidR="00E836FB" w:rsidRDefault="00E836FB">
            <w:pPr>
              <w:rPr>
                <w:rFonts w:ascii="宋体"/>
                <w:vanish/>
              </w:rPr>
            </w:pPr>
          </w:p>
        </w:tc>
        <w:tc>
          <w:tcPr>
            <w:tcW w:w="0" w:type="auto"/>
            <w:gridSpan w:val="3"/>
            <w:shd w:val="clear" w:color="auto" w:fill="auto"/>
            <w:vAlign w:val="bottom"/>
          </w:tcPr>
          <w:p w14:paraId="5F2CE671" w14:textId="77777777" w:rsidR="00E836FB" w:rsidRDefault="00E836FB">
            <w:pPr>
              <w:rPr>
                <w:rFonts w:ascii="宋体"/>
                <w:vanish/>
              </w:rPr>
            </w:pPr>
          </w:p>
        </w:tc>
        <w:tc>
          <w:tcPr>
            <w:tcW w:w="0" w:type="auto"/>
            <w:gridSpan w:val="3"/>
            <w:shd w:val="clear" w:color="auto" w:fill="auto"/>
            <w:vAlign w:val="bottom"/>
          </w:tcPr>
          <w:p w14:paraId="5F2CE672" w14:textId="77777777" w:rsidR="00E836FB" w:rsidRDefault="00E836FB">
            <w:pPr>
              <w:rPr>
                <w:rFonts w:ascii="宋体"/>
                <w:vanish/>
              </w:rPr>
            </w:pPr>
          </w:p>
        </w:tc>
        <w:tc>
          <w:tcPr>
            <w:tcW w:w="0" w:type="auto"/>
            <w:gridSpan w:val="3"/>
            <w:shd w:val="clear" w:color="auto" w:fill="auto"/>
            <w:vAlign w:val="bottom"/>
          </w:tcPr>
          <w:p w14:paraId="5F2CE673" w14:textId="77777777" w:rsidR="00E836FB" w:rsidRDefault="00E836FB">
            <w:pPr>
              <w:rPr>
                <w:rFonts w:ascii="宋体"/>
                <w:vanish/>
              </w:rPr>
            </w:pPr>
          </w:p>
        </w:tc>
        <w:tc>
          <w:tcPr>
            <w:tcW w:w="0" w:type="auto"/>
            <w:gridSpan w:val="3"/>
            <w:shd w:val="clear" w:color="auto" w:fill="auto"/>
            <w:vAlign w:val="bottom"/>
          </w:tcPr>
          <w:p w14:paraId="5F2CE674" w14:textId="77777777" w:rsidR="00E836FB" w:rsidRDefault="00E836FB">
            <w:pPr>
              <w:rPr>
                <w:rFonts w:ascii="宋体"/>
                <w:vanish/>
              </w:rPr>
            </w:pPr>
          </w:p>
        </w:tc>
        <w:tc>
          <w:tcPr>
            <w:tcW w:w="0" w:type="auto"/>
            <w:gridSpan w:val="3"/>
            <w:shd w:val="clear" w:color="auto" w:fill="auto"/>
            <w:vAlign w:val="bottom"/>
          </w:tcPr>
          <w:p w14:paraId="5F2CE675" w14:textId="77777777" w:rsidR="00E836FB" w:rsidRDefault="00E836FB">
            <w:pPr>
              <w:rPr>
                <w:rFonts w:ascii="宋体"/>
                <w:vanish/>
              </w:rPr>
            </w:pPr>
          </w:p>
        </w:tc>
        <w:tc>
          <w:tcPr>
            <w:tcW w:w="0" w:type="auto"/>
            <w:gridSpan w:val="3"/>
            <w:shd w:val="clear" w:color="auto" w:fill="auto"/>
            <w:vAlign w:val="bottom"/>
          </w:tcPr>
          <w:p w14:paraId="5F2CE676" w14:textId="77777777" w:rsidR="00E836FB" w:rsidRDefault="00E836FB">
            <w:pPr>
              <w:rPr>
                <w:rFonts w:ascii="宋体"/>
                <w:vanish/>
              </w:rPr>
            </w:pPr>
          </w:p>
        </w:tc>
        <w:tc>
          <w:tcPr>
            <w:tcW w:w="0" w:type="auto"/>
            <w:gridSpan w:val="3"/>
            <w:shd w:val="clear" w:color="auto" w:fill="auto"/>
            <w:vAlign w:val="bottom"/>
          </w:tcPr>
          <w:p w14:paraId="5F2CE677" w14:textId="77777777" w:rsidR="00E836FB" w:rsidRDefault="00E836FB">
            <w:pPr>
              <w:rPr>
                <w:rFonts w:ascii="宋体"/>
                <w:vanish/>
              </w:rPr>
            </w:pPr>
          </w:p>
        </w:tc>
        <w:tc>
          <w:tcPr>
            <w:tcW w:w="0" w:type="auto"/>
            <w:gridSpan w:val="3"/>
            <w:shd w:val="clear" w:color="auto" w:fill="auto"/>
            <w:vAlign w:val="bottom"/>
          </w:tcPr>
          <w:p w14:paraId="5F2CE678" w14:textId="77777777" w:rsidR="00E836FB" w:rsidRDefault="00E836FB">
            <w:pPr>
              <w:rPr>
                <w:rFonts w:ascii="宋体"/>
                <w:vanish/>
              </w:rPr>
            </w:pPr>
          </w:p>
        </w:tc>
        <w:tc>
          <w:tcPr>
            <w:tcW w:w="0" w:type="auto"/>
            <w:gridSpan w:val="3"/>
            <w:shd w:val="clear" w:color="auto" w:fill="auto"/>
            <w:vAlign w:val="bottom"/>
          </w:tcPr>
          <w:p w14:paraId="5F2CE679" w14:textId="77777777" w:rsidR="00E836FB" w:rsidRDefault="00E836FB">
            <w:pPr>
              <w:rPr>
                <w:rFonts w:ascii="宋体"/>
                <w:vanish/>
              </w:rPr>
            </w:pPr>
          </w:p>
        </w:tc>
        <w:tc>
          <w:tcPr>
            <w:tcW w:w="0" w:type="auto"/>
            <w:gridSpan w:val="3"/>
            <w:shd w:val="clear" w:color="auto" w:fill="auto"/>
            <w:vAlign w:val="bottom"/>
          </w:tcPr>
          <w:p w14:paraId="5F2CE67A" w14:textId="77777777" w:rsidR="00E836FB" w:rsidRDefault="00E836FB">
            <w:pPr>
              <w:rPr>
                <w:rFonts w:ascii="宋体"/>
                <w:vanish/>
              </w:rPr>
            </w:pPr>
          </w:p>
        </w:tc>
        <w:tc>
          <w:tcPr>
            <w:tcW w:w="0" w:type="auto"/>
            <w:gridSpan w:val="3"/>
            <w:shd w:val="clear" w:color="auto" w:fill="auto"/>
            <w:vAlign w:val="bottom"/>
          </w:tcPr>
          <w:p w14:paraId="5F2CE67B" w14:textId="77777777" w:rsidR="00E836FB" w:rsidRDefault="00E836FB">
            <w:pPr>
              <w:rPr>
                <w:rFonts w:ascii="宋体"/>
                <w:vanish/>
              </w:rPr>
            </w:pPr>
          </w:p>
        </w:tc>
      </w:tr>
      <w:tr w:rsidR="00E836FB" w14:paraId="5F2CE689" w14:textId="77777777">
        <w:trPr>
          <w:hidden/>
        </w:trPr>
        <w:tc>
          <w:tcPr>
            <w:tcW w:w="0" w:type="auto"/>
            <w:gridSpan w:val="3"/>
            <w:shd w:val="clear" w:color="auto" w:fill="auto"/>
            <w:vAlign w:val="bottom"/>
          </w:tcPr>
          <w:p w14:paraId="5F2CE67D" w14:textId="77777777" w:rsidR="00E836FB" w:rsidRDefault="00E836FB">
            <w:pPr>
              <w:rPr>
                <w:rFonts w:ascii="宋体"/>
                <w:vanish/>
              </w:rPr>
            </w:pPr>
          </w:p>
        </w:tc>
        <w:tc>
          <w:tcPr>
            <w:tcW w:w="0" w:type="auto"/>
            <w:gridSpan w:val="3"/>
            <w:shd w:val="clear" w:color="auto" w:fill="auto"/>
            <w:vAlign w:val="bottom"/>
          </w:tcPr>
          <w:p w14:paraId="5F2CE67E" w14:textId="77777777" w:rsidR="00E836FB" w:rsidRDefault="00E836FB">
            <w:pPr>
              <w:rPr>
                <w:rFonts w:ascii="宋体"/>
                <w:vanish/>
              </w:rPr>
            </w:pPr>
          </w:p>
        </w:tc>
        <w:tc>
          <w:tcPr>
            <w:tcW w:w="0" w:type="auto"/>
            <w:gridSpan w:val="3"/>
            <w:shd w:val="clear" w:color="auto" w:fill="auto"/>
            <w:vAlign w:val="bottom"/>
          </w:tcPr>
          <w:p w14:paraId="5F2CE67F" w14:textId="77777777" w:rsidR="00E836FB" w:rsidRDefault="00E836FB">
            <w:pPr>
              <w:rPr>
                <w:rFonts w:ascii="宋体"/>
                <w:vanish/>
              </w:rPr>
            </w:pPr>
          </w:p>
        </w:tc>
        <w:tc>
          <w:tcPr>
            <w:tcW w:w="0" w:type="auto"/>
            <w:gridSpan w:val="3"/>
            <w:shd w:val="clear" w:color="auto" w:fill="auto"/>
            <w:vAlign w:val="bottom"/>
          </w:tcPr>
          <w:p w14:paraId="5F2CE680" w14:textId="77777777" w:rsidR="00E836FB" w:rsidRDefault="00E836FB">
            <w:pPr>
              <w:rPr>
                <w:rFonts w:ascii="宋体"/>
                <w:vanish/>
              </w:rPr>
            </w:pPr>
          </w:p>
        </w:tc>
        <w:tc>
          <w:tcPr>
            <w:tcW w:w="0" w:type="auto"/>
            <w:gridSpan w:val="3"/>
            <w:shd w:val="clear" w:color="auto" w:fill="auto"/>
            <w:vAlign w:val="bottom"/>
          </w:tcPr>
          <w:p w14:paraId="5F2CE681" w14:textId="77777777" w:rsidR="00E836FB" w:rsidRDefault="00E836FB">
            <w:pPr>
              <w:rPr>
                <w:rFonts w:ascii="宋体"/>
                <w:vanish/>
              </w:rPr>
            </w:pPr>
          </w:p>
        </w:tc>
        <w:tc>
          <w:tcPr>
            <w:tcW w:w="0" w:type="auto"/>
            <w:gridSpan w:val="3"/>
            <w:shd w:val="clear" w:color="auto" w:fill="auto"/>
            <w:vAlign w:val="bottom"/>
          </w:tcPr>
          <w:p w14:paraId="5F2CE682" w14:textId="77777777" w:rsidR="00E836FB" w:rsidRDefault="00E836FB">
            <w:pPr>
              <w:rPr>
                <w:rFonts w:ascii="宋体"/>
                <w:vanish/>
              </w:rPr>
            </w:pPr>
          </w:p>
        </w:tc>
        <w:tc>
          <w:tcPr>
            <w:tcW w:w="0" w:type="auto"/>
            <w:gridSpan w:val="3"/>
            <w:shd w:val="clear" w:color="auto" w:fill="auto"/>
            <w:vAlign w:val="bottom"/>
          </w:tcPr>
          <w:p w14:paraId="5F2CE683" w14:textId="77777777" w:rsidR="00E836FB" w:rsidRDefault="00E836FB">
            <w:pPr>
              <w:rPr>
                <w:rFonts w:ascii="宋体"/>
                <w:vanish/>
              </w:rPr>
            </w:pPr>
          </w:p>
        </w:tc>
        <w:tc>
          <w:tcPr>
            <w:tcW w:w="0" w:type="auto"/>
            <w:gridSpan w:val="3"/>
            <w:shd w:val="clear" w:color="auto" w:fill="auto"/>
            <w:vAlign w:val="bottom"/>
          </w:tcPr>
          <w:p w14:paraId="5F2CE684" w14:textId="77777777" w:rsidR="00E836FB" w:rsidRDefault="00E836FB">
            <w:pPr>
              <w:rPr>
                <w:rFonts w:ascii="宋体"/>
                <w:vanish/>
              </w:rPr>
            </w:pPr>
          </w:p>
        </w:tc>
        <w:tc>
          <w:tcPr>
            <w:tcW w:w="0" w:type="auto"/>
            <w:gridSpan w:val="3"/>
            <w:shd w:val="clear" w:color="auto" w:fill="auto"/>
            <w:vAlign w:val="bottom"/>
          </w:tcPr>
          <w:p w14:paraId="5F2CE685" w14:textId="77777777" w:rsidR="00E836FB" w:rsidRDefault="00E836FB">
            <w:pPr>
              <w:rPr>
                <w:rFonts w:ascii="宋体"/>
                <w:vanish/>
              </w:rPr>
            </w:pPr>
          </w:p>
        </w:tc>
        <w:tc>
          <w:tcPr>
            <w:tcW w:w="0" w:type="auto"/>
            <w:gridSpan w:val="3"/>
            <w:shd w:val="clear" w:color="auto" w:fill="auto"/>
            <w:vAlign w:val="bottom"/>
          </w:tcPr>
          <w:p w14:paraId="5F2CE686" w14:textId="77777777" w:rsidR="00E836FB" w:rsidRDefault="00E836FB">
            <w:pPr>
              <w:rPr>
                <w:rFonts w:ascii="宋体"/>
                <w:vanish/>
              </w:rPr>
            </w:pPr>
          </w:p>
        </w:tc>
        <w:tc>
          <w:tcPr>
            <w:tcW w:w="0" w:type="auto"/>
            <w:gridSpan w:val="3"/>
            <w:shd w:val="clear" w:color="auto" w:fill="auto"/>
            <w:vAlign w:val="bottom"/>
          </w:tcPr>
          <w:p w14:paraId="5F2CE687" w14:textId="77777777" w:rsidR="00E836FB" w:rsidRDefault="00E836FB">
            <w:pPr>
              <w:rPr>
                <w:rFonts w:ascii="宋体"/>
                <w:vanish/>
              </w:rPr>
            </w:pPr>
          </w:p>
        </w:tc>
        <w:tc>
          <w:tcPr>
            <w:tcW w:w="0" w:type="auto"/>
            <w:gridSpan w:val="3"/>
            <w:shd w:val="clear" w:color="auto" w:fill="auto"/>
            <w:vAlign w:val="bottom"/>
          </w:tcPr>
          <w:p w14:paraId="5F2CE688" w14:textId="77777777" w:rsidR="00E836FB" w:rsidRDefault="00E836FB">
            <w:pPr>
              <w:rPr>
                <w:rFonts w:ascii="宋体"/>
                <w:vanish/>
              </w:rPr>
            </w:pPr>
          </w:p>
        </w:tc>
      </w:tr>
      <w:tr w:rsidR="00E836FB" w14:paraId="5F2CE696" w14:textId="77777777">
        <w:trPr>
          <w:hidden/>
        </w:trPr>
        <w:tc>
          <w:tcPr>
            <w:tcW w:w="0" w:type="auto"/>
            <w:gridSpan w:val="3"/>
            <w:shd w:val="clear" w:color="auto" w:fill="auto"/>
            <w:vAlign w:val="bottom"/>
          </w:tcPr>
          <w:p w14:paraId="5F2CE68A" w14:textId="77777777" w:rsidR="00E836FB" w:rsidRDefault="00E836FB">
            <w:pPr>
              <w:rPr>
                <w:rFonts w:ascii="宋体"/>
                <w:vanish/>
              </w:rPr>
            </w:pPr>
          </w:p>
        </w:tc>
        <w:tc>
          <w:tcPr>
            <w:tcW w:w="0" w:type="auto"/>
            <w:gridSpan w:val="3"/>
            <w:shd w:val="clear" w:color="auto" w:fill="auto"/>
            <w:vAlign w:val="bottom"/>
          </w:tcPr>
          <w:p w14:paraId="5F2CE68B" w14:textId="77777777" w:rsidR="00E836FB" w:rsidRDefault="00E836FB">
            <w:pPr>
              <w:rPr>
                <w:rFonts w:ascii="宋体"/>
                <w:vanish/>
              </w:rPr>
            </w:pPr>
          </w:p>
        </w:tc>
        <w:tc>
          <w:tcPr>
            <w:tcW w:w="0" w:type="auto"/>
            <w:gridSpan w:val="3"/>
            <w:shd w:val="clear" w:color="auto" w:fill="auto"/>
            <w:vAlign w:val="bottom"/>
          </w:tcPr>
          <w:p w14:paraId="5F2CE68C" w14:textId="77777777" w:rsidR="00E836FB" w:rsidRDefault="00E836FB">
            <w:pPr>
              <w:rPr>
                <w:rFonts w:ascii="宋体"/>
                <w:vanish/>
              </w:rPr>
            </w:pPr>
          </w:p>
        </w:tc>
        <w:tc>
          <w:tcPr>
            <w:tcW w:w="0" w:type="auto"/>
            <w:gridSpan w:val="3"/>
            <w:shd w:val="clear" w:color="auto" w:fill="auto"/>
            <w:vAlign w:val="bottom"/>
          </w:tcPr>
          <w:p w14:paraId="5F2CE68D" w14:textId="77777777" w:rsidR="00E836FB" w:rsidRDefault="00E836FB">
            <w:pPr>
              <w:rPr>
                <w:rFonts w:ascii="宋体"/>
                <w:vanish/>
              </w:rPr>
            </w:pPr>
          </w:p>
        </w:tc>
        <w:tc>
          <w:tcPr>
            <w:tcW w:w="0" w:type="auto"/>
            <w:gridSpan w:val="3"/>
            <w:shd w:val="clear" w:color="auto" w:fill="auto"/>
            <w:vAlign w:val="bottom"/>
          </w:tcPr>
          <w:p w14:paraId="5F2CE68E" w14:textId="77777777" w:rsidR="00E836FB" w:rsidRDefault="00E836FB">
            <w:pPr>
              <w:rPr>
                <w:rFonts w:ascii="宋体"/>
                <w:vanish/>
              </w:rPr>
            </w:pPr>
          </w:p>
        </w:tc>
        <w:tc>
          <w:tcPr>
            <w:tcW w:w="0" w:type="auto"/>
            <w:gridSpan w:val="3"/>
            <w:shd w:val="clear" w:color="auto" w:fill="auto"/>
            <w:vAlign w:val="bottom"/>
          </w:tcPr>
          <w:p w14:paraId="5F2CE68F" w14:textId="77777777" w:rsidR="00E836FB" w:rsidRDefault="00E836FB">
            <w:pPr>
              <w:rPr>
                <w:rFonts w:ascii="宋体"/>
                <w:vanish/>
              </w:rPr>
            </w:pPr>
          </w:p>
        </w:tc>
        <w:tc>
          <w:tcPr>
            <w:tcW w:w="0" w:type="auto"/>
            <w:gridSpan w:val="3"/>
            <w:shd w:val="clear" w:color="auto" w:fill="auto"/>
            <w:vAlign w:val="bottom"/>
          </w:tcPr>
          <w:p w14:paraId="5F2CE690" w14:textId="77777777" w:rsidR="00E836FB" w:rsidRDefault="00E836FB">
            <w:pPr>
              <w:rPr>
                <w:rFonts w:ascii="宋体"/>
                <w:vanish/>
              </w:rPr>
            </w:pPr>
          </w:p>
        </w:tc>
        <w:tc>
          <w:tcPr>
            <w:tcW w:w="0" w:type="auto"/>
            <w:gridSpan w:val="3"/>
            <w:shd w:val="clear" w:color="auto" w:fill="auto"/>
            <w:vAlign w:val="bottom"/>
          </w:tcPr>
          <w:p w14:paraId="5F2CE691" w14:textId="77777777" w:rsidR="00E836FB" w:rsidRDefault="00E836FB">
            <w:pPr>
              <w:rPr>
                <w:rFonts w:ascii="宋体"/>
                <w:vanish/>
              </w:rPr>
            </w:pPr>
          </w:p>
        </w:tc>
        <w:tc>
          <w:tcPr>
            <w:tcW w:w="0" w:type="auto"/>
            <w:gridSpan w:val="3"/>
            <w:shd w:val="clear" w:color="auto" w:fill="auto"/>
            <w:vAlign w:val="bottom"/>
          </w:tcPr>
          <w:p w14:paraId="5F2CE692" w14:textId="77777777" w:rsidR="00E836FB" w:rsidRDefault="00E836FB">
            <w:pPr>
              <w:rPr>
                <w:rFonts w:ascii="宋体"/>
                <w:vanish/>
              </w:rPr>
            </w:pPr>
          </w:p>
        </w:tc>
        <w:tc>
          <w:tcPr>
            <w:tcW w:w="0" w:type="auto"/>
            <w:gridSpan w:val="3"/>
            <w:shd w:val="clear" w:color="auto" w:fill="auto"/>
            <w:vAlign w:val="bottom"/>
          </w:tcPr>
          <w:p w14:paraId="5F2CE693" w14:textId="77777777" w:rsidR="00E836FB" w:rsidRDefault="00E836FB">
            <w:pPr>
              <w:rPr>
                <w:rFonts w:ascii="宋体"/>
                <w:vanish/>
              </w:rPr>
            </w:pPr>
          </w:p>
        </w:tc>
        <w:tc>
          <w:tcPr>
            <w:tcW w:w="0" w:type="auto"/>
            <w:gridSpan w:val="3"/>
            <w:shd w:val="clear" w:color="auto" w:fill="auto"/>
            <w:vAlign w:val="bottom"/>
          </w:tcPr>
          <w:p w14:paraId="5F2CE694" w14:textId="77777777" w:rsidR="00E836FB" w:rsidRDefault="00E836FB">
            <w:pPr>
              <w:rPr>
                <w:rFonts w:ascii="宋体"/>
                <w:vanish/>
              </w:rPr>
            </w:pPr>
          </w:p>
        </w:tc>
        <w:tc>
          <w:tcPr>
            <w:tcW w:w="0" w:type="auto"/>
            <w:gridSpan w:val="3"/>
            <w:shd w:val="clear" w:color="auto" w:fill="auto"/>
            <w:vAlign w:val="bottom"/>
          </w:tcPr>
          <w:p w14:paraId="5F2CE695" w14:textId="77777777" w:rsidR="00E836FB" w:rsidRDefault="00E836FB">
            <w:pPr>
              <w:rPr>
                <w:rFonts w:ascii="宋体"/>
                <w:vanish/>
              </w:rPr>
            </w:pPr>
          </w:p>
        </w:tc>
      </w:tr>
      <w:tr w:rsidR="00E836FB" w14:paraId="5F2CE6A3" w14:textId="77777777">
        <w:trPr>
          <w:hidden/>
        </w:trPr>
        <w:tc>
          <w:tcPr>
            <w:tcW w:w="0" w:type="auto"/>
            <w:gridSpan w:val="3"/>
            <w:shd w:val="clear" w:color="auto" w:fill="auto"/>
            <w:vAlign w:val="bottom"/>
          </w:tcPr>
          <w:p w14:paraId="5F2CE697" w14:textId="77777777" w:rsidR="00E836FB" w:rsidRDefault="00E836FB">
            <w:pPr>
              <w:rPr>
                <w:rFonts w:ascii="宋体"/>
                <w:vanish/>
              </w:rPr>
            </w:pPr>
          </w:p>
        </w:tc>
        <w:tc>
          <w:tcPr>
            <w:tcW w:w="0" w:type="auto"/>
            <w:gridSpan w:val="3"/>
            <w:shd w:val="clear" w:color="auto" w:fill="auto"/>
            <w:vAlign w:val="bottom"/>
          </w:tcPr>
          <w:p w14:paraId="5F2CE698" w14:textId="77777777" w:rsidR="00E836FB" w:rsidRDefault="00E836FB">
            <w:pPr>
              <w:rPr>
                <w:rFonts w:ascii="宋体"/>
                <w:vanish/>
              </w:rPr>
            </w:pPr>
          </w:p>
        </w:tc>
        <w:tc>
          <w:tcPr>
            <w:tcW w:w="0" w:type="auto"/>
            <w:gridSpan w:val="3"/>
            <w:shd w:val="clear" w:color="auto" w:fill="auto"/>
            <w:vAlign w:val="bottom"/>
          </w:tcPr>
          <w:p w14:paraId="5F2CE699" w14:textId="77777777" w:rsidR="00E836FB" w:rsidRDefault="00E836FB">
            <w:pPr>
              <w:rPr>
                <w:rFonts w:ascii="宋体"/>
                <w:vanish/>
              </w:rPr>
            </w:pPr>
          </w:p>
        </w:tc>
        <w:tc>
          <w:tcPr>
            <w:tcW w:w="0" w:type="auto"/>
            <w:gridSpan w:val="3"/>
            <w:shd w:val="clear" w:color="auto" w:fill="auto"/>
            <w:vAlign w:val="bottom"/>
          </w:tcPr>
          <w:p w14:paraId="5F2CE69A" w14:textId="77777777" w:rsidR="00E836FB" w:rsidRDefault="00E836FB">
            <w:pPr>
              <w:rPr>
                <w:rFonts w:ascii="宋体"/>
                <w:vanish/>
              </w:rPr>
            </w:pPr>
          </w:p>
        </w:tc>
        <w:tc>
          <w:tcPr>
            <w:tcW w:w="0" w:type="auto"/>
            <w:gridSpan w:val="3"/>
            <w:shd w:val="clear" w:color="auto" w:fill="auto"/>
            <w:vAlign w:val="bottom"/>
          </w:tcPr>
          <w:p w14:paraId="5F2CE69B" w14:textId="77777777" w:rsidR="00E836FB" w:rsidRDefault="00E836FB">
            <w:pPr>
              <w:rPr>
                <w:rFonts w:ascii="宋体"/>
                <w:vanish/>
              </w:rPr>
            </w:pPr>
          </w:p>
        </w:tc>
        <w:tc>
          <w:tcPr>
            <w:tcW w:w="0" w:type="auto"/>
            <w:gridSpan w:val="3"/>
            <w:shd w:val="clear" w:color="auto" w:fill="auto"/>
            <w:vAlign w:val="bottom"/>
          </w:tcPr>
          <w:p w14:paraId="5F2CE69C" w14:textId="77777777" w:rsidR="00E836FB" w:rsidRDefault="00E836FB">
            <w:pPr>
              <w:rPr>
                <w:rFonts w:ascii="宋体"/>
                <w:vanish/>
              </w:rPr>
            </w:pPr>
          </w:p>
        </w:tc>
        <w:tc>
          <w:tcPr>
            <w:tcW w:w="0" w:type="auto"/>
            <w:gridSpan w:val="3"/>
            <w:shd w:val="clear" w:color="auto" w:fill="auto"/>
            <w:vAlign w:val="bottom"/>
          </w:tcPr>
          <w:p w14:paraId="5F2CE69D" w14:textId="77777777" w:rsidR="00E836FB" w:rsidRDefault="00E836FB">
            <w:pPr>
              <w:rPr>
                <w:rFonts w:ascii="宋体"/>
                <w:vanish/>
              </w:rPr>
            </w:pPr>
          </w:p>
        </w:tc>
        <w:tc>
          <w:tcPr>
            <w:tcW w:w="0" w:type="auto"/>
            <w:gridSpan w:val="3"/>
            <w:shd w:val="clear" w:color="auto" w:fill="auto"/>
            <w:vAlign w:val="bottom"/>
          </w:tcPr>
          <w:p w14:paraId="5F2CE69E" w14:textId="77777777" w:rsidR="00E836FB" w:rsidRDefault="00E836FB">
            <w:pPr>
              <w:rPr>
                <w:rFonts w:ascii="宋体"/>
                <w:vanish/>
              </w:rPr>
            </w:pPr>
          </w:p>
        </w:tc>
        <w:tc>
          <w:tcPr>
            <w:tcW w:w="0" w:type="auto"/>
            <w:gridSpan w:val="3"/>
            <w:shd w:val="clear" w:color="auto" w:fill="auto"/>
            <w:vAlign w:val="bottom"/>
          </w:tcPr>
          <w:p w14:paraId="5F2CE69F" w14:textId="77777777" w:rsidR="00E836FB" w:rsidRDefault="00E836FB">
            <w:pPr>
              <w:rPr>
                <w:rFonts w:ascii="宋体"/>
                <w:vanish/>
              </w:rPr>
            </w:pPr>
          </w:p>
        </w:tc>
        <w:tc>
          <w:tcPr>
            <w:tcW w:w="0" w:type="auto"/>
            <w:gridSpan w:val="3"/>
            <w:shd w:val="clear" w:color="auto" w:fill="auto"/>
            <w:vAlign w:val="bottom"/>
          </w:tcPr>
          <w:p w14:paraId="5F2CE6A0" w14:textId="77777777" w:rsidR="00E836FB" w:rsidRDefault="00E836FB">
            <w:pPr>
              <w:rPr>
                <w:rFonts w:ascii="宋体"/>
                <w:vanish/>
              </w:rPr>
            </w:pPr>
          </w:p>
        </w:tc>
        <w:tc>
          <w:tcPr>
            <w:tcW w:w="0" w:type="auto"/>
            <w:gridSpan w:val="3"/>
            <w:shd w:val="clear" w:color="auto" w:fill="auto"/>
            <w:vAlign w:val="bottom"/>
          </w:tcPr>
          <w:p w14:paraId="5F2CE6A1" w14:textId="77777777" w:rsidR="00E836FB" w:rsidRDefault="00E836FB">
            <w:pPr>
              <w:rPr>
                <w:rFonts w:ascii="宋体"/>
                <w:vanish/>
              </w:rPr>
            </w:pPr>
          </w:p>
        </w:tc>
        <w:tc>
          <w:tcPr>
            <w:tcW w:w="0" w:type="auto"/>
            <w:gridSpan w:val="3"/>
            <w:shd w:val="clear" w:color="auto" w:fill="auto"/>
            <w:vAlign w:val="bottom"/>
          </w:tcPr>
          <w:p w14:paraId="5F2CE6A2" w14:textId="77777777" w:rsidR="00E836FB" w:rsidRDefault="00E836FB">
            <w:pPr>
              <w:rPr>
                <w:rFonts w:ascii="宋体"/>
                <w:vanish/>
              </w:rPr>
            </w:pPr>
          </w:p>
        </w:tc>
      </w:tr>
      <w:tr w:rsidR="00E836FB" w14:paraId="5F2CE6B0" w14:textId="77777777">
        <w:trPr>
          <w:hidden/>
        </w:trPr>
        <w:tc>
          <w:tcPr>
            <w:tcW w:w="0" w:type="auto"/>
            <w:gridSpan w:val="3"/>
            <w:shd w:val="clear" w:color="auto" w:fill="auto"/>
            <w:vAlign w:val="bottom"/>
          </w:tcPr>
          <w:p w14:paraId="5F2CE6A4" w14:textId="77777777" w:rsidR="00E836FB" w:rsidRDefault="00E836FB">
            <w:pPr>
              <w:rPr>
                <w:rFonts w:ascii="宋体"/>
                <w:vanish/>
              </w:rPr>
            </w:pPr>
          </w:p>
        </w:tc>
        <w:tc>
          <w:tcPr>
            <w:tcW w:w="0" w:type="auto"/>
            <w:gridSpan w:val="3"/>
            <w:shd w:val="clear" w:color="auto" w:fill="auto"/>
            <w:vAlign w:val="bottom"/>
          </w:tcPr>
          <w:p w14:paraId="5F2CE6A5" w14:textId="77777777" w:rsidR="00E836FB" w:rsidRDefault="00E836FB">
            <w:pPr>
              <w:rPr>
                <w:rFonts w:ascii="宋体"/>
                <w:vanish/>
              </w:rPr>
            </w:pPr>
          </w:p>
        </w:tc>
        <w:tc>
          <w:tcPr>
            <w:tcW w:w="0" w:type="auto"/>
            <w:gridSpan w:val="3"/>
            <w:shd w:val="clear" w:color="auto" w:fill="auto"/>
            <w:vAlign w:val="bottom"/>
          </w:tcPr>
          <w:p w14:paraId="5F2CE6A6" w14:textId="77777777" w:rsidR="00E836FB" w:rsidRDefault="00E836FB">
            <w:pPr>
              <w:rPr>
                <w:rFonts w:ascii="宋体"/>
                <w:vanish/>
              </w:rPr>
            </w:pPr>
          </w:p>
        </w:tc>
        <w:tc>
          <w:tcPr>
            <w:tcW w:w="0" w:type="auto"/>
            <w:gridSpan w:val="3"/>
            <w:shd w:val="clear" w:color="auto" w:fill="auto"/>
            <w:vAlign w:val="bottom"/>
          </w:tcPr>
          <w:p w14:paraId="5F2CE6A7" w14:textId="77777777" w:rsidR="00E836FB" w:rsidRDefault="00E836FB">
            <w:pPr>
              <w:rPr>
                <w:rFonts w:ascii="宋体"/>
                <w:vanish/>
              </w:rPr>
            </w:pPr>
          </w:p>
        </w:tc>
        <w:tc>
          <w:tcPr>
            <w:tcW w:w="0" w:type="auto"/>
            <w:gridSpan w:val="3"/>
            <w:shd w:val="clear" w:color="auto" w:fill="auto"/>
            <w:vAlign w:val="bottom"/>
          </w:tcPr>
          <w:p w14:paraId="5F2CE6A8" w14:textId="77777777" w:rsidR="00E836FB" w:rsidRDefault="00E836FB">
            <w:pPr>
              <w:rPr>
                <w:rFonts w:ascii="宋体"/>
                <w:vanish/>
              </w:rPr>
            </w:pPr>
          </w:p>
        </w:tc>
        <w:tc>
          <w:tcPr>
            <w:tcW w:w="0" w:type="auto"/>
            <w:gridSpan w:val="3"/>
            <w:shd w:val="clear" w:color="auto" w:fill="auto"/>
            <w:vAlign w:val="bottom"/>
          </w:tcPr>
          <w:p w14:paraId="5F2CE6A9" w14:textId="77777777" w:rsidR="00E836FB" w:rsidRDefault="00E836FB">
            <w:pPr>
              <w:rPr>
                <w:rFonts w:ascii="宋体"/>
                <w:vanish/>
              </w:rPr>
            </w:pPr>
          </w:p>
        </w:tc>
        <w:tc>
          <w:tcPr>
            <w:tcW w:w="0" w:type="auto"/>
            <w:gridSpan w:val="3"/>
            <w:shd w:val="clear" w:color="auto" w:fill="auto"/>
            <w:vAlign w:val="bottom"/>
          </w:tcPr>
          <w:p w14:paraId="5F2CE6AA" w14:textId="77777777" w:rsidR="00E836FB" w:rsidRDefault="00E836FB">
            <w:pPr>
              <w:rPr>
                <w:rFonts w:ascii="宋体"/>
                <w:vanish/>
              </w:rPr>
            </w:pPr>
          </w:p>
        </w:tc>
        <w:tc>
          <w:tcPr>
            <w:tcW w:w="0" w:type="auto"/>
            <w:gridSpan w:val="3"/>
            <w:shd w:val="clear" w:color="auto" w:fill="auto"/>
            <w:vAlign w:val="bottom"/>
          </w:tcPr>
          <w:p w14:paraId="5F2CE6AB" w14:textId="77777777" w:rsidR="00E836FB" w:rsidRDefault="00E836FB">
            <w:pPr>
              <w:rPr>
                <w:rFonts w:ascii="宋体"/>
                <w:vanish/>
              </w:rPr>
            </w:pPr>
          </w:p>
        </w:tc>
        <w:tc>
          <w:tcPr>
            <w:tcW w:w="0" w:type="auto"/>
            <w:gridSpan w:val="3"/>
            <w:shd w:val="clear" w:color="auto" w:fill="auto"/>
            <w:vAlign w:val="bottom"/>
          </w:tcPr>
          <w:p w14:paraId="5F2CE6AC" w14:textId="77777777" w:rsidR="00E836FB" w:rsidRDefault="00E836FB">
            <w:pPr>
              <w:rPr>
                <w:rFonts w:ascii="宋体"/>
                <w:vanish/>
              </w:rPr>
            </w:pPr>
          </w:p>
        </w:tc>
        <w:tc>
          <w:tcPr>
            <w:tcW w:w="0" w:type="auto"/>
            <w:gridSpan w:val="3"/>
            <w:shd w:val="clear" w:color="auto" w:fill="auto"/>
            <w:vAlign w:val="bottom"/>
          </w:tcPr>
          <w:p w14:paraId="5F2CE6AD" w14:textId="77777777" w:rsidR="00E836FB" w:rsidRDefault="00E836FB">
            <w:pPr>
              <w:rPr>
                <w:rFonts w:ascii="宋体"/>
                <w:vanish/>
              </w:rPr>
            </w:pPr>
          </w:p>
        </w:tc>
        <w:tc>
          <w:tcPr>
            <w:tcW w:w="0" w:type="auto"/>
            <w:gridSpan w:val="3"/>
            <w:shd w:val="clear" w:color="auto" w:fill="auto"/>
            <w:vAlign w:val="bottom"/>
          </w:tcPr>
          <w:p w14:paraId="5F2CE6AE" w14:textId="77777777" w:rsidR="00E836FB" w:rsidRDefault="00E836FB">
            <w:pPr>
              <w:rPr>
                <w:rFonts w:ascii="宋体"/>
                <w:vanish/>
              </w:rPr>
            </w:pPr>
          </w:p>
        </w:tc>
        <w:tc>
          <w:tcPr>
            <w:tcW w:w="0" w:type="auto"/>
            <w:gridSpan w:val="3"/>
            <w:shd w:val="clear" w:color="auto" w:fill="auto"/>
            <w:vAlign w:val="bottom"/>
          </w:tcPr>
          <w:p w14:paraId="5F2CE6AF" w14:textId="77777777" w:rsidR="00E836FB" w:rsidRDefault="00E836FB">
            <w:pPr>
              <w:rPr>
                <w:rFonts w:ascii="宋体"/>
                <w:vanish/>
              </w:rPr>
            </w:pPr>
          </w:p>
        </w:tc>
      </w:tr>
      <w:tr w:rsidR="00E836FB" w14:paraId="5F2CE6BD" w14:textId="77777777">
        <w:trPr>
          <w:hidden/>
        </w:trPr>
        <w:tc>
          <w:tcPr>
            <w:tcW w:w="0" w:type="auto"/>
            <w:gridSpan w:val="3"/>
            <w:shd w:val="clear" w:color="auto" w:fill="auto"/>
            <w:vAlign w:val="bottom"/>
          </w:tcPr>
          <w:p w14:paraId="5F2CE6B1" w14:textId="77777777" w:rsidR="00E836FB" w:rsidRDefault="00E836FB">
            <w:pPr>
              <w:rPr>
                <w:rFonts w:ascii="宋体"/>
                <w:vanish/>
              </w:rPr>
            </w:pPr>
          </w:p>
        </w:tc>
        <w:tc>
          <w:tcPr>
            <w:tcW w:w="0" w:type="auto"/>
            <w:gridSpan w:val="3"/>
            <w:shd w:val="clear" w:color="auto" w:fill="auto"/>
            <w:vAlign w:val="bottom"/>
          </w:tcPr>
          <w:p w14:paraId="5F2CE6B2" w14:textId="77777777" w:rsidR="00E836FB" w:rsidRDefault="00E836FB">
            <w:pPr>
              <w:rPr>
                <w:rFonts w:ascii="宋体"/>
                <w:vanish/>
              </w:rPr>
            </w:pPr>
          </w:p>
        </w:tc>
        <w:tc>
          <w:tcPr>
            <w:tcW w:w="0" w:type="auto"/>
            <w:gridSpan w:val="3"/>
            <w:shd w:val="clear" w:color="auto" w:fill="auto"/>
            <w:vAlign w:val="bottom"/>
          </w:tcPr>
          <w:p w14:paraId="5F2CE6B3" w14:textId="77777777" w:rsidR="00E836FB" w:rsidRDefault="00E836FB">
            <w:pPr>
              <w:rPr>
                <w:rFonts w:ascii="宋体"/>
                <w:vanish/>
              </w:rPr>
            </w:pPr>
          </w:p>
        </w:tc>
        <w:tc>
          <w:tcPr>
            <w:tcW w:w="0" w:type="auto"/>
            <w:gridSpan w:val="3"/>
            <w:shd w:val="clear" w:color="auto" w:fill="auto"/>
            <w:vAlign w:val="bottom"/>
          </w:tcPr>
          <w:p w14:paraId="5F2CE6B4" w14:textId="77777777" w:rsidR="00E836FB" w:rsidRDefault="00E836FB">
            <w:pPr>
              <w:rPr>
                <w:rFonts w:ascii="宋体"/>
                <w:vanish/>
              </w:rPr>
            </w:pPr>
          </w:p>
        </w:tc>
        <w:tc>
          <w:tcPr>
            <w:tcW w:w="0" w:type="auto"/>
            <w:gridSpan w:val="3"/>
            <w:shd w:val="clear" w:color="auto" w:fill="auto"/>
            <w:vAlign w:val="bottom"/>
          </w:tcPr>
          <w:p w14:paraId="5F2CE6B5" w14:textId="77777777" w:rsidR="00E836FB" w:rsidRDefault="00E836FB">
            <w:pPr>
              <w:rPr>
                <w:rFonts w:ascii="宋体"/>
                <w:vanish/>
              </w:rPr>
            </w:pPr>
          </w:p>
        </w:tc>
        <w:tc>
          <w:tcPr>
            <w:tcW w:w="0" w:type="auto"/>
            <w:gridSpan w:val="3"/>
            <w:shd w:val="clear" w:color="auto" w:fill="auto"/>
            <w:vAlign w:val="bottom"/>
          </w:tcPr>
          <w:p w14:paraId="5F2CE6B6" w14:textId="77777777" w:rsidR="00E836FB" w:rsidRDefault="00E836FB">
            <w:pPr>
              <w:rPr>
                <w:rFonts w:ascii="宋体"/>
                <w:vanish/>
              </w:rPr>
            </w:pPr>
          </w:p>
        </w:tc>
        <w:tc>
          <w:tcPr>
            <w:tcW w:w="0" w:type="auto"/>
            <w:gridSpan w:val="3"/>
            <w:shd w:val="clear" w:color="auto" w:fill="auto"/>
            <w:vAlign w:val="bottom"/>
          </w:tcPr>
          <w:p w14:paraId="5F2CE6B7" w14:textId="77777777" w:rsidR="00E836FB" w:rsidRDefault="00E836FB">
            <w:pPr>
              <w:rPr>
                <w:rFonts w:ascii="宋体"/>
                <w:vanish/>
              </w:rPr>
            </w:pPr>
          </w:p>
        </w:tc>
        <w:tc>
          <w:tcPr>
            <w:tcW w:w="0" w:type="auto"/>
            <w:gridSpan w:val="3"/>
            <w:shd w:val="clear" w:color="auto" w:fill="auto"/>
            <w:vAlign w:val="bottom"/>
          </w:tcPr>
          <w:p w14:paraId="5F2CE6B8" w14:textId="77777777" w:rsidR="00E836FB" w:rsidRDefault="00E836FB">
            <w:pPr>
              <w:rPr>
                <w:rFonts w:ascii="宋体"/>
                <w:vanish/>
              </w:rPr>
            </w:pPr>
          </w:p>
        </w:tc>
        <w:tc>
          <w:tcPr>
            <w:tcW w:w="0" w:type="auto"/>
            <w:gridSpan w:val="3"/>
            <w:shd w:val="clear" w:color="auto" w:fill="auto"/>
            <w:vAlign w:val="bottom"/>
          </w:tcPr>
          <w:p w14:paraId="5F2CE6B9" w14:textId="77777777" w:rsidR="00E836FB" w:rsidRDefault="00E836FB">
            <w:pPr>
              <w:rPr>
                <w:rFonts w:ascii="宋体"/>
                <w:vanish/>
              </w:rPr>
            </w:pPr>
          </w:p>
        </w:tc>
        <w:tc>
          <w:tcPr>
            <w:tcW w:w="0" w:type="auto"/>
            <w:gridSpan w:val="3"/>
            <w:shd w:val="clear" w:color="auto" w:fill="auto"/>
            <w:vAlign w:val="bottom"/>
          </w:tcPr>
          <w:p w14:paraId="5F2CE6BA" w14:textId="77777777" w:rsidR="00E836FB" w:rsidRDefault="00E836FB">
            <w:pPr>
              <w:rPr>
                <w:rFonts w:ascii="宋体"/>
                <w:vanish/>
              </w:rPr>
            </w:pPr>
          </w:p>
        </w:tc>
        <w:tc>
          <w:tcPr>
            <w:tcW w:w="0" w:type="auto"/>
            <w:gridSpan w:val="3"/>
            <w:shd w:val="clear" w:color="auto" w:fill="auto"/>
            <w:vAlign w:val="bottom"/>
          </w:tcPr>
          <w:p w14:paraId="5F2CE6BB" w14:textId="77777777" w:rsidR="00E836FB" w:rsidRDefault="00E836FB">
            <w:pPr>
              <w:rPr>
                <w:rFonts w:ascii="宋体"/>
                <w:vanish/>
              </w:rPr>
            </w:pPr>
          </w:p>
        </w:tc>
        <w:tc>
          <w:tcPr>
            <w:tcW w:w="0" w:type="auto"/>
            <w:gridSpan w:val="3"/>
            <w:shd w:val="clear" w:color="auto" w:fill="auto"/>
            <w:vAlign w:val="bottom"/>
          </w:tcPr>
          <w:p w14:paraId="5F2CE6BC" w14:textId="77777777" w:rsidR="00E836FB" w:rsidRDefault="00E836FB">
            <w:pPr>
              <w:rPr>
                <w:rFonts w:ascii="宋体"/>
                <w:vanish/>
              </w:rPr>
            </w:pPr>
          </w:p>
        </w:tc>
      </w:tr>
      <w:tr w:rsidR="00E836FB" w14:paraId="5F2CE6CA" w14:textId="77777777">
        <w:trPr>
          <w:hidden/>
        </w:trPr>
        <w:tc>
          <w:tcPr>
            <w:tcW w:w="0" w:type="auto"/>
            <w:gridSpan w:val="3"/>
            <w:shd w:val="clear" w:color="auto" w:fill="auto"/>
            <w:vAlign w:val="bottom"/>
          </w:tcPr>
          <w:p w14:paraId="5F2CE6BE" w14:textId="77777777" w:rsidR="00E836FB" w:rsidRDefault="00E836FB">
            <w:pPr>
              <w:rPr>
                <w:rFonts w:ascii="宋体"/>
                <w:vanish/>
              </w:rPr>
            </w:pPr>
          </w:p>
        </w:tc>
        <w:tc>
          <w:tcPr>
            <w:tcW w:w="0" w:type="auto"/>
            <w:gridSpan w:val="3"/>
            <w:shd w:val="clear" w:color="auto" w:fill="auto"/>
            <w:vAlign w:val="bottom"/>
          </w:tcPr>
          <w:p w14:paraId="5F2CE6BF" w14:textId="77777777" w:rsidR="00E836FB" w:rsidRDefault="00E836FB">
            <w:pPr>
              <w:rPr>
                <w:rFonts w:ascii="宋体"/>
                <w:vanish/>
              </w:rPr>
            </w:pPr>
          </w:p>
        </w:tc>
        <w:tc>
          <w:tcPr>
            <w:tcW w:w="0" w:type="auto"/>
            <w:gridSpan w:val="3"/>
            <w:shd w:val="clear" w:color="auto" w:fill="auto"/>
            <w:vAlign w:val="bottom"/>
          </w:tcPr>
          <w:p w14:paraId="5F2CE6C0" w14:textId="77777777" w:rsidR="00E836FB" w:rsidRDefault="00E836FB">
            <w:pPr>
              <w:rPr>
                <w:rFonts w:ascii="宋体"/>
                <w:vanish/>
              </w:rPr>
            </w:pPr>
          </w:p>
        </w:tc>
        <w:tc>
          <w:tcPr>
            <w:tcW w:w="0" w:type="auto"/>
            <w:gridSpan w:val="3"/>
            <w:shd w:val="clear" w:color="auto" w:fill="auto"/>
            <w:vAlign w:val="bottom"/>
          </w:tcPr>
          <w:p w14:paraId="5F2CE6C1" w14:textId="77777777" w:rsidR="00E836FB" w:rsidRDefault="00E836FB">
            <w:pPr>
              <w:rPr>
                <w:rFonts w:ascii="宋体"/>
                <w:vanish/>
              </w:rPr>
            </w:pPr>
          </w:p>
        </w:tc>
        <w:tc>
          <w:tcPr>
            <w:tcW w:w="0" w:type="auto"/>
            <w:gridSpan w:val="3"/>
            <w:shd w:val="clear" w:color="auto" w:fill="auto"/>
            <w:vAlign w:val="bottom"/>
          </w:tcPr>
          <w:p w14:paraId="5F2CE6C2" w14:textId="77777777" w:rsidR="00E836FB" w:rsidRDefault="00E836FB">
            <w:pPr>
              <w:rPr>
                <w:rFonts w:ascii="宋体"/>
                <w:vanish/>
              </w:rPr>
            </w:pPr>
          </w:p>
        </w:tc>
        <w:tc>
          <w:tcPr>
            <w:tcW w:w="0" w:type="auto"/>
            <w:gridSpan w:val="3"/>
            <w:shd w:val="clear" w:color="auto" w:fill="auto"/>
            <w:vAlign w:val="bottom"/>
          </w:tcPr>
          <w:p w14:paraId="5F2CE6C3" w14:textId="77777777" w:rsidR="00E836FB" w:rsidRDefault="00E836FB">
            <w:pPr>
              <w:rPr>
                <w:rFonts w:ascii="宋体"/>
                <w:vanish/>
              </w:rPr>
            </w:pPr>
          </w:p>
        </w:tc>
        <w:tc>
          <w:tcPr>
            <w:tcW w:w="0" w:type="auto"/>
            <w:gridSpan w:val="3"/>
            <w:shd w:val="clear" w:color="auto" w:fill="auto"/>
            <w:vAlign w:val="bottom"/>
          </w:tcPr>
          <w:p w14:paraId="5F2CE6C4" w14:textId="77777777" w:rsidR="00E836FB" w:rsidRDefault="00E836FB">
            <w:pPr>
              <w:rPr>
                <w:rFonts w:ascii="宋体"/>
                <w:vanish/>
              </w:rPr>
            </w:pPr>
          </w:p>
        </w:tc>
        <w:tc>
          <w:tcPr>
            <w:tcW w:w="0" w:type="auto"/>
            <w:gridSpan w:val="3"/>
            <w:shd w:val="clear" w:color="auto" w:fill="auto"/>
            <w:vAlign w:val="bottom"/>
          </w:tcPr>
          <w:p w14:paraId="5F2CE6C5" w14:textId="77777777" w:rsidR="00E836FB" w:rsidRDefault="00E836FB">
            <w:pPr>
              <w:rPr>
                <w:rFonts w:ascii="宋体"/>
                <w:vanish/>
              </w:rPr>
            </w:pPr>
          </w:p>
        </w:tc>
        <w:tc>
          <w:tcPr>
            <w:tcW w:w="0" w:type="auto"/>
            <w:gridSpan w:val="3"/>
            <w:shd w:val="clear" w:color="auto" w:fill="auto"/>
            <w:vAlign w:val="bottom"/>
          </w:tcPr>
          <w:p w14:paraId="5F2CE6C6" w14:textId="77777777" w:rsidR="00E836FB" w:rsidRDefault="00E836FB">
            <w:pPr>
              <w:rPr>
                <w:rFonts w:ascii="宋体"/>
                <w:vanish/>
              </w:rPr>
            </w:pPr>
          </w:p>
        </w:tc>
        <w:tc>
          <w:tcPr>
            <w:tcW w:w="0" w:type="auto"/>
            <w:gridSpan w:val="3"/>
            <w:shd w:val="clear" w:color="auto" w:fill="auto"/>
            <w:vAlign w:val="bottom"/>
          </w:tcPr>
          <w:p w14:paraId="5F2CE6C7" w14:textId="77777777" w:rsidR="00E836FB" w:rsidRDefault="00E836FB">
            <w:pPr>
              <w:rPr>
                <w:rFonts w:ascii="宋体"/>
                <w:vanish/>
              </w:rPr>
            </w:pPr>
          </w:p>
        </w:tc>
        <w:tc>
          <w:tcPr>
            <w:tcW w:w="0" w:type="auto"/>
            <w:gridSpan w:val="3"/>
            <w:shd w:val="clear" w:color="auto" w:fill="auto"/>
            <w:vAlign w:val="bottom"/>
          </w:tcPr>
          <w:p w14:paraId="5F2CE6C8" w14:textId="77777777" w:rsidR="00E836FB" w:rsidRDefault="00E836FB">
            <w:pPr>
              <w:rPr>
                <w:rFonts w:ascii="宋体"/>
                <w:vanish/>
              </w:rPr>
            </w:pPr>
          </w:p>
        </w:tc>
        <w:tc>
          <w:tcPr>
            <w:tcW w:w="0" w:type="auto"/>
            <w:gridSpan w:val="3"/>
            <w:shd w:val="clear" w:color="auto" w:fill="auto"/>
            <w:vAlign w:val="bottom"/>
          </w:tcPr>
          <w:p w14:paraId="5F2CE6C9" w14:textId="77777777" w:rsidR="00E836FB" w:rsidRDefault="00E836FB">
            <w:pPr>
              <w:rPr>
                <w:rFonts w:ascii="宋体"/>
                <w:vanish/>
              </w:rPr>
            </w:pPr>
          </w:p>
        </w:tc>
      </w:tr>
      <w:tr w:rsidR="00E836FB" w14:paraId="5F2CE6D7" w14:textId="77777777">
        <w:trPr>
          <w:hidden/>
        </w:trPr>
        <w:tc>
          <w:tcPr>
            <w:tcW w:w="0" w:type="auto"/>
            <w:gridSpan w:val="3"/>
            <w:shd w:val="clear" w:color="auto" w:fill="auto"/>
            <w:vAlign w:val="bottom"/>
          </w:tcPr>
          <w:p w14:paraId="5F2CE6CB" w14:textId="77777777" w:rsidR="00E836FB" w:rsidRDefault="00E836FB">
            <w:pPr>
              <w:rPr>
                <w:rFonts w:ascii="宋体"/>
                <w:vanish/>
              </w:rPr>
            </w:pPr>
          </w:p>
        </w:tc>
        <w:tc>
          <w:tcPr>
            <w:tcW w:w="0" w:type="auto"/>
            <w:gridSpan w:val="3"/>
            <w:shd w:val="clear" w:color="auto" w:fill="auto"/>
            <w:vAlign w:val="bottom"/>
          </w:tcPr>
          <w:p w14:paraId="5F2CE6CC" w14:textId="77777777" w:rsidR="00E836FB" w:rsidRDefault="00E836FB">
            <w:pPr>
              <w:rPr>
                <w:rFonts w:ascii="宋体"/>
                <w:vanish/>
              </w:rPr>
            </w:pPr>
          </w:p>
        </w:tc>
        <w:tc>
          <w:tcPr>
            <w:tcW w:w="0" w:type="auto"/>
            <w:gridSpan w:val="3"/>
            <w:shd w:val="clear" w:color="auto" w:fill="auto"/>
            <w:vAlign w:val="bottom"/>
          </w:tcPr>
          <w:p w14:paraId="5F2CE6CD" w14:textId="77777777" w:rsidR="00E836FB" w:rsidRDefault="00E836FB">
            <w:pPr>
              <w:rPr>
                <w:rFonts w:ascii="宋体"/>
                <w:vanish/>
              </w:rPr>
            </w:pPr>
          </w:p>
        </w:tc>
        <w:tc>
          <w:tcPr>
            <w:tcW w:w="0" w:type="auto"/>
            <w:gridSpan w:val="3"/>
            <w:shd w:val="clear" w:color="auto" w:fill="auto"/>
            <w:vAlign w:val="bottom"/>
          </w:tcPr>
          <w:p w14:paraId="5F2CE6CE" w14:textId="77777777" w:rsidR="00E836FB" w:rsidRDefault="00E836FB">
            <w:pPr>
              <w:rPr>
                <w:rFonts w:ascii="宋体"/>
                <w:vanish/>
              </w:rPr>
            </w:pPr>
          </w:p>
        </w:tc>
        <w:tc>
          <w:tcPr>
            <w:tcW w:w="0" w:type="auto"/>
            <w:gridSpan w:val="3"/>
            <w:shd w:val="clear" w:color="auto" w:fill="auto"/>
            <w:vAlign w:val="bottom"/>
          </w:tcPr>
          <w:p w14:paraId="5F2CE6CF" w14:textId="77777777" w:rsidR="00E836FB" w:rsidRDefault="00E836FB">
            <w:pPr>
              <w:rPr>
                <w:rFonts w:ascii="宋体"/>
                <w:vanish/>
              </w:rPr>
            </w:pPr>
          </w:p>
        </w:tc>
        <w:tc>
          <w:tcPr>
            <w:tcW w:w="0" w:type="auto"/>
            <w:gridSpan w:val="3"/>
            <w:shd w:val="clear" w:color="auto" w:fill="auto"/>
            <w:vAlign w:val="bottom"/>
          </w:tcPr>
          <w:p w14:paraId="5F2CE6D0" w14:textId="77777777" w:rsidR="00E836FB" w:rsidRDefault="00E836FB">
            <w:pPr>
              <w:rPr>
                <w:rFonts w:ascii="宋体"/>
                <w:vanish/>
              </w:rPr>
            </w:pPr>
          </w:p>
        </w:tc>
        <w:tc>
          <w:tcPr>
            <w:tcW w:w="0" w:type="auto"/>
            <w:gridSpan w:val="3"/>
            <w:shd w:val="clear" w:color="auto" w:fill="auto"/>
            <w:vAlign w:val="bottom"/>
          </w:tcPr>
          <w:p w14:paraId="5F2CE6D1" w14:textId="77777777" w:rsidR="00E836FB" w:rsidRDefault="00E836FB">
            <w:pPr>
              <w:rPr>
                <w:rFonts w:ascii="宋体"/>
                <w:vanish/>
              </w:rPr>
            </w:pPr>
          </w:p>
        </w:tc>
        <w:tc>
          <w:tcPr>
            <w:tcW w:w="0" w:type="auto"/>
            <w:gridSpan w:val="3"/>
            <w:shd w:val="clear" w:color="auto" w:fill="auto"/>
            <w:vAlign w:val="bottom"/>
          </w:tcPr>
          <w:p w14:paraId="5F2CE6D2" w14:textId="77777777" w:rsidR="00E836FB" w:rsidRDefault="00E836FB">
            <w:pPr>
              <w:rPr>
                <w:rFonts w:ascii="宋体"/>
                <w:vanish/>
              </w:rPr>
            </w:pPr>
          </w:p>
        </w:tc>
        <w:tc>
          <w:tcPr>
            <w:tcW w:w="0" w:type="auto"/>
            <w:gridSpan w:val="3"/>
            <w:shd w:val="clear" w:color="auto" w:fill="auto"/>
            <w:vAlign w:val="bottom"/>
          </w:tcPr>
          <w:p w14:paraId="5F2CE6D3" w14:textId="77777777" w:rsidR="00E836FB" w:rsidRDefault="00E836FB">
            <w:pPr>
              <w:rPr>
                <w:rFonts w:ascii="宋体"/>
                <w:vanish/>
              </w:rPr>
            </w:pPr>
          </w:p>
        </w:tc>
        <w:tc>
          <w:tcPr>
            <w:tcW w:w="0" w:type="auto"/>
            <w:gridSpan w:val="3"/>
            <w:shd w:val="clear" w:color="auto" w:fill="auto"/>
            <w:vAlign w:val="bottom"/>
          </w:tcPr>
          <w:p w14:paraId="5F2CE6D4" w14:textId="77777777" w:rsidR="00E836FB" w:rsidRDefault="00E836FB">
            <w:pPr>
              <w:rPr>
                <w:rFonts w:ascii="宋体"/>
                <w:vanish/>
              </w:rPr>
            </w:pPr>
          </w:p>
        </w:tc>
        <w:tc>
          <w:tcPr>
            <w:tcW w:w="0" w:type="auto"/>
            <w:gridSpan w:val="3"/>
            <w:shd w:val="clear" w:color="auto" w:fill="auto"/>
            <w:vAlign w:val="bottom"/>
          </w:tcPr>
          <w:p w14:paraId="5F2CE6D5" w14:textId="77777777" w:rsidR="00E836FB" w:rsidRDefault="00E836FB">
            <w:pPr>
              <w:rPr>
                <w:rFonts w:ascii="宋体"/>
                <w:vanish/>
              </w:rPr>
            </w:pPr>
          </w:p>
        </w:tc>
        <w:tc>
          <w:tcPr>
            <w:tcW w:w="0" w:type="auto"/>
            <w:gridSpan w:val="3"/>
            <w:shd w:val="clear" w:color="auto" w:fill="auto"/>
            <w:vAlign w:val="bottom"/>
          </w:tcPr>
          <w:p w14:paraId="5F2CE6D6" w14:textId="77777777" w:rsidR="00E836FB" w:rsidRDefault="00E836FB">
            <w:pPr>
              <w:rPr>
                <w:rFonts w:ascii="宋体"/>
                <w:vanish/>
              </w:rPr>
            </w:pPr>
          </w:p>
        </w:tc>
      </w:tr>
      <w:tr w:rsidR="00E836FB" w14:paraId="5F2CE6F8" w14:textId="77777777">
        <w:trPr>
          <w:hidden/>
        </w:trPr>
        <w:tc>
          <w:tcPr>
            <w:tcW w:w="0" w:type="auto"/>
            <w:gridSpan w:val="3"/>
            <w:shd w:val="clear" w:color="auto" w:fill="auto"/>
            <w:vAlign w:val="bottom"/>
          </w:tcPr>
          <w:p w14:paraId="5F2CE6D8" w14:textId="77777777" w:rsidR="00E836FB" w:rsidRDefault="00E836FB">
            <w:pPr>
              <w:rPr>
                <w:rFonts w:ascii="宋体"/>
                <w:vanish/>
              </w:rPr>
            </w:pPr>
          </w:p>
        </w:tc>
        <w:tc>
          <w:tcPr>
            <w:tcW w:w="0" w:type="auto"/>
            <w:gridSpan w:val="3"/>
            <w:shd w:val="clear" w:color="auto" w:fill="auto"/>
            <w:vAlign w:val="bottom"/>
          </w:tcPr>
          <w:p w14:paraId="5F2CE6D9" w14:textId="77777777" w:rsidR="00E836FB" w:rsidRDefault="00E836FB">
            <w:pPr>
              <w:rPr>
                <w:rFonts w:ascii="宋体"/>
                <w:vanish/>
              </w:rPr>
            </w:pPr>
          </w:p>
        </w:tc>
        <w:tc>
          <w:tcPr>
            <w:tcW w:w="0" w:type="auto"/>
            <w:shd w:val="clear" w:color="auto" w:fill="auto"/>
            <w:vAlign w:val="bottom"/>
          </w:tcPr>
          <w:p w14:paraId="5F2CE6DA" w14:textId="77777777" w:rsidR="00E836FB" w:rsidRDefault="00E836FB">
            <w:pPr>
              <w:rPr>
                <w:rFonts w:ascii="宋体"/>
              </w:rPr>
            </w:pPr>
          </w:p>
        </w:tc>
        <w:tc>
          <w:tcPr>
            <w:tcW w:w="0" w:type="auto"/>
            <w:shd w:val="clear" w:color="auto" w:fill="auto"/>
            <w:vAlign w:val="bottom"/>
          </w:tcPr>
          <w:p w14:paraId="5F2CE6DB" w14:textId="77777777" w:rsidR="00E836FB" w:rsidRDefault="00E836FB">
            <w:pPr>
              <w:rPr>
                <w:rFonts w:ascii="宋体"/>
              </w:rPr>
            </w:pPr>
          </w:p>
        </w:tc>
        <w:tc>
          <w:tcPr>
            <w:tcW w:w="0" w:type="auto"/>
            <w:shd w:val="clear" w:color="auto" w:fill="auto"/>
            <w:vAlign w:val="bottom"/>
          </w:tcPr>
          <w:p w14:paraId="5F2CE6DC" w14:textId="77777777" w:rsidR="00E836FB" w:rsidRDefault="00E836FB">
            <w:pPr>
              <w:rPr>
                <w:rFonts w:ascii="宋体"/>
              </w:rPr>
            </w:pPr>
          </w:p>
        </w:tc>
        <w:tc>
          <w:tcPr>
            <w:tcW w:w="0" w:type="auto"/>
            <w:shd w:val="clear" w:color="auto" w:fill="auto"/>
            <w:vAlign w:val="bottom"/>
          </w:tcPr>
          <w:p w14:paraId="5F2CE6DD" w14:textId="77777777" w:rsidR="00E836FB" w:rsidRDefault="00E836FB">
            <w:pPr>
              <w:rPr>
                <w:rFonts w:ascii="宋体"/>
              </w:rPr>
            </w:pPr>
          </w:p>
        </w:tc>
        <w:tc>
          <w:tcPr>
            <w:tcW w:w="0" w:type="auto"/>
            <w:shd w:val="clear" w:color="auto" w:fill="auto"/>
            <w:vAlign w:val="bottom"/>
          </w:tcPr>
          <w:p w14:paraId="5F2CE6DE" w14:textId="77777777" w:rsidR="00E836FB" w:rsidRDefault="00E836FB">
            <w:pPr>
              <w:rPr>
                <w:rFonts w:ascii="宋体"/>
              </w:rPr>
            </w:pPr>
          </w:p>
        </w:tc>
        <w:tc>
          <w:tcPr>
            <w:tcW w:w="0" w:type="auto"/>
            <w:shd w:val="clear" w:color="auto" w:fill="auto"/>
            <w:vAlign w:val="bottom"/>
          </w:tcPr>
          <w:p w14:paraId="5F2CE6DF" w14:textId="77777777" w:rsidR="00E836FB" w:rsidRDefault="00E836FB">
            <w:pPr>
              <w:rPr>
                <w:rFonts w:ascii="宋体"/>
              </w:rPr>
            </w:pPr>
          </w:p>
        </w:tc>
        <w:tc>
          <w:tcPr>
            <w:tcW w:w="0" w:type="auto"/>
            <w:shd w:val="clear" w:color="auto" w:fill="auto"/>
            <w:vAlign w:val="bottom"/>
          </w:tcPr>
          <w:p w14:paraId="5F2CE6E0" w14:textId="77777777" w:rsidR="00E836FB" w:rsidRDefault="00E836FB">
            <w:pPr>
              <w:rPr>
                <w:rFonts w:ascii="宋体"/>
              </w:rPr>
            </w:pPr>
          </w:p>
        </w:tc>
        <w:tc>
          <w:tcPr>
            <w:tcW w:w="0" w:type="auto"/>
            <w:shd w:val="clear" w:color="auto" w:fill="auto"/>
            <w:vAlign w:val="bottom"/>
          </w:tcPr>
          <w:p w14:paraId="5F2CE6E1" w14:textId="77777777" w:rsidR="00E836FB" w:rsidRDefault="00E836FB">
            <w:pPr>
              <w:rPr>
                <w:rFonts w:ascii="宋体"/>
              </w:rPr>
            </w:pPr>
          </w:p>
        </w:tc>
        <w:tc>
          <w:tcPr>
            <w:tcW w:w="0" w:type="auto"/>
            <w:shd w:val="clear" w:color="auto" w:fill="auto"/>
            <w:vAlign w:val="bottom"/>
          </w:tcPr>
          <w:p w14:paraId="5F2CE6E2" w14:textId="77777777" w:rsidR="00E836FB" w:rsidRDefault="00E836FB">
            <w:pPr>
              <w:rPr>
                <w:rFonts w:ascii="宋体"/>
              </w:rPr>
            </w:pPr>
          </w:p>
        </w:tc>
        <w:tc>
          <w:tcPr>
            <w:tcW w:w="0" w:type="auto"/>
            <w:shd w:val="clear" w:color="auto" w:fill="auto"/>
            <w:vAlign w:val="bottom"/>
          </w:tcPr>
          <w:p w14:paraId="5F2CE6E3" w14:textId="77777777" w:rsidR="00E836FB" w:rsidRDefault="00E836FB">
            <w:pPr>
              <w:rPr>
                <w:rFonts w:ascii="宋体"/>
              </w:rPr>
            </w:pPr>
          </w:p>
        </w:tc>
        <w:tc>
          <w:tcPr>
            <w:tcW w:w="0" w:type="auto"/>
            <w:shd w:val="clear" w:color="auto" w:fill="auto"/>
            <w:vAlign w:val="bottom"/>
          </w:tcPr>
          <w:p w14:paraId="5F2CE6E4" w14:textId="77777777" w:rsidR="00E836FB" w:rsidRDefault="00E836FB">
            <w:pPr>
              <w:rPr>
                <w:rFonts w:ascii="宋体"/>
              </w:rPr>
            </w:pPr>
          </w:p>
        </w:tc>
        <w:tc>
          <w:tcPr>
            <w:tcW w:w="0" w:type="auto"/>
            <w:shd w:val="clear" w:color="auto" w:fill="auto"/>
            <w:vAlign w:val="bottom"/>
          </w:tcPr>
          <w:p w14:paraId="5F2CE6E5" w14:textId="77777777" w:rsidR="00E836FB" w:rsidRDefault="00E836FB">
            <w:pPr>
              <w:rPr>
                <w:rFonts w:ascii="宋体"/>
              </w:rPr>
            </w:pPr>
          </w:p>
        </w:tc>
        <w:tc>
          <w:tcPr>
            <w:tcW w:w="0" w:type="auto"/>
            <w:shd w:val="clear" w:color="auto" w:fill="auto"/>
            <w:vAlign w:val="bottom"/>
          </w:tcPr>
          <w:p w14:paraId="5F2CE6E6" w14:textId="77777777" w:rsidR="00E836FB" w:rsidRDefault="00E836FB">
            <w:pPr>
              <w:rPr>
                <w:rFonts w:ascii="宋体"/>
              </w:rPr>
            </w:pPr>
          </w:p>
        </w:tc>
        <w:tc>
          <w:tcPr>
            <w:tcW w:w="0" w:type="auto"/>
            <w:shd w:val="clear" w:color="auto" w:fill="auto"/>
            <w:vAlign w:val="bottom"/>
          </w:tcPr>
          <w:p w14:paraId="5F2CE6E7" w14:textId="77777777" w:rsidR="00E836FB" w:rsidRDefault="00E836FB">
            <w:pPr>
              <w:rPr>
                <w:rFonts w:ascii="宋体"/>
              </w:rPr>
            </w:pPr>
          </w:p>
        </w:tc>
        <w:tc>
          <w:tcPr>
            <w:tcW w:w="0" w:type="auto"/>
            <w:shd w:val="clear" w:color="auto" w:fill="auto"/>
            <w:vAlign w:val="bottom"/>
          </w:tcPr>
          <w:p w14:paraId="5F2CE6E8" w14:textId="77777777" w:rsidR="00E836FB" w:rsidRDefault="00E836FB">
            <w:pPr>
              <w:rPr>
                <w:rFonts w:ascii="宋体"/>
              </w:rPr>
            </w:pPr>
          </w:p>
        </w:tc>
        <w:tc>
          <w:tcPr>
            <w:tcW w:w="0" w:type="auto"/>
            <w:shd w:val="clear" w:color="auto" w:fill="auto"/>
            <w:vAlign w:val="bottom"/>
          </w:tcPr>
          <w:p w14:paraId="5F2CE6E9" w14:textId="77777777" w:rsidR="00E836FB" w:rsidRDefault="00E836FB">
            <w:pPr>
              <w:rPr>
                <w:rFonts w:ascii="宋体"/>
              </w:rPr>
            </w:pPr>
          </w:p>
        </w:tc>
        <w:tc>
          <w:tcPr>
            <w:tcW w:w="0" w:type="auto"/>
            <w:shd w:val="clear" w:color="auto" w:fill="auto"/>
            <w:vAlign w:val="bottom"/>
          </w:tcPr>
          <w:p w14:paraId="5F2CE6EA" w14:textId="77777777" w:rsidR="00E836FB" w:rsidRDefault="00E836FB">
            <w:pPr>
              <w:rPr>
                <w:rFonts w:ascii="宋体"/>
              </w:rPr>
            </w:pPr>
          </w:p>
        </w:tc>
        <w:tc>
          <w:tcPr>
            <w:tcW w:w="0" w:type="auto"/>
            <w:shd w:val="clear" w:color="auto" w:fill="auto"/>
            <w:vAlign w:val="bottom"/>
          </w:tcPr>
          <w:p w14:paraId="5F2CE6EB" w14:textId="77777777" w:rsidR="00E836FB" w:rsidRDefault="00E836FB">
            <w:pPr>
              <w:rPr>
                <w:rFonts w:ascii="宋体"/>
              </w:rPr>
            </w:pPr>
          </w:p>
        </w:tc>
        <w:tc>
          <w:tcPr>
            <w:tcW w:w="0" w:type="auto"/>
            <w:shd w:val="clear" w:color="auto" w:fill="auto"/>
            <w:vAlign w:val="bottom"/>
          </w:tcPr>
          <w:p w14:paraId="5F2CE6EC" w14:textId="77777777" w:rsidR="00E836FB" w:rsidRDefault="00E836FB">
            <w:pPr>
              <w:rPr>
                <w:rFonts w:ascii="宋体"/>
              </w:rPr>
            </w:pPr>
          </w:p>
        </w:tc>
        <w:tc>
          <w:tcPr>
            <w:tcW w:w="0" w:type="auto"/>
            <w:shd w:val="clear" w:color="auto" w:fill="auto"/>
            <w:vAlign w:val="bottom"/>
          </w:tcPr>
          <w:p w14:paraId="5F2CE6ED" w14:textId="77777777" w:rsidR="00E836FB" w:rsidRDefault="00E836FB">
            <w:pPr>
              <w:rPr>
                <w:rFonts w:ascii="宋体"/>
              </w:rPr>
            </w:pPr>
          </w:p>
        </w:tc>
        <w:tc>
          <w:tcPr>
            <w:tcW w:w="0" w:type="auto"/>
            <w:shd w:val="clear" w:color="auto" w:fill="auto"/>
            <w:vAlign w:val="bottom"/>
          </w:tcPr>
          <w:p w14:paraId="5F2CE6EE" w14:textId="77777777" w:rsidR="00E836FB" w:rsidRDefault="00E836FB">
            <w:pPr>
              <w:rPr>
                <w:rFonts w:ascii="宋体"/>
              </w:rPr>
            </w:pPr>
          </w:p>
        </w:tc>
        <w:tc>
          <w:tcPr>
            <w:tcW w:w="0" w:type="auto"/>
            <w:shd w:val="clear" w:color="auto" w:fill="auto"/>
            <w:vAlign w:val="bottom"/>
          </w:tcPr>
          <w:p w14:paraId="5F2CE6EF" w14:textId="77777777" w:rsidR="00E836FB" w:rsidRDefault="00E836FB">
            <w:pPr>
              <w:rPr>
                <w:rFonts w:ascii="宋体"/>
              </w:rPr>
            </w:pPr>
          </w:p>
        </w:tc>
        <w:tc>
          <w:tcPr>
            <w:tcW w:w="0" w:type="auto"/>
            <w:shd w:val="clear" w:color="auto" w:fill="auto"/>
            <w:vAlign w:val="bottom"/>
          </w:tcPr>
          <w:p w14:paraId="5F2CE6F0" w14:textId="77777777" w:rsidR="00E836FB" w:rsidRDefault="00E836FB">
            <w:pPr>
              <w:rPr>
                <w:rFonts w:ascii="宋体"/>
              </w:rPr>
            </w:pPr>
          </w:p>
        </w:tc>
        <w:tc>
          <w:tcPr>
            <w:tcW w:w="0" w:type="auto"/>
            <w:shd w:val="clear" w:color="auto" w:fill="auto"/>
            <w:vAlign w:val="bottom"/>
          </w:tcPr>
          <w:p w14:paraId="5F2CE6F1" w14:textId="77777777" w:rsidR="00E836FB" w:rsidRDefault="00E836FB">
            <w:pPr>
              <w:rPr>
                <w:rFonts w:ascii="宋体"/>
              </w:rPr>
            </w:pPr>
          </w:p>
        </w:tc>
        <w:tc>
          <w:tcPr>
            <w:tcW w:w="0" w:type="auto"/>
            <w:shd w:val="clear" w:color="auto" w:fill="auto"/>
            <w:vAlign w:val="bottom"/>
          </w:tcPr>
          <w:p w14:paraId="5F2CE6F2" w14:textId="77777777" w:rsidR="00E836FB" w:rsidRDefault="00E836FB">
            <w:pPr>
              <w:rPr>
                <w:rFonts w:ascii="宋体"/>
              </w:rPr>
            </w:pPr>
          </w:p>
        </w:tc>
        <w:tc>
          <w:tcPr>
            <w:tcW w:w="0" w:type="auto"/>
            <w:shd w:val="clear" w:color="auto" w:fill="auto"/>
            <w:vAlign w:val="bottom"/>
          </w:tcPr>
          <w:p w14:paraId="5F2CE6F3" w14:textId="77777777" w:rsidR="00E836FB" w:rsidRDefault="00E836FB">
            <w:pPr>
              <w:rPr>
                <w:rFonts w:ascii="宋体"/>
              </w:rPr>
            </w:pPr>
          </w:p>
        </w:tc>
        <w:tc>
          <w:tcPr>
            <w:tcW w:w="0" w:type="auto"/>
            <w:shd w:val="clear" w:color="auto" w:fill="auto"/>
            <w:vAlign w:val="bottom"/>
          </w:tcPr>
          <w:p w14:paraId="5F2CE6F4" w14:textId="77777777" w:rsidR="00E836FB" w:rsidRDefault="00E836FB">
            <w:pPr>
              <w:rPr>
                <w:rFonts w:ascii="宋体"/>
              </w:rPr>
            </w:pPr>
          </w:p>
        </w:tc>
        <w:tc>
          <w:tcPr>
            <w:tcW w:w="0" w:type="auto"/>
            <w:shd w:val="clear" w:color="auto" w:fill="auto"/>
            <w:vAlign w:val="bottom"/>
          </w:tcPr>
          <w:p w14:paraId="5F2CE6F5" w14:textId="77777777" w:rsidR="00E836FB" w:rsidRDefault="00E836FB">
            <w:pPr>
              <w:rPr>
                <w:rFonts w:ascii="宋体"/>
              </w:rPr>
            </w:pPr>
          </w:p>
        </w:tc>
        <w:tc>
          <w:tcPr>
            <w:tcW w:w="0" w:type="auto"/>
            <w:shd w:val="clear" w:color="auto" w:fill="auto"/>
            <w:vAlign w:val="bottom"/>
          </w:tcPr>
          <w:p w14:paraId="5F2CE6F6" w14:textId="77777777" w:rsidR="00E836FB" w:rsidRDefault="00E836FB">
            <w:pPr>
              <w:rPr>
                <w:rFonts w:ascii="宋体"/>
              </w:rPr>
            </w:pPr>
          </w:p>
        </w:tc>
        <w:tc>
          <w:tcPr>
            <w:tcW w:w="0" w:type="auto"/>
            <w:shd w:val="clear" w:color="auto" w:fill="auto"/>
            <w:vAlign w:val="bottom"/>
          </w:tcPr>
          <w:p w14:paraId="5F2CE6F7" w14:textId="77777777" w:rsidR="00E836FB" w:rsidRDefault="00E836FB">
            <w:pPr>
              <w:rPr>
                <w:rFonts w:ascii="宋体"/>
              </w:rPr>
            </w:pPr>
          </w:p>
        </w:tc>
      </w:tr>
      <w:tr w:rsidR="00E836FB" w14:paraId="5F2CE715" w14:textId="77777777">
        <w:trPr>
          <w:hidden/>
        </w:trPr>
        <w:tc>
          <w:tcPr>
            <w:tcW w:w="0" w:type="auto"/>
            <w:gridSpan w:val="3"/>
            <w:shd w:val="clear" w:color="auto" w:fill="auto"/>
            <w:vAlign w:val="bottom"/>
          </w:tcPr>
          <w:p w14:paraId="5F2CE6F9" w14:textId="77777777" w:rsidR="00E836FB" w:rsidRDefault="00E836FB">
            <w:pPr>
              <w:rPr>
                <w:rFonts w:ascii="宋体"/>
                <w:vanish/>
              </w:rPr>
            </w:pPr>
          </w:p>
        </w:tc>
        <w:tc>
          <w:tcPr>
            <w:tcW w:w="0" w:type="auto"/>
            <w:gridSpan w:val="3"/>
            <w:shd w:val="clear" w:color="auto" w:fill="auto"/>
            <w:vAlign w:val="bottom"/>
          </w:tcPr>
          <w:p w14:paraId="5F2CE6FA" w14:textId="77777777" w:rsidR="00E836FB" w:rsidRDefault="00E836FB">
            <w:pPr>
              <w:rPr>
                <w:rFonts w:ascii="宋体"/>
                <w:vanish/>
              </w:rPr>
            </w:pPr>
          </w:p>
        </w:tc>
        <w:tc>
          <w:tcPr>
            <w:tcW w:w="0" w:type="auto"/>
            <w:gridSpan w:val="3"/>
            <w:shd w:val="clear" w:color="auto" w:fill="auto"/>
            <w:vAlign w:val="bottom"/>
          </w:tcPr>
          <w:p w14:paraId="5F2CE6FB" w14:textId="77777777" w:rsidR="00E836FB" w:rsidRDefault="00E836FB">
            <w:pPr>
              <w:rPr>
                <w:rFonts w:ascii="宋体"/>
                <w:vanish/>
              </w:rPr>
            </w:pPr>
          </w:p>
        </w:tc>
        <w:tc>
          <w:tcPr>
            <w:tcW w:w="0" w:type="auto"/>
            <w:gridSpan w:val="3"/>
            <w:shd w:val="clear" w:color="auto" w:fill="auto"/>
            <w:vAlign w:val="bottom"/>
          </w:tcPr>
          <w:p w14:paraId="5F2CE6FC" w14:textId="77777777" w:rsidR="00E836FB" w:rsidRDefault="00E836FB">
            <w:pPr>
              <w:rPr>
                <w:rFonts w:ascii="宋体"/>
                <w:vanish/>
              </w:rPr>
            </w:pPr>
          </w:p>
        </w:tc>
        <w:tc>
          <w:tcPr>
            <w:tcW w:w="0" w:type="auto"/>
            <w:shd w:val="clear" w:color="auto" w:fill="auto"/>
            <w:vAlign w:val="bottom"/>
          </w:tcPr>
          <w:p w14:paraId="5F2CE6FD" w14:textId="77777777" w:rsidR="00E836FB" w:rsidRDefault="00E836FB">
            <w:pPr>
              <w:rPr>
                <w:rFonts w:ascii="宋体"/>
              </w:rPr>
            </w:pPr>
          </w:p>
        </w:tc>
        <w:tc>
          <w:tcPr>
            <w:tcW w:w="0" w:type="auto"/>
            <w:shd w:val="clear" w:color="auto" w:fill="auto"/>
            <w:vAlign w:val="bottom"/>
          </w:tcPr>
          <w:p w14:paraId="5F2CE6FE" w14:textId="77777777" w:rsidR="00E836FB" w:rsidRDefault="00E836FB">
            <w:pPr>
              <w:rPr>
                <w:rFonts w:ascii="宋体"/>
              </w:rPr>
            </w:pPr>
          </w:p>
        </w:tc>
        <w:tc>
          <w:tcPr>
            <w:tcW w:w="0" w:type="auto"/>
            <w:shd w:val="clear" w:color="auto" w:fill="auto"/>
            <w:vAlign w:val="bottom"/>
          </w:tcPr>
          <w:p w14:paraId="5F2CE6FF" w14:textId="77777777" w:rsidR="00E836FB" w:rsidRDefault="00E836FB">
            <w:pPr>
              <w:rPr>
                <w:rFonts w:ascii="宋体"/>
              </w:rPr>
            </w:pPr>
          </w:p>
        </w:tc>
        <w:tc>
          <w:tcPr>
            <w:tcW w:w="0" w:type="auto"/>
            <w:shd w:val="clear" w:color="auto" w:fill="auto"/>
            <w:vAlign w:val="bottom"/>
          </w:tcPr>
          <w:p w14:paraId="5F2CE700" w14:textId="77777777" w:rsidR="00E836FB" w:rsidRDefault="00E836FB">
            <w:pPr>
              <w:rPr>
                <w:rFonts w:ascii="宋体"/>
              </w:rPr>
            </w:pPr>
          </w:p>
        </w:tc>
        <w:tc>
          <w:tcPr>
            <w:tcW w:w="0" w:type="auto"/>
            <w:shd w:val="clear" w:color="auto" w:fill="auto"/>
            <w:vAlign w:val="bottom"/>
          </w:tcPr>
          <w:p w14:paraId="5F2CE701" w14:textId="77777777" w:rsidR="00E836FB" w:rsidRDefault="00E836FB">
            <w:pPr>
              <w:rPr>
                <w:rFonts w:ascii="宋体"/>
              </w:rPr>
            </w:pPr>
          </w:p>
        </w:tc>
        <w:tc>
          <w:tcPr>
            <w:tcW w:w="0" w:type="auto"/>
            <w:shd w:val="clear" w:color="auto" w:fill="auto"/>
            <w:vAlign w:val="bottom"/>
          </w:tcPr>
          <w:p w14:paraId="5F2CE702" w14:textId="77777777" w:rsidR="00E836FB" w:rsidRDefault="00E836FB">
            <w:pPr>
              <w:rPr>
                <w:rFonts w:ascii="宋体"/>
              </w:rPr>
            </w:pPr>
          </w:p>
        </w:tc>
        <w:tc>
          <w:tcPr>
            <w:tcW w:w="0" w:type="auto"/>
            <w:shd w:val="clear" w:color="auto" w:fill="auto"/>
            <w:vAlign w:val="bottom"/>
          </w:tcPr>
          <w:p w14:paraId="5F2CE703" w14:textId="77777777" w:rsidR="00E836FB" w:rsidRDefault="00E836FB">
            <w:pPr>
              <w:rPr>
                <w:rFonts w:ascii="宋体"/>
              </w:rPr>
            </w:pPr>
          </w:p>
        </w:tc>
        <w:tc>
          <w:tcPr>
            <w:tcW w:w="0" w:type="auto"/>
            <w:shd w:val="clear" w:color="auto" w:fill="auto"/>
            <w:vAlign w:val="bottom"/>
          </w:tcPr>
          <w:p w14:paraId="5F2CE704" w14:textId="77777777" w:rsidR="00E836FB" w:rsidRDefault="00E836FB">
            <w:pPr>
              <w:rPr>
                <w:rFonts w:ascii="宋体"/>
              </w:rPr>
            </w:pPr>
          </w:p>
        </w:tc>
        <w:tc>
          <w:tcPr>
            <w:tcW w:w="0" w:type="auto"/>
            <w:shd w:val="clear" w:color="auto" w:fill="auto"/>
            <w:vAlign w:val="bottom"/>
          </w:tcPr>
          <w:p w14:paraId="5F2CE705" w14:textId="77777777" w:rsidR="00E836FB" w:rsidRDefault="00E836FB">
            <w:pPr>
              <w:rPr>
                <w:rFonts w:ascii="宋体"/>
              </w:rPr>
            </w:pPr>
          </w:p>
        </w:tc>
        <w:tc>
          <w:tcPr>
            <w:tcW w:w="0" w:type="auto"/>
            <w:shd w:val="clear" w:color="auto" w:fill="auto"/>
            <w:vAlign w:val="bottom"/>
          </w:tcPr>
          <w:p w14:paraId="5F2CE706" w14:textId="77777777" w:rsidR="00E836FB" w:rsidRDefault="00E836FB">
            <w:pPr>
              <w:rPr>
                <w:rFonts w:ascii="宋体"/>
              </w:rPr>
            </w:pPr>
          </w:p>
        </w:tc>
        <w:tc>
          <w:tcPr>
            <w:tcW w:w="0" w:type="auto"/>
            <w:shd w:val="clear" w:color="auto" w:fill="auto"/>
            <w:vAlign w:val="bottom"/>
          </w:tcPr>
          <w:p w14:paraId="5F2CE707" w14:textId="77777777" w:rsidR="00E836FB" w:rsidRDefault="00E836FB">
            <w:pPr>
              <w:rPr>
                <w:rFonts w:ascii="宋体"/>
              </w:rPr>
            </w:pPr>
          </w:p>
        </w:tc>
        <w:tc>
          <w:tcPr>
            <w:tcW w:w="0" w:type="auto"/>
            <w:shd w:val="clear" w:color="auto" w:fill="auto"/>
            <w:vAlign w:val="bottom"/>
          </w:tcPr>
          <w:p w14:paraId="5F2CE708" w14:textId="77777777" w:rsidR="00E836FB" w:rsidRDefault="00E836FB">
            <w:pPr>
              <w:rPr>
                <w:rFonts w:ascii="宋体"/>
              </w:rPr>
            </w:pPr>
          </w:p>
        </w:tc>
        <w:tc>
          <w:tcPr>
            <w:tcW w:w="0" w:type="auto"/>
            <w:shd w:val="clear" w:color="auto" w:fill="auto"/>
            <w:vAlign w:val="bottom"/>
          </w:tcPr>
          <w:p w14:paraId="5F2CE709" w14:textId="77777777" w:rsidR="00E836FB" w:rsidRDefault="00E836FB">
            <w:pPr>
              <w:rPr>
                <w:rFonts w:ascii="宋体"/>
              </w:rPr>
            </w:pPr>
          </w:p>
        </w:tc>
        <w:tc>
          <w:tcPr>
            <w:tcW w:w="0" w:type="auto"/>
            <w:shd w:val="clear" w:color="auto" w:fill="auto"/>
            <w:vAlign w:val="bottom"/>
          </w:tcPr>
          <w:p w14:paraId="5F2CE70A" w14:textId="77777777" w:rsidR="00E836FB" w:rsidRDefault="00E836FB">
            <w:pPr>
              <w:rPr>
                <w:rFonts w:ascii="宋体"/>
              </w:rPr>
            </w:pPr>
          </w:p>
        </w:tc>
        <w:tc>
          <w:tcPr>
            <w:tcW w:w="0" w:type="auto"/>
            <w:shd w:val="clear" w:color="auto" w:fill="auto"/>
            <w:vAlign w:val="bottom"/>
          </w:tcPr>
          <w:p w14:paraId="5F2CE70B" w14:textId="77777777" w:rsidR="00E836FB" w:rsidRDefault="00E836FB">
            <w:pPr>
              <w:rPr>
                <w:rFonts w:ascii="宋体"/>
              </w:rPr>
            </w:pPr>
          </w:p>
        </w:tc>
        <w:tc>
          <w:tcPr>
            <w:tcW w:w="0" w:type="auto"/>
            <w:shd w:val="clear" w:color="auto" w:fill="auto"/>
            <w:vAlign w:val="bottom"/>
          </w:tcPr>
          <w:p w14:paraId="5F2CE70C" w14:textId="77777777" w:rsidR="00E836FB" w:rsidRDefault="00E836FB">
            <w:pPr>
              <w:rPr>
                <w:rFonts w:ascii="宋体"/>
              </w:rPr>
            </w:pPr>
          </w:p>
        </w:tc>
        <w:tc>
          <w:tcPr>
            <w:tcW w:w="0" w:type="auto"/>
            <w:shd w:val="clear" w:color="auto" w:fill="auto"/>
            <w:vAlign w:val="bottom"/>
          </w:tcPr>
          <w:p w14:paraId="5F2CE70D" w14:textId="77777777" w:rsidR="00E836FB" w:rsidRDefault="00E836FB">
            <w:pPr>
              <w:rPr>
                <w:rFonts w:ascii="宋体"/>
              </w:rPr>
            </w:pPr>
          </w:p>
        </w:tc>
        <w:tc>
          <w:tcPr>
            <w:tcW w:w="0" w:type="auto"/>
            <w:shd w:val="clear" w:color="auto" w:fill="auto"/>
            <w:vAlign w:val="bottom"/>
          </w:tcPr>
          <w:p w14:paraId="5F2CE70E" w14:textId="77777777" w:rsidR="00E836FB" w:rsidRDefault="00E836FB">
            <w:pPr>
              <w:rPr>
                <w:rFonts w:ascii="宋体"/>
              </w:rPr>
            </w:pPr>
          </w:p>
        </w:tc>
        <w:tc>
          <w:tcPr>
            <w:tcW w:w="0" w:type="auto"/>
            <w:shd w:val="clear" w:color="auto" w:fill="auto"/>
            <w:vAlign w:val="bottom"/>
          </w:tcPr>
          <w:p w14:paraId="5F2CE70F" w14:textId="77777777" w:rsidR="00E836FB" w:rsidRDefault="00E836FB">
            <w:pPr>
              <w:rPr>
                <w:rFonts w:ascii="宋体"/>
              </w:rPr>
            </w:pPr>
          </w:p>
        </w:tc>
        <w:tc>
          <w:tcPr>
            <w:tcW w:w="0" w:type="auto"/>
            <w:shd w:val="clear" w:color="auto" w:fill="auto"/>
            <w:vAlign w:val="bottom"/>
          </w:tcPr>
          <w:p w14:paraId="5F2CE710" w14:textId="77777777" w:rsidR="00E836FB" w:rsidRDefault="00E836FB">
            <w:pPr>
              <w:rPr>
                <w:rFonts w:ascii="宋体"/>
              </w:rPr>
            </w:pPr>
          </w:p>
        </w:tc>
        <w:tc>
          <w:tcPr>
            <w:tcW w:w="0" w:type="auto"/>
            <w:shd w:val="clear" w:color="auto" w:fill="auto"/>
            <w:vAlign w:val="bottom"/>
          </w:tcPr>
          <w:p w14:paraId="5F2CE711" w14:textId="77777777" w:rsidR="00E836FB" w:rsidRDefault="00E836FB">
            <w:pPr>
              <w:rPr>
                <w:rFonts w:ascii="宋体"/>
              </w:rPr>
            </w:pPr>
          </w:p>
        </w:tc>
        <w:tc>
          <w:tcPr>
            <w:tcW w:w="0" w:type="auto"/>
            <w:shd w:val="clear" w:color="auto" w:fill="auto"/>
            <w:vAlign w:val="bottom"/>
          </w:tcPr>
          <w:p w14:paraId="5F2CE712" w14:textId="77777777" w:rsidR="00E836FB" w:rsidRDefault="00E836FB">
            <w:pPr>
              <w:rPr>
                <w:rFonts w:ascii="宋体"/>
              </w:rPr>
            </w:pPr>
          </w:p>
        </w:tc>
        <w:tc>
          <w:tcPr>
            <w:tcW w:w="0" w:type="auto"/>
            <w:shd w:val="clear" w:color="auto" w:fill="auto"/>
            <w:vAlign w:val="bottom"/>
          </w:tcPr>
          <w:p w14:paraId="5F2CE713" w14:textId="77777777" w:rsidR="00E836FB" w:rsidRDefault="00E836FB">
            <w:pPr>
              <w:rPr>
                <w:rFonts w:ascii="宋体"/>
              </w:rPr>
            </w:pPr>
          </w:p>
        </w:tc>
        <w:tc>
          <w:tcPr>
            <w:tcW w:w="0" w:type="auto"/>
            <w:shd w:val="clear" w:color="auto" w:fill="auto"/>
            <w:vAlign w:val="bottom"/>
          </w:tcPr>
          <w:p w14:paraId="5F2CE714" w14:textId="77777777" w:rsidR="00E836FB" w:rsidRDefault="00E836FB">
            <w:pPr>
              <w:rPr>
                <w:rFonts w:ascii="宋体"/>
              </w:rPr>
            </w:pPr>
          </w:p>
        </w:tc>
      </w:tr>
      <w:tr w:rsidR="00E836FB" w14:paraId="5F2CE722" w14:textId="77777777">
        <w:trPr>
          <w:hidden/>
        </w:trPr>
        <w:tc>
          <w:tcPr>
            <w:tcW w:w="0" w:type="auto"/>
            <w:gridSpan w:val="3"/>
            <w:shd w:val="clear" w:color="auto" w:fill="auto"/>
            <w:vAlign w:val="bottom"/>
          </w:tcPr>
          <w:p w14:paraId="5F2CE716" w14:textId="77777777" w:rsidR="00E836FB" w:rsidRDefault="00E836FB">
            <w:pPr>
              <w:rPr>
                <w:rFonts w:ascii="宋体"/>
                <w:vanish/>
              </w:rPr>
            </w:pPr>
          </w:p>
        </w:tc>
        <w:tc>
          <w:tcPr>
            <w:tcW w:w="0" w:type="auto"/>
            <w:gridSpan w:val="3"/>
            <w:shd w:val="clear" w:color="auto" w:fill="auto"/>
            <w:vAlign w:val="bottom"/>
          </w:tcPr>
          <w:p w14:paraId="5F2CE717" w14:textId="77777777" w:rsidR="00E836FB" w:rsidRDefault="00E836FB">
            <w:pPr>
              <w:rPr>
                <w:rFonts w:ascii="宋体"/>
                <w:vanish/>
              </w:rPr>
            </w:pPr>
          </w:p>
        </w:tc>
        <w:tc>
          <w:tcPr>
            <w:tcW w:w="0" w:type="auto"/>
            <w:gridSpan w:val="3"/>
            <w:shd w:val="clear" w:color="auto" w:fill="auto"/>
            <w:vAlign w:val="bottom"/>
          </w:tcPr>
          <w:p w14:paraId="5F2CE718" w14:textId="77777777" w:rsidR="00E836FB" w:rsidRDefault="00E836FB">
            <w:pPr>
              <w:rPr>
                <w:rFonts w:ascii="宋体"/>
                <w:vanish/>
              </w:rPr>
            </w:pPr>
          </w:p>
        </w:tc>
        <w:tc>
          <w:tcPr>
            <w:tcW w:w="0" w:type="auto"/>
            <w:gridSpan w:val="3"/>
            <w:shd w:val="clear" w:color="auto" w:fill="auto"/>
            <w:vAlign w:val="bottom"/>
          </w:tcPr>
          <w:p w14:paraId="5F2CE719" w14:textId="77777777" w:rsidR="00E836FB" w:rsidRDefault="00E836FB">
            <w:pPr>
              <w:rPr>
                <w:rFonts w:ascii="宋体"/>
                <w:vanish/>
              </w:rPr>
            </w:pPr>
          </w:p>
        </w:tc>
        <w:tc>
          <w:tcPr>
            <w:tcW w:w="0" w:type="auto"/>
            <w:gridSpan w:val="3"/>
            <w:shd w:val="clear" w:color="auto" w:fill="auto"/>
            <w:vAlign w:val="bottom"/>
          </w:tcPr>
          <w:p w14:paraId="5F2CE71A" w14:textId="77777777" w:rsidR="00E836FB" w:rsidRDefault="00E836FB">
            <w:pPr>
              <w:rPr>
                <w:rFonts w:ascii="宋体"/>
                <w:vanish/>
              </w:rPr>
            </w:pPr>
          </w:p>
        </w:tc>
        <w:tc>
          <w:tcPr>
            <w:tcW w:w="0" w:type="auto"/>
            <w:gridSpan w:val="3"/>
            <w:shd w:val="clear" w:color="auto" w:fill="auto"/>
            <w:vAlign w:val="bottom"/>
          </w:tcPr>
          <w:p w14:paraId="5F2CE71B" w14:textId="77777777" w:rsidR="00E836FB" w:rsidRDefault="00E836FB">
            <w:pPr>
              <w:rPr>
                <w:rFonts w:ascii="宋体"/>
                <w:vanish/>
              </w:rPr>
            </w:pPr>
          </w:p>
        </w:tc>
        <w:tc>
          <w:tcPr>
            <w:tcW w:w="0" w:type="auto"/>
            <w:gridSpan w:val="3"/>
            <w:shd w:val="clear" w:color="auto" w:fill="auto"/>
            <w:vAlign w:val="bottom"/>
          </w:tcPr>
          <w:p w14:paraId="5F2CE71C" w14:textId="77777777" w:rsidR="00E836FB" w:rsidRDefault="00E836FB">
            <w:pPr>
              <w:rPr>
                <w:rFonts w:ascii="宋体"/>
                <w:vanish/>
              </w:rPr>
            </w:pPr>
          </w:p>
        </w:tc>
        <w:tc>
          <w:tcPr>
            <w:tcW w:w="0" w:type="auto"/>
            <w:gridSpan w:val="3"/>
            <w:shd w:val="clear" w:color="auto" w:fill="auto"/>
            <w:vAlign w:val="bottom"/>
          </w:tcPr>
          <w:p w14:paraId="5F2CE71D" w14:textId="77777777" w:rsidR="00E836FB" w:rsidRDefault="00E836FB">
            <w:pPr>
              <w:rPr>
                <w:rFonts w:ascii="宋体"/>
                <w:vanish/>
              </w:rPr>
            </w:pPr>
          </w:p>
        </w:tc>
        <w:tc>
          <w:tcPr>
            <w:tcW w:w="0" w:type="auto"/>
            <w:gridSpan w:val="3"/>
            <w:shd w:val="clear" w:color="auto" w:fill="auto"/>
            <w:vAlign w:val="bottom"/>
          </w:tcPr>
          <w:p w14:paraId="5F2CE71E" w14:textId="77777777" w:rsidR="00E836FB" w:rsidRDefault="00E836FB">
            <w:pPr>
              <w:rPr>
                <w:rFonts w:ascii="宋体"/>
                <w:vanish/>
              </w:rPr>
            </w:pPr>
          </w:p>
        </w:tc>
        <w:tc>
          <w:tcPr>
            <w:tcW w:w="0" w:type="auto"/>
            <w:gridSpan w:val="3"/>
            <w:shd w:val="clear" w:color="auto" w:fill="auto"/>
            <w:vAlign w:val="bottom"/>
          </w:tcPr>
          <w:p w14:paraId="5F2CE71F" w14:textId="77777777" w:rsidR="00E836FB" w:rsidRDefault="00E836FB">
            <w:pPr>
              <w:rPr>
                <w:rFonts w:ascii="宋体"/>
                <w:vanish/>
              </w:rPr>
            </w:pPr>
          </w:p>
        </w:tc>
        <w:tc>
          <w:tcPr>
            <w:tcW w:w="0" w:type="auto"/>
            <w:gridSpan w:val="3"/>
            <w:shd w:val="clear" w:color="auto" w:fill="auto"/>
            <w:vAlign w:val="bottom"/>
          </w:tcPr>
          <w:p w14:paraId="5F2CE720" w14:textId="77777777" w:rsidR="00E836FB" w:rsidRDefault="00E836FB">
            <w:pPr>
              <w:rPr>
                <w:rFonts w:ascii="宋体"/>
                <w:vanish/>
              </w:rPr>
            </w:pPr>
          </w:p>
        </w:tc>
        <w:tc>
          <w:tcPr>
            <w:tcW w:w="0" w:type="auto"/>
            <w:gridSpan w:val="3"/>
            <w:shd w:val="clear" w:color="auto" w:fill="auto"/>
            <w:vAlign w:val="bottom"/>
          </w:tcPr>
          <w:p w14:paraId="5F2CE721" w14:textId="77777777" w:rsidR="00E836FB" w:rsidRDefault="00E836FB">
            <w:pPr>
              <w:rPr>
                <w:rFonts w:ascii="宋体"/>
                <w:vanish/>
              </w:rPr>
            </w:pPr>
          </w:p>
        </w:tc>
      </w:tr>
      <w:tr w:rsidR="00E836FB" w14:paraId="5F2CE72F" w14:textId="77777777">
        <w:trPr>
          <w:hidden/>
        </w:trPr>
        <w:tc>
          <w:tcPr>
            <w:tcW w:w="0" w:type="auto"/>
            <w:gridSpan w:val="3"/>
            <w:shd w:val="clear" w:color="auto" w:fill="auto"/>
            <w:vAlign w:val="bottom"/>
          </w:tcPr>
          <w:p w14:paraId="5F2CE723" w14:textId="77777777" w:rsidR="00E836FB" w:rsidRDefault="00E836FB">
            <w:pPr>
              <w:rPr>
                <w:rFonts w:ascii="宋体"/>
                <w:vanish/>
              </w:rPr>
            </w:pPr>
          </w:p>
        </w:tc>
        <w:tc>
          <w:tcPr>
            <w:tcW w:w="0" w:type="auto"/>
            <w:gridSpan w:val="3"/>
            <w:shd w:val="clear" w:color="auto" w:fill="auto"/>
            <w:vAlign w:val="bottom"/>
          </w:tcPr>
          <w:p w14:paraId="5F2CE724" w14:textId="77777777" w:rsidR="00E836FB" w:rsidRDefault="00E836FB">
            <w:pPr>
              <w:rPr>
                <w:rFonts w:ascii="宋体"/>
                <w:vanish/>
              </w:rPr>
            </w:pPr>
          </w:p>
        </w:tc>
        <w:tc>
          <w:tcPr>
            <w:tcW w:w="0" w:type="auto"/>
            <w:gridSpan w:val="3"/>
            <w:shd w:val="clear" w:color="auto" w:fill="auto"/>
            <w:vAlign w:val="bottom"/>
          </w:tcPr>
          <w:p w14:paraId="5F2CE725" w14:textId="77777777" w:rsidR="00E836FB" w:rsidRDefault="00E836FB">
            <w:pPr>
              <w:rPr>
                <w:rFonts w:ascii="宋体"/>
                <w:vanish/>
              </w:rPr>
            </w:pPr>
          </w:p>
        </w:tc>
        <w:tc>
          <w:tcPr>
            <w:tcW w:w="0" w:type="auto"/>
            <w:gridSpan w:val="3"/>
            <w:shd w:val="clear" w:color="auto" w:fill="auto"/>
            <w:vAlign w:val="bottom"/>
          </w:tcPr>
          <w:p w14:paraId="5F2CE726" w14:textId="77777777" w:rsidR="00E836FB" w:rsidRDefault="00E836FB">
            <w:pPr>
              <w:rPr>
                <w:rFonts w:ascii="宋体"/>
                <w:vanish/>
              </w:rPr>
            </w:pPr>
          </w:p>
        </w:tc>
        <w:tc>
          <w:tcPr>
            <w:tcW w:w="0" w:type="auto"/>
            <w:gridSpan w:val="3"/>
            <w:shd w:val="clear" w:color="auto" w:fill="auto"/>
            <w:vAlign w:val="bottom"/>
          </w:tcPr>
          <w:p w14:paraId="5F2CE727" w14:textId="77777777" w:rsidR="00E836FB" w:rsidRDefault="00E836FB">
            <w:pPr>
              <w:rPr>
                <w:rFonts w:ascii="宋体"/>
                <w:vanish/>
              </w:rPr>
            </w:pPr>
          </w:p>
        </w:tc>
        <w:tc>
          <w:tcPr>
            <w:tcW w:w="0" w:type="auto"/>
            <w:gridSpan w:val="3"/>
            <w:shd w:val="clear" w:color="auto" w:fill="auto"/>
            <w:vAlign w:val="bottom"/>
          </w:tcPr>
          <w:p w14:paraId="5F2CE728" w14:textId="77777777" w:rsidR="00E836FB" w:rsidRDefault="00E836FB">
            <w:pPr>
              <w:rPr>
                <w:rFonts w:ascii="宋体"/>
                <w:vanish/>
              </w:rPr>
            </w:pPr>
          </w:p>
        </w:tc>
        <w:tc>
          <w:tcPr>
            <w:tcW w:w="0" w:type="auto"/>
            <w:gridSpan w:val="3"/>
            <w:shd w:val="clear" w:color="auto" w:fill="auto"/>
            <w:vAlign w:val="bottom"/>
          </w:tcPr>
          <w:p w14:paraId="5F2CE729" w14:textId="77777777" w:rsidR="00E836FB" w:rsidRDefault="00E836FB">
            <w:pPr>
              <w:rPr>
                <w:rFonts w:ascii="宋体"/>
                <w:vanish/>
              </w:rPr>
            </w:pPr>
          </w:p>
        </w:tc>
        <w:tc>
          <w:tcPr>
            <w:tcW w:w="0" w:type="auto"/>
            <w:gridSpan w:val="3"/>
            <w:shd w:val="clear" w:color="auto" w:fill="auto"/>
            <w:vAlign w:val="bottom"/>
          </w:tcPr>
          <w:p w14:paraId="5F2CE72A" w14:textId="77777777" w:rsidR="00E836FB" w:rsidRDefault="00E836FB">
            <w:pPr>
              <w:rPr>
                <w:rFonts w:ascii="宋体"/>
                <w:vanish/>
              </w:rPr>
            </w:pPr>
          </w:p>
        </w:tc>
        <w:tc>
          <w:tcPr>
            <w:tcW w:w="0" w:type="auto"/>
            <w:gridSpan w:val="3"/>
            <w:shd w:val="clear" w:color="auto" w:fill="auto"/>
            <w:vAlign w:val="bottom"/>
          </w:tcPr>
          <w:p w14:paraId="5F2CE72B" w14:textId="77777777" w:rsidR="00E836FB" w:rsidRDefault="00E836FB">
            <w:pPr>
              <w:rPr>
                <w:rFonts w:ascii="宋体"/>
                <w:vanish/>
              </w:rPr>
            </w:pPr>
          </w:p>
        </w:tc>
        <w:tc>
          <w:tcPr>
            <w:tcW w:w="0" w:type="auto"/>
            <w:gridSpan w:val="3"/>
            <w:shd w:val="clear" w:color="auto" w:fill="auto"/>
            <w:vAlign w:val="bottom"/>
          </w:tcPr>
          <w:p w14:paraId="5F2CE72C" w14:textId="77777777" w:rsidR="00E836FB" w:rsidRDefault="00E836FB">
            <w:pPr>
              <w:rPr>
                <w:rFonts w:ascii="宋体"/>
                <w:vanish/>
              </w:rPr>
            </w:pPr>
          </w:p>
        </w:tc>
        <w:tc>
          <w:tcPr>
            <w:tcW w:w="0" w:type="auto"/>
            <w:gridSpan w:val="3"/>
            <w:shd w:val="clear" w:color="auto" w:fill="auto"/>
            <w:vAlign w:val="bottom"/>
          </w:tcPr>
          <w:p w14:paraId="5F2CE72D" w14:textId="77777777" w:rsidR="00E836FB" w:rsidRDefault="00E836FB">
            <w:pPr>
              <w:rPr>
                <w:rFonts w:ascii="宋体"/>
                <w:vanish/>
              </w:rPr>
            </w:pPr>
          </w:p>
        </w:tc>
        <w:tc>
          <w:tcPr>
            <w:tcW w:w="0" w:type="auto"/>
            <w:gridSpan w:val="3"/>
            <w:shd w:val="clear" w:color="auto" w:fill="auto"/>
            <w:vAlign w:val="bottom"/>
          </w:tcPr>
          <w:p w14:paraId="5F2CE72E" w14:textId="77777777" w:rsidR="00E836FB" w:rsidRDefault="00E836FB">
            <w:pPr>
              <w:rPr>
                <w:rFonts w:ascii="宋体"/>
                <w:vanish/>
              </w:rPr>
            </w:pPr>
          </w:p>
        </w:tc>
      </w:tr>
      <w:tr w:rsidR="00E836FB" w14:paraId="5F2CE73C" w14:textId="77777777">
        <w:trPr>
          <w:hidden/>
        </w:trPr>
        <w:tc>
          <w:tcPr>
            <w:tcW w:w="0" w:type="auto"/>
            <w:gridSpan w:val="3"/>
            <w:shd w:val="clear" w:color="auto" w:fill="auto"/>
            <w:vAlign w:val="bottom"/>
          </w:tcPr>
          <w:p w14:paraId="5F2CE730" w14:textId="77777777" w:rsidR="00E836FB" w:rsidRDefault="00E836FB">
            <w:pPr>
              <w:rPr>
                <w:rFonts w:ascii="宋体"/>
                <w:vanish/>
              </w:rPr>
            </w:pPr>
          </w:p>
        </w:tc>
        <w:tc>
          <w:tcPr>
            <w:tcW w:w="0" w:type="auto"/>
            <w:gridSpan w:val="3"/>
            <w:shd w:val="clear" w:color="auto" w:fill="auto"/>
            <w:vAlign w:val="bottom"/>
          </w:tcPr>
          <w:p w14:paraId="5F2CE731" w14:textId="77777777" w:rsidR="00E836FB" w:rsidRDefault="00E836FB">
            <w:pPr>
              <w:rPr>
                <w:rFonts w:ascii="宋体"/>
                <w:vanish/>
              </w:rPr>
            </w:pPr>
          </w:p>
        </w:tc>
        <w:tc>
          <w:tcPr>
            <w:tcW w:w="0" w:type="auto"/>
            <w:gridSpan w:val="3"/>
            <w:shd w:val="clear" w:color="auto" w:fill="auto"/>
            <w:vAlign w:val="bottom"/>
          </w:tcPr>
          <w:p w14:paraId="5F2CE732" w14:textId="77777777" w:rsidR="00E836FB" w:rsidRDefault="00E836FB">
            <w:pPr>
              <w:rPr>
                <w:rFonts w:ascii="宋体"/>
                <w:vanish/>
              </w:rPr>
            </w:pPr>
          </w:p>
        </w:tc>
        <w:tc>
          <w:tcPr>
            <w:tcW w:w="0" w:type="auto"/>
            <w:gridSpan w:val="3"/>
            <w:shd w:val="clear" w:color="auto" w:fill="auto"/>
            <w:vAlign w:val="bottom"/>
          </w:tcPr>
          <w:p w14:paraId="5F2CE733" w14:textId="77777777" w:rsidR="00E836FB" w:rsidRDefault="00E836FB">
            <w:pPr>
              <w:rPr>
                <w:rFonts w:ascii="宋体"/>
                <w:vanish/>
              </w:rPr>
            </w:pPr>
          </w:p>
        </w:tc>
        <w:tc>
          <w:tcPr>
            <w:tcW w:w="0" w:type="auto"/>
            <w:gridSpan w:val="3"/>
            <w:shd w:val="clear" w:color="auto" w:fill="auto"/>
            <w:vAlign w:val="bottom"/>
          </w:tcPr>
          <w:p w14:paraId="5F2CE734" w14:textId="77777777" w:rsidR="00E836FB" w:rsidRDefault="00E836FB">
            <w:pPr>
              <w:rPr>
                <w:rFonts w:ascii="宋体"/>
                <w:vanish/>
              </w:rPr>
            </w:pPr>
          </w:p>
        </w:tc>
        <w:tc>
          <w:tcPr>
            <w:tcW w:w="0" w:type="auto"/>
            <w:gridSpan w:val="3"/>
            <w:shd w:val="clear" w:color="auto" w:fill="auto"/>
            <w:vAlign w:val="bottom"/>
          </w:tcPr>
          <w:p w14:paraId="5F2CE735" w14:textId="77777777" w:rsidR="00E836FB" w:rsidRDefault="00E836FB">
            <w:pPr>
              <w:rPr>
                <w:rFonts w:ascii="宋体"/>
                <w:vanish/>
              </w:rPr>
            </w:pPr>
          </w:p>
        </w:tc>
        <w:tc>
          <w:tcPr>
            <w:tcW w:w="0" w:type="auto"/>
            <w:gridSpan w:val="3"/>
            <w:shd w:val="clear" w:color="auto" w:fill="auto"/>
            <w:vAlign w:val="bottom"/>
          </w:tcPr>
          <w:p w14:paraId="5F2CE736" w14:textId="77777777" w:rsidR="00E836FB" w:rsidRDefault="00E836FB">
            <w:pPr>
              <w:rPr>
                <w:rFonts w:ascii="宋体"/>
                <w:vanish/>
              </w:rPr>
            </w:pPr>
          </w:p>
        </w:tc>
        <w:tc>
          <w:tcPr>
            <w:tcW w:w="0" w:type="auto"/>
            <w:gridSpan w:val="3"/>
            <w:shd w:val="clear" w:color="auto" w:fill="auto"/>
            <w:vAlign w:val="bottom"/>
          </w:tcPr>
          <w:p w14:paraId="5F2CE737" w14:textId="77777777" w:rsidR="00E836FB" w:rsidRDefault="00E836FB">
            <w:pPr>
              <w:rPr>
                <w:rFonts w:ascii="宋体"/>
                <w:vanish/>
              </w:rPr>
            </w:pPr>
          </w:p>
        </w:tc>
        <w:tc>
          <w:tcPr>
            <w:tcW w:w="0" w:type="auto"/>
            <w:gridSpan w:val="3"/>
            <w:shd w:val="clear" w:color="auto" w:fill="auto"/>
            <w:vAlign w:val="bottom"/>
          </w:tcPr>
          <w:p w14:paraId="5F2CE738" w14:textId="77777777" w:rsidR="00E836FB" w:rsidRDefault="00E836FB">
            <w:pPr>
              <w:rPr>
                <w:rFonts w:ascii="宋体"/>
                <w:vanish/>
              </w:rPr>
            </w:pPr>
          </w:p>
        </w:tc>
        <w:tc>
          <w:tcPr>
            <w:tcW w:w="0" w:type="auto"/>
            <w:gridSpan w:val="3"/>
            <w:shd w:val="clear" w:color="auto" w:fill="auto"/>
            <w:vAlign w:val="bottom"/>
          </w:tcPr>
          <w:p w14:paraId="5F2CE739" w14:textId="77777777" w:rsidR="00E836FB" w:rsidRDefault="00E836FB">
            <w:pPr>
              <w:rPr>
                <w:rFonts w:ascii="宋体"/>
                <w:vanish/>
              </w:rPr>
            </w:pPr>
          </w:p>
        </w:tc>
        <w:tc>
          <w:tcPr>
            <w:tcW w:w="0" w:type="auto"/>
            <w:gridSpan w:val="3"/>
            <w:shd w:val="clear" w:color="auto" w:fill="auto"/>
            <w:vAlign w:val="bottom"/>
          </w:tcPr>
          <w:p w14:paraId="5F2CE73A" w14:textId="77777777" w:rsidR="00E836FB" w:rsidRDefault="00E836FB">
            <w:pPr>
              <w:rPr>
                <w:rFonts w:ascii="宋体"/>
                <w:vanish/>
              </w:rPr>
            </w:pPr>
          </w:p>
        </w:tc>
        <w:tc>
          <w:tcPr>
            <w:tcW w:w="0" w:type="auto"/>
            <w:gridSpan w:val="3"/>
            <w:shd w:val="clear" w:color="auto" w:fill="auto"/>
            <w:vAlign w:val="bottom"/>
          </w:tcPr>
          <w:p w14:paraId="5F2CE73B" w14:textId="77777777" w:rsidR="00E836FB" w:rsidRDefault="00E836FB">
            <w:pPr>
              <w:rPr>
                <w:rFonts w:ascii="宋体"/>
                <w:vanish/>
              </w:rPr>
            </w:pPr>
          </w:p>
        </w:tc>
      </w:tr>
      <w:tr w:rsidR="00E836FB" w14:paraId="5F2CE749" w14:textId="77777777">
        <w:trPr>
          <w:hidden/>
        </w:trPr>
        <w:tc>
          <w:tcPr>
            <w:tcW w:w="0" w:type="auto"/>
            <w:gridSpan w:val="3"/>
            <w:shd w:val="clear" w:color="auto" w:fill="auto"/>
            <w:vAlign w:val="bottom"/>
          </w:tcPr>
          <w:p w14:paraId="5F2CE73D" w14:textId="77777777" w:rsidR="00E836FB" w:rsidRDefault="00E836FB">
            <w:pPr>
              <w:rPr>
                <w:rFonts w:ascii="宋体"/>
                <w:vanish/>
              </w:rPr>
            </w:pPr>
          </w:p>
        </w:tc>
        <w:tc>
          <w:tcPr>
            <w:tcW w:w="0" w:type="auto"/>
            <w:gridSpan w:val="3"/>
            <w:shd w:val="clear" w:color="auto" w:fill="auto"/>
            <w:vAlign w:val="bottom"/>
          </w:tcPr>
          <w:p w14:paraId="5F2CE73E" w14:textId="77777777" w:rsidR="00E836FB" w:rsidRDefault="00E836FB">
            <w:pPr>
              <w:rPr>
                <w:rFonts w:ascii="宋体"/>
                <w:vanish/>
              </w:rPr>
            </w:pPr>
          </w:p>
        </w:tc>
        <w:tc>
          <w:tcPr>
            <w:tcW w:w="0" w:type="auto"/>
            <w:gridSpan w:val="3"/>
            <w:shd w:val="clear" w:color="auto" w:fill="auto"/>
            <w:vAlign w:val="bottom"/>
          </w:tcPr>
          <w:p w14:paraId="5F2CE73F" w14:textId="77777777" w:rsidR="00E836FB" w:rsidRDefault="00E836FB">
            <w:pPr>
              <w:rPr>
                <w:rFonts w:ascii="宋体"/>
                <w:vanish/>
              </w:rPr>
            </w:pPr>
          </w:p>
        </w:tc>
        <w:tc>
          <w:tcPr>
            <w:tcW w:w="0" w:type="auto"/>
            <w:gridSpan w:val="3"/>
            <w:shd w:val="clear" w:color="auto" w:fill="auto"/>
            <w:vAlign w:val="bottom"/>
          </w:tcPr>
          <w:p w14:paraId="5F2CE740" w14:textId="77777777" w:rsidR="00E836FB" w:rsidRDefault="00E836FB">
            <w:pPr>
              <w:rPr>
                <w:rFonts w:ascii="宋体"/>
                <w:vanish/>
              </w:rPr>
            </w:pPr>
          </w:p>
        </w:tc>
        <w:tc>
          <w:tcPr>
            <w:tcW w:w="0" w:type="auto"/>
            <w:gridSpan w:val="3"/>
            <w:shd w:val="clear" w:color="auto" w:fill="auto"/>
            <w:vAlign w:val="bottom"/>
          </w:tcPr>
          <w:p w14:paraId="5F2CE741" w14:textId="77777777" w:rsidR="00E836FB" w:rsidRDefault="00E836FB">
            <w:pPr>
              <w:rPr>
                <w:rFonts w:ascii="宋体"/>
                <w:vanish/>
              </w:rPr>
            </w:pPr>
          </w:p>
        </w:tc>
        <w:tc>
          <w:tcPr>
            <w:tcW w:w="0" w:type="auto"/>
            <w:gridSpan w:val="3"/>
            <w:shd w:val="clear" w:color="auto" w:fill="auto"/>
            <w:vAlign w:val="bottom"/>
          </w:tcPr>
          <w:p w14:paraId="5F2CE742" w14:textId="77777777" w:rsidR="00E836FB" w:rsidRDefault="00E836FB">
            <w:pPr>
              <w:rPr>
                <w:rFonts w:ascii="宋体"/>
                <w:vanish/>
              </w:rPr>
            </w:pPr>
          </w:p>
        </w:tc>
        <w:tc>
          <w:tcPr>
            <w:tcW w:w="0" w:type="auto"/>
            <w:gridSpan w:val="3"/>
            <w:shd w:val="clear" w:color="auto" w:fill="auto"/>
            <w:vAlign w:val="bottom"/>
          </w:tcPr>
          <w:p w14:paraId="5F2CE743" w14:textId="77777777" w:rsidR="00E836FB" w:rsidRDefault="00E836FB">
            <w:pPr>
              <w:rPr>
                <w:rFonts w:ascii="宋体"/>
                <w:vanish/>
              </w:rPr>
            </w:pPr>
          </w:p>
        </w:tc>
        <w:tc>
          <w:tcPr>
            <w:tcW w:w="0" w:type="auto"/>
            <w:gridSpan w:val="3"/>
            <w:shd w:val="clear" w:color="auto" w:fill="auto"/>
            <w:vAlign w:val="bottom"/>
          </w:tcPr>
          <w:p w14:paraId="5F2CE744" w14:textId="77777777" w:rsidR="00E836FB" w:rsidRDefault="00E836FB">
            <w:pPr>
              <w:rPr>
                <w:rFonts w:ascii="宋体"/>
                <w:vanish/>
              </w:rPr>
            </w:pPr>
          </w:p>
        </w:tc>
        <w:tc>
          <w:tcPr>
            <w:tcW w:w="0" w:type="auto"/>
            <w:gridSpan w:val="3"/>
            <w:shd w:val="clear" w:color="auto" w:fill="auto"/>
            <w:vAlign w:val="bottom"/>
          </w:tcPr>
          <w:p w14:paraId="5F2CE745" w14:textId="77777777" w:rsidR="00E836FB" w:rsidRDefault="00E836FB">
            <w:pPr>
              <w:rPr>
                <w:rFonts w:ascii="宋体"/>
                <w:vanish/>
              </w:rPr>
            </w:pPr>
          </w:p>
        </w:tc>
        <w:tc>
          <w:tcPr>
            <w:tcW w:w="0" w:type="auto"/>
            <w:gridSpan w:val="3"/>
            <w:shd w:val="clear" w:color="auto" w:fill="auto"/>
            <w:vAlign w:val="bottom"/>
          </w:tcPr>
          <w:p w14:paraId="5F2CE746" w14:textId="77777777" w:rsidR="00E836FB" w:rsidRDefault="00E836FB">
            <w:pPr>
              <w:rPr>
                <w:rFonts w:ascii="宋体"/>
                <w:vanish/>
              </w:rPr>
            </w:pPr>
          </w:p>
        </w:tc>
        <w:tc>
          <w:tcPr>
            <w:tcW w:w="0" w:type="auto"/>
            <w:gridSpan w:val="3"/>
            <w:shd w:val="clear" w:color="auto" w:fill="auto"/>
            <w:vAlign w:val="bottom"/>
          </w:tcPr>
          <w:p w14:paraId="5F2CE747" w14:textId="77777777" w:rsidR="00E836FB" w:rsidRDefault="00E836FB">
            <w:pPr>
              <w:rPr>
                <w:rFonts w:ascii="宋体"/>
                <w:vanish/>
              </w:rPr>
            </w:pPr>
          </w:p>
        </w:tc>
        <w:tc>
          <w:tcPr>
            <w:tcW w:w="0" w:type="auto"/>
            <w:gridSpan w:val="3"/>
            <w:shd w:val="clear" w:color="auto" w:fill="auto"/>
            <w:vAlign w:val="bottom"/>
          </w:tcPr>
          <w:p w14:paraId="5F2CE748" w14:textId="77777777" w:rsidR="00E836FB" w:rsidRDefault="00E836FB">
            <w:pPr>
              <w:rPr>
                <w:rFonts w:ascii="宋体"/>
                <w:vanish/>
              </w:rPr>
            </w:pPr>
          </w:p>
        </w:tc>
      </w:tr>
      <w:tr w:rsidR="00E836FB" w14:paraId="5F2CE756" w14:textId="77777777">
        <w:trPr>
          <w:hidden/>
        </w:trPr>
        <w:tc>
          <w:tcPr>
            <w:tcW w:w="0" w:type="auto"/>
            <w:gridSpan w:val="3"/>
            <w:shd w:val="clear" w:color="auto" w:fill="auto"/>
            <w:vAlign w:val="bottom"/>
          </w:tcPr>
          <w:p w14:paraId="5F2CE74A" w14:textId="77777777" w:rsidR="00E836FB" w:rsidRDefault="00E836FB">
            <w:pPr>
              <w:rPr>
                <w:rFonts w:ascii="宋体"/>
                <w:vanish/>
              </w:rPr>
            </w:pPr>
          </w:p>
        </w:tc>
        <w:tc>
          <w:tcPr>
            <w:tcW w:w="0" w:type="auto"/>
            <w:gridSpan w:val="3"/>
            <w:shd w:val="clear" w:color="auto" w:fill="auto"/>
            <w:vAlign w:val="bottom"/>
          </w:tcPr>
          <w:p w14:paraId="5F2CE74B" w14:textId="77777777" w:rsidR="00E836FB" w:rsidRDefault="00E836FB">
            <w:pPr>
              <w:rPr>
                <w:rFonts w:ascii="宋体"/>
                <w:vanish/>
              </w:rPr>
            </w:pPr>
          </w:p>
        </w:tc>
        <w:tc>
          <w:tcPr>
            <w:tcW w:w="0" w:type="auto"/>
            <w:gridSpan w:val="3"/>
            <w:shd w:val="clear" w:color="auto" w:fill="auto"/>
            <w:vAlign w:val="bottom"/>
          </w:tcPr>
          <w:p w14:paraId="5F2CE74C" w14:textId="77777777" w:rsidR="00E836FB" w:rsidRDefault="00E836FB">
            <w:pPr>
              <w:rPr>
                <w:rFonts w:ascii="宋体"/>
                <w:vanish/>
              </w:rPr>
            </w:pPr>
          </w:p>
        </w:tc>
        <w:tc>
          <w:tcPr>
            <w:tcW w:w="0" w:type="auto"/>
            <w:gridSpan w:val="3"/>
            <w:shd w:val="clear" w:color="auto" w:fill="auto"/>
            <w:vAlign w:val="bottom"/>
          </w:tcPr>
          <w:p w14:paraId="5F2CE74D" w14:textId="77777777" w:rsidR="00E836FB" w:rsidRDefault="00E836FB">
            <w:pPr>
              <w:rPr>
                <w:rFonts w:ascii="宋体"/>
                <w:vanish/>
              </w:rPr>
            </w:pPr>
          </w:p>
        </w:tc>
        <w:tc>
          <w:tcPr>
            <w:tcW w:w="0" w:type="auto"/>
            <w:gridSpan w:val="3"/>
            <w:shd w:val="clear" w:color="auto" w:fill="auto"/>
            <w:vAlign w:val="bottom"/>
          </w:tcPr>
          <w:p w14:paraId="5F2CE74E" w14:textId="77777777" w:rsidR="00E836FB" w:rsidRDefault="00E836FB">
            <w:pPr>
              <w:rPr>
                <w:rFonts w:ascii="宋体"/>
                <w:vanish/>
              </w:rPr>
            </w:pPr>
          </w:p>
        </w:tc>
        <w:tc>
          <w:tcPr>
            <w:tcW w:w="0" w:type="auto"/>
            <w:gridSpan w:val="3"/>
            <w:shd w:val="clear" w:color="auto" w:fill="auto"/>
            <w:vAlign w:val="bottom"/>
          </w:tcPr>
          <w:p w14:paraId="5F2CE74F" w14:textId="77777777" w:rsidR="00E836FB" w:rsidRDefault="00E836FB">
            <w:pPr>
              <w:rPr>
                <w:rFonts w:ascii="宋体"/>
                <w:vanish/>
              </w:rPr>
            </w:pPr>
          </w:p>
        </w:tc>
        <w:tc>
          <w:tcPr>
            <w:tcW w:w="0" w:type="auto"/>
            <w:gridSpan w:val="3"/>
            <w:shd w:val="clear" w:color="auto" w:fill="auto"/>
            <w:vAlign w:val="bottom"/>
          </w:tcPr>
          <w:p w14:paraId="5F2CE750" w14:textId="77777777" w:rsidR="00E836FB" w:rsidRDefault="00E836FB">
            <w:pPr>
              <w:rPr>
                <w:rFonts w:ascii="宋体"/>
                <w:vanish/>
              </w:rPr>
            </w:pPr>
          </w:p>
        </w:tc>
        <w:tc>
          <w:tcPr>
            <w:tcW w:w="0" w:type="auto"/>
            <w:gridSpan w:val="3"/>
            <w:shd w:val="clear" w:color="auto" w:fill="auto"/>
            <w:vAlign w:val="bottom"/>
          </w:tcPr>
          <w:p w14:paraId="5F2CE751" w14:textId="77777777" w:rsidR="00E836FB" w:rsidRDefault="00E836FB">
            <w:pPr>
              <w:rPr>
                <w:rFonts w:ascii="宋体"/>
                <w:vanish/>
              </w:rPr>
            </w:pPr>
          </w:p>
        </w:tc>
        <w:tc>
          <w:tcPr>
            <w:tcW w:w="0" w:type="auto"/>
            <w:gridSpan w:val="3"/>
            <w:shd w:val="clear" w:color="auto" w:fill="auto"/>
            <w:vAlign w:val="bottom"/>
          </w:tcPr>
          <w:p w14:paraId="5F2CE752" w14:textId="77777777" w:rsidR="00E836FB" w:rsidRDefault="00E836FB">
            <w:pPr>
              <w:rPr>
                <w:rFonts w:ascii="宋体"/>
                <w:vanish/>
              </w:rPr>
            </w:pPr>
          </w:p>
        </w:tc>
        <w:tc>
          <w:tcPr>
            <w:tcW w:w="0" w:type="auto"/>
            <w:gridSpan w:val="3"/>
            <w:shd w:val="clear" w:color="auto" w:fill="auto"/>
            <w:vAlign w:val="bottom"/>
          </w:tcPr>
          <w:p w14:paraId="5F2CE753" w14:textId="77777777" w:rsidR="00E836FB" w:rsidRDefault="00E836FB">
            <w:pPr>
              <w:rPr>
                <w:rFonts w:ascii="宋体"/>
                <w:vanish/>
              </w:rPr>
            </w:pPr>
          </w:p>
        </w:tc>
        <w:tc>
          <w:tcPr>
            <w:tcW w:w="0" w:type="auto"/>
            <w:gridSpan w:val="3"/>
            <w:shd w:val="clear" w:color="auto" w:fill="auto"/>
            <w:vAlign w:val="bottom"/>
          </w:tcPr>
          <w:p w14:paraId="5F2CE754" w14:textId="77777777" w:rsidR="00E836FB" w:rsidRDefault="00E836FB">
            <w:pPr>
              <w:rPr>
                <w:rFonts w:ascii="宋体"/>
                <w:vanish/>
              </w:rPr>
            </w:pPr>
          </w:p>
        </w:tc>
        <w:tc>
          <w:tcPr>
            <w:tcW w:w="0" w:type="auto"/>
            <w:gridSpan w:val="3"/>
            <w:shd w:val="clear" w:color="auto" w:fill="auto"/>
            <w:vAlign w:val="bottom"/>
          </w:tcPr>
          <w:p w14:paraId="5F2CE755" w14:textId="77777777" w:rsidR="00E836FB" w:rsidRDefault="00E836FB">
            <w:pPr>
              <w:rPr>
                <w:rFonts w:ascii="宋体"/>
                <w:vanish/>
              </w:rPr>
            </w:pPr>
          </w:p>
        </w:tc>
      </w:tr>
      <w:tr w:rsidR="00E836FB" w14:paraId="5F2CE763" w14:textId="77777777">
        <w:trPr>
          <w:hidden/>
        </w:trPr>
        <w:tc>
          <w:tcPr>
            <w:tcW w:w="0" w:type="auto"/>
            <w:gridSpan w:val="3"/>
            <w:shd w:val="clear" w:color="auto" w:fill="auto"/>
            <w:vAlign w:val="bottom"/>
          </w:tcPr>
          <w:p w14:paraId="5F2CE757" w14:textId="77777777" w:rsidR="00E836FB" w:rsidRDefault="00E836FB">
            <w:pPr>
              <w:rPr>
                <w:rFonts w:ascii="宋体"/>
                <w:vanish/>
              </w:rPr>
            </w:pPr>
          </w:p>
        </w:tc>
        <w:tc>
          <w:tcPr>
            <w:tcW w:w="0" w:type="auto"/>
            <w:gridSpan w:val="3"/>
            <w:shd w:val="clear" w:color="auto" w:fill="auto"/>
            <w:vAlign w:val="bottom"/>
          </w:tcPr>
          <w:p w14:paraId="5F2CE758" w14:textId="77777777" w:rsidR="00E836FB" w:rsidRDefault="00E836FB">
            <w:pPr>
              <w:rPr>
                <w:rFonts w:ascii="宋体"/>
                <w:vanish/>
              </w:rPr>
            </w:pPr>
          </w:p>
        </w:tc>
        <w:tc>
          <w:tcPr>
            <w:tcW w:w="0" w:type="auto"/>
            <w:gridSpan w:val="3"/>
            <w:shd w:val="clear" w:color="auto" w:fill="auto"/>
            <w:vAlign w:val="bottom"/>
          </w:tcPr>
          <w:p w14:paraId="5F2CE759" w14:textId="77777777" w:rsidR="00E836FB" w:rsidRDefault="00E836FB">
            <w:pPr>
              <w:rPr>
                <w:rFonts w:ascii="宋体"/>
                <w:vanish/>
              </w:rPr>
            </w:pPr>
          </w:p>
        </w:tc>
        <w:tc>
          <w:tcPr>
            <w:tcW w:w="0" w:type="auto"/>
            <w:gridSpan w:val="3"/>
            <w:shd w:val="clear" w:color="auto" w:fill="auto"/>
            <w:vAlign w:val="bottom"/>
          </w:tcPr>
          <w:p w14:paraId="5F2CE75A" w14:textId="77777777" w:rsidR="00E836FB" w:rsidRDefault="00E836FB">
            <w:pPr>
              <w:rPr>
                <w:rFonts w:ascii="宋体"/>
                <w:vanish/>
              </w:rPr>
            </w:pPr>
          </w:p>
        </w:tc>
        <w:tc>
          <w:tcPr>
            <w:tcW w:w="0" w:type="auto"/>
            <w:gridSpan w:val="3"/>
            <w:shd w:val="clear" w:color="auto" w:fill="auto"/>
            <w:vAlign w:val="bottom"/>
          </w:tcPr>
          <w:p w14:paraId="5F2CE75B" w14:textId="77777777" w:rsidR="00E836FB" w:rsidRDefault="00E836FB">
            <w:pPr>
              <w:rPr>
                <w:rFonts w:ascii="宋体"/>
                <w:vanish/>
              </w:rPr>
            </w:pPr>
          </w:p>
        </w:tc>
        <w:tc>
          <w:tcPr>
            <w:tcW w:w="0" w:type="auto"/>
            <w:gridSpan w:val="3"/>
            <w:shd w:val="clear" w:color="auto" w:fill="auto"/>
            <w:vAlign w:val="bottom"/>
          </w:tcPr>
          <w:p w14:paraId="5F2CE75C" w14:textId="77777777" w:rsidR="00E836FB" w:rsidRDefault="00E836FB">
            <w:pPr>
              <w:rPr>
                <w:rFonts w:ascii="宋体"/>
                <w:vanish/>
              </w:rPr>
            </w:pPr>
          </w:p>
        </w:tc>
        <w:tc>
          <w:tcPr>
            <w:tcW w:w="0" w:type="auto"/>
            <w:gridSpan w:val="3"/>
            <w:shd w:val="clear" w:color="auto" w:fill="auto"/>
            <w:vAlign w:val="bottom"/>
          </w:tcPr>
          <w:p w14:paraId="5F2CE75D" w14:textId="77777777" w:rsidR="00E836FB" w:rsidRDefault="00E836FB">
            <w:pPr>
              <w:rPr>
                <w:rFonts w:ascii="宋体"/>
                <w:vanish/>
              </w:rPr>
            </w:pPr>
          </w:p>
        </w:tc>
        <w:tc>
          <w:tcPr>
            <w:tcW w:w="0" w:type="auto"/>
            <w:gridSpan w:val="3"/>
            <w:shd w:val="clear" w:color="auto" w:fill="auto"/>
            <w:vAlign w:val="bottom"/>
          </w:tcPr>
          <w:p w14:paraId="5F2CE75E" w14:textId="77777777" w:rsidR="00E836FB" w:rsidRDefault="00E836FB">
            <w:pPr>
              <w:rPr>
                <w:rFonts w:ascii="宋体"/>
                <w:vanish/>
              </w:rPr>
            </w:pPr>
          </w:p>
        </w:tc>
        <w:tc>
          <w:tcPr>
            <w:tcW w:w="0" w:type="auto"/>
            <w:gridSpan w:val="3"/>
            <w:shd w:val="clear" w:color="auto" w:fill="auto"/>
            <w:vAlign w:val="bottom"/>
          </w:tcPr>
          <w:p w14:paraId="5F2CE75F" w14:textId="77777777" w:rsidR="00E836FB" w:rsidRDefault="00E836FB">
            <w:pPr>
              <w:rPr>
                <w:rFonts w:ascii="宋体"/>
                <w:vanish/>
              </w:rPr>
            </w:pPr>
          </w:p>
        </w:tc>
        <w:tc>
          <w:tcPr>
            <w:tcW w:w="0" w:type="auto"/>
            <w:gridSpan w:val="3"/>
            <w:shd w:val="clear" w:color="auto" w:fill="auto"/>
            <w:vAlign w:val="bottom"/>
          </w:tcPr>
          <w:p w14:paraId="5F2CE760" w14:textId="77777777" w:rsidR="00E836FB" w:rsidRDefault="00E836FB">
            <w:pPr>
              <w:rPr>
                <w:rFonts w:ascii="宋体"/>
                <w:vanish/>
              </w:rPr>
            </w:pPr>
          </w:p>
        </w:tc>
        <w:tc>
          <w:tcPr>
            <w:tcW w:w="0" w:type="auto"/>
            <w:gridSpan w:val="3"/>
            <w:shd w:val="clear" w:color="auto" w:fill="auto"/>
            <w:vAlign w:val="bottom"/>
          </w:tcPr>
          <w:p w14:paraId="5F2CE761" w14:textId="77777777" w:rsidR="00E836FB" w:rsidRDefault="00E836FB">
            <w:pPr>
              <w:rPr>
                <w:rFonts w:ascii="宋体"/>
                <w:vanish/>
              </w:rPr>
            </w:pPr>
          </w:p>
        </w:tc>
        <w:tc>
          <w:tcPr>
            <w:tcW w:w="0" w:type="auto"/>
            <w:gridSpan w:val="3"/>
            <w:shd w:val="clear" w:color="auto" w:fill="auto"/>
            <w:vAlign w:val="bottom"/>
          </w:tcPr>
          <w:p w14:paraId="5F2CE762" w14:textId="77777777" w:rsidR="00E836FB" w:rsidRDefault="00E836FB">
            <w:pPr>
              <w:rPr>
                <w:rFonts w:ascii="宋体"/>
                <w:vanish/>
              </w:rPr>
            </w:pPr>
          </w:p>
        </w:tc>
      </w:tr>
      <w:tr w:rsidR="00E836FB" w14:paraId="5F2CE770" w14:textId="77777777">
        <w:trPr>
          <w:hidden/>
        </w:trPr>
        <w:tc>
          <w:tcPr>
            <w:tcW w:w="0" w:type="auto"/>
            <w:gridSpan w:val="3"/>
            <w:shd w:val="clear" w:color="auto" w:fill="auto"/>
            <w:vAlign w:val="bottom"/>
          </w:tcPr>
          <w:p w14:paraId="5F2CE764" w14:textId="77777777" w:rsidR="00E836FB" w:rsidRDefault="00E836FB">
            <w:pPr>
              <w:rPr>
                <w:rFonts w:ascii="宋体"/>
                <w:vanish/>
              </w:rPr>
            </w:pPr>
          </w:p>
        </w:tc>
        <w:tc>
          <w:tcPr>
            <w:tcW w:w="0" w:type="auto"/>
            <w:gridSpan w:val="3"/>
            <w:shd w:val="clear" w:color="auto" w:fill="auto"/>
            <w:vAlign w:val="bottom"/>
          </w:tcPr>
          <w:p w14:paraId="5F2CE765" w14:textId="77777777" w:rsidR="00E836FB" w:rsidRDefault="00E836FB">
            <w:pPr>
              <w:rPr>
                <w:rFonts w:ascii="宋体"/>
                <w:vanish/>
              </w:rPr>
            </w:pPr>
          </w:p>
        </w:tc>
        <w:tc>
          <w:tcPr>
            <w:tcW w:w="0" w:type="auto"/>
            <w:gridSpan w:val="3"/>
            <w:shd w:val="clear" w:color="auto" w:fill="auto"/>
            <w:vAlign w:val="bottom"/>
          </w:tcPr>
          <w:p w14:paraId="5F2CE766" w14:textId="77777777" w:rsidR="00E836FB" w:rsidRDefault="00E836FB">
            <w:pPr>
              <w:rPr>
                <w:rFonts w:ascii="宋体"/>
                <w:vanish/>
              </w:rPr>
            </w:pPr>
          </w:p>
        </w:tc>
        <w:tc>
          <w:tcPr>
            <w:tcW w:w="0" w:type="auto"/>
            <w:gridSpan w:val="3"/>
            <w:shd w:val="clear" w:color="auto" w:fill="auto"/>
            <w:vAlign w:val="bottom"/>
          </w:tcPr>
          <w:p w14:paraId="5F2CE767" w14:textId="77777777" w:rsidR="00E836FB" w:rsidRDefault="00E836FB">
            <w:pPr>
              <w:rPr>
                <w:rFonts w:ascii="宋体"/>
                <w:vanish/>
              </w:rPr>
            </w:pPr>
          </w:p>
        </w:tc>
        <w:tc>
          <w:tcPr>
            <w:tcW w:w="0" w:type="auto"/>
            <w:gridSpan w:val="3"/>
            <w:shd w:val="clear" w:color="auto" w:fill="auto"/>
            <w:vAlign w:val="bottom"/>
          </w:tcPr>
          <w:p w14:paraId="5F2CE768" w14:textId="77777777" w:rsidR="00E836FB" w:rsidRDefault="00E836FB">
            <w:pPr>
              <w:rPr>
                <w:rFonts w:ascii="宋体"/>
                <w:vanish/>
              </w:rPr>
            </w:pPr>
          </w:p>
        </w:tc>
        <w:tc>
          <w:tcPr>
            <w:tcW w:w="0" w:type="auto"/>
            <w:gridSpan w:val="3"/>
            <w:shd w:val="clear" w:color="auto" w:fill="auto"/>
            <w:vAlign w:val="bottom"/>
          </w:tcPr>
          <w:p w14:paraId="5F2CE769" w14:textId="77777777" w:rsidR="00E836FB" w:rsidRDefault="00E836FB">
            <w:pPr>
              <w:rPr>
                <w:rFonts w:ascii="宋体"/>
                <w:vanish/>
              </w:rPr>
            </w:pPr>
          </w:p>
        </w:tc>
        <w:tc>
          <w:tcPr>
            <w:tcW w:w="0" w:type="auto"/>
            <w:gridSpan w:val="3"/>
            <w:shd w:val="clear" w:color="auto" w:fill="auto"/>
            <w:vAlign w:val="bottom"/>
          </w:tcPr>
          <w:p w14:paraId="5F2CE76A" w14:textId="77777777" w:rsidR="00E836FB" w:rsidRDefault="00E836FB">
            <w:pPr>
              <w:rPr>
                <w:rFonts w:ascii="宋体"/>
                <w:vanish/>
              </w:rPr>
            </w:pPr>
          </w:p>
        </w:tc>
        <w:tc>
          <w:tcPr>
            <w:tcW w:w="0" w:type="auto"/>
            <w:gridSpan w:val="3"/>
            <w:shd w:val="clear" w:color="auto" w:fill="auto"/>
            <w:vAlign w:val="bottom"/>
          </w:tcPr>
          <w:p w14:paraId="5F2CE76B" w14:textId="77777777" w:rsidR="00E836FB" w:rsidRDefault="00E836FB">
            <w:pPr>
              <w:rPr>
                <w:rFonts w:ascii="宋体"/>
                <w:vanish/>
              </w:rPr>
            </w:pPr>
          </w:p>
        </w:tc>
        <w:tc>
          <w:tcPr>
            <w:tcW w:w="0" w:type="auto"/>
            <w:gridSpan w:val="3"/>
            <w:shd w:val="clear" w:color="auto" w:fill="auto"/>
            <w:vAlign w:val="bottom"/>
          </w:tcPr>
          <w:p w14:paraId="5F2CE76C" w14:textId="77777777" w:rsidR="00E836FB" w:rsidRDefault="00E836FB">
            <w:pPr>
              <w:rPr>
                <w:rFonts w:ascii="宋体"/>
                <w:vanish/>
              </w:rPr>
            </w:pPr>
          </w:p>
        </w:tc>
        <w:tc>
          <w:tcPr>
            <w:tcW w:w="0" w:type="auto"/>
            <w:gridSpan w:val="3"/>
            <w:shd w:val="clear" w:color="auto" w:fill="auto"/>
            <w:vAlign w:val="bottom"/>
          </w:tcPr>
          <w:p w14:paraId="5F2CE76D" w14:textId="77777777" w:rsidR="00E836FB" w:rsidRDefault="00E836FB">
            <w:pPr>
              <w:rPr>
                <w:rFonts w:ascii="宋体"/>
                <w:vanish/>
              </w:rPr>
            </w:pPr>
          </w:p>
        </w:tc>
        <w:tc>
          <w:tcPr>
            <w:tcW w:w="0" w:type="auto"/>
            <w:gridSpan w:val="3"/>
            <w:shd w:val="clear" w:color="auto" w:fill="auto"/>
            <w:vAlign w:val="bottom"/>
          </w:tcPr>
          <w:p w14:paraId="5F2CE76E" w14:textId="77777777" w:rsidR="00E836FB" w:rsidRDefault="00E836FB">
            <w:pPr>
              <w:rPr>
                <w:rFonts w:ascii="宋体"/>
                <w:vanish/>
              </w:rPr>
            </w:pPr>
          </w:p>
        </w:tc>
        <w:tc>
          <w:tcPr>
            <w:tcW w:w="0" w:type="auto"/>
            <w:gridSpan w:val="3"/>
            <w:shd w:val="clear" w:color="auto" w:fill="auto"/>
            <w:vAlign w:val="bottom"/>
          </w:tcPr>
          <w:p w14:paraId="5F2CE76F" w14:textId="77777777" w:rsidR="00E836FB" w:rsidRDefault="00E836FB">
            <w:pPr>
              <w:rPr>
                <w:rFonts w:ascii="宋体"/>
                <w:vanish/>
              </w:rPr>
            </w:pPr>
          </w:p>
        </w:tc>
      </w:tr>
      <w:tr w:rsidR="00E836FB" w14:paraId="5F2CE77D" w14:textId="77777777">
        <w:trPr>
          <w:hidden/>
        </w:trPr>
        <w:tc>
          <w:tcPr>
            <w:tcW w:w="0" w:type="auto"/>
            <w:gridSpan w:val="3"/>
            <w:shd w:val="clear" w:color="auto" w:fill="auto"/>
            <w:vAlign w:val="bottom"/>
          </w:tcPr>
          <w:p w14:paraId="5F2CE771" w14:textId="77777777" w:rsidR="00E836FB" w:rsidRDefault="00E836FB">
            <w:pPr>
              <w:rPr>
                <w:rFonts w:ascii="宋体"/>
                <w:vanish/>
              </w:rPr>
            </w:pPr>
          </w:p>
        </w:tc>
        <w:tc>
          <w:tcPr>
            <w:tcW w:w="0" w:type="auto"/>
            <w:gridSpan w:val="3"/>
            <w:shd w:val="clear" w:color="auto" w:fill="auto"/>
            <w:vAlign w:val="bottom"/>
          </w:tcPr>
          <w:p w14:paraId="5F2CE772" w14:textId="77777777" w:rsidR="00E836FB" w:rsidRDefault="00E836FB">
            <w:pPr>
              <w:rPr>
                <w:rFonts w:ascii="宋体"/>
                <w:vanish/>
              </w:rPr>
            </w:pPr>
          </w:p>
        </w:tc>
        <w:tc>
          <w:tcPr>
            <w:tcW w:w="0" w:type="auto"/>
            <w:gridSpan w:val="3"/>
            <w:shd w:val="clear" w:color="auto" w:fill="auto"/>
            <w:vAlign w:val="bottom"/>
          </w:tcPr>
          <w:p w14:paraId="5F2CE773" w14:textId="77777777" w:rsidR="00E836FB" w:rsidRDefault="00E836FB">
            <w:pPr>
              <w:rPr>
                <w:rFonts w:ascii="宋体"/>
                <w:vanish/>
              </w:rPr>
            </w:pPr>
          </w:p>
        </w:tc>
        <w:tc>
          <w:tcPr>
            <w:tcW w:w="0" w:type="auto"/>
            <w:gridSpan w:val="3"/>
            <w:shd w:val="clear" w:color="auto" w:fill="auto"/>
            <w:vAlign w:val="bottom"/>
          </w:tcPr>
          <w:p w14:paraId="5F2CE774" w14:textId="77777777" w:rsidR="00E836FB" w:rsidRDefault="00E836FB">
            <w:pPr>
              <w:rPr>
                <w:rFonts w:ascii="宋体"/>
                <w:vanish/>
              </w:rPr>
            </w:pPr>
          </w:p>
        </w:tc>
        <w:tc>
          <w:tcPr>
            <w:tcW w:w="0" w:type="auto"/>
            <w:gridSpan w:val="3"/>
            <w:shd w:val="clear" w:color="auto" w:fill="auto"/>
            <w:vAlign w:val="bottom"/>
          </w:tcPr>
          <w:p w14:paraId="5F2CE775" w14:textId="77777777" w:rsidR="00E836FB" w:rsidRDefault="00E836FB">
            <w:pPr>
              <w:rPr>
                <w:rFonts w:ascii="宋体"/>
                <w:vanish/>
              </w:rPr>
            </w:pPr>
          </w:p>
        </w:tc>
        <w:tc>
          <w:tcPr>
            <w:tcW w:w="0" w:type="auto"/>
            <w:gridSpan w:val="3"/>
            <w:shd w:val="clear" w:color="auto" w:fill="auto"/>
            <w:vAlign w:val="bottom"/>
          </w:tcPr>
          <w:p w14:paraId="5F2CE776" w14:textId="77777777" w:rsidR="00E836FB" w:rsidRDefault="00E836FB">
            <w:pPr>
              <w:rPr>
                <w:rFonts w:ascii="宋体"/>
                <w:vanish/>
              </w:rPr>
            </w:pPr>
          </w:p>
        </w:tc>
        <w:tc>
          <w:tcPr>
            <w:tcW w:w="0" w:type="auto"/>
            <w:gridSpan w:val="3"/>
            <w:shd w:val="clear" w:color="auto" w:fill="auto"/>
            <w:vAlign w:val="bottom"/>
          </w:tcPr>
          <w:p w14:paraId="5F2CE777" w14:textId="77777777" w:rsidR="00E836FB" w:rsidRDefault="00E836FB">
            <w:pPr>
              <w:rPr>
                <w:rFonts w:ascii="宋体"/>
                <w:vanish/>
              </w:rPr>
            </w:pPr>
          </w:p>
        </w:tc>
        <w:tc>
          <w:tcPr>
            <w:tcW w:w="0" w:type="auto"/>
            <w:gridSpan w:val="3"/>
            <w:shd w:val="clear" w:color="auto" w:fill="auto"/>
            <w:vAlign w:val="bottom"/>
          </w:tcPr>
          <w:p w14:paraId="5F2CE778" w14:textId="77777777" w:rsidR="00E836FB" w:rsidRDefault="00E836FB">
            <w:pPr>
              <w:rPr>
                <w:rFonts w:ascii="宋体"/>
                <w:vanish/>
              </w:rPr>
            </w:pPr>
          </w:p>
        </w:tc>
        <w:tc>
          <w:tcPr>
            <w:tcW w:w="0" w:type="auto"/>
            <w:gridSpan w:val="3"/>
            <w:shd w:val="clear" w:color="auto" w:fill="auto"/>
            <w:vAlign w:val="bottom"/>
          </w:tcPr>
          <w:p w14:paraId="5F2CE779" w14:textId="77777777" w:rsidR="00E836FB" w:rsidRDefault="00E836FB">
            <w:pPr>
              <w:rPr>
                <w:rFonts w:ascii="宋体"/>
                <w:vanish/>
              </w:rPr>
            </w:pPr>
          </w:p>
        </w:tc>
        <w:tc>
          <w:tcPr>
            <w:tcW w:w="0" w:type="auto"/>
            <w:gridSpan w:val="3"/>
            <w:shd w:val="clear" w:color="auto" w:fill="auto"/>
            <w:vAlign w:val="bottom"/>
          </w:tcPr>
          <w:p w14:paraId="5F2CE77A" w14:textId="77777777" w:rsidR="00E836FB" w:rsidRDefault="00E836FB">
            <w:pPr>
              <w:rPr>
                <w:rFonts w:ascii="宋体"/>
                <w:vanish/>
              </w:rPr>
            </w:pPr>
          </w:p>
        </w:tc>
        <w:tc>
          <w:tcPr>
            <w:tcW w:w="0" w:type="auto"/>
            <w:gridSpan w:val="3"/>
            <w:shd w:val="clear" w:color="auto" w:fill="auto"/>
            <w:vAlign w:val="bottom"/>
          </w:tcPr>
          <w:p w14:paraId="5F2CE77B" w14:textId="77777777" w:rsidR="00E836FB" w:rsidRDefault="00E836FB">
            <w:pPr>
              <w:rPr>
                <w:rFonts w:ascii="宋体"/>
                <w:vanish/>
              </w:rPr>
            </w:pPr>
          </w:p>
        </w:tc>
        <w:tc>
          <w:tcPr>
            <w:tcW w:w="0" w:type="auto"/>
            <w:gridSpan w:val="3"/>
            <w:shd w:val="clear" w:color="auto" w:fill="auto"/>
            <w:vAlign w:val="bottom"/>
          </w:tcPr>
          <w:p w14:paraId="5F2CE77C" w14:textId="77777777" w:rsidR="00E836FB" w:rsidRDefault="00E836FB">
            <w:pPr>
              <w:rPr>
                <w:rFonts w:ascii="宋体"/>
                <w:vanish/>
              </w:rPr>
            </w:pPr>
          </w:p>
        </w:tc>
      </w:tr>
      <w:tr w:rsidR="00E836FB" w14:paraId="5F2CE78A" w14:textId="77777777">
        <w:trPr>
          <w:hidden/>
        </w:trPr>
        <w:tc>
          <w:tcPr>
            <w:tcW w:w="0" w:type="auto"/>
            <w:gridSpan w:val="3"/>
            <w:shd w:val="clear" w:color="auto" w:fill="auto"/>
            <w:vAlign w:val="bottom"/>
          </w:tcPr>
          <w:p w14:paraId="5F2CE77E" w14:textId="77777777" w:rsidR="00E836FB" w:rsidRDefault="00E836FB">
            <w:pPr>
              <w:rPr>
                <w:rFonts w:ascii="宋体"/>
                <w:vanish/>
              </w:rPr>
            </w:pPr>
          </w:p>
        </w:tc>
        <w:tc>
          <w:tcPr>
            <w:tcW w:w="0" w:type="auto"/>
            <w:gridSpan w:val="3"/>
            <w:shd w:val="clear" w:color="auto" w:fill="auto"/>
            <w:vAlign w:val="bottom"/>
          </w:tcPr>
          <w:p w14:paraId="5F2CE77F" w14:textId="77777777" w:rsidR="00E836FB" w:rsidRDefault="00E836FB">
            <w:pPr>
              <w:rPr>
                <w:rFonts w:ascii="宋体"/>
                <w:vanish/>
              </w:rPr>
            </w:pPr>
          </w:p>
        </w:tc>
        <w:tc>
          <w:tcPr>
            <w:tcW w:w="0" w:type="auto"/>
            <w:gridSpan w:val="3"/>
            <w:shd w:val="clear" w:color="auto" w:fill="auto"/>
            <w:vAlign w:val="bottom"/>
          </w:tcPr>
          <w:p w14:paraId="5F2CE780" w14:textId="77777777" w:rsidR="00E836FB" w:rsidRDefault="00E836FB">
            <w:pPr>
              <w:rPr>
                <w:rFonts w:ascii="宋体"/>
                <w:vanish/>
              </w:rPr>
            </w:pPr>
          </w:p>
        </w:tc>
        <w:tc>
          <w:tcPr>
            <w:tcW w:w="0" w:type="auto"/>
            <w:gridSpan w:val="3"/>
            <w:shd w:val="clear" w:color="auto" w:fill="auto"/>
            <w:vAlign w:val="bottom"/>
          </w:tcPr>
          <w:p w14:paraId="5F2CE781" w14:textId="77777777" w:rsidR="00E836FB" w:rsidRDefault="00E836FB">
            <w:pPr>
              <w:rPr>
                <w:rFonts w:ascii="宋体"/>
                <w:vanish/>
              </w:rPr>
            </w:pPr>
          </w:p>
        </w:tc>
        <w:tc>
          <w:tcPr>
            <w:tcW w:w="0" w:type="auto"/>
            <w:gridSpan w:val="3"/>
            <w:shd w:val="clear" w:color="auto" w:fill="auto"/>
            <w:vAlign w:val="bottom"/>
          </w:tcPr>
          <w:p w14:paraId="5F2CE782" w14:textId="77777777" w:rsidR="00E836FB" w:rsidRDefault="00E836FB">
            <w:pPr>
              <w:rPr>
                <w:rFonts w:ascii="宋体"/>
                <w:vanish/>
              </w:rPr>
            </w:pPr>
          </w:p>
        </w:tc>
        <w:tc>
          <w:tcPr>
            <w:tcW w:w="0" w:type="auto"/>
            <w:gridSpan w:val="3"/>
            <w:shd w:val="clear" w:color="auto" w:fill="auto"/>
            <w:vAlign w:val="bottom"/>
          </w:tcPr>
          <w:p w14:paraId="5F2CE783" w14:textId="77777777" w:rsidR="00E836FB" w:rsidRDefault="00E836FB">
            <w:pPr>
              <w:rPr>
                <w:rFonts w:ascii="宋体"/>
                <w:vanish/>
              </w:rPr>
            </w:pPr>
          </w:p>
        </w:tc>
        <w:tc>
          <w:tcPr>
            <w:tcW w:w="0" w:type="auto"/>
            <w:gridSpan w:val="3"/>
            <w:shd w:val="clear" w:color="auto" w:fill="auto"/>
            <w:vAlign w:val="bottom"/>
          </w:tcPr>
          <w:p w14:paraId="5F2CE784" w14:textId="77777777" w:rsidR="00E836FB" w:rsidRDefault="00E836FB">
            <w:pPr>
              <w:rPr>
                <w:rFonts w:ascii="宋体"/>
                <w:vanish/>
              </w:rPr>
            </w:pPr>
          </w:p>
        </w:tc>
        <w:tc>
          <w:tcPr>
            <w:tcW w:w="0" w:type="auto"/>
            <w:gridSpan w:val="3"/>
            <w:shd w:val="clear" w:color="auto" w:fill="auto"/>
            <w:vAlign w:val="bottom"/>
          </w:tcPr>
          <w:p w14:paraId="5F2CE785" w14:textId="77777777" w:rsidR="00E836FB" w:rsidRDefault="00E836FB">
            <w:pPr>
              <w:rPr>
                <w:rFonts w:ascii="宋体"/>
                <w:vanish/>
              </w:rPr>
            </w:pPr>
          </w:p>
        </w:tc>
        <w:tc>
          <w:tcPr>
            <w:tcW w:w="0" w:type="auto"/>
            <w:gridSpan w:val="3"/>
            <w:shd w:val="clear" w:color="auto" w:fill="auto"/>
            <w:vAlign w:val="bottom"/>
          </w:tcPr>
          <w:p w14:paraId="5F2CE786" w14:textId="77777777" w:rsidR="00E836FB" w:rsidRDefault="00E836FB">
            <w:pPr>
              <w:rPr>
                <w:rFonts w:ascii="宋体"/>
                <w:vanish/>
              </w:rPr>
            </w:pPr>
          </w:p>
        </w:tc>
        <w:tc>
          <w:tcPr>
            <w:tcW w:w="0" w:type="auto"/>
            <w:gridSpan w:val="3"/>
            <w:shd w:val="clear" w:color="auto" w:fill="auto"/>
            <w:vAlign w:val="bottom"/>
          </w:tcPr>
          <w:p w14:paraId="5F2CE787" w14:textId="77777777" w:rsidR="00E836FB" w:rsidRDefault="00E836FB">
            <w:pPr>
              <w:rPr>
                <w:rFonts w:ascii="宋体"/>
                <w:vanish/>
              </w:rPr>
            </w:pPr>
          </w:p>
        </w:tc>
        <w:tc>
          <w:tcPr>
            <w:tcW w:w="0" w:type="auto"/>
            <w:gridSpan w:val="3"/>
            <w:shd w:val="clear" w:color="auto" w:fill="auto"/>
            <w:vAlign w:val="bottom"/>
          </w:tcPr>
          <w:p w14:paraId="5F2CE788" w14:textId="77777777" w:rsidR="00E836FB" w:rsidRDefault="00E836FB">
            <w:pPr>
              <w:rPr>
                <w:rFonts w:ascii="宋体"/>
                <w:vanish/>
              </w:rPr>
            </w:pPr>
          </w:p>
        </w:tc>
        <w:tc>
          <w:tcPr>
            <w:tcW w:w="0" w:type="auto"/>
            <w:gridSpan w:val="3"/>
            <w:shd w:val="clear" w:color="auto" w:fill="auto"/>
            <w:vAlign w:val="bottom"/>
          </w:tcPr>
          <w:p w14:paraId="5F2CE789" w14:textId="77777777" w:rsidR="00E836FB" w:rsidRDefault="00E836FB">
            <w:pPr>
              <w:rPr>
                <w:rFonts w:ascii="宋体"/>
                <w:vanish/>
              </w:rPr>
            </w:pPr>
          </w:p>
        </w:tc>
      </w:tr>
    </w:tbl>
    <w:p w14:paraId="5F2CE78B"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701"/>
        <w:gridCol w:w="36"/>
        <w:gridCol w:w="110"/>
        <w:gridCol w:w="860"/>
        <w:gridCol w:w="36"/>
        <w:gridCol w:w="36"/>
        <w:gridCol w:w="36"/>
        <w:gridCol w:w="36"/>
        <w:gridCol w:w="110"/>
        <w:gridCol w:w="808"/>
        <w:gridCol w:w="36"/>
        <w:gridCol w:w="36"/>
        <w:gridCol w:w="36"/>
        <w:gridCol w:w="36"/>
        <w:gridCol w:w="109"/>
        <w:gridCol w:w="873"/>
        <w:gridCol w:w="36"/>
        <w:gridCol w:w="36"/>
        <w:gridCol w:w="36"/>
        <w:gridCol w:w="36"/>
        <w:gridCol w:w="110"/>
        <w:gridCol w:w="861"/>
        <w:gridCol w:w="36"/>
        <w:gridCol w:w="36"/>
        <w:gridCol w:w="36"/>
        <w:gridCol w:w="36"/>
        <w:gridCol w:w="110"/>
        <w:gridCol w:w="873"/>
        <w:gridCol w:w="36"/>
        <w:gridCol w:w="36"/>
        <w:gridCol w:w="36"/>
        <w:gridCol w:w="36"/>
        <w:gridCol w:w="109"/>
        <w:gridCol w:w="873"/>
        <w:gridCol w:w="36"/>
      </w:tblGrid>
      <w:tr w:rsidR="00E836FB" w14:paraId="5F2CE7B0" w14:textId="77777777">
        <w:tc>
          <w:tcPr>
            <w:tcW w:w="50" w:type="pct"/>
            <w:shd w:val="clear" w:color="auto" w:fill="auto"/>
            <w:vAlign w:val="bottom"/>
          </w:tcPr>
          <w:p w14:paraId="5F2CE78C" w14:textId="77777777" w:rsidR="00E836FB" w:rsidRDefault="00E836FB">
            <w:pPr>
              <w:rPr>
                <w:rFonts w:ascii="宋体"/>
              </w:rPr>
            </w:pPr>
          </w:p>
        </w:tc>
        <w:tc>
          <w:tcPr>
            <w:tcW w:w="1078" w:type="pct"/>
            <w:shd w:val="clear" w:color="auto" w:fill="auto"/>
            <w:vAlign w:val="bottom"/>
          </w:tcPr>
          <w:p w14:paraId="5F2CE78D" w14:textId="77777777" w:rsidR="00E836FB" w:rsidRDefault="00E836FB">
            <w:pPr>
              <w:rPr>
                <w:rFonts w:ascii="宋体"/>
              </w:rPr>
            </w:pPr>
          </w:p>
        </w:tc>
        <w:tc>
          <w:tcPr>
            <w:tcW w:w="5" w:type="pct"/>
            <w:shd w:val="clear" w:color="auto" w:fill="auto"/>
            <w:vAlign w:val="bottom"/>
          </w:tcPr>
          <w:p w14:paraId="5F2CE78E" w14:textId="77777777" w:rsidR="00E836FB" w:rsidRDefault="00E836FB">
            <w:pPr>
              <w:rPr>
                <w:rFonts w:ascii="宋体"/>
              </w:rPr>
            </w:pPr>
          </w:p>
        </w:tc>
        <w:tc>
          <w:tcPr>
            <w:tcW w:w="50" w:type="pct"/>
            <w:shd w:val="clear" w:color="auto" w:fill="auto"/>
            <w:vAlign w:val="bottom"/>
          </w:tcPr>
          <w:p w14:paraId="5F2CE78F" w14:textId="77777777" w:rsidR="00E836FB" w:rsidRDefault="00E836FB">
            <w:pPr>
              <w:rPr>
                <w:rFonts w:ascii="宋体"/>
              </w:rPr>
            </w:pPr>
          </w:p>
        </w:tc>
        <w:tc>
          <w:tcPr>
            <w:tcW w:w="559" w:type="pct"/>
            <w:shd w:val="clear" w:color="auto" w:fill="auto"/>
            <w:vAlign w:val="bottom"/>
          </w:tcPr>
          <w:p w14:paraId="5F2CE790" w14:textId="77777777" w:rsidR="00E836FB" w:rsidRDefault="00E836FB">
            <w:pPr>
              <w:rPr>
                <w:rFonts w:ascii="宋体"/>
              </w:rPr>
            </w:pPr>
          </w:p>
        </w:tc>
        <w:tc>
          <w:tcPr>
            <w:tcW w:w="5" w:type="pct"/>
            <w:shd w:val="clear" w:color="auto" w:fill="auto"/>
            <w:vAlign w:val="bottom"/>
          </w:tcPr>
          <w:p w14:paraId="5F2CE791" w14:textId="77777777" w:rsidR="00E836FB" w:rsidRDefault="00E836FB">
            <w:pPr>
              <w:rPr>
                <w:rFonts w:ascii="宋体"/>
              </w:rPr>
            </w:pPr>
          </w:p>
        </w:tc>
        <w:tc>
          <w:tcPr>
            <w:tcW w:w="5" w:type="pct"/>
            <w:shd w:val="clear" w:color="auto" w:fill="auto"/>
            <w:vAlign w:val="bottom"/>
          </w:tcPr>
          <w:p w14:paraId="5F2CE792" w14:textId="77777777" w:rsidR="00E836FB" w:rsidRDefault="00E836FB">
            <w:pPr>
              <w:rPr>
                <w:rFonts w:ascii="宋体"/>
              </w:rPr>
            </w:pPr>
          </w:p>
        </w:tc>
        <w:tc>
          <w:tcPr>
            <w:tcW w:w="26" w:type="pct"/>
            <w:shd w:val="clear" w:color="auto" w:fill="auto"/>
            <w:vAlign w:val="bottom"/>
          </w:tcPr>
          <w:p w14:paraId="5F2CE793" w14:textId="77777777" w:rsidR="00E836FB" w:rsidRDefault="00E836FB">
            <w:pPr>
              <w:rPr>
                <w:rFonts w:ascii="宋体"/>
              </w:rPr>
            </w:pPr>
          </w:p>
        </w:tc>
        <w:tc>
          <w:tcPr>
            <w:tcW w:w="5" w:type="pct"/>
            <w:shd w:val="clear" w:color="auto" w:fill="auto"/>
            <w:vAlign w:val="bottom"/>
          </w:tcPr>
          <w:p w14:paraId="5F2CE794" w14:textId="77777777" w:rsidR="00E836FB" w:rsidRDefault="00E836FB">
            <w:pPr>
              <w:rPr>
                <w:rFonts w:ascii="宋体"/>
              </w:rPr>
            </w:pPr>
          </w:p>
        </w:tc>
        <w:tc>
          <w:tcPr>
            <w:tcW w:w="50" w:type="pct"/>
            <w:shd w:val="clear" w:color="auto" w:fill="auto"/>
            <w:vAlign w:val="bottom"/>
          </w:tcPr>
          <w:p w14:paraId="5F2CE795" w14:textId="77777777" w:rsidR="00E836FB" w:rsidRDefault="00E836FB">
            <w:pPr>
              <w:rPr>
                <w:rFonts w:ascii="宋体"/>
              </w:rPr>
            </w:pPr>
          </w:p>
        </w:tc>
        <w:tc>
          <w:tcPr>
            <w:tcW w:w="566" w:type="pct"/>
            <w:shd w:val="clear" w:color="auto" w:fill="auto"/>
            <w:vAlign w:val="bottom"/>
          </w:tcPr>
          <w:p w14:paraId="5F2CE796" w14:textId="77777777" w:rsidR="00E836FB" w:rsidRDefault="00E836FB">
            <w:pPr>
              <w:rPr>
                <w:rFonts w:ascii="宋体"/>
              </w:rPr>
            </w:pPr>
          </w:p>
        </w:tc>
        <w:tc>
          <w:tcPr>
            <w:tcW w:w="5" w:type="pct"/>
            <w:shd w:val="clear" w:color="auto" w:fill="auto"/>
            <w:vAlign w:val="bottom"/>
          </w:tcPr>
          <w:p w14:paraId="5F2CE797" w14:textId="77777777" w:rsidR="00E836FB" w:rsidRDefault="00E836FB">
            <w:pPr>
              <w:rPr>
                <w:rFonts w:ascii="宋体"/>
              </w:rPr>
            </w:pPr>
          </w:p>
        </w:tc>
        <w:tc>
          <w:tcPr>
            <w:tcW w:w="5" w:type="pct"/>
            <w:shd w:val="clear" w:color="auto" w:fill="auto"/>
            <w:vAlign w:val="bottom"/>
          </w:tcPr>
          <w:p w14:paraId="5F2CE798" w14:textId="77777777" w:rsidR="00E836FB" w:rsidRDefault="00E836FB">
            <w:pPr>
              <w:rPr>
                <w:rFonts w:ascii="宋体"/>
              </w:rPr>
            </w:pPr>
          </w:p>
        </w:tc>
        <w:tc>
          <w:tcPr>
            <w:tcW w:w="19" w:type="pct"/>
            <w:shd w:val="clear" w:color="auto" w:fill="auto"/>
            <w:vAlign w:val="bottom"/>
          </w:tcPr>
          <w:p w14:paraId="5F2CE799" w14:textId="77777777" w:rsidR="00E836FB" w:rsidRDefault="00E836FB">
            <w:pPr>
              <w:rPr>
                <w:rFonts w:ascii="宋体"/>
              </w:rPr>
            </w:pPr>
          </w:p>
        </w:tc>
        <w:tc>
          <w:tcPr>
            <w:tcW w:w="5" w:type="pct"/>
            <w:shd w:val="clear" w:color="auto" w:fill="auto"/>
            <w:vAlign w:val="bottom"/>
          </w:tcPr>
          <w:p w14:paraId="5F2CE79A" w14:textId="77777777" w:rsidR="00E836FB" w:rsidRDefault="00E836FB">
            <w:pPr>
              <w:rPr>
                <w:rFonts w:ascii="宋体"/>
              </w:rPr>
            </w:pPr>
          </w:p>
        </w:tc>
        <w:tc>
          <w:tcPr>
            <w:tcW w:w="50" w:type="pct"/>
            <w:shd w:val="clear" w:color="auto" w:fill="auto"/>
            <w:vAlign w:val="bottom"/>
          </w:tcPr>
          <w:p w14:paraId="5F2CE79B" w14:textId="77777777" w:rsidR="00E836FB" w:rsidRDefault="00E836FB">
            <w:pPr>
              <w:rPr>
                <w:rFonts w:ascii="宋体"/>
              </w:rPr>
            </w:pPr>
          </w:p>
        </w:tc>
        <w:tc>
          <w:tcPr>
            <w:tcW w:w="566" w:type="pct"/>
            <w:shd w:val="clear" w:color="auto" w:fill="auto"/>
            <w:vAlign w:val="bottom"/>
          </w:tcPr>
          <w:p w14:paraId="5F2CE79C" w14:textId="77777777" w:rsidR="00E836FB" w:rsidRDefault="00E836FB">
            <w:pPr>
              <w:rPr>
                <w:rFonts w:ascii="宋体"/>
              </w:rPr>
            </w:pPr>
          </w:p>
        </w:tc>
        <w:tc>
          <w:tcPr>
            <w:tcW w:w="5" w:type="pct"/>
            <w:shd w:val="clear" w:color="auto" w:fill="auto"/>
            <w:vAlign w:val="bottom"/>
          </w:tcPr>
          <w:p w14:paraId="5F2CE79D" w14:textId="77777777" w:rsidR="00E836FB" w:rsidRDefault="00E836FB">
            <w:pPr>
              <w:rPr>
                <w:rFonts w:ascii="宋体"/>
              </w:rPr>
            </w:pPr>
          </w:p>
        </w:tc>
        <w:tc>
          <w:tcPr>
            <w:tcW w:w="5" w:type="pct"/>
            <w:shd w:val="clear" w:color="auto" w:fill="auto"/>
            <w:vAlign w:val="bottom"/>
          </w:tcPr>
          <w:p w14:paraId="5F2CE79E" w14:textId="77777777" w:rsidR="00E836FB" w:rsidRDefault="00E836FB">
            <w:pPr>
              <w:rPr>
                <w:rFonts w:ascii="宋体"/>
              </w:rPr>
            </w:pPr>
          </w:p>
        </w:tc>
        <w:tc>
          <w:tcPr>
            <w:tcW w:w="19" w:type="pct"/>
            <w:shd w:val="clear" w:color="auto" w:fill="auto"/>
            <w:vAlign w:val="bottom"/>
          </w:tcPr>
          <w:p w14:paraId="5F2CE79F" w14:textId="77777777" w:rsidR="00E836FB" w:rsidRDefault="00E836FB">
            <w:pPr>
              <w:rPr>
                <w:rFonts w:ascii="宋体"/>
              </w:rPr>
            </w:pPr>
          </w:p>
        </w:tc>
        <w:tc>
          <w:tcPr>
            <w:tcW w:w="5" w:type="pct"/>
            <w:shd w:val="clear" w:color="auto" w:fill="auto"/>
            <w:vAlign w:val="bottom"/>
          </w:tcPr>
          <w:p w14:paraId="5F2CE7A0" w14:textId="77777777" w:rsidR="00E836FB" w:rsidRDefault="00E836FB">
            <w:pPr>
              <w:rPr>
                <w:rFonts w:ascii="宋体"/>
              </w:rPr>
            </w:pPr>
          </w:p>
        </w:tc>
        <w:tc>
          <w:tcPr>
            <w:tcW w:w="50" w:type="pct"/>
            <w:shd w:val="clear" w:color="auto" w:fill="auto"/>
            <w:vAlign w:val="bottom"/>
          </w:tcPr>
          <w:p w14:paraId="5F2CE7A1" w14:textId="77777777" w:rsidR="00E836FB" w:rsidRDefault="00E836FB">
            <w:pPr>
              <w:rPr>
                <w:rFonts w:ascii="宋体"/>
              </w:rPr>
            </w:pPr>
          </w:p>
        </w:tc>
        <w:tc>
          <w:tcPr>
            <w:tcW w:w="559" w:type="pct"/>
            <w:shd w:val="clear" w:color="auto" w:fill="auto"/>
            <w:vAlign w:val="bottom"/>
          </w:tcPr>
          <w:p w14:paraId="5F2CE7A2" w14:textId="77777777" w:rsidR="00E836FB" w:rsidRDefault="00E836FB">
            <w:pPr>
              <w:rPr>
                <w:rFonts w:ascii="宋体"/>
              </w:rPr>
            </w:pPr>
          </w:p>
        </w:tc>
        <w:tc>
          <w:tcPr>
            <w:tcW w:w="5" w:type="pct"/>
            <w:shd w:val="clear" w:color="auto" w:fill="auto"/>
            <w:vAlign w:val="bottom"/>
          </w:tcPr>
          <w:p w14:paraId="5F2CE7A3" w14:textId="77777777" w:rsidR="00E836FB" w:rsidRDefault="00E836FB">
            <w:pPr>
              <w:rPr>
                <w:rFonts w:ascii="宋体"/>
              </w:rPr>
            </w:pPr>
          </w:p>
        </w:tc>
        <w:tc>
          <w:tcPr>
            <w:tcW w:w="5" w:type="pct"/>
            <w:shd w:val="clear" w:color="auto" w:fill="auto"/>
            <w:vAlign w:val="bottom"/>
          </w:tcPr>
          <w:p w14:paraId="5F2CE7A4" w14:textId="77777777" w:rsidR="00E836FB" w:rsidRDefault="00E836FB">
            <w:pPr>
              <w:rPr>
                <w:rFonts w:ascii="宋体"/>
              </w:rPr>
            </w:pPr>
          </w:p>
        </w:tc>
        <w:tc>
          <w:tcPr>
            <w:tcW w:w="19" w:type="pct"/>
            <w:shd w:val="clear" w:color="auto" w:fill="auto"/>
            <w:vAlign w:val="bottom"/>
          </w:tcPr>
          <w:p w14:paraId="5F2CE7A5" w14:textId="77777777" w:rsidR="00E836FB" w:rsidRDefault="00E836FB">
            <w:pPr>
              <w:rPr>
                <w:rFonts w:ascii="宋体"/>
              </w:rPr>
            </w:pPr>
          </w:p>
        </w:tc>
        <w:tc>
          <w:tcPr>
            <w:tcW w:w="5" w:type="pct"/>
            <w:shd w:val="clear" w:color="auto" w:fill="auto"/>
            <w:vAlign w:val="bottom"/>
          </w:tcPr>
          <w:p w14:paraId="5F2CE7A6" w14:textId="77777777" w:rsidR="00E836FB" w:rsidRDefault="00E836FB">
            <w:pPr>
              <w:rPr>
                <w:rFonts w:ascii="宋体"/>
              </w:rPr>
            </w:pPr>
          </w:p>
        </w:tc>
        <w:tc>
          <w:tcPr>
            <w:tcW w:w="50" w:type="pct"/>
            <w:shd w:val="clear" w:color="auto" w:fill="auto"/>
            <w:vAlign w:val="bottom"/>
          </w:tcPr>
          <w:p w14:paraId="5F2CE7A7" w14:textId="77777777" w:rsidR="00E836FB" w:rsidRDefault="00E836FB">
            <w:pPr>
              <w:rPr>
                <w:rFonts w:ascii="宋体"/>
              </w:rPr>
            </w:pPr>
          </w:p>
        </w:tc>
        <w:tc>
          <w:tcPr>
            <w:tcW w:w="566" w:type="pct"/>
            <w:shd w:val="clear" w:color="auto" w:fill="auto"/>
            <w:vAlign w:val="bottom"/>
          </w:tcPr>
          <w:p w14:paraId="5F2CE7A8" w14:textId="77777777" w:rsidR="00E836FB" w:rsidRDefault="00E836FB">
            <w:pPr>
              <w:rPr>
                <w:rFonts w:ascii="宋体"/>
              </w:rPr>
            </w:pPr>
          </w:p>
        </w:tc>
        <w:tc>
          <w:tcPr>
            <w:tcW w:w="5" w:type="pct"/>
            <w:shd w:val="clear" w:color="auto" w:fill="auto"/>
            <w:vAlign w:val="bottom"/>
          </w:tcPr>
          <w:p w14:paraId="5F2CE7A9" w14:textId="77777777" w:rsidR="00E836FB" w:rsidRDefault="00E836FB">
            <w:pPr>
              <w:rPr>
                <w:rFonts w:ascii="宋体"/>
              </w:rPr>
            </w:pPr>
          </w:p>
        </w:tc>
        <w:tc>
          <w:tcPr>
            <w:tcW w:w="5" w:type="pct"/>
            <w:shd w:val="clear" w:color="auto" w:fill="auto"/>
            <w:vAlign w:val="bottom"/>
          </w:tcPr>
          <w:p w14:paraId="5F2CE7AA" w14:textId="77777777" w:rsidR="00E836FB" w:rsidRDefault="00E836FB">
            <w:pPr>
              <w:rPr>
                <w:rFonts w:ascii="宋体"/>
              </w:rPr>
            </w:pPr>
          </w:p>
        </w:tc>
        <w:tc>
          <w:tcPr>
            <w:tcW w:w="19" w:type="pct"/>
            <w:shd w:val="clear" w:color="auto" w:fill="auto"/>
            <w:vAlign w:val="bottom"/>
          </w:tcPr>
          <w:p w14:paraId="5F2CE7AB" w14:textId="77777777" w:rsidR="00E836FB" w:rsidRDefault="00E836FB">
            <w:pPr>
              <w:rPr>
                <w:rFonts w:ascii="宋体"/>
              </w:rPr>
            </w:pPr>
          </w:p>
        </w:tc>
        <w:tc>
          <w:tcPr>
            <w:tcW w:w="5" w:type="pct"/>
            <w:shd w:val="clear" w:color="auto" w:fill="auto"/>
            <w:vAlign w:val="bottom"/>
          </w:tcPr>
          <w:p w14:paraId="5F2CE7AC" w14:textId="77777777" w:rsidR="00E836FB" w:rsidRDefault="00E836FB">
            <w:pPr>
              <w:rPr>
                <w:rFonts w:ascii="宋体"/>
              </w:rPr>
            </w:pPr>
          </w:p>
        </w:tc>
        <w:tc>
          <w:tcPr>
            <w:tcW w:w="50" w:type="pct"/>
            <w:shd w:val="clear" w:color="auto" w:fill="auto"/>
            <w:vAlign w:val="bottom"/>
          </w:tcPr>
          <w:p w14:paraId="5F2CE7AD" w14:textId="77777777" w:rsidR="00E836FB" w:rsidRDefault="00E836FB">
            <w:pPr>
              <w:rPr>
                <w:rFonts w:ascii="宋体"/>
              </w:rPr>
            </w:pPr>
          </w:p>
        </w:tc>
        <w:tc>
          <w:tcPr>
            <w:tcW w:w="566" w:type="pct"/>
            <w:shd w:val="clear" w:color="auto" w:fill="auto"/>
            <w:vAlign w:val="bottom"/>
          </w:tcPr>
          <w:p w14:paraId="5F2CE7AE" w14:textId="77777777" w:rsidR="00E836FB" w:rsidRDefault="00E836FB">
            <w:pPr>
              <w:rPr>
                <w:rFonts w:ascii="宋体"/>
              </w:rPr>
            </w:pPr>
          </w:p>
        </w:tc>
        <w:tc>
          <w:tcPr>
            <w:tcW w:w="5" w:type="pct"/>
            <w:shd w:val="clear" w:color="auto" w:fill="auto"/>
            <w:vAlign w:val="bottom"/>
          </w:tcPr>
          <w:p w14:paraId="5F2CE7AF" w14:textId="77777777" w:rsidR="00E836FB" w:rsidRDefault="00E836FB">
            <w:pPr>
              <w:rPr>
                <w:rFonts w:ascii="宋体"/>
              </w:rPr>
            </w:pPr>
          </w:p>
        </w:tc>
      </w:tr>
      <w:tr w:rsidR="00E836FB" w14:paraId="5F2CE7D3" w14:textId="77777777">
        <w:trPr>
          <w:hidden/>
        </w:trPr>
        <w:tc>
          <w:tcPr>
            <w:tcW w:w="0" w:type="auto"/>
            <w:gridSpan w:val="3"/>
            <w:shd w:val="clear" w:color="auto" w:fill="auto"/>
            <w:vAlign w:val="bottom"/>
          </w:tcPr>
          <w:p w14:paraId="5F2CE7B1" w14:textId="77777777" w:rsidR="00E836FB" w:rsidRDefault="00E836FB">
            <w:pPr>
              <w:rPr>
                <w:rFonts w:ascii="宋体"/>
                <w:vanish/>
              </w:rPr>
            </w:pPr>
          </w:p>
        </w:tc>
        <w:tc>
          <w:tcPr>
            <w:tcW w:w="0" w:type="auto"/>
            <w:shd w:val="clear" w:color="auto" w:fill="auto"/>
            <w:vAlign w:val="bottom"/>
          </w:tcPr>
          <w:p w14:paraId="5F2CE7B2" w14:textId="77777777" w:rsidR="00E836FB" w:rsidRDefault="00E836FB">
            <w:pPr>
              <w:rPr>
                <w:rFonts w:ascii="宋体"/>
              </w:rPr>
            </w:pPr>
          </w:p>
        </w:tc>
        <w:tc>
          <w:tcPr>
            <w:tcW w:w="0" w:type="auto"/>
            <w:shd w:val="clear" w:color="auto" w:fill="auto"/>
            <w:vAlign w:val="bottom"/>
          </w:tcPr>
          <w:p w14:paraId="5F2CE7B3" w14:textId="77777777" w:rsidR="00E836FB" w:rsidRDefault="00E836FB">
            <w:pPr>
              <w:rPr>
                <w:rFonts w:ascii="宋体"/>
              </w:rPr>
            </w:pPr>
          </w:p>
        </w:tc>
        <w:tc>
          <w:tcPr>
            <w:tcW w:w="0" w:type="auto"/>
            <w:shd w:val="clear" w:color="auto" w:fill="auto"/>
            <w:vAlign w:val="bottom"/>
          </w:tcPr>
          <w:p w14:paraId="5F2CE7B4" w14:textId="77777777" w:rsidR="00E836FB" w:rsidRDefault="00E836FB">
            <w:pPr>
              <w:rPr>
                <w:rFonts w:ascii="宋体"/>
              </w:rPr>
            </w:pPr>
          </w:p>
        </w:tc>
        <w:tc>
          <w:tcPr>
            <w:tcW w:w="0" w:type="auto"/>
            <w:shd w:val="clear" w:color="auto" w:fill="auto"/>
            <w:vAlign w:val="bottom"/>
          </w:tcPr>
          <w:p w14:paraId="5F2CE7B5" w14:textId="77777777" w:rsidR="00E836FB" w:rsidRDefault="00E836FB">
            <w:pPr>
              <w:rPr>
                <w:rFonts w:ascii="宋体"/>
              </w:rPr>
            </w:pPr>
          </w:p>
        </w:tc>
        <w:tc>
          <w:tcPr>
            <w:tcW w:w="0" w:type="auto"/>
            <w:shd w:val="clear" w:color="auto" w:fill="auto"/>
            <w:vAlign w:val="bottom"/>
          </w:tcPr>
          <w:p w14:paraId="5F2CE7B6" w14:textId="77777777" w:rsidR="00E836FB" w:rsidRDefault="00E836FB">
            <w:pPr>
              <w:rPr>
                <w:rFonts w:ascii="宋体"/>
              </w:rPr>
            </w:pPr>
          </w:p>
        </w:tc>
        <w:tc>
          <w:tcPr>
            <w:tcW w:w="0" w:type="auto"/>
            <w:shd w:val="clear" w:color="auto" w:fill="auto"/>
            <w:vAlign w:val="bottom"/>
          </w:tcPr>
          <w:p w14:paraId="5F2CE7B7" w14:textId="77777777" w:rsidR="00E836FB" w:rsidRDefault="00E836FB">
            <w:pPr>
              <w:rPr>
                <w:rFonts w:ascii="宋体"/>
              </w:rPr>
            </w:pPr>
          </w:p>
        </w:tc>
        <w:tc>
          <w:tcPr>
            <w:tcW w:w="0" w:type="auto"/>
            <w:shd w:val="clear" w:color="auto" w:fill="auto"/>
            <w:vAlign w:val="bottom"/>
          </w:tcPr>
          <w:p w14:paraId="5F2CE7B8" w14:textId="77777777" w:rsidR="00E836FB" w:rsidRDefault="00E836FB">
            <w:pPr>
              <w:rPr>
                <w:rFonts w:ascii="宋体"/>
              </w:rPr>
            </w:pPr>
          </w:p>
        </w:tc>
        <w:tc>
          <w:tcPr>
            <w:tcW w:w="0" w:type="auto"/>
            <w:shd w:val="clear" w:color="auto" w:fill="auto"/>
            <w:vAlign w:val="bottom"/>
          </w:tcPr>
          <w:p w14:paraId="5F2CE7B9" w14:textId="77777777" w:rsidR="00E836FB" w:rsidRDefault="00E836FB">
            <w:pPr>
              <w:rPr>
                <w:rFonts w:ascii="宋体"/>
              </w:rPr>
            </w:pPr>
          </w:p>
        </w:tc>
        <w:tc>
          <w:tcPr>
            <w:tcW w:w="0" w:type="auto"/>
            <w:shd w:val="clear" w:color="auto" w:fill="auto"/>
            <w:vAlign w:val="bottom"/>
          </w:tcPr>
          <w:p w14:paraId="5F2CE7BA" w14:textId="77777777" w:rsidR="00E836FB" w:rsidRDefault="00E836FB">
            <w:pPr>
              <w:rPr>
                <w:rFonts w:ascii="宋体"/>
              </w:rPr>
            </w:pPr>
          </w:p>
        </w:tc>
        <w:tc>
          <w:tcPr>
            <w:tcW w:w="0" w:type="auto"/>
            <w:shd w:val="clear" w:color="auto" w:fill="auto"/>
            <w:vAlign w:val="bottom"/>
          </w:tcPr>
          <w:p w14:paraId="5F2CE7BB" w14:textId="77777777" w:rsidR="00E836FB" w:rsidRDefault="00E836FB">
            <w:pPr>
              <w:rPr>
                <w:rFonts w:ascii="宋体"/>
              </w:rPr>
            </w:pPr>
          </w:p>
        </w:tc>
        <w:tc>
          <w:tcPr>
            <w:tcW w:w="0" w:type="auto"/>
            <w:shd w:val="clear" w:color="auto" w:fill="auto"/>
            <w:vAlign w:val="bottom"/>
          </w:tcPr>
          <w:p w14:paraId="5F2CE7BC" w14:textId="77777777" w:rsidR="00E836FB" w:rsidRDefault="00E836FB">
            <w:pPr>
              <w:rPr>
                <w:rFonts w:ascii="宋体"/>
              </w:rPr>
            </w:pPr>
          </w:p>
        </w:tc>
        <w:tc>
          <w:tcPr>
            <w:tcW w:w="0" w:type="auto"/>
            <w:shd w:val="clear" w:color="auto" w:fill="auto"/>
            <w:vAlign w:val="bottom"/>
          </w:tcPr>
          <w:p w14:paraId="5F2CE7BD" w14:textId="77777777" w:rsidR="00E836FB" w:rsidRDefault="00E836FB">
            <w:pPr>
              <w:rPr>
                <w:rFonts w:ascii="宋体"/>
              </w:rPr>
            </w:pPr>
          </w:p>
        </w:tc>
        <w:tc>
          <w:tcPr>
            <w:tcW w:w="0" w:type="auto"/>
            <w:shd w:val="clear" w:color="auto" w:fill="auto"/>
            <w:vAlign w:val="bottom"/>
          </w:tcPr>
          <w:p w14:paraId="5F2CE7BE" w14:textId="77777777" w:rsidR="00E836FB" w:rsidRDefault="00E836FB">
            <w:pPr>
              <w:rPr>
                <w:rFonts w:ascii="宋体"/>
              </w:rPr>
            </w:pPr>
          </w:p>
        </w:tc>
        <w:tc>
          <w:tcPr>
            <w:tcW w:w="0" w:type="auto"/>
            <w:shd w:val="clear" w:color="auto" w:fill="auto"/>
            <w:vAlign w:val="bottom"/>
          </w:tcPr>
          <w:p w14:paraId="5F2CE7BF" w14:textId="77777777" w:rsidR="00E836FB" w:rsidRDefault="00E836FB">
            <w:pPr>
              <w:rPr>
                <w:rFonts w:ascii="宋体"/>
              </w:rPr>
            </w:pPr>
          </w:p>
        </w:tc>
        <w:tc>
          <w:tcPr>
            <w:tcW w:w="0" w:type="auto"/>
            <w:shd w:val="clear" w:color="auto" w:fill="auto"/>
            <w:vAlign w:val="bottom"/>
          </w:tcPr>
          <w:p w14:paraId="5F2CE7C0" w14:textId="77777777" w:rsidR="00E836FB" w:rsidRDefault="00E836FB">
            <w:pPr>
              <w:rPr>
                <w:rFonts w:ascii="宋体"/>
              </w:rPr>
            </w:pPr>
          </w:p>
        </w:tc>
        <w:tc>
          <w:tcPr>
            <w:tcW w:w="0" w:type="auto"/>
            <w:shd w:val="clear" w:color="auto" w:fill="auto"/>
            <w:vAlign w:val="bottom"/>
          </w:tcPr>
          <w:p w14:paraId="5F2CE7C1" w14:textId="77777777" w:rsidR="00E836FB" w:rsidRDefault="00E836FB">
            <w:pPr>
              <w:rPr>
                <w:rFonts w:ascii="宋体"/>
              </w:rPr>
            </w:pPr>
          </w:p>
        </w:tc>
        <w:tc>
          <w:tcPr>
            <w:tcW w:w="0" w:type="auto"/>
            <w:shd w:val="clear" w:color="auto" w:fill="auto"/>
            <w:vAlign w:val="bottom"/>
          </w:tcPr>
          <w:p w14:paraId="5F2CE7C2" w14:textId="77777777" w:rsidR="00E836FB" w:rsidRDefault="00E836FB">
            <w:pPr>
              <w:rPr>
                <w:rFonts w:ascii="宋体"/>
              </w:rPr>
            </w:pPr>
          </w:p>
        </w:tc>
        <w:tc>
          <w:tcPr>
            <w:tcW w:w="0" w:type="auto"/>
            <w:shd w:val="clear" w:color="auto" w:fill="auto"/>
            <w:vAlign w:val="bottom"/>
          </w:tcPr>
          <w:p w14:paraId="5F2CE7C3" w14:textId="77777777" w:rsidR="00E836FB" w:rsidRDefault="00E836FB">
            <w:pPr>
              <w:rPr>
                <w:rFonts w:ascii="宋体"/>
              </w:rPr>
            </w:pPr>
          </w:p>
        </w:tc>
        <w:tc>
          <w:tcPr>
            <w:tcW w:w="0" w:type="auto"/>
            <w:shd w:val="clear" w:color="auto" w:fill="auto"/>
            <w:vAlign w:val="bottom"/>
          </w:tcPr>
          <w:p w14:paraId="5F2CE7C4" w14:textId="77777777" w:rsidR="00E836FB" w:rsidRDefault="00E836FB">
            <w:pPr>
              <w:rPr>
                <w:rFonts w:ascii="宋体"/>
              </w:rPr>
            </w:pPr>
          </w:p>
        </w:tc>
        <w:tc>
          <w:tcPr>
            <w:tcW w:w="0" w:type="auto"/>
            <w:shd w:val="clear" w:color="auto" w:fill="auto"/>
            <w:vAlign w:val="bottom"/>
          </w:tcPr>
          <w:p w14:paraId="5F2CE7C5" w14:textId="77777777" w:rsidR="00E836FB" w:rsidRDefault="00E836FB">
            <w:pPr>
              <w:rPr>
                <w:rFonts w:ascii="宋体"/>
              </w:rPr>
            </w:pPr>
          </w:p>
        </w:tc>
        <w:tc>
          <w:tcPr>
            <w:tcW w:w="0" w:type="auto"/>
            <w:shd w:val="clear" w:color="auto" w:fill="auto"/>
            <w:vAlign w:val="bottom"/>
          </w:tcPr>
          <w:p w14:paraId="5F2CE7C6" w14:textId="77777777" w:rsidR="00E836FB" w:rsidRDefault="00E836FB">
            <w:pPr>
              <w:rPr>
                <w:rFonts w:ascii="宋体"/>
              </w:rPr>
            </w:pPr>
          </w:p>
        </w:tc>
        <w:tc>
          <w:tcPr>
            <w:tcW w:w="0" w:type="auto"/>
            <w:shd w:val="clear" w:color="auto" w:fill="auto"/>
            <w:vAlign w:val="bottom"/>
          </w:tcPr>
          <w:p w14:paraId="5F2CE7C7" w14:textId="77777777" w:rsidR="00E836FB" w:rsidRDefault="00E836FB">
            <w:pPr>
              <w:rPr>
                <w:rFonts w:ascii="宋体"/>
              </w:rPr>
            </w:pPr>
          </w:p>
        </w:tc>
        <w:tc>
          <w:tcPr>
            <w:tcW w:w="0" w:type="auto"/>
            <w:shd w:val="clear" w:color="auto" w:fill="auto"/>
            <w:vAlign w:val="bottom"/>
          </w:tcPr>
          <w:p w14:paraId="5F2CE7C8" w14:textId="77777777" w:rsidR="00E836FB" w:rsidRDefault="00E836FB">
            <w:pPr>
              <w:rPr>
                <w:rFonts w:ascii="宋体"/>
              </w:rPr>
            </w:pPr>
          </w:p>
        </w:tc>
        <w:tc>
          <w:tcPr>
            <w:tcW w:w="0" w:type="auto"/>
            <w:shd w:val="clear" w:color="auto" w:fill="auto"/>
            <w:vAlign w:val="bottom"/>
          </w:tcPr>
          <w:p w14:paraId="5F2CE7C9" w14:textId="77777777" w:rsidR="00E836FB" w:rsidRDefault="00E836FB">
            <w:pPr>
              <w:rPr>
                <w:rFonts w:ascii="宋体"/>
              </w:rPr>
            </w:pPr>
          </w:p>
        </w:tc>
        <w:tc>
          <w:tcPr>
            <w:tcW w:w="0" w:type="auto"/>
            <w:shd w:val="clear" w:color="auto" w:fill="auto"/>
            <w:vAlign w:val="bottom"/>
          </w:tcPr>
          <w:p w14:paraId="5F2CE7CA" w14:textId="77777777" w:rsidR="00E836FB" w:rsidRDefault="00E836FB">
            <w:pPr>
              <w:rPr>
                <w:rFonts w:ascii="宋体"/>
              </w:rPr>
            </w:pPr>
          </w:p>
        </w:tc>
        <w:tc>
          <w:tcPr>
            <w:tcW w:w="0" w:type="auto"/>
            <w:shd w:val="clear" w:color="auto" w:fill="auto"/>
            <w:vAlign w:val="bottom"/>
          </w:tcPr>
          <w:p w14:paraId="5F2CE7CB" w14:textId="77777777" w:rsidR="00E836FB" w:rsidRDefault="00E836FB">
            <w:pPr>
              <w:rPr>
                <w:rFonts w:ascii="宋体"/>
              </w:rPr>
            </w:pPr>
          </w:p>
        </w:tc>
        <w:tc>
          <w:tcPr>
            <w:tcW w:w="0" w:type="auto"/>
            <w:shd w:val="clear" w:color="auto" w:fill="auto"/>
            <w:vAlign w:val="bottom"/>
          </w:tcPr>
          <w:p w14:paraId="5F2CE7CC" w14:textId="77777777" w:rsidR="00E836FB" w:rsidRDefault="00E836FB">
            <w:pPr>
              <w:rPr>
                <w:rFonts w:ascii="宋体"/>
              </w:rPr>
            </w:pPr>
          </w:p>
        </w:tc>
        <w:tc>
          <w:tcPr>
            <w:tcW w:w="0" w:type="auto"/>
            <w:shd w:val="clear" w:color="auto" w:fill="auto"/>
            <w:vAlign w:val="bottom"/>
          </w:tcPr>
          <w:p w14:paraId="5F2CE7CD" w14:textId="77777777" w:rsidR="00E836FB" w:rsidRDefault="00E836FB">
            <w:pPr>
              <w:rPr>
                <w:rFonts w:ascii="宋体"/>
              </w:rPr>
            </w:pPr>
          </w:p>
        </w:tc>
        <w:tc>
          <w:tcPr>
            <w:tcW w:w="0" w:type="auto"/>
            <w:shd w:val="clear" w:color="auto" w:fill="auto"/>
            <w:vAlign w:val="bottom"/>
          </w:tcPr>
          <w:p w14:paraId="5F2CE7CE" w14:textId="77777777" w:rsidR="00E836FB" w:rsidRDefault="00E836FB">
            <w:pPr>
              <w:rPr>
                <w:rFonts w:ascii="宋体"/>
              </w:rPr>
            </w:pPr>
          </w:p>
        </w:tc>
        <w:tc>
          <w:tcPr>
            <w:tcW w:w="0" w:type="auto"/>
            <w:shd w:val="clear" w:color="auto" w:fill="auto"/>
            <w:vAlign w:val="bottom"/>
          </w:tcPr>
          <w:p w14:paraId="5F2CE7CF" w14:textId="77777777" w:rsidR="00E836FB" w:rsidRDefault="00E836FB">
            <w:pPr>
              <w:rPr>
                <w:rFonts w:ascii="宋体"/>
              </w:rPr>
            </w:pPr>
          </w:p>
        </w:tc>
        <w:tc>
          <w:tcPr>
            <w:tcW w:w="0" w:type="auto"/>
            <w:shd w:val="clear" w:color="auto" w:fill="auto"/>
            <w:vAlign w:val="bottom"/>
          </w:tcPr>
          <w:p w14:paraId="5F2CE7D0" w14:textId="77777777" w:rsidR="00E836FB" w:rsidRDefault="00E836FB">
            <w:pPr>
              <w:rPr>
                <w:rFonts w:ascii="宋体"/>
              </w:rPr>
            </w:pPr>
          </w:p>
        </w:tc>
        <w:tc>
          <w:tcPr>
            <w:tcW w:w="0" w:type="auto"/>
            <w:shd w:val="clear" w:color="auto" w:fill="auto"/>
            <w:vAlign w:val="bottom"/>
          </w:tcPr>
          <w:p w14:paraId="5F2CE7D1" w14:textId="77777777" w:rsidR="00E836FB" w:rsidRDefault="00E836FB">
            <w:pPr>
              <w:rPr>
                <w:rFonts w:ascii="宋体"/>
              </w:rPr>
            </w:pPr>
          </w:p>
        </w:tc>
        <w:tc>
          <w:tcPr>
            <w:tcW w:w="0" w:type="auto"/>
            <w:shd w:val="clear" w:color="auto" w:fill="auto"/>
            <w:vAlign w:val="bottom"/>
          </w:tcPr>
          <w:p w14:paraId="5F2CE7D2" w14:textId="77777777" w:rsidR="00E836FB" w:rsidRDefault="00E836FB">
            <w:pPr>
              <w:rPr>
                <w:rFonts w:ascii="宋体"/>
              </w:rPr>
            </w:pPr>
          </w:p>
        </w:tc>
      </w:tr>
      <w:tr w:rsidR="00E836FB" w14:paraId="5F2CE7F4" w14:textId="77777777">
        <w:trPr>
          <w:hidden/>
        </w:trPr>
        <w:tc>
          <w:tcPr>
            <w:tcW w:w="0" w:type="auto"/>
            <w:gridSpan w:val="3"/>
            <w:shd w:val="clear" w:color="auto" w:fill="auto"/>
            <w:vAlign w:val="bottom"/>
          </w:tcPr>
          <w:p w14:paraId="5F2CE7D4" w14:textId="77777777" w:rsidR="00E836FB" w:rsidRDefault="00E836FB">
            <w:pPr>
              <w:rPr>
                <w:rFonts w:ascii="宋体"/>
                <w:vanish/>
              </w:rPr>
            </w:pPr>
          </w:p>
        </w:tc>
        <w:tc>
          <w:tcPr>
            <w:tcW w:w="0" w:type="auto"/>
            <w:gridSpan w:val="3"/>
            <w:shd w:val="clear" w:color="auto" w:fill="auto"/>
            <w:vAlign w:val="bottom"/>
          </w:tcPr>
          <w:p w14:paraId="5F2CE7D5" w14:textId="77777777" w:rsidR="00E836FB" w:rsidRDefault="00E836FB">
            <w:pPr>
              <w:rPr>
                <w:rFonts w:ascii="宋体"/>
                <w:vanish/>
              </w:rPr>
            </w:pPr>
          </w:p>
        </w:tc>
        <w:tc>
          <w:tcPr>
            <w:tcW w:w="0" w:type="auto"/>
            <w:shd w:val="clear" w:color="auto" w:fill="auto"/>
            <w:vAlign w:val="bottom"/>
          </w:tcPr>
          <w:p w14:paraId="5F2CE7D6" w14:textId="77777777" w:rsidR="00E836FB" w:rsidRDefault="00E836FB">
            <w:pPr>
              <w:rPr>
                <w:rFonts w:ascii="宋体"/>
              </w:rPr>
            </w:pPr>
          </w:p>
        </w:tc>
        <w:tc>
          <w:tcPr>
            <w:tcW w:w="0" w:type="auto"/>
            <w:shd w:val="clear" w:color="auto" w:fill="auto"/>
            <w:vAlign w:val="bottom"/>
          </w:tcPr>
          <w:p w14:paraId="5F2CE7D7" w14:textId="77777777" w:rsidR="00E836FB" w:rsidRDefault="00E836FB">
            <w:pPr>
              <w:rPr>
                <w:rFonts w:ascii="宋体"/>
              </w:rPr>
            </w:pPr>
          </w:p>
        </w:tc>
        <w:tc>
          <w:tcPr>
            <w:tcW w:w="0" w:type="auto"/>
            <w:shd w:val="clear" w:color="auto" w:fill="auto"/>
            <w:vAlign w:val="bottom"/>
          </w:tcPr>
          <w:p w14:paraId="5F2CE7D8" w14:textId="77777777" w:rsidR="00E836FB" w:rsidRDefault="00E836FB">
            <w:pPr>
              <w:rPr>
                <w:rFonts w:ascii="宋体"/>
              </w:rPr>
            </w:pPr>
          </w:p>
        </w:tc>
        <w:tc>
          <w:tcPr>
            <w:tcW w:w="0" w:type="auto"/>
            <w:shd w:val="clear" w:color="auto" w:fill="auto"/>
            <w:vAlign w:val="bottom"/>
          </w:tcPr>
          <w:p w14:paraId="5F2CE7D9" w14:textId="77777777" w:rsidR="00E836FB" w:rsidRDefault="00E836FB">
            <w:pPr>
              <w:rPr>
                <w:rFonts w:ascii="宋体"/>
              </w:rPr>
            </w:pPr>
          </w:p>
        </w:tc>
        <w:tc>
          <w:tcPr>
            <w:tcW w:w="0" w:type="auto"/>
            <w:shd w:val="clear" w:color="auto" w:fill="auto"/>
            <w:vAlign w:val="bottom"/>
          </w:tcPr>
          <w:p w14:paraId="5F2CE7DA" w14:textId="77777777" w:rsidR="00E836FB" w:rsidRDefault="00E836FB">
            <w:pPr>
              <w:rPr>
                <w:rFonts w:ascii="宋体"/>
              </w:rPr>
            </w:pPr>
          </w:p>
        </w:tc>
        <w:tc>
          <w:tcPr>
            <w:tcW w:w="0" w:type="auto"/>
            <w:shd w:val="clear" w:color="auto" w:fill="auto"/>
            <w:vAlign w:val="bottom"/>
          </w:tcPr>
          <w:p w14:paraId="5F2CE7DB" w14:textId="77777777" w:rsidR="00E836FB" w:rsidRDefault="00E836FB">
            <w:pPr>
              <w:rPr>
                <w:rFonts w:ascii="宋体"/>
              </w:rPr>
            </w:pPr>
          </w:p>
        </w:tc>
        <w:tc>
          <w:tcPr>
            <w:tcW w:w="0" w:type="auto"/>
            <w:shd w:val="clear" w:color="auto" w:fill="auto"/>
            <w:vAlign w:val="bottom"/>
          </w:tcPr>
          <w:p w14:paraId="5F2CE7DC" w14:textId="77777777" w:rsidR="00E836FB" w:rsidRDefault="00E836FB">
            <w:pPr>
              <w:rPr>
                <w:rFonts w:ascii="宋体"/>
              </w:rPr>
            </w:pPr>
          </w:p>
        </w:tc>
        <w:tc>
          <w:tcPr>
            <w:tcW w:w="0" w:type="auto"/>
            <w:shd w:val="clear" w:color="auto" w:fill="auto"/>
            <w:vAlign w:val="bottom"/>
          </w:tcPr>
          <w:p w14:paraId="5F2CE7DD" w14:textId="77777777" w:rsidR="00E836FB" w:rsidRDefault="00E836FB">
            <w:pPr>
              <w:rPr>
                <w:rFonts w:ascii="宋体"/>
              </w:rPr>
            </w:pPr>
          </w:p>
        </w:tc>
        <w:tc>
          <w:tcPr>
            <w:tcW w:w="0" w:type="auto"/>
            <w:shd w:val="clear" w:color="auto" w:fill="auto"/>
            <w:vAlign w:val="bottom"/>
          </w:tcPr>
          <w:p w14:paraId="5F2CE7DE" w14:textId="77777777" w:rsidR="00E836FB" w:rsidRDefault="00E836FB">
            <w:pPr>
              <w:rPr>
                <w:rFonts w:ascii="宋体"/>
              </w:rPr>
            </w:pPr>
          </w:p>
        </w:tc>
        <w:tc>
          <w:tcPr>
            <w:tcW w:w="0" w:type="auto"/>
            <w:shd w:val="clear" w:color="auto" w:fill="auto"/>
            <w:vAlign w:val="bottom"/>
          </w:tcPr>
          <w:p w14:paraId="5F2CE7DF" w14:textId="77777777" w:rsidR="00E836FB" w:rsidRDefault="00E836FB">
            <w:pPr>
              <w:rPr>
                <w:rFonts w:ascii="宋体"/>
              </w:rPr>
            </w:pPr>
          </w:p>
        </w:tc>
        <w:tc>
          <w:tcPr>
            <w:tcW w:w="0" w:type="auto"/>
            <w:shd w:val="clear" w:color="auto" w:fill="auto"/>
            <w:vAlign w:val="bottom"/>
          </w:tcPr>
          <w:p w14:paraId="5F2CE7E0" w14:textId="77777777" w:rsidR="00E836FB" w:rsidRDefault="00E836FB">
            <w:pPr>
              <w:rPr>
                <w:rFonts w:ascii="宋体"/>
              </w:rPr>
            </w:pPr>
          </w:p>
        </w:tc>
        <w:tc>
          <w:tcPr>
            <w:tcW w:w="0" w:type="auto"/>
            <w:shd w:val="clear" w:color="auto" w:fill="auto"/>
            <w:vAlign w:val="bottom"/>
          </w:tcPr>
          <w:p w14:paraId="5F2CE7E1" w14:textId="77777777" w:rsidR="00E836FB" w:rsidRDefault="00E836FB">
            <w:pPr>
              <w:rPr>
                <w:rFonts w:ascii="宋体"/>
              </w:rPr>
            </w:pPr>
          </w:p>
        </w:tc>
        <w:tc>
          <w:tcPr>
            <w:tcW w:w="0" w:type="auto"/>
            <w:shd w:val="clear" w:color="auto" w:fill="auto"/>
            <w:vAlign w:val="bottom"/>
          </w:tcPr>
          <w:p w14:paraId="5F2CE7E2" w14:textId="77777777" w:rsidR="00E836FB" w:rsidRDefault="00E836FB">
            <w:pPr>
              <w:rPr>
                <w:rFonts w:ascii="宋体"/>
              </w:rPr>
            </w:pPr>
          </w:p>
        </w:tc>
        <w:tc>
          <w:tcPr>
            <w:tcW w:w="0" w:type="auto"/>
            <w:shd w:val="clear" w:color="auto" w:fill="auto"/>
            <w:vAlign w:val="bottom"/>
          </w:tcPr>
          <w:p w14:paraId="5F2CE7E3" w14:textId="77777777" w:rsidR="00E836FB" w:rsidRDefault="00E836FB">
            <w:pPr>
              <w:rPr>
                <w:rFonts w:ascii="宋体"/>
              </w:rPr>
            </w:pPr>
          </w:p>
        </w:tc>
        <w:tc>
          <w:tcPr>
            <w:tcW w:w="0" w:type="auto"/>
            <w:shd w:val="clear" w:color="auto" w:fill="auto"/>
            <w:vAlign w:val="bottom"/>
          </w:tcPr>
          <w:p w14:paraId="5F2CE7E4" w14:textId="77777777" w:rsidR="00E836FB" w:rsidRDefault="00E836FB">
            <w:pPr>
              <w:rPr>
                <w:rFonts w:ascii="宋体"/>
              </w:rPr>
            </w:pPr>
          </w:p>
        </w:tc>
        <w:tc>
          <w:tcPr>
            <w:tcW w:w="0" w:type="auto"/>
            <w:shd w:val="clear" w:color="auto" w:fill="auto"/>
            <w:vAlign w:val="bottom"/>
          </w:tcPr>
          <w:p w14:paraId="5F2CE7E5" w14:textId="77777777" w:rsidR="00E836FB" w:rsidRDefault="00E836FB">
            <w:pPr>
              <w:rPr>
                <w:rFonts w:ascii="宋体"/>
              </w:rPr>
            </w:pPr>
          </w:p>
        </w:tc>
        <w:tc>
          <w:tcPr>
            <w:tcW w:w="0" w:type="auto"/>
            <w:shd w:val="clear" w:color="auto" w:fill="auto"/>
            <w:vAlign w:val="bottom"/>
          </w:tcPr>
          <w:p w14:paraId="5F2CE7E6" w14:textId="77777777" w:rsidR="00E836FB" w:rsidRDefault="00E836FB">
            <w:pPr>
              <w:rPr>
                <w:rFonts w:ascii="宋体"/>
              </w:rPr>
            </w:pPr>
          </w:p>
        </w:tc>
        <w:tc>
          <w:tcPr>
            <w:tcW w:w="0" w:type="auto"/>
            <w:shd w:val="clear" w:color="auto" w:fill="auto"/>
            <w:vAlign w:val="bottom"/>
          </w:tcPr>
          <w:p w14:paraId="5F2CE7E7" w14:textId="77777777" w:rsidR="00E836FB" w:rsidRDefault="00E836FB">
            <w:pPr>
              <w:rPr>
                <w:rFonts w:ascii="宋体"/>
              </w:rPr>
            </w:pPr>
          </w:p>
        </w:tc>
        <w:tc>
          <w:tcPr>
            <w:tcW w:w="0" w:type="auto"/>
            <w:shd w:val="clear" w:color="auto" w:fill="auto"/>
            <w:vAlign w:val="bottom"/>
          </w:tcPr>
          <w:p w14:paraId="5F2CE7E8" w14:textId="77777777" w:rsidR="00E836FB" w:rsidRDefault="00E836FB">
            <w:pPr>
              <w:rPr>
                <w:rFonts w:ascii="宋体"/>
              </w:rPr>
            </w:pPr>
          </w:p>
        </w:tc>
        <w:tc>
          <w:tcPr>
            <w:tcW w:w="0" w:type="auto"/>
            <w:shd w:val="clear" w:color="auto" w:fill="auto"/>
            <w:vAlign w:val="bottom"/>
          </w:tcPr>
          <w:p w14:paraId="5F2CE7E9" w14:textId="77777777" w:rsidR="00E836FB" w:rsidRDefault="00E836FB">
            <w:pPr>
              <w:rPr>
                <w:rFonts w:ascii="宋体"/>
              </w:rPr>
            </w:pPr>
          </w:p>
        </w:tc>
        <w:tc>
          <w:tcPr>
            <w:tcW w:w="0" w:type="auto"/>
            <w:shd w:val="clear" w:color="auto" w:fill="auto"/>
            <w:vAlign w:val="bottom"/>
          </w:tcPr>
          <w:p w14:paraId="5F2CE7EA" w14:textId="77777777" w:rsidR="00E836FB" w:rsidRDefault="00E836FB">
            <w:pPr>
              <w:rPr>
                <w:rFonts w:ascii="宋体"/>
              </w:rPr>
            </w:pPr>
          </w:p>
        </w:tc>
        <w:tc>
          <w:tcPr>
            <w:tcW w:w="0" w:type="auto"/>
            <w:shd w:val="clear" w:color="auto" w:fill="auto"/>
            <w:vAlign w:val="bottom"/>
          </w:tcPr>
          <w:p w14:paraId="5F2CE7EB" w14:textId="77777777" w:rsidR="00E836FB" w:rsidRDefault="00E836FB">
            <w:pPr>
              <w:rPr>
                <w:rFonts w:ascii="宋体"/>
              </w:rPr>
            </w:pPr>
          </w:p>
        </w:tc>
        <w:tc>
          <w:tcPr>
            <w:tcW w:w="0" w:type="auto"/>
            <w:shd w:val="clear" w:color="auto" w:fill="auto"/>
            <w:vAlign w:val="bottom"/>
          </w:tcPr>
          <w:p w14:paraId="5F2CE7EC" w14:textId="77777777" w:rsidR="00E836FB" w:rsidRDefault="00E836FB">
            <w:pPr>
              <w:rPr>
                <w:rFonts w:ascii="宋体"/>
              </w:rPr>
            </w:pPr>
          </w:p>
        </w:tc>
        <w:tc>
          <w:tcPr>
            <w:tcW w:w="0" w:type="auto"/>
            <w:shd w:val="clear" w:color="auto" w:fill="auto"/>
            <w:vAlign w:val="bottom"/>
          </w:tcPr>
          <w:p w14:paraId="5F2CE7ED" w14:textId="77777777" w:rsidR="00E836FB" w:rsidRDefault="00E836FB">
            <w:pPr>
              <w:rPr>
                <w:rFonts w:ascii="宋体"/>
              </w:rPr>
            </w:pPr>
          </w:p>
        </w:tc>
        <w:tc>
          <w:tcPr>
            <w:tcW w:w="0" w:type="auto"/>
            <w:shd w:val="clear" w:color="auto" w:fill="auto"/>
            <w:vAlign w:val="bottom"/>
          </w:tcPr>
          <w:p w14:paraId="5F2CE7EE" w14:textId="77777777" w:rsidR="00E836FB" w:rsidRDefault="00E836FB">
            <w:pPr>
              <w:rPr>
                <w:rFonts w:ascii="宋体"/>
              </w:rPr>
            </w:pPr>
          </w:p>
        </w:tc>
        <w:tc>
          <w:tcPr>
            <w:tcW w:w="0" w:type="auto"/>
            <w:shd w:val="clear" w:color="auto" w:fill="auto"/>
            <w:vAlign w:val="bottom"/>
          </w:tcPr>
          <w:p w14:paraId="5F2CE7EF" w14:textId="77777777" w:rsidR="00E836FB" w:rsidRDefault="00E836FB">
            <w:pPr>
              <w:rPr>
                <w:rFonts w:ascii="宋体"/>
              </w:rPr>
            </w:pPr>
          </w:p>
        </w:tc>
        <w:tc>
          <w:tcPr>
            <w:tcW w:w="0" w:type="auto"/>
            <w:shd w:val="clear" w:color="auto" w:fill="auto"/>
            <w:vAlign w:val="bottom"/>
          </w:tcPr>
          <w:p w14:paraId="5F2CE7F0" w14:textId="77777777" w:rsidR="00E836FB" w:rsidRDefault="00E836FB">
            <w:pPr>
              <w:rPr>
                <w:rFonts w:ascii="宋体"/>
              </w:rPr>
            </w:pPr>
          </w:p>
        </w:tc>
        <w:tc>
          <w:tcPr>
            <w:tcW w:w="0" w:type="auto"/>
            <w:shd w:val="clear" w:color="auto" w:fill="auto"/>
            <w:vAlign w:val="bottom"/>
          </w:tcPr>
          <w:p w14:paraId="5F2CE7F1" w14:textId="77777777" w:rsidR="00E836FB" w:rsidRDefault="00E836FB">
            <w:pPr>
              <w:rPr>
                <w:rFonts w:ascii="宋体"/>
              </w:rPr>
            </w:pPr>
          </w:p>
        </w:tc>
        <w:tc>
          <w:tcPr>
            <w:tcW w:w="0" w:type="auto"/>
            <w:shd w:val="clear" w:color="auto" w:fill="auto"/>
            <w:vAlign w:val="bottom"/>
          </w:tcPr>
          <w:p w14:paraId="5F2CE7F2" w14:textId="77777777" w:rsidR="00E836FB" w:rsidRDefault="00E836FB">
            <w:pPr>
              <w:rPr>
                <w:rFonts w:ascii="宋体"/>
              </w:rPr>
            </w:pPr>
          </w:p>
        </w:tc>
        <w:tc>
          <w:tcPr>
            <w:tcW w:w="0" w:type="auto"/>
            <w:shd w:val="clear" w:color="auto" w:fill="auto"/>
            <w:vAlign w:val="bottom"/>
          </w:tcPr>
          <w:p w14:paraId="5F2CE7F3" w14:textId="77777777" w:rsidR="00E836FB" w:rsidRDefault="00E836FB">
            <w:pPr>
              <w:rPr>
                <w:rFonts w:ascii="宋体"/>
              </w:rPr>
            </w:pPr>
          </w:p>
        </w:tc>
      </w:tr>
      <w:tr w:rsidR="00E836FB" w14:paraId="5F2CE811" w14:textId="77777777">
        <w:trPr>
          <w:hidden/>
        </w:trPr>
        <w:tc>
          <w:tcPr>
            <w:tcW w:w="0" w:type="auto"/>
            <w:gridSpan w:val="3"/>
            <w:shd w:val="clear" w:color="auto" w:fill="auto"/>
            <w:vAlign w:val="bottom"/>
          </w:tcPr>
          <w:p w14:paraId="5F2CE7F5" w14:textId="77777777" w:rsidR="00E836FB" w:rsidRDefault="00E836FB">
            <w:pPr>
              <w:rPr>
                <w:rFonts w:ascii="宋体"/>
                <w:vanish/>
              </w:rPr>
            </w:pPr>
          </w:p>
        </w:tc>
        <w:tc>
          <w:tcPr>
            <w:tcW w:w="0" w:type="auto"/>
            <w:gridSpan w:val="3"/>
            <w:shd w:val="clear" w:color="auto" w:fill="auto"/>
            <w:vAlign w:val="bottom"/>
          </w:tcPr>
          <w:p w14:paraId="5F2CE7F6" w14:textId="77777777" w:rsidR="00E836FB" w:rsidRDefault="00E836FB">
            <w:pPr>
              <w:rPr>
                <w:rFonts w:ascii="宋体"/>
                <w:vanish/>
              </w:rPr>
            </w:pPr>
          </w:p>
        </w:tc>
        <w:tc>
          <w:tcPr>
            <w:tcW w:w="0" w:type="auto"/>
            <w:gridSpan w:val="3"/>
            <w:shd w:val="clear" w:color="auto" w:fill="auto"/>
            <w:vAlign w:val="bottom"/>
          </w:tcPr>
          <w:p w14:paraId="5F2CE7F7" w14:textId="77777777" w:rsidR="00E836FB" w:rsidRDefault="00E836FB">
            <w:pPr>
              <w:rPr>
                <w:rFonts w:ascii="宋体"/>
                <w:vanish/>
              </w:rPr>
            </w:pPr>
          </w:p>
        </w:tc>
        <w:tc>
          <w:tcPr>
            <w:tcW w:w="0" w:type="auto"/>
            <w:gridSpan w:val="3"/>
            <w:shd w:val="clear" w:color="auto" w:fill="auto"/>
            <w:vAlign w:val="bottom"/>
          </w:tcPr>
          <w:p w14:paraId="5F2CE7F8" w14:textId="77777777" w:rsidR="00E836FB" w:rsidRDefault="00E836FB">
            <w:pPr>
              <w:rPr>
                <w:rFonts w:ascii="宋体"/>
                <w:vanish/>
              </w:rPr>
            </w:pPr>
          </w:p>
        </w:tc>
        <w:tc>
          <w:tcPr>
            <w:tcW w:w="0" w:type="auto"/>
            <w:shd w:val="clear" w:color="auto" w:fill="auto"/>
            <w:vAlign w:val="bottom"/>
          </w:tcPr>
          <w:p w14:paraId="5F2CE7F9" w14:textId="77777777" w:rsidR="00E836FB" w:rsidRDefault="00E836FB">
            <w:pPr>
              <w:rPr>
                <w:rFonts w:ascii="宋体"/>
              </w:rPr>
            </w:pPr>
          </w:p>
        </w:tc>
        <w:tc>
          <w:tcPr>
            <w:tcW w:w="0" w:type="auto"/>
            <w:shd w:val="clear" w:color="auto" w:fill="auto"/>
            <w:vAlign w:val="bottom"/>
          </w:tcPr>
          <w:p w14:paraId="5F2CE7FA" w14:textId="77777777" w:rsidR="00E836FB" w:rsidRDefault="00E836FB">
            <w:pPr>
              <w:rPr>
                <w:rFonts w:ascii="宋体"/>
              </w:rPr>
            </w:pPr>
          </w:p>
        </w:tc>
        <w:tc>
          <w:tcPr>
            <w:tcW w:w="0" w:type="auto"/>
            <w:shd w:val="clear" w:color="auto" w:fill="auto"/>
            <w:vAlign w:val="bottom"/>
          </w:tcPr>
          <w:p w14:paraId="5F2CE7FB" w14:textId="77777777" w:rsidR="00E836FB" w:rsidRDefault="00E836FB">
            <w:pPr>
              <w:rPr>
                <w:rFonts w:ascii="宋体"/>
              </w:rPr>
            </w:pPr>
          </w:p>
        </w:tc>
        <w:tc>
          <w:tcPr>
            <w:tcW w:w="0" w:type="auto"/>
            <w:shd w:val="clear" w:color="auto" w:fill="auto"/>
            <w:vAlign w:val="bottom"/>
          </w:tcPr>
          <w:p w14:paraId="5F2CE7FC" w14:textId="77777777" w:rsidR="00E836FB" w:rsidRDefault="00E836FB">
            <w:pPr>
              <w:rPr>
                <w:rFonts w:ascii="宋体"/>
              </w:rPr>
            </w:pPr>
          </w:p>
        </w:tc>
        <w:tc>
          <w:tcPr>
            <w:tcW w:w="0" w:type="auto"/>
            <w:shd w:val="clear" w:color="auto" w:fill="auto"/>
            <w:vAlign w:val="bottom"/>
          </w:tcPr>
          <w:p w14:paraId="5F2CE7FD" w14:textId="77777777" w:rsidR="00E836FB" w:rsidRDefault="00E836FB">
            <w:pPr>
              <w:rPr>
                <w:rFonts w:ascii="宋体"/>
              </w:rPr>
            </w:pPr>
          </w:p>
        </w:tc>
        <w:tc>
          <w:tcPr>
            <w:tcW w:w="0" w:type="auto"/>
            <w:shd w:val="clear" w:color="auto" w:fill="auto"/>
            <w:vAlign w:val="bottom"/>
          </w:tcPr>
          <w:p w14:paraId="5F2CE7FE" w14:textId="77777777" w:rsidR="00E836FB" w:rsidRDefault="00E836FB">
            <w:pPr>
              <w:rPr>
                <w:rFonts w:ascii="宋体"/>
              </w:rPr>
            </w:pPr>
          </w:p>
        </w:tc>
        <w:tc>
          <w:tcPr>
            <w:tcW w:w="0" w:type="auto"/>
            <w:shd w:val="clear" w:color="auto" w:fill="auto"/>
            <w:vAlign w:val="bottom"/>
          </w:tcPr>
          <w:p w14:paraId="5F2CE7FF" w14:textId="77777777" w:rsidR="00E836FB" w:rsidRDefault="00E836FB">
            <w:pPr>
              <w:rPr>
                <w:rFonts w:ascii="宋体"/>
              </w:rPr>
            </w:pPr>
          </w:p>
        </w:tc>
        <w:tc>
          <w:tcPr>
            <w:tcW w:w="0" w:type="auto"/>
            <w:shd w:val="clear" w:color="auto" w:fill="auto"/>
            <w:vAlign w:val="bottom"/>
          </w:tcPr>
          <w:p w14:paraId="5F2CE800" w14:textId="77777777" w:rsidR="00E836FB" w:rsidRDefault="00E836FB">
            <w:pPr>
              <w:rPr>
                <w:rFonts w:ascii="宋体"/>
              </w:rPr>
            </w:pPr>
          </w:p>
        </w:tc>
        <w:tc>
          <w:tcPr>
            <w:tcW w:w="0" w:type="auto"/>
            <w:shd w:val="clear" w:color="auto" w:fill="auto"/>
            <w:vAlign w:val="bottom"/>
          </w:tcPr>
          <w:p w14:paraId="5F2CE801" w14:textId="77777777" w:rsidR="00E836FB" w:rsidRDefault="00E836FB">
            <w:pPr>
              <w:rPr>
                <w:rFonts w:ascii="宋体"/>
              </w:rPr>
            </w:pPr>
          </w:p>
        </w:tc>
        <w:tc>
          <w:tcPr>
            <w:tcW w:w="0" w:type="auto"/>
            <w:shd w:val="clear" w:color="auto" w:fill="auto"/>
            <w:vAlign w:val="bottom"/>
          </w:tcPr>
          <w:p w14:paraId="5F2CE802" w14:textId="77777777" w:rsidR="00E836FB" w:rsidRDefault="00E836FB">
            <w:pPr>
              <w:rPr>
                <w:rFonts w:ascii="宋体"/>
              </w:rPr>
            </w:pPr>
          </w:p>
        </w:tc>
        <w:tc>
          <w:tcPr>
            <w:tcW w:w="0" w:type="auto"/>
            <w:shd w:val="clear" w:color="auto" w:fill="auto"/>
            <w:vAlign w:val="bottom"/>
          </w:tcPr>
          <w:p w14:paraId="5F2CE803" w14:textId="77777777" w:rsidR="00E836FB" w:rsidRDefault="00E836FB">
            <w:pPr>
              <w:rPr>
                <w:rFonts w:ascii="宋体"/>
              </w:rPr>
            </w:pPr>
          </w:p>
        </w:tc>
        <w:tc>
          <w:tcPr>
            <w:tcW w:w="0" w:type="auto"/>
            <w:shd w:val="clear" w:color="auto" w:fill="auto"/>
            <w:vAlign w:val="bottom"/>
          </w:tcPr>
          <w:p w14:paraId="5F2CE804" w14:textId="77777777" w:rsidR="00E836FB" w:rsidRDefault="00E836FB">
            <w:pPr>
              <w:rPr>
                <w:rFonts w:ascii="宋体"/>
              </w:rPr>
            </w:pPr>
          </w:p>
        </w:tc>
        <w:tc>
          <w:tcPr>
            <w:tcW w:w="0" w:type="auto"/>
            <w:shd w:val="clear" w:color="auto" w:fill="auto"/>
            <w:vAlign w:val="bottom"/>
          </w:tcPr>
          <w:p w14:paraId="5F2CE805" w14:textId="77777777" w:rsidR="00E836FB" w:rsidRDefault="00E836FB">
            <w:pPr>
              <w:rPr>
                <w:rFonts w:ascii="宋体"/>
              </w:rPr>
            </w:pPr>
          </w:p>
        </w:tc>
        <w:tc>
          <w:tcPr>
            <w:tcW w:w="0" w:type="auto"/>
            <w:shd w:val="clear" w:color="auto" w:fill="auto"/>
            <w:vAlign w:val="bottom"/>
          </w:tcPr>
          <w:p w14:paraId="5F2CE806" w14:textId="77777777" w:rsidR="00E836FB" w:rsidRDefault="00E836FB">
            <w:pPr>
              <w:rPr>
                <w:rFonts w:ascii="宋体"/>
              </w:rPr>
            </w:pPr>
          </w:p>
        </w:tc>
        <w:tc>
          <w:tcPr>
            <w:tcW w:w="0" w:type="auto"/>
            <w:shd w:val="clear" w:color="auto" w:fill="auto"/>
            <w:vAlign w:val="bottom"/>
          </w:tcPr>
          <w:p w14:paraId="5F2CE807" w14:textId="77777777" w:rsidR="00E836FB" w:rsidRDefault="00E836FB">
            <w:pPr>
              <w:rPr>
                <w:rFonts w:ascii="宋体"/>
              </w:rPr>
            </w:pPr>
          </w:p>
        </w:tc>
        <w:tc>
          <w:tcPr>
            <w:tcW w:w="0" w:type="auto"/>
            <w:shd w:val="clear" w:color="auto" w:fill="auto"/>
            <w:vAlign w:val="bottom"/>
          </w:tcPr>
          <w:p w14:paraId="5F2CE808" w14:textId="77777777" w:rsidR="00E836FB" w:rsidRDefault="00E836FB">
            <w:pPr>
              <w:rPr>
                <w:rFonts w:ascii="宋体"/>
              </w:rPr>
            </w:pPr>
          </w:p>
        </w:tc>
        <w:tc>
          <w:tcPr>
            <w:tcW w:w="0" w:type="auto"/>
            <w:shd w:val="clear" w:color="auto" w:fill="auto"/>
            <w:vAlign w:val="bottom"/>
          </w:tcPr>
          <w:p w14:paraId="5F2CE809" w14:textId="77777777" w:rsidR="00E836FB" w:rsidRDefault="00E836FB">
            <w:pPr>
              <w:rPr>
                <w:rFonts w:ascii="宋体"/>
              </w:rPr>
            </w:pPr>
          </w:p>
        </w:tc>
        <w:tc>
          <w:tcPr>
            <w:tcW w:w="0" w:type="auto"/>
            <w:shd w:val="clear" w:color="auto" w:fill="auto"/>
            <w:vAlign w:val="bottom"/>
          </w:tcPr>
          <w:p w14:paraId="5F2CE80A" w14:textId="77777777" w:rsidR="00E836FB" w:rsidRDefault="00E836FB">
            <w:pPr>
              <w:rPr>
                <w:rFonts w:ascii="宋体"/>
              </w:rPr>
            </w:pPr>
          </w:p>
        </w:tc>
        <w:tc>
          <w:tcPr>
            <w:tcW w:w="0" w:type="auto"/>
            <w:shd w:val="clear" w:color="auto" w:fill="auto"/>
            <w:vAlign w:val="bottom"/>
          </w:tcPr>
          <w:p w14:paraId="5F2CE80B" w14:textId="77777777" w:rsidR="00E836FB" w:rsidRDefault="00E836FB">
            <w:pPr>
              <w:rPr>
                <w:rFonts w:ascii="宋体"/>
              </w:rPr>
            </w:pPr>
          </w:p>
        </w:tc>
        <w:tc>
          <w:tcPr>
            <w:tcW w:w="0" w:type="auto"/>
            <w:shd w:val="clear" w:color="auto" w:fill="auto"/>
            <w:vAlign w:val="bottom"/>
          </w:tcPr>
          <w:p w14:paraId="5F2CE80C" w14:textId="77777777" w:rsidR="00E836FB" w:rsidRDefault="00E836FB">
            <w:pPr>
              <w:rPr>
                <w:rFonts w:ascii="宋体"/>
              </w:rPr>
            </w:pPr>
          </w:p>
        </w:tc>
        <w:tc>
          <w:tcPr>
            <w:tcW w:w="0" w:type="auto"/>
            <w:shd w:val="clear" w:color="auto" w:fill="auto"/>
            <w:vAlign w:val="bottom"/>
          </w:tcPr>
          <w:p w14:paraId="5F2CE80D" w14:textId="77777777" w:rsidR="00E836FB" w:rsidRDefault="00E836FB">
            <w:pPr>
              <w:rPr>
                <w:rFonts w:ascii="宋体"/>
              </w:rPr>
            </w:pPr>
          </w:p>
        </w:tc>
        <w:tc>
          <w:tcPr>
            <w:tcW w:w="0" w:type="auto"/>
            <w:shd w:val="clear" w:color="auto" w:fill="auto"/>
            <w:vAlign w:val="bottom"/>
          </w:tcPr>
          <w:p w14:paraId="5F2CE80E" w14:textId="77777777" w:rsidR="00E836FB" w:rsidRDefault="00E836FB">
            <w:pPr>
              <w:rPr>
                <w:rFonts w:ascii="宋体"/>
              </w:rPr>
            </w:pPr>
          </w:p>
        </w:tc>
        <w:tc>
          <w:tcPr>
            <w:tcW w:w="0" w:type="auto"/>
            <w:shd w:val="clear" w:color="auto" w:fill="auto"/>
            <w:vAlign w:val="bottom"/>
          </w:tcPr>
          <w:p w14:paraId="5F2CE80F" w14:textId="77777777" w:rsidR="00E836FB" w:rsidRDefault="00E836FB">
            <w:pPr>
              <w:rPr>
                <w:rFonts w:ascii="宋体"/>
              </w:rPr>
            </w:pPr>
          </w:p>
        </w:tc>
        <w:tc>
          <w:tcPr>
            <w:tcW w:w="0" w:type="auto"/>
            <w:shd w:val="clear" w:color="auto" w:fill="auto"/>
            <w:vAlign w:val="bottom"/>
          </w:tcPr>
          <w:p w14:paraId="5F2CE810" w14:textId="77777777" w:rsidR="00E836FB" w:rsidRDefault="00E836FB">
            <w:pPr>
              <w:rPr>
                <w:rFonts w:ascii="宋体"/>
              </w:rPr>
            </w:pPr>
          </w:p>
        </w:tc>
      </w:tr>
      <w:tr w:rsidR="00E836FB" w14:paraId="5F2CE81E" w14:textId="77777777">
        <w:trPr>
          <w:hidden/>
        </w:trPr>
        <w:tc>
          <w:tcPr>
            <w:tcW w:w="0" w:type="auto"/>
            <w:gridSpan w:val="3"/>
            <w:shd w:val="clear" w:color="auto" w:fill="auto"/>
            <w:vAlign w:val="bottom"/>
          </w:tcPr>
          <w:p w14:paraId="5F2CE812" w14:textId="77777777" w:rsidR="00E836FB" w:rsidRDefault="00E836FB">
            <w:pPr>
              <w:rPr>
                <w:rFonts w:ascii="宋体"/>
                <w:vanish/>
              </w:rPr>
            </w:pPr>
          </w:p>
        </w:tc>
        <w:tc>
          <w:tcPr>
            <w:tcW w:w="0" w:type="auto"/>
            <w:gridSpan w:val="3"/>
            <w:shd w:val="clear" w:color="auto" w:fill="auto"/>
            <w:vAlign w:val="bottom"/>
          </w:tcPr>
          <w:p w14:paraId="5F2CE813" w14:textId="77777777" w:rsidR="00E836FB" w:rsidRDefault="00E836FB">
            <w:pPr>
              <w:rPr>
                <w:rFonts w:ascii="宋体"/>
                <w:vanish/>
              </w:rPr>
            </w:pPr>
          </w:p>
        </w:tc>
        <w:tc>
          <w:tcPr>
            <w:tcW w:w="0" w:type="auto"/>
            <w:gridSpan w:val="3"/>
            <w:shd w:val="clear" w:color="auto" w:fill="auto"/>
            <w:vAlign w:val="bottom"/>
          </w:tcPr>
          <w:p w14:paraId="5F2CE814" w14:textId="77777777" w:rsidR="00E836FB" w:rsidRDefault="00E836FB">
            <w:pPr>
              <w:rPr>
                <w:rFonts w:ascii="宋体"/>
                <w:vanish/>
              </w:rPr>
            </w:pPr>
          </w:p>
        </w:tc>
        <w:tc>
          <w:tcPr>
            <w:tcW w:w="0" w:type="auto"/>
            <w:gridSpan w:val="3"/>
            <w:shd w:val="clear" w:color="auto" w:fill="auto"/>
            <w:vAlign w:val="bottom"/>
          </w:tcPr>
          <w:p w14:paraId="5F2CE815" w14:textId="77777777" w:rsidR="00E836FB" w:rsidRDefault="00E836FB">
            <w:pPr>
              <w:rPr>
                <w:rFonts w:ascii="宋体"/>
                <w:vanish/>
              </w:rPr>
            </w:pPr>
          </w:p>
        </w:tc>
        <w:tc>
          <w:tcPr>
            <w:tcW w:w="0" w:type="auto"/>
            <w:gridSpan w:val="3"/>
            <w:shd w:val="clear" w:color="auto" w:fill="auto"/>
            <w:vAlign w:val="bottom"/>
          </w:tcPr>
          <w:p w14:paraId="5F2CE816" w14:textId="77777777" w:rsidR="00E836FB" w:rsidRDefault="00E836FB">
            <w:pPr>
              <w:rPr>
                <w:rFonts w:ascii="宋体"/>
                <w:vanish/>
              </w:rPr>
            </w:pPr>
          </w:p>
        </w:tc>
        <w:tc>
          <w:tcPr>
            <w:tcW w:w="0" w:type="auto"/>
            <w:gridSpan w:val="3"/>
            <w:shd w:val="clear" w:color="auto" w:fill="auto"/>
            <w:vAlign w:val="bottom"/>
          </w:tcPr>
          <w:p w14:paraId="5F2CE817" w14:textId="77777777" w:rsidR="00E836FB" w:rsidRDefault="00E836FB">
            <w:pPr>
              <w:rPr>
                <w:rFonts w:ascii="宋体"/>
                <w:vanish/>
              </w:rPr>
            </w:pPr>
          </w:p>
        </w:tc>
        <w:tc>
          <w:tcPr>
            <w:tcW w:w="0" w:type="auto"/>
            <w:gridSpan w:val="3"/>
            <w:shd w:val="clear" w:color="auto" w:fill="auto"/>
            <w:vAlign w:val="bottom"/>
          </w:tcPr>
          <w:p w14:paraId="5F2CE818" w14:textId="77777777" w:rsidR="00E836FB" w:rsidRDefault="00E836FB">
            <w:pPr>
              <w:rPr>
                <w:rFonts w:ascii="宋体"/>
                <w:vanish/>
              </w:rPr>
            </w:pPr>
          </w:p>
        </w:tc>
        <w:tc>
          <w:tcPr>
            <w:tcW w:w="0" w:type="auto"/>
            <w:gridSpan w:val="3"/>
            <w:shd w:val="clear" w:color="auto" w:fill="auto"/>
            <w:vAlign w:val="bottom"/>
          </w:tcPr>
          <w:p w14:paraId="5F2CE819" w14:textId="77777777" w:rsidR="00E836FB" w:rsidRDefault="00E836FB">
            <w:pPr>
              <w:rPr>
                <w:rFonts w:ascii="宋体"/>
                <w:vanish/>
              </w:rPr>
            </w:pPr>
          </w:p>
        </w:tc>
        <w:tc>
          <w:tcPr>
            <w:tcW w:w="0" w:type="auto"/>
            <w:gridSpan w:val="3"/>
            <w:shd w:val="clear" w:color="auto" w:fill="auto"/>
            <w:vAlign w:val="bottom"/>
          </w:tcPr>
          <w:p w14:paraId="5F2CE81A" w14:textId="77777777" w:rsidR="00E836FB" w:rsidRDefault="00E836FB">
            <w:pPr>
              <w:rPr>
                <w:rFonts w:ascii="宋体"/>
                <w:vanish/>
              </w:rPr>
            </w:pPr>
          </w:p>
        </w:tc>
        <w:tc>
          <w:tcPr>
            <w:tcW w:w="0" w:type="auto"/>
            <w:gridSpan w:val="3"/>
            <w:shd w:val="clear" w:color="auto" w:fill="auto"/>
            <w:vAlign w:val="bottom"/>
          </w:tcPr>
          <w:p w14:paraId="5F2CE81B" w14:textId="77777777" w:rsidR="00E836FB" w:rsidRDefault="00E836FB">
            <w:pPr>
              <w:rPr>
                <w:rFonts w:ascii="宋体"/>
                <w:vanish/>
              </w:rPr>
            </w:pPr>
          </w:p>
        </w:tc>
        <w:tc>
          <w:tcPr>
            <w:tcW w:w="0" w:type="auto"/>
            <w:gridSpan w:val="3"/>
            <w:shd w:val="clear" w:color="auto" w:fill="auto"/>
            <w:vAlign w:val="bottom"/>
          </w:tcPr>
          <w:p w14:paraId="5F2CE81C" w14:textId="77777777" w:rsidR="00E836FB" w:rsidRDefault="00E836FB">
            <w:pPr>
              <w:rPr>
                <w:rFonts w:ascii="宋体"/>
                <w:vanish/>
              </w:rPr>
            </w:pPr>
          </w:p>
        </w:tc>
        <w:tc>
          <w:tcPr>
            <w:tcW w:w="0" w:type="auto"/>
            <w:gridSpan w:val="3"/>
            <w:shd w:val="clear" w:color="auto" w:fill="auto"/>
            <w:vAlign w:val="bottom"/>
          </w:tcPr>
          <w:p w14:paraId="5F2CE81D" w14:textId="77777777" w:rsidR="00E836FB" w:rsidRDefault="00E836FB">
            <w:pPr>
              <w:rPr>
                <w:rFonts w:ascii="宋体"/>
                <w:vanish/>
              </w:rPr>
            </w:pPr>
          </w:p>
        </w:tc>
      </w:tr>
      <w:tr w:rsidR="00E836FB" w14:paraId="5F2CE82B" w14:textId="77777777">
        <w:trPr>
          <w:hidden/>
        </w:trPr>
        <w:tc>
          <w:tcPr>
            <w:tcW w:w="0" w:type="auto"/>
            <w:gridSpan w:val="3"/>
            <w:shd w:val="clear" w:color="auto" w:fill="auto"/>
            <w:vAlign w:val="bottom"/>
          </w:tcPr>
          <w:p w14:paraId="5F2CE81F" w14:textId="77777777" w:rsidR="00E836FB" w:rsidRDefault="00E836FB">
            <w:pPr>
              <w:rPr>
                <w:rFonts w:ascii="宋体"/>
                <w:vanish/>
              </w:rPr>
            </w:pPr>
          </w:p>
        </w:tc>
        <w:tc>
          <w:tcPr>
            <w:tcW w:w="0" w:type="auto"/>
            <w:gridSpan w:val="3"/>
            <w:shd w:val="clear" w:color="auto" w:fill="auto"/>
            <w:vAlign w:val="bottom"/>
          </w:tcPr>
          <w:p w14:paraId="5F2CE820" w14:textId="77777777" w:rsidR="00E836FB" w:rsidRDefault="00E836FB">
            <w:pPr>
              <w:rPr>
                <w:rFonts w:ascii="宋体"/>
                <w:vanish/>
              </w:rPr>
            </w:pPr>
          </w:p>
        </w:tc>
        <w:tc>
          <w:tcPr>
            <w:tcW w:w="0" w:type="auto"/>
            <w:gridSpan w:val="3"/>
            <w:shd w:val="clear" w:color="auto" w:fill="auto"/>
            <w:vAlign w:val="bottom"/>
          </w:tcPr>
          <w:p w14:paraId="5F2CE821" w14:textId="77777777" w:rsidR="00E836FB" w:rsidRDefault="00E836FB">
            <w:pPr>
              <w:rPr>
                <w:rFonts w:ascii="宋体"/>
                <w:vanish/>
              </w:rPr>
            </w:pPr>
          </w:p>
        </w:tc>
        <w:tc>
          <w:tcPr>
            <w:tcW w:w="0" w:type="auto"/>
            <w:gridSpan w:val="3"/>
            <w:shd w:val="clear" w:color="auto" w:fill="auto"/>
            <w:vAlign w:val="bottom"/>
          </w:tcPr>
          <w:p w14:paraId="5F2CE822" w14:textId="77777777" w:rsidR="00E836FB" w:rsidRDefault="00E836FB">
            <w:pPr>
              <w:rPr>
                <w:rFonts w:ascii="宋体"/>
                <w:vanish/>
              </w:rPr>
            </w:pPr>
          </w:p>
        </w:tc>
        <w:tc>
          <w:tcPr>
            <w:tcW w:w="0" w:type="auto"/>
            <w:gridSpan w:val="3"/>
            <w:shd w:val="clear" w:color="auto" w:fill="auto"/>
            <w:vAlign w:val="bottom"/>
          </w:tcPr>
          <w:p w14:paraId="5F2CE823" w14:textId="77777777" w:rsidR="00E836FB" w:rsidRDefault="00E836FB">
            <w:pPr>
              <w:rPr>
                <w:rFonts w:ascii="宋体"/>
                <w:vanish/>
              </w:rPr>
            </w:pPr>
          </w:p>
        </w:tc>
        <w:tc>
          <w:tcPr>
            <w:tcW w:w="0" w:type="auto"/>
            <w:gridSpan w:val="3"/>
            <w:shd w:val="clear" w:color="auto" w:fill="auto"/>
            <w:vAlign w:val="bottom"/>
          </w:tcPr>
          <w:p w14:paraId="5F2CE824" w14:textId="77777777" w:rsidR="00E836FB" w:rsidRDefault="00E836FB">
            <w:pPr>
              <w:rPr>
                <w:rFonts w:ascii="宋体"/>
                <w:vanish/>
              </w:rPr>
            </w:pPr>
          </w:p>
        </w:tc>
        <w:tc>
          <w:tcPr>
            <w:tcW w:w="0" w:type="auto"/>
            <w:gridSpan w:val="3"/>
            <w:shd w:val="clear" w:color="auto" w:fill="auto"/>
            <w:vAlign w:val="bottom"/>
          </w:tcPr>
          <w:p w14:paraId="5F2CE825" w14:textId="77777777" w:rsidR="00E836FB" w:rsidRDefault="00E836FB">
            <w:pPr>
              <w:rPr>
                <w:rFonts w:ascii="宋体"/>
                <w:vanish/>
              </w:rPr>
            </w:pPr>
          </w:p>
        </w:tc>
        <w:tc>
          <w:tcPr>
            <w:tcW w:w="0" w:type="auto"/>
            <w:gridSpan w:val="3"/>
            <w:shd w:val="clear" w:color="auto" w:fill="auto"/>
            <w:vAlign w:val="bottom"/>
          </w:tcPr>
          <w:p w14:paraId="5F2CE826" w14:textId="77777777" w:rsidR="00E836FB" w:rsidRDefault="00E836FB">
            <w:pPr>
              <w:rPr>
                <w:rFonts w:ascii="宋体"/>
                <w:vanish/>
              </w:rPr>
            </w:pPr>
          </w:p>
        </w:tc>
        <w:tc>
          <w:tcPr>
            <w:tcW w:w="0" w:type="auto"/>
            <w:gridSpan w:val="3"/>
            <w:shd w:val="clear" w:color="auto" w:fill="auto"/>
            <w:vAlign w:val="bottom"/>
          </w:tcPr>
          <w:p w14:paraId="5F2CE827" w14:textId="77777777" w:rsidR="00E836FB" w:rsidRDefault="00E836FB">
            <w:pPr>
              <w:rPr>
                <w:rFonts w:ascii="宋体"/>
                <w:vanish/>
              </w:rPr>
            </w:pPr>
          </w:p>
        </w:tc>
        <w:tc>
          <w:tcPr>
            <w:tcW w:w="0" w:type="auto"/>
            <w:gridSpan w:val="3"/>
            <w:shd w:val="clear" w:color="auto" w:fill="auto"/>
            <w:vAlign w:val="bottom"/>
          </w:tcPr>
          <w:p w14:paraId="5F2CE828" w14:textId="77777777" w:rsidR="00E836FB" w:rsidRDefault="00E836FB">
            <w:pPr>
              <w:rPr>
                <w:rFonts w:ascii="宋体"/>
                <w:vanish/>
              </w:rPr>
            </w:pPr>
          </w:p>
        </w:tc>
        <w:tc>
          <w:tcPr>
            <w:tcW w:w="0" w:type="auto"/>
            <w:gridSpan w:val="3"/>
            <w:shd w:val="clear" w:color="auto" w:fill="auto"/>
            <w:vAlign w:val="bottom"/>
          </w:tcPr>
          <w:p w14:paraId="5F2CE829" w14:textId="77777777" w:rsidR="00E836FB" w:rsidRDefault="00E836FB">
            <w:pPr>
              <w:rPr>
                <w:rFonts w:ascii="宋体"/>
                <w:vanish/>
              </w:rPr>
            </w:pPr>
          </w:p>
        </w:tc>
        <w:tc>
          <w:tcPr>
            <w:tcW w:w="0" w:type="auto"/>
            <w:gridSpan w:val="3"/>
            <w:shd w:val="clear" w:color="auto" w:fill="auto"/>
            <w:vAlign w:val="bottom"/>
          </w:tcPr>
          <w:p w14:paraId="5F2CE82A" w14:textId="77777777" w:rsidR="00E836FB" w:rsidRDefault="00E836FB">
            <w:pPr>
              <w:rPr>
                <w:rFonts w:ascii="宋体"/>
                <w:vanish/>
              </w:rPr>
            </w:pPr>
          </w:p>
        </w:tc>
      </w:tr>
      <w:tr w:rsidR="00E836FB" w14:paraId="5F2CE838" w14:textId="77777777">
        <w:trPr>
          <w:hidden/>
        </w:trPr>
        <w:tc>
          <w:tcPr>
            <w:tcW w:w="0" w:type="auto"/>
            <w:gridSpan w:val="3"/>
            <w:shd w:val="clear" w:color="auto" w:fill="auto"/>
            <w:vAlign w:val="bottom"/>
          </w:tcPr>
          <w:p w14:paraId="5F2CE82C" w14:textId="77777777" w:rsidR="00E836FB" w:rsidRDefault="00E836FB">
            <w:pPr>
              <w:rPr>
                <w:rFonts w:ascii="宋体"/>
                <w:vanish/>
              </w:rPr>
            </w:pPr>
          </w:p>
        </w:tc>
        <w:tc>
          <w:tcPr>
            <w:tcW w:w="0" w:type="auto"/>
            <w:gridSpan w:val="3"/>
            <w:shd w:val="clear" w:color="auto" w:fill="auto"/>
            <w:vAlign w:val="bottom"/>
          </w:tcPr>
          <w:p w14:paraId="5F2CE82D" w14:textId="77777777" w:rsidR="00E836FB" w:rsidRDefault="00E836FB">
            <w:pPr>
              <w:rPr>
                <w:rFonts w:ascii="宋体"/>
                <w:vanish/>
              </w:rPr>
            </w:pPr>
          </w:p>
        </w:tc>
        <w:tc>
          <w:tcPr>
            <w:tcW w:w="0" w:type="auto"/>
            <w:gridSpan w:val="3"/>
            <w:shd w:val="clear" w:color="auto" w:fill="auto"/>
            <w:vAlign w:val="bottom"/>
          </w:tcPr>
          <w:p w14:paraId="5F2CE82E" w14:textId="77777777" w:rsidR="00E836FB" w:rsidRDefault="00E836FB">
            <w:pPr>
              <w:rPr>
                <w:rFonts w:ascii="宋体"/>
                <w:vanish/>
              </w:rPr>
            </w:pPr>
          </w:p>
        </w:tc>
        <w:tc>
          <w:tcPr>
            <w:tcW w:w="0" w:type="auto"/>
            <w:gridSpan w:val="3"/>
            <w:shd w:val="clear" w:color="auto" w:fill="auto"/>
            <w:vAlign w:val="bottom"/>
          </w:tcPr>
          <w:p w14:paraId="5F2CE82F" w14:textId="77777777" w:rsidR="00E836FB" w:rsidRDefault="00E836FB">
            <w:pPr>
              <w:rPr>
                <w:rFonts w:ascii="宋体"/>
                <w:vanish/>
              </w:rPr>
            </w:pPr>
          </w:p>
        </w:tc>
        <w:tc>
          <w:tcPr>
            <w:tcW w:w="0" w:type="auto"/>
            <w:gridSpan w:val="3"/>
            <w:shd w:val="clear" w:color="auto" w:fill="auto"/>
            <w:vAlign w:val="bottom"/>
          </w:tcPr>
          <w:p w14:paraId="5F2CE830" w14:textId="77777777" w:rsidR="00E836FB" w:rsidRDefault="00E836FB">
            <w:pPr>
              <w:rPr>
                <w:rFonts w:ascii="宋体"/>
                <w:vanish/>
              </w:rPr>
            </w:pPr>
          </w:p>
        </w:tc>
        <w:tc>
          <w:tcPr>
            <w:tcW w:w="0" w:type="auto"/>
            <w:gridSpan w:val="3"/>
            <w:shd w:val="clear" w:color="auto" w:fill="auto"/>
            <w:vAlign w:val="bottom"/>
          </w:tcPr>
          <w:p w14:paraId="5F2CE831" w14:textId="77777777" w:rsidR="00E836FB" w:rsidRDefault="00E836FB">
            <w:pPr>
              <w:rPr>
                <w:rFonts w:ascii="宋体"/>
                <w:vanish/>
              </w:rPr>
            </w:pPr>
          </w:p>
        </w:tc>
        <w:tc>
          <w:tcPr>
            <w:tcW w:w="0" w:type="auto"/>
            <w:gridSpan w:val="3"/>
            <w:shd w:val="clear" w:color="auto" w:fill="auto"/>
            <w:vAlign w:val="bottom"/>
          </w:tcPr>
          <w:p w14:paraId="5F2CE832" w14:textId="77777777" w:rsidR="00E836FB" w:rsidRDefault="00E836FB">
            <w:pPr>
              <w:rPr>
                <w:rFonts w:ascii="宋体"/>
                <w:vanish/>
              </w:rPr>
            </w:pPr>
          </w:p>
        </w:tc>
        <w:tc>
          <w:tcPr>
            <w:tcW w:w="0" w:type="auto"/>
            <w:gridSpan w:val="3"/>
            <w:shd w:val="clear" w:color="auto" w:fill="auto"/>
            <w:vAlign w:val="bottom"/>
          </w:tcPr>
          <w:p w14:paraId="5F2CE833" w14:textId="77777777" w:rsidR="00E836FB" w:rsidRDefault="00E836FB">
            <w:pPr>
              <w:rPr>
                <w:rFonts w:ascii="宋体"/>
                <w:vanish/>
              </w:rPr>
            </w:pPr>
          </w:p>
        </w:tc>
        <w:tc>
          <w:tcPr>
            <w:tcW w:w="0" w:type="auto"/>
            <w:gridSpan w:val="3"/>
            <w:shd w:val="clear" w:color="auto" w:fill="auto"/>
            <w:vAlign w:val="bottom"/>
          </w:tcPr>
          <w:p w14:paraId="5F2CE834" w14:textId="77777777" w:rsidR="00E836FB" w:rsidRDefault="00E836FB">
            <w:pPr>
              <w:rPr>
                <w:rFonts w:ascii="宋体"/>
                <w:vanish/>
              </w:rPr>
            </w:pPr>
          </w:p>
        </w:tc>
        <w:tc>
          <w:tcPr>
            <w:tcW w:w="0" w:type="auto"/>
            <w:gridSpan w:val="3"/>
            <w:shd w:val="clear" w:color="auto" w:fill="auto"/>
            <w:vAlign w:val="bottom"/>
          </w:tcPr>
          <w:p w14:paraId="5F2CE835" w14:textId="77777777" w:rsidR="00E836FB" w:rsidRDefault="00E836FB">
            <w:pPr>
              <w:rPr>
                <w:rFonts w:ascii="宋体"/>
                <w:vanish/>
              </w:rPr>
            </w:pPr>
          </w:p>
        </w:tc>
        <w:tc>
          <w:tcPr>
            <w:tcW w:w="0" w:type="auto"/>
            <w:gridSpan w:val="3"/>
            <w:shd w:val="clear" w:color="auto" w:fill="auto"/>
            <w:vAlign w:val="bottom"/>
          </w:tcPr>
          <w:p w14:paraId="5F2CE836" w14:textId="77777777" w:rsidR="00E836FB" w:rsidRDefault="00E836FB">
            <w:pPr>
              <w:rPr>
                <w:rFonts w:ascii="宋体"/>
                <w:vanish/>
              </w:rPr>
            </w:pPr>
          </w:p>
        </w:tc>
        <w:tc>
          <w:tcPr>
            <w:tcW w:w="0" w:type="auto"/>
            <w:gridSpan w:val="3"/>
            <w:shd w:val="clear" w:color="auto" w:fill="auto"/>
            <w:vAlign w:val="bottom"/>
          </w:tcPr>
          <w:p w14:paraId="5F2CE837" w14:textId="77777777" w:rsidR="00E836FB" w:rsidRDefault="00E836FB">
            <w:pPr>
              <w:rPr>
                <w:rFonts w:ascii="宋体"/>
                <w:vanish/>
              </w:rPr>
            </w:pPr>
          </w:p>
        </w:tc>
      </w:tr>
      <w:tr w:rsidR="00E836FB" w14:paraId="5F2CE845" w14:textId="77777777">
        <w:trPr>
          <w:hidden/>
        </w:trPr>
        <w:tc>
          <w:tcPr>
            <w:tcW w:w="0" w:type="auto"/>
            <w:gridSpan w:val="3"/>
            <w:shd w:val="clear" w:color="auto" w:fill="auto"/>
            <w:vAlign w:val="bottom"/>
          </w:tcPr>
          <w:p w14:paraId="5F2CE839" w14:textId="77777777" w:rsidR="00E836FB" w:rsidRDefault="00E836FB">
            <w:pPr>
              <w:rPr>
                <w:rFonts w:ascii="宋体"/>
                <w:vanish/>
              </w:rPr>
            </w:pPr>
          </w:p>
        </w:tc>
        <w:tc>
          <w:tcPr>
            <w:tcW w:w="0" w:type="auto"/>
            <w:gridSpan w:val="3"/>
            <w:shd w:val="clear" w:color="auto" w:fill="auto"/>
            <w:vAlign w:val="bottom"/>
          </w:tcPr>
          <w:p w14:paraId="5F2CE83A" w14:textId="77777777" w:rsidR="00E836FB" w:rsidRDefault="00E836FB">
            <w:pPr>
              <w:rPr>
                <w:rFonts w:ascii="宋体"/>
                <w:vanish/>
              </w:rPr>
            </w:pPr>
          </w:p>
        </w:tc>
        <w:tc>
          <w:tcPr>
            <w:tcW w:w="0" w:type="auto"/>
            <w:gridSpan w:val="3"/>
            <w:shd w:val="clear" w:color="auto" w:fill="auto"/>
            <w:vAlign w:val="bottom"/>
          </w:tcPr>
          <w:p w14:paraId="5F2CE83B" w14:textId="77777777" w:rsidR="00E836FB" w:rsidRDefault="00E836FB">
            <w:pPr>
              <w:rPr>
                <w:rFonts w:ascii="宋体"/>
                <w:vanish/>
              </w:rPr>
            </w:pPr>
          </w:p>
        </w:tc>
        <w:tc>
          <w:tcPr>
            <w:tcW w:w="0" w:type="auto"/>
            <w:gridSpan w:val="3"/>
            <w:shd w:val="clear" w:color="auto" w:fill="auto"/>
            <w:vAlign w:val="bottom"/>
          </w:tcPr>
          <w:p w14:paraId="5F2CE83C" w14:textId="77777777" w:rsidR="00E836FB" w:rsidRDefault="00E836FB">
            <w:pPr>
              <w:rPr>
                <w:rFonts w:ascii="宋体"/>
                <w:vanish/>
              </w:rPr>
            </w:pPr>
          </w:p>
        </w:tc>
        <w:tc>
          <w:tcPr>
            <w:tcW w:w="0" w:type="auto"/>
            <w:gridSpan w:val="3"/>
            <w:shd w:val="clear" w:color="auto" w:fill="auto"/>
            <w:vAlign w:val="bottom"/>
          </w:tcPr>
          <w:p w14:paraId="5F2CE83D" w14:textId="77777777" w:rsidR="00E836FB" w:rsidRDefault="00E836FB">
            <w:pPr>
              <w:rPr>
                <w:rFonts w:ascii="宋体"/>
                <w:vanish/>
              </w:rPr>
            </w:pPr>
          </w:p>
        </w:tc>
        <w:tc>
          <w:tcPr>
            <w:tcW w:w="0" w:type="auto"/>
            <w:gridSpan w:val="3"/>
            <w:shd w:val="clear" w:color="auto" w:fill="auto"/>
            <w:vAlign w:val="bottom"/>
          </w:tcPr>
          <w:p w14:paraId="5F2CE83E" w14:textId="77777777" w:rsidR="00E836FB" w:rsidRDefault="00E836FB">
            <w:pPr>
              <w:rPr>
                <w:rFonts w:ascii="宋体"/>
                <w:vanish/>
              </w:rPr>
            </w:pPr>
          </w:p>
        </w:tc>
        <w:tc>
          <w:tcPr>
            <w:tcW w:w="0" w:type="auto"/>
            <w:gridSpan w:val="3"/>
            <w:shd w:val="clear" w:color="auto" w:fill="auto"/>
            <w:vAlign w:val="bottom"/>
          </w:tcPr>
          <w:p w14:paraId="5F2CE83F" w14:textId="77777777" w:rsidR="00E836FB" w:rsidRDefault="00E836FB">
            <w:pPr>
              <w:rPr>
                <w:rFonts w:ascii="宋体"/>
                <w:vanish/>
              </w:rPr>
            </w:pPr>
          </w:p>
        </w:tc>
        <w:tc>
          <w:tcPr>
            <w:tcW w:w="0" w:type="auto"/>
            <w:gridSpan w:val="3"/>
            <w:shd w:val="clear" w:color="auto" w:fill="auto"/>
            <w:vAlign w:val="bottom"/>
          </w:tcPr>
          <w:p w14:paraId="5F2CE840" w14:textId="77777777" w:rsidR="00E836FB" w:rsidRDefault="00E836FB">
            <w:pPr>
              <w:rPr>
                <w:rFonts w:ascii="宋体"/>
                <w:vanish/>
              </w:rPr>
            </w:pPr>
          </w:p>
        </w:tc>
        <w:tc>
          <w:tcPr>
            <w:tcW w:w="0" w:type="auto"/>
            <w:gridSpan w:val="3"/>
            <w:shd w:val="clear" w:color="auto" w:fill="auto"/>
            <w:vAlign w:val="bottom"/>
          </w:tcPr>
          <w:p w14:paraId="5F2CE841" w14:textId="77777777" w:rsidR="00E836FB" w:rsidRDefault="00E836FB">
            <w:pPr>
              <w:rPr>
                <w:rFonts w:ascii="宋体"/>
                <w:vanish/>
              </w:rPr>
            </w:pPr>
          </w:p>
        </w:tc>
        <w:tc>
          <w:tcPr>
            <w:tcW w:w="0" w:type="auto"/>
            <w:gridSpan w:val="3"/>
            <w:shd w:val="clear" w:color="auto" w:fill="auto"/>
            <w:vAlign w:val="bottom"/>
          </w:tcPr>
          <w:p w14:paraId="5F2CE842" w14:textId="77777777" w:rsidR="00E836FB" w:rsidRDefault="00E836FB">
            <w:pPr>
              <w:rPr>
                <w:rFonts w:ascii="宋体"/>
                <w:vanish/>
              </w:rPr>
            </w:pPr>
          </w:p>
        </w:tc>
        <w:tc>
          <w:tcPr>
            <w:tcW w:w="0" w:type="auto"/>
            <w:gridSpan w:val="3"/>
            <w:shd w:val="clear" w:color="auto" w:fill="auto"/>
            <w:vAlign w:val="bottom"/>
          </w:tcPr>
          <w:p w14:paraId="5F2CE843" w14:textId="77777777" w:rsidR="00E836FB" w:rsidRDefault="00E836FB">
            <w:pPr>
              <w:rPr>
                <w:rFonts w:ascii="宋体"/>
                <w:vanish/>
              </w:rPr>
            </w:pPr>
          </w:p>
        </w:tc>
        <w:tc>
          <w:tcPr>
            <w:tcW w:w="0" w:type="auto"/>
            <w:gridSpan w:val="3"/>
            <w:shd w:val="clear" w:color="auto" w:fill="auto"/>
            <w:vAlign w:val="bottom"/>
          </w:tcPr>
          <w:p w14:paraId="5F2CE844" w14:textId="77777777" w:rsidR="00E836FB" w:rsidRDefault="00E836FB">
            <w:pPr>
              <w:rPr>
                <w:rFonts w:ascii="宋体"/>
                <w:vanish/>
              </w:rPr>
            </w:pPr>
          </w:p>
        </w:tc>
      </w:tr>
      <w:tr w:rsidR="00E836FB" w14:paraId="5F2CE852" w14:textId="77777777">
        <w:trPr>
          <w:hidden/>
        </w:trPr>
        <w:tc>
          <w:tcPr>
            <w:tcW w:w="0" w:type="auto"/>
            <w:gridSpan w:val="3"/>
            <w:shd w:val="clear" w:color="auto" w:fill="auto"/>
            <w:vAlign w:val="bottom"/>
          </w:tcPr>
          <w:p w14:paraId="5F2CE846" w14:textId="77777777" w:rsidR="00E836FB" w:rsidRDefault="00E836FB">
            <w:pPr>
              <w:rPr>
                <w:rFonts w:ascii="宋体"/>
                <w:vanish/>
              </w:rPr>
            </w:pPr>
          </w:p>
        </w:tc>
        <w:tc>
          <w:tcPr>
            <w:tcW w:w="0" w:type="auto"/>
            <w:gridSpan w:val="3"/>
            <w:shd w:val="clear" w:color="auto" w:fill="auto"/>
            <w:vAlign w:val="bottom"/>
          </w:tcPr>
          <w:p w14:paraId="5F2CE847" w14:textId="77777777" w:rsidR="00E836FB" w:rsidRDefault="00E836FB">
            <w:pPr>
              <w:rPr>
                <w:rFonts w:ascii="宋体"/>
                <w:vanish/>
              </w:rPr>
            </w:pPr>
          </w:p>
        </w:tc>
        <w:tc>
          <w:tcPr>
            <w:tcW w:w="0" w:type="auto"/>
            <w:gridSpan w:val="3"/>
            <w:shd w:val="clear" w:color="auto" w:fill="auto"/>
            <w:vAlign w:val="bottom"/>
          </w:tcPr>
          <w:p w14:paraId="5F2CE848" w14:textId="77777777" w:rsidR="00E836FB" w:rsidRDefault="00E836FB">
            <w:pPr>
              <w:rPr>
                <w:rFonts w:ascii="宋体"/>
                <w:vanish/>
              </w:rPr>
            </w:pPr>
          </w:p>
        </w:tc>
        <w:tc>
          <w:tcPr>
            <w:tcW w:w="0" w:type="auto"/>
            <w:gridSpan w:val="3"/>
            <w:shd w:val="clear" w:color="auto" w:fill="auto"/>
            <w:vAlign w:val="bottom"/>
          </w:tcPr>
          <w:p w14:paraId="5F2CE849" w14:textId="77777777" w:rsidR="00E836FB" w:rsidRDefault="00E836FB">
            <w:pPr>
              <w:rPr>
                <w:rFonts w:ascii="宋体"/>
                <w:vanish/>
              </w:rPr>
            </w:pPr>
          </w:p>
        </w:tc>
        <w:tc>
          <w:tcPr>
            <w:tcW w:w="0" w:type="auto"/>
            <w:gridSpan w:val="3"/>
            <w:shd w:val="clear" w:color="auto" w:fill="auto"/>
            <w:vAlign w:val="bottom"/>
          </w:tcPr>
          <w:p w14:paraId="5F2CE84A" w14:textId="77777777" w:rsidR="00E836FB" w:rsidRDefault="00E836FB">
            <w:pPr>
              <w:rPr>
                <w:rFonts w:ascii="宋体"/>
                <w:vanish/>
              </w:rPr>
            </w:pPr>
          </w:p>
        </w:tc>
        <w:tc>
          <w:tcPr>
            <w:tcW w:w="0" w:type="auto"/>
            <w:gridSpan w:val="3"/>
            <w:shd w:val="clear" w:color="auto" w:fill="auto"/>
            <w:vAlign w:val="bottom"/>
          </w:tcPr>
          <w:p w14:paraId="5F2CE84B" w14:textId="77777777" w:rsidR="00E836FB" w:rsidRDefault="00E836FB">
            <w:pPr>
              <w:rPr>
                <w:rFonts w:ascii="宋体"/>
                <w:vanish/>
              </w:rPr>
            </w:pPr>
          </w:p>
        </w:tc>
        <w:tc>
          <w:tcPr>
            <w:tcW w:w="0" w:type="auto"/>
            <w:gridSpan w:val="3"/>
            <w:shd w:val="clear" w:color="auto" w:fill="auto"/>
            <w:vAlign w:val="bottom"/>
          </w:tcPr>
          <w:p w14:paraId="5F2CE84C" w14:textId="77777777" w:rsidR="00E836FB" w:rsidRDefault="00E836FB">
            <w:pPr>
              <w:rPr>
                <w:rFonts w:ascii="宋体"/>
                <w:vanish/>
              </w:rPr>
            </w:pPr>
          </w:p>
        </w:tc>
        <w:tc>
          <w:tcPr>
            <w:tcW w:w="0" w:type="auto"/>
            <w:gridSpan w:val="3"/>
            <w:shd w:val="clear" w:color="auto" w:fill="auto"/>
            <w:vAlign w:val="bottom"/>
          </w:tcPr>
          <w:p w14:paraId="5F2CE84D" w14:textId="77777777" w:rsidR="00E836FB" w:rsidRDefault="00E836FB">
            <w:pPr>
              <w:rPr>
                <w:rFonts w:ascii="宋体"/>
                <w:vanish/>
              </w:rPr>
            </w:pPr>
          </w:p>
        </w:tc>
        <w:tc>
          <w:tcPr>
            <w:tcW w:w="0" w:type="auto"/>
            <w:gridSpan w:val="3"/>
            <w:shd w:val="clear" w:color="auto" w:fill="auto"/>
            <w:vAlign w:val="bottom"/>
          </w:tcPr>
          <w:p w14:paraId="5F2CE84E" w14:textId="77777777" w:rsidR="00E836FB" w:rsidRDefault="00E836FB">
            <w:pPr>
              <w:rPr>
                <w:rFonts w:ascii="宋体"/>
                <w:vanish/>
              </w:rPr>
            </w:pPr>
          </w:p>
        </w:tc>
        <w:tc>
          <w:tcPr>
            <w:tcW w:w="0" w:type="auto"/>
            <w:gridSpan w:val="3"/>
            <w:shd w:val="clear" w:color="auto" w:fill="auto"/>
            <w:vAlign w:val="bottom"/>
          </w:tcPr>
          <w:p w14:paraId="5F2CE84F" w14:textId="77777777" w:rsidR="00E836FB" w:rsidRDefault="00E836FB">
            <w:pPr>
              <w:rPr>
                <w:rFonts w:ascii="宋体"/>
                <w:vanish/>
              </w:rPr>
            </w:pPr>
          </w:p>
        </w:tc>
        <w:tc>
          <w:tcPr>
            <w:tcW w:w="0" w:type="auto"/>
            <w:gridSpan w:val="3"/>
            <w:shd w:val="clear" w:color="auto" w:fill="auto"/>
            <w:vAlign w:val="bottom"/>
          </w:tcPr>
          <w:p w14:paraId="5F2CE850" w14:textId="77777777" w:rsidR="00E836FB" w:rsidRDefault="00E836FB">
            <w:pPr>
              <w:rPr>
                <w:rFonts w:ascii="宋体"/>
                <w:vanish/>
              </w:rPr>
            </w:pPr>
          </w:p>
        </w:tc>
        <w:tc>
          <w:tcPr>
            <w:tcW w:w="0" w:type="auto"/>
            <w:gridSpan w:val="3"/>
            <w:shd w:val="clear" w:color="auto" w:fill="auto"/>
            <w:vAlign w:val="bottom"/>
          </w:tcPr>
          <w:p w14:paraId="5F2CE851" w14:textId="77777777" w:rsidR="00E836FB" w:rsidRDefault="00E836FB">
            <w:pPr>
              <w:rPr>
                <w:rFonts w:ascii="宋体"/>
                <w:vanish/>
              </w:rPr>
            </w:pPr>
          </w:p>
        </w:tc>
      </w:tr>
      <w:tr w:rsidR="00E836FB" w14:paraId="5F2CE85F" w14:textId="77777777">
        <w:trPr>
          <w:hidden/>
        </w:trPr>
        <w:tc>
          <w:tcPr>
            <w:tcW w:w="0" w:type="auto"/>
            <w:gridSpan w:val="3"/>
            <w:shd w:val="clear" w:color="auto" w:fill="auto"/>
            <w:vAlign w:val="bottom"/>
          </w:tcPr>
          <w:p w14:paraId="5F2CE853" w14:textId="77777777" w:rsidR="00E836FB" w:rsidRDefault="00E836FB">
            <w:pPr>
              <w:rPr>
                <w:rFonts w:ascii="宋体"/>
                <w:vanish/>
              </w:rPr>
            </w:pPr>
          </w:p>
        </w:tc>
        <w:tc>
          <w:tcPr>
            <w:tcW w:w="0" w:type="auto"/>
            <w:gridSpan w:val="3"/>
            <w:shd w:val="clear" w:color="auto" w:fill="auto"/>
            <w:vAlign w:val="bottom"/>
          </w:tcPr>
          <w:p w14:paraId="5F2CE854" w14:textId="77777777" w:rsidR="00E836FB" w:rsidRDefault="00E836FB">
            <w:pPr>
              <w:rPr>
                <w:rFonts w:ascii="宋体"/>
                <w:vanish/>
              </w:rPr>
            </w:pPr>
          </w:p>
        </w:tc>
        <w:tc>
          <w:tcPr>
            <w:tcW w:w="0" w:type="auto"/>
            <w:gridSpan w:val="3"/>
            <w:shd w:val="clear" w:color="auto" w:fill="auto"/>
            <w:vAlign w:val="bottom"/>
          </w:tcPr>
          <w:p w14:paraId="5F2CE855" w14:textId="77777777" w:rsidR="00E836FB" w:rsidRDefault="00E836FB">
            <w:pPr>
              <w:rPr>
                <w:rFonts w:ascii="宋体"/>
                <w:vanish/>
              </w:rPr>
            </w:pPr>
          </w:p>
        </w:tc>
        <w:tc>
          <w:tcPr>
            <w:tcW w:w="0" w:type="auto"/>
            <w:gridSpan w:val="3"/>
            <w:shd w:val="clear" w:color="auto" w:fill="auto"/>
            <w:vAlign w:val="bottom"/>
          </w:tcPr>
          <w:p w14:paraId="5F2CE856" w14:textId="77777777" w:rsidR="00E836FB" w:rsidRDefault="00E836FB">
            <w:pPr>
              <w:rPr>
                <w:rFonts w:ascii="宋体"/>
                <w:vanish/>
              </w:rPr>
            </w:pPr>
          </w:p>
        </w:tc>
        <w:tc>
          <w:tcPr>
            <w:tcW w:w="0" w:type="auto"/>
            <w:gridSpan w:val="3"/>
            <w:shd w:val="clear" w:color="auto" w:fill="auto"/>
            <w:vAlign w:val="bottom"/>
          </w:tcPr>
          <w:p w14:paraId="5F2CE857" w14:textId="77777777" w:rsidR="00E836FB" w:rsidRDefault="00E836FB">
            <w:pPr>
              <w:rPr>
                <w:rFonts w:ascii="宋体"/>
                <w:vanish/>
              </w:rPr>
            </w:pPr>
          </w:p>
        </w:tc>
        <w:tc>
          <w:tcPr>
            <w:tcW w:w="0" w:type="auto"/>
            <w:gridSpan w:val="3"/>
            <w:shd w:val="clear" w:color="auto" w:fill="auto"/>
            <w:vAlign w:val="bottom"/>
          </w:tcPr>
          <w:p w14:paraId="5F2CE858" w14:textId="77777777" w:rsidR="00E836FB" w:rsidRDefault="00E836FB">
            <w:pPr>
              <w:rPr>
                <w:rFonts w:ascii="宋体"/>
                <w:vanish/>
              </w:rPr>
            </w:pPr>
          </w:p>
        </w:tc>
        <w:tc>
          <w:tcPr>
            <w:tcW w:w="0" w:type="auto"/>
            <w:gridSpan w:val="3"/>
            <w:shd w:val="clear" w:color="auto" w:fill="auto"/>
            <w:vAlign w:val="bottom"/>
          </w:tcPr>
          <w:p w14:paraId="5F2CE859" w14:textId="77777777" w:rsidR="00E836FB" w:rsidRDefault="00E836FB">
            <w:pPr>
              <w:rPr>
                <w:rFonts w:ascii="宋体"/>
                <w:vanish/>
              </w:rPr>
            </w:pPr>
          </w:p>
        </w:tc>
        <w:tc>
          <w:tcPr>
            <w:tcW w:w="0" w:type="auto"/>
            <w:gridSpan w:val="3"/>
            <w:shd w:val="clear" w:color="auto" w:fill="auto"/>
            <w:vAlign w:val="bottom"/>
          </w:tcPr>
          <w:p w14:paraId="5F2CE85A" w14:textId="77777777" w:rsidR="00E836FB" w:rsidRDefault="00E836FB">
            <w:pPr>
              <w:rPr>
                <w:rFonts w:ascii="宋体"/>
                <w:vanish/>
              </w:rPr>
            </w:pPr>
          </w:p>
        </w:tc>
        <w:tc>
          <w:tcPr>
            <w:tcW w:w="0" w:type="auto"/>
            <w:gridSpan w:val="3"/>
            <w:shd w:val="clear" w:color="auto" w:fill="auto"/>
            <w:vAlign w:val="bottom"/>
          </w:tcPr>
          <w:p w14:paraId="5F2CE85B" w14:textId="77777777" w:rsidR="00E836FB" w:rsidRDefault="00E836FB">
            <w:pPr>
              <w:rPr>
                <w:rFonts w:ascii="宋体"/>
                <w:vanish/>
              </w:rPr>
            </w:pPr>
          </w:p>
        </w:tc>
        <w:tc>
          <w:tcPr>
            <w:tcW w:w="0" w:type="auto"/>
            <w:gridSpan w:val="3"/>
            <w:shd w:val="clear" w:color="auto" w:fill="auto"/>
            <w:vAlign w:val="bottom"/>
          </w:tcPr>
          <w:p w14:paraId="5F2CE85C" w14:textId="77777777" w:rsidR="00E836FB" w:rsidRDefault="00E836FB">
            <w:pPr>
              <w:rPr>
                <w:rFonts w:ascii="宋体"/>
                <w:vanish/>
              </w:rPr>
            </w:pPr>
          </w:p>
        </w:tc>
        <w:tc>
          <w:tcPr>
            <w:tcW w:w="0" w:type="auto"/>
            <w:gridSpan w:val="3"/>
            <w:shd w:val="clear" w:color="auto" w:fill="auto"/>
            <w:vAlign w:val="bottom"/>
          </w:tcPr>
          <w:p w14:paraId="5F2CE85D" w14:textId="77777777" w:rsidR="00E836FB" w:rsidRDefault="00E836FB">
            <w:pPr>
              <w:rPr>
                <w:rFonts w:ascii="宋体"/>
                <w:vanish/>
              </w:rPr>
            </w:pPr>
          </w:p>
        </w:tc>
        <w:tc>
          <w:tcPr>
            <w:tcW w:w="0" w:type="auto"/>
            <w:gridSpan w:val="3"/>
            <w:shd w:val="clear" w:color="auto" w:fill="auto"/>
            <w:vAlign w:val="bottom"/>
          </w:tcPr>
          <w:p w14:paraId="5F2CE85E" w14:textId="77777777" w:rsidR="00E836FB" w:rsidRDefault="00E836FB">
            <w:pPr>
              <w:rPr>
                <w:rFonts w:ascii="宋体"/>
                <w:vanish/>
              </w:rPr>
            </w:pPr>
          </w:p>
        </w:tc>
      </w:tr>
      <w:tr w:rsidR="00E836FB" w14:paraId="5F2CE86C" w14:textId="77777777">
        <w:trPr>
          <w:hidden/>
        </w:trPr>
        <w:tc>
          <w:tcPr>
            <w:tcW w:w="0" w:type="auto"/>
            <w:gridSpan w:val="3"/>
            <w:shd w:val="clear" w:color="auto" w:fill="auto"/>
            <w:vAlign w:val="bottom"/>
          </w:tcPr>
          <w:p w14:paraId="5F2CE860" w14:textId="77777777" w:rsidR="00E836FB" w:rsidRDefault="00E836FB">
            <w:pPr>
              <w:rPr>
                <w:rFonts w:ascii="宋体"/>
                <w:vanish/>
              </w:rPr>
            </w:pPr>
          </w:p>
        </w:tc>
        <w:tc>
          <w:tcPr>
            <w:tcW w:w="0" w:type="auto"/>
            <w:gridSpan w:val="3"/>
            <w:shd w:val="clear" w:color="auto" w:fill="auto"/>
            <w:vAlign w:val="bottom"/>
          </w:tcPr>
          <w:p w14:paraId="5F2CE861" w14:textId="77777777" w:rsidR="00E836FB" w:rsidRDefault="00E836FB">
            <w:pPr>
              <w:rPr>
                <w:rFonts w:ascii="宋体"/>
                <w:vanish/>
              </w:rPr>
            </w:pPr>
          </w:p>
        </w:tc>
        <w:tc>
          <w:tcPr>
            <w:tcW w:w="0" w:type="auto"/>
            <w:gridSpan w:val="3"/>
            <w:shd w:val="clear" w:color="auto" w:fill="auto"/>
            <w:vAlign w:val="bottom"/>
          </w:tcPr>
          <w:p w14:paraId="5F2CE862" w14:textId="77777777" w:rsidR="00E836FB" w:rsidRDefault="00E836FB">
            <w:pPr>
              <w:rPr>
                <w:rFonts w:ascii="宋体"/>
                <w:vanish/>
              </w:rPr>
            </w:pPr>
          </w:p>
        </w:tc>
        <w:tc>
          <w:tcPr>
            <w:tcW w:w="0" w:type="auto"/>
            <w:gridSpan w:val="3"/>
            <w:shd w:val="clear" w:color="auto" w:fill="auto"/>
            <w:vAlign w:val="bottom"/>
          </w:tcPr>
          <w:p w14:paraId="5F2CE863" w14:textId="77777777" w:rsidR="00E836FB" w:rsidRDefault="00E836FB">
            <w:pPr>
              <w:rPr>
                <w:rFonts w:ascii="宋体"/>
                <w:vanish/>
              </w:rPr>
            </w:pPr>
          </w:p>
        </w:tc>
        <w:tc>
          <w:tcPr>
            <w:tcW w:w="0" w:type="auto"/>
            <w:gridSpan w:val="3"/>
            <w:shd w:val="clear" w:color="auto" w:fill="auto"/>
            <w:vAlign w:val="bottom"/>
          </w:tcPr>
          <w:p w14:paraId="5F2CE864" w14:textId="77777777" w:rsidR="00E836FB" w:rsidRDefault="00E836FB">
            <w:pPr>
              <w:rPr>
                <w:rFonts w:ascii="宋体"/>
                <w:vanish/>
              </w:rPr>
            </w:pPr>
          </w:p>
        </w:tc>
        <w:tc>
          <w:tcPr>
            <w:tcW w:w="0" w:type="auto"/>
            <w:gridSpan w:val="3"/>
            <w:shd w:val="clear" w:color="auto" w:fill="auto"/>
            <w:vAlign w:val="bottom"/>
          </w:tcPr>
          <w:p w14:paraId="5F2CE865" w14:textId="77777777" w:rsidR="00E836FB" w:rsidRDefault="00E836FB">
            <w:pPr>
              <w:rPr>
                <w:rFonts w:ascii="宋体"/>
                <w:vanish/>
              </w:rPr>
            </w:pPr>
          </w:p>
        </w:tc>
        <w:tc>
          <w:tcPr>
            <w:tcW w:w="0" w:type="auto"/>
            <w:gridSpan w:val="3"/>
            <w:shd w:val="clear" w:color="auto" w:fill="auto"/>
            <w:vAlign w:val="bottom"/>
          </w:tcPr>
          <w:p w14:paraId="5F2CE866" w14:textId="77777777" w:rsidR="00E836FB" w:rsidRDefault="00E836FB">
            <w:pPr>
              <w:rPr>
                <w:rFonts w:ascii="宋体"/>
                <w:vanish/>
              </w:rPr>
            </w:pPr>
          </w:p>
        </w:tc>
        <w:tc>
          <w:tcPr>
            <w:tcW w:w="0" w:type="auto"/>
            <w:gridSpan w:val="3"/>
            <w:shd w:val="clear" w:color="auto" w:fill="auto"/>
            <w:vAlign w:val="bottom"/>
          </w:tcPr>
          <w:p w14:paraId="5F2CE867" w14:textId="77777777" w:rsidR="00E836FB" w:rsidRDefault="00E836FB">
            <w:pPr>
              <w:rPr>
                <w:rFonts w:ascii="宋体"/>
                <w:vanish/>
              </w:rPr>
            </w:pPr>
          </w:p>
        </w:tc>
        <w:tc>
          <w:tcPr>
            <w:tcW w:w="0" w:type="auto"/>
            <w:gridSpan w:val="3"/>
            <w:shd w:val="clear" w:color="auto" w:fill="auto"/>
            <w:vAlign w:val="bottom"/>
          </w:tcPr>
          <w:p w14:paraId="5F2CE868" w14:textId="77777777" w:rsidR="00E836FB" w:rsidRDefault="00E836FB">
            <w:pPr>
              <w:rPr>
                <w:rFonts w:ascii="宋体"/>
                <w:vanish/>
              </w:rPr>
            </w:pPr>
          </w:p>
        </w:tc>
        <w:tc>
          <w:tcPr>
            <w:tcW w:w="0" w:type="auto"/>
            <w:gridSpan w:val="3"/>
            <w:shd w:val="clear" w:color="auto" w:fill="auto"/>
            <w:vAlign w:val="bottom"/>
          </w:tcPr>
          <w:p w14:paraId="5F2CE869" w14:textId="77777777" w:rsidR="00E836FB" w:rsidRDefault="00E836FB">
            <w:pPr>
              <w:rPr>
                <w:rFonts w:ascii="宋体"/>
                <w:vanish/>
              </w:rPr>
            </w:pPr>
          </w:p>
        </w:tc>
        <w:tc>
          <w:tcPr>
            <w:tcW w:w="0" w:type="auto"/>
            <w:gridSpan w:val="3"/>
            <w:shd w:val="clear" w:color="auto" w:fill="auto"/>
            <w:vAlign w:val="bottom"/>
          </w:tcPr>
          <w:p w14:paraId="5F2CE86A" w14:textId="77777777" w:rsidR="00E836FB" w:rsidRDefault="00E836FB">
            <w:pPr>
              <w:rPr>
                <w:rFonts w:ascii="宋体"/>
                <w:vanish/>
              </w:rPr>
            </w:pPr>
          </w:p>
        </w:tc>
        <w:tc>
          <w:tcPr>
            <w:tcW w:w="0" w:type="auto"/>
            <w:gridSpan w:val="3"/>
            <w:shd w:val="clear" w:color="auto" w:fill="auto"/>
            <w:vAlign w:val="bottom"/>
          </w:tcPr>
          <w:p w14:paraId="5F2CE86B" w14:textId="77777777" w:rsidR="00E836FB" w:rsidRDefault="00E836FB">
            <w:pPr>
              <w:rPr>
                <w:rFonts w:ascii="宋体"/>
                <w:vanish/>
              </w:rPr>
            </w:pPr>
          </w:p>
        </w:tc>
      </w:tr>
      <w:tr w:rsidR="00E836FB" w14:paraId="5F2CE879" w14:textId="77777777">
        <w:trPr>
          <w:hidden/>
        </w:trPr>
        <w:tc>
          <w:tcPr>
            <w:tcW w:w="0" w:type="auto"/>
            <w:gridSpan w:val="3"/>
            <w:shd w:val="clear" w:color="auto" w:fill="auto"/>
            <w:vAlign w:val="bottom"/>
          </w:tcPr>
          <w:p w14:paraId="5F2CE86D" w14:textId="77777777" w:rsidR="00E836FB" w:rsidRDefault="00E836FB">
            <w:pPr>
              <w:rPr>
                <w:rFonts w:ascii="宋体"/>
                <w:vanish/>
              </w:rPr>
            </w:pPr>
          </w:p>
        </w:tc>
        <w:tc>
          <w:tcPr>
            <w:tcW w:w="0" w:type="auto"/>
            <w:gridSpan w:val="3"/>
            <w:shd w:val="clear" w:color="auto" w:fill="auto"/>
            <w:vAlign w:val="bottom"/>
          </w:tcPr>
          <w:p w14:paraId="5F2CE86E" w14:textId="77777777" w:rsidR="00E836FB" w:rsidRDefault="00E836FB">
            <w:pPr>
              <w:rPr>
                <w:rFonts w:ascii="宋体"/>
                <w:vanish/>
              </w:rPr>
            </w:pPr>
          </w:p>
        </w:tc>
        <w:tc>
          <w:tcPr>
            <w:tcW w:w="0" w:type="auto"/>
            <w:gridSpan w:val="3"/>
            <w:shd w:val="clear" w:color="auto" w:fill="auto"/>
            <w:vAlign w:val="bottom"/>
          </w:tcPr>
          <w:p w14:paraId="5F2CE86F" w14:textId="77777777" w:rsidR="00E836FB" w:rsidRDefault="00E836FB">
            <w:pPr>
              <w:rPr>
                <w:rFonts w:ascii="宋体"/>
                <w:vanish/>
              </w:rPr>
            </w:pPr>
          </w:p>
        </w:tc>
        <w:tc>
          <w:tcPr>
            <w:tcW w:w="0" w:type="auto"/>
            <w:gridSpan w:val="3"/>
            <w:shd w:val="clear" w:color="auto" w:fill="auto"/>
            <w:vAlign w:val="bottom"/>
          </w:tcPr>
          <w:p w14:paraId="5F2CE870" w14:textId="77777777" w:rsidR="00E836FB" w:rsidRDefault="00E836FB">
            <w:pPr>
              <w:rPr>
                <w:rFonts w:ascii="宋体"/>
                <w:vanish/>
              </w:rPr>
            </w:pPr>
          </w:p>
        </w:tc>
        <w:tc>
          <w:tcPr>
            <w:tcW w:w="0" w:type="auto"/>
            <w:gridSpan w:val="3"/>
            <w:shd w:val="clear" w:color="auto" w:fill="auto"/>
            <w:vAlign w:val="bottom"/>
          </w:tcPr>
          <w:p w14:paraId="5F2CE871" w14:textId="77777777" w:rsidR="00E836FB" w:rsidRDefault="00E836FB">
            <w:pPr>
              <w:rPr>
                <w:rFonts w:ascii="宋体"/>
                <w:vanish/>
              </w:rPr>
            </w:pPr>
          </w:p>
        </w:tc>
        <w:tc>
          <w:tcPr>
            <w:tcW w:w="0" w:type="auto"/>
            <w:gridSpan w:val="3"/>
            <w:shd w:val="clear" w:color="auto" w:fill="auto"/>
            <w:vAlign w:val="bottom"/>
          </w:tcPr>
          <w:p w14:paraId="5F2CE872" w14:textId="77777777" w:rsidR="00E836FB" w:rsidRDefault="00E836FB">
            <w:pPr>
              <w:rPr>
                <w:rFonts w:ascii="宋体"/>
                <w:vanish/>
              </w:rPr>
            </w:pPr>
          </w:p>
        </w:tc>
        <w:tc>
          <w:tcPr>
            <w:tcW w:w="0" w:type="auto"/>
            <w:gridSpan w:val="3"/>
            <w:shd w:val="clear" w:color="auto" w:fill="auto"/>
            <w:vAlign w:val="bottom"/>
          </w:tcPr>
          <w:p w14:paraId="5F2CE873" w14:textId="77777777" w:rsidR="00E836FB" w:rsidRDefault="00E836FB">
            <w:pPr>
              <w:rPr>
                <w:rFonts w:ascii="宋体"/>
                <w:vanish/>
              </w:rPr>
            </w:pPr>
          </w:p>
        </w:tc>
        <w:tc>
          <w:tcPr>
            <w:tcW w:w="0" w:type="auto"/>
            <w:gridSpan w:val="3"/>
            <w:shd w:val="clear" w:color="auto" w:fill="auto"/>
            <w:vAlign w:val="bottom"/>
          </w:tcPr>
          <w:p w14:paraId="5F2CE874" w14:textId="77777777" w:rsidR="00E836FB" w:rsidRDefault="00E836FB">
            <w:pPr>
              <w:rPr>
                <w:rFonts w:ascii="宋体"/>
                <w:vanish/>
              </w:rPr>
            </w:pPr>
          </w:p>
        </w:tc>
        <w:tc>
          <w:tcPr>
            <w:tcW w:w="0" w:type="auto"/>
            <w:gridSpan w:val="3"/>
            <w:shd w:val="clear" w:color="auto" w:fill="auto"/>
            <w:vAlign w:val="bottom"/>
          </w:tcPr>
          <w:p w14:paraId="5F2CE875" w14:textId="77777777" w:rsidR="00E836FB" w:rsidRDefault="00E836FB">
            <w:pPr>
              <w:rPr>
                <w:rFonts w:ascii="宋体"/>
                <w:vanish/>
              </w:rPr>
            </w:pPr>
          </w:p>
        </w:tc>
        <w:tc>
          <w:tcPr>
            <w:tcW w:w="0" w:type="auto"/>
            <w:gridSpan w:val="3"/>
            <w:shd w:val="clear" w:color="auto" w:fill="auto"/>
            <w:vAlign w:val="bottom"/>
          </w:tcPr>
          <w:p w14:paraId="5F2CE876" w14:textId="77777777" w:rsidR="00E836FB" w:rsidRDefault="00E836FB">
            <w:pPr>
              <w:rPr>
                <w:rFonts w:ascii="宋体"/>
                <w:vanish/>
              </w:rPr>
            </w:pPr>
          </w:p>
        </w:tc>
        <w:tc>
          <w:tcPr>
            <w:tcW w:w="0" w:type="auto"/>
            <w:gridSpan w:val="3"/>
            <w:shd w:val="clear" w:color="auto" w:fill="auto"/>
            <w:vAlign w:val="bottom"/>
          </w:tcPr>
          <w:p w14:paraId="5F2CE877" w14:textId="77777777" w:rsidR="00E836FB" w:rsidRDefault="00E836FB">
            <w:pPr>
              <w:rPr>
                <w:rFonts w:ascii="宋体"/>
                <w:vanish/>
              </w:rPr>
            </w:pPr>
          </w:p>
        </w:tc>
        <w:tc>
          <w:tcPr>
            <w:tcW w:w="0" w:type="auto"/>
            <w:gridSpan w:val="3"/>
            <w:shd w:val="clear" w:color="auto" w:fill="auto"/>
            <w:vAlign w:val="bottom"/>
          </w:tcPr>
          <w:p w14:paraId="5F2CE878" w14:textId="77777777" w:rsidR="00E836FB" w:rsidRDefault="00E836FB">
            <w:pPr>
              <w:rPr>
                <w:rFonts w:ascii="宋体"/>
                <w:vanish/>
              </w:rPr>
            </w:pPr>
          </w:p>
        </w:tc>
      </w:tr>
      <w:tr w:rsidR="00E836FB" w14:paraId="5F2CE886" w14:textId="77777777">
        <w:trPr>
          <w:hidden/>
        </w:trPr>
        <w:tc>
          <w:tcPr>
            <w:tcW w:w="0" w:type="auto"/>
            <w:gridSpan w:val="3"/>
            <w:shd w:val="clear" w:color="auto" w:fill="auto"/>
            <w:vAlign w:val="bottom"/>
          </w:tcPr>
          <w:p w14:paraId="5F2CE87A" w14:textId="77777777" w:rsidR="00E836FB" w:rsidRDefault="00E836FB">
            <w:pPr>
              <w:rPr>
                <w:rFonts w:ascii="宋体"/>
                <w:vanish/>
              </w:rPr>
            </w:pPr>
          </w:p>
        </w:tc>
        <w:tc>
          <w:tcPr>
            <w:tcW w:w="0" w:type="auto"/>
            <w:gridSpan w:val="3"/>
            <w:shd w:val="clear" w:color="auto" w:fill="auto"/>
            <w:vAlign w:val="bottom"/>
          </w:tcPr>
          <w:p w14:paraId="5F2CE87B" w14:textId="77777777" w:rsidR="00E836FB" w:rsidRDefault="00E836FB">
            <w:pPr>
              <w:rPr>
                <w:rFonts w:ascii="宋体"/>
                <w:vanish/>
              </w:rPr>
            </w:pPr>
          </w:p>
        </w:tc>
        <w:tc>
          <w:tcPr>
            <w:tcW w:w="0" w:type="auto"/>
            <w:gridSpan w:val="3"/>
            <w:shd w:val="clear" w:color="auto" w:fill="auto"/>
            <w:vAlign w:val="bottom"/>
          </w:tcPr>
          <w:p w14:paraId="5F2CE87C" w14:textId="77777777" w:rsidR="00E836FB" w:rsidRDefault="00E836FB">
            <w:pPr>
              <w:rPr>
                <w:rFonts w:ascii="宋体"/>
                <w:vanish/>
              </w:rPr>
            </w:pPr>
          </w:p>
        </w:tc>
        <w:tc>
          <w:tcPr>
            <w:tcW w:w="0" w:type="auto"/>
            <w:gridSpan w:val="3"/>
            <w:shd w:val="clear" w:color="auto" w:fill="auto"/>
            <w:vAlign w:val="bottom"/>
          </w:tcPr>
          <w:p w14:paraId="5F2CE87D" w14:textId="77777777" w:rsidR="00E836FB" w:rsidRDefault="00E836FB">
            <w:pPr>
              <w:rPr>
                <w:rFonts w:ascii="宋体"/>
                <w:vanish/>
              </w:rPr>
            </w:pPr>
          </w:p>
        </w:tc>
        <w:tc>
          <w:tcPr>
            <w:tcW w:w="0" w:type="auto"/>
            <w:gridSpan w:val="3"/>
            <w:shd w:val="clear" w:color="auto" w:fill="auto"/>
            <w:vAlign w:val="bottom"/>
          </w:tcPr>
          <w:p w14:paraId="5F2CE87E" w14:textId="77777777" w:rsidR="00E836FB" w:rsidRDefault="00E836FB">
            <w:pPr>
              <w:rPr>
                <w:rFonts w:ascii="宋体"/>
                <w:vanish/>
              </w:rPr>
            </w:pPr>
          </w:p>
        </w:tc>
        <w:tc>
          <w:tcPr>
            <w:tcW w:w="0" w:type="auto"/>
            <w:gridSpan w:val="3"/>
            <w:shd w:val="clear" w:color="auto" w:fill="auto"/>
            <w:vAlign w:val="bottom"/>
          </w:tcPr>
          <w:p w14:paraId="5F2CE87F" w14:textId="77777777" w:rsidR="00E836FB" w:rsidRDefault="00E836FB">
            <w:pPr>
              <w:rPr>
                <w:rFonts w:ascii="宋体"/>
                <w:vanish/>
              </w:rPr>
            </w:pPr>
          </w:p>
        </w:tc>
        <w:tc>
          <w:tcPr>
            <w:tcW w:w="0" w:type="auto"/>
            <w:gridSpan w:val="3"/>
            <w:shd w:val="clear" w:color="auto" w:fill="auto"/>
            <w:vAlign w:val="bottom"/>
          </w:tcPr>
          <w:p w14:paraId="5F2CE880" w14:textId="77777777" w:rsidR="00E836FB" w:rsidRDefault="00E836FB">
            <w:pPr>
              <w:rPr>
                <w:rFonts w:ascii="宋体"/>
                <w:vanish/>
              </w:rPr>
            </w:pPr>
          </w:p>
        </w:tc>
        <w:tc>
          <w:tcPr>
            <w:tcW w:w="0" w:type="auto"/>
            <w:gridSpan w:val="3"/>
            <w:shd w:val="clear" w:color="auto" w:fill="auto"/>
            <w:vAlign w:val="bottom"/>
          </w:tcPr>
          <w:p w14:paraId="5F2CE881" w14:textId="77777777" w:rsidR="00E836FB" w:rsidRDefault="00E836FB">
            <w:pPr>
              <w:rPr>
                <w:rFonts w:ascii="宋体"/>
                <w:vanish/>
              </w:rPr>
            </w:pPr>
          </w:p>
        </w:tc>
        <w:tc>
          <w:tcPr>
            <w:tcW w:w="0" w:type="auto"/>
            <w:gridSpan w:val="3"/>
            <w:shd w:val="clear" w:color="auto" w:fill="auto"/>
            <w:vAlign w:val="bottom"/>
          </w:tcPr>
          <w:p w14:paraId="5F2CE882" w14:textId="77777777" w:rsidR="00E836FB" w:rsidRDefault="00E836FB">
            <w:pPr>
              <w:rPr>
                <w:rFonts w:ascii="宋体"/>
                <w:vanish/>
              </w:rPr>
            </w:pPr>
          </w:p>
        </w:tc>
        <w:tc>
          <w:tcPr>
            <w:tcW w:w="0" w:type="auto"/>
            <w:gridSpan w:val="3"/>
            <w:shd w:val="clear" w:color="auto" w:fill="auto"/>
            <w:vAlign w:val="bottom"/>
          </w:tcPr>
          <w:p w14:paraId="5F2CE883" w14:textId="77777777" w:rsidR="00E836FB" w:rsidRDefault="00E836FB">
            <w:pPr>
              <w:rPr>
                <w:rFonts w:ascii="宋体"/>
                <w:vanish/>
              </w:rPr>
            </w:pPr>
          </w:p>
        </w:tc>
        <w:tc>
          <w:tcPr>
            <w:tcW w:w="0" w:type="auto"/>
            <w:gridSpan w:val="3"/>
            <w:shd w:val="clear" w:color="auto" w:fill="auto"/>
            <w:vAlign w:val="bottom"/>
          </w:tcPr>
          <w:p w14:paraId="5F2CE884" w14:textId="77777777" w:rsidR="00E836FB" w:rsidRDefault="00E836FB">
            <w:pPr>
              <w:rPr>
                <w:rFonts w:ascii="宋体"/>
                <w:vanish/>
              </w:rPr>
            </w:pPr>
          </w:p>
        </w:tc>
        <w:tc>
          <w:tcPr>
            <w:tcW w:w="0" w:type="auto"/>
            <w:gridSpan w:val="3"/>
            <w:shd w:val="clear" w:color="auto" w:fill="auto"/>
            <w:vAlign w:val="bottom"/>
          </w:tcPr>
          <w:p w14:paraId="5F2CE885" w14:textId="77777777" w:rsidR="00E836FB" w:rsidRDefault="00E836FB">
            <w:pPr>
              <w:rPr>
                <w:rFonts w:ascii="宋体"/>
                <w:vanish/>
              </w:rPr>
            </w:pPr>
          </w:p>
        </w:tc>
      </w:tr>
      <w:tr w:rsidR="00E836FB" w14:paraId="5F2CE893" w14:textId="77777777">
        <w:trPr>
          <w:hidden/>
        </w:trPr>
        <w:tc>
          <w:tcPr>
            <w:tcW w:w="0" w:type="auto"/>
            <w:gridSpan w:val="3"/>
            <w:shd w:val="clear" w:color="auto" w:fill="auto"/>
            <w:vAlign w:val="bottom"/>
          </w:tcPr>
          <w:p w14:paraId="5F2CE887" w14:textId="77777777" w:rsidR="00E836FB" w:rsidRDefault="00E836FB">
            <w:pPr>
              <w:rPr>
                <w:rFonts w:ascii="宋体"/>
                <w:vanish/>
              </w:rPr>
            </w:pPr>
          </w:p>
        </w:tc>
        <w:tc>
          <w:tcPr>
            <w:tcW w:w="0" w:type="auto"/>
            <w:gridSpan w:val="3"/>
            <w:shd w:val="clear" w:color="auto" w:fill="auto"/>
            <w:vAlign w:val="bottom"/>
          </w:tcPr>
          <w:p w14:paraId="5F2CE888" w14:textId="77777777" w:rsidR="00E836FB" w:rsidRDefault="00E836FB">
            <w:pPr>
              <w:rPr>
                <w:rFonts w:ascii="宋体"/>
                <w:vanish/>
              </w:rPr>
            </w:pPr>
          </w:p>
        </w:tc>
        <w:tc>
          <w:tcPr>
            <w:tcW w:w="0" w:type="auto"/>
            <w:gridSpan w:val="3"/>
            <w:shd w:val="clear" w:color="auto" w:fill="auto"/>
            <w:vAlign w:val="bottom"/>
          </w:tcPr>
          <w:p w14:paraId="5F2CE889" w14:textId="77777777" w:rsidR="00E836FB" w:rsidRDefault="00E836FB">
            <w:pPr>
              <w:rPr>
                <w:rFonts w:ascii="宋体"/>
                <w:vanish/>
              </w:rPr>
            </w:pPr>
          </w:p>
        </w:tc>
        <w:tc>
          <w:tcPr>
            <w:tcW w:w="0" w:type="auto"/>
            <w:gridSpan w:val="3"/>
            <w:shd w:val="clear" w:color="auto" w:fill="auto"/>
            <w:vAlign w:val="bottom"/>
          </w:tcPr>
          <w:p w14:paraId="5F2CE88A" w14:textId="77777777" w:rsidR="00E836FB" w:rsidRDefault="00E836FB">
            <w:pPr>
              <w:rPr>
                <w:rFonts w:ascii="宋体"/>
                <w:vanish/>
              </w:rPr>
            </w:pPr>
          </w:p>
        </w:tc>
        <w:tc>
          <w:tcPr>
            <w:tcW w:w="0" w:type="auto"/>
            <w:gridSpan w:val="3"/>
            <w:shd w:val="clear" w:color="auto" w:fill="auto"/>
            <w:vAlign w:val="bottom"/>
          </w:tcPr>
          <w:p w14:paraId="5F2CE88B" w14:textId="77777777" w:rsidR="00E836FB" w:rsidRDefault="00E836FB">
            <w:pPr>
              <w:rPr>
                <w:rFonts w:ascii="宋体"/>
                <w:vanish/>
              </w:rPr>
            </w:pPr>
          </w:p>
        </w:tc>
        <w:tc>
          <w:tcPr>
            <w:tcW w:w="0" w:type="auto"/>
            <w:gridSpan w:val="3"/>
            <w:shd w:val="clear" w:color="auto" w:fill="auto"/>
            <w:vAlign w:val="bottom"/>
          </w:tcPr>
          <w:p w14:paraId="5F2CE88C" w14:textId="77777777" w:rsidR="00E836FB" w:rsidRDefault="00E836FB">
            <w:pPr>
              <w:rPr>
                <w:rFonts w:ascii="宋体"/>
                <w:vanish/>
              </w:rPr>
            </w:pPr>
          </w:p>
        </w:tc>
        <w:tc>
          <w:tcPr>
            <w:tcW w:w="0" w:type="auto"/>
            <w:gridSpan w:val="3"/>
            <w:shd w:val="clear" w:color="auto" w:fill="auto"/>
            <w:vAlign w:val="bottom"/>
          </w:tcPr>
          <w:p w14:paraId="5F2CE88D" w14:textId="77777777" w:rsidR="00E836FB" w:rsidRDefault="00E836FB">
            <w:pPr>
              <w:rPr>
                <w:rFonts w:ascii="宋体"/>
                <w:vanish/>
              </w:rPr>
            </w:pPr>
          </w:p>
        </w:tc>
        <w:tc>
          <w:tcPr>
            <w:tcW w:w="0" w:type="auto"/>
            <w:gridSpan w:val="3"/>
            <w:shd w:val="clear" w:color="auto" w:fill="auto"/>
            <w:vAlign w:val="bottom"/>
          </w:tcPr>
          <w:p w14:paraId="5F2CE88E" w14:textId="77777777" w:rsidR="00E836FB" w:rsidRDefault="00E836FB">
            <w:pPr>
              <w:rPr>
                <w:rFonts w:ascii="宋体"/>
                <w:vanish/>
              </w:rPr>
            </w:pPr>
          </w:p>
        </w:tc>
        <w:tc>
          <w:tcPr>
            <w:tcW w:w="0" w:type="auto"/>
            <w:gridSpan w:val="3"/>
            <w:shd w:val="clear" w:color="auto" w:fill="auto"/>
            <w:vAlign w:val="bottom"/>
          </w:tcPr>
          <w:p w14:paraId="5F2CE88F" w14:textId="77777777" w:rsidR="00E836FB" w:rsidRDefault="00E836FB">
            <w:pPr>
              <w:rPr>
                <w:rFonts w:ascii="宋体"/>
                <w:vanish/>
              </w:rPr>
            </w:pPr>
          </w:p>
        </w:tc>
        <w:tc>
          <w:tcPr>
            <w:tcW w:w="0" w:type="auto"/>
            <w:gridSpan w:val="3"/>
            <w:shd w:val="clear" w:color="auto" w:fill="auto"/>
            <w:vAlign w:val="bottom"/>
          </w:tcPr>
          <w:p w14:paraId="5F2CE890" w14:textId="77777777" w:rsidR="00E836FB" w:rsidRDefault="00E836FB">
            <w:pPr>
              <w:rPr>
                <w:rFonts w:ascii="宋体"/>
                <w:vanish/>
              </w:rPr>
            </w:pPr>
          </w:p>
        </w:tc>
        <w:tc>
          <w:tcPr>
            <w:tcW w:w="0" w:type="auto"/>
            <w:gridSpan w:val="3"/>
            <w:shd w:val="clear" w:color="auto" w:fill="auto"/>
            <w:vAlign w:val="bottom"/>
          </w:tcPr>
          <w:p w14:paraId="5F2CE891" w14:textId="77777777" w:rsidR="00E836FB" w:rsidRDefault="00E836FB">
            <w:pPr>
              <w:rPr>
                <w:rFonts w:ascii="宋体"/>
                <w:vanish/>
              </w:rPr>
            </w:pPr>
          </w:p>
        </w:tc>
        <w:tc>
          <w:tcPr>
            <w:tcW w:w="0" w:type="auto"/>
            <w:gridSpan w:val="3"/>
            <w:shd w:val="clear" w:color="auto" w:fill="auto"/>
            <w:vAlign w:val="bottom"/>
          </w:tcPr>
          <w:p w14:paraId="5F2CE892" w14:textId="77777777" w:rsidR="00E836FB" w:rsidRDefault="00E836FB">
            <w:pPr>
              <w:rPr>
                <w:rFonts w:ascii="宋体"/>
                <w:vanish/>
              </w:rPr>
            </w:pPr>
          </w:p>
        </w:tc>
      </w:tr>
      <w:tr w:rsidR="00E836FB" w14:paraId="5F2CE896" w14:textId="77777777">
        <w:tc>
          <w:tcPr>
            <w:tcW w:w="0" w:type="auto"/>
            <w:gridSpan w:val="3"/>
            <w:shd w:val="clear" w:color="auto" w:fill="auto"/>
            <w:tcMar>
              <w:top w:w="0" w:type="dxa"/>
              <w:left w:w="20" w:type="dxa"/>
              <w:bottom w:w="0" w:type="dxa"/>
              <w:right w:w="20" w:type="dxa"/>
            </w:tcMar>
            <w:vAlign w:val="bottom"/>
          </w:tcPr>
          <w:p w14:paraId="5F2CE894" w14:textId="77777777" w:rsidR="00E836FB" w:rsidRDefault="00E836F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F2CE895" w14:textId="77777777" w:rsidR="00E836FB" w:rsidRDefault="00994958">
            <w:pPr>
              <w:jc w:val="center"/>
              <w:textAlignment w:val="bottom"/>
            </w:pPr>
            <w:r>
              <w:rPr>
                <w:rFonts w:ascii="Arial" w:eastAsia="宋体" w:hAnsi="Arial" w:cs="Arial"/>
                <w:b/>
                <w:bCs/>
                <w:color w:val="000000"/>
                <w:sz w:val="16"/>
                <w:szCs w:val="16"/>
              </w:rPr>
              <w:t>Years Ended December 31,</w:t>
            </w:r>
          </w:p>
        </w:tc>
      </w:tr>
      <w:tr w:rsidR="00E836FB" w14:paraId="5F2CE89B" w14:textId="77777777">
        <w:tc>
          <w:tcPr>
            <w:tcW w:w="0" w:type="auto"/>
            <w:gridSpan w:val="3"/>
            <w:shd w:val="clear" w:color="auto" w:fill="auto"/>
            <w:tcMar>
              <w:top w:w="0" w:type="dxa"/>
              <w:left w:w="20" w:type="dxa"/>
              <w:bottom w:w="0" w:type="dxa"/>
              <w:right w:w="20" w:type="dxa"/>
            </w:tcMar>
            <w:vAlign w:val="bottom"/>
          </w:tcPr>
          <w:p w14:paraId="5F2CE897"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E898"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899"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CE89A" w14:textId="77777777" w:rsidR="00E836FB" w:rsidRDefault="00994958">
            <w:pPr>
              <w:jc w:val="center"/>
              <w:textAlignment w:val="bottom"/>
            </w:pPr>
            <w:r>
              <w:rPr>
                <w:rFonts w:ascii="Arial" w:eastAsia="宋体" w:hAnsi="Arial" w:cs="Arial"/>
                <w:b/>
                <w:bCs/>
                <w:color w:val="000000"/>
                <w:sz w:val="16"/>
                <w:szCs w:val="16"/>
              </w:rPr>
              <w:t>2020</w:t>
            </w:r>
          </w:p>
        </w:tc>
      </w:tr>
      <w:tr w:rsidR="00E836FB" w14:paraId="5F2CE8A8" w14:textId="77777777">
        <w:tc>
          <w:tcPr>
            <w:tcW w:w="0" w:type="auto"/>
            <w:gridSpan w:val="3"/>
            <w:shd w:val="clear" w:color="auto" w:fill="auto"/>
            <w:tcMar>
              <w:top w:w="40" w:type="dxa"/>
              <w:left w:w="20" w:type="dxa"/>
              <w:bottom w:w="40" w:type="dxa"/>
              <w:right w:w="20" w:type="dxa"/>
            </w:tcMar>
            <w:vAlign w:val="bottom"/>
          </w:tcPr>
          <w:p w14:paraId="5F2CE89C" w14:textId="77777777" w:rsidR="00E836FB" w:rsidRDefault="00994958">
            <w:pPr>
              <w:textAlignment w:val="bottom"/>
            </w:pPr>
            <w:r>
              <w:rPr>
                <w:rFonts w:ascii="Arial" w:eastAsia="宋体" w:hAnsi="Arial" w:cs="Arial"/>
                <w:b/>
                <w:bCs/>
                <w:color w:val="000000"/>
                <w:sz w:val="16"/>
                <w:szCs w:val="16"/>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89D" w14:textId="77777777" w:rsidR="00E836FB" w:rsidRDefault="00994958">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89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89F" w14:textId="77777777" w:rsidR="00E836FB" w:rsidRDefault="00994958">
            <w:pPr>
              <w:jc w:val="center"/>
              <w:textAlignment w:val="bottom"/>
            </w:pPr>
            <w:r>
              <w:rPr>
                <w:rFonts w:ascii="Arial" w:eastAsia="宋体" w:hAnsi="Arial" w:cs="Arial"/>
                <w:b/>
                <w:bCs/>
                <w:color w:val="000000"/>
                <w:sz w:val="16"/>
                <w:szCs w:val="16"/>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8A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8A1" w14:textId="77777777" w:rsidR="00E836FB" w:rsidRDefault="00994958">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F2CE8A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8A3" w14:textId="77777777" w:rsidR="00E836FB" w:rsidRDefault="00994958">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8A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8A5" w14:textId="77777777" w:rsidR="00E836FB" w:rsidRDefault="00994958">
            <w:pPr>
              <w:jc w:val="center"/>
              <w:textAlignment w:val="bottom"/>
            </w:pPr>
            <w:r>
              <w:rPr>
                <w:rFonts w:ascii="Arial" w:eastAsia="宋体" w:hAnsi="Arial" w:cs="Arial"/>
                <w:b/>
                <w:bCs/>
                <w:color w:val="000000"/>
                <w:sz w:val="16"/>
                <w:szCs w:val="16"/>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8A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8A7" w14:textId="77777777" w:rsidR="00E836FB" w:rsidRDefault="00994958">
            <w:pPr>
              <w:jc w:val="center"/>
              <w:textAlignment w:val="bottom"/>
            </w:pPr>
            <w:r>
              <w:rPr>
                <w:rFonts w:ascii="Arial" w:eastAsia="宋体" w:hAnsi="Arial" w:cs="Arial"/>
                <w:b/>
                <w:bCs/>
                <w:color w:val="000000"/>
                <w:sz w:val="16"/>
                <w:szCs w:val="16"/>
              </w:rPr>
              <w:t>Total</w:t>
            </w:r>
          </w:p>
        </w:tc>
      </w:tr>
      <w:tr w:rsidR="00E836FB" w14:paraId="5F2CE8B5" w14:textId="77777777">
        <w:tc>
          <w:tcPr>
            <w:tcW w:w="0" w:type="auto"/>
            <w:gridSpan w:val="3"/>
            <w:shd w:val="clear" w:color="auto" w:fill="FFFFFF"/>
            <w:tcMar>
              <w:top w:w="40" w:type="dxa"/>
              <w:left w:w="20" w:type="dxa"/>
              <w:bottom w:w="40" w:type="dxa"/>
              <w:right w:w="20" w:type="dxa"/>
            </w:tcMar>
            <w:vAlign w:val="bottom"/>
          </w:tcPr>
          <w:p w14:paraId="5F2CE8A9" w14:textId="77777777" w:rsidR="00E836FB" w:rsidRDefault="00994958">
            <w:pPr>
              <w:textAlignment w:val="bottom"/>
            </w:pPr>
            <w:r>
              <w:rPr>
                <w:rFonts w:ascii="Arial" w:eastAsia="宋体" w:hAnsi="Arial" w:cs="Arial"/>
                <w:b/>
                <w:bCs/>
                <w:color w:val="000000"/>
                <w:sz w:val="16"/>
                <w:szCs w:val="16"/>
              </w:rPr>
              <w:t xml:space="preserve">Preferred </w:t>
            </w:r>
            <w:r>
              <w:rPr>
                <w:rFonts w:ascii="Arial" w:eastAsia="宋体" w:hAnsi="Arial" w:cs="Arial"/>
                <w:b/>
                <w:bCs/>
                <w:color w:val="000000"/>
                <w:sz w:val="16"/>
                <w:szCs w:val="16"/>
              </w:rPr>
              <w:t>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8A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8AB"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8A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8A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8A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8AF"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8B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8B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8B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8B3"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E8B4" w14:textId="77777777" w:rsidR="00E836FB" w:rsidRDefault="00E836FB">
            <w:pPr>
              <w:rPr>
                <w:rFonts w:ascii="宋体"/>
              </w:rPr>
            </w:pPr>
          </w:p>
        </w:tc>
      </w:tr>
      <w:tr w:rsidR="00E836FB" w14:paraId="5F2CE8CE" w14:textId="77777777">
        <w:tc>
          <w:tcPr>
            <w:tcW w:w="0" w:type="auto"/>
            <w:gridSpan w:val="3"/>
            <w:shd w:val="clear" w:color="auto" w:fill="CCEEFF"/>
            <w:tcMar>
              <w:top w:w="40" w:type="dxa"/>
              <w:left w:w="20" w:type="dxa"/>
              <w:bottom w:w="40" w:type="dxa"/>
              <w:right w:w="20" w:type="dxa"/>
            </w:tcMar>
            <w:vAlign w:val="bottom"/>
          </w:tcPr>
          <w:p w14:paraId="5F2CE8B6" w14:textId="77777777" w:rsidR="00E836FB" w:rsidRDefault="00994958">
            <w:pPr>
              <w:textAlignment w:val="bottom"/>
            </w:pPr>
            <w:r>
              <w:rPr>
                <w:rFonts w:ascii="Arial" w:eastAsia="宋体" w:hAnsi="Arial" w:cs="Arial"/>
                <w:color w:val="000000"/>
                <w:sz w:val="16"/>
                <w:szCs w:val="16"/>
              </w:rPr>
              <w:t>Series C</w:t>
            </w:r>
          </w:p>
        </w:tc>
        <w:tc>
          <w:tcPr>
            <w:tcW w:w="0" w:type="auto"/>
            <w:shd w:val="clear" w:color="auto" w:fill="CCEEFF"/>
            <w:tcMar>
              <w:top w:w="40" w:type="dxa"/>
              <w:left w:w="20" w:type="dxa"/>
              <w:bottom w:w="40" w:type="dxa"/>
              <w:right w:w="0" w:type="dxa"/>
            </w:tcMar>
            <w:vAlign w:val="bottom"/>
          </w:tcPr>
          <w:p w14:paraId="5F2CE8B7"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F2CE8B8"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8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B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8BB"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F2CE8BC"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8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B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8BF"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F2CE8C0"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8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C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8C3"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CE8C4" w14:textId="77777777" w:rsidR="00E836FB" w:rsidRDefault="00994958">
            <w:pPr>
              <w:jc w:val="right"/>
              <w:textAlignment w:val="bottom"/>
            </w:pPr>
            <w:r>
              <w:rPr>
                <w:rFonts w:ascii="Arial" w:eastAsia="宋体" w:hAnsi="Arial" w:cs="Arial"/>
                <w:color w:val="000000"/>
                <w:sz w:val="16"/>
                <w:szCs w:val="16"/>
              </w:rPr>
              <w:t>1,313 </w:t>
            </w:r>
          </w:p>
        </w:tc>
        <w:tc>
          <w:tcPr>
            <w:tcW w:w="0" w:type="auto"/>
            <w:shd w:val="clear" w:color="auto" w:fill="CCEEFF"/>
            <w:tcMar>
              <w:top w:w="40" w:type="dxa"/>
              <w:left w:w="0" w:type="dxa"/>
              <w:bottom w:w="40" w:type="dxa"/>
              <w:right w:w="20" w:type="dxa"/>
            </w:tcMar>
            <w:vAlign w:val="bottom"/>
          </w:tcPr>
          <w:p w14:paraId="5F2CE8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C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8C7"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CE8C8" w14:textId="77777777" w:rsidR="00E836FB" w:rsidRDefault="00994958">
            <w:pPr>
              <w:jc w:val="right"/>
              <w:textAlignment w:val="bottom"/>
            </w:pPr>
            <w:r>
              <w:rPr>
                <w:rFonts w:ascii="Arial" w:eastAsia="宋体" w:hAnsi="Arial" w:cs="Arial"/>
                <w:color w:val="000000"/>
                <w:sz w:val="16"/>
                <w:szCs w:val="16"/>
              </w:rPr>
              <w:t>0.33 </w:t>
            </w:r>
          </w:p>
        </w:tc>
        <w:tc>
          <w:tcPr>
            <w:tcW w:w="0" w:type="auto"/>
            <w:shd w:val="clear" w:color="auto" w:fill="CCEEFF"/>
            <w:tcMar>
              <w:top w:w="40" w:type="dxa"/>
              <w:left w:w="0" w:type="dxa"/>
              <w:bottom w:w="40" w:type="dxa"/>
              <w:right w:w="20" w:type="dxa"/>
            </w:tcMar>
            <w:vAlign w:val="bottom"/>
          </w:tcPr>
          <w:p w14:paraId="5F2CE8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C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8CB"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CE8CC" w14:textId="77777777" w:rsidR="00E836FB" w:rsidRDefault="00994958">
            <w:pPr>
              <w:jc w:val="right"/>
              <w:textAlignment w:val="bottom"/>
            </w:pPr>
            <w:r>
              <w:rPr>
                <w:rFonts w:ascii="Arial" w:eastAsia="宋体" w:hAnsi="Arial" w:cs="Arial"/>
                <w:color w:val="000000"/>
                <w:sz w:val="16"/>
                <w:szCs w:val="16"/>
              </w:rPr>
              <w:t>6 </w:t>
            </w:r>
          </w:p>
        </w:tc>
        <w:tc>
          <w:tcPr>
            <w:tcW w:w="0" w:type="auto"/>
            <w:shd w:val="clear" w:color="auto" w:fill="CCEEFF"/>
            <w:tcMar>
              <w:top w:w="40" w:type="dxa"/>
              <w:left w:w="0" w:type="dxa"/>
              <w:bottom w:w="40" w:type="dxa"/>
              <w:right w:w="20" w:type="dxa"/>
            </w:tcMar>
            <w:vAlign w:val="bottom"/>
          </w:tcPr>
          <w:p w14:paraId="5F2CE8CD" w14:textId="77777777" w:rsidR="00E836FB" w:rsidRDefault="00E836FB">
            <w:pPr>
              <w:jc w:val="right"/>
              <w:rPr>
                <w:rFonts w:ascii="宋体"/>
              </w:rPr>
            </w:pPr>
          </w:p>
        </w:tc>
      </w:tr>
      <w:tr w:rsidR="00E836FB" w14:paraId="5F2CE8E1" w14:textId="77777777">
        <w:tc>
          <w:tcPr>
            <w:tcW w:w="0" w:type="auto"/>
            <w:gridSpan w:val="3"/>
            <w:shd w:val="clear" w:color="auto" w:fill="FFFFFF"/>
            <w:tcMar>
              <w:top w:w="40" w:type="dxa"/>
              <w:left w:w="20" w:type="dxa"/>
              <w:bottom w:w="40" w:type="dxa"/>
              <w:right w:w="20" w:type="dxa"/>
            </w:tcMar>
            <w:vAlign w:val="bottom"/>
          </w:tcPr>
          <w:p w14:paraId="5F2CE8CF" w14:textId="77777777" w:rsidR="00E836FB" w:rsidRDefault="00994958">
            <w:pPr>
              <w:textAlignment w:val="bottom"/>
            </w:pPr>
            <w:r>
              <w:rPr>
                <w:rFonts w:ascii="Arial" w:eastAsia="宋体" w:hAnsi="Arial" w:cs="Arial"/>
                <w:color w:val="000000"/>
                <w:sz w:val="16"/>
                <w:szCs w:val="16"/>
              </w:rPr>
              <w:t>Series D</w:t>
            </w:r>
          </w:p>
        </w:tc>
        <w:tc>
          <w:tcPr>
            <w:tcW w:w="0" w:type="auto"/>
            <w:gridSpan w:val="2"/>
            <w:shd w:val="clear" w:color="auto" w:fill="FFFFFF"/>
            <w:tcMar>
              <w:top w:w="40" w:type="dxa"/>
              <w:left w:w="20" w:type="dxa"/>
              <w:bottom w:w="40" w:type="dxa"/>
              <w:right w:w="0" w:type="dxa"/>
            </w:tcMar>
            <w:vAlign w:val="bottom"/>
          </w:tcPr>
          <w:p w14:paraId="5F2CE8D0" w14:textId="77777777" w:rsidR="00E836FB" w:rsidRDefault="00994958">
            <w:pPr>
              <w:jc w:val="right"/>
              <w:textAlignment w:val="bottom"/>
            </w:pPr>
            <w:r>
              <w:rPr>
                <w:rFonts w:ascii="Arial" w:eastAsia="宋体" w:hAnsi="Arial" w:cs="Arial"/>
                <w:b/>
                <w:bCs/>
                <w:color w:val="000000"/>
                <w:sz w:val="16"/>
                <w:szCs w:val="16"/>
              </w:rPr>
              <w:t>5,900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E8D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D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D3" w14:textId="77777777" w:rsidR="00E836FB" w:rsidRDefault="00994958">
            <w:pPr>
              <w:jc w:val="right"/>
              <w:textAlignment w:val="bottom"/>
            </w:pPr>
            <w:r>
              <w:rPr>
                <w:rFonts w:ascii="Arial" w:eastAsia="宋体" w:hAnsi="Arial" w:cs="Arial"/>
                <w:b/>
                <w:bCs/>
                <w:color w:val="000000"/>
                <w:sz w:val="16"/>
                <w:szCs w:val="16"/>
              </w:rPr>
              <w:t>1.48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E8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D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D6" w14:textId="77777777" w:rsidR="00E836FB" w:rsidRDefault="00994958">
            <w:pPr>
              <w:jc w:val="right"/>
              <w:textAlignment w:val="bottom"/>
            </w:pPr>
            <w:r>
              <w:rPr>
                <w:rFonts w:ascii="Arial" w:eastAsia="宋体" w:hAnsi="Arial" w:cs="Arial"/>
                <w:b/>
                <w:bCs/>
                <w:color w:val="000000"/>
                <w:sz w:val="16"/>
                <w:szCs w:val="16"/>
              </w:rPr>
              <w:t>44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E8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D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D9" w14:textId="77777777" w:rsidR="00E836FB" w:rsidRDefault="00994958">
            <w:pPr>
              <w:jc w:val="right"/>
              <w:textAlignment w:val="bottom"/>
            </w:pPr>
            <w:r>
              <w:rPr>
                <w:rFonts w:ascii="Arial" w:eastAsia="宋体" w:hAnsi="Arial" w:cs="Arial"/>
                <w:color w:val="000000"/>
                <w:sz w:val="16"/>
                <w:szCs w:val="16"/>
              </w:rPr>
              <w:t>5,900 </w:t>
            </w:r>
          </w:p>
        </w:tc>
        <w:tc>
          <w:tcPr>
            <w:tcW w:w="0" w:type="auto"/>
            <w:shd w:val="clear" w:color="auto" w:fill="FFFFFF"/>
            <w:tcMar>
              <w:top w:w="40" w:type="dxa"/>
              <w:left w:w="0" w:type="dxa"/>
              <w:bottom w:w="40" w:type="dxa"/>
              <w:right w:w="20" w:type="dxa"/>
            </w:tcMar>
            <w:vAlign w:val="bottom"/>
          </w:tcPr>
          <w:p w14:paraId="5F2CE8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DC" w14:textId="77777777" w:rsidR="00E836FB" w:rsidRDefault="00994958">
            <w:pPr>
              <w:jc w:val="right"/>
              <w:textAlignment w:val="bottom"/>
            </w:pPr>
            <w:r>
              <w:rPr>
                <w:rFonts w:ascii="Arial" w:eastAsia="宋体" w:hAnsi="Arial" w:cs="Arial"/>
                <w:color w:val="000000"/>
                <w:sz w:val="16"/>
                <w:szCs w:val="16"/>
              </w:rPr>
              <w:t>1.48 </w:t>
            </w:r>
          </w:p>
        </w:tc>
        <w:tc>
          <w:tcPr>
            <w:tcW w:w="0" w:type="auto"/>
            <w:shd w:val="clear" w:color="auto" w:fill="FFFFFF"/>
            <w:tcMar>
              <w:top w:w="40" w:type="dxa"/>
              <w:left w:w="0" w:type="dxa"/>
              <w:bottom w:w="40" w:type="dxa"/>
              <w:right w:w="20" w:type="dxa"/>
            </w:tcMar>
            <w:vAlign w:val="bottom"/>
          </w:tcPr>
          <w:p w14:paraId="5F2CE8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DF" w14:textId="77777777" w:rsidR="00E836FB" w:rsidRDefault="00994958">
            <w:pPr>
              <w:jc w:val="right"/>
              <w:textAlignment w:val="bottom"/>
            </w:pPr>
            <w:r>
              <w:rPr>
                <w:rFonts w:ascii="Arial" w:eastAsia="宋体" w:hAnsi="Arial" w:cs="Arial"/>
                <w:color w:val="000000"/>
                <w:sz w:val="16"/>
                <w:szCs w:val="16"/>
              </w:rPr>
              <w:t>44 </w:t>
            </w:r>
          </w:p>
        </w:tc>
        <w:tc>
          <w:tcPr>
            <w:tcW w:w="0" w:type="auto"/>
            <w:shd w:val="clear" w:color="auto" w:fill="FFFFFF"/>
            <w:tcMar>
              <w:top w:w="40" w:type="dxa"/>
              <w:left w:w="0" w:type="dxa"/>
              <w:bottom w:w="40" w:type="dxa"/>
              <w:right w:w="20" w:type="dxa"/>
            </w:tcMar>
            <w:vAlign w:val="bottom"/>
          </w:tcPr>
          <w:p w14:paraId="5F2CE8E0" w14:textId="77777777" w:rsidR="00E836FB" w:rsidRDefault="00E836FB">
            <w:pPr>
              <w:jc w:val="right"/>
              <w:rPr>
                <w:rFonts w:ascii="宋体"/>
              </w:rPr>
            </w:pPr>
          </w:p>
        </w:tc>
      </w:tr>
      <w:tr w:rsidR="00E836FB" w14:paraId="5F2CE8F4" w14:textId="77777777">
        <w:tc>
          <w:tcPr>
            <w:tcW w:w="0" w:type="auto"/>
            <w:gridSpan w:val="3"/>
            <w:shd w:val="clear" w:color="auto" w:fill="CCEEFF"/>
            <w:tcMar>
              <w:top w:w="40" w:type="dxa"/>
              <w:left w:w="20" w:type="dxa"/>
              <w:bottom w:w="40" w:type="dxa"/>
              <w:right w:w="20" w:type="dxa"/>
            </w:tcMar>
            <w:vAlign w:val="bottom"/>
          </w:tcPr>
          <w:p w14:paraId="5F2CE8E2" w14:textId="77777777" w:rsidR="00E836FB" w:rsidRDefault="00994958">
            <w:pPr>
              <w:textAlignment w:val="bottom"/>
            </w:pPr>
            <w:r>
              <w:rPr>
                <w:rFonts w:ascii="Arial" w:eastAsia="宋体" w:hAnsi="Arial" w:cs="Arial"/>
                <w:color w:val="000000"/>
                <w:sz w:val="16"/>
                <w:szCs w:val="16"/>
              </w:rPr>
              <w:t>Series F</w:t>
            </w:r>
          </w:p>
        </w:tc>
        <w:tc>
          <w:tcPr>
            <w:tcW w:w="0" w:type="auto"/>
            <w:gridSpan w:val="2"/>
            <w:shd w:val="clear" w:color="auto" w:fill="CCEEFF"/>
            <w:tcMar>
              <w:top w:w="40" w:type="dxa"/>
              <w:left w:w="20" w:type="dxa"/>
              <w:bottom w:w="40" w:type="dxa"/>
              <w:right w:w="0" w:type="dxa"/>
            </w:tcMar>
            <w:vAlign w:val="bottom"/>
          </w:tcPr>
          <w:p w14:paraId="5F2CE8E3" w14:textId="77777777" w:rsidR="00E836FB" w:rsidRDefault="00994958">
            <w:pPr>
              <w:jc w:val="right"/>
              <w:textAlignment w:val="bottom"/>
            </w:pPr>
            <w:r>
              <w:rPr>
                <w:rFonts w:ascii="Arial" w:eastAsia="宋体" w:hAnsi="Arial" w:cs="Arial"/>
                <w:b/>
                <w:bCs/>
                <w:color w:val="000000"/>
                <w:sz w:val="16"/>
                <w:szCs w:val="16"/>
              </w:rPr>
              <w:t>3,808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8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8E6" w14:textId="77777777" w:rsidR="00E836FB" w:rsidRDefault="00994958">
            <w:pPr>
              <w:jc w:val="right"/>
              <w:textAlignment w:val="bottom"/>
            </w:pPr>
            <w:r>
              <w:rPr>
                <w:rFonts w:ascii="Arial" w:eastAsia="宋体" w:hAnsi="Arial" w:cs="Arial"/>
                <w:b/>
                <w:bCs/>
                <w:color w:val="000000"/>
                <w:sz w:val="16"/>
                <w:szCs w:val="16"/>
              </w:rPr>
              <w:t>38.08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8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8E9" w14:textId="77777777" w:rsidR="00E836FB" w:rsidRDefault="00994958">
            <w:pPr>
              <w:jc w:val="right"/>
              <w:textAlignment w:val="bottom"/>
            </w:pPr>
            <w:r>
              <w:rPr>
                <w:rFonts w:ascii="Arial" w:eastAsia="宋体" w:hAnsi="Arial" w:cs="Arial"/>
                <w:b/>
                <w:bCs/>
                <w:color w:val="000000"/>
                <w:sz w:val="16"/>
                <w:szCs w:val="16"/>
              </w:rPr>
              <w:t>15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8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E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8EC" w14:textId="77777777" w:rsidR="00E836FB" w:rsidRDefault="00994958">
            <w:pPr>
              <w:jc w:val="right"/>
              <w:textAlignment w:val="bottom"/>
            </w:pPr>
            <w:r>
              <w:rPr>
                <w:rFonts w:ascii="Arial" w:eastAsia="宋体" w:hAnsi="Arial" w:cs="Arial"/>
                <w:color w:val="000000"/>
                <w:sz w:val="16"/>
                <w:szCs w:val="16"/>
              </w:rPr>
              <w:t>6,223 </w:t>
            </w:r>
          </w:p>
        </w:tc>
        <w:tc>
          <w:tcPr>
            <w:tcW w:w="0" w:type="auto"/>
            <w:shd w:val="clear" w:color="auto" w:fill="CCEEFF"/>
            <w:tcMar>
              <w:top w:w="40" w:type="dxa"/>
              <w:left w:w="0" w:type="dxa"/>
              <w:bottom w:w="40" w:type="dxa"/>
              <w:right w:w="20" w:type="dxa"/>
            </w:tcMar>
            <w:vAlign w:val="bottom"/>
          </w:tcPr>
          <w:p w14:paraId="5F2CE8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E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8EF" w14:textId="77777777" w:rsidR="00E836FB" w:rsidRDefault="00994958">
            <w:pPr>
              <w:jc w:val="right"/>
              <w:textAlignment w:val="bottom"/>
            </w:pPr>
            <w:r>
              <w:rPr>
                <w:rFonts w:ascii="Arial" w:eastAsia="宋体" w:hAnsi="Arial" w:cs="Arial"/>
                <w:color w:val="000000"/>
                <w:sz w:val="16"/>
                <w:szCs w:val="16"/>
              </w:rPr>
              <w:t>62.23 </w:t>
            </w:r>
          </w:p>
        </w:tc>
        <w:tc>
          <w:tcPr>
            <w:tcW w:w="0" w:type="auto"/>
            <w:shd w:val="clear" w:color="auto" w:fill="CCEEFF"/>
            <w:tcMar>
              <w:top w:w="40" w:type="dxa"/>
              <w:left w:w="0" w:type="dxa"/>
              <w:bottom w:w="40" w:type="dxa"/>
              <w:right w:w="20" w:type="dxa"/>
            </w:tcMar>
            <w:vAlign w:val="bottom"/>
          </w:tcPr>
          <w:p w14:paraId="5F2CE8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8F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8F2" w14:textId="77777777" w:rsidR="00E836FB" w:rsidRDefault="00994958">
            <w:pPr>
              <w:jc w:val="right"/>
              <w:textAlignment w:val="bottom"/>
            </w:pPr>
            <w:r>
              <w:rPr>
                <w:rFonts w:ascii="Arial" w:eastAsia="宋体" w:hAnsi="Arial" w:cs="Arial"/>
                <w:color w:val="000000"/>
                <w:sz w:val="16"/>
                <w:szCs w:val="16"/>
              </w:rPr>
              <w:t>47 </w:t>
            </w:r>
          </w:p>
        </w:tc>
        <w:tc>
          <w:tcPr>
            <w:tcW w:w="0" w:type="auto"/>
            <w:shd w:val="clear" w:color="auto" w:fill="CCEEFF"/>
            <w:tcMar>
              <w:top w:w="40" w:type="dxa"/>
              <w:left w:w="0" w:type="dxa"/>
              <w:bottom w:w="40" w:type="dxa"/>
              <w:right w:w="20" w:type="dxa"/>
            </w:tcMar>
            <w:vAlign w:val="bottom"/>
          </w:tcPr>
          <w:p w14:paraId="5F2CE8F3" w14:textId="77777777" w:rsidR="00E836FB" w:rsidRDefault="00E836FB">
            <w:pPr>
              <w:jc w:val="right"/>
              <w:rPr>
                <w:rFonts w:ascii="宋体"/>
              </w:rPr>
            </w:pPr>
          </w:p>
        </w:tc>
      </w:tr>
      <w:tr w:rsidR="00E836FB" w14:paraId="5F2CE907" w14:textId="77777777">
        <w:tc>
          <w:tcPr>
            <w:tcW w:w="0" w:type="auto"/>
            <w:gridSpan w:val="3"/>
            <w:shd w:val="clear" w:color="auto" w:fill="FFFFFF"/>
            <w:tcMar>
              <w:top w:w="40" w:type="dxa"/>
              <w:left w:w="20" w:type="dxa"/>
              <w:bottom w:w="40" w:type="dxa"/>
              <w:right w:w="20" w:type="dxa"/>
            </w:tcMar>
            <w:vAlign w:val="bottom"/>
          </w:tcPr>
          <w:p w14:paraId="5F2CE8F5" w14:textId="77777777" w:rsidR="00E836FB" w:rsidRDefault="00994958">
            <w:pPr>
              <w:textAlignment w:val="bottom"/>
            </w:pPr>
            <w:r>
              <w:rPr>
                <w:rFonts w:ascii="Arial" w:eastAsia="宋体" w:hAnsi="Arial" w:cs="Arial"/>
                <w:color w:val="000000"/>
                <w:sz w:val="16"/>
                <w:szCs w:val="16"/>
              </w:rPr>
              <w:t>Series G</w:t>
            </w:r>
          </w:p>
        </w:tc>
        <w:tc>
          <w:tcPr>
            <w:tcW w:w="0" w:type="auto"/>
            <w:gridSpan w:val="2"/>
            <w:shd w:val="clear" w:color="auto" w:fill="FFFFFF"/>
            <w:tcMar>
              <w:top w:w="40" w:type="dxa"/>
              <w:left w:w="20" w:type="dxa"/>
              <w:bottom w:w="40" w:type="dxa"/>
              <w:right w:w="0" w:type="dxa"/>
            </w:tcMar>
            <w:vAlign w:val="bottom"/>
          </w:tcPr>
          <w:p w14:paraId="5F2CE8F6" w14:textId="77777777" w:rsidR="00E836FB" w:rsidRDefault="00994958">
            <w:pPr>
              <w:jc w:val="right"/>
              <w:textAlignment w:val="bottom"/>
            </w:pPr>
            <w:r>
              <w:rPr>
                <w:rFonts w:ascii="Arial" w:eastAsia="宋体" w:hAnsi="Arial" w:cs="Arial"/>
                <w:b/>
                <w:bCs/>
                <w:color w:val="000000"/>
                <w:sz w:val="16"/>
                <w:szCs w:val="16"/>
              </w:rPr>
              <w:t>5,352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E8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F9" w14:textId="77777777" w:rsidR="00E836FB" w:rsidRDefault="00994958">
            <w:pPr>
              <w:jc w:val="right"/>
              <w:textAlignment w:val="bottom"/>
            </w:pPr>
            <w:r>
              <w:rPr>
                <w:rFonts w:ascii="Arial" w:eastAsia="宋体" w:hAnsi="Arial" w:cs="Arial"/>
                <w:b/>
                <w:bCs/>
                <w:color w:val="000000"/>
                <w:sz w:val="16"/>
                <w:szCs w:val="16"/>
              </w:rPr>
              <w:t>1.32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E8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FC" w14:textId="77777777" w:rsidR="00E836FB" w:rsidRDefault="00994958">
            <w:pPr>
              <w:jc w:val="right"/>
              <w:textAlignment w:val="bottom"/>
            </w:pPr>
            <w:r>
              <w:rPr>
                <w:rFonts w:ascii="Arial" w:eastAsia="宋体" w:hAnsi="Arial" w:cs="Arial"/>
                <w:b/>
                <w:bCs/>
                <w:color w:val="000000"/>
                <w:sz w:val="16"/>
                <w:szCs w:val="16"/>
              </w:rPr>
              <w:t>27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E8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8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8FF" w14:textId="77777777" w:rsidR="00E836FB" w:rsidRDefault="00994958">
            <w:pPr>
              <w:jc w:val="right"/>
              <w:textAlignment w:val="bottom"/>
            </w:pPr>
            <w:r>
              <w:rPr>
                <w:rFonts w:ascii="Arial" w:eastAsia="宋体" w:hAnsi="Arial" w:cs="Arial"/>
                <w:color w:val="000000"/>
                <w:sz w:val="16"/>
                <w:szCs w:val="16"/>
              </w:rPr>
              <w:t>5,352 </w:t>
            </w:r>
          </w:p>
        </w:tc>
        <w:tc>
          <w:tcPr>
            <w:tcW w:w="0" w:type="auto"/>
            <w:shd w:val="clear" w:color="auto" w:fill="FFFFFF"/>
            <w:tcMar>
              <w:top w:w="40" w:type="dxa"/>
              <w:left w:w="0" w:type="dxa"/>
              <w:bottom w:w="40" w:type="dxa"/>
              <w:right w:w="20" w:type="dxa"/>
            </w:tcMar>
            <w:vAlign w:val="bottom"/>
          </w:tcPr>
          <w:p w14:paraId="5F2CE9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9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902" w14:textId="77777777" w:rsidR="00E836FB" w:rsidRDefault="00994958">
            <w:pPr>
              <w:jc w:val="right"/>
              <w:textAlignment w:val="bottom"/>
            </w:pPr>
            <w:r>
              <w:rPr>
                <w:rFonts w:ascii="Arial" w:eastAsia="宋体" w:hAnsi="Arial" w:cs="Arial"/>
                <w:color w:val="000000"/>
                <w:sz w:val="16"/>
                <w:szCs w:val="16"/>
              </w:rPr>
              <w:t>1.32 </w:t>
            </w:r>
          </w:p>
        </w:tc>
        <w:tc>
          <w:tcPr>
            <w:tcW w:w="0" w:type="auto"/>
            <w:shd w:val="clear" w:color="auto" w:fill="FFFFFF"/>
            <w:tcMar>
              <w:top w:w="40" w:type="dxa"/>
              <w:left w:w="0" w:type="dxa"/>
              <w:bottom w:w="40" w:type="dxa"/>
              <w:right w:w="20" w:type="dxa"/>
            </w:tcMar>
            <w:vAlign w:val="bottom"/>
          </w:tcPr>
          <w:p w14:paraId="5F2CE9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9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905" w14:textId="77777777" w:rsidR="00E836FB" w:rsidRDefault="00994958">
            <w:pPr>
              <w:jc w:val="right"/>
              <w:textAlignment w:val="bottom"/>
            </w:pPr>
            <w:r>
              <w:rPr>
                <w:rFonts w:ascii="Arial" w:eastAsia="宋体" w:hAnsi="Arial" w:cs="Arial"/>
                <w:color w:val="000000"/>
                <w:sz w:val="16"/>
                <w:szCs w:val="16"/>
              </w:rPr>
              <w:t>27 </w:t>
            </w:r>
          </w:p>
        </w:tc>
        <w:tc>
          <w:tcPr>
            <w:tcW w:w="0" w:type="auto"/>
            <w:shd w:val="clear" w:color="auto" w:fill="FFFFFF"/>
            <w:tcMar>
              <w:top w:w="40" w:type="dxa"/>
              <w:left w:w="0" w:type="dxa"/>
              <w:bottom w:w="40" w:type="dxa"/>
              <w:right w:w="20" w:type="dxa"/>
            </w:tcMar>
            <w:vAlign w:val="bottom"/>
          </w:tcPr>
          <w:p w14:paraId="5F2CE906" w14:textId="77777777" w:rsidR="00E836FB" w:rsidRDefault="00E836FB">
            <w:pPr>
              <w:jc w:val="right"/>
              <w:rPr>
                <w:rFonts w:ascii="宋体"/>
              </w:rPr>
            </w:pPr>
          </w:p>
        </w:tc>
      </w:tr>
      <w:tr w:rsidR="00E836FB" w14:paraId="5F2CE91A" w14:textId="77777777">
        <w:tc>
          <w:tcPr>
            <w:tcW w:w="0" w:type="auto"/>
            <w:gridSpan w:val="3"/>
            <w:shd w:val="clear" w:color="auto" w:fill="CCEEFF"/>
            <w:tcMar>
              <w:top w:w="40" w:type="dxa"/>
              <w:left w:w="20" w:type="dxa"/>
              <w:bottom w:w="40" w:type="dxa"/>
              <w:right w:w="20" w:type="dxa"/>
            </w:tcMar>
            <w:vAlign w:val="bottom"/>
          </w:tcPr>
          <w:p w14:paraId="5F2CE908" w14:textId="77777777" w:rsidR="00E836FB" w:rsidRDefault="00994958">
            <w:pPr>
              <w:textAlignment w:val="bottom"/>
            </w:pPr>
            <w:r>
              <w:rPr>
                <w:rFonts w:ascii="Arial" w:eastAsia="宋体" w:hAnsi="Arial" w:cs="Arial"/>
                <w:color w:val="000000"/>
                <w:sz w:val="16"/>
                <w:szCs w:val="16"/>
              </w:rPr>
              <w:t>Series H</w:t>
            </w:r>
          </w:p>
        </w:tc>
        <w:tc>
          <w:tcPr>
            <w:tcW w:w="0" w:type="auto"/>
            <w:gridSpan w:val="2"/>
            <w:shd w:val="clear" w:color="auto" w:fill="CCEEFF"/>
            <w:tcMar>
              <w:top w:w="40" w:type="dxa"/>
              <w:left w:w="20" w:type="dxa"/>
              <w:bottom w:w="40" w:type="dxa"/>
              <w:right w:w="0" w:type="dxa"/>
            </w:tcMar>
            <w:vAlign w:val="bottom"/>
          </w:tcPr>
          <w:p w14:paraId="5F2CE909" w14:textId="77777777" w:rsidR="00E836FB" w:rsidRDefault="00994958">
            <w:pPr>
              <w:jc w:val="right"/>
              <w:textAlignment w:val="bottom"/>
            </w:pPr>
            <w:r>
              <w:rPr>
                <w:rFonts w:ascii="Arial" w:eastAsia="宋体" w:hAnsi="Arial" w:cs="Arial"/>
                <w:b/>
                <w:bCs/>
                <w:color w:val="000000"/>
                <w:sz w:val="16"/>
                <w:szCs w:val="16"/>
              </w:rPr>
              <w:t>5,625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90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90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90C" w14:textId="77777777" w:rsidR="00E836FB" w:rsidRDefault="00994958">
            <w:pPr>
              <w:jc w:val="right"/>
              <w:textAlignment w:val="bottom"/>
            </w:pPr>
            <w:r>
              <w:rPr>
                <w:rFonts w:ascii="Arial" w:eastAsia="宋体" w:hAnsi="Arial" w:cs="Arial"/>
                <w:b/>
                <w:bCs/>
                <w:color w:val="000000"/>
                <w:sz w:val="16"/>
                <w:szCs w:val="16"/>
              </w:rPr>
              <w:t>56.25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9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90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90F" w14:textId="77777777" w:rsidR="00E836FB" w:rsidRDefault="00994958">
            <w:pPr>
              <w:jc w:val="right"/>
              <w:textAlignment w:val="bottom"/>
            </w:pPr>
            <w:r>
              <w:rPr>
                <w:rFonts w:ascii="Arial" w:eastAsia="宋体" w:hAnsi="Arial" w:cs="Arial"/>
                <w:b/>
                <w:bCs/>
                <w:color w:val="000000"/>
                <w:sz w:val="16"/>
                <w:szCs w:val="16"/>
              </w:rPr>
              <w:t>28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CE9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9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912" w14:textId="77777777" w:rsidR="00E836FB" w:rsidRDefault="00994958">
            <w:pPr>
              <w:jc w:val="right"/>
              <w:textAlignment w:val="bottom"/>
            </w:pPr>
            <w:r>
              <w:rPr>
                <w:rFonts w:ascii="Arial" w:eastAsia="宋体" w:hAnsi="Arial" w:cs="Arial"/>
                <w:color w:val="000000"/>
                <w:sz w:val="16"/>
                <w:szCs w:val="16"/>
              </w:rPr>
              <w:t>5,625 </w:t>
            </w:r>
          </w:p>
        </w:tc>
        <w:tc>
          <w:tcPr>
            <w:tcW w:w="0" w:type="auto"/>
            <w:shd w:val="clear" w:color="auto" w:fill="CCEEFF"/>
            <w:tcMar>
              <w:top w:w="40" w:type="dxa"/>
              <w:left w:w="0" w:type="dxa"/>
              <w:bottom w:w="40" w:type="dxa"/>
              <w:right w:w="20" w:type="dxa"/>
            </w:tcMar>
            <w:vAlign w:val="bottom"/>
          </w:tcPr>
          <w:p w14:paraId="5F2CE9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9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915" w14:textId="77777777" w:rsidR="00E836FB" w:rsidRDefault="00994958">
            <w:pPr>
              <w:jc w:val="right"/>
              <w:textAlignment w:val="bottom"/>
            </w:pPr>
            <w:r>
              <w:rPr>
                <w:rFonts w:ascii="Arial" w:eastAsia="宋体" w:hAnsi="Arial" w:cs="Arial"/>
                <w:color w:val="000000"/>
                <w:sz w:val="16"/>
                <w:szCs w:val="16"/>
              </w:rPr>
              <w:t>56.25 </w:t>
            </w:r>
          </w:p>
        </w:tc>
        <w:tc>
          <w:tcPr>
            <w:tcW w:w="0" w:type="auto"/>
            <w:shd w:val="clear" w:color="auto" w:fill="CCEEFF"/>
            <w:tcMar>
              <w:top w:w="40" w:type="dxa"/>
              <w:left w:w="0" w:type="dxa"/>
              <w:bottom w:w="40" w:type="dxa"/>
              <w:right w:w="20" w:type="dxa"/>
            </w:tcMar>
            <w:vAlign w:val="bottom"/>
          </w:tcPr>
          <w:p w14:paraId="5F2CE9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91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918" w14:textId="77777777" w:rsidR="00E836FB" w:rsidRDefault="00994958">
            <w:pPr>
              <w:jc w:val="right"/>
              <w:textAlignment w:val="bottom"/>
            </w:pPr>
            <w:r>
              <w:rPr>
                <w:rFonts w:ascii="Arial" w:eastAsia="宋体" w:hAnsi="Arial" w:cs="Arial"/>
                <w:color w:val="000000"/>
                <w:sz w:val="16"/>
                <w:szCs w:val="16"/>
              </w:rPr>
              <w:t>28 </w:t>
            </w:r>
          </w:p>
        </w:tc>
        <w:tc>
          <w:tcPr>
            <w:tcW w:w="0" w:type="auto"/>
            <w:shd w:val="clear" w:color="auto" w:fill="CCEEFF"/>
            <w:tcMar>
              <w:top w:w="40" w:type="dxa"/>
              <w:left w:w="0" w:type="dxa"/>
              <w:bottom w:w="40" w:type="dxa"/>
              <w:right w:w="20" w:type="dxa"/>
            </w:tcMar>
            <w:vAlign w:val="bottom"/>
          </w:tcPr>
          <w:p w14:paraId="5F2CE919" w14:textId="77777777" w:rsidR="00E836FB" w:rsidRDefault="00E836FB">
            <w:pPr>
              <w:jc w:val="right"/>
              <w:rPr>
                <w:rFonts w:ascii="宋体"/>
              </w:rPr>
            </w:pPr>
          </w:p>
        </w:tc>
      </w:tr>
      <w:tr w:rsidR="00E836FB" w14:paraId="5F2CE92B" w14:textId="77777777">
        <w:tc>
          <w:tcPr>
            <w:tcW w:w="0" w:type="auto"/>
            <w:gridSpan w:val="3"/>
            <w:shd w:val="clear" w:color="auto" w:fill="FFFFFF"/>
            <w:tcMar>
              <w:top w:w="40" w:type="dxa"/>
              <w:left w:w="20" w:type="dxa"/>
              <w:bottom w:w="40" w:type="dxa"/>
              <w:right w:w="20" w:type="dxa"/>
            </w:tcMar>
            <w:vAlign w:val="bottom"/>
          </w:tcPr>
          <w:p w14:paraId="5F2CE91B" w14:textId="77777777" w:rsidR="00E836FB" w:rsidRDefault="00994958">
            <w:pPr>
              <w:textAlignment w:val="bottom"/>
            </w:pPr>
            <w:r>
              <w:rPr>
                <w:rFonts w:ascii="Arial" w:eastAsia="宋体" w:hAnsi="Arial" w:cs="Arial"/>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5F2CE91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91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91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91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920"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921" w14:textId="77777777" w:rsidR="00E836FB" w:rsidRDefault="00994958">
            <w:pPr>
              <w:jc w:val="right"/>
              <w:textAlignment w:val="bottom"/>
            </w:pPr>
            <w:r>
              <w:rPr>
                <w:rFonts w:ascii="Arial" w:eastAsia="宋体" w:hAnsi="Arial" w:cs="Arial"/>
                <w:b/>
                <w:bCs/>
                <w:color w:val="000000"/>
                <w:sz w:val="16"/>
                <w:szCs w:val="16"/>
              </w:rPr>
              <w:t>114</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9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92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92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92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92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92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928"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929" w14:textId="77777777" w:rsidR="00E836FB" w:rsidRDefault="00994958">
            <w:pPr>
              <w:jc w:val="right"/>
              <w:textAlignment w:val="bottom"/>
            </w:pPr>
            <w:r>
              <w:rPr>
                <w:rFonts w:ascii="Arial" w:eastAsia="宋体" w:hAnsi="Arial" w:cs="Arial"/>
                <w:color w:val="000000"/>
                <w:sz w:val="16"/>
                <w:szCs w:val="16"/>
              </w:rPr>
              <w:t>152 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92A" w14:textId="77777777" w:rsidR="00E836FB" w:rsidRDefault="00E836FB">
            <w:pPr>
              <w:jc w:val="right"/>
              <w:rPr>
                <w:rFonts w:ascii="宋体"/>
              </w:rPr>
            </w:pPr>
          </w:p>
        </w:tc>
      </w:tr>
    </w:tbl>
    <w:p w14:paraId="5F2CE92C" w14:textId="77777777" w:rsidR="00E836FB" w:rsidRDefault="00994958">
      <w:pPr>
        <w:spacing w:before="60"/>
        <w:jc w:val="both"/>
      </w:pPr>
      <w:r>
        <w:rPr>
          <w:rFonts w:ascii="Arial" w:eastAsia="宋体" w:hAnsi="Arial" w:cs="Arial"/>
          <w:i/>
          <w:iCs/>
          <w:color w:val="000000"/>
          <w:sz w:val="20"/>
          <w:szCs w:val="20"/>
        </w:rPr>
        <w:t>Common Stock</w:t>
      </w:r>
    </w:p>
    <w:p w14:paraId="5F2CE92D" w14:textId="77777777" w:rsidR="00E836FB" w:rsidRDefault="00994958">
      <w:pPr>
        <w:spacing w:before="60"/>
        <w:ind w:firstLine="450"/>
        <w:jc w:val="both"/>
      </w:pPr>
      <w:r>
        <w:rPr>
          <w:rFonts w:ascii="Arial" w:eastAsia="宋体" w:hAnsi="Arial" w:cs="Arial"/>
          <w:color w:val="000000"/>
          <w:sz w:val="20"/>
          <w:szCs w:val="20"/>
        </w:rPr>
        <w:t>In September 2021, we completed a public offering of approximately 21.7 million shares of our common stock. The offering price was $87.60 per share and net proceeds totaled approximately $1.9 billion. We exp</w:t>
      </w:r>
      <w:r>
        <w:rPr>
          <w:rFonts w:ascii="Arial" w:eastAsia="宋体" w:hAnsi="Arial" w:cs="Arial"/>
          <w:color w:val="000000"/>
          <w:sz w:val="20"/>
          <w:szCs w:val="20"/>
        </w:rPr>
        <w:t>ect to use these net proceeds to finance our planned acquisition of the BBH Investor Services business.</w:t>
      </w:r>
    </w:p>
    <w:p w14:paraId="5F2CE92E" w14:textId="77777777" w:rsidR="00E836FB" w:rsidRDefault="00994958">
      <w:pPr>
        <w:spacing w:before="60"/>
        <w:ind w:firstLine="450"/>
        <w:jc w:val="both"/>
      </w:pPr>
      <w:r>
        <w:rPr>
          <w:rFonts w:ascii="Arial" w:eastAsia="宋体" w:hAnsi="Arial" w:cs="Arial"/>
          <w:color w:val="000000"/>
          <w:sz w:val="20"/>
          <w:szCs w:val="20"/>
        </w:rPr>
        <w:t xml:space="preserve">In June 2019, the Federal Reserve issued a non-objection to our capital plan submitted as part of the 2019 CCAR submission; and in connection with that </w:t>
      </w:r>
      <w:r>
        <w:rPr>
          <w:rFonts w:ascii="Arial" w:eastAsia="宋体" w:hAnsi="Arial" w:cs="Arial"/>
          <w:color w:val="000000"/>
          <w:sz w:val="20"/>
          <w:szCs w:val="20"/>
        </w:rPr>
        <w:t>capital plan, our Board approved a common share repurchase program authorizing the repurchase of up to $2.0 billion of our common stock from July 1, 2019 through June 30, 2020 (the 2019 Program). We repurchased $500 million of our common stock in each of t</w:t>
      </w:r>
      <w:r>
        <w:rPr>
          <w:rFonts w:ascii="Arial" w:eastAsia="宋体" w:hAnsi="Arial" w:cs="Arial"/>
          <w:color w:val="000000"/>
          <w:sz w:val="20"/>
          <w:szCs w:val="20"/>
        </w:rPr>
        <w:t>he third and fourth quarters of 2019 and the first quarter of 2020 under the 2019 Program.</w:t>
      </w:r>
    </w:p>
    <w:p w14:paraId="5F2CE92F" w14:textId="77777777" w:rsidR="00E836FB" w:rsidRDefault="00994958">
      <w:pPr>
        <w:spacing w:before="60"/>
        <w:ind w:firstLine="450"/>
        <w:jc w:val="both"/>
      </w:pPr>
      <w:r>
        <w:rPr>
          <w:rFonts w:ascii="Arial" w:eastAsia="宋体" w:hAnsi="Arial" w:cs="Arial"/>
          <w:color w:val="000000"/>
          <w:sz w:val="20"/>
          <w:szCs w:val="20"/>
        </w:rPr>
        <w:t>On March 16, 2020, we, along with the other U.S. G-SIBs, suspended common share repurchases and maintained this suspension through the fourth quarter of 2020 in resp</w:t>
      </w:r>
      <w:r>
        <w:rPr>
          <w:rFonts w:ascii="Arial" w:eastAsia="宋体" w:hAnsi="Arial" w:cs="Arial"/>
          <w:color w:val="000000"/>
          <w:sz w:val="20"/>
          <w:szCs w:val="20"/>
        </w:rPr>
        <w:t>onse to the COVID-19 pandemic. This suspension was consistent with limitations imposed by the Federal Reserve beginning in the second quarter of 2020. As a result, we had no repurchases of our common stock in the second, third or fourth quarters of 2020. I</w:t>
      </w:r>
      <w:r>
        <w:rPr>
          <w:rFonts w:ascii="Arial" w:eastAsia="宋体" w:hAnsi="Arial" w:cs="Arial"/>
          <w:color w:val="000000"/>
          <w:sz w:val="20"/>
          <w:szCs w:val="20"/>
        </w:rPr>
        <w:t xml:space="preserve">n December 2020, the Federal Reserve issued results of 2020 resubmission stress tests and authorized us to continue to pay common stock dividends at current levels and to resume repurchasing common shares in the first quarter of 2021. In January 2021, our </w:t>
      </w:r>
      <w:r>
        <w:rPr>
          <w:rFonts w:ascii="Arial" w:eastAsia="宋体" w:hAnsi="Arial" w:cs="Arial"/>
          <w:color w:val="000000"/>
          <w:sz w:val="20"/>
          <w:szCs w:val="20"/>
        </w:rPr>
        <w:t>Board authorized a common share repurchase program for the repurchase of up to $475 million of our common stock through March 31, 2021. We repurchased $475 million of our common stock in the first quarter of 2021. In April 2021, our Board authorized a comm</w:t>
      </w:r>
      <w:r>
        <w:rPr>
          <w:rFonts w:ascii="Arial" w:eastAsia="宋体" w:hAnsi="Arial" w:cs="Arial"/>
          <w:color w:val="000000"/>
          <w:sz w:val="20"/>
          <w:szCs w:val="20"/>
        </w:rPr>
        <w:t xml:space="preserve">on share repurchase program for the repurchase of up to $425 million of our common stock through June 30, 2021, in compliance with the limit set by the Federal Reserve. We repurchased $425 million of our common stock in the second quarter of 2021. In July </w:t>
      </w:r>
      <w:r>
        <w:rPr>
          <w:rFonts w:ascii="Arial" w:eastAsia="宋体" w:hAnsi="Arial" w:cs="Arial"/>
          <w:color w:val="000000"/>
          <w:sz w:val="20"/>
          <w:szCs w:val="20"/>
        </w:rPr>
        <w:t>2021, our Board authorized a share repurchase program for the repurchase of up to $3.0 billion of our common stock through the end of 2022.</w:t>
      </w:r>
    </w:p>
    <w:p w14:paraId="5F2CE930" w14:textId="77777777" w:rsidR="00E836FB" w:rsidRDefault="00994958">
      <w:pPr>
        <w:spacing w:before="60"/>
        <w:ind w:firstLine="450"/>
        <w:jc w:val="both"/>
      </w:pPr>
      <w:r>
        <w:rPr>
          <w:rFonts w:ascii="Arial" w:eastAsia="宋体" w:hAnsi="Arial" w:cs="Arial"/>
          <w:color w:val="000000"/>
          <w:sz w:val="20"/>
          <w:szCs w:val="20"/>
        </w:rPr>
        <w:t>In connection with our planned acquisition of the BBH Investor Services business, we did not repurchase any common s</w:t>
      </w:r>
      <w:r>
        <w:rPr>
          <w:rFonts w:ascii="Arial" w:eastAsia="宋体" w:hAnsi="Arial" w:cs="Arial"/>
          <w:color w:val="000000"/>
          <w:sz w:val="20"/>
          <w:szCs w:val="20"/>
        </w:rPr>
        <w:t>tock during the third and fourth quarters of 2021 under the common share repurchase plan approved by our Board in July 2021, and we do not intend to repurchase any common stock during the first quarter of 2022. We intend to resume our common share repurcha</w:t>
      </w:r>
      <w:r>
        <w:rPr>
          <w:rFonts w:ascii="Arial" w:eastAsia="宋体" w:hAnsi="Arial" w:cs="Arial"/>
          <w:color w:val="000000"/>
          <w:sz w:val="20"/>
          <w:szCs w:val="20"/>
        </w:rPr>
        <w:t>ses during the second quarter of 2022.</w:t>
      </w:r>
    </w:p>
    <w:p w14:paraId="5F2CE931" w14:textId="77777777" w:rsidR="00E836FB" w:rsidRDefault="00994958">
      <w:pPr>
        <w:spacing w:before="60"/>
        <w:ind w:firstLine="450"/>
        <w:jc w:val="both"/>
      </w:pPr>
      <w:r>
        <w:rPr>
          <w:rFonts w:ascii="Arial" w:eastAsia="宋体" w:hAnsi="Arial" w:cs="Arial"/>
          <w:color w:val="000000"/>
          <w:sz w:val="20"/>
          <w:szCs w:val="20"/>
        </w:rPr>
        <w:t>The table below presents the activity under our common share repurchase program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724"/>
        <w:gridCol w:w="37"/>
        <w:gridCol w:w="184"/>
        <w:gridCol w:w="184"/>
        <w:gridCol w:w="200"/>
        <w:gridCol w:w="196"/>
        <w:gridCol w:w="193"/>
        <w:gridCol w:w="36"/>
        <w:gridCol w:w="37"/>
        <w:gridCol w:w="1420"/>
        <w:gridCol w:w="36"/>
        <w:gridCol w:w="36"/>
        <w:gridCol w:w="36"/>
        <w:gridCol w:w="36"/>
        <w:gridCol w:w="110"/>
        <w:gridCol w:w="1447"/>
        <w:gridCol w:w="36"/>
        <w:gridCol w:w="36"/>
        <w:gridCol w:w="36"/>
        <w:gridCol w:w="36"/>
        <w:gridCol w:w="110"/>
        <w:gridCol w:w="1449"/>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E836FB" w14:paraId="5F2CE950" w14:textId="77777777">
        <w:tc>
          <w:tcPr>
            <w:tcW w:w="50" w:type="pct"/>
            <w:shd w:val="clear" w:color="auto" w:fill="auto"/>
            <w:vAlign w:val="bottom"/>
          </w:tcPr>
          <w:p w14:paraId="5F2CE932" w14:textId="77777777" w:rsidR="00E836FB" w:rsidRDefault="00E836FB">
            <w:pPr>
              <w:rPr>
                <w:rFonts w:ascii="宋体"/>
              </w:rPr>
            </w:pPr>
          </w:p>
        </w:tc>
        <w:tc>
          <w:tcPr>
            <w:tcW w:w="1348" w:type="pct"/>
            <w:shd w:val="clear" w:color="auto" w:fill="auto"/>
            <w:vAlign w:val="bottom"/>
          </w:tcPr>
          <w:p w14:paraId="5F2CE933" w14:textId="77777777" w:rsidR="00E836FB" w:rsidRDefault="00E836FB">
            <w:pPr>
              <w:rPr>
                <w:rFonts w:ascii="宋体"/>
              </w:rPr>
            </w:pPr>
          </w:p>
        </w:tc>
        <w:tc>
          <w:tcPr>
            <w:tcW w:w="5" w:type="pct"/>
            <w:shd w:val="clear" w:color="auto" w:fill="auto"/>
            <w:vAlign w:val="bottom"/>
          </w:tcPr>
          <w:p w14:paraId="5F2CE934" w14:textId="77777777" w:rsidR="00E836FB" w:rsidRDefault="00E836FB">
            <w:pPr>
              <w:rPr>
                <w:rFonts w:ascii="宋体"/>
              </w:rPr>
            </w:pPr>
          </w:p>
        </w:tc>
        <w:tc>
          <w:tcPr>
            <w:tcW w:w="0" w:type="auto"/>
            <w:shd w:val="clear" w:color="auto" w:fill="auto"/>
            <w:vAlign w:val="bottom"/>
          </w:tcPr>
          <w:p w14:paraId="5F2CE935" w14:textId="77777777" w:rsidR="00E836FB" w:rsidRDefault="00E836FB">
            <w:pPr>
              <w:rPr>
                <w:rFonts w:ascii="宋体"/>
                <w:vanish/>
              </w:rPr>
            </w:pPr>
          </w:p>
        </w:tc>
        <w:tc>
          <w:tcPr>
            <w:tcW w:w="0" w:type="auto"/>
            <w:shd w:val="clear" w:color="auto" w:fill="auto"/>
            <w:vAlign w:val="bottom"/>
          </w:tcPr>
          <w:p w14:paraId="5F2CE936" w14:textId="77777777" w:rsidR="00E836FB" w:rsidRDefault="00E836FB">
            <w:pPr>
              <w:rPr>
                <w:rFonts w:ascii="宋体"/>
                <w:vanish/>
              </w:rPr>
            </w:pPr>
          </w:p>
        </w:tc>
        <w:tc>
          <w:tcPr>
            <w:tcW w:w="0" w:type="auto"/>
            <w:shd w:val="clear" w:color="auto" w:fill="auto"/>
            <w:vAlign w:val="bottom"/>
          </w:tcPr>
          <w:p w14:paraId="5F2CE937" w14:textId="77777777" w:rsidR="00E836FB" w:rsidRDefault="00E836FB">
            <w:pPr>
              <w:rPr>
                <w:rFonts w:ascii="宋体"/>
                <w:vanish/>
              </w:rPr>
            </w:pPr>
          </w:p>
        </w:tc>
        <w:tc>
          <w:tcPr>
            <w:tcW w:w="0" w:type="auto"/>
            <w:shd w:val="clear" w:color="auto" w:fill="auto"/>
            <w:vAlign w:val="bottom"/>
          </w:tcPr>
          <w:p w14:paraId="5F2CE938" w14:textId="77777777" w:rsidR="00E836FB" w:rsidRDefault="00E836FB">
            <w:pPr>
              <w:rPr>
                <w:rFonts w:ascii="宋体"/>
                <w:vanish/>
              </w:rPr>
            </w:pPr>
          </w:p>
        </w:tc>
        <w:tc>
          <w:tcPr>
            <w:tcW w:w="0" w:type="auto"/>
            <w:shd w:val="clear" w:color="auto" w:fill="auto"/>
            <w:vAlign w:val="bottom"/>
          </w:tcPr>
          <w:p w14:paraId="5F2CE939" w14:textId="77777777" w:rsidR="00E836FB" w:rsidRDefault="00E836FB">
            <w:pPr>
              <w:rPr>
                <w:rFonts w:ascii="宋体"/>
                <w:vanish/>
              </w:rPr>
            </w:pPr>
          </w:p>
        </w:tc>
        <w:tc>
          <w:tcPr>
            <w:tcW w:w="0" w:type="auto"/>
            <w:shd w:val="clear" w:color="auto" w:fill="auto"/>
            <w:vAlign w:val="bottom"/>
          </w:tcPr>
          <w:p w14:paraId="5F2CE93A" w14:textId="77777777" w:rsidR="00E836FB" w:rsidRDefault="00E836FB">
            <w:pPr>
              <w:rPr>
                <w:rFonts w:ascii="宋体"/>
                <w:vanish/>
              </w:rPr>
            </w:pPr>
          </w:p>
        </w:tc>
        <w:tc>
          <w:tcPr>
            <w:tcW w:w="50" w:type="pct"/>
            <w:shd w:val="clear" w:color="auto" w:fill="auto"/>
            <w:vAlign w:val="bottom"/>
          </w:tcPr>
          <w:p w14:paraId="5F2CE93B" w14:textId="77777777" w:rsidR="00E836FB" w:rsidRDefault="00E836FB">
            <w:pPr>
              <w:rPr>
                <w:rFonts w:ascii="宋体"/>
              </w:rPr>
            </w:pPr>
          </w:p>
        </w:tc>
        <w:tc>
          <w:tcPr>
            <w:tcW w:w="1121" w:type="pct"/>
            <w:shd w:val="clear" w:color="auto" w:fill="auto"/>
            <w:vAlign w:val="bottom"/>
          </w:tcPr>
          <w:p w14:paraId="5F2CE93C" w14:textId="77777777" w:rsidR="00E836FB" w:rsidRDefault="00E836FB">
            <w:pPr>
              <w:rPr>
                <w:rFonts w:ascii="宋体"/>
              </w:rPr>
            </w:pPr>
          </w:p>
        </w:tc>
        <w:tc>
          <w:tcPr>
            <w:tcW w:w="5" w:type="pct"/>
            <w:shd w:val="clear" w:color="auto" w:fill="auto"/>
            <w:vAlign w:val="bottom"/>
          </w:tcPr>
          <w:p w14:paraId="5F2CE93D" w14:textId="77777777" w:rsidR="00E836FB" w:rsidRDefault="00E836FB">
            <w:pPr>
              <w:rPr>
                <w:rFonts w:ascii="宋体"/>
              </w:rPr>
            </w:pPr>
          </w:p>
        </w:tc>
        <w:tc>
          <w:tcPr>
            <w:tcW w:w="5" w:type="pct"/>
            <w:shd w:val="clear" w:color="auto" w:fill="auto"/>
            <w:vAlign w:val="bottom"/>
          </w:tcPr>
          <w:p w14:paraId="5F2CE93E" w14:textId="77777777" w:rsidR="00E836FB" w:rsidRDefault="00E836FB">
            <w:pPr>
              <w:rPr>
                <w:rFonts w:ascii="宋体"/>
              </w:rPr>
            </w:pPr>
          </w:p>
        </w:tc>
        <w:tc>
          <w:tcPr>
            <w:tcW w:w="19" w:type="pct"/>
            <w:shd w:val="clear" w:color="auto" w:fill="auto"/>
            <w:vAlign w:val="bottom"/>
          </w:tcPr>
          <w:p w14:paraId="5F2CE93F" w14:textId="77777777" w:rsidR="00E836FB" w:rsidRDefault="00E836FB">
            <w:pPr>
              <w:rPr>
                <w:rFonts w:ascii="宋体"/>
              </w:rPr>
            </w:pPr>
          </w:p>
        </w:tc>
        <w:tc>
          <w:tcPr>
            <w:tcW w:w="5" w:type="pct"/>
            <w:shd w:val="clear" w:color="auto" w:fill="auto"/>
            <w:vAlign w:val="bottom"/>
          </w:tcPr>
          <w:p w14:paraId="5F2CE940" w14:textId="77777777" w:rsidR="00E836FB" w:rsidRDefault="00E836FB">
            <w:pPr>
              <w:rPr>
                <w:rFonts w:ascii="宋体"/>
              </w:rPr>
            </w:pPr>
          </w:p>
        </w:tc>
        <w:tc>
          <w:tcPr>
            <w:tcW w:w="50" w:type="pct"/>
            <w:shd w:val="clear" w:color="auto" w:fill="auto"/>
            <w:vAlign w:val="bottom"/>
          </w:tcPr>
          <w:p w14:paraId="5F2CE941" w14:textId="77777777" w:rsidR="00E836FB" w:rsidRDefault="00E836FB">
            <w:pPr>
              <w:rPr>
                <w:rFonts w:ascii="宋体"/>
              </w:rPr>
            </w:pPr>
          </w:p>
        </w:tc>
        <w:tc>
          <w:tcPr>
            <w:tcW w:w="1121" w:type="pct"/>
            <w:shd w:val="clear" w:color="auto" w:fill="auto"/>
            <w:vAlign w:val="bottom"/>
          </w:tcPr>
          <w:p w14:paraId="5F2CE942" w14:textId="77777777" w:rsidR="00E836FB" w:rsidRDefault="00E836FB">
            <w:pPr>
              <w:rPr>
                <w:rFonts w:ascii="宋体"/>
              </w:rPr>
            </w:pPr>
          </w:p>
        </w:tc>
        <w:tc>
          <w:tcPr>
            <w:tcW w:w="5" w:type="pct"/>
            <w:shd w:val="clear" w:color="auto" w:fill="auto"/>
            <w:vAlign w:val="bottom"/>
          </w:tcPr>
          <w:p w14:paraId="5F2CE943" w14:textId="77777777" w:rsidR="00E836FB" w:rsidRDefault="00E836FB">
            <w:pPr>
              <w:rPr>
                <w:rFonts w:ascii="宋体"/>
              </w:rPr>
            </w:pPr>
          </w:p>
        </w:tc>
        <w:tc>
          <w:tcPr>
            <w:tcW w:w="5" w:type="pct"/>
            <w:shd w:val="clear" w:color="auto" w:fill="auto"/>
            <w:vAlign w:val="bottom"/>
          </w:tcPr>
          <w:p w14:paraId="5F2CE944" w14:textId="77777777" w:rsidR="00E836FB" w:rsidRDefault="00E836FB">
            <w:pPr>
              <w:rPr>
                <w:rFonts w:ascii="宋体"/>
              </w:rPr>
            </w:pPr>
          </w:p>
        </w:tc>
        <w:tc>
          <w:tcPr>
            <w:tcW w:w="26" w:type="pct"/>
            <w:shd w:val="clear" w:color="auto" w:fill="auto"/>
            <w:vAlign w:val="bottom"/>
          </w:tcPr>
          <w:p w14:paraId="5F2CE945" w14:textId="77777777" w:rsidR="00E836FB" w:rsidRDefault="00E836FB">
            <w:pPr>
              <w:rPr>
                <w:rFonts w:ascii="宋体"/>
              </w:rPr>
            </w:pPr>
          </w:p>
        </w:tc>
        <w:tc>
          <w:tcPr>
            <w:tcW w:w="5" w:type="pct"/>
            <w:shd w:val="clear" w:color="auto" w:fill="auto"/>
            <w:vAlign w:val="bottom"/>
          </w:tcPr>
          <w:p w14:paraId="5F2CE946" w14:textId="77777777" w:rsidR="00E836FB" w:rsidRDefault="00E836FB">
            <w:pPr>
              <w:rPr>
                <w:rFonts w:ascii="宋体"/>
              </w:rPr>
            </w:pPr>
          </w:p>
        </w:tc>
        <w:tc>
          <w:tcPr>
            <w:tcW w:w="50" w:type="pct"/>
            <w:shd w:val="clear" w:color="auto" w:fill="auto"/>
            <w:vAlign w:val="bottom"/>
          </w:tcPr>
          <w:p w14:paraId="5F2CE947" w14:textId="77777777" w:rsidR="00E836FB" w:rsidRDefault="00E836FB">
            <w:pPr>
              <w:rPr>
                <w:rFonts w:ascii="宋体"/>
              </w:rPr>
            </w:pPr>
          </w:p>
        </w:tc>
        <w:tc>
          <w:tcPr>
            <w:tcW w:w="1122" w:type="pct"/>
            <w:shd w:val="clear" w:color="auto" w:fill="auto"/>
            <w:vAlign w:val="bottom"/>
          </w:tcPr>
          <w:p w14:paraId="5F2CE948" w14:textId="77777777" w:rsidR="00E836FB" w:rsidRDefault="00E836FB">
            <w:pPr>
              <w:rPr>
                <w:rFonts w:ascii="宋体"/>
              </w:rPr>
            </w:pPr>
          </w:p>
        </w:tc>
        <w:tc>
          <w:tcPr>
            <w:tcW w:w="5" w:type="pct"/>
            <w:shd w:val="clear" w:color="auto" w:fill="auto"/>
            <w:vAlign w:val="bottom"/>
          </w:tcPr>
          <w:p w14:paraId="5F2CE949" w14:textId="77777777" w:rsidR="00E836FB" w:rsidRDefault="00E836FB">
            <w:pPr>
              <w:rPr>
                <w:rFonts w:ascii="宋体"/>
              </w:rPr>
            </w:pPr>
          </w:p>
        </w:tc>
        <w:tc>
          <w:tcPr>
            <w:tcW w:w="0" w:type="auto"/>
            <w:gridSpan w:val="3"/>
            <w:shd w:val="clear" w:color="auto" w:fill="auto"/>
            <w:vAlign w:val="bottom"/>
          </w:tcPr>
          <w:p w14:paraId="5F2CE94A" w14:textId="77777777" w:rsidR="00E836FB" w:rsidRDefault="00E836FB">
            <w:pPr>
              <w:rPr>
                <w:rFonts w:ascii="宋体"/>
                <w:vanish/>
              </w:rPr>
            </w:pPr>
          </w:p>
        </w:tc>
        <w:tc>
          <w:tcPr>
            <w:tcW w:w="0" w:type="auto"/>
            <w:gridSpan w:val="3"/>
            <w:shd w:val="clear" w:color="auto" w:fill="auto"/>
            <w:vAlign w:val="bottom"/>
          </w:tcPr>
          <w:p w14:paraId="5F2CE94B" w14:textId="77777777" w:rsidR="00E836FB" w:rsidRDefault="00E836FB">
            <w:pPr>
              <w:rPr>
                <w:rFonts w:ascii="宋体"/>
                <w:vanish/>
              </w:rPr>
            </w:pPr>
          </w:p>
        </w:tc>
        <w:tc>
          <w:tcPr>
            <w:tcW w:w="0" w:type="auto"/>
            <w:gridSpan w:val="3"/>
            <w:shd w:val="clear" w:color="auto" w:fill="auto"/>
            <w:vAlign w:val="bottom"/>
          </w:tcPr>
          <w:p w14:paraId="5F2CE94C" w14:textId="77777777" w:rsidR="00E836FB" w:rsidRDefault="00E836FB">
            <w:pPr>
              <w:rPr>
                <w:rFonts w:ascii="宋体"/>
                <w:vanish/>
              </w:rPr>
            </w:pPr>
          </w:p>
        </w:tc>
        <w:tc>
          <w:tcPr>
            <w:tcW w:w="0" w:type="auto"/>
            <w:gridSpan w:val="3"/>
            <w:shd w:val="clear" w:color="auto" w:fill="auto"/>
            <w:vAlign w:val="bottom"/>
          </w:tcPr>
          <w:p w14:paraId="5F2CE94D" w14:textId="77777777" w:rsidR="00E836FB" w:rsidRDefault="00E836FB">
            <w:pPr>
              <w:rPr>
                <w:rFonts w:ascii="宋体"/>
                <w:vanish/>
              </w:rPr>
            </w:pPr>
          </w:p>
        </w:tc>
        <w:tc>
          <w:tcPr>
            <w:tcW w:w="0" w:type="auto"/>
            <w:gridSpan w:val="3"/>
            <w:shd w:val="clear" w:color="auto" w:fill="auto"/>
            <w:vAlign w:val="bottom"/>
          </w:tcPr>
          <w:p w14:paraId="5F2CE94E" w14:textId="77777777" w:rsidR="00E836FB" w:rsidRDefault="00E836FB">
            <w:pPr>
              <w:rPr>
                <w:rFonts w:ascii="宋体"/>
                <w:vanish/>
              </w:rPr>
            </w:pPr>
          </w:p>
        </w:tc>
        <w:tc>
          <w:tcPr>
            <w:tcW w:w="0" w:type="auto"/>
            <w:gridSpan w:val="3"/>
            <w:shd w:val="clear" w:color="auto" w:fill="auto"/>
            <w:vAlign w:val="bottom"/>
          </w:tcPr>
          <w:p w14:paraId="5F2CE94F" w14:textId="77777777" w:rsidR="00E836FB" w:rsidRDefault="00E836FB">
            <w:pPr>
              <w:rPr>
                <w:rFonts w:ascii="宋体"/>
                <w:vanish/>
              </w:rPr>
            </w:pPr>
          </w:p>
        </w:tc>
      </w:tr>
      <w:tr w:rsidR="00E836FB" w14:paraId="5F2CE96A" w14:textId="77777777">
        <w:tc>
          <w:tcPr>
            <w:tcW w:w="0" w:type="auto"/>
            <w:gridSpan w:val="8"/>
            <w:shd w:val="clear" w:color="auto" w:fill="auto"/>
            <w:tcMar>
              <w:top w:w="40" w:type="dxa"/>
              <w:left w:w="20" w:type="dxa"/>
              <w:bottom w:w="40" w:type="dxa"/>
              <w:right w:w="20" w:type="dxa"/>
            </w:tcMar>
            <w:vAlign w:val="bottom"/>
          </w:tcPr>
          <w:p w14:paraId="5F2CE951" w14:textId="77777777" w:rsidR="00E836FB" w:rsidRDefault="00994958">
            <w:pPr>
              <w:textAlignment w:val="bottom"/>
            </w:pPr>
            <w:r>
              <w:rPr>
                <w:rFonts w:ascii="Arial" w:eastAsia="宋体" w:hAnsi="Arial" w:cs="Arial"/>
                <w:b/>
                <w:bCs/>
                <w:color w:val="000000"/>
                <w:sz w:val="16"/>
                <w:szCs w:val="16"/>
              </w:rPr>
              <w:t>TABLE 48: SHARES REPURCHASED</w:t>
            </w:r>
          </w:p>
        </w:tc>
        <w:tc>
          <w:tcPr>
            <w:tcW w:w="0" w:type="auto"/>
            <w:shd w:val="clear" w:color="auto" w:fill="auto"/>
            <w:vAlign w:val="bottom"/>
          </w:tcPr>
          <w:p w14:paraId="5F2CE952" w14:textId="77777777" w:rsidR="00E836FB" w:rsidRDefault="00E836FB">
            <w:pPr>
              <w:rPr>
                <w:rFonts w:ascii="宋体"/>
                <w:vanish/>
              </w:rPr>
            </w:pPr>
          </w:p>
        </w:tc>
        <w:tc>
          <w:tcPr>
            <w:tcW w:w="0" w:type="auto"/>
            <w:gridSpan w:val="3"/>
            <w:shd w:val="clear" w:color="auto" w:fill="auto"/>
            <w:vAlign w:val="bottom"/>
          </w:tcPr>
          <w:p w14:paraId="5F2CE953" w14:textId="77777777" w:rsidR="00E836FB" w:rsidRDefault="00E836FB">
            <w:pPr>
              <w:rPr>
                <w:rFonts w:ascii="宋体"/>
                <w:vanish/>
              </w:rPr>
            </w:pPr>
          </w:p>
        </w:tc>
        <w:tc>
          <w:tcPr>
            <w:tcW w:w="0" w:type="auto"/>
            <w:gridSpan w:val="3"/>
            <w:shd w:val="clear" w:color="auto" w:fill="auto"/>
            <w:vAlign w:val="bottom"/>
          </w:tcPr>
          <w:p w14:paraId="5F2CE954" w14:textId="77777777" w:rsidR="00E836FB" w:rsidRDefault="00E836FB">
            <w:pPr>
              <w:rPr>
                <w:rFonts w:ascii="宋体"/>
                <w:vanish/>
              </w:rPr>
            </w:pPr>
          </w:p>
        </w:tc>
        <w:tc>
          <w:tcPr>
            <w:tcW w:w="0" w:type="auto"/>
            <w:gridSpan w:val="3"/>
            <w:shd w:val="clear" w:color="auto" w:fill="auto"/>
            <w:vAlign w:val="bottom"/>
          </w:tcPr>
          <w:p w14:paraId="5F2CE955" w14:textId="77777777" w:rsidR="00E836FB" w:rsidRDefault="00E836FB">
            <w:pPr>
              <w:rPr>
                <w:rFonts w:ascii="宋体"/>
                <w:vanish/>
              </w:rPr>
            </w:pPr>
          </w:p>
        </w:tc>
        <w:tc>
          <w:tcPr>
            <w:tcW w:w="0" w:type="auto"/>
            <w:gridSpan w:val="3"/>
            <w:shd w:val="clear" w:color="auto" w:fill="auto"/>
            <w:vAlign w:val="bottom"/>
          </w:tcPr>
          <w:p w14:paraId="5F2CE956" w14:textId="77777777" w:rsidR="00E836FB" w:rsidRDefault="00E836FB">
            <w:pPr>
              <w:rPr>
                <w:rFonts w:ascii="宋体"/>
                <w:vanish/>
              </w:rPr>
            </w:pPr>
          </w:p>
        </w:tc>
        <w:tc>
          <w:tcPr>
            <w:tcW w:w="0" w:type="auto"/>
            <w:gridSpan w:val="3"/>
            <w:shd w:val="clear" w:color="auto" w:fill="auto"/>
            <w:vAlign w:val="bottom"/>
          </w:tcPr>
          <w:p w14:paraId="5F2CE957" w14:textId="77777777" w:rsidR="00E836FB" w:rsidRDefault="00E836FB">
            <w:pPr>
              <w:rPr>
                <w:rFonts w:ascii="宋体"/>
                <w:vanish/>
              </w:rPr>
            </w:pPr>
          </w:p>
        </w:tc>
        <w:tc>
          <w:tcPr>
            <w:tcW w:w="0" w:type="auto"/>
            <w:shd w:val="clear" w:color="auto" w:fill="auto"/>
            <w:vAlign w:val="bottom"/>
          </w:tcPr>
          <w:p w14:paraId="5F2CE958" w14:textId="77777777" w:rsidR="00E836FB" w:rsidRDefault="00E836FB">
            <w:pPr>
              <w:rPr>
                <w:rFonts w:ascii="宋体"/>
              </w:rPr>
            </w:pPr>
          </w:p>
        </w:tc>
        <w:tc>
          <w:tcPr>
            <w:tcW w:w="0" w:type="auto"/>
            <w:shd w:val="clear" w:color="auto" w:fill="auto"/>
            <w:vAlign w:val="bottom"/>
          </w:tcPr>
          <w:p w14:paraId="5F2CE959" w14:textId="77777777" w:rsidR="00E836FB" w:rsidRDefault="00E836FB">
            <w:pPr>
              <w:rPr>
                <w:rFonts w:ascii="宋体"/>
              </w:rPr>
            </w:pPr>
          </w:p>
        </w:tc>
        <w:tc>
          <w:tcPr>
            <w:tcW w:w="0" w:type="auto"/>
            <w:shd w:val="clear" w:color="auto" w:fill="auto"/>
            <w:vAlign w:val="bottom"/>
          </w:tcPr>
          <w:p w14:paraId="5F2CE95A" w14:textId="77777777" w:rsidR="00E836FB" w:rsidRDefault="00E836FB">
            <w:pPr>
              <w:rPr>
                <w:rFonts w:ascii="宋体"/>
              </w:rPr>
            </w:pPr>
          </w:p>
        </w:tc>
        <w:tc>
          <w:tcPr>
            <w:tcW w:w="0" w:type="auto"/>
            <w:shd w:val="clear" w:color="auto" w:fill="auto"/>
            <w:vAlign w:val="bottom"/>
          </w:tcPr>
          <w:p w14:paraId="5F2CE95B" w14:textId="77777777" w:rsidR="00E836FB" w:rsidRDefault="00E836FB">
            <w:pPr>
              <w:rPr>
                <w:rFonts w:ascii="宋体"/>
              </w:rPr>
            </w:pPr>
          </w:p>
        </w:tc>
        <w:tc>
          <w:tcPr>
            <w:tcW w:w="0" w:type="auto"/>
            <w:shd w:val="clear" w:color="auto" w:fill="auto"/>
            <w:vAlign w:val="bottom"/>
          </w:tcPr>
          <w:p w14:paraId="5F2CE95C" w14:textId="77777777" w:rsidR="00E836FB" w:rsidRDefault="00E836FB">
            <w:pPr>
              <w:rPr>
                <w:rFonts w:ascii="宋体"/>
              </w:rPr>
            </w:pPr>
          </w:p>
        </w:tc>
        <w:tc>
          <w:tcPr>
            <w:tcW w:w="0" w:type="auto"/>
            <w:shd w:val="clear" w:color="auto" w:fill="auto"/>
            <w:vAlign w:val="bottom"/>
          </w:tcPr>
          <w:p w14:paraId="5F2CE95D" w14:textId="77777777" w:rsidR="00E836FB" w:rsidRDefault="00E836FB">
            <w:pPr>
              <w:rPr>
                <w:rFonts w:ascii="宋体"/>
              </w:rPr>
            </w:pPr>
          </w:p>
        </w:tc>
        <w:tc>
          <w:tcPr>
            <w:tcW w:w="0" w:type="auto"/>
            <w:shd w:val="clear" w:color="auto" w:fill="auto"/>
            <w:vAlign w:val="bottom"/>
          </w:tcPr>
          <w:p w14:paraId="5F2CE95E" w14:textId="77777777" w:rsidR="00E836FB" w:rsidRDefault="00E836FB">
            <w:pPr>
              <w:rPr>
                <w:rFonts w:ascii="宋体"/>
              </w:rPr>
            </w:pPr>
          </w:p>
        </w:tc>
        <w:tc>
          <w:tcPr>
            <w:tcW w:w="0" w:type="auto"/>
            <w:shd w:val="clear" w:color="auto" w:fill="auto"/>
            <w:vAlign w:val="bottom"/>
          </w:tcPr>
          <w:p w14:paraId="5F2CE95F" w14:textId="77777777" w:rsidR="00E836FB" w:rsidRDefault="00E836FB">
            <w:pPr>
              <w:rPr>
                <w:rFonts w:ascii="宋体"/>
              </w:rPr>
            </w:pPr>
          </w:p>
        </w:tc>
        <w:tc>
          <w:tcPr>
            <w:tcW w:w="0" w:type="auto"/>
            <w:shd w:val="clear" w:color="auto" w:fill="auto"/>
            <w:vAlign w:val="bottom"/>
          </w:tcPr>
          <w:p w14:paraId="5F2CE960" w14:textId="77777777" w:rsidR="00E836FB" w:rsidRDefault="00E836FB">
            <w:pPr>
              <w:rPr>
                <w:rFonts w:ascii="宋体"/>
              </w:rPr>
            </w:pPr>
          </w:p>
        </w:tc>
        <w:tc>
          <w:tcPr>
            <w:tcW w:w="0" w:type="auto"/>
            <w:shd w:val="clear" w:color="auto" w:fill="auto"/>
            <w:vAlign w:val="bottom"/>
          </w:tcPr>
          <w:p w14:paraId="5F2CE961" w14:textId="77777777" w:rsidR="00E836FB" w:rsidRDefault="00E836FB">
            <w:pPr>
              <w:rPr>
                <w:rFonts w:ascii="宋体"/>
              </w:rPr>
            </w:pPr>
          </w:p>
        </w:tc>
        <w:tc>
          <w:tcPr>
            <w:tcW w:w="0" w:type="auto"/>
            <w:shd w:val="clear" w:color="auto" w:fill="auto"/>
            <w:vAlign w:val="bottom"/>
          </w:tcPr>
          <w:p w14:paraId="5F2CE962" w14:textId="77777777" w:rsidR="00E836FB" w:rsidRDefault="00E836FB">
            <w:pPr>
              <w:rPr>
                <w:rFonts w:ascii="宋体"/>
              </w:rPr>
            </w:pPr>
          </w:p>
        </w:tc>
        <w:tc>
          <w:tcPr>
            <w:tcW w:w="0" w:type="auto"/>
            <w:shd w:val="clear" w:color="auto" w:fill="auto"/>
            <w:vAlign w:val="bottom"/>
          </w:tcPr>
          <w:p w14:paraId="5F2CE963" w14:textId="77777777" w:rsidR="00E836FB" w:rsidRDefault="00E836FB">
            <w:pPr>
              <w:rPr>
                <w:rFonts w:ascii="宋体"/>
              </w:rPr>
            </w:pPr>
          </w:p>
        </w:tc>
        <w:tc>
          <w:tcPr>
            <w:tcW w:w="0" w:type="auto"/>
            <w:shd w:val="clear" w:color="auto" w:fill="auto"/>
            <w:vAlign w:val="bottom"/>
          </w:tcPr>
          <w:p w14:paraId="5F2CE964" w14:textId="77777777" w:rsidR="00E836FB" w:rsidRDefault="00E836FB">
            <w:pPr>
              <w:rPr>
                <w:rFonts w:ascii="宋体"/>
              </w:rPr>
            </w:pPr>
          </w:p>
        </w:tc>
        <w:tc>
          <w:tcPr>
            <w:tcW w:w="0" w:type="auto"/>
            <w:shd w:val="clear" w:color="auto" w:fill="auto"/>
            <w:vAlign w:val="bottom"/>
          </w:tcPr>
          <w:p w14:paraId="5F2CE965" w14:textId="77777777" w:rsidR="00E836FB" w:rsidRDefault="00E836FB">
            <w:pPr>
              <w:rPr>
                <w:rFonts w:ascii="宋体"/>
              </w:rPr>
            </w:pPr>
          </w:p>
        </w:tc>
        <w:tc>
          <w:tcPr>
            <w:tcW w:w="0" w:type="auto"/>
            <w:shd w:val="clear" w:color="auto" w:fill="auto"/>
            <w:vAlign w:val="bottom"/>
          </w:tcPr>
          <w:p w14:paraId="5F2CE966" w14:textId="77777777" w:rsidR="00E836FB" w:rsidRDefault="00E836FB">
            <w:pPr>
              <w:rPr>
                <w:rFonts w:ascii="宋体"/>
              </w:rPr>
            </w:pPr>
          </w:p>
        </w:tc>
        <w:tc>
          <w:tcPr>
            <w:tcW w:w="0" w:type="auto"/>
            <w:shd w:val="clear" w:color="auto" w:fill="auto"/>
            <w:vAlign w:val="bottom"/>
          </w:tcPr>
          <w:p w14:paraId="5F2CE967" w14:textId="77777777" w:rsidR="00E836FB" w:rsidRDefault="00E836FB">
            <w:pPr>
              <w:rPr>
                <w:rFonts w:ascii="宋体"/>
              </w:rPr>
            </w:pPr>
          </w:p>
        </w:tc>
        <w:tc>
          <w:tcPr>
            <w:tcW w:w="0" w:type="auto"/>
            <w:shd w:val="clear" w:color="auto" w:fill="auto"/>
            <w:vAlign w:val="bottom"/>
          </w:tcPr>
          <w:p w14:paraId="5F2CE968" w14:textId="77777777" w:rsidR="00E836FB" w:rsidRDefault="00E836FB">
            <w:pPr>
              <w:rPr>
                <w:rFonts w:ascii="宋体"/>
              </w:rPr>
            </w:pPr>
          </w:p>
        </w:tc>
        <w:tc>
          <w:tcPr>
            <w:tcW w:w="0" w:type="auto"/>
            <w:shd w:val="clear" w:color="auto" w:fill="auto"/>
            <w:vAlign w:val="bottom"/>
          </w:tcPr>
          <w:p w14:paraId="5F2CE969" w14:textId="77777777" w:rsidR="00E836FB" w:rsidRDefault="00E836FB">
            <w:pPr>
              <w:rPr>
                <w:rFonts w:ascii="宋体"/>
              </w:rPr>
            </w:pPr>
          </w:p>
        </w:tc>
      </w:tr>
      <w:tr w:rsidR="00E836FB" w14:paraId="5F2CE981" w14:textId="77777777">
        <w:tc>
          <w:tcPr>
            <w:tcW w:w="0" w:type="auto"/>
            <w:gridSpan w:val="3"/>
            <w:shd w:val="clear" w:color="auto" w:fill="auto"/>
            <w:tcMar>
              <w:top w:w="0" w:type="dxa"/>
              <w:left w:w="20" w:type="dxa"/>
              <w:bottom w:w="0" w:type="dxa"/>
              <w:right w:w="20" w:type="dxa"/>
            </w:tcMar>
            <w:vAlign w:val="bottom"/>
          </w:tcPr>
          <w:p w14:paraId="5F2CE96B" w14:textId="77777777" w:rsidR="00E836FB" w:rsidRDefault="00E836FB">
            <w:pPr>
              <w:rPr>
                <w:rFonts w:ascii="宋体"/>
              </w:rPr>
            </w:pPr>
          </w:p>
        </w:tc>
        <w:tc>
          <w:tcPr>
            <w:tcW w:w="0" w:type="auto"/>
            <w:shd w:val="clear" w:color="auto" w:fill="auto"/>
            <w:vAlign w:val="bottom"/>
          </w:tcPr>
          <w:p w14:paraId="5F2CE96C" w14:textId="77777777" w:rsidR="00E836FB" w:rsidRDefault="00E836FB">
            <w:pPr>
              <w:rPr>
                <w:rFonts w:ascii="宋体"/>
                <w:vanish/>
              </w:rPr>
            </w:pPr>
          </w:p>
        </w:tc>
        <w:tc>
          <w:tcPr>
            <w:tcW w:w="0" w:type="auto"/>
            <w:shd w:val="clear" w:color="auto" w:fill="auto"/>
            <w:vAlign w:val="bottom"/>
          </w:tcPr>
          <w:p w14:paraId="5F2CE96D" w14:textId="77777777" w:rsidR="00E836FB" w:rsidRDefault="00E836FB">
            <w:pPr>
              <w:rPr>
                <w:rFonts w:ascii="宋体"/>
                <w:vanish/>
              </w:rPr>
            </w:pPr>
          </w:p>
        </w:tc>
        <w:tc>
          <w:tcPr>
            <w:tcW w:w="0" w:type="auto"/>
            <w:gridSpan w:val="7"/>
            <w:shd w:val="clear" w:color="auto" w:fill="auto"/>
            <w:tcMar>
              <w:top w:w="40" w:type="dxa"/>
              <w:left w:w="20" w:type="dxa"/>
              <w:bottom w:w="40" w:type="dxa"/>
              <w:right w:w="20" w:type="dxa"/>
            </w:tcMar>
            <w:vAlign w:val="bottom"/>
          </w:tcPr>
          <w:p w14:paraId="5F2CE96E" w14:textId="77777777" w:rsidR="00E836FB" w:rsidRDefault="00994958">
            <w:pPr>
              <w:jc w:val="center"/>
              <w:textAlignment w:val="bottom"/>
            </w:pPr>
            <w:r>
              <w:rPr>
                <w:rFonts w:ascii="Arial" w:eastAsia="宋体" w:hAnsi="Arial" w:cs="Arial"/>
                <w:b/>
                <w:bCs/>
                <w:color w:val="000000"/>
                <w:sz w:val="16"/>
                <w:szCs w:val="16"/>
              </w:rPr>
              <w:t>Year Ended December 31, 2021</w:t>
            </w:r>
          </w:p>
        </w:tc>
        <w:tc>
          <w:tcPr>
            <w:tcW w:w="0" w:type="auto"/>
            <w:gridSpan w:val="3"/>
            <w:shd w:val="clear" w:color="auto" w:fill="auto"/>
            <w:vAlign w:val="bottom"/>
          </w:tcPr>
          <w:p w14:paraId="5F2CE96F" w14:textId="77777777" w:rsidR="00E836FB" w:rsidRDefault="00E836FB">
            <w:pPr>
              <w:rPr>
                <w:rFonts w:ascii="宋体"/>
                <w:vanish/>
              </w:rPr>
            </w:pPr>
          </w:p>
        </w:tc>
        <w:tc>
          <w:tcPr>
            <w:tcW w:w="0" w:type="auto"/>
            <w:gridSpan w:val="3"/>
            <w:shd w:val="clear" w:color="auto" w:fill="auto"/>
            <w:vAlign w:val="bottom"/>
          </w:tcPr>
          <w:p w14:paraId="5F2CE970" w14:textId="77777777" w:rsidR="00E836FB" w:rsidRDefault="00E836FB">
            <w:pPr>
              <w:rPr>
                <w:rFonts w:ascii="宋体"/>
                <w:vanish/>
              </w:rPr>
            </w:pPr>
          </w:p>
        </w:tc>
        <w:tc>
          <w:tcPr>
            <w:tcW w:w="0" w:type="auto"/>
            <w:gridSpan w:val="3"/>
            <w:shd w:val="clear" w:color="auto" w:fill="auto"/>
            <w:vAlign w:val="bottom"/>
          </w:tcPr>
          <w:p w14:paraId="5F2CE971" w14:textId="77777777" w:rsidR="00E836FB" w:rsidRDefault="00E836FB">
            <w:pPr>
              <w:rPr>
                <w:rFonts w:ascii="宋体"/>
                <w:vanish/>
              </w:rPr>
            </w:pPr>
          </w:p>
        </w:tc>
        <w:tc>
          <w:tcPr>
            <w:tcW w:w="0" w:type="auto"/>
            <w:gridSpan w:val="3"/>
            <w:shd w:val="clear" w:color="auto" w:fill="auto"/>
            <w:vAlign w:val="bottom"/>
          </w:tcPr>
          <w:p w14:paraId="5F2CE972" w14:textId="77777777" w:rsidR="00E836FB" w:rsidRDefault="00E836FB">
            <w:pPr>
              <w:rPr>
                <w:rFonts w:ascii="宋体"/>
                <w:vanish/>
              </w:rPr>
            </w:pPr>
          </w:p>
        </w:tc>
        <w:tc>
          <w:tcPr>
            <w:tcW w:w="0" w:type="auto"/>
            <w:gridSpan w:val="3"/>
            <w:shd w:val="clear" w:color="auto" w:fill="auto"/>
            <w:vAlign w:val="bottom"/>
          </w:tcPr>
          <w:p w14:paraId="5F2CE973" w14:textId="77777777" w:rsidR="00E836FB" w:rsidRDefault="00E836FB">
            <w:pPr>
              <w:rPr>
                <w:rFonts w:ascii="宋体"/>
                <w:vanish/>
              </w:rPr>
            </w:pPr>
          </w:p>
        </w:tc>
        <w:tc>
          <w:tcPr>
            <w:tcW w:w="0" w:type="auto"/>
            <w:gridSpan w:val="3"/>
            <w:shd w:val="clear" w:color="auto" w:fill="auto"/>
            <w:vAlign w:val="bottom"/>
          </w:tcPr>
          <w:p w14:paraId="5F2CE974" w14:textId="77777777" w:rsidR="00E836FB" w:rsidRDefault="00E836FB">
            <w:pPr>
              <w:rPr>
                <w:rFonts w:ascii="宋体"/>
                <w:vanish/>
              </w:rPr>
            </w:pPr>
          </w:p>
        </w:tc>
        <w:tc>
          <w:tcPr>
            <w:tcW w:w="0" w:type="auto"/>
            <w:shd w:val="clear" w:color="auto" w:fill="auto"/>
            <w:vAlign w:val="bottom"/>
          </w:tcPr>
          <w:p w14:paraId="5F2CE975" w14:textId="77777777" w:rsidR="00E836FB" w:rsidRDefault="00E836FB">
            <w:pPr>
              <w:rPr>
                <w:rFonts w:ascii="宋体"/>
              </w:rPr>
            </w:pPr>
          </w:p>
        </w:tc>
        <w:tc>
          <w:tcPr>
            <w:tcW w:w="0" w:type="auto"/>
            <w:shd w:val="clear" w:color="auto" w:fill="auto"/>
            <w:vAlign w:val="bottom"/>
          </w:tcPr>
          <w:p w14:paraId="5F2CE976" w14:textId="77777777" w:rsidR="00E836FB" w:rsidRDefault="00E836FB">
            <w:pPr>
              <w:rPr>
                <w:rFonts w:ascii="宋体"/>
              </w:rPr>
            </w:pPr>
          </w:p>
        </w:tc>
        <w:tc>
          <w:tcPr>
            <w:tcW w:w="0" w:type="auto"/>
            <w:shd w:val="clear" w:color="auto" w:fill="auto"/>
            <w:vAlign w:val="bottom"/>
          </w:tcPr>
          <w:p w14:paraId="5F2CE977" w14:textId="77777777" w:rsidR="00E836FB" w:rsidRDefault="00E836FB">
            <w:pPr>
              <w:rPr>
                <w:rFonts w:ascii="宋体"/>
              </w:rPr>
            </w:pPr>
          </w:p>
        </w:tc>
        <w:tc>
          <w:tcPr>
            <w:tcW w:w="0" w:type="auto"/>
            <w:shd w:val="clear" w:color="auto" w:fill="auto"/>
            <w:vAlign w:val="bottom"/>
          </w:tcPr>
          <w:p w14:paraId="5F2CE978" w14:textId="77777777" w:rsidR="00E836FB" w:rsidRDefault="00E836FB">
            <w:pPr>
              <w:rPr>
                <w:rFonts w:ascii="宋体"/>
              </w:rPr>
            </w:pPr>
          </w:p>
        </w:tc>
        <w:tc>
          <w:tcPr>
            <w:tcW w:w="0" w:type="auto"/>
            <w:shd w:val="clear" w:color="auto" w:fill="auto"/>
            <w:vAlign w:val="bottom"/>
          </w:tcPr>
          <w:p w14:paraId="5F2CE979" w14:textId="77777777" w:rsidR="00E836FB" w:rsidRDefault="00E836FB">
            <w:pPr>
              <w:rPr>
                <w:rFonts w:ascii="宋体"/>
              </w:rPr>
            </w:pPr>
          </w:p>
        </w:tc>
        <w:tc>
          <w:tcPr>
            <w:tcW w:w="0" w:type="auto"/>
            <w:shd w:val="clear" w:color="auto" w:fill="auto"/>
            <w:vAlign w:val="bottom"/>
          </w:tcPr>
          <w:p w14:paraId="5F2CE97A" w14:textId="77777777" w:rsidR="00E836FB" w:rsidRDefault="00E836FB">
            <w:pPr>
              <w:rPr>
                <w:rFonts w:ascii="宋体"/>
              </w:rPr>
            </w:pPr>
          </w:p>
        </w:tc>
        <w:tc>
          <w:tcPr>
            <w:tcW w:w="0" w:type="auto"/>
            <w:shd w:val="clear" w:color="auto" w:fill="auto"/>
            <w:vAlign w:val="bottom"/>
          </w:tcPr>
          <w:p w14:paraId="5F2CE97B" w14:textId="77777777" w:rsidR="00E836FB" w:rsidRDefault="00E836FB">
            <w:pPr>
              <w:rPr>
                <w:rFonts w:ascii="宋体"/>
              </w:rPr>
            </w:pPr>
          </w:p>
        </w:tc>
        <w:tc>
          <w:tcPr>
            <w:tcW w:w="0" w:type="auto"/>
            <w:shd w:val="clear" w:color="auto" w:fill="auto"/>
            <w:vAlign w:val="bottom"/>
          </w:tcPr>
          <w:p w14:paraId="5F2CE97C" w14:textId="77777777" w:rsidR="00E836FB" w:rsidRDefault="00E836FB">
            <w:pPr>
              <w:rPr>
                <w:rFonts w:ascii="宋体"/>
              </w:rPr>
            </w:pPr>
          </w:p>
        </w:tc>
        <w:tc>
          <w:tcPr>
            <w:tcW w:w="0" w:type="auto"/>
            <w:shd w:val="clear" w:color="auto" w:fill="auto"/>
            <w:vAlign w:val="bottom"/>
          </w:tcPr>
          <w:p w14:paraId="5F2CE97D" w14:textId="77777777" w:rsidR="00E836FB" w:rsidRDefault="00E836FB">
            <w:pPr>
              <w:rPr>
                <w:rFonts w:ascii="宋体"/>
              </w:rPr>
            </w:pPr>
          </w:p>
        </w:tc>
        <w:tc>
          <w:tcPr>
            <w:tcW w:w="0" w:type="auto"/>
            <w:shd w:val="clear" w:color="auto" w:fill="auto"/>
            <w:vAlign w:val="bottom"/>
          </w:tcPr>
          <w:p w14:paraId="5F2CE97E" w14:textId="77777777" w:rsidR="00E836FB" w:rsidRDefault="00E836FB">
            <w:pPr>
              <w:rPr>
                <w:rFonts w:ascii="宋体"/>
              </w:rPr>
            </w:pPr>
          </w:p>
        </w:tc>
        <w:tc>
          <w:tcPr>
            <w:tcW w:w="0" w:type="auto"/>
            <w:shd w:val="clear" w:color="auto" w:fill="auto"/>
            <w:vAlign w:val="bottom"/>
          </w:tcPr>
          <w:p w14:paraId="5F2CE97F" w14:textId="77777777" w:rsidR="00E836FB" w:rsidRDefault="00E836FB">
            <w:pPr>
              <w:rPr>
                <w:rFonts w:ascii="宋体"/>
              </w:rPr>
            </w:pPr>
          </w:p>
        </w:tc>
        <w:tc>
          <w:tcPr>
            <w:tcW w:w="0" w:type="auto"/>
            <w:shd w:val="clear" w:color="auto" w:fill="auto"/>
            <w:vAlign w:val="bottom"/>
          </w:tcPr>
          <w:p w14:paraId="5F2CE980" w14:textId="77777777" w:rsidR="00E836FB" w:rsidRDefault="00E836FB">
            <w:pPr>
              <w:rPr>
                <w:rFonts w:ascii="宋体"/>
              </w:rPr>
            </w:pPr>
          </w:p>
        </w:tc>
      </w:tr>
      <w:tr w:rsidR="00E836FB" w14:paraId="5F2CE994" w14:textId="77777777">
        <w:trPr>
          <w:hidden/>
        </w:trPr>
        <w:tc>
          <w:tcPr>
            <w:tcW w:w="0" w:type="auto"/>
            <w:gridSpan w:val="3"/>
            <w:shd w:val="clear" w:color="auto" w:fill="auto"/>
            <w:vAlign w:val="bottom"/>
          </w:tcPr>
          <w:p w14:paraId="5F2CE982" w14:textId="77777777" w:rsidR="00E836FB" w:rsidRDefault="00E836FB">
            <w:pPr>
              <w:rPr>
                <w:rFonts w:ascii="宋体"/>
                <w:vanish/>
              </w:rPr>
            </w:pPr>
          </w:p>
        </w:tc>
        <w:tc>
          <w:tcPr>
            <w:tcW w:w="0" w:type="auto"/>
            <w:shd w:val="clear" w:color="auto" w:fill="auto"/>
            <w:vAlign w:val="bottom"/>
          </w:tcPr>
          <w:p w14:paraId="5F2CE983" w14:textId="77777777" w:rsidR="00E836FB" w:rsidRDefault="00E836FB">
            <w:pPr>
              <w:rPr>
                <w:rFonts w:ascii="宋体"/>
                <w:vanish/>
              </w:rPr>
            </w:pPr>
          </w:p>
        </w:tc>
        <w:tc>
          <w:tcPr>
            <w:tcW w:w="0" w:type="auto"/>
            <w:shd w:val="clear" w:color="auto" w:fill="auto"/>
            <w:vAlign w:val="bottom"/>
          </w:tcPr>
          <w:p w14:paraId="5F2CE984" w14:textId="77777777" w:rsidR="00E836FB" w:rsidRDefault="00E836FB">
            <w:pPr>
              <w:rPr>
                <w:rFonts w:ascii="宋体"/>
                <w:vanish/>
              </w:rPr>
            </w:pPr>
          </w:p>
        </w:tc>
        <w:tc>
          <w:tcPr>
            <w:tcW w:w="0" w:type="auto"/>
            <w:shd w:val="clear" w:color="auto" w:fill="auto"/>
            <w:vAlign w:val="bottom"/>
          </w:tcPr>
          <w:p w14:paraId="5F2CE985" w14:textId="77777777" w:rsidR="00E836FB" w:rsidRDefault="00E836FB">
            <w:pPr>
              <w:rPr>
                <w:rFonts w:ascii="宋体"/>
                <w:vanish/>
              </w:rPr>
            </w:pPr>
          </w:p>
        </w:tc>
        <w:tc>
          <w:tcPr>
            <w:tcW w:w="0" w:type="auto"/>
            <w:shd w:val="clear" w:color="auto" w:fill="auto"/>
            <w:vAlign w:val="bottom"/>
          </w:tcPr>
          <w:p w14:paraId="5F2CE986" w14:textId="77777777" w:rsidR="00E836FB" w:rsidRDefault="00E836FB">
            <w:pPr>
              <w:rPr>
                <w:rFonts w:ascii="宋体"/>
                <w:vanish/>
              </w:rPr>
            </w:pPr>
          </w:p>
        </w:tc>
        <w:tc>
          <w:tcPr>
            <w:tcW w:w="0" w:type="auto"/>
            <w:shd w:val="clear" w:color="auto" w:fill="auto"/>
            <w:vAlign w:val="bottom"/>
          </w:tcPr>
          <w:p w14:paraId="5F2CE987" w14:textId="77777777" w:rsidR="00E836FB" w:rsidRDefault="00E836FB">
            <w:pPr>
              <w:rPr>
                <w:rFonts w:ascii="宋体"/>
                <w:vanish/>
              </w:rPr>
            </w:pPr>
          </w:p>
        </w:tc>
        <w:tc>
          <w:tcPr>
            <w:tcW w:w="0" w:type="auto"/>
            <w:shd w:val="clear" w:color="auto" w:fill="auto"/>
            <w:vAlign w:val="bottom"/>
          </w:tcPr>
          <w:p w14:paraId="5F2CE988" w14:textId="77777777" w:rsidR="00E836FB" w:rsidRDefault="00E836FB">
            <w:pPr>
              <w:rPr>
                <w:rFonts w:ascii="宋体"/>
                <w:vanish/>
              </w:rPr>
            </w:pPr>
          </w:p>
        </w:tc>
        <w:tc>
          <w:tcPr>
            <w:tcW w:w="0" w:type="auto"/>
            <w:gridSpan w:val="3"/>
            <w:shd w:val="clear" w:color="auto" w:fill="auto"/>
            <w:vAlign w:val="bottom"/>
          </w:tcPr>
          <w:p w14:paraId="5F2CE989" w14:textId="77777777" w:rsidR="00E836FB" w:rsidRDefault="00E836FB">
            <w:pPr>
              <w:rPr>
                <w:rFonts w:ascii="宋体"/>
                <w:vanish/>
              </w:rPr>
            </w:pPr>
          </w:p>
        </w:tc>
        <w:tc>
          <w:tcPr>
            <w:tcW w:w="0" w:type="auto"/>
            <w:gridSpan w:val="3"/>
            <w:shd w:val="clear" w:color="auto" w:fill="auto"/>
            <w:vAlign w:val="bottom"/>
          </w:tcPr>
          <w:p w14:paraId="5F2CE98A" w14:textId="77777777" w:rsidR="00E836FB" w:rsidRDefault="00E836FB">
            <w:pPr>
              <w:rPr>
                <w:rFonts w:ascii="宋体"/>
                <w:vanish/>
              </w:rPr>
            </w:pPr>
          </w:p>
        </w:tc>
        <w:tc>
          <w:tcPr>
            <w:tcW w:w="0" w:type="auto"/>
            <w:gridSpan w:val="3"/>
            <w:shd w:val="clear" w:color="auto" w:fill="auto"/>
            <w:vAlign w:val="bottom"/>
          </w:tcPr>
          <w:p w14:paraId="5F2CE98B" w14:textId="77777777" w:rsidR="00E836FB" w:rsidRDefault="00E836FB">
            <w:pPr>
              <w:rPr>
                <w:rFonts w:ascii="宋体"/>
                <w:vanish/>
              </w:rPr>
            </w:pPr>
          </w:p>
        </w:tc>
        <w:tc>
          <w:tcPr>
            <w:tcW w:w="0" w:type="auto"/>
            <w:gridSpan w:val="3"/>
            <w:shd w:val="clear" w:color="auto" w:fill="auto"/>
            <w:vAlign w:val="bottom"/>
          </w:tcPr>
          <w:p w14:paraId="5F2CE98C" w14:textId="77777777" w:rsidR="00E836FB" w:rsidRDefault="00E836FB">
            <w:pPr>
              <w:rPr>
                <w:rFonts w:ascii="宋体"/>
                <w:vanish/>
              </w:rPr>
            </w:pPr>
          </w:p>
        </w:tc>
        <w:tc>
          <w:tcPr>
            <w:tcW w:w="0" w:type="auto"/>
            <w:gridSpan w:val="3"/>
            <w:shd w:val="clear" w:color="auto" w:fill="auto"/>
            <w:vAlign w:val="bottom"/>
          </w:tcPr>
          <w:p w14:paraId="5F2CE98D" w14:textId="77777777" w:rsidR="00E836FB" w:rsidRDefault="00E836FB">
            <w:pPr>
              <w:rPr>
                <w:rFonts w:ascii="宋体"/>
                <w:vanish/>
              </w:rPr>
            </w:pPr>
          </w:p>
        </w:tc>
        <w:tc>
          <w:tcPr>
            <w:tcW w:w="0" w:type="auto"/>
            <w:gridSpan w:val="3"/>
            <w:shd w:val="clear" w:color="auto" w:fill="auto"/>
            <w:vAlign w:val="bottom"/>
          </w:tcPr>
          <w:p w14:paraId="5F2CE98E" w14:textId="77777777" w:rsidR="00E836FB" w:rsidRDefault="00E836FB">
            <w:pPr>
              <w:rPr>
                <w:rFonts w:ascii="宋体"/>
                <w:vanish/>
              </w:rPr>
            </w:pPr>
          </w:p>
        </w:tc>
        <w:tc>
          <w:tcPr>
            <w:tcW w:w="0" w:type="auto"/>
            <w:gridSpan w:val="3"/>
            <w:shd w:val="clear" w:color="auto" w:fill="auto"/>
            <w:vAlign w:val="bottom"/>
          </w:tcPr>
          <w:p w14:paraId="5F2CE98F" w14:textId="77777777" w:rsidR="00E836FB" w:rsidRDefault="00E836FB">
            <w:pPr>
              <w:rPr>
                <w:rFonts w:ascii="宋体"/>
                <w:vanish/>
              </w:rPr>
            </w:pPr>
          </w:p>
        </w:tc>
        <w:tc>
          <w:tcPr>
            <w:tcW w:w="0" w:type="auto"/>
            <w:gridSpan w:val="3"/>
            <w:shd w:val="clear" w:color="auto" w:fill="auto"/>
            <w:vAlign w:val="bottom"/>
          </w:tcPr>
          <w:p w14:paraId="5F2CE990" w14:textId="77777777" w:rsidR="00E836FB" w:rsidRDefault="00E836FB">
            <w:pPr>
              <w:rPr>
                <w:rFonts w:ascii="宋体"/>
                <w:vanish/>
              </w:rPr>
            </w:pPr>
          </w:p>
        </w:tc>
        <w:tc>
          <w:tcPr>
            <w:tcW w:w="0" w:type="auto"/>
            <w:gridSpan w:val="3"/>
            <w:shd w:val="clear" w:color="auto" w:fill="auto"/>
            <w:vAlign w:val="bottom"/>
          </w:tcPr>
          <w:p w14:paraId="5F2CE991" w14:textId="77777777" w:rsidR="00E836FB" w:rsidRDefault="00E836FB">
            <w:pPr>
              <w:rPr>
                <w:rFonts w:ascii="宋体"/>
                <w:vanish/>
              </w:rPr>
            </w:pPr>
          </w:p>
        </w:tc>
        <w:tc>
          <w:tcPr>
            <w:tcW w:w="0" w:type="auto"/>
            <w:gridSpan w:val="3"/>
            <w:shd w:val="clear" w:color="auto" w:fill="auto"/>
            <w:vAlign w:val="bottom"/>
          </w:tcPr>
          <w:p w14:paraId="5F2CE992" w14:textId="77777777" w:rsidR="00E836FB" w:rsidRDefault="00E836FB">
            <w:pPr>
              <w:rPr>
                <w:rFonts w:ascii="宋体"/>
                <w:vanish/>
              </w:rPr>
            </w:pPr>
          </w:p>
        </w:tc>
        <w:tc>
          <w:tcPr>
            <w:tcW w:w="0" w:type="auto"/>
            <w:gridSpan w:val="3"/>
            <w:shd w:val="clear" w:color="auto" w:fill="auto"/>
            <w:vAlign w:val="bottom"/>
          </w:tcPr>
          <w:p w14:paraId="5F2CE993" w14:textId="77777777" w:rsidR="00E836FB" w:rsidRDefault="00E836FB">
            <w:pPr>
              <w:rPr>
                <w:rFonts w:ascii="宋体"/>
                <w:vanish/>
              </w:rPr>
            </w:pPr>
          </w:p>
        </w:tc>
      </w:tr>
      <w:tr w:rsidR="00E836FB" w14:paraId="5F2CE9A7" w14:textId="77777777">
        <w:trPr>
          <w:hidden/>
        </w:trPr>
        <w:tc>
          <w:tcPr>
            <w:tcW w:w="0" w:type="auto"/>
            <w:gridSpan w:val="3"/>
            <w:shd w:val="clear" w:color="auto" w:fill="auto"/>
            <w:vAlign w:val="bottom"/>
          </w:tcPr>
          <w:p w14:paraId="5F2CE995" w14:textId="77777777" w:rsidR="00E836FB" w:rsidRDefault="00E836FB">
            <w:pPr>
              <w:rPr>
                <w:rFonts w:ascii="宋体"/>
                <w:vanish/>
              </w:rPr>
            </w:pPr>
          </w:p>
        </w:tc>
        <w:tc>
          <w:tcPr>
            <w:tcW w:w="0" w:type="auto"/>
            <w:shd w:val="clear" w:color="auto" w:fill="auto"/>
            <w:vAlign w:val="bottom"/>
          </w:tcPr>
          <w:p w14:paraId="5F2CE996" w14:textId="77777777" w:rsidR="00E836FB" w:rsidRDefault="00E836FB">
            <w:pPr>
              <w:rPr>
                <w:rFonts w:ascii="宋体"/>
                <w:vanish/>
              </w:rPr>
            </w:pPr>
          </w:p>
        </w:tc>
        <w:tc>
          <w:tcPr>
            <w:tcW w:w="0" w:type="auto"/>
            <w:shd w:val="clear" w:color="auto" w:fill="auto"/>
            <w:vAlign w:val="bottom"/>
          </w:tcPr>
          <w:p w14:paraId="5F2CE997" w14:textId="77777777" w:rsidR="00E836FB" w:rsidRDefault="00E836FB">
            <w:pPr>
              <w:rPr>
                <w:rFonts w:ascii="宋体"/>
                <w:vanish/>
              </w:rPr>
            </w:pPr>
          </w:p>
        </w:tc>
        <w:tc>
          <w:tcPr>
            <w:tcW w:w="0" w:type="auto"/>
            <w:shd w:val="clear" w:color="auto" w:fill="auto"/>
            <w:vAlign w:val="bottom"/>
          </w:tcPr>
          <w:p w14:paraId="5F2CE998" w14:textId="77777777" w:rsidR="00E836FB" w:rsidRDefault="00E836FB">
            <w:pPr>
              <w:rPr>
                <w:rFonts w:ascii="宋体"/>
                <w:vanish/>
              </w:rPr>
            </w:pPr>
          </w:p>
        </w:tc>
        <w:tc>
          <w:tcPr>
            <w:tcW w:w="0" w:type="auto"/>
            <w:shd w:val="clear" w:color="auto" w:fill="auto"/>
            <w:vAlign w:val="bottom"/>
          </w:tcPr>
          <w:p w14:paraId="5F2CE999" w14:textId="77777777" w:rsidR="00E836FB" w:rsidRDefault="00E836FB">
            <w:pPr>
              <w:rPr>
                <w:rFonts w:ascii="宋体"/>
                <w:vanish/>
              </w:rPr>
            </w:pPr>
          </w:p>
        </w:tc>
        <w:tc>
          <w:tcPr>
            <w:tcW w:w="0" w:type="auto"/>
            <w:shd w:val="clear" w:color="auto" w:fill="auto"/>
            <w:vAlign w:val="bottom"/>
          </w:tcPr>
          <w:p w14:paraId="5F2CE99A" w14:textId="77777777" w:rsidR="00E836FB" w:rsidRDefault="00E836FB">
            <w:pPr>
              <w:rPr>
                <w:rFonts w:ascii="宋体"/>
                <w:vanish/>
              </w:rPr>
            </w:pPr>
          </w:p>
        </w:tc>
        <w:tc>
          <w:tcPr>
            <w:tcW w:w="0" w:type="auto"/>
            <w:shd w:val="clear" w:color="auto" w:fill="auto"/>
            <w:vAlign w:val="bottom"/>
          </w:tcPr>
          <w:p w14:paraId="5F2CE99B" w14:textId="77777777" w:rsidR="00E836FB" w:rsidRDefault="00E836FB">
            <w:pPr>
              <w:rPr>
                <w:rFonts w:ascii="宋体"/>
                <w:vanish/>
              </w:rPr>
            </w:pPr>
          </w:p>
        </w:tc>
        <w:tc>
          <w:tcPr>
            <w:tcW w:w="0" w:type="auto"/>
            <w:gridSpan w:val="3"/>
            <w:shd w:val="clear" w:color="auto" w:fill="auto"/>
            <w:vAlign w:val="bottom"/>
          </w:tcPr>
          <w:p w14:paraId="5F2CE99C" w14:textId="77777777" w:rsidR="00E836FB" w:rsidRDefault="00E836FB">
            <w:pPr>
              <w:rPr>
                <w:rFonts w:ascii="宋体"/>
                <w:vanish/>
              </w:rPr>
            </w:pPr>
          </w:p>
        </w:tc>
        <w:tc>
          <w:tcPr>
            <w:tcW w:w="0" w:type="auto"/>
            <w:gridSpan w:val="3"/>
            <w:shd w:val="clear" w:color="auto" w:fill="auto"/>
            <w:vAlign w:val="bottom"/>
          </w:tcPr>
          <w:p w14:paraId="5F2CE99D" w14:textId="77777777" w:rsidR="00E836FB" w:rsidRDefault="00E836FB">
            <w:pPr>
              <w:rPr>
                <w:rFonts w:ascii="宋体"/>
                <w:vanish/>
              </w:rPr>
            </w:pPr>
          </w:p>
        </w:tc>
        <w:tc>
          <w:tcPr>
            <w:tcW w:w="0" w:type="auto"/>
            <w:gridSpan w:val="3"/>
            <w:shd w:val="clear" w:color="auto" w:fill="auto"/>
            <w:vAlign w:val="bottom"/>
          </w:tcPr>
          <w:p w14:paraId="5F2CE99E" w14:textId="77777777" w:rsidR="00E836FB" w:rsidRDefault="00E836FB">
            <w:pPr>
              <w:rPr>
                <w:rFonts w:ascii="宋体"/>
                <w:vanish/>
              </w:rPr>
            </w:pPr>
          </w:p>
        </w:tc>
        <w:tc>
          <w:tcPr>
            <w:tcW w:w="0" w:type="auto"/>
            <w:gridSpan w:val="3"/>
            <w:shd w:val="clear" w:color="auto" w:fill="auto"/>
            <w:vAlign w:val="bottom"/>
          </w:tcPr>
          <w:p w14:paraId="5F2CE99F" w14:textId="77777777" w:rsidR="00E836FB" w:rsidRDefault="00E836FB">
            <w:pPr>
              <w:rPr>
                <w:rFonts w:ascii="宋体"/>
                <w:vanish/>
              </w:rPr>
            </w:pPr>
          </w:p>
        </w:tc>
        <w:tc>
          <w:tcPr>
            <w:tcW w:w="0" w:type="auto"/>
            <w:gridSpan w:val="3"/>
            <w:shd w:val="clear" w:color="auto" w:fill="auto"/>
            <w:vAlign w:val="bottom"/>
          </w:tcPr>
          <w:p w14:paraId="5F2CE9A0" w14:textId="77777777" w:rsidR="00E836FB" w:rsidRDefault="00E836FB">
            <w:pPr>
              <w:rPr>
                <w:rFonts w:ascii="宋体"/>
                <w:vanish/>
              </w:rPr>
            </w:pPr>
          </w:p>
        </w:tc>
        <w:tc>
          <w:tcPr>
            <w:tcW w:w="0" w:type="auto"/>
            <w:gridSpan w:val="3"/>
            <w:shd w:val="clear" w:color="auto" w:fill="auto"/>
            <w:vAlign w:val="bottom"/>
          </w:tcPr>
          <w:p w14:paraId="5F2CE9A1" w14:textId="77777777" w:rsidR="00E836FB" w:rsidRDefault="00E836FB">
            <w:pPr>
              <w:rPr>
                <w:rFonts w:ascii="宋体"/>
                <w:vanish/>
              </w:rPr>
            </w:pPr>
          </w:p>
        </w:tc>
        <w:tc>
          <w:tcPr>
            <w:tcW w:w="0" w:type="auto"/>
            <w:gridSpan w:val="3"/>
            <w:shd w:val="clear" w:color="auto" w:fill="auto"/>
            <w:vAlign w:val="bottom"/>
          </w:tcPr>
          <w:p w14:paraId="5F2CE9A2" w14:textId="77777777" w:rsidR="00E836FB" w:rsidRDefault="00E836FB">
            <w:pPr>
              <w:rPr>
                <w:rFonts w:ascii="宋体"/>
                <w:vanish/>
              </w:rPr>
            </w:pPr>
          </w:p>
        </w:tc>
        <w:tc>
          <w:tcPr>
            <w:tcW w:w="0" w:type="auto"/>
            <w:gridSpan w:val="3"/>
            <w:shd w:val="clear" w:color="auto" w:fill="auto"/>
            <w:vAlign w:val="bottom"/>
          </w:tcPr>
          <w:p w14:paraId="5F2CE9A3" w14:textId="77777777" w:rsidR="00E836FB" w:rsidRDefault="00E836FB">
            <w:pPr>
              <w:rPr>
                <w:rFonts w:ascii="宋体"/>
                <w:vanish/>
              </w:rPr>
            </w:pPr>
          </w:p>
        </w:tc>
        <w:tc>
          <w:tcPr>
            <w:tcW w:w="0" w:type="auto"/>
            <w:gridSpan w:val="3"/>
            <w:shd w:val="clear" w:color="auto" w:fill="auto"/>
            <w:vAlign w:val="bottom"/>
          </w:tcPr>
          <w:p w14:paraId="5F2CE9A4" w14:textId="77777777" w:rsidR="00E836FB" w:rsidRDefault="00E836FB">
            <w:pPr>
              <w:rPr>
                <w:rFonts w:ascii="宋体"/>
                <w:vanish/>
              </w:rPr>
            </w:pPr>
          </w:p>
        </w:tc>
        <w:tc>
          <w:tcPr>
            <w:tcW w:w="0" w:type="auto"/>
            <w:gridSpan w:val="3"/>
            <w:shd w:val="clear" w:color="auto" w:fill="auto"/>
            <w:vAlign w:val="bottom"/>
          </w:tcPr>
          <w:p w14:paraId="5F2CE9A5" w14:textId="77777777" w:rsidR="00E836FB" w:rsidRDefault="00E836FB">
            <w:pPr>
              <w:rPr>
                <w:rFonts w:ascii="宋体"/>
                <w:vanish/>
              </w:rPr>
            </w:pPr>
          </w:p>
        </w:tc>
        <w:tc>
          <w:tcPr>
            <w:tcW w:w="0" w:type="auto"/>
            <w:gridSpan w:val="3"/>
            <w:shd w:val="clear" w:color="auto" w:fill="auto"/>
            <w:vAlign w:val="bottom"/>
          </w:tcPr>
          <w:p w14:paraId="5F2CE9A6" w14:textId="77777777" w:rsidR="00E836FB" w:rsidRDefault="00E836FB">
            <w:pPr>
              <w:rPr>
                <w:rFonts w:ascii="宋体"/>
                <w:vanish/>
              </w:rPr>
            </w:pPr>
          </w:p>
        </w:tc>
      </w:tr>
      <w:tr w:rsidR="00E836FB" w14:paraId="5F2CE9BA" w14:textId="77777777">
        <w:trPr>
          <w:hidden/>
        </w:trPr>
        <w:tc>
          <w:tcPr>
            <w:tcW w:w="0" w:type="auto"/>
            <w:gridSpan w:val="3"/>
            <w:shd w:val="clear" w:color="auto" w:fill="auto"/>
            <w:vAlign w:val="bottom"/>
          </w:tcPr>
          <w:p w14:paraId="5F2CE9A8" w14:textId="77777777" w:rsidR="00E836FB" w:rsidRDefault="00E836FB">
            <w:pPr>
              <w:rPr>
                <w:rFonts w:ascii="宋体"/>
                <w:vanish/>
              </w:rPr>
            </w:pPr>
          </w:p>
        </w:tc>
        <w:tc>
          <w:tcPr>
            <w:tcW w:w="0" w:type="auto"/>
            <w:shd w:val="clear" w:color="auto" w:fill="auto"/>
            <w:vAlign w:val="bottom"/>
          </w:tcPr>
          <w:p w14:paraId="5F2CE9A9" w14:textId="77777777" w:rsidR="00E836FB" w:rsidRDefault="00E836FB">
            <w:pPr>
              <w:rPr>
                <w:rFonts w:ascii="宋体"/>
                <w:vanish/>
              </w:rPr>
            </w:pPr>
          </w:p>
        </w:tc>
        <w:tc>
          <w:tcPr>
            <w:tcW w:w="0" w:type="auto"/>
            <w:shd w:val="clear" w:color="auto" w:fill="auto"/>
            <w:vAlign w:val="bottom"/>
          </w:tcPr>
          <w:p w14:paraId="5F2CE9AA" w14:textId="77777777" w:rsidR="00E836FB" w:rsidRDefault="00E836FB">
            <w:pPr>
              <w:rPr>
                <w:rFonts w:ascii="宋体"/>
                <w:vanish/>
              </w:rPr>
            </w:pPr>
          </w:p>
        </w:tc>
        <w:tc>
          <w:tcPr>
            <w:tcW w:w="0" w:type="auto"/>
            <w:shd w:val="clear" w:color="auto" w:fill="auto"/>
            <w:vAlign w:val="bottom"/>
          </w:tcPr>
          <w:p w14:paraId="5F2CE9AB" w14:textId="77777777" w:rsidR="00E836FB" w:rsidRDefault="00E836FB">
            <w:pPr>
              <w:rPr>
                <w:rFonts w:ascii="宋体"/>
                <w:vanish/>
              </w:rPr>
            </w:pPr>
          </w:p>
        </w:tc>
        <w:tc>
          <w:tcPr>
            <w:tcW w:w="0" w:type="auto"/>
            <w:shd w:val="clear" w:color="auto" w:fill="auto"/>
            <w:vAlign w:val="bottom"/>
          </w:tcPr>
          <w:p w14:paraId="5F2CE9AC" w14:textId="77777777" w:rsidR="00E836FB" w:rsidRDefault="00E836FB">
            <w:pPr>
              <w:rPr>
                <w:rFonts w:ascii="宋体"/>
                <w:vanish/>
              </w:rPr>
            </w:pPr>
          </w:p>
        </w:tc>
        <w:tc>
          <w:tcPr>
            <w:tcW w:w="0" w:type="auto"/>
            <w:shd w:val="clear" w:color="auto" w:fill="auto"/>
            <w:vAlign w:val="bottom"/>
          </w:tcPr>
          <w:p w14:paraId="5F2CE9AD" w14:textId="77777777" w:rsidR="00E836FB" w:rsidRDefault="00E836FB">
            <w:pPr>
              <w:rPr>
                <w:rFonts w:ascii="宋体"/>
                <w:vanish/>
              </w:rPr>
            </w:pPr>
          </w:p>
        </w:tc>
        <w:tc>
          <w:tcPr>
            <w:tcW w:w="0" w:type="auto"/>
            <w:shd w:val="clear" w:color="auto" w:fill="auto"/>
            <w:vAlign w:val="bottom"/>
          </w:tcPr>
          <w:p w14:paraId="5F2CE9AE" w14:textId="77777777" w:rsidR="00E836FB" w:rsidRDefault="00E836FB">
            <w:pPr>
              <w:rPr>
                <w:rFonts w:ascii="宋体"/>
                <w:vanish/>
              </w:rPr>
            </w:pPr>
          </w:p>
        </w:tc>
        <w:tc>
          <w:tcPr>
            <w:tcW w:w="0" w:type="auto"/>
            <w:gridSpan w:val="3"/>
            <w:shd w:val="clear" w:color="auto" w:fill="auto"/>
            <w:vAlign w:val="bottom"/>
          </w:tcPr>
          <w:p w14:paraId="5F2CE9AF" w14:textId="77777777" w:rsidR="00E836FB" w:rsidRDefault="00E836FB">
            <w:pPr>
              <w:rPr>
                <w:rFonts w:ascii="宋体"/>
                <w:vanish/>
              </w:rPr>
            </w:pPr>
          </w:p>
        </w:tc>
        <w:tc>
          <w:tcPr>
            <w:tcW w:w="0" w:type="auto"/>
            <w:gridSpan w:val="3"/>
            <w:shd w:val="clear" w:color="auto" w:fill="auto"/>
            <w:vAlign w:val="bottom"/>
          </w:tcPr>
          <w:p w14:paraId="5F2CE9B0" w14:textId="77777777" w:rsidR="00E836FB" w:rsidRDefault="00E836FB">
            <w:pPr>
              <w:rPr>
                <w:rFonts w:ascii="宋体"/>
                <w:vanish/>
              </w:rPr>
            </w:pPr>
          </w:p>
        </w:tc>
        <w:tc>
          <w:tcPr>
            <w:tcW w:w="0" w:type="auto"/>
            <w:gridSpan w:val="3"/>
            <w:shd w:val="clear" w:color="auto" w:fill="auto"/>
            <w:vAlign w:val="bottom"/>
          </w:tcPr>
          <w:p w14:paraId="5F2CE9B1" w14:textId="77777777" w:rsidR="00E836FB" w:rsidRDefault="00E836FB">
            <w:pPr>
              <w:rPr>
                <w:rFonts w:ascii="宋体"/>
                <w:vanish/>
              </w:rPr>
            </w:pPr>
          </w:p>
        </w:tc>
        <w:tc>
          <w:tcPr>
            <w:tcW w:w="0" w:type="auto"/>
            <w:gridSpan w:val="3"/>
            <w:shd w:val="clear" w:color="auto" w:fill="auto"/>
            <w:vAlign w:val="bottom"/>
          </w:tcPr>
          <w:p w14:paraId="5F2CE9B2" w14:textId="77777777" w:rsidR="00E836FB" w:rsidRDefault="00E836FB">
            <w:pPr>
              <w:rPr>
                <w:rFonts w:ascii="宋体"/>
                <w:vanish/>
              </w:rPr>
            </w:pPr>
          </w:p>
        </w:tc>
        <w:tc>
          <w:tcPr>
            <w:tcW w:w="0" w:type="auto"/>
            <w:gridSpan w:val="3"/>
            <w:shd w:val="clear" w:color="auto" w:fill="auto"/>
            <w:vAlign w:val="bottom"/>
          </w:tcPr>
          <w:p w14:paraId="5F2CE9B3" w14:textId="77777777" w:rsidR="00E836FB" w:rsidRDefault="00E836FB">
            <w:pPr>
              <w:rPr>
                <w:rFonts w:ascii="宋体"/>
                <w:vanish/>
              </w:rPr>
            </w:pPr>
          </w:p>
        </w:tc>
        <w:tc>
          <w:tcPr>
            <w:tcW w:w="0" w:type="auto"/>
            <w:gridSpan w:val="3"/>
            <w:shd w:val="clear" w:color="auto" w:fill="auto"/>
            <w:vAlign w:val="bottom"/>
          </w:tcPr>
          <w:p w14:paraId="5F2CE9B4" w14:textId="77777777" w:rsidR="00E836FB" w:rsidRDefault="00E836FB">
            <w:pPr>
              <w:rPr>
                <w:rFonts w:ascii="宋体"/>
                <w:vanish/>
              </w:rPr>
            </w:pPr>
          </w:p>
        </w:tc>
        <w:tc>
          <w:tcPr>
            <w:tcW w:w="0" w:type="auto"/>
            <w:gridSpan w:val="3"/>
            <w:shd w:val="clear" w:color="auto" w:fill="auto"/>
            <w:vAlign w:val="bottom"/>
          </w:tcPr>
          <w:p w14:paraId="5F2CE9B5" w14:textId="77777777" w:rsidR="00E836FB" w:rsidRDefault="00E836FB">
            <w:pPr>
              <w:rPr>
                <w:rFonts w:ascii="宋体"/>
                <w:vanish/>
              </w:rPr>
            </w:pPr>
          </w:p>
        </w:tc>
        <w:tc>
          <w:tcPr>
            <w:tcW w:w="0" w:type="auto"/>
            <w:gridSpan w:val="3"/>
            <w:shd w:val="clear" w:color="auto" w:fill="auto"/>
            <w:vAlign w:val="bottom"/>
          </w:tcPr>
          <w:p w14:paraId="5F2CE9B6" w14:textId="77777777" w:rsidR="00E836FB" w:rsidRDefault="00E836FB">
            <w:pPr>
              <w:rPr>
                <w:rFonts w:ascii="宋体"/>
                <w:vanish/>
              </w:rPr>
            </w:pPr>
          </w:p>
        </w:tc>
        <w:tc>
          <w:tcPr>
            <w:tcW w:w="0" w:type="auto"/>
            <w:gridSpan w:val="3"/>
            <w:shd w:val="clear" w:color="auto" w:fill="auto"/>
            <w:vAlign w:val="bottom"/>
          </w:tcPr>
          <w:p w14:paraId="5F2CE9B7" w14:textId="77777777" w:rsidR="00E836FB" w:rsidRDefault="00E836FB">
            <w:pPr>
              <w:rPr>
                <w:rFonts w:ascii="宋体"/>
                <w:vanish/>
              </w:rPr>
            </w:pPr>
          </w:p>
        </w:tc>
        <w:tc>
          <w:tcPr>
            <w:tcW w:w="0" w:type="auto"/>
            <w:gridSpan w:val="3"/>
            <w:shd w:val="clear" w:color="auto" w:fill="auto"/>
            <w:vAlign w:val="bottom"/>
          </w:tcPr>
          <w:p w14:paraId="5F2CE9B8" w14:textId="77777777" w:rsidR="00E836FB" w:rsidRDefault="00E836FB">
            <w:pPr>
              <w:rPr>
                <w:rFonts w:ascii="宋体"/>
                <w:vanish/>
              </w:rPr>
            </w:pPr>
          </w:p>
        </w:tc>
        <w:tc>
          <w:tcPr>
            <w:tcW w:w="0" w:type="auto"/>
            <w:gridSpan w:val="3"/>
            <w:shd w:val="clear" w:color="auto" w:fill="auto"/>
            <w:vAlign w:val="bottom"/>
          </w:tcPr>
          <w:p w14:paraId="5F2CE9B9" w14:textId="77777777" w:rsidR="00E836FB" w:rsidRDefault="00E836FB">
            <w:pPr>
              <w:rPr>
                <w:rFonts w:ascii="宋体"/>
                <w:vanish/>
              </w:rPr>
            </w:pPr>
          </w:p>
        </w:tc>
      </w:tr>
      <w:tr w:rsidR="00E836FB" w14:paraId="5F2CE9CD" w14:textId="77777777">
        <w:tc>
          <w:tcPr>
            <w:tcW w:w="0" w:type="auto"/>
            <w:gridSpan w:val="3"/>
            <w:shd w:val="clear" w:color="auto" w:fill="auto"/>
            <w:tcMar>
              <w:top w:w="0" w:type="dxa"/>
              <w:left w:w="20" w:type="dxa"/>
              <w:bottom w:w="0" w:type="dxa"/>
              <w:right w:w="20" w:type="dxa"/>
            </w:tcMar>
            <w:vAlign w:val="bottom"/>
          </w:tcPr>
          <w:p w14:paraId="5F2CE9BB" w14:textId="77777777" w:rsidR="00E836FB" w:rsidRDefault="00E836FB">
            <w:pPr>
              <w:rPr>
                <w:rFonts w:ascii="宋体"/>
              </w:rPr>
            </w:pPr>
          </w:p>
        </w:tc>
        <w:tc>
          <w:tcPr>
            <w:tcW w:w="0" w:type="auto"/>
            <w:shd w:val="clear" w:color="auto" w:fill="auto"/>
            <w:vAlign w:val="bottom"/>
          </w:tcPr>
          <w:p w14:paraId="5F2CE9BC" w14:textId="77777777" w:rsidR="00E836FB" w:rsidRDefault="00E836FB">
            <w:pPr>
              <w:rPr>
                <w:rFonts w:ascii="宋体"/>
                <w:vanish/>
              </w:rPr>
            </w:pPr>
          </w:p>
        </w:tc>
        <w:tc>
          <w:tcPr>
            <w:tcW w:w="0" w:type="auto"/>
            <w:shd w:val="clear" w:color="auto" w:fill="auto"/>
            <w:vAlign w:val="bottom"/>
          </w:tcPr>
          <w:p w14:paraId="5F2CE9BD" w14:textId="77777777" w:rsidR="00E836FB" w:rsidRDefault="00E836FB">
            <w:pPr>
              <w:rPr>
                <w:rFonts w:ascii="宋体"/>
                <w:vanish/>
              </w:rPr>
            </w:pPr>
          </w:p>
        </w:tc>
        <w:tc>
          <w:tcPr>
            <w:tcW w:w="0" w:type="auto"/>
            <w:shd w:val="clear" w:color="auto" w:fill="auto"/>
            <w:vAlign w:val="bottom"/>
          </w:tcPr>
          <w:p w14:paraId="5F2CE9BE" w14:textId="77777777" w:rsidR="00E836FB" w:rsidRDefault="00E836FB">
            <w:pPr>
              <w:rPr>
                <w:rFonts w:ascii="宋体"/>
                <w:vanish/>
              </w:rPr>
            </w:pPr>
          </w:p>
        </w:tc>
        <w:tc>
          <w:tcPr>
            <w:tcW w:w="0" w:type="auto"/>
            <w:shd w:val="clear" w:color="auto" w:fill="auto"/>
            <w:vAlign w:val="bottom"/>
          </w:tcPr>
          <w:p w14:paraId="5F2CE9BF" w14:textId="77777777" w:rsidR="00E836FB" w:rsidRDefault="00E836FB">
            <w:pPr>
              <w:rPr>
                <w:rFonts w:ascii="宋体"/>
                <w:vanish/>
              </w:rPr>
            </w:pPr>
          </w:p>
        </w:tc>
        <w:tc>
          <w:tcPr>
            <w:tcW w:w="0" w:type="auto"/>
            <w:shd w:val="clear" w:color="auto" w:fill="auto"/>
            <w:vAlign w:val="bottom"/>
          </w:tcPr>
          <w:p w14:paraId="5F2CE9C0" w14:textId="77777777" w:rsidR="00E836FB" w:rsidRDefault="00E836FB">
            <w:pPr>
              <w:rPr>
                <w:rFonts w:ascii="宋体"/>
                <w:vanish/>
              </w:rPr>
            </w:pPr>
          </w:p>
        </w:tc>
        <w:tc>
          <w:tcPr>
            <w:tcW w:w="0" w:type="auto"/>
            <w:shd w:val="clear" w:color="auto" w:fill="auto"/>
            <w:vAlign w:val="bottom"/>
          </w:tcPr>
          <w:p w14:paraId="5F2CE9C1"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9C2" w14:textId="77777777" w:rsidR="00E836FB" w:rsidRDefault="00994958">
            <w:pPr>
              <w:jc w:val="center"/>
              <w:textAlignment w:val="bottom"/>
            </w:pPr>
            <w:r>
              <w:rPr>
                <w:rFonts w:ascii="Arial" w:eastAsia="宋体" w:hAnsi="Arial" w:cs="Arial"/>
                <w:b/>
                <w:bCs/>
                <w:color w:val="000000"/>
                <w:sz w:val="16"/>
                <w:szCs w:val="16"/>
              </w:rPr>
              <w:t xml:space="preserve">Shares Acquired </w:t>
            </w:r>
            <w:r>
              <w:rPr>
                <w:rFonts w:ascii="Arial" w:eastAsia="宋体" w:hAnsi="Arial" w:cs="Arial"/>
                <w:b/>
                <w:bCs/>
                <w:color w:val="000000"/>
                <w:sz w:val="16"/>
                <w:szCs w:val="16"/>
              </w:rPr>
              <w:br/>
              <w:t xml:space="preserve">(In </w:t>
            </w:r>
            <w:r>
              <w:rPr>
                <w:rFonts w:ascii="Arial" w:eastAsia="宋体" w:hAnsi="Arial" w:cs="Arial"/>
                <w:b/>
                <w:bCs/>
                <w:color w:val="000000"/>
                <w:sz w:val="16"/>
                <w:szCs w:val="16"/>
              </w:rPr>
              <w:t>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9C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9C4" w14:textId="77777777" w:rsidR="00E836FB" w:rsidRDefault="00994958">
            <w:pPr>
              <w:jc w:val="center"/>
              <w:textAlignment w:val="bottom"/>
            </w:pPr>
            <w:r>
              <w:rPr>
                <w:rFonts w:ascii="Arial" w:eastAsia="宋体" w:hAnsi="Arial" w:cs="Arial"/>
                <w:b/>
                <w:bCs/>
                <w:color w:val="000000"/>
                <w:sz w:val="16"/>
                <w:szCs w:val="16"/>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9C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9C6" w14:textId="77777777" w:rsidR="00E836FB" w:rsidRDefault="00994958">
            <w:pPr>
              <w:jc w:val="center"/>
              <w:textAlignment w:val="bottom"/>
            </w:pPr>
            <w:r>
              <w:rPr>
                <w:rFonts w:ascii="Arial" w:eastAsia="宋体" w:hAnsi="Arial" w:cs="Arial"/>
                <w:b/>
                <w:bCs/>
                <w:color w:val="000000"/>
                <w:sz w:val="16"/>
                <w:szCs w:val="16"/>
              </w:rPr>
              <w:t xml:space="preserve">Total Acquired </w:t>
            </w:r>
            <w:r>
              <w:rPr>
                <w:rFonts w:ascii="Arial" w:eastAsia="宋体" w:hAnsi="Arial" w:cs="Arial"/>
                <w:b/>
                <w:bCs/>
                <w:color w:val="000000"/>
                <w:sz w:val="16"/>
                <w:szCs w:val="16"/>
              </w:rPr>
              <w:br/>
              <w:t>(In millions)</w:t>
            </w:r>
          </w:p>
        </w:tc>
        <w:tc>
          <w:tcPr>
            <w:tcW w:w="0" w:type="auto"/>
            <w:gridSpan w:val="3"/>
            <w:shd w:val="clear" w:color="auto" w:fill="auto"/>
            <w:vAlign w:val="bottom"/>
          </w:tcPr>
          <w:p w14:paraId="5F2CE9C7" w14:textId="77777777" w:rsidR="00E836FB" w:rsidRDefault="00E836FB">
            <w:pPr>
              <w:rPr>
                <w:rFonts w:ascii="宋体"/>
                <w:vanish/>
              </w:rPr>
            </w:pPr>
          </w:p>
        </w:tc>
        <w:tc>
          <w:tcPr>
            <w:tcW w:w="0" w:type="auto"/>
            <w:gridSpan w:val="3"/>
            <w:shd w:val="clear" w:color="auto" w:fill="auto"/>
            <w:vAlign w:val="bottom"/>
          </w:tcPr>
          <w:p w14:paraId="5F2CE9C8" w14:textId="77777777" w:rsidR="00E836FB" w:rsidRDefault="00E836FB">
            <w:pPr>
              <w:rPr>
                <w:rFonts w:ascii="宋体"/>
                <w:vanish/>
              </w:rPr>
            </w:pPr>
          </w:p>
        </w:tc>
        <w:tc>
          <w:tcPr>
            <w:tcW w:w="0" w:type="auto"/>
            <w:gridSpan w:val="3"/>
            <w:shd w:val="clear" w:color="auto" w:fill="auto"/>
            <w:vAlign w:val="bottom"/>
          </w:tcPr>
          <w:p w14:paraId="5F2CE9C9" w14:textId="77777777" w:rsidR="00E836FB" w:rsidRDefault="00E836FB">
            <w:pPr>
              <w:rPr>
                <w:rFonts w:ascii="宋体"/>
                <w:vanish/>
              </w:rPr>
            </w:pPr>
          </w:p>
        </w:tc>
        <w:tc>
          <w:tcPr>
            <w:tcW w:w="0" w:type="auto"/>
            <w:gridSpan w:val="3"/>
            <w:shd w:val="clear" w:color="auto" w:fill="auto"/>
            <w:vAlign w:val="bottom"/>
          </w:tcPr>
          <w:p w14:paraId="5F2CE9CA" w14:textId="77777777" w:rsidR="00E836FB" w:rsidRDefault="00E836FB">
            <w:pPr>
              <w:rPr>
                <w:rFonts w:ascii="宋体"/>
                <w:vanish/>
              </w:rPr>
            </w:pPr>
          </w:p>
        </w:tc>
        <w:tc>
          <w:tcPr>
            <w:tcW w:w="0" w:type="auto"/>
            <w:gridSpan w:val="3"/>
            <w:shd w:val="clear" w:color="auto" w:fill="auto"/>
            <w:vAlign w:val="bottom"/>
          </w:tcPr>
          <w:p w14:paraId="5F2CE9CB" w14:textId="77777777" w:rsidR="00E836FB" w:rsidRDefault="00E836FB">
            <w:pPr>
              <w:rPr>
                <w:rFonts w:ascii="宋体"/>
                <w:vanish/>
              </w:rPr>
            </w:pPr>
          </w:p>
        </w:tc>
        <w:tc>
          <w:tcPr>
            <w:tcW w:w="0" w:type="auto"/>
            <w:gridSpan w:val="3"/>
            <w:shd w:val="clear" w:color="auto" w:fill="auto"/>
            <w:vAlign w:val="bottom"/>
          </w:tcPr>
          <w:p w14:paraId="5F2CE9CC" w14:textId="77777777" w:rsidR="00E836FB" w:rsidRDefault="00E836FB">
            <w:pPr>
              <w:rPr>
                <w:rFonts w:ascii="宋体"/>
                <w:vanish/>
              </w:rPr>
            </w:pPr>
          </w:p>
        </w:tc>
      </w:tr>
      <w:tr w:rsidR="00E836FB" w14:paraId="5F2CE9E0" w14:textId="77777777">
        <w:trPr>
          <w:hidden/>
        </w:trPr>
        <w:tc>
          <w:tcPr>
            <w:tcW w:w="0" w:type="auto"/>
            <w:gridSpan w:val="3"/>
            <w:shd w:val="clear" w:color="auto" w:fill="auto"/>
            <w:vAlign w:val="bottom"/>
          </w:tcPr>
          <w:p w14:paraId="5F2CE9CE" w14:textId="77777777" w:rsidR="00E836FB" w:rsidRDefault="00E836FB">
            <w:pPr>
              <w:rPr>
                <w:rFonts w:ascii="宋体"/>
                <w:vanish/>
              </w:rPr>
            </w:pPr>
          </w:p>
        </w:tc>
        <w:tc>
          <w:tcPr>
            <w:tcW w:w="0" w:type="auto"/>
            <w:shd w:val="clear" w:color="auto" w:fill="auto"/>
            <w:vAlign w:val="bottom"/>
          </w:tcPr>
          <w:p w14:paraId="5F2CE9CF" w14:textId="77777777" w:rsidR="00E836FB" w:rsidRDefault="00E836FB">
            <w:pPr>
              <w:rPr>
                <w:rFonts w:ascii="宋体"/>
                <w:vanish/>
              </w:rPr>
            </w:pPr>
          </w:p>
        </w:tc>
        <w:tc>
          <w:tcPr>
            <w:tcW w:w="0" w:type="auto"/>
            <w:shd w:val="clear" w:color="auto" w:fill="auto"/>
            <w:vAlign w:val="bottom"/>
          </w:tcPr>
          <w:p w14:paraId="5F2CE9D0" w14:textId="77777777" w:rsidR="00E836FB" w:rsidRDefault="00E836FB">
            <w:pPr>
              <w:rPr>
                <w:rFonts w:ascii="宋体"/>
                <w:vanish/>
              </w:rPr>
            </w:pPr>
          </w:p>
        </w:tc>
        <w:tc>
          <w:tcPr>
            <w:tcW w:w="0" w:type="auto"/>
            <w:shd w:val="clear" w:color="auto" w:fill="auto"/>
            <w:vAlign w:val="bottom"/>
          </w:tcPr>
          <w:p w14:paraId="5F2CE9D1" w14:textId="77777777" w:rsidR="00E836FB" w:rsidRDefault="00E836FB">
            <w:pPr>
              <w:rPr>
                <w:rFonts w:ascii="宋体"/>
                <w:vanish/>
              </w:rPr>
            </w:pPr>
          </w:p>
        </w:tc>
        <w:tc>
          <w:tcPr>
            <w:tcW w:w="0" w:type="auto"/>
            <w:shd w:val="clear" w:color="auto" w:fill="auto"/>
            <w:vAlign w:val="bottom"/>
          </w:tcPr>
          <w:p w14:paraId="5F2CE9D2" w14:textId="77777777" w:rsidR="00E836FB" w:rsidRDefault="00E836FB">
            <w:pPr>
              <w:rPr>
                <w:rFonts w:ascii="宋体"/>
                <w:vanish/>
              </w:rPr>
            </w:pPr>
          </w:p>
        </w:tc>
        <w:tc>
          <w:tcPr>
            <w:tcW w:w="0" w:type="auto"/>
            <w:shd w:val="clear" w:color="auto" w:fill="auto"/>
            <w:vAlign w:val="bottom"/>
          </w:tcPr>
          <w:p w14:paraId="5F2CE9D3" w14:textId="77777777" w:rsidR="00E836FB" w:rsidRDefault="00E836FB">
            <w:pPr>
              <w:rPr>
                <w:rFonts w:ascii="宋体"/>
                <w:vanish/>
              </w:rPr>
            </w:pPr>
          </w:p>
        </w:tc>
        <w:tc>
          <w:tcPr>
            <w:tcW w:w="0" w:type="auto"/>
            <w:shd w:val="clear" w:color="auto" w:fill="auto"/>
            <w:vAlign w:val="bottom"/>
          </w:tcPr>
          <w:p w14:paraId="5F2CE9D4" w14:textId="77777777" w:rsidR="00E836FB" w:rsidRDefault="00E836FB">
            <w:pPr>
              <w:rPr>
                <w:rFonts w:ascii="宋体"/>
                <w:vanish/>
              </w:rPr>
            </w:pPr>
          </w:p>
        </w:tc>
        <w:tc>
          <w:tcPr>
            <w:tcW w:w="0" w:type="auto"/>
            <w:gridSpan w:val="3"/>
            <w:shd w:val="clear" w:color="auto" w:fill="auto"/>
            <w:vAlign w:val="bottom"/>
          </w:tcPr>
          <w:p w14:paraId="5F2CE9D5" w14:textId="77777777" w:rsidR="00E836FB" w:rsidRDefault="00E836FB">
            <w:pPr>
              <w:rPr>
                <w:rFonts w:ascii="宋体"/>
                <w:vanish/>
              </w:rPr>
            </w:pPr>
          </w:p>
        </w:tc>
        <w:tc>
          <w:tcPr>
            <w:tcW w:w="0" w:type="auto"/>
            <w:gridSpan w:val="3"/>
            <w:shd w:val="clear" w:color="auto" w:fill="auto"/>
            <w:vAlign w:val="bottom"/>
          </w:tcPr>
          <w:p w14:paraId="5F2CE9D6" w14:textId="77777777" w:rsidR="00E836FB" w:rsidRDefault="00E836FB">
            <w:pPr>
              <w:rPr>
                <w:rFonts w:ascii="宋体"/>
                <w:vanish/>
              </w:rPr>
            </w:pPr>
          </w:p>
        </w:tc>
        <w:tc>
          <w:tcPr>
            <w:tcW w:w="0" w:type="auto"/>
            <w:gridSpan w:val="3"/>
            <w:shd w:val="clear" w:color="auto" w:fill="auto"/>
            <w:vAlign w:val="bottom"/>
          </w:tcPr>
          <w:p w14:paraId="5F2CE9D7" w14:textId="77777777" w:rsidR="00E836FB" w:rsidRDefault="00E836FB">
            <w:pPr>
              <w:rPr>
                <w:rFonts w:ascii="宋体"/>
                <w:vanish/>
              </w:rPr>
            </w:pPr>
          </w:p>
        </w:tc>
        <w:tc>
          <w:tcPr>
            <w:tcW w:w="0" w:type="auto"/>
            <w:gridSpan w:val="3"/>
            <w:shd w:val="clear" w:color="auto" w:fill="auto"/>
            <w:vAlign w:val="bottom"/>
          </w:tcPr>
          <w:p w14:paraId="5F2CE9D8" w14:textId="77777777" w:rsidR="00E836FB" w:rsidRDefault="00E836FB">
            <w:pPr>
              <w:rPr>
                <w:rFonts w:ascii="宋体"/>
                <w:vanish/>
              </w:rPr>
            </w:pPr>
          </w:p>
        </w:tc>
        <w:tc>
          <w:tcPr>
            <w:tcW w:w="0" w:type="auto"/>
            <w:gridSpan w:val="3"/>
            <w:shd w:val="clear" w:color="auto" w:fill="auto"/>
            <w:vAlign w:val="bottom"/>
          </w:tcPr>
          <w:p w14:paraId="5F2CE9D9" w14:textId="77777777" w:rsidR="00E836FB" w:rsidRDefault="00E836FB">
            <w:pPr>
              <w:rPr>
                <w:rFonts w:ascii="宋体"/>
                <w:vanish/>
              </w:rPr>
            </w:pPr>
          </w:p>
        </w:tc>
        <w:tc>
          <w:tcPr>
            <w:tcW w:w="0" w:type="auto"/>
            <w:gridSpan w:val="3"/>
            <w:shd w:val="clear" w:color="auto" w:fill="auto"/>
            <w:vAlign w:val="bottom"/>
          </w:tcPr>
          <w:p w14:paraId="5F2CE9DA" w14:textId="77777777" w:rsidR="00E836FB" w:rsidRDefault="00E836FB">
            <w:pPr>
              <w:rPr>
                <w:rFonts w:ascii="宋体"/>
                <w:vanish/>
              </w:rPr>
            </w:pPr>
          </w:p>
        </w:tc>
        <w:tc>
          <w:tcPr>
            <w:tcW w:w="0" w:type="auto"/>
            <w:gridSpan w:val="3"/>
            <w:shd w:val="clear" w:color="auto" w:fill="auto"/>
            <w:vAlign w:val="bottom"/>
          </w:tcPr>
          <w:p w14:paraId="5F2CE9DB" w14:textId="77777777" w:rsidR="00E836FB" w:rsidRDefault="00E836FB">
            <w:pPr>
              <w:rPr>
                <w:rFonts w:ascii="宋体"/>
                <w:vanish/>
              </w:rPr>
            </w:pPr>
          </w:p>
        </w:tc>
        <w:tc>
          <w:tcPr>
            <w:tcW w:w="0" w:type="auto"/>
            <w:gridSpan w:val="3"/>
            <w:shd w:val="clear" w:color="auto" w:fill="auto"/>
            <w:vAlign w:val="bottom"/>
          </w:tcPr>
          <w:p w14:paraId="5F2CE9DC" w14:textId="77777777" w:rsidR="00E836FB" w:rsidRDefault="00E836FB">
            <w:pPr>
              <w:rPr>
                <w:rFonts w:ascii="宋体"/>
                <w:vanish/>
              </w:rPr>
            </w:pPr>
          </w:p>
        </w:tc>
        <w:tc>
          <w:tcPr>
            <w:tcW w:w="0" w:type="auto"/>
            <w:gridSpan w:val="3"/>
            <w:shd w:val="clear" w:color="auto" w:fill="auto"/>
            <w:vAlign w:val="bottom"/>
          </w:tcPr>
          <w:p w14:paraId="5F2CE9DD" w14:textId="77777777" w:rsidR="00E836FB" w:rsidRDefault="00E836FB">
            <w:pPr>
              <w:rPr>
                <w:rFonts w:ascii="宋体"/>
                <w:vanish/>
              </w:rPr>
            </w:pPr>
          </w:p>
        </w:tc>
        <w:tc>
          <w:tcPr>
            <w:tcW w:w="0" w:type="auto"/>
            <w:gridSpan w:val="3"/>
            <w:shd w:val="clear" w:color="auto" w:fill="auto"/>
            <w:vAlign w:val="bottom"/>
          </w:tcPr>
          <w:p w14:paraId="5F2CE9DE" w14:textId="77777777" w:rsidR="00E836FB" w:rsidRDefault="00E836FB">
            <w:pPr>
              <w:rPr>
                <w:rFonts w:ascii="宋体"/>
                <w:vanish/>
              </w:rPr>
            </w:pPr>
          </w:p>
        </w:tc>
        <w:tc>
          <w:tcPr>
            <w:tcW w:w="0" w:type="auto"/>
            <w:gridSpan w:val="3"/>
            <w:shd w:val="clear" w:color="auto" w:fill="auto"/>
            <w:vAlign w:val="bottom"/>
          </w:tcPr>
          <w:p w14:paraId="5F2CE9DF" w14:textId="77777777" w:rsidR="00E836FB" w:rsidRDefault="00E836FB">
            <w:pPr>
              <w:rPr>
                <w:rFonts w:ascii="宋体"/>
                <w:vanish/>
              </w:rPr>
            </w:pPr>
          </w:p>
        </w:tc>
      </w:tr>
      <w:tr w:rsidR="00E836FB" w14:paraId="5F2CE9F8" w14:textId="77777777">
        <w:tc>
          <w:tcPr>
            <w:tcW w:w="0" w:type="auto"/>
            <w:gridSpan w:val="3"/>
            <w:shd w:val="clear" w:color="auto" w:fill="CCEEFF"/>
            <w:tcMar>
              <w:top w:w="0" w:type="dxa"/>
              <w:left w:w="20" w:type="dxa"/>
              <w:bottom w:w="0" w:type="dxa"/>
              <w:right w:w="20" w:type="dxa"/>
            </w:tcMar>
            <w:vAlign w:val="bottom"/>
          </w:tcPr>
          <w:p w14:paraId="5F2CE9E1" w14:textId="77777777" w:rsidR="00E836FB" w:rsidRDefault="00E836FB">
            <w:pPr>
              <w:rPr>
                <w:rFonts w:ascii="宋体"/>
              </w:rPr>
            </w:pPr>
          </w:p>
        </w:tc>
        <w:tc>
          <w:tcPr>
            <w:tcW w:w="0" w:type="auto"/>
            <w:shd w:val="clear" w:color="auto" w:fill="auto"/>
            <w:vAlign w:val="bottom"/>
          </w:tcPr>
          <w:p w14:paraId="5F2CE9E2" w14:textId="77777777" w:rsidR="00E836FB" w:rsidRDefault="00E836FB">
            <w:pPr>
              <w:rPr>
                <w:rFonts w:ascii="宋体"/>
                <w:vanish/>
              </w:rPr>
            </w:pPr>
          </w:p>
        </w:tc>
        <w:tc>
          <w:tcPr>
            <w:tcW w:w="0" w:type="auto"/>
            <w:shd w:val="clear" w:color="auto" w:fill="auto"/>
            <w:vAlign w:val="bottom"/>
          </w:tcPr>
          <w:p w14:paraId="5F2CE9E3" w14:textId="77777777" w:rsidR="00E836FB" w:rsidRDefault="00E836FB">
            <w:pPr>
              <w:rPr>
                <w:rFonts w:ascii="宋体"/>
                <w:vanish/>
              </w:rPr>
            </w:pPr>
          </w:p>
        </w:tc>
        <w:tc>
          <w:tcPr>
            <w:tcW w:w="0" w:type="auto"/>
            <w:shd w:val="clear" w:color="auto" w:fill="auto"/>
            <w:vAlign w:val="bottom"/>
          </w:tcPr>
          <w:p w14:paraId="5F2CE9E4" w14:textId="77777777" w:rsidR="00E836FB" w:rsidRDefault="00E836FB">
            <w:pPr>
              <w:rPr>
                <w:rFonts w:ascii="宋体"/>
                <w:vanish/>
              </w:rPr>
            </w:pPr>
          </w:p>
        </w:tc>
        <w:tc>
          <w:tcPr>
            <w:tcW w:w="0" w:type="auto"/>
            <w:shd w:val="clear" w:color="auto" w:fill="auto"/>
            <w:vAlign w:val="bottom"/>
          </w:tcPr>
          <w:p w14:paraId="5F2CE9E5" w14:textId="77777777" w:rsidR="00E836FB" w:rsidRDefault="00E836FB">
            <w:pPr>
              <w:rPr>
                <w:rFonts w:ascii="宋体"/>
                <w:vanish/>
              </w:rPr>
            </w:pPr>
          </w:p>
        </w:tc>
        <w:tc>
          <w:tcPr>
            <w:tcW w:w="0" w:type="auto"/>
            <w:shd w:val="clear" w:color="auto" w:fill="auto"/>
            <w:vAlign w:val="bottom"/>
          </w:tcPr>
          <w:p w14:paraId="5F2CE9E6" w14:textId="77777777" w:rsidR="00E836FB" w:rsidRDefault="00E836FB">
            <w:pPr>
              <w:rPr>
                <w:rFonts w:ascii="宋体"/>
                <w:vanish/>
              </w:rPr>
            </w:pPr>
          </w:p>
        </w:tc>
        <w:tc>
          <w:tcPr>
            <w:tcW w:w="0" w:type="auto"/>
            <w:shd w:val="clear" w:color="auto" w:fill="auto"/>
            <w:vAlign w:val="bottom"/>
          </w:tcPr>
          <w:p w14:paraId="5F2CE9E7"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9E8" w14:textId="77777777" w:rsidR="00E836FB" w:rsidRDefault="00994958">
            <w:pPr>
              <w:jc w:val="right"/>
              <w:textAlignment w:val="bottom"/>
            </w:pPr>
            <w:r>
              <w:rPr>
                <w:rFonts w:ascii="Arial" w:eastAsia="宋体" w:hAnsi="Arial" w:cs="Arial"/>
                <w:b/>
                <w:bCs/>
                <w:color w:val="000000"/>
                <w:sz w:val="16"/>
                <w:szCs w:val="16"/>
              </w:rPr>
              <w:t>11.2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9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9E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9EB"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9EC" w14:textId="77777777" w:rsidR="00E836FB" w:rsidRDefault="00994958">
            <w:pPr>
              <w:jc w:val="right"/>
              <w:textAlignment w:val="bottom"/>
            </w:pPr>
            <w:r>
              <w:rPr>
                <w:rFonts w:ascii="Arial" w:eastAsia="宋体" w:hAnsi="Arial" w:cs="Arial"/>
                <w:b/>
                <w:bCs/>
                <w:color w:val="000000"/>
                <w:sz w:val="16"/>
                <w:szCs w:val="16"/>
              </w:rPr>
              <w:t>80.00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9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9E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9EF"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9F0" w14:textId="77777777" w:rsidR="00E836FB" w:rsidRDefault="00994958">
            <w:pPr>
              <w:jc w:val="right"/>
              <w:textAlignment w:val="bottom"/>
            </w:pPr>
            <w:r>
              <w:rPr>
                <w:rFonts w:ascii="Arial" w:eastAsia="宋体" w:hAnsi="Arial" w:cs="Arial"/>
                <w:b/>
                <w:bCs/>
                <w:color w:val="000000"/>
                <w:sz w:val="16"/>
                <w:szCs w:val="16"/>
              </w:rPr>
              <w:t>900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9F1" w14:textId="77777777" w:rsidR="00E836FB" w:rsidRDefault="00E836FB">
            <w:pPr>
              <w:jc w:val="right"/>
              <w:rPr>
                <w:rFonts w:ascii="宋体"/>
              </w:rPr>
            </w:pPr>
          </w:p>
        </w:tc>
        <w:tc>
          <w:tcPr>
            <w:tcW w:w="0" w:type="auto"/>
            <w:gridSpan w:val="3"/>
            <w:shd w:val="clear" w:color="auto" w:fill="auto"/>
            <w:vAlign w:val="bottom"/>
          </w:tcPr>
          <w:p w14:paraId="5F2CE9F2" w14:textId="77777777" w:rsidR="00E836FB" w:rsidRDefault="00E836FB">
            <w:pPr>
              <w:rPr>
                <w:rFonts w:ascii="宋体"/>
                <w:vanish/>
              </w:rPr>
            </w:pPr>
          </w:p>
        </w:tc>
        <w:tc>
          <w:tcPr>
            <w:tcW w:w="0" w:type="auto"/>
            <w:gridSpan w:val="3"/>
            <w:shd w:val="clear" w:color="auto" w:fill="auto"/>
            <w:vAlign w:val="bottom"/>
          </w:tcPr>
          <w:p w14:paraId="5F2CE9F3" w14:textId="77777777" w:rsidR="00E836FB" w:rsidRDefault="00E836FB">
            <w:pPr>
              <w:rPr>
                <w:rFonts w:ascii="宋体"/>
                <w:vanish/>
              </w:rPr>
            </w:pPr>
          </w:p>
        </w:tc>
        <w:tc>
          <w:tcPr>
            <w:tcW w:w="0" w:type="auto"/>
            <w:gridSpan w:val="3"/>
            <w:shd w:val="clear" w:color="auto" w:fill="auto"/>
            <w:vAlign w:val="bottom"/>
          </w:tcPr>
          <w:p w14:paraId="5F2CE9F4" w14:textId="77777777" w:rsidR="00E836FB" w:rsidRDefault="00E836FB">
            <w:pPr>
              <w:rPr>
                <w:rFonts w:ascii="宋体"/>
                <w:vanish/>
              </w:rPr>
            </w:pPr>
          </w:p>
        </w:tc>
        <w:tc>
          <w:tcPr>
            <w:tcW w:w="0" w:type="auto"/>
            <w:gridSpan w:val="3"/>
            <w:shd w:val="clear" w:color="auto" w:fill="auto"/>
            <w:vAlign w:val="bottom"/>
          </w:tcPr>
          <w:p w14:paraId="5F2CE9F5" w14:textId="77777777" w:rsidR="00E836FB" w:rsidRDefault="00E836FB">
            <w:pPr>
              <w:rPr>
                <w:rFonts w:ascii="宋体"/>
                <w:vanish/>
              </w:rPr>
            </w:pPr>
          </w:p>
        </w:tc>
        <w:tc>
          <w:tcPr>
            <w:tcW w:w="0" w:type="auto"/>
            <w:gridSpan w:val="3"/>
            <w:shd w:val="clear" w:color="auto" w:fill="auto"/>
            <w:vAlign w:val="bottom"/>
          </w:tcPr>
          <w:p w14:paraId="5F2CE9F6" w14:textId="77777777" w:rsidR="00E836FB" w:rsidRDefault="00E836FB">
            <w:pPr>
              <w:rPr>
                <w:rFonts w:ascii="宋体"/>
                <w:vanish/>
              </w:rPr>
            </w:pPr>
          </w:p>
        </w:tc>
        <w:tc>
          <w:tcPr>
            <w:tcW w:w="0" w:type="auto"/>
            <w:gridSpan w:val="3"/>
            <w:shd w:val="clear" w:color="auto" w:fill="auto"/>
            <w:vAlign w:val="bottom"/>
          </w:tcPr>
          <w:p w14:paraId="5F2CE9F7" w14:textId="77777777" w:rsidR="00E836FB" w:rsidRDefault="00E836FB">
            <w:pPr>
              <w:rPr>
                <w:rFonts w:ascii="宋体"/>
                <w:vanish/>
              </w:rPr>
            </w:pPr>
          </w:p>
        </w:tc>
      </w:tr>
      <w:tr w:rsidR="00E836FB" w14:paraId="5F2CEA0B" w14:textId="77777777">
        <w:trPr>
          <w:trHeight w:val="100"/>
        </w:trPr>
        <w:tc>
          <w:tcPr>
            <w:tcW w:w="0" w:type="auto"/>
            <w:gridSpan w:val="3"/>
            <w:shd w:val="clear" w:color="auto" w:fill="auto"/>
            <w:tcMar>
              <w:top w:w="0" w:type="dxa"/>
              <w:left w:w="20" w:type="dxa"/>
              <w:bottom w:w="0" w:type="dxa"/>
              <w:right w:w="20" w:type="dxa"/>
            </w:tcMar>
            <w:vAlign w:val="bottom"/>
          </w:tcPr>
          <w:p w14:paraId="5F2CE9F9" w14:textId="77777777" w:rsidR="00E836FB" w:rsidRDefault="00E836FB">
            <w:pPr>
              <w:rPr>
                <w:rFonts w:ascii="宋体"/>
              </w:rPr>
            </w:pPr>
          </w:p>
        </w:tc>
        <w:tc>
          <w:tcPr>
            <w:tcW w:w="0" w:type="auto"/>
            <w:shd w:val="clear" w:color="auto" w:fill="auto"/>
            <w:vAlign w:val="bottom"/>
          </w:tcPr>
          <w:p w14:paraId="5F2CE9FA" w14:textId="77777777" w:rsidR="00E836FB" w:rsidRDefault="00E836FB">
            <w:pPr>
              <w:rPr>
                <w:rFonts w:ascii="宋体"/>
                <w:vanish/>
              </w:rPr>
            </w:pPr>
          </w:p>
        </w:tc>
        <w:tc>
          <w:tcPr>
            <w:tcW w:w="0" w:type="auto"/>
            <w:shd w:val="clear" w:color="auto" w:fill="auto"/>
            <w:vAlign w:val="bottom"/>
          </w:tcPr>
          <w:p w14:paraId="5F2CE9FB" w14:textId="77777777" w:rsidR="00E836FB" w:rsidRDefault="00E836FB">
            <w:pPr>
              <w:rPr>
                <w:rFonts w:ascii="宋体"/>
                <w:vanish/>
              </w:rPr>
            </w:pPr>
          </w:p>
        </w:tc>
        <w:tc>
          <w:tcPr>
            <w:tcW w:w="0" w:type="auto"/>
            <w:shd w:val="clear" w:color="auto" w:fill="auto"/>
            <w:vAlign w:val="bottom"/>
          </w:tcPr>
          <w:p w14:paraId="5F2CE9FC" w14:textId="77777777" w:rsidR="00E836FB" w:rsidRDefault="00E836FB">
            <w:pPr>
              <w:rPr>
                <w:rFonts w:ascii="宋体"/>
                <w:vanish/>
              </w:rPr>
            </w:pPr>
          </w:p>
        </w:tc>
        <w:tc>
          <w:tcPr>
            <w:tcW w:w="0" w:type="auto"/>
            <w:shd w:val="clear" w:color="auto" w:fill="auto"/>
            <w:vAlign w:val="bottom"/>
          </w:tcPr>
          <w:p w14:paraId="5F2CE9FD" w14:textId="77777777" w:rsidR="00E836FB" w:rsidRDefault="00E836FB">
            <w:pPr>
              <w:rPr>
                <w:rFonts w:ascii="宋体"/>
                <w:vanish/>
              </w:rPr>
            </w:pPr>
          </w:p>
        </w:tc>
        <w:tc>
          <w:tcPr>
            <w:tcW w:w="0" w:type="auto"/>
            <w:shd w:val="clear" w:color="auto" w:fill="auto"/>
            <w:vAlign w:val="bottom"/>
          </w:tcPr>
          <w:p w14:paraId="5F2CE9FE" w14:textId="77777777" w:rsidR="00E836FB" w:rsidRDefault="00E836FB">
            <w:pPr>
              <w:rPr>
                <w:rFonts w:ascii="宋体"/>
                <w:vanish/>
              </w:rPr>
            </w:pPr>
          </w:p>
        </w:tc>
        <w:tc>
          <w:tcPr>
            <w:tcW w:w="0" w:type="auto"/>
            <w:shd w:val="clear" w:color="auto" w:fill="auto"/>
            <w:vAlign w:val="bottom"/>
          </w:tcPr>
          <w:p w14:paraId="5F2CE9FF"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CEA0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A0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A0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A0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A04" w14:textId="77777777" w:rsidR="00E836FB" w:rsidRDefault="00E836FB">
            <w:pPr>
              <w:rPr>
                <w:rFonts w:ascii="宋体"/>
              </w:rPr>
            </w:pPr>
          </w:p>
        </w:tc>
        <w:tc>
          <w:tcPr>
            <w:tcW w:w="0" w:type="auto"/>
            <w:gridSpan w:val="3"/>
            <w:shd w:val="clear" w:color="auto" w:fill="auto"/>
            <w:vAlign w:val="bottom"/>
          </w:tcPr>
          <w:p w14:paraId="5F2CEA05" w14:textId="77777777" w:rsidR="00E836FB" w:rsidRDefault="00E836FB">
            <w:pPr>
              <w:rPr>
                <w:rFonts w:ascii="宋体"/>
                <w:vanish/>
              </w:rPr>
            </w:pPr>
          </w:p>
        </w:tc>
        <w:tc>
          <w:tcPr>
            <w:tcW w:w="0" w:type="auto"/>
            <w:gridSpan w:val="3"/>
            <w:shd w:val="clear" w:color="auto" w:fill="auto"/>
            <w:vAlign w:val="bottom"/>
          </w:tcPr>
          <w:p w14:paraId="5F2CEA06" w14:textId="77777777" w:rsidR="00E836FB" w:rsidRDefault="00E836FB">
            <w:pPr>
              <w:rPr>
                <w:rFonts w:ascii="宋体"/>
                <w:vanish/>
              </w:rPr>
            </w:pPr>
          </w:p>
        </w:tc>
        <w:tc>
          <w:tcPr>
            <w:tcW w:w="0" w:type="auto"/>
            <w:gridSpan w:val="3"/>
            <w:shd w:val="clear" w:color="auto" w:fill="auto"/>
            <w:vAlign w:val="bottom"/>
          </w:tcPr>
          <w:p w14:paraId="5F2CEA07" w14:textId="77777777" w:rsidR="00E836FB" w:rsidRDefault="00E836FB">
            <w:pPr>
              <w:rPr>
                <w:rFonts w:ascii="宋体"/>
                <w:vanish/>
              </w:rPr>
            </w:pPr>
          </w:p>
        </w:tc>
        <w:tc>
          <w:tcPr>
            <w:tcW w:w="0" w:type="auto"/>
            <w:gridSpan w:val="3"/>
            <w:shd w:val="clear" w:color="auto" w:fill="auto"/>
            <w:vAlign w:val="bottom"/>
          </w:tcPr>
          <w:p w14:paraId="5F2CEA08" w14:textId="77777777" w:rsidR="00E836FB" w:rsidRDefault="00E836FB">
            <w:pPr>
              <w:rPr>
                <w:rFonts w:ascii="宋体"/>
                <w:vanish/>
              </w:rPr>
            </w:pPr>
          </w:p>
        </w:tc>
        <w:tc>
          <w:tcPr>
            <w:tcW w:w="0" w:type="auto"/>
            <w:gridSpan w:val="3"/>
            <w:shd w:val="clear" w:color="auto" w:fill="auto"/>
            <w:vAlign w:val="bottom"/>
          </w:tcPr>
          <w:p w14:paraId="5F2CEA09" w14:textId="77777777" w:rsidR="00E836FB" w:rsidRDefault="00E836FB">
            <w:pPr>
              <w:rPr>
                <w:rFonts w:ascii="宋体"/>
                <w:vanish/>
              </w:rPr>
            </w:pPr>
          </w:p>
        </w:tc>
        <w:tc>
          <w:tcPr>
            <w:tcW w:w="0" w:type="auto"/>
            <w:gridSpan w:val="3"/>
            <w:shd w:val="clear" w:color="auto" w:fill="auto"/>
            <w:vAlign w:val="bottom"/>
          </w:tcPr>
          <w:p w14:paraId="5F2CEA0A" w14:textId="77777777" w:rsidR="00E836FB" w:rsidRDefault="00E836FB">
            <w:pPr>
              <w:rPr>
                <w:rFonts w:ascii="宋体"/>
                <w:vanish/>
              </w:rPr>
            </w:pPr>
          </w:p>
        </w:tc>
      </w:tr>
      <w:tr w:rsidR="00E836FB" w14:paraId="5F2CEA1A" w14:textId="77777777">
        <w:tc>
          <w:tcPr>
            <w:tcW w:w="0" w:type="auto"/>
            <w:gridSpan w:val="3"/>
            <w:shd w:val="clear" w:color="auto" w:fill="auto"/>
            <w:tcMar>
              <w:top w:w="0" w:type="dxa"/>
              <w:left w:w="20" w:type="dxa"/>
              <w:bottom w:w="0" w:type="dxa"/>
              <w:right w:w="20" w:type="dxa"/>
            </w:tcMar>
            <w:vAlign w:val="bottom"/>
          </w:tcPr>
          <w:p w14:paraId="5F2CEA0C" w14:textId="77777777" w:rsidR="00E836FB" w:rsidRDefault="00E836FB">
            <w:pPr>
              <w:rPr>
                <w:rFonts w:ascii="宋体"/>
              </w:rPr>
            </w:pPr>
          </w:p>
        </w:tc>
        <w:tc>
          <w:tcPr>
            <w:tcW w:w="0" w:type="auto"/>
            <w:shd w:val="clear" w:color="auto" w:fill="auto"/>
            <w:vAlign w:val="bottom"/>
          </w:tcPr>
          <w:p w14:paraId="5F2CEA0D" w14:textId="77777777" w:rsidR="00E836FB" w:rsidRDefault="00E836FB">
            <w:pPr>
              <w:rPr>
                <w:rFonts w:ascii="宋体"/>
                <w:vanish/>
              </w:rPr>
            </w:pPr>
          </w:p>
        </w:tc>
        <w:tc>
          <w:tcPr>
            <w:tcW w:w="0" w:type="auto"/>
            <w:shd w:val="clear" w:color="auto" w:fill="auto"/>
            <w:vAlign w:val="bottom"/>
          </w:tcPr>
          <w:p w14:paraId="5F2CEA0E" w14:textId="77777777" w:rsidR="00E836FB" w:rsidRDefault="00E836FB">
            <w:pPr>
              <w:rPr>
                <w:rFonts w:ascii="宋体"/>
                <w:vanish/>
              </w:rPr>
            </w:pPr>
          </w:p>
        </w:tc>
        <w:tc>
          <w:tcPr>
            <w:tcW w:w="0" w:type="auto"/>
            <w:shd w:val="clear" w:color="auto" w:fill="auto"/>
            <w:vAlign w:val="bottom"/>
          </w:tcPr>
          <w:p w14:paraId="5F2CEA0F" w14:textId="77777777" w:rsidR="00E836FB" w:rsidRDefault="00E836FB">
            <w:pPr>
              <w:rPr>
                <w:rFonts w:ascii="宋体"/>
                <w:vanish/>
              </w:rPr>
            </w:pPr>
          </w:p>
        </w:tc>
        <w:tc>
          <w:tcPr>
            <w:tcW w:w="0" w:type="auto"/>
            <w:shd w:val="clear" w:color="auto" w:fill="auto"/>
            <w:vAlign w:val="bottom"/>
          </w:tcPr>
          <w:p w14:paraId="5F2CEA10" w14:textId="77777777" w:rsidR="00E836FB" w:rsidRDefault="00E836FB">
            <w:pPr>
              <w:rPr>
                <w:rFonts w:ascii="宋体"/>
                <w:vanish/>
              </w:rPr>
            </w:pPr>
          </w:p>
        </w:tc>
        <w:tc>
          <w:tcPr>
            <w:tcW w:w="0" w:type="auto"/>
            <w:shd w:val="clear" w:color="auto" w:fill="auto"/>
            <w:vAlign w:val="bottom"/>
          </w:tcPr>
          <w:p w14:paraId="5F2CEA11" w14:textId="77777777" w:rsidR="00E836FB" w:rsidRDefault="00E836FB">
            <w:pPr>
              <w:rPr>
                <w:rFonts w:ascii="宋体"/>
                <w:vanish/>
              </w:rPr>
            </w:pPr>
          </w:p>
        </w:tc>
        <w:tc>
          <w:tcPr>
            <w:tcW w:w="0" w:type="auto"/>
            <w:shd w:val="clear" w:color="auto" w:fill="auto"/>
            <w:vAlign w:val="bottom"/>
          </w:tcPr>
          <w:p w14:paraId="5F2CEA12" w14:textId="77777777" w:rsidR="00E836FB" w:rsidRDefault="00E836FB">
            <w:pPr>
              <w:rPr>
                <w:rFonts w:ascii="宋体"/>
                <w:vanish/>
              </w:rPr>
            </w:pPr>
          </w:p>
        </w:tc>
        <w:tc>
          <w:tcPr>
            <w:tcW w:w="0" w:type="auto"/>
            <w:gridSpan w:val="15"/>
            <w:shd w:val="clear" w:color="auto" w:fill="auto"/>
            <w:tcMar>
              <w:top w:w="40" w:type="dxa"/>
              <w:left w:w="20" w:type="dxa"/>
              <w:bottom w:w="40" w:type="dxa"/>
              <w:right w:w="20" w:type="dxa"/>
            </w:tcMar>
            <w:vAlign w:val="bottom"/>
          </w:tcPr>
          <w:p w14:paraId="5F2CEA13" w14:textId="77777777" w:rsidR="00E836FB" w:rsidRDefault="00994958">
            <w:pPr>
              <w:jc w:val="center"/>
              <w:textAlignment w:val="bottom"/>
            </w:pPr>
            <w:r>
              <w:rPr>
                <w:rFonts w:ascii="Arial" w:eastAsia="宋体" w:hAnsi="Arial" w:cs="Arial"/>
                <w:b/>
                <w:bCs/>
                <w:color w:val="000000"/>
                <w:sz w:val="16"/>
                <w:szCs w:val="16"/>
              </w:rPr>
              <w:t>Year Ended December 31, 2020</w:t>
            </w:r>
          </w:p>
        </w:tc>
        <w:tc>
          <w:tcPr>
            <w:tcW w:w="0" w:type="auto"/>
            <w:gridSpan w:val="3"/>
            <w:shd w:val="clear" w:color="auto" w:fill="auto"/>
            <w:vAlign w:val="bottom"/>
          </w:tcPr>
          <w:p w14:paraId="5F2CEA14" w14:textId="77777777" w:rsidR="00E836FB" w:rsidRDefault="00E836FB">
            <w:pPr>
              <w:rPr>
                <w:rFonts w:ascii="宋体"/>
                <w:vanish/>
              </w:rPr>
            </w:pPr>
          </w:p>
        </w:tc>
        <w:tc>
          <w:tcPr>
            <w:tcW w:w="0" w:type="auto"/>
            <w:gridSpan w:val="3"/>
            <w:shd w:val="clear" w:color="auto" w:fill="auto"/>
            <w:vAlign w:val="bottom"/>
          </w:tcPr>
          <w:p w14:paraId="5F2CEA15" w14:textId="77777777" w:rsidR="00E836FB" w:rsidRDefault="00E836FB">
            <w:pPr>
              <w:rPr>
                <w:rFonts w:ascii="宋体"/>
                <w:vanish/>
              </w:rPr>
            </w:pPr>
          </w:p>
        </w:tc>
        <w:tc>
          <w:tcPr>
            <w:tcW w:w="0" w:type="auto"/>
            <w:gridSpan w:val="3"/>
            <w:shd w:val="clear" w:color="auto" w:fill="auto"/>
            <w:vAlign w:val="bottom"/>
          </w:tcPr>
          <w:p w14:paraId="5F2CEA16" w14:textId="77777777" w:rsidR="00E836FB" w:rsidRDefault="00E836FB">
            <w:pPr>
              <w:rPr>
                <w:rFonts w:ascii="宋体"/>
                <w:vanish/>
              </w:rPr>
            </w:pPr>
          </w:p>
        </w:tc>
        <w:tc>
          <w:tcPr>
            <w:tcW w:w="0" w:type="auto"/>
            <w:gridSpan w:val="3"/>
            <w:shd w:val="clear" w:color="auto" w:fill="auto"/>
            <w:vAlign w:val="bottom"/>
          </w:tcPr>
          <w:p w14:paraId="5F2CEA17" w14:textId="77777777" w:rsidR="00E836FB" w:rsidRDefault="00E836FB">
            <w:pPr>
              <w:rPr>
                <w:rFonts w:ascii="宋体"/>
                <w:vanish/>
              </w:rPr>
            </w:pPr>
          </w:p>
        </w:tc>
        <w:tc>
          <w:tcPr>
            <w:tcW w:w="0" w:type="auto"/>
            <w:gridSpan w:val="3"/>
            <w:shd w:val="clear" w:color="auto" w:fill="auto"/>
            <w:vAlign w:val="bottom"/>
          </w:tcPr>
          <w:p w14:paraId="5F2CEA18" w14:textId="77777777" w:rsidR="00E836FB" w:rsidRDefault="00E836FB">
            <w:pPr>
              <w:rPr>
                <w:rFonts w:ascii="宋体"/>
                <w:vanish/>
              </w:rPr>
            </w:pPr>
          </w:p>
        </w:tc>
        <w:tc>
          <w:tcPr>
            <w:tcW w:w="0" w:type="auto"/>
            <w:gridSpan w:val="3"/>
            <w:shd w:val="clear" w:color="auto" w:fill="auto"/>
            <w:vAlign w:val="bottom"/>
          </w:tcPr>
          <w:p w14:paraId="5F2CEA19" w14:textId="77777777" w:rsidR="00E836FB" w:rsidRDefault="00E836FB">
            <w:pPr>
              <w:rPr>
                <w:rFonts w:ascii="宋体"/>
                <w:vanish/>
              </w:rPr>
            </w:pPr>
          </w:p>
        </w:tc>
      </w:tr>
      <w:tr w:rsidR="00E836FB" w14:paraId="5F2CEA2D" w14:textId="77777777">
        <w:tc>
          <w:tcPr>
            <w:tcW w:w="0" w:type="auto"/>
            <w:gridSpan w:val="3"/>
            <w:shd w:val="clear" w:color="auto" w:fill="auto"/>
            <w:tcMar>
              <w:top w:w="0" w:type="dxa"/>
              <w:left w:w="20" w:type="dxa"/>
              <w:bottom w:w="0" w:type="dxa"/>
              <w:right w:w="20" w:type="dxa"/>
            </w:tcMar>
            <w:vAlign w:val="bottom"/>
          </w:tcPr>
          <w:p w14:paraId="5F2CEA1B" w14:textId="77777777" w:rsidR="00E836FB" w:rsidRDefault="00E836FB">
            <w:pPr>
              <w:rPr>
                <w:rFonts w:ascii="宋体"/>
              </w:rPr>
            </w:pPr>
          </w:p>
        </w:tc>
        <w:tc>
          <w:tcPr>
            <w:tcW w:w="0" w:type="auto"/>
            <w:shd w:val="clear" w:color="auto" w:fill="auto"/>
            <w:vAlign w:val="bottom"/>
          </w:tcPr>
          <w:p w14:paraId="5F2CEA1C" w14:textId="77777777" w:rsidR="00E836FB" w:rsidRDefault="00E836FB">
            <w:pPr>
              <w:rPr>
                <w:rFonts w:ascii="宋体"/>
                <w:vanish/>
              </w:rPr>
            </w:pPr>
          </w:p>
        </w:tc>
        <w:tc>
          <w:tcPr>
            <w:tcW w:w="0" w:type="auto"/>
            <w:shd w:val="clear" w:color="auto" w:fill="auto"/>
            <w:vAlign w:val="bottom"/>
          </w:tcPr>
          <w:p w14:paraId="5F2CEA1D" w14:textId="77777777" w:rsidR="00E836FB" w:rsidRDefault="00E836FB">
            <w:pPr>
              <w:rPr>
                <w:rFonts w:ascii="宋体"/>
                <w:vanish/>
              </w:rPr>
            </w:pPr>
          </w:p>
        </w:tc>
        <w:tc>
          <w:tcPr>
            <w:tcW w:w="0" w:type="auto"/>
            <w:shd w:val="clear" w:color="auto" w:fill="auto"/>
            <w:vAlign w:val="bottom"/>
          </w:tcPr>
          <w:p w14:paraId="5F2CEA1E" w14:textId="77777777" w:rsidR="00E836FB" w:rsidRDefault="00E836FB">
            <w:pPr>
              <w:rPr>
                <w:rFonts w:ascii="宋体"/>
                <w:vanish/>
              </w:rPr>
            </w:pPr>
          </w:p>
        </w:tc>
        <w:tc>
          <w:tcPr>
            <w:tcW w:w="0" w:type="auto"/>
            <w:shd w:val="clear" w:color="auto" w:fill="auto"/>
            <w:vAlign w:val="bottom"/>
          </w:tcPr>
          <w:p w14:paraId="5F2CEA1F" w14:textId="77777777" w:rsidR="00E836FB" w:rsidRDefault="00E836FB">
            <w:pPr>
              <w:rPr>
                <w:rFonts w:ascii="宋体"/>
                <w:vanish/>
              </w:rPr>
            </w:pPr>
          </w:p>
        </w:tc>
        <w:tc>
          <w:tcPr>
            <w:tcW w:w="0" w:type="auto"/>
            <w:shd w:val="clear" w:color="auto" w:fill="auto"/>
            <w:vAlign w:val="bottom"/>
          </w:tcPr>
          <w:p w14:paraId="5F2CEA20" w14:textId="77777777" w:rsidR="00E836FB" w:rsidRDefault="00E836FB">
            <w:pPr>
              <w:rPr>
                <w:rFonts w:ascii="宋体"/>
                <w:vanish/>
              </w:rPr>
            </w:pPr>
          </w:p>
        </w:tc>
        <w:tc>
          <w:tcPr>
            <w:tcW w:w="0" w:type="auto"/>
            <w:shd w:val="clear" w:color="auto" w:fill="auto"/>
            <w:vAlign w:val="bottom"/>
          </w:tcPr>
          <w:p w14:paraId="5F2CEA21"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A22" w14:textId="77777777" w:rsidR="00E836FB" w:rsidRDefault="00994958">
            <w:pPr>
              <w:jc w:val="center"/>
              <w:textAlignment w:val="bottom"/>
            </w:pPr>
            <w:r>
              <w:rPr>
                <w:rFonts w:ascii="Arial" w:eastAsia="宋体" w:hAnsi="Arial" w:cs="Arial"/>
                <w:b/>
                <w:bCs/>
                <w:color w:val="000000"/>
                <w:sz w:val="16"/>
                <w:szCs w:val="16"/>
              </w:rPr>
              <w:t xml:space="preserve">Shares Acquired </w:t>
            </w:r>
            <w:r>
              <w:rPr>
                <w:rFonts w:ascii="Arial" w:eastAsia="宋体" w:hAnsi="Arial" w:cs="Arial"/>
                <w:b/>
                <w:bCs/>
                <w:color w:val="000000"/>
                <w:sz w:val="16"/>
                <w:szCs w:val="16"/>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A2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A24" w14:textId="77777777" w:rsidR="00E836FB" w:rsidRDefault="00994958">
            <w:pPr>
              <w:jc w:val="center"/>
              <w:textAlignment w:val="bottom"/>
            </w:pPr>
            <w:r>
              <w:rPr>
                <w:rFonts w:ascii="Arial" w:eastAsia="宋体" w:hAnsi="Arial" w:cs="Arial"/>
                <w:b/>
                <w:bCs/>
                <w:color w:val="000000"/>
                <w:sz w:val="16"/>
                <w:szCs w:val="16"/>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A2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A26" w14:textId="77777777" w:rsidR="00E836FB" w:rsidRDefault="00994958">
            <w:pPr>
              <w:jc w:val="center"/>
              <w:textAlignment w:val="bottom"/>
            </w:pPr>
            <w:r>
              <w:rPr>
                <w:rFonts w:ascii="Arial" w:eastAsia="宋体" w:hAnsi="Arial" w:cs="Arial"/>
                <w:b/>
                <w:bCs/>
                <w:color w:val="000000"/>
                <w:sz w:val="16"/>
                <w:szCs w:val="16"/>
              </w:rPr>
              <w:t xml:space="preserve">Total Acquired </w:t>
            </w:r>
            <w:r>
              <w:rPr>
                <w:rFonts w:ascii="Arial" w:eastAsia="宋体" w:hAnsi="Arial" w:cs="Arial"/>
                <w:b/>
                <w:bCs/>
                <w:color w:val="000000"/>
                <w:sz w:val="16"/>
                <w:szCs w:val="16"/>
              </w:rPr>
              <w:br/>
              <w:t>(In millions)</w:t>
            </w:r>
          </w:p>
        </w:tc>
        <w:tc>
          <w:tcPr>
            <w:tcW w:w="0" w:type="auto"/>
            <w:gridSpan w:val="3"/>
            <w:shd w:val="clear" w:color="auto" w:fill="auto"/>
            <w:vAlign w:val="bottom"/>
          </w:tcPr>
          <w:p w14:paraId="5F2CEA27" w14:textId="77777777" w:rsidR="00E836FB" w:rsidRDefault="00E836FB">
            <w:pPr>
              <w:rPr>
                <w:rFonts w:ascii="宋体"/>
                <w:vanish/>
              </w:rPr>
            </w:pPr>
          </w:p>
        </w:tc>
        <w:tc>
          <w:tcPr>
            <w:tcW w:w="0" w:type="auto"/>
            <w:gridSpan w:val="3"/>
            <w:shd w:val="clear" w:color="auto" w:fill="auto"/>
            <w:vAlign w:val="bottom"/>
          </w:tcPr>
          <w:p w14:paraId="5F2CEA28" w14:textId="77777777" w:rsidR="00E836FB" w:rsidRDefault="00E836FB">
            <w:pPr>
              <w:rPr>
                <w:rFonts w:ascii="宋体"/>
                <w:vanish/>
              </w:rPr>
            </w:pPr>
          </w:p>
        </w:tc>
        <w:tc>
          <w:tcPr>
            <w:tcW w:w="0" w:type="auto"/>
            <w:gridSpan w:val="3"/>
            <w:shd w:val="clear" w:color="auto" w:fill="auto"/>
            <w:vAlign w:val="bottom"/>
          </w:tcPr>
          <w:p w14:paraId="5F2CEA29" w14:textId="77777777" w:rsidR="00E836FB" w:rsidRDefault="00E836FB">
            <w:pPr>
              <w:rPr>
                <w:rFonts w:ascii="宋体"/>
                <w:vanish/>
              </w:rPr>
            </w:pPr>
          </w:p>
        </w:tc>
        <w:tc>
          <w:tcPr>
            <w:tcW w:w="0" w:type="auto"/>
            <w:gridSpan w:val="3"/>
            <w:shd w:val="clear" w:color="auto" w:fill="auto"/>
            <w:vAlign w:val="bottom"/>
          </w:tcPr>
          <w:p w14:paraId="5F2CEA2A" w14:textId="77777777" w:rsidR="00E836FB" w:rsidRDefault="00E836FB">
            <w:pPr>
              <w:rPr>
                <w:rFonts w:ascii="宋体"/>
                <w:vanish/>
              </w:rPr>
            </w:pPr>
          </w:p>
        </w:tc>
        <w:tc>
          <w:tcPr>
            <w:tcW w:w="0" w:type="auto"/>
            <w:gridSpan w:val="3"/>
            <w:shd w:val="clear" w:color="auto" w:fill="auto"/>
            <w:vAlign w:val="bottom"/>
          </w:tcPr>
          <w:p w14:paraId="5F2CEA2B" w14:textId="77777777" w:rsidR="00E836FB" w:rsidRDefault="00E836FB">
            <w:pPr>
              <w:rPr>
                <w:rFonts w:ascii="宋体"/>
                <w:vanish/>
              </w:rPr>
            </w:pPr>
          </w:p>
        </w:tc>
        <w:tc>
          <w:tcPr>
            <w:tcW w:w="0" w:type="auto"/>
            <w:gridSpan w:val="3"/>
            <w:shd w:val="clear" w:color="auto" w:fill="auto"/>
            <w:vAlign w:val="bottom"/>
          </w:tcPr>
          <w:p w14:paraId="5F2CEA2C" w14:textId="77777777" w:rsidR="00E836FB" w:rsidRDefault="00E836FB">
            <w:pPr>
              <w:rPr>
                <w:rFonts w:ascii="宋体"/>
                <w:vanish/>
              </w:rPr>
            </w:pPr>
          </w:p>
        </w:tc>
      </w:tr>
      <w:tr w:rsidR="00E836FB" w14:paraId="5F2CEA45" w14:textId="77777777">
        <w:tc>
          <w:tcPr>
            <w:tcW w:w="0" w:type="auto"/>
            <w:gridSpan w:val="3"/>
            <w:shd w:val="clear" w:color="auto" w:fill="CCEEFF"/>
            <w:tcMar>
              <w:top w:w="40" w:type="dxa"/>
              <w:left w:w="20" w:type="dxa"/>
              <w:bottom w:w="40" w:type="dxa"/>
              <w:right w:w="20" w:type="dxa"/>
            </w:tcMar>
            <w:vAlign w:val="bottom"/>
          </w:tcPr>
          <w:p w14:paraId="5F2CEA2E" w14:textId="77777777" w:rsidR="00E836FB" w:rsidRDefault="00994958">
            <w:pPr>
              <w:textAlignment w:val="bottom"/>
            </w:pPr>
            <w:r>
              <w:rPr>
                <w:rFonts w:ascii="Arial" w:eastAsia="宋体" w:hAnsi="Arial" w:cs="Arial"/>
                <w:color w:val="000000"/>
                <w:sz w:val="16"/>
                <w:szCs w:val="16"/>
              </w:rPr>
              <w:t>2019 Program</w:t>
            </w:r>
          </w:p>
        </w:tc>
        <w:tc>
          <w:tcPr>
            <w:tcW w:w="0" w:type="auto"/>
            <w:shd w:val="clear" w:color="auto" w:fill="auto"/>
            <w:vAlign w:val="bottom"/>
          </w:tcPr>
          <w:p w14:paraId="5F2CEA2F" w14:textId="77777777" w:rsidR="00E836FB" w:rsidRDefault="00E836FB">
            <w:pPr>
              <w:rPr>
                <w:rFonts w:ascii="宋体"/>
                <w:vanish/>
              </w:rPr>
            </w:pPr>
          </w:p>
        </w:tc>
        <w:tc>
          <w:tcPr>
            <w:tcW w:w="0" w:type="auto"/>
            <w:shd w:val="clear" w:color="auto" w:fill="auto"/>
            <w:vAlign w:val="bottom"/>
          </w:tcPr>
          <w:p w14:paraId="5F2CEA30" w14:textId="77777777" w:rsidR="00E836FB" w:rsidRDefault="00E836FB">
            <w:pPr>
              <w:rPr>
                <w:rFonts w:ascii="宋体"/>
                <w:vanish/>
              </w:rPr>
            </w:pPr>
          </w:p>
        </w:tc>
        <w:tc>
          <w:tcPr>
            <w:tcW w:w="0" w:type="auto"/>
            <w:shd w:val="clear" w:color="auto" w:fill="auto"/>
            <w:vAlign w:val="bottom"/>
          </w:tcPr>
          <w:p w14:paraId="5F2CEA31" w14:textId="77777777" w:rsidR="00E836FB" w:rsidRDefault="00E836FB">
            <w:pPr>
              <w:rPr>
                <w:rFonts w:ascii="宋体"/>
                <w:vanish/>
              </w:rPr>
            </w:pPr>
          </w:p>
        </w:tc>
        <w:tc>
          <w:tcPr>
            <w:tcW w:w="0" w:type="auto"/>
            <w:shd w:val="clear" w:color="auto" w:fill="auto"/>
            <w:vAlign w:val="bottom"/>
          </w:tcPr>
          <w:p w14:paraId="5F2CEA32" w14:textId="77777777" w:rsidR="00E836FB" w:rsidRDefault="00E836FB">
            <w:pPr>
              <w:rPr>
                <w:rFonts w:ascii="宋体"/>
                <w:vanish/>
              </w:rPr>
            </w:pPr>
          </w:p>
        </w:tc>
        <w:tc>
          <w:tcPr>
            <w:tcW w:w="0" w:type="auto"/>
            <w:shd w:val="clear" w:color="auto" w:fill="auto"/>
            <w:vAlign w:val="bottom"/>
          </w:tcPr>
          <w:p w14:paraId="5F2CEA33" w14:textId="77777777" w:rsidR="00E836FB" w:rsidRDefault="00E836FB">
            <w:pPr>
              <w:rPr>
                <w:rFonts w:ascii="宋体"/>
                <w:vanish/>
              </w:rPr>
            </w:pPr>
          </w:p>
        </w:tc>
        <w:tc>
          <w:tcPr>
            <w:tcW w:w="0" w:type="auto"/>
            <w:shd w:val="clear" w:color="auto" w:fill="auto"/>
            <w:vAlign w:val="bottom"/>
          </w:tcPr>
          <w:p w14:paraId="5F2CEA34"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A35" w14:textId="77777777" w:rsidR="00E836FB" w:rsidRDefault="00994958">
            <w:pPr>
              <w:jc w:val="right"/>
              <w:textAlignment w:val="bottom"/>
            </w:pPr>
            <w:r>
              <w:rPr>
                <w:rFonts w:ascii="Arial" w:eastAsia="宋体" w:hAnsi="Arial" w:cs="Arial"/>
                <w:color w:val="000000"/>
                <w:sz w:val="16"/>
                <w:szCs w:val="16"/>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A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A3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A38"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A39" w14:textId="77777777" w:rsidR="00E836FB" w:rsidRDefault="00994958">
            <w:pPr>
              <w:jc w:val="right"/>
              <w:textAlignment w:val="bottom"/>
            </w:pPr>
            <w:r>
              <w:rPr>
                <w:rFonts w:ascii="Arial" w:eastAsia="宋体" w:hAnsi="Arial" w:cs="Arial"/>
                <w:color w:val="000000"/>
                <w:sz w:val="16"/>
                <w:szCs w:val="16"/>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A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A3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A3C"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A3D" w14:textId="77777777" w:rsidR="00E836FB" w:rsidRDefault="00994958">
            <w:pPr>
              <w:jc w:val="right"/>
              <w:textAlignment w:val="bottom"/>
            </w:pPr>
            <w:r>
              <w:rPr>
                <w:rFonts w:ascii="Arial" w:eastAsia="宋体" w:hAnsi="Arial" w:cs="Arial"/>
                <w:color w:val="000000"/>
                <w:sz w:val="16"/>
                <w:szCs w:val="16"/>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A3E" w14:textId="77777777" w:rsidR="00E836FB" w:rsidRDefault="00E836FB">
            <w:pPr>
              <w:jc w:val="right"/>
              <w:rPr>
                <w:rFonts w:ascii="宋体"/>
              </w:rPr>
            </w:pPr>
          </w:p>
        </w:tc>
        <w:tc>
          <w:tcPr>
            <w:tcW w:w="0" w:type="auto"/>
            <w:gridSpan w:val="3"/>
            <w:shd w:val="clear" w:color="auto" w:fill="auto"/>
            <w:vAlign w:val="bottom"/>
          </w:tcPr>
          <w:p w14:paraId="5F2CEA3F" w14:textId="77777777" w:rsidR="00E836FB" w:rsidRDefault="00E836FB">
            <w:pPr>
              <w:rPr>
                <w:rFonts w:ascii="宋体"/>
                <w:vanish/>
              </w:rPr>
            </w:pPr>
          </w:p>
        </w:tc>
        <w:tc>
          <w:tcPr>
            <w:tcW w:w="0" w:type="auto"/>
            <w:gridSpan w:val="3"/>
            <w:shd w:val="clear" w:color="auto" w:fill="auto"/>
            <w:vAlign w:val="bottom"/>
          </w:tcPr>
          <w:p w14:paraId="5F2CEA40" w14:textId="77777777" w:rsidR="00E836FB" w:rsidRDefault="00E836FB">
            <w:pPr>
              <w:rPr>
                <w:rFonts w:ascii="宋体"/>
                <w:vanish/>
              </w:rPr>
            </w:pPr>
          </w:p>
        </w:tc>
        <w:tc>
          <w:tcPr>
            <w:tcW w:w="0" w:type="auto"/>
            <w:gridSpan w:val="3"/>
            <w:shd w:val="clear" w:color="auto" w:fill="auto"/>
            <w:vAlign w:val="bottom"/>
          </w:tcPr>
          <w:p w14:paraId="5F2CEA41" w14:textId="77777777" w:rsidR="00E836FB" w:rsidRDefault="00E836FB">
            <w:pPr>
              <w:rPr>
                <w:rFonts w:ascii="宋体"/>
                <w:vanish/>
              </w:rPr>
            </w:pPr>
          </w:p>
        </w:tc>
        <w:tc>
          <w:tcPr>
            <w:tcW w:w="0" w:type="auto"/>
            <w:gridSpan w:val="3"/>
            <w:shd w:val="clear" w:color="auto" w:fill="auto"/>
            <w:vAlign w:val="bottom"/>
          </w:tcPr>
          <w:p w14:paraId="5F2CEA42" w14:textId="77777777" w:rsidR="00E836FB" w:rsidRDefault="00E836FB">
            <w:pPr>
              <w:rPr>
                <w:rFonts w:ascii="宋体"/>
                <w:vanish/>
              </w:rPr>
            </w:pPr>
          </w:p>
        </w:tc>
        <w:tc>
          <w:tcPr>
            <w:tcW w:w="0" w:type="auto"/>
            <w:gridSpan w:val="3"/>
            <w:shd w:val="clear" w:color="auto" w:fill="auto"/>
            <w:vAlign w:val="bottom"/>
          </w:tcPr>
          <w:p w14:paraId="5F2CEA43" w14:textId="77777777" w:rsidR="00E836FB" w:rsidRDefault="00E836FB">
            <w:pPr>
              <w:rPr>
                <w:rFonts w:ascii="宋体"/>
                <w:vanish/>
              </w:rPr>
            </w:pPr>
          </w:p>
        </w:tc>
        <w:tc>
          <w:tcPr>
            <w:tcW w:w="0" w:type="auto"/>
            <w:gridSpan w:val="3"/>
            <w:shd w:val="clear" w:color="auto" w:fill="auto"/>
            <w:vAlign w:val="bottom"/>
          </w:tcPr>
          <w:p w14:paraId="5F2CEA44" w14:textId="77777777" w:rsidR="00E836FB" w:rsidRDefault="00E836FB">
            <w:pPr>
              <w:rPr>
                <w:rFonts w:ascii="宋体"/>
                <w:vanish/>
              </w:rPr>
            </w:pPr>
          </w:p>
        </w:tc>
      </w:tr>
    </w:tbl>
    <w:p w14:paraId="5F2CEA46" w14:textId="77777777" w:rsidR="00E836FB" w:rsidRDefault="00994958">
      <w:pPr>
        <w:ind w:firstLine="450"/>
        <w:jc w:val="right"/>
      </w:pPr>
      <w:r>
        <w:rPr>
          <w:rFonts w:ascii="Arial" w:eastAsia="宋体" w:hAnsi="Arial" w:cs="Arial"/>
          <w:color w:val="000000"/>
          <w:sz w:val="18"/>
          <w:szCs w:val="18"/>
        </w:rPr>
        <w:t>State Street Corporation | 122</w:t>
      </w:r>
    </w:p>
    <w:p w14:paraId="5F2CEA47" w14:textId="77777777" w:rsidR="00E836FB" w:rsidRDefault="00E836FB">
      <w:pPr>
        <w:ind w:firstLine="450"/>
        <w:jc w:val="center"/>
      </w:pPr>
    </w:p>
    <w:p w14:paraId="5F2CEA48" w14:textId="77777777" w:rsidR="00E836FB" w:rsidRDefault="00994958">
      <w:r>
        <w:pict w14:anchorId="5F2D6DFF">
          <v:rect id="_x0000_i1146" style="width:415.3pt;height:1.5pt" o:hralign="center" o:hrstd="t" o:hr="t" fillcolor="#a0a0a0" stroked="f"/>
        </w:pict>
      </w:r>
    </w:p>
    <w:p w14:paraId="5F2CEA49"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A4A" w14:textId="77777777" w:rsidR="00E836FB" w:rsidRDefault="00994958">
      <w:pPr>
        <w:ind w:firstLine="450"/>
        <w:jc w:val="center"/>
      </w:pPr>
      <w:r>
        <w:rPr>
          <w:rFonts w:ascii="Arial" w:eastAsia="宋体" w:hAnsi="Arial" w:cs="Arial"/>
          <w:b/>
          <w:bCs/>
          <w:color w:val="000000"/>
          <w:sz w:val="20"/>
          <w:szCs w:val="20"/>
        </w:rPr>
        <w:t>AND RESULTS OF OPERATIONS</w:t>
      </w:r>
    </w:p>
    <w:p w14:paraId="5F2CEA4B" w14:textId="77777777" w:rsidR="00E836FB" w:rsidRDefault="00994958">
      <w:pPr>
        <w:ind w:firstLine="450"/>
        <w:textAlignment w:val="top"/>
      </w:pPr>
      <w:r>
        <w:rPr>
          <w:rFonts w:ascii="Arial" w:eastAsia="宋体" w:hAnsi="Arial" w:cs="Arial"/>
          <w:color w:val="000000"/>
          <w:sz w:val="20"/>
          <w:szCs w:val="20"/>
        </w:rPr>
        <w:t xml:space="preserve">The table below presents the </w:t>
      </w:r>
      <w:r>
        <w:rPr>
          <w:rFonts w:ascii="Arial" w:eastAsia="宋体" w:hAnsi="Arial" w:cs="Arial"/>
          <w:color w:val="000000"/>
          <w:sz w:val="20"/>
          <w:szCs w:val="20"/>
        </w:rPr>
        <w:t>dividends declared on common stock for the periods indicated:</w:t>
      </w:r>
    </w:p>
    <w:tbl>
      <w:tblPr>
        <w:tblW w:w="4921" w:type="pct"/>
        <w:tblCellMar>
          <w:top w:w="15" w:type="dxa"/>
          <w:left w:w="15" w:type="dxa"/>
          <w:bottom w:w="15" w:type="dxa"/>
          <w:right w:w="15" w:type="dxa"/>
        </w:tblCellMar>
        <w:tblLook w:val="04A0" w:firstRow="1" w:lastRow="0" w:firstColumn="1" w:lastColumn="0" w:noHBand="0" w:noVBand="1"/>
      </w:tblPr>
      <w:tblGrid>
        <w:gridCol w:w="40"/>
        <w:gridCol w:w="1139"/>
        <w:gridCol w:w="36"/>
        <w:gridCol w:w="110"/>
        <w:gridCol w:w="1206"/>
        <w:gridCol w:w="36"/>
        <w:gridCol w:w="36"/>
        <w:gridCol w:w="51"/>
        <w:gridCol w:w="36"/>
        <w:gridCol w:w="110"/>
        <w:gridCol w:w="1322"/>
        <w:gridCol w:w="36"/>
        <w:gridCol w:w="36"/>
        <w:gridCol w:w="51"/>
        <w:gridCol w:w="36"/>
        <w:gridCol w:w="110"/>
        <w:gridCol w:w="1322"/>
        <w:gridCol w:w="36"/>
        <w:gridCol w:w="36"/>
        <w:gridCol w:w="51"/>
        <w:gridCol w:w="36"/>
        <w:gridCol w:w="110"/>
        <w:gridCol w:w="132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E836FB" w14:paraId="5F2CEA6C" w14:textId="77777777">
        <w:tc>
          <w:tcPr>
            <w:tcW w:w="50" w:type="pct"/>
            <w:shd w:val="clear" w:color="auto" w:fill="auto"/>
            <w:vAlign w:val="bottom"/>
          </w:tcPr>
          <w:p w14:paraId="5F2CEA4C" w14:textId="77777777" w:rsidR="00E836FB" w:rsidRDefault="00E836FB">
            <w:pPr>
              <w:rPr>
                <w:rFonts w:ascii="宋体"/>
              </w:rPr>
            </w:pPr>
          </w:p>
        </w:tc>
        <w:tc>
          <w:tcPr>
            <w:tcW w:w="823" w:type="pct"/>
            <w:shd w:val="clear" w:color="auto" w:fill="auto"/>
            <w:vAlign w:val="bottom"/>
          </w:tcPr>
          <w:p w14:paraId="5F2CEA4D" w14:textId="77777777" w:rsidR="00E836FB" w:rsidRDefault="00E836FB">
            <w:pPr>
              <w:rPr>
                <w:rFonts w:ascii="宋体"/>
              </w:rPr>
            </w:pPr>
          </w:p>
        </w:tc>
        <w:tc>
          <w:tcPr>
            <w:tcW w:w="5" w:type="pct"/>
            <w:shd w:val="clear" w:color="auto" w:fill="auto"/>
            <w:vAlign w:val="bottom"/>
          </w:tcPr>
          <w:p w14:paraId="5F2CEA4E" w14:textId="77777777" w:rsidR="00E836FB" w:rsidRDefault="00E836FB">
            <w:pPr>
              <w:rPr>
                <w:rFonts w:ascii="宋体"/>
              </w:rPr>
            </w:pPr>
          </w:p>
        </w:tc>
        <w:tc>
          <w:tcPr>
            <w:tcW w:w="50" w:type="pct"/>
            <w:shd w:val="clear" w:color="auto" w:fill="auto"/>
            <w:vAlign w:val="bottom"/>
          </w:tcPr>
          <w:p w14:paraId="5F2CEA4F" w14:textId="77777777" w:rsidR="00E836FB" w:rsidRDefault="00E836FB">
            <w:pPr>
              <w:rPr>
                <w:rFonts w:ascii="宋体"/>
              </w:rPr>
            </w:pPr>
          </w:p>
        </w:tc>
        <w:tc>
          <w:tcPr>
            <w:tcW w:w="855" w:type="pct"/>
            <w:shd w:val="clear" w:color="auto" w:fill="auto"/>
            <w:vAlign w:val="bottom"/>
          </w:tcPr>
          <w:p w14:paraId="5F2CEA50" w14:textId="77777777" w:rsidR="00E836FB" w:rsidRDefault="00E836FB">
            <w:pPr>
              <w:rPr>
                <w:rFonts w:ascii="宋体"/>
              </w:rPr>
            </w:pPr>
          </w:p>
        </w:tc>
        <w:tc>
          <w:tcPr>
            <w:tcW w:w="5" w:type="pct"/>
            <w:shd w:val="clear" w:color="auto" w:fill="auto"/>
            <w:vAlign w:val="bottom"/>
          </w:tcPr>
          <w:p w14:paraId="5F2CEA51" w14:textId="77777777" w:rsidR="00E836FB" w:rsidRDefault="00E836FB">
            <w:pPr>
              <w:rPr>
                <w:rFonts w:ascii="宋体"/>
              </w:rPr>
            </w:pPr>
          </w:p>
        </w:tc>
        <w:tc>
          <w:tcPr>
            <w:tcW w:w="5" w:type="pct"/>
            <w:shd w:val="clear" w:color="auto" w:fill="auto"/>
            <w:vAlign w:val="bottom"/>
          </w:tcPr>
          <w:p w14:paraId="5F2CEA52" w14:textId="77777777" w:rsidR="00E836FB" w:rsidRDefault="00E836FB">
            <w:pPr>
              <w:rPr>
                <w:rFonts w:ascii="宋体"/>
              </w:rPr>
            </w:pPr>
          </w:p>
        </w:tc>
        <w:tc>
          <w:tcPr>
            <w:tcW w:w="69" w:type="pct"/>
            <w:shd w:val="clear" w:color="auto" w:fill="auto"/>
            <w:vAlign w:val="bottom"/>
          </w:tcPr>
          <w:p w14:paraId="5F2CEA53" w14:textId="77777777" w:rsidR="00E836FB" w:rsidRDefault="00E836FB">
            <w:pPr>
              <w:rPr>
                <w:rFonts w:ascii="宋体"/>
              </w:rPr>
            </w:pPr>
          </w:p>
        </w:tc>
        <w:tc>
          <w:tcPr>
            <w:tcW w:w="5" w:type="pct"/>
            <w:shd w:val="clear" w:color="auto" w:fill="auto"/>
            <w:vAlign w:val="bottom"/>
          </w:tcPr>
          <w:p w14:paraId="5F2CEA54" w14:textId="77777777" w:rsidR="00E836FB" w:rsidRDefault="00E836FB">
            <w:pPr>
              <w:rPr>
                <w:rFonts w:ascii="宋体"/>
              </w:rPr>
            </w:pPr>
          </w:p>
        </w:tc>
        <w:tc>
          <w:tcPr>
            <w:tcW w:w="50" w:type="pct"/>
            <w:shd w:val="clear" w:color="auto" w:fill="auto"/>
            <w:vAlign w:val="bottom"/>
          </w:tcPr>
          <w:p w14:paraId="5F2CEA55" w14:textId="77777777" w:rsidR="00E836FB" w:rsidRDefault="00E836FB">
            <w:pPr>
              <w:rPr>
                <w:rFonts w:ascii="宋体"/>
              </w:rPr>
            </w:pPr>
          </w:p>
        </w:tc>
        <w:tc>
          <w:tcPr>
            <w:tcW w:w="935" w:type="pct"/>
            <w:shd w:val="clear" w:color="auto" w:fill="auto"/>
            <w:vAlign w:val="bottom"/>
          </w:tcPr>
          <w:p w14:paraId="5F2CEA56" w14:textId="77777777" w:rsidR="00E836FB" w:rsidRDefault="00E836FB">
            <w:pPr>
              <w:rPr>
                <w:rFonts w:ascii="宋体"/>
              </w:rPr>
            </w:pPr>
          </w:p>
        </w:tc>
        <w:tc>
          <w:tcPr>
            <w:tcW w:w="5" w:type="pct"/>
            <w:shd w:val="clear" w:color="auto" w:fill="auto"/>
            <w:vAlign w:val="bottom"/>
          </w:tcPr>
          <w:p w14:paraId="5F2CEA57" w14:textId="77777777" w:rsidR="00E836FB" w:rsidRDefault="00E836FB">
            <w:pPr>
              <w:rPr>
                <w:rFonts w:ascii="宋体"/>
              </w:rPr>
            </w:pPr>
          </w:p>
        </w:tc>
        <w:tc>
          <w:tcPr>
            <w:tcW w:w="5" w:type="pct"/>
            <w:shd w:val="clear" w:color="auto" w:fill="auto"/>
            <w:vAlign w:val="bottom"/>
          </w:tcPr>
          <w:p w14:paraId="5F2CEA58" w14:textId="77777777" w:rsidR="00E836FB" w:rsidRDefault="00E836FB">
            <w:pPr>
              <w:rPr>
                <w:rFonts w:ascii="宋体"/>
              </w:rPr>
            </w:pPr>
          </w:p>
        </w:tc>
        <w:tc>
          <w:tcPr>
            <w:tcW w:w="69" w:type="pct"/>
            <w:shd w:val="clear" w:color="auto" w:fill="auto"/>
            <w:vAlign w:val="bottom"/>
          </w:tcPr>
          <w:p w14:paraId="5F2CEA59" w14:textId="77777777" w:rsidR="00E836FB" w:rsidRDefault="00E836FB">
            <w:pPr>
              <w:rPr>
                <w:rFonts w:ascii="宋体"/>
              </w:rPr>
            </w:pPr>
          </w:p>
        </w:tc>
        <w:tc>
          <w:tcPr>
            <w:tcW w:w="5" w:type="pct"/>
            <w:shd w:val="clear" w:color="auto" w:fill="auto"/>
            <w:vAlign w:val="bottom"/>
          </w:tcPr>
          <w:p w14:paraId="5F2CEA5A" w14:textId="77777777" w:rsidR="00E836FB" w:rsidRDefault="00E836FB">
            <w:pPr>
              <w:rPr>
                <w:rFonts w:ascii="宋体"/>
              </w:rPr>
            </w:pPr>
          </w:p>
        </w:tc>
        <w:tc>
          <w:tcPr>
            <w:tcW w:w="50" w:type="pct"/>
            <w:shd w:val="clear" w:color="auto" w:fill="auto"/>
            <w:vAlign w:val="bottom"/>
          </w:tcPr>
          <w:p w14:paraId="5F2CEA5B" w14:textId="77777777" w:rsidR="00E836FB" w:rsidRDefault="00E836FB">
            <w:pPr>
              <w:rPr>
                <w:rFonts w:ascii="宋体"/>
              </w:rPr>
            </w:pPr>
          </w:p>
        </w:tc>
        <w:tc>
          <w:tcPr>
            <w:tcW w:w="935" w:type="pct"/>
            <w:shd w:val="clear" w:color="auto" w:fill="auto"/>
            <w:vAlign w:val="bottom"/>
          </w:tcPr>
          <w:p w14:paraId="5F2CEA5C" w14:textId="77777777" w:rsidR="00E836FB" w:rsidRDefault="00E836FB">
            <w:pPr>
              <w:rPr>
                <w:rFonts w:ascii="宋体"/>
              </w:rPr>
            </w:pPr>
          </w:p>
        </w:tc>
        <w:tc>
          <w:tcPr>
            <w:tcW w:w="5" w:type="pct"/>
            <w:shd w:val="clear" w:color="auto" w:fill="auto"/>
            <w:vAlign w:val="bottom"/>
          </w:tcPr>
          <w:p w14:paraId="5F2CEA5D" w14:textId="77777777" w:rsidR="00E836FB" w:rsidRDefault="00E836FB">
            <w:pPr>
              <w:rPr>
                <w:rFonts w:ascii="宋体"/>
              </w:rPr>
            </w:pPr>
          </w:p>
        </w:tc>
        <w:tc>
          <w:tcPr>
            <w:tcW w:w="5" w:type="pct"/>
            <w:shd w:val="clear" w:color="auto" w:fill="auto"/>
            <w:vAlign w:val="bottom"/>
          </w:tcPr>
          <w:p w14:paraId="5F2CEA5E" w14:textId="77777777" w:rsidR="00E836FB" w:rsidRDefault="00E836FB">
            <w:pPr>
              <w:rPr>
                <w:rFonts w:ascii="宋体"/>
              </w:rPr>
            </w:pPr>
          </w:p>
        </w:tc>
        <w:tc>
          <w:tcPr>
            <w:tcW w:w="69" w:type="pct"/>
            <w:shd w:val="clear" w:color="auto" w:fill="auto"/>
            <w:vAlign w:val="bottom"/>
          </w:tcPr>
          <w:p w14:paraId="5F2CEA5F" w14:textId="77777777" w:rsidR="00E836FB" w:rsidRDefault="00E836FB">
            <w:pPr>
              <w:rPr>
                <w:rFonts w:ascii="宋体"/>
              </w:rPr>
            </w:pPr>
          </w:p>
        </w:tc>
        <w:tc>
          <w:tcPr>
            <w:tcW w:w="5" w:type="pct"/>
            <w:shd w:val="clear" w:color="auto" w:fill="auto"/>
            <w:vAlign w:val="bottom"/>
          </w:tcPr>
          <w:p w14:paraId="5F2CEA60" w14:textId="77777777" w:rsidR="00E836FB" w:rsidRDefault="00E836FB">
            <w:pPr>
              <w:rPr>
                <w:rFonts w:ascii="宋体"/>
              </w:rPr>
            </w:pPr>
          </w:p>
        </w:tc>
        <w:tc>
          <w:tcPr>
            <w:tcW w:w="50" w:type="pct"/>
            <w:shd w:val="clear" w:color="auto" w:fill="auto"/>
            <w:vAlign w:val="bottom"/>
          </w:tcPr>
          <w:p w14:paraId="5F2CEA61" w14:textId="77777777" w:rsidR="00E836FB" w:rsidRDefault="00E836FB">
            <w:pPr>
              <w:rPr>
                <w:rFonts w:ascii="宋体"/>
              </w:rPr>
            </w:pPr>
          </w:p>
        </w:tc>
        <w:tc>
          <w:tcPr>
            <w:tcW w:w="935" w:type="pct"/>
            <w:shd w:val="clear" w:color="auto" w:fill="auto"/>
            <w:vAlign w:val="bottom"/>
          </w:tcPr>
          <w:p w14:paraId="5F2CEA62" w14:textId="77777777" w:rsidR="00E836FB" w:rsidRDefault="00E836FB">
            <w:pPr>
              <w:rPr>
                <w:rFonts w:ascii="宋体"/>
              </w:rPr>
            </w:pPr>
          </w:p>
        </w:tc>
        <w:tc>
          <w:tcPr>
            <w:tcW w:w="5" w:type="pct"/>
            <w:shd w:val="clear" w:color="auto" w:fill="auto"/>
            <w:vAlign w:val="bottom"/>
          </w:tcPr>
          <w:p w14:paraId="5F2CEA63" w14:textId="77777777" w:rsidR="00E836FB" w:rsidRDefault="00E836FB">
            <w:pPr>
              <w:rPr>
                <w:rFonts w:ascii="宋体"/>
              </w:rPr>
            </w:pPr>
          </w:p>
        </w:tc>
        <w:tc>
          <w:tcPr>
            <w:tcW w:w="0" w:type="auto"/>
            <w:gridSpan w:val="3"/>
            <w:shd w:val="clear" w:color="auto" w:fill="auto"/>
            <w:vAlign w:val="bottom"/>
          </w:tcPr>
          <w:p w14:paraId="5F2CEA64" w14:textId="77777777" w:rsidR="00E836FB" w:rsidRDefault="00E836FB">
            <w:pPr>
              <w:rPr>
                <w:rFonts w:ascii="宋体"/>
                <w:vanish/>
              </w:rPr>
            </w:pPr>
          </w:p>
        </w:tc>
        <w:tc>
          <w:tcPr>
            <w:tcW w:w="0" w:type="auto"/>
            <w:gridSpan w:val="3"/>
            <w:shd w:val="clear" w:color="auto" w:fill="auto"/>
            <w:vAlign w:val="bottom"/>
          </w:tcPr>
          <w:p w14:paraId="5F2CEA65" w14:textId="77777777" w:rsidR="00E836FB" w:rsidRDefault="00E836FB">
            <w:pPr>
              <w:rPr>
                <w:rFonts w:ascii="宋体"/>
                <w:vanish/>
              </w:rPr>
            </w:pPr>
          </w:p>
        </w:tc>
        <w:tc>
          <w:tcPr>
            <w:tcW w:w="0" w:type="auto"/>
            <w:gridSpan w:val="3"/>
            <w:shd w:val="clear" w:color="auto" w:fill="auto"/>
            <w:vAlign w:val="bottom"/>
          </w:tcPr>
          <w:p w14:paraId="5F2CEA66" w14:textId="77777777" w:rsidR="00E836FB" w:rsidRDefault="00E836FB">
            <w:pPr>
              <w:rPr>
                <w:rFonts w:ascii="宋体"/>
                <w:vanish/>
              </w:rPr>
            </w:pPr>
          </w:p>
        </w:tc>
        <w:tc>
          <w:tcPr>
            <w:tcW w:w="0" w:type="auto"/>
            <w:gridSpan w:val="3"/>
            <w:shd w:val="clear" w:color="auto" w:fill="auto"/>
            <w:vAlign w:val="bottom"/>
          </w:tcPr>
          <w:p w14:paraId="5F2CEA67" w14:textId="77777777" w:rsidR="00E836FB" w:rsidRDefault="00E836FB">
            <w:pPr>
              <w:rPr>
                <w:rFonts w:ascii="宋体"/>
                <w:vanish/>
              </w:rPr>
            </w:pPr>
          </w:p>
        </w:tc>
        <w:tc>
          <w:tcPr>
            <w:tcW w:w="0" w:type="auto"/>
            <w:gridSpan w:val="3"/>
            <w:shd w:val="clear" w:color="auto" w:fill="auto"/>
            <w:vAlign w:val="bottom"/>
          </w:tcPr>
          <w:p w14:paraId="5F2CEA68" w14:textId="77777777" w:rsidR="00E836FB" w:rsidRDefault="00E836FB">
            <w:pPr>
              <w:rPr>
                <w:rFonts w:ascii="宋体"/>
                <w:vanish/>
              </w:rPr>
            </w:pPr>
          </w:p>
        </w:tc>
        <w:tc>
          <w:tcPr>
            <w:tcW w:w="0" w:type="auto"/>
            <w:gridSpan w:val="3"/>
            <w:shd w:val="clear" w:color="auto" w:fill="auto"/>
            <w:vAlign w:val="bottom"/>
          </w:tcPr>
          <w:p w14:paraId="5F2CEA69" w14:textId="77777777" w:rsidR="00E836FB" w:rsidRDefault="00E836FB">
            <w:pPr>
              <w:rPr>
                <w:rFonts w:ascii="宋体"/>
                <w:vanish/>
              </w:rPr>
            </w:pPr>
          </w:p>
        </w:tc>
        <w:tc>
          <w:tcPr>
            <w:tcW w:w="0" w:type="auto"/>
            <w:gridSpan w:val="3"/>
            <w:shd w:val="clear" w:color="auto" w:fill="auto"/>
            <w:vAlign w:val="bottom"/>
          </w:tcPr>
          <w:p w14:paraId="5F2CEA6A" w14:textId="77777777" w:rsidR="00E836FB" w:rsidRDefault="00E836FB">
            <w:pPr>
              <w:rPr>
                <w:rFonts w:ascii="宋体"/>
                <w:vanish/>
              </w:rPr>
            </w:pPr>
          </w:p>
        </w:tc>
        <w:tc>
          <w:tcPr>
            <w:tcW w:w="0" w:type="auto"/>
            <w:gridSpan w:val="3"/>
            <w:shd w:val="clear" w:color="auto" w:fill="auto"/>
            <w:vAlign w:val="bottom"/>
          </w:tcPr>
          <w:p w14:paraId="5F2CEA6B" w14:textId="77777777" w:rsidR="00E836FB" w:rsidRDefault="00E836FB">
            <w:pPr>
              <w:rPr>
                <w:rFonts w:ascii="宋体"/>
                <w:vanish/>
              </w:rPr>
            </w:pPr>
          </w:p>
        </w:tc>
      </w:tr>
      <w:tr w:rsidR="00E836FB" w14:paraId="5F2CEA76" w14:textId="77777777">
        <w:tc>
          <w:tcPr>
            <w:tcW w:w="0" w:type="auto"/>
            <w:gridSpan w:val="24"/>
            <w:shd w:val="clear" w:color="auto" w:fill="auto"/>
            <w:tcMar>
              <w:top w:w="40" w:type="dxa"/>
              <w:left w:w="20" w:type="dxa"/>
              <w:bottom w:w="40" w:type="dxa"/>
              <w:right w:w="20" w:type="dxa"/>
            </w:tcMar>
            <w:vAlign w:val="bottom"/>
          </w:tcPr>
          <w:p w14:paraId="5F2CEA6D" w14:textId="77777777" w:rsidR="00E836FB" w:rsidRDefault="00994958">
            <w:pPr>
              <w:textAlignment w:val="bottom"/>
            </w:pPr>
            <w:r>
              <w:rPr>
                <w:rFonts w:ascii="Arial" w:eastAsia="宋体" w:hAnsi="Arial" w:cs="Arial"/>
                <w:b/>
                <w:bCs/>
                <w:color w:val="000000"/>
                <w:sz w:val="16"/>
                <w:szCs w:val="16"/>
              </w:rPr>
              <w:t>TABLE 49: COMMON STOCK DIVIDENDS</w:t>
            </w:r>
          </w:p>
        </w:tc>
        <w:tc>
          <w:tcPr>
            <w:tcW w:w="0" w:type="auto"/>
            <w:gridSpan w:val="3"/>
            <w:shd w:val="clear" w:color="auto" w:fill="auto"/>
            <w:vAlign w:val="bottom"/>
          </w:tcPr>
          <w:p w14:paraId="5F2CEA6E" w14:textId="77777777" w:rsidR="00E836FB" w:rsidRDefault="00E836FB">
            <w:pPr>
              <w:rPr>
                <w:rFonts w:ascii="宋体"/>
                <w:vanish/>
              </w:rPr>
            </w:pPr>
          </w:p>
        </w:tc>
        <w:tc>
          <w:tcPr>
            <w:tcW w:w="0" w:type="auto"/>
            <w:gridSpan w:val="3"/>
            <w:shd w:val="clear" w:color="auto" w:fill="auto"/>
            <w:vAlign w:val="bottom"/>
          </w:tcPr>
          <w:p w14:paraId="5F2CEA6F" w14:textId="77777777" w:rsidR="00E836FB" w:rsidRDefault="00E836FB">
            <w:pPr>
              <w:rPr>
                <w:rFonts w:ascii="宋体"/>
                <w:vanish/>
              </w:rPr>
            </w:pPr>
          </w:p>
        </w:tc>
        <w:tc>
          <w:tcPr>
            <w:tcW w:w="0" w:type="auto"/>
            <w:gridSpan w:val="3"/>
            <w:shd w:val="clear" w:color="auto" w:fill="auto"/>
            <w:vAlign w:val="bottom"/>
          </w:tcPr>
          <w:p w14:paraId="5F2CEA70" w14:textId="77777777" w:rsidR="00E836FB" w:rsidRDefault="00E836FB">
            <w:pPr>
              <w:rPr>
                <w:rFonts w:ascii="宋体"/>
                <w:vanish/>
              </w:rPr>
            </w:pPr>
          </w:p>
        </w:tc>
        <w:tc>
          <w:tcPr>
            <w:tcW w:w="0" w:type="auto"/>
            <w:gridSpan w:val="3"/>
            <w:shd w:val="clear" w:color="auto" w:fill="auto"/>
            <w:vAlign w:val="bottom"/>
          </w:tcPr>
          <w:p w14:paraId="5F2CEA71" w14:textId="77777777" w:rsidR="00E836FB" w:rsidRDefault="00E836FB">
            <w:pPr>
              <w:rPr>
                <w:rFonts w:ascii="宋体"/>
                <w:vanish/>
              </w:rPr>
            </w:pPr>
          </w:p>
        </w:tc>
        <w:tc>
          <w:tcPr>
            <w:tcW w:w="0" w:type="auto"/>
            <w:gridSpan w:val="3"/>
            <w:shd w:val="clear" w:color="auto" w:fill="auto"/>
            <w:vAlign w:val="bottom"/>
          </w:tcPr>
          <w:p w14:paraId="5F2CEA72" w14:textId="77777777" w:rsidR="00E836FB" w:rsidRDefault="00E836FB">
            <w:pPr>
              <w:rPr>
                <w:rFonts w:ascii="宋体"/>
                <w:vanish/>
              </w:rPr>
            </w:pPr>
          </w:p>
        </w:tc>
        <w:tc>
          <w:tcPr>
            <w:tcW w:w="0" w:type="auto"/>
            <w:gridSpan w:val="3"/>
            <w:shd w:val="clear" w:color="auto" w:fill="auto"/>
            <w:vAlign w:val="bottom"/>
          </w:tcPr>
          <w:p w14:paraId="5F2CEA73" w14:textId="77777777" w:rsidR="00E836FB" w:rsidRDefault="00E836FB">
            <w:pPr>
              <w:rPr>
                <w:rFonts w:ascii="宋体"/>
                <w:vanish/>
              </w:rPr>
            </w:pPr>
          </w:p>
        </w:tc>
        <w:tc>
          <w:tcPr>
            <w:tcW w:w="0" w:type="auto"/>
            <w:gridSpan w:val="3"/>
            <w:shd w:val="clear" w:color="auto" w:fill="auto"/>
            <w:vAlign w:val="bottom"/>
          </w:tcPr>
          <w:p w14:paraId="5F2CEA74" w14:textId="77777777" w:rsidR="00E836FB" w:rsidRDefault="00E836FB">
            <w:pPr>
              <w:rPr>
                <w:rFonts w:ascii="宋体"/>
                <w:vanish/>
              </w:rPr>
            </w:pPr>
          </w:p>
        </w:tc>
        <w:tc>
          <w:tcPr>
            <w:tcW w:w="0" w:type="auto"/>
            <w:gridSpan w:val="3"/>
            <w:shd w:val="clear" w:color="auto" w:fill="auto"/>
            <w:vAlign w:val="bottom"/>
          </w:tcPr>
          <w:p w14:paraId="5F2CEA75" w14:textId="77777777" w:rsidR="00E836FB" w:rsidRDefault="00E836FB">
            <w:pPr>
              <w:rPr>
                <w:rFonts w:ascii="宋体"/>
                <w:vanish/>
              </w:rPr>
            </w:pPr>
          </w:p>
        </w:tc>
      </w:tr>
      <w:tr w:rsidR="00E836FB" w14:paraId="5F2CEA9F" w14:textId="77777777">
        <w:trPr>
          <w:hidden/>
        </w:trPr>
        <w:tc>
          <w:tcPr>
            <w:tcW w:w="0" w:type="auto"/>
            <w:gridSpan w:val="3"/>
            <w:shd w:val="clear" w:color="auto" w:fill="auto"/>
            <w:vAlign w:val="bottom"/>
          </w:tcPr>
          <w:p w14:paraId="5F2CEA77" w14:textId="77777777" w:rsidR="00E836FB" w:rsidRDefault="00E836FB">
            <w:pPr>
              <w:rPr>
                <w:rFonts w:ascii="宋体"/>
                <w:vanish/>
              </w:rPr>
            </w:pPr>
          </w:p>
        </w:tc>
        <w:tc>
          <w:tcPr>
            <w:tcW w:w="0" w:type="auto"/>
            <w:gridSpan w:val="3"/>
            <w:shd w:val="clear" w:color="auto" w:fill="auto"/>
            <w:vAlign w:val="bottom"/>
          </w:tcPr>
          <w:p w14:paraId="5F2CEA78" w14:textId="77777777" w:rsidR="00E836FB" w:rsidRDefault="00E836FB">
            <w:pPr>
              <w:rPr>
                <w:rFonts w:ascii="宋体"/>
                <w:vanish/>
              </w:rPr>
            </w:pPr>
          </w:p>
        </w:tc>
        <w:tc>
          <w:tcPr>
            <w:tcW w:w="0" w:type="auto"/>
            <w:gridSpan w:val="3"/>
            <w:shd w:val="clear" w:color="auto" w:fill="auto"/>
            <w:vAlign w:val="bottom"/>
          </w:tcPr>
          <w:p w14:paraId="5F2CEA79" w14:textId="77777777" w:rsidR="00E836FB" w:rsidRDefault="00E836FB">
            <w:pPr>
              <w:rPr>
                <w:rFonts w:ascii="宋体"/>
                <w:vanish/>
              </w:rPr>
            </w:pPr>
          </w:p>
        </w:tc>
        <w:tc>
          <w:tcPr>
            <w:tcW w:w="0" w:type="auto"/>
            <w:gridSpan w:val="3"/>
            <w:shd w:val="clear" w:color="auto" w:fill="auto"/>
            <w:vAlign w:val="bottom"/>
          </w:tcPr>
          <w:p w14:paraId="5F2CEA7A" w14:textId="77777777" w:rsidR="00E836FB" w:rsidRDefault="00E836FB">
            <w:pPr>
              <w:rPr>
                <w:rFonts w:ascii="宋体"/>
                <w:vanish/>
              </w:rPr>
            </w:pPr>
          </w:p>
        </w:tc>
        <w:tc>
          <w:tcPr>
            <w:tcW w:w="0" w:type="auto"/>
            <w:shd w:val="clear" w:color="auto" w:fill="auto"/>
            <w:vAlign w:val="bottom"/>
          </w:tcPr>
          <w:p w14:paraId="5F2CEA7B" w14:textId="77777777" w:rsidR="00E836FB" w:rsidRDefault="00E836FB">
            <w:pPr>
              <w:rPr>
                <w:rFonts w:ascii="宋体"/>
              </w:rPr>
            </w:pPr>
          </w:p>
        </w:tc>
        <w:tc>
          <w:tcPr>
            <w:tcW w:w="0" w:type="auto"/>
            <w:shd w:val="clear" w:color="auto" w:fill="auto"/>
            <w:vAlign w:val="bottom"/>
          </w:tcPr>
          <w:p w14:paraId="5F2CEA7C" w14:textId="77777777" w:rsidR="00E836FB" w:rsidRDefault="00E836FB">
            <w:pPr>
              <w:rPr>
                <w:rFonts w:ascii="宋体"/>
              </w:rPr>
            </w:pPr>
          </w:p>
        </w:tc>
        <w:tc>
          <w:tcPr>
            <w:tcW w:w="0" w:type="auto"/>
            <w:shd w:val="clear" w:color="auto" w:fill="auto"/>
            <w:vAlign w:val="bottom"/>
          </w:tcPr>
          <w:p w14:paraId="5F2CEA7D" w14:textId="77777777" w:rsidR="00E836FB" w:rsidRDefault="00E836FB">
            <w:pPr>
              <w:rPr>
                <w:rFonts w:ascii="宋体"/>
              </w:rPr>
            </w:pPr>
          </w:p>
        </w:tc>
        <w:tc>
          <w:tcPr>
            <w:tcW w:w="0" w:type="auto"/>
            <w:shd w:val="clear" w:color="auto" w:fill="auto"/>
            <w:vAlign w:val="bottom"/>
          </w:tcPr>
          <w:p w14:paraId="5F2CEA7E" w14:textId="77777777" w:rsidR="00E836FB" w:rsidRDefault="00E836FB">
            <w:pPr>
              <w:rPr>
                <w:rFonts w:ascii="宋体"/>
              </w:rPr>
            </w:pPr>
          </w:p>
        </w:tc>
        <w:tc>
          <w:tcPr>
            <w:tcW w:w="0" w:type="auto"/>
            <w:shd w:val="clear" w:color="auto" w:fill="auto"/>
            <w:vAlign w:val="bottom"/>
          </w:tcPr>
          <w:p w14:paraId="5F2CEA7F" w14:textId="77777777" w:rsidR="00E836FB" w:rsidRDefault="00E836FB">
            <w:pPr>
              <w:rPr>
                <w:rFonts w:ascii="宋体"/>
              </w:rPr>
            </w:pPr>
          </w:p>
        </w:tc>
        <w:tc>
          <w:tcPr>
            <w:tcW w:w="0" w:type="auto"/>
            <w:shd w:val="clear" w:color="auto" w:fill="auto"/>
            <w:vAlign w:val="bottom"/>
          </w:tcPr>
          <w:p w14:paraId="5F2CEA80" w14:textId="77777777" w:rsidR="00E836FB" w:rsidRDefault="00E836FB">
            <w:pPr>
              <w:rPr>
                <w:rFonts w:ascii="宋体"/>
              </w:rPr>
            </w:pPr>
          </w:p>
        </w:tc>
        <w:tc>
          <w:tcPr>
            <w:tcW w:w="0" w:type="auto"/>
            <w:shd w:val="clear" w:color="auto" w:fill="auto"/>
            <w:vAlign w:val="bottom"/>
          </w:tcPr>
          <w:p w14:paraId="5F2CEA81" w14:textId="77777777" w:rsidR="00E836FB" w:rsidRDefault="00E836FB">
            <w:pPr>
              <w:rPr>
                <w:rFonts w:ascii="宋体"/>
              </w:rPr>
            </w:pPr>
          </w:p>
        </w:tc>
        <w:tc>
          <w:tcPr>
            <w:tcW w:w="0" w:type="auto"/>
            <w:shd w:val="clear" w:color="auto" w:fill="auto"/>
            <w:vAlign w:val="bottom"/>
          </w:tcPr>
          <w:p w14:paraId="5F2CEA82" w14:textId="77777777" w:rsidR="00E836FB" w:rsidRDefault="00E836FB">
            <w:pPr>
              <w:rPr>
                <w:rFonts w:ascii="宋体"/>
              </w:rPr>
            </w:pPr>
          </w:p>
        </w:tc>
        <w:tc>
          <w:tcPr>
            <w:tcW w:w="0" w:type="auto"/>
            <w:shd w:val="clear" w:color="auto" w:fill="auto"/>
            <w:vAlign w:val="bottom"/>
          </w:tcPr>
          <w:p w14:paraId="5F2CEA83" w14:textId="77777777" w:rsidR="00E836FB" w:rsidRDefault="00E836FB">
            <w:pPr>
              <w:rPr>
                <w:rFonts w:ascii="宋体"/>
              </w:rPr>
            </w:pPr>
          </w:p>
        </w:tc>
        <w:tc>
          <w:tcPr>
            <w:tcW w:w="0" w:type="auto"/>
            <w:shd w:val="clear" w:color="auto" w:fill="auto"/>
            <w:vAlign w:val="bottom"/>
          </w:tcPr>
          <w:p w14:paraId="5F2CEA84" w14:textId="77777777" w:rsidR="00E836FB" w:rsidRDefault="00E836FB">
            <w:pPr>
              <w:rPr>
                <w:rFonts w:ascii="宋体"/>
              </w:rPr>
            </w:pPr>
          </w:p>
        </w:tc>
        <w:tc>
          <w:tcPr>
            <w:tcW w:w="0" w:type="auto"/>
            <w:shd w:val="clear" w:color="auto" w:fill="auto"/>
            <w:vAlign w:val="bottom"/>
          </w:tcPr>
          <w:p w14:paraId="5F2CEA85" w14:textId="77777777" w:rsidR="00E836FB" w:rsidRDefault="00E836FB">
            <w:pPr>
              <w:rPr>
                <w:rFonts w:ascii="宋体"/>
              </w:rPr>
            </w:pPr>
          </w:p>
        </w:tc>
        <w:tc>
          <w:tcPr>
            <w:tcW w:w="0" w:type="auto"/>
            <w:shd w:val="clear" w:color="auto" w:fill="auto"/>
            <w:vAlign w:val="bottom"/>
          </w:tcPr>
          <w:p w14:paraId="5F2CEA86" w14:textId="77777777" w:rsidR="00E836FB" w:rsidRDefault="00E836FB">
            <w:pPr>
              <w:rPr>
                <w:rFonts w:ascii="宋体"/>
              </w:rPr>
            </w:pPr>
          </w:p>
        </w:tc>
        <w:tc>
          <w:tcPr>
            <w:tcW w:w="0" w:type="auto"/>
            <w:shd w:val="clear" w:color="auto" w:fill="auto"/>
            <w:vAlign w:val="bottom"/>
          </w:tcPr>
          <w:p w14:paraId="5F2CEA87" w14:textId="77777777" w:rsidR="00E836FB" w:rsidRDefault="00E836FB">
            <w:pPr>
              <w:rPr>
                <w:rFonts w:ascii="宋体"/>
              </w:rPr>
            </w:pPr>
          </w:p>
        </w:tc>
        <w:tc>
          <w:tcPr>
            <w:tcW w:w="0" w:type="auto"/>
            <w:shd w:val="clear" w:color="auto" w:fill="auto"/>
            <w:vAlign w:val="bottom"/>
          </w:tcPr>
          <w:p w14:paraId="5F2CEA88" w14:textId="77777777" w:rsidR="00E836FB" w:rsidRDefault="00E836FB">
            <w:pPr>
              <w:rPr>
                <w:rFonts w:ascii="宋体"/>
              </w:rPr>
            </w:pPr>
          </w:p>
        </w:tc>
        <w:tc>
          <w:tcPr>
            <w:tcW w:w="0" w:type="auto"/>
            <w:shd w:val="clear" w:color="auto" w:fill="auto"/>
            <w:vAlign w:val="bottom"/>
          </w:tcPr>
          <w:p w14:paraId="5F2CEA89" w14:textId="77777777" w:rsidR="00E836FB" w:rsidRDefault="00E836FB">
            <w:pPr>
              <w:rPr>
                <w:rFonts w:ascii="宋体"/>
              </w:rPr>
            </w:pPr>
          </w:p>
        </w:tc>
        <w:tc>
          <w:tcPr>
            <w:tcW w:w="0" w:type="auto"/>
            <w:shd w:val="clear" w:color="auto" w:fill="auto"/>
            <w:vAlign w:val="bottom"/>
          </w:tcPr>
          <w:p w14:paraId="5F2CEA8A" w14:textId="77777777" w:rsidR="00E836FB" w:rsidRDefault="00E836FB">
            <w:pPr>
              <w:rPr>
                <w:rFonts w:ascii="宋体"/>
              </w:rPr>
            </w:pPr>
          </w:p>
        </w:tc>
        <w:tc>
          <w:tcPr>
            <w:tcW w:w="0" w:type="auto"/>
            <w:shd w:val="clear" w:color="auto" w:fill="auto"/>
            <w:vAlign w:val="bottom"/>
          </w:tcPr>
          <w:p w14:paraId="5F2CEA8B" w14:textId="77777777" w:rsidR="00E836FB" w:rsidRDefault="00E836FB">
            <w:pPr>
              <w:rPr>
                <w:rFonts w:ascii="宋体"/>
              </w:rPr>
            </w:pPr>
          </w:p>
        </w:tc>
        <w:tc>
          <w:tcPr>
            <w:tcW w:w="0" w:type="auto"/>
            <w:shd w:val="clear" w:color="auto" w:fill="auto"/>
            <w:vAlign w:val="bottom"/>
          </w:tcPr>
          <w:p w14:paraId="5F2CEA8C" w14:textId="77777777" w:rsidR="00E836FB" w:rsidRDefault="00E836FB">
            <w:pPr>
              <w:rPr>
                <w:rFonts w:ascii="宋体"/>
              </w:rPr>
            </w:pPr>
          </w:p>
        </w:tc>
        <w:tc>
          <w:tcPr>
            <w:tcW w:w="0" w:type="auto"/>
            <w:shd w:val="clear" w:color="auto" w:fill="auto"/>
            <w:vAlign w:val="bottom"/>
          </w:tcPr>
          <w:p w14:paraId="5F2CEA8D" w14:textId="77777777" w:rsidR="00E836FB" w:rsidRDefault="00E836FB">
            <w:pPr>
              <w:rPr>
                <w:rFonts w:ascii="宋体"/>
              </w:rPr>
            </w:pPr>
          </w:p>
        </w:tc>
        <w:tc>
          <w:tcPr>
            <w:tcW w:w="0" w:type="auto"/>
            <w:shd w:val="clear" w:color="auto" w:fill="auto"/>
            <w:vAlign w:val="bottom"/>
          </w:tcPr>
          <w:p w14:paraId="5F2CEA8E" w14:textId="77777777" w:rsidR="00E836FB" w:rsidRDefault="00E836FB">
            <w:pPr>
              <w:rPr>
                <w:rFonts w:ascii="宋体"/>
              </w:rPr>
            </w:pPr>
          </w:p>
        </w:tc>
        <w:tc>
          <w:tcPr>
            <w:tcW w:w="0" w:type="auto"/>
            <w:shd w:val="clear" w:color="auto" w:fill="auto"/>
            <w:vAlign w:val="bottom"/>
          </w:tcPr>
          <w:p w14:paraId="5F2CEA8F" w14:textId="77777777" w:rsidR="00E836FB" w:rsidRDefault="00E836FB">
            <w:pPr>
              <w:rPr>
                <w:rFonts w:ascii="宋体"/>
              </w:rPr>
            </w:pPr>
          </w:p>
        </w:tc>
        <w:tc>
          <w:tcPr>
            <w:tcW w:w="0" w:type="auto"/>
            <w:shd w:val="clear" w:color="auto" w:fill="auto"/>
            <w:vAlign w:val="bottom"/>
          </w:tcPr>
          <w:p w14:paraId="5F2CEA90" w14:textId="77777777" w:rsidR="00E836FB" w:rsidRDefault="00E836FB">
            <w:pPr>
              <w:rPr>
                <w:rFonts w:ascii="宋体"/>
              </w:rPr>
            </w:pPr>
          </w:p>
        </w:tc>
        <w:tc>
          <w:tcPr>
            <w:tcW w:w="0" w:type="auto"/>
            <w:shd w:val="clear" w:color="auto" w:fill="auto"/>
            <w:vAlign w:val="bottom"/>
          </w:tcPr>
          <w:p w14:paraId="5F2CEA91" w14:textId="77777777" w:rsidR="00E836FB" w:rsidRDefault="00E836FB">
            <w:pPr>
              <w:rPr>
                <w:rFonts w:ascii="宋体"/>
              </w:rPr>
            </w:pPr>
          </w:p>
        </w:tc>
        <w:tc>
          <w:tcPr>
            <w:tcW w:w="0" w:type="auto"/>
            <w:shd w:val="clear" w:color="auto" w:fill="auto"/>
            <w:vAlign w:val="bottom"/>
          </w:tcPr>
          <w:p w14:paraId="5F2CEA92" w14:textId="77777777" w:rsidR="00E836FB" w:rsidRDefault="00E836FB">
            <w:pPr>
              <w:rPr>
                <w:rFonts w:ascii="宋体"/>
              </w:rPr>
            </w:pPr>
          </w:p>
        </w:tc>
        <w:tc>
          <w:tcPr>
            <w:tcW w:w="0" w:type="auto"/>
            <w:shd w:val="clear" w:color="auto" w:fill="auto"/>
            <w:vAlign w:val="bottom"/>
          </w:tcPr>
          <w:p w14:paraId="5F2CEA93" w14:textId="77777777" w:rsidR="00E836FB" w:rsidRDefault="00E836FB">
            <w:pPr>
              <w:rPr>
                <w:rFonts w:ascii="宋体"/>
              </w:rPr>
            </w:pPr>
          </w:p>
        </w:tc>
        <w:tc>
          <w:tcPr>
            <w:tcW w:w="0" w:type="auto"/>
            <w:shd w:val="clear" w:color="auto" w:fill="auto"/>
            <w:vAlign w:val="bottom"/>
          </w:tcPr>
          <w:p w14:paraId="5F2CEA94" w14:textId="77777777" w:rsidR="00E836FB" w:rsidRDefault="00E836FB">
            <w:pPr>
              <w:rPr>
                <w:rFonts w:ascii="宋体"/>
              </w:rPr>
            </w:pPr>
          </w:p>
        </w:tc>
        <w:tc>
          <w:tcPr>
            <w:tcW w:w="0" w:type="auto"/>
            <w:shd w:val="clear" w:color="auto" w:fill="auto"/>
            <w:vAlign w:val="bottom"/>
          </w:tcPr>
          <w:p w14:paraId="5F2CEA95" w14:textId="77777777" w:rsidR="00E836FB" w:rsidRDefault="00E836FB">
            <w:pPr>
              <w:rPr>
                <w:rFonts w:ascii="宋体"/>
              </w:rPr>
            </w:pPr>
          </w:p>
        </w:tc>
        <w:tc>
          <w:tcPr>
            <w:tcW w:w="0" w:type="auto"/>
            <w:shd w:val="clear" w:color="auto" w:fill="auto"/>
            <w:vAlign w:val="bottom"/>
          </w:tcPr>
          <w:p w14:paraId="5F2CEA96" w14:textId="77777777" w:rsidR="00E836FB" w:rsidRDefault="00E836FB">
            <w:pPr>
              <w:rPr>
                <w:rFonts w:ascii="宋体"/>
              </w:rPr>
            </w:pPr>
          </w:p>
        </w:tc>
        <w:tc>
          <w:tcPr>
            <w:tcW w:w="0" w:type="auto"/>
            <w:shd w:val="clear" w:color="auto" w:fill="auto"/>
            <w:vAlign w:val="bottom"/>
          </w:tcPr>
          <w:p w14:paraId="5F2CEA97" w14:textId="77777777" w:rsidR="00E836FB" w:rsidRDefault="00E836FB">
            <w:pPr>
              <w:rPr>
                <w:rFonts w:ascii="宋体"/>
              </w:rPr>
            </w:pPr>
          </w:p>
        </w:tc>
        <w:tc>
          <w:tcPr>
            <w:tcW w:w="0" w:type="auto"/>
            <w:shd w:val="clear" w:color="auto" w:fill="auto"/>
            <w:vAlign w:val="bottom"/>
          </w:tcPr>
          <w:p w14:paraId="5F2CEA98" w14:textId="77777777" w:rsidR="00E836FB" w:rsidRDefault="00E836FB">
            <w:pPr>
              <w:rPr>
                <w:rFonts w:ascii="宋体"/>
              </w:rPr>
            </w:pPr>
          </w:p>
        </w:tc>
        <w:tc>
          <w:tcPr>
            <w:tcW w:w="0" w:type="auto"/>
            <w:shd w:val="clear" w:color="auto" w:fill="auto"/>
            <w:vAlign w:val="bottom"/>
          </w:tcPr>
          <w:p w14:paraId="5F2CEA99" w14:textId="77777777" w:rsidR="00E836FB" w:rsidRDefault="00E836FB">
            <w:pPr>
              <w:rPr>
                <w:rFonts w:ascii="宋体"/>
              </w:rPr>
            </w:pPr>
          </w:p>
        </w:tc>
        <w:tc>
          <w:tcPr>
            <w:tcW w:w="0" w:type="auto"/>
            <w:shd w:val="clear" w:color="auto" w:fill="auto"/>
            <w:vAlign w:val="bottom"/>
          </w:tcPr>
          <w:p w14:paraId="5F2CEA9A" w14:textId="77777777" w:rsidR="00E836FB" w:rsidRDefault="00E836FB">
            <w:pPr>
              <w:rPr>
                <w:rFonts w:ascii="宋体"/>
              </w:rPr>
            </w:pPr>
          </w:p>
        </w:tc>
        <w:tc>
          <w:tcPr>
            <w:tcW w:w="0" w:type="auto"/>
            <w:shd w:val="clear" w:color="auto" w:fill="auto"/>
            <w:vAlign w:val="bottom"/>
          </w:tcPr>
          <w:p w14:paraId="5F2CEA9B" w14:textId="77777777" w:rsidR="00E836FB" w:rsidRDefault="00E836FB">
            <w:pPr>
              <w:rPr>
                <w:rFonts w:ascii="宋体"/>
              </w:rPr>
            </w:pPr>
          </w:p>
        </w:tc>
        <w:tc>
          <w:tcPr>
            <w:tcW w:w="0" w:type="auto"/>
            <w:shd w:val="clear" w:color="auto" w:fill="auto"/>
            <w:vAlign w:val="bottom"/>
          </w:tcPr>
          <w:p w14:paraId="5F2CEA9C" w14:textId="77777777" w:rsidR="00E836FB" w:rsidRDefault="00E836FB">
            <w:pPr>
              <w:rPr>
                <w:rFonts w:ascii="宋体"/>
              </w:rPr>
            </w:pPr>
          </w:p>
        </w:tc>
        <w:tc>
          <w:tcPr>
            <w:tcW w:w="0" w:type="auto"/>
            <w:shd w:val="clear" w:color="auto" w:fill="auto"/>
            <w:vAlign w:val="bottom"/>
          </w:tcPr>
          <w:p w14:paraId="5F2CEA9D" w14:textId="77777777" w:rsidR="00E836FB" w:rsidRDefault="00E836FB">
            <w:pPr>
              <w:rPr>
                <w:rFonts w:ascii="宋体"/>
              </w:rPr>
            </w:pPr>
          </w:p>
        </w:tc>
        <w:tc>
          <w:tcPr>
            <w:tcW w:w="0" w:type="auto"/>
            <w:shd w:val="clear" w:color="auto" w:fill="auto"/>
            <w:vAlign w:val="bottom"/>
          </w:tcPr>
          <w:p w14:paraId="5F2CEA9E" w14:textId="77777777" w:rsidR="00E836FB" w:rsidRDefault="00E836FB">
            <w:pPr>
              <w:rPr>
                <w:rFonts w:ascii="宋体"/>
              </w:rPr>
            </w:pPr>
          </w:p>
        </w:tc>
      </w:tr>
      <w:tr w:rsidR="00E836FB" w14:paraId="5F2CEAB0" w14:textId="77777777">
        <w:trPr>
          <w:hidden/>
        </w:trPr>
        <w:tc>
          <w:tcPr>
            <w:tcW w:w="0" w:type="auto"/>
            <w:gridSpan w:val="3"/>
            <w:shd w:val="clear" w:color="auto" w:fill="auto"/>
            <w:vAlign w:val="bottom"/>
          </w:tcPr>
          <w:p w14:paraId="5F2CEAA0" w14:textId="77777777" w:rsidR="00E836FB" w:rsidRDefault="00E836FB">
            <w:pPr>
              <w:rPr>
                <w:rFonts w:ascii="宋体"/>
                <w:vanish/>
              </w:rPr>
            </w:pPr>
          </w:p>
        </w:tc>
        <w:tc>
          <w:tcPr>
            <w:tcW w:w="0" w:type="auto"/>
            <w:gridSpan w:val="3"/>
            <w:shd w:val="clear" w:color="auto" w:fill="auto"/>
            <w:vAlign w:val="bottom"/>
          </w:tcPr>
          <w:p w14:paraId="5F2CEAA1" w14:textId="77777777" w:rsidR="00E836FB" w:rsidRDefault="00E836FB">
            <w:pPr>
              <w:rPr>
                <w:rFonts w:ascii="宋体"/>
                <w:vanish/>
              </w:rPr>
            </w:pPr>
          </w:p>
        </w:tc>
        <w:tc>
          <w:tcPr>
            <w:tcW w:w="0" w:type="auto"/>
            <w:gridSpan w:val="3"/>
            <w:shd w:val="clear" w:color="auto" w:fill="auto"/>
            <w:vAlign w:val="bottom"/>
          </w:tcPr>
          <w:p w14:paraId="5F2CEAA2" w14:textId="77777777" w:rsidR="00E836FB" w:rsidRDefault="00E836FB">
            <w:pPr>
              <w:rPr>
                <w:rFonts w:ascii="宋体"/>
                <w:vanish/>
              </w:rPr>
            </w:pPr>
          </w:p>
        </w:tc>
        <w:tc>
          <w:tcPr>
            <w:tcW w:w="0" w:type="auto"/>
            <w:gridSpan w:val="3"/>
            <w:shd w:val="clear" w:color="auto" w:fill="auto"/>
            <w:vAlign w:val="bottom"/>
          </w:tcPr>
          <w:p w14:paraId="5F2CEAA3" w14:textId="77777777" w:rsidR="00E836FB" w:rsidRDefault="00E836FB">
            <w:pPr>
              <w:rPr>
                <w:rFonts w:ascii="宋体"/>
                <w:vanish/>
              </w:rPr>
            </w:pPr>
          </w:p>
        </w:tc>
        <w:tc>
          <w:tcPr>
            <w:tcW w:w="0" w:type="auto"/>
            <w:gridSpan w:val="3"/>
            <w:shd w:val="clear" w:color="auto" w:fill="auto"/>
            <w:vAlign w:val="bottom"/>
          </w:tcPr>
          <w:p w14:paraId="5F2CEAA4" w14:textId="77777777" w:rsidR="00E836FB" w:rsidRDefault="00E836FB">
            <w:pPr>
              <w:rPr>
                <w:rFonts w:ascii="宋体"/>
                <w:vanish/>
              </w:rPr>
            </w:pPr>
          </w:p>
        </w:tc>
        <w:tc>
          <w:tcPr>
            <w:tcW w:w="0" w:type="auto"/>
            <w:gridSpan w:val="3"/>
            <w:shd w:val="clear" w:color="auto" w:fill="auto"/>
            <w:vAlign w:val="bottom"/>
          </w:tcPr>
          <w:p w14:paraId="5F2CEAA5" w14:textId="77777777" w:rsidR="00E836FB" w:rsidRDefault="00E836FB">
            <w:pPr>
              <w:rPr>
                <w:rFonts w:ascii="宋体"/>
                <w:vanish/>
              </w:rPr>
            </w:pPr>
          </w:p>
        </w:tc>
        <w:tc>
          <w:tcPr>
            <w:tcW w:w="0" w:type="auto"/>
            <w:gridSpan w:val="3"/>
            <w:shd w:val="clear" w:color="auto" w:fill="auto"/>
            <w:vAlign w:val="bottom"/>
          </w:tcPr>
          <w:p w14:paraId="5F2CEAA6" w14:textId="77777777" w:rsidR="00E836FB" w:rsidRDefault="00E836FB">
            <w:pPr>
              <w:rPr>
                <w:rFonts w:ascii="宋体"/>
                <w:vanish/>
              </w:rPr>
            </w:pPr>
          </w:p>
        </w:tc>
        <w:tc>
          <w:tcPr>
            <w:tcW w:w="0" w:type="auto"/>
            <w:gridSpan w:val="3"/>
            <w:shd w:val="clear" w:color="auto" w:fill="auto"/>
            <w:vAlign w:val="bottom"/>
          </w:tcPr>
          <w:p w14:paraId="5F2CEAA7" w14:textId="77777777" w:rsidR="00E836FB" w:rsidRDefault="00E836FB">
            <w:pPr>
              <w:rPr>
                <w:rFonts w:ascii="宋体"/>
                <w:vanish/>
              </w:rPr>
            </w:pPr>
          </w:p>
        </w:tc>
        <w:tc>
          <w:tcPr>
            <w:tcW w:w="0" w:type="auto"/>
            <w:gridSpan w:val="3"/>
            <w:shd w:val="clear" w:color="auto" w:fill="auto"/>
            <w:vAlign w:val="bottom"/>
          </w:tcPr>
          <w:p w14:paraId="5F2CEAA8" w14:textId="77777777" w:rsidR="00E836FB" w:rsidRDefault="00E836FB">
            <w:pPr>
              <w:rPr>
                <w:rFonts w:ascii="宋体"/>
                <w:vanish/>
              </w:rPr>
            </w:pPr>
          </w:p>
        </w:tc>
        <w:tc>
          <w:tcPr>
            <w:tcW w:w="0" w:type="auto"/>
            <w:gridSpan w:val="3"/>
            <w:shd w:val="clear" w:color="auto" w:fill="auto"/>
            <w:vAlign w:val="bottom"/>
          </w:tcPr>
          <w:p w14:paraId="5F2CEAA9" w14:textId="77777777" w:rsidR="00E836FB" w:rsidRDefault="00E836FB">
            <w:pPr>
              <w:rPr>
                <w:rFonts w:ascii="宋体"/>
                <w:vanish/>
              </w:rPr>
            </w:pPr>
          </w:p>
        </w:tc>
        <w:tc>
          <w:tcPr>
            <w:tcW w:w="0" w:type="auto"/>
            <w:gridSpan w:val="3"/>
            <w:shd w:val="clear" w:color="auto" w:fill="auto"/>
            <w:vAlign w:val="bottom"/>
          </w:tcPr>
          <w:p w14:paraId="5F2CEAAA" w14:textId="77777777" w:rsidR="00E836FB" w:rsidRDefault="00E836FB">
            <w:pPr>
              <w:rPr>
                <w:rFonts w:ascii="宋体"/>
                <w:vanish/>
              </w:rPr>
            </w:pPr>
          </w:p>
        </w:tc>
        <w:tc>
          <w:tcPr>
            <w:tcW w:w="0" w:type="auto"/>
            <w:gridSpan w:val="3"/>
            <w:shd w:val="clear" w:color="auto" w:fill="auto"/>
            <w:vAlign w:val="bottom"/>
          </w:tcPr>
          <w:p w14:paraId="5F2CEAAB" w14:textId="77777777" w:rsidR="00E836FB" w:rsidRDefault="00E836FB">
            <w:pPr>
              <w:rPr>
                <w:rFonts w:ascii="宋体"/>
                <w:vanish/>
              </w:rPr>
            </w:pPr>
          </w:p>
        </w:tc>
        <w:tc>
          <w:tcPr>
            <w:tcW w:w="0" w:type="auto"/>
            <w:gridSpan w:val="3"/>
            <w:shd w:val="clear" w:color="auto" w:fill="auto"/>
            <w:vAlign w:val="bottom"/>
          </w:tcPr>
          <w:p w14:paraId="5F2CEAAC" w14:textId="77777777" w:rsidR="00E836FB" w:rsidRDefault="00E836FB">
            <w:pPr>
              <w:rPr>
                <w:rFonts w:ascii="宋体"/>
                <w:vanish/>
              </w:rPr>
            </w:pPr>
          </w:p>
        </w:tc>
        <w:tc>
          <w:tcPr>
            <w:tcW w:w="0" w:type="auto"/>
            <w:gridSpan w:val="3"/>
            <w:shd w:val="clear" w:color="auto" w:fill="auto"/>
            <w:vAlign w:val="bottom"/>
          </w:tcPr>
          <w:p w14:paraId="5F2CEAAD" w14:textId="77777777" w:rsidR="00E836FB" w:rsidRDefault="00E836FB">
            <w:pPr>
              <w:rPr>
                <w:rFonts w:ascii="宋体"/>
                <w:vanish/>
              </w:rPr>
            </w:pPr>
          </w:p>
        </w:tc>
        <w:tc>
          <w:tcPr>
            <w:tcW w:w="0" w:type="auto"/>
            <w:gridSpan w:val="3"/>
            <w:shd w:val="clear" w:color="auto" w:fill="auto"/>
            <w:vAlign w:val="bottom"/>
          </w:tcPr>
          <w:p w14:paraId="5F2CEAAE" w14:textId="77777777" w:rsidR="00E836FB" w:rsidRDefault="00E836FB">
            <w:pPr>
              <w:rPr>
                <w:rFonts w:ascii="宋体"/>
                <w:vanish/>
              </w:rPr>
            </w:pPr>
          </w:p>
        </w:tc>
        <w:tc>
          <w:tcPr>
            <w:tcW w:w="0" w:type="auto"/>
            <w:gridSpan w:val="3"/>
            <w:shd w:val="clear" w:color="auto" w:fill="auto"/>
            <w:vAlign w:val="bottom"/>
          </w:tcPr>
          <w:p w14:paraId="5F2CEAAF" w14:textId="77777777" w:rsidR="00E836FB" w:rsidRDefault="00E836FB">
            <w:pPr>
              <w:rPr>
                <w:rFonts w:ascii="宋体"/>
                <w:vanish/>
              </w:rPr>
            </w:pPr>
          </w:p>
        </w:tc>
      </w:tr>
      <w:tr w:rsidR="00E836FB" w14:paraId="5F2CEAD1" w14:textId="77777777">
        <w:trPr>
          <w:hidden/>
        </w:trPr>
        <w:tc>
          <w:tcPr>
            <w:tcW w:w="0" w:type="auto"/>
            <w:gridSpan w:val="3"/>
            <w:shd w:val="clear" w:color="auto" w:fill="auto"/>
            <w:vAlign w:val="bottom"/>
          </w:tcPr>
          <w:p w14:paraId="5F2CEAB1" w14:textId="77777777" w:rsidR="00E836FB" w:rsidRDefault="00E836FB">
            <w:pPr>
              <w:rPr>
                <w:rFonts w:ascii="宋体"/>
                <w:vanish/>
              </w:rPr>
            </w:pPr>
          </w:p>
        </w:tc>
        <w:tc>
          <w:tcPr>
            <w:tcW w:w="0" w:type="auto"/>
            <w:gridSpan w:val="3"/>
            <w:shd w:val="clear" w:color="auto" w:fill="auto"/>
            <w:vAlign w:val="bottom"/>
          </w:tcPr>
          <w:p w14:paraId="5F2CEAB2" w14:textId="77777777" w:rsidR="00E836FB" w:rsidRDefault="00E836FB">
            <w:pPr>
              <w:rPr>
                <w:rFonts w:ascii="宋体"/>
                <w:vanish/>
              </w:rPr>
            </w:pPr>
          </w:p>
        </w:tc>
        <w:tc>
          <w:tcPr>
            <w:tcW w:w="0" w:type="auto"/>
            <w:gridSpan w:val="3"/>
            <w:shd w:val="clear" w:color="auto" w:fill="auto"/>
            <w:vAlign w:val="bottom"/>
          </w:tcPr>
          <w:p w14:paraId="5F2CEAB3" w14:textId="77777777" w:rsidR="00E836FB" w:rsidRDefault="00E836FB">
            <w:pPr>
              <w:rPr>
                <w:rFonts w:ascii="宋体"/>
                <w:vanish/>
              </w:rPr>
            </w:pPr>
          </w:p>
        </w:tc>
        <w:tc>
          <w:tcPr>
            <w:tcW w:w="0" w:type="auto"/>
            <w:gridSpan w:val="3"/>
            <w:shd w:val="clear" w:color="auto" w:fill="auto"/>
            <w:vAlign w:val="bottom"/>
          </w:tcPr>
          <w:p w14:paraId="5F2CEAB4" w14:textId="77777777" w:rsidR="00E836FB" w:rsidRDefault="00E836FB">
            <w:pPr>
              <w:rPr>
                <w:rFonts w:ascii="宋体"/>
                <w:vanish/>
              </w:rPr>
            </w:pPr>
          </w:p>
        </w:tc>
        <w:tc>
          <w:tcPr>
            <w:tcW w:w="0" w:type="auto"/>
            <w:gridSpan w:val="3"/>
            <w:shd w:val="clear" w:color="auto" w:fill="auto"/>
            <w:vAlign w:val="bottom"/>
          </w:tcPr>
          <w:p w14:paraId="5F2CEAB5" w14:textId="77777777" w:rsidR="00E836FB" w:rsidRDefault="00E836FB">
            <w:pPr>
              <w:rPr>
                <w:rFonts w:ascii="宋体"/>
                <w:vanish/>
              </w:rPr>
            </w:pPr>
          </w:p>
        </w:tc>
        <w:tc>
          <w:tcPr>
            <w:tcW w:w="0" w:type="auto"/>
            <w:gridSpan w:val="3"/>
            <w:shd w:val="clear" w:color="auto" w:fill="auto"/>
            <w:vAlign w:val="bottom"/>
          </w:tcPr>
          <w:p w14:paraId="5F2CEAB6" w14:textId="77777777" w:rsidR="00E836FB" w:rsidRDefault="00E836FB">
            <w:pPr>
              <w:rPr>
                <w:rFonts w:ascii="宋体"/>
                <w:vanish/>
              </w:rPr>
            </w:pPr>
          </w:p>
        </w:tc>
        <w:tc>
          <w:tcPr>
            <w:tcW w:w="0" w:type="auto"/>
            <w:gridSpan w:val="3"/>
            <w:shd w:val="clear" w:color="auto" w:fill="auto"/>
            <w:vAlign w:val="bottom"/>
          </w:tcPr>
          <w:p w14:paraId="5F2CEAB7" w14:textId="77777777" w:rsidR="00E836FB" w:rsidRDefault="00E836FB">
            <w:pPr>
              <w:rPr>
                <w:rFonts w:ascii="宋体"/>
                <w:vanish/>
              </w:rPr>
            </w:pPr>
          </w:p>
        </w:tc>
        <w:tc>
          <w:tcPr>
            <w:tcW w:w="0" w:type="auto"/>
            <w:gridSpan w:val="3"/>
            <w:shd w:val="clear" w:color="auto" w:fill="auto"/>
            <w:vAlign w:val="bottom"/>
          </w:tcPr>
          <w:p w14:paraId="5F2CEAB8" w14:textId="77777777" w:rsidR="00E836FB" w:rsidRDefault="00E836FB">
            <w:pPr>
              <w:rPr>
                <w:rFonts w:ascii="宋体"/>
                <w:vanish/>
              </w:rPr>
            </w:pPr>
          </w:p>
        </w:tc>
        <w:tc>
          <w:tcPr>
            <w:tcW w:w="0" w:type="auto"/>
            <w:shd w:val="clear" w:color="auto" w:fill="auto"/>
            <w:vAlign w:val="bottom"/>
          </w:tcPr>
          <w:p w14:paraId="5F2CEAB9" w14:textId="77777777" w:rsidR="00E836FB" w:rsidRDefault="00E836FB">
            <w:pPr>
              <w:rPr>
                <w:rFonts w:ascii="宋体"/>
              </w:rPr>
            </w:pPr>
          </w:p>
        </w:tc>
        <w:tc>
          <w:tcPr>
            <w:tcW w:w="0" w:type="auto"/>
            <w:shd w:val="clear" w:color="auto" w:fill="auto"/>
            <w:vAlign w:val="bottom"/>
          </w:tcPr>
          <w:p w14:paraId="5F2CEABA" w14:textId="77777777" w:rsidR="00E836FB" w:rsidRDefault="00E836FB">
            <w:pPr>
              <w:rPr>
                <w:rFonts w:ascii="宋体"/>
              </w:rPr>
            </w:pPr>
          </w:p>
        </w:tc>
        <w:tc>
          <w:tcPr>
            <w:tcW w:w="0" w:type="auto"/>
            <w:shd w:val="clear" w:color="auto" w:fill="auto"/>
            <w:vAlign w:val="bottom"/>
          </w:tcPr>
          <w:p w14:paraId="5F2CEABB" w14:textId="77777777" w:rsidR="00E836FB" w:rsidRDefault="00E836FB">
            <w:pPr>
              <w:rPr>
                <w:rFonts w:ascii="宋体"/>
              </w:rPr>
            </w:pPr>
          </w:p>
        </w:tc>
        <w:tc>
          <w:tcPr>
            <w:tcW w:w="0" w:type="auto"/>
            <w:shd w:val="clear" w:color="auto" w:fill="auto"/>
            <w:vAlign w:val="bottom"/>
          </w:tcPr>
          <w:p w14:paraId="5F2CEABC" w14:textId="77777777" w:rsidR="00E836FB" w:rsidRDefault="00E836FB">
            <w:pPr>
              <w:rPr>
                <w:rFonts w:ascii="宋体"/>
              </w:rPr>
            </w:pPr>
          </w:p>
        </w:tc>
        <w:tc>
          <w:tcPr>
            <w:tcW w:w="0" w:type="auto"/>
            <w:shd w:val="clear" w:color="auto" w:fill="auto"/>
            <w:vAlign w:val="bottom"/>
          </w:tcPr>
          <w:p w14:paraId="5F2CEABD" w14:textId="77777777" w:rsidR="00E836FB" w:rsidRDefault="00E836FB">
            <w:pPr>
              <w:rPr>
                <w:rFonts w:ascii="宋体"/>
              </w:rPr>
            </w:pPr>
          </w:p>
        </w:tc>
        <w:tc>
          <w:tcPr>
            <w:tcW w:w="0" w:type="auto"/>
            <w:shd w:val="clear" w:color="auto" w:fill="auto"/>
            <w:vAlign w:val="bottom"/>
          </w:tcPr>
          <w:p w14:paraId="5F2CEABE" w14:textId="77777777" w:rsidR="00E836FB" w:rsidRDefault="00E836FB">
            <w:pPr>
              <w:rPr>
                <w:rFonts w:ascii="宋体"/>
              </w:rPr>
            </w:pPr>
          </w:p>
        </w:tc>
        <w:tc>
          <w:tcPr>
            <w:tcW w:w="0" w:type="auto"/>
            <w:shd w:val="clear" w:color="auto" w:fill="auto"/>
            <w:vAlign w:val="bottom"/>
          </w:tcPr>
          <w:p w14:paraId="5F2CEABF" w14:textId="77777777" w:rsidR="00E836FB" w:rsidRDefault="00E836FB">
            <w:pPr>
              <w:rPr>
                <w:rFonts w:ascii="宋体"/>
              </w:rPr>
            </w:pPr>
          </w:p>
        </w:tc>
        <w:tc>
          <w:tcPr>
            <w:tcW w:w="0" w:type="auto"/>
            <w:shd w:val="clear" w:color="auto" w:fill="auto"/>
            <w:vAlign w:val="bottom"/>
          </w:tcPr>
          <w:p w14:paraId="5F2CEAC0" w14:textId="77777777" w:rsidR="00E836FB" w:rsidRDefault="00E836FB">
            <w:pPr>
              <w:rPr>
                <w:rFonts w:ascii="宋体"/>
              </w:rPr>
            </w:pPr>
          </w:p>
        </w:tc>
        <w:tc>
          <w:tcPr>
            <w:tcW w:w="0" w:type="auto"/>
            <w:shd w:val="clear" w:color="auto" w:fill="auto"/>
            <w:vAlign w:val="bottom"/>
          </w:tcPr>
          <w:p w14:paraId="5F2CEAC1" w14:textId="77777777" w:rsidR="00E836FB" w:rsidRDefault="00E836FB">
            <w:pPr>
              <w:rPr>
                <w:rFonts w:ascii="宋体"/>
              </w:rPr>
            </w:pPr>
          </w:p>
        </w:tc>
        <w:tc>
          <w:tcPr>
            <w:tcW w:w="0" w:type="auto"/>
            <w:shd w:val="clear" w:color="auto" w:fill="auto"/>
            <w:vAlign w:val="bottom"/>
          </w:tcPr>
          <w:p w14:paraId="5F2CEAC2" w14:textId="77777777" w:rsidR="00E836FB" w:rsidRDefault="00E836FB">
            <w:pPr>
              <w:rPr>
                <w:rFonts w:ascii="宋体"/>
              </w:rPr>
            </w:pPr>
          </w:p>
        </w:tc>
        <w:tc>
          <w:tcPr>
            <w:tcW w:w="0" w:type="auto"/>
            <w:shd w:val="clear" w:color="auto" w:fill="auto"/>
            <w:vAlign w:val="bottom"/>
          </w:tcPr>
          <w:p w14:paraId="5F2CEAC3" w14:textId="77777777" w:rsidR="00E836FB" w:rsidRDefault="00E836FB">
            <w:pPr>
              <w:rPr>
                <w:rFonts w:ascii="宋体"/>
              </w:rPr>
            </w:pPr>
          </w:p>
        </w:tc>
        <w:tc>
          <w:tcPr>
            <w:tcW w:w="0" w:type="auto"/>
            <w:shd w:val="clear" w:color="auto" w:fill="auto"/>
            <w:vAlign w:val="bottom"/>
          </w:tcPr>
          <w:p w14:paraId="5F2CEAC4" w14:textId="77777777" w:rsidR="00E836FB" w:rsidRDefault="00E836FB">
            <w:pPr>
              <w:rPr>
                <w:rFonts w:ascii="宋体"/>
              </w:rPr>
            </w:pPr>
          </w:p>
        </w:tc>
        <w:tc>
          <w:tcPr>
            <w:tcW w:w="0" w:type="auto"/>
            <w:shd w:val="clear" w:color="auto" w:fill="auto"/>
            <w:vAlign w:val="bottom"/>
          </w:tcPr>
          <w:p w14:paraId="5F2CEAC5" w14:textId="77777777" w:rsidR="00E836FB" w:rsidRDefault="00E836FB">
            <w:pPr>
              <w:rPr>
                <w:rFonts w:ascii="宋体"/>
              </w:rPr>
            </w:pPr>
          </w:p>
        </w:tc>
        <w:tc>
          <w:tcPr>
            <w:tcW w:w="0" w:type="auto"/>
            <w:shd w:val="clear" w:color="auto" w:fill="auto"/>
            <w:vAlign w:val="bottom"/>
          </w:tcPr>
          <w:p w14:paraId="5F2CEAC6" w14:textId="77777777" w:rsidR="00E836FB" w:rsidRDefault="00E836FB">
            <w:pPr>
              <w:rPr>
                <w:rFonts w:ascii="宋体"/>
              </w:rPr>
            </w:pPr>
          </w:p>
        </w:tc>
        <w:tc>
          <w:tcPr>
            <w:tcW w:w="0" w:type="auto"/>
            <w:shd w:val="clear" w:color="auto" w:fill="auto"/>
            <w:vAlign w:val="bottom"/>
          </w:tcPr>
          <w:p w14:paraId="5F2CEAC7" w14:textId="77777777" w:rsidR="00E836FB" w:rsidRDefault="00E836FB">
            <w:pPr>
              <w:rPr>
                <w:rFonts w:ascii="宋体"/>
              </w:rPr>
            </w:pPr>
          </w:p>
        </w:tc>
        <w:tc>
          <w:tcPr>
            <w:tcW w:w="0" w:type="auto"/>
            <w:shd w:val="clear" w:color="auto" w:fill="auto"/>
            <w:vAlign w:val="bottom"/>
          </w:tcPr>
          <w:p w14:paraId="5F2CEAC8" w14:textId="77777777" w:rsidR="00E836FB" w:rsidRDefault="00E836FB">
            <w:pPr>
              <w:rPr>
                <w:rFonts w:ascii="宋体"/>
              </w:rPr>
            </w:pPr>
          </w:p>
        </w:tc>
        <w:tc>
          <w:tcPr>
            <w:tcW w:w="0" w:type="auto"/>
            <w:shd w:val="clear" w:color="auto" w:fill="auto"/>
            <w:vAlign w:val="bottom"/>
          </w:tcPr>
          <w:p w14:paraId="5F2CEAC9" w14:textId="77777777" w:rsidR="00E836FB" w:rsidRDefault="00E836FB">
            <w:pPr>
              <w:rPr>
                <w:rFonts w:ascii="宋体"/>
              </w:rPr>
            </w:pPr>
          </w:p>
        </w:tc>
        <w:tc>
          <w:tcPr>
            <w:tcW w:w="0" w:type="auto"/>
            <w:shd w:val="clear" w:color="auto" w:fill="auto"/>
            <w:vAlign w:val="bottom"/>
          </w:tcPr>
          <w:p w14:paraId="5F2CEACA" w14:textId="77777777" w:rsidR="00E836FB" w:rsidRDefault="00E836FB">
            <w:pPr>
              <w:rPr>
                <w:rFonts w:ascii="宋体"/>
              </w:rPr>
            </w:pPr>
          </w:p>
        </w:tc>
        <w:tc>
          <w:tcPr>
            <w:tcW w:w="0" w:type="auto"/>
            <w:shd w:val="clear" w:color="auto" w:fill="auto"/>
            <w:vAlign w:val="bottom"/>
          </w:tcPr>
          <w:p w14:paraId="5F2CEACB" w14:textId="77777777" w:rsidR="00E836FB" w:rsidRDefault="00E836FB">
            <w:pPr>
              <w:rPr>
                <w:rFonts w:ascii="宋体"/>
              </w:rPr>
            </w:pPr>
          </w:p>
        </w:tc>
        <w:tc>
          <w:tcPr>
            <w:tcW w:w="0" w:type="auto"/>
            <w:shd w:val="clear" w:color="auto" w:fill="auto"/>
            <w:vAlign w:val="bottom"/>
          </w:tcPr>
          <w:p w14:paraId="5F2CEACC" w14:textId="77777777" w:rsidR="00E836FB" w:rsidRDefault="00E836FB">
            <w:pPr>
              <w:rPr>
                <w:rFonts w:ascii="宋体"/>
              </w:rPr>
            </w:pPr>
          </w:p>
        </w:tc>
        <w:tc>
          <w:tcPr>
            <w:tcW w:w="0" w:type="auto"/>
            <w:shd w:val="clear" w:color="auto" w:fill="auto"/>
            <w:vAlign w:val="bottom"/>
          </w:tcPr>
          <w:p w14:paraId="5F2CEACD" w14:textId="77777777" w:rsidR="00E836FB" w:rsidRDefault="00E836FB">
            <w:pPr>
              <w:rPr>
                <w:rFonts w:ascii="宋体"/>
              </w:rPr>
            </w:pPr>
          </w:p>
        </w:tc>
        <w:tc>
          <w:tcPr>
            <w:tcW w:w="0" w:type="auto"/>
            <w:shd w:val="clear" w:color="auto" w:fill="auto"/>
            <w:vAlign w:val="bottom"/>
          </w:tcPr>
          <w:p w14:paraId="5F2CEACE" w14:textId="77777777" w:rsidR="00E836FB" w:rsidRDefault="00E836FB">
            <w:pPr>
              <w:rPr>
                <w:rFonts w:ascii="宋体"/>
              </w:rPr>
            </w:pPr>
          </w:p>
        </w:tc>
        <w:tc>
          <w:tcPr>
            <w:tcW w:w="0" w:type="auto"/>
            <w:shd w:val="clear" w:color="auto" w:fill="auto"/>
            <w:vAlign w:val="bottom"/>
          </w:tcPr>
          <w:p w14:paraId="5F2CEACF" w14:textId="77777777" w:rsidR="00E836FB" w:rsidRDefault="00E836FB">
            <w:pPr>
              <w:rPr>
                <w:rFonts w:ascii="宋体"/>
              </w:rPr>
            </w:pPr>
          </w:p>
        </w:tc>
        <w:tc>
          <w:tcPr>
            <w:tcW w:w="0" w:type="auto"/>
            <w:shd w:val="clear" w:color="auto" w:fill="auto"/>
            <w:vAlign w:val="bottom"/>
          </w:tcPr>
          <w:p w14:paraId="5F2CEAD0" w14:textId="77777777" w:rsidR="00E836FB" w:rsidRDefault="00E836FB">
            <w:pPr>
              <w:rPr>
                <w:rFonts w:ascii="宋体"/>
              </w:rPr>
            </w:pPr>
          </w:p>
        </w:tc>
      </w:tr>
      <w:tr w:rsidR="00E836FB" w14:paraId="5F2CEAE2" w14:textId="77777777">
        <w:trPr>
          <w:hidden/>
        </w:trPr>
        <w:tc>
          <w:tcPr>
            <w:tcW w:w="0" w:type="auto"/>
            <w:gridSpan w:val="3"/>
            <w:shd w:val="clear" w:color="auto" w:fill="auto"/>
            <w:vAlign w:val="bottom"/>
          </w:tcPr>
          <w:p w14:paraId="5F2CEAD2" w14:textId="77777777" w:rsidR="00E836FB" w:rsidRDefault="00E836FB">
            <w:pPr>
              <w:rPr>
                <w:rFonts w:ascii="宋体"/>
                <w:vanish/>
              </w:rPr>
            </w:pPr>
          </w:p>
        </w:tc>
        <w:tc>
          <w:tcPr>
            <w:tcW w:w="0" w:type="auto"/>
            <w:gridSpan w:val="3"/>
            <w:shd w:val="clear" w:color="auto" w:fill="auto"/>
            <w:vAlign w:val="bottom"/>
          </w:tcPr>
          <w:p w14:paraId="5F2CEAD3" w14:textId="77777777" w:rsidR="00E836FB" w:rsidRDefault="00E836FB">
            <w:pPr>
              <w:rPr>
                <w:rFonts w:ascii="宋体"/>
                <w:vanish/>
              </w:rPr>
            </w:pPr>
          </w:p>
        </w:tc>
        <w:tc>
          <w:tcPr>
            <w:tcW w:w="0" w:type="auto"/>
            <w:gridSpan w:val="3"/>
            <w:shd w:val="clear" w:color="auto" w:fill="auto"/>
            <w:vAlign w:val="bottom"/>
          </w:tcPr>
          <w:p w14:paraId="5F2CEAD4" w14:textId="77777777" w:rsidR="00E836FB" w:rsidRDefault="00E836FB">
            <w:pPr>
              <w:rPr>
                <w:rFonts w:ascii="宋体"/>
                <w:vanish/>
              </w:rPr>
            </w:pPr>
          </w:p>
        </w:tc>
        <w:tc>
          <w:tcPr>
            <w:tcW w:w="0" w:type="auto"/>
            <w:gridSpan w:val="3"/>
            <w:shd w:val="clear" w:color="auto" w:fill="auto"/>
            <w:vAlign w:val="bottom"/>
          </w:tcPr>
          <w:p w14:paraId="5F2CEAD5" w14:textId="77777777" w:rsidR="00E836FB" w:rsidRDefault="00E836FB">
            <w:pPr>
              <w:rPr>
                <w:rFonts w:ascii="宋体"/>
                <w:vanish/>
              </w:rPr>
            </w:pPr>
          </w:p>
        </w:tc>
        <w:tc>
          <w:tcPr>
            <w:tcW w:w="0" w:type="auto"/>
            <w:gridSpan w:val="3"/>
            <w:shd w:val="clear" w:color="auto" w:fill="auto"/>
            <w:vAlign w:val="bottom"/>
          </w:tcPr>
          <w:p w14:paraId="5F2CEAD6" w14:textId="77777777" w:rsidR="00E836FB" w:rsidRDefault="00E836FB">
            <w:pPr>
              <w:rPr>
                <w:rFonts w:ascii="宋体"/>
                <w:vanish/>
              </w:rPr>
            </w:pPr>
          </w:p>
        </w:tc>
        <w:tc>
          <w:tcPr>
            <w:tcW w:w="0" w:type="auto"/>
            <w:gridSpan w:val="3"/>
            <w:shd w:val="clear" w:color="auto" w:fill="auto"/>
            <w:vAlign w:val="bottom"/>
          </w:tcPr>
          <w:p w14:paraId="5F2CEAD7" w14:textId="77777777" w:rsidR="00E836FB" w:rsidRDefault="00E836FB">
            <w:pPr>
              <w:rPr>
                <w:rFonts w:ascii="宋体"/>
                <w:vanish/>
              </w:rPr>
            </w:pPr>
          </w:p>
        </w:tc>
        <w:tc>
          <w:tcPr>
            <w:tcW w:w="0" w:type="auto"/>
            <w:gridSpan w:val="3"/>
            <w:shd w:val="clear" w:color="auto" w:fill="auto"/>
            <w:vAlign w:val="bottom"/>
          </w:tcPr>
          <w:p w14:paraId="5F2CEAD8" w14:textId="77777777" w:rsidR="00E836FB" w:rsidRDefault="00E836FB">
            <w:pPr>
              <w:rPr>
                <w:rFonts w:ascii="宋体"/>
                <w:vanish/>
              </w:rPr>
            </w:pPr>
          </w:p>
        </w:tc>
        <w:tc>
          <w:tcPr>
            <w:tcW w:w="0" w:type="auto"/>
            <w:gridSpan w:val="3"/>
            <w:shd w:val="clear" w:color="auto" w:fill="auto"/>
            <w:vAlign w:val="bottom"/>
          </w:tcPr>
          <w:p w14:paraId="5F2CEAD9" w14:textId="77777777" w:rsidR="00E836FB" w:rsidRDefault="00E836FB">
            <w:pPr>
              <w:rPr>
                <w:rFonts w:ascii="宋体"/>
                <w:vanish/>
              </w:rPr>
            </w:pPr>
          </w:p>
        </w:tc>
        <w:tc>
          <w:tcPr>
            <w:tcW w:w="0" w:type="auto"/>
            <w:gridSpan w:val="3"/>
            <w:shd w:val="clear" w:color="auto" w:fill="auto"/>
            <w:vAlign w:val="bottom"/>
          </w:tcPr>
          <w:p w14:paraId="5F2CEADA" w14:textId="77777777" w:rsidR="00E836FB" w:rsidRDefault="00E836FB">
            <w:pPr>
              <w:rPr>
                <w:rFonts w:ascii="宋体"/>
                <w:vanish/>
              </w:rPr>
            </w:pPr>
          </w:p>
        </w:tc>
        <w:tc>
          <w:tcPr>
            <w:tcW w:w="0" w:type="auto"/>
            <w:gridSpan w:val="3"/>
            <w:shd w:val="clear" w:color="auto" w:fill="auto"/>
            <w:vAlign w:val="bottom"/>
          </w:tcPr>
          <w:p w14:paraId="5F2CEADB" w14:textId="77777777" w:rsidR="00E836FB" w:rsidRDefault="00E836FB">
            <w:pPr>
              <w:rPr>
                <w:rFonts w:ascii="宋体"/>
                <w:vanish/>
              </w:rPr>
            </w:pPr>
          </w:p>
        </w:tc>
        <w:tc>
          <w:tcPr>
            <w:tcW w:w="0" w:type="auto"/>
            <w:gridSpan w:val="3"/>
            <w:shd w:val="clear" w:color="auto" w:fill="auto"/>
            <w:vAlign w:val="bottom"/>
          </w:tcPr>
          <w:p w14:paraId="5F2CEADC" w14:textId="77777777" w:rsidR="00E836FB" w:rsidRDefault="00E836FB">
            <w:pPr>
              <w:rPr>
                <w:rFonts w:ascii="宋体"/>
                <w:vanish/>
              </w:rPr>
            </w:pPr>
          </w:p>
        </w:tc>
        <w:tc>
          <w:tcPr>
            <w:tcW w:w="0" w:type="auto"/>
            <w:gridSpan w:val="3"/>
            <w:shd w:val="clear" w:color="auto" w:fill="auto"/>
            <w:vAlign w:val="bottom"/>
          </w:tcPr>
          <w:p w14:paraId="5F2CEADD" w14:textId="77777777" w:rsidR="00E836FB" w:rsidRDefault="00E836FB">
            <w:pPr>
              <w:rPr>
                <w:rFonts w:ascii="宋体"/>
                <w:vanish/>
              </w:rPr>
            </w:pPr>
          </w:p>
        </w:tc>
        <w:tc>
          <w:tcPr>
            <w:tcW w:w="0" w:type="auto"/>
            <w:gridSpan w:val="3"/>
            <w:shd w:val="clear" w:color="auto" w:fill="auto"/>
            <w:vAlign w:val="bottom"/>
          </w:tcPr>
          <w:p w14:paraId="5F2CEADE" w14:textId="77777777" w:rsidR="00E836FB" w:rsidRDefault="00E836FB">
            <w:pPr>
              <w:rPr>
                <w:rFonts w:ascii="宋体"/>
                <w:vanish/>
              </w:rPr>
            </w:pPr>
          </w:p>
        </w:tc>
        <w:tc>
          <w:tcPr>
            <w:tcW w:w="0" w:type="auto"/>
            <w:gridSpan w:val="3"/>
            <w:shd w:val="clear" w:color="auto" w:fill="auto"/>
            <w:vAlign w:val="bottom"/>
          </w:tcPr>
          <w:p w14:paraId="5F2CEADF" w14:textId="77777777" w:rsidR="00E836FB" w:rsidRDefault="00E836FB">
            <w:pPr>
              <w:rPr>
                <w:rFonts w:ascii="宋体"/>
                <w:vanish/>
              </w:rPr>
            </w:pPr>
          </w:p>
        </w:tc>
        <w:tc>
          <w:tcPr>
            <w:tcW w:w="0" w:type="auto"/>
            <w:gridSpan w:val="3"/>
            <w:shd w:val="clear" w:color="auto" w:fill="auto"/>
            <w:vAlign w:val="bottom"/>
          </w:tcPr>
          <w:p w14:paraId="5F2CEAE0" w14:textId="77777777" w:rsidR="00E836FB" w:rsidRDefault="00E836FB">
            <w:pPr>
              <w:rPr>
                <w:rFonts w:ascii="宋体"/>
                <w:vanish/>
              </w:rPr>
            </w:pPr>
          </w:p>
        </w:tc>
        <w:tc>
          <w:tcPr>
            <w:tcW w:w="0" w:type="auto"/>
            <w:gridSpan w:val="3"/>
            <w:shd w:val="clear" w:color="auto" w:fill="auto"/>
            <w:vAlign w:val="bottom"/>
          </w:tcPr>
          <w:p w14:paraId="5F2CEAE1" w14:textId="77777777" w:rsidR="00E836FB" w:rsidRDefault="00E836FB">
            <w:pPr>
              <w:rPr>
                <w:rFonts w:ascii="宋体"/>
                <w:vanish/>
              </w:rPr>
            </w:pPr>
          </w:p>
        </w:tc>
      </w:tr>
      <w:tr w:rsidR="00E836FB" w14:paraId="5F2CEAF3" w14:textId="77777777">
        <w:trPr>
          <w:hidden/>
        </w:trPr>
        <w:tc>
          <w:tcPr>
            <w:tcW w:w="0" w:type="auto"/>
            <w:gridSpan w:val="3"/>
            <w:shd w:val="clear" w:color="auto" w:fill="auto"/>
            <w:vAlign w:val="bottom"/>
          </w:tcPr>
          <w:p w14:paraId="5F2CEAE3" w14:textId="77777777" w:rsidR="00E836FB" w:rsidRDefault="00E836FB">
            <w:pPr>
              <w:rPr>
                <w:rFonts w:ascii="宋体"/>
                <w:vanish/>
              </w:rPr>
            </w:pPr>
          </w:p>
        </w:tc>
        <w:tc>
          <w:tcPr>
            <w:tcW w:w="0" w:type="auto"/>
            <w:gridSpan w:val="3"/>
            <w:shd w:val="clear" w:color="auto" w:fill="auto"/>
            <w:vAlign w:val="bottom"/>
          </w:tcPr>
          <w:p w14:paraId="5F2CEAE4" w14:textId="77777777" w:rsidR="00E836FB" w:rsidRDefault="00E836FB">
            <w:pPr>
              <w:rPr>
                <w:rFonts w:ascii="宋体"/>
                <w:vanish/>
              </w:rPr>
            </w:pPr>
          </w:p>
        </w:tc>
        <w:tc>
          <w:tcPr>
            <w:tcW w:w="0" w:type="auto"/>
            <w:gridSpan w:val="3"/>
            <w:shd w:val="clear" w:color="auto" w:fill="auto"/>
            <w:vAlign w:val="bottom"/>
          </w:tcPr>
          <w:p w14:paraId="5F2CEAE5" w14:textId="77777777" w:rsidR="00E836FB" w:rsidRDefault="00E836FB">
            <w:pPr>
              <w:rPr>
                <w:rFonts w:ascii="宋体"/>
                <w:vanish/>
              </w:rPr>
            </w:pPr>
          </w:p>
        </w:tc>
        <w:tc>
          <w:tcPr>
            <w:tcW w:w="0" w:type="auto"/>
            <w:gridSpan w:val="3"/>
            <w:shd w:val="clear" w:color="auto" w:fill="auto"/>
            <w:vAlign w:val="bottom"/>
          </w:tcPr>
          <w:p w14:paraId="5F2CEAE6" w14:textId="77777777" w:rsidR="00E836FB" w:rsidRDefault="00E836FB">
            <w:pPr>
              <w:rPr>
                <w:rFonts w:ascii="宋体"/>
                <w:vanish/>
              </w:rPr>
            </w:pPr>
          </w:p>
        </w:tc>
        <w:tc>
          <w:tcPr>
            <w:tcW w:w="0" w:type="auto"/>
            <w:gridSpan w:val="3"/>
            <w:shd w:val="clear" w:color="auto" w:fill="auto"/>
            <w:vAlign w:val="bottom"/>
          </w:tcPr>
          <w:p w14:paraId="5F2CEAE7" w14:textId="77777777" w:rsidR="00E836FB" w:rsidRDefault="00E836FB">
            <w:pPr>
              <w:rPr>
                <w:rFonts w:ascii="宋体"/>
                <w:vanish/>
              </w:rPr>
            </w:pPr>
          </w:p>
        </w:tc>
        <w:tc>
          <w:tcPr>
            <w:tcW w:w="0" w:type="auto"/>
            <w:gridSpan w:val="3"/>
            <w:shd w:val="clear" w:color="auto" w:fill="auto"/>
            <w:vAlign w:val="bottom"/>
          </w:tcPr>
          <w:p w14:paraId="5F2CEAE8" w14:textId="77777777" w:rsidR="00E836FB" w:rsidRDefault="00E836FB">
            <w:pPr>
              <w:rPr>
                <w:rFonts w:ascii="宋体"/>
                <w:vanish/>
              </w:rPr>
            </w:pPr>
          </w:p>
        </w:tc>
        <w:tc>
          <w:tcPr>
            <w:tcW w:w="0" w:type="auto"/>
            <w:gridSpan w:val="3"/>
            <w:shd w:val="clear" w:color="auto" w:fill="auto"/>
            <w:vAlign w:val="bottom"/>
          </w:tcPr>
          <w:p w14:paraId="5F2CEAE9" w14:textId="77777777" w:rsidR="00E836FB" w:rsidRDefault="00E836FB">
            <w:pPr>
              <w:rPr>
                <w:rFonts w:ascii="宋体"/>
                <w:vanish/>
              </w:rPr>
            </w:pPr>
          </w:p>
        </w:tc>
        <w:tc>
          <w:tcPr>
            <w:tcW w:w="0" w:type="auto"/>
            <w:gridSpan w:val="3"/>
            <w:shd w:val="clear" w:color="auto" w:fill="auto"/>
            <w:vAlign w:val="bottom"/>
          </w:tcPr>
          <w:p w14:paraId="5F2CEAEA" w14:textId="77777777" w:rsidR="00E836FB" w:rsidRDefault="00E836FB">
            <w:pPr>
              <w:rPr>
                <w:rFonts w:ascii="宋体"/>
                <w:vanish/>
              </w:rPr>
            </w:pPr>
          </w:p>
        </w:tc>
        <w:tc>
          <w:tcPr>
            <w:tcW w:w="0" w:type="auto"/>
            <w:gridSpan w:val="3"/>
            <w:shd w:val="clear" w:color="auto" w:fill="auto"/>
            <w:vAlign w:val="bottom"/>
          </w:tcPr>
          <w:p w14:paraId="5F2CEAEB" w14:textId="77777777" w:rsidR="00E836FB" w:rsidRDefault="00E836FB">
            <w:pPr>
              <w:rPr>
                <w:rFonts w:ascii="宋体"/>
                <w:vanish/>
              </w:rPr>
            </w:pPr>
          </w:p>
        </w:tc>
        <w:tc>
          <w:tcPr>
            <w:tcW w:w="0" w:type="auto"/>
            <w:gridSpan w:val="3"/>
            <w:shd w:val="clear" w:color="auto" w:fill="auto"/>
            <w:vAlign w:val="bottom"/>
          </w:tcPr>
          <w:p w14:paraId="5F2CEAEC" w14:textId="77777777" w:rsidR="00E836FB" w:rsidRDefault="00E836FB">
            <w:pPr>
              <w:rPr>
                <w:rFonts w:ascii="宋体"/>
                <w:vanish/>
              </w:rPr>
            </w:pPr>
          </w:p>
        </w:tc>
        <w:tc>
          <w:tcPr>
            <w:tcW w:w="0" w:type="auto"/>
            <w:gridSpan w:val="3"/>
            <w:shd w:val="clear" w:color="auto" w:fill="auto"/>
            <w:vAlign w:val="bottom"/>
          </w:tcPr>
          <w:p w14:paraId="5F2CEAED" w14:textId="77777777" w:rsidR="00E836FB" w:rsidRDefault="00E836FB">
            <w:pPr>
              <w:rPr>
                <w:rFonts w:ascii="宋体"/>
                <w:vanish/>
              </w:rPr>
            </w:pPr>
          </w:p>
        </w:tc>
        <w:tc>
          <w:tcPr>
            <w:tcW w:w="0" w:type="auto"/>
            <w:gridSpan w:val="3"/>
            <w:shd w:val="clear" w:color="auto" w:fill="auto"/>
            <w:vAlign w:val="bottom"/>
          </w:tcPr>
          <w:p w14:paraId="5F2CEAEE" w14:textId="77777777" w:rsidR="00E836FB" w:rsidRDefault="00E836FB">
            <w:pPr>
              <w:rPr>
                <w:rFonts w:ascii="宋体"/>
                <w:vanish/>
              </w:rPr>
            </w:pPr>
          </w:p>
        </w:tc>
        <w:tc>
          <w:tcPr>
            <w:tcW w:w="0" w:type="auto"/>
            <w:gridSpan w:val="3"/>
            <w:shd w:val="clear" w:color="auto" w:fill="auto"/>
            <w:vAlign w:val="bottom"/>
          </w:tcPr>
          <w:p w14:paraId="5F2CEAEF" w14:textId="77777777" w:rsidR="00E836FB" w:rsidRDefault="00E836FB">
            <w:pPr>
              <w:rPr>
                <w:rFonts w:ascii="宋体"/>
                <w:vanish/>
              </w:rPr>
            </w:pPr>
          </w:p>
        </w:tc>
        <w:tc>
          <w:tcPr>
            <w:tcW w:w="0" w:type="auto"/>
            <w:gridSpan w:val="3"/>
            <w:shd w:val="clear" w:color="auto" w:fill="auto"/>
            <w:vAlign w:val="bottom"/>
          </w:tcPr>
          <w:p w14:paraId="5F2CEAF0" w14:textId="77777777" w:rsidR="00E836FB" w:rsidRDefault="00E836FB">
            <w:pPr>
              <w:rPr>
                <w:rFonts w:ascii="宋体"/>
                <w:vanish/>
              </w:rPr>
            </w:pPr>
          </w:p>
        </w:tc>
        <w:tc>
          <w:tcPr>
            <w:tcW w:w="0" w:type="auto"/>
            <w:gridSpan w:val="3"/>
            <w:shd w:val="clear" w:color="auto" w:fill="auto"/>
            <w:vAlign w:val="bottom"/>
          </w:tcPr>
          <w:p w14:paraId="5F2CEAF1" w14:textId="77777777" w:rsidR="00E836FB" w:rsidRDefault="00E836FB">
            <w:pPr>
              <w:rPr>
                <w:rFonts w:ascii="宋体"/>
                <w:vanish/>
              </w:rPr>
            </w:pPr>
          </w:p>
        </w:tc>
        <w:tc>
          <w:tcPr>
            <w:tcW w:w="0" w:type="auto"/>
            <w:gridSpan w:val="3"/>
            <w:shd w:val="clear" w:color="auto" w:fill="auto"/>
            <w:vAlign w:val="bottom"/>
          </w:tcPr>
          <w:p w14:paraId="5F2CEAF2" w14:textId="77777777" w:rsidR="00E836FB" w:rsidRDefault="00E836FB">
            <w:pPr>
              <w:rPr>
                <w:rFonts w:ascii="宋体"/>
                <w:vanish/>
              </w:rPr>
            </w:pPr>
          </w:p>
        </w:tc>
      </w:tr>
      <w:tr w:rsidR="00E836FB" w14:paraId="5F2CEB10" w14:textId="77777777">
        <w:trPr>
          <w:hidden/>
        </w:trPr>
        <w:tc>
          <w:tcPr>
            <w:tcW w:w="0" w:type="auto"/>
            <w:gridSpan w:val="3"/>
            <w:shd w:val="clear" w:color="auto" w:fill="auto"/>
            <w:vAlign w:val="bottom"/>
          </w:tcPr>
          <w:p w14:paraId="5F2CEAF4" w14:textId="77777777" w:rsidR="00E836FB" w:rsidRDefault="00E836FB">
            <w:pPr>
              <w:rPr>
                <w:rFonts w:ascii="宋体"/>
                <w:vanish/>
              </w:rPr>
            </w:pPr>
          </w:p>
        </w:tc>
        <w:tc>
          <w:tcPr>
            <w:tcW w:w="0" w:type="auto"/>
            <w:gridSpan w:val="3"/>
            <w:shd w:val="clear" w:color="auto" w:fill="auto"/>
            <w:vAlign w:val="bottom"/>
          </w:tcPr>
          <w:p w14:paraId="5F2CEAF5" w14:textId="77777777" w:rsidR="00E836FB" w:rsidRDefault="00E836FB">
            <w:pPr>
              <w:rPr>
                <w:rFonts w:ascii="宋体"/>
                <w:vanish/>
              </w:rPr>
            </w:pPr>
          </w:p>
        </w:tc>
        <w:tc>
          <w:tcPr>
            <w:tcW w:w="0" w:type="auto"/>
            <w:gridSpan w:val="3"/>
            <w:shd w:val="clear" w:color="auto" w:fill="auto"/>
            <w:vAlign w:val="bottom"/>
          </w:tcPr>
          <w:p w14:paraId="5F2CEAF6" w14:textId="77777777" w:rsidR="00E836FB" w:rsidRDefault="00E836FB">
            <w:pPr>
              <w:rPr>
                <w:rFonts w:ascii="宋体"/>
                <w:vanish/>
              </w:rPr>
            </w:pPr>
          </w:p>
        </w:tc>
        <w:tc>
          <w:tcPr>
            <w:tcW w:w="0" w:type="auto"/>
            <w:gridSpan w:val="3"/>
            <w:shd w:val="clear" w:color="auto" w:fill="auto"/>
            <w:vAlign w:val="bottom"/>
          </w:tcPr>
          <w:p w14:paraId="5F2CEAF7" w14:textId="77777777" w:rsidR="00E836FB" w:rsidRDefault="00E836FB">
            <w:pPr>
              <w:rPr>
                <w:rFonts w:ascii="宋体"/>
                <w:vanish/>
              </w:rPr>
            </w:pPr>
          </w:p>
        </w:tc>
        <w:tc>
          <w:tcPr>
            <w:tcW w:w="0" w:type="auto"/>
            <w:gridSpan w:val="3"/>
            <w:shd w:val="clear" w:color="auto" w:fill="auto"/>
            <w:vAlign w:val="bottom"/>
          </w:tcPr>
          <w:p w14:paraId="5F2CEAF8" w14:textId="77777777" w:rsidR="00E836FB" w:rsidRDefault="00E836FB">
            <w:pPr>
              <w:rPr>
                <w:rFonts w:ascii="宋体"/>
                <w:vanish/>
              </w:rPr>
            </w:pPr>
          </w:p>
        </w:tc>
        <w:tc>
          <w:tcPr>
            <w:tcW w:w="0" w:type="auto"/>
            <w:gridSpan w:val="3"/>
            <w:shd w:val="clear" w:color="auto" w:fill="auto"/>
            <w:vAlign w:val="bottom"/>
          </w:tcPr>
          <w:p w14:paraId="5F2CEAF9" w14:textId="77777777" w:rsidR="00E836FB" w:rsidRDefault="00E836FB">
            <w:pPr>
              <w:rPr>
                <w:rFonts w:ascii="宋体"/>
                <w:vanish/>
              </w:rPr>
            </w:pPr>
          </w:p>
        </w:tc>
        <w:tc>
          <w:tcPr>
            <w:tcW w:w="0" w:type="auto"/>
            <w:gridSpan w:val="3"/>
            <w:shd w:val="clear" w:color="auto" w:fill="auto"/>
            <w:vAlign w:val="bottom"/>
          </w:tcPr>
          <w:p w14:paraId="5F2CEAFA" w14:textId="77777777" w:rsidR="00E836FB" w:rsidRDefault="00E836FB">
            <w:pPr>
              <w:rPr>
                <w:rFonts w:ascii="宋体"/>
                <w:vanish/>
              </w:rPr>
            </w:pPr>
          </w:p>
        </w:tc>
        <w:tc>
          <w:tcPr>
            <w:tcW w:w="0" w:type="auto"/>
            <w:gridSpan w:val="3"/>
            <w:shd w:val="clear" w:color="auto" w:fill="auto"/>
            <w:vAlign w:val="bottom"/>
          </w:tcPr>
          <w:p w14:paraId="5F2CEAFB" w14:textId="77777777" w:rsidR="00E836FB" w:rsidRDefault="00E836FB">
            <w:pPr>
              <w:rPr>
                <w:rFonts w:ascii="宋体"/>
                <w:vanish/>
              </w:rPr>
            </w:pPr>
          </w:p>
        </w:tc>
        <w:tc>
          <w:tcPr>
            <w:tcW w:w="0" w:type="auto"/>
            <w:gridSpan w:val="3"/>
            <w:shd w:val="clear" w:color="auto" w:fill="auto"/>
            <w:vAlign w:val="bottom"/>
          </w:tcPr>
          <w:p w14:paraId="5F2CEAFC" w14:textId="77777777" w:rsidR="00E836FB" w:rsidRDefault="00E836FB">
            <w:pPr>
              <w:rPr>
                <w:rFonts w:ascii="宋体"/>
                <w:vanish/>
              </w:rPr>
            </w:pPr>
          </w:p>
        </w:tc>
        <w:tc>
          <w:tcPr>
            <w:tcW w:w="0" w:type="auto"/>
            <w:gridSpan w:val="3"/>
            <w:shd w:val="clear" w:color="auto" w:fill="auto"/>
            <w:vAlign w:val="bottom"/>
          </w:tcPr>
          <w:p w14:paraId="5F2CEAFD" w14:textId="77777777" w:rsidR="00E836FB" w:rsidRDefault="00E836FB">
            <w:pPr>
              <w:rPr>
                <w:rFonts w:ascii="宋体"/>
                <w:vanish/>
              </w:rPr>
            </w:pPr>
          </w:p>
        </w:tc>
        <w:tc>
          <w:tcPr>
            <w:tcW w:w="0" w:type="auto"/>
            <w:shd w:val="clear" w:color="auto" w:fill="auto"/>
            <w:vAlign w:val="bottom"/>
          </w:tcPr>
          <w:p w14:paraId="5F2CEAFE" w14:textId="77777777" w:rsidR="00E836FB" w:rsidRDefault="00E836FB">
            <w:pPr>
              <w:rPr>
                <w:rFonts w:ascii="宋体"/>
              </w:rPr>
            </w:pPr>
          </w:p>
        </w:tc>
        <w:tc>
          <w:tcPr>
            <w:tcW w:w="0" w:type="auto"/>
            <w:shd w:val="clear" w:color="auto" w:fill="auto"/>
            <w:vAlign w:val="bottom"/>
          </w:tcPr>
          <w:p w14:paraId="5F2CEAFF" w14:textId="77777777" w:rsidR="00E836FB" w:rsidRDefault="00E836FB">
            <w:pPr>
              <w:rPr>
                <w:rFonts w:ascii="宋体"/>
              </w:rPr>
            </w:pPr>
          </w:p>
        </w:tc>
        <w:tc>
          <w:tcPr>
            <w:tcW w:w="0" w:type="auto"/>
            <w:shd w:val="clear" w:color="auto" w:fill="auto"/>
            <w:vAlign w:val="bottom"/>
          </w:tcPr>
          <w:p w14:paraId="5F2CEB00" w14:textId="77777777" w:rsidR="00E836FB" w:rsidRDefault="00E836FB">
            <w:pPr>
              <w:rPr>
                <w:rFonts w:ascii="宋体"/>
              </w:rPr>
            </w:pPr>
          </w:p>
        </w:tc>
        <w:tc>
          <w:tcPr>
            <w:tcW w:w="0" w:type="auto"/>
            <w:shd w:val="clear" w:color="auto" w:fill="auto"/>
            <w:vAlign w:val="bottom"/>
          </w:tcPr>
          <w:p w14:paraId="5F2CEB01" w14:textId="77777777" w:rsidR="00E836FB" w:rsidRDefault="00E836FB">
            <w:pPr>
              <w:rPr>
                <w:rFonts w:ascii="宋体"/>
              </w:rPr>
            </w:pPr>
          </w:p>
        </w:tc>
        <w:tc>
          <w:tcPr>
            <w:tcW w:w="0" w:type="auto"/>
            <w:shd w:val="clear" w:color="auto" w:fill="auto"/>
            <w:vAlign w:val="bottom"/>
          </w:tcPr>
          <w:p w14:paraId="5F2CEB02" w14:textId="77777777" w:rsidR="00E836FB" w:rsidRDefault="00E836FB">
            <w:pPr>
              <w:rPr>
                <w:rFonts w:ascii="宋体"/>
              </w:rPr>
            </w:pPr>
          </w:p>
        </w:tc>
        <w:tc>
          <w:tcPr>
            <w:tcW w:w="0" w:type="auto"/>
            <w:shd w:val="clear" w:color="auto" w:fill="auto"/>
            <w:vAlign w:val="bottom"/>
          </w:tcPr>
          <w:p w14:paraId="5F2CEB03" w14:textId="77777777" w:rsidR="00E836FB" w:rsidRDefault="00E836FB">
            <w:pPr>
              <w:rPr>
                <w:rFonts w:ascii="宋体"/>
              </w:rPr>
            </w:pPr>
          </w:p>
        </w:tc>
        <w:tc>
          <w:tcPr>
            <w:tcW w:w="0" w:type="auto"/>
            <w:shd w:val="clear" w:color="auto" w:fill="auto"/>
            <w:vAlign w:val="bottom"/>
          </w:tcPr>
          <w:p w14:paraId="5F2CEB04" w14:textId="77777777" w:rsidR="00E836FB" w:rsidRDefault="00E836FB">
            <w:pPr>
              <w:rPr>
                <w:rFonts w:ascii="宋体"/>
              </w:rPr>
            </w:pPr>
          </w:p>
        </w:tc>
        <w:tc>
          <w:tcPr>
            <w:tcW w:w="0" w:type="auto"/>
            <w:shd w:val="clear" w:color="auto" w:fill="auto"/>
            <w:vAlign w:val="bottom"/>
          </w:tcPr>
          <w:p w14:paraId="5F2CEB05" w14:textId="77777777" w:rsidR="00E836FB" w:rsidRDefault="00E836FB">
            <w:pPr>
              <w:rPr>
                <w:rFonts w:ascii="宋体"/>
              </w:rPr>
            </w:pPr>
          </w:p>
        </w:tc>
        <w:tc>
          <w:tcPr>
            <w:tcW w:w="0" w:type="auto"/>
            <w:shd w:val="clear" w:color="auto" w:fill="auto"/>
            <w:vAlign w:val="bottom"/>
          </w:tcPr>
          <w:p w14:paraId="5F2CEB06" w14:textId="77777777" w:rsidR="00E836FB" w:rsidRDefault="00E836FB">
            <w:pPr>
              <w:rPr>
                <w:rFonts w:ascii="宋体"/>
              </w:rPr>
            </w:pPr>
          </w:p>
        </w:tc>
        <w:tc>
          <w:tcPr>
            <w:tcW w:w="0" w:type="auto"/>
            <w:shd w:val="clear" w:color="auto" w:fill="auto"/>
            <w:vAlign w:val="bottom"/>
          </w:tcPr>
          <w:p w14:paraId="5F2CEB07" w14:textId="77777777" w:rsidR="00E836FB" w:rsidRDefault="00E836FB">
            <w:pPr>
              <w:rPr>
                <w:rFonts w:ascii="宋体"/>
              </w:rPr>
            </w:pPr>
          </w:p>
        </w:tc>
        <w:tc>
          <w:tcPr>
            <w:tcW w:w="0" w:type="auto"/>
            <w:shd w:val="clear" w:color="auto" w:fill="auto"/>
            <w:vAlign w:val="bottom"/>
          </w:tcPr>
          <w:p w14:paraId="5F2CEB08" w14:textId="77777777" w:rsidR="00E836FB" w:rsidRDefault="00E836FB">
            <w:pPr>
              <w:rPr>
                <w:rFonts w:ascii="宋体"/>
              </w:rPr>
            </w:pPr>
          </w:p>
        </w:tc>
        <w:tc>
          <w:tcPr>
            <w:tcW w:w="0" w:type="auto"/>
            <w:shd w:val="clear" w:color="auto" w:fill="auto"/>
            <w:vAlign w:val="bottom"/>
          </w:tcPr>
          <w:p w14:paraId="5F2CEB09" w14:textId="77777777" w:rsidR="00E836FB" w:rsidRDefault="00E836FB">
            <w:pPr>
              <w:rPr>
                <w:rFonts w:ascii="宋体"/>
              </w:rPr>
            </w:pPr>
          </w:p>
        </w:tc>
        <w:tc>
          <w:tcPr>
            <w:tcW w:w="0" w:type="auto"/>
            <w:shd w:val="clear" w:color="auto" w:fill="auto"/>
            <w:vAlign w:val="bottom"/>
          </w:tcPr>
          <w:p w14:paraId="5F2CEB0A" w14:textId="77777777" w:rsidR="00E836FB" w:rsidRDefault="00E836FB">
            <w:pPr>
              <w:rPr>
                <w:rFonts w:ascii="宋体"/>
              </w:rPr>
            </w:pPr>
          </w:p>
        </w:tc>
        <w:tc>
          <w:tcPr>
            <w:tcW w:w="0" w:type="auto"/>
            <w:shd w:val="clear" w:color="auto" w:fill="auto"/>
            <w:vAlign w:val="bottom"/>
          </w:tcPr>
          <w:p w14:paraId="5F2CEB0B" w14:textId="77777777" w:rsidR="00E836FB" w:rsidRDefault="00E836FB">
            <w:pPr>
              <w:rPr>
                <w:rFonts w:ascii="宋体"/>
              </w:rPr>
            </w:pPr>
          </w:p>
        </w:tc>
        <w:tc>
          <w:tcPr>
            <w:tcW w:w="0" w:type="auto"/>
            <w:shd w:val="clear" w:color="auto" w:fill="auto"/>
            <w:vAlign w:val="bottom"/>
          </w:tcPr>
          <w:p w14:paraId="5F2CEB0C" w14:textId="77777777" w:rsidR="00E836FB" w:rsidRDefault="00E836FB">
            <w:pPr>
              <w:rPr>
                <w:rFonts w:ascii="宋体"/>
              </w:rPr>
            </w:pPr>
          </w:p>
        </w:tc>
        <w:tc>
          <w:tcPr>
            <w:tcW w:w="0" w:type="auto"/>
            <w:shd w:val="clear" w:color="auto" w:fill="auto"/>
            <w:vAlign w:val="bottom"/>
          </w:tcPr>
          <w:p w14:paraId="5F2CEB0D" w14:textId="77777777" w:rsidR="00E836FB" w:rsidRDefault="00E836FB">
            <w:pPr>
              <w:rPr>
                <w:rFonts w:ascii="宋体"/>
              </w:rPr>
            </w:pPr>
          </w:p>
        </w:tc>
        <w:tc>
          <w:tcPr>
            <w:tcW w:w="0" w:type="auto"/>
            <w:shd w:val="clear" w:color="auto" w:fill="auto"/>
            <w:vAlign w:val="bottom"/>
          </w:tcPr>
          <w:p w14:paraId="5F2CEB0E" w14:textId="77777777" w:rsidR="00E836FB" w:rsidRDefault="00E836FB">
            <w:pPr>
              <w:rPr>
                <w:rFonts w:ascii="宋体"/>
              </w:rPr>
            </w:pPr>
          </w:p>
        </w:tc>
        <w:tc>
          <w:tcPr>
            <w:tcW w:w="0" w:type="auto"/>
            <w:shd w:val="clear" w:color="auto" w:fill="auto"/>
            <w:vAlign w:val="bottom"/>
          </w:tcPr>
          <w:p w14:paraId="5F2CEB0F" w14:textId="77777777" w:rsidR="00E836FB" w:rsidRDefault="00E836FB">
            <w:pPr>
              <w:rPr>
                <w:rFonts w:ascii="宋体"/>
              </w:rPr>
            </w:pPr>
          </w:p>
        </w:tc>
      </w:tr>
      <w:tr w:rsidR="00E836FB" w14:paraId="5F2CEB29" w14:textId="77777777">
        <w:trPr>
          <w:hidden/>
        </w:trPr>
        <w:tc>
          <w:tcPr>
            <w:tcW w:w="0" w:type="auto"/>
            <w:gridSpan w:val="3"/>
            <w:shd w:val="clear" w:color="auto" w:fill="auto"/>
            <w:vAlign w:val="bottom"/>
          </w:tcPr>
          <w:p w14:paraId="5F2CEB11" w14:textId="77777777" w:rsidR="00E836FB" w:rsidRDefault="00E836FB">
            <w:pPr>
              <w:rPr>
                <w:rFonts w:ascii="宋体"/>
                <w:vanish/>
              </w:rPr>
            </w:pPr>
          </w:p>
        </w:tc>
        <w:tc>
          <w:tcPr>
            <w:tcW w:w="0" w:type="auto"/>
            <w:gridSpan w:val="3"/>
            <w:shd w:val="clear" w:color="auto" w:fill="auto"/>
            <w:vAlign w:val="bottom"/>
          </w:tcPr>
          <w:p w14:paraId="5F2CEB12" w14:textId="77777777" w:rsidR="00E836FB" w:rsidRDefault="00E836FB">
            <w:pPr>
              <w:rPr>
                <w:rFonts w:ascii="宋体"/>
                <w:vanish/>
              </w:rPr>
            </w:pPr>
          </w:p>
        </w:tc>
        <w:tc>
          <w:tcPr>
            <w:tcW w:w="0" w:type="auto"/>
            <w:gridSpan w:val="3"/>
            <w:shd w:val="clear" w:color="auto" w:fill="auto"/>
            <w:vAlign w:val="bottom"/>
          </w:tcPr>
          <w:p w14:paraId="5F2CEB13" w14:textId="77777777" w:rsidR="00E836FB" w:rsidRDefault="00E836FB">
            <w:pPr>
              <w:rPr>
                <w:rFonts w:ascii="宋体"/>
                <w:vanish/>
              </w:rPr>
            </w:pPr>
          </w:p>
        </w:tc>
        <w:tc>
          <w:tcPr>
            <w:tcW w:w="0" w:type="auto"/>
            <w:gridSpan w:val="3"/>
            <w:shd w:val="clear" w:color="auto" w:fill="auto"/>
            <w:vAlign w:val="bottom"/>
          </w:tcPr>
          <w:p w14:paraId="5F2CEB14" w14:textId="77777777" w:rsidR="00E836FB" w:rsidRDefault="00E836FB">
            <w:pPr>
              <w:rPr>
                <w:rFonts w:ascii="宋体"/>
                <w:vanish/>
              </w:rPr>
            </w:pPr>
          </w:p>
        </w:tc>
        <w:tc>
          <w:tcPr>
            <w:tcW w:w="0" w:type="auto"/>
            <w:gridSpan w:val="3"/>
            <w:shd w:val="clear" w:color="auto" w:fill="auto"/>
            <w:vAlign w:val="bottom"/>
          </w:tcPr>
          <w:p w14:paraId="5F2CEB15" w14:textId="77777777" w:rsidR="00E836FB" w:rsidRDefault="00E836FB">
            <w:pPr>
              <w:rPr>
                <w:rFonts w:ascii="宋体"/>
                <w:vanish/>
              </w:rPr>
            </w:pPr>
          </w:p>
        </w:tc>
        <w:tc>
          <w:tcPr>
            <w:tcW w:w="0" w:type="auto"/>
            <w:gridSpan w:val="3"/>
            <w:shd w:val="clear" w:color="auto" w:fill="auto"/>
            <w:vAlign w:val="bottom"/>
          </w:tcPr>
          <w:p w14:paraId="5F2CEB16" w14:textId="77777777" w:rsidR="00E836FB" w:rsidRDefault="00E836FB">
            <w:pPr>
              <w:rPr>
                <w:rFonts w:ascii="宋体"/>
                <w:vanish/>
              </w:rPr>
            </w:pPr>
          </w:p>
        </w:tc>
        <w:tc>
          <w:tcPr>
            <w:tcW w:w="0" w:type="auto"/>
            <w:gridSpan w:val="3"/>
            <w:shd w:val="clear" w:color="auto" w:fill="auto"/>
            <w:vAlign w:val="bottom"/>
          </w:tcPr>
          <w:p w14:paraId="5F2CEB17" w14:textId="77777777" w:rsidR="00E836FB" w:rsidRDefault="00E836FB">
            <w:pPr>
              <w:rPr>
                <w:rFonts w:ascii="宋体"/>
                <w:vanish/>
              </w:rPr>
            </w:pPr>
          </w:p>
        </w:tc>
        <w:tc>
          <w:tcPr>
            <w:tcW w:w="0" w:type="auto"/>
            <w:gridSpan w:val="3"/>
            <w:shd w:val="clear" w:color="auto" w:fill="auto"/>
            <w:vAlign w:val="bottom"/>
          </w:tcPr>
          <w:p w14:paraId="5F2CEB18" w14:textId="77777777" w:rsidR="00E836FB" w:rsidRDefault="00E836FB">
            <w:pPr>
              <w:rPr>
                <w:rFonts w:ascii="宋体"/>
                <w:vanish/>
              </w:rPr>
            </w:pPr>
          </w:p>
        </w:tc>
        <w:tc>
          <w:tcPr>
            <w:tcW w:w="0" w:type="auto"/>
            <w:gridSpan w:val="3"/>
            <w:shd w:val="clear" w:color="auto" w:fill="auto"/>
            <w:vAlign w:val="bottom"/>
          </w:tcPr>
          <w:p w14:paraId="5F2CEB19" w14:textId="77777777" w:rsidR="00E836FB" w:rsidRDefault="00E836FB">
            <w:pPr>
              <w:rPr>
                <w:rFonts w:ascii="宋体"/>
                <w:vanish/>
              </w:rPr>
            </w:pPr>
          </w:p>
        </w:tc>
        <w:tc>
          <w:tcPr>
            <w:tcW w:w="0" w:type="auto"/>
            <w:gridSpan w:val="3"/>
            <w:shd w:val="clear" w:color="auto" w:fill="auto"/>
            <w:vAlign w:val="bottom"/>
          </w:tcPr>
          <w:p w14:paraId="5F2CEB1A" w14:textId="77777777" w:rsidR="00E836FB" w:rsidRDefault="00E836FB">
            <w:pPr>
              <w:rPr>
                <w:rFonts w:ascii="宋体"/>
                <w:vanish/>
              </w:rPr>
            </w:pPr>
          </w:p>
        </w:tc>
        <w:tc>
          <w:tcPr>
            <w:tcW w:w="0" w:type="auto"/>
            <w:gridSpan w:val="3"/>
            <w:shd w:val="clear" w:color="auto" w:fill="auto"/>
            <w:vAlign w:val="bottom"/>
          </w:tcPr>
          <w:p w14:paraId="5F2CEB1B" w14:textId="77777777" w:rsidR="00E836FB" w:rsidRDefault="00E836FB">
            <w:pPr>
              <w:rPr>
                <w:rFonts w:ascii="宋体"/>
                <w:vanish/>
              </w:rPr>
            </w:pPr>
          </w:p>
        </w:tc>
        <w:tc>
          <w:tcPr>
            <w:tcW w:w="0" w:type="auto"/>
            <w:gridSpan w:val="3"/>
            <w:shd w:val="clear" w:color="auto" w:fill="auto"/>
            <w:vAlign w:val="bottom"/>
          </w:tcPr>
          <w:p w14:paraId="5F2CEB1C" w14:textId="77777777" w:rsidR="00E836FB" w:rsidRDefault="00E836FB">
            <w:pPr>
              <w:rPr>
                <w:rFonts w:ascii="宋体"/>
                <w:vanish/>
              </w:rPr>
            </w:pPr>
          </w:p>
        </w:tc>
        <w:tc>
          <w:tcPr>
            <w:tcW w:w="0" w:type="auto"/>
            <w:shd w:val="clear" w:color="auto" w:fill="auto"/>
            <w:vAlign w:val="bottom"/>
          </w:tcPr>
          <w:p w14:paraId="5F2CEB1D" w14:textId="77777777" w:rsidR="00E836FB" w:rsidRDefault="00E836FB">
            <w:pPr>
              <w:rPr>
                <w:rFonts w:ascii="宋体"/>
              </w:rPr>
            </w:pPr>
          </w:p>
        </w:tc>
        <w:tc>
          <w:tcPr>
            <w:tcW w:w="0" w:type="auto"/>
            <w:shd w:val="clear" w:color="auto" w:fill="auto"/>
            <w:vAlign w:val="bottom"/>
          </w:tcPr>
          <w:p w14:paraId="5F2CEB1E" w14:textId="77777777" w:rsidR="00E836FB" w:rsidRDefault="00E836FB">
            <w:pPr>
              <w:rPr>
                <w:rFonts w:ascii="宋体"/>
              </w:rPr>
            </w:pPr>
          </w:p>
        </w:tc>
        <w:tc>
          <w:tcPr>
            <w:tcW w:w="0" w:type="auto"/>
            <w:shd w:val="clear" w:color="auto" w:fill="auto"/>
            <w:vAlign w:val="bottom"/>
          </w:tcPr>
          <w:p w14:paraId="5F2CEB1F" w14:textId="77777777" w:rsidR="00E836FB" w:rsidRDefault="00E836FB">
            <w:pPr>
              <w:rPr>
                <w:rFonts w:ascii="宋体"/>
              </w:rPr>
            </w:pPr>
          </w:p>
        </w:tc>
        <w:tc>
          <w:tcPr>
            <w:tcW w:w="0" w:type="auto"/>
            <w:shd w:val="clear" w:color="auto" w:fill="auto"/>
            <w:vAlign w:val="bottom"/>
          </w:tcPr>
          <w:p w14:paraId="5F2CEB20" w14:textId="77777777" w:rsidR="00E836FB" w:rsidRDefault="00E836FB">
            <w:pPr>
              <w:rPr>
                <w:rFonts w:ascii="宋体"/>
              </w:rPr>
            </w:pPr>
          </w:p>
        </w:tc>
        <w:tc>
          <w:tcPr>
            <w:tcW w:w="0" w:type="auto"/>
            <w:shd w:val="clear" w:color="auto" w:fill="auto"/>
            <w:vAlign w:val="bottom"/>
          </w:tcPr>
          <w:p w14:paraId="5F2CEB21" w14:textId="77777777" w:rsidR="00E836FB" w:rsidRDefault="00E836FB">
            <w:pPr>
              <w:rPr>
                <w:rFonts w:ascii="宋体"/>
              </w:rPr>
            </w:pPr>
          </w:p>
        </w:tc>
        <w:tc>
          <w:tcPr>
            <w:tcW w:w="0" w:type="auto"/>
            <w:shd w:val="clear" w:color="auto" w:fill="auto"/>
            <w:vAlign w:val="bottom"/>
          </w:tcPr>
          <w:p w14:paraId="5F2CEB22" w14:textId="77777777" w:rsidR="00E836FB" w:rsidRDefault="00E836FB">
            <w:pPr>
              <w:rPr>
                <w:rFonts w:ascii="宋体"/>
              </w:rPr>
            </w:pPr>
          </w:p>
        </w:tc>
        <w:tc>
          <w:tcPr>
            <w:tcW w:w="0" w:type="auto"/>
            <w:shd w:val="clear" w:color="auto" w:fill="auto"/>
            <w:vAlign w:val="bottom"/>
          </w:tcPr>
          <w:p w14:paraId="5F2CEB23" w14:textId="77777777" w:rsidR="00E836FB" w:rsidRDefault="00E836FB">
            <w:pPr>
              <w:rPr>
                <w:rFonts w:ascii="宋体"/>
              </w:rPr>
            </w:pPr>
          </w:p>
        </w:tc>
        <w:tc>
          <w:tcPr>
            <w:tcW w:w="0" w:type="auto"/>
            <w:shd w:val="clear" w:color="auto" w:fill="auto"/>
            <w:vAlign w:val="bottom"/>
          </w:tcPr>
          <w:p w14:paraId="5F2CEB24" w14:textId="77777777" w:rsidR="00E836FB" w:rsidRDefault="00E836FB">
            <w:pPr>
              <w:rPr>
                <w:rFonts w:ascii="宋体"/>
              </w:rPr>
            </w:pPr>
          </w:p>
        </w:tc>
        <w:tc>
          <w:tcPr>
            <w:tcW w:w="0" w:type="auto"/>
            <w:shd w:val="clear" w:color="auto" w:fill="auto"/>
            <w:vAlign w:val="bottom"/>
          </w:tcPr>
          <w:p w14:paraId="5F2CEB25" w14:textId="77777777" w:rsidR="00E836FB" w:rsidRDefault="00E836FB">
            <w:pPr>
              <w:rPr>
                <w:rFonts w:ascii="宋体"/>
              </w:rPr>
            </w:pPr>
          </w:p>
        </w:tc>
        <w:tc>
          <w:tcPr>
            <w:tcW w:w="0" w:type="auto"/>
            <w:shd w:val="clear" w:color="auto" w:fill="auto"/>
            <w:vAlign w:val="bottom"/>
          </w:tcPr>
          <w:p w14:paraId="5F2CEB26" w14:textId="77777777" w:rsidR="00E836FB" w:rsidRDefault="00E836FB">
            <w:pPr>
              <w:rPr>
                <w:rFonts w:ascii="宋体"/>
              </w:rPr>
            </w:pPr>
          </w:p>
        </w:tc>
        <w:tc>
          <w:tcPr>
            <w:tcW w:w="0" w:type="auto"/>
            <w:shd w:val="clear" w:color="auto" w:fill="auto"/>
            <w:vAlign w:val="bottom"/>
          </w:tcPr>
          <w:p w14:paraId="5F2CEB27" w14:textId="77777777" w:rsidR="00E836FB" w:rsidRDefault="00E836FB">
            <w:pPr>
              <w:rPr>
                <w:rFonts w:ascii="宋体"/>
              </w:rPr>
            </w:pPr>
          </w:p>
        </w:tc>
        <w:tc>
          <w:tcPr>
            <w:tcW w:w="0" w:type="auto"/>
            <w:shd w:val="clear" w:color="auto" w:fill="auto"/>
            <w:vAlign w:val="bottom"/>
          </w:tcPr>
          <w:p w14:paraId="5F2CEB28" w14:textId="77777777" w:rsidR="00E836FB" w:rsidRDefault="00E836FB">
            <w:pPr>
              <w:rPr>
                <w:rFonts w:ascii="宋体"/>
              </w:rPr>
            </w:pPr>
          </w:p>
        </w:tc>
      </w:tr>
      <w:tr w:rsidR="00E836FB" w14:paraId="5F2CEB3A" w14:textId="77777777">
        <w:trPr>
          <w:hidden/>
        </w:trPr>
        <w:tc>
          <w:tcPr>
            <w:tcW w:w="0" w:type="auto"/>
            <w:gridSpan w:val="3"/>
            <w:shd w:val="clear" w:color="auto" w:fill="auto"/>
            <w:vAlign w:val="bottom"/>
          </w:tcPr>
          <w:p w14:paraId="5F2CEB2A" w14:textId="77777777" w:rsidR="00E836FB" w:rsidRDefault="00E836FB">
            <w:pPr>
              <w:rPr>
                <w:rFonts w:ascii="宋体"/>
                <w:vanish/>
              </w:rPr>
            </w:pPr>
          </w:p>
        </w:tc>
        <w:tc>
          <w:tcPr>
            <w:tcW w:w="0" w:type="auto"/>
            <w:gridSpan w:val="3"/>
            <w:shd w:val="clear" w:color="auto" w:fill="auto"/>
            <w:vAlign w:val="bottom"/>
          </w:tcPr>
          <w:p w14:paraId="5F2CEB2B" w14:textId="77777777" w:rsidR="00E836FB" w:rsidRDefault="00E836FB">
            <w:pPr>
              <w:rPr>
                <w:rFonts w:ascii="宋体"/>
                <w:vanish/>
              </w:rPr>
            </w:pPr>
          </w:p>
        </w:tc>
        <w:tc>
          <w:tcPr>
            <w:tcW w:w="0" w:type="auto"/>
            <w:gridSpan w:val="3"/>
            <w:shd w:val="clear" w:color="auto" w:fill="auto"/>
            <w:vAlign w:val="bottom"/>
          </w:tcPr>
          <w:p w14:paraId="5F2CEB2C" w14:textId="77777777" w:rsidR="00E836FB" w:rsidRDefault="00E836FB">
            <w:pPr>
              <w:rPr>
                <w:rFonts w:ascii="宋体"/>
                <w:vanish/>
              </w:rPr>
            </w:pPr>
          </w:p>
        </w:tc>
        <w:tc>
          <w:tcPr>
            <w:tcW w:w="0" w:type="auto"/>
            <w:gridSpan w:val="3"/>
            <w:shd w:val="clear" w:color="auto" w:fill="auto"/>
            <w:vAlign w:val="bottom"/>
          </w:tcPr>
          <w:p w14:paraId="5F2CEB2D" w14:textId="77777777" w:rsidR="00E836FB" w:rsidRDefault="00E836FB">
            <w:pPr>
              <w:rPr>
                <w:rFonts w:ascii="宋体"/>
                <w:vanish/>
              </w:rPr>
            </w:pPr>
          </w:p>
        </w:tc>
        <w:tc>
          <w:tcPr>
            <w:tcW w:w="0" w:type="auto"/>
            <w:gridSpan w:val="3"/>
            <w:shd w:val="clear" w:color="auto" w:fill="auto"/>
            <w:vAlign w:val="bottom"/>
          </w:tcPr>
          <w:p w14:paraId="5F2CEB2E" w14:textId="77777777" w:rsidR="00E836FB" w:rsidRDefault="00E836FB">
            <w:pPr>
              <w:rPr>
                <w:rFonts w:ascii="宋体"/>
                <w:vanish/>
              </w:rPr>
            </w:pPr>
          </w:p>
        </w:tc>
        <w:tc>
          <w:tcPr>
            <w:tcW w:w="0" w:type="auto"/>
            <w:gridSpan w:val="3"/>
            <w:shd w:val="clear" w:color="auto" w:fill="auto"/>
            <w:vAlign w:val="bottom"/>
          </w:tcPr>
          <w:p w14:paraId="5F2CEB2F" w14:textId="77777777" w:rsidR="00E836FB" w:rsidRDefault="00E836FB">
            <w:pPr>
              <w:rPr>
                <w:rFonts w:ascii="宋体"/>
                <w:vanish/>
              </w:rPr>
            </w:pPr>
          </w:p>
        </w:tc>
        <w:tc>
          <w:tcPr>
            <w:tcW w:w="0" w:type="auto"/>
            <w:gridSpan w:val="3"/>
            <w:shd w:val="clear" w:color="auto" w:fill="auto"/>
            <w:vAlign w:val="bottom"/>
          </w:tcPr>
          <w:p w14:paraId="5F2CEB30" w14:textId="77777777" w:rsidR="00E836FB" w:rsidRDefault="00E836FB">
            <w:pPr>
              <w:rPr>
                <w:rFonts w:ascii="宋体"/>
                <w:vanish/>
              </w:rPr>
            </w:pPr>
          </w:p>
        </w:tc>
        <w:tc>
          <w:tcPr>
            <w:tcW w:w="0" w:type="auto"/>
            <w:gridSpan w:val="3"/>
            <w:shd w:val="clear" w:color="auto" w:fill="auto"/>
            <w:vAlign w:val="bottom"/>
          </w:tcPr>
          <w:p w14:paraId="5F2CEB31" w14:textId="77777777" w:rsidR="00E836FB" w:rsidRDefault="00E836FB">
            <w:pPr>
              <w:rPr>
                <w:rFonts w:ascii="宋体"/>
                <w:vanish/>
              </w:rPr>
            </w:pPr>
          </w:p>
        </w:tc>
        <w:tc>
          <w:tcPr>
            <w:tcW w:w="0" w:type="auto"/>
            <w:gridSpan w:val="3"/>
            <w:shd w:val="clear" w:color="auto" w:fill="auto"/>
            <w:vAlign w:val="bottom"/>
          </w:tcPr>
          <w:p w14:paraId="5F2CEB32" w14:textId="77777777" w:rsidR="00E836FB" w:rsidRDefault="00E836FB">
            <w:pPr>
              <w:rPr>
                <w:rFonts w:ascii="宋体"/>
                <w:vanish/>
              </w:rPr>
            </w:pPr>
          </w:p>
        </w:tc>
        <w:tc>
          <w:tcPr>
            <w:tcW w:w="0" w:type="auto"/>
            <w:gridSpan w:val="3"/>
            <w:shd w:val="clear" w:color="auto" w:fill="auto"/>
            <w:vAlign w:val="bottom"/>
          </w:tcPr>
          <w:p w14:paraId="5F2CEB33" w14:textId="77777777" w:rsidR="00E836FB" w:rsidRDefault="00E836FB">
            <w:pPr>
              <w:rPr>
                <w:rFonts w:ascii="宋体"/>
                <w:vanish/>
              </w:rPr>
            </w:pPr>
          </w:p>
        </w:tc>
        <w:tc>
          <w:tcPr>
            <w:tcW w:w="0" w:type="auto"/>
            <w:gridSpan w:val="3"/>
            <w:shd w:val="clear" w:color="auto" w:fill="auto"/>
            <w:vAlign w:val="bottom"/>
          </w:tcPr>
          <w:p w14:paraId="5F2CEB34" w14:textId="77777777" w:rsidR="00E836FB" w:rsidRDefault="00E836FB">
            <w:pPr>
              <w:rPr>
                <w:rFonts w:ascii="宋体"/>
                <w:vanish/>
              </w:rPr>
            </w:pPr>
          </w:p>
        </w:tc>
        <w:tc>
          <w:tcPr>
            <w:tcW w:w="0" w:type="auto"/>
            <w:gridSpan w:val="3"/>
            <w:shd w:val="clear" w:color="auto" w:fill="auto"/>
            <w:vAlign w:val="bottom"/>
          </w:tcPr>
          <w:p w14:paraId="5F2CEB35" w14:textId="77777777" w:rsidR="00E836FB" w:rsidRDefault="00E836FB">
            <w:pPr>
              <w:rPr>
                <w:rFonts w:ascii="宋体"/>
                <w:vanish/>
              </w:rPr>
            </w:pPr>
          </w:p>
        </w:tc>
        <w:tc>
          <w:tcPr>
            <w:tcW w:w="0" w:type="auto"/>
            <w:gridSpan w:val="3"/>
            <w:shd w:val="clear" w:color="auto" w:fill="auto"/>
            <w:vAlign w:val="bottom"/>
          </w:tcPr>
          <w:p w14:paraId="5F2CEB36" w14:textId="77777777" w:rsidR="00E836FB" w:rsidRDefault="00E836FB">
            <w:pPr>
              <w:rPr>
                <w:rFonts w:ascii="宋体"/>
                <w:vanish/>
              </w:rPr>
            </w:pPr>
          </w:p>
        </w:tc>
        <w:tc>
          <w:tcPr>
            <w:tcW w:w="0" w:type="auto"/>
            <w:gridSpan w:val="3"/>
            <w:shd w:val="clear" w:color="auto" w:fill="auto"/>
            <w:vAlign w:val="bottom"/>
          </w:tcPr>
          <w:p w14:paraId="5F2CEB37" w14:textId="77777777" w:rsidR="00E836FB" w:rsidRDefault="00E836FB">
            <w:pPr>
              <w:rPr>
                <w:rFonts w:ascii="宋体"/>
                <w:vanish/>
              </w:rPr>
            </w:pPr>
          </w:p>
        </w:tc>
        <w:tc>
          <w:tcPr>
            <w:tcW w:w="0" w:type="auto"/>
            <w:gridSpan w:val="3"/>
            <w:shd w:val="clear" w:color="auto" w:fill="auto"/>
            <w:vAlign w:val="bottom"/>
          </w:tcPr>
          <w:p w14:paraId="5F2CEB38" w14:textId="77777777" w:rsidR="00E836FB" w:rsidRDefault="00E836FB">
            <w:pPr>
              <w:rPr>
                <w:rFonts w:ascii="宋体"/>
                <w:vanish/>
              </w:rPr>
            </w:pPr>
          </w:p>
        </w:tc>
        <w:tc>
          <w:tcPr>
            <w:tcW w:w="0" w:type="auto"/>
            <w:gridSpan w:val="3"/>
            <w:shd w:val="clear" w:color="auto" w:fill="auto"/>
            <w:vAlign w:val="bottom"/>
          </w:tcPr>
          <w:p w14:paraId="5F2CEB39" w14:textId="77777777" w:rsidR="00E836FB" w:rsidRDefault="00E836FB">
            <w:pPr>
              <w:rPr>
                <w:rFonts w:ascii="宋体"/>
                <w:vanish/>
              </w:rPr>
            </w:pPr>
          </w:p>
        </w:tc>
      </w:tr>
      <w:tr w:rsidR="00E836FB" w14:paraId="5F2CEB53" w14:textId="77777777">
        <w:trPr>
          <w:hidden/>
        </w:trPr>
        <w:tc>
          <w:tcPr>
            <w:tcW w:w="0" w:type="auto"/>
            <w:gridSpan w:val="3"/>
            <w:shd w:val="clear" w:color="auto" w:fill="auto"/>
            <w:vAlign w:val="bottom"/>
          </w:tcPr>
          <w:p w14:paraId="5F2CEB3B" w14:textId="77777777" w:rsidR="00E836FB" w:rsidRDefault="00E836FB">
            <w:pPr>
              <w:rPr>
                <w:rFonts w:ascii="宋体"/>
                <w:vanish/>
              </w:rPr>
            </w:pPr>
          </w:p>
        </w:tc>
        <w:tc>
          <w:tcPr>
            <w:tcW w:w="0" w:type="auto"/>
            <w:gridSpan w:val="3"/>
            <w:shd w:val="clear" w:color="auto" w:fill="auto"/>
            <w:vAlign w:val="bottom"/>
          </w:tcPr>
          <w:p w14:paraId="5F2CEB3C" w14:textId="77777777" w:rsidR="00E836FB" w:rsidRDefault="00E836FB">
            <w:pPr>
              <w:rPr>
                <w:rFonts w:ascii="宋体"/>
                <w:vanish/>
              </w:rPr>
            </w:pPr>
          </w:p>
        </w:tc>
        <w:tc>
          <w:tcPr>
            <w:tcW w:w="0" w:type="auto"/>
            <w:gridSpan w:val="3"/>
            <w:shd w:val="clear" w:color="auto" w:fill="auto"/>
            <w:vAlign w:val="bottom"/>
          </w:tcPr>
          <w:p w14:paraId="5F2CEB3D" w14:textId="77777777" w:rsidR="00E836FB" w:rsidRDefault="00E836FB">
            <w:pPr>
              <w:rPr>
                <w:rFonts w:ascii="宋体"/>
                <w:vanish/>
              </w:rPr>
            </w:pPr>
          </w:p>
        </w:tc>
        <w:tc>
          <w:tcPr>
            <w:tcW w:w="0" w:type="auto"/>
            <w:gridSpan w:val="3"/>
            <w:shd w:val="clear" w:color="auto" w:fill="auto"/>
            <w:vAlign w:val="bottom"/>
          </w:tcPr>
          <w:p w14:paraId="5F2CEB3E" w14:textId="77777777" w:rsidR="00E836FB" w:rsidRDefault="00E836FB">
            <w:pPr>
              <w:rPr>
                <w:rFonts w:ascii="宋体"/>
                <w:vanish/>
              </w:rPr>
            </w:pPr>
          </w:p>
        </w:tc>
        <w:tc>
          <w:tcPr>
            <w:tcW w:w="0" w:type="auto"/>
            <w:gridSpan w:val="3"/>
            <w:shd w:val="clear" w:color="auto" w:fill="auto"/>
            <w:vAlign w:val="bottom"/>
          </w:tcPr>
          <w:p w14:paraId="5F2CEB3F" w14:textId="77777777" w:rsidR="00E836FB" w:rsidRDefault="00E836FB">
            <w:pPr>
              <w:rPr>
                <w:rFonts w:ascii="宋体"/>
                <w:vanish/>
              </w:rPr>
            </w:pPr>
          </w:p>
        </w:tc>
        <w:tc>
          <w:tcPr>
            <w:tcW w:w="0" w:type="auto"/>
            <w:gridSpan w:val="3"/>
            <w:shd w:val="clear" w:color="auto" w:fill="auto"/>
            <w:vAlign w:val="bottom"/>
          </w:tcPr>
          <w:p w14:paraId="5F2CEB40" w14:textId="77777777" w:rsidR="00E836FB" w:rsidRDefault="00E836FB">
            <w:pPr>
              <w:rPr>
                <w:rFonts w:ascii="宋体"/>
                <w:vanish/>
              </w:rPr>
            </w:pPr>
          </w:p>
        </w:tc>
        <w:tc>
          <w:tcPr>
            <w:tcW w:w="0" w:type="auto"/>
            <w:gridSpan w:val="3"/>
            <w:shd w:val="clear" w:color="auto" w:fill="auto"/>
            <w:vAlign w:val="bottom"/>
          </w:tcPr>
          <w:p w14:paraId="5F2CEB41" w14:textId="77777777" w:rsidR="00E836FB" w:rsidRDefault="00E836FB">
            <w:pPr>
              <w:rPr>
                <w:rFonts w:ascii="宋体"/>
                <w:vanish/>
              </w:rPr>
            </w:pPr>
          </w:p>
        </w:tc>
        <w:tc>
          <w:tcPr>
            <w:tcW w:w="0" w:type="auto"/>
            <w:gridSpan w:val="3"/>
            <w:shd w:val="clear" w:color="auto" w:fill="auto"/>
            <w:vAlign w:val="bottom"/>
          </w:tcPr>
          <w:p w14:paraId="5F2CEB42" w14:textId="77777777" w:rsidR="00E836FB" w:rsidRDefault="00E836FB">
            <w:pPr>
              <w:rPr>
                <w:rFonts w:ascii="宋体"/>
                <w:vanish/>
              </w:rPr>
            </w:pPr>
          </w:p>
        </w:tc>
        <w:tc>
          <w:tcPr>
            <w:tcW w:w="0" w:type="auto"/>
            <w:gridSpan w:val="3"/>
            <w:shd w:val="clear" w:color="auto" w:fill="auto"/>
            <w:vAlign w:val="bottom"/>
          </w:tcPr>
          <w:p w14:paraId="5F2CEB43" w14:textId="77777777" w:rsidR="00E836FB" w:rsidRDefault="00E836FB">
            <w:pPr>
              <w:rPr>
                <w:rFonts w:ascii="宋体"/>
                <w:vanish/>
              </w:rPr>
            </w:pPr>
          </w:p>
        </w:tc>
        <w:tc>
          <w:tcPr>
            <w:tcW w:w="0" w:type="auto"/>
            <w:gridSpan w:val="3"/>
            <w:shd w:val="clear" w:color="auto" w:fill="auto"/>
            <w:vAlign w:val="bottom"/>
          </w:tcPr>
          <w:p w14:paraId="5F2CEB44" w14:textId="77777777" w:rsidR="00E836FB" w:rsidRDefault="00E836FB">
            <w:pPr>
              <w:rPr>
                <w:rFonts w:ascii="宋体"/>
                <w:vanish/>
              </w:rPr>
            </w:pPr>
          </w:p>
        </w:tc>
        <w:tc>
          <w:tcPr>
            <w:tcW w:w="0" w:type="auto"/>
            <w:gridSpan w:val="3"/>
            <w:shd w:val="clear" w:color="auto" w:fill="auto"/>
            <w:vAlign w:val="bottom"/>
          </w:tcPr>
          <w:p w14:paraId="5F2CEB45" w14:textId="77777777" w:rsidR="00E836FB" w:rsidRDefault="00E836FB">
            <w:pPr>
              <w:rPr>
                <w:rFonts w:ascii="宋体"/>
                <w:vanish/>
              </w:rPr>
            </w:pPr>
          </w:p>
        </w:tc>
        <w:tc>
          <w:tcPr>
            <w:tcW w:w="0" w:type="auto"/>
            <w:gridSpan w:val="3"/>
            <w:shd w:val="clear" w:color="auto" w:fill="auto"/>
            <w:vAlign w:val="bottom"/>
          </w:tcPr>
          <w:p w14:paraId="5F2CEB46" w14:textId="77777777" w:rsidR="00E836FB" w:rsidRDefault="00E836FB">
            <w:pPr>
              <w:rPr>
                <w:rFonts w:ascii="宋体"/>
                <w:vanish/>
              </w:rPr>
            </w:pPr>
          </w:p>
        </w:tc>
        <w:tc>
          <w:tcPr>
            <w:tcW w:w="0" w:type="auto"/>
            <w:shd w:val="clear" w:color="auto" w:fill="auto"/>
            <w:vAlign w:val="bottom"/>
          </w:tcPr>
          <w:p w14:paraId="5F2CEB47" w14:textId="77777777" w:rsidR="00E836FB" w:rsidRDefault="00E836FB">
            <w:pPr>
              <w:rPr>
                <w:rFonts w:ascii="宋体"/>
              </w:rPr>
            </w:pPr>
          </w:p>
        </w:tc>
        <w:tc>
          <w:tcPr>
            <w:tcW w:w="0" w:type="auto"/>
            <w:shd w:val="clear" w:color="auto" w:fill="auto"/>
            <w:vAlign w:val="bottom"/>
          </w:tcPr>
          <w:p w14:paraId="5F2CEB48" w14:textId="77777777" w:rsidR="00E836FB" w:rsidRDefault="00E836FB">
            <w:pPr>
              <w:rPr>
                <w:rFonts w:ascii="宋体"/>
              </w:rPr>
            </w:pPr>
          </w:p>
        </w:tc>
        <w:tc>
          <w:tcPr>
            <w:tcW w:w="0" w:type="auto"/>
            <w:shd w:val="clear" w:color="auto" w:fill="auto"/>
            <w:vAlign w:val="bottom"/>
          </w:tcPr>
          <w:p w14:paraId="5F2CEB49" w14:textId="77777777" w:rsidR="00E836FB" w:rsidRDefault="00E836FB">
            <w:pPr>
              <w:rPr>
                <w:rFonts w:ascii="宋体"/>
              </w:rPr>
            </w:pPr>
          </w:p>
        </w:tc>
        <w:tc>
          <w:tcPr>
            <w:tcW w:w="0" w:type="auto"/>
            <w:shd w:val="clear" w:color="auto" w:fill="auto"/>
            <w:vAlign w:val="bottom"/>
          </w:tcPr>
          <w:p w14:paraId="5F2CEB4A" w14:textId="77777777" w:rsidR="00E836FB" w:rsidRDefault="00E836FB">
            <w:pPr>
              <w:rPr>
                <w:rFonts w:ascii="宋体"/>
              </w:rPr>
            </w:pPr>
          </w:p>
        </w:tc>
        <w:tc>
          <w:tcPr>
            <w:tcW w:w="0" w:type="auto"/>
            <w:shd w:val="clear" w:color="auto" w:fill="auto"/>
            <w:vAlign w:val="bottom"/>
          </w:tcPr>
          <w:p w14:paraId="5F2CEB4B" w14:textId="77777777" w:rsidR="00E836FB" w:rsidRDefault="00E836FB">
            <w:pPr>
              <w:rPr>
                <w:rFonts w:ascii="宋体"/>
              </w:rPr>
            </w:pPr>
          </w:p>
        </w:tc>
        <w:tc>
          <w:tcPr>
            <w:tcW w:w="0" w:type="auto"/>
            <w:shd w:val="clear" w:color="auto" w:fill="auto"/>
            <w:vAlign w:val="bottom"/>
          </w:tcPr>
          <w:p w14:paraId="5F2CEB4C" w14:textId="77777777" w:rsidR="00E836FB" w:rsidRDefault="00E836FB">
            <w:pPr>
              <w:rPr>
                <w:rFonts w:ascii="宋体"/>
              </w:rPr>
            </w:pPr>
          </w:p>
        </w:tc>
        <w:tc>
          <w:tcPr>
            <w:tcW w:w="0" w:type="auto"/>
            <w:shd w:val="clear" w:color="auto" w:fill="auto"/>
            <w:vAlign w:val="bottom"/>
          </w:tcPr>
          <w:p w14:paraId="5F2CEB4D" w14:textId="77777777" w:rsidR="00E836FB" w:rsidRDefault="00E836FB">
            <w:pPr>
              <w:rPr>
                <w:rFonts w:ascii="宋体"/>
              </w:rPr>
            </w:pPr>
          </w:p>
        </w:tc>
        <w:tc>
          <w:tcPr>
            <w:tcW w:w="0" w:type="auto"/>
            <w:shd w:val="clear" w:color="auto" w:fill="auto"/>
            <w:vAlign w:val="bottom"/>
          </w:tcPr>
          <w:p w14:paraId="5F2CEB4E" w14:textId="77777777" w:rsidR="00E836FB" w:rsidRDefault="00E836FB">
            <w:pPr>
              <w:rPr>
                <w:rFonts w:ascii="宋体"/>
              </w:rPr>
            </w:pPr>
          </w:p>
        </w:tc>
        <w:tc>
          <w:tcPr>
            <w:tcW w:w="0" w:type="auto"/>
            <w:shd w:val="clear" w:color="auto" w:fill="auto"/>
            <w:vAlign w:val="bottom"/>
          </w:tcPr>
          <w:p w14:paraId="5F2CEB4F" w14:textId="77777777" w:rsidR="00E836FB" w:rsidRDefault="00E836FB">
            <w:pPr>
              <w:rPr>
                <w:rFonts w:ascii="宋体"/>
              </w:rPr>
            </w:pPr>
          </w:p>
        </w:tc>
        <w:tc>
          <w:tcPr>
            <w:tcW w:w="0" w:type="auto"/>
            <w:shd w:val="clear" w:color="auto" w:fill="auto"/>
            <w:vAlign w:val="bottom"/>
          </w:tcPr>
          <w:p w14:paraId="5F2CEB50" w14:textId="77777777" w:rsidR="00E836FB" w:rsidRDefault="00E836FB">
            <w:pPr>
              <w:rPr>
                <w:rFonts w:ascii="宋体"/>
              </w:rPr>
            </w:pPr>
          </w:p>
        </w:tc>
        <w:tc>
          <w:tcPr>
            <w:tcW w:w="0" w:type="auto"/>
            <w:shd w:val="clear" w:color="auto" w:fill="auto"/>
            <w:vAlign w:val="bottom"/>
          </w:tcPr>
          <w:p w14:paraId="5F2CEB51" w14:textId="77777777" w:rsidR="00E836FB" w:rsidRDefault="00E836FB">
            <w:pPr>
              <w:rPr>
                <w:rFonts w:ascii="宋体"/>
              </w:rPr>
            </w:pPr>
          </w:p>
        </w:tc>
        <w:tc>
          <w:tcPr>
            <w:tcW w:w="0" w:type="auto"/>
            <w:shd w:val="clear" w:color="auto" w:fill="auto"/>
            <w:vAlign w:val="bottom"/>
          </w:tcPr>
          <w:p w14:paraId="5F2CEB52" w14:textId="77777777" w:rsidR="00E836FB" w:rsidRDefault="00E836FB">
            <w:pPr>
              <w:rPr>
                <w:rFonts w:ascii="宋体"/>
              </w:rPr>
            </w:pPr>
          </w:p>
        </w:tc>
      </w:tr>
      <w:tr w:rsidR="00E836FB" w14:paraId="5F2CEB64" w14:textId="77777777">
        <w:trPr>
          <w:hidden/>
        </w:trPr>
        <w:tc>
          <w:tcPr>
            <w:tcW w:w="0" w:type="auto"/>
            <w:gridSpan w:val="3"/>
            <w:shd w:val="clear" w:color="auto" w:fill="auto"/>
            <w:vAlign w:val="bottom"/>
          </w:tcPr>
          <w:p w14:paraId="5F2CEB54" w14:textId="77777777" w:rsidR="00E836FB" w:rsidRDefault="00E836FB">
            <w:pPr>
              <w:rPr>
                <w:rFonts w:ascii="宋体"/>
                <w:vanish/>
              </w:rPr>
            </w:pPr>
          </w:p>
        </w:tc>
        <w:tc>
          <w:tcPr>
            <w:tcW w:w="0" w:type="auto"/>
            <w:gridSpan w:val="3"/>
            <w:shd w:val="clear" w:color="auto" w:fill="auto"/>
            <w:vAlign w:val="bottom"/>
          </w:tcPr>
          <w:p w14:paraId="5F2CEB55" w14:textId="77777777" w:rsidR="00E836FB" w:rsidRDefault="00E836FB">
            <w:pPr>
              <w:rPr>
                <w:rFonts w:ascii="宋体"/>
                <w:vanish/>
              </w:rPr>
            </w:pPr>
          </w:p>
        </w:tc>
        <w:tc>
          <w:tcPr>
            <w:tcW w:w="0" w:type="auto"/>
            <w:gridSpan w:val="3"/>
            <w:shd w:val="clear" w:color="auto" w:fill="auto"/>
            <w:vAlign w:val="bottom"/>
          </w:tcPr>
          <w:p w14:paraId="5F2CEB56" w14:textId="77777777" w:rsidR="00E836FB" w:rsidRDefault="00E836FB">
            <w:pPr>
              <w:rPr>
                <w:rFonts w:ascii="宋体"/>
                <w:vanish/>
              </w:rPr>
            </w:pPr>
          </w:p>
        </w:tc>
        <w:tc>
          <w:tcPr>
            <w:tcW w:w="0" w:type="auto"/>
            <w:gridSpan w:val="3"/>
            <w:shd w:val="clear" w:color="auto" w:fill="auto"/>
            <w:vAlign w:val="bottom"/>
          </w:tcPr>
          <w:p w14:paraId="5F2CEB57" w14:textId="77777777" w:rsidR="00E836FB" w:rsidRDefault="00E836FB">
            <w:pPr>
              <w:rPr>
                <w:rFonts w:ascii="宋体"/>
                <w:vanish/>
              </w:rPr>
            </w:pPr>
          </w:p>
        </w:tc>
        <w:tc>
          <w:tcPr>
            <w:tcW w:w="0" w:type="auto"/>
            <w:gridSpan w:val="3"/>
            <w:shd w:val="clear" w:color="auto" w:fill="auto"/>
            <w:vAlign w:val="bottom"/>
          </w:tcPr>
          <w:p w14:paraId="5F2CEB58" w14:textId="77777777" w:rsidR="00E836FB" w:rsidRDefault="00E836FB">
            <w:pPr>
              <w:rPr>
                <w:rFonts w:ascii="宋体"/>
                <w:vanish/>
              </w:rPr>
            </w:pPr>
          </w:p>
        </w:tc>
        <w:tc>
          <w:tcPr>
            <w:tcW w:w="0" w:type="auto"/>
            <w:gridSpan w:val="3"/>
            <w:shd w:val="clear" w:color="auto" w:fill="auto"/>
            <w:vAlign w:val="bottom"/>
          </w:tcPr>
          <w:p w14:paraId="5F2CEB59" w14:textId="77777777" w:rsidR="00E836FB" w:rsidRDefault="00E836FB">
            <w:pPr>
              <w:rPr>
                <w:rFonts w:ascii="宋体"/>
                <w:vanish/>
              </w:rPr>
            </w:pPr>
          </w:p>
        </w:tc>
        <w:tc>
          <w:tcPr>
            <w:tcW w:w="0" w:type="auto"/>
            <w:gridSpan w:val="3"/>
            <w:shd w:val="clear" w:color="auto" w:fill="auto"/>
            <w:vAlign w:val="bottom"/>
          </w:tcPr>
          <w:p w14:paraId="5F2CEB5A" w14:textId="77777777" w:rsidR="00E836FB" w:rsidRDefault="00E836FB">
            <w:pPr>
              <w:rPr>
                <w:rFonts w:ascii="宋体"/>
                <w:vanish/>
              </w:rPr>
            </w:pPr>
          </w:p>
        </w:tc>
        <w:tc>
          <w:tcPr>
            <w:tcW w:w="0" w:type="auto"/>
            <w:gridSpan w:val="3"/>
            <w:shd w:val="clear" w:color="auto" w:fill="auto"/>
            <w:vAlign w:val="bottom"/>
          </w:tcPr>
          <w:p w14:paraId="5F2CEB5B" w14:textId="77777777" w:rsidR="00E836FB" w:rsidRDefault="00E836FB">
            <w:pPr>
              <w:rPr>
                <w:rFonts w:ascii="宋体"/>
                <w:vanish/>
              </w:rPr>
            </w:pPr>
          </w:p>
        </w:tc>
        <w:tc>
          <w:tcPr>
            <w:tcW w:w="0" w:type="auto"/>
            <w:gridSpan w:val="3"/>
            <w:shd w:val="clear" w:color="auto" w:fill="auto"/>
            <w:vAlign w:val="bottom"/>
          </w:tcPr>
          <w:p w14:paraId="5F2CEB5C" w14:textId="77777777" w:rsidR="00E836FB" w:rsidRDefault="00E836FB">
            <w:pPr>
              <w:rPr>
                <w:rFonts w:ascii="宋体"/>
                <w:vanish/>
              </w:rPr>
            </w:pPr>
          </w:p>
        </w:tc>
        <w:tc>
          <w:tcPr>
            <w:tcW w:w="0" w:type="auto"/>
            <w:gridSpan w:val="3"/>
            <w:shd w:val="clear" w:color="auto" w:fill="auto"/>
            <w:vAlign w:val="bottom"/>
          </w:tcPr>
          <w:p w14:paraId="5F2CEB5D" w14:textId="77777777" w:rsidR="00E836FB" w:rsidRDefault="00E836FB">
            <w:pPr>
              <w:rPr>
                <w:rFonts w:ascii="宋体"/>
                <w:vanish/>
              </w:rPr>
            </w:pPr>
          </w:p>
        </w:tc>
        <w:tc>
          <w:tcPr>
            <w:tcW w:w="0" w:type="auto"/>
            <w:gridSpan w:val="3"/>
            <w:shd w:val="clear" w:color="auto" w:fill="auto"/>
            <w:vAlign w:val="bottom"/>
          </w:tcPr>
          <w:p w14:paraId="5F2CEB5E" w14:textId="77777777" w:rsidR="00E836FB" w:rsidRDefault="00E836FB">
            <w:pPr>
              <w:rPr>
                <w:rFonts w:ascii="宋体"/>
                <w:vanish/>
              </w:rPr>
            </w:pPr>
          </w:p>
        </w:tc>
        <w:tc>
          <w:tcPr>
            <w:tcW w:w="0" w:type="auto"/>
            <w:gridSpan w:val="3"/>
            <w:shd w:val="clear" w:color="auto" w:fill="auto"/>
            <w:vAlign w:val="bottom"/>
          </w:tcPr>
          <w:p w14:paraId="5F2CEB5F" w14:textId="77777777" w:rsidR="00E836FB" w:rsidRDefault="00E836FB">
            <w:pPr>
              <w:rPr>
                <w:rFonts w:ascii="宋体"/>
                <w:vanish/>
              </w:rPr>
            </w:pPr>
          </w:p>
        </w:tc>
        <w:tc>
          <w:tcPr>
            <w:tcW w:w="0" w:type="auto"/>
            <w:gridSpan w:val="3"/>
            <w:shd w:val="clear" w:color="auto" w:fill="auto"/>
            <w:vAlign w:val="bottom"/>
          </w:tcPr>
          <w:p w14:paraId="5F2CEB60" w14:textId="77777777" w:rsidR="00E836FB" w:rsidRDefault="00E836FB">
            <w:pPr>
              <w:rPr>
                <w:rFonts w:ascii="宋体"/>
                <w:vanish/>
              </w:rPr>
            </w:pPr>
          </w:p>
        </w:tc>
        <w:tc>
          <w:tcPr>
            <w:tcW w:w="0" w:type="auto"/>
            <w:gridSpan w:val="3"/>
            <w:shd w:val="clear" w:color="auto" w:fill="auto"/>
            <w:vAlign w:val="bottom"/>
          </w:tcPr>
          <w:p w14:paraId="5F2CEB61" w14:textId="77777777" w:rsidR="00E836FB" w:rsidRDefault="00E836FB">
            <w:pPr>
              <w:rPr>
                <w:rFonts w:ascii="宋体"/>
                <w:vanish/>
              </w:rPr>
            </w:pPr>
          </w:p>
        </w:tc>
        <w:tc>
          <w:tcPr>
            <w:tcW w:w="0" w:type="auto"/>
            <w:gridSpan w:val="3"/>
            <w:shd w:val="clear" w:color="auto" w:fill="auto"/>
            <w:vAlign w:val="bottom"/>
          </w:tcPr>
          <w:p w14:paraId="5F2CEB62" w14:textId="77777777" w:rsidR="00E836FB" w:rsidRDefault="00E836FB">
            <w:pPr>
              <w:rPr>
                <w:rFonts w:ascii="宋体"/>
                <w:vanish/>
              </w:rPr>
            </w:pPr>
          </w:p>
        </w:tc>
        <w:tc>
          <w:tcPr>
            <w:tcW w:w="0" w:type="auto"/>
            <w:gridSpan w:val="3"/>
            <w:shd w:val="clear" w:color="auto" w:fill="auto"/>
            <w:vAlign w:val="bottom"/>
          </w:tcPr>
          <w:p w14:paraId="5F2CEB63" w14:textId="77777777" w:rsidR="00E836FB" w:rsidRDefault="00E836FB">
            <w:pPr>
              <w:rPr>
                <w:rFonts w:ascii="宋体"/>
                <w:vanish/>
              </w:rPr>
            </w:pPr>
          </w:p>
        </w:tc>
      </w:tr>
      <w:tr w:rsidR="00E836FB" w14:paraId="5F2CEB75" w14:textId="77777777">
        <w:trPr>
          <w:hidden/>
        </w:trPr>
        <w:tc>
          <w:tcPr>
            <w:tcW w:w="0" w:type="auto"/>
            <w:gridSpan w:val="3"/>
            <w:shd w:val="clear" w:color="auto" w:fill="auto"/>
            <w:vAlign w:val="bottom"/>
          </w:tcPr>
          <w:p w14:paraId="5F2CEB65" w14:textId="77777777" w:rsidR="00E836FB" w:rsidRDefault="00E836FB">
            <w:pPr>
              <w:rPr>
                <w:rFonts w:ascii="宋体"/>
                <w:vanish/>
              </w:rPr>
            </w:pPr>
          </w:p>
        </w:tc>
        <w:tc>
          <w:tcPr>
            <w:tcW w:w="0" w:type="auto"/>
            <w:gridSpan w:val="3"/>
            <w:shd w:val="clear" w:color="auto" w:fill="auto"/>
            <w:vAlign w:val="bottom"/>
          </w:tcPr>
          <w:p w14:paraId="5F2CEB66" w14:textId="77777777" w:rsidR="00E836FB" w:rsidRDefault="00E836FB">
            <w:pPr>
              <w:rPr>
                <w:rFonts w:ascii="宋体"/>
                <w:vanish/>
              </w:rPr>
            </w:pPr>
          </w:p>
        </w:tc>
        <w:tc>
          <w:tcPr>
            <w:tcW w:w="0" w:type="auto"/>
            <w:gridSpan w:val="3"/>
            <w:shd w:val="clear" w:color="auto" w:fill="auto"/>
            <w:vAlign w:val="bottom"/>
          </w:tcPr>
          <w:p w14:paraId="5F2CEB67" w14:textId="77777777" w:rsidR="00E836FB" w:rsidRDefault="00E836FB">
            <w:pPr>
              <w:rPr>
                <w:rFonts w:ascii="宋体"/>
                <w:vanish/>
              </w:rPr>
            </w:pPr>
          </w:p>
        </w:tc>
        <w:tc>
          <w:tcPr>
            <w:tcW w:w="0" w:type="auto"/>
            <w:gridSpan w:val="3"/>
            <w:shd w:val="clear" w:color="auto" w:fill="auto"/>
            <w:vAlign w:val="bottom"/>
          </w:tcPr>
          <w:p w14:paraId="5F2CEB68" w14:textId="77777777" w:rsidR="00E836FB" w:rsidRDefault="00E836FB">
            <w:pPr>
              <w:rPr>
                <w:rFonts w:ascii="宋体"/>
                <w:vanish/>
              </w:rPr>
            </w:pPr>
          </w:p>
        </w:tc>
        <w:tc>
          <w:tcPr>
            <w:tcW w:w="0" w:type="auto"/>
            <w:gridSpan w:val="3"/>
            <w:shd w:val="clear" w:color="auto" w:fill="auto"/>
            <w:vAlign w:val="bottom"/>
          </w:tcPr>
          <w:p w14:paraId="5F2CEB69" w14:textId="77777777" w:rsidR="00E836FB" w:rsidRDefault="00E836FB">
            <w:pPr>
              <w:rPr>
                <w:rFonts w:ascii="宋体"/>
                <w:vanish/>
              </w:rPr>
            </w:pPr>
          </w:p>
        </w:tc>
        <w:tc>
          <w:tcPr>
            <w:tcW w:w="0" w:type="auto"/>
            <w:gridSpan w:val="3"/>
            <w:shd w:val="clear" w:color="auto" w:fill="auto"/>
            <w:vAlign w:val="bottom"/>
          </w:tcPr>
          <w:p w14:paraId="5F2CEB6A" w14:textId="77777777" w:rsidR="00E836FB" w:rsidRDefault="00E836FB">
            <w:pPr>
              <w:rPr>
                <w:rFonts w:ascii="宋体"/>
                <w:vanish/>
              </w:rPr>
            </w:pPr>
          </w:p>
        </w:tc>
        <w:tc>
          <w:tcPr>
            <w:tcW w:w="0" w:type="auto"/>
            <w:gridSpan w:val="3"/>
            <w:shd w:val="clear" w:color="auto" w:fill="auto"/>
            <w:vAlign w:val="bottom"/>
          </w:tcPr>
          <w:p w14:paraId="5F2CEB6B" w14:textId="77777777" w:rsidR="00E836FB" w:rsidRDefault="00E836FB">
            <w:pPr>
              <w:rPr>
                <w:rFonts w:ascii="宋体"/>
                <w:vanish/>
              </w:rPr>
            </w:pPr>
          </w:p>
        </w:tc>
        <w:tc>
          <w:tcPr>
            <w:tcW w:w="0" w:type="auto"/>
            <w:gridSpan w:val="3"/>
            <w:shd w:val="clear" w:color="auto" w:fill="auto"/>
            <w:vAlign w:val="bottom"/>
          </w:tcPr>
          <w:p w14:paraId="5F2CEB6C" w14:textId="77777777" w:rsidR="00E836FB" w:rsidRDefault="00E836FB">
            <w:pPr>
              <w:rPr>
                <w:rFonts w:ascii="宋体"/>
                <w:vanish/>
              </w:rPr>
            </w:pPr>
          </w:p>
        </w:tc>
        <w:tc>
          <w:tcPr>
            <w:tcW w:w="0" w:type="auto"/>
            <w:gridSpan w:val="3"/>
            <w:shd w:val="clear" w:color="auto" w:fill="auto"/>
            <w:vAlign w:val="bottom"/>
          </w:tcPr>
          <w:p w14:paraId="5F2CEB6D" w14:textId="77777777" w:rsidR="00E836FB" w:rsidRDefault="00E836FB">
            <w:pPr>
              <w:rPr>
                <w:rFonts w:ascii="宋体"/>
                <w:vanish/>
              </w:rPr>
            </w:pPr>
          </w:p>
        </w:tc>
        <w:tc>
          <w:tcPr>
            <w:tcW w:w="0" w:type="auto"/>
            <w:gridSpan w:val="3"/>
            <w:shd w:val="clear" w:color="auto" w:fill="auto"/>
            <w:vAlign w:val="bottom"/>
          </w:tcPr>
          <w:p w14:paraId="5F2CEB6E" w14:textId="77777777" w:rsidR="00E836FB" w:rsidRDefault="00E836FB">
            <w:pPr>
              <w:rPr>
                <w:rFonts w:ascii="宋体"/>
                <w:vanish/>
              </w:rPr>
            </w:pPr>
          </w:p>
        </w:tc>
        <w:tc>
          <w:tcPr>
            <w:tcW w:w="0" w:type="auto"/>
            <w:gridSpan w:val="3"/>
            <w:shd w:val="clear" w:color="auto" w:fill="auto"/>
            <w:vAlign w:val="bottom"/>
          </w:tcPr>
          <w:p w14:paraId="5F2CEB6F" w14:textId="77777777" w:rsidR="00E836FB" w:rsidRDefault="00E836FB">
            <w:pPr>
              <w:rPr>
                <w:rFonts w:ascii="宋体"/>
                <w:vanish/>
              </w:rPr>
            </w:pPr>
          </w:p>
        </w:tc>
        <w:tc>
          <w:tcPr>
            <w:tcW w:w="0" w:type="auto"/>
            <w:gridSpan w:val="3"/>
            <w:shd w:val="clear" w:color="auto" w:fill="auto"/>
            <w:vAlign w:val="bottom"/>
          </w:tcPr>
          <w:p w14:paraId="5F2CEB70" w14:textId="77777777" w:rsidR="00E836FB" w:rsidRDefault="00E836FB">
            <w:pPr>
              <w:rPr>
                <w:rFonts w:ascii="宋体"/>
                <w:vanish/>
              </w:rPr>
            </w:pPr>
          </w:p>
        </w:tc>
        <w:tc>
          <w:tcPr>
            <w:tcW w:w="0" w:type="auto"/>
            <w:gridSpan w:val="3"/>
            <w:shd w:val="clear" w:color="auto" w:fill="auto"/>
            <w:vAlign w:val="bottom"/>
          </w:tcPr>
          <w:p w14:paraId="5F2CEB71" w14:textId="77777777" w:rsidR="00E836FB" w:rsidRDefault="00E836FB">
            <w:pPr>
              <w:rPr>
                <w:rFonts w:ascii="宋体"/>
                <w:vanish/>
              </w:rPr>
            </w:pPr>
          </w:p>
        </w:tc>
        <w:tc>
          <w:tcPr>
            <w:tcW w:w="0" w:type="auto"/>
            <w:gridSpan w:val="3"/>
            <w:shd w:val="clear" w:color="auto" w:fill="auto"/>
            <w:vAlign w:val="bottom"/>
          </w:tcPr>
          <w:p w14:paraId="5F2CEB72" w14:textId="77777777" w:rsidR="00E836FB" w:rsidRDefault="00E836FB">
            <w:pPr>
              <w:rPr>
                <w:rFonts w:ascii="宋体"/>
                <w:vanish/>
              </w:rPr>
            </w:pPr>
          </w:p>
        </w:tc>
        <w:tc>
          <w:tcPr>
            <w:tcW w:w="0" w:type="auto"/>
            <w:gridSpan w:val="3"/>
            <w:shd w:val="clear" w:color="auto" w:fill="auto"/>
            <w:vAlign w:val="bottom"/>
          </w:tcPr>
          <w:p w14:paraId="5F2CEB73" w14:textId="77777777" w:rsidR="00E836FB" w:rsidRDefault="00E836FB">
            <w:pPr>
              <w:rPr>
                <w:rFonts w:ascii="宋体"/>
                <w:vanish/>
              </w:rPr>
            </w:pPr>
          </w:p>
        </w:tc>
        <w:tc>
          <w:tcPr>
            <w:tcW w:w="0" w:type="auto"/>
            <w:gridSpan w:val="3"/>
            <w:shd w:val="clear" w:color="auto" w:fill="auto"/>
            <w:vAlign w:val="bottom"/>
          </w:tcPr>
          <w:p w14:paraId="5F2CEB74" w14:textId="77777777" w:rsidR="00E836FB" w:rsidRDefault="00E836FB">
            <w:pPr>
              <w:rPr>
                <w:rFonts w:ascii="宋体"/>
                <w:vanish/>
              </w:rPr>
            </w:pPr>
          </w:p>
        </w:tc>
      </w:tr>
      <w:tr w:rsidR="00E836FB" w14:paraId="5F2CEB80" w14:textId="77777777">
        <w:tc>
          <w:tcPr>
            <w:tcW w:w="0" w:type="auto"/>
            <w:gridSpan w:val="3"/>
            <w:shd w:val="clear" w:color="auto" w:fill="auto"/>
            <w:tcMar>
              <w:top w:w="0" w:type="dxa"/>
              <w:left w:w="20" w:type="dxa"/>
              <w:bottom w:w="0" w:type="dxa"/>
              <w:right w:w="20" w:type="dxa"/>
            </w:tcMar>
            <w:vAlign w:val="bottom"/>
          </w:tcPr>
          <w:p w14:paraId="5F2CEB76" w14:textId="77777777" w:rsidR="00E836FB" w:rsidRDefault="00E836F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F2CEB77" w14:textId="77777777" w:rsidR="00E836FB" w:rsidRDefault="00994958">
            <w:pPr>
              <w:jc w:val="center"/>
              <w:textAlignment w:val="bottom"/>
            </w:pPr>
            <w:r>
              <w:rPr>
                <w:rFonts w:ascii="Arial" w:eastAsia="宋体" w:hAnsi="Arial" w:cs="Arial"/>
                <w:b/>
                <w:bCs/>
                <w:color w:val="000000"/>
                <w:sz w:val="16"/>
                <w:szCs w:val="16"/>
              </w:rPr>
              <w:t xml:space="preserve">Years </w:t>
            </w:r>
            <w:r>
              <w:rPr>
                <w:rFonts w:ascii="Arial" w:eastAsia="宋体" w:hAnsi="Arial" w:cs="Arial"/>
                <w:b/>
                <w:bCs/>
                <w:color w:val="000000"/>
                <w:sz w:val="16"/>
                <w:szCs w:val="16"/>
              </w:rPr>
              <w:t>Ended December 31,</w:t>
            </w:r>
          </w:p>
        </w:tc>
        <w:tc>
          <w:tcPr>
            <w:tcW w:w="0" w:type="auto"/>
            <w:gridSpan w:val="3"/>
            <w:shd w:val="clear" w:color="auto" w:fill="auto"/>
            <w:vAlign w:val="bottom"/>
          </w:tcPr>
          <w:p w14:paraId="5F2CEB78" w14:textId="77777777" w:rsidR="00E836FB" w:rsidRDefault="00E836FB">
            <w:pPr>
              <w:rPr>
                <w:rFonts w:ascii="宋体"/>
                <w:vanish/>
              </w:rPr>
            </w:pPr>
          </w:p>
        </w:tc>
        <w:tc>
          <w:tcPr>
            <w:tcW w:w="0" w:type="auto"/>
            <w:gridSpan w:val="3"/>
            <w:shd w:val="clear" w:color="auto" w:fill="auto"/>
            <w:vAlign w:val="bottom"/>
          </w:tcPr>
          <w:p w14:paraId="5F2CEB79" w14:textId="77777777" w:rsidR="00E836FB" w:rsidRDefault="00E836FB">
            <w:pPr>
              <w:rPr>
                <w:rFonts w:ascii="宋体"/>
                <w:vanish/>
              </w:rPr>
            </w:pPr>
          </w:p>
        </w:tc>
        <w:tc>
          <w:tcPr>
            <w:tcW w:w="0" w:type="auto"/>
            <w:gridSpan w:val="3"/>
            <w:shd w:val="clear" w:color="auto" w:fill="auto"/>
            <w:vAlign w:val="bottom"/>
          </w:tcPr>
          <w:p w14:paraId="5F2CEB7A" w14:textId="77777777" w:rsidR="00E836FB" w:rsidRDefault="00E836FB">
            <w:pPr>
              <w:rPr>
                <w:rFonts w:ascii="宋体"/>
                <w:vanish/>
              </w:rPr>
            </w:pPr>
          </w:p>
        </w:tc>
        <w:tc>
          <w:tcPr>
            <w:tcW w:w="0" w:type="auto"/>
            <w:gridSpan w:val="3"/>
            <w:shd w:val="clear" w:color="auto" w:fill="auto"/>
            <w:vAlign w:val="bottom"/>
          </w:tcPr>
          <w:p w14:paraId="5F2CEB7B" w14:textId="77777777" w:rsidR="00E836FB" w:rsidRDefault="00E836FB">
            <w:pPr>
              <w:rPr>
                <w:rFonts w:ascii="宋体"/>
                <w:vanish/>
              </w:rPr>
            </w:pPr>
          </w:p>
        </w:tc>
        <w:tc>
          <w:tcPr>
            <w:tcW w:w="0" w:type="auto"/>
            <w:gridSpan w:val="3"/>
            <w:shd w:val="clear" w:color="auto" w:fill="auto"/>
            <w:vAlign w:val="bottom"/>
          </w:tcPr>
          <w:p w14:paraId="5F2CEB7C" w14:textId="77777777" w:rsidR="00E836FB" w:rsidRDefault="00E836FB">
            <w:pPr>
              <w:rPr>
                <w:rFonts w:ascii="宋体"/>
                <w:vanish/>
              </w:rPr>
            </w:pPr>
          </w:p>
        </w:tc>
        <w:tc>
          <w:tcPr>
            <w:tcW w:w="0" w:type="auto"/>
            <w:gridSpan w:val="3"/>
            <w:shd w:val="clear" w:color="auto" w:fill="auto"/>
            <w:vAlign w:val="bottom"/>
          </w:tcPr>
          <w:p w14:paraId="5F2CEB7D" w14:textId="77777777" w:rsidR="00E836FB" w:rsidRDefault="00E836FB">
            <w:pPr>
              <w:rPr>
                <w:rFonts w:ascii="宋体"/>
                <w:vanish/>
              </w:rPr>
            </w:pPr>
          </w:p>
        </w:tc>
        <w:tc>
          <w:tcPr>
            <w:tcW w:w="0" w:type="auto"/>
            <w:gridSpan w:val="3"/>
            <w:shd w:val="clear" w:color="auto" w:fill="auto"/>
            <w:vAlign w:val="bottom"/>
          </w:tcPr>
          <w:p w14:paraId="5F2CEB7E" w14:textId="77777777" w:rsidR="00E836FB" w:rsidRDefault="00E836FB">
            <w:pPr>
              <w:rPr>
                <w:rFonts w:ascii="宋体"/>
                <w:vanish/>
              </w:rPr>
            </w:pPr>
          </w:p>
        </w:tc>
        <w:tc>
          <w:tcPr>
            <w:tcW w:w="0" w:type="auto"/>
            <w:gridSpan w:val="3"/>
            <w:shd w:val="clear" w:color="auto" w:fill="auto"/>
            <w:vAlign w:val="bottom"/>
          </w:tcPr>
          <w:p w14:paraId="5F2CEB7F" w14:textId="77777777" w:rsidR="00E836FB" w:rsidRDefault="00E836FB">
            <w:pPr>
              <w:rPr>
                <w:rFonts w:ascii="宋体"/>
                <w:vanish/>
              </w:rPr>
            </w:pPr>
          </w:p>
        </w:tc>
      </w:tr>
      <w:tr w:rsidR="00E836FB" w14:paraId="5F2CEB8D" w14:textId="77777777">
        <w:tc>
          <w:tcPr>
            <w:tcW w:w="0" w:type="auto"/>
            <w:gridSpan w:val="3"/>
            <w:shd w:val="clear" w:color="auto" w:fill="auto"/>
            <w:tcMar>
              <w:top w:w="0" w:type="dxa"/>
              <w:left w:w="20" w:type="dxa"/>
              <w:bottom w:w="0" w:type="dxa"/>
              <w:right w:w="20" w:type="dxa"/>
            </w:tcMar>
            <w:vAlign w:val="bottom"/>
          </w:tcPr>
          <w:p w14:paraId="5F2CEB81"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CEB82"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B83"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CEB84"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5F2CEB85" w14:textId="77777777" w:rsidR="00E836FB" w:rsidRDefault="00E836FB">
            <w:pPr>
              <w:rPr>
                <w:rFonts w:ascii="宋体"/>
                <w:vanish/>
              </w:rPr>
            </w:pPr>
          </w:p>
        </w:tc>
        <w:tc>
          <w:tcPr>
            <w:tcW w:w="0" w:type="auto"/>
            <w:gridSpan w:val="3"/>
            <w:shd w:val="clear" w:color="auto" w:fill="auto"/>
            <w:vAlign w:val="bottom"/>
          </w:tcPr>
          <w:p w14:paraId="5F2CEB86" w14:textId="77777777" w:rsidR="00E836FB" w:rsidRDefault="00E836FB">
            <w:pPr>
              <w:rPr>
                <w:rFonts w:ascii="宋体"/>
                <w:vanish/>
              </w:rPr>
            </w:pPr>
          </w:p>
        </w:tc>
        <w:tc>
          <w:tcPr>
            <w:tcW w:w="0" w:type="auto"/>
            <w:gridSpan w:val="3"/>
            <w:shd w:val="clear" w:color="auto" w:fill="auto"/>
            <w:vAlign w:val="bottom"/>
          </w:tcPr>
          <w:p w14:paraId="5F2CEB87" w14:textId="77777777" w:rsidR="00E836FB" w:rsidRDefault="00E836FB">
            <w:pPr>
              <w:rPr>
                <w:rFonts w:ascii="宋体"/>
                <w:vanish/>
              </w:rPr>
            </w:pPr>
          </w:p>
        </w:tc>
        <w:tc>
          <w:tcPr>
            <w:tcW w:w="0" w:type="auto"/>
            <w:gridSpan w:val="3"/>
            <w:shd w:val="clear" w:color="auto" w:fill="auto"/>
            <w:vAlign w:val="bottom"/>
          </w:tcPr>
          <w:p w14:paraId="5F2CEB88" w14:textId="77777777" w:rsidR="00E836FB" w:rsidRDefault="00E836FB">
            <w:pPr>
              <w:rPr>
                <w:rFonts w:ascii="宋体"/>
                <w:vanish/>
              </w:rPr>
            </w:pPr>
          </w:p>
        </w:tc>
        <w:tc>
          <w:tcPr>
            <w:tcW w:w="0" w:type="auto"/>
            <w:gridSpan w:val="3"/>
            <w:shd w:val="clear" w:color="auto" w:fill="auto"/>
            <w:vAlign w:val="bottom"/>
          </w:tcPr>
          <w:p w14:paraId="5F2CEB89" w14:textId="77777777" w:rsidR="00E836FB" w:rsidRDefault="00E836FB">
            <w:pPr>
              <w:rPr>
                <w:rFonts w:ascii="宋体"/>
                <w:vanish/>
              </w:rPr>
            </w:pPr>
          </w:p>
        </w:tc>
        <w:tc>
          <w:tcPr>
            <w:tcW w:w="0" w:type="auto"/>
            <w:gridSpan w:val="3"/>
            <w:shd w:val="clear" w:color="auto" w:fill="auto"/>
            <w:vAlign w:val="bottom"/>
          </w:tcPr>
          <w:p w14:paraId="5F2CEB8A" w14:textId="77777777" w:rsidR="00E836FB" w:rsidRDefault="00E836FB">
            <w:pPr>
              <w:rPr>
                <w:rFonts w:ascii="宋体"/>
                <w:vanish/>
              </w:rPr>
            </w:pPr>
          </w:p>
        </w:tc>
        <w:tc>
          <w:tcPr>
            <w:tcW w:w="0" w:type="auto"/>
            <w:gridSpan w:val="3"/>
            <w:shd w:val="clear" w:color="auto" w:fill="auto"/>
            <w:vAlign w:val="bottom"/>
          </w:tcPr>
          <w:p w14:paraId="5F2CEB8B" w14:textId="77777777" w:rsidR="00E836FB" w:rsidRDefault="00E836FB">
            <w:pPr>
              <w:rPr>
                <w:rFonts w:ascii="宋体"/>
                <w:vanish/>
              </w:rPr>
            </w:pPr>
          </w:p>
        </w:tc>
        <w:tc>
          <w:tcPr>
            <w:tcW w:w="0" w:type="auto"/>
            <w:gridSpan w:val="3"/>
            <w:shd w:val="clear" w:color="auto" w:fill="auto"/>
            <w:vAlign w:val="bottom"/>
          </w:tcPr>
          <w:p w14:paraId="5F2CEB8C" w14:textId="77777777" w:rsidR="00E836FB" w:rsidRDefault="00E836FB">
            <w:pPr>
              <w:rPr>
                <w:rFonts w:ascii="宋体"/>
                <w:vanish/>
              </w:rPr>
            </w:pPr>
          </w:p>
        </w:tc>
      </w:tr>
      <w:tr w:rsidR="00E836FB" w14:paraId="5F2CEB9E" w14:textId="77777777">
        <w:tc>
          <w:tcPr>
            <w:tcW w:w="0" w:type="auto"/>
            <w:gridSpan w:val="3"/>
            <w:shd w:val="clear" w:color="auto" w:fill="auto"/>
            <w:tcMar>
              <w:top w:w="0" w:type="dxa"/>
              <w:left w:w="20" w:type="dxa"/>
              <w:bottom w:w="0" w:type="dxa"/>
              <w:right w:w="20" w:type="dxa"/>
            </w:tcMar>
            <w:vAlign w:val="bottom"/>
          </w:tcPr>
          <w:p w14:paraId="5F2CEB8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B8F" w14:textId="77777777" w:rsidR="00E836FB" w:rsidRDefault="00994958">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B9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B91" w14:textId="77777777" w:rsidR="00E836FB" w:rsidRDefault="00994958">
            <w:pPr>
              <w:jc w:val="center"/>
              <w:textAlignment w:val="bottom"/>
            </w:pPr>
            <w:r>
              <w:rPr>
                <w:rFonts w:ascii="Arial" w:eastAsia="宋体" w:hAnsi="Arial" w:cs="Arial"/>
                <w:b/>
                <w:bCs/>
                <w:color w:val="000000"/>
                <w:sz w:val="16"/>
                <w:szCs w:val="16"/>
              </w:rPr>
              <w:t>Total</w:t>
            </w:r>
            <w:r>
              <w:rPr>
                <w:rFonts w:ascii="Arial" w:eastAsia="宋体" w:hAnsi="Arial" w:cs="Arial"/>
                <w:b/>
                <w:bCs/>
                <w:color w:val="000000"/>
                <w:sz w:val="16"/>
                <w:szCs w:val="16"/>
              </w:rPr>
              <w:br/>
              <w:t>(In millions)</w:t>
            </w:r>
          </w:p>
        </w:tc>
        <w:tc>
          <w:tcPr>
            <w:tcW w:w="0" w:type="auto"/>
            <w:gridSpan w:val="3"/>
            <w:shd w:val="clear" w:color="auto" w:fill="auto"/>
            <w:tcMar>
              <w:top w:w="0" w:type="dxa"/>
              <w:left w:w="20" w:type="dxa"/>
              <w:bottom w:w="0" w:type="dxa"/>
              <w:right w:w="20" w:type="dxa"/>
            </w:tcMar>
            <w:vAlign w:val="bottom"/>
          </w:tcPr>
          <w:p w14:paraId="5F2CEB9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B93" w14:textId="77777777" w:rsidR="00E836FB" w:rsidRDefault="00994958">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B9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B95" w14:textId="77777777" w:rsidR="00E836FB" w:rsidRDefault="00994958">
            <w:pPr>
              <w:jc w:val="center"/>
              <w:textAlignment w:val="bottom"/>
            </w:pPr>
            <w:r>
              <w:rPr>
                <w:rFonts w:ascii="Arial" w:eastAsia="宋体" w:hAnsi="Arial" w:cs="Arial"/>
                <w:b/>
                <w:bCs/>
                <w:color w:val="000000"/>
                <w:sz w:val="16"/>
                <w:szCs w:val="16"/>
              </w:rPr>
              <w:t>Total</w:t>
            </w:r>
            <w:r>
              <w:rPr>
                <w:rFonts w:ascii="Arial" w:eastAsia="宋体" w:hAnsi="Arial" w:cs="Arial"/>
                <w:b/>
                <w:bCs/>
                <w:color w:val="000000"/>
                <w:sz w:val="16"/>
                <w:szCs w:val="16"/>
              </w:rPr>
              <w:br/>
              <w:t>(In millions)</w:t>
            </w:r>
          </w:p>
        </w:tc>
        <w:tc>
          <w:tcPr>
            <w:tcW w:w="0" w:type="auto"/>
            <w:gridSpan w:val="3"/>
            <w:shd w:val="clear" w:color="auto" w:fill="auto"/>
            <w:vAlign w:val="bottom"/>
          </w:tcPr>
          <w:p w14:paraId="5F2CEB96" w14:textId="77777777" w:rsidR="00E836FB" w:rsidRDefault="00E836FB">
            <w:pPr>
              <w:rPr>
                <w:rFonts w:ascii="宋体"/>
                <w:vanish/>
              </w:rPr>
            </w:pPr>
          </w:p>
        </w:tc>
        <w:tc>
          <w:tcPr>
            <w:tcW w:w="0" w:type="auto"/>
            <w:gridSpan w:val="3"/>
            <w:shd w:val="clear" w:color="auto" w:fill="auto"/>
            <w:vAlign w:val="bottom"/>
          </w:tcPr>
          <w:p w14:paraId="5F2CEB97" w14:textId="77777777" w:rsidR="00E836FB" w:rsidRDefault="00E836FB">
            <w:pPr>
              <w:rPr>
                <w:rFonts w:ascii="宋体"/>
                <w:vanish/>
              </w:rPr>
            </w:pPr>
          </w:p>
        </w:tc>
        <w:tc>
          <w:tcPr>
            <w:tcW w:w="0" w:type="auto"/>
            <w:gridSpan w:val="3"/>
            <w:shd w:val="clear" w:color="auto" w:fill="auto"/>
            <w:vAlign w:val="bottom"/>
          </w:tcPr>
          <w:p w14:paraId="5F2CEB98" w14:textId="77777777" w:rsidR="00E836FB" w:rsidRDefault="00E836FB">
            <w:pPr>
              <w:rPr>
                <w:rFonts w:ascii="宋体"/>
                <w:vanish/>
              </w:rPr>
            </w:pPr>
          </w:p>
        </w:tc>
        <w:tc>
          <w:tcPr>
            <w:tcW w:w="0" w:type="auto"/>
            <w:gridSpan w:val="3"/>
            <w:shd w:val="clear" w:color="auto" w:fill="auto"/>
            <w:vAlign w:val="bottom"/>
          </w:tcPr>
          <w:p w14:paraId="5F2CEB99" w14:textId="77777777" w:rsidR="00E836FB" w:rsidRDefault="00E836FB">
            <w:pPr>
              <w:rPr>
                <w:rFonts w:ascii="宋体"/>
                <w:vanish/>
              </w:rPr>
            </w:pPr>
          </w:p>
        </w:tc>
        <w:tc>
          <w:tcPr>
            <w:tcW w:w="0" w:type="auto"/>
            <w:gridSpan w:val="3"/>
            <w:shd w:val="clear" w:color="auto" w:fill="auto"/>
            <w:vAlign w:val="bottom"/>
          </w:tcPr>
          <w:p w14:paraId="5F2CEB9A" w14:textId="77777777" w:rsidR="00E836FB" w:rsidRDefault="00E836FB">
            <w:pPr>
              <w:rPr>
                <w:rFonts w:ascii="宋体"/>
                <w:vanish/>
              </w:rPr>
            </w:pPr>
          </w:p>
        </w:tc>
        <w:tc>
          <w:tcPr>
            <w:tcW w:w="0" w:type="auto"/>
            <w:gridSpan w:val="3"/>
            <w:shd w:val="clear" w:color="auto" w:fill="auto"/>
            <w:vAlign w:val="bottom"/>
          </w:tcPr>
          <w:p w14:paraId="5F2CEB9B" w14:textId="77777777" w:rsidR="00E836FB" w:rsidRDefault="00E836FB">
            <w:pPr>
              <w:rPr>
                <w:rFonts w:ascii="宋体"/>
                <w:vanish/>
              </w:rPr>
            </w:pPr>
          </w:p>
        </w:tc>
        <w:tc>
          <w:tcPr>
            <w:tcW w:w="0" w:type="auto"/>
            <w:gridSpan w:val="3"/>
            <w:shd w:val="clear" w:color="auto" w:fill="auto"/>
            <w:vAlign w:val="bottom"/>
          </w:tcPr>
          <w:p w14:paraId="5F2CEB9C" w14:textId="77777777" w:rsidR="00E836FB" w:rsidRDefault="00E836FB">
            <w:pPr>
              <w:rPr>
                <w:rFonts w:ascii="宋体"/>
                <w:vanish/>
              </w:rPr>
            </w:pPr>
          </w:p>
        </w:tc>
        <w:tc>
          <w:tcPr>
            <w:tcW w:w="0" w:type="auto"/>
            <w:gridSpan w:val="3"/>
            <w:shd w:val="clear" w:color="auto" w:fill="auto"/>
            <w:vAlign w:val="bottom"/>
          </w:tcPr>
          <w:p w14:paraId="5F2CEB9D" w14:textId="77777777" w:rsidR="00E836FB" w:rsidRDefault="00E836FB">
            <w:pPr>
              <w:rPr>
                <w:rFonts w:ascii="宋体"/>
                <w:vanish/>
              </w:rPr>
            </w:pPr>
          </w:p>
        </w:tc>
      </w:tr>
      <w:tr w:rsidR="00E836FB" w14:paraId="5F2CEBB7" w14:textId="77777777">
        <w:tc>
          <w:tcPr>
            <w:tcW w:w="0" w:type="auto"/>
            <w:gridSpan w:val="3"/>
            <w:shd w:val="clear" w:color="auto" w:fill="CCEEFF"/>
            <w:tcMar>
              <w:top w:w="40" w:type="dxa"/>
              <w:left w:w="20" w:type="dxa"/>
              <w:bottom w:w="40" w:type="dxa"/>
              <w:right w:w="20" w:type="dxa"/>
            </w:tcMar>
            <w:vAlign w:val="bottom"/>
          </w:tcPr>
          <w:p w14:paraId="5F2CEB9F" w14:textId="77777777" w:rsidR="00E836FB" w:rsidRDefault="00994958">
            <w:pPr>
              <w:textAlignment w:val="bottom"/>
            </w:pPr>
            <w:r>
              <w:rPr>
                <w:rFonts w:ascii="Arial" w:eastAsia="宋体" w:hAnsi="Arial" w:cs="Arial"/>
                <w:color w:val="000000"/>
                <w:sz w:val="16"/>
                <w:szCs w:val="16"/>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EBA0"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BA1" w14:textId="77777777" w:rsidR="00E836FB" w:rsidRDefault="00994958">
            <w:pPr>
              <w:jc w:val="right"/>
              <w:textAlignment w:val="bottom"/>
            </w:pPr>
            <w:r>
              <w:rPr>
                <w:rFonts w:ascii="Arial" w:eastAsia="宋体" w:hAnsi="Arial" w:cs="Arial"/>
                <w:b/>
                <w:bCs/>
                <w:color w:val="000000"/>
                <w:sz w:val="16"/>
                <w:szCs w:val="16"/>
              </w:rPr>
              <w:t>2.18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B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BA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BA4"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BA5" w14:textId="77777777" w:rsidR="00E836FB" w:rsidRDefault="00994958">
            <w:pPr>
              <w:jc w:val="right"/>
              <w:textAlignment w:val="bottom"/>
            </w:pPr>
            <w:r>
              <w:rPr>
                <w:rFonts w:ascii="Arial" w:eastAsia="宋体" w:hAnsi="Arial" w:cs="Arial"/>
                <w:b/>
                <w:bCs/>
                <w:color w:val="000000"/>
                <w:sz w:val="16"/>
                <w:szCs w:val="16"/>
              </w:rPr>
              <w:t>779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B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BA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BA8"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BA9" w14:textId="77777777" w:rsidR="00E836FB" w:rsidRDefault="00994958">
            <w:pPr>
              <w:jc w:val="right"/>
              <w:textAlignment w:val="bottom"/>
            </w:pPr>
            <w:r>
              <w:rPr>
                <w:rFonts w:ascii="Arial" w:eastAsia="宋体" w:hAnsi="Arial" w:cs="Arial"/>
                <w:color w:val="000000"/>
                <w:sz w:val="16"/>
                <w:szCs w:val="16"/>
              </w:rPr>
              <w:t>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B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BA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BAC"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BAD" w14:textId="77777777" w:rsidR="00E836FB" w:rsidRDefault="00994958">
            <w:pPr>
              <w:jc w:val="right"/>
              <w:textAlignment w:val="bottom"/>
            </w:pPr>
            <w:r>
              <w:rPr>
                <w:rFonts w:ascii="Arial" w:eastAsia="宋体" w:hAnsi="Arial" w:cs="Arial"/>
                <w:color w:val="000000"/>
                <w:sz w:val="16"/>
                <w:szCs w:val="16"/>
              </w:rPr>
              <w:t>734 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BAE" w14:textId="77777777" w:rsidR="00E836FB" w:rsidRDefault="00E836FB">
            <w:pPr>
              <w:jc w:val="right"/>
              <w:rPr>
                <w:rFonts w:ascii="宋体"/>
              </w:rPr>
            </w:pPr>
          </w:p>
        </w:tc>
        <w:tc>
          <w:tcPr>
            <w:tcW w:w="0" w:type="auto"/>
            <w:gridSpan w:val="3"/>
            <w:shd w:val="clear" w:color="auto" w:fill="auto"/>
            <w:vAlign w:val="bottom"/>
          </w:tcPr>
          <w:p w14:paraId="5F2CEBAF" w14:textId="77777777" w:rsidR="00E836FB" w:rsidRDefault="00E836FB">
            <w:pPr>
              <w:rPr>
                <w:rFonts w:ascii="宋体"/>
                <w:vanish/>
              </w:rPr>
            </w:pPr>
          </w:p>
        </w:tc>
        <w:tc>
          <w:tcPr>
            <w:tcW w:w="0" w:type="auto"/>
            <w:gridSpan w:val="3"/>
            <w:shd w:val="clear" w:color="auto" w:fill="auto"/>
            <w:vAlign w:val="bottom"/>
          </w:tcPr>
          <w:p w14:paraId="5F2CEBB0" w14:textId="77777777" w:rsidR="00E836FB" w:rsidRDefault="00E836FB">
            <w:pPr>
              <w:rPr>
                <w:rFonts w:ascii="宋体"/>
                <w:vanish/>
              </w:rPr>
            </w:pPr>
          </w:p>
        </w:tc>
        <w:tc>
          <w:tcPr>
            <w:tcW w:w="0" w:type="auto"/>
            <w:gridSpan w:val="3"/>
            <w:shd w:val="clear" w:color="auto" w:fill="auto"/>
            <w:vAlign w:val="bottom"/>
          </w:tcPr>
          <w:p w14:paraId="5F2CEBB1" w14:textId="77777777" w:rsidR="00E836FB" w:rsidRDefault="00E836FB">
            <w:pPr>
              <w:rPr>
                <w:rFonts w:ascii="宋体"/>
                <w:vanish/>
              </w:rPr>
            </w:pPr>
          </w:p>
        </w:tc>
        <w:tc>
          <w:tcPr>
            <w:tcW w:w="0" w:type="auto"/>
            <w:gridSpan w:val="3"/>
            <w:shd w:val="clear" w:color="auto" w:fill="auto"/>
            <w:vAlign w:val="bottom"/>
          </w:tcPr>
          <w:p w14:paraId="5F2CEBB2" w14:textId="77777777" w:rsidR="00E836FB" w:rsidRDefault="00E836FB">
            <w:pPr>
              <w:rPr>
                <w:rFonts w:ascii="宋体"/>
                <w:vanish/>
              </w:rPr>
            </w:pPr>
          </w:p>
        </w:tc>
        <w:tc>
          <w:tcPr>
            <w:tcW w:w="0" w:type="auto"/>
            <w:gridSpan w:val="3"/>
            <w:shd w:val="clear" w:color="auto" w:fill="auto"/>
            <w:vAlign w:val="bottom"/>
          </w:tcPr>
          <w:p w14:paraId="5F2CEBB3" w14:textId="77777777" w:rsidR="00E836FB" w:rsidRDefault="00E836FB">
            <w:pPr>
              <w:rPr>
                <w:rFonts w:ascii="宋体"/>
                <w:vanish/>
              </w:rPr>
            </w:pPr>
          </w:p>
        </w:tc>
        <w:tc>
          <w:tcPr>
            <w:tcW w:w="0" w:type="auto"/>
            <w:gridSpan w:val="3"/>
            <w:shd w:val="clear" w:color="auto" w:fill="auto"/>
            <w:vAlign w:val="bottom"/>
          </w:tcPr>
          <w:p w14:paraId="5F2CEBB4" w14:textId="77777777" w:rsidR="00E836FB" w:rsidRDefault="00E836FB">
            <w:pPr>
              <w:rPr>
                <w:rFonts w:ascii="宋体"/>
                <w:vanish/>
              </w:rPr>
            </w:pPr>
          </w:p>
        </w:tc>
        <w:tc>
          <w:tcPr>
            <w:tcW w:w="0" w:type="auto"/>
            <w:gridSpan w:val="3"/>
            <w:shd w:val="clear" w:color="auto" w:fill="auto"/>
            <w:vAlign w:val="bottom"/>
          </w:tcPr>
          <w:p w14:paraId="5F2CEBB5" w14:textId="77777777" w:rsidR="00E836FB" w:rsidRDefault="00E836FB">
            <w:pPr>
              <w:rPr>
                <w:rFonts w:ascii="宋体"/>
                <w:vanish/>
              </w:rPr>
            </w:pPr>
          </w:p>
        </w:tc>
        <w:tc>
          <w:tcPr>
            <w:tcW w:w="0" w:type="auto"/>
            <w:gridSpan w:val="3"/>
            <w:shd w:val="clear" w:color="auto" w:fill="auto"/>
            <w:vAlign w:val="bottom"/>
          </w:tcPr>
          <w:p w14:paraId="5F2CEBB6" w14:textId="77777777" w:rsidR="00E836FB" w:rsidRDefault="00E836FB">
            <w:pPr>
              <w:rPr>
                <w:rFonts w:ascii="宋体"/>
                <w:vanish/>
              </w:rPr>
            </w:pPr>
          </w:p>
        </w:tc>
      </w:tr>
      <w:tr w:rsidR="00E836FB" w14:paraId="5F2CEBC8" w14:textId="77777777">
        <w:trPr>
          <w:hidden/>
        </w:trPr>
        <w:tc>
          <w:tcPr>
            <w:tcW w:w="0" w:type="auto"/>
            <w:gridSpan w:val="3"/>
            <w:shd w:val="clear" w:color="auto" w:fill="auto"/>
            <w:vAlign w:val="bottom"/>
          </w:tcPr>
          <w:p w14:paraId="5F2CEBB8" w14:textId="77777777" w:rsidR="00E836FB" w:rsidRDefault="00E836FB">
            <w:pPr>
              <w:rPr>
                <w:rFonts w:ascii="宋体"/>
                <w:vanish/>
              </w:rPr>
            </w:pPr>
          </w:p>
        </w:tc>
        <w:tc>
          <w:tcPr>
            <w:tcW w:w="0" w:type="auto"/>
            <w:gridSpan w:val="3"/>
            <w:shd w:val="clear" w:color="auto" w:fill="auto"/>
            <w:vAlign w:val="bottom"/>
          </w:tcPr>
          <w:p w14:paraId="5F2CEBB9" w14:textId="77777777" w:rsidR="00E836FB" w:rsidRDefault="00E836FB">
            <w:pPr>
              <w:rPr>
                <w:rFonts w:ascii="宋体"/>
                <w:vanish/>
              </w:rPr>
            </w:pPr>
          </w:p>
        </w:tc>
        <w:tc>
          <w:tcPr>
            <w:tcW w:w="0" w:type="auto"/>
            <w:gridSpan w:val="3"/>
            <w:shd w:val="clear" w:color="auto" w:fill="auto"/>
            <w:vAlign w:val="bottom"/>
          </w:tcPr>
          <w:p w14:paraId="5F2CEBBA" w14:textId="77777777" w:rsidR="00E836FB" w:rsidRDefault="00E836FB">
            <w:pPr>
              <w:rPr>
                <w:rFonts w:ascii="宋体"/>
                <w:vanish/>
              </w:rPr>
            </w:pPr>
          </w:p>
        </w:tc>
        <w:tc>
          <w:tcPr>
            <w:tcW w:w="0" w:type="auto"/>
            <w:gridSpan w:val="3"/>
            <w:shd w:val="clear" w:color="auto" w:fill="auto"/>
            <w:vAlign w:val="bottom"/>
          </w:tcPr>
          <w:p w14:paraId="5F2CEBBB" w14:textId="77777777" w:rsidR="00E836FB" w:rsidRDefault="00E836FB">
            <w:pPr>
              <w:rPr>
                <w:rFonts w:ascii="宋体"/>
                <w:vanish/>
              </w:rPr>
            </w:pPr>
          </w:p>
        </w:tc>
        <w:tc>
          <w:tcPr>
            <w:tcW w:w="0" w:type="auto"/>
            <w:gridSpan w:val="3"/>
            <w:shd w:val="clear" w:color="auto" w:fill="auto"/>
            <w:vAlign w:val="bottom"/>
          </w:tcPr>
          <w:p w14:paraId="5F2CEBBC" w14:textId="77777777" w:rsidR="00E836FB" w:rsidRDefault="00E836FB">
            <w:pPr>
              <w:rPr>
                <w:rFonts w:ascii="宋体"/>
                <w:vanish/>
              </w:rPr>
            </w:pPr>
          </w:p>
        </w:tc>
        <w:tc>
          <w:tcPr>
            <w:tcW w:w="0" w:type="auto"/>
            <w:gridSpan w:val="3"/>
            <w:shd w:val="clear" w:color="auto" w:fill="auto"/>
            <w:vAlign w:val="bottom"/>
          </w:tcPr>
          <w:p w14:paraId="5F2CEBBD" w14:textId="77777777" w:rsidR="00E836FB" w:rsidRDefault="00E836FB">
            <w:pPr>
              <w:rPr>
                <w:rFonts w:ascii="宋体"/>
                <w:vanish/>
              </w:rPr>
            </w:pPr>
          </w:p>
        </w:tc>
        <w:tc>
          <w:tcPr>
            <w:tcW w:w="0" w:type="auto"/>
            <w:gridSpan w:val="3"/>
            <w:shd w:val="clear" w:color="auto" w:fill="auto"/>
            <w:vAlign w:val="bottom"/>
          </w:tcPr>
          <w:p w14:paraId="5F2CEBBE" w14:textId="77777777" w:rsidR="00E836FB" w:rsidRDefault="00E836FB">
            <w:pPr>
              <w:rPr>
                <w:rFonts w:ascii="宋体"/>
                <w:vanish/>
              </w:rPr>
            </w:pPr>
          </w:p>
        </w:tc>
        <w:tc>
          <w:tcPr>
            <w:tcW w:w="0" w:type="auto"/>
            <w:gridSpan w:val="3"/>
            <w:shd w:val="clear" w:color="auto" w:fill="auto"/>
            <w:vAlign w:val="bottom"/>
          </w:tcPr>
          <w:p w14:paraId="5F2CEBBF" w14:textId="77777777" w:rsidR="00E836FB" w:rsidRDefault="00E836FB">
            <w:pPr>
              <w:rPr>
                <w:rFonts w:ascii="宋体"/>
                <w:vanish/>
              </w:rPr>
            </w:pPr>
          </w:p>
        </w:tc>
        <w:tc>
          <w:tcPr>
            <w:tcW w:w="0" w:type="auto"/>
            <w:gridSpan w:val="3"/>
            <w:shd w:val="clear" w:color="auto" w:fill="auto"/>
            <w:vAlign w:val="bottom"/>
          </w:tcPr>
          <w:p w14:paraId="5F2CEBC0" w14:textId="77777777" w:rsidR="00E836FB" w:rsidRDefault="00E836FB">
            <w:pPr>
              <w:rPr>
                <w:rFonts w:ascii="宋体"/>
                <w:vanish/>
              </w:rPr>
            </w:pPr>
          </w:p>
        </w:tc>
        <w:tc>
          <w:tcPr>
            <w:tcW w:w="0" w:type="auto"/>
            <w:gridSpan w:val="3"/>
            <w:shd w:val="clear" w:color="auto" w:fill="auto"/>
            <w:vAlign w:val="bottom"/>
          </w:tcPr>
          <w:p w14:paraId="5F2CEBC1" w14:textId="77777777" w:rsidR="00E836FB" w:rsidRDefault="00E836FB">
            <w:pPr>
              <w:rPr>
                <w:rFonts w:ascii="宋体"/>
                <w:vanish/>
              </w:rPr>
            </w:pPr>
          </w:p>
        </w:tc>
        <w:tc>
          <w:tcPr>
            <w:tcW w:w="0" w:type="auto"/>
            <w:gridSpan w:val="3"/>
            <w:shd w:val="clear" w:color="auto" w:fill="auto"/>
            <w:vAlign w:val="bottom"/>
          </w:tcPr>
          <w:p w14:paraId="5F2CEBC2" w14:textId="77777777" w:rsidR="00E836FB" w:rsidRDefault="00E836FB">
            <w:pPr>
              <w:rPr>
                <w:rFonts w:ascii="宋体"/>
                <w:vanish/>
              </w:rPr>
            </w:pPr>
          </w:p>
        </w:tc>
        <w:tc>
          <w:tcPr>
            <w:tcW w:w="0" w:type="auto"/>
            <w:gridSpan w:val="3"/>
            <w:shd w:val="clear" w:color="auto" w:fill="auto"/>
            <w:vAlign w:val="bottom"/>
          </w:tcPr>
          <w:p w14:paraId="5F2CEBC3" w14:textId="77777777" w:rsidR="00E836FB" w:rsidRDefault="00E836FB">
            <w:pPr>
              <w:rPr>
                <w:rFonts w:ascii="宋体"/>
                <w:vanish/>
              </w:rPr>
            </w:pPr>
          </w:p>
        </w:tc>
        <w:tc>
          <w:tcPr>
            <w:tcW w:w="0" w:type="auto"/>
            <w:gridSpan w:val="3"/>
            <w:shd w:val="clear" w:color="auto" w:fill="auto"/>
            <w:vAlign w:val="bottom"/>
          </w:tcPr>
          <w:p w14:paraId="5F2CEBC4" w14:textId="77777777" w:rsidR="00E836FB" w:rsidRDefault="00E836FB">
            <w:pPr>
              <w:rPr>
                <w:rFonts w:ascii="宋体"/>
                <w:vanish/>
              </w:rPr>
            </w:pPr>
          </w:p>
        </w:tc>
        <w:tc>
          <w:tcPr>
            <w:tcW w:w="0" w:type="auto"/>
            <w:gridSpan w:val="3"/>
            <w:shd w:val="clear" w:color="auto" w:fill="auto"/>
            <w:vAlign w:val="bottom"/>
          </w:tcPr>
          <w:p w14:paraId="5F2CEBC5" w14:textId="77777777" w:rsidR="00E836FB" w:rsidRDefault="00E836FB">
            <w:pPr>
              <w:rPr>
                <w:rFonts w:ascii="宋体"/>
                <w:vanish/>
              </w:rPr>
            </w:pPr>
          </w:p>
        </w:tc>
        <w:tc>
          <w:tcPr>
            <w:tcW w:w="0" w:type="auto"/>
            <w:gridSpan w:val="3"/>
            <w:shd w:val="clear" w:color="auto" w:fill="auto"/>
            <w:vAlign w:val="bottom"/>
          </w:tcPr>
          <w:p w14:paraId="5F2CEBC6" w14:textId="77777777" w:rsidR="00E836FB" w:rsidRDefault="00E836FB">
            <w:pPr>
              <w:rPr>
                <w:rFonts w:ascii="宋体"/>
                <w:vanish/>
              </w:rPr>
            </w:pPr>
          </w:p>
        </w:tc>
        <w:tc>
          <w:tcPr>
            <w:tcW w:w="0" w:type="auto"/>
            <w:gridSpan w:val="3"/>
            <w:shd w:val="clear" w:color="auto" w:fill="auto"/>
            <w:vAlign w:val="bottom"/>
          </w:tcPr>
          <w:p w14:paraId="5F2CEBC7" w14:textId="77777777" w:rsidR="00E836FB" w:rsidRDefault="00E836FB">
            <w:pPr>
              <w:rPr>
                <w:rFonts w:ascii="宋体"/>
                <w:vanish/>
              </w:rPr>
            </w:pPr>
          </w:p>
        </w:tc>
      </w:tr>
      <w:tr w:rsidR="00E836FB" w14:paraId="5F2CEBD9" w14:textId="77777777">
        <w:trPr>
          <w:hidden/>
        </w:trPr>
        <w:tc>
          <w:tcPr>
            <w:tcW w:w="0" w:type="auto"/>
            <w:gridSpan w:val="3"/>
            <w:shd w:val="clear" w:color="auto" w:fill="auto"/>
            <w:vAlign w:val="bottom"/>
          </w:tcPr>
          <w:p w14:paraId="5F2CEBC9" w14:textId="77777777" w:rsidR="00E836FB" w:rsidRDefault="00E836FB">
            <w:pPr>
              <w:rPr>
                <w:rFonts w:ascii="宋体"/>
                <w:vanish/>
              </w:rPr>
            </w:pPr>
          </w:p>
        </w:tc>
        <w:tc>
          <w:tcPr>
            <w:tcW w:w="0" w:type="auto"/>
            <w:gridSpan w:val="3"/>
            <w:shd w:val="clear" w:color="auto" w:fill="auto"/>
            <w:vAlign w:val="bottom"/>
          </w:tcPr>
          <w:p w14:paraId="5F2CEBCA" w14:textId="77777777" w:rsidR="00E836FB" w:rsidRDefault="00E836FB">
            <w:pPr>
              <w:rPr>
                <w:rFonts w:ascii="宋体"/>
                <w:vanish/>
              </w:rPr>
            </w:pPr>
          </w:p>
        </w:tc>
        <w:tc>
          <w:tcPr>
            <w:tcW w:w="0" w:type="auto"/>
            <w:gridSpan w:val="3"/>
            <w:shd w:val="clear" w:color="auto" w:fill="auto"/>
            <w:vAlign w:val="bottom"/>
          </w:tcPr>
          <w:p w14:paraId="5F2CEBCB" w14:textId="77777777" w:rsidR="00E836FB" w:rsidRDefault="00E836FB">
            <w:pPr>
              <w:rPr>
                <w:rFonts w:ascii="宋体"/>
                <w:vanish/>
              </w:rPr>
            </w:pPr>
          </w:p>
        </w:tc>
        <w:tc>
          <w:tcPr>
            <w:tcW w:w="0" w:type="auto"/>
            <w:gridSpan w:val="3"/>
            <w:shd w:val="clear" w:color="auto" w:fill="auto"/>
            <w:vAlign w:val="bottom"/>
          </w:tcPr>
          <w:p w14:paraId="5F2CEBCC" w14:textId="77777777" w:rsidR="00E836FB" w:rsidRDefault="00E836FB">
            <w:pPr>
              <w:rPr>
                <w:rFonts w:ascii="宋体"/>
                <w:vanish/>
              </w:rPr>
            </w:pPr>
          </w:p>
        </w:tc>
        <w:tc>
          <w:tcPr>
            <w:tcW w:w="0" w:type="auto"/>
            <w:gridSpan w:val="3"/>
            <w:shd w:val="clear" w:color="auto" w:fill="auto"/>
            <w:vAlign w:val="bottom"/>
          </w:tcPr>
          <w:p w14:paraId="5F2CEBCD" w14:textId="77777777" w:rsidR="00E836FB" w:rsidRDefault="00E836FB">
            <w:pPr>
              <w:rPr>
                <w:rFonts w:ascii="宋体"/>
                <w:vanish/>
              </w:rPr>
            </w:pPr>
          </w:p>
        </w:tc>
        <w:tc>
          <w:tcPr>
            <w:tcW w:w="0" w:type="auto"/>
            <w:gridSpan w:val="3"/>
            <w:shd w:val="clear" w:color="auto" w:fill="auto"/>
            <w:vAlign w:val="bottom"/>
          </w:tcPr>
          <w:p w14:paraId="5F2CEBCE" w14:textId="77777777" w:rsidR="00E836FB" w:rsidRDefault="00E836FB">
            <w:pPr>
              <w:rPr>
                <w:rFonts w:ascii="宋体"/>
                <w:vanish/>
              </w:rPr>
            </w:pPr>
          </w:p>
        </w:tc>
        <w:tc>
          <w:tcPr>
            <w:tcW w:w="0" w:type="auto"/>
            <w:gridSpan w:val="3"/>
            <w:shd w:val="clear" w:color="auto" w:fill="auto"/>
            <w:vAlign w:val="bottom"/>
          </w:tcPr>
          <w:p w14:paraId="5F2CEBCF" w14:textId="77777777" w:rsidR="00E836FB" w:rsidRDefault="00E836FB">
            <w:pPr>
              <w:rPr>
                <w:rFonts w:ascii="宋体"/>
                <w:vanish/>
              </w:rPr>
            </w:pPr>
          </w:p>
        </w:tc>
        <w:tc>
          <w:tcPr>
            <w:tcW w:w="0" w:type="auto"/>
            <w:gridSpan w:val="3"/>
            <w:shd w:val="clear" w:color="auto" w:fill="auto"/>
            <w:vAlign w:val="bottom"/>
          </w:tcPr>
          <w:p w14:paraId="5F2CEBD0" w14:textId="77777777" w:rsidR="00E836FB" w:rsidRDefault="00E836FB">
            <w:pPr>
              <w:rPr>
                <w:rFonts w:ascii="宋体"/>
                <w:vanish/>
              </w:rPr>
            </w:pPr>
          </w:p>
        </w:tc>
        <w:tc>
          <w:tcPr>
            <w:tcW w:w="0" w:type="auto"/>
            <w:gridSpan w:val="3"/>
            <w:shd w:val="clear" w:color="auto" w:fill="auto"/>
            <w:vAlign w:val="bottom"/>
          </w:tcPr>
          <w:p w14:paraId="5F2CEBD1" w14:textId="77777777" w:rsidR="00E836FB" w:rsidRDefault="00E836FB">
            <w:pPr>
              <w:rPr>
                <w:rFonts w:ascii="宋体"/>
                <w:vanish/>
              </w:rPr>
            </w:pPr>
          </w:p>
        </w:tc>
        <w:tc>
          <w:tcPr>
            <w:tcW w:w="0" w:type="auto"/>
            <w:gridSpan w:val="3"/>
            <w:shd w:val="clear" w:color="auto" w:fill="auto"/>
            <w:vAlign w:val="bottom"/>
          </w:tcPr>
          <w:p w14:paraId="5F2CEBD2" w14:textId="77777777" w:rsidR="00E836FB" w:rsidRDefault="00E836FB">
            <w:pPr>
              <w:rPr>
                <w:rFonts w:ascii="宋体"/>
                <w:vanish/>
              </w:rPr>
            </w:pPr>
          </w:p>
        </w:tc>
        <w:tc>
          <w:tcPr>
            <w:tcW w:w="0" w:type="auto"/>
            <w:gridSpan w:val="3"/>
            <w:shd w:val="clear" w:color="auto" w:fill="auto"/>
            <w:vAlign w:val="bottom"/>
          </w:tcPr>
          <w:p w14:paraId="5F2CEBD3" w14:textId="77777777" w:rsidR="00E836FB" w:rsidRDefault="00E836FB">
            <w:pPr>
              <w:rPr>
                <w:rFonts w:ascii="宋体"/>
                <w:vanish/>
              </w:rPr>
            </w:pPr>
          </w:p>
        </w:tc>
        <w:tc>
          <w:tcPr>
            <w:tcW w:w="0" w:type="auto"/>
            <w:gridSpan w:val="3"/>
            <w:shd w:val="clear" w:color="auto" w:fill="auto"/>
            <w:vAlign w:val="bottom"/>
          </w:tcPr>
          <w:p w14:paraId="5F2CEBD4" w14:textId="77777777" w:rsidR="00E836FB" w:rsidRDefault="00E836FB">
            <w:pPr>
              <w:rPr>
                <w:rFonts w:ascii="宋体"/>
                <w:vanish/>
              </w:rPr>
            </w:pPr>
          </w:p>
        </w:tc>
        <w:tc>
          <w:tcPr>
            <w:tcW w:w="0" w:type="auto"/>
            <w:gridSpan w:val="3"/>
            <w:shd w:val="clear" w:color="auto" w:fill="auto"/>
            <w:vAlign w:val="bottom"/>
          </w:tcPr>
          <w:p w14:paraId="5F2CEBD5" w14:textId="77777777" w:rsidR="00E836FB" w:rsidRDefault="00E836FB">
            <w:pPr>
              <w:rPr>
                <w:rFonts w:ascii="宋体"/>
                <w:vanish/>
              </w:rPr>
            </w:pPr>
          </w:p>
        </w:tc>
        <w:tc>
          <w:tcPr>
            <w:tcW w:w="0" w:type="auto"/>
            <w:gridSpan w:val="3"/>
            <w:shd w:val="clear" w:color="auto" w:fill="auto"/>
            <w:vAlign w:val="bottom"/>
          </w:tcPr>
          <w:p w14:paraId="5F2CEBD6" w14:textId="77777777" w:rsidR="00E836FB" w:rsidRDefault="00E836FB">
            <w:pPr>
              <w:rPr>
                <w:rFonts w:ascii="宋体"/>
                <w:vanish/>
              </w:rPr>
            </w:pPr>
          </w:p>
        </w:tc>
        <w:tc>
          <w:tcPr>
            <w:tcW w:w="0" w:type="auto"/>
            <w:gridSpan w:val="3"/>
            <w:shd w:val="clear" w:color="auto" w:fill="auto"/>
            <w:vAlign w:val="bottom"/>
          </w:tcPr>
          <w:p w14:paraId="5F2CEBD7" w14:textId="77777777" w:rsidR="00E836FB" w:rsidRDefault="00E836FB">
            <w:pPr>
              <w:rPr>
                <w:rFonts w:ascii="宋体"/>
                <w:vanish/>
              </w:rPr>
            </w:pPr>
          </w:p>
        </w:tc>
        <w:tc>
          <w:tcPr>
            <w:tcW w:w="0" w:type="auto"/>
            <w:gridSpan w:val="3"/>
            <w:shd w:val="clear" w:color="auto" w:fill="auto"/>
            <w:vAlign w:val="bottom"/>
          </w:tcPr>
          <w:p w14:paraId="5F2CEBD8" w14:textId="77777777" w:rsidR="00E836FB" w:rsidRDefault="00E836FB">
            <w:pPr>
              <w:rPr>
                <w:rFonts w:ascii="宋体"/>
                <w:vanish/>
              </w:rPr>
            </w:pPr>
          </w:p>
        </w:tc>
      </w:tr>
    </w:tbl>
    <w:p w14:paraId="5F2CEBDA" w14:textId="77777777" w:rsidR="00E836FB" w:rsidRDefault="00994958">
      <w:pPr>
        <w:spacing w:before="60"/>
        <w:ind w:firstLine="450"/>
        <w:jc w:val="both"/>
        <w:textAlignment w:val="top"/>
      </w:pPr>
      <w:r>
        <w:rPr>
          <w:rFonts w:ascii="Arial" w:eastAsia="宋体" w:hAnsi="Arial" w:cs="Arial"/>
          <w:color w:val="000000"/>
          <w:sz w:val="20"/>
          <w:szCs w:val="20"/>
        </w:rPr>
        <w:t xml:space="preserve">Federal and state banking regulations place </w:t>
      </w:r>
      <w:r>
        <w:rPr>
          <w:rFonts w:ascii="Arial" w:eastAsia="宋体" w:hAnsi="Arial" w:cs="Arial"/>
          <w:color w:val="000000"/>
          <w:sz w:val="20"/>
          <w:szCs w:val="20"/>
        </w:rPr>
        <w:t xml:space="preserve">certain restrictions on dividends paid by subsidiary banks to the parent holding company. In addition, banking regulators have the authority to prohibit bank holding companies from paying dividends. For information concerning limitations on dividends from </w:t>
      </w:r>
      <w:r>
        <w:rPr>
          <w:rFonts w:ascii="Arial" w:eastAsia="宋体" w:hAnsi="Arial" w:cs="Arial"/>
          <w:color w:val="000000"/>
          <w:sz w:val="20"/>
          <w:szCs w:val="20"/>
        </w:rPr>
        <w:t>our subsidiary banks, refer to "Related Stockholder Matters" included under Item 5, Market for Registrant’s Common Equity, Related Stockholder Matters and Issuer Purchases of Equity Securities, and to Note 15 to the consolidated financial statements in thi</w:t>
      </w:r>
      <w:r>
        <w:rPr>
          <w:rFonts w:ascii="Arial" w:eastAsia="宋体" w:hAnsi="Arial" w:cs="Arial"/>
          <w:color w:val="000000"/>
          <w:sz w:val="20"/>
          <w:szCs w:val="20"/>
        </w:rPr>
        <w:t>s Form 10-K. Our common stock and preferred stock dividends, including the declaration, timing and amount thereof, are subject to consideration and approval by the Board at the relevant times.</w:t>
      </w:r>
    </w:p>
    <w:p w14:paraId="5F2CEBDB" w14:textId="77777777" w:rsidR="00E836FB" w:rsidRDefault="00994958">
      <w:pPr>
        <w:spacing w:before="60"/>
        <w:ind w:firstLine="450"/>
        <w:jc w:val="both"/>
        <w:textAlignment w:val="top"/>
      </w:pPr>
      <w:r>
        <w:rPr>
          <w:rFonts w:ascii="Arial" w:eastAsia="宋体" w:hAnsi="Arial" w:cs="Arial"/>
          <w:color w:val="000000"/>
          <w:sz w:val="20"/>
          <w:szCs w:val="20"/>
        </w:rPr>
        <w:t xml:space="preserve">Stock purchases may be made using various types of </w:t>
      </w:r>
      <w:r>
        <w:rPr>
          <w:rFonts w:ascii="Arial" w:eastAsia="宋体" w:hAnsi="Arial" w:cs="Arial"/>
          <w:color w:val="000000"/>
          <w:sz w:val="20"/>
          <w:szCs w:val="20"/>
        </w:rPr>
        <w:t>transactions, including open market purchases, accelerated share repurchases or other transactions off the market, and may be made under Rule 10b5-1 trading programs. The timing and amount of any stock purchases and the type of transaction will depend on s</w:t>
      </w:r>
      <w:r>
        <w:rPr>
          <w:rFonts w:ascii="Arial" w:eastAsia="宋体" w:hAnsi="Arial" w:cs="Arial"/>
          <w:color w:val="000000"/>
          <w:sz w:val="20"/>
          <w:szCs w:val="20"/>
        </w:rPr>
        <w:t>everal factors, including investment opportunities, our capital position, our financial performance, market conditions and the amount of common stock issued as part of employee compensation programs. The common share repurchase program does not have specif</w:t>
      </w:r>
      <w:r>
        <w:rPr>
          <w:rFonts w:ascii="Arial" w:eastAsia="宋体" w:hAnsi="Arial" w:cs="Arial"/>
          <w:color w:val="000000"/>
          <w:sz w:val="20"/>
          <w:szCs w:val="20"/>
        </w:rPr>
        <w:t>ic price targets and may be suspended at any time.</w:t>
      </w:r>
    </w:p>
    <w:p w14:paraId="5F2CEBDC" w14:textId="77777777" w:rsidR="00E836FB" w:rsidRDefault="00994958">
      <w:pPr>
        <w:spacing w:before="90"/>
        <w:textAlignment w:val="top"/>
      </w:pPr>
      <w:r>
        <w:rPr>
          <w:rFonts w:ascii="Arial" w:eastAsia="宋体" w:hAnsi="Arial" w:cs="Arial"/>
          <w:b/>
          <w:bCs/>
          <w:color w:val="000000"/>
          <w:sz w:val="20"/>
          <w:szCs w:val="20"/>
        </w:rPr>
        <w:t>OFF-BALANCE SHEET ARRANGEMENTS</w:t>
      </w:r>
    </w:p>
    <w:p w14:paraId="5F2CEBDD" w14:textId="77777777" w:rsidR="00E836FB" w:rsidRDefault="00994958">
      <w:pPr>
        <w:spacing w:before="60"/>
        <w:ind w:firstLine="450"/>
        <w:jc w:val="both"/>
        <w:textAlignment w:val="top"/>
      </w:pPr>
      <w:r>
        <w:rPr>
          <w:rFonts w:ascii="Arial" w:eastAsia="宋体" w:hAnsi="Arial" w:cs="Arial"/>
          <w:color w:val="000000"/>
          <w:sz w:val="20"/>
          <w:szCs w:val="20"/>
        </w:rPr>
        <w:t>On behalf of clients enrolled in our securities lending program, we lend securities to banks, broker/dealers and other institutions. In most circumstances, we indemnify our clients for the fair market value of those securities against a failure of the borr</w:t>
      </w:r>
      <w:r>
        <w:rPr>
          <w:rFonts w:ascii="Arial" w:eastAsia="宋体" w:hAnsi="Arial" w:cs="Arial"/>
          <w:color w:val="000000"/>
          <w:sz w:val="20"/>
          <w:szCs w:val="20"/>
        </w:rPr>
        <w:t>ower to return such securities. Though these transactions are collateralized, the substantial volume of these activities necessitates detailed credit-based underwriting and monitoring processes. The aggregate amount of indemnified securities on loan totale</w:t>
      </w:r>
      <w:r>
        <w:rPr>
          <w:rFonts w:ascii="Arial" w:eastAsia="宋体" w:hAnsi="Arial" w:cs="Arial"/>
          <w:color w:val="000000"/>
          <w:sz w:val="20"/>
          <w:szCs w:val="20"/>
        </w:rPr>
        <w:t>d $385.74 billion and $440.88 billion as of December 31, 2021 and December 31, 2020, respectively. We require the borrower to provide collateral in an amount in excess of 100% of the fair market value of the securities borrowed. We hold the collateral rece</w:t>
      </w:r>
      <w:r>
        <w:rPr>
          <w:rFonts w:ascii="Arial" w:eastAsia="宋体" w:hAnsi="Arial" w:cs="Arial"/>
          <w:color w:val="000000"/>
          <w:sz w:val="20"/>
          <w:szCs w:val="20"/>
        </w:rPr>
        <w:t xml:space="preserve">ived in connection with these securities lending services as agent, and the collateral is not </w:t>
      </w:r>
    </w:p>
    <w:p w14:paraId="5F2CEBDE" w14:textId="77777777" w:rsidR="00E836FB" w:rsidRDefault="00994958">
      <w:pPr>
        <w:spacing w:before="60"/>
        <w:jc w:val="both"/>
        <w:textAlignment w:val="top"/>
      </w:pPr>
      <w:r>
        <w:rPr>
          <w:rFonts w:ascii="Arial" w:eastAsia="宋体" w:hAnsi="Arial" w:cs="Arial"/>
          <w:color w:val="000000"/>
          <w:sz w:val="20"/>
          <w:szCs w:val="20"/>
        </w:rPr>
        <w:t>recorded in our consolidated statement of condition. We revalue the securities on loan and the collateral daily to determine if additional collateral is necessar</w:t>
      </w:r>
      <w:r>
        <w:rPr>
          <w:rFonts w:ascii="Arial" w:eastAsia="宋体" w:hAnsi="Arial" w:cs="Arial"/>
          <w:color w:val="000000"/>
          <w:sz w:val="20"/>
          <w:szCs w:val="20"/>
        </w:rPr>
        <w:t>y or if excess collateral is required to be returned to the borrower. We held, as agent, cash and securities totaling $404.12 billion and $463.27 billion as collateral for indemnified securities on loan as of December 31, 2021 and December 31, 2020, respec</w:t>
      </w:r>
      <w:r>
        <w:rPr>
          <w:rFonts w:ascii="Arial" w:eastAsia="宋体" w:hAnsi="Arial" w:cs="Arial"/>
          <w:color w:val="000000"/>
          <w:sz w:val="20"/>
          <w:szCs w:val="20"/>
        </w:rPr>
        <w:t>tively.</w:t>
      </w:r>
    </w:p>
    <w:p w14:paraId="5F2CEBDF" w14:textId="77777777" w:rsidR="00E836FB" w:rsidRDefault="00994958">
      <w:pPr>
        <w:spacing w:before="60"/>
        <w:ind w:firstLine="450"/>
        <w:jc w:val="both"/>
        <w:textAlignment w:val="top"/>
      </w:pPr>
      <w:r>
        <w:rPr>
          <w:rFonts w:ascii="Arial" w:eastAsia="宋体" w:hAnsi="Arial" w:cs="Arial"/>
          <w:color w:val="000000"/>
          <w:sz w:val="20"/>
          <w:szCs w:val="20"/>
        </w:rPr>
        <w:t>The cash collateral held by us as agent is invested on behalf of our clients. In certain cases, the cash collateral is invested in third-party repurchase agreements, for which we indemnify the client against loss of the principal invested. We requi</w:t>
      </w:r>
      <w:r>
        <w:rPr>
          <w:rFonts w:ascii="Arial" w:eastAsia="宋体" w:hAnsi="Arial" w:cs="Arial"/>
          <w:color w:val="000000"/>
          <w:sz w:val="20"/>
          <w:szCs w:val="20"/>
        </w:rPr>
        <w:t>re the counterparty to the indemnified repurchase agreement to provide collateral in an amount in excess of 100% of the amount of the repurchase agreement. In our role as agent, the indemnified repurchase agreements and the related collateral held by us ar</w:t>
      </w:r>
      <w:r>
        <w:rPr>
          <w:rFonts w:ascii="Arial" w:eastAsia="宋体" w:hAnsi="Arial" w:cs="Arial"/>
          <w:color w:val="000000"/>
          <w:sz w:val="20"/>
          <w:szCs w:val="20"/>
        </w:rPr>
        <w:t>e not recorded in our consolidated statement of condition. Of the collateral of $404.12 billion and $463.27 billion, referenced above, $61.56 billion and $54.43 billion was invested in indemnified repurchase agreements as of December 31, 2021 and December </w:t>
      </w:r>
      <w:r>
        <w:rPr>
          <w:rFonts w:ascii="Arial" w:eastAsia="宋体" w:hAnsi="Arial" w:cs="Arial"/>
          <w:color w:val="000000"/>
          <w:sz w:val="20"/>
          <w:szCs w:val="20"/>
        </w:rPr>
        <w:t>31, 2020, respectively. We or our agents held $67.01 billion and $58.09 billion as collateral for indemnified investments in repurchase agreements as of December 31, 2021 and December 31, 2020, respectively.</w:t>
      </w:r>
    </w:p>
    <w:p w14:paraId="5F2CEBE0" w14:textId="77777777" w:rsidR="00E836FB" w:rsidRDefault="00994958">
      <w:pPr>
        <w:spacing w:before="60"/>
        <w:ind w:firstLine="450"/>
        <w:jc w:val="both"/>
        <w:textAlignment w:val="top"/>
      </w:pPr>
      <w:r>
        <w:rPr>
          <w:rFonts w:ascii="Arial" w:eastAsia="宋体" w:hAnsi="Arial" w:cs="Arial"/>
          <w:color w:val="000000"/>
          <w:sz w:val="20"/>
          <w:szCs w:val="20"/>
        </w:rPr>
        <w:t>Additional information about our securities fina</w:t>
      </w:r>
      <w:r>
        <w:rPr>
          <w:rFonts w:ascii="Arial" w:eastAsia="宋体" w:hAnsi="Arial" w:cs="Arial"/>
          <w:color w:val="000000"/>
          <w:sz w:val="20"/>
          <w:szCs w:val="20"/>
        </w:rPr>
        <w:t>nce activities and other off-balance sheet arrangements is provided in Notes 10, 12 and 14 to the consolidated financial statements in this Form 10-K.</w:t>
      </w:r>
    </w:p>
    <w:p w14:paraId="5F2CEBE1" w14:textId="77777777" w:rsidR="00E836FB" w:rsidRDefault="00994958">
      <w:pPr>
        <w:ind w:firstLine="450"/>
        <w:jc w:val="right"/>
      </w:pPr>
      <w:r>
        <w:rPr>
          <w:rFonts w:ascii="Arial" w:eastAsia="宋体" w:hAnsi="Arial" w:cs="Arial"/>
          <w:color w:val="000000"/>
          <w:sz w:val="18"/>
          <w:szCs w:val="18"/>
        </w:rPr>
        <w:t>State Street Corporation | 123</w:t>
      </w:r>
    </w:p>
    <w:p w14:paraId="5F2CEBE2" w14:textId="77777777" w:rsidR="00E836FB" w:rsidRDefault="00E836FB">
      <w:pPr>
        <w:ind w:firstLine="450"/>
        <w:jc w:val="center"/>
      </w:pPr>
    </w:p>
    <w:p w14:paraId="5F2CEBE3" w14:textId="77777777" w:rsidR="00E836FB" w:rsidRDefault="00994958">
      <w:r>
        <w:pict w14:anchorId="5F2D6E00">
          <v:rect id="_x0000_i1147" style="width:415.3pt;height:1.5pt" o:hralign="center" o:hrstd="t" o:hr="t" fillcolor="#a0a0a0" stroked="f"/>
        </w:pict>
      </w:r>
    </w:p>
    <w:p w14:paraId="5F2CEBE4"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BE5" w14:textId="77777777" w:rsidR="00E836FB" w:rsidRDefault="00994958">
      <w:pPr>
        <w:ind w:firstLine="450"/>
        <w:jc w:val="center"/>
      </w:pPr>
      <w:r>
        <w:rPr>
          <w:rFonts w:ascii="Arial" w:eastAsia="宋体" w:hAnsi="Arial" w:cs="Arial"/>
          <w:b/>
          <w:bCs/>
          <w:color w:val="000000"/>
          <w:sz w:val="20"/>
          <w:szCs w:val="20"/>
        </w:rPr>
        <w:t>AND RESULTS</w:t>
      </w:r>
      <w:r>
        <w:rPr>
          <w:rFonts w:ascii="Arial" w:eastAsia="宋体" w:hAnsi="Arial" w:cs="Arial"/>
          <w:b/>
          <w:bCs/>
          <w:color w:val="000000"/>
          <w:sz w:val="20"/>
          <w:szCs w:val="20"/>
        </w:rPr>
        <w:t xml:space="preserve"> OF OPERATIONS</w:t>
      </w:r>
    </w:p>
    <w:p w14:paraId="5F2CEBE6" w14:textId="77777777" w:rsidR="00E836FB" w:rsidRDefault="00994958">
      <w:pPr>
        <w:spacing w:before="180"/>
        <w:jc w:val="both"/>
        <w:textAlignment w:val="top"/>
      </w:pPr>
      <w:r>
        <w:rPr>
          <w:rFonts w:ascii="Arial" w:eastAsia="宋体" w:hAnsi="Arial" w:cs="Arial"/>
          <w:b/>
          <w:bCs/>
          <w:color w:val="000000"/>
          <w:sz w:val="20"/>
          <w:szCs w:val="20"/>
        </w:rPr>
        <w:t>SIGNIFICANT ACCOUNTING ESTIMATES</w:t>
      </w:r>
    </w:p>
    <w:p w14:paraId="5F2CEBE7" w14:textId="77777777" w:rsidR="00E836FB" w:rsidRDefault="00994958">
      <w:pPr>
        <w:spacing w:before="60"/>
        <w:ind w:firstLine="450"/>
        <w:jc w:val="both"/>
        <w:textAlignment w:val="top"/>
      </w:pPr>
      <w:r>
        <w:rPr>
          <w:rFonts w:ascii="Arial" w:eastAsia="宋体" w:hAnsi="Arial" w:cs="Arial"/>
          <w:color w:val="000000"/>
          <w:sz w:val="20"/>
          <w:szCs w:val="20"/>
        </w:rPr>
        <w:t>Our consolidated financial statements are prepared in conformity with U.S. GAAP, and we apply accounting policies that affect the determination of amounts reported in the consolidated financial statements. Ad</w:t>
      </w:r>
      <w:r>
        <w:rPr>
          <w:rFonts w:ascii="Arial" w:eastAsia="宋体" w:hAnsi="Arial" w:cs="Arial"/>
          <w:color w:val="000000"/>
          <w:sz w:val="20"/>
          <w:szCs w:val="20"/>
        </w:rPr>
        <w:t xml:space="preserve">ditional information on our significant accounting policies, including references to applicable footnotes, is provided in Note 1 to the consolidated financial statements in this Form 10-K. </w:t>
      </w:r>
    </w:p>
    <w:p w14:paraId="5F2CEBE8" w14:textId="77777777" w:rsidR="00E836FB" w:rsidRDefault="00994958">
      <w:pPr>
        <w:spacing w:before="60"/>
        <w:ind w:firstLine="450"/>
        <w:jc w:val="both"/>
        <w:textAlignment w:val="top"/>
      </w:pPr>
      <w:r>
        <w:rPr>
          <w:rFonts w:ascii="Arial" w:eastAsia="宋体" w:hAnsi="Arial" w:cs="Arial"/>
          <w:color w:val="000000"/>
          <w:sz w:val="20"/>
          <w:szCs w:val="20"/>
        </w:rPr>
        <w:t>Certain of our accounting policies, by their nature, require manag</w:t>
      </w:r>
      <w:r>
        <w:rPr>
          <w:rFonts w:ascii="Arial" w:eastAsia="宋体" w:hAnsi="Arial" w:cs="Arial"/>
          <w:color w:val="000000"/>
          <w:sz w:val="20"/>
          <w:szCs w:val="20"/>
        </w:rPr>
        <w:t>ement to make judgments, involving significant estimates and assumptions, about the effects of matters that are inherently uncertain. These estimates and assumptions are based on information available as of the date of the consolidated financial statements</w:t>
      </w:r>
      <w:r>
        <w:rPr>
          <w:rFonts w:ascii="Arial" w:eastAsia="宋体" w:hAnsi="Arial" w:cs="Arial"/>
          <w:color w:val="000000"/>
          <w:sz w:val="20"/>
          <w:szCs w:val="20"/>
        </w:rPr>
        <w:t xml:space="preserve">, and changes in this information over time could materially affect the amounts of assets, liabilities, equity, revenue and expenses reported in subsequent consolidated financial statements. </w:t>
      </w:r>
    </w:p>
    <w:p w14:paraId="5F2CEBE9" w14:textId="77777777" w:rsidR="00E836FB" w:rsidRDefault="00994958">
      <w:pPr>
        <w:spacing w:before="60"/>
        <w:ind w:firstLine="450"/>
        <w:jc w:val="both"/>
        <w:textAlignment w:val="top"/>
      </w:pPr>
      <w:r>
        <w:rPr>
          <w:rFonts w:ascii="Arial" w:eastAsia="宋体" w:hAnsi="Arial" w:cs="Arial"/>
          <w:color w:val="000000"/>
          <w:sz w:val="20"/>
          <w:szCs w:val="20"/>
        </w:rPr>
        <w:t>Based on the sensitivity of reported financial statement amounts</w:t>
      </w:r>
      <w:r>
        <w:rPr>
          <w:rFonts w:ascii="Arial" w:eastAsia="宋体" w:hAnsi="Arial" w:cs="Arial"/>
          <w:color w:val="000000"/>
          <w:sz w:val="20"/>
          <w:szCs w:val="20"/>
        </w:rPr>
        <w:t xml:space="preserve"> to the underlying estimates and assumptions, the more significant accounting policies applied by us have been identified by management as those associated with recurring fair value measurements, allowance for credit losses, impairment of goodwill and othe</w:t>
      </w:r>
      <w:r>
        <w:rPr>
          <w:rFonts w:ascii="Arial" w:eastAsia="宋体" w:hAnsi="Arial" w:cs="Arial"/>
          <w:color w:val="000000"/>
          <w:sz w:val="20"/>
          <w:szCs w:val="20"/>
        </w:rPr>
        <w:t>r intangible assets, and contingencies. These accounting policies require the most subjective or complex judgments, and underlying estimates and assumptions could be most subject to revision as new information becomes available. An understanding of the jud</w:t>
      </w:r>
      <w:r>
        <w:rPr>
          <w:rFonts w:ascii="Arial" w:eastAsia="宋体" w:hAnsi="Arial" w:cs="Arial"/>
          <w:color w:val="000000"/>
          <w:sz w:val="20"/>
          <w:szCs w:val="20"/>
        </w:rPr>
        <w:t xml:space="preserve">gments, estimates and assumptions underlying these accounting policies is essential in order to understand our reported consolidated results of operations and financial condition. </w:t>
      </w:r>
    </w:p>
    <w:p w14:paraId="5F2CEBEA" w14:textId="77777777" w:rsidR="00E836FB" w:rsidRDefault="00994958">
      <w:pPr>
        <w:spacing w:before="60"/>
        <w:ind w:firstLine="450"/>
        <w:jc w:val="both"/>
        <w:textAlignment w:val="top"/>
      </w:pPr>
      <w:r>
        <w:rPr>
          <w:rFonts w:ascii="Arial" w:eastAsia="宋体" w:hAnsi="Arial" w:cs="Arial"/>
          <w:color w:val="000000"/>
          <w:sz w:val="20"/>
          <w:szCs w:val="20"/>
        </w:rPr>
        <w:t>The following is a discussion of the above-mentioned significant accounting</w:t>
      </w:r>
      <w:r>
        <w:rPr>
          <w:rFonts w:ascii="Arial" w:eastAsia="宋体" w:hAnsi="Arial" w:cs="Arial"/>
          <w:color w:val="000000"/>
          <w:sz w:val="20"/>
          <w:szCs w:val="20"/>
        </w:rPr>
        <w:t xml:space="preserve"> estimates. Management has discussed these significant accounting estimates with the E&amp;A Committee of the Board. </w:t>
      </w:r>
    </w:p>
    <w:p w14:paraId="5F2CEBEB" w14:textId="77777777" w:rsidR="00E836FB" w:rsidRDefault="00994958">
      <w:pPr>
        <w:spacing w:before="60"/>
        <w:jc w:val="both"/>
        <w:textAlignment w:val="top"/>
      </w:pPr>
      <w:r>
        <w:rPr>
          <w:rFonts w:ascii="Arial" w:eastAsia="宋体" w:hAnsi="Arial" w:cs="Arial"/>
          <w:b/>
          <w:bCs/>
          <w:i/>
          <w:iCs/>
          <w:color w:val="000000"/>
          <w:sz w:val="20"/>
          <w:szCs w:val="20"/>
        </w:rPr>
        <w:t xml:space="preserve">Fair Value Measurements </w:t>
      </w:r>
    </w:p>
    <w:p w14:paraId="5F2CEBEC" w14:textId="77777777" w:rsidR="00E836FB" w:rsidRDefault="00994958">
      <w:pPr>
        <w:spacing w:before="60"/>
        <w:ind w:firstLine="450"/>
        <w:jc w:val="both"/>
        <w:textAlignment w:val="top"/>
      </w:pPr>
      <w:r>
        <w:rPr>
          <w:rFonts w:ascii="Arial" w:eastAsia="宋体" w:hAnsi="Arial" w:cs="Arial"/>
          <w:color w:val="000000"/>
          <w:sz w:val="20"/>
          <w:szCs w:val="20"/>
        </w:rPr>
        <w:t xml:space="preserve">We carry certain of our financial assets and liabilities at fair value in our consolidated financial statements on a </w:t>
      </w:r>
      <w:r>
        <w:rPr>
          <w:rFonts w:ascii="Arial" w:eastAsia="宋体" w:hAnsi="Arial" w:cs="Arial"/>
          <w:color w:val="000000"/>
          <w:sz w:val="20"/>
          <w:szCs w:val="20"/>
        </w:rPr>
        <w:t xml:space="preserve">recurring basis, including trading account assets and liabilities, AFS debt securities, certain equity securities and various types of derivative financial instruments. </w:t>
      </w:r>
    </w:p>
    <w:p w14:paraId="5F2CEBED" w14:textId="77777777" w:rsidR="00E836FB" w:rsidRDefault="00994958">
      <w:pPr>
        <w:spacing w:before="60"/>
        <w:ind w:firstLine="450"/>
        <w:jc w:val="both"/>
        <w:textAlignment w:val="top"/>
      </w:pPr>
      <w:r>
        <w:rPr>
          <w:rFonts w:ascii="Arial" w:eastAsia="宋体" w:hAnsi="Arial" w:cs="Arial"/>
          <w:color w:val="000000"/>
          <w:sz w:val="20"/>
          <w:szCs w:val="20"/>
        </w:rPr>
        <w:t>Changes in the fair value of these financial assets and liabilities are recorded eithe</w:t>
      </w:r>
      <w:r>
        <w:rPr>
          <w:rFonts w:ascii="Arial" w:eastAsia="宋体" w:hAnsi="Arial" w:cs="Arial"/>
          <w:color w:val="000000"/>
          <w:sz w:val="20"/>
          <w:szCs w:val="20"/>
        </w:rPr>
        <w:t>r as components of our consolidated statement of income or as components of other comprehensive income within shareholders' equity in our consolidated statement of condition. In addition to those financial assets and liabilities that we carry at fair value</w:t>
      </w:r>
      <w:r>
        <w:rPr>
          <w:rFonts w:ascii="Arial" w:eastAsia="宋体" w:hAnsi="Arial" w:cs="Arial"/>
          <w:color w:val="000000"/>
          <w:sz w:val="20"/>
          <w:szCs w:val="20"/>
        </w:rPr>
        <w:t xml:space="preserve"> in our consolidated financial statements on a recurring </w:t>
      </w:r>
    </w:p>
    <w:p w14:paraId="5F2CEBEE" w14:textId="77777777" w:rsidR="00E836FB" w:rsidRDefault="00994958">
      <w:pPr>
        <w:spacing w:before="60"/>
        <w:jc w:val="both"/>
        <w:textAlignment w:val="top"/>
      </w:pPr>
      <w:r>
        <w:rPr>
          <w:rFonts w:ascii="Arial" w:eastAsia="宋体" w:hAnsi="Arial" w:cs="Arial"/>
          <w:color w:val="000000"/>
          <w:sz w:val="20"/>
          <w:szCs w:val="20"/>
        </w:rPr>
        <w:t>basis, we estimate the fair values of other financial assets and liabilities that we carry at amortized cost in our consolidated statement of condition, and we disclose these fair value estimates in</w:t>
      </w:r>
      <w:r>
        <w:rPr>
          <w:rFonts w:ascii="Arial" w:eastAsia="宋体" w:hAnsi="Arial" w:cs="Arial"/>
          <w:color w:val="000000"/>
          <w:sz w:val="20"/>
          <w:szCs w:val="20"/>
        </w:rPr>
        <w:t xml:space="preserve"> the notes to our consolidated financial statements. We estimate the fair values of these financial assets and liabilities using the definition of fair value described below. Additional information with respect to the assets and liabilities carried by us a</w:t>
      </w:r>
      <w:r>
        <w:rPr>
          <w:rFonts w:ascii="Arial" w:eastAsia="宋体" w:hAnsi="Arial" w:cs="Arial"/>
          <w:color w:val="000000"/>
          <w:sz w:val="20"/>
          <w:szCs w:val="20"/>
        </w:rPr>
        <w:t xml:space="preserve">t fair value on a recurring basis is provided in Note 2 to the consolidated financial statements in this Form 10-K. </w:t>
      </w:r>
    </w:p>
    <w:p w14:paraId="5F2CEBEF" w14:textId="77777777" w:rsidR="00E836FB" w:rsidRDefault="00994958">
      <w:pPr>
        <w:spacing w:before="60"/>
        <w:ind w:firstLine="450"/>
        <w:jc w:val="both"/>
        <w:textAlignment w:val="top"/>
      </w:pPr>
      <w:r>
        <w:rPr>
          <w:rFonts w:ascii="Arial" w:eastAsia="宋体" w:hAnsi="Arial" w:cs="Arial"/>
          <w:color w:val="000000"/>
          <w:sz w:val="20"/>
          <w:szCs w:val="20"/>
        </w:rPr>
        <w:t xml:space="preserve">U.S. GAAP defines fair value as the price that would be received to sell an asset or paid to transfer a liability in the principal or most </w:t>
      </w:r>
      <w:r>
        <w:rPr>
          <w:rFonts w:ascii="Arial" w:eastAsia="宋体" w:hAnsi="Arial" w:cs="Arial"/>
          <w:color w:val="000000"/>
          <w:sz w:val="20"/>
          <w:szCs w:val="20"/>
        </w:rPr>
        <w:t>advantageous market for an asset or liability in an orderly transaction between market participants on the measurement date. When we measure fair value for our financial assets and liabilities, we consider the principal or the most advantageous market in w</w:t>
      </w:r>
      <w:r>
        <w:rPr>
          <w:rFonts w:ascii="Arial" w:eastAsia="宋体" w:hAnsi="Arial" w:cs="Arial"/>
          <w:color w:val="000000"/>
          <w:sz w:val="20"/>
          <w:szCs w:val="20"/>
        </w:rPr>
        <w:t>hich we would transact; we also consider assumptions that market participants would use when pricing the asset or liability. When possible, we look to active and observable markets to measure the fair value of identical, or similar, financial assets and li</w:t>
      </w:r>
      <w:r>
        <w:rPr>
          <w:rFonts w:ascii="Arial" w:eastAsia="宋体" w:hAnsi="Arial" w:cs="Arial"/>
          <w:color w:val="000000"/>
          <w:sz w:val="20"/>
          <w:szCs w:val="20"/>
        </w:rPr>
        <w:t>abilities. When identical financial assets and liabilities are not traded in active markets, we look to market-observable data for similar assets and liabilities. In some instances, certain assets and liabilities are not actively traded in observable marke</w:t>
      </w:r>
      <w:r>
        <w:rPr>
          <w:rFonts w:ascii="Arial" w:eastAsia="宋体" w:hAnsi="Arial" w:cs="Arial"/>
          <w:color w:val="000000"/>
          <w:sz w:val="20"/>
          <w:szCs w:val="20"/>
        </w:rPr>
        <w:t xml:space="preserve">ts; as a result, we use alternate valuation techniques to measure their fair value. </w:t>
      </w:r>
    </w:p>
    <w:p w14:paraId="5F2CEBF0" w14:textId="77777777" w:rsidR="00E836FB" w:rsidRDefault="00994958">
      <w:pPr>
        <w:spacing w:before="60"/>
        <w:ind w:firstLine="450"/>
        <w:jc w:val="both"/>
        <w:textAlignment w:val="top"/>
      </w:pPr>
      <w:r>
        <w:rPr>
          <w:rFonts w:ascii="Arial" w:eastAsia="宋体" w:hAnsi="Arial" w:cs="Arial"/>
          <w:color w:val="000000"/>
          <w:sz w:val="20"/>
          <w:szCs w:val="20"/>
        </w:rPr>
        <w:t>We categorize the financial assets and liabilities that we carry at fair value in our consolidated statement of condition on a recurring basis based on U.S. GAAP's prescri</w:t>
      </w:r>
      <w:r>
        <w:rPr>
          <w:rFonts w:ascii="Arial" w:eastAsia="宋体" w:hAnsi="Arial" w:cs="Arial"/>
          <w:color w:val="000000"/>
          <w:sz w:val="20"/>
          <w:szCs w:val="20"/>
        </w:rPr>
        <w:t xml:space="preserve">bed three-level valuation hierarchy. The hierarchy gives the highest priority to quoted prices in active markets for identical assets or liabilities (level 1) and the lowest priority to valuation methods using significant unobservable inputs (level 3). </w:t>
      </w:r>
    </w:p>
    <w:p w14:paraId="5F2CEBF1" w14:textId="77777777" w:rsidR="00E836FB" w:rsidRDefault="00994958">
      <w:pPr>
        <w:spacing w:before="60"/>
        <w:ind w:firstLine="450"/>
        <w:jc w:val="both"/>
        <w:textAlignment w:val="top"/>
      </w:pPr>
      <w:r>
        <w:rPr>
          <w:rFonts w:ascii="Arial" w:eastAsia="宋体" w:hAnsi="Arial" w:cs="Arial"/>
          <w:color w:val="000000"/>
          <w:sz w:val="20"/>
          <w:szCs w:val="20"/>
        </w:rPr>
        <w:t>Wi</w:t>
      </w:r>
      <w:r>
        <w:rPr>
          <w:rFonts w:ascii="Arial" w:eastAsia="宋体" w:hAnsi="Arial" w:cs="Arial"/>
          <w:color w:val="000000"/>
          <w:sz w:val="20"/>
          <w:szCs w:val="20"/>
        </w:rPr>
        <w:t>th respect to derivative instruments, we evaluate the fair value impact of the credit risk of our counterparties. We consider such factors as the market-based probability of default by our counterparties, and our current and expected potential future net e</w:t>
      </w:r>
      <w:r>
        <w:rPr>
          <w:rFonts w:ascii="Arial" w:eastAsia="宋体" w:hAnsi="Arial" w:cs="Arial"/>
          <w:color w:val="000000"/>
          <w:sz w:val="20"/>
          <w:szCs w:val="20"/>
        </w:rPr>
        <w:t xml:space="preserve">xposures by remaining maturities, in determining the appropriate measurements of fair value. </w:t>
      </w:r>
    </w:p>
    <w:p w14:paraId="5F2CEBF2" w14:textId="77777777" w:rsidR="00E836FB" w:rsidRDefault="00994958">
      <w:pPr>
        <w:ind w:firstLine="450"/>
        <w:jc w:val="right"/>
      </w:pPr>
      <w:r>
        <w:rPr>
          <w:rFonts w:ascii="Arial" w:eastAsia="宋体" w:hAnsi="Arial" w:cs="Arial"/>
          <w:color w:val="000000"/>
          <w:sz w:val="18"/>
          <w:szCs w:val="18"/>
        </w:rPr>
        <w:t>State Street Corporation | 124</w:t>
      </w:r>
    </w:p>
    <w:p w14:paraId="5F2CEBF3" w14:textId="77777777" w:rsidR="00E836FB" w:rsidRDefault="00E836FB">
      <w:pPr>
        <w:ind w:firstLine="450"/>
        <w:jc w:val="center"/>
      </w:pPr>
    </w:p>
    <w:p w14:paraId="5F2CEBF4" w14:textId="77777777" w:rsidR="00E836FB" w:rsidRDefault="00994958">
      <w:r>
        <w:pict w14:anchorId="5F2D6E01">
          <v:rect id="_x0000_i1148" style="width:415.3pt;height:1.5pt" o:hralign="center" o:hrstd="t" o:hr="t" fillcolor="#a0a0a0" stroked="f"/>
        </w:pict>
      </w:r>
    </w:p>
    <w:p w14:paraId="5F2CEBF5"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BF6" w14:textId="77777777" w:rsidR="00E836FB" w:rsidRDefault="00994958">
      <w:pPr>
        <w:ind w:firstLine="450"/>
        <w:jc w:val="center"/>
      </w:pPr>
      <w:r>
        <w:rPr>
          <w:rFonts w:ascii="Arial" w:eastAsia="宋体" w:hAnsi="Arial" w:cs="Arial"/>
          <w:b/>
          <w:bCs/>
          <w:color w:val="000000"/>
          <w:sz w:val="20"/>
          <w:szCs w:val="20"/>
        </w:rPr>
        <w:t>AND RESULTS OF OPERATIONS</w:t>
      </w:r>
    </w:p>
    <w:p w14:paraId="5F2CEBF7" w14:textId="77777777" w:rsidR="00E836FB" w:rsidRDefault="00994958">
      <w:pPr>
        <w:spacing w:before="60"/>
        <w:jc w:val="both"/>
        <w:textAlignment w:val="top"/>
      </w:pPr>
      <w:r>
        <w:rPr>
          <w:rFonts w:ascii="Arial" w:eastAsia="宋体" w:hAnsi="Arial" w:cs="Arial"/>
          <w:b/>
          <w:bCs/>
          <w:i/>
          <w:iCs/>
          <w:color w:val="000000"/>
          <w:sz w:val="20"/>
          <w:szCs w:val="20"/>
        </w:rPr>
        <w:t>Allowance for Credit Losses</w:t>
      </w:r>
    </w:p>
    <w:p w14:paraId="5F2CEBF8" w14:textId="77777777" w:rsidR="00E836FB" w:rsidRDefault="00994958">
      <w:pPr>
        <w:spacing w:before="60"/>
        <w:ind w:firstLine="450"/>
        <w:jc w:val="both"/>
        <w:textAlignment w:val="top"/>
      </w:pPr>
      <w:r>
        <w:rPr>
          <w:rFonts w:ascii="Arial" w:eastAsia="宋体" w:hAnsi="Arial" w:cs="Arial"/>
          <w:color w:val="000000"/>
          <w:sz w:val="20"/>
          <w:szCs w:val="20"/>
        </w:rPr>
        <w:t xml:space="preserve">In </w:t>
      </w:r>
      <w:r>
        <w:rPr>
          <w:rFonts w:ascii="Arial" w:eastAsia="宋体" w:hAnsi="Arial" w:cs="Arial"/>
          <w:color w:val="000000"/>
          <w:sz w:val="20"/>
          <w:szCs w:val="20"/>
        </w:rPr>
        <w:t>January 2020, we adopted ASC 326, which replaces the incurred loss methodology with an expected loss methodology. We maintain an allowance for credit losses to support our on-balance sheet credit exposures, including financial assets held at amortized cost</w:t>
      </w:r>
      <w:r>
        <w:rPr>
          <w:rFonts w:ascii="Arial" w:eastAsia="宋体" w:hAnsi="Arial" w:cs="Arial"/>
          <w:color w:val="000000"/>
          <w:sz w:val="20"/>
          <w:szCs w:val="20"/>
        </w:rPr>
        <w:t>. We also maintain an allowance for unfunded commitments and letters of credit to support our off-balance credit exposure. The two components together represent the allowance for credit losses.</w:t>
      </w:r>
    </w:p>
    <w:p w14:paraId="5F2CEBF9" w14:textId="77777777" w:rsidR="00E836FB" w:rsidRDefault="00994958">
      <w:pPr>
        <w:spacing w:before="60"/>
        <w:ind w:firstLine="450"/>
        <w:jc w:val="both"/>
        <w:textAlignment w:val="top"/>
      </w:pPr>
      <w:r>
        <w:rPr>
          <w:rFonts w:ascii="Arial" w:eastAsia="宋体" w:hAnsi="Arial" w:cs="Arial"/>
          <w:color w:val="000000"/>
          <w:sz w:val="20"/>
          <w:szCs w:val="20"/>
        </w:rPr>
        <w:t>Determining the appropriateness of the allowance is complex an</w:t>
      </w:r>
      <w:r>
        <w:rPr>
          <w:rFonts w:ascii="Arial" w:eastAsia="宋体" w:hAnsi="Arial" w:cs="Arial"/>
          <w:color w:val="000000"/>
          <w:sz w:val="20"/>
          <w:szCs w:val="20"/>
        </w:rPr>
        <w:t xml:space="preserve">d requires judgment by management about the effect of matters that are inherently uncertain. In future periods, factors and forecasts then prevailing may result in significant changes in the allowance for credit losses in those future periods. We estimate </w:t>
      </w:r>
      <w:r>
        <w:rPr>
          <w:rFonts w:ascii="Arial" w:eastAsia="宋体" w:hAnsi="Arial" w:cs="Arial"/>
          <w:color w:val="000000"/>
          <w:sz w:val="20"/>
          <w:szCs w:val="20"/>
        </w:rPr>
        <w:t>credit losses over the contractual life of the financial asset while factoring in prepayment activity where supported by data over a three year reasonable and supportable forecast period. We utilize a baseline, upside and downside scenario which are applie</w:t>
      </w:r>
      <w:r>
        <w:rPr>
          <w:rFonts w:ascii="Arial" w:eastAsia="宋体" w:hAnsi="Arial" w:cs="Arial"/>
          <w:color w:val="000000"/>
          <w:sz w:val="20"/>
          <w:szCs w:val="20"/>
        </w:rPr>
        <w:t>d based on a probability weighting, in order to better reflect management’s expectation of expected credit losses given existing market conditions and the changes in the economic environment. The multiple scenarios are based on a three year horizon (or les</w:t>
      </w:r>
      <w:r>
        <w:rPr>
          <w:rFonts w:ascii="Arial" w:eastAsia="宋体" w:hAnsi="Arial" w:cs="Arial"/>
          <w:color w:val="000000"/>
          <w:sz w:val="20"/>
          <w:szCs w:val="20"/>
        </w:rPr>
        <w:t>s depending on contractual maturity) and then revert linearly over a two year period to a ten-year historical average thereafter. The contractual term excludes expected extensions, renewals and modifications, but includes prepayment assumptions where appli</w:t>
      </w:r>
      <w:r>
        <w:rPr>
          <w:rFonts w:ascii="Arial" w:eastAsia="宋体" w:hAnsi="Arial" w:cs="Arial"/>
          <w:color w:val="000000"/>
          <w:sz w:val="20"/>
          <w:szCs w:val="20"/>
        </w:rPr>
        <w:t>cable.</w:t>
      </w:r>
    </w:p>
    <w:p w14:paraId="5F2CEBFA" w14:textId="77777777" w:rsidR="00E836FB" w:rsidRDefault="00994958">
      <w:pPr>
        <w:spacing w:before="60"/>
        <w:ind w:firstLine="450"/>
        <w:jc w:val="both"/>
        <w:textAlignment w:val="top"/>
      </w:pPr>
      <w:r>
        <w:rPr>
          <w:rFonts w:ascii="Arial" w:eastAsia="宋体" w:hAnsi="Arial" w:cs="Arial"/>
          <w:color w:val="000000"/>
          <w:sz w:val="20"/>
          <w:szCs w:val="20"/>
        </w:rPr>
        <w:t>Our allowance for credit losses is sensitive to a number of inputs, including macroeconomic forecast assumptions and credit rating migrations during the period. Our macroeconomic forecasts used in determining the December 31, 2021 allowance for cred</w:t>
      </w:r>
      <w:r>
        <w:rPr>
          <w:rFonts w:ascii="Arial" w:eastAsia="宋体" w:hAnsi="Arial" w:cs="Arial"/>
          <w:color w:val="000000"/>
          <w:sz w:val="20"/>
          <w:szCs w:val="20"/>
        </w:rPr>
        <w:t>it losses consisted of three scenarios. The baseline scenario reflects ongoing GDP growth and falling unemployment in 2022, generally in line with market expectations, and consistent with waning COVID transmission and improved supply chains. The upside sce</w:t>
      </w:r>
      <w:r>
        <w:rPr>
          <w:rFonts w:ascii="Arial" w:eastAsia="宋体" w:hAnsi="Arial" w:cs="Arial"/>
          <w:color w:val="000000"/>
          <w:sz w:val="20"/>
          <w:szCs w:val="20"/>
        </w:rPr>
        <w:t>nario reflects a faster recovery in consumer spending and stronger productivity growth in 2022 relative to the baseline scenario. The downside scenario contemplates a double-dip recession due to resurgent COVID infections that results in negative GDP growt</w:t>
      </w:r>
      <w:r>
        <w:rPr>
          <w:rFonts w:ascii="Arial" w:eastAsia="宋体" w:hAnsi="Arial" w:cs="Arial"/>
          <w:color w:val="000000"/>
          <w:sz w:val="20"/>
          <w:szCs w:val="20"/>
        </w:rPr>
        <w:t xml:space="preserve">h, rising unemployment, and deteriorating credit conditions in early 2022. We placed the most weight on our baseline scenario, with the remaining weighting split equally between the upside and downside scenarios. </w:t>
      </w:r>
    </w:p>
    <w:p w14:paraId="5F2CEBFB" w14:textId="77777777" w:rsidR="00E836FB" w:rsidRDefault="00994958">
      <w:pPr>
        <w:spacing w:before="60"/>
        <w:ind w:firstLine="450"/>
        <w:jc w:val="both"/>
        <w:textAlignment w:val="top"/>
      </w:pPr>
      <w:r>
        <w:rPr>
          <w:rFonts w:ascii="Arial" w:eastAsia="宋体" w:hAnsi="Arial" w:cs="Arial"/>
          <w:color w:val="000000"/>
          <w:sz w:val="20"/>
          <w:szCs w:val="20"/>
        </w:rPr>
        <w:t>Keeping all other factors constant, we est</w:t>
      </w:r>
      <w:r>
        <w:rPr>
          <w:rFonts w:ascii="Arial" w:eastAsia="宋体" w:hAnsi="Arial" w:cs="Arial"/>
          <w:color w:val="000000"/>
          <w:sz w:val="20"/>
          <w:szCs w:val="20"/>
        </w:rPr>
        <w:t xml:space="preserve">imate that if we had applied 100% weighting to the downside scenario, the allowance for credit losses as </w:t>
      </w:r>
    </w:p>
    <w:p w14:paraId="5F2CEBFC" w14:textId="77777777" w:rsidR="00E836FB" w:rsidRDefault="00994958">
      <w:pPr>
        <w:spacing w:before="60"/>
        <w:jc w:val="both"/>
        <w:textAlignment w:val="top"/>
      </w:pPr>
      <w:r>
        <w:rPr>
          <w:rFonts w:ascii="Arial" w:eastAsia="宋体" w:hAnsi="Arial" w:cs="Arial"/>
          <w:color w:val="000000"/>
          <w:sz w:val="20"/>
          <w:szCs w:val="20"/>
        </w:rPr>
        <w:t>of December 31, 2021 would have been approximately $50 million higher. This estimate is intended to reflect the sensitivity of the allowance for credi</w:t>
      </w:r>
      <w:r>
        <w:rPr>
          <w:rFonts w:ascii="Arial" w:eastAsia="宋体" w:hAnsi="Arial" w:cs="Arial"/>
          <w:color w:val="000000"/>
          <w:sz w:val="20"/>
          <w:szCs w:val="20"/>
        </w:rPr>
        <w:t xml:space="preserve">t losses to changes in our scenario weights and is not intended to be indicative of future changes in the allowance for credit losses. </w:t>
      </w:r>
    </w:p>
    <w:p w14:paraId="5F2CEBFD" w14:textId="77777777" w:rsidR="00E836FB" w:rsidRDefault="00994958">
      <w:pPr>
        <w:spacing w:before="60"/>
        <w:ind w:firstLine="450"/>
        <w:jc w:val="both"/>
        <w:textAlignment w:val="top"/>
      </w:pPr>
      <w:r>
        <w:rPr>
          <w:rFonts w:ascii="Arial" w:eastAsia="宋体" w:hAnsi="Arial" w:cs="Arial"/>
          <w:color w:val="000000"/>
          <w:sz w:val="20"/>
          <w:szCs w:val="20"/>
        </w:rPr>
        <w:t xml:space="preserve">Additional information about our allowance for credit losses is provided in Notes 3 and 4 to the </w:t>
      </w:r>
      <w:r>
        <w:rPr>
          <w:rFonts w:ascii="Arial" w:eastAsia="宋体" w:hAnsi="Arial" w:cs="Arial"/>
          <w:color w:val="000000"/>
          <w:sz w:val="20"/>
          <w:szCs w:val="20"/>
        </w:rPr>
        <w:t>consolidated financial statements in this Form 10-K.</w:t>
      </w:r>
    </w:p>
    <w:p w14:paraId="5F2CEBFE" w14:textId="77777777" w:rsidR="00E836FB" w:rsidRDefault="00994958">
      <w:pPr>
        <w:spacing w:before="60"/>
        <w:jc w:val="both"/>
        <w:textAlignment w:val="top"/>
      </w:pPr>
      <w:r>
        <w:rPr>
          <w:rFonts w:ascii="Arial" w:eastAsia="宋体" w:hAnsi="Arial" w:cs="Arial"/>
          <w:b/>
          <w:bCs/>
          <w:i/>
          <w:iCs/>
          <w:color w:val="000000"/>
          <w:sz w:val="20"/>
          <w:szCs w:val="20"/>
        </w:rPr>
        <w:t xml:space="preserve">Goodwill and Other Intangible Assets </w:t>
      </w:r>
    </w:p>
    <w:p w14:paraId="5F2CEBFF" w14:textId="77777777" w:rsidR="00E836FB" w:rsidRDefault="00994958">
      <w:pPr>
        <w:spacing w:before="60"/>
        <w:ind w:firstLine="450"/>
        <w:jc w:val="both"/>
        <w:textAlignment w:val="top"/>
      </w:pPr>
      <w:r>
        <w:rPr>
          <w:rFonts w:ascii="Arial" w:eastAsia="宋体" w:hAnsi="Arial" w:cs="Arial"/>
          <w:color w:val="000000"/>
          <w:sz w:val="20"/>
          <w:szCs w:val="20"/>
        </w:rPr>
        <w:t>Goodwill represents the excess of the cost of an acquisition over the fair value of the net tangible and other intangible assets acquired at the acquisition date. Ot</w:t>
      </w:r>
      <w:r>
        <w:rPr>
          <w:rFonts w:ascii="Arial" w:eastAsia="宋体" w:hAnsi="Arial" w:cs="Arial"/>
          <w:color w:val="000000"/>
          <w:sz w:val="20"/>
          <w:szCs w:val="20"/>
        </w:rPr>
        <w:t>her intangible assets represent purchased long-lived intangible assets, primarily client relationships, core deposit intangible assets and technology that can be distinguished from goodwill because of contractual rights or because the asset can be exchange</w:t>
      </w:r>
      <w:r>
        <w:rPr>
          <w:rFonts w:ascii="Arial" w:eastAsia="宋体" w:hAnsi="Arial" w:cs="Arial"/>
          <w:color w:val="000000"/>
          <w:sz w:val="20"/>
          <w:szCs w:val="20"/>
        </w:rPr>
        <w:t>d on its own or in combination with a related contract, asset or liability. Other intangible assets are initially measured at their acquisition date fair value, the determination of which requires management judgment. Goodwill is not amortized, while other</w:t>
      </w:r>
      <w:r>
        <w:rPr>
          <w:rFonts w:ascii="Arial" w:eastAsia="宋体" w:hAnsi="Arial" w:cs="Arial"/>
          <w:color w:val="000000"/>
          <w:sz w:val="20"/>
          <w:szCs w:val="20"/>
        </w:rPr>
        <w:t xml:space="preserve"> intangible assets are amortized over their estimated useful lives.</w:t>
      </w:r>
    </w:p>
    <w:p w14:paraId="5F2CEC00" w14:textId="77777777" w:rsidR="00E836FB" w:rsidRDefault="00994958">
      <w:pPr>
        <w:spacing w:before="60"/>
        <w:ind w:firstLine="450"/>
        <w:jc w:val="both"/>
        <w:textAlignment w:val="top"/>
      </w:pPr>
      <w:r>
        <w:rPr>
          <w:rFonts w:ascii="Arial" w:eastAsia="宋体" w:hAnsi="Arial" w:cs="Arial"/>
          <w:color w:val="000000"/>
          <w:sz w:val="20"/>
          <w:szCs w:val="20"/>
        </w:rPr>
        <w:t>Management reviews goodwill for impairment annually or more frequently if circumstances arise or events occur that indicate an impairment of the carrying amount may exist. We begin our rev</w:t>
      </w:r>
      <w:r>
        <w:rPr>
          <w:rFonts w:ascii="Arial" w:eastAsia="宋体" w:hAnsi="Arial" w:cs="Arial"/>
          <w:color w:val="000000"/>
          <w:sz w:val="20"/>
          <w:szCs w:val="20"/>
        </w:rPr>
        <w:t>iew by first assessing qualitative factors to determine whether it is more likely than not that the fair value of a reporting unit is less than its carrying amount. Events that may indicate impairment include: significant or adverse changes in the business</w:t>
      </w:r>
      <w:r>
        <w:rPr>
          <w:rFonts w:ascii="Arial" w:eastAsia="宋体" w:hAnsi="Arial" w:cs="Arial"/>
          <w:color w:val="000000"/>
          <w:sz w:val="20"/>
          <w:szCs w:val="20"/>
        </w:rPr>
        <w:t>, economic or political climate; an adverse action or assessment by a regulator; unanticipated competition; and a more-likely-than-not expectation that we will sell or otherwise dispose of a business to which the goodwill or other intangible assets relate.</w:t>
      </w:r>
      <w:r>
        <w:rPr>
          <w:rFonts w:ascii="Arial" w:eastAsia="宋体" w:hAnsi="Arial" w:cs="Arial"/>
          <w:color w:val="000000"/>
          <w:sz w:val="20"/>
          <w:szCs w:val="20"/>
        </w:rPr>
        <w:t xml:space="preserve"> If we conclude from the qualitative assessment of goodwill impairment that it is more likely than not that a reporting unit’s fair value is greater than its carrying amount, quantitative tests are not required. However, if we determine it is more likely t</w:t>
      </w:r>
      <w:r>
        <w:rPr>
          <w:rFonts w:ascii="Arial" w:eastAsia="宋体" w:hAnsi="Arial" w:cs="Arial"/>
          <w:color w:val="000000"/>
          <w:sz w:val="20"/>
          <w:szCs w:val="20"/>
        </w:rPr>
        <w:t>han not that a reporting unit’s fair value is less than its carrying amount, then we complete a quantitative assessment to determine if there is goodwill impairment. We may elect to bypass the qualitative assessment and complete a quantitative assessment i</w:t>
      </w:r>
      <w:r>
        <w:rPr>
          <w:rFonts w:ascii="Arial" w:eastAsia="宋体" w:hAnsi="Arial" w:cs="Arial"/>
          <w:color w:val="000000"/>
          <w:sz w:val="20"/>
          <w:szCs w:val="20"/>
        </w:rPr>
        <w:t>n any given year.</w:t>
      </w:r>
    </w:p>
    <w:p w14:paraId="5F2CEC01" w14:textId="77777777" w:rsidR="00E836FB" w:rsidRDefault="00994958">
      <w:pPr>
        <w:spacing w:before="60"/>
        <w:ind w:firstLine="450"/>
        <w:jc w:val="both"/>
        <w:textAlignment w:val="top"/>
      </w:pPr>
      <w:r>
        <w:rPr>
          <w:rFonts w:ascii="Arial" w:eastAsia="宋体" w:hAnsi="Arial" w:cs="Arial"/>
          <w:color w:val="000000"/>
          <w:sz w:val="20"/>
          <w:szCs w:val="20"/>
        </w:rPr>
        <w:t>In 2021, we assessed goodwill for impairment using a qualitative assessment. Based on our evaluation of the qualitative factors noted above, we determined that it was more likely than not that the fair value of each of the reporting units</w:t>
      </w:r>
      <w:r>
        <w:rPr>
          <w:rFonts w:ascii="Arial" w:eastAsia="宋体" w:hAnsi="Arial" w:cs="Arial"/>
          <w:color w:val="000000"/>
          <w:sz w:val="20"/>
          <w:szCs w:val="20"/>
        </w:rPr>
        <w:t xml:space="preserve"> exceeded its </w:t>
      </w:r>
    </w:p>
    <w:p w14:paraId="5F2CEC02" w14:textId="77777777" w:rsidR="00E836FB" w:rsidRDefault="00994958">
      <w:pPr>
        <w:ind w:firstLine="450"/>
        <w:jc w:val="right"/>
      </w:pPr>
      <w:r>
        <w:rPr>
          <w:rFonts w:ascii="Arial" w:eastAsia="宋体" w:hAnsi="Arial" w:cs="Arial"/>
          <w:color w:val="000000"/>
          <w:sz w:val="18"/>
          <w:szCs w:val="18"/>
        </w:rPr>
        <w:t>State Street Corporation | 125</w:t>
      </w:r>
    </w:p>
    <w:p w14:paraId="5F2CEC03" w14:textId="77777777" w:rsidR="00E836FB" w:rsidRDefault="00E836FB">
      <w:pPr>
        <w:ind w:firstLine="450"/>
        <w:jc w:val="center"/>
      </w:pPr>
    </w:p>
    <w:p w14:paraId="5F2CEC04" w14:textId="77777777" w:rsidR="00E836FB" w:rsidRDefault="00994958">
      <w:r>
        <w:pict w14:anchorId="5F2D6E02">
          <v:rect id="_x0000_i1149" style="width:415.3pt;height:1.5pt" o:hralign="center" o:hrstd="t" o:hr="t" fillcolor="#a0a0a0" stroked="f"/>
        </w:pict>
      </w:r>
    </w:p>
    <w:p w14:paraId="5F2CEC05" w14:textId="77777777" w:rsidR="00E836FB" w:rsidRDefault="00994958">
      <w:pPr>
        <w:ind w:firstLine="450"/>
        <w:jc w:val="center"/>
      </w:pPr>
      <w:r>
        <w:rPr>
          <w:rFonts w:ascii="Arial" w:eastAsia="宋体" w:hAnsi="Arial" w:cs="Arial"/>
          <w:b/>
          <w:bCs/>
          <w:color w:val="000000"/>
          <w:sz w:val="20"/>
          <w:szCs w:val="20"/>
        </w:rPr>
        <w:t>MANAGEMENT’S DISCUSSION AND ANALYSIS OF FINANCIAL CONDITION</w:t>
      </w:r>
    </w:p>
    <w:p w14:paraId="5F2CEC06" w14:textId="77777777" w:rsidR="00E836FB" w:rsidRDefault="00994958">
      <w:pPr>
        <w:ind w:firstLine="450"/>
        <w:jc w:val="center"/>
      </w:pPr>
      <w:r>
        <w:rPr>
          <w:rFonts w:ascii="Arial" w:eastAsia="宋体" w:hAnsi="Arial" w:cs="Arial"/>
          <w:b/>
          <w:bCs/>
          <w:color w:val="000000"/>
          <w:sz w:val="20"/>
          <w:szCs w:val="20"/>
        </w:rPr>
        <w:t>AND RESULTS OF OPERATIONS</w:t>
      </w:r>
    </w:p>
    <w:p w14:paraId="5F2CEC07" w14:textId="77777777" w:rsidR="00E836FB" w:rsidRDefault="00994958">
      <w:pPr>
        <w:spacing w:before="60"/>
        <w:jc w:val="both"/>
        <w:textAlignment w:val="top"/>
      </w:pPr>
      <w:r>
        <w:rPr>
          <w:rFonts w:ascii="Arial" w:eastAsia="宋体" w:hAnsi="Arial" w:cs="Arial"/>
          <w:color w:val="000000"/>
          <w:sz w:val="20"/>
          <w:szCs w:val="20"/>
        </w:rPr>
        <w:t>respective carrying amount. We determined there was no goodwill impairment in 2021.</w:t>
      </w:r>
    </w:p>
    <w:p w14:paraId="5F2CEC08" w14:textId="77777777" w:rsidR="00E836FB" w:rsidRDefault="00994958">
      <w:pPr>
        <w:spacing w:before="60"/>
        <w:ind w:firstLine="450"/>
        <w:jc w:val="both"/>
        <w:textAlignment w:val="top"/>
      </w:pPr>
      <w:r>
        <w:rPr>
          <w:rFonts w:ascii="Arial" w:eastAsia="宋体" w:hAnsi="Arial" w:cs="Arial"/>
          <w:color w:val="000000"/>
          <w:sz w:val="20"/>
          <w:szCs w:val="20"/>
        </w:rPr>
        <w:t>Other intangible assets are supported</w:t>
      </w:r>
      <w:r>
        <w:rPr>
          <w:rFonts w:ascii="Arial" w:eastAsia="宋体" w:hAnsi="Arial" w:cs="Arial"/>
          <w:color w:val="000000"/>
          <w:sz w:val="20"/>
          <w:szCs w:val="20"/>
        </w:rPr>
        <w:t xml:space="preserve"> by the future cash flows that are directly associated with and expected to arise as a direct result of the use of the intangible asset, less any costs associated with the intangible asset’s eventual disposition. We evaluate other intangible assets for imp</w:t>
      </w:r>
      <w:r>
        <w:rPr>
          <w:rFonts w:ascii="Arial" w:eastAsia="宋体" w:hAnsi="Arial" w:cs="Arial"/>
          <w:color w:val="000000"/>
          <w:sz w:val="20"/>
          <w:szCs w:val="20"/>
        </w:rPr>
        <w:t>airment at the lowest level for which there are identifiable cash flows that are largely independent of the cash flows from other groups of assets using the following process.  First, we routinely assess whether impairment indicators are present. When impa</w:t>
      </w:r>
      <w:r>
        <w:rPr>
          <w:rFonts w:ascii="Arial" w:eastAsia="宋体" w:hAnsi="Arial" w:cs="Arial"/>
          <w:color w:val="000000"/>
          <w:sz w:val="20"/>
          <w:szCs w:val="20"/>
        </w:rPr>
        <w:t xml:space="preserve">irment indicators are identified as being present, we compare the estimated future net undiscounted cash flows of the intangible asset with its carrying value. If the future net undiscounted cash flows are greater than the carrying value, then there is no </w:t>
      </w:r>
      <w:r>
        <w:rPr>
          <w:rFonts w:ascii="Arial" w:eastAsia="宋体" w:hAnsi="Arial" w:cs="Arial"/>
          <w:color w:val="000000"/>
          <w:sz w:val="20"/>
          <w:szCs w:val="20"/>
        </w:rPr>
        <w:t>impairment, but if the intangible asset's net undiscounted cash flows are less than its carrying value, we are required to calculate impairment. An impairment is recognized by writing the intangible asset down to its fair value.  We evaluate intangible ass</w:t>
      </w:r>
      <w:r>
        <w:rPr>
          <w:rFonts w:ascii="Arial" w:eastAsia="宋体" w:hAnsi="Arial" w:cs="Arial"/>
          <w:color w:val="000000"/>
          <w:sz w:val="20"/>
          <w:szCs w:val="20"/>
        </w:rPr>
        <w:t>ets for indicators of impairment on a quarterly basis. There were no impairments taken on other intangible assets in 2021.</w:t>
      </w:r>
    </w:p>
    <w:p w14:paraId="5F2CEC09" w14:textId="77777777" w:rsidR="00E836FB" w:rsidRDefault="00994958">
      <w:pPr>
        <w:spacing w:before="60"/>
        <w:ind w:firstLine="450"/>
        <w:jc w:val="both"/>
        <w:textAlignment w:val="top"/>
      </w:pPr>
      <w:r>
        <w:rPr>
          <w:rFonts w:ascii="Arial" w:eastAsia="宋体" w:hAnsi="Arial" w:cs="Arial"/>
          <w:color w:val="000000"/>
          <w:sz w:val="20"/>
          <w:szCs w:val="20"/>
        </w:rPr>
        <w:t>Additional information about goodwill and other intangible assets, including information by line of business, is provided in Note 5 t</w:t>
      </w:r>
      <w:r>
        <w:rPr>
          <w:rFonts w:ascii="Arial" w:eastAsia="宋体" w:hAnsi="Arial" w:cs="Arial"/>
          <w:color w:val="000000"/>
          <w:sz w:val="20"/>
          <w:szCs w:val="20"/>
        </w:rPr>
        <w:t xml:space="preserve">o the consolidated financial statements in this Form 10-K. </w:t>
      </w:r>
    </w:p>
    <w:p w14:paraId="5F2CEC0A" w14:textId="77777777" w:rsidR="00E836FB" w:rsidRDefault="00994958">
      <w:pPr>
        <w:spacing w:before="60"/>
        <w:jc w:val="both"/>
        <w:textAlignment w:val="top"/>
      </w:pPr>
      <w:r>
        <w:rPr>
          <w:rFonts w:ascii="Arial" w:eastAsia="宋体" w:hAnsi="Arial" w:cs="Arial"/>
          <w:b/>
          <w:bCs/>
          <w:i/>
          <w:iCs/>
          <w:color w:val="000000"/>
          <w:sz w:val="20"/>
          <w:szCs w:val="20"/>
        </w:rPr>
        <w:t>Contingencies</w:t>
      </w:r>
    </w:p>
    <w:p w14:paraId="5F2CEC0B" w14:textId="77777777" w:rsidR="00E836FB" w:rsidRDefault="00994958">
      <w:pPr>
        <w:spacing w:before="60"/>
        <w:ind w:firstLine="450"/>
        <w:jc w:val="both"/>
        <w:textAlignment w:val="top"/>
      </w:pPr>
      <w:r>
        <w:rPr>
          <w:rFonts w:ascii="Arial" w:eastAsia="宋体" w:hAnsi="Arial" w:cs="Arial"/>
          <w:color w:val="000000"/>
          <w:sz w:val="20"/>
          <w:szCs w:val="20"/>
        </w:rPr>
        <w:t xml:space="preserve">Information on significant estimates and judgments related with establishing litigation reserves is discussed in Note 13 of the consolidated financial statements in this Form </w:t>
      </w:r>
      <w:r>
        <w:rPr>
          <w:rFonts w:ascii="Arial" w:eastAsia="宋体" w:hAnsi="Arial" w:cs="Arial"/>
          <w:color w:val="000000"/>
          <w:sz w:val="20"/>
          <w:szCs w:val="20"/>
        </w:rPr>
        <w:t>10-K.</w:t>
      </w:r>
    </w:p>
    <w:p w14:paraId="5F2CEC0C" w14:textId="77777777" w:rsidR="00E836FB" w:rsidRDefault="00994958">
      <w:pPr>
        <w:spacing w:before="90" w:after="60"/>
        <w:jc w:val="both"/>
        <w:textAlignment w:val="top"/>
      </w:pPr>
      <w:r>
        <w:rPr>
          <w:rFonts w:ascii="Arial" w:eastAsia="宋体" w:hAnsi="Arial" w:cs="Arial"/>
          <w:b/>
          <w:bCs/>
          <w:color w:val="000000"/>
          <w:sz w:val="20"/>
          <w:szCs w:val="20"/>
        </w:rPr>
        <w:t>RECENT ACCOUNTING DEVELOPMENTS</w:t>
      </w:r>
    </w:p>
    <w:p w14:paraId="5F2CEC0D" w14:textId="77777777" w:rsidR="00E836FB" w:rsidRDefault="00994958">
      <w:pPr>
        <w:spacing w:before="60" w:after="60"/>
        <w:ind w:firstLine="450"/>
        <w:jc w:val="both"/>
        <w:textAlignment w:val="top"/>
      </w:pPr>
      <w:r>
        <w:rPr>
          <w:rFonts w:ascii="Arial" w:eastAsia="宋体" w:hAnsi="Arial" w:cs="Arial"/>
          <w:color w:val="000000"/>
          <w:sz w:val="20"/>
          <w:szCs w:val="20"/>
        </w:rPr>
        <w:t xml:space="preserve">Information with respect to recent accounting developments is provided in Note 1 to the consolidated financial statements in this Form 10-K. </w:t>
      </w:r>
    </w:p>
    <w:p w14:paraId="5F2CEC0E" w14:textId="77777777" w:rsidR="00E836FB" w:rsidRDefault="00994958">
      <w:pPr>
        <w:ind w:firstLine="450"/>
        <w:jc w:val="right"/>
      </w:pPr>
      <w:r>
        <w:rPr>
          <w:rFonts w:ascii="Arial" w:eastAsia="宋体" w:hAnsi="Arial" w:cs="Arial"/>
          <w:color w:val="000000"/>
          <w:sz w:val="18"/>
          <w:szCs w:val="18"/>
        </w:rPr>
        <w:t>State Street Corporation | 126</w:t>
      </w:r>
    </w:p>
    <w:p w14:paraId="5F2CEC0F" w14:textId="77777777" w:rsidR="00E836FB" w:rsidRDefault="00E836FB">
      <w:pPr>
        <w:ind w:firstLine="450"/>
        <w:jc w:val="center"/>
      </w:pPr>
    </w:p>
    <w:p w14:paraId="5F2CEC10" w14:textId="77777777" w:rsidR="00E836FB" w:rsidRDefault="00994958">
      <w:r>
        <w:pict w14:anchorId="5F2D6E03">
          <v:rect id="_x0000_i1150" style="width:415.3pt;height:1.5pt" o:hralign="center" o:hrstd="t" o:hr="t" fillcolor="#a0a0a0" stroked="f"/>
        </w:pict>
      </w:r>
    </w:p>
    <w:p w14:paraId="5F2CEC11" w14:textId="77777777" w:rsidR="00E836FB" w:rsidRDefault="00E836FB">
      <w:pPr>
        <w:ind w:firstLine="450"/>
      </w:pPr>
    </w:p>
    <w:p w14:paraId="5F2CEC12" w14:textId="77777777" w:rsidR="00E836FB" w:rsidRDefault="00994958">
      <w:pPr>
        <w:spacing w:before="90" w:after="60"/>
        <w:jc w:val="both"/>
        <w:textAlignment w:val="top"/>
      </w:pPr>
      <w:r>
        <w:rPr>
          <w:rFonts w:ascii="Arial" w:eastAsia="宋体" w:hAnsi="Arial" w:cs="Arial"/>
          <w:b/>
          <w:bCs/>
          <w:color w:val="000000"/>
          <w:sz w:val="20"/>
          <w:szCs w:val="20"/>
        </w:rPr>
        <w:t>ITEM 7A. QUANTITATIVE AND QUALITATIVE DISC</w:t>
      </w:r>
      <w:r>
        <w:rPr>
          <w:rFonts w:ascii="Arial" w:eastAsia="宋体" w:hAnsi="Arial" w:cs="Arial"/>
          <w:b/>
          <w:bCs/>
          <w:color w:val="000000"/>
          <w:sz w:val="20"/>
          <w:szCs w:val="20"/>
        </w:rPr>
        <w:t>LOSURES ABOUT MARKET RISK</w:t>
      </w:r>
    </w:p>
    <w:p w14:paraId="5F2CEC13" w14:textId="77777777" w:rsidR="00E836FB" w:rsidRDefault="00994958">
      <w:pPr>
        <w:spacing w:before="90"/>
        <w:ind w:firstLine="450"/>
        <w:jc w:val="both"/>
        <w:textAlignment w:val="top"/>
      </w:pPr>
      <w:r>
        <w:rPr>
          <w:rFonts w:ascii="Arial" w:eastAsia="宋体" w:hAnsi="Arial" w:cs="Arial"/>
          <w:color w:val="000000"/>
          <w:sz w:val="20"/>
          <w:szCs w:val="20"/>
        </w:rPr>
        <w:t xml:space="preserve">The information provided under “Market Risk Management” in "Financial Condition" in our Management's Discussion and Analysis in this Form 10-K, is incorporated by reference herein. </w:t>
      </w:r>
    </w:p>
    <w:p w14:paraId="5F2CEC14" w14:textId="77777777" w:rsidR="00E836FB" w:rsidRDefault="00994958">
      <w:pPr>
        <w:spacing w:before="90" w:after="60"/>
        <w:jc w:val="both"/>
        <w:textAlignment w:val="top"/>
      </w:pPr>
      <w:r>
        <w:rPr>
          <w:rFonts w:ascii="Arial" w:eastAsia="宋体" w:hAnsi="Arial" w:cs="Arial"/>
          <w:b/>
          <w:bCs/>
          <w:color w:val="000000"/>
          <w:sz w:val="20"/>
          <w:szCs w:val="20"/>
        </w:rPr>
        <w:t>ITEM 8. FINANCIAL STATEMENTS AND SUPPLEMENTARY D</w:t>
      </w:r>
      <w:r>
        <w:rPr>
          <w:rFonts w:ascii="Arial" w:eastAsia="宋体" w:hAnsi="Arial" w:cs="Arial"/>
          <w:b/>
          <w:bCs/>
          <w:color w:val="000000"/>
          <w:sz w:val="20"/>
          <w:szCs w:val="20"/>
        </w:rPr>
        <w:t>ATA</w:t>
      </w:r>
    </w:p>
    <w:p w14:paraId="5F2CEC15" w14:textId="77777777" w:rsidR="00E836FB" w:rsidRDefault="00994958">
      <w:pPr>
        <w:ind w:firstLine="450"/>
        <w:jc w:val="both"/>
        <w:textAlignment w:val="top"/>
      </w:pPr>
      <w:r>
        <w:rPr>
          <w:rFonts w:ascii="Arial" w:eastAsia="宋体" w:hAnsi="Arial" w:cs="Arial"/>
          <w:color w:val="000000"/>
          <w:sz w:val="20"/>
          <w:szCs w:val="20"/>
        </w:rPr>
        <w:t>Additional information about restrictions on the transfer of funds from State Street Bank to the Parent Company is provided under "Related Stockholder Matters" in Market for Registrant’s Common Equity, Related Stockholder Matters and Issuer Purchases o</w:t>
      </w:r>
      <w:r>
        <w:rPr>
          <w:rFonts w:ascii="Arial" w:eastAsia="宋体" w:hAnsi="Arial" w:cs="Arial"/>
          <w:color w:val="000000"/>
          <w:sz w:val="20"/>
          <w:szCs w:val="20"/>
        </w:rPr>
        <w:t>f Equity Securities, and under "Capital" in “Financial Condition” in our Management’s Discussion and Analysis in this Form 10-K.</w:t>
      </w:r>
    </w:p>
    <w:p w14:paraId="5F2CEC16" w14:textId="77777777" w:rsidR="00E836FB" w:rsidRDefault="00E836FB">
      <w:pPr>
        <w:spacing w:before="100"/>
        <w:ind w:firstLine="450"/>
        <w:textAlignment w:val="top"/>
      </w:pPr>
    </w:p>
    <w:p w14:paraId="5F2CEC17" w14:textId="77777777" w:rsidR="00E836FB" w:rsidRDefault="00994958">
      <w:pPr>
        <w:ind w:firstLine="450"/>
        <w:jc w:val="right"/>
      </w:pPr>
      <w:r>
        <w:rPr>
          <w:rFonts w:ascii="Arial" w:eastAsia="宋体" w:hAnsi="Arial" w:cs="Arial"/>
          <w:color w:val="000000"/>
          <w:sz w:val="18"/>
          <w:szCs w:val="18"/>
        </w:rPr>
        <w:t>State Street Corporation | 127</w:t>
      </w:r>
    </w:p>
    <w:p w14:paraId="5F2CEC18" w14:textId="77777777" w:rsidR="00E836FB" w:rsidRDefault="00E836FB">
      <w:pPr>
        <w:ind w:firstLine="450"/>
        <w:jc w:val="center"/>
      </w:pPr>
    </w:p>
    <w:p w14:paraId="5F2CEC19" w14:textId="77777777" w:rsidR="00E836FB" w:rsidRDefault="00994958">
      <w:r>
        <w:pict w14:anchorId="5F2D6E04">
          <v:rect id="_x0000_i1151" style="width:415.3pt;height:1.5pt" o:hralign="center" o:hrstd="t" o:hr="t" fillcolor="#a0a0a0" stroked="f"/>
        </w:pict>
      </w:r>
    </w:p>
    <w:p w14:paraId="5F2CEC1A" w14:textId="77777777" w:rsidR="00E836FB" w:rsidRDefault="00E836FB">
      <w:pPr>
        <w:ind w:firstLine="450"/>
      </w:pPr>
    </w:p>
    <w:p w14:paraId="5F2CEC1B" w14:textId="77777777" w:rsidR="00E836FB" w:rsidRDefault="00E836FB">
      <w:pPr>
        <w:ind w:firstLine="450"/>
        <w:jc w:val="center"/>
      </w:pPr>
    </w:p>
    <w:p w14:paraId="5F2CEC1C" w14:textId="77777777" w:rsidR="00E836FB" w:rsidRDefault="00994958">
      <w:pPr>
        <w:spacing w:before="180"/>
        <w:ind w:firstLine="450"/>
        <w:jc w:val="center"/>
      </w:pPr>
      <w:r>
        <w:rPr>
          <w:rFonts w:ascii="Arial" w:eastAsia="宋体" w:hAnsi="Arial" w:cs="Arial"/>
          <w:b/>
          <w:bCs/>
          <w:color w:val="000000"/>
          <w:sz w:val="20"/>
          <w:szCs w:val="20"/>
        </w:rPr>
        <w:t>Report of Independent Registered Public Accounting Firm</w:t>
      </w:r>
    </w:p>
    <w:p w14:paraId="5F2CEC1D" w14:textId="77777777" w:rsidR="00E836FB" w:rsidRDefault="00E836FB">
      <w:pPr>
        <w:spacing w:after="160"/>
        <w:ind w:firstLine="450"/>
      </w:pPr>
    </w:p>
    <w:p w14:paraId="5F2CEC1E" w14:textId="77777777" w:rsidR="00E836FB" w:rsidRDefault="00994958">
      <w:pPr>
        <w:jc w:val="both"/>
      </w:pPr>
      <w:r>
        <w:rPr>
          <w:rFonts w:ascii="Arial" w:eastAsia="宋体" w:hAnsi="Arial" w:cs="Arial"/>
          <w:color w:val="000000"/>
          <w:sz w:val="20"/>
          <w:szCs w:val="20"/>
        </w:rPr>
        <w:t xml:space="preserve">To the Shareholders and the </w:t>
      </w:r>
      <w:r>
        <w:rPr>
          <w:rFonts w:ascii="Arial" w:eastAsia="宋体" w:hAnsi="Arial" w:cs="Arial"/>
          <w:color w:val="000000"/>
          <w:sz w:val="20"/>
          <w:szCs w:val="20"/>
        </w:rPr>
        <w:t>Board of Directors of State Street Corporation</w:t>
      </w:r>
    </w:p>
    <w:p w14:paraId="5F2CEC1F" w14:textId="77777777" w:rsidR="00E836FB" w:rsidRDefault="00994958">
      <w:pPr>
        <w:spacing w:before="90" w:after="60"/>
        <w:jc w:val="both"/>
      </w:pPr>
      <w:r>
        <w:rPr>
          <w:rFonts w:ascii="Arial" w:eastAsia="宋体" w:hAnsi="Arial" w:cs="Arial"/>
          <w:b/>
          <w:bCs/>
          <w:color w:val="000000"/>
          <w:sz w:val="20"/>
          <w:szCs w:val="20"/>
        </w:rPr>
        <w:t>Opinion on the Financial Statements</w:t>
      </w:r>
    </w:p>
    <w:p w14:paraId="5F2CEC20" w14:textId="77777777" w:rsidR="00E836FB" w:rsidRDefault="00994958">
      <w:pPr>
        <w:spacing w:before="80"/>
        <w:jc w:val="both"/>
      </w:pPr>
      <w:r>
        <w:rPr>
          <w:rFonts w:ascii="Arial" w:eastAsia="宋体" w:hAnsi="Arial" w:cs="Arial"/>
          <w:color w:val="000000"/>
          <w:sz w:val="20"/>
          <w:szCs w:val="20"/>
        </w:rPr>
        <w:t>We have audited the accompanying consolidated statements of condition of State Street Corporation (the “Corporation”) as of December 31, 2021 and 2020, the related consolida</w:t>
      </w:r>
      <w:r>
        <w:rPr>
          <w:rFonts w:ascii="Arial" w:eastAsia="宋体" w:hAnsi="Arial" w:cs="Arial"/>
          <w:color w:val="000000"/>
          <w:sz w:val="20"/>
          <w:szCs w:val="20"/>
        </w:rPr>
        <w:t xml:space="preserve">ted statements of income, comprehensive income, changes in shareholders’ equity, and cash flows for each of the three years in the period ended December 31, 2021, and the related notes (collectively referred to as the “consolidated financial statements”). </w:t>
      </w:r>
      <w:r>
        <w:rPr>
          <w:rFonts w:ascii="Arial" w:eastAsia="宋体" w:hAnsi="Arial" w:cs="Arial"/>
          <w:color w:val="000000"/>
          <w:sz w:val="20"/>
          <w:szCs w:val="20"/>
        </w:rPr>
        <w:t>In our opinion, the consolidated financial statements present fairly, in all material respects, the financial position of the Corporation at December 31, 2021 and 2020, and the results of its operations and its cash flows for each of the three years in the</w:t>
      </w:r>
      <w:r>
        <w:rPr>
          <w:rFonts w:ascii="Arial" w:eastAsia="宋体" w:hAnsi="Arial" w:cs="Arial"/>
          <w:color w:val="000000"/>
          <w:sz w:val="20"/>
          <w:szCs w:val="20"/>
        </w:rPr>
        <w:t xml:space="preserve"> period ended December 31, 2021, in conformity with U.S. generally accepted accounting principles.</w:t>
      </w:r>
    </w:p>
    <w:p w14:paraId="5F2CEC21" w14:textId="77777777" w:rsidR="00E836FB" w:rsidRDefault="00994958">
      <w:pPr>
        <w:spacing w:before="80"/>
        <w:jc w:val="both"/>
      </w:pPr>
      <w:r>
        <w:rPr>
          <w:rFonts w:ascii="Arial" w:eastAsia="宋体" w:hAnsi="Arial" w:cs="Arial"/>
          <w:color w:val="000000"/>
          <w:sz w:val="20"/>
          <w:szCs w:val="20"/>
        </w:rPr>
        <w:t>We also have audited, in accordance with the standards of the Public Company Accounting Oversight Board (United States) (“PCAOB”), the Corporation's internal</w:t>
      </w:r>
      <w:r>
        <w:rPr>
          <w:rFonts w:ascii="Arial" w:eastAsia="宋体" w:hAnsi="Arial" w:cs="Arial"/>
          <w:color w:val="000000"/>
          <w:sz w:val="20"/>
          <w:szCs w:val="20"/>
        </w:rPr>
        <w:t xml:space="preserve"> control over financial reporting as of December 31, 2021, based on criteria established in Internal Control-Integrated Framework issued by the Committee of Sponsoring Organizations of the Treadway Commission (2013 framework) and our report dated February </w:t>
      </w:r>
      <w:r>
        <w:rPr>
          <w:rFonts w:ascii="Arial" w:eastAsia="宋体" w:hAnsi="Arial" w:cs="Arial"/>
          <w:color w:val="000000"/>
          <w:sz w:val="20"/>
          <w:szCs w:val="20"/>
        </w:rPr>
        <w:t>17, 2022 expressed an unqualified opinion thereon.</w:t>
      </w:r>
    </w:p>
    <w:p w14:paraId="5F2CEC22" w14:textId="77777777" w:rsidR="00E836FB" w:rsidRDefault="00994958">
      <w:pPr>
        <w:spacing w:before="90" w:after="60"/>
        <w:jc w:val="both"/>
      </w:pPr>
      <w:r>
        <w:rPr>
          <w:rFonts w:ascii="Arial" w:eastAsia="宋体" w:hAnsi="Arial" w:cs="Arial"/>
          <w:b/>
          <w:bCs/>
          <w:color w:val="000000"/>
          <w:sz w:val="20"/>
          <w:szCs w:val="20"/>
        </w:rPr>
        <w:t>Basis for Opinion</w:t>
      </w:r>
    </w:p>
    <w:p w14:paraId="5F2CEC23" w14:textId="77777777" w:rsidR="00E836FB" w:rsidRDefault="00994958">
      <w:pPr>
        <w:spacing w:before="80"/>
        <w:jc w:val="both"/>
      </w:pPr>
      <w:r>
        <w:rPr>
          <w:rFonts w:ascii="Arial" w:eastAsia="宋体" w:hAnsi="Arial" w:cs="Arial"/>
          <w:color w:val="000000"/>
          <w:sz w:val="20"/>
          <w:szCs w:val="20"/>
        </w:rPr>
        <w:t xml:space="preserve">These consolidated financial statements are the responsibility of the Corporation's management. Our responsibility is to express an opinion on the Corporation’s consolidated </w:t>
      </w:r>
      <w:r>
        <w:rPr>
          <w:rFonts w:ascii="Arial" w:eastAsia="宋体" w:hAnsi="Arial" w:cs="Arial"/>
          <w:color w:val="000000"/>
          <w:sz w:val="20"/>
          <w:szCs w:val="20"/>
        </w:rPr>
        <w:t>financial statements based on our audits. We are a public accounting firm registered with the PCAOB and are required to be independent with respect to the Corporation in accordance with the U.S. federal securities laws and the applicable rules and regulati</w:t>
      </w:r>
      <w:r>
        <w:rPr>
          <w:rFonts w:ascii="Arial" w:eastAsia="宋体" w:hAnsi="Arial" w:cs="Arial"/>
          <w:color w:val="000000"/>
          <w:sz w:val="20"/>
          <w:szCs w:val="20"/>
        </w:rPr>
        <w:t>ons of the Securities and Exchange Commission and the PCAOB.</w:t>
      </w:r>
    </w:p>
    <w:p w14:paraId="5F2CEC24" w14:textId="77777777" w:rsidR="00E836FB" w:rsidRDefault="00994958">
      <w:pPr>
        <w:spacing w:before="80"/>
        <w:jc w:val="both"/>
      </w:pPr>
      <w:r>
        <w:rPr>
          <w:rFonts w:ascii="Arial" w:eastAsia="宋体" w:hAnsi="Arial" w:cs="Arial"/>
          <w:color w:val="000000"/>
          <w:sz w:val="20"/>
          <w:szCs w:val="20"/>
        </w:rPr>
        <w:t>We conducted our audits in accordance with the standards of the PCAOB. Those standards require that we plan and perform the audit to obtain reasonable assurance about whether the consolidated fin</w:t>
      </w:r>
      <w:r>
        <w:rPr>
          <w:rFonts w:ascii="Arial" w:eastAsia="宋体" w:hAnsi="Arial" w:cs="Arial"/>
          <w:color w:val="000000"/>
          <w:sz w:val="20"/>
          <w:szCs w:val="20"/>
        </w:rPr>
        <w:t>ancial statements are free of material misstatement, whether due to error or fraud. Our audits included performing procedures to assess the risks of material misstatement of the consolidated financial statements, whether due to error or fraud, and performi</w:t>
      </w:r>
      <w:r>
        <w:rPr>
          <w:rFonts w:ascii="Arial" w:eastAsia="宋体" w:hAnsi="Arial" w:cs="Arial"/>
          <w:color w:val="000000"/>
          <w:sz w:val="20"/>
          <w:szCs w:val="20"/>
        </w:rPr>
        <w:t xml:space="preserve">ng procedures that respond to those risks. Such procedures included examining, on a test basis, evidence regarding the amounts and disclosures in the consolidated financial statements. Our audits also included evaluating the accounting principles used and </w:t>
      </w:r>
      <w:r>
        <w:rPr>
          <w:rFonts w:ascii="Arial" w:eastAsia="宋体" w:hAnsi="Arial" w:cs="Arial"/>
          <w:color w:val="000000"/>
          <w:sz w:val="20"/>
          <w:szCs w:val="20"/>
        </w:rPr>
        <w:t>significant estimates made by management, as well as evaluating the overall presentation of the consolidated financial statements. We believe that our audits provide a reasonable basis for our opinion.</w:t>
      </w:r>
    </w:p>
    <w:p w14:paraId="5F2CEC25" w14:textId="77777777" w:rsidR="00E836FB" w:rsidRDefault="00994958">
      <w:pPr>
        <w:ind w:firstLine="450"/>
        <w:jc w:val="right"/>
      </w:pPr>
      <w:r>
        <w:rPr>
          <w:rFonts w:ascii="Arial" w:eastAsia="宋体" w:hAnsi="Arial" w:cs="Arial"/>
          <w:color w:val="000000"/>
          <w:sz w:val="18"/>
          <w:szCs w:val="18"/>
        </w:rPr>
        <w:t>State Street Corporation | 128</w:t>
      </w:r>
    </w:p>
    <w:p w14:paraId="5F2CEC26" w14:textId="77777777" w:rsidR="00E836FB" w:rsidRDefault="00E836FB">
      <w:pPr>
        <w:ind w:firstLine="450"/>
        <w:jc w:val="center"/>
      </w:pPr>
    </w:p>
    <w:p w14:paraId="5F2CEC27" w14:textId="77777777" w:rsidR="00E836FB" w:rsidRDefault="00994958">
      <w:r>
        <w:pict w14:anchorId="5F2D6E05">
          <v:rect id="_x0000_i1152" style="width:415.3pt;height:1.5pt" o:hralign="center" o:hrstd="t" o:hr="t" fillcolor="#a0a0a0" stroked="f"/>
        </w:pict>
      </w:r>
    </w:p>
    <w:p w14:paraId="5F2CEC28" w14:textId="77777777" w:rsidR="00E836FB" w:rsidRDefault="00E836FB">
      <w:pPr>
        <w:ind w:firstLine="450"/>
      </w:pPr>
    </w:p>
    <w:p w14:paraId="5F2CEC29" w14:textId="77777777" w:rsidR="00E836FB" w:rsidRDefault="00E836FB">
      <w:pPr>
        <w:ind w:firstLine="450"/>
        <w:jc w:val="center"/>
      </w:pPr>
    </w:p>
    <w:p w14:paraId="5F2CEC2A" w14:textId="77777777" w:rsidR="00E836FB" w:rsidRDefault="00994958">
      <w:pPr>
        <w:spacing w:before="90"/>
      </w:pPr>
      <w:r>
        <w:rPr>
          <w:rFonts w:ascii="Arial" w:eastAsia="宋体" w:hAnsi="Arial" w:cs="Arial"/>
          <w:b/>
          <w:bCs/>
          <w:color w:val="000000"/>
          <w:sz w:val="20"/>
          <w:szCs w:val="20"/>
        </w:rPr>
        <w:t xml:space="preserve">Critical Audit </w:t>
      </w:r>
      <w:r>
        <w:rPr>
          <w:rFonts w:ascii="sans-serif" w:eastAsia="宋体" w:hAnsi="sans-serif" w:cs="sans-serif"/>
          <w:b/>
          <w:bCs/>
          <w:color w:val="000000"/>
          <w:sz w:val="22"/>
          <w:szCs w:val="22"/>
        </w:rPr>
        <w:t>Mat</w:t>
      </w:r>
      <w:r>
        <w:rPr>
          <w:rFonts w:ascii="sans-serif" w:eastAsia="宋体" w:hAnsi="sans-serif" w:cs="sans-serif"/>
          <w:b/>
          <w:bCs/>
          <w:color w:val="000000"/>
          <w:sz w:val="22"/>
          <w:szCs w:val="22"/>
        </w:rPr>
        <w:t>ter</w:t>
      </w:r>
    </w:p>
    <w:p w14:paraId="5F2CEC2B" w14:textId="77777777" w:rsidR="00E836FB" w:rsidRDefault="00994958">
      <w:pPr>
        <w:spacing w:before="80"/>
        <w:jc w:val="both"/>
      </w:pPr>
      <w:r>
        <w:rPr>
          <w:rFonts w:ascii="Arial" w:eastAsia="宋体" w:hAnsi="Arial" w:cs="Arial"/>
          <w:color w:val="000000"/>
          <w:sz w:val="20"/>
          <w:szCs w:val="20"/>
        </w:rPr>
        <w:t>The critical audit matter communicated below is a matter arising from the current period audit of the financial statements that was communicated or required to be communicated to the audit committee and that: (1) relates to accounts or disclosures that</w:t>
      </w:r>
      <w:r>
        <w:rPr>
          <w:rFonts w:ascii="Arial" w:eastAsia="宋体" w:hAnsi="Arial" w:cs="Arial"/>
          <w:color w:val="000000"/>
          <w:sz w:val="20"/>
          <w:szCs w:val="20"/>
        </w:rPr>
        <w:t xml:space="preserve"> are material to the financial statements and (2) involved our especially challenging, subjective, or complex judgments. The communication of the critical audit matter does not alter in any way our opinion on the consolidated financial statements, taken as</w:t>
      </w:r>
      <w:r>
        <w:rPr>
          <w:rFonts w:ascii="Arial" w:eastAsia="宋体" w:hAnsi="Arial" w:cs="Arial"/>
          <w:color w:val="000000"/>
          <w:sz w:val="20"/>
          <w:szCs w:val="20"/>
        </w:rPr>
        <w:t xml:space="preserve"> a whole, and we are not, by communicating the critical audit matter below, providing a separate opinion on the critical audit matter or on the account or disclosures to which it relates.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1612"/>
        <w:gridCol w:w="36"/>
        <w:gridCol w:w="69"/>
        <w:gridCol w:w="6513"/>
        <w:gridCol w:w="37"/>
      </w:tblGrid>
      <w:tr w:rsidR="00E836FB" w14:paraId="5F2CEC32" w14:textId="77777777">
        <w:tc>
          <w:tcPr>
            <w:tcW w:w="50" w:type="pct"/>
            <w:shd w:val="clear" w:color="auto" w:fill="auto"/>
            <w:vAlign w:val="bottom"/>
          </w:tcPr>
          <w:p w14:paraId="5F2CEC2C" w14:textId="77777777" w:rsidR="00E836FB" w:rsidRDefault="00E836FB">
            <w:pPr>
              <w:rPr>
                <w:rFonts w:ascii="宋体"/>
              </w:rPr>
            </w:pPr>
          </w:p>
        </w:tc>
        <w:tc>
          <w:tcPr>
            <w:tcW w:w="975" w:type="pct"/>
            <w:shd w:val="clear" w:color="auto" w:fill="auto"/>
            <w:vAlign w:val="bottom"/>
          </w:tcPr>
          <w:p w14:paraId="5F2CEC2D" w14:textId="77777777" w:rsidR="00E836FB" w:rsidRDefault="00E836FB">
            <w:pPr>
              <w:rPr>
                <w:rFonts w:ascii="宋体"/>
              </w:rPr>
            </w:pPr>
          </w:p>
        </w:tc>
        <w:tc>
          <w:tcPr>
            <w:tcW w:w="5" w:type="pct"/>
            <w:shd w:val="clear" w:color="auto" w:fill="auto"/>
            <w:vAlign w:val="bottom"/>
          </w:tcPr>
          <w:p w14:paraId="5F2CEC2E" w14:textId="77777777" w:rsidR="00E836FB" w:rsidRDefault="00E836FB">
            <w:pPr>
              <w:rPr>
                <w:rFonts w:ascii="宋体"/>
              </w:rPr>
            </w:pPr>
          </w:p>
        </w:tc>
        <w:tc>
          <w:tcPr>
            <w:tcW w:w="50" w:type="pct"/>
            <w:shd w:val="clear" w:color="auto" w:fill="auto"/>
            <w:vAlign w:val="bottom"/>
          </w:tcPr>
          <w:p w14:paraId="5F2CEC2F" w14:textId="77777777" w:rsidR="00E836FB" w:rsidRDefault="00E836FB">
            <w:pPr>
              <w:rPr>
                <w:rFonts w:ascii="宋体"/>
              </w:rPr>
            </w:pPr>
          </w:p>
        </w:tc>
        <w:tc>
          <w:tcPr>
            <w:tcW w:w="3914" w:type="pct"/>
            <w:shd w:val="clear" w:color="auto" w:fill="auto"/>
            <w:vAlign w:val="bottom"/>
          </w:tcPr>
          <w:p w14:paraId="5F2CEC30" w14:textId="77777777" w:rsidR="00E836FB" w:rsidRDefault="00E836FB">
            <w:pPr>
              <w:rPr>
                <w:rFonts w:ascii="宋体"/>
              </w:rPr>
            </w:pPr>
          </w:p>
        </w:tc>
        <w:tc>
          <w:tcPr>
            <w:tcW w:w="5" w:type="pct"/>
            <w:shd w:val="clear" w:color="auto" w:fill="auto"/>
            <w:vAlign w:val="bottom"/>
          </w:tcPr>
          <w:p w14:paraId="5F2CEC31" w14:textId="77777777" w:rsidR="00E836FB" w:rsidRDefault="00E836FB">
            <w:pPr>
              <w:rPr>
                <w:rFonts w:ascii="宋体"/>
              </w:rPr>
            </w:pPr>
          </w:p>
        </w:tc>
      </w:tr>
      <w:tr w:rsidR="00E836FB" w14:paraId="5F2CEC35" w14:textId="77777777">
        <w:tc>
          <w:tcPr>
            <w:tcW w:w="0" w:type="auto"/>
            <w:gridSpan w:val="3"/>
            <w:shd w:val="clear" w:color="auto" w:fill="auto"/>
            <w:tcMar>
              <w:top w:w="0" w:type="dxa"/>
              <w:left w:w="20" w:type="dxa"/>
              <w:bottom w:w="0" w:type="dxa"/>
              <w:right w:w="20" w:type="dxa"/>
            </w:tcMar>
            <w:vAlign w:val="bottom"/>
          </w:tcPr>
          <w:p w14:paraId="5F2CEC3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EC34" w14:textId="77777777" w:rsidR="00E836FB" w:rsidRDefault="00994958">
            <w:pPr>
              <w:textAlignment w:val="bottom"/>
            </w:pPr>
            <w:r>
              <w:rPr>
                <w:rFonts w:ascii="Arial" w:eastAsia="宋体" w:hAnsi="Arial" w:cs="Arial"/>
                <w:b/>
                <w:bCs/>
                <w:i/>
                <w:iCs/>
                <w:color w:val="000000"/>
                <w:sz w:val="20"/>
                <w:szCs w:val="20"/>
              </w:rPr>
              <w:t>Servicing Fee Revenue</w:t>
            </w:r>
          </w:p>
        </w:tc>
      </w:tr>
      <w:tr w:rsidR="00E836FB" w14:paraId="5F2CEC38" w14:textId="77777777">
        <w:trPr>
          <w:trHeight w:val="100"/>
        </w:trPr>
        <w:tc>
          <w:tcPr>
            <w:tcW w:w="0" w:type="auto"/>
            <w:gridSpan w:val="3"/>
            <w:shd w:val="clear" w:color="auto" w:fill="auto"/>
            <w:tcMar>
              <w:top w:w="0" w:type="dxa"/>
              <w:left w:w="20" w:type="dxa"/>
              <w:bottom w:w="0" w:type="dxa"/>
              <w:right w:w="20" w:type="dxa"/>
            </w:tcMar>
            <w:vAlign w:val="bottom"/>
          </w:tcPr>
          <w:p w14:paraId="5F2CEC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C37" w14:textId="77777777" w:rsidR="00E836FB" w:rsidRDefault="00E836FB">
            <w:pPr>
              <w:rPr>
                <w:rFonts w:ascii="宋体"/>
              </w:rPr>
            </w:pPr>
          </w:p>
        </w:tc>
      </w:tr>
      <w:tr w:rsidR="00E836FB" w14:paraId="5F2CEC3D" w14:textId="77777777">
        <w:tc>
          <w:tcPr>
            <w:tcW w:w="0" w:type="auto"/>
            <w:gridSpan w:val="3"/>
            <w:shd w:val="clear" w:color="auto" w:fill="auto"/>
            <w:tcMar>
              <w:top w:w="40" w:type="dxa"/>
              <w:left w:w="20" w:type="dxa"/>
              <w:bottom w:w="40" w:type="dxa"/>
              <w:right w:w="20" w:type="dxa"/>
            </w:tcMar>
          </w:tcPr>
          <w:p w14:paraId="5F2CEC39" w14:textId="77777777" w:rsidR="00E836FB" w:rsidRDefault="00994958">
            <w:pPr>
              <w:textAlignment w:val="top"/>
            </w:pPr>
            <w:r>
              <w:rPr>
                <w:rFonts w:ascii="Arial" w:eastAsia="宋体" w:hAnsi="Arial" w:cs="Arial"/>
                <w:i/>
                <w:iCs/>
                <w:color w:val="000000"/>
                <w:sz w:val="20"/>
                <w:szCs w:val="20"/>
              </w:rPr>
              <w:t>Description of the Matter</w:t>
            </w:r>
          </w:p>
        </w:tc>
        <w:tc>
          <w:tcPr>
            <w:tcW w:w="0" w:type="auto"/>
            <w:gridSpan w:val="3"/>
            <w:shd w:val="clear" w:color="auto" w:fill="auto"/>
            <w:tcMar>
              <w:top w:w="40" w:type="dxa"/>
              <w:left w:w="20" w:type="dxa"/>
              <w:bottom w:w="40" w:type="dxa"/>
              <w:right w:w="20" w:type="dxa"/>
            </w:tcMar>
            <w:vAlign w:val="bottom"/>
          </w:tcPr>
          <w:p w14:paraId="5F2CEC3A" w14:textId="77777777" w:rsidR="00E836FB" w:rsidRDefault="00994958">
            <w:pPr>
              <w:jc w:val="both"/>
              <w:textAlignment w:val="bottom"/>
            </w:pPr>
            <w:r>
              <w:rPr>
                <w:rFonts w:ascii="Arial" w:eastAsia="宋体" w:hAnsi="Arial" w:cs="Arial"/>
                <w:color w:val="000000"/>
                <w:sz w:val="20"/>
                <w:szCs w:val="20"/>
              </w:rPr>
              <w:t>Revenue recognized by the Corporation as servicing fees was $5.5 billion for the year ended December 31, 2021. As disclosed in Notes 24 and 25 of the consolidated financial statements, servicing fee revenue involves revenue streams from various products wh</w:t>
            </w:r>
            <w:r>
              <w:rPr>
                <w:rFonts w:ascii="Arial" w:eastAsia="宋体" w:hAnsi="Arial" w:cs="Arial"/>
                <w:color w:val="000000"/>
                <w:sz w:val="20"/>
                <w:szCs w:val="20"/>
              </w:rPr>
              <w:t>ich include custody, product accounting, daily pricing and administration, master trust and master custody, depotbank services (a fund oversight role created by non-US regulation), record-keeping, cash management, and investment manager and alternative inv</w:t>
            </w:r>
            <w:r>
              <w:rPr>
                <w:rFonts w:ascii="Arial" w:eastAsia="宋体" w:hAnsi="Arial" w:cs="Arial"/>
                <w:color w:val="000000"/>
                <w:sz w:val="20"/>
                <w:szCs w:val="20"/>
              </w:rPr>
              <w:t>estment manager operations outsourcing. The Corporation’s servicing fee revenue involves a significant volume of contracts and transactions and is sourced from multiple systems and processes across different business teams and geographies.</w:t>
            </w:r>
          </w:p>
          <w:p w14:paraId="5F2CEC3B" w14:textId="77777777" w:rsidR="00E836FB" w:rsidRDefault="00E836FB">
            <w:pPr>
              <w:textAlignment w:val="bottom"/>
            </w:pPr>
          </w:p>
          <w:p w14:paraId="5F2CEC3C" w14:textId="77777777" w:rsidR="00E836FB" w:rsidRDefault="00994958">
            <w:pPr>
              <w:jc w:val="both"/>
              <w:textAlignment w:val="bottom"/>
            </w:pPr>
            <w:r>
              <w:rPr>
                <w:rFonts w:ascii="Arial" w:eastAsia="宋体" w:hAnsi="Arial" w:cs="Arial"/>
                <w:color w:val="000000"/>
                <w:sz w:val="20"/>
                <w:szCs w:val="20"/>
              </w:rPr>
              <w:t>Auditing servicing fee revenue was complex and involved significant audit effort due to the non-standard nature of the Corporation’s contracts, the volume of contracts, the impact of contract renegotiations on accrued servicing fees, and the number of diff</w:t>
            </w:r>
            <w:r>
              <w:rPr>
                <w:rFonts w:ascii="Arial" w:eastAsia="宋体" w:hAnsi="Arial" w:cs="Arial"/>
                <w:color w:val="000000"/>
                <w:sz w:val="20"/>
                <w:szCs w:val="20"/>
              </w:rPr>
              <w:t>erent processes used to recognize revenue.</w:t>
            </w:r>
          </w:p>
        </w:tc>
      </w:tr>
      <w:tr w:rsidR="00E836FB" w14:paraId="5F2CEC40" w14:textId="77777777">
        <w:trPr>
          <w:trHeight w:val="100"/>
        </w:trPr>
        <w:tc>
          <w:tcPr>
            <w:tcW w:w="0" w:type="auto"/>
            <w:gridSpan w:val="3"/>
            <w:shd w:val="clear" w:color="auto" w:fill="auto"/>
            <w:tcMar>
              <w:top w:w="0" w:type="dxa"/>
              <w:left w:w="20" w:type="dxa"/>
              <w:bottom w:w="0" w:type="dxa"/>
              <w:right w:w="20" w:type="dxa"/>
            </w:tcMar>
            <w:vAlign w:val="bottom"/>
          </w:tcPr>
          <w:p w14:paraId="5F2CEC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C3F" w14:textId="77777777" w:rsidR="00E836FB" w:rsidRDefault="00E836FB">
            <w:pPr>
              <w:rPr>
                <w:rFonts w:ascii="宋体"/>
              </w:rPr>
            </w:pPr>
          </w:p>
        </w:tc>
      </w:tr>
      <w:tr w:rsidR="00E836FB" w14:paraId="5F2CEC45" w14:textId="77777777">
        <w:tc>
          <w:tcPr>
            <w:tcW w:w="0" w:type="auto"/>
            <w:gridSpan w:val="3"/>
            <w:shd w:val="clear" w:color="auto" w:fill="auto"/>
            <w:tcMar>
              <w:top w:w="40" w:type="dxa"/>
              <w:left w:w="20" w:type="dxa"/>
              <w:bottom w:w="40" w:type="dxa"/>
              <w:right w:w="20" w:type="dxa"/>
            </w:tcMar>
          </w:tcPr>
          <w:p w14:paraId="5F2CEC41" w14:textId="77777777" w:rsidR="00E836FB" w:rsidRDefault="00994958">
            <w:pPr>
              <w:textAlignment w:val="top"/>
            </w:pPr>
            <w:r>
              <w:rPr>
                <w:rFonts w:ascii="Arial" w:eastAsia="宋体" w:hAnsi="Arial" w:cs="Arial"/>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bottom"/>
          </w:tcPr>
          <w:p w14:paraId="5F2CEC42" w14:textId="77777777" w:rsidR="00E836FB" w:rsidRDefault="00994958">
            <w:pPr>
              <w:jc w:val="both"/>
              <w:textAlignment w:val="bottom"/>
            </w:pPr>
            <w:r>
              <w:rPr>
                <w:rFonts w:ascii="Arial" w:eastAsia="宋体" w:hAnsi="Arial" w:cs="Arial"/>
                <w:color w:val="000000"/>
                <w:sz w:val="20"/>
                <w:szCs w:val="20"/>
              </w:rPr>
              <w:t>We identified and obtained an understanding of the processes used by the Corporation to recognize revenue transactions. We evaluated the design and tested the operating</w:t>
            </w:r>
            <w:r>
              <w:rPr>
                <w:rFonts w:ascii="Arial" w:eastAsia="宋体" w:hAnsi="Arial" w:cs="Arial"/>
                <w:color w:val="000000"/>
                <w:sz w:val="20"/>
                <w:szCs w:val="20"/>
              </w:rPr>
              <w:t xml:space="preserve"> effectiveness of controls over the Corporation’s processes for recognizing servicing fee revenue, including, among others, controls over the review of client contracts, the calculations of the key drivers of revenue (e.g., assets under custody) and the fl</w:t>
            </w:r>
            <w:r>
              <w:rPr>
                <w:rFonts w:ascii="Arial" w:eastAsia="宋体" w:hAnsi="Arial" w:cs="Arial"/>
                <w:color w:val="000000"/>
                <w:sz w:val="20"/>
                <w:szCs w:val="20"/>
              </w:rPr>
              <w:t xml:space="preserve">ow of this information from the business teams negotiating contract amendments to the department accruing revenue. </w:t>
            </w:r>
          </w:p>
          <w:p w14:paraId="5F2CEC43" w14:textId="77777777" w:rsidR="00E836FB" w:rsidRDefault="00E836FB">
            <w:pPr>
              <w:jc w:val="both"/>
              <w:textAlignment w:val="bottom"/>
            </w:pPr>
          </w:p>
          <w:p w14:paraId="5F2CEC44" w14:textId="77777777" w:rsidR="00E836FB" w:rsidRDefault="00994958">
            <w:pPr>
              <w:jc w:val="both"/>
              <w:textAlignment w:val="bottom"/>
            </w:pPr>
            <w:r>
              <w:rPr>
                <w:rFonts w:ascii="Arial" w:eastAsia="宋体" w:hAnsi="Arial" w:cs="Arial"/>
                <w:color w:val="000000"/>
                <w:sz w:val="20"/>
                <w:szCs w:val="20"/>
              </w:rPr>
              <w:t>Among other procedures, to test servicing fee revenue, we selected a sample of client contracts and analyzed the contracts to determine whe</w:t>
            </w:r>
            <w:r>
              <w:rPr>
                <w:rFonts w:ascii="Arial" w:eastAsia="宋体" w:hAnsi="Arial" w:cs="Arial"/>
                <w:color w:val="000000"/>
                <w:sz w:val="20"/>
                <w:szCs w:val="20"/>
              </w:rPr>
              <w:t>ther terms that may have an impact on revenue recognition, including performance obligations and specified fees, were identified and properly considered in the evaluation of the accounting for the contracts. In addition, we reperformed the calculation of r</w:t>
            </w:r>
            <w:r>
              <w:rPr>
                <w:rFonts w:ascii="Arial" w:eastAsia="宋体" w:hAnsi="Arial" w:cs="Arial"/>
                <w:color w:val="000000"/>
                <w:sz w:val="20"/>
                <w:szCs w:val="20"/>
              </w:rPr>
              <w:t>evenue for a sample of revenue transactions. We also agreed the amounts recognized to source documents and tested the mathematical accuracy of the recorded revenue. For a selection of clients, we inquired of the business teams involved in contract negotiat</w:t>
            </w:r>
            <w:r>
              <w:rPr>
                <w:rFonts w:ascii="Arial" w:eastAsia="宋体" w:hAnsi="Arial" w:cs="Arial"/>
                <w:color w:val="000000"/>
                <w:sz w:val="20"/>
                <w:szCs w:val="20"/>
              </w:rPr>
              <w:t>ions to assess the state of those negotiations and any effect on accrued servicing fees. We obtained third party confirmation of the client balance due for a sample of servicing fees receivable.</w:t>
            </w:r>
          </w:p>
        </w:tc>
      </w:tr>
    </w:tbl>
    <w:p w14:paraId="5F2CEC46" w14:textId="77777777" w:rsidR="00E836FB" w:rsidRDefault="00E836FB">
      <w:pPr>
        <w:spacing w:after="160"/>
        <w:ind w:firstLine="450"/>
        <w:jc w:val="both"/>
      </w:pPr>
    </w:p>
    <w:p w14:paraId="5F2CEC47" w14:textId="77777777" w:rsidR="00E836FB" w:rsidRDefault="00E836FB">
      <w:pPr>
        <w:spacing w:before="240"/>
        <w:jc w:val="both"/>
      </w:pPr>
    </w:p>
    <w:p w14:paraId="5F2CEC48" w14:textId="77777777" w:rsidR="00E836FB" w:rsidRDefault="00E836FB">
      <w:pPr>
        <w:ind w:firstLine="450"/>
        <w:jc w:val="both"/>
      </w:pPr>
    </w:p>
    <w:p w14:paraId="5F2CEC49" w14:textId="77777777" w:rsidR="00E836FB" w:rsidRDefault="00E836FB">
      <w:pPr>
        <w:ind w:firstLine="450"/>
        <w:jc w:val="both"/>
      </w:pPr>
    </w:p>
    <w:p w14:paraId="5F2CEC4A" w14:textId="77777777" w:rsidR="00E836FB" w:rsidRDefault="00994958">
      <w:pPr>
        <w:jc w:val="right"/>
      </w:pPr>
      <w:r>
        <w:rPr>
          <w:rFonts w:ascii="Arial" w:eastAsia="宋体" w:hAnsi="Arial" w:cs="Arial"/>
          <w:color w:val="000000"/>
          <w:sz w:val="20"/>
          <w:szCs w:val="20"/>
        </w:rPr>
        <w:t>/s/ Ernst &amp; Young LLP</w:t>
      </w:r>
    </w:p>
    <w:p w14:paraId="5F2CEC4B" w14:textId="77777777" w:rsidR="00E836FB" w:rsidRDefault="00994958">
      <w:pPr>
        <w:spacing w:before="240"/>
        <w:jc w:val="both"/>
      </w:pPr>
      <w:r>
        <w:rPr>
          <w:rFonts w:ascii="Arial" w:eastAsia="宋体" w:hAnsi="Arial" w:cs="Arial"/>
          <w:color w:val="000000"/>
          <w:sz w:val="20"/>
          <w:szCs w:val="20"/>
        </w:rPr>
        <w:t xml:space="preserve">We have served as the </w:t>
      </w:r>
      <w:r>
        <w:rPr>
          <w:rFonts w:ascii="Arial" w:eastAsia="宋体" w:hAnsi="Arial" w:cs="Arial"/>
          <w:color w:val="000000"/>
          <w:sz w:val="20"/>
          <w:szCs w:val="20"/>
        </w:rPr>
        <w:t>Corporation's auditor since 1972.</w:t>
      </w:r>
    </w:p>
    <w:p w14:paraId="5F2CEC4C" w14:textId="77777777" w:rsidR="00E836FB" w:rsidRDefault="00994958">
      <w:pPr>
        <w:spacing w:before="240"/>
        <w:jc w:val="both"/>
      </w:pPr>
      <w:r>
        <w:rPr>
          <w:rFonts w:ascii="Arial" w:eastAsia="宋体" w:hAnsi="Arial" w:cs="Arial"/>
          <w:color w:val="000000"/>
          <w:sz w:val="20"/>
          <w:szCs w:val="20"/>
        </w:rPr>
        <w:t>Boston, Massachusetts</w:t>
      </w:r>
    </w:p>
    <w:p w14:paraId="5F2CEC4D" w14:textId="77777777" w:rsidR="00E836FB" w:rsidRDefault="00994958">
      <w:pPr>
        <w:jc w:val="both"/>
      </w:pPr>
      <w:r>
        <w:rPr>
          <w:rFonts w:ascii="Arial" w:eastAsia="宋体" w:hAnsi="Arial" w:cs="Arial"/>
          <w:color w:val="000000"/>
          <w:sz w:val="20"/>
          <w:szCs w:val="20"/>
        </w:rPr>
        <w:t>February 17, 2022</w:t>
      </w:r>
    </w:p>
    <w:p w14:paraId="5F2CEC4E" w14:textId="77777777" w:rsidR="00E836FB" w:rsidRDefault="00994958">
      <w:pPr>
        <w:ind w:firstLine="450"/>
        <w:jc w:val="right"/>
      </w:pPr>
      <w:r>
        <w:rPr>
          <w:rFonts w:ascii="Arial" w:eastAsia="宋体" w:hAnsi="Arial" w:cs="Arial"/>
          <w:color w:val="000000"/>
          <w:sz w:val="18"/>
          <w:szCs w:val="18"/>
        </w:rPr>
        <w:t>State Street Corporation | 129</w:t>
      </w:r>
    </w:p>
    <w:p w14:paraId="5F2CEC4F" w14:textId="77777777" w:rsidR="00E836FB" w:rsidRDefault="00E836FB">
      <w:pPr>
        <w:ind w:firstLine="450"/>
        <w:jc w:val="center"/>
      </w:pPr>
    </w:p>
    <w:p w14:paraId="5F2CEC50" w14:textId="77777777" w:rsidR="00E836FB" w:rsidRDefault="00994958">
      <w:r>
        <w:pict w14:anchorId="5F2D6E06">
          <v:rect id="_x0000_i1153" style="width:415.3pt;height:1.5pt" o:hralign="center" o:hrstd="t" o:hr="t" fillcolor="#a0a0a0" stroked="f"/>
        </w:pict>
      </w:r>
    </w:p>
    <w:p w14:paraId="5F2CEC51" w14:textId="77777777" w:rsidR="00E836FB" w:rsidRDefault="00E836FB">
      <w:pPr>
        <w:ind w:firstLine="450"/>
      </w:pPr>
    </w:p>
    <w:p w14:paraId="5F2CEC52" w14:textId="77777777" w:rsidR="00E836FB" w:rsidRDefault="00994958">
      <w:pPr>
        <w:ind w:firstLine="450"/>
        <w:jc w:val="center"/>
      </w:pPr>
      <w:r>
        <w:rPr>
          <w:rFonts w:ascii="Arial" w:eastAsia="宋体" w:hAnsi="Arial" w:cs="Arial"/>
          <w:b/>
          <w:bCs/>
          <w:color w:val="000000"/>
          <w:sz w:val="20"/>
          <w:szCs w:val="20"/>
        </w:rPr>
        <w:t>STATE STREET CORPORATION</w:t>
      </w:r>
    </w:p>
    <w:p w14:paraId="5F2CEC53" w14:textId="77777777" w:rsidR="00E836FB" w:rsidRDefault="00994958">
      <w:pPr>
        <w:ind w:firstLine="450"/>
        <w:jc w:val="center"/>
      </w:pPr>
      <w:r>
        <w:rPr>
          <w:rFonts w:ascii="Arial" w:eastAsia="宋体" w:hAnsi="Arial" w:cs="Arial"/>
          <w:b/>
          <w:bCs/>
          <w:color w:val="000000"/>
          <w:sz w:val="20"/>
          <w:szCs w:val="20"/>
        </w:rPr>
        <w:t>CONSOLIDATED STATEMENT OF INCOME</w:t>
      </w:r>
    </w:p>
    <w:tbl>
      <w:tblPr>
        <w:tblW w:w="4985" w:type="pct"/>
        <w:tblCellMar>
          <w:top w:w="15" w:type="dxa"/>
          <w:left w:w="15" w:type="dxa"/>
          <w:bottom w:w="15" w:type="dxa"/>
          <w:right w:w="15" w:type="dxa"/>
        </w:tblCellMar>
        <w:tblLook w:val="04A0" w:firstRow="1" w:lastRow="0" w:firstColumn="1" w:lastColumn="0" w:noHBand="0" w:noVBand="1"/>
      </w:tblPr>
      <w:tblGrid>
        <w:gridCol w:w="39"/>
        <w:gridCol w:w="4561"/>
        <w:gridCol w:w="38"/>
        <w:gridCol w:w="36"/>
        <w:gridCol w:w="36"/>
        <w:gridCol w:w="36"/>
        <w:gridCol w:w="36"/>
        <w:gridCol w:w="122"/>
        <w:gridCol w:w="974"/>
        <w:gridCol w:w="36"/>
        <w:gridCol w:w="36"/>
        <w:gridCol w:w="36"/>
        <w:gridCol w:w="36"/>
        <w:gridCol w:w="122"/>
        <w:gridCol w:w="932"/>
        <w:gridCol w:w="36"/>
        <w:gridCol w:w="36"/>
        <w:gridCol w:w="36"/>
        <w:gridCol w:w="36"/>
        <w:gridCol w:w="122"/>
        <w:gridCol w:w="933"/>
        <w:gridCol w:w="36"/>
      </w:tblGrid>
      <w:tr w:rsidR="00E836FB" w14:paraId="5F2CEC6A" w14:textId="77777777">
        <w:tc>
          <w:tcPr>
            <w:tcW w:w="50" w:type="pct"/>
            <w:shd w:val="clear" w:color="auto" w:fill="auto"/>
            <w:vAlign w:val="bottom"/>
          </w:tcPr>
          <w:p w14:paraId="5F2CEC54" w14:textId="77777777" w:rsidR="00E836FB" w:rsidRDefault="00E836FB">
            <w:pPr>
              <w:rPr>
                <w:rFonts w:ascii="宋体"/>
              </w:rPr>
            </w:pPr>
          </w:p>
        </w:tc>
        <w:tc>
          <w:tcPr>
            <w:tcW w:w="2826" w:type="pct"/>
            <w:shd w:val="clear" w:color="auto" w:fill="auto"/>
            <w:vAlign w:val="bottom"/>
          </w:tcPr>
          <w:p w14:paraId="5F2CEC55" w14:textId="77777777" w:rsidR="00E836FB" w:rsidRDefault="00E836FB">
            <w:pPr>
              <w:rPr>
                <w:rFonts w:ascii="宋体"/>
              </w:rPr>
            </w:pPr>
          </w:p>
        </w:tc>
        <w:tc>
          <w:tcPr>
            <w:tcW w:w="5" w:type="pct"/>
            <w:shd w:val="clear" w:color="auto" w:fill="auto"/>
            <w:vAlign w:val="bottom"/>
          </w:tcPr>
          <w:p w14:paraId="5F2CEC56" w14:textId="77777777" w:rsidR="00E836FB" w:rsidRDefault="00E836FB">
            <w:pPr>
              <w:rPr>
                <w:rFonts w:ascii="宋体"/>
              </w:rPr>
            </w:pPr>
          </w:p>
        </w:tc>
        <w:tc>
          <w:tcPr>
            <w:tcW w:w="0" w:type="auto"/>
            <w:shd w:val="clear" w:color="auto" w:fill="auto"/>
            <w:vAlign w:val="bottom"/>
          </w:tcPr>
          <w:p w14:paraId="5F2CEC57" w14:textId="77777777" w:rsidR="00E836FB" w:rsidRDefault="00E836FB">
            <w:pPr>
              <w:rPr>
                <w:rFonts w:ascii="宋体"/>
                <w:vanish/>
              </w:rPr>
            </w:pPr>
          </w:p>
        </w:tc>
        <w:tc>
          <w:tcPr>
            <w:tcW w:w="0" w:type="auto"/>
            <w:shd w:val="clear" w:color="auto" w:fill="auto"/>
            <w:vAlign w:val="bottom"/>
          </w:tcPr>
          <w:p w14:paraId="5F2CEC58" w14:textId="77777777" w:rsidR="00E836FB" w:rsidRDefault="00E836FB">
            <w:pPr>
              <w:rPr>
                <w:rFonts w:ascii="宋体"/>
                <w:vanish/>
              </w:rPr>
            </w:pPr>
          </w:p>
        </w:tc>
        <w:tc>
          <w:tcPr>
            <w:tcW w:w="0" w:type="auto"/>
            <w:shd w:val="clear" w:color="auto" w:fill="auto"/>
            <w:vAlign w:val="bottom"/>
          </w:tcPr>
          <w:p w14:paraId="5F2CEC59" w14:textId="77777777" w:rsidR="00E836FB" w:rsidRDefault="00E836FB">
            <w:pPr>
              <w:rPr>
                <w:rFonts w:ascii="宋体"/>
                <w:vanish/>
              </w:rPr>
            </w:pPr>
          </w:p>
        </w:tc>
        <w:tc>
          <w:tcPr>
            <w:tcW w:w="0" w:type="auto"/>
            <w:shd w:val="clear" w:color="auto" w:fill="auto"/>
            <w:vAlign w:val="bottom"/>
          </w:tcPr>
          <w:p w14:paraId="5F2CEC5A" w14:textId="77777777" w:rsidR="00E836FB" w:rsidRDefault="00E836FB">
            <w:pPr>
              <w:rPr>
                <w:rFonts w:ascii="宋体"/>
                <w:vanish/>
              </w:rPr>
            </w:pPr>
          </w:p>
        </w:tc>
        <w:tc>
          <w:tcPr>
            <w:tcW w:w="50" w:type="pct"/>
            <w:shd w:val="clear" w:color="auto" w:fill="auto"/>
            <w:vAlign w:val="bottom"/>
          </w:tcPr>
          <w:p w14:paraId="5F2CEC5B" w14:textId="77777777" w:rsidR="00E836FB" w:rsidRDefault="00E836FB">
            <w:pPr>
              <w:rPr>
                <w:rFonts w:ascii="宋体"/>
              </w:rPr>
            </w:pPr>
          </w:p>
        </w:tc>
        <w:tc>
          <w:tcPr>
            <w:tcW w:w="626" w:type="pct"/>
            <w:shd w:val="clear" w:color="auto" w:fill="auto"/>
            <w:vAlign w:val="bottom"/>
          </w:tcPr>
          <w:p w14:paraId="5F2CEC5C" w14:textId="77777777" w:rsidR="00E836FB" w:rsidRDefault="00E836FB">
            <w:pPr>
              <w:rPr>
                <w:rFonts w:ascii="宋体"/>
              </w:rPr>
            </w:pPr>
          </w:p>
        </w:tc>
        <w:tc>
          <w:tcPr>
            <w:tcW w:w="5" w:type="pct"/>
            <w:shd w:val="clear" w:color="auto" w:fill="auto"/>
            <w:vAlign w:val="bottom"/>
          </w:tcPr>
          <w:p w14:paraId="5F2CEC5D" w14:textId="77777777" w:rsidR="00E836FB" w:rsidRDefault="00E836FB">
            <w:pPr>
              <w:rPr>
                <w:rFonts w:ascii="宋体"/>
              </w:rPr>
            </w:pPr>
          </w:p>
        </w:tc>
        <w:tc>
          <w:tcPr>
            <w:tcW w:w="5" w:type="pct"/>
            <w:shd w:val="clear" w:color="auto" w:fill="auto"/>
            <w:vAlign w:val="bottom"/>
          </w:tcPr>
          <w:p w14:paraId="5F2CEC5E" w14:textId="77777777" w:rsidR="00E836FB" w:rsidRDefault="00E836FB">
            <w:pPr>
              <w:rPr>
                <w:rFonts w:ascii="宋体"/>
              </w:rPr>
            </w:pPr>
          </w:p>
        </w:tc>
        <w:tc>
          <w:tcPr>
            <w:tcW w:w="26" w:type="pct"/>
            <w:shd w:val="clear" w:color="auto" w:fill="auto"/>
            <w:vAlign w:val="bottom"/>
          </w:tcPr>
          <w:p w14:paraId="5F2CEC5F" w14:textId="77777777" w:rsidR="00E836FB" w:rsidRDefault="00E836FB">
            <w:pPr>
              <w:rPr>
                <w:rFonts w:ascii="宋体"/>
              </w:rPr>
            </w:pPr>
          </w:p>
        </w:tc>
        <w:tc>
          <w:tcPr>
            <w:tcW w:w="5" w:type="pct"/>
            <w:shd w:val="clear" w:color="auto" w:fill="auto"/>
            <w:vAlign w:val="bottom"/>
          </w:tcPr>
          <w:p w14:paraId="5F2CEC60" w14:textId="77777777" w:rsidR="00E836FB" w:rsidRDefault="00E836FB">
            <w:pPr>
              <w:rPr>
                <w:rFonts w:ascii="宋体"/>
              </w:rPr>
            </w:pPr>
          </w:p>
        </w:tc>
        <w:tc>
          <w:tcPr>
            <w:tcW w:w="50" w:type="pct"/>
            <w:shd w:val="clear" w:color="auto" w:fill="auto"/>
            <w:vAlign w:val="bottom"/>
          </w:tcPr>
          <w:p w14:paraId="5F2CEC61" w14:textId="77777777" w:rsidR="00E836FB" w:rsidRDefault="00E836FB">
            <w:pPr>
              <w:rPr>
                <w:rFonts w:ascii="宋体"/>
              </w:rPr>
            </w:pPr>
          </w:p>
        </w:tc>
        <w:tc>
          <w:tcPr>
            <w:tcW w:w="626" w:type="pct"/>
            <w:shd w:val="clear" w:color="auto" w:fill="auto"/>
            <w:vAlign w:val="bottom"/>
          </w:tcPr>
          <w:p w14:paraId="5F2CEC62" w14:textId="77777777" w:rsidR="00E836FB" w:rsidRDefault="00E836FB">
            <w:pPr>
              <w:rPr>
                <w:rFonts w:ascii="宋体"/>
              </w:rPr>
            </w:pPr>
          </w:p>
        </w:tc>
        <w:tc>
          <w:tcPr>
            <w:tcW w:w="5" w:type="pct"/>
            <w:shd w:val="clear" w:color="auto" w:fill="auto"/>
            <w:vAlign w:val="bottom"/>
          </w:tcPr>
          <w:p w14:paraId="5F2CEC63" w14:textId="77777777" w:rsidR="00E836FB" w:rsidRDefault="00E836FB">
            <w:pPr>
              <w:rPr>
                <w:rFonts w:ascii="宋体"/>
              </w:rPr>
            </w:pPr>
          </w:p>
        </w:tc>
        <w:tc>
          <w:tcPr>
            <w:tcW w:w="5" w:type="pct"/>
            <w:shd w:val="clear" w:color="auto" w:fill="auto"/>
            <w:vAlign w:val="bottom"/>
          </w:tcPr>
          <w:p w14:paraId="5F2CEC64" w14:textId="77777777" w:rsidR="00E836FB" w:rsidRDefault="00E836FB">
            <w:pPr>
              <w:rPr>
                <w:rFonts w:ascii="宋体"/>
              </w:rPr>
            </w:pPr>
          </w:p>
        </w:tc>
        <w:tc>
          <w:tcPr>
            <w:tcW w:w="26" w:type="pct"/>
            <w:shd w:val="clear" w:color="auto" w:fill="auto"/>
            <w:vAlign w:val="bottom"/>
          </w:tcPr>
          <w:p w14:paraId="5F2CEC65" w14:textId="77777777" w:rsidR="00E836FB" w:rsidRDefault="00E836FB">
            <w:pPr>
              <w:rPr>
                <w:rFonts w:ascii="宋体"/>
              </w:rPr>
            </w:pPr>
          </w:p>
        </w:tc>
        <w:tc>
          <w:tcPr>
            <w:tcW w:w="5" w:type="pct"/>
            <w:shd w:val="clear" w:color="auto" w:fill="auto"/>
            <w:vAlign w:val="bottom"/>
          </w:tcPr>
          <w:p w14:paraId="5F2CEC66" w14:textId="77777777" w:rsidR="00E836FB" w:rsidRDefault="00E836FB">
            <w:pPr>
              <w:rPr>
                <w:rFonts w:ascii="宋体"/>
              </w:rPr>
            </w:pPr>
          </w:p>
        </w:tc>
        <w:tc>
          <w:tcPr>
            <w:tcW w:w="50" w:type="pct"/>
            <w:shd w:val="clear" w:color="auto" w:fill="auto"/>
            <w:vAlign w:val="bottom"/>
          </w:tcPr>
          <w:p w14:paraId="5F2CEC67" w14:textId="77777777" w:rsidR="00E836FB" w:rsidRDefault="00E836FB">
            <w:pPr>
              <w:rPr>
                <w:rFonts w:ascii="宋体"/>
              </w:rPr>
            </w:pPr>
          </w:p>
        </w:tc>
        <w:tc>
          <w:tcPr>
            <w:tcW w:w="626" w:type="pct"/>
            <w:shd w:val="clear" w:color="auto" w:fill="auto"/>
            <w:vAlign w:val="bottom"/>
          </w:tcPr>
          <w:p w14:paraId="5F2CEC68" w14:textId="77777777" w:rsidR="00E836FB" w:rsidRDefault="00E836FB">
            <w:pPr>
              <w:rPr>
                <w:rFonts w:ascii="宋体"/>
              </w:rPr>
            </w:pPr>
          </w:p>
        </w:tc>
        <w:tc>
          <w:tcPr>
            <w:tcW w:w="5" w:type="pct"/>
            <w:shd w:val="clear" w:color="auto" w:fill="auto"/>
            <w:vAlign w:val="bottom"/>
          </w:tcPr>
          <w:p w14:paraId="5F2CEC69" w14:textId="77777777" w:rsidR="00E836FB" w:rsidRDefault="00E836FB">
            <w:pPr>
              <w:rPr>
                <w:rFonts w:ascii="宋体"/>
              </w:rPr>
            </w:pPr>
          </w:p>
        </w:tc>
      </w:tr>
      <w:tr w:rsidR="00E836FB" w14:paraId="5F2CEC75" w14:textId="77777777">
        <w:tc>
          <w:tcPr>
            <w:tcW w:w="0" w:type="auto"/>
            <w:gridSpan w:val="3"/>
            <w:shd w:val="clear" w:color="auto" w:fill="auto"/>
            <w:tcMar>
              <w:top w:w="0" w:type="dxa"/>
              <w:left w:w="20" w:type="dxa"/>
              <w:bottom w:w="0" w:type="dxa"/>
              <w:right w:w="20" w:type="dxa"/>
            </w:tcMar>
            <w:vAlign w:val="bottom"/>
          </w:tcPr>
          <w:p w14:paraId="5F2CEC6B" w14:textId="77777777" w:rsidR="00E836FB" w:rsidRDefault="00E836FB">
            <w:pPr>
              <w:rPr>
                <w:rFonts w:ascii="宋体"/>
              </w:rPr>
            </w:pPr>
          </w:p>
        </w:tc>
        <w:tc>
          <w:tcPr>
            <w:tcW w:w="0" w:type="auto"/>
            <w:shd w:val="clear" w:color="auto" w:fill="auto"/>
            <w:vAlign w:val="bottom"/>
          </w:tcPr>
          <w:p w14:paraId="5F2CEC6C" w14:textId="77777777" w:rsidR="00E836FB" w:rsidRDefault="00E836FB">
            <w:pPr>
              <w:rPr>
                <w:rFonts w:ascii="宋体"/>
                <w:vanish/>
              </w:rPr>
            </w:pPr>
          </w:p>
        </w:tc>
        <w:tc>
          <w:tcPr>
            <w:tcW w:w="0" w:type="auto"/>
            <w:shd w:val="clear" w:color="auto" w:fill="auto"/>
            <w:vAlign w:val="bottom"/>
          </w:tcPr>
          <w:p w14:paraId="5F2CEC6D" w14:textId="77777777" w:rsidR="00E836FB" w:rsidRDefault="00E836FB">
            <w:pPr>
              <w:rPr>
                <w:rFonts w:ascii="宋体"/>
                <w:vanish/>
              </w:rPr>
            </w:pPr>
          </w:p>
        </w:tc>
        <w:tc>
          <w:tcPr>
            <w:tcW w:w="0" w:type="auto"/>
            <w:gridSpan w:val="11"/>
            <w:shd w:val="clear" w:color="auto" w:fill="auto"/>
            <w:tcMar>
              <w:top w:w="40" w:type="dxa"/>
              <w:left w:w="20" w:type="dxa"/>
              <w:bottom w:w="40" w:type="dxa"/>
              <w:right w:w="20" w:type="dxa"/>
            </w:tcMar>
            <w:vAlign w:val="bottom"/>
          </w:tcPr>
          <w:p w14:paraId="5F2CEC6E" w14:textId="77777777" w:rsidR="00E836FB" w:rsidRDefault="00994958">
            <w:pPr>
              <w:jc w:val="center"/>
              <w:textAlignment w:val="bottom"/>
            </w:pPr>
            <w:r>
              <w:rPr>
                <w:rFonts w:ascii="Arial" w:eastAsia="宋体" w:hAnsi="Arial" w:cs="Arial"/>
                <w:b/>
                <w:bCs/>
                <w:color w:val="000000"/>
                <w:sz w:val="18"/>
                <w:szCs w:val="18"/>
              </w:rPr>
              <w:t xml:space="preserve">Years </w:t>
            </w:r>
            <w:r>
              <w:rPr>
                <w:rFonts w:ascii="Arial" w:eastAsia="宋体" w:hAnsi="Arial" w:cs="Arial"/>
                <w:b/>
                <w:bCs/>
                <w:color w:val="000000"/>
                <w:sz w:val="18"/>
                <w:szCs w:val="18"/>
              </w:rPr>
              <w:t>Ended December 31,</w:t>
            </w:r>
          </w:p>
        </w:tc>
        <w:tc>
          <w:tcPr>
            <w:tcW w:w="0" w:type="auto"/>
            <w:shd w:val="clear" w:color="auto" w:fill="auto"/>
            <w:vAlign w:val="bottom"/>
          </w:tcPr>
          <w:p w14:paraId="5F2CEC6F" w14:textId="77777777" w:rsidR="00E836FB" w:rsidRDefault="00E836FB">
            <w:pPr>
              <w:rPr>
                <w:rFonts w:ascii="宋体"/>
              </w:rPr>
            </w:pPr>
          </w:p>
        </w:tc>
        <w:tc>
          <w:tcPr>
            <w:tcW w:w="0" w:type="auto"/>
            <w:shd w:val="clear" w:color="auto" w:fill="auto"/>
            <w:vAlign w:val="bottom"/>
          </w:tcPr>
          <w:p w14:paraId="5F2CEC70" w14:textId="77777777" w:rsidR="00E836FB" w:rsidRDefault="00E836FB">
            <w:pPr>
              <w:rPr>
                <w:rFonts w:ascii="宋体"/>
              </w:rPr>
            </w:pPr>
          </w:p>
        </w:tc>
        <w:tc>
          <w:tcPr>
            <w:tcW w:w="0" w:type="auto"/>
            <w:shd w:val="clear" w:color="auto" w:fill="auto"/>
            <w:vAlign w:val="bottom"/>
          </w:tcPr>
          <w:p w14:paraId="5F2CEC71" w14:textId="77777777" w:rsidR="00E836FB" w:rsidRDefault="00E836FB">
            <w:pPr>
              <w:rPr>
                <w:rFonts w:ascii="宋体"/>
              </w:rPr>
            </w:pPr>
          </w:p>
        </w:tc>
        <w:tc>
          <w:tcPr>
            <w:tcW w:w="0" w:type="auto"/>
            <w:shd w:val="clear" w:color="auto" w:fill="auto"/>
            <w:vAlign w:val="bottom"/>
          </w:tcPr>
          <w:p w14:paraId="5F2CEC72" w14:textId="77777777" w:rsidR="00E836FB" w:rsidRDefault="00E836FB">
            <w:pPr>
              <w:rPr>
                <w:rFonts w:ascii="宋体"/>
              </w:rPr>
            </w:pPr>
          </w:p>
        </w:tc>
        <w:tc>
          <w:tcPr>
            <w:tcW w:w="0" w:type="auto"/>
            <w:shd w:val="clear" w:color="auto" w:fill="auto"/>
            <w:vAlign w:val="bottom"/>
          </w:tcPr>
          <w:p w14:paraId="5F2CEC73" w14:textId="77777777" w:rsidR="00E836FB" w:rsidRDefault="00E836FB">
            <w:pPr>
              <w:rPr>
                <w:rFonts w:ascii="宋体"/>
              </w:rPr>
            </w:pPr>
          </w:p>
        </w:tc>
        <w:tc>
          <w:tcPr>
            <w:tcW w:w="0" w:type="auto"/>
            <w:shd w:val="clear" w:color="auto" w:fill="auto"/>
            <w:vAlign w:val="bottom"/>
          </w:tcPr>
          <w:p w14:paraId="5F2CEC74" w14:textId="77777777" w:rsidR="00E836FB" w:rsidRDefault="00E836FB">
            <w:pPr>
              <w:rPr>
                <w:rFonts w:ascii="宋体"/>
              </w:rPr>
            </w:pPr>
          </w:p>
        </w:tc>
      </w:tr>
      <w:tr w:rsidR="00E836FB" w14:paraId="5F2CEC80" w14:textId="77777777">
        <w:tc>
          <w:tcPr>
            <w:tcW w:w="0" w:type="auto"/>
            <w:gridSpan w:val="3"/>
            <w:shd w:val="clear" w:color="auto" w:fill="auto"/>
            <w:tcMar>
              <w:top w:w="40" w:type="dxa"/>
              <w:left w:w="20" w:type="dxa"/>
              <w:bottom w:w="40" w:type="dxa"/>
              <w:right w:w="20" w:type="dxa"/>
            </w:tcMar>
            <w:vAlign w:val="bottom"/>
          </w:tcPr>
          <w:p w14:paraId="5F2CEC76" w14:textId="77777777" w:rsidR="00E836FB" w:rsidRDefault="00994958">
            <w:pPr>
              <w:textAlignment w:val="bottom"/>
            </w:pPr>
            <w:r>
              <w:rPr>
                <w:rFonts w:ascii="Arial" w:eastAsia="宋体" w:hAnsi="Arial" w:cs="Arial"/>
                <w:b/>
                <w:bCs/>
                <w:color w:val="000000"/>
                <w:sz w:val="18"/>
                <w:szCs w:val="18"/>
              </w:rPr>
              <w:t>(Dollars in millions, except per share amounts)</w:t>
            </w:r>
          </w:p>
        </w:tc>
        <w:tc>
          <w:tcPr>
            <w:tcW w:w="0" w:type="auto"/>
            <w:shd w:val="clear" w:color="auto" w:fill="auto"/>
            <w:vAlign w:val="bottom"/>
          </w:tcPr>
          <w:p w14:paraId="5F2CEC77" w14:textId="77777777" w:rsidR="00E836FB" w:rsidRDefault="00E836FB">
            <w:pPr>
              <w:rPr>
                <w:rFonts w:ascii="宋体"/>
                <w:vanish/>
              </w:rPr>
            </w:pPr>
          </w:p>
        </w:tc>
        <w:tc>
          <w:tcPr>
            <w:tcW w:w="0" w:type="auto"/>
            <w:shd w:val="clear" w:color="auto" w:fill="auto"/>
            <w:vAlign w:val="bottom"/>
          </w:tcPr>
          <w:p w14:paraId="5F2CEC78" w14:textId="77777777" w:rsidR="00E836FB" w:rsidRDefault="00E836FB">
            <w:pPr>
              <w:rPr>
                <w:rFonts w:ascii="宋体"/>
                <w:vanish/>
              </w:rPr>
            </w:pPr>
          </w:p>
        </w:tc>
        <w:tc>
          <w:tcPr>
            <w:tcW w:w="0" w:type="auto"/>
            <w:shd w:val="clear" w:color="auto" w:fill="auto"/>
            <w:vAlign w:val="bottom"/>
          </w:tcPr>
          <w:p w14:paraId="5F2CEC79" w14:textId="77777777" w:rsidR="00E836FB" w:rsidRDefault="00E836FB">
            <w:pPr>
              <w:rPr>
                <w:rFonts w:ascii="宋体"/>
                <w:vanish/>
              </w:rPr>
            </w:pPr>
          </w:p>
        </w:tc>
        <w:tc>
          <w:tcPr>
            <w:tcW w:w="0" w:type="auto"/>
            <w:shd w:val="clear" w:color="auto" w:fill="auto"/>
            <w:vAlign w:val="bottom"/>
          </w:tcPr>
          <w:p w14:paraId="5F2CEC7A"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C7B" w14:textId="77777777" w:rsidR="00E836FB" w:rsidRDefault="00994958">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C7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C7D" w14:textId="77777777" w:rsidR="00E836FB" w:rsidRDefault="00994958">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C7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C7F" w14:textId="77777777" w:rsidR="00E836FB" w:rsidRDefault="00994958">
            <w:pPr>
              <w:jc w:val="center"/>
              <w:textAlignment w:val="bottom"/>
            </w:pPr>
            <w:r>
              <w:rPr>
                <w:rFonts w:ascii="Arial" w:eastAsia="宋体" w:hAnsi="Arial" w:cs="Arial"/>
                <w:b/>
                <w:bCs/>
                <w:color w:val="000000"/>
                <w:sz w:val="18"/>
                <w:szCs w:val="18"/>
              </w:rPr>
              <w:t>2019</w:t>
            </w:r>
          </w:p>
        </w:tc>
      </w:tr>
      <w:tr w:rsidR="00E836FB" w14:paraId="5F2CEC8B" w14:textId="77777777">
        <w:tc>
          <w:tcPr>
            <w:tcW w:w="0" w:type="auto"/>
            <w:gridSpan w:val="3"/>
            <w:shd w:val="clear" w:color="auto" w:fill="auto"/>
            <w:tcMar>
              <w:top w:w="40" w:type="dxa"/>
              <w:left w:w="20" w:type="dxa"/>
              <w:bottom w:w="40" w:type="dxa"/>
              <w:right w:w="20" w:type="dxa"/>
            </w:tcMar>
            <w:vAlign w:val="bottom"/>
          </w:tcPr>
          <w:p w14:paraId="5F2CEC81" w14:textId="77777777" w:rsidR="00E836FB" w:rsidRDefault="00994958">
            <w:pPr>
              <w:textAlignment w:val="bottom"/>
            </w:pPr>
            <w:r>
              <w:rPr>
                <w:rFonts w:ascii="Arial" w:eastAsia="宋体" w:hAnsi="Arial" w:cs="Arial"/>
                <w:b/>
                <w:bCs/>
                <w:color w:val="000000"/>
                <w:sz w:val="18"/>
                <w:szCs w:val="18"/>
              </w:rPr>
              <w:t>Fee revenue:</w:t>
            </w:r>
          </w:p>
        </w:tc>
        <w:tc>
          <w:tcPr>
            <w:tcW w:w="0" w:type="auto"/>
            <w:shd w:val="clear" w:color="auto" w:fill="auto"/>
            <w:vAlign w:val="bottom"/>
          </w:tcPr>
          <w:p w14:paraId="5F2CEC82" w14:textId="77777777" w:rsidR="00E836FB" w:rsidRDefault="00E836FB">
            <w:pPr>
              <w:rPr>
                <w:rFonts w:ascii="宋体"/>
                <w:vanish/>
              </w:rPr>
            </w:pPr>
          </w:p>
        </w:tc>
        <w:tc>
          <w:tcPr>
            <w:tcW w:w="0" w:type="auto"/>
            <w:shd w:val="clear" w:color="auto" w:fill="auto"/>
            <w:vAlign w:val="bottom"/>
          </w:tcPr>
          <w:p w14:paraId="5F2CEC83" w14:textId="77777777" w:rsidR="00E836FB" w:rsidRDefault="00E836FB">
            <w:pPr>
              <w:rPr>
                <w:rFonts w:ascii="宋体"/>
                <w:vanish/>
              </w:rPr>
            </w:pPr>
          </w:p>
        </w:tc>
        <w:tc>
          <w:tcPr>
            <w:tcW w:w="0" w:type="auto"/>
            <w:shd w:val="clear" w:color="auto" w:fill="auto"/>
            <w:vAlign w:val="bottom"/>
          </w:tcPr>
          <w:p w14:paraId="5F2CEC84" w14:textId="77777777" w:rsidR="00E836FB" w:rsidRDefault="00E836FB">
            <w:pPr>
              <w:rPr>
                <w:rFonts w:ascii="宋体"/>
                <w:vanish/>
              </w:rPr>
            </w:pPr>
          </w:p>
        </w:tc>
        <w:tc>
          <w:tcPr>
            <w:tcW w:w="0" w:type="auto"/>
            <w:shd w:val="clear" w:color="auto" w:fill="auto"/>
            <w:vAlign w:val="bottom"/>
          </w:tcPr>
          <w:p w14:paraId="5F2CEC85" w14:textId="77777777" w:rsidR="00E836FB" w:rsidRDefault="00E836F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C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C8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C8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C8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C8A" w14:textId="77777777" w:rsidR="00E836FB" w:rsidRDefault="00E836FB">
            <w:pPr>
              <w:rPr>
                <w:rFonts w:ascii="宋体"/>
              </w:rPr>
            </w:pPr>
          </w:p>
        </w:tc>
      </w:tr>
      <w:tr w:rsidR="00E836FB" w14:paraId="5F2CEC9C" w14:textId="77777777">
        <w:tc>
          <w:tcPr>
            <w:tcW w:w="0" w:type="auto"/>
            <w:gridSpan w:val="3"/>
            <w:shd w:val="clear" w:color="auto" w:fill="CCEEFF"/>
            <w:tcMar>
              <w:top w:w="40" w:type="dxa"/>
              <w:left w:w="20" w:type="dxa"/>
              <w:bottom w:w="40" w:type="dxa"/>
              <w:right w:w="20" w:type="dxa"/>
            </w:tcMar>
            <w:vAlign w:val="bottom"/>
          </w:tcPr>
          <w:p w14:paraId="5F2CEC8C" w14:textId="77777777" w:rsidR="00E836FB" w:rsidRDefault="00994958">
            <w:pPr>
              <w:textAlignment w:val="bottom"/>
            </w:pPr>
            <w:r>
              <w:rPr>
                <w:rFonts w:ascii="Arial" w:eastAsia="宋体" w:hAnsi="Arial" w:cs="Arial"/>
                <w:color w:val="000000"/>
                <w:sz w:val="18"/>
                <w:szCs w:val="18"/>
              </w:rPr>
              <w:t>Servicing fees</w:t>
            </w:r>
          </w:p>
        </w:tc>
        <w:tc>
          <w:tcPr>
            <w:tcW w:w="0" w:type="auto"/>
            <w:shd w:val="clear" w:color="auto" w:fill="auto"/>
            <w:vAlign w:val="bottom"/>
          </w:tcPr>
          <w:p w14:paraId="5F2CEC8D" w14:textId="77777777" w:rsidR="00E836FB" w:rsidRDefault="00E836FB">
            <w:pPr>
              <w:rPr>
                <w:rFonts w:ascii="宋体"/>
                <w:vanish/>
              </w:rPr>
            </w:pPr>
          </w:p>
        </w:tc>
        <w:tc>
          <w:tcPr>
            <w:tcW w:w="0" w:type="auto"/>
            <w:shd w:val="clear" w:color="auto" w:fill="auto"/>
            <w:vAlign w:val="bottom"/>
          </w:tcPr>
          <w:p w14:paraId="5F2CEC8E" w14:textId="77777777" w:rsidR="00E836FB" w:rsidRDefault="00E836FB">
            <w:pPr>
              <w:rPr>
                <w:rFonts w:ascii="宋体"/>
                <w:vanish/>
              </w:rPr>
            </w:pPr>
          </w:p>
        </w:tc>
        <w:tc>
          <w:tcPr>
            <w:tcW w:w="0" w:type="auto"/>
            <w:shd w:val="clear" w:color="auto" w:fill="auto"/>
            <w:vAlign w:val="bottom"/>
          </w:tcPr>
          <w:p w14:paraId="5F2CEC8F" w14:textId="77777777" w:rsidR="00E836FB" w:rsidRDefault="00E836FB">
            <w:pPr>
              <w:rPr>
                <w:rFonts w:ascii="宋体"/>
                <w:vanish/>
              </w:rPr>
            </w:pPr>
          </w:p>
        </w:tc>
        <w:tc>
          <w:tcPr>
            <w:tcW w:w="0" w:type="auto"/>
            <w:shd w:val="clear" w:color="auto" w:fill="auto"/>
            <w:vAlign w:val="bottom"/>
          </w:tcPr>
          <w:p w14:paraId="5F2CEC90"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CEC91" w14:textId="77777777" w:rsidR="00E836FB" w:rsidRDefault="00994958">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F2CEC92" w14:textId="77777777" w:rsidR="00E836FB" w:rsidRDefault="00994958">
            <w:pPr>
              <w:jc w:val="right"/>
              <w:textAlignment w:val="bottom"/>
            </w:pPr>
            <w:r>
              <w:rPr>
                <w:rFonts w:ascii="Arial" w:eastAsia="宋体" w:hAnsi="Arial" w:cs="Arial"/>
                <w:b/>
                <w:bCs/>
                <w:color w:val="000000"/>
                <w:sz w:val="18"/>
                <w:szCs w:val="18"/>
              </w:rPr>
              <w:t>5,549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C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C9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C95" w14:textId="77777777" w:rsidR="00E836FB" w:rsidRDefault="00994958">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F2CEC96" w14:textId="77777777" w:rsidR="00E836FB" w:rsidRDefault="00994958">
            <w:pPr>
              <w:jc w:val="right"/>
              <w:textAlignment w:val="bottom"/>
            </w:pPr>
            <w:r>
              <w:rPr>
                <w:rFonts w:ascii="Arial" w:eastAsia="宋体" w:hAnsi="Arial" w:cs="Arial"/>
                <w:color w:val="000000"/>
                <w:sz w:val="18"/>
                <w:szCs w:val="18"/>
              </w:rPr>
              <w:t>5,167 </w:t>
            </w:r>
          </w:p>
        </w:tc>
        <w:tc>
          <w:tcPr>
            <w:tcW w:w="0" w:type="auto"/>
            <w:shd w:val="clear" w:color="auto" w:fill="CCEEFF"/>
            <w:tcMar>
              <w:top w:w="40" w:type="dxa"/>
              <w:left w:w="0" w:type="dxa"/>
              <w:bottom w:w="40" w:type="dxa"/>
              <w:right w:w="20" w:type="dxa"/>
            </w:tcMar>
            <w:vAlign w:val="bottom"/>
          </w:tcPr>
          <w:p w14:paraId="5F2CEC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C9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C99" w14:textId="77777777" w:rsidR="00E836FB" w:rsidRDefault="00994958">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F2CEC9A" w14:textId="77777777" w:rsidR="00E836FB" w:rsidRDefault="00994958">
            <w:pPr>
              <w:jc w:val="right"/>
              <w:textAlignment w:val="bottom"/>
            </w:pPr>
            <w:r>
              <w:rPr>
                <w:rFonts w:ascii="Arial" w:eastAsia="宋体" w:hAnsi="Arial" w:cs="Arial"/>
                <w:color w:val="000000"/>
                <w:sz w:val="18"/>
                <w:szCs w:val="18"/>
              </w:rPr>
              <w:t>5,074 </w:t>
            </w:r>
          </w:p>
        </w:tc>
        <w:tc>
          <w:tcPr>
            <w:tcW w:w="0" w:type="auto"/>
            <w:shd w:val="clear" w:color="auto" w:fill="CCEEFF"/>
            <w:tcMar>
              <w:top w:w="40" w:type="dxa"/>
              <w:left w:w="0" w:type="dxa"/>
              <w:bottom w:w="40" w:type="dxa"/>
              <w:right w:w="20" w:type="dxa"/>
            </w:tcMar>
            <w:vAlign w:val="bottom"/>
          </w:tcPr>
          <w:p w14:paraId="5F2CEC9B" w14:textId="77777777" w:rsidR="00E836FB" w:rsidRDefault="00E836FB">
            <w:pPr>
              <w:jc w:val="right"/>
              <w:rPr>
                <w:rFonts w:ascii="宋体"/>
              </w:rPr>
            </w:pPr>
          </w:p>
        </w:tc>
      </w:tr>
      <w:tr w:rsidR="00E836FB" w14:paraId="5F2CECAA" w14:textId="77777777">
        <w:tc>
          <w:tcPr>
            <w:tcW w:w="0" w:type="auto"/>
            <w:gridSpan w:val="3"/>
            <w:shd w:val="clear" w:color="auto" w:fill="FFFFFF"/>
            <w:tcMar>
              <w:top w:w="40" w:type="dxa"/>
              <w:left w:w="20" w:type="dxa"/>
              <w:bottom w:w="40" w:type="dxa"/>
              <w:right w:w="20" w:type="dxa"/>
            </w:tcMar>
            <w:vAlign w:val="bottom"/>
          </w:tcPr>
          <w:p w14:paraId="5F2CEC9D" w14:textId="77777777" w:rsidR="00E836FB" w:rsidRDefault="00994958">
            <w:pPr>
              <w:textAlignment w:val="bottom"/>
            </w:pPr>
            <w:r>
              <w:rPr>
                <w:rFonts w:ascii="Arial" w:eastAsia="宋体" w:hAnsi="Arial" w:cs="Arial"/>
                <w:color w:val="000000"/>
                <w:sz w:val="18"/>
                <w:szCs w:val="18"/>
              </w:rPr>
              <w:t>Management fees</w:t>
            </w:r>
          </w:p>
        </w:tc>
        <w:tc>
          <w:tcPr>
            <w:tcW w:w="0" w:type="auto"/>
            <w:shd w:val="clear" w:color="auto" w:fill="auto"/>
            <w:vAlign w:val="bottom"/>
          </w:tcPr>
          <w:p w14:paraId="5F2CEC9E" w14:textId="77777777" w:rsidR="00E836FB" w:rsidRDefault="00E836FB">
            <w:pPr>
              <w:rPr>
                <w:rFonts w:ascii="宋体"/>
                <w:vanish/>
              </w:rPr>
            </w:pPr>
          </w:p>
        </w:tc>
        <w:tc>
          <w:tcPr>
            <w:tcW w:w="0" w:type="auto"/>
            <w:shd w:val="clear" w:color="auto" w:fill="auto"/>
            <w:vAlign w:val="bottom"/>
          </w:tcPr>
          <w:p w14:paraId="5F2CEC9F" w14:textId="77777777" w:rsidR="00E836FB" w:rsidRDefault="00E836FB">
            <w:pPr>
              <w:rPr>
                <w:rFonts w:ascii="宋体"/>
                <w:vanish/>
              </w:rPr>
            </w:pPr>
          </w:p>
        </w:tc>
        <w:tc>
          <w:tcPr>
            <w:tcW w:w="0" w:type="auto"/>
            <w:shd w:val="clear" w:color="auto" w:fill="auto"/>
            <w:vAlign w:val="bottom"/>
          </w:tcPr>
          <w:p w14:paraId="5F2CECA0" w14:textId="77777777" w:rsidR="00E836FB" w:rsidRDefault="00E836FB">
            <w:pPr>
              <w:rPr>
                <w:rFonts w:ascii="宋体"/>
                <w:vanish/>
              </w:rPr>
            </w:pPr>
          </w:p>
        </w:tc>
        <w:tc>
          <w:tcPr>
            <w:tcW w:w="0" w:type="auto"/>
            <w:shd w:val="clear" w:color="auto" w:fill="auto"/>
            <w:vAlign w:val="bottom"/>
          </w:tcPr>
          <w:p w14:paraId="5F2CECA1"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CA2" w14:textId="77777777" w:rsidR="00E836FB" w:rsidRDefault="00994958">
            <w:pPr>
              <w:jc w:val="right"/>
              <w:textAlignment w:val="bottom"/>
            </w:pPr>
            <w:r>
              <w:rPr>
                <w:rFonts w:ascii="Arial" w:eastAsia="宋体" w:hAnsi="Arial" w:cs="Arial"/>
                <w:b/>
                <w:bCs/>
                <w:color w:val="000000"/>
                <w:sz w:val="18"/>
                <w:szCs w:val="18"/>
              </w:rPr>
              <w:t>2,053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C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CA5" w14:textId="77777777" w:rsidR="00E836FB" w:rsidRDefault="00994958">
            <w:pPr>
              <w:jc w:val="right"/>
              <w:textAlignment w:val="bottom"/>
            </w:pPr>
            <w:r>
              <w:rPr>
                <w:rFonts w:ascii="Arial" w:eastAsia="宋体" w:hAnsi="Arial" w:cs="Arial"/>
                <w:color w:val="000000"/>
                <w:sz w:val="18"/>
                <w:szCs w:val="18"/>
              </w:rPr>
              <w:t>1,880 </w:t>
            </w:r>
          </w:p>
        </w:tc>
        <w:tc>
          <w:tcPr>
            <w:tcW w:w="0" w:type="auto"/>
            <w:shd w:val="clear" w:color="auto" w:fill="FFFFFF"/>
            <w:tcMar>
              <w:top w:w="40" w:type="dxa"/>
              <w:left w:w="0" w:type="dxa"/>
              <w:bottom w:w="40" w:type="dxa"/>
              <w:right w:w="20" w:type="dxa"/>
            </w:tcMar>
            <w:vAlign w:val="bottom"/>
          </w:tcPr>
          <w:p w14:paraId="5F2CEC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CA8" w14:textId="77777777" w:rsidR="00E836FB" w:rsidRDefault="00994958">
            <w:pPr>
              <w:jc w:val="right"/>
              <w:textAlignment w:val="bottom"/>
            </w:pPr>
            <w:r>
              <w:rPr>
                <w:rFonts w:ascii="Arial" w:eastAsia="宋体" w:hAnsi="Arial" w:cs="Arial"/>
                <w:color w:val="000000"/>
                <w:sz w:val="18"/>
                <w:szCs w:val="18"/>
              </w:rPr>
              <w:t>1,824 </w:t>
            </w:r>
          </w:p>
        </w:tc>
        <w:tc>
          <w:tcPr>
            <w:tcW w:w="0" w:type="auto"/>
            <w:shd w:val="clear" w:color="auto" w:fill="FFFFFF"/>
            <w:tcMar>
              <w:top w:w="40" w:type="dxa"/>
              <w:left w:w="0" w:type="dxa"/>
              <w:bottom w:w="40" w:type="dxa"/>
              <w:right w:w="20" w:type="dxa"/>
            </w:tcMar>
            <w:vAlign w:val="bottom"/>
          </w:tcPr>
          <w:p w14:paraId="5F2CECA9" w14:textId="77777777" w:rsidR="00E836FB" w:rsidRDefault="00E836FB">
            <w:pPr>
              <w:jc w:val="right"/>
              <w:rPr>
                <w:rFonts w:ascii="宋体"/>
              </w:rPr>
            </w:pPr>
          </w:p>
        </w:tc>
      </w:tr>
      <w:tr w:rsidR="00E836FB" w14:paraId="5F2CECB8" w14:textId="77777777">
        <w:tc>
          <w:tcPr>
            <w:tcW w:w="0" w:type="auto"/>
            <w:gridSpan w:val="3"/>
            <w:shd w:val="clear" w:color="auto" w:fill="CCEEFF"/>
            <w:tcMar>
              <w:top w:w="40" w:type="dxa"/>
              <w:left w:w="20" w:type="dxa"/>
              <w:bottom w:w="40" w:type="dxa"/>
              <w:right w:w="20" w:type="dxa"/>
            </w:tcMar>
            <w:vAlign w:val="bottom"/>
          </w:tcPr>
          <w:p w14:paraId="5F2CECAB" w14:textId="77777777" w:rsidR="00E836FB" w:rsidRDefault="00994958">
            <w:pPr>
              <w:textAlignment w:val="bottom"/>
            </w:pPr>
            <w:r>
              <w:rPr>
                <w:rFonts w:ascii="Arial" w:eastAsia="宋体" w:hAnsi="Arial" w:cs="Arial"/>
                <w:color w:val="000000"/>
                <w:sz w:val="18"/>
                <w:szCs w:val="18"/>
              </w:rPr>
              <w:t xml:space="preserve">Foreign exchange trading services </w:t>
            </w:r>
          </w:p>
        </w:tc>
        <w:tc>
          <w:tcPr>
            <w:tcW w:w="0" w:type="auto"/>
            <w:shd w:val="clear" w:color="auto" w:fill="auto"/>
            <w:vAlign w:val="bottom"/>
          </w:tcPr>
          <w:p w14:paraId="5F2CECAC" w14:textId="77777777" w:rsidR="00E836FB" w:rsidRDefault="00E836FB">
            <w:pPr>
              <w:rPr>
                <w:rFonts w:ascii="宋体"/>
                <w:vanish/>
              </w:rPr>
            </w:pPr>
          </w:p>
        </w:tc>
        <w:tc>
          <w:tcPr>
            <w:tcW w:w="0" w:type="auto"/>
            <w:shd w:val="clear" w:color="auto" w:fill="auto"/>
            <w:vAlign w:val="bottom"/>
          </w:tcPr>
          <w:p w14:paraId="5F2CECAD" w14:textId="77777777" w:rsidR="00E836FB" w:rsidRDefault="00E836FB">
            <w:pPr>
              <w:rPr>
                <w:rFonts w:ascii="宋体"/>
                <w:vanish/>
              </w:rPr>
            </w:pPr>
          </w:p>
        </w:tc>
        <w:tc>
          <w:tcPr>
            <w:tcW w:w="0" w:type="auto"/>
            <w:shd w:val="clear" w:color="auto" w:fill="auto"/>
            <w:vAlign w:val="bottom"/>
          </w:tcPr>
          <w:p w14:paraId="5F2CECAE" w14:textId="77777777" w:rsidR="00E836FB" w:rsidRDefault="00E836FB">
            <w:pPr>
              <w:rPr>
                <w:rFonts w:ascii="宋体"/>
                <w:vanish/>
              </w:rPr>
            </w:pPr>
          </w:p>
        </w:tc>
        <w:tc>
          <w:tcPr>
            <w:tcW w:w="0" w:type="auto"/>
            <w:shd w:val="clear" w:color="auto" w:fill="auto"/>
            <w:vAlign w:val="bottom"/>
          </w:tcPr>
          <w:p w14:paraId="5F2CECAF"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CB0" w14:textId="77777777" w:rsidR="00E836FB" w:rsidRDefault="00994958">
            <w:pPr>
              <w:jc w:val="right"/>
              <w:textAlignment w:val="bottom"/>
            </w:pPr>
            <w:r>
              <w:rPr>
                <w:rFonts w:ascii="Arial" w:eastAsia="宋体" w:hAnsi="Arial" w:cs="Arial"/>
                <w:b/>
                <w:bCs/>
                <w:color w:val="000000"/>
                <w:sz w:val="18"/>
                <w:szCs w:val="18"/>
              </w:rPr>
              <w:t>1,211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CB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CB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CB3" w14:textId="77777777" w:rsidR="00E836FB" w:rsidRDefault="00994958">
            <w:pPr>
              <w:jc w:val="right"/>
              <w:textAlignment w:val="bottom"/>
            </w:pPr>
            <w:r>
              <w:rPr>
                <w:rFonts w:ascii="Arial" w:eastAsia="宋体" w:hAnsi="Arial" w:cs="Arial"/>
                <w:color w:val="000000"/>
                <w:sz w:val="18"/>
                <w:szCs w:val="18"/>
              </w:rPr>
              <w:t>1,363 </w:t>
            </w:r>
          </w:p>
        </w:tc>
        <w:tc>
          <w:tcPr>
            <w:tcW w:w="0" w:type="auto"/>
            <w:shd w:val="clear" w:color="auto" w:fill="CCEEFF"/>
            <w:tcMar>
              <w:top w:w="40" w:type="dxa"/>
              <w:left w:w="0" w:type="dxa"/>
              <w:bottom w:w="40" w:type="dxa"/>
              <w:right w:w="20" w:type="dxa"/>
            </w:tcMar>
            <w:vAlign w:val="bottom"/>
          </w:tcPr>
          <w:p w14:paraId="5F2CEC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CB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CB6" w14:textId="77777777" w:rsidR="00E836FB" w:rsidRDefault="00994958">
            <w:pPr>
              <w:jc w:val="right"/>
              <w:textAlignment w:val="bottom"/>
            </w:pPr>
            <w:r>
              <w:rPr>
                <w:rFonts w:ascii="Arial" w:eastAsia="宋体" w:hAnsi="Arial" w:cs="Arial"/>
                <w:color w:val="000000"/>
                <w:sz w:val="18"/>
                <w:szCs w:val="18"/>
              </w:rPr>
              <w:t>1,058 </w:t>
            </w:r>
          </w:p>
        </w:tc>
        <w:tc>
          <w:tcPr>
            <w:tcW w:w="0" w:type="auto"/>
            <w:shd w:val="clear" w:color="auto" w:fill="CCEEFF"/>
            <w:tcMar>
              <w:top w:w="40" w:type="dxa"/>
              <w:left w:w="0" w:type="dxa"/>
              <w:bottom w:w="40" w:type="dxa"/>
              <w:right w:w="20" w:type="dxa"/>
            </w:tcMar>
            <w:vAlign w:val="bottom"/>
          </w:tcPr>
          <w:p w14:paraId="5F2CECB7" w14:textId="77777777" w:rsidR="00E836FB" w:rsidRDefault="00E836FB">
            <w:pPr>
              <w:jc w:val="right"/>
              <w:rPr>
                <w:rFonts w:ascii="宋体"/>
              </w:rPr>
            </w:pPr>
          </w:p>
        </w:tc>
      </w:tr>
      <w:tr w:rsidR="00E836FB" w14:paraId="5F2CECC6" w14:textId="77777777">
        <w:tc>
          <w:tcPr>
            <w:tcW w:w="0" w:type="auto"/>
            <w:gridSpan w:val="3"/>
            <w:shd w:val="clear" w:color="auto" w:fill="FFFFFF"/>
            <w:tcMar>
              <w:top w:w="40" w:type="dxa"/>
              <w:left w:w="20" w:type="dxa"/>
              <w:bottom w:w="40" w:type="dxa"/>
              <w:right w:w="20" w:type="dxa"/>
            </w:tcMar>
            <w:vAlign w:val="bottom"/>
          </w:tcPr>
          <w:p w14:paraId="5F2CECB9" w14:textId="77777777" w:rsidR="00E836FB" w:rsidRDefault="00994958">
            <w:pPr>
              <w:textAlignment w:val="bottom"/>
            </w:pPr>
            <w:r>
              <w:rPr>
                <w:rFonts w:ascii="Arial" w:eastAsia="宋体" w:hAnsi="Arial" w:cs="Arial"/>
                <w:color w:val="000000"/>
                <w:sz w:val="18"/>
                <w:szCs w:val="18"/>
              </w:rPr>
              <w:t>Securities finance</w:t>
            </w:r>
          </w:p>
        </w:tc>
        <w:tc>
          <w:tcPr>
            <w:tcW w:w="0" w:type="auto"/>
            <w:shd w:val="clear" w:color="auto" w:fill="auto"/>
            <w:vAlign w:val="bottom"/>
          </w:tcPr>
          <w:p w14:paraId="5F2CECBA" w14:textId="77777777" w:rsidR="00E836FB" w:rsidRDefault="00E836FB">
            <w:pPr>
              <w:rPr>
                <w:rFonts w:ascii="宋体"/>
                <w:vanish/>
              </w:rPr>
            </w:pPr>
          </w:p>
        </w:tc>
        <w:tc>
          <w:tcPr>
            <w:tcW w:w="0" w:type="auto"/>
            <w:shd w:val="clear" w:color="auto" w:fill="auto"/>
            <w:vAlign w:val="bottom"/>
          </w:tcPr>
          <w:p w14:paraId="5F2CECBB" w14:textId="77777777" w:rsidR="00E836FB" w:rsidRDefault="00E836FB">
            <w:pPr>
              <w:rPr>
                <w:rFonts w:ascii="宋体"/>
                <w:vanish/>
              </w:rPr>
            </w:pPr>
          </w:p>
        </w:tc>
        <w:tc>
          <w:tcPr>
            <w:tcW w:w="0" w:type="auto"/>
            <w:shd w:val="clear" w:color="auto" w:fill="auto"/>
            <w:vAlign w:val="bottom"/>
          </w:tcPr>
          <w:p w14:paraId="5F2CECBC" w14:textId="77777777" w:rsidR="00E836FB" w:rsidRDefault="00E836FB">
            <w:pPr>
              <w:rPr>
                <w:rFonts w:ascii="宋体"/>
                <w:vanish/>
              </w:rPr>
            </w:pPr>
          </w:p>
        </w:tc>
        <w:tc>
          <w:tcPr>
            <w:tcW w:w="0" w:type="auto"/>
            <w:shd w:val="clear" w:color="auto" w:fill="auto"/>
            <w:vAlign w:val="bottom"/>
          </w:tcPr>
          <w:p w14:paraId="5F2CECBD"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CBE" w14:textId="77777777" w:rsidR="00E836FB" w:rsidRDefault="00994958">
            <w:pPr>
              <w:jc w:val="right"/>
              <w:textAlignment w:val="bottom"/>
            </w:pPr>
            <w:r>
              <w:rPr>
                <w:rFonts w:ascii="Arial" w:eastAsia="宋体" w:hAnsi="Arial" w:cs="Arial"/>
                <w:b/>
                <w:bCs/>
                <w:color w:val="000000"/>
                <w:sz w:val="18"/>
                <w:szCs w:val="18"/>
              </w:rPr>
              <w:t>416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C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CC1" w14:textId="77777777" w:rsidR="00E836FB" w:rsidRDefault="00994958">
            <w:pPr>
              <w:jc w:val="right"/>
              <w:textAlignment w:val="bottom"/>
            </w:pPr>
            <w:r>
              <w:rPr>
                <w:rFonts w:ascii="Arial" w:eastAsia="宋体" w:hAnsi="Arial" w:cs="Arial"/>
                <w:color w:val="000000"/>
                <w:sz w:val="18"/>
                <w:szCs w:val="18"/>
              </w:rPr>
              <w:t>356 </w:t>
            </w:r>
          </w:p>
        </w:tc>
        <w:tc>
          <w:tcPr>
            <w:tcW w:w="0" w:type="auto"/>
            <w:shd w:val="clear" w:color="auto" w:fill="FFFFFF"/>
            <w:tcMar>
              <w:top w:w="40" w:type="dxa"/>
              <w:left w:w="0" w:type="dxa"/>
              <w:bottom w:w="40" w:type="dxa"/>
              <w:right w:w="20" w:type="dxa"/>
            </w:tcMar>
            <w:vAlign w:val="bottom"/>
          </w:tcPr>
          <w:p w14:paraId="5F2CEC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CC4" w14:textId="77777777" w:rsidR="00E836FB" w:rsidRDefault="00994958">
            <w:pPr>
              <w:jc w:val="right"/>
              <w:textAlignment w:val="bottom"/>
            </w:pPr>
            <w:r>
              <w:rPr>
                <w:rFonts w:ascii="Arial" w:eastAsia="宋体" w:hAnsi="Arial" w:cs="Arial"/>
                <w:color w:val="000000"/>
                <w:sz w:val="18"/>
                <w:szCs w:val="18"/>
              </w:rPr>
              <w:t>471 </w:t>
            </w:r>
          </w:p>
        </w:tc>
        <w:tc>
          <w:tcPr>
            <w:tcW w:w="0" w:type="auto"/>
            <w:shd w:val="clear" w:color="auto" w:fill="FFFFFF"/>
            <w:tcMar>
              <w:top w:w="40" w:type="dxa"/>
              <w:left w:w="0" w:type="dxa"/>
              <w:bottom w:w="40" w:type="dxa"/>
              <w:right w:w="20" w:type="dxa"/>
            </w:tcMar>
            <w:vAlign w:val="bottom"/>
          </w:tcPr>
          <w:p w14:paraId="5F2CECC5" w14:textId="77777777" w:rsidR="00E836FB" w:rsidRDefault="00E836FB">
            <w:pPr>
              <w:jc w:val="right"/>
              <w:rPr>
                <w:rFonts w:ascii="宋体"/>
              </w:rPr>
            </w:pPr>
          </w:p>
        </w:tc>
      </w:tr>
      <w:tr w:rsidR="00E836FB" w14:paraId="5F2CECD4" w14:textId="77777777">
        <w:tc>
          <w:tcPr>
            <w:tcW w:w="0" w:type="auto"/>
            <w:gridSpan w:val="3"/>
            <w:shd w:val="clear" w:color="auto" w:fill="CCEEFF"/>
            <w:tcMar>
              <w:top w:w="40" w:type="dxa"/>
              <w:left w:w="20" w:type="dxa"/>
              <w:bottom w:w="40" w:type="dxa"/>
              <w:right w:w="20" w:type="dxa"/>
            </w:tcMar>
            <w:vAlign w:val="bottom"/>
          </w:tcPr>
          <w:p w14:paraId="5F2CECC7" w14:textId="77777777" w:rsidR="00E836FB" w:rsidRDefault="00994958">
            <w:pPr>
              <w:textAlignment w:val="bottom"/>
            </w:pPr>
            <w:r>
              <w:rPr>
                <w:rFonts w:ascii="Arial" w:eastAsia="宋体" w:hAnsi="Arial" w:cs="Arial"/>
                <w:color w:val="000000"/>
                <w:sz w:val="18"/>
                <w:szCs w:val="18"/>
              </w:rPr>
              <w:t>Software and processing fees</w:t>
            </w:r>
          </w:p>
        </w:tc>
        <w:tc>
          <w:tcPr>
            <w:tcW w:w="0" w:type="auto"/>
            <w:shd w:val="clear" w:color="auto" w:fill="auto"/>
            <w:vAlign w:val="bottom"/>
          </w:tcPr>
          <w:p w14:paraId="5F2CECC8" w14:textId="77777777" w:rsidR="00E836FB" w:rsidRDefault="00E836FB">
            <w:pPr>
              <w:rPr>
                <w:rFonts w:ascii="宋体"/>
                <w:vanish/>
              </w:rPr>
            </w:pPr>
          </w:p>
        </w:tc>
        <w:tc>
          <w:tcPr>
            <w:tcW w:w="0" w:type="auto"/>
            <w:shd w:val="clear" w:color="auto" w:fill="auto"/>
            <w:vAlign w:val="bottom"/>
          </w:tcPr>
          <w:p w14:paraId="5F2CECC9" w14:textId="77777777" w:rsidR="00E836FB" w:rsidRDefault="00E836FB">
            <w:pPr>
              <w:rPr>
                <w:rFonts w:ascii="宋体"/>
                <w:vanish/>
              </w:rPr>
            </w:pPr>
          </w:p>
        </w:tc>
        <w:tc>
          <w:tcPr>
            <w:tcW w:w="0" w:type="auto"/>
            <w:shd w:val="clear" w:color="auto" w:fill="auto"/>
            <w:vAlign w:val="bottom"/>
          </w:tcPr>
          <w:p w14:paraId="5F2CECCA" w14:textId="77777777" w:rsidR="00E836FB" w:rsidRDefault="00E836FB">
            <w:pPr>
              <w:rPr>
                <w:rFonts w:ascii="宋体"/>
                <w:vanish/>
              </w:rPr>
            </w:pPr>
          </w:p>
        </w:tc>
        <w:tc>
          <w:tcPr>
            <w:tcW w:w="0" w:type="auto"/>
            <w:shd w:val="clear" w:color="auto" w:fill="auto"/>
            <w:vAlign w:val="bottom"/>
          </w:tcPr>
          <w:p w14:paraId="5F2CECCB"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CCC" w14:textId="77777777" w:rsidR="00E836FB" w:rsidRDefault="00994958">
            <w:pPr>
              <w:jc w:val="right"/>
              <w:textAlignment w:val="bottom"/>
            </w:pPr>
            <w:r>
              <w:rPr>
                <w:rFonts w:ascii="Arial" w:eastAsia="宋体" w:hAnsi="Arial" w:cs="Arial"/>
                <w:b/>
                <w:bCs/>
                <w:color w:val="000000"/>
                <w:sz w:val="18"/>
                <w:szCs w:val="18"/>
              </w:rPr>
              <w:t>783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C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CC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CCF" w14:textId="77777777" w:rsidR="00E836FB" w:rsidRDefault="00994958">
            <w:pPr>
              <w:jc w:val="right"/>
              <w:textAlignment w:val="bottom"/>
            </w:pPr>
            <w:r>
              <w:rPr>
                <w:rFonts w:ascii="Arial" w:eastAsia="宋体" w:hAnsi="Arial" w:cs="Arial"/>
                <w:color w:val="000000"/>
                <w:sz w:val="18"/>
                <w:szCs w:val="18"/>
              </w:rPr>
              <w:t>733 </w:t>
            </w:r>
          </w:p>
        </w:tc>
        <w:tc>
          <w:tcPr>
            <w:tcW w:w="0" w:type="auto"/>
            <w:shd w:val="clear" w:color="auto" w:fill="CCEEFF"/>
            <w:tcMar>
              <w:top w:w="40" w:type="dxa"/>
              <w:left w:w="0" w:type="dxa"/>
              <w:bottom w:w="40" w:type="dxa"/>
              <w:right w:w="20" w:type="dxa"/>
            </w:tcMar>
            <w:vAlign w:val="bottom"/>
          </w:tcPr>
          <w:p w14:paraId="5F2CEC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C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CD2" w14:textId="77777777" w:rsidR="00E836FB" w:rsidRDefault="00994958">
            <w:pPr>
              <w:jc w:val="right"/>
              <w:textAlignment w:val="bottom"/>
            </w:pPr>
            <w:r>
              <w:rPr>
                <w:rFonts w:ascii="Arial" w:eastAsia="宋体" w:hAnsi="Arial" w:cs="Arial"/>
                <w:color w:val="000000"/>
                <w:sz w:val="18"/>
                <w:szCs w:val="18"/>
              </w:rPr>
              <w:t>720 </w:t>
            </w:r>
          </w:p>
        </w:tc>
        <w:tc>
          <w:tcPr>
            <w:tcW w:w="0" w:type="auto"/>
            <w:shd w:val="clear" w:color="auto" w:fill="CCEEFF"/>
            <w:tcMar>
              <w:top w:w="40" w:type="dxa"/>
              <w:left w:w="0" w:type="dxa"/>
              <w:bottom w:w="40" w:type="dxa"/>
              <w:right w:w="20" w:type="dxa"/>
            </w:tcMar>
            <w:vAlign w:val="bottom"/>
          </w:tcPr>
          <w:p w14:paraId="5F2CECD3" w14:textId="77777777" w:rsidR="00E836FB" w:rsidRDefault="00E836FB">
            <w:pPr>
              <w:jc w:val="right"/>
              <w:rPr>
                <w:rFonts w:ascii="宋体"/>
              </w:rPr>
            </w:pPr>
          </w:p>
        </w:tc>
      </w:tr>
      <w:tr w:rsidR="00E836FB" w14:paraId="5F2CECE2" w14:textId="77777777">
        <w:tc>
          <w:tcPr>
            <w:tcW w:w="0" w:type="auto"/>
            <w:gridSpan w:val="3"/>
            <w:shd w:val="clear" w:color="auto" w:fill="FFFFFF"/>
            <w:tcMar>
              <w:top w:w="40" w:type="dxa"/>
              <w:left w:w="20" w:type="dxa"/>
              <w:bottom w:w="40" w:type="dxa"/>
              <w:right w:w="20" w:type="dxa"/>
            </w:tcMar>
            <w:vAlign w:val="bottom"/>
          </w:tcPr>
          <w:p w14:paraId="5F2CECD5" w14:textId="77777777" w:rsidR="00E836FB" w:rsidRDefault="00994958">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fee revenue</w:t>
            </w:r>
          </w:p>
        </w:tc>
        <w:tc>
          <w:tcPr>
            <w:tcW w:w="0" w:type="auto"/>
            <w:shd w:val="clear" w:color="auto" w:fill="auto"/>
            <w:vAlign w:val="bottom"/>
          </w:tcPr>
          <w:p w14:paraId="5F2CECD6" w14:textId="77777777" w:rsidR="00E836FB" w:rsidRDefault="00E836FB">
            <w:pPr>
              <w:rPr>
                <w:rFonts w:ascii="宋体"/>
                <w:vanish/>
              </w:rPr>
            </w:pPr>
          </w:p>
        </w:tc>
        <w:tc>
          <w:tcPr>
            <w:tcW w:w="0" w:type="auto"/>
            <w:shd w:val="clear" w:color="auto" w:fill="auto"/>
            <w:vAlign w:val="bottom"/>
          </w:tcPr>
          <w:p w14:paraId="5F2CECD7" w14:textId="77777777" w:rsidR="00E836FB" w:rsidRDefault="00E836FB">
            <w:pPr>
              <w:rPr>
                <w:rFonts w:ascii="宋体"/>
                <w:vanish/>
              </w:rPr>
            </w:pPr>
          </w:p>
        </w:tc>
        <w:tc>
          <w:tcPr>
            <w:tcW w:w="0" w:type="auto"/>
            <w:shd w:val="clear" w:color="auto" w:fill="auto"/>
            <w:vAlign w:val="bottom"/>
          </w:tcPr>
          <w:p w14:paraId="5F2CECD8" w14:textId="77777777" w:rsidR="00E836FB" w:rsidRDefault="00E836FB">
            <w:pPr>
              <w:rPr>
                <w:rFonts w:ascii="宋体"/>
                <w:vanish/>
              </w:rPr>
            </w:pPr>
          </w:p>
        </w:tc>
        <w:tc>
          <w:tcPr>
            <w:tcW w:w="0" w:type="auto"/>
            <w:shd w:val="clear" w:color="auto" w:fill="auto"/>
            <w:vAlign w:val="bottom"/>
          </w:tcPr>
          <w:p w14:paraId="5F2CECD9"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CDA" w14:textId="77777777" w:rsidR="00E836FB" w:rsidRDefault="00994958">
            <w:pPr>
              <w:jc w:val="right"/>
              <w:textAlignment w:val="bottom"/>
            </w:pPr>
            <w:r>
              <w:rPr>
                <w:rFonts w:ascii="Arial" w:eastAsia="宋体" w:hAnsi="Arial" w:cs="Arial"/>
                <w:b/>
                <w:bCs/>
                <w:color w:val="000000"/>
                <w:sz w:val="18"/>
                <w:szCs w:val="18"/>
              </w:rPr>
              <w:t>10,012</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C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D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CDD" w14:textId="77777777" w:rsidR="00E836FB" w:rsidRDefault="00994958">
            <w:pPr>
              <w:jc w:val="right"/>
              <w:textAlignment w:val="bottom"/>
            </w:pPr>
            <w:r>
              <w:rPr>
                <w:rFonts w:ascii="Arial" w:eastAsia="宋体" w:hAnsi="Arial" w:cs="Arial"/>
                <w:color w:val="000000"/>
                <w:sz w:val="18"/>
                <w:szCs w:val="18"/>
              </w:rPr>
              <w:t>9,499 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C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D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CE0" w14:textId="77777777" w:rsidR="00E836FB" w:rsidRDefault="00994958">
            <w:pPr>
              <w:jc w:val="right"/>
              <w:textAlignment w:val="bottom"/>
            </w:pPr>
            <w:r>
              <w:rPr>
                <w:rFonts w:ascii="Arial" w:eastAsia="宋体" w:hAnsi="Arial" w:cs="Arial"/>
                <w:color w:val="000000"/>
                <w:sz w:val="18"/>
                <w:szCs w:val="18"/>
              </w:rPr>
              <w:t>9,147 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CE1" w14:textId="77777777" w:rsidR="00E836FB" w:rsidRDefault="00E836FB">
            <w:pPr>
              <w:jc w:val="right"/>
              <w:rPr>
                <w:rFonts w:ascii="宋体"/>
              </w:rPr>
            </w:pPr>
          </w:p>
        </w:tc>
      </w:tr>
      <w:tr w:rsidR="00E836FB" w14:paraId="5F2CECED" w14:textId="77777777">
        <w:tc>
          <w:tcPr>
            <w:tcW w:w="0" w:type="auto"/>
            <w:gridSpan w:val="3"/>
            <w:shd w:val="clear" w:color="auto" w:fill="CCEEFF"/>
            <w:tcMar>
              <w:top w:w="40" w:type="dxa"/>
              <w:left w:w="20" w:type="dxa"/>
              <w:bottom w:w="40" w:type="dxa"/>
              <w:right w:w="20" w:type="dxa"/>
            </w:tcMar>
            <w:vAlign w:val="bottom"/>
          </w:tcPr>
          <w:p w14:paraId="5F2CECE3" w14:textId="77777777" w:rsidR="00E836FB" w:rsidRDefault="00994958">
            <w:pPr>
              <w:textAlignment w:val="bottom"/>
            </w:pPr>
            <w:r>
              <w:rPr>
                <w:rFonts w:ascii="Arial" w:eastAsia="宋体" w:hAnsi="Arial" w:cs="Arial"/>
                <w:b/>
                <w:bCs/>
                <w:color w:val="000000"/>
                <w:sz w:val="18"/>
                <w:szCs w:val="18"/>
              </w:rPr>
              <w:t>Net interest income:</w:t>
            </w:r>
          </w:p>
        </w:tc>
        <w:tc>
          <w:tcPr>
            <w:tcW w:w="0" w:type="auto"/>
            <w:shd w:val="clear" w:color="auto" w:fill="auto"/>
            <w:vAlign w:val="bottom"/>
          </w:tcPr>
          <w:p w14:paraId="5F2CECE4" w14:textId="77777777" w:rsidR="00E836FB" w:rsidRDefault="00E836FB">
            <w:pPr>
              <w:rPr>
                <w:rFonts w:ascii="宋体"/>
                <w:vanish/>
              </w:rPr>
            </w:pPr>
          </w:p>
        </w:tc>
        <w:tc>
          <w:tcPr>
            <w:tcW w:w="0" w:type="auto"/>
            <w:shd w:val="clear" w:color="auto" w:fill="auto"/>
            <w:vAlign w:val="bottom"/>
          </w:tcPr>
          <w:p w14:paraId="5F2CECE5" w14:textId="77777777" w:rsidR="00E836FB" w:rsidRDefault="00E836FB">
            <w:pPr>
              <w:rPr>
                <w:rFonts w:ascii="宋体"/>
                <w:vanish/>
              </w:rPr>
            </w:pPr>
          </w:p>
        </w:tc>
        <w:tc>
          <w:tcPr>
            <w:tcW w:w="0" w:type="auto"/>
            <w:shd w:val="clear" w:color="auto" w:fill="auto"/>
            <w:vAlign w:val="bottom"/>
          </w:tcPr>
          <w:p w14:paraId="5F2CECE6" w14:textId="77777777" w:rsidR="00E836FB" w:rsidRDefault="00E836FB">
            <w:pPr>
              <w:rPr>
                <w:rFonts w:ascii="宋体"/>
                <w:vanish/>
              </w:rPr>
            </w:pPr>
          </w:p>
        </w:tc>
        <w:tc>
          <w:tcPr>
            <w:tcW w:w="0" w:type="auto"/>
            <w:shd w:val="clear" w:color="auto" w:fill="auto"/>
            <w:vAlign w:val="bottom"/>
          </w:tcPr>
          <w:p w14:paraId="5F2CECE7"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EC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CE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CE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CE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CEC" w14:textId="77777777" w:rsidR="00E836FB" w:rsidRDefault="00E836FB">
            <w:pPr>
              <w:rPr>
                <w:rFonts w:ascii="宋体"/>
              </w:rPr>
            </w:pPr>
          </w:p>
        </w:tc>
      </w:tr>
      <w:tr w:rsidR="00E836FB" w14:paraId="5F2CECFB" w14:textId="77777777">
        <w:tc>
          <w:tcPr>
            <w:tcW w:w="0" w:type="auto"/>
            <w:gridSpan w:val="3"/>
            <w:shd w:val="clear" w:color="auto" w:fill="FFFFFF"/>
            <w:tcMar>
              <w:top w:w="40" w:type="dxa"/>
              <w:left w:w="20" w:type="dxa"/>
              <w:bottom w:w="40" w:type="dxa"/>
              <w:right w:w="20" w:type="dxa"/>
            </w:tcMar>
            <w:vAlign w:val="bottom"/>
          </w:tcPr>
          <w:p w14:paraId="5F2CECEE" w14:textId="77777777" w:rsidR="00E836FB" w:rsidRDefault="00994958">
            <w:pPr>
              <w:textAlignment w:val="bottom"/>
            </w:pPr>
            <w:r>
              <w:rPr>
                <w:rFonts w:ascii="Arial" w:eastAsia="宋体" w:hAnsi="Arial" w:cs="Arial"/>
                <w:color w:val="000000"/>
                <w:sz w:val="18"/>
                <w:szCs w:val="18"/>
              </w:rPr>
              <w:t>Interest income</w:t>
            </w:r>
          </w:p>
        </w:tc>
        <w:tc>
          <w:tcPr>
            <w:tcW w:w="0" w:type="auto"/>
            <w:shd w:val="clear" w:color="auto" w:fill="auto"/>
            <w:vAlign w:val="bottom"/>
          </w:tcPr>
          <w:p w14:paraId="5F2CECEF" w14:textId="77777777" w:rsidR="00E836FB" w:rsidRDefault="00E836FB">
            <w:pPr>
              <w:rPr>
                <w:rFonts w:ascii="宋体"/>
                <w:vanish/>
              </w:rPr>
            </w:pPr>
          </w:p>
        </w:tc>
        <w:tc>
          <w:tcPr>
            <w:tcW w:w="0" w:type="auto"/>
            <w:shd w:val="clear" w:color="auto" w:fill="auto"/>
            <w:vAlign w:val="bottom"/>
          </w:tcPr>
          <w:p w14:paraId="5F2CECF0" w14:textId="77777777" w:rsidR="00E836FB" w:rsidRDefault="00E836FB">
            <w:pPr>
              <w:rPr>
                <w:rFonts w:ascii="宋体"/>
                <w:vanish/>
              </w:rPr>
            </w:pPr>
          </w:p>
        </w:tc>
        <w:tc>
          <w:tcPr>
            <w:tcW w:w="0" w:type="auto"/>
            <w:shd w:val="clear" w:color="auto" w:fill="auto"/>
            <w:vAlign w:val="bottom"/>
          </w:tcPr>
          <w:p w14:paraId="5F2CECF1" w14:textId="77777777" w:rsidR="00E836FB" w:rsidRDefault="00E836FB">
            <w:pPr>
              <w:rPr>
                <w:rFonts w:ascii="宋体"/>
                <w:vanish/>
              </w:rPr>
            </w:pPr>
          </w:p>
        </w:tc>
        <w:tc>
          <w:tcPr>
            <w:tcW w:w="0" w:type="auto"/>
            <w:shd w:val="clear" w:color="auto" w:fill="auto"/>
            <w:vAlign w:val="bottom"/>
          </w:tcPr>
          <w:p w14:paraId="5F2CECF2"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CF3" w14:textId="77777777" w:rsidR="00E836FB" w:rsidRDefault="00994958">
            <w:pPr>
              <w:jc w:val="right"/>
              <w:textAlignment w:val="bottom"/>
            </w:pPr>
            <w:r>
              <w:rPr>
                <w:rFonts w:ascii="Arial" w:eastAsia="宋体" w:hAnsi="Arial" w:cs="Arial"/>
                <w:b/>
                <w:bCs/>
                <w:color w:val="000000"/>
                <w:sz w:val="18"/>
                <w:szCs w:val="18"/>
              </w:rPr>
              <w:t>1,908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C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CF6" w14:textId="77777777" w:rsidR="00E836FB" w:rsidRDefault="00994958">
            <w:pPr>
              <w:jc w:val="right"/>
              <w:textAlignment w:val="bottom"/>
            </w:pPr>
            <w:r>
              <w:rPr>
                <w:rFonts w:ascii="Arial" w:eastAsia="宋体" w:hAnsi="Arial" w:cs="Arial"/>
                <w:color w:val="000000"/>
                <w:sz w:val="18"/>
                <w:szCs w:val="18"/>
              </w:rPr>
              <w:t>2,575 </w:t>
            </w:r>
          </w:p>
        </w:tc>
        <w:tc>
          <w:tcPr>
            <w:tcW w:w="0" w:type="auto"/>
            <w:shd w:val="clear" w:color="auto" w:fill="FFFFFF"/>
            <w:tcMar>
              <w:top w:w="40" w:type="dxa"/>
              <w:left w:w="0" w:type="dxa"/>
              <w:bottom w:w="40" w:type="dxa"/>
              <w:right w:w="20" w:type="dxa"/>
            </w:tcMar>
            <w:vAlign w:val="bottom"/>
          </w:tcPr>
          <w:p w14:paraId="5F2CEC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C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CF9" w14:textId="77777777" w:rsidR="00E836FB" w:rsidRDefault="00994958">
            <w:pPr>
              <w:jc w:val="right"/>
              <w:textAlignment w:val="bottom"/>
            </w:pPr>
            <w:r>
              <w:rPr>
                <w:rFonts w:ascii="Arial" w:eastAsia="宋体" w:hAnsi="Arial" w:cs="Arial"/>
                <w:color w:val="000000"/>
                <w:sz w:val="18"/>
                <w:szCs w:val="18"/>
              </w:rPr>
              <w:t>3,941 </w:t>
            </w:r>
          </w:p>
        </w:tc>
        <w:tc>
          <w:tcPr>
            <w:tcW w:w="0" w:type="auto"/>
            <w:shd w:val="clear" w:color="auto" w:fill="FFFFFF"/>
            <w:tcMar>
              <w:top w:w="40" w:type="dxa"/>
              <w:left w:w="0" w:type="dxa"/>
              <w:bottom w:w="40" w:type="dxa"/>
              <w:right w:w="20" w:type="dxa"/>
            </w:tcMar>
            <w:vAlign w:val="bottom"/>
          </w:tcPr>
          <w:p w14:paraId="5F2CECFA" w14:textId="77777777" w:rsidR="00E836FB" w:rsidRDefault="00E836FB">
            <w:pPr>
              <w:jc w:val="right"/>
              <w:rPr>
                <w:rFonts w:ascii="宋体"/>
              </w:rPr>
            </w:pPr>
          </w:p>
        </w:tc>
      </w:tr>
      <w:tr w:rsidR="00E836FB" w14:paraId="5F2CED09" w14:textId="77777777">
        <w:tc>
          <w:tcPr>
            <w:tcW w:w="0" w:type="auto"/>
            <w:gridSpan w:val="3"/>
            <w:shd w:val="clear" w:color="auto" w:fill="CCEEFF"/>
            <w:tcMar>
              <w:top w:w="40" w:type="dxa"/>
              <w:left w:w="20" w:type="dxa"/>
              <w:bottom w:w="40" w:type="dxa"/>
              <w:right w:w="20" w:type="dxa"/>
            </w:tcMar>
            <w:vAlign w:val="bottom"/>
          </w:tcPr>
          <w:p w14:paraId="5F2CECFC" w14:textId="77777777" w:rsidR="00E836FB" w:rsidRDefault="00994958">
            <w:pPr>
              <w:textAlignment w:val="bottom"/>
            </w:pPr>
            <w:r>
              <w:rPr>
                <w:rFonts w:ascii="Arial" w:eastAsia="宋体" w:hAnsi="Arial" w:cs="Arial"/>
                <w:color w:val="000000"/>
                <w:sz w:val="18"/>
                <w:szCs w:val="18"/>
              </w:rPr>
              <w:t>Interest expense</w:t>
            </w:r>
          </w:p>
        </w:tc>
        <w:tc>
          <w:tcPr>
            <w:tcW w:w="0" w:type="auto"/>
            <w:shd w:val="clear" w:color="auto" w:fill="auto"/>
            <w:vAlign w:val="bottom"/>
          </w:tcPr>
          <w:p w14:paraId="5F2CECFD" w14:textId="77777777" w:rsidR="00E836FB" w:rsidRDefault="00E836FB">
            <w:pPr>
              <w:rPr>
                <w:rFonts w:ascii="宋体"/>
                <w:vanish/>
              </w:rPr>
            </w:pPr>
          </w:p>
        </w:tc>
        <w:tc>
          <w:tcPr>
            <w:tcW w:w="0" w:type="auto"/>
            <w:shd w:val="clear" w:color="auto" w:fill="auto"/>
            <w:vAlign w:val="bottom"/>
          </w:tcPr>
          <w:p w14:paraId="5F2CECFE" w14:textId="77777777" w:rsidR="00E836FB" w:rsidRDefault="00E836FB">
            <w:pPr>
              <w:rPr>
                <w:rFonts w:ascii="宋体"/>
                <w:vanish/>
              </w:rPr>
            </w:pPr>
          </w:p>
        </w:tc>
        <w:tc>
          <w:tcPr>
            <w:tcW w:w="0" w:type="auto"/>
            <w:shd w:val="clear" w:color="auto" w:fill="auto"/>
            <w:vAlign w:val="bottom"/>
          </w:tcPr>
          <w:p w14:paraId="5F2CECFF" w14:textId="77777777" w:rsidR="00E836FB" w:rsidRDefault="00E836FB">
            <w:pPr>
              <w:rPr>
                <w:rFonts w:ascii="宋体"/>
                <w:vanish/>
              </w:rPr>
            </w:pPr>
          </w:p>
        </w:tc>
        <w:tc>
          <w:tcPr>
            <w:tcW w:w="0" w:type="auto"/>
            <w:shd w:val="clear" w:color="auto" w:fill="auto"/>
            <w:vAlign w:val="bottom"/>
          </w:tcPr>
          <w:p w14:paraId="5F2CED00"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D01" w14:textId="77777777" w:rsidR="00E836FB" w:rsidRDefault="00994958">
            <w:pPr>
              <w:jc w:val="right"/>
              <w:textAlignment w:val="bottom"/>
            </w:pPr>
            <w:r>
              <w:rPr>
                <w:rFonts w:ascii="Arial" w:eastAsia="宋体" w:hAnsi="Arial" w:cs="Arial"/>
                <w:b/>
                <w:bCs/>
                <w:color w:val="000000"/>
                <w:sz w:val="18"/>
                <w:szCs w:val="18"/>
              </w:rPr>
              <w:t>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D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0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04" w14:textId="77777777" w:rsidR="00E836FB" w:rsidRDefault="00994958">
            <w:pPr>
              <w:jc w:val="right"/>
              <w:textAlignment w:val="bottom"/>
            </w:pPr>
            <w:r>
              <w:rPr>
                <w:rFonts w:ascii="Arial" w:eastAsia="宋体" w:hAnsi="Arial" w:cs="Arial"/>
                <w:color w:val="000000"/>
                <w:sz w:val="18"/>
                <w:szCs w:val="18"/>
              </w:rPr>
              <w:t>375 </w:t>
            </w:r>
          </w:p>
        </w:tc>
        <w:tc>
          <w:tcPr>
            <w:tcW w:w="0" w:type="auto"/>
            <w:shd w:val="clear" w:color="auto" w:fill="CCEEFF"/>
            <w:tcMar>
              <w:top w:w="40" w:type="dxa"/>
              <w:left w:w="0" w:type="dxa"/>
              <w:bottom w:w="40" w:type="dxa"/>
              <w:right w:w="20" w:type="dxa"/>
            </w:tcMar>
            <w:vAlign w:val="bottom"/>
          </w:tcPr>
          <w:p w14:paraId="5F2CED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0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07" w14:textId="77777777" w:rsidR="00E836FB" w:rsidRDefault="00994958">
            <w:pPr>
              <w:jc w:val="right"/>
              <w:textAlignment w:val="bottom"/>
            </w:pPr>
            <w:r>
              <w:rPr>
                <w:rFonts w:ascii="Arial" w:eastAsia="宋体" w:hAnsi="Arial" w:cs="Arial"/>
                <w:color w:val="000000"/>
                <w:sz w:val="18"/>
                <w:szCs w:val="18"/>
              </w:rPr>
              <w:t>1,375 </w:t>
            </w:r>
          </w:p>
        </w:tc>
        <w:tc>
          <w:tcPr>
            <w:tcW w:w="0" w:type="auto"/>
            <w:shd w:val="clear" w:color="auto" w:fill="CCEEFF"/>
            <w:tcMar>
              <w:top w:w="40" w:type="dxa"/>
              <w:left w:w="0" w:type="dxa"/>
              <w:bottom w:w="40" w:type="dxa"/>
              <w:right w:w="20" w:type="dxa"/>
            </w:tcMar>
            <w:vAlign w:val="bottom"/>
          </w:tcPr>
          <w:p w14:paraId="5F2CED08" w14:textId="77777777" w:rsidR="00E836FB" w:rsidRDefault="00E836FB">
            <w:pPr>
              <w:jc w:val="right"/>
              <w:rPr>
                <w:rFonts w:ascii="宋体"/>
              </w:rPr>
            </w:pPr>
          </w:p>
        </w:tc>
      </w:tr>
      <w:tr w:rsidR="00E836FB" w14:paraId="5F2CED17" w14:textId="77777777">
        <w:tc>
          <w:tcPr>
            <w:tcW w:w="0" w:type="auto"/>
            <w:gridSpan w:val="3"/>
            <w:shd w:val="clear" w:color="auto" w:fill="FFFFFF"/>
            <w:tcMar>
              <w:top w:w="40" w:type="dxa"/>
              <w:left w:w="20" w:type="dxa"/>
              <w:bottom w:w="40" w:type="dxa"/>
              <w:right w:w="20" w:type="dxa"/>
            </w:tcMar>
            <w:vAlign w:val="bottom"/>
          </w:tcPr>
          <w:p w14:paraId="5F2CED0A" w14:textId="77777777" w:rsidR="00E836FB" w:rsidRDefault="00994958">
            <w:pPr>
              <w:textAlignment w:val="bottom"/>
            </w:pPr>
            <w:r>
              <w:rPr>
                <w:rFonts w:ascii="Arial" w:eastAsia="宋体" w:hAnsi="Arial" w:cs="Arial"/>
                <w:color w:val="000000"/>
                <w:sz w:val="18"/>
                <w:szCs w:val="18"/>
              </w:rPr>
              <w:t>Net interest income</w:t>
            </w:r>
          </w:p>
        </w:tc>
        <w:tc>
          <w:tcPr>
            <w:tcW w:w="0" w:type="auto"/>
            <w:shd w:val="clear" w:color="auto" w:fill="auto"/>
            <w:vAlign w:val="bottom"/>
          </w:tcPr>
          <w:p w14:paraId="5F2CED0B" w14:textId="77777777" w:rsidR="00E836FB" w:rsidRDefault="00E836FB">
            <w:pPr>
              <w:rPr>
                <w:rFonts w:ascii="宋体"/>
                <w:vanish/>
              </w:rPr>
            </w:pPr>
          </w:p>
        </w:tc>
        <w:tc>
          <w:tcPr>
            <w:tcW w:w="0" w:type="auto"/>
            <w:shd w:val="clear" w:color="auto" w:fill="auto"/>
            <w:vAlign w:val="bottom"/>
          </w:tcPr>
          <w:p w14:paraId="5F2CED0C" w14:textId="77777777" w:rsidR="00E836FB" w:rsidRDefault="00E836FB">
            <w:pPr>
              <w:rPr>
                <w:rFonts w:ascii="宋体"/>
                <w:vanish/>
              </w:rPr>
            </w:pPr>
          </w:p>
        </w:tc>
        <w:tc>
          <w:tcPr>
            <w:tcW w:w="0" w:type="auto"/>
            <w:shd w:val="clear" w:color="auto" w:fill="auto"/>
            <w:vAlign w:val="bottom"/>
          </w:tcPr>
          <w:p w14:paraId="5F2CED0D" w14:textId="77777777" w:rsidR="00E836FB" w:rsidRDefault="00E836FB">
            <w:pPr>
              <w:rPr>
                <w:rFonts w:ascii="宋体"/>
                <w:vanish/>
              </w:rPr>
            </w:pPr>
          </w:p>
        </w:tc>
        <w:tc>
          <w:tcPr>
            <w:tcW w:w="0" w:type="auto"/>
            <w:shd w:val="clear" w:color="auto" w:fill="auto"/>
            <w:vAlign w:val="bottom"/>
          </w:tcPr>
          <w:p w14:paraId="5F2CED0E"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D0F" w14:textId="77777777" w:rsidR="00E836FB" w:rsidRDefault="00994958">
            <w:pPr>
              <w:jc w:val="right"/>
              <w:textAlignment w:val="bottom"/>
            </w:pPr>
            <w:r>
              <w:rPr>
                <w:rFonts w:ascii="Arial" w:eastAsia="宋体" w:hAnsi="Arial" w:cs="Arial"/>
                <w:b/>
                <w:bCs/>
                <w:color w:val="000000"/>
                <w:sz w:val="18"/>
                <w:szCs w:val="18"/>
              </w:rPr>
              <w:t>1,905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D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1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D12" w14:textId="77777777" w:rsidR="00E836FB" w:rsidRDefault="00994958">
            <w:pPr>
              <w:jc w:val="right"/>
              <w:textAlignment w:val="bottom"/>
            </w:pPr>
            <w:r>
              <w:rPr>
                <w:rFonts w:ascii="Arial" w:eastAsia="宋体" w:hAnsi="Arial" w:cs="Arial"/>
                <w:color w:val="000000"/>
                <w:sz w:val="18"/>
                <w:szCs w:val="18"/>
              </w:rPr>
              <w:t>2,200 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D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1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D15" w14:textId="77777777" w:rsidR="00E836FB" w:rsidRDefault="00994958">
            <w:pPr>
              <w:jc w:val="right"/>
              <w:textAlignment w:val="bottom"/>
            </w:pPr>
            <w:r>
              <w:rPr>
                <w:rFonts w:ascii="Arial" w:eastAsia="宋体" w:hAnsi="Arial" w:cs="Arial"/>
                <w:color w:val="000000"/>
                <w:sz w:val="18"/>
                <w:szCs w:val="18"/>
              </w:rPr>
              <w:t>2,566 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D16" w14:textId="77777777" w:rsidR="00E836FB" w:rsidRDefault="00E836FB">
            <w:pPr>
              <w:jc w:val="right"/>
              <w:rPr>
                <w:rFonts w:ascii="宋体"/>
              </w:rPr>
            </w:pPr>
          </w:p>
        </w:tc>
      </w:tr>
      <w:tr w:rsidR="00E836FB" w14:paraId="5F2CED22" w14:textId="77777777">
        <w:tc>
          <w:tcPr>
            <w:tcW w:w="0" w:type="auto"/>
            <w:gridSpan w:val="3"/>
            <w:shd w:val="clear" w:color="auto" w:fill="CCEEFF"/>
            <w:tcMar>
              <w:top w:w="40" w:type="dxa"/>
              <w:left w:w="20" w:type="dxa"/>
              <w:bottom w:w="40" w:type="dxa"/>
              <w:right w:w="20" w:type="dxa"/>
            </w:tcMar>
            <w:vAlign w:val="bottom"/>
          </w:tcPr>
          <w:p w14:paraId="5F2CED18" w14:textId="77777777" w:rsidR="00E836FB" w:rsidRDefault="00994958">
            <w:pPr>
              <w:textAlignment w:val="bottom"/>
            </w:pPr>
            <w:r>
              <w:rPr>
                <w:rFonts w:ascii="Arial" w:eastAsia="宋体" w:hAnsi="Arial" w:cs="Arial"/>
                <w:b/>
                <w:bCs/>
                <w:color w:val="000000"/>
                <w:sz w:val="18"/>
                <w:szCs w:val="18"/>
              </w:rPr>
              <w:t>Other income:</w:t>
            </w:r>
          </w:p>
        </w:tc>
        <w:tc>
          <w:tcPr>
            <w:tcW w:w="0" w:type="auto"/>
            <w:shd w:val="clear" w:color="auto" w:fill="auto"/>
            <w:vAlign w:val="bottom"/>
          </w:tcPr>
          <w:p w14:paraId="5F2CED19" w14:textId="77777777" w:rsidR="00E836FB" w:rsidRDefault="00E836FB">
            <w:pPr>
              <w:rPr>
                <w:rFonts w:ascii="宋体"/>
                <w:vanish/>
              </w:rPr>
            </w:pPr>
          </w:p>
        </w:tc>
        <w:tc>
          <w:tcPr>
            <w:tcW w:w="0" w:type="auto"/>
            <w:shd w:val="clear" w:color="auto" w:fill="auto"/>
            <w:vAlign w:val="bottom"/>
          </w:tcPr>
          <w:p w14:paraId="5F2CED1A" w14:textId="77777777" w:rsidR="00E836FB" w:rsidRDefault="00E836FB">
            <w:pPr>
              <w:rPr>
                <w:rFonts w:ascii="宋体"/>
                <w:vanish/>
              </w:rPr>
            </w:pPr>
          </w:p>
        </w:tc>
        <w:tc>
          <w:tcPr>
            <w:tcW w:w="0" w:type="auto"/>
            <w:shd w:val="clear" w:color="auto" w:fill="auto"/>
            <w:vAlign w:val="bottom"/>
          </w:tcPr>
          <w:p w14:paraId="5F2CED1B" w14:textId="77777777" w:rsidR="00E836FB" w:rsidRDefault="00E836FB">
            <w:pPr>
              <w:rPr>
                <w:rFonts w:ascii="宋体"/>
                <w:vanish/>
              </w:rPr>
            </w:pPr>
          </w:p>
        </w:tc>
        <w:tc>
          <w:tcPr>
            <w:tcW w:w="0" w:type="auto"/>
            <w:shd w:val="clear" w:color="auto" w:fill="auto"/>
            <w:vAlign w:val="bottom"/>
          </w:tcPr>
          <w:p w14:paraId="5F2CED1C"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ED1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1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1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2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21" w14:textId="77777777" w:rsidR="00E836FB" w:rsidRDefault="00E836FB">
            <w:pPr>
              <w:rPr>
                <w:rFonts w:ascii="宋体"/>
              </w:rPr>
            </w:pPr>
          </w:p>
        </w:tc>
      </w:tr>
      <w:tr w:rsidR="00E836FB" w14:paraId="5F2CED30" w14:textId="77777777">
        <w:tc>
          <w:tcPr>
            <w:tcW w:w="0" w:type="auto"/>
            <w:gridSpan w:val="3"/>
            <w:shd w:val="clear" w:color="auto" w:fill="FFFFFF"/>
            <w:tcMar>
              <w:top w:w="40" w:type="dxa"/>
              <w:left w:w="20" w:type="dxa"/>
              <w:bottom w:w="40" w:type="dxa"/>
              <w:right w:w="20" w:type="dxa"/>
            </w:tcMar>
            <w:vAlign w:val="bottom"/>
          </w:tcPr>
          <w:p w14:paraId="5F2CED23" w14:textId="77777777" w:rsidR="00E836FB" w:rsidRDefault="00994958">
            <w:pPr>
              <w:textAlignment w:val="bottom"/>
            </w:pPr>
            <w:r>
              <w:rPr>
                <w:rFonts w:ascii="Arial" w:eastAsia="宋体" w:hAnsi="Arial" w:cs="Arial"/>
                <w:color w:val="000000"/>
                <w:sz w:val="18"/>
                <w:szCs w:val="18"/>
              </w:rPr>
              <w:t>Gains (losses) from sales of available-for-sale securities, net</w:t>
            </w:r>
          </w:p>
        </w:tc>
        <w:tc>
          <w:tcPr>
            <w:tcW w:w="0" w:type="auto"/>
            <w:shd w:val="clear" w:color="auto" w:fill="auto"/>
            <w:vAlign w:val="bottom"/>
          </w:tcPr>
          <w:p w14:paraId="5F2CED24" w14:textId="77777777" w:rsidR="00E836FB" w:rsidRDefault="00E836FB">
            <w:pPr>
              <w:rPr>
                <w:rFonts w:ascii="宋体"/>
                <w:vanish/>
              </w:rPr>
            </w:pPr>
          </w:p>
        </w:tc>
        <w:tc>
          <w:tcPr>
            <w:tcW w:w="0" w:type="auto"/>
            <w:shd w:val="clear" w:color="auto" w:fill="auto"/>
            <w:vAlign w:val="bottom"/>
          </w:tcPr>
          <w:p w14:paraId="5F2CED25" w14:textId="77777777" w:rsidR="00E836FB" w:rsidRDefault="00E836FB">
            <w:pPr>
              <w:rPr>
                <w:rFonts w:ascii="宋体"/>
                <w:vanish/>
              </w:rPr>
            </w:pPr>
          </w:p>
        </w:tc>
        <w:tc>
          <w:tcPr>
            <w:tcW w:w="0" w:type="auto"/>
            <w:shd w:val="clear" w:color="auto" w:fill="auto"/>
            <w:vAlign w:val="bottom"/>
          </w:tcPr>
          <w:p w14:paraId="5F2CED26" w14:textId="77777777" w:rsidR="00E836FB" w:rsidRDefault="00E836FB">
            <w:pPr>
              <w:rPr>
                <w:rFonts w:ascii="宋体"/>
                <w:vanish/>
              </w:rPr>
            </w:pPr>
          </w:p>
        </w:tc>
        <w:tc>
          <w:tcPr>
            <w:tcW w:w="0" w:type="auto"/>
            <w:shd w:val="clear" w:color="auto" w:fill="auto"/>
            <w:vAlign w:val="bottom"/>
          </w:tcPr>
          <w:p w14:paraId="5F2CED27"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D28" w14:textId="77777777" w:rsidR="00E836FB" w:rsidRDefault="00994958">
            <w:pPr>
              <w:jc w:val="right"/>
              <w:textAlignment w:val="bottom"/>
            </w:pPr>
            <w:r>
              <w:rPr>
                <w:rFonts w:ascii="Arial" w:eastAsia="宋体" w:hAnsi="Arial" w:cs="Arial"/>
                <w:b/>
                <w:bCs/>
                <w:color w:val="000000"/>
                <w:sz w:val="18"/>
                <w:szCs w:val="18"/>
              </w:rPr>
              <w:t>57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D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2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2B" w14:textId="77777777" w:rsidR="00E836FB" w:rsidRDefault="00994958">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5F2CED2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2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2E" w14:textId="77777777" w:rsidR="00E836FB" w:rsidRDefault="00994958">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5F2CED2F" w14:textId="77777777" w:rsidR="00E836FB" w:rsidRDefault="00E836FB">
            <w:pPr>
              <w:jc w:val="right"/>
              <w:rPr>
                <w:rFonts w:ascii="宋体"/>
              </w:rPr>
            </w:pPr>
          </w:p>
        </w:tc>
      </w:tr>
      <w:tr w:rsidR="00E836FB" w14:paraId="5F2CED3B" w14:textId="77777777">
        <w:trPr>
          <w:hidden/>
        </w:trPr>
        <w:tc>
          <w:tcPr>
            <w:tcW w:w="0" w:type="auto"/>
            <w:gridSpan w:val="3"/>
            <w:shd w:val="clear" w:color="auto" w:fill="auto"/>
            <w:vAlign w:val="bottom"/>
          </w:tcPr>
          <w:p w14:paraId="5F2CED31" w14:textId="77777777" w:rsidR="00E836FB" w:rsidRDefault="00E836FB">
            <w:pPr>
              <w:rPr>
                <w:rFonts w:ascii="宋体"/>
                <w:vanish/>
              </w:rPr>
            </w:pPr>
          </w:p>
        </w:tc>
        <w:tc>
          <w:tcPr>
            <w:tcW w:w="0" w:type="auto"/>
            <w:shd w:val="clear" w:color="auto" w:fill="auto"/>
            <w:vAlign w:val="bottom"/>
          </w:tcPr>
          <w:p w14:paraId="5F2CED32" w14:textId="77777777" w:rsidR="00E836FB" w:rsidRDefault="00E836FB">
            <w:pPr>
              <w:rPr>
                <w:rFonts w:ascii="宋体"/>
                <w:vanish/>
              </w:rPr>
            </w:pPr>
          </w:p>
        </w:tc>
        <w:tc>
          <w:tcPr>
            <w:tcW w:w="0" w:type="auto"/>
            <w:shd w:val="clear" w:color="auto" w:fill="auto"/>
            <w:vAlign w:val="bottom"/>
          </w:tcPr>
          <w:p w14:paraId="5F2CED33" w14:textId="77777777" w:rsidR="00E836FB" w:rsidRDefault="00E836FB">
            <w:pPr>
              <w:rPr>
                <w:rFonts w:ascii="宋体"/>
                <w:vanish/>
              </w:rPr>
            </w:pPr>
          </w:p>
        </w:tc>
        <w:tc>
          <w:tcPr>
            <w:tcW w:w="0" w:type="auto"/>
            <w:shd w:val="clear" w:color="auto" w:fill="auto"/>
            <w:vAlign w:val="bottom"/>
          </w:tcPr>
          <w:p w14:paraId="5F2CED34" w14:textId="77777777" w:rsidR="00E836FB" w:rsidRDefault="00E836FB">
            <w:pPr>
              <w:rPr>
                <w:rFonts w:ascii="宋体"/>
                <w:vanish/>
              </w:rPr>
            </w:pPr>
          </w:p>
        </w:tc>
        <w:tc>
          <w:tcPr>
            <w:tcW w:w="0" w:type="auto"/>
            <w:shd w:val="clear" w:color="auto" w:fill="auto"/>
            <w:vAlign w:val="bottom"/>
          </w:tcPr>
          <w:p w14:paraId="5F2CED35" w14:textId="77777777" w:rsidR="00E836FB" w:rsidRDefault="00E836FB">
            <w:pPr>
              <w:rPr>
                <w:rFonts w:ascii="宋体"/>
                <w:vanish/>
              </w:rPr>
            </w:pPr>
          </w:p>
        </w:tc>
        <w:tc>
          <w:tcPr>
            <w:tcW w:w="0" w:type="auto"/>
            <w:gridSpan w:val="3"/>
            <w:shd w:val="clear" w:color="auto" w:fill="auto"/>
            <w:vAlign w:val="bottom"/>
          </w:tcPr>
          <w:p w14:paraId="5F2CED36" w14:textId="77777777" w:rsidR="00E836FB" w:rsidRDefault="00E836FB">
            <w:pPr>
              <w:rPr>
                <w:rFonts w:ascii="宋体"/>
                <w:vanish/>
              </w:rPr>
            </w:pPr>
          </w:p>
        </w:tc>
        <w:tc>
          <w:tcPr>
            <w:tcW w:w="0" w:type="auto"/>
            <w:gridSpan w:val="3"/>
            <w:shd w:val="clear" w:color="auto" w:fill="auto"/>
            <w:vAlign w:val="bottom"/>
          </w:tcPr>
          <w:p w14:paraId="5F2CED37" w14:textId="77777777" w:rsidR="00E836FB" w:rsidRDefault="00E836FB">
            <w:pPr>
              <w:rPr>
                <w:rFonts w:ascii="宋体"/>
                <w:vanish/>
              </w:rPr>
            </w:pPr>
          </w:p>
        </w:tc>
        <w:tc>
          <w:tcPr>
            <w:tcW w:w="0" w:type="auto"/>
            <w:gridSpan w:val="3"/>
            <w:shd w:val="clear" w:color="auto" w:fill="auto"/>
            <w:vAlign w:val="bottom"/>
          </w:tcPr>
          <w:p w14:paraId="5F2CED38" w14:textId="77777777" w:rsidR="00E836FB" w:rsidRDefault="00E836FB">
            <w:pPr>
              <w:rPr>
                <w:rFonts w:ascii="宋体"/>
                <w:vanish/>
              </w:rPr>
            </w:pPr>
          </w:p>
        </w:tc>
        <w:tc>
          <w:tcPr>
            <w:tcW w:w="0" w:type="auto"/>
            <w:gridSpan w:val="3"/>
            <w:shd w:val="clear" w:color="auto" w:fill="auto"/>
            <w:vAlign w:val="bottom"/>
          </w:tcPr>
          <w:p w14:paraId="5F2CED39" w14:textId="77777777" w:rsidR="00E836FB" w:rsidRDefault="00E836FB">
            <w:pPr>
              <w:rPr>
                <w:rFonts w:ascii="宋体"/>
                <w:vanish/>
              </w:rPr>
            </w:pPr>
          </w:p>
        </w:tc>
        <w:tc>
          <w:tcPr>
            <w:tcW w:w="0" w:type="auto"/>
            <w:gridSpan w:val="3"/>
            <w:shd w:val="clear" w:color="auto" w:fill="auto"/>
            <w:vAlign w:val="bottom"/>
          </w:tcPr>
          <w:p w14:paraId="5F2CED3A" w14:textId="77777777" w:rsidR="00E836FB" w:rsidRDefault="00E836FB">
            <w:pPr>
              <w:rPr>
                <w:rFonts w:ascii="宋体"/>
                <w:vanish/>
              </w:rPr>
            </w:pPr>
          </w:p>
        </w:tc>
      </w:tr>
      <w:tr w:rsidR="00E836FB" w14:paraId="5F2CED46" w14:textId="77777777">
        <w:trPr>
          <w:hidden/>
        </w:trPr>
        <w:tc>
          <w:tcPr>
            <w:tcW w:w="0" w:type="auto"/>
            <w:gridSpan w:val="3"/>
            <w:shd w:val="clear" w:color="auto" w:fill="auto"/>
            <w:vAlign w:val="bottom"/>
          </w:tcPr>
          <w:p w14:paraId="5F2CED3C" w14:textId="77777777" w:rsidR="00E836FB" w:rsidRDefault="00E836FB">
            <w:pPr>
              <w:rPr>
                <w:rFonts w:ascii="宋体"/>
                <w:vanish/>
              </w:rPr>
            </w:pPr>
          </w:p>
        </w:tc>
        <w:tc>
          <w:tcPr>
            <w:tcW w:w="0" w:type="auto"/>
            <w:shd w:val="clear" w:color="auto" w:fill="auto"/>
            <w:vAlign w:val="bottom"/>
          </w:tcPr>
          <w:p w14:paraId="5F2CED3D" w14:textId="77777777" w:rsidR="00E836FB" w:rsidRDefault="00E836FB">
            <w:pPr>
              <w:rPr>
                <w:rFonts w:ascii="宋体"/>
                <w:vanish/>
              </w:rPr>
            </w:pPr>
          </w:p>
        </w:tc>
        <w:tc>
          <w:tcPr>
            <w:tcW w:w="0" w:type="auto"/>
            <w:shd w:val="clear" w:color="auto" w:fill="auto"/>
            <w:vAlign w:val="bottom"/>
          </w:tcPr>
          <w:p w14:paraId="5F2CED3E" w14:textId="77777777" w:rsidR="00E836FB" w:rsidRDefault="00E836FB">
            <w:pPr>
              <w:rPr>
                <w:rFonts w:ascii="宋体"/>
                <w:vanish/>
              </w:rPr>
            </w:pPr>
          </w:p>
        </w:tc>
        <w:tc>
          <w:tcPr>
            <w:tcW w:w="0" w:type="auto"/>
            <w:shd w:val="clear" w:color="auto" w:fill="auto"/>
            <w:vAlign w:val="bottom"/>
          </w:tcPr>
          <w:p w14:paraId="5F2CED3F" w14:textId="77777777" w:rsidR="00E836FB" w:rsidRDefault="00E836FB">
            <w:pPr>
              <w:rPr>
                <w:rFonts w:ascii="宋体"/>
                <w:vanish/>
              </w:rPr>
            </w:pPr>
          </w:p>
        </w:tc>
        <w:tc>
          <w:tcPr>
            <w:tcW w:w="0" w:type="auto"/>
            <w:shd w:val="clear" w:color="auto" w:fill="auto"/>
            <w:vAlign w:val="bottom"/>
          </w:tcPr>
          <w:p w14:paraId="5F2CED40" w14:textId="77777777" w:rsidR="00E836FB" w:rsidRDefault="00E836FB">
            <w:pPr>
              <w:rPr>
                <w:rFonts w:ascii="宋体"/>
                <w:vanish/>
              </w:rPr>
            </w:pPr>
          </w:p>
        </w:tc>
        <w:tc>
          <w:tcPr>
            <w:tcW w:w="0" w:type="auto"/>
            <w:gridSpan w:val="3"/>
            <w:shd w:val="clear" w:color="auto" w:fill="auto"/>
            <w:vAlign w:val="bottom"/>
          </w:tcPr>
          <w:p w14:paraId="5F2CED41" w14:textId="77777777" w:rsidR="00E836FB" w:rsidRDefault="00E836FB">
            <w:pPr>
              <w:rPr>
                <w:rFonts w:ascii="宋体"/>
                <w:vanish/>
              </w:rPr>
            </w:pPr>
          </w:p>
        </w:tc>
        <w:tc>
          <w:tcPr>
            <w:tcW w:w="0" w:type="auto"/>
            <w:gridSpan w:val="3"/>
            <w:shd w:val="clear" w:color="auto" w:fill="auto"/>
            <w:vAlign w:val="bottom"/>
          </w:tcPr>
          <w:p w14:paraId="5F2CED42" w14:textId="77777777" w:rsidR="00E836FB" w:rsidRDefault="00E836FB">
            <w:pPr>
              <w:rPr>
                <w:rFonts w:ascii="宋体"/>
                <w:vanish/>
              </w:rPr>
            </w:pPr>
          </w:p>
        </w:tc>
        <w:tc>
          <w:tcPr>
            <w:tcW w:w="0" w:type="auto"/>
            <w:gridSpan w:val="3"/>
            <w:shd w:val="clear" w:color="auto" w:fill="auto"/>
            <w:vAlign w:val="bottom"/>
          </w:tcPr>
          <w:p w14:paraId="5F2CED43" w14:textId="77777777" w:rsidR="00E836FB" w:rsidRDefault="00E836FB">
            <w:pPr>
              <w:rPr>
                <w:rFonts w:ascii="宋体"/>
                <w:vanish/>
              </w:rPr>
            </w:pPr>
          </w:p>
        </w:tc>
        <w:tc>
          <w:tcPr>
            <w:tcW w:w="0" w:type="auto"/>
            <w:gridSpan w:val="3"/>
            <w:shd w:val="clear" w:color="auto" w:fill="auto"/>
            <w:vAlign w:val="bottom"/>
          </w:tcPr>
          <w:p w14:paraId="5F2CED44" w14:textId="77777777" w:rsidR="00E836FB" w:rsidRDefault="00E836FB">
            <w:pPr>
              <w:rPr>
                <w:rFonts w:ascii="宋体"/>
                <w:vanish/>
              </w:rPr>
            </w:pPr>
          </w:p>
        </w:tc>
        <w:tc>
          <w:tcPr>
            <w:tcW w:w="0" w:type="auto"/>
            <w:gridSpan w:val="3"/>
            <w:shd w:val="clear" w:color="auto" w:fill="auto"/>
            <w:vAlign w:val="bottom"/>
          </w:tcPr>
          <w:p w14:paraId="5F2CED45" w14:textId="77777777" w:rsidR="00E836FB" w:rsidRDefault="00E836FB">
            <w:pPr>
              <w:rPr>
                <w:rFonts w:ascii="宋体"/>
                <w:vanish/>
              </w:rPr>
            </w:pPr>
          </w:p>
        </w:tc>
      </w:tr>
      <w:tr w:rsidR="00E836FB" w14:paraId="5F2CED51" w14:textId="77777777">
        <w:trPr>
          <w:hidden/>
        </w:trPr>
        <w:tc>
          <w:tcPr>
            <w:tcW w:w="0" w:type="auto"/>
            <w:gridSpan w:val="3"/>
            <w:shd w:val="clear" w:color="auto" w:fill="auto"/>
            <w:vAlign w:val="bottom"/>
          </w:tcPr>
          <w:p w14:paraId="5F2CED47" w14:textId="77777777" w:rsidR="00E836FB" w:rsidRDefault="00E836FB">
            <w:pPr>
              <w:rPr>
                <w:rFonts w:ascii="宋体"/>
                <w:vanish/>
              </w:rPr>
            </w:pPr>
          </w:p>
        </w:tc>
        <w:tc>
          <w:tcPr>
            <w:tcW w:w="0" w:type="auto"/>
            <w:shd w:val="clear" w:color="auto" w:fill="auto"/>
            <w:vAlign w:val="bottom"/>
          </w:tcPr>
          <w:p w14:paraId="5F2CED48" w14:textId="77777777" w:rsidR="00E836FB" w:rsidRDefault="00E836FB">
            <w:pPr>
              <w:rPr>
                <w:rFonts w:ascii="宋体"/>
                <w:vanish/>
              </w:rPr>
            </w:pPr>
          </w:p>
        </w:tc>
        <w:tc>
          <w:tcPr>
            <w:tcW w:w="0" w:type="auto"/>
            <w:shd w:val="clear" w:color="auto" w:fill="auto"/>
            <w:vAlign w:val="bottom"/>
          </w:tcPr>
          <w:p w14:paraId="5F2CED49" w14:textId="77777777" w:rsidR="00E836FB" w:rsidRDefault="00E836FB">
            <w:pPr>
              <w:rPr>
                <w:rFonts w:ascii="宋体"/>
                <w:vanish/>
              </w:rPr>
            </w:pPr>
          </w:p>
        </w:tc>
        <w:tc>
          <w:tcPr>
            <w:tcW w:w="0" w:type="auto"/>
            <w:shd w:val="clear" w:color="auto" w:fill="auto"/>
            <w:vAlign w:val="bottom"/>
          </w:tcPr>
          <w:p w14:paraId="5F2CED4A" w14:textId="77777777" w:rsidR="00E836FB" w:rsidRDefault="00E836FB">
            <w:pPr>
              <w:rPr>
                <w:rFonts w:ascii="宋体"/>
                <w:vanish/>
              </w:rPr>
            </w:pPr>
          </w:p>
        </w:tc>
        <w:tc>
          <w:tcPr>
            <w:tcW w:w="0" w:type="auto"/>
            <w:shd w:val="clear" w:color="auto" w:fill="auto"/>
            <w:vAlign w:val="bottom"/>
          </w:tcPr>
          <w:p w14:paraId="5F2CED4B" w14:textId="77777777" w:rsidR="00E836FB" w:rsidRDefault="00E836FB">
            <w:pPr>
              <w:rPr>
                <w:rFonts w:ascii="宋体"/>
                <w:vanish/>
              </w:rPr>
            </w:pPr>
          </w:p>
        </w:tc>
        <w:tc>
          <w:tcPr>
            <w:tcW w:w="0" w:type="auto"/>
            <w:gridSpan w:val="3"/>
            <w:shd w:val="clear" w:color="auto" w:fill="auto"/>
            <w:vAlign w:val="bottom"/>
          </w:tcPr>
          <w:p w14:paraId="5F2CED4C" w14:textId="77777777" w:rsidR="00E836FB" w:rsidRDefault="00E836FB">
            <w:pPr>
              <w:rPr>
                <w:rFonts w:ascii="宋体"/>
                <w:vanish/>
              </w:rPr>
            </w:pPr>
          </w:p>
        </w:tc>
        <w:tc>
          <w:tcPr>
            <w:tcW w:w="0" w:type="auto"/>
            <w:gridSpan w:val="3"/>
            <w:shd w:val="clear" w:color="auto" w:fill="auto"/>
            <w:vAlign w:val="bottom"/>
          </w:tcPr>
          <w:p w14:paraId="5F2CED4D" w14:textId="77777777" w:rsidR="00E836FB" w:rsidRDefault="00E836FB">
            <w:pPr>
              <w:rPr>
                <w:rFonts w:ascii="宋体"/>
                <w:vanish/>
              </w:rPr>
            </w:pPr>
          </w:p>
        </w:tc>
        <w:tc>
          <w:tcPr>
            <w:tcW w:w="0" w:type="auto"/>
            <w:gridSpan w:val="3"/>
            <w:shd w:val="clear" w:color="auto" w:fill="auto"/>
            <w:vAlign w:val="bottom"/>
          </w:tcPr>
          <w:p w14:paraId="5F2CED4E" w14:textId="77777777" w:rsidR="00E836FB" w:rsidRDefault="00E836FB">
            <w:pPr>
              <w:rPr>
                <w:rFonts w:ascii="宋体"/>
                <w:vanish/>
              </w:rPr>
            </w:pPr>
          </w:p>
        </w:tc>
        <w:tc>
          <w:tcPr>
            <w:tcW w:w="0" w:type="auto"/>
            <w:gridSpan w:val="3"/>
            <w:shd w:val="clear" w:color="auto" w:fill="auto"/>
            <w:vAlign w:val="bottom"/>
          </w:tcPr>
          <w:p w14:paraId="5F2CED4F" w14:textId="77777777" w:rsidR="00E836FB" w:rsidRDefault="00E836FB">
            <w:pPr>
              <w:rPr>
                <w:rFonts w:ascii="宋体"/>
                <w:vanish/>
              </w:rPr>
            </w:pPr>
          </w:p>
        </w:tc>
        <w:tc>
          <w:tcPr>
            <w:tcW w:w="0" w:type="auto"/>
            <w:gridSpan w:val="3"/>
            <w:shd w:val="clear" w:color="auto" w:fill="auto"/>
            <w:vAlign w:val="bottom"/>
          </w:tcPr>
          <w:p w14:paraId="5F2CED50" w14:textId="77777777" w:rsidR="00E836FB" w:rsidRDefault="00E836FB">
            <w:pPr>
              <w:rPr>
                <w:rFonts w:ascii="宋体"/>
                <w:vanish/>
              </w:rPr>
            </w:pPr>
          </w:p>
        </w:tc>
      </w:tr>
      <w:tr w:rsidR="00E836FB" w14:paraId="5F2CED5F" w14:textId="77777777">
        <w:tc>
          <w:tcPr>
            <w:tcW w:w="0" w:type="auto"/>
            <w:gridSpan w:val="3"/>
            <w:shd w:val="clear" w:color="auto" w:fill="CCEEFF"/>
            <w:tcMar>
              <w:top w:w="40" w:type="dxa"/>
              <w:left w:w="20" w:type="dxa"/>
              <w:bottom w:w="40" w:type="dxa"/>
              <w:right w:w="20" w:type="dxa"/>
            </w:tcMar>
            <w:vAlign w:val="bottom"/>
          </w:tcPr>
          <w:p w14:paraId="5F2CED52" w14:textId="77777777" w:rsidR="00E836FB" w:rsidRDefault="00994958">
            <w:pPr>
              <w:textAlignment w:val="bottom"/>
            </w:pPr>
            <w:r>
              <w:rPr>
                <w:rFonts w:ascii="Arial" w:eastAsia="宋体" w:hAnsi="Arial" w:cs="Arial"/>
                <w:color w:val="000000"/>
                <w:sz w:val="18"/>
                <w:szCs w:val="18"/>
              </w:rPr>
              <w:t>Other income</w:t>
            </w:r>
          </w:p>
        </w:tc>
        <w:tc>
          <w:tcPr>
            <w:tcW w:w="0" w:type="auto"/>
            <w:shd w:val="clear" w:color="auto" w:fill="auto"/>
            <w:vAlign w:val="bottom"/>
          </w:tcPr>
          <w:p w14:paraId="5F2CED53" w14:textId="77777777" w:rsidR="00E836FB" w:rsidRDefault="00E836FB">
            <w:pPr>
              <w:rPr>
                <w:rFonts w:ascii="宋体"/>
                <w:vanish/>
              </w:rPr>
            </w:pPr>
          </w:p>
        </w:tc>
        <w:tc>
          <w:tcPr>
            <w:tcW w:w="0" w:type="auto"/>
            <w:shd w:val="clear" w:color="auto" w:fill="auto"/>
            <w:vAlign w:val="bottom"/>
          </w:tcPr>
          <w:p w14:paraId="5F2CED54" w14:textId="77777777" w:rsidR="00E836FB" w:rsidRDefault="00E836FB">
            <w:pPr>
              <w:rPr>
                <w:rFonts w:ascii="宋体"/>
                <w:vanish/>
              </w:rPr>
            </w:pPr>
          </w:p>
        </w:tc>
        <w:tc>
          <w:tcPr>
            <w:tcW w:w="0" w:type="auto"/>
            <w:shd w:val="clear" w:color="auto" w:fill="auto"/>
            <w:vAlign w:val="bottom"/>
          </w:tcPr>
          <w:p w14:paraId="5F2CED55" w14:textId="77777777" w:rsidR="00E836FB" w:rsidRDefault="00E836FB">
            <w:pPr>
              <w:rPr>
                <w:rFonts w:ascii="宋体"/>
                <w:vanish/>
              </w:rPr>
            </w:pPr>
          </w:p>
        </w:tc>
        <w:tc>
          <w:tcPr>
            <w:tcW w:w="0" w:type="auto"/>
            <w:shd w:val="clear" w:color="auto" w:fill="auto"/>
            <w:vAlign w:val="bottom"/>
          </w:tcPr>
          <w:p w14:paraId="5F2CED56"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D57" w14:textId="77777777" w:rsidR="00E836FB" w:rsidRDefault="00994958">
            <w:pPr>
              <w:jc w:val="right"/>
              <w:textAlignment w:val="bottom"/>
            </w:pPr>
            <w:r>
              <w:rPr>
                <w:rFonts w:ascii="Arial" w:eastAsia="宋体" w:hAnsi="Arial" w:cs="Arial"/>
                <w:b/>
                <w:bCs/>
                <w:color w:val="000000"/>
                <w:sz w:val="18"/>
                <w:szCs w:val="18"/>
              </w:rPr>
              <w:t>53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D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5A" w14:textId="77777777" w:rsidR="00E836FB" w:rsidRDefault="00994958">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D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5D" w14:textId="77777777" w:rsidR="00E836FB" w:rsidRDefault="00994958">
            <w:pPr>
              <w:jc w:val="right"/>
              <w:textAlignment w:val="bottom"/>
            </w:pPr>
            <w:r>
              <w:rPr>
                <w:rFonts w:ascii="Arial" w:eastAsia="宋体" w:hAnsi="Arial" w:cs="Arial"/>
                <w:color w:val="000000"/>
                <w:sz w:val="18"/>
                <w:szCs w:val="18"/>
              </w:rPr>
              <w:t>44 </w:t>
            </w:r>
          </w:p>
        </w:tc>
        <w:tc>
          <w:tcPr>
            <w:tcW w:w="0" w:type="auto"/>
            <w:shd w:val="clear" w:color="auto" w:fill="CCEEFF"/>
            <w:tcMar>
              <w:top w:w="40" w:type="dxa"/>
              <w:left w:w="0" w:type="dxa"/>
              <w:bottom w:w="40" w:type="dxa"/>
              <w:right w:w="20" w:type="dxa"/>
            </w:tcMar>
            <w:vAlign w:val="bottom"/>
          </w:tcPr>
          <w:p w14:paraId="5F2CED5E" w14:textId="77777777" w:rsidR="00E836FB" w:rsidRDefault="00E836FB">
            <w:pPr>
              <w:jc w:val="right"/>
              <w:rPr>
                <w:rFonts w:ascii="宋体"/>
              </w:rPr>
            </w:pPr>
          </w:p>
        </w:tc>
      </w:tr>
      <w:tr w:rsidR="00E836FB" w14:paraId="5F2CED6D" w14:textId="77777777">
        <w:tc>
          <w:tcPr>
            <w:tcW w:w="0" w:type="auto"/>
            <w:gridSpan w:val="3"/>
            <w:shd w:val="clear" w:color="auto" w:fill="FFFFFF"/>
            <w:tcMar>
              <w:top w:w="40" w:type="dxa"/>
              <w:left w:w="20" w:type="dxa"/>
              <w:bottom w:w="40" w:type="dxa"/>
              <w:right w:w="20" w:type="dxa"/>
            </w:tcMar>
            <w:vAlign w:val="bottom"/>
          </w:tcPr>
          <w:p w14:paraId="5F2CED60" w14:textId="77777777" w:rsidR="00E836FB" w:rsidRDefault="00994958">
            <w:pPr>
              <w:textAlignment w:val="bottom"/>
            </w:pPr>
            <w:r>
              <w:rPr>
                <w:rFonts w:ascii="Arial" w:eastAsia="宋体" w:hAnsi="Arial" w:cs="Arial"/>
                <w:color w:val="000000"/>
                <w:sz w:val="18"/>
                <w:szCs w:val="18"/>
              </w:rPr>
              <w:t>Total other income</w:t>
            </w:r>
          </w:p>
        </w:tc>
        <w:tc>
          <w:tcPr>
            <w:tcW w:w="0" w:type="auto"/>
            <w:shd w:val="clear" w:color="auto" w:fill="auto"/>
            <w:vAlign w:val="bottom"/>
          </w:tcPr>
          <w:p w14:paraId="5F2CED61" w14:textId="77777777" w:rsidR="00E836FB" w:rsidRDefault="00E836FB">
            <w:pPr>
              <w:rPr>
                <w:rFonts w:ascii="宋体"/>
                <w:vanish/>
              </w:rPr>
            </w:pPr>
          </w:p>
        </w:tc>
        <w:tc>
          <w:tcPr>
            <w:tcW w:w="0" w:type="auto"/>
            <w:shd w:val="clear" w:color="auto" w:fill="auto"/>
            <w:vAlign w:val="bottom"/>
          </w:tcPr>
          <w:p w14:paraId="5F2CED62" w14:textId="77777777" w:rsidR="00E836FB" w:rsidRDefault="00E836FB">
            <w:pPr>
              <w:rPr>
                <w:rFonts w:ascii="宋体"/>
                <w:vanish/>
              </w:rPr>
            </w:pPr>
          </w:p>
        </w:tc>
        <w:tc>
          <w:tcPr>
            <w:tcW w:w="0" w:type="auto"/>
            <w:shd w:val="clear" w:color="auto" w:fill="auto"/>
            <w:vAlign w:val="bottom"/>
          </w:tcPr>
          <w:p w14:paraId="5F2CED63" w14:textId="77777777" w:rsidR="00E836FB" w:rsidRDefault="00E836FB">
            <w:pPr>
              <w:rPr>
                <w:rFonts w:ascii="宋体"/>
                <w:vanish/>
              </w:rPr>
            </w:pPr>
          </w:p>
        </w:tc>
        <w:tc>
          <w:tcPr>
            <w:tcW w:w="0" w:type="auto"/>
            <w:shd w:val="clear" w:color="auto" w:fill="auto"/>
            <w:vAlign w:val="bottom"/>
          </w:tcPr>
          <w:p w14:paraId="5F2CED64"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D65" w14:textId="77777777" w:rsidR="00E836FB" w:rsidRDefault="00994958">
            <w:pPr>
              <w:jc w:val="right"/>
              <w:textAlignment w:val="bottom"/>
            </w:pPr>
            <w:r>
              <w:rPr>
                <w:rFonts w:ascii="Arial" w:eastAsia="宋体" w:hAnsi="Arial" w:cs="Arial"/>
                <w:b/>
                <w:bCs/>
                <w:color w:val="000000"/>
                <w:sz w:val="18"/>
                <w:szCs w:val="18"/>
              </w:rPr>
              <w:t>110</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D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6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D68" w14:textId="77777777" w:rsidR="00E836FB" w:rsidRDefault="00994958">
            <w:pPr>
              <w:jc w:val="right"/>
              <w:textAlignment w:val="bottom"/>
            </w:pPr>
            <w:r>
              <w:rPr>
                <w:rFonts w:ascii="Arial" w:eastAsia="宋体" w:hAnsi="Arial" w:cs="Arial"/>
                <w:color w:val="000000"/>
                <w:sz w:val="18"/>
                <w:szCs w:val="18"/>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D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6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D6B" w14:textId="77777777" w:rsidR="00E836FB" w:rsidRDefault="00994958">
            <w:pPr>
              <w:jc w:val="right"/>
              <w:textAlignment w:val="bottom"/>
            </w:pPr>
            <w:r>
              <w:rPr>
                <w:rFonts w:ascii="Arial" w:eastAsia="宋体" w:hAnsi="Arial" w:cs="Arial"/>
                <w:color w:val="000000"/>
                <w:sz w:val="18"/>
                <w:szCs w:val="18"/>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D6C" w14:textId="77777777" w:rsidR="00E836FB" w:rsidRDefault="00E836FB">
            <w:pPr>
              <w:jc w:val="right"/>
              <w:rPr>
                <w:rFonts w:ascii="宋体"/>
              </w:rPr>
            </w:pPr>
          </w:p>
        </w:tc>
      </w:tr>
      <w:tr w:rsidR="00E836FB" w14:paraId="5F2CED7B" w14:textId="77777777">
        <w:tc>
          <w:tcPr>
            <w:tcW w:w="0" w:type="auto"/>
            <w:gridSpan w:val="3"/>
            <w:shd w:val="clear" w:color="auto" w:fill="CCEEFF"/>
            <w:tcMar>
              <w:top w:w="40" w:type="dxa"/>
              <w:left w:w="20" w:type="dxa"/>
              <w:bottom w:w="40" w:type="dxa"/>
              <w:right w:w="20" w:type="dxa"/>
            </w:tcMar>
            <w:vAlign w:val="bottom"/>
          </w:tcPr>
          <w:p w14:paraId="5F2CED6E" w14:textId="77777777" w:rsidR="00E836FB" w:rsidRDefault="00994958">
            <w:pPr>
              <w:textAlignment w:val="bottom"/>
            </w:pPr>
            <w:r>
              <w:rPr>
                <w:rFonts w:ascii="Arial" w:eastAsia="宋体" w:hAnsi="Arial" w:cs="Arial"/>
                <w:b/>
                <w:bCs/>
                <w:color w:val="000000"/>
                <w:sz w:val="18"/>
                <w:szCs w:val="18"/>
              </w:rPr>
              <w:t>Total revenue</w:t>
            </w:r>
          </w:p>
        </w:tc>
        <w:tc>
          <w:tcPr>
            <w:tcW w:w="0" w:type="auto"/>
            <w:shd w:val="clear" w:color="auto" w:fill="auto"/>
            <w:vAlign w:val="bottom"/>
          </w:tcPr>
          <w:p w14:paraId="5F2CED6F" w14:textId="77777777" w:rsidR="00E836FB" w:rsidRDefault="00E836FB">
            <w:pPr>
              <w:rPr>
                <w:rFonts w:ascii="宋体"/>
                <w:vanish/>
              </w:rPr>
            </w:pPr>
          </w:p>
        </w:tc>
        <w:tc>
          <w:tcPr>
            <w:tcW w:w="0" w:type="auto"/>
            <w:shd w:val="clear" w:color="auto" w:fill="auto"/>
            <w:vAlign w:val="bottom"/>
          </w:tcPr>
          <w:p w14:paraId="5F2CED70" w14:textId="77777777" w:rsidR="00E836FB" w:rsidRDefault="00E836FB">
            <w:pPr>
              <w:rPr>
                <w:rFonts w:ascii="宋体"/>
                <w:vanish/>
              </w:rPr>
            </w:pPr>
          </w:p>
        </w:tc>
        <w:tc>
          <w:tcPr>
            <w:tcW w:w="0" w:type="auto"/>
            <w:shd w:val="clear" w:color="auto" w:fill="auto"/>
            <w:vAlign w:val="bottom"/>
          </w:tcPr>
          <w:p w14:paraId="5F2CED71" w14:textId="77777777" w:rsidR="00E836FB" w:rsidRDefault="00E836FB">
            <w:pPr>
              <w:rPr>
                <w:rFonts w:ascii="宋体"/>
                <w:vanish/>
              </w:rPr>
            </w:pPr>
          </w:p>
        </w:tc>
        <w:tc>
          <w:tcPr>
            <w:tcW w:w="0" w:type="auto"/>
            <w:shd w:val="clear" w:color="auto" w:fill="auto"/>
            <w:vAlign w:val="bottom"/>
          </w:tcPr>
          <w:p w14:paraId="5F2CED72"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D73" w14:textId="77777777" w:rsidR="00E836FB" w:rsidRDefault="00994958">
            <w:pPr>
              <w:jc w:val="right"/>
              <w:textAlignment w:val="bottom"/>
            </w:pPr>
            <w:r>
              <w:rPr>
                <w:rFonts w:ascii="Arial" w:eastAsia="宋体" w:hAnsi="Arial" w:cs="Arial"/>
                <w:b/>
                <w:bCs/>
                <w:color w:val="000000"/>
                <w:sz w:val="18"/>
                <w:szCs w:val="18"/>
              </w:rPr>
              <w:t>12,027</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D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7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D76" w14:textId="77777777" w:rsidR="00E836FB" w:rsidRDefault="00994958">
            <w:pPr>
              <w:jc w:val="right"/>
              <w:textAlignment w:val="bottom"/>
            </w:pPr>
            <w:r>
              <w:rPr>
                <w:rFonts w:ascii="Arial" w:eastAsia="宋体" w:hAnsi="Arial" w:cs="Arial"/>
                <w:color w:val="000000"/>
                <w:sz w:val="18"/>
                <w:szCs w:val="18"/>
              </w:rPr>
              <w:t>11,703 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D7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7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D79" w14:textId="77777777" w:rsidR="00E836FB" w:rsidRDefault="00994958">
            <w:pPr>
              <w:jc w:val="right"/>
              <w:textAlignment w:val="bottom"/>
            </w:pPr>
            <w:r>
              <w:rPr>
                <w:rFonts w:ascii="Arial" w:eastAsia="宋体" w:hAnsi="Arial" w:cs="Arial"/>
                <w:color w:val="000000"/>
                <w:sz w:val="18"/>
                <w:szCs w:val="18"/>
              </w:rPr>
              <w:t>11,756 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D7A" w14:textId="77777777" w:rsidR="00E836FB" w:rsidRDefault="00E836FB">
            <w:pPr>
              <w:jc w:val="right"/>
              <w:rPr>
                <w:rFonts w:ascii="宋体"/>
              </w:rPr>
            </w:pPr>
          </w:p>
        </w:tc>
      </w:tr>
      <w:tr w:rsidR="00E836FB" w14:paraId="5F2CED89" w14:textId="77777777">
        <w:tc>
          <w:tcPr>
            <w:tcW w:w="0" w:type="auto"/>
            <w:gridSpan w:val="3"/>
            <w:shd w:val="clear" w:color="auto" w:fill="FFFFFF"/>
            <w:tcMar>
              <w:top w:w="40" w:type="dxa"/>
              <w:left w:w="20" w:type="dxa"/>
              <w:bottom w:w="40" w:type="dxa"/>
              <w:right w:w="20" w:type="dxa"/>
            </w:tcMar>
            <w:vAlign w:val="bottom"/>
          </w:tcPr>
          <w:p w14:paraId="5F2CED7C" w14:textId="77777777" w:rsidR="00E836FB" w:rsidRDefault="00994958">
            <w:pPr>
              <w:textAlignment w:val="bottom"/>
            </w:pPr>
            <w:r>
              <w:rPr>
                <w:rFonts w:ascii="Arial" w:eastAsia="宋体" w:hAnsi="Arial" w:cs="Arial"/>
                <w:color w:val="000000"/>
                <w:sz w:val="18"/>
                <w:szCs w:val="18"/>
              </w:rPr>
              <w:t>Provision for credit losses</w:t>
            </w:r>
          </w:p>
        </w:tc>
        <w:tc>
          <w:tcPr>
            <w:tcW w:w="0" w:type="auto"/>
            <w:shd w:val="clear" w:color="auto" w:fill="auto"/>
            <w:vAlign w:val="bottom"/>
          </w:tcPr>
          <w:p w14:paraId="5F2CED7D" w14:textId="77777777" w:rsidR="00E836FB" w:rsidRDefault="00E836FB">
            <w:pPr>
              <w:rPr>
                <w:rFonts w:ascii="宋体"/>
                <w:vanish/>
              </w:rPr>
            </w:pPr>
          </w:p>
        </w:tc>
        <w:tc>
          <w:tcPr>
            <w:tcW w:w="0" w:type="auto"/>
            <w:shd w:val="clear" w:color="auto" w:fill="auto"/>
            <w:vAlign w:val="bottom"/>
          </w:tcPr>
          <w:p w14:paraId="5F2CED7E" w14:textId="77777777" w:rsidR="00E836FB" w:rsidRDefault="00E836FB">
            <w:pPr>
              <w:rPr>
                <w:rFonts w:ascii="宋体"/>
                <w:vanish/>
              </w:rPr>
            </w:pPr>
          </w:p>
        </w:tc>
        <w:tc>
          <w:tcPr>
            <w:tcW w:w="0" w:type="auto"/>
            <w:shd w:val="clear" w:color="auto" w:fill="auto"/>
            <w:vAlign w:val="bottom"/>
          </w:tcPr>
          <w:p w14:paraId="5F2CED7F" w14:textId="77777777" w:rsidR="00E836FB" w:rsidRDefault="00E836FB">
            <w:pPr>
              <w:rPr>
                <w:rFonts w:ascii="宋体"/>
                <w:vanish/>
              </w:rPr>
            </w:pPr>
          </w:p>
        </w:tc>
        <w:tc>
          <w:tcPr>
            <w:tcW w:w="0" w:type="auto"/>
            <w:shd w:val="clear" w:color="auto" w:fill="auto"/>
            <w:vAlign w:val="bottom"/>
          </w:tcPr>
          <w:p w14:paraId="5F2CED80"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D81" w14:textId="77777777" w:rsidR="00E836FB" w:rsidRDefault="00994958">
            <w:pPr>
              <w:jc w:val="right"/>
              <w:textAlignment w:val="bottom"/>
            </w:pPr>
            <w:r>
              <w:rPr>
                <w:rFonts w:ascii="Arial" w:eastAsia="宋体" w:hAnsi="Arial" w:cs="Arial"/>
                <w:b/>
                <w:bCs/>
                <w:color w:val="000000"/>
                <w:sz w:val="18"/>
                <w:szCs w:val="18"/>
              </w:rPr>
              <w:t>(33)</w:t>
            </w:r>
          </w:p>
        </w:tc>
        <w:tc>
          <w:tcPr>
            <w:tcW w:w="0" w:type="auto"/>
            <w:shd w:val="clear" w:color="auto" w:fill="FFFFFF"/>
            <w:tcMar>
              <w:top w:w="40" w:type="dxa"/>
              <w:left w:w="0" w:type="dxa"/>
              <w:bottom w:w="40" w:type="dxa"/>
              <w:right w:w="20" w:type="dxa"/>
            </w:tcMar>
            <w:vAlign w:val="bottom"/>
          </w:tcPr>
          <w:p w14:paraId="5F2CED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8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84" w14:textId="77777777" w:rsidR="00E836FB" w:rsidRDefault="00994958">
            <w:pPr>
              <w:jc w:val="right"/>
              <w:textAlignment w:val="bottom"/>
            </w:pPr>
            <w:r>
              <w:rPr>
                <w:rFonts w:ascii="Arial" w:eastAsia="宋体" w:hAnsi="Arial" w:cs="Arial"/>
                <w:color w:val="000000"/>
                <w:sz w:val="18"/>
                <w:szCs w:val="18"/>
              </w:rPr>
              <w:t>88 </w:t>
            </w:r>
          </w:p>
        </w:tc>
        <w:tc>
          <w:tcPr>
            <w:tcW w:w="0" w:type="auto"/>
            <w:shd w:val="clear" w:color="auto" w:fill="FFFFFF"/>
            <w:tcMar>
              <w:top w:w="40" w:type="dxa"/>
              <w:left w:w="0" w:type="dxa"/>
              <w:bottom w:w="40" w:type="dxa"/>
              <w:right w:w="20" w:type="dxa"/>
            </w:tcMar>
            <w:vAlign w:val="bottom"/>
          </w:tcPr>
          <w:p w14:paraId="5F2CED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8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87" w14:textId="77777777" w:rsidR="00E836FB" w:rsidRDefault="00994958">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5F2CED88" w14:textId="77777777" w:rsidR="00E836FB" w:rsidRDefault="00E836FB">
            <w:pPr>
              <w:jc w:val="right"/>
              <w:rPr>
                <w:rFonts w:ascii="宋体"/>
              </w:rPr>
            </w:pPr>
          </w:p>
        </w:tc>
      </w:tr>
      <w:tr w:rsidR="00E836FB" w14:paraId="5F2CED94" w14:textId="77777777">
        <w:tc>
          <w:tcPr>
            <w:tcW w:w="0" w:type="auto"/>
            <w:gridSpan w:val="3"/>
            <w:shd w:val="clear" w:color="auto" w:fill="CCEEFF"/>
            <w:tcMar>
              <w:top w:w="40" w:type="dxa"/>
              <w:left w:w="20" w:type="dxa"/>
              <w:bottom w:w="40" w:type="dxa"/>
              <w:right w:w="20" w:type="dxa"/>
            </w:tcMar>
            <w:vAlign w:val="bottom"/>
          </w:tcPr>
          <w:p w14:paraId="5F2CED8A" w14:textId="77777777" w:rsidR="00E836FB" w:rsidRDefault="00994958">
            <w:pPr>
              <w:textAlignment w:val="bottom"/>
            </w:pPr>
            <w:r>
              <w:rPr>
                <w:rFonts w:ascii="Arial" w:eastAsia="宋体" w:hAnsi="Arial" w:cs="Arial"/>
                <w:b/>
                <w:bCs/>
                <w:color w:val="000000"/>
                <w:sz w:val="18"/>
                <w:szCs w:val="18"/>
              </w:rPr>
              <w:t>Expenses:</w:t>
            </w:r>
          </w:p>
        </w:tc>
        <w:tc>
          <w:tcPr>
            <w:tcW w:w="0" w:type="auto"/>
            <w:shd w:val="clear" w:color="auto" w:fill="auto"/>
            <w:vAlign w:val="bottom"/>
          </w:tcPr>
          <w:p w14:paraId="5F2CED8B" w14:textId="77777777" w:rsidR="00E836FB" w:rsidRDefault="00E836FB">
            <w:pPr>
              <w:rPr>
                <w:rFonts w:ascii="宋体"/>
                <w:vanish/>
              </w:rPr>
            </w:pPr>
          </w:p>
        </w:tc>
        <w:tc>
          <w:tcPr>
            <w:tcW w:w="0" w:type="auto"/>
            <w:shd w:val="clear" w:color="auto" w:fill="auto"/>
            <w:vAlign w:val="bottom"/>
          </w:tcPr>
          <w:p w14:paraId="5F2CED8C" w14:textId="77777777" w:rsidR="00E836FB" w:rsidRDefault="00E836FB">
            <w:pPr>
              <w:rPr>
                <w:rFonts w:ascii="宋体"/>
                <w:vanish/>
              </w:rPr>
            </w:pPr>
          </w:p>
        </w:tc>
        <w:tc>
          <w:tcPr>
            <w:tcW w:w="0" w:type="auto"/>
            <w:shd w:val="clear" w:color="auto" w:fill="auto"/>
            <w:vAlign w:val="bottom"/>
          </w:tcPr>
          <w:p w14:paraId="5F2CED8D" w14:textId="77777777" w:rsidR="00E836FB" w:rsidRDefault="00E836FB">
            <w:pPr>
              <w:rPr>
                <w:rFonts w:ascii="宋体"/>
                <w:vanish/>
              </w:rPr>
            </w:pPr>
          </w:p>
        </w:tc>
        <w:tc>
          <w:tcPr>
            <w:tcW w:w="0" w:type="auto"/>
            <w:shd w:val="clear" w:color="auto" w:fill="auto"/>
            <w:vAlign w:val="bottom"/>
          </w:tcPr>
          <w:p w14:paraId="5F2CED8E"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ED8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9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9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9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D93" w14:textId="77777777" w:rsidR="00E836FB" w:rsidRDefault="00E836FB">
            <w:pPr>
              <w:rPr>
                <w:rFonts w:ascii="宋体"/>
              </w:rPr>
            </w:pPr>
          </w:p>
        </w:tc>
      </w:tr>
      <w:tr w:rsidR="00E836FB" w14:paraId="5F2CEDA2" w14:textId="77777777">
        <w:tc>
          <w:tcPr>
            <w:tcW w:w="0" w:type="auto"/>
            <w:gridSpan w:val="3"/>
            <w:shd w:val="clear" w:color="auto" w:fill="FFFFFF"/>
            <w:tcMar>
              <w:top w:w="40" w:type="dxa"/>
              <w:left w:w="20" w:type="dxa"/>
              <w:bottom w:w="40" w:type="dxa"/>
              <w:right w:w="20" w:type="dxa"/>
            </w:tcMar>
            <w:vAlign w:val="bottom"/>
          </w:tcPr>
          <w:p w14:paraId="5F2CED95" w14:textId="77777777" w:rsidR="00E836FB" w:rsidRDefault="00994958">
            <w:pPr>
              <w:textAlignment w:val="bottom"/>
            </w:pPr>
            <w:r>
              <w:rPr>
                <w:rFonts w:ascii="Arial" w:eastAsia="宋体" w:hAnsi="Arial" w:cs="Arial"/>
                <w:color w:val="000000"/>
                <w:sz w:val="18"/>
                <w:szCs w:val="18"/>
              </w:rPr>
              <w:t>Compensation and employee benefits</w:t>
            </w:r>
          </w:p>
        </w:tc>
        <w:tc>
          <w:tcPr>
            <w:tcW w:w="0" w:type="auto"/>
            <w:shd w:val="clear" w:color="auto" w:fill="auto"/>
            <w:vAlign w:val="bottom"/>
          </w:tcPr>
          <w:p w14:paraId="5F2CED96" w14:textId="77777777" w:rsidR="00E836FB" w:rsidRDefault="00E836FB">
            <w:pPr>
              <w:rPr>
                <w:rFonts w:ascii="宋体"/>
                <w:vanish/>
              </w:rPr>
            </w:pPr>
          </w:p>
        </w:tc>
        <w:tc>
          <w:tcPr>
            <w:tcW w:w="0" w:type="auto"/>
            <w:shd w:val="clear" w:color="auto" w:fill="auto"/>
            <w:vAlign w:val="bottom"/>
          </w:tcPr>
          <w:p w14:paraId="5F2CED97" w14:textId="77777777" w:rsidR="00E836FB" w:rsidRDefault="00E836FB">
            <w:pPr>
              <w:rPr>
                <w:rFonts w:ascii="宋体"/>
                <w:vanish/>
              </w:rPr>
            </w:pPr>
          </w:p>
        </w:tc>
        <w:tc>
          <w:tcPr>
            <w:tcW w:w="0" w:type="auto"/>
            <w:shd w:val="clear" w:color="auto" w:fill="auto"/>
            <w:vAlign w:val="bottom"/>
          </w:tcPr>
          <w:p w14:paraId="5F2CED98" w14:textId="77777777" w:rsidR="00E836FB" w:rsidRDefault="00E836FB">
            <w:pPr>
              <w:rPr>
                <w:rFonts w:ascii="宋体"/>
                <w:vanish/>
              </w:rPr>
            </w:pPr>
          </w:p>
        </w:tc>
        <w:tc>
          <w:tcPr>
            <w:tcW w:w="0" w:type="auto"/>
            <w:shd w:val="clear" w:color="auto" w:fill="auto"/>
            <w:vAlign w:val="bottom"/>
          </w:tcPr>
          <w:p w14:paraId="5F2CED99"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D9A" w14:textId="77777777" w:rsidR="00E836FB" w:rsidRDefault="00994958">
            <w:pPr>
              <w:jc w:val="right"/>
              <w:textAlignment w:val="bottom"/>
            </w:pPr>
            <w:r>
              <w:rPr>
                <w:rFonts w:ascii="Arial" w:eastAsia="宋体" w:hAnsi="Arial" w:cs="Arial"/>
                <w:b/>
                <w:bCs/>
                <w:color w:val="000000"/>
                <w:sz w:val="18"/>
                <w:szCs w:val="18"/>
              </w:rPr>
              <w:t>4,554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D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9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9D" w14:textId="77777777" w:rsidR="00E836FB" w:rsidRDefault="00994958">
            <w:pPr>
              <w:jc w:val="right"/>
              <w:textAlignment w:val="bottom"/>
            </w:pPr>
            <w:r>
              <w:rPr>
                <w:rFonts w:ascii="Arial" w:eastAsia="宋体" w:hAnsi="Arial" w:cs="Arial"/>
                <w:color w:val="000000"/>
                <w:sz w:val="18"/>
                <w:szCs w:val="18"/>
              </w:rPr>
              <w:t>4,450 </w:t>
            </w:r>
          </w:p>
        </w:tc>
        <w:tc>
          <w:tcPr>
            <w:tcW w:w="0" w:type="auto"/>
            <w:shd w:val="clear" w:color="auto" w:fill="FFFFFF"/>
            <w:tcMar>
              <w:top w:w="40" w:type="dxa"/>
              <w:left w:w="0" w:type="dxa"/>
              <w:bottom w:w="40" w:type="dxa"/>
              <w:right w:w="20" w:type="dxa"/>
            </w:tcMar>
            <w:vAlign w:val="bottom"/>
          </w:tcPr>
          <w:p w14:paraId="5F2CED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9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A0" w14:textId="77777777" w:rsidR="00E836FB" w:rsidRDefault="00994958">
            <w:pPr>
              <w:jc w:val="right"/>
              <w:textAlignment w:val="bottom"/>
            </w:pPr>
            <w:r>
              <w:rPr>
                <w:rFonts w:ascii="Arial" w:eastAsia="宋体" w:hAnsi="Arial" w:cs="Arial"/>
                <w:color w:val="000000"/>
                <w:sz w:val="18"/>
                <w:szCs w:val="18"/>
              </w:rPr>
              <w:t>4,541 </w:t>
            </w:r>
          </w:p>
        </w:tc>
        <w:tc>
          <w:tcPr>
            <w:tcW w:w="0" w:type="auto"/>
            <w:shd w:val="clear" w:color="auto" w:fill="FFFFFF"/>
            <w:tcMar>
              <w:top w:w="40" w:type="dxa"/>
              <w:left w:w="0" w:type="dxa"/>
              <w:bottom w:w="40" w:type="dxa"/>
              <w:right w:w="20" w:type="dxa"/>
            </w:tcMar>
            <w:vAlign w:val="bottom"/>
          </w:tcPr>
          <w:p w14:paraId="5F2CEDA1" w14:textId="77777777" w:rsidR="00E836FB" w:rsidRDefault="00E836FB">
            <w:pPr>
              <w:jc w:val="right"/>
              <w:rPr>
                <w:rFonts w:ascii="宋体"/>
              </w:rPr>
            </w:pPr>
          </w:p>
        </w:tc>
      </w:tr>
      <w:tr w:rsidR="00E836FB" w14:paraId="5F2CEDB0" w14:textId="77777777">
        <w:tc>
          <w:tcPr>
            <w:tcW w:w="0" w:type="auto"/>
            <w:gridSpan w:val="3"/>
            <w:shd w:val="clear" w:color="auto" w:fill="CCEEFF"/>
            <w:tcMar>
              <w:top w:w="40" w:type="dxa"/>
              <w:left w:w="20" w:type="dxa"/>
              <w:bottom w:w="40" w:type="dxa"/>
              <w:right w:w="20" w:type="dxa"/>
            </w:tcMar>
            <w:vAlign w:val="bottom"/>
          </w:tcPr>
          <w:p w14:paraId="5F2CEDA3" w14:textId="77777777" w:rsidR="00E836FB" w:rsidRDefault="00994958">
            <w:pPr>
              <w:textAlignment w:val="bottom"/>
            </w:pPr>
            <w:r>
              <w:rPr>
                <w:rFonts w:ascii="Arial" w:eastAsia="宋体" w:hAnsi="Arial" w:cs="Arial"/>
                <w:color w:val="000000"/>
                <w:sz w:val="18"/>
                <w:szCs w:val="18"/>
              </w:rPr>
              <w:t>Information systems and communications</w:t>
            </w:r>
          </w:p>
        </w:tc>
        <w:tc>
          <w:tcPr>
            <w:tcW w:w="0" w:type="auto"/>
            <w:shd w:val="clear" w:color="auto" w:fill="auto"/>
            <w:vAlign w:val="bottom"/>
          </w:tcPr>
          <w:p w14:paraId="5F2CEDA4" w14:textId="77777777" w:rsidR="00E836FB" w:rsidRDefault="00E836FB">
            <w:pPr>
              <w:rPr>
                <w:rFonts w:ascii="宋体"/>
                <w:vanish/>
              </w:rPr>
            </w:pPr>
          </w:p>
        </w:tc>
        <w:tc>
          <w:tcPr>
            <w:tcW w:w="0" w:type="auto"/>
            <w:shd w:val="clear" w:color="auto" w:fill="auto"/>
            <w:vAlign w:val="bottom"/>
          </w:tcPr>
          <w:p w14:paraId="5F2CEDA5" w14:textId="77777777" w:rsidR="00E836FB" w:rsidRDefault="00E836FB">
            <w:pPr>
              <w:rPr>
                <w:rFonts w:ascii="宋体"/>
                <w:vanish/>
              </w:rPr>
            </w:pPr>
          </w:p>
        </w:tc>
        <w:tc>
          <w:tcPr>
            <w:tcW w:w="0" w:type="auto"/>
            <w:shd w:val="clear" w:color="auto" w:fill="auto"/>
            <w:vAlign w:val="bottom"/>
          </w:tcPr>
          <w:p w14:paraId="5F2CEDA6" w14:textId="77777777" w:rsidR="00E836FB" w:rsidRDefault="00E836FB">
            <w:pPr>
              <w:rPr>
                <w:rFonts w:ascii="宋体"/>
                <w:vanish/>
              </w:rPr>
            </w:pPr>
          </w:p>
        </w:tc>
        <w:tc>
          <w:tcPr>
            <w:tcW w:w="0" w:type="auto"/>
            <w:shd w:val="clear" w:color="auto" w:fill="auto"/>
            <w:vAlign w:val="bottom"/>
          </w:tcPr>
          <w:p w14:paraId="5F2CEDA7"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DA8" w14:textId="77777777" w:rsidR="00E836FB" w:rsidRDefault="00994958">
            <w:pPr>
              <w:jc w:val="right"/>
              <w:textAlignment w:val="bottom"/>
            </w:pPr>
            <w:r>
              <w:rPr>
                <w:rFonts w:ascii="Arial" w:eastAsia="宋体" w:hAnsi="Arial" w:cs="Arial"/>
                <w:b/>
                <w:bCs/>
                <w:color w:val="000000"/>
                <w:sz w:val="18"/>
                <w:szCs w:val="18"/>
              </w:rPr>
              <w:t>1,661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D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A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AB" w14:textId="77777777" w:rsidR="00E836FB" w:rsidRDefault="00994958">
            <w:pPr>
              <w:jc w:val="right"/>
              <w:textAlignment w:val="bottom"/>
            </w:pPr>
            <w:r>
              <w:rPr>
                <w:rFonts w:ascii="Arial" w:eastAsia="宋体" w:hAnsi="Arial" w:cs="Arial"/>
                <w:color w:val="000000"/>
                <w:sz w:val="18"/>
                <w:szCs w:val="18"/>
              </w:rPr>
              <w:t>1,550 </w:t>
            </w:r>
          </w:p>
        </w:tc>
        <w:tc>
          <w:tcPr>
            <w:tcW w:w="0" w:type="auto"/>
            <w:shd w:val="clear" w:color="auto" w:fill="CCEEFF"/>
            <w:tcMar>
              <w:top w:w="40" w:type="dxa"/>
              <w:left w:w="0" w:type="dxa"/>
              <w:bottom w:w="40" w:type="dxa"/>
              <w:right w:w="20" w:type="dxa"/>
            </w:tcMar>
            <w:vAlign w:val="bottom"/>
          </w:tcPr>
          <w:p w14:paraId="5F2CED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AE" w14:textId="77777777" w:rsidR="00E836FB" w:rsidRDefault="00994958">
            <w:pPr>
              <w:jc w:val="right"/>
              <w:textAlignment w:val="bottom"/>
            </w:pPr>
            <w:r>
              <w:rPr>
                <w:rFonts w:ascii="Arial" w:eastAsia="宋体" w:hAnsi="Arial" w:cs="Arial"/>
                <w:color w:val="000000"/>
                <w:sz w:val="18"/>
                <w:szCs w:val="18"/>
              </w:rPr>
              <w:t>1,465 </w:t>
            </w:r>
          </w:p>
        </w:tc>
        <w:tc>
          <w:tcPr>
            <w:tcW w:w="0" w:type="auto"/>
            <w:shd w:val="clear" w:color="auto" w:fill="CCEEFF"/>
            <w:tcMar>
              <w:top w:w="40" w:type="dxa"/>
              <w:left w:w="0" w:type="dxa"/>
              <w:bottom w:w="40" w:type="dxa"/>
              <w:right w:w="20" w:type="dxa"/>
            </w:tcMar>
            <w:vAlign w:val="bottom"/>
          </w:tcPr>
          <w:p w14:paraId="5F2CEDAF" w14:textId="77777777" w:rsidR="00E836FB" w:rsidRDefault="00E836FB">
            <w:pPr>
              <w:jc w:val="right"/>
              <w:rPr>
                <w:rFonts w:ascii="宋体"/>
              </w:rPr>
            </w:pPr>
          </w:p>
        </w:tc>
      </w:tr>
      <w:tr w:rsidR="00E836FB" w14:paraId="5F2CEDBE" w14:textId="77777777">
        <w:tc>
          <w:tcPr>
            <w:tcW w:w="0" w:type="auto"/>
            <w:gridSpan w:val="3"/>
            <w:shd w:val="clear" w:color="auto" w:fill="FFFFFF"/>
            <w:tcMar>
              <w:top w:w="40" w:type="dxa"/>
              <w:left w:w="20" w:type="dxa"/>
              <w:bottom w:w="40" w:type="dxa"/>
              <w:right w:w="20" w:type="dxa"/>
            </w:tcMar>
            <w:vAlign w:val="bottom"/>
          </w:tcPr>
          <w:p w14:paraId="5F2CEDB1" w14:textId="77777777" w:rsidR="00E836FB" w:rsidRDefault="00994958">
            <w:pPr>
              <w:textAlignment w:val="bottom"/>
            </w:pPr>
            <w:r>
              <w:rPr>
                <w:rFonts w:ascii="Arial" w:eastAsia="宋体" w:hAnsi="Arial" w:cs="Arial"/>
                <w:color w:val="000000"/>
                <w:sz w:val="18"/>
                <w:szCs w:val="18"/>
              </w:rPr>
              <w:t>Transaction processing services</w:t>
            </w:r>
          </w:p>
        </w:tc>
        <w:tc>
          <w:tcPr>
            <w:tcW w:w="0" w:type="auto"/>
            <w:shd w:val="clear" w:color="auto" w:fill="auto"/>
            <w:vAlign w:val="bottom"/>
          </w:tcPr>
          <w:p w14:paraId="5F2CEDB2" w14:textId="77777777" w:rsidR="00E836FB" w:rsidRDefault="00E836FB">
            <w:pPr>
              <w:rPr>
                <w:rFonts w:ascii="宋体"/>
                <w:vanish/>
              </w:rPr>
            </w:pPr>
          </w:p>
        </w:tc>
        <w:tc>
          <w:tcPr>
            <w:tcW w:w="0" w:type="auto"/>
            <w:shd w:val="clear" w:color="auto" w:fill="auto"/>
            <w:vAlign w:val="bottom"/>
          </w:tcPr>
          <w:p w14:paraId="5F2CEDB3" w14:textId="77777777" w:rsidR="00E836FB" w:rsidRDefault="00E836FB">
            <w:pPr>
              <w:rPr>
                <w:rFonts w:ascii="宋体"/>
                <w:vanish/>
              </w:rPr>
            </w:pPr>
          </w:p>
        </w:tc>
        <w:tc>
          <w:tcPr>
            <w:tcW w:w="0" w:type="auto"/>
            <w:shd w:val="clear" w:color="auto" w:fill="auto"/>
            <w:vAlign w:val="bottom"/>
          </w:tcPr>
          <w:p w14:paraId="5F2CEDB4" w14:textId="77777777" w:rsidR="00E836FB" w:rsidRDefault="00E836FB">
            <w:pPr>
              <w:rPr>
                <w:rFonts w:ascii="宋体"/>
                <w:vanish/>
              </w:rPr>
            </w:pPr>
          </w:p>
        </w:tc>
        <w:tc>
          <w:tcPr>
            <w:tcW w:w="0" w:type="auto"/>
            <w:shd w:val="clear" w:color="auto" w:fill="auto"/>
            <w:vAlign w:val="bottom"/>
          </w:tcPr>
          <w:p w14:paraId="5F2CEDB5"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DB6" w14:textId="77777777" w:rsidR="00E836FB" w:rsidRDefault="00994958">
            <w:pPr>
              <w:jc w:val="right"/>
              <w:textAlignment w:val="bottom"/>
            </w:pPr>
            <w:r>
              <w:rPr>
                <w:rFonts w:ascii="Arial" w:eastAsia="宋体" w:hAnsi="Arial" w:cs="Arial"/>
                <w:b/>
                <w:bCs/>
                <w:color w:val="000000"/>
                <w:sz w:val="18"/>
                <w:szCs w:val="18"/>
              </w:rPr>
              <w:t>1,024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DB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B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B9" w14:textId="77777777" w:rsidR="00E836FB" w:rsidRDefault="00994958">
            <w:pPr>
              <w:jc w:val="right"/>
              <w:textAlignment w:val="bottom"/>
            </w:pPr>
            <w:r>
              <w:rPr>
                <w:rFonts w:ascii="Arial" w:eastAsia="宋体" w:hAnsi="Arial" w:cs="Arial"/>
                <w:color w:val="000000"/>
                <w:sz w:val="18"/>
                <w:szCs w:val="18"/>
              </w:rPr>
              <w:t>978 </w:t>
            </w:r>
          </w:p>
        </w:tc>
        <w:tc>
          <w:tcPr>
            <w:tcW w:w="0" w:type="auto"/>
            <w:shd w:val="clear" w:color="auto" w:fill="FFFFFF"/>
            <w:tcMar>
              <w:top w:w="40" w:type="dxa"/>
              <w:left w:w="0" w:type="dxa"/>
              <w:bottom w:w="40" w:type="dxa"/>
              <w:right w:w="20" w:type="dxa"/>
            </w:tcMar>
            <w:vAlign w:val="bottom"/>
          </w:tcPr>
          <w:p w14:paraId="5F2CEDB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B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BC" w14:textId="77777777" w:rsidR="00E836FB" w:rsidRDefault="00994958">
            <w:pPr>
              <w:jc w:val="right"/>
              <w:textAlignment w:val="bottom"/>
            </w:pPr>
            <w:r>
              <w:rPr>
                <w:rFonts w:ascii="Arial" w:eastAsia="宋体" w:hAnsi="Arial" w:cs="Arial"/>
                <w:color w:val="000000"/>
                <w:sz w:val="18"/>
                <w:szCs w:val="18"/>
              </w:rPr>
              <w:t>983 </w:t>
            </w:r>
          </w:p>
        </w:tc>
        <w:tc>
          <w:tcPr>
            <w:tcW w:w="0" w:type="auto"/>
            <w:shd w:val="clear" w:color="auto" w:fill="FFFFFF"/>
            <w:tcMar>
              <w:top w:w="40" w:type="dxa"/>
              <w:left w:w="0" w:type="dxa"/>
              <w:bottom w:w="40" w:type="dxa"/>
              <w:right w:w="20" w:type="dxa"/>
            </w:tcMar>
            <w:vAlign w:val="bottom"/>
          </w:tcPr>
          <w:p w14:paraId="5F2CEDBD" w14:textId="77777777" w:rsidR="00E836FB" w:rsidRDefault="00E836FB">
            <w:pPr>
              <w:jc w:val="right"/>
              <w:rPr>
                <w:rFonts w:ascii="宋体"/>
              </w:rPr>
            </w:pPr>
          </w:p>
        </w:tc>
      </w:tr>
      <w:tr w:rsidR="00E836FB" w14:paraId="5F2CEDCC" w14:textId="77777777">
        <w:tc>
          <w:tcPr>
            <w:tcW w:w="0" w:type="auto"/>
            <w:gridSpan w:val="3"/>
            <w:shd w:val="clear" w:color="auto" w:fill="CCEEFF"/>
            <w:tcMar>
              <w:top w:w="40" w:type="dxa"/>
              <w:left w:w="20" w:type="dxa"/>
              <w:bottom w:w="40" w:type="dxa"/>
              <w:right w:w="20" w:type="dxa"/>
            </w:tcMar>
            <w:vAlign w:val="bottom"/>
          </w:tcPr>
          <w:p w14:paraId="5F2CEDBF" w14:textId="77777777" w:rsidR="00E836FB" w:rsidRDefault="00994958">
            <w:pPr>
              <w:textAlignment w:val="bottom"/>
            </w:pPr>
            <w:r>
              <w:rPr>
                <w:rFonts w:ascii="Arial" w:eastAsia="宋体" w:hAnsi="Arial" w:cs="Arial"/>
                <w:color w:val="000000"/>
                <w:sz w:val="18"/>
                <w:szCs w:val="18"/>
              </w:rPr>
              <w:t>Occupancy</w:t>
            </w:r>
          </w:p>
        </w:tc>
        <w:tc>
          <w:tcPr>
            <w:tcW w:w="0" w:type="auto"/>
            <w:shd w:val="clear" w:color="auto" w:fill="auto"/>
            <w:vAlign w:val="bottom"/>
          </w:tcPr>
          <w:p w14:paraId="5F2CEDC0" w14:textId="77777777" w:rsidR="00E836FB" w:rsidRDefault="00E836FB">
            <w:pPr>
              <w:rPr>
                <w:rFonts w:ascii="宋体"/>
                <w:vanish/>
              </w:rPr>
            </w:pPr>
          </w:p>
        </w:tc>
        <w:tc>
          <w:tcPr>
            <w:tcW w:w="0" w:type="auto"/>
            <w:shd w:val="clear" w:color="auto" w:fill="auto"/>
            <w:vAlign w:val="bottom"/>
          </w:tcPr>
          <w:p w14:paraId="5F2CEDC1" w14:textId="77777777" w:rsidR="00E836FB" w:rsidRDefault="00E836FB">
            <w:pPr>
              <w:rPr>
                <w:rFonts w:ascii="宋体"/>
                <w:vanish/>
              </w:rPr>
            </w:pPr>
          </w:p>
        </w:tc>
        <w:tc>
          <w:tcPr>
            <w:tcW w:w="0" w:type="auto"/>
            <w:shd w:val="clear" w:color="auto" w:fill="auto"/>
            <w:vAlign w:val="bottom"/>
          </w:tcPr>
          <w:p w14:paraId="5F2CEDC2" w14:textId="77777777" w:rsidR="00E836FB" w:rsidRDefault="00E836FB">
            <w:pPr>
              <w:rPr>
                <w:rFonts w:ascii="宋体"/>
                <w:vanish/>
              </w:rPr>
            </w:pPr>
          </w:p>
        </w:tc>
        <w:tc>
          <w:tcPr>
            <w:tcW w:w="0" w:type="auto"/>
            <w:shd w:val="clear" w:color="auto" w:fill="auto"/>
            <w:vAlign w:val="bottom"/>
          </w:tcPr>
          <w:p w14:paraId="5F2CEDC3"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DC4" w14:textId="77777777" w:rsidR="00E836FB" w:rsidRDefault="00994958">
            <w:pPr>
              <w:jc w:val="right"/>
              <w:textAlignment w:val="bottom"/>
            </w:pPr>
            <w:r>
              <w:rPr>
                <w:rFonts w:ascii="Arial" w:eastAsia="宋体" w:hAnsi="Arial" w:cs="Arial"/>
                <w:b/>
                <w:bCs/>
                <w:color w:val="000000"/>
                <w:sz w:val="18"/>
                <w:szCs w:val="18"/>
              </w:rPr>
              <w:t>444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D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C7" w14:textId="77777777" w:rsidR="00E836FB" w:rsidRDefault="00994958">
            <w:pPr>
              <w:jc w:val="right"/>
              <w:textAlignment w:val="bottom"/>
            </w:pPr>
            <w:r>
              <w:rPr>
                <w:rFonts w:ascii="Arial" w:eastAsia="宋体" w:hAnsi="Arial" w:cs="Arial"/>
                <w:color w:val="000000"/>
                <w:sz w:val="18"/>
                <w:szCs w:val="18"/>
              </w:rPr>
              <w:t>489 </w:t>
            </w:r>
          </w:p>
        </w:tc>
        <w:tc>
          <w:tcPr>
            <w:tcW w:w="0" w:type="auto"/>
            <w:shd w:val="clear" w:color="auto" w:fill="CCEEFF"/>
            <w:tcMar>
              <w:top w:w="40" w:type="dxa"/>
              <w:left w:w="0" w:type="dxa"/>
              <w:bottom w:w="40" w:type="dxa"/>
              <w:right w:w="20" w:type="dxa"/>
            </w:tcMar>
            <w:vAlign w:val="bottom"/>
          </w:tcPr>
          <w:p w14:paraId="5F2CED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C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CA" w14:textId="77777777" w:rsidR="00E836FB" w:rsidRDefault="00994958">
            <w:pPr>
              <w:jc w:val="right"/>
              <w:textAlignment w:val="bottom"/>
            </w:pPr>
            <w:r>
              <w:rPr>
                <w:rFonts w:ascii="Arial" w:eastAsia="宋体" w:hAnsi="Arial" w:cs="Arial"/>
                <w:color w:val="000000"/>
                <w:sz w:val="18"/>
                <w:szCs w:val="18"/>
              </w:rPr>
              <w:t>470 </w:t>
            </w:r>
          </w:p>
        </w:tc>
        <w:tc>
          <w:tcPr>
            <w:tcW w:w="0" w:type="auto"/>
            <w:shd w:val="clear" w:color="auto" w:fill="CCEEFF"/>
            <w:tcMar>
              <w:top w:w="40" w:type="dxa"/>
              <w:left w:w="0" w:type="dxa"/>
              <w:bottom w:w="40" w:type="dxa"/>
              <w:right w:w="20" w:type="dxa"/>
            </w:tcMar>
            <w:vAlign w:val="bottom"/>
          </w:tcPr>
          <w:p w14:paraId="5F2CEDCB" w14:textId="77777777" w:rsidR="00E836FB" w:rsidRDefault="00E836FB">
            <w:pPr>
              <w:jc w:val="right"/>
              <w:rPr>
                <w:rFonts w:ascii="宋体"/>
              </w:rPr>
            </w:pPr>
          </w:p>
        </w:tc>
      </w:tr>
      <w:tr w:rsidR="00E836FB" w14:paraId="5F2CEDDA" w14:textId="77777777">
        <w:tc>
          <w:tcPr>
            <w:tcW w:w="0" w:type="auto"/>
            <w:gridSpan w:val="3"/>
            <w:shd w:val="clear" w:color="auto" w:fill="FFFFFF"/>
            <w:tcMar>
              <w:top w:w="40" w:type="dxa"/>
              <w:left w:w="20" w:type="dxa"/>
              <w:bottom w:w="40" w:type="dxa"/>
              <w:right w:w="20" w:type="dxa"/>
            </w:tcMar>
            <w:vAlign w:val="bottom"/>
          </w:tcPr>
          <w:p w14:paraId="5F2CEDCD" w14:textId="77777777" w:rsidR="00E836FB" w:rsidRDefault="00994958">
            <w:pPr>
              <w:textAlignment w:val="bottom"/>
            </w:pPr>
            <w:r>
              <w:rPr>
                <w:rFonts w:ascii="Arial" w:eastAsia="宋体" w:hAnsi="Arial" w:cs="Arial"/>
                <w:color w:val="000000"/>
                <w:sz w:val="18"/>
                <w:szCs w:val="18"/>
              </w:rPr>
              <w:t>Acquisition and restructuring costs</w:t>
            </w:r>
          </w:p>
        </w:tc>
        <w:tc>
          <w:tcPr>
            <w:tcW w:w="0" w:type="auto"/>
            <w:shd w:val="clear" w:color="auto" w:fill="auto"/>
            <w:vAlign w:val="bottom"/>
          </w:tcPr>
          <w:p w14:paraId="5F2CEDCE" w14:textId="77777777" w:rsidR="00E836FB" w:rsidRDefault="00E836FB">
            <w:pPr>
              <w:rPr>
                <w:rFonts w:ascii="宋体"/>
                <w:vanish/>
              </w:rPr>
            </w:pPr>
          </w:p>
        </w:tc>
        <w:tc>
          <w:tcPr>
            <w:tcW w:w="0" w:type="auto"/>
            <w:shd w:val="clear" w:color="auto" w:fill="auto"/>
            <w:vAlign w:val="bottom"/>
          </w:tcPr>
          <w:p w14:paraId="5F2CEDCF" w14:textId="77777777" w:rsidR="00E836FB" w:rsidRDefault="00E836FB">
            <w:pPr>
              <w:rPr>
                <w:rFonts w:ascii="宋体"/>
                <w:vanish/>
              </w:rPr>
            </w:pPr>
          </w:p>
        </w:tc>
        <w:tc>
          <w:tcPr>
            <w:tcW w:w="0" w:type="auto"/>
            <w:shd w:val="clear" w:color="auto" w:fill="auto"/>
            <w:vAlign w:val="bottom"/>
          </w:tcPr>
          <w:p w14:paraId="5F2CEDD0" w14:textId="77777777" w:rsidR="00E836FB" w:rsidRDefault="00E836FB">
            <w:pPr>
              <w:rPr>
                <w:rFonts w:ascii="宋体"/>
                <w:vanish/>
              </w:rPr>
            </w:pPr>
          </w:p>
        </w:tc>
        <w:tc>
          <w:tcPr>
            <w:tcW w:w="0" w:type="auto"/>
            <w:shd w:val="clear" w:color="auto" w:fill="auto"/>
            <w:vAlign w:val="bottom"/>
          </w:tcPr>
          <w:p w14:paraId="5F2CEDD1"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DD2" w14:textId="77777777" w:rsidR="00E836FB" w:rsidRDefault="00994958">
            <w:pPr>
              <w:jc w:val="right"/>
              <w:textAlignment w:val="bottom"/>
            </w:pPr>
            <w:r>
              <w:rPr>
                <w:rFonts w:ascii="Arial" w:eastAsia="宋体" w:hAnsi="Arial" w:cs="Arial"/>
                <w:b/>
                <w:bCs/>
                <w:color w:val="000000"/>
                <w:sz w:val="18"/>
                <w:szCs w:val="18"/>
              </w:rPr>
              <w:t>65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D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D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D5" w14:textId="77777777" w:rsidR="00E836FB" w:rsidRDefault="00994958">
            <w:pPr>
              <w:jc w:val="right"/>
              <w:textAlignment w:val="bottom"/>
            </w:pPr>
            <w:r>
              <w:rPr>
                <w:rFonts w:ascii="Arial" w:eastAsia="宋体" w:hAnsi="Arial" w:cs="Arial"/>
                <w:color w:val="000000"/>
                <w:sz w:val="18"/>
                <w:szCs w:val="18"/>
              </w:rPr>
              <w:t>50 </w:t>
            </w:r>
          </w:p>
        </w:tc>
        <w:tc>
          <w:tcPr>
            <w:tcW w:w="0" w:type="auto"/>
            <w:shd w:val="clear" w:color="auto" w:fill="FFFFFF"/>
            <w:tcMar>
              <w:top w:w="40" w:type="dxa"/>
              <w:left w:w="0" w:type="dxa"/>
              <w:bottom w:w="40" w:type="dxa"/>
              <w:right w:w="20" w:type="dxa"/>
            </w:tcMar>
            <w:vAlign w:val="bottom"/>
          </w:tcPr>
          <w:p w14:paraId="5F2CED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D8" w14:textId="77777777" w:rsidR="00E836FB" w:rsidRDefault="00994958">
            <w:pPr>
              <w:jc w:val="right"/>
              <w:textAlignment w:val="bottom"/>
            </w:pPr>
            <w:r>
              <w:rPr>
                <w:rFonts w:ascii="Arial" w:eastAsia="宋体" w:hAnsi="Arial" w:cs="Arial"/>
                <w:color w:val="000000"/>
                <w:sz w:val="18"/>
                <w:szCs w:val="18"/>
              </w:rPr>
              <w:t>77 </w:t>
            </w:r>
          </w:p>
        </w:tc>
        <w:tc>
          <w:tcPr>
            <w:tcW w:w="0" w:type="auto"/>
            <w:shd w:val="clear" w:color="auto" w:fill="FFFFFF"/>
            <w:tcMar>
              <w:top w:w="40" w:type="dxa"/>
              <w:left w:w="0" w:type="dxa"/>
              <w:bottom w:w="40" w:type="dxa"/>
              <w:right w:w="20" w:type="dxa"/>
            </w:tcMar>
            <w:vAlign w:val="bottom"/>
          </w:tcPr>
          <w:p w14:paraId="5F2CEDD9" w14:textId="77777777" w:rsidR="00E836FB" w:rsidRDefault="00E836FB">
            <w:pPr>
              <w:jc w:val="right"/>
              <w:rPr>
                <w:rFonts w:ascii="宋体"/>
              </w:rPr>
            </w:pPr>
          </w:p>
        </w:tc>
      </w:tr>
      <w:tr w:rsidR="00E836FB" w14:paraId="5F2CEDE8" w14:textId="77777777">
        <w:tc>
          <w:tcPr>
            <w:tcW w:w="0" w:type="auto"/>
            <w:gridSpan w:val="3"/>
            <w:shd w:val="clear" w:color="auto" w:fill="CCEEFF"/>
            <w:tcMar>
              <w:top w:w="40" w:type="dxa"/>
              <w:left w:w="20" w:type="dxa"/>
              <w:bottom w:w="40" w:type="dxa"/>
              <w:right w:w="20" w:type="dxa"/>
            </w:tcMar>
            <w:vAlign w:val="bottom"/>
          </w:tcPr>
          <w:p w14:paraId="5F2CEDDB" w14:textId="77777777" w:rsidR="00E836FB" w:rsidRDefault="00994958">
            <w:pPr>
              <w:textAlignment w:val="bottom"/>
            </w:pPr>
            <w:r>
              <w:rPr>
                <w:rFonts w:ascii="Arial" w:eastAsia="宋体" w:hAnsi="Arial" w:cs="Arial"/>
                <w:color w:val="000000"/>
                <w:sz w:val="18"/>
                <w:szCs w:val="18"/>
              </w:rPr>
              <w:t>Amortization of other intangible assets</w:t>
            </w:r>
          </w:p>
        </w:tc>
        <w:tc>
          <w:tcPr>
            <w:tcW w:w="0" w:type="auto"/>
            <w:shd w:val="clear" w:color="auto" w:fill="auto"/>
            <w:vAlign w:val="bottom"/>
          </w:tcPr>
          <w:p w14:paraId="5F2CEDDC" w14:textId="77777777" w:rsidR="00E836FB" w:rsidRDefault="00E836FB">
            <w:pPr>
              <w:rPr>
                <w:rFonts w:ascii="宋体"/>
                <w:vanish/>
              </w:rPr>
            </w:pPr>
          </w:p>
        </w:tc>
        <w:tc>
          <w:tcPr>
            <w:tcW w:w="0" w:type="auto"/>
            <w:shd w:val="clear" w:color="auto" w:fill="auto"/>
            <w:vAlign w:val="bottom"/>
          </w:tcPr>
          <w:p w14:paraId="5F2CEDDD" w14:textId="77777777" w:rsidR="00E836FB" w:rsidRDefault="00E836FB">
            <w:pPr>
              <w:rPr>
                <w:rFonts w:ascii="宋体"/>
                <w:vanish/>
              </w:rPr>
            </w:pPr>
          </w:p>
        </w:tc>
        <w:tc>
          <w:tcPr>
            <w:tcW w:w="0" w:type="auto"/>
            <w:shd w:val="clear" w:color="auto" w:fill="auto"/>
            <w:vAlign w:val="bottom"/>
          </w:tcPr>
          <w:p w14:paraId="5F2CEDDE" w14:textId="77777777" w:rsidR="00E836FB" w:rsidRDefault="00E836FB">
            <w:pPr>
              <w:rPr>
                <w:rFonts w:ascii="宋体"/>
                <w:vanish/>
              </w:rPr>
            </w:pPr>
          </w:p>
        </w:tc>
        <w:tc>
          <w:tcPr>
            <w:tcW w:w="0" w:type="auto"/>
            <w:shd w:val="clear" w:color="auto" w:fill="auto"/>
            <w:vAlign w:val="bottom"/>
          </w:tcPr>
          <w:p w14:paraId="5F2CEDDF"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DE0" w14:textId="77777777" w:rsidR="00E836FB" w:rsidRDefault="00994958">
            <w:pPr>
              <w:jc w:val="right"/>
              <w:textAlignment w:val="bottom"/>
            </w:pPr>
            <w:r>
              <w:rPr>
                <w:rFonts w:ascii="Arial" w:eastAsia="宋体" w:hAnsi="Arial" w:cs="Arial"/>
                <w:b/>
                <w:bCs/>
                <w:color w:val="000000"/>
                <w:sz w:val="18"/>
                <w:szCs w:val="18"/>
              </w:rPr>
              <w:t>245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D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E3" w14:textId="77777777" w:rsidR="00E836FB" w:rsidRDefault="00994958">
            <w:pPr>
              <w:jc w:val="right"/>
              <w:textAlignment w:val="bottom"/>
            </w:pPr>
            <w:r>
              <w:rPr>
                <w:rFonts w:ascii="Arial" w:eastAsia="宋体" w:hAnsi="Arial" w:cs="Arial"/>
                <w:color w:val="000000"/>
                <w:sz w:val="18"/>
                <w:szCs w:val="18"/>
              </w:rPr>
              <w:t>234 </w:t>
            </w:r>
          </w:p>
        </w:tc>
        <w:tc>
          <w:tcPr>
            <w:tcW w:w="0" w:type="auto"/>
            <w:shd w:val="clear" w:color="auto" w:fill="CCEEFF"/>
            <w:tcMar>
              <w:top w:w="40" w:type="dxa"/>
              <w:left w:w="0" w:type="dxa"/>
              <w:bottom w:w="40" w:type="dxa"/>
              <w:right w:w="20" w:type="dxa"/>
            </w:tcMar>
            <w:vAlign w:val="bottom"/>
          </w:tcPr>
          <w:p w14:paraId="5F2CED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DE6" w14:textId="77777777" w:rsidR="00E836FB" w:rsidRDefault="00994958">
            <w:pPr>
              <w:jc w:val="right"/>
              <w:textAlignment w:val="bottom"/>
            </w:pPr>
            <w:r>
              <w:rPr>
                <w:rFonts w:ascii="Arial" w:eastAsia="宋体" w:hAnsi="Arial" w:cs="Arial"/>
                <w:color w:val="000000"/>
                <w:sz w:val="18"/>
                <w:szCs w:val="18"/>
              </w:rPr>
              <w:t>236 </w:t>
            </w:r>
          </w:p>
        </w:tc>
        <w:tc>
          <w:tcPr>
            <w:tcW w:w="0" w:type="auto"/>
            <w:shd w:val="clear" w:color="auto" w:fill="CCEEFF"/>
            <w:tcMar>
              <w:top w:w="40" w:type="dxa"/>
              <w:left w:w="0" w:type="dxa"/>
              <w:bottom w:w="40" w:type="dxa"/>
              <w:right w:w="20" w:type="dxa"/>
            </w:tcMar>
            <w:vAlign w:val="bottom"/>
          </w:tcPr>
          <w:p w14:paraId="5F2CEDE7" w14:textId="77777777" w:rsidR="00E836FB" w:rsidRDefault="00E836FB">
            <w:pPr>
              <w:jc w:val="right"/>
              <w:rPr>
                <w:rFonts w:ascii="宋体"/>
              </w:rPr>
            </w:pPr>
          </w:p>
        </w:tc>
      </w:tr>
      <w:tr w:rsidR="00E836FB" w14:paraId="5F2CEDF6" w14:textId="77777777">
        <w:tc>
          <w:tcPr>
            <w:tcW w:w="0" w:type="auto"/>
            <w:gridSpan w:val="3"/>
            <w:shd w:val="clear" w:color="auto" w:fill="FFFFFF"/>
            <w:tcMar>
              <w:top w:w="40" w:type="dxa"/>
              <w:left w:w="20" w:type="dxa"/>
              <w:bottom w:w="40" w:type="dxa"/>
              <w:right w:w="20" w:type="dxa"/>
            </w:tcMar>
            <w:vAlign w:val="bottom"/>
          </w:tcPr>
          <w:p w14:paraId="5F2CEDE9" w14:textId="77777777" w:rsidR="00E836FB" w:rsidRDefault="00994958">
            <w:pPr>
              <w:textAlignment w:val="bottom"/>
            </w:pPr>
            <w:r>
              <w:rPr>
                <w:rFonts w:ascii="Arial" w:eastAsia="宋体" w:hAnsi="Arial" w:cs="Arial"/>
                <w:color w:val="000000"/>
                <w:sz w:val="18"/>
                <w:szCs w:val="18"/>
              </w:rPr>
              <w:t>Other</w:t>
            </w:r>
          </w:p>
        </w:tc>
        <w:tc>
          <w:tcPr>
            <w:tcW w:w="0" w:type="auto"/>
            <w:shd w:val="clear" w:color="auto" w:fill="auto"/>
            <w:vAlign w:val="bottom"/>
          </w:tcPr>
          <w:p w14:paraId="5F2CEDEA" w14:textId="77777777" w:rsidR="00E836FB" w:rsidRDefault="00E836FB">
            <w:pPr>
              <w:rPr>
                <w:rFonts w:ascii="宋体"/>
                <w:vanish/>
              </w:rPr>
            </w:pPr>
          </w:p>
        </w:tc>
        <w:tc>
          <w:tcPr>
            <w:tcW w:w="0" w:type="auto"/>
            <w:shd w:val="clear" w:color="auto" w:fill="auto"/>
            <w:vAlign w:val="bottom"/>
          </w:tcPr>
          <w:p w14:paraId="5F2CEDEB" w14:textId="77777777" w:rsidR="00E836FB" w:rsidRDefault="00E836FB">
            <w:pPr>
              <w:rPr>
                <w:rFonts w:ascii="宋体"/>
                <w:vanish/>
              </w:rPr>
            </w:pPr>
          </w:p>
        </w:tc>
        <w:tc>
          <w:tcPr>
            <w:tcW w:w="0" w:type="auto"/>
            <w:shd w:val="clear" w:color="auto" w:fill="auto"/>
            <w:vAlign w:val="bottom"/>
          </w:tcPr>
          <w:p w14:paraId="5F2CEDEC" w14:textId="77777777" w:rsidR="00E836FB" w:rsidRDefault="00E836FB">
            <w:pPr>
              <w:rPr>
                <w:rFonts w:ascii="宋体"/>
                <w:vanish/>
              </w:rPr>
            </w:pPr>
          </w:p>
        </w:tc>
        <w:tc>
          <w:tcPr>
            <w:tcW w:w="0" w:type="auto"/>
            <w:shd w:val="clear" w:color="auto" w:fill="auto"/>
            <w:vAlign w:val="bottom"/>
          </w:tcPr>
          <w:p w14:paraId="5F2CEDED"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DEE" w14:textId="77777777" w:rsidR="00E836FB" w:rsidRDefault="00994958">
            <w:pPr>
              <w:jc w:val="right"/>
              <w:textAlignment w:val="bottom"/>
            </w:pPr>
            <w:r>
              <w:rPr>
                <w:rFonts w:ascii="Arial" w:eastAsia="宋体" w:hAnsi="Arial" w:cs="Arial"/>
                <w:b/>
                <w:bCs/>
                <w:color w:val="000000"/>
                <w:sz w:val="18"/>
                <w:szCs w:val="18"/>
              </w:rPr>
              <w:t>896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DE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F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F1" w14:textId="77777777" w:rsidR="00E836FB" w:rsidRDefault="00994958">
            <w:pPr>
              <w:jc w:val="right"/>
              <w:textAlignment w:val="bottom"/>
            </w:pPr>
            <w:r>
              <w:rPr>
                <w:rFonts w:ascii="Arial" w:eastAsia="宋体" w:hAnsi="Arial" w:cs="Arial"/>
                <w:color w:val="000000"/>
                <w:sz w:val="18"/>
                <w:szCs w:val="18"/>
              </w:rPr>
              <w:t>965 </w:t>
            </w:r>
          </w:p>
        </w:tc>
        <w:tc>
          <w:tcPr>
            <w:tcW w:w="0" w:type="auto"/>
            <w:shd w:val="clear" w:color="auto" w:fill="FFFFFF"/>
            <w:tcMar>
              <w:top w:w="40" w:type="dxa"/>
              <w:left w:w="0" w:type="dxa"/>
              <w:bottom w:w="40" w:type="dxa"/>
              <w:right w:w="20" w:type="dxa"/>
            </w:tcMar>
            <w:vAlign w:val="bottom"/>
          </w:tcPr>
          <w:p w14:paraId="5F2CED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D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DF4" w14:textId="77777777" w:rsidR="00E836FB" w:rsidRDefault="00994958">
            <w:pPr>
              <w:jc w:val="right"/>
              <w:textAlignment w:val="bottom"/>
            </w:pPr>
            <w:r>
              <w:rPr>
                <w:rFonts w:ascii="Arial" w:eastAsia="宋体" w:hAnsi="Arial" w:cs="Arial"/>
                <w:color w:val="000000"/>
                <w:sz w:val="18"/>
                <w:szCs w:val="18"/>
              </w:rPr>
              <w:t>1,262 </w:t>
            </w:r>
          </w:p>
        </w:tc>
        <w:tc>
          <w:tcPr>
            <w:tcW w:w="0" w:type="auto"/>
            <w:shd w:val="clear" w:color="auto" w:fill="FFFFFF"/>
            <w:tcMar>
              <w:top w:w="40" w:type="dxa"/>
              <w:left w:w="0" w:type="dxa"/>
              <w:bottom w:w="40" w:type="dxa"/>
              <w:right w:w="20" w:type="dxa"/>
            </w:tcMar>
            <w:vAlign w:val="bottom"/>
          </w:tcPr>
          <w:p w14:paraId="5F2CEDF5" w14:textId="77777777" w:rsidR="00E836FB" w:rsidRDefault="00E836FB">
            <w:pPr>
              <w:jc w:val="right"/>
              <w:rPr>
                <w:rFonts w:ascii="宋体"/>
              </w:rPr>
            </w:pPr>
          </w:p>
        </w:tc>
      </w:tr>
      <w:tr w:rsidR="00E836FB" w14:paraId="5F2CEE04" w14:textId="77777777">
        <w:tc>
          <w:tcPr>
            <w:tcW w:w="0" w:type="auto"/>
            <w:gridSpan w:val="3"/>
            <w:shd w:val="clear" w:color="auto" w:fill="CCEEFF"/>
            <w:tcMar>
              <w:top w:w="40" w:type="dxa"/>
              <w:left w:w="20" w:type="dxa"/>
              <w:bottom w:w="40" w:type="dxa"/>
              <w:right w:w="20" w:type="dxa"/>
            </w:tcMar>
            <w:vAlign w:val="bottom"/>
          </w:tcPr>
          <w:p w14:paraId="5F2CEDF7" w14:textId="77777777" w:rsidR="00E836FB" w:rsidRDefault="00994958">
            <w:pPr>
              <w:textAlignment w:val="bottom"/>
            </w:pPr>
            <w:r>
              <w:rPr>
                <w:rFonts w:ascii="Arial" w:eastAsia="宋体" w:hAnsi="Arial" w:cs="Arial"/>
                <w:b/>
                <w:bCs/>
                <w:color w:val="000000"/>
                <w:sz w:val="18"/>
                <w:szCs w:val="18"/>
              </w:rPr>
              <w:t>Total expenses</w:t>
            </w:r>
          </w:p>
        </w:tc>
        <w:tc>
          <w:tcPr>
            <w:tcW w:w="0" w:type="auto"/>
            <w:shd w:val="clear" w:color="auto" w:fill="auto"/>
            <w:vAlign w:val="bottom"/>
          </w:tcPr>
          <w:p w14:paraId="5F2CEDF8" w14:textId="77777777" w:rsidR="00E836FB" w:rsidRDefault="00E836FB">
            <w:pPr>
              <w:rPr>
                <w:rFonts w:ascii="宋体"/>
                <w:vanish/>
              </w:rPr>
            </w:pPr>
          </w:p>
        </w:tc>
        <w:tc>
          <w:tcPr>
            <w:tcW w:w="0" w:type="auto"/>
            <w:shd w:val="clear" w:color="auto" w:fill="auto"/>
            <w:vAlign w:val="bottom"/>
          </w:tcPr>
          <w:p w14:paraId="5F2CEDF9" w14:textId="77777777" w:rsidR="00E836FB" w:rsidRDefault="00E836FB">
            <w:pPr>
              <w:rPr>
                <w:rFonts w:ascii="宋体"/>
                <w:vanish/>
              </w:rPr>
            </w:pPr>
          </w:p>
        </w:tc>
        <w:tc>
          <w:tcPr>
            <w:tcW w:w="0" w:type="auto"/>
            <w:shd w:val="clear" w:color="auto" w:fill="auto"/>
            <w:vAlign w:val="bottom"/>
          </w:tcPr>
          <w:p w14:paraId="5F2CEDFA" w14:textId="77777777" w:rsidR="00E836FB" w:rsidRDefault="00E836FB">
            <w:pPr>
              <w:rPr>
                <w:rFonts w:ascii="宋体"/>
                <w:vanish/>
              </w:rPr>
            </w:pPr>
          </w:p>
        </w:tc>
        <w:tc>
          <w:tcPr>
            <w:tcW w:w="0" w:type="auto"/>
            <w:shd w:val="clear" w:color="auto" w:fill="auto"/>
            <w:vAlign w:val="bottom"/>
          </w:tcPr>
          <w:p w14:paraId="5F2CEDFB"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DFC" w14:textId="77777777" w:rsidR="00E836FB" w:rsidRDefault="00994958">
            <w:pPr>
              <w:jc w:val="right"/>
              <w:textAlignment w:val="bottom"/>
            </w:pPr>
            <w:r>
              <w:rPr>
                <w:rFonts w:ascii="Arial" w:eastAsia="宋体" w:hAnsi="Arial" w:cs="Arial"/>
                <w:b/>
                <w:bCs/>
                <w:color w:val="000000"/>
                <w:sz w:val="18"/>
                <w:szCs w:val="18"/>
              </w:rPr>
              <w:t>8,889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D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DF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DFF" w14:textId="77777777" w:rsidR="00E836FB" w:rsidRDefault="00994958">
            <w:pPr>
              <w:jc w:val="right"/>
              <w:textAlignment w:val="bottom"/>
            </w:pPr>
            <w:r>
              <w:rPr>
                <w:rFonts w:ascii="Arial" w:eastAsia="宋体" w:hAnsi="Arial" w:cs="Arial"/>
                <w:color w:val="000000"/>
                <w:sz w:val="18"/>
                <w:szCs w:val="18"/>
              </w:rPr>
              <w:t>8,716 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E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0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E02" w14:textId="77777777" w:rsidR="00E836FB" w:rsidRDefault="00994958">
            <w:pPr>
              <w:jc w:val="right"/>
              <w:textAlignment w:val="bottom"/>
            </w:pPr>
            <w:r>
              <w:rPr>
                <w:rFonts w:ascii="Arial" w:eastAsia="宋体" w:hAnsi="Arial" w:cs="Arial"/>
                <w:color w:val="000000"/>
                <w:sz w:val="18"/>
                <w:szCs w:val="18"/>
              </w:rPr>
              <w:t>9,034 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E03" w14:textId="77777777" w:rsidR="00E836FB" w:rsidRDefault="00E836FB">
            <w:pPr>
              <w:jc w:val="right"/>
              <w:rPr>
                <w:rFonts w:ascii="宋体"/>
              </w:rPr>
            </w:pPr>
          </w:p>
        </w:tc>
      </w:tr>
      <w:tr w:rsidR="00E836FB" w14:paraId="5F2CEE12" w14:textId="77777777">
        <w:tc>
          <w:tcPr>
            <w:tcW w:w="0" w:type="auto"/>
            <w:gridSpan w:val="3"/>
            <w:shd w:val="clear" w:color="auto" w:fill="FFFFFF"/>
            <w:tcMar>
              <w:top w:w="40" w:type="dxa"/>
              <w:left w:w="20" w:type="dxa"/>
              <w:bottom w:w="40" w:type="dxa"/>
              <w:right w:w="20" w:type="dxa"/>
            </w:tcMar>
            <w:vAlign w:val="bottom"/>
          </w:tcPr>
          <w:p w14:paraId="5F2CEE05" w14:textId="77777777" w:rsidR="00E836FB" w:rsidRDefault="00994958">
            <w:pPr>
              <w:textAlignment w:val="bottom"/>
            </w:pPr>
            <w:r>
              <w:rPr>
                <w:rFonts w:ascii="Arial" w:eastAsia="宋体" w:hAnsi="Arial" w:cs="Arial"/>
                <w:color w:val="000000"/>
                <w:sz w:val="18"/>
                <w:szCs w:val="18"/>
              </w:rPr>
              <w:t xml:space="preserve">Income before income tax expense </w:t>
            </w:r>
          </w:p>
        </w:tc>
        <w:tc>
          <w:tcPr>
            <w:tcW w:w="0" w:type="auto"/>
            <w:shd w:val="clear" w:color="auto" w:fill="auto"/>
            <w:vAlign w:val="bottom"/>
          </w:tcPr>
          <w:p w14:paraId="5F2CEE06" w14:textId="77777777" w:rsidR="00E836FB" w:rsidRDefault="00E836FB">
            <w:pPr>
              <w:rPr>
                <w:rFonts w:ascii="宋体"/>
                <w:vanish/>
              </w:rPr>
            </w:pPr>
          </w:p>
        </w:tc>
        <w:tc>
          <w:tcPr>
            <w:tcW w:w="0" w:type="auto"/>
            <w:shd w:val="clear" w:color="auto" w:fill="auto"/>
            <w:vAlign w:val="bottom"/>
          </w:tcPr>
          <w:p w14:paraId="5F2CEE07" w14:textId="77777777" w:rsidR="00E836FB" w:rsidRDefault="00E836FB">
            <w:pPr>
              <w:rPr>
                <w:rFonts w:ascii="宋体"/>
                <w:vanish/>
              </w:rPr>
            </w:pPr>
          </w:p>
        </w:tc>
        <w:tc>
          <w:tcPr>
            <w:tcW w:w="0" w:type="auto"/>
            <w:shd w:val="clear" w:color="auto" w:fill="auto"/>
            <w:vAlign w:val="bottom"/>
          </w:tcPr>
          <w:p w14:paraId="5F2CEE08" w14:textId="77777777" w:rsidR="00E836FB" w:rsidRDefault="00E836FB">
            <w:pPr>
              <w:rPr>
                <w:rFonts w:ascii="宋体"/>
                <w:vanish/>
              </w:rPr>
            </w:pPr>
          </w:p>
        </w:tc>
        <w:tc>
          <w:tcPr>
            <w:tcW w:w="0" w:type="auto"/>
            <w:shd w:val="clear" w:color="auto" w:fill="auto"/>
            <w:vAlign w:val="bottom"/>
          </w:tcPr>
          <w:p w14:paraId="5F2CEE09"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E0A" w14:textId="77777777" w:rsidR="00E836FB" w:rsidRDefault="00994958">
            <w:pPr>
              <w:jc w:val="right"/>
              <w:textAlignment w:val="bottom"/>
            </w:pPr>
            <w:r>
              <w:rPr>
                <w:rFonts w:ascii="Arial" w:eastAsia="宋体" w:hAnsi="Arial" w:cs="Arial"/>
                <w:b/>
                <w:bCs/>
                <w:color w:val="000000"/>
                <w:sz w:val="18"/>
                <w:szCs w:val="18"/>
              </w:rPr>
              <w:t>3,171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E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0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E0D" w14:textId="77777777" w:rsidR="00E836FB" w:rsidRDefault="00994958">
            <w:pPr>
              <w:jc w:val="right"/>
              <w:textAlignment w:val="bottom"/>
            </w:pPr>
            <w:r>
              <w:rPr>
                <w:rFonts w:ascii="Arial" w:eastAsia="宋体" w:hAnsi="Arial" w:cs="Arial"/>
                <w:color w:val="000000"/>
                <w:sz w:val="18"/>
                <w:szCs w:val="18"/>
              </w:rPr>
              <w:t>2,899 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E0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0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EE10" w14:textId="77777777" w:rsidR="00E836FB" w:rsidRDefault="00994958">
            <w:pPr>
              <w:jc w:val="right"/>
              <w:textAlignment w:val="bottom"/>
            </w:pPr>
            <w:r>
              <w:rPr>
                <w:rFonts w:ascii="Arial" w:eastAsia="宋体" w:hAnsi="Arial" w:cs="Arial"/>
                <w:color w:val="000000"/>
                <w:sz w:val="18"/>
                <w:szCs w:val="18"/>
              </w:rPr>
              <w:t>2,712 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E11" w14:textId="77777777" w:rsidR="00E836FB" w:rsidRDefault="00E836FB">
            <w:pPr>
              <w:jc w:val="right"/>
              <w:rPr>
                <w:rFonts w:ascii="宋体"/>
              </w:rPr>
            </w:pPr>
          </w:p>
        </w:tc>
      </w:tr>
      <w:tr w:rsidR="00E836FB" w14:paraId="5F2CEE20" w14:textId="77777777">
        <w:tc>
          <w:tcPr>
            <w:tcW w:w="0" w:type="auto"/>
            <w:gridSpan w:val="3"/>
            <w:shd w:val="clear" w:color="auto" w:fill="CCEEFF"/>
            <w:tcMar>
              <w:top w:w="40" w:type="dxa"/>
              <w:left w:w="20" w:type="dxa"/>
              <w:bottom w:w="40" w:type="dxa"/>
              <w:right w:w="20" w:type="dxa"/>
            </w:tcMar>
            <w:vAlign w:val="bottom"/>
          </w:tcPr>
          <w:p w14:paraId="5F2CEE13" w14:textId="77777777" w:rsidR="00E836FB" w:rsidRDefault="00994958">
            <w:pPr>
              <w:textAlignment w:val="bottom"/>
            </w:pPr>
            <w:r>
              <w:rPr>
                <w:rFonts w:ascii="Arial" w:eastAsia="宋体" w:hAnsi="Arial" w:cs="Arial"/>
                <w:color w:val="000000"/>
                <w:sz w:val="18"/>
                <w:szCs w:val="18"/>
              </w:rPr>
              <w:t xml:space="preserve">Income tax expense </w:t>
            </w:r>
          </w:p>
        </w:tc>
        <w:tc>
          <w:tcPr>
            <w:tcW w:w="0" w:type="auto"/>
            <w:shd w:val="clear" w:color="auto" w:fill="auto"/>
            <w:vAlign w:val="bottom"/>
          </w:tcPr>
          <w:p w14:paraId="5F2CEE14" w14:textId="77777777" w:rsidR="00E836FB" w:rsidRDefault="00E836FB">
            <w:pPr>
              <w:rPr>
                <w:rFonts w:ascii="宋体"/>
                <w:vanish/>
              </w:rPr>
            </w:pPr>
          </w:p>
        </w:tc>
        <w:tc>
          <w:tcPr>
            <w:tcW w:w="0" w:type="auto"/>
            <w:shd w:val="clear" w:color="auto" w:fill="auto"/>
            <w:vAlign w:val="bottom"/>
          </w:tcPr>
          <w:p w14:paraId="5F2CEE15" w14:textId="77777777" w:rsidR="00E836FB" w:rsidRDefault="00E836FB">
            <w:pPr>
              <w:rPr>
                <w:rFonts w:ascii="宋体"/>
                <w:vanish/>
              </w:rPr>
            </w:pPr>
          </w:p>
        </w:tc>
        <w:tc>
          <w:tcPr>
            <w:tcW w:w="0" w:type="auto"/>
            <w:shd w:val="clear" w:color="auto" w:fill="auto"/>
            <w:vAlign w:val="bottom"/>
          </w:tcPr>
          <w:p w14:paraId="5F2CEE16" w14:textId="77777777" w:rsidR="00E836FB" w:rsidRDefault="00E836FB">
            <w:pPr>
              <w:rPr>
                <w:rFonts w:ascii="宋体"/>
                <w:vanish/>
              </w:rPr>
            </w:pPr>
          </w:p>
        </w:tc>
        <w:tc>
          <w:tcPr>
            <w:tcW w:w="0" w:type="auto"/>
            <w:shd w:val="clear" w:color="auto" w:fill="auto"/>
            <w:vAlign w:val="bottom"/>
          </w:tcPr>
          <w:p w14:paraId="5F2CEE17"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E18" w14:textId="77777777" w:rsidR="00E836FB" w:rsidRDefault="00994958">
            <w:pPr>
              <w:jc w:val="right"/>
              <w:textAlignment w:val="bottom"/>
            </w:pPr>
            <w:r>
              <w:rPr>
                <w:rFonts w:ascii="Arial" w:eastAsia="宋体" w:hAnsi="Arial" w:cs="Arial"/>
                <w:b/>
                <w:bCs/>
                <w:color w:val="000000"/>
                <w:sz w:val="18"/>
                <w:szCs w:val="18"/>
              </w:rPr>
              <w:t>478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E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1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E1B" w14:textId="77777777" w:rsidR="00E836FB" w:rsidRDefault="00994958">
            <w:pPr>
              <w:jc w:val="right"/>
              <w:textAlignment w:val="bottom"/>
            </w:pPr>
            <w:r>
              <w:rPr>
                <w:rFonts w:ascii="Arial" w:eastAsia="宋体" w:hAnsi="Arial" w:cs="Arial"/>
                <w:color w:val="000000"/>
                <w:sz w:val="18"/>
                <w:szCs w:val="18"/>
              </w:rPr>
              <w:t>479 </w:t>
            </w:r>
          </w:p>
        </w:tc>
        <w:tc>
          <w:tcPr>
            <w:tcW w:w="0" w:type="auto"/>
            <w:shd w:val="clear" w:color="auto" w:fill="CCEEFF"/>
            <w:tcMar>
              <w:top w:w="40" w:type="dxa"/>
              <w:left w:w="0" w:type="dxa"/>
              <w:bottom w:w="40" w:type="dxa"/>
              <w:right w:w="20" w:type="dxa"/>
            </w:tcMar>
            <w:vAlign w:val="bottom"/>
          </w:tcPr>
          <w:p w14:paraId="5F2CEE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1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E1E" w14:textId="77777777" w:rsidR="00E836FB" w:rsidRDefault="00994958">
            <w:pPr>
              <w:jc w:val="right"/>
              <w:textAlignment w:val="bottom"/>
            </w:pPr>
            <w:r>
              <w:rPr>
                <w:rFonts w:ascii="Arial" w:eastAsia="宋体" w:hAnsi="Arial" w:cs="Arial"/>
                <w:color w:val="000000"/>
                <w:sz w:val="18"/>
                <w:szCs w:val="18"/>
              </w:rPr>
              <w:t>470 </w:t>
            </w:r>
          </w:p>
        </w:tc>
        <w:tc>
          <w:tcPr>
            <w:tcW w:w="0" w:type="auto"/>
            <w:shd w:val="clear" w:color="auto" w:fill="CCEEFF"/>
            <w:tcMar>
              <w:top w:w="40" w:type="dxa"/>
              <w:left w:w="0" w:type="dxa"/>
              <w:bottom w:w="40" w:type="dxa"/>
              <w:right w:w="20" w:type="dxa"/>
            </w:tcMar>
            <w:vAlign w:val="bottom"/>
          </w:tcPr>
          <w:p w14:paraId="5F2CEE1F" w14:textId="77777777" w:rsidR="00E836FB" w:rsidRDefault="00E836FB">
            <w:pPr>
              <w:jc w:val="right"/>
              <w:rPr>
                <w:rFonts w:ascii="宋体"/>
              </w:rPr>
            </w:pPr>
          </w:p>
        </w:tc>
      </w:tr>
      <w:tr w:rsidR="00E836FB" w14:paraId="5F2CEE2B" w14:textId="77777777">
        <w:trPr>
          <w:hidden/>
        </w:trPr>
        <w:tc>
          <w:tcPr>
            <w:tcW w:w="0" w:type="auto"/>
            <w:gridSpan w:val="3"/>
            <w:shd w:val="clear" w:color="auto" w:fill="auto"/>
            <w:vAlign w:val="bottom"/>
          </w:tcPr>
          <w:p w14:paraId="5F2CEE21" w14:textId="77777777" w:rsidR="00E836FB" w:rsidRDefault="00E836FB">
            <w:pPr>
              <w:rPr>
                <w:rFonts w:ascii="宋体"/>
                <w:vanish/>
              </w:rPr>
            </w:pPr>
          </w:p>
        </w:tc>
        <w:tc>
          <w:tcPr>
            <w:tcW w:w="0" w:type="auto"/>
            <w:shd w:val="clear" w:color="auto" w:fill="auto"/>
            <w:vAlign w:val="bottom"/>
          </w:tcPr>
          <w:p w14:paraId="5F2CEE22" w14:textId="77777777" w:rsidR="00E836FB" w:rsidRDefault="00E836FB">
            <w:pPr>
              <w:rPr>
                <w:rFonts w:ascii="宋体"/>
                <w:vanish/>
              </w:rPr>
            </w:pPr>
          </w:p>
        </w:tc>
        <w:tc>
          <w:tcPr>
            <w:tcW w:w="0" w:type="auto"/>
            <w:shd w:val="clear" w:color="auto" w:fill="auto"/>
            <w:vAlign w:val="bottom"/>
          </w:tcPr>
          <w:p w14:paraId="5F2CEE23" w14:textId="77777777" w:rsidR="00E836FB" w:rsidRDefault="00E836FB">
            <w:pPr>
              <w:rPr>
                <w:rFonts w:ascii="宋体"/>
                <w:vanish/>
              </w:rPr>
            </w:pPr>
          </w:p>
        </w:tc>
        <w:tc>
          <w:tcPr>
            <w:tcW w:w="0" w:type="auto"/>
            <w:shd w:val="clear" w:color="auto" w:fill="auto"/>
            <w:vAlign w:val="bottom"/>
          </w:tcPr>
          <w:p w14:paraId="5F2CEE24" w14:textId="77777777" w:rsidR="00E836FB" w:rsidRDefault="00E836FB">
            <w:pPr>
              <w:rPr>
                <w:rFonts w:ascii="宋体"/>
                <w:vanish/>
              </w:rPr>
            </w:pPr>
          </w:p>
        </w:tc>
        <w:tc>
          <w:tcPr>
            <w:tcW w:w="0" w:type="auto"/>
            <w:shd w:val="clear" w:color="auto" w:fill="auto"/>
            <w:vAlign w:val="bottom"/>
          </w:tcPr>
          <w:p w14:paraId="5F2CEE25" w14:textId="77777777" w:rsidR="00E836FB" w:rsidRDefault="00E836FB">
            <w:pPr>
              <w:rPr>
                <w:rFonts w:ascii="宋体"/>
                <w:vanish/>
              </w:rPr>
            </w:pPr>
          </w:p>
        </w:tc>
        <w:tc>
          <w:tcPr>
            <w:tcW w:w="0" w:type="auto"/>
            <w:gridSpan w:val="3"/>
            <w:shd w:val="clear" w:color="auto" w:fill="auto"/>
            <w:vAlign w:val="bottom"/>
          </w:tcPr>
          <w:p w14:paraId="5F2CEE26" w14:textId="77777777" w:rsidR="00E836FB" w:rsidRDefault="00E836FB">
            <w:pPr>
              <w:rPr>
                <w:rFonts w:ascii="宋体"/>
                <w:vanish/>
              </w:rPr>
            </w:pPr>
          </w:p>
        </w:tc>
        <w:tc>
          <w:tcPr>
            <w:tcW w:w="0" w:type="auto"/>
            <w:gridSpan w:val="3"/>
            <w:shd w:val="clear" w:color="auto" w:fill="auto"/>
            <w:vAlign w:val="bottom"/>
          </w:tcPr>
          <w:p w14:paraId="5F2CEE27" w14:textId="77777777" w:rsidR="00E836FB" w:rsidRDefault="00E836FB">
            <w:pPr>
              <w:rPr>
                <w:rFonts w:ascii="宋体"/>
                <w:vanish/>
              </w:rPr>
            </w:pPr>
          </w:p>
        </w:tc>
        <w:tc>
          <w:tcPr>
            <w:tcW w:w="0" w:type="auto"/>
            <w:gridSpan w:val="3"/>
            <w:shd w:val="clear" w:color="auto" w:fill="auto"/>
            <w:vAlign w:val="bottom"/>
          </w:tcPr>
          <w:p w14:paraId="5F2CEE28" w14:textId="77777777" w:rsidR="00E836FB" w:rsidRDefault="00E836FB">
            <w:pPr>
              <w:rPr>
                <w:rFonts w:ascii="宋体"/>
                <w:vanish/>
              </w:rPr>
            </w:pPr>
          </w:p>
        </w:tc>
        <w:tc>
          <w:tcPr>
            <w:tcW w:w="0" w:type="auto"/>
            <w:gridSpan w:val="3"/>
            <w:shd w:val="clear" w:color="auto" w:fill="auto"/>
            <w:vAlign w:val="bottom"/>
          </w:tcPr>
          <w:p w14:paraId="5F2CEE29" w14:textId="77777777" w:rsidR="00E836FB" w:rsidRDefault="00E836FB">
            <w:pPr>
              <w:rPr>
                <w:rFonts w:ascii="宋体"/>
                <w:vanish/>
              </w:rPr>
            </w:pPr>
          </w:p>
        </w:tc>
        <w:tc>
          <w:tcPr>
            <w:tcW w:w="0" w:type="auto"/>
            <w:gridSpan w:val="3"/>
            <w:shd w:val="clear" w:color="auto" w:fill="auto"/>
            <w:vAlign w:val="bottom"/>
          </w:tcPr>
          <w:p w14:paraId="5F2CEE2A" w14:textId="77777777" w:rsidR="00E836FB" w:rsidRDefault="00E836FB">
            <w:pPr>
              <w:rPr>
                <w:rFonts w:ascii="宋体"/>
                <w:vanish/>
              </w:rPr>
            </w:pPr>
          </w:p>
        </w:tc>
      </w:tr>
      <w:tr w:rsidR="00E836FB" w14:paraId="5F2CEE3C" w14:textId="77777777">
        <w:tc>
          <w:tcPr>
            <w:tcW w:w="0" w:type="auto"/>
            <w:gridSpan w:val="3"/>
            <w:shd w:val="clear" w:color="auto" w:fill="FFFFFF"/>
            <w:tcMar>
              <w:top w:w="40" w:type="dxa"/>
              <w:left w:w="20" w:type="dxa"/>
              <w:bottom w:w="40" w:type="dxa"/>
              <w:right w:w="20" w:type="dxa"/>
            </w:tcMar>
            <w:vAlign w:val="bottom"/>
          </w:tcPr>
          <w:p w14:paraId="5F2CEE2C" w14:textId="77777777" w:rsidR="00E836FB" w:rsidRDefault="00994958">
            <w:pPr>
              <w:textAlignment w:val="bottom"/>
            </w:pPr>
            <w:r>
              <w:rPr>
                <w:rFonts w:ascii="Arial" w:eastAsia="宋体" w:hAnsi="Arial" w:cs="Arial"/>
                <w:b/>
                <w:bCs/>
                <w:color w:val="000000"/>
                <w:sz w:val="18"/>
                <w:szCs w:val="18"/>
              </w:rPr>
              <w:t>Net income</w:t>
            </w:r>
          </w:p>
        </w:tc>
        <w:tc>
          <w:tcPr>
            <w:tcW w:w="0" w:type="auto"/>
            <w:shd w:val="clear" w:color="auto" w:fill="auto"/>
            <w:vAlign w:val="bottom"/>
          </w:tcPr>
          <w:p w14:paraId="5F2CEE2D" w14:textId="77777777" w:rsidR="00E836FB" w:rsidRDefault="00E836FB">
            <w:pPr>
              <w:rPr>
                <w:rFonts w:ascii="宋体"/>
                <w:vanish/>
              </w:rPr>
            </w:pPr>
          </w:p>
        </w:tc>
        <w:tc>
          <w:tcPr>
            <w:tcW w:w="0" w:type="auto"/>
            <w:shd w:val="clear" w:color="auto" w:fill="auto"/>
            <w:vAlign w:val="bottom"/>
          </w:tcPr>
          <w:p w14:paraId="5F2CEE2E" w14:textId="77777777" w:rsidR="00E836FB" w:rsidRDefault="00E836FB">
            <w:pPr>
              <w:rPr>
                <w:rFonts w:ascii="宋体"/>
                <w:vanish/>
              </w:rPr>
            </w:pPr>
          </w:p>
        </w:tc>
        <w:tc>
          <w:tcPr>
            <w:tcW w:w="0" w:type="auto"/>
            <w:shd w:val="clear" w:color="auto" w:fill="auto"/>
            <w:vAlign w:val="bottom"/>
          </w:tcPr>
          <w:p w14:paraId="5F2CEE2F" w14:textId="77777777" w:rsidR="00E836FB" w:rsidRDefault="00E836FB">
            <w:pPr>
              <w:rPr>
                <w:rFonts w:ascii="宋体"/>
                <w:vanish/>
              </w:rPr>
            </w:pPr>
          </w:p>
        </w:tc>
        <w:tc>
          <w:tcPr>
            <w:tcW w:w="0" w:type="auto"/>
            <w:shd w:val="clear" w:color="auto" w:fill="auto"/>
            <w:vAlign w:val="bottom"/>
          </w:tcPr>
          <w:p w14:paraId="5F2CEE30" w14:textId="77777777" w:rsidR="00E836FB" w:rsidRDefault="00E836F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EE31" w14:textId="77777777" w:rsidR="00E836FB" w:rsidRDefault="00994958">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EE32" w14:textId="77777777" w:rsidR="00E836FB" w:rsidRDefault="00994958">
            <w:pPr>
              <w:jc w:val="right"/>
              <w:textAlignment w:val="bottom"/>
            </w:pPr>
            <w:r>
              <w:rPr>
                <w:rFonts w:ascii="Arial" w:eastAsia="宋体" w:hAnsi="Arial" w:cs="Arial"/>
                <w:b/>
                <w:bCs/>
                <w:color w:val="000000"/>
                <w:sz w:val="18"/>
                <w:szCs w:val="18"/>
              </w:rPr>
              <w:t>2,693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E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34"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EE35"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EE36" w14:textId="77777777" w:rsidR="00E836FB" w:rsidRDefault="00994958">
            <w:pPr>
              <w:jc w:val="right"/>
              <w:textAlignment w:val="bottom"/>
            </w:pPr>
            <w:r>
              <w:rPr>
                <w:rFonts w:ascii="Arial" w:eastAsia="宋体" w:hAnsi="Arial" w:cs="Arial"/>
                <w:color w:val="000000"/>
                <w:sz w:val="18"/>
                <w:szCs w:val="18"/>
              </w:rPr>
              <w:t>2,420 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E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38"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EE39"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EE3A" w14:textId="77777777" w:rsidR="00E836FB" w:rsidRDefault="00994958">
            <w:pPr>
              <w:jc w:val="right"/>
              <w:textAlignment w:val="bottom"/>
            </w:pPr>
            <w:r>
              <w:rPr>
                <w:rFonts w:ascii="Arial" w:eastAsia="宋体" w:hAnsi="Arial" w:cs="Arial"/>
                <w:color w:val="000000"/>
                <w:sz w:val="18"/>
                <w:szCs w:val="18"/>
              </w:rPr>
              <w:t>2,242 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EE3B" w14:textId="77777777" w:rsidR="00E836FB" w:rsidRDefault="00E836FB">
            <w:pPr>
              <w:jc w:val="right"/>
              <w:rPr>
                <w:rFonts w:ascii="宋体"/>
              </w:rPr>
            </w:pPr>
          </w:p>
        </w:tc>
      </w:tr>
      <w:tr w:rsidR="00E836FB" w14:paraId="5F2CEE4D" w14:textId="77777777">
        <w:tc>
          <w:tcPr>
            <w:tcW w:w="0" w:type="auto"/>
            <w:gridSpan w:val="3"/>
            <w:shd w:val="clear" w:color="auto" w:fill="CCEEFF"/>
            <w:tcMar>
              <w:top w:w="40" w:type="dxa"/>
              <w:left w:w="20" w:type="dxa"/>
              <w:bottom w:w="40" w:type="dxa"/>
              <w:right w:w="20" w:type="dxa"/>
            </w:tcMar>
            <w:vAlign w:val="bottom"/>
          </w:tcPr>
          <w:p w14:paraId="5F2CEE3D" w14:textId="77777777" w:rsidR="00E836FB" w:rsidRDefault="00994958">
            <w:pPr>
              <w:textAlignment w:val="bottom"/>
            </w:pPr>
            <w:r>
              <w:rPr>
                <w:rFonts w:ascii="Arial" w:eastAsia="宋体" w:hAnsi="Arial" w:cs="Arial"/>
                <w:b/>
                <w:bCs/>
                <w:color w:val="000000"/>
                <w:sz w:val="18"/>
                <w:szCs w:val="18"/>
              </w:rPr>
              <w:t>Net income available to common shareholders</w:t>
            </w:r>
          </w:p>
        </w:tc>
        <w:tc>
          <w:tcPr>
            <w:tcW w:w="0" w:type="auto"/>
            <w:shd w:val="clear" w:color="auto" w:fill="auto"/>
            <w:vAlign w:val="bottom"/>
          </w:tcPr>
          <w:p w14:paraId="5F2CEE3E" w14:textId="77777777" w:rsidR="00E836FB" w:rsidRDefault="00E836FB">
            <w:pPr>
              <w:rPr>
                <w:rFonts w:ascii="宋体"/>
                <w:vanish/>
              </w:rPr>
            </w:pPr>
          </w:p>
        </w:tc>
        <w:tc>
          <w:tcPr>
            <w:tcW w:w="0" w:type="auto"/>
            <w:shd w:val="clear" w:color="auto" w:fill="auto"/>
            <w:vAlign w:val="bottom"/>
          </w:tcPr>
          <w:p w14:paraId="5F2CEE3F" w14:textId="77777777" w:rsidR="00E836FB" w:rsidRDefault="00E836FB">
            <w:pPr>
              <w:rPr>
                <w:rFonts w:ascii="宋体"/>
                <w:vanish/>
              </w:rPr>
            </w:pPr>
          </w:p>
        </w:tc>
        <w:tc>
          <w:tcPr>
            <w:tcW w:w="0" w:type="auto"/>
            <w:shd w:val="clear" w:color="auto" w:fill="auto"/>
            <w:vAlign w:val="bottom"/>
          </w:tcPr>
          <w:p w14:paraId="5F2CEE40" w14:textId="77777777" w:rsidR="00E836FB" w:rsidRDefault="00E836FB">
            <w:pPr>
              <w:rPr>
                <w:rFonts w:ascii="宋体"/>
                <w:vanish/>
              </w:rPr>
            </w:pPr>
          </w:p>
        </w:tc>
        <w:tc>
          <w:tcPr>
            <w:tcW w:w="0" w:type="auto"/>
            <w:shd w:val="clear" w:color="auto" w:fill="auto"/>
            <w:vAlign w:val="bottom"/>
          </w:tcPr>
          <w:p w14:paraId="5F2CEE41" w14:textId="77777777" w:rsidR="00E836FB" w:rsidRDefault="00E836FB">
            <w:pPr>
              <w:rPr>
                <w:rFonts w:ascii="宋体"/>
                <w:vanish/>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F2CEE42" w14:textId="77777777" w:rsidR="00E836FB" w:rsidRDefault="00994958">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F2CEE43" w14:textId="77777777" w:rsidR="00E836FB" w:rsidRDefault="00994958">
            <w:pPr>
              <w:jc w:val="right"/>
              <w:textAlignment w:val="bottom"/>
            </w:pPr>
            <w:r>
              <w:rPr>
                <w:rFonts w:ascii="Arial" w:eastAsia="宋体" w:hAnsi="Arial" w:cs="Arial"/>
                <w:b/>
                <w:bCs/>
                <w:color w:val="000000"/>
                <w:sz w:val="18"/>
                <w:szCs w:val="18"/>
              </w:rPr>
              <w:t>2,572</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EE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45" w14:textId="77777777" w:rsidR="00E836FB" w:rsidRDefault="00E836FB">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F2CEE46" w14:textId="77777777" w:rsidR="00E836FB" w:rsidRDefault="00994958">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F2CEE47" w14:textId="77777777" w:rsidR="00E836FB" w:rsidRDefault="00994958">
            <w:pPr>
              <w:jc w:val="right"/>
              <w:textAlignment w:val="bottom"/>
            </w:pPr>
            <w:r>
              <w:rPr>
                <w:rFonts w:ascii="Arial" w:eastAsia="宋体" w:hAnsi="Arial" w:cs="Arial"/>
                <w:color w:val="000000"/>
                <w:sz w:val="18"/>
                <w:szCs w:val="18"/>
              </w:rPr>
              <w:t>2,257 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EE4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49" w14:textId="77777777" w:rsidR="00E836FB" w:rsidRDefault="00E836FB">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F2CEE4A" w14:textId="77777777" w:rsidR="00E836FB" w:rsidRDefault="00994958">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F2CEE4B" w14:textId="77777777" w:rsidR="00E836FB" w:rsidRDefault="00994958">
            <w:pPr>
              <w:jc w:val="right"/>
              <w:textAlignment w:val="bottom"/>
            </w:pPr>
            <w:r>
              <w:rPr>
                <w:rFonts w:ascii="Arial" w:eastAsia="宋体" w:hAnsi="Arial" w:cs="Arial"/>
                <w:color w:val="000000"/>
                <w:sz w:val="18"/>
                <w:szCs w:val="18"/>
              </w:rPr>
              <w:t>2,009 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EE4C" w14:textId="77777777" w:rsidR="00E836FB" w:rsidRDefault="00E836FB">
            <w:pPr>
              <w:jc w:val="right"/>
              <w:rPr>
                <w:rFonts w:ascii="宋体"/>
              </w:rPr>
            </w:pPr>
          </w:p>
        </w:tc>
      </w:tr>
      <w:tr w:rsidR="00E836FB" w14:paraId="5F2CEE58" w14:textId="77777777">
        <w:tc>
          <w:tcPr>
            <w:tcW w:w="0" w:type="auto"/>
            <w:gridSpan w:val="3"/>
            <w:shd w:val="clear" w:color="auto" w:fill="FFFFFF"/>
            <w:tcMar>
              <w:top w:w="40" w:type="dxa"/>
              <w:left w:w="20" w:type="dxa"/>
              <w:bottom w:w="40" w:type="dxa"/>
              <w:right w:w="20" w:type="dxa"/>
            </w:tcMar>
            <w:vAlign w:val="bottom"/>
          </w:tcPr>
          <w:p w14:paraId="5F2CEE4E" w14:textId="77777777" w:rsidR="00E836FB" w:rsidRDefault="00994958">
            <w:pPr>
              <w:textAlignment w:val="bottom"/>
            </w:pPr>
            <w:r>
              <w:rPr>
                <w:rFonts w:ascii="Arial" w:eastAsia="宋体" w:hAnsi="Arial" w:cs="Arial"/>
                <w:b/>
                <w:bCs/>
                <w:color w:val="000000"/>
                <w:sz w:val="18"/>
                <w:szCs w:val="18"/>
              </w:rPr>
              <w:t xml:space="preserve">Earnings per common share: </w:t>
            </w:r>
          </w:p>
        </w:tc>
        <w:tc>
          <w:tcPr>
            <w:tcW w:w="0" w:type="auto"/>
            <w:shd w:val="clear" w:color="auto" w:fill="auto"/>
            <w:vAlign w:val="bottom"/>
          </w:tcPr>
          <w:p w14:paraId="5F2CEE4F" w14:textId="77777777" w:rsidR="00E836FB" w:rsidRDefault="00E836FB">
            <w:pPr>
              <w:rPr>
                <w:rFonts w:ascii="宋体"/>
                <w:vanish/>
              </w:rPr>
            </w:pPr>
          </w:p>
        </w:tc>
        <w:tc>
          <w:tcPr>
            <w:tcW w:w="0" w:type="auto"/>
            <w:shd w:val="clear" w:color="auto" w:fill="auto"/>
            <w:vAlign w:val="bottom"/>
          </w:tcPr>
          <w:p w14:paraId="5F2CEE50" w14:textId="77777777" w:rsidR="00E836FB" w:rsidRDefault="00E836FB">
            <w:pPr>
              <w:rPr>
                <w:rFonts w:ascii="宋体"/>
                <w:vanish/>
              </w:rPr>
            </w:pPr>
          </w:p>
        </w:tc>
        <w:tc>
          <w:tcPr>
            <w:tcW w:w="0" w:type="auto"/>
            <w:shd w:val="clear" w:color="auto" w:fill="auto"/>
            <w:vAlign w:val="bottom"/>
          </w:tcPr>
          <w:p w14:paraId="5F2CEE51" w14:textId="77777777" w:rsidR="00E836FB" w:rsidRDefault="00E836FB">
            <w:pPr>
              <w:rPr>
                <w:rFonts w:ascii="宋体"/>
                <w:vanish/>
              </w:rPr>
            </w:pPr>
          </w:p>
        </w:tc>
        <w:tc>
          <w:tcPr>
            <w:tcW w:w="0" w:type="auto"/>
            <w:shd w:val="clear" w:color="auto" w:fill="auto"/>
            <w:vAlign w:val="bottom"/>
          </w:tcPr>
          <w:p w14:paraId="5F2CEE52" w14:textId="77777777" w:rsidR="00E836FB" w:rsidRDefault="00E836FB">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EE5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E54"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EE5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E56"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EE57" w14:textId="77777777" w:rsidR="00E836FB" w:rsidRDefault="00E836FB">
            <w:pPr>
              <w:rPr>
                <w:rFonts w:ascii="宋体"/>
              </w:rPr>
            </w:pPr>
          </w:p>
        </w:tc>
      </w:tr>
      <w:tr w:rsidR="00E836FB" w14:paraId="5F2CEE69" w14:textId="77777777">
        <w:tc>
          <w:tcPr>
            <w:tcW w:w="0" w:type="auto"/>
            <w:gridSpan w:val="3"/>
            <w:shd w:val="clear" w:color="auto" w:fill="CCEEFF"/>
            <w:tcMar>
              <w:top w:w="40" w:type="dxa"/>
              <w:left w:w="20" w:type="dxa"/>
              <w:bottom w:w="40" w:type="dxa"/>
              <w:right w:w="20" w:type="dxa"/>
            </w:tcMar>
            <w:vAlign w:val="bottom"/>
          </w:tcPr>
          <w:p w14:paraId="5F2CEE59" w14:textId="77777777" w:rsidR="00E836FB" w:rsidRDefault="00994958">
            <w:pPr>
              <w:textAlignment w:val="bottom"/>
            </w:pPr>
            <w:r>
              <w:rPr>
                <w:rFonts w:ascii="Arial" w:eastAsia="宋体" w:hAnsi="Arial" w:cs="Arial"/>
                <w:color w:val="000000"/>
                <w:sz w:val="18"/>
                <w:szCs w:val="18"/>
              </w:rPr>
              <w:t>Basic</w:t>
            </w:r>
          </w:p>
        </w:tc>
        <w:tc>
          <w:tcPr>
            <w:tcW w:w="0" w:type="auto"/>
            <w:shd w:val="clear" w:color="auto" w:fill="auto"/>
            <w:vAlign w:val="bottom"/>
          </w:tcPr>
          <w:p w14:paraId="5F2CEE5A" w14:textId="77777777" w:rsidR="00E836FB" w:rsidRDefault="00E836FB">
            <w:pPr>
              <w:rPr>
                <w:rFonts w:ascii="宋体"/>
                <w:vanish/>
              </w:rPr>
            </w:pPr>
          </w:p>
        </w:tc>
        <w:tc>
          <w:tcPr>
            <w:tcW w:w="0" w:type="auto"/>
            <w:shd w:val="clear" w:color="auto" w:fill="auto"/>
            <w:vAlign w:val="bottom"/>
          </w:tcPr>
          <w:p w14:paraId="5F2CEE5B" w14:textId="77777777" w:rsidR="00E836FB" w:rsidRDefault="00E836FB">
            <w:pPr>
              <w:rPr>
                <w:rFonts w:ascii="宋体"/>
                <w:vanish/>
              </w:rPr>
            </w:pPr>
          </w:p>
        </w:tc>
        <w:tc>
          <w:tcPr>
            <w:tcW w:w="0" w:type="auto"/>
            <w:shd w:val="clear" w:color="auto" w:fill="auto"/>
            <w:vAlign w:val="bottom"/>
          </w:tcPr>
          <w:p w14:paraId="5F2CEE5C" w14:textId="77777777" w:rsidR="00E836FB" w:rsidRDefault="00E836FB">
            <w:pPr>
              <w:rPr>
                <w:rFonts w:ascii="宋体"/>
                <w:vanish/>
              </w:rPr>
            </w:pPr>
          </w:p>
        </w:tc>
        <w:tc>
          <w:tcPr>
            <w:tcW w:w="0" w:type="auto"/>
            <w:shd w:val="clear" w:color="auto" w:fill="auto"/>
            <w:vAlign w:val="bottom"/>
          </w:tcPr>
          <w:p w14:paraId="5F2CEE5D"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CEE5E" w14:textId="77777777" w:rsidR="00E836FB" w:rsidRDefault="00994958">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F2CEE5F" w14:textId="77777777" w:rsidR="00E836FB" w:rsidRDefault="00994958">
            <w:pPr>
              <w:jc w:val="right"/>
              <w:textAlignment w:val="bottom"/>
            </w:pPr>
            <w:r>
              <w:rPr>
                <w:rFonts w:ascii="Arial" w:eastAsia="宋体" w:hAnsi="Arial" w:cs="Arial"/>
                <w:b/>
                <w:bCs/>
                <w:color w:val="000000"/>
                <w:sz w:val="18"/>
                <w:szCs w:val="18"/>
              </w:rPr>
              <w:t>7.30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E6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6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E62" w14:textId="77777777" w:rsidR="00E836FB" w:rsidRDefault="00994958">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F2CEE63" w14:textId="77777777" w:rsidR="00E836FB" w:rsidRDefault="00994958">
            <w:pPr>
              <w:jc w:val="right"/>
              <w:textAlignment w:val="bottom"/>
            </w:pPr>
            <w:r>
              <w:rPr>
                <w:rFonts w:ascii="Arial" w:eastAsia="宋体" w:hAnsi="Arial" w:cs="Arial"/>
                <w:color w:val="000000"/>
                <w:sz w:val="18"/>
                <w:szCs w:val="18"/>
              </w:rPr>
              <w:t>6.40 </w:t>
            </w:r>
          </w:p>
        </w:tc>
        <w:tc>
          <w:tcPr>
            <w:tcW w:w="0" w:type="auto"/>
            <w:shd w:val="clear" w:color="auto" w:fill="CCEEFF"/>
            <w:tcMar>
              <w:top w:w="40" w:type="dxa"/>
              <w:left w:w="0" w:type="dxa"/>
              <w:bottom w:w="40" w:type="dxa"/>
              <w:right w:w="20" w:type="dxa"/>
            </w:tcMar>
            <w:vAlign w:val="bottom"/>
          </w:tcPr>
          <w:p w14:paraId="5F2CEE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6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EE66" w14:textId="77777777" w:rsidR="00E836FB" w:rsidRDefault="00994958">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F2CEE67" w14:textId="77777777" w:rsidR="00E836FB" w:rsidRDefault="00994958">
            <w:pPr>
              <w:jc w:val="right"/>
              <w:textAlignment w:val="bottom"/>
            </w:pPr>
            <w:r>
              <w:rPr>
                <w:rFonts w:ascii="Arial" w:eastAsia="宋体" w:hAnsi="Arial" w:cs="Arial"/>
                <w:color w:val="000000"/>
                <w:sz w:val="18"/>
                <w:szCs w:val="18"/>
              </w:rPr>
              <w:t>5.43 </w:t>
            </w:r>
          </w:p>
        </w:tc>
        <w:tc>
          <w:tcPr>
            <w:tcW w:w="0" w:type="auto"/>
            <w:shd w:val="clear" w:color="auto" w:fill="CCEEFF"/>
            <w:tcMar>
              <w:top w:w="40" w:type="dxa"/>
              <w:left w:w="0" w:type="dxa"/>
              <w:bottom w:w="40" w:type="dxa"/>
              <w:right w:w="20" w:type="dxa"/>
            </w:tcMar>
            <w:vAlign w:val="bottom"/>
          </w:tcPr>
          <w:p w14:paraId="5F2CEE68" w14:textId="77777777" w:rsidR="00E836FB" w:rsidRDefault="00E836FB">
            <w:pPr>
              <w:jc w:val="right"/>
              <w:rPr>
                <w:rFonts w:ascii="宋体"/>
              </w:rPr>
            </w:pPr>
          </w:p>
        </w:tc>
      </w:tr>
      <w:tr w:rsidR="00E836FB" w14:paraId="5F2CEE77" w14:textId="77777777">
        <w:tc>
          <w:tcPr>
            <w:tcW w:w="0" w:type="auto"/>
            <w:gridSpan w:val="3"/>
            <w:shd w:val="clear" w:color="auto" w:fill="FFFFFF"/>
            <w:tcMar>
              <w:top w:w="40" w:type="dxa"/>
              <w:left w:w="20" w:type="dxa"/>
              <w:bottom w:w="40" w:type="dxa"/>
              <w:right w:w="20" w:type="dxa"/>
            </w:tcMar>
            <w:vAlign w:val="bottom"/>
          </w:tcPr>
          <w:p w14:paraId="5F2CEE6A" w14:textId="77777777" w:rsidR="00E836FB" w:rsidRDefault="00994958">
            <w:pPr>
              <w:textAlignment w:val="bottom"/>
            </w:pPr>
            <w:r>
              <w:rPr>
                <w:rFonts w:ascii="Arial" w:eastAsia="宋体" w:hAnsi="Arial" w:cs="Arial"/>
                <w:color w:val="000000"/>
                <w:sz w:val="18"/>
                <w:szCs w:val="18"/>
              </w:rPr>
              <w:t>Diluted</w:t>
            </w:r>
          </w:p>
        </w:tc>
        <w:tc>
          <w:tcPr>
            <w:tcW w:w="0" w:type="auto"/>
            <w:shd w:val="clear" w:color="auto" w:fill="auto"/>
            <w:vAlign w:val="bottom"/>
          </w:tcPr>
          <w:p w14:paraId="5F2CEE6B" w14:textId="77777777" w:rsidR="00E836FB" w:rsidRDefault="00E836FB">
            <w:pPr>
              <w:rPr>
                <w:rFonts w:ascii="宋体"/>
                <w:vanish/>
              </w:rPr>
            </w:pPr>
          </w:p>
        </w:tc>
        <w:tc>
          <w:tcPr>
            <w:tcW w:w="0" w:type="auto"/>
            <w:shd w:val="clear" w:color="auto" w:fill="auto"/>
            <w:vAlign w:val="bottom"/>
          </w:tcPr>
          <w:p w14:paraId="5F2CEE6C" w14:textId="77777777" w:rsidR="00E836FB" w:rsidRDefault="00E836FB">
            <w:pPr>
              <w:rPr>
                <w:rFonts w:ascii="宋体"/>
                <w:vanish/>
              </w:rPr>
            </w:pPr>
          </w:p>
        </w:tc>
        <w:tc>
          <w:tcPr>
            <w:tcW w:w="0" w:type="auto"/>
            <w:shd w:val="clear" w:color="auto" w:fill="auto"/>
            <w:vAlign w:val="bottom"/>
          </w:tcPr>
          <w:p w14:paraId="5F2CEE6D" w14:textId="77777777" w:rsidR="00E836FB" w:rsidRDefault="00E836FB">
            <w:pPr>
              <w:rPr>
                <w:rFonts w:ascii="宋体"/>
                <w:vanish/>
              </w:rPr>
            </w:pPr>
          </w:p>
        </w:tc>
        <w:tc>
          <w:tcPr>
            <w:tcW w:w="0" w:type="auto"/>
            <w:shd w:val="clear" w:color="auto" w:fill="auto"/>
            <w:vAlign w:val="bottom"/>
          </w:tcPr>
          <w:p w14:paraId="5F2CEE6E"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E6F" w14:textId="77777777" w:rsidR="00E836FB" w:rsidRDefault="00994958">
            <w:pPr>
              <w:jc w:val="right"/>
              <w:textAlignment w:val="bottom"/>
            </w:pPr>
            <w:r>
              <w:rPr>
                <w:rFonts w:ascii="Arial" w:eastAsia="宋体" w:hAnsi="Arial" w:cs="Arial"/>
                <w:b/>
                <w:bCs/>
                <w:color w:val="000000"/>
                <w:sz w:val="18"/>
                <w:szCs w:val="18"/>
              </w:rPr>
              <w:t>7.19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E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7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E72" w14:textId="77777777" w:rsidR="00E836FB" w:rsidRDefault="00994958">
            <w:pPr>
              <w:jc w:val="right"/>
              <w:textAlignment w:val="bottom"/>
            </w:pPr>
            <w:r>
              <w:rPr>
                <w:rFonts w:ascii="Arial" w:eastAsia="宋体" w:hAnsi="Arial" w:cs="Arial"/>
                <w:color w:val="000000"/>
                <w:sz w:val="18"/>
                <w:szCs w:val="18"/>
              </w:rPr>
              <w:t>6.32 </w:t>
            </w:r>
          </w:p>
        </w:tc>
        <w:tc>
          <w:tcPr>
            <w:tcW w:w="0" w:type="auto"/>
            <w:shd w:val="clear" w:color="auto" w:fill="FFFFFF"/>
            <w:tcMar>
              <w:top w:w="40" w:type="dxa"/>
              <w:left w:w="0" w:type="dxa"/>
              <w:bottom w:w="40" w:type="dxa"/>
              <w:right w:w="20" w:type="dxa"/>
            </w:tcMar>
            <w:vAlign w:val="bottom"/>
          </w:tcPr>
          <w:p w14:paraId="5F2CEE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E75" w14:textId="77777777" w:rsidR="00E836FB" w:rsidRDefault="00994958">
            <w:pPr>
              <w:jc w:val="right"/>
              <w:textAlignment w:val="bottom"/>
            </w:pPr>
            <w:r>
              <w:rPr>
                <w:rFonts w:ascii="Arial" w:eastAsia="宋体" w:hAnsi="Arial" w:cs="Arial"/>
                <w:color w:val="000000"/>
                <w:sz w:val="18"/>
                <w:szCs w:val="18"/>
              </w:rPr>
              <w:t>5.38 </w:t>
            </w:r>
          </w:p>
        </w:tc>
        <w:tc>
          <w:tcPr>
            <w:tcW w:w="0" w:type="auto"/>
            <w:shd w:val="clear" w:color="auto" w:fill="FFFFFF"/>
            <w:tcMar>
              <w:top w:w="40" w:type="dxa"/>
              <w:left w:w="0" w:type="dxa"/>
              <w:bottom w:w="40" w:type="dxa"/>
              <w:right w:w="20" w:type="dxa"/>
            </w:tcMar>
            <w:vAlign w:val="bottom"/>
          </w:tcPr>
          <w:p w14:paraId="5F2CEE76" w14:textId="77777777" w:rsidR="00E836FB" w:rsidRDefault="00E836FB">
            <w:pPr>
              <w:jc w:val="right"/>
              <w:rPr>
                <w:rFonts w:ascii="宋体"/>
              </w:rPr>
            </w:pPr>
          </w:p>
        </w:tc>
      </w:tr>
      <w:tr w:rsidR="00E836FB" w14:paraId="5F2CEE82" w14:textId="77777777">
        <w:tc>
          <w:tcPr>
            <w:tcW w:w="0" w:type="auto"/>
            <w:gridSpan w:val="3"/>
            <w:shd w:val="clear" w:color="auto" w:fill="CCEEFF"/>
            <w:tcMar>
              <w:top w:w="40" w:type="dxa"/>
              <w:left w:w="20" w:type="dxa"/>
              <w:bottom w:w="40" w:type="dxa"/>
              <w:right w:w="20" w:type="dxa"/>
            </w:tcMar>
            <w:vAlign w:val="bottom"/>
          </w:tcPr>
          <w:p w14:paraId="5F2CEE78" w14:textId="77777777" w:rsidR="00E836FB" w:rsidRDefault="00994958">
            <w:pPr>
              <w:textAlignment w:val="bottom"/>
            </w:pPr>
            <w:r>
              <w:rPr>
                <w:rFonts w:ascii="Arial" w:eastAsia="宋体" w:hAnsi="Arial" w:cs="Arial"/>
                <w:b/>
                <w:bCs/>
                <w:color w:val="000000"/>
                <w:sz w:val="18"/>
                <w:szCs w:val="18"/>
              </w:rPr>
              <w:t>Average common shares outstanding (in thousands):</w:t>
            </w:r>
          </w:p>
        </w:tc>
        <w:tc>
          <w:tcPr>
            <w:tcW w:w="0" w:type="auto"/>
            <w:shd w:val="clear" w:color="auto" w:fill="auto"/>
            <w:vAlign w:val="bottom"/>
          </w:tcPr>
          <w:p w14:paraId="5F2CEE79" w14:textId="77777777" w:rsidR="00E836FB" w:rsidRDefault="00E836FB">
            <w:pPr>
              <w:rPr>
                <w:rFonts w:ascii="宋体"/>
                <w:vanish/>
              </w:rPr>
            </w:pPr>
          </w:p>
        </w:tc>
        <w:tc>
          <w:tcPr>
            <w:tcW w:w="0" w:type="auto"/>
            <w:shd w:val="clear" w:color="auto" w:fill="auto"/>
            <w:vAlign w:val="bottom"/>
          </w:tcPr>
          <w:p w14:paraId="5F2CEE7A" w14:textId="77777777" w:rsidR="00E836FB" w:rsidRDefault="00E836FB">
            <w:pPr>
              <w:rPr>
                <w:rFonts w:ascii="宋体"/>
                <w:vanish/>
              </w:rPr>
            </w:pPr>
          </w:p>
        </w:tc>
        <w:tc>
          <w:tcPr>
            <w:tcW w:w="0" w:type="auto"/>
            <w:shd w:val="clear" w:color="auto" w:fill="auto"/>
            <w:vAlign w:val="bottom"/>
          </w:tcPr>
          <w:p w14:paraId="5F2CEE7B" w14:textId="77777777" w:rsidR="00E836FB" w:rsidRDefault="00E836FB">
            <w:pPr>
              <w:rPr>
                <w:rFonts w:ascii="宋体"/>
                <w:vanish/>
              </w:rPr>
            </w:pPr>
          </w:p>
        </w:tc>
        <w:tc>
          <w:tcPr>
            <w:tcW w:w="0" w:type="auto"/>
            <w:shd w:val="clear" w:color="auto" w:fill="auto"/>
            <w:vAlign w:val="bottom"/>
          </w:tcPr>
          <w:p w14:paraId="5F2CEE7C"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CEE7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E7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E7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E8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EE81" w14:textId="77777777" w:rsidR="00E836FB" w:rsidRDefault="00E836FB">
            <w:pPr>
              <w:rPr>
                <w:rFonts w:ascii="宋体"/>
              </w:rPr>
            </w:pPr>
          </w:p>
        </w:tc>
      </w:tr>
      <w:tr w:rsidR="00E836FB" w14:paraId="5F2CEE90" w14:textId="77777777">
        <w:tc>
          <w:tcPr>
            <w:tcW w:w="0" w:type="auto"/>
            <w:gridSpan w:val="3"/>
            <w:shd w:val="clear" w:color="auto" w:fill="FFFFFF"/>
            <w:tcMar>
              <w:top w:w="40" w:type="dxa"/>
              <w:left w:w="20" w:type="dxa"/>
              <w:bottom w:w="40" w:type="dxa"/>
              <w:right w:w="20" w:type="dxa"/>
            </w:tcMar>
            <w:vAlign w:val="bottom"/>
          </w:tcPr>
          <w:p w14:paraId="5F2CEE83" w14:textId="77777777" w:rsidR="00E836FB" w:rsidRDefault="00994958">
            <w:pPr>
              <w:textAlignment w:val="bottom"/>
            </w:pPr>
            <w:r>
              <w:rPr>
                <w:rFonts w:ascii="Arial" w:eastAsia="宋体" w:hAnsi="Arial" w:cs="Arial"/>
                <w:color w:val="000000"/>
                <w:sz w:val="18"/>
                <w:szCs w:val="18"/>
              </w:rPr>
              <w:t>Basic</w:t>
            </w:r>
          </w:p>
        </w:tc>
        <w:tc>
          <w:tcPr>
            <w:tcW w:w="0" w:type="auto"/>
            <w:shd w:val="clear" w:color="auto" w:fill="auto"/>
            <w:vAlign w:val="bottom"/>
          </w:tcPr>
          <w:p w14:paraId="5F2CEE84" w14:textId="77777777" w:rsidR="00E836FB" w:rsidRDefault="00E836FB">
            <w:pPr>
              <w:rPr>
                <w:rFonts w:ascii="宋体"/>
                <w:vanish/>
              </w:rPr>
            </w:pPr>
          </w:p>
        </w:tc>
        <w:tc>
          <w:tcPr>
            <w:tcW w:w="0" w:type="auto"/>
            <w:shd w:val="clear" w:color="auto" w:fill="auto"/>
            <w:vAlign w:val="bottom"/>
          </w:tcPr>
          <w:p w14:paraId="5F2CEE85" w14:textId="77777777" w:rsidR="00E836FB" w:rsidRDefault="00E836FB">
            <w:pPr>
              <w:rPr>
                <w:rFonts w:ascii="宋体"/>
                <w:vanish/>
              </w:rPr>
            </w:pPr>
          </w:p>
        </w:tc>
        <w:tc>
          <w:tcPr>
            <w:tcW w:w="0" w:type="auto"/>
            <w:shd w:val="clear" w:color="auto" w:fill="auto"/>
            <w:vAlign w:val="bottom"/>
          </w:tcPr>
          <w:p w14:paraId="5F2CEE86" w14:textId="77777777" w:rsidR="00E836FB" w:rsidRDefault="00E836FB">
            <w:pPr>
              <w:rPr>
                <w:rFonts w:ascii="宋体"/>
                <w:vanish/>
              </w:rPr>
            </w:pPr>
          </w:p>
        </w:tc>
        <w:tc>
          <w:tcPr>
            <w:tcW w:w="0" w:type="auto"/>
            <w:shd w:val="clear" w:color="auto" w:fill="auto"/>
            <w:vAlign w:val="bottom"/>
          </w:tcPr>
          <w:p w14:paraId="5F2CEE87"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CEE88" w14:textId="77777777" w:rsidR="00E836FB" w:rsidRDefault="00994958">
            <w:pPr>
              <w:jc w:val="right"/>
              <w:textAlignment w:val="bottom"/>
            </w:pPr>
            <w:r>
              <w:rPr>
                <w:rFonts w:ascii="Arial" w:eastAsia="宋体" w:hAnsi="Arial" w:cs="Arial"/>
                <w:b/>
                <w:bCs/>
                <w:color w:val="000000"/>
                <w:sz w:val="18"/>
                <w:szCs w:val="18"/>
              </w:rPr>
              <w:t>352,565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E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8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E8B" w14:textId="77777777" w:rsidR="00E836FB" w:rsidRDefault="00994958">
            <w:pPr>
              <w:jc w:val="right"/>
              <w:textAlignment w:val="bottom"/>
            </w:pPr>
            <w:r>
              <w:rPr>
                <w:rFonts w:ascii="Arial" w:eastAsia="宋体" w:hAnsi="Arial" w:cs="Arial"/>
                <w:color w:val="000000"/>
                <w:sz w:val="18"/>
                <w:szCs w:val="18"/>
              </w:rPr>
              <w:t>352,865 </w:t>
            </w:r>
          </w:p>
        </w:tc>
        <w:tc>
          <w:tcPr>
            <w:tcW w:w="0" w:type="auto"/>
            <w:shd w:val="clear" w:color="auto" w:fill="FFFFFF"/>
            <w:tcMar>
              <w:top w:w="40" w:type="dxa"/>
              <w:left w:w="0" w:type="dxa"/>
              <w:bottom w:w="40" w:type="dxa"/>
              <w:right w:w="20" w:type="dxa"/>
            </w:tcMar>
            <w:vAlign w:val="bottom"/>
          </w:tcPr>
          <w:p w14:paraId="5F2CEE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8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E8E" w14:textId="77777777" w:rsidR="00E836FB" w:rsidRDefault="00994958">
            <w:pPr>
              <w:jc w:val="right"/>
              <w:textAlignment w:val="bottom"/>
            </w:pPr>
            <w:r>
              <w:rPr>
                <w:rFonts w:ascii="Arial" w:eastAsia="宋体" w:hAnsi="Arial" w:cs="Arial"/>
                <w:color w:val="000000"/>
                <w:sz w:val="18"/>
                <w:szCs w:val="18"/>
              </w:rPr>
              <w:t>369,911 </w:t>
            </w:r>
          </w:p>
        </w:tc>
        <w:tc>
          <w:tcPr>
            <w:tcW w:w="0" w:type="auto"/>
            <w:shd w:val="clear" w:color="auto" w:fill="FFFFFF"/>
            <w:tcMar>
              <w:top w:w="40" w:type="dxa"/>
              <w:left w:w="0" w:type="dxa"/>
              <w:bottom w:w="40" w:type="dxa"/>
              <w:right w:w="20" w:type="dxa"/>
            </w:tcMar>
            <w:vAlign w:val="bottom"/>
          </w:tcPr>
          <w:p w14:paraId="5F2CEE8F" w14:textId="77777777" w:rsidR="00E836FB" w:rsidRDefault="00E836FB">
            <w:pPr>
              <w:jc w:val="right"/>
              <w:rPr>
                <w:rFonts w:ascii="宋体"/>
              </w:rPr>
            </w:pPr>
          </w:p>
        </w:tc>
      </w:tr>
      <w:tr w:rsidR="00E836FB" w14:paraId="5F2CEE9E" w14:textId="77777777">
        <w:tc>
          <w:tcPr>
            <w:tcW w:w="0" w:type="auto"/>
            <w:gridSpan w:val="3"/>
            <w:shd w:val="clear" w:color="auto" w:fill="CCEEFF"/>
            <w:tcMar>
              <w:top w:w="40" w:type="dxa"/>
              <w:left w:w="20" w:type="dxa"/>
              <w:bottom w:w="40" w:type="dxa"/>
              <w:right w:w="20" w:type="dxa"/>
            </w:tcMar>
            <w:vAlign w:val="bottom"/>
          </w:tcPr>
          <w:p w14:paraId="5F2CEE91" w14:textId="77777777" w:rsidR="00E836FB" w:rsidRDefault="00994958">
            <w:pPr>
              <w:textAlignment w:val="bottom"/>
            </w:pPr>
            <w:r>
              <w:rPr>
                <w:rFonts w:ascii="Arial" w:eastAsia="宋体" w:hAnsi="Arial" w:cs="Arial"/>
                <w:color w:val="000000"/>
                <w:sz w:val="18"/>
                <w:szCs w:val="18"/>
              </w:rPr>
              <w:t>Diluted</w:t>
            </w:r>
          </w:p>
        </w:tc>
        <w:tc>
          <w:tcPr>
            <w:tcW w:w="0" w:type="auto"/>
            <w:shd w:val="clear" w:color="auto" w:fill="auto"/>
            <w:vAlign w:val="bottom"/>
          </w:tcPr>
          <w:p w14:paraId="5F2CEE92" w14:textId="77777777" w:rsidR="00E836FB" w:rsidRDefault="00E836FB">
            <w:pPr>
              <w:rPr>
                <w:rFonts w:ascii="宋体"/>
                <w:vanish/>
              </w:rPr>
            </w:pPr>
          </w:p>
        </w:tc>
        <w:tc>
          <w:tcPr>
            <w:tcW w:w="0" w:type="auto"/>
            <w:shd w:val="clear" w:color="auto" w:fill="auto"/>
            <w:vAlign w:val="bottom"/>
          </w:tcPr>
          <w:p w14:paraId="5F2CEE93" w14:textId="77777777" w:rsidR="00E836FB" w:rsidRDefault="00E836FB">
            <w:pPr>
              <w:rPr>
                <w:rFonts w:ascii="宋体"/>
                <w:vanish/>
              </w:rPr>
            </w:pPr>
          </w:p>
        </w:tc>
        <w:tc>
          <w:tcPr>
            <w:tcW w:w="0" w:type="auto"/>
            <w:shd w:val="clear" w:color="auto" w:fill="auto"/>
            <w:vAlign w:val="bottom"/>
          </w:tcPr>
          <w:p w14:paraId="5F2CEE94" w14:textId="77777777" w:rsidR="00E836FB" w:rsidRDefault="00E836FB">
            <w:pPr>
              <w:rPr>
                <w:rFonts w:ascii="宋体"/>
                <w:vanish/>
              </w:rPr>
            </w:pPr>
          </w:p>
        </w:tc>
        <w:tc>
          <w:tcPr>
            <w:tcW w:w="0" w:type="auto"/>
            <w:shd w:val="clear" w:color="auto" w:fill="auto"/>
            <w:vAlign w:val="bottom"/>
          </w:tcPr>
          <w:p w14:paraId="5F2CEE95"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CEE96" w14:textId="77777777" w:rsidR="00E836FB" w:rsidRDefault="00994958">
            <w:pPr>
              <w:jc w:val="right"/>
              <w:textAlignment w:val="bottom"/>
            </w:pPr>
            <w:r>
              <w:rPr>
                <w:rFonts w:ascii="Arial" w:eastAsia="宋体" w:hAnsi="Arial" w:cs="Arial"/>
                <w:b/>
                <w:bCs/>
                <w:color w:val="000000"/>
                <w:sz w:val="18"/>
                <w:szCs w:val="18"/>
              </w:rPr>
              <w:t>357,962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E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E99" w14:textId="77777777" w:rsidR="00E836FB" w:rsidRDefault="00994958">
            <w:pPr>
              <w:jc w:val="right"/>
              <w:textAlignment w:val="bottom"/>
            </w:pPr>
            <w:r>
              <w:rPr>
                <w:rFonts w:ascii="Arial" w:eastAsia="宋体" w:hAnsi="Arial" w:cs="Arial"/>
                <w:color w:val="000000"/>
                <w:sz w:val="18"/>
                <w:szCs w:val="18"/>
              </w:rPr>
              <w:t>357,106 </w:t>
            </w:r>
          </w:p>
        </w:tc>
        <w:tc>
          <w:tcPr>
            <w:tcW w:w="0" w:type="auto"/>
            <w:shd w:val="clear" w:color="auto" w:fill="CCEEFF"/>
            <w:tcMar>
              <w:top w:w="40" w:type="dxa"/>
              <w:left w:w="0" w:type="dxa"/>
              <w:bottom w:w="40" w:type="dxa"/>
              <w:right w:w="20" w:type="dxa"/>
            </w:tcMar>
            <w:vAlign w:val="bottom"/>
          </w:tcPr>
          <w:p w14:paraId="5F2CEE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E9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E9C" w14:textId="77777777" w:rsidR="00E836FB" w:rsidRDefault="00994958">
            <w:pPr>
              <w:jc w:val="right"/>
              <w:textAlignment w:val="bottom"/>
            </w:pPr>
            <w:r>
              <w:rPr>
                <w:rFonts w:ascii="Arial" w:eastAsia="宋体" w:hAnsi="Arial" w:cs="Arial"/>
                <w:color w:val="000000"/>
                <w:sz w:val="18"/>
                <w:szCs w:val="18"/>
              </w:rPr>
              <w:t>373,666 </w:t>
            </w:r>
          </w:p>
        </w:tc>
        <w:tc>
          <w:tcPr>
            <w:tcW w:w="0" w:type="auto"/>
            <w:shd w:val="clear" w:color="auto" w:fill="CCEEFF"/>
            <w:tcMar>
              <w:top w:w="40" w:type="dxa"/>
              <w:left w:w="0" w:type="dxa"/>
              <w:bottom w:w="40" w:type="dxa"/>
              <w:right w:w="20" w:type="dxa"/>
            </w:tcMar>
            <w:vAlign w:val="bottom"/>
          </w:tcPr>
          <w:p w14:paraId="5F2CEE9D" w14:textId="77777777" w:rsidR="00E836FB" w:rsidRDefault="00E836FB">
            <w:pPr>
              <w:jc w:val="right"/>
              <w:rPr>
                <w:rFonts w:ascii="宋体"/>
              </w:rPr>
            </w:pPr>
          </w:p>
        </w:tc>
      </w:tr>
      <w:tr w:rsidR="00E836FB" w14:paraId="5F2CEEAF" w14:textId="77777777">
        <w:tc>
          <w:tcPr>
            <w:tcW w:w="0" w:type="auto"/>
            <w:gridSpan w:val="3"/>
            <w:shd w:val="clear" w:color="auto" w:fill="FFFFFF"/>
            <w:tcMar>
              <w:top w:w="40" w:type="dxa"/>
              <w:left w:w="20" w:type="dxa"/>
              <w:bottom w:w="40" w:type="dxa"/>
              <w:right w:w="20" w:type="dxa"/>
            </w:tcMar>
            <w:vAlign w:val="bottom"/>
          </w:tcPr>
          <w:p w14:paraId="5F2CEE9F" w14:textId="77777777" w:rsidR="00E836FB" w:rsidRDefault="00994958">
            <w:pPr>
              <w:textAlignment w:val="bottom"/>
            </w:pPr>
            <w:r>
              <w:rPr>
                <w:rFonts w:ascii="Arial" w:eastAsia="宋体" w:hAnsi="Arial" w:cs="Arial"/>
                <w:b/>
                <w:bCs/>
                <w:color w:val="000000"/>
                <w:sz w:val="18"/>
                <w:szCs w:val="18"/>
              </w:rPr>
              <w:t xml:space="preserve">Cash dividends declared per </w:t>
            </w:r>
            <w:r>
              <w:rPr>
                <w:rFonts w:ascii="Arial" w:eastAsia="宋体" w:hAnsi="Arial" w:cs="Arial"/>
                <w:b/>
                <w:bCs/>
                <w:color w:val="000000"/>
                <w:sz w:val="18"/>
                <w:szCs w:val="18"/>
              </w:rPr>
              <w:t>common share</w:t>
            </w:r>
          </w:p>
        </w:tc>
        <w:tc>
          <w:tcPr>
            <w:tcW w:w="0" w:type="auto"/>
            <w:shd w:val="clear" w:color="auto" w:fill="auto"/>
            <w:vAlign w:val="bottom"/>
          </w:tcPr>
          <w:p w14:paraId="5F2CEEA0" w14:textId="77777777" w:rsidR="00E836FB" w:rsidRDefault="00E836FB">
            <w:pPr>
              <w:rPr>
                <w:rFonts w:ascii="宋体"/>
                <w:vanish/>
              </w:rPr>
            </w:pPr>
          </w:p>
        </w:tc>
        <w:tc>
          <w:tcPr>
            <w:tcW w:w="0" w:type="auto"/>
            <w:shd w:val="clear" w:color="auto" w:fill="auto"/>
            <w:vAlign w:val="bottom"/>
          </w:tcPr>
          <w:p w14:paraId="5F2CEEA1" w14:textId="77777777" w:rsidR="00E836FB" w:rsidRDefault="00E836FB">
            <w:pPr>
              <w:rPr>
                <w:rFonts w:ascii="宋体"/>
                <w:vanish/>
              </w:rPr>
            </w:pPr>
          </w:p>
        </w:tc>
        <w:tc>
          <w:tcPr>
            <w:tcW w:w="0" w:type="auto"/>
            <w:shd w:val="clear" w:color="auto" w:fill="auto"/>
            <w:vAlign w:val="bottom"/>
          </w:tcPr>
          <w:p w14:paraId="5F2CEEA2" w14:textId="77777777" w:rsidR="00E836FB" w:rsidRDefault="00E836FB">
            <w:pPr>
              <w:rPr>
                <w:rFonts w:ascii="宋体"/>
                <w:vanish/>
              </w:rPr>
            </w:pPr>
          </w:p>
        </w:tc>
        <w:tc>
          <w:tcPr>
            <w:tcW w:w="0" w:type="auto"/>
            <w:shd w:val="clear" w:color="auto" w:fill="auto"/>
            <w:vAlign w:val="bottom"/>
          </w:tcPr>
          <w:p w14:paraId="5F2CEEA3" w14:textId="77777777" w:rsidR="00E836FB" w:rsidRDefault="00E836FB">
            <w:pPr>
              <w:rPr>
                <w:rFonts w:ascii="宋体"/>
                <w:vanish/>
              </w:rPr>
            </w:pPr>
          </w:p>
        </w:tc>
        <w:tc>
          <w:tcPr>
            <w:tcW w:w="0" w:type="auto"/>
            <w:shd w:val="clear" w:color="auto" w:fill="FFFFFF"/>
            <w:tcMar>
              <w:top w:w="40" w:type="dxa"/>
              <w:left w:w="20" w:type="dxa"/>
              <w:bottom w:w="40" w:type="dxa"/>
              <w:right w:w="0" w:type="dxa"/>
            </w:tcMar>
            <w:vAlign w:val="bottom"/>
          </w:tcPr>
          <w:p w14:paraId="5F2CEEA4" w14:textId="77777777" w:rsidR="00E836FB" w:rsidRDefault="00994958">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5F2CEEA5" w14:textId="77777777" w:rsidR="00E836FB" w:rsidRDefault="00994958">
            <w:pPr>
              <w:jc w:val="right"/>
              <w:textAlignment w:val="bottom"/>
            </w:pPr>
            <w:r>
              <w:rPr>
                <w:rFonts w:ascii="Arial" w:eastAsia="宋体" w:hAnsi="Arial" w:cs="Arial"/>
                <w:b/>
                <w:bCs/>
                <w:color w:val="000000"/>
                <w:sz w:val="18"/>
                <w:szCs w:val="18"/>
              </w:rPr>
              <w:t>2.18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E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A7"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EEA8" w14:textId="77777777" w:rsidR="00E836FB" w:rsidRDefault="00994958">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F2CEEA9" w14:textId="77777777" w:rsidR="00E836FB" w:rsidRDefault="00994958">
            <w:pPr>
              <w:jc w:val="right"/>
              <w:textAlignment w:val="bottom"/>
            </w:pPr>
            <w:r>
              <w:rPr>
                <w:rFonts w:ascii="Arial" w:eastAsia="宋体" w:hAnsi="Arial" w:cs="Arial"/>
                <w:color w:val="000000"/>
                <w:sz w:val="18"/>
                <w:szCs w:val="18"/>
              </w:rPr>
              <w:t>2.08 </w:t>
            </w:r>
          </w:p>
        </w:tc>
        <w:tc>
          <w:tcPr>
            <w:tcW w:w="0" w:type="auto"/>
            <w:shd w:val="clear" w:color="auto" w:fill="FFFFFF"/>
            <w:tcMar>
              <w:top w:w="40" w:type="dxa"/>
              <w:left w:w="0" w:type="dxa"/>
              <w:bottom w:w="40" w:type="dxa"/>
              <w:right w:w="20" w:type="dxa"/>
            </w:tcMar>
            <w:vAlign w:val="bottom"/>
          </w:tcPr>
          <w:p w14:paraId="5F2CEE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EAB"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EEAC" w14:textId="77777777" w:rsidR="00E836FB" w:rsidRDefault="00994958">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F2CEEAD" w14:textId="77777777" w:rsidR="00E836FB" w:rsidRDefault="00994958">
            <w:pPr>
              <w:jc w:val="right"/>
              <w:textAlignment w:val="bottom"/>
            </w:pPr>
            <w:r>
              <w:rPr>
                <w:rFonts w:ascii="Arial" w:eastAsia="宋体" w:hAnsi="Arial" w:cs="Arial"/>
                <w:color w:val="000000"/>
                <w:sz w:val="18"/>
                <w:szCs w:val="18"/>
              </w:rPr>
              <w:t>1.98 </w:t>
            </w:r>
          </w:p>
        </w:tc>
        <w:tc>
          <w:tcPr>
            <w:tcW w:w="0" w:type="auto"/>
            <w:shd w:val="clear" w:color="auto" w:fill="FFFFFF"/>
            <w:tcMar>
              <w:top w:w="40" w:type="dxa"/>
              <w:left w:w="0" w:type="dxa"/>
              <w:bottom w:w="40" w:type="dxa"/>
              <w:right w:w="20" w:type="dxa"/>
            </w:tcMar>
            <w:vAlign w:val="bottom"/>
          </w:tcPr>
          <w:p w14:paraId="5F2CEEAE" w14:textId="77777777" w:rsidR="00E836FB" w:rsidRDefault="00E836FB">
            <w:pPr>
              <w:jc w:val="right"/>
              <w:rPr>
                <w:rFonts w:ascii="宋体"/>
              </w:rPr>
            </w:pPr>
          </w:p>
        </w:tc>
      </w:tr>
      <w:tr w:rsidR="00E836FB" w14:paraId="5F2CEEBA" w14:textId="77777777">
        <w:trPr>
          <w:hidden/>
        </w:trPr>
        <w:tc>
          <w:tcPr>
            <w:tcW w:w="0" w:type="auto"/>
            <w:gridSpan w:val="3"/>
            <w:shd w:val="clear" w:color="auto" w:fill="auto"/>
            <w:vAlign w:val="bottom"/>
          </w:tcPr>
          <w:p w14:paraId="5F2CEEB0" w14:textId="77777777" w:rsidR="00E836FB" w:rsidRDefault="00E836FB">
            <w:pPr>
              <w:rPr>
                <w:rFonts w:ascii="宋体"/>
                <w:vanish/>
              </w:rPr>
            </w:pPr>
          </w:p>
        </w:tc>
        <w:tc>
          <w:tcPr>
            <w:tcW w:w="0" w:type="auto"/>
            <w:shd w:val="clear" w:color="auto" w:fill="auto"/>
            <w:vAlign w:val="bottom"/>
          </w:tcPr>
          <w:p w14:paraId="5F2CEEB1" w14:textId="77777777" w:rsidR="00E836FB" w:rsidRDefault="00E836FB">
            <w:pPr>
              <w:rPr>
                <w:rFonts w:ascii="宋体"/>
                <w:vanish/>
              </w:rPr>
            </w:pPr>
          </w:p>
        </w:tc>
        <w:tc>
          <w:tcPr>
            <w:tcW w:w="0" w:type="auto"/>
            <w:shd w:val="clear" w:color="auto" w:fill="auto"/>
            <w:vAlign w:val="bottom"/>
          </w:tcPr>
          <w:p w14:paraId="5F2CEEB2" w14:textId="77777777" w:rsidR="00E836FB" w:rsidRDefault="00E836FB">
            <w:pPr>
              <w:rPr>
                <w:rFonts w:ascii="宋体"/>
                <w:vanish/>
              </w:rPr>
            </w:pPr>
          </w:p>
        </w:tc>
        <w:tc>
          <w:tcPr>
            <w:tcW w:w="0" w:type="auto"/>
            <w:shd w:val="clear" w:color="auto" w:fill="auto"/>
            <w:vAlign w:val="bottom"/>
          </w:tcPr>
          <w:p w14:paraId="5F2CEEB3" w14:textId="77777777" w:rsidR="00E836FB" w:rsidRDefault="00E836FB">
            <w:pPr>
              <w:rPr>
                <w:rFonts w:ascii="宋体"/>
                <w:vanish/>
              </w:rPr>
            </w:pPr>
          </w:p>
        </w:tc>
        <w:tc>
          <w:tcPr>
            <w:tcW w:w="0" w:type="auto"/>
            <w:shd w:val="clear" w:color="auto" w:fill="auto"/>
            <w:vAlign w:val="bottom"/>
          </w:tcPr>
          <w:p w14:paraId="5F2CEEB4" w14:textId="77777777" w:rsidR="00E836FB" w:rsidRDefault="00E836FB">
            <w:pPr>
              <w:rPr>
                <w:rFonts w:ascii="宋体"/>
                <w:vanish/>
              </w:rPr>
            </w:pPr>
          </w:p>
        </w:tc>
        <w:tc>
          <w:tcPr>
            <w:tcW w:w="0" w:type="auto"/>
            <w:gridSpan w:val="3"/>
            <w:shd w:val="clear" w:color="auto" w:fill="auto"/>
            <w:vAlign w:val="bottom"/>
          </w:tcPr>
          <w:p w14:paraId="5F2CEEB5" w14:textId="77777777" w:rsidR="00E836FB" w:rsidRDefault="00E836FB">
            <w:pPr>
              <w:rPr>
                <w:rFonts w:ascii="宋体"/>
                <w:vanish/>
              </w:rPr>
            </w:pPr>
          </w:p>
        </w:tc>
        <w:tc>
          <w:tcPr>
            <w:tcW w:w="0" w:type="auto"/>
            <w:gridSpan w:val="3"/>
            <w:shd w:val="clear" w:color="auto" w:fill="auto"/>
            <w:vAlign w:val="bottom"/>
          </w:tcPr>
          <w:p w14:paraId="5F2CEEB6" w14:textId="77777777" w:rsidR="00E836FB" w:rsidRDefault="00E836FB">
            <w:pPr>
              <w:rPr>
                <w:rFonts w:ascii="宋体"/>
                <w:vanish/>
              </w:rPr>
            </w:pPr>
          </w:p>
        </w:tc>
        <w:tc>
          <w:tcPr>
            <w:tcW w:w="0" w:type="auto"/>
            <w:gridSpan w:val="3"/>
            <w:shd w:val="clear" w:color="auto" w:fill="auto"/>
            <w:vAlign w:val="bottom"/>
          </w:tcPr>
          <w:p w14:paraId="5F2CEEB7" w14:textId="77777777" w:rsidR="00E836FB" w:rsidRDefault="00E836FB">
            <w:pPr>
              <w:rPr>
                <w:rFonts w:ascii="宋体"/>
                <w:vanish/>
              </w:rPr>
            </w:pPr>
          </w:p>
        </w:tc>
        <w:tc>
          <w:tcPr>
            <w:tcW w:w="0" w:type="auto"/>
            <w:gridSpan w:val="3"/>
            <w:shd w:val="clear" w:color="auto" w:fill="auto"/>
            <w:vAlign w:val="bottom"/>
          </w:tcPr>
          <w:p w14:paraId="5F2CEEB8" w14:textId="77777777" w:rsidR="00E836FB" w:rsidRDefault="00E836FB">
            <w:pPr>
              <w:rPr>
                <w:rFonts w:ascii="宋体"/>
                <w:vanish/>
              </w:rPr>
            </w:pPr>
          </w:p>
        </w:tc>
        <w:tc>
          <w:tcPr>
            <w:tcW w:w="0" w:type="auto"/>
            <w:gridSpan w:val="3"/>
            <w:shd w:val="clear" w:color="auto" w:fill="auto"/>
            <w:vAlign w:val="bottom"/>
          </w:tcPr>
          <w:p w14:paraId="5F2CEEB9" w14:textId="77777777" w:rsidR="00E836FB" w:rsidRDefault="00E836FB">
            <w:pPr>
              <w:rPr>
                <w:rFonts w:ascii="宋体"/>
                <w:vanish/>
              </w:rPr>
            </w:pPr>
          </w:p>
        </w:tc>
      </w:tr>
      <w:tr w:rsidR="00E836FB" w14:paraId="5F2CEEC5" w14:textId="77777777">
        <w:trPr>
          <w:hidden/>
        </w:trPr>
        <w:tc>
          <w:tcPr>
            <w:tcW w:w="0" w:type="auto"/>
            <w:gridSpan w:val="3"/>
            <w:shd w:val="clear" w:color="auto" w:fill="auto"/>
            <w:vAlign w:val="bottom"/>
          </w:tcPr>
          <w:p w14:paraId="5F2CEEBB" w14:textId="77777777" w:rsidR="00E836FB" w:rsidRDefault="00E836FB">
            <w:pPr>
              <w:rPr>
                <w:rFonts w:ascii="宋体"/>
                <w:vanish/>
              </w:rPr>
            </w:pPr>
          </w:p>
        </w:tc>
        <w:tc>
          <w:tcPr>
            <w:tcW w:w="0" w:type="auto"/>
            <w:shd w:val="clear" w:color="auto" w:fill="auto"/>
            <w:vAlign w:val="bottom"/>
          </w:tcPr>
          <w:p w14:paraId="5F2CEEBC" w14:textId="77777777" w:rsidR="00E836FB" w:rsidRDefault="00E836FB">
            <w:pPr>
              <w:rPr>
                <w:rFonts w:ascii="宋体"/>
                <w:vanish/>
              </w:rPr>
            </w:pPr>
          </w:p>
        </w:tc>
        <w:tc>
          <w:tcPr>
            <w:tcW w:w="0" w:type="auto"/>
            <w:shd w:val="clear" w:color="auto" w:fill="auto"/>
            <w:vAlign w:val="bottom"/>
          </w:tcPr>
          <w:p w14:paraId="5F2CEEBD" w14:textId="77777777" w:rsidR="00E836FB" w:rsidRDefault="00E836FB">
            <w:pPr>
              <w:rPr>
                <w:rFonts w:ascii="宋体"/>
                <w:vanish/>
              </w:rPr>
            </w:pPr>
          </w:p>
        </w:tc>
        <w:tc>
          <w:tcPr>
            <w:tcW w:w="0" w:type="auto"/>
            <w:shd w:val="clear" w:color="auto" w:fill="auto"/>
            <w:vAlign w:val="bottom"/>
          </w:tcPr>
          <w:p w14:paraId="5F2CEEBE" w14:textId="77777777" w:rsidR="00E836FB" w:rsidRDefault="00E836FB">
            <w:pPr>
              <w:rPr>
                <w:rFonts w:ascii="宋体"/>
                <w:vanish/>
              </w:rPr>
            </w:pPr>
          </w:p>
        </w:tc>
        <w:tc>
          <w:tcPr>
            <w:tcW w:w="0" w:type="auto"/>
            <w:shd w:val="clear" w:color="auto" w:fill="auto"/>
            <w:vAlign w:val="bottom"/>
          </w:tcPr>
          <w:p w14:paraId="5F2CEEBF" w14:textId="77777777" w:rsidR="00E836FB" w:rsidRDefault="00E836FB">
            <w:pPr>
              <w:rPr>
                <w:rFonts w:ascii="宋体"/>
                <w:vanish/>
              </w:rPr>
            </w:pPr>
          </w:p>
        </w:tc>
        <w:tc>
          <w:tcPr>
            <w:tcW w:w="0" w:type="auto"/>
            <w:gridSpan w:val="3"/>
            <w:shd w:val="clear" w:color="auto" w:fill="auto"/>
            <w:vAlign w:val="bottom"/>
          </w:tcPr>
          <w:p w14:paraId="5F2CEEC0" w14:textId="77777777" w:rsidR="00E836FB" w:rsidRDefault="00E836FB">
            <w:pPr>
              <w:rPr>
                <w:rFonts w:ascii="宋体"/>
                <w:vanish/>
              </w:rPr>
            </w:pPr>
          </w:p>
        </w:tc>
        <w:tc>
          <w:tcPr>
            <w:tcW w:w="0" w:type="auto"/>
            <w:gridSpan w:val="3"/>
            <w:shd w:val="clear" w:color="auto" w:fill="auto"/>
            <w:vAlign w:val="bottom"/>
          </w:tcPr>
          <w:p w14:paraId="5F2CEEC1" w14:textId="77777777" w:rsidR="00E836FB" w:rsidRDefault="00E836FB">
            <w:pPr>
              <w:rPr>
                <w:rFonts w:ascii="宋体"/>
                <w:vanish/>
              </w:rPr>
            </w:pPr>
          </w:p>
        </w:tc>
        <w:tc>
          <w:tcPr>
            <w:tcW w:w="0" w:type="auto"/>
            <w:gridSpan w:val="3"/>
            <w:shd w:val="clear" w:color="auto" w:fill="auto"/>
            <w:vAlign w:val="bottom"/>
          </w:tcPr>
          <w:p w14:paraId="5F2CEEC2" w14:textId="77777777" w:rsidR="00E836FB" w:rsidRDefault="00E836FB">
            <w:pPr>
              <w:rPr>
                <w:rFonts w:ascii="宋体"/>
                <w:vanish/>
              </w:rPr>
            </w:pPr>
          </w:p>
        </w:tc>
        <w:tc>
          <w:tcPr>
            <w:tcW w:w="0" w:type="auto"/>
            <w:gridSpan w:val="3"/>
            <w:shd w:val="clear" w:color="auto" w:fill="auto"/>
            <w:vAlign w:val="bottom"/>
          </w:tcPr>
          <w:p w14:paraId="5F2CEEC3" w14:textId="77777777" w:rsidR="00E836FB" w:rsidRDefault="00E836FB">
            <w:pPr>
              <w:rPr>
                <w:rFonts w:ascii="宋体"/>
                <w:vanish/>
              </w:rPr>
            </w:pPr>
          </w:p>
        </w:tc>
        <w:tc>
          <w:tcPr>
            <w:tcW w:w="0" w:type="auto"/>
            <w:gridSpan w:val="3"/>
            <w:shd w:val="clear" w:color="auto" w:fill="auto"/>
            <w:vAlign w:val="bottom"/>
          </w:tcPr>
          <w:p w14:paraId="5F2CEEC4" w14:textId="77777777" w:rsidR="00E836FB" w:rsidRDefault="00E836FB">
            <w:pPr>
              <w:rPr>
                <w:rFonts w:ascii="宋体"/>
                <w:vanish/>
              </w:rPr>
            </w:pPr>
          </w:p>
        </w:tc>
      </w:tr>
      <w:tr w:rsidR="00E836FB" w14:paraId="5F2CEED0" w14:textId="77777777">
        <w:trPr>
          <w:hidden/>
        </w:trPr>
        <w:tc>
          <w:tcPr>
            <w:tcW w:w="0" w:type="auto"/>
            <w:gridSpan w:val="3"/>
            <w:shd w:val="clear" w:color="auto" w:fill="auto"/>
            <w:vAlign w:val="bottom"/>
          </w:tcPr>
          <w:p w14:paraId="5F2CEEC6" w14:textId="77777777" w:rsidR="00E836FB" w:rsidRDefault="00E836FB">
            <w:pPr>
              <w:rPr>
                <w:rFonts w:ascii="宋体"/>
                <w:vanish/>
              </w:rPr>
            </w:pPr>
          </w:p>
        </w:tc>
        <w:tc>
          <w:tcPr>
            <w:tcW w:w="0" w:type="auto"/>
            <w:shd w:val="clear" w:color="auto" w:fill="auto"/>
            <w:vAlign w:val="bottom"/>
          </w:tcPr>
          <w:p w14:paraId="5F2CEEC7" w14:textId="77777777" w:rsidR="00E836FB" w:rsidRDefault="00E836FB">
            <w:pPr>
              <w:rPr>
                <w:rFonts w:ascii="宋体"/>
                <w:vanish/>
              </w:rPr>
            </w:pPr>
          </w:p>
        </w:tc>
        <w:tc>
          <w:tcPr>
            <w:tcW w:w="0" w:type="auto"/>
            <w:shd w:val="clear" w:color="auto" w:fill="auto"/>
            <w:vAlign w:val="bottom"/>
          </w:tcPr>
          <w:p w14:paraId="5F2CEEC8" w14:textId="77777777" w:rsidR="00E836FB" w:rsidRDefault="00E836FB">
            <w:pPr>
              <w:rPr>
                <w:rFonts w:ascii="宋体"/>
                <w:vanish/>
              </w:rPr>
            </w:pPr>
          </w:p>
        </w:tc>
        <w:tc>
          <w:tcPr>
            <w:tcW w:w="0" w:type="auto"/>
            <w:shd w:val="clear" w:color="auto" w:fill="auto"/>
            <w:vAlign w:val="bottom"/>
          </w:tcPr>
          <w:p w14:paraId="5F2CEEC9" w14:textId="77777777" w:rsidR="00E836FB" w:rsidRDefault="00E836FB">
            <w:pPr>
              <w:rPr>
                <w:rFonts w:ascii="宋体"/>
                <w:vanish/>
              </w:rPr>
            </w:pPr>
          </w:p>
        </w:tc>
        <w:tc>
          <w:tcPr>
            <w:tcW w:w="0" w:type="auto"/>
            <w:shd w:val="clear" w:color="auto" w:fill="auto"/>
            <w:vAlign w:val="bottom"/>
          </w:tcPr>
          <w:p w14:paraId="5F2CEECA" w14:textId="77777777" w:rsidR="00E836FB" w:rsidRDefault="00E836FB">
            <w:pPr>
              <w:rPr>
                <w:rFonts w:ascii="宋体"/>
                <w:vanish/>
              </w:rPr>
            </w:pPr>
          </w:p>
        </w:tc>
        <w:tc>
          <w:tcPr>
            <w:tcW w:w="0" w:type="auto"/>
            <w:gridSpan w:val="3"/>
            <w:shd w:val="clear" w:color="auto" w:fill="auto"/>
            <w:vAlign w:val="bottom"/>
          </w:tcPr>
          <w:p w14:paraId="5F2CEECB" w14:textId="77777777" w:rsidR="00E836FB" w:rsidRDefault="00E836FB">
            <w:pPr>
              <w:rPr>
                <w:rFonts w:ascii="宋体"/>
                <w:vanish/>
              </w:rPr>
            </w:pPr>
          </w:p>
        </w:tc>
        <w:tc>
          <w:tcPr>
            <w:tcW w:w="0" w:type="auto"/>
            <w:gridSpan w:val="3"/>
            <w:shd w:val="clear" w:color="auto" w:fill="auto"/>
            <w:vAlign w:val="bottom"/>
          </w:tcPr>
          <w:p w14:paraId="5F2CEECC" w14:textId="77777777" w:rsidR="00E836FB" w:rsidRDefault="00E836FB">
            <w:pPr>
              <w:rPr>
                <w:rFonts w:ascii="宋体"/>
                <w:vanish/>
              </w:rPr>
            </w:pPr>
          </w:p>
        </w:tc>
        <w:tc>
          <w:tcPr>
            <w:tcW w:w="0" w:type="auto"/>
            <w:gridSpan w:val="3"/>
            <w:shd w:val="clear" w:color="auto" w:fill="auto"/>
            <w:vAlign w:val="bottom"/>
          </w:tcPr>
          <w:p w14:paraId="5F2CEECD" w14:textId="77777777" w:rsidR="00E836FB" w:rsidRDefault="00E836FB">
            <w:pPr>
              <w:rPr>
                <w:rFonts w:ascii="宋体"/>
                <w:vanish/>
              </w:rPr>
            </w:pPr>
          </w:p>
        </w:tc>
        <w:tc>
          <w:tcPr>
            <w:tcW w:w="0" w:type="auto"/>
            <w:gridSpan w:val="3"/>
            <w:shd w:val="clear" w:color="auto" w:fill="auto"/>
            <w:vAlign w:val="bottom"/>
          </w:tcPr>
          <w:p w14:paraId="5F2CEECE" w14:textId="77777777" w:rsidR="00E836FB" w:rsidRDefault="00E836FB">
            <w:pPr>
              <w:rPr>
                <w:rFonts w:ascii="宋体"/>
                <w:vanish/>
              </w:rPr>
            </w:pPr>
          </w:p>
        </w:tc>
        <w:tc>
          <w:tcPr>
            <w:tcW w:w="0" w:type="auto"/>
            <w:gridSpan w:val="3"/>
            <w:shd w:val="clear" w:color="auto" w:fill="auto"/>
            <w:vAlign w:val="bottom"/>
          </w:tcPr>
          <w:p w14:paraId="5F2CEECF" w14:textId="77777777" w:rsidR="00E836FB" w:rsidRDefault="00E836FB">
            <w:pPr>
              <w:rPr>
                <w:rFonts w:ascii="宋体"/>
                <w:vanish/>
              </w:rPr>
            </w:pPr>
          </w:p>
        </w:tc>
      </w:tr>
    </w:tbl>
    <w:p w14:paraId="5F2CEED1" w14:textId="77777777" w:rsidR="00E836FB" w:rsidRDefault="00E836FB">
      <w:pPr>
        <w:spacing w:before="90"/>
      </w:pPr>
    </w:p>
    <w:p w14:paraId="5F2CEED2" w14:textId="77777777" w:rsidR="00E836FB" w:rsidRDefault="00E836FB">
      <w:pPr>
        <w:spacing w:before="90"/>
      </w:pPr>
    </w:p>
    <w:p w14:paraId="5F2CEED3" w14:textId="77777777" w:rsidR="00E836FB" w:rsidRDefault="00E836FB">
      <w:pPr>
        <w:spacing w:before="90"/>
      </w:pPr>
    </w:p>
    <w:p w14:paraId="5F2CEED4" w14:textId="77777777" w:rsidR="00E836FB" w:rsidRDefault="00E836FB">
      <w:pPr>
        <w:spacing w:before="90"/>
      </w:pPr>
    </w:p>
    <w:p w14:paraId="5F2CEED5" w14:textId="77777777" w:rsidR="00E836FB" w:rsidRDefault="00E836FB">
      <w:pPr>
        <w:spacing w:before="90"/>
      </w:pPr>
    </w:p>
    <w:p w14:paraId="5F2CEED6" w14:textId="77777777" w:rsidR="00E836FB" w:rsidRDefault="00E836FB">
      <w:pPr>
        <w:spacing w:before="90"/>
      </w:pPr>
    </w:p>
    <w:p w14:paraId="5F2CEED7" w14:textId="77777777" w:rsidR="00E836FB" w:rsidRDefault="00E836FB">
      <w:pPr>
        <w:spacing w:before="90"/>
      </w:pPr>
    </w:p>
    <w:p w14:paraId="5F2CEED8" w14:textId="77777777" w:rsidR="00E836FB" w:rsidRDefault="00E836FB">
      <w:pPr>
        <w:spacing w:before="90"/>
      </w:pPr>
    </w:p>
    <w:p w14:paraId="5F2CEED9" w14:textId="77777777" w:rsidR="00E836FB" w:rsidRDefault="00E836FB">
      <w:pPr>
        <w:spacing w:before="90"/>
      </w:pPr>
    </w:p>
    <w:p w14:paraId="5F2CEEDA" w14:textId="77777777" w:rsidR="00E836FB" w:rsidRDefault="00994958">
      <w:pPr>
        <w:ind w:firstLine="450"/>
        <w:jc w:val="center"/>
      </w:pPr>
      <w:r>
        <w:rPr>
          <w:rFonts w:ascii="Arial" w:eastAsia="宋体" w:hAnsi="Arial" w:cs="Arial"/>
          <w:color w:val="000000"/>
          <w:sz w:val="18"/>
          <w:szCs w:val="18"/>
        </w:rPr>
        <w:t xml:space="preserve">The accompanying notes are an integral part of these consolidated financial statements. </w:t>
      </w:r>
    </w:p>
    <w:p w14:paraId="5F2CEEDB" w14:textId="77777777" w:rsidR="00E836FB" w:rsidRDefault="00994958">
      <w:pPr>
        <w:ind w:firstLine="450"/>
        <w:jc w:val="right"/>
      </w:pPr>
      <w:r>
        <w:rPr>
          <w:rFonts w:ascii="Arial" w:eastAsia="宋体" w:hAnsi="Arial" w:cs="Arial"/>
          <w:color w:val="000000"/>
          <w:sz w:val="18"/>
          <w:szCs w:val="18"/>
        </w:rPr>
        <w:t>State Street Corporation | 130</w:t>
      </w:r>
    </w:p>
    <w:p w14:paraId="5F2CEEDC" w14:textId="77777777" w:rsidR="00E836FB" w:rsidRDefault="00E836FB">
      <w:pPr>
        <w:ind w:firstLine="450"/>
        <w:jc w:val="center"/>
      </w:pPr>
    </w:p>
    <w:p w14:paraId="5F2CEEDD" w14:textId="77777777" w:rsidR="00E836FB" w:rsidRDefault="00994958">
      <w:r>
        <w:pict w14:anchorId="5F2D6E07">
          <v:rect id="_x0000_i1154" style="width:415.3pt;height:1.5pt" o:hralign="center" o:hrstd="t" o:hr="t" fillcolor="#a0a0a0" stroked="f"/>
        </w:pict>
      </w:r>
    </w:p>
    <w:p w14:paraId="5F2CEEDE" w14:textId="77777777" w:rsidR="00E836FB" w:rsidRDefault="00E836FB">
      <w:pPr>
        <w:ind w:firstLine="450"/>
      </w:pPr>
    </w:p>
    <w:p w14:paraId="5F2CEEDF" w14:textId="77777777" w:rsidR="00E836FB" w:rsidRDefault="00E836FB">
      <w:pPr>
        <w:ind w:firstLine="450"/>
        <w:jc w:val="center"/>
      </w:pPr>
    </w:p>
    <w:p w14:paraId="5F2CEEE0" w14:textId="77777777" w:rsidR="00E836FB" w:rsidRDefault="00994958">
      <w:pPr>
        <w:ind w:firstLine="450"/>
        <w:jc w:val="center"/>
      </w:pPr>
      <w:r>
        <w:rPr>
          <w:rFonts w:ascii="Arial" w:eastAsia="宋体" w:hAnsi="Arial" w:cs="Arial"/>
          <w:b/>
          <w:bCs/>
          <w:color w:val="000000"/>
          <w:sz w:val="20"/>
          <w:szCs w:val="20"/>
        </w:rPr>
        <w:t>STATE STREET CORPORATION</w:t>
      </w:r>
    </w:p>
    <w:p w14:paraId="5F2CEEE1" w14:textId="77777777" w:rsidR="00E836FB" w:rsidRDefault="00994958">
      <w:pPr>
        <w:ind w:firstLine="450"/>
        <w:jc w:val="center"/>
      </w:pPr>
      <w:r>
        <w:rPr>
          <w:rFonts w:ascii="Arial" w:eastAsia="宋体" w:hAnsi="Arial" w:cs="Arial"/>
          <w:b/>
          <w:bCs/>
          <w:color w:val="000000"/>
          <w:sz w:val="20"/>
          <w:szCs w:val="20"/>
        </w:rPr>
        <w:t xml:space="preserve">CONSOLIDATED </w:t>
      </w:r>
      <w:r>
        <w:rPr>
          <w:rFonts w:ascii="Arial" w:eastAsia="宋体" w:hAnsi="Arial" w:cs="Arial"/>
          <w:b/>
          <w:bCs/>
          <w:color w:val="000000"/>
          <w:sz w:val="20"/>
          <w:szCs w:val="20"/>
        </w:rPr>
        <w:t>STATEMENT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4745"/>
        <w:gridCol w:w="37"/>
        <w:gridCol w:w="121"/>
        <w:gridCol w:w="969"/>
        <w:gridCol w:w="36"/>
        <w:gridCol w:w="36"/>
        <w:gridCol w:w="36"/>
        <w:gridCol w:w="36"/>
        <w:gridCol w:w="121"/>
        <w:gridCol w:w="929"/>
        <w:gridCol w:w="36"/>
        <w:gridCol w:w="36"/>
        <w:gridCol w:w="36"/>
        <w:gridCol w:w="36"/>
        <w:gridCol w:w="121"/>
        <w:gridCol w:w="930"/>
        <w:gridCol w:w="36"/>
      </w:tblGrid>
      <w:tr w:rsidR="00E836FB" w14:paraId="5F2CEEF4" w14:textId="77777777">
        <w:tc>
          <w:tcPr>
            <w:tcW w:w="50" w:type="pct"/>
            <w:shd w:val="clear" w:color="auto" w:fill="auto"/>
            <w:vAlign w:val="bottom"/>
          </w:tcPr>
          <w:p w14:paraId="5F2CEEE2" w14:textId="77777777" w:rsidR="00E836FB" w:rsidRDefault="00E836FB">
            <w:pPr>
              <w:rPr>
                <w:rFonts w:ascii="宋体"/>
              </w:rPr>
            </w:pPr>
          </w:p>
        </w:tc>
        <w:tc>
          <w:tcPr>
            <w:tcW w:w="2876" w:type="pct"/>
            <w:shd w:val="clear" w:color="auto" w:fill="auto"/>
            <w:vAlign w:val="bottom"/>
          </w:tcPr>
          <w:p w14:paraId="5F2CEEE3" w14:textId="77777777" w:rsidR="00E836FB" w:rsidRDefault="00E836FB">
            <w:pPr>
              <w:rPr>
                <w:rFonts w:ascii="宋体"/>
              </w:rPr>
            </w:pPr>
          </w:p>
        </w:tc>
        <w:tc>
          <w:tcPr>
            <w:tcW w:w="5" w:type="pct"/>
            <w:shd w:val="clear" w:color="auto" w:fill="auto"/>
            <w:vAlign w:val="bottom"/>
          </w:tcPr>
          <w:p w14:paraId="5F2CEEE4" w14:textId="77777777" w:rsidR="00E836FB" w:rsidRDefault="00E836FB">
            <w:pPr>
              <w:rPr>
                <w:rFonts w:ascii="宋体"/>
              </w:rPr>
            </w:pPr>
          </w:p>
        </w:tc>
        <w:tc>
          <w:tcPr>
            <w:tcW w:w="50" w:type="pct"/>
            <w:shd w:val="clear" w:color="auto" w:fill="auto"/>
            <w:vAlign w:val="bottom"/>
          </w:tcPr>
          <w:p w14:paraId="5F2CEEE5" w14:textId="77777777" w:rsidR="00E836FB" w:rsidRDefault="00E836FB">
            <w:pPr>
              <w:rPr>
                <w:rFonts w:ascii="宋体"/>
              </w:rPr>
            </w:pPr>
          </w:p>
        </w:tc>
        <w:tc>
          <w:tcPr>
            <w:tcW w:w="610" w:type="pct"/>
            <w:shd w:val="clear" w:color="auto" w:fill="auto"/>
            <w:vAlign w:val="bottom"/>
          </w:tcPr>
          <w:p w14:paraId="5F2CEEE6" w14:textId="77777777" w:rsidR="00E836FB" w:rsidRDefault="00E836FB">
            <w:pPr>
              <w:rPr>
                <w:rFonts w:ascii="宋体"/>
              </w:rPr>
            </w:pPr>
          </w:p>
        </w:tc>
        <w:tc>
          <w:tcPr>
            <w:tcW w:w="5" w:type="pct"/>
            <w:shd w:val="clear" w:color="auto" w:fill="auto"/>
            <w:vAlign w:val="bottom"/>
          </w:tcPr>
          <w:p w14:paraId="5F2CEEE7" w14:textId="77777777" w:rsidR="00E836FB" w:rsidRDefault="00E836FB">
            <w:pPr>
              <w:rPr>
                <w:rFonts w:ascii="宋体"/>
              </w:rPr>
            </w:pPr>
          </w:p>
        </w:tc>
        <w:tc>
          <w:tcPr>
            <w:tcW w:w="5" w:type="pct"/>
            <w:shd w:val="clear" w:color="auto" w:fill="auto"/>
            <w:vAlign w:val="bottom"/>
          </w:tcPr>
          <w:p w14:paraId="5F2CEEE8" w14:textId="77777777" w:rsidR="00E836FB" w:rsidRDefault="00E836FB">
            <w:pPr>
              <w:rPr>
                <w:rFonts w:ascii="宋体"/>
              </w:rPr>
            </w:pPr>
          </w:p>
        </w:tc>
        <w:tc>
          <w:tcPr>
            <w:tcW w:w="26" w:type="pct"/>
            <w:shd w:val="clear" w:color="auto" w:fill="auto"/>
            <w:vAlign w:val="bottom"/>
          </w:tcPr>
          <w:p w14:paraId="5F2CEEE9" w14:textId="77777777" w:rsidR="00E836FB" w:rsidRDefault="00E836FB">
            <w:pPr>
              <w:rPr>
                <w:rFonts w:ascii="宋体"/>
              </w:rPr>
            </w:pPr>
          </w:p>
        </w:tc>
        <w:tc>
          <w:tcPr>
            <w:tcW w:w="5" w:type="pct"/>
            <w:shd w:val="clear" w:color="auto" w:fill="auto"/>
            <w:vAlign w:val="bottom"/>
          </w:tcPr>
          <w:p w14:paraId="5F2CEEEA" w14:textId="77777777" w:rsidR="00E836FB" w:rsidRDefault="00E836FB">
            <w:pPr>
              <w:rPr>
                <w:rFonts w:ascii="宋体"/>
              </w:rPr>
            </w:pPr>
          </w:p>
        </w:tc>
        <w:tc>
          <w:tcPr>
            <w:tcW w:w="50" w:type="pct"/>
            <w:shd w:val="clear" w:color="auto" w:fill="auto"/>
            <w:vAlign w:val="bottom"/>
          </w:tcPr>
          <w:p w14:paraId="5F2CEEEB" w14:textId="77777777" w:rsidR="00E836FB" w:rsidRDefault="00E836FB">
            <w:pPr>
              <w:rPr>
                <w:rFonts w:ascii="宋体"/>
              </w:rPr>
            </w:pPr>
          </w:p>
        </w:tc>
        <w:tc>
          <w:tcPr>
            <w:tcW w:w="610" w:type="pct"/>
            <w:shd w:val="clear" w:color="auto" w:fill="auto"/>
            <w:vAlign w:val="bottom"/>
          </w:tcPr>
          <w:p w14:paraId="5F2CEEEC" w14:textId="77777777" w:rsidR="00E836FB" w:rsidRDefault="00E836FB">
            <w:pPr>
              <w:rPr>
                <w:rFonts w:ascii="宋体"/>
              </w:rPr>
            </w:pPr>
          </w:p>
        </w:tc>
        <w:tc>
          <w:tcPr>
            <w:tcW w:w="5" w:type="pct"/>
            <w:shd w:val="clear" w:color="auto" w:fill="auto"/>
            <w:vAlign w:val="bottom"/>
          </w:tcPr>
          <w:p w14:paraId="5F2CEEED" w14:textId="77777777" w:rsidR="00E836FB" w:rsidRDefault="00E836FB">
            <w:pPr>
              <w:rPr>
                <w:rFonts w:ascii="宋体"/>
              </w:rPr>
            </w:pPr>
          </w:p>
        </w:tc>
        <w:tc>
          <w:tcPr>
            <w:tcW w:w="5" w:type="pct"/>
            <w:shd w:val="clear" w:color="auto" w:fill="auto"/>
            <w:vAlign w:val="bottom"/>
          </w:tcPr>
          <w:p w14:paraId="5F2CEEEE" w14:textId="77777777" w:rsidR="00E836FB" w:rsidRDefault="00E836FB">
            <w:pPr>
              <w:rPr>
                <w:rFonts w:ascii="宋体"/>
              </w:rPr>
            </w:pPr>
          </w:p>
        </w:tc>
        <w:tc>
          <w:tcPr>
            <w:tcW w:w="26" w:type="pct"/>
            <w:shd w:val="clear" w:color="auto" w:fill="auto"/>
            <w:vAlign w:val="bottom"/>
          </w:tcPr>
          <w:p w14:paraId="5F2CEEEF" w14:textId="77777777" w:rsidR="00E836FB" w:rsidRDefault="00E836FB">
            <w:pPr>
              <w:rPr>
                <w:rFonts w:ascii="宋体"/>
              </w:rPr>
            </w:pPr>
          </w:p>
        </w:tc>
        <w:tc>
          <w:tcPr>
            <w:tcW w:w="5" w:type="pct"/>
            <w:shd w:val="clear" w:color="auto" w:fill="auto"/>
            <w:vAlign w:val="bottom"/>
          </w:tcPr>
          <w:p w14:paraId="5F2CEEF0" w14:textId="77777777" w:rsidR="00E836FB" w:rsidRDefault="00E836FB">
            <w:pPr>
              <w:rPr>
                <w:rFonts w:ascii="宋体"/>
              </w:rPr>
            </w:pPr>
          </w:p>
        </w:tc>
        <w:tc>
          <w:tcPr>
            <w:tcW w:w="50" w:type="pct"/>
            <w:shd w:val="clear" w:color="auto" w:fill="auto"/>
            <w:vAlign w:val="bottom"/>
          </w:tcPr>
          <w:p w14:paraId="5F2CEEF1" w14:textId="77777777" w:rsidR="00E836FB" w:rsidRDefault="00E836FB">
            <w:pPr>
              <w:rPr>
                <w:rFonts w:ascii="宋体"/>
              </w:rPr>
            </w:pPr>
          </w:p>
        </w:tc>
        <w:tc>
          <w:tcPr>
            <w:tcW w:w="610" w:type="pct"/>
            <w:shd w:val="clear" w:color="auto" w:fill="auto"/>
            <w:vAlign w:val="bottom"/>
          </w:tcPr>
          <w:p w14:paraId="5F2CEEF2" w14:textId="77777777" w:rsidR="00E836FB" w:rsidRDefault="00E836FB">
            <w:pPr>
              <w:rPr>
                <w:rFonts w:ascii="宋体"/>
              </w:rPr>
            </w:pPr>
          </w:p>
        </w:tc>
        <w:tc>
          <w:tcPr>
            <w:tcW w:w="5" w:type="pct"/>
            <w:shd w:val="clear" w:color="auto" w:fill="auto"/>
            <w:vAlign w:val="bottom"/>
          </w:tcPr>
          <w:p w14:paraId="5F2CEEF3" w14:textId="77777777" w:rsidR="00E836FB" w:rsidRDefault="00E836FB">
            <w:pPr>
              <w:rPr>
                <w:rFonts w:ascii="宋体"/>
              </w:rPr>
            </w:pPr>
          </w:p>
        </w:tc>
      </w:tr>
      <w:tr w:rsidR="00E836FB" w14:paraId="5F2CEEF7" w14:textId="77777777">
        <w:tc>
          <w:tcPr>
            <w:tcW w:w="0" w:type="auto"/>
            <w:gridSpan w:val="3"/>
            <w:shd w:val="clear" w:color="auto" w:fill="auto"/>
            <w:tcMar>
              <w:top w:w="0" w:type="dxa"/>
              <w:left w:w="20" w:type="dxa"/>
              <w:bottom w:w="0" w:type="dxa"/>
              <w:right w:w="20" w:type="dxa"/>
            </w:tcMar>
            <w:vAlign w:val="bottom"/>
          </w:tcPr>
          <w:p w14:paraId="5F2CEEF5"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EEF6" w14:textId="77777777" w:rsidR="00E836FB" w:rsidRDefault="00994958">
            <w:pPr>
              <w:jc w:val="center"/>
              <w:textAlignment w:val="bottom"/>
            </w:pPr>
            <w:r>
              <w:rPr>
                <w:rFonts w:ascii="Arial" w:eastAsia="宋体" w:hAnsi="Arial" w:cs="Arial"/>
                <w:b/>
                <w:bCs/>
                <w:color w:val="000000"/>
                <w:sz w:val="18"/>
                <w:szCs w:val="18"/>
              </w:rPr>
              <w:t>Years Ended December 31,</w:t>
            </w:r>
          </w:p>
        </w:tc>
      </w:tr>
      <w:tr w:rsidR="00E836FB" w14:paraId="5F2CEEFE" w14:textId="77777777">
        <w:tc>
          <w:tcPr>
            <w:tcW w:w="0" w:type="auto"/>
            <w:gridSpan w:val="3"/>
            <w:shd w:val="clear" w:color="auto" w:fill="auto"/>
            <w:tcMar>
              <w:top w:w="40" w:type="dxa"/>
              <w:left w:w="20" w:type="dxa"/>
              <w:bottom w:w="40" w:type="dxa"/>
              <w:right w:w="20" w:type="dxa"/>
            </w:tcMar>
            <w:vAlign w:val="bottom"/>
          </w:tcPr>
          <w:p w14:paraId="5F2CEEF8" w14:textId="77777777" w:rsidR="00E836FB" w:rsidRDefault="00994958">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EF9" w14:textId="77777777" w:rsidR="00E836FB" w:rsidRDefault="00994958">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EF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EFB" w14:textId="77777777" w:rsidR="00E836FB" w:rsidRDefault="00994958">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EEF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EEFD" w14:textId="77777777" w:rsidR="00E836FB" w:rsidRDefault="00994958">
            <w:pPr>
              <w:jc w:val="center"/>
              <w:textAlignment w:val="bottom"/>
            </w:pPr>
            <w:r>
              <w:rPr>
                <w:rFonts w:ascii="Arial" w:eastAsia="宋体" w:hAnsi="Arial" w:cs="Arial"/>
                <w:b/>
                <w:bCs/>
                <w:color w:val="000000"/>
                <w:sz w:val="18"/>
                <w:szCs w:val="18"/>
              </w:rPr>
              <w:t>2019</w:t>
            </w:r>
          </w:p>
        </w:tc>
      </w:tr>
      <w:tr w:rsidR="00E836FB" w14:paraId="5F2CEF0B" w14:textId="77777777">
        <w:tc>
          <w:tcPr>
            <w:tcW w:w="0" w:type="auto"/>
            <w:gridSpan w:val="3"/>
            <w:shd w:val="clear" w:color="auto" w:fill="CCEEFF"/>
            <w:tcMar>
              <w:top w:w="40" w:type="dxa"/>
              <w:left w:w="20" w:type="dxa"/>
              <w:bottom w:w="40" w:type="dxa"/>
              <w:right w:w="20" w:type="dxa"/>
            </w:tcMar>
            <w:vAlign w:val="bottom"/>
          </w:tcPr>
          <w:p w14:paraId="5F2CEEFF" w14:textId="77777777" w:rsidR="00E836FB" w:rsidRDefault="00994958">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EF00" w14:textId="77777777" w:rsidR="00E836FB" w:rsidRDefault="00994958">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F01" w14:textId="77777777" w:rsidR="00E836FB" w:rsidRDefault="00994958">
            <w:pPr>
              <w:jc w:val="right"/>
              <w:textAlignment w:val="bottom"/>
            </w:pPr>
            <w:r>
              <w:rPr>
                <w:rFonts w:ascii="Arial" w:eastAsia="宋体" w:hAnsi="Arial" w:cs="Arial"/>
                <w:b/>
                <w:bCs/>
                <w:color w:val="000000"/>
                <w:sz w:val="18"/>
                <w:szCs w:val="18"/>
              </w:rPr>
              <w:t>2,693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F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0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F04"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F05" w14:textId="77777777" w:rsidR="00E836FB" w:rsidRDefault="00994958">
            <w:pPr>
              <w:jc w:val="right"/>
              <w:textAlignment w:val="bottom"/>
            </w:pPr>
            <w:r>
              <w:rPr>
                <w:rFonts w:ascii="Arial" w:eastAsia="宋体" w:hAnsi="Arial" w:cs="Arial"/>
                <w:color w:val="000000"/>
                <w:sz w:val="18"/>
                <w:szCs w:val="18"/>
              </w:rPr>
              <w:t>2,420 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F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0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EF08"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EF09" w14:textId="77777777" w:rsidR="00E836FB" w:rsidRDefault="00994958">
            <w:pPr>
              <w:jc w:val="right"/>
              <w:textAlignment w:val="bottom"/>
            </w:pPr>
            <w:r>
              <w:rPr>
                <w:rFonts w:ascii="Arial" w:eastAsia="宋体" w:hAnsi="Arial" w:cs="Arial"/>
                <w:color w:val="000000"/>
                <w:sz w:val="18"/>
                <w:szCs w:val="18"/>
              </w:rPr>
              <w:t>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F0A" w14:textId="77777777" w:rsidR="00E836FB" w:rsidRDefault="00E836FB">
            <w:pPr>
              <w:jc w:val="right"/>
              <w:rPr>
                <w:rFonts w:ascii="宋体"/>
              </w:rPr>
            </w:pPr>
          </w:p>
        </w:tc>
      </w:tr>
      <w:tr w:rsidR="00E836FB" w14:paraId="5F2CEF12" w14:textId="77777777">
        <w:tc>
          <w:tcPr>
            <w:tcW w:w="0" w:type="auto"/>
            <w:gridSpan w:val="3"/>
            <w:shd w:val="clear" w:color="auto" w:fill="auto"/>
            <w:tcMar>
              <w:top w:w="40" w:type="dxa"/>
              <w:left w:w="20" w:type="dxa"/>
              <w:bottom w:w="40" w:type="dxa"/>
              <w:right w:w="20" w:type="dxa"/>
            </w:tcMar>
            <w:vAlign w:val="bottom"/>
          </w:tcPr>
          <w:p w14:paraId="5F2CEF0C" w14:textId="77777777" w:rsidR="00E836FB" w:rsidRDefault="00994958">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auto"/>
            <w:tcMar>
              <w:top w:w="0" w:type="dxa"/>
              <w:left w:w="20" w:type="dxa"/>
              <w:bottom w:w="0" w:type="dxa"/>
              <w:right w:w="20" w:type="dxa"/>
            </w:tcMar>
            <w:vAlign w:val="bottom"/>
          </w:tcPr>
          <w:p w14:paraId="5F2CEF0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F0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F0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F1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EF11" w14:textId="77777777" w:rsidR="00E836FB" w:rsidRDefault="00E836FB">
            <w:pPr>
              <w:rPr>
                <w:rFonts w:ascii="宋体"/>
              </w:rPr>
            </w:pPr>
          </w:p>
        </w:tc>
      </w:tr>
      <w:tr w:rsidR="00E836FB" w14:paraId="5F2CEF1C" w14:textId="77777777">
        <w:tc>
          <w:tcPr>
            <w:tcW w:w="0" w:type="auto"/>
            <w:gridSpan w:val="3"/>
            <w:shd w:val="clear" w:color="auto" w:fill="CCEEFF"/>
            <w:tcMar>
              <w:top w:w="40" w:type="dxa"/>
              <w:left w:w="20" w:type="dxa"/>
              <w:bottom w:w="40" w:type="dxa"/>
              <w:right w:w="20" w:type="dxa"/>
            </w:tcMar>
            <w:vAlign w:val="bottom"/>
          </w:tcPr>
          <w:p w14:paraId="5F2CEF13" w14:textId="77777777" w:rsidR="00E836FB" w:rsidRDefault="00994958">
            <w:pPr>
              <w:textAlignment w:val="bottom"/>
            </w:pPr>
            <w:r>
              <w:rPr>
                <w:rFonts w:ascii="Arial" w:eastAsia="宋体" w:hAnsi="Arial" w:cs="Arial"/>
                <w:color w:val="000000"/>
                <w:sz w:val="18"/>
                <w:szCs w:val="18"/>
              </w:rPr>
              <w:t>Foreign currency translation, net of related taxes of $86, ($40) and $2, respectively</w:t>
            </w:r>
          </w:p>
        </w:tc>
        <w:tc>
          <w:tcPr>
            <w:tcW w:w="0" w:type="auto"/>
            <w:gridSpan w:val="2"/>
            <w:shd w:val="clear" w:color="auto" w:fill="CCEEFF"/>
            <w:tcMar>
              <w:top w:w="40" w:type="dxa"/>
              <w:left w:w="20" w:type="dxa"/>
              <w:bottom w:w="40" w:type="dxa"/>
              <w:right w:w="0" w:type="dxa"/>
            </w:tcMar>
            <w:vAlign w:val="bottom"/>
          </w:tcPr>
          <w:p w14:paraId="5F2CEF14" w14:textId="77777777" w:rsidR="00E836FB" w:rsidRDefault="00994958">
            <w:pPr>
              <w:jc w:val="right"/>
              <w:textAlignment w:val="bottom"/>
            </w:pPr>
            <w:r>
              <w:rPr>
                <w:rFonts w:ascii="Arial" w:eastAsia="宋体" w:hAnsi="Arial" w:cs="Arial"/>
                <w:b/>
                <w:bCs/>
                <w:color w:val="000000"/>
                <w:sz w:val="18"/>
                <w:szCs w:val="18"/>
              </w:rPr>
              <w:t>(413)</w:t>
            </w:r>
          </w:p>
        </w:tc>
        <w:tc>
          <w:tcPr>
            <w:tcW w:w="0" w:type="auto"/>
            <w:shd w:val="clear" w:color="auto" w:fill="CCEEFF"/>
            <w:tcMar>
              <w:top w:w="40" w:type="dxa"/>
              <w:left w:w="0" w:type="dxa"/>
              <w:bottom w:w="40" w:type="dxa"/>
              <w:right w:w="20" w:type="dxa"/>
            </w:tcMar>
            <w:vAlign w:val="bottom"/>
          </w:tcPr>
          <w:p w14:paraId="5F2CEF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F17" w14:textId="77777777" w:rsidR="00E836FB" w:rsidRDefault="00994958">
            <w:pPr>
              <w:jc w:val="right"/>
              <w:textAlignment w:val="bottom"/>
            </w:pPr>
            <w:r>
              <w:rPr>
                <w:rFonts w:ascii="Arial" w:eastAsia="宋体" w:hAnsi="Arial" w:cs="Arial"/>
                <w:color w:val="000000"/>
                <w:sz w:val="18"/>
                <w:szCs w:val="18"/>
              </w:rPr>
              <w:t>488 </w:t>
            </w:r>
          </w:p>
        </w:tc>
        <w:tc>
          <w:tcPr>
            <w:tcW w:w="0" w:type="auto"/>
            <w:shd w:val="clear" w:color="auto" w:fill="CCEEFF"/>
            <w:tcMar>
              <w:top w:w="40" w:type="dxa"/>
              <w:left w:w="0" w:type="dxa"/>
              <w:bottom w:w="40" w:type="dxa"/>
              <w:right w:w="20" w:type="dxa"/>
            </w:tcMar>
            <w:vAlign w:val="bottom"/>
          </w:tcPr>
          <w:p w14:paraId="5F2CEF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1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F1A" w14:textId="77777777" w:rsidR="00E836FB" w:rsidRDefault="00994958">
            <w:pPr>
              <w:jc w:val="right"/>
              <w:textAlignment w:val="bottom"/>
            </w:pPr>
            <w:r>
              <w:rPr>
                <w:rFonts w:ascii="Arial" w:eastAsia="宋体" w:hAnsi="Arial" w:cs="Arial"/>
                <w:color w:val="000000"/>
                <w:sz w:val="18"/>
                <w:szCs w:val="18"/>
              </w:rPr>
              <w:t>(9)</w:t>
            </w:r>
          </w:p>
        </w:tc>
        <w:tc>
          <w:tcPr>
            <w:tcW w:w="0" w:type="auto"/>
            <w:shd w:val="clear" w:color="auto" w:fill="CCEEFF"/>
            <w:tcMar>
              <w:top w:w="40" w:type="dxa"/>
              <w:left w:w="0" w:type="dxa"/>
              <w:bottom w:w="40" w:type="dxa"/>
              <w:right w:w="20" w:type="dxa"/>
            </w:tcMar>
            <w:vAlign w:val="bottom"/>
          </w:tcPr>
          <w:p w14:paraId="5F2CEF1B" w14:textId="77777777" w:rsidR="00E836FB" w:rsidRDefault="00E836FB">
            <w:pPr>
              <w:jc w:val="right"/>
              <w:rPr>
                <w:rFonts w:ascii="宋体"/>
              </w:rPr>
            </w:pPr>
          </w:p>
        </w:tc>
      </w:tr>
      <w:tr w:rsidR="00E836FB" w14:paraId="5F2CEF26" w14:textId="77777777">
        <w:tc>
          <w:tcPr>
            <w:tcW w:w="0" w:type="auto"/>
            <w:gridSpan w:val="3"/>
            <w:shd w:val="clear" w:color="auto" w:fill="FFFFFF"/>
            <w:tcMar>
              <w:top w:w="40" w:type="dxa"/>
              <w:left w:w="20" w:type="dxa"/>
              <w:bottom w:w="40" w:type="dxa"/>
              <w:right w:w="20" w:type="dxa"/>
            </w:tcMar>
            <w:vAlign w:val="bottom"/>
          </w:tcPr>
          <w:p w14:paraId="5F2CEF1D" w14:textId="77777777" w:rsidR="00E836FB" w:rsidRDefault="00994958">
            <w:pPr>
              <w:textAlignment w:val="bottom"/>
            </w:pPr>
            <w:r>
              <w:rPr>
                <w:rFonts w:ascii="Arial" w:eastAsia="宋体" w:hAnsi="Arial" w:cs="Arial"/>
                <w:color w:val="000000"/>
                <w:sz w:val="18"/>
                <w:szCs w:val="18"/>
              </w:rPr>
              <w:t xml:space="preserve">Net unrealized gains (losses) on </w:t>
            </w:r>
            <w:r>
              <w:rPr>
                <w:rFonts w:ascii="Arial" w:eastAsia="宋体" w:hAnsi="Arial" w:cs="Arial"/>
                <w:color w:val="000000"/>
                <w:sz w:val="18"/>
                <w:szCs w:val="18"/>
              </w:rPr>
              <w:t>available-for-sale securities, net of reclassification adjustment and net of related taxes of ($344), $165 and $212, respectively</w:t>
            </w:r>
          </w:p>
        </w:tc>
        <w:tc>
          <w:tcPr>
            <w:tcW w:w="0" w:type="auto"/>
            <w:gridSpan w:val="2"/>
            <w:shd w:val="clear" w:color="auto" w:fill="FFFFFF"/>
            <w:tcMar>
              <w:top w:w="40" w:type="dxa"/>
              <w:left w:w="20" w:type="dxa"/>
              <w:bottom w:w="40" w:type="dxa"/>
              <w:right w:w="0" w:type="dxa"/>
            </w:tcMar>
            <w:vAlign w:val="bottom"/>
          </w:tcPr>
          <w:p w14:paraId="5F2CEF1E" w14:textId="77777777" w:rsidR="00E836FB" w:rsidRDefault="00994958">
            <w:pPr>
              <w:jc w:val="right"/>
              <w:textAlignment w:val="bottom"/>
            </w:pPr>
            <w:r>
              <w:rPr>
                <w:rFonts w:ascii="Arial" w:eastAsia="宋体" w:hAnsi="Arial" w:cs="Arial"/>
                <w:b/>
                <w:bCs/>
                <w:color w:val="000000"/>
                <w:sz w:val="18"/>
                <w:szCs w:val="18"/>
              </w:rPr>
              <w:t>(912)</w:t>
            </w:r>
          </w:p>
        </w:tc>
        <w:tc>
          <w:tcPr>
            <w:tcW w:w="0" w:type="auto"/>
            <w:shd w:val="clear" w:color="auto" w:fill="FFFFFF"/>
            <w:tcMar>
              <w:top w:w="40" w:type="dxa"/>
              <w:left w:w="0" w:type="dxa"/>
              <w:bottom w:w="40" w:type="dxa"/>
              <w:right w:w="20" w:type="dxa"/>
            </w:tcMar>
            <w:vAlign w:val="bottom"/>
          </w:tcPr>
          <w:p w14:paraId="5F2CEF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F21" w14:textId="77777777" w:rsidR="00E836FB" w:rsidRDefault="00994958">
            <w:pPr>
              <w:jc w:val="right"/>
              <w:textAlignment w:val="bottom"/>
            </w:pPr>
            <w:r>
              <w:rPr>
                <w:rFonts w:ascii="Arial" w:eastAsia="宋体" w:hAnsi="Arial" w:cs="Arial"/>
                <w:color w:val="000000"/>
                <w:sz w:val="18"/>
                <w:szCs w:val="18"/>
              </w:rPr>
              <w:t>436 </w:t>
            </w:r>
          </w:p>
        </w:tc>
        <w:tc>
          <w:tcPr>
            <w:tcW w:w="0" w:type="auto"/>
            <w:shd w:val="clear" w:color="auto" w:fill="FFFFFF"/>
            <w:tcMar>
              <w:top w:w="40" w:type="dxa"/>
              <w:left w:w="0" w:type="dxa"/>
              <w:bottom w:w="40" w:type="dxa"/>
              <w:right w:w="20" w:type="dxa"/>
            </w:tcMar>
            <w:vAlign w:val="bottom"/>
          </w:tcPr>
          <w:p w14:paraId="5F2CEF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F24" w14:textId="77777777" w:rsidR="00E836FB" w:rsidRDefault="00994958">
            <w:pPr>
              <w:jc w:val="right"/>
              <w:textAlignment w:val="bottom"/>
            </w:pPr>
            <w:r>
              <w:rPr>
                <w:rFonts w:ascii="Arial" w:eastAsia="宋体" w:hAnsi="Arial" w:cs="Arial"/>
                <w:color w:val="000000"/>
                <w:sz w:val="18"/>
                <w:szCs w:val="18"/>
              </w:rPr>
              <w:t>545 </w:t>
            </w:r>
          </w:p>
        </w:tc>
        <w:tc>
          <w:tcPr>
            <w:tcW w:w="0" w:type="auto"/>
            <w:shd w:val="clear" w:color="auto" w:fill="FFFFFF"/>
            <w:tcMar>
              <w:top w:w="40" w:type="dxa"/>
              <w:left w:w="0" w:type="dxa"/>
              <w:bottom w:w="40" w:type="dxa"/>
              <w:right w:w="20" w:type="dxa"/>
            </w:tcMar>
            <w:vAlign w:val="bottom"/>
          </w:tcPr>
          <w:p w14:paraId="5F2CEF25" w14:textId="77777777" w:rsidR="00E836FB" w:rsidRDefault="00E836FB">
            <w:pPr>
              <w:jc w:val="right"/>
              <w:rPr>
                <w:rFonts w:ascii="宋体"/>
              </w:rPr>
            </w:pPr>
          </w:p>
        </w:tc>
      </w:tr>
      <w:tr w:rsidR="00E836FB" w14:paraId="5F2CEF30" w14:textId="77777777">
        <w:tc>
          <w:tcPr>
            <w:tcW w:w="0" w:type="auto"/>
            <w:gridSpan w:val="3"/>
            <w:shd w:val="clear" w:color="auto" w:fill="CCEEFF"/>
            <w:tcMar>
              <w:top w:w="40" w:type="dxa"/>
              <w:left w:w="20" w:type="dxa"/>
              <w:bottom w:w="40" w:type="dxa"/>
              <w:right w:w="20" w:type="dxa"/>
            </w:tcMar>
            <w:vAlign w:val="bottom"/>
          </w:tcPr>
          <w:p w14:paraId="5F2CEF27" w14:textId="77777777" w:rsidR="00E836FB" w:rsidRDefault="00994958">
            <w:pPr>
              <w:textAlignment w:val="bottom"/>
            </w:pPr>
            <w:r>
              <w:rPr>
                <w:rFonts w:ascii="Arial" w:eastAsia="宋体" w:hAnsi="Arial" w:cs="Arial"/>
                <w:color w:val="000000"/>
                <w:sz w:val="18"/>
                <w:szCs w:val="18"/>
              </w:rPr>
              <w:t xml:space="preserve">Net unrealized gains on available-for-sale securities designated in fair value hedges, net of </w:t>
            </w:r>
            <w:r>
              <w:rPr>
                <w:rFonts w:ascii="Arial" w:eastAsia="宋体" w:hAnsi="Arial" w:cs="Arial"/>
                <w:color w:val="000000"/>
                <w:sz w:val="18"/>
                <w:szCs w:val="18"/>
              </w:rPr>
              <w:t>related taxes of $6, $1 and $6, respectively</w:t>
            </w:r>
          </w:p>
        </w:tc>
        <w:tc>
          <w:tcPr>
            <w:tcW w:w="0" w:type="auto"/>
            <w:gridSpan w:val="2"/>
            <w:shd w:val="clear" w:color="auto" w:fill="CCEEFF"/>
            <w:tcMar>
              <w:top w:w="40" w:type="dxa"/>
              <w:left w:w="20" w:type="dxa"/>
              <w:bottom w:w="40" w:type="dxa"/>
              <w:right w:w="0" w:type="dxa"/>
            </w:tcMar>
            <w:vAlign w:val="bottom"/>
          </w:tcPr>
          <w:p w14:paraId="5F2CEF28" w14:textId="77777777" w:rsidR="00E836FB" w:rsidRDefault="00994958">
            <w:pPr>
              <w:jc w:val="right"/>
              <w:textAlignment w:val="bottom"/>
            </w:pPr>
            <w:r>
              <w:rPr>
                <w:rFonts w:ascii="Arial" w:eastAsia="宋体" w:hAnsi="Arial" w:cs="Arial"/>
                <w:b/>
                <w:bCs/>
                <w:color w:val="000000"/>
                <w:sz w:val="18"/>
                <w:szCs w:val="18"/>
              </w:rPr>
              <w:t>16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EF2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2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F2B" w14:textId="77777777" w:rsidR="00E836FB" w:rsidRDefault="00994958">
            <w:pPr>
              <w:jc w:val="right"/>
              <w:textAlignment w:val="bottom"/>
            </w:pPr>
            <w:r>
              <w:rPr>
                <w:rFonts w:ascii="Arial" w:eastAsia="宋体" w:hAnsi="Arial" w:cs="Arial"/>
                <w:color w:val="000000"/>
                <w:sz w:val="18"/>
                <w:szCs w:val="18"/>
              </w:rPr>
              <w:t>3 </w:t>
            </w:r>
          </w:p>
        </w:tc>
        <w:tc>
          <w:tcPr>
            <w:tcW w:w="0" w:type="auto"/>
            <w:shd w:val="clear" w:color="auto" w:fill="CCEEFF"/>
            <w:tcMar>
              <w:top w:w="40" w:type="dxa"/>
              <w:left w:w="0" w:type="dxa"/>
              <w:bottom w:w="40" w:type="dxa"/>
              <w:right w:w="20" w:type="dxa"/>
            </w:tcMar>
            <w:vAlign w:val="bottom"/>
          </w:tcPr>
          <w:p w14:paraId="5F2CEF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2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F2E" w14:textId="77777777" w:rsidR="00E836FB" w:rsidRDefault="00994958">
            <w:pPr>
              <w:jc w:val="right"/>
              <w:textAlignment w:val="bottom"/>
            </w:pPr>
            <w:r>
              <w:rPr>
                <w:rFonts w:ascii="Arial" w:eastAsia="宋体" w:hAnsi="Arial" w:cs="Arial"/>
                <w:color w:val="000000"/>
                <w:sz w:val="18"/>
                <w:szCs w:val="18"/>
              </w:rPr>
              <w:t>18 </w:t>
            </w:r>
          </w:p>
        </w:tc>
        <w:tc>
          <w:tcPr>
            <w:tcW w:w="0" w:type="auto"/>
            <w:shd w:val="clear" w:color="auto" w:fill="CCEEFF"/>
            <w:tcMar>
              <w:top w:w="40" w:type="dxa"/>
              <w:left w:w="0" w:type="dxa"/>
              <w:bottom w:w="40" w:type="dxa"/>
              <w:right w:w="20" w:type="dxa"/>
            </w:tcMar>
            <w:vAlign w:val="bottom"/>
          </w:tcPr>
          <w:p w14:paraId="5F2CEF2F" w14:textId="77777777" w:rsidR="00E836FB" w:rsidRDefault="00E836FB">
            <w:pPr>
              <w:jc w:val="right"/>
              <w:rPr>
                <w:rFonts w:ascii="宋体"/>
              </w:rPr>
            </w:pPr>
          </w:p>
        </w:tc>
      </w:tr>
      <w:tr w:rsidR="00E836FB" w14:paraId="5F2CEF3A" w14:textId="77777777">
        <w:tc>
          <w:tcPr>
            <w:tcW w:w="0" w:type="auto"/>
            <w:gridSpan w:val="3"/>
            <w:shd w:val="clear" w:color="auto" w:fill="FFFFFF"/>
            <w:tcMar>
              <w:top w:w="40" w:type="dxa"/>
              <w:left w:w="20" w:type="dxa"/>
              <w:bottom w:w="40" w:type="dxa"/>
              <w:right w:w="20" w:type="dxa"/>
            </w:tcMar>
            <w:vAlign w:val="bottom"/>
          </w:tcPr>
          <w:p w14:paraId="5F2CEF31" w14:textId="77777777" w:rsidR="00E836FB" w:rsidRDefault="00994958">
            <w:pPr>
              <w:textAlignment w:val="bottom"/>
            </w:pPr>
            <w:r>
              <w:rPr>
                <w:rFonts w:ascii="Arial" w:eastAsia="宋体" w:hAnsi="Arial" w:cs="Arial"/>
                <w:color w:val="000000"/>
                <w:sz w:val="18"/>
                <w:szCs w:val="18"/>
              </w:rPr>
              <w:t xml:space="preserve">Non-credit impairment on held-to-maturity securities previously identified under ASC 320, net of related taxes of $0, $0 and $1, respectively </w:t>
            </w:r>
            <w:r>
              <w:rPr>
                <w:rFonts w:ascii="Arial" w:eastAsia="宋体" w:hAnsi="Arial" w:cs="Arial"/>
                <w:color w:val="000000"/>
                <w:sz w:val="11"/>
                <w:szCs w:val="11"/>
              </w:rPr>
              <w:t>(1)</w:t>
            </w:r>
          </w:p>
        </w:tc>
        <w:tc>
          <w:tcPr>
            <w:tcW w:w="0" w:type="auto"/>
            <w:gridSpan w:val="2"/>
            <w:shd w:val="clear" w:color="auto" w:fill="FFFFFF"/>
            <w:tcMar>
              <w:top w:w="40" w:type="dxa"/>
              <w:left w:w="20" w:type="dxa"/>
              <w:bottom w:w="40" w:type="dxa"/>
              <w:right w:w="0" w:type="dxa"/>
            </w:tcMar>
            <w:vAlign w:val="bottom"/>
          </w:tcPr>
          <w:p w14:paraId="5F2CEF32" w14:textId="77777777" w:rsidR="00E836FB" w:rsidRDefault="00994958">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F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3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F35" w14:textId="77777777" w:rsidR="00E836FB" w:rsidRDefault="00994958">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F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3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F38" w14:textId="77777777" w:rsidR="00E836FB" w:rsidRDefault="00994958">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5F2CEF39" w14:textId="77777777" w:rsidR="00E836FB" w:rsidRDefault="00E836FB">
            <w:pPr>
              <w:jc w:val="right"/>
              <w:rPr>
                <w:rFonts w:ascii="宋体"/>
              </w:rPr>
            </w:pPr>
          </w:p>
        </w:tc>
      </w:tr>
      <w:tr w:rsidR="00E836FB" w14:paraId="5F2CEF44" w14:textId="77777777">
        <w:tc>
          <w:tcPr>
            <w:tcW w:w="0" w:type="auto"/>
            <w:gridSpan w:val="3"/>
            <w:shd w:val="clear" w:color="auto" w:fill="CCEEFF"/>
            <w:tcMar>
              <w:top w:w="40" w:type="dxa"/>
              <w:left w:w="20" w:type="dxa"/>
              <w:bottom w:w="40" w:type="dxa"/>
              <w:right w:w="20" w:type="dxa"/>
            </w:tcMar>
            <w:vAlign w:val="bottom"/>
          </w:tcPr>
          <w:p w14:paraId="5F2CEF3B" w14:textId="77777777" w:rsidR="00E836FB" w:rsidRDefault="00994958">
            <w:pPr>
              <w:textAlignment w:val="bottom"/>
            </w:pPr>
            <w:r>
              <w:rPr>
                <w:rFonts w:ascii="Arial" w:eastAsia="宋体" w:hAnsi="Arial" w:cs="Arial"/>
                <w:color w:val="000000"/>
                <w:sz w:val="18"/>
                <w:szCs w:val="18"/>
              </w:rPr>
              <w:t xml:space="preserve">Net unrealized gains (losses) on cash flow hedges, net of related taxes of ($24), $46 and </w:t>
            </w:r>
            <w:r>
              <w:rPr>
                <w:rFonts w:ascii="Arial" w:eastAsia="宋体" w:hAnsi="Arial" w:cs="Arial"/>
                <w:color w:val="000000"/>
                <w:sz w:val="18"/>
                <w:szCs w:val="18"/>
              </w:rPr>
              <w:t>$9, respectively</w:t>
            </w:r>
          </w:p>
        </w:tc>
        <w:tc>
          <w:tcPr>
            <w:tcW w:w="0" w:type="auto"/>
            <w:gridSpan w:val="2"/>
            <w:shd w:val="clear" w:color="auto" w:fill="CCEEFF"/>
            <w:tcMar>
              <w:top w:w="40" w:type="dxa"/>
              <w:left w:w="20" w:type="dxa"/>
              <w:bottom w:w="40" w:type="dxa"/>
              <w:right w:w="0" w:type="dxa"/>
            </w:tcMar>
            <w:vAlign w:val="bottom"/>
          </w:tcPr>
          <w:p w14:paraId="5F2CEF3C" w14:textId="77777777" w:rsidR="00E836FB" w:rsidRDefault="00994958">
            <w:pPr>
              <w:jc w:val="right"/>
              <w:textAlignment w:val="bottom"/>
            </w:pPr>
            <w:r>
              <w:rPr>
                <w:rFonts w:ascii="Arial" w:eastAsia="宋体" w:hAnsi="Arial" w:cs="Arial"/>
                <w:b/>
                <w:bCs/>
                <w:color w:val="000000"/>
                <w:sz w:val="18"/>
                <w:szCs w:val="18"/>
              </w:rPr>
              <w:t>(59)</w:t>
            </w:r>
          </w:p>
        </w:tc>
        <w:tc>
          <w:tcPr>
            <w:tcW w:w="0" w:type="auto"/>
            <w:shd w:val="clear" w:color="auto" w:fill="CCEEFF"/>
            <w:tcMar>
              <w:top w:w="40" w:type="dxa"/>
              <w:left w:w="0" w:type="dxa"/>
              <w:bottom w:w="40" w:type="dxa"/>
              <w:right w:w="20" w:type="dxa"/>
            </w:tcMar>
            <w:vAlign w:val="bottom"/>
          </w:tcPr>
          <w:p w14:paraId="5F2CEF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3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F3F" w14:textId="77777777" w:rsidR="00E836FB" w:rsidRDefault="00994958">
            <w:pPr>
              <w:jc w:val="right"/>
              <w:textAlignment w:val="bottom"/>
            </w:pPr>
            <w:r>
              <w:rPr>
                <w:rFonts w:ascii="Arial" w:eastAsia="宋体" w:hAnsi="Arial" w:cs="Arial"/>
                <w:color w:val="000000"/>
                <w:sz w:val="18"/>
                <w:szCs w:val="18"/>
              </w:rPr>
              <w:t>127 </w:t>
            </w:r>
          </w:p>
        </w:tc>
        <w:tc>
          <w:tcPr>
            <w:tcW w:w="0" w:type="auto"/>
            <w:shd w:val="clear" w:color="auto" w:fill="CCEEFF"/>
            <w:tcMar>
              <w:top w:w="40" w:type="dxa"/>
              <w:left w:w="0" w:type="dxa"/>
              <w:bottom w:w="40" w:type="dxa"/>
              <w:right w:w="20" w:type="dxa"/>
            </w:tcMar>
            <w:vAlign w:val="bottom"/>
          </w:tcPr>
          <w:p w14:paraId="5F2CEF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4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EF42" w14:textId="77777777" w:rsidR="00E836FB" w:rsidRDefault="00994958">
            <w:pPr>
              <w:jc w:val="right"/>
              <w:textAlignment w:val="bottom"/>
            </w:pPr>
            <w:r>
              <w:rPr>
                <w:rFonts w:ascii="Arial" w:eastAsia="宋体" w:hAnsi="Arial" w:cs="Arial"/>
                <w:color w:val="000000"/>
                <w:sz w:val="18"/>
                <w:szCs w:val="18"/>
              </w:rPr>
              <w:t>25 </w:t>
            </w:r>
          </w:p>
        </w:tc>
        <w:tc>
          <w:tcPr>
            <w:tcW w:w="0" w:type="auto"/>
            <w:shd w:val="clear" w:color="auto" w:fill="CCEEFF"/>
            <w:tcMar>
              <w:top w:w="40" w:type="dxa"/>
              <w:left w:w="0" w:type="dxa"/>
              <w:bottom w:w="40" w:type="dxa"/>
              <w:right w:w="20" w:type="dxa"/>
            </w:tcMar>
            <w:vAlign w:val="bottom"/>
          </w:tcPr>
          <w:p w14:paraId="5F2CEF43" w14:textId="77777777" w:rsidR="00E836FB" w:rsidRDefault="00E836FB">
            <w:pPr>
              <w:jc w:val="right"/>
              <w:rPr>
                <w:rFonts w:ascii="宋体"/>
              </w:rPr>
            </w:pPr>
          </w:p>
        </w:tc>
      </w:tr>
      <w:tr w:rsidR="00E836FB" w14:paraId="5F2CEF4E" w14:textId="77777777">
        <w:tc>
          <w:tcPr>
            <w:tcW w:w="0" w:type="auto"/>
            <w:gridSpan w:val="3"/>
            <w:shd w:val="clear" w:color="auto" w:fill="FFFFFF"/>
            <w:tcMar>
              <w:top w:w="40" w:type="dxa"/>
              <w:left w:w="20" w:type="dxa"/>
              <w:bottom w:w="40" w:type="dxa"/>
              <w:right w:w="20" w:type="dxa"/>
            </w:tcMar>
            <w:vAlign w:val="bottom"/>
          </w:tcPr>
          <w:p w14:paraId="5F2CEF45" w14:textId="77777777" w:rsidR="00E836FB" w:rsidRDefault="00994958">
            <w:pPr>
              <w:textAlignment w:val="bottom"/>
            </w:pPr>
            <w:r>
              <w:rPr>
                <w:rFonts w:ascii="Arial" w:eastAsia="宋体" w:hAnsi="Arial" w:cs="Arial"/>
                <w:color w:val="000000"/>
                <w:sz w:val="18"/>
                <w:szCs w:val="18"/>
              </w:rPr>
              <w:t>Net unrealized gains (losses) on retirement plans, net of related taxes of $16, $3 and $(8), respectively</w:t>
            </w:r>
          </w:p>
        </w:tc>
        <w:tc>
          <w:tcPr>
            <w:tcW w:w="0" w:type="auto"/>
            <w:gridSpan w:val="2"/>
            <w:shd w:val="clear" w:color="auto" w:fill="FFFFFF"/>
            <w:tcMar>
              <w:top w:w="40" w:type="dxa"/>
              <w:left w:w="20" w:type="dxa"/>
              <w:bottom w:w="40" w:type="dxa"/>
              <w:right w:w="0" w:type="dxa"/>
            </w:tcMar>
            <w:vAlign w:val="bottom"/>
          </w:tcPr>
          <w:p w14:paraId="5F2CEF46" w14:textId="77777777" w:rsidR="00E836FB" w:rsidRDefault="00994958">
            <w:pPr>
              <w:jc w:val="right"/>
              <w:textAlignment w:val="bottom"/>
            </w:pPr>
            <w:r>
              <w:rPr>
                <w:rFonts w:ascii="Arial" w:eastAsia="宋体" w:hAnsi="Arial" w:cs="Arial"/>
                <w:b/>
                <w:bCs/>
                <w:color w:val="000000"/>
                <w:sz w:val="18"/>
                <w:szCs w:val="18"/>
              </w:rPr>
              <w:t>48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EF4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4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F49" w14:textId="77777777" w:rsidR="00E836FB" w:rsidRDefault="00994958">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5F2CEF4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4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EF4C" w14:textId="77777777" w:rsidR="00E836FB" w:rsidRDefault="00994958">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5F2CEF4D" w14:textId="77777777" w:rsidR="00E836FB" w:rsidRDefault="00E836FB">
            <w:pPr>
              <w:jc w:val="right"/>
              <w:rPr>
                <w:rFonts w:ascii="宋体"/>
              </w:rPr>
            </w:pPr>
          </w:p>
        </w:tc>
      </w:tr>
      <w:tr w:rsidR="00E836FB" w14:paraId="5F2CEF58" w14:textId="77777777">
        <w:tc>
          <w:tcPr>
            <w:tcW w:w="0" w:type="auto"/>
            <w:gridSpan w:val="3"/>
            <w:shd w:val="clear" w:color="auto" w:fill="CCEEFF"/>
            <w:tcMar>
              <w:top w:w="40" w:type="dxa"/>
              <w:left w:w="20" w:type="dxa"/>
              <w:bottom w:w="40" w:type="dxa"/>
              <w:right w:w="20" w:type="dxa"/>
            </w:tcMar>
            <w:vAlign w:val="bottom"/>
          </w:tcPr>
          <w:p w14:paraId="5F2CEF4F" w14:textId="77777777" w:rsidR="00E836FB" w:rsidRDefault="00994958">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F50" w14:textId="77777777" w:rsidR="00E836FB" w:rsidRDefault="00994958">
            <w:pPr>
              <w:jc w:val="right"/>
              <w:textAlignment w:val="bottom"/>
            </w:pPr>
            <w:r>
              <w:rPr>
                <w:rFonts w:ascii="Arial" w:eastAsia="宋体" w:hAnsi="Arial" w:cs="Arial"/>
                <w:b/>
                <w:bCs/>
                <w:color w:val="000000"/>
                <w:sz w:val="18"/>
                <w:szCs w:val="18"/>
              </w:rPr>
              <w:t>(1,320)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F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5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F53" w14:textId="77777777" w:rsidR="00E836FB" w:rsidRDefault="00994958">
            <w:pPr>
              <w:jc w:val="right"/>
              <w:textAlignment w:val="bottom"/>
            </w:pPr>
            <w:r>
              <w:rPr>
                <w:rFonts w:ascii="Arial" w:eastAsia="宋体" w:hAnsi="Arial" w:cs="Arial"/>
                <w:color w:val="000000"/>
                <w:sz w:val="18"/>
                <w:szCs w:val="18"/>
              </w:rPr>
              <w:t>1,063 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F5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EF5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EF56" w14:textId="77777777" w:rsidR="00E836FB" w:rsidRDefault="00994958">
            <w:pPr>
              <w:jc w:val="right"/>
              <w:textAlignment w:val="bottom"/>
            </w:pPr>
            <w:r>
              <w:rPr>
                <w:rFonts w:ascii="Arial" w:eastAsia="宋体" w:hAnsi="Arial" w:cs="Arial"/>
                <w:color w:val="000000"/>
                <w:sz w:val="18"/>
                <w:szCs w:val="18"/>
              </w:rPr>
              <w:t>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EF57" w14:textId="77777777" w:rsidR="00E836FB" w:rsidRDefault="00E836FB">
            <w:pPr>
              <w:jc w:val="right"/>
              <w:rPr>
                <w:rFonts w:ascii="宋体"/>
              </w:rPr>
            </w:pPr>
          </w:p>
        </w:tc>
      </w:tr>
      <w:tr w:rsidR="00E836FB" w14:paraId="5F2CEF65" w14:textId="77777777">
        <w:tc>
          <w:tcPr>
            <w:tcW w:w="0" w:type="auto"/>
            <w:gridSpan w:val="3"/>
            <w:shd w:val="clear" w:color="auto" w:fill="auto"/>
            <w:tcMar>
              <w:top w:w="40" w:type="dxa"/>
              <w:left w:w="20" w:type="dxa"/>
              <w:bottom w:w="40" w:type="dxa"/>
              <w:right w:w="20" w:type="dxa"/>
            </w:tcMar>
            <w:vAlign w:val="bottom"/>
          </w:tcPr>
          <w:p w14:paraId="5F2CEF59" w14:textId="77777777" w:rsidR="00E836FB" w:rsidRDefault="00994958">
            <w:pPr>
              <w:textAlignment w:val="bottom"/>
            </w:pPr>
            <w:r>
              <w:rPr>
                <w:rFonts w:ascii="Arial" w:eastAsia="宋体" w:hAnsi="Arial" w:cs="Arial"/>
                <w:b/>
                <w:bCs/>
                <w:color w:val="000000"/>
                <w:sz w:val="18"/>
                <w:szCs w:val="18"/>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F5A" w14:textId="77777777" w:rsidR="00E836FB" w:rsidRDefault="00994958">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F5B" w14:textId="77777777" w:rsidR="00E836FB" w:rsidRDefault="00994958">
            <w:pPr>
              <w:jc w:val="right"/>
              <w:textAlignment w:val="bottom"/>
            </w:pPr>
            <w:r>
              <w:rPr>
                <w:rFonts w:ascii="Arial" w:eastAsia="宋体" w:hAnsi="Arial" w:cs="Arial"/>
                <w:b/>
                <w:bCs/>
                <w:color w:val="000000"/>
                <w:sz w:val="18"/>
                <w:szCs w:val="18"/>
              </w:rPr>
              <w:t>1,373</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F5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5D"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F5E"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F5F" w14:textId="77777777" w:rsidR="00E836FB" w:rsidRDefault="00994958">
            <w:pPr>
              <w:jc w:val="right"/>
              <w:textAlignment w:val="bottom"/>
            </w:pPr>
            <w:r>
              <w:rPr>
                <w:rFonts w:ascii="Arial" w:eastAsia="宋体" w:hAnsi="Arial" w:cs="Arial"/>
                <w:color w:val="000000"/>
                <w:sz w:val="18"/>
                <w:szCs w:val="18"/>
              </w:rPr>
              <w:t>3,483 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F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EF61"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EF62"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EF63" w14:textId="77777777" w:rsidR="00E836FB" w:rsidRDefault="00994958">
            <w:pPr>
              <w:jc w:val="right"/>
              <w:textAlignment w:val="bottom"/>
            </w:pPr>
            <w:r>
              <w:rPr>
                <w:rFonts w:ascii="Arial" w:eastAsia="宋体" w:hAnsi="Arial" w:cs="Arial"/>
                <w:color w:val="000000"/>
                <w:sz w:val="18"/>
                <w:szCs w:val="18"/>
              </w:rPr>
              <w:t>2,806 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EF64" w14:textId="77777777" w:rsidR="00E836FB" w:rsidRDefault="00E836FB">
            <w:pPr>
              <w:jc w:val="right"/>
              <w:rPr>
                <w:rFonts w:ascii="宋体"/>
              </w:rPr>
            </w:pPr>
          </w:p>
        </w:tc>
      </w:tr>
      <w:tr w:rsidR="00E836FB" w14:paraId="5F2CEF6C" w14:textId="77777777">
        <w:trPr>
          <w:hidden/>
        </w:trPr>
        <w:tc>
          <w:tcPr>
            <w:tcW w:w="0" w:type="auto"/>
            <w:gridSpan w:val="3"/>
            <w:shd w:val="clear" w:color="auto" w:fill="auto"/>
            <w:vAlign w:val="bottom"/>
          </w:tcPr>
          <w:p w14:paraId="5F2CEF66" w14:textId="77777777" w:rsidR="00E836FB" w:rsidRDefault="00E836FB">
            <w:pPr>
              <w:rPr>
                <w:rFonts w:ascii="宋体"/>
                <w:vanish/>
              </w:rPr>
            </w:pPr>
          </w:p>
        </w:tc>
        <w:tc>
          <w:tcPr>
            <w:tcW w:w="0" w:type="auto"/>
            <w:gridSpan w:val="3"/>
            <w:shd w:val="clear" w:color="auto" w:fill="auto"/>
            <w:vAlign w:val="bottom"/>
          </w:tcPr>
          <w:p w14:paraId="5F2CEF67" w14:textId="77777777" w:rsidR="00E836FB" w:rsidRDefault="00E836FB">
            <w:pPr>
              <w:rPr>
                <w:rFonts w:ascii="宋体"/>
                <w:vanish/>
              </w:rPr>
            </w:pPr>
          </w:p>
        </w:tc>
        <w:tc>
          <w:tcPr>
            <w:tcW w:w="0" w:type="auto"/>
            <w:gridSpan w:val="3"/>
            <w:shd w:val="clear" w:color="auto" w:fill="auto"/>
            <w:vAlign w:val="bottom"/>
          </w:tcPr>
          <w:p w14:paraId="5F2CEF68" w14:textId="77777777" w:rsidR="00E836FB" w:rsidRDefault="00E836FB">
            <w:pPr>
              <w:rPr>
                <w:rFonts w:ascii="宋体"/>
                <w:vanish/>
              </w:rPr>
            </w:pPr>
          </w:p>
        </w:tc>
        <w:tc>
          <w:tcPr>
            <w:tcW w:w="0" w:type="auto"/>
            <w:gridSpan w:val="3"/>
            <w:shd w:val="clear" w:color="auto" w:fill="auto"/>
            <w:vAlign w:val="bottom"/>
          </w:tcPr>
          <w:p w14:paraId="5F2CEF69" w14:textId="77777777" w:rsidR="00E836FB" w:rsidRDefault="00E836FB">
            <w:pPr>
              <w:rPr>
                <w:rFonts w:ascii="宋体"/>
                <w:vanish/>
              </w:rPr>
            </w:pPr>
          </w:p>
        </w:tc>
        <w:tc>
          <w:tcPr>
            <w:tcW w:w="0" w:type="auto"/>
            <w:gridSpan w:val="3"/>
            <w:shd w:val="clear" w:color="auto" w:fill="auto"/>
            <w:vAlign w:val="bottom"/>
          </w:tcPr>
          <w:p w14:paraId="5F2CEF6A" w14:textId="77777777" w:rsidR="00E836FB" w:rsidRDefault="00E836FB">
            <w:pPr>
              <w:rPr>
                <w:rFonts w:ascii="宋体"/>
                <w:vanish/>
              </w:rPr>
            </w:pPr>
          </w:p>
        </w:tc>
        <w:tc>
          <w:tcPr>
            <w:tcW w:w="0" w:type="auto"/>
            <w:gridSpan w:val="3"/>
            <w:shd w:val="clear" w:color="auto" w:fill="auto"/>
            <w:vAlign w:val="bottom"/>
          </w:tcPr>
          <w:p w14:paraId="5F2CEF6B" w14:textId="77777777" w:rsidR="00E836FB" w:rsidRDefault="00E836FB">
            <w:pPr>
              <w:rPr>
                <w:rFonts w:ascii="宋体"/>
                <w:vanish/>
              </w:rPr>
            </w:pPr>
          </w:p>
        </w:tc>
      </w:tr>
      <w:tr w:rsidR="00E836FB" w14:paraId="5F2CEF7B" w14:textId="77777777">
        <w:trPr>
          <w:hidden/>
        </w:trPr>
        <w:tc>
          <w:tcPr>
            <w:tcW w:w="0" w:type="auto"/>
            <w:gridSpan w:val="3"/>
            <w:shd w:val="clear" w:color="auto" w:fill="auto"/>
            <w:vAlign w:val="bottom"/>
          </w:tcPr>
          <w:p w14:paraId="5F2CEF6D" w14:textId="77777777" w:rsidR="00E836FB" w:rsidRDefault="00E836FB">
            <w:pPr>
              <w:rPr>
                <w:rFonts w:ascii="宋体"/>
                <w:vanish/>
              </w:rPr>
            </w:pPr>
          </w:p>
        </w:tc>
        <w:tc>
          <w:tcPr>
            <w:tcW w:w="0" w:type="auto"/>
            <w:gridSpan w:val="3"/>
            <w:shd w:val="clear" w:color="auto" w:fill="auto"/>
            <w:vAlign w:val="bottom"/>
          </w:tcPr>
          <w:p w14:paraId="5F2CEF6E" w14:textId="77777777" w:rsidR="00E836FB" w:rsidRDefault="00E836FB">
            <w:pPr>
              <w:rPr>
                <w:rFonts w:ascii="宋体"/>
                <w:vanish/>
              </w:rPr>
            </w:pPr>
          </w:p>
        </w:tc>
        <w:tc>
          <w:tcPr>
            <w:tcW w:w="0" w:type="auto"/>
            <w:shd w:val="clear" w:color="auto" w:fill="auto"/>
            <w:vAlign w:val="bottom"/>
          </w:tcPr>
          <w:p w14:paraId="5F2CEF6F" w14:textId="77777777" w:rsidR="00E836FB" w:rsidRDefault="00E836FB">
            <w:pPr>
              <w:rPr>
                <w:rFonts w:ascii="宋体"/>
              </w:rPr>
            </w:pPr>
          </w:p>
        </w:tc>
        <w:tc>
          <w:tcPr>
            <w:tcW w:w="0" w:type="auto"/>
            <w:shd w:val="clear" w:color="auto" w:fill="auto"/>
            <w:vAlign w:val="bottom"/>
          </w:tcPr>
          <w:p w14:paraId="5F2CEF70" w14:textId="77777777" w:rsidR="00E836FB" w:rsidRDefault="00E836FB">
            <w:pPr>
              <w:rPr>
                <w:rFonts w:ascii="宋体"/>
              </w:rPr>
            </w:pPr>
          </w:p>
        </w:tc>
        <w:tc>
          <w:tcPr>
            <w:tcW w:w="0" w:type="auto"/>
            <w:shd w:val="clear" w:color="auto" w:fill="auto"/>
            <w:vAlign w:val="bottom"/>
          </w:tcPr>
          <w:p w14:paraId="5F2CEF71" w14:textId="77777777" w:rsidR="00E836FB" w:rsidRDefault="00E836FB">
            <w:pPr>
              <w:rPr>
                <w:rFonts w:ascii="宋体"/>
              </w:rPr>
            </w:pPr>
          </w:p>
        </w:tc>
        <w:tc>
          <w:tcPr>
            <w:tcW w:w="0" w:type="auto"/>
            <w:shd w:val="clear" w:color="auto" w:fill="auto"/>
            <w:vAlign w:val="bottom"/>
          </w:tcPr>
          <w:p w14:paraId="5F2CEF72" w14:textId="77777777" w:rsidR="00E836FB" w:rsidRDefault="00E836FB">
            <w:pPr>
              <w:rPr>
                <w:rFonts w:ascii="宋体"/>
              </w:rPr>
            </w:pPr>
          </w:p>
        </w:tc>
        <w:tc>
          <w:tcPr>
            <w:tcW w:w="0" w:type="auto"/>
            <w:shd w:val="clear" w:color="auto" w:fill="auto"/>
            <w:vAlign w:val="bottom"/>
          </w:tcPr>
          <w:p w14:paraId="5F2CEF73" w14:textId="77777777" w:rsidR="00E836FB" w:rsidRDefault="00E836FB">
            <w:pPr>
              <w:rPr>
                <w:rFonts w:ascii="宋体"/>
              </w:rPr>
            </w:pPr>
          </w:p>
        </w:tc>
        <w:tc>
          <w:tcPr>
            <w:tcW w:w="0" w:type="auto"/>
            <w:shd w:val="clear" w:color="auto" w:fill="auto"/>
            <w:vAlign w:val="bottom"/>
          </w:tcPr>
          <w:p w14:paraId="5F2CEF74" w14:textId="77777777" w:rsidR="00E836FB" w:rsidRDefault="00E836FB">
            <w:pPr>
              <w:rPr>
                <w:rFonts w:ascii="宋体"/>
              </w:rPr>
            </w:pPr>
          </w:p>
        </w:tc>
        <w:tc>
          <w:tcPr>
            <w:tcW w:w="0" w:type="auto"/>
            <w:shd w:val="clear" w:color="auto" w:fill="auto"/>
            <w:vAlign w:val="bottom"/>
          </w:tcPr>
          <w:p w14:paraId="5F2CEF75" w14:textId="77777777" w:rsidR="00E836FB" w:rsidRDefault="00E836FB">
            <w:pPr>
              <w:rPr>
                <w:rFonts w:ascii="宋体"/>
              </w:rPr>
            </w:pPr>
          </w:p>
        </w:tc>
        <w:tc>
          <w:tcPr>
            <w:tcW w:w="0" w:type="auto"/>
            <w:shd w:val="clear" w:color="auto" w:fill="auto"/>
            <w:vAlign w:val="bottom"/>
          </w:tcPr>
          <w:p w14:paraId="5F2CEF76" w14:textId="77777777" w:rsidR="00E836FB" w:rsidRDefault="00E836FB">
            <w:pPr>
              <w:rPr>
                <w:rFonts w:ascii="宋体"/>
              </w:rPr>
            </w:pPr>
          </w:p>
        </w:tc>
        <w:tc>
          <w:tcPr>
            <w:tcW w:w="0" w:type="auto"/>
            <w:shd w:val="clear" w:color="auto" w:fill="auto"/>
            <w:vAlign w:val="bottom"/>
          </w:tcPr>
          <w:p w14:paraId="5F2CEF77" w14:textId="77777777" w:rsidR="00E836FB" w:rsidRDefault="00E836FB">
            <w:pPr>
              <w:rPr>
                <w:rFonts w:ascii="宋体"/>
              </w:rPr>
            </w:pPr>
          </w:p>
        </w:tc>
        <w:tc>
          <w:tcPr>
            <w:tcW w:w="0" w:type="auto"/>
            <w:shd w:val="clear" w:color="auto" w:fill="auto"/>
            <w:vAlign w:val="bottom"/>
          </w:tcPr>
          <w:p w14:paraId="5F2CEF78" w14:textId="77777777" w:rsidR="00E836FB" w:rsidRDefault="00E836FB">
            <w:pPr>
              <w:rPr>
                <w:rFonts w:ascii="宋体"/>
              </w:rPr>
            </w:pPr>
          </w:p>
        </w:tc>
        <w:tc>
          <w:tcPr>
            <w:tcW w:w="0" w:type="auto"/>
            <w:shd w:val="clear" w:color="auto" w:fill="auto"/>
            <w:vAlign w:val="bottom"/>
          </w:tcPr>
          <w:p w14:paraId="5F2CEF79" w14:textId="77777777" w:rsidR="00E836FB" w:rsidRDefault="00E836FB">
            <w:pPr>
              <w:rPr>
                <w:rFonts w:ascii="宋体"/>
              </w:rPr>
            </w:pPr>
          </w:p>
        </w:tc>
        <w:tc>
          <w:tcPr>
            <w:tcW w:w="0" w:type="auto"/>
            <w:shd w:val="clear" w:color="auto" w:fill="auto"/>
            <w:vAlign w:val="bottom"/>
          </w:tcPr>
          <w:p w14:paraId="5F2CEF7A" w14:textId="77777777" w:rsidR="00E836FB" w:rsidRDefault="00E836FB">
            <w:pPr>
              <w:rPr>
                <w:rFonts w:ascii="宋体"/>
              </w:rPr>
            </w:pPr>
          </w:p>
        </w:tc>
      </w:tr>
      <w:tr w:rsidR="00E836FB" w14:paraId="5F2CEF82" w14:textId="77777777">
        <w:trPr>
          <w:hidden/>
        </w:trPr>
        <w:tc>
          <w:tcPr>
            <w:tcW w:w="0" w:type="auto"/>
            <w:gridSpan w:val="3"/>
            <w:shd w:val="clear" w:color="auto" w:fill="auto"/>
            <w:vAlign w:val="bottom"/>
          </w:tcPr>
          <w:p w14:paraId="5F2CEF7C" w14:textId="77777777" w:rsidR="00E836FB" w:rsidRDefault="00E836FB">
            <w:pPr>
              <w:rPr>
                <w:rFonts w:ascii="宋体"/>
                <w:vanish/>
              </w:rPr>
            </w:pPr>
          </w:p>
        </w:tc>
        <w:tc>
          <w:tcPr>
            <w:tcW w:w="0" w:type="auto"/>
            <w:gridSpan w:val="3"/>
            <w:shd w:val="clear" w:color="auto" w:fill="auto"/>
            <w:vAlign w:val="bottom"/>
          </w:tcPr>
          <w:p w14:paraId="5F2CEF7D" w14:textId="77777777" w:rsidR="00E836FB" w:rsidRDefault="00E836FB">
            <w:pPr>
              <w:rPr>
                <w:rFonts w:ascii="宋体"/>
                <w:vanish/>
              </w:rPr>
            </w:pPr>
          </w:p>
        </w:tc>
        <w:tc>
          <w:tcPr>
            <w:tcW w:w="0" w:type="auto"/>
            <w:gridSpan w:val="3"/>
            <w:shd w:val="clear" w:color="auto" w:fill="auto"/>
            <w:vAlign w:val="bottom"/>
          </w:tcPr>
          <w:p w14:paraId="5F2CEF7E" w14:textId="77777777" w:rsidR="00E836FB" w:rsidRDefault="00E836FB">
            <w:pPr>
              <w:rPr>
                <w:rFonts w:ascii="宋体"/>
                <w:vanish/>
              </w:rPr>
            </w:pPr>
          </w:p>
        </w:tc>
        <w:tc>
          <w:tcPr>
            <w:tcW w:w="0" w:type="auto"/>
            <w:gridSpan w:val="3"/>
            <w:shd w:val="clear" w:color="auto" w:fill="auto"/>
            <w:vAlign w:val="bottom"/>
          </w:tcPr>
          <w:p w14:paraId="5F2CEF7F" w14:textId="77777777" w:rsidR="00E836FB" w:rsidRDefault="00E836FB">
            <w:pPr>
              <w:rPr>
                <w:rFonts w:ascii="宋体"/>
                <w:vanish/>
              </w:rPr>
            </w:pPr>
          </w:p>
        </w:tc>
        <w:tc>
          <w:tcPr>
            <w:tcW w:w="0" w:type="auto"/>
            <w:gridSpan w:val="3"/>
            <w:shd w:val="clear" w:color="auto" w:fill="auto"/>
            <w:vAlign w:val="bottom"/>
          </w:tcPr>
          <w:p w14:paraId="5F2CEF80" w14:textId="77777777" w:rsidR="00E836FB" w:rsidRDefault="00E836FB">
            <w:pPr>
              <w:rPr>
                <w:rFonts w:ascii="宋体"/>
                <w:vanish/>
              </w:rPr>
            </w:pPr>
          </w:p>
        </w:tc>
        <w:tc>
          <w:tcPr>
            <w:tcW w:w="0" w:type="auto"/>
            <w:gridSpan w:val="3"/>
            <w:shd w:val="clear" w:color="auto" w:fill="auto"/>
            <w:vAlign w:val="bottom"/>
          </w:tcPr>
          <w:p w14:paraId="5F2CEF81" w14:textId="77777777" w:rsidR="00E836FB" w:rsidRDefault="00E836FB">
            <w:pPr>
              <w:rPr>
                <w:rFonts w:ascii="宋体"/>
                <w:vanish/>
              </w:rPr>
            </w:pPr>
          </w:p>
        </w:tc>
      </w:tr>
      <w:tr w:rsidR="00E836FB" w14:paraId="5F2CEF89" w14:textId="77777777">
        <w:trPr>
          <w:hidden/>
        </w:trPr>
        <w:tc>
          <w:tcPr>
            <w:tcW w:w="0" w:type="auto"/>
            <w:gridSpan w:val="3"/>
            <w:shd w:val="clear" w:color="auto" w:fill="auto"/>
            <w:vAlign w:val="bottom"/>
          </w:tcPr>
          <w:p w14:paraId="5F2CEF83" w14:textId="77777777" w:rsidR="00E836FB" w:rsidRDefault="00E836FB">
            <w:pPr>
              <w:rPr>
                <w:rFonts w:ascii="宋体"/>
                <w:vanish/>
              </w:rPr>
            </w:pPr>
          </w:p>
        </w:tc>
        <w:tc>
          <w:tcPr>
            <w:tcW w:w="0" w:type="auto"/>
            <w:gridSpan w:val="3"/>
            <w:shd w:val="clear" w:color="auto" w:fill="auto"/>
            <w:vAlign w:val="bottom"/>
          </w:tcPr>
          <w:p w14:paraId="5F2CEF84" w14:textId="77777777" w:rsidR="00E836FB" w:rsidRDefault="00E836FB">
            <w:pPr>
              <w:rPr>
                <w:rFonts w:ascii="宋体"/>
                <w:vanish/>
              </w:rPr>
            </w:pPr>
          </w:p>
        </w:tc>
        <w:tc>
          <w:tcPr>
            <w:tcW w:w="0" w:type="auto"/>
            <w:gridSpan w:val="3"/>
            <w:shd w:val="clear" w:color="auto" w:fill="auto"/>
            <w:vAlign w:val="bottom"/>
          </w:tcPr>
          <w:p w14:paraId="5F2CEF85" w14:textId="77777777" w:rsidR="00E836FB" w:rsidRDefault="00E836FB">
            <w:pPr>
              <w:rPr>
                <w:rFonts w:ascii="宋体"/>
                <w:vanish/>
              </w:rPr>
            </w:pPr>
          </w:p>
        </w:tc>
        <w:tc>
          <w:tcPr>
            <w:tcW w:w="0" w:type="auto"/>
            <w:gridSpan w:val="3"/>
            <w:shd w:val="clear" w:color="auto" w:fill="auto"/>
            <w:vAlign w:val="bottom"/>
          </w:tcPr>
          <w:p w14:paraId="5F2CEF86" w14:textId="77777777" w:rsidR="00E836FB" w:rsidRDefault="00E836FB">
            <w:pPr>
              <w:rPr>
                <w:rFonts w:ascii="宋体"/>
                <w:vanish/>
              </w:rPr>
            </w:pPr>
          </w:p>
        </w:tc>
        <w:tc>
          <w:tcPr>
            <w:tcW w:w="0" w:type="auto"/>
            <w:gridSpan w:val="3"/>
            <w:shd w:val="clear" w:color="auto" w:fill="auto"/>
            <w:vAlign w:val="bottom"/>
          </w:tcPr>
          <w:p w14:paraId="5F2CEF87" w14:textId="77777777" w:rsidR="00E836FB" w:rsidRDefault="00E836FB">
            <w:pPr>
              <w:rPr>
                <w:rFonts w:ascii="宋体"/>
                <w:vanish/>
              </w:rPr>
            </w:pPr>
          </w:p>
        </w:tc>
        <w:tc>
          <w:tcPr>
            <w:tcW w:w="0" w:type="auto"/>
            <w:gridSpan w:val="3"/>
            <w:shd w:val="clear" w:color="auto" w:fill="auto"/>
            <w:vAlign w:val="bottom"/>
          </w:tcPr>
          <w:p w14:paraId="5F2CEF88" w14:textId="77777777" w:rsidR="00E836FB" w:rsidRDefault="00E836FB">
            <w:pPr>
              <w:rPr>
                <w:rFonts w:ascii="宋体"/>
                <w:vanish/>
              </w:rPr>
            </w:pPr>
          </w:p>
        </w:tc>
      </w:tr>
      <w:tr w:rsidR="00E836FB" w14:paraId="5F2CEF90" w14:textId="77777777">
        <w:trPr>
          <w:hidden/>
        </w:trPr>
        <w:tc>
          <w:tcPr>
            <w:tcW w:w="0" w:type="auto"/>
            <w:gridSpan w:val="3"/>
            <w:shd w:val="clear" w:color="auto" w:fill="auto"/>
            <w:vAlign w:val="bottom"/>
          </w:tcPr>
          <w:p w14:paraId="5F2CEF8A" w14:textId="77777777" w:rsidR="00E836FB" w:rsidRDefault="00E836FB">
            <w:pPr>
              <w:rPr>
                <w:rFonts w:ascii="宋体"/>
                <w:vanish/>
              </w:rPr>
            </w:pPr>
          </w:p>
        </w:tc>
        <w:tc>
          <w:tcPr>
            <w:tcW w:w="0" w:type="auto"/>
            <w:gridSpan w:val="3"/>
            <w:shd w:val="clear" w:color="auto" w:fill="auto"/>
            <w:vAlign w:val="bottom"/>
          </w:tcPr>
          <w:p w14:paraId="5F2CEF8B" w14:textId="77777777" w:rsidR="00E836FB" w:rsidRDefault="00E836FB">
            <w:pPr>
              <w:rPr>
                <w:rFonts w:ascii="宋体"/>
                <w:vanish/>
              </w:rPr>
            </w:pPr>
          </w:p>
        </w:tc>
        <w:tc>
          <w:tcPr>
            <w:tcW w:w="0" w:type="auto"/>
            <w:gridSpan w:val="3"/>
            <w:shd w:val="clear" w:color="auto" w:fill="auto"/>
            <w:vAlign w:val="bottom"/>
          </w:tcPr>
          <w:p w14:paraId="5F2CEF8C" w14:textId="77777777" w:rsidR="00E836FB" w:rsidRDefault="00E836FB">
            <w:pPr>
              <w:rPr>
                <w:rFonts w:ascii="宋体"/>
                <w:vanish/>
              </w:rPr>
            </w:pPr>
          </w:p>
        </w:tc>
        <w:tc>
          <w:tcPr>
            <w:tcW w:w="0" w:type="auto"/>
            <w:gridSpan w:val="3"/>
            <w:shd w:val="clear" w:color="auto" w:fill="auto"/>
            <w:vAlign w:val="bottom"/>
          </w:tcPr>
          <w:p w14:paraId="5F2CEF8D" w14:textId="77777777" w:rsidR="00E836FB" w:rsidRDefault="00E836FB">
            <w:pPr>
              <w:rPr>
                <w:rFonts w:ascii="宋体"/>
                <w:vanish/>
              </w:rPr>
            </w:pPr>
          </w:p>
        </w:tc>
        <w:tc>
          <w:tcPr>
            <w:tcW w:w="0" w:type="auto"/>
            <w:gridSpan w:val="3"/>
            <w:shd w:val="clear" w:color="auto" w:fill="auto"/>
            <w:vAlign w:val="bottom"/>
          </w:tcPr>
          <w:p w14:paraId="5F2CEF8E" w14:textId="77777777" w:rsidR="00E836FB" w:rsidRDefault="00E836FB">
            <w:pPr>
              <w:rPr>
                <w:rFonts w:ascii="宋体"/>
                <w:vanish/>
              </w:rPr>
            </w:pPr>
          </w:p>
        </w:tc>
        <w:tc>
          <w:tcPr>
            <w:tcW w:w="0" w:type="auto"/>
            <w:gridSpan w:val="3"/>
            <w:shd w:val="clear" w:color="auto" w:fill="auto"/>
            <w:vAlign w:val="bottom"/>
          </w:tcPr>
          <w:p w14:paraId="5F2CEF8F" w14:textId="77777777" w:rsidR="00E836FB" w:rsidRDefault="00E836FB">
            <w:pPr>
              <w:rPr>
                <w:rFonts w:ascii="宋体"/>
                <w:vanish/>
              </w:rPr>
            </w:pPr>
          </w:p>
        </w:tc>
      </w:tr>
      <w:tr w:rsidR="00E836FB" w14:paraId="5F2CEF97" w14:textId="77777777">
        <w:trPr>
          <w:hidden/>
        </w:trPr>
        <w:tc>
          <w:tcPr>
            <w:tcW w:w="0" w:type="auto"/>
            <w:gridSpan w:val="3"/>
            <w:shd w:val="clear" w:color="auto" w:fill="auto"/>
            <w:vAlign w:val="bottom"/>
          </w:tcPr>
          <w:p w14:paraId="5F2CEF91" w14:textId="77777777" w:rsidR="00E836FB" w:rsidRDefault="00E836FB">
            <w:pPr>
              <w:rPr>
                <w:rFonts w:ascii="宋体"/>
                <w:vanish/>
              </w:rPr>
            </w:pPr>
          </w:p>
        </w:tc>
        <w:tc>
          <w:tcPr>
            <w:tcW w:w="0" w:type="auto"/>
            <w:gridSpan w:val="3"/>
            <w:shd w:val="clear" w:color="auto" w:fill="auto"/>
            <w:vAlign w:val="bottom"/>
          </w:tcPr>
          <w:p w14:paraId="5F2CEF92" w14:textId="77777777" w:rsidR="00E836FB" w:rsidRDefault="00E836FB">
            <w:pPr>
              <w:rPr>
                <w:rFonts w:ascii="宋体"/>
                <w:vanish/>
              </w:rPr>
            </w:pPr>
          </w:p>
        </w:tc>
        <w:tc>
          <w:tcPr>
            <w:tcW w:w="0" w:type="auto"/>
            <w:gridSpan w:val="3"/>
            <w:shd w:val="clear" w:color="auto" w:fill="auto"/>
            <w:vAlign w:val="bottom"/>
          </w:tcPr>
          <w:p w14:paraId="5F2CEF93" w14:textId="77777777" w:rsidR="00E836FB" w:rsidRDefault="00E836FB">
            <w:pPr>
              <w:rPr>
                <w:rFonts w:ascii="宋体"/>
                <w:vanish/>
              </w:rPr>
            </w:pPr>
          </w:p>
        </w:tc>
        <w:tc>
          <w:tcPr>
            <w:tcW w:w="0" w:type="auto"/>
            <w:gridSpan w:val="3"/>
            <w:shd w:val="clear" w:color="auto" w:fill="auto"/>
            <w:vAlign w:val="bottom"/>
          </w:tcPr>
          <w:p w14:paraId="5F2CEF94" w14:textId="77777777" w:rsidR="00E836FB" w:rsidRDefault="00E836FB">
            <w:pPr>
              <w:rPr>
                <w:rFonts w:ascii="宋体"/>
                <w:vanish/>
              </w:rPr>
            </w:pPr>
          </w:p>
        </w:tc>
        <w:tc>
          <w:tcPr>
            <w:tcW w:w="0" w:type="auto"/>
            <w:gridSpan w:val="3"/>
            <w:shd w:val="clear" w:color="auto" w:fill="auto"/>
            <w:vAlign w:val="bottom"/>
          </w:tcPr>
          <w:p w14:paraId="5F2CEF95" w14:textId="77777777" w:rsidR="00E836FB" w:rsidRDefault="00E836FB">
            <w:pPr>
              <w:rPr>
                <w:rFonts w:ascii="宋体"/>
                <w:vanish/>
              </w:rPr>
            </w:pPr>
          </w:p>
        </w:tc>
        <w:tc>
          <w:tcPr>
            <w:tcW w:w="0" w:type="auto"/>
            <w:gridSpan w:val="3"/>
            <w:shd w:val="clear" w:color="auto" w:fill="auto"/>
            <w:vAlign w:val="bottom"/>
          </w:tcPr>
          <w:p w14:paraId="5F2CEF96" w14:textId="77777777" w:rsidR="00E836FB" w:rsidRDefault="00E836FB">
            <w:pPr>
              <w:rPr>
                <w:rFonts w:ascii="宋体"/>
                <w:vanish/>
              </w:rPr>
            </w:pPr>
          </w:p>
        </w:tc>
      </w:tr>
      <w:tr w:rsidR="00E836FB" w14:paraId="5F2CEF9E" w14:textId="77777777">
        <w:trPr>
          <w:hidden/>
        </w:trPr>
        <w:tc>
          <w:tcPr>
            <w:tcW w:w="0" w:type="auto"/>
            <w:gridSpan w:val="3"/>
            <w:shd w:val="clear" w:color="auto" w:fill="auto"/>
            <w:vAlign w:val="bottom"/>
          </w:tcPr>
          <w:p w14:paraId="5F2CEF98" w14:textId="77777777" w:rsidR="00E836FB" w:rsidRDefault="00E836FB">
            <w:pPr>
              <w:rPr>
                <w:rFonts w:ascii="宋体"/>
                <w:vanish/>
              </w:rPr>
            </w:pPr>
          </w:p>
        </w:tc>
        <w:tc>
          <w:tcPr>
            <w:tcW w:w="0" w:type="auto"/>
            <w:gridSpan w:val="3"/>
            <w:shd w:val="clear" w:color="auto" w:fill="auto"/>
            <w:vAlign w:val="bottom"/>
          </w:tcPr>
          <w:p w14:paraId="5F2CEF99" w14:textId="77777777" w:rsidR="00E836FB" w:rsidRDefault="00E836FB">
            <w:pPr>
              <w:rPr>
                <w:rFonts w:ascii="宋体"/>
                <w:vanish/>
              </w:rPr>
            </w:pPr>
          </w:p>
        </w:tc>
        <w:tc>
          <w:tcPr>
            <w:tcW w:w="0" w:type="auto"/>
            <w:gridSpan w:val="3"/>
            <w:shd w:val="clear" w:color="auto" w:fill="auto"/>
            <w:vAlign w:val="bottom"/>
          </w:tcPr>
          <w:p w14:paraId="5F2CEF9A" w14:textId="77777777" w:rsidR="00E836FB" w:rsidRDefault="00E836FB">
            <w:pPr>
              <w:rPr>
                <w:rFonts w:ascii="宋体"/>
                <w:vanish/>
              </w:rPr>
            </w:pPr>
          </w:p>
        </w:tc>
        <w:tc>
          <w:tcPr>
            <w:tcW w:w="0" w:type="auto"/>
            <w:gridSpan w:val="3"/>
            <w:shd w:val="clear" w:color="auto" w:fill="auto"/>
            <w:vAlign w:val="bottom"/>
          </w:tcPr>
          <w:p w14:paraId="5F2CEF9B" w14:textId="77777777" w:rsidR="00E836FB" w:rsidRDefault="00E836FB">
            <w:pPr>
              <w:rPr>
                <w:rFonts w:ascii="宋体"/>
                <w:vanish/>
              </w:rPr>
            </w:pPr>
          </w:p>
        </w:tc>
        <w:tc>
          <w:tcPr>
            <w:tcW w:w="0" w:type="auto"/>
            <w:gridSpan w:val="3"/>
            <w:shd w:val="clear" w:color="auto" w:fill="auto"/>
            <w:vAlign w:val="bottom"/>
          </w:tcPr>
          <w:p w14:paraId="5F2CEF9C" w14:textId="77777777" w:rsidR="00E836FB" w:rsidRDefault="00E836FB">
            <w:pPr>
              <w:rPr>
                <w:rFonts w:ascii="宋体"/>
                <w:vanish/>
              </w:rPr>
            </w:pPr>
          </w:p>
        </w:tc>
        <w:tc>
          <w:tcPr>
            <w:tcW w:w="0" w:type="auto"/>
            <w:gridSpan w:val="3"/>
            <w:shd w:val="clear" w:color="auto" w:fill="auto"/>
            <w:vAlign w:val="bottom"/>
          </w:tcPr>
          <w:p w14:paraId="5F2CEF9D" w14:textId="77777777" w:rsidR="00E836FB" w:rsidRDefault="00E836FB">
            <w:pPr>
              <w:rPr>
                <w:rFonts w:ascii="宋体"/>
                <w:vanish/>
              </w:rPr>
            </w:pPr>
          </w:p>
        </w:tc>
      </w:tr>
      <w:tr w:rsidR="00E836FB" w14:paraId="5F2CEFA5" w14:textId="77777777">
        <w:trPr>
          <w:hidden/>
        </w:trPr>
        <w:tc>
          <w:tcPr>
            <w:tcW w:w="0" w:type="auto"/>
            <w:gridSpan w:val="3"/>
            <w:shd w:val="clear" w:color="auto" w:fill="auto"/>
            <w:vAlign w:val="bottom"/>
          </w:tcPr>
          <w:p w14:paraId="5F2CEF9F" w14:textId="77777777" w:rsidR="00E836FB" w:rsidRDefault="00E836FB">
            <w:pPr>
              <w:rPr>
                <w:rFonts w:ascii="宋体"/>
                <w:vanish/>
              </w:rPr>
            </w:pPr>
          </w:p>
        </w:tc>
        <w:tc>
          <w:tcPr>
            <w:tcW w:w="0" w:type="auto"/>
            <w:gridSpan w:val="3"/>
            <w:shd w:val="clear" w:color="auto" w:fill="auto"/>
            <w:vAlign w:val="bottom"/>
          </w:tcPr>
          <w:p w14:paraId="5F2CEFA0" w14:textId="77777777" w:rsidR="00E836FB" w:rsidRDefault="00E836FB">
            <w:pPr>
              <w:rPr>
                <w:rFonts w:ascii="宋体"/>
                <w:vanish/>
              </w:rPr>
            </w:pPr>
          </w:p>
        </w:tc>
        <w:tc>
          <w:tcPr>
            <w:tcW w:w="0" w:type="auto"/>
            <w:gridSpan w:val="3"/>
            <w:shd w:val="clear" w:color="auto" w:fill="auto"/>
            <w:vAlign w:val="bottom"/>
          </w:tcPr>
          <w:p w14:paraId="5F2CEFA1" w14:textId="77777777" w:rsidR="00E836FB" w:rsidRDefault="00E836FB">
            <w:pPr>
              <w:rPr>
                <w:rFonts w:ascii="宋体"/>
                <w:vanish/>
              </w:rPr>
            </w:pPr>
          </w:p>
        </w:tc>
        <w:tc>
          <w:tcPr>
            <w:tcW w:w="0" w:type="auto"/>
            <w:gridSpan w:val="3"/>
            <w:shd w:val="clear" w:color="auto" w:fill="auto"/>
            <w:vAlign w:val="bottom"/>
          </w:tcPr>
          <w:p w14:paraId="5F2CEFA2" w14:textId="77777777" w:rsidR="00E836FB" w:rsidRDefault="00E836FB">
            <w:pPr>
              <w:rPr>
                <w:rFonts w:ascii="宋体"/>
                <w:vanish/>
              </w:rPr>
            </w:pPr>
          </w:p>
        </w:tc>
        <w:tc>
          <w:tcPr>
            <w:tcW w:w="0" w:type="auto"/>
            <w:gridSpan w:val="3"/>
            <w:shd w:val="clear" w:color="auto" w:fill="auto"/>
            <w:vAlign w:val="bottom"/>
          </w:tcPr>
          <w:p w14:paraId="5F2CEFA3" w14:textId="77777777" w:rsidR="00E836FB" w:rsidRDefault="00E836FB">
            <w:pPr>
              <w:rPr>
                <w:rFonts w:ascii="宋体"/>
                <w:vanish/>
              </w:rPr>
            </w:pPr>
          </w:p>
        </w:tc>
        <w:tc>
          <w:tcPr>
            <w:tcW w:w="0" w:type="auto"/>
            <w:gridSpan w:val="3"/>
            <w:shd w:val="clear" w:color="auto" w:fill="auto"/>
            <w:vAlign w:val="bottom"/>
          </w:tcPr>
          <w:p w14:paraId="5F2CEFA4" w14:textId="77777777" w:rsidR="00E836FB" w:rsidRDefault="00E836FB">
            <w:pPr>
              <w:rPr>
                <w:rFonts w:ascii="宋体"/>
                <w:vanish/>
              </w:rPr>
            </w:pPr>
          </w:p>
        </w:tc>
      </w:tr>
      <w:tr w:rsidR="00E836FB" w14:paraId="5F2CEFAC" w14:textId="77777777">
        <w:trPr>
          <w:hidden/>
        </w:trPr>
        <w:tc>
          <w:tcPr>
            <w:tcW w:w="0" w:type="auto"/>
            <w:gridSpan w:val="3"/>
            <w:shd w:val="clear" w:color="auto" w:fill="auto"/>
            <w:vAlign w:val="bottom"/>
          </w:tcPr>
          <w:p w14:paraId="5F2CEFA6" w14:textId="77777777" w:rsidR="00E836FB" w:rsidRDefault="00E836FB">
            <w:pPr>
              <w:rPr>
                <w:rFonts w:ascii="宋体"/>
                <w:vanish/>
              </w:rPr>
            </w:pPr>
          </w:p>
        </w:tc>
        <w:tc>
          <w:tcPr>
            <w:tcW w:w="0" w:type="auto"/>
            <w:gridSpan w:val="3"/>
            <w:shd w:val="clear" w:color="auto" w:fill="auto"/>
            <w:vAlign w:val="bottom"/>
          </w:tcPr>
          <w:p w14:paraId="5F2CEFA7" w14:textId="77777777" w:rsidR="00E836FB" w:rsidRDefault="00E836FB">
            <w:pPr>
              <w:rPr>
                <w:rFonts w:ascii="宋体"/>
                <w:vanish/>
              </w:rPr>
            </w:pPr>
          </w:p>
        </w:tc>
        <w:tc>
          <w:tcPr>
            <w:tcW w:w="0" w:type="auto"/>
            <w:gridSpan w:val="3"/>
            <w:shd w:val="clear" w:color="auto" w:fill="auto"/>
            <w:vAlign w:val="bottom"/>
          </w:tcPr>
          <w:p w14:paraId="5F2CEFA8" w14:textId="77777777" w:rsidR="00E836FB" w:rsidRDefault="00E836FB">
            <w:pPr>
              <w:rPr>
                <w:rFonts w:ascii="宋体"/>
                <w:vanish/>
              </w:rPr>
            </w:pPr>
          </w:p>
        </w:tc>
        <w:tc>
          <w:tcPr>
            <w:tcW w:w="0" w:type="auto"/>
            <w:gridSpan w:val="3"/>
            <w:shd w:val="clear" w:color="auto" w:fill="auto"/>
            <w:vAlign w:val="bottom"/>
          </w:tcPr>
          <w:p w14:paraId="5F2CEFA9" w14:textId="77777777" w:rsidR="00E836FB" w:rsidRDefault="00E836FB">
            <w:pPr>
              <w:rPr>
                <w:rFonts w:ascii="宋体"/>
                <w:vanish/>
              </w:rPr>
            </w:pPr>
          </w:p>
        </w:tc>
        <w:tc>
          <w:tcPr>
            <w:tcW w:w="0" w:type="auto"/>
            <w:gridSpan w:val="3"/>
            <w:shd w:val="clear" w:color="auto" w:fill="auto"/>
            <w:vAlign w:val="bottom"/>
          </w:tcPr>
          <w:p w14:paraId="5F2CEFAA" w14:textId="77777777" w:rsidR="00E836FB" w:rsidRDefault="00E836FB">
            <w:pPr>
              <w:rPr>
                <w:rFonts w:ascii="宋体"/>
                <w:vanish/>
              </w:rPr>
            </w:pPr>
          </w:p>
        </w:tc>
        <w:tc>
          <w:tcPr>
            <w:tcW w:w="0" w:type="auto"/>
            <w:gridSpan w:val="3"/>
            <w:shd w:val="clear" w:color="auto" w:fill="auto"/>
            <w:vAlign w:val="bottom"/>
          </w:tcPr>
          <w:p w14:paraId="5F2CEFAB" w14:textId="77777777" w:rsidR="00E836FB" w:rsidRDefault="00E836FB">
            <w:pPr>
              <w:rPr>
                <w:rFonts w:ascii="宋体"/>
                <w:vanish/>
              </w:rPr>
            </w:pPr>
          </w:p>
        </w:tc>
      </w:tr>
      <w:tr w:rsidR="00E836FB" w14:paraId="5F2CEFB3" w14:textId="77777777">
        <w:trPr>
          <w:hidden/>
        </w:trPr>
        <w:tc>
          <w:tcPr>
            <w:tcW w:w="0" w:type="auto"/>
            <w:gridSpan w:val="3"/>
            <w:shd w:val="clear" w:color="auto" w:fill="auto"/>
            <w:vAlign w:val="bottom"/>
          </w:tcPr>
          <w:p w14:paraId="5F2CEFAD" w14:textId="77777777" w:rsidR="00E836FB" w:rsidRDefault="00E836FB">
            <w:pPr>
              <w:rPr>
                <w:rFonts w:ascii="宋体"/>
                <w:vanish/>
              </w:rPr>
            </w:pPr>
          </w:p>
        </w:tc>
        <w:tc>
          <w:tcPr>
            <w:tcW w:w="0" w:type="auto"/>
            <w:gridSpan w:val="3"/>
            <w:shd w:val="clear" w:color="auto" w:fill="auto"/>
            <w:vAlign w:val="bottom"/>
          </w:tcPr>
          <w:p w14:paraId="5F2CEFAE" w14:textId="77777777" w:rsidR="00E836FB" w:rsidRDefault="00E836FB">
            <w:pPr>
              <w:rPr>
                <w:rFonts w:ascii="宋体"/>
                <w:vanish/>
              </w:rPr>
            </w:pPr>
          </w:p>
        </w:tc>
        <w:tc>
          <w:tcPr>
            <w:tcW w:w="0" w:type="auto"/>
            <w:gridSpan w:val="3"/>
            <w:shd w:val="clear" w:color="auto" w:fill="auto"/>
            <w:vAlign w:val="bottom"/>
          </w:tcPr>
          <w:p w14:paraId="5F2CEFAF" w14:textId="77777777" w:rsidR="00E836FB" w:rsidRDefault="00E836FB">
            <w:pPr>
              <w:rPr>
                <w:rFonts w:ascii="宋体"/>
                <w:vanish/>
              </w:rPr>
            </w:pPr>
          </w:p>
        </w:tc>
        <w:tc>
          <w:tcPr>
            <w:tcW w:w="0" w:type="auto"/>
            <w:gridSpan w:val="3"/>
            <w:shd w:val="clear" w:color="auto" w:fill="auto"/>
            <w:vAlign w:val="bottom"/>
          </w:tcPr>
          <w:p w14:paraId="5F2CEFB0" w14:textId="77777777" w:rsidR="00E836FB" w:rsidRDefault="00E836FB">
            <w:pPr>
              <w:rPr>
                <w:rFonts w:ascii="宋体"/>
                <w:vanish/>
              </w:rPr>
            </w:pPr>
          </w:p>
        </w:tc>
        <w:tc>
          <w:tcPr>
            <w:tcW w:w="0" w:type="auto"/>
            <w:gridSpan w:val="3"/>
            <w:shd w:val="clear" w:color="auto" w:fill="auto"/>
            <w:vAlign w:val="bottom"/>
          </w:tcPr>
          <w:p w14:paraId="5F2CEFB1" w14:textId="77777777" w:rsidR="00E836FB" w:rsidRDefault="00E836FB">
            <w:pPr>
              <w:rPr>
                <w:rFonts w:ascii="宋体"/>
                <w:vanish/>
              </w:rPr>
            </w:pPr>
          </w:p>
        </w:tc>
        <w:tc>
          <w:tcPr>
            <w:tcW w:w="0" w:type="auto"/>
            <w:gridSpan w:val="3"/>
            <w:shd w:val="clear" w:color="auto" w:fill="auto"/>
            <w:vAlign w:val="bottom"/>
          </w:tcPr>
          <w:p w14:paraId="5F2CEFB2" w14:textId="77777777" w:rsidR="00E836FB" w:rsidRDefault="00E836FB">
            <w:pPr>
              <w:rPr>
                <w:rFonts w:ascii="宋体"/>
                <w:vanish/>
              </w:rPr>
            </w:pPr>
          </w:p>
        </w:tc>
      </w:tr>
      <w:tr w:rsidR="00E836FB" w14:paraId="5F2CEFBA" w14:textId="77777777">
        <w:trPr>
          <w:hidden/>
        </w:trPr>
        <w:tc>
          <w:tcPr>
            <w:tcW w:w="0" w:type="auto"/>
            <w:gridSpan w:val="3"/>
            <w:shd w:val="clear" w:color="auto" w:fill="auto"/>
            <w:vAlign w:val="bottom"/>
          </w:tcPr>
          <w:p w14:paraId="5F2CEFB4" w14:textId="77777777" w:rsidR="00E836FB" w:rsidRDefault="00E836FB">
            <w:pPr>
              <w:rPr>
                <w:rFonts w:ascii="宋体"/>
                <w:vanish/>
              </w:rPr>
            </w:pPr>
          </w:p>
        </w:tc>
        <w:tc>
          <w:tcPr>
            <w:tcW w:w="0" w:type="auto"/>
            <w:gridSpan w:val="3"/>
            <w:shd w:val="clear" w:color="auto" w:fill="auto"/>
            <w:vAlign w:val="bottom"/>
          </w:tcPr>
          <w:p w14:paraId="5F2CEFB5" w14:textId="77777777" w:rsidR="00E836FB" w:rsidRDefault="00E836FB">
            <w:pPr>
              <w:rPr>
                <w:rFonts w:ascii="宋体"/>
                <w:vanish/>
              </w:rPr>
            </w:pPr>
          </w:p>
        </w:tc>
        <w:tc>
          <w:tcPr>
            <w:tcW w:w="0" w:type="auto"/>
            <w:gridSpan w:val="3"/>
            <w:shd w:val="clear" w:color="auto" w:fill="auto"/>
            <w:vAlign w:val="bottom"/>
          </w:tcPr>
          <w:p w14:paraId="5F2CEFB6" w14:textId="77777777" w:rsidR="00E836FB" w:rsidRDefault="00E836FB">
            <w:pPr>
              <w:rPr>
                <w:rFonts w:ascii="宋体"/>
                <w:vanish/>
              </w:rPr>
            </w:pPr>
          </w:p>
        </w:tc>
        <w:tc>
          <w:tcPr>
            <w:tcW w:w="0" w:type="auto"/>
            <w:gridSpan w:val="3"/>
            <w:shd w:val="clear" w:color="auto" w:fill="auto"/>
            <w:vAlign w:val="bottom"/>
          </w:tcPr>
          <w:p w14:paraId="5F2CEFB7" w14:textId="77777777" w:rsidR="00E836FB" w:rsidRDefault="00E836FB">
            <w:pPr>
              <w:rPr>
                <w:rFonts w:ascii="宋体"/>
                <w:vanish/>
              </w:rPr>
            </w:pPr>
          </w:p>
        </w:tc>
        <w:tc>
          <w:tcPr>
            <w:tcW w:w="0" w:type="auto"/>
            <w:gridSpan w:val="3"/>
            <w:shd w:val="clear" w:color="auto" w:fill="auto"/>
            <w:vAlign w:val="bottom"/>
          </w:tcPr>
          <w:p w14:paraId="5F2CEFB8" w14:textId="77777777" w:rsidR="00E836FB" w:rsidRDefault="00E836FB">
            <w:pPr>
              <w:rPr>
                <w:rFonts w:ascii="宋体"/>
                <w:vanish/>
              </w:rPr>
            </w:pPr>
          </w:p>
        </w:tc>
        <w:tc>
          <w:tcPr>
            <w:tcW w:w="0" w:type="auto"/>
            <w:gridSpan w:val="3"/>
            <w:shd w:val="clear" w:color="auto" w:fill="auto"/>
            <w:vAlign w:val="bottom"/>
          </w:tcPr>
          <w:p w14:paraId="5F2CEFB9" w14:textId="77777777" w:rsidR="00E836FB" w:rsidRDefault="00E836FB">
            <w:pPr>
              <w:rPr>
                <w:rFonts w:ascii="宋体"/>
                <w:vanish/>
              </w:rPr>
            </w:pPr>
          </w:p>
        </w:tc>
      </w:tr>
      <w:tr w:rsidR="00E836FB" w14:paraId="5F2CEFC1" w14:textId="77777777">
        <w:trPr>
          <w:hidden/>
        </w:trPr>
        <w:tc>
          <w:tcPr>
            <w:tcW w:w="0" w:type="auto"/>
            <w:gridSpan w:val="3"/>
            <w:shd w:val="clear" w:color="auto" w:fill="auto"/>
            <w:vAlign w:val="bottom"/>
          </w:tcPr>
          <w:p w14:paraId="5F2CEFBB" w14:textId="77777777" w:rsidR="00E836FB" w:rsidRDefault="00E836FB">
            <w:pPr>
              <w:rPr>
                <w:rFonts w:ascii="宋体"/>
                <w:vanish/>
              </w:rPr>
            </w:pPr>
          </w:p>
        </w:tc>
        <w:tc>
          <w:tcPr>
            <w:tcW w:w="0" w:type="auto"/>
            <w:gridSpan w:val="3"/>
            <w:shd w:val="clear" w:color="auto" w:fill="auto"/>
            <w:vAlign w:val="bottom"/>
          </w:tcPr>
          <w:p w14:paraId="5F2CEFBC" w14:textId="77777777" w:rsidR="00E836FB" w:rsidRDefault="00E836FB">
            <w:pPr>
              <w:rPr>
                <w:rFonts w:ascii="宋体"/>
                <w:vanish/>
              </w:rPr>
            </w:pPr>
          </w:p>
        </w:tc>
        <w:tc>
          <w:tcPr>
            <w:tcW w:w="0" w:type="auto"/>
            <w:gridSpan w:val="3"/>
            <w:shd w:val="clear" w:color="auto" w:fill="auto"/>
            <w:vAlign w:val="bottom"/>
          </w:tcPr>
          <w:p w14:paraId="5F2CEFBD" w14:textId="77777777" w:rsidR="00E836FB" w:rsidRDefault="00E836FB">
            <w:pPr>
              <w:rPr>
                <w:rFonts w:ascii="宋体"/>
                <w:vanish/>
              </w:rPr>
            </w:pPr>
          </w:p>
        </w:tc>
        <w:tc>
          <w:tcPr>
            <w:tcW w:w="0" w:type="auto"/>
            <w:gridSpan w:val="3"/>
            <w:shd w:val="clear" w:color="auto" w:fill="auto"/>
            <w:vAlign w:val="bottom"/>
          </w:tcPr>
          <w:p w14:paraId="5F2CEFBE" w14:textId="77777777" w:rsidR="00E836FB" w:rsidRDefault="00E836FB">
            <w:pPr>
              <w:rPr>
                <w:rFonts w:ascii="宋体"/>
                <w:vanish/>
              </w:rPr>
            </w:pPr>
          </w:p>
        </w:tc>
        <w:tc>
          <w:tcPr>
            <w:tcW w:w="0" w:type="auto"/>
            <w:gridSpan w:val="3"/>
            <w:shd w:val="clear" w:color="auto" w:fill="auto"/>
            <w:vAlign w:val="bottom"/>
          </w:tcPr>
          <w:p w14:paraId="5F2CEFBF" w14:textId="77777777" w:rsidR="00E836FB" w:rsidRDefault="00E836FB">
            <w:pPr>
              <w:rPr>
                <w:rFonts w:ascii="宋体"/>
                <w:vanish/>
              </w:rPr>
            </w:pPr>
          </w:p>
        </w:tc>
        <w:tc>
          <w:tcPr>
            <w:tcW w:w="0" w:type="auto"/>
            <w:gridSpan w:val="3"/>
            <w:shd w:val="clear" w:color="auto" w:fill="auto"/>
            <w:vAlign w:val="bottom"/>
          </w:tcPr>
          <w:p w14:paraId="5F2CEFC0" w14:textId="77777777" w:rsidR="00E836FB" w:rsidRDefault="00E836FB">
            <w:pPr>
              <w:rPr>
                <w:rFonts w:ascii="宋体"/>
                <w:vanish/>
              </w:rPr>
            </w:pPr>
          </w:p>
        </w:tc>
      </w:tr>
      <w:tr w:rsidR="00E836FB" w14:paraId="5F2CEFC8" w14:textId="77777777">
        <w:trPr>
          <w:hidden/>
        </w:trPr>
        <w:tc>
          <w:tcPr>
            <w:tcW w:w="0" w:type="auto"/>
            <w:gridSpan w:val="3"/>
            <w:shd w:val="clear" w:color="auto" w:fill="auto"/>
            <w:vAlign w:val="bottom"/>
          </w:tcPr>
          <w:p w14:paraId="5F2CEFC2" w14:textId="77777777" w:rsidR="00E836FB" w:rsidRDefault="00E836FB">
            <w:pPr>
              <w:rPr>
                <w:rFonts w:ascii="宋体"/>
                <w:vanish/>
              </w:rPr>
            </w:pPr>
          </w:p>
        </w:tc>
        <w:tc>
          <w:tcPr>
            <w:tcW w:w="0" w:type="auto"/>
            <w:gridSpan w:val="3"/>
            <w:shd w:val="clear" w:color="auto" w:fill="auto"/>
            <w:vAlign w:val="bottom"/>
          </w:tcPr>
          <w:p w14:paraId="5F2CEFC3" w14:textId="77777777" w:rsidR="00E836FB" w:rsidRDefault="00E836FB">
            <w:pPr>
              <w:rPr>
                <w:rFonts w:ascii="宋体"/>
                <w:vanish/>
              </w:rPr>
            </w:pPr>
          </w:p>
        </w:tc>
        <w:tc>
          <w:tcPr>
            <w:tcW w:w="0" w:type="auto"/>
            <w:gridSpan w:val="3"/>
            <w:shd w:val="clear" w:color="auto" w:fill="auto"/>
            <w:vAlign w:val="bottom"/>
          </w:tcPr>
          <w:p w14:paraId="5F2CEFC4" w14:textId="77777777" w:rsidR="00E836FB" w:rsidRDefault="00E836FB">
            <w:pPr>
              <w:rPr>
                <w:rFonts w:ascii="宋体"/>
                <w:vanish/>
              </w:rPr>
            </w:pPr>
          </w:p>
        </w:tc>
        <w:tc>
          <w:tcPr>
            <w:tcW w:w="0" w:type="auto"/>
            <w:gridSpan w:val="3"/>
            <w:shd w:val="clear" w:color="auto" w:fill="auto"/>
            <w:vAlign w:val="bottom"/>
          </w:tcPr>
          <w:p w14:paraId="5F2CEFC5" w14:textId="77777777" w:rsidR="00E836FB" w:rsidRDefault="00E836FB">
            <w:pPr>
              <w:rPr>
                <w:rFonts w:ascii="宋体"/>
                <w:vanish/>
              </w:rPr>
            </w:pPr>
          </w:p>
        </w:tc>
        <w:tc>
          <w:tcPr>
            <w:tcW w:w="0" w:type="auto"/>
            <w:gridSpan w:val="3"/>
            <w:shd w:val="clear" w:color="auto" w:fill="auto"/>
            <w:vAlign w:val="bottom"/>
          </w:tcPr>
          <w:p w14:paraId="5F2CEFC6" w14:textId="77777777" w:rsidR="00E836FB" w:rsidRDefault="00E836FB">
            <w:pPr>
              <w:rPr>
                <w:rFonts w:ascii="宋体"/>
                <w:vanish/>
              </w:rPr>
            </w:pPr>
          </w:p>
        </w:tc>
        <w:tc>
          <w:tcPr>
            <w:tcW w:w="0" w:type="auto"/>
            <w:gridSpan w:val="3"/>
            <w:shd w:val="clear" w:color="auto" w:fill="auto"/>
            <w:vAlign w:val="bottom"/>
          </w:tcPr>
          <w:p w14:paraId="5F2CEFC7" w14:textId="77777777" w:rsidR="00E836FB" w:rsidRDefault="00E836FB">
            <w:pPr>
              <w:rPr>
                <w:rFonts w:ascii="宋体"/>
                <w:vanish/>
              </w:rPr>
            </w:pPr>
          </w:p>
        </w:tc>
      </w:tr>
    </w:tbl>
    <w:p w14:paraId="5F2CEFC9" w14:textId="77777777" w:rsidR="00E836FB" w:rsidRDefault="00E836FB">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2214"/>
        <w:gridCol w:w="36"/>
        <w:gridCol w:w="36"/>
        <w:gridCol w:w="46"/>
        <w:gridCol w:w="36"/>
        <w:gridCol w:w="61"/>
        <w:gridCol w:w="5810"/>
        <w:gridCol w:w="36"/>
      </w:tblGrid>
      <w:tr w:rsidR="00E836FB" w14:paraId="5F2CEFD3" w14:textId="77777777">
        <w:trPr>
          <w:jc w:val="center"/>
        </w:trPr>
        <w:tc>
          <w:tcPr>
            <w:tcW w:w="50" w:type="pct"/>
            <w:shd w:val="clear" w:color="auto" w:fill="auto"/>
            <w:vAlign w:val="bottom"/>
          </w:tcPr>
          <w:p w14:paraId="5F2CEFCA" w14:textId="77777777" w:rsidR="00E836FB" w:rsidRDefault="00E836FB">
            <w:pPr>
              <w:rPr>
                <w:rFonts w:ascii="宋体"/>
              </w:rPr>
            </w:pPr>
          </w:p>
        </w:tc>
        <w:tc>
          <w:tcPr>
            <w:tcW w:w="1341" w:type="pct"/>
            <w:shd w:val="clear" w:color="auto" w:fill="auto"/>
            <w:vAlign w:val="bottom"/>
          </w:tcPr>
          <w:p w14:paraId="5F2CEFCB" w14:textId="77777777" w:rsidR="00E836FB" w:rsidRDefault="00E836FB">
            <w:pPr>
              <w:rPr>
                <w:rFonts w:ascii="宋体"/>
              </w:rPr>
            </w:pPr>
          </w:p>
        </w:tc>
        <w:tc>
          <w:tcPr>
            <w:tcW w:w="5" w:type="pct"/>
            <w:shd w:val="clear" w:color="auto" w:fill="auto"/>
            <w:vAlign w:val="bottom"/>
          </w:tcPr>
          <w:p w14:paraId="5F2CEFCC" w14:textId="77777777" w:rsidR="00E836FB" w:rsidRDefault="00E836FB">
            <w:pPr>
              <w:rPr>
                <w:rFonts w:ascii="宋体"/>
              </w:rPr>
            </w:pPr>
          </w:p>
        </w:tc>
        <w:tc>
          <w:tcPr>
            <w:tcW w:w="5" w:type="pct"/>
            <w:shd w:val="clear" w:color="auto" w:fill="auto"/>
            <w:vAlign w:val="bottom"/>
          </w:tcPr>
          <w:p w14:paraId="5F2CEFCD" w14:textId="77777777" w:rsidR="00E836FB" w:rsidRDefault="00E836FB">
            <w:pPr>
              <w:rPr>
                <w:rFonts w:ascii="宋体"/>
              </w:rPr>
            </w:pPr>
          </w:p>
        </w:tc>
        <w:tc>
          <w:tcPr>
            <w:tcW w:w="41" w:type="pct"/>
            <w:shd w:val="clear" w:color="auto" w:fill="auto"/>
            <w:vAlign w:val="bottom"/>
          </w:tcPr>
          <w:p w14:paraId="5F2CEFCE" w14:textId="77777777" w:rsidR="00E836FB" w:rsidRDefault="00E836FB">
            <w:pPr>
              <w:rPr>
                <w:rFonts w:ascii="宋体"/>
              </w:rPr>
            </w:pPr>
          </w:p>
        </w:tc>
        <w:tc>
          <w:tcPr>
            <w:tcW w:w="5" w:type="pct"/>
            <w:shd w:val="clear" w:color="auto" w:fill="auto"/>
            <w:vAlign w:val="bottom"/>
          </w:tcPr>
          <w:p w14:paraId="5F2CEFCF" w14:textId="77777777" w:rsidR="00E836FB" w:rsidRDefault="00E836FB">
            <w:pPr>
              <w:rPr>
                <w:rFonts w:ascii="宋体"/>
              </w:rPr>
            </w:pPr>
          </w:p>
        </w:tc>
        <w:tc>
          <w:tcPr>
            <w:tcW w:w="50" w:type="pct"/>
            <w:shd w:val="clear" w:color="auto" w:fill="auto"/>
            <w:vAlign w:val="bottom"/>
          </w:tcPr>
          <w:p w14:paraId="5F2CEFD0" w14:textId="77777777" w:rsidR="00E836FB" w:rsidRDefault="00E836FB">
            <w:pPr>
              <w:rPr>
                <w:rFonts w:ascii="宋体"/>
              </w:rPr>
            </w:pPr>
          </w:p>
        </w:tc>
        <w:tc>
          <w:tcPr>
            <w:tcW w:w="3497" w:type="pct"/>
            <w:shd w:val="clear" w:color="auto" w:fill="auto"/>
            <w:vAlign w:val="bottom"/>
          </w:tcPr>
          <w:p w14:paraId="5F2CEFD1" w14:textId="77777777" w:rsidR="00E836FB" w:rsidRDefault="00E836FB">
            <w:pPr>
              <w:rPr>
                <w:rFonts w:ascii="宋体"/>
              </w:rPr>
            </w:pPr>
          </w:p>
        </w:tc>
        <w:tc>
          <w:tcPr>
            <w:tcW w:w="5" w:type="pct"/>
            <w:shd w:val="clear" w:color="auto" w:fill="auto"/>
            <w:vAlign w:val="bottom"/>
          </w:tcPr>
          <w:p w14:paraId="5F2CEFD2" w14:textId="77777777" w:rsidR="00E836FB" w:rsidRDefault="00E836FB">
            <w:pPr>
              <w:rPr>
                <w:rFonts w:ascii="宋体"/>
              </w:rPr>
            </w:pPr>
          </w:p>
        </w:tc>
      </w:tr>
      <w:tr w:rsidR="00E836FB" w14:paraId="5F2CEFD7" w14:textId="77777777">
        <w:trPr>
          <w:trHeight w:val="10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EFD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FD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EFD6" w14:textId="77777777" w:rsidR="00E836FB" w:rsidRDefault="00E836FB">
            <w:pPr>
              <w:rPr>
                <w:rFonts w:ascii="宋体"/>
              </w:rPr>
            </w:pPr>
          </w:p>
        </w:tc>
      </w:tr>
    </w:tbl>
    <w:p w14:paraId="5F2CEFD8" w14:textId="77777777" w:rsidR="00E836FB" w:rsidRDefault="00994958">
      <w:pPr>
        <w:spacing w:before="90"/>
        <w:jc w:val="both"/>
      </w:pPr>
      <w:r>
        <w:rPr>
          <w:rFonts w:ascii="Arial" w:eastAsia="宋体" w:hAnsi="Arial" w:cs="Arial"/>
          <w:color w:val="000000"/>
          <w:sz w:val="9"/>
          <w:szCs w:val="9"/>
          <w:shd w:val="clear" w:color="auto" w:fill="FFFFFF"/>
        </w:rPr>
        <w:t xml:space="preserve">(1) </w:t>
      </w:r>
      <w:r>
        <w:rPr>
          <w:rFonts w:ascii="Arial" w:eastAsia="宋体" w:hAnsi="Arial" w:cs="Arial"/>
          <w:color w:val="000000"/>
          <w:sz w:val="14"/>
          <w:szCs w:val="14"/>
          <w:shd w:val="clear" w:color="auto" w:fill="FFFFFF"/>
        </w:rPr>
        <w:t xml:space="preserve">We adopted ASC 326, on January 1, 2020. Non-credit impairment on HTM securities was previously recognized under ASC 320. </w:t>
      </w:r>
    </w:p>
    <w:p w14:paraId="5F2CEFD9" w14:textId="77777777" w:rsidR="00E836FB" w:rsidRDefault="00E836FB">
      <w:pPr>
        <w:spacing w:before="90"/>
        <w:ind w:firstLine="450"/>
        <w:jc w:val="center"/>
      </w:pPr>
    </w:p>
    <w:p w14:paraId="5F2CEFDA" w14:textId="77777777" w:rsidR="00E836FB" w:rsidRDefault="00E836FB">
      <w:pPr>
        <w:spacing w:before="90"/>
        <w:ind w:firstLine="450"/>
        <w:jc w:val="center"/>
      </w:pPr>
    </w:p>
    <w:p w14:paraId="5F2CEFDB" w14:textId="77777777" w:rsidR="00E836FB" w:rsidRDefault="00E836FB">
      <w:pPr>
        <w:spacing w:before="90"/>
        <w:ind w:firstLine="450"/>
        <w:jc w:val="center"/>
      </w:pPr>
    </w:p>
    <w:p w14:paraId="5F2CEFDC" w14:textId="77777777" w:rsidR="00E836FB" w:rsidRDefault="00E836FB">
      <w:pPr>
        <w:spacing w:before="90"/>
        <w:ind w:firstLine="450"/>
        <w:jc w:val="center"/>
      </w:pPr>
    </w:p>
    <w:p w14:paraId="5F2CEFDD" w14:textId="77777777" w:rsidR="00E836FB" w:rsidRDefault="00E836FB">
      <w:pPr>
        <w:ind w:firstLine="450"/>
      </w:pPr>
    </w:p>
    <w:p w14:paraId="5F2CEFDE" w14:textId="77777777" w:rsidR="00E836FB" w:rsidRDefault="00E836FB">
      <w:pPr>
        <w:ind w:firstLine="450"/>
      </w:pPr>
    </w:p>
    <w:p w14:paraId="5F2CEFDF" w14:textId="77777777" w:rsidR="00E836FB" w:rsidRDefault="00E836FB">
      <w:pPr>
        <w:spacing w:before="60"/>
        <w:ind w:firstLine="450"/>
      </w:pPr>
    </w:p>
    <w:p w14:paraId="5F2CEFE0" w14:textId="77777777" w:rsidR="00E836FB" w:rsidRDefault="00E836FB">
      <w:pPr>
        <w:spacing w:before="60"/>
        <w:ind w:firstLine="450"/>
      </w:pPr>
    </w:p>
    <w:p w14:paraId="5F2CEFE1" w14:textId="77777777" w:rsidR="00E836FB" w:rsidRDefault="00E836FB">
      <w:pPr>
        <w:spacing w:before="60"/>
        <w:ind w:firstLine="450"/>
      </w:pPr>
    </w:p>
    <w:p w14:paraId="5F2CEFE2" w14:textId="77777777" w:rsidR="00E836FB" w:rsidRDefault="00E836FB">
      <w:pPr>
        <w:spacing w:before="60"/>
        <w:ind w:firstLine="450"/>
      </w:pPr>
    </w:p>
    <w:p w14:paraId="5F2CEFE3" w14:textId="77777777" w:rsidR="00E836FB" w:rsidRDefault="00E836FB">
      <w:pPr>
        <w:spacing w:before="60"/>
        <w:ind w:firstLine="450"/>
      </w:pPr>
    </w:p>
    <w:p w14:paraId="5F2CEFE4" w14:textId="77777777" w:rsidR="00E836FB" w:rsidRDefault="00E836FB">
      <w:pPr>
        <w:spacing w:before="60"/>
        <w:ind w:firstLine="450"/>
      </w:pPr>
    </w:p>
    <w:p w14:paraId="5F2CEFE5" w14:textId="77777777" w:rsidR="00E836FB" w:rsidRDefault="00E836FB">
      <w:pPr>
        <w:spacing w:before="60"/>
        <w:ind w:firstLine="450"/>
      </w:pPr>
    </w:p>
    <w:p w14:paraId="5F2CEFE6" w14:textId="77777777" w:rsidR="00E836FB" w:rsidRDefault="00E836FB">
      <w:pPr>
        <w:spacing w:before="60"/>
        <w:ind w:firstLine="450"/>
      </w:pPr>
    </w:p>
    <w:p w14:paraId="5F2CEFE7" w14:textId="77777777" w:rsidR="00E836FB" w:rsidRDefault="00E836FB">
      <w:pPr>
        <w:spacing w:before="60"/>
        <w:ind w:firstLine="450"/>
      </w:pPr>
    </w:p>
    <w:p w14:paraId="5F2CEFE8" w14:textId="77777777" w:rsidR="00E836FB" w:rsidRDefault="00E836FB">
      <w:pPr>
        <w:spacing w:before="60"/>
        <w:ind w:firstLine="450"/>
      </w:pPr>
    </w:p>
    <w:p w14:paraId="5F2CEFE9" w14:textId="77777777" w:rsidR="00E836FB" w:rsidRDefault="00E836FB">
      <w:pPr>
        <w:spacing w:before="60"/>
        <w:ind w:firstLine="450"/>
      </w:pPr>
    </w:p>
    <w:p w14:paraId="5F2CEFEA" w14:textId="77777777" w:rsidR="00E836FB" w:rsidRDefault="00E836FB">
      <w:pPr>
        <w:spacing w:before="60"/>
        <w:ind w:firstLine="450"/>
      </w:pPr>
    </w:p>
    <w:p w14:paraId="5F2CEFEB" w14:textId="77777777" w:rsidR="00E836FB" w:rsidRDefault="00E836FB">
      <w:pPr>
        <w:spacing w:before="60"/>
        <w:ind w:firstLine="450"/>
      </w:pPr>
    </w:p>
    <w:p w14:paraId="5F2CEFEC" w14:textId="77777777" w:rsidR="00E836FB" w:rsidRDefault="00E836FB">
      <w:pPr>
        <w:spacing w:before="60"/>
        <w:ind w:firstLine="450"/>
      </w:pPr>
    </w:p>
    <w:p w14:paraId="5F2CEFED" w14:textId="77777777" w:rsidR="00E836FB" w:rsidRDefault="00E836FB">
      <w:pPr>
        <w:spacing w:before="60"/>
        <w:ind w:firstLine="450"/>
      </w:pPr>
    </w:p>
    <w:p w14:paraId="5F2CEFEE" w14:textId="77777777" w:rsidR="00E836FB" w:rsidRDefault="00E836FB">
      <w:pPr>
        <w:spacing w:before="60"/>
        <w:ind w:firstLine="450"/>
      </w:pPr>
    </w:p>
    <w:p w14:paraId="5F2CEFEF" w14:textId="77777777" w:rsidR="00E836FB" w:rsidRDefault="00E836FB">
      <w:pPr>
        <w:spacing w:before="60"/>
        <w:ind w:firstLine="450"/>
      </w:pPr>
    </w:p>
    <w:p w14:paraId="5F2CEFF0" w14:textId="77777777" w:rsidR="00E836FB" w:rsidRDefault="00E836FB">
      <w:pPr>
        <w:spacing w:before="60"/>
        <w:ind w:firstLine="450"/>
      </w:pPr>
    </w:p>
    <w:p w14:paraId="5F2CEFF1" w14:textId="77777777" w:rsidR="00E836FB" w:rsidRDefault="00E836FB">
      <w:pPr>
        <w:spacing w:before="60"/>
        <w:ind w:firstLine="450"/>
      </w:pPr>
    </w:p>
    <w:p w14:paraId="5F2CEFF2" w14:textId="77777777" w:rsidR="00E836FB" w:rsidRDefault="00E836FB">
      <w:pPr>
        <w:spacing w:before="60"/>
        <w:ind w:firstLine="450"/>
      </w:pPr>
    </w:p>
    <w:p w14:paraId="5F2CEFF3" w14:textId="77777777" w:rsidR="00E836FB" w:rsidRDefault="00994958">
      <w:pPr>
        <w:spacing w:before="60"/>
        <w:ind w:firstLine="450"/>
        <w:jc w:val="center"/>
      </w:pPr>
      <w:r>
        <w:rPr>
          <w:rFonts w:ascii="Arial" w:eastAsia="宋体" w:hAnsi="Arial" w:cs="Arial"/>
          <w:color w:val="000000"/>
          <w:sz w:val="18"/>
          <w:szCs w:val="18"/>
        </w:rPr>
        <w:t xml:space="preserve">The accompanying notes are an integral part of these consolidated financial statements. </w:t>
      </w:r>
    </w:p>
    <w:p w14:paraId="5F2CEFF4" w14:textId="77777777" w:rsidR="00E836FB" w:rsidRDefault="00994958">
      <w:pPr>
        <w:ind w:firstLine="450"/>
        <w:jc w:val="right"/>
      </w:pPr>
      <w:r>
        <w:rPr>
          <w:rFonts w:ascii="Arial" w:eastAsia="宋体" w:hAnsi="Arial" w:cs="Arial"/>
          <w:color w:val="000000"/>
          <w:sz w:val="18"/>
          <w:szCs w:val="18"/>
        </w:rPr>
        <w:t>State Street Corporation | 131</w:t>
      </w:r>
    </w:p>
    <w:p w14:paraId="5F2CEFF5" w14:textId="77777777" w:rsidR="00E836FB" w:rsidRDefault="00E836FB">
      <w:pPr>
        <w:ind w:firstLine="450"/>
        <w:jc w:val="center"/>
      </w:pPr>
    </w:p>
    <w:p w14:paraId="5F2CEFF6" w14:textId="77777777" w:rsidR="00E836FB" w:rsidRDefault="00994958">
      <w:r>
        <w:pict w14:anchorId="5F2D6E08">
          <v:rect id="_x0000_i1155" style="width:415.3pt;height:1.5pt" o:hralign="center" o:hrstd="t" o:hr="t" fillcolor="#a0a0a0" stroked="f"/>
        </w:pict>
      </w:r>
    </w:p>
    <w:p w14:paraId="5F2CEFF7" w14:textId="77777777" w:rsidR="00E836FB" w:rsidRDefault="00E836FB">
      <w:pPr>
        <w:ind w:firstLine="450"/>
      </w:pPr>
    </w:p>
    <w:p w14:paraId="5F2CEFF8" w14:textId="77777777" w:rsidR="00E836FB" w:rsidRDefault="00994958">
      <w:pPr>
        <w:ind w:firstLine="450"/>
        <w:jc w:val="center"/>
      </w:pPr>
      <w:r>
        <w:rPr>
          <w:rFonts w:ascii="Arial" w:eastAsia="宋体" w:hAnsi="Arial" w:cs="Arial"/>
          <w:b/>
          <w:bCs/>
          <w:color w:val="000000"/>
          <w:sz w:val="20"/>
          <w:szCs w:val="20"/>
        </w:rPr>
        <w:t>STATE STREET CORPORATION</w:t>
      </w:r>
    </w:p>
    <w:p w14:paraId="5F2CEFF9" w14:textId="77777777" w:rsidR="00E836FB" w:rsidRDefault="00994958">
      <w:pPr>
        <w:spacing w:after="40"/>
        <w:ind w:firstLine="450"/>
        <w:jc w:val="center"/>
      </w:pPr>
      <w:r>
        <w:rPr>
          <w:rFonts w:ascii="Arial" w:eastAsia="宋体" w:hAnsi="Arial" w:cs="Arial"/>
          <w:b/>
          <w:bCs/>
          <w:color w:val="000000"/>
          <w:sz w:val="20"/>
          <w:szCs w:val="20"/>
        </w:rPr>
        <w:t>CONSOLIDATED STATEMENT OF CONDITION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68"/>
        <w:gridCol w:w="39"/>
        <w:gridCol w:w="122"/>
        <w:gridCol w:w="1400"/>
        <w:gridCol w:w="36"/>
        <w:gridCol w:w="36"/>
        <w:gridCol w:w="36"/>
        <w:gridCol w:w="36"/>
        <w:gridCol w:w="122"/>
        <w:gridCol w:w="1365"/>
        <w:gridCol w:w="36"/>
      </w:tblGrid>
      <w:tr w:rsidR="00E836FB" w14:paraId="5F2CF006" w14:textId="77777777">
        <w:trPr>
          <w:jc w:val="center"/>
        </w:trPr>
        <w:tc>
          <w:tcPr>
            <w:tcW w:w="50" w:type="pct"/>
            <w:shd w:val="clear" w:color="auto" w:fill="auto"/>
            <w:vAlign w:val="bottom"/>
          </w:tcPr>
          <w:p w14:paraId="5F2CEFFA" w14:textId="77777777" w:rsidR="00E836FB" w:rsidRDefault="00E836FB">
            <w:pPr>
              <w:rPr>
                <w:rFonts w:ascii="宋体"/>
              </w:rPr>
            </w:pPr>
          </w:p>
        </w:tc>
        <w:tc>
          <w:tcPr>
            <w:tcW w:w="3066" w:type="pct"/>
            <w:shd w:val="clear" w:color="auto" w:fill="auto"/>
            <w:vAlign w:val="bottom"/>
          </w:tcPr>
          <w:p w14:paraId="5F2CEFFB" w14:textId="77777777" w:rsidR="00E836FB" w:rsidRDefault="00E836FB">
            <w:pPr>
              <w:rPr>
                <w:rFonts w:ascii="宋体"/>
              </w:rPr>
            </w:pPr>
          </w:p>
        </w:tc>
        <w:tc>
          <w:tcPr>
            <w:tcW w:w="5" w:type="pct"/>
            <w:shd w:val="clear" w:color="auto" w:fill="auto"/>
            <w:vAlign w:val="bottom"/>
          </w:tcPr>
          <w:p w14:paraId="5F2CEFFC" w14:textId="77777777" w:rsidR="00E836FB" w:rsidRDefault="00E836FB">
            <w:pPr>
              <w:rPr>
                <w:rFonts w:ascii="宋体"/>
              </w:rPr>
            </w:pPr>
          </w:p>
        </w:tc>
        <w:tc>
          <w:tcPr>
            <w:tcW w:w="50" w:type="pct"/>
            <w:shd w:val="clear" w:color="auto" w:fill="auto"/>
            <w:vAlign w:val="bottom"/>
          </w:tcPr>
          <w:p w14:paraId="5F2CEFFD" w14:textId="77777777" w:rsidR="00E836FB" w:rsidRDefault="00E836FB">
            <w:pPr>
              <w:rPr>
                <w:rFonts w:ascii="宋体"/>
              </w:rPr>
            </w:pPr>
          </w:p>
        </w:tc>
        <w:tc>
          <w:tcPr>
            <w:tcW w:w="866" w:type="pct"/>
            <w:shd w:val="clear" w:color="auto" w:fill="auto"/>
            <w:vAlign w:val="bottom"/>
          </w:tcPr>
          <w:p w14:paraId="5F2CEFFE" w14:textId="77777777" w:rsidR="00E836FB" w:rsidRDefault="00E836FB">
            <w:pPr>
              <w:rPr>
                <w:rFonts w:ascii="宋体"/>
              </w:rPr>
            </w:pPr>
          </w:p>
        </w:tc>
        <w:tc>
          <w:tcPr>
            <w:tcW w:w="5" w:type="pct"/>
            <w:shd w:val="clear" w:color="auto" w:fill="auto"/>
            <w:vAlign w:val="bottom"/>
          </w:tcPr>
          <w:p w14:paraId="5F2CEFFF" w14:textId="77777777" w:rsidR="00E836FB" w:rsidRDefault="00E836FB">
            <w:pPr>
              <w:rPr>
                <w:rFonts w:ascii="宋体"/>
              </w:rPr>
            </w:pPr>
          </w:p>
        </w:tc>
        <w:tc>
          <w:tcPr>
            <w:tcW w:w="5" w:type="pct"/>
            <w:shd w:val="clear" w:color="auto" w:fill="auto"/>
            <w:vAlign w:val="bottom"/>
          </w:tcPr>
          <w:p w14:paraId="5F2CF000" w14:textId="77777777" w:rsidR="00E836FB" w:rsidRDefault="00E836FB">
            <w:pPr>
              <w:rPr>
                <w:rFonts w:ascii="宋体"/>
              </w:rPr>
            </w:pPr>
          </w:p>
        </w:tc>
        <w:tc>
          <w:tcPr>
            <w:tcW w:w="26" w:type="pct"/>
            <w:shd w:val="clear" w:color="auto" w:fill="auto"/>
            <w:vAlign w:val="bottom"/>
          </w:tcPr>
          <w:p w14:paraId="5F2CF001" w14:textId="77777777" w:rsidR="00E836FB" w:rsidRDefault="00E836FB">
            <w:pPr>
              <w:rPr>
                <w:rFonts w:ascii="宋体"/>
              </w:rPr>
            </w:pPr>
          </w:p>
        </w:tc>
        <w:tc>
          <w:tcPr>
            <w:tcW w:w="5" w:type="pct"/>
            <w:shd w:val="clear" w:color="auto" w:fill="auto"/>
            <w:vAlign w:val="bottom"/>
          </w:tcPr>
          <w:p w14:paraId="5F2CF002" w14:textId="77777777" w:rsidR="00E836FB" w:rsidRDefault="00E836FB">
            <w:pPr>
              <w:rPr>
                <w:rFonts w:ascii="宋体"/>
              </w:rPr>
            </w:pPr>
          </w:p>
        </w:tc>
        <w:tc>
          <w:tcPr>
            <w:tcW w:w="50" w:type="pct"/>
            <w:shd w:val="clear" w:color="auto" w:fill="auto"/>
            <w:vAlign w:val="bottom"/>
          </w:tcPr>
          <w:p w14:paraId="5F2CF003" w14:textId="77777777" w:rsidR="00E836FB" w:rsidRDefault="00E836FB">
            <w:pPr>
              <w:rPr>
                <w:rFonts w:ascii="宋体"/>
              </w:rPr>
            </w:pPr>
          </w:p>
        </w:tc>
        <w:tc>
          <w:tcPr>
            <w:tcW w:w="866" w:type="pct"/>
            <w:shd w:val="clear" w:color="auto" w:fill="auto"/>
            <w:vAlign w:val="bottom"/>
          </w:tcPr>
          <w:p w14:paraId="5F2CF004" w14:textId="77777777" w:rsidR="00E836FB" w:rsidRDefault="00E836FB">
            <w:pPr>
              <w:rPr>
                <w:rFonts w:ascii="宋体"/>
              </w:rPr>
            </w:pPr>
          </w:p>
        </w:tc>
        <w:tc>
          <w:tcPr>
            <w:tcW w:w="5" w:type="pct"/>
            <w:shd w:val="clear" w:color="auto" w:fill="auto"/>
            <w:vAlign w:val="bottom"/>
          </w:tcPr>
          <w:p w14:paraId="5F2CF005" w14:textId="77777777" w:rsidR="00E836FB" w:rsidRDefault="00E836FB">
            <w:pPr>
              <w:rPr>
                <w:rFonts w:ascii="宋体"/>
              </w:rPr>
            </w:pPr>
          </w:p>
        </w:tc>
      </w:tr>
      <w:tr w:rsidR="00E836FB" w14:paraId="5F2CF00B" w14:textId="77777777">
        <w:trPr>
          <w:jc w:val="center"/>
        </w:trPr>
        <w:tc>
          <w:tcPr>
            <w:tcW w:w="0" w:type="auto"/>
            <w:gridSpan w:val="3"/>
            <w:shd w:val="clear" w:color="auto" w:fill="auto"/>
            <w:tcMar>
              <w:top w:w="0" w:type="dxa"/>
              <w:left w:w="20" w:type="dxa"/>
              <w:bottom w:w="0" w:type="dxa"/>
              <w:right w:w="20" w:type="dxa"/>
            </w:tcMar>
            <w:vAlign w:val="bottom"/>
          </w:tcPr>
          <w:p w14:paraId="5F2CF00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F008" w14:textId="77777777" w:rsidR="00E836FB" w:rsidRDefault="00994958">
            <w:pPr>
              <w:jc w:val="center"/>
              <w:textAlignment w:val="bottom"/>
            </w:pPr>
            <w:r>
              <w:rPr>
                <w:rFonts w:ascii="Arial" w:eastAsia="宋体" w:hAnsi="Arial" w:cs="Arial"/>
                <w:b/>
                <w:bCs/>
                <w:color w:val="000000"/>
                <w:sz w:val="18"/>
                <w:szCs w:val="18"/>
              </w:rPr>
              <w:t>December 31, 2021</w:t>
            </w:r>
          </w:p>
        </w:tc>
        <w:tc>
          <w:tcPr>
            <w:tcW w:w="0" w:type="auto"/>
            <w:gridSpan w:val="3"/>
            <w:shd w:val="clear" w:color="auto" w:fill="auto"/>
            <w:tcMar>
              <w:top w:w="0" w:type="dxa"/>
              <w:left w:w="20" w:type="dxa"/>
              <w:bottom w:w="0" w:type="dxa"/>
              <w:right w:w="20" w:type="dxa"/>
            </w:tcMar>
            <w:vAlign w:val="bottom"/>
          </w:tcPr>
          <w:p w14:paraId="5F2CF00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CF00A" w14:textId="77777777" w:rsidR="00E836FB" w:rsidRDefault="00994958">
            <w:pPr>
              <w:jc w:val="center"/>
              <w:textAlignment w:val="bottom"/>
            </w:pPr>
            <w:r>
              <w:rPr>
                <w:rFonts w:ascii="Arial" w:eastAsia="宋体" w:hAnsi="Arial" w:cs="Arial"/>
                <w:b/>
                <w:bCs/>
                <w:color w:val="000000"/>
                <w:sz w:val="18"/>
                <w:szCs w:val="18"/>
              </w:rPr>
              <w:t>December 31, 2020</w:t>
            </w:r>
          </w:p>
        </w:tc>
      </w:tr>
      <w:tr w:rsidR="00E836FB" w14:paraId="5F2CF014" w14:textId="77777777">
        <w:trPr>
          <w:jc w:val="center"/>
          <w:hidden/>
        </w:trPr>
        <w:tc>
          <w:tcPr>
            <w:tcW w:w="0" w:type="auto"/>
            <w:gridSpan w:val="3"/>
            <w:shd w:val="clear" w:color="auto" w:fill="auto"/>
            <w:vAlign w:val="bottom"/>
          </w:tcPr>
          <w:p w14:paraId="5F2CF00C" w14:textId="77777777" w:rsidR="00E836FB" w:rsidRDefault="00E836FB">
            <w:pPr>
              <w:rPr>
                <w:rFonts w:ascii="宋体"/>
                <w:vanish/>
              </w:rPr>
            </w:pPr>
          </w:p>
        </w:tc>
        <w:tc>
          <w:tcPr>
            <w:tcW w:w="0" w:type="auto"/>
            <w:gridSpan w:val="3"/>
            <w:shd w:val="clear" w:color="auto" w:fill="auto"/>
            <w:vAlign w:val="bottom"/>
          </w:tcPr>
          <w:p w14:paraId="5F2CF00D" w14:textId="77777777" w:rsidR="00E836FB" w:rsidRDefault="00E836FB">
            <w:pPr>
              <w:rPr>
                <w:rFonts w:ascii="宋体"/>
                <w:vanish/>
              </w:rPr>
            </w:pPr>
          </w:p>
        </w:tc>
        <w:tc>
          <w:tcPr>
            <w:tcW w:w="0" w:type="auto"/>
            <w:shd w:val="clear" w:color="auto" w:fill="auto"/>
            <w:vAlign w:val="bottom"/>
          </w:tcPr>
          <w:p w14:paraId="5F2CF00E" w14:textId="77777777" w:rsidR="00E836FB" w:rsidRDefault="00E836FB">
            <w:pPr>
              <w:rPr>
                <w:rFonts w:ascii="宋体"/>
              </w:rPr>
            </w:pPr>
          </w:p>
        </w:tc>
        <w:tc>
          <w:tcPr>
            <w:tcW w:w="0" w:type="auto"/>
            <w:shd w:val="clear" w:color="auto" w:fill="auto"/>
            <w:vAlign w:val="bottom"/>
          </w:tcPr>
          <w:p w14:paraId="5F2CF00F" w14:textId="77777777" w:rsidR="00E836FB" w:rsidRDefault="00E836FB">
            <w:pPr>
              <w:rPr>
                <w:rFonts w:ascii="宋体"/>
              </w:rPr>
            </w:pPr>
          </w:p>
        </w:tc>
        <w:tc>
          <w:tcPr>
            <w:tcW w:w="0" w:type="auto"/>
            <w:shd w:val="clear" w:color="auto" w:fill="auto"/>
            <w:vAlign w:val="bottom"/>
          </w:tcPr>
          <w:p w14:paraId="5F2CF010" w14:textId="77777777" w:rsidR="00E836FB" w:rsidRDefault="00E836FB">
            <w:pPr>
              <w:rPr>
                <w:rFonts w:ascii="宋体"/>
              </w:rPr>
            </w:pPr>
          </w:p>
        </w:tc>
        <w:tc>
          <w:tcPr>
            <w:tcW w:w="0" w:type="auto"/>
            <w:shd w:val="clear" w:color="auto" w:fill="auto"/>
            <w:vAlign w:val="bottom"/>
          </w:tcPr>
          <w:p w14:paraId="5F2CF011" w14:textId="77777777" w:rsidR="00E836FB" w:rsidRDefault="00E836FB">
            <w:pPr>
              <w:rPr>
                <w:rFonts w:ascii="宋体"/>
              </w:rPr>
            </w:pPr>
          </w:p>
        </w:tc>
        <w:tc>
          <w:tcPr>
            <w:tcW w:w="0" w:type="auto"/>
            <w:shd w:val="clear" w:color="auto" w:fill="auto"/>
            <w:vAlign w:val="bottom"/>
          </w:tcPr>
          <w:p w14:paraId="5F2CF012" w14:textId="77777777" w:rsidR="00E836FB" w:rsidRDefault="00E836FB">
            <w:pPr>
              <w:rPr>
                <w:rFonts w:ascii="宋体"/>
              </w:rPr>
            </w:pPr>
          </w:p>
        </w:tc>
        <w:tc>
          <w:tcPr>
            <w:tcW w:w="0" w:type="auto"/>
            <w:shd w:val="clear" w:color="auto" w:fill="auto"/>
            <w:vAlign w:val="bottom"/>
          </w:tcPr>
          <w:p w14:paraId="5F2CF013" w14:textId="77777777" w:rsidR="00E836FB" w:rsidRDefault="00E836FB">
            <w:pPr>
              <w:rPr>
                <w:rFonts w:ascii="宋体"/>
              </w:rPr>
            </w:pPr>
          </w:p>
        </w:tc>
      </w:tr>
      <w:tr w:rsidR="00E836FB" w14:paraId="5F2CF019" w14:textId="77777777">
        <w:trPr>
          <w:jc w:val="center"/>
        </w:trPr>
        <w:tc>
          <w:tcPr>
            <w:tcW w:w="0" w:type="auto"/>
            <w:gridSpan w:val="3"/>
            <w:shd w:val="clear" w:color="auto" w:fill="auto"/>
            <w:tcMar>
              <w:top w:w="40" w:type="dxa"/>
              <w:left w:w="20" w:type="dxa"/>
              <w:bottom w:w="40" w:type="dxa"/>
              <w:right w:w="20" w:type="dxa"/>
            </w:tcMar>
            <w:vAlign w:val="bottom"/>
          </w:tcPr>
          <w:p w14:paraId="5F2CF015" w14:textId="77777777" w:rsidR="00E836FB" w:rsidRDefault="00994958">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01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01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018" w14:textId="77777777" w:rsidR="00E836FB" w:rsidRDefault="00E836FB">
            <w:pPr>
              <w:rPr>
                <w:rFonts w:ascii="宋体"/>
              </w:rPr>
            </w:pPr>
          </w:p>
        </w:tc>
      </w:tr>
      <w:tr w:rsidR="00E836FB" w14:paraId="5F2CF01E" w14:textId="77777777">
        <w:trPr>
          <w:jc w:val="center"/>
        </w:trPr>
        <w:tc>
          <w:tcPr>
            <w:tcW w:w="0" w:type="auto"/>
            <w:gridSpan w:val="3"/>
            <w:shd w:val="clear" w:color="auto" w:fill="auto"/>
            <w:tcMar>
              <w:top w:w="40" w:type="dxa"/>
              <w:left w:w="20" w:type="dxa"/>
              <w:bottom w:w="40" w:type="dxa"/>
              <w:right w:w="20" w:type="dxa"/>
            </w:tcMar>
            <w:vAlign w:val="bottom"/>
          </w:tcPr>
          <w:p w14:paraId="5F2CF01A" w14:textId="77777777" w:rsidR="00E836FB" w:rsidRDefault="00994958">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5F2CF01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0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01D" w14:textId="77777777" w:rsidR="00E836FB" w:rsidRDefault="00E836FB">
            <w:pPr>
              <w:rPr>
                <w:rFonts w:ascii="宋体"/>
              </w:rPr>
            </w:pPr>
          </w:p>
        </w:tc>
      </w:tr>
      <w:tr w:rsidR="00E836FB" w14:paraId="5F2CF027" w14:textId="77777777">
        <w:trPr>
          <w:jc w:val="center"/>
        </w:trPr>
        <w:tc>
          <w:tcPr>
            <w:tcW w:w="0" w:type="auto"/>
            <w:gridSpan w:val="3"/>
            <w:shd w:val="clear" w:color="auto" w:fill="CCEEFF"/>
            <w:tcMar>
              <w:top w:w="40" w:type="dxa"/>
              <w:left w:w="20" w:type="dxa"/>
              <w:bottom w:w="40" w:type="dxa"/>
              <w:right w:w="20" w:type="dxa"/>
            </w:tcMar>
            <w:vAlign w:val="bottom"/>
          </w:tcPr>
          <w:p w14:paraId="5F2CF01F" w14:textId="77777777" w:rsidR="00E836FB" w:rsidRDefault="00994958">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5F2CF020" w14:textId="77777777" w:rsidR="00E836FB" w:rsidRDefault="00994958">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F2CF021" w14:textId="77777777" w:rsidR="00E836FB" w:rsidRDefault="00994958">
            <w:pPr>
              <w:jc w:val="right"/>
              <w:textAlignment w:val="bottom"/>
            </w:pPr>
            <w:r>
              <w:rPr>
                <w:rFonts w:ascii="Arial" w:eastAsia="宋体" w:hAnsi="Arial" w:cs="Arial"/>
                <w:b/>
                <w:bCs/>
                <w:color w:val="000000"/>
                <w:sz w:val="18"/>
                <w:szCs w:val="18"/>
              </w:rPr>
              <w:t>3,631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2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024" w14:textId="77777777" w:rsidR="00E836FB" w:rsidRDefault="00994958">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F2CF025" w14:textId="77777777" w:rsidR="00E836FB" w:rsidRDefault="00994958">
            <w:pPr>
              <w:jc w:val="right"/>
              <w:textAlignment w:val="bottom"/>
            </w:pPr>
            <w:r>
              <w:rPr>
                <w:rFonts w:ascii="Arial" w:eastAsia="宋体" w:hAnsi="Arial" w:cs="Arial"/>
                <w:color w:val="000000"/>
                <w:sz w:val="18"/>
                <w:szCs w:val="18"/>
              </w:rPr>
              <w:t>3,467 </w:t>
            </w:r>
          </w:p>
        </w:tc>
        <w:tc>
          <w:tcPr>
            <w:tcW w:w="0" w:type="auto"/>
            <w:shd w:val="clear" w:color="auto" w:fill="CCEEFF"/>
            <w:tcMar>
              <w:top w:w="40" w:type="dxa"/>
              <w:left w:w="0" w:type="dxa"/>
              <w:bottom w:w="40" w:type="dxa"/>
              <w:right w:w="20" w:type="dxa"/>
            </w:tcMar>
            <w:vAlign w:val="bottom"/>
          </w:tcPr>
          <w:p w14:paraId="5F2CF026" w14:textId="77777777" w:rsidR="00E836FB" w:rsidRDefault="00E836FB">
            <w:pPr>
              <w:jc w:val="right"/>
              <w:rPr>
                <w:rFonts w:ascii="宋体"/>
              </w:rPr>
            </w:pPr>
          </w:p>
        </w:tc>
      </w:tr>
      <w:tr w:rsidR="00E836FB" w14:paraId="5F2CF02E" w14:textId="77777777">
        <w:trPr>
          <w:jc w:val="center"/>
        </w:trPr>
        <w:tc>
          <w:tcPr>
            <w:tcW w:w="0" w:type="auto"/>
            <w:gridSpan w:val="3"/>
            <w:shd w:val="clear" w:color="auto" w:fill="FFFFFF"/>
            <w:tcMar>
              <w:top w:w="40" w:type="dxa"/>
              <w:left w:w="20" w:type="dxa"/>
              <w:bottom w:w="40" w:type="dxa"/>
              <w:right w:w="20" w:type="dxa"/>
            </w:tcMar>
            <w:vAlign w:val="bottom"/>
          </w:tcPr>
          <w:p w14:paraId="5F2CF028" w14:textId="77777777" w:rsidR="00E836FB" w:rsidRDefault="00994958">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5F2CF029" w14:textId="77777777" w:rsidR="00E836FB" w:rsidRDefault="00994958">
            <w:pPr>
              <w:jc w:val="right"/>
              <w:textAlignment w:val="bottom"/>
            </w:pPr>
            <w:r>
              <w:rPr>
                <w:rFonts w:ascii="Arial" w:eastAsia="宋体" w:hAnsi="Arial" w:cs="Arial"/>
                <w:b/>
                <w:bCs/>
                <w:color w:val="000000"/>
                <w:sz w:val="18"/>
                <w:szCs w:val="18"/>
              </w:rPr>
              <w:t>106,358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2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2C" w14:textId="77777777" w:rsidR="00E836FB" w:rsidRDefault="00994958">
            <w:pPr>
              <w:jc w:val="right"/>
              <w:textAlignment w:val="bottom"/>
            </w:pPr>
            <w:r>
              <w:rPr>
                <w:rFonts w:ascii="Arial" w:eastAsia="宋体" w:hAnsi="Arial" w:cs="Arial"/>
                <w:color w:val="000000"/>
                <w:sz w:val="18"/>
                <w:szCs w:val="18"/>
              </w:rPr>
              <w:t>116,960 </w:t>
            </w:r>
          </w:p>
        </w:tc>
        <w:tc>
          <w:tcPr>
            <w:tcW w:w="0" w:type="auto"/>
            <w:shd w:val="clear" w:color="auto" w:fill="FFFFFF"/>
            <w:tcMar>
              <w:top w:w="40" w:type="dxa"/>
              <w:left w:w="0" w:type="dxa"/>
              <w:bottom w:w="40" w:type="dxa"/>
              <w:right w:w="20" w:type="dxa"/>
            </w:tcMar>
            <w:vAlign w:val="bottom"/>
          </w:tcPr>
          <w:p w14:paraId="5F2CF02D" w14:textId="77777777" w:rsidR="00E836FB" w:rsidRDefault="00E836FB">
            <w:pPr>
              <w:jc w:val="right"/>
              <w:rPr>
                <w:rFonts w:ascii="宋体"/>
              </w:rPr>
            </w:pPr>
          </w:p>
        </w:tc>
      </w:tr>
      <w:tr w:rsidR="00E836FB" w14:paraId="5F2CF035" w14:textId="77777777">
        <w:trPr>
          <w:jc w:val="center"/>
        </w:trPr>
        <w:tc>
          <w:tcPr>
            <w:tcW w:w="0" w:type="auto"/>
            <w:gridSpan w:val="3"/>
            <w:shd w:val="clear" w:color="auto" w:fill="CCEEFF"/>
            <w:tcMar>
              <w:top w:w="40" w:type="dxa"/>
              <w:left w:w="20" w:type="dxa"/>
              <w:bottom w:w="40" w:type="dxa"/>
              <w:right w:w="20" w:type="dxa"/>
            </w:tcMar>
            <w:vAlign w:val="bottom"/>
          </w:tcPr>
          <w:p w14:paraId="5F2CF02F" w14:textId="77777777" w:rsidR="00E836FB" w:rsidRDefault="00994958">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F2CF030" w14:textId="77777777" w:rsidR="00E836FB" w:rsidRDefault="00994958">
            <w:pPr>
              <w:jc w:val="right"/>
              <w:textAlignment w:val="bottom"/>
            </w:pPr>
            <w:r>
              <w:rPr>
                <w:rFonts w:ascii="Arial" w:eastAsia="宋体" w:hAnsi="Arial" w:cs="Arial"/>
                <w:b/>
                <w:bCs/>
                <w:color w:val="000000"/>
                <w:sz w:val="18"/>
                <w:szCs w:val="18"/>
              </w:rPr>
              <w:t>3,012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3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33" w14:textId="77777777" w:rsidR="00E836FB" w:rsidRDefault="00994958">
            <w:pPr>
              <w:jc w:val="right"/>
              <w:textAlignment w:val="bottom"/>
            </w:pPr>
            <w:r>
              <w:rPr>
                <w:rFonts w:ascii="Arial" w:eastAsia="宋体" w:hAnsi="Arial" w:cs="Arial"/>
                <w:color w:val="000000"/>
                <w:sz w:val="18"/>
                <w:szCs w:val="18"/>
              </w:rPr>
              <w:t>3,106 </w:t>
            </w:r>
          </w:p>
        </w:tc>
        <w:tc>
          <w:tcPr>
            <w:tcW w:w="0" w:type="auto"/>
            <w:shd w:val="clear" w:color="auto" w:fill="CCEEFF"/>
            <w:tcMar>
              <w:top w:w="40" w:type="dxa"/>
              <w:left w:w="0" w:type="dxa"/>
              <w:bottom w:w="40" w:type="dxa"/>
              <w:right w:w="20" w:type="dxa"/>
            </w:tcMar>
            <w:vAlign w:val="bottom"/>
          </w:tcPr>
          <w:p w14:paraId="5F2CF034" w14:textId="77777777" w:rsidR="00E836FB" w:rsidRDefault="00E836FB">
            <w:pPr>
              <w:jc w:val="right"/>
              <w:rPr>
                <w:rFonts w:ascii="宋体"/>
              </w:rPr>
            </w:pPr>
          </w:p>
        </w:tc>
      </w:tr>
      <w:tr w:rsidR="00E836FB" w14:paraId="5F2CF03C" w14:textId="77777777">
        <w:trPr>
          <w:jc w:val="center"/>
        </w:trPr>
        <w:tc>
          <w:tcPr>
            <w:tcW w:w="0" w:type="auto"/>
            <w:gridSpan w:val="3"/>
            <w:shd w:val="clear" w:color="auto" w:fill="FFFFFF"/>
            <w:tcMar>
              <w:top w:w="40" w:type="dxa"/>
              <w:left w:w="20" w:type="dxa"/>
              <w:bottom w:w="40" w:type="dxa"/>
              <w:right w:w="20" w:type="dxa"/>
            </w:tcMar>
            <w:vAlign w:val="bottom"/>
          </w:tcPr>
          <w:p w14:paraId="5F2CF036" w14:textId="77777777" w:rsidR="00E836FB" w:rsidRDefault="00994958">
            <w:pPr>
              <w:textAlignment w:val="bottom"/>
            </w:pPr>
            <w:r>
              <w:rPr>
                <w:rFonts w:ascii="Arial" w:eastAsia="宋体" w:hAnsi="Arial" w:cs="Arial"/>
                <w:color w:val="000000"/>
                <w:sz w:val="18"/>
                <w:szCs w:val="18"/>
              </w:rPr>
              <w:t xml:space="preserve">Trading account </w:t>
            </w:r>
            <w:r>
              <w:rPr>
                <w:rFonts w:ascii="Arial" w:eastAsia="宋体" w:hAnsi="Arial" w:cs="Arial"/>
                <w:color w:val="000000"/>
                <w:sz w:val="18"/>
                <w:szCs w:val="18"/>
              </w:rPr>
              <w:t>assets</w:t>
            </w:r>
          </w:p>
        </w:tc>
        <w:tc>
          <w:tcPr>
            <w:tcW w:w="0" w:type="auto"/>
            <w:gridSpan w:val="2"/>
            <w:shd w:val="clear" w:color="auto" w:fill="FFFFFF"/>
            <w:tcMar>
              <w:top w:w="40" w:type="dxa"/>
              <w:left w:w="20" w:type="dxa"/>
              <w:bottom w:w="40" w:type="dxa"/>
              <w:right w:w="0" w:type="dxa"/>
            </w:tcMar>
            <w:vAlign w:val="bottom"/>
          </w:tcPr>
          <w:p w14:paraId="5F2CF037" w14:textId="77777777" w:rsidR="00E836FB" w:rsidRDefault="00994958">
            <w:pPr>
              <w:jc w:val="right"/>
              <w:textAlignment w:val="bottom"/>
            </w:pPr>
            <w:r>
              <w:rPr>
                <w:rFonts w:ascii="Arial" w:eastAsia="宋体" w:hAnsi="Arial" w:cs="Arial"/>
                <w:b/>
                <w:bCs/>
                <w:color w:val="000000"/>
                <w:sz w:val="18"/>
                <w:szCs w:val="18"/>
              </w:rPr>
              <w:t>758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3A" w14:textId="77777777" w:rsidR="00E836FB" w:rsidRDefault="00994958">
            <w:pPr>
              <w:jc w:val="right"/>
              <w:textAlignment w:val="bottom"/>
            </w:pPr>
            <w:r>
              <w:rPr>
                <w:rFonts w:ascii="Arial" w:eastAsia="宋体" w:hAnsi="Arial" w:cs="Arial"/>
                <w:color w:val="000000"/>
                <w:sz w:val="18"/>
                <w:szCs w:val="18"/>
              </w:rPr>
              <w:t>815 </w:t>
            </w:r>
          </w:p>
        </w:tc>
        <w:tc>
          <w:tcPr>
            <w:tcW w:w="0" w:type="auto"/>
            <w:shd w:val="clear" w:color="auto" w:fill="FFFFFF"/>
            <w:tcMar>
              <w:top w:w="40" w:type="dxa"/>
              <w:left w:w="0" w:type="dxa"/>
              <w:bottom w:w="40" w:type="dxa"/>
              <w:right w:w="20" w:type="dxa"/>
            </w:tcMar>
            <w:vAlign w:val="bottom"/>
          </w:tcPr>
          <w:p w14:paraId="5F2CF03B" w14:textId="77777777" w:rsidR="00E836FB" w:rsidRDefault="00E836FB">
            <w:pPr>
              <w:jc w:val="right"/>
              <w:rPr>
                <w:rFonts w:ascii="宋体"/>
              </w:rPr>
            </w:pPr>
          </w:p>
        </w:tc>
      </w:tr>
      <w:tr w:rsidR="00E836FB" w14:paraId="5F2CF043" w14:textId="77777777">
        <w:trPr>
          <w:jc w:val="center"/>
        </w:trPr>
        <w:tc>
          <w:tcPr>
            <w:tcW w:w="0" w:type="auto"/>
            <w:gridSpan w:val="3"/>
            <w:shd w:val="clear" w:color="auto" w:fill="CCEEFF"/>
            <w:tcMar>
              <w:top w:w="40" w:type="dxa"/>
              <w:left w:w="20" w:type="dxa"/>
              <w:bottom w:w="40" w:type="dxa"/>
              <w:right w:w="20" w:type="dxa"/>
            </w:tcMar>
            <w:vAlign w:val="bottom"/>
          </w:tcPr>
          <w:p w14:paraId="5F2CF03D" w14:textId="77777777" w:rsidR="00E836FB" w:rsidRDefault="00994958">
            <w:pPr>
              <w:jc w:val="both"/>
              <w:textAlignment w:val="bottom"/>
            </w:pPr>
            <w:r>
              <w:rPr>
                <w:rFonts w:ascii="Arial" w:eastAsia="宋体" w:hAnsi="Arial" w:cs="Arial"/>
                <w:color w:val="000000"/>
                <w:sz w:val="18"/>
                <w:szCs w:val="18"/>
              </w:rPr>
              <w:t>Investment securities available-for-sale (less allowance for credit losses of $2 and $0)</w:t>
            </w:r>
          </w:p>
        </w:tc>
        <w:tc>
          <w:tcPr>
            <w:tcW w:w="0" w:type="auto"/>
            <w:gridSpan w:val="2"/>
            <w:shd w:val="clear" w:color="auto" w:fill="CCEEFF"/>
            <w:tcMar>
              <w:top w:w="40" w:type="dxa"/>
              <w:left w:w="20" w:type="dxa"/>
              <w:bottom w:w="40" w:type="dxa"/>
              <w:right w:w="0" w:type="dxa"/>
            </w:tcMar>
            <w:vAlign w:val="bottom"/>
          </w:tcPr>
          <w:p w14:paraId="5F2CF03E" w14:textId="77777777" w:rsidR="00E836FB" w:rsidRDefault="00994958">
            <w:pPr>
              <w:jc w:val="right"/>
              <w:textAlignment w:val="bottom"/>
            </w:pPr>
            <w:r>
              <w:rPr>
                <w:rFonts w:ascii="Arial" w:eastAsia="宋体" w:hAnsi="Arial" w:cs="Arial"/>
                <w:b/>
                <w:bCs/>
                <w:color w:val="000000"/>
                <w:sz w:val="18"/>
                <w:szCs w:val="18"/>
              </w:rPr>
              <w:t>73,399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41" w14:textId="77777777" w:rsidR="00E836FB" w:rsidRDefault="00994958">
            <w:pPr>
              <w:jc w:val="right"/>
              <w:textAlignment w:val="bottom"/>
            </w:pPr>
            <w:r>
              <w:rPr>
                <w:rFonts w:ascii="Arial" w:eastAsia="宋体" w:hAnsi="Arial" w:cs="Arial"/>
                <w:color w:val="000000"/>
                <w:sz w:val="18"/>
                <w:szCs w:val="18"/>
              </w:rPr>
              <w:t>59,048 </w:t>
            </w:r>
          </w:p>
        </w:tc>
        <w:tc>
          <w:tcPr>
            <w:tcW w:w="0" w:type="auto"/>
            <w:shd w:val="clear" w:color="auto" w:fill="CCEEFF"/>
            <w:tcMar>
              <w:top w:w="40" w:type="dxa"/>
              <w:left w:w="0" w:type="dxa"/>
              <w:bottom w:w="40" w:type="dxa"/>
              <w:right w:w="20" w:type="dxa"/>
            </w:tcMar>
            <w:vAlign w:val="bottom"/>
          </w:tcPr>
          <w:p w14:paraId="5F2CF042" w14:textId="77777777" w:rsidR="00E836FB" w:rsidRDefault="00E836FB">
            <w:pPr>
              <w:jc w:val="right"/>
              <w:rPr>
                <w:rFonts w:ascii="宋体"/>
              </w:rPr>
            </w:pPr>
          </w:p>
        </w:tc>
      </w:tr>
      <w:tr w:rsidR="00E836FB" w14:paraId="5F2CF04A" w14:textId="77777777">
        <w:trPr>
          <w:jc w:val="center"/>
        </w:trPr>
        <w:tc>
          <w:tcPr>
            <w:tcW w:w="0" w:type="auto"/>
            <w:gridSpan w:val="3"/>
            <w:shd w:val="clear" w:color="auto" w:fill="FFFFFF"/>
            <w:tcMar>
              <w:top w:w="40" w:type="dxa"/>
              <w:left w:w="20" w:type="dxa"/>
              <w:bottom w:w="40" w:type="dxa"/>
              <w:right w:w="20" w:type="dxa"/>
            </w:tcMar>
            <w:vAlign w:val="bottom"/>
          </w:tcPr>
          <w:p w14:paraId="5F2CF044" w14:textId="77777777" w:rsidR="00E836FB" w:rsidRDefault="00994958">
            <w:pPr>
              <w:jc w:val="both"/>
              <w:textAlignment w:val="bottom"/>
            </w:pPr>
            <w:r>
              <w:rPr>
                <w:rFonts w:ascii="Arial" w:eastAsia="宋体" w:hAnsi="Arial" w:cs="Arial"/>
                <w:color w:val="000000"/>
                <w:sz w:val="18"/>
                <w:szCs w:val="18"/>
              </w:rPr>
              <w:t xml:space="preserve">Investment securities held-to-maturity purchased under money market liquidity facility (less allowance for credit losses of </w:t>
            </w:r>
            <w:r>
              <w:rPr>
                <w:rFonts w:ascii="Arial" w:eastAsia="宋体" w:hAnsi="Arial" w:cs="Arial"/>
                <w:color w:val="000000"/>
                <w:sz w:val="18"/>
                <w:szCs w:val="18"/>
              </w:rPr>
              <w:t>$0 and $1) (fair value of $0 and $3,304)</w:t>
            </w:r>
          </w:p>
        </w:tc>
        <w:tc>
          <w:tcPr>
            <w:tcW w:w="0" w:type="auto"/>
            <w:gridSpan w:val="2"/>
            <w:shd w:val="clear" w:color="auto" w:fill="FFFFFF"/>
            <w:tcMar>
              <w:top w:w="40" w:type="dxa"/>
              <w:left w:w="20" w:type="dxa"/>
              <w:bottom w:w="40" w:type="dxa"/>
              <w:right w:w="0" w:type="dxa"/>
            </w:tcMar>
            <w:vAlign w:val="bottom"/>
          </w:tcPr>
          <w:p w14:paraId="5F2CF045" w14:textId="77777777" w:rsidR="00E836FB" w:rsidRDefault="00994958">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4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4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48" w14:textId="77777777" w:rsidR="00E836FB" w:rsidRDefault="00994958">
            <w:pPr>
              <w:jc w:val="right"/>
              <w:textAlignment w:val="bottom"/>
            </w:pPr>
            <w:r>
              <w:rPr>
                <w:rFonts w:ascii="Arial" w:eastAsia="宋体" w:hAnsi="Arial" w:cs="Arial"/>
                <w:color w:val="000000"/>
                <w:sz w:val="18"/>
                <w:szCs w:val="18"/>
              </w:rPr>
              <w:t>3,299 </w:t>
            </w:r>
          </w:p>
        </w:tc>
        <w:tc>
          <w:tcPr>
            <w:tcW w:w="0" w:type="auto"/>
            <w:shd w:val="clear" w:color="auto" w:fill="FFFFFF"/>
            <w:tcMar>
              <w:top w:w="40" w:type="dxa"/>
              <w:left w:w="0" w:type="dxa"/>
              <w:bottom w:w="40" w:type="dxa"/>
              <w:right w:w="20" w:type="dxa"/>
            </w:tcMar>
            <w:vAlign w:val="bottom"/>
          </w:tcPr>
          <w:p w14:paraId="5F2CF049" w14:textId="77777777" w:rsidR="00E836FB" w:rsidRDefault="00E836FB">
            <w:pPr>
              <w:jc w:val="right"/>
              <w:rPr>
                <w:rFonts w:ascii="宋体"/>
              </w:rPr>
            </w:pPr>
          </w:p>
        </w:tc>
      </w:tr>
      <w:tr w:rsidR="00E836FB" w14:paraId="5F2CF051" w14:textId="77777777">
        <w:trPr>
          <w:jc w:val="center"/>
        </w:trPr>
        <w:tc>
          <w:tcPr>
            <w:tcW w:w="0" w:type="auto"/>
            <w:gridSpan w:val="3"/>
            <w:shd w:val="clear" w:color="auto" w:fill="CCEEFF"/>
            <w:tcMar>
              <w:top w:w="40" w:type="dxa"/>
              <w:left w:w="20" w:type="dxa"/>
              <w:bottom w:w="40" w:type="dxa"/>
              <w:right w:w="20" w:type="dxa"/>
            </w:tcMar>
            <w:vAlign w:val="bottom"/>
          </w:tcPr>
          <w:p w14:paraId="5F2CF04B" w14:textId="77777777" w:rsidR="00E836FB" w:rsidRDefault="00994958">
            <w:pPr>
              <w:jc w:val="both"/>
              <w:textAlignment w:val="bottom"/>
            </w:pPr>
            <w:r>
              <w:rPr>
                <w:rFonts w:ascii="Arial" w:eastAsia="宋体" w:hAnsi="Arial" w:cs="Arial"/>
                <w:color w:val="000000"/>
                <w:sz w:val="18"/>
                <w:szCs w:val="18"/>
              </w:rPr>
              <w:t>Investment securities held-to-maturity (less allowance for credit losses of $0 and $2) (fair value of $42,271 and $50,003)</w:t>
            </w:r>
          </w:p>
        </w:tc>
        <w:tc>
          <w:tcPr>
            <w:tcW w:w="0" w:type="auto"/>
            <w:gridSpan w:val="2"/>
            <w:shd w:val="clear" w:color="auto" w:fill="CCEEFF"/>
            <w:tcMar>
              <w:top w:w="40" w:type="dxa"/>
              <w:left w:w="20" w:type="dxa"/>
              <w:bottom w:w="40" w:type="dxa"/>
              <w:right w:w="0" w:type="dxa"/>
            </w:tcMar>
            <w:vAlign w:val="bottom"/>
          </w:tcPr>
          <w:p w14:paraId="5F2CF04C" w14:textId="77777777" w:rsidR="00E836FB" w:rsidRDefault="00994958">
            <w:pPr>
              <w:jc w:val="right"/>
              <w:textAlignment w:val="bottom"/>
            </w:pPr>
            <w:r>
              <w:rPr>
                <w:rFonts w:ascii="Arial" w:eastAsia="宋体" w:hAnsi="Arial" w:cs="Arial"/>
                <w:b/>
                <w:bCs/>
                <w:color w:val="000000"/>
                <w:sz w:val="18"/>
                <w:szCs w:val="18"/>
              </w:rPr>
              <w:t>42,430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4F" w14:textId="77777777" w:rsidR="00E836FB" w:rsidRDefault="00994958">
            <w:pPr>
              <w:jc w:val="right"/>
              <w:textAlignment w:val="bottom"/>
            </w:pPr>
            <w:r>
              <w:rPr>
                <w:rFonts w:ascii="Arial" w:eastAsia="宋体" w:hAnsi="Arial" w:cs="Arial"/>
                <w:color w:val="000000"/>
                <w:sz w:val="18"/>
                <w:szCs w:val="18"/>
              </w:rPr>
              <w:t>48,929 </w:t>
            </w:r>
          </w:p>
        </w:tc>
        <w:tc>
          <w:tcPr>
            <w:tcW w:w="0" w:type="auto"/>
            <w:shd w:val="clear" w:color="auto" w:fill="CCEEFF"/>
            <w:tcMar>
              <w:top w:w="40" w:type="dxa"/>
              <w:left w:w="0" w:type="dxa"/>
              <w:bottom w:w="40" w:type="dxa"/>
              <w:right w:w="20" w:type="dxa"/>
            </w:tcMar>
            <w:vAlign w:val="bottom"/>
          </w:tcPr>
          <w:p w14:paraId="5F2CF050" w14:textId="77777777" w:rsidR="00E836FB" w:rsidRDefault="00E836FB">
            <w:pPr>
              <w:jc w:val="right"/>
              <w:rPr>
                <w:rFonts w:ascii="宋体"/>
              </w:rPr>
            </w:pPr>
          </w:p>
        </w:tc>
      </w:tr>
      <w:tr w:rsidR="00E836FB" w14:paraId="5F2CF058" w14:textId="77777777">
        <w:trPr>
          <w:jc w:val="center"/>
        </w:trPr>
        <w:tc>
          <w:tcPr>
            <w:tcW w:w="0" w:type="auto"/>
            <w:gridSpan w:val="3"/>
            <w:shd w:val="clear" w:color="auto" w:fill="FFFFFF"/>
            <w:tcMar>
              <w:top w:w="40" w:type="dxa"/>
              <w:left w:w="20" w:type="dxa"/>
              <w:bottom w:w="40" w:type="dxa"/>
              <w:right w:w="20" w:type="dxa"/>
            </w:tcMar>
            <w:vAlign w:val="bottom"/>
          </w:tcPr>
          <w:p w14:paraId="5F2CF052" w14:textId="77777777" w:rsidR="00E836FB" w:rsidRDefault="00994958">
            <w:pPr>
              <w:jc w:val="both"/>
              <w:textAlignment w:val="bottom"/>
            </w:pPr>
            <w:r>
              <w:rPr>
                <w:rFonts w:ascii="Arial" w:eastAsia="宋体" w:hAnsi="Arial" w:cs="Arial"/>
                <w:color w:val="000000"/>
                <w:sz w:val="18"/>
                <w:szCs w:val="18"/>
              </w:rPr>
              <w:t xml:space="preserve">Loans (less allowance for credit losses on loans of $87 </w:t>
            </w:r>
            <w:r>
              <w:rPr>
                <w:rFonts w:ascii="Arial" w:eastAsia="宋体" w:hAnsi="Arial" w:cs="Arial"/>
                <w:color w:val="000000"/>
                <w:sz w:val="18"/>
                <w:szCs w:val="18"/>
              </w:rPr>
              <w:t>and $122)</w:t>
            </w:r>
          </w:p>
        </w:tc>
        <w:tc>
          <w:tcPr>
            <w:tcW w:w="0" w:type="auto"/>
            <w:gridSpan w:val="2"/>
            <w:shd w:val="clear" w:color="auto" w:fill="FFFFFF"/>
            <w:tcMar>
              <w:top w:w="40" w:type="dxa"/>
              <w:left w:w="20" w:type="dxa"/>
              <w:bottom w:w="40" w:type="dxa"/>
              <w:right w:w="0" w:type="dxa"/>
            </w:tcMar>
            <w:vAlign w:val="bottom"/>
          </w:tcPr>
          <w:p w14:paraId="5F2CF053" w14:textId="77777777" w:rsidR="00E836FB" w:rsidRDefault="00994958">
            <w:pPr>
              <w:jc w:val="right"/>
              <w:textAlignment w:val="bottom"/>
            </w:pPr>
            <w:r>
              <w:rPr>
                <w:rFonts w:ascii="Arial" w:eastAsia="宋体" w:hAnsi="Arial" w:cs="Arial"/>
                <w:b/>
                <w:bCs/>
                <w:color w:val="000000"/>
                <w:sz w:val="18"/>
                <w:szCs w:val="18"/>
              </w:rPr>
              <w:t>32,445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5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5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56" w14:textId="77777777" w:rsidR="00E836FB" w:rsidRDefault="00994958">
            <w:pPr>
              <w:jc w:val="right"/>
              <w:textAlignment w:val="bottom"/>
            </w:pPr>
            <w:r>
              <w:rPr>
                <w:rFonts w:ascii="Arial" w:eastAsia="宋体" w:hAnsi="Arial" w:cs="Arial"/>
                <w:color w:val="000000"/>
                <w:sz w:val="18"/>
                <w:szCs w:val="18"/>
              </w:rPr>
              <w:t>27,803 </w:t>
            </w:r>
          </w:p>
        </w:tc>
        <w:tc>
          <w:tcPr>
            <w:tcW w:w="0" w:type="auto"/>
            <w:shd w:val="clear" w:color="auto" w:fill="FFFFFF"/>
            <w:tcMar>
              <w:top w:w="40" w:type="dxa"/>
              <w:left w:w="0" w:type="dxa"/>
              <w:bottom w:w="40" w:type="dxa"/>
              <w:right w:w="20" w:type="dxa"/>
            </w:tcMar>
            <w:vAlign w:val="bottom"/>
          </w:tcPr>
          <w:p w14:paraId="5F2CF057" w14:textId="77777777" w:rsidR="00E836FB" w:rsidRDefault="00E836FB">
            <w:pPr>
              <w:jc w:val="right"/>
              <w:rPr>
                <w:rFonts w:ascii="宋体"/>
              </w:rPr>
            </w:pPr>
          </w:p>
        </w:tc>
      </w:tr>
      <w:tr w:rsidR="00E836FB" w14:paraId="5F2CF05F" w14:textId="77777777">
        <w:trPr>
          <w:jc w:val="center"/>
        </w:trPr>
        <w:tc>
          <w:tcPr>
            <w:tcW w:w="0" w:type="auto"/>
            <w:gridSpan w:val="3"/>
            <w:shd w:val="clear" w:color="auto" w:fill="CCEEFF"/>
            <w:tcMar>
              <w:top w:w="40" w:type="dxa"/>
              <w:left w:w="20" w:type="dxa"/>
              <w:bottom w:w="40" w:type="dxa"/>
              <w:right w:w="20" w:type="dxa"/>
            </w:tcMar>
            <w:vAlign w:val="bottom"/>
          </w:tcPr>
          <w:p w14:paraId="5F2CF059" w14:textId="77777777" w:rsidR="00E836FB" w:rsidRDefault="00994958">
            <w:pPr>
              <w:jc w:val="both"/>
              <w:textAlignment w:val="bottom"/>
            </w:pPr>
            <w:r>
              <w:rPr>
                <w:rFonts w:ascii="Arial" w:eastAsia="宋体" w:hAnsi="Arial" w:cs="Arial"/>
                <w:color w:val="000000"/>
                <w:sz w:val="18"/>
                <w:szCs w:val="18"/>
              </w:rPr>
              <w:t>Premises and equipment (net of accumulated depreciation of $5,391 and $4,825)</w:t>
            </w:r>
          </w:p>
        </w:tc>
        <w:tc>
          <w:tcPr>
            <w:tcW w:w="0" w:type="auto"/>
            <w:gridSpan w:val="2"/>
            <w:shd w:val="clear" w:color="auto" w:fill="CCEEFF"/>
            <w:tcMar>
              <w:top w:w="40" w:type="dxa"/>
              <w:left w:w="20" w:type="dxa"/>
              <w:bottom w:w="40" w:type="dxa"/>
              <w:right w:w="0" w:type="dxa"/>
            </w:tcMar>
            <w:vAlign w:val="bottom"/>
          </w:tcPr>
          <w:p w14:paraId="5F2CF05A" w14:textId="77777777" w:rsidR="00E836FB" w:rsidRDefault="00994958">
            <w:pPr>
              <w:jc w:val="right"/>
              <w:textAlignment w:val="bottom"/>
            </w:pPr>
            <w:r>
              <w:rPr>
                <w:rFonts w:ascii="Arial" w:eastAsia="宋体" w:hAnsi="Arial" w:cs="Arial"/>
                <w:b/>
                <w:bCs/>
                <w:color w:val="000000"/>
                <w:sz w:val="18"/>
                <w:szCs w:val="18"/>
              </w:rPr>
              <w:t>2,261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5D" w14:textId="77777777" w:rsidR="00E836FB" w:rsidRDefault="00994958">
            <w:pPr>
              <w:jc w:val="right"/>
              <w:textAlignment w:val="bottom"/>
            </w:pPr>
            <w:r>
              <w:rPr>
                <w:rFonts w:ascii="Arial" w:eastAsia="宋体" w:hAnsi="Arial" w:cs="Arial"/>
                <w:color w:val="000000"/>
                <w:sz w:val="18"/>
                <w:szCs w:val="18"/>
              </w:rPr>
              <w:t>2,154 </w:t>
            </w:r>
          </w:p>
        </w:tc>
        <w:tc>
          <w:tcPr>
            <w:tcW w:w="0" w:type="auto"/>
            <w:shd w:val="clear" w:color="auto" w:fill="CCEEFF"/>
            <w:tcMar>
              <w:top w:w="40" w:type="dxa"/>
              <w:left w:w="0" w:type="dxa"/>
              <w:bottom w:w="40" w:type="dxa"/>
              <w:right w:w="20" w:type="dxa"/>
            </w:tcMar>
            <w:vAlign w:val="bottom"/>
          </w:tcPr>
          <w:p w14:paraId="5F2CF05E" w14:textId="77777777" w:rsidR="00E836FB" w:rsidRDefault="00E836FB">
            <w:pPr>
              <w:jc w:val="right"/>
              <w:rPr>
                <w:rFonts w:ascii="宋体"/>
              </w:rPr>
            </w:pPr>
          </w:p>
        </w:tc>
      </w:tr>
      <w:tr w:rsidR="00E836FB" w14:paraId="5F2CF066" w14:textId="77777777">
        <w:trPr>
          <w:jc w:val="center"/>
        </w:trPr>
        <w:tc>
          <w:tcPr>
            <w:tcW w:w="0" w:type="auto"/>
            <w:gridSpan w:val="3"/>
            <w:shd w:val="clear" w:color="auto" w:fill="FFFFFF"/>
            <w:tcMar>
              <w:top w:w="40" w:type="dxa"/>
              <w:left w:w="20" w:type="dxa"/>
              <w:bottom w:w="40" w:type="dxa"/>
              <w:right w:w="20" w:type="dxa"/>
            </w:tcMar>
            <w:vAlign w:val="bottom"/>
          </w:tcPr>
          <w:p w14:paraId="5F2CF060" w14:textId="77777777" w:rsidR="00E836FB" w:rsidRDefault="00994958">
            <w:pPr>
              <w:textAlignment w:val="bottom"/>
            </w:pPr>
            <w:r>
              <w:rPr>
                <w:rFonts w:ascii="Arial" w:eastAsia="宋体" w:hAnsi="Arial" w:cs="Arial"/>
                <w:color w:val="000000"/>
                <w:sz w:val="18"/>
                <w:szCs w:val="18"/>
              </w:rPr>
              <w:t>Accrued interest and fees receivable</w:t>
            </w:r>
          </w:p>
        </w:tc>
        <w:tc>
          <w:tcPr>
            <w:tcW w:w="0" w:type="auto"/>
            <w:gridSpan w:val="2"/>
            <w:shd w:val="clear" w:color="auto" w:fill="FFFFFF"/>
            <w:tcMar>
              <w:top w:w="40" w:type="dxa"/>
              <w:left w:w="20" w:type="dxa"/>
              <w:bottom w:w="40" w:type="dxa"/>
              <w:right w:w="0" w:type="dxa"/>
            </w:tcMar>
            <w:vAlign w:val="bottom"/>
          </w:tcPr>
          <w:p w14:paraId="5F2CF061" w14:textId="77777777" w:rsidR="00E836FB" w:rsidRDefault="00994958">
            <w:pPr>
              <w:jc w:val="right"/>
              <w:textAlignment w:val="bottom"/>
            </w:pPr>
            <w:r>
              <w:rPr>
                <w:rFonts w:ascii="Arial" w:eastAsia="宋体" w:hAnsi="Arial" w:cs="Arial"/>
                <w:b/>
                <w:bCs/>
                <w:color w:val="000000"/>
                <w:sz w:val="18"/>
                <w:szCs w:val="18"/>
              </w:rPr>
              <w:t>3,278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64" w14:textId="77777777" w:rsidR="00E836FB" w:rsidRDefault="00994958">
            <w:pPr>
              <w:jc w:val="right"/>
              <w:textAlignment w:val="bottom"/>
            </w:pPr>
            <w:r>
              <w:rPr>
                <w:rFonts w:ascii="Arial" w:eastAsia="宋体" w:hAnsi="Arial" w:cs="Arial"/>
                <w:color w:val="000000"/>
                <w:sz w:val="18"/>
                <w:szCs w:val="18"/>
              </w:rPr>
              <w:t>3,105 </w:t>
            </w:r>
          </w:p>
        </w:tc>
        <w:tc>
          <w:tcPr>
            <w:tcW w:w="0" w:type="auto"/>
            <w:shd w:val="clear" w:color="auto" w:fill="FFFFFF"/>
            <w:tcMar>
              <w:top w:w="40" w:type="dxa"/>
              <w:left w:w="0" w:type="dxa"/>
              <w:bottom w:w="40" w:type="dxa"/>
              <w:right w:w="20" w:type="dxa"/>
            </w:tcMar>
            <w:vAlign w:val="bottom"/>
          </w:tcPr>
          <w:p w14:paraId="5F2CF065" w14:textId="77777777" w:rsidR="00E836FB" w:rsidRDefault="00E836FB">
            <w:pPr>
              <w:jc w:val="right"/>
              <w:rPr>
                <w:rFonts w:ascii="宋体"/>
              </w:rPr>
            </w:pPr>
          </w:p>
        </w:tc>
      </w:tr>
      <w:tr w:rsidR="00E836FB" w14:paraId="5F2CF06B" w14:textId="77777777">
        <w:trPr>
          <w:jc w:val="center"/>
          <w:hidden/>
        </w:trPr>
        <w:tc>
          <w:tcPr>
            <w:tcW w:w="0" w:type="auto"/>
            <w:gridSpan w:val="3"/>
            <w:shd w:val="clear" w:color="auto" w:fill="auto"/>
            <w:vAlign w:val="bottom"/>
          </w:tcPr>
          <w:p w14:paraId="5F2CF067" w14:textId="77777777" w:rsidR="00E836FB" w:rsidRDefault="00E836FB">
            <w:pPr>
              <w:rPr>
                <w:rFonts w:ascii="宋体"/>
                <w:vanish/>
              </w:rPr>
            </w:pPr>
          </w:p>
        </w:tc>
        <w:tc>
          <w:tcPr>
            <w:tcW w:w="0" w:type="auto"/>
            <w:gridSpan w:val="3"/>
            <w:shd w:val="clear" w:color="auto" w:fill="auto"/>
            <w:vAlign w:val="bottom"/>
          </w:tcPr>
          <w:p w14:paraId="5F2CF068" w14:textId="77777777" w:rsidR="00E836FB" w:rsidRDefault="00E836FB">
            <w:pPr>
              <w:rPr>
                <w:rFonts w:ascii="宋体"/>
                <w:vanish/>
              </w:rPr>
            </w:pPr>
          </w:p>
        </w:tc>
        <w:tc>
          <w:tcPr>
            <w:tcW w:w="0" w:type="auto"/>
            <w:gridSpan w:val="3"/>
            <w:shd w:val="clear" w:color="auto" w:fill="auto"/>
            <w:vAlign w:val="bottom"/>
          </w:tcPr>
          <w:p w14:paraId="5F2CF069" w14:textId="77777777" w:rsidR="00E836FB" w:rsidRDefault="00E836FB">
            <w:pPr>
              <w:rPr>
                <w:rFonts w:ascii="宋体"/>
                <w:vanish/>
              </w:rPr>
            </w:pPr>
          </w:p>
        </w:tc>
        <w:tc>
          <w:tcPr>
            <w:tcW w:w="0" w:type="auto"/>
            <w:gridSpan w:val="3"/>
            <w:shd w:val="clear" w:color="auto" w:fill="auto"/>
            <w:vAlign w:val="bottom"/>
          </w:tcPr>
          <w:p w14:paraId="5F2CF06A" w14:textId="77777777" w:rsidR="00E836FB" w:rsidRDefault="00E836FB">
            <w:pPr>
              <w:rPr>
                <w:rFonts w:ascii="宋体"/>
                <w:vanish/>
              </w:rPr>
            </w:pPr>
          </w:p>
        </w:tc>
      </w:tr>
      <w:tr w:rsidR="00E836FB" w14:paraId="5F2CF072" w14:textId="77777777">
        <w:trPr>
          <w:jc w:val="center"/>
        </w:trPr>
        <w:tc>
          <w:tcPr>
            <w:tcW w:w="0" w:type="auto"/>
            <w:gridSpan w:val="3"/>
            <w:shd w:val="clear" w:color="auto" w:fill="CCEEFF"/>
            <w:tcMar>
              <w:top w:w="40" w:type="dxa"/>
              <w:left w:w="20" w:type="dxa"/>
              <w:bottom w:w="40" w:type="dxa"/>
              <w:right w:w="20" w:type="dxa"/>
            </w:tcMar>
            <w:vAlign w:val="bottom"/>
          </w:tcPr>
          <w:p w14:paraId="5F2CF06C" w14:textId="77777777" w:rsidR="00E836FB" w:rsidRDefault="00994958">
            <w:pPr>
              <w:textAlignment w:val="bottom"/>
            </w:pPr>
            <w:r>
              <w:rPr>
                <w:rFonts w:ascii="Arial" w:eastAsia="宋体" w:hAnsi="Arial" w:cs="Arial"/>
                <w:color w:val="000000"/>
                <w:sz w:val="18"/>
                <w:szCs w:val="18"/>
              </w:rPr>
              <w:t>Goodwill</w:t>
            </w:r>
          </w:p>
        </w:tc>
        <w:tc>
          <w:tcPr>
            <w:tcW w:w="0" w:type="auto"/>
            <w:gridSpan w:val="2"/>
            <w:shd w:val="clear" w:color="auto" w:fill="CCEEFF"/>
            <w:tcMar>
              <w:top w:w="40" w:type="dxa"/>
              <w:left w:w="20" w:type="dxa"/>
              <w:bottom w:w="40" w:type="dxa"/>
              <w:right w:w="0" w:type="dxa"/>
            </w:tcMar>
            <w:vAlign w:val="bottom"/>
          </w:tcPr>
          <w:p w14:paraId="5F2CF06D" w14:textId="77777777" w:rsidR="00E836FB" w:rsidRDefault="00994958">
            <w:pPr>
              <w:jc w:val="right"/>
              <w:textAlignment w:val="bottom"/>
            </w:pPr>
            <w:r>
              <w:rPr>
                <w:rFonts w:ascii="Arial" w:eastAsia="宋体" w:hAnsi="Arial" w:cs="Arial"/>
                <w:b/>
                <w:bCs/>
                <w:color w:val="000000"/>
                <w:sz w:val="18"/>
                <w:szCs w:val="18"/>
              </w:rPr>
              <w:t>7,621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6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70" w14:textId="77777777" w:rsidR="00E836FB" w:rsidRDefault="00994958">
            <w:pPr>
              <w:jc w:val="right"/>
              <w:textAlignment w:val="bottom"/>
            </w:pPr>
            <w:r>
              <w:rPr>
                <w:rFonts w:ascii="Arial" w:eastAsia="宋体" w:hAnsi="Arial" w:cs="Arial"/>
                <w:color w:val="000000"/>
                <w:sz w:val="18"/>
                <w:szCs w:val="18"/>
              </w:rPr>
              <w:t>7,683 </w:t>
            </w:r>
          </w:p>
        </w:tc>
        <w:tc>
          <w:tcPr>
            <w:tcW w:w="0" w:type="auto"/>
            <w:shd w:val="clear" w:color="auto" w:fill="CCEEFF"/>
            <w:tcMar>
              <w:top w:w="40" w:type="dxa"/>
              <w:left w:w="0" w:type="dxa"/>
              <w:bottom w:w="40" w:type="dxa"/>
              <w:right w:w="20" w:type="dxa"/>
            </w:tcMar>
            <w:vAlign w:val="bottom"/>
          </w:tcPr>
          <w:p w14:paraId="5F2CF071" w14:textId="77777777" w:rsidR="00E836FB" w:rsidRDefault="00E836FB">
            <w:pPr>
              <w:jc w:val="right"/>
              <w:rPr>
                <w:rFonts w:ascii="宋体"/>
              </w:rPr>
            </w:pPr>
          </w:p>
        </w:tc>
      </w:tr>
      <w:tr w:rsidR="00E836FB" w14:paraId="5F2CF079" w14:textId="77777777">
        <w:trPr>
          <w:jc w:val="center"/>
        </w:trPr>
        <w:tc>
          <w:tcPr>
            <w:tcW w:w="0" w:type="auto"/>
            <w:gridSpan w:val="3"/>
            <w:shd w:val="clear" w:color="auto" w:fill="FFFFFF"/>
            <w:tcMar>
              <w:top w:w="40" w:type="dxa"/>
              <w:left w:w="20" w:type="dxa"/>
              <w:bottom w:w="40" w:type="dxa"/>
              <w:right w:w="20" w:type="dxa"/>
            </w:tcMar>
            <w:vAlign w:val="bottom"/>
          </w:tcPr>
          <w:p w14:paraId="5F2CF073" w14:textId="77777777" w:rsidR="00E836FB" w:rsidRDefault="00994958">
            <w:pPr>
              <w:textAlignment w:val="bottom"/>
            </w:pPr>
            <w:r>
              <w:rPr>
                <w:rFonts w:ascii="Arial" w:eastAsia="宋体" w:hAnsi="Arial" w:cs="Arial"/>
                <w:color w:val="000000"/>
                <w:sz w:val="18"/>
                <w:szCs w:val="18"/>
              </w:rPr>
              <w:t>Other intangible assets</w:t>
            </w:r>
          </w:p>
        </w:tc>
        <w:tc>
          <w:tcPr>
            <w:tcW w:w="0" w:type="auto"/>
            <w:gridSpan w:val="2"/>
            <w:shd w:val="clear" w:color="auto" w:fill="FFFFFF"/>
            <w:tcMar>
              <w:top w:w="40" w:type="dxa"/>
              <w:left w:w="20" w:type="dxa"/>
              <w:bottom w:w="40" w:type="dxa"/>
              <w:right w:w="0" w:type="dxa"/>
            </w:tcMar>
            <w:vAlign w:val="bottom"/>
          </w:tcPr>
          <w:p w14:paraId="5F2CF074" w14:textId="77777777" w:rsidR="00E836FB" w:rsidRDefault="00994958">
            <w:pPr>
              <w:jc w:val="right"/>
              <w:textAlignment w:val="bottom"/>
            </w:pPr>
            <w:r>
              <w:rPr>
                <w:rFonts w:ascii="Arial" w:eastAsia="宋体" w:hAnsi="Arial" w:cs="Arial"/>
                <w:b/>
                <w:bCs/>
                <w:color w:val="000000"/>
                <w:sz w:val="18"/>
                <w:szCs w:val="18"/>
              </w:rPr>
              <w:t>1,816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77" w14:textId="77777777" w:rsidR="00E836FB" w:rsidRDefault="00994958">
            <w:pPr>
              <w:jc w:val="right"/>
              <w:textAlignment w:val="bottom"/>
            </w:pPr>
            <w:r>
              <w:rPr>
                <w:rFonts w:ascii="Arial" w:eastAsia="宋体" w:hAnsi="Arial" w:cs="Arial"/>
                <w:color w:val="000000"/>
                <w:sz w:val="18"/>
                <w:szCs w:val="18"/>
              </w:rPr>
              <w:t>1,827 </w:t>
            </w:r>
          </w:p>
        </w:tc>
        <w:tc>
          <w:tcPr>
            <w:tcW w:w="0" w:type="auto"/>
            <w:shd w:val="clear" w:color="auto" w:fill="FFFFFF"/>
            <w:tcMar>
              <w:top w:w="40" w:type="dxa"/>
              <w:left w:w="0" w:type="dxa"/>
              <w:bottom w:w="40" w:type="dxa"/>
              <w:right w:w="20" w:type="dxa"/>
            </w:tcMar>
            <w:vAlign w:val="bottom"/>
          </w:tcPr>
          <w:p w14:paraId="5F2CF078" w14:textId="77777777" w:rsidR="00E836FB" w:rsidRDefault="00E836FB">
            <w:pPr>
              <w:jc w:val="right"/>
              <w:rPr>
                <w:rFonts w:ascii="宋体"/>
              </w:rPr>
            </w:pPr>
          </w:p>
        </w:tc>
      </w:tr>
      <w:tr w:rsidR="00E836FB" w14:paraId="5F2CF080" w14:textId="77777777">
        <w:trPr>
          <w:jc w:val="center"/>
        </w:trPr>
        <w:tc>
          <w:tcPr>
            <w:tcW w:w="0" w:type="auto"/>
            <w:gridSpan w:val="3"/>
            <w:shd w:val="clear" w:color="auto" w:fill="CCEEFF"/>
            <w:tcMar>
              <w:top w:w="40" w:type="dxa"/>
              <w:left w:w="20" w:type="dxa"/>
              <w:bottom w:w="40" w:type="dxa"/>
              <w:right w:w="20" w:type="dxa"/>
            </w:tcMar>
            <w:vAlign w:val="bottom"/>
          </w:tcPr>
          <w:p w14:paraId="5F2CF07A" w14:textId="77777777" w:rsidR="00E836FB" w:rsidRDefault="00994958">
            <w:pPr>
              <w:textAlignment w:val="bottom"/>
            </w:pPr>
            <w:r>
              <w:rPr>
                <w:rFonts w:ascii="Arial" w:eastAsia="宋体" w:hAnsi="Arial" w:cs="Arial"/>
                <w:color w:val="000000"/>
                <w:sz w:val="18"/>
                <w:szCs w:val="18"/>
              </w:rPr>
              <w:t>Other assets</w:t>
            </w:r>
          </w:p>
        </w:tc>
        <w:tc>
          <w:tcPr>
            <w:tcW w:w="0" w:type="auto"/>
            <w:gridSpan w:val="2"/>
            <w:shd w:val="clear" w:color="auto" w:fill="CCEEFF"/>
            <w:tcMar>
              <w:top w:w="40" w:type="dxa"/>
              <w:left w:w="20" w:type="dxa"/>
              <w:bottom w:w="40" w:type="dxa"/>
              <w:right w:w="0" w:type="dxa"/>
            </w:tcMar>
            <w:vAlign w:val="bottom"/>
          </w:tcPr>
          <w:p w14:paraId="5F2CF07B" w14:textId="77777777" w:rsidR="00E836FB" w:rsidRDefault="00994958">
            <w:pPr>
              <w:jc w:val="right"/>
              <w:textAlignment w:val="bottom"/>
            </w:pPr>
            <w:r>
              <w:rPr>
                <w:rFonts w:ascii="Arial" w:eastAsia="宋体" w:hAnsi="Arial" w:cs="Arial"/>
                <w:b/>
                <w:bCs/>
                <w:color w:val="000000"/>
                <w:sz w:val="18"/>
                <w:szCs w:val="18"/>
              </w:rPr>
              <w:t>37,615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7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7E" w14:textId="77777777" w:rsidR="00E836FB" w:rsidRDefault="00994958">
            <w:pPr>
              <w:jc w:val="right"/>
              <w:textAlignment w:val="bottom"/>
            </w:pPr>
            <w:r>
              <w:rPr>
                <w:rFonts w:ascii="Arial" w:eastAsia="宋体" w:hAnsi="Arial" w:cs="Arial"/>
                <w:color w:val="000000"/>
                <w:sz w:val="18"/>
                <w:szCs w:val="18"/>
              </w:rPr>
              <w:t>36,510 </w:t>
            </w:r>
          </w:p>
        </w:tc>
        <w:tc>
          <w:tcPr>
            <w:tcW w:w="0" w:type="auto"/>
            <w:shd w:val="clear" w:color="auto" w:fill="CCEEFF"/>
            <w:tcMar>
              <w:top w:w="40" w:type="dxa"/>
              <w:left w:w="0" w:type="dxa"/>
              <w:bottom w:w="40" w:type="dxa"/>
              <w:right w:w="20" w:type="dxa"/>
            </w:tcMar>
            <w:vAlign w:val="bottom"/>
          </w:tcPr>
          <w:p w14:paraId="5F2CF07F" w14:textId="77777777" w:rsidR="00E836FB" w:rsidRDefault="00E836FB">
            <w:pPr>
              <w:jc w:val="right"/>
              <w:rPr>
                <w:rFonts w:ascii="宋体"/>
              </w:rPr>
            </w:pPr>
          </w:p>
        </w:tc>
      </w:tr>
      <w:tr w:rsidR="00E836FB" w14:paraId="5F2CF089" w14:textId="77777777">
        <w:trPr>
          <w:jc w:val="center"/>
        </w:trPr>
        <w:tc>
          <w:tcPr>
            <w:tcW w:w="0" w:type="auto"/>
            <w:gridSpan w:val="3"/>
            <w:shd w:val="clear" w:color="auto" w:fill="FFFFFF"/>
            <w:tcMar>
              <w:top w:w="40" w:type="dxa"/>
              <w:left w:w="20" w:type="dxa"/>
              <w:bottom w:w="40" w:type="dxa"/>
              <w:right w:w="20" w:type="dxa"/>
            </w:tcMar>
            <w:vAlign w:val="bottom"/>
          </w:tcPr>
          <w:p w14:paraId="5F2CF081" w14:textId="77777777" w:rsidR="00E836FB" w:rsidRDefault="00994958">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F082" w14:textId="77777777" w:rsidR="00E836FB" w:rsidRDefault="00994958">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083" w14:textId="77777777" w:rsidR="00E836FB" w:rsidRDefault="00994958">
            <w:pPr>
              <w:jc w:val="right"/>
              <w:textAlignment w:val="bottom"/>
            </w:pPr>
            <w:r>
              <w:rPr>
                <w:rFonts w:ascii="Arial" w:eastAsia="宋体" w:hAnsi="Arial" w:cs="Arial"/>
                <w:b/>
                <w:bCs/>
                <w:color w:val="000000"/>
                <w:sz w:val="18"/>
                <w:szCs w:val="18"/>
              </w:rPr>
              <w:t>314,624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08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85"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086"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087" w14:textId="77777777" w:rsidR="00E836FB" w:rsidRDefault="00994958">
            <w:pPr>
              <w:jc w:val="right"/>
              <w:textAlignment w:val="bottom"/>
            </w:pPr>
            <w:r>
              <w:rPr>
                <w:rFonts w:ascii="Arial" w:eastAsia="宋体" w:hAnsi="Arial" w:cs="Arial"/>
                <w:color w:val="000000"/>
                <w:sz w:val="18"/>
                <w:szCs w:val="18"/>
              </w:rPr>
              <w:t>314,706 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088" w14:textId="77777777" w:rsidR="00E836FB" w:rsidRDefault="00E836FB">
            <w:pPr>
              <w:jc w:val="right"/>
              <w:rPr>
                <w:rFonts w:ascii="宋体"/>
              </w:rPr>
            </w:pPr>
          </w:p>
        </w:tc>
      </w:tr>
      <w:tr w:rsidR="00E836FB" w14:paraId="5F2CF08E" w14:textId="77777777">
        <w:trPr>
          <w:jc w:val="center"/>
        </w:trPr>
        <w:tc>
          <w:tcPr>
            <w:tcW w:w="0" w:type="auto"/>
            <w:gridSpan w:val="3"/>
            <w:shd w:val="clear" w:color="auto" w:fill="CCEEFF"/>
            <w:tcMar>
              <w:top w:w="40" w:type="dxa"/>
              <w:left w:w="20" w:type="dxa"/>
              <w:bottom w:w="40" w:type="dxa"/>
              <w:right w:w="20" w:type="dxa"/>
            </w:tcMar>
            <w:vAlign w:val="bottom"/>
          </w:tcPr>
          <w:p w14:paraId="5F2CF08A" w14:textId="77777777" w:rsidR="00E836FB" w:rsidRDefault="00994958">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08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08C"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08D" w14:textId="77777777" w:rsidR="00E836FB" w:rsidRDefault="00E836FB">
            <w:pPr>
              <w:rPr>
                <w:rFonts w:ascii="宋体"/>
              </w:rPr>
            </w:pPr>
          </w:p>
        </w:tc>
      </w:tr>
      <w:tr w:rsidR="00E836FB" w14:paraId="5F2CF093" w14:textId="77777777">
        <w:trPr>
          <w:jc w:val="center"/>
        </w:trPr>
        <w:tc>
          <w:tcPr>
            <w:tcW w:w="0" w:type="auto"/>
            <w:gridSpan w:val="3"/>
            <w:shd w:val="clear" w:color="auto" w:fill="FFFFFF"/>
            <w:tcMar>
              <w:top w:w="40" w:type="dxa"/>
              <w:left w:w="20" w:type="dxa"/>
              <w:bottom w:w="40" w:type="dxa"/>
              <w:right w:w="20" w:type="dxa"/>
            </w:tcMar>
            <w:vAlign w:val="bottom"/>
          </w:tcPr>
          <w:p w14:paraId="5F2CF08F" w14:textId="77777777" w:rsidR="00E836FB" w:rsidRDefault="00994958">
            <w:pPr>
              <w:textAlignment w:val="bottom"/>
            </w:pPr>
            <w:r>
              <w:rPr>
                <w:rFonts w:ascii="Arial" w:eastAsia="宋体" w:hAnsi="Arial" w:cs="Arial"/>
                <w:color w:val="000000"/>
                <w:sz w:val="18"/>
                <w:szCs w:val="18"/>
              </w:rPr>
              <w:t>Deposits:</w:t>
            </w:r>
          </w:p>
        </w:tc>
        <w:tc>
          <w:tcPr>
            <w:tcW w:w="0" w:type="auto"/>
            <w:gridSpan w:val="3"/>
            <w:shd w:val="clear" w:color="auto" w:fill="FFFFFF"/>
            <w:tcMar>
              <w:top w:w="0" w:type="dxa"/>
              <w:left w:w="20" w:type="dxa"/>
              <w:bottom w:w="0" w:type="dxa"/>
              <w:right w:w="20" w:type="dxa"/>
            </w:tcMar>
            <w:vAlign w:val="bottom"/>
          </w:tcPr>
          <w:p w14:paraId="5F2CF09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09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092" w14:textId="77777777" w:rsidR="00E836FB" w:rsidRDefault="00E836FB">
            <w:pPr>
              <w:rPr>
                <w:rFonts w:ascii="宋体"/>
              </w:rPr>
            </w:pPr>
          </w:p>
        </w:tc>
      </w:tr>
      <w:tr w:rsidR="00E836FB" w14:paraId="5F2CF09C" w14:textId="77777777">
        <w:trPr>
          <w:jc w:val="center"/>
        </w:trPr>
        <w:tc>
          <w:tcPr>
            <w:tcW w:w="0" w:type="auto"/>
            <w:gridSpan w:val="3"/>
            <w:shd w:val="clear" w:color="auto" w:fill="CCEEFF"/>
            <w:tcMar>
              <w:top w:w="40" w:type="dxa"/>
              <w:left w:w="245" w:type="dxa"/>
              <w:bottom w:w="40" w:type="dxa"/>
              <w:right w:w="20" w:type="dxa"/>
            </w:tcMar>
            <w:vAlign w:val="bottom"/>
          </w:tcPr>
          <w:p w14:paraId="5F2CF094" w14:textId="77777777" w:rsidR="00E836FB" w:rsidRDefault="00994958">
            <w:pPr>
              <w:textAlignment w:val="bottom"/>
            </w:pPr>
            <w:r>
              <w:rPr>
                <w:rFonts w:ascii="Arial" w:eastAsia="宋体" w:hAnsi="Arial" w:cs="Arial"/>
                <w:color w:val="000000"/>
                <w:sz w:val="18"/>
                <w:szCs w:val="18"/>
              </w:rPr>
              <w:t>Non-interest-bearing</w:t>
            </w:r>
          </w:p>
        </w:tc>
        <w:tc>
          <w:tcPr>
            <w:tcW w:w="0" w:type="auto"/>
            <w:shd w:val="clear" w:color="auto" w:fill="CCEEFF"/>
            <w:tcMar>
              <w:top w:w="40" w:type="dxa"/>
              <w:left w:w="20" w:type="dxa"/>
              <w:bottom w:w="40" w:type="dxa"/>
              <w:right w:w="0" w:type="dxa"/>
            </w:tcMar>
            <w:vAlign w:val="bottom"/>
          </w:tcPr>
          <w:p w14:paraId="5F2CF095" w14:textId="77777777" w:rsidR="00E836FB" w:rsidRDefault="00994958">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F2CF096" w14:textId="77777777" w:rsidR="00E836FB" w:rsidRDefault="00994958">
            <w:pPr>
              <w:jc w:val="right"/>
              <w:textAlignment w:val="bottom"/>
            </w:pPr>
            <w:r>
              <w:rPr>
                <w:rFonts w:ascii="Arial" w:eastAsia="宋体" w:hAnsi="Arial" w:cs="Arial"/>
                <w:b/>
                <w:bCs/>
                <w:color w:val="000000"/>
                <w:sz w:val="18"/>
                <w:szCs w:val="18"/>
              </w:rPr>
              <w:t>56,461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9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099" w14:textId="77777777" w:rsidR="00E836FB" w:rsidRDefault="00994958">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F2CF09A" w14:textId="77777777" w:rsidR="00E836FB" w:rsidRDefault="00994958">
            <w:pPr>
              <w:jc w:val="right"/>
              <w:textAlignment w:val="bottom"/>
            </w:pPr>
            <w:r>
              <w:rPr>
                <w:rFonts w:ascii="Arial" w:eastAsia="宋体" w:hAnsi="Arial" w:cs="Arial"/>
                <w:color w:val="000000"/>
                <w:sz w:val="18"/>
                <w:szCs w:val="18"/>
              </w:rPr>
              <w:t>49,439 </w:t>
            </w:r>
          </w:p>
        </w:tc>
        <w:tc>
          <w:tcPr>
            <w:tcW w:w="0" w:type="auto"/>
            <w:shd w:val="clear" w:color="auto" w:fill="CCEEFF"/>
            <w:tcMar>
              <w:top w:w="40" w:type="dxa"/>
              <w:left w:w="0" w:type="dxa"/>
              <w:bottom w:w="40" w:type="dxa"/>
              <w:right w:w="20" w:type="dxa"/>
            </w:tcMar>
            <w:vAlign w:val="bottom"/>
          </w:tcPr>
          <w:p w14:paraId="5F2CF09B" w14:textId="77777777" w:rsidR="00E836FB" w:rsidRDefault="00E836FB">
            <w:pPr>
              <w:jc w:val="right"/>
              <w:rPr>
                <w:rFonts w:ascii="宋体"/>
              </w:rPr>
            </w:pPr>
          </w:p>
        </w:tc>
      </w:tr>
      <w:tr w:rsidR="00E836FB" w14:paraId="5F2CF0A3" w14:textId="77777777">
        <w:trPr>
          <w:jc w:val="center"/>
        </w:trPr>
        <w:tc>
          <w:tcPr>
            <w:tcW w:w="0" w:type="auto"/>
            <w:gridSpan w:val="3"/>
            <w:shd w:val="clear" w:color="auto" w:fill="FFFFFF"/>
            <w:tcMar>
              <w:top w:w="40" w:type="dxa"/>
              <w:left w:w="245" w:type="dxa"/>
              <w:bottom w:w="40" w:type="dxa"/>
              <w:right w:w="20" w:type="dxa"/>
            </w:tcMar>
            <w:vAlign w:val="bottom"/>
          </w:tcPr>
          <w:p w14:paraId="5F2CF09D" w14:textId="77777777" w:rsidR="00E836FB" w:rsidRDefault="00994958">
            <w:pPr>
              <w:textAlignment w:val="bottom"/>
            </w:pPr>
            <w:r>
              <w:rPr>
                <w:rFonts w:ascii="Arial" w:eastAsia="宋体" w:hAnsi="Arial" w:cs="Arial"/>
                <w:color w:val="000000"/>
                <w:sz w:val="18"/>
                <w:szCs w:val="18"/>
              </w:rPr>
              <w:t>Interest-bearing - U.S.</w:t>
            </w:r>
          </w:p>
        </w:tc>
        <w:tc>
          <w:tcPr>
            <w:tcW w:w="0" w:type="auto"/>
            <w:gridSpan w:val="2"/>
            <w:shd w:val="clear" w:color="auto" w:fill="FFFFFF"/>
            <w:tcMar>
              <w:top w:w="40" w:type="dxa"/>
              <w:left w:w="20" w:type="dxa"/>
              <w:bottom w:w="40" w:type="dxa"/>
              <w:right w:w="0" w:type="dxa"/>
            </w:tcMar>
            <w:vAlign w:val="bottom"/>
          </w:tcPr>
          <w:p w14:paraId="5F2CF09E" w14:textId="77777777" w:rsidR="00E836FB" w:rsidRDefault="00994958">
            <w:pPr>
              <w:jc w:val="right"/>
              <w:textAlignment w:val="bottom"/>
            </w:pPr>
            <w:r>
              <w:rPr>
                <w:rFonts w:ascii="Arial" w:eastAsia="宋体" w:hAnsi="Arial" w:cs="Arial"/>
                <w:b/>
                <w:bCs/>
                <w:color w:val="000000"/>
                <w:sz w:val="18"/>
                <w:szCs w:val="18"/>
              </w:rPr>
              <w:t>102,985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A1" w14:textId="77777777" w:rsidR="00E836FB" w:rsidRDefault="00994958">
            <w:pPr>
              <w:jc w:val="right"/>
              <w:textAlignment w:val="bottom"/>
            </w:pPr>
            <w:r>
              <w:rPr>
                <w:rFonts w:ascii="Arial" w:eastAsia="宋体" w:hAnsi="Arial" w:cs="Arial"/>
                <w:color w:val="000000"/>
                <w:sz w:val="18"/>
                <w:szCs w:val="18"/>
              </w:rPr>
              <w:t>102,331 </w:t>
            </w:r>
          </w:p>
        </w:tc>
        <w:tc>
          <w:tcPr>
            <w:tcW w:w="0" w:type="auto"/>
            <w:shd w:val="clear" w:color="auto" w:fill="FFFFFF"/>
            <w:tcMar>
              <w:top w:w="40" w:type="dxa"/>
              <w:left w:w="0" w:type="dxa"/>
              <w:bottom w:w="40" w:type="dxa"/>
              <w:right w:w="20" w:type="dxa"/>
            </w:tcMar>
            <w:vAlign w:val="bottom"/>
          </w:tcPr>
          <w:p w14:paraId="5F2CF0A2" w14:textId="77777777" w:rsidR="00E836FB" w:rsidRDefault="00E836FB">
            <w:pPr>
              <w:jc w:val="right"/>
              <w:rPr>
                <w:rFonts w:ascii="宋体"/>
              </w:rPr>
            </w:pPr>
          </w:p>
        </w:tc>
      </w:tr>
      <w:tr w:rsidR="00E836FB" w14:paraId="5F2CF0AA" w14:textId="77777777">
        <w:trPr>
          <w:jc w:val="center"/>
        </w:trPr>
        <w:tc>
          <w:tcPr>
            <w:tcW w:w="0" w:type="auto"/>
            <w:gridSpan w:val="3"/>
            <w:shd w:val="clear" w:color="auto" w:fill="CCEEFF"/>
            <w:tcMar>
              <w:top w:w="40" w:type="dxa"/>
              <w:left w:w="245" w:type="dxa"/>
              <w:bottom w:w="40" w:type="dxa"/>
              <w:right w:w="20" w:type="dxa"/>
            </w:tcMar>
            <w:vAlign w:val="bottom"/>
          </w:tcPr>
          <w:p w14:paraId="5F2CF0A4" w14:textId="77777777" w:rsidR="00E836FB" w:rsidRDefault="00994958">
            <w:pPr>
              <w:textAlignment w:val="bottom"/>
            </w:pPr>
            <w:r>
              <w:rPr>
                <w:rFonts w:ascii="Arial" w:eastAsia="宋体" w:hAnsi="Arial" w:cs="Arial"/>
                <w:color w:val="000000"/>
                <w:sz w:val="18"/>
                <w:szCs w:val="18"/>
              </w:rPr>
              <w:t>Interest-bearing - non-U.S.</w:t>
            </w:r>
          </w:p>
        </w:tc>
        <w:tc>
          <w:tcPr>
            <w:tcW w:w="0" w:type="auto"/>
            <w:gridSpan w:val="2"/>
            <w:shd w:val="clear" w:color="auto" w:fill="CCEEFF"/>
            <w:tcMar>
              <w:top w:w="40" w:type="dxa"/>
              <w:left w:w="20" w:type="dxa"/>
              <w:bottom w:w="40" w:type="dxa"/>
              <w:right w:w="0" w:type="dxa"/>
            </w:tcMar>
            <w:vAlign w:val="bottom"/>
          </w:tcPr>
          <w:p w14:paraId="5F2CF0A5" w14:textId="77777777" w:rsidR="00E836FB" w:rsidRDefault="00994958">
            <w:pPr>
              <w:jc w:val="right"/>
              <w:textAlignment w:val="bottom"/>
            </w:pPr>
            <w:r>
              <w:rPr>
                <w:rFonts w:ascii="Arial" w:eastAsia="宋体" w:hAnsi="Arial" w:cs="Arial"/>
                <w:b/>
                <w:bCs/>
                <w:color w:val="000000"/>
                <w:sz w:val="18"/>
                <w:szCs w:val="18"/>
              </w:rPr>
              <w:t>95,589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A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A8" w14:textId="77777777" w:rsidR="00E836FB" w:rsidRDefault="00994958">
            <w:pPr>
              <w:jc w:val="right"/>
              <w:textAlignment w:val="bottom"/>
            </w:pPr>
            <w:r>
              <w:rPr>
                <w:rFonts w:ascii="Arial" w:eastAsia="宋体" w:hAnsi="Arial" w:cs="Arial"/>
                <w:color w:val="000000"/>
                <w:sz w:val="18"/>
                <w:szCs w:val="18"/>
              </w:rPr>
              <w:t>88,028 </w:t>
            </w:r>
          </w:p>
        </w:tc>
        <w:tc>
          <w:tcPr>
            <w:tcW w:w="0" w:type="auto"/>
            <w:shd w:val="clear" w:color="auto" w:fill="CCEEFF"/>
            <w:tcMar>
              <w:top w:w="40" w:type="dxa"/>
              <w:left w:w="0" w:type="dxa"/>
              <w:bottom w:w="40" w:type="dxa"/>
              <w:right w:w="20" w:type="dxa"/>
            </w:tcMar>
            <w:vAlign w:val="bottom"/>
          </w:tcPr>
          <w:p w14:paraId="5F2CF0A9" w14:textId="77777777" w:rsidR="00E836FB" w:rsidRDefault="00E836FB">
            <w:pPr>
              <w:jc w:val="right"/>
              <w:rPr>
                <w:rFonts w:ascii="宋体"/>
              </w:rPr>
            </w:pPr>
          </w:p>
        </w:tc>
      </w:tr>
      <w:tr w:rsidR="00E836FB" w14:paraId="5F2CF0B1" w14:textId="77777777">
        <w:trPr>
          <w:jc w:val="center"/>
        </w:trPr>
        <w:tc>
          <w:tcPr>
            <w:tcW w:w="0" w:type="auto"/>
            <w:gridSpan w:val="3"/>
            <w:shd w:val="clear" w:color="auto" w:fill="FFFFFF"/>
            <w:tcMar>
              <w:top w:w="40" w:type="dxa"/>
              <w:left w:w="20" w:type="dxa"/>
              <w:bottom w:w="40" w:type="dxa"/>
              <w:right w:w="20" w:type="dxa"/>
            </w:tcMar>
            <w:vAlign w:val="bottom"/>
          </w:tcPr>
          <w:p w14:paraId="5F2CF0AB" w14:textId="77777777" w:rsidR="00E836FB" w:rsidRDefault="00994958">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0AC" w14:textId="77777777" w:rsidR="00E836FB" w:rsidRDefault="00994958">
            <w:pPr>
              <w:jc w:val="right"/>
              <w:textAlignment w:val="bottom"/>
            </w:pPr>
            <w:r>
              <w:rPr>
                <w:rFonts w:ascii="Arial" w:eastAsia="宋体" w:hAnsi="Arial" w:cs="Arial"/>
                <w:b/>
                <w:bCs/>
                <w:color w:val="000000"/>
                <w:sz w:val="18"/>
                <w:szCs w:val="18"/>
              </w:rPr>
              <w:t>255,035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0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A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0AF" w14:textId="77777777" w:rsidR="00E836FB" w:rsidRDefault="00994958">
            <w:pPr>
              <w:jc w:val="right"/>
              <w:textAlignment w:val="bottom"/>
            </w:pPr>
            <w:r>
              <w:rPr>
                <w:rFonts w:ascii="Arial" w:eastAsia="宋体" w:hAnsi="Arial" w:cs="Arial"/>
                <w:color w:val="000000"/>
                <w:sz w:val="18"/>
                <w:szCs w:val="18"/>
              </w:rPr>
              <w:t>239,798 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0B0" w14:textId="77777777" w:rsidR="00E836FB" w:rsidRDefault="00E836FB">
            <w:pPr>
              <w:jc w:val="right"/>
              <w:rPr>
                <w:rFonts w:ascii="宋体"/>
              </w:rPr>
            </w:pPr>
          </w:p>
        </w:tc>
      </w:tr>
      <w:tr w:rsidR="00E836FB" w14:paraId="5F2CF0B8" w14:textId="77777777">
        <w:trPr>
          <w:jc w:val="center"/>
        </w:trPr>
        <w:tc>
          <w:tcPr>
            <w:tcW w:w="0" w:type="auto"/>
            <w:gridSpan w:val="3"/>
            <w:shd w:val="clear" w:color="auto" w:fill="CCEEFF"/>
            <w:tcMar>
              <w:top w:w="40" w:type="dxa"/>
              <w:left w:w="20" w:type="dxa"/>
              <w:bottom w:w="40" w:type="dxa"/>
              <w:right w:w="20" w:type="dxa"/>
            </w:tcMar>
            <w:vAlign w:val="bottom"/>
          </w:tcPr>
          <w:p w14:paraId="5F2CF0B2" w14:textId="77777777" w:rsidR="00E836FB" w:rsidRDefault="00994958">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F2CF0B3" w14:textId="77777777" w:rsidR="00E836FB" w:rsidRDefault="00994958">
            <w:pPr>
              <w:jc w:val="right"/>
              <w:textAlignment w:val="bottom"/>
            </w:pPr>
            <w:r>
              <w:rPr>
                <w:rFonts w:ascii="Arial" w:eastAsia="宋体" w:hAnsi="Arial" w:cs="Arial"/>
                <w:b/>
                <w:bCs/>
                <w:color w:val="000000"/>
                <w:sz w:val="18"/>
                <w:szCs w:val="18"/>
              </w:rPr>
              <w:t>1,575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B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B6" w14:textId="77777777" w:rsidR="00E836FB" w:rsidRDefault="00994958">
            <w:pPr>
              <w:jc w:val="right"/>
              <w:textAlignment w:val="bottom"/>
            </w:pPr>
            <w:r>
              <w:rPr>
                <w:rFonts w:ascii="Arial" w:eastAsia="宋体" w:hAnsi="Arial" w:cs="Arial"/>
                <w:color w:val="000000"/>
                <w:sz w:val="18"/>
                <w:szCs w:val="18"/>
              </w:rPr>
              <w:t>3,413 </w:t>
            </w:r>
          </w:p>
        </w:tc>
        <w:tc>
          <w:tcPr>
            <w:tcW w:w="0" w:type="auto"/>
            <w:shd w:val="clear" w:color="auto" w:fill="CCEEFF"/>
            <w:tcMar>
              <w:top w:w="40" w:type="dxa"/>
              <w:left w:w="0" w:type="dxa"/>
              <w:bottom w:w="40" w:type="dxa"/>
              <w:right w:w="20" w:type="dxa"/>
            </w:tcMar>
            <w:vAlign w:val="bottom"/>
          </w:tcPr>
          <w:p w14:paraId="5F2CF0B7" w14:textId="77777777" w:rsidR="00E836FB" w:rsidRDefault="00E836FB">
            <w:pPr>
              <w:jc w:val="right"/>
              <w:rPr>
                <w:rFonts w:ascii="宋体"/>
              </w:rPr>
            </w:pPr>
          </w:p>
        </w:tc>
      </w:tr>
      <w:tr w:rsidR="00E836FB" w14:paraId="5F2CF0BF" w14:textId="77777777">
        <w:trPr>
          <w:jc w:val="center"/>
        </w:trPr>
        <w:tc>
          <w:tcPr>
            <w:tcW w:w="0" w:type="auto"/>
            <w:gridSpan w:val="3"/>
            <w:shd w:val="clear" w:color="auto" w:fill="FFFFFF"/>
            <w:tcMar>
              <w:top w:w="40" w:type="dxa"/>
              <w:left w:w="20" w:type="dxa"/>
              <w:bottom w:w="40" w:type="dxa"/>
              <w:right w:w="20" w:type="dxa"/>
            </w:tcMar>
            <w:vAlign w:val="bottom"/>
          </w:tcPr>
          <w:p w14:paraId="5F2CF0B9" w14:textId="77777777" w:rsidR="00E836FB" w:rsidRDefault="00994958">
            <w:pPr>
              <w:textAlignment w:val="bottom"/>
            </w:pPr>
            <w:r>
              <w:rPr>
                <w:rFonts w:ascii="Arial" w:eastAsia="宋体" w:hAnsi="Arial" w:cs="Arial"/>
                <w:color w:val="000000"/>
                <w:sz w:val="18"/>
                <w:szCs w:val="18"/>
              </w:rPr>
              <w:t>Short 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5F2CF0BA" w14:textId="77777777" w:rsidR="00E836FB" w:rsidRDefault="00994958">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B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B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BD" w14:textId="77777777" w:rsidR="00E836FB" w:rsidRDefault="00994958">
            <w:pPr>
              <w:jc w:val="right"/>
              <w:textAlignment w:val="bottom"/>
            </w:pPr>
            <w:r>
              <w:rPr>
                <w:rFonts w:ascii="Arial" w:eastAsia="宋体" w:hAnsi="Arial" w:cs="Arial"/>
                <w:color w:val="000000"/>
                <w:sz w:val="18"/>
                <w:szCs w:val="18"/>
              </w:rPr>
              <w:t>3,302 </w:t>
            </w:r>
          </w:p>
        </w:tc>
        <w:tc>
          <w:tcPr>
            <w:tcW w:w="0" w:type="auto"/>
            <w:shd w:val="clear" w:color="auto" w:fill="FFFFFF"/>
            <w:tcMar>
              <w:top w:w="40" w:type="dxa"/>
              <w:left w:w="0" w:type="dxa"/>
              <w:bottom w:w="40" w:type="dxa"/>
              <w:right w:w="20" w:type="dxa"/>
            </w:tcMar>
            <w:vAlign w:val="bottom"/>
          </w:tcPr>
          <w:p w14:paraId="5F2CF0BE" w14:textId="77777777" w:rsidR="00E836FB" w:rsidRDefault="00E836FB">
            <w:pPr>
              <w:jc w:val="right"/>
              <w:rPr>
                <w:rFonts w:ascii="宋体"/>
              </w:rPr>
            </w:pPr>
          </w:p>
        </w:tc>
      </w:tr>
      <w:tr w:rsidR="00E836FB" w14:paraId="5F2CF0C6" w14:textId="77777777">
        <w:trPr>
          <w:jc w:val="center"/>
        </w:trPr>
        <w:tc>
          <w:tcPr>
            <w:tcW w:w="0" w:type="auto"/>
            <w:gridSpan w:val="3"/>
            <w:shd w:val="clear" w:color="auto" w:fill="CCEEFF"/>
            <w:tcMar>
              <w:top w:w="40" w:type="dxa"/>
              <w:left w:w="20" w:type="dxa"/>
              <w:bottom w:w="40" w:type="dxa"/>
              <w:right w:w="20" w:type="dxa"/>
            </w:tcMar>
            <w:vAlign w:val="bottom"/>
          </w:tcPr>
          <w:p w14:paraId="5F2CF0C0" w14:textId="77777777" w:rsidR="00E836FB" w:rsidRDefault="00994958">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5F2CF0C1" w14:textId="77777777" w:rsidR="00E836FB" w:rsidRDefault="00994958">
            <w:pPr>
              <w:jc w:val="right"/>
              <w:textAlignment w:val="bottom"/>
            </w:pPr>
            <w:r>
              <w:rPr>
                <w:rFonts w:ascii="Arial" w:eastAsia="宋体" w:hAnsi="Arial" w:cs="Arial"/>
                <w:b/>
                <w:bCs/>
                <w:color w:val="000000"/>
                <w:sz w:val="18"/>
                <w:szCs w:val="18"/>
              </w:rPr>
              <w:t>128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C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C4" w14:textId="77777777" w:rsidR="00E836FB" w:rsidRDefault="00994958">
            <w:pPr>
              <w:jc w:val="right"/>
              <w:textAlignment w:val="bottom"/>
            </w:pPr>
            <w:r>
              <w:rPr>
                <w:rFonts w:ascii="Arial" w:eastAsia="宋体" w:hAnsi="Arial" w:cs="Arial"/>
                <w:color w:val="000000"/>
                <w:sz w:val="18"/>
                <w:szCs w:val="18"/>
              </w:rPr>
              <w:t>685 </w:t>
            </w:r>
          </w:p>
        </w:tc>
        <w:tc>
          <w:tcPr>
            <w:tcW w:w="0" w:type="auto"/>
            <w:shd w:val="clear" w:color="auto" w:fill="CCEEFF"/>
            <w:tcMar>
              <w:top w:w="40" w:type="dxa"/>
              <w:left w:w="0" w:type="dxa"/>
              <w:bottom w:w="40" w:type="dxa"/>
              <w:right w:w="20" w:type="dxa"/>
            </w:tcMar>
            <w:vAlign w:val="bottom"/>
          </w:tcPr>
          <w:p w14:paraId="5F2CF0C5" w14:textId="77777777" w:rsidR="00E836FB" w:rsidRDefault="00E836FB">
            <w:pPr>
              <w:jc w:val="right"/>
              <w:rPr>
                <w:rFonts w:ascii="宋体"/>
              </w:rPr>
            </w:pPr>
          </w:p>
        </w:tc>
      </w:tr>
      <w:tr w:rsidR="00E836FB" w14:paraId="5F2CF0CD" w14:textId="77777777">
        <w:trPr>
          <w:jc w:val="center"/>
        </w:trPr>
        <w:tc>
          <w:tcPr>
            <w:tcW w:w="0" w:type="auto"/>
            <w:gridSpan w:val="3"/>
            <w:shd w:val="clear" w:color="auto" w:fill="FFFFFF"/>
            <w:tcMar>
              <w:top w:w="40" w:type="dxa"/>
              <w:left w:w="20" w:type="dxa"/>
              <w:bottom w:w="40" w:type="dxa"/>
              <w:right w:w="20" w:type="dxa"/>
            </w:tcMar>
            <w:vAlign w:val="bottom"/>
          </w:tcPr>
          <w:p w14:paraId="5F2CF0C7" w14:textId="77777777" w:rsidR="00E836FB" w:rsidRDefault="00994958">
            <w:pPr>
              <w:textAlignment w:val="bottom"/>
            </w:pPr>
            <w:r>
              <w:rPr>
                <w:rFonts w:ascii="Arial" w:eastAsia="宋体" w:hAnsi="Arial" w:cs="Arial"/>
                <w:color w:val="000000"/>
                <w:sz w:val="18"/>
                <w:szCs w:val="18"/>
              </w:rPr>
              <w:t xml:space="preserve">Accrued expenses and other </w:t>
            </w:r>
            <w:r>
              <w:rPr>
                <w:rFonts w:ascii="Arial" w:eastAsia="宋体" w:hAnsi="Arial" w:cs="Arial"/>
                <w:color w:val="000000"/>
                <w:sz w:val="18"/>
                <w:szCs w:val="18"/>
              </w:rPr>
              <w:t>liabilities</w:t>
            </w:r>
          </w:p>
        </w:tc>
        <w:tc>
          <w:tcPr>
            <w:tcW w:w="0" w:type="auto"/>
            <w:gridSpan w:val="2"/>
            <w:shd w:val="clear" w:color="auto" w:fill="FFFFFF"/>
            <w:tcMar>
              <w:top w:w="40" w:type="dxa"/>
              <w:left w:w="20" w:type="dxa"/>
              <w:bottom w:w="40" w:type="dxa"/>
              <w:right w:w="0" w:type="dxa"/>
            </w:tcMar>
            <w:vAlign w:val="bottom"/>
          </w:tcPr>
          <w:p w14:paraId="5F2CF0C8" w14:textId="77777777" w:rsidR="00E836FB" w:rsidRDefault="00994958">
            <w:pPr>
              <w:jc w:val="right"/>
              <w:textAlignment w:val="bottom"/>
            </w:pPr>
            <w:r>
              <w:rPr>
                <w:rFonts w:ascii="Arial" w:eastAsia="宋体" w:hAnsi="Arial" w:cs="Arial"/>
                <w:b/>
                <w:bCs/>
                <w:color w:val="000000"/>
                <w:sz w:val="18"/>
                <w:szCs w:val="18"/>
              </w:rPr>
              <w:t>17,048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C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CB" w14:textId="77777777" w:rsidR="00E836FB" w:rsidRDefault="00994958">
            <w:pPr>
              <w:jc w:val="right"/>
              <w:textAlignment w:val="bottom"/>
            </w:pPr>
            <w:r>
              <w:rPr>
                <w:rFonts w:ascii="Arial" w:eastAsia="宋体" w:hAnsi="Arial" w:cs="Arial"/>
                <w:color w:val="000000"/>
                <w:sz w:val="18"/>
                <w:szCs w:val="18"/>
              </w:rPr>
              <w:t>27,503 </w:t>
            </w:r>
          </w:p>
        </w:tc>
        <w:tc>
          <w:tcPr>
            <w:tcW w:w="0" w:type="auto"/>
            <w:shd w:val="clear" w:color="auto" w:fill="FFFFFF"/>
            <w:tcMar>
              <w:top w:w="40" w:type="dxa"/>
              <w:left w:w="0" w:type="dxa"/>
              <w:bottom w:w="40" w:type="dxa"/>
              <w:right w:w="20" w:type="dxa"/>
            </w:tcMar>
            <w:vAlign w:val="bottom"/>
          </w:tcPr>
          <w:p w14:paraId="5F2CF0CC" w14:textId="77777777" w:rsidR="00E836FB" w:rsidRDefault="00E836FB">
            <w:pPr>
              <w:jc w:val="right"/>
              <w:rPr>
                <w:rFonts w:ascii="宋体"/>
              </w:rPr>
            </w:pPr>
          </w:p>
        </w:tc>
      </w:tr>
      <w:tr w:rsidR="00E836FB" w14:paraId="5F2CF0D4" w14:textId="77777777">
        <w:trPr>
          <w:jc w:val="center"/>
        </w:trPr>
        <w:tc>
          <w:tcPr>
            <w:tcW w:w="0" w:type="auto"/>
            <w:gridSpan w:val="3"/>
            <w:shd w:val="clear" w:color="auto" w:fill="CCEEFF"/>
            <w:tcMar>
              <w:top w:w="40" w:type="dxa"/>
              <w:left w:w="20" w:type="dxa"/>
              <w:bottom w:w="40" w:type="dxa"/>
              <w:right w:w="20" w:type="dxa"/>
            </w:tcMar>
            <w:vAlign w:val="bottom"/>
          </w:tcPr>
          <w:p w14:paraId="5F2CF0CE" w14:textId="77777777" w:rsidR="00E836FB" w:rsidRDefault="00994958">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5F2CF0CF" w14:textId="77777777" w:rsidR="00E836FB" w:rsidRDefault="00994958">
            <w:pPr>
              <w:jc w:val="right"/>
              <w:textAlignment w:val="bottom"/>
            </w:pPr>
            <w:r>
              <w:rPr>
                <w:rFonts w:ascii="Arial" w:eastAsia="宋体" w:hAnsi="Arial" w:cs="Arial"/>
                <w:b/>
                <w:bCs/>
                <w:color w:val="000000"/>
                <w:sz w:val="18"/>
                <w:szCs w:val="18"/>
              </w:rPr>
              <w:t>13,475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0D2" w14:textId="77777777" w:rsidR="00E836FB" w:rsidRDefault="00994958">
            <w:pPr>
              <w:jc w:val="right"/>
              <w:textAlignment w:val="bottom"/>
            </w:pPr>
            <w:r>
              <w:rPr>
                <w:rFonts w:ascii="Arial" w:eastAsia="宋体" w:hAnsi="Arial" w:cs="Arial"/>
                <w:color w:val="000000"/>
                <w:sz w:val="18"/>
                <w:szCs w:val="18"/>
              </w:rPr>
              <w:t>13,805 </w:t>
            </w:r>
          </w:p>
        </w:tc>
        <w:tc>
          <w:tcPr>
            <w:tcW w:w="0" w:type="auto"/>
            <w:shd w:val="clear" w:color="auto" w:fill="CCEEFF"/>
            <w:tcMar>
              <w:top w:w="40" w:type="dxa"/>
              <w:left w:w="0" w:type="dxa"/>
              <w:bottom w:w="40" w:type="dxa"/>
              <w:right w:w="20" w:type="dxa"/>
            </w:tcMar>
            <w:vAlign w:val="bottom"/>
          </w:tcPr>
          <w:p w14:paraId="5F2CF0D3" w14:textId="77777777" w:rsidR="00E836FB" w:rsidRDefault="00E836FB">
            <w:pPr>
              <w:jc w:val="right"/>
              <w:rPr>
                <w:rFonts w:ascii="宋体"/>
              </w:rPr>
            </w:pPr>
          </w:p>
        </w:tc>
      </w:tr>
      <w:tr w:rsidR="00E836FB" w14:paraId="5F2CF0DB" w14:textId="77777777">
        <w:trPr>
          <w:jc w:val="center"/>
        </w:trPr>
        <w:tc>
          <w:tcPr>
            <w:tcW w:w="0" w:type="auto"/>
            <w:gridSpan w:val="3"/>
            <w:shd w:val="clear" w:color="auto" w:fill="FFFFFF"/>
            <w:tcMar>
              <w:top w:w="40" w:type="dxa"/>
              <w:left w:w="20" w:type="dxa"/>
              <w:bottom w:w="40" w:type="dxa"/>
              <w:right w:w="20" w:type="dxa"/>
            </w:tcMar>
            <w:vAlign w:val="bottom"/>
          </w:tcPr>
          <w:p w14:paraId="5F2CF0D5" w14:textId="77777777" w:rsidR="00E836FB" w:rsidRDefault="00994958">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0D6" w14:textId="77777777" w:rsidR="00E836FB" w:rsidRDefault="00994958">
            <w:pPr>
              <w:jc w:val="right"/>
              <w:textAlignment w:val="bottom"/>
            </w:pPr>
            <w:r>
              <w:rPr>
                <w:rFonts w:ascii="Arial" w:eastAsia="宋体" w:hAnsi="Arial" w:cs="Arial"/>
                <w:b/>
                <w:bCs/>
                <w:color w:val="000000"/>
                <w:sz w:val="18"/>
                <w:szCs w:val="18"/>
              </w:rPr>
              <w:t>287,261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0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D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0D9" w14:textId="77777777" w:rsidR="00E836FB" w:rsidRDefault="00994958">
            <w:pPr>
              <w:jc w:val="right"/>
              <w:textAlignment w:val="bottom"/>
            </w:pPr>
            <w:r>
              <w:rPr>
                <w:rFonts w:ascii="Arial" w:eastAsia="宋体" w:hAnsi="Arial" w:cs="Arial"/>
                <w:color w:val="000000"/>
                <w:sz w:val="18"/>
                <w:szCs w:val="18"/>
              </w:rPr>
              <w:t>288,506 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0DA" w14:textId="77777777" w:rsidR="00E836FB" w:rsidRDefault="00E836FB">
            <w:pPr>
              <w:jc w:val="right"/>
              <w:rPr>
                <w:rFonts w:ascii="宋体"/>
              </w:rPr>
            </w:pPr>
          </w:p>
        </w:tc>
      </w:tr>
      <w:tr w:rsidR="00E836FB" w14:paraId="5F2CF0E0" w14:textId="77777777">
        <w:trPr>
          <w:jc w:val="center"/>
        </w:trPr>
        <w:tc>
          <w:tcPr>
            <w:tcW w:w="0" w:type="auto"/>
            <w:gridSpan w:val="3"/>
            <w:shd w:val="clear" w:color="auto" w:fill="CCEEFF"/>
            <w:tcMar>
              <w:top w:w="40" w:type="dxa"/>
              <w:left w:w="20" w:type="dxa"/>
              <w:bottom w:w="40" w:type="dxa"/>
              <w:right w:w="20" w:type="dxa"/>
            </w:tcMar>
            <w:vAlign w:val="bottom"/>
          </w:tcPr>
          <w:p w14:paraId="5F2CF0DC" w14:textId="77777777" w:rsidR="00E836FB" w:rsidRDefault="00994958">
            <w:pPr>
              <w:textAlignment w:val="bottom"/>
            </w:pPr>
            <w:r>
              <w:rPr>
                <w:rFonts w:ascii="Arial" w:eastAsia="宋体" w:hAnsi="Arial" w:cs="Arial"/>
                <w:color w:val="000000"/>
                <w:sz w:val="18"/>
                <w:szCs w:val="18"/>
              </w:rPr>
              <w:t>Commitments, guarantees and contingencies (Notes 12 and 13)</w:t>
            </w:r>
          </w:p>
        </w:tc>
        <w:tc>
          <w:tcPr>
            <w:tcW w:w="0" w:type="auto"/>
            <w:gridSpan w:val="3"/>
            <w:shd w:val="clear" w:color="auto" w:fill="CCEEFF"/>
            <w:tcMar>
              <w:top w:w="0" w:type="dxa"/>
              <w:left w:w="20" w:type="dxa"/>
              <w:bottom w:w="0" w:type="dxa"/>
              <w:right w:w="20" w:type="dxa"/>
            </w:tcMar>
            <w:vAlign w:val="bottom"/>
          </w:tcPr>
          <w:p w14:paraId="5F2CF0D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0D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0DF" w14:textId="77777777" w:rsidR="00E836FB" w:rsidRDefault="00E836FB">
            <w:pPr>
              <w:rPr>
                <w:rFonts w:ascii="宋体"/>
              </w:rPr>
            </w:pPr>
          </w:p>
        </w:tc>
      </w:tr>
      <w:tr w:rsidR="00E836FB" w14:paraId="5F2CF0E5" w14:textId="77777777">
        <w:trPr>
          <w:jc w:val="center"/>
        </w:trPr>
        <w:tc>
          <w:tcPr>
            <w:tcW w:w="0" w:type="auto"/>
            <w:gridSpan w:val="3"/>
            <w:shd w:val="clear" w:color="auto" w:fill="FFFFFF"/>
            <w:tcMar>
              <w:top w:w="40" w:type="dxa"/>
              <w:left w:w="20" w:type="dxa"/>
              <w:bottom w:w="40" w:type="dxa"/>
              <w:right w:w="20" w:type="dxa"/>
            </w:tcMar>
            <w:vAlign w:val="bottom"/>
          </w:tcPr>
          <w:p w14:paraId="5F2CF0E1" w14:textId="77777777" w:rsidR="00E836FB" w:rsidRDefault="00994958">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vAlign w:val="bottom"/>
          </w:tcPr>
          <w:p w14:paraId="5F2CF0E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0E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0E4" w14:textId="77777777" w:rsidR="00E836FB" w:rsidRDefault="00E836FB">
            <w:pPr>
              <w:rPr>
                <w:rFonts w:ascii="宋体"/>
              </w:rPr>
            </w:pPr>
          </w:p>
        </w:tc>
      </w:tr>
      <w:tr w:rsidR="00E836FB" w14:paraId="5F2CF0EA" w14:textId="77777777">
        <w:trPr>
          <w:jc w:val="center"/>
        </w:trPr>
        <w:tc>
          <w:tcPr>
            <w:tcW w:w="0" w:type="auto"/>
            <w:gridSpan w:val="3"/>
            <w:shd w:val="clear" w:color="auto" w:fill="CCEEFF"/>
            <w:tcMar>
              <w:top w:w="40" w:type="dxa"/>
              <w:left w:w="20" w:type="dxa"/>
              <w:bottom w:w="40" w:type="dxa"/>
              <w:right w:w="20" w:type="dxa"/>
            </w:tcMar>
            <w:vAlign w:val="bottom"/>
          </w:tcPr>
          <w:p w14:paraId="5F2CF0E6" w14:textId="77777777" w:rsidR="00E836FB" w:rsidRDefault="00994958">
            <w:pPr>
              <w:textAlignment w:val="bottom"/>
            </w:pPr>
            <w:r>
              <w:rPr>
                <w:rFonts w:ascii="Arial" w:eastAsia="宋体" w:hAnsi="Arial" w:cs="Arial"/>
                <w:color w:val="000000"/>
                <w:sz w:val="18"/>
                <w:szCs w:val="18"/>
              </w:rPr>
              <w:t xml:space="preserve">Preferred stock, no par, 3,500,000 shares </w:t>
            </w:r>
            <w:r>
              <w:rPr>
                <w:rFonts w:ascii="Arial" w:eastAsia="宋体" w:hAnsi="Arial" w:cs="Arial"/>
                <w:color w:val="000000"/>
                <w:sz w:val="18"/>
                <w:szCs w:val="18"/>
              </w:rPr>
              <w:t>authorized:</w:t>
            </w:r>
          </w:p>
        </w:tc>
        <w:tc>
          <w:tcPr>
            <w:tcW w:w="0" w:type="auto"/>
            <w:gridSpan w:val="3"/>
            <w:shd w:val="clear" w:color="auto" w:fill="CCEEFF"/>
            <w:tcMar>
              <w:top w:w="0" w:type="dxa"/>
              <w:left w:w="20" w:type="dxa"/>
              <w:bottom w:w="0" w:type="dxa"/>
              <w:right w:w="20" w:type="dxa"/>
            </w:tcMar>
            <w:vAlign w:val="bottom"/>
          </w:tcPr>
          <w:p w14:paraId="5F2CF0E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0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0E9" w14:textId="77777777" w:rsidR="00E836FB" w:rsidRDefault="00E836FB">
            <w:pPr>
              <w:rPr>
                <w:rFonts w:ascii="宋体"/>
              </w:rPr>
            </w:pPr>
          </w:p>
        </w:tc>
      </w:tr>
      <w:tr w:rsidR="00E836FB" w14:paraId="5F2CF0EF" w14:textId="77777777">
        <w:trPr>
          <w:jc w:val="center"/>
          <w:hidden/>
        </w:trPr>
        <w:tc>
          <w:tcPr>
            <w:tcW w:w="0" w:type="auto"/>
            <w:gridSpan w:val="3"/>
            <w:shd w:val="clear" w:color="auto" w:fill="auto"/>
            <w:vAlign w:val="bottom"/>
          </w:tcPr>
          <w:p w14:paraId="5F2CF0EB" w14:textId="77777777" w:rsidR="00E836FB" w:rsidRDefault="00E836FB">
            <w:pPr>
              <w:rPr>
                <w:rFonts w:ascii="宋体"/>
                <w:vanish/>
              </w:rPr>
            </w:pPr>
          </w:p>
        </w:tc>
        <w:tc>
          <w:tcPr>
            <w:tcW w:w="0" w:type="auto"/>
            <w:gridSpan w:val="3"/>
            <w:shd w:val="clear" w:color="auto" w:fill="auto"/>
            <w:vAlign w:val="bottom"/>
          </w:tcPr>
          <w:p w14:paraId="5F2CF0EC" w14:textId="77777777" w:rsidR="00E836FB" w:rsidRDefault="00E836FB">
            <w:pPr>
              <w:rPr>
                <w:rFonts w:ascii="宋体"/>
                <w:vanish/>
              </w:rPr>
            </w:pPr>
          </w:p>
        </w:tc>
        <w:tc>
          <w:tcPr>
            <w:tcW w:w="0" w:type="auto"/>
            <w:gridSpan w:val="3"/>
            <w:shd w:val="clear" w:color="auto" w:fill="auto"/>
            <w:vAlign w:val="bottom"/>
          </w:tcPr>
          <w:p w14:paraId="5F2CF0ED" w14:textId="77777777" w:rsidR="00E836FB" w:rsidRDefault="00E836FB">
            <w:pPr>
              <w:rPr>
                <w:rFonts w:ascii="宋体"/>
                <w:vanish/>
              </w:rPr>
            </w:pPr>
          </w:p>
        </w:tc>
        <w:tc>
          <w:tcPr>
            <w:tcW w:w="0" w:type="auto"/>
            <w:gridSpan w:val="3"/>
            <w:shd w:val="clear" w:color="auto" w:fill="auto"/>
            <w:vAlign w:val="bottom"/>
          </w:tcPr>
          <w:p w14:paraId="5F2CF0EE" w14:textId="77777777" w:rsidR="00E836FB" w:rsidRDefault="00E836FB">
            <w:pPr>
              <w:rPr>
                <w:rFonts w:ascii="宋体"/>
                <w:vanish/>
              </w:rPr>
            </w:pPr>
          </w:p>
        </w:tc>
      </w:tr>
      <w:tr w:rsidR="00E836FB" w14:paraId="5F2CF0F6" w14:textId="77777777">
        <w:trPr>
          <w:jc w:val="center"/>
        </w:trPr>
        <w:tc>
          <w:tcPr>
            <w:tcW w:w="0" w:type="auto"/>
            <w:gridSpan w:val="3"/>
            <w:shd w:val="clear" w:color="auto" w:fill="FFFFFF"/>
            <w:tcMar>
              <w:top w:w="40" w:type="dxa"/>
              <w:left w:w="20" w:type="dxa"/>
              <w:bottom w:w="40" w:type="dxa"/>
              <w:right w:w="20" w:type="dxa"/>
            </w:tcMar>
            <w:vAlign w:val="bottom"/>
          </w:tcPr>
          <w:p w14:paraId="5F2CF0F0" w14:textId="77777777" w:rsidR="00E836FB" w:rsidRDefault="00994958">
            <w:pPr>
              <w:textAlignment w:val="bottom"/>
            </w:pPr>
            <w:r>
              <w:rPr>
                <w:rFonts w:ascii="Arial" w:eastAsia="宋体" w:hAnsi="Arial" w:cs="Arial"/>
                <w:color w:val="000000"/>
                <w:sz w:val="18"/>
                <w:szCs w:val="18"/>
              </w:rPr>
              <w:t>Series D, 7,500 shares issued and outstanding</w:t>
            </w:r>
          </w:p>
        </w:tc>
        <w:tc>
          <w:tcPr>
            <w:tcW w:w="0" w:type="auto"/>
            <w:gridSpan w:val="2"/>
            <w:shd w:val="clear" w:color="auto" w:fill="FFFFFF"/>
            <w:tcMar>
              <w:top w:w="40" w:type="dxa"/>
              <w:left w:w="20" w:type="dxa"/>
              <w:bottom w:w="40" w:type="dxa"/>
              <w:right w:w="0" w:type="dxa"/>
            </w:tcMar>
            <w:vAlign w:val="bottom"/>
          </w:tcPr>
          <w:p w14:paraId="5F2CF0F1" w14:textId="77777777" w:rsidR="00E836FB" w:rsidRDefault="00994958">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0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0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0F4" w14:textId="77777777" w:rsidR="00E836FB" w:rsidRDefault="00994958">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5F2CF0F5" w14:textId="77777777" w:rsidR="00E836FB" w:rsidRDefault="00E836FB">
            <w:pPr>
              <w:jc w:val="right"/>
              <w:rPr>
                <w:rFonts w:ascii="宋体"/>
              </w:rPr>
            </w:pPr>
          </w:p>
        </w:tc>
      </w:tr>
      <w:tr w:rsidR="00E836FB" w14:paraId="5F2CF0FB" w14:textId="77777777">
        <w:trPr>
          <w:jc w:val="center"/>
          <w:hidden/>
        </w:trPr>
        <w:tc>
          <w:tcPr>
            <w:tcW w:w="0" w:type="auto"/>
            <w:gridSpan w:val="3"/>
            <w:shd w:val="clear" w:color="auto" w:fill="auto"/>
            <w:vAlign w:val="bottom"/>
          </w:tcPr>
          <w:p w14:paraId="5F2CF0F7" w14:textId="77777777" w:rsidR="00E836FB" w:rsidRDefault="00E836FB">
            <w:pPr>
              <w:rPr>
                <w:rFonts w:ascii="宋体"/>
                <w:vanish/>
              </w:rPr>
            </w:pPr>
          </w:p>
        </w:tc>
        <w:tc>
          <w:tcPr>
            <w:tcW w:w="0" w:type="auto"/>
            <w:gridSpan w:val="3"/>
            <w:shd w:val="clear" w:color="auto" w:fill="auto"/>
            <w:vAlign w:val="bottom"/>
          </w:tcPr>
          <w:p w14:paraId="5F2CF0F8" w14:textId="77777777" w:rsidR="00E836FB" w:rsidRDefault="00E836FB">
            <w:pPr>
              <w:rPr>
                <w:rFonts w:ascii="宋体"/>
                <w:vanish/>
              </w:rPr>
            </w:pPr>
          </w:p>
        </w:tc>
        <w:tc>
          <w:tcPr>
            <w:tcW w:w="0" w:type="auto"/>
            <w:gridSpan w:val="3"/>
            <w:shd w:val="clear" w:color="auto" w:fill="auto"/>
            <w:vAlign w:val="bottom"/>
          </w:tcPr>
          <w:p w14:paraId="5F2CF0F9" w14:textId="77777777" w:rsidR="00E836FB" w:rsidRDefault="00E836FB">
            <w:pPr>
              <w:rPr>
                <w:rFonts w:ascii="宋体"/>
                <w:vanish/>
              </w:rPr>
            </w:pPr>
          </w:p>
        </w:tc>
        <w:tc>
          <w:tcPr>
            <w:tcW w:w="0" w:type="auto"/>
            <w:gridSpan w:val="3"/>
            <w:shd w:val="clear" w:color="auto" w:fill="auto"/>
            <w:vAlign w:val="bottom"/>
          </w:tcPr>
          <w:p w14:paraId="5F2CF0FA" w14:textId="77777777" w:rsidR="00E836FB" w:rsidRDefault="00E836FB">
            <w:pPr>
              <w:rPr>
                <w:rFonts w:ascii="宋体"/>
                <w:vanish/>
              </w:rPr>
            </w:pPr>
          </w:p>
        </w:tc>
      </w:tr>
      <w:tr w:rsidR="00E836FB" w14:paraId="5F2CF102" w14:textId="77777777">
        <w:trPr>
          <w:jc w:val="center"/>
        </w:trPr>
        <w:tc>
          <w:tcPr>
            <w:tcW w:w="0" w:type="auto"/>
            <w:gridSpan w:val="3"/>
            <w:shd w:val="clear" w:color="auto" w:fill="CCEEFF"/>
            <w:tcMar>
              <w:top w:w="40" w:type="dxa"/>
              <w:left w:w="20" w:type="dxa"/>
              <w:bottom w:w="40" w:type="dxa"/>
              <w:right w:w="20" w:type="dxa"/>
            </w:tcMar>
            <w:vAlign w:val="bottom"/>
          </w:tcPr>
          <w:p w14:paraId="5F2CF0FC" w14:textId="77777777" w:rsidR="00E836FB" w:rsidRDefault="00994958">
            <w:pPr>
              <w:textAlignment w:val="bottom"/>
            </w:pPr>
            <w:r>
              <w:rPr>
                <w:rFonts w:ascii="Arial" w:eastAsia="宋体" w:hAnsi="Arial" w:cs="Arial"/>
                <w:color w:val="000000"/>
                <w:sz w:val="18"/>
                <w:szCs w:val="18"/>
              </w:rPr>
              <w:t>Series F, 2,500 shares issued and outstanding</w:t>
            </w:r>
          </w:p>
        </w:tc>
        <w:tc>
          <w:tcPr>
            <w:tcW w:w="0" w:type="auto"/>
            <w:gridSpan w:val="2"/>
            <w:shd w:val="clear" w:color="auto" w:fill="CCEEFF"/>
            <w:tcMar>
              <w:top w:w="40" w:type="dxa"/>
              <w:left w:w="20" w:type="dxa"/>
              <w:bottom w:w="40" w:type="dxa"/>
              <w:right w:w="0" w:type="dxa"/>
            </w:tcMar>
            <w:vAlign w:val="bottom"/>
          </w:tcPr>
          <w:p w14:paraId="5F2CF0FD" w14:textId="77777777" w:rsidR="00E836FB" w:rsidRDefault="00994958">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0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0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100" w14:textId="77777777" w:rsidR="00E836FB" w:rsidRDefault="00994958">
            <w:pPr>
              <w:jc w:val="right"/>
              <w:textAlignment w:val="bottom"/>
            </w:pPr>
            <w:r>
              <w:rPr>
                <w:rFonts w:ascii="Arial" w:eastAsia="宋体" w:hAnsi="Arial" w:cs="Arial"/>
                <w:color w:val="000000"/>
                <w:sz w:val="18"/>
                <w:szCs w:val="18"/>
              </w:rPr>
              <w:t>742 </w:t>
            </w:r>
          </w:p>
        </w:tc>
        <w:tc>
          <w:tcPr>
            <w:tcW w:w="0" w:type="auto"/>
            <w:shd w:val="clear" w:color="auto" w:fill="CCEEFF"/>
            <w:tcMar>
              <w:top w:w="40" w:type="dxa"/>
              <w:left w:w="0" w:type="dxa"/>
              <w:bottom w:w="40" w:type="dxa"/>
              <w:right w:w="20" w:type="dxa"/>
            </w:tcMar>
            <w:vAlign w:val="bottom"/>
          </w:tcPr>
          <w:p w14:paraId="5F2CF101" w14:textId="77777777" w:rsidR="00E836FB" w:rsidRDefault="00E836FB">
            <w:pPr>
              <w:jc w:val="right"/>
              <w:rPr>
                <w:rFonts w:ascii="宋体"/>
              </w:rPr>
            </w:pPr>
          </w:p>
        </w:tc>
      </w:tr>
      <w:tr w:rsidR="00E836FB" w14:paraId="5F2CF109" w14:textId="77777777">
        <w:trPr>
          <w:jc w:val="center"/>
        </w:trPr>
        <w:tc>
          <w:tcPr>
            <w:tcW w:w="0" w:type="auto"/>
            <w:gridSpan w:val="3"/>
            <w:shd w:val="clear" w:color="auto" w:fill="FFFFFF"/>
            <w:tcMar>
              <w:top w:w="40" w:type="dxa"/>
              <w:left w:w="20" w:type="dxa"/>
              <w:bottom w:w="40" w:type="dxa"/>
              <w:right w:w="20" w:type="dxa"/>
            </w:tcMar>
            <w:vAlign w:val="bottom"/>
          </w:tcPr>
          <w:p w14:paraId="5F2CF103" w14:textId="77777777" w:rsidR="00E836FB" w:rsidRDefault="00994958">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FFFFFF"/>
            <w:tcMar>
              <w:top w:w="40" w:type="dxa"/>
              <w:left w:w="20" w:type="dxa"/>
              <w:bottom w:w="40" w:type="dxa"/>
              <w:right w:w="0" w:type="dxa"/>
            </w:tcMar>
            <w:vAlign w:val="bottom"/>
          </w:tcPr>
          <w:p w14:paraId="5F2CF104" w14:textId="77777777" w:rsidR="00E836FB" w:rsidRDefault="00994958">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1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1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107" w14:textId="77777777" w:rsidR="00E836FB" w:rsidRDefault="00994958">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5F2CF108" w14:textId="77777777" w:rsidR="00E836FB" w:rsidRDefault="00E836FB">
            <w:pPr>
              <w:jc w:val="right"/>
              <w:rPr>
                <w:rFonts w:ascii="宋体"/>
              </w:rPr>
            </w:pPr>
          </w:p>
        </w:tc>
      </w:tr>
      <w:tr w:rsidR="00E836FB" w14:paraId="5F2CF110" w14:textId="77777777">
        <w:trPr>
          <w:jc w:val="center"/>
        </w:trPr>
        <w:tc>
          <w:tcPr>
            <w:tcW w:w="0" w:type="auto"/>
            <w:gridSpan w:val="3"/>
            <w:shd w:val="clear" w:color="auto" w:fill="CCEEFF"/>
            <w:tcMar>
              <w:top w:w="40" w:type="dxa"/>
              <w:left w:w="20" w:type="dxa"/>
              <w:bottom w:w="40" w:type="dxa"/>
              <w:right w:w="20" w:type="dxa"/>
            </w:tcMar>
            <w:vAlign w:val="bottom"/>
          </w:tcPr>
          <w:p w14:paraId="5F2CF10A" w14:textId="77777777" w:rsidR="00E836FB" w:rsidRDefault="00994958">
            <w:pPr>
              <w:textAlignment w:val="bottom"/>
            </w:pPr>
            <w:r>
              <w:rPr>
                <w:rFonts w:ascii="Arial" w:eastAsia="宋体" w:hAnsi="Arial" w:cs="Arial"/>
                <w:color w:val="000000"/>
                <w:sz w:val="18"/>
                <w:szCs w:val="18"/>
              </w:rPr>
              <w:t xml:space="preserve">Series H, 5,000 shares issued and </w:t>
            </w:r>
            <w:r>
              <w:rPr>
                <w:rFonts w:ascii="Arial" w:eastAsia="宋体" w:hAnsi="Arial" w:cs="Arial"/>
                <w:color w:val="000000"/>
                <w:sz w:val="18"/>
                <w:szCs w:val="18"/>
              </w:rPr>
              <w:t>outstanding</w:t>
            </w:r>
          </w:p>
        </w:tc>
        <w:tc>
          <w:tcPr>
            <w:tcW w:w="0" w:type="auto"/>
            <w:gridSpan w:val="2"/>
            <w:shd w:val="clear" w:color="auto" w:fill="CCEEFF"/>
            <w:tcMar>
              <w:top w:w="40" w:type="dxa"/>
              <w:left w:w="20" w:type="dxa"/>
              <w:bottom w:w="40" w:type="dxa"/>
              <w:right w:w="0" w:type="dxa"/>
            </w:tcMar>
            <w:vAlign w:val="bottom"/>
          </w:tcPr>
          <w:p w14:paraId="5F2CF10B" w14:textId="77777777" w:rsidR="00E836FB" w:rsidRDefault="00994958">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1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1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10E" w14:textId="77777777" w:rsidR="00E836FB" w:rsidRDefault="00994958">
            <w:pPr>
              <w:jc w:val="right"/>
              <w:textAlignment w:val="bottom"/>
            </w:pPr>
            <w:r>
              <w:rPr>
                <w:rFonts w:ascii="Arial" w:eastAsia="宋体" w:hAnsi="Arial" w:cs="Arial"/>
                <w:color w:val="000000"/>
                <w:sz w:val="18"/>
                <w:szCs w:val="18"/>
              </w:rPr>
              <w:t>494 </w:t>
            </w:r>
          </w:p>
        </w:tc>
        <w:tc>
          <w:tcPr>
            <w:tcW w:w="0" w:type="auto"/>
            <w:shd w:val="clear" w:color="auto" w:fill="CCEEFF"/>
            <w:tcMar>
              <w:top w:w="40" w:type="dxa"/>
              <w:left w:w="0" w:type="dxa"/>
              <w:bottom w:w="40" w:type="dxa"/>
              <w:right w:w="20" w:type="dxa"/>
            </w:tcMar>
            <w:vAlign w:val="bottom"/>
          </w:tcPr>
          <w:p w14:paraId="5F2CF10F" w14:textId="77777777" w:rsidR="00E836FB" w:rsidRDefault="00E836FB">
            <w:pPr>
              <w:jc w:val="right"/>
              <w:rPr>
                <w:rFonts w:ascii="宋体"/>
              </w:rPr>
            </w:pPr>
          </w:p>
        </w:tc>
      </w:tr>
      <w:tr w:rsidR="00E836FB" w14:paraId="5F2CF115" w14:textId="77777777">
        <w:trPr>
          <w:jc w:val="center"/>
        </w:trPr>
        <w:tc>
          <w:tcPr>
            <w:tcW w:w="0" w:type="auto"/>
            <w:gridSpan w:val="3"/>
            <w:shd w:val="clear" w:color="auto" w:fill="FFFFFF"/>
            <w:tcMar>
              <w:top w:w="40" w:type="dxa"/>
              <w:left w:w="20" w:type="dxa"/>
              <w:bottom w:w="40" w:type="dxa"/>
              <w:right w:w="20" w:type="dxa"/>
            </w:tcMar>
            <w:vAlign w:val="bottom"/>
          </w:tcPr>
          <w:p w14:paraId="5F2CF111" w14:textId="77777777" w:rsidR="00E836FB" w:rsidRDefault="00994958">
            <w:pPr>
              <w:textAlignment w:val="bottom"/>
            </w:pPr>
            <w:r>
              <w:rPr>
                <w:rFonts w:ascii="Arial" w:eastAsia="宋体" w:hAnsi="Arial" w:cs="Arial"/>
                <w:color w:val="000000"/>
                <w:sz w:val="18"/>
                <w:szCs w:val="18"/>
              </w:rPr>
              <w:t>Common stock, $1 par, 750,000,000 shares authorized:</w:t>
            </w:r>
          </w:p>
        </w:tc>
        <w:tc>
          <w:tcPr>
            <w:tcW w:w="0" w:type="auto"/>
            <w:gridSpan w:val="3"/>
            <w:shd w:val="clear" w:color="auto" w:fill="FFFFFF"/>
            <w:tcMar>
              <w:top w:w="0" w:type="dxa"/>
              <w:left w:w="20" w:type="dxa"/>
              <w:bottom w:w="0" w:type="dxa"/>
              <w:right w:w="20" w:type="dxa"/>
            </w:tcMar>
            <w:vAlign w:val="bottom"/>
          </w:tcPr>
          <w:p w14:paraId="5F2CF11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11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114" w14:textId="77777777" w:rsidR="00E836FB" w:rsidRDefault="00E836FB">
            <w:pPr>
              <w:rPr>
                <w:rFonts w:ascii="宋体"/>
              </w:rPr>
            </w:pPr>
          </w:p>
        </w:tc>
      </w:tr>
      <w:tr w:rsidR="00E836FB" w14:paraId="5F2CF11C" w14:textId="77777777">
        <w:trPr>
          <w:jc w:val="center"/>
        </w:trPr>
        <w:tc>
          <w:tcPr>
            <w:tcW w:w="0" w:type="auto"/>
            <w:gridSpan w:val="3"/>
            <w:shd w:val="clear" w:color="auto" w:fill="CCEEFF"/>
            <w:tcMar>
              <w:top w:w="40" w:type="dxa"/>
              <w:left w:w="20" w:type="dxa"/>
              <w:bottom w:w="40" w:type="dxa"/>
              <w:right w:w="20" w:type="dxa"/>
            </w:tcMar>
            <w:vAlign w:val="bottom"/>
          </w:tcPr>
          <w:p w14:paraId="5F2CF116" w14:textId="77777777" w:rsidR="00E836FB" w:rsidRDefault="00994958">
            <w:pPr>
              <w:textAlignment w:val="bottom"/>
            </w:pPr>
            <w:r>
              <w:rPr>
                <w:rFonts w:ascii="Arial" w:eastAsia="宋体" w:hAnsi="Arial" w:cs="Arial"/>
                <w:color w:val="000000"/>
                <w:sz w:val="18"/>
                <w:szCs w:val="18"/>
              </w:rPr>
              <w:t>503,879,642 and 503,879,642 shares issued, and 365,982,820 and 353,156,279</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CCEEFF"/>
            <w:tcMar>
              <w:top w:w="40" w:type="dxa"/>
              <w:left w:w="20" w:type="dxa"/>
              <w:bottom w:w="40" w:type="dxa"/>
              <w:right w:w="0" w:type="dxa"/>
            </w:tcMar>
            <w:vAlign w:val="bottom"/>
          </w:tcPr>
          <w:p w14:paraId="5F2CF117" w14:textId="77777777" w:rsidR="00E836FB" w:rsidRDefault="00994958">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1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11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11A" w14:textId="77777777" w:rsidR="00E836FB" w:rsidRDefault="00994958">
            <w:pPr>
              <w:jc w:val="right"/>
              <w:textAlignment w:val="bottom"/>
            </w:pPr>
            <w:r>
              <w:rPr>
                <w:rFonts w:ascii="Arial" w:eastAsia="宋体" w:hAnsi="Arial" w:cs="Arial"/>
                <w:color w:val="000000"/>
                <w:sz w:val="18"/>
                <w:szCs w:val="18"/>
              </w:rPr>
              <w:t>504 </w:t>
            </w:r>
          </w:p>
        </w:tc>
        <w:tc>
          <w:tcPr>
            <w:tcW w:w="0" w:type="auto"/>
            <w:shd w:val="clear" w:color="auto" w:fill="CCEEFF"/>
            <w:tcMar>
              <w:top w:w="40" w:type="dxa"/>
              <w:left w:w="0" w:type="dxa"/>
              <w:bottom w:w="40" w:type="dxa"/>
              <w:right w:w="20" w:type="dxa"/>
            </w:tcMar>
            <w:vAlign w:val="bottom"/>
          </w:tcPr>
          <w:p w14:paraId="5F2CF11B" w14:textId="77777777" w:rsidR="00E836FB" w:rsidRDefault="00E836FB">
            <w:pPr>
              <w:jc w:val="right"/>
              <w:rPr>
                <w:rFonts w:ascii="宋体"/>
              </w:rPr>
            </w:pPr>
          </w:p>
        </w:tc>
      </w:tr>
      <w:tr w:rsidR="00E836FB" w14:paraId="5F2CF123" w14:textId="77777777">
        <w:trPr>
          <w:jc w:val="center"/>
        </w:trPr>
        <w:tc>
          <w:tcPr>
            <w:tcW w:w="0" w:type="auto"/>
            <w:gridSpan w:val="3"/>
            <w:shd w:val="clear" w:color="auto" w:fill="FFFFFF"/>
            <w:tcMar>
              <w:top w:w="40" w:type="dxa"/>
              <w:left w:w="20" w:type="dxa"/>
              <w:bottom w:w="40" w:type="dxa"/>
              <w:right w:w="20" w:type="dxa"/>
            </w:tcMar>
            <w:vAlign w:val="bottom"/>
          </w:tcPr>
          <w:p w14:paraId="5F2CF11D" w14:textId="77777777" w:rsidR="00E836FB" w:rsidRDefault="00994958">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5F2CF11E" w14:textId="77777777" w:rsidR="00E836FB" w:rsidRDefault="00994958">
            <w:pPr>
              <w:jc w:val="right"/>
              <w:textAlignment w:val="bottom"/>
            </w:pPr>
            <w:r>
              <w:rPr>
                <w:rFonts w:ascii="Arial" w:eastAsia="宋体" w:hAnsi="Arial" w:cs="Arial"/>
                <w:b/>
                <w:bCs/>
                <w:color w:val="000000"/>
                <w:sz w:val="18"/>
                <w:szCs w:val="18"/>
              </w:rPr>
              <w:t>10,787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F2CF1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1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121" w14:textId="77777777" w:rsidR="00E836FB" w:rsidRDefault="00994958">
            <w:pPr>
              <w:jc w:val="right"/>
              <w:textAlignment w:val="bottom"/>
            </w:pPr>
            <w:r>
              <w:rPr>
                <w:rFonts w:ascii="Arial" w:eastAsia="宋体" w:hAnsi="Arial" w:cs="Arial"/>
                <w:color w:val="000000"/>
                <w:sz w:val="18"/>
                <w:szCs w:val="18"/>
              </w:rPr>
              <w:t>10,205 </w:t>
            </w:r>
          </w:p>
        </w:tc>
        <w:tc>
          <w:tcPr>
            <w:tcW w:w="0" w:type="auto"/>
            <w:shd w:val="clear" w:color="auto" w:fill="FFFFFF"/>
            <w:tcMar>
              <w:top w:w="40" w:type="dxa"/>
              <w:left w:w="0" w:type="dxa"/>
              <w:bottom w:w="40" w:type="dxa"/>
              <w:right w:w="20" w:type="dxa"/>
            </w:tcMar>
            <w:vAlign w:val="bottom"/>
          </w:tcPr>
          <w:p w14:paraId="5F2CF122" w14:textId="77777777" w:rsidR="00E836FB" w:rsidRDefault="00E836FB">
            <w:pPr>
              <w:jc w:val="right"/>
              <w:rPr>
                <w:rFonts w:ascii="宋体"/>
              </w:rPr>
            </w:pPr>
          </w:p>
        </w:tc>
      </w:tr>
      <w:tr w:rsidR="00E836FB" w14:paraId="5F2CF12A" w14:textId="77777777">
        <w:trPr>
          <w:jc w:val="center"/>
        </w:trPr>
        <w:tc>
          <w:tcPr>
            <w:tcW w:w="0" w:type="auto"/>
            <w:gridSpan w:val="3"/>
            <w:shd w:val="clear" w:color="auto" w:fill="CCEEFF"/>
            <w:tcMar>
              <w:top w:w="40" w:type="dxa"/>
              <w:left w:w="20" w:type="dxa"/>
              <w:bottom w:w="40" w:type="dxa"/>
              <w:right w:w="20" w:type="dxa"/>
            </w:tcMar>
            <w:vAlign w:val="bottom"/>
          </w:tcPr>
          <w:p w14:paraId="5F2CF124" w14:textId="77777777" w:rsidR="00E836FB" w:rsidRDefault="00994958">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5F2CF125" w14:textId="77777777" w:rsidR="00E836FB" w:rsidRDefault="00994958">
            <w:pPr>
              <w:jc w:val="right"/>
              <w:textAlignment w:val="bottom"/>
            </w:pPr>
            <w:r>
              <w:rPr>
                <w:rFonts w:ascii="Arial" w:eastAsia="宋体" w:hAnsi="Arial" w:cs="Arial"/>
                <w:b/>
                <w:bCs/>
                <w:color w:val="000000"/>
                <w:sz w:val="18"/>
                <w:szCs w:val="18"/>
              </w:rPr>
              <w:t>25,238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F2CF1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12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128" w14:textId="77777777" w:rsidR="00E836FB" w:rsidRDefault="00994958">
            <w:pPr>
              <w:jc w:val="right"/>
              <w:textAlignment w:val="bottom"/>
            </w:pPr>
            <w:r>
              <w:rPr>
                <w:rFonts w:ascii="Arial" w:eastAsia="宋体" w:hAnsi="Arial" w:cs="Arial"/>
                <w:color w:val="000000"/>
                <w:sz w:val="18"/>
                <w:szCs w:val="18"/>
              </w:rPr>
              <w:t>23,442 </w:t>
            </w:r>
          </w:p>
        </w:tc>
        <w:tc>
          <w:tcPr>
            <w:tcW w:w="0" w:type="auto"/>
            <w:shd w:val="clear" w:color="auto" w:fill="CCEEFF"/>
            <w:tcMar>
              <w:top w:w="40" w:type="dxa"/>
              <w:left w:w="0" w:type="dxa"/>
              <w:bottom w:w="40" w:type="dxa"/>
              <w:right w:w="20" w:type="dxa"/>
            </w:tcMar>
            <w:vAlign w:val="bottom"/>
          </w:tcPr>
          <w:p w14:paraId="5F2CF129" w14:textId="77777777" w:rsidR="00E836FB" w:rsidRDefault="00E836FB">
            <w:pPr>
              <w:jc w:val="right"/>
              <w:rPr>
                <w:rFonts w:ascii="宋体"/>
              </w:rPr>
            </w:pPr>
          </w:p>
        </w:tc>
      </w:tr>
      <w:tr w:rsidR="00E836FB" w14:paraId="5F2CF131" w14:textId="77777777">
        <w:trPr>
          <w:jc w:val="center"/>
        </w:trPr>
        <w:tc>
          <w:tcPr>
            <w:tcW w:w="0" w:type="auto"/>
            <w:gridSpan w:val="3"/>
            <w:shd w:val="clear" w:color="auto" w:fill="FFFFFF"/>
            <w:tcMar>
              <w:top w:w="40" w:type="dxa"/>
              <w:left w:w="20" w:type="dxa"/>
              <w:bottom w:w="40" w:type="dxa"/>
              <w:right w:w="20" w:type="dxa"/>
            </w:tcMar>
            <w:vAlign w:val="bottom"/>
          </w:tcPr>
          <w:p w14:paraId="5F2CF12B" w14:textId="77777777" w:rsidR="00E836FB" w:rsidRDefault="00994958">
            <w:pPr>
              <w:textAlignment w:val="bottom"/>
            </w:pPr>
            <w:r>
              <w:rPr>
                <w:rFonts w:ascii="Arial" w:eastAsia="宋体" w:hAnsi="Arial" w:cs="Arial"/>
                <w:color w:val="000000"/>
                <w:sz w:val="18"/>
                <w:szCs w:val="18"/>
              </w:rPr>
              <w:t>Accumulated other comprehensive income (loss)</w:t>
            </w:r>
          </w:p>
        </w:tc>
        <w:tc>
          <w:tcPr>
            <w:tcW w:w="0" w:type="auto"/>
            <w:gridSpan w:val="2"/>
            <w:shd w:val="clear" w:color="auto" w:fill="FFFFFF"/>
            <w:tcMar>
              <w:top w:w="40" w:type="dxa"/>
              <w:left w:w="20" w:type="dxa"/>
              <w:bottom w:w="40" w:type="dxa"/>
              <w:right w:w="0" w:type="dxa"/>
            </w:tcMar>
            <w:vAlign w:val="bottom"/>
          </w:tcPr>
          <w:p w14:paraId="5F2CF12C" w14:textId="77777777" w:rsidR="00E836FB" w:rsidRDefault="00994958">
            <w:pPr>
              <w:jc w:val="right"/>
              <w:textAlignment w:val="bottom"/>
            </w:pPr>
            <w:r>
              <w:rPr>
                <w:rFonts w:ascii="Arial" w:eastAsia="宋体" w:hAnsi="Arial" w:cs="Arial"/>
                <w:b/>
                <w:bCs/>
                <w:color w:val="000000"/>
                <w:sz w:val="18"/>
                <w:szCs w:val="18"/>
              </w:rPr>
              <w:t>(1,133)</w:t>
            </w:r>
          </w:p>
        </w:tc>
        <w:tc>
          <w:tcPr>
            <w:tcW w:w="0" w:type="auto"/>
            <w:shd w:val="clear" w:color="auto" w:fill="FFFFFF"/>
            <w:tcMar>
              <w:top w:w="40" w:type="dxa"/>
              <w:left w:w="0" w:type="dxa"/>
              <w:bottom w:w="40" w:type="dxa"/>
              <w:right w:w="20" w:type="dxa"/>
            </w:tcMar>
            <w:vAlign w:val="bottom"/>
          </w:tcPr>
          <w:p w14:paraId="5F2CF1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12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12F" w14:textId="77777777" w:rsidR="00E836FB" w:rsidRDefault="00994958">
            <w:pPr>
              <w:jc w:val="right"/>
              <w:textAlignment w:val="bottom"/>
            </w:pPr>
            <w:r>
              <w:rPr>
                <w:rFonts w:ascii="Arial" w:eastAsia="宋体" w:hAnsi="Arial" w:cs="Arial"/>
                <w:color w:val="000000"/>
                <w:sz w:val="18"/>
                <w:szCs w:val="18"/>
              </w:rPr>
              <w:t>187 </w:t>
            </w:r>
          </w:p>
        </w:tc>
        <w:tc>
          <w:tcPr>
            <w:tcW w:w="0" w:type="auto"/>
            <w:shd w:val="clear" w:color="auto" w:fill="FFFFFF"/>
            <w:tcMar>
              <w:top w:w="40" w:type="dxa"/>
              <w:left w:w="0" w:type="dxa"/>
              <w:bottom w:w="40" w:type="dxa"/>
              <w:right w:w="20" w:type="dxa"/>
            </w:tcMar>
            <w:vAlign w:val="bottom"/>
          </w:tcPr>
          <w:p w14:paraId="5F2CF130" w14:textId="77777777" w:rsidR="00E836FB" w:rsidRDefault="00E836FB">
            <w:pPr>
              <w:jc w:val="right"/>
              <w:rPr>
                <w:rFonts w:ascii="宋体"/>
              </w:rPr>
            </w:pPr>
          </w:p>
        </w:tc>
      </w:tr>
      <w:tr w:rsidR="00E836FB" w14:paraId="5F2CF138" w14:textId="77777777">
        <w:trPr>
          <w:jc w:val="center"/>
        </w:trPr>
        <w:tc>
          <w:tcPr>
            <w:tcW w:w="0" w:type="auto"/>
            <w:gridSpan w:val="3"/>
            <w:shd w:val="clear" w:color="auto" w:fill="CCEEFF"/>
            <w:tcMar>
              <w:top w:w="40" w:type="dxa"/>
              <w:left w:w="20" w:type="dxa"/>
              <w:bottom w:w="40" w:type="dxa"/>
              <w:right w:w="20" w:type="dxa"/>
            </w:tcMar>
            <w:vAlign w:val="bottom"/>
          </w:tcPr>
          <w:p w14:paraId="5F2CF132" w14:textId="77777777" w:rsidR="00E836FB" w:rsidRDefault="00994958">
            <w:pPr>
              <w:textAlignment w:val="bottom"/>
            </w:pPr>
            <w:r>
              <w:rPr>
                <w:rFonts w:ascii="Arial" w:eastAsia="宋体" w:hAnsi="Arial" w:cs="Arial"/>
                <w:color w:val="000000"/>
                <w:sz w:val="18"/>
                <w:szCs w:val="18"/>
              </w:rPr>
              <w:t>Treasury stock, at cost (137,896,822 and 150,723,363 shares)</w:t>
            </w:r>
          </w:p>
        </w:tc>
        <w:tc>
          <w:tcPr>
            <w:tcW w:w="0" w:type="auto"/>
            <w:gridSpan w:val="2"/>
            <w:shd w:val="clear" w:color="auto" w:fill="CCEEFF"/>
            <w:tcMar>
              <w:top w:w="40" w:type="dxa"/>
              <w:left w:w="20" w:type="dxa"/>
              <w:bottom w:w="40" w:type="dxa"/>
              <w:right w:w="0" w:type="dxa"/>
            </w:tcMar>
            <w:vAlign w:val="bottom"/>
          </w:tcPr>
          <w:p w14:paraId="5F2CF133" w14:textId="77777777" w:rsidR="00E836FB" w:rsidRDefault="00994958">
            <w:pPr>
              <w:jc w:val="right"/>
              <w:textAlignment w:val="bottom"/>
            </w:pPr>
            <w:r>
              <w:rPr>
                <w:rFonts w:ascii="Arial" w:eastAsia="宋体" w:hAnsi="Arial" w:cs="Arial"/>
                <w:b/>
                <w:bCs/>
                <w:color w:val="000000"/>
                <w:sz w:val="18"/>
                <w:szCs w:val="18"/>
              </w:rPr>
              <w:t>(10,009)</w:t>
            </w:r>
          </w:p>
        </w:tc>
        <w:tc>
          <w:tcPr>
            <w:tcW w:w="0" w:type="auto"/>
            <w:shd w:val="clear" w:color="auto" w:fill="CCEEFF"/>
            <w:tcMar>
              <w:top w:w="40" w:type="dxa"/>
              <w:left w:w="0" w:type="dxa"/>
              <w:bottom w:w="40" w:type="dxa"/>
              <w:right w:w="20" w:type="dxa"/>
            </w:tcMar>
            <w:vAlign w:val="bottom"/>
          </w:tcPr>
          <w:p w14:paraId="5F2CF13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13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136" w14:textId="77777777" w:rsidR="00E836FB" w:rsidRDefault="00994958">
            <w:pPr>
              <w:jc w:val="right"/>
              <w:textAlignment w:val="bottom"/>
            </w:pPr>
            <w:r>
              <w:rPr>
                <w:rFonts w:ascii="Arial" w:eastAsia="宋体" w:hAnsi="Arial" w:cs="Arial"/>
                <w:color w:val="000000"/>
                <w:sz w:val="18"/>
                <w:szCs w:val="18"/>
              </w:rPr>
              <w:t>(10,609)</w:t>
            </w:r>
          </w:p>
        </w:tc>
        <w:tc>
          <w:tcPr>
            <w:tcW w:w="0" w:type="auto"/>
            <w:shd w:val="clear" w:color="auto" w:fill="CCEEFF"/>
            <w:tcMar>
              <w:top w:w="40" w:type="dxa"/>
              <w:left w:w="0" w:type="dxa"/>
              <w:bottom w:w="40" w:type="dxa"/>
              <w:right w:w="20" w:type="dxa"/>
            </w:tcMar>
            <w:vAlign w:val="bottom"/>
          </w:tcPr>
          <w:p w14:paraId="5F2CF137" w14:textId="77777777" w:rsidR="00E836FB" w:rsidRDefault="00E836FB">
            <w:pPr>
              <w:jc w:val="right"/>
              <w:rPr>
                <w:rFonts w:ascii="宋体"/>
              </w:rPr>
            </w:pPr>
          </w:p>
        </w:tc>
      </w:tr>
      <w:tr w:rsidR="00E836FB" w14:paraId="5F2CF13F" w14:textId="77777777">
        <w:trPr>
          <w:jc w:val="center"/>
        </w:trPr>
        <w:tc>
          <w:tcPr>
            <w:tcW w:w="0" w:type="auto"/>
            <w:gridSpan w:val="3"/>
            <w:shd w:val="clear" w:color="auto" w:fill="FFFFFF"/>
            <w:tcMar>
              <w:top w:w="40" w:type="dxa"/>
              <w:left w:w="20" w:type="dxa"/>
              <w:bottom w:w="40" w:type="dxa"/>
              <w:right w:w="20" w:type="dxa"/>
            </w:tcMar>
            <w:vAlign w:val="bottom"/>
          </w:tcPr>
          <w:p w14:paraId="5F2CF139" w14:textId="77777777" w:rsidR="00E836FB" w:rsidRDefault="00994958">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13A" w14:textId="77777777" w:rsidR="00E836FB" w:rsidRDefault="00994958">
            <w:pPr>
              <w:jc w:val="right"/>
              <w:textAlignment w:val="bottom"/>
            </w:pPr>
            <w:r>
              <w:rPr>
                <w:rFonts w:ascii="Arial" w:eastAsia="宋体" w:hAnsi="Arial" w:cs="Arial"/>
                <w:b/>
                <w:bCs/>
                <w:color w:val="000000"/>
                <w:sz w:val="18"/>
                <w:szCs w:val="18"/>
              </w:rPr>
              <w:t>27,363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1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13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13D" w14:textId="77777777" w:rsidR="00E836FB" w:rsidRDefault="00994958">
            <w:pPr>
              <w:jc w:val="right"/>
              <w:textAlignment w:val="bottom"/>
            </w:pPr>
            <w:r>
              <w:rPr>
                <w:rFonts w:ascii="Arial" w:eastAsia="宋体" w:hAnsi="Arial" w:cs="Arial"/>
                <w:color w:val="000000"/>
                <w:sz w:val="18"/>
                <w:szCs w:val="18"/>
              </w:rPr>
              <w:t>26,200 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13E" w14:textId="77777777" w:rsidR="00E836FB" w:rsidRDefault="00E836FB">
            <w:pPr>
              <w:jc w:val="right"/>
              <w:rPr>
                <w:rFonts w:ascii="宋体"/>
              </w:rPr>
            </w:pPr>
          </w:p>
        </w:tc>
      </w:tr>
      <w:tr w:rsidR="00E836FB" w14:paraId="5F2CF144" w14:textId="77777777">
        <w:trPr>
          <w:jc w:val="center"/>
          <w:hidden/>
        </w:trPr>
        <w:tc>
          <w:tcPr>
            <w:tcW w:w="0" w:type="auto"/>
            <w:gridSpan w:val="3"/>
            <w:shd w:val="clear" w:color="auto" w:fill="auto"/>
            <w:vAlign w:val="bottom"/>
          </w:tcPr>
          <w:p w14:paraId="5F2CF140" w14:textId="77777777" w:rsidR="00E836FB" w:rsidRDefault="00E836FB">
            <w:pPr>
              <w:rPr>
                <w:rFonts w:ascii="宋体"/>
                <w:vanish/>
              </w:rPr>
            </w:pPr>
          </w:p>
        </w:tc>
        <w:tc>
          <w:tcPr>
            <w:tcW w:w="0" w:type="auto"/>
            <w:gridSpan w:val="3"/>
            <w:shd w:val="clear" w:color="auto" w:fill="auto"/>
            <w:vAlign w:val="bottom"/>
          </w:tcPr>
          <w:p w14:paraId="5F2CF141" w14:textId="77777777" w:rsidR="00E836FB" w:rsidRDefault="00E836FB">
            <w:pPr>
              <w:rPr>
                <w:rFonts w:ascii="宋体"/>
                <w:vanish/>
              </w:rPr>
            </w:pPr>
          </w:p>
        </w:tc>
        <w:tc>
          <w:tcPr>
            <w:tcW w:w="0" w:type="auto"/>
            <w:gridSpan w:val="3"/>
            <w:shd w:val="clear" w:color="auto" w:fill="auto"/>
            <w:vAlign w:val="bottom"/>
          </w:tcPr>
          <w:p w14:paraId="5F2CF142" w14:textId="77777777" w:rsidR="00E836FB" w:rsidRDefault="00E836FB">
            <w:pPr>
              <w:rPr>
                <w:rFonts w:ascii="宋体"/>
                <w:vanish/>
              </w:rPr>
            </w:pPr>
          </w:p>
        </w:tc>
        <w:tc>
          <w:tcPr>
            <w:tcW w:w="0" w:type="auto"/>
            <w:gridSpan w:val="3"/>
            <w:shd w:val="clear" w:color="auto" w:fill="auto"/>
            <w:vAlign w:val="bottom"/>
          </w:tcPr>
          <w:p w14:paraId="5F2CF143" w14:textId="77777777" w:rsidR="00E836FB" w:rsidRDefault="00E836FB">
            <w:pPr>
              <w:rPr>
                <w:rFonts w:ascii="宋体"/>
                <w:vanish/>
              </w:rPr>
            </w:pPr>
          </w:p>
        </w:tc>
      </w:tr>
      <w:tr w:rsidR="00E836FB" w14:paraId="5F2CF149" w14:textId="77777777">
        <w:trPr>
          <w:jc w:val="center"/>
          <w:hidden/>
        </w:trPr>
        <w:tc>
          <w:tcPr>
            <w:tcW w:w="0" w:type="auto"/>
            <w:gridSpan w:val="3"/>
            <w:shd w:val="clear" w:color="auto" w:fill="auto"/>
            <w:vAlign w:val="bottom"/>
          </w:tcPr>
          <w:p w14:paraId="5F2CF145" w14:textId="77777777" w:rsidR="00E836FB" w:rsidRDefault="00E836FB">
            <w:pPr>
              <w:rPr>
                <w:rFonts w:ascii="宋体"/>
                <w:vanish/>
              </w:rPr>
            </w:pPr>
          </w:p>
        </w:tc>
        <w:tc>
          <w:tcPr>
            <w:tcW w:w="0" w:type="auto"/>
            <w:gridSpan w:val="3"/>
            <w:shd w:val="clear" w:color="auto" w:fill="auto"/>
            <w:vAlign w:val="bottom"/>
          </w:tcPr>
          <w:p w14:paraId="5F2CF146" w14:textId="77777777" w:rsidR="00E836FB" w:rsidRDefault="00E836FB">
            <w:pPr>
              <w:rPr>
                <w:rFonts w:ascii="宋体"/>
                <w:vanish/>
              </w:rPr>
            </w:pPr>
          </w:p>
        </w:tc>
        <w:tc>
          <w:tcPr>
            <w:tcW w:w="0" w:type="auto"/>
            <w:gridSpan w:val="3"/>
            <w:shd w:val="clear" w:color="auto" w:fill="auto"/>
            <w:vAlign w:val="bottom"/>
          </w:tcPr>
          <w:p w14:paraId="5F2CF147" w14:textId="77777777" w:rsidR="00E836FB" w:rsidRDefault="00E836FB">
            <w:pPr>
              <w:rPr>
                <w:rFonts w:ascii="宋体"/>
                <w:vanish/>
              </w:rPr>
            </w:pPr>
          </w:p>
        </w:tc>
        <w:tc>
          <w:tcPr>
            <w:tcW w:w="0" w:type="auto"/>
            <w:gridSpan w:val="3"/>
            <w:shd w:val="clear" w:color="auto" w:fill="auto"/>
            <w:vAlign w:val="bottom"/>
          </w:tcPr>
          <w:p w14:paraId="5F2CF148" w14:textId="77777777" w:rsidR="00E836FB" w:rsidRDefault="00E836FB">
            <w:pPr>
              <w:rPr>
                <w:rFonts w:ascii="宋体"/>
                <w:vanish/>
              </w:rPr>
            </w:pPr>
          </w:p>
        </w:tc>
      </w:tr>
      <w:tr w:rsidR="00E836FB" w14:paraId="5F2CF152" w14:textId="77777777">
        <w:trPr>
          <w:jc w:val="center"/>
        </w:trPr>
        <w:tc>
          <w:tcPr>
            <w:tcW w:w="0" w:type="auto"/>
            <w:gridSpan w:val="3"/>
            <w:shd w:val="clear" w:color="auto" w:fill="CCEEFF"/>
            <w:tcMar>
              <w:top w:w="40" w:type="dxa"/>
              <w:left w:w="20" w:type="dxa"/>
              <w:bottom w:w="40" w:type="dxa"/>
              <w:right w:w="20" w:type="dxa"/>
            </w:tcMar>
            <w:vAlign w:val="bottom"/>
          </w:tcPr>
          <w:p w14:paraId="5F2CF14A" w14:textId="77777777" w:rsidR="00E836FB" w:rsidRDefault="00994958">
            <w:pPr>
              <w:textAlignment w:val="bottom"/>
            </w:pPr>
            <w:r>
              <w:rPr>
                <w:rFonts w:ascii="Arial" w:eastAsia="宋体" w:hAnsi="Arial" w:cs="Arial"/>
                <w:b/>
                <w:bCs/>
                <w:color w:val="000000"/>
                <w:sz w:val="18"/>
                <w:szCs w:val="18"/>
              </w:rPr>
              <w:t xml:space="preserve">Total liabilities and </w:t>
            </w:r>
            <w:r>
              <w:rPr>
                <w:rFonts w:ascii="Arial" w:eastAsia="宋体" w:hAnsi="Arial" w:cs="Arial"/>
                <w:b/>
                <w:bCs/>
                <w:color w:val="000000"/>
                <w:sz w:val="18"/>
                <w:szCs w:val="18"/>
              </w:rPr>
              <w:t>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14B" w14:textId="77777777" w:rsidR="00E836FB" w:rsidRDefault="00994958">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14C" w14:textId="77777777" w:rsidR="00E836FB" w:rsidRDefault="00994958">
            <w:pPr>
              <w:jc w:val="right"/>
              <w:textAlignment w:val="bottom"/>
            </w:pPr>
            <w:r>
              <w:rPr>
                <w:rFonts w:ascii="Arial" w:eastAsia="宋体" w:hAnsi="Arial" w:cs="Arial"/>
                <w:b/>
                <w:bCs/>
                <w:color w:val="000000"/>
                <w:sz w:val="18"/>
                <w:szCs w:val="18"/>
              </w:rPr>
              <w:t>314,624</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1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14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14F" w14:textId="77777777" w:rsidR="00E836FB" w:rsidRDefault="00994958">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150" w14:textId="77777777" w:rsidR="00E836FB" w:rsidRDefault="00994958">
            <w:pPr>
              <w:jc w:val="right"/>
              <w:textAlignment w:val="bottom"/>
            </w:pPr>
            <w:r>
              <w:rPr>
                <w:rFonts w:ascii="Arial" w:eastAsia="宋体" w:hAnsi="Arial" w:cs="Arial"/>
                <w:color w:val="000000"/>
                <w:sz w:val="18"/>
                <w:szCs w:val="18"/>
              </w:rPr>
              <w:t>314,706 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151" w14:textId="77777777" w:rsidR="00E836FB" w:rsidRDefault="00E836FB">
            <w:pPr>
              <w:jc w:val="right"/>
              <w:rPr>
                <w:rFonts w:ascii="宋体"/>
              </w:rPr>
            </w:pPr>
          </w:p>
        </w:tc>
      </w:tr>
    </w:tbl>
    <w:p w14:paraId="5F2CF153" w14:textId="77777777" w:rsidR="00E836FB" w:rsidRDefault="00E836FB">
      <w:pPr>
        <w:ind w:firstLine="450"/>
        <w:jc w:val="center"/>
      </w:pPr>
    </w:p>
    <w:p w14:paraId="5F2CF154" w14:textId="77777777" w:rsidR="00E836FB" w:rsidRDefault="00E836FB">
      <w:pPr>
        <w:ind w:firstLine="450"/>
      </w:pPr>
    </w:p>
    <w:p w14:paraId="5F2CF155" w14:textId="77777777" w:rsidR="00E836FB" w:rsidRDefault="00E836FB">
      <w:pPr>
        <w:ind w:firstLine="450"/>
      </w:pPr>
    </w:p>
    <w:p w14:paraId="5F2CF156" w14:textId="77777777" w:rsidR="00E836FB" w:rsidRDefault="00E836FB">
      <w:pPr>
        <w:ind w:firstLine="450"/>
      </w:pPr>
    </w:p>
    <w:p w14:paraId="5F2CF157" w14:textId="77777777" w:rsidR="00E836FB" w:rsidRDefault="00E836FB">
      <w:pPr>
        <w:ind w:firstLine="450"/>
      </w:pPr>
    </w:p>
    <w:p w14:paraId="5F2CF158" w14:textId="77777777" w:rsidR="00E836FB" w:rsidRDefault="00994958">
      <w:pPr>
        <w:ind w:firstLine="450"/>
        <w:jc w:val="center"/>
      </w:pPr>
      <w:r>
        <w:rPr>
          <w:rFonts w:ascii="Arial" w:eastAsia="宋体" w:hAnsi="Arial" w:cs="Arial"/>
          <w:color w:val="000000"/>
          <w:sz w:val="18"/>
          <w:szCs w:val="18"/>
        </w:rPr>
        <w:t xml:space="preserve">The accompanying notes are an integral part of these consolidated financial statements. </w:t>
      </w:r>
    </w:p>
    <w:p w14:paraId="5F2CF159" w14:textId="77777777" w:rsidR="00E836FB" w:rsidRDefault="00994958">
      <w:pPr>
        <w:ind w:firstLine="450"/>
        <w:jc w:val="right"/>
      </w:pPr>
      <w:r>
        <w:rPr>
          <w:rFonts w:ascii="Arial" w:eastAsia="宋体" w:hAnsi="Arial" w:cs="Arial"/>
          <w:color w:val="000000"/>
          <w:sz w:val="18"/>
          <w:szCs w:val="18"/>
        </w:rPr>
        <w:t>State Street Corporation | 132</w:t>
      </w:r>
    </w:p>
    <w:p w14:paraId="5F2CF15A" w14:textId="77777777" w:rsidR="00E836FB" w:rsidRDefault="00E836FB">
      <w:pPr>
        <w:ind w:firstLine="450"/>
        <w:jc w:val="center"/>
      </w:pPr>
    </w:p>
    <w:p w14:paraId="5F2CF15B" w14:textId="77777777" w:rsidR="00E836FB" w:rsidRDefault="00994958">
      <w:r>
        <w:pict w14:anchorId="5F2D6E09">
          <v:rect id="_x0000_i1156" style="width:415.3pt;height:1.5pt" o:hralign="center" o:hrstd="t" o:hr="t" fillcolor="#a0a0a0" stroked="f"/>
        </w:pict>
      </w:r>
    </w:p>
    <w:p w14:paraId="5F2CF15C" w14:textId="77777777" w:rsidR="00E836FB" w:rsidRDefault="00E836FB">
      <w:pPr>
        <w:ind w:firstLine="450"/>
      </w:pPr>
    </w:p>
    <w:p w14:paraId="5F2CF15D" w14:textId="77777777" w:rsidR="00E836FB" w:rsidRDefault="00994958">
      <w:pPr>
        <w:ind w:firstLine="450"/>
        <w:jc w:val="center"/>
      </w:pPr>
      <w:r>
        <w:rPr>
          <w:rFonts w:ascii="Arial" w:eastAsia="宋体" w:hAnsi="Arial" w:cs="Arial"/>
          <w:b/>
          <w:bCs/>
          <w:color w:val="000000"/>
          <w:sz w:val="20"/>
          <w:szCs w:val="20"/>
        </w:rPr>
        <w:t>STATE STREET CORPORATION</w:t>
      </w:r>
    </w:p>
    <w:p w14:paraId="5F2CF15E" w14:textId="77777777" w:rsidR="00E836FB" w:rsidRDefault="00994958">
      <w:pPr>
        <w:ind w:firstLine="450"/>
        <w:jc w:val="center"/>
      </w:pPr>
      <w:r>
        <w:rPr>
          <w:rFonts w:ascii="Arial" w:eastAsia="宋体" w:hAnsi="Arial" w:cs="Arial"/>
          <w:b/>
          <w:bCs/>
          <w:color w:val="000000"/>
          <w:sz w:val="20"/>
          <w:szCs w:val="20"/>
        </w:rPr>
        <w:t xml:space="preserve">CONSOLIDATED STATEMENT OF CHANGES IN </w:t>
      </w:r>
      <w:r>
        <w:rPr>
          <w:rFonts w:ascii="Arial" w:eastAsia="宋体" w:hAnsi="Arial" w:cs="Arial"/>
          <w:b/>
          <w:bCs/>
          <w:color w:val="000000"/>
          <w:sz w:val="20"/>
          <w:szCs w:val="20"/>
        </w:rPr>
        <w:t>SHAREHOLDERS' EQUITY</w:t>
      </w:r>
    </w:p>
    <w:tbl>
      <w:tblPr>
        <w:tblW w:w="4985" w:type="pct"/>
        <w:tblCellMar>
          <w:top w:w="15" w:type="dxa"/>
          <w:left w:w="15" w:type="dxa"/>
          <w:bottom w:w="15" w:type="dxa"/>
          <w:right w:w="15" w:type="dxa"/>
        </w:tblCellMar>
        <w:tblLook w:val="04A0" w:firstRow="1" w:lastRow="0" w:firstColumn="1" w:lastColumn="0" w:noHBand="0" w:noVBand="1"/>
      </w:tblPr>
      <w:tblGrid>
        <w:gridCol w:w="47"/>
        <w:gridCol w:w="1031"/>
        <w:gridCol w:w="36"/>
        <w:gridCol w:w="105"/>
        <w:gridCol w:w="566"/>
        <w:gridCol w:w="36"/>
        <w:gridCol w:w="36"/>
        <w:gridCol w:w="36"/>
        <w:gridCol w:w="36"/>
        <w:gridCol w:w="86"/>
        <w:gridCol w:w="518"/>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92"/>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E836FB" w14:paraId="5F2CF195" w14:textId="77777777">
        <w:tc>
          <w:tcPr>
            <w:tcW w:w="50" w:type="pct"/>
            <w:shd w:val="clear" w:color="auto" w:fill="auto"/>
            <w:vAlign w:val="bottom"/>
          </w:tcPr>
          <w:p w14:paraId="5F2CF15F" w14:textId="77777777" w:rsidR="00E836FB" w:rsidRDefault="00E836FB">
            <w:pPr>
              <w:rPr>
                <w:rFonts w:ascii="宋体"/>
              </w:rPr>
            </w:pPr>
          </w:p>
        </w:tc>
        <w:tc>
          <w:tcPr>
            <w:tcW w:w="1118" w:type="pct"/>
            <w:shd w:val="clear" w:color="auto" w:fill="auto"/>
            <w:vAlign w:val="bottom"/>
          </w:tcPr>
          <w:p w14:paraId="5F2CF160" w14:textId="77777777" w:rsidR="00E836FB" w:rsidRDefault="00E836FB">
            <w:pPr>
              <w:rPr>
                <w:rFonts w:ascii="宋体"/>
              </w:rPr>
            </w:pPr>
          </w:p>
        </w:tc>
        <w:tc>
          <w:tcPr>
            <w:tcW w:w="5" w:type="pct"/>
            <w:shd w:val="clear" w:color="auto" w:fill="auto"/>
            <w:vAlign w:val="bottom"/>
          </w:tcPr>
          <w:p w14:paraId="5F2CF161" w14:textId="77777777" w:rsidR="00E836FB" w:rsidRDefault="00E836FB">
            <w:pPr>
              <w:rPr>
                <w:rFonts w:ascii="宋体"/>
              </w:rPr>
            </w:pPr>
          </w:p>
        </w:tc>
        <w:tc>
          <w:tcPr>
            <w:tcW w:w="50" w:type="pct"/>
            <w:shd w:val="clear" w:color="auto" w:fill="auto"/>
            <w:vAlign w:val="bottom"/>
          </w:tcPr>
          <w:p w14:paraId="5F2CF162" w14:textId="77777777" w:rsidR="00E836FB" w:rsidRDefault="00E836FB">
            <w:pPr>
              <w:rPr>
                <w:rFonts w:ascii="宋体"/>
              </w:rPr>
            </w:pPr>
          </w:p>
        </w:tc>
        <w:tc>
          <w:tcPr>
            <w:tcW w:w="318" w:type="pct"/>
            <w:shd w:val="clear" w:color="auto" w:fill="auto"/>
            <w:vAlign w:val="bottom"/>
          </w:tcPr>
          <w:p w14:paraId="5F2CF163" w14:textId="77777777" w:rsidR="00E836FB" w:rsidRDefault="00E836FB">
            <w:pPr>
              <w:rPr>
                <w:rFonts w:ascii="宋体"/>
              </w:rPr>
            </w:pPr>
          </w:p>
        </w:tc>
        <w:tc>
          <w:tcPr>
            <w:tcW w:w="5" w:type="pct"/>
            <w:shd w:val="clear" w:color="auto" w:fill="auto"/>
            <w:vAlign w:val="bottom"/>
          </w:tcPr>
          <w:p w14:paraId="5F2CF164" w14:textId="77777777" w:rsidR="00E836FB" w:rsidRDefault="00E836FB">
            <w:pPr>
              <w:rPr>
                <w:rFonts w:ascii="宋体"/>
              </w:rPr>
            </w:pPr>
          </w:p>
        </w:tc>
        <w:tc>
          <w:tcPr>
            <w:tcW w:w="5" w:type="pct"/>
            <w:shd w:val="clear" w:color="auto" w:fill="auto"/>
            <w:vAlign w:val="bottom"/>
          </w:tcPr>
          <w:p w14:paraId="5F2CF165" w14:textId="77777777" w:rsidR="00E836FB" w:rsidRDefault="00E836FB">
            <w:pPr>
              <w:rPr>
                <w:rFonts w:ascii="宋体"/>
              </w:rPr>
            </w:pPr>
          </w:p>
        </w:tc>
        <w:tc>
          <w:tcPr>
            <w:tcW w:w="26" w:type="pct"/>
            <w:shd w:val="clear" w:color="auto" w:fill="auto"/>
            <w:vAlign w:val="bottom"/>
          </w:tcPr>
          <w:p w14:paraId="5F2CF166" w14:textId="77777777" w:rsidR="00E836FB" w:rsidRDefault="00E836FB">
            <w:pPr>
              <w:rPr>
                <w:rFonts w:ascii="宋体"/>
              </w:rPr>
            </w:pPr>
          </w:p>
        </w:tc>
        <w:tc>
          <w:tcPr>
            <w:tcW w:w="5" w:type="pct"/>
            <w:shd w:val="clear" w:color="auto" w:fill="auto"/>
            <w:vAlign w:val="bottom"/>
          </w:tcPr>
          <w:p w14:paraId="5F2CF167" w14:textId="77777777" w:rsidR="00E836FB" w:rsidRDefault="00E836FB">
            <w:pPr>
              <w:rPr>
                <w:rFonts w:ascii="宋体"/>
              </w:rPr>
            </w:pPr>
          </w:p>
        </w:tc>
        <w:tc>
          <w:tcPr>
            <w:tcW w:w="50" w:type="pct"/>
            <w:shd w:val="clear" w:color="auto" w:fill="auto"/>
            <w:vAlign w:val="bottom"/>
          </w:tcPr>
          <w:p w14:paraId="5F2CF168" w14:textId="77777777" w:rsidR="00E836FB" w:rsidRDefault="00E836FB">
            <w:pPr>
              <w:rPr>
                <w:rFonts w:ascii="宋体"/>
              </w:rPr>
            </w:pPr>
          </w:p>
        </w:tc>
        <w:tc>
          <w:tcPr>
            <w:tcW w:w="304" w:type="pct"/>
            <w:shd w:val="clear" w:color="auto" w:fill="auto"/>
            <w:vAlign w:val="bottom"/>
          </w:tcPr>
          <w:p w14:paraId="5F2CF169" w14:textId="77777777" w:rsidR="00E836FB" w:rsidRDefault="00E836FB">
            <w:pPr>
              <w:rPr>
                <w:rFonts w:ascii="宋体"/>
              </w:rPr>
            </w:pPr>
          </w:p>
        </w:tc>
        <w:tc>
          <w:tcPr>
            <w:tcW w:w="5" w:type="pct"/>
            <w:shd w:val="clear" w:color="auto" w:fill="auto"/>
            <w:vAlign w:val="bottom"/>
          </w:tcPr>
          <w:p w14:paraId="5F2CF16A" w14:textId="77777777" w:rsidR="00E836FB" w:rsidRDefault="00E836FB">
            <w:pPr>
              <w:rPr>
                <w:rFonts w:ascii="宋体"/>
              </w:rPr>
            </w:pPr>
          </w:p>
        </w:tc>
        <w:tc>
          <w:tcPr>
            <w:tcW w:w="5" w:type="pct"/>
            <w:shd w:val="clear" w:color="auto" w:fill="auto"/>
            <w:vAlign w:val="bottom"/>
          </w:tcPr>
          <w:p w14:paraId="5F2CF16B" w14:textId="77777777" w:rsidR="00E836FB" w:rsidRDefault="00E836FB">
            <w:pPr>
              <w:rPr>
                <w:rFonts w:ascii="宋体"/>
              </w:rPr>
            </w:pPr>
          </w:p>
        </w:tc>
        <w:tc>
          <w:tcPr>
            <w:tcW w:w="26" w:type="pct"/>
            <w:shd w:val="clear" w:color="auto" w:fill="auto"/>
            <w:vAlign w:val="bottom"/>
          </w:tcPr>
          <w:p w14:paraId="5F2CF16C" w14:textId="77777777" w:rsidR="00E836FB" w:rsidRDefault="00E836FB">
            <w:pPr>
              <w:rPr>
                <w:rFonts w:ascii="宋体"/>
              </w:rPr>
            </w:pPr>
          </w:p>
        </w:tc>
        <w:tc>
          <w:tcPr>
            <w:tcW w:w="5" w:type="pct"/>
            <w:shd w:val="clear" w:color="auto" w:fill="auto"/>
            <w:vAlign w:val="bottom"/>
          </w:tcPr>
          <w:p w14:paraId="5F2CF16D" w14:textId="77777777" w:rsidR="00E836FB" w:rsidRDefault="00E836FB">
            <w:pPr>
              <w:rPr>
                <w:rFonts w:ascii="宋体"/>
              </w:rPr>
            </w:pPr>
          </w:p>
        </w:tc>
        <w:tc>
          <w:tcPr>
            <w:tcW w:w="50" w:type="pct"/>
            <w:shd w:val="clear" w:color="auto" w:fill="auto"/>
            <w:vAlign w:val="bottom"/>
          </w:tcPr>
          <w:p w14:paraId="5F2CF16E" w14:textId="77777777" w:rsidR="00E836FB" w:rsidRDefault="00E836FB">
            <w:pPr>
              <w:rPr>
                <w:rFonts w:ascii="宋体"/>
              </w:rPr>
            </w:pPr>
          </w:p>
        </w:tc>
        <w:tc>
          <w:tcPr>
            <w:tcW w:w="274" w:type="pct"/>
            <w:shd w:val="clear" w:color="auto" w:fill="auto"/>
            <w:vAlign w:val="bottom"/>
          </w:tcPr>
          <w:p w14:paraId="5F2CF16F" w14:textId="77777777" w:rsidR="00E836FB" w:rsidRDefault="00E836FB">
            <w:pPr>
              <w:rPr>
                <w:rFonts w:ascii="宋体"/>
              </w:rPr>
            </w:pPr>
          </w:p>
        </w:tc>
        <w:tc>
          <w:tcPr>
            <w:tcW w:w="5" w:type="pct"/>
            <w:shd w:val="clear" w:color="auto" w:fill="auto"/>
            <w:vAlign w:val="bottom"/>
          </w:tcPr>
          <w:p w14:paraId="5F2CF170" w14:textId="77777777" w:rsidR="00E836FB" w:rsidRDefault="00E836FB">
            <w:pPr>
              <w:rPr>
                <w:rFonts w:ascii="宋体"/>
              </w:rPr>
            </w:pPr>
          </w:p>
        </w:tc>
        <w:tc>
          <w:tcPr>
            <w:tcW w:w="5" w:type="pct"/>
            <w:shd w:val="clear" w:color="auto" w:fill="auto"/>
            <w:vAlign w:val="bottom"/>
          </w:tcPr>
          <w:p w14:paraId="5F2CF171" w14:textId="77777777" w:rsidR="00E836FB" w:rsidRDefault="00E836FB">
            <w:pPr>
              <w:rPr>
                <w:rFonts w:ascii="宋体"/>
              </w:rPr>
            </w:pPr>
          </w:p>
        </w:tc>
        <w:tc>
          <w:tcPr>
            <w:tcW w:w="26" w:type="pct"/>
            <w:shd w:val="clear" w:color="auto" w:fill="auto"/>
            <w:vAlign w:val="bottom"/>
          </w:tcPr>
          <w:p w14:paraId="5F2CF172" w14:textId="77777777" w:rsidR="00E836FB" w:rsidRDefault="00E836FB">
            <w:pPr>
              <w:rPr>
                <w:rFonts w:ascii="宋体"/>
              </w:rPr>
            </w:pPr>
          </w:p>
        </w:tc>
        <w:tc>
          <w:tcPr>
            <w:tcW w:w="5" w:type="pct"/>
            <w:shd w:val="clear" w:color="auto" w:fill="auto"/>
            <w:vAlign w:val="bottom"/>
          </w:tcPr>
          <w:p w14:paraId="5F2CF173" w14:textId="77777777" w:rsidR="00E836FB" w:rsidRDefault="00E836FB">
            <w:pPr>
              <w:rPr>
                <w:rFonts w:ascii="宋体"/>
              </w:rPr>
            </w:pPr>
          </w:p>
        </w:tc>
        <w:tc>
          <w:tcPr>
            <w:tcW w:w="50" w:type="pct"/>
            <w:shd w:val="clear" w:color="auto" w:fill="auto"/>
            <w:vAlign w:val="bottom"/>
          </w:tcPr>
          <w:p w14:paraId="5F2CF174" w14:textId="77777777" w:rsidR="00E836FB" w:rsidRDefault="00E836FB">
            <w:pPr>
              <w:rPr>
                <w:rFonts w:ascii="宋体"/>
              </w:rPr>
            </w:pPr>
          </w:p>
        </w:tc>
        <w:tc>
          <w:tcPr>
            <w:tcW w:w="296" w:type="pct"/>
            <w:shd w:val="clear" w:color="auto" w:fill="auto"/>
            <w:vAlign w:val="bottom"/>
          </w:tcPr>
          <w:p w14:paraId="5F2CF175" w14:textId="77777777" w:rsidR="00E836FB" w:rsidRDefault="00E836FB">
            <w:pPr>
              <w:rPr>
                <w:rFonts w:ascii="宋体"/>
              </w:rPr>
            </w:pPr>
          </w:p>
        </w:tc>
        <w:tc>
          <w:tcPr>
            <w:tcW w:w="5" w:type="pct"/>
            <w:shd w:val="clear" w:color="auto" w:fill="auto"/>
            <w:vAlign w:val="bottom"/>
          </w:tcPr>
          <w:p w14:paraId="5F2CF176" w14:textId="77777777" w:rsidR="00E836FB" w:rsidRDefault="00E836FB">
            <w:pPr>
              <w:rPr>
                <w:rFonts w:ascii="宋体"/>
              </w:rPr>
            </w:pPr>
          </w:p>
        </w:tc>
        <w:tc>
          <w:tcPr>
            <w:tcW w:w="5" w:type="pct"/>
            <w:shd w:val="clear" w:color="auto" w:fill="auto"/>
            <w:vAlign w:val="bottom"/>
          </w:tcPr>
          <w:p w14:paraId="5F2CF177" w14:textId="77777777" w:rsidR="00E836FB" w:rsidRDefault="00E836FB">
            <w:pPr>
              <w:rPr>
                <w:rFonts w:ascii="宋体"/>
              </w:rPr>
            </w:pPr>
          </w:p>
        </w:tc>
        <w:tc>
          <w:tcPr>
            <w:tcW w:w="26" w:type="pct"/>
            <w:shd w:val="clear" w:color="auto" w:fill="auto"/>
            <w:vAlign w:val="bottom"/>
          </w:tcPr>
          <w:p w14:paraId="5F2CF178" w14:textId="77777777" w:rsidR="00E836FB" w:rsidRDefault="00E836FB">
            <w:pPr>
              <w:rPr>
                <w:rFonts w:ascii="宋体"/>
              </w:rPr>
            </w:pPr>
          </w:p>
        </w:tc>
        <w:tc>
          <w:tcPr>
            <w:tcW w:w="5" w:type="pct"/>
            <w:shd w:val="clear" w:color="auto" w:fill="auto"/>
            <w:vAlign w:val="bottom"/>
          </w:tcPr>
          <w:p w14:paraId="5F2CF179" w14:textId="77777777" w:rsidR="00E836FB" w:rsidRDefault="00E836FB">
            <w:pPr>
              <w:rPr>
                <w:rFonts w:ascii="宋体"/>
              </w:rPr>
            </w:pPr>
          </w:p>
        </w:tc>
        <w:tc>
          <w:tcPr>
            <w:tcW w:w="50" w:type="pct"/>
            <w:shd w:val="clear" w:color="auto" w:fill="auto"/>
            <w:vAlign w:val="bottom"/>
          </w:tcPr>
          <w:p w14:paraId="5F2CF17A" w14:textId="77777777" w:rsidR="00E836FB" w:rsidRDefault="00E836FB">
            <w:pPr>
              <w:rPr>
                <w:rFonts w:ascii="宋体"/>
              </w:rPr>
            </w:pPr>
          </w:p>
        </w:tc>
        <w:tc>
          <w:tcPr>
            <w:tcW w:w="296" w:type="pct"/>
            <w:shd w:val="clear" w:color="auto" w:fill="auto"/>
            <w:vAlign w:val="bottom"/>
          </w:tcPr>
          <w:p w14:paraId="5F2CF17B" w14:textId="77777777" w:rsidR="00E836FB" w:rsidRDefault="00E836FB">
            <w:pPr>
              <w:rPr>
                <w:rFonts w:ascii="宋体"/>
              </w:rPr>
            </w:pPr>
          </w:p>
        </w:tc>
        <w:tc>
          <w:tcPr>
            <w:tcW w:w="5" w:type="pct"/>
            <w:shd w:val="clear" w:color="auto" w:fill="auto"/>
            <w:vAlign w:val="bottom"/>
          </w:tcPr>
          <w:p w14:paraId="5F2CF17C" w14:textId="77777777" w:rsidR="00E836FB" w:rsidRDefault="00E836FB">
            <w:pPr>
              <w:rPr>
                <w:rFonts w:ascii="宋体"/>
              </w:rPr>
            </w:pPr>
          </w:p>
        </w:tc>
        <w:tc>
          <w:tcPr>
            <w:tcW w:w="5" w:type="pct"/>
            <w:shd w:val="clear" w:color="auto" w:fill="auto"/>
            <w:vAlign w:val="bottom"/>
          </w:tcPr>
          <w:p w14:paraId="5F2CF17D" w14:textId="77777777" w:rsidR="00E836FB" w:rsidRDefault="00E836FB">
            <w:pPr>
              <w:rPr>
                <w:rFonts w:ascii="宋体"/>
              </w:rPr>
            </w:pPr>
          </w:p>
        </w:tc>
        <w:tc>
          <w:tcPr>
            <w:tcW w:w="26" w:type="pct"/>
            <w:shd w:val="clear" w:color="auto" w:fill="auto"/>
            <w:vAlign w:val="bottom"/>
          </w:tcPr>
          <w:p w14:paraId="5F2CF17E" w14:textId="77777777" w:rsidR="00E836FB" w:rsidRDefault="00E836FB">
            <w:pPr>
              <w:rPr>
                <w:rFonts w:ascii="宋体"/>
              </w:rPr>
            </w:pPr>
          </w:p>
        </w:tc>
        <w:tc>
          <w:tcPr>
            <w:tcW w:w="5" w:type="pct"/>
            <w:shd w:val="clear" w:color="auto" w:fill="auto"/>
            <w:vAlign w:val="bottom"/>
          </w:tcPr>
          <w:p w14:paraId="5F2CF17F" w14:textId="77777777" w:rsidR="00E836FB" w:rsidRDefault="00E836FB">
            <w:pPr>
              <w:rPr>
                <w:rFonts w:ascii="宋体"/>
              </w:rPr>
            </w:pPr>
          </w:p>
        </w:tc>
        <w:tc>
          <w:tcPr>
            <w:tcW w:w="50" w:type="pct"/>
            <w:shd w:val="clear" w:color="auto" w:fill="auto"/>
            <w:vAlign w:val="bottom"/>
          </w:tcPr>
          <w:p w14:paraId="5F2CF180" w14:textId="77777777" w:rsidR="00E836FB" w:rsidRDefault="00E836FB">
            <w:pPr>
              <w:rPr>
                <w:rFonts w:ascii="宋体"/>
              </w:rPr>
            </w:pPr>
          </w:p>
        </w:tc>
        <w:tc>
          <w:tcPr>
            <w:tcW w:w="553" w:type="pct"/>
            <w:shd w:val="clear" w:color="auto" w:fill="auto"/>
            <w:vAlign w:val="bottom"/>
          </w:tcPr>
          <w:p w14:paraId="5F2CF181" w14:textId="77777777" w:rsidR="00E836FB" w:rsidRDefault="00E836FB">
            <w:pPr>
              <w:rPr>
                <w:rFonts w:ascii="宋体"/>
              </w:rPr>
            </w:pPr>
          </w:p>
        </w:tc>
        <w:tc>
          <w:tcPr>
            <w:tcW w:w="5" w:type="pct"/>
            <w:shd w:val="clear" w:color="auto" w:fill="auto"/>
            <w:vAlign w:val="bottom"/>
          </w:tcPr>
          <w:p w14:paraId="5F2CF182" w14:textId="77777777" w:rsidR="00E836FB" w:rsidRDefault="00E836FB">
            <w:pPr>
              <w:rPr>
                <w:rFonts w:ascii="宋体"/>
              </w:rPr>
            </w:pPr>
          </w:p>
        </w:tc>
        <w:tc>
          <w:tcPr>
            <w:tcW w:w="5" w:type="pct"/>
            <w:shd w:val="clear" w:color="auto" w:fill="auto"/>
            <w:vAlign w:val="bottom"/>
          </w:tcPr>
          <w:p w14:paraId="5F2CF183" w14:textId="77777777" w:rsidR="00E836FB" w:rsidRDefault="00E836FB">
            <w:pPr>
              <w:rPr>
                <w:rFonts w:ascii="宋体"/>
              </w:rPr>
            </w:pPr>
          </w:p>
        </w:tc>
        <w:tc>
          <w:tcPr>
            <w:tcW w:w="26" w:type="pct"/>
            <w:shd w:val="clear" w:color="auto" w:fill="auto"/>
            <w:vAlign w:val="bottom"/>
          </w:tcPr>
          <w:p w14:paraId="5F2CF184" w14:textId="77777777" w:rsidR="00E836FB" w:rsidRDefault="00E836FB">
            <w:pPr>
              <w:rPr>
                <w:rFonts w:ascii="宋体"/>
              </w:rPr>
            </w:pPr>
          </w:p>
        </w:tc>
        <w:tc>
          <w:tcPr>
            <w:tcW w:w="5" w:type="pct"/>
            <w:shd w:val="clear" w:color="auto" w:fill="auto"/>
            <w:vAlign w:val="bottom"/>
          </w:tcPr>
          <w:p w14:paraId="5F2CF185" w14:textId="77777777" w:rsidR="00E836FB" w:rsidRDefault="00E836FB">
            <w:pPr>
              <w:rPr>
                <w:rFonts w:ascii="宋体"/>
              </w:rPr>
            </w:pPr>
          </w:p>
        </w:tc>
        <w:tc>
          <w:tcPr>
            <w:tcW w:w="50" w:type="pct"/>
            <w:shd w:val="clear" w:color="auto" w:fill="auto"/>
            <w:vAlign w:val="bottom"/>
          </w:tcPr>
          <w:p w14:paraId="5F2CF186" w14:textId="77777777" w:rsidR="00E836FB" w:rsidRDefault="00E836FB">
            <w:pPr>
              <w:rPr>
                <w:rFonts w:ascii="宋体"/>
              </w:rPr>
            </w:pPr>
          </w:p>
        </w:tc>
        <w:tc>
          <w:tcPr>
            <w:tcW w:w="377" w:type="pct"/>
            <w:shd w:val="clear" w:color="auto" w:fill="auto"/>
            <w:vAlign w:val="bottom"/>
          </w:tcPr>
          <w:p w14:paraId="5F2CF187" w14:textId="77777777" w:rsidR="00E836FB" w:rsidRDefault="00E836FB">
            <w:pPr>
              <w:rPr>
                <w:rFonts w:ascii="宋体"/>
              </w:rPr>
            </w:pPr>
          </w:p>
        </w:tc>
        <w:tc>
          <w:tcPr>
            <w:tcW w:w="5" w:type="pct"/>
            <w:shd w:val="clear" w:color="auto" w:fill="auto"/>
            <w:vAlign w:val="bottom"/>
          </w:tcPr>
          <w:p w14:paraId="5F2CF188" w14:textId="77777777" w:rsidR="00E836FB" w:rsidRDefault="00E836FB">
            <w:pPr>
              <w:rPr>
                <w:rFonts w:ascii="宋体"/>
              </w:rPr>
            </w:pPr>
          </w:p>
        </w:tc>
        <w:tc>
          <w:tcPr>
            <w:tcW w:w="5" w:type="pct"/>
            <w:shd w:val="clear" w:color="auto" w:fill="auto"/>
            <w:vAlign w:val="bottom"/>
          </w:tcPr>
          <w:p w14:paraId="5F2CF189" w14:textId="77777777" w:rsidR="00E836FB" w:rsidRDefault="00E836FB">
            <w:pPr>
              <w:rPr>
                <w:rFonts w:ascii="宋体"/>
              </w:rPr>
            </w:pPr>
          </w:p>
        </w:tc>
        <w:tc>
          <w:tcPr>
            <w:tcW w:w="26" w:type="pct"/>
            <w:shd w:val="clear" w:color="auto" w:fill="auto"/>
            <w:vAlign w:val="bottom"/>
          </w:tcPr>
          <w:p w14:paraId="5F2CF18A" w14:textId="77777777" w:rsidR="00E836FB" w:rsidRDefault="00E836FB">
            <w:pPr>
              <w:rPr>
                <w:rFonts w:ascii="宋体"/>
              </w:rPr>
            </w:pPr>
          </w:p>
        </w:tc>
        <w:tc>
          <w:tcPr>
            <w:tcW w:w="5" w:type="pct"/>
            <w:shd w:val="clear" w:color="auto" w:fill="auto"/>
            <w:vAlign w:val="bottom"/>
          </w:tcPr>
          <w:p w14:paraId="5F2CF18B" w14:textId="77777777" w:rsidR="00E836FB" w:rsidRDefault="00E836FB">
            <w:pPr>
              <w:rPr>
                <w:rFonts w:ascii="宋体"/>
              </w:rPr>
            </w:pPr>
          </w:p>
        </w:tc>
        <w:tc>
          <w:tcPr>
            <w:tcW w:w="50" w:type="pct"/>
            <w:shd w:val="clear" w:color="auto" w:fill="auto"/>
            <w:vAlign w:val="bottom"/>
          </w:tcPr>
          <w:p w14:paraId="5F2CF18C" w14:textId="77777777" w:rsidR="00E836FB" w:rsidRDefault="00E836FB">
            <w:pPr>
              <w:rPr>
                <w:rFonts w:ascii="宋体"/>
              </w:rPr>
            </w:pPr>
          </w:p>
        </w:tc>
        <w:tc>
          <w:tcPr>
            <w:tcW w:w="318" w:type="pct"/>
            <w:shd w:val="clear" w:color="auto" w:fill="auto"/>
            <w:vAlign w:val="bottom"/>
          </w:tcPr>
          <w:p w14:paraId="5F2CF18D" w14:textId="77777777" w:rsidR="00E836FB" w:rsidRDefault="00E836FB">
            <w:pPr>
              <w:rPr>
                <w:rFonts w:ascii="宋体"/>
              </w:rPr>
            </w:pPr>
          </w:p>
        </w:tc>
        <w:tc>
          <w:tcPr>
            <w:tcW w:w="5" w:type="pct"/>
            <w:shd w:val="clear" w:color="auto" w:fill="auto"/>
            <w:vAlign w:val="bottom"/>
          </w:tcPr>
          <w:p w14:paraId="5F2CF18E" w14:textId="77777777" w:rsidR="00E836FB" w:rsidRDefault="00E836FB">
            <w:pPr>
              <w:rPr>
                <w:rFonts w:ascii="宋体"/>
              </w:rPr>
            </w:pPr>
          </w:p>
        </w:tc>
        <w:tc>
          <w:tcPr>
            <w:tcW w:w="5" w:type="pct"/>
            <w:shd w:val="clear" w:color="auto" w:fill="auto"/>
            <w:vAlign w:val="bottom"/>
          </w:tcPr>
          <w:p w14:paraId="5F2CF18F" w14:textId="77777777" w:rsidR="00E836FB" w:rsidRDefault="00E836FB">
            <w:pPr>
              <w:rPr>
                <w:rFonts w:ascii="宋体"/>
              </w:rPr>
            </w:pPr>
          </w:p>
        </w:tc>
        <w:tc>
          <w:tcPr>
            <w:tcW w:w="26" w:type="pct"/>
            <w:shd w:val="clear" w:color="auto" w:fill="auto"/>
            <w:vAlign w:val="bottom"/>
          </w:tcPr>
          <w:p w14:paraId="5F2CF190" w14:textId="77777777" w:rsidR="00E836FB" w:rsidRDefault="00E836FB">
            <w:pPr>
              <w:rPr>
                <w:rFonts w:ascii="宋体"/>
              </w:rPr>
            </w:pPr>
          </w:p>
        </w:tc>
        <w:tc>
          <w:tcPr>
            <w:tcW w:w="5" w:type="pct"/>
            <w:shd w:val="clear" w:color="auto" w:fill="auto"/>
            <w:vAlign w:val="bottom"/>
          </w:tcPr>
          <w:p w14:paraId="5F2CF191" w14:textId="77777777" w:rsidR="00E836FB" w:rsidRDefault="00E836FB">
            <w:pPr>
              <w:rPr>
                <w:rFonts w:ascii="宋体"/>
              </w:rPr>
            </w:pPr>
          </w:p>
        </w:tc>
        <w:tc>
          <w:tcPr>
            <w:tcW w:w="50" w:type="pct"/>
            <w:shd w:val="clear" w:color="auto" w:fill="auto"/>
            <w:vAlign w:val="bottom"/>
          </w:tcPr>
          <w:p w14:paraId="5F2CF192" w14:textId="77777777" w:rsidR="00E836FB" w:rsidRDefault="00E836FB">
            <w:pPr>
              <w:rPr>
                <w:rFonts w:ascii="宋体"/>
              </w:rPr>
            </w:pPr>
          </w:p>
        </w:tc>
        <w:tc>
          <w:tcPr>
            <w:tcW w:w="297" w:type="pct"/>
            <w:shd w:val="clear" w:color="auto" w:fill="auto"/>
            <w:vAlign w:val="bottom"/>
          </w:tcPr>
          <w:p w14:paraId="5F2CF193" w14:textId="77777777" w:rsidR="00E836FB" w:rsidRDefault="00E836FB">
            <w:pPr>
              <w:rPr>
                <w:rFonts w:ascii="宋体"/>
              </w:rPr>
            </w:pPr>
          </w:p>
        </w:tc>
        <w:tc>
          <w:tcPr>
            <w:tcW w:w="5" w:type="pct"/>
            <w:shd w:val="clear" w:color="auto" w:fill="auto"/>
            <w:vAlign w:val="bottom"/>
          </w:tcPr>
          <w:p w14:paraId="5F2CF194" w14:textId="77777777" w:rsidR="00E836FB" w:rsidRDefault="00E836FB">
            <w:pPr>
              <w:rPr>
                <w:rFonts w:ascii="宋体"/>
              </w:rPr>
            </w:pPr>
          </w:p>
        </w:tc>
      </w:tr>
      <w:tr w:rsidR="00E836FB" w14:paraId="5F2CF1A9"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5F2CF196" w14:textId="77777777" w:rsidR="00E836FB" w:rsidRDefault="00994958">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5F2CF197" w14:textId="77777777" w:rsidR="00E836FB" w:rsidRDefault="00994958">
            <w:pPr>
              <w:jc w:val="center"/>
              <w:textAlignment w:val="bottom"/>
            </w:pPr>
            <w:r>
              <w:rPr>
                <w:rFonts w:ascii="Arial" w:eastAsia="宋体" w:hAnsi="Arial" w:cs="Arial"/>
                <w:b/>
                <w:bCs/>
                <w:color w:val="000000"/>
                <w:sz w:val="14"/>
                <w:szCs w:val="14"/>
              </w:rPr>
              <w:t>Preferred</w:t>
            </w:r>
          </w:p>
          <w:p w14:paraId="5F2CF198" w14:textId="77777777" w:rsidR="00E836FB" w:rsidRDefault="00994958">
            <w:pP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vAlign w:val="bottom"/>
          </w:tcPr>
          <w:p w14:paraId="5F2CF199"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F19A" w14:textId="77777777" w:rsidR="00E836FB" w:rsidRDefault="00994958">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14:paraId="5F2CF19B"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F19C" w14:textId="77777777" w:rsidR="00E836FB" w:rsidRDefault="00994958">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vAlign w:val="bottom"/>
          </w:tcPr>
          <w:p w14:paraId="5F2CF19D"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F19E" w14:textId="77777777" w:rsidR="00E836FB" w:rsidRDefault="00994958">
            <w:pPr>
              <w:jc w:val="center"/>
              <w:textAlignment w:val="bottom"/>
            </w:pPr>
            <w:r>
              <w:rPr>
                <w:rFonts w:ascii="Arial" w:eastAsia="宋体" w:hAnsi="Arial" w:cs="Arial"/>
                <w:b/>
                <w:bCs/>
                <w:color w:val="000000"/>
                <w:sz w:val="14"/>
                <w:szCs w:val="14"/>
              </w:rPr>
              <w:t>Retained</w:t>
            </w:r>
          </w:p>
          <w:p w14:paraId="5F2CF19F" w14:textId="77777777" w:rsidR="00E836FB" w:rsidRDefault="00994958">
            <w:pP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14:paraId="5F2CF1A0"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F1A1" w14:textId="77777777" w:rsidR="00E836FB" w:rsidRDefault="00994958">
            <w:pPr>
              <w:jc w:val="center"/>
              <w:textAlignment w:val="bottom"/>
            </w:pPr>
            <w:r>
              <w:rPr>
                <w:rFonts w:ascii="Arial" w:eastAsia="宋体" w:hAnsi="Arial" w:cs="Arial"/>
                <w:b/>
                <w:bCs/>
                <w:color w:val="000000"/>
                <w:sz w:val="14"/>
                <w:szCs w:val="14"/>
              </w:rPr>
              <w:t>Accumulated</w:t>
            </w:r>
          </w:p>
          <w:p w14:paraId="5F2CF1A2" w14:textId="77777777" w:rsidR="00E836FB" w:rsidRDefault="00994958">
            <w:pPr>
              <w:jc w:val="center"/>
              <w:textAlignment w:val="bottom"/>
            </w:pPr>
            <w:r>
              <w:rPr>
                <w:rFonts w:ascii="Arial" w:eastAsia="宋体" w:hAnsi="Arial" w:cs="Arial"/>
                <w:b/>
                <w:bCs/>
                <w:color w:val="000000"/>
                <w:sz w:val="14"/>
                <w:szCs w:val="14"/>
              </w:rPr>
              <w:t>Other</w:t>
            </w:r>
          </w:p>
          <w:p w14:paraId="5F2CF1A3" w14:textId="77777777" w:rsidR="00E836FB" w:rsidRDefault="00994958">
            <w:pPr>
              <w:jc w:val="center"/>
              <w:textAlignment w:val="bottom"/>
            </w:pPr>
            <w:r>
              <w:rPr>
                <w:rFonts w:ascii="Arial" w:eastAsia="宋体" w:hAnsi="Arial" w:cs="Arial"/>
                <w:b/>
                <w:bCs/>
                <w:color w:val="000000"/>
                <w:sz w:val="14"/>
                <w:szCs w:val="14"/>
              </w:rPr>
              <w:t>Comprehensive</w:t>
            </w:r>
          </w:p>
          <w:p w14:paraId="5F2CF1A4" w14:textId="77777777" w:rsidR="00E836FB" w:rsidRDefault="00994958">
            <w:pP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vAlign w:val="bottom"/>
          </w:tcPr>
          <w:p w14:paraId="5F2CF1A5"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CF1A6" w14:textId="77777777" w:rsidR="00E836FB" w:rsidRDefault="00994958">
            <w:pPr>
              <w:jc w:val="center"/>
              <w:textAlignment w:val="bottom"/>
            </w:pPr>
            <w:r>
              <w:rPr>
                <w:rFonts w:ascii="Arial" w:eastAsia="宋体" w:hAnsi="Arial" w:cs="Arial"/>
                <w:b/>
                <w:bCs/>
                <w:color w:val="000000"/>
                <w:sz w:val="14"/>
                <w:szCs w:val="14"/>
              </w:rPr>
              <w:t>Treasury Stock</w:t>
            </w:r>
          </w:p>
        </w:tc>
        <w:tc>
          <w:tcPr>
            <w:tcW w:w="0" w:type="auto"/>
            <w:gridSpan w:val="3"/>
            <w:shd w:val="clear" w:color="auto" w:fill="auto"/>
            <w:tcMar>
              <w:top w:w="0" w:type="dxa"/>
              <w:left w:w="20" w:type="dxa"/>
              <w:bottom w:w="0" w:type="dxa"/>
              <w:right w:w="20" w:type="dxa"/>
            </w:tcMar>
            <w:vAlign w:val="bottom"/>
          </w:tcPr>
          <w:p w14:paraId="5F2CF1A7"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CF1A8"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CF1BC" w14:textId="77777777">
        <w:trPr>
          <w:trHeight w:val="520"/>
        </w:trPr>
        <w:tc>
          <w:tcPr>
            <w:tcW w:w="0" w:type="auto"/>
            <w:gridSpan w:val="3"/>
            <w:vMerge/>
            <w:shd w:val="clear" w:color="auto" w:fill="auto"/>
            <w:tcMar>
              <w:top w:w="40" w:type="dxa"/>
              <w:left w:w="20" w:type="dxa"/>
              <w:bottom w:w="40" w:type="dxa"/>
              <w:right w:w="20" w:type="dxa"/>
            </w:tcMar>
            <w:vAlign w:val="bottom"/>
          </w:tcPr>
          <w:p w14:paraId="5F2CF1AA"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F1AB" w14:textId="77777777" w:rsidR="00E836FB" w:rsidRDefault="00E836FB">
            <w:pPr>
              <w:rPr>
                <w:rFonts w:ascii="宋体"/>
              </w:rPr>
            </w:pPr>
          </w:p>
        </w:tc>
        <w:tc>
          <w:tcPr>
            <w:tcW w:w="0" w:type="auto"/>
            <w:gridSpan w:val="3"/>
            <w:vMerge/>
            <w:shd w:val="clear" w:color="auto" w:fill="auto"/>
            <w:tcMar>
              <w:top w:w="0" w:type="dxa"/>
              <w:left w:w="20" w:type="dxa"/>
              <w:bottom w:w="0" w:type="dxa"/>
              <w:right w:w="20" w:type="dxa"/>
            </w:tcMar>
            <w:vAlign w:val="bottom"/>
          </w:tcPr>
          <w:p w14:paraId="5F2CF1A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1AD" w14:textId="77777777" w:rsidR="00E836FB" w:rsidRDefault="00994958">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1A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1AF" w14:textId="77777777" w:rsidR="00E836FB" w:rsidRDefault="00994958">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5F2CF1B0"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F1B1"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CF1B2"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F1B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1B4"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F1B5" w14:textId="77777777" w:rsidR="00E836FB" w:rsidRDefault="00E836FB">
            <w:pPr>
              <w:rPr>
                <w:rFonts w:ascii="宋体"/>
              </w:rPr>
            </w:pPr>
          </w:p>
        </w:tc>
        <w:tc>
          <w:tcPr>
            <w:tcW w:w="0" w:type="auto"/>
            <w:gridSpan w:val="3"/>
            <w:vMerge/>
            <w:shd w:val="clear" w:color="auto" w:fill="auto"/>
            <w:tcMar>
              <w:top w:w="0" w:type="dxa"/>
              <w:left w:w="20" w:type="dxa"/>
              <w:bottom w:w="0" w:type="dxa"/>
              <w:right w:w="20" w:type="dxa"/>
            </w:tcMar>
            <w:vAlign w:val="bottom"/>
          </w:tcPr>
          <w:p w14:paraId="5F2CF1B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1B7" w14:textId="77777777" w:rsidR="00E836FB" w:rsidRDefault="00994958">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1B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1B9" w14:textId="77777777" w:rsidR="00E836FB" w:rsidRDefault="00994958">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5F2CF1BA"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CF1BB" w14:textId="77777777" w:rsidR="00E836FB" w:rsidRDefault="00E836FB">
            <w:pPr>
              <w:jc w:val="center"/>
              <w:rPr>
                <w:rFonts w:ascii="宋体"/>
              </w:rPr>
            </w:pPr>
          </w:p>
        </w:tc>
      </w:tr>
      <w:tr w:rsidR="00E836FB" w14:paraId="5F2CF1CF" w14:textId="77777777">
        <w:trPr>
          <w:hidden/>
        </w:trPr>
        <w:tc>
          <w:tcPr>
            <w:tcW w:w="0" w:type="auto"/>
            <w:gridSpan w:val="3"/>
            <w:shd w:val="clear" w:color="auto" w:fill="auto"/>
            <w:vAlign w:val="bottom"/>
          </w:tcPr>
          <w:p w14:paraId="5F2CF1BD" w14:textId="77777777" w:rsidR="00E836FB" w:rsidRDefault="00E836FB">
            <w:pPr>
              <w:rPr>
                <w:rFonts w:ascii="宋体"/>
                <w:vanish/>
              </w:rPr>
            </w:pPr>
          </w:p>
        </w:tc>
        <w:tc>
          <w:tcPr>
            <w:tcW w:w="0" w:type="auto"/>
            <w:gridSpan w:val="3"/>
            <w:shd w:val="clear" w:color="auto" w:fill="auto"/>
            <w:vAlign w:val="bottom"/>
          </w:tcPr>
          <w:p w14:paraId="5F2CF1BE" w14:textId="77777777" w:rsidR="00E836FB" w:rsidRDefault="00E836FB">
            <w:pPr>
              <w:rPr>
                <w:rFonts w:ascii="宋体"/>
                <w:vanish/>
              </w:rPr>
            </w:pPr>
          </w:p>
        </w:tc>
        <w:tc>
          <w:tcPr>
            <w:tcW w:w="0" w:type="auto"/>
            <w:gridSpan w:val="3"/>
            <w:shd w:val="clear" w:color="auto" w:fill="auto"/>
            <w:vAlign w:val="bottom"/>
          </w:tcPr>
          <w:p w14:paraId="5F2CF1BF" w14:textId="77777777" w:rsidR="00E836FB" w:rsidRDefault="00E836FB">
            <w:pPr>
              <w:rPr>
                <w:rFonts w:ascii="宋体"/>
                <w:vanish/>
              </w:rPr>
            </w:pPr>
          </w:p>
        </w:tc>
        <w:tc>
          <w:tcPr>
            <w:tcW w:w="0" w:type="auto"/>
            <w:gridSpan w:val="3"/>
            <w:shd w:val="clear" w:color="auto" w:fill="auto"/>
            <w:vAlign w:val="bottom"/>
          </w:tcPr>
          <w:p w14:paraId="5F2CF1C0" w14:textId="77777777" w:rsidR="00E836FB" w:rsidRDefault="00E836FB">
            <w:pPr>
              <w:rPr>
                <w:rFonts w:ascii="宋体"/>
                <w:vanish/>
              </w:rPr>
            </w:pPr>
          </w:p>
        </w:tc>
        <w:tc>
          <w:tcPr>
            <w:tcW w:w="0" w:type="auto"/>
            <w:gridSpan w:val="3"/>
            <w:shd w:val="clear" w:color="auto" w:fill="auto"/>
            <w:vAlign w:val="bottom"/>
          </w:tcPr>
          <w:p w14:paraId="5F2CF1C1" w14:textId="77777777" w:rsidR="00E836FB" w:rsidRDefault="00E836FB">
            <w:pPr>
              <w:rPr>
                <w:rFonts w:ascii="宋体"/>
                <w:vanish/>
              </w:rPr>
            </w:pPr>
          </w:p>
        </w:tc>
        <w:tc>
          <w:tcPr>
            <w:tcW w:w="0" w:type="auto"/>
            <w:gridSpan w:val="3"/>
            <w:shd w:val="clear" w:color="auto" w:fill="auto"/>
            <w:vAlign w:val="bottom"/>
          </w:tcPr>
          <w:p w14:paraId="5F2CF1C2" w14:textId="77777777" w:rsidR="00E836FB" w:rsidRDefault="00E836FB">
            <w:pPr>
              <w:rPr>
                <w:rFonts w:ascii="宋体"/>
                <w:vanish/>
              </w:rPr>
            </w:pPr>
          </w:p>
        </w:tc>
        <w:tc>
          <w:tcPr>
            <w:tcW w:w="0" w:type="auto"/>
            <w:gridSpan w:val="3"/>
            <w:shd w:val="clear" w:color="auto" w:fill="auto"/>
            <w:vAlign w:val="bottom"/>
          </w:tcPr>
          <w:p w14:paraId="5F2CF1C3" w14:textId="77777777" w:rsidR="00E836FB" w:rsidRDefault="00E836FB">
            <w:pPr>
              <w:rPr>
                <w:rFonts w:ascii="宋体"/>
                <w:vanish/>
              </w:rPr>
            </w:pPr>
          </w:p>
        </w:tc>
        <w:tc>
          <w:tcPr>
            <w:tcW w:w="0" w:type="auto"/>
            <w:gridSpan w:val="3"/>
            <w:shd w:val="clear" w:color="auto" w:fill="auto"/>
            <w:vAlign w:val="bottom"/>
          </w:tcPr>
          <w:p w14:paraId="5F2CF1C4" w14:textId="77777777" w:rsidR="00E836FB" w:rsidRDefault="00E836FB">
            <w:pPr>
              <w:rPr>
                <w:rFonts w:ascii="宋体"/>
                <w:vanish/>
              </w:rPr>
            </w:pPr>
          </w:p>
        </w:tc>
        <w:tc>
          <w:tcPr>
            <w:tcW w:w="0" w:type="auto"/>
            <w:gridSpan w:val="3"/>
            <w:shd w:val="clear" w:color="auto" w:fill="auto"/>
            <w:vAlign w:val="bottom"/>
          </w:tcPr>
          <w:p w14:paraId="5F2CF1C5" w14:textId="77777777" w:rsidR="00E836FB" w:rsidRDefault="00E836FB">
            <w:pPr>
              <w:rPr>
                <w:rFonts w:ascii="宋体"/>
                <w:vanish/>
              </w:rPr>
            </w:pPr>
          </w:p>
        </w:tc>
        <w:tc>
          <w:tcPr>
            <w:tcW w:w="0" w:type="auto"/>
            <w:gridSpan w:val="3"/>
            <w:shd w:val="clear" w:color="auto" w:fill="auto"/>
            <w:vAlign w:val="bottom"/>
          </w:tcPr>
          <w:p w14:paraId="5F2CF1C6" w14:textId="77777777" w:rsidR="00E836FB" w:rsidRDefault="00E836FB">
            <w:pPr>
              <w:rPr>
                <w:rFonts w:ascii="宋体"/>
                <w:vanish/>
              </w:rPr>
            </w:pPr>
          </w:p>
        </w:tc>
        <w:tc>
          <w:tcPr>
            <w:tcW w:w="0" w:type="auto"/>
            <w:gridSpan w:val="3"/>
            <w:shd w:val="clear" w:color="auto" w:fill="auto"/>
            <w:vAlign w:val="bottom"/>
          </w:tcPr>
          <w:p w14:paraId="5F2CF1C7" w14:textId="77777777" w:rsidR="00E836FB" w:rsidRDefault="00E836FB">
            <w:pPr>
              <w:rPr>
                <w:rFonts w:ascii="宋体"/>
                <w:vanish/>
              </w:rPr>
            </w:pPr>
          </w:p>
        </w:tc>
        <w:tc>
          <w:tcPr>
            <w:tcW w:w="0" w:type="auto"/>
            <w:gridSpan w:val="3"/>
            <w:shd w:val="clear" w:color="auto" w:fill="auto"/>
            <w:vAlign w:val="bottom"/>
          </w:tcPr>
          <w:p w14:paraId="5F2CF1C8" w14:textId="77777777" w:rsidR="00E836FB" w:rsidRDefault="00E836FB">
            <w:pPr>
              <w:rPr>
                <w:rFonts w:ascii="宋体"/>
                <w:vanish/>
              </w:rPr>
            </w:pPr>
          </w:p>
        </w:tc>
        <w:tc>
          <w:tcPr>
            <w:tcW w:w="0" w:type="auto"/>
            <w:gridSpan w:val="3"/>
            <w:shd w:val="clear" w:color="auto" w:fill="auto"/>
            <w:vAlign w:val="bottom"/>
          </w:tcPr>
          <w:p w14:paraId="5F2CF1C9" w14:textId="77777777" w:rsidR="00E836FB" w:rsidRDefault="00E836FB">
            <w:pPr>
              <w:rPr>
                <w:rFonts w:ascii="宋体"/>
                <w:vanish/>
              </w:rPr>
            </w:pPr>
          </w:p>
        </w:tc>
        <w:tc>
          <w:tcPr>
            <w:tcW w:w="0" w:type="auto"/>
            <w:gridSpan w:val="3"/>
            <w:shd w:val="clear" w:color="auto" w:fill="auto"/>
            <w:vAlign w:val="bottom"/>
          </w:tcPr>
          <w:p w14:paraId="5F2CF1CA" w14:textId="77777777" w:rsidR="00E836FB" w:rsidRDefault="00E836FB">
            <w:pPr>
              <w:rPr>
                <w:rFonts w:ascii="宋体"/>
                <w:vanish/>
              </w:rPr>
            </w:pPr>
          </w:p>
        </w:tc>
        <w:tc>
          <w:tcPr>
            <w:tcW w:w="0" w:type="auto"/>
            <w:gridSpan w:val="3"/>
            <w:shd w:val="clear" w:color="auto" w:fill="auto"/>
            <w:vAlign w:val="bottom"/>
          </w:tcPr>
          <w:p w14:paraId="5F2CF1CB" w14:textId="77777777" w:rsidR="00E836FB" w:rsidRDefault="00E836FB">
            <w:pPr>
              <w:rPr>
                <w:rFonts w:ascii="宋体"/>
                <w:vanish/>
              </w:rPr>
            </w:pPr>
          </w:p>
        </w:tc>
        <w:tc>
          <w:tcPr>
            <w:tcW w:w="0" w:type="auto"/>
            <w:gridSpan w:val="3"/>
            <w:shd w:val="clear" w:color="auto" w:fill="auto"/>
            <w:vAlign w:val="bottom"/>
          </w:tcPr>
          <w:p w14:paraId="5F2CF1CC" w14:textId="77777777" w:rsidR="00E836FB" w:rsidRDefault="00E836FB">
            <w:pPr>
              <w:rPr>
                <w:rFonts w:ascii="宋体"/>
                <w:vanish/>
              </w:rPr>
            </w:pPr>
          </w:p>
        </w:tc>
        <w:tc>
          <w:tcPr>
            <w:tcW w:w="0" w:type="auto"/>
            <w:gridSpan w:val="3"/>
            <w:shd w:val="clear" w:color="auto" w:fill="auto"/>
            <w:vAlign w:val="bottom"/>
          </w:tcPr>
          <w:p w14:paraId="5F2CF1CD" w14:textId="77777777" w:rsidR="00E836FB" w:rsidRDefault="00E836FB">
            <w:pPr>
              <w:rPr>
                <w:rFonts w:ascii="宋体"/>
                <w:vanish/>
              </w:rPr>
            </w:pPr>
          </w:p>
        </w:tc>
        <w:tc>
          <w:tcPr>
            <w:tcW w:w="0" w:type="auto"/>
            <w:gridSpan w:val="3"/>
            <w:shd w:val="clear" w:color="auto" w:fill="auto"/>
            <w:vAlign w:val="bottom"/>
          </w:tcPr>
          <w:p w14:paraId="5F2CF1CE" w14:textId="77777777" w:rsidR="00E836FB" w:rsidRDefault="00E836FB">
            <w:pPr>
              <w:rPr>
                <w:rFonts w:ascii="宋体"/>
                <w:vanish/>
              </w:rPr>
            </w:pPr>
          </w:p>
        </w:tc>
      </w:tr>
      <w:tr w:rsidR="00E836FB" w14:paraId="5F2CF1E2" w14:textId="77777777">
        <w:trPr>
          <w:hidden/>
        </w:trPr>
        <w:tc>
          <w:tcPr>
            <w:tcW w:w="0" w:type="auto"/>
            <w:gridSpan w:val="3"/>
            <w:shd w:val="clear" w:color="auto" w:fill="auto"/>
            <w:vAlign w:val="bottom"/>
          </w:tcPr>
          <w:p w14:paraId="5F2CF1D0" w14:textId="77777777" w:rsidR="00E836FB" w:rsidRDefault="00E836FB">
            <w:pPr>
              <w:rPr>
                <w:rFonts w:ascii="宋体"/>
                <w:vanish/>
              </w:rPr>
            </w:pPr>
          </w:p>
        </w:tc>
        <w:tc>
          <w:tcPr>
            <w:tcW w:w="0" w:type="auto"/>
            <w:gridSpan w:val="3"/>
            <w:shd w:val="clear" w:color="auto" w:fill="auto"/>
            <w:vAlign w:val="bottom"/>
          </w:tcPr>
          <w:p w14:paraId="5F2CF1D1" w14:textId="77777777" w:rsidR="00E836FB" w:rsidRDefault="00E836FB">
            <w:pPr>
              <w:rPr>
                <w:rFonts w:ascii="宋体"/>
                <w:vanish/>
              </w:rPr>
            </w:pPr>
          </w:p>
        </w:tc>
        <w:tc>
          <w:tcPr>
            <w:tcW w:w="0" w:type="auto"/>
            <w:gridSpan w:val="3"/>
            <w:shd w:val="clear" w:color="auto" w:fill="auto"/>
            <w:vAlign w:val="bottom"/>
          </w:tcPr>
          <w:p w14:paraId="5F2CF1D2" w14:textId="77777777" w:rsidR="00E836FB" w:rsidRDefault="00E836FB">
            <w:pPr>
              <w:rPr>
                <w:rFonts w:ascii="宋体"/>
                <w:vanish/>
              </w:rPr>
            </w:pPr>
          </w:p>
        </w:tc>
        <w:tc>
          <w:tcPr>
            <w:tcW w:w="0" w:type="auto"/>
            <w:gridSpan w:val="3"/>
            <w:shd w:val="clear" w:color="auto" w:fill="auto"/>
            <w:vAlign w:val="bottom"/>
          </w:tcPr>
          <w:p w14:paraId="5F2CF1D3" w14:textId="77777777" w:rsidR="00E836FB" w:rsidRDefault="00E836FB">
            <w:pPr>
              <w:rPr>
                <w:rFonts w:ascii="宋体"/>
                <w:vanish/>
              </w:rPr>
            </w:pPr>
          </w:p>
        </w:tc>
        <w:tc>
          <w:tcPr>
            <w:tcW w:w="0" w:type="auto"/>
            <w:gridSpan w:val="3"/>
            <w:shd w:val="clear" w:color="auto" w:fill="auto"/>
            <w:vAlign w:val="bottom"/>
          </w:tcPr>
          <w:p w14:paraId="5F2CF1D4" w14:textId="77777777" w:rsidR="00E836FB" w:rsidRDefault="00E836FB">
            <w:pPr>
              <w:rPr>
                <w:rFonts w:ascii="宋体"/>
                <w:vanish/>
              </w:rPr>
            </w:pPr>
          </w:p>
        </w:tc>
        <w:tc>
          <w:tcPr>
            <w:tcW w:w="0" w:type="auto"/>
            <w:gridSpan w:val="3"/>
            <w:shd w:val="clear" w:color="auto" w:fill="auto"/>
            <w:vAlign w:val="bottom"/>
          </w:tcPr>
          <w:p w14:paraId="5F2CF1D5" w14:textId="77777777" w:rsidR="00E836FB" w:rsidRDefault="00E836FB">
            <w:pPr>
              <w:rPr>
                <w:rFonts w:ascii="宋体"/>
                <w:vanish/>
              </w:rPr>
            </w:pPr>
          </w:p>
        </w:tc>
        <w:tc>
          <w:tcPr>
            <w:tcW w:w="0" w:type="auto"/>
            <w:gridSpan w:val="3"/>
            <w:shd w:val="clear" w:color="auto" w:fill="auto"/>
            <w:vAlign w:val="bottom"/>
          </w:tcPr>
          <w:p w14:paraId="5F2CF1D6" w14:textId="77777777" w:rsidR="00E836FB" w:rsidRDefault="00E836FB">
            <w:pPr>
              <w:rPr>
                <w:rFonts w:ascii="宋体"/>
                <w:vanish/>
              </w:rPr>
            </w:pPr>
          </w:p>
        </w:tc>
        <w:tc>
          <w:tcPr>
            <w:tcW w:w="0" w:type="auto"/>
            <w:gridSpan w:val="3"/>
            <w:shd w:val="clear" w:color="auto" w:fill="auto"/>
            <w:vAlign w:val="bottom"/>
          </w:tcPr>
          <w:p w14:paraId="5F2CF1D7" w14:textId="77777777" w:rsidR="00E836FB" w:rsidRDefault="00E836FB">
            <w:pPr>
              <w:rPr>
                <w:rFonts w:ascii="宋体"/>
                <w:vanish/>
              </w:rPr>
            </w:pPr>
          </w:p>
        </w:tc>
        <w:tc>
          <w:tcPr>
            <w:tcW w:w="0" w:type="auto"/>
            <w:gridSpan w:val="3"/>
            <w:shd w:val="clear" w:color="auto" w:fill="auto"/>
            <w:vAlign w:val="bottom"/>
          </w:tcPr>
          <w:p w14:paraId="5F2CF1D8" w14:textId="77777777" w:rsidR="00E836FB" w:rsidRDefault="00E836FB">
            <w:pPr>
              <w:rPr>
                <w:rFonts w:ascii="宋体"/>
                <w:vanish/>
              </w:rPr>
            </w:pPr>
          </w:p>
        </w:tc>
        <w:tc>
          <w:tcPr>
            <w:tcW w:w="0" w:type="auto"/>
            <w:gridSpan w:val="3"/>
            <w:shd w:val="clear" w:color="auto" w:fill="auto"/>
            <w:vAlign w:val="bottom"/>
          </w:tcPr>
          <w:p w14:paraId="5F2CF1D9" w14:textId="77777777" w:rsidR="00E836FB" w:rsidRDefault="00E836FB">
            <w:pPr>
              <w:rPr>
                <w:rFonts w:ascii="宋体"/>
                <w:vanish/>
              </w:rPr>
            </w:pPr>
          </w:p>
        </w:tc>
        <w:tc>
          <w:tcPr>
            <w:tcW w:w="0" w:type="auto"/>
            <w:gridSpan w:val="3"/>
            <w:shd w:val="clear" w:color="auto" w:fill="auto"/>
            <w:vAlign w:val="bottom"/>
          </w:tcPr>
          <w:p w14:paraId="5F2CF1DA" w14:textId="77777777" w:rsidR="00E836FB" w:rsidRDefault="00E836FB">
            <w:pPr>
              <w:rPr>
                <w:rFonts w:ascii="宋体"/>
                <w:vanish/>
              </w:rPr>
            </w:pPr>
          </w:p>
        </w:tc>
        <w:tc>
          <w:tcPr>
            <w:tcW w:w="0" w:type="auto"/>
            <w:gridSpan w:val="3"/>
            <w:shd w:val="clear" w:color="auto" w:fill="auto"/>
            <w:vAlign w:val="bottom"/>
          </w:tcPr>
          <w:p w14:paraId="5F2CF1DB" w14:textId="77777777" w:rsidR="00E836FB" w:rsidRDefault="00E836FB">
            <w:pPr>
              <w:rPr>
                <w:rFonts w:ascii="宋体"/>
                <w:vanish/>
              </w:rPr>
            </w:pPr>
          </w:p>
        </w:tc>
        <w:tc>
          <w:tcPr>
            <w:tcW w:w="0" w:type="auto"/>
            <w:gridSpan w:val="3"/>
            <w:shd w:val="clear" w:color="auto" w:fill="auto"/>
            <w:vAlign w:val="bottom"/>
          </w:tcPr>
          <w:p w14:paraId="5F2CF1DC" w14:textId="77777777" w:rsidR="00E836FB" w:rsidRDefault="00E836FB">
            <w:pPr>
              <w:rPr>
                <w:rFonts w:ascii="宋体"/>
                <w:vanish/>
              </w:rPr>
            </w:pPr>
          </w:p>
        </w:tc>
        <w:tc>
          <w:tcPr>
            <w:tcW w:w="0" w:type="auto"/>
            <w:gridSpan w:val="3"/>
            <w:shd w:val="clear" w:color="auto" w:fill="auto"/>
            <w:vAlign w:val="bottom"/>
          </w:tcPr>
          <w:p w14:paraId="5F2CF1DD" w14:textId="77777777" w:rsidR="00E836FB" w:rsidRDefault="00E836FB">
            <w:pPr>
              <w:rPr>
                <w:rFonts w:ascii="宋体"/>
                <w:vanish/>
              </w:rPr>
            </w:pPr>
          </w:p>
        </w:tc>
        <w:tc>
          <w:tcPr>
            <w:tcW w:w="0" w:type="auto"/>
            <w:gridSpan w:val="3"/>
            <w:shd w:val="clear" w:color="auto" w:fill="auto"/>
            <w:vAlign w:val="bottom"/>
          </w:tcPr>
          <w:p w14:paraId="5F2CF1DE" w14:textId="77777777" w:rsidR="00E836FB" w:rsidRDefault="00E836FB">
            <w:pPr>
              <w:rPr>
                <w:rFonts w:ascii="宋体"/>
                <w:vanish/>
              </w:rPr>
            </w:pPr>
          </w:p>
        </w:tc>
        <w:tc>
          <w:tcPr>
            <w:tcW w:w="0" w:type="auto"/>
            <w:gridSpan w:val="3"/>
            <w:shd w:val="clear" w:color="auto" w:fill="auto"/>
            <w:vAlign w:val="bottom"/>
          </w:tcPr>
          <w:p w14:paraId="5F2CF1DF" w14:textId="77777777" w:rsidR="00E836FB" w:rsidRDefault="00E836FB">
            <w:pPr>
              <w:rPr>
                <w:rFonts w:ascii="宋体"/>
                <w:vanish/>
              </w:rPr>
            </w:pPr>
          </w:p>
        </w:tc>
        <w:tc>
          <w:tcPr>
            <w:tcW w:w="0" w:type="auto"/>
            <w:gridSpan w:val="3"/>
            <w:shd w:val="clear" w:color="auto" w:fill="auto"/>
            <w:vAlign w:val="bottom"/>
          </w:tcPr>
          <w:p w14:paraId="5F2CF1E0" w14:textId="77777777" w:rsidR="00E836FB" w:rsidRDefault="00E836FB">
            <w:pPr>
              <w:rPr>
                <w:rFonts w:ascii="宋体"/>
                <w:vanish/>
              </w:rPr>
            </w:pPr>
          </w:p>
        </w:tc>
        <w:tc>
          <w:tcPr>
            <w:tcW w:w="0" w:type="auto"/>
            <w:gridSpan w:val="3"/>
            <w:shd w:val="clear" w:color="auto" w:fill="auto"/>
            <w:vAlign w:val="bottom"/>
          </w:tcPr>
          <w:p w14:paraId="5F2CF1E1" w14:textId="77777777" w:rsidR="00E836FB" w:rsidRDefault="00E836FB">
            <w:pPr>
              <w:rPr>
                <w:rFonts w:ascii="宋体"/>
                <w:vanish/>
              </w:rPr>
            </w:pPr>
          </w:p>
        </w:tc>
      </w:tr>
      <w:tr w:rsidR="00E836FB" w14:paraId="5F2CF1F5" w14:textId="77777777">
        <w:trPr>
          <w:hidden/>
        </w:trPr>
        <w:tc>
          <w:tcPr>
            <w:tcW w:w="0" w:type="auto"/>
            <w:gridSpan w:val="3"/>
            <w:shd w:val="clear" w:color="auto" w:fill="auto"/>
            <w:vAlign w:val="bottom"/>
          </w:tcPr>
          <w:p w14:paraId="5F2CF1E3" w14:textId="77777777" w:rsidR="00E836FB" w:rsidRDefault="00E836FB">
            <w:pPr>
              <w:rPr>
                <w:rFonts w:ascii="宋体"/>
                <w:vanish/>
              </w:rPr>
            </w:pPr>
          </w:p>
        </w:tc>
        <w:tc>
          <w:tcPr>
            <w:tcW w:w="0" w:type="auto"/>
            <w:gridSpan w:val="3"/>
            <w:shd w:val="clear" w:color="auto" w:fill="auto"/>
            <w:vAlign w:val="bottom"/>
          </w:tcPr>
          <w:p w14:paraId="5F2CF1E4" w14:textId="77777777" w:rsidR="00E836FB" w:rsidRDefault="00E836FB">
            <w:pPr>
              <w:rPr>
                <w:rFonts w:ascii="宋体"/>
                <w:vanish/>
              </w:rPr>
            </w:pPr>
          </w:p>
        </w:tc>
        <w:tc>
          <w:tcPr>
            <w:tcW w:w="0" w:type="auto"/>
            <w:gridSpan w:val="3"/>
            <w:shd w:val="clear" w:color="auto" w:fill="auto"/>
            <w:vAlign w:val="bottom"/>
          </w:tcPr>
          <w:p w14:paraId="5F2CF1E5" w14:textId="77777777" w:rsidR="00E836FB" w:rsidRDefault="00E836FB">
            <w:pPr>
              <w:rPr>
                <w:rFonts w:ascii="宋体"/>
                <w:vanish/>
              </w:rPr>
            </w:pPr>
          </w:p>
        </w:tc>
        <w:tc>
          <w:tcPr>
            <w:tcW w:w="0" w:type="auto"/>
            <w:gridSpan w:val="3"/>
            <w:shd w:val="clear" w:color="auto" w:fill="auto"/>
            <w:vAlign w:val="bottom"/>
          </w:tcPr>
          <w:p w14:paraId="5F2CF1E6" w14:textId="77777777" w:rsidR="00E836FB" w:rsidRDefault="00E836FB">
            <w:pPr>
              <w:rPr>
                <w:rFonts w:ascii="宋体"/>
                <w:vanish/>
              </w:rPr>
            </w:pPr>
          </w:p>
        </w:tc>
        <w:tc>
          <w:tcPr>
            <w:tcW w:w="0" w:type="auto"/>
            <w:gridSpan w:val="3"/>
            <w:shd w:val="clear" w:color="auto" w:fill="auto"/>
            <w:vAlign w:val="bottom"/>
          </w:tcPr>
          <w:p w14:paraId="5F2CF1E7" w14:textId="77777777" w:rsidR="00E836FB" w:rsidRDefault="00E836FB">
            <w:pPr>
              <w:rPr>
                <w:rFonts w:ascii="宋体"/>
                <w:vanish/>
              </w:rPr>
            </w:pPr>
          </w:p>
        </w:tc>
        <w:tc>
          <w:tcPr>
            <w:tcW w:w="0" w:type="auto"/>
            <w:gridSpan w:val="3"/>
            <w:shd w:val="clear" w:color="auto" w:fill="auto"/>
            <w:vAlign w:val="bottom"/>
          </w:tcPr>
          <w:p w14:paraId="5F2CF1E8" w14:textId="77777777" w:rsidR="00E836FB" w:rsidRDefault="00E836FB">
            <w:pPr>
              <w:rPr>
                <w:rFonts w:ascii="宋体"/>
                <w:vanish/>
              </w:rPr>
            </w:pPr>
          </w:p>
        </w:tc>
        <w:tc>
          <w:tcPr>
            <w:tcW w:w="0" w:type="auto"/>
            <w:gridSpan w:val="3"/>
            <w:shd w:val="clear" w:color="auto" w:fill="auto"/>
            <w:vAlign w:val="bottom"/>
          </w:tcPr>
          <w:p w14:paraId="5F2CF1E9" w14:textId="77777777" w:rsidR="00E836FB" w:rsidRDefault="00E836FB">
            <w:pPr>
              <w:rPr>
                <w:rFonts w:ascii="宋体"/>
                <w:vanish/>
              </w:rPr>
            </w:pPr>
          </w:p>
        </w:tc>
        <w:tc>
          <w:tcPr>
            <w:tcW w:w="0" w:type="auto"/>
            <w:gridSpan w:val="3"/>
            <w:shd w:val="clear" w:color="auto" w:fill="auto"/>
            <w:vAlign w:val="bottom"/>
          </w:tcPr>
          <w:p w14:paraId="5F2CF1EA" w14:textId="77777777" w:rsidR="00E836FB" w:rsidRDefault="00E836FB">
            <w:pPr>
              <w:rPr>
                <w:rFonts w:ascii="宋体"/>
                <w:vanish/>
              </w:rPr>
            </w:pPr>
          </w:p>
        </w:tc>
        <w:tc>
          <w:tcPr>
            <w:tcW w:w="0" w:type="auto"/>
            <w:gridSpan w:val="3"/>
            <w:shd w:val="clear" w:color="auto" w:fill="auto"/>
            <w:vAlign w:val="bottom"/>
          </w:tcPr>
          <w:p w14:paraId="5F2CF1EB" w14:textId="77777777" w:rsidR="00E836FB" w:rsidRDefault="00E836FB">
            <w:pPr>
              <w:rPr>
                <w:rFonts w:ascii="宋体"/>
                <w:vanish/>
              </w:rPr>
            </w:pPr>
          </w:p>
        </w:tc>
        <w:tc>
          <w:tcPr>
            <w:tcW w:w="0" w:type="auto"/>
            <w:gridSpan w:val="3"/>
            <w:shd w:val="clear" w:color="auto" w:fill="auto"/>
            <w:vAlign w:val="bottom"/>
          </w:tcPr>
          <w:p w14:paraId="5F2CF1EC" w14:textId="77777777" w:rsidR="00E836FB" w:rsidRDefault="00E836FB">
            <w:pPr>
              <w:rPr>
                <w:rFonts w:ascii="宋体"/>
                <w:vanish/>
              </w:rPr>
            </w:pPr>
          </w:p>
        </w:tc>
        <w:tc>
          <w:tcPr>
            <w:tcW w:w="0" w:type="auto"/>
            <w:gridSpan w:val="3"/>
            <w:shd w:val="clear" w:color="auto" w:fill="auto"/>
            <w:vAlign w:val="bottom"/>
          </w:tcPr>
          <w:p w14:paraId="5F2CF1ED" w14:textId="77777777" w:rsidR="00E836FB" w:rsidRDefault="00E836FB">
            <w:pPr>
              <w:rPr>
                <w:rFonts w:ascii="宋体"/>
                <w:vanish/>
              </w:rPr>
            </w:pPr>
          </w:p>
        </w:tc>
        <w:tc>
          <w:tcPr>
            <w:tcW w:w="0" w:type="auto"/>
            <w:gridSpan w:val="3"/>
            <w:shd w:val="clear" w:color="auto" w:fill="auto"/>
            <w:vAlign w:val="bottom"/>
          </w:tcPr>
          <w:p w14:paraId="5F2CF1EE" w14:textId="77777777" w:rsidR="00E836FB" w:rsidRDefault="00E836FB">
            <w:pPr>
              <w:rPr>
                <w:rFonts w:ascii="宋体"/>
                <w:vanish/>
              </w:rPr>
            </w:pPr>
          </w:p>
        </w:tc>
        <w:tc>
          <w:tcPr>
            <w:tcW w:w="0" w:type="auto"/>
            <w:gridSpan w:val="3"/>
            <w:shd w:val="clear" w:color="auto" w:fill="auto"/>
            <w:vAlign w:val="bottom"/>
          </w:tcPr>
          <w:p w14:paraId="5F2CF1EF" w14:textId="77777777" w:rsidR="00E836FB" w:rsidRDefault="00E836FB">
            <w:pPr>
              <w:rPr>
                <w:rFonts w:ascii="宋体"/>
                <w:vanish/>
              </w:rPr>
            </w:pPr>
          </w:p>
        </w:tc>
        <w:tc>
          <w:tcPr>
            <w:tcW w:w="0" w:type="auto"/>
            <w:gridSpan w:val="3"/>
            <w:shd w:val="clear" w:color="auto" w:fill="auto"/>
            <w:vAlign w:val="bottom"/>
          </w:tcPr>
          <w:p w14:paraId="5F2CF1F0" w14:textId="77777777" w:rsidR="00E836FB" w:rsidRDefault="00E836FB">
            <w:pPr>
              <w:rPr>
                <w:rFonts w:ascii="宋体"/>
                <w:vanish/>
              </w:rPr>
            </w:pPr>
          </w:p>
        </w:tc>
        <w:tc>
          <w:tcPr>
            <w:tcW w:w="0" w:type="auto"/>
            <w:gridSpan w:val="3"/>
            <w:shd w:val="clear" w:color="auto" w:fill="auto"/>
            <w:vAlign w:val="bottom"/>
          </w:tcPr>
          <w:p w14:paraId="5F2CF1F1" w14:textId="77777777" w:rsidR="00E836FB" w:rsidRDefault="00E836FB">
            <w:pPr>
              <w:rPr>
                <w:rFonts w:ascii="宋体"/>
                <w:vanish/>
              </w:rPr>
            </w:pPr>
          </w:p>
        </w:tc>
        <w:tc>
          <w:tcPr>
            <w:tcW w:w="0" w:type="auto"/>
            <w:gridSpan w:val="3"/>
            <w:shd w:val="clear" w:color="auto" w:fill="auto"/>
            <w:vAlign w:val="bottom"/>
          </w:tcPr>
          <w:p w14:paraId="5F2CF1F2" w14:textId="77777777" w:rsidR="00E836FB" w:rsidRDefault="00E836FB">
            <w:pPr>
              <w:rPr>
                <w:rFonts w:ascii="宋体"/>
                <w:vanish/>
              </w:rPr>
            </w:pPr>
          </w:p>
        </w:tc>
        <w:tc>
          <w:tcPr>
            <w:tcW w:w="0" w:type="auto"/>
            <w:gridSpan w:val="3"/>
            <w:shd w:val="clear" w:color="auto" w:fill="auto"/>
            <w:vAlign w:val="bottom"/>
          </w:tcPr>
          <w:p w14:paraId="5F2CF1F3" w14:textId="77777777" w:rsidR="00E836FB" w:rsidRDefault="00E836FB">
            <w:pPr>
              <w:rPr>
                <w:rFonts w:ascii="宋体"/>
                <w:vanish/>
              </w:rPr>
            </w:pPr>
          </w:p>
        </w:tc>
        <w:tc>
          <w:tcPr>
            <w:tcW w:w="0" w:type="auto"/>
            <w:gridSpan w:val="3"/>
            <w:shd w:val="clear" w:color="auto" w:fill="auto"/>
            <w:vAlign w:val="bottom"/>
          </w:tcPr>
          <w:p w14:paraId="5F2CF1F4" w14:textId="77777777" w:rsidR="00E836FB" w:rsidRDefault="00E836FB">
            <w:pPr>
              <w:rPr>
                <w:rFonts w:ascii="宋体"/>
                <w:vanish/>
              </w:rPr>
            </w:pPr>
          </w:p>
        </w:tc>
      </w:tr>
      <w:tr w:rsidR="00E836FB" w14:paraId="5F2CF208" w14:textId="77777777">
        <w:trPr>
          <w:hidden/>
        </w:trPr>
        <w:tc>
          <w:tcPr>
            <w:tcW w:w="0" w:type="auto"/>
            <w:gridSpan w:val="3"/>
            <w:shd w:val="clear" w:color="auto" w:fill="auto"/>
            <w:vAlign w:val="bottom"/>
          </w:tcPr>
          <w:p w14:paraId="5F2CF1F6" w14:textId="77777777" w:rsidR="00E836FB" w:rsidRDefault="00E836FB">
            <w:pPr>
              <w:rPr>
                <w:rFonts w:ascii="宋体"/>
                <w:vanish/>
              </w:rPr>
            </w:pPr>
          </w:p>
        </w:tc>
        <w:tc>
          <w:tcPr>
            <w:tcW w:w="0" w:type="auto"/>
            <w:gridSpan w:val="3"/>
            <w:shd w:val="clear" w:color="auto" w:fill="auto"/>
            <w:vAlign w:val="bottom"/>
          </w:tcPr>
          <w:p w14:paraId="5F2CF1F7" w14:textId="77777777" w:rsidR="00E836FB" w:rsidRDefault="00E836FB">
            <w:pPr>
              <w:rPr>
                <w:rFonts w:ascii="宋体"/>
                <w:vanish/>
              </w:rPr>
            </w:pPr>
          </w:p>
        </w:tc>
        <w:tc>
          <w:tcPr>
            <w:tcW w:w="0" w:type="auto"/>
            <w:gridSpan w:val="3"/>
            <w:shd w:val="clear" w:color="auto" w:fill="auto"/>
            <w:vAlign w:val="bottom"/>
          </w:tcPr>
          <w:p w14:paraId="5F2CF1F8" w14:textId="77777777" w:rsidR="00E836FB" w:rsidRDefault="00E836FB">
            <w:pPr>
              <w:rPr>
                <w:rFonts w:ascii="宋体"/>
                <w:vanish/>
              </w:rPr>
            </w:pPr>
          </w:p>
        </w:tc>
        <w:tc>
          <w:tcPr>
            <w:tcW w:w="0" w:type="auto"/>
            <w:gridSpan w:val="3"/>
            <w:shd w:val="clear" w:color="auto" w:fill="auto"/>
            <w:vAlign w:val="bottom"/>
          </w:tcPr>
          <w:p w14:paraId="5F2CF1F9" w14:textId="77777777" w:rsidR="00E836FB" w:rsidRDefault="00E836FB">
            <w:pPr>
              <w:rPr>
                <w:rFonts w:ascii="宋体"/>
                <w:vanish/>
              </w:rPr>
            </w:pPr>
          </w:p>
        </w:tc>
        <w:tc>
          <w:tcPr>
            <w:tcW w:w="0" w:type="auto"/>
            <w:gridSpan w:val="3"/>
            <w:shd w:val="clear" w:color="auto" w:fill="auto"/>
            <w:vAlign w:val="bottom"/>
          </w:tcPr>
          <w:p w14:paraId="5F2CF1FA" w14:textId="77777777" w:rsidR="00E836FB" w:rsidRDefault="00E836FB">
            <w:pPr>
              <w:rPr>
                <w:rFonts w:ascii="宋体"/>
                <w:vanish/>
              </w:rPr>
            </w:pPr>
          </w:p>
        </w:tc>
        <w:tc>
          <w:tcPr>
            <w:tcW w:w="0" w:type="auto"/>
            <w:gridSpan w:val="3"/>
            <w:shd w:val="clear" w:color="auto" w:fill="auto"/>
            <w:vAlign w:val="bottom"/>
          </w:tcPr>
          <w:p w14:paraId="5F2CF1FB" w14:textId="77777777" w:rsidR="00E836FB" w:rsidRDefault="00E836FB">
            <w:pPr>
              <w:rPr>
                <w:rFonts w:ascii="宋体"/>
                <w:vanish/>
              </w:rPr>
            </w:pPr>
          </w:p>
        </w:tc>
        <w:tc>
          <w:tcPr>
            <w:tcW w:w="0" w:type="auto"/>
            <w:gridSpan w:val="3"/>
            <w:shd w:val="clear" w:color="auto" w:fill="auto"/>
            <w:vAlign w:val="bottom"/>
          </w:tcPr>
          <w:p w14:paraId="5F2CF1FC" w14:textId="77777777" w:rsidR="00E836FB" w:rsidRDefault="00E836FB">
            <w:pPr>
              <w:rPr>
                <w:rFonts w:ascii="宋体"/>
                <w:vanish/>
              </w:rPr>
            </w:pPr>
          </w:p>
        </w:tc>
        <w:tc>
          <w:tcPr>
            <w:tcW w:w="0" w:type="auto"/>
            <w:gridSpan w:val="3"/>
            <w:shd w:val="clear" w:color="auto" w:fill="auto"/>
            <w:vAlign w:val="bottom"/>
          </w:tcPr>
          <w:p w14:paraId="5F2CF1FD" w14:textId="77777777" w:rsidR="00E836FB" w:rsidRDefault="00E836FB">
            <w:pPr>
              <w:rPr>
                <w:rFonts w:ascii="宋体"/>
                <w:vanish/>
              </w:rPr>
            </w:pPr>
          </w:p>
        </w:tc>
        <w:tc>
          <w:tcPr>
            <w:tcW w:w="0" w:type="auto"/>
            <w:gridSpan w:val="3"/>
            <w:shd w:val="clear" w:color="auto" w:fill="auto"/>
            <w:vAlign w:val="bottom"/>
          </w:tcPr>
          <w:p w14:paraId="5F2CF1FE" w14:textId="77777777" w:rsidR="00E836FB" w:rsidRDefault="00E836FB">
            <w:pPr>
              <w:rPr>
                <w:rFonts w:ascii="宋体"/>
                <w:vanish/>
              </w:rPr>
            </w:pPr>
          </w:p>
        </w:tc>
        <w:tc>
          <w:tcPr>
            <w:tcW w:w="0" w:type="auto"/>
            <w:gridSpan w:val="3"/>
            <w:shd w:val="clear" w:color="auto" w:fill="auto"/>
            <w:vAlign w:val="bottom"/>
          </w:tcPr>
          <w:p w14:paraId="5F2CF1FF" w14:textId="77777777" w:rsidR="00E836FB" w:rsidRDefault="00E836FB">
            <w:pPr>
              <w:rPr>
                <w:rFonts w:ascii="宋体"/>
                <w:vanish/>
              </w:rPr>
            </w:pPr>
          </w:p>
        </w:tc>
        <w:tc>
          <w:tcPr>
            <w:tcW w:w="0" w:type="auto"/>
            <w:gridSpan w:val="3"/>
            <w:shd w:val="clear" w:color="auto" w:fill="auto"/>
            <w:vAlign w:val="bottom"/>
          </w:tcPr>
          <w:p w14:paraId="5F2CF200" w14:textId="77777777" w:rsidR="00E836FB" w:rsidRDefault="00E836FB">
            <w:pPr>
              <w:rPr>
                <w:rFonts w:ascii="宋体"/>
                <w:vanish/>
              </w:rPr>
            </w:pPr>
          </w:p>
        </w:tc>
        <w:tc>
          <w:tcPr>
            <w:tcW w:w="0" w:type="auto"/>
            <w:gridSpan w:val="3"/>
            <w:shd w:val="clear" w:color="auto" w:fill="auto"/>
            <w:vAlign w:val="bottom"/>
          </w:tcPr>
          <w:p w14:paraId="5F2CF201" w14:textId="77777777" w:rsidR="00E836FB" w:rsidRDefault="00E836FB">
            <w:pPr>
              <w:rPr>
                <w:rFonts w:ascii="宋体"/>
                <w:vanish/>
              </w:rPr>
            </w:pPr>
          </w:p>
        </w:tc>
        <w:tc>
          <w:tcPr>
            <w:tcW w:w="0" w:type="auto"/>
            <w:gridSpan w:val="3"/>
            <w:shd w:val="clear" w:color="auto" w:fill="auto"/>
            <w:vAlign w:val="bottom"/>
          </w:tcPr>
          <w:p w14:paraId="5F2CF202" w14:textId="77777777" w:rsidR="00E836FB" w:rsidRDefault="00E836FB">
            <w:pPr>
              <w:rPr>
                <w:rFonts w:ascii="宋体"/>
                <w:vanish/>
              </w:rPr>
            </w:pPr>
          </w:p>
        </w:tc>
        <w:tc>
          <w:tcPr>
            <w:tcW w:w="0" w:type="auto"/>
            <w:gridSpan w:val="3"/>
            <w:shd w:val="clear" w:color="auto" w:fill="auto"/>
            <w:vAlign w:val="bottom"/>
          </w:tcPr>
          <w:p w14:paraId="5F2CF203" w14:textId="77777777" w:rsidR="00E836FB" w:rsidRDefault="00E836FB">
            <w:pPr>
              <w:rPr>
                <w:rFonts w:ascii="宋体"/>
                <w:vanish/>
              </w:rPr>
            </w:pPr>
          </w:p>
        </w:tc>
        <w:tc>
          <w:tcPr>
            <w:tcW w:w="0" w:type="auto"/>
            <w:gridSpan w:val="3"/>
            <w:shd w:val="clear" w:color="auto" w:fill="auto"/>
            <w:vAlign w:val="bottom"/>
          </w:tcPr>
          <w:p w14:paraId="5F2CF204" w14:textId="77777777" w:rsidR="00E836FB" w:rsidRDefault="00E836FB">
            <w:pPr>
              <w:rPr>
                <w:rFonts w:ascii="宋体"/>
                <w:vanish/>
              </w:rPr>
            </w:pPr>
          </w:p>
        </w:tc>
        <w:tc>
          <w:tcPr>
            <w:tcW w:w="0" w:type="auto"/>
            <w:gridSpan w:val="3"/>
            <w:shd w:val="clear" w:color="auto" w:fill="auto"/>
            <w:vAlign w:val="bottom"/>
          </w:tcPr>
          <w:p w14:paraId="5F2CF205" w14:textId="77777777" w:rsidR="00E836FB" w:rsidRDefault="00E836FB">
            <w:pPr>
              <w:rPr>
                <w:rFonts w:ascii="宋体"/>
                <w:vanish/>
              </w:rPr>
            </w:pPr>
          </w:p>
        </w:tc>
        <w:tc>
          <w:tcPr>
            <w:tcW w:w="0" w:type="auto"/>
            <w:gridSpan w:val="3"/>
            <w:shd w:val="clear" w:color="auto" w:fill="auto"/>
            <w:vAlign w:val="bottom"/>
          </w:tcPr>
          <w:p w14:paraId="5F2CF206" w14:textId="77777777" w:rsidR="00E836FB" w:rsidRDefault="00E836FB">
            <w:pPr>
              <w:rPr>
                <w:rFonts w:ascii="宋体"/>
                <w:vanish/>
              </w:rPr>
            </w:pPr>
          </w:p>
        </w:tc>
        <w:tc>
          <w:tcPr>
            <w:tcW w:w="0" w:type="auto"/>
            <w:gridSpan w:val="3"/>
            <w:shd w:val="clear" w:color="auto" w:fill="auto"/>
            <w:vAlign w:val="bottom"/>
          </w:tcPr>
          <w:p w14:paraId="5F2CF207" w14:textId="77777777" w:rsidR="00E836FB" w:rsidRDefault="00E836FB">
            <w:pPr>
              <w:rPr>
                <w:rFonts w:ascii="宋体"/>
                <w:vanish/>
              </w:rPr>
            </w:pPr>
          </w:p>
        </w:tc>
      </w:tr>
      <w:tr w:rsidR="00E836FB" w14:paraId="5F2CF21B" w14:textId="77777777">
        <w:trPr>
          <w:hidden/>
        </w:trPr>
        <w:tc>
          <w:tcPr>
            <w:tcW w:w="0" w:type="auto"/>
            <w:gridSpan w:val="3"/>
            <w:shd w:val="clear" w:color="auto" w:fill="auto"/>
            <w:vAlign w:val="bottom"/>
          </w:tcPr>
          <w:p w14:paraId="5F2CF209" w14:textId="77777777" w:rsidR="00E836FB" w:rsidRDefault="00E836FB">
            <w:pPr>
              <w:rPr>
                <w:rFonts w:ascii="宋体"/>
                <w:vanish/>
              </w:rPr>
            </w:pPr>
          </w:p>
        </w:tc>
        <w:tc>
          <w:tcPr>
            <w:tcW w:w="0" w:type="auto"/>
            <w:gridSpan w:val="3"/>
            <w:shd w:val="clear" w:color="auto" w:fill="auto"/>
            <w:vAlign w:val="bottom"/>
          </w:tcPr>
          <w:p w14:paraId="5F2CF20A" w14:textId="77777777" w:rsidR="00E836FB" w:rsidRDefault="00E836FB">
            <w:pPr>
              <w:rPr>
                <w:rFonts w:ascii="宋体"/>
                <w:vanish/>
              </w:rPr>
            </w:pPr>
          </w:p>
        </w:tc>
        <w:tc>
          <w:tcPr>
            <w:tcW w:w="0" w:type="auto"/>
            <w:gridSpan w:val="3"/>
            <w:shd w:val="clear" w:color="auto" w:fill="auto"/>
            <w:vAlign w:val="bottom"/>
          </w:tcPr>
          <w:p w14:paraId="5F2CF20B" w14:textId="77777777" w:rsidR="00E836FB" w:rsidRDefault="00E836FB">
            <w:pPr>
              <w:rPr>
                <w:rFonts w:ascii="宋体"/>
                <w:vanish/>
              </w:rPr>
            </w:pPr>
          </w:p>
        </w:tc>
        <w:tc>
          <w:tcPr>
            <w:tcW w:w="0" w:type="auto"/>
            <w:gridSpan w:val="3"/>
            <w:shd w:val="clear" w:color="auto" w:fill="auto"/>
            <w:vAlign w:val="bottom"/>
          </w:tcPr>
          <w:p w14:paraId="5F2CF20C" w14:textId="77777777" w:rsidR="00E836FB" w:rsidRDefault="00E836FB">
            <w:pPr>
              <w:rPr>
                <w:rFonts w:ascii="宋体"/>
                <w:vanish/>
              </w:rPr>
            </w:pPr>
          </w:p>
        </w:tc>
        <w:tc>
          <w:tcPr>
            <w:tcW w:w="0" w:type="auto"/>
            <w:gridSpan w:val="3"/>
            <w:shd w:val="clear" w:color="auto" w:fill="auto"/>
            <w:vAlign w:val="bottom"/>
          </w:tcPr>
          <w:p w14:paraId="5F2CF20D" w14:textId="77777777" w:rsidR="00E836FB" w:rsidRDefault="00E836FB">
            <w:pPr>
              <w:rPr>
                <w:rFonts w:ascii="宋体"/>
                <w:vanish/>
              </w:rPr>
            </w:pPr>
          </w:p>
        </w:tc>
        <w:tc>
          <w:tcPr>
            <w:tcW w:w="0" w:type="auto"/>
            <w:gridSpan w:val="3"/>
            <w:shd w:val="clear" w:color="auto" w:fill="auto"/>
            <w:vAlign w:val="bottom"/>
          </w:tcPr>
          <w:p w14:paraId="5F2CF20E" w14:textId="77777777" w:rsidR="00E836FB" w:rsidRDefault="00E836FB">
            <w:pPr>
              <w:rPr>
                <w:rFonts w:ascii="宋体"/>
                <w:vanish/>
              </w:rPr>
            </w:pPr>
          </w:p>
        </w:tc>
        <w:tc>
          <w:tcPr>
            <w:tcW w:w="0" w:type="auto"/>
            <w:gridSpan w:val="3"/>
            <w:shd w:val="clear" w:color="auto" w:fill="auto"/>
            <w:vAlign w:val="bottom"/>
          </w:tcPr>
          <w:p w14:paraId="5F2CF20F" w14:textId="77777777" w:rsidR="00E836FB" w:rsidRDefault="00E836FB">
            <w:pPr>
              <w:rPr>
                <w:rFonts w:ascii="宋体"/>
                <w:vanish/>
              </w:rPr>
            </w:pPr>
          </w:p>
        </w:tc>
        <w:tc>
          <w:tcPr>
            <w:tcW w:w="0" w:type="auto"/>
            <w:gridSpan w:val="3"/>
            <w:shd w:val="clear" w:color="auto" w:fill="auto"/>
            <w:vAlign w:val="bottom"/>
          </w:tcPr>
          <w:p w14:paraId="5F2CF210" w14:textId="77777777" w:rsidR="00E836FB" w:rsidRDefault="00E836FB">
            <w:pPr>
              <w:rPr>
                <w:rFonts w:ascii="宋体"/>
                <w:vanish/>
              </w:rPr>
            </w:pPr>
          </w:p>
        </w:tc>
        <w:tc>
          <w:tcPr>
            <w:tcW w:w="0" w:type="auto"/>
            <w:gridSpan w:val="3"/>
            <w:shd w:val="clear" w:color="auto" w:fill="auto"/>
            <w:vAlign w:val="bottom"/>
          </w:tcPr>
          <w:p w14:paraId="5F2CF211" w14:textId="77777777" w:rsidR="00E836FB" w:rsidRDefault="00E836FB">
            <w:pPr>
              <w:rPr>
                <w:rFonts w:ascii="宋体"/>
                <w:vanish/>
              </w:rPr>
            </w:pPr>
          </w:p>
        </w:tc>
        <w:tc>
          <w:tcPr>
            <w:tcW w:w="0" w:type="auto"/>
            <w:gridSpan w:val="3"/>
            <w:shd w:val="clear" w:color="auto" w:fill="auto"/>
            <w:vAlign w:val="bottom"/>
          </w:tcPr>
          <w:p w14:paraId="5F2CF212" w14:textId="77777777" w:rsidR="00E836FB" w:rsidRDefault="00E836FB">
            <w:pPr>
              <w:rPr>
                <w:rFonts w:ascii="宋体"/>
                <w:vanish/>
              </w:rPr>
            </w:pPr>
          </w:p>
        </w:tc>
        <w:tc>
          <w:tcPr>
            <w:tcW w:w="0" w:type="auto"/>
            <w:gridSpan w:val="3"/>
            <w:shd w:val="clear" w:color="auto" w:fill="auto"/>
            <w:vAlign w:val="bottom"/>
          </w:tcPr>
          <w:p w14:paraId="5F2CF213" w14:textId="77777777" w:rsidR="00E836FB" w:rsidRDefault="00E836FB">
            <w:pPr>
              <w:rPr>
                <w:rFonts w:ascii="宋体"/>
                <w:vanish/>
              </w:rPr>
            </w:pPr>
          </w:p>
        </w:tc>
        <w:tc>
          <w:tcPr>
            <w:tcW w:w="0" w:type="auto"/>
            <w:gridSpan w:val="3"/>
            <w:shd w:val="clear" w:color="auto" w:fill="auto"/>
            <w:vAlign w:val="bottom"/>
          </w:tcPr>
          <w:p w14:paraId="5F2CF214" w14:textId="77777777" w:rsidR="00E836FB" w:rsidRDefault="00E836FB">
            <w:pPr>
              <w:rPr>
                <w:rFonts w:ascii="宋体"/>
                <w:vanish/>
              </w:rPr>
            </w:pPr>
          </w:p>
        </w:tc>
        <w:tc>
          <w:tcPr>
            <w:tcW w:w="0" w:type="auto"/>
            <w:gridSpan w:val="3"/>
            <w:shd w:val="clear" w:color="auto" w:fill="auto"/>
            <w:vAlign w:val="bottom"/>
          </w:tcPr>
          <w:p w14:paraId="5F2CF215" w14:textId="77777777" w:rsidR="00E836FB" w:rsidRDefault="00E836FB">
            <w:pPr>
              <w:rPr>
                <w:rFonts w:ascii="宋体"/>
                <w:vanish/>
              </w:rPr>
            </w:pPr>
          </w:p>
        </w:tc>
        <w:tc>
          <w:tcPr>
            <w:tcW w:w="0" w:type="auto"/>
            <w:gridSpan w:val="3"/>
            <w:shd w:val="clear" w:color="auto" w:fill="auto"/>
            <w:vAlign w:val="bottom"/>
          </w:tcPr>
          <w:p w14:paraId="5F2CF216" w14:textId="77777777" w:rsidR="00E836FB" w:rsidRDefault="00E836FB">
            <w:pPr>
              <w:rPr>
                <w:rFonts w:ascii="宋体"/>
                <w:vanish/>
              </w:rPr>
            </w:pPr>
          </w:p>
        </w:tc>
        <w:tc>
          <w:tcPr>
            <w:tcW w:w="0" w:type="auto"/>
            <w:gridSpan w:val="3"/>
            <w:shd w:val="clear" w:color="auto" w:fill="auto"/>
            <w:vAlign w:val="bottom"/>
          </w:tcPr>
          <w:p w14:paraId="5F2CF217" w14:textId="77777777" w:rsidR="00E836FB" w:rsidRDefault="00E836FB">
            <w:pPr>
              <w:rPr>
                <w:rFonts w:ascii="宋体"/>
                <w:vanish/>
              </w:rPr>
            </w:pPr>
          </w:p>
        </w:tc>
        <w:tc>
          <w:tcPr>
            <w:tcW w:w="0" w:type="auto"/>
            <w:gridSpan w:val="3"/>
            <w:shd w:val="clear" w:color="auto" w:fill="auto"/>
            <w:vAlign w:val="bottom"/>
          </w:tcPr>
          <w:p w14:paraId="5F2CF218" w14:textId="77777777" w:rsidR="00E836FB" w:rsidRDefault="00E836FB">
            <w:pPr>
              <w:rPr>
                <w:rFonts w:ascii="宋体"/>
                <w:vanish/>
              </w:rPr>
            </w:pPr>
          </w:p>
        </w:tc>
        <w:tc>
          <w:tcPr>
            <w:tcW w:w="0" w:type="auto"/>
            <w:gridSpan w:val="3"/>
            <w:shd w:val="clear" w:color="auto" w:fill="auto"/>
            <w:vAlign w:val="bottom"/>
          </w:tcPr>
          <w:p w14:paraId="5F2CF219" w14:textId="77777777" w:rsidR="00E836FB" w:rsidRDefault="00E836FB">
            <w:pPr>
              <w:rPr>
                <w:rFonts w:ascii="宋体"/>
                <w:vanish/>
              </w:rPr>
            </w:pPr>
          </w:p>
        </w:tc>
        <w:tc>
          <w:tcPr>
            <w:tcW w:w="0" w:type="auto"/>
            <w:gridSpan w:val="3"/>
            <w:shd w:val="clear" w:color="auto" w:fill="auto"/>
            <w:vAlign w:val="bottom"/>
          </w:tcPr>
          <w:p w14:paraId="5F2CF21A" w14:textId="77777777" w:rsidR="00E836FB" w:rsidRDefault="00E836FB">
            <w:pPr>
              <w:rPr>
                <w:rFonts w:ascii="宋体"/>
                <w:vanish/>
              </w:rPr>
            </w:pPr>
          </w:p>
        </w:tc>
      </w:tr>
      <w:tr w:rsidR="00E836FB" w14:paraId="5F2CF22E" w14:textId="77777777">
        <w:trPr>
          <w:hidden/>
        </w:trPr>
        <w:tc>
          <w:tcPr>
            <w:tcW w:w="0" w:type="auto"/>
            <w:gridSpan w:val="3"/>
            <w:shd w:val="clear" w:color="auto" w:fill="auto"/>
            <w:vAlign w:val="bottom"/>
          </w:tcPr>
          <w:p w14:paraId="5F2CF21C" w14:textId="77777777" w:rsidR="00E836FB" w:rsidRDefault="00E836FB">
            <w:pPr>
              <w:rPr>
                <w:rFonts w:ascii="宋体"/>
                <w:vanish/>
              </w:rPr>
            </w:pPr>
          </w:p>
        </w:tc>
        <w:tc>
          <w:tcPr>
            <w:tcW w:w="0" w:type="auto"/>
            <w:gridSpan w:val="3"/>
            <w:shd w:val="clear" w:color="auto" w:fill="auto"/>
            <w:vAlign w:val="bottom"/>
          </w:tcPr>
          <w:p w14:paraId="5F2CF21D" w14:textId="77777777" w:rsidR="00E836FB" w:rsidRDefault="00E836FB">
            <w:pPr>
              <w:rPr>
                <w:rFonts w:ascii="宋体"/>
                <w:vanish/>
              </w:rPr>
            </w:pPr>
          </w:p>
        </w:tc>
        <w:tc>
          <w:tcPr>
            <w:tcW w:w="0" w:type="auto"/>
            <w:gridSpan w:val="3"/>
            <w:shd w:val="clear" w:color="auto" w:fill="auto"/>
            <w:vAlign w:val="bottom"/>
          </w:tcPr>
          <w:p w14:paraId="5F2CF21E" w14:textId="77777777" w:rsidR="00E836FB" w:rsidRDefault="00E836FB">
            <w:pPr>
              <w:rPr>
                <w:rFonts w:ascii="宋体"/>
                <w:vanish/>
              </w:rPr>
            </w:pPr>
          </w:p>
        </w:tc>
        <w:tc>
          <w:tcPr>
            <w:tcW w:w="0" w:type="auto"/>
            <w:gridSpan w:val="3"/>
            <w:shd w:val="clear" w:color="auto" w:fill="auto"/>
            <w:vAlign w:val="bottom"/>
          </w:tcPr>
          <w:p w14:paraId="5F2CF21F" w14:textId="77777777" w:rsidR="00E836FB" w:rsidRDefault="00E836FB">
            <w:pPr>
              <w:rPr>
                <w:rFonts w:ascii="宋体"/>
                <w:vanish/>
              </w:rPr>
            </w:pPr>
          </w:p>
        </w:tc>
        <w:tc>
          <w:tcPr>
            <w:tcW w:w="0" w:type="auto"/>
            <w:gridSpan w:val="3"/>
            <w:shd w:val="clear" w:color="auto" w:fill="auto"/>
            <w:vAlign w:val="bottom"/>
          </w:tcPr>
          <w:p w14:paraId="5F2CF220" w14:textId="77777777" w:rsidR="00E836FB" w:rsidRDefault="00E836FB">
            <w:pPr>
              <w:rPr>
                <w:rFonts w:ascii="宋体"/>
                <w:vanish/>
              </w:rPr>
            </w:pPr>
          </w:p>
        </w:tc>
        <w:tc>
          <w:tcPr>
            <w:tcW w:w="0" w:type="auto"/>
            <w:gridSpan w:val="3"/>
            <w:shd w:val="clear" w:color="auto" w:fill="auto"/>
            <w:vAlign w:val="bottom"/>
          </w:tcPr>
          <w:p w14:paraId="5F2CF221" w14:textId="77777777" w:rsidR="00E836FB" w:rsidRDefault="00E836FB">
            <w:pPr>
              <w:rPr>
                <w:rFonts w:ascii="宋体"/>
                <w:vanish/>
              </w:rPr>
            </w:pPr>
          </w:p>
        </w:tc>
        <w:tc>
          <w:tcPr>
            <w:tcW w:w="0" w:type="auto"/>
            <w:gridSpan w:val="3"/>
            <w:shd w:val="clear" w:color="auto" w:fill="auto"/>
            <w:vAlign w:val="bottom"/>
          </w:tcPr>
          <w:p w14:paraId="5F2CF222" w14:textId="77777777" w:rsidR="00E836FB" w:rsidRDefault="00E836FB">
            <w:pPr>
              <w:rPr>
                <w:rFonts w:ascii="宋体"/>
                <w:vanish/>
              </w:rPr>
            </w:pPr>
          </w:p>
        </w:tc>
        <w:tc>
          <w:tcPr>
            <w:tcW w:w="0" w:type="auto"/>
            <w:gridSpan w:val="3"/>
            <w:shd w:val="clear" w:color="auto" w:fill="auto"/>
            <w:vAlign w:val="bottom"/>
          </w:tcPr>
          <w:p w14:paraId="5F2CF223" w14:textId="77777777" w:rsidR="00E836FB" w:rsidRDefault="00E836FB">
            <w:pPr>
              <w:rPr>
                <w:rFonts w:ascii="宋体"/>
                <w:vanish/>
              </w:rPr>
            </w:pPr>
          </w:p>
        </w:tc>
        <w:tc>
          <w:tcPr>
            <w:tcW w:w="0" w:type="auto"/>
            <w:gridSpan w:val="3"/>
            <w:shd w:val="clear" w:color="auto" w:fill="auto"/>
            <w:vAlign w:val="bottom"/>
          </w:tcPr>
          <w:p w14:paraId="5F2CF224" w14:textId="77777777" w:rsidR="00E836FB" w:rsidRDefault="00E836FB">
            <w:pPr>
              <w:rPr>
                <w:rFonts w:ascii="宋体"/>
                <w:vanish/>
              </w:rPr>
            </w:pPr>
          </w:p>
        </w:tc>
        <w:tc>
          <w:tcPr>
            <w:tcW w:w="0" w:type="auto"/>
            <w:gridSpan w:val="3"/>
            <w:shd w:val="clear" w:color="auto" w:fill="auto"/>
            <w:vAlign w:val="bottom"/>
          </w:tcPr>
          <w:p w14:paraId="5F2CF225" w14:textId="77777777" w:rsidR="00E836FB" w:rsidRDefault="00E836FB">
            <w:pPr>
              <w:rPr>
                <w:rFonts w:ascii="宋体"/>
                <w:vanish/>
              </w:rPr>
            </w:pPr>
          </w:p>
        </w:tc>
        <w:tc>
          <w:tcPr>
            <w:tcW w:w="0" w:type="auto"/>
            <w:gridSpan w:val="3"/>
            <w:shd w:val="clear" w:color="auto" w:fill="auto"/>
            <w:vAlign w:val="bottom"/>
          </w:tcPr>
          <w:p w14:paraId="5F2CF226" w14:textId="77777777" w:rsidR="00E836FB" w:rsidRDefault="00E836FB">
            <w:pPr>
              <w:rPr>
                <w:rFonts w:ascii="宋体"/>
                <w:vanish/>
              </w:rPr>
            </w:pPr>
          </w:p>
        </w:tc>
        <w:tc>
          <w:tcPr>
            <w:tcW w:w="0" w:type="auto"/>
            <w:gridSpan w:val="3"/>
            <w:shd w:val="clear" w:color="auto" w:fill="auto"/>
            <w:vAlign w:val="bottom"/>
          </w:tcPr>
          <w:p w14:paraId="5F2CF227" w14:textId="77777777" w:rsidR="00E836FB" w:rsidRDefault="00E836FB">
            <w:pPr>
              <w:rPr>
                <w:rFonts w:ascii="宋体"/>
                <w:vanish/>
              </w:rPr>
            </w:pPr>
          </w:p>
        </w:tc>
        <w:tc>
          <w:tcPr>
            <w:tcW w:w="0" w:type="auto"/>
            <w:gridSpan w:val="3"/>
            <w:shd w:val="clear" w:color="auto" w:fill="auto"/>
            <w:vAlign w:val="bottom"/>
          </w:tcPr>
          <w:p w14:paraId="5F2CF228" w14:textId="77777777" w:rsidR="00E836FB" w:rsidRDefault="00E836FB">
            <w:pPr>
              <w:rPr>
                <w:rFonts w:ascii="宋体"/>
                <w:vanish/>
              </w:rPr>
            </w:pPr>
          </w:p>
        </w:tc>
        <w:tc>
          <w:tcPr>
            <w:tcW w:w="0" w:type="auto"/>
            <w:gridSpan w:val="3"/>
            <w:shd w:val="clear" w:color="auto" w:fill="auto"/>
            <w:vAlign w:val="bottom"/>
          </w:tcPr>
          <w:p w14:paraId="5F2CF229" w14:textId="77777777" w:rsidR="00E836FB" w:rsidRDefault="00E836FB">
            <w:pPr>
              <w:rPr>
                <w:rFonts w:ascii="宋体"/>
                <w:vanish/>
              </w:rPr>
            </w:pPr>
          </w:p>
        </w:tc>
        <w:tc>
          <w:tcPr>
            <w:tcW w:w="0" w:type="auto"/>
            <w:gridSpan w:val="3"/>
            <w:shd w:val="clear" w:color="auto" w:fill="auto"/>
            <w:vAlign w:val="bottom"/>
          </w:tcPr>
          <w:p w14:paraId="5F2CF22A" w14:textId="77777777" w:rsidR="00E836FB" w:rsidRDefault="00E836FB">
            <w:pPr>
              <w:rPr>
                <w:rFonts w:ascii="宋体"/>
                <w:vanish/>
              </w:rPr>
            </w:pPr>
          </w:p>
        </w:tc>
        <w:tc>
          <w:tcPr>
            <w:tcW w:w="0" w:type="auto"/>
            <w:gridSpan w:val="3"/>
            <w:shd w:val="clear" w:color="auto" w:fill="auto"/>
            <w:vAlign w:val="bottom"/>
          </w:tcPr>
          <w:p w14:paraId="5F2CF22B" w14:textId="77777777" w:rsidR="00E836FB" w:rsidRDefault="00E836FB">
            <w:pPr>
              <w:rPr>
                <w:rFonts w:ascii="宋体"/>
                <w:vanish/>
              </w:rPr>
            </w:pPr>
          </w:p>
        </w:tc>
        <w:tc>
          <w:tcPr>
            <w:tcW w:w="0" w:type="auto"/>
            <w:gridSpan w:val="3"/>
            <w:shd w:val="clear" w:color="auto" w:fill="auto"/>
            <w:vAlign w:val="bottom"/>
          </w:tcPr>
          <w:p w14:paraId="5F2CF22C" w14:textId="77777777" w:rsidR="00E836FB" w:rsidRDefault="00E836FB">
            <w:pPr>
              <w:rPr>
                <w:rFonts w:ascii="宋体"/>
                <w:vanish/>
              </w:rPr>
            </w:pPr>
          </w:p>
        </w:tc>
        <w:tc>
          <w:tcPr>
            <w:tcW w:w="0" w:type="auto"/>
            <w:gridSpan w:val="3"/>
            <w:shd w:val="clear" w:color="auto" w:fill="auto"/>
            <w:vAlign w:val="bottom"/>
          </w:tcPr>
          <w:p w14:paraId="5F2CF22D" w14:textId="77777777" w:rsidR="00E836FB" w:rsidRDefault="00E836FB">
            <w:pPr>
              <w:rPr>
                <w:rFonts w:ascii="宋体"/>
                <w:vanish/>
              </w:rPr>
            </w:pPr>
          </w:p>
        </w:tc>
      </w:tr>
      <w:tr w:rsidR="00E836FB" w14:paraId="5F2CF241" w14:textId="77777777">
        <w:trPr>
          <w:hidden/>
        </w:trPr>
        <w:tc>
          <w:tcPr>
            <w:tcW w:w="0" w:type="auto"/>
            <w:gridSpan w:val="3"/>
            <w:shd w:val="clear" w:color="auto" w:fill="auto"/>
            <w:vAlign w:val="bottom"/>
          </w:tcPr>
          <w:p w14:paraId="5F2CF22F" w14:textId="77777777" w:rsidR="00E836FB" w:rsidRDefault="00E836FB">
            <w:pPr>
              <w:rPr>
                <w:rFonts w:ascii="宋体"/>
                <w:vanish/>
              </w:rPr>
            </w:pPr>
          </w:p>
        </w:tc>
        <w:tc>
          <w:tcPr>
            <w:tcW w:w="0" w:type="auto"/>
            <w:gridSpan w:val="3"/>
            <w:shd w:val="clear" w:color="auto" w:fill="auto"/>
            <w:vAlign w:val="bottom"/>
          </w:tcPr>
          <w:p w14:paraId="5F2CF230" w14:textId="77777777" w:rsidR="00E836FB" w:rsidRDefault="00E836FB">
            <w:pPr>
              <w:rPr>
                <w:rFonts w:ascii="宋体"/>
                <w:vanish/>
              </w:rPr>
            </w:pPr>
          </w:p>
        </w:tc>
        <w:tc>
          <w:tcPr>
            <w:tcW w:w="0" w:type="auto"/>
            <w:gridSpan w:val="3"/>
            <w:shd w:val="clear" w:color="auto" w:fill="auto"/>
            <w:vAlign w:val="bottom"/>
          </w:tcPr>
          <w:p w14:paraId="5F2CF231" w14:textId="77777777" w:rsidR="00E836FB" w:rsidRDefault="00E836FB">
            <w:pPr>
              <w:rPr>
                <w:rFonts w:ascii="宋体"/>
                <w:vanish/>
              </w:rPr>
            </w:pPr>
          </w:p>
        </w:tc>
        <w:tc>
          <w:tcPr>
            <w:tcW w:w="0" w:type="auto"/>
            <w:gridSpan w:val="3"/>
            <w:shd w:val="clear" w:color="auto" w:fill="auto"/>
            <w:vAlign w:val="bottom"/>
          </w:tcPr>
          <w:p w14:paraId="5F2CF232" w14:textId="77777777" w:rsidR="00E836FB" w:rsidRDefault="00E836FB">
            <w:pPr>
              <w:rPr>
                <w:rFonts w:ascii="宋体"/>
                <w:vanish/>
              </w:rPr>
            </w:pPr>
          </w:p>
        </w:tc>
        <w:tc>
          <w:tcPr>
            <w:tcW w:w="0" w:type="auto"/>
            <w:gridSpan w:val="3"/>
            <w:shd w:val="clear" w:color="auto" w:fill="auto"/>
            <w:vAlign w:val="bottom"/>
          </w:tcPr>
          <w:p w14:paraId="5F2CF233" w14:textId="77777777" w:rsidR="00E836FB" w:rsidRDefault="00E836FB">
            <w:pPr>
              <w:rPr>
                <w:rFonts w:ascii="宋体"/>
                <w:vanish/>
              </w:rPr>
            </w:pPr>
          </w:p>
        </w:tc>
        <w:tc>
          <w:tcPr>
            <w:tcW w:w="0" w:type="auto"/>
            <w:gridSpan w:val="3"/>
            <w:shd w:val="clear" w:color="auto" w:fill="auto"/>
            <w:vAlign w:val="bottom"/>
          </w:tcPr>
          <w:p w14:paraId="5F2CF234" w14:textId="77777777" w:rsidR="00E836FB" w:rsidRDefault="00E836FB">
            <w:pPr>
              <w:rPr>
                <w:rFonts w:ascii="宋体"/>
                <w:vanish/>
              </w:rPr>
            </w:pPr>
          </w:p>
        </w:tc>
        <w:tc>
          <w:tcPr>
            <w:tcW w:w="0" w:type="auto"/>
            <w:gridSpan w:val="3"/>
            <w:shd w:val="clear" w:color="auto" w:fill="auto"/>
            <w:vAlign w:val="bottom"/>
          </w:tcPr>
          <w:p w14:paraId="5F2CF235" w14:textId="77777777" w:rsidR="00E836FB" w:rsidRDefault="00E836FB">
            <w:pPr>
              <w:rPr>
                <w:rFonts w:ascii="宋体"/>
                <w:vanish/>
              </w:rPr>
            </w:pPr>
          </w:p>
        </w:tc>
        <w:tc>
          <w:tcPr>
            <w:tcW w:w="0" w:type="auto"/>
            <w:gridSpan w:val="3"/>
            <w:shd w:val="clear" w:color="auto" w:fill="auto"/>
            <w:vAlign w:val="bottom"/>
          </w:tcPr>
          <w:p w14:paraId="5F2CF236" w14:textId="77777777" w:rsidR="00E836FB" w:rsidRDefault="00E836FB">
            <w:pPr>
              <w:rPr>
                <w:rFonts w:ascii="宋体"/>
                <w:vanish/>
              </w:rPr>
            </w:pPr>
          </w:p>
        </w:tc>
        <w:tc>
          <w:tcPr>
            <w:tcW w:w="0" w:type="auto"/>
            <w:gridSpan w:val="3"/>
            <w:shd w:val="clear" w:color="auto" w:fill="auto"/>
            <w:vAlign w:val="bottom"/>
          </w:tcPr>
          <w:p w14:paraId="5F2CF237" w14:textId="77777777" w:rsidR="00E836FB" w:rsidRDefault="00E836FB">
            <w:pPr>
              <w:rPr>
                <w:rFonts w:ascii="宋体"/>
                <w:vanish/>
              </w:rPr>
            </w:pPr>
          </w:p>
        </w:tc>
        <w:tc>
          <w:tcPr>
            <w:tcW w:w="0" w:type="auto"/>
            <w:gridSpan w:val="3"/>
            <w:shd w:val="clear" w:color="auto" w:fill="auto"/>
            <w:vAlign w:val="bottom"/>
          </w:tcPr>
          <w:p w14:paraId="5F2CF238" w14:textId="77777777" w:rsidR="00E836FB" w:rsidRDefault="00E836FB">
            <w:pPr>
              <w:rPr>
                <w:rFonts w:ascii="宋体"/>
                <w:vanish/>
              </w:rPr>
            </w:pPr>
          </w:p>
        </w:tc>
        <w:tc>
          <w:tcPr>
            <w:tcW w:w="0" w:type="auto"/>
            <w:gridSpan w:val="3"/>
            <w:shd w:val="clear" w:color="auto" w:fill="auto"/>
            <w:vAlign w:val="bottom"/>
          </w:tcPr>
          <w:p w14:paraId="5F2CF239" w14:textId="77777777" w:rsidR="00E836FB" w:rsidRDefault="00E836FB">
            <w:pPr>
              <w:rPr>
                <w:rFonts w:ascii="宋体"/>
                <w:vanish/>
              </w:rPr>
            </w:pPr>
          </w:p>
        </w:tc>
        <w:tc>
          <w:tcPr>
            <w:tcW w:w="0" w:type="auto"/>
            <w:gridSpan w:val="3"/>
            <w:shd w:val="clear" w:color="auto" w:fill="auto"/>
            <w:vAlign w:val="bottom"/>
          </w:tcPr>
          <w:p w14:paraId="5F2CF23A" w14:textId="77777777" w:rsidR="00E836FB" w:rsidRDefault="00E836FB">
            <w:pPr>
              <w:rPr>
                <w:rFonts w:ascii="宋体"/>
                <w:vanish/>
              </w:rPr>
            </w:pPr>
          </w:p>
        </w:tc>
        <w:tc>
          <w:tcPr>
            <w:tcW w:w="0" w:type="auto"/>
            <w:gridSpan w:val="3"/>
            <w:shd w:val="clear" w:color="auto" w:fill="auto"/>
            <w:vAlign w:val="bottom"/>
          </w:tcPr>
          <w:p w14:paraId="5F2CF23B" w14:textId="77777777" w:rsidR="00E836FB" w:rsidRDefault="00E836FB">
            <w:pPr>
              <w:rPr>
                <w:rFonts w:ascii="宋体"/>
                <w:vanish/>
              </w:rPr>
            </w:pPr>
          </w:p>
        </w:tc>
        <w:tc>
          <w:tcPr>
            <w:tcW w:w="0" w:type="auto"/>
            <w:gridSpan w:val="3"/>
            <w:shd w:val="clear" w:color="auto" w:fill="auto"/>
            <w:vAlign w:val="bottom"/>
          </w:tcPr>
          <w:p w14:paraId="5F2CF23C" w14:textId="77777777" w:rsidR="00E836FB" w:rsidRDefault="00E836FB">
            <w:pPr>
              <w:rPr>
                <w:rFonts w:ascii="宋体"/>
                <w:vanish/>
              </w:rPr>
            </w:pPr>
          </w:p>
        </w:tc>
        <w:tc>
          <w:tcPr>
            <w:tcW w:w="0" w:type="auto"/>
            <w:gridSpan w:val="3"/>
            <w:shd w:val="clear" w:color="auto" w:fill="auto"/>
            <w:vAlign w:val="bottom"/>
          </w:tcPr>
          <w:p w14:paraId="5F2CF23D" w14:textId="77777777" w:rsidR="00E836FB" w:rsidRDefault="00E836FB">
            <w:pPr>
              <w:rPr>
                <w:rFonts w:ascii="宋体"/>
                <w:vanish/>
              </w:rPr>
            </w:pPr>
          </w:p>
        </w:tc>
        <w:tc>
          <w:tcPr>
            <w:tcW w:w="0" w:type="auto"/>
            <w:gridSpan w:val="3"/>
            <w:shd w:val="clear" w:color="auto" w:fill="auto"/>
            <w:vAlign w:val="bottom"/>
          </w:tcPr>
          <w:p w14:paraId="5F2CF23E" w14:textId="77777777" w:rsidR="00E836FB" w:rsidRDefault="00E836FB">
            <w:pPr>
              <w:rPr>
                <w:rFonts w:ascii="宋体"/>
                <w:vanish/>
              </w:rPr>
            </w:pPr>
          </w:p>
        </w:tc>
        <w:tc>
          <w:tcPr>
            <w:tcW w:w="0" w:type="auto"/>
            <w:gridSpan w:val="3"/>
            <w:shd w:val="clear" w:color="auto" w:fill="auto"/>
            <w:vAlign w:val="bottom"/>
          </w:tcPr>
          <w:p w14:paraId="5F2CF23F" w14:textId="77777777" w:rsidR="00E836FB" w:rsidRDefault="00E836FB">
            <w:pPr>
              <w:rPr>
                <w:rFonts w:ascii="宋体"/>
                <w:vanish/>
              </w:rPr>
            </w:pPr>
          </w:p>
        </w:tc>
        <w:tc>
          <w:tcPr>
            <w:tcW w:w="0" w:type="auto"/>
            <w:gridSpan w:val="3"/>
            <w:shd w:val="clear" w:color="auto" w:fill="auto"/>
            <w:vAlign w:val="bottom"/>
          </w:tcPr>
          <w:p w14:paraId="5F2CF240" w14:textId="77777777" w:rsidR="00E836FB" w:rsidRDefault="00E836FB">
            <w:pPr>
              <w:rPr>
                <w:rFonts w:ascii="宋体"/>
                <w:vanish/>
              </w:rPr>
            </w:pPr>
          </w:p>
        </w:tc>
      </w:tr>
      <w:tr w:rsidR="00E836FB" w14:paraId="5F2CF254" w14:textId="77777777">
        <w:trPr>
          <w:hidden/>
        </w:trPr>
        <w:tc>
          <w:tcPr>
            <w:tcW w:w="0" w:type="auto"/>
            <w:gridSpan w:val="3"/>
            <w:shd w:val="clear" w:color="auto" w:fill="auto"/>
            <w:vAlign w:val="bottom"/>
          </w:tcPr>
          <w:p w14:paraId="5F2CF242" w14:textId="77777777" w:rsidR="00E836FB" w:rsidRDefault="00E836FB">
            <w:pPr>
              <w:rPr>
                <w:rFonts w:ascii="宋体"/>
                <w:vanish/>
              </w:rPr>
            </w:pPr>
          </w:p>
        </w:tc>
        <w:tc>
          <w:tcPr>
            <w:tcW w:w="0" w:type="auto"/>
            <w:gridSpan w:val="3"/>
            <w:shd w:val="clear" w:color="auto" w:fill="auto"/>
            <w:vAlign w:val="bottom"/>
          </w:tcPr>
          <w:p w14:paraId="5F2CF243" w14:textId="77777777" w:rsidR="00E836FB" w:rsidRDefault="00E836FB">
            <w:pPr>
              <w:rPr>
                <w:rFonts w:ascii="宋体"/>
                <w:vanish/>
              </w:rPr>
            </w:pPr>
          </w:p>
        </w:tc>
        <w:tc>
          <w:tcPr>
            <w:tcW w:w="0" w:type="auto"/>
            <w:gridSpan w:val="3"/>
            <w:shd w:val="clear" w:color="auto" w:fill="auto"/>
            <w:vAlign w:val="bottom"/>
          </w:tcPr>
          <w:p w14:paraId="5F2CF244" w14:textId="77777777" w:rsidR="00E836FB" w:rsidRDefault="00E836FB">
            <w:pPr>
              <w:rPr>
                <w:rFonts w:ascii="宋体"/>
                <w:vanish/>
              </w:rPr>
            </w:pPr>
          </w:p>
        </w:tc>
        <w:tc>
          <w:tcPr>
            <w:tcW w:w="0" w:type="auto"/>
            <w:gridSpan w:val="3"/>
            <w:shd w:val="clear" w:color="auto" w:fill="auto"/>
            <w:vAlign w:val="bottom"/>
          </w:tcPr>
          <w:p w14:paraId="5F2CF245" w14:textId="77777777" w:rsidR="00E836FB" w:rsidRDefault="00E836FB">
            <w:pPr>
              <w:rPr>
                <w:rFonts w:ascii="宋体"/>
                <w:vanish/>
              </w:rPr>
            </w:pPr>
          </w:p>
        </w:tc>
        <w:tc>
          <w:tcPr>
            <w:tcW w:w="0" w:type="auto"/>
            <w:gridSpan w:val="3"/>
            <w:shd w:val="clear" w:color="auto" w:fill="auto"/>
            <w:vAlign w:val="bottom"/>
          </w:tcPr>
          <w:p w14:paraId="5F2CF246" w14:textId="77777777" w:rsidR="00E836FB" w:rsidRDefault="00E836FB">
            <w:pPr>
              <w:rPr>
                <w:rFonts w:ascii="宋体"/>
                <w:vanish/>
              </w:rPr>
            </w:pPr>
          </w:p>
        </w:tc>
        <w:tc>
          <w:tcPr>
            <w:tcW w:w="0" w:type="auto"/>
            <w:gridSpan w:val="3"/>
            <w:shd w:val="clear" w:color="auto" w:fill="auto"/>
            <w:vAlign w:val="bottom"/>
          </w:tcPr>
          <w:p w14:paraId="5F2CF247" w14:textId="77777777" w:rsidR="00E836FB" w:rsidRDefault="00E836FB">
            <w:pPr>
              <w:rPr>
                <w:rFonts w:ascii="宋体"/>
                <w:vanish/>
              </w:rPr>
            </w:pPr>
          </w:p>
        </w:tc>
        <w:tc>
          <w:tcPr>
            <w:tcW w:w="0" w:type="auto"/>
            <w:gridSpan w:val="3"/>
            <w:shd w:val="clear" w:color="auto" w:fill="auto"/>
            <w:vAlign w:val="bottom"/>
          </w:tcPr>
          <w:p w14:paraId="5F2CF248" w14:textId="77777777" w:rsidR="00E836FB" w:rsidRDefault="00E836FB">
            <w:pPr>
              <w:rPr>
                <w:rFonts w:ascii="宋体"/>
                <w:vanish/>
              </w:rPr>
            </w:pPr>
          </w:p>
        </w:tc>
        <w:tc>
          <w:tcPr>
            <w:tcW w:w="0" w:type="auto"/>
            <w:gridSpan w:val="3"/>
            <w:shd w:val="clear" w:color="auto" w:fill="auto"/>
            <w:vAlign w:val="bottom"/>
          </w:tcPr>
          <w:p w14:paraId="5F2CF249" w14:textId="77777777" w:rsidR="00E836FB" w:rsidRDefault="00E836FB">
            <w:pPr>
              <w:rPr>
                <w:rFonts w:ascii="宋体"/>
                <w:vanish/>
              </w:rPr>
            </w:pPr>
          </w:p>
        </w:tc>
        <w:tc>
          <w:tcPr>
            <w:tcW w:w="0" w:type="auto"/>
            <w:gridSpan w:val="3"/>
            <w:shd w:val="clear" w:color="auto" w:fill="auto"/>
            <w:vAlign w:val="bottom"/>
          </w:tcPr>
          <w:p w14:paraId="5F2CF24A" w14:textId="77777777" w:rsidR="00E836FB" w:rsidRDefault="00E836FB">
            <w:pPr>
              <w:rPr>
                <w:rFonts w:ascii="宋体"/>
                <w:vanish/>
              </w:rPr>
            </w:pPr>
          </w:p>
        </w:tc>
        <w:tc>
          <w:tcPr>
            <w:tcW w:w="0" w:type="auto"/>
            <w:gridSpan w:val="3"/>
            <w:shd w:val="clear" w:color="auto" w:fill="auto"/>
            <w:vAlign w:val="bottom"/>
          </w:tcPr>
          <w:p w14:paraId="5F2CF24B" w14:textId="77777777" w:rsidR="00E836FB" w:rsidRDefault="00E836FB">
            <w:pPr>
              <w:rPr>
                <w:rFonts w:ascii="宋体"/>
                <w:vanish/>
              </w:rPr>
            </w:pPr>
          </w:p>
        </w:tc>
        <w:tc>
          <w:tcPr>
            <w:tcW w:w="0" w:type="auto"/>
            <w:gridSpan w:val="3"/>
            <w:shd w:val="clear" w:color="auto" w:fill="auto"/>
            <w:vAlign w:val="bottom"/>
          </w:tcPr>
          <w:p w14:paraId="5F2CF24C" w14:textId="77777777" w:rsidR="00E836FB" w:rsidRDefault="00E836FB">
            <w:pPr>
              <w:rPr>
                <w:rFonts w:ascii="宋体"/>
                <w:vanish/>
              </w:rPr>
            </w:pPr>
          </w:p>
        </w:tc>
        <w:tc>
          <w:tcPr>
            <w:tcW w:w="0" w:type="auto"/>
            <w:gridSpan w:val="3"/>
            <w:shd w:val="clear" w:color="auto" w:fill="auto"/>
            <w:vAlign w:val="bottom"/>
          </w:tcPr>
          <w:p w14:paraId="5F2CF24D" w14:textId="77777777" w:rsidR="00E836FB" w:rsidRDefault="00E836FB">
            <w:pPr>
              <w:rPr>
                <w:rFonts w:ascii="宋体"/>
                <w:vanish/>
              </w:rPr>
            </w:pPr>
          </w:p>
        </w:tc>
        <w:tc>
          <w:tcPr>
            <w:tcW w:w="0" w:type="auto"/>
            <w:gridSpan w:val="3"/>
            <w:shd w:val="clear" w:color="auto" w:fill="auto"/>
            <w:vAlign w:val="bottom"/>
          </w:tcPr>
          <w:p w14:paraId="5F2CF24E" w14:textId="77777777" w:rsidR="00E836FB" w:rsidRDefault="00E836FB">
            <w:pPr>
              <w:rPr>
                <w:rFonts w:ascii="宋体"/>
                <w:vanish/>
              </w:rPr>
            </w:pPr>
          </w:p>
        </w:tc>
        <w:tc>
          <w:tcPr>
            <w:tcW w:w="0" w:type="auto"/>
            <w:gridSpan w:val="3"/>
            <w:shd w:val="clear" w:color="auto" w:fill="auto"/>
            <w:vAlign w:val="bottom"/>
          </w:tcPr>
          <w:p w14:paraId="5F2CF24F" w14:textId="77777777" w:rsidR="00E836FB" w:rsidRDefault="00E836FB">
            <w:pPr>
              <w:rPr>
                <w:rFonts w:ascii="宋体"/>
                <w:vanish/>
              </w:rPr>
            </w:pPr>
          </w:p>
        </w:tc>
        <w:tc>
          <w:tcPr>
            <w:tcW w:w="0" w:type="auto"/>
            <w:gridSpan w:val="3"/>
            <w:shd w:val="clear" w:color="auto" w:fill="auto"/>
            <w:vAlign w:val="bottom"/>
          </w:tcPr>
          <w:p w14:paraId="5F2CF250" w14:textId="77777777" w:rsidR="00E836FB" w:rsidRDefault="00E836FB">
            <w:pPr>
              <w:rPr>
                <w:rFonts w:ascii="宋体"/>
                <w:vanish/>
              </w:rPr>
            </w:pPr>
          </w:p>
        </w:tc>
        <w:tc>
          <w:tcPr>
            <w:tcW w:w="0" w:type="auto"/>
            <w:gridSpan w:val="3"/>
            <w:shd w:val="clear" w:color="auto" w:fill="auto"/>
            <w:vAlign w:val="bottom"/>
          </w:tcPr>
          <w:p w14:paraId="5F2CF251" w14:textId="77777777" w:rsidR="00E836FB" w:rsidRDefault="00E836FB">
            <w:pPr>
              <w:rPr>
                <w:rFonts w:ascii="宋体"/>
                <w:vanish/>
              </w:rPr>
            </w:pPr>
          </w:p>
        </w:tc>
        <w:tc>
          <w:tcPr>
            <w:tcW w:w="0" w:type="auto"/>
            <w:gridSpan w:val="3"/>
            <w:shd w:val="clear" w:color="auto" w:fill="auto"/>
            <w:vAlign w:val="bottom"/>
          </w:tcPr>
          <w:p w14:paraId="5F2CF252" w14:textId="77777777" w:rsidR="00E836FB" w:rsidRDefault="00E836FB">
            <w:pPr>
              <w:rPr>
                <w:rFonts w:ascii="宋体"/>
                <w:vanish/>
              </w:rPr>
            </w:pPr>
          </w:p>
        </w:tc>
        <w:tc>
          <w:tcPr>
            <w:tcW w:w="0" w:type="auto"/>
            <w:gridSpan w:val="3"/>
            <w:shd w:val="clear" w:color="auto" w:fill="auto"/>
            <w:vAlign w:val="bottom"/>
          </w:tcPr>
          <w:p w14:paraId="5F2CF253" w14:textId="77777777" w:rsidR="00E836FB" w:rsidRDefault="00E836FB">
            <w:pPr>
              <w:rPr>
                <w:rFonts w:ascii="宋体"/>
                <w:vanish/>
              </w:rPr>
            </w:pPr>
          </w:p>
        </w:tc>
      </w:tr>
      <w:tr w:rsidR="00E836FB" w14:paraId="5F2CF267" w14:textId="77777777">
        <w:trPr>
          <w:hidden/>
        </w:trPr>
        <w:tc>
          <w:tcPr>
            <w:tcW w:w="0" w:type="auto"/>
            <w:gridSpan w:val="3"/>
            <w:shd w:val="clear" w:color="auto" w:fill="auto"/>
            <w:vAlign w:val="bottom"/>
          </w:tcPr>
          <w:p w14:paraId="5F2CF255" w14:textId="77777777" w:rsidR="00E836FB" w:rsidRDefault="00E836FB">
            <w:pPr>
              <w:rPr>
                <w:rFonts w:ascii="宋体"/>
                <w:vanish/>
              </w:rPr>
            </w:pPr>
          </w:p>
        </w:tc>
        <w:tc>
          <w:tcPr>
            <w:tcW w:w="0" w:type="auto"/>
            <w:gridSpan w:val="3"/>
            <w:shd w:val="clear" w:color="auto" w:fill="auto"/>
            <w:vAlign w:val="bottom"/>
          </w:tcPr>
          <w:p w14:paraId="5F2CF256" w14:textId="77777777" w:rsidR="00E836FB" w:rsidRDefault="00E836FB">
            <w:pPr>
              <w:rPr>
                <w:rFonts w:ascii="宋体"/>
                <w:vanish/>
              </w:rPr>
            </w:pPr>
          </w:p>
        </w:tc>
        <w:tc>
          <w:tcPr>
            <w:tcW w:w="0" w:type="auto"/>
            <w:gridSpan w:val="3"/>
            <w:shd w:val="clear" w:color="auto" w:fill="auto"/>
            <w:vAlign w:val="bottom"/>
          </w:tcPr>
          <w:p w14:paraId="5F2CF257" w14:textId="77777777" w:rsidR="00E836FB" w:rsidRDefault="00E836FB">
            <w:pPr>
              <w:rPr>
                <w:rFonts w:ascii="宋体"/>
                <w:vanish/>
              </w:rPr>
            </w:pPr>
          </w:p>
        </w:tc>
        <w:tc>
          <w:tcPr>
            <w:tcW w:w="0" w:type="auto"/>
            <w:gridSpan w:val="3"/>
            <w:shd w:val="clear" w:color="auto" w:fill="auto"/>
            <w:vAlign w:val="bottom"/>
          </w:tcPr>
          <w:p w14:paraId="5F2CF258" w14:textId="77777777" w:rsidR="00E836FB" w:rsidRDefault="00E836FB">
            <w:pPr>
              <w:rPr>
                <w:rFonts w:ascii="宋体"/>
                <w:vanish/>
              </w:rPr>
            </w:pPr>
          </w:p>
        </w:tc>
        <w:tc>
          <w:tcPr>
            <w:tcW w:w="0" w:type="auto"/>
            <w:gridSpan w:val="3"/>
            <w:shd w:val="clear" w:color="auto" w:fill="auto"/>
            <w:vAlign w:val="bottom"/>
          </w:tcPr>
          <w:p w14:paraId="5F2CF259" w14:textId="77777777" w:rsidR="00E836FB" w:rsidRDefault="00E836FB">
            <w:pPr>
              <w:rPr>
                <w:rFonts w:ascii="宋体"/>
                <w:vanish/>
              </w:rPr>
            </w:pPr>
          </w:p>
        </w:tc>
        <w:tc>
          <w:tcPr>
            <w:tcW w:w="0" w:type="auto"/>
            <w:gridSpan w:val="3"/>
            <w:shd w:val="clear" w:color="auto" w:fill="auto"/>
            <w:vAlign w:val="bottom"/>
          </w:tcPr>
          <w:p w14:paraId="5F2CF25A" w14:textId="77777777" w:rsidR="00E836FB" w:rsidRDefault="00E836FB">
            <w:pPr>
              <w:rPr>
                <w:rFonts w:ascii="宋体"/>
                <w:vanish/>
              </w:rPr>
            </w:pPr>
          </w:p>
        </w:tc>
        <w:tc>
          <w:tcPr>
            <w:tcW w:w="0" w:type="auto"/>
            <w:gridSpan w:val="3"/>
            <w:shd w:val="clear" w:color="auto" w:fill="auto"/>
            <w:vAlign w:val="bottom"/>
          </w:tcPr>
          <w:p w14:paraId="5F2CF25B" w14:textId="77777777" w:rsidR="00E836FB" w:rsidRDefault="00E836FB">
            <w:pPr>
              <w:rPr>
                <w:rFonts w:ascii="宋体"/>
                <w:vanish/>
              </w:rPr>
            </w:pPr>
          </w:p>
        </w:tc>
        <w:tc>
          <w:tcPr>
            <w:tcW w:w="0" w:type="auto"/>
            <w:gridSpan w:val="3"/>
            <w:shd w:val="clear" w:color="auto" w:fill="auto"/>
            <w:vAlign w:val="bottom"/>
          </w:tcPr>
          <w:p w14:paraId="5F2CF25C" w14:textId="77777777" w:rsidR="00E836FB" w:rsidRDefault="00E836FB">
            <w:pPr>
              <w:rPr>
                <w:rFonts w:ascii="宋体"/>
                <w:vanish/>
              </w:rPr>
            </w:pPr>
          </w:p>
        </w:tc>
        <w:tc>
          <w:tcPr>
            <w:tcW w:w="0" w:type="auto"/>
            <w:gridSpan w:val="3"/>
            <w:shd w:val="clear" w:color="auto" w:fill="auto"/>
            <w:vAlign w:val="bottom"/>
          </w:tcPr>
          <w:p w14:paraId="5F2CF25D" w14:textId="77777777" w:rsidR="00E836FB" w:rsidRDefault="00E836FB">
            <w:pPr>
              <w:rPr>
                <w:rFonts w:ascii="宋体"/>
                <w:vanish/>
              </w:rPr>
            </w:pPr>
          </w:p>
        </w:tc>
        <w:tc>
          <w:tcPr>
            <w:tcW w:w="0" w:type="auto"/>
            <w:gridSpan w:val="3"/>
            <w:shd w:val="clear" w:color="auto" w:fill="auto"/>
            <w:vAlign w:val="bottom"/>
          </w:tcPr>
          <w:p w14:paraId="5F2CF25E" w14:textId="77777777" w:rsidR="00E836FB" w:rsidRDefault="00E836FB">
            <w:pPr>
              <w:rPr>
                <w:rFonts w:ascii="宋体"/>
                <w:vanish/>
              </w:rPr>
            </w:pPr>
          </w:p>
        </w:tc>
        <w:tc>
          <w:tcPr>
            <w:tcW w:w="0" w:type="auto"/>
            <w:gridSpan w:val="3"/>
            <w:shd w:val="clear" w:color="auto" w:fill="auto"/>
            <w:vAlign w:val="bottom"/>
          </w:tcPr>
          <w:p w14:paraId="5F2CF25F" w14:textId="77777777" w:rsidR="00E836FB" w:rsidRDefault="00E836FB">
            <w:pPr>
              <w:rPr>
                <w:rFonts w:ascii="宋体"/>
                <w:vanish/>
              </w:rPr>
            </w:pPr>
          </w:p>
        </w:tc>
        <w:tc>
          <w:tcPr>
            <w:tcW w:w="0" w:type="auto"/>
            <w:gridSpan w:val="3"/>
            <w:shd w:val="clear" w:color="auto" w:fill="auto"/>
            <w:vAlign w:val="bottom"/>
          </w:tcPr>
          <w:p w14:paraId="5F2CF260" w14:textId="77777777" w:rsidR="00E836FB" w:rsidRDefault="00E836FB">
            <w:pPr>
              <w:rPr>
                <w:rFonts w:ascii="宋体"/>
                <w:vanish/>
              </w:rPr>
            </w:pPr>
          </w:p>
        </w:tc>
        <w:tc>
          <w:tcPr>
            <w:tcW w:w="0" w:type="auto"/>
            <w:gridSpan w:val="3"/>
            <w:shd w:val="clear" w:color="auto" w:fill="auto"/>
            <w:vAlign w:val="bottom"/>
          </w:tcPr>
          <w:p w14:paraId="5F2CF261" w14:textId="77777777" w:rsidR="00E836FB" w:rsidRDefault="00E836FB">
            <w:pPr>
              <w:rPr>
                <w:rFonts w:ascii="宋体"/>
                <w:vanish/>
              </w:rPr>
            </w:pPr>
          </w:p>
        </w:tc>
        <w:tc>
          <w:tcPr>
            <w:tcW w:w="0" w:type="auto"/>
            <w:gridSpan w:val="3"/>
            <w:shd w:val="clear" w:color="auto" w:fill="auto"/>
            <w:vAlign w:val="bottom"/>
          </w:tcPr>
          <w:p w14:paraId="5F2CF262" w14:textId="77777777" w:rsidR="00E836FB" w:rsidRDefault="00E836FB">
            <w:pPr>
              <w:rPr>
                <w:rFonts w:ascii="宋体"/>
                <w:vanish/>
              </w:rPr>
            </w:pPr>
          </w:p>
        </w:tc>
        <w:tc>
          <w:tcPr>
            <w:tcW w:w="0" w:type="auto"/>
            <w:gridSpan w:val="3"/>
            <w:shd w:val="clear" w:color="auto" w:fill="auto"/>
            <w:vAlign w:val="bottom"/>
          </w:tcPr>
          <w:p w14:paraId="5F2CF263" w14:textId="77777777" w:rsidR="00E836FB" w:rsidRDefault="00E836FB">
            <w:pPr>
              <w:rPr>
                <w:rFonts w:ascii="宋体"/>
                <w:vanish/>
              </w:rPr>
            </w:pPr>
          </w:p>
        </w:tc>
        <w:tc>
          <w:tcPr>
            <w:tcW w:w="0" w:type="auto"/>
            <w:gridSpan w:val="3"/>
            <w:shd w:val="clear" w:color="auto" w:fill="auto"/>
            <w:vAlign w:val="bottom"/>
          </w:tcPr>
          <w:p w14:paraId="5F2CF264" w14:textId="77777777" w:rsidR="00E836FB" w:rsidRDefault="00E836FB">
            <w:pPr>
              <w:rPr>
                <w:rFonts w:ascii="宋体"/>
                <w:vanish/>
              </w:rPr>
            </w:pPr>
          </w:p>
        </w:tc>
        <w:tc>
          <w:tcPr>
            <w:tcW w:w="0" w:type="auto"/>
            <w:gridSpan w:val="3"/>
            <w:shd w:val="clear" w:color="auto" w:fill="auto"/>
            <w:vAlign w:val="bottom"/>
          </w:tcPr>
          <w:p w14:paraId="5F2CF265" w14:textId="77777777" w:rsidR="00E836FB" w:rsidRDefault="00E836FB">
            <w:pPr>
              <w:rPr>
                <w:rFonts w:ascii="宋体"/>
                <w:vanish/>
              </w:rPr>
            </w:pPr>
          </w:p>
        </w:tc>
        <w:tc>
          <w:tcPr>
            <w:tcW w:w="0" w:type="auto"/>
            <w:gridSpan w:val="3"/>
            <w:shd w:val="clear" w:color="auto" w:fill="auto"/>
            <w:vAlign w:val="bottom"/>
          </w:tcPr>
          <w:p w14:paraId="5F2CF266" w14:textId="77777777" w:rsidR="00E836FB" w:rsidRDefault="00E836FB">
            <w:pPr>
              <w:rPr>
                <w:rFonts w:ascii="宋体"/>
                <w:vanish/>
              </w:rPr>
            </w:pPr>
          </w:p>
        </w:tc>
      </w:tr>
      <w:tr w:rsidR="00E836FB" w14:paraId="5F2CF27A" w14:textId="77777777">
        <w:trPr>
          <w:hidden/>
        </w:trPr>
        <w:tc>
          <w:tcPr>
            <w:tcW w:w="0" w:type="auto"/>
            <w:gridSpan w:val="3"/>
            <w:shd w:val="clear" w:color="auto" w:fill="auto"/>
            <w:vAlign w:val="bottom"/>
          </w:tcPr>
          <w:p w14:paraId="5F2CF268" w14:textId="77777777" w:rsidR="00E836FB" w:rsidRDefault="00E836FB">
            <w:pPr>
              <w:rPr>
                <w:rFonts w:ascii="宋体"/>
                <w:vanish/>
              </w:rPr>
            </w:pPr>
          </w:p>
        </w:tc>
        <w:tc>
          <w:tcPr>
            <w:tcW w:w="0" w:type="auto"/>
            <w:gridSpan w:val="3"/>
            <w:shd w:val="clear" w:color="auto" w:fill="auto"/>
            <w:vAlign w:val="bottom"/>
          </w:tcPr>
          <w:p w14:paraId="5F2CF269" w14:textId="77777777" w:rsidR="00E836FB" w:rsidRDefault="00E836FB">
            <w:pPr>
              <w:rPr>
                <w:rFonts w:ascii="宋体"/>
                <w:vanish/>
              </w:rPr>
            </w:pPr>
          </w:p>
        </w:tc>
        <w:tc>
          <w:tcPr>
            <w:tcW w:w="0" w:type="auto"/>
            <w:gridSpan w:val="3"/>
            <w:shd w:val="clear" w:color="auto" w:fill="auto"/>
            <w:vAlign w:val="bottom"/>
          </w:tcPr>
          <w:p w14:paraId="5F2CF26A" w14:textId="77777777" w:rsidR="00E836FB" w:rsidRDefault="00E836FB">
            <w:pPr>
              <w:rPr>
                <w:rFonts w:ascii="宋体"/>
                <w:vanish/>
              </w:rPr>
            </w:pPr>
          </w:p>
        </w:tc>
        <w:tc>
          <w:tcPr>
            <w:tcW w:w="0" w:type="auto"/>
            <w:gridSpan w:val="3"/>
            <w:shd w:val="clear" w:color="auto" w:fill="auto"/>
            <w:vAlign w:val="bottom"/>
          </w:tcPr>
          <w:p w14:paraId="5F2CF26B" w14:textId="77777777" w:rsidR="00E836FB" w:rsidRDefault="00E836FB">
            <w:pPr>
              <w:rPr>
                <w:rFonts w:ascii="宋体"/>
                <w:vanish/>
              </w:rPr>
            </w:pPr>
          </w:p>
        </w:tc>
        <w:tc>
          <w:tcPr>
            <w:tcW w:w="0" w:type="auto"/>
            <w:gridSpan w:val="3"/>
            <w:shd w:val="clear" w:color="auto" w:fill="auto"/>
            <w:vAlign w:val="bottom"/>
          </w:tcPr>
          <w:p w14:paraId="5F2CF26C" w14:textId="77777777" w:rsidR="00E836FB" w:rsidRDefault="00E836FB">
            <w:pPr>
              <w:rPr>
                <w:rFonts w:ascii="宋体"/>
                <w:vanish/>
              </w:rPr>
            </w:pPr>
          </w:p>
        </w:tc>
        <w:tc>
          <w:tcPr>
            <w:tcW w:w="0" w:type="auto"/>
            <w:gridSpan w:val="3"/>
            <w:shd w:val="clear" w:color="auto" w:fill="auto"/>
            <w:vAlign w:val="bottom"/>
          </w:tcPr>
          <w:p w14:paraId="5F2CF26D" w14:textId="77777777" w:rsidR="00E836FB" w:rsidRDefault="00E836FB">
            <w:pPr>
              <w:rPr>
                <w:rFonts w:ascii="宋体"/>
                <w:vanish/>
              </w:rPr>
            </w:pPr>
          </w:p>
        </w:tc>
        <w:tc>
          <w:tcPr>
            <w:tcW w:w="0" w:type="auto"/>
            <w:gridSpan w:val="3"/>
            <w:shd w:val="clear" w:color="auto" w:fill="auto"/>
            <w:vAlign w:val="bottom"/>
          </w:tcPr>
          <w:p w14:paraId="5F2CF26E" w14:textId="77777777" w:rsidR="00E836FB" w:rsidRDefault="00E836FB">
            <w:pPr>
              <w:rPr>
                <w:rFonts w:ascii="宋体"/>
                <w:vanish/>
              </w:rPr>
            </w:pPr>
          </w:p>
        </w:tc>
        <w:tc>
          <w:tcPr>
            <w:tcW w:w="0" w:type="auto"/>
            <w:gridSpan w:val="3"/>
            <w:shd w:val="clear" w:color="auto" w:fill="auto"/>
            <w:vAlign w:val="bottom"/>
          </w:tcPr>
          <w:p w14:paraId="5F2CF26F" w14:textId="77777777" w:rsidR="00E836FB" w:rsidRDefault="00E836FB">
            <w:pPr>
              <w:rPr>
                <w:rFonts w:ascii="宋体"/>
                <w:vanish/>
              </w:rPr>
            </w:pPr>
          </w:p>
        </w:tc>
        <w:tc>
          <w:tcPr>
            <w:tcW w:w="0" w:type="auto"/>
            <w:gridSpan w:val="3"/>
            <w:shd w:val="clear" w:color="auto" w:fill="auto"/>
            <w:vAlign w:val="bottom"/>
          </w:tcPr>
          <w:p w14:paraId="5F2CF270" w14:textId="77777777" w:rsidR="00E836FB" w:rsidRDefault="00E836FB">
            <w:pPr>
              <w:rPr>
                <w:rFonts w:ascii="宋体"/>
                <w:vanish/>
              </w:rPr>
            </w:pPr>
          </w:p>
        </w:tc>
        <w:tc>
          <w:tcPr>
            <w:tcW w:w="0" w:type="auto"/>
            <w:gridSpan w:val="3"/>
            <w:shd w:val="clear" w:color="auto" w:fill="auto"/>
            <w:vAlign w:val="bottom"/>
          </w:tcPr>
          <w:p w14:paraId="5F2CF271" w14:textId="77777777" w:rsidR="00E836FB" w:rsidRDefault="00E836FB">
            <w:pPr>
              <w:rPr>
                <w:rFonts w:ascii="宋体"/>
                <w:vanish/>
              </w:rPr>
            </w:pPr>
          </w:p>
        </w:tc>
        <w:tc>
          <w:tcPr>
            <w:tcW w:w="0" w:type="auto"/>
            <w:gridSpan w:val="3"/>
            <w:shd w:val="clear" w:color="auto" w:fill="auto"/>
            <w:vAlign w:val="bottom"/>
          </w:tcPr>
          <w:p w14:paraId="5F2CF272" w14:textId="77777777" w:rsidR="00E836FB" w:rsidRDefault="00E836FB">
            <w:pPr>
              <w:rPr>
                <w:rFonts w:ascii="宋体"/>
                <w:vanish/>
              </w:rPr>
            </w:pPr>
          </w:p>
        </w:tc>
        <w:tc>
          <w:tcPr>
            <w:tcW w:w="0" w:type="auto"/>
            <w:gridSpan w:val="3"/>
            <w:shd w:val="clear" w:color="auto" w:fill="auto"/>
            <w:vAlign w:val="bottom"/>
          </w:tcPr>
          <w:p w14:paraId="5F2CF273" w14:textId="77777777" w:rsidR="00E836FB" w:rsidRDefault="00E836FB">
            <w:pPr>
              <w:rPr>
                <w:rFonts w:ascii="宋体"/>
                <w:vanish/>
              </w:rPr>
            </w:pPr>
          </w:p>
        </w:tc>
        <w:tc>
          <w:tcPr>
            <w:tcW w:w="0" w:type="auto"/>
            <w:gridSpan w:val="3"/>
            <w:shd w:val="clear" w:color="auto" w:fill="auto"/>
            <w:vAlign w:val="bottom"/>
          </w:tcPr>
          <w:p w14:paraId="5F2CF274" w14:textId="77777777" w:rsidR="00E836FB" w:rsidRDefault="00E836FB">
            <w:pPr>
              <w:rPr>
                <w:rFonts w:ascii="宋体"/>
                <w:vanish/>
              </w:rPr>
            </w:pPr>
          </w:p>
        </w:tc>
        <w:tc>
          <w:tcPr>
            <w:tcW w:w="0" w:type="auto"/>
            <w:gridSpan w:val="3"/>
            <w:shd w:val="clear" w:color="auto" w:fill="auto"/>
            <w:vAlign w:val="bottom"/>
          </w:tcPr>
          <w:p w14:paraId="5F2CF275" w14:textId="77777777" w:rsidR="00E836FB" w:rsidRDefault="00E836FB">
            <w:pPr>
              <w:rPr>
                <w:rFonts w:ascii="宋体"/>
                <w:vanish/>
              </w:rPr>
            </w:pPr>
          </w:p>
        </w:tc>
        <w:tc>
          <w:tcPr>
            <w:tcW w:w="0" w:type="auto"/>
            <w:gridSpan w:val="3"/>
            <w:shd w:val="clear" w:color="auto" w:fill="auto"/>
            <w:vAlign w:val="bottom"/>
          </w:tcPr>
          <w:p w14:paraId="5F2CF276" w14:textId="77777777" w:rsidR="00E836FB" w:rsidRDefault="00E836FB">
            <w:pPr>
              <w:rPr>
                <w:rFonts w:ascii="宋体"/>
                <w:vanish/>
              </w:rPr>
            </w:pPr>
          </w:p>
        </w:tc>
        <w:tc>
          <w:tcPr>
            <w:tcW w:w="0" w:type="auto"/>
            <w:gridSpan w:val="3"/>
            <w:shd w:val="clear" w:color="auto" w:fill="auto"/>
            <w:vAlign w:val="bottom"/>
          </w:tcPr>
          <w:p w14:paraId="5F2CF277" w14:textId="77777777" w:rsidR="00E836FB" w:rsidRDefault="00E836FB">
            <w:pPr>
              <w:rPr>
                <w:rFonts w:ascii="宋体"/>
                <w:vanish/>
              </w:rPr>
            </w:pPr>
          </w:p>
        </w:tc>
        <w:tc>
          <w:tcPr>
            <w:tcW w:w="0" w:type="auto"/>
            <w:gridSpan w:val="3"/>
            <w:shd w:val="clear" w:color="auto" w:fill="auto"/>
            <w:vAlign w:val="bottom"/>
          </w:tcPr>
          <w:p w14:paraId="5F2CF278" w14:textId="77777777" w:rsidR="00E836FB" w:rsidRDefault="00E836FB">
            <w:pPr>
              <w:rPr>
                <w:rFonts w:ascii="宋体"/>
                <w:vanish/>
              </w:rPr>
            </w:pPr>
          </w:p>
        </w:tc>
        <w:tc>
          <w:tcPr>
            <w:tcW w:w="0" w:type="auto"/>
            <w:gridSpan w:val="3"/>
            <w:shd w:val="clear" w:color="auto" w:fill="auto"/>
            <w:vAlign w:val="bottom"/>
          </w:tcPr>
          <w:p w14:paraId="5F2CF279" w14:textId="77777777" w:rsidR="00E836FB" w:rsidRDefault="00E836FB">
            <w:pPr>
              <w:rPr>
                <w:rFonts w:ascii="宋体"/>
                <w:vanish/>
              </w:rPr>
            </w:pPr>
          </w:p>
        </w:tc>
      </w:tr>
      <w:tr w:rsidR="00E836FB" w14:paraId="5F2CF28D" w14:textId="77777777">
        <w:trPr>
          <w:hidden/>
        </w:trPr>
        <w:tc>
          <w:tcPr>
            <w:tcW w:w="0" w:type="auto"/>
            <w:gridSpan w:val="3"/>
            <w:shd w:val="clear" w:color="auto" w:fill="auto"/>
            <w:vAlign w:val="bottom"/>
          </w:tcPr>
          <w:p w14:paraId="5F2CF27B" w14:textId="77777777" w:rsidR="00E836FB" w:rsidRDefault="00E836FB">
            <w:pPr>
              <w:rPr>
                <w:rFonts w:ascii="宋体"/>
                <w:vanish/>
              </w:rPr>
            </w:pPr>
          </w:p>
        </w:tc>
        <w:tc>
          <w:tcPr>
            <w:tcW w:w="0" w:type="auto"/>
            <w:gridSpan w:val="3"/>
            <w:shd w:val="clear" w:color="auto" w:fill="auto"/>
            <w:vAlign w:val="bottom"/>
          </w:tcPr>
          <w:p w14:paraId="5F2CF27C" w14:textId="77777777" w:rsidR="00E836FB" w:rsidRDefault="00E836FB">
            <w:pPr>
              <w:rPr>
                <w:rFonts w:ascii="宋体"/>
                <w:vanish/>
              </w:rPr>
            </w:pPr>
          </w:p>
        </w:tc>
        <w:tc>
          <w:tcPr>
            <w:tcW w:w="0" w:type="auto"/>
            <w:gridSpan w:val="3"/>
            <w:shd w:val="clear" w:color="auto" w:fill="auto"/>
            <w:vAlign w:val="bottom"/>
          </w:tcPr>
          <w:p w14:paraId="5F2CF27D" w14:textId="77777777" w:rsidR="00E836FB" w:rsidRDefault="00E836FB">
            <w:pPr>
              <w:rPr>
                <w:rFonts w:ascii="宋体"/>
                <w:vanish/>
              </w:rPr>
            </w:pPr>
          </w:p>
        </w:tc>
        <w:tc>
          <w:tcPr>
            <w:tcW w:w="0" w:type="auto"/>
            <w:gridSpan w:val="3"/>
            <w:shd w:val="clear" w:color="auto" w:fill="auto"/>
            <w:vAlign w:val="bottom"/>
          </w:tcPr>
          <w:p w14:paraId="5F2CF27E" w14:textId="77777777" w:rsidR="00E836FB" w:rsidRDefault="00E836FB">
            <w:pPr>
              <w:rPr>
                <w:rFonts w:ascii="宋体"/>
                <w:vanish/>
              </w:rPr>
            </w:pPr>
          </w:p>
        </w:tc>
        <w:tc>
          <w:tcPr>
            <w:tcW w:w="0" w:type="auto"/>
            <w:gridSpan w:val="3"/>
            <w:shd w:val="clear" w:color="auto" w:fill="auto"/>
            <w:vAlign w:val="bottom"/>
          </w:tcPr>
          <w:p w14:paraId="5F2CF27F" w14:textId="77777777" w:rsidR="00E836FB" w:rsidRDefault="00E836FB">
            <w:pPr>
              <w:rPr>
                <w:rFonts w:ascii="宋体"/>
                <w:vanish/>
              </w:rPr>
            </w:pPr>
          </w:p>
        </w:tc>
        <w:tc>
          <w:tcPr>
            <w:tcW w:w="0" w:type="auto"/>
            <w:gridSpan w:val="3"/>
            <w:shd w:val="clear" w:color="auto" w:fill="auto"/>
            <w:vAlign w:val="bottom"/>
          </w:tcPr>
          <w:p w14:paraId="5F2CF280" w14:textId="77777777" w:rsidR="00E836FB" w:rsidRDefault="00E836FB">
            <w:pPr>
              <w:rPr>
                <w:rFonts w:ascii="宋体"/>
                <w:vanish/>
              </w:rPr>
            </w:pPr>
          </w:p>
        </w:tc>
        <w:tc>
          <w:tcPr>
            <w:tcW w:w="0" w:type="auto"/>
            <w:gridSpan w:val="3"/>
            <w:shd w:val="clear" w:color="auto" w:fill="auto"/>
            <w:vAlign w:val="bottom"/>
          </w:tcPr>
          <w:p w14:paraId="5F2CF281" w14:textId="77777777" w:rsidR="00E836FB" w:rsidRDefault="00E836FB">
            <w:pPr>
              <w:rPr>
                <w:rFonts w:ascii="宋体"/>
                <w:vanish/>
              </w:rPr>
            </w:pPr>
          </w:p>
        </w:tc>
        <w:tc>
          <w:tcPr>
            <w:tcW w:w="0" w:type="auto"/>
            <w:gridSpan w:val="3"/>
            <w:shd w:val="clear" w:color="auto" w:fill="auto"/>
            <w:vAlign w:val="bottom"/>
          </w:tcPr>
          <w:p w14:paraId="5F2CF282" w14:textId="77777777" w:rsidR="00E836FB" w:rsidRDefault="00E836FB">
            <w:pPr>
              <w:rPr>
                <w:rFonts w:ascii="宋体"/>
                <w:vanish/>
              </w:rPr>
            </w:pPr>
          </w:p>
        </w:tc>
        <w:tc>
          <w:tcPr>
            <w:tcW w:w="0" w:type="auto"/>
            <w:gridSpan w:val="3"/>
            <w:shd w:val="clear" w:color="auto" w:fill="auto"/>
            <w:vAlign w:val="bottom"/>
          </w:tcPr>
          <w:p w14:paraId="5F2CF283" w14:textId="77777777" w:rsidR="00E836FB" w:rsidRDefault="00E836FB">
            <w:pPr>
              <w:rPr>
                <w:rFonts w:ascii="宋体"/>
                <w:vanish/>
              </w:rPr>
            </w:pPr>
          </w:p>
        </w:tc>
        <w:tc>
          <w:tcPr>
            <w:tcW w:w="0" w:type="auto"/>
            <w:gridSpan w:val="3"/>
            <w:shd w:val="clear" w:color="auto" w:fill="auto"/>
            <w:vAlign w:val="bottom"/>
          </w:tcPr>
          <w:p w14:paraId="5F2CF284" w14:textId="77777777" w:rsidR="00E836FB" w:rsidRDefault="00E836FB">
            <w:pPr>
              <w:rPr>
                <w:rFonts w:ascii="宋体"/>
                <w:vanish/>
              </w:rPr>
            </w:pPr>
          </w:p>
        </w:tc>
        <w:tc>
          <w:tcPr>
            <w:tcW w:w="0" w:type="auto"/>
            <w:gridSpan w:val="3"/>
            <w:shd w:val="clear" w:color="auto" w:fill="auto"/>
            <w:vAlign w:val="bottom"/>
          </w:tcPr>
          <w:p w14:paraId="5F2CF285" w14:textId="77777777" w:rsidR="00E836FB" w:rsidRDefault="00E836FB">
            <w:pPr>
              <w:rPr>
                <w:rFonts w:ascii="宋体"/>
                <w:vanish/>
              </w:rPr>
            </w:pPr>
          </w:p>
        </w:tc>
        <w:tc>
          <w:tcPr>
            <w:tcW w:w="0" w:type="auto"/>
            <w:gridSpan w:val="3"/>
            <w:shd w:val="clear" w:color="auto" w:fill="auto"/>
            <w:vAlign w:val="bottom"/>
          </w:tcPr>
          <w:p w14:paraId="5F2CF286" w14:textId="77777777" w:rsidR="00E836FB" w:rsidRDefault="00E836FB">
            <w:pPr>
              <w:rPr>
                <w:rFonts w:ascii="宋体"/>
                <w:vanish/>
              </w:rPr>
            </w:pPr>
          </w:p>
        </w:tc>
        <w:tc>
          <w:tcPr>
            <w:tcW w:w="0" w:type="auto"/>
            <w:gridSpan w:val="3"/>
            <w:shd w:val="clear" w:color="auto" w:fill="auto"/>
            <w:vAlign w:val="bottom"/>
          </w:tcPr>
          <w:p w14:paraId="5F2CF287" w14:textId="77777777" w:rsidR="00E836FB" w:rsidRDefault="00E836FB">
            <w:pPr>
              <w:rPr>
                <w:rFonts w:ascii="宋体"/>
                <w:vanish/>
              </w:rPr>
            </w:pPr>
          </w:p>
        </w:tc>
        <w:tc>
          <w:tcPr>
            <w:tcW w:w="0" w:type="auto"/>
            <w:gridSpan w:val="3"/>
            <w:shd w:val="clear" w:color="auto" w:fill="auto"/>
            <w:vAlign w:val="bottom"/>
          </w:tcPr>
          <w:p w14:paraId="5F2CF288" w14:textId="77777777" w:rsidR="00E836FB" w:rsidRDefault="00E836FB">
            <w:pPr>
              <w:rPr>
                <w:rFonts w:ascii="宋体"/>
                <w:vanish/>
              </w:rPr>
            </w:pPr>
          </w:p>
        </w:tc>
        <w:tc>
          <w:tcPr>
            <w:tcW w:w="0" w:type="auto"/>
            <w:gridSpan w:val="3"/>
            <w:shd w:val="clear" w:color="auto" w:fill="auto"/>
            <w:vAlign w:val="bottom"/>
          </w:tcPr>
          <w:p w14:paraId="5F2CF289" w14:textId="77777777" w:rsidR="00E836FB" w:rsidRDefault="00E836FB">
            <w:pPr>
              <w:rPr>
                <w:rFonts w:ascii="宋体"/>
                <w:vanish/>
              </w:rPr>
            </w:pPr>
          </w:p>
        </w:tc>
        <w:tc>
          <w:tcPr>
            <w:tcW w:w="0" w:type="auto"/>
            <w:gridSpan w:val="3"/>
            <w:shd w:val="clear" w:color="auto" w:fill="auto"/>
            <w:vAlign w:val="bottom"/>
          </w:tcPr>
          <w:p w14:paraId="5F2CF28A" w14:textId="77777777" w:rsidR="00E836FB" w:rsidRDefault="00E836FB">
            <w:pPr>
              <w:rPr>
                <w:rFonts w:ascii="宋体"/>
                <w:vanish/>
              </w:rPr>
            </w:pPr>
          </w:p>
        </w:tc>
        <w:tc>
          <w:tcPr>
            <w:tcW w:w="0" w:type="auto"/>
            <w:gridSpan w:val="3"/>
            <w:shd w:val="clear" w:color="auto" w:fill="auto"/>
            <w:vAlign w:val="bottom"/>
          </w:tcPr>
          <w:p w14:paraId="5F2CF28B" w14:textId="77777777" w:rsidR="00E836FB" w:rsidRDefault="00E836FB">
            <w:pPr>
              <w:rPr>
                <w:rFonts w:ascii="宋体"/>
                <w:vanish/>
              </w:rPr>
            </w:pPr>
          </w:p>
        </w:tc>
        <w:tc>
          <w:tcPr>
            <w:tcW w:w="0" w:type="auto"/>
            <w:gridSpan w:val="3"/>
            <w:shd w:val="clear" w:color="auto" w:fill="auto"/>
            <w:vAlign w:val="bottom"/>
          </w:tcPr>
          <w:p w14:paraId="5F2CF28C" w14:textId="77777777" w:rsidR="00E836FB" w:rsidRDefault="00E836FB">
            <w:pPr>
              <w:rPr>
                <w:rFonts w:ascii="宋体"/>
                <w:vanish/>
              </w:rPr>
            </w:pPr>
          </w:p>
        </w:tc>
      </w:tr>
      <w:tr w:rsidR="00E836FB" w14:paraId="5F2CF2A0" w14:textId="77777777">
        <w:trPr>
          <w:hidden/>
        </w:trPr>
        <w:tc>
          <w:tcPr>
            <w:tcW w:w="0" w:type="auto"/>
            <w:gridSpan w:val="3"/>
            <w:shd w:val="clear" w:color="auto" w:fill="auto"/>
            <w:vAlign w:val="bottom"/>
          </w:tcPr>
          <w:p w14:paraId="5F2CF28E" w14:textId="77777777" w:rsidR="00E836FB" w:rsidRDefault="00E836FB">
            <w:pPr>
              <w:rPr>
                <w:rFonts w:ascii="宋体"/>
                <w:vanish/>
              </w:rPr>
            </w:pPr>
          </w:p>
        </w:tc>
        <w:tc>
          <w:tcPr>
            <w:tcW w:w="0" w:type="auto"/>
            <w:gridSpan w:val="3"/>
            <w:shd w:val="clear" w:color="auto" w:fill="auto"/>
            <w:vAlign w:val="bottom"/>
          </w:tcPr>
          <w:p w14:paraId="5F2CF28F" w14:textId="77777777" w:rsidR="00E836FB" w:rsidRDefault="00E836FB">
            <w:pPr>
              <w:rPr>
                <w:rFonts w:ascii="宋体"/>
                <w:vanish/>
              </w:rPr>
            </w:pPr>
          </w:p>
        </w:tc>
        <w:tc>
          <w:tcPr>
            <w:tcW w:w="0" w:type="auto"/>
            <w:gridSpan w:val="3"/>
            <w:shd w:val="clear" w:color="auto" w:fill="auto"/>
            <w:vAlign w:val="bottom"/>
          </w:tcPr>
          <w:p w14:paraId="5F2CF290" w14:textId="77777777" w:rsidR="00E836FB" w:rsidRDefault="00E836FB">
            <w:pPr>
              <w:rPr>
                <w:rFonts w:ascii="宋体"/>
                <w:vanish/>
              </w:rPr>
            </w:pPr>
          </w:p>
        </w:tc>
        <w:tc>
          <w:tcPr>
            <w:tcW w:w="0" w:type="auto"/>
            <w:gridSpan w:val="3"/>
            <w:shd w:val="clear" w:color="auto" w:fill="auto"/>
            <w:vAlign w:val="bottom"/>
          </w:tcPr>
          <w:p w14:paraId="5F2CF291" w14:textId="77777777" w:rsidR="00E836FB" w:rsidRDefault="00E836FB">
            <w:pPr>
              <w:rPr>
                <w:rFonts w:ascii="宋体"/>
                <w:vanish/>
              </w:rPr>
            </w:pPr>
          </w:p>
        </w:tc>
        <w:tc>
          <w:tcPr>
            <w:tcW w:w="0" w:type="auto"/>
            <w:gridSpan w:val="3"/>
            <w:shd w:val="clear" w:color="auto" w:fill="auto"/>
            <w:vAlign w:val="bottom"/>
          </w:tcPr>
          <w:p w14:paraId="5F2CF292" w14:textId="77777777" w:rsidR="00E836FB" w:rsidRDefault="00E836FB">
            <w:pPr>
              <w:rPr>
                <w:rFonts w:ascii="宋体"/>
                <w:vanish/>
              </w:rPr>
            </w:pPr>
          </w:p>
        </w:tc>
        <w:tc>
          <w:tcPr>
            <w:tcW w:w="0" w:type="auto"/>
            <w:gridSpan w:val="3"/>
            <w:shd w:val="clear" w:color="auto" w:fill="auto"/>
            <w:vAlign w:val="bottom"/>
          </w:tcPr>
          <w:p w14:paraId="5F2CF293" w14:textId="77777777" w:rsidR="00E836FB" w:rsidRDefault="00E836FB">
            <w:pPr>
              <w:rPr>
                <w:rFonts w:ascii="宋体"/>
                <w:vanish/>
              </w:rPr>
            </w:pPr>
          </w:p>
        </w:tc>
        <w:tc>
          <w:tcPr>
            <w:tcW w:w="0" w:type="auto"/>
            <w:gridSpan w:val="3"/>
            <w:shd w:val="clear" w:color="auto" w:fill="auto"/>
            <w:vAlign w:val="bottom"/>
          </w:tcPr>
          <w:p w14:paraId="5F2CF294" w14:textId="77777777" w:rsidR="00E836FB" w:rsidRDefault="00E836FB">
            <w:pPr>
              <w:rPr>
                <w:rFonts w:ascii="宋体"/>
                <w:vanish/>
              </w:rPr>
            </w:pPr>
          </w:p>
        </w:tc>
        <w:tc>
          <w:tcPr>
            <w:tcW w:w="0" w:type="auto"/>
            <w:gridSpan w:val="3"/>
            <w:shd w:val="clear" w:color="auto" w:fill="auto"/>
            <w:vAlign w:val="bottom"/>
          </w:tcPr>
          <w:p w14:paraId="5F2CF295" w14:textId="77777777" w:rsidR="00E836FB" w:rsidRDefault="00E836FB">
            <w:pPr>
              <w:rPr>
                <w:rFonts w:ascii="宋体"/>
                <w:vanish/>
              </w:rPr>
            </w:pPr>
          </w:p>
        </w:tc>
        <w:tc>
          <w:tcPr>
            <w:tcW w:w="0" w:type="auto"/>
            <w:gridSpan w:val="3"/>
            <w:shd w:val="clear" w:color="auto" w:fill="auto"/>
            <w:vAlign w:val="bottom"/>
          </w:tcPr>
          <w:p w14:paraId="5F2CF296" w14:textId="77777777" w:rsidR="00E836FB" w:rsidRDefault="00E836FB">
            <w:pPr>
              <w:rPr>
                <w:rFonts w:ascii="宋体"/>
                <w:vanish/>
              </w:rPr>
            </w:pPr>
          </w:p>
        </w:tc>
        <w:tc>
          <w:tcPr>
            <w:tcW w:w="0" w:type="auto"/>
            <w:gridSpan w:val="3"/>
            <w:shd w:val="clear" w:color="auto" w:fill="auto"/>
            <w:vAlign w:val="bottom"/>
          </w:tcPr>
          <w:p w14:paraId="5F2CF297" w14:textId="77777777" w:rsidR="00E836FB" w:rsidRDefault="00E836FB">
            <w:pPr>
              <w:rPr>
                <w:rFonts w:ascii="宋体"/>
                <w:vanish/>
              </w:rPr>
            </w:pPr>
          </w:p>
        </w:tc>
        <w:tc>
          <w:tcPr>
            <w:tcW w:w="0" w:type="auto"/>
            <w:gridSpan w:val="3"/>
            <w:shd w:val="clear" w:color="auto" w:fill="auto"/>
            <w:vAlign w:val="bottom"/>
          </w:tcPr>
          <w:p w14:paraId="5F2CF298" w14:textId="77777777" w:rsidR="00E836FB" w:rsidRDefault="00E836FB">
            <w:pPr>
              <w:rPr>
                <w:rFonts w:ascii="宋体"/>
                <w:vanish/>
              </w:rPr>
            </w:pPr>
          </w:p>
        </w:tc>
        <w:tc>
          <w:tcPr>
            <w:tcW w:w="0" w:type="auto"/>
            <w:gridSpan w:val="3"/>
            <w:shd w:val="clear" w:color="auto" w:fill="auto"/>
            <w:vAlign w:val="bottom"/>
          </w:tcPr>
          <w:p w14:paraId="5F2CF299" w14:textId="77777777" w:rsidR="00E836FB" w:rsidRDefault="00E836FB">
            <w:pPr>
              <w:rPr>
                <w:rFonts w:ascii="宋体"/>
                <w:vanish/>
              </w:rPr>
            </w:pPr>
          </w:p>
        </w:tc>
        <w:tc>
          <w:tcPr>
            <w:tcW w:w="0" w:type="auto"/>
            <w:gridSpan w:val="3"/>
            <w:shd w:val="clear" w:color="auto" w:fill="auto"/>
            <w:vAlign w:val="bottom"/>
          </w:tcPr>
          <w:p w14:paraId="5F2CF29A" w14:textId="77777777" w:rsidR="00E836FB" w:rsidRDefault="00E836FB">
            <w:pPr>
              <w:rPr>
                <w:rFonts w:ascii="宋体"/>
                <w:vanish/>
              </w:rPr>
            </w:pPr>
          </w:p>
        </w:tc>
        <w:tc>
          <w:tcPr>
            <w:tcW w:w="0" w:type="auto"/>
            <w:gridSpan w:val="3"/>
            <w:shd w:val="clear" w:color="auto" w:fill="auto"/>
            <w:vAlign w:val="bottom"/>
          </w:tcPr>
          <w:p w14:paraId="5F2CF29B" w14:textId="77777777" w:rsidR="00E836FB" w:rsidRDefault="00E836FB">
            <w:pPr>
              <w:rPr>
                <w:rFonts w:ascii="宋体"/>
                <w:vanish/>
              </w:rPr>
            </w:pPr>
          </w:p>
        </w:tc>
        <w:tc>
          <w:tcPr>
            <w:tcW w:w="0" w:type="auto"/>
            <w:gridSpan w:val="3"/>
            <w:shd w:val="clear" w:color="auto" w:fill="auto"/>
            <w:vAlign w:val="bottom"/>
          </w:tcPr>
          <w:p w14:paraId="5F2CF29C" w14:textId="77777777" w:rsidR="00E836FB" w:rsidRDefault="00E836FB">
            <w:pPr>
              <w:rPr>
                <w:rFonts w:ascii="宋体"/>
                <w:vanish/>
              </w:rPr>
            </w:pPr>
          </w:p>
        </w:tc>
        <w:tc>
          <w:tcPr>
            <w:tcW w:w="0" w:type="auto"/>
            <w:gridSpan w:val="3"/>
            <w:shd w:val="clear" w:color="auto" w:fill="auto"/>
            <w:vAlign w:val="bottom"/>
          </w:tcPr>
          <w:p w14:paraId="5F2CF29D" w14:textId="77777777" w:rsidR="00E836FB" w:rsidRDefault="00E836FB">
            <w:pPr>
              <w:rPr>
                <w:rFonts w:ascii="宋体"/>
                <w:vanish/>
              </w:rPr>
            </w:pPr>
          </w:p>
        </w:tc>
        <w:tc>
          <w:tcPr>
            <w:tcW w:w="0" w:type="auto"/>
            <w:gridSpan w:val="3"/>
            <w:shd w:val="clear" w:color="auto" w:fill="auto"/>
            <w:vAlign w:val="bottom"/>
          </w:tcPr>
          <w:p w14:paraId="5F2CF29E" w14:textId="77777777" w:rsidR="00E836FB" w:rsidRDefault="00E836FB">
            <w:pPr>
              <w:rPr>
                <w:rFonts w:ascii="宋体"/>
                <w:vanish/>
              </w:rPr>
            </w:pPr>
          </w:p>
        </w:tc>
        <w:tc>
          <w:tcPr>
            <w:tcW w:w="0" w:type="auto"/>
            <w:gridSpan w:val="3"/>
            <w:shd w:val="clear" w:color="auto" w:fill="auto"/>
            <w:vAlign w:val="bottom"/>
          </w:tcPr>
          <w:p w14:paraId="5F2CF29F" w14:textId="77777777" w:rsidR="00E836FB" w:rsidRDefault="00E836FB">
            <w:pPr>
              <w:rPr>
                <w:rFonts w:ascii="宋体"/>
                <w:vanish/>
              </w:rPr>
            </w:pPr>
          </w:p>
        </w:tc>
      </w:tr>
      <w:tr w:rsidR="00E836FB" w14:paraId="5F2CF2B3" w14:textId="77777777">
        <w:trPr>
          <w:hidden/>
        </w:trPr>
        <w:tc>
          <w:tcPr>
            <w:tcW w:w="0" w:type="auto"/>
            <w:gridSpan w:val="3"/>
            <w:shd w:val="clear" w:color="auto" w:fill="auto"/>
            <w:vAlign w:val="bottom"/>
          </w:tcPr>
          <w:p w14:paraId="5F2CF2A1" w14:textId="77777777" w:rsidR="00E836FB" w:rsidRDefault="00E836FB">
            <w:pPr>
              <w:rPr>
                <w:rFonts w:ascii="宋体"/>
                <w:vanish/>
              </w:rPr>
            </w:pPr>
          </w:p>
        </w:tc>
        <w:tc>
          <w:tcPr>
            <w:tcW w:w="0" w:type="auto"/>
            <w:gridSpan w:val="3"/>
            <w:shd w:val="clear" w:color="auto" w:fill="auto"/>
            <w:vAlign w:val="bottom"/>
          </w:tcPr>
          <w:p w14:paraId="5F2CF2A2" w14:textId="77777777" w:rsidR="00E836FB" w:rsidRDefault="00E836FB">
            <w:pPr>
              <w:rPr>
                <w:rFonts w:ascii="宋体"/>
                <w:vanish/>
              </w:rPr>
            </w:pPr>
          </w:p>
        </w:tc>
        <w:tc>
          <w:tcPr>
            <w:tcW w:w="0" w:type="auto"/>
            <w:gridSpan w:val="3"/>
            <w:shd w:val="clear" w:color="auto" w:fill="auto"/>
            <w:vAlign w:val="bottom"/>
          </w:tcPr>
          <w:p w14:paraId="5F2CF2A3" w14:textId="77777777" w:rsidR="00E836FB" w:rsidRDefault="00E836FB">
            <w:pPr>
              <w:rPr>
                <w:rFonts w:ascii="宋体"/>
                <w:vanish/>
              </w:rPr>
            </w:pPr>
          </w:p>
        </w:tc>
        <w:tc>
          <w:tcPr>
            <w:tcW w:w="0" w:type="auto"/>
            <w:gridSpan w:val="3"/>
            <w:shd w:val="clear" w:color="auto" w:fill="auto"/>
            <w:vAlign w:val="bottom"/>
          </w:tcPr>
          <w:p w14:paraId="5F2CF2A4" w14:textId="77777777" w:rsidR="00E836FB" w:rsidRDefault="00E836FB">
            <w:pPr>
              <w:rPr>
                <w:rFonts w:ascii="宋体"/>
                <w:vanish/>
              </w:rPr>
            </w:pPr>
          </w:p>
        </w:tc>
        <w:tc>
          <w:tcPr>
            <w:tcW w:w="0" w:type="auto"/>
            <w:gridSpan w:val="3"/>
            <w:shd w:val="clear" w:color="auto" w:fill="auto"/>
            <w:vAlign w:val="bottom"/>
          </w:tcPr>
          <w:p w14:paraId="5F2CF2A5" w14:textId="77777777" w:rsidR="00E836FB" w:rsidRDefault="00E836FB">
            <w:pPr>
              <w:rPr>
                <w:rFonts w:ascii="宋体"/>
                <w:vanish/>
              </w:rPr>
            </w:pPr>
          </w:p>
        </w:tc>
        <w:tc>
          <w:tcPr>
            <w:tcW w:w="0" w:type="auto"/>
            <w:gridSpan w:val="3"/>
            <w:shd w:val="clear" w:color="auto" w:fill="auto"/>
            <w:vAlign w:val="bottom"/>
          </w:tcPr>
          <w:p w14:paraId="5F2CF2A6" w14:textId="77777777" w:rsidR="00E836FB" w:rsidRDefault="00E836FB">
            <w:pPr>
              <w:rPr>
                <w:rFonts w:ascii="宋体"/>
                <w:vanish/>
              </w:rPr>
            </w:pPr>
          </w:p>
        </w:tc>
        <w:tc>
          <w:tcPr>
            <w:tcW w:w="0" w:type="auto"/>
            <w:gridSpan w:val="3"/>
            <w:shd w:val="clear" w:color="auto" w:fill="auto"/>
            <w:vAlign w:val="bottom"/>
          </w:tcPr>
          <w:p w14:paraId="5F2CF2A7" w14:textId="77777777" w:rsidR="00E836FB" w:rsidRDefault="00E836FB">
            <w:pPr>
              <w:rPr>
                <w:rFonts w:ascii="宋体"/>
                <w:vanish/>
              </w:rPr>
            </w:pPr>
          </w:p>
        </w:tc>
        <w:tc>
          <w:tcPr>
            <w:tcW w:w="0" w:type="auto"/>
            <w:gridSpan w:val="3"/>
            <w:shd w:val="clear" w:color="auto" w:fill="auto"/>
            <w:vAlign w:val="bottom"/>
          </w:tcPr>
          <w:p w14:paraId="5F2CF2A8" w14:textId="77777777" w:rsidR="00E836FB" w:rsidRDefault="00E836FB">
            <w:pPr>
              <w:rPr>
                <w:rFonts w:ascii="宋体"/>
                <w:vanish/>
              </w:rPr>
            </w:pPr>
          </w:p>
        </w:tc>
        <w:tc>
          <w:tcPr>
            <w:tcW w:w="0" w:type="auto"/>
            <w:gridSpan w:val="3"/>
            <w:shd w:val="clear" w:color="auto" w:fill="auto"/>
            <w:vAlign w:val="bottom"/>
          </w:tcPr>
          <w:p w14:paraId="5F2CF2A9" w14:textId="77777777" w:rsidR="00E836FB" w:rsidRDefault="00E836FB">
            <w:pPr>
              <w:rPr>
                <w:rFonts w:ascii="宋体"/>
                <w:vanish/>
              </w:rPr>
            </w:pPr>
          </w:p>
        </w:tc>
        <w:tc>
          <w:tcPr>
            <w:tcW w:w="0" w:type="auto"/>
            <w:gridSpan w:val="3"/>
            <w:shd w:val="clear" w:color="auto" w:fill="auto"/>
            <w:vAlign w:val="bottom"/>
          </w:tcPr>
          <w:p w14:paraId="5F2CF2AA" w14:textId="77777777" w:rsidR="00E836FB" w:rsidRDefault="00E836FB">
            <w:pPr>
              <w:rPr>
                <w:rFonts w:ascii="宋体"/>
                <w:vanish/>
              </w:rPr>
            </w:pPr>
          </w:p>
        </w:tc>
        <w:tc>
          <w:tcPr>
            <w:tcW w:w="0" w:type="auto"/>
            <w:gridSpan w:val="3"/>
            <w:shd w:val="clear" w:color="auto" w:fill="auto"/>
            <w:vAlign w:val="bottom"/>
          </w:tcPr>
          <w:p w14:paraId="5F2CF2AB" w14:textId="77777777" w:rsidR="00E836FB" w:rsidRDefault="00E836FB">
            <w:pPr>
              <w:rPr>
                <w:rFonts w:ascii="宋体"/>
                <w:vanish/>
              </w:rPr>
            </w:pPr>
          </w:p>
        </w:tc>
        <w:tc>
          <w:tcPr>
            <w:tcW w:w="0" w:type="auto"/>
            <w:gridSpan w:val="3"/>
            <w:shd w:val="clear" w:color="auto" w:fill="auto"/>
            <w:vAlign w:val="bottom"/>
          </w:tcPr>
          <w:p w14:paraId="5F2CF2AC" w14:textId="77777777" w:rsidR="00E836FB" w:rsidRDefault="00E836FB">
            <w:pPr>
              <w:rPr>
                <w:rFonts w:ascii="宋体"/>
                <w:vanish/>
              </w:rPr>
            </w:pPr>
          </w:p>
        </w:tc>
        <w:tc>
          <w:tcPr>
            <w:tcW w:w="0" w:type="auto"/>
            <w:gridSpan w:val="3"/>
            <w:shd w:val="clear" w:color="auto" w:fill="auto"/>
            <w:vAlign w:val="bottom"/>
          </w:tcPr>
          <w:p w14:paraId="5F2CF2AD" w14:textId="77777777" w:rsidR="00E836FB" w:rsidRDefault="00E836FB">
            <w:pPr>
              <w:rPr>
                <w:rFonts w:ascii="宋体"/>
                <w:vanish/>
              </w:rPr>
            </w:pPr>
          </w:p>
        </w:tc>
        <w:tc>
          <w:tcPr>
            <w:tcW w:w="0" w:type="auto"/>
            <w:gridSpan w:val="3"/>
            <w:shd w:val="clear" w:color="auto" w:fill="auto"/>
            <w:vAlign w:val="bottom"/>
          </w:tcPr>
          <w:p w14:paraId="5F2CF2AE" w14:textId="77777777" w:rsidR="00E836FB" w:rsidRDefault="00E836FB">
            <w:pPr>
              <w:rPr>
                <w:rFonts w:ascii="宋体"/>
                <w:vanish/>
              </w:rPr>
            </w:pPr>
          </w:p>
        </w:tc>
        <w:tc>
          <w:tcPr>
            <w:tcW w:w="0" w:type="auto"/>
            <w:gridSpan w:val="3"/>
            <w:shd w:val="clear" w:color="auto" w:fill="auto"/>
            <w:vAlign w:val="bottom"/>
          </w:tcPr>
          <w:p w14:paraId="5F2CF2AF" w14:textId="77777777" w:rsidR="00E836FB" w:rsidRDefault="00E836FB">
            <w:pPr>
              <w:rPr>
                <w:rFonts w:ascii="宋体"/>
                <w:vanish/>
              </w:rPr>
            </w:pPr>
          </w:p>
        </w:tc>
        <w:tc>
          <w:tcPr>
            <w:tcW w:w="0" w:type="auto"/>
            <w:gridSpan w:val="3"/>
            <w:shd w:val="clear" w:color="auto" w:fill="auto"/>
            <w:vAlign w:val="bottom"/>
          </w:tcPr>
          <w:p w14:paraId="5F2CF2B0" w14:textId="77777777" w:rsidR="00E836FB" w:rsidRDefault="00E836FB">
            <w:pPr>
              <w:rPr>
                <w:rFonts w:ascii="宋体"/>
                <w:vanish/>
              </w:rPr>
            </w:pPr>
          </w:p>
        </w:tc>
        <w:tc>
          <w:tcPr>
            <w:tcW w:w="0" w:type="auto"/>
            <w:gridSpan w:val="3"/>
            <w:shd w:val="clear" w:color="auto" w:fill="auto"/>
            <w:vAlign w:val="bottom"/>
          </w:tcPr>
          <w:p w14:paraId="5F2CF2B1" w14:textId="77777777" w:rsidR="00E836FB" w:rsidRDefault="00E836FB">
            <w:pPr>
              <w:rPr>
                <w:rFonts w:ascii="宋体"/>
                <w:vanish/>
              </w:rPr>
            </w:pPr>
          </w:p>
        </w:tc>
        <w:tc>
          <w:tcPr>
            <w:tcW w:w="0" w:type="auto"/>
            <w:gridSpan w:val="3"/>
            <w:shd w:val="clear" w:color="auto" w:fill="auto"/>
            <w:vAlign w:val="bottom"/>
          </w:tcPr>
          <w:p w14:paraId="5F2CF2B2" w14:textId="77777777" w:rsidR="00E836FB" w:rsidRDefault="00E836FB">
            <w:pPr>
              <w:rPr>
                <w:rFonts w:ascii="宋体"/>
                <w:vanish/>
              </w:rPr>
            </w:pPr>
          </w:p>
        </w:tc>
      </w:tr>
      <w:tr w:rsidR="00E836FB" w14:paraId="5F2CF2C6" w14:textId="77777777">
        <w:trPr>
          <w:hidden/>
        </w:trPr>
        <w:tc>
          <w:tcPr>
            <w:tcW w:w="0" w:type="auto"/>
            <w:gridSpan w:val="3"/>
            <w:shd w:val="clear" w:color="auto" w:fill="auto"/>
            <w:vAlign w:val="bottom"/>
          </w:tcPr>
          <w:p w14:paraId="5F2CF2B4" w14:textId="77777777" w:rsidR="00E836FB" w:rsidRDefault="00E836FB">
            <w:pPr>
              <w:rPr>
                <w:rFonts w:ascii="宋体"/>
                <w:vanish/>
              </w:rPr>
            </w:pPr>
          </w:p>
        </w:tc>
        <w:tc>
          <w:tcPr>
            <w:tcW w:w="0" w:type="auto"/>
            <w:gridSpan w:val="3"/>
            <w:shd w:val="clear" w:color="auto" w:fill="auto"/>
            <w:vAlign w:val="bottom"/>
          </w:tcPr>
          <w:p w14:paraId="5F2CF2B5" w14:textId="77777777" w:rsidR="00E836FB" w:rsidRDefault="00E836FB">
            <w:pPr>
              <w:rPr>
                <w:rFonts w:ascii="宋体"/>
                <w:vanish/>
              </w:rPr>
            </w:pPr>
          </w:p>
        </w:tc>
        <w:tc>
          <w:tcPr>
            <w:tcW w:w="0" w:type="auto"/>
            <w:gridSpan w:val="3"/>
            <w:shd w:val="clear" w:color="auto" w:fill="auto"/>
            <w:vAlign w:val="bottom"/>
          </w:tcPr>
          <w:p w14:paraId="5F2CF2B6" w14:textId="77777777" w:rsidR="00E836FB" w:rsidRDefault="00E836FB">
            <w:pPr>
              <w:rPr>
                <w:rFonts w:ascii="宋体"/>
                <w:vanish/>
              </w:rPr>
            </w:pPr>
          </w:p>
        </w:tc>
        <w:tc>
          <w:tcPr>
            <w:tcW w:w="0" w:type="auto"/>
            <w:gridSpan w:val="3"/>
            <w:shd w:val="clear" w:color="auto" w:fill="auto"/>
            <w:vAlign w:val="bottom"/>
          </w:tcPr>
          <w:p w14:paraId="5F2CF2B7" w14:textId="77777777" w:rsidR="00E836FB" w:rsidRDefault="00E836FB">
            <w:pPr>
              <w:rPr>
                <w:rFonts w:ascii="宋体"/>
                <w:vanish/>
              </w:rPr>
            </w:pPr>
          </w:p>
        </w:tc>
        <w:tc>
          <w:tcPr>
            <w:tcW w:w="0" w:type="auto"/>
            <w:gridSpan w:val="3"/>
            <w:shd w:val="clear" w:color="auto" w:fill="auto"/>
            <w:vAlign w:val="bottom"/>
          </w:tcPr>
          <w:p w14:paraId="5F2CF2B8" w14:textId="77777777" w:rsidR="00E836FB" w:rsidRDefault="00E836FB">
            <w:pPr>
              <w:rPr>
                <w:rFonts w:ascii="宋体"/>
                <w:vanish/>
              </w:rPr>
            </w:pPr>
          </w:p>
        </w:tc>
        <w:tc>
          <w:tcPr>
            <w:tcW w:w="0" w:type="auto"/>
            <w:gridSpan w:val="3"/>
            <w:shd w:val="clear" w:color="auto" w:fill="auto"/>
            <w:vAlign w:val="bottom"/>
          </w:tcPr>
          <w:p w14:paraId="5F2CF2B9" w14:textId="77777777" w:rsidR="00E836FB" w:rsidRDefault="00E836FB">
            <w:pPr>
              <w:rPr>
                <w:rFonts w:ascii="宋体"/>
                <w:vanish/>
              </w:rPr>
            </w:pPr>
          </w:p>
        </w:tc>
        <w:tc>
          <w:tcPr>
            <w:tcW w:w="0" w:type="auto"/>
            <w:gridSpan w:val="3"/>
            <w:shd w:val="clear" w:color="auto" w:fill="auto"/>
            <w:vAlign w:val="bottom"/>
          </w:tcPr>
          <w:p w14:paraId="5F2CF2BA" w14:textId="77777777" w:rsidR="00E836FB" w:rsidRDefault="00E836FB">
            <w:pPr>
              <w:rPr>
                <w:rFonts w:ascii="宋体"/>
                <w:vanish/>
              </w:rPr>
            </w:pPr>
          </w:p>
        </w:tc>
        <w:tc>
          <w:tcPr>
            <w:tcW w:w="0" w:type="auto"/>
            <w:gridSpan w:val="3"/>
            <w:shd w:val="clear" w:color="auto" w:fill="auto"/>
            <w:vAlign w:val="bottom"/>
          </w:tcPr>
          <w:p w14:paraId="5F2CF2BB" w14:textId="77777777" w:rsidR="00E836FB" w:rsidRDefault="00E836FB">
            <w:pPr>
              <w:rPr>
                <w:rFonts w:ascii="宋体"/>
                <w:vanish/>
              </w:rPr>
            </w:pPr>
          </w:p>
        </w:tc>
        <w:tc>
          <w:tcPr>
            <w:tcW w:w="0" w:type="auto"/>
            <w:gridSpan w:val="3"/>
            <w:shd w:val="clear" w:color="auto" w:fill="auto"/>
            <w:vAlign w:val="bottom"/>
          </w:tcPr>
          <w:p w14:paraId="5F2CF2BC" w14:textId="77777777" w:rsidR="00E836FB" w:rsidRDefault="00E836FB">
            <w:pPr>
              <w:rPr>
                <w:rFonts w:ascii="宋体"/>
                <w:vanish/>
              </w:rPr>
            </w:pPr>
          </w:p>
        </w:tc>
        <w:tc>
          <w:tcPr>
            <w:tcW w:w="0" w:type="auto"/>
            <w:gridSpan w:val="3"/>
            <w:shd w:val="clear" w:color="auto" w:fill="auto"/>
            <w:vAlign w:val="bottom"/>
          </w:tcPr>
          <w:p w14:paraId="5F2CF2BD" w14:textId="77777777" w:rsidR="00E836FB" w:rsidRDefault="00E836FB">
            <w:pPr>
              <w:rPr>
                <w:rFonts w:ascii="宋体"/>
                <w:vanish/>
              </w:rPr>
            </w:pPr>
          </w:p>
        </w:tc>
        <w:tc>
          <w:tcPr>
            <w:tcW w:w="0" w:type="auto"/>
            <w:gridSpan w:val="3"/>
            <w:shd w:val="clear" w:color="auto" w:fill="auto"/>
            <w:vAlign w:val="bottom"/>
          </w:tcPr>
          <w:p w14:paraId="5F2CF2BE" w14:textId="77777777" w:rsidR="00E836FB" w:rsidRDefault="00E836FB">
            <w:pPr>
              <w:rPr>
                <w:rFonts w:ascii="宋体"/>
                <w:vanish/>
              </w:rPr>
            </w:pPr>
          </w:p>
        </w:tc>
        <w:tc>
          <w:tcPr>
            <w:tcW w:w="0" w:type="auto"/>
            <w:gridSpan w:val="3"/>
            <w:shd w:val="clear" w:color="auto" w:fill="auto"/>
            <w:vAlign w:val="bottom"/>
          </w:tcPr>
          <w:p w14:paraId="5F2CF2BF" w14:textId="77777777" w:rsidR="00E836FB" w:rsidRDefault="00E836FB">
            <w:pPr>
              <w:rPr>
                <w:rFonts w:ascii="宋体"/>
                <w:vanish/>
              </w:rPr>
            </w:pPr>
          </w:p>
        </w:tc>
        <w:tc>
          <w:tcPr>
            <w:tcW w:w="0" w:type="auto"/>
            <w:gridSpan w:val="3"/>
            <w:shd w:val="clear" w:color="auto" w:fill="auto"/>
            <w:vAlign w:val="bottom"/>
          </w:tcPr>
          <w:p w14:paraId="5F2CF2C0" w14:textId="77777777" w:rsidR="00E836FB" w:rsidRDefault="00E836FB">
            <w:pPr>
              <w:rPr>
                <w:rFonts w:ascii="宋体"/>
                <w:vanish/>
              </w:rPr>
            </w:pPr>
          </w:p>
        </w:tc>
        <w:tc>
          <w:tcPr>
            <w:tcW w:w="0" w:type="auto"/>
            <w:gridSpan w:val="3"/>
            <w:shd w:val="clear" w:color="auto" w:fill="auto"/>
            <w:vAlign w:val="bottom"/>
          </w:tcPr>
          <w:p w14:paraId="5F2CF2C1" w14:textId="77777777" w:rsidR="00E836FB" w:rsidRDefault="00E836FB">
            <w:pPr>
              <w:rPr>
                <w:rFonts w:ascii="宋体"/>
                <w:vanish/>
              </w:rPr>
            </w:pPr>
          </w:p>
        </w:tc>
        <w:tc>
          <w:tcPr>
            <w:tcW w:w="0" w:type="auto"/>
            <w:gridSpan w:val="3"/>
            <w:shd w:val="clear" w:color="auto" w:fill="auto"/>
            <w:vAlign w:val="bottom"/>
          </w:tcPr>
          <w:p w14:paraId="5F2CF2C2" w14:textId="77777777" w:rsidR="00E836FB" w:rsidRDefault="00E836FB">
            <w:pPr>
              <w:rPr>
                <w:rFonts w:ascii="宋体"/>
                <w:vanish/>
              </w:rPr>
            </w:pPr>
          </w:p>
        </w:tc>
        <w:tc>
          <w:tcPr>
            <w:tcW w:w="0" w:type="auto"/>
            <w:gridSpan w:val="3"/>
            <w:shd w:val="clear" w:color="auto" w:fill="auto"/>
            <w:vAlign w:val="bottom"/>
          </w:tcPr>
          <w:p w14:paraId="5F2CF2C3" w14:textId="77777777" w:rsidR="00E836FB" w:rsidRDefault="00E836FB">
            <w:pPr>
              <w:rPr>
                <w:rFonts w:ascii="宋体"/>
                <w:vanish/>
              </w:rPr>
            </w:pPr>
          </w:p>
        </w:tc>
        <w:tc>
          <w:tcPr>
            <w:tcW w:w="0" w:type="auto"/>
            <w:gridSpan w:val="3"/>
            <w:shd w:val="clear" w:color="auto" w:fill="auto"/>
            <w:vAlign w:val="bottom"/>
          </w:tcPr>
          <w:p w14:paraId="5F2CF2C4" w14:textId="77777777" w:rsidR="00E836FB" w:rsidRDefault="00E836FB">
            <w:pPr>
              <w:rPr>
                <w:rFonts w:ascii="宋体"/>
                <w:vanish/>
              </w:rPr>
            </w:pPr>
          </w:p>
        </w:tc>
        <w:tc>
          <w:tcPr>
            <w:tcW w:w="0" w:type="auto"/>
            <w:gridSpan w:val="3"/>
            <w:shd w:val="clear" w:color="auto" w:fill="auto"/>
            <w:vAlign w:val="bottom"/>
          </w:tcPr>
          <w:p w14:paraId="5F2CF2C5" w14:textId="77777777" w:rsidR="00E836FB" w:rsidRDefault="00E836FB">
            <w:pPr>
              <w:rPr>
                <w:rFonts w:ascii="宋体"/>
                <w:vanish/>
              </w:rPr>
            </w:pPr>
          </w:p>
        </w:tc>
      </w:tr>
      <w:tr w:rsidR="00E836FB" w14:paraId="5F2CF2D9" w14:textId="77777777">
        <w:trPr>
          <w:hidden/>
        </w:trPr>
        <w:tc>
          <w:tcPr>
            <w:tcW w:w="0" w:type="auto"/>
            <w:gridSpan w:val="3"/>
            <w:shd w:val="clear" w:color="auto" w:fill="auto"/>
            <w:vAlign w:val="bottom"/>
          </w:tcPr>
          <w:p w14:paraId="5F2CF2C7" w14:textId="77777777" w:rsidR="00E836FB" w:rsidRDefault="00E836FB">
            <w:pPr>
              <w:rPr>
                <w:rFonts w:ascii="宋体"/>
                <w:vanish/>
              </w:rPr>
            </w:pPr>
          </w:p>
        </w:tc>
        <w:tc>
          <w:tcPr>
            <w:tcW w:w="0" w:type="auto"/>
            <w:gridSpan w:val="3"/>
            <w:shd w:val="clear" w:color="auto" w:fill="auto"/>
            <w:vAlign w:val="bottom"/>
          </w:tcPr>
          <w:p w14:paraId="5F2CF2C8" w14:textId="77777777" w:rsidR="00E836FB" w:rsidRDefault="00E836FB">
            <w:pPr>
              <w:rPr>
                <w:rFonts w:ascii="宋体"/>
                <w:vanish/>
              </w:rPr>
            </w:pPr>
          </w:p>
        </w:tc>
        <w:tc>
          <w:tcPr>
            <w:tcW w:w="0" w:type="auto"/>
            <w:gridSpan w:val="3"/>
            <w:shd w:val="clear" w:color="auto" w:fill="auto"/>
            <w:vAlign w:val="bottom"/>
          </w:tcPr>
          <w:p w14:paraId="5F2CF2C9" w14:textId="77777777" w:rsidR="00E836FB" w:rsidRDefault="00E836FB">
            <w:pPr>
              <w:rPr>
                <w:rFonts w:ascii="宋体"/>
                <w:vanish/>
              </w:rPr>
            </w:pPr>
          </w:p>
        </w:tc>
        <w:tc>
          <w:tcPr>
            <w:tcW w:w="0" w:type="auto"/>
            <w:gridSpan w:val="3"/>
            <w:shd w:val="clear" w:color="auto" w:fill="auto"/>
            <w:vAlign w:val="bottom"/>
          </w:tcPr>
          <w:p w14:paraId="5F2CF2CA" w14:textId="77777777" w:rsidR="00E836FB" w:rsidRDefault="00E836FB">
            <w:pPr>
              <w:rPr>
                <w:rFonts w:ascii="宋体"/>
                <w:vanish/>
              </w:rPr>
            </w:pPr>
          </w:p>
        </w:tc>
        <w:tc>
          <w:tcPr>
            <w:tcW w:w="0" w:type="auto"/>
            <w:gridSpan w:val="3"/>
            <w:shd w:val="clear" w:color="auto" w:fill="auto"/>
            <w:vAlign w:val="bottom"/>
          </w:tcPr>
          <w:p w14:paraId="5F2CF2CB" w14:textId="77777777" w:rsidR="00E836FB" w:rsidRDefault="00E836FB">
            <w:pPr>
              <w:rPr>
                <w:rFonts w:ascii="宋体"/>
                <w:vanish/>
              </w:rPr>
            </w:pPr>
          </w:p>
        </w:tc>
        <w:tc>
          <w:tcPr>
            <w:tcW w:w="0" w:type="auto"/>
            <w:gridSpan w:val="3"/>
            <w:shd w:val="clear" w:color="auto" w:fill="auto"/>
            <w:vAlign w:val="bottom"/>
          </w:tcPr>
          <w:p w14:paraId="5F2CF2CC" w14:textId="77777777" w:rsidR="00E836FB" w:rsidRDefault="00E836FB">
            <w:pPr>
              <w:rPr>
                <w:rFonts w:ascii="宋体"/>
                <w:vanish/>
              </w:rPr>
            </w:pPr>
          </w:p>
        </w:tc>
        <w:tc>
          <w:tcPr>
            <w:tcW w:w="0" w:type="auto"/>
            <w:gridSpan w:val="3"/>
            <w:shd w:val="clear" w:color="auto" w:fill="auto"/>
            <w:vAlign w:val="bottom"/>
          </w:tcPr>
          <w:p w14:paraId="5F2CF2CD" w14:textId="77777777" w:rsidR="00E836FB" w:rsidRDefault="00E836FB">
            <w:pPr>
              <w:rPr>
                <w:rFonts w:ascii="宋体"/>
                <w:vanish/>
              </w:rPr>
            </w:pPr>
          </w:p>
        </w:tc>
        <w:tc>
          <w:tcPr>
            <w:tcW w:w="0" w:type="auto"/>
            <w:gridSpan w:val="3"/>
            <w:shd w:val="clear" w:color="auto" w:fill="auto"/>
            <w:vAlign w:val="bottom"/>
          </w:tcPr>
          <w:p w14:paraId="5F2CF2CE" w14:textId="77777777" w:rsidR="00E836FB" w:rsidRDefault="00E836FB">
            <w:pPr>
              <w:rPr>
                <w:rFonts w:ascii="宋体"/>
                <w:vanish/>
              </w:rPr>
            </w:pPr>
          </w:p>
        </w:tc>
        <w:tc>
          <w:tcPr>
            <w:tcW w:w="0" w:type="auto"/>
            <w:gridSpan w:val="3"/>
            <w:shd w:val="clear" w:color="auto" w:fill="auto"/>
            <w:vAlign w:val="bottom"/>
          </w:tcPr>
          <w:p w14:paraId="5F2CF2CF" w14:textId="77777777" w:rsidR="00E836FB" w:rsidRDefault="00E836FB">
            <w:pPr>
              <w:rPr>
                <w:rFonts w:ascii="宋体"/>
                <w:vanish/>
              </w:rPr>
            </w:pPr>
          </w:p>
        </w:tc>
        <w:tc>
          <w:tcPr>
            <w:tcW w:w="0" w:type="auto"/>
            <w:gridSpan w:val="3"/>
            <w:shd w:val="clear" w:color="auto" w:fill="auto"/>
            <w:vAlign w:val="bottom"/>
          </w:tcPr>
          <w:p w14:paraId="5F2CF2D0" w14:textId="77777777" w:rsidR="00E836FB" w:rsidRDefault="00E836FB">
            <w:pPr>
              <w:rPr>
                <w:rFonts w:ascii="宋体"/>
                <w:vanish/>
              </w:rPr>
            </w:pPr>
          </w:p>
        </w:tc>
        <w:tc>
          <w:tcPr>
            <w:tcW w:w="0" w:type="auto"/>
            <w:gridSpan w:val="3"/>
            <w:shd w:val="clear" w:color="auto" w:fill="auto"/>
            <w:vAlign w:val="bottom"/>
          </w:tcPr>
          <w:p w14:paraId="5F2CF2D1" w14:textId="77777777" w:rsidR="00E836FB" w:rsidRDefault="00E836FB">
            <w:pPr>
              <w:rPr>
                <w:rFonts w:ascii="宋体"/>
                <w:vanish/>
              </w:rPr>
            </w:pPr>
          </w:p>
        </w:tc>
        <w:tc>
          <w:tcPr>
            <w:tcW w:w="0" w:type="auto"/>
            <w:gridSpan w:val="3"/>
            <w:shd w:val="clear" w:color="auto" w:fill="auto"/>
            <w:vAlign w:val="bottom"/>
          </w:tcPr>
          <w:p w14:paraId="5F2CF2D2" w14:textId="77777777" w:rsidR="00E836FB" w:rsidRDefault="00E836FB">
            <w:pPr>
              <w:rPr>
                <w:rFonts w:ascii="宋体"/>
                <w:vanish/>
              </w:rPr>
            </w:pPr>
          </w:p>
        </w:tc>
        <w:tc>
          <w:tcPr>
            <w:tcW w:w="0" w:type="auto"/>
            <w:gridSpan w:val="3"/>
            <w:shd w:val="clear" w:color="auto" w:fill="auto"/>
            <w:vAlign w:val="bottom"/>
          </w:tcPr>
          <w:p w14:paraId="5F2CF2D3" w14:textId="77777777" w:rsidR="00E836FB" w:rsidRDefault="00E836FB">
            <w:pPr>
              <w:rPr>
                <w:rFonts w:ascii="宋体"/>
                <w:vanish/>
              </w:rPr>
            </w:pPr>
          </w:p>
        </w:tc>
        <w:tc>
          <w:tcPr>
            <w:tcW w:w="0" w:type="auto"/>
            <w:gridSpan w:val="3"/>
            <w:shd w:val="clear" w:color="auto" w:fill="auto"/>
            <w:vAlign w:val="bottom"/>
          </w:tcPr>
          <w:p w14:paraId="5F2CF2D4" w14:textId="77777777" w:rsidR="00E836FB" w:rsidRDefault="00E836FB">
            <w:pPr>
              <w:rPr>
                <w:rFonts w:ascii="宋体"/>
                <w:vanish/>
              </w:rPr>
            </w:pPr>
          </w:p>
        </w:tc>
        <w:tc>
          <w:tcPr>
            <w:tcW w:w="0" w:type="auto"/>
            <w:gridSpan w:val="3"/>
            <w:shd w:val="clear" w:color="auto" w:fill="auto"/>
            <w:vAlign w:val="bottom"/>
          </w:tcPr>
          <w:p w14:paraId="5F2CF2D5" w14:textId="77777777" w:rsidR="00E836FB" w:rsidRDefault="00E836FB">
            <w:pPr>
              <w:rPr>
                <w:rFonts w:ascii="宋体"/>
                <w:vanish/>
              </w:rPr>
            </w:pPr>
          </w:p>
        </w:tc>
        <w:tc>
          <w:tcPr>
            <w:tcW w:w="0" w:type="auto"/>
            <w:gridSpan w:val="3"/>
            <w:shd w:val="clear" w:color="auto" w:fill="auto"/>
            <w:vAlign w:val="bottom"/>
          </w:tcPr>
          <w:p w14:paraId="5F2CF2D6" w14:textId="77777777" w:rsidR="00E836FB" w:rsidRDefault="00E836FB">
            <w:pPr>
              <w:rPr>
                <w:rFonts w:ascii="宋体"/>
                <w:vanish/>
              </w:rPr>
            </w:pPr>
          </w:p>
        </w:tc>
        <w:tc>
          <w:tcPr>
            <w:tcW w:w="0" w:type="auto"/>
            <w:gridSpan w:val="3"/>
            <w:shd w:val="clear" w:color="auto" w:fill="auto"/>
            <w:vAlign w:val="bottom"/>
          </w:tcPr>
          <w:p w14:paraId="5F2CF2D7" w14:textId="77777777" w:rsidR="00E836FB" w:rsidRDefault="00E836FB">
            <w:pPr>
              <w:rPr>
                <w:rFonts w:ascii="宋体"/>
                <w:vanish/>
              </w:rPr>
            </w:pPr>
          </w:p>
        </w:tc>
        <w:tc>
          <w:tcPr>
            <w:tcW w:w="0" w:type="auto"/>
            <w:gridSpan w:val="3"/>
            <w:shd w:val="clear" w:color="auto" w:fill="auto"/>
            <w:vAlign w:val="bottom"/>
          </w:tcPr>
          <w:p w14:paraId="5F2CF2D8" w14:textId="77777777" w:rsidR="00E836FB" w:rsidRDefault="00E836FB">
            <w:pPr>
              <w:rPr>
                <w:rFonts w:ascii="宋体"/>
                <w:vanish/>
              </w:rPr>
            </w:pPr>
          </w:p>
        </w:tc>
      </w:tr>
      <w:tr w:rsidR="00E836FB" w14:paraId="5F2CF2EC" w14:textId="77777777">
        <w:trPr>
          <w:hidden/>
        </w:trPr>
        <w:tc>
          <w:tcPr>
            <w:tcW w:w="0" w:type="auto"/>
            <w:gridSpan w:val="3"/>
            <w:shd w:val="clear" w:color="auto" w:fill="auto"/>
            <w:vAlign w:val="bottom"/>
          </w:tcPr>
          <w:p w14:paraId="5F2CF2DA" w14:textId="77777777" w:rsidR="00E836FB" w:rsidRDefault="00E836FB">
            <w:pPr>
              <w:rPr>
                <w:rFonts w:ascii="宋体"/>
                <w:vanish/>
              </w:rPr>
            </w:pPr>
          </w:p>
        </w:tc>
        <w:tc>
          <w:tcPr>
            <w:tcW w:w="0" w:type="auto"/>
            <w:gridSpan w:val="3"/>
            <w:shd w:val="clear" w:color="auto" w:fill="auto"/>
            <w:vAlign w:val="bottom"/>
          </w:tcPr>
          <w:p w14:paraId="5F2CF2DB" w14:textId="77777777" w:rsidR="00E836FB" w:rsidRDefault="00E836FB">
            <w:pPr>
              <w:rPr>
                <w:rFonts w:ascii="宋体"/>
                <w:vanish/>
              </w:rPr>
            </w:pPr>
          </w:p>
        </w:tc>
        <w:tc>
          <w:tcPr>
            <w:tcW w:w="0" w:type="auto"/>
            <w:gridSpan w:val="3"/>
            <w:shd w:val="clear" w:color="auto" w:fill="auto"/>
            <w:vAlign w:val="bottom"/>
          </w:tcPr>
          <w:p w14:paraId="5F2CF2DC" w14:textId="77777777" w:rsidR="00E836FB" w:rsidRDefault="00E836FB">
            <w:pPr>
              <w:rPr>
                <w:rFonts w:ascii="宋体"/>
                <w:vanish/>
              </w:rPr>
            </w:pPr>
          </w:p>
        </w:tc>
        <w:tc>
          <w:tcPr>
            <w:tcW w:w="0" w:type="auto"/>
            <w:gridSpan w:val="3"/>
            <w:shd w:val="clear" w:color="auto" w:fill="auto"/>
            <w:vAlign w:val="bottom"/>
          </w:tcPr>
          <w:p w14:paraId="5F2CF2DD" w14:textId="77777777" w:rsidR="00E836FB" w:rsidRDefault="00E836FB">
            <w:pPr>
              <w:rPr>
                <w:rFonts w:ascii="宋体"/>
                <w:vanish/>
              </w:rPr>
            </w:pPr>
          </w:p>
        </w:tc>
        <w:tc>
          <w:tcPr>
            <w:tcW w:w="0" w:type="auto"/>
            <w:gridSpan w:val="3"/>
            <w:shd w:val="clear" w:color="auto" w:fill="auto"/>
            <w:vAlign w:val="bottom"/>
          </w:tcPr>
          <w:p w14:paraId="5F2CF2DE" w14:textId="77777777" w:rsidR="00E836FB" w:rsidRDefault="00E836FB">
            <w:pPr>
              <w:rPr>
                <w:rFonts w:ascii="宋体"/>
                <w:vanish/>
              </w:rPr>
            </w:pPr>
          </w:p>
        </w:tc>
        <w:tc>
          <w:tcPr>
            <w:tcW w:w="0" w:type="auto"/>
            <w:gridSpan w:val="3"/>
            <w:shd w:val="clear" w:color="auto" w:fill="auto"/>
            <w:vAlign w:val="bottom"/>
          </w:tcPr>
          <w:p w14:paraId="5F2CF2DF" w14:textId="77777777" w:rsidR="00E836FB" w:rsidRDefault="00E836FB">
            <w:pPr>
              <w:rPr>
                <w:rFonts w:ascii="宋体"/>
                <w:vanish/>
              </w:rPr>
            </w:pPr>
          </w:p>
        </w:tc>
        <w:tc>
          <w:tcPr>
            <w:tcW w:w="0" w:type="auto"/>
            <w:gridSpan w:val="3"/>
            <w:shd w:val="clear" w:color="auto" w:fill="auto"/>
            <w:vAlign w:val="bottom"/>
          </w:tcPr>
          <w:p w14:paraId="5F2CF2E0" w14:textId="77777777" w:rsidR="00E836FB" w:rsidRDefault="00E836FB">
            <w:pPr>
              <w:rPr>
                <w:rFonts w:ascii="宋体"/>
                <w:vanish/>
              </w:rPr>
            </w:pPr>
          </w:p>
        </w:tc>
        <w:tc>
          <w:tcPr>
            <w:tcW w:w="0" w:type="auto"/>
            <w:gridSpan w:val="3"/>
            <w:shd w:val="clear" w:color="auto" w:fill="auto"/>
            <w:vAlign w:val="bottom"/>
          </w:tcPr>
          <w:p w14:paraId="5F2CF2E1" w14:textId="77777777" w:rsidR="00E836FB" w:rsidRDefault="00E836FB">
            <w:pPr>
              <w:rPr>
                <w:rFonts w:ascii="宋体"/>
                <w:vanish/>
              </w:rPr>
            </w:pPr>
          </w:p>
        </w:tc>
        <w:tc>
          <w:tcPr>
            <w:tcW w:w="0" w:type="auto"/>
            <w:gridSpan w:val="3"/>
            <w:shd w:val="clear" w:color="auto" w:fill="auto"/>
            <w:vAlign w:val="bottom"/>
          </w:tcPr>
          <w:p w14:paraId="5F2CF2E2" w14:textId="77777777" w:rsidR="00E836FB" w:rsidRDefault="00E836FB">
            <w:pPr>
              <w:rPr>
                <w:rFonts w:ascii="宋体"/>
                <w:vanish/>
              </w:rPr>
            </w:pPr>
          </w:p>
        </w:tc>
        <w:tc>
          <w:tcPr>
            <w:tcW w:w="0" w:type="auto"/>
            <w:gridSpan w:val="3"/>
            <w:shd w:val="clear" w:color="auto" w:fill="auto"/>
            <w:vAlign w:val="bottom"/>
          </w:tcPr>
          <w:p w14:paraId="5F2CF2E3" w14:textId="77777777" w:rsidR="00E836FB" w:rsidRDefault="00E836FB">
            <w:pPr>
              <w:rPr>
                <w:rFonts w:ascii="宋体"/>
                <w:vanish/>
              </w:rPr>
            </w:pPr>
          </w:p>
        </w:tc>
        <w:tc>
          <w:tcPr>
            <w:tcW w:w="0" w:type="auto"/>
            <w:gridSpan w:val="3"/>
            <w:shd w:val="clear" w:color="auto" w:fill="auto"/>
            <w:vAlign w:val="bottom"/>
          </w:tcPr>
          <w:p w14:paraId="5F2CF2E4" w14:textId="77777777" w:rsidR="00E836FB" w:rsidRDefault="00E836FB">
            <w:pPr>
              <w:rPr>
                <w:rFonts w:ascii="宋体"/>
                <w:vanish/>
              </w:rPr>
            </w:pPr>
          </w:p>
        </w:tc>
        <w:tc>
          <w:tcPr>
            <w:tcW w:w="0" w:type="auto"/>
            <w:gridSpan w:val="3"/>
            <w:shd w:val="clear" w:color="auto" w:fill="auto"/>
            <w:vAlign w:val="bottom"/>
          </w:tcPr>
          <w:p w14:paraId="5F2CF2E5" w14:textId="77777777" w:rsidR="00E836FB" w:rsidRDefault="00E836FB">
            <w:pPr>
              <w:rPr>
                <w:rFonts w:ascii="宋体"/>
                <w:vanish/>
              </w:rPr>
            </w:pPr>
          </w:p>
        </w:tc>
        <w:tc>
          <w:tcPr>
            <w:tcW w:w="0" w:type="auto"/>
            <w:gridSpan w:val="3"/>
            <w:shd w:val="clear" w:color="auto" w:fill="auto"/>
            <w:vAlign w:val="bottom"/>
          </w:tcPr>
          <w:p w14:paraId="5F2CF2E6" w14:textId="77777777" w:rsidR="00E836FB" w:rsidRDefault="00E836FB">
            <w:pPr>
              <w:rPr>
                <w:rFonts w:ascii="宋体"/>
                <w:vanish/>
              </w:rPr>
            </w:pPr>
          </w:p>
        </w:tc>
        <w:tc>
          <w:tcPr>
            <w:tcW w:w="0" w:type="auto"/>
            <w:gridSpan w:val="3"/>
            <w:shd w:val="clear" w:color="auto" w:fill="auto"/>
            <w:vAlign w:val="bottom"/>
          </w:tcPr>
          <w:p w14:paraId="5F2CF2E7" w14:textId="77777777" w:rsidR="00E836FB" w:rsidRDefault="00E836FB">
            <w:pPr>
              <w:rPr>
                <w:rFonts w:ascii="宋体"/>
                <w:vanish/>
              </w:rPr>
            </w:pPr>
          </w:p>
        </w:tc>
        <w:tc>
          <w:tcPr>
            <w:tcW w:w="0" w:type="auto"/>
            <w:gridSpan w:val="3"/>
            <w:shd w:val="clear" w:color="auto" w:fill="auto"/>
            <w:vAlign w:val="bottom"/>
          </w:tcPr>
          <w:p w14:paraId="5F2CF2E8" w14:textId="77777777" w:rsidR="00E836FB" w:rsidRDefault="00E836FB">
            <w:pPr>
              <w:rPr>
                <w:rFonts w:ascii="宋体"/>
                <w:vanish/>
              </w:rPr>
            </w:pPr>
          </w:p>
        </w:tc>
        <w:tc>
          <w:tcPr>
            <w:tcW w:w="0" w:type="auto"/>
            <w:gridSpan w:val="3"/>
            <w:shd w:val="clear" w:color="auto" w:fill="auto"/>
            <w:vAlign w:val="bottom"/>
          </w:tcPr>
          <w:p w14:paraId="5F2CF2E9" w14:textId="77777777" w:rsidR="00E836FB" w:rsidRDefault="00E836FB">
            <w:pPr>
              <w:rPr>
                <w:rFonts w:ascii="宋体"/>
                <w:vanish/>
              </w:rPr>
            </w:pPr>
          </w:p>
        </w:tc>
        <w:tc>
          <w:tcPr>
            <w:tcW w:w="0" w:type="auto"/>
            <w:gridSpan w:val="3"/>
            <w:shd w:val="clear" w:color="auto" w:fill="auto"/>
            <w:vAlign w:val="bottom"/>
          </w:tcPr>
          <w:p w14:paraId="5F2CF2EA" w14:textId="77777777" w:rsidR="00E836FB" w:rsidRDefault="00E836FB">
            <w:pPr>
              <w:rPr>
                <w:rFonts w:ascii="宋体"/>
                <w:vanish/>
              </w:rPr>
            </w:pPr>
          </w:p>
        </w:tc>
        <w:tc>
          <w:tcPr>
            <w:tcW w:w="0" w:type="auto"/>
            <w:gridSpan w:val="3"/>
            <w:shd w:val="clear" w:color="auto" w:fill="auto"/>
            <w:vAlign w:val="bottom"/>
          </w:tcPr>
          <w:p w14:paraId="5F2CF2EB" w14:textId="77777777" w:rsidR="00E836FB" w:rsidRDefault="00E836FB">
            <w:pPr>
              <w:rPr>
                <w:rFonts w:ascii="宋体"/>
                <w:vanish/>
              </w:rPr>
            </w:pPr>
          </w:p>
        </w:tc>
      </w:tr>
      <w:tr w:rsidR="00E836FB" w14:paraId="5F2CF2FF" w14:textId="77777777">
        <w:trPr>
          <w:hidden/>
        </w:trPr>
        <w:tc>
          <w:tcPr>
            <w:tcW w:w="0" w:type="auto"/>
            <w:gridSpan w:val="3"/>
            <w:shd w:val="clear" w:color="auto" w:fill="auto"/>
            <w:vAlign w:val="bottom"/>
          </w:tcPr>
          <w:p w14:paraId="5F2CF2ED" w14:textId="77777777" w:rsidR="00E836FB" w:rsidRDefault="00E836FB">
            <w:pPr>
              <w:rPr>
                <w:rFonts w:ascii="宋体"/>
                <w:vanish/>
              </w:rPr>
            </w:pPr>
          </w:p>
        </w:tc>
        <w:tc>
          <w:tcPr>
            <w:tcW w:w="0" w:type="auto"/>
            <w:gridSpan w:val="3"/>
            <w:shd w:val="clear" w:color="auto" w:fill="auto"/>
            <w:vAlign w:val="bottom"/>
          </w:tcPr>
          <w:p w14:paraId="5F2CF2EE" w14:textId="77777777" w:rsidR="00E836FB" w:rsidRDefault="00E836FB">
            <w:pPr>
              <w:rPr>
                <w:rFonts w:ascii="宋体"/>
                <w:vanish/>
              </w:rPr>
            </w:pPr>
          </w:p>
        </w:tc>
        <w:tc>
          <w:tcPr>
            <w:tcW w:w="0" w:type="auto"/>
            <w:gridSpan w:val="3"/>
            <w:shd w:val="clear" w:color="auto" w:fill="auto"/>
            <w:vAlign w:val="bottom"/>
          </w:tcPr>
          <w:p w14:paraId="5F2CF2EF" w14:textId="77777777" w:rsidR="00E836FB" w:rsidRDefault="00E836FB">
            <w:pPr>
              <w:rPr>
                <w:rFonts w:ascii="宋体"/>
                <w:vanish/>
              </w:rPr>
            </w:pPr>
          </w:p>
        </w:tc>
        <w:tc>
          <w:tcPr>
            <w:tcW w:w="0" w:type="auto"/>
            <w:gridSpan w:val="3"/>
            <w:shd w:val="clear" w:color="auto" w:fill="auto"/>
            <w:vAlign w:val="bottom"/>
          </w:tcPr>
          <w:p w14:paraId="5F2CF2F0" w14:textId="77777777" w:rsidR="00E836FB" w:rsidRDefault="00E836FB">
            <w:pPr>
              <w:rPr>
                <w:rFonts w:ascii="宋体"/>
                <w:vanish/>
              </w:rPr>
            </w:pPr>
          </w:p>
        </w:tc>
        <w:tc>
          <w:tcPr>
            <w:tcW w:w="0" w:type="auto"/>
            <w:gridSpan w:val="3"/>
            <w:shd w:val="clear" w:color="auto" w:fill="auto"/>
            <w:vAlign w:val="bottom"/>
          </w:tcPr>
          <w:p w14:paraId="5F2CF2F1" w14:textId="77777777" w:rsidR="00E836FB" w:rsidRDefault="00E836FB">
            <w:pPr>
              <w:rPr>
                <w:rFonts w:ascii="宋体"/>
                <w:vanish/>
              </w:rPr>
            </w:pPr>
          </w:p>
        </w:tc>
        <w:tc>
          <w:tcPr>
            <w:tcW w:w="0" w:type="auto"/>
            <w:gridSpan w:val="3"/>
            <w:shd w:val="clear" w:color="auto" w:fill="auto"/>
            <w:vAlign w:val="bottom"/>
          </w:tcPr>
          <w:p w14:paraId="5F2CF2F2" w14:textId="77777777" w:rsidR="00E836FB" w:rsidRDefault="00E836FB">
            <w:pPr>
              <w:rPr>
                <w:rFonts w:ascii="宋体"/>
                <w:vanish/>
              </w:rPr>
            </w:pPr>
          </w:p>
        </w:tc>
        <w:tc>
          <w:tcPr>
            <w:tcW w:w="0" w:type="auto"/>
            <w:gridSpan w:val="3"/>
            <w:shd w:val="clear" w:color="auto" w:fill="auto"/>
            <w:vAlign w:val="bottom"/>
          </w:tcPr>
          <w:p w14:paraId="5F2CF2F3" w14:textId="77777777" w:rsidR="00E836FB" w:rsidRDefault="00E836FB">
            <w:pPr>
              <w:rPr>
                <w:rFonts w:ascii="宋体"/>
                <w:vanish/>
              </w:rPr>
            </w:pPr>
          </w:p>
        </w:tc>
        <w:tc>
          <w:tcPr>
            <w:tcW w:w="0" w:type="auto"/>
            <w:gridSpan w:val="3"/>
            <w:shd w:val="clear" w:color="auto" w:fill="auto"/>
            <w:vAlign w:val="bottom"/>
          </w:tcPr>
          <w:p w14:paraId="5F2CF2F4" w14:textId="77777777" w:rsidR="00E836FB" w:rsidRDefault="00E836FB">
            <w:pPr>
              <w:rPr>
                <w:rFonts w:ascii="宋体"/>
                <w:vanish/>
              </w:rPr>
            </w:pPr>
          </w:p>
        </w:tc>
        <w:tc>
          <w:tcPr>
            <w:tcW w:w="0" w:type="auto"/>
            <w:gridSpan w:val="3"/>
            <w:shd w:val="clear" w:color="auto" w:fill="auto"/>
            <w:vAlign w:val="bottom"/>
          </w:tcPr>
          <w:p w14:paraId="5F2CF2F5" w14:textId="77777777" w:rsidR="00E836FB" w:rsidRDefault="00E836FB">
            <w:pPr>
              <w:rPr>
                <w:rFonts w:ascii="宋体"/>
                <w:vanish/>
              </w:rPr>
            </w:pPr>
          </w:p>
        </w:tc>
        <w:tc>
          <w:tcPr>
            <w:tcW w:w="0" w:type="auto"/>
            <w:gridSpan w:val="3"/>
            <w:shd w:val="clear" w:color="auto" w:fill="auto"/>
            <w:vAlign w:val="bottom"/>
          </w:tcPr>
          <w:p w14:paraId="5F2CF2F6" w14:textId="77777777" w:rsidR="00E836FB" w:rsidRDefault="00E836FB">
            <w:pPr>
              <w:rPr>
                <w:rFonts w:ascii="宋体"/>
                <w:vanish/>
              </w:rPr>
            </w:pPr>
          </w:p>
        </w:tc>
        <w:tc>
          <w:tcPr>
            <w:tcW w:w="0" w:type="auto"/>
            <w:gridSpan w:val="3"/>
            <w:shd w:val="clear" w:color="auto" w:fill="auto"/>
            <w:vAlign w:val="bottom"/>
          </w:tcPr>
          <w:p w14:paraId="5F2CF2F7" w14:textId="77777777" w:rsidR="00E836FB" w:rsidRDefault="00E836FB">
            <w:pPr>
              <w:rPr>
                <w:rFonts w:ascii="宋体"/>
                <w:vanish/>
              </w:rPr>
            </w:pPr>
          </w:p>
        </w:tc>
        <w:tc>
          <w:tcPr>
            <w:tcW w:w="0" w:type="auto"/>
            <w:gridSpan w:val="3"/>
            <w:shd w:val="clear" w:color="auto" w:fill="auto"/>
            <w:vAlign w:val="bottom"/>
          </w:tcPr>
          <w:p w14:paraId="5F2CF2F8" w14:textId="77777777" w:rsidR="00E836FB" w:rsidRDefault="00E836FB">
            <w:pPr>
              <w:rPr>
                <w:rFonts w:ascii="宋体"/>
                <w:vanish/>
              </w:rPr>
            </w:pPr>
          </w:p>
        </w:tc>
        <w:tc>
          <w:tcPr>
            <w:tcW w:w="0" w:type="auto"/>
            <w:gridSpan w:val="3"/>
            <w:shd w:val="clear" w:color="auto" w:fill="auto"/>
            <w:vAlign w:val="bottom"/>
          </w:tcPr>
          <w:p w14:paraId="5F2CF2F9" w14:textId="77777777" w:rsidR="00E836FB" w:rsidRDefault="00E836FB">
            <w:pPr>
              <w:rPr>
                <w:rFonts w:ascii="宋体"/>
                <w:vanish/>
              </w:rPr>
            </w:pPr>
          </w:p>
        </w:tc>
        <w:tc>
          <w:tcPr>
            <w:tcW w:w="0" w:type="auto"/>
            <w:gridSpan w:val="3"/>
            <w:shd w:val="clear" w:color="auto" w:fill="auto"/>
            <w:vAlign w:val="bottom"/>
          </w:tcPr>
          <w:p w14:paraId="5F2CF2FA" w14:textId="77777777" w:rsidR="00E836FB" w:rsidRDefault="00E836FB">
            <w:pPr>
              <w:rPr>
                <w:rFonts w:ascii="宋体"/>
                <w:vanish/>
              </w:rPr>
            </w:pPr>
          </w:p>
        </w:tc>
        <w:tc>
          <w:tcPr>
            <w:tcW w:w="0" w:type="auto"/>
            <w:gridSpan w:val="3"/>
            <w:shd w:val="clear" w:color="auto" w:fill="auto"/>
            <w:vAlign w:val="bottom"/>
          </w:tcPr>
          <w:p w14:paraId="5F2CF2FB" w14:textId="77777777" w:rsidR="00E836FB" w:rsidRDefault="00E836FB">
            <w:pPr>
              <w:rPr>
                <w:rFonts w:ascii="宋体"/>
                <w:vanish/>
              </w:rPr>
            </w:pPr>
          </w:p>
        </w:tc>
        <w:tc>
          <w:tcPr>
            <w:tcW w:w="0" w:type="auto"/>
            <w:gridSpan w:val="3"/>
            <w:shd w:val="clear" w:color="auto" w:fill="auto"/>
            <w:vAlign w:val="bottom"/>
          </w:tcPr>
          <w:p w14:paraId="5F2CF2FC" w14:textId="77777777" w:rsidR="00E836FB" w:rsidRDefault="00E836FB">
            <w:pPr>
              <w:rPr>
                <w:rFonts w:ascii="宋体"/>
                <w:vanish/>
              </w:rPr>
            </w:pPr>
          </w:p>
        </w:tc>
        <w:tc>
          <w:tcPr>
            <w:tcW w:w="0" w:type="auto"/>
            <w:gridSpan w:val="3"/>
            <w:shd w:val="clear" w:color="auto" w:fill="auto"/>
            <w:vAlign w:val="bottom"/>
          </w:tcPr>
          <w:p w14:paraId="5F2CF2FD" w14:textId="77777777" w:rsidR="00E836FB" w:rsidRDefault="00E836FB">
            <w:pPr>
              <w:rPr>
                <w:rFonts w:ascii="宋体"/>
                <w:vanish/>
              </w:rPr>
            </w:pPr>
          </w:p>
        </w:tc>
        <w:tc>
          <w:tcPr>
            <w:tcW w:w="0" w:type="auto"/>
            <w:gridSpan w:val="3"/>
            <w:shd w:val="clear" w:color="auto" w:fill="auto"/>
            <w:vAlign w:val="bottom"/>
          </w:tcPr>
          <w:p w14:paraId="5F2CF2FE" w14:textId="77777777" w:rsidR="00E836FB" w:rsidRDefault="00E836FB">
            <w:pPr>
              <w:rPr>
                <w:rFonts w:ascii="宋体"/>
                <w:vanish/>
              </w:rPr>
            </w:pPr>
          </w:p>
        </w:tc>
      </w:tr>
      <w:tr w:rsidR="00E836FB" w14:paraId="5F2CF312" w14:textId="77777777">
        <w:trPr>
          <w:hidden/>
        </w:trPr>
        <w:tc>
          <w:tcPr>
            <w:tcW w:w="0" w:type="auto"/>
            <w:gridSpan w:val="3"/>
            <w:shd w:val="clear" w:color="auto" w:fill="auto"/>
            <w:vAlign w:val="bottom"/>
          </w:tcPr>
          <w:p w14:paraId="5F2CF300" w14:textId="77777777" w:rsidR="00E836FB" w:rsidRDefault="00E836FB">
            <w:pPr>
              <w:rPr>
                <w:rFonts w:ascii="宋体"/>
                <w:vanish/>
              </w:rPr>
            </w:pPr>
          </w:p>
        </w:tc>
        <w:tc>
          <w:tcPr>
            <w:tcW w:w="0" w:type="auto"/>
            <w:gridSpan w:val="3"/>
            <w:shd w:val="clear" w:color="auto" w:fill="auto"/>
            <w:vAlign w:val="bottom"/>
          </w:tcPr>
          <w:p w14:paraId="5F2CF301" w14:textId="77777777" w:rsidR="00E836FB" w:rsidRDefault="00E836FB">
            <w:pPr>
              <w:rPr>
                <w:rFonts w:ascii="宋体"/>
                <w:vanish/>
              </w:rPr>
            </w:pPr>
          </w:p>
        </w:tc>
        <w:tc>
          <w:tcPr>
            <w:tcW w:w="0" w:type="auto"/>
            <w:gridSpan w:val="3"/>
            <w:shd w:val="clear" w:color="auto" w:fill="auto"/>
            <w:vAlign w:val="bottom"/>
          </w:tcPr>
          <w:p w14:paraId="5F2CF302" w14:textId="77777777" w:rsidR="00E836FB" w:rsidRDefault="00E836FB">
            <w:pPr>
              <w:rPr>
                <w:rFonts w:ascii="宋体"/>
                <w:vanish/>
              </w:rPr>
            </w:pPr>
          </w:p>
        </w:tc>
        <w:tc>
          <w:tcPr>
            <w:tcW w:w="0" w:type="auto"/>
            <w:gridSpan w:val="3"/>
            <w:shd w:val="clear" w:color="auto" w:fill="auto"/>
            <w:vAlign w:val="bottom"/>
          </w:tcPr>
          <w:p w14:paraId="5F2CF303" w14:textId="77777777" w:rsidR="00E836FB" w:rsidRDefault="00E836FB">
            <w:pPr>
              <w:rPr>
                <w:rFonts w:ascii="宋体"/>
                <w:vanish/>
              </w:rPr>
            </w:pPr>
          </w:p>
        </w:tc>
        <w:tc>
          <w:tcPr>
            <w:tcW w:w="0" w:type="auto"/>
            <w:gridSpan w:val="3"/>
            <w:shd w:val="clear" w:color="auto" w:fill="auto"/>
            <w:vAlign w:val="bottom"/>
          </w:tcPr>
          <w:p w14:paraId="5F2CF304" w14:textId="77777777" w:rsidR="00E836FB" w:rsidRDefault="00E836FB">
            <w:pPr>
              <w:rPr>
                <w:rFonts w:ascii="宋体"/>
                <w:vanish/>
              </w:rPr>
            </w:pPr>
          </w:p>
        </w:tc>
        <w:tc>
          <w:tcPr>
            <w:tcW w:w="0" w:type="auto"/>
            <w:gridSpan w:val="3"/>
            <w:shd w:val="clear" w:color="auto" w:fill="auto"/>
            <w:vAlign w:val="bottom"/>
          </w:tcPr>
          <w:p w14:paraId="5F2CF305" w14:textId="77777777" w:rsidR="00E836FB" w:rsidRDefault="00E836FB">
            <w:pPr>
              <w:rPr>
                <w:rFonts w:ascii="宋体"/>
                <w:vanish/>
              </w:rPr>
            </w:pPr>
          </w:p>
        </w:tc>
        <w:tc>
          <w:tcPr>
            <w:tcW w:w="0" w:type="auto"/>
            <w:gridSpan w:val="3"/>
            <w:shd w:val="clear" w:color="auto" w:fill="auto"/>
            <w:vAlign w:val="bottom"/>
          </w:tcPr>
          <w:p w14:paraId="5F2CF306" w14:textId="77777777" w:rsidR="00E836FB" w:rsidRDefault="00E836FB">
            <w:pPr>
              <w:rPr>
                <w:rFonts w:ascii="宋体"/>
                <w:vanish/>
              </w:rPr>
            </w:pPr>
          </w:p>
        </w:tc>
        <w:tc>
          <w:tcPr>
            <w:tcW w:w="0" w:type="auto"/>
            <w:gridSpan w:val="3"/>
            <w:shd w:val="clear" w:color="auto" w:fill="auto"/>
            <w:vAlign w:val="bottom"/>
          </w:tcPr>
          <w:p w14:paraId="5F2CF307" w14:textId="77777777" w:rsidR="00E836FB" w:rsidRDefault="00E836FB">
            <w:pPr>
              <w:rPr>
                <w:rFonts w:ascii="宋体"/>
                <w:vanish/>
              </w:rPr>
            </w:pPr>
          </w:p>
        </w:tc>
        <w:tc>
          <w:tcPr>
            <w:tcW w:w="0" w:type="auto"/>
            <w:gridSpan w:val="3"/>
            <w:shd w:val="clear" w:color="auto" w:fill="auto"/>
            <w:vAlign w:val="bottom"/>
          </w:tcPr>
          <w:p w14:paraId="5F2CF308" w14:textId="77777777" w:rsidR="00E836FB" w:rsidRDefault="00E836FB">
            <w:pPr>
              <w:rPr>
                <w:rFonts w:ascii="宋体"/>
                <w:vanish/>
              </w:rPr>
            </w:pPr>
          </w:p>
        </w:tc>
        <w:tc>
          <w:tcPr>
            <w:tcW w:w="0" w:type="auto"/>
            <w:gridSpan w:val="3"/>
            <w:shd w:val="clear" w:color="auto" w:fill="auto"/>
            <w:vAlign w:val="bottom"/>
          </w:tcPr>
          <w:p w14:paraId="5F2CF309" w14:textId="77777777" w:rsidR="00E836FB" w:rsidRDefault="00E836FB">
            <w:pPr>
              <w:rPr>
                <w:rFonts w:ascii="宋体"/>
                <w:vanish/>
              </w:rPr>
            </w:pPr>
          </w:p>
        </w:tc>
        <w:tc>
          <w:tcPr>
            <w:tcW w:w="0" w:type="auto"/>
            <w:gridSpan w:val="3"/>
            <w:shd w:val="clear" w:color="auto" w:fill="auto"/>
            <w:vAlign w:val="bottom"/>
          </w:tcPr>
          <w:p w14:paraId="5F2CF30A" w14:textId="77777777" w:rsidR="00E836FB" w:rsidRDefault="00E836FB">
            <w:pPr>
              <w:rPr>
                <w:rFonts w:ascii="宋体"/>
                <w:vanish/>
              </w:rPr>
            </w:pPr>
          </w:p>
        </w:tc>
        <w:tc>
          <w:tcPr>
            <w:tcW w:w="0" w:type="auto"/>
            <w:gridSpan w:val="3"/>
            <w:shd w:val="clear" w:color="auto" w:fill="auto"/>
            <w:vAlign w:val="bottom"/>
          </w:tcPr>
          <w:p w14:paraId="5F2CF30B" w14:textId="77777777" w:rsidR="00E836FB" w:rsidRDefault="00E836FB">
            <w:pPr>
              <w:rPr>
                <w:rFonts w:ascii="宋体"/>
                <w:vanish/>
              </w:rPr>
            </w:pPr>
          </w:p>
        </w:tc>
        <w:tc>
          <w:tcPr>
            <w:tcW w:w="0" w:type="auto"/>
            <w:gridSpan w:val="3"/>
            <w:shd w:val="clear" w:color="auto" w:fill="auto"/>
            <w:vAlign w:val="bottom"/>
          </w:tcPr>
          <w:p w14:paraId="5F2CF30C" w14:textId="77777777" w:rsidR="00E836FB" w:rsidRDefault="00E836FB">
            <w:pPr>
              <w:rPr>
                <w:rFonts w:ascii="宋体"/>
                <w:vanish/>
              </w:rPr>
            </w:pPr>
          </w:p>
        </w:tc>
        <w:tc>
          <w:tcPr>
            <w:tcW w:w="0" w:type="auto"/>
            <w:gridSpan w:val="3"/>
            <w:shd w:val="clear" w:color="auto" w:fill="auto"/>
            <w:vAlign w:val="bottom"/>
          </w:tcPr>
          <w:p w14:paraId="5F2CF30D" w14:textId="77777777" w:rsidR="00E836FB" w:rsidRDefault="00E836FB">
            <w:pPr>
              <w:rPr>
                <w:rFonts w:ascii="宋体"/>
                <w:vanish/>
              </w:rPr>
            </w:pPr>
          </w:p>
        </w:tc>
        <w:tc>
          <w:tcPr>
            <w:tcW w:w="0" w:type="auto"/>
            <w:gridSpan w:val="3"/>
            <w:shd w:val="clear" w:color="auto" w:fill="auto"/>
            <w:vAlign w:val="bottom"/>
          </w:tcPr>
          <w:p w14:paraId="5F2CF30E" w14:textId="77777777" w:rsidR="00E836FB" w:rsidRDefault="00E836FB">
            <w:pPr>
              <w:rPr>
                <w:rFonts w:ascii="宋体"/>
                <w:vanish/>
              </w:rPr>
            </w:pPr>
          </w:p>
        </w:tc>
        <w:tc>
          <w:tcPr>
            <w:tcW w:w="0" w:type="auto"/>
            <w:gridSpan w:val="3"/>
            <w:shd w:val="clear" w:color="auto" w:fill="auto"/>
            <w:vAlign w:val="bottom"/>
          </w:tcPr>
          <w:p w14:paraId="5F2CF30F" w14:textId="77777777" w:rsidR="00E836FB" w:rsidRDefault="00E836FB">
            <w:pPr>
              <w:rPr>
                <w:rFonts w:ascii="宋体"/>
                <w:vanish/>
              </w:rPr>
            </w:pPr>
          </w:p>
        </w:tc>
        <w:tc>
          <w:tcPr>
            <w:tcW w:w="0" w:type="auto"/>
            <w:gridSpan w:val="3"/>
            <w:shd w:val="clear" w:color="auto" w:fill="auto"/>
            <w:vAlign w:val="bottom"/>
          </w:tcPr>
          <w:p w14:paraId="5F2CF310" w14:textId="77777777" w:rsidR="00E836FB" w:rsidRDefault="00E836FB">
            <w:pPr>
              <w:rPr>
                <w:rFonts w:ascii="宋体"/>
                <w:vanish/>
              </w:rPr>
            </w:pPr>
          </w:p>
        </w:tc>
        <w:tc>
          <w:tcPr>
            <w:tcW w:w="0" w:type="auto"/>
            <w:gridSpan w:val="3"/>
            <w:shd w:val="clear" w:color="auto" w:fill="auto"/>
            <w:vAlign w:val="bottom"/>
          </w:tcPr>
          <w:p w14:paraId="5F2CF311" w14:textId="77777777" w:rsidR="00E836FB" w:rsidRDefault="00E836FB">
            <w:pPr>
              <w:rPr>
                <w:rFonts w:ascii="宋体"/>
                <w:vanish/>
              </w:rPr>
            </w:pPr>
          </w:p>
        </w:tc>
      </w:tr>
      <w:tr w:rsidR="00E836FB" w14:paraId="5F2CF325" w14:textId="77777777">
        <w:trPr>
          <w:hidden/>
        </w:trPr>
        <w:tc>
          <w:tcPr>
            <w:tcW w:w="0" w:type="auto"/>
            <w:gridSpan w:val="3"/>
            <w:shd w:val="clear" w:color="auto" w:fill="auto"/>
            <w:vAlign w:val="bottom"/>
          </w:tcPr>
          <w:p w14:paraId="5F2CF313" w14:textId="77777777" w:rsidR="00E836FB" w:rsidRDefault="00E836FB">
            <w:pPr>
              <w:rPr>
                <w:rFonts w:ascii="宋体"/>
                <w:vanish/>
              </w:rPr>
            </w:pPr>
          </w:p>
        </w:tc>
        <w:tc>
          <w:tcPr>
            <w:tcW w:w="0" w:type="auto"/>
            <w:gridSpan w:val="3"/>
            <w:shd w:val="clear" w:color="auto" w:fill="auto"/>
            <w:vAlign w:val="bottom"/>
          </w:tcPr>
          <w:p w14:paraId="5F2CF314" w14:textId="77777777" w:rsidR="00E836FB" w:rsidRDefault="00E836FB">
            <w:pPr>
              <w:rPr>
                <w:rFonts w:ascii="宋体"/>
                <w:vanish/>
              </w:rPr>
            </w:pPr>
          </w:p>
        </w:tc>
        <w:tc>
          <w:tcPr>
            <w:tcW w:w="0" w:type="auto"/>
            <w:gridSpan w:val="3"/>
            <w:shd w:val="clear" w:color="auto" w:fill="auto"/>
            <w:vAlign w:val="bottom"/>
          </w:tcPr>
          <w:p w14:paraId="5F2CF315" w14:textId="77777777" w:rsidR="00E836FB" w:rsidRDefault="00E836FB">
            <w:pPr>
              <w:rPr>
                <w:rFonts w:ascii="宋体"/>
                <w:vanish/>
              </w:rPr>
            </w:pPr>
          </w:p>
        </w:tc>
        <w:tc>
          <w:tcPr>
            <w:tcW w:w="0" w:type="auto"/>
            <w:gridSpan w:val="3"/>
            <w:shd w:val="clear" w:color="auto" w:fill="auto"/>
            <w:vAlign w:val="bottom"/>
          </w:tcPr>
          <w:p w14:paraId="5F2CF316" w14:textId="77777777" w:rsidR="00E836FB" w:rsidRDefault="00E836FB">
            <w:pPr>
              <w:rPr>
                <w:rFonts w:ascii="宋体"/>
                <w:vanish/>
              </w:rPr>
            </w:pPr>
          </w:p>
        </w:tc>
        <w:tc>
          <w:tcPr>
            <w:tcW w:w="0" w:type="auto"/>
            <w:gridSpan w:val="3"/>
            <w:shd w:val="clear" w:color="auto" w:fill="auto"/>
            <w:vAlign w:val="bottom"/>
          </w:tcPr>
          <w:p w14:paraId="5F2CF317" w14:textId="77777777" w:rsidR="00E836FB" w:rsidRDefault="00E836FB">
            <w:pPr>
              <w:rPr>
                <w:rFonts w:ascii="宋体"/>
                <w:vanish/>
              </w:rPr>
            </w:pPr>
          </w:p>
        </w:tc>
        <w:tc>
          <w:tcPr>
            <w:tcW w:w="0" w:type="auto"/>
            <w:gridSpan w:val="3"/>
            <w:shd w:val="clear" w:color="auto" w:fill="auto"/>
            <w:vAlign w:val="bottom"/>
          </w:tcPr>
          <w:p w14:paraId="5F2CF318" w14:textId="77777777" w:rsidR="00E836FB" w:rsidRDefault="00E836FB">
            <w:pPr>
              <w:rPr>
                <w:rFonts w:ascii="宋体"/>
                <w:vanish/>
              </w:rPr>
            </w:pPr>
          </w:p>
        </w:tc>
        <w:tc>
          <w:tcPr>
            <w:tcW w:w="0" w:type="auto"/>
            <w:gridSpan w:val="3"/>
            <w:shd w:val="clear" w:color="auto" w:fill="auto"/>
            <w:vAlign w:val="bottom"/>
          </w:tcPr>
          <w:p w14:paraId="5F2CF319" w14:textId="77777777" w:rsidR="00E836FB" w:rsidRDefault="00E836FB">
            <w:pPr>
              <w:rPr>
                <w:rFonts w:ascii="宋体"/>
                <w:vanish/>
              </w:rPr>
            </w:pPr>
          </w:p>
        </w:tc>
        <w:tc>
          <w:tcPr>
            <w:tcW w:w="0" w:type="auto"/>
            <w:gridSpan w:val="3"/>
            <w:shd w:val="clear" w:color="auto" w:fill="auto"/>
            <w:vAlign w:val="bottom"/>
          </w:tcPr>
          <w:p w14:paraId="5F2CF31A" w14:textId="77777777" w:rsidR="00E836FB" w:rsidRDefault="00E836FB">
            <w:pPr>
              <w:rPr>
                <w:rFonts w:ascii="宋体"/>
                <w:vanish/>
              </w:rPr>
            </w:pPr>
          </w:p>
        </w:tc>
        <w:tc>
          <w:tcPr>
            <w:tcW w:w="0" w:type="auto"/>
            <w:gridSpan w:val="3"/>
            <w:shd w:val="clear" w:color="auto" w:fill="auto"/>
            <w:vAlign w:val="bottom"/>
          </w:tcPr>
          <w:p w14:paraId="5F2CF31B" w14:textId="77777777" w:rsidR="00E836FB" w:rsidRDefault="00E836FB">
            <w:pPr>
              <w:rPr>
                <w:rFonts w:ascii="宋体"/>
                <w:vanish/>
              </w:rPr>
            </w:pPr>
          </w:p>
        </w:tc>
        <w:tc>
          <w:tcPr>
            <w:tcW w:w="0" w:type="auto"/>
            <w:gridSpan w:val="3"/>
            <w:shd w:val="clear" w:color="auto" w:fill="auto"/>
            <w:vAlign w:val="bottom"/>
          </w:tcPr>
          <w:p w14:paraId="5F2CF31C" w14:textId="77777777" w:rsidR="00E836FB" w:rsidRDefault="00E836FB">
            <w:pPr>
              <w:rPr>
                <w:rFonts w:ascii="宋体"/>
                <w:vanish/>
              </w:rPr>
            </w:pPr>
          </w:p>
        </w:tc>
        <w:tc>
          <w:tcPr>
            <w:tcW w:w="0" w:type="auto"/>
            <w:gridSpan w:val="3"/>
            <w:shd w:val="clear" w:color="auto" w:fill="auto"/>
            <w:vAlign w:val="bottom"/>
          </w:tcPr>
          <w:p w14:paraId="5F2CF31D" w14:textId="77777777" w:rsidR="00E836FB" w:rsidRDefault="00E836FB">
            <w:pPr>
              <w:rPr>
                <w:rFonts w:ascii="宋体"/>
                <w:vanish/>
              </w:rPr>
            </w:pPr>
          </w:p>
        </w:tc>
        <w:tc>
          <w:tcPr>
            <w:tcW w:w="0" w:type="auto"/>
            <w:gridSpan w:val="3"/>
            <w:shd w:val="clear" w:color="auto" w:fill="auto"/>
            <w:vAlign w:val="bottom"/>
          </w:tcPr>
          <w:p w14:paraId="5F2CF31E" w14:textId="77777777" w:rsidR="00E836FB" w:rsidRDefault="00E836FB">
            <w:pPr>
              <w:rPr>
                <w:rFonts w:ascii="宋体"/>
                <w:vanish/>
              </w:rPr>
            </w:pPr>
          </w:p>
        </w:tc>
        <w:tc>
          <w:tcPr>
            <w:tcW w:w="0" w:type="auto"/>
            <w:gridSpan w:val="3"/>
            <w:shd w:val="clear" w:color="auto" w:fill="auto"/>
            <w:vAlign w:val="bottom"/>
          </w:tcPr>
          <w:p w14:paraId="5F2CF31F" w14:textId="77777777" w:rsidR="00E836FB" w:rsidRDefault="00E836FB">
            <w:pPr>
              <w:rPr>
                <w:rFonts w:ascii="宋体"/>
                <w:vanish/>
              </w:rPr>
            </w:pPr>
          </w:p>
        </w:tc>
        <w:tc>
          <w:tcPr>
            <w:tcW w:w="0" w:type="auto"/>
            <w:gridSpan w:val="3"/>
            <w:shd w:val="clear" w:color="auto" w:fill="auto"/>
            <w:vAlign w:val="bottom"/>
          </w:tcPr>
          <w:p w14:paraId="5F2CF320" w14:textId="77777777" w:rsidR="00E836FB" w:rsidRDefault="00E836FB">
            <w:pPr>
              <w:rPr>
                <w:rFonts w:ascii="宋体"/>
                <w:vanish/>
              </w:rPr>
            </w:pPr>
          </w:p>
        </w:tc>
        <w:tc>
          <w:tcPr>
            <w:tcW w:w="0" w:type="auto"/>
            <w:gridSpan w:val="3"/>
            <w:shd w:val="clear" w:color="auto" w:fill="auto"/>
            <w:vAlign w:val="bottom"/>
          </w:tcPr>
          <w:p w14:paraId="5F2CF321" w14:textId="77777777" w:rsidR="00E836FB" w:rsidRDefault="00E836FB">
            <w:pPr>
              <w:rPr>
                <w:rFonts w:ascii="宋体"/>
                <w:vanish/>
              </w:rPr>
            </w:pPr>
          </w:p>
        </w:tc>
        <w:tc>
          <w:tcPr>
            <w:tcW w:w="0" w:type="auto"/>
            <w:gridSpan w:val="3"/>
            <w:shd w:val="clear" w:color="auto" w:fill="auto"/>
            <w:vAlign w:val="bottom"/>
          </w:tcPr>
          <w:p w14:paraId="5F2CF322" w14:textId="77777777" w:rsidR="00E836FB" w:rsidRDefault="00E836FB">
            <w:pPr>
              <w:rPr>
                <w:rFonts w:ascii="宋体"/>
                <w:vanish/>
              </w:rPr>
            </w:pPr>
          </w:p>
        </w:tc>
        <w:tc>
          <w:tcPr>
            <w:tcW w:w="0" w:type="auto"/>
            <w:gridSpan w:val="3"/>
            <w:shd w:val="clear" w:color="auto" w:fill="auto"/>
            <w:vAlign w:val="bottom"/>
          </w:tcPr>
          <w:p w14:paraId="5F2CF323" w14:textId="77777777" w:rsidR="00E836FB" w:rsidRDefault="00E836FB">
            <w:pPr>
              <w:rPr>
                <w:rFonts w:ascii="宋体"/>
                <w:vanish/>
              </w:rPr>
            </w:pPr>
          </w:p>
        </w:tc>
        <w:tc>
          <w:tcPr>
            <w:tcW w:w="0" w:type="auto"/>
            <w:gridSpan w:val="3"/>
            <w:shd w:val="clear" w:color="auto" w:fill="auto"/>
            <w:vAlign w:val="bottom"/>
          </w:tcPr>
          <w:p w14:paraId="5F2CF324" w14:textId="77777777" w:rsidR="00E836FB" w:rsidRDefault="00E836FB">
            <w:pPr>
              <w:rPr>
                <w:rFonts w:ascii="宋体"/>
                <w:vanish/>
              </w:rPr>
            </w:pPr>
          </w:p>
        </w:tc>
      </w:tr>
      <w:tr w:rsidR="00E836FB" w14:paraId="5F2CF338" w14:textId="77777777">
        <w:trPr>
          <w:hidden/>
        </w:trPr>
        <w:tc>
          <w:tcPr>
            <w:tcW w:w="0" w:type="auto"/>
            <w:gridSpan w:val="3"/>
            <w:shd w:val="clear" w:color="auto" w:fill="auto"/>
            <w:vAlign w:val="bottom"/>
          </w:tcPr>
          <w:p w14:paraId="5F2CF326" w14:textId="77777777" w:rsidR="00E836FB" w:rsidRDefault="00E836FB">
            <w:pPr>
              <w:rPr>
                <w:rFonts w:ascii="宋体"/>
                <w:vanish/>
              </w:rPr>
            </w:pPr>
          </w:p>
        </w:tc>
        <w:tc>
          <w:tcPr>
            <w:tcW w:w="0" w:type="auto"/>
            <w:gridSpan w:val="3"/>
            <w:shd w:val="clear" w:color="auto" w:fill="auto"/>
            <w:vAlign w:val="bottom"/>
          </w:tcPr>
          <w:p w14:paraId="5F2CF327" w14:textId="77777777" w:rsidR="00E836FB" w:rsidRDefault="00E836FB">
            <w:pPr>
              <w:rPr>
                <w:rFonts w:ascii="宋体"/>
                <w:vanish/>
              </w:rPr>
            </w:pPr>
          </w:p>
        </w:tc>
        <w:tc>
          <w:tcPr>
            <w:tcW w:w="0" w:type="auto"/>
            <w:gridSpan w:val="3"/>
            <w:shd w:val="clear" w:color="auto" w:fill="auto"/>
            <w:vAlign w:val="bottom"/>
          </w:tcPr>
          <w:p w14:paraId="5F2CF328" w14:textId="77777777" w:rsidR="00E836FB" w:rsidRDefault="00E836FB">
            <w:pPr>
              <w:rPr>
                <w:rFonts w:ascii="宋体"/>
                <w:vanish/>
              </w:rPr>
            </w:pPr>
          </w:p>
        </w:tc>
        <w:tc>
          <w:tcPr>
            <w:tcW w:w="0" w:type="auto"/>
            <w:gridSpan w:val="3"/>
            <w:shd w:val="clear" w:color="auto" w:fill="auto"/>
            <w:vAlign w:val="bottom"/>
          </w:tcPr>
          <w:p w14:paraId="5F2CF329" w14:textId="77777777" w:rsidR="00E836FB" w:rsidRDefault="00E836FB">
            <w:pPr>
              <w:rPr>
                <w:rFonts w:ascii="宋体"/>
                <w:vanish/>
              </w:rPr>
            </w:pPr>
          </w:p>
        </w:tc>
        <w:tc>
          <w:tcPr>
            <w:tcW w:w="0" w:type="auto"/>
            <w:gridSpan w:val="3"/>
            <w:shd w:val="clear" w:color="auto" w:fill="auto"/>
            <w:vAlign w:val="bottom"/>
          </w:tcPr>
          <w:p w14:paraId="5F2CF32A" w14:textId="77777777" w:rsidR="00E836FB" w:rsidRDefault="00E836FB">
            <w:pPr>
              <w:rPr>
                <w:rFonts w:ascii="宋体"/>
                <w:vanish/>
              </w:rPr>
            </w:pPr>
          </w:p>
        </w:tc>
        <w:tc>
          <w:tcPr>
            <w:tcW w:w="0" w:type="auto"/>
            <w:gridSpan w:val="3"/>
            <w:shd w:val="clear" w:color="auto" w:fill="auto"/>
            <w:vAlign w:val="bottom"/>
          </w:tcPr>
          <w:p w14:paraId="5F2CF32B" w14:textId="77777777" w:rsidR="00E836FB" w:rsidRDefault="00E836FB">
            <w:pPr>
              <w:rPr>
                <w:rFonts w:ascii="宋体"/>
                <w:vanish/>
              </w:rPr>
            </w:pPr>
          </w:p>
        </w:tc>
        <w:tc>
          <w:tcPr>
            <w:tcW w:w="0" w:type="auto"/>
            <w:gridSpan w:val="3"/>
            <w:shd w:val="clear" w:color="auto" w:fill="auto"/>
            <w:vAlign w:val="bottom"/>
          </w:tcPr>
          <w:p w14:paraId="5F2CF32C" w14:textId="77777777" w:rsidR="00E836FB" w:rsidRDefault="00E836FB">
            <w:pPr>
              <w:rPr>
                <w:rFonts w:ascii="宋体"/>
                <w:vanish/>
              </w:rPr>
            </w:pPr>
          </w:p>
        </w:tc>
        <w:tc>
          <w:tcPr>
            <w:tcW w:w="0" w:type="auto"/>
            <w:gridSpan w:val="3"/>
            <w:shd w:val="clear" w:color="auto" w:fill="auto"/>
            <w:vAlign w:val="bottom"/>
          </w:tcPr>
          <w:p w14:paraId="5F2CF32D" w14:textId="77777777" w:rsidR="00E836FB" w:rsidRDefault="00E836FB">
            <w:pPr>
              <w:rPr>
                <w:rFonts w:ascii="宋体"/>
                <w:vanish/>
              </w:rPr>
            </w:pPr>
          </w:p>
        </w:tc>
        <w:tc>
          <w:tcPr>
            <w:tcW w:w="0" w:type="auto"/>
            <w:gridSpan w:val="3"/>
            <w:shd w:val="clear" w:color="auto" w:fill="auto"/>
            <w:vAlign w:val="bottom"/>
          </w:tcPr>
          <w:p w14:paraId="5F2CF32E" w14:textId="77777777" w:rsidR="00E836FB" w:rsidRDefault="00E836FB">
            <w:pPr>
              <w:rPr>
                <w:rFonts w:ascii="宋体"/>
                <w:vanish/>
              </w:rPr>
            </w:pPr>
          </w:p>
        </w:tc>
        <w:tc>
          <w:tcPr>
            <w:tcW w:w="0" w:type="auto"/>
            <w:gridSpan w:val="3"/>
            <w:shd w:val="clear" w:color="auto" w:fill="auto"/>
            <w:vAlign w:val="bottom"/>
          </w:tcPr>
          <w:p w14:paraId="5F2CF32F" w14:textId="77777777" w:rsidR="00E836FB" w:rsidRDefault="00E836FB">
            <w:pPr>
              <w:rPr>
                <w:rFonts w:ascii="宋体"/>
                <w:vanish/>
              </w:rPr>
            </w:pPr>
          </w:p>
        </w:tc>
        <w:tc>
          <w:tcPr>
            <w:tcW w:w="0" w:type="auto"/>
            <w:gridSpan w:val="3"/>
            <w:shd w:val="clear" w:color="auto" w:fill="auto"/>
            <w:vAlign w:val="bottom"/>
          </w:tcPr>
          <w:p w14:paraId="5F2CF330" w14:textId="77777777" w:rsidR="00E836FB" w:rsidRDefault="00E836FB">
            <w:pPr>
              <w:rPr>
                <w:rFonts w:ascii="宋体"/>
                <w:vanish/>
              </w:rPr>
            </w:pPr>
          </w:p>
        </w:tc>
        <w:tc>
          <w:tcPr>
            <w:tcW w:w="0" w:type="auto"/>
            <w:gridSpan w:val="3"/>
            <w:shd w:val="clear" w:color="auto" w:fill="auto"/>
            <w:vAlign w:val="bottom"/>
          </w:tcPr>
          <w:p w14:paraId="5F2CF331" w14:textId="77777777" w:rsidR="00E836FB" w:rsidRDefault="00E836FB">
            <w:pPr>
              <w:rPr>
                <w:rFonts w:ascii="宋体"/>
                <w:vanish/>
              </w:rPr>
            </w:pPr>
          </w:p>
        </w:tc>
        <w:tc>
          <w:tcPr>
            <w:tcW w:w="0" w:type="auto"/>
            <w:gridSpan w:val="3"/>
            <w:shd w:val="clear" w:color="auto" w:fill="auto"/>
            <w:vAlign w:val="bottom"/>
          </w:tcPr>
          <w:p w14:paraId="5F2CF332" w14:textId="77777777" w:rsidR="00E836FB" w:rsidRDefault="00E836FB">
            <w:pPr>
              <w:rPr>
                <w:rFonts w:ascii="宋体"/>
                <w:vanish/>
              </w:rPr>
            </w:pPr>
          </w:p>
        </w:tc>
        <w:tc>
          <w:tcPr>
            <w:tcW w:w="0" w:type="auto"/>
            <w:gridSpan w:val="3"/>
            <w:shd w:val="clear" w:color="auto" w:fill="auto"/>
            <w:vAlign w:val="bottom"/>
          </w:tcPr>
          <w:p w14:paraId="5F2CF333" w14:textId="77777777" w:rsidR="00E836FB" w:rsidRDefault="00E836FB">
            <w:pPr>
              <w:rPr>
                <w:rFonts w:ascii="宋体"/>
                <w:vanish/>
              </w:rPr>
            </w:pPr>
          </w:p>
        </w:tc>
        <w:tc>
          <w:tcPr>
            <w:tcW w:w="0" w:type="auto"/>
            <w:gridSpan w:val="3"/>
            <w:shd w:val="clear" w:color="auto" w:fill="auto"/>
            <w:vAlign w:val="bottom"/>
          </w:tcPr>
          <w:p w14:paraId="5F2CF334" w14:textId="77777777" w:rsidR="00E836FB" w:rsidRDefault="00E836FB">
            <w:pPr>
              <w:rPr>
                <w:rFonts w:ascii="宋体"/>
                <w:vanish/>
              </w:rPr>
            </w:pPr>
          </w:p>
        </w:tc>
        <w:tc>
          <w:tcPr>
            <w:tcW w:w="0" w:type="auto"/>
            <w:gridSpan w:val="3"/>
            <w:shd w:val="clear" w:color="auto" w:fill="auto"/>
            <w:vAlign w:val="bottom"/>
          </w:tcPr>
          <w:p w14:paraId="5F2CF335" w14:textId="77777777" w:rsidR="00E836FB" w:rsidRDefault="00E836FB">
            <w:pPr>
              <w:rPr>
                <w:rFonts w:ascii="宋体"/>
                <w:vanish/>
              </w:rPr>
            </w:pPr>
          </w:p>
        </w:tc>
        <w:tc>
          <w:tcPr>
            <w:tcW w:w="0" w:type="auto"/>
            <w:gridSpan w:val="3"/>
            <w:shd w:val="clear" w:color="auto" w:fill="auto"/>
            <w:vAlign w:val="bottom"/>
          </w:tcPr>
          <w:p w14:paraId="5F2CF336" w14:textId="77777777" w:rsidR="00E836FB" w:rsidRDefault="00E836FB">
            <w:pPr>
              <w:rPr>
                <w:rFonts w:ascii="宋体"/>
                <w:vanish/>
              </w:rPr>
            </w:pPr>
          </w:p>
        </w:tc>
        <w:tc>
          <w:tcPr>
            <w:tcW w:w="0" w:type="auto"/>
            <w:gridSpan w:val="3"/>
            <w:shd w:val="clear" w:color="auto" w:fill="auto"/>
            <w:vAlign w:val="bottom"/>
          </w:tcPr>
          <w:p w14:paraId="5F2CF337" w14:textId="77777777" w:rsidR="00E836FB" w:rsidRDefault="00E836FB">
            <w:pPr>
              <w:rPr>
                <w:rFonts w:ascii="宋体"/>
                <w:vanish/>
              </w:rPr>
            </w:pPr>
          </w:p>
        </w:tc>
      </w:tr>
      <w:tr w:rsidR="00E836FB" w14:paraId="5F2CF34B" w14:textId="77777777">
        <w:trPr>
          <w:hidden/>
        </w:trPr>
        <w:tc>
          <w:tcPr>
            <w:tcW w:w="0" w:type="auto"/>
            <w:gridSpan w:val="3"/>
            <w:shd w:val="clear" w:color="auto" w:fill="auto"/>
            <w:vAlign w:val="bottom"/>
          </w:tcPr>
          <w:p w14:paraId="5F2CF339" w14:textId="77777777" w:rsidR="00E836FB" w:rsidRDefault="00E836FB">
            <w:pPr>
              <w:rPr>
                <w:rFonts w:ascii="宋体"/>
                <w:vanish/>
              </w:rPr>
            </w:pPr>
          </w:p>
        </w:tc>
        <w:tc>
          <w:tcPr>
            <w:tcW w:w="0" w:type="auto"/>
            <w:gridSpan w:val="3"/>
            <w:shd w:val="clear" w:color="auto" w:fill="auto"/>
            <w:vAlign w:val="bottom"/>
          </w:tcPr>
          <w:p w14:paraId="5F2CF33A" w14:textId="77777777" w:rsidR="00E836FB" w:rsidRDefault="00E836FB">
            <w:pPr>
              <w:rPr>
                <w:rFonts w:ascii="宋体"/>
                <w:vanish/>
              </w:rPr>
            </w:pPr>
          </w:p>
        </w:tc>
        <w:tc>
          <w:tcPr>
            <w:tcW w:w="0" w:type="auto"/>
            <w:gridSpan w:val="3"/>
            <w:shd w:val="clear" w:color="auto" w:fill="auto"/>
            <w:vAlign w:val="bottom"/>
          </w:tcPr>
          <w:p w14:paraId="5F2CF33B" w14:textId="77777777" w:rsidR="00E836FB" w:rsidRDefault="00E836FB">
            <w:pPr>
              <w:rPr>
                <w:rFonts w:ascii="宋体"/>
                <w:vanish/>
              </w:rPr>
            </w:pPr>
          </w:p>
        </w:tc>
        <w:tc>
          <w:tcPr>
            <w:tcW w:w="0" w:type="auto"/>
            <w:gridSpan w:val="3"/>
            <w:shd w:val="clear" w:color="auto" w:fill="auto"/>
            <w:vAlign w:val="bottom"/>
          </w:tcPr>
          <w:p w14:paraId="5F2CF33C" w14:textId="77777777" w:rsidR="00E836FB" w:rsidRDefault="00E836FB">
            <w:pPr>
              <w:rPr>
                <w:rFonts w:ascii="宋体"/>
                <w:vanish/>
              </w:rPr>
            </w:pPr>
          </w:p>
        </w:tc>
        <w:tc>
          <w:tcPr>
            <w:tcW w:w="0" w:type="auto"/>
            <w:gridSpan w:val="3"/>
            <w:shd w:val="clear" w:color="auto" w:fill="auto"/>
            <w:vAlign w:val="bottom"/>
          </w:tcPr>
          <w:p w14:paraId="5F2CF33D" w14:textId="77777777" w:rsidR="00E836FB" w:rsidRDefault="00E836FB">
            <w:pPr>
              <w:rPr>
                <w:rFonts w:ascii="宋体"/>
                <w:vanish/>
              </w:rPr>
            </w:pPr>
          </w:p>
        </w:tc>
        <w:tc>
          <w:tcPr>
            <w:tcW w:w="0" w:type="auto"/>
            <w:gridSpan w:val="3"/>
            <w:shd w:val="clear" w:color="auto" w:fill="auto"/>
            <w:vAlign w:val="bottom"/>
          </w:tcPr>
          <w:p w14:paraId="5F2CF33E" w14:textId="77777777" w:rsidR="00E836FB" w:rsidRDefault="00E836FB">
            <w:pPr>
              <w:rPr>
                <w:rFonts w:ascii="宋体"/>
                <w:vanish/>
              </w:rPr>
            </w:pPr>
          </w:p>
        </w:tc>
        <w:tc>
          <w:tcPr>
            <w:tcW w:w="0" w:type="auto"/>
            <w:gridSpan w:val="3"/>
            <w:shd w:val="clear" w:color="auto" w:fill="auto"/>
            <w:vAlign w:val="bottom"/>
          </w:tcPr>
          <w:p w14:paraId="5F2CF33F" w14:textId="77777777" w:rsidR="00E836FB" w:rsidRDefault="00E836FB">
            <w:pPr>
              <w:rPr>
                <w:rFonts w:ascii="宋体"/>
                <w:vanish/>
              </w:rPr>
            </w:pPr>
          </w:p>
        </w:tc>
        <w:tc>
          <w:tcPr>
            <w:tcW w:w="0" w:type="auto"/>
            <w:gridSpan w:val="3"/>
            <w:shd w:val="clear" w:color="auto" w:fill="auto"/>
            <w:vAlign w:val="bottom"/>
          </w:tcPr>
          <w:p w14:paraId="5F2CF340" w14:textId="77777777" w:rsidR="00E836FB" w:rsidRDefault="00E836FB">
            <w:pPr>
              <w:rPr>
                <w:rFonts w:ascii="宋体"/>
                <w:vanish/>
              </w:rPr>
            </w:pPr>
          </w:p>
        </w:tc>
        <w:tc>
          <w:tcPr>
            <w:tcW w:w="0" w:type="auto"/>
            <w:gridSpan w:val="3"/>
            <w:shd w:val="clear" w:color="auto" w:fill="auto"/>
            <w:vAlign w:val="bottom"/>
          </w:tcPr>
          <w:p w14:paraId="5F2CF341" w14:textId="77777777" w:rsidR="00E836FB" w:rsidRDefault="00E836FB">
            <w:pPr>
              <w:rPr>
                <w:rFonts w:ascii="宋体"/>
                <w:vanish/>
              </w:rPr>
            </w:pPr>
          </w:p>
        </w:tc>
        <w:tc>
          <w:tcPr>
            <w:tcW w:w="0" w:type="auto"/>
            <w:gridSpan w:val="3"/>
            <w:shd w:val="clear" w:color="auto" w:fill="auto"/>
            <w:vAlign w:val="bottom"/>
          </w:tcPr>
          <w:p w14:paraId="5F2CF342" w14:textId="77777777" w:rsidR="00E836FB" w:rsidRDefault="00E836FB">
            <w:pPr>
              <w:rPr>
                <w:rFonts w:ascii="宋体"/>
                <w:vanish/>
              </w:rPr>
            </w:pPr>
          </w:p>
        </w:tc>
        <w:tc>
          <w:tcPr>
            <w:tcW w:w="0" w:type="auto"/>
            <w:gridSpan w:val="3"/>
            <w:shd w:val="clear" w:color="auto" w:fill="auto"/>
            <w:vAlign w:val="bottom"/>
          </w:tcPr>
          <w:p w14:paraId="5F2CF343" w14:textId="77777777" w:rsidR="00E836FB" w:rsidRDefault="00E836FB">
            <w:pPr>
              <w:rPr>
                <w:rFonts w:ascii="宋体"/>
                <w:vanish/>
              </w:rPr>
            </w:pPr>
          </w:p>
        </w:tc>
        <w:tc>
          <w:tcPr>
            <w:tcW w:w="0" w:type="auto"/>
            <w:gridSpan w:val="3"/>
            <w:shd w:val="clear" w:color="auto" w:fill="auto"/>
            <w:vAlign w:val="bottom"/>
          </w:tcPr>
          <w:p w14:paraId="5F2CF344" w14:textId="77777777" w:rsidR="00E836FB" w:rsidRDefault="00E836FB">
            <w:pPr>
              <w:rPr>
                <w:rFonts w:ascii="宋体"/>
                <w:vanish/>
              </w:rPr>
            </w:pPr>
          </w:p>
        </w:tc>
        <w:tc>
          <w:tcPr>
            <w:tcW w:w="0" w:type="auto"/>
            <w:gridSpan w:val="3"/>
            <w:shd w:val="clear" w:color="auto" w:fill="auto"/>
            <w:vAlign w:val="bottom"/>
          </w:tcPr>
          <w:p w14:paraId="5F2CF345" w14:textId="77777777" w:rsidR="00E836FB" w:rsidRDefault="00E836FB">
            <w:pPr>
              <w:rPr>
                <w:rFonts w:ascii="宋体"/>
                <w:vanish/>
              </w:rPr>
            </w:pPr>
          </w:p>
        </w:tc>
        <w:tc>
          <w:tcPr>
            <w:tcW w:w="0" w:type="auto"/>
            <w:gridSpan w:val="3"/>
            <w:shd w:val="clear" w:color="auto" w:fill="auto"/>
            <w:vAlign w:val="bottom"/>
          </w:tcPr>
          <w:p w14:paraId="5F2CF346" w14:textId="77777777" w:rsidR="00E836FB" w:rsidRDefault="00E836FB">
            <w:pPr>
              <w:rPr>
                <w:rFonts w:ascii="宋体"/>
                <w:vanish/>
              </w:rPr>
            </w:pPr>
          </w:p>
        </w:tc>
        <w:tc>
          <w:tcPr>
            <w:tcW w:w="0" w:type="auto"/>
            <w:gridSpan w:val="3"/>
            <w:shd w:val="clear" w:color="auto" w:fill="auto"/>
            <w:vAlign w:val="bottom"/>
          </w:tcPr>
          <w:p w14:paraId="5F2CF347" w14:textId="77777777" w:rsidR="00E836FB" w:rsidRDefault="00E836FB">
            <w:pPr>
              <w:rPr>
                <w:rFonts w:ascii="宋体"/>
                <w:vanish/>
              </w:rPr>
            </w:pPr>
          </w:p>
        </w:tc>
        <w:tc>
          <w:tcPr>
            <w:tcW w:w="0" w:type="auto"/>
            <w:gridSpan w:val="3"/>
            <w:shd w:val="clear" w:color="auto" w:fill="auto"/>
            <w:vAlign w:val="bottom"/>
          </w:tcPr>
          <w:p w14:paraId="5F2CF348" w14:textId="77777777" w:rsidR="00E836FB" w:rsidRDefault="00E836FB">
            <w:pPr>
              <w:rPr>
                <w:rFonts w:ascii="宋体"/>
                <w:vanish/>
              </w:rPr>
            </w:pPr>
          </w:p>
        </w:tc>
        <w:tc>
          <w:tcPr>
            <w:tcW w:w="0" w:type="auto"/>
            <w:gridSpan w:val="3"/>
            <w:shd w:val="clear" w:color="auto" w:fill="auto"/>
            <w:vAlign w:val="bottom"/>
          </w:tcPr>
          <w:p w14:paraId="5F2CF349" w14:textId="77777777" w:rsidR="00E836FB" w:rsidRDefault="00E836FB">
            <w:pPr>
              <w:rPr>
                <w:rFonts w:ascii="宋体"/>
                <w:vanish/>
              </w:rPr>
            </w:pPr>
          </w:p>
        </w:tc>
        <w:tc>
          <w:tcPr>
            <w:tcW w:w="0" w:type="auto"/>
            <w:gridSpan w:val="3"/>
            <w:shd w:val="clear" w:color="auto" w:fill="auto"/>
            <w:vAlign w:val="bottom"/>
          </w:tcPr>
          <w:p w14:paraId="5F2CF34A" w14:textId="77777777" w:rsidR="00E836FB" w:rsidRDefault="00E836FB">
            <w:pPr>
              <w:rPr>
                <w:rFonts w:ascii="宋体"/>
                <w:vanish/>
              </w:rPr>
            </w:pPr>
          </w:p>
        </w:tc>
      </w:tr>
      <w:tr w:rsidR="00E836FB" w14:paraId="5F2CF35E" w14:textId="77777777">
        <w:trPr>
          <w:hidden/>
        </w:trPr>
        <w:tc>
          <w:tcPr>
            <w:tcW w:w="0" w:type="auto"/>
            <w:gridSpan w:val="3"/>
            <w:shd w:val="clear" w:color="auto" w:fill="auto"/>
            <w:vAlign w:val="bottom"/>
          </w:tcPr>
          <w:p w14:paraId="5F2CF34C" w14:textId="77777777" w:rsidR="00E836FB" w:rsidRDefault="00E836FB">
            <w:pPr>
              <w:rPr>
                <w:rFonts w:ascii="宋体"/>
                <w:vanish/>
              </w:rPr>
            </w:pPr>
          </w:p>
        </w:tc>
        <w:tc>
          <w:tcPr>
            <w:tcW w:w="0" w:type="auto"/>
            <w:gridSpan w:val="3"/>
            <w:shd w:val="clear" w:color="auto" w:fill="auto"/>
            <w:vAlign w:val="bottom"/>
          </w:tcPr>
          <w:p w14:paraId="5F2CF34D" w14:textId="77777777" w:rsidR="00E836FB" w:rsidRDefault="00E836FB">
            <w:pPr>
              <w:rPr>
                <w:rFonts w:ascii="宋体"/>
                <w:vanish/>
              </w:rPr>
            </w:pPr>
          </w:p>
        </w:tc>
        <w:tc>
          <w:tcPr>
            <w:tcW w:w="0" w:type="auto"/>
            <w:gridSpan w:val="3"/>
            <w:shd w:val="clear" w:color="auto" w:fill="auto"/>
            <w:vAlign w:val="bottom"/>
          </w:tcPr>
          <w:p w14:paraId="5F2CF34E" w14:textId="77777777" w:rsidR="00E836FB" w:rsidRDefault="00E836FB">
            <w:pPr>
              <w:rPr>
                <w:rFonts w:ascii="宋体"/>
                <w:vanish/>
              </w:rPr>
            </w:pPr>
          </w:p>
        </w:tc>
        <w:tc>
          <w:tcPr>
            <w:tcW w:w="0" w:type="auto"/>
            <w:gridSpan w:val="3"/>
            <w:shd w:val="clear" w:color="auto" w:fill="auto"/>
            <w:vAlign w:val="bottom"/>
          </w:tcPr>
          <w:p w14:paraId="5F2CF34F" w14:textId="77777777" w:rsidR="00E836FB" w:rsidRDefault="00E836FB">
            <w:pPr>
              <w:rPr>
                <w:rFonts w:ascii="宋体"/>
                <w:vanish/>
              </w:rPr>
            </w:pPr>
          </w:p>
        </w:tc>
        <w:tc>
          <w:tcPr>
            <w:tcW w:w="0" w:type="auto"/>
            <w:gridSpan w:val="3"/>
            <w:shd w:val="clear" w:color="auto" w:fill="auto"/>
            <w:vAlign w:val="bottom"/>
          </w:tcPr>
          <w:p w14:paraId="5F2CF350" w14:textId="77777777" w:rsidR="00E836FB" w:rsidRDefault="00E836FB">
            <w:pPr>
              <w:rPr>
                <w:rFonts w:ascii="宋体"/>
                <w:vanish/>
              </w:rPr>
            </w:pPr>
          </w:p>
        </w:tc>
        <w:tc>
          <w:tcPr>
            <w:tcW w:w="0" w:type="auto"/>
            <w:gridSpan w:val="3"/>
            <w:shd w:val="clear" w:color="auto" w:fill="auto"/>
            <w:vAlign w:val="bottom"/>
          </w:tcPr>
          <w:p w14:paraId="5F2CF351" w14:textId="77777777" w:rsidR="00E836FB" w:rsidRDefault="00E836FB">
            <w:pPr>
              <w:rPr>
                <w:rFonts w:ascii="宋体"/>
                <w:vanish/>
              </w:rPr>
            </w:pPr>
          </w:p>
        </w:tc>
        <w:tc>
          <w:tcPr>
            <w:tcW w:w="0" w:type="auto"/>
            <w:gridSpan w:val="3"/>
            <w:shd w:val="clear" w:color="auto" w:fill="auto"/>
            <w:vAlign w:val="bottom"/>
          </w:tcPr>
          <w:p w14:paraId="5F2CF352" w14:textId="77777777" w:rsidR="00E836FB" w:rsidRDefault="00E836FB">
            <w:pPr>
              <w:rPr>
                <w:rFonts w:ascii="宋体"/>
                <w:vanish/>
              </w:rPr>
            </w:pPr>
          </w:p>
        </w:tc>
        <w:tc>
          <w:tcPr>
            <w:tcW w:w="0" w:type="auto"/>
            <w:gridSpan w:val="3"/>
            <w:shd w:val="clear" w:color="auto" w:fill="auto"/>
            <w:vAlign w:val="bottom"/>
          </w:tcPr>
          <w:p w14:paraId="5F2CF353" w14:textId="77777777" w:rsidR="00E836FB" w:rsidRDefault="00E836FB">
            <w:pPr>
              <w:rPr>
                <w:rFonts w:ascii="宋体"/>
                <w:vanish/>
              </w:rPr>
            </w:pPr>
          </w:p>
        </w:tc>
        <w:tc>
          <w:tcPr>
            <w:tcW w:w="0" w:type="auto"/>
            <w:gridSpan w:val="3"/>
            <w:shd w:val="clear" w:color="auto" w:fill="auto"/>
            <w:vAlign w:val="bottom"/>
          </w:tcPr>
          <w:p w14:paraId="5F2CF354" w14:textId="77777777" w:rsidR="00E836FB" w:rsidRDefault="00E836FB">
            <w:pPr>
              <w:rPr>
                <w:rFonts w:ascii="宋体"/>
                <w:vanish/>
              </w:rPr>
            </w:pPr>
          </w:p>
        </w:tc>
        <w:tc>
          <w:tcPr>
            <w:tcW w:w="0" w:type="auto"/>
            <w:gridSpan w:val="3"/>
            <w:shd w:val="clear" w:color="auto" w:fill="auto"/>
            <w:vAlign w:val="bottom"/>
          </w:tcPr>
          <w:p w14:paraId="5F2CF355" w14:textId="77777777" w:rsidR="00E836FB" w:rsidRDefault="00E836FB">
            <w:pPr>
              <w:rPr>
                <w:rFonts w:ascii="宋体"/>
                <w:vanish/>
              </w:rPr>
            </w:pPr>
          </w:p>
        </w:tc>
        <w:tc>
          <w:tcPr>
            <w:tcW w:w="0" w:type="auto"/>
            <w:gridSpan w:val="3"/>
            <w:shd w:val="clear" w:color="auto" w:fill="auto"/>
            <w:vAlign w:val="bottom"/>
          </w:tcPr>
          <w:p w14:paraId="5F2CF356" w14:textId="77777777" w:rsidR="00E836FB" w:rsidRDefault="00E836FB">
            <w:pPr>
              <w:rPr>
                <w:rFonts w:ascii="宋体"/>
                <w:vanish/>
              </w:rPr>
            </w:pPr>
          </w:p>
        </w:tc>
        <w:tc>
          <w:tcPr>
            <w:tcW w:w="0" w:type="auto"/>
            <w:gridSpan w:val="3"/>
            <w:shd w:val="clear" w:color="auto" w:fill="auto"/>
            <w:vAlign w:val="bottom"/>
          </w:tcPr>
          <w:p w14:paraId="5F2CF357" w14:textId="77777777" w:rsidR="00E836FB" w:rsidRDefault="00E836FB">
            <w:pPr>
              <w:rPr>
                <w:rFonts w:ascii="宋体"/>
                <w:vanish/>
              </w:rPr>
            </w:pPr>
          </w:p>
        </w:tc>
        <w:tc>
          <w:tcPr>
            <w:tcW w:w="0" w:type="auto"/>
            <w:gridSpan w:val="3"/>
            <w:shd w:val="clear" w:color="auto" w:fill="auto"/>
            <w:vAlign w:val="bottom"/>
          </w:tcPr>
          <w:p w14:paraId="5F2CF358" w14:textId="77777777" w:rsidR="00E836FB" w:rsidRDefault="00E836FB">
            <w:pPr>
              <w:rPr>
                <w:rFonts w:ascii="宋体"/>
                <w:vanish/>
              </w:rPr>
            </w:pPr>
          </w:p>
        </w:tc>
        <w:tc>
          <w:tcPr>
            <w:tcW w:w="0" w:type="auto"/>
            <w:gridSpan w:val="3"/>
            <w:shd w:val="clear" w:color="auto" w:fill="auto"/>
            <w:vAlign w:val="bottom"/>
          </w:tcPr>
          <w:p w14:paraId="5F2CF359" w14:textId="77777777" w:rsidR="00E836FB" w:rsidRDefault="00E836FB">
            <w:pPr>
              <w:rPr>
                <w:rFonts w:ascii="宋体"/>
                <w:vanish/>
              </w:rPr>
            </w:pPr>
          </w:p>
        </w:tc>
        <w:tc>
          <w:tcPr>
            <w:tcW w:w="0" w:type="auto"/>
            <w:gridSpan w:val="3"/>
            <w:shd w:val="clear" w:color="auto" w:fill="auto"/>
            <w:vAlign w:val="bottom"/>
          </w:tcPr>
          <w:p w14:paraId="5F2CF35A" w14:textId="77777777" w:rsidR="00E836FB" w:rsidRDefault="00E836FB">
            <w:pPr>
              <w:rPr>
                <w:rFonts w:ascii="宋体"/>
                <w:vanish/>
              </w:rPr>
            </w:pPr>
          </w:p>
        </w:tc>
        <w:tc>
          <w:tcPr>
            <w:tcW w:w="0" w:type="auto"/>
            <w:gridSpan w:val="3"/>
            <w:shd w:val="clear" w:color="auto" w:fill="auto"/>
            <w:vAlign w:val="bottom"/>
          </w:tcPr>
          <w:p w14:paraId="5F2CF35B" w14:textId="77777777" w:rsidR="00E836FB" w:rsidRDefault="00E836FB">
            <w:pPr>
              <w:rPr>
                <w:rFonts w:ascii="宋体"/>
                <w:vanish/>
              </w:rPr>
            </w:pPr>
          </w:p>
        </w:tc>
        <w:tc>
          <w:tcPr>
            <w:tcW w:w="0" w:type="auto"/>
            <w:gridSpan w:val="3"/>
            <w:shd w:val="clear" w:color="auto" w:fill="auto"/>
            <w:vAlign w:val="bottom"/>
          </w:tcPr>
          <w:p w14:paraId="5F2CF35C" w14:textId="77777777" w:rsidR="00E836FB" w:rsidRDefault="00E836FB">
            <w:pPr>
              <w:rPr>
                <w:rFonts w:ascii="宋体"/>
                <w:vanish/>
              </w:rPr>
            </w:pPr>
          </w:p>
        </w:tc>
        <w:tc>
          <w:tcPr>
            <w:tcW w:w="0" w:type="auto"/>
            <w:gridSpan w:val="3"/>
            <w:shd w:val="clear" w:color="auto" w:fill="auto"/>
            <w:vAlign w:val="bottom"/>
          </w:tcPr>
          <w:p w14:paraId="5F2CF35D" w14:textId="77777777" w:rsidR="00E836FB" w:rsidRDefault="00E836FB">
            <w:pPr>
              <w:rPr>
                <w:rFonts w:ascii="宋体"/>
                <w:vanish/>
              </w:rPr>
            </w:pPr>
          </w:p>
        </w:tc>
      </w:tr>
      <w:tr w:rsidR="00E836FB" w14:paraId="5F2CF371" w14:textId="77777777">
        <w:trPr>
          <w:hidden/>
        </w:trPr>
        <w:tc>
          <w:tcPr>
            <w:tcW w:w="0" w:type="auto"/>
            <w:gridSpan w:val="3"/>
            <w:shd w:val="clear" w:color="auto" w:fill="auto"/>
            <w:vAlign w:val="bottom"/>
          </w:tcPr>
          <w:p w14:paraId="5F2CF35F" w14:textId="77777777" w:rsidR="00E836FB" w:rsidRDefault="00E836FB">
            <w:pPr>
              <w:rPr>
                <w:rFonts w:ascii="宋体"/>
                <w:vanish/>
              </w:rPr>
            </w:pPr>
          </w:p>
        </w:tc>
        <w:tc>
          <w:tcPr>
            <w:tcW w:w="0" w:type="auto"/>
            <w:gridSpan w:val="3"/>
            <w:shd w:val="clear" w:color="auto" w:fill="auto"/>
            <w:vAlign w:val="bottom"/>
          </w:tcPr>
          <w:p w14:paraId="5F2CF360" w14:textId="77777777" w:rsidR="00E836FB" w:rsidRDefault="00E836FB">
            <w:pPr>
              <w:rPr>
                <w:rFonts w:ascii="宋体"/>
                <w:vanish/>
              </w:rPr>
            </w:pPr>
          </w:p>
        </w:tc>
        <w:tc>
          <w:tcPr>
            <w:tcW w:w="0" w:type="auto"/>
            <w:gridSpan w:val="3"/>
            <w:shd w:val="clear" w:color="auto" w:fill="auto"/>
            <w:vAlign w:val="bottom"/>
          </w:tcPr>
          <w:p w14:paraId="5F2CF361" w14:textId="77777777" w:rsidR="00E836FB" w:rsidRDefault="00E836FB">
            <w:pPr>
              <w:rPr>
                <w:rFonts w:ascii="宋体"/>
                <w:vanish/>
              </w:rPr>
            </w:pPr>
          </w:p>
        </w:tc>
        <w:tc>
          <w:tcPr>
            <w:tcW w:w="0" w:type="auto"/>
            <w:gridSpan w:val="3"/>
            <w:shd w:val="clear" w:color="auto" w:fill="auto"/>
            <w:vAlign w:val="bottom"/>
          </w:tcPr>
          <w:p w14:paraId="5F2CF362" w14:textId="77777777" w:rsidR="00E836FB" w:rsidRDefault="00E836FB">
            <w:pPr>
              <w:rPr>
                <w:rFonts w:ascii="宋体"/>
                <w:vanish/>
              </w:rPr>
            </w:pPr>
          </w:p>
        </w:tc>
        <w:tc>
          <w:tcPr>
            <w:tcW w:w="0" w:type="auto"/>
            <w:gridSpan w:val="3"/>
            <w:shd w:val="clear" w:color="auto" w:fill="auto"/>
            <w:vAlign w:val="bottom"/>
          </w:tcPr>
          <w:p w14:paraId="5F2CF363" w14:textId="77777777" w:rsidR="00E836FB" w:rsidRDefault="00E836FB">
            <w:pPr>
              <w:rPr>
                <w:rFonts w:ascii="宋体"/>
                <w:vanish/>
              </w:rPr>
            </w:pPr>
          </w:p>
        </w:tc>
        <w:tc>
          <w:tcPr>
            <w:tcW w:w="0" w:type="auto"/>
            <w:gridSpan w:val="3"/>
            <w:shd w:val="clear" w:color="auto" w:fill="auto"/>
            <w:vAlign w:val="bottom"/>
          </w:tcPr>
          <w:p w14:paraId="5F2CF364" w14:textId="77777777" w:rsidR="00E836FB" w:rsidRDefault="00E836FB">
            <w:pPr>
              <w:rPr>
                <w:rFonts w:ascii="宋体"/>
                <w:vanish/>
              </w:rPr>
            </w:pPr>
          </w:p>
        </w:tc>
        <w:tc>
          <w:tcPr>
            <w:tcW w:w="0" w:type="auto"/>
            <w:gridSpan w:val="3"/>
            <w:shd w:val="clear" w:color="auto" w:fill="auto"/>
            <w:vAlign w:val="bottom"/>
          </w:tcPr>
          <w:p w14:paraId="5F2CF365" w14:textId="77777777" w:rsidR="00E836FB" w:rsidRDefault="00E836FB">
            <w:pPr>
              <w:rPr>
                <w:rFonts w:ascii="宋体"/>
                <w:vanish/>
              </w:rPr>
            </w:pPr>
          </w:p>
        </w:tc>
        <w:tc>
          <w:tcPr>
            <w:tcW w:w="0" w:type="auto"/>
            <w:gridSpan w:val="3"/>
            <w:shd w:val="clear" w:color="auto" w:fill="auto"/>
            <w:vAlign w:val="bottom"/>
          </w:tcPr>
          <w:p w14:paraId="5F2CF366" w14:textId="77777777" w:rsidR="00E836FB" w:rsidRDefault="00E836FB">
            <w:pPr>
              <w:rPr>
                <w:rFonts w:ascii="宋体"/>
                <w:vanish/>
              </w:rPr>
            </w:pPr>
          </w:p>
        </w:tc>
        <w:tc>
          <w:tcPr>
            <w:tcW w:w="0" w:type="auto"/>
            <w:gridSpan w:val="3"/>
            <w:shd w:val="clear" w:color="auto" w:fill="auto"/>
            <w:vAlign w:val="bottom"/>
          </w:tcPr>
          <w:p w14:paraId="5F2CF367" w14:textId="77777777" w:rsidR="00E836FB" w:rsidRDefault="00E836FB">
            <w:pPr>
              <w:rPr>
                <w:rFonts w:ascii="宋体"/>
                <w:vanish/>
              </w:rPr>
            </w:pPr>
          </w:p>
        </w:tc>
        <w:tc>
          <w:tcPr>
            <w:tcW w:w="0" w:type="auto"/>
            <w:gridSpan w:val="3"/>
            <w:shd w:val="clear" w:color="auto" w:fill="auto"/>
            <w:vAlign w:val="bottom"/>
          </w:tcPr>
          <w:p w14:paraId="5F2CF368" w14:textId="77777777" w:rsidR="00E836FB" w:rsidRDefault="00E836FB">
            <w:pPr>
              <w:rPr>
                <w:rFonts w:ascii="宋体"/>
                <w:vanish/>
              </w:rPr>
            </w:pPr>
          </w:p>
        </w:tc>
        <w:tc>
          <w:tcPr>
            <w:tcW w:w="0" w:type="auto"/>
            <w:gridSpan w:val="3"/>
            <w:shd w:val="clear" w:color="auto" w:fill="auto"/>
            <w:vAlign w:val="bottom"/>
          </w:tcPr>
          <w:p w14:paraId="5F2CF369" w14:textId="77777777" w:rsidR="00E836FB" w:rsidRDefault="00E836FB">
            <w:pPr>
              <w:rPr>
                <w:rFonts w:ascii="宋体"/>
                <w:vanish/>
              </w:rPr>
            </w:pPr>
          </w:p>
        </w:tc>
        <w:tc>
          <w:tcPr>
            <w:tcW w:w="0" w:type="auto"/>
            <w:gridSpan w:val="3"/>
            <w:shd w:val="clear" w:color="auto" w:fill="auto"/>
            <w:vAlign w:val="bottom"/>
          </w:tcPr>
          <w:p w14:paraId="5F2CF36A" w14:textId="77777777" w:rsidR="00E836FB" w:rsidRDefault="00E836FB">
            <w:pPr>
              <w:rPr>
                <w:rFonts w:ascii="宋体"/>
                <w:vanish/>
              </w:rPr>
            </w:pPr>
          </w:p>
        </w:tc>
        <w:tc>
          <w:tcPr>
            <w:tcW w:w="0" w:type="auto"/>
            <w:gridSpan w:val="3"/>
            <w:shd w:val="clear" w:color="auto" w:fill="auto"/>
            <w:vAlign w:val="bottom"/>
          </w:tcPr>
          <w:p w14:paraId="5F2CF36B" w14:textId="77777777" w:rsidR="00E836FB" w:rsidRDefault="00E836FB">
            <w:pPr>
              <w:rPr>
                <w:rFonts w:ascii="宋体"/>
                <w:vanish/>
              </w:rPr>
            </w:pPr>
          </w:p>
        </w:tc>
        <w:tc>
          <w:tcPr>
            <w:tcW w:w="0" w:type="auto"/>
            <w:gridSpan w:val="3"/>
            <w:shd w:val="clear" w:color="auto" w:fill="auto"/>
            <w:vAlign w:val="bottom"/>
          </w:tcPr>
          <w:p w14:paraId="5F2CF36C" w14:textId="77777777" w:rsidR="00E836FB" w:rsidRDefault="00E836FB">
            <w:pPr>
              <w:rPr>
                <w:rFonts w:ascii="宋体"/>
                <w:vanish/>
              </w:rPr>
            </w:pPr>
          </w:p>
        </w:tc>
        <w:tc>
          <w:tcPr>
            <w:tcW w:w="0" w:type="auto"/>
            <w:gridSpan w:val="3"/>
            <w:shd w:val="clear" w:color="auto" w:fill="auto"/>
            <w:vAlign w:val="bottom"/>
          </w:tcPr>
          <w:p w14:paraId="5F2CF36D" w14:textId="77777777" w:rsidR="00E836FB" w:rsidRDefault="00E836FB">
            <w:pPr>
              <w:rPr>
                <w:rFonts w:ascii="宋体"/>
                <w:vanish/>
              </w:rPr>
            </w:pPr>
          </w:p>
        </w:tc>
        <w:tc>
          <w:tcPr>
            <w:tcW w:w="0" w:type="auto"/>
            <w:gridSpan w:val="3"/>
            <w:shd w:val="clear" w:color="auto" w:fill="auto"/>
            <w:vAlign w:val="bottom"/>
          </w:tcPr>
          <w:p w14:paraId="5F2CF36E" w14:textId="77777777" w:rsidR="00E836FB" w:rsidRDefault="00E836FB">
            <w:pPr>
              <w:rPr>
                <w:rFonts w:ascii="宋体"/>
                <w:vanish/>
              </w:rPr>
            </w:pPr>
          </w:p>
        </w:tc>
        <w:tc>
          <w:tcPr>
            <w:tcW w:w="0" w:type="auto"/>
            <w:gridSpan w:val="3"/>
            <w:shd w:val="clear" w:color="auto" w:fill="auto"/>
            <w:vAlign w:val="bottom"/>
          </w:tcPr>
          <w:p w14:paraId="5F2CF36F" w14:textId="77777777" w:rsidR="00E836FB" w:rsidRDefault="00E836FB">
            <w:pPr>
              <w:rPr>
                <w:rFonts w:ascii="宋体"/>
                <w:vanish/>
              </w:rPr>
            </w:pPr>
          </w:p>
        </w:tc>
        <w:tc>
          <w:tcPr>
            <w:tcW w:w="0" w:type="auto"/>
            <w:gridSpan w:val="3"/>
            <w:shd w:val="clear" w:color="auto" w:fill="auto"/>
            <w:vAlign w:val="bottom"/>
          </w:tcPr>
          <w:p w14:paraId="5F2CF370" w14:textId="77777777" w:rsidR="00E836FB" w:rsidRDefault="00E836FB">
            <w:pPr>
              <w:rPr>
                <w:rFonts w:ascii="宋体"/>
                <w:vanish/>
              </w:rPr>
            </w:pPr>
          </w:p>
        </w:tc>
      </w:tr>
      <w:tr w:rsidR="00E836FB" w14:paraId="5F2CF384" w14:textId="77777777">
        <w:trPr>
          <w:hidden/>
        </w:trPr>
        <w:tc>
          <w:tcPr>
            <w:tcW w:w="0" w:type="auto"/>
            <w:gridSpan w:val="3"/>
            <w:shd w:val="clear" w:color="auto" w:fill="auto"/>
            <w:vAlign w:val="bottom"/>
          </w:tcPr>
          <w:p w14:paraId="5F2CF372" w14:textId="77777777" w:rsidR="00E836FB" w:rsidRDefault="00E836FB">
            <w:pPr>
              <w:rPr>
                <w:rFonts w:ascii="宋体"/>
                <w:vanish/>
              </w:rPr>
            </w:pPr>
          </w:p>
        </w:tc>
        <w:tc>
          <w:tcPr>
            <w:tcW w:w="0" w:type="auto"/>
            <w:gridSpan w:val="3"/>
            <w:shd w:val="clear" w:color="auto" w:fill="auto"/>
            <w:vAlign w:val="bottom"/>
          </w:tcPr>
          <w:p w14:paraId="5F2CF373" w14:textId="77777777" w:rsidR="00E836FB" w:rsidRDefault="00E836FB">
            <w:pPr>
              <w:rPr>
                <w:rFonts w:ascii="宋体"/>
                <w:vanish/>
              </w:rPr>
            </w:pPr>
          </w:p>
        </w:tc>
        <w:tc>
          <w:tcPr>
            <w:tcW w:w="0" w:type="auto"/>
            <w:gridSpan w:val="3"/>
            <w:shd w:val="clear" w:color="auto" w:fill="auto"/>
            <w:vAlign w:val="bottom"/>
          </w:tcPr>
          <w:p w14:paraId="5F2CF374" w14:textId="77777777" w:rsidR="00E836FB" w:rsidRDefault="00E836FB">
            <w:pPr>
              <w:rPr>
                <w:rFonts w:ascii="宋体"/>
                <w:vanish/>
              </w:rPr>
            </w:pPr>
          </w:p>
        </w:tc>
        <w:tc>
          <w:tcPr>
            <w:tcW w:w="0" w:type="auto"/>
            <w:gridSpan w:val="3"/>
            <w:shd w:val="clear" w:color="auto" w:fill="auto"/>
            <w:vAlign w:val="bottom"/>
          </w:tcPr>
          <w:p w14:paraId="5F2CF375" w14:textId="77777777" w:rsidR="00E836FB" w:rsidRDefault="00E836FB">
            <w:pPr>
              <w:rPr>
                <w:rFonts w:ascii="宋体"/>
                <w:vanish/>
              </w:rPr>
            </w:pPr>
          </w:p>
        </w:tc>
        <w:tc>
          <w:tcPr>
            <w:tcW w:w="0" w:type="auto"/>
            <w:gridSpan w:val="3"/>
            <w:shd w:val="clear" w:color="auto" w:fill="auto"/>
            <w:vAlign w:val="bottom"/>
          </w:tcPr>
          <w:p w14:paraId="5F2CF376" w14:textId="77777777" w:rsidR="00E836FB" w:rsidRDefault="00E836FB">
            <w:pPr>
              <w:rPr>
                <w:rFonts w:ascii="宋体"/>
                <w:vanish/>
              </w:rPr>
            </w:pPr>
          </w:p>
        </w:tc>
        <w:tc>
          <w:tcPr>
            <w:tcW w:w="0" w:type="auto"/>
            <w:gridSpan w:val="3"/>
            <w:shd w:val="clear" w:color="auto" w:fill="auto"/>
            <w:vAlign w:val="bottom"/>
          </w:tcPr>
          <w:p w14:paraId="5F2CF377" w14:textId="77777777" w:rsidR="00E836FB" w:rsidRDefault="00E836FB">
            <w:pPr>
              <w:rPr>
                <w:rFonts w:ascii="宋体"/>
                <w:vanish/>
              </w:rPr>
            </w:pPr>
          </w:p>
        </w:tc>
        <w:tc>
          <w:tcPr>
            <w:tcW w:w="0" w:type="auto"/>
            <w:gridSpan w:val="3"/>
            <w:shd w:val="clear" w:color="auto" w:fill="auto"/>
            <w:vAlign w:val="bottom"/>
          </w:tcPr>
          <w:p w14:paraId="5F2CF378" w14:textId="77777777" w:rsidR="00E836FB" w:rsidRDefault="00E836FB">
            <w:pPr>
              <w:rPr>
                <w:rFonts w:ascii="宋体"/>
                <w:vanish/>
              </w:rPr>
            </w:pPr>
          </w:p>
        </w:tc>
        <w:tc>
          <w:tcPr>
            <w:tcW w:w="0" w:type="auto"/>
            <w:gridSpan w:val="3"/>
            <w:shd w:val="clear" w:color="auto" w:fill="auto"/>
            <w:vAlign w:val="bottom"/>
          </w:tcPr>
          <w:p w14:paraId="5F2CF379" w14:textId="77777777" w:rsidR="00E836FB" w:rsidRDefault="00E836FB">
            <w:pPr>
              <w:rPr>
                <w:rFonts w:ascii="宋体"/>
                <w:vanish/>
              </w:rPr>
            </w:pPr>
          </w:p>
        </w:tc>
        <w:tc>
          <w:tcPr>
            <w:tcW w:w="0" w:type="auto"/>
            <w:gridSpan w:val="3"/>
            <w:shd w:val="clear" w:color="auto" w:fill="auto"/>
            <w:vAlign w:val="bottom"/>
          </w:tcPr>
          <w:p w14:paraId="5F2CF37A" w14:textId="77777777" w:rsidR="00E836FB" w:rsidRDefault="00E836FB">
            <w:pPr>
              <w:rPr>
                <w:rFonts w:ascii="宋体"/>
                <w:vanish/>
              </w:rPr>
            </w:pPr>
          </w:p>
        </w:tc>
        <w:tc>
          <w:tcPr>
            <w:tcW w:w="0" w:type="auto"/>
            <w:gridSpan w:val="3"/>
            <w:shd w:val="clear" w:color="auto" w:fill="auto"/>
            <w:vAlign w:val="bottom"/>
          </w:tcPr>
          <w:p w14:paraId="5F2CF37B" w14:textId="77777777" w:rsidR="00E836FB" w:rsidRDefault="00E836FB">
            <w:pPr>
              <w:rPr>
                <w:rFonts w:ascii="宋体"/>
                <w:vanish/>
              </w:rPr>
            </w:pPr>
          </w:p>
        </w:tc>
        <w:tc>
          <w:tcPr>
            <w:tcW w:w="0" w:type="auto"/>
            <w:gridSpan w:val="3"/>
            <w:shd w:val="clear" w:color="auto" w:fill="auto"/>
            <w:vAlign w:val="bottom"/>
          </w:tcPr>
          <w:p w14:paraId="5F2CF37C" w14:textId="77777777" w:rsidR="00E836FB" w:rsidRDefault="00E836FB">
            <w:pPr>
              <w:rPr>
                <w:rFonts w:ascii="宋体"/>
                <w:vanish/>
              </w:rPr>
            </w:pPr>
          </w:p>
        </w:tc>
        <w:tc>
          <w:tcPr>
            <w:tcW w:w="0" w:type="auto"/>
            <w:gridSpan w:val="3"/>
            <w:shd w:val="clear" w:color="auto" w:fill="auto"/>
            <w:vAlign w:val="bottom"/>
          </w:tcPr>
          <w:p w14:paraId="5F2CF37D" w14:textId="77777777" w:rsidR="00E836FB" w:rsidRDefault="00E836FB">
            <w:pPr>
              <w:rPr>
                <w:rFonts w:ascii="宋体"/>
                <w:vanish/>
              </w:rPr>
            </w:pPr>
          </w:p>
        </w:tc>
        <w:tc>
          <w:tcPr>
            <w:tcW w:w="0" w:type="auto"/>
            <w:gridSpan w:val="3"/>
            <w:shd w:val="clear" w:color="auto" w:fill="auto"/>
            <w:vAlign w:val="bottom"/>
          </w:tcPr>
          <w:p w14:paraId="5F2CF37E" w14:textId="77777777" w:rsidR="00E836FB" w:rsidRDefault="00E836FB">
            <w:pPr>
              <w:rPr>
                <w:rFonts w:ascii="宋体"/>
                <w:vanish/>
              </w:rPr>
            </w:pPr>
          </w:p>
        </w:tc>
        <w:tc>
          <w:tcPr>
            <w:tcW w:w="0" w:type="auto"/>
            <w:gridSpan w:val="3"/>
            <w:shd w:val="clear" w:color="auto" w:fill="auto"/>
            <w:vAlign w:val="bottom"/>
          </w:tcPr>
          <w:p w14:paraId="5F2CF37F" w14:textId="77777777" w:rsidR="00E836FB" w:rsidRDefault="00E836FB">
            <w:pPr>
              <w:rPr>
                <w:rFonts w:ascii="宋体"/>
                <w:vanish/>
              </w:rPr>
            </w:pPr>
          </w:p>
        </w:tc>
        <w:tc>
          <w:tcPr>
            <w:tcW w:w="0" w:type="auto"/>
            <w:gridSpan w:val="3"/>
            <w:shd w:val="clear" w:color="auto" w:fill="auto"/>
            <w:vAlign w:val="bottom"/>
          </w:tcPr>
          <w:p w14:paraId="5F2CF380" w14:textId="77777777" w:rsidR="00E836FB" w:rsidRDefault="00E836FB">
            <w:pPr>
              <w:rPr>
                <w:rFonts w:ascii="宋体"/>
                <w:vanish/>
              </w:rPr>
            </w:pPr>
          </w:p>
        </w:tc>
        <w:tc>
          <w:tcPr>
            <w:tcW w:w="0" w:type="auto"/>
            <w:gridSpan w:val="3"/>
            <w:shd w:val="clear" w:color="auto" w:fill="auto"/>
            <w:vAlign w:val="bottom"/>
          </w:tcPr>
          <w:p w14:paraId="5F2CF381" w14:textId="77777777" w:rsidR="00E836FB" w:rsidRDefault="00E836FB">
            <w:pPr>
              <w:rPr>
                <w:rFonts w:ascii="宋体"/>
                <w:vanish/>
              </w:rPr>
            </w:pPr>
          </w:p>
        </w:tc>
        <w:tc>
          <w:tcPr>
            <w:tcW w:w="0" w:type="auto"/>
            <w:gridSpan w:val="3"/>
            <w:shd w:val="clear" w:color="auto" w:fill="auto"/>
            <w:vAlign w:val="bottom"/>
          </w:tcPr>
          <w:p w14:paraId="5F2CF382" w14:textId="77777777" w:rsidR="00E836FB" w:rsidRDefault="00E836FB">
            <w:pPr>
              <w:rPr>
                <w:rFonts w:ascii="宋体"/>
                <w:vanish/>
              </w:rPr>
            </w:pPr>
          </w:p>
        </w:tc>
        <w:tc>
          <w:tcPr>
            <w:tcW w:w="0" w:type="auto"/>
            <w:gridSpan w:val="3"/>
            <w:shd w:val="clear" w:color="auto" w:fill="auto"/>
            <w:vAlign w:val="bottom"/>
          </w:tcPr>
          <w:p w14:paraId="5F2CF383" w14:textId="77777777" w:rsidR="00E836FB" w:rsidRDefault="00E836FB">
            <w:pPr>
              <w:rPr>
                <w:rFonts w:ascii="宋体"/>
                <w:vanish/>
              </w:rPr>
            </w:pPr>
          </w:p>
        </w:tc>
      </w:tr>
      <w:tr w:rsidR="00E836FB" w14:paraId="5F2CF3A7" w14:textId="77777777">
        <w:tc>
          <w:tcPr>
            <w:tcW w:w="0" w:type="auto"/>
            <w:gridSpan w:val="3"/>
            <w:shd w:val="clear" w:color="auto" w:fill="CCEEFF"/>
            <w:tcMar>
              <w:top w:w="40" w:type="dxa"/>
              <w:left w:w="20" w:type="dxa"/>
              <w:bottom w:w="40" w:type="dxa"/>
              <w:right w:w="20" w:type="dxa"/>
            </w:tcMar>
            <w:vAlign w:val="bottom"/>
          </w:tcPr>
          <w:p w14:paraId="5F2CF385" w14:textId="77777777" w:rsidR="00E836FB" w:rsidRDefault="00994958">
            <w:pPr>
              <w:textAlignment w:val="bottom"/>
            </w:pPr>
            <w:r>
              <w:rPr>
                <w:rFonts w:ascii="Arial" w:eastAsia="宋体" w:hAnsi="Arial" w:cs="Arial"/>
                <w:b/>
                <w:bCs/>
                <w:color w:val="000000"/>
                <w:sz w:val="15"/>
                <w:szCs w:val="15"/>
              </w:rPr>
              <w:t>Balance at December 31, 2018</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F386"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387" w14:textId="77777777" w:rsidR="00E836FB" w:rsidRDefault="00994958">
            <w:pPr>
              <w:jc w:val="right"/>
              <w:textAlignment w:val="bottom"/>
            </w:pPr>
            <w:r>
              <w:rPr>
                <w:rFonts w:ascii="Arial" w:eastAsia="宋体" w:hAnsi="Arial" w:cs="Arial"/>
                <w:color w:val="000000"/>
                <w:sz w:val="15"/>
                <w:szCs w:val="15"/>
              </w:rPr>
              <w:t>3,690 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8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38A" w14:textId="77777777" w:rsidR="00E836FB" w:rsidRDefault="00994958">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8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38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38E" w14:textId="77777777" w:rsidR="00E836FB" w:rsidRDefault="00994958">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9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39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392" w14:textId="77777777" w:rsidR="00E836FB" w:rsidRDefault="00994958">
            <w:pPr>
              <w:jc w:val="right"/>
              <w:textAlignment w:val="bottom"/>
            </w:pPr>
            <w:r>
              <w:rPr>
                <w:rFonts w:ascii="Arial" w:eastAsia="宋体" w:hAnsi="Arial" w:cs="Arial"/>
                <w:color w:val="000000"/>
                <w:sz w:val="15"/>
                <w:szCs w:val="15"/>
              </w:rPr>
              <w:t>10,061 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9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39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396" w14:textId="77777777" w:rsidR="00E836FB" w:rsidRDefault="00994958">
            <w:pPr>
              <w:jc w:val="right"/>
              <w:textAlignment w:val="bottom"/>
            </w:pPr>
            <w:r>
              <w:rPr>
                <w:rFonts w:ascii="Arial" w:eastAsia="宋体" w:hAnsi="Arial" w:cs="Arial"/>
                <w:color w:val="000000"/>
                <w:sz w:val="15"/>
                <w:szCs w:val="15"/>
              </w:rPr>
              <w:t>20,553 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9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39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39A" w14:textId="77777777" w:rsidR="00E836FB" w:rsidRDefault="00994958">
            <w:pPr>
              <w:jc w:val="right"/>
              <w:textAlignment w:val="bottom"/>
            </w:pPr>
            <w:r>
              <w:rPr>
                <w:rFonts w:ascii="Arial" w:eastAsia="宋体" w:hAnsi="Arial" w:cs="Arial"/>
                <w:color w:val="000000"/>
                <w:sz w:val="15"/>
                <w:szCs w:val="15"/>
              </w:rPr>
              <w:t>(1,356)</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9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39D" w14:textId="77777777" w:rsidR="00E836FB" w:rsidRDefault="00994958">
            <w:pPr>
              <w:jc w:val="right"/>
              <w:textAlignment w:val="bottom"/>
            </w:pPr>
            <w:r>
              <w:rPr>
                <w:rFonts w:ascii="Arial" w:eastAsia="宋体" w:hAnsi="Arial" w:cs="Arial"/>
                <w:color w:val="000000"/>
                <w:sz w:val="15"/>
                <w:szCs w:val="15"/>
              </w:rPr>
              <w:t>123,933 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9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3A0"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3A1" w14:textId="77777777" w:rsidR="00E836FB" w:rsidRDefault="00994958">
            <w:pPr>
              <w:jc w:val="right"/>
              <w:textAlignment w:val="bottom"/>
            </w:pPr>
            <w:r>
              <w:rPr>
                <w:rFonts w:ascii="Arial" w:eastAsia="宋体" w:hAnsi="Arial" w:cs="Arial"/>
                <w:color w:val="000000"/>
                <w:sz w:val="15"/>
                <w:szCs w:val="15"/>
              </w:rPr>
              <w:t>(8,715)</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A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3A4"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3A5" w14:textId="77777777" w:rsidR="00E836FB" w:rsidRDefault="00994958">
            <w:pPr>
              <w:jc w:val="right"/>
              <w:textAlignment w:val="bottom"/>
            </w:pPr>
            <w:r>
              <w:rPr>
                <w:rFonts w:ascii="Arial" w:eastAsia="宋体" w:hAnsi="Arial" w:cs="Arial"/>
                <w:color w:val="000000"/>
                <w:sz w:val="15"/>
                <w:szCs w:val="15"/>
              </w:rPr>
              <w:t>24,737 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3A6" w14:textId="77777777" w:rsidR="00E836FB" w:rsidRDefault="00E836FB">
            <w:pPr>
              <w:jc w:val="right"/>
              <w:rPr>
                <w:rFonts w:ascii="宋体"/>
              </w:rPr>
            </w:pPr>
          </w:p>
        </w:tc>
      </w:tr>
      <w:tr w:rsidR="00E836FB" w14:paraId="5F2CF3BD" w14:textId="77777777">
        <w:tc>
          <w:tcPr>
            <w:tcW w:w="0" w:type="auto"/>
            <w:gridSpan w:val="3"/>
            <w:shd w:val="clear" w:color="auto" w:fill="FFFFFF"/>
            <w:tcMar>
              <w:top w:w="40" w:type="dxa"/>
              <w:left w:w="20" w:type="dxa"/>
              <w:bottom w:w="40" w:type="dxa"/>
              <w:right w:w="20" w:type="dxa"/>
            </w:tcMar>
            <w:vAlign w:val="bottom"/>
          </w:tcPr>
          <w:p w14:paraId="5F2CF3A8" w14:textId="77777777" w:rsidR="00E836FB" w:rsidRDefault="00994958">
            <w:pPr>
              <w:textAlignment w:val="bottom"/>
            </w:pPr>
            <w:r>
              <w:rPr>
                <w:rFonts w:ascii="Arial" w:eastAsia="宋体" w:hAnsi="Arial" w:cs="Arial"/>
                <w:color w:val="000000"/>
                <w:sz w:val="15"/>
                <w:szCs w:val="15"/>
              </w:rPr>
              <w:t>Reclass</w:t>
            </w:r>
            <w:r>
              <w:rPr>
                <w:rFonts w:ascii="Arial" w:eastAsia="宋体" w:hAnsi="Arial" w:cs="Arial"/>
                <w:color w:val="000000"/>
                <w:sz w:val="15"/>
                <w:szCs w:val="15"/>
              </w:rPr>
              <w:t>ification of certain tax effects</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vAlign w:val="bottom"/>
          </w:tcPr>
          <w:p w14:paraId="5F2CF3A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A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A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A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A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A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A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3B1" w14:textId="77777777" w:rsidR="00E836FB" w:rsidRDefault="00994958">
            <w:pPr>
              <w:jc w:val="right"/>
              <w:textAlignment w:val="bottom"/>
            </w:pPr>
            <w:r>
              <w:rPr>
                <w:rFonts w:ascii="Arial" w:eastAsia="宋体" w:hAnsi="Arial" w:cs="Arial"/>
                <w:color w:val="000000"/>
                <w:sz w:val="15"/>
                <w:szCs w:val="15"/>
              </w:rPr>
              <w:t>84 </w:t>
            </w:r>
          </w:p>
        </w:tc>
        <w:tc>
          <w:tcPr>
            <w:tcW w:w="0" w:type="auto"/>
            <w:shd w:val="clear" w:color="auto" w:fill="FFFFFF"/>
            <w:tcMar>
              <w:top w:w="40" w:type="dxa"/>
              <w:left w:w="0" w:type="dxa"/>
              <w:bottom w:w="40" w:type="dxa"/>
              <w:right w:w="20" w:type="dxa"/>
            </w:tcMar>
            <w:vAlign w:val="bottom"/>
          </w:tcPr>
          <w:p w14:paraId="5F2CF3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3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3B4" w14:textId="77777777" w:rsidR="00E836FB" w:rsidRDefault="00994958">
            <w:pPr>
              <w:jc w:val="right"/>
              <w:textAlignment w:val="bottom"/>
            </w:pPr>
            <w:r>
              <w:rPr>
                <w:rFonts w:ascii="Arial" w:eastAsia="宋体" w:hAnsi="Arial" w:cs="Arial"/>
                <w:color w:val="000000"/>
                <w:sz w:val="15"/>
                <w:szCs w:val="15"/>
              </w:rPr>
              <w:t>(84)</w:t>
            </w:r>
          </w:p>
        </w:tc>
        <w:tc>
          <w:tcPr>
            <w:tcW w:w="0" w:type="auto"/>
            <w:shd w:val="clear" w:color="auto" w:fill="FFFFFF"/>
            <w:tcMar>
              <w:top w:w="40" w:type="dxa"/>
              <w:left w:w="0" w:type="dxa"/>
              <w:bottom w:w="40" w:type="dxa"/>
              <w:right w:w="20" w:type="dxa"/>
            </w:tcMar>
            <w:vAlign w:val="bottom"/>
          </w:tcPr>
          <w:p w14:paraId="5F2CF3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3B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B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B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B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3BB"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3BC" w14:textId="77777777" w:rsidR="00E836FB" w:rsidRDefault="00E836FB">
            <w:pPr>
              <w:jc w:val="right"/>
              <w:rPr>
                <w:rFonts w:ascii="宋体"/>
              </w:rPr>
            </w:pPr>
          </w:p>
        </w:tc>
      </w:tr>
      <w:tr w:rsidR="00E836FB" w14:paraId="5F2CF3D2" w14:textId="77777777">
        <w:tc>
          <w:tcPr>
            <w:tcW w:w="0" w:type="auto"/>
            <w:gridSpan w:val="3"/>
            <w:shd w:val="clear" w:color="auto" w:fill="CCEEFF"/>
            <w:tcMar>
              <w:top w:w="40" w:type="dxa"/>
              <w:left w:w="20" w:type="dxa"/>
              <w:bottom w:w="40" w:type="dxa"/>
              <w:right w:w="20" w:type="dxa"/>
            </w:tcMar>
            <w:vAlign w:val="bottom"/>
          </w:tcPr>
          <w:p w14:paraId="5F2CF3BE" w14:textId="77777777" w:rsidR="00E836FB" w:rsidRDefault="00994958">
            <w:pPr>
              <w:textAlignment w:val="bottom"/>
            </w:pPr>
            <w:r>
              <w:rPr>
                <w:rFonts w:ascii="Arial" w:eastAsia="宋体" w:hAnsi="Arial" w:cs="Arial"/>
                <w:color w:val="000000"/>
                <w:sz w:val="15"/>
                <w:szCs w:val="15"/>
              </w:rPr>
              <w:t>Net income</w:t>
            </w:r>
          </w:p>
        </w:tc>
        <w:tc>
          <w:tcPr>
            <w:tcW w:w="0" w:type="auto"/>
            <w:gridSpan w:val="3"/>
            <w:shd w:val="clear" w:color="auto" w:fill="CCEEFF"/>
            <w:tcMar>
              <w:top w:w="0" w:type="dxa"/>
              <w:left w:w="20" w:type="dxa"/>
              <w:bottom w:w="0" w:type="dxa"/>
              <w:right w:w="20" w:type="dxa"/>
            </w:tcMar>
            <w:vAlign w:val="bottom"/>
          </w:tcPr>
          <w:p w14:paraId="5F2CF3B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3C7" w14:textId="77777777" w:rsidR="00E836FB" w:rsidRDefault="00994958">
            <w:pPr>
              <w:jc w:val="right"/>
              <w:textAlignment w:val="bottom"/>
            </w:pPr>
            <w:r>
              <w:rPr>
                <w:rFonts w:ascii="Arial" w:eastAsia="宋体" w:hAnsi="Arial" w:cs="Arial"/>
                <w:color w:val="000000"/>
                <w:sz w:val="15"/>
                <w:szCs w:val="15"/>
              </w:rPr>
              <w:t>2,242 </w:t>
            </w:r>
          </w:p>
        </w:tc>
        <w:tc>
          <w:tcPr>
            <w:tcW w:w="0" w:type="auto"/>
            <w:shd w:val="clear" w:color="auto" w:fill="CCEEFF"/>
            <w:tcMar>
              <w:top w:w="40" w:type="dxa"/>
              <w:left w:w="0" w:type="dxa"/>
              <w:bottom w:w="40" w:type="dxa"/>
              <w:right w:w="20" w:type="dxa"/>
            </w:tcMar>
            <w:vAlign w:val="bottom"/>
          </w:tcPr>
          <w:p w14:paraId="5F2CF3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C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C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3D0" w14:textId="77777777" w:rsidR="00E836FB" w:rsidRDefault="00994958">
            <w:pPr>
              <w:jc w:val="right"/>
              <w:textAlignment w:val="bottom"/>
            </w:pPr>
            <w:r>
              <w:rPr>
                <w:rFonts w:ascii="Arial" w:eastAsia="宋体" w:hAnsi="Arial" w:cs="Arial"/>
                <w:color w:val="000000"/>
                <w:sz w:val="15"/>
                <w:szCs w:val="15"/>
              </w:rPr>
              <w:t>2,242 </w:t>
            </w:r>
          </w:p>
        </w:tc>
        <w:tc>
          <w:tcPr>
            <w:tcW w:w="0" w:type="auto"/>
            <w:shd w:val="clear" w:color="auto" w:fill="CCEEFF"/>
            <w:tcMar>
              <w:top w:w="40" w:type="dxa"/>
              <w:left w:w="0" w:type="dxa"/>
              <w:bottom w:w="40" w:type="dxa"/>
              <w:right w:w="20" w:type="dxa"/>
            </w:tcMar>
            <w:vAlign w:val="bottom"/>
          </w:tcPr>
          <w:p w14:paraId="5F2CF3D1" w14:textId="77777777" w:rsidR="00E836FB" w:rsidRDefault="00E836FB">
            <w:pPr>
              <w:jc w:val="right"/>
              <w:rPr>
                <w:rFonts w:ascii="宋体"/>
              </w:rPr>
            </w:pPr>
          </w:p>
        </w:tc>
      </w:tr>
      <w:tr w:rsidR="00E836FB" w14:paraId="5F2CF3E7" w14:textId="77777777">
        <w:tc>
          <w:tcPr>
            <w:tcW w:w="0" w:type="auto"/>
            <w:gridSpan w:val="3"/>
            <w:shd w:val="clear" w:color="auto" w:fill="FFFFFF"/>
            <w:tcMar>
              <w:top w:w="40" w:type="dxa"/>
              <w:left w:w="20" w:type="dxa"/>
              <w:bottom w:w="40" w:type="dxa"/>
              <w:right w:w="20" w:type="dxa"/>
            </w:tcMar>
            <w:vAlign w:val="bottom"/>
          </w:tcPr>
          <w:p w14:paraId="5F2CF3D3" w14:textId="77777777" w:rsidR="00E836FB" w:rsidRDefault="00994958">
            <w:pPr>
              <w:textAlignment w:val="bottom"/>
            </w:pPr>
            <w:r>
              <w:rPr>
                <w:rFonts w:ascii="Arial" w:eastAsia="宋体" w:hAnsi="Arial" w:cs="Arial"/>
                <w:color w:val="000000"/>
                <w:sz w:val="15"/>
                <w:szCs w:val="15"/>
              </w:rPr>
              <w:t>Other comprehensive income</w:t>
            </w:r>
          </w:p>
        </w:tc>
        <w:tc>
          <w:tcPr>
            <w:tcW w:w="0" w:type="auto"/>
            <w:gridSpan w:val="3"/>
            <w:shd w:val="clear" w:color="auto" w:fill="FFFFFF"/>
            <w:tcMar>
              <w:top w:w="0" w:type="dxa"/>
              <w:left w:w="20" w:type="dxa"/>
              <w:bottom w:w="0" w:type="dxa"/>
              <w:right w:w="20" w:type="dxa"/>
            </w:tcMar>
            <w:vAlign w:val="bottom"/>
          </w:tcPr>
          <w:p w14:paraId="5F2CF3D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D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3DE" w14:textId="77777777" w:rsidR="00E836FB" w:rsidRDefault="00994958">
            <w:pPr>
              <w:jc w:val="right"/>
              <w:textAlignment w:val="bottom"/>
            </w:pPr>
            <w:r>
              <w:rPr>
                <w:rFonts w:ascii="Arial" w:eastAsia="宋体" w:hAnsi="Arial" w:cs="Arial"/>
                <w:color w:val="000000"/>
                <w:sz w:val="15"/>
                <w:szCs w:val="15"/>
              </w:rPr>
              <w:t>564 </w:t>
            </w:r>
          </w:p>
        </w:tc>
        <w:tc>
          <w:tcPr>
            <w:tcW w:w="0" w:type="auto"/>
            <w:shd w:val="clear" w:color="auto" w:fill="FFFFFF"/>
            <w:tcMar>
              <w:top w:w="40" w:type="dxa"/>
              <w:left w:w="0" w:type="dxa"/>
              <w:bottom w:w="40" w:type="dxa"/>
              <w:right w:w="20" w:type="dxa"/>
            </w:tcMar>
            <w:vAlign w:val="bottom"/>
          </w:tcPr>
          <w:p w14:paraId="5F2CF3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3E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E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E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E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3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3E5" w14:textId="77777777" w:rsidR="00E836FB" w:rsidRDefault="00994958">
            <w:pPr>
              <w:jc w:val="right"/>
              <w:textAlignment w:val="bottom"/>
            </w:pPr>
            <w:r>
              <w:rPr>
                <w:rFonts w:ascii="Arial" w:eastAsia="宋体" w:hAnsi="Arial" w:cs="Arial"/>
                <w:color w:val="000000"/>
                <w:sz w:val="15"/>
                <w:szCs w:val="15"/>
              </w:rPr>
              <w:t>564 </w:t>
            </w:r>
          </w:p>
        </w:tc>
        <w:tc>
          <w:tcPr>
            <w:tcW w:w="0" w:type="auto"/>
            <w:shd w:val="clear" w:color="auto" w:fill="FFFFFF"/>
            <w:tcMar>
              <w:top w:w="40" w:type="dxa"/>
              <w:left w:w="0" w:type="dxa"/>
              <w:bottom w:w="40" w:type="dxa"/>
              <w:right w:w="20" w:type="dxa"/>
            </w:tcMar>
            <w:vAlign w:val="bottom"/>
          </w:tcPr>
          <w:p w14:paraId="5F2CF3E6" w14:textId="77777777" w:rsidR="00E836FB" w:rsidRDefault="00E836FB">
            <w:pPr>
              <w:jc w:val="right"/>
              <w:rPr>
                <w:rFonts w:ascii="宋体"/>
              </w:rPr>
            </w:pPr>
          </w:p>
        </w:tc>
      </w:tr>
      <w:tr w:rsidR="00E836FB" w14:paraId="5F2CF3FD" w14:textId="77777777">
        <w:tc>
          <w:tcPr>
            <w:tcW w:w="0" w:type="auto"/>
            <w:gridSpan w:val="3"/>
            <w:shd w:val="clear" w:color="auto" w:fill="CCEEFF"/>
            <w:tcMar>
              <w:top w:w="40" w:type="dxa"/>
              <w:left w:w="20" w:type="dxa"/>
              <w:bottom w:w="40" w:type="dxa"/>
              <w:right w:w="20" w:type="dxa"/>
            </w:tcMar>
            <w:vAlign w:val="bottom"/>
          </w:tcPr>
          <w:p w14:paraId="5F2CF3E8" w14:textId="77777777" w:rsidR="00E836FB" w:rsidRDefault="00994958">
            <w:pPr>
              <w:textAlignment w:val="bottom"/>
            </w:pPr>
            <w:r>
              <w:rPr>
                <w:rFonts w:ascii="Arial" w:eastAsia="宋体" w:hAnsi="Arial" w:cs="Arial"/>
                <w:color w:val="000000"/>
                <w:sz w:val="15"/>
                <w:szCs w:val="15"/>
              </w:rPr>
              <w:t>Preferred stock redeemed</w:t>
            </w:r>
          </w:p>
        </w:tc>
        <w:tc>
          <w:tcPr>
            <w:tcW w:w="0" w:type="auto"/>
            <w:gridSpan w:val="2"/>
            <w:shd w:val="clear" w:color="auto" w:fill="CCEEFF"/>
            <w:tcMar>
              <w:top w:w="40" w:type="dxa"/>
              <w:left w:w="20" w:type="dxa"/>
              <w:bottom w:w="40" w:type="dxa"/>
              <w:right w:w="0" w:type="dxa"/>
            </w:tcMar>
            <w:vAlign w:val="bottom"/>
          </w:tcPr>
          <w:p w14:paraId="5F2CF3E9" w14:textId="77777777" w:rsidR="00E836FB" w:rsidRDefault="00994958">
            <w:pPr>
              <w:jc w:val="right"/>
              <w:textAlignment w:val="bottom"/>
            </w:pPr>
            <w:r>
              <w:rPr>
                <w:rFonts w:ascii="Arial" w:eastAsia="宋体" w:hAnsi="Arial" w:cs="Arial"/>
                <w:color w:val="000000"/>
                <w:sz w:val="15"/>
                <w:szCs w:val="15"/>
              </w:rPr>
              <w:t>(728)</w:t>
            </w:r>
          </w:p>
        </w:tc>
        <w:tc>
          <w:tcPr>
            <w:tcW w:w="0" w:type="auto"/>
            <w:shd w:val="clear" w:color="auto" w:fill="CCEEFF"/>
            <w:tcMar>
              <w:top w:w="40" w:type="dxa"/>
              <w:left w:w="0" w:type="dxa"/>
              <w:bottom w:w="40" w:type="dxa"/>
              <w:right w:w="20" w:type="dxa"/>
            </w:tcMar>
            <w:vAlign w:val="bottom"/>
          </w:tcPr>
          <w:p w14:paraId="5F2CF3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E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E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E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E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E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3F2" w14:textId="77777777" w:rsidR="00E836FB" w:rsidRDefault="00994958">
            <w:pPr>
              <w:jc w:val="right"/>
              <w:textAlignment w:val="bottom"/>
            </w:pPr>
            <w:r>
              <w:rPr>
                <w:rFonts w:ascii="Arial" w:eastAsia="宋体" w:hAnsi="Arial" w:cs="Arial"/>
                <w:color w:val="000000"/>
                <w:sz w:val="15"/>
                <w:szCs w:val="15"/>
              </w:rPr>
              <w:t>(22)</w:t>
            </w:r>
          </w:p>
        </w:tc>
        <w:tc>
          <w:tcPr>
            <w:tcW w:w="0" w:type="auto"/>
            <w:shd w:val="clear" w:color="auto" w:fill="CCEEFF"/>
            <w:tcMar>
              <w:top w:w="40" w:type="dxa"/>
              <w:left w:w="0" w:type="dxa"/>
              <w:bottom w:w="40" w:type="dxa"/>
              <w:right w:w="20" w:type="dxa"/>
            </w:tcMar>
            <w:vAlign w:val="bottom"/>
          </w:tcPr>
          <w:p w14:paraId="5F2CF3F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3F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3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3FB" w14:textId="77777777" w:rsidR="00E836FB" w:rsidRDefault="00994958">
            <w:pPr>
              <w:jc w:val="right"/>
              <w:textAlignment w:val="bottom"/>
            </w:pPr>
            <w:r>
              <w:rPr>
                <w:rFonts w:ascii="Arial" w:eastAsia="宋体" w:hAnsi="Arial" w:cs="Arial"/>
                <w:color w:val="000000"/>
                <w:sz w:val="15"/>
                <w:szCs w:val="15"/>
              </w:rPr>
              <w:t>(750)</w:t>
            </w:r>
          </w:p>
        </w:tc>
        <w:tc>
          <w:tcPr>
            <w:tcW w:w="0" w:type="auto"/>
            <w:shd w:val="clear" w:color="auto" w:fill="CCEEFF"/>
            <w:tcMar>
              <w:top w:w="40" w:type="dxa"/>
              <w:left w:w="0" w:type="dxa"/>
              <w:bottom w:w="40" w:type="dxa"/>
              <w:right w:w="20" w:type="dxa"/>
            </w:tcMar>
            <w:vAlign w:val="bottom"/>
          </w:tcPr>
          <w:p w14:paraId="5F2CF3FC" w14:textId="77777777" w:rsidR="00E836FB" w:rsidRDefault="00E836FB">
            <w:pPr>
              <w:jc w:val="right"/>
              <w:rPr>
                <w:rFonts w:ascii="宋体"/>
              </w:rPr>
            </w:pPr>
          </w:p>
        </w:tc>
      </w:tr>
      <w:tr w:rsidR="00E836FB" w14:paraId="5F2CF410" w14:textId="77777777">
        <w:trPr>
          <w:hidden/>
        </w:trPr>
        <w:tc>
          <w:tcPr>
            <w:tcW w:w="0" w:type="auto"/>
            <w:gridSpan w:val="3"/>
            <w:shd w:val="clear" w:color="auto" w:fill="auto"/>
            <w:vAlign w:val="bottom"/>
          </w:tcPr>
          <w:p w14:paraId="5F2CF3FE" w14:textId="77777777" w:rsidR="00E836FB" w:rsidRDefault="00E836FB">
            <w:pPr>
              <w:rPr>
                <w:rFonts w:ascii="宋体"/>
                <w:vanish/>
              </w:rPr>
            </w:pPr>
          </w:p>
        </w:tc>
        <w:tc>
          <w:tcPr>
            <w:tcW w:w="0" w:type="auto"/>
            <w:gridSpan w:val="3"/>
            <w:shd w:val="clear" w:color="auto" w:fill="auto"/>
            <w:vAlign w:val="bottom"/>
          </w:tcPr>
          <w:p w14:paraId="5F2CF3FF" w14:textId="77777777" w:rsidR="00E836FB" w:rsidRDefault="00E836FB">
            <w:pPr>
              <w:rPr>
                <w:rFonts w:ascii="宋体"/>
                <w:vanish/>
              </w:rPr>
            </w:pPr>
          </w:p>
        </w:tc>
        <w:tc>
          <w:tcPr>
            <w:tcW w:w="0" w:type="auto"/>
            <w:gridSpan w:val="3"/>
            <w:shd w:val="clear" w:color="auto" w:fill="auto"/>
            <w:vAlign w:val="bottom"/>
          </w:tcPr>
          <w:p w14:paraId="5F2CF400" w14:textId="77777777" w:rsidR="00E836FB" w:rsidRDefault="00E836FB">
            <w:pPr>
              <w:rPr>
                <w:rFonts w:ascii="宋体"/>
                <w:vanish/>
              </w:rPr>
            </w:pPr>
          </w:p>
        </w:tc>
        <w:tc>
          <w:tcPr>
            <w:tcW w:w="0" w:type="auto"/>
            <w:gridSpan w:val="3"/>
            <w:shd w:val="clear" w:color="auto" w:fill="auto"/>
            <w:vAlign w:val="bottom"/>
          </w:tcPr>
          <w:p w14:paraId="5F2CF401" w14:textId="77777777" w:rsidR="00E836FB" w:rsidRDefault="00E836FB">
            <w:pPr>
              <w:rPr>
                <w:rFonts w:ascii="宋体"/>
                <w:vanish/>
              </w:rPr>
            </w:pPr>
          </w:p>
        </w:tc>
        <w:tc>
          <w:tcPr>
            <w:tcW w:w="0" w:type="auto"/>
            <w:gridSpan w:val="3"/>
            <w:shd w:val="clear" w:color="auto" w:fill="auto"/>
            <w:vAlign w:val="bottom"/>
          </w:tcPr>
          <w:p w14:paraId="5F2CF402" w14:textId="77777777" w:rsidR="00E836FB" w:rsidRDefault="00E836FB">
            <w:pPr>
              <w:rPr>
                <w:rFonts w:ascii="宋体"/>
                <w:vanish/>
              </w:rPr>
            </w:pPr>
          </w:p>
        </w:tc>
        <w:tc>
          <w:tcPr>
            <w:tcW w:w="0" w:type="auto"/>
            <w:gridSpan w:val="3"/>
            <w:shd w:val="clear" w:color="auto" w:fill="auto"/>
            <w:vAlign w:val="bottom"/>
          </w:tcPr>
          <w:p w14:paraId="5F2CF403" w14:textId="77777777" w:rsidR="00E836FB" w:rsidRDefault="00E836FB">
            <w:pPr>
              <w:rPr>
                <w:rFonts w:ascii="宋体"/>
                <w:vanish/>
              </w:rPr>
            </w:pPr>
          </w:p>
        </w:tc>
        <w:tc>
          <w:tcPr>
            <w:tcW w:w="0" w:type="auto"/>
            <w:gridSpan w:val="3"/>
            <w:shd w:val="clear" w:color="auto" w:fill="auto"/>
            <w:vAlign w:val="bottom"/>
          </w:tcPr>
          <w:p w14:paraId="5F2CF404" w14:textId="77777777" w:rsidR="00E836FB" w:rsidRDefault="00E836FB">
            <w:pPr>
              <w:rPr>
                <w:rFonts w:ascii="宋体"/>
                <w:vanish/>
              </w:rPr>
            </w:pPr>
          </w:p>
        </w:tc>
        <w:tc>
          <w:tcPr>
            <w:tcW w:w="0" w:type="auto"/>
            <w:gridSpan w:val="3"/>
            <w:shd w:val="clear" w:color="auto" w:fill="auto"/>
            <w:vAlign w:val="bottom"/>
          </w:tcPr>
          <w:p w14:paraId="5F2CF405" w14:textId="77777777" w:rsidR="00E836FB" w:rsidRDefault="00E836FB">
            <w:pPr>
              <w:rPr>
                <w:rFonts w:ascii="宋体"/>
                <w:vanish/>
              </w:rPr>
            </w:pPr>
          </w:p>
        </w:tc>
        <w:tc>
          <w:tcPr>
            <w:tcW w:w="0" w:type="auto"/>
            <w:gridSpan w:val="3"/>
            <w:shd w:val="clear" w:color="auto" w:fill="auto"/>
            <w:vAlign w:val="bottom"/>
          </w:tcPr>
          <w:p w14:paraId="5F2CF406" w14:textId="77777777" w:rsidR="00E836FB" w:rsidRDefault="00E836FB">
            <w:pPr>
              <w:rPr>
                <w:rFonts w:ascii="宋体"/>
                <w:vanish/>
              </w:rPr>
            </w:pPr>
          </w:p>
        </w:tc>
        <w:tc>
          <w:tcPr>
            <w:tcW w:w="0" w:type="auto"/>
            <w:gridSpan w:val="3"/>
            <w:shd w:val="clear" w:color="auto" w:fill="auto"/>
            <w:vAlign w:val="bottom"/>
          </w:tcPr>
          <w:p w14:paraId="5F2CF407" w14:textId="77777777" w:rsidR="00E836FB" w:rsidRDefault="00E836FB">
            <w:pPr>
              <w:rPr>
                <w:rFonts w:ascii="宋体"/>
                <w:vanish/>
              </w:rPr>
            </w:pPr>
          </w:p>
        </w:tc>
        <w:tc>
          <w:tcPr>
            <w:tcW w:w="0" w:type="auto"/>
            <w:gridSpan w:val="3"/>
            <w:shd w:val="clear" w:color="auto" w:fill="auto"/>
            <w:vAlign w:val="bottom"/>
          </w:tcPr>
          <w:p w14:paraId="5F2CF408" w14:textId="77777777" w:rsidR="00E836FB" w:rsidRDefault="00E836FB">
            <w:pPr>
              <w:rPr>
                <w:rFonts w:ascii="宋体"/>
                <w:vanish/>
              </w:rPr>
            </w:pPr>
          </w:p>
        </w:tc>
        <w:tc>
          <w:tcPr>
            <w:tcW w:w="0" w:type="auto"/>
            <w:gridSpan w:val="3"/>
            <w:shd w:val="clear" w:color="auto" w:fill="auto"/>
            <w:vAlign w:val="bottom"/>
          </w:tcPr>
          <w:p w14:paraId="5F2CF409" w14:textId="77777777" w:rsidR="00E836FB" w:rsidRDefault="00E836FB">
            <w:pPr>
              <w:rPr>
                <w:rFonts w:ascii="宋体"/>
                <w:vanish/>
              </w:rPr>
            </w:pPr>
          </w:p>
        </w:tc>
        <w:tc>
          <w:tcPr>
            <w:tcW w:w="0" w:type="auto"/>
            <w:gridSpan w:val="3"/>
            <w:shd w:val="clear" w:color="auto" w:fill="auto"/>
            <w:vAlign w:val="bottom"/>
          </w:tcPr>
          <w:p w14:paraId="5F2CF40A" w14:textId="77777777" w:rsidR="00E836FB" w:rsidRDefault="00E836FB">
            <w:pPr>
              <w:rPr>
                <w:rFonts w:ascii="宋体"/>
                <w:vanish/>
              </w:rPr>
            </w:pPr>
          </w:p>
        </w:tc>
        <w:tc>
          <w:tcPr>
            <w:tcW w:w="0" w:type="auto"/>
            <w:gridSpan w:val="3"/>
            <w:shd w:val="clear" w:color="auto" w:fill="auto"/>
            <w:vAlign w:val="bottom"/>
          </w:tcPr>
          <w:p w14:paraId="5F2CF40B" w14:textId="77777777" w:rsidR="00E836FB" w:rsidRDefault="00E836FB">
            <w:pPr>
              <w:rPr>
                <w:rFonts w:ascii="宋体"/>
                <w:vanish/>
              </w:rPr>
            </w:pPr>
          </w:p>
        </w:tc>
        <w:tc>
          <w:tcPr>
            <w:tcW w:w="0" w:type="auto"/>
            <w:gridSpan w:val="3"/>
            <w:shd w:val="clear" w:color="auto" w:fill="auto"/>
            <w:vAlign w:val="bottom"/>
          </w:tcPr>
          <w:p w14:paraId="5F2CF40C" w14:textId="77777777" w:rsidR="00E836FB" w:rsidRDefault="00E836FB">
            <w:pPr>
              <w:rPr>
                <w:rFonts w:ascii="宋体"/>
                <w:vanish/>
              </w:rPr>
            </w:pPr>
          </w:p>
        </w:tc>
        <w:tc>
          <w:tcPr>
            <w:tcW w:w="0" w:type="auto"/>
            <w:gridSpan w:val="3"/>
            <w:shd w:val="clear" w:color="auto" w:fill="auto"/>
            <w:vAlign w:val="bottom"/>
          </w:tcPr>
          <w:p w14:paraId="5F2CF40D" w14:textId="77777777" w:rsidR="00E836FB" w:rsidRDefault="00E836FB">
            <w:pPr>
              <w:rPr>
                <w:rFonts w:ascii="宋体"/>
                <w:vanish/>
              </w:rPr>
            </w:pPr>
          </w:p>
        </w:tc>
        <w:tc>
          <w:tcPr>
            <w:tcW w:w="0" w:type="auto"/>
            <w:gridSpan w:val="3"/>
            <w:shd w:val="clear" w:color="auto" w:fill="auto"/>
            <w:vAlign w:val="bottom"/>
          </w:tcPr>
          <w:p w14:paraId="5F2CF40E" w14:textId="77777777" w:rsidR="00E836FB" w:rsidRDefault="00E836FB">
            <w:pPr>
              <w:rPr>
                <w:rFonts w:ascii="宋体"/>
                <w:vanish/>
              </w:rPr>
            </w:pPr>
          </w:p>
        </w:tc>
        <w:tc>
          <w:tcPr>
            <w:tcW w:w="0" w:type="auto"/>
            <w:gridSpan w:val="3"/>
            <w:shd w:val="clear" w:color="auto" w:fill="auto"/>
            <w:vAlign w:val="bottom"/>
          </w:tcPr>
          <w:p w14:paraId="5F2CF40F" w14:textId="77777777" w:rsidR="00E836FB" w:rsidRDefault="00E836FB">
            <w:pPr>
              <w:rPr>
                <w:rFonts w:ascii="宋体"/>
                <w:vanish/>
              </w:rPr>
            </w:pPr>
          </w:p>
        </w:tc>
      </w:tr>
      <w:tr w:rsidR="00E836FB" w14:paraId="5F2CF423" w14:textId="77777777">
        <w:tc>
          <w:tcPr>
            <w:tcW w:w="0" w:type="auto"/>
            <w:gridSpan w:val="3"/>
            <w:shd w:val="clear" w:color="auto" w:fill="FFFFFF"/>
            <w:tcMar>
              <w:top w:w="40" w:type="dxa"/>
              <w:left w:w="20" w:type="dxa"/>
              <w:bottom w:w="40" w:type="dxa"/>
              <w:right w:w="20" w:type="dxa"/>
            </w:tcMar>
            <w:vAlign w:val="bottom"/>
          </w:tcPr>
          <w:p w14:paraId="5F2CF411" w14:textId="77777777" w:rsidR="00E836FB" w:rsidRDefault="00994958">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5F2CF41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1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2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2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22" w14:textId="77777777" w:rsidR="00E836FB" w:rsidRDefault="00E836FB">
            <w:pPr>
              <w:rPr>
                <w:rFonts w:ascii="宋体"/>
              </w:rPr>
            </w:pPr>
          </w:p>
        </w:tc>
      </w:tr>
      <w:tr w:rsidR="00E836FB" w14:paraId="5F2CF438" w14:textId="77777777">
        <w:tc>
          <w:tcPr>
            <w:tcW w:w="0" w:type="auto"/>
            <w:gridSpan w:val="3"/>
            <w:shd w:val="clear" w:color="auto" w:fill="CCEEFF"/>
            <w:tcMar>
              <w:top w:w="40" w:type="dxa"/>
              <w:left w:w="20" w:type="dxa"/>
              <w:bottom w:w="40" w:type="dxa"/>
              <w:right w:w="20" w:type="dxa"/>
            </w:tcMar>
            <w:vAlign w:val="bottom"/>
          </w:tcPr>
          <w:p w14:paraId="5F2CF424" w14:textId="77777777" w:rsidR="00E836FB" w:rsidRDefault="00994958">
            <w:pPr>
              <w:textAlignment w:val="bottom"/>
            </w:pPr>
            <w:r>
              <w:rPr>
                <w:rFonts w:ascii="Arial" w:eastAsia="宋体" w:hAnsi="Arial" w:cs="Arial"/>
                <w:color w:val="000000"/>
                <w:sz w:val="15"/>
                <w:szCs w:val="15"/>
              </w:rPr>
              <w:t>  Common stock - 1.98 per share</w:t>
            </w:r>
          </w:p>
        </w:tc>
        <w:tc>
          <w:tcPr>
            <w:tcW w:w="0" w:type="auto"/>
            <w:gridSpan w:val="3"/>
            <w:shd w:val="clear" w:color="auto" w:fill="CCEEFF"/>
            <w:tcMar>
              <w:top w:w="0" w:type="dxa"/>
              <w:left w:w="20" w:type="dxa"/>
              <w:bottom w:w="0" w:type="dxa"/>
              <w:right w:w="20" w:type="dxa"/>
            </w:tcMar>
            <w:vAlign w:val="bottom"/>
          </w:tcPr>
          <w:p w14:paraId="5F2CF42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2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2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2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2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2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2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2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2D" w14:textId="77777777" w:rsidR="00E836FB" w:rsidRDefault="00994958">
            <w:pPr>
              <w:jc w:val="right"/>
              <w:textAlignment w:val="bottom"/>
            </w:pPr>
            <w:r>
              <w:rPr>
                <w:rFonts w:ascii="Arial" w:eastAsia="宋体" w:hAnsi="Arial" w:cs="Arial"/>
                <w:color w:val="000000"/>
                <w:sz w:val="15"/>
                <w:szCs w:val="15"/>
              </w:rPr>
              <w:t>(728)</w:t>
            </w:r>
          </w:p>
        </w:tc>
        <w:tc>
          <w:tcPr>
            <w:tcW w:w="0" w:type="auto"/>
            <w:shd w:val="clear" w:color="auto" w:fill="CCEEFF"/>
            <w:tcMar>
              <w:top w:w="40" w:type="dxa"/>
              <w:left w:w="0" w:type="dxa"/>
              <w:bottom w:w="40" w:type="dxa"/>
              <w:right w:w="20" w:type="dxa"/>
            </w:tcMar>
            <w:vAlign w:val="bottom"/>
          </w:tcPr>
          <w:p w14:paraId="5F2CF42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2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3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3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3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3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3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3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36" w14:textId="77777777" w:rsidR="00E836FB" w:rsidRDefault="00994958">
            <w:pPr>
              <w:jc w:val="right"/>
              <w:textAlignment w:val="bottom"/>
            </w:pPr>
            <w:r>
              <w:rPr>
                <w:rFonts w:ascii="Arial" w:eastAsia="宋体" w:hAnsi="Arial" w:cs="Arial"/>
                <w:color w:val="000000"/>
                <w:sz w:val="15"/>
                <w:szCs w:val="15"/>
              </w:rPr>
              <w:t>(728)</w:t>
            </w:r>
          </w:p>
        </w:tc>
        <w:tc>
          <w:tcPr>
            <w:tcW w:w="0" w:type="auto"/>
            <w:shd w:val="clear" w:color="auto" w:fill="CCEEFF"/>
            <w:tcMar>
              <w:top w:w="40" w:type="dxa"/>
              <w:left w:w="0" w:type="dxa"/>
              <w:bottom w:w="40" w:type="dxa"/>
              <w:right w:w="20" w:type="dxa"/>
            </w:tcMar>
            <w:vAlign w:val="bottom"/>
          </w:tcPr>
          <w:p w14:paraId="5F2CF437" w14:textId="77777777" w:rsidR="00E836FB" w:rsidRDefault="00E836FB">
            <w:pPr>
              <w:jc w:val="right"/>
              <w:rPr>
                <w:rFonts w:ascii="宋体"/>
              </w:rPr>
            </w:pPr>
          </w:p>
        </w:tc>
      </w:tr>
      <w:tr w:rsidR="00E836FB" w14:paraId="5F2CF44D" w14:textId="77777777">
        <w:tc>
          <w:tcPr>
            <w:tcW w:w="0" w:type="auto"/>
            <w:gridSpan w:val="3"/>
            <w:shd w:val="clear" w:color="auto" w:fill="FFFFFF"/>
            <w:tcMar>
              <w:top w:w="40" w:type="dxa"/>
              <w:left w:w="20" w:type="dxa"/>
              <w:bottom w:w="40" w:type="dxa"/>
              <w:right w:w="20" w:type="dxa"/>
            </w:tcMar>
            <w:vAlign w:val="bottom"/>
          </w:tcPr>
          <w:p w14:paraId="5F2CF439" w14:textId="77777777" w:rsidR="00E836FB" w:rsidRDefault="00994958">
            <w:pPr>
              <w:textAlignment w:val="bottom"/>
            </w:pPr>
            <w:r>
              <w:rPr>
                <w:rFonts w:ascii="Arial" w:eastAsia="宋体" w:hAnsi="Arial" w:cs="Arial"/>
                <w:color w:val="000000"/>
                <w:sz w:val="15"/>
                <w:szCs w:val="15"/>
              </w:rPr>
              <w:t>  Preferred stock</w:t>
            </w:r>
          </w:p>
        </w:tc>
        <w:tc>
          <w:tcPr>
            <w:tcW w:w="0" w:type="auto"/>
            <w:gridSpan w:val="3"/>
            <w:shd w:val="clear" w:color="auto" w:fill="FFFFFF"/>
            <w:tcMar>
              <w:top w:w="0" w:type="dxa"/>
              <w:left w:w="20" w:type="dxa"/>
              <w:bottom w:w="0" w:type="dxa"/>
              <w:right w:w="20" w:type="dxa"/>
            </w:tcMar>
            <w:vAlign w:val="bottom"/>
          </w:tcPr>
          <w:p w14:paraId="5F2CF43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3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3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3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3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3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42" w14:textId="77777777" w:rsidR="00E836FB" w:rsidRDefault="00994958">
            <w:pPr>
              <w:jc w:val="right"/>
              <w:textAlignment w:val="bottom"/>
            </w:pPr>
            <w:r>
              <w:rPr>
                <w:rFonts w:ascii="Arial" w:eastAsia="宋体" w:hAnsi="Arial" w:cs="Arial"/>
                <w:color w:val="000000"/>
                <w:sz w:val="15"/>
                <w:szCs w:val="15"/>
              </w:rPr>
              <w:t>(210)</w:t>
            </w:r>
          </w:p>
        </w:tc>
        <w:tc>
          <w:tcPr>
            <w:tcW w:w="0" w:type="auto"/>
            <w:shd w:val="clear" w:color="auto" w:fill="FFFFFF"/>
            <w:tcMar>
              <w:top w:w="40" w:type="dxa"/>
              <w:left w:w="0" w:type="dxa"/>
              <w:bottom w:w="40" w:type="dxa"/>
              <w:right w:w="20" w:type="dxa"/>
            </w:tcMar>
            <w:vAlign w:val="bottom"/>
          </w:tcPr>
          <w:p w14:paraId="5F2CF44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4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4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4B" w14:textId="77777777" w:rsidR="00E836FB" w:rsidRDefault="00994958">
            <w:pPr>
              <w:jc w:val="right"/>
              <w:textAlignment w:val="bottom"/>
            </w:pPr>
            <w:r>
              <w:rPr>
                <w:rFonts w:ascii="Arial" w:eastAsia="宋体" w:hAnsi="Arial" w:cs="Arial"/>
                <w:color w:val="000000"/>
                <w:sz w:val="15"/>
                <w:szCs w:val="15"/>
              </w:rPr>
              <w:t>(210)</w:t>
            </w:r>
          </w:p>
        </w:tc>
        <w:tc>
          <w:tcPr>
            <w:tcW w:w="0" w:type="auto"/>
            <w:shd w:val="clear" w:color="auto" w:fill="FFFFFF"/>
            <w:tcMar>
              <w:top w:w="40" w:type="dxa"/>
              <w:left w:w="0" w:type="dxa"/>
              <w:bottom w:w="40" w:type="dxa"/>
              <w:right w:w="20" w:type="dxa"/>
            </w:tcMar>
            <w:vAlign w:val="bottom"/>
          </w:tcPr>
          <w:p w14:paraId="5F2CF44C" w14:textId="77777777" w:rsidR="00E836FB" w:rsidRDefault="00E836FB">
            <w:pPr>
              <w:jc w:val="right"/>
              <w:rPr>
                <w:rFonts w:ascii="宋体"/>
              </w:rPr>
            </w:pPr>
          </w:p>
        </w:tc>
      </w:tr>
      <w:tr w:rsidR="00E836FB" w14:paraId="5F2CF463" w14:textId="77777777">
        <w:tc>
          <w:tcPr>
            <w:tcW w:w="0" w:type="auto"/>
            <w:gridSpan w:val="3"/>
            <w:shd w:val="clear" w:color="auto" w:fill="CCEEFF"/>
            <w:tcMar>
              <w:top w:w="40" w:type="dxa"/>
              <w:left w:w="20" w:type="dxa"/>
              <w:bottom w:w="40" w:type="dxa"/>
              <w:right w:w="20" w:type="dxa"/>
            </w:tcMar>
            <w:vAlign w:val="bottom"/>
          </w:tcPr>
          <w:p w14:paraId="5F2CF44E" w14:textId="77777777" w:rsidR="00E836FB" w:rsidRDefault="00994958">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5F2CF44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5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5B" w14:textId="77777777" w:rsidR="00E836FB" w:rsidRDefault="00994958">
            <w:pPr>
              <w:jc w:val="right"/>
              <w:textAlignment w:val="bottom"/>
            </w:pPr>
            <w:r>
              <w:rPr>
                <w:rFonts w:ascii="Arial" w:eastAsia="宋体" w:hAnsi="Arial" w:cs="Arial"/>
                <w:color w:val="000000"/>
                <w:sz w:val="15"/>
                <w:szCs w:val="15"/>
              </w:rPr>
              <w:t>24,884 </w:t>
            </w:r>
          </w:p>
        </w:tc>
        <w:tc>
          <w:tcPr>
            <w:tcW w:w="0" w:type="auto"/>
            <w:shd w:val="clear" w:color="auto" w:fill="CCEEFF"/>
            <w:tcMar>
              <w:top w:w="40" w:type="dxa"/>
              <w:left w:w="0" w:type="dxa"/>
              <w:bottom w:w="40" w:type="dxa"/>
              <w:right w:w="20" w:type="dxa"/>
            </w:tcMar>
            <w:vAlign w:val="bottom"/>
          </w:tcPr>
          <w:p w14:paraId="5F2CF45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5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5E" w14:textId="77777777" w:rsidR="00E836FB" w:rsidRDefault="00994958">
            <w:pPr>
              <w:jc w:val="right"/>
              <w:textAlignment w:val="bottom"/>
            </w:pPr>
            <w:r>
              <w:rPr>
                <w:rFonts w:ascii="Arial" w:eastAsia="宋体" w:hAnsi="Arial" w:cs="Arial"/>
                <w:color w:val="000000"/>
                <w:sz w:val="15"/>
                <w:szCs w:val="15"/>
              </w:rPr>
              <w:t>(1,600)</w:t>
            </w:r>
          </w:p>
        </w:tc>
        <w:tc>
          <w:tcPr>
            <w:tcW w:w="0" w:type="auto"/>
            <w:shd w:val="clear" w:color="auto" w:fill="CCEEFF"/>
            <w:tcMar>
              <w:top w:w="40" w:type="dxa"/>
              <w:left w:w="0" w:type="dxa"/>
              <w:bottom w:w="40" w:type="dxa"/>
              <w:right w:w="20" w:type="dxa"/>
            </w:tcMar>
            <w:vAlign w:val="bottom"/>
          </w:tcPr>
          <w:p w14:paraId="5F2CF4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6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61" w14:textId="77777777" w:rsidR="00E836FB" w:rsidRDefault="00994958">
            <w:pPr>
              <w:jc w:val="right"/>
              <w:textAlignment w:val="bottom"/>
            </w:pPr>
            <w:r>
              <w:rPr>
                <w:rFonts w:ascii="Arial" w:eastAsia="宋体" w:hAnsi="Arial" w:cs="Arial"/>
                <w:color w:val="000000"/>
                <w:sz w:val="15"/>
                <w:szCs w:val="15"/>
              </w:rPr>
              <w:t>(1,600)</w:t>
            </w:r>
          </w:p>
        </w:tc>
        <w:tc>
          <w:tcPr>
            <w:tcW w:w="0" w:type="auto"/>
            <w:shd w:val="clear" w:color="auto" w:fill="CCEEFF"/>
            <w:tcMar>
              <w:top w:w="40" w:type="dxa"/>
              <w:left w:w="0" w:type="dxa"/>
              <w:bottom w:w="40" w:type="dxa"/>
              <w:right w:w="20" w:type="dxa"/>
            </w:tcMar>
            <w:vAlign w:val="bottom"/>
          </w:tcPr>
          <w:p w14:paraId="5F2CF462" w14:textId="77777777" w:rsidR="00E836FB" w:rsidRDefault="00E836FB">
            <w:pPr>
              <w:jc w:val="right"/>
              <w:rPr>
                <w:rFonts w:ascii="宋体"/>
              </w:rPr>
            </w:pPr>
          </w:p>
        </w:tc>
      </w:tr>
      <w:tr w:rsidR="00E836FB" w14:paraId="5F2CF47A" w14:textId="77777777">
        <w:tc>
          <w:tcPr>
            <w:tcW w:w="0" w:type="auto"/>
            <w:gridSpan w:val="3"/>
            <w:shd w:val="clear" w:color="auto" w:fill="FFFFFF"/>
            <w:tcMar>
              <w:top w:w="40" w:type="dxa"/>
              <w:left w:w="20" w:type="dxa"/>
              <w:bottom w:w="40" w:type="dxa"/>
              <w:right w:w="20" w:type="dxa"/>
            </w:tcMar>
            <w:vAlign w:val="bottom"/>
          </w:tcPr>
          <w:p w14:paraId="5F2CF464" w14:textId="77777777" w:rsidR="00E836FB" w:rsidRDefault="00994958">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5F2CF46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6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6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6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6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6B" w14:textId="77777777" w:rsidR="00E836FB" w:rsidRDefault="00994958">
            <w:pPr>
              <w:jc w:val="right"/>
              <w:textAlignment w:val="bottom"/>
            </w:pPr>
            <w:r>
              <w:rPr>
                <w:rFonts w:ascii="Arial" w:eastAsia="宋体" w:hAnsi="Arial" w:cs="Arial"/>
                <w:color w:val="000000"/>
                <w:sz w:val="15"/>
                <w:szCs w:val="15"/>
              </w:rPr>
              <w:t>95 </w:t>
            </w:r>
          </w:p>
        </w:tc>
        <w:tc>
          <w:tcPr>
            <w:tcW w:w="0" w:type="auto"/>
            <w:shd w:val="clear" w:color="auto" w:fill="FFFFFF"/>
            <w:tcMar>
              <w:top w:w="40" w:type="dxa"/>
              <w:left w:w="0" w:type="dxa"/>
              <w:bottom w:w="40" w:type="dxa"/>
              <w:right w:w="20" w:type="dxa"/>
            </w:tcMar>
            <w:vAlign w:val="bottom"/>
          </w:tcPr>
          <w:p w14:paraId="5F2CF4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6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6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6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7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72" w14:textId="77777777" w:rsidR="00E836FB" w:rsidRDefault="00994958">
            <w:pPr>
              <w:jc w:val="right"/>
              <w:textAlignment w:val="bottom"/>
            </w:pPr>
            <w:r>
              <w:rPr>
                <w:rFonts w:ascii="Arial" w:eastAsia="宋体" w:hAnsi="Arial" w:cs="Arial"/>
                <w:color w:val="000000"/>
                <w:sz w:val="15"/>
                <w:szCs w:val="15"/>
              </w:rPr>
              <w:t>(2,295)</w:t>
            </w:r>
          </w:p>
        </w:tc>
        <w:tc>
          <w:tcPr>
            <w:tcW w:w="0" w:type="auto"/>
            <w:shd w:val="clear" w:color="auto" w:fill="FFFFFF"/>
            <w:tcMar>
              <w:top w:w="40" w:type="dxa"/>
              <w:left w:w="0" w:type="dxa"/>
              <w:bottom w:w="40" w:type="dxa"/>
              <w:right w:w="20" w:type="dxa"/>
            </w:tcMar>
            <w:vAlign w:val="bottom"/>
          </w:tcPr>
          <w:p w14:paraId="5F2CF4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75" w14:textId="77777777" w:rsidR="00E836FB" w:rsidRDefault="00994958">
            <w:pPr>
              <w:jc w:val="right"/>
              <w:textAlignment w:val="bottom"/>
            </w:pPr>
            <w:r>
              <w:rPr>
                <w:rFonts w:ascii="Arial" w:eastAsia="宋体" w:hAnsi="Arial" w:cs="Arial"/>
                <w:color w:val="000000"/>
                <w:sz w:val="15"/>
                <w:szCs w:val="15"/>
              </w:rPr>
              <w:t>103 </w:t>
            </w:r>
          </w:p>
        </w:tc>
        <w:tc>
          <w:tcPr>
            <w:tcW w:w="0" w:type="auto"/>
            <w:shd w:val="clear" w:color="auto" w:fill="FFFFFF"/>
            <w:tcMar>
              <w:top w:w="40" w:type="dxa"/>
              <w:left w:w="0" w:type="dxa"/>
              <w:bottom w:w="40" w:type="dxa"/>
              <w:right w:w="20" w:type="dxa"/>
            </w:tcMar>
            <w:vAlign w:val="bottom"/>
          </w:tcPr>
          <w:p w14:paraId="5F2CF47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7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78" w14:textId="77777777" w:rsidR="00E836FB" w:rsidRDefault="00994958">
            <w:pPr>
              <w:jc w:val="right"/>
              <w:textAlignment w:val="bottom"/>
            </w:pPr>
            <w:r>
              <w:rPr>
                <w:rFonts w:ascii="Arial" w:eastAsia="宋体" w:hAnsi="Arial" w:cs="Arial"/>
                <w:color w:val="000000"/>
                <w:sz w:val="15"/>
                <w:szCs w:val="15"/>
              </w:rPr>
              <w:t>198 </w:t>
            </w:r>
          </w:p>
        </w:tc>
        <w:tc>
          <w:tcPr>
            <w:tcW w:w="0" w:type="auto"/>
            <w:shd w:val="clear" w:color="auto" w:fill="FFFFFF"/>
            <w:tcMar>
              <w:top w:w="40" w:type="dxa"/>
              <w:left w:w="0" w:type="dxa"/>
              <w:bottom w:w="40" w:type="dxa"/>
              <w:right w:w="20" w:type="dxa"/>
            </w:tcMar>
            <w:vAlign w:val="bottom"/>
          </w:tcPr>
          <w:p w14:paraId="5F2CF479" w14:textId="77777777" w:rsidR="00E836FB" w:rsidRDefault="00E836FB">
            <w:pPr>
              <w:jc w:val="right"/>
              <w:rPr>
                <w:rFonts w:ascii="宋体"/>
              </w:rPr>
            </w:pPr>
          </w:p>
        </w:tc>
      </w:tr>
      <w:tr w:rsidR="00E836FB" w14:paraId="5F2CF492" w14:textId="77777777">
        <w:tc>
          <w:tcPr>
            <w:tcW w:w="0" w:type="auto"/>
            <w:gridSpan w:val="3"/>
            <w:shd w:val="clear" w:color="auto" w:fill="CCEEFF"/>
            <w:tcMar>
              <w:top w:w="40" w:type="dxa"/>
              <w:left w:w="20" w:type="dxa"/>
              <w:bottom w:w="40" w:type="dxa"/>
              <w:right w:w="20" w:type="dxa"/>
            </w:tcMar>
            <w:vAlign w:val="bottom"/>
          </w:tcPr>
          <w:p w14:paraId="5F2CF47B" w14:textId="77777777" w:rsidR="00E836FB" w:rsidRDefault="00994958">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5F2CF47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7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7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7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8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8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82" w14:textId="77777777" w:rsidR="00E836FB" w:rsidRDefault="00994958">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5F2CF4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8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85" w14:textId="77777777" w:rsidR="00E836FB" w:rsidRDefault="00994958">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5F2CF4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8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8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8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8A" w14:textId="77777777" w:rsidR="00E836FB" w:rsidRDefault="00994958">
            <w:pPr>
              <w:jc w:val="right"/>
              <w:textAlignment w:val="bottom"/>
            </w:pPr>
            <w:r>
              <w:rPr>
                <w:rFonts w:ascii="Arial" w:eastAsia="宋体" w:hAnsi="Arial" w:cs="Arial"/>
                <w:color w:val="000000"/>
                <w:sz w:val="15"/>
                <w:szCs w:val="15"/>
              </w:rPr>
              <w:t>(32)</w:t>
            </w:r>
          </w:p>
        </w:tc>
        <w:tc>
          <w:tcPr>
            <w:tcW w:w="0" w:type="auto"/>
            <w:shd w:val="clear" w:color="auto" w:fill="CCEEFF"/>
            <w:tcMar>
              <w:top w:w="40" w:type="dxa"/>
              <w:left w:w="0" w:type="dxa"/>
              <w:bottom w:w="40" w:type="dxa"/>
              <w:right w:w="20" w:type="dxa"/>
            </w:tcMar>
            <w:vAlign w:val="bottom"/>
          </w:tcPr>
          <w:p w14:paraId="5F2CF4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8D"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F2CF4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90" w14:textId="77777777" w:rsidR="00E836FB" w:rsidRDefault="00994958">
            <w:pPr>
              <w:jc w:val="right"/>
              <w:textAlignment w:val="bottom"/>
            </w:pPr>
            <w:r>
              <w:rPr>
                <w:rFonts w:ascii="Arial" w:eastAsia="宋体" w:hAnsi="Arial" w:cs="Arial"/>
                <w:color w:val="000000"/>
                <w:sz w:val="15"/>
                <w:szCs w:val="15"/>
              </w:rPr>
              <w:t>(22)</w:t>
            </w:r>
          </w:p>
        </w:tc>
        <w:tc>
          <w:tcPr>
            <w:tcW w:w="0" w:type="auto"/>
            <w:shd w:val="clear" w:color="auto" w:fill="CCEEFF"/>
            <w:tcMar>
              <w:top w:w="40" w:type="dxa"/>
              <w:left w:w="0" w:type="dxa"/>
              <w:bottom w:w="40" w:type="dxa"/>
              <w:right w:w="20" w:type="dxa"/>
            </w:tcMar>
            <w:vAlign w:val="bottom"/>
          </w:tcPr>
          <w:p w14:paraId="5F2CF491" w14:textId="77777777" w:rsidR="00E836FB" w:rsidRDefault="00E836FB">
            <w:pPr>
              <w:jc w:val="right"/>
              <w:rPr>
                <w:rFonts w:ascii="宋体"/>
              </w:rPr>
            </w:pPr>
          </w:p>
        </w:tc>
      </w:tr>
      <w:tr w:rsidR="00E836FB" w14:paraId="5F2CF4B5" w14:textId="77777777">
        <w:tc>
          <w:tcPr>
            <w:tcW w:w="0" w:type="auto"/>
            <w:gridSpan w:val="3"/>
            <w:shd w:val="clear" w:color="auto" w:fill="FFFFFF"/>
            <w:tcMar>
              <w:top w:w="40" w:type="dxa"/>
              <w:left w:w="20" w:type="dxa"/>
              <w:bottom w:w="40" w:type="dxa"/>
              <w:right w:w="20" w:type="dxa"/>
            </w:tcMar>
            <w:vAlign w:val="bottom"/>
          </w:tcPr>
          <w:p w14:paraId="5F2CF493" w14:textId="77777777" w:rsidR="00E836FB" w:rsidRDefault="00994958">
            <w:pPr>
              <w:textAlignment w:val="bottom"/>
            </w:pPr>
            <w:r>
              <w:rPr>
                <w:rFonts w:ascii="Arial" w:eastAsia="宋体" w:hAnsi="Arial" w:cs="Arial"/>
                <w:b/>
                <w:bCs/>
                <w:color w:val="000000"/>
                <w:sz w:val="15"/>
                <w:szCs w:val="15"/>
              </w:rPr>
              <w:t>Balance at December 31, 2019</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F494"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495" w14:textId="77777777" w:rsidR="00E836FB" w:rsidRDefault="00994958">
            <w:pPr>
              <w:jc w:val="right"/>
              <w:textAlignment w:val="bottom"/>
            </w:pPr>
            <w:r>
              <w:rPr>
                <w:rFonts w:ascii="Arial" w:eastAsia="宋体" w:hAnsi="Arial" w:cs="Arial"/>
                <w:color w:val="000000"/>
                <w:sz w:val="15"/>
                <w:szCs w:val="15"/>
              </w:rPr>
              <w:t>2,962 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9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498" w14:textId="77777777" w:rsidR="00E836FB" w:rsidRDefault="00994958">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9A"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49B"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49C" w14:textId="77777777" w:rsidR="00E836FB" w:rsidRDefault="00994958">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9E"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49F"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4A0" w14:textId="77777777" w:rsidR="00E836FB" w:rsidRDefault="00994958">
            <w:pPr>
              <w:jc w:val="right"/>
              <w:textAlignment w:val="bottom"/>
            </w:pPr>
            <w:r>
              <w:rPr>
                <w:rFonts w:ascii="Arial" w:eastAsia="宋体" w:hAnsi="Arial" w:cs="Arial"/>
                <w:color w:val="000000"/>
                <w:sz w:val="15"/>
                <w:szCs w:val="15"/>
              </w:rPr>
              <w:t>10,132 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A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A2"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4A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4A4" w14:textId="77777777" w:rsidR="00E836FB" w:rsidRDefault="00994958">
            <w:pPr>
              <w:jc w:val="right"/>
              <w:textAlignment w:val="bottom"/>
            </w:pPr>
            <w:r>
              <w:rPr>
                <w:rFonts w:ascii="Arial" w:eastAsia="宋体" w:hAnsi="Arial" w:cs="Arial"/>
                <w:color w:val="000000"/>
                <w:sz w:val="15"/>
                <w:szCs w:val="15"/>
              </w:rPr>
              <w:t>21,918 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A6"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4A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4A8" w14:textId="77777777" w:rsidR="00E836FB" w:rsidRDefault="00994958">
            <w:pPr>
              <w:jc w:val="right"/>
              <w:textAlignment w:val="bottom"/>
            </w:pPr>
            <w:r>
              <w:rPr>
                <w:rFonts w:ascii="Arial" w:eastAsia="宋体" w:hAnsi="Arial" w:cs="Arial"/>
                <w:color w:val="000000"/>
                <w:sz w:val="15"/>
                <w:szCs w:val="15"/>
              </w:rPr>
              <w:t>(876)</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A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4AB" w14:textId="77777777" w:rsidR="00E836FB" w:rsidRDefault="00994958">
            <w:pPr>
              <w:jc w:val="right"/>
              <w:textAlignment w:val="bottom"/>
            </w:pPr>
            <w:r>
              <w:rPr>
                <w:rFonts w:ascii="Arial" w:eastAsia="宋体" w:hAnsi="Arial" w:cs="Arial"/>
                <w:color w:val="000000"/>
                <w:sz w:val="15"/>
                <w:szCs w:val="15"/>
              </w:rPr>
              <w:t>146,490 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A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4AE"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4AF" w14:textId="77777777" w:rsidR="00E836FB" w:rsidRDefault="00994958">
            <w:pPr>
              <w:jc w:val="right"/>
              <w:textAlignment w:val="bottom"/>
            </w:pPr>
            <w:r>
              <w:rPr>
                <w:rFonts w:ascii="Arial" w:eastAsia="宋体" w:hAnsi="Arial" w:cs="Arial"/>
                <w:color w:val="000000"/>
                <w:sz w:val="15"/>
                <w:szCs w:val="15"/>
              </w:rPr>
              <w:t>(10,209)</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B1"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4B2"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4B3" w14:textId="77777777" w:rsidR="00E836FB" w:rsidRDefault="00994958">
            <w:pPr>
              <w:jc w:val="right"/>
              <w:textAlignment w:val="bottom"/>
            </w:pPr>
            <w:r>
              <w:rPr>
                <w:rFonts w:ascii="Arial" w:eastAsia="宋体" w:hAnsi="Arial" w:cs="Arial"/>
                <w:color w:val="000000"/>
                <w:sz w:val="15"/>
                <w:szCs w:val="15"/>
              </w:rPr>
              <w:t>24,431 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4B4" w14:textId="77777777" w:rsidR="00E836FB" w:rsidRDefault="00E836FB">
            <w:pPr>
              <w:jc w:val="right"/>
              <w:rPr>
                <w:rFonts w:ascii="宋体"/>
              </w:rPr>
            </w:pPr>
          </w:p>
        </w:tc>
      </w:tr>
      <w:tr w:rsidR="00E836FB" w14:paraId="5F2CF4CA" w14:textId="77777777">
        <w:tc>
          <w:tcPr>
            <w:tcW w:w="0" w:type="auto"/>
            <w:gridSpan w:val="3"/>
            <w:shd w:val="clear" w:color="auto" w:fill="CCEEFF"/>
            <w:tcMar>
              <w:top w:w="40" w:type="dxa"/>
              <w:left w:w="20" w:type="dxa"/>
              <w:bottom w:w="40" w:type="dxa"/>
              <w:right w:w="20" w:type="dxa"/>
            </w:tcMar>
            <w:vAlign w:val="bottom"/>
          </w:tcPr>
          <w:p w14:paraId="5F2CF4B6" w14:textId="77777777" w:rsidR="00E836FB" w:rsidRDefault="00994958">
            <w:pPr>
              <w:textAlignment w:val="bottom"/>
            </w:pPr>
            <w:r>
              <w:rPr>
                <w:rFonts w:ascii="Arial" w:eastAsia="宋体" w:hAnsi="Arial" w:cs="Arial"/>
                <w:color w:val="000000"/>
                <w:sz w:val="15"/>
                <w:szCs w:val="15"/>
              </w:rPr>
              <w:t>Net inc</w:t>
            </w:r>
            <w:r>
              <w:rPr>
                <w:rFonts w:ascii="Arial" w:eastAsia="宋体" w:hAnsi="Arial" w:cs="Arial"/>
                <w:color w:val="000000"/>
                <w:sz w:val="15"/>
                <w:szCs w:val="15"/>
              </w:rPr>
              <w:t>ome</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4B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B8"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4B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BA"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4B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BC"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4B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BE"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CF4BF" w14:textId="77777777" w:rsidR="00E836FB" w:rsidRDefault="00994958">
            <w:pPr>
              <w:jc w:val="right"/>
              <w:textAlignment w:val="bottom"/>
            </w:pPr>
            <w:r>
              <w:rPr>
                <w:rFonts w:ascii="Arial" w:eastAsia="宋体" w:hAnsi="Arial" w:cs="Arial"/>
                <w:color w:val="000000"/>
                <w:sz w:val="15"/>
                <w:szCs w:val="15"/>
              </w:rPr>
              <w:t>2,420 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F4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C1"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4C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C3"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4C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C5"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4C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C7"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CF4C8" w14:textId="77777777" w:rsidR="00E836FB" w:rsidRDefault="00994958">
            <w:pPr>
              <w:jc w:val="right"/>
              <w:textAlignment w:val="bottom"/>
            </w:pPr>
            <w:r>
              <w:rPr>
                <w:rFonts w:ascii="Arial" w:eastAsia="宋体" w:hAnsi="Arial" w:cs="Arial"/>
                <w:color w:val="000000"/>
                <w:sz w:val="15"/>
                <w:szCs w:val="15"/>
              </w:rPr>
              <w:t>2,420 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F4C9" w14:textId="77777777" w:rsidR="00E836FB" w:rsidRDefault="00E836FB">
            <w:pPr>
              <w:jc w:val="right"/>
              <w:rPr>
                <w:rFonts w:ascii="宋体"/>
              </w:rPr>
            </w:pPr>
          </w:p>
        </w:tc>
      </w:tr>
      <w:tr w:rsidR="00E836FB" w14:paraId="5F2CF4DF" w14:textId="77777777">
        <w:tc>
          <w:tcPr>
            <w:tcW w:w="0" w:type="auto"/>
            <w:gridSpan w:val="3"/>
            <w:shd w:val="clear" w:color="auto" w:fill="FFFFFF"/>
            <w:tcMar>
              <w:top w:w="40" w:type="dxa"/>
              <w:left w:w="20" w:type="dxa"/>
              <w:bottom w:w="40" w:type="dxa"/>
              <w:right w:w="20" w:type="dxa"/>
            </w:tcMar>
            <w:vAlign w:val="bottom"/>
          </w:tcPr>
          <w:p w14:paraId="5F2CF4CB" w14:textId="77777777" w:rsidR="00E836FB" w:rsidRDefault="00994958">
            <w:pPr>
              <w:textAlignment w:val="bottom"/>
            </w:pPr>
            <w:r>
              <w:rPr>
                <w:rFonts w:ascii="Arial" w:eastAsia="宋体" w:hAnsi="Arial" w:cs="Arial"/>
                <w:color w:val="000000"/>
                <w:sz w:val="15"/>
                <w:szCs w:val="15"/>
              </w:rPr>
              <w:t>Other comprehensive income</w:t>
            </w:r>
          </w:p>
        </w:tc>
        <w:tc>
          <w:tcPr>
            <w:tcW w:w="0" w:type="auto"/>
            <w:gridSpan w:val="3"/>
            <w:shd w:val="clear" w:color="auto" w:fill="FFFFFF"/>
            <w:tcMar>
              <w:top w:w="0" w:type="dxa"/>
              <w:left w:w="20" w:type="dxa"/>
              <w:bottom w:w="0" w:type="dxa"/>
              <w:right w:w="20" w:type="dxa"/>
            </w:tcMar>
            <w:vAlign w:val="bottom"/>
          </w:tcPr>
          <w:p w14:paraId="5F2CF4C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C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C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C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D6" w14:textId="77777777" w:rsidR="00E836FB" w:rsidRDefault="00994958">
            <w:pPr>
              <w:jc w:val="right"/>
              <w:textAlignment w:val="bottom"/>
            </w:pPr>
            <w:r>
              <w:rPr>
                <w:rFonts w:ascii="Arial" w:eastAsia="宋体" w:hAnsi="Arial" w:cs="Arial"/>
                <w:color w:val="000000"/>
                <w:sz w:val="15"/>
                <w:szCs w:val="15"/>
              </w:rPr>
              <w:t>1,063 </w:t>
            </w:r>
          </w:p>
        </w:tc>
        <w:tc>
          <w:tcPr>
            <w:tcW w:w="0" w:type="auto"/>
            <w:shd w:val="clear" w:color="auto" w:fill="FFFFFF"/>
            <w:tcMar>
              <w:top w:w="40" w:type="dxa"/>
              <w:left w:w="0" w:type="dxa"/>
              <w:bottom w:w="40" w:type="dxa"/>
              <w:right w:w="20" w:type="dxa"/>
            </w:tcMar>
            <w:vAlign w:val="bottom"/>
          </w:tcPr>
          <w:p w14:paraId="5F2CF4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4D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D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4DD" w14:textId="77777777" w:rsidR="00E836FB" w:rsidRDefault="00994958">
            <w:pPr>
              <w:jc w:val="right"/>
              <w:textAlignment w:val="bottom"/>
            </w:pPr>
            <w:r>
              <w:rPr>
                <w:rFonts w:ascii="Arial" w:eastAsia="宋体" w:hAnsi="Arial" w:cs="Arial"/>
                <w:color w:val="000000"/>
                <w:sz w:val="15"/>
                <w:szCs w:val="15"/>
              </w:rPr>
              <w:t>1,063 </w:t>
            </w:r>
          </w:p>
        </w:tc>
        <w:tc>
          <w:tcPr>
            <w:tcW w:w="0" w:type="auto"/>
            <w:shd w:val="clear" w:color="auto" w:fill="FFFFFF"/>
            <w:tcMar>
              <w:top w:w="40" w:type="dxa"/>
              <w:left w:w="0" w:type="dxa"/>
              <w:bottom w:w="40" w:type="dxa"/>
              <w:right w:w="20" w:type="dxa"/>
            </w:tcMar>
            <w:vAlign w:val="bottom"/>
          </w:tcPr>
          <w:p w14:paraId="5F2CF4DE" w14:textId="77777777" w:rsidR="00E836FB" w:rsidRDefault="00E836FB">
            <w:pPr>
              <w:jc w:val="right"/>
              <w:rPr>
                <w:rFonts w:ascii="宋体"/>
              </w:rPr>
            </w:pPr>
          </w:p>
        </w:tc>
      </w:tr>
      <w:tr w:rsidR="00E836FB" w14:paraId="5F2CF4F5" w14:textId="77777777">
        <w:tc>
          <w:tcPr>
            <w:tcW w:w="0" w:type="auto"/>
            <w:gridSpan w:val="3"/>
            <w:shd w:val="clear" w:color="auto" w:fill="CCEEFF"/>
            <w:tcMar>
              <w:top w:w="40" w:type="dxa"/>
              <w:left w:w="20" w:type="dxa"/>
              <w:bottom w:w="40" w:type="dxa"/>
              <w:right w:w="20" w:type="dxa"/>
            </w:tcMar>
            <w:vAlign w:val="bottom"/>
          </w:tcPr>
          <w:p w14:paraId="5F2CF4E0" w14:textId="77777777" w:rsidR="00E836FB" w:rsidRDefault="00994958">
            <w:pPr>
              <w:textAlignment w:val="bottom"/>
            </w:pPr>
            <w:r>
              <w:rPr>
                <w:rFonts w:ascii="Arial" w:eastAsia="宋体" w:hAnsi="Arial" w:cs="Arial"/>
                <w:color w:val="000000"/>
                <w:sz w:val="15"/>
                <w:szCs w:val="15"/>
              </w:rPr>
              <w:t>Preferred stock redeemed</w:t>
            </w:r>
          </w:p>
        </w:tc>
        <w:tc>
          <w:tcPr>
            <w:tcW w:w="0" w:type="auto"/>
            <w:gridSpan w:val="2"/>
            <w:shd w:val="clear" w:color="auto" w:fill="CCEEFF"/>
            <w:tcMar>
              <w:top w:w="40" w:type="dxa"/>
              <w:left w:w="20" w:type="dxa"/>
              <w:bottom w:w="40" w:type="dxa"/>
              <w:right w:w="0" w:type="dxa"/>
            </w:tcMar>
            <w:vAlign w:val="bottom"/>
          </w:tcPr>
          <w:p w14:paraId="5F2CF4E1" w14:textId="77777777" w:rsidR="00E836FB" w:rsidRDefault="00994958">
            <w:pPr>
              <w:jc w:val="right"/>
              <w:textAlignment w:val="bottom"/>
            </w:pPr>
            <w:r>
              <w:rPr>
                <w:rFonts w:ascii="Arial" w:eastAsia="宋体" w:hAnsi="Arial" w:cs="Arial"/>
                <w:color w:val="000000"/>
                <w:sz w:val="15"/>
                <w:szCs w:val="15"/>
              </w:rPr>
              <w:t>(491)</w:t>
            </w:r>
          </w:p>
        </w:tc>
        <w:tc>
          <w:tcPr>
            <w:tcW w:w="0" w:type="auto"/>
            <w:shd w:val="clear" w:color="auto" w:fill="CCEEFF"/>
            <w:tcMar>
              <w:top w:w="40" w:type="dxa"/>
              <w:left w:w="0" w:type="dxa"/>
              <w:bottom w:w="40" w:type="dxa"/>
              <w:right w:w="20" w:type="dxa"/>
            </w:tcMar>
            <w:vAlign w:val="bottom"/>
          </w:tcPr>
          <w:p w14:paraId="5F2CF4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E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EA" w14:textId="77777777" w:rsidR="00E836FB" w:rsidRDefault="00994958">
            <w:pPr>
              <w:jc w:val="right"/>
              <w:textAlignment w:val="bottom"/>
            </w:pPr>
            <w:r>
              <w:rPr>
                <w:rFonts w:ascii="Arial" w:eastAsia="宋体" w:hAnsi="Arial" w:cs="Arial"/>
                <w:color w:val="000000"/>
                <w:sz w:val="15"/>
                <w:szCs w:val="15"/>
              </w:rPr>
              <w:t>(9)</w:t>
            </w:r>
          </w:p>
        </w:tc>
        <w:tc>
          <w:tcPr>
            <w:tcW w:w="0" w:type="auto"/>
            <w:shd w:val="clear" w:color="auto" w:fill="CCEEFF"/>
            <w:tcMar>
              <w:top w:w="40" w:type="dxa"/>
              <w:left w:w="0" w:type="dxa"/>
              <w:bottom w:w="40" w:type="dxa"/>
              <w:right w:w="20" w:type="dxa"/>
            </w:tcMar>
            <w:vAlign w:val="bottom"/>
          </w:tcPr>
          <w:p w14:paraId="5F2CF4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4E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E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F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F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4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4F3" w14:textId="77777777" w:rsidR="00E836FB" w:rsidRDefault="00994958">
            <w:pPr>
              <w:jc w:val="right"/>
              <w:textAlignment w:val="bottom"/>
            </w:pPr>
            <w:r>
              <w:rPr>
                <w:rFonts w:ascii="Arial" w:eastAsia="宋体" w:hAnsi="Arial" w:cs="Arial"/>
                <w:color w:val="000000"/>
                <w:sz w:val="15"/>
                <w:szCs w:val="15"/>
              </w:rPr>
              <w:t>(500)</w:t>
            </w:r>
          </w:p>
        </w:tc>
        <w:tc>
          <w:tcPr>
            <w:tcW w:w="0" w:type="auto"/>
            <w:shd w:val="clear" w:color="auto" w:fill="CCEEFF"/>
            <w:tcMar>
              <w:top w:w="40" w:type="dxa"/>
              <w:left w:w="0" w:type="dxa"/>
              <w:bottom w:w="40" w:type="dxa"/>
              <w:right w:w="20" w:type="dxa"/>
            </w:tcMar>
            <w:vAlign w:val="bottom"/>
          </w:tcPr>
          <w:p w14:paraId="5F2CF4F4" w14:textId="77777777" w:rsidR="00E836FB" w:rsidRDefault="00E836FB">
            <w:pPr>
              <w:jc w:val="right"/>
              <w:rPr>
                <w:rFonts w:ascii="宋体"/>
              </w:rPr>
            </w:pPr>
          </w:p>
        </w:tc>
      </w:tr>
      <w:tr w:rsidR="00E836FB" w14:paraId="5F2CF508" w14:textId="77777777">
        <w:tc>
          <w:tcPr>
            <w:tcW w:w="0" w:type="auto"/>
            <w:gridSpan w:val="3"/>
            <w:shd w:val="clear" w:color="auto" w:fill="FFFFFF"/>
            <w:tcMar>
              <w:top w:w="40" w:type="dxa"/>
              <w:left w:w="20" w:type="dxa"/>
              <w:bottom w:w="40" w:type="dxa"/>
              <w:right w:w="20" w:type="dxa"/>
            </w:tcMar>
            <w:vAlign w:val="bottom"/>
          </w:tcPr>
          <w:p w14:paraId="5F2CF4F6" w14:textId="77777777" w:rsidR="00E836FB" w:rsidRDefault="00994958">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5F2CF4F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4F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07" w14:textId="77777777" w:rsidR="00E836FB" w:rsidRDefault="00E836FB">
            <w:pPr>
              <w:rPr>
                <w:rFonts w:ascii="宋体"/>
              </w:rPr>
            </w:pPr>
          </w:p>
        </w:tc>
      </w:tr>
      <w:tr w:rsidR="00E836FB" w14:paraId="5F2CF51D" w14:textId="77777777">
        <w:tc>
          <w:tcPr>
            <w:tcW w:w="0" w:type="auto"/>
            <w:gridSpan w:val="3"/>
            <w:shd w:val="clear" w:color="auto" w:fill="CCEEFF"/>
            <w:tcMar>
              <w:top w:w="40" w:type="dxa"/>
              <w:left w:w="20" w:type="dxa"/>
              <w:bottom w:w="40" w:type="dxa"/>
              <w:right w:w="20" w:type="dxa"/>
            </w:tcMar>
            <w:vAlign w:val="bottom"/>
          </w:tcPr>
          <w:p w14:paraId="5F2CF509" w14:textId="77777777" w:rsidR="00E836FB" w:rsidRDefault="00994958">
            <w:pPr>
              <w:textAlignment w:val="bottom"/>
            </w:pPr>
            <w:r>
              <w:rPr>
                <w:rFonts w:ascii="Arial" w:eastAsia="宋体" w:hAnsi="Arial" w:cs="Arial"/>
                <w:color w:val="000000"/>
                <w:sz w:val="15"/>
                <w:szCs w:val="15"/>
              </w:rPr>
              <w:t>Common stock - $2.08 per share</w:t>
            </w:r>
          </w:p>
        </w:tc>
        <w:tc>
          <w:tcPr>
            <w:tcW w:w="0" w:type="auto"/>
            <w:gridSpan w:val="3"/>
            <w:shd w:val="clear" w:color="auto" w:fill="CCEEFF"/>
            <w:tcMar>
              <w:top w:w="0" w:type="dxa"/>
              <w:left w:w="20" w:type="dxa"/>
              <w:bottom w:w="0" w:type="dxa"/>
              <w:right w:w="20" w:type="dxa"/>
            </w:tcMar>
            <w:vAlign w:val="bottom"/>
          </w:tcPr>
          <w:p w14:paraId="5F2CF50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0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0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0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0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0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12" w14:textId="77777777" w:rsidR="00E836FB" w:rsidRDefault="00994958">
            <w:pPr>
              <w:jc w:val="right"/>
              <w:textAlignment w:val="bottom"/>
            </w:pPr>
            <w:r>
              <w:rPr>
                <w:rFonts w:ascii="Arial" w:eastAsia="宋体" w:hAnsi="Arial" w:cs="Arial"/>
                <w:color w:val="000000"/>
                <w:sz w:val="15"/>
                <w:szCs w:val="15"/>
              </w:rPr>
              <w:t>(734)</w:t>
            </w:r>
          </w:p>
        </w:tc>
        <w:tc>
          <w:tcPr>
            <w:tcW w:w="0" w:type="auto"/>
            <w:shd w:val="clear" w:color="auto" w:fill="CCEEFF"/>
            <w:tcMar>
              <w:top w:w="40" w:type="dxa"/>
              <w:left w:w="0" w:type="dxa"/>
              <w:bottom w:w="40" w:type="dxa"/>
              <w:right w:w="20" w:type="dxa"/>
            </w:tcMar>
            <w:vAlign w:val="bottom"/>
          </w:tcPr>
          <w:p w14:paraId="5F2CF5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1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1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1B" w14:textId="77777777" w:rsidR="00E836FB" w:rsidRDefault="00994958">
            <w:pPr>
              <w:jc w:val="right"/>
              <w:textAlignment w:val="bottom"/>
            </w:pPr>
            <w:r>
              <w:rPr>
                <w:rFonts w:ascii="Arial" w:eastAsia="宋体" w:hAnsi="Arial" w:cs="Arial"/>
                <w:color w:val="000000"/>
                <w:sz w:val="15"/>
                <w:szCs w:val="15"/>
              </w:rPr>
              <w:t>(734)</w:t>
            </w:r>
          </w:p>
        </w:tc>
        <w:tc>
          <w:tcPr>
            <w:tcW w:w="0" w:type="auto"/>
            <w:shd w:val="clear" w:color="auto" w:fill="CCEEFF"/>
            <w:tcMar>
              <w:top w:w="40" w:type="dxa"/>
              <w:left w:w="0" w:type="dxa"/>
              <w:bottom w:w="40" w:type="dxa"/>
              <w:right w:w="20" w:type="dxa"/>
            </w:tcMar>
            <w:vAlign w:val="bottom"/>
          </w:tcPr>
          <w:p w14:paraId="5F2CF51C" w14:textId="77777777" w:rsidR="00E836FB" w:rsidRDefault="00E836FB">
            <w:pPr>
              <w:jc w:val="right"/>
              <w:rPr>
                <w:rFonts w:ascii="宋体"/>
              </w:rPr>
            </w:pPr>
          </w:p>
        </w:tc>
      </w:tr>
      <w:tr w:rsidR="00E836FB" w14:paraId="5F2CF532" w14:textId="77777777">
        <w:tc>
          <w:tcPr>
            <w:tcW w:w="0" w:type="auto"/>
            <w:gridSpan w:val="3"/>
            <w:shd w:val="clear" w:color="auto" w:fill="FFFFFF"/>
            <w:tcMar>
              <w:top w:w="40" w:type="dxa"/>
              <w:left w:w="20" w:type="dxa"/>
              <w:bottom w:w="40" w:type="dxa"/>
              <w:right w:w="20" w:type="dxa"/>
            </w:tcMar>
            <w:vAlign w:val="bottom"/>
          </w:tcPr>
          <w:p w14:paraId="5F2CF51E" w14:textId="77777777" w:rsidR="00E836FB" w:rsidRDefault="00994958">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5F2CF51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27" w14:textId="77777777" w:rsidR="00E836FB" w:rsidRDefault="00994958">
            <w:pPr>
              <w:jc w:val="right"/>
              <w:textAlignment w:val="bottom"/>
            </w:pPr>
            <w:r>
              <w:rPr>
                <w:rFonts w:ascii="Arial" w:eastAsia="宋体" w:hAnsi="Arial" w:cs="Arial"/>
                <w:color w:val="000000"/>
                <w:sz w:val="15"/>
                <w:szCs w:val="15"/>
              </w:rPr>
              <w:t>(152)</w:t>
            </w:r>
          </w:p>
        </w:tc>
        <w:tc>
          <w:tcPr>
            <w:tcW w:w="0" w:type="auto"/>
            <w:shd w:val="clear" w:color="auto" w:fill="FFFFFF"/>
            <w:tcMar>
              <w:top w:w="40" w:type="dxa"/>
              <w:left w:w="0" w:type="dxa"/>
              <w:bottom w:w="40" w:type="dxa"/>
              <w:right w:w="20" w:type="dxa"/>
            </w:tcMar>
            <w:vAlign w:val="bottom"/>
          </w:tcPr>
          <w:p w14:paraId="5F2CF5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2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2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30" w14:textId="77777777" w:rsidR="00E836FB" w:rsidRDefault="00994958">
            <w:pPr>
              <w:jc w:val="right"/>
              <w:textAlignment w:val="bottom"/>
            </w:pPr>
            <w:r>
              <w:rPr>
                <w:rFonts w:ascii="Arial" w:eastAsia="宋体" w:hAnsi="Arial" w:cs="Arial"/>
                <w:color w:val="000000"/>
                <w:sz w:val="15"/>
                <w:szCs w:val="15"/>
              </w:rPr>
              <w:t>(152)</w:t>
            </w:r>
          </w:p>
        </w:tc>
        <w:tc>
          <w:tcPr>
            <w:tcW w:w="0" w:type="auto"/>
            <w:shd w:val="clear" w:color="auto" w:fill="FFFFFF"/>
            <w:tcMar>
              <w:top w:w="40" w:type="dxa"/>
              <w:left w:w="0" w:type="dxa"/>
              <w:bottom w:w="40" w:type="dxa"/>
              <w:right w:w="20" w:type="dxa"/>
            </w:tcMar>
            <w:vAlign w:val="bottom"/>
          </w:tcPr>
          <w:p w14:paraId="5F2CF531" w14:textId="77777777" w:rsidR="00E836FB" w:rsidRDefault="00E836FB">
            <w:pPr>
              <w:jc w:val="right"/>
              <w:rPr>
                <w:rFonts w:ascii="宋体"/>
              </w:rPr>
            </w:pPr>
          </w:p>
        </w:tc>
      </w:tr>
      <w:tr w:rsidR="00E836FB" w14:paraId="5F2CF548" w14:textId="77777777">
        <w:tc>
          <w:tcPr>
            <w:tcW w:w="0" w:type="auto"/>
            <w:gridSpan w:val="3"/>
            <w:shd w:val="clear" w:color="auto" w:fill="CCEEFF"/>
            <w:tcMar>
              <w:top w:w="40" w:type="dxa"/>
              <w:left w:w="20" w:type="dxa"/>
              <w:bottom w:w="40" w:type="dxa"/>
              <w:right w:w="20" w:type="dxa"/>
            </w:tcMar>
            <w:vAlign w:val="bottom"/>
          </w:tcPr>
          <w:p w14:paraId="5F2CF533" w14:textId="77777777" w:rsidR="00E836FB" w:rsidRDefault="00994958">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5F2CF53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3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40" w14:textId="77777777" w:rsidR="00E836FB" w:rsidRDefault="00994958">
            <w:pPr>
              <w:jc w:val="right"/>
              <w:textAlignment w:val="bottom"/>
            </w:pPr>
            <w:r>
              <w:rPr>
                <w:rFonts w:ascii="Arial" w:eastAsia="宋体" w:hAnsi="Arial" w:cs="Arial"/>
                <w:color w:val="000000"/>
                <w:sz w:val="15"/>
                <w:szCs w:val="15"/>
              </w:rPr>
              <w:t>6,464 </w:t>
            </w:r>
          </w:p>
        </w:tc>
        <w:tc>
          <w:tcPr>
            <w:tcW w:w="0" w:type="auto"/>
            <w:shd w:val="clear" w:color="auto" w:fill="CCEEFF"/>
            <w:tcMar>
              <w:top w:w="40" w:type="dxa"/>
              <w:left w:w="0" w:type="dxa"/>
              <w:bottom w:w="40" w:type="dxa"/>
              <w:right w:w="20" w:type="dxa"/>
            </w:tcMar>
            <w:vAlign w:val="bottom"/>
          </w:tcPr>
          <w:p w14:paraId="5F2CF5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4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43" w14:textId="77777777" w:rsidR="00E836FB" w:rsidRDefault="00994958">
            <w:pPr>
              <w:jc w:val="right"/>
              <w:textAlignment w:val="bottom"/>
            </w:pPr>
            <w:r>
              <w:rPr>
                <w:rFonts w:ascii="Arial" w:eastAsia="宋体" w:hAnsi="Arial" w:cs="Arial"/>
                <w:color w:val="000000"/>
                <w:sz w:val="15"/>
                <w:szCs w:val="15"/>
              </w:rPr>
              <w:t>(500)</w:t>
            </w:r>
          </w:p>
        </w:tc>
        <w:tc>
          <w:tcPr>
            <w:tcW w:w="0" w:type="auto"/>
            <w:shd w:val="clear" w:color="auto" w:fill="CCEEFF"/>
            <w:tcMar>
              <w:top w:w="40" w:type="dxa"/>
              <w:left w:w="0" w:type="dxa"/>
              <w:bottom w:w="40" w:type="dxa"/>
              <w:right w:w="20" w:type="dxa"/>
            </w:tcMar>
            <w:vAlign w:val="bottom"/>
          </w:tcPr>
          <w:p w14:paraId="5F2CF5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4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46" w14:textId="77777777" w:rsidR="00E836FB" w:rsidRDefault="00994958">
            <w:pPr>
              <w:jc w:val="right"/>
              <w:textAlignment w:val="bottom"/>
            </w:pPr>
            <w:r>
              <w:rPr>
                <w:rFonts w:ascii="Arial" w:eastAsia="宋体" w:hAnsi="Arial" w:cs="Arial"/>
                <w:color w:val="000000"/>
                <w:sz w:val="15"/>
                <w:szCs w:val="15"/>
              </w:rPr>
              <w:t>(500)</w:t>
            </w:r>
          </w:p>
        </w:tc>
        <w:tc>
          <w:tcPr>
            <w:tcW w:w="0" w:type="auto"/>
            <w:shd w:val="clear" w:color="auto" w:fill="CCEEFF"/>
            <w:tcMar>
              <w:top w:w="40" w:type="dxa"/>
              <w:left w:w="0" w:type="dxa"/>
              <w:bottom w:w="40" w:type="dxa"/>
              <w:right w:w="20" w:type="dxa"/>
            </w:tcMar>
            <w:vAlign w:val="bottom"/>
          </w:tcPr>
          <w:p w14:paraId="5F2CF547" w14:textId="77777777" w:rsidR="00E836FB" w:rsidRDefault="00E836FB">
            <w:pPr>
              <w:jc w:val="right"/>
              <w:rPr>
                <w:rFonts w:ascii="宋体"/>
              </w:rPr>
            </w:pPr>
          </w:p>
        </w:tc>
      </w:tr>
      <w:tr w:rsidR="00E836FB" w14:paraId="5F2CF55F" w14:textId="77777777">
        <w:tc>
          <w:tcPr>
            <w:tcW w:w="0" w:type="auto"/>
            <w:gridSpan w:val="3"/>
            <w:shd w:val="clear" w:color="auto" w:fill="FFFFFF"/>
            <w:tcMar>
              <w:top w:w="40" w:type="dxa"/>
              <w:left w:w="20" w:type="dxa"/>
              <w:bottom w:w="40" w:type="dxa"/>
              <w:right w:w="20" w:type="dxa"/>
            </w:tcMar>
            <w:vAlign w:val="bottom"/>
          </w:tcPr>
          <w:p w14:paraId="5F2CF549" w14:textId="77777777" w:rsidR="00E836FB" w:rsidRDefault="00994958">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5F2CF54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4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4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4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4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50" w14:textId="77777777" w:rsidR="00E836FB" w:rsidRDefault="00994958">
            <w:pPr>
              <w:jc w:val="right"/>
              <w:textAlignment w:val="bottom"/>
            </w:pPr>
            <w:r>
              <w:rPr>
                <w:rFonts w:ascii="Arial" w:eastAsia="宋体" w:hAnsi="Arial" w:cs="Arial"/>
                <w:color w:val="000000"/>
                <w:sz w:val="15"/>
                <w:szCs w:val="15"/>
              </w:rPr>
              <w:t>72 </w:t>
            </w:r>
          </w:p>
        </w:tc>
        <w:tc>
          <w:tcPr>
            <w:tcW w:w="0" w:type="auto"/>
            <w:shd w:val="clear" w:color="auto" w:fill="FFFFFF"/>
            <w:tcMar>
              <w:top w:w="40" w:type="dxa"/>
              <w:left w:w="0" w:type="dxa"/>
              <w:bottom w:w="40" w:type="dxa"/>
              <w:right w:w="20" w:type="dxa"/>
            </w:tcMar>
            <w:vAlign w:val="bottom"/>
          </w:tcPr>
          <w:p w14:paraId="5F2CF55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5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5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5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5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5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57" w14:textId="77777777" w:rsidR="00E836FB" w:rsidRDefault="00994958">
            <w:pPr>
              <w:jc w:val="right"/>
              <w:textAlignment w:val="bottom"/>
            </w:pPr>
            <w:r>
              <w:rPr>
                <w:rFonts w:ascii="Arial" w:eastAsia="宋体" w:hAnsi="Arial" w:cs="Arial"/>
                <w:color w:val="000000"/>
                <w:sz w:val="15"/>
                <w:szCs w:val="15"/>
              </w:rPr>
              <w:t>(2,233)</w:t>
            </w:r>
          </w:p>
        </w:tc>
        <w:tc>
          <w:tcPr>
            <w:tcW w:w="0" w:type="auto"/>
            <w:shd w:val="clear" w:color="auto" w:fill="FFFFFF"/>
            <w:tcMar>
              <w:top w:w="40" w:type="dxa"/>
              <w:left w:w="0" w:type="dxa"/>
              <w:bottom w:w="40" w:type="dxa"/>
              <w:right w:w="20" w:type="dxa"/>
            </w:tcMar>
            <w:vAlign w:val="bottom"/>
          </w:tcPr>
          <w:p w14:paraId="5F2CF5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5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5A" w14:textId="77777777" w:rsidR="00E836FB" w:rsidRDefault="00994958">
            <w:pPr>
              <w:jc w:val="right"/>
              <w:textAlignment w:val="bottom"/>
            </w:pPr>
            <w:r>
              <w:rPr>
                <w:rFonts w:ascii="Arial" w:eastAsia="宋体" w:hAnsi="Arial" w:cs="Arial"/>
                <w:color w:val="000000"/>
                <w:sz w:val="15"/>
                <w:szCs w:val="15"/>
              </w:rPr>
              <w:t>100 </w:t>
            </w:r>
          </w:p>
        </w:tc>
        <w:tc>
          <w:tcPr>
            <w:tcW w:w="0" w:type="auto"/>
            <w:shd w:val="clear" w:color="auto" w:fill="FFFFFF"/>
            <w:tcMar>
              <w:top w:w="40" w:type="dxa"/>
              <w:left w:w="0" w:type="dxa"/>
              <w:bottom w:w="40" w:type="dxa"/>
              <w:right w:w="20" w:type="dxa"/>
            </w:tcMar>
            <w:vAlign w:val="bottom"/>
          </w:tcPr>
          <w:p w14:paraId="5F2CF55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5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5D" w14:textId="77777777" w:rsidR="00E836FB" w:rsidRDefault="00994958">
            <w:pPr>
              <w:jc w:val="right"/>
              <w:textAlignment w:val="bottom"/>
            </w:pPr>
            <w:r>
              <w:rPr>
                <w:rFonts w:ascii="Arial" w:eastAsia="宋体" w:hAnsi="Arial" w:cs="Arial"/>
                <w:color w:val="000000"/>
                <w:sz w:val="15"/>
                <w:szCs w:val="15"/>
              </w:rPr>
              <w:t>172 </w:t>
            </w:r>
          </w:p>
        </w:tc>
        <w:tc>
          <w:tcPr>
            <w:tcW w:w="0" w:type="auto"/>
            <w:shd w:val="clear" w:color="auto" w:fill="FFFFFF"/>
            <w:tcMar>
              <w:top w:w="40" w:type="dxa"/>
              <w:left w:w="0" w:type="dxa"/>
              <w:bottom w:w="40" w:type="dxa"/>
              <w:right w:w="20" w:type="dxa"/>
            </w:tcMar>
            <w:vAlign w:val="bottom"/>
          </w:tcPr>
          <w:p w14:paraId="5F2CF55E" w14:textId="77777777" w:rsidR="00E836FB" w:rsidRDefault="00E836FB">
            <w:pPr>
              <w:jc w:val="right"/>
              <w:rPr>
                <w:rFonts w:ascii="宋体"/>
              </w:rPr>
            </w:pPr>
          </w:p>
        </w:tc>
      </w:tr>
      <w:tr w:rsidR="00E836FB" w14:paraId="5F2CF577" w14:textId="77777777">
        <w:tc>
          <w:tcPr>
            <w:tcW w:w="0" w:type="auto"/>
            <w:gridSpan w:val="3"/>
            <w:shd w:val="clear" w:color="auto" w:fill="CCEEFF"/>
            <w:tcMar>
              <w:top w:w="40" w:type="dxa"/>
              <w:left w:w="20" w:type="dxa"/>
              <w:bottom w:w="40" w:type="dxa"/>
              <w:right w:w="20" w:type="dxa"/>
            </w:tcMar>
            <w:vAlign w:val="bottom"/>
          </w:tcPr>
          <w:p w14:paraId="5F2CF560" w14:textId="77777777" w:rsidR="00E836FB" w:rsidRDefault="00994958">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5F2CF56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6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6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6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6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6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67"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CF56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6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6A" w14:textId="77777777" w:rsidR="00E836FB" w:rsidRDefault="00994958">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5F2CF5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6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6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6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6F" w14:textId="77777777" w:rsidR="00E836FB" w:rsidRDefault="00994958">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F2CF5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7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72"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5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7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75"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576" w14:textId="77777777" w:rsidR="00E836FB" w:rsidRDefault="00E836FB">
            <w:pPr>
              <w:jc w:val="right"/>
              <w:rPr>
                <w:rFonts w:ascii="宋体"/>
              </w:rPr>
            </w:pPr>
          </w:p>
        </w:tc>
      </w:tr>
      <w:tr w:rsidR="00E836FB" w14:paraId="5F2CF59A" w14:textId="77777777">
        <w:tc>
          <w:tcPr>
            <w:tcW w:w="0" w:type="auto"/>
            <w:gridSpan w:val="3"/>
            <w:shd w:val="clear" w:color="auto" w:fill="FFFFFF"/>
            <w:tcMar>
              <w:top w:w="40" w:type="dxa"/>
              <w:left w:w="20" w:type="dxa"/>
              <w:bottom w:w="40" w:type="dxa"/>
              <w:right w:w="20" w:type="dxa"/>
            </w:tcMar>
            <w:vAlign w:val="bottom"/>
          </w:tcPr>
          <w:p w14:paraId="5F2CF578" w14:textId="77777777" w:rsidR="00E836FB" w:rsidRDefault="00994958">
            <w:pPr>
              <w:textAlignment w:val="bottom"/>
            </w:pPr>
            <w:r>
              <w:rPr>
                <w:rFonts w:ascii="Arial" w:eastAsia="宋体" w:hAnsi="Arial" w:cs="Arial"/>
                <w:b/>
                <w:bCs/>
                <w:color w:val="000000"/>
                <w:sz w:val="15"/>
                <w:szCs w:val="15"/>
              </w:rPr>
              <w:t>Balance at December 31, 2020</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F57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57A" w14:textId="77777777" w:rsidR="00E836FB" w:rsidRDefault="00994958">
            <w:pPr>
              <w:jc w:val="right"/>
              <w:textAlignment w:val="bottom"/>
            </w:pPr>
            <w:r>
              <w:rPr>
                <w:rFonts w:ascii="Arial" w:eastAsia="宋体" w:hAnsi="Arial" w:cs="Arial"/>
                <w:color w:val="000000"/>
                <w:sz w:val="15"/>
                <w:szCs w:val="15"/>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7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57D" w14:textId="77777777" w:rsidR="00E836FB" w:rsidRDefault="00994958">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7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7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580"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581" w14:textId="77777777" w:rsidR="00E836FB" w:rsidRDefault="00994958">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8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584"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585" w14:textId="77777777" w:rsidR="00E836FB" w:rsidRDefault="00994958">
            <w:pPr>
              <w:jc w:val="right"/>
              <w:textAlignment w:val="bottom"/>
            </w:pPr>
            <w:r>
              <w:rPr>
                <w:rFonts w:ascii="Arial" w:eastAsia="宋体" w:hAnsi="Arial" w:cs="Arial"/>
                <w:color w:val="000000"/>
                <w:sz w:val="15"/>
                <w:szCs w:val="15"/>
              </w:rPr>
              <w:t>10,205 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8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588"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589" w14:textId="77777777" w:rsidR="00E836FB" w:rsidRDefault="00994958">
            <w:pPr>
              <w:jc w:val="right"/>
              <w:textAlignment w:val="bottom"/>
            </w:pPr>
            <w:r>
              <w:rPr>
                <w:rFonts w:ascii="Arial" w:eastAsia="宋体" w:hAnsi="Arial" w:cs="Arial"/>
                <w:color w:val="000000"/>
                <w:sz w:val="15"/>
                <w:szCs w:val="15"/>
              </w:rPr>
              <w:t>23,442 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8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8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58C"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58D" w14:textId="77777777" w:rsidR="00E836FB" w:rsidRDefault="00994958">
            <w:pPr>
              <w:jc w:val="right"/>
              <w:textAlignment w:val="bottom"/>
            </w:pPr>
            <w:r>
              <w:rPr>
                <w:rFonts w:ascii="Arial" w:eastAsia="宋体" w:hAnsi="Arial" w:cs="Arial"/>
                <w:color w:val="000000"/>
                <w:sz w:val="15"/>
                <w:szCs w:val="15"/>
              </w:rPr>
              <w:t>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8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590" w14:textId="77777777" w:rsidR="00E836FB" w:rsidRDefault="00994958">
            <w:pPr>
              <w:jc w:val="right"/>
              <w:textAlignment w:val="bottom"/>
            </w:pPr>
            <w:r>
              <w:rPr>
                <w:rFonts w:ascii="Arial" w:eastAsia="宋体" w:hAnsi="Arial" w:cs="Arial"/>
                <w:color w:val="000000"/>
                <w:sz w:val="15"/>
                <w:szCs w:val="15"/>
              </w:rPr>
              <w:t>150,723 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91" w14:textId="77777777" w:rsidR="00E836FB" w:rsidRDefault="00E83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592"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59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594" w14:textId="77777777" w:rsidR="00E836FB" w:rsidRDefault="00994958">
            <w:pPr>
              <w:jc w:val="right"/>
              <w:textAlignment w:val="bottom"/>
            </w:pPr>
            <w:r>
              <w:rPr>
                <w:rFonts w:ascii="Arial" w:eastAsia="宋体" w:hAnsi="Arial" w:cs="Arial"/>
                <w:color w:val="000000"/>
                <w:sz w:val="15"/>
                <w:szCs w:val="15"/>
              </w:rPr>
              <w:t>(10,609)</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96"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59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598" w14:textId="77777777" w:rsidR="00E836FB" w:rsidRDefault="00994958">
            <w:pPr>
              <w:jc w:val="right"/>
              <w:textAlignment w:val="bottom"/>
            </w:pPr>
            <w:r>
              <w:rPr>
                <w:rFonts w:ascii="Arial" w:eastAsia="宋体" w:hAnsi="Arial" w:cs="Arial"/>
                <w:color w:val="000000"/>
                <w:sz w:val="15"/>
                <w:szCs w:val="15"/>
              </w:rPr>
              <w:t>26,200 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599" w14:textId="77777777" w:rsidR="00E836FB" w:rsidRDefault="00E836FB">
            <w:pPr>
              <w:jc w:val="right"/>
              <w:rPr>
                <w:rFonts w:ascii="宋体"/>
              </w:rPr>
            </w:pPr>
          </w:p>
        </w:tc>
      </w:tr>
      <w:tr w:rsidR="00E836FB" w14:paraId="5F2CF5AF" w14:textId="77777777">
        <w:tc>
          <w:tcPr>
            <w:tcW w:w="0" w:type="auto"/>
            <w:gridSpan w:val="3"/>
            <w:shd w:val="clear" w:color="auto" w:fill="CCEEFF"/>
            <w:tcMar>
              <w:top w:w="40" w:type="dxa"/>
              <w:left w:w="20" w:type="dxa"/>
              <w:bottom w:w="40" w:type="dxa"/>
              <w:right w:w="20" w:type="dxa"/>
            </w:tcMar>
            <w:vAlign w:val="bottom"/>
          </w:tcPr>
          <w:p w14:paraId="5F2CF59B" w14:textId="77777777" w:rsidR="00E836FB" w:rsidRDefault="00994958">
            <w:pPr>
              <w:textAlignment w:val="bottom"/>
            </w:pPr>
            <w:r>
              <w:rPr>
                <w:rFonts w:ascii="Arial" w:eastAsia="宋体" w:hAnsi="Arial" w:cs="Arial"/>
                <w:color w:val="000000"/>
                <w:sz w:val="15"/>
                <w:szCs w:val="15"/>
              </w:rPr>
              <w:t>Net income</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59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9D"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59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9F"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5A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A1"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5A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A3"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CF5A4" w14:textId="77777777" w:rsidR="00E836FB" w:rsidRDefault="00994958">
            <w:pPr>
              <w:jc w:val="right"/>
              <w:textAlignment w:val="bottom"/>
            </w:pPr>
            <w:r>
              <w:rPr>
                <w:rFonts w:ascii="Arial" w:eastAsia="宋体" w:hAnsi="Arial" w:cs="Arial"/>
                <w:b/>
                <w:bCs/>
                <w:color w:val="000000"/>
                <w:sz w:val="15"/>
                <w:szCs w:val="15"/>
              </w:rPr>
              <w:t>2,693</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F5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A6"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5A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A8"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5A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AA"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CF5A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AC"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CF5AD" w14:textId="77777777" w:rsidR="00E836FB" w:rsidRDefault="00994958">
            <w:pPr>
              <w:jc w:val="right"/>
              <w:textAlignment w:val="bottom"/>
            </w:pPr>
            <w:r>
              <w:rPr>
                <w:rFonts w:ascii="Arial" w:eastAsia="宋体" w:hAnsi="Arial" w:cs="Arial"/>
                <w:b/>
                <w:bCs/>
                <w:color w:val="000000"/>
                <w:sz w:val="15"/>
                <w:szCs w:val="15"/>
              </w:rPr>
              <w:t>2,693</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CF5AE" w14:textId="77777777" w:rsidR="00E836FB" w:rsidRDefault="00E836FB">
            <w:pPr>
              <w:jc w:val="right"/>
              <w:rPr>
                <w:rFonts w:ascii="宋体"/>
              </w:rPr>
            </w:pPr>
          </w:p>
        </w:tc>
      </w:tr>
      <w:tr w:rsidR="00E836FB" w14:paraId="5F2CF5C4" w14:textId="77777777">
        <w:tc>
          <w:tcPr>
            <w:tcW w:w="0" w:type="auto"/>
            <w:gridSpan w:val="3"/>
            <w:shd w:val="clear" w:color="auto" w:fill="FFFFFF"/>
            <w:tcMar>
              <w:top w:w="40" w:type="dxa"/>
              <w:left w:w="20" w:type="dxa"/>
              <w:bottom w:w="40" w:type="dxa"/>
              <w:right w:w="20" w:type="dxa"/>
            </w:tcMar>
            <w:vAlign w:val="bottom"/>
          </w:tcPr>
          <w:p w14:paraId="5F2CF5B0" w14:textId="77777777" w:rsidR="00E836FB" w:rsidRDefault="00994958">
            <w:pPr>
              <w:textAlignment w:val="bottom"/>
            </w:pPr>
            <w:r>
              <w:rPr>
                <w:rFonts w:ascii="Arial" w:eastAsia="宋体" w:hAnsi="Arial" w:cs="Arial"/>
                <w:color w:val="000000"/>
                <w:sz w:val="15"/>
                <w:szCs w:val="15"/>
              </w:rPr>
              <w:t>Other comprehensive (loss)</w:t>
            </w:r>
          </w:p>
        </w:tc>
        <w:tc>
          <w:tcPr>
            <w:tcW w:w="0" w:type="auto"/>
            <w:gridSpan w:val="3"/>
            <w:shd w:val="clear" w:color="auto" w:fill="FFFFFF"/>
            <w:tcMar>
              <w:top w:w="0" w:type="dxa"/>
              <w:left w:w="20" w:type="dxa"/>
              <w:bottom w:w="0" w:type="dxa"/>
              <w:right w:w="20" w:type="dxa"/>
            </w:tcMar>
            <w:vAlign w:val="bottom"/>
          </w:tcPr>
          <w:p w14:paraId="5F2CF5B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BB" w14:textId="77777777" w:rsidR="00E836FB" w:rsidRDefault="00994958">
            <w:pPr>
              <w:jc w:val="right"/>
              <w:textAlignment w:val="bottom"/>
            </w:pPr>
            <w:r>
              <w:rPr>
                <w:rFonts w:ascii="Arial" w:eastAsia="宋体" w:hAnsi="Arial" w:cs="Arial"/>
                <w:b/>
                <w:bCs/>
                <w:color w:val="000000"/>
                <w:sz w:val="15"/>
                <w:szCs w:val="15"/>
              </w:rPr>
              <w:t>(1,320)</w:t>
            </w:r>
          </w:p>
        </w:tc>
        <w:tc>
          <w:tcPr>
            <w:tcW w:w="0" w:type="auto"/>
            <w:shd w:val="clear" w:color="auto" w:fill="FFFFFF"/>
            <w:tcMar>
              <w:top w:w="40" w:type="dxa"/>
              <w:left w:w="0" w:type="dxa"/>
              <w:bottom w:w="40" w:type="dxa"/>
              <w:right w:w="20" w:type="dxa"/>
            </w:tcMar>
            <w:vAlign w:val="bottom"/>
          </w:tcPr>
          <w:p w14:paraId="5F2CF5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B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B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C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C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C2" w14:textId="77777777" w:rsidR="00E836FB" w:rsidRDefault="00994958">
            <w:pPr>
              <w:jc w:val="right"/>
              <w:textAlignment w:val="bottom"/>
            </w:pPr>
            <w:r>
              <w:rPr>
                <w:rFonts w:ascii="Arial" w:eastAsia="宋体" w:hAnsi="Arial" w:cs="Arial"/>
                <w:b/>
                <w:bCs/>
                <w:color w:val="000000"/>
                <w:sz w:val="15"/>
                <w:szCs w:val="15"/>
              </w:rPr>
              <w:t>(1,320)</w:t>
            </w:r>
          </w:p>
        </w:tc>
        <w:tc>
          <w:tcPr>
            <w:tcW w:w="0" w:type="auto"/>
            <w:shd w:val="clear" w:color="auto" w:fill="FFFFFF"/>
            <w:tcMar>
              <w:top w:w="40" w:type="dxa"/>
              <w:left w:w="0" w:type="dxa"/>
              <w:bottom w:w="40" w:type="dxa"/>
              <w:right w:w="20" w:type="dxa"/>
            </w:tcMar>
            <w:vAlign w:val="bottom"/>
          </w:tcPr>
          <w:p w14:paraId="5F2CF5C3" w14:textId="77777777" w:rsidR="00E836FB" w:rsidRDefault="00E836FB">
            <w:pPr>
              <w:jc w:val="right"/>
              <w:rPr>
                <w:rFonts w:ascii="宋体"/>
              </w:rPr>
            </w:pPr>
          </w:p>
        </w:tc>
      </w:tr>
      <w:tr w:rsidR="00E836FB" w14:paraId="5F2CF5DB" w14:textId="77777777">
        <w:tc>
          <w:tcPr>
            <w:tcW w:w="0" w:type="auto"/>
            <w:gridSpan w:val="3"/>
            <w:shd w:val="clear" w:color="auto" w:fill="CCEEFF"/>
            <w:tcMar>
              <w:top w:w="40" w:type="dxa"/>
              <w:left w:w="20" w:type="dxa"/>
              <w:bottom w:w="40" w:type="dxa"/>
              <w:right w:w="20" w:type="dxa"/>
            </w:tcMar>
            <w:vAlign w:val="bottom"/>
          </w:tcPr>
          <w:p w14:paraId="5F2CF5C5" w14:textId="77777777" w:rsidR="00E836FB" w:rsidRDefault="00994958">
            <w:pPr>
              <w:textAlignment w:val="bottom"/>
            </w:pPr>
            <w:r>
              <w:rPr>
                <w:rFonts w:ascii="Arial" w:eastAsia="宋体" w:hAnsi="Arial" w:cs="Arial"/>
                <w:color w:val="000000"/>
                <w:sz w:val="15"/>
                <w:szCs w:val="15"/>
              </w:rPr>
              <w:t>Common stock issued</w:t>
            </w:r>
          </w:p>
        </w:tc>
        <w:tc>
          <w:tcPr>
            <w:tcW w:w="0" w:type="auto"/>
            <w:gridSpan w:val="3"/>
            <w:shd w:val="clear" w:color="auto" w:fill="CCEEFF"/>
            <w:tcMar>
              <w:top w:w="0" w:type="dxa"/>
              <w:left w:w="20" w:type="dxa"/>
              <w:bottom w:w="0" w:type="dxa"/>
              <w:right w:w="20" w:type="dxa"/>
            </w:tcMar>
            <w:vAlign w:val="bottom"/>
          </w:tcPr>
          <w:p w14:paraId="5F2CF5C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C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C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C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C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CC" w14:textId="77777777" w:rsidR="00E836FB" w:rsidRDefault="00994958">
            <w:pPr>
              <w:jc w:val="right"/>
              <w:textAlignment w:val="bottom"/>
            </w:pPr>
            <w:r>
              <w:rPr>
                <w:rFonts w:ascii="Arial" w:eastAsia="宋体" w:hAnsi="Arial" w:cs="Arial"/>
                <w:b/>
                <w:bCs/>
                <w:color w:val="000000"/>
                <w:sz w:val="15"/>
                <w:szCs w:val="15"/>
              </w:rPr>
              <w:t>516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5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C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C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D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D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D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D3" w14:textId="77777777" w:rsidR="00E836FB" w:rsidRDefault="00994958">
            <w:pPr>
              <w:jc w:val="right"/>
              <w:textAlignment w:val="bottom"/>
            </w:pPr>
            <w:r>
              <w:rPr>
                <w:rFonts w:ascii="Arial" w:eastAsia="宋体" w:hAnsi="Arial" w:cs="Arial"/>
                <w:b/>
                <w:bCs/>
                <w:color w:val="000000"/>
                <w:sz w:val="15"/>
                <w:szCs w:val="15"/>
              </w:rPr>
              <w:t>(21,724)</w:t>
            </w:r>
          </w:p>
        </w:tc>
        <w:tc>
          <w:tcPr>
            <w:tcW w:w="0" w:type="auto"/>
            <w:shd w:val="clear" w:color="auto" w:fill="CCEEFF"/>
            <w:tcMar>
              <w:top w:w="40" w:type="dxa"/>
              <w:left w:w="0" w:type="dxa"/>
              <w:bottom w:w="40" w:type="dxa"/>
              <w:right w:w="20" w:type="dxa"/>
            </w:tcMar>
            <w:vAlign w:val="bottom"/>
          </w:tcPr>
          <w:p w14:paraId="5F2CF5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D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D6" w14:textId="77777777" w:rsidR="00E836FB" w:rsidRDefault="00994958">
            <w:pPr>
              <w:jc w:val="right"/>
              <w:textAlignment w:val="bottom"/>
            </w:pPr>
            <w:r>
              <w:rPr>
                <w:rFonts w:ascii="Arial" w:eastAsia="宋体" w:hAnsi="Arial" w:cs="Arial"/>
                <w:b/>
                <w:bCs/>
                <w:color w:val="000000"/>
                <w:sz w:val="15"/>
                <w:szCs w:val="15"/>
              </w:rPr>
              <w:t>1,384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5D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5D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5D9" w14:textId="77777777" w:rsidR="00E836FB" w:rsidRDefault="00994958">
            <w:pPr>
              <w:jc w:val="right"/>
              <w:textAlignment w:val="bottom"/>
            </w:pPr>
            <w:r>
              <w:rPr>
                <w:rFonts w:ascii="Arial" w:eastAsia="宋体" w:hAnsi="Arial" w:cs="Arial"/>
                <w:b/>
                <w:bCs/>
                <w:color w:val="000000"/>
                <w:sz w:val="15"/>
                <w:szCs w:val="15"/>
              </w:rPr>
              <w:t>1,900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5DA" w14:textId="77777777" w:rsidR="00E836FB" w:rsidRDefault="00E836FB">
            <w:pPr>
              <w:jc w:val="right"/>
              <w:rPr>
                <w:rFonts w:ascii="宋体"/>
              </w:rPr>
            </w:pPr>
          </w:p>
        </w:tc>
      </w:tr>
      <w:tr w:rsidR="00E836FB" w14:paraId="5F2CF5F1" w14:textId="77777777">
        <w:tc>
          <w:tcPr>
            <w:tcW w:w="0" w:type="auto"/>
            <w:gridSpan w:val="3"/>
            <w:shd w:val="clear" w:color="auto" w:fill="FFFFFF"/>
            <w:tcMar>
              <w:top w:w="40" w:type="dxa"/>
              <w:left w:w="20" w:type="dxa"/>
              <w:bottom w:w="40" w:type="dxa"/>
              <w:right w:w="20" w:type="dxa"/>
            </w:tcMar>
            <w:vAlign w:val="bottom"/>
          </w:tcPr>
          <w:p w14:paraId="5F2CF5DC" w14:textId="77777777" w:rsidR="00E836FB" w:rsidRDefault="00994958">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5F2CF5DD" w14:textId="77777777" w:rsidR="00E836FB" w:rsidRDefault="00994958">
            <w:pPr>
              <w:jc w:val="right"/>
              <w:textAlignment w:val="bottom"/>
            </w:pPr>
            <w:r>
              <w:rPr>
                <w:rFonts w:ascii="Arial" w:eastAsia="宋体" w:hAnsi="Arial" w:cs="Arial"/>
                <w:b/>
                <w:bCs/>
                <w:color w:val="000000"/>
                <w:sz w:val="15"/>
                <w:szCs w:val="15"/>
              </w:rPr>
              <w:t>(495)</w:t>
            </w:r>
          </w:p>
        </w:tc>
        <w:tc>
          <w:tcPr>
            <w:tcW w:w="0" w:type="auto"/>
            <w:shd w:val="clear" w:color="auto" w:fill="FFFFFF"/>
            <w:tcMar>
              <w:top w:w="40" w:type="dxa"/>
              <w:left w:w="0" w:type="dxa"/>
              <w:bottom w:w="40" w:type="dxa"/>
              <w:right w:w="20" w:type="dxa"/>
            </w:tcMar>
            <w:vAlign w:val="bottom"/>
          </w:tcPr>
          <w:p w14:paraId="5F2CF5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D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E6" w14:textId="77777777" w:rsidR="00E836FB" w:rsidRDefault="00994958">
            <w:pPr>
              <w:jc w:val="right"/>
              <w:textAlignment w:val="bottom"/>
            </w:pPr>
            <w:r>
              <w:rPr>
                <w:rFonts w:ascii="Arial" w:eastAsia="宋体" w:hAnsi="Arial" w:cs="Arial"/>
                <w:b/>
                <w:bCs/>
                <w:color w:val="000000"/>
                <w:sz w:val="15"/>
                <w:szCs w:val="15"/>
              </w:rPr>
              <w:t>(5)</w:t>
            </w:r>
          </w:p>
        </w:tc>
        <w:tc>
          <w:tcPr>
            <w:tcW w:w="0" w:type="auto"/>
            <w:shd w:val="clear" w:color="auto" w:fill="FFFFFF"/>
            <w:tcMar>
              <w:top w:w="40" w:type="dxa"/>
              <w:left w:w="0" w:type="dxa"/>
              <w:bottom w:w="40" w:type="dxa"/>
              <w:right w:w="20" w:type="dxa"/>
            </w:tcMar>
            <w:vAlign w:val="bottom"/>
          </w:tcPr>
          <w:p w14:paraId="5F2CF5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5E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5E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5EF" w14:textId="77777777" w:rsidR="00E836FB" w:rsidRDefault="00994958">
            <w:pPr>
              <w:jc w:val="right"/>
              <w:textAlignment w:val="bottom"/>
            </w:pPr>
            <w:r>
              <w:rPr>
                <w:rFonts w:ascii="Arial" w:eastAsia="宋体" w:hAnsi="Arial" w:cs="Arial"/>
                <w:b/>
                <w:bCs/>
                <w:color w:val="000000"/>
                <w:sz w:val="15"/>
                <w:szCs w:val="15"/>
              </w:rPr>
              <w:t>(500)</w:t>
            </w:r>
          </w:p>
        </w:tc>
        <w:tc>
          <w:tcPr>
            <w:tcW w:w="0" w:type="auto"/>
            <w:shd w:val="clear" w:color="auto" w:fill="FFFFFF"/>
            <w:tcMar>
              <w:top w:w="40" w:type="dxa"/>
              <w:left w:w="0" w:type="dxa"/>
              <w:bottom w:w="40" w:type="dxa"/>
              <w:right w:w="20" w:type="dxa"/>
            </w:tcMar>
            <w:vAlign w:val="bottom"/>
          </w:tcPr>
          <w:p w14:paraId="5F2CF5F0" w14:textId="77777777" w:rsidR="00E836FB" w:rsidRDefault="00E836FB">
            <w:pPr>
              <w:jc w:val="right"/>
              <w:rPr>
                <w:rFonts w:ascii="宋体"/>
              </w:rPr>
            </w:pPr>
          </w:p>
        </w:tc>
      </w:tr>
      <w:tr w:rsidR="00E836FB" w14:paraId="5F2CF604" w14:textId="77777777">
        <w:tc>
          <w:tcPr>
            <w:tcW w:w="0" w:type="auto"/>
            <w:gridSpan w:val="3"/>
            <w:shd w:val="clear" w:color="auto" w:fill="CCEEFF"/>
            <w:tcMar>
              <w:top w:w="40" w:type="dxa"/>
              <w:left w:w="20" w:type="dxa"/>
              <w:bottom w:w="40" w:type="dxa"/>
              <w:right w:w="20" w:type="dxa"/>
            </w:tcMar>
            <w:vAlign w:val="bottom"/>
          </w:tcPr>
          <w:p w14:paraId="5F2CF5F2" w14:textId="77777777" w:rsidR="00E836FB" w:rsidRDefault="00994958">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5F2CF5F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5F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0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0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0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03" w14:textId="77777777" w:rsidR="00E836FB" w:rsidRDefault="00E836FB">
            <w:pPr>
              <w:rPr>
                <w:rFonts w:ascii="宋体"/>
              </w:rPr>
            </w:pPr>
          </w:p>
        </w:tc>
      </w:tr>
      <w:tr w:rsidR="00E836FB" w14:paraId="5F2CF619" w14:textId="77777777">
        <w:tc>
          <w:tcPr>
            <w:tcW w:w="0" w:type="auto"/>
            <w:gridSpan w:val="3"/>
            <w:shd w:val="clear" w:color="auto" w:fill="FFFFFF"/>
            <w:tcMar>
              <w:top w:w="40" w:type="dxa"/>
              <w:left w:w="20" w:type="dxa"/>
              <w:bottom w:w="40" w:type="dxa"/>
              <w:right w:w="20" w:type="dxa"/>
            </w:tcMar>
            <w:vAlign w:val="bottom"/>
          </w:tcPr>
          <w:p w14:paraId="5F2CF605" w14:textId="77777777" w:rsidR="00E836FB" w:rsidRDefault="00994958">
            <w:pPr>
              <w:textAlignment w:val="bottom"/>
            </w:pPr>
            <w:r>
              <w:rPr>
                <w:rFonts w:ascii="Arial" w:eastAsia="宋体" w:hAnsi="Arial" w:cs="Arial"/>
                <w:color w:val="000000"/>
                <w:sz w:val="15"/>
                <w:szCs w:val="15"/>
              </w:rPr>
              <w:t>Common stock - $2.18 per share</w:t>
            </w:r>
          </w:p>
        </w:tc>
        <w:tc>
          <w:tcPr>
            <w:tcW w:w="0" w:type="auto"/>
            <w:gridSpan w:val="3"/>
            <w:shd w:val="clear" w:color="auto" w:fill="FFFFFF"/>
            <w:tcMar>
              <w:top w:w="0" w:type="dxa"/>
              <w:left w:w="20" w:type="dxa"/>
              <w:bottom w:w="0" w:type="dxa"/>
              <w:right w:w="20" w:type="dxa"/>
            </w:tcMar>
            <w:vAlign w:val="bottom"/>
          </w:tcPr>
          <w:p w14:paraId="5F2CF60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0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0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0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0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0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0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0E" w14:textId="77777777" w:rsidR="00E836FB" w:rsidRDefault="00994958">
            <w:pPr>
              <w:jc w:val="right"/>
              <w:textAlignment w:val="bottom"/>
            </w:pPr>
            <w:r>
              <w:rPr>
                <w:rFonts w:ascii="Arial" w:eastAsia="宋体" w:hAnsi="Arial" w:cs="Arial"/>
                <w:b/>
                <w:bCs/>
                <w:color w:val="000000"/>
                <w:sz w:val="15"/>
                <w:szCs w:val="15"/>
              </w:rPr>
              <w:t>(779)</w:t>
            </w:r>
          </w:p>
        </w:tc>
        <w:tc>
          <w:tcPr>
            <w:tcW w:w="0" w:type="auto"/>
            <w:shd w:val="clear" w:color="auto" w:fill="FFFFFF"/>
            <w:tcMar>
              <w:top w:w="40" w:type="dxa"/>
              <w:left w:w="0" w:type="dxa"/>
              <w:bottom w:w="40" w:type="dxa"/>
              <w:right w:w="20" w:type="dxa"/>
            </w:tcMar>
            <w:vAlign w:val="bottom"/>
          </w:tcPr>
          <w:p w14:paraId="5F2CF6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61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1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1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1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1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1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1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17" w14:textId="77777777" w:rsidR="00E836FB" w:rsidRDefault="00994958">
            <w:pPr>
              <w:jc w:val="right"/>
              <w:textAlignment w:val="bottom"/>
            </w:pPr>
            <w:r>
              <w:rPr>
                <w:rFonts w:ascii="Arial" w:eastAsia="宋体" w:hAnsi="Arial" w:cs="Arial"/>
                <w:b/>
                <w:bCs/>
                <w:color w:val="000000"/>
                <w:sz w:val="15"/>
                <w:szCs w:val="15"/>
              </w:rPr>
              <w:t>(779)</w:t>
            </w:r>
          </w:p>
        </w:tc>
        <w:tc>
          <w:tcPr>
            <w:tcW w:w="0" w:type="auto"/>
            <w:shd w:val="clear" w:color="auto" w:fill="FFFFFF"/>
            <w:tcMar>
              <w:top w:w="40" w:type="dxa"/>
              <w:left w:w="0" w:type="dxa"/>
              <w:bottom w:w="40" w:type="dxa"/>
              <w:right w:w="20" w:type="dxa"/>
            </w:tcMar>
            <w:vAlign w:val="bottom"/>
          </w:tcPr>
          <w:p w14:paraId="5F2CF618" w14:textId="77777777" w:rsidR="00E836FB" w:rsidRDefault="00E836FB">
            <w:pPr>
              <w:jc w:val="right"/>
              <w:rPr>
                <w:rFonts w:ascii="宋体"/>
              </w:rPr>
            </w:pPr>
          </w:p>
        </w:tc>
      </w:tr>
      <w:tr w:rsidR="00E836FB" w14:paraId="5F2CF62E" w14:textId="77777777">
        <w:tc>
          <w:tcPr>
            <w:tcW w:w="0" w:type="auto"/>
            <w:gridSpan w:val="3"/>
            <w:shd w:val="clear" w:color="auto" w:fill="CCEEFF"/>
            <w:tcMar>
              <w:top w:w="40" w:type="dxa"/>
              <w:left w:w="140" w:type="dxa"/>
              <w:bottom w:w="40" w:type="dxa"/>
              <w:right w:w="20" w:type="dxa"/>
            </w:tcMar>
            <w:vAlign w:val="bottom"/>
          </w:tcPr>
          <w:p w14:paraId="5F2CF61A" w14:textId="77777777" w:rsidR="00E836FB" w:rsidRDefault="00994958">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5F2CF61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1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1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1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1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623" w14:textId="77777777" w:rsidR="00E836FB" w:rsidRDefault="00994958">
            <w:pPr>
              <w:jc w:val="right"/>
              <w:textAlignment w:val="bottom"/>
            </w:pPr>
            <w:r>
              <w:rPr>
                <w:rFonts w:ascii="Arial" w:eastAsia="宋体" w:hAnsi="Arial" w:cs="Arial"/>
                <w:b/>
                <w:bCs/>
                <w:color w:val="000000"/>
                <w:sz w:val="15"/>
                <w:szCs w:val="15"/>
              </w:rPr>
              <w:t>(114)</w:t>
            </w:r>
          </w:p>
        </w:tc>
        <w:tc>
          <w:tcPr>
            <w:tcW w:w="0" w:type="auto"/>
            <w:shd w:val="clear" w:color="auto" w:fill="CCEEFF"/>
            <w:tcMar>
              <w:top w:w="40" w:type="dxa"/>
              <w:left w:w="0" w:type="dxa"/>
              <w:bottom w:w="40" w:type="dxa"/>
              <w:right w:w="20" w:type="dxa"/>
            </w:tcMar>
            <w:vAlign w:val="bottom"/>
          </w:tcPr>
          <w:p w14:paraId="5F2CF6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2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62C" w14:textId="77777777" w:rsidR="00E836FB" w:rsidRDefault="00994958">
            <w:pPr>
              <w:jc w:val="right"/>
              <w:textAlignment w:val="bottom"/>
            </w:pPr>
            <w:r>
              <w:rPr>
                <w:rFonts w:ascii="Arial" w:eastAsia="宋体" w:hAnsi="Arial" w:cs="Arial"/>
                <w:b/>
                <w:bCs/>
                <w:color w:val="000000"/>
                <w:sz w:val="15"/>
                <w:szCs w:val="15"/>
              </w:rPr>
              <w:t>(114)</w:t>
            </w:r>
          </w:p>
        </w:tc>
        <w:tc>
          <w:tcPr>
            <w:tcW w:w="0" w:type="auto"/>
            <w:shd w:val="clear" w:color="auto" w:fill="CCEEFF"/>
            <w:tcMar>
              <w:top w:w="40" w:type="dxa"/>
              <w:left w:w="0" w:type="dxa"/>
              <w:bottom w:w="40" w:type="dxa"/>
              <w:right w:w="20" w:type="dxa"/>
            </w:tcMar>
            <w:vAlign w:val="bottom"/>
          </w:tcPr>
          <w:p w14:paraId="5F2CF62D" w14:textId="77777777" w:rsidR="00E836FB" w:rsidRDefault="00E836FB">
            <w:pPr>
              <w:jc w:val="right"/>
              <w:rPr>
                <w:rFonts w:ascii="宋体"/>
              </w:rPr>
            </w:pPr>
          </w:p>
        </w:tc>
      </w:tr>
      <w:tr w:rsidR="00E836FB" w14:paraId="5F2CF644" w14:textId="77777777">
        <w:tc>
          <w:tcPr>
            <w:tcW w:w="0" w:type="auto"/>
            <w:gridSpan w:val="3"/>
            <w:shd w:val="clear" w:color="auto" w:fill="FFFFFF"/>
            <w:tcMar>
              <w:top w:w="40" w:type="dxa"/>
              <w:left w:w="20" w:type="dxa"/>
              <w:bottom w:w="40" w:type="dxa"/>
              <w:right w:w="20" w:type="dxa"/>
            </w:tcMar>
            <w:vAlign w:val="bottom"/>
          </w:tcPr>
          <w:p w14:paraId="5F2CF62F" w14:textId="77777777" w:rsidR="00E836FB" w:rsidRDefault="00994958">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5F2CF63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3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3C" w14:textId="77777777" w:rsidR="00E836FB" w:rsidRDefault="00994958">
            <w:pPr>
              <w:jc w:val="right"/>
              <w:textAlignment w:val="bottom"/>
            </w:pPr>
            <w:r>
              <w:rPr>
                <w:rFonts w:ascii="Arial" w:eastAsia="宋体" w:hAnsi="Arial" w:cs="Arial"/>
                <w:b/>
                <w:bCs/>
                <w:color w:val="000000"/>
                <w:sz w:val="15"/>
                <w:szCs w:val="15"/>
              </w:rPr>
              <w:t>11,250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6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6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3F" w14:textId="77777777" w:rsidR="00E836FB" w:rsidRDefault="00994958">
            <w:pPr>
              <w:jc w:val="right"/>
              <w:textAlignment w:val="bottom"/>
            </w:pPr>
            <w:r>
              <w:rPr>
                <w:rFonts w:ascii="Arial" w:eastAsia="宋体" w:hAnsi="Arial" w:cs="Arial"/>
                <w:b/>
                <w:bCs/>
                <w:color w:val="000000"/>
                <w:sz w:val="15"/>
                <w:szCs w:val="15"/>
              </w:rPr>
              <w:t>(900)</w:t>
            </w:r>
          </w:p>
        </w:tc>
        <w:tc>
          <w:tcPr>
            <w:tcW w:w="0" w:type="auto"/>
            <w:shd w:val="clear" w:color="auto" w:fill="FFFFFF"/>
            <w:tcMar>
              <w:top w:w="40" w:type="dxa"/>
              <w:left w:w="0" w:type="dxa"/>
              <w:bottom w:w="40" w:type="dxa"/>
              <w:right w:w="20" w:type="dxa"/>
            </w:tcMar>
            <w:vAlign w:val="bottom"/>
          </w:tcPr>
          <w:p w14:paraId="5F2CF6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6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42" w14:textId="77777777" w:rsidR="00E836FB" w:rsidRDefault="00994958">
            <w:pPr>
              <w:jc w:val="right"/>
              <w:textAlignment w:val="bottom"/>
            </w:pPr>
            <w:r>
              <w:rPr>
                <w:rFonts w:ascii="Arial" w:eastAsia="宋体" w:hAnsi="Arial" w:cs="Arial"/>
                <w:b/>
                <w:bCs/>
                <w:color w:val="000000"/>
                <w:sz w:val="15"/>
                <w:szCs w:val="15"/>
              </w:rPr>
              <w:t>(900)</w:t>
            </w:r>
          </w:p>
        </w:tc>
        <w:tc>
          <w:tcPr>
            <w:tcW w:w="0" w:type="auto"/>
            <w:shd w:val="clear" w:color="auto" w:fill="FFFFFF"/>
            <w:tcMar>
              <w:top w:w="40" w:type="dxa"/>
              <w:left w:w="0" w:type="dxa"/>
              <w:bottom w:w="40" w:type="dxa"/>
              <w:right w:w="20" w:type="dxa"/>
            </w:tcMar>
            <w:vAlign w:val="bottom"/>
          </w:tcPr>
          <w:p w14:paraId="5F2CF643" w14:textId="77777777" w:rsidR="00E836FB" w:rsidRDefault="00E836FB">
            <w:pPr>
              <w:jc w:val="right"/>
              <w:rPr>
                <w:rFonts w:ascii="宋体"/>
              </w:rPr>
            </w:pPr>
          </w:p>
        </w:tc>
      </w:tr>
      <w:tr w:rsidR="00E836FB" w14:paraId="5F2CF65B" w14:textId="77777777">
        <w:tc>
          <w:tcPr>
            <w:tcW w:w="0" w:type="auto"/>
            <w:gridSpan w:val="3"/>
            <w:shd w:val="clear" w:color="auto" w:fill="CCEEFF"/>
            <w:tcMar>
              <w:top w:w="40" w:type="dxa"/>
              <w:left w:w="20" w:type="dxa"/>
              <w:bottom w:w="40" w:type="dxa"/>
              <w:right w:w="20" w:type="dxa"/>
            </w:tcMar>
            <w:vAlign w:val="bottom"/>
          </w:tcPr>
          <w:p w14:paraId="5F2CF645" w14:textId="77777777" w:rsidR="00E836FB" w:rsidRDefault="00994958">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5F2CF64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4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4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4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4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4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64C" w14:textId="77777777" w:rsidR="00E836FB" w:rsidRDefault="00994958">
            <w:pPr>
              <w:jc w:val="right"/>
              <w:textAlignment w:val="bottom"/>
            </w:pPr>
            <w:r>
              <w:rPr>
                <w:rFonts w:ascii="Arial" w:eastAsia="宋体" w:hAnsi="Arial" w:cs="Arial"/>
                <w:b/>
                <w:bCs/>
                <w:color w:val="000000"/>
                <w:sz w:val="15"/>
                <w:szCs w:val="15"/>
              </w:rPr>
              <w:t>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6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4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4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5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5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65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653" w14:textId="77777777" w:rsidR="00E836FB" w:rsidRDefault="00994958">
            <w:pPr>
              <w:jc w:val="right"/>
              <w:textAlignment w:val="bottom"/>
            </w:pPr>
            <w:r>
              <w:rPr>
                <w:rFonts w:ascii="Arial" w:eastAsia="宋体" w:hAnsi="Arial" w:cs="Arial"/>
                <w:b/>
                <w:bCs/>
                <w:color w:val="000000"/>
                <w:sz w:val="15"/>
                <w:szCs w:val="15"/>
              </w:rPr>
              <w:t>(2,350)</w:t>
            </w:r>
          </w:p>
        </w:tc>
        <w:tc>
          <w:tcPr>
            <w:tcW w:w="0" w:type="auto"/>
            <w:shd w:val="clear" w:color="auto" w:fill="CCEEFF"/>
            <w:tcMar>
              <w:top w:w="40" w:type="dxa"/>
              <w:left w:w="0" w:type="dxa"/>
              <w:bottom w:w="40" w:type="dxa"/>
              <w:right w:w="20" w:type="dxa"/>
            </w:tcMar>
            <w:vAlign w:val="bottom"/>
          </w:tcPr>
          <w:p w14:paraId="5F2CF65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5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656" w14:textId="77777777" w:rsidR="00E836FB" w:rsidRDefault="00994958">
            <w:pPr>
              <w:jc w:val="right"/>
              <w:textAlignment w:val="bottom"/>
            </w:pPr>
            <w:r>
              <w:rPr>
                <w:rFonts w:ascii="Arial" w:eastAsia="宋体" w:hAnsi="Arial" w:cs="Arial"/>
                <w:b/>
                <w:bCs/>
                <w:color w:val="000000"/>
                <w:sz w:val="15"/>
                <w:szCs w:val="15"/>
              </w:rPr>
              <w:t>116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6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5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659" w14:textId="77777777" w:rsidR="00E836FB" w:rsidRDefault="00994958">
            <w:pPr>
              <w:jc w:val="right"/>
              <w:textAlignment w:val="bottom"/>
            </w:pPr>
            <w:r>
              <w:rPr>
                <w:rFonts w:ascii="Arial" w:eastAsia="宋体" w:hAnsi="Arial" w:cs="Arial"/>
                <w:b/>
                <w:bCs/>
                <w:color w:val="000000"/>
                <w:sz w:val="15"/>
                <w:szCs w:val="15"/>
              </w:rPr>
              <w:t>164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65A" w14:textId="77777777" w:rsidR="00E836FB" w:rsidRDefault="00E836FB">
            <w:pPr>
              <w:jc w:val="right"/>
              <w:rPr>
                <w:rFonts w:ascii="宋体"/>
              </w:rPr>
            </w:pPr>
          </w:p>
        </w:tc>
      </w:tr>
      <w:tr w:rsidR="00E836FB" w14:paraId="5F2CF673" w14:textId="77777777">
        <w:tc>
          <w:tcPr>
            <w:tcW w:w="0" w:type="auto"/>
            <w:gridSpan w:val="3"/>
            <w:shd w:val="clear" w:color="auto" w:fill="FFFFFF"/>
            <w:tcMar>
              <w:top w:w="40" w:type="dxa"/>
              <w:left w:w="20" w:type="dxa"/>
              <w:bottom w:w="40" w:type="dxa"/>
              <w:right w:w="20" w:type="dxa"/>
            </w:tcMar>
            <w:vAlign w:val="bottom"/>
          </w:tcPr>
          <w:p w14:paraId="5F2CF65C" w14:textId="77777777" w:rsidR="00E836FB" w:rsidRDefault="00994958">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5F2CF65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5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5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6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6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6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63" w14:textId="77777777" w:rsidR="00E836FB" w:rsidRDefault="00994958">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66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66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66"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66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66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6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6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6B" w14:textId="77777777" w:rsidR="00E836FB" w:rsidRDefault="00994958">
            <w:pPr>
              <w:jc w:val="right"/>
              <w:textAlignment w:val="bottom"/>
            </w:pPr>
            <w:r>
              <w:rPr>
                <w:rFonts w:ascii="Arial" w:eastAsia="宋体" w:hAnsi="Arial" w:cs="Arial"/>
                <w:b/>
                <w:bCs/>
                <w:color w:val="000000"/>
                <w:sz w:val="15"/>
                <w:szCs w:val="15"/>
              </w:rPr>
              <w:t>(2)</w:t>
            </w:r>
          </w:p>
        </w:tc>
        <w:tc>
          <w:tcPr>
            <w:tcW w:w="0" w:type="auto"/>
            <w:shd w:val="clear" w:color="auto" w:fill="FFFFFF"/>
            <w:tcMar>
              <w:top w:w="40" w:type="dxa"/>
              <w:left w:w="0" w:type="dxa"/>
              <w:bottom w:w="40" w:type="dxa"/>
              <w:right w:w="20" w:type="dxa"/>
            </w:tcMar>
            <w:vAlign w:val="bottom"/>
          </w:tcPr>
          <w:p w14:paraId="5F2CF6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6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6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6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6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671" w14:textId="77777777" w:rsidR="00E836FB" w:rsidRDefault="00994958">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672" w14:textId="77777777" w:rsidR="00E836FB" w:rsidRDefault="00E836FB">
            <w:pPr>
              <w:jc w:val="right"/>
              <w:rPr>
                <w:rFonts w:ascii="宋体"/>
              </w:rPr>
            </w:pPr>
          </w:p>
        </w:tc>
      </w:tr>
      <w:tr w:rsidR="00E836FB" w14:paraId="5F2CF696" w14:textId="77777777">
        <w:tc>
          <w:tcPr>
            <w:tcW w:w="0" w:type="auto"/>
            <w:gridSpan w:val="3"/>
            <w:shd w:val="clear" w:color="auto" w:fill="CCEEFF"/>
            <w:tcMar>
              <w:top w:w="40" w:type="dxa"/>
              <w:left w:w="20" w:type="dxa"/>
              <w:bottom w:w="40" w:type="dxa"/>
              <w:right w:w="20" w:type="dxa"/>
            </w:tcMar>
            <w:vAlign w:val="bottom"/>
          </w:tcPr>
          <w:p w14:paraId="5F2CF674" w14:textId="77777777" w:rsidR="00E836FB" w:rsidRDefault="00994958">
            <w:pPr>
              <w:textAlignment w:val="bottom"/>
            </w:pPr>
            <w:r>
              <w:rPr>
                <w:rFonts w:ascii="Arial" w:eastAsia="宋体" w:hAnsi="Arial" w:cs="Arial"/>
                <w:b/>
                <w:bCs/>
                <w:color w:val="000000"/>
                <w:sz w:val="15"/>
                <w:szCs w:val="15"/>
              </w:rPr>
              <w:t>Balance at December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75"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676" w14:textId="77777777" w:rsidR="00E836FB" w:rsidRDefault="00994958">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7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78"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79" w14:textId="77777777" w:rsidR="00E836FB" w:rsidRDefault="00994958">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7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7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7C"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67D" w14:textId="77777777" w:rsidR="00E836FB" w:rsidRDefault="00994958">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7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8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681" w14:textId="77777777" w:rsidR="00E836FB" w:rsidRDefault="00994958">
            <w:pPr>
              <w:jc w:val="right"/>
              <w:textAlignment w:val="bottom"/>
            </w:pPr>
            <w:r>
              <w:rPr>
                <w:rFonts w:ascii="Arial" w:eastAsia="宋体" w:hAnsi="Arial" w:cs="Arial"/>
                <w:b/>
                <w:bCs/>
                <w:color w:val="000000"/>
                <w:sz w:val="15"/>
                <w:szCs w:val="15"/>
              </w:rPr>
              <w:t>10,787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83"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84"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685" w14:textId="77777777" w:rsidR="00E836FB" w:rsidRDefault="00994958">
            <w:pPr>
              <w:jc w:val="right"/>
              <w:textAlignment w:val="bottom"/>
            </w:pPr>
            <w:r>
              <w:rPr>
                <w:rFonts w:ascii="Arial" w:eastAsia="宋体" w:hAnsi="Arial" w:cs="Arial"/>
                <w:b/>
                <w:bCs/>
                <w:color w:val="000000"/>
                <w:sz w:val="15"/>
                <w:szCs w:val="15"/>
              </w:rPr>
              <w:t>25,238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87"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88"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689" w14:textId="77777777" w:rsidR="00E836FB" w:rsidRDefault="00994958">
            <w:pPr>
              <w:jc w:val="right"/>
              <w:textAlignment w:val="bottom"/>
            </w:pPr>
            <w:r>
              <w:rPr>
                <w:rFonts w:ascii="Arial" w:eastAsia="宋体" w:hAnsi="Arial" w:cs="Arial"/>
                <w:b/>
                <w:bCs/>
                <w:color w:val="000000"/>
                <w:sz w:val="15"/>
                <w:szCs w:val="15"/>
              </w:rPr>
              <w:t>(1,133)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8B"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8C" w14:textId="77777777" w:rsidR="00E836FB" w:rsidRDefault="00994958">
            <w:pPr>
              <w:jc w:val="right"/>
              <w:textAlignment w:val="bottom"/>
            </w:pPr>
            <w:r>
              <w:rPr>
                <w:rFonts w:ascii="Arial" w:eastAsia="宋体" w:hAnsi="Arial" w:cs="Arial"/>
                <w:b/>
                <w:bCs/>
                <w:color w:val="000000"/>
                <w:sz w:val="15"/>
                <w:szCs w:val="15"/>
              </w:rPr>
              <w:t>137,897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8D" w14:textId="77777777" w:rsidR="00E836FB" w:rsidRDefault="00E836FB">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bottom"/>
          </w:tcPr>
          <w:p w14:paraId="5F2CF68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8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690" w14:textId="77777777" w:rsidR="00E836FB" w:rsidRDefault="00994958">
            <w:pPr>
              <w:jc w:val="right"/>
              <w:textAlignment w:val="bottom"/>
            </w:pPr>
            <w:r>
              <w:rPr>
                <w:rFonts w:ascii="Arial" w:eastAsia="宋体" w:hAnsi="Arial" w:cs="Arial"/>
                <w:b/>
                <w:bCs/>
                <w:color w:val="000000"/>
                <w:sz w:val="15"/>
                <w:szCs w:val="15"/>
              </w:rPr>
              <w:t>(10,009)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69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CF69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CF694" w14:textId="77777777" w:rsidR="00E836FB" w:rsidRDefault="00994958">
            <w:pPr>
              <w:jc w:val="right"/>
              <w:textAlignment w:val="bottom"/>
            </w:pPr>
            <w:r>
              <w:rPr>
                <w:rFonts w:ascii="Arial" w:eastAsia="宋体" w:hAnsi="Arial" w:cs="Arial"/>
                <w:b/>
                <w:bCs/>
                <w:color w:val="000000"/>
                <w:sz w:val="15"/>
                <w:szCs w:val="15"/>
              </w:rPr>
              <w:t>27,363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CF695" w14:textId="77777777" w:rsidR="00E836FB" w:rsidRDefault="00E836FB">
            <w:pPr>
              <w:jc w:val="right"/>
              <w:rPr>
                <w:rFonts w:ascii="宋体"/>
              </w:rPr>
            </w:pPr>
          </w:p>
        </w:tc>
      </w:tr>
      <w:tr w:rsidR="00E836FB" w14:paraId="5F2CF6A9" w14:textId="77777777">
        <w:trPr>
          <w:hidden/>
        </w:trPr>
        <w:tc>
          <w:tcPr>
            <w:tcW w:w="0" w:type="auto"/>
            <w:gridSpan w:val="3"/>
            <w:shd w:val="clear" w:color="auto" w:fill="auto"/>
            <w:vAlign w:val="bottom"/>
          </w:tcPr>
          <w:p w14:paraId="5F2CF697" w14:textId="77777777" w:rsidR="00E836FB" w:rsidRDefault="00E836FB">
            <w:pPr>
              <w:rPr>
                <w:rFonts w:ascii="宋体"/>
                <w:vanish/>
              </w:rPr>
            </w:pPr>
          </w:p>
        </w:tc>
        <w:tc>
          <w:tcPr>
            <w:tcW w:w="0" w:type="auto"/>
            <w:gridSpan w:val="3"/>
            <w:shd w:val="clear" w:color="auto" w:fill="auto"/>
            <w:vAlign w:val="bottom"/>
          </w:tcPr>
          <w:p w14:paraId="5F2CF698" w14:textId="77777777" w:rsidR="00E836FB" w:rsidRDefault="00E836FB">
            <w:pPr>
              <w:rPr>
                <w:rFonts w:ascii="宋体"/>
                <w:vanish/>
              </w:rPr>
            </w:pPr>
          </w:p>
        </w:tc>
        <w:tc>
          <w:tcPr>
            <w:tcW w:w="0" w:type="auto"/>
            <w:gridSpan w:val="3"/>
            <w:shd w:val="clear" w:color="auto" w:fill="auto"/>
            <w:vAlign w:val="bottom"/>
          </w:tcPr>
          <w:p w14:paraId="5F2CF699" w14:textId="77777777" w:rsidR="00E836FB" w:rsidRDefault="00E836FB">
            <w:pPr>
              <w:rPr>
                <w:rFonts w:ascii="宋体"/>
                <w:vanish/>
              </w:rPr>
            </w:pPr>
          </w:p>
        </w:tc>
        <w:tc>
          <w:tcPr>
            <w:tcW w:w="0" w:type="auto"/>
            <w:gridSpan w:val="3"/>
            <w:shd w:val="clear" w:color="auto" w:fill="auto"/>
            <w:vAlign w:val="bottom"/>
          </w:tcPr>
          <w:p w14:paraId="5F2CF69A" w14:textId="77777777" w:rsidR="00E836FB" w:rsidRDefault="00E836FB">
            <w:pPr>
              <w:rPr>
                <w:rFonts w:ascii="宋体"/>
                <w:vanish/>
              </w:rPr>
            </w:pPr>
          </w:p>
        </w:tc>
        <w:tc>
          <w:tcPr>
            <w:tcW w:w="0" w:type="auto"/>
            <w:gridSpan w:val="3"/>
            <w:shd w:val="clear" w:color="auto" w:fill="auto"/>
            <w:vAlign w:val="bottom"/>
          </w:tcPr>
          <w:p w14:paraId="5F2CF69B" w14:textId="77777777" w:rsidR="00E836FB" w:rsidRDefault="00E836FB">
            <w:pPr>
              <w:rPr>
                <w:rFonts w:ascii="宋体"/>
                <w:vanish/>
              </w:rPr>
            </w:pPr>
          </w:p>
        </w:tc>
        <w:tc>
          <w:tcPr>
            <w:tcW w:w="0" w:type="auto"/>
            <w:gridSpan w:val="3"/>
            <w:shd w:val="clear" w:color="auto" w:fill="auto"/>
            <w:vAlign w:val="bottom"/>
          </w:tcPr>
          <w:p w14:paraId="5F2CF69C" w14:textId="77777777" w:rsidR="00E836FB" w:rsidRDefault="00E836FB">
            <w:pPr>
              <w:rPr>
                <w:rFonts w:ascii="宋体"/>
                <w:vanish/>
              </w:rPr>
            </w:pPr>
          </w:p>
        </w:tc>
        <w:tc>
          <w:tcPr>
            <w:tcW w:w="0" w:type="auto"/>
            <w:gridSpan w:val="3"/>
            <w:shd w:val="clear" w:color="auto" w:fill="auto"/>
            <w:vAlign w:val="bottom"/>
          </w:tcPr>
          <w:p w14:paraId="5F2CF69D" w14:textId="77777777" w:rsidR="00E836FB" w:rsidRDefault="00E836FB">
            <w:pPr>
              <w:rPr>
                <w:rFonts w:ascii="宋体"/>
                <w:vanish/>
              </w:rPr>
            </w:pPr>
          </w:p>
        </w:tc>
        <w:tc>
          <w:tcPr>
            <w:tcW w:w="0" w:type="auto"/>
            <w:gridSpan w:val="3"/>
            <w:shd w:val="clear" w:color="auto" w:fill="auto"/>
            <w:vAlign w:val="bottom"/>
          </w:tcPr>
          <w:p w14:paraId="5F2CF69E" w14:textId="77777777" w:rsidR="00E836FB" w:rsidRDefault="00E836FB">
            <w:pPr>
              <w:rPr>
                <w:rFonts w:ascii="宋体"/>
                <w:vanish/>
              </w:rPr>
            </w:pPr>
          </w:p>
        </w:tc>
        <w:tc>
          <w:tcPr>
            <w:tcW w:w="0" w:type="auto"/>
            <w:gridSpan w:val="3"/>
            <w:shd w:val="clear" w:color="auto" w:fill="auto"/>
            <w:vAlign w:val="bottom"/>
          </w:tcPr>
          <w:p w14:paraId="5F2CF69F" w14:textId="77777777" w:rsidR="00E836FB" w:rsidRDefault="00E836FB">
            <w:pPr>
              <w:rPr>
                <w:rFonts w:ascii="宋体"/>
                <w:vanish/>
              </w:rPr>
            </w:pPr>
          </w:p>
        </w:tc>
        <w:tc>
          <w:tcPr>
            <w:tcW w:w="0" w:type="auto"/>
            <w:gridSpan w:val="3"/>
            <w:shd w:val="clear" w:color="auto" w:fill="auto"/>
            <w:vAlign w:val="bottom"/>
          </w:tcPr>
          <w:p w14:paraId="5F2CF6A0" w14:textId="77777777" w:rsidR="00E836FB" w:rsidRDefault="00E836FB">
            <w:pPr>
              <w:rPr>
                <w:rFonts w:ascii="宋体"/>
                <w:vanish/>
              </w:rPr>
            </w:pPr>
          </w:p>
        </w:tc>
        <w:tc>
          <w:tcPr>
            <w:tcW w:w="0" w:type="auto"/>
            <w:gridSpan w:val="3"/>
            <w:shd w:val="clear" w:color="auto" w:fill="auto"/>
            <w:vAlign w:val="bottom"/>
          </w:tcPr>
          <w:p w14:paraId="5F2CF6A1" w14:textId="77777777" w:rsidR="00E836FB" w:rsidRDefault="00E836FB">
            <w:pPr>
              <w:rPr>
                <w:rFonts w:ascii="宋体"/>
                <w:vanish/>
              </w:rPr>
            </w:pPr>
          </w:p>
        </w:tc>
        <w:tc>
          <w:tcPr>
            <w:tcW w:w="0" w:type="auto"/>
            <w:gridSpan w:val="3"/>
            <w:shd w:val="clear" w:color="auto" w:fill="auto"/>
            <w:vAlign w:val="bottom"/>
          </w:tcPr>
          <w:p w14:paraId="5F2CF6A2" w14:textId="77777777" w:rsidR="00E836FB" w:rsidRDefault="00E836FB">
            <w:pPr>
              <w:rPr>
                <w:rFonts w:ascii="宋体"/>
                <w:vanish/>
              </w:rPr>
            </w:pPr>
          </w:p>
        </w:tc>
        <w:tc>
          <w:tcPr>
            <w:tcW w:w="0" w:type="auto"/>
            <w:gridSpan w:val="3"/>
            <w:shd w:val="clear" w:color="auto" w:fill="auto"/>
            <w:vAlign w:val="bottom"/>
          </w:tcPr>
          <w:p w14:paraId="5F2CF6A3" w14:textId="77777777" w:rsidR="00E836FB" w:rsidRDefault="00E836FB">
            <w:pPr>
              <w:rPr>
                <w:rFonts w:ascii="宋体"/>
                <w:vanish/>
              </w:rPr>
            </w:pPr>
          </w:p>
        </w:tc>
        <w:tc>
          <w:tcPr>
            <w:tcW w:w="0" w:type="auto"/>
            <w:gridSpan w:val="3"/>
            <w:shd w:val="clear" w:color="auto" w:fill="auto"/>
            <w:vAlign w:val="bottom"/>
          </w:tcPr>
          <w:p w14:paraId="5F2CF6A4" w14:textId="77777777" w:rsidR="00E836FB" w:rsidRDefault="00E836FB">
            <w:pPr>
              <w:rPr>
                <w:rFonts w:ascii="宋体"/>
                <w:vanish/>
              </w:rPr>
            </w:pPr>
          </w:p>
        </w:tc>
        <w:tc>
          <w:tcPr>
            <w:tcW w:w="0" w:type="auto"/>
            <w:gridSpan w:val="3"/>
            <w:shd w:val="clear" w:color="auto" w:fill="auto"/>
            <w:vAlign w:val="bottom"/>
          </w:tcPr>
          <w:p w14:paraId="5F2CF6A5" w14:textId="77777777" w:rsidR="00E836FB" w:rsidRDefault="00E836FB">
            <w:pPr>
              <w:rPr>
                <w:rFonts w:ascii="宋体"/>
                <w:vanish/>
              </w:rPr>
            </w:pPr>
          </w:p>
        </w:tc>
        <w:tc>
          <w:tcPr>
            <w:tcW w:w="0" w:type="auto"/>
            <w:gridSpan w:val="3"/>
            <w:shd w:val="clear" w:color="auto" w:fill="auto"/>
            <w:vAlign w:val="bottom"/>
          </w:tcPr>
          <w:p w14:paraId="5F2CF6A6" w14:textId="77777777" w:rsidR="00E836FB" w:rsidRDefault="00E836FB">
            <w:pPr>
              <w:rPr>
                <w:rFonts w:ascii="宋体"/>
                <w:vanish/>
              </w:rPr>
            </w:pPr>
          </w:p>
        </w:tc>
        <w:tc>
          <w:tcPr>
            <w:tcW w:w="0" w:type="auto"/>
            <w:gridSpan w:val="3"/>
            <w:shd w:val="clear" w:color="auto" w:fill="auto"/>
            <w:vAlign w:val="bottom"/>
          </w:tcPr>
          <w:p w14:paraId="5F2CF6A7" w14:textId="77777777" w:rsidR="00E836FB" w:rsidRDefault="00E836FB">
            <w:pPr>
              <w:rPr>
                <w:rFonts w:ascii="宋体"/>
                <w:vanish/>
              </w:rPr>
            </w:pPr>
          </w:p>
        </w:tc>
        <w:tc>
          <w:tcPr>
            <w:tcW w:w="0" w:type="auto"/>
            <w:gridSpan w:val="3"/>
            <w:shd w:val="clear" w:color="auto" w:fill="auto"/>
            <w:vAlign w:val="bottom"/>
          </w:tcPr>
          <w:p w14:paraId="5F2CF6A8" w14:textId="77777777" w:rsidR="00E836FB" w:rsidRDefault="00E836FB">
            <w:pPr>
              <w:rPr>
                <w:rFonts w:ascii="宋体"/>
                <w:vanish/>
              </w:rPr>
            </w:pPr>
          </w:p>
        </w:tc>
      </w:tr>
    </w:tbl>
    <w:p w14:paraId="5F2CF6AA" w14:textId="77777777" w:rsidR="00E836FB" w:rsidRDefault="00E836F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868"/>
        <w:gridCol w:w="36"/>
        <w:gridCol w:w="69"/>
        <w:gridCol w:w="1564"/>
        <w:gridCol w:w="36"/>
        <w:gridCol w:w="69"/>
        <w:gridCol w:w="1564"/>
        <w:gridCol w:w="36"/>
        <w:gridCol w:w="70"/>
        <w:gridCol w:w="1567"/>
        <w:gridCol w:w="36"/>
      </w:tblGrid>
      <w:tr w:rsidR="00E836FB" w14:paraId="5F2CF6BA" w14:textId="77777777">
        <w:tc>
          <w:tcPr>
            <w:tcW w:w="50" w:type="pct"/>
            <w:shd w:val="clear" w:color="auto" w:fill="auto"/>
            <w:vAlign w:val="bottom"/>
          </w:tcPr>
          <w:p w14:paraId="5F2CF6AB" w14:textId="77777777" w:rsidR="00E836FB" w:rsidRDefault="00E836FB">
            <w:pPr>
              <w:rPr>
                <w:rFonts w:ascii="宋体"/>
              </w:rPr>
            </w:pPr>
          </w:p>
        </w:tc>
        <w:tc>
          <w:tcPr>
            <w:tcW w:w="1350" w:type="pct"/>
            <w:shd w:val="clear" w:color="auto" w:fill="auto"/>
            <w:vAlign w:val="bottom"/>
          </w:tcPr>
          <w:p w14:paraId="5F2CF6AC" w14:textId="77777777" w:rsidR="00E836FB" w:rsidRDefault="00E836FB">
            <w:pPr>
              <w:rPr>
                <w:rFonts w:ascii="宋体"/>
              </w:rPr>
            </w:pPr>
          </w:p>
        </w:tc>
        <w:tc>
          <w:tcPr>
            <w:tcW w:w="5" w:type="pct"/>
            <w:shd w:val="clear" w:color="auto" w:fill="auto"/>
            <w:vAlign w:val="bottom"/>
          </w:tcPr>
          <w:p w14:paraId="5F2CF6AD" w14:textId="77777777" w:rsidR="00E836FB" w:rsidRDefault="00E836FB">
            <w:pPr>
              <w:rPr>
                <w:rFonts w:ascii="宋体"/>
              </w:rPr>
            </w:pPr>
          </w:p>
        </w:tc>
        <w:tc>
          <w:tcPr>
            <w:tcW w:w="50" w:type="pct"/>
            <w:shd w:val="clear" w:color="auto" w:fill="auto"/>
            <w:vAlign w:val="bottom"/>
          </w:tcPr>
          <w:p w14:paraId="5F2CF6AE" w14:textId="77777777" w:rsidR="00E836FB" w:rsidRDefault="00E836FB">
            <w:pPr>
              <w:rPr>
                <w:rFonts w:ascii="宋体"/>
              </w:rPr>
            </w:pPr>
          </w:p>
        </w:tc>
        <w:tc>
          <w:tcPr>
            <w:tcW w:w="530" w:type="pct"/>
            <w:shd w:val="clear" w:color="auto" w:fill="auto"/>
            <w:vAlign w:val="bottom"/>
          </w:tcPr>
          <w:p w14:paraId="5F2CF6AF" w14:textId="77777777" w:rsidR="00E836FB" w:rsidRDefault="00E836FB">
            <w:pPr>
              <w:rPr>
                <w:rFonts w:ascii="宋体"/>
              </w:rPr>
            </w:pPr>
          </w:p>
        </w:tc>
        <w:tc>
          <w:tcPr>
            <w:tcW w:w="5" w:type="pct"/>
            <w:shd w:val="clear" w:color="auto" w:fill="auto"/>
            <w:vAlign w:val="bottom"/>
          </w:tcPr>
          <w:p w14:paraId="5F2CF6B0" w14:textId="77777777" w:rsidR="00E836FB" w:rsidRDefault="00E836FB">
            <w:pPr>
              <w:rPr>
                <w:rFonts w:ascii="宋体"/>
              </w:rPr>
            </w:pPr>
          </w:p>
        </w:tc>
        <w:tc>
          <w:tcPr>
            <w:tcW w:w="50" w:type="pct"/>
            <w:shd w:val="clear" w:color="auto" w:fill="auto"/>
            <w:vAlign w:val="bottom"/>
          </w:tcPr>
          <w:p w14:paraId="5F2CF6B1" w14:textId="77777777" w:rsidR="00E836FB" w:rsidRDefault="00E836FB">
            <w:pPr>
              <w:rPr>
                <w:rFonts w:ascii="宋体"/>
              </w:rPr>
            </w:pPr>
          </w:p>
        </w:tc>
        <w:tc>
          <w:tcPr>
            <w:tcW w:w="947" w:type="pct"/>
            <w:shd w:val="clear" w:color="auto" w:fill="auto"/>
            <w:vAlign w:val="bottom"/>
          </w:tcPr>
          <w:p w14:paraId="5F2CF6B2" w14:textId="77777777" w:rsidR="00E836FB" w:rsidRDefault="00E836FB">
            <w:pPr>
              <w:rPr>
                <w:rFonts w:ascii="宋体"/>
              </w:rPr>
            </w:pPr>
          </w:p>
        </w:tc>
        <w:tc>
          <w:tcPr>
            <w:tcW w:w="5" w:type="pct"/>
            <w:shd w:val="clear" w:color="auto" w:fill="auto"/>
            <w:vAlign w:val="bottom"/>
          </w:tcPr>
          <w:p w14:paraId="5F2CF6B3" w14:textId="77777777" w:rsidR="00E836FB" w:rsidRDefault="00E836FB">
            <w:pPr>
              <w:rPr>
                <w:rFonts w:ascii="宋体"/>
              </w:rPr>
            </w:pPr>
          </w:p>
        </w:tc>
        <w:tc>
          <w:tcPr>
            <w:tcW w:w="50" w:type="pct"/>
            <w:shd w:val="clear" w:color="auto" w:fill="auto"/>
            <w:vAlign w:val="bottom"/>
          </w:tcPr>
          <w:p w14:paraId="5F2CF6B4" w14:textId="77777777" w:rsidR="00E836FB" w:rsidRDefault="00E836FB">
            <w:pPr>
              <w:rPr>
                <w:rFonts w:ascii="宋体"/>
              </w:rPr>
            </w:pPr>
          </w:p>
        </w:tc>
        <w:tc>
          <w:tcPr>
            <w:tcW w:w="947" w:type="pct"/>
            <w:shd w:val="clear" w:color="auto" w:fill="auto"/>
            <w:vAlign w:val="bottom"/>
          </w:tcPr>
          <w:p w14:paraId="5F2CF6B5" w14:textId="77777777" w:rsidR="00E836FB" w:rsidRDefault="00E836FB">
            <w:pPr>
              <w:rPr>
                <w:rFonts w:ascii="宋体"/>
              </w:rPr>
            </w:pPr>
          </w:p>
        </w:tc>
        <w:tc>
          <w:tcPr>
            <w:tcW w:w="5" w:type="pct"/>
            <w:shd w:val="clear" w:color="auto" w:fill="auto"/>
            <w:vAlign w:val="bottom"/>
          </w:tcPr>
          <w:p w14:paraId="5F2CF6B6" w14:textId="77777777" w:rsidR="00E836FB" w:rsidRDefault="00E836FB">
            <w:pPr>
              <w:rPr>
                <w:rFonts w:ascii="宋体"/>
              </w:rPr>
            </w:pPr>
          </w:p>
        </w:tc>
        <w:tc>
          <w:tcPr>
            <w:tcW w:w="50" w:type="pct"/>
            <w:shd w:val="clear" w:color="auto" w:fill="auto"/>
            <w:vAlign w:val="bottom"/>
          </w:tcPr>
          <w:p w14:paraId="5F2CF6B7" w14:textId="77777777" w:rsidR="00E836FB" w:rsidRDefault="00E836FB">
            <w:pPr>
              <w:rPr>
                <w:rFonts w:ascii="宋体"/>
              </w:rPr>
            </w:pPr>
          </w:p>
        </w:tc>
        <w:tc>
          <w:tcPr>
            <w:tcW w:w="948" w:type="pct"/>
            <w:shd w:val="clear" w:color="auto" w:fill="auto"/>
            <w:vAlign w:val="bottom"/>
          </w:tcPr>
          <w:p w14:paraId="5F2CF6B8" w14:textId="77777777" w:rsidR="00E836FB" w:rsidRDefault="00E836FB">
            <w:pPr>
              <w:rPr>
                <w:rFonts w:ascii="宋体"/>
              </w:rPr>
            </w:pPr>
          </w:p>
        </w:tc>
        <w:tc>
          <w:tcPr>
            <w:tcW w:w="5" w:type="pct"/>
            <w:shd w:val="clear" w:color="auto" w:fill="auto"/>
            <w:vAlign w:val="bottom"/>
          </w:tcPr>
          <w:p w14:paraId="5F2CF6B9" w14:textId="77777777" w:rsidR="00E836FB" w:rsidRDefault="00E836FB">
            <w:pPr>
              <w:rPr>
                <w:rFonts w:ascii="宋体"/>
              </w:rPr>
            </w:pPr>
          </w:p>
        </w:tc>
      </w:tr>
      <w:tr w:rsidR="00E836FB" w14:paraId="5F2CF6C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F6B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6B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6B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6B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6BF" w14:textId="77777777" w:rsidR="00E836FB" w:rsidRDefault="00E836FB">
            <w:pPr>
              <w:rPr>
                <w:rFonts w:ascii="宋体"/>
              </w:rPr>
            </w:pPr>
          </w:p>
        </w:tc>
      </w:tr>
    </w:tbl>
    <w:p w14:paraId="5F2CF6C1" w14:textId="77777777" w:rsidR="00E836FB" w:rsidRDefault="00994958">
      <w:pPr>
        <w:jc w:val="both"/>
      </w:pPr>
      <w:r>
        <w:rPr>
          <w:rFonts w:ascii="Arial" w:eastAsia="宋体" w:hAnsi="Arial" w:cs="Arial"/>
          <w:color w:val="000000"/>
          <w:sz w:val="9"/>
          <w:szCs w:val="9"/>
          <w:shd w:val="clear" w:color="auto" w:fill="FFFFFF"/>
        </w:rPr>
        <w:t xml:space="preserve">(1) </w:t>
      </w:r>
      <w:r>
        <w:rPr>
          <w:rFonts w:ascii="Arial" w:eastAsia="宋体" w:hAnsi="Arial" w:cs="Arial"/>
          <w:color w:val="000000"/>
          <w:sz w:val="14"/>
          <w:szCs w:val="14"/>
          <w:shd w:val="clear" w:color="auto" w:fill="FFFFFF"/>
        </w:rPr>
        <w:t xml:space="preserve">Represents the reclassification from accumulated other comprehensive income into retained earnings as a result of our adoption of ASU 2018-02 - </w:t>
      </w:r>
      <w:r>
        <w:rPr>
          <w:rFonts w:ascii="Arial" w:eastAsia="宋体" w:hAnsi="Arial" w:cs="Arial"/>
          <w:color w:val="000000"/>
          <w:sz w:val="14"/>
          <w:szCs w:val="14"/>
          <w:shd w:val="clear" w:color="auto" w:fill="FFFFFF"/>
        </w:rPr>
        <w:t>Reclassification of Certain Tax Effects from Accumulated Other Comprehensive Income in the first quarter of 2019.</w:t>
      </w:r>
    </w:p>
    <w:p w14:paraId="5F2CF6C2" w14:textId="77777777" w:rsidR="00E836FB" w:rsidRDefault="00E836FB">
      <w:pPr>
        <w:ind w:firstLine="450"/>
        <w:jc w:val="both"/>
      </w:pPr>
    </w:p>
    <w:p w14:paraId="5F2CF6C3" w14:textId="77777777" w:rsidR="00E836FB" w:rsidRDefault="00E836FB">
      <w:pPr>
        <w:ind w:firstLine="450"/>
      </w:pPr>
    </w:p>
    <w:p w14:paraId="5F2CF6C4" w14:textId="77777777" w:rsidR="00E836FB" w:rsidRDefault="00E836FB">
      <w:pPr>
        <w:ind w:firstLine="450"/>
      </w:pPr>
    </w:p>
    <w:p w14:paraId="5F2CF6C5" w14:textId="77777777" w:rsidR="00E836FB" w:rsidRDefault="00E836FB">
      <w:pPr>
        <w:ind w:firstLine="450"/>
      </w:pPr>
    </w:p>
    <w:p w14:paraId="5F2CF6C6" w14:textId="77777777" w:rsidR="00E836FB" w:rsidRDefault="00E836FB">
      <w:pPr>
        <w:ind w:firstLine="450"/>
      </w:pPr>
    </w:p>
    <w:p w14:paraId="5F2CF6C7" w14:textId="77777777" w:rsidR="00E836FB" w:rsidRDefault="00E836FB">
      <w:pPr>
        <w:ind w:firstLine="450"/>
      </w:pPr>
    </w:p>
    <w:p w14:paraId="5F2CF6C8" w14:textId="77777777" w:rsidR="00E836FB" w:rsidRDefault="00E836FB">
      <w:pPr>
        <w:ind w:firstLine="450"/>
      </w:pPr>
    </w:p>
    <w:p w14:paraId="5F2CF6C9" w14:textId="77777777" w:rsidR="00E836FB" w:rsidRDefault="00E836FB">
      <w:pPr>
        <w:ind w:firstLine="450"/>
      </w:pPr>
    </w:p>
    <w:p w14:paraId="5F2CF6CA" w14:textId="77777777" w:rsidR="00E836FB" w:rsidRDefault="00E836FB">
      <w:pPr>
        <w:ind w:firstLine="450"/>
      </w:pPr>
    </w:p>
    <w:p w14:paraId="5F2CF6CB" w14:textId="77777777" w:rsidR="00E836FB" w:rsidRDefault="00E836FB">
      <w:pPr>
        <w:ind w:firstLine="450"/>
      </w:pPr>
    </w:p>
    <w:p w14:paraId="5F2CF6CC" w14:textId="77777777" w:rsidR="00E836FB" w:rsidRDefault="00E836FB">
      <w:pPr>
        <w:ind w:firstLine="450"/>
      </w:pPr>
    </w:p>
    <w:p w14:paraId="5F2CF6CD" w14:textId="77777777" w:rsidR="00E836FB" w:rsidRDefault="00E836FB">
      <w:pPr>
        <w:ind w:firstLine="450"/>
      </w:pPr>
    </w:p>
    <w:p w14:paraId="5F2CF6CE" w14:textId="77777777" w:rsidR="00E836FB" w:rsidRDefault="00E836FB">
      <w:pPr>
        <w:ind w:firstLine="450"/>
      </w:pPr>
    </w:p>
    <w:p w14:paraId="5F2CF6CF" w14:textId="77777777" w:rsidR="00E836FB" w:rsidRDefault="00E836FB">
      <w:pPr>
        <w:ind w:firstLine="450"/>
      </w:pPr>
    </w:p>
    <w:p w14:paraId="5F2CF6D0" w14:textId="77777777" w:rsidR="00E836FB" w:rsidRDefault="00E836FB">
      <w:pPr>
        <w:ind w:firstLine="450"/>
      </w:pPr>
    </w:p>
    <w:p w14:paraId="5F2CF6D1" w14:textId="77777777" w:rsidR="00E836FB" w:rsidRDefault="00994958">
      <w:pPr>
        <w:ind w:firstLine="450"/>
        <w:jc w:val="center"/>
      </w:pPr>
      <w:r>
        <w:rPr>
          <w:rFonts w:ascii="Arial" w:eastAsia="宋体" w:hAnsi="Arial" w:cs="Arial"/>
          <w:color w:val="000000"/>
          <w:sz w:val="18"/>
          <w:szCs w:val="18"/>
        </w:rPr>
        <w:t xml:space="preserve">The accompanying notes are an integral part of these consolidated financial statements. </w:t>
      </w:r>
    </w:p>
    <w:p w14:paraId="5F2CF6D2" w14:textId="77777777" w:rsidR="00E836FB" w:rsidRDefault="00994958">
      <w:pPr>
        <w:ind w:firstLine="450"/>
        <w:jc w:val="right"/>
      </w:pPr>
      <w:r>
        <w:rPr>
          <w:rFonts w:ascii="Arial" w:eastAsia="宋体" w:hAnsi="Arial" w:cs="Arial"/>
          <w:color w:val="000000"/>
          <w:sz w:val="18"/>
          <w:szCs w:val="18"/>
        </w:rPr>
        <w:t>State Street Corporation | 133</w:t>
      </w:r>
    </w:p>
    <w:p w14:paraId="5F2CF6D3" w14:textId="77777777" w:rsidR="00E836FB" w:rsidRDefault="00E836FB">
      <w:pPr>
        <w:ind w:firstLine="450"/>
        <w:jc w:val="center"/>
      </w:pPr>
    </w:p>
    <w:p w14:paraId="5F2CF6D4" w14:textId="77777777" w:rsidR="00E836FB" w:rsidRDefault="00994958">
      <w:r>
        <w:pict w14:anchorId="5F2D6E0A">
          <v:rect id="_x0000_i1157" style="width:415.3pt;height:1.5pt" o:hralign="center" o:hrstd="t" o:hr="t" fillcolor="#a0a0a0" stroked="f"/>
        </w:pict>
      </w:r>
    </w:p>
    <w:p w14:paraId="5F2CF6D5" w14:textId="77777777" w:rsidR="00E836FB" w:rsidRDefault="00E836FB">
      <w:pPr>
        <w:ind w:firstLine="450"/>
      </w:pPr>
    </w:p>
    <w:p w14:paraId="5F2CF6D6" w14:textId="77777777" w:rsidR="00E836FB" w:rsidRDefault="00994958">
      <w:pPr>
        <w:ind w:firstLine="450"/>
        <w:jc w:val="center"/>
      </w:pPr>
      <w:r>
        <w:rPr>
          <w:rFonts w:ascii="Arial" w:eastAsia="宋体" w:hAnsi="Arial" w:cs="Arial"/>
          <w:b/>
          <w:bCs/>
          <w:color w:val="000000"/>
          <w:sz w:val="20"/>
          <w:szCs w:val="20"/>
        </w:rPr>
        <w:t>STATE STREET CORPORATION</w:t>
      </w:r>
    </w:p>
    <w:p w14:paraId="5F2CF6D7" w14:textId="77777777" w:rsidR="00E836FB" w:rsidRDefault="00994958">
      <w:pPr>
        <w:ind w:firstLine="450"/>
        <w:jc w:val="center"/>
      </w:pPr>
      <w:r>
        <w:rPr>
          <w:rFonts w:ascii="Arial" w:eastAsia="宋体" w:hAnsi="Arial" w:cs="Arial"/>
          <w:b/>
          <w:bCs/>
          <w:color w:val="000000"/>
          <w:sz w:val="20"/>
          <w:szCs w:val="20"/>
        </w:rPr>
        <w:t xml:space="preserve">CONSOLIDATED STATEMENT OF CASH FLOWS </w:t>
      </w:r>
    </w:p>
    <w:tbl>
      <w:tblPr>
        <w:tblW w:w="4993" w:type="pct"/>
        <w:tblCellMar>
          <w:top w:w="15" w:type="dxa"/>
          <w:left w:w="15" w:type="dxa"/>
          <w:bottom w:w="15" w:type="dxa"/>
          <w:right w:w="15" w:type="dxa"/>
        </w:tblCellMar>
        <w:tblLook w:val="04A0" w:firstRow="1" w:lastRow="0" w:firstColumn="1" w:lastColumn="0" w:noHBand="0" w:noVBand="1"/>
      </w:tblPr>
      <w:tblGrid>
        <w:gridCol w:w="41"/>
        <w:gridCol w:w="4683"/>
        <w:gridCol w:w="40"/>
        <w:gridCol w:w="105"/>
        <w:gridCol w:w="1000"/>
        <w:gridCol w:w="36"/>
        <w:gridCol w:w="36"/>
        <w:gridCol w:w="36"/>
        <w:gridCol w:w="36"/>
        <w:gridCol w:w="105"/>
        <w:gridCol w:w="954"/>
        <w:gridCol w:w="36"/>
        <w:gridCol w:w="36"/>
        <w:gridCol w:w="36"/>
        <w:gridCol w:w="36"/>
        <w:gridCol w:w="105"/>
        <w:gridCol w:w="967"/>
        <w:gridCol w:w="36"/>
      </w:tblGrid>
      <w:tr w:rsidR="00E836FB" w14:paraId="5F2CF6EA" w14:textId="77777777">
        <w:tc>
          <w:tcPr>
            <w:tcW w:w="50" w:type="pct"/>
            <w:shd w:val="clear" w:color="auto" w:fill="auto"/>
            <w:vAlign w:val="bottom"/>
          </w:tcPr>
          <w:p w14:paraId="5F2CF6D8" w14:textId="77777777" w:rsidR="00E836FB" w:rsidRDefault="00E836FB">
            <w:pPr>
              <w:rPr>
                <w:rFonts w:ascii="宋体"/>
              </w:rPr>
            </w:pPr>
          </w:p>
        </w:tc>
        <w:tc>
          <w:tcPr>
            <w:tcW w:w="2836" w:type="pct"/>
            <w:shd w:val="clear" w:color="auto" w:fill="auto"/>
            <w:vAlign w:val="bottom"/>
          </w:tcPr>
          <w:p w14:paraId="5F2CF6D9" w14:textId="77777777" w:rsidR="00E836FB" w:rsidRDefault="00E836FB">
            <w:pPr>
              <w:rPr>
                <w:rFonts w:ascii="宋体"/>
              </w:rPr>
            </w:pPr>
          </w:p>
        </w:tc>
        <w:tc>
          <w:tcPr>
            <w:tcW w:w="5" w:type="pct"/>
            <w:shd w:val="clear" w:color="auto" w:fill="auto"/>
            <w:vAlign w:val="bottom"/>
          </w:tcPr>
          <w:p w14:paraId="5F2CF6DA" w14:textId="77777777" w:rsidR="00E836FB" w:rsidRDefault="00E836FB">
            <w:pPr>
              <w:rPr>
                <w:rFonts w:ascii="宋体"/>
              </w:rPr>
            </w:pPr>
          </w:p>
        </w:tc>
        <w:tc>
          <w:tcPr>
            <w:tcW w:w="50" w:type="pct"/>
            <w:shd w:val="clear" w:color="auto" w:fill="auto"/>
            <w:vAlign w:val="bottom"/>
          </w:tcPr>
          <w:p w14:paraId="5F2CF6DB" w14:textId="77777777" w:rsidR="00E836FB" w:rsidRDefault="00E836FB">
            <w:pPr>
              <w:rPr>
                <w:rFonts w:ascii="宋体"/>
              </w:rPr>
            </w:pPr>
          </w:p>
        </w:tc>
        <w:tc>
          <w:tcPr>
            <w:tcW w:w="625" w:type="pct"/>
            <w:shd w:val="clear" w:color="auto" w:fill="auto"/>
            <w:vAlign w:val="bottom"/>
          </w:tcPr>
          <w:p w14:paraId="5F2CF6DC" w14:textId="77777777" w:rsidR="00E836FB" w:rsidRDefault="00E836FB">
            <w:pPr>
              <w:rPr>
                <w:rFonts w:ascii="宋体"/>
              </w:rPr>
            </w:pPr>
          </w:p>
        </w:tc>
        <w:tc>
          <w:tcPr>
            <w:tcW w:w="5" w:type="pct"/>
            <w:shd w:val="clear" w:color="auto" w:fill="auto"/>
            <w:vAlign w:val="bottom"/>
          </w:tcPr>
          <w:p w14:paraId="5F2CF6DD" w14:textId="77777777" w:rsidR="00E836FB" w:rsidRDefault="00E836FB">
            <w:pPr>
              <w:rPr>
                <w:rFonts w:ascii="宋体"/>
              </w:rPr>
            </w:pPr>
          </w:p>
        </w:tc>
        <w:tc>
          <w:tcPr>
            <w:tcW w:w="5" w:type="pct"/>
            <w:shd w:val="clear" w:color="auto" w:fill="auto"/>
            <w:vAlign w:val="bottom"/>
          </w:tcPr>
          <w:p w14:paraId="5F2CF6DE" w14:textId="77777777" w:rsidR="00E836FB" w:rsidRDefault="00E836FB">
            <w:pPr>
              <w:rPr>
                <w:rFonts w:ascii="宋体"/>
              </w:rPr>
            </w:pPr>
          </w:p>
        </w:tc>
        <w:tc>
          <w:tcPr>
            <w:tcW w:w="26" w:type="pct"/>
            <w:shd w:val="clear" w:color="auto" w:fill="auto"/>
            <w:vAlign w:val="bottom"/>
          </w:tcPr>
          <w:p w14:paraId="5F2CF6DF" w14:textId="77777777" w:rsidR="00E836FB" w:rsidRDefault="00E836FB">
            <w:pPr>
              <w:rPr>
                <w:rFonts w:ascii="宋体"/>
              </w:rPr>
            </w:pPr>
          </w:p>
        </w:tc>
        <w:tc>
          <w:tcPr>
            <w:tcW w:w="5" w:type="pct"/>
            <w:shd w:val="clear" w:color="auto" w:fill="auto"/>
            <w:vAlign w:val="bottom"/>
          </w:tcPr>
          <w:p w14:paraId="5F2CF6E0" w14:textId="77777777" w:rsidR="00E836FB" w:rsidRDefault="00E836FB">
            <w:pPr>
              <w:rPr>
                <w:rFonts w:ascii="宋体"/>
              </w:rPr>
            </w:pPr>
          </w:p>
        </w:tc>
        <w:tc>
          <w:tcPr>
            <w:tcW w:w="50" w:type="pct"/>
            <w:shd w:val="clear" w:color="auto" w:fill="auto"/>
            <w:vAlign w:val="bottom"/>
          </w:tcPr>
          <w:p w14:paraId="5F2CF6E1" w14:textId="77777777" w:rsidR="00E836FB" w:rsidRDefault="00E836FB">
            <w:pPr>
              <w:rPr>
                <w:rFonts w:ascii="宋体"/>
              </w:rPr>
            </w:pPr>
          </w:p>
        </w:tc>
        <w:tc>
          <w:tcPr>
            <w:tcW w:w="618" w:type="pct"/>
            <w:shd w:val="clear" w:color="auto" w:fill="auto"/>
            <w:vAlign w:val="bottom"/>
          </w:tcPr>
          <w:p w14:paraId="5F2CF6E2" w14:textId="77777777" w:rsidR="00E836FB" w:rsidRDefault="00E836FB">
            <w:pPr>
              <w:rPr>
                <w:rFonts w:ascii="宋体"/>
              </w:rPr>
            </w:pPr>
          </w:p>
        </w:tc>
        <w:tc>
          <w:tcPr>
            <w:tcW w:w="5" w:type="pct"/>
            <w:shd w:val="clear" w:color="auto" w:fill="auto"/>
            <w:vAlign w:val="bottom"/>
          </w:tcPr>
          <w:p w14:paraId="5F2CF6E3" w14:textId="77777777" w:rsidR="00E836FB" w:rsidRDefault="00E836FB">
            <w:pPr>
              <w:rPr>
                <w:rFonts w:ascii="宋体"/>
              </w:rPr>
            </w:pPr>
          </w:p>
        </w:tc>
        <w:tc>
          <w:tcPr>
            <w:tcW w:w="5" w:type="pct"/>
            <w:shd w:val="clear" w:color="auto" w:fill="auto"/>
            <w:vAlign w:val="bottom"/>
          </w:tcPr>
          <w:p w14:paraId="5F2CF6E4" w14:textId="77777777" w:rsidR="00E836FB" w:rsidRDefault="00E836FB">
            <w:pPr>
              <w:rPr>
                <w:rFonts w:ascii="宋体"/>
              </w:rPr>
            </w:pPr>
          </w:p>
        </w:tc>
        <w:tc>
          <w:tcPr>
            <w:tcW w:w="26" w:type="pct"/>
            <w:shd w:val="clear" w:color="auto" w:fill="auto"/>
            <w:vAlign w:val="bottom"/>
          </w:tcPr>
          <w:p w14:paraId="5F2CF6E5" w14:textId="77777777" w:rsidR="00E836FB" w:rsidRDefault="00E836FB">
            <w:pPr>
              <w:rPr>
                <w:rFonts w:ascii="宋体"/>
              </w:rPr>
            </w:pPr>
          </w:p>
        </w:tc>
        <w:tc>
          <w:tcPr>
            <w:tcW w:w="5" w:type="pct"/>
            <w:shd w:val="clear" w:color="auto" w:fill="auto"/>
            <w:vAlign w:val="bottom"/>
          </w:tcPr>
          <w:p w14:paraId="5F2CF6E6" w14:textId="77777777" w:rsidR="00E836FB" w:rsidRDefault="00E836FB">
            <w:pPr>
              <w:rPr>
                <w:rFonts w:ascii="宋体"/>
              </w:rPr>
            </w:pPr>
          </w:p>
        </w:tc>
        <w:tc>
          <w:tcPr>
            <w:tcW w:w="50" w:type="pct"/>
            <w:shd w:val="clear" w:color="auto" w:fill="auto"/>
            <w:vAlign w:val="bottom"/>
          </w:tcPr>
          <w:p w14:paraId="5F2CF6E7" w14:textId="77777777" w:rsidR="00E836FB" w:rsidRDefault="00E836FB">
            <w:pPr>
              <w:rPr>
                <w:rFonts w:ascii="宋体"/>
              </w:rPr>
            </w:pPr>
          </w:p>
        </w:tc>
        <w:tc>
          <w:tcPr>
            <w:tcW w:w="625" w:type="pct"/>
            <w:shd w:val="clear" w:color="auto" w:fill="auto"/>
            <w:vAlign w:val="bottom"/>
          </w:tcPr>
          <w:p w14:paraId="5F2CF6E8" w14:textId="77777777" w:rsidR="00E836FB" w:rsidRDefault="00E836FB">
            <w:pPr>
              <w:rPr>
                <w:rFonts w:ascii="宋体"/>
              </w:rPr>
            </w:pPr>
          </w:p>
        </w:tc>
        <w:tc>
          <w:tcPr>
            <w:tcW w:w="5" w:type="pct"/>
            <w:shd w:val="clear" w:color="auto" w:fill="auto"/>
            <w:vAlign w:val="bottom"/>
          </w:tcPr>
          <w:p w14:paraId="5F2CF6E9" w14:textId="77777777" w:rsidR="00E836FB" w:rsidRDefault="00E836FB">
            <w:pPr>
              <w:rPr>
                <w:rFonts w:ascii="宋体"/>
              </w:rPr>
            </w:pPr>
          </w:p>
        </w:tc>
      </w:tr>
      <w:tr w:rsidR="00E836FB" w14:paraId="5F2CF6ED" w14:textId="77777777">
        <w:tc>
          <w:tcPr>
            <w:tcW w:w="0" w:type="auto"/>
            <w:gridSpan w:val="3"/>
            <w:shd w:val="clear" w:color="auto" w:fill="auto"/>
            <w:tcMar>
              <w:top w:w="0" w:type="dxa"/>
              <w:left w:w="20" w:type="dxa"/>
              <w:bottom w:w="0" w:type="dxa"/>
              <w:right w:w="20" w:type="dxa"/>
            </w:tcMar>
            <w:vAlign w:val="bottom"/>
          </w:tcPr>
          <w:p w14:paraId="5F2CF6EB"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CF6EC" w14:textId="77777777" w:rsidR="00E836FB" w:rsidRDefault="00994958">
            <w:pPr>
              <w:jc w:val="center"/>
              <w:textAlignment w:val="bottom"/>
            </w:pPr>
            <w:r>
              <w:rPr>
                <w:rFonts w:ascii="Arial" w:eastAsia="宋体" w:hAnsi="Arial" w:cs="Arial"/>
                <w:b/>
                <w:bCs/>
                <w:color w:val="000000"/>
                <w:sz w:val="15"/>
                <w:szCs w:val="15"/>
              </w:rPr>
              <w:t>Years Ended December 31,</w:t>
            </w:r>
          </w:p>
        </w:tc>
      </w:tr>
      <w:tr w:rsidR="00E836FB" w14:paraId="5F2CF6F4" w14:textId="77777777">
        <w:tc>
          <w:tcPr>
            <w:tcW w:w="0" w:type="auto"/>
            <w:gridSpan w:val="3"/>
            <w:shd w:val="clear" w:color="auto" w:fill="auto"/>
            <w:tcMar>
              <w:top w:w="40" w:type="dxa"/>
              <w:left w:w="20" w:type="dxa"/>
              <w:bottom w:w="40" w:type="dxa"/>
              <w:right w:w="20" w:type="dxa"/>
            </w:tcMar>
            <w:vAlign w:val="bottom"/>
          </w:tcPr>
          <w:p w14:paraId="5F2CF6EE"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6EF" w14:textId="77777777" w:rsidR="00E836FB" w:rsidRDefault="00994958">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6F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6F1" w14:textId="77777777" w:rsidR="00E836FB" w:rsidRDefault="00994958">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6F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6F3" w14:textId="77777777" w:rsidR="00E836FB" w:rsidRDefault="00994958">
            <w:pPr>
              <w:jc w:val="center"/>
              <w:textAlignment w:val="bottom"/>
            </w:pPr>
            <w:r>
              <w:rPr>
                <w:rFonts w:ascii="Arial" w:eastAsia="宋体" w:hAnsi="Arial" w:cs="Arial"/>
                <w:b/>
                <w:bCs/>
                <w:color w:val="000000"/>
                <w:sz w:val="15"/>
                <w:szCs w:val="15"/>
              </w:rPr>
              <w:t>2019</w:t>
            </w:r>
          </w:p>
        </w:tc>
      </w:tr>
      <w:tr w:rsidR="00E836FB" w14:paraId="5F2CF6FB" w14:textId="77777777">
        <w:tc>
          <w:tcPr>
            <w:tcW w:w="0" w:type="auto"/>
            <w:gridSpan w:val="3"/>
            <w:shd w:val="clear" w:color="auto" w:fill="auto"/>
            <w:tcMar>
              <w:top w:w="40" w:type="dxa"/>
              <w:left w:w="20" w:type="dxa"/>
              <w:bottom w:w="40" w:type="dxa"/>
              <w:right w:w="20" w:type="dxa"/>
            </w:tcMar>
            <w:vAlign w:val="bottom"/>
          </w:tcPr>
          <w:p w14:paraId="5F2CF6F5" w14:textId="77777777" w:rsidR="00E836FB" w:rsidRDefault="00994958">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6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6F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6F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6F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6FA" w14:textId="77777777" w:rsidR="00E836FB" w:rsidRDefault="00E836FB">
            <w:pPr>
              <w:rPr>
                <w:rFonts w:ascii="宋体"/>
              </w:rPr>
            </w:pPr>
          </w:p>
        </w:tc>
      </w:tr>
      <w:tr w:rsidR="00E836FB" w14:paraId="5F2CF708" w14:textId="77777777">
        <w:tc>
          <w:tcPr>
            <w:tcW w:w="0" w:type="auto"/>
            <w:gridSpan w:val="3"/>
            <w:shd w:val="clear" w:color="auto" w:fill="CCEEFF"/>
            <w:tcMar>
              <w:top w:w="40" w:type="dxa"/>
              <w:left w:w="20" w:type="dxa"/>
              <w:bottom w:w="40" w:type="dxa"/>
              <w:right w:w="20" w:type="dxa"/>
            </w:tcMar>
            <w:vAlign w:val="bottom"/>
          </w:tcPr>
          <w:p w14:paraId="5F2CF6FC" w14:textId="77777777" w:rsidR="00E836FB" w:rsidRDefault="00994958">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5F2CF6FD"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6FE" w14:textId="77777777" w:rsidR="00E836FB" w:rsidRDefault="00994958">
            <w:pPr>
              <w:jc w:val="right"/>
              <w:textAlignment w:val="bottom"/>
            </w:pPr>
            <w:r>
              <w:rPr>
                <w:rFonts w:ascii="Arial" w:eastAsia="宋体" w:hAnsi="Arial" w:cs="Arial"/>
                <w:b/>
                <w:bCs/>
                <w:color w:val="000000"/>
                <w:sz w:val="15"/>
                <w:szCs w:val="15"/>
              </w:rPr>
              <w:t>2,693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6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0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701"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F702" w14:textId="77777777" w:rsidR="00E836FB" w:rsidRDefault="00994958">
            <w:pPr>
              <w:jc w:val="right"/>
              <w:textAlignment w:val="bottom"/>
            </w:pPr>
            <w:r>
              <w:rPr>
                <w:rFonts w:ascii="Arial" w:eastAsia="宋体" w:hAnsi="Arial" w:cs="Arial"/>
                <w:color w:val="000000"/>
                <w:sz w:val="15"/>
                <w:szCs w:val="15"/>
              </w:rPr>
              <w:t>2,420 </w:t>
            </w:r>
          </w:p>
        </w:tc>
        <w:tc>
          <w:tcPr>
            <w:tcW w:w="0" w:type="auto"/>
            <w:shd w:val="clear" w:color="auto" w:fill="CCEEFF"/>
            <w:tcMar>
              <w:top w:w="40" w:type="dxa"/>
              <w:left w:w="0" w:type="dxa"/>
              <w:bottom w:w="40" w:type="dxa"/>
              <w:right w:w="20" w:type="dxa"/>
            </w:tcMar>
            <w:vAlign w:val="bottom"/>
          </w:tcPr>
          <w:p w14:paraId="5F2CF7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0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705"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F706" w14:textId="77777777" w:rsidR="00E836FB" w:rsidRDefault="00994958">
            <w:pPr>
              <w:jc w:val="right"/>
              <w:textAlignment w:val="bottom"/>
            </w:pPr>
            <w:r>
              <w:rPr>
                <w:rFonts w:ascii="Arial" w:eastAsia="宋体" w:hAnsi="Arial" w:cs="Arial"/>
                <w:color w:val="000000"/>
                <w:sz w:val="15"/>
                <w:szCs w:val="15"/>
              </w:rPr>
              <w:t>2,242 </w:t>
            </w:r>
          </w:p>
        </w:tc>
        <w:tc>
          <w:tcPr>
            <w:tcW w:w="0" w:type="auto"/>
            <w:shd w:val="clear" w:color="auto" w:fill="CCEEFF"/>
            <w:tcMar>
              <w:top w:w="40" w:type="dxa"/>
              <w:left w:w="0" w:type="dxa"/>
              <w:bottom w:w="40" w:type="dxa"/>
              <w:right w:w="20" w:type="dxa"/>
            </w:tcMar>
            <w:vAlign w:val="bottom"/>
          </w:tcPr>
          <w:p w14:paraId="5F2CF707" w14:textId="77777777" w:rsidR="00E836FB" w:rsidRDefault="00E836FB">
            <w:pPr>
              <w:jc w:val="right"/>
              <w:rPr>
                <w:rFonts w:ascii="宋体"/>
              </w:rPr>
            </w:pPr>
          </w:p>
        </w:tc>
      </w:tr>
      <w:tr w:rsidR="00E836FB" w14:paraId="5F2CF70F" w14:textId="77777777">
        <w:tc>
          <w:tcPr>
            <w:tcW w:w="0" w:type="auto"/>
            <w:gridSpan w:val="3"/>
            <w:shd w:val="clear" w:color="auto" w:fill="FFFFFF"/>
            <w:tcMar>
              <w:top w:w="40" w:type="dxa"/>
              <w:left w:w="20" w:type="dxa"/>
              <w:bottom w:w="40" w:type="dxa"/>
              <w:right w:w="20" w:type="dxa"/>
            </w:tcMar>
            <w:vAlign w:val="bottom"/>
          </w:tcPr>
          <w:p w14:paraId="5F2CF709" w14:textId="77777777" w:rsidR="00E836FB" w:rsidRDefault="00994958">
            <w:pPr>
              <w:textAlignment w:val="bottom"/>
            </w:pPr>
            <w:r>
              <w:rPr>
                <w:rFonts w:ascii="Arial" w:eastAsia="宋体" w:hAnsi="Arial" w:cs="Arial"/>
                <w:color w:val="000000"/>
                <w:sz w:val="15"/>
                <w:szCs w:val="15"/>
              </w:rPr>
              <w:t>Adjustments to reconcile net income to net cash provided by operating activities:</w:t>
            </w:r>
          </w:p>
        </w:tc>
        <w:tc>
          <w:tcPr>
            <w:tcW w:w="0" w:type="auto"/>
            <w:gridSpan w:val="3"/>
            <w:shd w:val="clear" w:color="auto" w:fill="FFFFFF"/>
            <w:tcMar>
              <w:top w:w="0" w:type="dxa"/>
              <w:left w:w="20" w:type="dxa"/>
              <w:bottom w:w="0" w:type="dxa"/>
              <w:right w:w="20" w:type="dxa"/>
            </w:tcMar>
            <w:vAlign w:val="bottom"/>
          </w:tcPr>
          <w:p w14:paraId="5F2CF70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0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0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0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0E" w14:textId="77777777" w:rsidR="00E836FB" w:rsidRDefault="00E836FB">
            <w:pPr>
              <w:rPr>
                <w:rFonts w:ascii="宋体"/>
              </w:rPr>
            </w:pPr>
          </w:p>
        </w:tc>
      </w:tr>
      <w:tr w:rsidR="00E836FB" w14:paraId="5F2CF719" w14:textId="77777777">
        <w:tc>
          <w:tcPr>
            <w:tcW w:w="0" w:type="auto"/>
            <w:gridSpan w:val="3"/>
            <w:shd w:val="clear" w:color="auto" w:fill="CCEEFF"/>
            <w:tcMar>
              <w:top w:w="40" w:type="dxa"/>
              <w:left w:w="20" w:type="dxa"/>
              <w:bottom w:w="40" w:type="dxa"/>
              <w:right w:w="20" w:type="dxa"/>
            </w:tcMar>
            <w:vAlign w:val="bottom"/>
          </w:tcPr>
          <w:p w14:paraId="5F2CF710" w14:textId="77777777" w:rsidR="00E836FB" w:rsidRDefault="00994958">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5F2CF711" w14:textId="77777777" w:rsidR="00E836FB" w:rsidRDefault="00994958">
            <w:pPr>
              <w:jc w:val="right"/>
              <w:textAlignment w:val="bottom"/>
            </w:pPr>
            <w:r>
              <w:rPr>
                <w:rFonts w:ascii="Arial" w:eastAsia="宋体" w:hAnsi="Arial" w:cs="Arial"/>
                <w:b/>
                <w:bCs/>
                <w:color w:val="000000"/>
                <w:sz w:val="15"/>
                <w:szCs w:val="15"/>
              </w:rPr>
              <w:t>(162)</w:t>
            </w:r>
          </w:p>
        </w:tc>
        <w:tc>
          <w:tcPr>
            <w:tcW w:w="0" w:type="auto"/>
            <w:shd w:val="clear" w:color="auto" w:fill="CCEEFF"/>
            <w:tcMar>
              <w:top w:w="40" w:type="dxa"/>
              <w:left w:w="0" w:type="dxa"/>
              <w:bottom w:w="40" w:type="dxa"/>
              <w:right w:w="20" w:type="dxa"/>
            </w:tcMar>
            <w:vAlign w:val="bottom"/>
          </w:tcPr>
          <w:p w14:paraId="5F2CF7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14" w14:textId="77777777" w:rsidR="00E836FB" w:rsidRDefault="00994958">
            <w:pPr>
              <w:jc w:val="right"/>
              <w:textAlignment w:val="bottom"/>
            </w:pPr>
            <w:r>
              <w:rPr>
                <w:rFonts w:ascii="Arial" w:eastAsia="宋体" w:hAnsi="Arial" w:cs="Arial"/>
                <w:color w:val="000000"/>
                <w:sz w:val="15"/>
                <w:szCs w:val="15"/>
              </w:rPr>
              <w:t>(194)</w:t>
            </w:r>
          </w:p>
        </w:tc>
        <w:tc>
          <w:tcPr>
            <w:tcW w:w="0" w:type="auto"/>
            <w:shd w:val="clear" w:color="auto" w:fill="CCEEFF"/>
            <w:tcMar>
              <w:top w:w="40" w:type="dxa"/>
              <w:left w:w="0" w:type="dxa"/>
              <w:bottom w:w="40" w:type="dxa"/>
              <w:right w:w="20" w:type="dxa"/>
            </w:tcMar>
            <w:vAlign w:val="bottom"/>
          </w:tcPr>
          <w:p w14:paraId="5F2CF7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17" w14:textId="77777777" w:rsidR="00E836FB" w:rsidRDefault="00994958">
            <w:pPr>
              <w:jc w:val="right"/>
              <w:textAlignment w:val="bottom"/>
            </w:pPr>
            <w:r>
              <w:rPr>
                <w:rFonts w:ascii="Arial" w:eastAsia="宋体" w:hAnsi="Arial" w:cs="Arial"/>
                <w:color w:val="000000"/>
                <w:sz w:val="15"/>
                <w:szCs w:val="15"/>
              </w:rPr>
              <w:t>(130)</w:t>
            </w:r>
          </w:p>
        </w:tc>
        <w:tc>
          <w:tcPr>
            <w:tcW w:w="0" w:type="auto"/>
            <w:shd w:val="clear" w:color="auto" w:fill="CCEEFF"/>
            <w:tcMar>
              <w:top w:w="40" w:type="dxa"/>
              <w:left w:w="0" w:type="dxa"/>
              <w:bottom w:w="40" w:type="dxa"/>
              <w:right w:w="20" w:type="dxa"/>
            </w:tcMar>
            <w:vAlign w:val="bottom"/>
          </w:tcPr>
          <w:p w14:paraId="5F2CF718" w14:textId="77777777" w:rsidR="00E836FB" w:rsidRDefault="00E836FB">
            <w:pPr>
              <w:jc w:val="right"/>
              <w:rPr>
                <w:rFonts w:ascii="宋体"/>
              </w:rPr>
            </w:pPr>
          </w:p>
        </w:tc>
      </w:tr>
      <w:tr w:rsidR="00E836FB" w14:paraId="5F2CF723" w14:textId="77777777">
        <w:tc>
          <w:tcPr>
            <w:tcW w:w="0" w:type="auto"/>
            <w:gridSpan w:val="3"/>
            <w:shd w:val="clear" w:color="auto" w:fill="FFFFFF"/>
            <w:tcMar>
              <w:top w:w="40" w:type="dxa"/>
              <w:left w:w="20" w:type="dxa"/>
              <w:bottom w:w="40" w:type="dxa"/>
              <w:right w:w="20" w:type="dxa"/>
            </w:tcMar>
            <w:vAlign w:val="bottom"/>
          </w:tcPr>
          <w:p w14:paraId="5F2CF71A" w14:textId="77777777" w:rsidR="00E836FB" w:rsidRDefault="00994958">
            <w:pPr>
              <w:textAlignment w:val="bottom"/>
            </w:pPr>
            <w:r>
              <w:rPr>
                <w:rFonts w:ascii="Arial" w:eastAsia="宋体" w:hAnsi="Arial" w:cs="Arial"/>
                <w:color w:val="000000"/>
                <w:sz w:val="15"/>
                <w:szCs w:val="15"/>
              </w:rPr>
              <w:t>Amortization of other intangible assets</w:t>
            </w:r>
          </w:p>
        </w:tc>
        <w:tc>
          <w:tcPr>
            <w:tcW w:w="0" w:type="auto"/>
            <w:gridSpan w:val="2"/>
            <w:shd w:val="clear" w:color="auto" w:fill="FFFFFF"/>
            <w:tcMar>
              <w:top w:w="40" w:type="dxa"/>
              <w:left w:w="20" w:type="dxa"/>
              <w:bottom w:w="40" w:type="dxa"/>
              <w:right w:w="0" w:type="dxa"/>
            </w:tcMar>
            <w:vAlign w:val="bottom"/>
          </w:tcPr>
          <w:p w14:paraId="5F2CF71B" w14:textId="77777777" w:rsidR="00E836FB" w:rsidRDefault="00994958">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1E" w14:textId="77777777" w:rsidR="00E836FB" w:rsidRDefault="00994958">
            <w:pPr>
              <w:jc w:val="right"/>
              <w:textAlignment w:val="bottom"/>
            </w:pPr>
            <w:r>
              <w:rPr>
                <w:rFonts w:ascii="Arial" w:eastAsia="宋体" w:hAnsi="Arial" w:cs="Arial"/>
                <w:color w:val="000000"/>
                <w:sz w:val="15"/>
                <w:szCs w:val="15"/>
              </w:rPr>
              <w:t>234 </w:t>
            </w:r>
          </w:p>
        </w:tc>
        <w:tc>
          <w:tcPr>
            <w:tcW w:w="0" w:type="auto"/>
            <w:shd w:val="clear" w:color="auto" w:fill="FFFFFF"/>
            <w:tcMar>
              <w:top w:w="40" w:type="dxa"/>
              <w:left w:w="0" w:type="dxa"/>
              <w:bottom w:w="40" w:type="dxa"/>
              <w:right w:w="20" w:type="dxa"/>
            </w:tcMar>
            <w:vAlign w:val="bottom"/>
          </w:tcPr>
          <w:p w14:paraId="5F2CF7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21" w14:textId="77777777" w:rsidR="00E836FB" w:rsidRDefault="00994958">
            <w:pPr>
              <w:jc w:val="right"/>
              <w:textAlignment w:val="bottom"/>
            </w:pPr>
            <w:r>
              <w:rPr>
                <w:rFonts w:ascii="Arial" w:eastAsia="宋体" w:hAnsi="Arial" w:cs="Arial"/>
                <w:color w:val="000000"/>
                <w:sz w:val="15"/>
                <w:szCs w:val="15"/>
              </w:rPr>
              <w:t>236 </w:t>
            </w:r>
          </w:p>
        </w:tc>
        <w:tc>
          <w:tcPr>
            <w:tcW w:w="0" w:type="auto"/>
            <w:shd w:val="clear" w:color="auto" w:fill="FFFFFF"/>
            <w:tcMar>
              <w:top w:w="40" w:type="dxa"/>
              <w:left w:w="0" w:type="dxa"/>
              <w:bottom w:w="40" w:type="dxa"/>
              <w:right w:w="20" w:type="dxa"/>
            </w:tcMar>
            <w:vAlign w:val="bottom"/>
          </w:tcPr>
          <w:p w14:paraId="5F2CF722" w14:textId="77777777" w:rsidR="00E836FB" w:rsidRDefault="00E836FB">
            <w:pPr>
              <w:jc w:val="right"/>
              <w:rPr>
                <w:rFonts w:ascii="宋体"/>
              </w:rPr>
            </w:pPr>
          </w:p>
        </w:tc>
      </w:tr>
      <w:tr w:rsidR="00E836FB" w14:paraId="5F2CF72D" w14:textId="77777777">
        <w:tc>
          <w:tcPr>
            <w:tcW w:w="0" w:type="auto"/>
            <w:gridSpan w:val="3"/>
            <w:shd w:val="clear" w:color="auto" w:fill="CCEEFF"/>
            <w:tcMar>
              <w:top w:w="40" w:type="dxa"/>
              <w:left w:w="20" w:type="dxa"/>
              <w:bottom w:w="40" w:type="dxa"/>
              <w:right w:w="20" w:type="dxa"/>
            </w:tcMar>
            <w:vAlign w:val="bottom"/>
          </w:tcPr>
          <w:p w14:paraId="5F2CF724" w14:textId="77777777" w:rsidR="00E836FB" w:rsidRDefault="00994958">
            <w:pPr>
              <w:textAlignment w:val="bottom"/>
            </w:pPr>
            <w:r>
              <w:rPr>
                <w:rFonts w:ascii="Arial" w:eastAsia="宋体" w:hAnsi="Arial" w:cs="Arial"/>
                <w:color w:val="000000"/>
                <w:sz w:val="15"/>
                <w:szCs w:val="15"/>
              </w:rPr>
              <w:t xml:space="preserve">Other non-cash adjustments for </w:t>
            </w:r>
            <w:r>
              <w:rPr>
                <w:rFonts w:ascii="Arial" w:eastAsia="宋体" w:hAnsi="Arial" w:cs="Arial"/>
                <w:color w:val="000000"/>
                <w:sz w:val="15"/>
                <w:szCs w:val="15"/>
              </w:rPr>
              <w:t>depreciation, amortization and accretion, net</w:t>
            </w:r>
          </w:p>
        </w:tc>
        <w:tc>
          <w:tcPr>
            <w:tcW w:w="0" w:type="auto"/>
            <w:gridSpan w:val="2"/>
            <w:shd w:val="clear" w:color="auto" w:fill="CCEEFF"/>
            <w:tcMar>
              <w:top w:w="40" w:type="dxa"/>
              <w:left w:w="20" w:type="dxa"/>
              <w:bottom w:w="40" w:type="dxa"/>
              <w:right w:w="0" w:type="dxa"/>
            </w:tcMar>
            <w:vAlign w:val="bottom"/>
          </w:tcPr>
          <w:p w14:paraId="5F2CF725" w14:textId="77777777" w:rsidR="00E836FB" w:rsidRDefault="00994958">
            <w:pPr>
              <w:jc w:val="right"/>
              <w:textAlignment w:val="bottom"/>
            </w:pPr>
            <w:r>
              <w:rPr>
                <w:rFonts w:ascii="Arial" w:eastAsia="宋体" w:hAnsi="Arial" w:cs="Arial"/>
                <w:b/>
                <w:bCs/>
                <w:color w:val="000000"/>
                <w:sz w:val="15"/>
                <w:szCs w:val="15"/>
              </w:rPr>
              <w:t>1,312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7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2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28" w14:textId="77777777" w:rsidR="00E836FB" w:rsidRDefault="00994958">
            <w:pPr>
              <w:jc w:val="right"/>
              <w:textAlignment w:val="bottom"/>
            </w:pPr>
            <w:r>
              <w:rPr>
                <w:rFonts w:ascii="Arial" w:eastAsia="宋体" w:hAnsi="Arial" w:cs="Arial"/>
                <w:color w:val="000000"/>
                <w:sz w:val="15"/>
                <w:szCs w:val="15"/>
              </w:rPr>
              <w:t>1,276 </w:t>
            </w:r>
          </w:p>
        </w:tc>
        <w:tc>
          <w:tcPr>
            <w:tcW w:w="0" w:type="auto"/>
            <w:shd w:val="clear" w:color="auto" w:fill="CCEEFF"/>
            <w:tcMar>
              <w:top w:w="40" w:type="dxa"/>
              <w:left w:w="0" w:type="dxa"/>
              <w:bottom w:w="40" w:type="dxa"/>
              <w:right w:w="20" w:type="dxa"/>
            </w:tcMar>
            <w:vAlign w:val="bottom"/>
          </w:tcPr>
          <w:p w14:paraId="5F2CF72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2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2B" w14:textId="77777777" w:rsidR="00E836FB" w:rsidRDefault="00994958">
            <w:pPr>
              <w:jc w:val="right"/>
              <w:textAlignment w:val="bottom"/>
            </w:pPr>
            <w:r>
              <w:rPr>
                <w:rFonts w:ascii="Arial" w:eastAsia="宋体" w:hAnsi="Arial" w:cs="Arial"/>
                <w:color w:val="000000"/>
                <w:sz w:val="15"/>
                <w:szCs w:val="15"/>
              </w:rPr>
              <w:t>1,101 </w:t>
            </w:r>
          </w:p>
        </w:tc>
        <w:tc>
          <w:tcPr>
            <w:tcW w:w="0" w:type="auto"/>
            <w:shd w:val="clear" w:color="auto" w:fill="CCEEFF"/>
            <w:tcMar>
              <w:top w:w="40" w:type="dxa"/>
              <w:left w:w="0" w:type="dxa"/>
              <w:bottom w:w="40" w:type="dxa"/>
              <w:right w:w="20" w:type="dxa"/>
            </w:tcMar>
            <w:vAlign w:val="bottom"/>
          </w:tcPr>
          <w:p w14:paraId="5F2CF72C" w14:textId="77777777" w:rsidR="00E836FB" w:rsidRDefault="00E836FB">
            <w:pPr>
              <w:jc w:val="right"/>
              <w:rPr>
                <w:rFonts w:ascii="宋体"/>
              </w:rPr>
            </w:pPr>
          </w:p>
        </w:tc>
      </w:tr>
      <w:tr w:rsidR="00E836FB" w14:paraId="5F2CF737" w14:textId="77777777">
        <w:tc>
          <w:tcPr>
            <w:tcW w:w="0" w:type="auto"/>
            <w:gridSpan w:val="3"/>
            <w:shd w:val="clear" w:color="auto" w:fill="FFFFFF"/>
            <w:tcMar>
              <w:top w:w="40" w:type="dxa"/>
              <w:left w:w="20" w:type="dxa"/>
              <w:bottom w:w="40" w:type="dxa"/>
              <w:right w:w="20" w:type="dxa"/>
            </w:tcMar>
            <w:vAlign w:val="bottom"/>
          </w:tcPr>
          <w:p w14:paraId="5F2CF72E" w14:textId="77777777" w:rsidR="00E836FB" w:rsidRDefault="00994958">
            <w:pPr>
              <w:textAlignment w:val="bottom"/>
            </w:pPr>
            <w:r>
              <w:rPr>
                <w:rFonts w:ascii="Arial" w:eastAsia="宋体" w:hAnsi="Arial" w:cs="Arial"/>
                <w:color w:val="000000"/>
                <w:sz w:val="15"/>
                <w:szCs w:val="15"/>
              </w:rPr>
              <w:t>Losses (gains) related to investment securities, net</w:t>
            </w:r>
          </w:p>
        </w:tc>
        <w:tc>
          <w:tcPr>
            <w:tcW w:w="0" w:type="auto"/>
            <w:gridSpan w:val="2"/>
            <w:shd w:val="clear" w:color="auto" w:fill="FFFFFF"/>
            <w:tcMar>
              <w:top w:w="40" w:type="dxa"/>
              <w:left w:w="20" w:type="dxa"/>
              <w:bottom w:w="40" w:type="dxa"/>
              <w:right w:w="0" w:type="dxa"/>
            </w:tcMar>
            <w:vAlign w:val="bottom"/>
          </w:tcPr>
          <w:p w14:paraId="5F2CF72F" w14:textId="77777777" w:rsidR="00E836FB" w:rsidRDefault="00994958">
            <w:pPr>
              <w:jc w:val="right"/>
              <w:textAlignment w:val="bottom"/>
            </w:pPr>
            <w:r>
              <w:rPr>
                <w:rFonts w:ascii="Arial" w:eastAsia="宋体" w:hAnsi="Arial" w:cs="Arial"/>
                <w:b/>
                <w:bCs/>
                <w:color w:val="000000"/>
                <w:sz w:val="15"/>
                <w:szCs w:val="15"/>
              </w:rPr>
              <w:t>(57)</w:t>
            </w:r>
          </w:p>
        </w:tc>
        <w:tc>
          <w:tcPr>
            <w:tcW w:w="0" w:type="auto"/>
            <w:shd w:val="clear" w:color="auto" w:fill="FFFFFF"/>
            <w:tcMar>
              <w:top w:w="40" w:type="dxa"/>
              <w:left w:w="0" w:type="dxa"/>
              <w:bottom w:w="40" w:type="dxa"/>
              <w:right w:w="20" w:type="dxa"/>
            </w:tcMar>
            <w:vAlign w:val="bottom"/>
          </w:tcPr>
          <w:p w14:paraId="5F2CF7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32" w14:textId="77777777" w:rsidR="00E836FB" w:rsidRDefault="00994958">
            <w:pPr>
              <w:jc w:val="right"/>
              <w:textAlignment w:val="bottom"/>
            </w:pPr>
            <w:r>
              <w:rPr>
                <w:rFonts w:ascii="Arial" w:eastAsia="宋体" w:hAnsi="Arial" w:cs="Arial"/>
                <w:color w:val="000000"/>
                <w:sz w:val="15"/>
                <w:szCs w:val="15"/>
              </w:rPr>
              <w:t>(4)</w:t>
            </w:r>
          </w:p>
        </w:tc>
        <w:tc>
          <w:tcPr>
            <w:tcW w:w="0" w:type="auto"/>
            <w:shd w:val="clear" w:color="auto" w:fill="FFFFFF"/>
            <w:tcMar>
              <w:top w:w="40" w:type="dxa"/>
              <w:left w:w="0" w:type="dxa"/>
              <w:bottom w:w="40" w:type="dxa"/>
              <w:right w:w="20" w:type="dxa"/>
            </w:tcMar>
            <w:vAlign w:val="bottom"/>
          </w:tcPr>
          <w:p w14:paraId="5F2CF7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3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35"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CF736" w14:textId="77777777" w:rsidR="00E836FB" w:rsidRDefault="00E836FB">
            <w:pPr>
              <w:jc w:val="right"/>
              <w:rPr>
                <w:rFonts w:ascii="宋体"/>
              </w:rPr>
            </w:pPr>
          </w:p>
        </w:tc>
      </w:tr>
      <w:tr w:rsidR="00E836FB" w14:paraId="5F2CF741" w14:textId="77777777">
        <w:tc>
          <w:tcPr>
            <w:tcW w:w="0" w:type="auto"/>
            <w:gridSpan w:val="3"/>
            <w:shd w:val="clear" w:color="auto" w:fill="CCEEFF"/>
            <w:tcMar>
              <w:top w:w="40" w:type="dxa"/>
              <w:left w:w="20" w:type="dxa"/>
              <w:bottom w:w="40" w:type="dxa"/>
              <w:right w:w="20" w:type="dxa"/>
            </w:tcMar>
            <w:vAlign w:val="bottom"/>
          </w:tcPr>
          <w:p w14:paraId="5F2CF738" w14:textId="77777777" w:rsidR="00E836FB" w:rsidRDefault="00994958">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5F2CF739" w14:textId="77777777" w:rsidR="00E836FB" w:rsidRDefault="00994958">
            <w:pPr>
              <w:jc w:val="right"/>
              <w:textAlignment w:val="bottom"/>
            </w:pPr>
            <w:r>
              <w:rPr>
                <w:rFonts w:ascii="Arial" w:eastAsia="宋体" w:hAnsi="Arial" w:cs="Arial"/>
                <w:b/>
                <w:bCs/>
                <w:color w:val="000000"/>
                <w:sz w:val="15"/>
                <w:szCs w:val="15"/>
              </w:rPr>
              <w:t>(33)</w:t>
            </w:r>
          </w:p>
        </w:tc>
        <w:tc>
          <w:tcPr>
            <w:tcW w:w="0" w:type="auto"/>
            <w:shd w:val="clear" w:color="auto" w:fill="CCEEFF"/>
            <w:tcMar>
              <w:top w:w="40" w:type="dxa"/>
              <w:left w:w="0" w:type="dxa"/>
              <w:bottom w:w="40" w:type="dxa"/>
              <w:right w:w="20" w:type="dxa"/>
            </w:tcMar>
            <w:vAlign w:val="bottom"/>
          </w:tcPr>
          <w:p w14:paraId="5F2CF7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3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3C" w14:textId="77777777" w:rsidR="00E836FB" w:rsidRDefault="00994958">
            <w:pPr>
              <w:jc w:val="right"/>
              <w:textAlignment w:val="bottom"/>
            </w:pPr>
            <w:r>
              <w:rPr>
                <w:rFonts w:ascii="Arial" w:eastAsia="宋体" w:hAnsi="Arial" w:cs="Arial"/>
                <w:color w:val="000000"/>
                <w:sz w:val="15"/>
                <w:szCs w:val="15"/>
              </w:rPr>
              <w:t>88 </w:t>
            </w:r>
          </w:p>
        </w:tc>
        <w:tc>
          <w:tcPr>
            <w:tcW w:w="0" w:type="auto"/>
            <w:shd w:val="clear" w:color="auto" w:fill="CCEEFF"/>
            <w:tcMar>
              <w:top w:w="40" w:type="dxa"/>
              <w:left w:w="0" w:type="dxa"/>
              <w:bottom w:w="40" w:type="dxa"/>
              <w:right w:w="20" w:type="dxa"/>
            </w:tcMar>
            <w:vAlign w:val="bottom"/>
          </w:tcPr>
          <w:p w14:paraId="5F2CF7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3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3F" w14:textId="77777777" w:rsidR="00E836FB" w:rsidRDefault="00994958">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5F2CF740" w14:textId="77777777" w:rsidR="00E836FB" w:rsidRDefault="00E836FB">
            <w:pPr>
              <w:jc w:val="right"/>
              <w:rPr>
                <w:rFonts w:ascii="宋体"/>
              </w:rPr>
            </w:pPr>
          </w:p>
        </w:tc>
      </w:tr>
      <w:tr w:rsidR="00E836FB" w14:paraId="5F2CF74B" w14:textId="77777777">
        <w:tc>
          <w:tcPr>
            <w:tcW w:w="0" w:type="auto"/>
            <w:gridSpan w:val="3"/>
            <w:shd w:val="clear" w:color="auto" w:fill="FFFFFF"/>
            <w:tcMar>
              <w:top w:w="40" w:type="dxa"/>
              <w:left w:w="20" w:type="dxa"/>
              <w:bottom w:w="40" w:type="dxa"/>
              <w:right w:w="20" w:type="dxa"/>
            </w:tcMar>
            <w:vAlign w:val="bottom"/>
          </w:tcPr>
          <w:p w14:paraId="5F2CF742" w14:textId="77777777" w:rsidR="00E836FB" w:rsidRDefault="00994958">
            <w:pPr>
              <w:textAlignment w:val="bottom"/>
            </w:pPr>
            <w:r>
              <w:rPr>
                <w:rFonts w:ascii="Arial" w:eastAsia="宋体" w:hAnsi="Arial" w:cs="Arial"/>
                <w:color w:val="000000"/>
                <w:sz w:val="15"/>
                <w:szCs w:val="15"/>
              </w:rPr>
              <w:t>Change in trading account assets, net</w:t>
            </w:r>
          </w:p>
        </w:tc>
        <w:tc>
          <w:tcPr>
            <w:tcW w:w="0" w:type="auto"/>
            <w:gridSpan w:val="2"/>
            <w:shd w:val="clear" w:color="auto" w:fill="FFFFFF"/>
            <w:tcMar>
              <w:top w:w="40" w:type="dxa"/>
              <w:left w:w="20" w:type="dxa"/>
              <w:bottom w:w="40" w:type="dxa"/>
              <w:right w:w="0" w:type="dxa"/>
            </w:tcMar>
            <w:vAlign w:val="bottom"/>
          </w:tcPr>
          <w:p w14:paraId="5F2CF743" w14:textId="77777777" w:rsidR="00E836FB" w:rsidRDefault="00994958">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46" w14:textId="77777777" w:rsidR="00E836FB" w:rsidRDefault="00994958">
            <w:pPr>
              <w:jc w:val="right"/>
              <w:textAlignment w:val="bottom"/>
            </w:pPr>
            <w:r>
              <w:rPr>
                <w:rFonts w:ascii="Arial" w:eastAsia="宋体" w:hAnsi="Arial" w:cs="Arial"/>
                <w:color w:val="000000"/>
                <w:sz w:val="15"/>
                <w:szCs w:val="15"/>
              </w:rPr>
              <w:t>99 </w:t>
            </w:r>
          </w:p>
        </w:tc>
        <w:tc>
          <w:tcPr>
            <w:tcW w:w="0" w:type="auto"/>
            <w:shd w:val="clear" w:color="auto" w:fill="FFFFFF"/>
            <w:tcMar>
              <w:top w:w="40" w:type="dxa"/>
              <w:left w:w="0" w:type="dxa"/>
              <w:bottom w:w="40" w:type="dxa"/>
              <w:right w:w="20" w:type="dxa"/>
            </w:tcMar>
            <w:vAlign w:val="bottom"/>
          </w:tcPr>
          <w:p w14:paraId="5F2CF74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4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49" w14:textId="77777777" w:rsidR="00E836FB" w:rsidRDefault="00994958">
            <w:pPr>
              <w:jc w:val="right"/>
              <w:textAlignment w:val="bottom"/>
            </w:pPr>
            <w:r>
              <w:rPr>
                <w:rFonts w:ascii="Arial" w:eastAsia="宋体" w:hAnsi="Arial" w:cs="Arial"/>
                <w:color w:val="000000"/>
                <w:sz w:val="15"/>
                <w:szCs w:val="15"/>
              </w:rPr>
              <w:t>(54)</w:t>
            </w:r>
          </w:p>
        </w:tc>
        <w:tc>
          <w:tcPr>
            <w:tcW w:w="0" w:type="auto"/>
            <w:shd w:val="clear" w:color="auto" w:fill="FFFFFF"/>
            <w:tcMar>
              <w:top w:w="40" w:type="dxa"/>
              <w:left w:w="0" w:type="dxa"/>
              <w:bottom w:w="40" w:type="dxa"/>
              <w:right w:w="20" w:type="dxa"/>
            </w:tcMar>
            <w:vAlign w:val="bottom"/>
          </w:tcPr>
          <w:p w14:paraId="5F2CF74A" w14:textId="77777777" w:rsidR="00E836FB" w:rsidRDefault="00E836FB">
            <w:pPr>
              <w:jc w:val="right"/>
              <w:rPr>
                <w:rFonts w:ascii="宋体"/>
              </w:rPr>
            </w:pPr>
          </w:p>
        </w:tc>
      </w:tr>
      <w:tr w:rsidR="00E836FB" w14:paraId="5F2CF755" w14:textId="77777777">
        <w:tc>
          <w:tcPr>
            <w:tcW w:w="0" w:type="auto"/>
            <w:gridSpan w:val="3"/>
            <w:shd w:val="clear" w:color="auto" w:fill="CCEEFF"/>
            <w:tcMar>
              <w:top w:w="40" w:type="dxa"/>
              <w:left w:w="20" w:type="dxa"/>
              <w:bottom w:w="40" w:type="dxa"/>
              <w:right w:w="20" w:type="dxa"/>
            </w:tcMar>
            <w:vAlign w:val="bottom"/>
          </w:tcPr>
          <w:p w14:paraId="5F2CF74C" w14:textId="77777777" w:rsidR="00E836FB" w:rsidRDefault="00994958">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5F2CF74D" w14:textId="77777777" w:rsidR="00E836FB" w:rsidRDefault="00994958">
            <w:pPr>
              <w:jc w:val="right"/>
              <w:textAlignment w:val="bottom"/>
            </w:pPr>
            <w:r>
              <w:rPr>
                <w:rFonts w:ascii="Arial" w:eastAsia="宋体" w:hAnsi="Arial" w:cs="Arial"/>
                <w:b/>
                <w:bCs/>
                <w:color w:val="000000"/>
                <w:sz w:val="15"/>
                <w:szCs w:val="15"/>
              </w:rPr>
              <w:t>(173)</w:t>
            </w:r>
          </w:p>
        </w:tc>
        <w:tc>
          <w:tcPr>
            <w:tcW w:w="0" w:type="auto"/>
            <w:shd w:val="clear" w:color="auto" w:fill="CCEEFF"/>
            <w:tcMar>
              <w:top w:w="40" w:type="dxa"/>
              <w:left w:w="0" w:type="dxa"/>
              <w:bottom w:w="40" w:type="dxa"/>
              <w:right w:w="20" w:type="dxa"/>
            </w:tcMar>
            <w:vAlign w:val="bottom"/>
          </w:tcPr>
          <w:p w14:paraId="5F2CF74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4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50" w14:textId="77777777" w:rsidR="00E836FB" w:rsidRDefault="00994958">
            <w:pPr>
              <w:jc w:val="right"/>
              <w:textAlignment w:val="bottom"/>
            </w:pPr>
            <w:r>
              <w:rPr>
                <w:rFonts w:ascii="Arial" w:eastAsia="宋体" w:hAnsi="Arial" w:cs="Arial"/>
                <w:color w:val="000000"/>
                <w:sz w:val="15"/>
                <w:szCs w:val="15"/>
              </w:rPr>
              <w:t>127 </w:t>
            </w:r>
          </w:p>
        </w:tc>
        <w:tc>
          <w:tcPr>
            <w:tcW w:w="0" w:type="auto"/>
            <w:shd w:val="clear" w:color="auto" w:fill="CCEEFF"/>
            <w:tcMar>
              <w:top w:w="40" w:type="dxa"/>
              <w:left w:w="0" w:type="dxa"/>
              <w:bottom w:w="40" w:type="dxa"/>
              <w:right w:w="20" w:type="dxa"/>
            </w:tcMar>
            <w:vAlign w:val="bottom"/>
          </w:tcPr>
          <w:p w14:paraId="5F2CF7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5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53" w14:textId="77777777" w:rsidR="00E836FB" w:rsidRDefault="00994958">
            <w:pPr>
              <w:jc w:val="right"/>
              <w:textAlignment w:val="bottom"/>
            </w:pPr>
            <w:r>
              <w:rPr>
                <w:rFonts w:ascii="Arial" w:eastAsia="宋体" w:hAnsi="Arial" w:cs="Arial"/>
                <w:color w:val="000000"/>
                <w:sz w:val="15"/>
                <w:szCs w:val="15"/>
              </w:rPr>
              <w:t>(28)</w:t>
            </w:r>
          </w:p>
        </w:tc>
        <w:tc>
          <w:tcPr>
            <w:tcW w:w="0" w:type="auto"/>
            <w:shd w:val="clear" w:color="auto" w:fill="CCEEFF"/>
            <w:tcMar>
              <w:top w:w="40" w:type="dxa"/>
              <w:left w:w="0" w:type="dxa"/>
              <w:bottom w:w="40" w:type="dxa"/>
              <w:right w:w="20" w:type="dxa"/>
            </w:tcMar>
            <w:vAlign w:val="bottom"/>
          </w:tcPr>
          <w:p w14:paraId="5F2CF754" w14:textId="77777777" w:rsidR="00E836FB" w:rsidRDefault="00E836FB">
            <w:pPr>
              <w:jc w:val="right"/>
              <w:rPr>
                <w:rFonts w:ascii="宋体"/>
              </w:rPr>
            </w:pPr>
          </w:p>
        </w:tc>
      </w:tr>
      <w:tr w:rsidR="00E836FB" w14:paraId="5F2CF75F" w14:textId="77777777">
        <w:tc>
          <w:tcPr>
            <w:tcW w:w="0" w:type="auto"/>
            <w:gridSpan w:val="3"/>
            <w:shd w:val="clear" w:color="auto" w:fill="FFFFFF"/>
            <w:tcMar>
              <w:top w:w="40" w:type="dxa"/>
              <w:left w:w="20" w:type="dxa"/>
              <w:bottom w:w="40" w:type="dxa"/>
              <w:right w:w="20" w:type="dxa"/>
            </w:tcMar>
            <w:vAlign w:val="bottom"/>
          </w:tcPr>
          <w:p w14:paraId="5F2CF756" w14:textId="77777777" w:rsidR="00E836FB" w:rsidRDefault="00994958">
            <w:pPr>
              <w:textAlignment w:val="bottom"/>
            </w:pPr>
            <w:r>
              <w:rPr>
                <w:rFonts w:ascii="Arial" w:eastAsia="宋体" w:hAnsi="Arial" w:cs="Arial"/>
                <w:color w:val="000000"/>
                <w:sz w:val="15"/>
                <w:szCs w:val="15"/>
              </w:rPr>
              <w:t>Change in collateral deposits, net</w:t>
            </w:r>
          </w:p>
        </w:tc>
        <w:tc>
          <w:tcPr>
            <w:tcW w:w="0" w:type="auto"/>
            <w:gridSpan w:val="2"/>
            <w:shd w:val="clear" w:color="auto" w:fill="FFFFFF"/>
            <w:tcMar>
              <w:top w:w="40" w:type="dxa"/>
              <w:left w:w="20" w:type="dxa"/>
              <w:bottom w:w="40" w:type="dxa"/>
              <w:right w:w="0" w:type="dxa"/>
            </w:tcMar>
            <w:vAlign w:val="bottom"/>
          </w:tcPr>
          <w:p w14:paraId="5F2CF757" w14:textId="77777777" w:rsidR="00E836FB" w:rsidRDefault="00994958">
            <w:pPr>
              <w:jc w:val="right"/>
              <w:textAlignment w:val="bottom"/>
            </w:pPr>
            <w:r>
              <w:rPr>
                <w:rFonts w:ascii="Arial" w:eastAsia="宋体" w:hAnsi="Arial" w:cs="Arial"/>
                <w:b/>
                <w:bCs/>
                <w:color w:val="000000"/>
                <w:sz w:val="15"/>
                <w:szCs w:val="15"/>
              </w:rPr>
              <w:t>(7,662)</w:t>
            </w:r>
          </w:p>
        </w:tc>
        <w:tc>
          <w:tcPr>
            <w:tcW w:w="0" w:type="auto"/>
            <w:shd w:val="clear" w:color="auto" w:fill="FFFFFF"/>
            <w:tcMar>
              <w:top w:w="40" w:type="dxa"/>
              <w:left w:w="0" w:type="dxa"/>
              <w:bottom w:w="40" w:type="dxa"/>
              <w:right w:w="20" w:type="dxa"/>
            </w:tcMar>
            <w:vAlign w:val="bottom"/>
          </w:tcPr>
          <w:p w14:paraId="5F2CF7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5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5A" w14:textId="77777777" w:rsidR="00E836FB" w:rsidRDefault="00994958">
            <w:pPr>
              <w:jc w:val="right"/>
              <w:textAlignment w:val="bottom"/>
            </w:pPr>
            <w:r>
              <w:rPr>
                <w:rFonts w:ascii="Arial" w:eastAsia="宋体" w:hAnsi="Arial" w:cs="Arial"/>
                <w:color w:val="000000"/>
                <w:sz w:val="15"/>
                <w:szCs w:val="15"/>
              </w:rPr>
              <w:t>(2,951)</w:t>
            </w:r>
          </w:p>
        </w:tc>
        <w:tc>
          <w:tcPr>
            <w:tcW w:w="0" w:type="auto"/>
            <w:shd w:val="clear" w:color="auto" w:fill="FFFFFF"/>
            <w:tcMar>
              <w:top w:w="40" w:type="dxa"/>
              <w:left w:w="0" w:type="dxa"/>
              <w:bottom w:w="40" w:type="dxa"/>
              <w:right w:w="20" w:type="dxa"/>
            </w:tcMar>
            <w:vAlign w:val="bottom"/>
          </w:tcPr>
          <w:p w14:paraId="5F2CF75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5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5D" w14:textId="77777777" w:rsidR="00E836FB" w:rsidRDefault="00994958">
            <w:pPr>
              <w:jc w:val="right"/>
              <w:textAlignment w:val="bottom"/>
            </w:pPr>
            <w:r>
              <w:rPr>
                <w:rFonts w:ascii="Arial" w:eastAsia="宋体" w:hAnsi="Arial" w:cs="Arial"/>
                <w:color w:val="000000"/>
                <w:sz w:val="15"/>
                <w:szCs w:val="15"/>
              </w:rPr>
              <w:t>287 </w:t>
            </w:r>
          </w:p>
        </w:tc>
        <w:tc>
          <w:tcPr>
            <w:tcW w:w="0" w:type="auto"/>
            <w:shd w:val="clear" w:color="auto" w:fill="FFFFFF"/>
            <w:tcMar>
              <w:top w:w="40" w:type="dxa"/>
              <w:left w:w="0" w:type="dxa"/>
              <w:bottom w:w="40" w:type="dxa"/>
              <w:right w:w="20" w:type="dxa"/>
            </w:tcMar>
            <w:vAlign w:val="bottom"/>
          </w:tcPr>
          <w:p w14:paraId="5F2CF75E" w14:textId="77777777" w:rsidR="00E836FB" w:rsidRDefault="00E836FB">
            <w:pPr>
              <w:jc w:val="right"/>
              <w:rPr>
                <w:rFonts w:ascii="宋体"/>
              </w:rPr>
            </w:pPr>
          </w:p>
        </w:tc>
      </w:tr>
      <w:tr w:rsidR="00E836FB" w14:paraId="5F2CF769" w14:textId="77777777">
        <w:tc>
          <w:tcPr>
            <w:tcW w:w="0" w:type="auto"/>
            <w:gridSpan w:val="3"/>
            <w:shd w:val="clear" w:color="auto" w:fill="CCEEFF"/>
            <w:tcMar>
              <w:top w:w="40" w:type="dxa"/>
              <w:left w:w="20" w:type="dxa"/>
              <w:bottom w:w="40" w:type="dxa"/>
              <w:right w:w="20" w:type="dxa"/>
            </w:tcMar>
            <w:vAlign w:val="bottom"/>
          </w:tcPr>
          <w:p w14:paraId="5F2CF760" w14:textId="77777777" w:rsidR="00E836FB" w:rsidRDefault="00994958">
            <w:pPr>
              <w:textAlignment w:val="bottom"/>
            </w:pPr>
            <w:r>
              <w:rPr>
                <w:rFonts w:ascii="Arial" w:eastAsia="宋体" w:hAnsi="Arial" w:cs="Arial"/>
                <w:color w:val="000000"/>
                <w:sz w:val="15"/>
                <w:szCs w:val="15"/>
              </w:rPr>
              <w:t>Change in unrealized losses (gains) on foreign exchange derivatives, net</w:t>
            </w:r>
          </w:p>
        </w:tc>
        <w:tc>
          <w:tcPr>
            <w:tcW w:w="0" w:type="auto"/>
            <w:gridSpan w:val="2"/>
            <w:shd w:val="clear" w:color="auto" w:fill="CCEEFF"/>
            <w:tcMar>
              <w:top w:w="40" w:type="dxa"/>
              <w:left w:w="20" w:type="dxa"/>
              <w:bottom w:w="40" w:type="dxa"/>
              <w:right w:w="0" w:type="dxa"/>
            </w:tcMar>
            <w:vAlign w:val="bottom"/>
          </w:tcPr>
          <w:p w14:paraId="5F2CF761" w14:textId="77777777" w:rsidR="00E836FB" w:rsidRDefault="00994958">
            <w:pPr>
              <w:jc w:val="right"/>
              <w:textAlignment w:val="bottom"/>
            </w:pPr>
            <w:r>
              <w:rPr>
                <w:rFonts w:ascii="Arial" w:eastAsia="宋体" w:hAnsi="Arial" w:cs="Arial"/>
                <w:b/>
                <w:bCs/>
                <w:color w:val="000000"/>
                <w:sz w:val="15"/>
                <w:szCs w:val="15"/>
              </w:rPr>
              <w:t>(3,448)</w:t>
            </w:r>
          </w:p>
        </w:tc>
        <w:tc>
          <w:tcPr>
            <w:tcW w:w="0" w:type="auto"/>
            <w:shd w:val="clear" w:color="auto" w:fill="CCEEFF"/>
            <w:tcMar>
              <w:top w:w="40" w:type="dxa"/>
              <w:left w:w="0" w:type="dxa"/>
              <w:bottom w:w="40" w:type="dxa"/>
              <w:right w:w="20" w:type="dxa"/>
            </w:tcMar>
            <w:vAlign w:val="bottom"/>
          </w:tcPr>
          <w:p w14:paraId="5F2CF76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6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64" w14:textId="77777777" w:rsidR="00E836FB" w:rsidRDefault="00994958">
            <w:pPr>
              <w:jc w:val="right"/>
              <w:textAlignment w:val="bottom"/>
            </w:pPr>
            <w:r>
              <w:rPr>
                <w:rFonts w:ascii="Arial" w:eastAsia="宋体" w:hAnsi="Arial" w:cs="Arial"/>
                <w:color w:val="000000"/>
                <w:sz w:val="15"/>
                <w:szCs w:val="15"/>
              </w:rPr>
              <w:t>3,652 </w:t>
            </w:r>
          </w:p>
        </w:tc>
        <w:tc>
          <w:tcPr>
            <w:tcW w:w="0" w:type="auto"/>
            <w:shd w:val="clear" w:color="auto" w:fill="CCEEFF"/>
            <w:tcMar>
              <w:top w:w="40" w:type="dxa"/>
              <w:left w:w="0" w:type="dxa"/>
              <w:bottom w:w="40" w:type="dxa"/>
              <w:right w:w="20" w:type="dxa"/>
            </w:tcMar>
            <w:vAlign w:val="bottom"/>
          </w:tcPr>
          <w:p w14:paraId="5F2CF76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6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67" w14:textId="77777777" w:rsidR="00E836FB" w:rsidRDefault="00994958">
            <w:pPr>
              <w:jc w:val="right"/>
              <w:textAlignment w:val="bottom"/>
            </w:pPr>
            <w:r>
              <w:rPr>
                <w:rFonts w:ascii="Arial" w:eastAsia="宋体" w:hAnsi="Arial" w:cs="Arial"/>
                <w:color w:val="000000"/>
                <w:sz w:val="15"/>
                <w:szCs w:val="15"/>
              </w:rPr>
              <w:t>2,034 </w:t>
            </w:r>
          </w:p>
        </w:tc>
        <w:tc>
          <w:tcPr>
            <w:tcW w:w="0" w:type="auto"/>
            <w:shd w:val="clear" w:color="auto" w:fill="CCEEFF"/>
            <w:tcMar>
              <w:top w:w="40" w:type="dxa"/>
              <w:left w:w="0" w:type="dxa"/>
              <w:bottom w:w="40" w:type="dxa"/>
              <w:right w:w="20" w:type="dxa"/>
            </w:tcMar>
            <w:vAlign w:val="bottom"/>
          </w:tcPr>
          <w:p w14:paraId="5F2CF768" w14:textId="77777777" w:rsidR="00E836FB" w:rsidRDefault="00E836FB">
            <w:pPr>
              <w:jc w:val="right"/>
              <w:rPr>
                <w:rFonts w:ascii="宋体"/>
              </w:rPr>
            </w:pPr>
          </w:p>
        </w:tc>
      </w:tr>
      <w:tr w:rsidR="00E836FB" w14:paraId="5F2CF773" w14:textId="77777777">
        <w:tc>
          <w:tcPr>
            <w:tcW w:w="0" w:type="auto"/>
            <w:gridSpan w:val="3"/>
            <w:shd w:val="clear" w:color="auto" w:fill="FFFFFF"/>
            <w:tcMar>
              <w:top w:w="40" w:type="dxa"/>
              <w:left w:w="20" w:type="dxa"/>
              <w:bottom w:w="40" w:type="dxa"/>
              <w:right w:w="20" w:type="dxa"/>
            </w:tcMar>
            <w:vAlign w:val="bottom"/>
          </w:tcPr>
          <w:p w14:paraId="5F2CF76A" w14:textId="77777777" w:rsidR="00E836FB" w:rsidRDefault="00994958">
            <w:pPr>
              <w:textAlignment w:val="bottom"/>
            </w:pPr>
            <w:r>
              <w:rPr>
                <w:rFonts w:ascii="Arial" w:eastAsia="宋体" w:hAnsi="Arial" w:cs="Arial"/>
                <w:color w:val="000000"/>
                <w:sz w:val="15"/>
                <w:szCs w:val="15"/>
              </w:rPr>
              <w:t xml:space="preserve">Change in </w:t>
            </w:r>
            <w:r>
              <w:rPr>
                <w:rFonts w:ascii="Arial" w:eastAsia="宋体" w:hAnsi="Arial" w:cs="Arial"/>
                <w:color w:val="000000"/>
                <w:sz w:val="15"/>
                <w:szCs w:val="15"/>
              </w:rPr>
              <w:t>other assets, net</w:t>
            </w:r>
          </w:p>
        </w:tc>
        <w:tc>
          <w:tcPr>
            <w:tcW w:w="0" w:type="auto"/>
            <w:gridSpan w:val="2"/>
            <w:shd w:val="clear" w:color="auto" w:fill="FFFFFF"/>
            <w:tcMar>
              <w:top w:w="40" w:type="dxa"/>
              <w:left w:w="20" w:type="dxa"/>
              <w:bottom w:w="40" w:type="dxa"/>
              <w:right w:w="0" w:type="dxa"/>
            </w:tcMar>
            <w:vAlign w:val="bottom"/>
          </w:tcPr>
          <w:p w14:paraId="5F2CF76B" w14:textId="77777777" w:rsidR="00E836FB" w:rsidRDefault="00994958">
            <w:pPr>
              <w:jc w:val="right"/>
              <w:textAlignment w:val="bottom"/>
            </w:pPr>
            <w:r>
              <w:rPr>
                <w:rFonts w:ascii="Arial" w:eastAsia="宋体" w:hAnsi="Arial" w:cs="Arial"/>
                <w:b/>
                <w:bCs/>
                <w:color w:val="000000"/>
                <w:sz w:val="15"/>
                <w:szCs w:val="15"/>
              </w:rPr>
              <w:t>691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6E" w14:textId="77777777" w:rsidR="00E836FB" w:rsidRDefault="00994958">
            <w:pPr>
              <w:jc w:val="right"/>
              <w:textAlignment w:val="bottom"/>
            </w:pPr>
            <w:r>
              <w:rPr>
                <w:rFonts w:ascii="Arial" w:eastAsia="宋体" w:hAnsi="Arial" w:cs="Arial"/>
                <w:color w:val="000000"/>
                <w:sz w:val="15"/>
                <w:szCs w:val="15"/>
              </w:rPr>
              <w:t>(1,406)</w:t>
            </w:r>
          </w:p>
        </w:tc>
        <w:tc>
          <w:tcPr>
            <w:tcW w:w="0" w:type="auto"/>
            <w:shd w:val="clear" w:color="auto" w:fill="FFFFFF"/>
            <w:tcMar>
              <w:top w:w="40" w:type="dxa"/>
              <w:left w:w="0" w:type="dxa"/>
              <w:bottom w:w="40" w:type="dxa"/>
              <w:right w:w="20" w:type="dxa"/>
            </w:tcMar>
            <w:vAlign w:val="bottom"/>
          </w:tcPr>
          <w:p w14:paraId="5F2CF7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71" w14:textId="77777777" w:rsidR="00E836FB" w:rsidRDefault="00994958">
            <w:pPr>
              <w:jc w:val="right"/>
              <w:textAlignment w:val="bottom"/>
            </w:pPr>
            <w:r>
              <w:rPr>
                <w:rFonts w:ascii="Arial" w:eastAsia="宋体" w:hAnsi="Arial" w:cs="Arial"/>
                <w:color w:val="000000"/>
                <w:sz w:val="15"/>
                <w:szCs w:val="15"/>
              </w:rPr>
              <w:t>(713)</w:t>
            </w:r>
          </w:p>
        </w:tc>
        <w:tc>
          <w:tcPr>
            <w:tcW w:w="0" w:type="auto"/>
            <w:shd w:val="clear" w:color="auto" w:fill="FFFFFF"/>
            <w:tcMar>
              <w:top w:w="40" w:type="dxa"/>
              <w:left w:w="0" w:type="dxa"/>
              <w:bottom w:w="40" w:type="dxa"/>
              <w:right w:w="20" w:type="dxa"/>
            </w:tcMar>
            <w:vAlign w:val="bottom"/>
          </w:tcPr>
          <w:p w14:paraId="5F2CF772" w14:textId="77777777" w:rsidR="00E836FB" w:rsidRDefault="00E836FB">
            <w:pPr>
              <w:jc w:val="right"/>
              <w:rPr>
                <w:rFonts w:ascii="宋体"/>
              </w:rPr>
            </w:pPr>
          </w:p>
        </w:tc>
      </w:tr>
      <w:tr w:rsidR="00E836FB" w14:paraId="5F2CF77A" w14:textId="77777777">
        <w:trPr>
          <w:hidden/>
        </w:trPr>
        <w:tc>
          <w:tcPr>
            <w:tcW w:w="0" w:type="auto"/>
            <w:gridSpan w:val="3"/>
            <w:shd w:val="clear" w:color="auto" w:fill="auto"/>
            <w:vAlign w:val="bottom"/>
          </w:tcPr>
          <w:p w14:paraId="5F2CF774" w14:textId="77777777" w:rsidR="00E836FB" w:rsidRDefault="00E836FB">
            <w:pPr>
              <w:rPr>
                <w:rFonts w:ascii="宋体"/>
                <w:vanish/>
              </w:rPr>
            </w:pPr>
          </w:p>
        </w:tc>
        <w:tc>
          <w:tcPr>
            <w:tcW w:w="0" w:type="auto"/>
            <w:gridSpan w:val="3"/>
            <w:shd w:val="clear" w:color="auto" w:fill="auto"/>
            <w:vAlign w:val="bottom"/>
          </w:tcPr>
          <w:p w14:paraId="5F2CF775" w14:textId="77777777" w:rsidR="00E836FB" w:rsidRDefault="00E836FB">
            <w:pPr>
              <w:rPr>
                <w:rFonts w:ascii="宋体"/>
                <w:vanish/>
              </w:rPr>
            </w:pPr>
          </w:p>
        </w:tc>
        <w:tc>
          <w:tcPr>
            <w:tcW w:w="0" w:type="auto"/>
            <w:gridSpan w:val="3"/>
            <w:shd w:val="clear" w:color="auto" w:fill="auto"/>
            <w:vAlign w:val="bottom"/>
          </w:tcPr>
          <w:p w14:paraId="5F2CF776" w14:textId="77777777" w:rsidR="00E836FB" w:rsidRDefault="00E836FB">
            <w:pPr>
              <w:rPr>
                <w:rFonts w:ascii="宋体"/>
                <w:vanish/>
              </w:rPr>
            </w:pPr>
          </w:p>
        </w:tc>
        <w:tc>
          <w:tcPr>
            <w:tcW w:w="0" w:type="auto"/>
            <w:gridSpan w:val="3"/>
            <w:shd w:val="clear" w:color="auto" w:fill="auto"/>
            <w:vAlign w:val="bottom"/>
          </w:tcPr>
          <w:p w14:paraId="5F2CF777" w14:textId="77777777" w:rsidR="00E836FB" w:rsidRDefault="00E836FB">
            <w:pPr>
              <w:rPr>
                <w:rFonts w:ascii="宋体"/>
                <w:vanish/>
              </w:rPr>
            </w:pPr>
          </w:p>
        </w:tc>
        <w:tc>
          <w:tcPr>
            <w:tcW w:w="0" w:type="auto"/>
            <w:gridSpan w:val="3"/>
            <w:shd w:val="clear" w:color="auto" w:fill="auto"/>
            <w:vAlign w:val="bottom"/>
          </w:tcPr>
          <w:p w14:paraId="5F2CF778" w14:textId="77777777" w:rsidR="00E836FB" w:rsidRDefault="00E836FB">
            <w:pPr>
              <w:rPr>
                <w:rFonts w:ascii="宋体"/>
                <w:vanish/>
              </w:rPr>
            </w:pPr>
          </w:p>
        </w:tc>
        <w:tc>
          <w:tcPr>
            <w:tcW w:w="0" w:type="auto"/>
            <w:gridSpan w:val="3"/>
            <w:shd w:val="clear" w:color="auto" w:fill="auto"/>
            <w:vAlign w:val="bottom"/>
          </w:tcPr>
          <w:p w14:paraId="5F2CF779" w14:textId="77777777" w:rsidR="00E836FB" w:rsidRDefault="00E836FB">
            <w:pPr>
              <w:rPr>
                <w:rFonts w:ascii="宋体"/>
                <w:vanish/>
              </w:rPr>
            </w:pPr>
          </w:p>
        </w:tc>
      </w:tr>
      <w:tr w:rsidR="00E836FB" w14:paraId="5F2CF784" w14:textId="77777777">
        <w:tc>
          <w:tcPr>
            <w:tcW w:w="0" w:type="auto"/>
            <w:gridSpan w:val="3"/>
            <w:shd w:val="clear" w:color="auto" w:fill="CCEEFF"/>
            <w:tcMar>
              <w:top w:w="40" w:type="dxa"/>
              <w:left w:w="20" w:type="dxa"/>
              <w:bottom w:w="40" w:type="dxa"/>
              <w:right w:w="20" w:type="dxa"/>
            </w:tcMar>
            <w:vAlign w:val="bottom"/>
          </w:tcPr>
          <w:p w14:paraId="5F2CF77B" w14:textId="77777777" w:rsidR="00E836FB" w:rsidRDefault="00994958">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5F2CF77C" w14:textId="77777777" w:rsidR="00E836FB" w:rsidRDefault="00994958">
            <w:pPr>
              <w:jc w:val="right"/>
              <w:textAlignment w:val="bottom"/>
            </w:pPr>
            <w:r>
              <w:rPr>
                <w:rFonts w:ascii="Arial" w:eastAsia="宋体" w:hAnsi="Arial" w:cs="Arial"/>
                <w:b/>
                <w:bCs/>
                <w:color w:val="000000"/>
                <w:sz w:val="15"/>
                <w:szCs w:val="15"/>
              </w:rPr>
              <w:t>(574)</w:t>
            </w:r>
          </w:p>
        </w:tc>
        <w:tc>
          <w:tcPr>
            <w:tcW w:w="0" w:type="auto"/>
            <w:shd w:val="clear" w:color="auto" w:fill="CCEEFF"/>
            <w:tcMar>
              <w:top w:w="40" w:type="dxa"/>
              <w:left w:w="0" w:type="dxa"/>
              <w:bottom w:w="40" w:type="dxa"/>
              <w:right w:w="20" w:type="dxa"/>
            </w:tcMar>
            <w:vAlign w:val="bottom"/>
          </w:tcPr>
          <w:p w14:paraId="5F2CF77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7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7F" w14:textId="77777777" w:rsidR="00E836FB" w:rsidRDefault="00994958">
            <w:pPr>
              <w:jc w:val="right"/>
              <w:textAlignment w:val="bottom"/>
            </w:pPr>
            <w:r>
              <w:rPr>
                <w:rFonts w:ascii="Arial" w:eastAsia="宋体" w:hAnsi="Arial" w:cs="Arial"/>
                <w:color w:val="000000"/>
                <w:sz w:val="15"/>
                <w:szCs w:val="15"/>
              </w:rPr>
              <w:t>(170)</w:t>
            </w:r>
          </w:p>
        </w:tc>
        <w:tc>
          <w:tcPr>
            <w:tcW w:w="0" w:type="auto"/>
            <w:shd w:val="clear" w:color="auto" w:fill="CCEEFF"/>
            <w:tcMar>
              <w:top w:w="40" w:type="dxa"/>
              <w:left w:w="0" w:type="dxa"/>
              <w:bottom w:w="40" w:type="dxa"/>
              <w:right w:w="20" w:type="dxa"/>
            </w:tcMar>
            <w:vAlign w:val="bottom"/>
          </w:tcPr>
          <w:p w14:paraId="5F2CF7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8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82" w14:textId="77777777" w:rsidR="00E836FB" w:rsidRDefault="00994958">
            <w:pPr>
              <w:jc w:val="right"/>
              <w:textAlignment w:val="bottom"/>
            </w:pPr>
            <w:r>
              <w:rPr>
                <w:rFonts w:ascii="Arial" w:eastAsia="宋体" w:hAnsi="Arial" w:cs="Arial"/>
                <w:color w:val="000000"/>
                <w:sz w:val="15"/>
                <w:szCs w:val="15"/>
              </w:rPr>
              <w:t>294 </w:t>
            </w:r>
          </w:p>
        </w:tc>
        <w:tc>
          <w:tcPr>
            <w:tcW w:w="0" w:type="auto"/>
            <w:shd w:val="clear" w:color="auto" w:fill="CCEEFF"/>
            <w:tcMar>
              <w:top w:w="40" w:type="dxa"/>
              <w:left w:w="0" w:type="dxa"/>
              <w:bottom w:w="40" w:type="dxa"/>
              <w:right w:w="20" w:type="dxa"/>
            </w:tcMar>
            <w:vAlign w:val="bottom"/>
          </w:tcPr>
          <w:p w14:paraId="5F2CF783" w14:textId="77777777" w:rsidR="00E836FB" w:rsidRDefault="00E836FB">
            <w:pPr>
              <w:jc w:val="right"/>
              <w:rPr>
                <w:rFonts w:ascii="宋体"/>
              </w:rPr>
            </w:pPr>
          </w:p>
        </w:tc>
      </w:tr>
      <w:tr w:rsidR="00E836FB" w14:paraId="5F2CF78B" w14:textId="77777777">
        <w:trPr>
          <w:hidden/>
        </w:trPr>
        <w:tc>
          <w:tcPr>
            <w:tcW w:w="0" w:type="auto"/>
            <w:gridSpan w:val="3"/>
            <w:shd w:val="clear" w:color="auto" w:fill="auto"/>
            <w:vAlign w:val="bottom"/>
          </w:tcPr>
          <w:p w14:paraId="5F2CF785" w14:textId="77777777" w:rsidR="00E836FB" w:rsidRDefault="00E836FB">
            <w:pPr>
              <w:rPr>
                <w:rFonts w:ascii="宋体"/>
                <w:vanish/>
              </w:rPr>
            </w:pPr>
          </w:p>
        </w:tc>
        <w:tc>
          <w:tcPr>
            <w:tcW w:w="0" w:type="auto"/>
            <w:gridSpan w:val="3"/>
            <w:shd w:val="clear" w:color="auto" w:fill="auto"/>
            <w:vAlign w:val="bottom"/>
          </w:tcPr>
          <w:p w14:paraId="5F2CF786" w14:textId="77777777" w:rsidR="00E836FB" w:rsidRDefault="00E836FB">
            <w:pPr>
              <w:rPr>
                <w:rFonts w:ascii="宋体"/>
                <w:vanish/>
              </w:rPr>
            </w:pPr>
          </w:p>
        </w:tc>
        <w:tc>
          <w:tcPr>
            <w:tcW w:w="0" w:type="auto"/>
            <w:gridSpan w:val="3"/>
            <w:shd w:val="clear" w:color="auto" w:fill="auto"/>
            <w:vAlign w:val="bottom"/>
          </w:tcPr>
          <w:p w14:paraId="5F2CF787" w14:textId="77777777" w:rsidR="00E836FB" w:rsidRDefault="00E836FB">
            <w:pPr>
              <w:rPr>
                <w:rFonts w:ascii="宋体"/>
                <w:vanish/>
              </w:rPr>
            </w:pPr>
          </w:p>
        </w:tc>
        <w:tc>
          <w:tcPr>
            <w:tcW w:w="0" w:type="auto"/>
            <w:gridSpan w:val="3"/>
            <w:shd w:val="clear" w:color="auto" w:fill="auto"/>
            <w:vAlign w:val="bottom"/>
          </w:tcPr>
          <w:p w14:paraId="5F2CF788" w14:textId="77777777" w:rsidR="00E836FB" w:rsidRDefault="00E836FB">
            <w:pPr>
              <w:rPr>
                <w:rFonts w:ascii="宋体"/>
                <w:vanish/>
              </w:rPr>
            </w:pPr>
          </w:p>
        </w:tc>
        <w:tc>
          <w:tcPr>
            <w:tcW w:w="0" w:type="auto"/>
            <w:gridSpan w:val="3"/>
            <w:shd w:val="clear" w:color="auto" w:fill="auto"/>
            <w:vAlign w:val="bottom"/>
          </w:tcPr>
          <w:p w14:paraId="5F2CF789" w14:textId="77777777" w:rsidR="00E836FB" w:rsidRDefault="00E836FB">
            <w:pPr>
              <w:rPr>
                <w:rFonts w:ascii="宋体"/>
                <w:vanish/>
              </w:rPr>
            </w:pPr>
          </w:p>
        </w:tc>
        <w:tc>
          <w:tcPr>
            <w:tcW w:w="0" w:type="auto"/>
            <w:gridSpan w:val="3"/>
            <w:shd w:val="clear" w:color="auto" w:fill="auto"/>
            <w:vAlign w:val="bottom"/>
          </w:tcPr>
          <w:p w14:paraId="5F2CF78A" w14:textId="77777777" w:rsidR="00E836FB" w:rsidRDefault="00E836FB">
            <w:pPr>
              <w:rPr>
                <w:rFonts w:ascii="宋体"/>
                <w:vanish/>
              </w:rPr>
            </w:pPr>
          </w:p>
        </w:tc>
      </w:tr>
      <w:tr w:rsidR="00E836FB" w14:paraId="5F2CF795" w14:textId="77777777">
        <w:tc>
          <w:tcPr>
            <w:tcW w:w="0" w:type="auto"/>
            <w:gridSpan w:val="3"/>
            <w:shd w:val="clear" w:color="auto" w:fill="FFFFFF"/>
            <w:tcMar>
              <w:top w:w="40" w:type="dxa"/>
              <w:left w:w="20" w:type="dxa"/>
              <w:bottom w:w="40" w:type="dxa"/>
              <w:right w:w="20" w:type="dxa"/>
            </w:tcMar>
            <w:vAlign w:val="bottom"/>
          </w:tcPr>
          <w:p w14:paraId="5F2CF78C" w14:textId="77777777" w:rsidR="00E836FB" w:rsidRDefault="00994958">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5F2CF78D" w14:textId="77777777" w:rsidR="00E836FB" w:rsidRDefault="00994958">
            <w:pPr>
              <w:jc w:val="right"/>
              <w:textAlignment w:val="bottom"/>
            </w:pPr>
            <w:r>
              <w:rPr>
                <w:rFonts w:ascii="Arial" w:eastAsia="宋体" w:hAnsi="Arial" w:cs="Arial"/>
                <w:b/>
                <w:bCs/>
                <w:color w:val="000000"/>
                <w:sz w:val="15"/>
                <w:szCs w:val="15"/>
              </w:rPr>
              <w:t>401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8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90" w14:textId="77777777" w:rsidR="00E836FB" w:rsidRDefault="00994958">
            <w:pPr>
              <w:jc w:val="right"/>
              <w:textAlignment w:val="bottom"/>
            </w:pPr>
            <w:r>
              <w:rPr>
                <w:rFonts w:ascii="Arial" w:eastAsia="宋体" w:hAnsi="Arial" w:cs="Arial"/>
                <w:color w:val="000000"/>
                <w:sz w:val="15"/>
                <w:szCs w:val="15"/>
              </w:rPr>
              <w:t>361 </w:t>
            </w:r>
          </w:p>
        </w:tc>
        <w:tc>
          <w:tcPr>
            <w:tcW w:w="0" w:type="auto"/>
            <w:shd w:val="clear" w:color="auto" w:fill="FFFFFF"/>
            <w:tcMar>
              <w:top w:w="40" w:type="dxa"/>
              <w:left w:w="0" w:type="dxa"/>
              <w:bottom w:w="40" w:type="dxa"/>
              <w:right w:w="20" w:type="dxa"/>
            </w:tcMar>
            <w:vAlign w:val="bottom"/>
          </w:tcPr>
          <w:p w14:paraId="5F2CF7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93" w14:textId="77777777" w:rsidR="00E836FB" w:rsidRDefault="00994958">
            <w:pPr>
              <w:jc w:val="right"/>
              <w:textAlignment w:val="bottom"/>
            </w:pPr>
            <w:r>
              <w:rPr>
                <w:rFonts w:ascii="Arial" w:eastAsia="宋体" w:hAnsi="Arial" w:cs="Arial"/>
                <w:color w:val="000000"/>
                <w:sz w:val="15"/>
                <w:szCs w:val="15"/>
              </w:rPr>
              <w:t>410 </w:t>
            </w:r>
          </w:p>
        </w:tc>
        <w:tc>
          <w:tcPr>
            <w:tcW w:w="0" w:type="auto"/>
            <w:shd w:val="clear" w:color="auto" w:fill="FFFFFF"/>
            <w:tcMar>
              <w:top w:w="40" w:type="dxa"/>
              <w:left w:w="0" w:type="dxa"/>
              <w:bottom w:w="40" w:type="dxa"/>
              <w:right w:w="20" w:type="dxa"/>
            </w:tcMar>
            <w:vAlign w:val="bottom"/>
          </w:tcPr>
          <w:p w14:paraId="5F2CF794" w14:textId="77777777" w:rsidR="00E836FB" w:rsidRDefault="00E836FB">
            <w:pPr>
              <w:jc w:val="right"/>
              <w:rPr>
                <w:rFonts w:ascii="宋体"/>
              </w:rPr>
            </w:pPr>
          </w:p>
        </w:tc>
      </w:tr>
      <w:tr w:rsidR="00E836FB" w14:paraId="5F2CF79F" w14:textId="77777777">
        <w:tc>
          <w:tcPr>
            <w:tcW w:w="0" w:type="auto"/>
            <w:gridSpan w:val="3"/>
            <w:shd w:val="clear" w:color="auto" w:fill="CCEEFF"/>
            <w:tcMar>
              <w:top w:w="40" w:type="dxa"/>
              <w:left w:w="20" w:type="dxa"/>
              <w:bottom w:w="40" w:type="dxa"/>
              <w:right w:w="20" w:type="dxa"/>
            </w:tcMar>
            <w:vAlign w:val="bottom"/>
          </w:tcPr>
          <w:p w14:paraId="5F2CF796" w14:textId="77777777" w:rsidR="00E836FB" w:rsidRDefault="00994958">
            <w:pPr>
              <w:textAlignment w:val="bottom"/>
            </w:pPr>
            <w:r>
              <w:rPr>
                <w:rFonts w:ascii="Arial" w:eastAsia="宋体" w:hAnsi="Arial" w:cs="Arial"/>
                <w:color w:val="000000"/>
                <w:sz w:val="15"/>
                <w:szCs w:val="15"/>
              </w:rPr>
              <w:t>Net cash (used in)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797" w14:textId="77777777" w:rsidR="00E836FB" w:rsidRDefault="00994958">
            <w:pPr>
              <w:jc w:val="right"/>
              <w:textAlignment w:val="bottom"/>
            </w:pPr>
            <w:r>
              <w:rPr>
                <w:rFonts w:ascii="Arial" w:eastAsia="宋体" w:hAnsi="Arial" w:cs="Arial"/>
                <w:b/>
                <w:bCs/>
                <w:color w:val="000000"/>
                <w:sz w:val="15"/>
                <w:szCs w:val="15"/>
              </w:rPr>
              <w:t>(6,710)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7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9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79A" w14:textId="77777777" w:rsidR="00E836FB" w:rsidRDefault="00994958">
            <w:pPr>
              <w:jc w:val="right"/>
              <w:textAlignment w:val="bottom"/>
            </w:pPr>
            <w:r>
              <w:rPr>
                <w:rFonts w:ascii="Arial" w:eastAsia="宋体" w:hAnsi="Arial" w:cs="Arial"/>
                <w:color w:val="000000"/>
                <w:sz w:val="15"/>
                <w:szCs w:val="15"/>
              </w:rPr>
              <w:t>3,532 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7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9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79D" w14:textId="77777777" w:rsidR="00E836FB" w:rsidRDefault="00994958">
            <w:pPr>
              <w:jc w:val="right"/>
              <w:textAlignment w:val="bottom"/>
            </w:pPr>
            <w:r>
              <w:rPr>
                <w:rFonts w:ascii="Arial" w:eastAsia="宋体" w:hAnsi="Arial" w:cs="Arial"/>
                <w:color w:val="000000"/>
                <w:sz w:val="15"/>
                <w:szCs w:val="15"/>
              </w:rPr>
              <w:t>5,690 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79E" w14:textId="77777777" w:rsidR="00E836FB" w:rsidRDefault="00E836FB">
            <w:pPr>
              <w:jc w:val="right"/>
              <w:rPr>
                <w:rFonts w:ascii="宋体"/>
              </w:rPr>
            </w:pPr>
          </w:p>
        </w:tc>
      </w:tr>
      <w:tr w:rsidR="00E836FB" w14:paraId="5F2CF7A6" w14:textId="77777777">
        <w:tc>
          <w:tcPr>
            <w:tcW w:w="0" w:type="auto"/>
            <w:gridSpan w:val="3"/>
            <w:shd w:val="clear" w:color="auto" w:fill="FFFFFF"/>
            <w:tcMar>
              <w:top w:w="40" w:type="dxa"/>
              <w:left w:w="20" w:type="dxa"/>
              <w:bottom w:w="40" w:type="dxa"/>
              <w:right w:w="20" w:type="dxa"/>
            </w:tcMar>
            <w:vAlign w:val="bottom"/>
          </w:tcPr>
          <w:p w14:paraId="5F2CF7A0" w14:textId="77777777" w:rsidR="00E836FB" w:rsidRDefault="00994958">
            <w:pPr>
              <w:textAlignment w:val="bottom"/>
            </w:pPr>
            <w:r>
              <w:rPr>
                <w:rFonts w:ascii="Arial" w:eastAsia="宋体" w:hAnsi="Arial" w:cs="Arial"/>
                <w:b/>
                <w:bCs/>
                <w:color w:val="000000"/>
                <w:sz w:val="15"/>
                <w:szCs w:val="15"/>
              </w:rPr>
              <w:t>Investing Activities:</w:t>
            </w:r>
          </w:p>
        </w:tc>
        <w:tc>
          <w:tcPr>
            <w:tcW w:w="0" w:type="auto"/>
            <w:gridSpan w:val="3"/>
            <w:shd w:val="clear" w:color="auto" w:fill="FFFFFF"/>
            <w:tcMar>
              <w:top w:w="0" w:type="dxa"/>
              <w:left w:w="20" w:type="dxa"/>
              <w:bottom w:w="0" w:type="dxa"/>
              <w:right w:w="20" w:type="dxa"/>
            </w:tcMar>
            <w:vAlign w:val="bottom"/>
          </w:tcPr>
          <w:p w14:paraId="5F2CF7A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A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A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A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7A5" w14:textId="77777777" w:rsidR="00E836FB" w:rsidRDefault="00E836FB">
            <w:pPr>
              <w:rPr>
                <w:rFonts w:ascii="宋体"/>
              </w:rPr>
            </w:pPr>
          </w:p>
        </w:tc>
      </w:tr>
      <w:tr w:rsidR="00E836FB" w14:paraId="5F2CF7B0" w14:textId="77777777">
        <w:tc>
          <w:tcPr>
            <w:tcW w:w="0" w:type="auto"/>
            <w:gridSpan w:val="3"/>
            <w:shd w:val="clear" w:color="auto" w:fill="CCEEFF"/>
            <w:tcMar>
              <w:top w:w="40" w:type="dxa"/>
              <w:left w:w="20" w:type="dxa"/>
              <w:bottom w:w="40" w:type="dxa"/>
              <w:right w:w="20" w:type="dxa"/>
            </w:tcMar>
            <w:vAlign w:val="bottom"/>
          </w:tcPr>
          <w:p w14:paraId="5F2CF7A7" w14:textId="77777777" w:rsidR="00E836FB" w:rsidRDefault="00994958">
            <w:pPr>
              <w:textAlignment w:val="bottom"/>
            </w:pPr>
            <w:r>
              <w:rPr>
                <w:rFonts w:ascii="Arial" w:eastAsia="宋体" w:hAnsi="Arial" w:cs="Arial"/>
                <w:color w:val="000000"/>
                <w:sz w:val="15"/>
                <w:szCs w:val="15"/>
              </w:rPr>
              <w:t>Net (increase) decrease in interest-bearing deposits with banks</w:t>
            </w:r>
          </w:p>
        </w:tc>
        <w:tc>
          <w:tcPr>
            <w:tcW w:w="0" w:type="auto"/>
            <w:gridSpan w:val="2"/>
            <w:shd w:val="clear" w:color="auto" w:fill="CCEEFF"/>
            <w:tcMar>
              <w:top w:w="40" w:type="dxa"/>
              <w:left w:w="20" w:type="dxa"/>
              <w:bottom w:w="40" w:type="dxa"/>
              <w:right w:w="0" w:type="dxa"/>
            </w:tcMar>
            <w:vAlign w:val="bottom"/>
          </w:tcPr>
          <w:p w14:paraId="5F2CF7A8" w14:textId="77777777" w:rsidR="00E836FB" w:rsidRDefault="00994958">
            <w:pPr>
              <w:jc w:val="right"/>
              <w:textAlignment w:val="bottom"/>
            </w:pPr>
            <w:r>
              <w:rPr>
                <w:rFonts w:ascii="Arial" w:eastAsia="宋体" w:hAnsi="Arial" w:cs="Arial"/>
                <w:b/>
                <w:bCs/>
                <w:color w:val="000000"/>
                <w:sz w:val="15"/>
                <w:szCs w:val="15"/>
              </w:rPr>
              <w:t>10,602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7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A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AB" w14:textId="77777777" w:rsidR="00E836FB" w:rsidRDefault="00994958">
            <w:pPr>
              <w:jc w:val="right"/>
              <w:textAlignment w:val="bottom"/>
            </w:pPr>
            <w:r>
              <w:rPr>
                <w:rFonts w:ascii="Arial" w:eastAsia="宋体" w:hAnsi="Arial" w:cs="Arial"/>
                <w:color w:val="000000"/>
                <w:sz w:val="15"/>
                <w:szCs w:val="15"/>
              </w:rPr>
              <w:t>(47,995)</w:t>
            </w:r>
          </w:p>
        </w:tc>
        <w:tc>
          <w:tcPr>
            <w:tcW w:w="0" w:type="auto"/>
            <w:shd w:val="clear" w:color="auto" w:fill="CCEEFF"/>
            <w:tcMar>
              <w:top w:w="40" w:type="dxa"/>
              <w:left w:w="0" w:type="dxa"/>
              <w:bottom w:w="40" w:type="dxa"/>
              <w:right w:w="20" w:type="dxa"/>
            </w:tcMar>
            <w:vAlign w:val="bottom"/>
          </w:tcPr>
          <w:p w14:paraId="5F2CF7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AE" w14:textId="77777777" w:rsidR="00E836FB" w:rsidRDefault="00994958">
            <w:pPr>
              <w:jc w:val="right"/>
              <w:textAlignment w:val="bottom"/>
            </w:pPr>
            <w:r>
              <w:rPr>
                <w:rFonts w:ascii="Arial" w:eastAsia="宋体" w:hAnsi="Arial" w:cs="Arial"/>
                <w:color w:val="000000"/>
                <w:sz w:val="15"/>
                <w:szCs w:val="15"/>
              </w:rPr>
              <w:t>4,075 </w:t>
            </w:r>
          </w:p>
        </w:tc>
        <w:tc>
          <w:tcPr>
            <w:tcW w:w="0" w:type="auto"/>
            <w:shd w:val="clear" w:color="auto" w:fill="CCEEFF"/>
            <w:tcMar>
              <w:top w:w="40" w:type="dxa"/>
              <w:left w:w="0" w:type="dxa"/>
              <w:bottom w:w="40" w:type="dxa"/>
              <w:right w:w="20" w:type="dxa"/>
            </w:tcMar>
            <w:vAlign w:val="bottom"/>
          </w:tcPr>
          <w:p w14:paraId="5F2CF7AF" w14:textId="77777777" w:rsidR="00E836FB" w:rsidRDefault="00E836FB">
            <w:pPr>
              <w:jc w:val="right"/>
              <w:rPr>
                <w:rFonts w:ascii="宋体"/>
              </w:rPr>
            </w:pPr>
          </w:p>
        </w:tc>
      </w:tr>
      <w:tr w:rsidR="00E836FB" w14:paraId="5F2CF7BA" w14:textId="77777777">
        <w:tc>
          <w:tcPr>
            <w:tcW w:w="0" w:type="auto"/>
            <w:gridSpan w:val="3"/>
            <w:shd w:val="clear" w:color="auto" w:fill="FFFFFF"/>
            <w:tcMar>
              <w:top w:w="40" w:type="dxa"/>
              <w:left w:w="20" w:type="dxa"/>
              <w:bottom w:w="40" w:type="dxa"/>
              <w:right w:w="20" w:type="dxa"/>
            </w:tcMar>
            <w:vAlign w:val="bottom"/>
          </w:tcPr>
          <w:p w14:paraId="5F2CF7B1" w14:textId="77777777" w:rsidR="00E836FB" w:rsidRDefault="00994958">
            <w:pPr>
              <w:textAlignment w:val="bottom"/>
            </w:pPr>
            <w:r>
              <w:rPr>
                <w:rFonts w:ascii="Arial" w:eastAsia="宋体" w:hAnsi="Arial" w:cs="Arial"/>
                <w:color w:val="000000"/>
                <w:sz w:val="15"/>
                <w:szCs w:val="15"/>
              </w:rPr>
              <w:t>Net (increase) decrease in securities purchased under resale agreements</w:t>
            </w:r>
          </w:p>
        </w:tc>
        <w:tc>
          <w:tcPr>
            <w:tcW w:w="0" w:type="auto"/>
            <w:gridSpan w:val="2"/>
            <w:shd w:val="clear" w:color="auto" w:fill="FFFFFF"/>
            <w:tcMar>
              <w:top w:w="40" w:type="dxa"/>
              <w:left w:w="20" w:type="dxa"/>
              <w:bottom w:w="40" w:type="dxa"/>
              <w:right w:w="0" w:type="dxa"/>
            </w:tcMar>
            <w:vAlign w:val="bottom"/>
          </w:tcPr>
          <w:p w14:paraId="5F2CF7B2" w14:textId="77777777" w:rsidR="00E836FB" w:rsidRDefault="00994958">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B5" w14:textId="77777777" w:rsidR="00E836FB" w:rsidRDefault="00994958">
            <w:pPr>
              <w:jc w:val="right"/>
              <w:textAlignment w:val="bottom"/>
            </w:pPr>
            <w:r>
              <w:rPr>
                <w:rFonts w:ascii="Arial" w:eastAsia="宋体" w:hAnsi="Arial" w:cs="Arial"/>
                <w:color w:val="000000"/>
                <w:sz w:val="15"/>
                <w:szCs w:val="15"/>
              </w:rPr>
              <w:t>(1,619)</w:t>
            </w:r>
          </w:p>
        </w:tc>
        <w:tc>
          <w:tcPr>
            <w:tcW w:w="0" w:type="auto"/>
            <w:shd w:val="clear" w:color="auto" w:fill="FFFFFF"/>
            <w:tcMar>
              <w:top w:w="40" w:type="dxa"/>
              <w:left w:w="0" w:type="dxa"/>
              <w:bottom w:w="40" w:type="dxa"/>
              <w:right w:w="20" w:type="dxa"/>
            </w:tcMar>
            <w:vAlign w:val="bottom"/>
          </w:tcPr>
          <w:p w14:paraId="5F2CF7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B8" w14:textId="77777777" w:rsidR="00E836FB" w:rsidRDefault="00994958">
            <w:pPr>
              <w:jc w:val="right"/>
              <w:textAlignment w:val="bottom"/>
            </w:pPr>
            <w:r>
              <w:rPr>
                <w:rFonts w:ascii="Arial" w:eastAsia="宋体" w:hAnsi="Arial" w:cs="Arial"/>
                <w:color w:val="000000"/>
                <w:sz w:val="15"/>
                <w:szCs w:val="15"/>
              </w:rPr>
              <w:t>3,192 </w:t>
            </w:r>
          </w:p>
        </w:tc>
        <w:tc>
          <w:tcPr>
            <w:tcW w:w="0" w:type="auto"/>
            <w:shd w:val="clear" w:color="auto" w:fill="FFFFFF"/>
            <w:tcMar>
              <w:top w:w="40" w:type="dxa"/>
              <w:left w:w="0" w:type="dxa"/>
              <w:bottom w:w="40" w:type="dxa"/>
              <w:right w:w="20" w:type="dxa"/>
            </w:tcMar>
            <w:vAlign w:val="bottom"/>
          </w:tcPr>
          <w:p w14:paraId="5F2CF7B9" w14:textId="77777777" w:rsidR="00E836FB" w:rsidRDefault="00E836FB">
            <w:pPr>
              <w:jc w:val="right"/>
              <w:rPr>
                <w:rFonts w:ascii="宋体"/>
              </w:rPr>
            </w:pPr>
          </w:p>
        </w:tc>
      </w:tr>
      <w:tr w:rsidR="00E836FB" w14:paraId="5F2CF7C4" w14:textId="77777777">
        <w:tc>
          <w:tcPr>
            <w:tcW w:w="0" w:type="auto"/>
            <w:gridSpan w:val="3"/>
            <w:shd w:val="clear" w:color="auto" w:fill="CCEEFF"/>
            <w:tcMar>
              <w:top w:w="40" w:type="dxa"/>
              <w:left w:w="20" w:type="dxa"/>
              <w:bottom w:w="40" w:type="dxa"/>
              <w:right w:w="20" w:type="dxa"/>
            </w:tcMar>
            <w:vAlign w:val="bottom"/>
          </w:tcPr>
          <w:p w14:paraId="5F2CF7BB" w14:textId="77777777" w:rsidR="00E836FB" w:rsidRDefault="00994958">
            <w:pPr>
              <w:textAlignment w:val="bottom"/>
            </w:pPr>
            <w:r>
              <w:rPr>
                <w:rFonts w:ascii="Arial" w:eastAsia="宋体" w:hAnsi="Arial" w:cs="Arial"/>
                <w:color w:val="000000"/>
                <w:sz w:val="15"/>
                <w:szCs w:val="15"/>
              </w:rPr>
              <w:t xml:space="preserve">Proceeds from sales of </w:t>
            </w:r>
            <w:r>
              <w:rPr>
                <w:rFonts w:ascii="Arial" w:eastAsia="宋体" w:hAnsi="Arial" w:cs="Arial"/>
                <w:color w:val="000000"/>
                <w:sz w:val="15"/>
                <w:szCs w:val="15"/>
              </w:rPr>
              <w:t>available-for-sale securities</w:t>
            </w:r>
          </w:p>
        </w:tc>
        <w:tc>
          <w:tcPr>
            <w:tcW w:w="0" w:type="auto"/>
            <w:gridSpan w:val="2"/>
            <w:shd w:val="clear" w:color="auto" w:fill="CCEEFF"/>
            <w:tcMar>
              <w:top w:w="40" w:type="dxa"/>
              <w:left w:w="20" w:type="dxa"/>
              <w:bottom w:w="40" w:type="dxa"/>
              <w:right w:w="0" w:type="dxa"/>
            </w:tcMar>
            <w:vAlign w:val="bottom"/>
          </w:tcPr>
          <w:p w14:paraId="5F2CF7BC" w14:textId="77777777" w:rsidR="00E836FB" w:rsidRDefault="00994958">
            <w:pPr>
              <w:jc w:val="right"/>
              <w:textAlignment w:val="bottom"/>
            </w:pPr>
            <w:r>
              <w:rPr>
                <w:rFonts w:ascii="Arial" w:eastAsia="宋体" w:hAnsi="Arial" w:cs="Arial"/>
                <w:b/>
                <w:bCs/>
                <w:color w:val="000000"/>
                <w:sz w:val="15"/>
                <w:szCs w:val="15"/>
              </w:rPr>
              <w:t>12,822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7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BF" w14:textId="77777777" w:rsidR="00E836FB" w:rsidRDefault="00994958">
            <w:pPr>
              <w:jc w:val="right"/>
              <w:textAlignment w:val="bottom"/>
            </w:pPr>
            <w:r>
              <w:rPr>
                <w:rFonts w:ascii="Arial" w:eastAsia="宋体" w:hAnsi="Arial" w:cs="Arial"/>
                <w:color w:val="000000"/>
                <w:sz w:val="15"/>
                <w:szCs w:val="15"/>
              </w:rPr>
              <w:t>2,645 </w:t>
            </w:r>
          </w:p>
        </w:tc>
        <w:tc>
          <w:tcPr>
            <w:tcW w:w="0" w:type="auto"/>
            <w:shd w:val="clear" w:color="auto" w:fill="CCEEFF"/>
            <w:tcMar>
              <w:top w:w="40" w:type="dxa"/>
              <w:left w:w="0" w:type="dxa"/>
              <w:bottom w:w="40" w:type="dxa"/>
              <w:right w:w="20" w:type="dxa"/>
            </w:tcMar>
            <w:vAlign w:val="bottom"/>
          </w:tcPr>
          <w:p w14:paraId="5F2CF7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C2" w14:textId="77777777" w:rsidR="00E836FB" w:rsidRDefault="00994958">
            <w:pPr>
              <w:jc w:val="right"/>
              <w:textAlignment w:val="bottom"/>
            </w:pPr>
            <w:r>
              <w:rPr>
                <w:rFonts w:ascii="Arial" w:eastAsia="宋体" w:hAnsi="Arial" w:cs="Arial"/>
                <w:color w:val="000000"/>
                <w:sz w:val="15"/>
                <w:szCs w:val="15"/>
              </w:rPr>
              <w:t>5,642 </w:t>
            </w:r>
          </w:p>
        </w:tc>
        <w:tc>
          <w:tcPr>
            <w:tcW w:w="0" w:type="auto"/>
            <w:shd w:val="clear" w:color="auto" w:fill="CCEEFF"/>
            <w:tcMar>
              <w:top w:w="40" w:type="dxa"/>
              <w:left w:w="0" w:type="dxa"/>
              <w:bottom w:w="40" w:type="dxa"/>
              <w:right w:w="20" w:type="dxa"/>
            </w:tcMar>
            <w:vAlign w:val="bottom"/>
          </w:tcPr>
          <w:p w14:paraId="5F2CF7C3" w14:textId="77777777" w:rsidR="00E836FB" w:rsidRDefault="00E836FB">
            <w:pPr>
              <w:jc w:val="right"/>
              <w:rPr>
                <w:rFonts w:ascii="宋体"/>
              </w:rPr>
            </w:pPr>
          </w:p>
        </w:tc>
      </w:tr>
      <w:tr w:rsidR="00E836FB" w14:paraId="5F2CF7CE" w14:textId="77777777">
        <w:tc>
          <w:tcPr>
            <w:tcW w:w="0" w:type="auto"/>
            <w:gridSpan w:val="3"/>
            <w:shd w:val="clear" w:color="auto" w:fill="FFFFFF"/>
            <w:tcMar>
              <w:top w:w="40" w:type="dxa"/>
              <w:left w:w="20" w:type="dxa"/>
              <w:bottom w:w="40" w:type="dxa"/>
              <w:right w:w="20" w:type="dxa"/>
            </w:tcMar>
            <w:vAlign w:val="bottom"/>
          </w:tcPr>
          <w:p w14:paraId="5F2CF7C5" w14:textId="77777777" w:rsidR="00E836FB" w:rsidRDefault="00994958">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5F2CF7C6" w14:textId="77777777" w:rsidR="00E836FB" w:rsidRDefault="00994958">
            <w:pPr>
              <w:jc w:val="right"/>
              <w:textAlignment w:val="bottom"/>
            </w:pPr>
            <w:r>
              <w:rPr>
                <w:rFonts w:ascii="Arial" w:eastAsia="宋体" w:hAnsi="Arial" w:cs="Arial"/>
                <w:b/>
                <w:bCs/>
                <w:color w:val="000000"/>
                <w:sz w:val="15"/>
                <w:szCs w:val="15"/>
              </w:rPr>
              <w:t>23,484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C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C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C9" w14:textId="77777777" w:rsidR="00E836FB" w:rsidRDefault="00994958">
            <w:pPr>
              <w:jc w:val="right"/>
              <w:textAlignment w:val="bottom"/>
            </w:pPr>
            <w:r>
              <w:rPr>
                <w:rFonts w:ascii="Arial" w:eastAsia="宋体" w:hAnsi="Arial" w:cs="Arial"/>
                <w:color w:val="000000"/>
                <w:sz w:val="15"/>
                <w:szCs w:val="15"/>
              </w:rPr>
              <w:t>23,644 </w:t>
            </w:r>
          </w:p>
        </w:tc>
        <w:tc>
          <w:tcPr>
            <w:tcW w:w="0" w:type="auto"/>
            <w:shd w:val="clear" w:color="auto" w:fill="FFFFFF"/>
            <w:tcMar>
              <w:top w:w="40" w:type="dxa"/>
              <w:left w:w="0" w:type="dxa"/>
              <w:bottom w:w="40" w:type="dxa"/>
              <w:right w:w="20" w:type="dxa"/>
            </w:tcMar>
            <w:vAlign w:val="bottom"/>
          </w:tcPr>
          <w:p w14:paraId="5F2CF7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C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CC" w14:textId="77777777" w:rsidR="00E836FB" w:rsidRDefault="00994958">
            <w:pPr>
              <w:jc w:val="right"/>
              <w:textAlignment w:val="bottom"/>
            </w:pPr>
            <w:r>
              <w:rPr>
                <w:rFonts w:ascii="Arial" w:eastAsia="宋体" w:hAnsi="Arial" w:cs="Arial"/>
                <w:color w:val="000000"/>
                <w:sz w:val="15"/>
                <w:szCs w:val="15"/>
              </w:rPr>
              <w:t>20,407 </w:t>
            </w:r>
          </w:p>
        </w:tc>
        <w:tc>
          <w:tcPr>
            <w:tcW w:w="0" w:type="auto"/>
            <w:shd w:val="clear" w:color="auto" w:fill="FFFFFF"/>
            <w:tcMar>
              <w:top w:w="40" w:type="dxa"/>
              <w:left w:w="0" w:type="dxa"/>
              <w:bottom w:w="40" w:type="dxa"/>
              <w:right w:w="20" w:type="dxa"/>
            </w:tcMar>
            <w:vAlign w:val="bottom"/>
          </w:tcPr>
          <w:p w14:paraId="5F2CF7CD" w14:textId="77777777" w:rsidR="00E836FB" w:rsidRDefault="00E836FB">
            <w:pPr>
              <w:jc w:val="right"/>
              <w:rPr>
                <w:rFonts w:ascii="宋体"/>
              </w:rPr>
            </w:pPr>
          </w:p>
        </w:tc>
      </w:tr>
      <w:tr w:rsidR="00E836FB" w14:paraId="5F2CF7D8" w14:textId="77777777">
        <w:tc>
          <w:tcPr>
            <w:tcW w:w="0" w:type="auto"/>
            <w:gridSpan w:val="3"/>
            <w:shd w:val="clear" w:color="auto" w:fill="CCEEFF"/>
            <w:tcMar>
              <w:top w:w="40" w:type="dxa"/>
              <w:left w:w="20" w:type="dxa"/>
              <w:bottom w:w="40" w:type="dxa"/>
              <w:right w:w="20" w:type="dxa"/>
            </w:tcMar>
            <w:vAlign w:val="bottom"/>
          </w:tcPr>
          <w:p w14:paraId="5F2CF7CF" w14:textId="77777777" w:rsidR="00E836FB" w:rsidRDefault="00994958">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CCEEFF"/>
            <w:tcMar>
              <w:top w:w="40" w:type="dxa"/>
              <w:left w:w="20" w:type="dxa"/>
              <w:bottom w:w="40" w:type="dxa"/>
              <w:right w:w="0" w:type="dxa"/>
            </w:tcMar>
            <w:vAlign w:val="bottom"/>
          </w:tcPr>
          <w:p w14:paraId="5F2CF7D0" w14:textId="77777777" w:rsidR="00E836FB" w:rsidRDefault="00994958">
            <w:pPr>
              <w:jc w:val="right"/>
              <w:textAlignment w:val="bottom"/>
            </w:pPr>
            <w:r>
              <w:rPr>
                <w:rFonts w:ascii="Arial" w:eastAsia="宋体" w:hAnsi="Arial" w:cs="Arial"/>
                <w:b/>
                <w:bCs/>
                <w:color w:val="000000"/>
                <w:sz w:val="15"/>
                <w:szCs w:val="15"/>
              </w:rPr>
              <w:t>(53,750)</w:t>
            </w:r>
          </w:p>
        </w:tc>
        <w:tc>
          <w:tcPr>
            <w:tcW w:w="0" w:type="auto"/>
            <w:shd w:val="clear" w:color="auto" w:fill="CCEEFF"/>
            <w:tcMar>
              <w:top w:w="40" w:type="dxa"/>
              <w:left w:w="0" w:type="dxa"/>
              <w:bottom w:w="40" w:type="dxa"/>
              <w:right w:w="20" w:type="dxa"/>
            </w:tcMar>
            <w:vAlign w:val="bottom"/>
          </w:tcPr>
          <w:p w14:paraId="5F2CF7D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D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D3" w14:textId="77777777" w:rsidR="00E836FB" w:rsidRDefault="00994958">
            <w:pPr>
              <w:jc w:val="right"/>
              <w:textAlignment w:val="bottom"/>
            </w:pPr>
            <w:r>
              <w:rPr>
                <w:rFonts w:ascii="Arial" w:eastAsia="宋体" w:hAnsi="Arial" w:cs="Arial"/>
                <w:color w:val="000000"/>
                <w:sz w:val="15"/>
                <w:szCs w:val="15"/>
              </w:rPr>
              <w:t>(37,873)</w:t>
            </w:r>
          </w:p>
        </w:tc>
        <w:tc>
          <w:tcPr>
            <w:tcW w:w="0" w:type="auto"/>
            <w:shd w:val="clear" w:color="auto" w:fill="CCEEFF"/>
            <w:tcMar>
              <w:top w:w="40" w:type="dxa"/>
              <w:left w:w="0" w:type="dxa"/>
              <w:bottom w:w="40" w:type="dxa"/>
              <w:right w:w="20" w:type="dxa"/>
            </w:tcMar>
            <w:vAlign w:val="bottom"/>
          </w:tcPr>
          <w:p w14:paraId="5F2CF7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D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D6" w14:textId="77777777" w:rsidR="00E836FB" w:rsidRDefault="00994958">
            <w:pPr>
              <w:jc w:val="right"/>
              <w:textAlignment w:val="bottom"/>
            </w:pPr>
            <w:r>
              <w:rPr>
                <w:rFonts w:ascii="Arial" w:eastAsia="宋体" w:hAnsi="Arial" w:cs="Arial"/>
                <w:color w:val="000000"/>
                <w:sz w:val="15"/>
                <w:szCs w:val="15"/>
              </w:rPr>
              <w:t>(38,164)</w:t>
            </w:r>
          </w:p>
        </w:tc>
        <w:tc>
          <w:tcPr>
            <w:tcW w:w="0" w:type="auto"/>
            <w:shd w:val="clear" w:color="auto" w:fill="CCEEFF"/>
            <w:tcMar>
              <w:top w:w="40" w:type="dxa"/>
              <w:left w:w="0" w:type="dxa"/>
              <w:bottom w:w="40" w:type="dxa"/>
              <w:right w:w="20" w:type="dxa"/>
            </w:tcMar>
            <w:vAlign w:val="bottom"/>
          </w:tcPr>
          <w:p w14:paraId="5F2CF7D7" w14:textId="77777777" w:rsidR="00E836FB" w:rsidRDefault="00E836FB">
            <w:pPr>
              <w:jc w:val="right"/>
              <w:rPr>
                <w:rFonts w:ascii="宋体"/>
              </w:rPr>
            </w:pPr>
          </w:p>
        </w:tc>
      </w:tr>
      <w:tr w:rsidR="00E836FB" w14:paraId="5F2CF7DF" w14:textId="77777777">
        <w:trPr>
          <w:hidden/>
        </w:trPr>
        <w:tc>
          <w:tcPr>
            <w:tcW w:w="0" w:type="auto"/>
            <w:gridSpan w:val="3"/>
            <w:shd w:val="clear" w:color="auto" w:fill="auto"/>
            <w:vAlign w:val="bottom"/>
          </w:tcPr>
          <w:p w14:paraId="5F2CF7D9" w14:textId="77777777" w:rsidR="00E836FB" w:rsidRDefault="00E836FB">
            <w:pPr>
              <w:rPr>
                <w:rFonts w:ascii="宋体"/>
                <w:vanish/>
              </w:rPr>
            </w:pPr>
          </w:p>
        </w:tc>
        <w:tc>
          <w:tcPr>
            <w:tcW w:w="0" w:type="auto"/>
            <w:gridSpan w:val="3"/>
            <w:shd w:val="clear" w:color="auto" w:fill="auto"/>
            <w:vAlign w:val="bottom"/>
          </w:tcPr>
          <w:p w14:paraId="5F2CF7DA" w14:textId="77777777" w:rsidR="00E836FB" w:rsidRDefault="00E836FB">
            <w:pPr>
              <w:rPr>
                <w:rFonts w:ascii="宋体"/>
                <w:vanish/>
              </w:rPr>
            </w:pPr>
          </w:p>
        </w:tc>
        <w:tc>
          <w:tcPr>
            <w:tcW w:w="0" w:type="auto"/>
            <w:gridSpan w:val="3"/>
            <w:shd w:val="clear" w:color="auto" w:fill="auto"/>
            <w:vAlign w:val="bottom"/>
          </w:tcPr>
          <w:p w14:paraId="5F2CF7DB" w14:textId="77777777" w:rsidR="00E836FB" w:rsidRDefault="00E836FB">
            <w:pPr>
              <w:rPr>
                <w:rFonts w:ascii="宋体"/>
                <w:vanish/>
              </w:rPr>
            </w:pPr>
          </w:p>
        </w:tc>
        <w:tc>
          <w:tcPr>
            <w:tcW w:w="0" w:type="auto"/>
            <w:gridSpan w:val="3"/>
            <w:shd w:val="clear" w:color="auto" w:fill="auto"/>
            <w:vAlign w:val="bottom"/>
          </w:tcPr>
          <w:p w14:paraId="5F2CF7DC" w14:textId="77777777" w:rsidR="00E836FB" w:rsidRDefault="00E836FB">
            <w:pPr>
              <w:rPr>
                <w:rFonts w:ascii="宋体"/>
                <w:vanish/>
              </w:rPr>
            </w:pPr>
          </w:p>
        </w:tc>
        <w:tc>
          <w:tcPr>
            <w:tcW w:w="0" w:type="auto"/>
            <w:gridSpan w:val="3"/>
            <w:shd w:val="clear" w:color="auto" w:fill="auto"/>
            <w:vAlign w:val="bottom"/>
          </w:tcPr>
          <w:p w14:paraId="5F2CF7DD" w14:textId="77777777" w:rsidR="00E836FB" w:rsidRDefault="00E836FB">
            <w:pPr>
              <w:rPr>
                <w:rFonts w:ascii="宋体"/>
                <w:vanish/>
              </w:rPr>
            </w:pPr>
          </w:p>
        </w:tc>
        <w:tc>
          <w:tcPr>
            <w:tcW w:w="0" w:type="auto"/>
            <w:gridSpan w:val="3"/>
            <w:shd w:val="clear" w:color="auto" w:fill="auto"/>
            <w:vAlign w:val="bottom"/>
          </w:tcPr>
          <w:p w14:paraId="5F2CF7DE" w14:textId="77777777" w:rsidR="00E836FB" w:rsidRDefault="00E836FB">
            <w:pPr>
              <w:rPr>
                <w:rFonts w:ascii="宋体"/>
                <w:vanish/>
              </w:rPr>
            </w:pPr>
          </w:p>
        </w:tc>
      </w:tr>
      <w:tr w:rsidR="00E836FB" w14:paraId="5F2CF7E9" w14:textId="77777777">
        <w:tc>
          <w:tcPr>
            <w:tcW w:w="0" w:type="auto"/>
            <w:gridSpan w:val="3"/>
            <w:shd w:val="clear" w:color="auto" w:fill="FFFFFF"/>
            <w:tcMar>
              <w:top w:w="40" w:type="dxa"/>
              <w:left w:w="20" w:type="dxa"/>
              <w:bottom w:w="40" w:type="dxa"/>
              <w:right w:w="20" w:type="dxa"/>
            </w:tcMar>
            <w:vAlign w:val="bottom"/>
          </w:tcPr>
          <w:p w14:paraId="5F2CF7E0" w14:textId="77777777" w:rsidR="00E836FB" w:rsidRDefault="00994958">
            <w:pPr>
              <w:textAlignment w:val="bottom"/>
            </w:pPr>
            <w:r>
              <w:rPr>
                <w:rFonts w:ascii="Arial" w:eastAsia="宋体" w:hAnsi="Arial" w:cs="Arial"/>
                <w:color w:val="000000"/>
                <w:sz w:val="15"/>
                <w:szCs w:val="15"/>
              </w:rPr>
              <w:t xml:space="preserve">Purchases of </w:t>
            </w:r>
            <w:r>
              <w:rPr>
                <w:rFonts w:ascii="Arial" w:eastAsia="宋体" w:hAnsi="Arial" w:cs="Arial"/>
                <w:color w:val="000000"/>
                <w:sz w:val="15"/>
                <w:szCs w:val="15"/>
              </w:rPr>
              <w:t>held-to-maturity securities under the MMLF program</w:t>
            </w:r>
          </w:p>
        </w:tc>
        <w:tc>
          <w:tcPr>
            <w:tcW w:w="0" w:type="auto"/>
            <w:gridSpan w:val="2"/>
            <w:shd w:val="clear" w:color="auto" w:fill="FFFFFF"/>
            <w:tcMar>
              <w:top w:w="40" w:type="dxa"/>
              <w:left w:w="20" w:type="dxa"/>
              <w:bottom w:w="40" w:type="dxa"/>
              <w:right w:w="0" w:type="dxa"/>
            </w:tcMar>
            <w:vAlign w:val="bottom"/>
          </w:tcPr>
          <w:p w14:paraId="5F2CF7E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E4" w14:textId="77777777" w:rsidR="00E836FB" w:rsidRDefault="00994958">
            <w:pPr>
              <w:jc w:val="right"/>
              <w:textAlignment w:val="bottom"/>
            </w:pPr>
            <w:r>
              <w:rPr>
                <w:rFonts w:ascii="Arial" w:eastAsia="宋体" w:hAnsi="Arial" w:cs="Arial"/>
                <w:color w:val="000000"/>
                <w:sz w:val="15"/>
                <w:szCs w:val="15"/>
              </w:rPr>
              <w:t>(29,242)</w:t>
            </w:r>
          </w:p>
        </w:tc>
        <w:tc>
          <w:tcPr>
            <w:tcW w:w="0" w:type="auto"/>
            <w:shd w:val="clear" w:color="auto" w:fill="FFFFFF"/>
            <w:tcMar>
              <w:top w:w="40" w:type="dxa"/>
              <w:left w:w="0" w:type="dxa"/>
              <w:bottom w:w="40" w:type="dxa"/>
              <w:right w:w="20" w:type="dxa"/>
            </w:tcMar>
            <w:vAlign w:val="bottom"/>
          </w:tcPr>
          <w:p w14:paraId="5F2CF7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E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E7"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E8" w14:textId="77777777" w:rsidR="00E836FB" w:rsidRDefault="00E836FB">
            <w:pPr>
              <w:jc w:val="right"/>
              <w:rPr>
                <w:rFonts w:ascii="宋体"/>
              </w:rPr>
            </w:pPr>
          </w:p>
        </w:tc>
      </w:tr>
      <w:tr w:rsidR="00E836FB" w14:paraId="5F2CF7F3" w14:textId="77777777">
        <w:tc>
          <w:tcPr>
            <w:tcW w:w="0" w:type="auto"/>
            <w:gridSpan w:val="3"/>
            <w:shd w:val="clear" w:color="auto" w:fill="CCEEFF"/>
            <w:tcMar>
              <w:top w:w="40" w:type="dxa"/>
              <w:left w:w="20" w:type="dxa"/>
              <w:bottom w:w="40" w:type="dxa"/>
              <w:right w:w="20" w:type="dxa"/>
            </w:tcMar>
            <w:vAlign w:val="bottom"/>
          </w:tcPr>
          <w:p w14:paraId="5F2CF7EA" w14:textId="77777777" w:rsidR="00E836FB" w:rsidRDefault="00994958">
            <w:pPr>
              <w:textAlignment w:val="bottom"/>
            </w:pPr>
            <w:r>
              <w:rPr>
                <w:rFonts w:ascii="Arial" w:eastAsia="宋体" w:hAnsi="Arial" w:cs="Arial"/>
                <w:color w:val="000000"/>
                <w:sz w:val="15"/>
                <w:szCs w:val="15"/>
              </w:rPr>
              <w:t>Proceeds from maturities of held-to-maturity securities under the MMLF program</w:t>
            </w:r>
          </w:p>
        </w:tc>
        <w:tc>
          <w:tcPr>
            <w:tcW w:w="0" w:type="auto"/>
            <w:gridSpan w:val="2"/>
            <w:shd w:val="clear" w:color="auto" w:fill="CCEEFF"/>
            <w:tcMar>
              <w:top w:w="40" w:type="dxa"/>
              <w:left w:w="20" w:type="dxa"/>
              <w:bottom w:w="40" w:type="dxa"/>
              <w:right w:w="0" w:type="dxa"/>
            </w:tcMar>
            <w:vAlign w:val="bottom"/>
          </w:tcPr>
          <w:p w14:paraId="5F2CF7EB" w14:textId="77777777" w:rsidR="00E836FB" w:rsidRDefault="00994958">
            <w:pPr>
              <w:jc w:val="right"/>
              <w:textAlignment w:val="bottom"/>
            </w:pPr>
            <w:r>
              <w:rPr>
                <w:rFonts w:ascii="Arial" w:eastAsia="宋体" w:hAnsi="Arial" w:cs="Arial"/>
                <w:b/>
                <w:bCs/>
                <w:color w:val="000000"/>
                <w:sz w:val="15"/>
                <w:szCs w:val="15"/>
              </w:rPr>
              <w:t>3,299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7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EE" w14:textId="77777777" w:rsidR="00E836FB" w:rsidRDefault="00994958">
            <w:pPr>
              <w:jc w:val="right"/>
              <w:textAlignment w:val="bottom"/>
            </w:pPr>
            <w:r>
              <w:rPr>
                <w:rFonts w:ascii="Arial" w:eastAsia="宋体" w:hAnsi="Arial" w:cs="Arial"/>
                <w:color w:val="000000"/>
                <w:sz w:val="15"/>
                <w:szCs w:val="15"/>
              </w:rPr>
              <w:t>25,984 </w:t>
            </w:r>
          </w:p>
        </w:tc>
        <w:tc>
          <w:tcPr>
            <w:tcW w:w="0" w:type="auto"/>
            <w:shd w:val="clear" w:color="auto" w:fill="CCEEFF"/>
            <w:tcMar>
              <w:top w:w="40" w:type="dxa"/>
              <w:left w:w="0" w:type="dxa"/>
              <w:bottom w:w="40" w:type="dxa"/>
              <w:right w:w="20" w:type="dxa"/>
            </w:tcMar>
            <w:vAlign w:val="bottom"/>
          </w:tcPr>
          <w:p w14:paraId="5F2CF7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7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7F1"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7F2" w14:textId="77777777" w:rsidR="00E836FB" w:rsidRDefault="00E836FB">
            <w:pPr>
              <w:jc w:val="right"/>
              <w:rPr>
                <w:rFonts w:ascii="宋体"/>
              </w:rPr>
            </w:pPr>
          </w:p>
        </w:tc>
      </w:tr>
      <w:tr w:rsidR="00E836FB" w14:paraId="5F2CF7FD" w14:textId="77777777">
        <w:tc>
          <w:tcPr>
            <w:tcW w:w="0" w:type="auto"/>
            <w:gridSpan w:val="3"/>
            <w:shd w:val="clear" w:color="auto" w:fill="FFFFFF"/>
            <w:tcMar>
              <w:top w:w="40" w:type="dxa"/>
              <w:left w:w="20" w:type="dxa"/>
              <w:bottom w:w="40" w:type="dxa"/>
              <w:right w:w="20" w:type="dxa"/>
            </w:tcMar>
            <w:vAlign w:val="bottom"/>
          </w:tcPr>
          <w:p w14:paraId="5F2CF7F4" w14:textId="77777777" w:rsidR="00E836FB" w:rsidRDefault="00994958">
            <w:pPr>
              <w:textAlignment w:val="bottom"/>
            </w:pPr>
            <w:r>
              <w:rPr>
                <w:rFonts w:ascii="Arial" w:eastAsia="宋体" w:hAnsi="Arial" w:cs="Arial"/>
                <w:color w:val="000000"/>
                <w:sz w:val="15"/>
                <w:szCs w:val="15"/>
              </w:rPr>
              <w:t>Proceeds from maturities of held-to-maturity securities</w:t>
            </w:r>
          </w:p>
        </w:tc>
        <w:tc>
          <w:tcPr>
            <w:tcW w:w="0" w:type="auto"/>
            <w:gridSpan w:val="2"/>
            <w:shd w:val="clear" w:color="auto" w:fill="FFFFFF"/>
            <w:tcMar>
              <w:top w:w="40" w:type="dxa"/>
              <w:left w:w="20" w:type="dxa"/>
              <w:bottom w:w="40" w:type="dxa"/>
              <w:right w:w="0" w:type="dxa"/>
            </w:tcMar>
            <w:vAlign w:val="bottom"/>
          </w:tcPr>
          <w:p w14:paraId="5F2CF7F5" w14:textId="77777777" w:rsidR="00E836FB" w:rsidRDefault="00994958">
            <w:pPr>
              <w:jc w:val="right"/>
              <w:textAlignment w:val="bottom"/>
            </w:pPr>
            <w:r>
              <w:rPr>
                <w:rFonts w:ascii="Arial" w:eastAsia="宋体" w:hAnsi="Arial" w:cs="Arial"/>
                <w:b/>
                <w:bCs/>
                <w:color w:val="000000"/>
                <w:sz w:val="15"/>
                <w:szCs w:val="15"/>
              </w:rPr>
              <w:t>15,586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7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F8" w14:textId="77777777" w:rsidR="00E836FB" w:rsidRDefault="00994958">
            <w:pPr>
              <w:jc w:val="right"/>
              <w:textAlignment w:val="bottom"/>
            </w:pPr>
            <w:r>
              <w:rPr>
                <w:rFonts w:ascii="Arial" w:eastAsia="宋体" w:hAnsi="Arial" w:cs="Arial"/>
                <w:color w:val="000000"/>
                <w:sz w:val="15"/>
                <w:szCs w:val="15"/>
              </w:rPr>
              <w:t>15,179 </w:t>
            </w:r>
          </w:p>
        </w:tc>
        <w:tc>
          <w:tcPr>
            <w:tcW w:w="0" w:type="auto"/>
            <w:shd w:val="clear" w:color="auto" w:fill="FFFFFF"/>
            <w:tcMar>
              <w:top w:w="40" w:type="dxa"/>
              <w:left w:w="0" w:type="dxa"/>
              <w:bottom w:w="40" w:type="dxa"/>
              <w:right w:w="20" w:type="dxa"/>
            </w:tcMar>
            <w:vAlign w:val="bottom"/>
          </w:tcPr>
          <w:p w14:paraId="5F2CF7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7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7FB" w14:textId="77777777" w:rsidR="00E836FB" w:rsidRDefault="00994958">
            <w:pPr>
              <w:jc w:val="right"/>
              <w:textAlignment w:val="bottom"/>
            </w:pPr>
            <w:r>
              <w:rPr>
                <w:rFonts w:ascii="Arial" w:eastAsia="宋体" w:hAnsi="Arial" w:cs="Arial"/>
                <w:color w:val="000000"/>
                <w:sz w:val="15"/>
                <w:szCs w:val="15"/>
              </w:rPr>
              <w:t>10,390 </w:t>
            </w:r>
          </w:p>
        </w:tc>
        <w:tc>
          <w:tcPr>
            <w:tcW w:w="0" w:type="auto"/>
            <w:shd w:val="clear" w:color="auto" w:fill="FFFFFF"/>
            <w:tcMar>
              <w:top w:w="40" w:type="dxa"/>
              <w:left w:w="0" w:type="dxa"/>
              <w:bottom w:w="40" w:type="dxa"/>
              <w:right w:w="20" w:type="dxa"/>
            </w:tcMar>
            <w:vAlign w:val="bottom"/>
          </w:tcPr>
          <w:p w14:paraId="5F2CF7FC" w14:textId="77777777" w:rsidR="00E836FB" w:rsidRDefault="00E836FB">
            <w:pPr>
              <w:jc w:val="right"/>
              <w:rPr>
                <w:rFonts w:ascii="宋体"/>
              </w:rPr>
            </w:pPr>
          </w:p>
        </w:tc>
      </w:tr>
      <w:tr w:rsidR="00E836FB" w14:paraId="5F2CF807" w14:textId="77777777">
        <w:tc>
          <w:tcPr>
            <w:tcW w:w="0" w:type="auto"/>
            <w:gridSpan w:val="3"/>
            <w:shd w:val="clear" w:color="auto" w:fill="CCEEFF"/>
            <w:tcMar>
              <w:top w:w="40" w:type="dxa"/>
              <w:left w:w="20" w:type="dxa"/>
              <w:bottom w:w="40" w:type="dxa"/>
              <w:right w:w="20" w:type="dxa"/>
            </w:tcMar>
            <w:vAlign w:val="bottom"/>
          </w:tcPr>
          <w:p w14:paraId="5F2CF7FE" w14:textId="77777777" w:rsidR="00E836FB" w:rsidRDefault="00994958">
            <w:pPr>
              <w:textAlignment w:val="bottom"/>
            </w:pPr>
            <w:r>
              <w:rPr>
                <w:rFonts w:ascii="Arial" w:eastAsia="宋体" w:hAnsi="Arial" w:cs="Arial"/>
                <w:color w:val="000000"/>
                <w:sz w:val="15"/>
                <w:szCs w:val="15"/>
              </w:rPr>
              <w:t>Purchases of held-to-maturity securities</w:t>
            </w:r>
          </w:p>
        </w:tc>
        <w:tc>
          <w:tcPr>
            <w:tcW w:w="0" w:type="auto"/>
            <w:gridSpan w:val="2"/>
            <w:shd w:val="clear" w:color="auto" w:fill="CCEEFF"/>
            <w:tcMar>
              <w:top w:w="40" w:type="dxa"/>
              <w:left w:w="20" w:type="dxa"/>
              <w:bottom w:w="40" w:type="dxa"/>
              <w:right w:w="0" w:type="dxa"/>
            </w:tcMar>
            <w:vAlign w:val="bottom"/>
          </w:tcPr>
          <w:p w14:paraId="5F2CF7FF" w14:textId="77777777" w:rsidR="00E836FB" w:rsidRDefault="00994958">
            <w:pPr>
              <w:jc w:val="right"/>
              <w:textAlignment w:val="bottom"/>
            </w:pPr>
            <w:r>
              <w:rPr>
                <w:rFonts w:ascii="Arial" w:eastAsia="宋体" w:hAnsi="Arial" w:cs="Arial"/>
                <w:b/>
                <w:bCs/>
                <w:color w:val="000000"/>
                <w:sz w:val="15"/>
                <w:szCs w:val="15"/>
              </w:rPr>
              <w:t>(8,583)</w:t>
            </w:r>
          </w:p>
        </w:tc>
        <w:tc>
          <w:tcPr>
            <w:tcW w:w="0" w:type="auto"/>
            <w:shd w:val="clear" w:color="auto" w:fill="CCEEFF"/>
            <w:tcMar>
              <w:top w:w="40" w:type="dxa"/>
              <w:left w:w="0" w:type="dxa"/>
              <w:bottom w:w="40" w:type="dxa"/>
              <w:right w:w="20" w:type="dxa"/>
            </w:tcMar>
            <w:vAlign w:val="bottom"/>
          </w:tcPr>
          <w:p w14:paraId="5F2CF8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0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02" w14:textId="77777777" w:rsidR="00E836FB" w:rsidRDefault="00994958">
            <w:pPr>
              <w:jc w:val="right"/>
              <w:textAlignment w:val="bottom"/>
            </w:pPr>
            <w:r>
              <w:rPr>
                <w:rFonts w:ascii="Arial" w:eastAsia="宋体" w:hAnsi="Arial" w:cs="Arial"/>
                <w:color w:val="000000"/>
                <w:sz w:val="15"/>
                <w:szCs w:val="15"/>
              </w:rPr>
              <w:t>(13,981)</w:t>
            </w:r>
          </w:p>
        </w:tc>
        <w:tc>
          <w:tcPr>
            <w:tcW w:w="0" w:type="auto"/>
            <w:shd w:val="clear" w:color="auto" w:fill="CCEEFF"/>
            <w:tcMar>
              <w:top w:w="40" w:type="dxa"/>
              <w:left w:w="0" w:type="dxa"/>
              <w:bottom w:w="40" w:type="dxa"/>
              <w:right w:w="20" w:type="dxa"/>
            </w:tcMar>
            <w:vAlign w:val="bottom"/>
          </w:tcPr>
          <w:p w14:paraId="5F2CF8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05" w14:textId="77777777" w:rsidR="00E836FB" w:rsidRDefault="00994958">
            <w:pPr>
              <w:jc w:val="right"/>
              <w:textAlignment w:val="bottom"/>
            </w:pPr>
            <w:r>
              <w:rPr>
                <w:rFonts w:ascii="Arial" w:eastAsia="宋体" w:hAnsi="Arial" w:cs="Arial"/>
                <w:color w:val="000000"/>
                <w:sz w:val="15"/>
                <w:szCs w:val="15"/>
              </w:rPr>
              <w:t>(6,938)</w:t>
            </w:r>
          </w:p>
        </w:tc>
        <w:tc>
          <w:tcPr>
            <w:tcW w:w="0" w:type="auto"/>
            <w:shd w:val="clear" w:color="auto" w:fill="CCEEFF"/>
            <w:tcMar>
              <w:top w:w="40" w:type="dxa"/>
              <w:left w:w="0" w:type="dxa"/>
              <w:bottom w:w="40" w:type="dxa"/>
              <w:right w:w="20" w:type="dxa"/>
            </w:tcMar>
            <w:vAlign w:val="bottom"/>
          </w:tcPr>
          <w:p w14:paraId="5F2CF806" w14:textId="77777777" w:rsidR="00E836FB" w:rsidRDefault="00E836FB">
            <w:pPr>
              <w:jc w:val="right"/>
              <w:rPr>
                <w:rFonts w:ascii="宋体"/>
              </w:rPr>
            </w:pPr>
          </w:p>
        </w:tc>
      </w:tr>
      <w:tr w:rsidR="00E836FB" w14:paraId="5F2CF811" w14:textId="77777777">
        <w:tc>
          <w:tcPr>
            <w:tcW w:w="0" w:type="auto"/>
            <w:gridSpan w:val="3"/>
            <w:shd w:val="clear" w:color="auto" w:fill="FFFFFF"/>
            <w:tcMar>
              <w:top w:w="40" w:type="dxa"/>
              <w:left w:w="20" w:type="dxa"/>
              <w:bottom w:w="40" w:type="dxa"/>
              <w:right w:w="20" w:type="dxa"/>
            </w:tcMar>
            <w:vAlign w:val="bottom"/>
          </w:tcPr>
          <w:p w14:paraId="5F2CF808" w14:textId="77777777" w:rsidR="00E836FB" w:rsidRDefault="00994958">
            <w:pPr>
              <w:textAlignment w:val="bottom"/>
            </w:pPr>
            <w:r>
              <w:rPr>
                <w:rFonts w:ascii="Arial" w:eastAsia="宋体" w:hAnsi="Arial" w:cs="Arial"/>
                <w:color w:val="000000"/>
                <w:sz w:val="15"/>
                <w:szCs w:val="15"/>
              </w:rPr>
              <w:t>Sale of loans</w:t>
            </w:r>
          </w:p>
        </w:tc>
        <w:tc>
          <w:tcPr>
            <w:tcW w:w="0" w:type="auto"/>
            <w:gridSpan w:val="2"/>
            <w:shd w:val="clear" w:color="auto" w:fill="FFFFFF"/>
            <w:tcMar>
              <w:top w:w="40" w:type="dxa"/>
              <w:left w:w="20" w:type="dxa"/>
              <w:bottom w:w="40" w:type="dxa"/>
              <w:right w:w="0" w:type="dxa"/>
            </w:tcMar>
            <w:vAlign w:val="bottom"/>
          </w:tcPr>
          <w:p w14:paraId="5F2CF809" w14:textId="77777777" w:rsidR="00E836FB" w:rsidRDefault="00994958">
            <w:pPr>
              <w:jc w:val="right"/>
              <w:textAlignment w:val="bottom"/>
            </w:pPr>
            <w:r>
              <w:rPr>
                <w:rFonts w:ascii="Arial" w:eastAsia="宋体" w:hAnsi="Arial" w:cs="Arial"/>
                <w:b/>
                <w:bCs/>
                <w:color w:val="000000"/>
                <w:sz w:val="15"/>
                <w:szCs w:val="15"/>
              </w:rPr>
              <w:t>172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80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0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0C" w14:textId="77777777" w:rsidR="00E836FB" w:rsidRDefault="00994958">
            <w:pPr>
              <w:jc w:val="right"/>
              <w:textAlignment w:val="bottom"/>
            </w:pPr>
            <w:r>
              <w:rPr>
                <w:rFonts w:ascii="Arial" w:eastAsia="宋体" w:hAnsi="Arial" w:cs="Arial"/>
                <w:color w:val="000000"/>
                <w:sz w:val="15"/>
                <w:szCs w:val="15"/>
              </w:rPr>
              <w:t>324 </w:t>
            </w:r>
          </w:p>
        </w:tc>
        <w:tc>
          <w:tcPr>
            <w:tcW w:w="0" w:type="auto"/>
            <w:shd w:val="clear" w:color="auto" w:fill="FFFFFF"/>
            <w:tcMar>
              <w:top w:w="40" w:type="dxa"/>
              <w:left w:w="0" w:type="dxa"/>
              <w:bottom w:w="40" w:type="dxa"/>
              <w:right w:w="20" w:type="dxa"/>
            </w:tcMar>
            <w:vAlign w:val="bottom"/>
          </w:tcPr>
          <w:p w14:paraId="5F2CF80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0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0F" w14:textId="77777777" w:rsidR="00E836FB" w:rsidRDefault="00994958">
            <w:pPr>
              <w:jc w:val="right"/>
              <w:textAlignment w:val="bottom"/>
            </w:pPr>
            <w:r>
              <w:rPr>
                <w:rFonts w:ascii="Arial" w:eastAsia="宋体" w:hAnsi="Arial" w:cs="Arial"/>
                <w:color w:val="000000"/>
                <w:sz w:val="15"/>
                <w:szCs w:val="15"/>
              </w:rPr>
              <w:t>131 </w:t>
            </w:r>
          </w:p>
        </w:tc>
        <w:tc>
          <w:tcPr>
            <w:tcW w:w="0" w:type="auto"/>
            <w:shd w:val="clear" w:color="auto" w:fill="FFFFFF"/>
            <w:tcMar>
              <w:top w:w="40" w:type="dxa"/>
              <w:left w:w="0" w:type="dxa"/>
              <w:bottom w:w="40" w:type="dxa"/>
              <w:right w:w="20" w:type="dxa"/>
            </w:tcMar>
            <w:vAlign w:val="bottom"/>
          </w:tcPr>
          <w:p w14:paraId="5F2CF810" w14:textId="77777777" w:rsidR="00E836FB" w:rsidRDefault="00E836FB">
            <w:pPr>
              <w:jc w:val="right"/>
              <w:rPr>
                <w:rFonts w:ascii="宋体"/>
              </w:rPr>
            </w:pPr>
          </w:p>
        </w:tc>
      </w:tr>
      <w:tr w:rsidR="00E836FB" w14:paraId="5F2CF81B" w14:textId="77777777">
        <w:tc>
          <w:tcPr>
            <w:tcW w:w="0" w:type="auto"/>
            <w:gridSpan w:val="3"/>
            <w:shd w:val="clear" w:color="auto" w:fill="CCEEFF"/>
            <w:tcMar>
              <w:top w:w="40" w:type="dxa"/>
              <w:left w:w="20" w:type="dxa"/>
              <w:bottom w:w="40" w:type="dxa"/>
              <w:right w:w="20" w:type="dxa"/>
            </w:tcMar>
            <w:vAlign w:val="bottom"/>
          </w:tcPr>
          <w:p w14:paraId="5F2CF812" w14:textId="77777777" w:rsidR="00E836FB" w:rsidRDefault="00994958">
            <w:pPr>
              <w:textAlignment w:val="bottom"/>
            </w:pPr>
            <w:r>
              <w:rPr>
                <w:rFonts w:ascii="Arial" w:eastAsia="宋体" w:hAnsi="Arial" w:cs="Arial"/>
                <w:color w:val="000000"/>
                <w:sz w:val="15"/>
                <w:szCs w:val="15"/>
              </w:rPr>
              <w:t>Net (increase) in loans</w:t>
            </w:r>
          </w:p>
        </w:tc>
        <w:tc>
          <w:tcPr>
            <w:tcW w:w="0" w:type="auto"/>
            <w:gridSpan w:val="2"/>
            <w:shd w:val="clear" w:color="auto" w:fill="CCEEFF"/>
            <w:tcMar>
              <w:top w:w="40" w:type="dxa"/>
              <w:left w:w="20" w:type="dxa"/>
              <w:bottom w:w="40" w:type="dxa"/>
              <w:right w:w="0" w:type="dxa"/>
            </w:tcMar>
            <w:vAlign w:val="bottom"/>
          </w:tcPr>
          <w:p w14:paraId="5F2CF813" w14:textId="77777777" w:rsidR="00E836FB" w:rsidRDefault="00994958">
            <w:pPr>
              <w:jc w:val="right"/>
              <w:textAlignment w:val="bottom"/>
            </w:pPr>
            <w:r>
              <w:rPr>
                <w:rFonts w:ascii="Arial" w:eastAsia="宋体" w:hAnsi="Arial" w:cs="Arial"/>
                <w:b/>
                <w:bCs/>
                <w:color w:val="000000"/>
                <w:sz w:val="15"/>
                <w:szCs w:val="15"/>
              </w:rPr>
              <w:t>(4,779)</w:t>
            </w:r>
          </w:p>
        </w:tc>
        <w:tc>
          <w:tcPr>
            <w:tcW w:w="0" w:type="auto"/>
            <w:shd w:val="clear" w:color="auto" w:fill="CCEEFF"/>
            <w:tcMar>
              <w:top w:w="40" w:type="dxa"/>
              <w:left w:w="0" w:type="dxa"/>
              <w:bottom w:w="40" w:type="dxa"/>
              <w:right w:w="20" w:type="dxa"/>
            </w:tcMar>
            <w:vAlign w:val="bottom"/>
          </w:tcPr>
          <w:p w14:paraId="5F2CF8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1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16" w14:textId="77777777" w:rsidR="00E836FB" w:rsidRDefault="00994958">
            <w:pPr>
              <w:jc w:val="right"/>
              <w:textAlignment w:val="bottom"/>
            </w:pPr>
            <w:r>
              <w:rPr>
                <w:rFonts w:ascii="Arial" w:eastAsia="宋体" w:hAnsi="Arial" w:cs="Arial"/>
                <w:color w:val="000000"/>
                <w:sz w:val="15"/>
                <w:szCs w:val="15"/>
              </w:rPr>
              <w:t>(1,939)</w:t>
            </w:r>
          </w:p>
        </w:tc>
        <w:tc>
          <w:tcPr>
            <w:tcW w:w="0" w:type="auto"/>
            <w:shd w:val="clear" w:color="auto" w:fill="CCEEFF"/>
            <w:tcMar>
              <w:top w:w="40" w:type="dxa"/>
              <w:left w:w="0" w:type="dxa"/>
              <w:bottom w:w="40" w:type="dxa"/>
              <w:right w:w="20" w:type="dxa"/>
            </w:tcMar>
            <w:vAlign w:val="bottom"/>
          </w:tcPr>
          <w:p w14:paraId="5F2CF81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1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19" w14:textId="77777777" w:rsidR="00E836FB" w:rsidRDefault="00994958">
            <w:pPr>
              <w:jc w:val="right"/>
              <w:textAlignment w:val="bottom"/>
            </w:pPr>
            <w:r>
              <w:rPr>
                <w:rFonts w:ascii="Arial" w:eastAsia="宋体" w:hAnsi="Arial" w:cs="Arial"/>
                <w:color w:val="000000"/>
                <w:sz w:val="15"/>
                <w:szCs w:val="15"/>
              </w:rPr>
              <w:t>(650)</w:t>
            </w:r>
          </w:p>
        </w:tc>
        <w:tc>
          <w:tcPr>
            <w:tcW w:w="0" w:type="auto"/>
            <w:shd w:val="clear" w:color="auto" w:fill="CCEEFF"/>
            <w:tcMar>
              <w:top w:w="40" w:type="dxa"/>
              <w:left w:w="0" w:type="dxa"/>
              <w:bottom w:w="40" w:type="dxa"/>
              <w:right w:w="20" w:type="dxa"/>
            </w:tcMar>
            <w:vAlign w:val="bottom"/>
          </w:tcPr>
          <w:p w14:paraId="5F2CF81A" w14:textId="77777777" w:rsidR="00E836FB" w:rsidRDefault="00E836FB">
            <w:pPr>
              <w:jc w:val="right"/>
              <w:rPr>
                <w:rFonts w:ascii="宋体"/>
              </w:rPr>
            </w:pPr>
          </w:p>
        </w:tc>
      </w:tr>
      <w:tr w:rsidR="00E836FB" w14:paraId="5F2CF825" w14:textId="77777777">
        <w:tc>
          <w:tcPr>
            <w:tcW w:w="0" w:type="auto"/>
            <w:gridSpan w:val="3"/>
            <w:shd w:val="clear" w:color="auto" w:fill="FFFFFF"/>
            <w:tcMar>
              <w:top w:w="40" w:type="dxa"/>
              <w:left w:w="20" w:type="dxa"/>
              <w:bottom w:w="40" w:type="dxa"/>
              <w:right w:w="20" w:type="dxa"/>
            </w:tcMar>
            <w:vAlign w:val="bottom"/>
          </w:tcPr>
          <w:p w14:paraId="5F2CF81C" w14:textId="77777777" w:rsidR="00E836FB" w:rsidRDefault="00994958">
            <w:pPr>
              <w:textAlignment w:val="bottom"/>
            </w:pPr>
            <w:r>
              <w:rPr>
                <w:rFonts w:ascii="Arial" w:eastAsia="宋体" w:hAnsi="Arial" w:cs="Arial"/>
                <w:color w:val="000000"/>
                <w:sz w:val="15"/>
                <w:szCs w:val="15"/>
              </w:rPr>
              <w:t>Business acquisitions, net of cash acquired</w:t>
            </w:r>
          </w:p>
        </w:tc>
        <w:tc>
          <w:tcPr>
            <w:tcW w:w="0" w:type="auto"/>
            <w:gridSpan w:val="2"/>
            <w:shd w:val="clear" w:color="auto" w:fill="FFFFFF"/>
            <w:tcMar>
              <w:top w:w="40" w:type="dxa"/>
              <w:left w:w="20" w:type="dxa"/>
              <w:bottom w:w="40" w:type="dxa"/>
              <w:right w:w="0" w:type="dxa"/>
            </w:tcMar>
            <w:vAlign w:val="bottom"/>
          </w:tcPr>
          <w:p w14:paraId="5F2CF81D" w14:textId="77777777" w:rsidR="00E836FB" w:rsidRDefault="00994958">
            <w:pPr>
              <w:jc w:val="right"/>
              <w:textAlignment w:val="bottom"/>
            </w:pPr>
            <w:r>
              <w:rPr>
                <w:rFonts w:ascii="Arial" w:eastAsia="宋体" w:hAnsi="Arial" w:cs="Arial"/>
                <w:b/>
                <w:bCs/>
                <w:color w:val="000000"/>
                <w:sz w:val="15"/>
                <w:szCs w:val="15"/>
              </w:rPr>
              <w:t>(346)</w:t>
            </w:r>
          </w:p>
        </w:tc>
        <w:tc>
          <w:tcPr>
            <w:tcW w:w="0" w:type="auto"/>
            <w:shd w:val="clear" w:color="auto" w:fill="FFFFFF"/>
            <w:tcMar>
              <w:top w:w="40" w:type="dxa"/>
              <w:left w:w="0" w:type="dxa"/>
              <w:bottom w:w="40" w:type="dxa"/>
              <w:right w:w="20" w:type="dxa"/>
            </w:tcMar>
            <w:vAlign w:val="bottom"/>
          </w:tcPr>
          <w:p w14:paraId="5F2CF81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1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20"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8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2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23" w14:textId="77777777" w:rsidR="00E836FB" w:rsidRDefault="00994958">
            <w:pPr>
              <w:jc w:val="right"/>
              <w:textAlignment w:val="bottom"/>
            </w:pPr>
            <w:r>
              <w:rPr>
                <w:rFonts w:ascii="Arial" w:eastAsia="宋体" w:hAnsi="Arial" w:cs="Arial"/>
                <w:color w:val="000000"/>
                <w:sz w:val="15"/>
                <w:szCs w:val="15"/>
              </w:rPr>
              <w:t>(54)</w:t>
            </w:r>
          </w:p>
        </w:tc>
        <w:tc>
          <w:tcPr>
            <w:tcW w:w="0" w:type="auto"/>
            <w:shd w:val="clear" w:color="auto" w:fill="FFFFFF"/>
            <w:tcMar>
              <w:top w:w="40" w:type="dxa"/>
              <w:left w:w="0" w:type="dxa"/>
              <w:bottom w:w="40" w:type="dxa"/>
              <w:right w:w="20" w:type="dxa"/>
            </w:tcMar>
            <w:vAlign w:val="bottom"/>
          </w:tcPr>
          <w:p w14:paraId="5F2CF824" w14:textId="77777777" w:rsidR="00E836FB" w:rsidRDefault="00E836FB">
            <w:pPr>
              <w:jc w:val="right"/>
              <w:rPr>
                <w:rFonts w:ascii="宋体"/>
              </w:rPr>
            </w:pPr>
          </w:p>
        </w:tc>
      </w:tr>
      <w:tr w:rsidR="00E836FB" w14:paraId="5F2CF82F" w14:textId="77777777">
        <w:tc>
          <w:tcPr>
            <w:tcW w:w="0" w:type="auto"/>
            <w:gridSpan w:val="3"/>
            <w:shd w:val="clear" w:color="auto" w:fill="CCEEFF"/>
            <w:tcMar>
              <w:top w:w="40" w:type="dxa"/>
              <w:left w:w="20" w:type="dxa"/>
              <w:bottom w:w="40" w:type="dxa"/>
              <w:right w:w="20" w:type="dxa"/>
            </w:tcMar>
            <w:vAlign w:val="bottom"/>
          </w:tcPr>
          <w:p w14:paraId="5F2CF826" w14:textId="77777777" w:rsidR="00E836FB" w:rsidRDefault="00994958">
            <w:pPr>
              <w:textAlignment w:val="bottom"/>
            </w:pPr>
            <w:r>
              <w:rPr>
                <w:rFonts w:ascii="Arial" w:eastAsia="宋体" w:hAnsi="Arial" w:cs="Arial"/>
                <w:color w:val="000000"/>
                <w:sz w:val="15"/>
                <w:szCs w:val="15"/>
              </w:rPr>
              <w:t>Divestitures</w:t>
            </w:r>
          </w:p>
        </w:tc>
        <w:tc>
          <w:tcPr>
            <w:tcW w:w="0" w:type="auto"/>
            <w:gridSpan w:val="2"/>
            <w:shd w:val="clear" w:color="auto" w:fill="CCEEFF"/>
            <w:tcMar>
              <w:top w:w="40" w:type="dxa"/>
              <w:left w:w="20" w:type="dxa"/>
              <w:bottom w:w="40" w:type="dxa"/>
              <w:right w:w="0" w:type="dxa"/>
            </w:tcMar>
            <w:vAlign w:val="bottom"/>
          </w:tcPr>
          <w:p w14:paraId="5F2CF827" w14:textId="77777777" w:rsidR="00E836FB" w:rsidRDefault="00994958">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8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2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2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8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2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2D"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82E" w14:textId="77777777" w:rsidR="00E836FB" w:rsidRDefault="00E836FB">
            <w:pPr>
              <w:jc w:val="right"/>
              <w:rPr>
                <w:rFonts w:ascii="宋体"/>
              </w:rPr>
            </w:pPr>
          </w:p>
        </w:tc>
      </w:tr>
      <w:tr w:rsidR="00E836FB" w14:paraId="5F2CF839" w14:textId="77777777">
        <w:tc>
          <w:tcPr>
            <w:tcW w:w="0" w:type="auto"/>
            <w:gridSpan w:val="3"/>
            <w:shd w:val="clear" w:color="auto" w:fill="FFFFFF"/>
            <w:tcMar>
              <w:top w:w="40" w:type="dxa"/>
              <w:left w:w="20" w:type="dxa"/>
              <w:bottom w:w="40" w:type="dxa"/>
              <w:right w:w="20" w:type="dxa"/>
            </w:tcMar>
            <w:vAlign w:val="bottom"/>
          </w:tcPr>
          <w:p w14:paraId="5F2CF830" w14:textId="77777777" w:rsidR="00E836FB" w:rsidRDefault="00994958">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FFFFFF"/>
            <w:tcMar>
              <w:top w:w="40" w:type="dxa"/>
              <w:left w:w="20" w:type="dxa"/>
              <w:bottom w:w="40" w:type="dxa"/>
              <w:right w:w="0" w:type="dxa"/>
            </w:tcMar>
            <w:vAlign w:val="bottom"/>
          </w:tcPr>
          <w:p w14:paraId="5F2CF831" w14:textId="77777777" w:rsidR="00E836FB" w:rsidRDefault="00994958">
            <w:pPr>
              <w:jc w:val="right"/>
              <w:textAlignment w:val="bottom"/>
            </w:pPr>
            <w:r>
              <w:rPr>
                <w:rFonts w:ascii="Arial" w:eastAsia="宋体" w:hAnsi="Arial" w:cs="Arial"/>
                <w:b/>
                <w:bCs/>
                <w:color w:val="000000"/>
                <w:sz w:val="15"/>
                <w:szCs w:val="15"/>
              </w:rPr>
              <w:t>(216)</w:t>
            </w:r>
          </w:p>
        </w:tc>
        <w:tc>
          <w:tcPr>
            <w:tcW w:w="0" w:type="auto"/>
            <w:shd w:val="clear" w:color="auto" w:fill="FFFFFF"/>
            <w:tcMar>
              <w:top w:w="40" w:type="dxa"/>
              <w:left w:w="0" w:type="dxa"/>
              <w:bottom w:w="40" w:type="dxa"/>
              <w:right w:w="20" w:type="dxa"/>
            </w:tcMar>
            <w:vAlign w:val="bottom"/>
          </w:tcPr>
          <w:p w14:paraId="5F2CF8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3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34" w14:textId="77777777" w:rsidR="00E836FB" w:rsidRDefault="00994958">
            <w:pPr>
              <w:jc w:val="right"/>
              <w:textAlignment w:val="bottom"/>
            </w:pPr>
            <w:r>
              <w:rPr>
                <w:rFonts w:ascii="Arial" w:eastAsia="宋体" w:hAnsi="Arial" w:cs="Arial"/>
                <w:color w:val="000000"/>
                <w:sz w:val="15"/>
                <w:szCs w:val="15"/>
              </w:rPr>
              <w:t>(1,436)</w:t>
            </w:r>
          </w:p>
        </w:tc>
        <w:tc>
          <w:tcPr>
            <w:tcW w:w="0" w:type="auto"/>
            <w:shd w:val="clear" w:color="auto" w:fill="FFFFFF"/>
            <w:tcMar>
              <w:top w:w="40" w:type="dxa"/>
              <w:left w:w="0" w:type="dxa"/>
              <w:bottom w:w="40" w:type="dxa"/>
              <w:right w:w="20" w:type="dxa"/>
            </w:tcMar>
            <w:vAlign w:val="bottom"/>
          </w:tcPr>
          <w:p w14:paraId="5F2CF8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37" w14:textId="77777777" w:rsidR="00E836FB" w:rsidRDefault="00994958">
            <w:pPr>
              <w:jc w:val="right"/>
              <w:textAlignment w:val="bottom"/>
            </w:pPr>
            <w:r>
              <w:rPr>
                <w:rFonts w:ascii="Arial" w:eastAsia="宋体" w:hAnsi="Arial" w:cs="Arial"/>
                <w:color w:val="000000"/>
                <w:sz w:val="15"/>
                <w:szCs w:val="15"/>
              </w:rPr>
              <w:t>(647)</w:t>
            </w:r>
          </w:p>
        </w:tc>
        <w:tc>
          <w:tcPr>
            <w:tcW w:w="0" w:type="auto"/>
            <w:shd w:val="clear" w:color="auto" w:fill="FFFFFF"/>
            <w:tcMar>
              <w:top w:w="40" w:type="dxa"/>
              <w:left w:w="0" w:type="dxa"/>
              <w:bottom w:w="40" w:type="dxa"/>
              <w:right w:w="20" w:type="dxa"/>
            </w:tcMar>
            <w:vAlign w:val="bottom"/>
          </w:tcPr>
          <w:p w14:paraId="5F2CF838" w14:textId="77777777" w:rsidR="00E836FB" w:rsidRDefault="00E836FB">
            <w:pPr>
              <w:jc w:val="right"/>
              <w:rPr>
                <w:rFonts w:ascii="宋体"/>
              </w:rPr>
            </w:pPr>
          </w:p>
        </w:tc>
      </w:tr>
      <w:tr w:rsidR="00E836FB" w14:paraId="5F2CF843" w14:textId="77777777">
        <w:tc>
          <w:tcPr>
            <w:tcW w:w="0" w:type="auto"/>
            <w:gridSpan w:val="3"/>
            <w:shd w:val="clear" w:color="auto" w:fill="CCEEFF"/>
            <w:tcMar>
              <w:top w:w="40" w:type="dxa"/>
              <w:left w:w="20" w:type="dxa"/>
              <w:bottom w:w="40" w:type="dxa"/>
              <w:right w:w="20" w:type="dxa"/>
            </w:tcMar>
            <w:vAlign w:val="bottom"/>
          </w:tcPr>
          <w:p w14:paraId="5F2CF83A" w14:textId="77777777" w:rsidR="00E836FB" w:rsidRDefault="00994958">
            <w:pPr>
              <w:textAlignment w:val="bottom"/>
            </w:pPr>
            <w:r>
              <w:rPr>
                <w:rFonts w:ascii="Arial" w:eastAsia="宋体" w:hAnsi="Arial" w:cs="Arial"/>
                <w:color w:val="000000"/>
                <w:sz w:val="15"/>
                <w:szCs w:val="15"/>
              </w:rPr>
              <w:t>Purchases of premises and equipment, net</w:t>
            </w:r>
          </w:p>
        </w:tc>
        <w:tc>
          <w:tcPr>
            <w:tcW w:w="0" w:type="auto"/>
            <w:gridSpan w:val="2"/>
            <w:shd w:val="clear" w:color="auto" w:fill="CCEEFF"/>
            <w:tcMar>
              <w:top w:w="40" w:type="dxa"/>
              <w:left w:w="20" w:type="dxa"/>
              <w:bottom w:w="40" w:type="dxa"/>
              <w:right w:w="0" w:type="dxa"/>
            </w:tcMar>
            <w:vAlign w:val="bottom"/>
          </w:tcPr>
          <w:p w14:paraId="5F2CF83B" w14:textId="77777777" w:rsidR="00E836FB" w:rsidRDefault="00994958">
            <w:pPr>
              <w:jc w:val="right"/>
              <w:textAlignment w:val="bottom"/>
            </w:pPr>
            <w:r>
              <w:rPr>
                <w:rFonts w:ascii="Arial" w:eastAsia="宋体" w:hAnsi="Arial" w:cs="Arial"/>
                <w:b/>
                <w:bCs/>
                <w:color w:val="000000"/>
                <w:sz w:val="15"/>
                <w:szCs w:val="15"/>
              </w:rPr>
              <w:t>(811)</w:t>
            </w:r>
          </w:p>
        </w:tc>
        <w:tc>
          <w:tcPr>
            <w:tcW w:w="0" w:type="auto"/>
            <w:shd w:val="clear" w:color="auto" w:fill="CCEEFF"/>
            <w:tcMar>
              <w:top w:w="40" w:type="dxa"/>
              <w:left w:w="0" w:type="dxa"/>
              <w:bottom w:w="40" w:type="dxa"/>
              <w:right w:w="20" w:type="dxa"/>
            </w:tcMar>
            <w:vAlign w:val="bottom"/>
          </w:tcPr>
          <w:p w14:paraId="5F2CF8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3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3E" w14:textId="77777777" w:rsidR="00E836FB" w:rsidRDefault="00994958">
            <w:pPr>
              <w:jc w:val="right"/>
              <w:textAlignment w:val="bottom"/>
            </w:pPr>
            <w:r>
              <w:rPr>
                <w:rFonts w:ascii="Arial" w:eastAsia="宋体" w:hAnsi="Arial" w:cs="Arial"/>
                <w:color w:val="000000"/>
                <w:sz w:val="15"/>
                <w:szCs w:val="15"/>
              </w:rPr>
              <w:t>(560)</w:t>
            </w:r>
          </w:p>
        </w:tc>
        <w:tc>
          <w:tcPr>
            <w:tcW w:w="0" w:type="auto"/>
            <w:shd w:val="clear" w:color="auto" w:fill="CCEEFF"/>
            <w:tcMar>
              <w:top w:w="40" w:type="dxa"/>
              <w:left w:w="0" w:type="dxa"/>
              <w:bottom w:w="40" w:type="dxa"/>
              <w:right w:w="20" w:type="dxa"/>
            </w:tcMar>
            <w:vAlign w:val="bottom"/>
          </w:tcPr>
          <w:p w14:paraId="5F2CF8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41" w14:textId="77777777" w:rsidR="00E836FB" w:rsidRDefault="00994958">
            <w:pPr>
              <w:jc w:val="right"/>
              <w:textAlignment w:val="bottom"/>
            </w:pPr>
            <w:r>
              <w:rPr>
                <w:rFonts w:ascii="Arial" w:eastAsia="宋体" w:hAnsi="Arial" w:cs="Arial"/>
                <w:color w:val="000000"/>
                <w:sz w:val="15"/>
                <w:szCs w:val="15"/>
              </w:rPr>
              <w:t>(730)</w:t>
            </w:r>
          </w:p>
        </w:tc>
        <w:tc>
          <w:tcPr>
            <w:tcW w:w="0" w:type="auto"/>
            <w:shd w:val="clear" w:color="auto" w:fill="CCEEFF"/>
            <w:tcMar>
              <w:top w:w="40" w:type="dxa"/>
              <w:left w:w="0" w:type="dxa"/>
              <w:bottom w:w="40" w:type="dxa"/>
              <w:right w:w="20" w:type="dxa"/>
            </w:tcMar>
            <w:vAlign w:val="bottom"/>
          </w:tcPr>
          <w:p w14:paraId="5F2CF842" w14:textId="77777777" w:rsidR="00E836FB" w:rsidRDefault="00E836FB">
            <w:pPr>
              <w:jc w:val="right"/>
              <w:rPr>
                <w:rFonts w:ascii="宋体"/>
              </w:rPr>
            </w:pPr>
          </w:p>
        </w:tc>
      </w:tr>
      <w:tr w:rsidR="00E836FB" w14:paraId="5F2CF84A" w14:textId="77777777">
        <w:trPr>
          <w:hidden/>
        </w:trPr>
        <w:tc>
          <w:tcPr>
            <w:tcW w:w="0" w:type="auto"/>
            <w:gridSpan w:val="3"/>
            <w:shd w:val="clear" w:color="auto" w:fill="auto"/>
            <w:vAlign w:val="bottom"/>
          </w:tcPr>
          <w:p w14:paraId="5F2CF844" w14:textId="77777777" w:rsidR="00E836FB" w:rsidRDefault="00E836FB">
            <w:pPr>
              <w:rPr>
                <w:rFonts w:ascii="宋体"/>
                <w:vanish/>
              </w:rPr>
            </w:pPr>
          </w:p>
        </w:tc>
        <w:tc>
          <w:tcPr>
            <w:tcW w:w="0" w:type="auto"/>
            <w:gridSpan w:val="3"/>
            <w:shd w:val="clear" w:color="auto" w:fill="auto"/>
            <w:vAlign w:val="bottom"/>
          </w:tcPr>
          <w:p w14:paraId="5F2CF845" w14:textId="77777777" w:rsidR="00E836FB" w:rsidRDefault="00E836FB">
            <w:pPr>
              <w:rPr>
                <w:rFonts w:ascii="宋体"/>
                <w:vanish/>
              </w:rPr>
            </w:pPr>
          </w:p>
        </w:tc>
        <w:tc>
          <w:tcPr>
            <w:tcW w:w="0" w:type="auto"/>
            <w:gridSpan w:val="3"/>
            <w:shd w:val="clear" w:color="auto" w:fill="auto"/>
            <w:vAlign w:val="bottom"/>
          </w:tcPr>
          <w:p w14:paraId="5F2CF846" w14:textId="77777777" w:rsidR="00E836FB" w:rsidRDefault="00E836FB">
            <w:pPr>
              <w:rPr>
                <w:rFonts w:ascii="宋体"/>
                <w:vanish/>
              </w:rPr>
            </w:pPr>
          </w:p>
        </w:tc>
        <w:tc>
          <w:tcPr>
            <w:tcW w:w="0" w:type="auto"/>
            <w:gridSpan w:val="3"/>
            <w:shd w:val="clear" w:color="auto" w:fill="auto"/>
            <w:vAlign w:val="bottom"/>
          </w:tcPr>
          <w:p w14:paraId="5F2CF847" w14:textId="77777777" w:rsidR="00E836FB" w:rsidRDefault="00E836FB">
            <w:pPr>
              <w:rPr>
                <w:rFonts w:ascii="宋体"/>
                <w:vanish/>
              </w:rPr>
            </w:pPr>
          </w:p>
        </w:tc>
        <w:tc>
          <w:tcPr>
            <w:tcW w:w="0" w:type="auto"/>
            <w:gridSpan w:val="3"/>
            <w:shd w:val="clear" w:color="auto" w:fill="auto"/>
            <w:vAlign w:val="bottom"/>
          </w:tcPr>
          <w:p w14:paraId="5F2CF848" w14:textId="77777777" w:rsidR="00E836FB" w:rsidRDefault="00E836FB">
            <w:pPr>
              <w:rPr>
                <w:rFonts w:ascii="宋体"/>
                <w:vanish/>
              </w:rPr>
            </w:pPr>
          </w:p>
        </w:tc>
        <w:tc>
          <w:tcPr>
            <w:tcW w:w="0" w:type="auto"/>
            <w:gridSpan w:val="3"/>
            <w:shd w:val="clear" w:color="auto" w:fill="auto"/>
            <w:vAlign w:val="bottom"/>
          </w:tcPr>
          <w:p w14:paraId="5F2CF849" w14:textId="77777777" w:rsidR="00E836FB" w:rsidRDefault="00E836FB">
            <w:pPr>
              <w:rPr>
                <w:rFonts w:ascii="宋体"/>
                <w:vanish/>
              </w:rPr>
            </w:pPr>
          </w:p>
        </w:tc>
      </w:tr>
      <w:tr w:rsidR="00E836FB" w14:paraId="5F2CF854" w14:textId="77777777">
        <w:tc>
          <w:tcPr>
            <w:tcW w:w="0" w:type="auto"/>
            <w:gridSpan w:val="3"/>
            <w:shd w:val="clear" w:color="auto" w:fill="FFFFFF"/>
            <w:tcMar>
              <w:top w:w="40" w:type="dxa"/>
              <w:left w:w="20" w:type="dxa"/>
              <w:bottom w:w="40" w:type="dxa"/>
              <w:right w:w="20" w:type="dxa"/>
            </w:tcMar>
            <w:vAlign w:val="bottom"/>
          </w:tcPr>
          <w:p w14:paraId="5F2CF84B" w14:textId="77777777" w:rsidR="00E836FB" w:rsidRDefault="00994958">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5F2CF84C" w14:textId="77777777" w:rsidR="00E836FB" w:rsidRDefault="00994958">
            <w:pPr>
              <w:jc w:val="right"/>
              <w:textAlignment w:val="bottom"/>
            </w:pPr>
            <w:r>
              <w:rPr>
                <w:rFonts w:ascii="Arial" w:eastAsia="宋体" w:hAnsi="Arial" w:cs="Arial"/>
                <w:b/>
                <w:bCs/>
                <w:color w:val="000000"/>
                <w:sz w:val="15"/>
                <w:szCs w:val="15"/>
              </w:rPr>
              <w:t>241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8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4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4F" w14:textId="77777777" w:rsidR="00E836FB" w:rsidRDefault="00994958">
            <w:pPr>
              <w:jc w:val="right"/>
              <w:textAlignment w:val="bottom"/>
            </w:pPr>
            <w:r>
              <w:rPr>
                <w:rFonts w:ascii="Arial" w:eastAsia="宋体" w:hAnsi="Arial" w:cs="Arial"/>
                <w:color w:val="000000"/>
                <w:sz w:val="15"/>
                <w:szCs w:val="15"/>
              </w:rPr>
              <w:t>1,335 </w:t>
            </w:r>
          </w:p>
        </w:tc>
        <w:tc>
          <w:tcPr>
            <w:tcW w:w="0" w:type="auto"/>
            <w:shd w:val="clear" w:color="auto" w:fill="FFFFFF"/>
            <w:tcMar>
              <w:top w:w="40" w:type="dxa"/>
              <w:left w:w="0" w:type="dxa"/>
              <w:bottom w:w="40" w:type="dxa"/>
              <w:right w:w="20" w:type="dxa"/>
            </w:tcMar>
            <w:vAlign w:val="bottom"/>
          </w:tcPr>
          <w:p w14:paraId="5F2CF8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5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52" w14:textId="77777777" w:rsidR="00E836FB" w:rsidRDefault="00994958">
            <w:pPr>
              <w:jc w:val="right"/>
              <w:textAlignment w:val="bottom"/>
            </w:pPr>
            <w:r>
              <w:rPr>
                <w:rFonts w:ascii="Arial" w:eastAsia="宋体" w:hAnsi="Arial" w:cs="Arial"/>
                <w:color w:val="000000"/>
                <w:sz w:val="15"/>
                <w:szCs w:val="15"/>
              </w:rPr>
              <w:t>720 </w:t>
            </w:r>
          </w:p>
        </w:tc>
        <w:tc>
          <w:tcPr>
            <w:tcW w:w="0" w:type="auto"/>
            <w:shd w:val="clear" w:color="auto" w:fill="FFFFFF"/>
            <w:tcMar>
              <w:top w:w="40" w:type="dxa"/>
              <w:left w:w="0" w:type="dxa"/>
              <w:bottom w:w="40" w:type="dxa"/>
              <w:right w:w="20" w:type="dxa"/>
            </w:tcMar>
            <w:vAlign w:val="bottom"/>
          </w:tcPr>
          <w:p w14:paraId="5F2CF853" w14:textId="77777777" w:rsidR="00E836FB" w:rsidRDefault="00E836FB">
            <w:pPr>
              <w:jc w:val="right"/>
              <w:rPr>
                <w:rFonts w:ascii="宋体"/>
              </w:rPr>
            </w:pPr>
          </w:p>
        </w:tc>
      </w:tr>
      <w:tr w:rsidR="00E836FB" w14:paraId="5F2CF85E" w14:textId="77777777">
        <w:tc>
          <w:tcPr>
            <w:tcW w:w="0" w:type="auto"/>
            <w:gridSpan w:val="3"/>
            <w:shd w:val="clear" w:color="auto" w:fill="CCEEFF"/>
            <w:tcMar>
              <w:top w:w="40" w:type="dxa"/>
              <w:left w:w="20" w:type="dxa"/>
              <w:bottom w:w="40" w:type="dxa"/>
              <w:right w:w="20" w:type="dxa"/>
            </w:tcMar>
            <w:vAlign w:val="bottom"/>
          </w:tcPr>
          <w:p w14:paraId="5F2CF855" w14:textId="77777777" w:rsidR="00E836FB" w:rsidRDefault="00994958">
            <w:pPr>
              <w:textAlignment w:val="bottom"/>
            </w:pPr>
            <w:r>
              <w:rPr>
                <w:rFonts w:ascii="Arial" w:eastAsia="宋体" w:hAnsi="Arial" w:cs="Arial"/>
                <w:color w:val="000000"/>
                <w:sz w:val="15"/>
                <w:szCs w:val="15"/>
              </w:rPr>
              <w:t xml:space="preserve">Net cash provided by (used in) </w:t>
            </w:r>
            <w:r>
              <w:rPr>
                <w:rFonts w:ascii="Arial" w:eastAsia="宋体" w:hAnsi="Arial" w:cs="Arial"/>
                <w:color w:val="000000"/>
                <w:sz w:val="15"/>
                <w:szCs w:val="15"/>
              </w:rPr>
              <w:t>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856" w14:textId="77777777" w:rsidR="00E836FB" w:rsidRDefault="00994958">
            <w:pPr>
              <w:jc w:val="right"/>
              <w:textAlignment w:val="bottom"/>
            </w:pPr>
            <w:r>
              <w:rPr>
                <w:rFonts w:ascii="Arial" w:eastAsia="宋体" w:hAnsi="Arial" w:cs="Arial"/>
                <w:b/>
                <w:bCs/>
                <w:color w:val="000000"/>
                <w:sz w:val="15"/>
                <w:szCs w:val="15"/>
              </w:rPr>
              <w:t>(2,172)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8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5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859" w14:textId="77777777" w:rsidR="00E836FB" w:rsidRDefault="00994958">
            <w:pPr>
              <w:jc w:val="right"/>
              <w:textAlignment w:val="bottom"/>
            </w:pPr>
            <w:r>
              <w:rPr>
                <w:rFonts w:ascii="Arial" w:eastAsia="宋体" w:hAnsi="Arial" w:cs="Arial"/>
                <w:color w:val="000000"/>
                <w:sz w:val="15"/>
                <w:szCs w:val="15"/>
              </w:rPr>
              <w:t>(65,534)</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8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5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85C" w14:textId="77777777" w:rsidR="00E836FB" w:rsidRDefault="00994958">
            <w:pPr>
              <w:jc w:val="right"/>
              <w:textAlignment w:val="bottom"/>
            </w:pPr>
            <w:r>
              <w:rPr>
                <w:rFonts w:ascii="Arial" w:eastAsia="宋体" w:hAnsi="Arial" w:cs="Arial"/>
                <w:color w:val="000000"/>
                <w:sz w:val="15"/>
                <w:szCs w:val="15"/>
              </w:rPr>
              <w:t>(2,626)</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85D" w14:textId="77777777" w:rsidR="00E836FB" w:rsidRDefault="00E836FB">
            <w:pPr>
              <w:jc w:val="right"/>
              <w:rPr>
                <w:rFonts w:ascii="宋体"/>
              </w:rPr>
            </w:pPr>
          </w:p>
        </w:tc>
      </w:tr>
      <w:tr w:rsidR="00E836FB" w14:paraId="5F2CF865" w14:textId="77777777">
        <w:tc>
          <w:tcPr>
            <w:tcW w:w="0" w:type="auto"/>
            <w:gridSpan w:val="3"/>
            <w:shd w:val="clear" w:color="auto" w:fill="FFFFFF"/>
            <w:tcMar>
              <w:top w:w="40" w:type="dxa"/>
              <w:left w:w="20" w:type="dxa"/>
              <w:bottom w:w="40" w:type="dxa"/>
              <w:right w:w="20" w:type="dxa"/>
            </w:tcMar>
            <w:vAlign w:val="bottom"/>
          </w:tcPr>
          <w:p w14:paraId="5F2CF85F" w14:textId="77777777" w:rsidR="00E836FB" w:rsidRDefault="00994958">
            <w:pPr>
              <w:textAlignment w:val="bottom"/>
            </w:pPr>
            <w:r>
              <w:rPr>
                <w:rFonts w:ascii="Arial" w:eastAsia="宋体" w:hAnsi="Arial" w:cs="Arial"/>
                <w:b/>
                <w:bCs/>
                <w:color w:val="000000"/>
                <w:sz w:val="15"/>
                <w:szCs w:val="15"/>
              </w:rPr>
              <w:t>Financing Activities:</w:t>
            </w:r>
          </w:p>
        </w:tc>
        <w:tc>
          <w:tcPr>
            <w:tcW w:w="0" w:type="auto"/>
            <w:gridSpan w:val="3"/>
            <w:shd w:val="clear" w:color="auto" w:fill="FFFFFF"/>
            <w:tcMar>
              <w:top w:w="0" w:type="dxa"/>
              <w:left w:w="20" w:type="dxa"/>
              <w:bottom w:w="0" w:type="dxa"/>
              <w:right w:w="20" w:type="dxa"/>
            </w:tcMar>
            <w:vAlign w:val="bottom"/>
          </w:tcPr>
          <w:p w14:paraId="5F2CF86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86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86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86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864" w14:textId="77777777" w:rsidR="00E836FB" w:rsidRDefault="00E836FB">
            <w:pPr>
              <w:rPr>
                <w:rFonts w:ascii="宋体"/>
              </w:rPr>
            </w:pPr>
          </w:p>
        </w:tc>
      </w:tr>
      <w:tr w:rsidR="00E836FB" w14:paraId="5F2CF86F" w14:textId="77777777">
        <w:tc>
          <w:tcPr>
            <w:tcW w:w="0" w:type="auto"/>
            <w:gridSpan w:val="3"/>
            <w:shd w:val="clear" w:color="auto" w:fill="CCEEFF"/>
            <w:tcMar>
              <w:top w:w="40" w:type="dxa"/>
              <w:left w:w="20" w:type="dxa"/>
              <w:bottom w:w="40" w:type="dxa"/>
              <w:right w:w="20" w:type="dxa"/>
            </w:tcMar>
            <w:vAlign w:val="bottom"/>
          </w:tcPr>
          <w:p w14:paraId="5F2CF866" w14:textId="77777777" w:rsidR="00E836FB" w:rsidRDefault="00994958">
            <w:pPr>
              <w:textAlignment w:val="bottom"/>
            </w:pPr>
            <w:r>
              <w:rPr>
                <w:rFonts w:ascii="Arial" w:eastAsia="宋体" w:hAnsi="Arial" w:cs="Arial"/>
                <w:color w:val="000000"/>
                <w:sz w:val="15"/>
                <w:szCs w:val="15"/>
              </w:rPr>
              <w:t>Net (decrease) in time deposits</w:t>
            </w:r>
          </w:p>
        </w:tc>
        <w:tc>
          <w:tcPr>
            <w:tcW w:w="0" w:type="auto"/>
            <w:gridSpan w:val="2"/>
            <w:shd w:val="clear" w:color="auto" w:fill="CCEEFF"/>
            <w:tcMar>
              <w:top w:w="40" w:type="dxa"/>
              <w:left w:w="20" w:type="dxa"/>
              <w:bottom w:w="40" w:type="dxa"/>
              <w:right w:w="0" w:type="dxa"/>
            </w:tcMar>
            <w:vAlign w:val="bottom"/>
          </w:tcPr>
          <w:p w14:paraId="5F2CF867" w14:textId="77777777" w:rsidR="00E836FB" w:rsidRDefault="00994958">
            <w:pPr>
              <w:jc w:val="right"/>
              <w:textAlignment w:val="bottom"/>
            </w:pPr>
            <w:r>
              <w:rPr>
                <w:rFonts w:ascii="Arial" w:eastAsia="宋体" w:hAnsi="Arial" w:cs="Arial"/>
                <w:b/>
                <w:bCs/>
                <w:color w:val="000000"/>
                <w:sz w:val="15"/>
                <w:szCs w:val="15"/>
              </w:rPr>
              <w:t>(363)</w:t>
            </w:r>
          </w:p>
        </w:tc>
        <w:tc>
          <w:tcPr>
            <w:tcW w:w="0" w:type="auto"/>
            <w:shd w:val="clear" w:color="auto" w:fill="CCEEFF"/>
            <w:tcMar>
              <w:top w:w="40" w:type="dxa"/>
              <w:left w:w="0" w:type="dxa"/>
              <w:bottom w:w="40" w:type="dxa"/>
              <w:right w:w="20" w:type="dxa"/>
            </w:tcMar>
            <w:vAlign w:val="bottom"/>
          </w:tcPr>
          <w:p w14:paraId="5F2CF86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6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6A" w14:textId="77777777" w:rsidR="00E836FB" w:rsidRDefault="00994958">
            <w:pPr>
              <w:jc w:val="right"/>
              <w:textAlignment w:val="bottom"/>
            </w:pPr>
            <w:r>
              <w:rPr>
                <w:rFonts w:ascii="Arial" w:eastAsia="宋体" w:hAnsi="Arial" w:cs="Arial"/>
                <w:color w:val="000000"/>
                <w:sz w:val="15"/>
                <w:szCs w:val="15"/>
              </w:rPr>
              <w:t>(33,466)</w:t>
            </w:r>
          </w:p>
        </w:tc>
        <w:tc>
          <w:tcPr>
            <w:tcW w:w="0" w:type="auto"/>
            <w:shd w:val="clear" w:color="auto" w:fill="CCEEFF"/>
            <w:tcMar>
              <w:top w:w="40" w:type="dxa"/>
              <w:left w:w="0" w:type="dxa"/>
              <w:bottom w:w="40" w:type="dxa"/>
              <w:right w:w="20" w:type="dxa"/>
            </w:tcMar>
            <w:vAlign w:val="bottom"/>
          </w:tcPr>
          <w:p w14:paraId="5F2CF8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6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6D" w14:textId="77777777" w:rsidR="00E836FB" w:rsidRDefault="00994958">
            <w:pPr>
              <w:jc w:val="right"/>
              <w:textAlignment w:val="bottom"/>
            </w:pPr>
            <w:r>
              <w:rPr>
                <w:rFonts w:ascii="Arial" w:eastAsia="宋体" w:hAnsi="Arial" w:cs="Arial"/>
                <w:color w:val="000000"/>
                <w:sz w:val="15"/>
                <w:szCs w:val="15"/>
              </w:rPr>
              <w:t>(11,255)</w:t>
            </w:r>
          </w:p>
        </w:tc>
        <w:tc>
          <w:tcPr>
            <w:tcW w:w="0" w:type="auto"/>
            <w:shd w:val="clear" w:color="auto" w:fill="CCEEFF"/>
            <w:tcMar>
              <w:top w:w="40" w:type="dxa"/>
              <w:left w:w="0" w:type="dxa"/>
              <w:bottom w:w="40" w:type="dxa"/>
              <w:right w:w="20" w:type="dxa"/>
            </w:tcMar>
            <w:vAlign w:val="bottom"/>
          </w:tcPr>
          <w:p w14:paraId="5F2CF86E" w14:textId="77777777" w:rsidR="00E836FB" w:rsidRDefault="00E836FB">
            <w:pPr>
              <w:jc w:val="right"/>
              <w:rPr>
                <w:rFonts w:ascii="宋体"/>
              </w:rPr>
            </w:pPr>
          </w:p>
        </w:tc>
      </w:tr>
      <w:tr w:rsidR="00E836FB" w14:paraId="5F2CF879" w14:textId="77777777">
        <w:tc>
          <w:tcPr>
            <w:tcW w:w="0" w:type="auto"/>
            <w:gridSpan w:val="3"/>
            <w:shd w:val="clear" w:color="auto" w:fill="FFFFFF"/>
            <w:tcMar>
              <w:top w:w="40" w:type="dxa"/>
              <w:left w:w="20" w:type="dxa"/>
              <w:bottom w:w="40" w:type="dxa"/>
              <w:right w:w="20" w:type="dxa"/>
            </w:tcMar>
            <w:vAlign w:val="bottom"/>
          </w:tcPr>
          <w:p w14:paraId="5F2CF870" w14:textId="77777777" w:rsidR="00E836FB" w:rsidRDefault="00994958">
            <w:pPr>
              <w:textAlignment w:val="bottom"/>
            </w:pPr>
            <w:r>
              <w:rPr>
                <w:rFonts w:ascii="Arial" w:eastAsia="宋体" w:hAnsi="Arial" w:cs="Arial"/>
                <w:color w:val="000000"/>
                <w:sz w:val="15"/>
                <w:szCs w:val="15"/>
              </w:rPr>
              <w:t>Net increase in all other deposits</w:t>
            </w:r>
          </w:p>
        </w:tc>
        <w:tc>
          <w:tcPr>
            <w:tcW w:w="0" w:type="auto"/>
            <w:gridSpan w:val="2"/>
            <w:shd w:val="clear" w:color="auto" w:fill="FFFFFF"/>
            <w:tcMar>
              <w:top w:w="40" w:type="dxa"/>
              <w:left w:w="20" w:type="dxa"/>
              <w:bottom w:w="40" w:type="dxa"/>
              <w:right w:w="0" w:type="dxa"/>
            </w:tcMar>
            <w:vAlign w:val="bottom"/>
          </w:tcPr>
          <w:p w14:paraId="5F2CF871" w14:textId="77777777" w:rsidR="00E836FB" w:rsidRDefault="00994958">
            <w:pPr>
              <w:jc w:val="right"/>
              <w:textAlignment w:val="bottom"/>
            </w:pPr>
            <w:r>
              <w:rPr>
                <w:rFonts w:ascii="Arial" w:eastAsia="宋体" w:hAnsi="Arial" w:cs="Arial"/>
                <w:b/>
                <w:bCs/>
                <w:color w:val="000000"/>
                <w:sz w:val="15"/>
                <w:szCs w:val="15"/>
              </w:rPr>
              <w:t>15,611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8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74" w14:textId="77777777" w:rsidR="00E836FB" w:rsidRDefault="00994958">
            <w:pPr>
              <w:jc w:val="right"/>
              <w:textAlignment w:val="bottom"/>
            </w:pPr>
            <w:r>
              <w:rPr>
                <w:rFonts w:ascii="Arial" w:eastAsia="宋体" w:hAnsi="Arial" w:cs="Arial"/>
                <w:color w:val="000000"/>
                <w:sz w:val="15"/>
                <w:szCs w:val="15"/>
              </w:rPr>
              <w:t>91,391 </w:t>
            </w:r>
          </w:p>
        </w:tc>
        <w:tc>
          <w:tcPr>
            <w:tcW w:w="0" w:type="auto"/>
            <w:shd w:val="clear" w:color="auto" w:fill="FFFFFF"/>
            <w:tcMar>
              <w:top w:w="40" w:type="dxa"/>
              <w:left w:w="0" w:type="dxa"/>
              <w:bottom w:w="40" w:type="dxa"/>
              <w:right w:w="20" w:type="dxa"/>
            </w:tcMar>
            <w:vAlign w:val="bottom"/>
          </w:tcPr>
          <w:p w14:paraId="5F2CF8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77" w14:textId="77777777" w:rsidR="00E836FB" w:rsidRDefault="00994958">
            <w:pPr>
              <w:jc w:val="right"/>
              <w:textAlignment w:val="bottom"/>
            </w:pPr>
            <w:r>
              <w:rPr>
                <w:rFonts w:ascii="Arial" w:eastAsia="宋体" w:hAnsi="Arial" w:cs="Arial"/>
                <w:color w:val="000000"/>
                <w:sz w:val="15"/>
                <w:szCs w:val="15"/>
              </w:rPr>
              <w:t>12,767 </w:t>
            </w:r>
          </w:p>
        </w:tc>
        <w:tc>
          <w:tcPr>
            <w:tcW w:w="0" w:type="auto"/>
            <w:shd w:val="clear" w:color="auto" w:fill="FFFFFF"/>
            <w:tcMar>
              <w:top w:w="40" w:type="dxa"/>
              <w:left w:w="0" w:type="dxa"/>
              <w:bottom w:w="40" w:type="dxa"/>
              <w:right w:w="20" w:type="dxa"/>
            </w:tcMar>
            <w:vAlign w:val="bottom"/>
          </w:tcPr>
          <w:p w14:paraId="5F2CF878" w14:textId="77777777" w:rsidR="00E836FB" w:rsidRDefault="00E836FB">
            <w:pPr>
              <w:jc w:val="right"/>
              <w:rPr>
                <w:rFonts w:ascii="宋体"/>
              </w:rPr>
            </w:pPr>
          </w:p>
        </w:tc>
      </w:tr>
      <w:tr w:rsidR="00E836FB" w14:paraId="5F2CF883" w14:textId="77777777">
        <w:tc>
          <w:tcPr>
            <w:tcW w:w="0" w:type="auto"/>
            <w:gridSpan w:val="3"/>
            <w:shd w:val="clear" w:color="auto" w:fill="CCEEFF"/>
            <w:tcMar>
              <w:top w:w="40" w:type="dxa"/>
              <w:left w:w="20" w:type="dxa"/>
              <w:bottom w:w="40" w:type="dxa"/>
              <w:right w:w="20" w:type="dxa"/>
            </w:tcMar>
            <w:vAlign w:val="bottom"/>
          </w:tcPr>
          <w:p w14:paraId="5F2CF87A" w14:textId="77777777" w:rsidR="00E836FB" w:rsidRDefault="00994958">
            <w:pPr>
              <w:textAlignment w:val="bottom"/>
            </w:pPr>
            <w:r>
              <w:rPr>
                <w:rFonts w:ascii="Arial" w:eastAsia="宋体" w:hAnsi="Arial" w:cs="Arial"/>
                <w:color w:val="000000"/>
                <w:sz w:val="15"/>
                <w:szCs w:val="15"/>
              </w:rPr>
              <w:t xml:space="preserve">Net (decrease) increase in securities sold </w:t>
            </w:r>
            <w:r>
              <w:rPr>
                <w:rFonts w:ascii="Arial" w:eastAsia="宋体" w:hAnsi="Arial" w:cs="Arial"/>
                <w:color w:val="000000"/>
                <w:sz w:val="15"/>
                <w:szCs w:val="15"/>
              </w:rPr>
              <w:t>under repurchase agreements</w:t>
            </w:r>
          </w:p>
        </w:tc>
        <w:tc>
          <w:tcPr>
            <w:tcW w:w="0" w:type="auto"/>
            <w:gridSpan w:val="2"/>
            <w:shd w:val="clear" w:color="auto" w:fill="CCEEFF"/>
            <w:tcMar>
              <w:top w:w="40" w:type="dxa"/>
              <w:left w:w="20" w:type="dxa"/>
              <w:bottom w:w="40" w:type="dxa"/>
              <w:right w:w="0" w:type="dxa"/>
            </w:tcMar>
            <w:vAlign w:val="bottom"/>
          </w:tcPr>
          <w:p w14:paraId="5F2CF87B" w14:textId="77777777" w:rsidR="00E836FB" w:rsidRDefault="00994958">
            <w:pPr>
              <w:jc w:val="right"/>
              <w:textAlignment w:val="bottom"/>
            </w:pPr>
            <w:r>
              <w:rPr>
                <w:rFonts w:ascii="Arial" w:eastAsia="宋体" w:hAnsi="Arial" w:cs="Arial"/>
                <w:b/>
                <w:bCs/>
                <w:color w:val="000000"/>
                <w:sz w:val="15"/>
                <w:szCs w:val="15"/>
              </w:rPr>
              <w:t>(1,838)</w:t>
            </w:r>
          </w:p>
        </w:tc>
        <w:tc>
          <w:tcPr>
            <w:tcW w:w="0" w:type="auto"/>
            <w:shd w:val="clear" w:color="auto" w:fill="CCEEFF"/>
            <w:tcMar>
              <w:top w:w="40" w:type="dxa"/>
              <w:left w:w="0" w:type="dxa"/>
              <w:bottom w:w="40" w:type="dxa"/>
              <w:right w:w="20" w:type="dxa"/>
            </w:tcMar>
            <w:vAlign w:val="bottom"/>
          </w:tcPr>
          <w:p w14:paraId="5F2CF8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7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7E" w14:textId="77777777" w:rsidR="00E836FB" w:rsidRDefault="00994958">
            <w:pPr>
              <w:jc w:val="right"/>
              <w:textAlignment w:val="bottom"/>
            </w:pPr>
            <w:r>
              <w:rPr>
                <w:rFonts w:ascii="Arial" w:eastAsia="宋体" w:hAnsi="Arial" w:cs="Arial"/>
                <w:color w:val="000000"/>
                <w:sz w:val="15"/>
                <w:szCs w:val="15"/>
              </w:rPr>
              <w:t>2,311 </w:t>
            </w:r>
          </w:p>
        </w:tc>
        <w:tc>
          <w:tcPr>
            <w:tcW w:w="0" w:type="auto"/>
            <w:shd w:val="clear" w:color="auto" w:fill="CCEEFF"/>
            <w:tcMar>
              <w:top w:w="40" w:type="dxa"/>
              <w:left w:w="0" w:type="dxa"/>
              <w:bottom w:w="40" w:type="dxa"/>
              <w:right w:w="20" w:type="dxa"/>
            </w:tcMar>
            <w:vAlign w:val="bottom"/>
          </w:tcPr>
          <w:p w14:paraId="5F2CF8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8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81" w14:textId="77777777" w:rsidR="00E836FB" w:rsidRDefault="00994958">
            <w:pPr>
              <w:jc w:val="right"/>
              <w:textAlignment w:val="bottom"/>
            </w:pPr>
            <w:r>
              <w:rPr>
                <w:rFonts w:ascii="Arial" w:eastAsia="宋体" w:hAnsi="Arial" w:cs="Arial"/>
                <w:color w:val="000000"/>
                <w:sz w:val="15"/>
                <w:szCs w:val="15"/>
              </w:rPr>
              <w:t>20 </w:t>
            </w:r>
          </w:p>
        </w:tc>
        <w:tc>
          <w:tcPr>
            <w:tcW w:w="0" w:type="auto"/>
            <w:shd w:val="clear" w:color="auto" w:fill="CCEEFF"/>
            <w:tcMar>
              <w:top w:w="40" w:type="dxa"/>
              <w:left w:w="0" w:type="dxa"/>
              <w:bottom w:w="40" w:type="dxa"/>
              <w:right w:w="20" w:type="dxa"/>
            </w:tcMar>
            <w:vAlign w:val="bottom"/>
          </w:tcPr>
          <w:p w14:paraId="5F2CF882" w14:textId="77777777" w:rsidR="00E836FB" w:rsidRDefault="00E836FB">
            <w:pPr>
              <w:jc w:val="right"/>
              <w:rPr>
                <w:rFonts w:ascii="宋体"/>
              </w:rPr>
            </w:pPr>
          </w:p>
        </w:tc>
      </w:tr>
      <w:tr w:rsidR="00E836FB" w14:paraId="5F2CF88D" w14:textId="77777777">
        <w:tc>
          <w:tcPr>
            <w:tcW w:w="0" w:type="auto"/>
            <w:gridSpan w:val="3"/>
            <w:shd w:val="clear" w:color="auto" w:fill="FFFFFF"/>
            <w:tcMar>
              <w:top w:w="40" w:type="dxa"/>
              <w:left w:w="20" w:type="dxa"/>
              <w:bottom w:w="40" w:type="dxa"/>
              <w:right w:w="20" w:type="dxa"/>
            </w:tcMar>
            <w:vAlign w:val="bottom"/>
          </w:tcPr>
          <w:p w14:paraId="5F2CF884" w14:textId="77777777" w:rsidR="00E836FB" w:rsidRDefault="00994958">
            <w:pPr>
              <w:textAlignment w:val="bottom"/>
            </w:pPr>
            <w:r>
              <w:rPr>
                <w:rFonts w:ascii="Arial" w:eastAsia="宋体" w:hAnsi="Arial" w:cs="Arial"/>
                <w:color w:val="000000"/>
                <w:sz w:val="15"/>
                <w:szCs w:val="15"/>
              </w:rPr>
              <w:t>Net (decrease) increase in short-term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5F2CF885" w14:textId="77777777" w:rsidR="00E836FB" w:rsidRDefault="00994958">
            <w:pPr>
              <w:jc w:val="right"/>
              <w:textAlignment w:val="bottom"/>
            </w:pPr>
            <w:r>
              <w:rPr>
                <w:rFonts w:ascii="Arial" w:eastAsia="宋体" w:hAnsi="Arial" w:cs="Arial"/>
                <w:b/>
                <w:bCs/>
                <w:color w:val="000000"/>
                <w:sz w:val="15"/>
                <w:szCs w:val="15"/>
              </w:rPr>
              <w:t>(3,302)</w:t>
            </w:r>
          </w:p>
        </w:tc>
        <w:tc>
          <w:tcPr>
            <w:tcW w:w="0" w:type="auto"/>
            <w:shd w:val="clear" w:color="auto" w:fill="FFFFFF"/>
            <w:tcMar>
              <w:top w:w="40" w:type="dxa"/>
              <w:left w:w="0" w:type="dxa"/>
              <w:bottom w:w="40" w:type="dxa"/>
              <w:right w:w="20" w:type="dxa"/>
            </w:tcMar>
            <w:vAlign w:val="bottom"/>
          </w:tcPr>
          <w:p w14:paraId="5F2CF8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8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88" w14:textId="77777777" w:rsidR="00E836FB" w:rsidRDefault="00994958">
            <w:pPr>
              <w:jc w:val="right"/>
              <w:textAlignment w:val="bottom"/>
            </w:pPr>
            <w:r>
              <w:rPr>
                <w:rFonts w:ascii="Arial" w:eastAsia="宋体" w:hAnsi="Arial" w:cs="Arial"/>
                <w:color w:val="000000"/>
                <w:sz w:val="15"/>
                <w:szCs w:val="15"/>
              </w:rPr>
              <w:t>3,302 </w:t>
            </w:r>
          </w:p>
        </w:tc>
        <w:tc>
          <w:tcPr>
            <w:tcW w:w="0" w:type="auto"/>
            <w:shd w:val="clear" w:color="auto" w:fill="FFFFFF"/>
            <w:tcMar>
              <w:top w:w="40" w:type="dxa"/>
              <w:left w:w="0" w:type="dxa"/>
              <w:bottom w:w="40" w:type="dxa"/>
              <w:right w:w="20" w:type="dxa"/>
            </w:tcMar>
            <w:vAlign w:val="bottom"/>
          </w:tcPr>
          <w:p w14:paraId="5F2CF8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8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8B"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88C" w14:textId="77777777" w:rsidR="00E836FB" w:rsidRDefault="00E836FB">
            <w:pPr>
              <w:jc w:val="right"/>
              <w:rPr>
                <w:rFonts w:ascii="宋体"/>
              </w:rPr>
            </w:pPr>
          </w:p>
        </w:tc>
      </w:tr>
      <w:tr w:rsidR="00E836FB" w14:paraId="5F2CF897" w14:textId="77777777">
        <w:tc>
          <w:tcPr>
            <w:tcW w:w="0" w:type="auto"/>
            <w:gridSpan w:val="3"/>
            <w:shd w:val="clear" w:color="auto" w:fill="CCEEFF"/>
            <w:tcMar>
              <w:top w:w="40" w:type="dxa"/>
              <w:left w:w="20" w:type="dxa"/>
              <w:bottom w:w="40" w:type="dxa"/>
              <w:right w:w="20" w:type="dxa"/>
            </w:tcMar>
            <w:vAlign w:val="bottom"/>
          </w:tcPr>
          <w:p w14:paraId="5F2CF88E" w14:textId="77777777" w:rsidR="00E836FB" w:rsidRDefault="00994958">
            <w:pPr>
              <w:textAlignment w:val="bottom"/>
            </w:pPr>
            <w:r>
              <w:rPr>
                <w:rFonts w:ascii="Arial" w:eastAsia="宋体" w:hAnsi="Arial" w:cs="Arial"/>
                <w:color w:val="000000"/>
                <w:sz w:val="15"/>
                <w:szCs w:val="15"/>
              </w:rPr>
              <w:t>Net (decrease) in other short-term borrowings</w:t>
            </w:r>
          </w:p>
        </w:tc>
        <w:tc>
          <w:tcPr>
            <w:tcW w:w="0" w:type="auto"/>
            <w:gridSpan w:val="2"/>
            <w:shd w:val="clear" w:color="auto" w:fill="CCEEFF"/>
            <w:tcMar>
              <w:top w:w="40" w:type="dxa"/>
              <w:left w:w="20" w:type="dxa"/>
              <w:bottom w:w="40" w:type="dxa"/>
              <w:right w:w="0" w:type="dxa"/>
            </w:tcMar>
            <w:vAlign w:val="bottom"/>
          </w:tcPr>
          <w:p w14:paraId="5F2CF88F" w14:textId="77777777" w:rsidR="00E836FB" w:rsidRDefault="00994958">
            <w:pPr>
              <w:jc w:val="right"/>
              <w:textAlignment w:val="bottom"/>
            </w:pPr>
            <w:r>
              <w:rPr>
                <w:rFonts w:ascii="Arial" w:eastAsia="宋体" w:hAnsi="Arial" w:cs="Arial"/>
                <w:b/>
                <w:bCs/>
                <w:color w:val="000000"/>
                <w:sz w:val="15"/>
                <w:szCs w:val="15"/>
              </w:rPr>
              <w:t>(557)</w:t>
            </w:r>
          </w:p>
        </w:tc>
        <w:tc>
          <w:tcPr>
            <w:tcW w:w="0" w:type="auto"/>
            <w:shd w:val="clear" w:color="auto" w:fill="CCEEFF"/>
            <w:tcMar>
              <w:top w:w="40" w:type="dxa"/>
              <w:left w:w="0" w:type="dxa"/>
              <w:bottom w:w="40" w:type="dxa"/>
              <w:right w:w="20" w:type="dxa"/>
            </w:tcMar>
            <w:vAlign w:val="bottom"/>
          </w:tcPr>
          <w:p w14:paraId="5F2CF8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9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92" w14:textId="77777777" w:rsidR="00E836FB" w:rsidRDefault="00994958">
            <w:pPr>
              <w:jc w:val="right"/>
              <w:textAlignment w:val="bottom"/>
            </w:pPr>
            <w:r>
              <w:rPr>
                <w:rFonts w:ascii="Arial" w:eastAsia="宋体" w:hAnsi="Arial" w:cs="Arial"/>
                <w:color w:val="000000"/>
                <w:sz w:val="15"/>
                <w:szCs w:val="15"/>
              </w:rPr>
              <w:t>(154)</w:t>
            </w:r>
          </w:p>
        </w:tc>
        <w:tc>
          <w:tcPr>
            <w:tcW w:w="0" w:type="auto"/>
            <w:shd w:val="clear" w:color="auto" w:fill="CCEEFF"/>
            <w:tcMar>
              <w:top w:w="40" w:type="dxa"/>
              <w:left w:w="0" w:type="dxa"/>
              <w:bottom w:w="40" w:type="dxa"/>
              <w:right w:w="20" w:type="dxa"/>
            </w:tcMar>
            <w:vAlign w:val="bottom"/>
          </w:tcPr>
          <w:p w14:paraId="5F2CF8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9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95" w14:textId="77777777" w:rsidR="00E836FB" w:rsidRDefault="00994958">
            <w:pPr>
              <w:jc w:val="right"/>
              <w:textAlignment w:val="bottom"/>
            </w:pPr>
            <w:r>
              <w:rPr>
                <w:rFonts w:ascii="Arial" w:eastAsia="宋体" w:hAnsi="Arial" w:cs="Arial"/>
                <w:color w:val="000000"/>
                <w:sz w:val="15"/>
                <w:szCs w:val="15"/>
              </w:rPr>
              <w:t>(2,253)</w:t>
            </w:r>
          </w:p>
        </w:tc>
        <w:tc>
          <w:tcPr>
            <w:tcW w:w="0" w:type="auto"/>
            <w:shd w:val="clear" w:color="auto" w:fill="CCEEFF"/>
            <w:tcMar>
              <w:top w:w="40" w:type="dxa"/>
              <w:left w:w="0" w:type="dxa"/>
              <w:bottom w:w="40" w:type="dxa"/>
              <w:right w:w="20" w:type="dxa"/>
            </w:tcMar>
            <w:vAlign w:val="bottom"/>
          </w:tcPr>
          <w:p w14:paraId="5F2CF896" w14:textId="77777777" w:rsidR="00E836FB" w:rsidRDefault="00E836FB">
            <w:pPr>
              <w:jc w:val="right"/>
              <w:rPr>
                <w:rFonts w:ascii="宋体"/>
              </w:rPr>
            </w:pPr>
          </w:p>
        </w:tc>
      </w:tr>
      <w:tr w:rsidR="00E836FB" w14:paraId="5F2CF89E" w14:textId="77777777">
        <w:trPr>
          <w:hidden/>
        </w:trPr>
        <w:tc>
          <w:tcPr>
            <w:tcW w:w="0" w:type="auto"/>
            <w:gridSpan w:val="3"/>
            <w:shd w:val="clear" w:color="auto" w:fill="auto"/>
            <w:vAlign w:val="bottom"/>
          </w:tcPr>
          <w:p w14:paraId="5F2CF898" w14:textId="77777777" w:rsidR="00E836FB" w:rsidRDefault="00E836FB">
            <w:pPr>
              <w:rPr>
                <w:rFonts w:ascii="宋体"/>
                <w:vanish/>
              </w:rPr>
            </w:pPr>
          </w:p>
        </w:tc>
        <w:tc>
          <w:tcPr>
            <w:tcW w:w="0" w:type="auto"/>
            <w:gridSpan w:val="3"/>
            <w:shd w:val="clear" w:color="auto" w:fill="auto"/>
            <w:vAlign w:val="bottom"/>
          </w:tcPr>
          <w:p w14:paraId="5F2CF899" w14:textId="77777777" w:rsidR="00E836FB" w:rsidRDefault="00E836FB">
            <w:pPr>
              <w:rPr>
                <w:rFonts w:ascii="宋体"/>
                <w:vanish/>
              </w:rPr>
            </w:pPr>
          </w:p>
        </w:tc>
        <w:tc>
          <w:tcPr>
            <w:tcW w:w="0" w:type="auto"/>
            <w:gridSpan w:val="3"/>
            <w:shd w:val="clear" w:color="auto" w:fill="auto"/>
            <w:vAlign w:val="bottom"/>
          </w:tcPr>
          <w:p w14:paraId="5F2CF89A" w14:textId="77777777" w:rsidR="00E836FB" w:rsidRDefault="00E836FB">
            <w:pPr>
              <w:rPr>
                <w:rFonts w:ascii="宋体"/>
                <w:vanish/>
              </w:rPr>
            </w:pPr>
          </w:p>
        </w:tc>
        <w:tc>
          <w:tcPr>
            <w:tcW w:w="0" w:type="auto"/>
            <w:gridSpan w:val="3"/>
            <w:shd w:val="clear" w:color="auto" w:fill="auto"/>
            <w:vAlign w:val="bottom"/>
          </w:tcPr>
          <w:p w14:paraId="5F2CF89B" w14:textId="77777777" w:rsidR="00E836FB" w:rsidRDefault="00E836FB">
            <w:pPr>
              <w:rPr>
                <w:rFonts w:ascii="宋体"/>
                <w:vanish/>
              </w:rPr>
            </w:pPr>
          </w:p>
        </w:tc>
        <w:tc>
          <w:tcPr>
            <w:tcW w:w="0" w:type="auto"/>
            <w:gridSpan w:val="3"/>
            <w:shd w:val="clear" w:color="auto" w:fill="auto"/>
            <w:vAlign w:val="bottom"/>
          </w:tcPr>
          <w:p w14:paraId="5F2CF89C" w14:textId="77777777" w:rsidR="00E836FB" w:rsidRDefault="00E836FB">
            <w:pPr>
              <w:rPr>
                <w:rFonts w:ascii="宋体"/>
                <w:vanish/>
              </w:rPr>
            </w:pPr>
          </w:p>
        </w:tc>
        <w:tc>
          <w:tcPr>
            <w:tcW w:w="0" w:type="auto"/>
            <w:gridSpan w:val="3"/>
            <w:shd w:val="clear" w:color="auto" w:fill="auto"/>
            <w:vAlign w:val="bottom"/>
          </w:tcPr>
          <w:p w14:paraId="5F2CF89D" w14:textId="77777777" w:rsidR="00E836FB" w:rsidRDefault="00E836FB">
            <w:pPr>
              <w:rPr>
                <w:rFonts w:ascii="宋体"/>
                <w:vanish/>
              </w:rPr>
            </w:pPr>
          </w:p>
        </w:tc>
      </w:tr>
      <w:tr w:rsidR="00E836FB" w14:paraId="5F2CF8A8" w14:textId="77777777">
        <w:tc>
          <w:tcPr>
            <w:tcW w:w="0" w:type="auto"/>
            <w:gridSpan w:val="3"/>
            <w:shd w:val="clear" w:color="auto" w:fill="FFFFFF"/>
            <w:tcMar>
              <w:top w:w="40" w:type="dxa"/>
              <w:left w:w="20" w:type="dxa"/>
              <w:bottom w:w="40" w:type="dxa"/>
              <w:right w:w="20" w:type="dxa"/>
            </w:tcMar>
            <w:vAlign w:val="bottom"/>
          </w:tcPr>
          <w:p w14:paraId="5F2CF89F" w14:textId="77777777" w:rsidR="00E836FB" w:rsidRDefault="00994958">
            <w:pPr>
              <w:textAlignment w:val="bottom"/>
            </w:pPr>
            <w:r>
              <w:rPr>
                <w:rFonts w:ascii="Arial" w:eastAsia="宋体" w:hAnsi="Arial" w:cs="Arial"/>
                <w:color w:val="000000"/>
                <w:sz w:val="15"/>
                <w:szCs w:val="15"/>
              </w:rPr>
              <w:t>Proceeds from issuance of long-term debt, net of issuance costs</w:t>
            </w:r>
          </w:p>
        </w:tc>
        <w:tc>
          <w:tcPr>
            <w:tcW w:w="0" w:type="auto"/>
            <w:gridSpan w:val="2"/>
            <w:shd w:val="clear" w:color="auto" w:fill="FFFFFF"/>
            <w:tcMar>
              <w:top w:w="40" w:type="dxa"/>
              <w:left w:w="20" w:type="dxa"/>
              <w:bottom w:w="40" w:type="dxa"/>
              <w:right w:w="0" w:type="dxa"/>
            </w:tcMar>
            <w:vAlign w:val="bottom"/>
          </w:tcPr>
          <w:p w14:paraId="5F2CF8A0" w14:textId="77777777" w:rsidR="00E836FB" w:rsidRDefault="00994958">
            <w:pPr>
              <w:jc w:val="right"/>
              <w:textAlignment w:val="bottom"/>
            </w:pPr>
            <w:r>
              <w:rPr>
                <w:rFonts w:ascii="Arial" w:eastAsia="宋体" w:hAnsi="Arial" w:cs="Arial"/>
                <w:b/>
                <w:bCs/>
                <w:color w:val="000000"/>
                <w:sz w:val="15"/>
                <w:szCs w:val="15"/>
              </w:rPr>
              <w:t>1,343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8A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A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A3" w14:textId="77777777" w:rsidR="00E836FB" w:rsidRDefault="00994958">
            <w:pPr>
              <w:jc w:val="right"/>
              <w:textAlignment w:val="bottom"/>
            </w:pPr>
            <w:r>
              <w:rPr>
                <w:rFonts w:ascii="Arial" w:eastAsia="宋体" w:hAnsi="Arial" w:cs="Arial"/>
                <w:color w:val="000000"/>
                <w:sz w:val="15"/>
                <w:szCs w:val="15"/>
              </w:rPr>
              <w:t>2,489 </w:t>
            </w:r>
          </w:p>
        </w:tc>
        <w:tc>
          <w:tcPr>
            <w:tcW w:w="0" w:type="auto"/>
            <w:shd w:val="clear" w:color="auto" w:fill="FFFFFF"/>
            <w:tcMar>
              <w:top w:w="40" w:type="dxa"/>
              <w:left w:w="0" w:type="dxa"/>
              <w:bottom w:w="40" w:type="dxa"/>
              <w:right w:w="20" w:type="dxa"/>
            </w:tcMar>
            <w:vAlign w:val="bottom"/>
          </w:tcPr>
          <w:p w14:paraId="5F2CF8A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A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A6" w14:textId="77777777" w:rsidR="00E836FB" w:rsidRDefault="00994958">
            <w:pPr>
              <w:jc w:val="right"/>
              <w:textAlignment w:val="bottom"/>
            </w:pPr>
            <w:r>
              <w:rPr>
                <w:rFonts w:ascii="Arial" w:eastAsia="宋体" w:hAnsi="Arial" w:cs="Arial"/>
                <w:color w:val="000000"/>
                <w:sz w:val="15"/>
                <w:szCs w:val="15"/>
              </w:rPr>
              <w:t>1,495 </w:t>
            </w:r>
          </w:p>
        </w:tc>
        <w:tc>
          <w:tcPr>
            <w:tcW w:w="0" w:type="auto"/>
            <w:shd w:val="clear" w:color="auto" w:fill="FFFFFF"/>
            <w:tcMar>
              <w:top w:w="40" w:type="dxa"/>
              <w:left w:w="0" w:type="dxa"/>
              <w:bottom w:w="40" w:type="dxa"/>
              <w:right w:w="20" w:type="dxa"/>
            </w:tcMar>
            <w:vAlign w:val="bottom"/>
          </w:tcPr>
          <w:p w14:paraId="5F2CF8A7" w14:textId="77777777" w:rsidR="00E836FB" w:rsidRDefault="00E836FB">
            <w:pPr>
              <w:jc w:val="right"/>
              <w:rPr>
                <w:rFonts w:ascii="宋体"/>
              </w:rPr>
            </w:pPr>
          </w:p>
        </w:tc>
      </w:tr>
      <w:tr w:rsidR="00E836FB" w14:paraId="5F2CF8B2" w14:textId="77777777">
        <w:tc>
          <w:tcPr>
            <w:tcW w:w="0" w:type="auto"/>
            <w:gridSpan w:val="3"/>
            <w:shd w:val="clear" w:color="auto" w:fill="CCEEFF"/>
            <w:tcMar>
              <w:top w:w="40" w:type="dxa"/>
              <w:left w:w="20" w:type="dxa"/>
              <w:bottom w:w="40" w:type="dxa"/>
              <w:right w:w="20" w:type="dxa"/>
            </w:tcMar>
            <w:vAlign w:val="bottom"/>
          </w:tcPr>
          <w:p w14:paraId="5F2CF8A9" w14:textId="77777777" w:rsidR="00E836FB" w:rsidRDefault="00994958">
            <w:pPr>
              <w:textAlignment w:val="bottom"/>
            </w:pPr>
            <w:r>
              <w:rPr>
                <w:rFonts w:ascii="Arial" w:eastAsia="宋体" w:hAnsi="Arial" w:cs="Arial"/>
                <w:color w:val="000000"/>
                <w:sz w:val="15"/>
                <w:szCs w:val="15"/>
              </w:rPr>
              <w:t>Payments for long-term debt and obligations under finance leases</w:t>
            </w:r>
          </w:p>
        </w:tc>
        <w:tc>
          <w:tcPr>
            <w:tcW w:w="0" w:type="auto"/>
            <w:gridSpan w:val="2"/>
            <w:shd w:val="clear" w:color="auto" w:fill="CCEEFF"/>
            <w:tcMar>
              <w:top w:w="40" w:type="dxa"/>
              <w:left w:w="20" w:type="dxa"/>
              <w:bottom w:w="40" w:type="dxa"/>
              <w:right w:w="0" w:type="dxa"/>
            </w:tcMar>
            <w:vAlign w:val="bottom"/>
          </w:tcPr>
          <w:p w14:paraId="5F2CF8AA" w14:textId="77777777" w:rsidR="00E836FB" w:rsidRDefault="00994958">
            <w:pPr>
              <w:jc w:val="right"/>
              <w:textAlignment w:val="bottom"/>
            </w:pPr>
            <w:r>
              <w:rPr>
                <w:rFonts w:ascii="Arial" w:eastAsia="宋体" w:hAnsi="Arial" w:cs="Arial"/>
                <w:b/>
                <w:bCs/>
                <w:color w:val="000000"/>
                <w:sz w:val="15"/>
                <w:szCs w:val="15"/>
              </w:rPr>
              <w:t>(1,443)</w:t>
            </w:r>
          </w:p>
        </w:tc>
        <w:tc>
          <w:tcPr>
            <w:tcW w:w="0" w:type="auto"/>
            <w:shd w:val="clear" w:color="auto" w:fill="CCEEFF"/>
            <w:tcMar>
              <w:top w:w="40" w:type="dxa"/>
              <w:left w:w="0" w:type="dxa"/>
              <w:bottom w:w="40" w:type="dxa"/>
              <w:right w:w="20" w:type="dxa"/>
            </w:tcMar>
            <w:vAlign w:val="bottom"/>
          </w:tcPr>
          <w:p w14:paraId="5F2CF8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A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AD" w14:textId="77777777" w:rsidR="00E836FB" w:rsidRDefault="00994958">
            <w:pPr>
              <w:jc w:val="right"/>
              <w:textAlignment w:val="bottom"/>
            </w:pPr>
            <w:r>
              <w:rPr>
                <w:rFonts w:ascii="Arial" w:eastAsia="宋体" w:hAnsi="Arial" w:cs="Arial"/>
                <w:color w:val="000000"/>
                <w:sz w:val="15"/>
                <w:szCs w:val="15"/>
              </w:rPr>
              <w:t>(1,724)</w:t>
            </w:r>
          </w:p>
        </w:tc>
        <w:tc>
          <w:tcPr>
            <w:tcW w:w="0" w:type="auto"/>
            <w:shd w:val="clear" w:color="auto" w:fill="CCEEFF"/>
            <w:tcMar>
              <w:top w:w="40" w:type="dxa"/>
              <w:left w:w="0" w:type="dxa"/>
              <w:bottom w:w="40" w:type="dxa"/>
              <w:right w:w="20" w:type="dxa"/>
            </w:tcMar>
            <w:vAlign w:val="bottom"/>
          </w:tcPr>
          <w:p w14:paraId="5F2CF8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A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B0" w14:textId="77777777" w:rsidR="00E836FB" w:rsidRDefault="00994958">
            <w:pPr>
              <w:jc w:val="right"/>
              <w:textAlignment w:val="bottom"/>
            </w:pPr>
            <w:r>
              <w:rPr>
                <w:rFonts w:ascii="Arial" w:eastAsia="宋体" w:hAnsi="Arial" w:cs="Arial"/>
                <w:color w:val="000000"/>
                <w:sz w:val="15"/>
                <w:szCs w:val="15"/>
              </w:rPr>
              <w:t>(402)</w:t>
            </w:r>
          </w:p>
        </w:tc>
        <w:tc>
          <w:tcPr>
            <w:tcW w:w="0" w:type="auto"/>
            <w:shd w:val="clear" w:color="auto" w:fill="CCEEFF"/>
            <w:tcMar>
              <w:top w:w="40" w:type="dxa"/>
              <w:left w:w="0" w:type="dxa"/>
              <w:bottom w:w="40" w:type="dxa"/>
              <w:right w:w="20" w:type="dxa"/>
            </w:tcMar>
            <w:vAlign w:val="bottom"/>
          </w:tcPr>
          <w:p w14:paraId="5F2CF8B1" w14:textId="77777777" w:rsidR="00E836FB" w:rsidRDefault="00E836FB">
            <w:pPr>
              <w:jc w:val="right"/>
              <w:rPr>
                <w:rFonts w:ascii="宋体"/>
              </w:rPr>
            </w:pPr>
          </w:p>
        </w:tc>
      </w:tr>
      <w:tr w:rsidR="00E836FB" w14:paraId="5F2CF8BC" w14:textId="77777777">
        <w:tc>
          <w:tcPr>
            <w:tcW w:w="0" w:type="auto"/>
            <w:gridSpan w:val="3"/>
            <w:shd w:val="clear" w:color="auto" w:fill="FFFFFF"/>
            <w:tcMar>
              <w:top w:w="40" w:type="dxa"/>
              <w:left w:w="20" w:type="dxa"/>
              <w:bottom w:w="40" w:type="dxa"/>
              <w:right w:w="20" w:type="dxa"/>
            </w:tcMar>
            <w:vAlign w:val="bottom"/>
          </w:tcPr>
          <w:p w14:paraId="5F2CF8B3" w14:textId="77777777" w:rsidR="00E836FB" w:rsidRDefault="00994958">
            <w:pPr>
              <w:textAlignment w:val="bottom"/>
            </w:pPr>
            <w:r>
              <w:rPr>
                <w:rFonts w:ascii="Arial" w:eastAsia="宋体" w:hAnsi="Arial" w:cs="Arial"/>
                <w:color w:val="000000"/>
                <w:sz w:val="15"/>
                <w:szCs w:val="15"/>
              </w:rPr>
              <w:t>Payments for redemption of preferred stock</w:t>
            </w:r>
          </w:p>
        </w:tc>
        <w:tc>
          <w:tcPr>
            <w:tcW w:w="0" w:type="auto"/>
            <w:gridSpan w:val="2"/>
            <w:shd w:val="clear" w:color="auto" w:fill="FFFFFF"/>
            <w:tcMar>
              <w:top w:w="40" w:type="dxa"/>
              <w:left w:w="20" w:type="dxa"/>
              <w:bottom w:w="40" w:type="dxa"/>
              <w:right w:w="0" w:type="dxa"/>
            </w:tcMar>
            <w:vAlign w:val="bottom"/>
          </w:tcPr>
          <w:p w14:paraId="5F2CF8B4" w14:textId="77777777" w:rsidR="00E836FB" w:rsidRDefault="00994958">
            <w:pPr>
              <w:jc w:val="right"/>
              <w:textAlignment w:val="bottom"/>
            </w:pPr>
            <w:r>
              <w:rPr>
                <w:rFonts w:ascii="Arial" w:eastAsia="宋体" w:hAnsi="Arial" w:cs="Arial"/>
                <w:b/>
                <w:bCs/>
                <w:color w:val="000000"/>
                <w:sz w:val="15"/>
                <w:szCs w:val="15"/>
              </w:rPr>
              <w:t>(500)</w:t>
            </w:r>
          </w:p>
        </w:tc>
        <w:tc>
          <w:tcPr>
            <w:tcW w:w="0" w:type="auto"/>
            <w:shd w:val="clear" w:color="auto" w:fill="FFFFFF"/>
            <w:tcMar>
              <w:top w:w="40" w:type="dxa"/>
              <w:left w:w="0" w:type="dxa"/>
              <w:bottom w:w="40" w:type="dxa"/>
              <w:right w:w="20" w:type="dxa"/>
            </w:tcMar>
            <w:vAlign w:val="bottom"/>
          </w:tcPr>
          <w:p w14:paraId="5F2CF8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B7" w14:textId="77777777" w:rsidR="00E836FB" w:rsidRDefault="00994958">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F2CF8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BA" w14:textId="77777777" w:rsidR="00E836FB" w:rsidRDefault="00994958">
            <w:pPr>
              <w:jc w:val="right"/>
              <w:textAlignment w:val="bottom"/>
            </w:pPr>
            <w:r>
              <w:rPr>
                <w:rFonts w:ascii="Arial" w:eastAsia="宋体" w:hAnsi="Arial" w:cs="Arial"/>
                <w:color w:val="000000"/>
                <w:sz w:val="15"/>
                <w:szCs w:val="15"/>
              </w:rPr>
              <w:t>(750)</w:t>
            </w:r>
          </w:p>
        </w:tc>
        <w:tc>
          <w:tcPr>
            <w:tcW w:w="0" w:type="auto"/>
            <w:shd w:val="clear" w:color="auto" w:fill="FFFFFF"/>
            <w:tcMar>
              <w:top w:w="40" w:type="dxa"/>
              <w:left w:w="0" w:type="dxa"/>
              <w:bottom w:w="40" w:type="dxa"/>
              <w:right w:w="20" w:type="dxa"/>
            </w:tcMar>
            <w:vAlign w:val="bottom"/>
          </w:tcPr>
          <w:p w14:paraId="5F2CF8BB" w14:textId="77777777" w:rsidR="00E836FB" w:rsidRDefault="00E836FB">
            <w:pPr>
              <w:jc w:val="right"/>
              <w:rPr>
                <w:rFonts w:ascii="宋体"/>
              </w:rPr>
            </w:pPr>
          </w:p>
        </w:tc>
      </w:tr>
      <w:tr w:rsidR="00E836FB" w14:paraId="5F2CF8C3" w14:textId="77777777">
        <w:trPr>
          <w:hidden/>
        </w:trPr>
        <w:tc>
          <w:tcPr>
            <w:tcW w:w="0" w:type="auto"/>
            <w:gridSpan w:val="3"/>
            <w:shd w:val="clear" w:color="auto" w:fill="auto"/>
            <w:vAlign w:val="bottom"/>
          </w:tcPr>
          <w:p w14:paraId="5F2CF8BD" w14:textId="77777777" w:rsidR="00E836FB" w:rsidRDefault="00E836FB">
            <w:pPr>
              <w:rPr>
                <w:rFonts w:ascii="宋体"/>
                <w:vanish/>
              </w:rPr>
            </w:pPr>
          </w:p>
        </w:tc>
        <w:tc>
          <w:tcPr>
            <w:tcW w:w="0" w:type="auto"/>
            <w:gridSpan w:val="3"/>
            <w:shd w:val="clear" w:color="auto" w:fill="auto"/>
            <w:vAlign w:val="bottom"/>
          </w:tcPr>
          <w:p w14:paraId="5F2CF8BE" w14:textId="77777777" w:rsidR="00E836FB" w:rsidRDefault="00E836FB">
            <w:pPr>
              <w:rPr>
                <w:rFonts w:ascii="宋体"/>
                <w:vanish/>
              </w:rPr>
            </w:pPr>
          </w:p>
        </w:tc>
        <w:tc>
          <w:tcPr>
            <w:tcW w:w="0" w:type="auto"/>
            <w:gridSpan w:val="3"/>
            <w:shd w:val="clear" w:color="auto" w:fill="auto"/>
            <w:vAlign w:val="bottom"/>
          </w:tcPr>
          <w:p w14:paraId="5F2CF8BF" w14:textId="77777777" w:rsidR="00E836FB" w:rsidRDefault="00E836FB">
            <w:pPr>
              <w:rPr>
                <w:rFonts w:ascii="宋体"/>
                <w:vanish/>
              </w:rPr>
            </w:pPr>
          </w:p>
        </w:tc>
        <w:tc>
          <w:tcPr>
            <w:tcW w:w="0" w:type="auto"/>
            <w:gridSpan w:val="3"/>
            <w:shd w:val="clear" w:color="auto" w:fill="auto"/>
            <w:vAlign w:val="bottom"/>
          </w:tcPr>
          <w:p w14:paraId="5F2CF8C0" w14:textId="77777777" w:rsidR="00E836FB" w:rsidRDefault="00E836FB">
            <w:pPr>
              <w:rPr>
                <w:rFonts w:ascii="宋体"/>
                <w:vanish/>
              </w:rPr>
            </w:pPr>
          </w:p>
        </w:tc>
        <w:tc>
          <w:tcPr>
            <w:tcW w:w="0" w:type="auto"/>
            <w:gridSpan w:val="3"/>
            <w:shd w:val="clear" w:color="auto" w:fill="auto"/>
            <w:vAlign w:val="bottom"/>
          </w:tcPr>
          <w:p w14:paraId="5F2CF8C1" w14:textId="77777777" w:rsidR="00E836FB" w:rsidRDefault="00E836FB">
            <w:pPr>
              <w:rPr>
                <w:rFonts w:ascii="宋体"/>
                <w:vanish/>
              </w:rPr>
            </w:pPr>
          </w:p>
        </w:tc>
        <w:tc>
          <w:tcPr>
            <w:tcW w:w="0" w:type="auto"/>
            <w:gridSpan w:val="3"/>
            <w:shd w:val="clear" w:color="auto" w:fill="auto"/>
            <w:vAlign w:val="bottom"/>
          </w:tcPr>
          <w:p w14:paraId="5F2CF8C2" w14:textId="77777777" w:rsidR="00E836FB" w:rsidRDefault="00E836FB">
            <w:pPr>
              <w:rPr>
                <w:rFonts w:ascii="宋体"/>
                <w:vanish/>
              </w:rPr>
            </w:pPr>
          </w:p>
        </w:tc>
      </w:tr>
      <w:tr w:rsidR="00E836FB" w14:paraId="5F2CF8CD" w14:textId="77777777">
        <w:tc>
          <w:tcPr>
            <w:tcW w:w="0" w:type="auto"/>
            <w:gridSpan w:val="3"/>
            <w:shd w:val="clear" w:color="auto" w:fill="CCEEFF"/>
            <w:tcMar>
              <w:top w:w="40" w:type="dxa"/>
              <w:left w:w="20" w:type="dxa"/>
              <w:bottom w:w="40" w:type="dxa"/>
              <w:right w:w="20" w:type="dxa"/>
            </w:tcMar>
            <w:vAlign w:val="bottom"/>
          </w:tcPr>
          <w:p w14:paraId="5F2CF8C4" w14:textId="77777777" w:rsidR="00E836FB" w:rsidRDefault="00994958">
            <w:pPr>
              <w:textAlignment w:val="bottom"/>
            </w:pPr>
            <w:r>
              <w:rPr>
                <w:rFonts w:ascii="Arial" w:eastAsia="宋体" w:hAnsi="Arial" w:cs="Arial"/>
                <w:color w:val="000000"/>
                <w:sz w:val="15"/>
                <w:szCs w:val="15"/>
              </w:rPr>
              <w:t>Proceeds from issuance of common stock, net of issuance costs</w:t>
            </w:r>
          </w:p>
        </w:tc>
        <w:tc>
          <w:tcPr>
            <w:tcW w:w="0" w:type="auto"/>
            <w:gridSpan w:val="2"/>
            <w:shd w:val="clear" w:color="auto" w:fill="CCEEFF"/>
            <w:tcMar>
              <w:top w:w="40" w:type="dxa"/>
              <w:left w:w="20" w:type="dxa"/>
              <w:bottom w:w="40" w:type="dxa"/>
              <w:right w:w="0" w:type="dxa"/>
            </w:tcMar>
            <w:vAlign w:val="bottom"/>
          </w:tcPr>
          <w:p w14:paraId="5F2CF8C5" w14:textId="77777777" w:rsidR="00E836FB" w:rsidRDefault="00994958">
            <w:pPr>
              <w:jc w:val="right"/>
              <w:textAlignment w:val="bottom"/>
            </w:pPr>
            <w:r>
              <w:rPr>
                <w:rFonts w:ascii="Arial" w:eastAsia="宋体" w:hAnsi="Arial" w:cs="Arial"/>
                <w:b/>
                <w:bCs/>
                <w:color w:val="000000"/>
                <w:sz w:val="15"/>
                <w:szCs w:val="15"/>
              </w:rPr>
              <w:t>1,900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8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C8"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8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CB"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8CC" w14:textId="77777777" w:rsidR="00E836FB" w:rsidRDefault="00E836FB">
            <w:pPr>
              <w:jc w:val="right"/>
              <w:rPr>
                <w:rFonts w:ascii="宋体"/>
              </w:rPr>
            </w:pPr>
          </w:p>
        </w:tc>
      </w:tr>
      <w:tr w:rsidR="00E836FB" w14:paraId="5F2CF8D7" w14:textId="77777777">
        <w:tc>
          <w:tcPr>
            <w:tcW w:w="0" w:type="auto"/>
            <w:gridSpan w:val="3"/>
            <w:shd w:val="clear" w:color="auto" w:fill="FFFFFF"/>
            <w:tcMar>
              <w:top w:w="40" w:type="dxa"/>
              <w:left w:w="20" w:type="dxa"/>
              <w:bottom w:w="40" w:type="dxa"/>
              <w:right w:w="20" w:type="dxa"/>
            </w:tcMar>
            <w:vAlign w:val="bottom"/>
          </w:tcPr>
          <w:p w14:paraId="5F2CF8CE" w14:textId="77777777" w:rsidR="00E836FB" w:rsidRDefault="00994958">
            <w:pPr>
              <w:textAlignment w:val="bottom"/>
            </w:pPr>
            <w:r>
              <w:rPr>
                <w:rFonts w:ascii="Arial" w:eastAsia="宋体" w:hAnsi="Arial" w:cs="Arial"/>
                <w:color w:val="000000"/>
                <w:sz w:val="15"/>
                <w:szCs w:val="15"/>
              </w:rPr>
              <w:t>Repurchases of common stock</w:t>
            </w:r>
          </w:p>
        </w:tc>
        <w:tc>
          <w:tcPr>
            <w:tcW w:w="0" w:type="auto"/>
            <w:gridSpan w:val="2"/>
            <w:shd w:val="clear" w:color="auto" w:fill="FFFFFF"/>
            <w:tcMar>
              <w:top w:w="40" w:type="dxa"/>
              <w:left w:w="20" w:type="dxa"/>
              <w:bottom w:w="40" w:type="dxa"/>
              <w:right w:w="0" w:type="dxa"/>
            </w:tcMar>
            <w:vAlign w:val="bottom"/>
          </w:tcPr>
          <w:p w14:paraId="5F2CF8CF" w14:textId="77777777" w:rsidR="00E836FB" w:rsidRDefault="00994958">
            <w:pPr>
              <w:jc w:val="right"/>
              <w:textAlignment w:val="bottom"/>
            </w:pPr>
            <w:r>
              <w:rPr>
                <w:rFonts w:ascii="Arial" w:eastAsia="宋体" w:hAnsi="Arial" w:cs="Arial"/>
                <w:b/>
                <w:bCs/>
                <w:color w:val="000000"/>
                <w:sz w:val="15"/>
                <w:szCs w:val="15"/>
              </w:rPr>
              <w:t>(900)</w:t>
            </w:r>
          </w:p>
        </w:tc>
        <w:tc>
          <w:tcPr>
            <w:tcW w:w="0" w:type="auto"/>
            <w:shd w:val="clear" w:color="auto" w:fill="FFFFFF"/>
            <w:tcMar>
              <w:top w:w="40" w:type="dxa"/>
              <w:left w:w="0" w:type="dxa"/>
              <w:bottom w:w="40" w:type="dxa"/>
              <w:right w:w="20" w:type="dxa"/>
            </w:tcMar>
            <w:vAlign w:val="bottom"/>
          </w:tcPr>
          <w:p w14:paraId="5F2CF8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D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D2" w14:textId="77777777" w:rsidR="00E836FB" w:rsidRDefault="00994958">
            <w:pPr>
              <w:jc w:val="right"/>
              <w:textAlignment w:val="bottom"/>
            </w:pPr>
            <w:r>
              <w:rPr>
                <w:rFonts w:ascii="Arial" w:eastAsia="宋体" w:hAnsi="Arial" w:cs="Arial"/>
                <w:color w:val="000000"/>
                <w:sz w:val="15"/>
                <w:szCs w:val="15"/>
              </w:rPr>
              <w:t>(515)</w:t>
            </w:r>
          </w:p>
        </w:tc>
        <w:tc>
          <w:tcPr>
            <w:tcW w:w="0" w:type="auto"/>
            <w:shd w:val="clear" w:color="auto" w:fill="FFFFFF"/>
            <w:tcMar>
              <w:top w:w="40" w:type="dxa"/>
              <w:left w:w="0" w:type="dxa"/>
              <w:bottom w:w="40" w:type="dxa"/>
              <w:right w:w="20" w:type="dxa"/>
            </w:tcMar>
            <w:vAlign w:val="bottom"/>
          </w:tcPr>
          <w:p w14:paraId="5F2CF8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D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D5" w14:textId="77777777" w:rsidR="00E836FB" w:rsidRDefault="00994958">
            <w:pPr>
              <w:jc w:val="right"/>
              <w:textAlignment w:val="bottom"/>
            </w:pPr>
            <w:r>
              <w:rPr>
                <w:rFonts w:ascii="Arial" w:eastAsia="宋体" w:hAnsi="Arial" w:cs="Arial"/>
                <w:color w:val="000000"/>
                <w:sz w:val="15"/>
                <w:szCs w:val="15"/>
              </w:rPr>
              <w:t>(1,585)</w:t>
            </w:r>
          </w:p>
        </w:tc>
        <w:tc>
          <w:tcPr>
            <w:tcW w:w="0" w:type="auto"/>
            <w:shd w:val="clear" w:color="auto" w:fill="FFFFFF"/>
            <w:tcMar>
              <w:top w:w="40" w:type="dxa"/>
              <w:left w:w="0" w:type="dxa"/>
              <w:bottom w:w="40" w:type="dxa"/>
              <w:right w:w="20" w:type="dxa"/>
            </w:tcMar>
            <w:vAlign w:val="bottom"/>
          </w:tcPr>
          <w:p w14:paraId="5F2CF8D6" w14:textId="77777777" w:rsidR="00E836FB" w:rsidRDefault="00E836FB">
            <w:pPr>
              <w:jc w:val="right"/>
              <w:rPr>
                <w:rFonts w:ascii="宋体"/>
              </w:rPr>
            </w:pPr>
          </w:p>
        </w:tc>
      </w:tr>
      <w:tr w:rsidR="00E836FB" w14:paraId="5F2CF8DE" w14:textId="77777777">
        <w:trPr>
          <w:hidden/>
        </w:trPr>
        <w:tc>
          <w:tcPr>
            <w:tcW w:w="0" w:type="auto"/>
            <w:gridSpan w:val="3"/>
            <w:shd w:val="clear" w:color="auto" w:fill="auto"/>
            <w:vAlign w:val="bottom"/>
          </w:tcPr>
          <w:p w14:paraId="5F2CF8D8" w14:textId="77777777" w:rsidR="00E836FB" w:rsidRDefault="00E836FB">
            <w:pPr>
              <w:rPr>
                <w:rFonts w:ascii="宋体"/>
                <w:vanish/>
              </w:rPr>
            </w:pPr>
          </w:p>
        </w:tc>
        <w:tc>
          <w:tcPr>
            <w:tcW w:w="0" w:type="auto"/>
            <w:gridSpan w:val="3"/>
            <w:shd w:val="clear" w:color="auto" w:fill="auto"/>
            <w:vAlign w:val="bottom"/>
          </w:tcPr>
          <w:p w14:paraId="5F2CF8D9" w14:textId="77777777" w:rsidR="00E836FB" w:rsidRDefault="00E836FB">
            <w:pPr>
              <w:rPr>
                <w:rFonts w:ascii="宋体"/>
                <w:vanish/>
              </w:rPr>
            </w:pPr>
          </w:p>
        </w:tc>
        <w:tc>
          <w:tcPr>
            <w:tcW w:w="0" w:type="auto"/>
            <w:gridSpan w:val="3"/>
            <w:shd w:val="clear" w:color="auto" w:fill="auto"/>
            <w:vAlign w:val="bottom"/>
          </w:tcPr>
          <w:p w14:paraId="5F2CF8DA" w14:textId="77777777" w:rsidR="00E836FB" w:rsidRDefault="00E836FB">
            <w:pPr>
              <w:rPr>
                <w:rFonts w:ascii="宋体"/>
                <w:vanish/>
              </w:rPr>
            </w:pPr>
          </w:p>
        </w:tc>
        <w:tc>
          <w:tcPr>
            <w:tcW w:w="0" w:type="auto"/>
            <w:gridSpan w:val="3"/>
            <w:shd w:val="clear" w:color="auto" w:fill="auto"/>
            <w:vAlign w:val="bottom"/>
          </w:tcPr>
          <w:p w14:paraId="5F2CF8DB" w14:textId="77777777" w:rsidR="00E836FB" w:rsidRDefault="00E836FB">
            <w:pPr>
              <w:rPr>
                <w:rFonts w:ascii="宋体"/>
                <w:vanish/>
              </w:rPr>
            </w:pPr>
          </w:p>
        </w:tc>
        <w:tc>
          <w:tcPr>
            <w:tcW w:w="0" w:type="auto"/>
            <w:gridSpan w:val="3"/>
            <w:shd w:val="clear" w:color="auto" w:fill="auto"/>
            <w:vAlign w:val="bottom"/>
          </w:tcPr>
          <w:p w14:paraId="5F2CF8DC" w14:textId="77777777" w:rsidR="00E836FB" w:rsidRDefault="00E836FB">
            <w:pPr>
              <w:rPr>
                <w:rFonts w:ascii="宋体"/>
                <w:vanish/>
              </w:rPr>
            </w:pPr>
          </w:p>
        </w:tc>
        <w:tc>
          <w:tcPr>
            <w:tcW w:w="0" w:type="auto"/>
            <w:gridSpan w:val="3"/>
            <w:shd w:val="clear" w:color="auto" w:fill="auto"/>
            <w:vAlign w:val="bottom"/>
          </w:tcPr>
          <w:p w14:paraId="5F2CF8DD" w14:textId="77777777" w:rsidR="00E836FB" w:rsidRDefault="00E836FB">
            <w:pPr>
              <w:rPr>
                <w:rFonts w:ascii="宋体"/>
                <w:vanish/>
              </w:rPr>
            </w:pPr>
          </w:p>
        </w:tc>
      </w:tr>
      <w:tr w:rsidR="00E836FB" w14:paraId="5F2CF8E8" w14:textId="77777777">
        <w:tc>
          <w:tcPr>
            <w:tcW w:w="0" w:type="auto"/>
            <w:gridSpan w:val="3"/>
            <w:shd w:val="clear" w:color="auto" w:fill="CCEEFF"/>
            <w:tcMar>
              <w:top w:w="40" w:type="dxa"/>
              <w:left w:w="20" w:type="dxa"/>
              <w:bottom w:w="40" w:type="dxa"/>
              <w:right w:w="20" w:type="dxa"/>
            </w:tcMar>
            <w:vAlign w:val="bottom"/>
          </w:tcPr>
          <w:p w14:paraId="5F2CF8DF" w14:textId="77777777" w:rsidR="00E836FB" w:rsidRDefault="00994958">
            <w:pPr>
              <w:textAlignment w:val="bottom"/>
            </w:pPr>
            <w:r>
              <w:rPr>
                <w:rFonts w:ascii="Arial" w:eastAsia="宋体" w:hAnsi="Arial" w:cs="Arial"/>
                <w:color w:val="000000"/>
                <w:sz w:val="15"/>
                <w:szCs w:val="15"/>
              </w:rPr>
              <w:t>Repurchases of common stock for employee tax withholding</w:t>
            </w:r>
          </w:p>
        </w:tc>
        <w:tc>
          <w:tcPr>
            <w:tcW w:w="0" w:type="auto"/>
            <w:gridSpan w:val="2"/>
            <w:shd w:val="clear" w:color="auto" w:fill="CCEEFF"/>
            <w:tcMar>
              <w:top w:w="40" w:type="dxa"/>
              <w:left w:w="20" w:type="dxa"/>
              <w:bottom w:w="40" w:type="dxa"/>
              <w:right w:w="0" w:type="dxa"/>
            </w:tcMar>
            <w:vAlign w:val="bottom"/>
          </w:tcPr>
          <w:p w14:paraId="5F2CF8E0" w14:textId="77777777" w:rsidR="00E836FB" w:rsidRDefault="00994958">
            <w:pPr>
              <w:jc w:val="right"/>
              <w:textAlignment w:val="bottom"/>
            </w:pPr>
            <w:r>
              <w:rPr>
                <w:rFonts w:ascii="Arial" w:eastAsia="宋体" w:hAnsi="Arial" w:cs="Arial"/>
                <w:b/>
                <w:bCs/>
                <w:color w:val="000000"/>
                <w:sz w:val="15"/>
                <w:szCs w:val="15"/>
              </w:rPr>
              <w:t>(39)</w:t>
            </w:r>
          </w:p>
        </w:tc>
        <w:tc>
          <w:tcPr>
            <w:tcW w:w="0" w:type="auto"/>
            <w:shd w:val="clear" w:color="auto" w:fill="CCEEFF"/>
            <w:tcMar>
              <w:top w:w="40" w:type="dxa"/>
              <w:left w:w="0" w:type="dxa"/>
              <w:bottom w:w="40" w:type="dxa"/>
              <w:right w:w="20" w:type="dxa"/>
            </w:tcMar>
            <w:vAlign w:val="bottom"/>
          </w:tcPr>
          <w:p w14:paraId="5F2CF8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E3" w14:textId="77777777" w:rsidR="00E836FB" w:rsidRDefault="00994958">
            <w:pPr>
              <w:jc w:val="right"/>
              <w:textAlignment w:val="bottom"/>
            </w:pPr>
            <w:r>
              <w:rPr>
                <w:rFonts w:ascii="Arial" w:eastAsia="宋体" w:hAnsi="Arial" w:cs="Arial"/>
                <w:color w:val="000000"/>
                <w:sz w:val="15"/>
                <w:szCs w:val="15"/>
              </w:rPr>
              <w:t>(78)</w:t>
            </w:r>
          </w:p>
        </w:tc>
        <w:tc>
          <w:tcPr>
            <w:tcW w:w="0" w:type="auto"/>
            <w:shd w:val="clear" w:color="auto" w:fill="CCEEFF"/>
            <w:tcMar>
              <w:top w:w="40" w:type="dxa"/>
              <w:left w:w="0" w:type="dxa"/>
              <w:bottom w:w="40" w:type="dxa"/>
              <w:right w:w="20" w:type="dxa"/>
            </w:tcMar>
            <w:vAlign w:val="bottom"/>
          </w:tcPr>
          <w:p w14:paraId="5F2CF8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8E6" w14:textId="77777777" w:rsidR="00E836FB" w:rsidRDefault="00994958">
            <w:pPr>
              <w:jc w:val="right"/>
              <w:textAlignment w:val="bottom"/>
            </w:pPr>
            <w:r>
              <w:rPr>
                <w:rFonts w:ascii="Arial" w:eastAsia="宋体" w:hAnsi="Arial" w:cs="Arial"/>
                <w:color w:val="000000"/>
                <w:sz w:val="15"/>
                <w:szCs w:val="15"/>
              </w:rPr>
              <w:t>(81)</w:t>
            </w:r>
          </w:p>
        </w:tc>
        <w:tc>
          <w:tcPr>
            <w:tcW w:w="0" w:type="auto"/>
            <w:shd w:val="clear" w:color="auto" w:fill="CCEEFF"/>
            <w:tcMar>
              <w:top w:w="40" w:type="dxa"/>
              <w:left w:w="0" w:type="dxa"/>
              <w:bottom w:w="40" w:type="dxa"/>
              <w:right w:w="20" w:type="dxa"/>
            </w:tcMar>
            <w:vAlign w:val="bottom"/>
          </w:tcPr>
          <w:p w14:paraId="5F2CF8E7" w14:textId="77777777" w:rsidR="00E836FB" w:rsidRDefault="00E836FB">
            <w:pPr>
              <w:jc w:val="right"/>
              <w:rPr>
                <w:rFonts w:ascii="宋体"/>
              </w:rPr>
            </w:pPr>
          </w:p>
        </w:tc>
      </w:tr>
      <w:tr w:rsidR="00E836FB" w14:paraId="5F2CF8F2" w14:textId="77777777">
        <w:tc>
          <w:tcPr>
            <w:tcW w:w="0" w:type="auto"/>
            <w:gridSpan w:val="3"/>
            <w:shd w:val="clear" w:color="auto" w:fill="FFFFFF"/>
            <w:tcMar>
              <w:top w:w="40" w:type="dxa"/>
              <w:left w:w="20" w:type="dxa"/>
              <w:bottom w:w="40" w:type="dxa"/>
              <w:right w:w="20" w:type="dxa"/>
            </w:tcMar>
            <w:vAlign w:val="bottom"/>
          </w:tcPr>
          <w:p w14:paraId="5F2CF8E9" w14:textId="77777777" w:rsidR="00E836FB" w:rsidRDefault="00994958">
            <w:pPr>
              <w:textAlignment w:val="bottom"/>
            </w:pPr>
            <w:r>
              <w:rPr>
                <w:rFonts w:ascii="Arial" w:eastAsia="宋体" w:hAnsi="Arial" w:cs="Arial"/>
                <w:color w:val="000000"/>
                <w:sz w:val="15"/>
                <w:szCs w:val="15"/>
              </w:rPr>
              <w:t xml:space="preserve">Payments for cash </w:t>
            </w:r>
            <w:r>
              <w:rPr>
                <w:rFonts w:ascii="Arial" w:eastAsia="宋体" w:hAnsi="Arial" w:cs="Arial"/>
                <w:color w:val="000000"/>
                <w:sz w:val="15"/>
                <w:szCs w:val="15"/>
              </w:rPr>
              <w:t>dividends</w:t>
            </w:r>
          </w:p>
        </w:tc>
        <w:tc>
          <w:tcPr>
            <w:tcW w:w="0" w:type="auto"/>
            <w:gridSpan w:val="2"/>
            <w:shd w:val="clear" w:color="auto" w:fill="FFFFFF"/>
            <w:tcMar>
              <w:top w:w="40" w:type="dxa"/>
              <w:left w:w="20" w:type="dxa"/>
              <w:bottom w:w="40" w:type="dxa"/>
              <w:right w:w="0" w:type="dxa"/>
            </w:tcMar>
            <w:vAlign w:val="bottom"/>
          </w:tcPr>
          <w:p w14:paraId="5F2CF8EA" w14:textId="77777777" w:rsidR="00E836FB" w:rsidRDefault="00994958">
            <w:pPr>
              <w:jc w:val="right"/>
              <w:textAlignment w:val="bottom"/>
            </w:pPr>
            <w:r>
              <w:rPr>
                <w:rFonts w:ascii="Arial" w:eastAsia="宋体" w:hAnsi="Arial" w:cs="Arial"/>
                <w:b/>
                <w:bCs/>
                <w:color w:val="000000"/>
                <w:sz w:val="15"/>
                <w:szCs w:val="15"/>
              </w:rPr>
              <w:t>(866)</w:t>
            </w:r>
          </w:p>
        </w:tc>
        <w:tc>
          <w:tcPr>
            <w:tcW w:w="0" w:type="auto"/>
            <w:shd w:val="clear" w:color="auto" w:fill="FFFFFF"/>
            <w:tcMar>
              <w:top w:w="40" w:type="dxa"/>
              <w:left w:w="0" w:type="dxa"/>
              <w:bottom w:w="40" w:type="dxa"/>
              <w:right w:w="20" w:type="dxa"/>
            </w:tcMar>
            <w:vAlign w:val="bottom"/>
          </w:tcPr>
          <w:p w14:paraId="5F2CF8E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E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ED" w14:textId="77777777" w:rsidR="00E836FB" w:rsidRDefault="00994958">
            <w:pPr>
              <w:jc w:val="right"/>
              <w:textAlignment w:val="bottom"/>
            </w:pPr>
            <w:r>
              <w:rPr>
                <w:rFonts w:ascii="Arial" w:eastAsia="宋体" w:hAnsi="Arial" w:cs="Arial"/>
                <w:color w:val="000000"/>
                <w:sz w:val="15"/>
                <w:szCs w:val="15"/>
              </w:rPr>
              <w:t>(889)</w:t>
            </w:r>
          </w:p>
        </w:tc>
        <w:tc>
          <w:tcPr>
            <w:tcW w:w="0" w:type="auto"/>
            <w:shd w:val="clear" w:color="auto" w:fill="FFFFFF"/>
            <w:tcMar>
              <w:top w:w="40" w:type="dxa"/>
              <w:left w:w="0" w:type="dxa"/>
              <w:bottom w:w="40" w:type="dxa"/>
              <w:right w:w="20" w:type="dxa"/>
            </w:tcMar>
            <w:vAlign w:val="bottom"/>
          </w:tcPr>
          <w:p w14:paraId="5F2CF8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8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8F0" w14:textId="77777777" w:rsidR="00E836FB" w:rsidRDefault="00994958">
            <w:pPr>
              <w:jc w:val="right"/>
              <w:textAlignment w:val="bottom"/>
            </w:pPr>
            <w:r>
              <w:rPr>
                <w:rFonts w:ascii="Arial" w:eastAsia="宋体" w:hAnsi="Arial" w:cs="Arial"/>
                <w:color w:val="000000"/>
                <w:sz w:val="15"/>
                <w:szCs w:val="15"/>
              </w:rPr>
              <w:t>(930)</w:t>
            </w:r>
          </w:p>
        </w:tc>
        <w:tc>
          <w:tcPr>
            <w:tcW w:w="0" w:type="auto"/>
            <w:shd w:val="clear" w:color="auto" w:fill="FFFFFF"/>
            <w:tcMar>
              <w:top w:w="40" w:type="dxa"/>
              <w:left w:w="0" w:type="dxa"/>
              <w:bottom w:w="40" w:type="dxa"/>
              <w:right w:w="20" w:type="dxa"/>
            </w:tcMar>
            <w:vAlign w:val="bottom"/>
          </w:tcPr>
          <w:p w14:paraId="5F2CF8F1" w14:textId="77777777" w:rsidR="00E836FB" w:rsidRDefault="00E836FB">
            <w:pPr>
              <w:jc w:val="right"/>
              <w:rPr>
                <w:rFonts w:ascii="宋体"/>
              </w:rPr>
            </w:pPr>
          </w:p>
        </w:tc>
      </w:tr>
      <w:tr w:rsidR="00E836FB" w14:paraId="5F2CF8F9" w14:textId="77777777">
        <w:trPr>
          <w:hidden/>
        </w:trPr>
        <w:tc>
          <w:tcPr>
            <w:tcW w:w="0" w:type="auto"/>
            <w:gridSpan w:val="3"/>
            <w:shd w:val="clear" w:color="auto" w:fill="auto"/>
            <w:vAlign w:val="bottom"/>
          </w:tcPr>
          <w:p w14:paraId="5F2CF8F3" w14:textId="77777777" w:rsidR="00E836FB" w:rsidRDefault="00E836FB">
            <w:pPr>
              <w:rPr>
                <w:rFonts w:ascii="宋体"/>
                <w:vanish/>
              </w:rPr>
            </w:pPr>
          </w:p>
        </w:tc>
        <w:tc>
          <w:tcPr>
            <w:tcW w:w="0" w:type="auto"/>
            <w:gridSpan w:val="3"/>
            <w:shd w:val="clear" w:color="auto" w:fill="auto"/>
            <w:vAlign w:val="bottom"/>
          </w:tcPr>
          <w:p w14:paraId="5F2CF8F4" w14:textId="77777777" w:rsidR="00E836FB" w:rsidRDefault="00E836FB">
            <w:pPr>
              <w:rPr>
                <w:rFonts w:ascii="宋体"/>
                <w:vanish/>
              </w:rPr>
            </w:pPr>
          </w:p>
        </w:tc>
        <w:tc>
          <w:tcPr>
            <w:tcW w:w="0" w:type="auto"/>
            <w:gridSpan w:val="3"/>
            <w:shd w:val="clear" w:color="auto" w:fill="auto"/>
            <w:vAlign w:val="bottom"/>
          </w:tcPr>
          <w:p w14:paraId="5F2CF8F5" w14:textId="77777777" w:rsidR="00E836FB" w:rsidRDefault="00E836FB">
            <w:pPr>
              <w:rPr>
                <w:rFonts w:ascii="宋体"/>
                <w:vanish/>
              </w:rPr>
            </w:pPr>
          </w:p>
        </w:tc>
        <w:tc>
          <w:tcPr>
            <w:tcW w:w="0" w:type="auto"/>
            <w:gridSpan w:val="3"/>
            <w:shd w:val="clear" w:color="auto" w:fill="auto"/>
            <w:vAlign w:val="bottom"/>
          </w:tcPr>
          <w:p w14:paraId="5F2CF8F6" w14:textId="77777777" w:rsidR="00E836FB" w:rsidRDefault="00E836FB">
            <w:pPr>
              <w:rPr>
                <w:rFonts w:ascii="宋体"/>
                <w:vanish/>
              </w:rPr>
            </w:pPr>
          </w:p>
        </w:tc>
        <w:tc>
          <w:tcPr>
            <w:tcW w:w="0" w:type="auto"/>
            <w:gridSpan w:val="3"/>
            <w:shd w:val="clear" w:color="auto" w:fill="auto"/>
            <w:vAlign w:val="bottom"/>
          </w:tcPr>
          <w:p w14:paraId="5F2CF8F7" w14:textId="77777777" w:rsidR="00E836FB" w:rsidRDefault="00E836FB">
            <w:pPr>
              <w:rPr>
                <w:rFonts w:ascii="宋体"/>
                <w:vanish/>
              </w:rPr>
            </w:pPr>
          </w:p>
        </w:tc>
        <w:tc>
          <w:tcPr>
            <w:tcW w:w="0" w:type="auto"/>
            <w:gridSpan w:val="3"/>
            <w:shd w:val="clear" w:color="auto" w:fill="auto"/>
            <w:vAlign w:val="bottom"/>
          </w:tcPr>
          <w:p w14:paraId="5F2CF8F8" w14:textId="77777777" w:rsidR="00E836FB" w:rsidRDefault="00E836FB">
            <w:pPr>
              <w:rPr>
                <w:rFonts w:ascii="宋体"/>
                <w:vanish/>
              </w:rPr>
            </w:pPr>
          </w:p>
        </w:tc>
      </w:tr>
      <w:tr w:rsidR="00E836FB" w14:paraId="5F2CF903" w14:textId="77777777">
        <w:tc>
          <w:tcPr>
            <w:tcW w:w="0" w:type="auto"/>
            <w:gridSpan w:val="3"/>
            <w:shd w:val="clear" w:color="auto" w:fill="CCEEFF"/>
            <w:tcMar>
              <w:top w:w="40" w:type="dxa"/>
              <w:left w:w="20" w:type="dxa"/>
              <w:bottom w:w="40" w:type="dxa"/>
              <w:right w:w="20" w:type="dxa"/>
            </w:tcMar>
            <w:vAlign w:val="bottom"/>
          </w:tcPr>
          <w:p w14:paraId="5F2CF8FA" w14:textId="77777777" w:rsidR="00E836FB" w:rsidRDefault="00994958">
            <w:pPr>
              <w:textAlignment w:val="bottom"/>
            </w:pPr>
            <w:r>
              <w:rPr>
                <w:rFonts w:ascii="Arial" w:eastAsia="宋体" w:hAnsi="Arial" w:cs="Arial"/>
                <w:color w:val="000000"/>
                <w:sz w:val="15"/>
                <w:szCs w:val="15"/>
              </w:rPr>
              <w:t>Net cash provided by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8FB" w14:textId="77777777" w:rsidR="00E836FB" w:rsidRDefault="00994958">
            <w:pPr>
              <w:jc w:val="right"/>
              <w:textAlignment w:val="bottom"/>
            </w:pPr>
            <w:r>
              <w:rPr>
                <w:rFonts w:ascii="Arial" w:eastAsia="宋体" w:hAnsi="Arial" w:cs="Arial"/>
                <w:b/>
                <w:bCs/>
                <w:color w:val="000000"/>
                <w:sz w:val="15"/>
                <w:szCs w:val="15"/>
              </w:rPr>
              <w:t>9,046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8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8F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8FE" w14:textId="77777777" w:rsidR="00E836FB" w:rsidRDefault="00994958">
            <w:pPr>
              <w:jc w:val="right"/>
              <w:textAlignment w:val="bottom"/>
            </w:pPr>
            <w:r>
              <w:rPr>
                <w:rFonts w:ascii="Arial" w:eastAsia="宋体" w:hAnsi="Arial" w:cs="Arial"/>
                <w:color w:val="000000"/>
                <w:sz w:val="15"/>
                <w:szCs w:val="15"/>
              </w:rPr>
              <w:t>62,167 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8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90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901" w14:textId="77777777" w:rsidR="00E836FB" w:rsidRDefault="00994958">
            <w:pPr>
              <w:jc w:val="right"/>
              <w:textAlignment w:val="bottom"/>
            </w:pPr>
            <w:r>
              <w:rPr>
                <w:rFonts w:ascii="Arial" w:eastAsia="宋体" w:hAnsi="Arial" w:cs="Arial"/>
                <w:color w:val="000000"/>
                <w:sz w:val="15"/>
                <w:szCs w:val="15"/>
              </w:rPr>
              <w:t>(2,974)</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902" w14:textId="77777777" w:rsidR="00E836FB" w:rsidRDefault="00E836FB">
            <w:pPr>
              <w:jc w:val="right"/>
              <w:rPr>
                <w:rFonts w:ascii="宋体"/>
              </w:rPr>
            </w:pPr>
          </w:p>
        </w:tc>
      </w:tr>
      <w:tr w:rsidR="00E836FB" w14:paraId="5F2CF90D" w14:textId="77777777">
        <w:tc>
          <w:tcPr>
            <w:tcW w:w="0" w:type="auto"/>
            <w:gridSpan w:val="3"/>
            <w:shd w:val="clear" w:color="auto" w:fill="FFFFFF"/>
            <w:tcMar>
              <w:top w:w="40" w:type="dxa"/>
              <w:left w:w="20" w:type="dxa"/>
              <w:bottom w:w="40" w:type="dxa"/>
              <w:right w:w="20" w:type="dxa"/>
            </w:tcMar>
            <w:vAlign w:val="bottom"/>
          </w:tcPr>
          <w:p w14:paraId="5F2CF904" w14:textId="77777777" w:rsidR="00E836FB" w:rsidRDefault="00994958">
            <w:pPr>
              <w:textAlignment w:val="bottom"/>
            </w:pPr>
            <w:r>
              <w:rPr>
                <w:rFonts w:ascii="Arial" w:eastAsia="宋体" w:hAnsi="Arial" w:cs="Arial"/>
                <w:color w:val="000000"/>
                <w:sz w:val="15"/>
                <w:szCs w:val="15"/>
              </w:rPr>
              <w:t>Net increase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905" w14:textId="77777777" w:rsidR="00E836FB" w:rsidRDefault="00994958">
            <w:pPr>
              <w:jc w:val="right"/>
              <w:textAlignment w:val="bottom"/>
            </w:pPr>
            <w:r>
              <w:rPr>
                <w:rFonts w:ascii="Arial" w:eastAsia="宋体" w:hAnsi="Arial" w:cs="Arial"/>
                <w:b/>
                <w:bCs/>
                <w:color w:val="000000"/>
                <w:sz w:val="15"/>
                <w:szCs w:val="15"/>
              </w:rPr>
              <w:t>164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90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90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908" w14:textId="77777777" w:rsidR="00E836FB" w:rsidRDefault="00994958">
            <w:pPr>
              <w:jc w:val="right"/>
              <w:textAlignment w:val="bottom"/>
            </w:pPr>
            <w:r>
              <w:rPr>
                <w:rFonts w:ascii="Arial" w:eastAsia="宋体" w:hAnsi="Arial" w:cs="Arial"/>
                <w:color w:val="000000"/>
                <w:sz w:val="15"/>
                <w:szCs w:val="15"/>
              </w:rPr>
              <w:t>165 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9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90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90B" w14:textId="77777777" w:rsidR="00E836FB" w:rsidRDefault="00994958">
            <w:pPr>
              <w:jc w:val="right"/>
              <w:textAlignment w:val="bottom"/>
            </w:pPr>
            <w:r>
              <w:rPr>
                <w:rFonts w:ascii="Arial" w:eastAsia="宋体" w:hAnsi="Arial" w:cs="Arial"/>
                <w:color w:val="000000"/>
                <w:sz w:val="15"/>
                <w:szCs w:val="15"/>
              </w:rPr>
              <w:t>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90C" w14:textId="77777777" w:rsidR="00E836FB" w:rsidRDefault="00E836FB">
            <w:pPr>
              <w:jc w:val="right"/>
              <w:rPr>
                <w:rFonts w:ascii="宋体"/>
              </w:rPr>
            </w:pPr>
          </w:p>
        </w:tc>
      </w:tr>
      <w:tr w:rsidR="00E836FB" w14:paraId="5F2CF917" w14:textId="77777777">
        <w:tc>
          <w:tcPr>
            <w:tcW w:w="0" w:type="auto"/>
            <w:gridSpan w:val="3"/>
            <w:shd w:val="clear" w:color="auto" w:fill="CCEEFF"/>
            <w:tcMar>
              <w:top w:w="40" w:type="dxa"/>
              <w:left w:w="20" w:type="dxa"/>
              <w:bottom w:w="40" w:type="dxa"/>
              <w:right w:w="20" w:type="dxa"/>
            </w:tcMar>
            <w:vAlign w:val="bottom"/>
          </w:tcPr>
          <w:p w14:paraId="5F2CF90E" w14:textId="77777777" w:rsidR="00E836FB" w:rsidRDefault="00994958">
            <w:pPr>
              <w:textAlignment w:val="bottom"/>
            </w:pPr>
            <w:r>
              <w:rPr>
                <w:rFonts w:ascii="Arial" w:eastAsia="宋体" w:hAnsi="Arial" w:cs="Arial"/>
                <w:color w:val="000000"/>
                <w:sz w:val="15"/>
                <w:szCs w:val="15"/>
              </w:rPr>
              <w:t>Cash and due from banks at beginning of period</w:t>
            </w:r>
          </w:p>
        </w:tc>
        <w:tc>
          <w:tcPr>
            <w:tcW w:w="0" w:type="auto"/>
            <w:gridSpan w:val="2"/>
            <w:shd w:val="clear" w:color="auto" w:fill="CCEEFF"/>
            <w:tcMar>
              <w:top w:w="40" w:type="dxa"/>
              <w:left w:w="20" w:type="dxa"/>
              <w:bottom w:w="40" w:type="dxa"/>
              <w:right w:w="0" w:type="dxa"/>
            </w:tcMar>
            <w:vAlign w:val="bottom"/>
          </w:tcPr>
          <w:p w14:paraId="5F2CF90F" w14:textId="77777777" w:rsidR="00E836FB" w:rsidRDefault="00994958">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9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9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912" w14:textId="77777777" w:rsidR="00E836FB" w:rsidRDefault="00994958">
            <w:pPr>
              <w:jc w:val="right"/>
              <w:textAlignment w:val="bottom"/>
            </w:pPr>
            <w:r>
              <w:rPr>
                <w:rFonts w:ascii="Arial" w:eastAsia="宋体" w:hAnsi="Arial" w:cs="Arial"/>
                <w:color w:val="000000"/>
                <w:sz w:val="15"/>
                <w:szCs w:val="15"/>
              </w:rPr>
              <w:t>3,302 </w:t>
            </w:r>
          </w:p>
        </w:tc>
        <w:tc>
          <w:tcPr>
            <w:tcW w:w="0" w:type="auto"/>
            <w:shd w:val="clear" w:color="auto" w:fill="CCEEFF"/>
            <w:tcMar>
              <w:top w:w="40" w:type="dxa"/>
              <w:left w:w="0" w:type="dxa"/>
              <w:bottom w:w="40" w:type="dxa"/>
              <w:right w:w="20" w:type="dxa"/>
            </w:tcMar>
            <w:vAlign w:val="bottom"/>
          </w:tcPr>
          <w:p w14:paraId="5F2CF9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9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915" w14:textId="77777777" w:rsidR="00E836FB" w:rsidRDefault="00994958">
            <w:pPr>
              <w:jc w:val="right"/>
              <w:textAlignment w:val="bottom"/>
            </w:pPr>
            <w:r>
              <w:rPr>
                <w:rFonts w:ascii="Arial" w:eastAsia="宋体" w:hAnsi="Arial" w:cs="Arial"/>
                <w:color w:val="000000"/>
                <w:sz w:val="15"/>
                <w:szCs w:val="15"/>
              </w:rPr>
              <w:t>3,212 </w:t>
            </w:r>
          </w:p>
        </w:tc>
        <w:tc>
          <w:tcPr>
            <w:tcW w:w="0" w:type="auto"/>
            <w:shd w:val="clear" w:color="auto" w:fill="CCEEFF"/>
            <w:tcMar>
              <w:top w:w="40" w:type="dxa"/>
              <w:left w:w="0" w:type="dxa"/>
              <w:bottom w:w="40" w:type="dxa"/>
              <w:right w:w="20" w:type="dxa"/>
            </w:tcMar>
            <w:vAlign w:val="bottom"/>
          </w:tcPr>
          <w:p w14:paraId="5F2CF916" w14:textId="77777777" w:rsidR="00E836FB" w:rsidRDefault="00E836FB">
            <w:pPr>
              <w:jc w:val="right"/>
              <w:rPr>
                <w:rFonts w:ascii="宋体"/>
              </w:rPr>
            </w:pPr>
          </w:p>
        </w:tc>
      </w:tr>
      <w:tr w:rsidR="00E836FB" w14:paraId="5F2CF924" w14:textId="77777777">
        <w:tc>
          <w:tcPr>
            <w:tcW w:w="0" w:type="auto"/>
            <w:gridSpan w:val="3"/>
            <w:shd w:val="clear" w:color="auto" w:fill="FFFFFF"/>
            <w:tcMar>
              <w:top w:w="40" w:type="dxa"/>
              <w:left w:w="20" w:type="dxa"/>
              <w:bottom w:w="40" w:type="dxa"/>
              <w:right w:w="20" w:type="dxa"/>
            </w:tcMar>
            <w:vAlign w:val="bottom"/>
          </w:tcPr>
          <w:p w14:paraId="5F2CF918" w14:textId="77777777" w:rsidR="00E836FB" w:rsidRDefault="00994958">
            <w:pPr>
              <w:textAlignment w:val="bottom"/>
            </w:pPr>
            <w:r>
              <w:rPr>
                <w:rFonts w:ascii="Arial" w:eastAsia="宋体" w:hAnsi="Arial" w:cs="Arial"/>
                <w:color w:val="000000"/>
                <w:sz w:val="15"/>
                <w:szCs w:val="15"/>
              </w:rPr>
              <w:t xml:space="preserve">Cash and due from </w:t>
            </w:r>
            <w:r>
              <w:rPr>
                <w:rFonts w:ascii="Arial" w:eastAsia="宋体" w:hAnsi="Arial" w:cs="Arial"/>
                <w:color w:val="000000"/>
                <w:sz w:val="15"/>
                <w:szCs w:val="15"/>
              </w:rPr>
              <w:t>banks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5F2CF919"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91A" w14:textId="77777777" w:rsidR="00E836FB" w:rsidRDefault="00994958">
            <w:pPr>
              <w:jc w:val="right"/>
              <w:textAlignment w:val="bottom"/>
            </w:pPr>
            <w:r>
              <w:rPr>
                <w:rFonts w:ascii="Arial" w:eastAsia="宋体" w:hAnsi="Arial" w:cs="Arial"/>
                <w:b/>
                <w:bCs/>
                <w:color w:val="000000"/>
                <w:sz w:val="15"/>
                <w:szCs w:val="15"/>
              </w:rPr>
              <w:t>3,631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91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91C"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91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91E" w14:textId="77777777" w:rsidR="00E836FB" w:rsidRDefault="00994958">
            <w:pPr>
              <w:jc w:val="right"/>
              <w:textAlignment w:val="bottom"/>
            </w:pPr>
            <w:r>
              <w:rPr>
                <w:rFonts w:ascii="Arial" w:eastAsia="宋体" w:hAnsi="Arial" w:cs="Arial"/>
                <w:color w:val="000000"/>
                <w:sz w:val="15"/>
                <w:szCs w:val="15"/>
              </w:rPr>
              <w:t>3,467 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9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920"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CF92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CF922" w14:textId="77777777" w:rsidR="00E836FB" w:rsidRDefault="00994958">
            <w:pPr>
              <w:jc w:val="right"/>
              <w:textAlignment w:val="bottom"/>
            </w:pPr>
            <w:r>
              <w:rPr>
                <w:rFonts w:ascii="Arial" w:eastAsia="宋体" w:hAnsi="Arial" w:cs="Arial"/>
                <w:color w:val="000000"/>
                <w:sz w:val="15"/>
                <w:szCs w:val="15"/>
              </w:rPr>
              <w:t>3,302 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923" w14:textId="77777777" w:rsidR="00E836FB" w:rsidRDefault="00E836FB">
            <w:pPr>
              <w:jc w:val="right"/>
              <w:rPr>
                <w:rFonts w:ascii="宋体"/>
              </w:rPr>
            </w:pPr>
          </w:p>
        </w:tc>
      </w:tr>
      <w:tr w:rsidR="00E836FB" w14:paraId="5F2CF92B" w14:textId="77777777">
        <w:trPr>
          <w:trHeight w:val="60"/>
        </w:trPr>
        <w:tc>
          <w:tcPr>
            <w:tcW w:w="0" w:type="auto"/>
            <w:gridSpan w:val="3"/>
            <w:shd w:val="clear" w:color="auto" w:fill="auto"/>
            <w:tcMar>
              <w:top w:w="0" w:type="dxa"/>
              <w:left w:w="20" w:type="dxa"/>
              <w:bottom w:w="0" w:type="dxa"/>
              <w:right w:w="20" w:type="dxa"/>
            </w:tcMar>
            <w:vAlign w:val="bottom"/>
          </w:tcPr>
          <w:p w14:paraId="5F2CF92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F92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92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F92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929"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CF92A" w14:textId="77777777" w:rsidR="00E836FB" w:rsidRDefault="00E836FB">
            <w:pPr>
              <w:rPr>
                <w:rFonts w:ascii="宋体"/>
              </w:rPr>
            </w:pPr>
          </w:p>
        </w:tc>
      </w:tr>
      <w:tr w:rsidR="00E836FB" w14:paraId="5F2CF932" w14:textId="77777777">
        <w:tc>
          <w:tcPr>
            <w:tcW w:w="0" w:type="auto"/>
            <w:gridSpan w:val="3"/>
            <w:shd w:val="clear" w:color="auto" w:fill="CCEEFF"/>
            <w:tcMar>
              <w:top w:w="40" w:type="dxa"/>
              <w:left w:w="20" w:type="dxa"/>
              <w:bottom w:w="40" w:type="dxa"/>
              <w:right w:w="20" w:type="dxa"/>
            </w:tcMar>
            <w:vAlign w:val="bottom"/>
          </w:tcPr>
          <w:p w14:paraId="5F2CF92C" w14:textId="77777777" w:rsidR="00E836FB" w:rsidRDefault="00994958">
            <w:pPr>
              <w:textAlignment w:val="bottom"/>
            </w:pPr>
            <w:r>
              <w:rPr>
                <w:rFonts w:ascii="Arial" w:eastAsia="宋体" w:hAnsi="Arial" w:cs="Arial"/>
                <w:b/>
                <w:bCs/>
                <w:color w:val="000000"/>
                <w:sz w:val="15"/>
                <w:szCs w:val="15"/>
              </w:rPr>
              <w:t>Supplemental disclosure:</w:t>
            </w:r>
          </w:p>
        </w:tc>
        <w:tc>
          <w:tcPr>
            <w:tcW w:w="0" w:type="auto"/>
            <w:gridSpan w:val="3"/>
            <w:shd w:val="clear" w:color="auto" w:fill="CCEEFF"/>
            <w:tcMar>
              <w:top w:w="0" w:type="dxa"/>
              <w:left w:w="20" w:type="dxa"/>
              <w:bottom w:w="0" w:type="dxa"/>
              <w:right w:w="20" w:type="dxa"/>
            </w:tcMar>
            <w:vAlign w:val="bottom"/>
          </w:tcPr>
          <w:p w14:paraId="5F2CF92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92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92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93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931" w14:textId="77777777" w:rsidR="00E836FB" w:rsidRDefault="00E836FB">
            <w:pPr>
              <w:rPr>
                <w:rFonts w:ascii="宋体"/>
              </w:rPr>
            </w:pPr>
          </w:p>
        </w:tc>
      </w:tr>
      <w:tr w:rsidR="00E836FB" w14:paraId="5F2CF93F" w14:textId="77777777">
        <w:tc>
          <w:tcPr>
            <w:tcW w:w="0" w:type="auto"/>
            <w:gridSpan w:val="3"/>
            <w:shd w:val="clear" w:color="auto" w:fill="FFFFFF"/>
            <w:tcMar>
              <w:top w:w="40" w:type="dxa"/>
              <w:left w:w="20" w:type="dxa"/>
              <w:bottom w:w="40" w:type="dxa"/>
              <w:right w:w="20" w:type="dxa"/>
            </w:tcMar>
            <w:vAlign w:val="bottom"/>
          </w:tcPr>
          <w:p w14:paraId="5F2CF933" w14:textId="77777777" w:rsidR="00E836FB" w:rsidRDefault="00994958">
            <w:pPr>
              <w:textAlignment w:val="bottom"/>
            </w:pPr>
            <w:r>
              <w:rPr>
                <w:rFonts w:ascii="Arial" w:eastAsia="宋体" w:hAnsi="Arial" w:cs="Arial"/>
                <w:color w:val="000000"/>
                <w:sz w:val="15"/>
                <w:szCs w:val="15"/>
              </w:rPr>
              <w:t>Interest paid</w:t>
            </w:r>
          </w:p>
        </w:tc>
        <w:tc>
          <w:tcPr>
            <w:tcW w:w="0" w:type="auto"/>
            <w:shd w:val="clear" w:color="auto" w:fill="FFFFFF"/>
            <w:tcMar>
              <w:top w:w="40" w:type="dxa"/>
              <w:left w:w="20" w:type="dxa"/>
              <w:bottom w:w="40" w:type="dxa"/>
              <w:right w:w="0" w:type="dxa"/>
            </w:tcMar>
            <w:vAlign w:val="bottom"/>
          </w:tcPr>
          <w:p w14:paraId="5F2CF934"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5F2CF935" w14:textId="77777777" w:rsidR="00E836FB" w:rsidRDefault="00994958">
            <w:pPr>
              <w:jc w:val="right"/>
              <w:textAlignment w:val="bottom"/>
            </w:pPr>
            <w:r>
              <w:rPr>
                <w:rFonts w:ascii="Arial" w:eastAsia="宋体" w:hAnsi="Arial" w:cs="Arial"/>
                <w:b/>
                <w:bCs/>
                <w:color w:val="000000"/>
                <w:sz w:val="15"/>
                <w:szCs w:val="15"/>
              </w:rPr>
              <w:t>37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9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937"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F938" w14:textId="77777777" w:rsidR="00E836FB" w:rsidRDefault="00994958">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F2CF939" w14:textId="77777777" w:rsidR="00E836FB" w:rsidRDefault="00994958">
            <w:pPr>
              <w:jc w:val="right"/>
              <w:textAlignment w:val="bottom"/>
            </w:pPr>
            <w:r>
              <w:rPr>
                <w:rFonts w:ascii="Arial" w:eastAsia="宋体" w:hAnsi="Arial" w:cs="Arial"/>
                <w:color w:val="000000"/>
                <w:sz w:val="15"/>
                <w:szCs w:val="15"/>
              </w:rPr>
              <w:t>375 </w:t>
            </w:r>
          </w:p>
        </w:tc>
        <w:tc>
          <w:tcPr>
            <w:tcW w:w="0" w:type="auto"/>
            <w:shd w:val="clear" w:color="auto" w:fill="FFFFFF"/>
            <w:tcMar>
              <w:top w:w="40" w:type="dxa"/>
              <w:left w:w="0" w:type="dxa"/>
              <w:bottom w:w="40" w:type="dxa"/>
              <w:right w:w="20" w:type="dxa"/>
            </w:tcMar>
            <w:vAlign w:val="bottom"/>
          </w:tcPr>
          <w:p w14:paraId="5F2CF9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93B"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CF93C" w14:textId="77777777" w:rsidR="00E836FB" w:rsidRDefault="00994958">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F2CF93D" w14:textId="77777777" w:rsidR="00E836FB" w:rsidRDefault="00994958">
            <w:pPr>
              <w:jc w:val="right"/>
              <w:textAlignment w:val="bottom"/>
            </w:pPr>
            <w:r>
              <w:rPr>
                <w:rFonts w:ascii="Arial" w:eastAsia="宋体" w:hAnsi="Arial" w:cs="Arial"/>
                <w:color w:val="000000"/>
                <w:sz w:val="15"/>
                <w:szCs w:val="15"/>
              </w:rPr>
              <w:t>1,382 </w:t>
            </w:r>
          </w:p>
        </w:tc>
        <w:tc>
          <w:tcPr>
            <w:tcW w:w="0" w:type="auto"/>
            <w:shd w:val="clear" w:color="auto" w:fill="FFFFFF"/>
            <w:tcMar>
              <w:top w:w="40" w:type="dxa"/>
              <w:left w:w="0" w:type="dxa"/>
              <w:bottom w:w="40" w:type="dxa"/>
              <w:right w:w="20" w:type="dxa"/>
            </w:tcMar>
            <w:vAlign w:val="bottom"/>
          </w:tcPr>
          <w:p w14:paraId="5F2CF93E" w14:textId="77777777" w:rsidR="00E836FB" w:rsidRDefault="00E836FB">
            <w:pPr>
              <w:jc w:val="right"/>
              <w:rPr>
                <w:rFonts w:ascii="宋体"/>
              </w:rPr>
            </w:pPr>
          </w:p>
        </w:tc>
      </w:tr>
      <w:tr w:rsidR="00E836FB" w14:paraId="5F2CF949" w14:textId="77777777">
        <w:tc>
          <w:tcPr>
            <w:tcW w:w="0" w:type="auto"/>
            <w:gridSpan w:val="3"/>
            <w:shd w:val="clear" w:color="auto" w:fill="CCEEFF"/>
            <w:tcMar>
              <w:top w:w="40" w:type="dxa"/>
              <w:left w:w="20" w:type="dxa"/>
              <w:bottom w:w="40" w:type="dxa"/>
              <w:right w:w="20" w:type="dxa"/>
            </w:tcMar>
            <w:vAlign w:val="bottom"/>
          </w:tcPr>
          <w:p w14:paraId="5F2CF940" w14:textId="77777777" w:rsidR="00E836FB" w:rsidRDefault="00994958">
            <w:pPr>
              <w:textAlignment w:val="bottom"/>
            </w:pPr>
            <w:r>
              <w:rPr>
                <w:rFonts w:ascii="Arial" w:eastAsia="宋体" w:hAnsi="Arial" w:cs="Arial"/>
                <w:color w:val="000000"/>
                <w:sz w:val="15"/>
                <w:szCs w:val="15"/>
              </w:rPr>
              <w:t>Income taxes paid, net</w:t>
            </w:r>
          </w:p>
        </w:tc>
        <w:tc>
          <w:tcPr>
            <w:tcW w:w="0" w:type="auto"/>
            <w:gridSpan w:val="2"/>
            <w:shd w:val="clear" w:color="auto" w:fill="CCEEFF"/>
            <w:tcMar>
              <w:top w:w="40" w:type="dxa"/>
              <w:left w:w="20" w:type="dxa"/>
              <w:bottom w:w="40" w:type="dxa"/>
              <w:right w:w="0" w:type="dxa"/>
            </w:tcMar>
            <w:vAlign w:val="bottom"/>
          </w:tcPr>
          <w:p w14:paraId="5F2CF941" w14:textId="77777777" w:rsidR="00E836FB" w:rsidRDefault="00994958">
            <w:pPr>
              <w:jc w:val="right"/>
              <w:textAlignment w:val="bottom"/>
            </w:pPr>
            <w:r>
              <w:rPr>
                <w:rFonts w:ascii="Arial" w:eastAsia="宋体" w:hAnsi="Arial" w:cs="Arial"/>
                <w:b/>
                <w:bCs/>
                <w:color w:val="000000"/>
                <w:sz w:val="15"/>
                <w:szCs w:val="15"/>
              </w:rPr>
              <w:t>559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94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94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944" w14:textId="77777777" w:rsidR="00E836FB" w:rsidRDefault="00994958">
            <w:pPr>
              <w:jc w:val="right"/>
              <w:textAlignment w:val="bottom"/>
            </w:pPr>
            <w:r>
              <w:rPr>
                <w:rFonts w:ascii="Arial" w:eastAsia="宋体" w:hAnsi="Arial" w:cs="Arial"/>
                <w:color w:val="000000"/>
                <w:sz w:val="15"/>
                <w:szCs w:val="15"/>
              </w:rPr>
              <w:t>403 </w:t>
            </w:r>
          </w:p>
        </w:tc>
        <w:tc>
          <w:tcPr>
            <w:tcW w:w="0" w:type="auto"/>
            <w:shd w:val="clear" w:color="auto" w:fill="CCEEFF"/>
            <w:tcMar>
              <w:top w:w="40" w:type="dxa"/>
              <w:left w:w="0" w:type="dxa"/>
              <w:bottom w:w="40" w:type="dxa"/>
              <w:right w:w="20" w:type="dxa"/>
            </w:tcMar>
            <w:vAlign w:val="bottom"/>
          </w:tcPr>
          <w:p w14:paraId="5F2CF9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94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947" w14:textId="77777777" w:rsidR="00E836FB" w:rsidRDefault="00994958">
            <w:pPr>
              <w:jc w:val="right"/>
              <w:textAlignment w:val="bottom"/>
            </w:pPr>
            <w:r>
              <w:rPr>
                <w:rFonts w:ascii="Arial" w:eastAsia="宋体" w:hAnsi="Arial" w:cs="Arial"/>
                <w:color w:val="000000"/>
                <w:sz w:val="15"/>
                <w:szCs w:val="15"/>
              </w:rPr>
              <w:t>510 </w:t>
            </w:r>
          </w:p>
        </w:tc>
        <w:tc>
          <w:tcPr>
            <w:tcW w:w="0" w:type="auto"/>
            <w:shd w:val="clear" w:color="auto" w:fill="CCEEFF"/>
            <w:tcMar>
              <w:top w:w="40" w:type="dxa"/>
              <w:left w:w="0" w:type="dxa"/>
              <w:bottom w:w="40" w:type="dxa"/>
              <w:right w:w="20" w:type="dxa"/>
            </w:tcMar>
            <w:vAlign w:val="bottom"/>
          </w:tcPr>
          <w:p w14:paraId="5F2CF948" w14:textId="77777777" w:rsidR="00E836FB" w:rsidRDefault="00E836FB">
            <w:pPr>
              <w:jc w:val="right"/>
              <w:rPr>
                <w:rFonts w:ascii="宋体"/>
              </w:rPr>
            </w:pPr>
          </w:p>
        </w:tc>
      </w:tr>
    </w:tbl>
    <w:p w14:paraId="5F2CF94A" w14:textId="77777777" w:rsidR="00E836FB" w:rsidRDefault="00E836FB">
      <w:pPr>
        <w:ind w:firstLine="450"/>
      </w:pPr>
    </w:p>
    <w:p w14:paraId="5F2CF94B" w14:textId="77777777" w:rsidR="00E836FB" w:rsidRDefault="00E836FB">
      <w:pPr>
        <w:ind w:firstLine="450"/>
      </w:pPr>
    </w:p>
    <w:p w14:paraId="5F2CF94C" w14:textId="77777777" w:rsidR="00E836FB" w:rsidRDefault="00E836FB">
      <w:pPr>
        <w:ind w:firstLine="450"/>
      </w:pPr>
    </w:p>
    <w:p w14:paraId="5F2CF94D" w14:textId="77777777" w:rsidR="00E836FB" w:rsidRDefault="00994958">
      <w:pPr>
        <w:spacing w:after="60"/>
        <w:ind w:firstLine="450"/>
        <w:jc w:val="center"/>
      </w:pPr>
      <w:r>
        <w:rPr>
          <w:rFonts w:ascii="Arial" w:eastAsia="宋体" w:hAnsi="Arial" w:cs="Arial"/>
          <w:color w:val="000000"/>
          <w:sz w:val="18"/>
          <w:szCs w:val="18"/>
        </w:rPr>
        <w:t xml:space="preserve">The accompanying notes are an integral part of these consolidated financial statements. </w:t>
      </w:r>
    </w:p>
    <w:p w14:paraId="5F2CF94E" w14:textId="77777777" w:rsidR="00E836FB" w:rsidRDefault="00994958">
      <w:pPr>
        <w:ind w:firstLine="450"/>
        <w:jc w:val="right"/>
      </w:pPr>
      <w:r>
        <w:rPr>
          <w:rFonts w:ascii="Arial" w:eastAsia="宋体" w:hAnsi="Arial" w:cs="Arial"/>
          <w:color w:val="000000"/>
          <w:sz w:val="18"/>
          <w:szCs w:val="18"/>
        </w:rPr>
        <w:t>State Street Corporation | 134</w:t>
      </w:r>
    </w:p>
    <w:p w14:paraId="5F2CF94F" w14:textId="77777777" w:rsidR="00E836FB" w:rsidRDefault="00E836FB">
      <w:pPr>
        <w:ind w:firstLine="450"/>
        <w:jc w:val="center"/>
      </w:pPr>
    </w:p>
    <w:p w14:paraId="5F2CF950" w14:textId="77777777" w:rsidR="00E836FB" w:rsidRDefault="00994958">
      <w:r>
        <w:pict w14:anchorId="5F2D6E0B">
          <v:rect id="_x0000_i1158" style="width:415.3pt;height:1.5pt" o:hralign="center" o:hrstd="t" o:hr="t" fillcolor="#a0a0a0" stroked="f"/>
        </w:pict>
      </w:r>
    </w:p>
    <w:p w14:paraId="5F2CF951" w14:textId="77777777" w:rsidR="00E836FB" w:rsidRDefault="00994958">
      <w:pPr>
        <w:ind w:firstLine="450"/>
        <w:jc w:val="center"/>
      </w:pPr>
      <w:r>
        <w:rPr>
          <w:rFonts w:ascii="Arial" w:eastAsia="宋体" w:hAnsi="Arial" w:cs="Arial"/>
          <w:b/>
          <w:bCs/>
          <w:color w:val="000000"/>
          <w:sz w:val="20"/>
          <w:szCs w:val="20"/>
        </w:rPr>
        <w:t>STATE STREET CORPORATION</w:t>
      </w:r>
    </w:p>
    <w:p w14:paraId="5F2CF952" w14:textId="77777777" w:rsidR="00E836FB" w:rsidRDefault="00994958">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5F2CF953" w14:textId="77777777" w:rsidR="00E836FB" w:rsidRDefault="00994958">
      <w:pPr>
        <w:spacing w:before="90"/>
        <w:jc w:val="both"/>
        <w:textAlignment w:val="top"/>
      </w:pPr>
      <w:r>
        <w:rPr>
          <w:rFonts w:ascii="Arial" w:eastAsia="宋体" w:hAnsi="Arial" w:cs="Arial"/>
          <w:b/>
          <w:bCs/>
          <w:color w:val="000000"/>
          <w:sz w:val="20"/>
          <w:szCs w:val="20"/>
        </w:rPr>
        <w:t>Note 1.    Summary of Significant Accounting Policies</w:t>
      </w:r>
    </w:p>
    <w:p w14:paraId="5F2CF954" w14:textId="77777777" w:rsidR="00E836FB" w:rsidRDefault="00994958">
      <w:pPr>
        <w:spacing w:before="60"/>
        <w:jc w:val="both"/>
        <w:textAlignment w:val="top"/>
      </w:pPr>
      <w:r>
        <w:rPr>
          <w:rFonts w:ascii="Arial" w:eastAsia="宋体" w:hAnsi="Arial" w:cs="Arial"/>
          <w:b/>
          <w:bCs/>
          <w:i/>
          <w:iCs/>
          <w:color w:val="000000"/>
          <w:sz w:val="20"/>
          <w:szCs w:val="20"/>
        </w:rPr>
        <w:t>Basis of Presentation</w:t>
      </w:r>
    </w:p>
    <w:p w14:paraId="5F2CF955" w14:textId="77777777" w:rsidR="00E836FB" w:rsidRDefault="00994958">
      <w:pPr>
        <w:spacing w:before="60"/>
        <w:ind w:firstLine="450"/>
        <w:jc w:val="both"/>
        <w:textAlignment w:val="top"/>
      </w:pPr>
      <w:r>
        <w:rPr>
          <w:rFonts w:ascii="Arial" w:eastAsia="宋体" w:hAnsi="Arial" w:cs="Arial"/>
          <w:color w:val="000000"/>
          <w:sz w:val="20"/>
          <w:szCs w:val="20"/>
        </w:rPr>
        <w:t>The accounting and financial reporting policies of State Street Corporation conform to U.S. GAAP. State Street Corporation, the Parent Company, is a financial holding co</w:t>
      </w:r>
      <w:r>
        <w:rPr>
          <w:rFonts w:ascii="Arial" w:eastAsia="宋体" w:hAnsi="Arial" w:cs="Arial"/>
          <w:color w:val="000000"/>
          <w:sz w:val="20"/>
          <w:szCs w:val="20"/>
        </w:rPr>
        <w:t>mpany headquartered in Boston, Massachusetts. Unless otherwise indicated or unless the context requires otherwise, all references in these notes to consolidated financial statements to “State Street,” “we,” “us,” “our” or similar references mean State Stre</w:t>
      </w:r>
      <w:r>
        <w:rPr>
          <w:rFonts w:ascii="Arial" w:eastAsia="宋体" w:hAnsi="Arial" w:cs="Arial"/>
          <w:color w:val="000000"/>
          <w:sz w:val="20"/>
          <w:szCs w:val="20"/>
        </w:rPr>
        <w:t>et Corporation and its subsidiaries on a consolidated basis, including our principal banking subsidiary, State Street Bank.</w:t>
      </w:r>
    </w:p>
    <w:p w14:paraId="5F2CF956" w14:textId="77777777" w:rsidR="00E836FB" w:rsidRDefault="00994958">
      <w:pPr>
        <w:spacing w:before="60"/>
        <w:ind w:firstLine="450"/>
        <w:jc w:val="both"/>
        <w:textAlignment w:val="top"/>
      </w:pPr>
      <w:r>
        <w:rPr>
          <w:rFonts w:ascii="Arial" w:eastAsia="宋体" w:hAnsi="Arial" w:cs="Arial"/>
          <w:color w:val="000000"/>
          <w:sz w:val="20"/>
          <w:szCs w:val="20"/>
        </w:rPr>
        <w:t>We have two lines of business:</w:t>
      </w:r>
    </w:p>
    <w:p w14:paraId="5F2CF957" w14:textId="77777777" w:rsidR="00E836FB" w:rsidRDefault="00994958">
      <w:pPr>
        <w:spacing w:before="60"/>
        <w:ind w:firstLine="450"/>
        <w:jc w:val="both"/>
        <w:textAlignment w:val="top"/>
      </w:pPr>
      <w:r>
        <w:rPr>
          <w:rFonts w:ascii="Arial" w:eastAsia="宋体" w:hAnsi="Arial" w:cs="Arial"/>
          <w:i/>
          <w:iCs/>
          <w:color w:val="000000"/>
          <w:sz w:val="20"/>
          <w:szCs w:val="20"/>
        </w:rPr>
        <w:t xml:space="preserve">Investment Servicing, </w:t>
      </w:r>
      <w:r>
        <w:rPr>
          <w:rFonts w:ascii="Arial" w:eastAsia="宋体" w:hAnsi="Arial" w:cs="Arial"/>
          <w:color w:val="000000"/>
          <w:sz w:val="20"/>
          <w:szCs w:val="20"/>
        </w:rPr>
        <w:t>through</w:t>
      </w:r>
      <w:r>
        <w:rPr>
          <w:rFonts w:ascii="Arial" w:eastAsia="宋体" w:hAnsi="Arial" w:cs="Arial"/>
          <w:i/>
          <w:iCs/>
          <w:color w:val="000000"/>
          <w:sz w:val="20"/>
          <w:szCs w:val="20"/>
        </w:rPr>
        <w:t xml:space="preserve"> </w:t>
      </w:r>
      <w:r>
        <w:rPr>
          <w:rFonts w:ascii="Arial" w:eastAsia="宋体" w:hAnsi="Arial" w:cs="Arial"/>
          <w:color w:val="000000"/>
          <w:sz w:val="20"/>
          <w:szCs w:val="20"/>
        </w:rPr>
        <w:t>State Street Institutional Services, State Street Global Markets, State</w:t>
      </w:r>
      <w:r>
        <w:rPr>
          <w:rFonts w:ascii="Arial" w:eastAsia="宋体" w:hAnsi="Arial" w:cs="Arial"/>
          <w:color w:val="000000"/>
          <w:sz w:val="20"/>
          <w:szCs w:val="20"/>
        </w:rPr>
        <w:t xml:space="preserve"> Street Digital and CRD, provides services for institutional clients, including mutual funds, collective investment funds and other investment pools, corporate and public retirement plans, insurance companies, investment managers, foundations and endowment</w:t>
      </w:r>
      <w:r>
        <w:rPr>
          <w:rFonts w:ascii="Arial" w:eastAsia="宋体" w:hAnsi="Arial" w:cs="Arial"/>
          <w:color w:val="000000"/>
          <w:sz w:val="20"/>
          <w:szCs w:val="20"/>
        </w:rPr>
        <w:t>s worldwide. Products include: custody; product accounting; daily pricing and administration; master trust and master custody; depotbank services (a fund oversight role created by non-U.S. regulation); record-keeping; cash management; foreign exchange, bro</w:t>
      </w:r>
      <w:r>
        <w:rPr>
          <w:rFonts w:ascii="Arial" w:eastAsia="宋体" w:hAnsi="Arial" w:cs="Arial"/>
          <w:color w:val="000000"/>
          <w:sz w:val="20"/>
          <w:szCs w:val="20"/>
        </w:rPr>
        <w:t>kerage and other trading services; securities finance and enhanced custody products; deposit and short-term investment facilities; loans and lease financing; investment manager and alternative investment manager operations outsourcing; performance, risk an</w:t>
      </w:r>
      <w:r>
        <w:rPr>
          <w:rFonts w:ascii="Arial" w:eastAsia="宋体" w:hAnsi="Arial" w:cs="Arial"/>
          <w:color w:val="000000"/>
          <w:sz w:val="20"/>
          <w:szCs w:val="20"/>
        </w:rPr>
        <w:t>d compliance analytics; and financial data management to support institutional investors.</w:t>
      </w:r>
    </w:p>
    <w:p w14:paraId="5F2CF958" w14:textId="77777777" w:rsidR="00E836FB" w:rsidRDefault="00994958">
      <w:pPr>
        <w:spacing w:before="60"/>
        <w:ind w:firstLine="450"/>
        <w:jc w:val="both"/>
        <w:textAlignment w:val="top"/>
      </w:pPr>
      <w:r>
        <w:rPr>
          <w:rFonts w:ascii="Arial" w:eastAsia="宋体" w:hAnsi="Arial" w:cs="Arial"/>
          <w:color w:val="000000"/>
          <w:sz w:val="20"/>
          <w:szCs w:val="20"/>
        </w:rPr>
        <w:t>Included within our Investment Servicing line of business is CRD, which we acquired in 2018. The Charles River Investment Management System is a technology offering w</w:t>
      </w:r>
      <w:r>
        <w:rPr>
          <w:rFonts w:ascii="Arial" w:eastAsia="宋体" w:hAnsi="Arial" w:cs="Arial"/>
          <w:color w:val="000000"/>
          <w:sz w:val="20"/>
          <w:szCs w:val="20"/>
        </w:rPr>
        <w:t>hich is designed to automate and simplify the institutional investment process across asset classes, from portfolio management and risk analytics through trading and post-trade settlement, with integrated compliance and managed data throughout. With the ac</w:t>
      </w:r>
      <w:r>
        <w:rPr>
          <w:rFonts w:ascii="Arial" w:eastAsia="宋体" w:hAnsi="Arial" w:cs="Arial"/>
          <w:color w:val="000000"/>
          <w:sz w:val="20"/>
          <w:szCs w:val="20"/>
        </w:rPr>
        <w:t>quisition of CRD, we took the first step in building our front-to-back platform, State Street Alpha. Today our State Street Alpha platform combines portfolio management, trading and execution, analytics and compliance tools, and advanced data aggregation a</w:t>
      </w:r>
      <w:r>
        <w:rPr>
          <w:rFonts w:ascii="Arial" w:eastAsia="宋体" w:hAnsi="Arial" w:cs="Arial"/>
          <w:color w:val="000000"/>
          <w:sz w:val="20"/>
          <w:szCs w:val="20"/>
        </w:rPr>
        <w:t xml:space="preserve">nd integration with other industry platforms and providers. In 2021, we further expanded our technology offering with the acquisition of Mercatus, Inc., enabling the launch of Alpha for Private Markets. </w:t>
      </w:r>
    </w:p>
    <w:p w14:paraId="5F2CF959" w14:textId="77777777" w:rsidR="00E836FB" w:rsidRDefault="00994958">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 through State Street Global A</w:t>
      </w:r>
      <w:r>
        <w:rPr>
          <w:rFonts w:ascii="Arial" w:eastAsia="宋体" w:hAnsi="Arial" w:cs="Arial"/>
          <w:color w:val="000000"/>
          <w:sz w:val="20"/>
          <w:szCs w:val="20"/>
        </w:rPr>
        <w:t xml:space="preserve">dvisors, provides a broad range of investment management strategies and products for our clients. Our investment management strategies </w:t>
      </w:r>
    </w:p>
    <w:p w14:paraId="5F2CF95A" w14:textId="77777777" w:rsidR="00E836FB" w:rsidRDefault="00994958">
      <w:pPr>
        <w:spacing w:before="60"/>
        <w:jc w:val="both"/>
        <w:textAlignment w:val="top"/>
      </w:pPr>
      <w:r>
        <w:rPr>
          <w:rFonts w:ascii="Arial" w:eastAsia="宋体" w:hAnsi="Arial" w:cs="Arial"/>
          <w:color w:val="000000"/>
          <w:sz w:val="20"/>
          <w:szCs w:val="20"/>
        </w:rPr>
        <w:t>and products span the risk/reward spectrum for equity, fixed income and cash assets, including core and enhanced indexin</w:t>
      </w:r>
      <w:r>
        <w:rPr>
          <w:rFonts w:ascii="Arial" w:eastAsia="宋体" w:hAnsi="Arial" w:cs="Arial"/>
          <w:color w:val="000000"/>
          <w:sz w:val="20"/>
          <w:szCs w:val="20"/>
        </w:rPr>
        <w:t xml:space="preserve">g, multi-asset strategies, active quantitative and fundamental active capabilities and alternative investment strategies. Our AUM is currently primarily weighted to indexed strategies. In addition, we provide a breadth of services and solutions, including </w:t>
      </w:r>
      <w:r>
        <w:rPr>
          <w:rFonts w:ascii="Arial" w:eastAsia="宋体" w:hAnsi="Arial" w:cs="Arial"/>
          <w:color w:val="000000"/>
          <w:sz w:val="20"/>
          <w:szCs w:val="20"/>
        </w:rPr>
        <w:t>ESG investing, defined benefit and defined contribution and Global Fiduciary Solutions (formerly Outsourced Chief Investment Officer).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 xml:space="preserve">ETF brand. </w:t>
      </w:r>
    </w:p>
    <w:p w14:paraId="5F2CF95B" w14:textId="77777777" w:rsidR="00E836FB" w:rsidRDefault="00994958">
      <w:pPr>
        <w:spacing w:before="60"/>
        <w:jc w:val="both"/>
        <w:textAlignment w:val="top"/>
      </w:pPr>
      <w:r>
        <w:rPr>
          <w:rFonts w:ascii="Arial" w:eastAsia="宋体" w:hAnsi="Arial" w:cs="Arial"/>
          <w:b/>
          <w:bCs/>
          <w:i/>
          <w:iCs/>
          <w:color w:val="000000"/>
          <w:sz w:val="20"/>
          <w:szCs w:val="20"/>
        </w:rPr>
        <w:t>Consolidation</w:t>
      </w:r>
    </w:p>
    <w:p w14:paraId="5F2CF95C" w14:textId="77777777" w:rsidR="00E836FB" w:rsidRDefault="00994958">
      <w:pPr>
        <w:spacing w:before="60"/>
        <w:ind w:firstLine="450"/>
        <w:jc w:val="both"/>
        <w:textAlignment w:val="top"/>
      </w:pPr>
      <w:r>
        <w:rPr>
          <w:rFonts w:ascii="Arial" w:eastAsia="宋体" w:hAnsi="Arial" w:cs="Arial"/>
          <w:color w:val="000000"/>
          <w:sz w:val="20"/>
          <w:szCs w:val="20"/>
        </w:rPr>
        <w:t>Our consolidated f</w:t>
      </w:r>
      <w:r>
        <w:rPr>
          <w:rFonts w:ascii="Arial" w:eastAsia="宋体" w:hAnsi="Arial" w:cs="Arial"/>
          <w:color w:val="000000"/>
          <w:sz w:val="20"/>
          <w:szCs w:val="20"/>
        </w:rPr>
        <w:t>inancial statements include the accounts of the Parent Company and its majority- and wholly-owned and otherwise controlled subsidiaries, including State Street Bank. All material inter-company transactions and balances have been eliminated. Certain previou</w:t>
      </w:r>
      <w:r>
        <w:rPr>
          <w:rFonts w:ascii="Arial" w:eastAsia="宋体" w:hAnsi="Arial" w:cs="Arial"/>
          <w:color w:val="000000"/>
          <w:sz w:val="20"/>
          <w:szCs w:val="20"/>
        </w:rPr>
        <w:t>sly reported amounts have been reclassified to conform to current-year presentation.</w:t>
      </w:r>
    </w:p>
    <w:p w14:paraId="5F2CF95D" w14:textId="77777777" w:rsidR="00E836FB" w:rsidRDefault="00994958">
      <w:pPr>
        <w:spacing w:before="60"/>
        <w:ind w:firstLine="450"/>
        <w:jc w:val="both"/>
        <w:textAlignment w:val="top"/>
      </w:pPr>
      <w:r>
        <w:rPr>
          <w:rFonts w:ascii="Arial" w:eastAsia="宋体" w:hAnsi="Arial" w:cs="Arial"/>
          <w:color w:val="000000"/>
          <w:sz w:val="20"/>
          <w:szCs w:val="20"/>
        </w:rPr>
        <w:t>We consolidate subsidiaries in which we exercise control. Investments in unconsolidated subsidiaries, recorded in other assets, generally are accounted for under the equit</w:t>
      </w:r>
      <w:r>
        <w:rPr>
          <w:rFonts w:ascii="Arial" w:eastAsia="宋体" w:hAnsi="Arial" w:cs="Arial"/>
          <w:color w:val="000000"/>
          <w:sz w:val="20"/>
          <w:szCs w:val="20"/>
        </w:rPr>
        <w:t>y method of accounting if we have the ability to exercise significant influence over the operations of the investee. For investments accounted for under the equity method, our share of income or loss is recorded in software and processing fees in our conso</w:t>
      </w:r>
      <w:r>
        <w:rPr>
          <w:rFonts w:ascii="Arial" w:eastAsia="宋体" w:hAnsi="Arial" w:cs="Arial"/>
          <w:color w:val="000000"/>
          <w:sz w:val="20"/>
          <w:szCs w:val="20"/>
        </w:rPr>
        <w:t>lidated statement of income. Investments not meeting the criteria for equity-method treatment are measured at fair value through earnings, except for investments where a fair market value is not readily available, which are accounted for under the cost met</w:t>
      </w:r>
      <w:r>
        <w:rPr>
          <w:rFonts w:ascii="Arial" w:eastAsia="宋体" w:hAnsi="Arial" w:cs="Arial"/>
          <w:color w:val="000000"/>
          <w:sz w:val="20"/>
          <w:szCs w:val="20"/>
        </w:rPr>
        <w:t>hod of accounting.</w:t>
      </w:r>
    </w:p>
    <w:p w14:paraId="5F2CF95E" w14:textId="77777777" w:rsidR="00E836FB" w:rsidRDefault="00994958">
      <w:pPr>
        <w:spacing w:before="60"/>
        <w:jc w:val="both"/>
        <w:textAlignment w:val="top"/>
      </w:pPr>
      <w:r>
        <w:rPr>
          <w:rFonts w:ascii="Arial" w:eastAsia="宋体" w:hAnsi="Arial" w:cs="Arial"/>
          <w:b/>
          <w:bCs/>
          <w:i/>
          <w:iCs/>
          <w:color w:val="000000"/>
          <w:sz w:val="20"/>
          <w:szCs w:val="20"/>
        </w:rPr>
        <w:t>Use of Estimates</w:t>
      </w:r>
    </w:p>
    <w:p w14:paraId="5F2CF95F" w14:textId="77777777" w:rsidR="00E836FB" w:rsidRDefault="00994958">
      <w:pPr>
        <w:spacing w:before="60"/>
        <w:ind w:firstLine="450"/>
        <w:jc w:val="both"/>
        <w:textAlignment w:val="top"/>
      </w:pPr>
      <w:r>
        <w:rPr>
          <w:rFonts w:ascii="Arial" w:eastAsia="宋体" w:hAnsi="Arial" w:cs="Arial"/>
          <w:color w:val="000000"/>
          <w:sz w:val="20"/>
          <w:szCs w:val="20"/>
        </w:rPr>
        <w:t>The preparation of consolidated financial statements in conformity with U.S. GAAP requires management to make estimates and assumptions in the application of certain of our significant accounting policies that may materi</w:t>
      </w:r>
      <w:r>
        <w:rPr>
          <w:rFonts w:ascii="Arial" w:eastAsia="宋体" w:hAnsi="Arial" w:cs="Arial"/>
          <w:color w:val="000000"/>
          <w:sz w:val="20"/>
          <w:szCs w:val="20"/>
        </w:rPr>
        <w:t>ally affect the reported amounts of assets, liabilities, equity, revenue and expenses. As a result of unanticipated events or circumstances, actual results could differ from those estimates.</w:t>
      </w:r>
    </w:p>
    <w:p w14:paraId="5F2CF960" w14:textId="77777777" w:rsidR="00E836FB" w:rsidRDefault="00994958">
      <w:pPr>
        <w:spacing w:before="60"/>
        <w:jc w:val="both"/>
        <w:textAlignment w:val="top"/>
      </w:pPr>
      <w:r>
        <w:rPr>
          <w:rFonts w:ascii="Arial" w:eastAsia="宋体" w:hAnsi="Arial" w:cs="Arial"/>
          <w:b/>
          <w:bCs/>
          <w:i/>
          <w:iCs/>
          <w:color w:val="000000"/>
          <w:sz w:val="20"/>
          <w:szCs w:val="20"/>
        </w:rPr>
        <w:t>Foreign Currency Translation</w:t>
      </w:r>
    </w:p>
    <w:p w14:paraId="5F2CF961" w14:textId="77777777" w:rsidR="00E836FB" w:rsidRDefault="00994958">
      <w:pPr>
        <w:spacing w:before="60"/>
        <w:ind w:firstLine="450"/>
        <w:jc w:val="both"/>
        <w:textAlignment w:val="top"/>
      </w:pPr>
      <w:r>
        <w:rPr>
          <w:rFonts w:ascii="Arial" w:eastAsia="宋体" w:hAnsi="Arial" w:cs="Arial"/>
          <w:color w:val="000000"/>
          <w:sz w:val="20"/>
          <w:szCs w:val="20"/>
        </w:rPr>
        <w:t xml:space="preserve">The assets and </w:t>
      </w:r>
      <w:r>
        <w:rPr>
          <w:rFonts w:ascii="Arial" w:eastAsia="宋体" w:hAnsi="Arial" w:cs="Arial"/>
          <w:color w:val="000000"/>
          <w:sz w:val="20"/>
          <w:szCs w:val="20"/>
        </w:rPr>
        <w:t>liabilities of our operations with functional currencies other than the U.S. dollar are translated at month-end exchange rates, and revenue and expenses are translated at rates that approximate average monthly exchange rates. Gains or losses from the trans</w:t>
      </w:r>
      <w:r>
        <w:rPr>
          <w:rFonts w:ascii="Arial" w:eastAsia="宋体" w:hAnsi="Arial" w:cs="Arial"/>
          <w:color w:val="000000"/>
          <w:sz w:val="20"/>
          <w:szCs w:val="20"/>
        </w:rPr>
        <w:t>lation of the net assets of subsidiaries with functional currencies other than the U.S. dollar, net of related taxes, are recorded in AOCI, a component of shareholders’ equity.</w:t>
      </w:r>
    </w:p>
    <w:p w14:paraId="5F2CF962" w14:textId="77777777" w:rsidR="00E836FB" w:rsidRDefault="00994958">
      <w:pPr>
        <w:ind w:firstLine="450"/>
        <w:jc w:val="right"/>
      </w:pPr>
      <w:r>
        <w:rPr>
          <w:rFonts w:ascii="Arial" w:eastAsia="宋体" w:hAnsi="Arial" w:cs="Arial"/>
          <w:color w:val="000000"/>
          <w:sz w:val="18"/>
          <w:szCs w:val="18"/>
        </w:rPr>
        <w:t>State Street Corporation | 135</w:t>
      </w:r>
    </w:p>
    <w:p w14:paraId="5F2CF963" w14:textId="77777777" w:rsidR="00E836FB" w:rsidRDefault="00E836FB">
      <w:pPr>
        <w:ind w:firstLine="450"/>
        <w:jc w:val="center"/>
      </w:pPr>
    </w:p>
    <w:p w14:paraId="5F2CF964" w14:textId="77777777" w:rsidR="00E836FB" w:rsidRDefault="00994958">
      <w:r>
        <w:pict w14:anchorId="5F2D6E0C">
          <v:rect id="_x0000_i1159" style="width:415.3pt;height:1.5pt" o:hralign="center" o:hrstd="t" o:hr="t" fillcolor="#a0a0a0" stroked="f"/>
        </w:pict>
      </w:r>
    </w:p>
    <w:p w14:paraId="5F2CF965" w14:textId="77777777" w:rsidR="00E836FB" w:rsidRDefault="00994958">
      <w:pPr>
        <w:ind w:firstLine="450"/>
        <w:jc w:val="center"/>
      </w:pPr>
      <w:r>
        <w:rPr>
          <w:rFonts w:ascii="Arial" w:eastAsia="宋体" w:hAnsi="Arial" w:cs="Arial"/>
          <w:b/>
          <w:bCs/>
          <w:color w:val="000000"/>
          <w:sz w:val="20"/>
          <w:szCs w:val="20"/>
        </w:rPr>
        <w:t>STATE STREET CORPORATION</w:t>
      </w:r>
    </w:p>
    <w:p w14:paraId="5F2CF966" w14:textId="77777777" w:rsidR="00E836FB" w:rsidRDefault="00994958">
      <w:pPr>
        <w:ind w:firstLine="45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CONSOLIDATED FINANCIAL STATEMENTS</w:t>
      </w:r>
    </w:p>
    <w:p w14:paraId="5F2CF967" w14:textId="77777777" w:rsidR="00E836FB" w:rsidRDefault="00994958">
      <w:pPr>
        <w:spacing w:before="60"/>
        <w:jc w:val="both"/>
        <w:textAlignment w:val="top"/>
      </w:pPr>
      <w:r>
        <w:rPr>
          <w:rFonts w:ascii="Arial" w:eastAsia="宋体" w:hAnsi="Arial" w:cs="Arial"/>
          <w:b/>
          <w:bCs/>
          <w:i/>
          <w:iCs/>
          <w:color w:val="000000"/>
          <w:sz w:val="20"/>
          <w:szCs w:val="20"/>
        </w:rPr>
        <w:t>Cash and Cash Equivalents</w:t>
      </w:r>
    </w:p>
    <w:p w14:paraId="5F2CF968" w14:textId="77777777" w:rsidR="00E836FB" w:rsidRDefault="00994958">
      <w:pPr>
        <w:spacing w:before="60"/>
        <w:ind w:firstLine="450"/>
        <w:jc w:val="both"/>
        <w:textAlignment w:val="top"/>
      </w:pPr>
      <w:r>
        <w:rPr>
          <w:rFonts w:ascii="Arial" w:eastAsia="宋体" w:hAnsi="Arial" w:cs="Arial"/>
          <w:color w:val="000000"/>
          <w:sz w:val="20"/>
          <w:szCs w:val="20"/>
        </w:rPr>
        <w:t>For purposes of the consolidated statement of cash flows, cash and cash equivalents are defined as cash and due from banks.</w:t>
      </w:r>
    </w:p>
    <w:p w14:paraId="5F2CF969" w14:textId="77777777" w:rsidR="00E836FB" w:rsidRDefault="00994958">
      <w:pPr>
        <w:spacing w:before="60"/>
        <w:jc w:val="both"/>
        <w:textAlignment w:val="top"/>
      </w:pPr>
      <w:r>
        <w:rPr>
          <w:rFonts w:ascii="Arial" w:eastAsia="宋体" w:hAnsi="Arial" w:cs="Arial"/>
          <w:b/>
          <w:bCs/>
          <w:i/>
          <w:iCs/>
          <w:color w:val="000000"/>
          <w:sz w:val="20"/>
          <w:szCs w:val="20"/>
        </w:rPr>
        <w:t>Interest-Bearing Deposits with Banks</w:t>
      </w:r>
    </w:p>
    <w:p w14:paraId="5F2CF96A" w14:textId="77777777" w:rsidR="00E836FB" w:rsidRDefault="00994958">
      <w:pPr>
        <w:spacing w:before="60"/>
        <w:ind w:firstLine="450"/>
        <w:jc w:val="both"/>
        <w:textAlignment w:val="top"/>
      </w:pPr>
      <w:r>
        <w:rPr>
          <w:rFonts w:ascii="Arial" w:eastAsia="宋体" w:hAnsi="Arial" w:cs="Arial"/>
          <w:color w:val="000000"/>
          <w:sz w:val="20"/>
          <w:szCs w:val="20"/>
        </w:rPr>
        <w:t>Interest-bearing deposits with bank</w:t>
      </w:r>
      <w:r>
        <w:rPr>
          <w:rFonts w:ascii="Arial" w:eastAsia="宋体" w:hAnsi="Arial" w:cs="Arial"/>
          <w:color w:val="000000"/>
          <w:sz w:val="20"/>
          <w:szCs w:val="20"/>
        </w:rPr>
        <w:t>s generally consist of highly liquid, short-term investments maintained at the Federal Reserve Bank and other non-U.S. central banks with original maturities at the time of purchase of one month or less.</w:t>
      </w:r>
    </w:p>
    <w:p w14:paraId="5F2CF96B" w14:textId="77777777" w:rsidR="00E836FB" w:rsidRDefault="00994958">
      <w:pPr>
        <w:spacing w:before="60"/>
        <w:jc w:val="both"/>
        <w:textAlignment w:val="top"/>
      </w:pPr>
      <w:r>
        <w:rPr>
          <w:rFonts w:ascii="Arial" w:eastAsia="宋体" w:hAnsi="Arial" w:cs="Arial"/>
          <w:b/>
          <w:bCs/>
          <w:i/>
          <w:iCs/>
          <w:color w:val="000000"/>
          <w:sz w:val="20"/>
          <w:szCs w:val="20"/>
        </w:rPr>
        <w:t>Securities Purchased Under Resale Agreements and Sec</w:t>
      </w:r>
      <w:r>
        <w:rPr>
          <w:rFonts w:ascii="Arial" w:eastAsia="宋体" w:hAnsi="Arial" w:cs="Arial"/>
          <w:b/>
          <w:bCs/>
          <w:i/>
          <w:iCs/>
          <w:color w:val="000000"/>
          <w:sz w:val="20"/>
          <w:szCs w:val="20"/>
        </w:rPr>
        <w:t>urities Sold Under Repurchase Agreements</w:t>
      </w:r>
    </w:p>
    <w:p w14:paraId="5F2CF96C" w14:textId="77777777" w:rsidR="00E836FB" w:rsidRDefault="00994958">
      <w:pPr>
        <w:spacing w:before="60"/>
        <w:ind w:firstLine="450"/>
        <w:jc w:val="both"/>
        <w:textAlignment w:val="top"/>
      </w:pPr>
      <w:r>
        <w:rPr>
          <w:rFonts w:ascii="Arial" w:eastAsia="宋体" w:hAnsi="Arial" w:cs="Arial"/>
          <w:color w:val="000000"/>
          <w:sz w:val="20"/>
          <w:szCs w:val="20"/>
        </w:rPr>
        <w:t>Securities purchased under resale agreements and sold under repurchase agreements are treated as collateralized financing transactions, and are recorded in our consolidated statement of condition at the amounts at w</w:t>
      </w:r>
      <w:r>
        <w:rPr>
          <w:rFonts w:ascii="Arial" w:eastAsia="宋体" w:hAnsi="Arial" w:cs="Arial"/>
          <w:color w:val="000000"/>
          <w:sz w:val="20"/>
          <w:szCs w:val="20"/>
        </w:rPr>
        <w:t>hich the securities will be subsequently resold or repurchased, plus accrued interest. Our policy is to take possession or control of securities underlying resale agreements either directly or through agent banks, allowing borrowers the right of collateral</w:t>
      </w:r>
      <w:r>
        <w:rPr>
          <w:rFonts w:ascii="Arial" w:eastAsia="宋体" w:hAnsi="Arial" w:cs="Arial"/>
          <w:color w:val="000000"/>
          <w:sz w:val="20"/>
          <w:szCs w:val="20"/>
        </w:rPr>
        <w:t xml:space="preserve"> substitution and/or short-notice termination. We revalue these securities daily to determine if additional collateral is necessary from the borrower to protect us against credit exposure. We can use these securities as collateral for repurchase agreements</w:t>
      </w:r>
      <w:r>
        <w:rPr>
          <w:rFonts w:ascii="Arial" w:eastAsia="宋体" w:hAnsi="Arial" w:cs="Arial"/>
          <w:color w:val="000000"/>
          <w:sz w:val="20"/>
          <w:szCs w:val="20"/>
        </w:rPr>
        <w:t>.</w:t>
      </w:r>
    </w:p>
    <w:p w14:paraId="5F2CF96D" w14:textId="77777777" w:rsidR="00E836FB" w:rsidRDefault="00994958">
      <w:pPr>
        <w:spacing w:before="60"/>
        <w:ind w:firstLine="450"/>
        <w:jc w:val="both"/>
        <w:textAlignment w:val="top"/>
      </w:pPr>
      <w:r>
        <w:rPr>
          <w:rFonts w:ascii="Arial" w:eastAsia="宋体" w:hAnsi="Arial" w:cs="Arial"/>
          <w:color w:val="000000"/>
          <w:sz w:val="20"/>
          <w:szCs w:val="20"/>
        </w:rPr>
        <w:t>For securities sold under repurchase agreements collateralized by our investment securities portfolio, the dollar value of the securities remains in investment securities in our consolidated statement of condition. Where a master netting agreement exists</w:t>
      </w:r>
      <w:r>
        <w:rPr>
          <w:rFonts w:ascii="Arial" w:eastAsia="宋体" w:hAnsi="Arial" w:cs="Arial"/>
          <w:color w:val="000000"/>
          <w:sz w:val="20"/>
          <w:szCs w:val="20"/>
        </w:rPr>
        <w:t xml:space="preserve"> or both parties are members of a common clearing organization, resale and repurchase agreements are recorded on a net basis when specific netting criteria are met.</w:t>
      </w:r>
    </w:p>
    <w:p w14:paraId="5F2CF96E" w14:textId="77777777" w:rsidR="00E836FB" w:rsidRDefault="00994958">
      <w:pPr>
        <w:spacing w:before="60"/>
        <w:jc w:val="both"/>
        <w:textAlignment w:val="top"/>
      </w:pPr>
      <w:r>
        <w:rPr>
          <w:rFonts w:ascii="Arial" w:eastAsia="宋体" w:hAnsi="Arial" w:cs="Arial"/>
          <w:b/>
          <w:bCs/>
          <w:i/>
          <w:iCs/>
          <w:color w:val="000000"/>
          <w:sz w:val="20"/>
          <w:szCs w:val="20"/>
        </w:rPr>
        <w:t>Fee and Net Interest Income</w:t>
      </w:r>
    </w:p>
    <w:p w14:paraId="5F2CF96F" w14:textId="77777777" w:rsidR="00E836FB" w:rsidRDefault="00994958">
      <w:pPr>
        <w:spacing w:before="60"/>
        <w:ind w:firstLine="450"/>
        <w:jc w:val="both"/>
        <w:textAlignment w:val="top"/>
      </w:pPr>
      <w:r>
        <w:rPr>
          <w:rFonts w:ascii="Arial" w:eastAsia="宋体" w:hAnsi="Arial" w:cs="Arial"/>
          <w:color w:val="000000"/>
          <w:sz w:val="20"/>
          <w:szCs w:val="20"/>
        </w:rPr>
        <w:t>The majority of fees from investment servicing, investment mana</w:t>
      </w:r>
      <w:r>
        <w:rPr>
          <w:rFonts w:ascii="Arial" w:eastAsia="宋体" w:hAnsi="Arial" w:cs="Arial"/>
          <w:color w:val="000000"/>
          <w:sz w:val="20"/>
          <w:szCs w:val="20"/>
        </w:rPr>
        <w:t>gement, securities finance, trading services and certain types of software and processing fees are recorded in our consolidated statement of income based on the consideration specified in contracts with our customers, and excludes taxes collected from cust</w:t>
      </w:r>
      <w:r>
        <w:rPr>
          <w:rFonts w:ascii="Arial" w:eastAsia="宋体" w:hAnsi="Arial" w:cs="Arial"/>
          <w:color w:val="000000"/>
          <w:sz w:val="20"/>
          <w:szCs w:val="20"/>
        </w:rPr>
        <w:t>omers subsequently remitted to governmental authorities. We recognize revenue as the services are performed or at a point in time depending on the nature of the services provided. Payments made to third party service providers are generally recognized on a</w:t>
      </w:r>
      <w:r>
        <w:rPr>
          <w:rFonts w:ascii="Arial" w:eastAsia="宋体" w:hAnsi="Arial" w:cs="Arial"/>
          <w:color w:val="000000"/>
          <w:sz w:val="20"/>
          <w:szCs w:val="20"/>
        </w:rPr>
        <w:t xml:space="preserve"> gross basis when we control those services and are deemed to be the principal. Additional information about revenue from contracts with customers is provided in Note 25.</w:t>
      </w:r>
    </w:p>
    <w:p w14:paraId="5F2CF970" w14:textId="77777777" w:rsidR="00E836FB" w:rsidRDefault="00994958">
      <w:pPr>
        <w:spacing w:before="60"/>
        <w:ind w:firstLine="450"/>
        <w:jc w:val="both"/>
        <w:textAlignment w:val="top"/>
      </w:pPr>
      <w:r>
        <w:rPr>
          <w:rFonts w:ascii="Arial" w:eastAsia="宋体" w:hAnsi="Arial" w:cs="Arial"/>
          <w:color w:val="000000"/>
          <w:sz w:val="20"/>
          <w:szCs w:val="20"/>
        </w:rPr>
        <w:t>Interest income on interest-earning assets and interest expense on interest-bearing l</w:t>
      </w:r>
      <w:r>
        <w:rPr>
          <w:rFonts w:ascii="Arial" w:eastAsia="宋体" w:hAnsi="Arial" w:cs="Arial"/>
          <w:color w:val="000000"/>
          <w:sz w:val="20"/>
          <w:szCs w:val="20"/>
        </w:rPr>
        <w:t xml:space="preserve">iabilities are </w:t>
      </w:r>
    </w:p>
    <w:p w14:paraId="5F2CF971" w14:textId="77777777" w:rsidR="00E836FB" w:rsidRDefault="00994958">
      <w:pPr>
        <w:spacing w:before="60"/>
        <w:jc w:val="both"/>
        <w:textAlignment w:val="top"/>
      </w:pPr>
      <w:r>
        <w:rPr>
          <w:rFonts w:ascii="Arial" w:eastAsia="宋体" w:hAnsi="Arial" w:cs="Arial"/>
          <w:color w:val="000000"/>
          <w:sz w:val="20"/>
          <w:szCs w:val="20"/>
        </w:rPr>
        <w:t>recorded in our consolidated statement of income as components of NII, and are generally based on the effective yield of the related financial asset or liability.</w:t>
      </w:r>
    </w:p>
    <w:p w14:paraId="5F2CF972" w14:textId="77777777" w:rsidR="00E836FB" w:rsidRDefault="00994958">
      <w:pPr>
        <w:spacing w:before="60"/>
        <w:jc w:val="both"/>
        <w:textAlignment w:val="top"/>
      </w:pPr>
      <w:r>
        <w:rPr>
          <w:rFonts w:ascii="Arial" w:eastAsia="宋体" w:hAnsi="Arial" w:cs="Arial"/>
          <w:b/>
          <w:bCs/>
          <w:i/>
          <w:iCs/>
          <w:color w:val="000000"/>
          <w:sz w:val="20"/>
          <w:szCs w:val="20"/>
        </w:rPr>
        <w:t>Other Significant Policies</w:t>
      </w:r>
    </w:p>
    <w:p w14:paraId="5F2CF973" w14:textId="77777777" w:rsidR="00E836FB" w:rsidRDefault="00994958">
      <w:pPr>
        <w:spacing w:before="60"/>
        <w:ind w:firstLine="450"/>
        <w:jc w:val="both"/>
        <w:textAlignment w:val="top"/>
      </w:pPr>
      <w:r>
        <w:rPr>
          <w:rFonts w:ascii="Arial" w:eastAsia="宋体" w:hAnsi="Arial" w:cs="Arial"/>
          <w:color w:val="000000"/>
          <w:sz w:val="20"/>
          <w:szCs w:val="20"/>
        </w:rPr>
        <w:t>The following table identifies our other significa</w:t>
      </w:r>
      <w:r>
        <w:rPr>
          <w:rFonts w:ascii="Arial" w:eastAsia="宋体" w:hAnsi="Arial" w:cs="Arial"/>
          <w:color w:val="000000"/>
          <w:sz w:val="20"/>
          <w:szCs w:val="20"/>
        </w:rPr>
        <w:t>nt accounting policies and the note and page where a detailed description of each policy can be found:</w:t>
      </w:r>
    </w:p>
    <w:tbl>
      <w:tblPr>
        <w:tblW w:w="5000" w:type="pct"/>
        <w:tblCellMar>
          <w:top w:w="15" w:type="dxa"/>
          <w:left w:w="15" w:type="dxa"/>
          <w:bottom w:w="15" w:type="dxa"/>
          <w:right w:w="15" w:type="dxa"/>
        </w:tblCellMar>
        <w:tblLook w:val="04A0" w:firstRow="1" w:lastRow="0" w:firstColumn="1" w:lastColumn="0" w:noHBand="0" w:noVBand="1"/>
      </w:tblPr>
      <w:tblGrid>
        <w:gridCol w:w="69"/>
        <w:gridCol w:w="4561"/>
        <w:gridCol w:w="37"/>
        <w:gridCol w:w="69"/>
        <w:gridCol w:w="811"/>
        <w:gridCol w:w="36"/>
        <w:gridCol w:w="69"/>
        <w:gridCol w:w="812"/>
        <w:gridCol w:w="36"/>
        <w:gridCol w:w="70"/>
        <w:gridCol w:w="812"/>
        <w:gridCol w:w="36"/>
        <w:gridCol w:w="70"/>
        <w:gridCol w:w="812"/>
        <w:gridCol w:w="36"/>
      </w:tblGrid>
      <w:tr w:rsidR="00E836FB" w14:paraId="5F2CF983" w14:textId="77777777">
        <w:tc>
          <w:tcPr>
            <w:tcW w:w="50" w:type="pct"/>
            <w:shd w:val="clear" w:color="auto" w:fill="auto"/>
            <w:vAlign w:val="bottom"/>
          </w:tcPr>
          <w:p w14:paraId="5F2CF974" w14:textId="77777777" w:rsidR="00E836FB" w:rsidRDefault="00E836FB">
            <w:pPr>
              <w:rPr>
                <w:rFonts w:ascii="宋体"/>
              </w:rPr>
            </w:pPr>
          </w:p>
        </w:tc>
        <w:tc>
          <w:tcPr>
            <w:tcW w:w="2743" w:type="pct"/>
            <w:shd w:val="clear" w:color="auto" w:fill="auto"/>
            <w:vAlign w:val="bottom"/>
          </w:tcPr>
          <w:p w14:paraId="5F2CF975" w14:textId="77777777" w:rsidR="00E836FB" w:rsidRDefault="00E836FB">
            <w:pPr>
              <w:rPr>
                <w:rFonts w:ascii="宋体"/>
              </w:rPr>
            </w:pPr>
          </w:p>
        </w:tc>
        <w:tc>
          <w:tcPr>
            <w:tcW w:w="5" w:type="pct"/>
            <w:shd w:val="clear" w:color="auto" w:fill="auto"/>
            <w:vAlign w:val="bottom"/>
          </w:tcPr>
          <w:p w14:paraId="5F2CF976" w14:textId="77777777" w:rsidR="00E836FB" w:rsidRDefault="00E836FB">
            <w:pPr>
              <w:rPr>
                <w:rFonts w:ascii="宋体"/>
              </w:rPr>
            </w:pPr>
          </w:p>
        </w:tc>
        <w:tc>
          <w:tcPr>
            <w:tcW w:w="50" w:type="pct"/>
            <w:shd w:val="clear" w:color="auto" w:fill="auto"/>
            <w:vAlign w:val="bottom"/>
          </w:tcPr>
          <w:p w14:paraId="5F2CF977" w14:textId="77777777" w:rsidR="00E836FB" w:rsidRDefault="00E836FB">
            <w:pPr>
              <w:rPr>
                <w:rFonts w:ascii="宋体"/>
              </w:rPr>
            </w:pPr>
          </w:p>
        </w:tc>
        <w:tc>
          <w:tcPr>
            <w:tcW w:w="495" w:type="pct"/>
            <w:shd w:val="clear" w:color="auto" w:fill="auto"/>
            <w:vAlign w:val="bottom"/>
          </w:tcPr>
          <w:p w14:paraId="5F2CF978" w14:textId="77777777" w:rsidR="00E836FB" w:rsidRDefault="00E836FB">
            <w:pPr>
              <w:rPr>
                <w:rFonts w:ascii="宋体"/>
              </w:rPr>
            </w:pPr>
          </w:p>
        </w:tc>
        <w:tc>
          <w:tcPr>
            <w:tcW w:w="5" w:type="pct"/>
            <w:shd w:val="clear" w:color="auto" w:fill="auto"/>
            <w:vAlign w:val="bottom"/>
          </w:tcPr>
          <w:p w14:paraId="5F2CF979" w14:textId="77777777" w:rsidR="00E836FB" w:rsidRDefault="00E836FB">
            <w:pPr>
              <w:rPr>
                <w:rFonts w:ascii="宋体"/>
              </w:rPr>
            </w:pPr>
          </w:p>
        </w:tc>
        <w:tc>
          <w:tcPr>
            <w:tcW w:w="50" w:type="pct"/>
            <w:shd w:val="clear" w:color="auto" w:fill="auto"/>
            <w:vAlign w:val="bottom"/>
          </w:tcPr>
          <w:p w14:paraId="5F2CF97A" w14:textId="77777777" w:rsidR="00E836FB" w:rsidRDefault="00E836FB">
            <w:pPr>
              <w:rPr>
                <w:rFonts w:ascii="宋体"/>
              </w:rPr>
            </w:pPr>
          </w:p>
        </w:tc>
        <w:tc>
          <w:tcPr>
            <w:tcW w:w="495" w:type="pct"/>
            <w:shd w:val="clear" w:color="auto" w:fill="auto"/>
            <w:vAlign w:val="bottom"/>
          </w:tcPr>
          <w:p w14:paraId="5F2CF97B" w14:textId="77777777" w:rsidR="00E836FB" w:rsidRDefault="00E836FB">
            <w:pPr>
              <w:rPr>
                <w:rFonts w:ascii="宋体"/>
              </w:rPr>
            </w:pPr>
          </w:p>
        </w:tc>
        <w:tc>
          <w:tcPr>
            <w:tcW w:w="5" w:type="pct"/>
            <w:shd w:val="clear" w:color="auto" w:fill="auto"/>
            <w:vAlign w:val="bottom"/>
          </w:tcPr>
          <w:p w14:paraId="5F2CF97C" w14:textId="77777777" w:rsidR="00E836FB" w:rsidRDefault="00E836FB">
            <w:pPr>
              <w:rPr>
                <w:rFonts w:ascii="宋体"/>
              </w:rPr>
            </w:pPr>
          </w:p>
        </w:tc>
        <w:tc>
          <w:tcPr>
            <w:tcW w:w="50" w:type="pct"/>
            <w:shd w:val="clear" w:color="auto" w:fill="auto"/>
            <w:vAlign w:val="bottom"/>
          </w:tcPr>
          <w:p w14:paraId="5F2CF97D" w14:textId="77777777" w:rsidR="00E836FB" w:rsidRDefault="00E836FB">
            <w:pPr>
              <w:rPr>
                <w:rFonts w:ascii="宋体"/>
              </w:rPr>
            </w:pPr>
          </w:p>
        </w:tc>
        <w:tc>
          <w:tcPr>
            <w:tcW w:w="495" w:type="pct"/>
            <w:shd w:val="clear" w:color="auto" w:fill="auto"/>
            <w:vAlign w:val="bottom"/>
          </w:tcPr>
          <w:p w14:paraId="5F2CF97E" w14:textId="77777777" w:rsidR="00E836FB" w:rsidRDefault="00E836FB">
            <w:pPr>
              <w:rPr>
                <w:rFonts w:ascii="宋体"/>
              </w:rPr>
            </w:pPr>
          </w:p>
        </w:tc>
        <w:tc>
          <w:tcPr>
            <w:tcW w:w="5" w:type="pct"/>
            <w:shd w:val="clear" w:color="auto" w:fill="auto"/>
            <w:vAlign w:val="bottom"/>
          </w:tcPr>
          <w:p w14:paraId="5F2CF97F" w14:textId="77777777" w:rsidR="00E836FB" w:rsidRDefault="00E836FB">
            <w:pPr>
              <w:rPr>
                <w:rFonts w:ascii="宋体"/>
              </w:rPr>
            </w:pPr>
          </w:p>
        </w:tc>
        <w:tc>
          <w:tcPr>
            <w:tcW w:w="50" w:type="pct"/>
            <w:shd w:val="clear" w:color="auto" w:fill="auto"/>
            <w:vAlign w:val="bottom"/>
          </w:tcPr>
          <w:p w14:paraId="5F2CF980" w14:textId="77777777" w:rsidR="00E836FB" w:rsidRDefault="00E836FB">
            <w:pPr>
              <w:rPr>
                <w:rFonts w:ascii="宋体"/>
              </w:rPr>
            </w:pPr>
          </w:p>
        </w:tc>
        <w:tc>
          <w:tcPr>
            <w:tcW w:w="495" w:type="pct"/>
            <w:shd w:val="clear" w:color="auto" w:fill="auto"/>
            <w:vAlign w:val="bottom"/>
          </w:tcPr>
          <w:p w14:paraId="5F2CF981" w14:textId="77777777" w:rsidR="00E836FB" w:rsidRDefault="00E836FB">
            <w:pPr>
              <w:rPr>
                <w:rFonts w:ascii="宋体"/>
              </w:rPr>
            </w:pPr>
          </w:p>
        </w:tc>
        <w:tc>
          <w:tcPr>
            <w:tcW w:w="5" w:type="pct"/>
            <w:shd w:val="clear" w:color="auto" w:fill="auto"/>
            <w:vAlign w:val="bottom"/>
          </w:tcPr>
          <w:p w14:paraId="5F2CF982" w14:textId="77777777" w:rsidR="00E836FB" w:rsidRDefault="00E836FB">
            <w:pPr>
              <w:rPr>
                <w:rFonts w:ascii="宋体"/>
              </w:rPr>
            </w:pPr>
          </w:p>
        </w:tc>
      </w:tr>
      <w:tr w:rsidR="00E836FB" w14:paraId="5F2CF989" w14:textId="77777777">
        <w:tc>
          <w:tcPr>
            <w:tcW w:w="0" w:type="auto"/>
            <w:gridSpan w:val="3"/>
            <w:shd w:val="clear" w:color="auto" w:fill="auto"/>
            <w:tcMar>
              <w:top w:w="40" w:type="dxa"/>
              <w:left w:w="20" w:type="dxa"/>
              <w:bottom w:w="40" w:type="dxa"/>
              <w:right w:w="20" w:type="dxa"/>
            </w:tcMar>
            <w:vAlign w:val="bottom"/>
          </w:tcPr>
          <w:p w14:paraId="5F2CF984" w14:textId="77777777" w:rsidR="00E836FB" w:rsidRDefault="00994958">
            <w:pPr>
              <w:textAlignment w:val="bottom"/>
            </w:pPr>
            <w:r>
              <w:rPr>
                <w:rFonts w:ascii="Arial" w:eastAsia="宋体" w:hAnsi="Arial" w:cs="Arial"/>
                <w:color w:val="000000"/>
                <w:sz w:val="14"/>
                <w:szCs w:val="14"/>
              </w:rPr>
              <w:t>Fair Value</w:t>
            </w:r>
          </w:p>
        </w:tc>
        <w:tc>
          <w:tcPr>
            <w:tcW w:w="0" w:type="auto"/>
            <w:gridSpan w:val="3"/>
            <w:shd w:val="clear" w:color="auto" w:fill="auto"/>
            <w:tcMar>
              <w:top w:w="40" w:type="dxa"/>
              <w:left w:w="20" w:type="dxa"/>
              <w:bottom w:w="40" w:type="dxa"/>
              <w:right w:w="20" w:type="dxa"/>
            </w:tcMar>
            <w:vAlign w:val="bottom"/>
          </w:tcPr>
          <w:p w14:paraId="5F2CF985"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86" w14:textId="77777777" w:rsidR="00E836FB" w:rsidRDefault="00994958">
            <w:pPr>
              <w:jc w:val="center"/>
              <w:textAlignment w:val="bottom"/>
            </w:pPr>
            <w:r>
              <w:rPr>
                <w:rFonts w:ascii="Arial" w:eastAsia="宋体" w:hAnsi="Arial" w:cs="Arial"/>
                <w:color w:val="000000"/>
                <w:sz w:val="14"/>
                <w:szCs w:val="14"/>
              </w:rPr>
              <w:t>2</w:t>
            </w:r>
          </w:p>
        </w:tc>
        <w:tc>
          <w:tcPr>
            <w:tcW w:w="0" w:type="auto"/>
            <w:gridSpan w:val="3"/>
            <w:shd w:val="clear" w:color="auto" w:fill="auto"/>
            <w:tcMar>
              <w:top w:w="40" w:type="dxa"/>
              <w:left w:w="20" w:type="dxa"/>
              <w:bottom w:w="40" w:type="dxa"/>
              <w:right w:w="20" w:type="dxa"/>
            </w:tcMar>
            <w:vAlign w:val="bottom"/>
          </w:tcPr>
          <w:p w14:paraId="5F2CF987"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88" w14:textId="77777777" w:rsidR="00E836FB" w:rsidRDefault="00994958">
            <w:pPr>
              <w:jc w:val="center"/>
              <w:textAlignment w:val="bottom"/>
            </w:pPr>
            <w:hyperlink r:id="rId96" w:anchor="i7cc1f9a814a84c708b0facd5c0e99397_394" w:history="1">
              <w:r>
                <w:rPr>
                  <w:rStyle w:val="a5"/>
                  <w:rFonts w:ascii="Arial" w:eastAsia="宋体" w:hAnsi="Arial" w:cs="Arial"/>
                  <w:color w:val="000000"/>
                  <w:sz w:val="14"/>
                  <w:szCs w:val="14"/>
                  <w:u w:val="none"/>
                </w:rPr>
                <w:t>137</w:t>
              </w:r>
            </w:hyperlink>
          </w:p>
        </w:tc>
      </w:tr>
      <w:tr w:rsidR="00E836FB" w14:paraId="5F2CF98F" w14:textId="77777777">
        <w:tc>
          <w:tcPr>
            <w:tcW w:w="0" w:type="auto"/>
            <w:gridSpan w:val="3"/>
            <w:shd w:val="clear" w:color="auto" w:fill="auto"/>
            <w:tcMar>
              <w:top w:w="40" w:type="dxa"/>
              <w:left w:w="20" w:type="dxa"/>
              <w:bottom w:w="40" w:type="dxa"/>
              <w:right w:w="20" w:type="dxa"/>
            </w:tcMar>
            <w:vAlign w:val="bottom"/>
          </w:tcPr>
          <w:p w14:paraId="5F2CF98A" w14:textId="77777777" w:rsidR="00E836FB" w:rsidRDefault="00994958">
            <w:pPr>
              <w:textAlignment w:val="bottom"/>
            </w:pPr>
            <w:r>
              <w:rPr>
                <w:rFonts w:ascii="Arial" w:eastAsia="宋体" w:hAnsi="Arial" w:cs="Arial"/>
                <w:color w:val="000000"/>
                <w:sz w:val="14"/>
                <w:szCs w:val="14"/>
              </w:rPr>
              <w:t>Investment Securities</w:t>
            </w:r>
          </w:p>
        </w:tc>
        <w:tc>
          <w:tcPr>
            <w:tcW w:w="0" w:type="auto"/>
            <w:gridSpan w:val="3"/>
            <w:shd w:val="clear" w:color="auto" w:fill="auto"/>
            <w:tcMar>
              <w:top w:w="40" w:type="dxa"/>
              <w:left w:w="20" w:type="dxa"/>
              <w:bottom w:w="40" w:type="dxa"/>
              <w:right w:w="20" w:type="dxa"/>
            </w:tcMar>
            <w:vAlign w:val="bottom"/>
          </w:tcPr>
          <w:p w14:paraId="5F2CF98B"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8C" w14:textId="77777777" w:rsidR="00E836FB" w:rsidRDefault="00994958">
            <w:pPr>
              <w:jc w:val="center"/>
              <w:textAlignment w:val="bottom"/>
            </w:pPr>
            <w:r>
              <w:rPr>
                <w:rFonts w:ascii="Arial" w:eastAsia="宋体" w:hAnsi="Arial" w:cs="Arial"/>
                <w:color w:val="000000"/>
                <w:sz w:val="14"/>
                <w:szCs w:val="14"/>
              </w:rPr>
              <w:t>3</w:t>
            </w:r>
          </w:p>
        </w:tc>
        <w:tc>
          <w:tcPr>
            <w:tcW w:w="0" w:type="auto"/>
            <w:gridSpan w:val="3"/>
            <w:shd w:val="clear" w:color="auto" w:fill="auto"/>
            <w:tcMar>
              <w:top w:w="40" w:type="dxa"/>
              <w:left w:w="20" w:type="dxa"/>
              <w:bottom w:w="40" w:type="dxa"/>
              <w:right w:w="20" w:type="dxa"/>
            </w:tcMar>
            <w:vAlign w:val="bottom"/>
          </w:tcPr>
          <w:p w14:paraId="5F2CF98D"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8E" w14:textId="77777777" w:rsidR="00E836FB" w:rsidRDefault="00994958">
            <w:pPr>
              <w:jc w:val="center"/>
              <w:textAlignment w:val="bottom"/>
            </w:pPr>
            <w:hyperlink r:id="rId97" w:anchor="i7cc1f9a814a84c708b0facd5c0e99397_397" w:history="1">
              <w:r>
                <w:rPr>
                  <w:rStyle w:val="a5"/>
                  <w:rFonts w:ascii="Arial" w:eastAsia="宋体" w:hAnsi="Arial" w:cs="Arial"/>
                  <w:color w:val="000000"/>
                  <w:sz w:val="14"/>
                  <w:szCs w:val="14"/>
                  <w:u w:val="none"/>
                </w:rPr>
                <w:t>144</w:t>
              </w:r>
            </w:hyperlink>
          </w:p>
        </w:tc>
      </w:tr>
      <w:tr w:rsidR="00E836FB" w14:paraId="5F2CF995" w14:textId="77777777">
        <w:tc>
          <w:tcPr>
            <w:tcW w:w="0" w:type="auto"/>
            <w:gridSpan w:val="3"/>
            <w:shd w:val="clear" w:color="auto" w:fill="auto"/>
            <w:tcMar>
              <w:top w:w="40" w:type="dxa"/>
              <w:left w:w="20" w:type="dxa"/>
              <w:bottom w:w="40" w:type="dxa"/>
              <w:right w:w="20" w:type="dxa"/>
            </w:tcMar>
            <w:vAlign w:val="bottom"/>
          </w:tcPr>
          <w:p w14:paraId="5F2CF990" w14:textId="77777777" w:rsidR="00E836FB" w:rsidRDefault="00994958">
            <w:pPr>
              <w:textAlignment w:val="bottom"/>
            </w:pPr>
            <w:r>
              <w:rPr>
                <w:rFonts w:ascii="Arial" w:eastAsia="宋体" w:hAnsi="Arial" w:cs="Arial"/>
                <w:color w:val="000000"/>
                <w:sz w:val="14"/>
                <w:szCs w:val="14"/>
              </w:rPr>
              <w:t xml:space="preserve">Loans </w:t>
            </w:r>
          </w:p>
        </w:tc>
        <w:tc>
          <w:tcPr>
            <w:tcW w:w="0" w:type="auto"/>
            <w:gridSpan w:val="3"/>
            <w:shd w:val="clear" w:color="auto" w:fill="auto"/>
            <w:tcMar>
              <w:top w:w="40" w:type="dxa"/>
              <w:left w:w="20" w:type="dxa"/>
              <w:bottom w:w="40" w:type="dxa"/>
              <w:right w:w="20" w:type="dxa"/>
            </w:tcMar>
            <w:vAlign w:val="bottom"/>
          </w:tcPr>
          <w:p w14:paraId="5F2CF991"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92" w14:textId="77777777" w:rsidR="00E836FB" w:rsidRDefault="00994958">
            <w:pPr>
              <w:jc w:val="center"/>
              <w:textAlignment w:val="bottom"/>
            </w:pPr>
            <w:r>
              <w:rPr>
                <w:rFonts w:ascii="Arial" w:eastAsia="宋体" w:hAnsi="Arial" w:cs="Arial"/>
                <w:color w:val="000000"/>
                <w:sz w:val="14"/>
                <w:szCs w:val="14"/>
              </w:rPr>
              <w:t>4</w:t>
            </w:r>
          </w:p>
        </w:tc>
        <w:tc>
          <w:tcPr>
            <w:tcW w:w="0" w:type="auto"/>
            <w:gridSpan w:val="3"/>
            <w:shd w:val="clear" w:color="auto" w:fill="auto"/>
            <w:tcMar>
              <w:top w:w="40" w:type="dxa"/>
              <w:left w:w="20" w:type="dxa"/>
              <w:bottom w:w="40" w:type="dxa"/>
              <w:right w:w="20" w:type="dxa"/>
            </w:tcMar>
            <w:vAlign w:val="bottom"/>
          </w:tcPr>
          <w:p w14:paraId="5F2CF993"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94" w14:textId="77777777" w:rsidR="00E836FB" w:rsidRDefault="00994958">
            <w:pPr>
              <w:jc w:val="center"/>
              <w:textAlignment w:val="bottom"/>
            </w:pPr>
            <w:hyperlink r:id="rId98" w:anchor="i7cc1f9a814a84c708b0facd5c0e99397_403" w:history="1">
              <w:r>
                <w:rPr>
                  <w:rStyle w:val="a5"/>
                  <w:rFonts w:ascii="Arial" w:eastAsia="宋体" w:hAnsi="Arial" w:cs="Arial"/>
                  <w:color w:val="000000"/>
                  <w:sz w:val="14"/>
                  <w:szCs w:val="14"/>
                  <w:u w:val="none"/>
                </w:rPr>
                <w:t>149</w:t>
              </w:r>
            </w:hyperlink>
          </w:p>
        </w:tc>
      </w:tr>
      <w:tr w:rsidR="00E836FB" w14:paraId="5F2CF99B" w14:textId="77777777">
        <w:tc>
          <w:tcPr>
            <w:tcW w:w="0" w:type="auto"/>
            <w:gridSpan w:val="3"/>
            <w:shd w:val="clear" w:color="auto" w:fill="auto"/>
            <w:tcMar>
              <w:top w:w="40" w:type="dxa"/>
              <w:left w:w="20" w:type="dxa"/>
              <w:bottom w:w="40" w:type="dxa"/>
              <w:right w:w="20" w:type="dxa"/>
            </w:tcMar>
            <w:vAlign w:val="bottom"/>
          </w:tcPr>
          <w:p w14:paraId="5F2CF996" w14:textId="77777777" w:rsidR="00E836FB" w:rsidRDefault="00994958">
            <w:pPr>
              <w:textAlignment w:val="bottom"/>
            </w:pPr>
            <w:r>
              <w:rPr>
                <w:rFonts w:ascii="Arial" w:eastAsia="宋体" w:hAnsi="Arial" w:cs="Arial"/>
                <w:color w:val="000000"/>
                <w:sz w:val="14"/>
                <w:szCs w:val="14"/>
              </w:rPr>
              <w:t>Goodwill and Other Intangible Assets</w:t>
            </w:r>
          </w:p>
        </w:tc>
        <w:tc>
          <w:tcPr>
            <w:tcW w:w="0" w:type="auto"/>
            <w:gridSpan w:val="3"/>
            <w:shd w:val="clear" w:color="auto" w:fill="auto"/>
            <w:tcMar>
              <w:top w:w="40" w:type="dxa"/>
              <w:left w:w="20" w:type="dxa"/>
              <w:bottom w:w="40" w:type="dxa"/>
              <w:right w:w="20" w:type="dxa"/>
            </w:tcMar>
            <w:vAlign w:val="bottom"/>
          </w:tcPr>
          <w:p w14:paraId="5F2CF997"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98" w14:textId="77777777" w:rsidR="00E836FB" w:rsidRDefault="00994958">
            <w:pPr>
              <w:jc w:val="center"/>
              <w:textAlignment w:val="bottom"/>
            </w:pPr>
            <w:r>
              <w:rPr>
                <w:rFonts w:ascii="Arial" w:eastAsia="宋体" w:hAnsi="Arial" w:cs="Arial"/>
                <w:color w:val="000000"/>
                <w:sz w:val="14"/>
                <w:szCs w:val="14"/>
              </w:rPr>
              <w:t>5</w:t>
            </w:r>
          </w:p>
        </w:tc>
        <w:tc>
          <w:tcPr>
            <w:tcW w:w="0" w:type="auto"/>
            <w:gridSpan w:val="3"/>
            <w:shd w:val="clear" w:color="auto" w:fill="auto"/>
            <w:tcMar>
              <w:top w:w="40" w:type="dxa"/>
              <w:left w:w="20" w:type="dxa"/>
              <w:bottom w:w="40" w:type="dxa"/>
              <w:right w:w="20" w:type="dxa"/>
            </w:tcMar>
            <w:vAlign w:val="bottom"/>
          </w:tcPr>
          <w:p w14:paraId="5F2CF999"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9A" w14:textId="77777777" w:rsidR="00E836FB" w:rsidRDefault="00994958">
            <w:pPr>
              <w:jc w:val="center"/>
              <w:textAlignment w:val="bottom"/>
            </w:pPr>
            <w:hyperlink r:id="rId99" w:anchor="i7cc1f9a814a84c708b0facd5c0e99397_406" w:history="1">
              <w:r>
                <w:rPr>
                  <w:rStyle w:val="a5"/>
                  <w:rFonts w:ascii="Arial" w:eastAsia="宋体" w:hAnsi="Arial" w:cs="Arial"/>
                  <w:color w:val="000000"/>
                  <w:sz w:val="14"/>
                  <w:szCs w:val="14"/>
                  <w:u w:val="none"/>
                </w:rPr>
                <w:t>154</w:t>
              </w:r>
            </w:hyperlink>
          </w:p>
        </w:tc>
      </w:tr>
      <w:tr w:rsidR="00E836FB" w14:paraId="5F2CF9A1" w14:textId="77777777">
        <w:tc>
          <w:tcPr>
            <w:tcW w:w="0" w:type="auto"/>
            <w:gridSpan w:val="3"/>
            <w:shd w:val="clear" w:color="auto" w:fill="auto"/>
            <w:tcMar>
              <w:top w:w="40" w:type="dxa"/>
              <w:left w:w="20" w:type="dxa"/>
              <w:bottom w:w="40" w:type="dxa"/>
              <w:right w:w="20" w:type="dxa"/>
            </w:tcMar>
            <w:vAlign w:val="bottom"/>
          </w:tcPr>
          <w:p w14:paraId="5F2CF99C" w14:textId="77777777" w:rsidR="00E836FB" w:rsidRDefault="00994958">
            <w:pPr>
              <w:textAlignment w:val="bottom"/>
            </w:pPr>
            <w:r>
              <w:rPr>
                <w:rFonts w:ascii="Arial" w:eastAsia="宋体" w:hAnsi="Arial" w:cs="Arial"/>
                <w:color w:val="000000"/>
                <w:sz w:val="14"/>
                <w:szCs w:val="14"/>
              </w:rPr>
              <w:t>Derivative Financial Instruments</w:t>
            </w:r>
          </w:p>
        </w:tc>
        <w:tc>
          <w:tcPr>
            <w:tcW w:w="0" w:type="auto"/>
            <w:gridSpan w:val="3"/>
            <w:shd w:val="clear" w:color="auto" w:fill="auto"/>
            <w:tcMar>
              <w:top w:w="40" w:type="dxa"/>
              <w:left w:w="20" w:type="dxa"/>
              <w:bottom w:w="40" w:type="dxa"/>
              <w:right w:w="20" w:type="dxa"/>
            </w:tcMar>
            <w:vAlign w:val="bottom"/>
          </w:tcPr>
          <w:p w14:paraId="5F2CF99D"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9E" w14:textId="77777777" w:rsidR="00E836FB" w:rsidRDefault="00994958">
            <w:pPr>
              <w:jc w:val="center"/>
              <w:textAlignment w:val="bottom"/>
            </w:pPr>
            <w:r>
              <w:rPr>
                <w:rFonts w:ascii="Arial" w:eastAsia="宋体" w:hAnsi="Arial" w:cs="Arial"/>
                <w:color w:val="000000"/>
                <w:sz w:val="14"/>
                <w:szCs w:val="14"/>
              </w:rPr>
              <w:t>10</w:t>
            </w:r>
          </w:p>
        </w:tc>
        <w:tc>
          <w:tcPr>
            <w:tcW w:w="0" w:type="auto"/>
            <w:gridSpan w:val="3"/>
            <w:shd w:val="clear" w:color="auto" w:fill="auto"/>
            <w:tcMar>
              <w:top w:w="40" w:type="dxa"/>
              <w:left w:w="20" w:type="dxa"/>
              <w:bottom w:w="40" w:type="dxa"/>
              <w:right w:w="20" w:type="dxa"/>
            </w:tcMar>
            <w:vAlign w:val="bottom"/>
          </w:tcPr>
          <w:p w14:paraId="5F2CF99F"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A0" w14:textId="77777777" w:rsidR="00E836FB" w:rsidRDefault="00994958">
            <w:pPr>
              <w:jc w:val="center"/>
              <w:textAlignment w:val="bottom"/>
            </w:pPr>
            <w:hyperlink r:id="rId100" w:anchor="i7cc1f9a814a84c708b0facd5c0e99397_421" w:history="1">
              <w:r>
                <w:rPr>
                  <w:rStyle w:val="a5"/>
                  <w:rFonts w:ascii="Arial" w:eastAsia="宋体" w:hAnsi="Arial" w:cs="Arial"/>
                  <w:color w:val="000000"/>
                  <w:sz w:val="14"/>
                  <w:szCs w:val="14"/>
                  <w:u w:val="none"/>
                </w:rPr>
                <w:t>158</w:t>
              </w:r>
            </w:hyperlink>
          </w:p>
        </w:tc>
      </w:tr>
      <w:tr w:rsidR="00E836FB" w14:paraId="5F2CF9A7" w14:textId="77777777">
        <w:tc>
          <w:tcPr>
            <w:tcW w:w="0" w:type="auto"/>
            <w:gridSpan w:val="3"/>
            <w:shd w:val="clear" w:color="auto" w:fill="auto"/>
            <w:tcMar>
              <w:top w:w="40" w:type="dxa"/>
              <w:left w:w="20" w:type="dxa"/>
              <w:bottom w:w="40" w:type="dxa"/>
              <w:right w:w="20" w:type="dxa"/>
            </w:tcMar>
            <w:vAlign w:val="bottom"/>
          </w:tcPr>
          <w:p w14:paraId="5F2CF9A2" w14:textId="77777777" w:rsidR="00E836FB" w:rsidRDefault="00994958">
            <w:pPr>
              <w:textAlignment w:val="bottom"/>
            </w:pPr>
            <w:r>
              <w:rPr>
                <w:rFonts w:ascii="Arial" w:eastAsia="宋体" w:hAnsi="Arial" w:cs="Arial"/>
                <w:color w:val="000000"/>
                <w:sz w:val="14"/>
                <w:szCs w:val="14"/>
              </w:rPr>
              <w:t>Offsetting Arrangements</w:t>
            </w:r>
          </w:p>
        </w:tc>
        <w:tc>
          <w:tcPr>
            <w:tcW w:w="0" w:type="auto"/>
            <w:gridSpan w:val="3"/>
            <w:shd w:val="clear" w:color="auto" w:fill="auto"/>
            <w:tcMar>
              <w:top w:w="40" w:type="dxa"/>
              <w:left w:w="20" w:type="dxa"/>
              <w:bottom w:w="40" w:type="dxa"/>
              <w:right w:w="20" w:type="dxa"/>
            </w:tcMar>
            <w:vAlign w:val="bottom"/>
          </w:tcPr>
          <w:p w14:paraId="5F2CF9A3"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A4" w14:textId="77777777" w:rsidR="00E836FB" w:rsidRDefault="00994958">
            <w:pPr>
              <w:jc w:val="center"/>
              <w:textAlignment w:val="bottom"/>
            </w:pPr>
            <w:r>
              <w:rPr>
                <w:rFonts w:ascii="Arial" w:eastAsia="宋体" w:hAnsi="Arial" w:cs="Arial"/>
                <w:color w:val="000000"/>
                <w:sz w:val="14"/>
                <w:szCs w:val="14"/>
              </w:rPr>
              <w:t>11</w:t>
            </w:r>
          </w:p>
        </w:tc>
        <w:tc>
          <w:tcPr>
            <w:tcW w:w="0" w:type="auto"/>
            <w:gridSpan w:val="3"/>
            <w:shd w:val="clear" w:color="auto" w:fill="auto"/>
            <w:tcMar>
              <w:top w:w="40" w:type="dxa"/>
              <w:left w:w="20" w:type="dxa"/>
              <w:bottom w:w="40" w:type="dxa"/>
              <w:right w:w="20" w:type="dxa"/>
            </w:tcMar>
            <w:vAlign w:val="bottom"/>
          </w:tcPr>
          <w:p w14:paraId="5F2CF9A5"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A6" w14:textId="77777777" w:rsidR="00E836FB" w:rsidRDefault="00994958">
            <w:pPr>
              <w:jc w:val="center"/>
              <w:textAlignment w:val="bottom"/>
            </w:pPr>
            <w:hyperlink r:id="rId101" w:anchor="i7cc1f9a814a84c708b0facd5c0e99397_424" w:history="1">
              <w:r>
                <w:rPr>
                  <w:rStyle w:val="a5"/>
                  <w:rFonts w:ascii="Arial" w:eastAsia="宋体" w:hAnsi="Arial" w:cs="Arial"/>
                  <w:color w:val="000000"/>
                  <w:sz w:val="14"/>
                  <w:szCs w:val="14"/>
                  <w:u w:val="none"/>
                </w:rPr>
                <w:t>162</w:t>
              </w:r>
            </w:hyperlink>
          </w:p>
        </w:tc>
      </w:tr>
      <w:tr w:rsidR="00E836FB" w14:paraId="5F2CF9AD" w14:textId="77777777">
        <w:tc>
          <w:tcPr>
            <w:tcW w:w="0" w:type="auto"/>
            <w:gridSpan w:val="3"/>
            <w:shd w:val="clear" w:color="auto" w:fill="auto"/>
            <w:tcMar>
              <w:top w:w="40" w:type="dxa"/>
              <w:left w:w="20" w:type="dxa"/>
              <w:bottom w:w="40" w:type="dxa"/>
              <w:right w:w="20" w:type="dxa"/>
            </w:tcMar>
            <w:vAlign w:val="bottom"/>
          </w:tcPr>
          <w:p w14:paraId="5F2CF9A8" w14:textId="77777777" w:rsidR="00E836FB" w:rsidRDefault="00994958">
            <w:pPr>
              <w:textAlignment w:val="bottom"/>
            </w:pPr>
            <w:r>
              <w:rPr>
                <w:rFonts w:ascii="Arial" w:eastAsia="宋体" w:hAnsi="Arial" w:cs="Arial"/>
                <w:color w:val="000000"/>
                <w:sz w:val="14"/>
                <w:szCs w:val="14"/>
              </w:rPr>
              <w:t>Contingencies</w:t>
            </w:r>
          </w:p>
        </w:tc>
        <w:tc>
          <w:tcPr>
            <w:tcW w:w="0" w:type="auto"/>
            <w:gridSpan w:val="3"/>
            <w:shd w:val="clear" w:color="auto" w:fill="auto"/>
            <w:tcMar>
              <w:top w:w="40" w:type="dxa"/>
              <w:left w:w="20" w:type="dxa"/>
              <w:bottom w:w="40" w:type="dxa"/>
              <w:right w:w="20" w:type="dxa"/>
            </w:tcMar>
            <w:vAlign w:val="bottom"/>
          </w:tcPr>
          <w:p w14:paraId="5F2CF9A9"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AA" w14:textId="77777777" w:rsidR="00E836FB" w:rsidRDefault="00994958">
            <w:pPr>
              <w:jc w:val="center"/>
              <w:textAlignment w:val="bottom"/>
            </w:pPr>
            <w:r>
              <w:rPr>
                <w:rFonts w:ascii="Arial" w:eastAsia="宋体" w:hAnsi="Arial" w:cs="Arial"/>
                <w:color w:val="000000"/>
                <w:sz w:val="14"/>
                <w:szCs w:val="14"/>
              </w:rPr>
              <w:t>13</w:t>
            </w:r>
          </w:p>
        </w:tc>
        <w:tc>
          <w:tcPr>
            <w:tcW w:w="0" w:type="auto"/>
            <w:gridSpan w:val="3"/>
            <w:shd w:val="clear" w:color="auto" w:fill="auto"/>
            <w:tcMar>
              <w:top w:w="40" w:type="dxa"/>
              <w:left w:w="20" w:type="dxa"/>
              <w:bottom w:w="40" w:type="dxa"/>
              <w:right w:w="20" w:type="dxa"/>
            </w:tcMar>
            <w:vAlign w:val="bottom"/>
          </w:tcPr>
          <w:p w14:paraId="5F2CF9AB"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AC" w14:textId="77777777" w:rsidR="00E836FB" w:rsidRDefault="00994958">
            <w:pPr>
              <w:jc w:val="center"/>
              <w:textAlignment w:val="bottom"/>
            </w:pPr>
            <w:hyperlink r:id="rId102" w:anchor="i7cc1f9a814a84c708b0facd5c0e99397_430" w:history="1">
              <w:r>
                <w:rPr>
                  <w:rStyle w:val="a5"/>
                  <w:rFonts w:ascii="Arial" w:eastAsia="宋体" w:hAnsi="Arial" w:cs="Arial"/>
                  <w:color w:val="000000"/>
                  <w:sz w:val="14"/>
                  <w:szCs w:val="14"/>
                  <w:u w:val="none"/>
                </w:rPr>
                <w:t>166</w:t>
              </w:r>
            </w:hyperlink>
          </w:p>
        </w:tc>
      </w:tr>
      <w:tr w:rsidR="00E836FB" w14:paraId="5F2CF9B3" w14:textId="77777777">
        <w:tc>
          <w:tcPr>
            <w:tcW w:w="0" w:type="auto"/>
            <w:gridSpan w:val="3"/>
            <w:shd w:val="clear" w:color="auto" w:fill="auto"/>
            <w:tcMar>
              <w:top w:w="40" w:type="dxa"/>
              <w:left w:w="20" w:type="dxa"/>
              <w:bottom w:w="40" w:type="dxa"/>
              <w:right w:w="20" w:type="dxa"/>
            </w:tcMar>
            <w:vAlign w:val="bottom"/>
          </w:tcPr>
          <w:p w14:paraId="5F2CF9AE" w14:textId="77777777" w:rsidR="00E836FB" w:rsidRDefault="00994958">
            <w:pPr>
              <w:textAlignment w:val="bottom"/>
            </w:pPr>
            <w:r>
              <w:rPr>
                <w:rFonts w:ascii="Arial" w:eastAsia="宋体" w:hAnsi="Arial" w:cs="Arial"/>
                <w:color w:val="000000"/>
                <w:sz w:val="14"/>
                <w:szCs w:val="14"/>
              </w:rPr>
              <w:t>Variable Interest Entities</w:t>
            </w:r>
          </w:p>
        </w:tc>
        <w:tc>
          <w:tcPr>
            <w:tcW w:w="0" w:type="auto"/>
            <w:gridSpan w:val="3"/>
            <w:shd w:val="clear" w:color="auto" w:fill="auto"/>
            <w:tcMar>
              <w:top w:w="40" w:type="dxa"/>
              <w:left w:w="20" w:type="dxa"/>
              <w:bottom w:w="40" w:type="dxa"/>
              <w:right w:w="20" w:type="dxa"/>
            </w:tcMar>
            <w:vAlign w:val="bottom"/>
          </w:tcPr>
          <w:p w14:paraId="5F2CF9AF"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B0" w14:textId="77777777" w:rsidR="00E836FB" w:rsidRDefault="00994958">
            <w:pPr>
              <w:jc w:val="center"/>
              <w:textAlignment w:val="bottom"/>
            </w:pPr>
            <w:r>
              <w:rPr>
                <w:rFonts w:ascii="Arial" w:eastAsia="宋体" w:hAnsi="Arial" w:cs="Arial"/>
                <w:color w:val="000000"/>
                <w:sz w:val="14"/>
                <w:szCs w:val="14"/>
              </w:rPr>
              <w:t>14</w:t>
            </w:r>
          </w:p>
        </w:tc>
        <w:tc>
          <w:tcPr>
            <w:tcW w:w="0" w:type="auto"/>
            <w:gridSpan w:val="3"/>
            <w:shd w:val="clear" w:color="auto" w:fill="auto"/>
            <w:tcMar>
              <w:top w:w="40" w:type="dxa"/>
              <w:left w:w="20" w:type="dxa"/>
              <w:bottom w:w="40" w:type="dxa"/>
              <w:right w:w="20" w:type="dxa"/>
            </w:tcMar>
            <w:vAlign w:val="bottom"/>
          </w:tcPr>
          <w:p w14:paraId="5F2CF9B1"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B2" w14:textId="77777777" w:rsidR="00E836FB" w:rsidRDefault="00994958">
            <w:pPr>
              <w:jc w:val="center"/>
              <w:textAlignment w:val="bottom"/>
            </w:pPr>
            <w:hyperlink r:id="rId103" w:anchor="i7cc1f9a814a84c708b0facd5c0e99397_439" w:history="1">
              <w:r>
                <w:rPr>
                  <w:rStyle w:val="a5"/>
                  <w:rFonts w:ascii="Arial" w:eastAsia="宋体" w:hAnsi="Arial" w:cs="Arial"/>
                  <w:color w:val="000000"/>
                  <w:sz w:val="14"/>
                  <w:szCs w:val="14"/>
                  <w:u w:val="none"/>
                </w:rPr>
                <w:t>168</w:t>
              </w:r>
            </w:hyperlink>
          </w:p>
        </w:tc>
      </w:tr>
      <w:tr w:rsidR="00E836FB" w14:paraId="5F2CF9B9" w14:textId="77777777">
        <w:tc>
          <w:tcPr>
            <w:tcW w:w="0" w:type="auto"/>
            <w:gridSpan w:val="3"/>
            <w:shd w:val="clear" w:color="auto" w:fill="auto"/>
            <w:tcMar>
              <w:top w:w="40" w:type="dxa"/>
              <w:left w:w="20" w:type="dxa"/>
              <w:bottom w:w="40" w:type="dxa"/>
              <w:right w:w="20" w:type="dxa"/>
            </w:tcMar>
            <w:vAlign w:val="bottom"/>
          </w:tcPr>
          <w:p w14:paraId="5F2CF9B4" w14:textId="77777777" w:rsidR="00E836FB" w:rsidRDefault="00994958">
            <w:pPr>
              <w:textAlignment w:val="bottom"/>
            </w:pPr>
            <w:r>
              <w:rPr>
                <w:rFonts w:ascii="Arial" w:eastAsia="宋体" w:hAnsi="Arial" w:cs="Arial"/>
                <w:color w:val="000000"/>
                <w:sz w:val="14"/>
                <w:szCs w:val="14"/>
              </w:rPr>
              <w:t>Equity-Based Compensation</w:t>
            </w:r>
          </w:p>
        </w:tc>
        <w:tc>
          <w:tcPr>
            <w:tcW w:w="0" w:type="auto"/>
            <w:gridSpan w:val="3"/>
            <w:shd w:val="clear" w:color="auto" w:fill="auto"/>
            <w:tcMar>
              <w:top w:w="40" w:type="dxa"/>
              <w:left w:w="20" w:type="dxa"/>
              <w:bottom w:w="40" w:type="dxa"/>
              <w:right w:w="20" w:type="dxa"/>
            </w:tcMar>
            <w:vAlign w:val="bottom"/>
          </w:tcPr>
          <w:p w14:paraId="5F2CF9B5"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B6" w14:textId="77777777" w:rsidR="00E836FB" w:rsidRDefault="00994958">
            <w:pPr>
              <w:jc w:val="center"/>
              <w:textAlignment w:val="bottom"/>
            </w:pPr>
            <w:r>
              <w:rPr>
                <w:rFonts w:ascii="Arial" w:eastAsia="宋体" w:hAnsi="Arial" w:cs="Arial"/>
                <w:color w:val="000000"/>
                <w:sz w:val="14"/>
                <w:szCs w:val="14"/>
              </w:rPr>
              <w:t>18</w:t>
            </w:r>
          </w:p>
        </w:tc>
        <w:tc>
          <w:tcPr>
            <w:tcW w:w="0" w:type="auto"/>
            <w:gridSpan w:val="3"/>
            <w:shd w:val="clear" w:color="auto" w:fill="auto"/>
            <w:tcMar>
              <w:top w:w="40" w:type="dxa"/>
              <w:left w:w="20" w:type="dxa"/>
              <w:bottom w:w="40" w:type="dxa"/>
              <w:right w:w="20" w:type="dxa"/>
            </w:tcMar>
            <w:vAlign w:val="bottom"/>
          </w:tcPr>
          <w:p w14:paraId="5F2CF9B7"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B8" w14:textId="77777777" w:rsidR="00E836FB" w:rsidRDefault="00994958">
            <w:pPr>
              <w:jc w:val="center"/>
              <w:textAlignment w:val="bottom"/>
            </w:pPr>
            <w:hyperlink r:id="rId104" w:anchor="i7cc1f9a814a84c708b0facd5c0e99397_457" w:history="1">
              <w:r>
                <w:rPr>
                  <w:rStyle w:val="a5"/>
                  <w:rFonts w:ascii="Arial" w:eastAsia="宋体" w:hAnsi="Arial" w:cs="Arial"/>
                  <w:color w:val="000000"/>
                  <w:sz w:val="14"/>
                  <w:szCs w:val="14"/>
                  <w:u w:val="none"/>
                </w:rPr>
                <w:t>173</w:t>
              </w:r>
            </w:hyperlink>
          </w:p>
        </w:tc>
      </w:tr>
      <w:tr w:rsidR="00E836FB" w14:paraId="5F2CF9BF" w14:textId="77777777">
        <w:tc>
          <w:tcPr>
            <w:tcW w:w="0" w:type="auto"/>
            <w:gridSpan w:val="3"/>
            <w:shd w:val="clear" w:color="auto" w:fill="auto"/>
            <w:tcMar>
              <w:top w:w="40" w:type="dxa"/>
              <w:left w:w="20" w:type="dxa"/>
              <w:bottom w:w="40" w:type="dxa"/>
              <w:right w:w="20" w:type="dxa"/>
            </w:tcMar>
            <w:vAlign w:val="bottom"/>
          </w:tcPr>
          <w:p w14:paraId="5F2CF9BA" w14:textId="77777777" w:rsidR="00E836FB" w:rsidRDefault="00994958">
            <w:pPr>
              <w:textAlignment w:val="bottom"/>
            </w:pPr>
            <w:r>
              <w:rPr>
                <w:rFonts w:ascii="Arial" w:eastAsia="宋体" w:hAnsi="Arial" w:cs="Arial"/>
                <w:color w:val="000000"/>
                <w:sz w:val="14"/>
                <w:szCs w:val="14"/>
              </w:rPr>
              <w:t>Income Taxes</w:t>
            </w:r>
          </w:p>
        </w:tc>
        <w:tc>
          <w:tcPr>
            <w:tcW w:w="0" w:type="auto"/>
            <w:gridSpan w:val="3"/>
            <w:shd w:val="clear" w:color="auto" w:fill="auto"/>
            <w:tcMar>
              <w:top w:w="40" w:type="dxa"/>
              <w:left w:w="20" w:type="dxa"/>
              <w:bottom w:w="40" w:type="dxa"/>
              <w:right w:w="20" w:type="dxa"/>
            </w:tcMar>
            <w:vAlign w:val="bottom"/>
          </w:tcPr>
          <w:p w14:paraId="5F2CF9BB"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BC" w14:textId="77777777" w:rsidR="00E836FB" w:rsidRDefault="00994958">
            <w:pPr>
              <w:jc w:val="center"/>
              <w:textAlignment w:val="bottom"/>
            </w:pPr>
            <w:r>
              <w:rPr>
                <w:rFonts w:ascii="Arial" w:eastAsia="宋体" w:hAnsi="Arial" w:cs="Arial"/>
                <w:color w:val="000000"/>
                <w:sz w:val="14"/>
                <w:szCs w:val="14"/>
              </w:rPr>
              <w:t>22</w:t>
            </w:r>
          </w:p>
        </w:tc>
        <w:tc>
          <w:tcPr>
            <w:tcW w:w="0" w:type="auto"/>
            <w:gridSpan w:val="3"/>
            <w:shd w:val="clear" w:color="auto" w:fill="auto"/>
            <w:tcMar>
              <w:top w:w="40" w:type="dxa"/>
              <w:left w:w="20" w:type="dxa"/>
              <w:bottom w:w="40" w:type="dxa"/>
              <w:right w:w="20" w:type="dxa"/>
            </w:tcMar>
            <w:vAlign w:val="bottom"/>
          </w:tcPr>
          <w:p w14:paraId="5F2CF9BD"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BE" w14:textId="77777777" w:rsidR="00E836FB" w:rsidRDefault="00994958">
            <w:pPr>
              <w:jc w:val="center"/>
              <w:textAlignment w:val="bottom"/>
            </w:pPr>
            <w:hyperlink r:id="rId105" w:anchor="i7cc1f9a814a84c708b0facd5c0e99397_472" w:history="1">
              <w:r>
                <w:rPr>
                  <w:rStyle w:val="a5"/>
                  <w:rFonts w:ascii="Arial" w:eastAsia="宋体" w:hAnsi="Arial" w:cs="Arial"/>
                  <w:color w:val="000000"/>
                  <w:sz w:val="14"/>
                  <w:szCs w:val="14"/>
                  <w:u w:val="none"/>
                </w:rPr>
                <w:t>177</w:t>
              </w:r>
            </w:hyperlink>
          </w:p>
        </w:tc>
      </w:tr>
      <w:tr w:rsidR="00E836FB" w14:paraId="5F2CF9C5" w14:textId="77777777">
        <w:tc>
          <w:tcPr>
            <w:tcW w:w="0" w:type="auto"/>
            <w:gridSpan w:val="3"/>
            <w:shd w:val="clear" w:color="auto" w:fill="auto"/>
            <w:tcMar>
              <w:top w:w="40" w:type="dxa"/>
              <w:left w:w="20" w:type="dxa"/>
              <w:bottom w:w="40" w:type="dxa"/>
              <w:right w:w="20" w:type="dxa"/>
            </w:tcMar>
            <w:vAlign w:val="bottom"/>
          </w:tcPr>
          <w:p w14:paraId="5F2CF9C0" w14:textId="77777777" w:rsidR="00E836FB" w:rsidRDefault="00994958">
            <w:pPr>
              <w:textAlignment w:val="bottom"/>
            </w:pPr>
            <w:r>
              <w:rPr>
                <w:rFonts w:ascii="Arial" w:eastAsia="宋体" w:hAnsi="Arial" w:cs="Arial"/>
                <w:color w:val="000000"/>
                <w:sz w:val="14"/>
                <w:szCs w:val="14"/>
              </w:rPr>
              <w:t>Earnings Per Common Share</w:t>
            </w:r>
          </w:p>
        </w:tc>
        <w:tc>
          <w:tcPr>
            <w:tcW w:w="0" w:type="auto"/>
            <w:gridSpan w:val="3"/>
            <w:shd w:val="clear" w:color="auto" w:fill="auto"/>
            <w:tcMar>
              <w:top w:w="40" w:type="dxa"/>
              <w:left w:w="20" w:type="dxa"/>
              <w:bottom w:w="40" w:type="dxa"/>
              <w:right w:w="20" w:type="dxa"/>
            </w:tcMar>
            <w:vAlign w:val="bottom"/>
          </w:tcPr>
          <w:p w14:paraId="5F2CF9C1"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C2" w14:textId="77777777" w:rsidR="00E836FB" w:rsidRDefault="00994958">
            <w:pPr>
              <w:jc w:val="center"/>
              <w:textAlignment w:val="bottom"/>
            </w:pPr>
            <w:r>
              <w:rPr>
                <w:rFonts w:ascii="Arial" w:eastAsia="宋体" w:hAnsi="Arial" w:cs="Arial"/>
                <w:color w:val="000000"/>
                <w:sz w:val="14"/>
                <w:szCs w:val="14"/>
              </w:rPr>
              <w:t>23</w:t>
            </w:r>
          </w:p>
        </w:tc>
        <w:tc>
          <w:tcPr>
            <w:tcW w:w="0" w:type="auto"/>
            <w:gridSpan w:val="3"/>
            <w:shd w:val="clear" w:color="auto" w:fill="auto"/>
            <w:tcMar>
              <w:top w:w="40" w:type="dxa"/>
              <w:left w:w="20" w:type="dxa"/>
              <w:bottom w:w="40" w:type="dxa"/>
              <w:right w:w="20" w:type="dxa"/>
            </w:tcMar>
            <w:vAlign w:val="bottom"/>
          </w:tcPr>
          <w:p w14:paraId="5F2CF9C3"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C4" w14:textId="77777777" w:rsidR="00E836FB" w:rsidRDefault="00994958">
            <w:pPr>
              <w:jc w:val="center"/>
              <w:textAlignment w:val="bottom"/>
            </w:pPr>
            <w:hyperlink r:id="rId106" w:anchor="i7cc1f9a814a84c708b0facd5c0e99397_475" w:history="1">
              <w:r>
                <w:rPr>
                  <w:rStyle w:val="a5"/>
                  <w:rFonts w:ascii="Arial" w:eastAsia="宋体" w:hAnsi="Arial" w:cs="Arial"/>
                  <w:color w:val="000000"/>
                  <w:sz w:val="14"/>
                  <w:szCs w:val="14"/>
                  <w:u w:val="none"/>
                </w:rPr>
                <w:t>179</w:t>
              </w:r>
            </w:hyperlink>
          </w:p>
        </w:tc>
      </w:tr>
      <w:tr w:rsidR="00E836FB" w14:paraId="5F2CF9CB" w14:textId="77777777">
        <w:tc>
          <w:tcPr>
            <w:tcW w:w="0" w:type="auto"/>
            <w:gridSpan w:val="3"/>
            <w:shd w:val="clear" w:color="auto" w:fill="auto"/>
            <w:tcMar>
              <w:top w:w="40" w:type="dxa"/>
              <w:left w:w="20" w:type="dxa"/>
              <w:bottom w:w="40" w:type="dxa"/>
              <w:right w:w="20" w:type="dxa"/>
            </w:tcMar>
            <w:vAlign w:val="bottom"/>
          </w:tcPr>
          <w:p w14:paraId="5F2CF9C6" w14:textId="77777777" w:rsidR="00E836FB" w:rsidRDefault="00994958">
            <w:pPr>
              <w:textAlignment w:val="bottom"/>
            </w:pPr>
            <w:r>
              <w:rPr>
                <w:rFonts w:ascii="Arial" w:eastAsia="宋体" w:hAnsi="Arial" w:cs="Arial"/>
                <w:color w:val="000000"/>
                <w:sz w:val="14"/>
                <w:szCs w:val="14"/>
              </w:rPr>
              <w:t>Revenue from Contracts with Customers</w:t>
            </w:r>
          </w:p>
        </w:tc>
        <w:tc>
          <w:tcPr>
            <w:tcW w:w="0" w:type="auto"/>
            <w:gridSpan w:val="3"/>
            <w:shd w:val="clear" w:color="auto" w:fill="auto"/>
            <w:tcMar>
              <w:top w:w="40" w:type="dxa"/>
              <w:left w:w="20" w:type="dxa"/>
              <w:bottom w:w="40" w:type="dxa"/>
              <w:right w:w="20" w:type="dxa"/>
            </w:tcMar>
            <w:vAlign w:val="bottom"/>
          </w:tcPr>
          <w:p w14:paraId="5F2CF9C7" w14:textId="77777777" w:rsidR="00E836FB" w:rsidRDefault="00994958">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5F2CF9C8" w14:textId="77777777" w:rsidR="00E836FB" w:rsidRDefault="00994958">
            <w:pPr>
              <w:jc w:val="center"/>
              <w:textAlignment w:val="bottom"/>
            </w:pPr>
            <w:r>
              <w:rPr>
                <w:rFonts w:ascii="Arial" w:eastAsia="宋体" w:hAnsi="Arial" w:cs="Arial"/>
                <w:color w:val="000000"/>
                <w:sz w:val="14"/>
                <w:szCs w:val="14"/>
              </w:rPr>
              <w:t>25</w:t>
            </w:r>
          </w:p>
        </w:tc>
        <w:tc>
          <w:tcPr>
            <w:tcW w:w="0" w:type="auto"/>
            <w:gridSpan w:val="3"/>
            <w:shd w:val="clear" w:color="auto" w:fill="auto"/>
            <w:tcMar>
              <w:top w:w="40" w:type="dxa"/>
              <w:left w:w="20" w:type="dxa"/>
              <w:bottom w:w="40" w:type="dxa"/>
              <w:right w:w="20" w:type="dxa"/>
            </w:tcMar>
            <w:vAlign w:val="bottom"/>
          </w:tcPr>
          <w:p w14:paraId="5F2CF9C9" w14:textId="77777777" w:rsidR="00E836FB" w:rsidRDefault="00994958">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5F2CF9CA" w14:textId="77777777" w:rsidR="00E836FB" w:rsidRDefault="00994958">
            <w:pPr>
              <w:jc w:val="center"/>
              <w:textAlignment w:val="bottom"/>
            </w:pPr>
            <w:hyperlink r:id="rId107" w:anchor="i7cc1f9a814a84c708b0facd5c0e99397_484" w:history="1">
              <w:r>
                <w:rPr>
                  <w:rStyle w:val="a5"/>
                  <w:rFonts w:ascii="Arial" w:eastAsia="宋体" w:hAnsi="Arial" w:cs="Arial"/>
                  <w:color w:val="000000"/>
                  <w:sz w:val="14"/>
                  <w:szCs w:val="14"/>
                  <w:u w:val="none"/>
                </w:rPr>
                <w:t>181</w:t>
              </w:r>
            </w:hyperlink>
          </w:p>
        </w:tc>
      </w:tr>
    </w:tbl>
    <w:p w14:paraId="5F2CF9CC" w14:textId="77777777" w:rsidR="00E836FB" w:rsidRDefault="00E836FB">
      <w:pPr>
        <w:ind w:firstLine="450"/>
        <w:jc w:val="both"/>
        <w:textAlignment w:val="top"/>
      </w:pPr>
    </w:p>
    <w:p w14:paraId="5F2CF9CD" w14:textId="77777777" w:rsidR="00E836FB" w:rsidRDefault="00994958">
      <w:pPr>
        <w:ind w:firstLine="450"/>
        <w:jc w:val="right"/>
      </w:pPr>
      <w:r>
        <w:rPr>
          <w:rFonts w:ascii="Arial" w:eastAsia="宋体" w:hAnsi="Arial" w:cs="Arial"/>
          <w:color w:val="000000"/>
          <w:sz w:val="18"/>
          <w:szCs w:val="18"/>
        </w:rPr>
        <w:t>State Street Corporation | 136</w:t>
      </w:r>
    </w:p>
    <w:p w14:paraId="5F2CF9CE" w14:textId="77777777" w:rsidR="00E836FB" w:rsidRDefault="00E836FB">
      <w:pPr>
        <w:ind w:firstLine="450"/>
        <w:jc w:val="center"/>
      </w:pPr>
    </w:p>
    <w:p w14:paraId="5F2CF9CF" w14:textId="77777777" w:rsidR="00E836FB" w:rsidRDefault="00994958">
      <w:r>
        <w:pict w14:anchorId="5F2D6E0D">
          <v:rect id="_x0000_i1160" style="width:415.3pt;height:1.5pt" o:hralign="center" o:hrstd="t" o:hr="t" fillcolor="#a0a0a0" stroked="f"/>
        </w:pict>
      </w:r>
    </w:p>
    <w:p w14:paraId="5F2CF9D0" w14:textId="77777777" w:rsidR="00E836FB" w:rsidRDefault="00994958">
      <w:pPr>
        <w:ind w:firstLine="450"/>
        <w:jc w:val="center"/>
      </w:pPr>
      <w:r>
        <w:rPr>
          <w:rFonts w:ascii="Arial" w:eastAsia="宋体" w:hAnsi="Arial" w:cs="Arial"/>
          <w:b/>
          <w:bCs/>
          <w:color w:val="000000"/>
          <w:sz w:val="20"/>
          <w:szCs w:val="20"/>
        </w:rPr>
        <w:t>STATE STREET CORPORATION</w:t>
      </w:r>
    </w:p>
    <w:p w14:paraId="5F2CF9D1" w14:textId="77777777" w:rsidR="00E836FB" w:rsidRDefault="00994958">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5F2CF9D2" w14:textId="77777777" w:rsidR="00E836FB" w:rsidRDefault="00994958">
      <w:pPr>
        <w:spacing w:before="60"/>
        <w:jc w:val="both"/>
      </w:pPr>
      <w:r>
        <w:rPr>
          <w:rFonts w:ascii="Arial" w:eastAsia="宋体" w:hAnsi="Arial" w:cs="Arial"/>
          <w:b/>
          <w:bCs/>
          <w:i/>
          <w:iCs/>
          <w:color w:val="000000"/>
          <w:sz w:val="20"/>
          <w:szCs w:val="20"/>
        </w:rPr>
        <w:t>Recent Accounting Developments</w:t>
      </w:r>
    </w:p>
    <w:p w14:paraId="5F2CF9D3" w14:textId="77777777" w:rsidR="00E836FB" w:rsidRDefault="00994958">
      <w:pPr>
        <w:spacing w:before="60"/>
        <w:ind w:firstLine="450"/>
        <w:jc w:val="both"/>
        <w:textAlignment w:val="top"/>
      </w:pPr>
      <w:r>
        <w:rPr>
          <w:rFonts w:ascii="Arial" w:eastAsia="宋体" w:hAnsi="Arial" w:cs="Arial"/>
          <w:color w:val="000000"/>
          <w:sz w:val="20"/>
          <w:szCs w:val="20"/>
        </w:rPr>
        <w:t>The FASB issued ASU 2020-04, Reference Rate Reform (Topic 848): Facilitation of the Effects of Reference Rate Reform on Financial Reporting, which was effective as of March 12, 2020. The guidance (1) provides temporary optional expedients and exceptions to</w:t>
      </w:r>
      <w:r>
        <w:rPr>
          <w:rFonts w:ascii="Arial" w:eastAsia="宋体" w:hAnsi="Arial" w:cs="Arial"/>
          <w:color w:val="000000"/>
          <w:sz w:val="20"/>
          <w:szCs w:val="20"/>
        </w:rPr>
        <w:t xml:space="preserve"> the existing guidance on contract modifications and hedge accounting in relation to the transition from LIBOR and other rates impacted by reference rate reform to alternative reference rates; and (2) allows a one-time election to transfer to AFS or tradin</w:t>
      </w:r>
      <w:r>
        <w:rPr>
          <w:rFonts w:ascii="Arial" w:eastAsia="宋体" w:hAnsi="Arial" w:cs="Arial"/>
          <w:color w:val="000000"/>
          <w:sz w:val="20"/>
          <w:szCs w:val="20"/>
        </w:rPr>
        <w:t>g HTM debt securities that reference an interest rate affected by reference rate reform. In January 2021, the FASB issued ASU No. 2021-01, Reference Rate Reform (Topic 848): Reference Rate Reform - Scope, which clarifies that the scope of the initial accou</w:t>
      </w:r>
      <w:r>
        <w:rPr>
          <w:rFonts w:ascii="Arial" w:eastAsia="宋体" w:hAnsi="Arial" w:cs="Arial"/>
          <w:color w:val="000000"/>
          <w:sz w:val="20"/>
          <w:szCs w:val="20"/>
        </w:rPr>
        <w:t xml:space="preserve">nting relief includes derivative instruments that do not reference a rate that is expected to be discontinued but that use an interest rate for margining, discounting or contract price alignment that is modified as a result of reference rate reform. </w:t>
      </w:r>
    </w:p>
    <w:p w14:paraId="5F2CF9D4" w14:textId="77777777" w:rsidR="00E836FB" w:rsidRDefault="00994958">
      <w:pPr>
        <w:spacing w:before="60"/>
        <w:ind w:firstLine="450"/>
        <w:jc w:val="both"/>
        <w:textAlignment w:val="top"/>
      </w:pPr>
      <w:r>
        <w:rPr>
          <w:rFonts w:ascii="Arial" w:eastAsia="宋体" w:hAnsi="Arial" w:cs="Arial"/>
          <w:color w:val="000000"/>
          <w:sz w:val="20"/>
          <w:szCs w:val="20"/>
        </w:rPr>
        <w:t>In th</w:t>
      </w:r>
      <w:r>
        <w:rPr>
          <w:rFonts w:ascii="Arial" w:eastAsia="宋体" w:hAnsi="Arial" w:cs="Arial"/>
          <w:color w:val="000000"/>
          <w:sz w:val="20"/>
          <w:szCs w:val="20"/>
        </w:rPr>
        <w:t>e fourth quarter of 2021, we made the one-time election to reclassify to AFS certain HTM securities that reference an interest rate affected by reference rate reform. Securities with a book value of $438 million referencing LIBOR and other eligible referen</w:t>
      </w:r>
      <w:r>
        <w:rPr>
          <w:rFonts w:ascii="Arial" w:eastAsia="宋体" w:hAnsi="Arial" w:cs="Arial"/>
          <w:color w:val="000000"/>
          <w:sz w:val="20"/>
          <w:szCs w:val="20"/>
        </w:rPr>
        <w:t xml:space="preserve">ce rates were reclassified from HTM to AFS. We recognized a $72 million unrealized gain in AOCI on the reclassification of such securities and a $58 million realized gain on securities reclassified and subsequently sold. </w:t>
      </w:r>
    </w:p>
    <w:p w14:paraId="5F2CF9D5" w14:textId="77777777" w:rsidR="00E836FB" w:rsidRDefault="00994958">
      <w:pPr>
        <w:spacing w:before="60"/>
        <w:ind w:firstLine="450"/>
        <w:jc w:val="both"/>
        <w:textAlignment w:val="top"/>
      </w:pPr>
      <w:r>
        <w:rPr>
          <w:rFonts w:ascii="Arial" w:eastAsia="宋体" w:hAnsi="Arial" w:cs="Arial"/>
          <w:color w:val="000000"/>
          <w:sz w:val="20"/>
          <w:szCs w:val="20"/>
        </w:rPr>
        <w:t>We also elected to apply certain o</w:t>
      </w:r>
      <w:r>
        <w:rPr>
          <w:rFonts w:ascii="Arial" w:eastAsia="宋体" w:hAnsi="Arial" w:cs="Arial"/>
          <w:color w:val="000000"/>
          <w:sz w:val="20"/>
          <w:szCs w:val="20"/>
        </w:rPr>
        <w:t>ptional expedients related to hedge accounting and contract modification with no significant impact on the 2021 results.</w:t>
      </w:r>
    </w:p>
    <w:p w14:paraId="5F2CF9D6" w14:textId="77777777" w:rsidR="00E836FB" w:rsidRDefault="00994958">
      <w:pPr>
        <w:spacing w:before="60"/>
        <w:ind w:firstLine="450"/>
        <w:jc w:val="both"/>
        <w:textAlignment w:val="top"/>
      </w:pPr>
      <w:r>
        <w:rPr>
          <w:rFonts w:ascii="Arial" w:eastAsia="宋体" w:hAnsi="Arial" w:cs="Arial"/>
          <w:color w:val="000000"/>
          <w:sz w:val="20"/>
          <w:szCs w:val="20"/>
        </w:rPr>
        <w:t xml:space="preserve">Additionally, we continue to evaluate accounting standards that were recently issued but not yet adopted as of December 31, 2021; none </w:t>
      </w:r>
      <w:r>
        <w:rPr>
          <w:rFonts w:ascii="Arial" w:eastAsia="宋体" w:hAnsi="Arial" w:cs="Arial"/>
          <w:color w:val="000000"/>
          <w:sz w:val="20"/>
          <w:szCs w:val="20"/>
        </w:rPr>
        <w:t>are expected to have a material impact to our financial statements.</w:t>
      </w:r>
    </w:p>
    <w:p w14:paraId="5F2CF9D7" w14:textId="77777777" w:rsidR="00E836FB" w:rsidRDefault="00994958">
      <w:pPr>
        <w:spacing w:before="180"/>
        <w:textAlignment w:val="top"/>
      </w:pPr>
      <w:r>
        <w:rPr>
          <w:rFonts w:ascii="Arial" w:eastAsia="宋体" w:hAnsi="Arial" w:cs="Arial"/>
          <w:b/>
          <w:bCs/>
          <w:color w:val="000000"/>
          <w:sz w:val="20"/>
          <w:szCs w:val="20"/>
        </w:rPr>
        <w:t>Note 2.    Fair Value</w:t>
      </w:r>
    </w:p>
    <w:p w14:paraId="5F2CF9D8" w14:textId="77777777" w:rsidR="00E836FB" w:rsidRDefault="00994958">
      <w:pPr>
        <w:spacing w:before="60"/>
        <w:jc w:val="both"/>
        <w:textAlignment w:val="top"/>
      </w:pPr>
      <w:r>
        <w:rPr>
          <w:rFonts w:ascii="Arial" w:eastAsia="宋体" w:hAnsi="Arial" w:cs="Arial"/>
          <w:b/>
          <w:bCs/>
          <w:i/>
          <w:iCs/>
          <w:color w:val="000000"/>
          <w:sz w:val="20"/>
          <w:szCs w:val="20"/>
        </w:rPr>
        <w:t>Fair Value Measurements</w:t>
      </w:r>
    </w:p>
    <w:p w14:paraId="5F2CF9D9" w14:textId="77777777" w:rsidR="00E836FB" w:rsidRDefault="00994958">
      <w:pPr>
        <w:spacing w:before="60"/>
        <w:ind w:firstLine="450"/>
        <w:jc w:val="both"/>
        <w:textAlignment w:val="top"/>
      </w:pPr>
      <w:r>
        <w:rPr>
          <w:rFonts w:ascii="Arial" w:eastAsia="宋体" w:hAnsi="Arial" w:cs="Arial"/>
          <w:color w:val="000000"/>
          <w:sz w:val="20"/>
          <w:szCs w:val="20"/>
        </w:rPr>
        <w:t>We carry trading account assets and liabilities, AFS debt securities, certain equity securities and various types of derivative financial inst</w:t>
      </w:r>
      <w:r>
        <w:rPr>
          <w:rFonts w:ascii="Arial" w:eastAsia="宋体" w:hAnsi="Arial" w:cs="Arial"/>
          <w:color w:val="000000"/>
          <w:sz w:val="20"/>
          <w:szCs w:val="20"/>
        </w:rPr>
        <w:t xml:space="preserve">ruments, at fair value in our consolidated statement of condition on a recurring basis. Changes in the fair values of these financial assets and liabilities are recorded either as components of our consolidated statement of income or as components of AOCI </w:t>
      </w:r>
      <w:r>
        <w:rPr>
          <w:rFonts w:ascii="Arial" w:eastAsia="宋体" w:hAnsi="Arial" w:cs="Arial"/>
          <w:color w:val="000000"/>
          <w:sz w:val="20"/>
          <w:szCs w:val="20"/>
        </w:rPr>
        <w:t>within shareholders' equity in our consolidated statement of condition.</w:t>
      </w:r>
    </w:p>
    <w:p w14:paraId="5F2CF9DA" w14:textId="77777777" w:rsidR="00E836FB" w:rsidRDefault="00994958">
      <w:pPr>
        <w:spacing w:before="60"/>
        <w:ind w:firstLine="450"/>
        <w:jc w:val="both"/>
        <w:textAlignment w:val="top"/>
      </w:pPr>
      <w:r>
        <w:rPr>
          <w:rFonts w:ascii="Arial" w:eastAsia="宋体" w:hAnsi="Arial" w:cs="Arial"/>
          <w:color w:val="000000"/>
          <w:sz w:val="20"/>
          <w:szCs w:val="20"/>
        </w:rPr>
        <w:t xml:space="preserve">We measure fair value for the above-described financial assets and liabilities in conformity with U.S. GAAP that governs the measurement of the fair value </w:t>
      </w:r>
    </w:p>
    <w:p w14:paraId="5F2CF9DB" w14:textId="77777777" w:rsidR="00E836FB" w:rsidRDefault="00994958">
      <w:pPr>
        <w:spacing w:before="60"/>
        <w:jc w:val="both"/>
        <w:textAlignment w:val="top"/>
      </w:pPr>
      <w:r>
        <w:rPr>
          <w:rFonts w:ascii="Arial" w:eastAsia="宋体" w:hAnsi="Arial" w:cs="Arial"/>
          <w:color w:val="000000"/>
          <w:sz w:val="20"/>
          <w:szCs w:val="20"/>
        </w:rPr>
        <w:t>of financial instruments. Ma</w:t>
      </w:r>
      <w:r>
        <w:rPr>
          <w:rFonts w:ascii="Arial" w:eastAsia="宋体" w:hAnsi="Arial" w:cs="Arial"/>
          <w:color w:val="000000"/>
          <w:sz w:val="20"/>
          <w:szCs w:val="20"/>
        </w:rPr>
        <w:t>nagement believes that its valuation techniques and underlying assumptions used to measure fair value conform to the provisions of U.S. GAAP. We categorize the financial assets and liabilities that we carry at fair value based on a prescribed three-level v</w:t>
      </w:r>
      <w:r>
        <w:rPr>
          <w:rFonts w:ascii="Arial" w:eastAsia="宋体" w:hAnsi="Arial" w:cs="Arial"/>
          <w:color w:val="000000"/>
          <w:sz w:val="20"/>
          <w:szCs w:val="20"/>
        </w:rPr>
        <w:t>aluation hierarchy. The hierarchy gives the highest priority to quoted prices in active markets for identical assets or liabilities (level 1) and the lowest priority to valuation methods using significant unobservable inputs (level 3). If the inputs used t</w:t>
      </w:r>
      <w:r>
        <w:rPr>
          <w:rFonts w:ascii="Arial" w:eastAsia="宋体" w:hAnsi="Arial" w:cs="Arial"/>
          <w:color w:val="000000"/>
          <w:sz w:val="20"/>
          <w:szCs w:val="20"/>
        </w:rPr>
        <w:t xml:space="preserve">o measure a financial asset or liability cross different levels of the hierarchy, categorization is based on the lowest-level input that is significant to the fair-value measurement. Management's assessment of the significance of a particular input to the </w:t>
      </w:r>
      <w:r>
        <w:rPr>
          <w:rFonts w:ascii="Arial" w:eastAsia="宋体" w:hAnsi="Arial" w:cs="Arial"/>
          <w:color w:val="000000"/>
          <w:sz w:val="20"/>
          <w:szCs w:val="20"/>
        </w:rPr>
        <w:t>overall fair-value measurement of a financial asset or liability requires judgment, and considers factors specific to that asset or liability. The three levels of the valuation hierarchy are described below.</w:t>
      </w:r>
    </w:p>
    <w:p w14:paraId="5F2CF9DC" w14:textId="77777777" w:rsidR="00E836FB" w:rsidRDefault="00994958">
      <w:pPr>
        <w:spacing w:before="60"/>
        <w:ind w:firstLine="450"/>
        <w:jc w:val="both"/>
        <w:textAlignment w:val="top"/>
      </w:pPr>
      <w:r>
        <w:rPr>
          <w:rFonts w:ascii="Arial" w:eastAsia="宋体" w:hAnsi="Arial" w:cs="Arial"/>
          <w:i/>
          <w:iCs/>
          <w:color w:val="000000"/>
          <w:sz w:val="20"/>
          <w:szCs w:val="20"/>
        </w:rPr>
        <w:t>Level 1. Financial assets and liabilities with v</w:t>
      </w:r>
      <w:r>
        <w:rPr>
          <w:rFonts w:ascii="Arial" w:eastAsia="宋体" w:hAnsi="Arial" w:cs="Arial"/>
          <w:i/>
          <w:iCs/>
          <w:color w:val="000000"/>
          <w:sz w:val="20"/>
          <w:szCs w:val="20"/>
        </w:rPr>
        <w:t>alues based on unadjusted quoted prices for identical assets or liabilities in an active market.</w:t>
      </w:r>
      <w:r>
        <w:rPr>
          <w:rFonts w:ascii="Arial" w:eastAsia="宋体" w:hAnsi="Arial" w:cs="Arial"/>
          <w:color w:val="000000"/>
          <w:sz w:val="20"/>
          <w:szCs w:val="20"/>
        </w:rPr>
        <w:t xml:space="preserve"> Our level 1 financial assets and liabilities primarily include positions in U.S. government securities and highly liquid U.S. and non-U.S. government fixed-inc</w:t>
      </w:r>
      <w:r>
        <w:rPr>
          <w:rFonts w:ascii="Arial" w:eastAsia="宋体" w:hAnsi="Arial" w:cs="Arial"/>
          <w:color w:val="000000"/>
          <w:sz w:val="20"/>
          <w:szCs w:val="20"/>
        </w:rPr>
        <w:t>ome securities. Our level 1 financial assets also include actively traded exchange- traded equity securities.</w:t>
      </w:r>
    </w:p>
    <w:p w14:paraId="5F2CF9DD" w14:textId="77777777" w:rsidR="00E836FB" w:rsidRDefault="00994958">
      <w:pPr>
        <w:spacing w:before="60"/>
        <w:ind w:firstLine="450"/>
        <w:jc w:val="both"/>
        <w:textAlignment w:val="top"/>
      </w:pPr>
      <w:r>
        <w:rPr>
          <w:rFonts w:ascii="Arial" w:eastAsia="宋体" w:hAnsi="Arial" w:cs="Arial"/>
          <w:i/>
          <w:iCs/>
          <w:color w:val="000000"/>
          <w:sz w:val="20"/>
          <w:szCs w:val="20"/>
        </w:rPr>
        <w:t>Level 2. Financial assets and liabilities with values based on quoted prices for similar assets and liabilities in active markets, and inputs that</w:t>
      </w:r>
      <w:r>
        <w:rPr>
          <w:rFonts w:ascii="Arial" w:eastAsia="宋体" w:hAnsi="Arial" w:cs="Arial"/>
          <w:i/>
          <w:iCs/>
          <w:color w:val="000000"/>
          <w:sz w:val="20"/>
          <w:szCs w:val="20"/>
        </w:rPr>
        <w:t xml:space="preserve"> are observable for the asset or liability, either directly or indirectly, for substantially the full term of the asset or liability.</w:t>
      </w:r>
      <w:r>
        <w:rPr>
          <w:rFonts w:ascii="Arial" w:eastAsia="宋体" w:hAnsi="Arial" w:cs="Arial"/>
          <w:color w:val="000000"/>
          <w:sz w:val="20"/>
          <w:szCs w:val="20"/>
        </w:rPr>
        <w:t xml:space="preserve"> Level 2 inputs include the following:</w:t>
      </w:r>
    </w:p>
    <w:p w14:paraId="5F2CF9DE"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Quoted prices for similar assets or liabilities in active markets;</w:t>
      </w:r>
    </w:p>
    <w:p w14:paraId="5F2CF9DF"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Quoted prices f</w:t>
      </w:r>
      <w:r>
        <w:rPr>
          <w:rFonts w:ascii="Arial" w:eastAsia="宋体" w:hAnsi="Arial" w:cs="Arial"/>
          <w:color w:val="000000"/>
          <w:sz w:val="20"/>
          <w:szCs w:val="20"/>
        </w:rPr>
        <w:t>or identical or similar assets or liabilities in non-active markets;</w:t>
      </w:r>
    </w:p>
    <w:p w14:paraId="5F2CF9E0"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Pricing models whose inputs are observable for substantially the full term of the asset or liability; and</w:t>
      </w:r>
    </w:p>
    <w:p w14:paraId="5F2CF9E1" w14:textId="77777777" w:rsidR="00E836FB" w:rsidRDefault="00994958">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Pricing models whose inputs are derived principally from, or corroborated by, o</w:t>
      </w:r>
      <w:r>
        <w:rPr>
          <w:rFonts w:ascii="Arial" w:eastAsia="宋体" w:hAnsi="Arial" w:cs="Arial"/>
          <w:color w:val="000000"/>
          <w:sz w:val="20"/>
          <w:szCs w:val="20"/>
        </w:rPr>
        <w:t>bservable market information through correlation or other means for substantially the full term of the asset or liability.</w:t>
      </w:r>
    </w:p>
    <w:p w14:paraId="5F2CF9E2" w14:textId="77777777" w:rsidR="00E836FB" w:rsidRDefault="00994958">
      <w:pPr>
        <w:spacing w:before="60"/>
        <w:ind w:firstLine="450"/>
        <w:jc w:val="both"/>
        <w:textAlignment w:val="top"/>
      </w:pPr>
      <w:r>
        <w:rPr>
          <w:rFonts w:ascii="Arial" w:eastAsia="宋体" w:hAnsi="Arial" w:cs="Arial"/>
          <w:color w:val="000000"/>
          <w:sz w:val="20"/>
          <w:szCs w:val="20"/>
        </w:rPr>
        <w:t>Our level 2 financial assets and liabilities primarily include non-U.S. debt securities carried in trading account assets and various</w:t>
      </w:r>
      <w:r>
        <w:rPr>
          <w:rFonts w:ascii="Arial" w:eastAsia="宋体" w:hAnsi="Arial" w:cs="Arial"/>
          <w:color w:val="000000"/>
          <w:sz w:val="20"/>
          <w:szCs w:val="20"/>
        </w:rPr>
        <w:t xml:space="preserve"> types of fixed-income AFS investment securities, as well as various types of foreign exchange and interest rate derivative instruments.</w:t>
      </w:r>
    </w:p>
    <w:p w14:paraId="5F2CF9E3" w14:textId="77777777" w:rsidR="00E836FB" w:rsidRDefault="00994958">
      <w:pPr>
        <w:spacing w:before="60"/>
        <w:ind w:firstLine="450"/>
        <w:jc w:val="both"/>
        <w:textAlignment w:val="top"/>
      </w:pPr>
      <w:r>
        <w:rPr>
          <w:rFonts w:ascii="Arial" w:eastAsia="宋体" w:hAnsi="Arial" w:cs="Arial"/>
          <w:color w:val="000000"/>
          <w:sz w:val="20"/>
          <w:szCs w:val="20"/>
        </w:rPr>
        <w:t xml:space="preserve">Fair value for our AFS investment securities categorized in level 2 is measured primarily using information obtained from independent third parties. </w:t>
      </w:r>
    </w:p>
    <w:p w14:paraId="5F2CF9E4" w14:textId="77777777" w:rsidR="00E836FB" w:rsidRDefault="00994958">
      <w:pPr>
        <w:ind w:firstLine="450"/>
        <w:jc w:val="right"/>
      </w:pPr>
      <w:r>
        <w:rPr>
          <w:rFonts w:ascii="Arial" w:eastAsia="宋体" w:hAnsi="Arial" w:cs="Arial"/>
          <w:color w:val="000000"/>
          <w:sz w:val="18"/>
          <w:szCs w:val="18"/>
        </w:rPr>
        <w:t>State Street Corporation | 137</w:t>
      </w:r>
    </w:p>
    <w:p w14:paraId="5F2CF9E5" w14:textId="77777777" w:rsidR="00E836FB" w:rsidRDefault="00E836FB">
      <w:pPr>
        <w:ind w:firstLine="450"/>
        <w:jc w:val="center"/>
      </w:pPr>
    </w:p>
    <w:p w14:paraId="5F2CF9E6" w14:textId="77777777" w:rsidR="00E836FB" w:rsidRDefault="00994958">
      <w:r>
        <w:pict w14:anchorId="5F2D6E0E">
          <v:rect id="_x0000_i1161" style="width:415.3pt;height:1.5pt" o:hralign="center" o:hrstd="t" o:hr="t" fillcolor="#a0a0a0" stroked="f"/>
        </w:pict>
      </w:r>
    </w:p>
    <w:p w14:paraId="5F2CF9E7" w14:textId="77777777" w:rsidR="00E836FB" w:rsidRDefault="00994958">
      <w:pPr>
        <w:ind w:firstLine="450"/>
        <w:jc w:val="center"/>
      </w:pPr>
      <w:r>
        <w:rPr>
          <w:rFonts w:ascii="Arial" w:eastAsia="宋体" w:hAnsi="Arial" w:cs="Arial"/>
          <w:b/>
          <w:bCs/>
          <w:color w:val="000000"/>
          <w:sz w:val="20"/>
          <w:szCs w:val="20"/>
        </w:rPr>
        <w:t>STATE STREET CORPORATION</w:t>
      </w:r>
    </w:p>
    <w:p w14:paraId="5F2CF9E8" w14:textId="77777777" w:rsidR="00E836FB" w:rsidRDefault="00994958">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5F2CF9E9" w14:textId="77777777" w:rsidR="00E836FB" w:rsidRDefault="00994958">
      <w:pPr>
        <w:spacing w:before="60"/>
        <w:jc w:val="both"/>
        <w:textAlignment w:val="top"/>
      </w:pPr>
      <w:r>
        <w:rPr>
          <w:rFonts w:ascii="Arial" w:eastAsia="宋体" w:hAnsi="Arial" w:cs="Arial"/>
          <w:color w:val="000000"/>
          <w:sz w:val="20"/>
          <w:szCs w:val="20"/>
        </w:rPr>
        <w:t>This third-party information is subject to review by management as part of a validation process, which includes obtaining an understanding of the underlying assumptions and the level of market participant information used to support those assump</w:t>
      </w:r>
      <w:r>
        <w:rPr>
          <w:rFonts w:ascii="Arial" w:eastAsia="宋体" w:hAnsi="Arial" w:cs="Arial"/>
          <w:color w:val="000000"/>
          <w:sz w:val="20"/>
          <w:szCs w:val="20"/>
        </w:rPr>
        <w:t xml:space="preserve">tions. In addition, management compares significant assumptions used by third parties to available market information. Such information may include known trades or, to the extent that trading activity is limited, comparisons to market research information </w:t>
      </w:r>
      <w:r>
        <w:rPr>
          <w:rFonts w:ascii="Arial" w:eastAsia="宋体" w:hAnsi="Arial" w:cs="Arial"/>
          <w:color w:val="000000"/>
          <w:sz w:val="20"/>
          <w:szCs w:val="20"/>
        </w:rPr>
        <w:t>pertaining to credit expectations, execution prices and the timing of cash flows and, where information is available, back- testing.</w:t>
      </w:r>
    </w:p>
    <w:p w14:paraId="5F2CF9EA" w14:textId="77777777" w:rsidR="00E836FB" w:rsidRDefault="00994958">
      <w:pPr>
        <w:spacing w:before="60"/>
        <w:ind w:firstLine="450"/>
        <w:jc w:val="both"/>
        <w:textAlignment w:val="top"/>
      </w:pPr>
      <w:r>
        <w:rPr>
          <w:rFonts w:ascii="Arial" w:eastAsia="宋体" w:hAnsi="Arial" w:cs="Arial"/>
          <w:color w:val="000000"/>
          <w:sz w:val="20"/>
          <w:szCs w:val="20"/>
        </w:rPr>
        <w:t>Derivative instruments categorized in level 2 predominantly represent foreign exchange contracts used in our trading activi</w:t>
      </w:r>
      <w:r>
        <w:rPr>
          <w:rFonts w:ascii="Arial" w:eastAsia="宋体" w:hAnsi="Arial" w:cs="Arial"/>
          <w:color w:val="000000"/>
          <w:sz w:val="20"/>
          <w:szCs w:val="20"/>
        </w:rPr>
        <w:t>ties, for which fair value is measured using discounted cash-flow techniques, with inputs consisting of observable spot and forward points, as well as observable interest rate curves. With respect to derivative instruments, we evaluate the impact on valuat</w:t>
      </w:r>
      <w:r>
        <w:rPr>
          <w:rFonts w:ascii="Arial" w:eastAsia="宋体" w:hAnsi="Arial" w:cs="Arial"/>
          <w:color w:val="000000"/>
          <w:sz w:val="20"/>
          <w:szCs w:val="20"/>
        </w:rPr>
        <w:t>ion of the credit risk of our counterparties. We consider factors such as the likelihood of default by our counterparties, our current and potential future net exposures and remaining maturities in determining the fair value. Valuation adjustments associat</w:t>
      </w:r>
      <w:r>
        <w:rPr>
          <w:rFonts w:ascii="Arial" w:eastAsia="宋体" w:hAnsi="Arial" w:cs="Arial"/>
          <w:color w:val="000000"/>
          <w:sz w:val="20"/>
          <w:szCs w:val="20"/>
        </w:rPr>
        <w:t>ed with derivative instruments were not material to those instruments for the years ended December 31, 2021 and 2020.</w:t>
      </w:r>
    </w:p>
    <w:p w14:paraId="5F2CF9EB" w14:textId="77777777" w:rsidR="00E836FB" w:rsidRDefault="00994958">
      <w:pPr>
        <w:spacing w:before="60"/>
        <w:ind w:firstLine="450"/>
        <w:jc w:val="both"/>
        <w:textAlignment w:val="top"/>
      </w:pPr>
      <w:r>
        <w:rPr>
          <w:rFonts w:ascii="Arial" w:eastAsia="宋体" w:hAnsi="Arial" w:cs="Arial"/>
          <w:i/>
          <w:iCs/>
          <w:color w:val="000000"/>
          <w:sz w:val="20"/>
          <w:szCs w:val="20"/>
        </w:rPr>
        <w:t>Level 3. Financial assets and liabilities with values based on prices or valuation techniques that require inputs that are both unobservab</w:t>
      </w:r>
      <w:r>
        <w:rPr>
          <w:rFonts w:ascii="Arial" w:eastAsia="宋体" w:hAnsi="Arial" w:cs="Arial"/>
          <w:i/>
          <w:iCs/>
          <w:color w:val="000000"/>
          <w:sz w:val="20"/>
          <w:szCs w:val="20"/>
        </w:rPr>
        <w:t>le in the market and significant to the overall measurement of fair value.</w:t>
      </w:r>
      <w:r>
        <w:rPr>
          <w:rFonts w:ascii="Arial" w:eastAsia="宋体" w:hAnsi="Arial" w:cs="Arial"/>
          <w:color w:val="000000"/>
          <w:sz w:val="20"/>
          <w:szCs w:val="20"/>
        </w:rPr>
        <w:t xml:space="preserve"> These inputs reflect management's judgment about the assumptions that a market </w:t>
      </w:r>
    </w:p>
    <w:p w14:paraId="5F2CF9EC" w14:textId="77777777" w:rsidR="00E836FB" w:rsidRDefault="00994958">
      <w:pPr>
        <w:spacing w:before="60"/>
        <w:jc w:val="both"/>
        <w:textAlignment w:val="top"/>
      </w:pPr>
      <w:r>
        <w:rPr>
          <w:rFonts w:ascii="Arial" w:eastAsia="宋体" w:hAnsi="Arial" w:cs="Arial"/>
          <w:color w:val="000000"/>
          <w:sz w:val="20"/>
          <w:szCs w:val="20"/>
        </w:rPr>
        <w:t>participant would use in pricing the financial asset or liability, and are based on the best availabl</w:t>
      </w:r>
      <w:r>
        <w:rPr>
          <w:rFonts w:ascii="Arial" w:eastAsia="宋体" w:hAnsi="Arial" w:cs="Arial"/>
          <w:color w:val="000000"/>
          <w:sz w:val="20"/>
          <w:szCs w:val="20"/>
        </w:rPr>
        <w:t>e information, some of which may be internally developed. The following provides a more detailed discussion of our financial assets and liabilities that we may categorize in level 3 and the related valuation methodology.</w:t>
      </w:r>
    </w:p>
    <w:p w14:paraId="5F2CF9ED" w14:textId="77777777" w:rsidR="00E836FB" w:rsidRDefault="00994958">
      <w:pPr>
        <w:spacing w:before="60"/>
        <w:ind w:hanging="360"/>
        <w:jc w:val="both"/>
        <w:textAlignment w:val="top"/>
      </w:pPr>
      <w:r>
        <w:rPr>
          <w:rFonts w:ascii="Arial" w:eastAsia="宋体" w:hAnsi="Arial" w:cs="Arial"/>
          <w:color w:val="000000"/>
          <w:sz w:val="20"/>
          <w:szCs w:val="20"/>
        </w:rPr>
        <w:t>•The fair value of our investment s</w:t>
      </w:r>
      <w:r>
        <w:rPr>
          <w:rFonts w:ascii="Arial" w:eastAsia="宋体" w:hAnsi="Arial" w:cs="Arial"/>
          <w:color w:val="000000"/>
          <w:sz w:val="20"/>
          <w:szCs w:val="20"/>
        </w:rPr>
        <w:t>ecurities categorized in level 3 is measured using information obtained from third-party sources, typically non-binding broker/dealer quotes, or through the use of internally-developed pricing models. Management has evaluated its methodologies used to meas</w:t>
      </w:r>
      <w:r>
        <w:rPr>
          <w:rFonts w:ascii="Arial" w:eastAsia="宋体" w:hAnsi="Arial" w:cs="Arial"/>
          <w:color w:val="000000"/>
          <w:sz w:val="20"/>
          <w:szCs w:val="20"/>
        </w:rPr>
        <w:t>ure fair value and has considered the level of observable market information to be insufficient to categorize the securities in level 2.</w:t>
      </w:r>
    </w:p>
    <w:p w14:paraId="5F2CF9EE" w14:textId="77777777" w:rsidR="00E836FB" w:rsidRDefault="00994958">
      <w:pPr>
        <w:spacing w:before="60"/>
        <w:ind w:hanging="360"/>
        <w:jc w:val="both"/>
        <w:textAlignment w:val="top"/>
      </w:pPr>
      <w:r>
        <w:rPr>
          <w:rFonts w:ascii="Arial" w:eastAsia="宋体" w:hAnsi="Arial" w:cs="Arial"/>
          <w:color w:val="000000"/>
          <w:sz w:val="20"/>
          <w:szCs w:val="20"/>
        </w:rPr>
        <w:t>•The fair value of certain foreign exchange contracts, primarily options, is measured using an option-pricing model. Be</w:t>
      </w:r>
      <w:r>
        <w:rPr>
          <w:rFonts w:ascii="Arial" w:eastAsia="宋体" w:hAnsi="Arial" w:cs="Arial"/>
          <w:color w:val="000000"/>
          <w:sz w:val="20"/>
          <w:szCs w:val="20"/>
        </w:rPr>
        <w:t>cause of a limited number of observable transactions, certain model inputs are not observable, such as implied volatility surface, but are derived from observable market information.</w:t>
      </w:r>
    </w:p>
    <w:p w14:paraId="5F2CF9EF" w14:textId="77777777" w:rsidR="00E836FB" w:rsidRDefault="00994958">
      <w:pPr>
        <w:spacing w:before="60"/>
        <w:ind w:firstLine="450"/>
        <w:jc w:val="both"/>
        <w:textAlignment w:val="top"/>
      </w:pPr>
      <w:r>
        <w:rPr>
          <w:rFonts w:ascii="Arial" w:eastAsia="宋体" w:hAnsi="Arial" w:cs="Arial"/>
          <w:color w:val="000000"/>
          <w:sz w:val="20"/>
          <w:szCs w:val="20"/>
        </w:rPr>
        <w:t>Our level 3 financial assets and liabilities are similar in structure and</w:t>
      </w:r>
      <w:r>
        <w:rPr>
          <w:rFonts w:ascii="Arial" w:eastAsia="宋体" w:hAnsi="Arial" w:cs="Arial"/>
          <w:color w:val="000000"/>
          <w:sz w:val="20"/>
          <w:szCs w:val="20"/>
        </w:rPr>
        <w:t xml:space="preserve"> profile to our level 1 and level 2 financial instruments, but they trade in less liquid markets, and the measurement of their fair value is therefore less observable.</w:t>
      </w:r>
    </w:p>
    <w:p w14:paraId="5F2CF9F0" w14:textId="77777777" w:rsidR="00E836FB" w:rsidRDefault="00994958">
      <w:pPr>
        <w:spacing w:before="60"/>
        <w:ind w:firstLine="450"/>
        <w:jc w:val="both"/>
        <w:textAlignment w:val="top"/>
      </w:pPr>
      <w:r>
        <w:rPr>
          <w:rFonts w:ascii="Arial" w:eastAsia="宋体" w:hAnsi="Arial" w:cs="Arial"/>
          <w:color w:val="000000"/>
          <w:sz w:val="20"/>
          <w:szCs w:val="20"/>
        </w:rPr>
        <w:t>The following tables present information with respect to our financial assets and liabil</w:t>
      </w:r>
      <w:r>
        <w:rPr>
          <w:rFonts w:ascii="Arial" w:eastAsia="宋体" w:hAnsi="Arial" w:cs="Arial"/>
          <w:color w:val="000000"/>
          <w:sz w:val="20"/>
          <w:szCs w:val="20"/>
        </w:rPr>
        <w:t>ities carried at fair value in our consolidated statement of condition on a recurring basis as of the dates indicated:</w:t>
      </w:r>
    </w:p>
    <w:p w14:paraId="5F2CF9F1" w14:textId="77777777" w:rsidR="00E836FB" w:rsidRDefault="00994958">
      <w:pPr>
        <w:ind w:firstLine="450"/>
        <w:jc w:val="right"/>
      </w:pPr>
      <w:r>
        <w:rPr>
          <w:rFonts w:ascii="Arial" w:eastAsia="宋体" w:hAnsi="Arial" w:cs="Arial"/>
          <w:color w:val="000000"/>
          <w:sz w:val="18"/>
          <w:szCs w:val="18"/>
        </w:rPr>
        <w:t>State Street Corporation | 138</w:t>
      </w:r>
    </w:p>
    <w:p w14:paraId="5F2CF9F2" w14:textId="77777777" w:rsidR="00E836FB" w:rsidRDefault="00E836FB">
      <w:pPr>
        <w:ind w:firstLine="450"/>
        <w:jc w:val="center"/>
      </w:pPr>
    </w:p>
    <w:p w14:paraId="5F2CF9F3" w14:textId="77777777" w:rsidR="00E836FB" w:rsidRDefault="00994958">
      <w:r>
        <w:pict w14:anchorId="5F2D6E0F">
          <v:rect id="_x0000_i1162" style="width:415.3pt;height:1.5pt" o:hralign="center" o:hrstd="t" o:hr="t" fillcolor="#a0a0a0" stroked="f"/>
        </w:pict>
      </w:r>
    </w:p>
    <w:p w14:paraId="5F2CF9F4" w14:textId="77777777" w:rsidR="00E836FB" w:rsidRDefault="00994958">
      <w:pPr>
        <w:ind w:firstLine="450"/>
        <w:jc w:val="center"/>
      </w:pPr>
      <w:r>
        <w:rPr>
          <w:rFonts w:ascii="Arial" w:eastAsia="宋体" w:hAnsi="Arial" w:cs="Arial"/>
          <w:b/>
          <w:bCs/>
          <w:color w:val="000000"/>
          <w:sz w:val="20"/>
          <w:szCs w:val="20"/>
        </w:rPr>
        <w:t>STATE STREET CORPORATION</w:t>
      </w:r>
    </w:p>
    <w:p w14:paraId="5F2CF9F5" w14:textId="77777777" w:rsidR="00E836FB" w:rsidRDefault="00994958">
      <w:pPr>
        <w:ind w:firstLine="450"/>
        <w:jc w:val="center"/>
      </w:pPr>
      <w:r>
        <w:rPr>
          <w:rFonts w:ascii="Arial" w:eastAsia="宋体" w:hAnsi="Arial" w:cs="Arial"/>
          <w:b/>
          <w:bCs/>
          <w:color w:val="000000"/>
          <w:sz w:val="20"/>
          <w:szCs w:val="20"/>
        </w:rPr>
        <w:t>NOTES TO CONSOLIDATED FINANCIAL STATEMENTS</w:t>
      </w:r>
    </w:p>
    <w:tbl>
      <w:tblPr>
        <w:tblW w:w="4993" w:type="pct"/>
        <w:tblCellMar>
          <w:top w:w="15" w:type="dxa"/>
          <w:left w:w="15" w:type="dxa"/>
          <w:bottom w:w="15" w:type="dxa"/>
          <w:right w:w="15" w:type="dxa"/>
        </w:tblCellMar>
        <w:tblLook w:val="04A0" w:firstRow="1" w:lastRow="0" w:firstColumn="1" w:lastColumn="0" w:noHBand="0" w:noVBand="1"/>
      </w:tblPr>
      <w:tblGrid>
        <w:gridCol w:w="53"/>
        <w:gridCol w:w="2204"/>
        <w:gridCol w:w="40"/>
        <w:gridCol w:w="105"/>
        <w:gridCol w:w="1057"/>
        <w:gridCol w:w="36"/>
        <w:gridCol w:w="36"/>
        <w:gridCol w:w="36"/>
        <w:gridCol w:w="36"/>
        <w:gridCol w:w="105"/>
        <w:gridCol w:w="1104"/>
        <w:gridCol w:w="36"/>
        <w:gridCol w:w="36"/>
        <w:gridCol w:w="36"/>
        <w:gridCol w:w="36"/>
        <w:gridCol w:w="105"/>
        <w:gridCol w:w="1105"/>
        <w:gridCol w:w="36"/>
        <w:gridCol w:w="36"/>
        <w:gridCol w:w="36"/>
        <w:gridCol w:w="36"/>
        <w:gridCol w:w="105"/>
        <w:gridCol w:w="612"/>
        <w:gridCol w:w="36"/>
        <w:gridCol w:w="36"/>
        <w:gridCol w:w="36"/>
        <w:gridCol w:w="36"/>
        <w:gridCol w:w="105"/>
        <w:gridCol w:w="1012"/>
        <w:gridCol w:w="36"/>
      </w:tblGrid>
      <w:tr w:rsidR="00E836FB" w14:paraId="5F2CFA14" w14:textId="77777777">
        <w:tc>
          <w:tcPr>
            <w:tcW w:w="50" w:type="pct"/>
            <w:shd w:val="clear" w:color="auto" w:fill="auto"/>
            <w:vAlign w:val="bottom"/>
          </w:tcPr>
          <w:p w14:paraId="5F2CF9F6" w14:textId="77777777" w:rsidR="00E836FB" w:rsidRDefault="00E836FB">
            <w:pPr>
              <w:rPr>
                <w:rFonts w:ascii="宋体"/>
              </w:rPr>
            </w:pPr>
          </w:p>
        </w:tc>
        <w:tc>
          <w:tcPr>
            <w:tcW w:w="1760" w:type="pct"/>
            <w:shd w:val="clear" w:color="auto" w:fill="auto"/>
            <w:vAlign w:val="bottom"/>
          </w:tcPr>
          <w:p w14:paraId="5F2CF9F7" w14:textId="77777777" w:rsidR="00E836FB" w:rsidRDefault="00E836FB">
            <w:pPr>
              <w:rPr>
                <w:rFonts w:ascii="宋体"/>
              </w:rPr>
            </w:pPr>
          </w:p>
        </w:tc>
        <w:tc>
          <w:tcPr>
            <w:tcW w:w="5" w:type="pct"/>
            <w:shd w:val="clear" w:color="auto" w:fill="auto"/>
            <w:vAlign w:val="bottom"/>
          </w:tcPr>
          <w:p w14:paraId="5F2CF9F8" w14:textId="77777777" w:rsidR="00E836FB" w:rsidRDefault="00E836FB">
            <w:pPr>
              <w:rPr>
                <w:rFonts w:ascii="宋体"/>
              </w:rPr>
            </w:pPr>
          </w:p>
        </w:tc>
        <w:tc>
          <w:tcPr>
            <w:tcW w:w="50" w:type="pct"/>
            <w:shd w:val="clear" w:color="auto" w:fill="auto"/>
            <w:vAlign w:val="bottom"/>
          </w:tcPr>
          <w:p w14:paraId="5F2CF9F9" w14:textId="77777777" w:rsidR="00E836FB" w:rsidRDefault="00E836FB">
            <w:pPr>
              <w:rPr>
                <w:rFonts w:ascii="宋体"/>
              </w:rPr>
            </w:pPr>
          </w:p>
        </w:tc>
        <w:tc>
          <w:tcPr>
            <w:tcW w:w="581" w:type="pct"/>
            <w:shd w:val="clear" w:color="auto" w:fill="auto"/>
            <w:vAlign w:val="bottom"/>
          </w:tcPr>
          <w:p w14:paraId="5F2CF9FA" w14:textId="77777777" w:rsidR="00E836FB" w:rsidRDefault="00E836FB">
            <w:pPr>
              <w:rPr>
                <w:rFonts w:ascii="宋体"/>
              </w:rPr>
            </w:pPr>
          </w:p>
        </w:tc>
        <w:tc>
          <w:tcPr>
            <w:tcW w:w="5" w:type="pct"/>
            <w:shd w:val="clear" w:color="auto" w:fill="auto"/>
            <w:vAlign w:val="bottom"/>
          </w:tcPr>
          <w:p w14:paraId="5F2CF9FB" w14:textId="77777777" w:rsidR="00E836FB" w:rsidRDefault="00E836FB">
            <w:pPr>
              <w:rPr>
                <w:rFonts w:ascii="宋体"/>
              </w:rPr>
            </w:pPr>
          </w:p>
        </w:tc>
        <w:tc>
          <w:tcPr>
            <w:tcW w:w="5" w:type="pct"/>
            <w:shd w:val="clear" w:color="auto" w:fill="auto"/>
            <w:vAlign w:val="bottom"/>
          </w:tcPr>
          <w:p w14:paraId="5F2CF9FC" w14:textId="77777777" w:rsidR="00E836FB" w:rsidRDefault="00E836FB">
            <w:pPr>
              <w:rPr>
                <w:rFonts w:ascii="宋体"/>
              </w:rPr>
            </w:pPr>
          </w:p>
        </w:tc>
        <w:tc>
          <w:tcPr>
            <w:tcW w:w="26" w:type="pct"/>
            <w:shd w:val="clear" w:color="auto" w:fill="auto"/>
            <w:vAlign w:val="bottom"/>
          </w:tcPr>
          <w:p w14:paraId="5F2CF9FD" w14:textId="77777777" w:rsidR="00E836FB" w:rsidRDefault="00E836FB">
            <w:pPr>
              <w:rPr>
                <w:rFonts w:ascii="宋体"/>
              </w:rPr>
            </w:pPr>
          </w:p>
        </w:tc>
        <w:tc>
          <w:tcPr>
            <w:tcW w:w="5" w:type="pct"/>
            <w:shd w:val="clear" w:color="auto" w:fill="auto"/>
            <w:vAlign w:val="bottom"/>
          </w:tcPr>
          <w:p w14:paraId="5F2CF9FE" w14:textId="77777777" w:rsidR="00E836FB" w:rsidRDefault="00E836FB">
            <w:pPr>
              <w:rPr>
                <w:rFonts w:ascii="宋体"/>
              </w:rPr>
            </w:pPr>
          </w:p>
        </w:tc>
        <w:tc>
          <w:tcPr>
            <w:tcW w:w="50" w:type="pct"/>
            <w:shd w:val="clear" w:color="auto" w:fill="auto"/>
            <w:vAlign w:val="bottom"/>
          </w:tcPr>
          <w:p w14:paraId="5F2CF9FF" w14:textId="77777777" w:rsidR="00E836FB" w:rsidRDefault="00E836FB">
            <w:pPr>
              <w:rPr>
                <w:rFonts w:ascii="宋体"/>
              </w:rPr>
            </w:pPr>
          </w:p>
        </w:tc>
        <w:tc>
          <w:tcPr>
            <w:tcW w:w="589" w:type="pct"/>
            <w:shd w:val="clear" w:color="auto" w:fill="auto"/>
            <w:vAlign w:val="bottom"/>
          </w:tcPr>
          <w:p w14:paraId="5F2CFA00" w14:textId="77777777" w:rsidR="00E836FB" w:rsidRDefault="00E836FB">
            <w:pPr>
              <w:rPr>
                <w:rFonts w:ascii="宋体"/>
              </w:rPr>
            </w:pPr>
          </w:p>
        </w:tc>
        <w:tc>
          <w:tcPr>
            <w:tcW w:w="5" w:type="pct"/>
            <w:shd w:val="clear" w:color="auto" w:fill="auto"/>
            <w:vAlign w:val="bottom"/>
          </w:tcPr>
          <w:p w14:paraId="5F2CFA01" w14:textId="77777777" w:rsidR="00E836FB" w:rsidRDefault="00E836FB">
            <w:pPr>
              <w:rPr>
                <w:rFonts w:ascii="宋体"/>
              </w:rPr>
            </w:pPr>
          </w:p>
        </w:tc>
        <w:tc>
          <w:tcPr>
            <w:tcW w:w="5" w:type="pct"/>
            <w:shd w:val="clear" w:color="auto" w:fill="auto"/>
            <w:vAlign w:val="bottom"/>
          </w:tcPr>
          <w:p w14:paraId="5F2CFA02" w14:textId="77777777" w:rsidR="00E836FB" w:rsidRDefault="00E836FB">
            <w:pPr>
              <w:rPr>
                <w:rFonts w:ascii="宋体"/>
              </w:rPr>
            </w:pPr>
          </w:p>
        </w:tc>
        <w:tc>
          <w:tcPr>
            <w:tcW w:w="26" w:type="pct"/>
            <w:shd w:val="clear" w:color="auto" w:fill="auto"/>
            <w:vAlign w:val="bottom"/>
          </w:tcPr>
          <w:p w14:paraId="5F2CFA03" w14:textId="77777777" w:rsidR="00E836FB" w:rsidRDefault="00E836FB">
            <w:pPr>
              <w:rPr>
                <w:rFonts w:ascii="宋体"/>
              </w:rPr>
            </w:pPr>
          </w:p>
        </w:tc>
        <w:tc>
          <w:tcPr>
            <w:tcW w:w="5" w:type="pct"/>
            <w:shd w:val="clear" w:color="auto" w:fill="auto"/>
            <w:vAlign w:val="bottom"/>
          </w:tcPr>
          <w:p w14:paraId="5F2CFA04" w14:textId="77777777" w:rsidR="00E836FB" w:rsidRDefault="00E836FB">
            <w:pPr>
              <w:rPr>
                <w:rFonts w:ascii="宋体"/>
              </w:rPr>
            </w:pPr>
          </w:p>
        </w:tc>
        <w:tc>
          <w:tcPr>
            <w:tcW w:w="50" w:type="pct"/>
            <w:shd w:val="clear" w:color="auto" w:fill="auto"/>
            <w:vAlign w:val="bottom"/>
          </w:tcPr>
          <w:p w14:paraId="5F2CFA05" w14:textId="77777777" w:rsidR="00E836FB" w:rsidRDefault="00E836FB">
            <w:pPr>
              <w:rPr>
                <w:rFonts w:ascii="宋体"/>
              </w:rPr>
            </w:pPr>
          </w:p>
        </w:tc>
        <w:tc>
          <w:tcPr>
            <w:tcW w:w="596" w:type="pct"/>
            <w:shd w:val="clear" w:color="auto" w:fill="auto"/>
            <w:vAlign w:val="bottom"/>
          </w:tcPr>
          <w:p w14:paraId="5F2CFA06" w14:textId="77777777" w:rsidR="00E836FB" w:rsidRDefault="00E836FB">
            <w:pPr>
              <w:rPr>
                <w:rFonts w:ascii="宋体"/>
              </w:rPr>
            </w:pPr>
          </w:p>
        </w:tc>
        <w:tc>
          <w:tcPr>
            <w:tcW w:w="5" w:type="pct"/>
            <w:shd w:val="clear" w:color="auto" w:fill="auto"/>
            <w:vAlign w:val="bottom"/>
          </w:tcPr>
          <w:p w14:paraId="5F2CFA07" w14:textId="77777777" w:rsidR="00E836FB" w:rsidRDefault="00E836FB">
            <w:pPr>
              <w:rPr>
                <w:rFonts w:ascii="宋体"/>
              </w:rPr>
            </w:pPr>
          </w:p>
        </w:tc>
        <w:tc>
          <w:tcPr>
            <w:tcW w:w="5" w:type="pct"/>
            <w:shd w:val="clear" w:color="auto" w:fill="auto"/>
            <w:vAlign w:val="bottom"/>
          </w:tcPr>
          <w:p w14:paraId="5F2CFA08" w14:textId="77777777" w:rsidR="00E836FB" w:rsidRDefault="00E836FB">
            <w:pPr>
              <w:rPr>
                <w:rFonts w:ascii="宋体"/>
              </w:rPr>
            </w:pPr>
          </w:p>
        </w:tc>
        <w:tc>
          <w:tcPr>
            <w:tcW w:w="26" w:type="pct"/>
            <w:shd w:val="clear" w:color="auto" w:fill="auto"/>
            <w:vAlign w:val="bottom"/>
          </w:tcPr>
          <w:p w14:paraId="5F2CFA09" w14:textId="77777777" w:rsidR="00E836FB" w:rsidRDefault="00E836FB">
            <w:pPr>
              <w:rPr>
                <w:rFonts w:ascii="宋体"/>
              </w:rPr>
            </w:pPr>
          </w:p>
        </w:tc>
        <w:tc>
          <w:tcPr>
            <w:tcW w:w="5" w:type="pct"/>
            <w:shd w:val="clear" w:color="auto" w:fill="auto"/>
            <w:vAlign w:val="bottom"/>
          </w:tcPr>
          <w:p w14:paraId="5F2CFA0A" w14:textId="77777777" w:rsidR="00E836FB" w:rsidRDefault="00E836FB">
            <w:pPr>
              <w:rPr>
                <w:rFonts w:ascii="宋体"/>
              </w:rPr>
            </w:pPr>
          </w:p>
        </w:tc>
        <w:tc>
          <w:tcPr>
            <w:tcW w:w="50" w:type="pct"/>
            <w:shd w:val="clear" w:color="auto" w:fill="auto"/>
            <w:vAlign w:val="bottom"/>
          </w:tcPr>
          <w:p w14:paraId="5F2CFA0B" w14:textId="77777777" w:rsidR="00E836FB" w:rsidRDefault="00E836FB">
            <w:pPr>
              <w:rPr>
                <w:rFonts w:ascii="宋体"/>
              </w:rPr>
            </w:pPr>
          </w:p>
        </w:tc>
        <w:tc>
          <w:tcPr>
            <w:tcW w:w="354" w:type="pct"/>
            <w:shd w:val="clear" w:color="auto" w:fill="auto"/>
            <w:vAlign w:val="bottom"/>
          </w:tcPr>
          <w:p w14:paraId="5F2CFA0C" w14:textId="77777777" w:rsidR="00E836FB" w:rsidRDefault="00E836FB">
            <w:pPr>
              <w:rPr>
                <w:rFonts w:ascii="宋体"/>
              </w:rPr>
            </w:pPr>
          </w:p>
        </w:tc>
        <w:tc>
          <w:tcPr>
            <w:tcW w:w="5" w:type="pct"/>
            <w:shd w:val="clear" w:color="auto" w:fill="auto"/>
            <w:vAlign w:val="bottom"/>
          </w:tcPr>
          <w:p w14:paraId="5F2CFA0D" w14:textId="77777777" w:rsidR="00E836FB" w:rsidRDefault="00E836FB">
            <w:pPr>
              <w:rPr>
                <w:rFonts w:ascii="宋体"/>
              </w:rPr>
            </w:pPr>
          </w:p>
        </w:tc>
        <w:tc>
          <w:tcPr>
            <w:tcW w:w="5" w:type="pct"/>
            <w:shd w:val="clear" w:color="auto" w:fill="auto"/>
            <w:vAlign w:val="bottom"/>
          </w:tcPr>
          <w:p w14:paraId="5F2CFA0E" w14:textId="77777777" w:rsidR="00E836FB" w:rsidRDefault="00E836FB">
            <w:pPr>
              <w:rPr>
                <w:rFonts w:ascii="宋体"/>
              </w:rPr>
            </w:pPr>
          </w:p>
        </w:tc>
        <w:tc>
          <w:tcPr>
            <w:tcW w:w="26" w:type="pct"/>
            <w:shd w:val="clear" w:color="auto" w:fill="auto"/>
            <w:vAlign w:val="bottom"/>
          </w:tcPr>
          <w:p w14:paraId="5F2CFA0F" w14:textId="77777777" w:rsidR="00E836FB" w:rsidRDefault="00E836FB">
            <w:pPr>
              <w:rPr>
                <w:rFonts w:ascii="宋体"/>
              </w:rPr>
            </w:pPr>
          </w:p>
        </w:tc>
        <w:tc>
          <w:tcPr>
            <w:tcW w:w="5" w:type="pct"/>
            <w:shd w:val="clear" w:color="auto" w:fill="auto"/>
            <w:vAlign w:val="bottom"/>
          </w:tcPr>
          <w:p w14:paraId="5F2CFA10" w14:textId="77777777" w:rsidR="00E836FB" w:rsidRDefault="00E836FB">
            <w:pPr>
              <w:rPr>
                <w:rFonts w:ascii="宋体"/>
              </w:rPr>
            </w:pPr>
          </w:p>
        </w:tc>
        <w:tc>
          <w:tcPr>
            <w:tcW w:w="50" w:type="pct"/>
            <w:shd w:val="clear" w:color="auto" w:fill="auto"/>
            <w:vAlign w:val="bottom"/>
          </w:tcPr>
          <w:p w14:paraId="5F2CFA11" w14:textId="77777777" w:rsidR="00E836FB" w:rsidRDefault="00E836FB">
            <w:pPr>
              <w:rPr>
                <w:rFonts w:ascii="宋体"/>
              </w:rPr>
            </w:pPr>
          </w:p>
        </w:tc>
        <w:tc>
          <w:tcPr>
            <w:tcW w:w="640" w:type="pct"/>
            <w:shd w:val="clear" w:color="auto" w:fill="auto"/>
            <w:vAlign w:val="bottom"/>
          </w:tcPr>
          <w:p w14:paraId="5F2CFA12" w14:textId="77777777" w:rsidR="00E836FB" w:rsidRDefault="00E836FB">
            <w:pPr>
              <w:rPr>
                <w:rFonts w:ascii="宋体"/>
              </w:rPr>
            </w:pPr>
          </w:p>
        </w:tc>
        <w:tc>
          <w:tcPr>
            <w:tcW w:w="5" w:type="pct"/>
            <w:shd w:val="clear" w:color="auto" w:fill="auto"/>
            <w:vAlign w:val="bottom"/>
          </w:tcPr>
          <w:p w14:paraId="5F2CFA13" w14:textId="77777777" w:rsidR="00E836FB" w:rsidRDefault="00E836FB">
            <w:pPr>
              <w:rPr>
                <w:rFonts w:ascii="宋体"/>
              </w:rPr>
            </w:pPr>
          </w:p>
        </w:tc>
      </w:tr>
      <w:tr w:rsidR="00E836FB" w14:paraId="5F2CFA17" w14:textId="77777777">
        <w:tc>
          <w:tcPr>
            <w:tcW w:w="0" w:type="auto"/>
            <w:gridSpan w:val="3"/>
            <w:shd w:val="clear" w:color="auto" w:fill="auto"/>
            <w:tcMar>
              <w:top w:w="0" w:type="dxa"/>
              <w:left w:w="20" w:type="dxa"/>
              <w:bottom w:w="0" w:type="dxa"/>
              <w:right w:w="20" w:type="dxa"/>
            </w:tcMar>
            <w:vAlign w:val="bottom"/>
          </w:tcPr>
          <w:p w14:paraId="5F2CFA15" w14:textId="77777777" w:rsidR="00E836FB" w:rsidRDefault="00E836FB">
            <w:pPr>
              <w:rPr>
                <w:rFonts w:ascii="宋体"/>
              </w:rPr>
            </w:pPr>
          </w:p>
        </w:tc>
        <w:tc>
          <w:tcPr>
            <w:tcW w:w="0" w:type="auto"/>
            <w:gridSpan w:val="27"/>
            <w:shd w:val="clear" w:color="auto" w:fill="auto"/>
            <w:tcMar>
              <w:top w:w="40" w:type="dxa"/>
              <w:left w:w="20" w:type="dxa"/>
              <w:bottom w:w="40" w:type="dxa"/>
              <w:right w:w="20" w:type="dxa"/>
            </w:tcMar>
            <w:vAlign w:val="bottom"/>
          </w:tcPr>
          <w:p w14:paraId="5F2CFA16" w14:textId="77777777" w:rsidR="00E836FB" w:rsidRDefault="00994958">
            <w:pPr>
              <w:jc w:val="center"/>
              <w:textAlignment w:val="bottom"/>
            </w:pPr>
            <w:r>
              <w:rPr>
                <w:rFonts w:ascii="Arial" w:eastAsia="宋体" w:hAnsi="Arial" w:cs="Arial"/>
                <w:b/>
                <w:bCs/>
                <w:color w:val="000000"/>
                <w:sz w:val="15"/>
                <w:szCs w:val="15"/>
              </w:rPr>
              <w:t>Fair Value Measurements on a Recurring Basis</w:t>
            </w:r>
          </w:p>
        </w:tc>
      </w:tr>
      <w:tr w:rsidR="00E836FB" w14:paraId="5F2CFA1A" w14:textId="77777777">
        <w:tc>
          <w:tcPr>
            <w:tcW w:w="0" w:type="auto"/>
            <w:gridSpan w:val="3"/>
            <w:shd w:val="clear" w:color="auto" w:fill="auto"/>
            <w:tcMar>
              <w:top w:w="0" w:type="dxa"/>
              <w:left w:w="20" w:type="dxa"/>
              <w:bottom w:w="0" w:type="dxa"/>
              <w:right w:w="20" w:type="dxa"/>
            </w:tcMar>
            <w:vAlign w:val="bottom"/>
          </w:tcPr>
          <w:p w14:paraId="5F2CFA18" w14:textId="77777777" w:rsidR="00E836FB" w:rsidRDefault="00E836FB">
            <w:pPr>
              <w:rPr>
                <w:rFonts w:ascii="宋体"/>
              </w:rPr>
            </w:pPr>
          </w:p>
        </w:tc>
        <w:tc>
          <w:tcPr>
            <w:tcW w:w="0" w:type="auto"/>
            <w:gridSpan w:val="27"/>
            <w:shd w:val="clear" w:color="auto" w:fill="auto"/>
            <w:tcMar>
              <w:top w:w="40" w:type="dxa"/>
              <w:left w:w="20" w:type="dxa"/>
              <w:bottom w:w="40" w:type="dxa"/>
              <w:right w:w="20" w:type="dxa"/>
            </w:tcMar>
            <w:vAlign w:val="bottom"/>
          </w:tcPr>
          <w:p w14:paraId="5F2CFA19" w14:textId="77777777" w:rsidR="00E836FB" w:rsidRDefault="00994958">
            <w:pPr>
              <w:jc w:val="center"/>
              <w:textAlignment w:val="bottom"/>
            </w:pPr>
            <w:r>
              <w:rPr>
                <w:rFonts w:ascii="Arial" w:eastAsia="宋体" w:hAnsi="Arial" w:cs="Arial"/>
                <w:b/>
                <w:bCs/>
                <w:color w:val="000000"/>
                <w:sz w:val="15"/>
                <w:szCs w:val="15"/>
              </w:rPr>
              <w:t>As of December 31, 2021</w:t>
            </w:r>
          </w:p>
        </w:tc>
      </w:tr>
      <w:tr w:rsidR="00E836FB" w14:paraId="5F2CFA34" w14:textId="77777777">
        <w:tc>
          <w:tcPr>
            <w:tcW w:w="0" w:type="auto"/>
            <w:gridSpan w:val="3"/>
            <w:shd w:val="clear" w:color="auto" w:fill="auto"/>
            <w:tcMar>
              <w:top w:w="40" w:type="dxa"/>
              <w:left w:w="20" w:type="dxa"/>
              <w:bottom w:w="40" w:type="dxa"/>
              <w:right w:w="20" w:type="dxa"/>
            </w:tcMar>
            <w:vAlign w:val="bottom"/>
          </w:tcPr>
          <w:p w14:paraId="5F2CFA1B"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A1C" w14:textId="77777777" w:rsidR="00E836FB" w:rsidRDefault="00994958">
            <w:pPr>
              <w:jc w:val="center"/>
              <w:textAlignment w:val="bottom"/>
            </w:pPr>
            <w:r>
              <w:rPr>
                <w:rFonts w:ascii="Arial" w:eastAsia="宋体" w:hAnsi="Arial" w:cs="Arial"/>
                <w:b/>
                <w:bCs/>
                <w:color w:val="000000"/>
                <w:sz w:val="15"/>
                <w:szCs w:val="15"/>
              </w:rPr>
              <w:t>Quoted Market</w:t>
            </w:r>
          </w:p>
          <w:p w14:paraId="5F2CFA1D" w14:textId="77777777" w:rsidR="00E836FB" w:rsidRDefault="00994958">
            <w:pPr>
              <w:jc w:val="center"/>
              <w:textAlignment w:val="bottom"/>
            </w:pPr>
            <w:r>
              <w:rPr>
                <w:rFonts w:ascii="Arial" w:eastAsia="宋体" w:hAnsi="Arial" w:cs="Arial"/>
                <w:b/>
                <w:bCs/>
                <w:color w:val="000000"/>
                <w:sz w:val="15"/>
                <w:szCs w:val="15"/>
              </w:rPr>
              <w:t>Prices in Active</w:t>
            </w:r>
          </w:p>
          <w:p w14:paraId="5F2CFA1E" w14:textId="77777777" w:rsidR="00E836FB" w:rsidRDefault="00994958">
            <w:pPr>
              <w:jc w:val="center"/>
              <w:textAlignment w:val="bottom"/>
            </w:pPr>
            <w:r>
              <w:rPr>
                <w:rFonts w:ascii="Arial" w:eastAsia="宋体" w:hAnsi="Arial" w:cs="Arial"/>
                <w:b/>
                <w:bCs/>
                <w:color w:val="000000"/>
                <w:sz w:val="15"/>
                <w:szCs w:val="15"/>
              </w:rPr>
              <w:t>Markets</w:t>
            </w:r>
          </w:p>
          <w:p w14:paraId="5F2CFA1F" w14:textId="77777777" w:rsidR="00E836FB" w:rsidRDefault="00994958">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2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A21" w14:textId="77777777" w:rsidR="00E836FB" w:rsidRDefault="00994958">
            <w:pPr>
              <w:jc w:val="center"/>
              <w:textAlignment w:val="bottom"/>
            </w:pPr>
            <w:r>
              <w:rPr>
                <w:rFonts w:ascii="Arial" w:eastAsia="宋体" w:hAnsi="Arial" w:cs="Arial"/>
                <w:b/>
                <w:bCs/>
                <w:color w:val="000000"/>
                <w:sz w:val="15"/>
                <w:szCs w:val="15"/>
              </w:rPr>
              <w:t>Pricing Methods</w:t>
            </w:r>
          </w:p>
          <w:p w14:paraId="5F2CFA22" w14:textId="77777777" w:rsidR="00E836FB" w:rsidRDefault="00994958">
            <w:pPr>
              <w:jc w:val="center"/>
              <w:textAlignment w:val="bottom"/>
            </w:pPr>
            <w:r>
              <w:rPr>
                <w:rFonts w:ascii="Arial" w:eastAsia="宋体" w:hAnsi="Arial" w:cs="Arial"/>
                <w:b/>
                <w:bCs/>
                <w:color w:val="000000"/>
                <w:sz w:val="15"/>
                <w:szCs w:val="15"/>
              </w:rPr>
              <w:t>with Significant</w:t>
            </w:r>
          </w:p>
          <w:p w14:paraId="5F2CFA23" w14:textId="77777777" w:rsidR="00E836FB" w:rsidRDefault="00994958">
            <w:pPr>
              <w:jc w:val="center"/>
              <w:textAlignment w:val="bottom"/>
            </w:pPr>
            <w:r>
              <w:rPr>
                <w:rFonts w:ascii="Arial" w:eastAsia="宋体" w:hAnsi="Arial" w:cs="Arial"/>
                <w:b/>
                <w:bCs/>
                <w:color w:val="000000"/>
                <w:sz w:val="15"/>
                <w:szCs w:val="15"/>
              </w:rPr>
              <w:t>Observable</w:t>
            </w:r>
          </w:p>
          <w:p w14:paraId="5F2CFA24" w14:textId="77777777" w:rsidR="00E836FB" w:rsidRDefault="00994958">
            <w:pPr>
              <w:jc w:val="center"/>
              <w:textAlignment w:val="bottom"/>
            </w:pPr>
            <w:r>
              <w:rPr>
                <w:rFonts w:ascii="Arial" w:eastAsia="宋体" w:hAnsi="Arial" w:cs="Arial"/>
                <w:b/>
                <w:bCs/>
                <w:color w:val="000000"/>
                <w:sz w:val="15"/>
                <w:szCs w:val="15"/>
              </w:rPr>
              <w:t>Market Inputs</w:t>
            </w:r>
          </w:p>
          <w:p w14:paraId="5F2CFA25" w14:textId="77777777" w:rsidR="00E836FB" w:rsidRDefault="00994958">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2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A27" w14:textId="77777777" w:rsidR="00E836FB" w:rsidRDefault="00994958">
            <w:pPr>
              <w:jc w:val="center"/>
              <w:textAlignment w:val="bottom"/>
            </w:pPr>
            <w:r>
              <w:rPr>
                <w:rFonts w:ascii="Arial" w:eastAsia="宋体" w:hAnsi="Arial" w:cs="Arial"/>
                <w:b/>
                <w:bCs/>
                <w:color w:val="000000"/>
                <w:sz w:val="15"/>
                <w:szCs w:val="15"/>
              </w:rPr>
              <w:t>Pricing Methods</w:t>
            </w:r>
          </w:p>
          <w:p w14:paraId="5F2CFA28" w14:textId="77777777" w:rsidR="00E836FB" w:rsidRDefault="00994958">
            <w:pPr>
              <w:jc w:val="center"/>
              <w:textAlignment w:val="bottom"/>
            </w:pPr>
            <w:r>
              <w:rPr>
                <w:rFonts w:ascii="Arial" w:eastAsia="宋体" w:hAnsi="Arial" w:cs="Arial"/>
                <w:b/>
                <w:bCs/>
                <w:color w:val="000000"/>
                <w:sz w:val="15"/>
                <w:szCs w:val="15"/>
              </w:rPr>
              <w:t>with Significant</w:t>
            </w:r>
          </w:p>
          <w:p w14:paraId="5F2CFA29" w14:textId="77777777" w:rsidR="00E836FB" w:rsidRDefault="00994958">
            <w:pPr>
              <w:jc w:val="center"/>
              <w:textAlignment w:val="bottom"/>
            </w:pPr>
            <w:r>
              <w:rPr>
                <w:rFonts w:ascii="Arial" w:eastAsia="宋体" w:hAnsi="Arial" w:cs="Arial"/>
                <w:b/>
                <w:bCs/>
                <w:color w:val="000000"/>
                <w:sz w:val="15"/>
                <w:szCs w:val="15"/>
              </w:rPr>
              <w:t>Unobservable</w:t>
            </w:r>
          </w:p>
          <w:p w14:paraId="5F2CFA2A" w14:textId="77777777" w:rsidR="00E836FB" w:rsidRDefault="00994958">
            <w:pPr>
              <w:jc w:val="center"/>
              <w:textAlignment w:val="bottom"/>
            </w:pPr>
            <w:r>
              <w:rPr>
                <w:rFonts w:ascii="Arial" w:eastAsia="宋体" w:hAnsi="Arial" w:cs="Arial"/>
                <w:b/>
                <w:bCs/>
                <w:color w:val="000000"/>
                <w:sz w:val="15"/>
                <w:szCs w:val="15"/>
              </w:rPr>
              <w:t>Market Inputs</w:t>
            </w:r>
          </w:p>
          <w:p w14:paraId="5F2CFA2B" w14:textId="77777777" w:rsidR="00E836FB" w:rsidRDefault="00994958">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2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A2D" w14:textId="77777777" w:rsidR="00E836FB" w:rsidRDefault="00994958">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2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A2F" w14:textId="77777777" w:rsidR="00E836FB" w:rsidRDefault="00994958">
            <w:pPr>
              <w:jc w:val="center"/>
              <w:textAlignment w:val="bottom"/>
            </w:pPr>
            <w:r>
              <w:rPr>
                <w:rFonts w:ascii="Arial" w:eastAsia="宋体" w:hAnsi="Arial" w:cs="Arial"/>
                <w:b/>
                <w:bCs/>
                <w:color w:val="000000"/>
                <w:sz w:val="15"/>
                <w:szCs w:val="15"/>
              </w:rPr>
              <w:t>Total Net</w:t>
            </w:r>
          </w:p>
          <w:p w14:paraId="5F2CFA30" w14:textId="77777777" w:rsidR="00E836FB" w:rsidRDefault="00994958">
            <w:pPr>
              <w:jc w:val="center"/>
              <w:textAlignment w:val="bottom"/>
            </w:pPr>
            <w:r>
              <w:rPr>
                <w:rFonts w:ascii="Arial" w:eastAsia="宋体" w:hAnsi="Arial" w:cs="Arial"/>
                <w:b/>
                <w:bCs/>
                <w:color w:val="000000"/>
                <w:sz w:val="15"/>
                <w:szCs w:val="15"/>
              </w:rPr>
              <w:t>Carrying Value</w:t>
            </w:r>
          </w:p>
          <w:p w14:paraId="5F2CFA31" w14:textId="77777777" w:rsidR="00E836FB" w:rsidRDefault="00994958">
            <w:pPr>
              <w:jc w:val="center"/>
              <w:textAlignment w:val="bottom"/>
            </w:pPr>
            <w:r>
              <w:rPr>
                <w:rFonts w:ascii="Arial" w:eastAsia="宋体" w:hAnsi="Arial" w:cs="Arial"/>
                <w:b/>
                <w:bCs/>
                <w:color w:val="000000"/>
                <w:sz w:val="15"/>
                <w:szCs w:val="15"/>
              </w:rPr>
              <w:t>in Consolidated</w:t>
            </w:r>
          </w:p>
          <w:p w14:paraId="5F2CFA32" w14:textId="77777777" w:rsidR="00E836FB" w:rsidRDefault="00994958">
            <w:pPr>
              <w:jc w:val="center"/>
              <w:textAlignment w:val="bottom"/>
            </w:pPr>
            <w:r>
              <w:rPr>
                <w:rFonts w:ascii="Arial" w:eastAsia="宋体" w:hAnsi="Arial" w:cs="Arial"/>
                <w:b/>
                <w:bCs/>
                <w:color w:val="000000"/>
                <w:sz w:val="15"/>
                <w:szCs w:val="15"/>
              </w:rPr>
              <w:t>Statement of</w:t>
            </w:r>
          </w:p>
          <w:p w14:paraId="5F2CFA33" w14:textId="77777777" w:rsidR="00E836FB" w:rsidRDefault="00994958">
            <w:pPr>
              <w:jc w:val="center"/>
              <w:textAlignment w:val="bottom"/>
            </w:pPr>
            <w:r>
              <w:rPr>
                <w:rFonts w:ascii="Arial" w:eastAsia="宋体" w:hAnsi="Arial" w:cs="Arial"/>
                <w:b/>
                <w:bCs/>
                <w:color w:val="000000"/>
                <w:sz w:val="15"/>
                <w:szCs w:val="15"/>
              </w:rPr>
              <w:t>Condition</w:t>
            </w:r>
          </w:p>
        </w:tc>
      </w:tr>
      <w:tr w:rsidR="00E836FB" w14:paraId="5F2CFA3F" w14:textId="77777777">
        <w:tc>
          <w:tcPr>
            <w:tcW w:w="0" w:type="auto"/>
            <w:gridSpan w:val="3"/>
            <w:shd w:val="clear" w:color="auto" w:fill="auto"/>
            <w:tcMar>
              <w:top w:w="40" w:type="dxa"/>
              <w:left w:w="20" w:type="dxa"/>
              <w:bottom w:w="40" w:type="dxa"/>
              <w:right w:w="20" w:type="dxa"/>
            </w:tcMar>
            <w:vAlign w:val="bottom"/>
          </w:tcPr>
          <w:p w14:paraId="5F2CFA35" w14:textId="77777777" w:rsidR="00E836FB" w:rsidRDefault="00994958">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3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3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3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3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3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3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A3E" w14:textId="77777777" w:rsidR="00E836FB" w:rsidRDefault="00E836FB">
            <w:pPr>
              <w:rPr>
                <w:rFonts w:ascii="宋体"/>
              </w:rPr>
            </w:pPr>
          </w:p>
        </w:tc>
      </w:tr>
      <w:tr w:rsidR="00E836FB" w14:paraId="5F2CFA4A" w14:textId="77777777">
        <w:tc>
          <w:tcPr>
            <w:tcW w:w="0" w:type="auto"/>
            <w:gridSpan w:val="3"/>
            <w:shd w:val="clear" w:color="auto" w:fill="auto"/>
            <w:tcMar>
              <w:top w:w="40" w:type="dxa"/>
              <w:left w:w="20" w:type="dxa"/>
              <w:bottom w:w="40" w:type="dxa"/>
              <w:right w:w="20" w:type="dxa"/>
            </w:tcMar>
            <w:vAlign w:val="bottom"/>
          </w:tcPr>
          <w:p w14:paraId="5F2CFA40" w14:textId="77777777" w:rsidR="00E836FB" w:rsidRDefault="00994958">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5F2CFA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A49" w14:textId="77777777" w:rsidR="00E836FB" w:rsidRDefault="00E836FB">
            <w:pPr>
              <w:rPr>
                <w:rFonts w:ascii="宋体"/>
              </w:rPr>
            </w:pPr>
          </w:p>
        </w:tc>
      </w:tr>
      <w:tr w:rsidR="00E836FB" w14:paraId="5F2CFA5D" w14:textId="77777777">
        <w:tc>
          <w:tcPr>
            <w:tcW w:w="0" w:type="auto"/>
            <w:gridSpan w:val="3"/>
            <w:shd w:val="clear" w:color="auto" w:fill="CCEEFF"/>
            <w:tcMar>
              <w:top w:w="40" w:type="dxa"/>
              <w:left w:w="245" w:type="dxa"/>
              <w:bottom w:w="40" w:type="dxa"/>
              <w:right w:w="20" w:type="dxa"/>
            </w:tcMar>
            <w:vAlign w:val="bottom"/>
          </w:tcPr>
          <w:p w14:paraId="5F2CFA4B" w14:textId="77777777" w:rsidR="00E836FB" w:rsidRDefault="00994958">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5F2CFA4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A4D" w14:textId="77777777" w:rsidR="00E836FB" w:rsidRDefault="00994958">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4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4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A50"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A5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5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A54"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A5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5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5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5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A5A"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A5B" w14:textId="77777777" w:rsidR="00E836FB" w:rsidRDefault="00994958">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5C" w14:textId="77777777" w:rsidR="00E836FB" w:rsidRDefault="00E836FB">
            <w:pPr>
              <w:jc w:val="right"/>
              <w:rPr>
                <w:rFonts w:ascii="宋体"/>
              </w:rPr>
            </w:pPr>
          </w:p>
        </w:tc>
      </w:tr>
      <w:tr w:rsidR="00E836FB" w14:paraId="5F2CFA6C" w14:textId="77777777">
        <w:tc>
          <w:tcPr>
            <w:tcW w:w="0" w:type="auto"/>
            <w:gridSpan w:val="3"/>
            <w:shd w:val="clear" w:color="auto" w:fill="FFFFFF"/>
            <w:tcMar>
              <w:top w:w="40" w:type="dxa"/>
              <w:left w:w="245" w:type="dxa"/>
              <w:bottom w:w="40" w:type="dxa"/>
              <w:right w:w="20" w:type="dxa"/>
            </w:tcMar>
            <w:vAlign w:val="bottom"/>
          </w:tcPr>
          <w:p w14:paraId="5F2CFA5E" w14:textId="77777777" w:rsidR="00E836FB" w:rsidRDefault="00994958">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5F2CFA5F"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A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A62" w14:textId="77777777" w:rsidR="00E836FB" w:rsidRDefault="00994958">
            <w:pPr>
              <w:jc w:val="right"/>
              <w:textAlignment w:val="bottom"/>
            </w:pPr>
            <w:r>
              <w:rPr>
                <w:rFonts w:ascii="Arial" w:eastAsia="宋体" w:hAnsi="Arial" w:cs="Arial"/>
                <w:b/>
                <w:bCs/>
                <w:color w:val="000000"/>
                <w:sz w:val="16"/>
                <w:szCs w:val="16"/>
              </w:rPr>
              <w:t>134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CFA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A6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A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6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6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A6A" w14:textId="77777777" w:rsidR="00E836FB" w:rsidRDefault="00994958">
            <w:pPr>
              <w:jc w:val="right"/>
              <w:textAlignment w:val="bottom"/>
            </w:pPr>
            <w:r>
              <w:rPr>
                <w:rFonts w:ascii="Arial" w:eastAsia="宋体" w:hAnsi="Arial" w:cs="Arial"/>
                <w:b/>
                <w:bCs/>
                <w:color w:val="000000"/>
                <w:sz w:val="15"/>
                <w:szCs w:val="15"/>
              </w:rPr>
              <w:t>134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A6B" w14:textId="77777777" w:rsidR="00E836FB" w:rsidRDefault="00E836FB">
            <w:pPr>
              <w:jc w:val="right"/>
              <w:rPr>
                <w:rFonts w:ascii="宋体"/>
              </w:rPr>
            </w:pPr>
          </w:p>
        </w:tc>
      </w:tr>
      <w:tr w:rsidR="00E836FB" w14:paraId="5F2CFA7B" w14:textId="77777777">
        <w:tc>
          <w:tcPr>
            <w:tcW w:w="0" w:type="auto"/>
            <w:gridSpan w:val="3"/>
            <w:shd w:val="clear" w:color="auto" w:fill="CCEEFF"/>
            <w:tcMar>
              <w:top w:w="40" w:type="dxa"/>
              <w:left w:w="245" w:type="dxa"/>
              <w:bottom w:w="40" w:type="dxa"/>
              <w:right w:w="20" w:type="dxa"/>
            </w:tcMar>
            <w:vAlign w:val="bottom"/>
          </w:tcPr>
          <w:p w14:paraId="5F2CFA6D"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5F2CFA6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A71" w14:textId="77777777" w:rsidR="00E836FB" w:rsidRDefault="00994958">
            <w:pPr>
              <w:jc w:val="right"/>
              <w:textAlignment w:val="bottom"/>
            </w:pPr>
            <w:r>
              <w:rPr>
                <w:rFonts w:ascii="Arial" w:eastAsia="宋体" w:hAnsi="Arial" w:cs="Arial"/>
                <w:b/>
                <w:bCs/>
                <w:color w:val="000000"/>
                <w:sz w:val="15"/>
                <w:szCs w:val="15"/>
              </w:rPr>
              <w:t>585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A7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7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7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7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A79" w14:textId="77777777" w:rsidR="00E836FB" w:rsidRDefault="00994958">
            <w:pPr>
              <w:jc w:val="right"/>
              <w:textAlignment w:val="bottom"/>
            </w:pPr>
            <w:r>
              <w:rPr>
                <w:rFonts w:ascii="Arial" w:eastAsia="宋体" w:hAnsi="Arial" w:cs="Arial"/>
                <w:b/>
                <w:bCs/>
                <w:color w:val="000000"/>
                <w:sz w:val="15"/>
                <w:szCs w:val="15"/>
              </w:rPr>
              <w:t>585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7A" w14:textId="77777777" w:rsidR="00E836FB" w:rsidRDefault="00E836FB">
            <w:pPr>
              <w:jc w:val="right"/>
              <w:rPr>
                <w:rFonts w:ascii="宋体"/>
              </w:rPr>
            </w:pPr>
          </w:p>
        </w:tc>
      </w:tr>
      <w:tr w:rsidR="00E836FB" w14:paraId="5F2CFA86" w14:textId="77777777">
        <w:trPr>
          <w:hidden/>
        </w:trPr>
        <w:tc>
          <w:tcPr>
            <w:tcW w:w="0" w:type="auto"/>
            <w:gridSpan w:val="3"/>
            <w:shd w:val="clear" w:color="auto" w:fill="auto"/>
            <w:vAlign w:val="bottom"/>
          </w:tcPr>
          <w:p w14:paraId="5F2CFA7C" w14:textId="77777777" w:rsidR="00E836FB" w:rsidRDefault="00E836FB">
            <w:pPr>
              <w:rPr>
                <w:rFonts w:ascii="宋体"/>
                <w:vanish/>
              </w:rPr>
            </w:pPr>
          </w:p>
        </w:tc>
        <w:tc>
          <w:tcPr>
            <w:tcW w:w="0" w:type="auto"/>
            <w:gridSpan w:val="3"/>
            <w:shd w:val="clear" w:color="auto" w:fill="auto"/>
            <w:vAlign w:val="bottom"/>
          </w:tcPr>
          <w:p w14:paraId="5F2CFA7D" w14:textId="77777777" w:rsidR="00E836FB" w:rsidRDefault="00E836FB">
            <w:pPr>
              <w:rPr>
                <w:rFonts w:ascii="宋体"/>
                <w:vanish/>
              </w:rPr>
            </w:pPr>
          </w:p>
        </w:tc>
        <w:tc>
          <w:tcPr>
            <w:tcW w:w="0" w:type="auto"/>
            <w:gridSpan w:val="3"/>
            <w:shd w:val="clear" w:color="auto" w:fill="auto"/>
            <w:vAlign w:val="bottom"/>
          </w:tcPr>
          <w:p w14:paraId="5F2CFA7E" w14:textId="77777777" w:rsidR="00E836FB" w:rsidRDefault="00E836FB">
            <w:pPr>
              <w:rPr>
                <w:rFonts w:ascii="宋体"/>
                <w:vanish/>
              </w:rPr>
            </w:pPr>
          </w:p>
        </w:tc>
        <w:tc>
          <w:tcPr>
            <w:tcW w:w="0" w:type="auto"/>
            <w:gridSpan w:val="3"/>
            <w:shd w:val="clear" w:color="auto" w:fill="auto"/>
            <w:vAlign w:val="bottom"/>
          </w:tcPr>
          <w:p w14:paraId="5F2CFA7F" w14:textId="77777777" w:rsidR="00E836FB" w:rsidRDefault="00E836FB">
            <w:pPr>
              <w:rPr>
                <w:rFonts w:ascii="宋体"/>
                <w:vanish/>
              </w:rPr>
            </w:pPr>
          </w:p>
        </w:tc>
        <w:tc>
          <w:tcPr>
            <w:tcW w:w="0" w:type="auto"/>
            <w:gridSpan w:val="3"/>
            <w:shd w:val="clear" w:color="auto" w:fill="auto"/>
            <w:vAlign w:val="bottom"/>
          </w:tcPr>
          <w:p w14:paraId="5F2CFA80" w14:textId="77777777" w:rsidR="00E836FB" w:rsidRDefault="00E836FB">
            <w:pPr>
              <w:rPr>
                <w:rFonts w:ascii="宋体"/>
                <w:vanish/>
              </w:rPr>
            </w:pPr>
          </w:p>
        </w:tc>
        <w:tc>
          <w:tcPr>
            <w:tcW w:w="0" w:type="auto"/>
            <w:gridSpan w:val="3"/>
            <w:shd w:val="clear" w:color="auto" w:fill="auto"/>
            <w:vAlign w:val="bottom"/>
          </w:tcPr>
          <w:p w14:paraId="5F2CFA81" w14:textId="77777777" w:rsidR="00E836FB" w:rsidRDefault="00E836FB">
            <w:pPr>
              <w:rPr>
                <w:rFonts w:ascii="宋体"/>
                <w:vanish/>
              </w:rPr>
            </w:pPr>
          </w:p>
        </w:tc>
        <w:tc>
          <w:tcPr>
            <w:tcW w:w="0" w:type="auto"/>
            <w:gridSpan w:val="3"/>
            <w:shd w:val="clear" w:color="auto" w:fill="auto"/>
            <w:vAlign w:val="bottom"/>
          </w:tcPr>
          <w:p w14:paraId="5F2CFA82" w14:textId="77777777" w:rsidR="00E836FB" w:rsidRDefault="00E836FB">
            <w:pPr>
              <w:rPr>
                <w:rFonts w:ascii="宋体"/>
                <w:vanish/>
              </w:rPr>
            </w:pPr>
          </w:p>
        </w:tc>
        <w:tc>
          <w:tcPr>
            <w:tcW w:w="0" w:type="auto"/>
            <w:gridSpan w:val="3"/>
            <w:shd w:val="clear" w:color="auto" w:fill="auto"/>
            <w:vAlign w:val="bottom"/>
          </w:tcPr>
          <w:p w14:paraId="5F2CFA83" w14:textId="77777777" w:rsidR="00E836FB" w:rsidRDefault="00E836FB">
            <w:pPr>
              <w:rPr>
                <w:rFonts w:ascii="宋体"/>
                <w:vanish/>
              </w:rPr>
            </w:pPr>
          </w:p>
        </w:tc>
        <w:tc>
          <w:tcPr>
            <w:tcW w:w="0" w:type="auto"/>
            <w:gridSpan w:val="3"/>
            <w:shd w:val="clear" w:color="auto" w:fill="auto"/>
            <w:vAlign w:val="bottom"/>
          </w:tcPr>
          <w:p w14:paraId="5F2CFA84" w14:textId="77777777" w:rsidR="00E836FB" w:rsidRDefault="00E836FB">
            <w:pPr>
              <w:rPr>
                <w:rFonts w:ascii="宋体"/>
                <w:vanish/>
              </w:rPr>
            </w:pPr>
          </w:p>
        </w:tc>
        <w:tc>
          <w:tcPr>
            <w:tcW w:w="0" w:type="auto"/>
            <w:gridSpan w:val="3"/>
            <w:shd w:val="clear" w:color="auto" w:fill="auto"/>
            <w:vAlign w:val="bottom"/>
          </w:tcPr>
          <w:p w14:paraId="5F2CFA85" w14:textId="77777777" w:rsidR="00E836FB" w:rsidRDefault="00E836FB">
            <w:pPr>
              <w:rPr>
                <w:rFonts w:ascii="宋体"/>
                <w:vanish/>
              </w:rPr>
            </w:pPr>
          </w:p>
        </w:tc>
      </w:tr>
      <w:tr w:rsidR="00E836FB" w14:paraId="5F2CFA95" w14:textId="77777777">
        <w:tc>
          <w:tcPr>
            <w:tcW w:w="0" w:type="auto"/>
            <w:gridSpan w:val="3"/>
            <w:shd w:val="clear" w:color="auto" w:fill="FFFFFF"/>
            <w:tcMar>
              <w:top w:w="40" w:type="dxa"/>
              <w:left w:w="740" w:type="dxa"/>
              <w:bottom w:w="40" w:type="dxa"/>
              <w:right w:w="20" w:type="dxa"/>
            </w:tcMar>
            <w:vAlign w:val="bottom"/>
          </w:tcPr>
          <w:p w14:paraId="5F2CFA87" w14:textId="77777777" w:rsidR="00E836FB" w:rsidRDefault="00994958">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A88" w14:textId="77777777" w:rsidR="00E836FB" w:rsidRDefault="00994958">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A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8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A8B" w14:textId="77777777" w:rsidR="00E836FB" w:rsidRDefault="00994958">
            <w:pPr>
              <w:jc w:val="right"/>
              <w:textAlignment w:val="bottom"/>
            </w:pPr>
            <w:r>
              <w:rPr>
                <w:rFonts w:ascii="Arial" w:eastAsia="宋体" w:hAnsi="Arial" w:cs="Arial"/>
                <w:b/>
                <w:bCs/>
                <w:color w:val="000000"/>
                <w:sz w:val="15"/>
                <w:szCs w:val="15"/>
              </w:rPr>
              <w:t>719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A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8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A8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A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9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9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9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A93" w14:textId="77777777" w:rsidR="00E836FB" w:rsidRDefault="00994958">
            <w:pPr>
              <w:jc w:val="right"/>
              <w:textAlignment w:val="bottom"/>
            </w:pPr>
            <w:r>
              <w:rPr>
                <w:rFonts w:ascii="Arial" w:eastAsia="宋体" w:hAnsi="Arial" w:cs="Arial"/>
                <w:b/>
                <w:bCs/>
                <w:color w:val="000000"/>
                <w:sz w:val="15"/>
                <w:szCs w:val="15"/>
              </w:rPr>
              <w:t>758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A94" w14:textId="77777777" w:rsidR="00E836FB" w:rsidRDefault="00E836FB">
            <w:pPr>
              <w:jc w:val="right"/>
              <w:rPr>
                <w:rFonts w:ascii="宋体"/>
              </w:rPr>
            </w:pPr>
          </w:p>
        </w:tc>
      </w:tr>
      <w:tr w:rsidR="00E836FB" w14:paraId="5F2CFAA0" w14:textId="77777777">
        <w:tc>
          <w:tcPr>
            <w:tcW w:w="0" w:type="auto"/>
            <w:gridSpan w:val="3"/>
            <w:shd w:val="clear" w:color="auto" w:fill="CCEEFF"/>
            <w:tcMar>
              <w:top w:w="40" w:type="dxa"/>
              <w:left w:w="20" w:type="dxa"/>
              <w:bottom w:w="40" w:type="dxa"/>
              <w:right w:w="20" w:type="dxa"/>
            </w:tcMar>
            <w:vAlign w:val="bottom"/>
          </w:tcPr>
          <w:p w14:paraId="5F2CFA96" w14:textId="77777777" w:rsidR="00E836FB" w:rsidRDefault="00994958">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A9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98"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A9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9A"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A9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9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9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9E"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A9F" w14:textId="77777777" w:rsidR="00E836FB" w:rsidRDefault="00E836FB">
            <w:pPr>
              <w:rPr>
                <w:rFonts w:ascii="宋体"/>
              </w:rPr>
            </w:pPr>
          </w:p>
        </w:tc>
      </w:tr>
      <w:tr w:rsidR="00E836FB" w14:paraId="5F2CFAAB" w14:textId="77777777">
        <w:tc>
          <w:tcPr>
            <w:tcW w:w="0" w:type="auto"/>
            <w:gridSpan w:val="3"/>
            <w:shd w:val="clear" w:color="auto" w:fill="FFFFFF"/>
            <w:tcMar>
              <w:top w:w="40" w:type="dxa"/>
              <w:left w:w="245" w:type="dxa"/>
              <w:bottom w:w="40" w:type="dxa"/>
              <w:right w:w="20" w:type="dxa"/>
            </w:tcMar>
            <w:vAlign w:val="bottom"/>
          </w:tcPr>
          <w:p w14:paraId="5F2CFAA1" w14:textId="77777777" w:rsidR="00E836FB" w:rsidRDefault="00994958">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vAlign w:val="bottom"/>
          </w:tcPr>
          <w:p w14:paraId="5F2CFAA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AA" w14:textId="77777777" w:rsidR="00E836FB" w:rsidRDefault="00E836FB">
            <w:pPr>
              <w:rPr>
                <w:rFonts w:ascii="宋体"/>
              </w:rPr>
            </w:pPr>
          </w:p>
        </w:tc>
      </w:tr>
      <w:tr w:rsidR="00E836FB" w14:paraId="5F2CFABA" w14:textId="77777777">
        <w:tc>
          <w:tcPr>
            <w:tcW w:w="0" w:type="auto"/>
            <w:gridSpan w:val="3"/>
            <w:shd w:val="clear" w:color="auto" w:fill="CCEEFF"/>
            <w:tcMar>
              <w:top w:w="40" w:type="dxa"/>
              <w:left w:w="515" w:type="dxa"/>
              <w:bottom w:w="40" w:type="dxa"/>
              <w:right w:w="20" w:type="dxa"/>
            </w:tcMar>
            <w:vAlign w:val="bottom"/>
          </w:tcPr>
          <w:p w14:paraId="5F2CFAAC" w14:textId="77777777" w:rsidR="00E836FB" w:rsidRDefault="00994958">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5F2CFAAD" w14:textId="77777777" w:rsidR="00E836FB" w:rsidRDefault="00994958">
            <w:pPr>
              <w:jc w:val="right"/>
              <w:textAlignment w:val="bottom"/>
            </w:pPr>
            <w:r>
              <w:rPr>
                <w:rFonts w:ascii="Arial" w:eastAsia="宋体" w:hAnsi="Arial" w:cs="Arial"/>
                <w:b/>
                <w:bCs/>
                <w:color w:val="000000"/>
                <w:sz w:val="15"/>
                <w:szCs w:val="15"/>
              </w:rPr>
              <w:t>17,939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A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AB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B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B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AB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B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B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AB8" w14:textId="77777777" w:rsidR="00E836FB" w:rsidRDefault="00994958">
            <w:pPr>
              <w:jc w:val="right"/>
              <w:textAlignment w:val="bottom"/>
            </w:pPr>
            <w:r>
              <w:rPr>
                <w:rFonts w:ascii="Arial" w:eastAsia="宋体" w:hAnsi="Arial" w:cs="Arial"/>
                <w:b/>
                <w:bCs/>
                <w:color w:val="000000"/>
                <w:sz w:val="15"/>
                <w:szCs w:val="15"/>
              </w:rPr>
              <w:t>17,939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AB9" w14:textId="77777777" w:rsidR="00E836FB" w:rsidRDefault="00E836FB">
            <w:pPr>
              <w:jc w:val="right"/>
              <w:rPr>
                <w:rFonts w:ascii="宋体"/>
              </w:rPr>
            </w:pPr>
          </w:p>
        </w:tc>
      </w:tr>
      <w:tr w:rsidR="00E836FB" w14:paraId="5F2CFAC9" w14:textId="77777777">
        <w:tc>
          <w:tcPr>
            <w:tcW w:w="0" w:type="auto"/>
            <w:gridSpan w:val="3"/>
            <w:shd w:val="clear" w:color="auto" w:fill="FFFFFF"/>
            <w:tcMar>
              <w:top w:w="40" w:type="dxa"/>
              <w:left w:w="515" w:type="dxa"/>
              <w:bottom w:w="40" w:type="dxa"/>
              <w:right w:w="20" w:type="dxa"/>
            </w:tcMar>
            <w:vAlign w:val="bottom"/>
          </w:tcPr>
          <w:p w14:paraId="5F2CFABB"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F2CFAB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AB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B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ABF" w14:textId="77777777" w:rsidR="00E836FB" w:rsidRDefault="00994958">
            <w:pPr>
              <w:jc w:val="right"/>
              <w:textAlignment w:val="bottom"/>
            </w:pPr>
            <w:r>
              <w:rPr>
                <w:rFonts w:ascii="Arial" w:eastAsia="宋体" w:hAnsi="Arial" w:cs="Arial"/>
                <w:b/>
                <w:bCs/>
                <w:color w:val="000000"/>
                <w:sz w:val="15"/>
                <w:szCs w:val="15"/>
              </w:rPr>
              <w:t>18,208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AC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C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AC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A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AC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C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A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AC7" w14:textId="77777777" w:rsidR="00E836FB" w:rsidRDefault="00994958">
            <w:pPr>
              <w:jc w:val="right"/>
              <w:textAlignment w:val="bottom"/>
            </w:pPr>
            <w:r>
              <w:rPr>
                <w:rFonts w:ascii="Arial" w:eastAsia="宋体" w:hAnsi="Arial" w:cs="Arial"/>
                <w:b/>
                <w:bCs/>
                <w:color w:val="000000"/>
                <w:sz w:val="15"/>
                <w:szCs w:val="15"/>
              </w:rPr>
              <w:t>18,208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AC8" w14:textId="77777777" w:rsidR="00E836FB" w:rsidRDefault="00E836FB">
            <w:pPr>
              <w:jc w:val="right"/>
              <w:rPr>
                <w:rFonts w:ascii="宋体"/>
              </w:rPr>
            </w:pPr>
          </w:p>
        </w:tc>
      </w:tr>
      <w:tr w:rsidR="00E836FB" w14:paraId="5F2CFAD8" w14:textId="77777777">
        <w:tc>
          <w:tcPr>
            <w:tcW w:w="0" w:type="auto"/>
            <w:gridSpan w:val="3"/>
            <w:shd w:val="clear" w:color="auto" w:fill="CCEEFF"/>
            <w:tcMar>
              <w:top w:w="40" w:type="dxa"/>
              <w:left w:w="740" w:type="dxa"/>
              <w:bottom w:w="40" w:type="dxa"/>
              <w:right w:w="20" w:type="dxa"/>
            </w:tcMar>
            <w:vAlign w:val="bottom"/>
          </w:tcPr>
          <w:p w14:paraId="5F2CFACA"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ACB" w14:textId="77777777" w:rsidR="00E836FB" w:rsidRDefault="00994958">
            <w:pPr>
              <w:jc w:val="right"/>
              <w:textAlignment w:val="bottom"/>
            </w:pPr>
            <w:r>
              <w:rPr>
                <w:rFonts w:ascii="Arial" w:eastAsia="宋体" w:hAnsi="Arial" w:cs="Arial"/>
                <w:b/>
                <w:bCs/>
                <w:color w:val="000000"/>
                <w:sz w:val="15"/>
                <w:szCs w:val="15"/>
              </w:rPr>
              <w:t>17,939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A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C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ACE" w14:textId="77777777" w:rsidR="00E836FB" w:rsidRDefault="00994958">
            <w:pPr>
              <w:jc w:val="right"/>
              <w:textAlignment w:val="bottom"/>
            </w:pPr>
            <w:r>
              <w:rPr>
                <w:rFonts w:ascii="Arial" w:eastAsia="宋体" w:hAnsi="Arial" w:cs="Arial"/>
                <w:b/>
                <w:bCs/>
                <w:color w:val="000000"/>
                <w:sz w:val="15"/>
                <w:szCs w:val="15"/>
              </w:rPr>
              <w:t>18,208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A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D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AD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A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AD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D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AD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AD6" w14:textId="77777777" w:rsidR="00E836FB" w:rsidRDefault="00994958">
            <w:pPr>
              <w:jc w:val="right"/>
              <w:textAlignment w:val="bottom"/>
            </w:pPr>
            <w:r>
              <w:rPr>
                <w:rFonts w:ascii="Arial" w:eastAsia="宋体" w:hAnsi="Arial" w:cs="Arial"/>
                <w:b/>
                <w:bCs/>
                <w:color w:val="000000"/>
                <w:sz w:val="15"/>
                <w:szCs w:val="15"/>
              </w:rPr>
              <w:t>36,147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AD7" w14:textId="77777777" w:rsidR="00E836FB" w:rsidRDefault="00E836FB">
            <w:pPr>
              <w:jc w:val="right"/>
              <w:rPr>
                <w:rFonts w:ascii="宋体"/>
              </w:rPr>
            </w:pPr>
          </w:p>
        </w:tc>
      </w:tr>
      <w:tr w:rsidR="00E836FB" w14:paraId="5F2CFAE3" w14:textId="77777777">
        <w:trPr>
          <w:hidden/>
        </w:trPr>
        <w:tc>
          <w:tcPr>
            <w:tcW w:w="0" w:type="auto"/>
            <w:gridSpan w:val="3"/>
            <w:shd w:val="clear" w:color="auto" w:fill="auto"/>
            <w:vAlign w:val="bottom"/>
          </w:tcPr>
          <w:p w14:paraId="5F2CFAD9" w14:textId="77777777" w:rsidR="00E836FB" w:rsidRDefault="00E836FB">
            <w:pPr>
              <w:rPr>
                <w:rFonts w:ascii="宋体"/>
                <w:vanish/>
              </w:rPr>
            </w:pPr>
          </w:p>
        </w:tc>
        <w:tc>
          <w:tcPr>
            <w:tcW w:w="0" w:type="auto"/>
            <w:gridSpan w:val="3"/>
            <w:shd w:val="clear" w:color="auto" w:fill="auto"/>
            <w:vAlign w:val="bottom"/>
          </w:tcPr>
          <w:p w14:paraId="5F2CFADA" w14:textId="77777777" w:rsidR="00E836FB" w:rsidRDefault="00E836FB">
            <w:pPr>
              <w:rPr>
                <w:rFonts w:ascii="宋体"/>
                <w:vanish/>
              </w:rPr>
            </w:pPr>
          </w:p>
        </w:tc>
        <w:tc>
          <w:tcPr>
            <w:tcW w:w="0" w:type="auto"/>
            <w:gridSpan w:val="3"/>
            <w:shd w:val="clear" w:color="auto" w:fill="auto"/>
            <w:vAlign w:val="bottom"/>
          </w:tcPr>
          <w:p w14:paraId="5F2CFADB" w14:textId="77777777" w:rsidR="00E836FB" w:rsidRDefault="00E836FB">
            <w:pPr>
              <w:rPr>
                <w:rFonts w:ascii="宋体"/>
                <w:vanish/>
              </w:rPr>
            </w:pPr>
          </w:p>
        </w:tc>
        <w:tc>
          <w:tcPr>
            <w:tcW w:w="0" w:type="auto"/>
            <w:gridSpan w:val="3"/>
            <w:shd w:val="clear" w:color="auto" w:fill="auto"/>
            <w:vAlign w:val="bottom"/>
          </w:tcPr>
          <w:p w14:paraId="5F2CFADC" w14:textId="77777777" w:rsidR="00E836FB" w:rsidRDefault="00E836FB">
            <w:pPr>
              <w:rPr>
                <w:rFonts w:ascii="宋体"/>
                <w:vanish/>
              </w:rPr>
            </w:pPr>
          </w:p>
        </w:tc>
        <w:tc>
          <w:tcPr>
            <w:tcW w:w="0" w:type="auto"/>
            <w:gridSpan w:val="3"/>
            <w:shd w:val="clear" w:color="auto" w:fill="auto"/>
            <w:vAlign w:val="bottom"/>
          </w:tcPr>
          <w:p w14:paraId="5F2CFADD" w14:textId="77777777" w:rsidR="00E836FB" w:rsidRDefault="00E836FB">
            <w:pPr>
              <w:rPr>
                <w:rFonts w:ascii="宋体"/>
                <w:vanish/>
              </w:rPr>
            </w:pPr>
          </w:p>
        </w:tc>
        <w:tc>
          <w:tcPr>
            <w:tcW w:w="0" w:type="auto"/>
            <w:gridSpan w:val="3"/>
            <w:shd w:val="clear" w:color="auto" w:fill="auto"/>
            <w:vAlign w:val="bottom"/>
          </w:tcPr>
          <w:p w14:paraId="5F2CFADE" w14:textId="77777777" w:rsidR="00E836FB" w:rsidRDefault="00E836FB">
            <w:pPr>
              <w:rPr>
                <w:rFonts w:ascii="宋体"/>
                <w:vanish/>
              </w:rPr>
            </w:pPr>
          </w:p>
        </w:tc>
        <w:tc>
          <w:tcPr>
            <w:tcW w:w="0" w:type="auto"/>
            <w:gridSpan w:val="3"/>
            <w:shd w:val="clear" w:color="auto" w:fill="auto"/>
            <w:vAlign w:val="bottom"/>
          </w:tcPr>
          <w:p w14:paraId="5F2CFADF" w14:textId="77777777" w:rsidR="00E836FB" w:rsidRDefault="00E836FB">
            <w:pPr>
              <w:rPr>
                <w:rFonts w:ascii="宋体"/>
                <w:vanish/>
              </w:rPr>
            </w:pPr>
          </w:p>
        </w:tc>
        <w:tc>
          <w:tcPr>
            <w:tcW w:w="0" w:type="auto"/>
            <w:gridSpan w:val="3"/>
            <w:shd w:val="clear" w:color="auto" w:fill="auto"/>
            <w:vAlign w:val="bottom"/>
          </w:tcPr>
          <w:p w14:paraId="5F2CFAE0" w14:textId="77777777" w:rsidR="00E836FB" w:rsidRDefault="00E836FB">
            <w:pPr>
              <w:rPr>
                <w:rFonts w:ascii="宋体"/>
                <w:vanish/>
              </w:rPr>
            </w:pPr>
          </w:p>
        </w:tc>
        <w:tc>
          <w:tcPr>
            <w:tcW w:w="0" w:type="auto"/>
            <w:gridSpan w:val="3"/>
            <w:shd w:val="clear" w:color="auto" w:fill="auto"/>
            <w:vAlign w:val="bottom"/>
          </w:tcPr>
          <w:p w14:paraId="5F2CFAE1" w14:textId="77777777" w:rsidR="00E836FB" w:rsidRDefault="00E836FB">
            <w:pPr>
              <w:rPr>
                <w:rFonts w:ascii="宋体"/>
                <w:vanish/>
              </w:rPr>
            </w:pPr>
          </w:p>
        </w:tc>
        <w:tc>
          <w:tcPr>
            <w:tcW w:w="0" w:type="auto"/>
            <w:gridSpan w:val="3"/>
            <w:shd w:val="clear" w:color="auto" w:fill="auto"/>
            <w:vAlign w:val="bottom"/>
          </w:tcPr>
          <w:p w14:paraId="5F2CFAE2" w14:textId="77777777" w:rsidR="00E836FB" w:rsidRDefault="00E836FB">
            <w:pPr>
              <w:rPr>
                <w:rFonts w:ascii="宋体"/>
                <w:vanish/>
              </w:rPr>
            </w:pPr>
          </w:p>
        </w:tc>
      </w:tr>
      <w:tr w:rsidR="00E836FB" w14:paraId="5F2CFAEE" w14:textId="77777777">
        <w:trPr>
          <w:hidden/>
        </w:trPr>
        <w:tc>
          <w:tcPr>
            <w:tcW w:w="0" w:type="auto"/>
            <w:gridSpan w:val="3"/>
            <w:shd w:val="clear" w:color="auto" w:fill="auto"/>
            <w:vAlign w:val="bottom"/>
          </w:tcPr>
          <w:p w14:paraId="5F2CFAE4" w14:textId="77777777" w:rsidR="00E836FB" w:rsidRDefault="00E836FB">
            <w:pPr>
              <w:rPr>
                <w:rFonts w:ascii="宋体"/>
                <w:vanish/>
              </w:rPr>
            </w:pPr>
          </w:p>
        </w:tc>
        <w:tc>
          <w:tcPr>
            <w:tcW w:w="0" w:type="auto"/>
            <w:gridSpan w:val="3"/>
            <w:shd w:val="clear" w:color="auto" w:fill="auto"/>
            <w:vAlign w:val="bottom"/>
          </w:tcPr>
          <w:p w14:paraId="5F2CFAE5" w14:textId="77777777" w:rsidR="00E836FB" w:rsidRDefault="00E836FB">
            <w:pPr>
              <w:rPr>
                <w:rFonts w:ascii="宋体"/>
                <w:vanish/>
              </w:rPr>
            </w:pPr>
          </w:p>
        </w:tc>
        <w:tc>
          <w:tcPr>
            <w:tcW w:w="0" w:type="auto"/>
            <w:gridSpan w:val="3"/>
            <w:shd w:val="clear" w:color="auto" w:fill="auto"/>
            <w:vAlign w:val="bottom"/>
          </w:tcPr>
          <w:p w14:paraId="5F2CFAE6" w14:textId="77777777" w:rsidR="00E836FB" w:rsidRDefault="00E836FB">
            <w:pPr>
              <w:rPr>
                <w:rFonts w:ascii="宋体"/>
                <w:vanish/>
              </w:rPr>
            </w:pPr>
          </w:p>
        </w:tc>
        <w:tc>
          <w:tcPr>
            <w:tcW w:w="0" w:type="auto"/>
            <w:gridSpan w:val="3"/>
            <w:shd w:val="clear" w:color="auto" w:fill="auto"/>
            <w:vAlign w:val="bottom"/>
          </w:tcPr>
          <w:p w14:paraId="5F2CFAE7" w14:textId="77777777" w:rsidR="00E836FB" w:rsidRDefault="00E836FB">
            <w:pPr>
              <w:rPr>
                <w:rFonts w:ascii="宋体"/>
                <w:vanish/>
              </w:rPr>
            </w:pPr>
          </w:p>
        </w:tc>
        <w:tc>
          <w:tcPr>
            <w:tcW w:w="0" w:type="auto"/>
            <w:gridSpan w:val="3"/>
            <w:shd w:val="clear" w:color="auto" w:fill="auto"/>
            <w:vAlign w:val="bottom"/>
          </w:tcPr>
          <w:p w14:paraId="5F2CFAE8" w14:textId="77777777" w:rsidR="00E836FB" w:rsidRDefault="00E836FB">
            <w:pPr>
              <w:rPr>
                <w:rFonts w:ascii="宋体"/>
                <w:vanish/>
              </w:rPr>
            </w:pPr>
          </w:p>
        </w:tc>
        <w:tc>
          <w:tcPr>
            <w:tcW w:w="0" w:type="auto"/>
            <w:gridSpan w:val="3"/>
            <w:shd w:val="clear" w:color="auto" w:fill="auto"/>
            <w:vAlign w:val="bottom"/>
          </w:tcPr>
          <w:p w14:paraId="5F2CFAE9" w14:textId="77777777" w:rsidR="00E836FB" w:rsidRDefault="00E836FB">
            <w:pPr>
              <w:rPr>
                <w:rFonts w:ascii="宋体"/>
                <w:vanish/>
              </w:rPr>
            </w:pPr>
          </w:p>
        </w:tc>
        <w:tc>
          <w:tcPr>
            <w:tcW w:w="0" w:type="auto"/>
            <w:gridSpan w:val="3"/>
            <w:shd w:val="clear" w:color="auto" w:fill="auto"/>
            <w:vAlign w:val="bottom"/>
          </w:tcPr>
          <w:p w14:paraId="5F2CFAEA" w14:textId="77777777" w:rsidR="00E836FB" w:rsidRDefault="00E836FB">
            <w:pPr>
              <w:rPr>
                <w:rFonts w:ascii="宋体"/>
                <w:vanish/>
              </w:rPr>
            </w:pPr>
          </w:p>
        </w:tc>
        <w:tc>
          <w:tcPr>
            <w:tcW w:w="0" w:type="auto"/>
            <w:gridSpan w:val="3"/>
            <w:shd w:val="clear" w:color="auto" w:fill="auto"/>
            <w:vAlign w:val="bottom"/>
          </w:tcPr>
          <w:p w14:paraId="5F2CFAEB" w14:textId="77777777" w:rsidR="00E836FB" w:rsidRDefault="00E836FB">
            <w:pPr>
              <w:rPr>
                <w:rFonts w:ascii="宋体"/>
                <w:vanish/>
              </w:rPr>
            </w:pPr>
          </w:p>
        </w:tc>
        <w:tc>
          <w:tcPr>
            <w:tcW w:w="0" w:type="auto"/>
            <w:gridSpan w:val="3"/>
            <w:shd w:val="clear" w:color="auto" w:fill="auto"/>
            <w:vAlign w:val="bottom"/>
          </w:tcPr>
          <w:p w14:paraId="5F2CFAEC" w14:textId="77777777" w:rsidR="00E836FB" w:rsidRDefault="00E836FB">
            <w:pPr>
              <w:rPr>
                <w:rFonts w:ascii="宋体"/>
                <w:vanish/>
              </w:rPr>
            </w:pPr>
          </w:p>
        </w:tc>
        <w:tc>
          <w:tcPr>
            <w:tcW w:w="0" w:type="auto"/>
            <w:gridSpan w:val="3"/>
            <w:shd w:val="clear" w:color="auto" w:fill="auto"/>
            <w:vAlign w:val="bottom"/>
          </w:tcPr>
          <w:p w14:paraId="5F2CFAED" w14:textId="77777777" w:rsidR="00E836FB" w:rsidRDefault="00E836FB">
            <w:pPr>
              <w:rPr>
                <w:rFonts w:ascii="宋体"/>
                <w:vanish/>
              </w:rPr>
            </w:pPr>
          </w:p>
        </w:tc>
      </w:tr>
      <w:tr w:rsidR="00E836FB" w14:paraId="5F2CFAF9" w14:textId="77777777">
        <w:trPr>
          <w:hidden/>
        </w:trPr>
        <w:tc>
          <w:tcPr>
            <w:tcW w:w="0" w:type="auto"/>
            <w:gridSpan w:val="3"/>
            <w:shd w:val="clear" w:color="auto" w:fill="auto"/>
            <w:vAlign w:val="bottom"/>
          </w:tcPr>
          <w:p w14:paraId="5F2CFAEF" w14:textId="77777777" w:rsidR="00E836FB" w:rsidRDefault="00E836FB">
            <w:pPr>
              <w:rPr>
                <w:rFonts w:ascii="宋体"/>
                <w:vanish/>
              </w:rPr>
            </w:pPr>
          </w:p>
        </w:tc>
        <w:tc>
          <w:tcPr>
            <w:tcW w:w="0" w:type="auto"/>
            <w:gridSpan w:val="3"/>
            <w:shd w:val="clear" w:color="auto" w:fill="auto"/>
            <w:vAlign w:val="bottom"/>
          </w:tcPr>
          <w:p w14:paraId="5F2CFAF0" w14:textId="77777777" w:rsidR="00E836FB" w:rsidRDefault="00E836FB">
            <w:pPr>
              <w:rPr>
                <w:rFonts w:ascii="宋体"/>
                <w:vanish/>
              </w:rPr>
            </w:pPr>
          </w:p>
        </w:tc>
        <w:tc>
          <w:tcPr>
            <w:tcW w:w="0" w:type="auto"/>
            <w:gridSpan w:val="3"/>
            <w:shd w:val="clear" w:color="auto" w:fill="auto"/>
            <w:vAlign w:val="bottom"/>
          </w:tcPr>
          <w:p w14:paraId="5F2CFAF1" w14:textId="77777777" w:rsidR="00E836FB" w:rsidRDefault="00E836FB">
            <w:pPr>
              <w:rPr>
                <w:rFonts w:ascii="宋体"/>
                <w:vanish/>
              </w:rPr>
            </w:pPr>
          </w:p>
        </w:tc>
        <w:tc>
          <w:tcPr>
            <w:tcW w:w="0" w:type="auto"/>
            <w:gridSpan w:val="3"/>
            <w:shd w:val="clear" w:color="auto" w:fill="auto"/>
            <w:vAlign w:val="bottom"/>
          </w:tcPr>
          <w:p w14:paraId="5F2CFAF2" w14:textId="77777777" w:rsidR="00E836FB" w:rsidRDefault="00E836FB">
            <w:pPr>
              <w:rPr>
                <w:rFonts w:ascii="宋体"/>
                <w:vanish/>
              </w:rPr>
            </w:pPr>
          </w:p>
        </w:tc>
        <w:tc>
          <w:tcPr>
            <w:tcW w:w="0" w:type="auto"/>
            <w:gridSpan w:val="3"/>
            <w:shd w:val="clear" w:color="auto" w:fill="auto"/>
            <w:vAlign w:val="bottom"/>
          </w:tcPr>
          <w:p w14:paraId="5F2CFAF3" w14:textId="77777777" w:rsidR="00E836FB" w:rsidRDefault="00E836FB">
            <w:pPr>
              <w:rPr>
                <w:rFonts w:ascii="宋体"/>
                <w:vanish/>
              </w:rPr>
            </w:pPr>
          </w:p>
        </w:tc>
        <w:tc>
          <w:tcPr>
            <w:tcW w:w="0" w:type="auto"/>
            <w:gridSpan w:val="3"/>
            <w:shd w:val="clear" w:color="auto" w:fill="auto"/>
            <w:vAlign w:val="bottom"/>
          </w:tcPr>
          <w:p w14:paraId="5F2CFAF4" w14:textId="77777777" w:rsidR="00E836FB" w:rsidRDefault="00E836FB">
            <w:pPr>
              <w:rPr>
                <w:rFonts w:ascii="宋体"/>
                <w:vanish/>
              </w:rPr>
            </w:pPr>
          </w:p>
        </w:tc>
        <w:tc>
          <w:tcPr>
            <w:tcW w:w="0" w:type="auto"/>
            <w:gridSpan w:val="3"/>
            <w:shd w:val="clear" w:color="auto" w:fill="auto"/>
            <w:vAlign w:val="bottom"/>
          </w:tcPr>
          <w:p w14:paraId="5F2CFAF5" w14:textId="77777777" w:rsidR="00E836FB" w:rsidRDefault="00E836FB">
            <w:pPr>
              <w:rPr>
                <w:rFonts w:ascii="宋体"/>
                <w:vanish/>
              </w:rPr>
            </w:pPr>
          </w:p>
        </w:tc>
        <w:tc>
          <w:tcPr>
            <w:tcW w:w="0" w:type="auto"/>
            <w:gridSpan w:val="3"/>
            <w:shd w:val="clear" w:color="auto" w:fill="auto"/>
            <w:vAlign w:val="bottom"/>
          </w:tcPr>
          <w:p w14:paraId="5F2CFAF6" w14:textId="77777777" w:rsidR="00E836FB" w:rsidRDefault="00E836FB">
            <w:pPr>
              <w:rPr>
                <w:rFonts w:ascii="宋体"/>
                <w:vanish/>
              </w:rPr>
            </w:pPr>
          </w:p>
        </w:tc>
        <w:tc>
          <w:tcPr>
            <w:tcW w:w="0" w:type="auto"/>
            <w:gridSpan w:val="3"/>
            <w:shd w:val="clear" w:color="auto" w:fill="auto"/>
            <w:vAlign w:val="bottom"/>
          </w:tcPr>
          <w:p w14:paraId="5F2CFAF7" w14:textId="77777777" w:rsidR="00E836FB" w:rsidRDefault="00E836FB">
            <w:pPr>
              <w:rPr>
                <w:rFonts w:ascii="宋体"/>
                <w:vanish/>
              </w:rPr>
            </w:pPr>
          </w:p>
        </w:tc>
        <w:tc>
          <w:tcPr>
            <w:tcW w:w="0" w:type="auto"/>
            <w:gridSpan w:val="3"/>
            <w:shd w:val="clear" w:color="auto" w:fill="auto"/>
            <w:vAlign w:val="bottom"/>
          </w:tcPr>
          <w:p w14:paraId="5F2CFAF8" w14:textId="77777777" w:rsidR="00E836FB" w:rsidRDefault="00E836FB">
            <w:pPr>
              <w:rPr>
                <w:rFonts w:ascii="宋体"/>
                <w:vanish/>
              </w:rPr>
            </w:pPr>
          </w:p>
        </w:tc>
      </w:tr>
      <w:tr w:rsidR="00E836FB" w14:paraId="5F2CFB04" w14:textId="77777777">
        <w:trPr>
          <w:hidden/>
        </w:trPr>
        <w:tc>
          <w:tcPr>
            <w:tcW w:w="0" w:type="auto"/>
            <w:gridSpan w:val="3"/>
            <w:shd w:val="clear" w:color="auto" w:fill="auto"/>
            <w:vAlign w:val="bottom"/>
          </w:tcPr>
          <w:p w14:paraId="5F2CFAFA" w14:textId="77777777" w:rsidR="00E836FB" w:rsidRDefault="00E836FB">
            <w:pPr>
              <w:rPr>
                <w:rFonts w:ascii="宋体"/>
                <w:vanish/>
              </w:rPr>
            </w:pPr>
          </w:p>
        </w:tc>
        <w:tc>
          <w:tcPr>
            <w:tcW w:w="0" w:type="auto"/>
            <w:gridSpan w:val="3"/>
            <w:shd w:val="clear" w:color="auto" w:fill="auto"/>
            <w:vAlign w:val="bottom"/>
          </w:tcPr>
          <w:p w14:paraId="5F2CFAFB" w14:textId="77777777" w:rsidR="00E836FB" w:rsidRDefault="00E836FB">
            <w:pPr>
              <w:rPr>
                <w:rFonts w:ascii="宋体"/>
                <w:vanish/>
              </w:rPr>
            </w:pPr>
          </w:p>
        </w:tc>
        <w:tc>
          <w:tcPr>
            <w:tcW w:w="0" w:type="auto"/>
            <w:gridSpan w:val="3"/>
            <w:shd w:val="clear" w:color="auto" w:fill="auto"/>
            <w:vAlign w:val="bottom"/>
          </w:tcPr>
          <w:p w14:paraId="5F2CFAFC" w14:textId="77777777" w:rsidR="00E836FB" w:rsidRDefault="00E836FB">
            <w:pPr>
              <w:rPr>
                <w:rFonts w:ascii="宋体"/>
                <w:vanish/>
              </w:rPr>
            </w:pPr>
          </w:p>
        </w:tc>
        <w:tc>
          <w:tcPr>
            <w:tcW w:w="0" w:type="auto"/>
            <w:gridSpan w:val="3"/>
            <w:shd w:val="clear" w:color="auto" w:fill="auto"/>
            <w:vAlign w:val="bottom"/>
          </w:tcPr>
          <w:p w14:paraId="5F2CFAFD" w14:textId="77777777" w:rsidR="00E836FB" w:rsidRDefault="00E836FB">
            <w:pPr>
              <w:rPr>
                <w:rFonts w:ascii="宋体"/>
                <w:vanish/>
              </w:rPr>
            </w:pPr>
          </w:p>
        </w:tc>
        <w:tc>
          <w:tcPr>
            <w:tcW w:w="0" w:type="auto"/>
            <w:gridSpan w:val="3"/>
            <w:shd w:val="clear" w:color="auto" w:fill="auto"/>
            <w:vAlign w:val="bottom"/>
          </w:tcPr>
          <w:p w14:paraId="5F2CFAFE" w14:textId="77777777" w:rsidR="00E836FB" w:rsidRDefault="00E836FB">
            <w:pPr>
              <w:rPr>
                <w:rFonts w:ascii="宋体"/>
                <w:vanish/>
              </w:rPr>
            </w:pPr>
          </w:p>
        </w:tc>
        <w:tc>
          <w:tcPr>
            <w:tcW w:w="0" w:type="auto"/>
            <w:gridSpan w:val="3"/>
            <w:shd w:val="clear" w:color="auto" w:fill="auto"/>
            <w:vAlign w:val="bottom"/>
          </w:tcPr>
          <w:p w14:paraId="5F2CFAFF" w14:textId="77777777" w:rsidR="00E836FB" w:rsidRDefault="00E836FB">
            <w:pPr>
              <w:rPr>
                <w:rFonts w:ascii="宋体"/>
                <w:vanish/>
              </w:rPr>
            </w:pPr>
          </w:p>
        </w:tc>
        <w:tc>
          <w:tcPr>
            <w:tcW w:w="0" w:type="auto"/>
            <w:gridSpan w:val="3"/>
            <w:shd w:val="clear" w:color="auto" w:fill="auto"/>
            <w:vAlign w:val="bottom"/>
          </w:tcPr>
          <w:p w14:paraId="5F2CFB00" w14:textId="77777777" w:rsidR="00E836FB" w:rsidRDefault="00E836FB">
            <w:pPr>
              <w:rPr>
                <w:rFonts w:ascii="宋体"/>
                <w:vanish/>
              </w:rPr>
            </w:pPr>
          </w:p>
        </w:tc>
        <w:tc>
          <w:tcPr>
            <w:tcW w:w="0" w:type="auto"/>
            <w:gridSpan w:val="3"/>
            <w:shd w:val="clear" w:color="auto" w:fill="auto"/>
            <w:vAlign w:val="bottom"/>
          </w:tcPr>
          <w:p w14:paraId="5F2CFB01" w14:textId="77777777" w:rsidR="00E836FB" w:rsidRDefault="00E836FB">
            <w:pPr>
              <w:rPr>
                <w:rFonts w:ascii="宋体"/>
                <w:vanish/>
              </w:rPr>
            </w:pPr>
          </w:p>
        </w:tc>
        <w:tc>
          <w:tcPr>
            <w:tcW w:w="0" w:type="auto"/>
            <w:gridSpan w:val="3"/>
            <w:shd w:val="clear" w:color="auto" w:fill="auto"/>
            <w:vAlign w:val="bottom"/>
          </w:tcPr>
          <w:p w14:paraId="5F2CFB02" w14:textId="77777777" w:rsidR="00E836FB" w:rsidRDefault="00E836FB">
            <w:pPr>
              <w:rPr>
                <w:rFonts w:ascii="宋体"/>
                <w:vanish/>
              </w:rPr>
            </w:pPr>
          </w:p>
        </w:tc>
        <w:tc>
          <w:tcPr>
            <w:tcW w:w="0" w:type="auto"/>
            <w:gridSpan w:val="3"/>
            <w:shd w:val="clear" w:color="auto" w:fill="auto"/>
            <w:vAlign w:val="bottom"/>
          </w:tcPr>
          <w:p w14:paraId="5F2CFB03" w14:textId="77777777" w:rsidR="00E836FB" w:rsidRDefault="00E836FB">
            <w:pPr>
              <w:rPr>
                <w:rFonts w:ascii="宋体"/>
                <w:vanish/>
              </w:rPr>
            </w:pPr>
          </w:p>
        </w:tc>
      </w:tr>
      <w:tr w:rsidR="00E836FB" w14:paraId="5F2CFB0F" w14:textId="77777777">
        <w:trPr>
          <w:hidden/>
        </w:trPr>
        <w:tc>
          <w:tcPr>
            <w:tcW w:w="0" w:type="auto"/>
            <w:gridSpan w:val="3"/>
            <w:shd w:val="clear" w:color="auto" w:fill="auto"/>
            <w:vAlign w:val="bottom"/>
          </w:tcPr>
          <w:p w14:paraId="5F2CFB05" w14:textId="77777777" w:rsidR="00E836FB" w:rsidRDefault="00E836FB">
            <w:pPr>
              <w:rPr>
                <w:rFonts w:ascii="宋体"/>
                <w:vanish/>
              </w:rPr>
            </w:pPr>
          </w:p>
        </w:tc>
        <w:tc>
          <w:tcPr>
            <w:tcW w:w="0" w:type="auto"/>
            <w:gridSpan w:val="3"/>
            <w:shd w:val="clear" w:color="auto" w:fill="auto"/>
            <w:vAlign w:val="bottom"/>
          </w:tcPr>
          <w:p w14:paraId="5F2CFB06" w14:textId="77777777" w:rsidR="00E836FB" w:rsidRDefault="00E836FB">
            <w:pPr>
              <w:rPr>
                <w:rFonts w:ascii="宋体"/>
                <w:vanish/>
              </w:rPr>
            </w:pPr>
          </w:p>
        </w:tc>
        <w:tc>
          <w:tcPr>
            <w:tcW w:w="0" w:type="auto"/>
            <w:gridSpan w:val="3"/>
            <w:shd w:val="clear" w:color="auto" w:fill="auto"/>
            <w:vAlign w:val="bottom"/>
          </w:tcPr>
          <w:p w14:paraId="5F2CFB07" w14:textId="77777777" w:rsidR="00E836FB" w:rsidRDefault="00E836FB">
            <w:pPr>
              <w:rPr>
                <w:rFonts w:ascii="宋体"/>
                <w:vanish/>
              </w:rPr>
            </w:pPr>
          </w:p>
        </w:tc>
        <w:tc>
          <w:tcPr>
            <w:tcW w:w="0" w:type="auto"/>
            <w:gridSpan w:val="3"/>
            <w:shd w:val="clear" w:color="auto" w:fill="auto"/>
            <w:vAlign w:val="bottom"/>
          </w:tcPr>
          <w:p w14:paraId="5F2CFB08" w14:textId="77777777" w:rsidR="00E836FB" w:rsidRDefault="00E836FB">
            <w:pPr>
              <w:rPr>
                <w:rFonts w:ascii="宋体"/>
                <w:vanish/>
              </w:rPr>
            </w:pPr>
          </w:p>
        </w:tc>
        <w:tc>
          <w:tcPr>
            <w:tcW w:w="0" w:type="auto"/>
            <w:gridSpan w:val="3"/>
            <w:shd w:val="clear" w:color="auto" w:fill="auto"/>
            <w:vAlign w:val="bottom"/>
          </w:tcPr>
          <w:p w14:paraId="5F2CFB09" w14:textId="77777777" w:rsidR="00E836FB" w:rsidRDefault="00E836FB">
            <w:pPr>
              <w:rPr>
                <w:rFonts w:ascii="宋体"/>
                <w:vanish/>
              </w:rPr>
            </w:pPr>
          </w:p>
        </w:tc>
        <w:tc>
          <w:tcPr>
            <w:tcW w:w="0" w:type="auto"/>
            <w:gridSpan w:val="3"/>
            <w:shd w:val="clear" w:color="auto" w:fill="auto"/>
            <w:vAlign w:val="bottom"/>
          </w:tcPr>
          <w:p w14:paraId="5F2CFB0A" w14:textId="77777777" w:rsidR="00E836FB" w:rsidRDefault="00E836FB">
            <w:pPr>
              <w:rPr>
                <w:rFonts w:ascii="宋体"/>
                <w:vanish/>
              </w:rPr>
            </w:pPr>
          </w:p>
        </w:tc>
        <w:tc>
          <w:tcPr>
            <w:tcW w:w="0" w:type="auto"/>
            <w:gridSpan w:val="3"/>
            <w:shd w:val="clear" w:color="auto" w:fill="auto"/>
            <w:vAlign w:val="bottom"/>
          </w:tcPr>
          <w:p w14:paraId="5F2CFB0B" w14:textId="77777777" w:rsidR="00E836FB" w:rsidRDefault="00E836FB">
            <w:pPr>
              <w:rPr>
                <w:rFonts w:ascii="宋体"/>
                <w:vanish/>
              </w:rPr>
            </w:pPr>
          </w:p>
        </w:tc>
        <w:tc>
          <w:tcPr>
            <w:tcW w:w="0" w:type="auto"/>
            <w:gridSpan w:val="3"/>
            <w:shd w:val="clear" w:color="auto" w:fill="auto"/>
            <w:vAlign w:val="bottom"/>
          </w:tcPr>
          <w:p w14:paraId="5F2CFB0C" w14:textId="77777777" w:rsidR="00E836FB" w:rsidRDefault="00E836FB">
            <w:pPr>
              <w:rPr>
                <w:rFonts w:ascii="宋体"/>
                <w:vanish/>
              </w:rPr>
            </w:pPr>
          </w:p>
        </w:tc>
        <w:tc>
          <w:tcPr>
            <w:tcW w:w="0" w:type="auto"/>
            <w:gridSpan w:val="3"/>
            <w:shd w:val="clear" w:color="auto" w:fill="auto"/>
            <w:vAlign w:val="bottom"/>
          </w:tcPr>
          <w:p w14:paraId="5F2CFB0D" w14:textId="77777777" w:rsidR="00E836FB" w:rsidRDefault="00E836FB">
            <w:pPr>
              <w:rPr>
                <w:rFonts w:ascii="宋体"/>
                <w:vanish/>
              </w:rPr>
            </w:pPr>
          </w:p>
        </w:tc>
        <w:tc>
          <w:tcPr>
            <w:tcW w:w="0" w:type="auto"/>
            <w:gridSpan w:val="3"/>
            <w:shd w:val="clear" w:color="auto" w:fill="auto"/>
            <w:vAlign w:val="bottom"/>
          </w:tcPr>
          <w:p w14:paraId="5F2CFB0E" w14:textId="77777777" w:rsidR="00E836FB" w:rsidRDefault="00E836FB">
            <w:pPr>
              <w:rPr>
                <w:rFonts w:ascii="宋体"/>
                <w:vanish/>
              </w:rPr>
            </w:pPr>
          </w:p>
        </w:tc>
      </w:tr>
      <w:tr w:rsidR="00E836FB" w14:paraId="5F2CFB1A" w14:textId="77777777">
        <w:trPr>
          <w:hidden/>
        </w:trPr>
        <w:tc>
          <w:tcPr>
            <w:tcW w:w="0" w:type="auto"/>
            <w:gridSpan w:val="3"/>
            <w:shd w:val="clear" w:color="auto" w:fill="auto"/>
            <w:vAlign w:val="bottom"/>
          </w:tcPr>
          <w:p w14:paraId="5F2CFB10" w14:textId="77777777" w:rsidR="00E836FB" w:rsidRDefault="00E836FB">
            <w:pPr>
              <w:rPr>
                <w:rFonts w:ascii="宋体"/>
                <w:vanish/>
              </w:rPr>
            </w:pPr>
          </w:p>
        </w:tc>
        <w:tc>
          <w:tcPr>
            <w:tcW w:w="0" w:type="auto"/>
            <w:gridSpan w:val="3"/>
            <w:shd w:val="clear" w:color="auto" w:fill="auto"/>
            <w:vAlign w:val="bottom"/>
          </w:tcPr>
          <w:p w14:paraId="5F2CFB11" w14:textId="77777777" w:rsidR="00E836FB" w:rsidRDefault="00E836FB">
            <w:pPr>
              <w:rPr>
                <w:rFonts w:ascii="宋体"/>
                <w:vanish/>
              </w:rPr>
            </w:pPr>
          </w:p>
        </w:tc>
        <w:tc>
          <w:tcPr>
            <w:tcW w:w="0" w:type="auto"/>
            <w:gridSpan w:val="3"/>
            <w:shd w:val="clear" w:color="auto" w:fill="auto"/>
            <w:vAlign w:val="bottom"/>
          </w:tcPr>
          <w:p w14:paraId="5F2CFB12" w14:textId="77777777" w:rsidR="00E836FB" w:rsidRDefault="00E836FB">
            <w:pPr>
              <w:rPr>
                <w:rFonts w:ascii="宋体"/>
                <w:vanish/>
              </w:rPr>
            </w:pPr>
          </w:p>
        </w:tc>
        <w:tc>
          <w:tcPr>
            <w:tcW w:w="0" w:type="auto"/>
            <w:gridSpan w:val="3"/>
            <w:shd w:val="clear" w:color="auto" w:fill="auto"/>
            <w:vAlign w:val="bottom"/>
          </w:tcPr>
          <w:p w14:paraId="5F2CFB13" w14:textId="77777777" w:rsidR="00E836FB" w:rsidRDefault="00E836FB">
            <w:pPr>
              <w:rPr>
                <w:rFonts w:ascii="宋体"/>
                <w:vanish/>
              </w:rPr>
            </w:pPr>
          </w:p>
        </w:tc>
        <w:tc>
          <w:tcPr>
            <w:tcW w:w="0" w:type="auto"/>
            <w:gridSpan w:val="3"/>
            <w:shd w:val="clear" w:color="auto" w:fill="auto"/>
            <w:vAlign w:val="bottom"/>
          </w:tcPr>
          <w:p w14:paraId="5F2CFB14" w14:textId="77777777" w:rsidR="00E836FB" w:rsidRDefault="00E836FB">
            <w:pPr>
              <w:rPr>
                <w:rFonts w:ascii="宋体"/>
                <w:vanish/>
              </w:rPr>
            </w:pPr>
          </w:p>
        </w:tc>
        <w:tc>
          <w:tcPr>
            <w:tcW w:w="0" w:type="auto"/>
            <w:gridSpan w:val="3"/>
            <w:shd w:val="clear" w:color="auto" w:fill="auto"/>
            <w:vAlign w:val="bottom"/>
          </w:tcPr>
          <w:p w14:paraId="5F2CFB15" w14:textId="77777777" w:rsidR="00E836FB" w:rsidRDefault="00E836FB">
            <w:pPr>
              <w:rPr>
                <w:rFonts w:ascii="宋体"/>
                <w:vanish/>
              </w:rPr>
            </w:pPr>
          </w:p>
        </w:tc>
        <w:tc>
          <w:tcPr>
            <w:tcW w:w="0" w:type="auto"/>
            <w:gridSpan w:val="3"/>
            <w:shd w:val="clear" w:color="auto" w:fill="auto"/>
            <w:vAlign w:val="bottom"/>
          </w:tcPr>
          <w:p w14:paraId="5F2CFB16" w14:textId="77777777" w:rsidR="00E836FB" w:rsidRDefault="00E836FB">
            <w:pPr>
              <w:rPr>
                <w:rFonts w:ascii="宋体"/>
                <w:vanish/>
              </w:rPr>
            </w:pPr>
          </w:p>
        </w:tc>
        <w:tc>
          <w:tcPr>
            <w:tcW w:w="0" w:type="auto"/>
            <w:gridSpan w:val="3"/>
            <w:shd w:val="clear" w:color="auto" w:fill="auto"/>
            <w:vAlign w:val="bottom"/>
          </w:tcPr>
          <w:p w14:paraId="5F2CFB17" w14:textId="77777777" w:rsidR="00E836FB" w:rsidRDefault="00E836FB">
            <w:pPr>
              <w:rPr>
                <w:rFonts w:ascii="宋体"/>
                <w:vanish/>
              </w:rPr>
            </w:pPr>
          </w:p>
        </w:tc>
        <w:tc>
          <w:tcPr>
            <w:tcW w:w="0" w:type="auto"/>
            <w:gridSpan w:val="3"/>
            <w:shd w:val="clear" w:color="auto" w:fill="auto"/>
            <w:vAlign w:val="bottom"/>
          </w:tcPr>
          <w:p w14:paraId="5F2CFB18" w14:textId="77777777" w:rsidR="00E836FB" w:rsidRDefault="00E836FB">
            <w:pPr>
              <w:rPr>
                <w:rFonts w:ascii="宋体"/>
                <w:vanish/>
              </w:rPr>
            </w:pPr>
          </w:p>
        </w:tc>
        <w:tc>
          <w:tcPr>
            <w:tcW w:w="0" w:type="auto"/>
            <w:gridSpan w:val="3"/>
            <w:shd w:val="clear" w:color="auto" w:fill="auto"/>
            <w:vAlign w:val="bottom"/>
          </w:tcPr>
          <w:p w14:paraId="5F2CFB19" w14:textId="77777777" w:rsidR="00E836FB" w:rsidRDefault="00E836FB">
            <w:pPr>
              <w:rPr>
                <w:rFonts w:ascii="宋体"/>
                <w:vanish/>
              </w:rPr>
            </w:pPr>
          </w:p>
        </w:tc>
      </w:tr>
      <w:tr w:rsidR="00E836FB" w14:paraId="5F2CFB25" w14:textId="77777777">
        <w:trPr>
          <w:hidden/>
        </w:trPr>
        <w:tc>
          <w:tcPr>
            <w:tcW w:w="0" w:type="auto"/>
            <w:gridSpan w:val="3"/>
            <w:shd w:val="clear" w:color="auto" w:fill="auto"/>
            <w:vAlign w:val="bottom"/>
          </w:tcPr>
          <w:p w14:paraId="5F2CFB1B" w14:textId="77777777" w:rsidR="00E836FB" w:rsidRDefault="00E836FB">
            <w:pPr>
              <w:rPr>
                <w:rFonts w:ascii="宋体"/>
                <w:vanish/>
              </w:rPr>
            </w:pPr>
          </w:p>
        </w:tc>
        <w:tc>
          <w:tcPr>
            <w:tcW w:w="0" w:type="auto"/>
            <w:gridSpan w:val="3"/>
            <w:shd w:val="clear" w:color="auto" w:fill="auto"/>
            <w:vAlign w:val="bottom"/>
          </w:tcPr>
          <w:p w14:paraId="5F2CFB1C" w14:textId="77777777" w:rsidR="00E836FB" w:rsidRDefault="00E836FB">
            <w:pPr>
              <w:rPr>
                <w:rFonts w:ascii="宋体"/>
                <w:vanish/>
              </w:rPr>
            </w:pPr>
          </w:p>
        </w:tc>
        <w:tc>
          <w:tcPr>
            <w:tcW w:w="0" w:type="auto"/>
            <w:gridSpan w:val="3"/>
            <w:shd w:val="clear" w:color="auto" w:fill="auto"/>
            <w:vAlign w:val="bottom"/>
          </w:tcPr>
          <w:p w14:paraId="5F2CFB1D" w14:textId="77777777" w:rsidR="00E836FB" w:rsidRDefault="00E836FB">
            <w:pPr>
              <w:rPr>
                <w:rFonts w:ascii="宋体"/>
                <w:vanish/>
              </w:rPr>
            </w:pPr>
          </w:p>
        </w:tc>
        <w:tc>
          <w:tcPr>
            <w:tcW w:w="0" w:type="auto"/>
            <w:gridSpan w:val="3"/>
            <w:shd w:val="clear" w:color="auto" w:fill="auto"/>
            <w:vAlign w:val="bottom"/>
          </w:tcPr>
          <w:p w14:paraId="5F2CFB1E" w14:textId="77777777" w:rsidR="00E836FB" w:rsidRDefault="00E836FB">
            <w:pPr>
              <w:rPr>
                <w:rFonts w:ascii="宋体"/>
                <w:vanish/>
              </w:rPr>
            </w:pPr>
          </w:p>
        </w:tc>
        <w:tc>
          <w:tcPr>
            <w:tcW w:w="0" w:type="auto"/>
            <w:gridSpan w:val="3"/>
            <w:shd w:val="clear" w:color="auto" w:fill="auto"/>
            <w:vAlign w:val="bottom"/>
          </w:tcPr>
          <w:p w14:paraId="5F2CFB1F" w14:textId="77777777" w:rsidR="00E836FB" w:rsidRDefault="00E836FB">
            <w:pPr>
              <w:rPr>
                <w:rFonts w:ascii="宋体"/>
                <w:vanish/>
              </w:rPr>
            </w:pPr>
          </w:p>
        </w:tc>
        <w:tc>
          <w:tcPr>
            <w:tcW w:w="0" w:type="auto"/>
            <w:gridSpan w:val="3"/>
            <w:shd w:val="clear" w:color="auto" w:fill="auto"/>
            <w:vAlign w:val="bottom"/>
          </w:tcPr>
          <w:p w14:paraId="5F2CFB20" w14:textId="77777777" w:rsidR="00E836FB" w:rsidRDefault="00E836FB">
            <w:pPr>
              <w:rPr>
                <w:rFonts w:ascii="宋体"/>
                <w:vanish/>
              </w:rPr>
            </w:pPr>
          </w:p>
        </w:tc>
        <w:tc>
          <w:tcPr>
            <w:tcW w:w="0" w:type="auto"/>
            <w:gridSpan w:val="3"/>
            <w:shd w:val="clear" w:color="auto" w:fill="auto"/>
            <w:vAlign w:val="bottom"/>
          </w:tcPr>
          <w:p w14:paraId="5F2CFB21" w14:textId="77777777" w:rsidR="00E836FB" w:rsidRDefault="00E836FB">
            <w:pPr>
              <w:rPr>
                <w:rFonts w:ascii="宋体"/>
                <w:vanish/>
              </w:rPr>
            </w:pPr>
          </w:p>
        </w:tc>
        <w:tc>
          <w:tcPr>
            <w:tcW w:w="0" w:type="auto"/>
            <w:gridSpan w:val="3"/>
            <w:shd w:val="clear" w:color="auto" w:fill="auto"/>
            <w:vAlign w:val="bottom"/>
          </w:tcPr>
          <w:p w14:paraId="5F2CFB22" w14:textId="77777777" w:rsidR="00E836FB" w:rsidRDefault="00E836FB">
            <w:pPr>
              <w:rPr>
                <w:rFonts w:ascii="宋体"/>
                <w:vanish/>
              </w:rPr>
            </w:pPr>
          </w:p>
        </w:tc>
        <w:tc>
          <w:tcPr>
            <w:tcW w:w="0" w:type="auto"/>
            <w:gridSpan w:val="3"/>
            <w:shd w:val="clear" w:color="auto" w:fill="auto"/>
            <w:vAlign w:val="bottom"/>
          </w:tcPr>
          <w:p w14:paraId="5F2CFB23" w14:textId="77777777" w:rsidR="00E836FB" w:rsidRDefault="00E836FB">
            <w:pPr>
              <w:rPr>
                <w:rFonts w:ascii="宋体"/>
                <w:vanish/>
              </w:rPr>
            </w:pPr>
          </w:p>
        </w:tc>
        <w:tc>
          <w:tcPr>
            <w:tcW w:w="0" w:type="auto"/>
            <w:gridSpan w:val="3"/>
            <w:shd w:val="clear" w:color="auto" w:fill="auto"/>
            <w:vAlign w:val="bottom"/>
          </w:tcPr>
          <w:p w14:paraId="5F2CFB24" w14:textId="77777777" w:rsidR="00E836FB" w:rsidRDefault="00E836FB">
            <w:pPr>
              <w:rPr>
                <w:rFonts w:ascii="宋体"/>
                <w:vanish/>
              </w:rPr>
            </w:pPr>
          </w:p>
        </w:tc>
      </w:tr>
      <w:tr w:rsidR="00E836FB" w14:paraId="5F2CFB30" w14:textId="77777777">
        <w:tc>
          <w:tcPr>
            <w:tcW w:w="0" w:type="auto"/>
            <w:gridSpan w:val="3"/>
            <w:shd w:val="clear" w:color="auto" w:fill="FFFFFF"/>
            <w:tcMar>
              <w:top w:w="40" w:type="dxa"/>
              <w:left w:w="245" w:type="dxa"/>
              <w:bottom w:w="40" w:type="dxa"/>
              <w:right w:w="20" w:type="dxa"/>
            </w:tcMar>
            <w:vAlign w:val="bottom"/>
          </w:tcPr>
          <w:p w14:paraId="5F2CFB26"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2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2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2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2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2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2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2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2E"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2F" w14:textId="77777777" w:rsidR="00E836FB" w:rsidRDefault="00E836FB">
            <w:pPr>
              <w:rPr>
                <w:rFonts w:ascii="宋体"/>
              </w:rPr>
            </w:pPr>
          </w:p>
        </w:tc>
      </w:tr>
      <w:tr w:rsidR="00E836FB" w14:paraId="5F2CFB3F" w14:textId="77777777">
        <w:tc>
          <w:tcPr>
            <w:tcW w:w="0" w:type="auto"/>
            <w:gridSpan w:val="3"/>
            <w:shd w:val="clear" w:color="auto" w:fill="CCEEFF"/>
            <w:tcMar>
              <w:top w:w="40" w:type="dxa"/>
              <w:left w:w="515" w:type="dxa"/>
              <w:bottom w:w="40" w:type="dxa"/>
              <w:right w:w="20" w:type="dxa"/>
            </w:tcMar>
            <w:vAlign w:val="bottom"/>
          </w:tcPr>
          <w:p w14:paraId="5F2CFB31"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F2CFB3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3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35" w14:textId="77777777" w:rsidR="00E836FB" w:rsidRDefault="00994958">
            <w:pPr>
              <w:jc w:val="right"/>
              <w:textAlignment w:val="bottom"/>
            </w:pPr>
            <w:r>
              <w:rPr>
                <w:rFonts w:ascii="Arial" w:eastAsia="宋体" w:hAnsi="Arial" w:cs="Arial"/>
                <w:b/>
                <w:bCs/>
                <w:color w:val="000000"/>
                <w:sz w:val="15"/>
                <w:szCs w:val="15"/>
              </w:rPr>
              <w:t>1,995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3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38"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3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3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3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3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3D" w14:textId="77777777" w:rsidR="00E836FB" w:rsidRDefault="00994958">
            <w:pPr>
              <w:jc w:val="right"/>
              <w:textAlignment w:val="bottom"/>
            </w:pPr>
            <w:r>
              <w:rPr>
                <w:rFonts w:ascii="Arial" w:eastAsia="宋体" w:hAnsi="Arial" w:cs="Arial"/>
                <w:b/>
                <w:bCs/>
                <w:color w:val="000000"/>
                <w:sz w:val="15"/>
                <w:szCs w:val="15"/>
              </w:rPr>
              <w:t>1,995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3E" w14:textId="77777777" w:rsidR="00E836FB" w:rsidRDefault="00E836FB">
            <w:pPr>
              <w:jc w:val="right"/>
              <w:rPr>
                <w:rFonts w:ascii="宋体"/>
              </w:rPr>
            </w:pPr>
          </w:p>
        </w:tc>
      </w:tr>
      <w:tr w:rsidR="00E836FB" w14:paraId="5F2CFB4E" w14:textId="77777777">
        <w:tc>
          <w:tcPr>
            <w:tcW w:w="0" w:type="auto"/>
            <w:gridSpan w:val="3"/>
            <w:shd w:val="clear" w:color="auto" w:fill="FFFFFF"/>
            <w:tcMar>
              <w:top w:w="40" w:type="dxa"/>
              <w:left w:w="515" w:type="dxa"/>
              <w:bottom w:w="40" w:type="dxa"/>
              <w:right w:w="20" w:type="dxa"/>
            </w:tcMar>
            <w:vAlign w:val="bottom"/>
          </w:tcPr>
          <w:p w14:paraId="5F2CFB40"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F2CFB4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4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4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44" w14:textId="77777777" w:rsidR="00E836FB" w:rsidRDefault="00994958">
            <w:pPr>
              <w:jc w:val="right"/>
              <w:textAlignment w:val="bottom"/>
            </w:pPr>
            <w:r>
              <w:rPr>
                <w:rFonts w:ascii="Arial" w:eastAsia="宋体" w:hAnsi="Arial" w:cs="Arial"/>
                <w:b/>
                <w:bCs/>
                <w:color w:val="000000"/>
                <w:sz w:val="15"/>
                <w:szCs w:val="15"/>
              </w:rPr>
              <w:t>2,087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4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47"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4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4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4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4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4C" w14:textId="77777777" w:rsidR="00E836FB" w:rsidRDefault="00994958">
            <w:pPr>
              <w:jc w:val="right"/>
              <w:textAlignment w:val="bottom"/>
            </w:pPr>
            <w:r>
              <w:rPr>
                <w:rFonts w:ascii="Arial" w:eastAsia="宋体" w:hAnsi="Arial" w:cs="Arial"/>
                <w:b/>
                <w:bCs/>
                <w:color w:val="000000"/>
                <w:sz w:val="15"/>
                <w:szCs w:val="15"/>
              </w:rPr>
              <w:t>2,087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4D" w14:textId="77777777" w:rsidR="00E836FB" w:rsidRDefault="00E836FB">
            <w:pPr>
              <w:jc w:val="right"/>
              <w:rPr>
                <w:rFonts w:ascii="宋体"/>
              </w:rPr>
            </w:pPr>
          </w:p>
        </w:tc>
      </w:tr>
      <w:tr w:rsidR="00E836FB" w14:paraId="5F2CFB5D" w14:textId="77777777">
        <w:tc>
          <w:tcPr>
            <w:tcW w:w="0" w:type="auto"/>
            <w:gridSpan w:val="3"/>
            <w:shd w:val="clear" w:color="auto" w:fill="CCEEFF"/>
            <w:tcMar>
              <w:top w:w="40" w:type="dxa"/>
              <w:left w:w="515" w:type="dxa"/>
              <w:bottom w:w="40" w:type="dxa"/>
              <w:right w:w="20" w:type="dxa"/>
            </w:tcMar>
            <w:vAlign w:val="bottom"/>
          </w:tcPr>
          <w:p w14:paraId="5F2CFB4F" w14:textId="77777777" w:rsidR="00E836FB" w:rsidRDefault="00994958">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5F2CFB5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5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53" w14:textId="77777777" w:rsidR="00E836FB" w:rsidRDefault="00994958">
            <w:pPr>
              <w:jc w:val="right"/>
              <w:textAlignment w:val="bottom"/>
            </w:pPr>
            <w:r>
              <w:rPr>
                <w:rFonts w:ascii="Arial" w:eastAsia="宋体" w:hAnsi="Arial" w:cs="Arial"/>
                <w:b/>
                <w:bCs/>
                <w:color w:val="000000"/>
                <w:sz w:val="15"/>
                <w:szCs w:val="15"/>
              </w:rPr>
              <w:t>23,547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5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5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5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5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5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5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5B" w14:textId="77777777" w:rsidR="00E836FB" w:rsidRDefault="00994958">
            <w:pPr>
              <w:jc w:val="right"/>
              <w:textAlignment w:val="bottom"/>
            </w:pPr>
            <w:r>
              <w:rPr>
                <w:rFonts w:ascii="Arial" w:eastAsia="宋体" w:hAnsi="Arial" w:cs="Arial"/>
                <w:b/>
                <w:bCs/>
                <w:color w:val="000000"/>
                <w:sz w:val="15"/>
                <w:szCs w:val="15"/>
              </w:rPr>
              <w:t>23,547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5C" w14:textId="77777777" w:rsidR="00E836FB" w:rsidRDefault="00E836FB">
            <w:pPr>
              <w:jc w:val="right"/>
              <w:rPr>
                <w:rFonts w:ascii="宋体"/>
              </w:rPr>
            </w:pPr>
          </w:p>
        </w:tc>
      </w:tr>
      <w:tr w:rsidR="00E836FB" w14:paraId="5F2CFB6C" w14:textId="77777777">
        <w:tc>
          <w:tcPr>
            <w:tcW w:w="0" w:type="auto"/>
            <w:gridSpan w:val="3"/>
            <w:shd w:val="clear" w:color="auto" w:fill="FFFFFF"/>
            <w:tcMar>
              <w:top w:w="40" w:type="dxa"/>
              <w:left w:w="515" w:type="dxa"/>
              <w:bottom w:w="40" w:type="dxa"/>
              <w:right w:w="20" w:type="dxa"/>
            </w:tcMar>
            <w:vAlign w:val="bottom"/>
          </w:tcPr>
          <w:p w14:paraId="5F2CFB5E"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CFB5F"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62" w14:textId="77777777" w:rsidR="00E836FB" w:rsidRDefault="00994958">
            <w:pPr>
              <w:jc w:val="right"/>
              <w:textAlignment w:val="bottom"/>
            </w:pPr>
            <w:r>
              <w:rPr>
                <w:rFonts w:ascii="Arial" w:eastAsia="宋体" w:hAnsi="Arial" w:cs="Arial"/>
                <w:b/>
                <w:bCs/>
                <w:color w:val="000000"/>
                <w:sz w:val="15"/>
                <w:szCs w:val="15"/>
              </w:rPr>
              <w:t>3,098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6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6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6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6A" w14:textId="77777777" w:rsidR="00E836FB" w:rsidRDefault="00994958">
            <w:pPr>
              <w:jc w:val="right"/>
              <w:textAlignment w:val="bottom"/>
            </w:pPr>
            <w:r>
              <w:rPr>
                <w:rFonts w:ascii="Arial" w:eastAsia="宋体" w:hAnsi="Arial" w:cs="Arial"/>
                <w:b/>
                <w:bCs/>
                <w:color w:val="000000"/>
                <w:sz w:val="15"/>
                <w:szCs w:val="15"/>
              </w:rPr>
              <w:t>3,098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6B" w14:textId="77777777" w:rsidR="00E836FB" w:rsidRDefault="00E836FB">
            <w:pPr>
              <w:jc w:val="right"/>
              <w:rPr>
                <w:rFonts w:ascii="宋体"/>
              </w:rPr>
            </w:pPr>
          </w:p>
        </w:tc>
      </w:tr>
      <w:tr w:rsidR="00E836FB" w14:paraId="5F2CFB7B" w14:textId="77777777">
        <w:tc>
          <w:tcPr>
            <w:tcW w:w="0" w:type="auto"/>
            <w:gridSpan w:val="3"/>
            <w:shd w:val="clear" w:color="auto" w:fill="CCEEFF"/>
            <w:tcMar>
              <w:top w:w="40" w:type="dxa"/>
              <w:left w:w="740" w:type="dxa"/>
              <w:bottom w:w="40" w:type="dxa"/>
              <w:right w:w="20" w:type="dxa"/>
            </w:tcMar>
            <w:vAlign w:val="bottom"/>
          </w:tcPr>
          <w:p w14:paraId="5F2CFB6D"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6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7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71" w14:textId="77777777" w:rsidR="00E836FB" w:rsidRDefault="00994958">
            <w:pPr>
              <w:jc w:val="right"/>
              <w:textAlignment w:val="bottom"/>
            </w:pPr>
            <w:r>
              <w:rPr>
                <w:rFonts w:ascii="Arial" w:eastAsia="宋体" w:hAnsi="Arial" w:cs="Arial"/>
                <w:b/>
                <w:bCs/>
                <w:color w:val="000000"/>
                <w:sz w:val="15"/>
                <w:szCs w:val="15"/>
              </w:rPr>
              <w:t>30,727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7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7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7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7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7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79" w14:textId="77777777" w:rsidR="00E836FB" w:rsidRDefault="00994958">
            <w:pPr>
              <w:jc w:val="right"/>
              <w:textAlignment w:val="bottom"/>
            </w:pPr>
            <w:r>
              <w:rPr>
                <w:rFonts w:ascii="Arial" w:eastAsia="宋体" w:hAnsi="Arial" w:cs="Arial"/>
                <w:b/>
                <w:bCs/>
                <w:color w:val="000000"/>
                <w:sz w:val="15"/>
                <w:szCs w:val="15"/>
              </w:rPr>
              <w:t>30,727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7A" w14:textId="77777777" w:rsidR="00E836FB" w:rsidRDefault="00E836FB">
            <w:pPr>
              <w:jc w:val="right"/>
              <w:rPr>
                <w:rFonts w:ascii="宋体"/>
              </w:rPr>
            </w:pPr>
          </w:p>
        </w:tc>
      </w:tr>
      <w:tr w:rsidR="00E836FB" w14:paraId="5F2CFB86" w14:textId="77777777">
        <w:tc>
          <w:tcPr>
            <w:tcW w:w="0" w:type="auto"/>
            <w:gridSpan w:val="3"/>
            <w:shd w:val="clear" w:color="auto" w:fill="FFFFFF"/>
            <w:tcMar>
              <w:top w:w="40" w:type="dxa"/>
              <w:left w:w="245" w:type="dxa"/>
              <w:bottom w:w="40" w:type="dxa"/>
              <w:right w:w="20" w:type="dxa"/>
            </w:tcMar>
            <w:vAlign w:val="bottom"/>
          </w:tcPr>
          <w:p w14:paraId="5F2CFB7C"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7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7E"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7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80"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8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8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8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84"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B85" w14:textId="77777777" w:rsidR="00E836FB" w:rsidRDefault="00E836FB">
            <w:pPr>
              <w:rPr>
                <w:rFonts w:ascii="宋体"/>
              </w:rPr>
            </w:pPr>
          </w:p>
        </w:tc>
      </w:tr>
      <w:tr w:rsidR="00E836FB" w14:paraId="5F2CFB95" w14:textId="77777777">
        <w:tc>
          <w:tcPr>
            <w:tcW w:w="0" w:type="auto"/>
            <w:gridSpan w:val="3"/>
            <w:shd w:val="clear" w:color="auto" w:fill="CCEEFF"/>
            <w:tcMar>
              <w:top w:w="40" w:type="dxa"/>
              <w:left w:w="515" w:type="dxa"/>
              <w:bottom w:w="40" w:type="dxa"/>
              <w:right w:w="20" w:type="dxa"/>
            </w:tcMar>
            <w:vAlign w:val="bottom"/>
          </w:tcPr>
          <w:p w14:paraId="5F2CFB87" w14:textId="77777777" w:rsidR="00E836FB" w:rsidRDefault="00994958">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5F2CFB88"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8B" w14:textId="77777777" w:rsidR="00E836FB" w:rsidRDefault="00994958">
            <w:pPr>
              <w:jc w:val="right"/>
              <w:textAlignment w:val="bottom"/>
            </w:pPr>
            <w:r>
              <w:rPr>
                <w:rFonts w:ascii="Arial" w:eastAsia="宋体" w:hAnsi="Arial" w:cs="Arial"/>
                <w:b/>
                <w:bCs/>
                <w:color w:val="000000"/>
                <w:sz w:val="15"/>
                <w:szCs w:val="15"/>
              </w:rPr>
              <w:t>211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8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8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9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9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93" w14:textId="77777777" w:rsidR="00E836FB" w:rsidRDefault="00994958">
            <w:pPr>
              <w:jc w:val="right"/>
              <w:textAlignment w:val="bottom"/>
            </w:pPr>
            <w:r>
              <w:rPr>
                <w:rFonts w:ascii="Arial" w:eastAsia="宋体" w:hAnsi="Arial" w:cs="Arial"/>
                <w:b/>
                <w:bCs/>
                <w:color w:val="000000"/>
                <w:sz w:val="15"/>
                <w:szCs w:val="15"/>
              </w:rPr>
              <w:t>211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94" w14:textId="77777777" w:rsidR="00E836FB" w:rsidRDefault="00E836FB">
            <w:pPr>
              <w:jc w:val="right"/>
              <w:rPr>
                <w:rFonts w:ascii="宋体"/>
              </w:rPr>
            </w:pPr>
          </w:p>
        </w:tc>
      </w:tr>
      <w:tr w:rsidR="00E836FB" w14:paraId="5F2CFBA4" w14:textId="77777777">
        <w:tc>
          <w:tcPr>
            <w:tcW w:w="0" w:type="auto"/>
            <w:gridSpan w:val="3"/>
            <w:shd w:val="clear" w:color="auto" w:fill="FFFFFF"/>
            <w:tcMar>
              <w:top w:w="40" w:type="dxa"/>
              <w:left w:w="515" w:type="dxa"/>
              <w:bottom w:w="40" w:type="dxa"/>
              <w:right w:w="20" w:type="dxa"/>
            </w:tcMar>
            <w:vAlign w:val="bottom"/>
          </w:tcPr>
          <w:p w14:paraId="5F2CFB96" w14:textId="77777777" w:rsidR="00E836FB" w:rsidRDefault="00994958">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5F2CFB97"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9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9A" w14:textId="77777777" w:rsidR="00E836FB" w:rsidRDefault="00994958">
            <w:pPr>
              <w:jc w:val="right"/>
              <w:textAlignment w:val="bottom"/>
            </w:pPr>
            <w:r>
              <w:rPr>
                <w:rFonts w:ascii="Arial" w:eastAsia="宋体" w:hAnsi="Arial" w:cs="Arial"/>
                <w:b/>
                <w:bCs/>
                <w:color w:val="000000"/>
                <w:sz w:val="15"/>
                <w:szCs w:val="15"/>
              </w:rPr>
              <w:t>2,155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9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9D"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9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A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A2" w14:textId="77777777" w:rsidR="00E836FB" w:rsidRDefault="00994958">
            <w:pPr>
              <w:jc w:val="right"/>
              <w:textAlignment w:val="bottom"/>
            </w:pPr>
            <w:r>
              <w:rPr>
                <w:rFonts w:ascii="Arial" w:eastAsia="宋体" w:hAnsi="Arial" w:cs="Arial"/>
                <w:b/>
                <w:bCs/>
                <w:color w:val="000000"/>
                <w:sz w:val="15"/>
                <w:szCs w:val="15"/>
              </w:rPr>
              <w:t>2,155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A3" w14:textId="77777777" w:rsidR="00E836FB" w:rsidRDefault="00E836FB">
            <w:pPr>
              <w:jc w:val="right"/>
              <w:rPr>
                <w:rFonts w:ascii="宋体"/>
              </w:rPr>
            </w:pPr>
          </w:p>
        </w:tc>
      </w:tr>
      <w:tr w:rsidR="00E836FB" w14:paraId="5F2CFBB3" w14:textId="77777777">
        <w:tc>
          <w:tcPr>
            <w:tcW w:w="0" w:type="auto"/>
            <w:gridSpan w:val="3"/>
            <w:shd w:val="clear" w:color="auto" w:fill="CCEEFF"/>
            <w:tcMar>
              <w:top w:w="40" w:type="dxa"/>
              <w:left w:w="20" w:type="dxa"/>
              <w:bottom w:w="40" w:type="dxa"/>
              <w:right w:w="20" w:type="dxa"/>
            </w:tcMar>
            <w:vAlign w:val="bottom"/>
          </w:tcPr>
          <w:p w14:paraId="5F2CFBA5" w14:textId="77777777" w:rsidR="00E836FB" w:rsidRDefault="00994958">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CFBA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A9" w14:textId="77777777" w:rsidR="00E836FB" w:rsidRDefault="00994958">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A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A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A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A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B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B1" w14:textId="77777777" w:rsidR="00E836FB" w:rsidRDefault="00994958">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B2" w14:textId="77777777" w:rsidR="00E836FB" w:rsidRDefault="00E836FB">
            <w:pPr>
              <w:jc w:val="right"/>
              <w:rPr>
                <w:rFonts w:ascii="宋体"/>
              </w:rPr>
            </w:pPr>
          </w:p>
        </w:tc>
      </w:tr>
      <w:tr w:rsidR="00E836FB" w14:paraId="5F2CFBC2" w14:textId="77777777">
        <w:tc>
          <w:tcPr>
            <w:tcW w:w="0" w:type="auto"/>
            <w:gridSpan w:val="3"/>
            <w:shd w:val="clear" w:color="auto" w:fill="FFFFFF"/>
            <w:tcMar>
              <w:top w:w="40" w:type="dxa"/>
              <w:left w:w="515" w:type="dxa"/>
              <w:bottom w:w="40" w:type="dxa"/>
              <w:right w:w="20" w:type="dxa"/>
            </w:tcMar>
            <w:vAlign w:val="bottom"/>
          </w:tcPr>
          <w:p w14:paraId="5F2CFBB4"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CFBB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B8" w14:textId="77777777" w:rsidR="00E836FB" w:rsidRDefault="00994958">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BB"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B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B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B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BC0" w14:textId="77777777" w:rsidR="00E836FB" w:rsidRDefault="00994958">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BC1" w14:textId="77777777" w:rsidR="00E836FB" w:rsidRDefault="00E836FB">
            <w:pPr>
              <w:jc w:val="right"/>
              <w:rPr>
                <w:rFonts w:ascii="宋体"/>
              </w:rPr>
            </w:pPr>
          </w:p>
        </w:tc>
      </w:tr>
      <w:tr w:rsidR="00E836FB" w14:paraId="5F2CFBD1" w14:textId="77777777">
        <w:tc>
          <w:tcPr>
            <w:tcW w:w="0" w:type="auto"/>
            <w:gridSpan w:val="3"/>
            <w:shd w:val="clear" w:color="auto" w:fill="CCEEFF"/>
            <w:tcMar>
              <w:top w:w="40" w:type="dxa"/>
              <w:left w:w="740" w:type="dxa"/>
              <w:bottom w:w="40" w:type="dxa"/>
              <w:right w:w="20" w:type="dxa"/>
            </w:tcMar>
            <w:vAlign w:val="bottom"/>
          </w:tcPr>
          <w:p w14:paraId="5F2CFBC3" w14:textId="77777777" w:rsidR="00E836FB" w:rsidRDefault="00994958">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C4"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C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C7" w14:textId="77777777" w:rsidR="00E836FB" w:rsidRDefault="00994958">
            <w:pPr>
              <w:jc w:val="right"/>
              <w:textAlignment w:val="bottom"/>
            </w:pPr>
            <w:r>
              <w:rPr>
                <w:rFonts w:ascii="Arial" w:eastAsia="宋体" w:hAnsi="Arial" w:cs="Arial"/>
                <w:b/>
                <w:bCs/>
                <w:color w:val="000000"/>
                <w:sz w:val="15"/>
                <w:szCs w:val="15"/>
              </w:rPr>
              <w:t>2,509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C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C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C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C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C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BCF" w14:textId="77777777" w:rsidR="00E836FB" w:rsidRDefault="00994958">
            <w:pPr>
              <w:jc w:val="right"/>
              <w:textAlignment w:val="bottom"/>
            </w:pPr>
            <w:r>
              <w:rPr>
                <w:rFonts w:ascii="Arial" w:eastAsia="宋体" w:hAnsi="Arial" w:cs="Arial"/>
                <w:b/>
                <w:bCs/>
                <w:color w:val="000000"/>
                <w:sz w:val="15"/>
                <w:szCs w:val="15"/>
              </w:rPr>
              <w:t>2,509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BD0" w14:textId="77777777" w:rsidR="00E836FB" w:rsidRDefault="00E836FB">
            <w:pPr>
              <w:jc w:val="right"/>
              <w:rPr>
                <w:rFonts w:ascii="宋体"/>
              </w:rPr>
            </w:pPr>
          </w:p>
        </w:tc>
      </w:tr>
      <w:tr w:rsidR="00E836FB" w14:paraId="5F2CFBE0" w14:textId="77777777">
        <w:tc>
          <w:tcPr>
            <w:tcW w:w="0" w:type="auto"/>
            <w:gridSpan w:val="3"/>
            <w:shd w:val="clear" w:color="auto" w:fill="FFFFFF"/>
            <w:tcMar>
              <w:top w:w="40" w:type="dxa"/>
              <w:left w:w="245" w:type="dxa"/>
              <w:bottom w:w="40" w:type="dxa"/>
              <w:right w:w="20" w:type="dxa"/>
            </w:tcMar>
            <w:vAlign w:val="bottom"/>
          </w:tcPr>
          <w:p w14:paraId="5F2CFBD2" w14:textId="77777777" w:rsidR="00E836FB" w:rsidRDefault="00994958">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BD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B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D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BD6" w14:textId="77777777" w:rsidR="00E836FB" w:rsidRDefault="00994958">
            <w:pPr>
              <w:jc w:val="right"/>
              <w:textAlignment w:val="bottom"/>
            </w:pPr>
            <w:r>
              <w:rPr>
                <w:rFonts w:ascii="Arial" w:eastAsia="宋体" w:hAnsi="Arial" w:cs="Arial"/>
                <w:b/>
                <w:bCs/>
                <w:color w:val="000000"/>
                <w:sz w:val="15"/>
                <w:szCs w:val="15"/>
              </w:rPr>
              <w:t>1,272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B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D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BD9"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B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B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D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BD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BDE" w14:textId="77777777" w:rsidR="00E836FB" w:rsidRDefault="00994958">
            <w:pPr>
              <w:jc w:val="right"/>
              <w:textAlignment w:val="bottom"/>
            </w:pPr>
            <w:r>
              <w:rPr>
                <w:rFonts w:ascii="Arial" w:eastAsia="宋体" w:hAnsi="Arial" w:cs="Arial"/>
                <w:b/>
                <w:bCs/>
                <w:color w:val="000000"/>
                <w:sz w:val="15"/>
                <w:szCs w:val="15"/>
              </w:rPr>
              <w:t>1,272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BDF" w14:textId="77777777" w:rsidR="00E836FB" w:rsidRDefault="00E836FB">
            <w:pPr>
              <w:jc w:val="right"/>
              <w:rPr>
                <w:rFonts w:ascii="宋体"/>
              </w:rPr>
            </w:pPr>
          </w:p>
        </w:tc>
      </w:tr>
      <w:tr w:rsidR="00E836FB" w14:paraId="5F2CFBEB" w14:textId="77777777">
        <w:trPr>
          <w:hidden/>
        </w:trPr>
        <w:tc>
          <w:tcPr>
            <w:tcW w:w="0" w:type="auto"/>
            <w:gridSpan w:val="3"/>
            <w:shd w:val="clear" w:color="auto" w:fill="auto"/>
            <w:vAlign w:val="bottom"/>
          </w:tcPr>
          <w:p w14:paraId="5F2CFBE1" w14:textId="77777777" w:rsidR="00E836FB" w:rsidRDefault="00E836FB">
            <w:pPr>
              <w:rPr>
                <w:rFonts w:ascii="宋体"/>
                <w:vanish/>
              </w:rPr>
            </w:pPr>
          </w:p>
        </w:tc>
        <w:tc>
          <w:tcPr>
            <w:tcW w:w="0" w:type="auto"/>
            <w:gridSpan w:val="3"/>
            <w:shd w:val="clear" w:color="auto" w:fill="auto"/>
            <w:vAlign w:val="bottom"/>
          </w:tcPr>
          <w:p w14:paraId="5F2CFBE2" w14:textId="77777777" w:rsidR="00E836FB" w:rsidRDefault="00E836FB">
            <w:pPr>
              <w:rPr>
                <w:rFonts w:ascii="宋体"/>
                <w:vanish/>
              </w:rPr>
            </w:pPr>
          </w:p>
        </w:tc>
        <w:tc>
          <w:tcPr>
            <w:tcW w:w="0" w:type="auto"/>
            <w:gridSpan w:val="3"/>
            <w:shd w:val="clear" w:color="auto" w:fill="auto"/>
            <w:vAlign w:val="bottom"/>
          </w:tcPr>
          <w:p w14:paraId="5F2CFBE3" w14:textId="77777777" w:rsidR="00E836FB" w:rsidRDefault="00E836FB">
            <w:pPr>
              <w:rPr>
                <w:rFonts w:ascii="宋体"/>
                <w:vanish/>
              </w:rPr>
            </w:pPr>
          </w:p>
        </w:tc>
        <w:tc>
          <w:tcPr>
            <w:tcW w:w="0" w:type="auto"/>
            <w:gridSpan w:val="3"/>
            <w:shd w:val="clear" w:color="auto" w:fill="auto"/>
            <w:vAlign w:val="bottom"/>
          </w:tcPr>
          <w:p w14:paraId="5F2CFBE4" w14:textId="77777777" w:rsidR="00E836FB" w:rsidRDefault="00E836FB">
            <w:pPr>
              <w:rPr>
                <w:rFonts w:ascii="宋体"/>
                <w:vanish/>
              </w:rPr>
            </w:pPr>
          </w:p>
        </w:tc>
        <w:tc>
          <w:tcPr>
            <w:tcW w:w="0" w:type="auto"/>
            <w:gridSpan w:val="3"/>
            <w:shd w:val="clear" w:color="auto" w:fill="auto"/>
            <w:vAlign w:val="bottom"/>
          </w:tcPr>
          <w:p w14:paraId="5F2CFBE5" w14:textId="77777777" w:rsidR="00E836FB" w:rsidRDefault="00E836FB">
            <w:pPr>
              <w:rPr>
                <w:rFonts w:ascii="宋体"/>
                <w:vanish/>
              </w:rPr>
            </w:pPr>
          </w:p>
        </w:tc>
        <w:tc>
          <w:tcPr>
            <w:tcW w:w="0" w:type="auto"/>
            <w:gridSpan w:val="3"/>
            <w:shd w:val="clear" w:color="auto" w:fill="auto"/>
            <w:vAlign w:val="bottom"/>
          </w:tcPr>
          <w:p w14:paraId="5F2CFBE6" w14:textId="77777777" w:rsidR="00E836FB" w:rsidRDefault="00E836FB">
            <w:pPr>
              <w:rPr>
                <w:rFonts w:ascii="宋体"/>
                <w:vanish/>
              </w:rPr>
            </w:pPr>
          </w:p>
        </w:tc>
        <w:tc>
          <w:tcPr>
            <w:tcW w:w="0" w:type="auto"/>
            <w:gridSpan w:val="3"/>
            <w:shd w:val="clear" w:color="auto" w:fill="auto"/>
            <w:vAlign w:val="bottom"/>
          </w:tcPr>
          <w:p w14:paraId="5F2CFBE7" w14:textId="77777777" w:rsidR="00E836FB" w:rsidRDefault="00E836FB">
            <w:pPr>
              <w:rPr>
                <w:rFonts w:ascii="宋体"/>
                <w:vanish/>
              </w:rPr>
            </w:pPr>
          </w:p>
        </w:tc>
        <w:tc>
          <w:tcPr>
            <w:tcW w:w="0" w:type="auto"/>
            <w:gridSpan w:val="3"/>
            <w:shd w:val="clear" w:color="auto" w:fill="auto"/>
            <w:vAlign w:val="bottom"/>
          </w:tcPr>
          <w:p w14:paraId="5F2CFBE8" w14:textId="77777777" w:rsidR="00E836FB" w:rsidRDefault="00E836FB">
            <w:pPr>
              <w:rPr>
                <w:rFonts w:ascii="宋体"/>
                <w:vanish/>
              </w:rPr>
            </w:pPr>
          </w:p>
        </w:tc>
        <w:tc>
          <w:tcPr>
            <w:tcW w:w="0" w:type="auto"/>
            <w:gridSpan w:val="3"/>
            <w:shd w:val="clear" w:color="auto" w:fill="auto"/>
            <w:vAlign w:val="bottom"/>
          </w:tcPr>
          <w:p w14:paraId="5F2CFBE9" w14:textId="77777777" w:rsidR="00E836FB" w:rsidRDefault="00E836FB">
            <w:pPr>
              <w:rPr>
                <w:rFonts w:ascii="宋体"/>
                <w:vanish/>
              </w:rPr>
            </w:pPr>
          </w:p>
        </w:tc>
        <w:tc>
          <w:tcPr>
            <w:tcW w:w="0" w:type="auto"/>
            <w:gridSpan w:val="3"/>
            <w:shd w:val="clear" w:color="auto" w:fill="auto"/>
            <w:vAlign w:val="bottom"/>
          </w:tcPr>
          <w:p w14:paraId="5F2CFBEA" w14:textId="77777777" w:rsidR="00E836FB" w:rsidRDefault="00E836FB">
            <w:pPr>
              <w:rPr>
                <w:rFonts w:ascii="宋体"/>
                <w:vanish/>
              </w:rPr>
            </w:pPr>
          </w:p>
        </w:tc>
      </w:tr>
      <w:tr w:rsidR="00E836FB" w14:paraId="5F2CFBFA" w14:textId="77777777">
        <w:tc>
          <w:tcPr>
            <w:tcW w:w="0" w:type="auto"/>
            <w:gridSpan w:val="3"/>
            <w:shd w:val="clear" w:color="auto" w:fill="CCEEFF"/>
            <w:tcMar>
              <w:top w:w="40" w:type="dxa"/>
              <w:left w:w="245" w:type="dxa"/>
              <w:bottom w:w="40" w:type="dxa"/>
              <w:right w:w="20" w:type="dxa"/>
            </w:tcMar>
            <w:vAlign w:val="bottom"/>
          </w:tcPr>
          <w:p w14:paraId="5F2CFBEC" w14:textId="77777777" w:rsidR="00E836FB" w:rsidRDefault="00994958">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5F2CFBED"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F0" w14:textId="77777777" w:rsidR="00E836FB" w:rsidRDefault="00994958">
            <w:pPr>
              <w:jc w:val="right"/>
              <w:textAlignment w:val="bottom"/>
            </w:pPr>
            <w:r>
              <w:rPr>
                <w:rFonts w:ascii="Arial" w:eastAsia="宋体" w:hAnsi="Arial" w:cs="Arial"/>
                <w:b/>
                <w:bCs/>
                <w:color w:val="000000"/>
                <w:sz w:val="15"/>
                <w:szCs w:val="15"/>
              </w:rPr>
              <w:t>2,744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F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BF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F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BF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BF8" w14:textId="77777777" w:rsidR="00E836FB" w:rsidRDefault="00994958">
            <w:pPr>
              <w:jc w:val="right"/>
              <w:textAlignment w:val="bottom"/>
            </w:pPr>
            <w:r>
              <w:rPr>
                <w:rFonts w:ascii="Arial" w:eastAsia="宋体" w:hAnsi="Arial" w:cs="Arial"/>
                <w:b/>
                <w:bCs/>
                <w:color w:val="000000"/>
                <w:sz w:val="15"/>
                <w:szCs w:val="15"/>
              </w:rPr>
              <w:t>2,744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BF9" w14:textId="77777777" w:rsidR="00E836FB" w:rsidRDefault="00E836FB">
            <w:pPr>
              <w:jc w:val="right"/>
              <w:rPr>
                <w:rFonts w:ascii="宋体"/>
              </w:rPr>
            </w:pPr>
          </w:p>
        </w:tc>
      </w:tr>
      <w:tr w:rsidR="00E836FB" w14:paraId="5F2CFC05" w14:textId="77777777">
        <w:trPr>
          <w:hidden/>
        </w:trPr>
        <w:tc>
          <w:tcPr>
            <w:tcW w:w="0" w:type="auto"/>
            <w:gridSpan w:val="3"/>
            <w:shd w:val="clear" w:color="auto" w:fill="auto"/>
            <w:vAlign w:val="bottom"/>
          </w:tcPr>
          <w:p w14:paraId="5F2CFBFB" w14:textId="77777777" w:rsidR="00E836FB" w:rsidRDefault="00E836FB">
            <w:pPr>
              <w:rPr>
                <w:rFonts w:ascii="宋体"/>
                <w:vanish/>
              </w:rPr>
            </w:pPr>
          </w:p>
        </w:tc>
        <w:tc>
          <w:tcPr>
            <w:tcW w:w="0" w:type="auto"/>
            <w:gridSpan w:val="3"/>
            <w:shd w:val="clear" w:color="auto" w:fill="auto"/>
            <w:vAlign w:val="bottom"/>
          </w:tcPr>
          <w:p w14:paraId="5F2CFBFC" w14:textId="77777777" w:rsidR="00E836FB" w:rsidRDefault="00E836FB">
            <w:pPr>
              <w:rPr>
                <w:rFonts w:ascii="宋体"/>
                <w:vanish/>
              </w:rPr>
            </w:pPr>
          </w:p>
        </w:tc>
        <w:tc>
          <w:tcPr>
            <w:tcW w:w="0" w:type="auto"/>
            <w:gridSpan w:val="3"/>
            <w:shd w:val="clear" w:color="auto" w:fill="auto"/>
            <w:vAlign w:val="bottom"/>
          </w:tcPr>
          <w:p w14:paraId="5F2CFBFD" w14:textId="77777777" w:rsidR="00E836FB" w:rsidRDefault="00E836FB">
            <w:pPr>
              <w:rPr>
                <w:rFonts w:ascii="宋体"/>
                <w:vanish/>
              </w:rPr>
            </w:pPr>
          </w:p>
        </w:tc>
        <w:tc>
          <w:tcPr>
            <w:tcW w:w="0" w:type="auto"/>
            <w:gridSpan w:val="3"/>
            <w:shd w:val="clear" w:color="auto" w:fill="auto"/>
            <w:vAlign w:val="bottom"/>
          </w:tcPr>
          <w:p w14:paraId="5F2CFBFE" w14:textId="77777777" w:rsidR="00E836FB" w:rsidRDefault="00E836FB">
            <w:pPr>
              <w:rPr>
                <w:rFonts w:ascii="宋体"/>
                <w:vanish/>
              </w:rPr>
            </w:pPr>
          </w:p>
        </w:tc>
        <w:tc>
          <w:tcPr>
            <w:tcW w:w="0" w:type="auto"/>
            <w:gridSpan w:val="3"/>
            <w:shd w:val="clear" w:color="auto" w:fill="auto"/>
            <w:vAlign w:val="bottom"/>
          </w:tcPr>
          <w:p w14:paraId="5F2CFBFF" w14:textId="77777777" w:rsidR="00E836FB" w:rsidRDefault="00E836FB">
            <w:pPr>
              <w:rPr>
                <w:rFonts w:ascii="宋体"/>
                <w:vanish/>
              </w:rPr>
            </w:pPr>
          </w:p>
        </w:tc>
        <w:tc>
          <w:tcPr>
            <w:tcW w:w="0" w:type="auto"/>
            <w:gridSpan w:val="3"/>
            <w:shd w:val="clear" w:color="auto" w:fill="auto"/>
            <w:vAlign w:val="bottom"/>
          </w:tcPr>
          <w:p w14:paraId="5F2CFC00" w14:textId="77777777" w:rsidR="00E836FB" w:rsidRDefault="00E836FB">
            <w:pPr>
              <w:rPr>
                <w:rFonts w:ascii="宋体"/>
                <w:vanish/>
              </w:rPr>
            </w:pPr>
          </w:p>
        </w:tc>
        <w:tc>
          <w:tcPr>
            <w:tcW w:w="0" w:type="auto"/>
            <w:gridSpan w:val="3"/>
            <w:shd w:val="clear" w:color="auto" w:fill="auto"/>
            <w:vAlign w:val="bottom"/>
          </w:tcPr>
          <w:p w14:paraId="5F2CFC01" w14:textId="77777777" w:rsidR="00E836FB" w:rsidRDefault="00E836FB">
            <w:pPr>
              <w:rPr>
                <w:rFonts w:ascii="宋体"/>
                <w:vanish/>
              </w:rPr>
            </w:pPr>
          </w:p>
        </w:tc>
        <w:tc>
          <w:tcPr>
            <w:tcW w:w="0" w:type="auto"/>
            <w:gridSpan w:val="3"/>
            <w:shd w:val="clear" w:color="auto" w:fill="auto"/>
            <w:vAlign w:val="bottom"/>
          </w:tcPr>
          <w:p w14:paraId="5F2CFC02" w14:textId="77777777" w:rsidR="00E836FB" w:rsidRDefault="00E836FB">
            <w:pPr>
              <w:rPr>
                <w:rFonts w:ascii="宋体"/>
                <w:vanish/>
              </w:rPr>
            </w:pPr>
          </w:p>
        </w:tc>
        <w:tc>
          <w:tcPr>
            <w:tcW w:w="0" w:type="auto"/>
            <w:gridSpan w:val="3"/>
            <w:shd w:val="clear" w:color="auto" w:fill="auto"/>
            <w:vAlign w:val="bottom"/>
          </w:tcPr>
          <w:p w14:paraId="5F2CFC03" w14:textId="77777777" w:rsidR="00E836FB" w:rsidRDefault="00E836FB">
            <w:pPr>
              <w:rPr>
                <w:rFonts w:ascii="宋体"/>
                <w:vanish/>
              </w:rPr>
            </w:pPr>
          </w:p>
        </w:tc>
        <w:tc>
          <w:tcPr>
            <w:tcW w:w="0" w:type="auto"/>
            <w:gridSpan w:val="3"/>
            <w:shd w:val="clear" w:color="auto" w:fill="auto"/>
            <w:vAlign w:val="bottom"/>
          </w:tcPr>
          <w:p w14:paraId="5F2CFC04" w14:textId="77777777" w:rsidR="00E836FB" w:rsidRDefault="00E836FB">
            <w:pPr>
              <w:rPr>
                <w:rFonts w:ascii="宋体"/>
                <w:vanish/>
              </w:rPr>
            </w:pPr>
          </w:p>
        </w:tc>
      </w:tr>
      <w:tr w:rsidR="00E836FB" w14:paraId="5F2CFC10" w14:textId="77777777">
        <w:trPr>
          <w:hidden/>
        </w:trPr>
        <w:tc>
          <w:tcPr>
            <w:tcW w:w="0" w:type="auto"/>
            <w:gridSpan w:val="3"/>
            <w:shd w:val="clear" w:color="auto" w:fill="auto"/>
            <w:vAlign w:val="bottom"/>
          </w:tcPr>
          <w:p w14:paraId="5F2CFC06" w14:textId="77777777" w:rsidR="00E836FB" w:rsidRDefault="00E836FB">
            <w:pPr>
              <w:rPr>
                <w:rFonts w:ascii="宋体"/>
                <w:vanish/>
              </w:rPr>
            </w:pPr>
          </w:p>
        </w:tc>
        <w:tc>
          <w:tcPr>
            <w:tcW w:w="0" w:type="auto"/>
            <w:gridSpan w:val="3"/>
            <w:shd w:val="clear" w:color="auto" w:fill="auto"/>
            <w:vAlign w:val="bottom"/>
          </w:tcPr>
          <w:p w14:paraId="5F2CFC07" w14:textId="77777777" w:rsidR="00E836FB" w:rsidRDefault="00E836FB">
            <w:pPr>
              <w:rPr>
                <w:rFonts w:ascii="宋体"/>
                <w:vanish/>
              </w:rPr>
            </w:pPr>
          </w:p>
        </w:tc>
        <w:tc>
          <w:tcPr>
            <w:tcW w:w="0" w:type="auto"/>
            <w:gridSpan w:val="3"/>
            <w:shd w:val="clear" w:color="auto" w:fill="auto"/>
            <w:vAlign w:val="bottom"/>
          </w:tcPr>
          <w:p w14:paraId="5F2CFC08" w14:textId="77777777" w:rsidR="00E836FB" w:rsidRDefault="00E836FB">
            <w:pPr>
              <w:rPr>
                <w:rFonts w:ascii="宋体"/>
                <w:vanish/>
              </w:rPr>
            </w:pPr>
          </w:p>
        </w:tc>
        <w:tc>
          <w:tcPr>
            <w:tcW w:w="0" w:type="auto"/>
            <w:gridSpan w:val="3"/>
            <w:shd w:val="clear" w:color="auto" w:fill="auto"/>
            <w:vAlign w:val="bottom"/>
          </w:tcPr>
          <w:p w14:paraId="5F2CFC09" w14:textId="77777777" w:rsidR="00E836FB" w:rsidRDefault="00E836FB">
            <w:pPr>
              <w:rPr>
                <w:rFonts w:ascii="宋体"/>
                <w:vanish/>
              </w:rPr>
            </w:pPr>
          </w:p>
        </w:tc>
        <w:tc>
          <w:tcPr>
            <w:tcW w:w="0" w:type="auto"/>
            <w:gridSpan w:val="3"/>
            <w:shd w:val="clear" w:color="auto" w:fill="auto"/>
            <w:vAlign w:val="bottom"/>
          </w:tcPr>
          <w:p w14:paraId="5F2CFC0A" w14:textId="77777777" w:rsidR="00E836FB" w:rsidRDefault="00E836FB">
            <w:pPr>
              <w:rPr>
                <w:rFonts w:ascii="宋体"/>
                <w:vanish/>
              </w:rPr>
            </w:pPr>
          </w:p>
        </w:tc>
        <w:tc>
          <w:tcPr>
            <w:tcW w:w="0" w:type="auto"/>
            <w:gridSpan w:val="3"/>
            <w:shd w:val="clear" w:color="auto" w:fill="auto"/>
            <w:vAlign w:val="bottom"/>
          </w:tcPr>
          <w:p w14:paraId="5F2CFC0B" w14:textId="77777777" w:rsidR="00E836FB" w:rsidRDefault="00E836FB">
            <w:pPr>
              <w:rPr>
                <w:rFonts w:ascii="宋体"/>
                <w:vanish/>
              </w:rPr>
            </w:pPr>
          </w:p>
        </w:tc>
        <w:tc>
          <w:tcPr>
            <w:tcW w:w="0" w:type="auto"/>
            <w:gridSpan w:val="3"/>
            <w:shd w:val="clear" w:color="auto" w:fill="auto"/>
            <w:vAlign w:val="bottom"/>
          </w:tcPr>
          <w:p w14:paraId="5F2CFC0C" w14:textId="77777777" w:rsidR="00E836FB" w:rsidRDefault="00E836FB">
            <w:pPr>
              <w:rPr>
                <w:rFonts w:ascii="宋体"/>
                <w:vanish/>
              </w:rPr>
            </w:pPr>
          </w:p>
        </w:tc>
        <w:tc>
          <w:tcPr>
            <w:tcW w:w="0" w:type="auto"/>
            <w:gridSpan w:val="3"/>
            <w:shd w:val="clear" w:color="auto" w:fill="auto"/>
            <w:vAlign w:val="bottom"/>
          </w:tcPr>
          <w:p w14:paraId="5F2CFC0D" w14:textId="77777777" w:rsidR="00E836FB" w:rsidRDefault="00E836FB">
            <w:pPr>
              <w:rPr>
                <w:rFonts w:ascii="宋体"/>
                <w:vanish/>
              </w:rPr>
            </w:pPr>
          </w:p>
        </w:tc>
        <w:tc>
          <w:tcPr>
            <w:tcW w:w="0" w:type="auto"/>
            <w:gridSpan w:val="3"/>
            <w:shd w:val="clear" w:color="auto" w:fill="auto"/>
            <w:vAlign w:val="bottom"/>
          </w:tcPr>
          <w:p w14:paraId="5F2CFC0E" w14:textId="77777777" w:rsidR="00E836FB" w:rsidRDefault="00E836FB">
            <w:pPr>
              <w:rPr>
                <w:rFonts w:ascii="宋体"/>
                <w:vanish/>
              </w:rPr>
            </w:pPr>
          </w:p>
        </w:tc>
        <w:tc>
          <w:tcPr>
            <w:tcW w:w="0" w:type="auto"/>
            <w:gridSpan w:val="3"/>
            <w:shd w:val="clear" w:color="auto" w:fill="auto"/>
            <w:vAlign w:val="bottom"/>
          </w:tcPr>
          <w:p w14:paraId="5F2CFC0F" w14:textId="77777777" w:rsidR="00E836FB" w:rsidRDefault="00E836FB">
            <w:pPr>
              <w:rPr>
                <w:rFonts w:ascii="宋体"/>
                <w:vanish/>
              </w:rPr>
            </w:pPr>
          </w:p>
        </w:tc>
      </w:tr>
      <w:tr w:rsidR="00E836FB" w14:paraId="5F2CFC1B" w14:textId="77777777">
        <w:trPr>
          <w:hidden/>
        </w:trPr>
        <w:tc>
          <w:tcPr>
            <w:tcW w:w="0" w:type="auto"/>
            <w:gridSpan w:val="3"/>
            <w:shd w:val="clear" w:color="auto" w:fill="auto"/>
            <w:vAlign w:val="bottom"/>
          </w:tcPr>
          <w:p w14:paraId="5F2CFC11" w14:textId="77777777" w:rsidR="00E836FB" w:rsidRDefault="00E836FB">
            <w:pPr>
              <w:rPr>
                <w:rFonts w:ascii="宋体"/>
                <w:vanish/>
              </w:rPr>
            </w:pPr>
          </w:p>
        </w:tc>
        <w:tc>
          <w:tcPr>
            <w:tcW w:w="0" w:type="auto"/>
            <w:gridSpan w:val="3"/>
            <w:shd w:val="clear" w:color="auto" w:fill="auto"/>
            <w:vAlign w:val="bottom"/>
          </w:tcPr>
          <w:p w14:paraId="5F2CFC12" w14:textId="77777777" w:rsidR="00E836FB" w:rsidRDefault="00E836FB">
            <w:pPr>
              <w:rPr>
                <w:rFonts w:ascii="宋体"/>
                <w:vanish/>
              </w:rPr>
            </w:pPr>
          </w:p>
        </w:tc>
        <w:tc>
          <w:tcPr>
            <w:tcW w:w="0" w:type="auto"/>
            <w:gridSpan w:val="3"/>
            <w:shd w:val="clear" w:color="auto" w:fill="auto"/>
            <w:vAlign w:val="bottom"/>
          </w:tcPr>
          <w:p w14:paraId="5F2CFC13" w14:textId="77777777" w:rsidR="00E836FB" w:rsidRDefault="00E836FB">
            <w:pPr>
              <w:rPr>
                <w:rFonts w:ascii="宋体"/>
                <w:vanish/>
              </w:rPr>
            </w:pPr>
          </w:p>
        </w:tc>
        <w:tc>
          <w:tcPr>
            <w:tcW w:w="0" w:type="auto"/>
            <w:gridSpan w:val="3"/>
            <w:shd w:val="clear" w:color="auto" w:fill="auto"/>
            <w:vAlign w:val="bottom"/>
          </w:tcPr>
          <w:p w14:paraId="5F2CFC14" w14:textId="77777777" w:rsidR="00E836FB" w:rsidRDefault="00E836FB">
            <w:pPr>
              <w:rPr>
                <w:rFonts w:ascii="宋体"/>
                <w:vanish/>
              </w:rPr>
            </w:pPr>
          </w:p>
        </w:tc>
        <w:tc>
          <w:tcPr>
            <w:tcW w:w="0" w:type="auto"/>
            <w:gridSpan w:val="3"/>
            <w:shd w:val="clear" w:color="auto" w:fill="auto"/>
            <w:vAlign w:val="bottom"/>
          </w:tcPr>
          <w:p w14:paraId="5F2CFC15" w14:textId="77777777" w:rsidR="00E836FB" w:rsidRDefault="00E836FB">
            <w:pPr>
              <w:rPr>
                <w:rFonts w:ascii="宋体"/>
                <w:vanish/>
              </w:rPr>
            </w:pPr>
          </w:p>
        </w:tc>
        <w:tc>
          <w:tcPr>
            <w:tcW w:w="0" w:type="auto"/>
            <w:gridSpan w:val="3"/>
            <w:shd w:val="clear" w:color="auto" w:fill="auto"/>
            <w:vAlign w:val="bottom"/>
          </w:tcPr>
          <w:p w14:paraId="5F2CFC16" w14:textId="77777777" w:rsidR="00E836FB" w:rsidRDefault="00E836FB">
            <w:pPr>
              <w:rPr>
                <w:rFonts w:ascii="宋体"/>
                <w:vanish/>
              </w:rPr>
            </w:pPr>
          </w:p>
        </w:tc>
        <w:tc>
          <w:tcPr>
            <w:tcW w:w="0" w:type="auto"/>
            <w:gridSpan w:val="3"/>
            <w:shd w:val="clear" w:color="auto" w:fill="auto"/>
            <w:vAlign w:val="bottom"/>
          </w:tcPr>
          <w:p w14:paraId="5F2CFC17" w14:textId="77777777" w:rsidR="00E836FB" w:rsidRDefault="00E836FB">
            <w:pPr>
              <w:rPr>
                <w:rFonts w:ascii="宋体"/>
                <w:vanish/>
              </w:rPr>
            </w:pPr>
          </w:p>
        </w:tc>
        <w:tc>
          <w:tcPr>
            <w:tcW w:w="0" w:type="auto"/>
            <w:gridSpan w:val="3"/>
            <w:shd w:val="clear" w:color="auto" w:fill="auto"/>
            <w:vAlign w:val="bottom"/>
          </w:tcPr>
          <w:p w14:paraId="5F2CFC18" w14:textId="77777777" w:rsidR="00E836FB" w:rsidRDefault="00E836FB">
            <w:pPr>
              <w:rPr>
                <w:rFonts w:ascii="宋体"/>
                <w:vanish/>
              </w:rPr>
            </w:pPr>
          </w:p>
        </w:tc>
        <w:tc>
          <w:tcPr>
            <w:tcW w:w="0" w:type="auto"/>
            <w:gridSpan w:val="3"/>
            <w:shd w:val="clear" w:color="auto" w:fill="auto"/>
            <w:vAlign w:val="bottom"/>
          </w:tcPr>
          <w:p w14:paraId="5F2CFC19" w14:textId="77777777" w:rsidR="00E836FB" w:rsidRDefault="00E836FB">
            <w:pPr>
              <w:rPr>
                <w:rFonts w:ascii="宋体"/>
                <w:vanish/>
              </w:rPr>
            </w:pPr>
          </w:p>
        </w:tc>
        <w:tc>
          <w:tcPr>
            <w:tcW w:w="0" w:type="auto"/>
            <w:gridSpan w:val="3"/>
            <w:shd w:val="clear" w:color="auto" w:fill="auto"/>
            <w:vAlign w:val="bottom"/>
          </w:tcPr>
          <w:p w14:paraId="5F2CFC1A" w14:textId="77777777" w:rsidR="00E836FB" w:rsidRDefault="00E836FB">
            <w:pPr>
              <w:rPr>
                <w:rFonts w:ascii="宋体"/>
                <w:vanish/>
              </w:rPr>
            </w:pPr>
          </w:p>
        </w:tc>
      </w:tr>
      <w:tr w:rsidR="00E836FB" w14:paraId="5F2CFC26" w14:textId="77777777">
        <w:trPr>
          <w:hidden/>
        </w:trPr>
        <w:tc>
          <w:tcPr>
            <w:tcW w:w="0" w:type="auto"/>
            <w:gridSpan w:val="3"/>
            <w:shd w:val="clear" w:color="auto" w:fill="auto"/>
            <w:vAlign w:val="bottom"/>
          </w:tcPr>
          <w:p w14:paraId="5F2CFC1C" w14:textId="77777777" w:rsidR="00E836FB" w:rsidRDefault="00E836FB">
            <w:pPr>
              <w:rPr>
                <w:rFonts w:ascii="宋体"/>
                <w:vanish/>
              </w:rPr>
            </w:pPr>
          </w:p>
        </w:tc>
        <w:tc>
          <w:tcPr>
            <w:tcW w:w="0" w:type="auto"/>
            <w:gridSpan w:val="3"/>
            <w:shd w:val="clear" w:color="auto" w:fill="auto"/>
            <w:vAlign w:val="bottom"/>
          </w:tcPr>
          <w:p w14:paraId="5F2CFC1D" w14:textId="77777777" w:rsidR="00E836FB" w:rsidRDefault="00E836FB">
            <w:pPr>
              <w:rPr>
                <w:rFonts w:ascii="宋体"/>
                <w:vanish/>
              </w:rPr>
            </w:pPr>
          </w:p>
        </w:tc>
        <w:tc>
          <w:tcPr>
            <w:tcW w:w="0" w:type="auto"/>
            <w:gridSpan w:val="3"/>
            <w:shd w:val="clear" w:color="auto" w:fill="auto"/>
            <w:vAlign w:val="bottom"/>
          </w:tcPr>
          <w:p w14:paraId="5F2CFC1E" w14:textId="77777777" w:rsidR="00E836FB" w:rsidRDefault="00E836FB">
            <w:pPr>
              <w:rPr>
                <w:rFonts w:ascii="宋体"/>
                <w:vanish/>
              </w:rPr>
            </w:pPr>
          </w:p>
        </w:tc>
        <w:tc>
          <w:tcPr>
            <w:tcW w:w="0" w:type="auto"/>
            <w:gridSpan w:val="3"/>
            <w:shd w:val="clear" w:color="auto" w:fill="auto"/>
            <w:vAlign w:val="bottom"/>
          </w:tcPr>
          <w:p w14:paraId="5F2CFC1F" w14:textId="77777777" w:rsidR="00E836FB" w:rsidRDefault="00E836FB">
            <w:pPr>
              <w:rPr>
                <w:rFonts w:ascii="宋体"/>
                <w:vanish/>
              </w:rPr>
            </w:pPr>
          </w:p>
        </w:tc>
        <w:tc>
          <w:tcPr>
            <w:tcW w:w="0" w:type="auto"/>
            <w:gridSpan w:val="3"/>
            <w:shd w:val="clear" w:color="auto" w:fill="auto"/>
            <w:vAlign w:val="bottom"/>
          </w:tcPr>
          <w:p w14:paraId="5F2CFC20" w14:textId="77777777" w:rsidR="00E836FB" w:rsidRDefault="00E836FB">
            <w:pPr>
              <w:rPr>
                <w:rFonts w:ascii="宋体"/>
                <w:vanish/>
              </w:rPr>
            </w:pPr>
          </w:p>
        </w:tc>
        <w:tc>
          <w:tcPr>
            <w:tcW w:w="0" w:type="auto"/>
            <w:gridSpan w:val="3"/>
            <w:shd w:val="clear" w:color="auto" w:fill="auto"/>
            <w:vAlign w:val="bottom"/>
          </w:tcPr>
          <w:p w14:paraId="5F2CFC21" w14:textId="77777777" w:rsidR="00E836FB" w:rsidRDefault="00E836FB">
            <w:pPr>
              <w:rPr>
                <w:rFonts w:ascii="宋体"/>
                <w:vanish/>
              </w:rPr>
            </w:pPr>
          </w:p>
        </w:tc>
        <w:tc>
          <w:tcPr>
            <w:tcW w:w="0" w:type="auto"/>
            <w:gridSpan w:val="3"/>
            <w:shd w:val="clear" w:color="auto" w:fill="auto"/>
            <w:vAlign w:val="bottom"/>
          </w:tcPr>
          <w:p w14:paraId="5F2CFC22" w14:textId="77777777" w:rsidR="00E836FB" w:rsidRDefault="00E836FB">
            <w:pPr>
              <w:rPr>
                <w:rFonts w:ascii="宋体"/>
                <w:vanish/>
              </w:rPr>
            </w:pPr>
          </w:p>
        </w:tc>
        <w:tc>
          <w:tcPr>
            <w:tcW w:w="0" w:type="auto"/>
            <w:gridSpan w:val="3"/>
            <w:shd w:val="clear" w:color="auto" w:fill="auto"/>
            <w:vAlign w:val="bottom"/>
          </w:tcPr>
          <w:p w14:paraId="5F2CFC23" w14:textId="77777777" w:rsidR="00E836FB" w:rsidRDefault="00E836FB">
            <w:pPr>
              <w:rPr>
                <w:rFonts w:ascii="宋体"/>
                <w:vanish/>
              </w:rPr>
            </w:pPr>
          </w:p>
        </w:tc>
        <w:tc>
          <w:tcPr>
            <w:tcW w:w="0" w:type="auto"/>
            <w:gridSpan w:val="3"/>
            <w:shd w:val="clear" w:color="auto" w:fill="auto"/>
            <w:vAlign w:val="bottom"/>
          </w:tcPr>
          <w:p w14:paraId="5F2CFC24" w14:textId="77777777" w:rsidR="00E836FB" w:rsidRDefault="00E836FB">
            <w:pPr>
              <w:rPr>
                <w:rFonts w:ascii="宋体"/>
                <w:vanish/>
              </w:rPr>
            </w:pPr>
          </w:p>
        </w:tc>
        <w:tc>
          <w:tcPr>
            <w:tcW w:w="0" w:type="auto"/>
            <w:gridSpan w:val="3"/>
            <w:shd w:val="clear" w:color="auto" w:fill="auto"/>
            <w:vAlign w:val="bottom"/>
          </w:tcPr>
          <w:p w14:paraId="5F2CFC25" w14:textId="77777777" w:rsidR="00E836FB" w:rsidRDefault="00E836FB">
            <w:pPr>
              <w:rPr>
                <w:rFonts w:ascii="宋体"/>
                <w:vanish/>
              </w:rPr>
            </w:pPr>
          </w:p>
        </w:tc>
      </w:tr>
      <w:tr w:rsidR="00E836FB" w14:paraId="5F2CFC31" w14:textId="77777777">
        <w:trPr>
          <w:hidden/>
        </w:trPr>
        <w:tc>
          <w:tcPr>
            <w:tcW w:w="0" w:type="auto"/>
            <w:gridSpan w:val="3"/>
            <w:shd w:val="clear" w:color="auto" w:fill="auto"/>
            <w:vAlign w:val="bottom"/>
          </w:tcPr>
          <w:p w14:paraId="5F2CFC27" w14:textId="77777777" w:rsidR="00E836FB" w:rsidRDefault="00E836FB">
            <w:pPr>
              <w:rPr>
                <w:rFonts w:ascii="宋体"/>
                <w:vanish/>
              </w:rPr>
            </w:pPr>
          </w:p>
        </w:tc>
        <w:tc>
          <w:tcPr>
            <w:tcW w:w="0" w:type="auto"/>
            <w:gridSpan w:val="3"/>
            <w:shd w:val="clear" w:color="auto" w:fill="auto"/>
            <w:vAlign w:val="bottom"/>
          </w:tcPr>
          <w:p w14:paraId="5F2CFC28" w14:textId="77777777" w:rsidR="00E836FB" w:rsidRDefault="00E836FB">
            <w:pPr>
              <w:rPr>
                <w:rFonts w:ascii="宋体"/>
                <w:vanish/>
              </w:rPr>
            </w:pPr>
          </w:p>
        </w:tc>
        <w:tc>
          <w:tcPr>
            <w:tcW w:w="0" w:type="auto"/>
            <w:gridSpan w:val="3"/>
            <w:shd w:val="clear" w:color="auto" w:fill="auto"/>
            <w:vAlign w:val="bottom"/>
          </w:tcPr>
          <w:p w14:paraId="5F2CFC29" w14:textId="77777777" w:rsidR="00E836FB" w:rsidRDefault="00E836FB">
            <w:pPr>
              <w:rPr>
                <w:rFonts w:ascii="宋体"/>
                <w:vanish/>
              </w:rPr>
            </w:pPr>
          </w:p>
        </w:tc>
        <w:tc>
          <w:tcPr>
            <w:tcW w:w="0" w:type="auto"/>
            <w:gridSpan w:val="3"/>
            <w:shd w:val="clear" w:color="auto" w:fill="auto"/>
            <w:vAlign w:val="bottom"/>
          </w:tcPr>
          <w:p w14:paraId="5F2CFC2A" w14:textId="77777777" w:rsidR="00E836FB" w:rsidRDefault="00E836FB">
            <w:pPr>
              <w:rPr>
                <w:rFonts w:ascii="宋体"/>
                <w:vanish/>
              </w:rPr>
            </w:pPr>
          </w:p>
        </w:tc>
        <w:tc>
          <w:tcPr>
            <w:tcW w:w="0" w:type="auto"/>
            <w:gridSpan w:val="3"/>
            <w:shd w:val="clear" w:color="auto" w:fill="auto"/>
            <w:vAlign w:val="bottom"/>
          </w:tcPr>
          <w:p w14:paraId="5F2CFC2B" w14:textId="77777777" w:rsidR="00E836FB" w:rsidRDefault="00E836FB">
            <w:pPr>
              <w:rPr>
                <w:rFonts w:ascii="宋体"/>
                <w:vanish/>
              </w:rPr>
            </w:pPr>
          </w:p>
        </w:tc>
        <w:tc>
          <w:tcPr>
            <w:tcW w:w="0" w:type="auto"/>
            <w:gridSpan w:val="3"/>
            <w:shd w:val="clear" w:color="auto" w:fill="auto"/>
            <w:vAlign w:val="bottom"/>
          </w:tcPr>
          <w:p w14:paraId="5F2CFC2C" w14:textId="77777777" w:rsidR="00E836FB" w:rsidRDefault="00E836FB">
            <w:pPr>
              <w:rPr>
                <w:rFonts w:ascii="宋体"/>
                <w:vanish/>
              </w:rPr>
            </w:pPr>
          </w:p>
        </w:tc>
        <w:tc>
          <w:tcPr>
            <w:tcW w:w="0" w:type="auto"/>
            <w:gridSpan w:val="3"/>
            <w:shd w:val="clear" w:color="auto" w:fill="auto"/>
            <w:vAlign w:val="bottom"/>
          </w:tcPr>
          <w:p w14:paraId="5F2CFC2D" w14:textId="77777777" w:rsidR="00E836FB" w:rsidRDefault="00E836FB">
            <w:pPr>
              <w:rPr>
                <w:rFonts w:ascii="宋体"/>
                <w:vanish/>
              </w:rPr>
            </w:pPr>
          </w:p>
        </w:tc>
        <w:tc>
          <w:tcPr>
            <w:tcW w:w="0" w:type="auto"/>
            <w:gridSpan w:val="3"/>
            <w:shd w:val="clear" w:color="auto" w:fill="auto"/>
            <w:vAlign w:val="bottom"/>
          </w:tcPr>
          <w:p w14:paraId="5F2CFC2E" w14:textId="77777777" w:rsidR="00E836FB" w:rsidRDefault="00E836FB">
            <w:pPr>
              <w:rPr>
                <w:rFonts w:ascii="宋体"/>
                <w:vanish/>
              </w:rPr>
            </w:pPr>
          </w:p>
        </w:tc>
        <w:tc>
          <w:tcPr>
            <w:tcW w:w="0" w:type="auto"/>
            <w:gridSpan w:val="3"/>
            <w:shd w:val="clear" w:color="auto" w:fill="auto"/>
            <w:vAlign w:val="bottom"/>
          </w:tcPr>
          <w:p w14:paraId="5F2CFC2F" w14:textId="77777777" w:rsidR="00E836FB" w:rsidRDefault="00E836FB">
            <w:pPr>
              <w:rPr>
                <w:rFonts w:ascii="宋体"/>
                <w:vanish/>
              </w:rPr>
            </w:pPr>
          </w:p>
        </w:tc>
        <w:tc>
          <w:tcPr>
            <w:tcW w:w="0" w:type="auto"/>
            <w:gridSpan w:val="3"/>
            <w:shd w:val="clear" w:color="auto" w:fill="auto"/>
            <w:vAlign w:val="bottom"/>
          </w:tcPr>
          <w:p w14:paraId="5F2CFC30" w14:textId="77777777" w:rsidR="00E836FB" w:rsidRDefault="00E836FB">
            <w:pPr>
              <w:rPr>
                <w:rFonts w:ascii="宋体"/>
                <w:vanish/>
              </w:rPr>
            </w:pPr>
          </w:p>
        </w:tc>
      </w:tr>
      <w:tr w:rsidR="00E836FB" w14:paraId="5F2CFC40" w14:textId="77777777">
        <w:tc>
          <w:tcPr>
            <w:tcW w:w="0" w:type="auto"/>
            <w:gridSpan w:val="3"/>
            <w:shd w:val="clear" w:color="auto" w:fill="FFFFFF"/>
            <w:tcMar>
              <w:top w:w="40" w:type="dxa"/>
              <w:left w:w="740" w:type="dxa"/>
              <w:bottom w:w="40" w:type="dxa"/>
              <w:right w:w="20" w:type="dxa"/>
            </w:tcMar>
            <w:vAlign w:val="bottom"/>
          </w:tcPr>
          <w:p w14:paraId="5F2CFC32" w14:textId="77777777" w:rsidR="00E836FB" w:rsidRDefault="00994958">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C33" w14:textId="77777777" w:rsidR="00E836FB" w:rsidRDefault="00994958">
            <w:pPr>
              <w:jc w:val="right"/>
              <w:textAlignment w:val="bottom"/>
            </w:pPr>
            <w:r>
              <w:rPr>
                <w:rFonts w:ascii="Arial" w:eastAsia="宋体" w:hAnsi="Arial" w:cs="Arial"/>
                <w:b/>
                <w:bCs/>
                <w:color w:val="000000"/>
                <w:sz w:val="15"/>
                <w:szCs w:val="15"/>
              </w:rPr>
              <w:t>17,939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C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3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C36" w14:textId="77777777" w:rsidR="00E836FB" w:rsidRDefault="00994958">
            <w:pPr>
              <w:jc w:val="right"/>
              <w:textAlignment w:val="bottom"/>
            </w:pPr>
            <w:r>
              <w:rPr>
                <w:rFonts w:ascii="Arial" w:eastAsia="宋体" w:hAnsi="Arial" w:cs="Arial"/>
                <w:b/>
                <w:bCs/>
                <w:color w:val="000000"/>
                <w:sz w:val="15"/>
                <w:szCs w:val="15"/>
              </w:rPr>
              <w:t>55,460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C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3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C39"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C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3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3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3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C3E" w14:textId="77777777" w:rsidR="00E836FB" w:rsidRDefault="00994958">
            <w:pPr>
              <w:jc w:val="right"/>
              <w:textAlignment w:val="bottom"/>
            </w:pPr>
            <w:r>
              <w:rPr>
                <w:rFonts w:ascii="Arial" w:eastAsia="宋体" w:hAnsi="Arial" w:cs="Arial"/>
                <w:b/>
                <w:bCs/>
                <w:color w:val="000000"/>
                <w:sz w:val="15"/>
                <w:szCs w:val="15"/>
              </w:rPr>
              <w:t>73,399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C3F" w14:textId="77777777" w:rsidR="00E836FB" w:rsidRDefault="00E836FB">
            <w:pPr>
              <w:jc w:val="right"/>
              <w:rPr>
                <w:rFonts w:ascii="宋体"/>
              </w:rPr>
            </w:pPr>
          </w:p>
        </w:tc>
      </w:tr>
      <w:tr w:rsidR="00E836FB" w14:paraId="5F2CFC4B" w14:textId="77777777">
        <w:tc>
          <w:tcPr>
            <w:tcW w:w="0" w:type="auto"/>
            <w:gridSpan w:val="3"/>
            <w:shd w:val="clear" w:color="auto" w:fill="CCEEFF"/>
            <w:tcMar>
              <w:top w:w="40" w:type="dxa"/>
              <w:left w:w="20" w:type="dxa"/>
              <w:bottom w:w="40" w:type="dxa"/>
              <w:right w:w="20" w:type="dxa"/>
            </w:tcMar>
            <w:vAlign w:val="bottom"/>
          </w:tcPr>
          <w:p w14:paraId="5F2CFC41" w14:textId="77777777" w:rsidR="00E836FB" w:rsidRDefault="00994958">
            <w:pPr>
              <w:textAlignment w:val="bottom"/>
            </w:pPr>
            <w:r>
              <w:rPr>
                <w:rFonts w:ascii="Arial" w:eastAsia="宋体" w:hAnsi="Arial" w:cs="Arial"/>
                <w:color w:val="000000"/>
                <w:sz w:val="15"/>
                <w:szCs w:val="15"/>
              </w:rPr>
              <w:t>Other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C4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43"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C4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45"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C4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4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4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49"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C4A" w14:textId="77777777" w:rsidR="00E836FB" w:rsidRDefault="00E836FB">
            <w:pPr>
              <w:rPr>
                <w:rFonts w:ascii="宋体"/>
              </w:rPr>
            </w:pPr>
          </w:p>
        </w:tc>
      </w:tr>
      <w:tr w:rsidR="00E836FB" w14:paraId="5F2CFC56" w14:textId="77777777">
        <w:tc>
          <w:tcPr>
            <w:tcW w:w="0" w:type="auto"/>
            <w:gridSpan w:val="3"/>
            <w:shd w:val="clear" w:color="auto" w:fill="FFFFFF"/>
            <w:tcMar>
              <w:top w:w="40" w:type="dxa"/>
              <w:left w:w="245" w:type="dxa"/>
              <w:bottom w:w="40" w:type="dxa"/>
              <w:right w:w="20" w:type="dxa"/>
            </w:tcMar>
            <w:vAlign w:val="bottom"/>
          </w:tcPr>
          <w:p w14:paraId="5F2CFC4C" w14:textId="77777777" w:rsidR="00E836FB" w:rsidRDefault="00994958">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F2CFC4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4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4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5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5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5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5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5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55" w14:textId="77777777" w:rsidR="00E836FB" w:rsidRDefault="00E836FB">
            <w:pPr>
              <w:rPr>
                <w:rFonts w:ascii="宋体"/>
              </w:rPr>
            </w:pPr>
          </w:p>
        </w:tc>
      </w:tr>
      <w:tr w:rsidR="00E836FB" w14:paraId="5F2CFC67" w14:textId="77777777">
        <w:tc>
          <w:tcPr>
            <w:tcW w:w="0" w:type="auto"/>
            <w:gridSpan w:val="3"/>
            <w:shd w:val="clear" w:color="auto" w:fill="CCEEFF"/>
            <w:tcMar>
              <w:top w:w="40" w:type="dxa"/>
              <w:left w:w="515" w:type="dxa"/>
              <w:bottom w:w="40" w:type="dxa"/>
              <w:right w:w="20" w:type="dxa"/>
            </w:tcMar>
            <w:vAlign w:val="bottom"/>
          </w:tcPr>
          <w:p w14:paraId="5F2CFC57" w14:textId="77777777" w:rsidR="00E836FB" w:rsidRDefault="00994958">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F2CFC58"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C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5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C5B" w14:textId="77777777" w:rsidR="00E836FB" w:rsidRDefault="00994958">
            <w:pPr>
              <w:jc w:val="right"/>
              <w:textAlignment w:val="bottom"/>
            </w:pPr>
            <w:r>
              <w:rPr>
                <w:rFonts w:ascii="Arial" w:eastAsia="宋体" w:hAnsi="Arial" w:cs="Arial"/>
                <w:b/>
                <w:bCs/>
                <w:color w:val="000000"/>
                <w:sz w:val="15"/>
                <w:szCs w:val="15"/>
              </w:rPr>
              <w:t>15,183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C5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5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C5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C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6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C6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C62" w14:textId="77777777" w:rsidR="00E836FB" w:rsidRDefault="00994958">
            <w:pPr>
              <w:jc w:val="right"/>
              <w:textAlignment w:val="bottom"/>
            </w:pPr>
            <w:r>
              <w:rPr>
                <w:rFonts w:ascii="Arial" w:eastAsia="宋体" w:hAnsi="Arial" w:cs="Arial"/>
                <w:b/>
                <w:bCs/>
                <w:color w:val="000000"/>
                <w:sz w:val="15"/>
                <w:szCs w:val="15"/>
              </w:rPr>
              <w:t>(11,079)</w:t>
            </w:r>
          </w:p>
        </w:tc>
        <w:tc>
          <w:tcPr>
            <w:tcW w:w="0" w:type="auto"/>
            <w:shd w:val="clear" w:color="auto" w:fill="CCEEFF"/>
            <w:tcMar>
              <w:top w:w="40" w:type="dxa"/>
              <w:left w:w="0" w:type="dxa"/>
              <w:bottom w:w="40" w:type="dxa"/>
              <w:right w:w="20" w:type="dxa"/>
            </w:tcMar>
            <w:vAlign w:val="bottom"/>
          </w:tcPr>
          <w:p w14:paraId="5F2CFC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6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C65" w14:textId="77777777" w:rsidR="00E836FB" w:rsidRDefault="00994958">
            <w:pPr>
              <w:jc w:val="right"/>
              <w:textAlignment w:val="bottom"/>
            </w:pPr>
            <w:r>
              <w:rPr>
                <w:rFonts w:ascii="Arial" w:eastAsia="宋体" w:hAnsi="Arial" w:cs="Arial"/>
                <w:b/>
                <w:bCs/>
                <w:color w:val="000000"/>
                <w:sz w:val="15"/>
                <w:szCs w:val="15"/>
              </w:rPr>
              <w:t>4,106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C66" w14:textId="77777777" w:rsidR="00E836FB" w:rsidRDefault="00E836FB">
            <w:pPr>
              <w:jc w:val="right"/>
              <w:rPr>
                <w:rFonts w:ascii="宋体"/>
              </w:rPr>
            </w:pPr>
          </w:p>
        </w:tc>
      </w:tr>
      <w:tr w:rsidR="00E836FB" w14:paraId="5F2CFC77" w14:textId="77777777">
        <w:tc>
          <w:tcPr>
            <w:tcW w:w="0" w:type="auto"/>
            <w:gridSpan w:val="3"/>
            <w:shd w:val="clear" w:color="auto" w:fill="FFFFFF"/>
            <w:tcMar>
              <w:top w:w="40" w:type="dxa"/>
              <w:left w:w="515" w:type="dxa"/>
              <w:bottom w:w="40" w:type="dxa"/>
              <w:right w:w="20" w:type="dxa"/>
            </w:tcMar>
            <w:vAlign w:val="bottom"/>
          </w:tcPr>
          <w:p w14:paraId="5F2CFC68" w14:textId="77777777" w:rsidR="00E836FB" w:rsidRDefault="00994958">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F2CFC69"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6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6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6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6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6F"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7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7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75"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76" w14:textId="77777777" w:rsidR="00E836FB" w:rsidRDefault="00E836FB">
            <w:pPr>
              <w:jc w:val="right"/>
              <w:rPr>
                <w:rFonts w:ascii="宋体"/>
              </w:rPr>
            </w:pPr>
          </w:p>
        </w:tc>
      </w:tr>
      <w:tr w:rsidR="00E836FB" w14:paraId="5F2CFC82" w14:textId="77777777">
        <w:trPr>
          <w:hidden/>
        </w:trPr>
        <w:tc>
          <w:tcPr>
            <w:tcW w:w="0" w:type="auto"/>
            <w:gridSpan w:val="3"/>
            <w:shd w:val="clear" w:color="auto" w:fill="auto"/>
            <w:vAlign w:val="bottom"/>
          </w:tcPr>
          <w:p w14:paraId="5F2CFC78" w14:textId="77777777" w:rsidR="00E836FB" w:rsidRDefault="00E836FB">
            <w:pPr>
              <w:rPr>
                <w:rFonts w:ascii="宋体"/>
                <w:vanish/>
              </w:rPr>
            </w:pPr>
          </w:p>
        </w:tc>
        <w:tc>
          <w:tcPr>
            <w:tcW w:w="0" w:type="auto"/>
            <w:gridSpan w:val="3"/>
            <w:shd w:val="clear" w:color="auto" w:fill="auto"/>
            <w:vAlign w:val="bottom"/>
          </w:tcPr>
          <w:p w14:paraId="5F2CFC79" w14:textId="77777777" w:rsidR="00E836FB" w:rsidRDefault="00E836FB">
            <w:pPr>
              <w:rPr>
                <w:rFonts w:ascii="宋体"/>
                <w:vanish/>
              </w:rPr>
            </w:pPr>
          </w:p>
        </w:tc>
        <w:tc>
          <w:tcPr>
            <w:tcW w:w="0" w:type="auto"/>
            <w:gridSpan w:val="3"/>
            <w:shd w:val="clear" w:color="auto" w:fill="auto"/>
            <w:vAlign w:val="bottom"/>
          </w:tcPr>
          <w:p w14:paraId="5F2CFC7A" w14:textId="77777777" w:rsidR="00E836FB" w:rsidRDefault="00E836FB">
            <w:pPr>
              <w:rPr>
                <w:rFonts w:ascii="宋体"/>
                <w:vanish/>
              </w:rPr>
            </w:pPr>
          </w:p>
        </w:tc>
        <w:tc>
          <w:tcPr>
            <w:tcW w:w="0" w:type="auto"/>
            <w:gridSpan w:val="3"/>
            <w:shd w:val="clear" w:color="auto" w:fill="auto"/>
            <w:vAlign w:val="bottom"/>
          </w:tcPr>
          <w:p w14:paraId="5F2CFC7B" w14:textId="77777777" w:rsidR="00E836FB" w:rsidRDefault="00E836FB">
            <w:pPr>
              <w:rPr>
                <w:rFonts w:ascii="宋体"/>
                <w:vanish/>
              </w:rPr>
            </w:pPr>
          </w:p>
        </w:tc>
        <w:tc>
          <w:tcPr>
            <w:tcW w:w="0" w:type="auto"/>
            <w:gridSpan w:val="3"/>
            <w:shd w:val="clear" w:color="auto" w:fill="auto"/>
            <w:vAlign w:val="bottom"/>
          </w:tcPr>
          <w:p w14:paraId="5F2CFC7C" w14:textId="77777777" w:rsidR="00E836FB" w:rsidRDefault="00E836FB">
            <w:pPr>
              <w:rPr>
                <w:rFonts w:ascii="宋体"/>
                <w:vanish/>
              </w:rPr>
            </w:pPr>
          </w:p>
        </w:tc>
        <w:tc>
          <w:tcPr>
            <w:tcW w:w="0" w:type="auto"/>
            <w:gridSpan w:val="3"/>
            <w:shd w:val="clear" w:color="auto" w:fill="auto"/>
            <w:vAlign w:val="bottom"/>
          </w:tcPr>
          <w:p w14:paraId="5F2CFC7D" w14:textId="77777777" w:rsidR="00E836FB" w:rsidRDefault="00E836FB">
            <w:pPr>
              <w:rPr>
                <w:rFonts w:ascii="宋体"/>
                <w:vanish/>
              </w:rPr>
            </w:pPr>
          </w:p>
        </w:tc>
        <w:tc>
          <w:tcPr>
            <w:tcW w:w="0" w:type="auto"/>
            <w:gridSpan w:val="3"/>
            <w:shd w:val="clear" w:color="auto" w:fill="auto"/>
            <w:vAlign w:val="bottom"/>
          </w:tcPr>
          <w:p w14:paraId="5F2CFC7E" w14:textId="77777777" w:rsidR="00E836FB" w:rsidRDefault="00E836FB">
            <w:pPr>
              <w:rPr>
                <w:rFonts w:ascii="宋体"/>
                <w:vanish/>
              </w:rPr>
            </w:pPr>
          </w:p>
        </w:tc>
        <w:tc>
          <w:tcPr>
            <w:tcW w:w="0" w:type="auto"/>
            <w:gridSpan w:val="3"/>
            <w:shd w:val="clear" w:color="auto" w:fill="auto"/>
            <w:vAlign w:val="bottom"/>
          </w:tcPr>
          <w:p w14:paraId="5F2CFC7F" w14:textId="77777777" w:rsidR="00E836FB" w:rsidRDefault="00E836FB">
            <w:pPr>
              <w:rPr>
                <w:rFonts w:ascii="宋体"/>
                <w:vanish/>
              </w:rPr>
            </w:pPr>
          </w:p>
        </w:tc>
        <w:tc>
          <w:tcPr>
            <w:tcW w:w="0" w:type="auto"/>
            <w:gridSpan w:val="3"/>
            <w:shd w:val="clear" w:color="auto" w:fill="auto"/>
            <w:vAlign w:val="bottom"/>
          </w:tcPr>
          <w:p w14:paraId="5F2CFC80" w14:textId="77777777" w:rsidR="00E836FB" w:rsidRDefault="00E836FB">
            <w:pPr>
              <w:rPr>
                <w:rFonts w:ascii="宋体"/>
                <w:vanish/>
              </w:rPr>
            </w:pPr>
          </w:p>
        </w:tc>
        <w:tc>
          <w:tcPr>
            <w:tcW w:w="0" w:type="auto"/>
            <w:gridSpan w:val="3"/>
            <w:shd w:val="clear" w:color="auto" w:fill="auto"/>
            <w:vAlign w:val="bottom"/>
          </w:tcPr>
          <w:p w14:paraId="5F2CFC81" w14:textId="77777777" w:rsidR="00E836FB" w:rsidRDefault="00E836FB">
            <w:pPr>
              <w:rPr>
                <w:rFonts w:ascii="宋体"/>
                <w:vanish/>
              </w:rPr>
            </w:pPr>
          </w:p>
        </w:tc>
      </w:tr>
      <w:tr w:rsidR="00E836FB" w14:paraId="5F2CFC92" w14:textId="77777777">
        <w:tc>
          <w:tcPr>
            <w:tcW w:w="0" w:type="auto"/>
            <w:gridSpan w:val="3"/>
            <w:shd w:val="clear" w:color="auto" w:fill="CCEEFF"/>
            <w:tcMar>
              <w:top w:w="40" w:type="dxa"/>
              <w:left w:w="740" w:type="dxa"/>
              <w:bottom w:w="40" w:type="dxa"/>
              <w:right w:w="20" w:type="dxa"/>
            </w:tcMar>
            <w:vAlign w:val="bottom"/>
          </w:tcPr>
          <w:p w14:paraId="5F2CFC83" w14:textId="77777777" w:rsidR="00E836FB" w:rsidRDefault="00994958">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C84" w14:textId="77777777" w:rsidR="00E836FB" w:rsidRDefault="00994958">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8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C87" w14:textId="77777777" w:rsidR="00E836FB" w:rsidRDefault="00994958">
            <w:pPr>
              <w:jc w:val="right"/>
              <w:textAlignment w:val="bottom"/>
            </w:pPr>
            <w:r>
              <w:rPr>
                <w:rFonts w:ascii="Arial" w:eastAsia="宋体" w:hAnsi="Arial" w:cs="Arial"/>
                <w:b/>
                <w:bCs/>
                <w:color w:val="000000"/>
                <w:sz w:val="15"/>
                <w:szCs w:val="15"/>
              </w:rPr>
              <w:t>15,183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8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C8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8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C8D" w14:textId="77777777" w:rsidR="00E836FB" w:rsidRDefault="00994958">
            <w:pPr>
              <w:jc w:val="right"/>
              <w:textAlignment w:val="bottom"/>
            </w:pPr>
            <w:r>
              <w:rPr>
                <w:rFonts w:ascii="Arial" w:eastAsia="宋体" w:hAnsi="Arial" w:cs="Arial"/>
                <w:b/>
                <w:bCs/>
                <w:color w:val="000000"/>
                <w:sz w:val="15"/>
                <w:szCs w:val="15"/>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8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C90" w14:textId="77777777" w:rsidR="00E836FB" w:rsidRDefault="00994958">
            <w:pPr>
              <w:jc w:val="right"/>
              <w:textAlignment w:val="bottom"/>
            </w:pPr>
            <w:r>
              <w:rPr>
                <w:rFonts w:ascii="Arial" w:eastAsia="宋体" w:hAnsi="Arial" w:cs="Arial"/>
                <w:b/>
                <w:bCs/>
                <w:color w:val="000000"/>
                <w:sz w:val="15"/>
                <w:szCs w:val="15"/>
              </w:rPr>
              <w:t>4,108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91" w14:textId="77777777" w:rsidR="00E836FB" w:rsidRDefault="00E836FB">
            <w:pPr>
              <w:jc w:val="right"/>
              <w:rPr>
                <w:rFonts w:ascii="宋体"/>
              </w:rPr>
            </w:pPr>
          </w:p>
        </w:tc>
      </w:tr>
      <w:tr w:rsidR="00E836FB" w14:paraId="5F2CFC9D" w14:textId="77777777">
        <w:trPr>
          <w:hidden/>
        </w:trPr>
        <w:tc>
          <w:tcPr>
            <w:tcW w:w="0" w:type="auto"/>
            <w:gridSpan w:val="3"/>
            <w:shd w:val="clear" w:color="auto" w:fill="auto"/>
            <w:vAlign w:val="bottom"/>
          </w:tcPr>
          <w:p w14:paraId="5F2CFC93" w14:textId="77777777" w:rsidR="00E836FB" w:rsidRDefault="00E836FB">
            <w:pPr>
              <w:rPr>
                <w:rFonts w:ascii="宋体"/>
                <w:vanish/>
              </w:rPr>
            </w:pPr>
          </w:p>
        </w:tc>
        <w:tc>
          <w:tcPr>
            <w:tcW w:w="0" w:type="auto"/>
            <w:gridSpan w:val="3"/>
            <w:shd w:val="clear" w:color="auto" w:fill="auto"/>
            <w:vAlign w:val="bottom"/>
          </w:tcPr>
          <w:p w14:paraId="5F2CFC94" w14:textId="77777777" w:rsidR="00E836FB" w:rsidRDefault="00E836FB">
            <w:pPr>
              <w:rPr>
                <w:rFonts w:ascii="宋体"/>
                <w:vanish/>
              </w:rPr>
            </w:pPr>
          </w:p>
        </w:tc>
        <w:tc>
          <w:tcPr>
            <w:tcW w:w="0" w:type="auto"/>
            <w:gridSpan w:val="3"/>
            <w:shd w:val="clear" w:color="auto" w:fill="auto"/>
            <w:vAlign w:val="bottom"/>
          </w:tcPr>
          <w:p w14:paraId="5F2CFC95" w14:textId="77777777" w:rsidR="00E836FB" w:rsidRDefault="00E836FB">
            <w:pPr>
              <w:rPr>
                <w:rFonts w:ascii="宋体"/>
                <w:vanish/>
              </w:rPr>
            </w:pPr>
          </w:p>
        </w:tc>
        <w:tc>
          <w:tcPr>
            <w:tcW w:w="0" w:type="auto"/>
            <w:gridSpan w:val="3"/>
            <w:shd w:val="clear" w:color="auto" w:fill="auto"/>
            <w:vAlign w:val="bottom"/>
          </w:tcPr>
          <w:p w14:paraId="5F2CFC96" w14:textId="77777777" w:rsidR="00E836FB" w:rsidRDefault="00E836FB">
            <w:pPr>
              <w:rPr>
                <w:rFonts w:ascii="宋体"/>
                <w:vanish/>
              </w:rPr>
            </w:pPr>
          </w:p>
        </w:tc>
        <w:tc>
          <w:tcPr>
            <w:tcW w:w="0" w:type="auto"/>
            <w:gridSpan w:val="3"/>
            <w:shd w:val="clear" w:color="auto" w:fill="auto"/>
            <w:vAlign w:val="bottom"/>
          </w:tcPr>
          <w:p w14:paraId="5F2CFC97" w14:textId="77777777" w:rsidR="00E836FB" w:rsidRDefault="00E836FB">
            <w:pPr>
              <w:rPr>
                <w:rFonts w:ascii="宋体"/>
                <w:vanish/>
              </w:rPr>
            </w:pPr>
          </w:p>
        </w:tc>
        <w:tc>
          <w:tcPr>
            <w:tcW w:w="0" w:type="auto"/>
            <w:gridSpan w:val="3"/>
            <w:shd w:val="clear" w:color="auto" w:fill="auto"/>
            <w:vAlign w:val="bottom"/>
          </w:tcPr>
          <w:p w14:paraId="5F2CFC98" w14:textId="77777777" w:rsidR="00E836FB" w:rsidRDefault="00E836FB">
            <w:pPr>
              <w:rPr>
                <w:rFonts w:ascii="宋体"/>
                <w:vanish/>
              </w:rPr>
            </w:pPr>
          </w:p>
        </w:tc>
        <w:tc>
          <w:tcPr>
            <w:tcW w:w="0" w:type="auto"/>
            <w:gridSpan w:val="3"/>
            <w:shd w:val="clear" w:color="auto" w:fill="auto"/>
            <w:vAlign w:val="bottom"/>
          </w:tcPr>
          <w:p w14:paraId="5F2CFC99" w14:textId="77777777" w:rsidR="00E836FB" w:rsidRDefault="00E836FB">
            <w:pPr>
              <w:rPr>
                <w:rFonts w:ascii="宋体"/>
                <w:vanish/>
              </w:rPr>
            </w:pPr>
          </w:p>
        </w:tc>
        <w:tc>
          <w:tcPr>
            <w:tcW w:w="0" w:type="auto"/>
            <w:gridSpan w:val="3"/>
            <w:shd w:val="clear" w:color="auto" w:fill="auto"/>
            <w:vAlign w:val="bottom"/>
          </w:tcPr>
          <w:p w14:paraId="5F2CFC9A" w14:textId="77777777" w:rsidR="00E836FB" w:rsidRDefault="00E836FB">
            <w:pPr>
              <w:rPr>
                <w:rFonts w:ascii="宋体"/>
                <w:vanish/>
              </w:rPr>
            </w:pPr>
          </w:p>
        </w:tc>
        <w:tc>
          <w:tcPr>
            <w:tcW w:w="0" w:type="auto"/>
            <w:gridSpan w:val="3"/>
            <w:shd w:val="clear" w:color="auto" w:fill="auto"/>
            <w:vAlign w:val="bottom"/>
          </w:tcPr>
          <w:p w14:paraId="5F2CFC9B" w14:textId="77777777" w:rsidR="00E836FB" w:rsidRDefault="00E836FB">
            <w:pPr>
              <w:rPr>
                <w:rFonts w:ascii="宋体"/>
                <w:vanish/>
              </w:rPr>
            </w:pPr>
          </w:p>
        </w:tc>
        <w:tc>
          <w:tcPr>
            <w:tcW w:w="0" w:type="auto"/>
            <w:gridSpan w:val="3"/>
            <w:shd w:val="clear" w:color="auto" w:fill="auto"/>
            <w:vAlign w:val="bottom"/>
          </w:tcPr>
          <w:p w14:paraId="5F2CFC9C" w14:textId="77777777" w:rsidR="00E836FB" w:rsidRDefault="00E836FB">
            <w:pPr>
              <w:rPr>
                <w:rFonts w:ascii="宋体"/>
                <w:vanish/>
              </w:rPr>
            </w:pPr>
          </w:p>
        </w:tc>
      </w:tr>
      <w:tr w:rsidR="00E836FB" w14:paraId="5F2CFCA8" w14:textId="77777777">
        <w:trPr>
          <w:hidden/>
        </w:trPr>
        <w:tc>
          <w:tcPr>
            <w:tcW w:w="0" w:type="auto"/>
            <w:gridSpan w:val="3"/>
            <w:shd w:val="clear" w:color="auto" w:fill="auto"/>
            <w:vAlign w:val="bottom"/>
          </w:tcPr>
          <w:p w14:paraId="5F2CFC9E" w14:textId="77777777" w:rsidR="00E836FB" w:rsidRDefault="00E836FB">
            <w:pPr>
              <w:rPr>
                <w:rFonts w:ascii="宋体"/>
                <w:vanish/>
              </w:rPr>
            </w:pPr>
          </w:p>
        </w:tc>
        <w:tc>
          <w:tcPr>
            <w:tcW w:w="0" w:type="auto"/>
            <w:gridSpan w:val="3"/>
            <w:shd w:val="clear" w:color="auto" w:fill="auto"/>
            <w:vAlign w:val="bottom"/>
          </w:tcPr>
          <w:p w14:paraId="5F2CFC9F" w14:textId="77777777" w:rsidR="00E836FB" w:rsidRDefault="00E836FB">
            <w:pPr>
              <w:rPr>
                <w:rFonts w:ascii="宋体"/>
                <w:vanish/>
              </w:rPr>
            </w:pPr>
          </w:p>
        </w:tc>
        <w:tc>
          <w:tcPr>
            <w:tcW w:w="0" w:type="auto"/>
            <w:gridSpan w:val="3"/>
            <w:shd w:val="clear" w:color="auto" w:fill="auto"/>
            <w:vAlign w:val="bottom"/>
          </w:tcPr>
          <w:p w14:paraId="5F2CFCA0" w14:textId="77777777" w:rsidR="00E836FB" w:rsidRDefault="00E836FB">
            <w:pPr>
              <w:rPr>
                <w:rFonts w:ascii="宋体"/>
                <w:vanish/>
              </w:rPr>
            </w:pPr>
          </w:p>
        </w:tc>
        <w:tc>
          <w:tcPr>
            <w:tcW w:w="0" w:type="auto"/>
            <w:gridSpan w:val="3"/>
            <w:shd w:val="clear" w:color="auto" w:fill="auto"/>
            <w:vAlign w:val="bottom"/>
          </w:tcPr>
          <w:p w14:paraId="5F2CFCA1" w14:textId="77777777" w:rsidR="00E836FB" w:rsidRDefault="00E836FB">
            <w:pPr>
              <w:rPr>
                <w:rFonts w:ascii="宋体"/>
                <w:vanish/>
              </w:rPr>
            </w:pPr>
          </w:p>
        </w:tc>
        <w:tc>
          <w:tcPr>
            <w:tcW w:w="0" w:type="auto"/>
            <w:gridSpan w:val="3"/>
            <w:shd w:val="clear" w:color="auto" w:fill="auto"/>
            <w:vAlign w:val="bottom"/>
          </w:tcPr>
          <w:p w14:paraId="5F2CFCA2" w14:textId="77777777" w:rsidR="00E836FB" w:rsidRDefault="00E836FB">
            <w:pPr>
              <w:rPr>
                <w:rFonts w:ascii="宋体"/>
                <w:vanish/>
              </w:rPr>
            </w:pPr>
          </w:p>
        </w:tc>
        <w:tc>
          <w:tcPr>
            <w:tcW w:w="0" w:type="auto"/>
            <w:gridSpan w:val="3"/>
            <w:shd w:val="clear" w:color="auto" w:fill="auto"/>
            <w:vAlign w:val="bottom"/>
          </w:tcPr>
          <w:p w14:paraId="5F2CFCA3" w14:textId="77777777" w:rsidR="00E836FB" w:rsidRDefault="00E836FB">
            <w:pPr>
              <w:rPr>
                <w:rFonts w:ascii="宋体"/>
                <w:vanish/>
              </w:rPr>
            </w:pPr>
          </w:p>
        </w:tc>
        <w:tc>
          <w:tcPr>
            <w:tcW w:w="0" w:type="auto"/>
            <w:gridSpan w:val="3"/>
            <w:shd w:val="clear" w:color="auto" w:fill="auto"/>
            <w:vAlign w:val="bottom"/>
          </w:tcPr>
          <w:p w14:paraId="5F2CFCA4" w14:textId="77777777" w:rsidR="00E836FB" w:rsidRDefault="00E836FB">
            <w:pPr>
              <w:rPr>
                <w:rFonts w:ascii="宋体"/>
                <w:vanish/>
              </w:rPr>
            </w:pPr>
          </w:p>
        </w:tc>
        <w:tc>
          <w:tcPr>
            <w:tcW w:w="0" w:type="auto"/>
            <w:gridSpan w:val="3"/>
            <w:shd w:val="clear" w:color="auto" w:fill="auto"/>
            <w:vAlign w:val="bottom"/>
          </w:tcPr>
          <w:p w14:paraId="5F2CFCA5" w14:textId="77777777" w:rsidR="00E836FB" w:rsidRDefault="00E836FB">
            <w:pPr>
              <w:rPr>
                <w:rFonts w:ascii="宋体"/>
                <w:vanish/>
              </w:rPr>
            </w:pPr>
          </w:p>
        </w:tc>
        <w:tc>
          <w:tcPr>
            <w:tcW w:w="0" w:type="auto"/>
            <w:gridSpan w:val="3"/>
            <w:shd w:val="clear" w:color="auto" w:fill="auto"/>
            <w:vAlign w:val="bottom"/>
          </w:tcPr>
          <w:p w14:paraId="5F2CFCA6" w14:textId="77777777" w:rsidR="00E836FB" w:rsidRDefault="00E836FB">
            <w:pPr>
              <w:rPr>
                <w:rFonts w:ascii="宋体"/>
                <w:vanish/>
              </w:rPr>
            </w:pPr>
          </w:p>
        </w:tc>
        <w:tc>
          <w:tcPr>
            <w:tcW w:w="0" w:type="auto"/>
            <w:gridSpan w:val="3"/>
            <w:shd w:val="clear" w:color="auto" w:fill="auto"/>
            <w:vAlign w:val="bottom"/>
          </w:tcPr>
          <w:p w14:paraId="5F2CFCA7" w14:textId="77777777" w:rsidR="00E836FB" w:rsidRDefault="00E836FB">
            <w:pPr>
              <w:rPr>
                <w:rFonts w:ascii="宋体"/>
                <w:vanish/>
              </w:rPr>
            </w:pPr>
          </w:p>
        </w:tc>
      </w:tr>
      <w:tr w:rsidR="00E836FB" w14:paraId="5F2CFCB8" w14:textId="77777777">
        <w:tc>
          <w:tcPr>
            <w:tcW w:w="0" w:type="auto"/>
            <w:gridSpan w:val="3"/>
            <w:shd w:val="clear" w:color="auto" w:fill="FFFFFF"/>
            <w:tcMar>
              <w:top w:w="40" w:type="dxa"/>
              <w:left w:w="245" w:type="dxa"/>
              <w:bottom w:w="40" w:type="dxa"/>
              <w:right w:w="20" w:type="dxa"/>
            </w:tcMar>
            <w:vAlign w:val="bottom"/>
          </w:tcPr>
          <w:p w14:paraId="5F2CFCA9"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CFCA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A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AD" w14:textId="77777777" w:rsidR="00E836FB" w:rsidRDefault="00994958">
            <w:pPr>
              <w:jc w:val="right"/>
              <w:textAlignment w:val="bottom"/>
            </w:pPr>
            <w:r>
              <w:rPr>
                <w:rFonts w:ascii="Arial" w:eastAsia="宋体" w:hAnsi="Arial" w:cs="Arial"/>
                <w:b/>
                <w:bCs/>
                <w:color w:val="000000"/>
                <w:sz w:val="15"/>
                <w:szCs w:val="15"/>
              </w:rPr>
              <w:t>667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B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B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B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B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CB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CB6" w14:textId="77777777" w:rsidR="00E836FB" w:rsidRDefault="00994958">
            <w:pPr>
              <w:jc w:val="right"/>
              <w:textAlignment w:val="bottom"/>
            </w:pPr>
            <w:r>
              <w:rPr>
                <w:rFonts w:ascii="Arial" w:eastAsia="宋体" w:hAnsi="Arial" w:cs="Arial"/>
                <w:b/>
                <w:bCs/>
                <w:color w:val="000000"/>
                <w:sz w:val="15"/>
                <w:szCs w:val="15"/>
              </w:rPr>
              <w:t>667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CB7" w14:textId="77777777" w:rsidR="00E836FB" w:rsidRDefault="00E836FB">
            <w:pPr>
              <w:jc w:val="right"/>
              <w:rPr>
                <w:rFonts w:ascii="宋体"/>
              </w:rPr>
            </w:pPr>
          </w:p>
        </w:tc>
      </w:tr>
      <w:tr w:rsidR="00E836FB" w14:paraId="5F2CFCCD" w14:textId="77777777">
        <w:tc>
          <w:tcPr>
            <w:tcW w:w="0" w:type="auto"/>
            <w:gridSpan w:val="3"/>
            <w:shd w:val="clear" w:color="auto" w:fill="CCEEFF"/>
            <w:tcMar>
              <w:top w:w="40" w:type="dxa"/>
              <w:left w:w="20" w:type="dxa"/>
              <w:bottom w:w="40" w:type="dxa"/>
              <w:right w:w="20" w:type="dxa"/>
            </w:tcMar>
            <w:vAlign w:val="bottom"/>
          </w:tcPr>
          <w:p w14:paraId="5F2CFCB9" w14:textId="77777777" w:rsidR="00E836FB" w:rsidRDefault="00994958">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CFCB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CBB" w14:textId="77777777" w:rsidR="00E836FB" w:rsidRDefault="00994958">
            <w:pPr>
              <w:jc w:val="right"/>
              <w:textAlignment w:val="bottom"/>
            </w:pPr>
            <w:r>
              <w:rPr>
                <w:rFonts w:ascii="Arial" w:eastAsia="宋体" w:hAnsi="Arial" w:cs="Arial"/>
                <w:b/>
                <w:bCs/>
                <w:color w:val="000000"/>
                <w:sz w:val="15"/>
                <w:szCs w:val="15"/>
              </w:rPr>
              <w:t>17,982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B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CB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CBF" w14:textId="77777777" w:rsidR="00E836FB" w:rsidRDefault="00994958">
            <w:pPr>
              <w:jc w:val="right"/>
              <w:textAlignment w:val="bottom"/>
            </w:pPr>
            <w:r>
              <w:rPr>
                <w:rFonts w:ascii="Arial" w:eastAsia="宋体" w:hAnsi="Arial" w:cs="Arial"/>
                <w:b/>
                <w:bCs/>
                <w:color w:val="000000"/>
                <w:sz w:val="15"/>
                <w:szCs w:val="15"/>
              </w:rPr>
              <w:t>72,029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C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CC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CC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C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CC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CC7" w14:textId="77777777" w:rsidR="00E836FB" w:rsidRDefault="00994958">
            <w:pPr>
              <w:jc w:val="right"/>
              <w:textAlignment w:val="bottom"/>
            </w:pPr>
            <w:r>
              <w:rPr>
                <w:rFonts w:ascii="Arial" w:eastAsia="宋体" w:hAnsi="Arial" w:cs="Arial"/>
                <w:b/>
                <w:bCs/>
                <w:color w:val="000000"/>
                <w:sz w:val="15"/>
                <w:szCs w:val="15"/>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CC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CFCC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CFCCB" w14:textId="77777777" w:rsidR="00E836FB" w:rsidRDefault="00994958">
            <w:pPr>
              <w:jc w:val="right"/>
              <w:textAlignment w:val="bottom"/>
            </w:pPr>
            <w:r>
              <w:rPr>
                <w:rFonts w:ascii="Arial" w:eastAsia="宋体" w:hAnsi="Arial" w:cs="Arial"/>
                <w:b/>
                <w:bCs/>
                <w:color w:val="000000"/>
                <w:sz w:val="15"/>
                <w:szCs w:val="15"/>
              </w:rPr>
              <w:t>78,932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CCC" w14:textId="77777777" w:rsidR="00E836FB" w:rsidRDefault="00E836FB">
            <w:pPr>
              <w:jc w:val="right"/>
              <w:rPr>
                <w:rFonts w:ascii="宋体"/>
              </w:rPr>
            </w:pPr>
          </w:p>
        </w:tc>
      </w:tr>
      <w:tr w:rsidR="00E836FB" w14:paraId="5F2CFCD8" w14:textId="77777777">
        <w:tc>
          <w:tcPr>
            <w:tcW w:w="0" w:type="auto"/>
            <w:gridSpan w:val="3"/>
            <w:shd w:val="clear" w:color="auto" w:fill="FFFFFF"/>
            <w:tcMar>
              <w:top w:w="40" w:type="dxa"/>
              <w:left w:w="20" w:type="dxa"/>
              <w:bottom w:w="40" w:type="dxa"/>
              <w:right w:w="20" w:type="dxa"/>
            </w:tcMar>
            <w:vAlign w:val="bottom"/>
          </w:tcPr>
          <w:p w14:paraId="5F2CFCCE" w14:textId="77777777" w:rsidR="00E836FB" w:rsidRDefault="00994958">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FCC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D0"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FCD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D2"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FCD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D4"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FCD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CD6"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CFCD7" w14:textId="77777777" w:rsidR="00E836FB" w:rsidRDefault="00E836FB">
            <w:pPr>
              <w:rPr>
                <w:rFonts w:ascii="宋体"/>
              </w:rPr>
            </w:pPr>
          </w:p>
        </w:tc>
      </w:tr>
      <w:tr w:rsidR="00E836FB" w14:paraId="5F2CFCE3" w14:textId="77777777">
        <w:tc>
          <w:tcPr>
            <w:tcW w:w="0" w:type="auto"/>
            <w:gridSpan w:val="3"/>
            <w:shd w:val="clear" w:color="auto" w:fill="CCEEFF"/>
            <w:tcMar>
              <w:top w:w="40" w:type="dxa"/>
              <w:left w:w="20" w:type="dxa"/>
              <w:bottom w:w="40" w:type="dxa"/>
              <w:right w:w="20" w:type="dxa"/>
            </w:tcMar>
            <w:vAlign w:val="bottom"/>
          </w:tcPr>
          <w:p w14:paraId="5F2CFCD9" w14:textId="77777777" w:rsidR="00E836FB" w:rsidRDefault="00994958">
            <w:pPr>
              <w:textAlignment w:val="bottom"/>
            </w:pPr>
            <w:r>
              <w:rPr>
                <w:rFonts w:ascii="Arial" w:eastAsia="宋体" w:hAnsi="Arial" w:cs="Arial"/>
                <w:color w:val="000000"/>
                <w:sz w:val="15"/>
                <w:szCs w:val="15"/>
              </w:rPr>
              <w:t xml:space="preserve">Accrued expenses and other </w:t>
            </w:r>
            <w:r>
              <w:rPr>
                <w:rFonts w:ascii="Arial" w:eastAsia="宋体" w:hAnsi="Arial" w:cs="Arial"/>
                <w:color w:val="000000"/>
                <w:sz w:val="15"/>
                <w:szCs w:val="15"/>
              </w:rPr>
              <w:t>liabilities:</w:t>
            </w:r>
          </w:p>
        </w:tc>
        <w:tc>
          <w:tcPr>
            <w:tcW w:w="0" w:type="auto"/>
            <w:gridSpan w:val="3"/>
            <w:shd w:val="clear" w:color="auto" w:fill="CCEEFF"/>
            <w:tcMar>
              <w:top w:w="0" w:type="dxa"/>
              <w:left w:w="20" w:type="dxa"/>
              <w:bottom w:w="0" w:type="dxa"/>
              <w:right w:w="20" w:type="dxa"/>
            </w:tcMar>
            <w:vAlign w:val="bottom"/>
          </w:tcPr>
          <w:p w14:paraId="5F2CFCD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D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D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D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D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D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E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E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CE2" w14:textId="77777777" w:rsidR="00E836FB" w:rsidRDefault="00E836FB">
            <w:pPr>
              <w:rPr>
                <w:rFonts w:ascii="宋体"/>
              </w:rPr>
            </w:pPr>
          </w:p>
        </w:tc>
      </w:tr>
      <w:tr w:rsidR="00E836FB" w14:paraId="5F2CFCEE" w14:textId="77777777">
        <w:trPr>
          <w:hidden/>
        </w:trPr>
        <w:tc>
          <w:tcPr>
            <w:tcW w:w="0" w:type="auto"/>
            <w:gridSpan w:val="3"/>
            <w:shd w:val="clear" w:color="auto" w:fill="auto"/>
            <w:vAlign w:val="bottom"/>
          </w:tcPr>
          <w:p w14:paraId="5F2CFCE4" w14:textId="77777777" w:rsidR="00E836FB" w:rsidRDefault="00E836FB">
            <w:pPr>
              <w:rPr>
                <w:rFonts w:ascii="宋体"/>
                <w:vanish/>
              </w:rPr>
            </w:pPr>
          </w:p>
        </w:tc>
        <w:tc>
          <w:tcPr>
            <w:tcW w:w="0" w:type="auto"/>
            <w:gridSpan w:val="3"/>
            <w:shd w:val="clear" w:color="auto" w:fill="auto"/>
            <w:vAlign w:val="bottom"/>
          </w:tcPr>
          <w:p w14:paraId="5F2CFCE5" w14:textId="77777777" w:rsidR="00E836FB" w:rsidRDefault="00E836FB">
            <w:pPr>
              <w:rPr>
                <w:rFonts w:ascii="宋体"/>
                <w:vanish/>
              </w:rPr>
            </w:pPr>
          </w:p>
        </w:tc>
        <w:tc>
          <w:tcPr>
            <w:tcW w:w="0" w:type="auto"/>
            <w:gridSpan w:val="3"/>
            <w:shd w:val="clear" w:color="auto" w:fill="auto"/>
            <w:vAlign w:val="bottom"/>
          </w:tcPr>
          <w:p w14:paraId="5F2CFCE6" w14:textId="77777777" w:rsidR="00E836FB" w:rsidRDefault="00E836FB">
            <w:pPr>
              <w:rPr>
                <w:rFonts w:ascii="宋体"/>
                <w:vanish/>
              </w:rPr>
            </w:pPr>
          </w:p>
        </w:tc>
        <w:tc>
          <w:tcPr>
            <w:tcW w:w="0" w:type="auto"/>
            <w:gridSpan w:val="3"/>
            <w:shd w:val="clear" w:color="auto" w:fill="auto"/>
            <w:vAlign w:val="bottom"/>
          </w:tcPr>
          <w:p w14:paraId="5F2CFCE7" w14:textId="77777777" w:rsidR="00E836FB" w:rsidRDefault="00E836FB">
            <w:pPr>
              <w:rPr>
                <w:rFonts w:ascii="宋体"/>
                <w:vanish/>
              </w:rPr>
            </w:pPr>
          </w:p>
        </w:tc>
        <w:tc>
          <w:tcPr>
            <w:tcW w:w="0" w:type="auto"/>
            <w:gridSpan w:val="3"/>
            <w:shd w:val="clear" w:color="auto" w:fill="auto"/>
            <w:vAlign w:val="bottom"/>
          </w:tcPr>
          <w:p w14:paraId="5F2CFCE8" w14:textId="77777777" w:rsidR="00E836FB" w:rsidRDefault="00E836FB">
            <w:pPr>
              <w:rPr>
                <w:rFonts w:ascii="宋体"/>
                <w:vanish/>
              </w:rPr>
            </w:pPr>
          </w:p>
        </w:tc>
        <w:tc>
          <w:tcPr>
            <w:tcW w:w="0" w:type="auto"/>
            <w:gridSpan w:val="3"/>
            <w:shd w:val="clear" w:color="auto" w:fill="auto"/>
            <w:vAlign w:val="bottom"/>
          </w:tcPr>
          <w:p w14:paraId="5F2CFCE9" w14:textId="77777777" w:rsidR="00E836FB" w:rsidRDefault="00E836FB">
            <w:pPr>
              <w:rPr>
                <w:rFonts w:ascii="宋体"/>
                <w:vanish/>
              </w:rPr>
            </w:pPr>
          </w:p>
        </w:tc>
        <w:tc>
          <w:tcPr>
            <w:tcW w:w="0" w:type="auto"/>
            <w:gridSpan w:val="3"/>
            <w:shd w:val="clear" w:color="auto" w:fill="auto"/>
            <w:vAlign w:val="bottom"/>
          </w:tcPr>
          <w:p w14:paraId="5F2CFCEA" w14:textId="77777777" w:rsidR="00E836FB" w:rsidRDefault="00E836FB">
            <w:pPr>
              <w:rPr>
                <w:rFonts w:ascii="宋体"/>
                <w:vanish/>
              </w:rPr>
            </w:pPr>
          </w:p>
        </w:tc>
        <w:tc>
          <w:tcPr>
            <w:tcW w:w="0" w:type="auto"/>
            <w:gridSpan w:val="3"/>
            <w:shd w:val="clear" w:color="auto" w:fill="auto"/>
            <w:vAlign w:val="bottom"/>
          </w:tcPr>
          <w:p w14:paraId="5F2CFCEB" w14:textId="77777777" w:rsidR="00E836FB" w:rsidRDefault="00E836FB">
            <w:pPr>
              <w:rPr>
                <w:rFonts w:ascii="宋体"/>
                <w:vanish/>
              </w:rPr>
            </w:pPr>
          </w:p>
        </w:tc>
        <w:tc>
          <w:tcPr>
            <w:tcW w:w="0" w:type="auto"/>
            <w:gridSpan w:val="3"/>
            <w:shd w:val="clear" w:color="auto" w:fill="auto"/>
            <w:vAlign w:val="bottom"/>
          </w:tcPr>
          <w:p w14:paraId="5F2CFCEC" w14:textId="77777777" w:rsidR="00E836FB" w:rsidRDefault="00E836FB">
            <w:pPr>
              <w:rPr>
                <w:rFonts w:ascii="宋体"/>
                <w:vanish/>
              </w:rPr>
            </w:pPr>
          </w:p>
        </w:tc>
        <w:tc>
          <w:tcPr>
            <w:tcW w:w="0" w:type="auto"/>
            <w:gridSpan w:val="3"/>
            <w:shd w:val="clear" w:color="auto" w:fill="auto"/>
            <w:vAlign w:val="bottom"/>
          </w:tcPr>
          <w:p w14:paraId="5F2CFCED" w14:textId="77777777" w:rsidR="00E836FB" w:rsidRDefault="00E836FB">
            <w:pPr>
              <w:rPr>
                <w:rFonts w:ascii="宋体"/>
                <w:vanish/>
              </w:rPr>
            </w:pPr>
          </w:p>
        </w:tc>
      </w:tr>
      <w:tr w:rsidR="00E836FB" w14:paraId="5F2CFCF9" w14:textId="77777777">
        <w:trPr>
          <w:hidden/>
        </w:trPr>
        <w:tc>
          <w:tcPr>
            <w:tcW w:w="0" w:type="auto"/>
            <w:gridSpan w:val="3"/>
            <w:shd w:val="clear" w:color="auto" w:fill="auto"/>
            <w:vAlign w:val="bottom"/>
          </w:tcPr>
          <w:p w14:paraId="5F2CFCEF" w14:textId="77777777" w:rsidR="00E836FB" w:rsidRDefault="00E836FB">
            <w:pPr>
              <w:rPr>
                <w:rFonts w:ascii="宋体"/>
                <w:vanish/>
              </w:rPr>
            </w:pPr>
          </w:p>
        </w:tc>
        <w:tc>
          <w:tcPr>
            <w:tcW w:w="0" w:type="auto"/>
            <w:gridSpan w:val="3"/>
            <w:shd w:val="clear" w:color="auto" w:fill="auto"/>
            <w:vAlign w:val="bottom"/>
          </w:tcPr>
          <w:p w14:paraId="5F2CFCF0" w14:textId="77777777" w:rsidR="00E836FB" w:rsidRDefault="00E836FB">
            <w:pPr>
              <w:rPr>
                <w:rFonts w:ascii="宋体"/>
                <w:vanish/>
              </w:rPr>
            </w:pPr>
          </w:p>
        </w:tc>
        <w:tc>
          <w:tcPr>
            <w:tcW w:w="0" w:type="auto"/>
            <w:gridSpan w:val="3"/>
            <w:shd w:val="clear" w:color="auto" w:fill="auto"/>
            <w:vAlign w:val="bottom"/>
          </w:tcPr>
          <w:p w14:paraId="5F2CFCF1" w14:textId="77777777" w:rsidR="00E836FB" w:rsidRDefault="00E836FB">
            <w:pPr>
              <w:rPr>
                <w:rFonts w:ascii="宋体"/>
                <w:vanish/>
              </w:rPr>
            </w:pPr>
          </w:p>
        </w:tc>
        <w:tc>
          <w:tcPr>
            <w:tcW w:w="0" w:type="auto"/>
            <w:gridSpan w:val="3"/>
            <w:shd w:val="clear" w:color="auto" w:fill="auto"/>
            <w:vAlign w:val="bottom"/>
          </w:tcPr>
          <w:p w14:paraId="5F2CFCF2" w14:textId="77777777" w:rsidR="00E836FB" w:rsidRDefault="00E836FB">
            <w:pPr>
              <w:rPr>
                <w:rFonts w:ascii="宋体"/>
                <w:vanish/>
              </w:rPr>
            </w:pPr>
          </w:p>
        </w:tc>
        <w:tc>
          <w:tcPr>
            <w:tcW w:w="0" w:type="auto"/>
            <w:gridSpan w:val="3"/>
            <w:shd w:val="clear" w:color="auto" w:fill="auto"/>
            <w:vAlign w:val="bottom"/>
          </w:tcPr>
          <w:p w14:paraId="5F2CFCF3" w14:textId="77777777" w:rsidR="00E836FB" w:rsidRDefault="00E836FB">
            <w:pPr>
              <w:rPr>
                <w:rFonts w:ascii="宋体"/>
                <w:vanish/>
              </w:rPr>
            </w:pPr>
          </w:p>
        </w:tc>
        <w:tc>
          <w:tcPr>
            <w:tcW w:w="0" w:type="auto"/>
            <w:gridSpan w:val="3"/>
            <w:shd w:val="clear" w:color="auto" w:fill="auto"/>
            <w:vAlign w:val="bottom"/>
          </w:tcPr>
          <w:p w14:paraId="5F2CFCF4" w14:textId="77777777" w:rsidR="00E836FB" w:rsidRDefault="00E836FB">
            <w:pPr>
              <w:rPr>
                <w:rFonts w:ascii="宋体"/>
                <w:vanish/>
              </w:rPr>
            </w:pPr>
          </w:p>
        </w:tc>
        <w:tc>
          <w:tcPr>
            <w:tcW w:w="0" w:type="auto"/>
            <w:gridSpan w:val="3"/>
            <w:shd w:val="clear" w:color="auto" w:fill="auto"/>
            <w:vAlign w:val="bottom"/>
          </w:tcPr>
          <w:p w14:paraId="5F2CFCF5" w14:textId="77777777" w:rsidR="00E836FB" w:rsidRDefault="00E836FB">
            <w:pPr>
              <w:rPr>
                <w:rFonts w:ascii="宋体"/>
                <w:vanish/>
              </w:rPr>
            </w:pPr>
          </w:p>
        </w:tc>
        <w:tc>
          <w:tcPr>
            <w:tcW w:w="0" w:type="auto"/>
            <w:gridSpan w:val="3"/>
            <w:shd w:val="clear" w:color="auto" w:fill="auto"/>
            <w:vAlign w:val="bottom"/>
          </w:tcPr>
          <w:p w14:paraId="5F2CFCF6" w14:textId="77777777" w:rsidR="00E836FB" w:rsidRDefault="00E836FB">
            <w:pPr>
              <w:rPr>
                <w:rFonts w:ascii="宋体"/>
                <w:vanish/>
              </w:rPr>
            </w:pPr>
          </w:p>
        </w:tc>
        <w:tc>
          <w:tcPr>
            <w:tcW w:w="0" w:type="auto"/>
            <w:gridSpan w:val="3"/>
            <w:shd w:val="clear" w:color="auto" w:fill="auto"/>
            <w:vAlign w:val="bottom"/>
          </w:tcPr>
          <w:p w14:paraId="5F2CFCF7" w14:textId="77777777" w:rsidR="00E836FB" w:rsidRDefault="00E836FB">
            <w:pPr>
              <w:rPr>
                <w:rFonts w:ascii="宋体"/>
                <w:vanish/>
              </w:rPr>
            </w:pPr>
          </w:p>
        </w:tc>
        <w:tc>
          <w:tcPr>
            <w:tcW w:w="0" w:type="auto"/>
            <w:gridSpan w:val="3"/>
            <w:shd w:val="clear" w:color="auto" w:fill="auto"/>
            <w:vAlign w:val="bottom"/>
          </w:tcPr>
          <w:p w14:paraId="5F2CFCF8" w14:textId="77777777" w:rsidR="00E836FB" w:rsidRDefault="00E836FB">
            <w:pPr>
              <w:rPr>
                <w:rFonts w:ascii="宋体"/>
                <w:vanish/>
              </w:rPr>
            </w:pPr>
          </w:p>
        </w:tc>
      </w:tr>
      <w:tr w:rsidR="00E836FB" w14:paraId="5F2CFD04" w14:textId="77777777">
        <w:trPr>
          <w:hidden/>
        </w:trPr>
        <w:tc>
          <w:tcPr>
            <w:tcW w:w="0" w:type="auto"/>
            <w:gridSpan w:val="3"/>
            <w:shd w:val="clear" w:color="auto" w:fill="auto"/>
            <w:vAlign w:val="bottom"/>
          </w:tcPr>
          <w:p w14:paraId="5F2CFCFA" w14:textId="77777777" w:rsidR="00E836FB" w:rsidRDefault="00E836FB">
            <w:pPr>
              <w:rPr>
                <w:rFonts w:ascii="宋体"/>
                <w:vanish/>
              </w:rPr>
            </w:pPr>
          </w:p>
        </w:tc>
        <w:tc>
          <w:tcPr>
            <w:tcW w:w="0" w:type="auto"/>
            <w:gridSpan w:val="3"/>
            <w:shd w:val="clear" w:color="auto" w:fill="auto"/>
            <w:vAlign w:val="bottom"/>
          </w:tcPr>
          <w:p w14:paraId="5F2CFCFB" w14:textId="77777777" w:rsidR="00E836FB" w:rsidRDefault="00E836FB">
            <w:pPr>
              <w:rPr>
                <w:rFonts w:ascii="宋体"/>
                <w:vanish/>
              </w:rPr>
            </w:pPr>
          </w:p>
        </w:tc>
        <w:tc>
          <w:tcPr>
            <w:tcW w:w="0" w:type="auto"/>
            <w:gridSpan w:val="3"/>
            <w:shd w:val="clear" w:color="auto" w:fill="auto"/>
            <w:vAlign w:val="bottom"/>
          </w:tcPr>
          <w:p w14:paraId="5F2CFCFC" w14:textId="77777777" w:rsidR="00E836FB" w:rsidRDefault="00E836FB">
            <w:pPr>
              <w:rPr>
                <w:rFonts w:ascii="宋体"/>
                <w:vanish/>
              </w:rPr>
            </w:pPr>
          </w:p>
        </w:tc>
        <w:tc>
          <w:tcPr>
            <w:tcW w:w="0" w:type="auto"/>
            <w:gridSpan w:val="3"/>
            <w:shd w:val="clear" w:color="auto" w:fill="auto"/>
            <w:vAlign w:val="bottom"/>
          </w:tcPr>
          <w:p w14:paraId="5F2CFCFD" w14:textId="77777777" w:rsidR="00E836FB" w:rsidRDefault="00E836FB">
            <w:pPr>
              <w:rPr>
                <w:rFonts w:ascii="宋体"/>
                <w:vanish/>
              </w:rPr>
            </w:pPr>
          </w:p>
        </w:tc>
        <w:tc>
          <w:tcPr>
            <w:tcW w:w="0" w:type="auto"/>
            <w:gridSpan w:val="3"/>
            <w:shd w:val="clear" w:color="auto" w:fill="auto"/>
            <w:vAlign w:val="bottom"/>
          </w:tcPr>
          <w:p w14:paraId="5F2CFCFE" w14:textId="77777777" w:rsidR="00E836FB" w:rsidRDefault="00E836FB">
            <w:pPr>
              <w:rPr>
                <w:rFonts w:ascii="宋体"/>
                <w:vanish/>
              </w:rPr>
            </w:pPr>
          </w:p>
        </w:tc>
        <w:tc>
          <w:tcPr>
            <w:tcW w:w="0" w:type="auto"/>
            <w:gridSpan w:val="3"/>
            <w:shd w:val="clear" w:color="auto" w:fill="auto"/>
            <w:vAlign w:val="bottom"/>
          </w:tcPr>
          <w:p w14:paraId="5F2CFCFF" w14:textId="77777777" w:rsidR="00E836FB" w:rsidRDefault="00E836FB">
            <w:pPr>
              <w:rPr>
                <w:rFonts w:ascii="宋体"/>
                <w:vanish/>
              </w:rPr>
            </w:pPr>
          </w:p>
        </w:tc>
        <w:tc>
          <w:tcPr>
            <w:tcW w:w="0" w:type="auto"/>
            <w:gridSpan w:val="3"/>
            <w:shd w:val="clear" w:color="auto" w:fill="auto"/>
            <w:vAlign w:val="bottom"/>
          </w:tcPr>
          <w:p w14:paraId="5F2CFD00" w14:textId="77777777" w:rsidR="00E836FB" w:rsidRDefault="00E836FB">
            <w:pPr>
              <w:rPr>
                <w:rFonts w:ascii="宋体"/>
                <w:vanish/>
              </w:rPr>
            </w:pPr>
          </w:p>
        </w:tc>
        <w:tc>
          <w:tcPr>
            <w:tcW w:w="0" w:type="auto"/>
            <w:gridSpan w:val="3"/>
            <w:shd w:val="clear" w:color="auto" w:fill="auto"/>
            <w:vAlign w:val="bottom"/>
          </w:tcPr>
          <w:p w14:paraId="5F2CFD01" w14:textId="77777777" w:rsidR="00E836FB" w:rsidRDefault="00E836FB">
            <w:pPr>
              <w:rPr>
                <w:rFonts w:ascii="宋体"/>
                <w:vanish/>
              </w:rPr>
            </w:pPr>
          </w:p>
        </w:tc>
        <w:tc>
          <w:tcPr>
            <w:tcW w:w="0" w:type="auto"/>
            <w:gridSpan w:val="3"/>
            <w:shd w:val="clear" w:color="auto" w:fill="auto"/>
            <w:vAlign w:val="bottom"/>
          </w:tcPr>
          <w:p w14:paraId="5F2CFD02" w14:textId="77777777" w:rsidR="00E836FB" w:rsidRDefault="00E836FB">
            <w:pPr>
              <w:rPr>
                <w:rFonts w:ascii="宋体"/>
                <w:vanish/>
              </w:rPr>
            </w:pPr>
          </w:p>
        </w:tc>
        <w:tc>
          <w:tcPr>
            <w:tcW w:w="0" w:type="auto"/>
            <w:gridSpan w:val="3"/>
            <w:shd w:val="clear" w:color="auto" w:fill="auto"/>
            <w:vAlign w:val="bottom"/>
          </w:tcPr>
          <w:p w14:paraId="5F2CFD03" w14:textId="77777777" w:rsidR="00E836FB" w:rsidRDefault="00E836FB">
            <w:pPr>
              <w:rPr>
                <w:rFonts w:ascii="宋体"/>
                <w:vanish/>
              </w:rPr>
            </w:pPr>
          </w:p>
        </w:tc>
      </w:tr>
      <w:tr w:rsidR="00E836FB" w14:paraId="5F2CFD0F" w14:textId="77777777">
        <w:trPr>
          <w:hidden/>
        </w:trPr>
        <w:tc>
          <w:tcPr>
            <w:tcW w:w="0" w:type="auto"/>
            <w:gridSpan w:val="3"/>
            <w:shd w:val="clear" w:color="auto" w:fill="auto"/>
            <w:vAlign w:val="bottom"/>
          </w:tcPr>
          <w:p w14:paraId="5F2CFD05" w14:textId="77777777" w:rsidR="00E836FB" w:rsidRDefault="00E836FB">
            <w:pPr>
              <w:rPr>
                <w:rFonts w:ascii="宋体"/>
                <w:vanish/>
              </w:rPr>
            </w:pPr>
          </w:p>
        </w:tc>
        <w:tc>
          <w:tcPr>
            <w:tcW w:w="0" w:type="auto"/>
            <w:gridSpan w:val="3"/>
            <w:shd w:val="clear" w:color="auto" w:fill="auto"/>
            <w:vAlign w:val="bottom"/>
          </w:tcPr>
          <w:p w14:paraId="5F2CFD06" w14:textId="77777777" w:rsidR="00E836FB" w:rsidRDefault="00E836FB">
            <w:pPr>
              <w:rPr>
                <w:rFonts w:ascii="宋体"/>
                <w:vanish/>
              </w:rPr>
            </w:pPr>
          </w:p>
        </w:tc>
        <w:tc>
          <w:tcPr>
            <w:tcW w:w="0" w:type="auto"/>
            <w:gridSpan w:val="3"/>
            <w:shd w:val="clear" w:color="auto" w:fill="auto"/>
            <w:vAlign w:val="bottom"/>
          </w:tcPr>
          <w:p w14:paraId="5F2CFD07" w14:textId="77777777" w:rsidR="00E836FB" w:rsidRDefault="00E836FB">
            <w:pPr>
              <w:rPr>
                <w:rFonts w:ascii="宋体"/>
                <w:vanish/>
              </w:rPr>
            </w:pPr>
          </w:p>
        </w:tc>
        <w:tc>
          <w:tcPr>
            <w:tcW w:w="0" w:type="auto"/>
            <w:gridSpan w:val="3"/>
            <w:shd w:val="clear" w:color="auto" w:fill="auto"/>
            <w:vAlign w:val="bottom"/>
          </w:tcPr>
          <w:p w14:paraId="5F2CFD08" w14:textId="77777777" w:rsidR="00E836FB" w:rsidRDefault="00E836FB">
            <w:pPr>
              <w:rPr>
                <w:rFonts w:ascii="宋体"/>
                <w:vanish/>
              </w:rPr>
            </w:pPr>
          </w:p>
        </w:tc>
        <w:tc>
          <w:tcPr>
            <w:tcW w:w="0" w:type="auto"/>
            <w:gridSpan w:val="3"/>
            <w:shd w:val="clear" w:color="auto" w:fill="auto"/>
            <w:vAlign w:val="bottom"/>
          </w:tcPr>
          <w:p w14:paraId="5F2CFD09" w14:textId="77777777" w:rsidR="00E836FB" w:rsidRDefault="00E836FB">
            <w:pPr>
              <w:rPr>
                <w:rFonts w:ascii="宋体"/>
                <w:vanish/>
              </w:rPr>
            </w:pPr>
          </w:p>
        </w:tc>
        <w:tc>
          <w:tcPr>
            <w:tcW w:w="0" w:type="auto"/>
            <w:gridSpan w:val="3"/>
            <w:shd w:val="clear" w:color="auto" w:fill="auto"/>
            <w:vAlign w:val="bottom"/>
          </w:tcPr>
          <w:p w14:paraId="5F2CFD0A" w14:textId="77777777" w:rsidR="00E836FB" w:rsidRDefault="00E836FB">
            <w:pPr>
              <w:rPr>
                <w:rFonts w:ascii="宋体"/>
                <w:vanish/>
              </w:rPr>
            </w:pPr>
          </w:p>
        </w:tc>
        <w:tc>
          <w:tcPr>
            <w:tcW w:w="0" w:type="auto"/>
            <w:gridSpan w:val="3"/>
            <w:shd w:val="clear" w:color="auto" w:fill="auto"/>
            <w:vAlign w:val="bottom"/>
          </w:tcPr>
          <w:p w14:paraId="5F2CFD0B" w14:textId="77777777" w:rsidR="00E836FB" w:rsidRDefault="00E836FB">
            <w:pPr>
              <w:rPr>
                <w:rFonts w:ascii="宋体"/>
                <w:vanish/>
              </w:rPr>
            </w:pPr>
          </w:p>
        </w:tc>
        <w:tc>
          <w:tcPr>
            <w:tcW w:w="0" w:type="auto"/>
            <w:gridSpan w:val="3"/>
            <w:shd w:val="clear" w:color="auto" w:fill="auto"/>
            <w:vAlign w:val="bottom"/>
          </w:tcPr>
          <w:p w14:paraId="5F2CFD0C" w14:textId="77777777" w:rsidR="00E836FB" w:rsidRDefault="00E836FB">
            <w:pPr>
              <w:rPr>
                <w:rFonts w:ascii="宋体"/>
                <w:vanish/>
              </w:rPr>
            </w:pPr>
          </w:p>
        </w:tc>
        <w:tc>
          <w:tcPr>
            <w:tcW w:w="0" w:type="auto"/>
            <w:gridSpan w:val="3"/>
            <w:shd w:val="clear" w:color="auto" w:fill="auto"/>
            <w:vAlign w:val="bottom"/>
          </w:tcPr>
          <w:p w14:paraId="5F2CFD0D" w14:textId="77777777" w:rsidR="00E836FB" w:rsidRDefault="00E836FB">
            <w:pPr>
              <w:rPr>
                <w:rFonts w:ascii="宋体"/>
                <w:vanish/>
              </w:rPr>
            </w:pPr>
          </w:p>
        </w:tc>
        <w:tc>
          <w:tcPr>
            <w:tcW w:w="0" w:type="auto"/>
            <w:gridSpan w:val="3"/>
            <w:shd w:val="clear" w:color="auto" w:fill="auto"/>
            <w:vAlign w:val="bottom"/>
          </w:tcPr>
          <w:p w14:paraId="5F2CFD0E" w14:textId="77777777" w:rsidR="00E836FB" w:rsidRDefault="00E836FB">
            <w:pPr>
              <w:rPr>
                <w:rFonts w:ascii="宋体"/>
                <w:vanish/>
              </w:rPr>
            </w:pPr>
          </w:p>
        </w:tc>
      </w:tr>
      <w:tr w:rsidR="00E836FB" w14:paraId="5F2CFD1A" w14:textId="77777777">
        <w:tc>
          <w:tcPr>
            <w:tcW w:w="0" w:type="auto"/>
            <w:gridSpan w:val="3"/>
            <w:shd w:val="clear" w:color="auto" w:fill="FFFFFF"/>
            <w:tcMar>
              <w:top w:w="40" w:type="dxa"/>
              <w:left w:w="245" w:type="dxa"/>
              <w:bottom w:w="40" w:type="dxa"/>
              <w:right w:w="20" w:type="dxa"/>
            </w:tcMar>
            <w:vAlign w:val="bottom"/>
          </w:tcPr>
          <w:p w14:paraId="5F2CFD10" w14:textId="77777777" w:rsidR="00E836FB" w:rsidRDefault="00994958">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F2CFD1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D19" w14:textId="77777777" w:rsidR="00E836FB" w:rsidRDefault="00E836FB">
            <w:pPr>
              <w:rPr>
                <w:rFonts w:ascii="宋体"/>
              </w:rPr>
            </w:pPr>
          </w:p>
        </w:tc>
      </w:tr>
      <w:tr w:rsidR="00E836FB" w14:paraId="5F2CFD2F" w14:textId="77777777">
        <w:tc>
          <w:tcPr>
            <w:tcW w:w="0" w:type="auto"/>
            <w:gridSpan w:val="3"/>
            <w:shd w:val="clear" w:color="auto" w:fill="CCEEFF"/>
            <w:tcMar>
              <w:top w:w="40" w:type="dxa"/>
              <w:left w:w="515" w:type="dxa"/>
              <w:bottom w:w="40" w:type="dxa"/>
              <w:right w:w="20" w:type="dxa"/>
            </w:tcMar>
            <w:vAlign w:val="bottom"/>
          </w:tcPr>
          <w:p w14:paraId="5F2CFD1B" w14:textId="77777777" w:rsidR="00E836FB" w:rsidRDefault="00994958">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F2CFD1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D1D"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D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1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D20"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D21" w14:textId="77777777" w:rsidR="00E836FB" w:rsidRDefault="00994958">
            <w:pPr>
              <w:jc w:val="right"/>
              <w:textAlignment w:val="bottom"/>
            </w:pPr>
            <w:r>
              <w:rPr>
                <w:rFonts w:ascii="Arial" w:eastAsia="宋体" w:hAnsi="Arial" w:cs="Arial"/>
                <w:b/>
                <w:bCs/>
                <w:color w:val="000000"/>
                <w:sz w:val="15"/>
                <w:szCs w:val="15"/>
              </w:rPr>
              <w:t>15,824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D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2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D24"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D2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D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2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D28"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D29" w14:textId="77777777" w:rsidR="00E836FB" w:rsidRDefault="00994958">
            <w:pPr>
              <w:jc w:val="right"/>
              <w:textAlignment w:val="bottom"/>
            </w:pPr>
            <w:r>
              <w:rPr>
                <w:rFonts w:ascii="Arial" w:eastAsia="宋体" w:hAnsi="Arial" w:cs="Arial"/>
                <w:b/>
                <w:bCs/>
                <w:color w:val="000000"/>
                <w:sz w:val="15"/>
                <w:szCs w:val="15"/>
              </w:rPr>
              <w:t>(10,395)</w:t>
            </w:r>
          </w:p>
        </w:tc>
        <w:tc>
          <w:tcPr>
            <w:tcW w:w="0" w:type="auto"/>
            <w:shd w:val="clear" w:color="auto" w:fill="CCEEFF"/>
            <w:tcMar>
              <w:top w:w="40" w:type="dxa"/>
              <w:left w:w="0" w:type="dxa"/>
              <w:bottom w:w="40" w:type="dxa"/>
              <w:right w:w="20" w:type="dxa"/>
            </w:tcMar>
            <w:vAlign w:val="bottom"/>
          </w:tcPr>
          <w:p w14:paraId="5F2CFD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2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D2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CFD2D" w14:textId="77777777" w:rsidR="00E836FB" w:rsidRDefault="00994958">
            <w:pPr>
              <w:jc w:val="right"/>
              <w:textAlignment w:val="bottom"/>
            </w:pPr>
            <w:r>
              <w:rPr>
                <w:rFonts w:ascii="Arial" w:eastAsia="宋体" w:hAnsi="Arial" w:cs="Arial"/>
                <w:b/>
                <w:bCs/>
                <w:color w:val="000000"/>
                <w:sz w:val="15"/>
                <w:szCs w:val="15"/>
              </w:rPr>
              <w:t>5,430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D2E" w14:textId="77777777" w:rsidR="00E836FB" w:rsidRDefault="00E836FB">
            <w:pPr>
              <w:jc w:val="right"/>
              <w:rPr>
                <w:rFonts w:ascii="宋体"/>
              </w:rPr>
            </w:pPr>
          </w:p>
        </w:tc>
      </w:tr>
      <w:tr w:rsidR="00E836FB" w14:paraId="5F2CFD3A" w14:textId="77777777">
        <w:trPr>
          <w:hidden/>
        </w:trPr>
        <w:tc>
          <w:tcPr>
            <w:tcW w:w="0" w:type="auto"/>
            <w:gridSpan w:val="3"/>
            <w:shd w:val="clear" w:color="auto" w:fill="auto"/>
            <w:vAlign w:val="bottom"/>
          </w:tcPr>
          <w:p w14:paraId="5F2CFD30" w14:textId="77777777" w:rsidR="00E836FB" w:rsidRDefault="00E836FB">
            <w:pPr>
              <w:rPr>
                <w:rFonts w:ascii="宋体"/>
                <w:vanish/>
              </w:rPr>
            </w:pPr>
          </w:p>
        </w:tc>
        <w:tc>
          <w:tcPr>
            <w:tcW w:w="0" w:type="auto"/>
            <w:gridSpan w:val="3"/>
            <w:shd w:val="clear" w:color="auto" w:fill="auto"/>
            <w:vAlign w:val="bottom"/>
          </w:tcPr>
          <w:p w14:paraId="5F2CFD31" w14:textId="77777777" w:rsidR="00E836FB" w:rsidRDefault="00E836FB">
            <w:pPr>
              <w:rPr>
                <w:rFonts w:ascii="宋体"/>
                <w:vanish/>
              </w:rPr>
            </w:pPr>
          </w:p>
        </w:tc>
        <w:tc>
          <w:tcPr>
            <w:tcW w:w="0" w:type="auto"/>
            <w:gridSpan w:val="3"/>
            <w:shd w:val="clear" w:color="auto" w:fill="auto"/>
            <w:vAlign w:val="bottom"/>
          </w:tcPr>
          <w:p w14:paraId="5F2CFD32" w14:textId="77777777" w:rsidR="00E836FB" w:rsidRDefault="00E836FB">
            <w:pPr>
              <w:rPr>
                <w:rFonts w:ascii="宋体"/>
                <w:vanish/>
              </w:rPr>
            </w:pPr>
          </w:p>
        </w:tc>
        <w:tc>
          <w:tcPr>
            <w:tcW w:w="0" w:type="auto"/>
            <w:gridSpan w:val="3"/>
            <w:shd w:val="clear" w:color="auto" w:fill="auto"/>
            <w:vAlign w:val="bottom"/>
          </w:tcPr>
          <w:p w14:paraId="5F2CFD33" w14:textId="77777777" w:rsidR="00E836FB" w:rsidRDefault="00E836FB">
            <w:pPr>
              <w:rPr>
                <w:rFonts w:ascii="宋体"/>
                <w:vanish/>
              </w:rPr>
            </w:pPr>
          </w:p>
        </w:tc>
        <w:tc>
          <w:tcPr>
            <w:tcW w:w="0" w:type="auto"/>
            <w:gridSpan w:val="3"/>
            <w:shd w:val="clear" w:color="auto" w:fill="auto"/>
            <w:vAlign w:val="bottom"/>
          </w:tcPr>
          <w:p w14:paraId="5F2CFD34" w14:textId="77777777" w:rsidR="00E836FB" w:rsidRDefault="00E836FB">
            <w:pPr>
              <w:rPr>
                <w:rFonts w:ascii="宋体"/>
                <w:vanish/>
              </w:rPr>
            </w:pPr>
          </w:p>
        </w:tc>
        <w:tc>
          <w:tcPr>
            <w:tcW w:w="0" w:type="auto"/>
            <w:gridSpan w:val="3"/>
            <w:shd w:val="clear" w:color="auto" w:fill="auto"/>
            <w:vAlign w:val="bottom"/>
          </w:tcPr>
          <w:p w14:paraId="5F2CFD35" w14:textId="77777777" w:rsidR="00E836FB" w:rsidRDefault="00E836FB">
            <w:pPr>
              <w:rPr>
                <w:rFonts w:ascii="宋体"/>
                <w:vanish/>
              </w:rPr>
            </w:pPr>
          </w:p>
        </w:tc>
        <w:tc>
          <w:tcPr>
            <w:tcW w:w="0" w:type="auto"/>
            <w:gridSpan w:val="3"/>
            <w:shd w:val="clear" w:color="auto" w:fill="auto"/>
            <w:vAlign w:val="bottom"/>
          </w:tcPr>
          <w:p w14:paraId="5F2CFD36" w14:textId="77777777" w:rsidR="00E836FB" w:rsidRDefault="00E836FB">
            <w:pPr>
              <w:rPr>
                <w:rFonts w:ascii="宋体"/>
                <w:vanish/>
              </w:rPr>
            </w:pPr>
          </w:p>
        </w:tc>
        <w:tc>
          <w:tcPr>
            <w:tcW w:w="0" w:type="auto"/>
            <w:gridSpan w:val="3"/>
            <w:shd w:val="clear" w:color="auto" w:fill="auto"/>
            <w:vAlign w:val="bottom"/>
          </w:tcPr>
          <w:p w14:paraId="5F2CFD37" w14:textId="77777777" w:rsidR="00E836FB" w:rsidRDefault="00E836FB">
            <w:pPr>
              <w:rPr>
                <w:rFonts w:ascii="宋体"/>
                <w:vanish/>
              </w:rPr>
            </w:pPr>
          </w:p>
        </w:tc>
        <w:tc>
          <w:tcPr>
            <w:tcW w:w="0" w:type="auto"/>
            <w:gridSpan w:val="3"/>
            <w:shd w:val="clear" w:color="auto" w:fill="auto"/>
            <w:vAlign w:val="bottom"/>
          </w:tcPr>
          <w:p w14:paraId="5F2CFD38" w14:textId="77777777" w:rsidR="00E836FB" w:rsidRDefault="00E836FB">
            <w:pPr>
              <w:rPr>
                <w:rFonts w:ascii="宋体"/>
                <w:vanish/>
              </w:rPr>
            </w:pPr>
          </w:p>
        </w:tc>
        <w:tc>
          <w:tcPr>
            <w:tcW w:w="0" w:type="auto"/>
            <w:gridSpan w:val="3"/>
            <w:shd w:val="clear" w:color="auto" w:fill="auto"/>
            <w:vAlign w:val="bottom"/>
          </w:tcPr>
          <w:p w14:paraId="5F2CFD39" w14:textId="77777777" w:rsidR="00E836FB" w:rsidRDefault="00E836FB">
            <w:pPr>
              <w:rPr>
                <w:rFonts w:ascii="宋体"/>
                <w:vanish/>
              </w:rPr>
            </w:pPr>
          </w:p>
        </w:tc>
      </w:tr>
      <w:tr w:rsidR="00E836FB" w14:paraId="5F2CFD4A" w14:textId="77777777">
        <w:tc>
          <w:tcPr>
            <w:tcW w:w="0" w:type="auto"/>
            <w:gridSpan w:val="3"/>
            <w:shd w:val="clear" w:color="auto" w:fill="FFFFFF"/>
            <w:tcMar>
              <w:top w:w="40" w:type="dxa"/>
              <w:left w:w="515" w:type="dxa"/>
              <w:bottom w:w="40" w:type="dxa"/>
              <w:right w:w="20" w:type="dxa"/>
            </w:tcMar>
            <w:vAlign w:val="bottom"/>
          </w:tcPr>
          <w:p w14:paraId="5F2CFD3B" w14:textId="77777777" w:rsidR="00E836FB" w:rsidRDefault="00994958">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5F2CFD3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D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D3F" w14:textId="77777777" w:rsidR="00E836FB" w:rsidRDefault="00994958">
            <w:pPr>
              <w:jc w:val="right"/>
              <w:textAlignment w:val="bottom"/>
            </w:pPr>
            <w:r>
              <w:rPr>
                <w:rFonts w:ascii="Arial" w:eastAsia="宋体" w:hAnsi="Arial" w:cs="Arial"/>
                <w:b/>
                <w:bCs/>
                <w:color w:val="000000"/>
                <w:sz w:val="15"/>
                <w:szCs w:val="15"/>
              </w:rPr>
              <w:t>301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D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D4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D4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4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D4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D4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4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D48" w14:textId="77777777" w:rsidR="00E836FB" w:rsidRDefault="00994958">
            <w:pPr>
              <w:jc w:val="right"/>
              <w:textAlignment w:val="bottom"/>
            </w:pPr>
            <w:r>
              <w:rPr>
                <w:rFonts w:ascii="Arial" w:eastAsia="宋体" w:hAnsi="Arial" w:cs="Arial"/>
                <w:b/>
                <w:bCs/>
                <w:color w:val="000000"/>
                <w:sz w:val="15"/>
                <w:szCs w:val="15"/>
              </w:rPr>
              <w:t>301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D49" w14:textId="77777777" w:rsidR="00E836FB" w:rsidRDefault="00E836FB">
            <w:pPr>
              <w:jc w:val="right"/>
              <w:rPr>
                <w:rFonts w:ascii="宋体"/>
              </w:rPr>
            </w:pPr>
          </w:p>
        </w:tc>
      </w:tr>
      <w:tr w:rsidR="00E836FB" w14:paraId="5F2CFD5A" w14:textId="77777777">
        <w:tc>
          <w:tcPr>
            <w:tcW w:w="0" w:type="auto"/>
            <w:gridSpan w:val="3"/>
            <w:shd w:val="clear" w:color="auto" w:fill="CCEEFF"/>
            <w:tcMar>
              <w:top w:w="40" w:type="dxa"/>
              <w:left w:w="740" w:type="dxa"/>
              <w:bottom w:w="40" w:type="dxa"/>
              <w:right w:w="20" w:type="dxa"/>
            </w:tcMar>
            <w:vAlign w:val="bottom"/>
          </w:tcPr>
          <w:p w14:paraId="5F2CFD4B" w14:textId="77777777" w:rsidR="00E836FB" w:rsidRDefault="00994958">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D4C"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D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4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D4F" w14:textId="77777777" w:rsidR="00E836FB" w:rsidRDefault="00994958">
            <w:pPr>
              <w:jc w:val="right"/>
              <w:textAlignment w:val="bottom"/>
            </w:pPr>
            <w:r>
              <w:rPr>
                <w:rFonts w:ascii="Arial" w:eastAsia="宋体" w:hAnsi="Arial" w:cs="Arial"/>
                <w:b/>
                <w:bCs/>
                <w:color w:val="000000"/>
                <w:sz w:val="15"/>
                <w:szCs w:val="15"/>
              </w:rPr>
              <w:t>16,125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D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5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D5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D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5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D55" w14:textId="77777777" w:rsidR="00E836FB" w:rsidRDefault="00994958">
            <w:pPr>
              <w:jc w:val="right"/>
              <w:textAlignment w:val="bottom"/>
            </w:pPr>
            <w:r>
              <w:rPr>
                <w:rFonts w:ascii="Arial" w:eastAsia="宋体" w:hAnsi="Arial" w:cs="Arial"/>
                <w:b/>
                <w:bCs/>
                <w:color w:val="000000"/>
                <w:sz w:val="15"/>
                <w:szCs w:val="15"/>
              </w:rPr>
              <w:t>(10,395)</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D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5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D58" w14:textId="77777777" w:rsidR="00E836FB" w:rsidRDefault="00994958">
            <w:pPr>
              <w:jc w:val="right"/>
              <w:textAlignment w:val="bottom"/>
            </w:pPr>
            <w:r>
              <w:rPr>
                <w:rFonts w:ascii="Arial" w:eastAsia="宋体" w:hAnsi="Arial" w:cs="Arial"/>
                <w:b/>
                <w:bCs/>
                <w:color w:val="000000"/>
                <w:sz w:val="15"/>
                <w:szCs w:val="15"/>
              </w:rPr>
              <w:t>5,731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D59" w14:textId="77777777" w:rsidR="00E836FB" w:rsidRDefault="00E836FB">
            <w:pPr>
              <w:jc w:val="right"/>
              <w:rPr>
                <w:rFonts w:ascii="宋体"/>
              </w:rPr>
            </w:pPr>
          </w:p>
        </w:tc>
      </w:tr>
      <w:tr w:rsidR="00E836FB" w14:paraId="5F2CFD65" w14:textId="77777777">
        <w:trPr>
          <w:hidden/>
        </w:trPr>
        <w:tc>
          <w:tcPr>
            <w:tcW w:w="0" w:type="auto"/>
            <w:gridSpan w:val="3"/>
            <w:shd w:val="clear" w:color="auto" w:fill="auto"/>
            <w:vAlign w:val="bottom"/>
          </w:tcPr>
          <w:p w14:paraId="5F2CFD5B" w14:textId="77777777" w:rsidR="00E836FB" w:rsidRDefault="00E836FB">
            <w:pPr>
              <w:rPr>
                <w:rFonts w:ascii="宋体"/>
                <w:vanish/>
              </w:rPr>
            </w:pPr>
          </w:p>
        </w:tc>
        <w:tc>
          <w:tcPr>
            <w:tcW w:w="0" w:type="auto"/>
            <w:gridSpan w:val="3"/>
            <w:shd w:val="clear" w:color="auto" w:fill="auto"/>
            <w:vAlign w:val="bottom"/>
          </w:tcPr>
          <w:p w14:paraId="5F2CFD5C" w14:textId="77777777" w:rsidR="00E836FB" w:rsidRDefault="00E836FB">
            <w:pPr>
              <w:rPr>
                <w:rFonts w:ascii="宋体"/>
                <w:vanish/>
              </w:rPr>
            </w:pPr>
          </w:p>
        </w:tc>
        <w:tc>
          <w:tcPr>
            <w:tcW w:w="0" w:type="auto"/>
            <w:gridSpan w:val="3"/>
            <w:shd w:val="clear" w:color="auto" w:fill="auto"/>
            <w:vAlign w:val="bottom"/>
          </w:tcPr>
          <w:p w14:paraId="5F2CFD5D" w14:textId="77777777" w:rsidR="00E836FB" w:rsidRDefault="00E836FB">
            <w:pPr>
              <w:rPr>
                <w:rFonts w:ascii="宋体"/>
                <w:vanish/>
              </w:rPr>
            </w:pPr>
          </w:p>
        </w:tc>
        <w:tc>
          <w:tcPr>
            <w:tcW w:w="0" w:type="auto"/>
            <w:gridSpan w:val="3"/>
            <w:shd w:val="clear" w:color="auto" w:fill="auto"/>
            <w:vAlign w:val="bottom"/>
          </w:tcPr>
          <w:p w14:paraId="5F2CFD5E" w14:textId="77777777" w:rsidR="00E836FB" w:rsidRDefault="00E836FB">
            <w:pPr>
              <w:rPr>
                <w:rFonts w:ascii="宋体"/>
                <w:vanish/>
              </w:rPr>
            </w:pPr>
          </w:p>
        </w:tc>
        <w:tc>
          <w:tcPr>
            <w:tcW w:w="0" w:type="auto"/>
            <w:gridSpan w:val="3"/>
            <w:shd w:val="clear" w:color="auto" w:fill="auto"/>
            <w:vAlign w:val="bottom"/>
          </w:tcPr>
          <w:p w14:paraId="5F2CFD5F" w14:textId="77777777" w:rsidR="00E836FB" w:rsidRDefault="00E836FB">
            <w:pPr>
              <w:rPr>
                <w:rFonts w:ascii="宋体"/>
                <w:vanish/>
              </w:rPr>
            </w:pPr>
          </w:p>
        </w:tc>
        <w:tc>
          <w:tcPr>
            <w:tcW w:w="0" w:type="auto"/>
            <w:gridSpan w:val="3"/>
            <w:shd w:val="clear" w:color="auto" w:fill="auto"/>
            <w:vAlign w:val="bottom"/>
          </w:tcPr>
          <w:p w14:paraId="5F2CFD60" w14:textId="77777777" w:rsidR="00E836FB" w:rsidRDefault="00E836FB">
            <w:pPr>
              <w:rPr>
                <w:rFonts w:ascii="宋体"/>
                <w:vanish/>
              </w:rPr>
            </w:pPr>
          </w:p>
        </w:tc>
        <w:tc>
          <w:tcPr>
            <w:tcW w:w="0" w:type="auto"/>
            <w:gridSpan w:val="3"/>
            <w:shd w:val="clear" w:color="auto" w:fill="auto"/>
            <w:vAlign w:val="bottom"/>
          </w:tcPr>
          <w:p w14:paraId="5F2CFD61" w14:textId="77777777" w:rsidR="00E836FB" w:rsidRDefault="00E836FB">
            <w:pPr>
              <w:rPr>
                <w:rFonts w:ascii="宋体"/>
                <w:vanish/>
              </w:rPr>
            </w:pPr>
          </w:p>
        </w:tc>
        <w:tc>
          <w:tcPr>
            <w:tcW w:w="0" w:type="auto"/>
            <w:gridSpan w:val="3"/>
            <w:shd w:val="clear" w:color="auto" w:fill="auto"/>
            <w:vAlign w:val="bottom"/>
          </w:tcPr>
          <w:p w14:paraId="5F2CFD62" w14:textId="77777777" w:rsidR="00E836FB" w:rsidRDefault="00E836FB">
            <w:pPr>
              <w:rPr>
                <w:rFonts w:ascii="宋体"/>
                <w:vanish/>
              </w:rPr>
            </w:pPr>
          </w:p>
        </w:tc>
        <w:tc>
          <w:tcPr>
            <w:tcW w:w="0" w:type="auto"/>
            <w:gridSpan w:val="3"/>
            <w:shd w:val="clear" w:color="auto" w:fill="auto"/>
            <w:vAlign w:val="bottom"/>
          </w:tcPr>
          <w:p w14:paraId="5F2CFD63" w14:textId="77777777" w:rsidR="00E836FB" w:rsidRDefault="00E836FB">
            <w:pPr>
              <w:rPr>
                <w:rFonts w:ascii="宋体"/>
                <w:vanish/>
              </w:rPr>
            </w:pPr>
          </w:p>
        </w:tc>
        <w:tc>
          <w:tcPr>
            <w:tcW w:w="0" w:type="auto"/>
            <w:gridSpan w:val="3"/>
            <w:shd w:val="clear" w:color="auto" w:fill="auto"/>
            <w:vAlign w:val="bottom"/>
          </w:tcPr>
          <w:p w14:paraId="5F2CFD64" w14:textId="77777777" w:rsidR="00E836FB" w:rsidRDefault="00E836FB">
            <w:pPr>
              <w:rPr>
                <w:rFonts w:ascii="宋体"/>
                <w:vanish/>
              </w:rPr>
            </w:pPr>
          </w:p>
        </w:tc>
      </w:tr>
      <w:tr w:rsidR="00E836FB" w14:paraId="5F2CFD7A" w14:textId="77777777">
        <w:tc>
          <w:tcPr>
            <w:tcW w:w="0" w:type="auto"/>
            <w:gridSpan w:val="3"/>
            <w:shd w:val="clear" w:color="auto" w:fill="FFFFFF"/>
            <w:tcMar>
              <w:top w:w="40" w:type="dxa"/>
              <w:left w:w="20" w:type="dxa"/>
              <w:bottom w:w="40" w:type="dxa"/>
              <w:right w:w="20" w:type="dxa"/>
            </w:tcMar>
            <w:vAlign w:val="bottom"/>
          </w:tcPr>
          <w:p w14:paraId="5F2CFD66" w14:textId="77777777" w:rsidR="00E836FB" w:rsidRDefault="00994958">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FD6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FD68"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FD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6A"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FD6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FD6C" w14:textId="77777777" w:rsidR="00E836FB" w:rsidRDefault="00994958">
            <w:pPr>
              <w:jc w:val="right"/>
              <w:textAlignment w:val="bottom"/>
            </w:pPr>
            <w:r>
              <w:rPr>
                <w:rFonts w:ascii="Arial" w:eastAsia="宋体" w:hAnsi="Arial" w:cs="Arial"/>
                <w:b/>
                <w:bCs/>
                <w:color w:val="000000"/>
                <w:sz w:val="15"/>
                <w:szCs w:val="15"/>
              </w:rPr>
              <w:t>16,125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FD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6E"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FD6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FD7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FD7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72"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FD7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FD74" w14:textId="77777777" w:rsidR="00E836FB" w:rsidRDefault="00994958">
            <w:pPr>
              <w:jc w:val="right"/>
              <w:textAlignment w:val="bottom"/>
            </w:pPr>
            <w:r>
              <w:rPr>
                <w:rFonts w:ascii="Arial" w:eastAsia="宋体" w:hAnsi="Arial" w:cs="Arial"/>
                <w:b/>
                <w:bCs/>
                <w:color w:val="000000"/>
                <w:sz w:val="15"/>
                <w:szCs w:val="15"/>
              </w:rPr>
              <w:t>(10,395)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FD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D76"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CFD7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CFD78" w14:textId="77777777" w:rsidR="00E836FB" w:rsidRDefault="00994958">
            <w:pPr>
              <w:jc w:val="right"/>
              <w:textAlignment w:val="bottom"/>
            </w:pPr>
            <w:r>
              <w:rPr>
                <w:rFonts w:ascii="Arial" w:eastAsia="宋体" w:hAnsi="Arial" w:cs="Arial"/>
                <w:b/>
                <w:bCs/>
                <w:color w:val="000000"/>
                <w:sz w:val="15"/>
                <w:szCs w:val="15"/>
              </w:rPr>
              <w:t>5,731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CFD79" w14:textId="77777777" w:rsidR="00E836FB" w:rsidRDefault="00E836FB">
            <w:pPr>
              <w:jc w:val="right"/>
              <w:rPr>
                <w:rFonts w:ascii="宋体"/>
              </w:rPr>
            </w:pPr>
          </w:p>
        </w:tc>
      </w:tr>
    </w:tbl>
    <w:p w14:paraId="5F2CFD7B"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E836FB" w14:paraId="5F2CFD88" w14:textId="77777777">
        <w:tc>
          <w:tcPr>
            <w:tcW w:w="50" w:type="pct"/>
            <w:shd w:val="clear" w:color="auto" w:fill="auto"/>
            <w:vAlign w:val="bottom"/>
          </w:tcPr>
          <w:p w14:paraId="5F2CFD7C" w14:textId="77777777" w:rsidR="00E836FB" w:rsidRDefault="00E836FB">
            <w:pPr>
              <w:rPr>
                <w:rFonts w:ascii="宋体"/>
              </w:rPr>
            </w:pPr>
          </w:p>
        </w:tc>
        <w:tc>
          <w:tcPr>
            <w:tcW w:w="1348" w:type="pct"/>
            <w:shd w:val="clear" w:color="auto" w:fill="auto"/>
            <w:vAlign w:val="bottom"/>
          </w:tcPr>
          <w:p w14:paraId="5F2CFD7D" w14:textId="77777777" w:rsidR="00E836FB" w:rsidRDefault="00E836FB">
            <w:pPr>
              <w:rPr>
                <w:rFonts w:ascii="宋体"/>
              </w:rPr>
            </w:pPr>
          </w:p>
        </w:tc>
        <w:tc>
          <w:tcPr>
            <w:tcW w:w="5" w:type="pct"/>
            <w:shd w:val="clear" w:color="auto" w:fill="auto"/>
            <w:vAlign w:val="bottom"/>
          </w:tcPr>
          <w:p w14:paraId="5F2CFD7E" w14:textId="77777777" w:rsidR="00E836FB" w:rsidRDefault="00E836FB">
            <w:pPr>
              <w:rPr>
                <w:rFonts w:ascii="宋体"/>
              </w:rPr>
            </w:pPr>
          </w:p>
        </w:tc>
        <w:tc>
          <w:tcPr>
            <w:tcW w:w="50" w:type="pct"/>
            <w:shd w:val="clear" w:color="auto" w:fill="auto"/>
            <w:vAlign w:val="bottom"/>
          </w:tcPr>
          <w:p w14:paraId="5F2CFD7F" w14:textId="77777777" w:rsidR="00E836FB" w:rsidRDefault="00E836FB">
            <w:pPr>
              <w:rPr>
                <w:rFonts w:ascii="宋体"/>
              </w:rPr>
            </w:pPr>
          </w:p>
        </w:tc>
        <w:tc>
          <w:tcPr>
            <w:tcW w:w="668" w:type="pct"/>
            <w:shd w:val="clear" w:color="auto" w:fill="auto"/>
            <w:vAlign w:val="bottom"/>
          </w:tcPr>
          <w:p w14:paraId="5F2CFD80" w14:textId="77777777" w:rsidR="00E836FB" w:rsidRDefault="00E836FB">
            <w:pPr>
              <w:rPr>
                <w:rFonts w:ascii="宋体"/>
              </w:rPr>
            </w:pPr>
          </w:p>
        </w:tc>
        <w:tc>
          <w:tcPr>
            <w:tcW w:w="5" w:type="pct"/>
            <w:shd w:val="clear" w:color="auto" w:fill="auto"/>
            <w:vAlign w:val="bottom"/>
          </w:tcPr>
          <w:p w14:paraId="5F2CFD81" w14:textId="77777777" w:rsidR="00E836FB" w:rsidRDefault="00E836FB">
            <w:pPr>
              <w:rPr>
                <w:rFonts w:ascii="宋体"/>
              </w:rPr>
            </w:pPr>
          </w:p>
        </w:tc>
        <w:tc>
          <w:tcPr>
            <w:tcW w:w="50" w:type="pct"/>
            <w:shd w:val="clear" w:color="auto" w:fill="auto"/>
            <w:vAlign w:val="bottom"/>
          </w:tcPr>
          <w:p w14:paraId="5F2CFD82" w14:textId="77777777" w:rsidR="00E836FB" w:rsidRDefault="00E836FB">
            <w:pPr>
              <w:rPr>
                <w:rFonts w:ascii="宋体"/>
              </w:rPr>
            </w:pPr>
          </w:p>
        </w:tc>
        <w:tc>
          <w:tcPr>
            <w:tcW w:w="909" w:type="pct"/>
            <w:shd w:val="clear" w:color="auto" w:fill="auto"/>
            <w:vAlign w:val="bottom"/>
          </w:tcPr>
          <w:p w14:paraId="5F2CFD83" w14:textId="77777777" w:rsidR="00E836FB" w:rsidRDefault="00E836FB">
            <w:pPr>
              <w:rPr>
                <w:rFonts w:ascii="宋体"/>
              </w:rPr>
            </w:pPr>
          </w:p>
        </w:tc>
        <w:tc>
          <w:tcPr>
            <w:tcW w:w="5" w:type="pct"/>
            <w:shd w:val="clear" w:color="auto" w:fill="auto"/>
            <w:vAlign w:val="bottom"/>
          </w:tcPr>
          <w:p w14:paraId="5F2CFD84" w14:textId="77777777" w:rsidR="00E836FB" w:rsidRDefault="00E836FB">
            <w:pPr>
              <w:rPr>
                <w:rFonts w:ascii="宋体"/>
              </w:rPr>
            </w:pPr>
          </w:p>
        </w:tc>
        <w:tc>
          <w:tcPr>
            <w:tcW w:w="50" w:type="pct"/>
            <w:shd w:val="clear" w:color="auto" w:fill="auto"/>
            <w:vAlign w:val="bottom"/>
          </w:tcPr>
          <w:p w14:paraId="5F2CFD85" w14:textId="77777777" w:rsidR="00E836FB" w:rsidRDefault="00E836FB">
            <w:pPr>
              <w:rPr>
                <w:rFonts w:ascii="宋体"/>
              </w:rPr>
            </w:pPr>
          </w:p>
        </w:tc>
        <w:tc>
          <w:tcPr>
            <w:tcW w:w="1852" w:type="pct"/>
            <w:shd w:val="clear" w:color="auto" w:fill="auto"/>
            <w:vAlign w:val="bottom"/>
          </w:tcPr>
          <w:p w14:paraId="5F2CFD86" w14:textId="77777777" w:rsidR="00E836FB" w:rsidRDefault="00E836FB">
            <w:pPr>
              <w:rPr>
                <w:rFonts w:ascii="宋体"/>
              </w:rPr>
            </w:pPr>
          </w:p>
        </w:tc>
        <w:tc>
          <w:tcPr>
            <w:tcW w:w="5" w:type="pct"/>
            <w:shd w:val="clear" w:color="auto" w:fill="auto"/>
            <w:vAlign w:val="bottom"/>
          </w:tcPr>
          <w:p w14:paraId="5F2CFD87" w14:textId="77777777" w:rsidR="00E836FB" w:rsidRDefault="00E836FB">
            <w:pPr>
              <w:rPr>
                <w:rFonts w:ascii="宋体"/>
              </w:rPr>
            </w:pPr>
          </w:p>
        </w:tc>
      </w:tr>
      <w:tr w:rsidR="00E836FB" w14:paraId="5F2CFD8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CFD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8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8C" w14:textId="77777777" w:rsidR="00E836FB" w:rsidRDefault="00E836FB">
            <w:pPr>
              <w:rPr>
                <w:rFonts w:ascii="宋体"/>
              </w:rPr>
            </w:pPr>
          </w:p>
        </w:tc>
      </w:tr>
    </w:tbl>
    <w:p w14:paraId="5F2CFD8E" w14:textId="77777777" w:rsidR="00E836FB" w:rsidRDefault="00994958">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counterparty netting against level 2 financial assets and liabilities where a legally enforceable master netting agreement exists between us and the counterparty. Netting also reflects asset and liability reductions of $1.97 billion and $1.2</w:t>
      </w:r>
      <w:r>
        <w:rPr>
          <w:rFonts w:ascii="Arial" w:eastAsia="宋体" w:hAnsi="Arial" w:cs="Arial"/>
          <w:color w:val="000000"/>
          <w:sz w:val="14"/>
          <w:szCs w:val="14"/>
        </w:rPr>
        <w:t>8 billion, respectively, for cash collateral received from and provided to derivative counterparties.</w:t>
      </w:r>
    </w:p>
    <w:p w14:paraId="5F2CFD8F" w14:textId="77777777" w:rsidR="00E836FB" w:rsidRDefault="00994958">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Consists entirely of non-agency CMBS.</w:t>
      </w:r>
    </w:p>
    <w:p w14:paraId="5F2CFD90" w14:textId="77777777" w:rsidR="00E836FB" w:rsidRDefault="00E836FB">
      <w:pPr>
        <w:ind w:firstLine="450"/>
        <w:jc w:val="both"/>
      </w:pPr>
    </w:p>
    <w:p w14:paraId="5F2CFD91" w14:textId="77777777" w:rsidR="00E836FB" w:rsidRDefault="00994958">
      <w:pPr>
        <w:ind w:firstLine="450"/>
        <w:jc w:val="right"/>
      </w:pPr>
      <w:r>
        <w:rPr>
          <w:rFonts w:ascii="Arial" w:eastAsia="宋体" w:hAnsi="Arial" w:cs="Arial"/>
          <w:color w:val="000000"/>
          <w:sz w:val="18"/>
          <w:szCs w:val="18"/>
        </w:rPr>
        <w:t>State Street Corporation | 139</w:t>
      </w:r>
    </w:p>
    <w:p w14:paraId="5F2CFD92" w14:textId="77777777" w:rsidR="00E836FB" w:rsidRDefault="00E836FB">
      <w:pPr>
        <w:ind w:firstLine="450"/>
        <w:jc w:val="center"/>
      </w:pPr>
    </w:p>
    <w:p w14:paraId="5F2CFD93" w14:textId="77777777" w:rsidR="00E836FB" w:rsidRDefault="00994958">
      <w:r>
        <w:pict w14:anchorId="5F2D6E10">
          <v:rect id="_x0000_i1163" style="width:415.3pt;height:1.5pt" o:hralign="center" o:hrstd="t" o:hr="t" fillcolor="#a0a0a0" stroked="f"/>
        </w:pict>
      </w:r>
    </w:p>
    <w:p w14:paraId="5F2CFD94" w14:textId="77777777" w:rsidR="00E836FB" w:rsidRDefault="00994958">
      <w:pPr>
        <w:ind w:firstLine="450"/>
        <w:jc w:val="center"/>
      </w:pPr>
      <w:r>
        <w:rPr>
          <w:rFonts w:ascii="Arial" w:eastAsia="宋体" w:hAnsi="Arial" w:cs="Arial"/>
          <w:b/>
          <w:bCs/>
          <w:color w:val="000000"/>
          <w:sz w:val="20"/>
          <w:szCs w:val="20"/>
        </w:rPr>
        <w:t>STATE STREET CORPORATION</w:t>
      </w:r>
    </w:p>
    <w:p w14:paraId="5F2CFD95" w14:textId="77777777" w:rsidR="00E836FB" w:rsidRDefault="00994958">
      <w:pPr>
        <w:ind w:firstLine="450"/>
        <w:jc w:val="center"/>
      </w:pPr>
      <w:r>
        <w:rPr>
          <w:rFonts w:ascii="Arial" w:eastAsia="宋体" w:hAnsi="Arial" w:cs="Arial"/>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4"/>
        <w:gridCol w:w="2209"/>
        <w:gridCol w:w="40"/>
        <w:gridCol w:w="105"/>
        <w:gridCol w:w="1062"/>
        <w:gridCol w:w="36"/>
        <w:gridCol w:w="36"/>
        <w:gridCol w:w="36"/>
        <w:gridCol w:w="36"/>
        <w:gridCol w:w="105"/>
        <w:gridCol w:w="1107"/>
        <w:gridCol w:w="36"/>
        <w:gridCol w:w="36"/>
        <w:gridCol w:w="36"/>
        <w:gridCol w:w="36"/>
        <w:gridCol w:w="105"/>
        <w:gridCol w:w="1107"/>
        <w:gridCol w:w="36"/>
        <w:gridCol w:w="36"/>
        <w:gridCol w:w="36"/>
        <w:gridCol w:w="36"/>
        <w:gridCol w:w="105"/>
        <w:gridCol w:w="611"/>
        <w:gridCol w:w="37"/>
        <w:gridCol w:w="36"/>
        <w:gridCol w:w="36"/>
        <w:gridCol w:w="36"/>
        <w:gridCol w:w="105"/>
        <w:gridCol w:w="1008"/>
        <w:gridCol w:w="36"/>
      </w:tblGrid>
      <w:tr w:rsidR="00E836FB" w14:paraId="5F2CFDB4" w14:textId="77777777">
        <w:tc>
          <w:tcPr>
            <w:tcW w:w="50" w:type="pct"/>
            <w:shd w:val="clear" w:color="auto" w:fill="auto"/>
            <w:vAlign w:val="bottom"/>
          </w:tcPr>
          <w:p w14:paraId="5F2CFD96" w14:textId="77777777" w:rsidR="00E836FB" w:rsidRDefault="00E836FB">
            <w:pPr>
              <w:rPr>
                <w:rFonts w:ascii="宋体"/>
              </w:rPr>
            </w:pPr>
          </w:p>
        </w:tc>
        <w:tc>
          <w:tcPr>
            <w:tcW w:w="1728" w:type="pct"/>
            <w:shd w:val="clear" w:color="auto" w:fill="auto"/>
            <w:vAlign w:val="bottom"/>
          </w:tcPr>
          <w:p w14:paraId="5F2CFD97" w14:textId="77777777" w:rsidR="00E836FB" w:rsidRDefault="00E836FB">
            <w:pPr>
              <w:rPr>
                <w:rFonts w:ascii="宋体"/>
              </w:rPr>
            </w:pPr>
          </w:p>
        </w:tc>
        <w:tc>
          <w:tcPr>
            <w:tcW w:w="5" w:type="pct"/>
            <w:shd w:val="clear" w:color="auto" w:fill="auto"/>
            <w:vAlign w:val="bottom"/>
          </w:tcPr>
          <w:p w14:paraId="5F2CFD98" w14:textId="77777777" w:rsidR="00E836FB" w:rsidRDefault="00E836FB">
            <w:pPr>
              <w:rPr>
                <w:rFonts w:ascii="宋体"/>
              </w:rPr>
            </w:pPr>
          </w:p>
        </w:tc>
        <w:tc>
          <w:tcPr>
            <w:tcW w:w="50" w:type="pct"/>
            <w:shd w:val="clear" w:color="auto" w:fill="auto"/>
            <w:vAlign w:val="bottom"/>
          </w:tcPr>
          <w:p w14:paraId="5F2CFD99" w14:textId="77777777" w:rsidR="00E836FB" w:rsidRDefault="00E836FB">
            <w:pPr>
              <w:rPr>
                <w:rFonts w:ascii="宋体"/>
              </w:rPr>
            </w:pPr>
          </w:p>
        </w:tc>
        <w:tc>
          <w:tcPr>
            <w:tcW w:w="610" w:type="pct"/>
            <w:shd w:val="clear" w:color="auto" w:fill="auto"/>
            <w:vAlign w:val="bottom"/>
          </w:tcPr>
          <w:p w14:paraId="5F2CFD9A" w14:textId="77777777" w:rsidR="00E836FB" w:rsidRDefault="00E836FB">
            <w:pPr>
              <w:rPr>
                <w:rFonts w:ascii="宋体"/>
              </w:rPr>
            </w:pPr>
          </w:p>
        </w:tc>
        <w:tc>
          <w:tcPr>
            <w:tcW w:w="5" w:type="pct"/>
            <w:shd w:val="clear" w:color="auto" w:fill="auto"/>
            <w:vAlign w:val="bottom"/>
          </w:tcPr>
          <w:p w14:paraId="5F2CFD9B" w14:textId="77777777" w:rsidR="00E836FB" w:rsidRDefault="00E836FB">
            <w:pPr>
              <w:rPr>
                <w:rFonts w:ascii="宋体"/>
              </w:rPr>
            </w:pPr>
          </w:p>
        </w:tc>
        <w:tc>
          <w:tcPr>
            <w:tcW w:w="5" w:type="pct"/>
            <w:shd w:val="clear" w:color="auto" w:fill="auto"/>
            <w:vAlign w:val="bottom"/>
          </w:tcPr>
          <w:p w14:paraId="5F2CFD9C" w14:textId="77777777" w:rsidR="00E836FB" w:rsidRDefault="00E836FB">
            <w:pPr>
              <w:rPr>
                <w:rFonts w:ascii="宋体"/>
              </w:rPr>
            </w:pPr>
          </w:p>
        </w:tc>
        <w:tc>
          <w:tcPr>
            <w:tcW w:w="26" w:type="pct"/>
            <w:shd w:val="clear" w:color="auto" w:fill="auto"/>
            <w:vAlign w:val="bottom"/>
          </w:tcPr>
          <w:p w14:paraId="5F2CFD9D" w14:textId="77777777" w:rsidR="00E836FB" w:rsidRDefault="00E836FB">
            <w:pPr>
              <w:rPr>
                <w:rFonts w:ascii="宋体"/>
              </w:rPr>
            </w:pPr>
          </w:p>
        </w:tc>
        <w:tc>
          <w:tcPr>
            <w:tcW w:w="5" w:type="pct"/>
            <w:shd w:val="clear" w:color="auto" w:fill="auto"/>
            <w:vAlign w:val="bottom"/>
          </w:tcPr>
          <w:p w14:paraId="5F2CFD9E" w14:textId="77777777" w:rsidR="00E836FB" w:rsidRDefault="00E836FB">
            <w:pPr>
              <w:rPr>
                <w:rFonts w:ascii="宋体"/>
              </w:rPr>
            </w:pPr>
          </w:p>
        </w:tc>
        <w:tc>
          <w:tcPr>
            <w:tcW w:w="50" w:type="pct"/>
            <w:shd w:val="clear" w:color="auto" w:fill="auto"/>
            <w:vAlign w:val="bottom"/>
          </w:tcPr>
          <w:p w14:paraId="5F2CFD9F" w14:textId="77777777" w:rsidR="00E836FB" w:rsidRDefault="00E836FB">
            <w:pPr>
              <w:rPr>
                <w:rFonts w:ascii="宋体"/>
              </w:rPr>
            </w:pPr>
          </w:p>
        </w:tc>
        <w:tc>
          <w:tcPr>
            <w:tcW w:w="610" w:type="pct"/>
            <w:shd w:val="clear" w:color="auto" w:fill="auto"/>
            <w:vAlign w:val="bottom"/>
          </w:tcPr>
          <w:p w14:paraId="5F2CFDA0" w14:textId="77777777" w:rsidR="00E836FB" w:rsidRDefault="00E836FB">
            <w:pPr>
              <w:rPr>
                <w:rFonts w:ascii="宋体"/>
              </w:rPr>
            </w:pPr>
          </w:p>
        </w:tc>
        <w:tc>
          <w:tcPr>
            <w:tcW w:w="5" w:type="pct"/>
            <w:shd w:val="clear" w:color="auto" w:fill="auto"/>
            <w:vAlign w:val="bottom"/>
          </w:tcPr>
          <w:p w14:paraId="5F2CFDA1" w14:textId="77777777" w:rsidR="00E836FB" w:rsidRDefault="00E836FB">
            <w:pPr>
              <w:rPr>
                <w:rFonts w:ascii="宋体"/>
              </w:rPr>
            </w:pPr>
          </w:p>
        </w:tc>
        <w:tc>
          <w:tcPr>
            <w:tcW w:w="5" w:type="pct"/>
            <w:shd w:val="clear" w:color="auto" w:fill="auto"/>
            <w:vAlign w:val="bottom"/>
          </w:tcPr>
          <w:p w14:paraId="5F2CFDA2" w14:textId="77777777" w:rsidR="00E836FB" w:rsidRDefault="00E836FB">
            <w:pPr>
              <w:rPr>
                <w:rFonts w:ascii="宋体"/>
              </w:rPr>
            </w:pPr>
          </w:p>
        </w:tc>
        <w:tc>
          <w:tcPr>
            <w:tcW w:w="26" w:type="pct"/>
            <w:shd w:val="clear" w:color="auto" w:fill="auto"/>
            <w:vAlign w:val="bottom"/>
          </w:tcPr>
          <w:p w14:paraId="5F2CFDA3" w14:textId="77777777" w:rsidR="00E836FB" w:rsidRDefault="00E836FB">
            <w:pPr>
              <w:rPr>
                <w:rFonts w:ascii="宋体"/>
              </w:rPr>
            </w:pPr>
          </w:p>
        </w:tc>
        <w:tc>
          <w:tcPr>
            <w:tcW w:w="5" w:type="pct"/>
            <w:shd w:val="clear" w:color="auto" w:fill="auto"/>
            <w:vAlign w:val="bottom"/>
          </w:tcPr>
          <w:p w14:paraId="5F2CFDA4" w14:textId="77777777" w:rsidR="00E836FB" w:rsidRDefault="00E836FB">
            <w:pPr>
              <w:rPr>
                <w:rFonts w:ascii="宋体"/>
              </w:rPr>
            </w:pPr>
          </w:p>
        </w:tc>
        <w:tc>
          <w:tcPr>
            <w:tcW w:w="50" w:type="pct"/>
            <w:shd w:val="clear" w:color="auto" w:fill="auto"/>
            <w:vAlign w:val="bottom"/>
          </w:tcPr>
          <w:p w14:paraId="5F2CFDA5" w14:textId="77777777" w:rsidR="00E836FB" w:rsidRDefault="00E836FB">
            <w:pPr>
              <w:rPr>
                <w:rFonts w:ascii="宋体"/>
              </w:rPr>
            </w:pPr>
          </w:p>
        </w:tc>
        <w:tc>
          <w:tcPr>
            <w:tcW w:w="610" w:type="pct"/>
            <w:shd w:val="clear" w:color="auto" w:fill="auto"/>
            <w:vAlign w:val="bottom"/>
          </w:tcPr>
          <w:p w14:paraId="5F2CFDA6" w14:textId="77777777" w:rsidR="00E836FB" w:rsidRDefault="00E836FB">
            <w:pPr>
              <w:rPr>
                <w:rFonts w:ascii="宋体"/>
              </w:rPr>
            </w:pPr>
          </w:p>
        </w:tc>
        <w:tc>
          <w:tcPr>
            <w:tcW w:w="5" w:type="pct"/>
            <w:shd w:val="clear" w:color="auto" w:fill="auto"/>
            <w:vAlign w:val="bottom"/>
          </w:tcPr>
          <w:p w14:paraId="5F2CFDA7" w14:textId="77777777" w:rsidR="00E836FB" w:rsidRDefault="00E836FB">
            <w:pPr>
              <w:rPr>
                <w:rFonts w:ascii="宋体"/>
              </w:rPr>
            </w:pPr>
          </w:p>
        </w:tc>
        <w:tc>
          <w:tcPr>
            <w:tcW w:w="5" w:type="pct"/>
            <w:shd w:val="clear" w:color="auto" w:fill="auto"/>
            <w:vAlign w:val="bottom"/>
          </w:tcPr>
          <w:p w14:paraId="5F2CFDA8" w14:textId="77777777" w:rsidR="00E836FB" w:rsidRDefault="00E836FB">
            <w:pPr>
              <w:rPr>
                <w:rFonts w:ascii="宋体"/>
              </w:rPr>
            </w:pPr>
          </w:p>
        </w:tc>
        <w:tc>
          <w:tcPr>
            <w:tcW w:w="26" w:type="pct"/>
            <w:shd w:val="clear" w:color="auto" w:fill="auto"/>
            <w:vAlign w:val="bottom"/>
          </w:tcPr>
          <w:p w14:paraId="5F2CFDA9" w14:textId="77777777" w:rsidR="00E836FB" w:rsidRDefault="00E836FB">
            <w:pPr>
              <w:rPr>
                <w:rFonts w:ascii="宋体"/>
              </w:rPr>
            </w:pPr>
          </w:p>
        </w:tc>
        <w:tc>
          <w:tcPr>
            <w:tcW w:w="5" w:type="pct"/>
            <w:shd w:val="clear" w:color="auto" w:fill="auto"/>
            <w:vAlign w:val="bottom"/>
          </w:tcPr>
          <w:p w14:paraId="5F2CFDAA" w14:textId="77777777" w:rsidR="00E836FB" w:rsidRDefault="00E836FB">
            <w:pPr>
              <w:rPr>
                <w:rFonts w:ascii="宋体"/>
              </w:rPr>
            </w:pPr>
          </w:p>
        </w:tc>
        <w:tc>
          <w:tcPr>
            <w:tcW w:w="50" w:type="pct"/>
            <w:shd w:val="clear" w:color="auto" w:fill="auto"/>
            <w:vAlign w:val="bottom"/>
          </w:tcPr>
          <w:p w14:paraId="5F2CFDAB" w14:textId="77777777" w:rsidR="00E836FB" w:rsidRDefault="00E836FB">
            <w:pPr>
              <w:rPr>
                <w:rFonts w:ascii="宋体"/>
              </w:rPr>
            </w:pPr>
          </w:p>
        </w:tc>
        <w:tc>
          <w:tcPr>
            <w:tcW w:w="354" w:type="pct"/>
            <w:shd w:val="clear" w:color="auto" w:fill="auto"/>
            <w:vAlign w:val="bottom"/>
          </w:tcPr>
          <w:p w14:paraId="5F2CFDAC" w14:textId="77777777" w:rsidR="00E836FB" w:rsidRDefault="00E836FB">
            <w:pPr>
              <w:rPr>
                <w:rFonts w:ascii="宋体"/>
              </w:rPr>
            </w:pPr>
          </w:p>
        </w:tc>
        <w:tc>
          <w:tcPr>
            <w:tcW w:w="5" w:type="pct"/>
            <w:shd w:val="clear" w:color="auto" w:fill="auto"/>
            <w:vAlign w:val="bottom"/>
          </w:tcPr>
          <w:p w14:paraId="5F2CFDAD" w14:textId="77777777" w:rsidR="00E836FB" w:rsidRDefault="00E836FB">
            <w:pPr>
              <w:rPr>
                <w:rFonts w:ascii="宋体"/>
              </w:rPr>
            </w:pPr>
          </w:p>
        </w:tc>
        <w:tc>
          <w:tcPr>
            <w:tcW w:w="5" w:type="pct"/>
            <w:shd w:val="clear" w:color="auto" w:fill="auto"/>
            <w:vAlign w:val="bottom"/>
          </w:tcPr>
          <w:p w14:paraId="5F2CFDAE" w14:textId="77777777" w:rsidR="00E836FB" w:rsidRDefault="00E836FB">
            <w:pPr>
              <w:rPr>
                <w:rFonts w:ascii="宋体"/>
              </w:rPr>
            </w:pPr>
          </w:p>
        </w:tc>
        <w:tc>
          <w:tcPr>
            <w:tcW w:w="26" w:type="pct"/>
            <w:shd w:val="clear" w:color="auto" w:fill="auto"/>
            <w:vAlign w:val="bottom"/>
          </w:tcPr>
          <w:p w14:paraId="5F2CFDAF" w14:textId="77777777" w:rsidR="00E836FB" w:rsidRDefault="00E836FB">
            <w:pPr>
              <w:rPr>
                <w:rFonts w:ascii="宋体"/>
              </w:rPr>
            </w:pPr>
          </w:p>
        </w:tc>
        <w:tc>
          <w:tcPr>
            <w:tcW w:w="5" w:type="pct"/>
            <w:shd w:val="clear" w:color="auto" w:fill="auto"/>
            <w:vAlign w:val="bottom"/>
          </w:tcPr>
          <w:p w14:paraId="5F2CFDB0" w14:textId="77777777" w:rsidR="00E836FB" w:rsidRDefault="00E836FB">
            <w:pPr>
              <w:rPr>
                <w:rFonts w:ascii="宋体"/>
              </w:rPr>
            </w:pPr>
          </w:p>
        </w:tc>
        <w:tc>
          <w:tcPr>
            <w:tcW w:w="50" w:type="pct"/>
            <w:shd w:val="clear" w:color="auto" w:fill="auto"/>
            <w:vAlign w:val="bottom"/>
          </w:tcPr>
          <w:p w14:paraId="5F2CFDB1" w14:textId="77777777" w:rsidR="00E836FB" w:rsidRDefault="00E836FB">
            <w:pPr>
              <w:rPr>
                <w:rFonts w:ascii="宋体"/>
              </w:rPr>
            </w:pPr>
          </w:p>
        </w:tc>
        <w:tc>
          <w:tcPr>
            <w:tcW w:w="610" w:type="pct"/>
            <w:shd w:val="clear" w:color="auto" w:fill="auto"/>
            <w:vAlign w:val="bottom"/>
          </w:tcPr>
          <w:p w14:paraId="5F2CFDB2" w14:textId="77777777" w:rsidR="00E836FB" w:rsidRDefault="00E836FB">
            <w:pPr>
              <w:rPr>
                <w:rFonts w:ascii="宋体"/>
              </w:rPr>
            </w:pPr>
          </w:p>
        </w:tc>
        <w:tc>
          <w:tcPr>
            <w:tcW w:w="5" w:type="pct"/>
            <w:shd w:val="clear" w:color="auto" w:fill="auto"/>
            <w:vAlign w:val="bottom"/>
          </w:tcPr>
          <w:p w14:paraId="5F2CFDB3" w14:textId="77777777" w:rsidR="00E836FB" w:rsidRDefault="00E836FB">
            <w:pPr>
              <w:rPr>
                <w:rFonts w:ascii="宋体"/>
              </w:rPr>
            </w:pPr>
          </w:p>
        </w:tc>
      </w:tr>
      <w:tr w:rsidR="00E836FB" w14:paraId="5F2CFDB7" w14:textId="77777777">
        <w:tc>
          <w:tcPr>
            <w:tcW w:w="0" w:type="auto"/>
            <w:gridSpan w:val="3"/>
            <w:shd w:val="clear" w:color="auto" w:fill="auto"/>
            <w:tcMar>
              <w:top w:w="0" w:type="dxa"/>
              <w:left w:w="20" w:type="dxa"/>
              <w:bottom w:w="0" w:type="dxa"/>
              <w:right w:w="20" w:type="dxa"/>
            </w:tcMar>
            <w:vAlign w:val="bottom"/>
          </w:tcPr>
          <w:p w14:paraId="5F2CFDB5" w14:textId="77777777" w:rsidR="00E836FB" w:rsidRDefault="00E836FB">
            <w:pPr>
              <w:rPr>
                <w:rFonts w:ascii="宋体"/>
              </w:rPr>
            </w:pPr>
          </w:p>
        </w:tc>
        <w:tc>
          <w:tcPr>
            <w:tcW w:w="0" w:type="auto"/>
            <w:gridSpan w:val="27"/>
            <w:shd w:val="clear" w:color="auto" w:fill="auto"/>
            <w:tcMar>
              <w:top w:w="40" w:type="dxa"/>
              <w:left w:w="20" w:type="dxa"/>
              <w:bottom w:w="40" w:type="dxa"/>
              <w:right w:w="20" w:type="dxa"/>
            </w:tcMar>
            <w:vAlign w:val="bottom"/>
          </w:tcPr>
          <w:p w14:paraId="5F2CFDB6" w14:textId="77777777" w:rsidR="00E836FB" w:rsidRDefault="00994958">
            <w:pPr>
              <w:jc w:val="center"/>
              <w:textAlignment w:val="bottom"/>
            </w:pPr>
            <w:r>
              <w:rPr>
                <w:rFonts w:ascii="Arial" w:eastAsia="宋体" w:hAnsi="Arial" w:cs="Arial"/>
                <w:b/>
                <w:bCs/>
                <w:color w:val="000000"/>
                <w:sz w:val="15"/>
                <w:szCs w:val="15"/>
              </w:rPr>
              <w:t>Fair Value Measurements on a Recurring Basis</w:t>
            </w:r>
          </w:p>
        </w:tc>
      </w:tr>
      <w:tr w:rsidR="00E836FB" w14:paraId="5F2CFDBA" w14:textId="77777777">
        <w:tc>
          <w:tcPr>
            <w:tcW w:w="0" w:type="auto"/>
            <w:gridSpan w:val="3"/>
            <w:shd w:val="clear" w:color="auto" w:fill="auto"/>
            <w:tcMar>
              <w:top w:w="0" w:type="dxa"/>
              <w:left w:w="20" w:type="dxa"/>
              <w:bottom w:w="0" w:type="dxa"/>
              <w:right w:w="20" w:type="dxa"/>
            </w:tcMar>
            <w:vAlign w:val="bottom"/>
          </w:tcPr>
          <w:p w14:paraId="5F2CFDB8" w14:textId="77777777" w:rsidR="00E836FB" w:rsidRDefault="00E836FB">
            <w:pPr>
              <w:rPr>
                <w:rFonts w:ascii="宋体"/>
              </w:rPr>
            </w:pPr>
          </w:p>
        </w:tc>
        <w:tc>
          <w:tcPr>
            <w:tcW w:w="0" w:type="auto"/>
            <w:gridSpan w:val="27"/>
            <w:shd w:val="clear" w:color="auto" w:fill="auto"/>
            <w:tcMar>
              <w:top w:w="40" w:type="dxa"/>
              <w:left w:w="20" w:type="dxa"/>
              <w:bottom w:w="40" w:type="dxa"/>
              <w:right w:w="20" w:type="dxa"/>
            </w:tcMar>
            <w:vAlign w:val="bottom"/>
          </w:tcPr>
          <w:p w14:paraId="5F2CFDB9" w14:textId="77777777" w:rsidR="00E836FB" w:rsidRDefault="00994958">
            <w:pPr>
              <w:jc w:val="center"/>
              <w:textAlignment w:val="bottom"/>
            </w:pPr>
            <w:r>
              <w:rPr>
                <w:rFonts w:ascii="Arial" w:eastAsia="宋体" w:hAnsi="Arial" w:cs="Arial"/>
                <w:b/>
                <w:bCs/>
                <w:color w:val="000000"/>
                <w:sz w:val="15"/>
                <w:szCs w:val="15"/>
              </w:rPr>
              <w:t>As of December 31, 2020</w:t>
            </w:r>
          </w:p>
        </w:tc>
      </w:tr>
      <w:tr w:rsidR="00E836FB" w14:paraId="5F2CFDD4" w14:textId="77777777">
        <w:tc>
          <w:tcPr>
            <w:tcW w:w="0" w:type="auto"/>
            <w:gridSpan w:val="3"/>
            <w:shd w:val="clear" w:color="auto" w:fill="auto"/>
            <w:tcMar>
              <w:top w:w="40" w:type="dxa"/>
              <w:left w:w="20" w:type="dxa"/>
              <w:bottom w:w="40" w:type="dxa"/>
              <w:right w:w="20" w:type="dxa"/>
            </w:tcMar>
            <w:vAlign w:val="bottom"/>
          </w:tcPr>
          <w:p w14:paraId="5F2CFDBB"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DBC" w14:textId="77777777" w:rsidR="00E836FB" w:rsidRDefault="00994958">
            <w:pPr>
              <w:jc w:val="center"/>
              <w:textAlignment w:val="bottom"/>
            </w:pPr>
            <w:r>
              <w:rPr>
                <w:rFonts w:ascii="Arial" w:eastAsia="宋体" w:hAnsi="Arial" w:cs="Arial"/>
                <w:b/>
                <w:bCs/>
                <w:color w:val="000000"/>
                <w:sz w:val="15"/>
                <w:szCs w:val="15"/>
              </w:rPr>
              <w:t>Quoted Market</w:t>
            </w:r>
          </w:p>
          <w:p w14:paraId="5F2CFDBD" w14:textId="77777777" w:rsidR="00E836FB" w:rsidRDefault="00994958">
            <w:pPr>
              <w:jc w:val="center"/>
              <w:textAlignment w:val="bottom"/>
            </w:pPr>
            <w:r>
              <w:rPr>
                <w:rFonts w:ascii="Arial" w:eastAsia="宋体" w:hAnsi="Arial" w:cs="Arial"/>
                <w:b/>
                <w:bCs/>
                <w:color w:val="000000"/>
                <w:sz w:val="15"/>
                <w:szCs w:val="15"/>
              </w:rPr>
              <w:t>Prices in Active</w:t>
            </w:r>
          </w:p>
          <w:p w14:paraId="5F2CFDBE" w14:textId="77777777" w:rsidR="00E836FB" w:rsidRDefault="00994958">
            <w:pPr>
              <w:jc w:val="center"/>
              <w:textAlignment w:val="bottom"/>
            </w:pPr>
            <w:r>
              <w:rPr>
                <w:rFonts w:ascii="Arial" w:eastAsia="宋体" w:hAnsi="Arial" w:cs="Arial"/>
                <w:b/>
                <w:bCs/>
                <w:color w:val="000000"/>
                <w:sz w:val="15"/>
                <w:szCs w:val="15"/>
              </w:rPr>
              <w:t>Markets</w:t>
            </w:r>
          </w:p>
          <w:p w14:paraId="5F2CFDBF" w14:textId="77777777" w:rsidR="00E836FB" w:rsidRDefault="00994958">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C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DC1" w14:textId="77777777" w:rsidR="00E836FB" w:rsidRDefault="00994958">
            <w:pPr>
              <w:jc w:val="center"/>
              <w:textAlignment w:val="bottom"/>
            </w:pPr>
            <w:r>
              <w:rPr>
                <w:rFonts w:ascii="Arial" w:eastAsia="宋体" w:hAnsi="Arial" w:cs="Arial"/>
                <w:b/>
                <w:bCs/>
                <w:color w:val="000000"/>
                <w:sz w:val="15"/>
                <w:szCs w:val="15"/>
              </w:rPr>
              <w:t>Pricing Methods</w:t>
            </w:r>
          </w:p>
          <w:p w14:paraId="5F2CFDC2" w14:textId="77777777" w:rsidR="00E836FB" w:rsidRDefault="00994958">
            <w:pPr>
              <w:jc w:val="center"/>
              <w:textAlignment w:val="bottom"/>
            </w:pPr>
            <w:r>
              <w:rPr>
                <w:rFonts w:ascii="Arial" w:eastAsia="宋体" w:hAnsi="Arial" w:cs="Arial"/>
                <w:b/>
                <w:bCs/>
                <w:color w:val="000000"/>
                <w:sz w:val="15"/>
                <w:szCs w:val="15"/>
              </w:rPr>
              <w:t>with Significant</w:t>
            </w:r>
          </w:p>
          <w:p w14:paraId="5F2CFDC3" w14:textId="77777777" w:rsidR="00E836FB" w:rsidRDefault="00994958">
            <w:pPr>
              <w:jc w:val="center"/>
              <w:textAlignment w:val="bottom"/>
            </w:pPr>
            <w:r>
              <w:rPr>
                <w:rFonts w:ascii="Arial" w:eastAsia="宋体" w:hAnsi="Arial" w:cs="Arial"/>
                <w:b/>
                <w:bCs/>
                <w:color w:val="000000"/>
                <w:sz w:val="15"/>
                <w:szCs w:val="15"/>
              </w:rPr>
              <w:t>Observable</w:t>
            </w:r>
          </w:p>
          <w:p w14:paraId="5F2CFDC4" w14:textId="77777777" w:rsidR="00E836FB" w:rsidRDefault="00994958">
            <w:pPr>
              <w:jc w:val="center"/>
              <w:textAlignment w:val="bottom"/>
            </w:pPr>
            <w:r>
              <w:rPr>
                <w:rFonts w:ascii="Arial" w:eastAsia="宋体" w:hAnsi="Arial" w:cs="Arial"/>
                <w:b/>
                <w:bCs/>
                <w:color w:val="000000"/>
                <w:sz w:val="15"/>
                <w:szCs w:val="15"/>
              </w:rPr>
              <w:t>Market Inputs</w:t>
            </w:r>
          </w:p>
          <w:p w14:paraId="5F2CFDC5" w14:textId="77777777" w:rsidR="00E836FB" w:rsidRDefault="00994958">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C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DC7" w14:textId="77777777" w:rsidR="00E836FB" w:rsidRDefault="00994958">
            <w:pPr>
              <w:jc w:val="center"/>
              <w:textAlignment w:val="bottom"/>
            </w:pPr>
            <w:r>
              <w:rPr>
                <w:rFonts w:ascii="Arial" w:eastAsia="宋体" w:hAnsi="Arial" w:cs="Arial"/>
                <w:b/>
                <w:bCs/>
                <w:color w:val="000000"/>
                <w:sz w:val="15"/>
                <w:szCs w:val="15"/>
              </w:rPr>
              <w:t>Pricing Methods</w:t>
            </w:r>
          </w:p>
          <w:p w14:paraId="5F2CFDC8" w14:textId="77777777" w:rsidR="00E836FB" w:rsidRDefault="00994958">
            <w:pPr>
              <w:jc w:val="center"/>
              <w:textAlignment w:val="bottom"/>
            </w:pPr>
            <w:r>
              <w:rPr>
                <w:rFonts w:ascii="Arial" w:eastAsia="宋体" w:hAnsi="Arial" w:cs="Arial"/>
                <w:b/>
                <w:bCs/>
                <w:color w:val="000000"/>
                <w:sz w:val="15"/>
                <w:szCs w:val="15"/>
              </w:rPr>
              <w:t>with Significant</w:t>
            </w:r>
          </w:p>
          <w:p w14:paraId="5F2CFDC9" w14:textId="77777777" w:rsidR="00E836FB" w:rsidRDefault="00994958">
            <w:pPr>
              <w:jc w:val="center"/>
              <w:textAlignment w:val="bottom"/>
            </w:pPr>
            <w:r>
              <w:rPr>
                <w:rFonts w:ascii="Arial" w:eastAsia="宋体" w:hAnsi="Arial" w:cs="Arial"/>
                <w:b/>
                <w:bCs/>
                <w:color w:val="000000"/>
                <w:sz w:val="15"/>
                <w:szCs w:val="15"/>
              </w:rPr>
              <w:t>Unobservable</w:t>
            </w:r>
          </w:p>
          <w:p w14:paraId="5F2CFDCA" w14:textId="77777777" w:rsidR="00E836FB" w:rsidRDefault="00994958">
            <w:pPr>
              <w:jc w:val="center"/>
              <w:textAlignment w:val="bottom"/>
            </w:pPr>
            <w:r>
              <w:rPr>
                <w:rFonts w:ascii="Arial" w:eastAsia="宋体" w:hAnsi="Arial" w:cs="Arial"/>
                <w:b/>
                <w:bCs/>
                <w:color w:val="000000"/>
                <w:sz w:val="15"/>
                <w:szCs w:val="15"/>
              </w:rPr>
              <w:t>Market Inputs</w:t>
            </w:r>
          </w:p>
          <w:p w14:paraId="5F2CFDCB" w14:textId="77777777" w:rsidR="00E836FB" w:rsidRDefault="00994958">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C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DCD" w14:textId="77777777" w:rsidR="00E836FB" w:rsidRDefault="00994958">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C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CFDCF" w14:textId="77777777" w:rsidR="00E836FB" w:rsidRDefault="00994958">
            <w:pPr>
              <w:jc w:val="center"/>
              <w:textAlignment w:val="bottom"/>
            </w:pPr>
            <w:r>
              <w:rPr>
                <w:rFonts w:ascii="Arial" w:eastAsia="宋体" w:hAnsi="Arial" w:cs="Arial"/>
                <w:b/>
                <w:bCs/>
                <w:color w:val="000000"/>
                <w:sz w:val="15"/>
                <w:szCs w:val="15"/>
              </w:rPr>
              <w:t>Total Net</w:t>
            </w:r>
          </w:p>
          <w:p w14:paraId="5F2CFDD0" w14:textId="77777777" w:rsidR="00E836FB" w:rsidRDefault="00994958">
            <w:pPr>
              <w:jc w:val="center"/>
              <w:textAlignment w:val="bottom"/>
            </w:pPr>
            <w:r>
              <w:rPr>
                <w:rFonts w:ascii="Arial" w:eastAsia="宋体" w:hAnsi="Arial" w:cs="Arial"/>
                <w:b/>
                <w:bCs/>
                <w:color w:val="000000"/>
                <w:sz w:val="15"/>
                <w:szCs w:val="15"/>
              </w:rPr>
              <w:t>Carrying Value</w:t>
            </w:r>
          </w:p>
          <w:p w14:paraId="5F2CFDD1" w14:textId="77777777" w:rsidR="00E836FB" w:rsidRDefault="00994958">
            <w:pPr>
              <w:jc w:val="center"/>
              <w:textAlignment w:val="bottom"/>
            </w:pPr>
            <w:r>
              <w:rPr>
                <w:rFonts w:ascii="Arial" w:eastAsia="宋体" w:hAnsi="Arial" w:cs="Arial"/>
                <w:b/>
                <w:bCs/>
                <w:color w:val="000000"/>
                <w:sz w:val="15"/>
                <w:szCs w:val="15"/>
              </w:rPr>
              <w:t>in Consolidated</w:t>
            </w:r>
          </w:p>
          <w:p w14:paraId="5F2CFDD2" w14:textId="77777777" w:rsidR="00E836FB" w:rsidRDefault="00994958">
            <w:pPr>
              <w:jc w:val="center"/>
              <w:textAlignment w:val="bottom"/>
            </w:pPr>
            <w:r>
              <w:rPr>
                <w:rFonts w:ascii="Arial" w:eastAsia="宋体" w:hAnsi="Arial" w:cs="Arial"/>
                <w:b/>
                <w:bCs/>
                <w:color w:val="000000"/>
                <w:sz w:val="15"/>
                <w:szCs w:val="15"/>
              </w:rPr>
              <w:t>Statement of</w:t>
            </w:r>
          </w:p>
          <w:p w14:paraId="5F2CFDD3" w14:textId="77777777" w:rsidR="00E836FB" w:rsidRDefault="00994958">
            <w:pPr>
              <w:jc w:val="center"/>
              <w:textAlignment w:val="bottom"/>
            </w:pPr>
            <w:r>
              <w:rPr>
                <w:rFonts w:ascii="Arial" w:eastAsia="宋体" w:hAnsi="Arial" w:cs="Arial"/>
                <w:b/>
                <w:bCs/>
                <w:color w:val="000000"/>
                <w:sz w:val="15"/>
                <w:szCs w:val="15"/>
              </w:rPr>
              <w:t>Condition</w:t>
            </w:r>
          </w:p>
        </w:tc>
      </w:tr>
      <w:tr w:rsidR="00E836FB" w14:paraId="5F2CFDDF" w14:textId="77777777">
        <w:tc>
          <w:tcPr>
            <w:tcW w:w="0" w:type="auto"/>
            <w:gridSpan w:val="3"/>
            <w:shd w:val="clear" w:color="auto" w:fill="auto"/>
            <w:tcMar>
              <w:top w:w="40" w:type="dxa"/>
              <w:left w:w="20" w:type="dxa"/>
              <w:bottom w:w="40" w:type="dxa"/>
              <w:right w:w="20" w:type="dxa"/>
            </w:tcMar>
            <w:vAlign w:val="bottom"/>
          </w:tcPr>
          <w:p w14:paraId="5F2CFDD5" w14:textId="77777777" w:rsidR="00E836FB" w:rsidRDefault="00994958">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D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D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D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D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D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D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D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D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CFDDE" w14:textId="77777777" w:rsidR="00E836FB" w:rsidRDefault="00E836FB">
            <w:pPr>
              <w:rPr>
                <w:rFonts w:ascii="宋体"/>
              </w:rPr>
            </w:pPr>
          </w:p>
        </w:tc>
      </w:tr>
      <w:tr w:rsidR="00E836FB" w14:paraId="5F2CFDEA" w14:textId="77777777">
        <w:tc>
          <w:tcPr>
            <w:tcW w:w="0" w:type="auto"/>
            <w:gridSpan w:val="3"/>
            <w:shd w:val="clear" w:color="auto" w:fill="auto"/>
            <w:tcMar>
              <w:top w:w="40" w:type="dxa"/>
              <w:left w:w="20" w:type="dxa"/>
              <w:bottom w:w="40" w:type="dxa"/>
              <w:right w:w="20" w:type="dxa"/>
            </w:tcMar>
            <w:vAlign w:val="bottom"/>
          </w:tcPr>
          <w:p w14:paraId="5F2CFDE0" w14:textId="77777777" w:rsidR="00E836FB" w:rsidRDefault="00994958">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5F2CFDE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CFDE9" w14:textId="77777777" w:rsidR="00E836FB" w:rsidRDefault="00E836FB">
            <w:pPr>
              <w:rPr>
                <w:rFonts w:ascii="宋体"/>
              </w:rPr>
            </w:pPr>
          </w:p>
        </w:tc>
      </w:tr>
      <w:tr w:rsidR="00E836FB" w14:paraId="5F2CFDFD" w14:textId="77777777">
        <w:tc>
          <w:tcPr>
            <w:tcW w:w="0" w:type="auto"/>
            <w:gridSpan w:val="3"/>
            <w:shd w:val="clear" w:color="auto" w:fill="CCEEFF"/>
            <w:tcMar>
              <w:top w:w="40" w:type="dxa"/>
              <w:left w:w="245" w:type="dxa"/>
              <w:bottom w:w="40" w:type="dxa"/>
              <w:right w:w="20" w:type="dxa"/>
            </w:tcMar>
            <w:vAlign w:val="bottom"/>
          </w:tcPr>
          <w:p w14:paraId="5F2CFDEB" w14:textId="77777777" w:rsidR="00E836FB" w:rsidRDefault="00994958">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5F2CFDEC"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FDED" w14:textId="77777777" w:rsidR="00E836FB" w:rsidRDefault="00994958">
            <w:pPr>
              <w:jc w:val="right"/>
              <w:textAlignment w:val="bottom"/>
            </w:pPr>
            <w:r>
              <w:rPr>
                <w:rFonts w:ascii="Arial" w:eastAsia="宋体" w:hAnsi="Arial" w:cs="Arial"/>
                <w:color w:val="000000"/>
                <w:sz w:val="15"/>
                <w:szCs w:val="15"/>
              </w:rPr>
              <w:t>40 </w:t>
            </w:r>
          </w:p>
        </w:tc>
        <w:tc>
          <w:tcPr>
            <w:tcW w:w="0" w:type="auto"/>
            <w:shd w:val="clear" w:color="auto" w:fill="CCEEFF"/>
            <w:tcMar>
              <w:top w:w="40" w:type="dxa"/>
              <w:left w:w="0" w:type="dxa"/>
              <w:bottom w:w="40" w:type="dxa"/>
              <w:right w:w="20" w:type="dxa"/>
            </w:tcMar>
            <w:vAlign w:val="bottom"/>
          </w:tcPr>
          <w:p w14:paraId="5F2CFD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E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DF0"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FDF1"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D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F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DF4"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FDF5"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D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DF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DF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DF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DFA"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FDFB" w14:textId="77777777" w:rsidR="00E836FB" w:rsidRDefault="00994958">
            <w:pPr>
              <w:jc w:val="right"/>
              <w:textAlignment w:val="bottom"/>
            </w:pPr>
            <w:r>
              <w:rPr>
                <w:rFonts w:ascii="Arial" w:eastAsia="宋体" w:hAnsi="Arial" w:cs="Arial"/>
                <w:color w:val="000000"/>
                <w:sz w:val="15"/>
                <w:szCs w:val="15"/>
              </w:rPr>
              <w:t>40 </w:t>
            </w:r>
          </w:p>
        </w:tc>
        <w:tc>
          <w:tcPr>
            <w:tcW w:w="0" w:type="auto"/>
            <w:shd w:val="clear" w:color="auto" w:fill="CCEEFF"/>
            <w:tcMar>
              <w:top w:w="40" w:type="dxa"/>
              <w:left w:w="0" w:type="dxa"/>
              <w:bottom w:w="40" w:type="dxa"/>
              <w:right w:w="20" w:type="dxa"/>
            </w:tcMar>
            <w:vAlign w:val="bottom"/>
          </w:tcPr>
          <w:p w14:paraId="5F2CFDFC" w14:textId="77777777" w:rsidR="00E836FB" w:rsidRDefault="00E836FB">
            <w:pPr>
              <w:jc w:val="right"/>
              <w:rPr>
                <w:rFonts w:ascii="宋体"/>
              </w:rPr>
            </w:pPr>
          </w:p>
        </w:tc>
      </w:tr>
      <w:tr w:rsidR="00E836FB" w14:paraId="5F2CFE0C" w14:textId="77777777">
        <w:tc>
          <w:tcPr>
            <w:tcW w:w="0" w:type="auto"/>
            <w:gridSpan w:val="3"/>
            <w:shd w:val="clear" w:color="auto" w:fill="FFFFFF"/>
            <w:tcMar>
              <w:top w:w="40" w:type="dxa"/>
              <w:left w:w="245" w:type="dxa"/>
              <w:bottom w:w="40" w:type="dxa"/>
              <w:right w:w="20" w:type="dxa"/>
            </w:tcMar>
            <w:vAlign w:val="bottom"/>
          </w:tcPr>
          <w:p w14:paraId="5F2CFDFE" w14:textId="77777777" w:rsidR="00E836FB" w:rsidRDefault="00994958">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5F2CFDF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02" w14:textId="77777777" w:rsidR="00E836FB" w:rsidRDefault="00994958">
            <w:pPr>
              <w:jc w:val="right"/>
              <w:textAlignment w:val="bottom"/>
            </w:pPr>
            <w:r>
              <w:rPr>
                <w:rFonts w:ascii="Arial" w:eastAsia="宋体" w:hAnsi="Arial" w:cs="Arial"/>
                <w:color w:val="000000"/>
                <w:sz w:val="15"/>
                <w:szCs w:val="15"/>
              </w:rPr>
              <w:t>239 </w:t>
            </w:r>
          </w:p>
        </w:tc>
        <w:tc>
          <w:tcPr>
            <w:tcW w:w="0" w:type="auto"/>
            <w:shd w:val="clear" w:color="auto" w:fill="FFFFFF"/>
            <w:tcMar>
              <w:top w:w="40" w:type="dxa"/>
              <w:left w:w="0" w:type="dxa"/>
              <w:bottom w:w="40" w:type="dxa"/>
              <w:right w:w="20" w:type="dxa"/>
            </w:tcMar>
            <w:vAlign w:val="bottom"/>
          </w:tcPr>
          <w:p w14:paraId="5F2CFE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05"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0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0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0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0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0A" w14:textId="77777777" w:rsidR="00E836FB" w:rsidRDefault="00994958">
            <w:pPr>
              <w:jc w:val="right"/>
              <w:textAlignment w:val="bottom"/>
            </w:pPr>
            <w:r>
              <w:rPr>
                <w:rFonts w:ascii="Arial" w:eastAsia="宋体" w:hAnsi="Arial" w:cs="Arial"/>
                <w:color w:val="000000"/>
                <w:sz w:val="15"/>
                <w:szCs w:val="15"/>
              </w:rPr>
              <w:t>239 </w:t>
            </w:r>
          </w:p>
        </w:tc>
        <w:tc>
          <w:tcPr>
            <w:tcW w:w="0" w:type="auto"/>
            <w:shd w:val="clear" w:color="auto" w:fill="FFFFFF"/>
            <w:tcMar>
              <w:top w:w="40" w:type="dxa"/>
              <w:left w:w="0" w:type="dxa"/>
              <w:bottom w:w="40" w:type="dxa"/>
              <w:right w:w="20" w:type="dxa"/>
            </w:tcMar>
            <w:vAlign w:val="bottom"/>
          </w:tcPr>
          <w:p w14:paraId="5F2CFE0B" w14:textId="77777777" w:rsidR="00E836FB" w:rsidRDefault="00E836FB">
            <w:pPr>
              <w:jc w:val="right"/>
              <w:rPr>
                <w:rFonts w:ascii="宋体"/>
              </w:rPr>
            </w:pPr>
          </w:p>
        </w:tc>
      </w:tr>
      <w:tr w:rsidR="00E836FB" w14:paraId="5F2CFE1B" w14:textId="77777777">
        <w:tc>
          <w:tcPr>
            <w:tcW w:w="0" w:type="auto"/>
            <w:gridSpan w:val="3"/>
            <w:shd w:val="clear" w:color="auto" w:fill="CCEEFF"/>
            <w:tcMar>
              <w:top w:w="40" w:type="dxa"/>
              <w:left w:w="245" w:type="dxa"/>
              <w:bottom w:w="40" w:type="dxa"/>
              <w:right w:w="20" w:type="dxa"/>
            </w:tcMar>
            <w:vAlign w:val="bottom"/>
          </w:tcPr>
          <w:p w14:paraId="5F2CFE0D"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5F2CFE0E" w14:textId="77777777" w:rsidR="00E836FB" w:rsidRDefault="00994958">
            <w:pPr>
              <w:jc w:val="right"/>
              <w:textAlignment w:val="bottom"/>
            </w:pPr>
            <w:r>
              <w:rPr>
                <w:rFonts w:ascii="Arial" w:eastAsia="宋体" w:hAnsi="Arial" w:cs="Arial"/>
                <w:color w:val="000000"/>
                <w:sz w:val="15"/>
                <w:szCs w:val="15"/>
              </w:rPr>
              <w:t>17 </w:t>
            </w:r>
          </w:p>
        </w:tc>
        <w:tc>
          <w:tcPr>
            <w:tcW w:w="0" w:type="auto"/>
            <w:shd w:val="clear" w:color="auto" w:fill="CCEEFF"/>
            <w:tcMar>
              <w:top w:w="40" w:type="dxa"/>
              <w:left w:w="0" w:type="dxa"/>
              <w:bottom w:w="40" w:type="dxa"/>
              <w:right w:w="20" w:type="dxa"/>
            </w:tcMar>
            <w:vAlign w:val="bottom"/>
          </w:tcPr>
          <w:p w14:paraId="5F2CFE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11" w14:textId="77777777" w:rsidR="00E836FB" w:rsidRDefault="00994958">
            <w:pPr>
              <w:jc w:val="right"/>
              <w:textAlignment w:val="bottom"/>
            </w:pPr>
            <w:r>
              <w:rPr>
                <w:rFonts w:ascii="Arial" w:eastAsia="宋体" w:hAnsi="Arial" w:cs="Arial"/>
                <w:color w:val="000000"/>
                <w:sz w:val="15"/>
                <w:szCs w:val="15"/>
              </w:rPr>
              <w:t>519 </w:t>
            </w:r>
          </w:p>
        </w:tc>
        <w:tc>
          <w:tcPr>
            <w:tcW w:w="0" w:type="auto"/>
            <w:shd w:val="clear" w:color="auto" w:fill="CCEEFF"/>
            <w:tcMar>
              <w:top w:w="40" w:type="dxa"/>
              <w:left w:w="0" w:type="dxa"/>
              <w:bottom w:w="40" w:type="dxa"/>
              <w:right w:w="20" w:type="dxa"/>
            </w:tcMar>
            <w:vAlign w:val="bottom"/>
          </w:tcPr>
          <w:p w14:paraId="5F2CFE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14"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E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1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1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1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19" w14:textId="77777777" w:rsidR="00E836FB" w:rsidRDefault="00994958">
            <w:pPr>
              <w:jc w:val="right"/>
              <w:textAlignment w:val="bottom"/>
            </w:pPr>
            <w:r>
              <w:rPr>
                <w:rFonts w:ascii="Arial" w:eastAsia="宋体" w:hAnsi="Arial" w:cs="Arial"/>
                <w:color w:val="000000"/>
                <w:sz w:val="15"/>
                <w:szCs w:val="15"/>
              </w:rPr>
              <w:t>536 </w:t>
            </w:r>
          </w:p>
        </w:tc>
        <w:tc>
          <w:tcPr>
            <w:tcW w:w="0" w:type="auto"/>
            <w:shd w:val="clear" w:color="auto" w:fill="CCEEFF"/>
            <w:tcMar>
              <w:top w:w="40" w:type="dxa"/>
              <w:left w:w="0" w:type="dxa"/>
              <w:bottom w:w="40" w:type="dxa"/>
              <w:right w:w="20" w:type="dxa"/>
            </w:tcMar>
            <w:vAlign w:val="bottom"/>
          </w:tcPr>
          <w:p w14:paraId="5F2CFE1A" w14:textId="77777777" w:rsidR="00E836FB" w:rsidRDefault="00E836FB">
            <w:pPr>
              <w:jc w:val="right"/>
              <w:rPr>
                <w:rFonts w:ascii="宋体"/>
              </w:rPr>
            </w:pPr>
          </w:p>
        </w:tc>
      </w:tr>
      <w:tr w:rsidR="00E836FB" w14:paraId="5F2CFE2A" w14:textId="77777777">
        <w:tc>
          <w:tcPr>
            <w:tcW w:w="0" w:type="auto"/>
            <w:gridSpan w:val="3"/>
            <w:shd w:val="clear" w:color="auto" w:fill="FFFFFF"/>
            <w:tcMar>
              <w:top w:w="40" w:type="dxa"/>
              <w:left w:w="740" w:type="dxa"/>
              <w:bottom w:w="40" w:type="dxa"/>
              <w:right w:w="20" w:type="dxa"/>
            </w:tcMar>
            <w:vAlign w:val="bottom"/>
          </w:tcPr>
          <w:p w14:paraId="5F2CFE1C" w14:textId="77777777" w:rsidR="00E836FB" w:rsidRDefault="00994958">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E1D" w14:textId="77777777" w:rsidR="00E836FB" w:rsidRDefault="00994958">
            <w:pPr>
              <w:jc w:val="right"/>
              <w:textAlignment w:val="bottom"/>
            </w:pPr>
            <w:r>
              <w:rPr>
                <w:rFonts w:ascii="Arial" w:eastAsia="宋体" w:hAnsi="Arial" w:cs="Arial"/>
                <w:color w:val="000000"/>
                <w:sz w:val="15"/>
                <w:szCs w:val="15"/>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E1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1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E20" w14:textId="77777777" w:rsidR="00E836FB" w:rsidRDefault="00994958">
            <w:pPr>
              <w:jc w:val="right"/>
              <w:textAlignment w:val="bottom"/>
            </w:pPr>
            <w:r>
              <w:rPr>
                <w:rFonts w:ascii="Arial" w:eastAsia="宋体" w:hAnsi="Arial" w:cs="Arial"/>
                <w:color w:val="000000"/>
                <w:sz w:val="15"/>
                <w:szCs w:val="15"/>
              </w:rPr>
              <w:t>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E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2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E23"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E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2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2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2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E28" w14:textId="77777777" w:rsidR="00E836FB" w:rsidRDefault="00994958">
            <w:pPr>
              <w:jc w:val="right"/>
              <w:textAlignment w:val="bottom"/>
            </w:pPr>
            <w:r>
              <w:rPr>
                <w:rFonts w:ascii="Arial" w:eastAsia="宋体" w:hAnsi="Arial" w:cs="Arial"/>
                <w:color w:val="000000"/>
                <w:sz w:val="15"/>
                <w:szCs w:val="15"/>
              </w:rPr>
              <w:t>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E29" w14:textId="77777777" w:rsidR="00E836FB" w:rsidRDefault="00E836FB">
            <w:pPr>
              <w:jc w:val="right"/>
              <w:rPr>
                <w:rFonts w:ascii="宋体"/>
              </w:rPr>
            </w:pPr>
          </w:p>
        </w:tc>
      </w:tr>
      <w:tr w:rsidR="00E836FB" w14:paraId="5F2CFE35" w14:textId="77777777">
        <w:tc>
          <w:tcPr>
            <w:tcW w:w="0" w:type="auto"/>
            <w:gridSpan w:val="3"/>
            <w:shd w:val="clear" w:color="auto" w:fill="CCEEFF"/>
            <w:tcMar>
              <w:top w:w="40" w:type="dxa"/>
              <w:left w:w="20" w:type="dxa"/>
              <w:bottom w:w="40" w:type="dxa"/>
              <w:right w:w="20" w:type="dxa"/>
            </w:tcMar>
            <w:vAlign w:val="bottom"/>
          </w:tcPr>
          <w:p w14:paraId="5F2CFE2B" w14:textId="77777777" w:rsidR="00E836FB" w:rsidRDefault="00994958">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E2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2D"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E2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2F"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E3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3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3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33"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CFE34" w14:textId="77777777" w:rsidR="00E836FB" w:rsidRDefault="00E836FB">
            <w:pPr>
              <w:rPr>
                <w:rFonts w:ascii="宋体"/>
              </w:rPr>
            </w:pPr>
          </w:p>
        </w:tc>
      </w:tr>
      <w:tr w:rsidR="00E836FB" w14:paraId="5F2CFE40" w14:textId="77777777">
        <w:tc>
          <w:tcPr>
            <w:tcW w:w="0" w:type="auto"/>
            <w:gridSpan w:val="3"/>
            <w:shd w:val="clear" w:color="auto" w:fill="FFFFFF"/>
            <w:tcMar>
              <w:top w:w="40" w:type="dxa"/>
              <w:left w:w="245" w:type="dxa"/>
              <w:bottom w:w="40" w:type="dxa"/>
              <w:right w:w="20" w:type="dxa"/>
            </w:tcMar>
            <w:vAlign w:val="bottom"/>
          </w:tcPr>
          <w:p w14:paraId="5F2CFE36" w14:textId="77777777" w:rsidR="00E836FB" w:rsidRDefault="00994958">
            <w:pPr>
              <w:textAlignment w:val="bottom"/>
            </w:pPr>
            <w:r>
              <w:rPr>
                <w:rFonts w:ascii="Arial" w:eastAsia="宋体" w:hAnsi="Arial" w:cs="Arial"/>
                <w:color w:val="000000"/>
                <w:sz w:val="15"/>
                <w:szCs w:val="15"/>
              </w:rPr>
              <w:t xml:space="preserve">U.S. Treasury and federal </w:t>
            </w:r>
            <w:r>
              <w:rPr>
                <w:rFonts w:ascii="Arial" w:eastAsia="宋体" w:hAnsi="Arial" w:cs="Arial"/>
                <w:color w:val="000000"/>
                <w:sz w:val="15"/>
                <w:szCs w:val="15"/>
              </w:rPr>
              <w:t>agencies:</w:t>
            </w:r>
          </w:p>
        </w:tc>
        <w:tc>
          <w:tcPr>
            <w:tcW w:w="0" w:type="auto"/>
            <w:gridSpan w:val="3"/>
            <w:shd w:val="clear" w:color="auto" w:fill="FFFFFF"/>
            <w:tcMar>
              <w:top w:w="0" w:type="dxa"/>
              <w:left w:w="20" w:type="dxa"/>
              <w:bottom w:w="0" w:type="dxa"/>
              <w:right w:w="20" w:type="dxa"/>
            </w:tcMar>
            <w:vAlign w:val="bottom"/>
          </w:tcPr>
          <w:p w14:paraId="5F2CFE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3F" w14:textId="77777777" w:rsidR="00E836FB" w:rsidRDefault="00E836FB">
            <w:pPr>
              <w:rPr>
                <w:rFonts w:ascii="宋体"/>
              </w:rPr>
            </w:pPr>
          </w:p>
        </w:tc>
      </w:tr>
      <w:tr w:rsidR="00E836FB" w14:paraId="5F2CFE4F" w14:textId="77777777">
        <w:tc>
          <w:tcPr>
            <w:tcW w:w="0" w:type="auto"/>
            <w:gridSpan w:val="3"/>
            <w:shd w:val="clear" w:color="auto" w:fill="CCEEFF"/>
            <w:tcMar>
              <w:top w:w="40" w:type="dxa"/>
              <w:left w:w="515" w:type="dxa"/>
              <w:bottom w:w="40" w:type="dxa"/>
              <w:right w:w="20" w:type="dxa"/>
            </w:tcMar>
            <w:vAlign w:val="bottom"/>
          </w:tcPr>
          <w:p w14:paraId="5F2CFE41" w14:textId="77777777" w:rsidR="00E836FB" w:rsidRDefault="00994958">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5F2CFE42" w14:textId="77777777" w:rsidR="00E836FB" w:rsidRDefault="00994958">
            <w:pPr>
              <w:jc w:val="right"/>
              <w:textAlignment w:val="bottom"/>
            </w:pPr>
            <w:r>
              <w:rPr>
                <w:rFonts w:ascii="Arial" w:eastAsia="宋体" w:hAnsi="Arial" w:cs="Arial"/>
                <w:color w:val="000000"/>
                <w:sz w:val="15"/>
                <w:szCs w:val="15"/>
              </w:rPr>
              <w:t>6,575 </w:t>
            </w:r>
          </w:p>
        </w:tc>
        <w:tc>
          <w:tcPr>
            <w:tcW w:w="0" w:type="auto"/>
            <w:shd w:val="clear" w:color="auto" w:fill="CCEEFF"/>
            <w:tcMar>
              <w:top w:w="40" w:type="dxa"/>
              <w:left w:w="0" w:type="dxa"/>
              <w:bottom w:w="40" w:type="dxa"/>
              <w:right w:w="20" w:type="dxa"/>
            </w:tcMar>
            <w:vAlign w:val="bottom"/>
          </w:tcPr>
          <w:p w14:paraId="5F2CFE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4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45"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E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4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48"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E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4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4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4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4D" w14:textId="77777777" w:rsidR="00E836FB" w:rsidRDefault="00994958">
            <w:pPr>
              <w:jc w:val="right"/>
              <w:textAlignment w:val="bottom"/>
            </w:pPr>
            <w:r>
              <w:rPr>
                <w:rFonts w:ascii="Arial" w:eastAsia="宋体" w:hAnsi="Arial" w:cs="Arial"/>
                <w:color w:val="000000"/>
                <w:sz w:val="15"/>
                <w:szCs w:val="15"/>
              </w:rPr>
              <w:t>6,575 </w:t>
            </w:r>
          </w:p>
        </w:tc>
        <w:tc>
          <w:tcPr>
            <w:tcW w:w="0" w:type="auto"/>
            <w:shd w:val="clear" w:color="auto" w:fill="CCEEFF"/>
            <w:tcMar>
              <w:top w:w="40" w:type="dxa"/>
              <w:left w:w="0" w:type="dxa"/>
              <w:bottom w:w="40" w:type="dxa"/>
              <w:right w:w="20" w:type="dxa"/>
            </w:tcMar>
            <w:vAlign w:val="bottom"/>
          </w:tcPr>
          <w:p w14:paraId="5F2CFE4E" w14:textId="77777777" w:rsidR="00E836FB" w:rsidRDefault="00E836FB">
            <w:pPr>
              <w:jc w:val="right"/>
              <w:rPr>
                <w:rFonts w:ascii="宋体"/>
              </w:rPr>
            </w:pPr>
          </w:p>
        </w:tc>
      </w:tr>
      <w:tr w:rsidR="00E836FB" w14:paraId="5F2CFE5E" w14:textId="77777777">
        <w:tc>
          <w:tcPr>
            <w:tcW w:w="0" w:type="auto"/>
            <w:gridSpan w:val="3"/>
            <w:shd w:val="clear" w:color="auto" w:fill="FFFFFF"/>
            <w:tcMar>
              <w:top w:w="40" w:type="dxa"/>
              <w:left w:w="515" w:type="dxa"/>
              <w:bottom w:w="40" w:type="dxa"/>
              <w:right w:w="20" w:type="dxa"/>
            </w:tcMar>
            <w:vAlign w:val="bottom"/>
          </w:tcPr>
          <w:p w14:paraId="5F2CFE50"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F2CFE51"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5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54" w14:textId="77777777" w:rsidR="00E836FB" w:rsidRDefault="00994958">
            <w:pPr>
              <w:jc w:val="right"/>
              <w:textAlignment w:val="bottom"/>
            </w:pPr>
            <w:r>
              <w:rPr>
                <w:rFonts w:ascii="Arial" w:eastAsia="宋体" w:hAnsi="Arial" w:cs="Arial"/>
                <w:color w:val="000000"/>
                <w:sz w:val="15"/>
                <w:szCs w:val="15"/>
              </w:rPr>
              <w:t>14,305 </w:t>
            </w:r>
          </w:p>
        </w:tc>
        <w:tc>
          <w:tcPr>
            <w:tcW w:w="0" w:type="auto"/>
            <w:shd w:val="clear" w:color="auto" w:fill="FFFFFF"/>
            <w:tcMar>
              <w:top w:w="40" w:type="dxa"/>
              <w:left w:w="0" w:type="dxa"/>
              <w:bottom w:w="40" w:type="dxa"/>
              <w:right w:w="20" w:type="dxa"/>
            </w:tcMar>
            <w:vAlign w:val="bottom"/>
          </w:tcPr>
          <w:p w14:paraId="5F2CFE5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5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57"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5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5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5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5C" w14:textId="77777777" w:rsidR="00E836FB" w:rsidRDefault="00994958">
            <w:pPr>
              <w:jc w:val="right"/>
              <w:textAlignment w:val="bottom"/>
            </w:pPr>
            <w:r>
              <w:rPr>
                <w:rFonts w:ascii="Arial" w:eastAsia="宋体" w:hAnsi="Arial" w:cs="Arial"/>
                <w:color w:val="000000"/>
                <w:sz w:val="15"/>
                <w:szCs w:val="15"/>
              </w:rPr>
              <w:t>14,305 </w:t>
            </w:r>
          </w:p>
        </w:tc>
        <w:tc>
          <w:tcPr>
            <w:tcW w:w="0" w:type="auto"/>
            <w:shd w:val="clear" w:color="auto" w:fill="FFFFFF"/>
            <w:tcMar>
              <w:top w:w="40" w:type="dxa"/>
              <w:left w:w="0" w:type="dxa"/>
              <w:bottom w:w="40" w:type="dxa"/>
              <w:right w:w="20" w:type="dxa"/>
            </w:tcMar>
            <w:vAlign w:val="bottom"/>
          </w:tcPr>
          <w:p w14:paraId="5F2CFE5D" w14:textId="77777777" w:rsidR="00E836FB" w:rsidRDefault="00E836FB">
            <w:pPr>
              <w:jc w:val="right"/>
              <w:rPr>
                <w:rFonts w:ascii="宋体"/>
              </w:rPr>
            </w:pPr>
          </w:p>
        </w:tc>
      </w:tr>
      <w:tr w:rsidR="00E836FB" w14:paraId="5F2CFE6D" w14:textId="77777777">
        <w:tc>
          <w:tcPr>
            <w:tcW w:w="0" w:type="auto"/>
            <w:gridSpan w:val="3"/>
            <w:shd w:val="clear" w:color="auto" w:fill="CCEEFF"/>
            <w:tcMar>
              <w:top w:w="40" w:type="dxa"/>
              <w:left w:w="740" w:type="dxa"/>
              <w:bottom w:w="40" w:type="dxa"/>
              <w:right w:w="20" w:type="dxa"/>
            </w:tcMar>
            <w:vAlign w:val="bottom"/>
          </w:tcPr>
          <w:p w14:paraId="5F2CFE5F"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E60" w14:textId="77777777" w:rsidR="00E836FB" w:rsidRDefault="00994958">
            <w:pPr>
              <w:jc w:val="right"/>
              <w:textAlignment w:val="bottom"/>
            </w:pPr>
            <w:r>
              <w:rPr>
                <w:rFonts w:ascii="Arial" w:eastAsia="宋体" w:hAnsi="Arial" w:cs="Arial"/>
                <w:color w:val="000000"/>
                <w:sz w:val="15"/>
                <w:szCs w:val="15"/>
              </w:rPr>
              <w:t>6,575 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E6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6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E63" w14:textId="77777777" w:rsidR="00E836FB" w:rsidRDefault="00994958">
            <w:pPr>
              <w:jc w:val="right"/>
              <w:textAlignment w:val="bottom"/>
            </w:pPr>
            <w:r>
              <w:rPr>
                <w:rFonts w:ascii="Arial" w:eastAsia="宋体" w:hAnsi="Arial" w:cs="Arial"/>
                <w:color w:val="000000"/>
                <w:sz w:val="15"/>
                <w:szCs w:val="15"/>
              </w:rPr>
              <w:t>14,305 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E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6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E66"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E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6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6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6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E6B" w14:textId="77777777" w:rsidR="00E836FB" w:rsidRDefault="00994958">
            <w:pPr>
              <w:jc w:val="right"/>
              <w:textAlignment w:val="bottom"/>
            </w:pPr>
            <w:r>
              <w:rPr>
                <w:rFonts w:ascii="Arial" w:eastAsia="宋体" w:hAnsi="Arial" w:cs="Arial"/>
                <w:color w:val="000000"/>
                <w:sz w:val="15"/>
                <w:szCs w:val="15"/>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E6C" w14:textId="77777777" w:rsidR="00E836FB" w:rsidRDefault="00E836FB">
            <w:pPr>
              <w:jc w:val="right"/>
              <w:rPr>
                <w:rFonts w:ascii="宋体"/>
              </w:rPr>
            </w:pPr>
          </w:p>
        </w:tc>
      </w:tr>
      <w:tr w:rsidR="00E836FB" w14:paraId="5F2CFE78" w14:textId="77777777">
        <w:trPr>
          <w:hidden/>
        </w:trPr>
        <w:tc>
          <w:tcPr>
            <w:tcW w:w="0" w:type="auto"/>
            <w:gridSpan w:val="3"/>
            <w:shd w:val="clear" w:color="auto" w:fill="auto"/>
            <w:vAlign w:val="bottom"/>
          </w:tcPr>
          <w:p w14:paraId="5F2CFE6E" w14:textId="77777777" w:rsidR="00E836FB" w:rsidRDefault="00E836FB">
            <w:pPr>
              <w:rPr>
                <w:rFonts w:ascii="宋体"/>
                <w:vanish/>
              </w:rPr>
            </w:pPr>
          </w:p>
        </w:tc>
        <w:tc>
          <w:tcPr>
            <w:tcW w:w="0" w:type="auto"/>
            <w:gridSpan w:val="3"/>
            <w:shd w:val="clear" w:color="auto" w:fill="auto"/>
            <w:vAlign w:val="bottom"/>
          </w:tcPr>
          <w:p w14:paraId="5F2CFE6F" w14:textId="77777777" w:rsidR="00E836FB" w:rsidRDefault="00E836FB">
            <w:pPr>
              <w:rPr>
                <w:rFonts w:ascii="宋体"/>
                <w:vanish/>
              </w:rPr>
            </w:pPr>
          </w:p>
        </w:tc>
        <w:tc>
          <w:tcPr>
            <w:tcW w:w="0" w:type="auto"/>
            <w:gridSpan w:val="3"/>
            <w:shd w:val="clear" w:color="auto" w:fill="auto"/>
            <w:vAlign w:val="bottom"/>
          </w:tcPr>
          <w:p w14:paraId="5F2CFE70" w14:textId="77777777" w:rsidR="00E836FB" w:rsidRDefault="00E836FB">
            <w:pPr>
              <w:rPr>
                <w:rFonts w:ascii="宋体"/>
                <w:vanish/>
              </w:rPr>
            </w:pPr>
          </w:p>
        </w:tc>
        <w:tc>
          <w:tcPr>
            <w:tcW w:w="0" w:type="auto"/>
            <w:gridSpan w:val="3"/>
            <w:shd w:val="clear" w:color="auto" w:fill="auto"/>
            <w:vAlign w:val="bottom"/>
          </w:tcPr>
          <w:p w14:paraId="5F2CFE71" w14:textId="77777777" w:rsidR="00E836FB" w:rsidRDefault="00E836FB">
            <w:pPr>
              <w:rPr>
                <w:rFonts w:ascii="宋体"/>
                <w:vanish/>
              </w:rPr>
            </w:pPr>
          </w:p>
        </w:tc>
        <w:tc>
          <w:tcPr>
            <w:tcW w:w="0" w:type="auto"/>
            <w:gridSpan w:val="3"/>
            <w:shd w:val="clear" w:color="auto" w:fill="auto"/>
            <w:vAlign w:val="bottom"/>
          </w:tcPr>
          <w:p w14:paraId="5F2CFE72" w14:textId="77777777" w:rsidR="00E836FB" w:rsidRDefault="00E836FB">
            <w:pPr>
              <w:rPr>
                <w:rFonts w:ascii="宋体"/>
                <w:vanish/>
              </w:rPr>
            </w:pPr>
          </w:p>
        </w:tc>
        <w:tc>
          <w:tcPr>
            <w:tcW w:w="0" w:type="auto"/>
            <w:gridSpan w:val="3"/>
            <w:shd w:val="clear" w:color="auto" w:fill="auto"/>
            <w:vAlign w:val="bottom"/>
          </w:tcPr>
          <w:p w14:paraId="5F2CFE73" w14:textId="77777777" w:rsidR="00E836FB" w:rsidRDefault="00E836FB">
            <w:pPr>
              <w:rPr>
                <w:rFonts w:ascii="宋体"/>
                <w:vanish/>
              </w:rPr>
            </w:pPr>
          </w:p>
        </w:tc>
        <w:tc>
          <w:tcPr>
            <w:tcW w:w="0" w:type="auto"/>
            <w:gridSpan w:val="3"/>
            <w:shd w:val="clear" w:color="auto" w:fill="auto"/>
            <w:vAlign w:val="bottom"/>
          </w:tcPr>
          <w:p w14:paraId="5F2CFE74" w14:textId="77777777" w:rsidR="00E836FB" w:rsidRDefault="00E836FB">
            <w:pPr>
              <w:rPr>
                <w:rFonts w:ascii="宋体"/>
                <w:vanish/>
              </w:rPr>
            </w:pPr>
          </w:p>
        </w:tc>
        <w:tc>
          <w:tcPr>
            <w:tcW w:w="0" w:type="auto"/>
            <w:gridSpan w:val="3"/>
            <w:shd w:val="clear" w:color="auto" w:fill="auto"/>
            <w:vAlign w:val="bottom"/>
          </w:tcPr>
          <w:p w14:paraId="5F2CFE75" w14:textId="77777777" w:rsidR="00E836FB" w:rsidRDefault="00E836FB">
            <w:pPr>
              <w:rPr>
                <w:rFonts w:ascii="宋体"/>
                <w:vanish/>
              </w:rPr>
            </w:pPr>
          </w:p>
        </w:tc>
        <w:tc>
          <w:tcPr>
            <w:tcW w:w="0" w:type="auto"/>
            <w:gridSpan w:val="3"/>
            <w:shd w:val="clear" w:color="auto" w:fill="auto"/>
            <w:vAlign w:val="bottom"/>
          </w:tcPr>
          <w:p w14:paraId="5F2CFE76" w14:textId="77777777" w:rsidR="00E836FB" w:rsidRDefault="00E836FB">
            <w:pPr>
              <w:rPr>
                <w:rFonts w:ascii="宋体"/>
                <w:vanish/>
              </w:rPr>
            </w:pPr>
          </w:p>
        </w:tc>
        <w:tc>
          <w:tcPr>
            <w:tcW w:w="0" w:type="auto"/>
            <w:gridSpan w:val="3"/>
            <w:shd w:val="clear" w:color="auto" w:fill="auto"/>
            <w:vAlign w:val="bottom"/>
          </w:tcPr>
          <w:p w14:paraId="5F2CFE77" w14:textId="77777777" w:rsidR="00E836FB" w:rsidRDefault="00E836FB">
            <w:pPr>
              <w:rPr>
                <w:rFonts w:ascii="宋体"/>
                <w:vanish/>
              </w:rPr>
            </w:pPr>
          </w:p>
        </w:tc>
      </w:tr>
      <w:tr w:rsidR="00E836FB" w14:paraId="5F2CFE83" w14:textId="77777777">
        <w:trPr>
          <w:hidden/>
        </w:trPr>
        <w:tc>
          <w:tcPr>
            <w:tcW w:w="0" w:type="auto"/>
            <w:gridSpan w:val="3"/>
            <w:shd w:val="clear" w:color="auto" w:fill="auto"/>
            <w:vAlign w:val="bottom"/>
          </w:tcPr>
          <w:p w14:paraId="5F2CFE79" w14:textId="77777777" w:rsidR="00E836FB" w:rsidRDefault="00E836FB">
            <w:pPr>
              <w:rPr>
                <w:rFonts w:ascii="宋体"/>
                <w:vanish/>
              </w:rPr>
            </w:pPr>
          </w:p>
        </w:tc>
        <w:tc>
          <w:tcPr>
            <w:tcW w:w="0" w:type="auto"/>
            <w:gridSpan w:val="3"/>
            <w:shd w:val="clear" w:color="auto" w:fill="auto"/>
            <w:vAlign w:val="bottom"/>
          </w:tcPr>
          <w:p w14:paraId="5F2CFE7A" w14:textId="77777777" w:rsidR="00E836FB" w:rsidRDefault="00E836FB">
            <w:pPr>
              <w:rPr>
                <w:rFonts w:ascii="宋体"/>
                <w:vanish/>
              </w:rPr>
            </w:pPr>
          </w:p>
        </w:tc>
        <w:tc>
          <w:tcPr>
            <w:tcW w:w="0" w:type="auto"/>
            <w:gridSpan w:val="3"/>
            <w:shd w:val="clear" w:color="auto" w:fill="auto"/>
            <w:vAlign w:val="bottom"/>
          </w:tcPr>
          <w:p w14:paraId="5F2CFE7B" w14:textId="77777777" w:rsidR="00E836FB" w:rsidRDefault="00E836FB">
            <w:pPr>
              <w:rPr>
                <w:rFonts w:ascii="宋体"/>
                <w:vanish/>
              </w:rPr>
            </w:pPr>
          </w:p>
        </w:tc>
        <w:tc>
          <w:tcPr>
            <w:tcW w:w="0" w:type="auto"/>
            <w:gridSpan w:val="3"/>
            <w:shd w:val="clear" w:color="auto" w:fill="auto"/>
            <w:vAlign w:val="bottom"/>
          </w:tcPr>
          <w:p w14:paraId="5F2CFE7C" w14:textId="77777777" w:rsidR="00E836FB" w:rsidRDefault="00E836FB">
            <w:pPr>
              <w:rPr>
                <w:rFonts w:ascii="宋体"/>
                <w:vanish/>
              </w:rPr>
            </w:pPr>
          </w:p>
        </w:tc>
        <w:tc>
          <w:tcPr>
            <w:tcW w:w="0" w:type="auto"/>
            <w:gridSpan w:val="3"/>
            <w:shd w:val="clear" w:color="auto" w:fill="auto"/>
            <w:vAlign w:val="bottom"/>
          </w:tcPr>
          <w:p w14:paraId="5F2CFE7D" w14:textId="77777777" w:rsidR="00E836FB" w:rsidRDefault="00E836FB">
            <w:pPr>
              <w:rPr>
                <w:rFonts w:ascii="宋体"/>
                <w:vanish/>
              </w:rPr>
            </w:pPr>
          </w:p>
        </w:tc>
        <w:tc>
          <w:tcPr>
            <w:tcW w:w="0" w:type="auto"/>
            <w:gridSpan w:val="3"/>
            <w:shd w:val="clear" w:color="auto" w:fill="auto"/>
            <w:vAlign w:val="bottom"/>
          </w:tcPr>
          <w:p w14:paraId="5F2CFE7E" w14:textId="77777777" w:rsidR="00E836FB" w:rsidRDefault="00E836FB">
            <w:pPr>
              <w:rPr>
                <w:rFonts w:ascii="宋体"/>
                <w:vanish/>
              </w:rPr>
            </w:pPr>
          </w:p>
        </w:tc>
        <w:tc>
          <w:tcPr>
            <w:tcW w:w="0" w:type="auto"/>
            <w:gridSpan w:val="3"/>
            <w:shd w:val="clear" w:color="auto" w:fill="auto"/>
            <w:vAlign w:val="bottom"/>
          </w:tcPr>
          <w:p w14:paraId="5F2CFE7F" w14:textId="77777777" w:rsidR="00E836FB" w:rsidRDefault="00E836FB">
            <w:pPr>
              <w:rPr>
                <w:rFonts w:ascii="宋体"/>
                <w:vanish/>
              </w:rPr>
            </w:pPr>
          </w:p>
        </w:tc>
        <w:tc>
          <w:tcPr>
            <w:tcW w:w="0" w:type="auto"/>
            <w:gridSpan w:val="3"/>
            <w:shd w:val="clear" w:color="auto" w:fill="auto"/>
            <w:vAlign w:val="bottom"/>
          </w:tcPr>
          <w:p w14:paraId="5F2CFE80" w14:textId="77777777" w:rsidR="00E836FB" w:rsidRDefault="00E836FB">
            <w:pPr>
              <w:rPr>
                <w:rFonts w:ascii="宋体"/>
                <w:vanish/>
              </w:rPr>
            </w:pPr>
          </w:p>
        </w:tc>
        <w:tc>
          <w:tcPr>
            <w:tcW w:w="0" w:type="auto"/>
            <w:gridSpan w:val="3"/>
            <w:shd w:val="clear" w:color="auto" w:fill="auto"/>
            <w:vAlign w:val="bottom"/>
          </w:tcPr>
          <w:p w14:paraId="5F2CFE81" w14:textId="77777777" w:rsidR="00E836FB" w:rsidRDefault="00E836FB">
            <w:pPr>
              <w:rPr>
                <w:rFonts w:ascii="宋体"/>
                <w:vanish/>
              </w:rPr>
            </w:pPr>
          </w:p>
        </w:tc>
        <w:tc>
          <w:tcPr>
            <w:tcW w:w="0" w:type="auto"/>
            <w:gridSpan w:val="3"/>
            <w:shd w:val="clear" w:color="auto" w:fill="auto"/>
            <w:vAlign w:val="bottom"/>
          </w:tcPr>
          <w:p w14:paraId="5F2CFE82" w14:textId="77777777" w:rsidR="00E836FB" w:rsidRDefault="00E836FB">
            <w:pPr>
              <w:rPr>
                <w:rFonts w:ascii="宋体"/>
                <w:vanish/>
              </w:rPr>
            </w:pPr>
          </w:p>
        </w:tc>
      </w:tr>
      <w:tr w:rsidR="00E836FB" w14:paraId="5F2CFE8E" w14:textId="77777777">
        <w:trPr>
          <w:hidden/>
        </w:trPr>
        <w:tc>
          <w:tcPr>
            <w:tcW w:w="0" w:type="auto"/>
            <w:gridSpan w:val="3"/>
            <w:shd w:val="clear" w:color="auto" w:fill="auto"/>
            <w:vAlign w:val="bottom"/>
          </w:tcPr>
          <w:p w14:paraId="5F2CFE84" w14:textId="77777777" w:rsidR="00E836FB" w:rsidRDefault="00E836FB">
            <w:pPr>
              <w:rPr>
                <w:rFonts w:ascii="宋体"/>
                <w:vanish/>
              </w:rPr>
            </w:pPr>
          </w:p>
        </w:tc>
        <w:tc>
          <w:tcPr>
            <w:tcW w:w="0" w:type="auto"/>
            <w:gridSpan w:val="3"/>
            <w:shd w:val="clear" w:color="auto" w:fill="auto"/>
            <w:vAlign w:val="bottom"/>
          </w:tcPr>
          <w:p w14:paraId="5F2CFE85" w14:textId="77777777" w:rsidR="00E836FB" w:rsidRDefault="00E836FB">
            <w:pPr>
              <w:rPr>
                <w:rFonts w:ascii="宋体"/>
                <w:vanish/>
              </w:rPr>
            </w:pPr>
          </w:p>
        </w:tc>
        <w:tc>
          <w:tcPr>
            <w:tcW w:w="0" w:type="auto"/>
            <w:gridSpan w:val="3"/>
            <w:shd w:val="clear" w:color="auto" w:fill="auto"/>
            <w:vAlign w:val="bottom"/>
          </w:tcPr>
          <w:p w14:paraId="5F2CFE86" w14:textId="77777777" w:rsidR="00E836FB" w:rsidRDefault="00E836FB">
            <w:pPr>
              <w:rPr>
                <w:rFonts w:ascii="宋体"/>
                <w:vanish/>
              </w:rPr>
            </w:pPr>
          </w:p>
        </w:tc>
        <w:tc>
          <w:tcPr>
            <w:tcW w:w="0" w:type="auto"/>
            <w:gridSpan w:val="3"/>
            <w:shd w:val="clear" w:color="auto" w:fill="auto"/>
            <w:vAlign w:val="bottom"/>
          </w:tcPr>
          <w:p w14:paraId="5F2CFE87" w14:textId="77777777" w:rsidR="00E836FB" w:rsidRDefault="00E836FB">
            <w:pPr>
              <w:rPr>
                <w:rFonts w:ascii="宋体"/>
                <w:vanish/>
              </w:rPr>
            </w:pPr>
          </w:p>
        </w:tc>
        <w:tc>
          <w:tcPr>
            <w:tcW w:w="0" w:type="auto"/>
            <w:gridSpan w:val="3"/>
            <w:shd w:val="clear" w:color="auto" w:fill="auto"/>
            <w:vAlign w:val="bottom"/>
          </w:tcPr>
          <w:p w14:paraId="5F2CFE88" w14:textId="77777777" w:rsidR="00E836FB" w:rsidRDefault="00E836FB">
            <w:pPr>
              <w:rPr>
                <w:rFonts w:ascii="宋体"/>
                <w:vanish/>
              </w:rPr>
            </w:pPr>
          </w:p>
        </w:tc>
        <w:tc>
          <w:tcPr>
            <w:tcW w:w="0" w:type="auto"/>
            <w:gridSpan w:val="3"/>
            <w:shd w:val="clear" w:color="auto" w:fill="auto"/>
            <w:vAlign w:val="bottom"/>
          </w:tcPr>
          <w:p w14:paraId="5F2CFE89" w14:textId="77777777" w:rsidR="00E836FB" w:rsidRDefault="00E836FB">
            <w:pPr>
              <w:rPr>
                <w:rFonts w:ascii="宋体"/>
                <w:vanish/>
              </w:rPr>
            </w:pPr>
          </w:p>
        </w:tc>
        <w:tc>
          <w:tcPr>
            <w:tcW w:w="0" w:type="auto"/>
            <w:gridSpan w:val="3"/>
            <w:shd w:val="clear" w:color="auto" w:fill="auto"/>
            <w:vAlign w:val="bottom"/>
          </w:tcPr>
          <w:p w14:paraId="5F2CFE8A" w14:textId="77777777" w:rsidR="00E836FB" w:rsidRDefault="00E836FB">
            <w:pPr>
              <w:rPr>
                <w:rFonts w:ascii="宋体"/>
                <w:vanish/>
              </w:rPr>
            </w:pPr>
          </w:p>
        </w:tc>
        <w:tc>
          <w:tcPr>
            <w:tcW w:w="0" w:type="auto"/>
            <w:gridSpan w:val="3"/>
            <w:shd w:val="clear" w:color="auto" w:fill="auto"/>
            <w:vAlign w:val="bottom"/>
          </w:tcPr>
          <w:p w14:paraId="5F2CFE8B" w14:textId="77777777" w:rsidR="00E836FB" w:rsidRDefault="00E836FB">
            <w:pPr>
              <w:rPr>
                <w:rFonts w:ascii="宋体"/>
                <w:vanish/>
              </w:rPr>
            </w:pPr>
          </w:p>
        </w:tc>
        <w:tc>
          <w:tcPr>
            <w:tcW w:w="0" w:type="auto"/>
            <w:gridSpan w:val="3"/>
            <w:shd w:val="clear" w:color="auto" w:fill="auto"/>
            <w:vAlign w:val="bottom"/>
          </w:tcPr>
          <w:p w14:paraId="5F2CFE8C" w14:textId="77777777" w:rsidR="00E836FB" w:rsidRDefault="00E836FB">
            <w:pPr>
              <w:rPr>
                <w:rFonts w:ascii="宋体"/>
                <w:vanish/>
              </w:rPr>
            </w:pPr>
          </w:p>
        </w:tc>
        <w:tc>
          <w:tcPr>
            <w:tcW w:w="0" w:type="auto"/>
            <w:gridSpan w:val="3"/>
            <w:shd w:val="clear" w:color="auto" w:fill="auto"/>
            <w:vAlign w:val="bottom"/>
          </w:tcPr>
          <w:p w14:paraId="5F2CFE8D" w14:textId="77777777" w:rsidR="00E836FB" w:rsidRDefault="00E836FB">
            <w:pPr>
              <w:rPr>
                <w:rFonts w:ascii="宋体"/>
                <w:vanish/>
              </w:rPr>
            </w:pPr>
          </w:p>
        </w:tc>
      </w:tr>
      <w:tr w:rsidR="00E836FB" w14:paraId="5F2CFE99" w14:textId="77777777">
        <w:trPr>
          <w:hidden/>
        </w:trPr>
        <w:tc>
          <w:tcPr>
            <w:tcW w:w="0" w:type="auto"/>
            <w:gridSpan w:val="3"/>
            <w:shd w:val="clear" w:color="auto" w:fill="auto"/>
            <w:vAlign w:val="bottom"/>
          </w:tcPr>
          <w:p w14:paraId="5F2CFE8F" w14:textId="77777777" w:rsidR="00E836FB" w:rsidRDefault="00E836FB">
            <w:pPr>
              <w:rPr>
                <w:rFonts w:ascii="宋体"/>
                <w:vanish/>
              </w:rPr>
            </w:pPr>
          </w:p>
        </w:tc>
        <w:tc>
          <w:tcPr>
            <w:tcW w:w="0" w:type="auto"/>
            <w:gridSpan w:val="3"/>
            <w:shd w:val="clear" w:color="auto" w:fill="auto"/>
            <w:vAlign w:val="bottom"/>
          </w:tcPr>
          <w:p w14:paraId="5F2CFE90" w14:textId="77777777" w:rsidR="00E836FB" w:rsidRDefault="00E836FB">
            <w:pPr>
              <w:rPr>
                <w:rFonts w:ascii="宋体"/>
                <w:vanish/>
              </w:rPr>
            </w:pPr>
          </w:p>
        </w:tc>
        <w:tc>
          <w:tcPr>
            <w:tcW w:w="0" w:type="auto"/>
            <w:gridSpan w:val="3"/>
            <w:shd w:val="clear" w:color="auto" w:fill="auto"/>
            <w:vAlign w:val="bottom"/>
          </w:tcPr>
          <w:p w14:paraId="5F2CFE91" w14:textId="77777777" w:rsidR="00E836FB" w:rsidRDefault="00E836FB">
            <w:pPr>
              <w:rPr>
                <w:rFonts w:ascii="宋体"/>
                <w:vanish/>
              </w:rPr>
            </w:pPr>
          </w:p>
        </w:tc>
        <w:tc>
          <w:tcPr>
            <w:tcW w:w="0" w:type="auto"/>
            <w:gridSpan w:val="3"/>
            <w:shd w:val="clear" w:color="auto" w:fill="auto"/>
            <w:vAlign w:val="bottom"/>
          </w:tcPr>
          <w:p w14:paraId="5F2CFE92" w14:textId="77777777" w:rsidR="00E836FB" w:rsidRDefault="00E836FB">
            <w:pPr>
              <w:rPr>
                <w:rFonts w:ascii="宋体"/>
                <w:vanish/>
              </w:rPr>
            </w:pPr>
          </w:p>
        </w:tc>
        <w:tc>
          <w:tcPr>
            <w:tcW w:w="0" w:type="auto"/>
            <w:gridSpan w:val="3"/>
            <w:shd w:val="clear" w:color="auto" w:fill="auto"/>
            <w:vAlign w:val="bottom"/>
          </w:tcPr>
          <w:p w14:paraId="5F2CFE93" w14:textId="77777777" w:rsidR="00E836FB" w:rsidRDefault="00E836FB">
            <w:pPr>
              <w:rPr>
                <w:rFonts w:ascii="宋体"/>
                <w:vanish/>
              </w:rPr>
            </w:pPr>
          </w:p>
        </w:tc>
        <w:tc>
          <w:tcPr>
            <w:tcW w:w="0" w:type="auto"/>
            <w:gridSpan w:val="3"/>
            <w:shd w:val="clear" w:color="auto" w:fill="auto"/>
            <w:vAlign w:val="bottom"/>
          </w:tcPr>
          <w:p w14:paraId="5F2CFE94" w14:textId="77777777" w:rsidR="00E836FB" w:rsidRDefault="00E836FB">
            <w:pPr>
              <w:rPr>
                <w:rFonts w:ascii="宋体"/>
                <w:vanish/>
              </w:rPr>
            </w:pPr>
          </w:p>
        </w:tc>
        <w:tc>
          <w:tcPr>
            <w:tcW w:w="0" w:type="auto"/>
            <w:gridSpan w:val="3"/>
            <w:shd w:val="clear" w:color="auto" w:fill="auto"/>
            <w:vAlign w:val="bottom"/>
          </w:tcPr>
          <w:p w14:paraId="5F2CFE95" w14:textId="77777777" w:rsidR="00E836FB" w:rsidRDefault="00E836FB">
            <w:pPr>
              <w:rPr>
                <w:rFonts w:ascii="宋体"/>
                <w:vanish/>
              </w:rPr>
            </w:pPr>
          </w:p>
        </w:tc>
        <w:tc>
          <w:tcPr>
            <w:tcW w:w="0" w:type="auto"/>
            <w:gridSpan w:val="3"/>
            <w:shd w:val="clear" w:color="auto" w:fill="auto"/>
            <w:vAlign w:val="bottom"/>
          </w:tcPr>
          <w:p w14:paraId="5F2CFE96" w14:textId="77777777" w:rsidR="00E836FB" w:rsidRDefault="00E836FB">
            <w:pPr>
              <w:rPr>
                <w:rFonts w:ascii="宋体"/>
                <w:vanish/>
              </w:rPr>
            </w:pPr>
          </w:p>
        </w:tc>
        <w:tc>
          <w:tcPr>
            <w:tcW w:w="0" w:type="auto"/>
            <w:gridSpan w:val="3"/>
            <w:shd w:val="clear" w:color="auto" w:fill="auto"/>
            <w:vAlign w:val="bottom"/>
          </w:tcPr>
          <w:p w14:paraId="5F2CFE97" w14:textId="77777777" w:rsidR="00E836FB" w:rsidRDefault="00E836FB">
            <w:pPr>
              <w:rPr>
                <w:rFonts w:ascii="宋体"/>
                <w:vanish/>
              </w:rPr>
            </w:pPr>
          </w:p>
        </w:tc>
        <w:tc>
          <w:tcPr>
            <w:tcW w:w="0" w:type="auto"/>
            <w:gridSpan w:val="3"/>
            <w:shd w:val="clear" w:color="auto" w:fill="auto"/>
            <w:vAlign w:val="bottom"/>
          </w:tcPr>
          <w:p w14:paraId="5F2CFE98" w14:textId="77777777" w:rsidR="00E836FB" w:rsidRDefault="00E836FB">
            <w:pPr>
              <w:rPr>
                <w:rFonts w:ascii="宋体"/>
                <w:vanish/>
              </w:rPr>
            </w:pPr>
          </w:p>
        </w:tc>
      </w:tr>
      <w:tr w:rsidR="00E836FB" w14:paraId="5F2CFEA4" w14:textId="77777777">
        <w:trPr>
          <w:hidden/>
        </w:trPr>
        <w:tc>
          <w:tcPr>
            <w:tcW w:w="0" w:type="auto"/>
            <w:gridSpan w:val="3"/>
            <w:shd w:val="clear" w:color="auto" w:fill="auto"/>
            <w:vAlign w:val="bottom"/>
          </w:tcPr>
          <w:p w14:paraId="5F2CFE9A" w14:textId="77777777" w:rsidR="00E836FB" w:rsidRDefault="00E836FB">
            <w:pPr>
              <w:rPr>
                <w:rFonts w:ascii="宋体"/>
                <w:vanish/>
              </w:rPr>
            </w:pPr>
          </w:p>
        </w:tc>
        <w:tc>
          <w:tcPr>
            <w:tcW w:w="0" w:type="auto"/>
            <w:gridSpan w:val="3"/>
            <w:shd w:val="clear" w:color="auto" w:fill="auto"/>
            <w:vAlign w:val="bottom"/>
          </w:tcPr>
          <w:p w14:paraId="5F2CFE9B" w14:textId="77777777" w:rsidR="00E836FB" w:rsidRDefault="00E836FB">
            <w:pPr>
              <w:rPr>
                <w:rFonts w:ascii="宋体"/>
                <w:vanish/>
              </w:rPr>
            </w:pPr>
          </w:p>
        </w:tc>
        <w:tc>
          <w:tcPr>
            <w:tcW w:w="0" w:type="auto"/>
            <w:gridSpan w:val="3"/>
            <w:shd w:val="clear" w:color="auto" w:fill="auto"/>
            <w:vAlign w:val="bottom"/>
          </w:tcPr>
          <w:p w14:paraId="5F2CFE9C" w14:textId="77777777" w:rsidR="00E836FB" w:rsidRDefault="00E836FB">
            <w:pPr>
              <w:rPr>
                <w:rFonts w:ascii="宋体"/>
                <w:vanish/>
              </w:rPr>
            </w:pPr>
          </w:p>
        </w:tc>
        <w:tc>
          <w:tcPr>
            <w:tcW w:w="0" w:type="auto"/>
            <w:gridSpan w:val="3"/>
            <w:shd w:val="clear" w:color="auto" w:fill="auto"/>
            <w:vAlign w:val="bottom"/>
          </w:tcPr>
          <w:p w14:paraId="5F2CFE9D" w14:textId="77777777" w:rsidR="00E836FB" w:rsidRDefault="00E836FB">
            <w:pPr>
              <w:rPr>
                <w:rFonts w:ascii="宋体"/>
                <w:vanish/>
              </w:rPr>
            </w:pPr>
          </w:p>
        </w:tc>
        <w:tc>
          <w:tcPr>
            <w:tcW w:w="0" w:type="auto"/>
            <w:gridSpan w:val="3"/>
            <w:shd w:val="clear" w:color="auto" w:fill="auto"/>
            <w:vAlign w:val="bottom"/>
          </w:tcPr>
          <w:p w14:paraId="5F2CFE9E" w14:textId="77777777" w:rsidR="00E836FB" w:rsidRDefault="00E836FB">
            <w:pPr>
              <w:rPr>
                <w:rFonts w:ascii="宋体"/>
                <w:vanish/>
              </w:rPr>
            </w:pPr>
          </w:p>
        </w:tc>
        <w:tc>
          <w:tcPr>
            <w:tcW w:w="0" w:type="auto"/>
            <w:gridSpan w:val="3"/>
            <w:shd w:val="clear" w:color="auto" w:fill="auto"/>
            <w:vAlign w:val="bottom"/>
          </w:tcPr>
          <w:p w14:paraId="5F2CFE9F" w14:textId="77777777" w:rsidR="00E836FB" w:rsidRDefault="00E836FB">
            <w:pPr>
              <w:rPr>
                <w:rFonts w:ascii="宋体"/>
                <w:vanish/>
              </w:rPr>
            </w:pPr>
          </w:p>
        </w:tc>
        <w:tc>
          <w:tcPr>
            <w:tcW w:w="0" w:type="auto"/>
            <w:gridSpan w:val="3"/>
            <w:shd w:val="clear" w:color="auto" w:fill="auto"/>
            <w:vAlign w:val="bottom"/>
          </w:tcPr>
          <w:p w14:paraId="5F2CFEA0" w14:textId="77777777" w:rsidR="00E836FB" w:rsidRDefault="00E836FB">
            <w:pPr>
              <w:rPr>
                <w:rFonts w:ascii="宋体"/>
                <w:vanish/>
              </w:rPr>
            </w:pPr>
          </w:p>
        </w:tc>
        <w:tc>
          <w:tcPr>
            <w:tcW w:w="0" w:type="auto"/>
            <w:gridSpan w:val="3"/>
            <w:shd w:val="clear" w:color="auto" w:fill="auto"/>
            <w:vAlign w:val="bottom"/>
          </w:tcPr>
          <w:p w14:paraId="5F2CFEA1" w14:textId="77777777" w:rsidR="00E836FB" w:rsidRDefault="00E836FB">
            <w:pPr>
              <w:rPr>
                <w:rFonts w:ascii="宋体"/>
                <w:vanish/>
              </w:rPr>
            </w:pPr>
          </w:p>
        </w:tc>
        <w:tc>
          <w:tcPr>
            <w:tcW w:w="0" w:type="auto"/>
            <w:gridSpan w:val="3"/>
            <w:shd w:val="clear" w:color="auto" w:fill="auto"/>
            <w:vAlign w:val="bottom"/>
          </w:tcPr>
          <w:p w14:paraId="5F2CFEA2" w14:textId="77777777" w:rsidR="00E836FB" w:rsidRDefault="00E836FB">
            <w:pPr>
              <w:rPr>
                <w:rFonts w:ascii="宋体"/>
                <w:vanish/>
              </w:rPr>
            </w:pPr>
          </w:p>
        </w:tc>
        <w:tc>
          <w:tcPr>
            <w:tcW w:w="0" w:type="auto"/>
            <w:gridSpan w:val="3"/>
            <w:shd w:val="clear" w:color="auto" w:fill="auto"/>
            <w:vAlign w:val="bottom"/>
          </w:tcPr>
          <w:p w14:paraId="5F2CFEA3" w14:textId="77777777" w:rsidR="00E836FB" w:rsidRDefault="00E836FB">
            <w:pPr>
              <w:rPr>
                <w:rFonts w:ascii="宋体"/>
                <w:vanish/>
              </w:rPr>
            </w:pPr>
          </w:p>
        </w:tc>
      </w:tr>
      <w:tr w:rsidR="00E836FB" w14:paraId="5F2CFEAF" w14:textId="77777777">
        <w:trPr>
          <w:hidden/>
        </w:trPr>
        <w:tc>
          <w:tcPr>
            <w:tcW w:w="0" w:type="auto"/>
            <w:gridSpan w:val="3"/>
            <w:shd w:val="clear" w:color="auto" w:fill="auto"/>
            <w:vAlign w:val="bottom"/>
          </w:tcPr>
          <w:p w14:paraId="5F2CFEA5" w14:textId="77777777" w:rsidR="00E836FB" w:rsidRDefault="00E836FB">
            <w:pPr>
              <w:rPr>
                <w:rFonts w:ascii="宋体"/>
                <w:vanish/>
              </w:rPr>
            </w:pPr>
          </w:p>
        </w:tc>
        <w:tc>
          <w:tcPr>
            <w:tcW w:w="0" w:type="auto"/>
            <w:gridSpan w:val="3"/>
            <w:shd w:val="clear" w:color="auto" w:fill="auto"/>
            <w:vAlign w:val="bottom"/>
          </w:tcPr>
          <w:p w14:paraId="5F2CFEA6" w14:textId="77777777" w:rsidR="00E836FB" w:rsidRDefault="00E836FB">
            <w:pPr>
              <w:rPr>
                <w:rFonts w:ascii="宋体"/>
                <w:vanish/>
              </w:rPr>
            </w:pPr>
          </w:p>
        </w:tc>
        <w:tc>
          <w:tcPr>
            <w:tcW w:w="0" w:type="auto"/>
            <w:gridSpan w:val="3"/>
            <w:shd w:val="clear" w:color="auto" w:fill="auto"/>
            <w:vAlign w:val="bottom"/>
          </w:tcPr>
          <w:p w14:paraId="5F2CFEA7" w14:textId="77777777" w:rsidR="00E836FB" w:rsidRDefault="00E836FB">
            <w:pPr>
              <w:rPr>
                <w:rFonts w:ascii="宋体"/>
                <w:vanish/>
              </w:rPr>
            </w:pPr>
          </w:p>
        </w:tc>
        <w:tc>
          <w:tcPr>
            <w:tcW w:w="0" w:type="auto"/>
            <w:gridSpan w:val="3"/>
            <w:shd w:val="clear" w:color="auto" w:fill="auto"/>
            <w:vAlign w:val="bottom"/>
          </w:tcPr>
          <w:p w14:paraId="5F2CFEA8" w14:textId="77777777" w:rsidR="00E836FB" w:rsidRDefault="00E836FB">
            <w:pPr>
              <w:rPr>
                <w:rFonts w:ascii="宋体"/>
                <w:vanish/>
              </w:rPr>
            </w:pPr>
          </w:p>
        </w:tc>
        <w:tc>
          <w:tcPr>
            <w:tcW w:w="0" w:type="auto"/>
            <w:gridSpan w:val="3"/>
            <w:shd w:val="clear" w:color="auto" w:fill="auto"/>
            <w:vAlign w:val="bottom"/>
          </w:tcPr>
          <w:p w14:paraId="5F2CFEA9" w14:textId="77777777" w:rsidR="00E836FB" w:rsidRDefault="00E836FB">
            <w:pPr>
              <w:rPr>
                <w:rFonts w:ascii="宋体"/>
                <w:vanish/>
              </w:rPr>
            </w:pPr>
          </w:p>
        </w:tc>
        <w:tc>
          <w:tcPr>
            <w:tcW w:w="0" w:type="auto"/>
            <w:gridSpan w:val="3"/>
            <w:shd w:val="clear" w:color="auto" w:fill="auto"/>
            <w:vAlign w:val="bottom"/>
          </w:tcPr>
          <w:p w14:paraId="5F2CFEAA" w14:textId="77777777" w:rsidR="00E836FB" w:rsidRDefault="00E836FB">
            <w:pPr>
              <w:rPr>
                <w:rFonts w:ascii="宋体"/>
                <w:vanish/>
              </w:rPr>
            </w:pPr>
          </w:p>
        </w:tc>
        <w:tc>
          <w:tcPr>
            <w:tcW w:w="0" w:type="auto"/>
            <w:gridSpan w:val="3"/>
            <w:shd w:val="clear" w:color="auto" w:fill="auto"/>
            <w:vAlign w:val="bottom"/>
          </w:tcPr>
          <w:p w14:paraId="5F2CFEAB" w14:textId="77777777" w:rsidR="00E836FB" w:rsidRDefault="00E836FB">
            <w:pPr>
              <w:rPr>
                <w:rFonts w:ascii="宋体"/>
                <w:vanish/>
              </w:rPr>
            </w:pPr>
          </w:p>
        </w:tc>
        <w:tc>
          <w:tcPr>
            <w:tcW w:w="0" w:type="auto"/>
            <w:gridSpan w:val="3"/>
            <w:shd w:val="clear" w:color="auto" w:fill="auto"/>
            <w:vAlign w:val="bottom"/>
          </w:tcPr>
          <w:p w14:paraId="5F2CFEAC" w14:textId="77777777" w:rsidR="00E836FB" w:rsidRDefault="00E836FB">
            <w:pPr>
              <w:rPr>
                <w:rFonts w:ascii="宋体"/>
                <w:vanish/>
              </w:rPr>
            </w:pPr>
          </w:p>
        </w:tc>
        <w:tc>
          <w:tcPr>
            <w:tcW w:w="0" w:type="auto"/>
            <w:gridSpan w:val="3"/>
            <w:shd w:val="clear" w:color="auto" w:fill="auto"/>
            <w:vAlign w:val="bottom"/>
          </w:tcPr>
          <w:p w14:paraId="5F2CFEAD" w14:textId="77777777" w:rsidR="00E836FB" w:rsidRDefault="00E836FB">
            <w:pPr>
              <w:rPr>
                <w:rFonts w:ascii="宋体"/>
                <w:vanish/>
              </w:rPr>
            </w:pPr>
          </w:p>
        </w:tc>
        <w:tc>
          <w:tcPr>
            <w:tcW w:w="0" w:type="auto"/>
            <w:gridSpan w:val="3"/>
            <w:shd w:val="clear" w:color="auto" w:fill="auto"/>
            <w:vAlign w:val="bottom"/>
          </w:tcPr>
          <w:p w14:paraId="5F2CFEAE" w14:textId="77777777" w:rsidR="00E836FB" w:rsidRDefault="00E836FB">
            <w:pPr>
              <w:rPr>
                <w:rFonts w:ascii="宋体"/>
                <w:vanish/>
              </w:rPr>
            </w:pPr>
          </w:p>
        </w:tc>
      </w:tr>
      <w:tr w:rsidR="00E836FB" w14:paraId="5F2CFEBA" w14:textId="77777777">
        <w:tc>
          <w:tcPr>
            <w:tcW w:w="0" w:type="auto"/>
            <w:gridSpan w:val="3"/>
            <w:shd w:val="clear" w:color="auto" w:fill="FFFFFF"/>
            <w:tcMar>
              <w:top w:w="40" w:type="dxa"/>
              <w:left w:w="245" w:type="dxa"/>
              <w:bottom w:w="40" w:type="dxa"/>
              <w:right w:w="20" w:type="dxa"/>
            </w:tcMar>
            <w:vAlign w:val="bottom"/>
          </w:tcPr>
          <w:p w14:paraId="5F2CFEB0"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EB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B2"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EB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B4"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EB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B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B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B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EB9" w14:textId="77777777" w:rsidR="00E836FB" w:rsidRDefault="00E836FB">
            <w:pPr>
              <w:rPr>
                <w:rFonts w:ascii="宋体"/>
              </w:rPr>
            </w:pPr>
          </w:p>
        </w:tc>
      </w:tr>
      <w:tr w:rsidR="00E836FB" w14:paraId="5F2CFEC9" w14:textId="77777777">
        <w:tc>
          <w:tcPr>
            <w:tcW w:w="0" w:type="auto"/>
            <w:gridSpan w:val="3"/>
            <w:shd w:val="clear" w:color="auto" w:fill="CCEEFF"/>
            <w:tcMar>
              <w:top w:w="40" w:type="dxa"/>
              <w:left w:w="515" w:type="dxa"/>
              <w:bottom w:w="40" w:type="dxa"/>
              <w:right w:w="20" w:type="dxa"/>
            </w:tcMar>
            <w:vAlign w:val="bottom"/>
          </w:tcPr>
          <w:p w14:paraId="5F2CFEBB"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F2CFEBC"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E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BF" w14:textId="77777777" w:rsidR="00E836FB" w:rsidRDefault="00994958">
            <w:pPr>
              <w:jc w:val="right"/>
              <w:textAlignment w:val="bottom"/>
            </w:pPr>
            <w:r>
              <w:rPr>
                <w:rFonts w:ascii="Arial" w:eastAsia="宋体" w:hAnsi="Arial" w:cs="Arial"/>
                <w:color w:val="000000"/>
                <w:sz w:val="15"/>
                <w:szCs w:val="15"/>
              </w:rPr>
              <w:t>1,996 </w:t>
            </w:r>
          </w:p>
        </w:tc>
        <w:tc>
          <w:tcPr>
            <w:tcW w:w="0" w:type="auto"/>
            <w:shd w:val="clear" w:color="auto" w:fill="CCEEFF"/>
            <w:tcMar>
              <w:top w:w="40" w:type="dxa"/>
              <w:left w:w="0" w:type="dxa"/>
              <w:bottom w:w="40" w:type="dxa"/>
              <w:right w:w="20" w:type="dxa"/>
            </w:tcMar>
            <w:vAlign w:val="bottom"/>
          </w:tcPr>
          <w:p w14:paraId="5F2CFE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C2"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E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C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C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C7" w14:textId="77777777" w:rsidR="00E836FB" w:rsidRDefault="00994958">
            <w:pPr>
              <w:jc w:val="right"/>
              <w:textAlignment w:val="bottom"/>
            </w:pPr>
            <w:r>
              <w:rPr>
                <w:rFonts w:ascii="Arial" w:eastAsia="宋体" w:hAnsi="Arial" w:cs="Arial"/>
                <w:color w:val="000000"/>
                <w:sz w:val="15"/>
                <w:szCs w:val="15"/>
              </w:rPr>
              <w:t>1,996 </w:t>
            </w:r>
          </w:p>
        </w:tc>
        <w:tc>
          <w:tcPr>
            <w:tcW w:w="0" w:type="auto"/>
            <w:shd w:val="clear" w:color="auto" w:fill="CCEEFF"/>
            <w:tcMar>
              <w:top w:w="40" w:type="dxa"/>
              <w:left w:w="0" w:type="dxa"/>
              <w:bottom w:w="40" w:type="dxa"/>
              <w:right w:w="20" w:type="dxa"/>
            </w:tcMar>
            <w:vAlign w:val="bottom"/>
          </w:tcPr>
          <w:p w14:paraId="5F2CFEC8" w14:textId="77777777" w:rsidR="00E836FB" w:rsidRDefault="00E836FB">
            <w:pPr>
              <w:jc w:val="right"/>
              <w:rPr>
                <w:rFonts w:ascii="宋体"/>
              </w:rPr>
            </w:pPr>
          </w:p>
        </w:tc>
      </w:tr>
      <w:tr w:rsidR="00E836FB" w14:paraId="5F2CFED8" w14:textId="77777777">
        <w:tc>
          <w:tcPr>
            <w:tcW w:w="0" w:type="auto"/>
            <w:gridSpan w:val="3"/>
            <w:shd w:val="clear" w:color="auto" w:fill="FFFFFF"/>
            <w:tcMar>
              <w:top w:w="40" w:type="dxa"/>
              <w:left w:w="515" w:type="dxa"/>
              <w:bottom w:w="40" w:type="dxa"/>
              <w:right w:w="20" w:type="dxa"/>
            </w:tcMar>
            <w:vAlign w:val="bottom"/>
          </w:tcPr>
          <w:p w14:paraId="5F2CFECA"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F2CFECB"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C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CE" w14:textId="77777777" w:rsidR="00E836FB" w:rsidRDefault="00994958">
            <w:pPr>
              <w:jc w:val="right"/>
              <w:textAlignment w:val="bottom"/>
            </w:pPr>
            <w:r>
              <w:rPr>
                <w:rFonts w:ascii="Arial" w:eastAsia="宋体" w:hAnsi="Arial" w:cs="Arial"/>
                <w:color w:val="000000"/>
                <w:sz w:val="15"/>
                <w:szCs w:val="15"/>
              </w:rPr>
              <w:t>2,291 </w:t>
            </w:r>
          </w:p>
        </w:tc>
        <w:tc>
          <w:tcPr>
            <w:tcW w:w="0" w:type="auto"/>
            <w:shd w:val="clear" w:color="auto" w:fill="FFFFFF"/>
            <w:tcMar>
              <w:top w:w="40" w:type="dxa"/>
              <w:left w:w="0" w:type="dxa"/>
              <w:bottom w:w="40" w:type="dxa"/>
              <w:right w:w="20" w:type="dxa"/>
            </w:tcMar>
            <w:vAlign w:val="bottom"/>
          </w:tcPr>
          <w:p w14:paraId="5F2CFE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D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D1"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D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D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D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D6" w14:textId="77777777" w:rsidR="00E836FB" w:rsidRDefault="00994958">
            <w:pPr>
              <w:jc w:val="right"/>
              <w:textAlignment w:val="bottom"/>
            </w:pPr>
            <w:r>
              <w:rPr>
                <w:rFonts w:ascii="Arial" w:eastAsia="宋体" w:hAnsi="Arial" w:cs="Arial"/>
                <w:color w:val="000000"/>
                <w:sz w:val="15"/>
                <w:szCs w:val="15"/>
              </w:rPr>
              <w:t>2,291 </w:t>
            </w:r>
          </w:p>
        </w:tc>
        <w:tc>
          <w:tcPr>
            <w:tcW w:w="0" w:type="auto"/>
            <w:shd w:val="clear" w:color="auto" w:fill="FFFFFF"/>
            <w:tcMar>
              <w:top w:w="40" w:type="dxa"/>
              <w:left w:w="0" w:type="dxa"/>
              <w:bottom w:w="40" w:type="dxa"/>
              <w:right w:w="20" w:type="dxa"/>
            </w:tcMar>
            <w:vAlign w:val="bottom"/>
          </w:tcPr>
          <w:p w14:paraId="5F2CFED7" w14:textId="77777777" w:rsidR="00E836FB" w:rsidRDefault="00E836FB">
            <w:pPr>
              <w:jc w:val="right"/>
              <w:rPr>
                <w:rFonts w:ascii="宋体"/>
              </w:rPr>
            </w:pPr>
          </w:p>
        </w:tc>
      </w:tr>
      <w:tr w:rsidR="00E836FB" w14:paraId="5F2CFEE7" w14:textId="77777777">
        <w:tc>
          <w:tcPr>
            <w:tcW w:w="0" w:type="auto"/>
            <w:gridSpan w:val="3"/>
            <w:shd w:val="clear" w:color="auto" w:fill="CCEEFF"/>
            <w:tcMar>
              <w:top w:w="40" w:type="dxa"/>
              <w:left w:w="515" w:type="dxa"/>
              <w:bottom w:w="40" w:type="dxa"/>
              <w:right w:w="20" w:type="dxa"/>
            </w:tcMar>
            <w:vAlign w:val="bottom"/>
          </w:tcPr>
          <w:p w14:paraId="5F2CFED9" w14:textId="77777777" w:rsidR="00E836FB" w:rsidRDefault="00994958">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5F2CFED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E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D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DD" w14:textId="77777777" w:rsidR="00E836FB" w:rsidRDefault="00994958">
            <w:pPr>
              <w:jc w:val="right"/>
              <w:textAlignment w:val="bottom"/>
            </w:pPr>
            <w:r>
              <w:rPr>
                <w:rFonts w:ascii="Arial" w:eastAsia="宋体" w:hAnsi="Arial" w:cs="Arial"/>
                <w:color w:val="000000"/>
                <w:sz w:val="15"/>
                <w:szCs w:val="15"/>
              </w:rPr>
              <w:t>22,087 </w:t>
            </w:r>
          </w:p>
        </w:tc>
        <w:tc>
          <w:tcPr>
            <w:tcW w:w="0" w:type="auto"/>
            <w:shd w:val="clear" w:color="auto" w:fill="CCEEFF"/>
            <w:tcMar>
              <w:top w:w="40" w:type="dxa"/>
              <w:left w:w="0" w:type="dxa"/>
              <w:bottom w:w="40" w:type="dxa"/>
              <w:right w:w="20" w:type="dxa"/>
            </w:tcMar>
            <w:vAlign w:val="bottom"/>
          </w:tcPr>
          <w:p w14:paraId="5F2CFE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D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E0"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E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E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E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EE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EE5" w14:textId="77777777" w:rsidR="00E836FB" w:rsidRDefault="00994958">
            <w:pPr>
              <w:jc w:val="right"/>
              <w:textAlignment w:val="bottom"/>
            </w:pPr>
            <w:r>
              <w:rPr>
                <w:rFonts w:ascii="Arial" w:eastAsia="宋体" w:hAnsi="Arial" w:cs="Arial"/>
                <w:color w:val="000000"/>
                <w:sz w:val="15"/>
                <w:szCs w:val="15"/>
              </w:rPr>
              <w:t>22,087 </w:t>
            </w:r>
          </w:p>
        </w:tc>
        <w:tc>
          <w:tcPr>
            <w:tcW w:w="0" w:type="auto"/>
            <w:shd w:val="clear" w:color="auto" w:fill="CCEEFF"/>
            <w:tcMar>
              <w:top w:w="40" w:type="dxa"/>
              <w:left w:w="0" w:type="dxa"/>
              <w:bottom w:w="40" w:type="dxa"/>
              <w:right w:w="20" w:type="dxa"/>
            </w:tcMar>
            <w:vAlign w:val="bottom"/>
          </w:tcPr>
          <w:p w14:paraId="5F2CFEE6" w14:textId="77777777" w:rsidR="00E836FB" w:rsidRDefault="00E836FB">
            <w:pPr>
              <w:jc w:val="right"/>
              <w:rPr>
                <w:rFonts w:ascii="宋体"/>
              </w:rPr>
            </w:pPr>
          </w:p>
        </w:tc>
      </w:tr>
      <w:tr w:rsidR="00E836FB" w14:paraId="5F2CFEF6" w14:textId="77777777">
        <w:tc>
          <w:tcPr>
            <w:tcW w:w="0" w:type="auto"/>
            <w:gridSpan w:val="3"/>
            <w:shd w:val="clear" w:color="auto" w:fill="FFFFFF"/>
            <w:tcMar>
              <w:top w:w="40" w:type="dxa"/>
              <w:left w:w="515" w:type="dxa"/>
              <w:bottom w:w="40" w:type="dxa"/>
              <w:right w:w="20" w:type="dxa"/>
            </w:tcMar>
            <w:vAlign w:val="bottom"/>
          </w:tcPr>
          <w:p w14:paraId="5F2CFEE8"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CFEE9"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E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EC" w14:textId="77777777" w:rsidR="00E836FB" w:rsidRDefault="00994958">
            <w:pPr>
              <w:jc w:val="right"/>
              <w:textAlignment w:val="bottom"/>
            </w:pPr>
            <w:r>
              <w:rPr>
                <w:rFonts w:ascii="Arial" w:eastAsia="宋体" w:hAnsi="Arial" w:cs="Arial"/>
                <w:color w:val="000000"/>
                <w:sz w:val="15"/>
                <w:szCs w:val="15"/>
              </w:rPr>
              <w:t>3,355 </w:t>
            </w:r>
          </w:p>
        </w:tc>
        <w:tc>
          <w:tcPr>
            <w:tcW w:w="0" w:type="auto"/>
            <w:shd w:val="clear" w:color="auto" w:fill="FFFFFF"/>
            <w:tcMar>
              <w:top w:w="40" w:type="dxa"/>
              <w:left w:w="0" w:type="dxa"/>
              <w:bottom w:w="40" w:type="dxa"/>
              <w:right w:w="20" w:type="dxa"/>
            </w:tcMar>
            <w:vAlign w:val="bottom"/>
          </w:tcPr>
          <w:p w14:paraId="5F2CFEE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E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E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E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EF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F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E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EF4" w14:textId="77777777" w:rsidR="00E836FB" w:rsidRDefault="00994958">
            <w:pPr>
              <w:jc w:val="right"/>
              <w:textAlignment w:val="bottom"/>
            </w:pPr>
            <w:r>
              <w:rPr>
                <w:rFonts w:ascii="Arial" w:eastAsia="宋体" w:hAnsi="Arial" w:cs="Arial"/>
                <w:color w:val="000000"/>
                <w:sz w:val="15"/>
                <w:szCs w:val="15"/>
              </w:rPr>
              <w:t>3,355 </w:t>
            </w:r>
          </w:p>
        </w:tc>
        <w:tc>
          <w:tcPr>
            <w:tcW w:w="0" w:type="auto"/>
            <w:shd w:val="clear" w:color="auto" w:fill="FFFFFF"/>
            <w:tcMar>
              <w:top w:w="40" w:type="dxa"/>
              <w:left w:w="0" w:type="dxa"/>
              <w:bottom w:w="40" w:type="dxa"/>
              <w:right w:w="20" w:type="dxa"/>
            </w:tcMar>
            <w:vAlign w:val="bottom"/>
          </w:tcPr>
          <w:p w14:paraId="5F2CFEF5" w14:textId="77777777" w:rsidR="00E836FB" w:rsidRDefault="00E836FB">
            <w:pPr>
              <w:jc w:val="right"/>
              <w:rPr>
                <w:rFonts w:ascii="宋体"/>
              </w:rPr>
            </w:pPr>
          </w:p>
        </w:tc>
      </w:tr>
      <w:tr w:rsidR="00E836FB" w14:paraId="5F2CFF05" w14:textId="77777777">
        <w:tc>
          <w:tcPr>
            <w:tcW w:w="0" w:type="auto"/>
            <w:gridSpan w:val="3"/>
            <w:shd w:val="clear" w:color="auto" w:fill="CCEEFF"/>
            <w:tcMar>
              <w:top w:w="40" w:type="dxa"/>
              <w:left w:w="740" w:type="dxa"/>
              <w:bottom w:w="40" w:type="dxa"/>
              <w:right w:w="20" w:type="dxa"/>
            </w:tcMar>
            <w:vAlign w:val="bottom"/>
          </w:tcPr>
          <w:p w14:paraId="5F2CFEF7"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EF8"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E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F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EFB" w14:textId="77777777" w:rsidR="00E836FB" w:rsidRDefault="00994958">
            <w:pPr>
              <w:jc w:val="right"/>
              <w:textAlignment w:val="bottom"/>
            </w:pPr>
            <w:r>
              <w:rPr>
                <w:rFonts w:ascii="Arial" w:eastAsia="宋体" w:hAnsi="Arial" w:cs="Arial"/>
                <w:color w:val="000000"/>
                <w:sz w:val="15"/>
                <w:szCs w:val="15"/>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E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EF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EFE"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E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0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0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0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F03" w14:textId="77777777" w:rsidR="00E836FB" w:rsidRDefault="00994958">
            <w:pPr>
              <w:jc w:val="right"/>
              <w:textAlignment w:val="bottom"/>
            </w:pPr>
            <w:r>
              <w:rPr>
                <w:rFonts w:ascii="Arial" w:eastAsia="宋体" w:hAnsi="Arial" w:cs="Arial"/>
                <w:color w:val="000000"/>
                <w:sz w:val="15"/>
                <w:szCs w:val="15"/>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F04" w14:textId="77777777" w:rsidR="00E836FB" w:rsidRDefault="00E836FB">
            <w:pPr>
              <w:jc w:val="right"/>
              <w:rPr>
                <w:rFonts w:ascii="宋体"/>
              </w:rPr>
            </w:pPr>
          </w:p>
        </w:tc>
      </w:tr>
      <w:tr w:rsidR="00E836FB" w14:paraId="5F2CFF10" w14:textId="77777777">
        <w:tc>
          <w:tcPr>
            <w:tcW w:w="0" w:type="auto"/>
            <w:gridSpan w:val="3"/>
            <w:shd w:val="clear" w:color="auto" w:fill="FFFFFF"/>
            <w:tcMar>
              <w:top w:w="40" w:type="dxa"/>
              <w:left w:w="245" w:type="dxa"/>
              <w:bottom w:w="40" w:type="dxa"/>
              <w:right w:w="20" w:type="dxa"/>
            </w:tcMar>
            <w:vAlign w:val="bottom"/>
          </w:tcPr>
          <w:p w14:paraId="5F2CFF06"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F0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0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F0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0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F0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0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0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0E"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CFF0F" w14:textId="77777777" w:rsidR="00E836FB" w:rsidRDefault="00E836FB">
            <w:pPr>
              <w:rPr>
                <w:rFonts w:ascii="宋体"/>
              </w:rPr>
            </w:pPr>
          </w:p>
        </w:tc>
      </w:tr>
      <w:tr w:rsidR="00E836FB" w14:paraId="5F2CFF1F" w14:textId="77777777">
        <w:tc>
          <w:tcPr>
            <w:tcW w:w="0" w:type="auto"/>
            <w:gridSpan w:val="3"/>
            <w:shd w:val="clear" w:color="auto" w:fill="CCEEFF"/>
            <w:tcMar>
              <w:top w:w="40" w:type="dxa"/>
              <w:left w:w="515" w:type="dxa"/>
              <w:bottom w:w="40" w:type="dxa"/>
              <w:right w:w="20" w:type="dxa"/>
            </w:tcMar>
            <w:vAlign w:val="bottom"/>
          </w:tcPr>
          <w:p w14:paraId="5F2CFF11" w14:textId="77777777" w:rsidR="00E836FB" w:rsidRDefault="00994958">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5F2CFF12"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F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15" w14:textId="77777777" w:rsidR="00E836FB" w:rsidRDefault="00994958">
            <w:pPr>
              <w:jc w:val="right"/>
              <w:textAlignment w:val="bottom"/>
            </w:pPr>
            <w:r>
              <w:rPr>
                <w:rFonts w:ascii="Arial" w:eastAsia="宋体" w:hAnsi="Arial" w:cs="Arial"/>
                <w:color w:val="000000"/>
                <w:sz w:val="15"/>
                <w:szCs w:val="15"/>
              </w:rPr>
              <w:t>314 </w:t>
            </w:r>
          </w:p>
        </w:tc>
        <w:tc>
          <w:tcPr>
            <w:tcW w:w="0" w:type="auto"/>
            <w:shd w:val="clear" w:color="auto" w:fill="CCEEFF"/>
            <w:tcMar>
              <w:top w:w="40" w:type="dxa"/>
              <w:left w:w="0" w:type="dxa"/>
              <w:bottom w:w="40" w:type="dxa"/>
              <w:right w:w="20" w:type="dxa"/>
            </w:tcMar>
            <w:vAlign w:val="bottom"/>
          </w:tcPr>
          <w:p w14:paraId="5F2CFF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1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18"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F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1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1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1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1D" w14:textId="77777777" w:rsidR="00E836FB" w:rsidRDefault="00994958">
            <w:pPr>
              <w:jc w:val="right"/>
              <w:textAlignment w:val="bottom"/>
            </w:pPr>
            <w:r>
              <w:rPr>
                <w:rFonts w:ascii="Arial" w:eastAsia="宋体" w:hAnsi="Arial" w:cs="Arial"/>
                <w:color w:val="000000"/>
                <w:sz w:val="15"/>
                <w:szCs w:val="15"/>
              </w:rPr>
              <w:t>314 </w:t>
            </w:r>
          </w:p>
        </w:tc>
        <w:tc>
          <w:tcPr>
            <w:tcW w:w="0" w:type="auto"/>
            <w:shd w:val="clear" w:color="auto" w:fill="CCEEFF"/>
            <w:tcMar>
              <w:top w:w="40" w:type="dxa"/>
              <w:left w:w="0" w:type="dxa"/>
              <w:bottom w:w="40" w:type="dxa"/>
              <w:right w:w="20" w:type="dxa"/>
            </w:tcMar>
            <w:vAlign w:val="bottom"/>
          </w:tcPr>
          <w:p w14:paraId="5F2CFF1E" w14:textId="77777777" w:rsidR="00E836FB" w:rsidRDefault="00E836FB">
            <w:pPr>
              <w:jc w:val="right"/>
              <w:rPr>
                <w:rFonts w:ascii="宋体"/>
              </w:rPr>
            </w:pPr>
          </w:p>
        </w:tc>
      </w:tr>
      <w:tr w:rsidR="00E836FB" w14:paraId="5F2CFF2A" w14:textId="77777777">
        <w:trPr>
          <w:hidden/>
        </w:trPr>
        <w:tc>
          <w:tcPr>
            <w:tcW w:w="0" w:type="auto"/>
            <w:gridSpan w:val="3"/>
            <w:shd w:val="clear" w:color="auto" w:fill="auto"/>
            <w:vAlign w:val="bottom"/>
          </w:tcPr>
          <w:p w14:paraId="5F2CFF20" w14:textId="77777777" w:rsidR="00E836FB" w:rsidRDefault="00E836FB">
            <w:pPr>
              <w:rPr>
                <w:rFonts w:ascii="宋体"/>
                <w:vanish/>
              </w:rPr>
            </w:pPr>
          </w:p>
        </w:tc>
        <w:tc>
          <w:tcPr>
            <w:tcW w:w="0" w:type="auto"/>
            <w:gridSpan w:val="3"/>
            <w:shd w:val="clear" w:color="auto" w:fill="auto"/>
            <w:vAlign w:val="bottom"/>
          </w:tcPr>
          <w:p w14:paraId="5F2CFF21" w14:textId="77777777" w:rsidR="00E836FB" w:rsidRDefault="00E836FB">
            <w:pPr>
              <w:rPr>
                <w:rFonts w:ascii="宋体"/>
                <w:vanish/>
              </w:rPr>
            </w:pPr>
          </w:p>
        </w:tc>
        <w:tc>
          <w:tcPr>
            <w:tcW w:w="0" w:type="auto"/>
            <w:gridSpan w:val="3"/>
            <w:shd w:val="clear" w:color="auto" w:fill="auto"/>
            <w:vAlign w:val="bottom"/>
          </w:tcPr>
          <w:p w14:paraId="5F2CFF22" w14:textId="77777777" w:rsidR="00E836FB" w:rsidRDefault="00E836FB">
            <w:pPr>
              <w:rPr>
                <w:rFonts w:ascii="宋体"/>
                <w:vanish/>
              </w:rPr>
            </w:pPr>
          </w:p>
        </w:tc>
        <w:tc>
          <w:tcPr>
            <w:tcW w:w="0" w:type="auto"/>
            <w:gridSpan w:val="3"/>
            <w:shd w:val="clear" w:color="auto" w:fill="auto"/>
            <w:vAlign w:val="bottom"/>
          </w:tcPr>
          <w:p w14:paraId="5F2CFF23" w14:textId="77777777" w:rsidR="00E836FB" w:rsidRDefault="00E836FB">
            <w:pPr>
              <w:rPr>
                <w:rFonts w:ascii="宋体"/>
                <w:vanish/>
              </w:rPr>
            </w:pPr>
          </w:p>
        </w:tc>
        <w:tc>
          <w:tcPr>
            <w:tcW w:w="0" w:type="auto"/>
            <w:gridSpan w:val="3"/>
            <w:shd w:val="clear" w:color="auto" w:fill="auto"/>
            <w:vAlign w:val="bottom"/>
          </w:tcPr>
          <w:p w14:paraId="5F2CFF24" w14:textId="77777777" w:rsidR="00E836FB" w:rsidRDefault="00E836FB">
            <w:pPr>
              <w:rPr>
                <w:rFonts w:ascii="宋体"/>
                <w:vanish/>
              </w:rPr>
            </w:pPr>
          </w:p>
        </w:tc>
        <w:tc>
          <w:tcPr>
            <w:tcW w:w="0" w:type="auto"/>
            <w:gridSpan w:val="3"/>
            <w:shd w:val="clear" w:color="auto" w:fill="auto"/>
            <w:vAlign w:val="bottom"/>
          </w:tcPr>
          <w:p w14:paraId="5F2CFF25" w14:textId="77777777" w:rsidR="00E836FB" w:rsidRDefault="00E836FB">
            <w:pPr>
              <w:rPr>
                <w:rFonts w:ascii="宋体"/>
                <w:vanish/>
              </w:rPr>
            </w:pPr>
          </w:p>
        </w:tc>
        <w:tc>
          <w:tcPr>
            <w:tcW w:w="0" w:type="auto"/>
            <w:gridSpan w:val="3"/>
            <w:shd w:val="clear" w:color="auto" w:fill="auto"/>
            <w:vAlign w:val="bottom"/>
          </w:tcPr>
          <w:p w14:paraId="5F2CFF26" w14:textId="77777777" w:rsidR="00E836FB" w:rsidRDefault="00E836FB">
            <w:pPr>
              <w:rPr>
                <w:rFonts w:ascii="宋体"/>
                <w:vanish/>
              </w:rPr>
            </w:pPr>
          </w:p>
        </w:tc>
        <w:tc>
          <w:tcPr>
            <w:tcW w:w="0" w:type="auto"/>
            <w:gridSpan w:val="3"/>
            <w:shd w:val="clear" w:color="auto" w:fill="auto"/>
            <w:vAlign w:val="bottom"/>
          </w:tcPr>
          <w:p w14:paraId="5F2CFF27" w14:textId="77777777" w:rsidR="00E836FB" w:rsidRDefault="00E836FB">
            <w:pPr>
              <w:rPr>
                <w:rFonts w:ascii="宋体"/>
                <w:vanish/>
              </w:rPr>
            </w:pPr>
          </w:p>
        </w:tc>
        <w:tc>
          <w:tcPr>
            <w:tcW w:w="0" w:type="auto"/>
            <w:gridSpan w:val="3"/>
            <w:shd w:val="clear" w:color="auto" w:fill="auto"/>
            <w:vAlign w:val="bottom"/>
          </w:tcPr>
          <w:p w14:paraId="5F2CFF28" w14:textId="77777777" w:rsidR="00E836FB" w:rsidRDefault="00E836FB">
            <w:pPr>
              <w:rPr>
                <w:rFonts w:ascii="宋体"/>
                <w:vanish/>
              </w:rPr>
            </w:pPr>
          </w:p>
        </w:tc>
        <w:tc>
          <w:tcPr>
            <w:tcW w:w="0" w:type="auto"/>
            <w:gridSpan w:val="3"/>
            <w:shd w:val="clear" w:color="auto" w:fill="auto"/>
            <w:vAlign w:val="bottom"/>
          </w:tcPr>
          <w:p w14:paraId="5F2CFF29" w14:textId="77777777" w:rsidR="00E836FB" w:rsidRDefault="00E836FB">
            <w:pPr>
              <w:rPr>
                <w:rFonts w:ascii="宋体"/>
                <w:vanish/>
              </w:rPr>
            </w:pPr>
          </w:p>
        </w:tc>
      </w:tr>
      <w:tr w:rsidR="00E836FB" w14:paraId="5F2CFF39" w14:textId="77777777">
        <w:tc>
          <w:tcPr>
            <w:tcW w:w="0" w:type="auto"/>
            <w:gridSpan w:val="3"/>
            <w:shd w:val="clear" w:color="auto" w:fill="FFFFFF"/>
            <w:tcMar>
              <w:top w:w="40" w:type="dxa"/>
              <w:left w:w="515" w:type="dxa"/>
              <w:bottom w:w="40" w:type="dxa"/>
              <w:right w:w="20" w:type="dxa"/>
            </w:tcMar>
            <w:vAlign w:val="bottom"/>
          </w:tcPr>
          <w:p w14:paraId="5F2CFF2B" w14:textId="77777777" w:rsidR="00E836FB" w:rsidRDefault="00994958">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5F2CFF2C"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F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2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2F" w14:textId="77777777" w:rsidR="00E836FB" w:rsidRDefault="00994958">
            <w:pPr>
              <w:jc w:val="right"/>
              <w:textAlignment w:val="bottom"/>
            </w:pPr>
            <w:r>
              <w:rPr>
                <w:rFonts w:ascii="Arial" w:eastAsia="宋体" w:hAnsi="Arial" w:cs="Arial"/>
                <w:color w:val="000000"/>
                <w:sz w:val="15"/>
                <w:szCs w:val="15"/>
              </w:rPr>
              <w:t>2,952 </w:t>
            </w:r>
          </w:p>
        </w:tc>
        <w:tc>
          <w:tcPr>
            <w:tcW w:w="0" w:type="auto"/>
            <w:shd w:val="clear" w:color="auto" w:fill="FFFFFF"/>
            <w:tcMar>
              <w:top w:w="40" w:type="dxa"/>
              <w:left w:w="0" w:type="dxa"/>
              <w:bottom w:w="40" w:type="dxa"/>
              <w:right w:w="20" w:type="dxa"/>
            </w:tcMar>
            <w:vAlign w:val="bottom"/>
          </w:tcPr>
          <w:p w14:paraId="5F2CFF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32" w14:textId="77777777" w:rsidR="00E836FB" w:rsidRDefault="00994958">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5F2CFF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3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3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37" w14:textId="77777777" w:rsidR="00E836FB" w:rsidRDefault="00994958">
            <w:pPr>
              <w:jc w:val="right"/>
              <w:textAlignment w:val="bottom"/>
            </w:pPr>
            <w:r>
              <w:rPr>
                <w:rFonts w:ascii="Arial" w:eastAsia="宋体" w:hAnsi="Arial" w:cs="Arial"/>
                <w:color w:val="000000"/>
                <w:sz w:val="15"/>
                <w:szCs w:val="15"/>
              </w:rPr>
              <w:t>2,966 </w:t>
            </w:r>
          </w:p>
        </w:tc>
        <w:tc>
          <w:tcPr>
            <w:tcW w:w="0" w:type="auto"/>
            <w:shd w:val="clear" w:color="auto" w:fill="FFFFFF"/>
            <w:tcMar>
              <w:top w:w="40" w:type="dxa"/>
              <w:left w:w="0" w:type="dxa"/>
              <w:bottom w:w="40" w:type="dxa"/>
              <w:right w:w="20" w:type="dxa"/>
            </w:tcMar>
            <w:vAlign w:val="bottom"/>
          </w:tcPr>
          <w:p w14:paraId="5F2CFF38" w14:textId="77777777" w:rsidR="00E836FB" w:rsidRDefault="00E836FB">
            <w:pPr>
              <w:jc w:val="right"/>
              <w:rPr>
                <w:rFonts w:ascii="宋体"/>
              </w:rPr>
            </w:pPr>
          </w:p>
        </w:tc>
      </w:tr>
      <w:tr w:rsidR="00E836FB" w14:paraId="5F2CFF48" w14:textId="77777777">
        <w:tc>
          <w:tcPr>
            <w:tcW w:w="0" w:type="auto"/>
            <w:gridSpan w:val="3"/>
            <w:shd w:val="clear" w:color="auto" w:fill="CCEEFF"/>
            <w:tcMar>
              <w:top w:w="40" w:type="dxa"/>
              <w:left w:w="20" w:type="dxa"/>
              <w:bottom w:w="40" w:type="dxa"/>
              <w:right w:w="20" w:type="dxa"/>
            </w:tcMar>
            <w:vAlign w:val="bottom"/>
          </w:tcPr>
          <w:p w14:paraId="5F2CFF3A" w14:textId="77777777" w:rsidR="00E836FB" w:rsidRDefault="00994958">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CFF3B"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F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3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3E" w14:textId="77777777" w:rsidR="00E836FB" w:rsidRDefault="00994958">
            <w:pPr>
              <w:jc w:val="right"/>
              <w:textAlignment w:val="bottom"/>
            </w:pPr>
            <w:r>
              <w:rPr>
                <w:rFonts w:ascii="Arial" w:eastAsia="宋体" w:hAnsi="Arial" w:cs="Arial"/>
                <w:color w:val="000000"/>
                <w:sz w:val="15"/>
                <w:szCs w:val="15"/>
              </w:rPr>
              <w:t>78 </w:t>
            </w:r>
          </w:p>
        </w:tc>
        <w:tc>
          <w:tcPr>
            <w:tcW w:w="0" w:type="auto"/>
            <w:shd w:val="clear" w:color="auto" w:fill="CCEEFF"/>
            <w:tcMar>
              <w:top w:w="40" w:type="dxa"/>
              <w:left w:w="0" w:type="dxa"/>
              <w:bottom w:w="40" w:type="dxa"/>
              <w:right w:w="20" w:type="dxa"/>
            </w:tcMar>
            <w:vAlign w:val="bottom"/>
          </w:tcPr>
          <w:p w14:paraId="5F2CFF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41"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F4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4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4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4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46" w14:textId="77777777" w:rsidR="00E836FB" w:rsidRDefault="00994958">
            <w:pPr>
              <w:jc w:val="right"/>
              <w:textAlignment w:val="bottom"/>
            </w:pPr>
            <w:r>
              <w:rPr>
                <w:rFonts w:ascii="Arial" w:eastAsia="宋体" w:hAnsi="Arial" w:cs="Arial"/>
                <w:color w:val="000000"/>
                <w:sz w:val="15"/>
                <w:szCs w:val="15"/>
              </w:rPr>
              <w:t>78 </w:t>
            </w:r>
          </w:p>
        </w:tc>
        <w:tc>
          <w:tcPr>
            <w:tcW w:w="0" w:type="auto"/>
            <w:shd w:val="clear" w:color="auto" w:fill="CCEEFF"/>
            <w:tcMar>
              <w:top w:w="40" w:type="dxa"/>
              <w:left w:w="0" w:type="dxa"/>
              <w:bottom w:w="40" w:type="dxa"/>
              <w:right w:w="20" w:type="dxa"/>
            </w:tcMar>
            <w:vAlign w:val="bottom"/>
          </w:tcPr>
          <w:p w14:paraId="5F2CFF47" w14:textId="77777777" w:rsidR="00E836FB" w:rsidRDefault="00E836FB">
            <w:pPr>
              <w:jc w:val="right"/>
              <w:rPr>
                <w:rFonts w:ascii="宋体"/>
              </w:rPr>
            </w:pPr>
          </w:p>
        </w:tc>
      </w:tr>
      <w:tr w:rsidR="00E836FB" w14:paraId="5F2CFF57" w14:textId="77777777">
        <w:tc>
          <w:tcPr>
            <w:tcW w:w="0" w:type="auto"/>
            <w:gridSpan w:val="3"/>
            <w:shd w:val="clear" w:color="auto" w:fill="FFFFFF"/>
            <w:tcMar>
              <w:top w:w="40" w:type="dxa"/>
              <w:left w:w="515" w:type="dxa"/>
              <w:bottom w:w="40" w:type="dxa"/>
              <w:right w:w="20" w:type="dxa"/>
            </w:tcMar>
            <w:vAlign w:val="bottom"/>
          </w:tcPr>
          <w:p w14:paraId="5F2CFF49"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CFF4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F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4D" w14:textId="77777777" w:rsidR="00E836FB" w:rsidRDefault="00994958">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F2CFF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50"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F5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5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5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5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55" w14:textId="77777777" w:rsidR="00E836FB" w:rsidRDefault="00994958">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F2CFF56" w14:textId="77777777" w:rsidR="00E836FB" w:rsidRDefault="00E836FB">
            <w:pPr>
              <w:jc w:val="right"/>
              <w:rPr>
                <w:rFonts w:ascii="宋体"/>
              </w:rPr>
            </w:pPr>
          </w:p>
        </w:tc>
      </w:tr>
      <w:tr w:rsidR="00E836FB" w14:paraId="5F2CFF66" w14:textId="77777777">
        <w:tc>
          <w:tcPr>
            <w:tcW w:w="0" w:type="auto"/>
            <w:gridSpan w:val="3"/>
            <w:shd w:val="clear" w:color="auto" w:fill="CCEEFF"/>
            <w:tcMar>
              <w:top w:w="40" w:type="dxa"/>
              <w:left w:w="740" w:type="dxa"/>
              <w:bottom w:w="40" w:type="dxa"/>
              <w:right w:w="20" w:type="dxa"/>
            </w:tcMar>
            <w:vAlign w:val="bottom"/>
          </w:tcPr>
          <w:p w14:paraId="5F2CFF58" w14:textId="77777777" w:rsidR="00E836FB" w:rsidRDefault="00994958">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F59"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F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5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F5C" w14:textId="77777777" w:rsidR="00E836FB" w:rsidRDefault="00994958">
            <w:pPr>
              <w:jc w:val="right"/>
              <w:textAlignment w:val="bottom"/>
            </w:pPr>
            <w:r>
              <w:rPr>
                <w:rFonts w:ascii="Arial" w:eastAsia="宋体" w:hAnsi="Arial" w:cs="Arial"/>
                <w:color w:val="000000"/>
                <w:sz w:val="15"/>
                <w:szCs w:val="15"/>
              </w:rPr>
              <w:t>3,434 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F5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5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F5F" w14:textId="77777777" w:rsidR="00E836FB" w:rsidRDefault="00994958">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F6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6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6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6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CFF64" w14:textId="77777777" w:rsidR="00E836FB" w:rsidRDefault="00994958">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CFF65" w14:textId="77777777" w:rsidR="00E836FB" w:rsidRDefault="00E836FB">
            <w:pPr>
              <w:jc w:val="right"/>
              <w:rPr>
                <w:rFonts w:ascii="宋体"/>
              </w:rPr>
            </w:pPr>
          </w:p>
        </w:tc>
      </w:tr>
      <w:tr w:rsidR="00E836FB" w14:paraId="5F2CFF75" w14:textId="77777777">
        <w:tc>
          <w:tcPr>
            <w:tcW w:w="0" w:type="auto"/>
            <w:gridSpan w:val="3"/>
            <w:shd w:val="clear" w:color="auto" w:fill="FFFFFF"/>
            <w:tcMar>
              <w:top w:w="40" w:type="dxa"/>
              <w:left w:w="245" w:type="dxa"/>
              <w:bottom w:w="40" w:type="dxa"/>
              <w:right w:w="20" w:type="dxa"/>
            </w:tcMar>
            <w:vAlign w:val="bottom"/>
          </w:tcPr>
          <w:p w14:paraId="5F2CFF67" w14:textId="77777777" w:rsidR="00E836FB" w:rsidRDefault="00994958">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68"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6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6B" w14:textId="77777777" w:rsidR="00E836FB" w:rsidRDefault="00994958">
            <w:pPr>
              <w:jc w:val="right"/>
              <w:textAlignment w:val="bottom"/>
            </w:pPr>
            <w:r>
              <w:rPr>
                <w:rFonts w:ascii="Arial" w:eastAsia="宋体" w:hAnsi="Arial" w:cs="Arial"/>
                <w:color w:val="000000"/>
                <w:sz w:val="15"/>
                <w:szCs w:val="15"/>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6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6E"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7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7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73" w14:textId="77777777" w:rsidR="00E836FB" w:rsidRDefault="00994958">
            <w:pPr>
              <w:jc w:val="right"/>
              <w:textAlignment w:val="bottom"/>
            </w:pPr>
            <w:r>
              <w:rPr>
                <w:rFonts w:ascii="Arial" w:eastAsia="宋体" w:hAnsi="Arial" w:cs="Arial"/>
                <w:color w:val="000000"/>
                <w:sz w:val="15"/>
                <w:szCs w:val="15"/>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74" w14:textId="77777777" w:rsidR="00E836FB" w:rsidRDefault="00E836FB">
            <w:pPr>
              <w:jc w:val="right"/>
              <w:rPr>
                <w:rFonts w:ascii="宋体"/>
              </w:rPr>
            </w:pPr>
          </w:p>
        </w:tc>
      </w:tr>
      <w:tr w:rsidR="00E836FB" w14:paraId="5F2CFF80" w14:textId="77777777">
        <w:trPr>
          <w:hidden/>
        </w:trPr>
        <w:tc>
          <w:tcPr>
            <w:tcW w:w="0" w:type="auto"/>
            <w:gridSpan w:val="3"/>
            <w:shd w:val="clear" w:color="auto" w:fill="auto"/>
            <w:vAlign w:val="bottom"/>
          </w:tcPr>
          <w:p w14:paraId="5F2CFF76" w14:textId="77777777" w:rsidR="00E836FB" w:rsidRDefault="00E836FB">
            <w:pPr>
              <w:rPr>
                <w:rFonts w:ascii="宋体"/>
                <w:vanish/>
              </w:rPr>
            </w:pPr>
          </w:p>
        </w:tc>
        <w:tc>
          <w:tcPr>
            <w:tcW w:w="0" w:type="auto"/>
            <w:gridSpan w:val="3"/>
            <w:shd w:val="clear" w:color="auto" w:fill="auto"/>
            <w:vAlign w:val="bottom"/>
          </w:tcPr>
          <w:p w14:paraId="5F2CFF77" w14:textId="77777777" w:rsidR="00E836FB" w:rsidRDefault="00E836FB">
            <w:pPr>
              <w:rPr>
                <w:rFonts w:ascii="宋体"/>
                <w:vanish/>
              </w:rPr>
            </w:pPr>
          </w:p>
        </w:tc>
        <w:tc>
          <w:tcPr>
            <w:tcW w:w="0" w:type="auto"/>
            <w:gridSpan w:val="3"/>
            <w:shd w:val="clear" w:color="auto" w:fill="auto"/>
            <w:vAlign w:val="bottom"/>
          </w:tcPr>
          <w:p w14:paraId="5F2CFF78" w14:textId="77777777" w:rsidR="00E836FB" w:rsidRDefault="00E836FB">
            <w:pPr>
              <w:rPr>
                <w:rFonts w:ascii="宋体"/>
                <w:vanish/>
              </w:rPr>
            </w:pPr>
          </w:p>
        </w:tc>
        <w:tc>
          <w:tcPr>
            <w:tcW w:w="0" w:type="auto"/>
            <w:gridSpan w:val="3"/>
            <w:shd w:val="clear" w:color="auto" w:fill="auto"/>
            <w:vAlign w:val="bottom"/>
          </w:tcPr>
          <w:p w14:paraId="5F2CFF79" w14:textId="77777777" w:rsidR="00E836FB" w:rsidRDefault="00E836FB">
            <w:pPr>
              <w:rPr>
                <w:rFonts w:ascii="宋体"/>
                <w:vanish/>
              </w:rPr>
            </w:pPr>
          </w:p>
        </w:tc>
        <w:tc>
          <w:tcPr>
            <w:tcW w:w="0" w:type="auto"/>
            <w:gridSpan w:val="3"/>
            <w:shd w:val="clear" w:color="auto" w:fill="auto"/>
            <w:vAlign w:val="bottom"/>
          </w:tcPr>
          <w:p w14:paraId="5F2CFF7A" w14:textId="77777777" w:rsidR="00E836FB" w:rsidRDefault="00E836FB">
            <w:pPr>
              <w:rPr>
                <w:rFonts w:ascii="宋体"/>
                <w:vanish/>
              </w:rPr>
            </w:pPr>
          </w:p>
        </w:tc>
        <w:tc>
          <w:tcPr>
            <w:tcW w:w="0" w:type="auto"/>
            <w:gridSpan w:val="3"/>
            <w:shd w:val="clear" w:color="auto" w:fill="auto"/>
            <w:vAlign w:val="bottom"/>
          </w:tcPr>
          <w:p w14:paraId="5F2CFF7B" w14:textId="77777777" w:rsidR="00E836FB" w:rsidRDefault="00E836FB">
            <w:pPr>
              <w:rPr>
                <w:rFonts w:ascii="宋体"/>
                <w:vanish/>
              </w:rPr>
            </w:pPr>
          </w:p>
        </w:tc>
        <w:tc>
          <w:tcPr>
            <w:tcW w:w="0" w:type="auto"/>
            <w:gridSpan w:val="3"/>
            <w:shd w:val="clear" w:color="auto" w:fill="auto"/>
            <w:vAlign w:val="bottom"/>
          </w:tcPr>
          <w:p w14:paraId="5F2CFF7C" w14:textId="77777777" w:rsidR="00E836FB" w:rsidRDefault="00E836FB">
            <w:pPr>
              <w:rPr>
                <w:rFonts w:ascii="宋体"/>
                <w:vanish/>
              </w:rPr>
            </w:pPr>
          </w:p>
        </w:tc>
        <w:tc>
          <w:tcPr>
            <w:tcW w:w="0" w:type="auto"/>
            <w:gridSpan w:val="3"/>
            <w:shd w:val="clear" w:color="auto" w:fill="auto"/>
            <w:vAlign w:val="bottom"/>
          </w:tcPr>
          <w:p w14:paraId="5F2CFF7D" w14:textId="77777777" w:rsidR="00E836FB" w:rsidRDefault="00E836FB">
            <w:pPr>
              <w:rPr>
                <w:rFonts w:ascii="宋体"/>
                <w:vanish/>
              </w:rPr>
            </w:pPr>
          </w:p>
        </w:tc>
        <w:tc>
          <w:tcPr>
            <w:tcW w:w="0" w:type="auto"/>
            <w:gridSpan w:val="3"/>
            <w:shd w:val="clear" w:color="auto" w:fill="auto"/>
            <w:vAlign w:val="bottom"/>
          </w:tcPr>
          <w:p w14:paraId="5F2CFF7E" w14:textId="77777777" w:rsidR="00E836FB" w:rsidRDefault="00E836FB">
            <w:pPr>
              <w:rPr>
                <w:rFonts w:ascii="宋体"/>
                <w:vanish/>
              </w:rPr>
            </w:pPr>
          </w:p>
        </w:tc>
        <w:tc>
          <w:tcPr>
            <w:tcW w:w="0" w:type="auto"/>
            <w:gridSpan w:val="3"/>
            <w:shd w:val="clear" w:color="auto" w:fill="auto"/>
            <w:vAlign w:val="bottom"/>
          </w:tcPr>
          <w:p w14:paraId="5F2CFF7F" w14:textId="77777777" w:rsidR="00E836FB" w:rsidRDefault="00E836FB">
            <w:pPr>
              <w:rPr>
                <w:rFonts w:ascii="宋体"/>
                <w:vanish/>
              </w:rPr>
            </w:pPr>
          </w:p>
        </w:tc>
      </w:tr>
      <w:tr w:rsidR="00E836FB" w14:paraId="5F2CFF8F" w14:textId="77777777">
        <w:tc>
          <w:tcPr>
            <w:tcW w:w="0" w:type="auto"/>
            <w:gridSpan w:val="3"/>
            <w:shd w:val="clear" w:color="auto" w:fill="CCEEFF"/>
            <w:tcMar>
              <w:top w:w="40" w:type="dxa"/>
              <w:left w:w="245" w:type="dxa"/>
              <w:bottom w:w="40" w:type="dxa"/>
              <w:right w:w="20" w:type="dxa"/>
            </w:tcMar>
            <w:vAlign w:val="bottom"/>
          </w:tcPr>
          <w:p w14:paraId="5F2CFF81" w14:textId="77777777" w:rsidR="00E836FB" w:rsidRDefault="00994958">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5F2CFF82"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F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8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85" w14:textId="77777777" w:rsidR="00E836FB" w:rsidRDefault="00994958">
            <w:pPr>
              <w:jc w:val="right"/>
              <w:textAlignment w:val="bottom"/>
            </w:pPr>
            <w:r>
              <w:rPr>
                <w:rFonts w:ascii="Arial" w:eastAsia="宋体" w:hAnsi="Arial" w:cs="Arial"/>
                <w:color w:val="000000"/>
                <w:sz w:val="15"/>
                <w:szCs w:val="15"/>
              </w:rPr>
              <w:t>3,443 </w:t>
            </w:r>
          </w:p>
        </w:tc>
        <w:tc>
          <w:tcPr>
            <w:tcW w:w="0" w:type="auto"/>
            <w:shd w:val="clear" w:color="auto" w:fill="CCEEFF"/>
            <w:tcMar>
              <w:top w:w="40" w:type="dxa"/>
              <w:left w:w="0" w:type="dxa"/>
              <w:bottom w:w="40" w:type="dxa"/>
              <w:right w:w="20" w:type="dxa"/>
            </w:tcMar>
            <w:vAlign w:val="bottom"/>
          </w:tcPr>
          <w:p w14:paraId="5F2CFF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8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88"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F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8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8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8D" w14:textId="77777777" w:rsidR="00E836FB" w:rsidRDefault="00994958">
            <w:pPr>
              <w:jc w:val="right"/>
              <w:textAlignment w:val="bottom"/>
            </w:pPr>
            <w:r>
              <w:rPr>
                <w:rFonts w:ascii="Arial" w:eastAsia="宋体" w:hAnsi="Arial" w:cs="Arial"/>
                <w:color w:val="000000"/>
                <w:sz w:val="15"/>
                <w:szCs w:val="15"/>
              </w:rPr>
              <w:t>3,443 </w:t>
            </w:r>
          </w:p>
        </w:tc>
        <w:tc>
          <w:tcPr>
            <w:tcW w:w="0" w:type="auto"/>
            <w:shd w:val="clear" w:color="auto" w:fill="CCEEFF"/>
            <w:tcMar>
              <w:top w:w="40" w:type="dxa"/>
              <w:left w:w="0" w:type="dxa"/>
              <w:bottom w:w="40" w:type="dxa"/>
              <w:right w:w="20" w:type="dxa"/>
            </w:tcMar>
            <w:vAlign w:val="bottom"/>
          </w:tcPr>
          <w:p w14:paraId="5F2CFF8E" w14:textId="77777777" w:rsidR="00E836FB" w:rsidRDefault="00E836FB">
            <w:pPr>
              <w:jc w:val="right"/>
              <w:rPr>
                <w:rFonts w:ascii="宋体"/>
              </w:rPr>
            </w:pPr>
          </w:p>
        </w:tc>
      </w:tr>
      <w:tr w:rsidR="00E836FB" w14:paraId="5F2CFF9A" w14:textId="77777777">
        <w:trPr>
          <w:hidden/>
        </w:trPr>
        <w:tc>
          <w:tcPr>
            <w:tcW w:w="0" w:type="auto"/>
            <w:gridSpan w:val="3"/>
            <w:shd w:val="clear" w:color="auto" w:fill="auto"/>
            <w:vAlign w:val="bottom"/>
          </w:tcPr>
          <w:p w14:paraId="5F2CFF90" w14:textId="77777777" w:rsidR="00E836FB" w:rsidRDefault="00E836FB">
            <w:pPr>
              <w:rPr>
                <w:rFonts w:ascii="宋体"/>
                <w:vanish/>
              </w:rPr>
            </w:pPr>
          </w:p>
        </w:tc>
        <w:tc>
          <w:tcPr>
            <w:tcW w:w="0" w:type="auto"/>
            <w:gridSpan w:val="3"/>
            <w:shd w:val="clear" w:color="auto" w:fill="auto"/>
            <w:vAlign w:val="bottom"/>
          </w:tcPr>
          <w:p w14:paraId="5F2CFF91" w14:textId="77777777" w:rsidR="00E836FB" w:rsidRDefault="00E836FB">
            <w:pPr>
              <w:rPr>
                <w:rFonts w:ascii="宋体"/>
                <w:vanish/>
              </w:rPr>
            </w:pPr>
          </w:p>
        </w:tc>
        <w:tc>
          <w:tcPr>
            <w:tcW w:w="0" w:type="auto"/>
            <w:gridSpan w:val="3"/>
            <w:shd w:val="clear" w:color="auto" w:fill="auto"/>
            <w:vAlign w:val="bottom"/>
          </w:tcPr>
          <w:p w14:paraId="5F2CFF92" w14:textId="77777777" w:rsidR="00E836FB" w:rsidRDefault="00E836FB">
            <w:pPr>
              <w:rPr>
                <w:rFonts w:ascii="宋体"/>
                <w:vanish/>
              </w:rPr>
            </w:pPr>
          </w:p>
        </w:tc>
        <w:tc>
          <w:tcPr>
            <w:tcW w:w="0" w:type="auto"/>
            <w:gridSpan w:val="3"/>
            <w:shd w:val="clear" w:color="auto" w:fill="auto"/>
            <w:vAlign w:val="bottom"/>
          </w:tcPr>
          <w:p w14:paraId="5F2CFF93" w14:textId="77777777" w:rsidR="00E836FB" w:rsidRDefault="00E836FB">
            <w:pPr>
              <w:rPr>
                <w:rFonts w:ascii="宋体"/>
                <w:vanish/>
              </w:rPr>
            </w:pPr>
          </w:p>
        </w:tc>
        <w:tc>
          <w:tcPr>
            <w:tcW w:w="0" w:type="auto"/>
            <w:gridSpan w:val="3"/>
            <w:shd w:val="clear" w:color="auto" w:fill="auto"/>
            <w:vAlign w:val="bottom"/>
          </w:tcPr>
          <w:p w14:paraId="5F2CFF94" w14:textId="77777777" w:rsidR="00E836FB" w:rsidRDefault="00E836FB">
            <w:pPr>
              <w:rPr>
                <w:rFonts w:ascii="宋体"/>
                <w:vanish/>
              </w:rPr>
            </w:pPr>
          </w:p>
        </w:tc>
        <w:tc>
          <w:tcPr>
            <w:tcW w:w="0" w:type="auto"/>
            <w:gridSpan w:val="3"/>
            <w:shd w:val="clear" w:color="auto" w:fill="auto"/>
            <w:vAlign w:val="bottom"/>
          </w:tcPr>
          <w:p w14:paraId="5F2CFF95" w14:textId="77777777" w:rsidR="00E836FB" w:rsidRDefault="00E836FB">
            <w:pPr>
              <w:rPr>
                <w:rFonts w:ascii="宋体"/>
                <w:vanish/>
              </w:rPr>
            </w:pPr>
          </w:p>
        </w:tc>
        <w:tc>
          <w:tcPr>
            <w:tcW w:w="0" w:type="auto"/>
            <w:gridSpan w:val="3"/>
            <w:shd w:val="clear" w:color="auto" w:fill="auto"/>
            <w:vAlign w:val="bottom"/>
          </w:tcPr>
          <w:p w14:paraId="5F2CFF96" w14:textId="77777777" w:rsidR="00E836FB" w:rsidRDefault="00E836FB">
            <w:pPr>
              <w:rPr>
                <w:rFonts w:ascii="宋体"/>
                <w:vanish/>
              </w:rPr>
            </w:pPr>
          </w:p>
        </w:tc>
        <w:tc>
          <w:tcPr>
            <w:tcW w:w="0" w:type="auto"/>
            <w:gridSpan w:val="3"/>
            <w:shd w:val="clear" w:color="auto" w:fill="auto"/>
            <w:vAlign w:val="bottom"/>
          </w:tcPr>
          <w:p w14:paraId="5F2CFF97" w14:textId="77777777" w:rsidR="00E836FB" w:rsidRDefault="00E836FB">
            <w:pPr>
              <w:rPr>
                <w:rFonts w:ascii="宋体"/>
                <w:vanish/>
              </w:rPr>
            </w:pPr>
          </w:p>
        </w:tc>
        <w:tc>
          <w:tcPr>
            <w:tcW w:w="0" w:type="auto"/>
            <w:gridSpan w:val="3"/>
            <w:shd w:val="clear" w:color="auto" w:fill="auto"/>
            <w:vAlign w:val="bottom"/>
          </w:tcPr>
          <w:p w14:paraId="5F2CFF98" w14:textId="77777777" w:rsidR="00E836FB" w:rsidRDefault="00E836FB">
            <w:pPr>
              <w:rPr>
                <w:rFonts w:ascii="宋体"/>
                <w:vanish/>
              </w:rPr>
            </w:pPr>
          </w:p>
        </w:tc>
        <w:tc>
          <w:tcPr>
            <w:tcW w:w="0" w:type="auto"/>
            <w:gridSpan w:val="3"/>
            <w:shd w:val="clear" w:color="auto" w:fill="auto"/>
            <w:vAlign w:val="bottom"/>
          </w:tcPr>
          <w:p w14:paraId="5F2CFF99" w14:textId="77777777" w:rsidR="00E836FB" w:rsidRDefault="00E836FB">
            <w:pPr>
              <w:rPr>
                <w:rFonts w:ascii="宋体"/>
                <w:vanish/>
              </w:rPr>
            </w:pPr>
          </w:p>
        </w:tc>
      </w:tr>
      <w:tr w:rsidR="00E836FB" w14:paraId="5F2CFFA5" w14:textId="77777777">
        <w:trPr>
          <w:hidden/>
        </w:trPr>
        <w:tc>
          <w:tcPr>
            <w:tcW w:w="0" w:type="auto"/>
            <w:gridSpan w:val="3"/>
            <w:shd w:val="clear" w:color="auto" w:fill="auto"/>
            <w:vAlign w:val="bottom"/>
          </w:tcPr>
          <w:p w14:paraId="5F2CFF9B" w14:textId="77777777" w:rsidR="00E836FB" w:rsidRDefault="00E836FB">
            <w:pPr>
              <w:rPr>
                <w:rFonts w:ascii="宋体"/>
                <w:vanish/>
              </w:rPr>
            </w:pPr>
          </w:p>
        </w:tc>
        <w:tc>
          <w:tcPr>
            <w:tcW w:w="0" w:type="auto"/>
            <w:gridSpan w:val="3"/>
            <w:shd w:val="clear" w:color="auto" w:fill="auto"/>
            <w:vAlign w:val="bottom"/>
          </w:tcPr>
          <w:p w14:paraId="5F2CFF9C" w14:textId="77777777" w:rsidR="00E836FB" w:rsidRDefault="00E836FB">
            <w:pPr>
              <w:rPr>
                <w:rFonts w:ascii="宋体"/>
                <w:vanish/>
              </w:rPr>
            </w:pPr>
          </w:p>
        </w:tc>
        <w:tc>
          <w:tcPr>
            <w:tcW w:w="0" w:type="auto"/>
            <w:gridSpan w:val="3"/>
            <w:shd w:val="clear" w:color="auto" w:fill="auto"/>
            <w:vAlign w:val="bottom"/>
          </w:tcPr>
          <w:p w14:paraId="5F2CFF9D" w14:textId="77777777" w:rsidR="00E836FB" w:rsidRDefault="00E836FB">
            <w:pPr>
              <w:rPr>
                <w:rFonts w:ascii="宋体"/>
                <w:vanish/>
              </w:rPr>
            </w:pPr>
          </w:p>
        </w:tc>
        <w:tc>
          <w:tcPr>
            <w:tcW w:w="0" w:type="auto"/>
            <w:gridSpan w:val="3"/>
            <w:shd w:val="clear" w:color="auto" w:fill="auto"/>
            <w:vAlign w:val="bottom"/>
          </w:tcPr>
          <w:p w14:paraId="5F2CFF9E" w14:textId="77777777" w:rsidR="00E836FB" w:rsidRDefault="00E836FB">
            <w:pPr>
              <w:rPr>
                <w:rFonts w:ascii="宋体"/>
                <w:vanish/>
              </w:rPr>
            </w:pPr>
          </w:p>
        </w:tc>
        <w:tc>
          <w:tcPr>
            <w:tcW w:w="0" w:type="auto"/>
            <w:gridSpan w:val="3"/>
            <w:shd w:val="clear" w:color="auto" w:fill="auto"/>
            <w:vAlign w:val="bottom"/>
          </w:tcPr>
          <w:p w14:paraId="5F2CFF9F" w14:textId="77777777" w:rsidR="00E836FB" w:rsidRDefault="00E836FB">
            <w:pPr>
              <w:rPr>
                <w:rFonts w:ascii="宋体"/>
                <w:vanish/>
              </w:rPr>
            </w:pPr>
          </w:p>
        </w:tc>
        <w:tc>
          <w:tcPr>
            <w:tcW w:w="0" w:type="auto"/>
            <w:gridSpan w:val="3"/>
            <w:shd w:val="clear" w:color="auto" w:fill="auto"/>
            <w:vAlign w:val="bottom"/>
          </w:tcPr>
          <w:p w14:paraId="5F2CFFA0" w14:textId="77777777" w:rsidR="00E836FB" w:rsidRDefault="00E836FB">
            <w:pPr>
              <w:rPr>
                <w:rFonts w:ascii="宋体"/>
                <w:vanish/>
              </w:rPr>
            </w:pPr>
          </w:p>
        </w:tc>
        <w:tc>
          <w:tcPr>
            <w:tcW w:w="0" w:type="auto"/>
            <w:gridSpan w:val="3"/>
            <w:shd w:val="clear" w:color="auto" w:fill="auto"/>
            <w:vAlign w:val="bottom"/>
          </w:tcPr>
          <w:p w14:paraId="5F2CFFA1" w14:textId="77777777" w:rsidR="00E836FB" w:rsidRDefault="00E836FB">
            <w:pPr>
              <w:rPr>
                <w:rFonts w:ascii="宋体"/>
                <w:vanish/>
              </w:rPr>
            </w:pPr>
          </w:p>
        </w:tc>
        <w:tc>
          <w:tcPr>
            <w:tcW w:w="0" w:type="auto"/>
            <w:gridSpan w:val="3"/>
            <w:shd w:val="clear" w:color="auto" w:fill="auto"/>
            <w:vAlign w:val="bottom"/>
          </w:tcPr>
          <w:p w14:paraId="5F2CFFA2" w14:textId="77777777" w:rsidR="00E836FB" w:rsidRDefault="00E836FB">
            <w:pPr>
              <w:rPr>
                <w:rFonts w:ascii="宋体"/>
                <w:vanish/>
              </w:rPr>
            </w:pPr>
          </w:p>
        </w:tc>
        <w:tc>
          <w:tcPr>
            <w:tcW w:w="0" w:type="auto"/>
            <w:gridSpan w:val="3"/>
            <w:shd w:val="clear" w:color="auto" w:fill="auto"/>
            <w:vAlign w:val="bottom"/>
          </w:tcPr>
          <w:p w14:paraId="5F2CFFA3" w14:textId="77777777" w:rsidR="00E836FB" w:rsidRDefault="00E836FB">
            <w:pPr>
              <w:rPr>
                <w:rFonts w:ascii="宋体"/>
                <w:vanish/>
              </w:rPr>
            </w:pPr>
          </w:p>
        </w:tc>
        <w:tc>
          <w:tcPr>
            <w:tcW w:w="0" w:type="auto"/>
            <w:gridSpan w:val="3"/>
            <w:shd w:val="clear" w:color="auto" w:fill="auto"/>
            <w:vAlign w:val="bottom"/>
          </w:tcPr>
          <w:p w14:paraId="5F2CFFA4" w14:textId="77777777" w:rsidR="00E836FB" w:rsidRDefault="00E836FB">
            <w:pPr>
              <w:rPr>
                <w:rFonts w:ascii="宋体"/>
                <w:vanish/>
              </w:rPr>
            </w:pPr>
          </w:p>
        </w:tc>
      </w:tr>
      <w:tr w:rsidR="00E836FB" w14:paraId="5F2CFFB0" w14:textId="77777777">
        <w:trPr>
          <w:hidden/>
        </w:trPr>
        <w:tc>
          <w:tcPr>
            <w:tcW w:w="0" w:type="auto"/>
            <w:gridSpan w:val="3"/>
            <w:shd w:val="clear" w:color="auto" w:fill="auto"/>
            <w:vAlign w:val="bottom"/>
          </w:tcPr>
          <w:p w14:paraId="5F2CFFA6" w14:textId="77777777" w:rsidR="00E836FB" w:rsidRDefault="00E836FB">
            <w:pPr>
              <w:rPr>
                <w:rFonts w:ascii="宋体"/>
                <w:vanish/>
              </w:rPr>
            </w:pPr>
          </w:p>
        </w:tc>
        <w:tc>
          <w:tcPr>
            <w:tcW w:w="0" w:type="auto"/>
            <w:gridSpan w:val="3"/>
            <w:shd w:val="clear" w:color="auto" w:fill="auto"/>
            <w:vAlign w:val="bottom"/>
          </w:tcPr>
          <w:p w14:paraId="5F2CFFA7" w14:textId="77777777" w:rsidR="00E836FB" w:rsidRDefault="00E836FB">
            <w:pPr>
              <w:rPr>
                <w:rFonts w:ascii="宋体"/>
                <w:vanish/>
              </w:rPr>
            </w:pPr>
          </w:p>
        </w:tc>
        <w:tc>
          <w:tcPr>
            <w:tcW w:w="0" w:type="auto"/>
            <w:gridSpan w:val="3"/>
            <w:shd w:val="clear" w:color="auto" w:fill="auto"/>
            <w:vAlign w:val="bottom"/>
          </w:tcPr>
          <w:p w14:paraId="5F2CFFA8" w14:textId="77777777" w:rsidR="00E836FB" w:rsidRDefault="00E836FB">
            <w:pPr>
              <w:rPr>
                <w:rFonts w:ascii="宋体"/>
                <w:vanish/>
              </w:rPr>
            </w:pPr>
          </w:p>
        </w:tc>
        <w:tc>
          <w:tcPr>
            <w:tcW w:w="0" w:type="auto"/>
            <w:gridSpan w:val="3"/>
            <w:shd w:val="clear" w:color="auto" w:fill="auto"/>
            <w:vAlign w:val="bottom"/>
          </w:tcPr>
          <w:p w14:paraId="5F2CFFA9" w14:textId="77777777" w:rsidR="00E836FB" w:rsidRDefault="00E836FB">
            <w:pPr>
              <w:rPr>
                <w:rFonts w:ascii="宋体"/>
                <w:vanish/>
              </w:rPr>
            </w:pPr>
          </w:p>
        </w:tc>
        <w:tc>
          <w:tcPr>
            <w:tcW w:w="0" w:type="auto"/>
            <w:gridSpan w:val="3"/>
            <w:shd w:val="clear" w:color="auto" w:fill="auto"/>
            <w:vAlign w:val="bottom"/>
          </w:tcPr>
          <w:p w14:paraId="5F2CFFAA" w14:textId="77777777" w:rsidR="00E836FB" w:rsidRDefault="00E836FB">
            <w:pPr>
              <w:rPr>
                <w:rFonts w:ascii="宋体"/>
                <w:vanish/>
              </w:rPr>
            </w:pPr>
          </w:p>
        </w:tc>
        <w:tc>
          <w:tcPr>
            <w:tcW w:w="0" w:type="auto"/>
            <w:gridSpan w:val="3"/>
            <w:shd w:val="clear" w:color="auto" w:fill="auto"/>
            <w:vAlign w:val="bottom"/>
          </w:tcPr>
          <w:p w14:paraId="5F2CFFAB" w14:textId="77777777" w:rsidR="00E836FB" w:rsidRDefault="00E836FB">
            <w:pPr>
              <w:rPr>
                <w:rFonts w:ascii="宋体"/>
                <w:vanish/>
              </w:rPr>
            </w:pPr>
          </w:p>
        </w:tc>
        <w:tc>
          <w:tcPr>
            <w:tcW w:w="0" w:type="auto"/>
            <w:gridSpan w:val="3"/>
            <w:shd w:val="clear" w:color="auto" w:fill="auto"/>
            <w:vAlign w:val="bottom"/>
          </w:tcPr>
          <w:p w14:paraId="5F2CFFAC" w14:textId="77777777" w:rsidR="00E836FB" w:rsidRDefault="00E836FB">
            <w:pPr>
              <w:rPr>
                <w:rFonts w:ascii="宋体"/>
                <w:vanish/>
              </w:rPr>
            </w:pPr>
          </w:p>
        </w:tc>
        <w:tc>
          <w:tcPr>
            <w:tcW w:w="0" w:type="auto"/>
            <w:gridSpan w:val="3"/>
            <w:shd w:val="clear" w:color="auto" w:fill="auto"/>
            <w:vAlign w:val="bottom"/>
          </w:tcPr>
          <w:p w14:paraId="5F2CFFAD" w14:textId="77777777" w:rsidR="00E836FB" w:rsidRDefault="00E836FB">
            <w:pPr>
              <w:rPr>
                <w:rFonts w:ascii="宋体"/>
                <w:vanish/>
              </w:rPr>
            </w:pPr>
          </w:p>
        </w:tc>
        <w:tc>
          <w:tcPr>
            <w:tcW w:w="0" w:type="auto"/>
            <w:gridSpan w:val="3"/>
            <w:shd w:val="clear" w:color="auto" w:fill="auto"/>
            <w:vAlign w:val="bottom"/>
          </w:tcPr>
          <w:p w14:paraId="5F2CFFAE" w14:textId="77777777" w:rsidR="00E836FB" w:rsidRDefault="00E836FB">
            <w:pPr>
              <w:rPr>
                <w:rFonts w:ascii="宋体"/>
                <w:vanish/>
              </w:rPr>
            </w:pPr>
          </w:p>
        </w:tc>
        <w:tc>
          <w:tcPr>
            <w:tcW w:w="0" w:type="auto"/>
            <w:gridSpan w:val="3"/>
            <w:shd w:val="clear" w:color="auto" w:fill="auto"/>
            <w:vAlign w:val="bottom"/>
          </w:tcPr>
          <w:p w14:paraId="5F2CFFAF" w14:textId="77777777" w:rsidR="00E836FB" w:rsidRDefault="00E836FB">
            <w:pPr>
              <w:rPr>
                <w:rFonts w:ascii="宋体"/>
                <w:vanish/>
              </w:rPr>
            </w:pPr>
          </w:p>
        </w:tc>
      </w:tr>
      <w:tr w:rsidR="00E836FB" w14:paraId="5F2CFFBB" w14:textId="77777777">
        <w:trPr>
          <w:hidden/>
        </w:trPr>
        <w:tc>
          <w:tcPr>
            <w:tcW w:w="0" w:type="auto"/>
            <w:gridSpan w:val="3"/>
            <w:shd w:val="clear" w:color="auto" w:fill="auto"/>
            <w:vAlign w:val="bottom"/>
          </w:tcPr>
          <w:p w14:paraId="5F2CFFB1" w14:textId="77777777" w:rsidR="00E836FB" w:rsidRDefault="00E836FB">
            <w:pPr>
              <w:rPr>
                <w:rFonts w:ascii="宋体"/>
                <w:vanish/>
              </w:rPr>
            </w:pPr>
          </w:p>
        </w:tc>
        <w:tc>
          <w:tcPr>
            <w:tcW w:w="0" w:type="auto"/>
            <w:gridSpan w:val="3"/>
            <w:shd w:val="clear" w:color="auto" w:fill="auto"/>
            <w:vAlign w:val="bottom"/>
          </w:tcPr>
          <w:p w14:paraId="5F2CFFB2" w14:textId="77777777" w:rsidR="00E836FB" w:rsidRDefault="00E836FB">
            <w:pPr>
              <w:rPr>
                <w:rFonts w:ascii="宋体"/>
                <w:vanish/>
              </w:rPr>
            </w:pPr>
          </w:p>
        </w:tc>
        <w:tc>
          <w:tcPr>
            <w:tcW w:w="0" w:type="auto"/>
            <w:gridSpan w:val="3"/>
            <w:shd w:val="clear" w:color="auto" w:fill="auto"/>
            <w:vAlign w:val="bottom"/>
          </w:tcPr>
          <w:p w14:paraId="5F2CFFB3" w14:textId="77777777" w:rsidR="00E836FB" w:rsidRDefault="00E836FB">
            <w:pPr>
              <w:rPr>
                <w:rFonts w:ascii="宋体"/>
                <w:vanish/>
              </w:rPr>
            </w:pPr>
          </w:p>
        </w:tc>
        <w:tc>
          <w:tcPr>
            <w:tcW w:w="0" w:type="auto"/>
            <w:gridSpan w:val="3"/>
            <w:shd w:val="clear" w:color="auto" w:fill="auto"/>
            <w:vAlign w:val="bottom"/>
          </w:tcPr>
          <w:p w14:paraId="5F2CFFB4" w14:textId="77777777" w:rsidR="00E836FB" w:rsidRDefault="00E836FB">
            <w:pPr>
              <w:rPr>
                <w:rFonts w:ascii="宋体"/>
                <w:vanish/>
              </w:rPr>
            </w:pPr>
          </w:p>
        </w:tc>
        <w:tc>
          <w:tcPr>
            <w:tcW w:w="0" w:type="auto"/>
            <w:gridSpan w:val="3"/>
            <w:shd w:val="clear" w:color="auto" w:fill="auto"/>
            <w:vAlign w:val="bottom"/>
          </w:tcPr>
          <w:p w14:paraId="5F2CFFB5" w14:textId="77777777" w:rsidR="00E836FB" w:rsidRDefault="00E836FB">
            <w:pPr>
              <w:rPr>
                <w:rFonts w:ascii="宋体"/>
                <w:vanish/>
              </w:rPr>
            </w:pPr>
          </w:p>
        </w:tc>
        <w:tc>
          <w:tcPr>
            <w:tcW w:w="0" w:type="auto"/>
            <w:gridSpan w:val="3"/>
            <w:shd w:val="clear" w:color="auto" w:fill="auto"/>
            <w:vAlign w:val="bottom"/>
          </w:tcPr>
          <w:p w14:paraId="5F2CFFB6" w14:textId="77777777" w:rsidR="00E836FB" w:rsidRDefault="00E836FB">
            <w:pPr>
              <w:rPr>
                <w:rFonts w:ascii="宋体"/>
                <w:vanish/>
              </w:rPr>
            </w:pPr>
          </w:p>
        </w:tc>
        <w:tc>
          <w:tcPr>
            <w:tcW w:w="0" w:type="auto"/>
            <w:gridSpan w:val="3"/>
            <w:shd w:val="clear" w:color="auto" w:fill="auto"/>
            <w:vAlign w:val="bottom"/>
          </w:tcPr>
          <w:p w14:paraId="5F2CFFB7" w14:textId="77777777" w:rsidR="00E836FB" w:rsidRDefault="00E836FB">
            <w:pPr>
              <w:rPr>
                <w:rFonts w:ascii="宋体"/>
                <w:vanish/>
              </w:rPr>
            </w:pPr>
          </w:p>
        </w:tc>
        <w:tc>
          <w:tcPr>
            <w:tcW w:w="0" w:type="auto"/>
            <w:gridSpan w:val="3"/>
            <w:shd w:val="clear" w:color="auto" w:fill="auto"/>
            <w:vAlign w:val="bottom"/>
          </w:tcPr>
          <w:p w14:paraId="5F2CFFB8" w14:textId="77777777" w:rsidR="00E836FB" w:rsidRDefault="00E836FB">
            <w:pPr>
              <w:rPr>
                <w:rFonts w:ascii="宋体"/>
                <w:vanish/>
              </w:rPr>
            </w:pPr>
          </w:p>
        </w:tc>
        <w:tc>
          <w:tcPr>
            <w:tcW w:w="0" w:type="auto"/>
            <w:gridSpan w:val="3"/>
            <w:shd w:val="clear" w:color="auto" w:fill="auto"/>
            <w:vAlign w:val="bottom"/>
          </w:tcPr>
          <w:p w14:paraId="5F2CFFB9" w14:textId="77777777" w:rsidR="00E836FB" w:rsidRDefault="00E836FB">
            <w:pPr>
              <w:rPr>
                <w:rFonts w:ascii="宋体"/>
                <w:vanish/>
              </w:rPr>
            </w:pPr>
          </w:p>
        </w:tc>
        <w:tc>
          <w:tcPr>
            <w:tcW w:w="0" w:type="auto"/>
            <w:gridSpan w:val="3"/>
            <w:shd w:val="clear" w:color="auto" w:fill="auto"/>
            <w:vAlign w:val="bottom"/>
          </w:tcPr>
          <w:p w14:paraId="5F2CFFBA" w14:textId="77777777" w:rsidR="00E836FB" w:rsidRDefault="00E836FB">
            <w:pPr>
              <w:rPr>
                <w:rFonts w:ascii="宋体"/>
                <w:vanish/>
              </w:rPr>
            </w:pPr>
          </w:p>
        </w:tc>
      </w:tr>
      <w:tr w:rsidR="00E836FB" w14:paraId="5F2CFFCA" w14:textId="77777777">
        <w:tc>
          <w:tcPr>
            <w:tcW w:w="0" w:type="auto"/>
            <w:gridSpan w:val="3"/>
            <w:shd w:val="clear" w:color="auto" w:fill="FFFFFF"/>
            <w:tcMar>
              <w:top w:w="40" w:type="dxa"/>
              <w:left w:w="740" w:type="dxa"/>
              <w:bottom w:w="40" w:type="dxa"/>
              <w:right w:w="20" w:type="dxa"/>
            </w:tcMar>
            <w:vAlign w:val="bottom"/>
          </w:tcPr>
          <w:p w14:paraId="5F2CFFBC" w14:textId="77777777" w:rsidR="00E836FB" w:rsidRDefault="00994958">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BD" w14:textId="77777777" w:rsidR="00E836FB" w:rsidRDefault="00994958">
            <w:pPr>
              <w:jc w:val="right"/>
              <w:textAlignment w:val="bottom"/>
            </w:pPr>
            <w:r>
              <w:rPr>
                <w:rFonts w:ascii="Arial" w:eastAsia="宋体" w:hAnsi="Arial" w:cs="Arial"/>
                <w:color w:val="000000"/>
                <w:sz w:val="15"/>
                <w:szCs w:val="15"/>
              </w:rPr>
              <w:t>6,575 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B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B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C0" w14:textId="77777777" w:rsidR="00E836FB" w:rsidRDefault="00994958">
            <w:pPr>
              <w:jc w:val="right"/>
              <w:textAlignment w:val="bottom"/>
            </w:pPr>
            <w:r>
              <w:rPr>
                <w:rFonts w:ascii="Arial" w:eastAsia="宋体" w:hAnsi="Arial" w:cs="Arial"/>
                <w:color w:val="000000"/>
                <w:sz w:val="15"/>
                <w:szCs w:val="15"/>
              </w:rPr>
              <w:t>52,459 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C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C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C3" w14:textId="77777777" w:rsidR="00E836FB" w:rsidRDefault="00994958">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C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C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C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C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CFFC8" w14:textId="77777777" w:rsidR="00E836FB" w:rsidRDefault="00994958">
            <w:pPr>
              <w:jc w:val="right"/>
              <w:textAlignment w:val="bottom"/>
            </w:pPr>
            <w:r>
              <w:rPr>
                <w:rFonts w:ascii="Arial" w:eastAsia="宋体" w:hAnsi="Arial" w:cs="Arial"/>
                <w:color w:val="000000"/>
                <w:sz w:val="15"/>
                <w:szCs w:val="15"/>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CFFC9" w14:textId="77777777" w:rsidR="00E836FB" w:rsidRDefault="00E836FB">
            <w:pPr>
              <w:jc w:val="right"/>
              <w:rPr>
                <w:rFonts w:ascii="宋体"/>
              </w:rPr>
            </w:pPr>
          </w:p>
        </w:tc>
      </w:tr>
      <w:tr w:rsidR="00E836FB" w14:paraId="5F2CFFD5" w14:textId="77777777">
        <w:tc>
          <w:tcPr>
            <w:tcW w:w="0" w:type="auto"/>
            <w:gridSpan w:val="3"/>
            <w:shd w:val="clear" w:color="auto" w:fill="CCEEFF"/>
            <w:tcMar>
              <w:top w:w="40" w:type="dxa"/>
              <w:left w:w="20" w:type="dxa"/>
              <w:bottom w:w="40" w:type="dxa"/>
              <w:right w:w="20" w:type="dxa"/>
            </w:tcMar>
            <w:vAlign w:val="bottom"/>
          </w:tcPr>
          <w:p w14:paraId="5F2CFFCB" w14:textId="77777777" w:rsidR="00E836FB" w:rsidRDefault="00994958">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vAlign w:val="bottom"/>
          </w:tcPr>
          <w:p w14:paraId="5F2CFFC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C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C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C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D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D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D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D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CFFD4" w14:textId="77777777" w:rsidR="00E836FB" w:rsidRDefault="00E836FB">
            <w:pPr>
              <w:rPr>
                <w:rFonts w:ascii="宋体"/>
              </w:rPr>
            </w:pPr>
          </w:p>
        </w:tc>
      </w:tr>
      <w:tr w:rsidR="00E836FB" w14:paraId="5F2CFFE0" w14:textId="77777777">
        <w:tc>
          <w:tcPr>
            <w:tcW w:w="0" w:type="auto"/>
            <w:gridSpan w:val="3"/>
            <w:shd w:val="clear" w:color="auto" w:fill="FFFFFF"/>
            <w:tcMar>
              <w:top w:w="40" w:type="dxa"/>
              <w:left w:w="245" w:type="dxa"/>
              <w:bottom w:w="40" w:type="dxa"/>
              <w:right w:w="20" w:type="dxa"/>
            </w:tcMar>
            <w:vAlign w:val="bottom"/>
          </w:tcPr>
          <w:p w14:paraId="5F2CFFD6" w14:textId="77777777" w:rsidR="00E836FB" w:rsidRDefault="00994958">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F2CFFD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CFFDF" w14:textId="77777777" w:rsidR="00E836FB" w:rsidRDefault="00E836FB">
            <w:pPr>
              <w:rPr>
                <w:rFonts w:ascii="宋体"/>
              </w:rPr>
            </w:pPr>
          </w:p>
        </w:tc>
      </w:tr>
      <w:tr w:rsidR="00E836FB" w14:paraId="5F2CFFF1" w14:textId="77777777">
        <w:tc>
          <w:tcPr>
            <w:tcW w:w="0" w:type="auto"/>
            <w:gridSpan w:val="3"/>
            <w:shd w:val="clear" w:color="auto" w:fill="CCEEFF"/>
            <w:tcMar>
              <w:top w:w="40" w:type="dxa"/>
              <w:left w:w="515" w:type="dxa"/>
              <w:bottom w:w="40" w:type="dxa"/>
              <w:right w:w="20" w:type="dxa"/>
            </w:tcMar>
            <w:vAlign w:val="bottom"/>
          </w:tcPr>
          <w:p w14:paraId="5F2CFFE1" w14:textId="77777777" w:rsidR="00E836FB" w:rsidRDefault="00994958">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F2CFFE2"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CFFE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E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E5" w14:textId="77777777" w:rsidR="00E836FB" w:rsidRDefault="00994958">
            <w:pPr>
              <w:jc w:val="right"/>
              <w:textAlignment w:val="bottom"/>
            </w:pPr>
            <w:r>
              <w:rPr>
                <w:rFonts w:ascii="Arial" w:eastAsia="宋体" w:hAnsi="Arial" w:cs="Arial"/>
                <w:color w:val="000000"/>
                <w:sz w:val="15"/>
                <w:szCs w:val="15"/>
              </w:rPr>
              <w:t>25,941 </w:t>
            </w:r>
          </w:p>
        </w:tc>
        <w:tc>
          <w:tcPr>
            <w:tcW w:w="0" w:type="auto"/>
            <w:shd w:val="clear" w:color="auto" w:fill="CCEEFF"/>
            <w:tcMar>
              <w:top w:w="40" w:type="dxa"/>
              <w:left w:w="0" w:type="dxa"/>
              <w:bottom w:w="40" w:type="dxa"/>
              <w:right w:w="20" w:type="dxa"/>
            </w:tcMar>
            <w:vAlign w:val="bottom"/>
          </w:tcPr>
          <w:p w14:paraId="5F2CFF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E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E8" w14:textId="77777777" w:rsidR="00E836FB" w:rsidRDefault="00994958">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F2CFF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E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CFFEB"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CFFEC" w14:textId="77777777" w:rsidR="00E836FB" w:rsidRDefault="00994958">
            <w:pPr>
              <w:jc w:val="right"/>
              <w:textAlignment w:val="bottom"/>
            </w:pPr>
            <w:r>
              <w:rPr>
                <w:rFonts w:ascii="Arial" w:eastAsia="宋体" w:hAnsi="Arial" w:cs="Arial"/>
                <w:color w:val="000000"/>
                <w:sz w:val="15"/>
                <w:szCs w:val="15"/>
              </w:rPr>
              <w:t>(20,140)</w:t>
            </w:r>
          </w:p>
        </w:tc>
        <w:tc>
          <w:tcPr>
            <w:tcW w:w="0" w:type="auto"/>
            <w:shd w:val="clear" w:color="auto" w:fill="CCEEFF"/>
            <w:tcMar>
              <w:top w:w="40" w:type="dxa"/>
              <w:left w:w="0" w:type="dxa"/>
              <w:bottom w:w="40" w:type="dxa"/>
              <w:right w:w="20" w:type="dxa"/>
            </w:tcMar>
            <w:vAlign w:val="bottom"/>
          </w:tcPr>
          <w:p w14:paraId="5F2CFF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CFFE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CFFEF" w14:textId="77777777" w:rsidR="00E836FB" w:rsidRDefault="00994958">
            <w:pPr>
              <w:jc w:val="right"/>
              <w:textAlignment w:val="bottom"/>
            </w:pPr>
            <w:r>
              <w:rPr>
                <w:rFonts w:ascii="Arial" w:eastAsia="宋体" w:hAnsi="Arial" w:cs="Arial"/>
                <w:color w:val="000000"/>
                <w:sz w:val="15"/>
                <w:szCs w:val="15"/>
              </w:rPr>
              <w:t>5,803 </w:t>
            </w:r>
          </w:p>
        </w:tc>
        <w:tc>
          <w:tcPr>
            <w:tcW w:w="0" w:type="auto"/>
            <w:shd w:val="clear" w:color="auto" w:fill="CCEEFF"/>
            <w:tcMar>
              <w:top w:w="40" w:type="dxa"/>
              <w:left w:w="0" w:type="dxa"/>
              <w:bottom w:w="40" w:type="dxa"/>
              <w:right w:w="20" w:type="dxa"/>
            </w:tcMar>
            <w:vAlign w:val="bottom"/>
          </w:tcPr>
          <w:p w14:paraId="5F2CFFF0" w14:textId="77777777" w:rsidR="00E836FB" w:rsidRDefault="00E836FB">
            <w:pPr>
              <w:jc w:val="right"/>
              <w:rPr>
                <w:rFonts w:ascii="宋体"/>
              </w:rPr>
            </w:pPr>
          </w:p>
        </w:tc>
      </w:tr>
      <w:tr w:rsidR="00E836FB" w14:paraId="5F2D0001" w14:textId="77777777">
        <w:tc>
          <w:tcPr>
            <w:tcW w:w="0" w:type="auto"/>
            <w:gridSpan w:val="3"/>
            <w:shd w:val="clear" w:color="auto" w:fill="FFFFFF"/>
            <w:tcMar>
              <w:top w:w="40" w:type="dxa"/>
              <w:left w:w="515" w:type="dxa"/>
              <w:bottom w:w="40" w:type="dxa"/>
              <w:right w:w="20" w:type="dxa"/>
            </w:tcMar>
            <w:vAlign w:val="bottom"/>
          </w:tcPr>
          <w:p w14:paraId="5F2CFFF2" w14:textId="77777777" w:rsidR="00E836FB" w:rsidRDefault="00994958">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F2CFFF3"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CFF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F6"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F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F9"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F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FC"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CFF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CFF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CFFFF"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0000" w14:textId="77777777" w:rsidR="00E836FB" w:rsidRDefault="00E836FB">
            <w:pPr>
              <w:jc w:val="right"/>
              <w:rPr>
                <w:rFonts w:ascii="宋体"/>
              </w:rPr>
            </w:pPr>
          </w:p>
        </w:tc>
      </w:tr>
      <w:tr w:rsidR="00E836FB" w14:paraId="5F2D000C" w14:textId="77777777">
        <w:trPr>
          <w:hidden/>
        </w:trPr>
        <w:tc>
          <w:tcPr>
            <w:tcW w:w="0" w:type="auto"/>
            <w:gridSpan w:val="3"/>
            <w:shd w:val="clear" w:color="auto" w:fill="auto"/>
            <w:vAlign w:val="bottom"/>
          </w:tcPr>
          <w:p w14:paraId="5F2D0002" w14:textId="77777777" w:rsidR="00E836FB" w:rsidRDefault="00E836FB">
            <w:pPr>
              <w:rPr>
                <w:rFonts w:ascii="宋体"/>
                <w:vanish/>
              </w:rPr>
            </w:pPr>
          </w:p>
        </w:tc>
        <w:tc>
          <w:tcPr>
            <w:tcW w:w="0" w:type="auto"/>
            <w:gridSpan w:val="3"/>
            <w:shd w:val="clear" w:color="auto" w:fill="auto"/>
            <w:vAlign w:val="bottom"/>
          </w:tcPr>
          <w:p w14:paraId="5F2D0003" w14:textId="77777777" w:rsidR="00E836FB" w:rsidRDefault="00E836FB">
            <w:pPr>
              <w:rPr>
                <w:rFonts w:ascii="宋体"/>
                <w:vanish/>
              </w:rPr>
            </w:pPr>
          </w:p>
        </w:tc>
        <w:tc>
          <w:tcPr>
            <w:tcW w:w="0" w:type="auto"/>
            <w:gridSpan w:val="3"/>
            <w:shd w:val="clear" w:color="auto" w:fill="auto"/>
            <w:vAlign w:val="bottom"/>
          </w:tcPr>
          <w:p w14:paraId="5F2D0004" w14:textId="77777777" w:rsidR="00E836FB" w:rsidRDefault="00E836FB">
            <w:pPr>
              <w:rPr>
                <w:rFonts w:ascii="宋体"/>
                <w:vanish/>
              </w:rPr>
            </w:pPr>
          </w:p>
        </w:tc>
        <w:tc>
          <w:tcPr>
            <w:tcW w:w="0" w:type="auto"/>
            <w:gridSpan w:val="3"/>
            <w:shd w:val="clear" w:color="auto" w:fill="auto"/>
            <w:vAlign w:val="bottom"/>
          </w:tcPr>
          <w:p w14:paraId="5F2D0005" w14:textId="77777777" w:rsidR="00E836FB" w:rsidRDefault="00E836FB">
            <w:pPr>
              <w:rPr>
                <w:rFonts w:ascii="宋体"/>
                <w:vanish/>
              </w:rPr>
            </w:pPr>
          </w:p>
        </w:tc>
        <w:tc>
          <w:tcPr>
            <w:tcW w:w="0" w:type="auto"/>
            <w:gridSpan w:val="3"/>
            <w:shd w:val="clear" w:color="auto" w:fill="auto"/>
            <w:vAlign w:val="bottom"/>
          </w:tcPr>
          <w:p w14:paraId="5F2D0006" w14:textId="77777777" w:rsidR="00E836FB" w:rsidRDefault="00E836FB">
            <w:pPr>
              <w:rPr>
                <w:rFonts w:ascii="宋体"/>
                <w:vanish/>
              </w:rPr>
            </w:pPr>
          </w:p>
        </w:tc>
        <w:tc>
          <w:tcPr>
            <w:tcW w:w="0" w:type="auto"/>
            <w:gridSpan w:val="3"/>
            <w:shd w:val="clear" w:color="auto" w:fill="auto"/>
            <w:vAlign w:val="bottom"/>
          </w:tcPr>
          <w:p w14:paraId="5F2D0007" w14:textId="77777777" w:rsidR="00E836FB" w:rsidRDefault="00E836FB">
            <w:pPr>
              <w:rPr>
                <w:rFonts w:ascii="宋体"/>
                <w:vanish/>
              </w:rPr>
            </w:pPr>
          </w:p>
        </w:tc>
        <w:tc>
          <w:tcPr>
            <w:tcW w:w="0" w:type="auto"/>
            <w:gridSpan w:val="3"/>
            <w:shd w:val="clear" w:color="auto" w:fill="auto"/>
            <w:vAlign w:val="bottom"/>
          </w:tcPr>
          <w:p w14:paraId="5F2D0008" w14:textId="77777777" w:rsidR="00E836FB" w:rsidRDefault="00E836FB">
            <w:pPr>
              <w:rPr>
                <w:rFonts w:ascii="宋体"/>
                <w:vanish/>
              </w:rPr>
            </w:pPr>
          </w:p>
        </w:tc>
        <w:tc>
          <w:tcPr>
            <w:tcW w:w="0" w:type="auto"/>
            <w:gridSpan w:val="3"/>
            <w:shd w:val="clear" w:color="auto" w:fill="auto"/>
            <w:vAlign w:val="bottom"/>
          </w:tcPr>
          <w:p w14:paraId="5F2D0009" w14:textId="77777777" w:rsidR="00E836FB" w:rsidRDefault="00E836FB">
            <w:pPr>
              <w:rPr>
                <w:rFonts w:ascii="宋体"/>
                <w:vanish/>
              </w:rPr>
            </w:pPr>
          </w:p>
        </w:tc>
        <w:tc>
          <w:tcPr>
            <w:tcW w:w="0" w:type="auto"/>
            <w:gridSpan w:val="3"/>
            <w:shd w:val="clear" w:color="auto" w:fill="auto"/>
            <w:vAlign w:val="bottom"/>
          </w:tcPr>
          <w:p w14:paraId="5F2D000A" w14:textId="77777777" w:rsidR="00E836FB" w:rsidRDefault="00E836FB">
            <w:pPr>
              <w:rPr>
                <w:rFonts w:ascii="宋体"/>
                <w:vanish/>
              </w:rPr>
            </w:pPr>
          </w:p>
        </w:tc>
        <w:tc>
          <w:tcPr>
            <w:tcW w:w="0" w:type="auto"/>
            <w:gridSpan w:val="3"/>
            <w:shd w:val="clear" w:color="auto" w:fill="auto"/>
            <w:vAlign w:val="bottom"/>
          </w:tcPr>
          <w:p w14:paraId="5F2D000B" w14:textId="77777777" w:rsidR="00E836FB" w:rsidRDefault="00E836FB">
            <w:pPr>
              <w:rPr>
                <w:rFonts w:ascii="宋体"/>
                <w:vanish/>
              </w:rPr>
            </w:pPr>
          </w:p>
        </w:tc>
      </w:tr>
      <w:tr w:rsidR="00E836FB" w14:paraId="5F2D001C" w14:textId="77777777">
        <w:tc>
          <w:tcPr>
            <w:tcW w:w="0" w:type="auto"/>
            <w:gridSpan w:val="3"/>
            <w:shd w:val="clear" w:color="auto" w:fill="CCEEFF"/>
            <w:tcMar>
              <w:top w:w="40" w:type="dxa"/>
              <w:left w:w="740" w:type="dxa"/>
              <w:bottom w:w="40" w:type="dxa"/>
              <w:right w:w="20" w:type="dxa"/>
            </w:tcMar>
            <w:vAlign w:val="bottom"/>
          </w:tcPr>
          <w:p w14:paraId="5F2D000D" w14:textId="77777777" w:rsidR="00E836FB" w:rsidRDefault="00994958">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00E" w14:textId="77777777" w:rsidR="00E836FB" w:rsidRDefault="00994958">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1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011" w14:textId="77777777" w:rsidR="00E836FB" w:rsidRDefault="00994958">
            <w:pPr>
              <w:jc w:val="right"/>
              <w:textAlignment w:val="bottom"/>
            </w:pPr>
            <w:r>
              <w:rPr>
                <w:rFonts w:ascii="Arial" w:eastAsia="宋体" w:hAnsi="Arial" w:cs="Arial"/>
                <w:color w:val="000000"/>
                <w:sz w:val="15"/>
                <w:szCs w:val="15"/>
              </w:rPr>
              <w:t>25,941 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1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014" w14:textId="77777777" w:rsidR="00E836FB" w:rsidRDefault="00994958">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1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017" w14:textId="77777777" w:rsidR="00E836FB" w:rsidRDefault="00994958">
            <w:pPr>
              <w:jc w:val="right"/>
              <w:textAlignment w:val="bottom"/>
            </w:pPr>
            <w:r>
              <w:rPr>
                <w:rFonts w:ascii="Arial" w:eastAsia="宋体" w:hAnsi="Arial" w:cs="Arial"/>
                <w:color w:val="000000"/>
                <w:sz w:val="15"/>
                <w:szCs w:val="15"/>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1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01A" w14:textId="77777777" w:rsidR="00E836FB" w:rsidRDefault="00994958">
            <w:pPr>
              <w:jc w:val="right"/>
              <w:textAlignment w:val="bottom"/>
            </w:pPr>
            <w:r>
              <w:rPr>
                <w:rFonts w:ascii="Arial" w:eastAsia="宋体" w:hAnsi="Arial" w:cs="Arial"/>
                <w:color w:val="000000"/>
                <w:sz w:val="15"/>
                <w:szCs w:val="15"/>
              </w:rPr>
              <w:t>5,804 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1B" w14:textId="77777777" w:rsidR="00E836FB" w:rsidRDefault="00E836FB">
            <w:pPr>
              <w:jc w:val="right"/>
              <w:rPr>
                <w:rFonts w:ascii="宋体"/>
              </w:rPr>
            </w:pPr>
          </w:p>
        </w:tc>
      </w:tr>
      <w:tr w:rsidR="00E836FB" w14:paraId="5F2D002C" w14:textId="77777777">
        <w:tc>
          <w:tcPr>
            <w:tcW w:w="0" w:type="auto"/>
            <w:gridSpan w:val="3"/>
            <w:shd w:val="clear" w:color="auto" w:fill="FFFFFF"/>
            <w:tcMar>
              <w:top w:w="40" w:type="dxa"/>
              <w:left w:w="20" w:type="dxa"/>
              <w:bottom w:w="40" w:type="dxa"/>
              <w:right w:w="20" w:type="dxa"/>
            </w:tcMar>
            <w:vAlign w:val="bottom"/>
          </w:tcPr>
          <w:p w14:paraId="5F2D001D" w14:textId="77777777" w:rsidR="00E836FB" w:rsidRDefault="00994958">
            <w:pPr>
              <w:textAlignment w:val="bottom"/>
            </w:pPr>
            <w:r>
              <w:rPr>
                <w:rFonts w:ascii="Arial" w:eastAsia="宋体" w:hAnsi="Arial" w:cs="Arial"/>
                <w:color w:val="000000"/>
                <w:sz w:val="15"/>
                <w:szCs w:val="15"/>
              </w:rPr>
              <w:t>Other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1E"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2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21" w14:textId="77777777" w:rsidR="00E836FB" w:rsidRDefault="00994958">
            <w:pPr>
              <w:jc w:val="right"/>
              <w:textAlignment w:val="bottom"/>
            </w:pPr>
            <w:r>
              <w:rPr>
                <w:rFonts w:ascii="Arial" w:eastAsia="宋体" w:hAnsi="Arial" w:cs="Arial"/>
                <w:color w:val="000000"/>
                <w:sz w:val="15"/>
                <w:szCs w:val="15"/>
              </w:rPr>
              <w:t>525 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2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24"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2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27"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2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2A" w14:textId="77777777" w:rsidR="00E836FB" w:rsidRDefault="00994958">
            <w:pPr>
              <w:jc w:val="right"/>
              <w:textAlignment w:val="bottom"/>
            </w:pPr>
            <w:r>
              <w:rPr>
                <w:rFonts w:ascii="Arial" w:eastAsia="宋体" w:hAnsi="Arial" w:cs="Arial"/>
                <w:color w:val="000000"/>
                <w:sz w:val="15"/>
                <w:szCs w:val="15"/>
              </w:rPr>
              <w:t>525 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2B" w14:textId="77777777" w:rsidR="00E836FB" w:rsidRDefault="00E836FB">
            <w:pPr>
              <w:jc w:val="right"/>
              <w:rPr>
                <w:rFonts w:ascii="宋体"/>
              </w:rPr>
            </w:pPr>
          </w:p>
        </w:tc>
      </w:tr>
      <w:tr w:rsidR="00E836FB" w14:paraId="5F2D0041" w14:textId="77777777">
        <w:tc>
          <w:tcPr>
            <w:tcW w:w="0" w:type="auto"/>
            <w:gridSpan w:val="3"/>
            <w:shd w:val="clear" w:color="auto" w:fill="CCEEFF"/>
            <w:tcMar>
              <w:top w:w="40" w:type="dxa"/>
              <w:left w:w="20" w:type="dxa"/>
              <w:bottom w:w="40" w:type="dxa"/>
              <w:right w:w="20" w:type="dxa"/>
            </w:tcMar>
            <w:vAlign w:val="bottom"/>
          </w:tcPr>
          <w:p w14:paraId="5F2D002D" w14:textId="77777777" w:rsidR="00E836FB" w:rsidRDefault="00994958">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002E"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002F" w14:textId="77777777" w:rsidR="00E836FB" w:rsidRDefault="00994958">
            <w:pPr>
              <w:jc w:val="right"/>
              <w:textAlignment w:val="bottom"/>
            </w:pPr>
            <w:r>
              <w:rPr>
                <w:rFonts w:ascii="Arial" w:eastAsia="宋体" w:hAnsi="Arial" w:cs="Arial"/>
                <w:color w:val="000000"/>
                <w:sz w:val="15"/>
                <w:szCs w:val="15"/>
              </w:rPr>
              <w:t>6,633 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3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0032"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0033" w14:textId="77777777" w:rsidR="00E836FB" w:rsidRDefault="00994958">
            <w:pPr>
              <w:jc w:val="right"/>
              <w:textAlignment w:val="bottom"/>
            </w:pPr>
            <w:r>
              <w:rPr>
                <w:rFonts w:ascii="Arial" w:eastAsia="宋体" w:hAnsi="Arial" w:cs="Arial"/>
                <w:color w:val="000000"/>
                <w:sz w:val="15"/>
                <w:szCs w:val="15"/>
              </w:rPr>
              <w:t>79,683 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3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3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0036"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0037" w14:textId="77777777" w:rsidR="00E836FB" w:rsidRDefault="00994958">
            <w:pPr>
              <w:jc w:val="right"/>
              <w:textAlignment w:val="bottom"/>
            </w:pPr>
            <w:r>
              <w:rPr>
                <w:rFonts w:ascii="Arial" w:eastAsia="宋体" w:hAnsi="Arial" w:cs="Arial"/>
                <w:color w:val="000000"/>
                <w:sz w:val="15"/>
                <w:szCs w:val="15"/>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3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3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003A"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003B" w14:textId="77777777" w:rsidR="00E836FB" w:rsidRDefault="00994958">
            <w:pPr>
              <w:jc w:val="right"/>
              <w:textAlignment w:val="bottom"/>
            </w:pPr>
            <w:r>
              <w:rPr>
                <w:rFonts w:ascii="Arial" w:eastAsia="宋体" w:hAnsi="Arial" w:cs="Arial"/>
                <w:color w:val="000000"/>
                <w:sz w:val="15"/>
                <w:szCs w:val="15"/>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3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003E"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003F" w14:textId="77777777" w:rsidR="00E836FB" w:rsidRDefault="00994958">
            <w:pPr>
              <w:jc w:val="right"/>
              <w:textAlignment w:val="bottom"/>
            </w:pPr>
            <w:r>
              <w:rPr>
                <w:rFonts w:ascii="Arial" w:eastAsia="宋体" w:hAnsi="Arial" w:cs="Arial"/>
                <w:color w:val="000000"/>
                <w:sz w:val="15"/>
                <w:szCs w:val="15"/>
              </w:rPr>
              <w:t>66,192 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040" w14:textId="77777777" w:rsidR="00E836FB" w:rsidRDefault="00E836FB">
            <w:pPr>
              <w:jc w:val="right"/>
              <w:rPr>
                <w:rFonts w:ascii="宋体"/>
              </w:rPr>
            </w:pPr>
          </w:p>
        </w:tc>
      </w:tr>
      <w:tr w:rsidR="00E836FB" w14:paraId="5F2D004C" w14:textId="77777777">
        <w:tc>
          <w:tcPr>
            <w:tcW w:w="0" w:type="auto"/>
            <w:gridSpan w:val="3"/>
            <w:shd w:val="clear" w:color="auto" w:fill="FFFFFF"/>
            <w:tcMar>
              <w:top w:w="40" w:type="dxa"/>
              <w:left w:w="20" w:type="dxa"/>
              <w:bottom w:w="40" w:type="dxa"/>
              <w:right w:w="20" w:type="dxa"/>
            </w:tcMar>
            <w:vAlign w:val="bottom"/>
          </w:tcPr>
          <w:p w14:paraId="5F2D0042" w14:textId="77777777" w:rsidR="00E836FB" w:rsidRDefault="00994958">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004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44"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004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46"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004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48"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004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4A"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004B" w14:textId="77777777" w:rsidR="00E836FB" w:rsidRDefault="00E836FB">
            <w:pPr>
              <w:rPr>
                <w:rFonts w:ascii="宋体"/>
              </w:rPr>
            </w:pPr>
          </w:p>
        </w:tc>
      </w:tr>
      <w:tr w:rsidR="00E836FB" w14:paraId="5F2D0057" w14:textId="77777777">
        <w:tc>
          <w:tcPr>
            <w:tcW w:w="0" w:type="auto"/>
            <w:gridSpan w:val="3"/>
            <w:shd w:val="clear" w:color="auto" w:fill="CCEEFF"/>
            <w:tcMar>
              <w:top w:w="40" w:type="dxa"/>
              <w:left w:w="20" w:type="dxa"/>
              <w:bottom w:w="40" w:type="dxa"/>
              <w:right w:w="20" w:type="dxa"/>
            </w:tcMar>
            <w:vAlign w:val="bottom"/>
          </w:tcPr>
          <w:p w14:paraId="5F2D004D" w14:textId="77777777" w:rsidR="00E836FB" w:rsidRDefault="00994958">
            <w:pPr>
              <w:textAlignment w:val="bottom"/>
            </w:pPr>
            <w:r>
              <w:rPr>
                <w:rFonts w:ascii="Arial" w:eastAsia="宋体" w:hAnsi="Arial" w:cs="Arial"/>
                <w:color w:val="000000"/>
                <w:sz w:val="15"/>
                <w:szCs w:val="15"/>
              </w:rPr>
              <w:t xml:space="preserve">Accrued expenses and other </w:t>
            </w:r>
            <w:r>
              <w:rPr>
                <w:rFonts w:ascii="Arial" w:eastAsia="宋体" w:hAnsi="Arial" w:cs="Arial"/>
                <w:color w:val="000000"/>
                <w:sz w:val="15"/>
                <w:szCs w:val="15"/>
              </w:rPr>
              <w:t>liabilities:</w:t>
            </w:r>
          </w:p>
        </w:tc>
        <w:tc>
          <w:tcPr>
            <w:tcW w:w="0" w:type="auto"/>
            <w:gridSpan w:val="3"/>
            <w:shd w:val="clear" w:color="auto" w:fill="CCEEFF"/>
            <w:tcMar>
              <w:top w:w="0" w:type="dxa"/>
              <w:left w:w="20" w:type="dxa"/>
              <w:bottom w:w="0" w:type="dxa"/>
              <w:right w:w="20" w:type="dxa"/>
            </w:tcMar>
            <w:vAlign w:val="bottom"/>
          </w:tcPr>
          <w:p w14:paraId="5F2D004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4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5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5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5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5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5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5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056" w14:textId="77777777" w:rsidR="00E836FB" w:rsidRDefault="00E836FB">
            <w:pPr>
              <w:rPr>
                <w:rFonts w:ascii="宋体"/>
              </w:rPr>
            </w:pPr>
          </w:p>
        </w:tc>
      </w:tr>
      <w:tr w:rsidR="00E836FB" w14:paraId="5F2D0062" w14:textId="77777777">
        <w:tc>
          <w:tcPr>
            <w:tcW w:w="0" w:type="auto"/>
            <w:gridSpan w:val="3"/>
            <w:shd w:val="clear" w:color="auto" w:fill="FFFFFF"/>
            <w:tcMar>
              <w:top w:w="40" w:type="dxa"/>
              <w:left w:w="245" w:type="dxa"/>
              <w:bottom w:w="40" w:type="dxa"/>
              <w:right w:w="20" w:type="dxa"/>
            </w:tcMar>
            <w:vAlign w:val="bottom"/>
          </w:tcPr>
          <w:p w14:paraId="5F2D0058" w14:textId="77777777" w:rsidR="00E836FB" w:rsidRDefault="00994958">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vAlign w:val="bottom"/>
          </w:tcPr>
          <w:p w14:paraId="5F2D005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5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5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5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5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5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5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6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61" w14:textId="77777777" w:rsidR="00E836FB" w:rsidRDefault="00E836FB">
            <w:pPr>
              <w:rPr>
                <w:rFonts w:ascii="宋体"/>
              </w:rPr>
            </w:pPr>
          </w:p>
        </w:tc>
      </w:tr>
      <w:tr w:rsidR="00E836FB" w14:paraId="5F2D006D" w14:textId="77777777">
        <w:trPr>
          <w:hidden/>
        </w:trPr>
        <w:tc>
          <w:tcPr>
            <w:tcW w:w="0" w:type="auto"/>
            <w:gridSpan w:val="3"/>
            <w:shd w:val="clear" w:color="auto" w:fill="auto"/>
            <w:vAlign w:val="bottom"/>
          </w:tcPr>
          <w:p w14:paraId="5F2D0063" w14:textId="77777777" w:rsidR="00E836FB" w:rsidRDefault="00E836FB">
            <w:pPr>
              <w:rPr>
                <w:rFonts w:ascii="宋体"/>
                <w:vanish/>
              </w:rPr>
            </w:pPr>
          </w:p>
        </w:tc>
        <w:tc>
          <w:tcPr>
            <w:tcW w:w="0" w:type="auto"/>
            <w:gridSpan w:val="3"/>
            <w:shd w:val="clear" w:color="auto" w:fill="auto"/>
            <w:vAlign w:val="bottom"/>
          </w:tcPr>
          <w:p w14:paraId="5F2D0064" w14:textId="77777777" w:rsidR="00E836FB" w:rsidRDefault="00E836FB">
            <w:pPr>
              <w:rPr>
                <w:rFonts w:ascii="宋体"/>
                <w:vanish/>
              </w:rPr>
            </w:pPr>
          </w:p>
        </w:tc>
        <w:tc>
          <w:tcPr>
            <w:tcW w:w="0" w:type="auto"/>
            <w:gridSpan w:val="3"/>
            <w:shd w:val="clear" w:color="auto" w:fill="auto"/>
            <w:vAlign w:val="bottom"/>
          </w:tcPr>
          <w:p w14:paraId="5F2D0065" w14:textId="77777777" w:rsidR="00E836FB" w:rsidRDefault="00E836FB">
            <w:pPr>
              <w:rPr>
                <w:rFonts w:ascii="宋体"/>
                <w:vanish/>
              </w:rPr>
            </w:pPr>
          </w:p>
        </w:tc>
        <w:tc>
          <w:tcPr>
            <w:tcW w:w="0" w:type="auto"/>
            <w:gridSpan w:val="3"/>
            <w:shd w:val="clear" w:color="auto" w:fill="auto"/>
            <w:vAlign w:val="bottom"/>
          </w:tcPr>
          <w:p w14:paraId="5F2D0066" w14:textId="77777777" w:rsidR="00E836FB" w:rsidRDefault="00E836FB">
            <w:pPr>
              <w:rPr>
                <w:rFonts w:ascii="宋体"/>
                <w:vanish/>
              </w:rPr>
            </w:pPr>
          </w:p>
        </w:tc>
        <w:tc>
          <w:tcPr>
            <w:tcW w:w="0" w:type="auto"/>
            <w:gridSpan w:val="3"/>
            <w:shd w:val="clear" w:color="auto" w:fill="auto"/>
            <w:vAlign w:val="bottom"/>
          </w:tcPr>
          <w:p w14:paraId="5F2D0067" w14:textId="77777777" w:rsidR="00E836FB" w:rsidRDefault="00E836FB">
            <w:pPr>
              <w:rPr>
                <w:rFonts w:ascii="宋体"/>
                <w:vanish/>
              </w:rPr>
            </w:pPr>
          </w:p>
        </w:tc>
        <w:tc>
          <w:tcPr>
            <w:tcW w:w="0" w:type="auto"/>
            <w:gridSpan w:val="3"/>
            <w:shd w:val="clear" w:color="auto" w:fill="auto"/>
            <w:vAlign w:val="bottom"/>
          </w:tcPr>
          <w:p w14:paraId="5F2D0068" w14:textId="77777777" w:rsidR="00E836FB" w:rsidRDefault="00E836FB">
            <w:pPr>
              <w:rPr>
                <w:rFonts w:ascii="宋体"/>
                <w:vanish/>
              </w:rPr>
            </w:pPr>
          </w:p>
        </w:tc>
        <w:tc>
          <w:tcPr>
            <w:tcW w:w="0" w:type="auto"/>
            <w:gridSpan w:val="3"/>
            <w:shd w:val="clear" w:color="auto" w:fill="auto"/>
            <w:vAlign w:val="bottom"/>
          </w:tcPr>
          <w:p w14:paraId="5F2D0069" w14:textId="77777777" w:rsidR="00E836FB" w:rsidRDefault="00E836FB">
            <w:pPr>
              <w:rPr>
                <w:rFonts w:ascii="宋体"/>
                <w:vanish/>
              </w:rPr>
            </w:pPr>
          </w:p>
        </w:tc>
        <w:tc>
          <w:tcPr>
            <w:tcW w:w="0" w:type="auto"/>
            <w:gridSpan w:val="3"/>
            <w:shd w:val="clear" w:color="auto" w:fill="auto"/>
            <w:vAlign w:val="bottom"/>
          </w:tcPr>
          <w:p w14:paraId="5F2D006A" w14:textId="77777777" w:rsidR="00E836FB" w:rsidRDefault="00E836FB">
            <w:pPr>
              <w:rPr>
                <w:rFonts w:ascii="宋体"/>
                <w:vanish/>
              </w:rPr>
            </w:pPr>
          </w:p>
        </w:tc>
        <w:tc>
          <w:tcPr>
            <w:tcW w:w="0" w:type="auto"/>
            <w:gridSpan w:val="3"/>
            <w:shd w:val="clear" w:color="auto" w:fill="auto"/>
            <w:vAlign w:val="bottom"/>
          </w:tcPr>
          <w:p w14:paraId="5F2D006B" w14:textId="77777777" w:rsidR="00E836FB" w:rsidRDefault="00E836FB">
            <w:pPr>
              <w:rPr>
                <w:rFonts w:ascii="宋体"/>
                <w:vanish/>
              </w:rPr>
            </w:pPr>
          </w:p>
        </w:tc>
        <w:tc>
          <w:tcPr>
            <w:tcW w:w="0" w:type="auto"/>
            <w:gridSpan w:val="3"/>
            <w:shd w:val="clear" w:color="auto" w:fill="auto"/>
            <w:vAlign w:val="bottom"/>
          </w:tcPr>
          <w:p w14:paraId="5F2D006C" w14:textId="77777777" w:rsidR="00E836FB" w:rsidRDefault="00E836FB">
            <w:pPr>
              <w:rPr>
                <w:rFonts w:ascii="宋体"/>
                <w:vanish/>
              </w:rPr>
            </w:pPr>
          </w:p>
        </w:tc>
      </w:tr>
      <w:tr w:rsidR="00E836FB" w14:paraId="5F2D0078" w14:textId="77777777">
        <w:trPr>
          <w:hidden/>
        </w:trPr>
        <w:tc>
          <w:tcPr>
            <w:tcW w:w="0" w:type="auto"/>
            <w:gridSpan w:val="3"/>
            <w:shd w:val="clear" w:color="auto" w:fill="auto"/>
            <w:vAlign w:val="bottom"/>
          </w:tcPr>
          <w:p w14:paraId="5F2D006E" w14:textId="77777777" w:rsidR="00E836FB" w:rsidRDefault="00E836FB">
            <w:pPr>
              <w:rPr>
                <w:rFonts w:ascii="宋体"/>
                <w:vanish/>
              </w:rPr>
            </w:pPr>
          </w:p>
        </w:tc>
        <w:tc>
          <w:tcPr>
            <w:tcW w:w="0" w:type="auto"/>
            <w:gridSpan w:val="3"/>
            <w:shd w:val="clear" w:color="auto" w:fill="auto"/>
            <w:vAlign w:val="bottom"/>
          </w:tcPr>
          <w:p w14:paraId="5F2D006F" w14:textId="77777777" w:rsidR="00E836FB" w:rsidRDefault="00E836FB">
            <w:pPr>
              <w:rPr>
                <w:rFonts w:ascii="宋体"/>
                <w:vanish/>
              </w:rPr>
            </w:pPr>
          </w:p>
        </w:tc>
        <w:tc>
          <w:tcPr>
            <w:tcW w:w="0" w:type="auto"/>
            <w:gridSpan w:val="3"/>
            <w:shd w:val="clear" w:color="auto" w:fill="auto"/>
            <w:vAlign w:val="bottom"/>
          </w:tcPr>
          <w:p w14:paraId="5F2D0070" w14:textId="77777777" w:rsidR="00E836FB" w:rsidRDefault="00E836FB">
            <w:pPr>
              <w:rPr>
                <w:rFonts w:ascii="宋体"/>
                <w:vanish/>
              </w:rPr>
            </w:pPr>
          </w:p>
        </w:tc>
        <w:tc>
          <w:tcPr>
            <w:tcW w:w="0" w:type="auto"/>
            <w:gridSpan w:val="3"/>
            <w:shd w:val="clear" w:color="auto" w:fill="auto"/>
            <w:vAlign w:val="bottom"/>
          </w:tcPr>
          <w:p w14:paraId="5F2D0071" w14:textId="77777777" w:rsidR="00E836FB" w:rsidRDefault="00E836FB">
            <w:pPr>
              <w:rPr>
                <w:rFonts w:ascii="宋体"/>
                <w:vanish/>
              </w:rPr>
            </w:pPr>
          </w:p>
        </w:tc>
        <w:tc>
          <w:tcPr>
            <w:tcW w:w="0" w:type="auto"/>
            <w:gridSpan w:val="3"/>
            <w:shd w:val="clear" w:color="auto" w:fill="auto"/>
            <w:vAlign w:val="bottom"/>
          </w:tcPr>
          <w:p w14:paraId="5F2D0072" w14:textId="77777777" w:rsidR="00E836FB" w:rsidRDefault="00E836FB">
            <w:pPr>
              <w:rPr>
                <w:rFonts w:ascii="宋体"/>
                <w:vanish/>
              </w:rPr>
            </w:pPr>
          </w:p>
        </w:tc>
        <w:tc>
          <w:tcPr>
            <w:tcW w:w="0" w:type="auto"/>
            <w:gridSpan w:val="3"/>
            <w:shd w:val="clear" w:color="auto" w:fill="auto"/>
            <w:vAlign w:val="bottom"/>
          </w:tcPr>
          <w:p w14:paraId="5F2D0073" w14:textId="77777777" w:rsidR="00E836FB" w:rsidRDefault="00E836FB">
            <w:pPr>
              <w:rPr>
                <w:rFonts w:ascii="宋体"/>
                <w:vanish/>
              </w:rPr>
            </w:pPr>
          </w:p>
        </w:tc>
        <w:tc>
          <w:tcPr>
            <w:tcW w:w="0" w:type="auto"/>
            <w:gridSpan w:val="3"/>
            <w:shd w:val="clear" w:color="auto" w:fill="auto"/>
            <w:vAlign w:val="bottom"/>
          </w:tcPr>
          <w:p w14:paraId="5F2D0074" w14:textId="77777777" w:rsidR="00E836FB" w:rsidRDefault="00E836FB">
            <w:pPr>
              <w:rPr>
                <w:rFonts w:ascii="宋体"/>
                <w:vanish/>
              </w:rPr>
            </w:pPr>
          </w:p>
        </w:tc>
        <w:tc>
          <w:tcPr>
            <w:tcW w:w="0" w:type="auto"/>
            <w:gridSpan w:val="3"/>
            <w:shd w:val="clear" w:color="auto" w:fill="auto"/>
            <w:vAlign w:val="bottom"/>
          </w:tcPr>
          <w:p w14:paraId="5F2D0075" w14:textId="77777777" w:rsidR="00E836FB" w:rsidRDefault="00E836FB">
            <w:pPr>
              <w:rPr>
                <w:rFonts w:ascii="宋体"/>
                <w:vanish/>
              </w:rPr>
            </w:pPr>
          </w:p>
        </w:tc>
        <w:tc>
          <w:tcPr>
            <w:tcW w:w="0" w:type="auto"/>
            <w:gridSpan w:val="3"/>
            <w:shd w:val="clear" w:color="auto" w:fill="auto"/>
            <w:vAlign w:val="bottom"/>
          </w:tcPr>
          <w:p w14:paraId="5F2D0076" w14:textId="77777777" w:rsidR="00E836FB" w:rsidRDefault="00E836FB">
            <w:pPr>
              <w:rPr>
                <w:rFonts w:ascii="宋体"/>
                <w:vanish/>
              </w:rPr>
            </w:pPr>
          </w:p>
        </w:tc>
        <w:tc>
          <w:tcPr>
            <w:tcW w:w="0" w:type="auto"/>
            <w:gridSpan w:val="3"/>
            <w:shd w:val="clear" w:color="auto" w:fill="auto"/>
            <w:vAlign w:val="bottom"/>
          </w:tcPr>
          <w:p w14:paraId="5F2D0077" w14:textId="77777777" w:rsidR="00E836FB" w:rsidRDefault="00E836FB">
            <w:pPr>
              <w:rPr>
                <w:rFonts w:ascii="宋体"/>
                <w:vanish/>
              </w:rPr>
            </w:pPr>
          </w:p>
        </w:tc>
      </w:tr>
      <w:tr w:rsidR="00E836FB" w14:paraId="5F2D008D" w14:textId="77777777">
        <w:tc>
          <w:tcPr>
            <w:tcW w:w="0" w:type="auto"/>
            <w:gridSpan w:val="3"/>
            <w:shd w:val="clear" w:color="auto" w:fill="CCEEFF"/>
            <w:tcMar>
              <w:top w:w="40" w:type="dxa"/>
              <w:left w:w="245" w:type="dxa"/>
              <w:bottom w:w="40" w:type="dxa"/>
              <w:right w:w="20" w:type="dxa"/>
            </w:tcMar>
            <w:vAlign w:val="bottom"/>
          </w:tcPr>
          <w:p w14:paraId="5F2D0079" w14:textId="77777777" w:rsidR="00E836FB" w:rsidRDefault="00994958">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right w:w="0" w:type="dxa"/>
            </w:tcMar>
            <w:vAlign w:val="bottom"/>
          </w:tcPr>
          <w:p w14:paraId="5F2D007A"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07B"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F2D00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7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07E"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07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0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8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082"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083"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0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8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086"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087"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0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8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08A"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08B"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F2D008C" w14:textId="77777777" w:rsidR="00E836FB" w:rsidRDefault="00E836FB">
            <w:pPr>
              <w:jc w:val="right"/>
              <w:rPr>
                <w:rFonts w:ascii="宋体"/>
              </w:rPr>
            </w:pPr>
          </w:p>
        </w:tc>
      </w:tr>
      <w:tr w:rsidR="00E836FB" w14:paraId="5F2D0098" w14:textId="77777777">
        <w:tc>
          <w:tcPr>
            <w:tcW w:w="0" w:type="auto"/>
            <w:gridSpan w:val="3"/>
            <w:shd w:val="clear" w:color="auto" w:fill="FFFFFF"/>
            <w:tcMar>
              <w:top w:w="40" w:type="dxa"/>
              <w:left w:w="245" w:type="dxa"/>
              <w:bottom w:w="40" w:type="dxa"/>
              <w:right w:w="20" w:type="dxa"/>
            </w:tcMar>
            <w:vAlign w:val="bottom"/>
          </w:tcPr>
          <w:p w14:paraId="5F2D008E" w14:textId="77777777" w:rsidR="00E836FB" w:rsidRDefault="00994958">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F2D008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097" w14:textId="77777777" w:rsidR="00E836FB" w:rsidRDefault="00E836FB">
            <w:pPr>
              <w:rPr>
                <w:rFonts w:ascii="宋体"/>
              </w:rPr>
            </w:pPr>
          </w:p>
        </w:tc>
      </w:tr>
      <w:tr w:rsidR="00E836FB" w14:paraId="5F2D00A8" w14:textId="77777777">
        <w:tc>
          <w:tcPr>
            <w:tcW w:w="0" w:type="auto"/>
            <w:gridSpan w:val="3"/>
            <w:shd w:val="clear" w:color="auto" w:fill="CCEEFF"/>
            <w:tcMar>
              <w:top w:w="40" w:type="dxa"/>
              <w:left w:w="515" w:type="dxa"/>
              <w:bottom w:w="40" w:type="dxa"/>
              <w:right w:w="20" w:type="dxa"/>
            </w:tcMar>
            <w:vAlign w:val="bottom"/>
          </w:tcPr>
          <w:p w14:paraId="5F2D0099" w14:textId="77777777" w:rsidR="00E836FB" w:rsidRDefault="00994958">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F2D009A"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00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9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9D" w14:textId="77777777" w:rsidR="00E836FB" w:rsidRDefault="00994958">
            <w:pPr>
              <w:jc w:val="right"/>
              <w:textAlignment w:val="bottom"/>
            </w:pPr>
            <w:r>
              <w:rPr>
                <w:rFonts w:ascii="Arial" w:eastAsia="宋体" w:hAnsi="Arial" w:cs="Arial"/>
                <w:color w:val="000000"/>
                <w:sz w:val="15"/>
                <w:szCs w:val="15"/>
              </w:rPr>
              <w:t>25,925 </w:t>
            </w:r>
          </w:p>
        </w:tc>
        <w:tc>
          <w:tcPr>
            <w:tcW w:w="0" w:type="auto"/>
            <w:shd w:val="clear" w:color="auto" w:fill="CCEEFF"/>
            <w:tcMar>
              <w:top w:w="40" w:type="dxa"/>
              <w:left w:w="0" w:type="dxa"/>
              <w:bottom w:w="40" w:type="dxa"/>
              <w:right w:w="20" w:type="dxa"/>
            </w:tcMar>
            <w:vAlign w:val="bottom"/>
          </w:tcPr>
          <w:p w14:paraId="5F2D00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9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A0"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00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A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A3" w14:textId="77777777" w:rsidR="00E836FB" w:rsidRDefault="00994958">
            <w:pPr>
              <w:jc w:val="right"/>
              <w:textAlignment w:val="bottom"/>
            </w:pPr>
            <w:r>
              <w:rPr>
                <w:rFonts w:ascii="Arial" w:eastAsia="宋体" w:hAnsi="Arial" w:cs="Arial"/>
                <w:color w:val="000000"/>
                <w:sz w:val="15"/>
                <w:szCs w:val="15"/>
              </w:rPr>
              <w:t>(15,558)</w:t>
            </w:r>
          </w:p>
        </w:tc>
        <w:tc>
          <w:tcPr>
            <w:tcW w:w="0" w:type="auto"/>
            <w:shd w:val="clear" w:color="auto" w:fill="CCEEFF"/>
            <w:tcMar>
              <w:top w:w="40" w:type="dxa"/>
              <w:left w:w="0" w:type="dxa"/>
              <w:bottom w:w="40" w:type="dxa"/>
              <w:right w:w="20" w:type="dxa"/>
            </w:tcMar>
            <w:vAlign w:val="bottom"/>
          </w:tcPr>
          <w:p w14:paraId="5F2D00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A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A6" w14:textId="77777777" w:rsidR="00E836FB" w:rsidRDefault="00994958">
            <w:pPr>
              <w:jc w:val="right"/>
              <w:textAlignment w:val="bottom"/>
            </w:pPr>
            <w:r>
              <w:rPr>
                <w:rFonts w:ascii="Arial" w:eastAsia="宋体" w:hAnsi="Arial" w:cs="Arial"/>
                <w:color w:val="000000"/>
                <w:sz w:val="15"/>
                <w:szCs w:val="15"/>
              </w:rPr>
              <w:t>10,369 </w:t>
            </w:r>
          </w:p>
        </w:tc>
        <w:tc>
          <w:tcPr>
            <w:tcW w:w="0" w:type="auto"/>
            <w:shd w:val="clear" w:color="auto" w:fill="CCEEFF"/>
            <w:tcMar>
              <w:top w:w="40" w:type="dxa"/>
              <w:left w:w="0" w:type="dxa"/>
              <w:bottom w:w="40" w:type="dxa"/>
              <w:right w:w="20" w:type="dxa"/>
            </w:tcMar>
            <w:vAlign w:val="bottom"/>
          </w:tcPr>
          <w:p w14:paraId="5F2D00A7" w14:textId="77777777" w:rsidR="00E836FB" w:rsidRDefault="00E836FB">
            <w:pPr>
              <w:jc w:val="right"/>
              <w:rPr>
                <w:rFonts w:ascii="宋体"/>
              </w:rPr>
            </w:pPr>
          </w:p>
        </w:tc>
      </w:tr>
      <w:tr w:rsidR="00E836FB" w14:paraId="5F2D00B8" w14:textId="77777777">
        <w:tc>
          <w:tcPr>
            <w:tcW w:w="0" w:type="auto"/>
            <w:gridSpan w:val="3"/>
            <w:shd w:val="clear" w:color="auto" w:fill="FFFFFF"/>
            <w:tcMar>
              <w:top w:w="40" w:type="dxa"/>
              <w:left w:w="515" w:type="dxa"/>
              <w:bottom w:w="40" w:type="dxa"/>
              <w:right w:w="20" w:type="dxa"/>
            </w:tcMar>
            <w:vAlign w:val="bottom"/>
          </w:tcPr>
          <w:p w14:paraId="5F2D00A9" w14:textId="77777777" w:rsidR="00E836FB" w:rsidRDefault="00994958">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F2D00A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0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A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0AD" w14:textId="77777777" w:rsidR="00E836FB" w:rsidRDefault="00994958">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F2D00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0B0"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0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B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0B3"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0B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B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0B6" w14:textId="77777777" w:rsidR="00E836FB" w:rsidRDefault="00994958">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F2D00B7" w14:textId="77777777" w:rsidR="00E836FB" w:rsidRDefault="00E836FB">
            <w:pPr>
              <w:jc w:val="right"/>
              <w:rPr>
                <w:rFonts w:ascii="宋体"/>
              </w:rPr>
            </w:pPr>
          </w:p>
        </w:tc>
      </w:tr>
      <w:tr w:rsidR="00E836FB" w14:paraId="5F2D00C8" w14:textId="77777777">
        <w:tc>
          <w:tcPr>
            <w:tcW w:w="0" w:type="auto"/>
            <w:gridSpan w:val="3"/>
            <w:shd w:val="clear" w:color="auto" w:fill="CCEEFF"/>
            <w:tcMar>
              <w:top w:w="40" w:type="dxa"/>
              <w:left w:w="515" w:type="dxa"/>
              <w:bottom w:w="40" w:type="dxa"/>
              <w:right w:w="20" w:type="dxa"/>
            </w:tcMar>
            <w:vAlign w:val="bottom"/>
          </w:tcPr>
          <w:p w14:paraId="5F2D00B9" w14:textId="77777777" w:rsidR="00E836FB" w:rsidRDefault="00994958">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F2D00B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0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B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BD" w14:textId="77777777" w:rsidR="00E836FB" w:rsidRDefault="00994958">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F2D00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B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C0"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0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C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C3"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0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C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0C6" w14:textId="77777777" w:rsidR="00E836FB" w:rsidRDefault="00994958">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F2D00C7" w14:textId="77777777" w:rsidR="00E836FB" w:rsidRDefault="00E836FB">
            <w:pPr>
              <w:jc w:val="right"/>
              <w:rPr>
                <w:rFonts w:ascii="宋体"/>
              </w:rPr>
            </w:pPr>
          </w:p>
        </w:tc>
      </w:tr>
      <w:tr w:rsidR="00E836FB" w14:paraId="5F2D00D8" w14:textId="77777777">
        <w:tc>
          <w:tcPr>
            <w:tcW w:w="0" w:type="auto"/>
            <w:gridSpan w:val="3"/>
            <w:shd w:val="clear" w:color="auto" w:fill="FFFFFF"/>
            <w:tcMar>
              <w:top w:w="40" w:type="dxa"/>
              <w:left w:w="740" w:type="dxa"/>
              <w:bottom w:w="40" w:type="dxa"/>
              <w:right w:w="20" w:type="dxa"/>
            </w:tcMar>
            <w:vAlign w:val="bottom"/>
          </w:tcPr>
          <w:p w14:paraId="5F2D00C9" w14:textId="77777777" w:rsidR="00E836FB" w:rsidRDefault="00994958">
            <w:pPr>
              <w:textAlignment w:val="bottom"/>
            </w:pPr>
            <w:r>
              <w:rPr>
                <w:rFonts w:ascii="Arial" w:eastAsia="宋体" w:hAnsi="Arial" w:cs="Arial"/>
                <w:color w:val="000000"/>
                <w:sz w:val="15"/>
                <w:szCs w:val="15"/>
              </w:rPr>
              <w:t xml:space="preserve">Total derivative </w:t>
            </w:r>
            <w:r>
              <w:rPr>
                <w:rFonts w:ascii="Arial" w:eastAsia="宋体" w:hAnsi="Arial" w:cs="Arial"/>
                <w:color w:val="000000"/>
                <w:sz w:val="15"/>
                <w:szCs w:val="15"/>
              </w:rPr>
              <w:t>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CA" w14:textId="77777777" w:rsidR="00E836FB" w:rsidRDefault="00994958">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C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C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CD" w14:textId="77777777" w:rsidR="00E836FB" w:rsidRDefault="00994958">
            <w:pPr>
              <w:jc w:val="right"/>
              <w:textAlignment w:val="bottom"/>
            </w:pPr>
            <w:r>
              <w:rPr>
                <w:rFonts w:ascii="Arial" w:eastAsia="宋体" w:hAnsi="Arial" w:cs="Arial"/>
                <w:color w:val="000000"/>
                <w:sz w:val="15"/>
                <w:szCs w:val="15"/>
              </w:rPr>
              <w:t>26,124 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C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D0" w14:textId="77777777" w:rsidR="00E836FB" w:rsidRDefault="00994958">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D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D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D3" w14:textId="77777777" w:rsidR="00E836FB" w:rsidRDefault="00994958">
            <w:pPr>
              <w:jc w:val="right"/>
              <w:textAlignment w:val="bottom"/>
            </w:pPr>
            <w:r>
              <w:rPr>
                <w:rFonts w:ascii="Arial" w:eastAsia="宋体" w:hAnsi="Arial" w:cs="Arial"/>
                <w:color w:val="000000"/>
                <w:sz w:val="15"/>
                <w:szCs w:val="15"/>
              </w:rPr>
              <w:t>(15,558)</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0D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0D6" w14:textId="77777777" w:rsidR="00E836FB" w:rsidRDefault="00994958">
            <w:pPr>
              <w:jc w:val="right"/>
              <w:textAlignment w:val="bottom"/>
            </w:pPr>
            <w:r>
              <w:rPr>
                <w:rFonts w:ascii="Arial" w:eastAsia="宋体" w:hAnsi="Arial" w:cs="Arial"/>
                <w:color w:val="000000"/>
                <w:sz w:val="15"/>
                <w:szCs w:val="15"/>
              </w:rPr>
              <w:t>10,568 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0D7" w14:textId="77777777" w:rsidR="00E836FB" w:rsidRDefault="00E836FB">
            <w:pPr>
              <w:jc w:val="right"/>
              <w:rPr>
                <w:rFonts w:ascii="宋体"/>
              </w:rPr>
            </w:pPr>
          </w:p>
        </w:tc>
      </w:tr>
      <w:tr w:rsidR="00E836FB" w14:paraId="5F2D00E3" w14:textId="77777777">
        <w:trPr>
          <w:hidden/>
        </w:trPr>
        <w:tc>
          <w:tcPr>
            <w:tcW w:w="0" w:type="auto"/>
            <w:gridSpan w:val="3"/>
            <w:shd w:val="clear" w:color="auto" w:fill="auto"/>
            <w:vAlign w:val="bottom"/>
          </w:tcPr>
          <w:p w14:paraId="5F2D00D9" w14:textId="77777777" w:rsidR="00E836FB" w:rsidRDefault="00E836FB">
            <w:pPr>
              <w:rPr>
                <w:rFonts w:ascii="宋体"/>
                <w:vanish/>
              </w:rPr>
            </w:pPr>
          </w:p>
        </w:tc>
        <w:tc>
          <w:tcPr>
            <w:tcW w:w="0" w:type="auto"/>
            <w:gridSpan w:val="3"/>
            <w:shd w:val="clear" w:color="auto" w:fill="auto"/>
            <w:vAlign w:val="bottom"/>
          </w:tcPr>
          <w:p w14:paraId="5F2D00DA" w14:textId="77777777" w:rsidR="00E836FB" w:rsidRDefault="00E836FB">
            <w:pPr>
              <w:rPr>
                <w:rFonts w:ascii="宋体"/>
                <w:vanish/>
              </w:rPr>
            </w:pPr>
          </w:p>
        </w:tc>
        <w:tc>
          <w:tcPr>
            <w:tcW w:w="0" w:type="auto"/>
            <w:gridSpan w:val="3"/>
            <w:shd w:val="clear" w:color="auto" w:fill="auto"/>
            <w:vAlign w:val="bottom"/>
          </w:tcPr>
          <w:p w14:paraId="5F2D00DB" w14:textId="77777777" w:rsidR="00E836FB" w:rsidRDefault="00E836FB">
            <w:pPr>
              <w:rPr>
                <w:rFonts w:ascii="宋体"/>
                <w:vanish/>
              </w:rPr>
            </w:pPr>
          </w:p>
        </w:tc>
        <w:tc>
          <w:tcPr>
            <w:tcW w:w="0" w:type="auto"/>
            <w:gridSpan w:val="3"/>
            <w:shd w:val="clear" w:color="auto" w:fill="auto"/>
            <w:vAlign w:val="bottom"/>
          </w:tcPr>
          <w:p w14:paraId="5F2D00DC" w14:textId="77777777" w:rsidR="00E836FB" w:rsidRDefault="00E836FB">
            <w:pPr>
              <w:rPr>
                <w:rFonts w:ascii="宋体"/>
                <w:vanish/>
              </w:rPr>
            </w:pPr>
          </w:p>
        </w:tc>
        <w:tc>
          <w:tcPr>
            <w:tcW w:w="0" w:type="auto"/>
            <w:gridSpan w:val="3"/>
            <w:shd w:val="clear" w:color="auto" w:fill="auto"/>
            <w:vAlign w:val="bottom"/>
          </w:tcPr>
          <w:p w14:paraId="5F2D00DD" w14:textId="77777777" w:rsidR="00E836FB" w:rsidRDefault="00E836FB">
            <w:pPr>
              <w:rPr>
                <w:rFonts w:ascii="宋体"/>
                <w:vanish/>
              </w:rPr>
            </w:pPr>
          </w:p>
        </w:tc>
        <w:tc>
          <w:tcPr>
            <w:tcW w:w="0" w:type="auto"/>
            <w:gridSpan w:val="3"/>
            <w:shd w:val="clear" w:color="auto" w:fill="auto"/>
            <w:vAlign w:val="bottom"/>
          </w:tcPr>
          <w:p w14:paraId="5F2D00DE" w14:textId="77777777" w:rsidR="00E836FB" w:rsidRDefault="00E836FB">
            <w:pPr>
              <w:rPr>
                <w:rFonts w:ascii="宋体"/>
                <w:vanish/>
              </w:rPr>
            </w:pPr>
          </w:p>
        </w:tc>
        <w:tc>
          <w:tcPr>
            <w:tcW w:w="0" w:type="auto"/>
            <w:gridSpan w:val="3"/>
            <w:shd w:val="clear" w:color="auto" w:fill="auto"/>
            <w:vAlign w:val="bottom"/>
          </w:tcPr>
          <w:p w14:paraId="5F2D00DF" w14:textId="77777777" w:rsidR="00E836FB" w:rsidRDefault="00E836FB">
            <w:pPr>
              <w:rPr>
                <w:rFonts w:ascii="宋体"/>
                <w:vanish/>
              </w:rPr>
            </w:pPr>
          </w:p>
        </w:tc>
        <w:tc>
          <w:tcPr>
            <w:tcW w:w="0" w:type="auto"/>
            <w:gridSpan w:val="3"/>
            <w:shd w:val="clear" w:color="auto" w:fill="auto"/>
            <w:vAlign w:val="bottom"/>
          </w:tcPr>
          <w:p w14:paraId="5F2D00E0" w14:textId="77777777" w:rsidR="00E836FB" w:rsidRDefault="00E836FB">
            <w:pPr>
              <w:rPr>
                <w:rFonts w:ascii="宋体"/>
                <w:vanish/>
              </w:rPr>
            </w:pPr>
          </w:p>
        </w:tc>
        <w:tc>
          <w:tcPr>
            <w:tcW w:w="0" w:type="auto"/>
            <w:gridSpan w:val="3"/>
            <w:shd w:val="clear" w:color="auto" w:fill="auto"/>
            <w:vAlign w:val="bottom"/>
          </w:tcPr>
          <w:p w14:paraId="5F2D00E1" w14:textId="77777777" w:rsidR="00E836FB" w:rsidRDefault="00E836FB">
            <w:pPr>
              <w:rPr>
                <w:rFonts w:ascii="宋体"/>
                <w:vanish/>
              </w:rPr>
            </w:pPr>
          </w:p>
        </w:tc>
        <w:tc>
          <w:tcPr>
            <w:tcW w:w="0" w:type="auto"/>
            <w:gridSpan w:val="3"/>
            <w:shd w:val="clear" w:color="auto" w:fill="auto"/>
            <w:vAlign w:val="bottom"/>
          </w:tcPr>
          <w:p w14:paraId="5F2D00E2" w14:textId="77777777" w:rsidR="00E836FB" w:rsidRDefault="00E836FB">
            <w:pPr>
              <w:rPr>
                <w:rFonts w:ascii="宋体"/>
                <w:vanish/>
              </w:rPr>
            </w:pPr>
          </w:p>
        </w:tc>
      </w:tr>
      <w:tr w:rsidR="00E836FB" w14:paraId="5F2D00F8" w14:textId="77777777">
        <w:tc>
          <w:tcPr>
            <w:tcW w:w="0" w:type="auto"/>
            <w:gridSpan w:val="3"/>
            <w:shd w:val="clear" w:color="auto" w:fill="CCEEFF"/>
            <w:tcMar>
              <w:top w:w="40" w:type="dxa"/>
              <w:left w:w="20" w:type="dxa"/>
              <w:bottom w:w="40" w:type="dxa"/>
              <w:right w:w="20" w:type="dxa"/>
            </w:tcMar>
            <w:vAlign w:val="bottom"/>
          </w:tcPr>
          <w:p w14:paraId="5F2D00E4" w14:textId="77777777" w:rsidR="00E836FB" w:rsidRDefault="00994958">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00E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00E6" w14:textId="77777777" w:rsidR="00E836FB" w:rsidRDefault="00994958">
            <w:pPr>
              <w:jc w:val="right"/>
              <w:textAlignment w:val="bottom"/>
            </w:pPr>
            <w:r>
              <w:rPr>
                <w:rFonts w:ascii="Arial" w:eastAsia="宋体" w:hAnsi="Arial" w:cs="Arial"/>
                <w:color w:val="000000"/>
                <w:sz w:val="15"/>
                <w:szCs w:val="15"/>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00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E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00E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00EA" w14:textId="77777777" w:rsidR="00E836FB" w:rsidRDefault="00994958">
            <w:pPr>
              <w:jc w:val="right"/>
              <w:textAlignment w:val="bottom"/>
            </w:pPr>
            <w:r>
              <w:rPr>
                <w:rFonts w:ascii="Arial" w:eastAsia="宋体" w:hAnsi="Arial" w:cs="Arial"/>
                <w:color w:val="000000"/>
                <w:sz w:val="15"/>
                <w:szCs w:val="15"/>
              </w:rPr>
              <w:t>26,124 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00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E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00E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00EE" w14:textId="77777777" w:rsidR="00E836FB" w:rsidRDefault="00994958">
            <w:pPr>
              <w:jc w:val="right"/>
              <w:textAlignment w:val="bottom"/>
            </w:pPr>
            <w:r>
              <w:rPr>
                <w:rFonts w:ascii="Arial" w:eastAsia="宋体" w:hAnsi="Arial" w:cs="Arial"/>
                <w:color w:val="000000"/>
                <w:sz w:val="15"/>
                <w:szCs w:val="15"/>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00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F0"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00F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00F2" w14:textId="77777777" w:rsidR="00E836FB" w:rsidRDefault="00994958">
            <w:pPr>
              <w:jc w:val="right"/>
              <w:textAlignment w:val="bottom"/>
            </w:pPr>
            <w:r>
              <w:rPr>
                <w:rFonts w:ascii="Arial" w:eastAsia="宋体" w:hAnsi="Arial" w:cs="Arial"/>
                <w:color w:val="000000"/>
                <w:sz w:val="15"/>
                <w:szCs w:val="15"/>
              </w:rPr>
              <w:t>(15,558)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00F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0F4"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00F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00F6" w14:textId="77777777" w:rsidR="00E836FB" w:rsidRDefault="00994958">
            <w:pPr>
              <w:jc w:val="right"/>
              <w:textAlignment w:val="bottom"/>
            </w:pPr>
            <w:r>
              <w:rPr>
                <w:rFonts w:ascii="Arial" w:eastAsia="宋体" w:hAnsi="Arial" w:cs="Arial"/>
                <w:color w:val="000000"/>
                <w:sz w:val="15"/>
                <w:szCs w:val="15"/>
              </w:rPr>
              <w:t>10,572 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00F7" w14:textId="77777777" w:rsidR="00E836FB" w:rsidRDefault="00E836FB">
            <w:pPr>
              <w:jc w:val="right"/>
              <w:rPr>
                <w:rFonts w:ascii="宋体"/>
              </w:rPr>
            </w:pPr>
          </w:p>
        </w:tc>
      </w:tr>
    </w:tbl>
    <w:p w14:paraId="5F2D00F9"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E836FB" w14:paraId="5F2D0109" w14:textId="77777777">
        <w:tc>
          <w:tcPr>
            <w:tcW w:w="50" w:type="pct"/>
            <w:shd w:val="clear" w:color="auto" w:fill="auto"/>
            <w:vAlign w:val="bottom"/>
          </w:tcPr>
          <w:p w14:paraId="5F2D00FA" w14:textId="77777777" w:rsidR="00E836FB" w:rsidRDefault="00E836FB">
            <w:pPr>
              <w:rPr>
                <w:rFonts w:ascii="宋体"/>
              </w:rPr>
            </w:pPr>
          </w:p>
        </w:tc>
        <w:tc>
          <w:tcPr>
            <w:tcW w:w="1311" w:type="pct"/>
            <w:shd w:val="clear" w:color="auto" w:fill="auto"/>
            <w:vAlign w:val="bottom"/>
          </w:tcPr>
          <w:p w14:paraId="5F2D00FB" w14:textId="77777777" w:rsidR="00E836FB" w:rsidRDefault="00E836FB">
            <w:pPr>
              <w:rPr>
                <w:rFonts w:ascii="宋体"/>
              </w:rPr>
            </w:pPr>
          </w:p>
        </w:tc>
        <w:tc>
          <w:tcPr>
            <w:tcW w:w="5" w:type="pct"/>
            <w:shd w:val="clear" w:color="auto" w:fill="auto"/>
            <w:vAlign w:val="bottom"/>
          </w:tcPr>
          <w:p w14:paraId="5F2D00FC" w14:textId="77777777" w:rsidR="00E836FB" w:rsidRDefault="00E836FB">
            <w:pPr>
              <w:rPr>
                <w:rFonts w:ascii="宋体"/>
              </w:rPr>
            </w:pPr>
          </w:p>
        </w:tc>
        <w:tc>
          <w:tcPr>
            <w:tcW w:w="50" w:type="pct"/>
            <w:shd w:val="clear" w:color="auto" w:fill="auto"/>
            <w:vAlign w:val="bottom"/>
          </w:tcPr>
          <w:p w14:paraId="5F2D00FD" w14:textId="77777777" w:rsidR="00E836FB" w:rsidRDefault="00E836FB">
            <w:pPr>
              <w:rPr>
                <w:rFonts w:ascii="宋体"/>
              </w:rPr>
            </w:pPr>
          </w:p>
        </w:tc>
        <w:tc>
          <w:tcPr>
            <w:tcW w:w="1582" w:type="pct"/>
            <w:shd w:val="clear" w:color="auto" w:fill="auto"/>
            <w:vAlign w:val="bottom"/>
          </w:tcPr>
          <w:p w14:paraId="5F2D00FE" w14:textId="77777777" w:rsidR="00E836FB" w:rsidRDefault="00E836FB">
            <w:pPr>
              <w:rPr>
                <w:rFonts w:ascii="宋体"/>
              </w:rPr>
            </w:pPr>
          </w:p>
        </w:tc>
        <w:tc>
          <w:tcPr>
            <w:tcW w:w="5" w:type="pct"/>
            <w:shd w:val="clear" w:color="auto" w:fill="auto"/>
            <w:vAlign w:val="bottom"/>
          </w:tcPr>
          <w:p w14:paraId="5F2D00FF" w14:textId="77777777" w:rsidR="00E836FB" w:rsidRDefault="00E836FB">
            <w:pPr>
              <w:rPr>
                <w:rFonts w:ascii="宋体"/>
              </w:rPr>
            </w:pPr>
          </w:p>
        </w:tc>
        <w:tc>
          <w:tcPr>
            <w:tcW w:w="50" w:type="pct"/>
            <w:shd w:val="clear" w:color="auto" w:fill="auto"/>
            <w:vAlign w:val="bottom"/>
          </w:tcPr>
          <w:p w14:paraId="5F2D0100" w14:textId="77777777" w:rsidR="00E836FB" w:rsidRDefault="00E836FB">
            <w:pPr>
              <w:rPr>
                <w:rFonts w:ascii="宋体"/>
              </w:rPr>
            </w:pPr>
          </w:p>
        </w:tc>
        <w:tc>
          <w:tcPr>
            <w:tcW w:w="537" w:type="pct"/>
            <w:shd w:val="clear" w:color="auto" w:fill="auto"/>
            <w:vAlign w:val="bottom"/>
          </w:tcPr>
          <w:p w14:paraId="5F2D0101" w14:textId="77777777" w:rsidR="00E836FB" w:rsidRDefault="00E836FB">
            <w:pPr>
              <w:rPr>
                <w:rFonts w:ascii="宋体"/>
              </w:rPr>
            </w:pPr>
          </w:p>
        </w:tc>
        <w:tc>
          <w:tcPr>
            <w:tcW w:w="5" w:type="pct"/>
            <w:shd w:val="clear" w:color="auto" w:fill="auto"/>
            <w:vAlign w:val="bottom"/>
          </w:tcPr>
          <w:p w14:paraId="5F2D0102" w14:textId="77777777" w:rsidR="00E836FB" w:rsidRDefault="00E836FB">
            <w:pPr>
              <w:rPr>
                <w:rFonts w:ascii="宋体"/>
              </w:rPr>
            </w:pPr>
          </w:p>
        </w:tc>
        <w:tc>
          <w:tcPr>
            <w:tcW w:w="50" w:type="pct"/>
            <w:shd w:val="clear" w:color="auto" w:fill="auto"/>
            <w:vAlign w:val="bottom"/>
          </w:tcPr>
          <w:p w14:paraId="5F2D0103" w14:textId="77777777" w:rsidR="00E836FB" w:rsidRDefault="00E836FB">
            <w:pPr>
              <w:rPr>
                <w:rFonts w:ascii="宋体"/>
              </w:rPr>
            </w:pPr>
          </w:p>
        </w:tc>
        <w:tc>
          <w:tcPr>
            <w:tcW w:w="376" w:type="pct"/>
            <w:shd w:val="clear" w:color="auto" w:fill="auto"/>
            <w:vAlign w:val="bottom"/>
          </w:tcPr>
          <w:p w14:paraId="5F2D0104" w14:textId="77777777" w:rsidR="00E836FB" w:rsidRDefault="00E836FB">
            <w:pPr>
              <w:rPr>
                <w:rFonts w:ascii="宋体"/>
              </w:rPr>
            </w:pPr>
          </w:p>
        </w:tc>
        <w:tc>
          <w:tcPr>
            <w:tcW w:w="5" w:type="pct"/>
            <w:shd w:val="clear" w:color="auto" w:fill="auto"/>
            <w:vAlign w:val="bottom"/>
          </w:tcPr>
          <w:p w14:paraId="5F2D0105" w14:textId="77777777" w:rsidR="00E836FB" w:rsidRDefault="00E836FB">
            <w:pPr>
              <w:rPr>
                <w:rFonts w:ascii="宋体"/>
              </w:rPr>
            </w:pPr>
          </w:p>
        </w:tc>
        <w:tc>
          <w:tcPr>
            <w:tcW w:w="50" w:type="pct"/>
            <w:shd w:val="clear" w:color="auto" w:fill="auto"/>
            <w:vAlign w:val="bottom"/>
          </w:tcPr>
          <w:p w14:paraId="5F2D0106" w14:textId="77777777" w:rsidR="00E836FB" w:rsidRDefault="00E836FB">
            <w:pPr>
              <w:rPr>
                <w:rFonts w:ascii="宋体"/>
              </w:rPr>
            </w:pPr>
          </w:p>
        </w:tc>
        <w:tc>
          <w:tcPr>
            <w:tcW w:w="917" w:type="pct"/>
            <w:shd w:val="clear" w:color="auto" w:fill="auto"/>
            <w:vAlign w:val="bottom"/>
          </w:tcPr>
          <w:p w14:paraId="5F2D0107" w14:textId="77777777" w:rsidR="00E836FB" w:rsidRDefault="00E836FB">
            <w:pPr>
              <w:rPr>
                <w:rFonts w:ascii="宋体"/>
              </w:rPr>
            </w:pPr>
          </w:p>
        </w:tc>
        <w:tc>
          <w:tcPr>
            <w:tcW w:w="5" w:type="pct"/>
            <w:shd w:val="clear" w:color="auto" w:fill="auto"/>
            <w:vAlign w:val="bottom"/>
          </w:tcPr>
          <w:p w14:paraId="5F2D0108" w14:textId="77777777" w:rsidR="00E836FB" w:rsidRDefault="00E836FB">
            <w:pPr>
              <w:rPr>
                <w:rFonts w:ascii="宋体"/>
              </w:rPr>
            </w:pPr>
          </w:p>
        </w:tc>
      </w:tr>
      <w:tr w:rsidR="00E836FB" w14:paraId="5F2D010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01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0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0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0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0E" w14:textId="77777777" w:rsidR="00E836FB" w:rsidRDefault="00E836FB">
            <w:pPr>
              <w:rPr>
                <w:rFonts w:ascii="宋体"/>
              </w:rPr>
            </w:pPr>
          </w:p>
        </w:tc>
      </w:tr>
    </w:tbl>
    <w:p w14:paraId="5F2D0110"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counterparty netting against level 2 financial assets and liabilities where a legally enforceable master netting agreement exists between us and the counterparty. Netting also reflects asset and liability </w:t>
      </w:r>
      <w:r>
        <w:rPr>
          <w:rFonts w:ascii="Arial" w:eastAsia="宋体" w:hAnsi="Arial" w:cs="Arial"/>
          <w:color w:val="000000"/>
          <w:sz w:val="14"/>
          <w:szCs w:val="14"/>
        </w:rPr>
        <w:t>reductions of $5.87 billion and $1.29 billion, respectively, for cash collateral received from and provided to derivative counterparties.</w:t>
      </w:r>
    </w:p>
    <w:p w14:paraId="5F2D0111" w14:textId="77777777" w:rsidR="00E836FB" w:rsidRDefault="00994958">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Consists entirely of non-agency CMBS.</w:t>
      </w:r>
    </w:p>
    <w:p w14:paraId="5F2D0112" w14:textId="77777777" w:rsidR="00E836FB" w:rsidRDefault="00E836FB">
      <w:pPr>
        <w:spacing w:before="20"/>
        <w:jc w:val="both"/>
      </w:pPr>
    </w:p>
    <w:p w14:paraId="5F2D0113" w14:textId="77777777" w:rsidR="00E836FB" w:rsidRDefault="00994958">
      <w:pPr>
        <w:ind w:firstLine="450"/>
        <w:jc w:val="right"/>
      </w:pPr>
      <w:r>
        <w:rPr>
          <w:rFonts w:ascii="Arial" w:eastAsia="宋体" w:hAnsi="Arial" w:cs="Arial"/>
          <w:color w:val="000000"/>
          <w:sz w:val="18"/>
          <w:szCs w:val="18"/>
        </w:rPr>
        <w:t>State Street Corporation | 140</w:t>
      </w:r>
    </w:p>
    <w:p w14:paraId="5F2D0114" w14:textId="77777777" w:rsidR="00E836FB" w:rsidRDefault="00E836FB">
      <w:pPr>
        <w:ind w:firstLine="450"/>
        <w:jc w:val="center"/>
      </w:pPr>
    </w:p>
    <w:p w14:paraId="5F2D0115" w14:textId="77777777" w:rsidR="00E836FB" w:rsidRDefault="00994958">
      <w:r>
        <w:pict w14:anchorId="5F2D6E11">
          <v:rect id="_x0000_i1164" style="width:415.3pt;height:1.5pt" o:hralign="center" o:hrstd="t" o:hr="t" fillcolor="#a0a0a0" stroked="f"/>
        </w:pict>
      </w:r>
    </w:p>
    <w:p w14:paraId="5F2D0116" w14:textId="77777777" w:rsidR="00E836FB" w:rsidRDefault="00994958">
      <w:pPr>
        <w:ind w:firstLine="450"/>
        <w:jc w:val="center"/>
      </w:pPr>
      <w:r>
        <w:rPr>
          <w:rFonts w:ascii="Arial" w:eastAsia="宋体" w:hAnsi="Arial" w:cs="Arial"/>
          <w:b/>
          <w:bCs/>
          <w:color w:val="000000"/>
          <w:sz w:val="20"/>
          <w:szCs w:val="20"/>
        </w:rPr>
        <w:t>STATE STREET CORPORATION</w:t>
      </w:r>
    </w:p>
    <w:p w14:paraId="5F2D0117" w14:textId="77777777" w:rsidR="00E836FB" w:rsidRDefault="00994958">
      <w:pPr>
        <w:ind w:firstLine="450"/>
        <w:jc w:val="center"/>
      </w:pPr>
      <w:r>
        <w:rPr>
          <w:rFonts w:ascii="Arial" w:eastAsia="宋体" w:hAnsi="Arial" w:cs="Arial"/>
          <w:b/>
          <w:bCs/>
          <w:color w:val="000000"/>
          <w:sz w:val="20"/>
          <w:szCs w:val="20"/>
        </w:rPr>
        <w:t>NOTES TO CONSOLI</w:t>
      </w:r>
      <w:r>
        <w:rPr>
          <w:rFonts w:ascii="Arial" w:eastAsia="宋体" w:hAnsi="Arial" w:cs="Arial"/>
          <w:b/>
          <w:bCs/>
          <w:color w:val="000000"/>
          <w:sz w:val="20"/>
          <w:szCs w:val="20"/>
        </w:rPr>
        <w:t>DATED FINANCIAL STATEMENTS</w:t>
      </w:r>
    </w:p>
    <w:p w14:paraId="5F2D0118" w14:textId="77777777" w:rsidR="00E836FB" w:rsidRDefault="00994958">
      <w:pPr>
        <w:spacing w:before="120"/>
        <w:ind w:firstLine="450"/>
        <w:jc w:val="both"/>
      </w:pPr>
      <w:r>
        <w:rPr>
          <w:rFonts w:ascii="Arial" w:eastAsia="宋体" w:hAnsi="Arial" w:cs="Arial"/>
          <w:color w:val="000000"/>
          <w:sz w:val="20"/>
          <w:szCs w:val="20"/>
        </w:rPr>
        <w:t xml:space="preserve">The following tables present activity related to our level 3 financial assets during the years ended December 31, 2021 and 2020, respectively. Transfers into and out of level 3 are reported as of the beginning of the period </w:t>
      </w:r>
      <w:r>
        <w:rPr>
          <w:rFonts w:ascii="Arial" w:eastAsia="宋体" w:hAnsi="Arial" w:cs="Arial"/>
          <w:color w:val="000000"/>
          <w:sz w:val="20"/>
          <w:szCs w:val="20"/>
        </w:rPr>
        <w:t>presented. During the years ended December 31, 2021 and 2020, transfers into level 3 were primarily related to collateralized loan obligations and a U.S. corporate bond, for which fair value was measured using information obtained from third party sources,</w:t>
      </w:r>
      <w:r>
        <w:rPr>
          <w:rFonts w:ascii="Arial" w:eastAsia="宋体" w:hAnsi="Arial" w:cs="Arial"/>
          <w:color w:val="000000"/>
          <w:sz w:val="20"/>
          <w:szCs w:val="20"/>
        </w:rPr>
        <w:t xml:space="preserve"> including non-binding broker/dealer quotes. During the years ended December 31, 2021 and 2020, transfers out of level 3 were mainly related to collateralized loan obligations, certain non-U.S. debt securities and a U.S. corporate bond, for which fair valu</w:t>
      </w:r>
      <w:r>
        <w:rPr>
          <w:rFonts w:ascii="Arial" w:eastAsia="宋体" w:hAnsi="Arial" w:cs="Arial"/>
          <w:color w:val="000000"/>
          <w:sz w:val="20"/>
          <w:szCs w:val="20"/>
        </w:rPr>
        <w:t>e was measured using prices based on observable market information.</w:t>
      </w:r>
    </w:p>
    <w:tbl>
      <w:tblPr>
        <w:tblW w:w="5000" w:type="pct"/>
        <w:tblCellMar>
          <w:top w:w="15" w:type="dxa"/>
          <w:left w:w="15" w:type="dxa"/>
          <w:bottom w:w="15" w:type="dxa"/>
          <w:right w:w="15" w:type="dxa"/>
        </w:tblCellMar>
        <w:tblLook w:val="04A0" w:firstRow="1" w:lastRow="0" w:firstColumn="1" w:lastColumn="0" w:noHBand="0" w:noVBand="1"/>
      </w:tblPr>
      <w:tblGrid>
        <w:gridCol w:w="67"/>
        <w:gridCol w:w="849"/>
        <w:gridCol w:w="35"/>
        <w:gridCol w:w="84"/>
        <w:gridCol w:w="516"/>
        <w:gridCol w:w="35"/>
        <w:gridCol w:w="36"/>
        <w:gridCol w:w="35"/>
        <w:gridCol w:w="35"/>
        <w:gridCol w:w="84"/>
        <w:gridCol w:w="501"/>
        <w:gridCol w:w="36"/>
        <w:gridCol w:w="37"/>
        <w:gridCol w:w="37"/>
        <w:gridCol w:w="36"/>
        <w:gridCol w:w="88"/>
        <w:gridCol w:w="792"/>
        <w:gridCol w:w="36"/>
        <w:gridCol w:w="36"/>
        <w:gridCol w:w="36"/>
        <w:gridCol w:w="36"/>
        <w:gridCol w:w="88"/>
        <w:gridCol w:w="517"/>
        <w:gridCol w:w="36"/>
        <w:gridCol w:w="36"/>
        <w:gridCol w:w="36"/>
        <w:gridCol w:w="36"/>
        <w:gridCol w:w="36"/>
        <w:gridCol w:w="36"/>
        <w:gridCol w:w="85"/>
        <w:gridCol w:w="263"/>
        <w:gridCol w:w="36"/>
        <w:gridCol w:w="36"/>
        <w:gridCol w:w="36"/>
        <w:gridCol w:w="36"/>
        <w:gridCol w:w="87"/>
        <w:gridCol w:w="587"/>
        <w:gridCol w:w="36"/>
        <w:gridCol w:w="36"/>
        <w:gridCol w:w="36"/>
        <w:gridCol w:w="36"/>
        <w:gridCol w:w="87"/>
        <w:gridCol w:w="461"/>
        <w:gridCol w:w="36"/>
        <w:gridCol w:w="36"/>
        <w:gridCol w:w="36"/>
        <w:gridCol w:w="36"/>
        <w:gridCol w:w="87"/>
        <w:gridCol w:w="461"/>
        <w:gridCol w:w="36"/>
        <w:gridCol w:w="36"/>
        <w:gridCol w:w="36"/>
        <w:gridCol w:w="36"/>
        <w:gridCol w:w="85"/>
        <w:gridCol w:w="496"/>
        <w:gridCol w:w="36"/>
        <w:gridCol w:w="36"/>
        <w:gridCol w:w="36"/>
        <w:gridCol w:w="685"/>
      </w:tblGrid>
      <w:tr w:rsidR="00E836FB" w14:paraId="5F2D0154" w14:textId="77777777">
        <w:tc>
          <w:tcPr>
            <w:tcW w:w="50" w:type="pct"/>
            <w:shd w:val="clear" w:color="auto" w:fill="auto"/>
            <w:vAlign w:val="bottom"/>
          </w:tcPr>
          <w:p w14:paraId="5F2D0119" w14:textId="77777777" w:rsidR="00E836FB" w:rsidRDefault="00E836FB">
            <w:pPr>
              <w:rPr>
                <w:rFonts w:ascii="宋体"/>
              </w:rPr>
            </w:pPr>
          </w:p>
        </w:tc>
        <w:tc>
          <w:tcPr>
            <w:tcW w:w="763" w:type="pct"/>
            <w:shd w:val="clear" w:color="auto" w:fill="auto"/>
            <w:vAlign w:val="bottom"/>
          </w:tcPr>
          <w:p w14:paraId="5F2D011A" w14:textId="77777777" w:rsidR="00E836FB" w:rsidRDefault="00E836FB">
            <w:pPr>
              <w:rPr>
                <w:rFonts w:ascii="宋体"/>
              </w:rPr>
            </w:pPr>
          </w:p>
        </w:tc>
        <w:tc>
          <w:tcPr>
            <w:tcW w:w="5" w:type="pct"/>
            <w:shd w:val="clear" w:color="auto" w:fill="auto"/>
            <w:vAlign w:val="bottom"/>
          </w:tcPr>
          <w:p w14:paraId="5F2D011B" w14:textId="77777777" w:rsidR="00E836FB" w:rsidRDefault="00E836FB">
            <w:pPr>
              <w:rPr>
                <w:rFonts w:ascii="宋体"/>
              </w:rPr>
            </w:pPr>
          </w:p>
        </w:tc>
        <w:tc>
          <w:tcPr>
            <w:tcW w:w="50" w:type="pct"/>
            <w:shd w:val="clear" w:color="auto" w:fill="auto"/>
            <w:vAlign w:val="bottom"/>
          </w:tcPr>
          <w:p w14:paraId="5F2D011C" w14:textId="77777777" w:rsidR="00E836FB" w:rsidRDefault="00E836FB">
            <w:pPr>
              <w:rPr>
                <w:rFonts w:ascii="宋体"/>
              </w:rPr>
            </w:pPr>
          </w:p>
        </w:tc>
        <w:tc>
          <w:tcPr>
            <w:tcW w:w="412" w:type="pct"/>
            <w:shd w:val="clear" w:color="auto" w:fill="auto"/>
            <w:vAlign w:val="bottom"/>
          </w:tcPr>
          <w:p w14:paraId="5F2D011D" w14:textId="77777777" w:rsidR="00E836FB" w:rsidRDefault="00E836FB">
            <w:pPr>
              <w:rPr>
                <w:rFonts w:ascii="宋体"/>
              </w:rPr>
            </w:pPr>
          </w:p>
        </w:tc>
        <w:tc>
          <w:tcPr>
            <w:tcW w:w="5" w:type="pct"/>
            <w:shd w:val="clear" w:color="auto" w:fill="auto"/>
            <w:vAlign w:val="bottom"/>
          </w:tcPr>
          <w:p w14:paraId="5F2D011E" w14:textId="77777777" w:rsidR="00E836FB" w:rsidRDefault="00E836FB">
            <w:pPr>
              <w:rPr>
                <w:rFonts w:ascii="宋体"/>
              </w:rPr>
            </w:pPr>
          </w:p>
        </w:tc>
        <w:tc>
          <w:tcPr>
            <w:tcW w:w="5" w:type="pct"/>
            <w:shd w:val="clear" w:color="auto" w:fill="auto"/>
            <w:vAlign w:val="bottom"/>
          </w:tcPr>
          <w:p w14:paraId="5F2D011F" w14:textId="77777777" w:rsidR="00E836FB" w:rsidRDefault="00E836FB">
            <w:pPr>
              <w:rPr>
                <w:rFonts w:ascii="宋体"/>
              </w:rPr>
            </w:pPr>
          </w:p>
        </w:tc>
        <w:tc>
          <w:tcPr>
            <w:tcW w:w="19" w:type="pct"/>
            <w:shd w:val="clear" w:color="auto" w:fill="auto"/>
            <w:vAlign w:val="bottom"/>
          </w:tcPr>
          <w:p w14:paraId="5F2D0120" w14:textId="77777777" w:rsidR="00E836FB" w:rsidRDefault="00E836FB">
            <w:pPr>
              <w:rPr>
                <w:rFonts w:ascii="宋体"/>
              </w:rPr>
            </w:pPr>
          </w:p>
        </w:tc>
        <w:tc>
          <w:tcPr>
            <w:tcW w:w="5" w:type="pct"/>
            <w:shd w:val="clear" w:color="auto" w:fill="auto"/>
            <w:vAlign w:val="bottom"/>
          </w:tcPr>
          <w:p w14:paraId="5F2D0121" w14:textId="77777777" w:rsidR="00E836FB" w:rsidRDefault="00E836FB">
            <w:pPr>
              <w:rPr>
                <w:rFonts w:ascii="宋体"/>
              </w:rPr>
            </w:pPr>
          </w:p>
        </w:tc>
        <w:tc>
          <w:tcPr>
            <w:tcW w:w="50" w:type="pct"/>
            <w:shd w:val="clear" w:color="auto" w:fill="auto"/>
            <w:vAlign w:val="bottom"/>
          </w:tcPr>
          <w:p w14:paraId="5F2D0122" w14:textId="77777777" w:rsidR="00E836FB" w:rsidRDefault="00E836FB">
            <w:pPr>
              <w:rPr>
                <w:rFonts w:ascii="宋体"/>
              </w:rPr>
            </w:pPr>
          </w:p>
        </w:tc>
        <w:tc>
          <w:tcPr>
            <w:tcW w:w="317" w:type="pct"/>
            <w:shd w:val="clear" w:color="auto" w:fill="auto"/>
            <w:vAlign w:val="bottom"/>
          </w:tcPr>
          <w:p w14:paraId="5F2D0123" w14:textId="77777777" w:rsidR="00E836FB" w:rsidRDefault="00E836FB">
            <w:pPr>
              <w:rPr>
                <w:rFonts w:ascii="宋体"/>
              </w:rPr>
            </w:pPr>
          </w:p>
        </w:tc>
        <w:tc>
          <w:tcPr>
            <w:tcW w:w="5" w:type="pct"/>
            <w:shd w:val="clear" w:color="auto" w:fill="auto"/>
            <w:vAlign w:val="bottom"/>
          </w:tcPr>
          <w:p w14:paraId="5F2D0124" w14:textId="77777777" w:rsidR="00E836FB" w:rsidRDefault="00E836FB">
            <w:pPr>
              <w:rPr>
                <w:rFonts w:ascii="宋体"/>
              </w:rPr>
            </w:pPr>
          </w:p>
        </w:tc>
        <w:tc>
          <w:tcPr>
            <w:tcW w:w="5" w:type="pct"/>
            <w:shd w:val="clear" w:color="auto" w:fill="auto"/>
            <w:vAlign w:val="bottom"/>
          </w:tcPr>
          <w:p w14:paraId="5F2D0125" w14:textId="77777777" w:rsidR="00E836FB" w:rsidRDefault="00E836FB">
            <w:pPr>
              <w:rPr>
                <w:rFonts w:ascii="宋体"/>
              </w:rPr>
            </w:pPr>
          </w:p>
        </w:tc>
        <w:tc>
          <w:tcPr>
            <w:tcW w:w="19" w:type="pct"/>
            <w:shd w:val="clear" w:color="auto" w:fill="auto"/>
            <w:vAlign w:val="bottom"/>
          </w:tcPr>
          <w:p w14:paraId="5F2D0126" w14:textId="77777777" w:rsidR="00E836FB" w:rsidRDefault="00E836FB">
            <w:pPr>
              <w:rPr>
                <w:rFonts w:ascii="宋体"/>
              </w:rPr>
            </w:pPr>
          </w:p>
        </w:tc>
        <w:tc>
          <w:tcPr>
            <w:tcW w:w="5" w:type="pct"/>
            <w:shd w:val="clear" w:color="auto" w:fill="auto"/>
            <w:vAlign w:val="bottom"/>
          </w:tcPr>
          <w:p w14:paraId="5F2D0127" w14:textId="77777777" w:rsidR="00E836FB" w:rsidRDefault="00E836FB">
            <w:pPr>
              <w:rPr>
                <w:rFonts w:ascii="宋体"/>
              </w:rPr>
            </w:pPr>
          </w:p>
        </w:tc>
        <w:tc>
          <w:tcPr>
            <w:tcW w:w="50" w:type="pct"/>
            <w:shd w:val="clear" w:color="auto" w:fill="auto"/>
            <w:vAlign w:val="bottom"/>
          </w:tcPr>
          <w:p w14:paraId="5F2D0128" w14:textId="77777777" w:rsidR="00E836FB" w:rsidRDefault="00E836FB">
            <w:pPr>
              <w:rPr>
                <w:rFonts w:ascii="宋体"/>
              </w:rPr>
            </w:pPr>
          </w:p>
        </w:tc>
        <w:tc>
          <w:tcPr>
            <w:tcW w:w="463" w:type="pct"/>
            <w:shd w:val="clear" w:color="auto" w:fill="auto"/>
            <w:vAlign w:val="bottom"/>
          </w:tcPr>
          <w:p w14:paraId="5F2D0129" w14:textId="77777777" w:rsidR="00E836FB" w:rsidRDefault="00E836FB">
            <w:pPr>
              <w:rPr>
                <w:rFonts w:ascii="宋体"/>
              </w:rPr>
            </w:pPr>
          </w:p>
        </w:tc>
        <w:tc>
          <w:tcPr>
            <w:tcW w:w="5" w:type="pct"/>
            <w:shd w:val="clear" w:color="auto" w:fill="auto"/>
            <w:vAlign w:val="bottom"/>
          </w:tcPr>
          <w:p w14:paraId="5F2D012A" w14:textId="77777777" w:rsidR="00E836FB" w:rsidRDefault="00E836FB">
            <w:pPr>
              <w:rPr>
                <w:rFonts w:ascii="宋体"/>
              </w:rPr>
            </w:pPr>
          </w:p>
        </w:tc>
        <w:tc>
          <w:tcPr>
            <w:tcW w:w="5" w:type="pct"/>
            <w:shd w:val="clear" w:color="auto" w:fill="auto"/>
            <w:vAlign w:val="bottom"/>
          </w:tcPr>
          <w:p w14:paraId="5F2D012B" w14:textId="77777777" w:rsidR="00E836FB" w:rsidRDefault="00E836FB">
            <w:pPr>
              <w:rPr>
                <w:rFonts w:ascii="宋体"/>
              </w:rPr>
            </w:pPr>
          </w:p>
        </w:tc>
        <w:tc>
          <w:tcPr>
            <w:tcW w:w="19" w:type="pct"/>
            <w:shd w:val="clear" w:color="auto" w:fill="auto"/>
            <w:vAlign w:val="bottom"/>
          </w:tcPr>
          <w:p w14:paraId="5F2D012C" w14:textId="77777777" w:rsidR="00E836FB" w:rsidRDefault="00E836FB">
            <w:pPr>
              <w:rPr>
                <w:rFonts w:ascii="宋体"/>
              </w:rPr>
            </w:pPr>
          </w:p>
        </w:tc>
        <w:tc>
          <w:tcPr>
            <w:tcW w:w="5" w:type="pct"/>
            <w:shd w:val="clear" w:color="auto" w:fill="auto"/>
            <w:vAlign w:val="bottom"/>
          </w:tcPr>
          <w:p w14:paraId="5F2D012D" w14:textId="77777777" w:rsidR="00E836FB" w:rsidRDefault="00E836FB">
            <w:pPr>
              <w:rPr>
                <w:rFonts w:ascii="宋体"/>
              </w:rPr>
            </w:pPr>
          </w:p>
        </w:tc>
        <w:tc>
          <w:tcPr>
            <w:tcW w:w="50" w:type="pct"/>
            <w:shd w:val="clear" w:color="auto" w:fill="auto"/>
            <w:vAlign w:val="bottom"/>
          </w:tcPr>
          <w:p w14:paraId="5F2D012E" w14:textId="77777777" w:rsidR="00E836FB" w:rsidRDefault="00E836FB">
            <w:pPr>
              <w:rPr>
                <w:rFonts w:ascii="宋体"/>
              </w:rPr>
            </w:pPr>
          </w:p>
        </w:tc>
        <w:tc>
          <w:tcPr>
            <w:tcW w:w="303" w:type="pct"/>
            <w:shd w:val="clear" w:color="auto" w:fill="auto"/>
            <w:vAlign w:val="bottom"/>
          </w:tcPr>
          <w:p w14:paraId="5F2D012F" w14:textId="77777777" w:rsidR="00E836FB" w:rsidRDefault="00E836FB">
            <w:pPr>
              <w:rPr>
                <w:rFonts w:ascii="宋体"/>
              </w:rPr>
            </w:pPr>
          </w:p>
        </w:tc>
        <w:tc>
          <w:tcPr>
            <w:tcW w:w="5" w:type="pct"/>
            <w:shd w:val="clear" w:color="auto" w:fill="auto"/>
            <w:vAlign w:val="bottom"/>
          </w:tcPr>
          <w:p w14:paraId="5F2D0130" w14:textId="77777777" w:rsidR="00E836FB" w:rsidRDefault="00E836FB">
            <w:pPr>
              <w:rPr>
                <w:rFonts w:ascii="宋体"/>
              </w:rPr>
            </w:pPr>
          </w:p>
        </w:tc>
        <w:tc>
          <w:tcPr>
            <w:tcW w:w="5" w:type="pct"/>
            <w:shd w:val="clear" w:color="auto" w:fill="auto"/>
            <w:vAlign w:val="bottom"/>
          </w:tcPr>
          <w:p w14:paraId="5F2D0131" w14:textId="77777777" w:rsidR="00E836FB" w:rsidRDefault="00E836FB">
            <w:pPr>
              <w:rPr>
                <w:rFonts w:ascii="宋体"/>
              </w:rPr>
            </w:pPr>
          </w:p>
        </w:tc>
        <w:tc>
          <w:tcPr>
            <w:tcW w:w="19" w:type="pct"/>
            <w:shd w:val="clear" w:color="auto" w:fill="auto"/>
            <w:vAlign w:val="bottom"/>
          </w:tcPr>
          <w:p w14:paraId="5F2D0132" w14:textId="77777777" w:rsidR="00E836FB" w:rsidRDefault="00E836FB">
            <w:pPr>
              <w:rPr>
                <w:rFonts w:ascii="宋体"/>
              </w:rPr>
            </w:pPr>
          </w:p>
        </w:tc>
        <w:tc>
          <w:tcPr>
            <w:tcW w:w="5" w:type="pct"/>
            <w:shd w:val="clear" w:color="auto" w:fill="auto"/>
            <w:vAlign w:val="bottom"/>
          </w:tcPr>
          <w:p w14:paraId="5F2D0133" w14:textId="77777777" w:rsidR="00E836FB" w:rsidRDefault="00E836FB">
            <w:pPr>
              <w:rPr>
                <w:rFonts w:ascii="宋体"/>
              </w:rPr>
            </w:pPr>
          </w:p>
        </w:tc>
        <w:tc>
          <w:tcPr>
            <w:tcW w:w="0" w:type="auto"/>
            <w:shd w:val="clear" w:color="auto" w:fill="auto"/>
            <w:vAlign w:val="bottom"/>
          </w:tcPr>
          <w:p w14:paraId="5F2D0134" w14:textId="77777777" w:rsidR="00E836FB" w:rsidRDefault="00E836FB">
            <w:pPr>
              <w:rPr>
                <w:rFonts w:ascii="宋体"/>
                <w:vanish/>
              </w:rPr>
            </w:pPr>
          </w:p>
        </w:tc>
        <w:tc>
          <w:tcPr>
            <w:tcW w:w="0" w:type="auto"/>
            <w:shd w:val="clear" w:color="auto" w:fill="auto"/>
            <w:vAlign w:val="bottom"/>
          </w:tcPr>
          <w:p w14:paraId="5F2D0135" w14:textId="77777777" w:rsidR="00E836FB" w:rsidRDefault="00E836FB">
            <w:pPr>
              <w:rPr>
                <w:rFonts w:ascii="宋体"/>
                <w:vanish/>
              </w:rPr>
            </w:pPr>
          </w:p>
        </w:tc>
        <w:tc>
          <w:tcPr>
            <w:tcW w:w="50" w:type="pct"/>
            <w:shd w:val="clear" w:color="auto" w:fill="auto"/>
            <w:vAlign w:val="bottom"/>
          </w:tcPr>
          <w:p w14:paraId="5F2D0136" w14:textId="77777777" w:rsidR="00E836FB" w:rsidRDefault="00E836FB">
            <w:pPr>
              <w:rPr>
                <w:rFonts w:ascii="宋体"/>
              </w:rPr>
            </w:pPr>
          </w:p>
        </w:tc>
        <w:tc>
          <w:tcPr>
            <w:tcW w:w="200" w:type="pct"/>
            <w:shd w:val="clear" w:color="auto" w:fill="auto"/>
            <w:vAlign w:val="bottom"/>
          </w:tcPr>
          <w:p w14:paraId="5F2D0137" w14:textId="77777777" w:rsidR="00E836FB" w:rsidRDefault="00E836FB">
            <w:pPr>
              <w:rPr>
                <w:rFonts w:ascii="宋体"/>
              </w:rPr>
            </w:pPr>
          </w:p>
        </w:tc>
        <w:tc>
          <w:tcPr>
            <w:tcW w:w="5" w:type="pct"/>
            <w:shd w:val="clear" w:color="auto" w:fill="auto"/>
            <w:vAlign w:val="bottom"/>
          </w:tcPr>
          <w:p w14:paraId="5F2D0138" w14:textId="77777777" w:rsidR="00E836FB" w:rsidRDefault="00E836FB">
            <w:pPr>
              <w:rPr>
                <w:rFonts w:ascii="宋体"/>
              </w:rPr>
            </w:pPr>
          </w:p>
        </w:tc>
        <w:tc>
          <w:tcPr>
            <w:tcW w:w="5" w:type="pct"/>
            <w:shd w:val="clear" w:color="auto" w:fill="auto"/>
            <w:vAlign w:val="bottom"/>
          </w:tcPr>
          <w:p w14:paraId="5F2D0139" w14:textId="77777777" w:rsidR="00E836FB" w:rsidRDefault="00E836FB">
            <w:pPr>
              <w:rPr>
                <w:rFonts w:ascii="宋体"/>
              </w:rPr>
            </w:pPr>
          </w:p>
        </w:tc>
        <w:tc>
          <w:tcPr>
            <w:tcW w:w="19" w:type="pct"/>
            <w:shd w:val="clear" w:color="auto" w:fill="auto"/>
            <w:vAlign w:val="bottom"/>
          </w:tcPr>
          <w:p w14:paraId="5F2D013A" w14:textId="77777777" w:rsidR="00E836FB" w:rsidRDefault="00E836FB">
            <w:pPr>
              <w:rPr>
                <w:rFonts w:ascii="宋体"/>
              </w:rPr>
            </w:pPr>
          </w:p>
        </w:tc>
        <w:tc>
          <w:tcPr>
            <w:tcW w:w="5" w:type="pct"/>
            <w:shd w:val="clear" w:color="auto" w:fill="auto"/>
            <w:vAlign w:val="bottom"/>
          </w:tcPr>
          <w:p w14:paraId="5F2D013B" w14:textId="77777777" w:rsidR="00E836FB" w:rsidRDefault="00E836FB">
            <w:pPr>
              <w:rPr>
                <w:rFonts w:ascii="宋体"/>
              </w:rPr>
            </w:pPr>
          </w:p>
        </w:tc>
        <w:tc>
          <w:tcPr>
            <w:tcW w:w="50" w:type="pct"/>
            <w:shd w:val="clear" w:color="auto" w:fill="auto"/>
            <w:vAlign w:val="bottom"/>
          </w:tcPr>
          <w:p w14:paraId="5F2D013C" w14:textId="77777777" w:rsidR="00E836FB" w:rsidRDefault="00E836FB">
            <w:pPr>
              <w:rPr>
                <w:rFonts w:ascii="宋体"/>
              </w:rPr>
            </w:pPr>
          </w:p>
        </w:tc>
        <w:tc>
          <w:tcPr>
            <w:tcW w:w="347" w:type="pct"/>
            <w:shd w:val="clear" w:color="auto" w:fill="auto"/>
            <w:vAlign w:val="bottom"/>
          </w:tcPr>
          <w:p w14:paraId="5F2D013D" w14:textId="77777777" w:rsidR="00E836FB" w:rsidRDefault="00E836FB">
            <w:pPr>
              <w:rPr>
                <w:rFonts w:ascii="宋体"/>
              </w:rPr>
            </w:pPr>
          </w:p>
        </w:tc>
        <w:tc>
          <w:tcPr>
            <w:tcW w:w="5" w:type="pct"/>
            <w:shd w:val="clear" w:color="auto" w:fill="auto"/>
            <w:vAlign w:val="bottom"/>
          </w:tcPr>
          <w:p w14:paraId="5F2D013E" w14:textId="77777777" w:rsidR="00E836FB" w:rsidRDefault="00E836FB">
            <w:pPr>
              <w:rPr>
                <w:rFonts w:ascii="宋体"/>
              </w:rPr>
            </w:pPr>
          </w:p>
        </w:tc>
        <w:tc>
          <w:tcPr>
            <w:tcW w:w="5" w:type="pct"/>
            <w:shd w:val="clear" w:color="auto" w:fill="auto"/>
            <w:vAlign w:val="bottom"/>
          </w:tcPr>
          <w:p w14:paraId="5F2D013F" w14:textId="77777777" w:rsidR="00E836FB" w:rsidRDefault="00E836FB">
            <w:pPr>
              <w:rPr>
                <w:rFonts w:ascii="宋体"/>
              </w:rPr>
            </w:pPr>
          </w:p>
        </w:tc>
        <w:tc>
          <w:tcPr>
            <w:tcW w:w="19" w:type="pct"/>
            <w:shd w:val="clear" w:color="auto" w:fill="auto"/>
            <w:vAlign w:val="bottom"/>
          </w:tcPr>
          <w:p w14:paraId="5F2D0140" w14:textId="77777777" w:rsidR="00E836FB" w:rsidRDefault="00E836FB">
            <w:pPr>
              <w:rPr>
                <w:rFonts w:ascii="宋体"/>
              </w:rPr>
            </w:pPr>
          </w:p>
        </w:tc>
        <w:tc>
          <w:tcPr>
            <w:tcW w:w="5" w:type="pct"/>
            <w:shd w:val="clear" w:color="auto" w:fill="auto"/>
            <w:vAlign w:val="bottom"/>
          </w:tcPr>
          <w:p w14:paraId="5F2D0141" w14:textId="77777777" w:rsidR="00E836FB" w:rsidRDefault="00E836FB">
            <w:pPr>
              <w:rPr>
                <w:rFonts w:ascii="宋体"/>
              </w:rPr>
            </w:pPr>
          </w:p>
        </w:tc>
        <w:tc>
          <w:tcPr>
            <w:tcW w:w="50" w:type="pct"/>
            <w:shd w:val="clear" w:color="auto" w:fill="auto"/>
            <w:vAlign w:val="bottom"/>
          </w:tcPr>
          <w:p w14:paraId="5F2D0142" w14:textId="77777777" w:rsidR="00E836FB" w:rsidRDefault="00E836FB">
            <w:pPr>
              <w:rPr>
                <w:rFonts w:ascii="宋体"/>
              </w:rPr>
            </w:pPr>
          </w:p>
        </w:tc>
        <w:tc>
          <w:tcPr>
            <w:tcW w:w="273" w:type="pct"/>
            <w:shd w:val="clear" w:color="auto" w:fill="auto"/>
            <w:vAlign w:val="bottom"/>
          </w:tcPr>
          <w:p w14:paraId="5F2D0143" w14:textId="77777777" w:rsidR="00E836FB" w:rsidRDefault="00E836FB">
            <w:pPr>
              <w:rPr>
                <w:rFonts w:ascii="宋体"/>
              </w:rPr>
            </w:pPr>
          </w:p>
        </w:tc>
        <w:tc>
          <w:tcPr>
            <w:tcW w:w="5" w:type="pct"/>
            <w:shd w:val="clear" w:color="auto" w:fill="auto"/>
            <w:vAlign w:val="bottom"/>
          </w:tcPr>
          <w:p w14:paraId="5F2D0144" w14:textId="77777777" w:rsidR="00E836FB" w:rsidRDefault="00E836FB">
            <w:pPr>
              <w:rPr>
                <w:rFonts w:ascii="宋体"/>
              </w:rPr>
            </w:pPr>
          </w:p>
        </w:tc>
        <w:tc>
          <w:tcPr>
            <w:tcW w:w="5" w:type="pct"/>
            <w:shd w:val="clear" w:color="auto" w:fill="auto"/>
            <w:vAlign w:val="bottom"/>
          </w:tcPr>
          <w:p w14:paraId="5F2D0145" w14:textId="77777777" w:rsidR="00E836FB" w:rsidRDefault="00E836FB">
            <w:pPr>
              <w:rPr>
                <w:rFonts w:ascii="宋体"/>
              </w:rPr>
            </w:pPr>
          </w:p>
        </w:tc>
        <w:tc>
          <w:tcPr>
            <w:tcW w:w="19" w:type="pct"/>
            <w:shd w:val="clear" w:color="auto" w:fill="auto"/>
            <w:vAlign w:val="bottom"/>
          </w:tcPr>
          <w:p w14:paraId="5F2D0146" w14:textId="77777777" w:rsidR="00E836FB" w:rsidRDefault="00E836FB">
            <w:pPr>
              <w:rPr>
                <w:rFonts w:ascii="宋体"/>
              </w:rPr>
            </w:pPr>
          </w:p>
        </w:tc>
        <w:tc>
          <w:tcPr>
            <w:tcW w:w="5" w:type="pct"/>
            <w:shd w:val="clear" w:color="auto" w:fill="auto"/>
            <w:vAlign w:val="bottom"/>
          </w:tcPr>
          <w:p w14:paraId="5F2D0147" w14:textId="77777777" w:rsidR="00E836FB" w:rsidRDefault="00E836FB">
            <w:pPr>
              <w:rPr>
                <w:rFonts w:ascii="宋体"/>
              </w:rPr>
            </w:pPr>
          </w:p>
        </w:tc>
        <w:tc>
          <w:tcPr>
            <w:tcW w:w="50" w:type="pct"/>
            <w:shd w:val="clear" w:color="auto" w:fill="auto"/>
            <w:vAlign w:val="bottom"/>
          </w:tcPr>
          <w:p w14:paraId="5F2D0148" w14:textId="77777777" w:rsidR="00E836FB" w:rsidRDefault="00E836FB">
            <w:pPr>
              <w:rPr>
                <w:rFonts w:ascii="宋体"/>
              </w:rPr>
            </w:pPr>
          </w:p>
        </w:tc>
        <w:tc>
          <w:tcPr>
            <w:tcW w:w="273" w:type="pct"/>
            <w:shd w:val="clear" w:color="auto" w:fill="auto"/>
            <w:vAlign w:val="bottom"/>
          </w:tcPr>
          <w:p w14:paraId="5F2D0149" w14:textId="77777777" w:rsidR="00E836FB" w:rsidRDefault="00E836FB">
            <w:pPr>
              <w:rPr>
                <w:rFonts w:ascii="宋体"/>
              </w:rPr>
            </w:pPr>
          </w:p>
        </w:tc>
        <w:tc>
          <w:tcPr>
            <w:tcW w:w="5" w:type="pct"/>
            <w:shd w:val="clear" w:color="auto" w:fill="auto"/>
            <w:vAlign w:val="bottom"/>
          </w:tcPr>
          <w:p w14:paraId="5F2D014A" w14:textId="77777777" w:rsidR="00E836FB" w:rsidRDefault="00E836FB">
            <w:pPr>
              <w:rPr>
                <w:rFonts w:ascii="宋体"/>
              </w:rPr>
            </w:pPr>
          </w:p>
        </w:tc>
        <w:tc>
          <w:tcPr>
            <w:tcW w:w="5" w:type="pct"/>
            <w:shd w:val="clear" w:color="auto" w:fill="auto"/>
            <w:vAlign w:val="bottom"/>
          </w:tcPr>
          <w:p w14:paraId="5F2D014B" w14:textId="77777777" w:rsidR="00E836FB" w:rsidRDefault="00E836FB">
            <w:pPr>
              <w:rPr>
                <w:rFonts w:ascii="宋体"/>
              </w:rPr>
            </w:pPr>
          </w:p>
        </w:tc>
        <w:tc>
          <w:tcPr>
            <w:tcW w:w="19" w:type="pct"/>
            <w:shd w:val="clear" w:color="auto" w:fill="auto"/>
            <w:vAlign w:val="bottom"/>
          </w:tcPr>
          <w:p w14:paraId="5F2D014C" w14:textId="77777777" w:rsidR="00E836FB" w:rsidRDefault="00E836FB">
            <w:pPr>
              <w:rPr>
                <w:rFonts w:ascii="宋体"/>
              </w:rPr>
            </w:pPr>
          </w:p>
        </w:tc>
        <w:tc>
          <w:tcPr>
            <w:tcW w:w="5" w:type="pct"/>
            <w:shd w:val="clear" w:color="auto" w:fill="auto"/>
            <w:vAlign w:val="bottom"/>
          </w:tcPr>
          <w:p w14:paraId="5F2D014D" w14:textId="77777777" w:rsidR="00E836FB" w:rsidRDefault="00E836FB">
            <w:pPr>
              <w:rPr>
                <w:rFonts w:ascii="宋体"/>
              </w:rPr>
            </w:pPr>
          </w:p>
        </w:tc>
        <w:tc>
          <w:tcPr>
            <w:tcW w:w="50" w:type="pct"/>
            <w:shd w:val="clear" w:color="auto" w:fill="auto"/>
            <w:vAlign w:val="bottom"/>
          </w:tcPr>
          <w:p w14:paraId="5F2D014E" w14:textId="77777777" w:rsidR="00E836FB" w:rsidRDefault="00E836FB">
            <w:pPr>
              <w:rPr>
                <w:rFonts w:ascii="宋体"/>
              </w:rPr>
            </w:pPr>
          </w:p>
        </w:tc>
        <w:tc>
          <w:tcPr>
            <w:tcW w:w="303" w:type="pct"/>
            <w:shd w:val="clear" w:color="auto" w:fill="auto"/>
            <w:vAlign w:val="bottom"/>
          </w:tcPr>
          <w:p w14:paraId="5F2D014F" w14:textId="77777777" w:rsidR="00E836FB" w:rsidRDefault="00E836FB">
            <w:pPr>
              <w:rPr>
                <w:rFonts w:ascii="宋体"/>
              </w:rPr>
            </w:pPr>
          </w:p>
        </w:tc>
        <w:tc>
          <w:tcPr>
            <w:tcW w:w="5" w:type="pct"/>
            <w:shd w:val="clear" w:color="auto" w:fill="auto"/>
            <w:vAlign w:val="bottom"/>
          </w:tcPr>
          <w:p w14:paraId="5F2D0150" w14:textId="77777777" w:rsidR="00E836FB" w:rsidRDefault="00E836FB">
            <w:pPr>
              <w:rPr>
                <w:rFonts w:ascii="宋体"/>
              </w:rPr>
            </w:pPr>
          </w:p>
        </w:tc>
        <w:tc>
          <w:tcPr>
            <w:tcW w:w="5" w:type="pct"/>
            <w:shd w:val="clear" w:color="auto" w:fill="auto"/>
            <w:vAlign w:val="bottom"/>
          </w:tcPr>
          <w:p w14:paraId="5F2D0151" w14:textId="77777777" w:rsidR="00E836FB" w:rsidRDefault="00E836FB">
            <w:pPr>
              <w:rPr>
                <w:rFonts w:ascii="宋体"/>
              </w:rPr>
            </w:pPr>
          </w:p>
        </w:tc>
        <w:tc>
          <w:tcPr>
            <w:tcW w:w="19" w:type="pct"/>
            <w:shd w:val="clear" w:color="auto" w:fill="auto"/>
            <w:vAlign w:val="bottom"/>
          </w:tcPr>
          <w:p w14:paraId="5F2D0152" w14:textId="77777777" w:rsidR="00E836FB" w:rsidRDefault="00E836FB">
            <w:pPr>
              <w:rPr>
                <w:rFonts w:ascii="宋体"/>
              </w:rPr>
            </w:pPr>
          </w:p>
        </w:tc>
        <w:tc>
          <w:tcPr>
            <w:tcW w:w="5" w:type="pct"/>
            <w:shd w:val="clear" w:color="auto" w:fill="auto"/>
            <w:vAlign w:val="bottom"/>
          </w:tcPr>
          <w:p w14:paraId="5F2D0153" w14:textId="77777777" w:rsidR="00E836FB" w:rsidRDefault="00E836FB">
            <w:pPr>
              <w:rPr>
                <w:rFonts w:ascii="宋体"/>
              </w:rPr>
            </w:pPr>
          </w:p>
        </w:tc>
      </w:tr>
      <w:tr w:rsidR="00E836FB" w14:paraId="5F2D015A" w14:textId="77777777">
        <w:tc>
          <w:tcPr>
            <w:tcW w:w="0" w:type="auto"/>
            <w:gridSpan w:val="3"/>
            <w:shd w:val="clear" w:color="auto" w:fill="auto"/>
            <w:tcMar>
              <w:top w:w="0" w:type="dxa"/>
              <w:left w:w="20" w:type="dxa"/>
              <w:bottom w:w="0" w:type="dxa"/>
              <w:right w:w="20" w:type="dxa"/>
            </w:tcMar>
            <w:vAlign w:val="bottom"/>
          </w:tcPr>
          <w:p w14:paraId="5F2D0155" w14:textId="77777777" w:rsidR="00E836FB" w:rsidRDefault="00E836FB">
            <w:pPr>
              <w:rPr>
                <w:rFonts w:ascii="宋体"/>
              </w:rPr>
            </w:pPr>
          </w:p>
        </w:tc>
        <w:tc>
          <w:tcPr>
            <w:tcW w:w="0" w:type="auto"/>
            <w:gridSpan w:val="53"/>
            <w:shd w:val="clear" w:color="auto" w:fill="auto"/>
            <w:tcMar>
              <w:top w:w="40" w:type="dxa"/>
              <w:left w:w="20" w:type="dxa"/>
              <w:bottom w:w="40" w:type="dxa"/>
              <w:right w:w="20" w:type="dxa"/>
            </w:tcMar>
            <w:vAlign w:val="bottom"/>
          </w:tcPr>
          <w:p w14:paraId="5F2D0156" w14:textId="77777777" w:rsidR="00E836FB" w:rsidRDefault="00994958">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5F2D0157" w14:textId="77777777" w:rsidR="00E836FB" w:rsidRDefault="00E836FB">
            <w:pPr>
              <w:rPr>
                <w:rFonts w:ascii="宋体"/>
              </w:rPr>
            </w:pPr>
          </w:p>
        </w:tc>
        <w:tc>
          <w:tcPr>
            <w:tcW w:w="0" w:type="auto"/>
            <w:shd w:val="clear" w:color="auto" w:fill="auto"/>
            <w:vAlign w:val="bottom"/>
          </w:tcPr>
          <w:p w14:paraId="5F2D0158" w14:textId="77777777" w:rsidR="00E836FB" w:rsidRDefault="00E836FB">
            <w:pPr>
              <w:rPr>
                <w:rFonts w:ascii="宋体"/>
              </w:rPr>
            </w:pPr>
          </w:p>
        </w:tc>
        <w:tc>
          <w:tcPr>
            <w:tcW w:w="0" w:type="auto"/>
            <w:shd w:val="clear" w:color="auto" w:fill="auto"/>
            <w:vAlign w:val="bottom"/>
          </w:tcPr>
          <w:p w14:paraId="5F2D0159" w14:textId="77777777" w:rsidR="00E836FB" w:rsidRDefault="00E836FB">
            <w:pPr>
              <w:rPr>
                <w:rFonts w:ascii="宋体"/>
              </w:rPr>
            </w:pPr>
          </w:p>
        </w:tc>
      </w:tr>
      <w:tr w:rsidR="00E836FB" w14:paraId="5F2D0160" w14:textId="77777777">
        <w:tc>
          <w:tcPr>
            <w:tcW w:w="0" w:type="auto"/>
            <w:gridSpan w:val="3"/>
            <w:shd w:val="clear" w:color="auto" w:fill="auto"/>
            <w:tcMar>
              <w:top w:w="40" w:type="dxa"/>
              <w:left w:w="20" w:type="dxa"/>
              <w:bottom w:w="40" w:type="dxa"/>
              <w:right w:w="20" w:type="dxa"/>
            </w:tcMar>
            <w:vAlign w:val="bottom"/>
          </w:tcPr>
          <w:p w14:paraId="5F2D015B" w14:textId="77777777" w:rsidR="00E836FB" w:rsidRDefault="00994958">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F2D015C" w14:textId="77777777" w:rsidR="00E836FB" w:rsidRDefault="00994958">
            <w:pPr>
              <w:jc w:val="center"/>
              <w:textAlignment w:val="bottom"/>
            </w:pPr>
            <w:r>
              <w:rPr>
                <w:rFonts w:ascii="Arial" w:eastAsia="宋体" w:hAnsi="Arial" w:cs="Arial"/>
                <w:b/>
                <w:bCs/>
                <w:color w:val="000000"/>
                <w:sz w:val="12"/>
                <w:szCs w:val="12"/>
              </w:rPr>
              <w:t>Year Ended December 31, 2021</w:t>
            </w:r>
          </w:p>
        </w:tc>
        <w:tc>
          <w:tcPr>
            <w:tcW w:w="0" w:type="auto"/>
            <w:shd w:val="clear" w:color="auto" w:fill="auto"/>
            <w:vAlign w:val="bottom"/>
          </w:tcPr>
          <w:p w14:paraId="5F2D015D" w14:textId="77777777" w:rsidR="00E836FB" w:rsidRDefault="00E836FB">
            <w:pPr>
              <w:rPr>
                <w:rFonts w:ascii="宋体"/>
              </w:rPr>
            </w:pPr>
          </w:p>
        </w:tc>
        <w:tc>
          <w:tcPr>
            <w:tcW w:w="0" w:type="auto"/>
            <w:shd w:val="clear" w:color="auto" w:fill="auto"/>
            <w:vAlign w:val="bottom"/>
          </w:tcPr>
          <w:p w14:paraId="5F2D015E" w14:textId="77777777" w:rsidR="00E836FB" w:rsidRDefault="00E836FB">
            <w:pPr>
              <w:rPr>
                <w:rFonts w:ascii="宋体"/>
              </w:rPr>
            </w:pPr>
          </w:p>
        </w:tc>
        <w:tc>
          <w:tcPr>
            <w:tcW w:w="0" w:type="auto"/>
            <w:shd w:val="clear" w:color="auto" w:fill="auto"/>
            <w:vAlign w:val="bottom"/>
          </w:tcPr>
          <w:p w14:paraId="5F2D015F" w14:textId="77777777" w:rsidR="00E836FB" w:rsidRDefault="00E836FB">
            <w:pPr>
              <w:rPr>
                <w:rFonts w:ascii="宋体"/>
              </w:rPr>
            </w:pPr>
          </w:p>
        </w:tc>
      </w:tr>
      <w:tr w:rsidR="00E836FB" w14:paraId="5F2D0178" w14:textId="77777777">
        <w:trPr>
          <w:trHeight w:val="480"/>
        </w:trPr>
        <w:tc>
          <w:tcPr>
            <w:tcW w:w="0" w:type="auto"/>
            <w:gridSpan w:val="3"/>
            <w:shd w:val="clear" w:color="auto" w:fill="auto"/>
            <w:tcMar>
              <w:top w:w="40" w:type="dxa"/>
              <w:left w:w="20" w:type="dxa"/>
              <w:bottom w:w="40" w:type="dxa"/>
              <w:right w:w="20" w:type="dxa"/>
            </w:tcMar>
            <w:vAlign w:val="bottom"/>
          </w:tcPr>
          <w:p w14:paraId="5F2D0161" w14:textId="77777777" w:rsidR="00E836FB" w:rsidRDefault="00994958">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162" w14:textId="77777777" w:rsidR="00E836FB" w:rsidRDefault="00994958">
            <w:pPr>
              <w:jc w:val="center"/>
              <w:textAlignment w:val="bottom"/>
            </w:pPr>
            <w:r>
              <w:rPr>
                <w:rFonts w:ascii="Arial" w:eastAsia="宋体" w:hAnsi="Arial" w:cs="Arial"/>
                <w:b/>
                <w:bCs/>
                <w:color w:val="000000"/>
                <w:sz w:val="12"/>
                <w:szCs w:val="12"/>
              </w:rPr>
              <w:t>Fair Value as of</w:t>
            </w:r>
            <w:r>
              <w:rPr>
                <w:rFonts w:ascii="Arial" w:eastAsia="宋体" w:hAnsi="Arial" w:cs="Arial"/>
                <w:b/>
                <w:bCs/>
                <w:color w:val="000000"/>
                <w:sz w:val="12"/>
                <w:szCs w:val="12"/>
              </w:rPr>
              <w:br/>
              <w:t>December 31,</w:t>
            </w:r>
            <w:r>
              <w:rPr>
                <w:rFonts w:ascii="Arial" w:eastAsia="宋体" w:hAnsi="Arial" w:cs="Arial"/>
                <w:b/>
                <w:bCs/>
                <w:color w:val="000000"/>
                <w:sz w:val="12"/>
                <w:szCs w:val="12"/>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63"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164" w14:textId="77777777" w:rsidR="00E836FB" w:rsidRDefault="00994958">
            <w:pPr>
              <w:jc w:val="center"/>
              <w:textAlignment w:val="bottom"/>
            </w:pPr>
            <w:r>
              <w:rPr>
                <w:rFonts w:ascii="Arial" w:eastAsia="宋体" w:hAnsi="Arial" w:cs="Arial"/>
                <w:b/>
                <w:bCs/>
                <w:color w:val="000000"/>
                <w:sz w:val="12"/>
                <w:szCs w:val="12"/>
              </w:rPr>
              <w:t>Total Realized and</w:t>
            </w:r>
            <w:r>
              <w:rPr>
                <w:rFonts w:ascii="Arial" w:eastAsia="宋体" w:hAnsi="Arial" w:cs="Arial"/>
                <w:b/>
                <w:bCs/>
                <w:color w:val="000000"/>
                <w:sz w:val="12"/>
                <w:szCs w:val="12"/>
              </w:rPr>
              <w:br/>
              <w:t>Unrealized Gains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65"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166" w14:textId="77777777" w:rsidR="00E836FB" w:rsidRDefault="00994958">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67" w14:textId="77777777" w:rsidR="00E836FB" w:rsidRDefault="00E836FB">
            <w:pPr>
              <w:rPr>
                <w:rFonts w:ascii="宋体"/>
              </w:rPr>
            </w:pPr>
          </w:p>
        </w:tc>
        <w:tc>
          <w:tcPr>
            <w:tcW w:w="0" w:type="auto"/>
            <w:shd w:val="clear" w:color="auto" w:fill="auto"/>
            <w:vAlign w:val="bottom"/>
          </w:tcPr>
          <w:p w14:paraId="5F2D0168" w14:textId="77777777" w:rsidR="00E836FB" w:rsidRDefault="00E836FB">
            <w:pPr>
              <w:rPr>
                <w:rFonts w:ascii="宋体"/>
                <w:vanish/>
              </w:rPr>
            </w:pPr>
          </w:p>
        </w:tc>
        <w:tc>
          <w:tcPr>
            <w:tcW w:w="0" w:type="auto"/>
            <w:shd w:val="clear" w:color="auto" w:fill="auto"/>
            <w:vAlign w:val="bottom"/>
          </w:tcPr>
          <w:p w14:paraId="5F2D0169" w14:textId="77777777" w:rsidR="00E836FB" w:rsidRDefault="00E836FB">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16A" w14:textId="77777777" w:rsidR="00E836FB" w:rsidRDefault="00994958">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6B"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16C" w14:textId="77777777" w:rsidR="00E836FB" w:rsidRDefault="00994958">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6D"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16E" w14:textId="77777777" w:rsidR="00E836FB" w:rsidRDefault="00994958">
            <w:pPr>
              <w:jc w:val="center"/>
              <w:textAlignment w:val="bottom"/>
            </w:pPr>
            <w:r>
              <w:rPr>
                <w:rFonts w:ascii="Arial" w:eastAsia="宋体" w:hAnsi="Arial" w:cs="Arial"/>
                <w:b/>
                <w:bCs/>
                <w:color w:val="000000"/>
                <w:sz w:val="12"/>
                <w:szCs w:val="12"/>
              </w:rPr>
              <w:t xml:space="preserve">Transfers into </w:t>
            </w:r>
          </w:p>
          <w:p w14:paraId="5F2D016F" w14:textId="77777777" w:rsidR="00E836FB" w:rsidRDefault="00994958">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70"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171" w14:textId="77777777" w:rsidR="00E836FB" w:rsidRDefault="00994958">
            <w:pPr>
              <w:jc w:val="center"/>
              <w:textAlignment w:val="bottom"/>
            </w:pPr>
            <w:r>
              <w:rPr>
                <w:rFonts w:ascii="Arial" w:eastAsia="宋体" w:hAnsi="Arial" w:cs="Arial"/>
                <w:b/>
                <w:bCs/>
                <w:color w:val="000000"/>
                <w:sz w:val="12"/>
                <w:szCs w:val="12"/>
              </w:rPr>
              <w:t xml:space="preserve">Transfers </w:t>
            </w:r>
          </w:p>
          <w:p w14:paraId="5F2D0172" w14:textId="77777777" w:rsidR="00E836FB" w:rsidRDefault="00994958">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73"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174" w14:textId="77777777" w:rsidR="00E836FB" w:rsidRDefault="00994958">
            <w:pPr>
              <w:jc w:val="center"/>
              <w:textAlignment w:val="bottom"/>
            </w:pPr>
            <w:r>
              <w:rPr>
                <w:rFonts w:ascii="Arial" w:eastAsia="宋体" w:hAnsi="Arial" w:cs="Arial"/>
                <w:b/>
                <w:bCs/>
                <w:color w:val="000000"/>
                <w:sz w:val="12"/>
                <w:szCs w:val="12"/>
              </w:rPr>
              <w:t>Fair Value </w:t>
            </w:r>
          </w:p>
          <w:p w14:paraId="5F2D0175" w14:textId="77777777" w:rsidR="00E836FB" w:rsidRDefault="00994958">
            <w:pPr>
              <w:jc w:val="center"/>
              <w:textAlignment w:val="bottom"/>
            </w:pPr>
            <w:r>
              <w:rPr>
                <w:rFonts w:ascii="Arial" w:eastAsia="宋体" w:hAnsi="Arial" w:cs="Arial"/>
                <w:b/>
                <w:bCs/>
                <w:color w:val="000000"/>
                <w:sz w:val="12"/>
                <w:szCs w:val="12"/>
              </w:rPr>
              <w:t>as of December 31,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F2D0176" w14:textId="77777777" w:rsidR="00E836FB" w:rsidRDefault="00E836FB">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F2D0177" w14:textId="77777777" w:rsidR="00E836FB" w:rsidRDefault="00994958">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December 31, 2021</w:t>
            </w:r>
          </w:p>
        </w:tc>
      </w:tr>
      <w:tr w:rsidR="00E836FB" w14:paraId="5F2D018E" w14:textId="77777777">
        <w:trPr>
          <w:trHeight w:val="580"/>
        </w:trPr>
        <w:tc>
          <w:tcPr>
            <w:tcW w:w="0" w:type="auto"/>
            <w:gridSpan w:val="3"/>
            <w:shd w:val="clear" w:color="auto" w:fill="auto"/>
            <w:tcMar>
              <w:top w:w="40" w:type="dxa"/>
              <w:left w:w="20" w:type="dxa"/>
              <w:bottom w:w="40" w:type="dxa"/>
              <w:right w:w="20" w:type="dxa"/>
            </w:tcMar>
            <w:vAlign w:val="bottom"/>
          </w:tcPr>
          <w:p w14:paraId="5F2D0179" w14:textId="77777777" w:rsidR="00E836FB" w:rsidRDefault="00994958">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17A"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17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17C" w14:textId="77777777" w:rsidR="00E836FB" w:rsidRDefault="00994958">
            <w:pPr>
              <w:jc w:val="center"/>
              <w:textAlignment w:val="bottom"/>
            </w:pPr>
            <w:r>
              <w:rPr>
                <w:rFonts w:ascii="Arial" w:eastAsia="宋体" w:hAnsi="Arial" w:cs="Arial"/>
                <w:b/>
                <w:bCs/>
                <w:color w:val="000000"/>
                <w:sz w:val="12"/>
                <w:szCs w:val="12"/>
              </w:rPr>
              <w:t>Recorded in</w:t>
            </w:r>
            <w:r>
              <w:rPr>
                <w:rFonts w:ascii="Arial" w:eastAsia="宋体" w:hAnsi="Arial" w:cs="Arial"/>
                <w:b/>
                <w:bCs/>
                <w:color w:val="000000"/>
                <w:sz w:val="12"/>
                <w:szCs w:val="12"/>
              </w:rPr>
              <w:t xml:space="preserve">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7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17E" w14:textId="77777777" w:rsidR="00E836FB" w:rsidRDefault="00994958">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5F2D017F"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180"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181" w14:textId="77777777" w:rsidR="00E836FB" w:rsidRDefault="00E836FB">
            <w:pPr>
              <w:rPr>
                <w:rFonts w:ascii="宋体"/>
              </w:rPr>
            </w:pPr>
          </w:p>
        </w:tc>
        <w:tc>
          <w:tcPr>
            <w:tcW w:w="0" w:type="auto"/>
            <w:shd w:val="clear" w:color="auto" w:fill="auto"/>
            <w:vAlign w:val="bottom"/>
          </w:tcPr>
          <w:p w14:paraId="5F2D0182" w14:textId="77777777" w:rsidR="00E836FB" w:rsidRDefault="00E836FB">
            <w:pPr>
              <w:rPr>
                <w:rFonts w:ascii="宋体"/>
                <w:vanish/>
              </w:rPr>
            </w:pPr>
          </w:p>
        </w:tc>
        <w:tc>
          <w:tcPr>
            <w:tcW w:w="0" w:type="auto"/>
            <w:shd w:val="clear" w:color="auto" w:fill="auto"/>
            <w:vAlign w:val="bottom"/>
          </w:tcPr>
          <w:p w14:paraId="5F2D0183" w14:textId="77777777" w:rsidR="00E836FB" w:rsidRDefault="00E836FB">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184"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185"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186"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187"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18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89"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18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8B"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18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8D" w14:textId="77777777" w:rsidR="00E836FB" w:rsidRDefault="00E836FB">
            <w:pPr>
              <w:rPr>
                <w:rFonts w:ascii="宋体"/>
              </w:rPr>
            </w:pPr>
          </w:p>
        </w:tc>
      </w:tr>
      <w:tr w:rsidR="00E836FB" w14:paraId="5F2D01A5" w14:textId="77777777">
        <w:tc>
          <w:tcPr>
            <w:tcW w:w="0" w:type="auto"/>
            <w:gridSpan w:val="3"/>
            <w:shd w:val="clear" w:color="auto" w:fill="auto"/>
            <w:tcMar>
              <w:top w:w="40" w:type="dxa"/>
              <w:left w:w="20" w:type="dxa"/>
              <w:bottom w:w="40" w:type="dxa"/>
              <w:right w:w="20" w:type="dxa"/>
            </w:tcMar>
            <w:vAlign w:val="center"/>
          </w:tcPr>
          <w:p w14:paraId="5F2D018F" w14:textId="77777777" w:rsidR="00E836FB" w:rsidRDefault="00994958">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9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9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9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9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97" w14:textId="77777777" w:rsidR="00E836FB" w:rsidRDefault="00E836FB">
            <w:pPr>
              <w:rPr>
                <w:rFonts w:ascii="宋体"/>
              </w:rPr>
            </w:pPr>
          </w:p>
        </w:tc>
        <w:tc>
          <w:tcPr>
            <w:tcW w:w="0" w:type="auto"/>
            <w:shd w:val="clear" w:color="auto" w:fill="auto"/>
            <w:vAlign w:val="bottom"/>
          </w:tcPr>
          <w:p w14:paraId="5F2D0198" w14:textId="77777777" w:rsidR="00E836FB" w:rsidRDefault="00E836FB">
            <w:pPr>
              <w:rPr>
                <w:rFonts w:ascii="宋体"/>
                <w:vanish/>
              </w:rPr>
            </w:pPr>
          </w:p>
        </w:tc>
        <w:tc>
          <w:tcPr>
            <w:tcW w:w="0" w:type="auto"/>
            <w:shd w:val="clear" w:color="auto" w:fill="auto"/>
            <w:vAlign w:val="bottom"/>
          </w:tcPr>
          <w:p w14:paraId="5F2D0199" w14:textId="77777777" w:rsidR="00E836FB" w:rsidRDefault="00E836F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9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9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9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1A2" w14:textId="77777777" w:rsidR="00E836FB" w:rsidRDefault="00E836FB">
            <w:pPr>
              <w:rPr>
                <w:rFonts w:ascii="宋体"/>
              </w:rPr>
            </w:pPr>
          </w:p>
        </w:tc>
        <w:tc>
          <w:tcPr>
            <w:tcW w:w="0" w:type="auto"/>
            <w:gridSpan w:val="2"/>
            <w:shd w:val="clear" w:color="auto" w:fill="auto"/>
            <w:tcMar>
              <w:top w:w="0" w:type="dxa"/>
              <w:left w:w="20" w:type="dxa"/>
              <w:bottom w:w="0" w:type="dxa"/>
              <w:right w:w="20" w:type="dxa"/>
            </w:tcMar>
            <w:vAlign w:val="bottom"/>
          </w:tcPr>
          <w:p w14:paraId="5F2D01A3" w14:textId="77777777" w:rsidR="00E836FB" w:rsidRDefault="00E836FB">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F2D01A4" w14:textId="77777777" w:rsidR="00E836FB" w:rsidRDefault="00E836FB">
            <w:pPr>
              <w:rPr>
                <w:rFonts w:ascii="宋体"/>
              </w:rPr>
            </w:pPr>
          </w:p>
        </w:tc>
      </w:tr>
      <w:tr w:rsidR="00E836FB" w14:paraId="5F2D01BC" w14:textId="77777777">
        <w:tc>
          <w:tcPr>
            <w:tcW w:w="0" w:type="auto"/>
            <w:gridSpan w:val="3"/>
            <w:shd w:val="clear" w:color="auto" w:fill="auto"/>
            <w:tcMar>
              <w:top w:w="40" w:type="dxa"/>
              <w:left w:w="20" w:type="dxa"/>
              <w:bottom w:w="40" w:type="dxa"/>
              <w:right w:w="20" w:type="dxa"/>
            </w:tcMar>
            <w:vAlign w:val="center"/>
          </w:tcPr>
          <w:p w14:paraId="5F2D01A6" w14:textId="77777777" w:rsidR="00E836FB" w:rsidRDefault="00994958">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5F2D01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AE" w14:textId="77777777" w:rsidR="00E836FB" w:rsidRDefault="00E836FB">
            <w:pPr>
              <w:rPr>
                <w:rFonts w:ascii="宋体"/>
              </w:rPr>
            </w:pPr>
          </w:p>
        </w:tc>
        <w:tc>
          <w:tcPr>
            <w:tcW w:w="0" w:type="auto"/>
            <w:shd w:val="clear" w:color="auto" w:fill="auto"/>
            <w:vAlign w:val="bottom"/>
          </w:tcPr>
          <w:p w14:paraId="5F2D01AF" w14:textId="77777777" w:rsidR="00E836FB" w:rsidRDefault="00E836FB">
            <w:pPr>
              <w:rPr>
                <w:rFonts w:ascii="宋体"/>
                <w:vanish/>
              </w:rPr>
            </w:pPr>
          </w:p>
        </w:tc>
        <w:tc>
          <w:tcPr>
            <w:tcW w:w="0" w:type="auto"/>
            <w:shd w:val="clear" w:color="auto" w:fill="auto"/>
            <w:vAlign w:val="bottom"/>
          </w:tcPr>
          <w:p w14:paraId="5F2D01B0"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01B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B9" w14:textId="77777777" w:rsidR="00E836FB" w:rsidRDefault="00E836FB">
            <w:pPr>
              <w:rPr>
                <w:rFonts w:ascii="宋体"/>
              </w:rPr>
            </w:pPr>
          </w:p>
        </w:tc>
        <w:tc>
          <w:tcPr>
            <w:tcW w:w="0" w:type="auto"/>
            <w:gridSpan w:val="2"/>
            <w:shd w:val="clear" w:color="auto" w:fill="auto"/>
            <w:tcMar>
              <w:top w:w="0" w:type="dxa"/>
              <w:left w:w="20" w:type="dxa"/>
              <w:bottom w:w="0" w:type="dxa"/>
              <w:right w:w="20" w:type="dxa"/>
            </w:tcMar>
            <w:vAlign w:val="bottom"/>
          </w:tcPr>
          <w:p w14:paraId="5F2D01BA" w14:textId="77777777" w:rsidR="00E836FB" w:rsidRDefault="00E836FB">
            <w:pPr>
              <w:rPr>
                <w:rFonts w:ascii="宋体"/>
              </w:rPr>
            </w:pPr>
          </w:p>
        </w:tc>
        <w:tc>
          <w:tcPr>
            <w:tcW w:w="0" w:type="auto"/>
            <w:shd w:val="clear" w:color="auto" w:fill="auto"/>
            <w:tcMar>
              <w:top w:w="0" w:type="dxa"/>
              <w:left w:w="20" w:type="dxa"/>
              <w:bottom w:w="0" w:type="dxa"/>
              <w:right w:w="20" w:type="dxa"/>
            </w:tcMar>
            <w:vAlign w:val="bottom"/>
          </w:tcPr>
          <w:p w14:paraId="5F2D01BB" w14:textId="77777777" w:rsidR="00E836FB" w:rsidRDefault="00E836FB">
            <w:pPr>
              <w:rPr>
                <w:rFonts w:ascii="宋体"/>
              </w:rPr>
            </w:pPr>
          </w:p>
        </w:tc>
      </w:tr>
      <w:tr w:rsidR="00E836FB" w14:paraId="5F2D01D3" w14:textId="77777777">
        <w:trPr>
          <w:hidden/>
        </w:trPr>
        <w:tc>
          <w:tcPr>
            <w:tcW w:w="0" w:type="auto"/>
            <w:gridSpan w:val="3"/>
            <w:shd w:val="clear" w:color="auto" w:fill="auto"/>
            <w:vAlign w:val="bottom"/>
          </w:tcPr>
          <w:p w14:paraId="5F2D01BD" w14:textId="77777777" w:rsidR="00E836FB" w:rsidRDefault="00E836FB">
            <w:pPr>
              <w:rPr>
                <w:rFonts w:ascii="宋体"/>
                <w:vanish/>
              </w:rPr>
            </w:pPr>
          </w:p>
        </w:tc>
        <w:tc>
          <w:tcPr>
            <w:tcW w:w="0" w:type="auto"/>
            <w:gridSpan w:val="3"/>
            <w:shd w:val="clear" w:color="auto" w:fill="auto"/>
            <w:vAlign w:val="bottom"/>
          </w:tcPr>
          <w:p w14:paraId="5F2D01BE" w14:textId="77777777" w:rsidR="00E836FB" w:rsidRDefault="00E836FB">
            <w:pPr>
              <w:rPr>
                <w:rFonts w:ascii="宋体"/>
                <w:vanish/>
              </w:rPr>
            </w:pPr>
          </w:p>
        </w:tc>
        <w:tc>
          <w:tcPr>
            <w:tcW w:w="0" w:type="auto"/>
            <w:gridSpan w:val="3"/>
            <w:shd w:val="clear" w:color="auto" w:fill="auto"/>
            <w:vAlign w:val="bottom"/>
          </w:tcPr>
          <w:p w14:paraId="5F2D01BF" w14:textId="77777777" w:rsidR="00E836FB" w:rsidRDefault="00E836FB">
            <w:pPr>
              <w:rPr>
                <w:rFonts w:ascii="宋体"/>
                <w:vanish/>
              </w:rPr>
            </w:pPr>
          </w:p>
        </w:tc>
        <w:tc>
          <w:tcPr>
            <w:tcW w:w="0" w:type="auto"/>
            <w:gridSpan w:val="3"/>
            <w:shd w:val="clear" w:color="auto" w:fill="auto"/>
            <w:vAlign w:val="bottom"/>
          </w:tcPr>
          <w:p w14:paraId="5F2D01C0" w14:textId="77777777" w:rsidR="00E836FB" w:rsidRDefault="00E836FB">
            <w:pPr>
              <w:rPr>
                <w:rFonts w:ascii="宋体"/>
                <w:vanish/>
              </w:rPr>
            </w:pPr>
          </w:p>
        </w:tc>
        <w:tc>
          <w:tcPr>
            <w:tcW w:w="0" w:type="auto"/>
            <w:gridSpan w:val="3"/>
            <w:shd w:val="clear" w:color="auto" w:fill="auto"/>
            <w:vAlign w:val="bottom"/>
          </w:tcPr>
          <w:p w14:paraId="5F2D01C1" w14:textId="77777777" w:rsidR="00E836FB" w:rsidRDefault="00E836FB">
            <w:pPr>
              <w:rPr>
                <w:rFonts w:ascii="宋体"/>
                <w:vanish/>
              </w:rPr>
            </w:pPr>
          </w:p>
        </w:tc>
        <w:tc>
          <w:tcPr>
            <w:tcW w:w="0" w:type="auto"/>
            <w:gridSpan w:val="3"/>
            <w:shd w:val="clear" w:color="auto" w:fill="auto"/>
            <w:vAlign w:val="bottom"/>
          </w:tcPr>
          <w:p w14:paraId="5F2D01C2" w14:textId="77777777" w:rsidR="00E836FB" w:rsidRDefault="00E836FB">
            <w:pPr>
              <w:rPr>
                <w:rFonts w:ascii="宋体"/>
                <w:vanish/>
              </w:rPr>
            </w:pPr>
          </w:p>
        </w:tc>
        <w:tc>
          <w:tcPr>
            <w:tcW w:w="0" w:type="auto"/>
            <w:gridSpan w:val="3"/>
            <w:shd w:val="clear" w:color="auto" w:fill="auto"/>
            <w:vAlign w:val="bottom"/>
          </w:tcPr>
          <w:p w14:paraId="5F2D01C3" w14:textId="77777777" w:rsidR="00E836FB" w:rsidRDefault="00E836FB">
            <w:pPr>
              <w:rPr>
                <w:rFonts w:ascii="宋体"/>
                <w:vanish/>
              </w:rPr>
            </w:pPr>
          </w:p>
        </w:tc>
        <w:tc>
          <w:tcPr>
            <w:tcW w:w="0" w:type="auto"/>
            <w:gridSpan w:val="3"/>
            <w:shd w:val="clear" w:color="auto" w:fill="auto"/>
            <w:vAlign w:val="bottom"/>
          </w:tcPr>
          <w:p w14:paraId="5F2D01C4" w14:textId="77777777" w:rsidR="00E836FB" w:rsidRDefault="00E836FB">
            <w:pPr>
              <w:rPr>
                <w:rFonts w:ascii="宋体"/>
                <w:vanish/>
              </w:rPr>
            </w:pPr>
          </w:p>
        </w:tc>
        <w:tc>
          <w:tcPr>
            <w:tcW w:w="0" w:type="auto"/>
            <w:gridSpan w:val="3"/>
            <w:shd w:val="clear" w:color="auto" w:fill="auto"/>
            <w:vAlign w:val="bottom"/>
          </w:tcPr>
          <w:p w14:paraId="5F2D01C5" w14:textId="77777777" w:rsidR="00E836FB" w:rsidRDefault="00E836FB">
            <w:pPr>
              <w:rPr>
                <w:rFonts w:ascii="宋体"/>
                <w:vanish/>
              </w:rPr>
            </w:pPr>
          </w:p>
        </w:tc>
        <w:tc>
          <w:tcPr>
            <w:tcW w:w="0" w:type="auto"/>
            <w:shd w:val="clear" w:color="auto" w:fill="auto"/>
            <w:vAlign w:val="bottom"/>
          </w:tcPr>
          <w:p w14:paraId="5F2D01C6" w14:textId="77777777" w:rsidR="00E836FB" w:rsidRDefault="00E836FB">
            <w:pPr>
              <w:rPr>
                <w:rFonts w:ascii="宋体"/>
                <w:vanish/>
              </w:rPr>
            </w:pPr>
          </w:p>
        </w:tc>
        <w:tc>
          <w:tcPr>
            <w:tcW w:w="0" w:type="auto"/>
            <w:shd w:val="clear" w:color="auto" w:fill="auto"/>
            <w:vAlign w:val="bottom"/>
          </w:tcPr>
          <w:p w14:paraId="5F2D01C7" w14:textId="77777777" w:rsidR="00E836FB" w:rsidRDefault="00E836FB">
            <w:pPr>
              <w:rPr>
                <w:rFonts w:ascii="宋体"/>
                <w:vanish/>
              </w:rPr>
            </w:pPr>
          </w:p>
        </w:tc>
        <w:tc>
          <w:tcPr>
            <w:tcW w:w="0" w:type="auto"/>
            <w:gridSpan w:val="3"/>
            <w:shd w:val="clear" w:color="auto" w:fill="auto"/>
            <w:vAlign w:val="bottom"/>
          </w:tcPr>
          <w:p w14:paraId="5F2D01C8" w14:textId="77777777" w:rsidR="00E836FB" w:rsidRDefault="00E836FB">
            <w:pPr>
              <w:rPr>
                <w:rFonts w:ascii="宋体"/>
                <w:vanish/>
              </w:rPr>
            </w:pPr>
          </w:p>
        </w:tc>
        <w:tc>
          <w:tcPr>
            <w:tcW w:w="0" w:type="auto"/>
            <w:gridSpan w:val="3"/>
            <w:shd w:val="clear" w:color="auto" w:fill="auto"/>
            <w:vAlign w:val="bottom"/>
          </w:tcPr>
          <w:p w14:paraId="5F2D01C9" w14:textId="77777777" w:rsidR="00E836FB" w:rsidRDefault="00E836FB">
            <w:pPr>
              <w:rPr>
                <w:rFonts w:ascii="宋体"/>
                <w:vanish/>
              </w:rPr>
            </w:pPr>
          </w:p>
        </w:tc>
        <w:tc>
          <w:tcPr>
            <w:tcW w:w="0" w:type="auto"/>
            <w:gridSpan w:val="3"/>
            <w:shd w:val="clear" w:color="auto" w:fill="auto"/>
            <w:vAlign w:val="bottom"/>
          </w:tcPr>
          <w:p w14:paraId="5F2D01CA" w14:textId="77777777" w:rsidR="00E836FB" w:rsidRDefault="00E836FB">
            <w:pPr>
              <w:rPr>
                <w:rFonts w:ascii="宋体"/>
                <w:vanish/>
              </w:rPr>
            </w:pPr>
          </w:p>
        </w:tc>
        <w:tc>
          <w:tcPr>
            <w:tcW w:w="0" w:type="auto"/>
            <w:gridSpan w:val="3"/>
            <w:shd w:val="clear" w:color="auto" w:fill="auto"/>
            <w:vAlign w:val="bottom"/>
          </w:tcPr>
          <w:p w14:paraId="5F2D01CB" w14:textId="77777777" w:rsidR="00E836FB" w:rsidRDefault="00E836FB">
            <w:pPr>
              <w:rPr>
                <w:rFonts w:ascii="宋体"/>
                <w:vanish/>
              </w:rPr>
            </w:pPr>
          </w:p>
        </w:tc>
        <w:tc>
          <w:tcPr>
            <w:tcW w:w="0" w:type="auto"/>
            <w:gridSpan w:val="3"/>
            <w:shd w:val="clear" w:color="auto" w:fill="auto"/>
            <w:vAlign w:val="bottom"/>
          </w:tcPr>
          <w:p w14:paraId="5F2D01CC" w14:textId="77777777" w:rsidR="00E836FB" w:rsidRDefault="00E836FB">
            <w:pPr>
              <w:rPr>
                <w:rFonts w:ascii="宋体"/>
                <w:vanish/>
              </w:rPr>
            </w:pPr>
          </w:p>
        </w:tc>
        <w:tc>
          <w:tcPr>
            <w:tcW w:w="0" w:type="auto"/>
            <w:gridSpan w:val="3"/>
            <w:shd w:val="clear" w:color="auto" w:fill="auto"/>
            <w:vAlign w:val="bottom"/>
          </w:tcPr>
          <w:p w14:paraId="5F2D01CD" w14:textId="77777777" w:rsidR="00E836FB" w:rsidRDefault="00E836FB">
            <w:pPr>
              <w:rPr>
                <w:rFonts w:ascii="宋体"/>
                <w:vanish/>
              </w:rPr>
            </w:pPr>
          </w:p>
        </w:tc>
        <w:tc>
          <w:tcPr>
            <w:tcW w:w="0" w:type="auto"/>
            <w:gridSpan w:val="3"/>
            <w:shd w:val="clear" w:color="auto" w:fill="auto"/>
            <w:vAlign w:val="bottom"/>
          </w:tcPr>
          <w:p w14:paraId="5F2D01CE" w14:textId="77777777" w:rsidR="00E836FB" w:rsidRDefault="00E836FB">
            <w:pPr>
              <w:rPr>
                <w:rFonts w:ascii="宋体"/>
                <w:vanish/>
              </w:rPr>
            </w:pPr>
          </w:p>
        </w:tc>
        <w:tc>
          <w:tcPr>
            <w:tcW w:w="0" w:type="auto"/>
            <w:gridSpan w:val="3"/>
            <w:shd w:val="clear" w:color="auto" w:fill="auto"/>
            <w:vAlign w:val="bottom"/>
          </w:tcPr>
          <w:p w14:paraId="5F2D01CF" w14:textId="77777777" w:rsidR="00E836FB" w:rsidRDefault="00E836FB">
            <w:pPr>
              <w:rPr>
                <w:rFonts w:ascii="宋体"/>
                <w:vanish/>
              </w:rPr>
            </w:pPr>
          </w:p>
        </w:tc>
        <w:tc>
          <w:tcPr>
            <w:tcW w:w="0" w:type="auto"/>
            <w:gridSpan w:val="3"/>
            <w:shd w:val="clear" w:color="auto" w:fill="auto"/>
            <w:vAlign w:val="bottom"/>
          </w:tcPr>
          <w:p w14:paraId="5F2D01D0" w14:textId="77777777" w:rsidR="00E836FB" w:rsidRDefault="00E836FB">
            <w:pPr>
              <w:rPr>
                <w:rFonts w:ascii="宋体"/>
                <w:vanish/>
              </w:rPr>
            </w:pPr>
          </w:p>
        </w:tc>
        <w:tc>
          <w:tcPr>
            <w:tcW w:w="0" w:type="auto"/>
            <w:gridSpan w:val="2"/>
            <w:shd w:val="clear" w:color="auto" w:fill="auto"/>
            <w:vAlign w:val="bottom"/>
          </w:tcPr>
          <w:p w14:paraId="5F2D01D1" w14:textId="77777777" w:rsidR="00E836FB" w:rsidRDefault="00E836FB">
            <w:pPr>
              <w:rPr>
                <w:rFonts w:ascii="宋体"/>
                <w:vanish/>
              </w:rPr>
            </w:pPr>
          </w:p>
        </w:tc>
        <w:tc>
          <w:tcPr>
            <w:tcW w:w="0" w:type="auto"/>
            <w:shd w:val="clear" w:color="auto" w:fill="auto"/>
            <w:vAlign w:val="bottom"/>
          </w:tcPr>
          <w:p w14:paraId="5F2D01D2" w14:textId="77777777" w:rsidR="00E836FB" w:rsidRDefault="00E836FB">
            <w:pPr>
              <w:rPr>
                <w:rFonts w:ascii="宋体"/>
                <w:vanish/>
              </w:rPr>
            </w:pPr>
          </w:p>
        </w:tc>
      </w:tr>
      <w:tr w:rsidR="00E836FB" w14:paraId="5F2D01EA" w14:textId="77777777">
        <w:trPr>
          <w:hidden/>
        </w:trPr>
        <w:tc>
          <w:tcPr>
            <w:tcW w:w="0" w:type="auto"/>
            <w:gridSpan w:val="3"/>
            <w:shd w:val="clear" w:color="auto" w:fill="auto"/>
            <w:vAlign w:val="bottom"/>
          </w:tcPr>
          <w:p w14:paraId="5F2D01D4" w14:textId="77777777" w:rsidR="00E836FB" w:rsidRDefault="00E836FB">
            <w:pPr>
              <w:rPr>
                <w:rFonts w:ascii="宋体"/>
                <w:vanish/>
              </w:rPr>
            </w:pPr>
          </w:p>
        </w:tc>
        <w:tc>
          <w:tcPr>
            <w:tcW w:w="0" w:type="auto"/>
            <w:gridSpan w:val="3"/>
            <w:shd w:val="clear" w:color="auto" w:fill="auto"/>
            <w:vAlign w:val="bottom"/>
          </w:tcPr>
          <w:p w14:paraId="5F2D01D5" w14:textId="77777777" w:rsidR="00E836FB" w:rsidRDefault="00E836FB">
            <w:pPr>
              <w:rPr>
                <w:rFonts w:ascii="宋体"/>
                <w:vanish/>
              </w:rPr>
            </w:pPr>
          </w:p>
        </w:tc>
        <w:tc>
          <w:tcPr>
            <w:tcW w:w="0" w:type="auto"/>
            <w:gridSpan w:val="3"/>
            <w:shd w:val="clear" w:color="auto" w:fill="auto"/>
            <w:vAlign w:val="bottom"/>
          </w:tcPr>
          <w:p w14:paraId="5F2D01D6" w14:textId="77777777" w:rsidR="00E836FB" w:rsidRDefault="00E836FB">
            <w:pPr>
              <w:rPr>
                <w:rFonts w:ascii="宋体"/>
                <w:vanish/>
              </w:rPr>
            </w:pPr>
          </w:p>
        </w:tc>
        <w:tc>
          <w:tcPr>
            <w:tcW w:w="0" w:type="auto"/>
            <w:gridSpan w:val="3"/>
            <w:shd w:val="clear" w:color="auto" w:fill="auto"/>
            <w:vAlign w:val="bottom"/>
          </w:tcPr>
          <w:p w14:paraId="5F2D01D7" w14:textId="77777777" w:rsidR="00E836FB" w:rsidRDefault="00E836FB">
            <w:pPr>
              <w:rPr>
                <w:rFonts w:ascii="宋体"/>
                <w:vanish/>
              </w:rPr>
            </w:pPr>
          </w:p>
        </w:tc>
        <w:tc>
          <w:tcPr>
            <w:tcW w:w="0" w:type="auto"/>
            <w:gridSpan w:val="3"/>
            <w:shd w:val="clear" w:color="auto" w:fill="auto"/>
            <w:vAlign w:val="bottom"/>
          </w:tcPr>
          <w:p w14:paraId="5F2D01D8" w14:textId="77777777" w:rsidR="00E836FB" w:rsidRDefault="00E836FB">
            <w:pPr>
              <w:rPr>
                <w:rFonts w:ascii="宋体"/>
                <w:vanish/>
              </w:rPr>
            </w:pPr>
          </w:p>
        </w:tc>
        <w:tc>
          <w:tcPr>
            <w:tcW w:w="0" w:type="auto"/>
            <w:gridSpan w:val="3"/>
            <w:shd w:val="clear" w:color="auto" w:fill="auto"/>
            <w:vAlign w:val="bottom"/>
          </w:tcPr>
          <w:p w14:paraId="5F2D01D9" w14:textId="77777777" w:rsidR="00E836FB" w:rsidRDefault="00E836FB">
            <w:pPr>
              <w:rPr>
                <w:rFonts w:ascii="宋体"/>
                <w:vanish/>
              </w:rPr>
            </w:pPr>
          </w:p>
        </w:tc>
        <w:tc>
          <w:tcPr>
            <w:tcW w:w="0" w:type="auto"/>
            <w:gridSpan w:val="3"/>
            <w:shd w:val="clear" w:color="auto" w:fill="auto"/>
            <w:vAlign w:val="bottom"/>
          </w:tcPr>
          <w:p w14:paraId="5F2D01DA" w14:textId="77777777" w:rsidR="00E836FB" w:rsidRDefault="00E836FB">
            <w:pPr>
              <w:rPr>
                <w:rFonts w:ascii="宋体"/>
                <w:vanish/>
              </w:rPr>
            </w:pPr>
          </w:p>
        </w:tc>
        <w:tc>
          <w:tcPr>
            <w:tcW w:w="0" w:type="auto"/>
            <w:gridSpan w:val="3"/>
            <w:shd w:val="clear" w:color="auto" w:fill="auto"/>
            <w:vAlign w:val="bottom"/>
          </w:tcPr>
          <w:p w14:paraId="5F2D01DB" w14:textId="77777777" w:rsidR="00E836FB" w:rsidRDefault="00E836FB">
            <w:pPr>
              <w:rPr>
                <w:rFonts w:ascii="宋体"/>
                <w:vanish/>
              </w:rPr>
            </w:pPr>
          </w:p>
        </w:tc>
        <w:tc>
          <w:tcPr>
            <w:tcW w:w="0" w:type="auto"/>
            <w:gridSpan w:val="3"/>
            <w:shd w:val="clear" w:color="auto" w:fill="auto"/>
            <w:vAlign w:val="bottom"/>
          </w:tcPr>
          <w:p w14:paraId="5F2D01DC" w14:textId="77777777" w:rsidR="00E836FB" w:rsidRDefault="00E836FB">
            <w:pPr>
              <w:rPr>
                <w:rFonts w:ascii="宋体"/>
                <w:vanish/>
              </w:rPr>
            </w:pPr>
          </w:p>
        </w:tc>
        <w:tc>
          <w:tcPr>
            <w:tcW w:w="0" w:type="auto"/>
            <w:shd w:val="clear" w:color="auto" w:fill="auto"/>
            <w:vAlign w:val="bottom"/>
          </w:tcPr>
          <w:p w14:paraId="5F2D01DD" w14:textId="77777777" w:rsidR="00E836FB" w:rsidRDefault="00E836FB">
            <w:pPr>
              <w:rPr>
                <w:rFonts w:ascii="宋体"/>
                <w:vanish/>
              </w:rPr>
            </w:pPr>
          </w:p>
        </w:tc>
        <w:tc>
          <w:tcPr>
            <w:tcW w:w="0" w:type="auto"/>
            <w:shd w:val="clear" w:color="auto" w:fill="auto"/>
            <w:vAlign w:val="bottom"/>
          </w:tcPr>
          <w:p w14:paraId="5F2D01DE" w14:textId="77777777" w:rsidR="00E836FB" w:rsidRDefault="00E836FB">
            <w:pPr>
              <w:rPr>
                <w:rFonts w:ascii="宋体"/>
                <w:vanish/>
              </w:rPr>
            </w:pPr>
          </w:p>
        </w:tc>
        <w:tc>
          <w:tcPr>
            <w:tcW w:w="0" w:type="auto"/>
            <w:gridSpan w:val="3"/>
            <w:shd w:val="clear" w:color="auto" w:fill="auto"/>
            <w:vAlign w:val="bottom"/>
          </w:tcPr>
          <w:p w14:paraId="5F2D01DF" w14:textId="77777777" w:rsidR="00E836FB" w:rsidRDefault="00E836FB">
            <w:pPr>
              <w:rPr>
                <w:rFonts w:ascii="宋体"/>
                <w:vanish/>
              </w:rPr>
            </w:pPr>
          </w:p>
        </w:tc>
        <w:tc>
          <w:tcPr>
            <w:tcW w:w="0" w:type="auto"/>
            <w:gridSpan w:val="3"/>
            <w:shd w:val="clear" w:color="auto" w:fill="auto"/>
            <w:vAlign w:val="bottom"/>
          </w:tcPr>
          <w:p w14:paraId="5F2D01E0" w14:textId="77777777" w:rsidR="00E836FB" w:rsidRDefault="00E836FB">
            <w:pPr>
              <w:rPr>
                <w:rFonts w:ascii="宋体"/>
                <w:vanish/>
              </w:rPr>
            </w:pPr>
          </w:p>
        </w:tc>
        <w:tc>
          <w:tcPr>
            <w:tcW w:w="0" w:type="auto"/>
            <w:gridSpan w:val="3"/>
            <w:shd w:val="clear" w:color="auto" w:fill="auto"/>
            <w:vAlign w:val="bottom"/>
          </w:tcPr>
          <w:p w14:paraId="5F2D01E1" w14:textId="77777777" w:rsidR="00E836FB" w:rsidRDefault="00E836FB">
            <w:pPr>
              <w:rPr>
                <w:rFonts w:ascii="宋体"/>
                <w:vanish/>
              </w:rPr>
            </w:pPr>
          </w:p>
        </w:tc>
        <w:tc>
          <w:tcPr>
            <w:tcW w:w="0" w:type="auto"/>
            <w:gridSpan w:val="3"/>
            <w:shd w:val="clear" w:color="auto" w:fill="auto"/>
            <w:vAlign w:val="bottom"/>
          </w:tcPr>
          <w:p w14:paraId="5F2D01E2" w14:textId="77777777" w:rsidR="00E836FB" w:rsidRDefault="00E836FB">
            <w:pPr>
              <w:rPr>
                <w:rFonts w:ascii="宋体"/>
                <w:vanish/>
              </w:rPr>
            </w:pPr>
          </w:p>
        </w:tc>
        <w:tc>
          <w:tcPr>
            <w:tcW w:w="0" w:type="auto"/>
            <w:gridSpan w:val="3"/>
            <w:shd w:val="clear" w:color="auto" w:fill="auto"/>
            <w:vAlign w:val="bottom"/>
          </w:tcPr>
          <w:p w14:paraId="5F2D01E3" w14:textId="77777777" w:rsidR="00E836FB" w:rsidRDefault="00E836FB">
            <w:pPr>
              <w:rPr>
                <w:rFonts w:ascii="宋体"/>
                <w:vanish/>
              </w:rPr>
            </w:pPr>
          </w:p>
        </w:tc>
        <w:tc>
          <w:tcPr>
            <w:tcW w:w="0" w:type="auto"/>
            <w:gridSpan w:val="3"/>
            <w:shd w:val="clear" w:color="auto" w:fill="auto"/>
            <w:vAlign w:val="bottom"/>
          </w:tcPr>
          <w:p w14:paraId="5F2D01E4" w14:textId="77777777" w:rsidR="00E836FB" w:rsidRDefault="00E836FB">
            <w:pPr>
              <w:rPr>
                <w:rFonts w:ascii="宋体"/>
                <w:vanish/>
              </w:rPr>
            </w:pPr>
          </w:p>
        </w:tc>
        <w:tc>
          <w:tcPr>
            <w:tcW w:w="0" w:type="auto"/>
            <w:gridSpan w:val="3"/>
            <w:shd w:val="clear" w:color="auto" w:fill="auto"/>
            <w:vAlign w:val="bottom"/>
          </w:tcPr>
          <w:p w14:paraId="5F2D01E5" w14:textId="77777777" w:rsidR="00E836FB" w:rsidRDefault="00E836FB">
            <w:pPr>
              <w:rPr>
                <w:rFonts w:ascii="宋体"/>
                <w:vanish/>
              </w:rPr>
            </w:pPr>
          </w:p>
        </w:tc>
        <w:tc>
          <w:tcPr>
            <w:tcW w:w="0" w:type="auto"/>
            <w:gridSpan w:val="3"/>
            <w:shd w:val="clear" w:color="auto" w:fill="auto"/>
            <w:vAlign w:val="bottom"/>
          </w:tcPr>
          <w:p w14:paraId="5F2D01E6" w14:textId="77777777" w:rsidR="00E836FB" w:rsidRDefault="00E836FB">
            <w:pPr>
              <w:rPr>
                <w:rFonts w:ascii="宋体"/>
                <w:vanish/>
              </w:rPr>
            </w:pPr>
          </w:p>
        </w:tc>
        <w:tc>
          <w:tcPr>
            <w:tcW w:w="0" w:type="auto"/>
            <w:gridSpan w:val="3"/>
            <w:shd w:val="clear" w:color="auto" w:fill="auto"/>
            <w:vAlign w:val="bottom"/>
          </w:tcPr>
          <w:p w14:paraId="5F2D01E7" w14:textId="77777777" w:rsidR="00E836FB" w:rsidRDefault="00E836FB">
            <w:pPr>
              <w:rPr>
                <w:rFonts w:ascii="宋体"/>
                <w:vanish/>
              </w:rPr>
            </w:pPr>
          </w:p>
        </w:tc>
        <w:tc>
          <w:tcPr>
            <w:tcW w:w="0" w:type="auto"/>
            <w:gridSpan w:val="2"/>
            <w:shd w:val="clear" w:color="auto" w:fill="auto"/>
            <w:vAlign w:val="bottom"/>
          </w:tcPr>
          <w:p w14:paraId="5F2D01E8" w14:textId="77777777" w:rsidR="00E836FB" w:rsidRDefault="00E836FB">
            <w:pPr>
              <w:rPr>
                <w:rFonts w:ascii="宋体"/>
                <w:vanish/>
              </w:rPr>
            </w:pPr>
          </w:p>
        </w:tc>
        <w:tc>
          <w:tcPr>
            <w:tcW w:w="0" w:type="auto"/>
            <w:shd w:val="clear" w:color="auto" w:fill="auto"/>
            <w:vAlign w:val="bottom"/>
          </w:tcPr>
          <w:p w14:paraId="5F2D01E9" w14:textId="77777777" w:rsidR="00E836FB" w:rsidRDefault="00E836FB">
            <w:pPr>
              <w:rPr>
                <w:rFonts w:ascii="宋体"/>
                <w:vanish/>
              </w:rPr>
            </w:pPr>
          </w:p>
        </w:tc>
      </w:tr>
      <w:tr w:rsidR="00E836FB" w14:paraId="5F2D0201" w14:textId="77777777">
        <w:tc>
          <w:tcPr>
            <w:tcW w:w="0" w:type="auto"/>
            <w:gridSpan w:val="3"/>
            <w:shd w:val="clear" w:color="auto" w:fill="auto"/>
            <w:tcMar>
              <w:top w:w="40" w:type="dxa"/>
              <w:left w:w="20" w:type="dxa"/>
              <w:bottom w:w="40" w:type="dxa"/>
              <w:right w:w="20" w:type="dxa"/>
            </w:tcMar>
            <w:vAlign w:val="center"/>
          </w:tcPr>
          <w:p w14:paraId="5F2D01EB" w14:textId="77777777" w:rsidR="00E836FB" w:rsidRDefault="00994958">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5F2D01E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E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E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E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3" w14:textId="77777777" w:rsidR="00E836FB" w:rsidRDefault="00E836FB">
            <w:pPr>
              <w:rPr>
                <w:rFonts w:ascii="宋体"/>
              </w:rPr>
            </w:pPr>
          </w:p>
        </w:tc>
        <w:tc>
          <w:tcPr>
            <w:tcW w:w="0" w:type="auto"/>
            <w:shd w:val="clear" w:color="auto" w:fill="auto"/>
            <w:vAlign w:val="bottom"/>
          </w:tcPr>
          <w:p w14:paraId="5F2D01F4" w14:textId="77777777" w:rsidR="00E836FB" w:rsidRDefault="00E836FB">
            <w:pPr>
              <w:rPr>
                <w:rFonts w:ascii="宋体"/>
                <w:vanish/>
              </w:rPr>
            </w:pPr>
          </w:p>
        </w:tc>
        <w:tc>
          <w:tcPr>
            <w:tcW w:w="0" w:type="auto"/>
            <w:shd w:val="clear" w:color="auto" w:fill="auto"/>
            <w:vAlign w:val="bottom"/>
          </w:tcPr>
          <w:p w14:paraId="5F2D01F5"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01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1FE" w14:textId="77777777" w:rsidR="00E836FB" w:rsidRDefault="00E836FB">
            <w:pPr>
              <w:rPr>
                <w:rFonts w:ascii="宋体"/>
              </w:rPr>
            </w:pPr>
          </w:p>
        </w:tc>
        <w:tc>
          <w:tcPr>
            <w:tcW w:w="0" w:type="auto"/>
            <w:gridSpan w:val="2"/>
            <w:shd w:val="clear" w:color="auto" w:fill="auto"/>
            <w:tcMar>
              <w:top w:w="0" w:type="dxa"/>
              <w:left w:w="20" w:type="dxa"/>
              <w:bottom w:w="0" w:type="dxa"/>
              <w:right w:w="20" w:type="dxa"/>
            </w:tcMar>
            <w:vAlign w:val="bottom"/>
          </w:tcPr>
          <w:p w14:paraId="5F2D01FF" w14:textId="77777777" w:rsidR="00E836FB" w:rsidRDefault="00E836FB">
            <w:pPr>
              <w:rPr>
                <w:rFonts w:ascii="宋体"/>
              </w:rPr>
            </w:pPr>
          </w:p>
        </w:tc>
        <w:tc>
          <w:tcPr>
            <w:tcW w:w="0" w:type="auto"/>
            <w:shd w:val="clear" w:color="auto" w:fill="auto"/>
            <w:tcMar>
              <w:top w:w="0" w:type="dxa"/>
              <w:left w:w="20" w:type="dxa"/>
              <w:bottom w:w="0" w:type="dxa"/>
              <w:right w:w="20" w:type="dxa"/>
            </w:tcMar>
            <w:vAlign w:val="bottom"/>
          </w:tcPr>
          <w:p w14:paraId="5F2D0200" w14:textId="77777777" w:rsidR="00E836FB" w:rsidRDefault="00E836FB">
            <w:pPr>
              <w:rPr>
                <w:rFonts w:ascii="宋体"/>
              </w:rPr>
            </w:pPr>
          </w:p>
        </w:tc>
      </w:tr>
      <w:tr w:rsidR="00994958" w14:paraId="5F2D022A" w14:textId="77777777">
        <w:tc>
          <w:tcPr>
            <w:tcW w:w="0" w:type="auto"/>
            <w:gridSpan w:val="3"/>
            <w:shd w:val="clear" w:color="auto" w:fill="CCEEFF"/>
            <w:tcMar>
              <w:top w:w="40" w:type="dxa"/>
              <w:left w:w="155" w:type="dxa"/>
              <w:bottom w:w="40" w:type="dxa"/>
              <w:right w:w="20" w:type="dxa"/>
            </w:tcMar>
            <w:vAlign w:val="center"/>
          </w:tcPr>
          <w:p w14:paraId="5F2D0202" w14:textId="77777777" w:rsidR="00E836FB" w:rsidRDefault="00994958">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5F2D0203" w14:textId="77777777" w:rsidR="00E836FB" w:rsidRDefault="00994958">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F2D0204" w14:textId="77777777" w:rsidR="00E836FB" w:rsidRDefault="00994958">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2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0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207"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0208"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0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20B"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020C"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0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20F"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0210" w14:textId="77777777" w:rsidR="00E836FB" w:rsidRDefault="00994958">
            <w:pPr>
              <w:jc w:val="right"/>
              <w:textAlignment w:val="bottom"/>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12" w14:textId="77777777" w:rsidR="00E836FB" w:rsidRDefault="00E836FB">
            <w:pPr>
              <w:rPr>
                <w:rFonts w:ascii="宋体"/>
              </w:rPr>
            </w:pPr>
          </w:p>
        </w:tc>
        <w:tc>
          <w:tcPr>
            <w:tcW w:w="0" w:type="auto"/>
            <w:shd w:val="clear" w:color="auto" w:fill="auto"/>
            <w:vAlign w:val="bottom"/>
          </w:tcPr>
          <w:p w14:paraId="5F2D0213" w14:textId="77777777" w:rsidR="00E836FB" w:rsidRDefault="00E836FB">
            <w:pPr>
              <w:rPr>
                <w:rFonts w:ascii="宋体"/>
                <w:vanish/>
              </w:rPr>
            </w:pPr>
          </w:p>
        </w:tc>
        <w:tc>
          <w:tcPr>
            <w:tcW w:w="0" w:type="auto"/>
            <w:shd w:val="clear" w:color="auto" w:fill="auto"/>
            <w:vAlign w:val="bottom"/>
          </w:tcPr>
          <w:p w14:paraId="5F2D0214"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D0215"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0216"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1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1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219"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021A"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1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21D"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D021E" w14:textId="77777777" w:rsidR="00E836FB" w:rsidRDefault="00994958">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2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221"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0222" w14:textId="77777777" w:rsidR="00E836FB" w:rsidRDefault="00994958">
            <w:pPr>
              <w:jc w:val="right"/>
              <w:textAlignment w:val="bottom"/>
            </w:pPr>
            <w:r>
              <w:rPr>
                <w:rFonts w:ascii="Arial" w:eastAsia="宋体" w:hAnsi="Arial" w:cs="Arial"/>
                <w:b/>
                <w:bCs/>
                <w:color w:val="000000"/>
                <w:sz w:val="12"/>
                <w:szCs w:val="12"/>
              </w:rPr>
              <w:t>(120)</w:t>
            </w:r>
          </w:p>
        </w:tc>
        <w:tc>
          <w:tcPr>
            <w:tcW w:w="0" w:type="auto"/>
            <w:shd w:val="clear" w:color="auto" w:fill="CCEEFF"/>
            <w:tcMar>
              <w:top w:w="40" w:type="dxa"/>
              <w:left w:w="0" w:type="dxa"/>
              <w:bottom w:w="40" w:type="dxa"/>
              <w:right w:w="20" w:type="dxa"/>
            </w:tcMar>
            <w:vAlign w:val="bottom"/>
          </w:tcPr>
          <w:p w14:paraId="5F2D02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24"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225" w14:textId="77777777" w:rsidR="00E836FB" w:rsidRDefault="00994958">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F2D0226"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227"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228"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229" w14:textId="77777777" w:rsidR="00E836FB" w:rsidRDefault="00E836FB">
            <w:pPr>
              <w:rPr>
                <w:rFonts w:ascii="宋体"/>
              </w:rPr>
            </w:pPr>
          </w:p>
        </w:tc>
      </w:tr>
      <w:tr w:rsidR="00E836FB" w14:paraId="5F2D024A" w14:textId="77777777">
        <w:tc>
          <w:tcPr>
            <w:tcW w:w="0" w:type="auto"/>
            <w:gridSpan w:val="3"/>
            <w:shd w:val="clear" w:color="auto" w:fill="FFFFFF"/>
            <w:tcMar>
              <w:top w:w="40" w:type="dxa"/>
              <w:left w:w="20" w:type="dxa"/>
              <w:bottom w:w="40" w:type="dxa"/>
              <w:right w:w="20" w:type="dxa"/>
            </w:tcMar>
            <w:vAlign w:val="center"/>
          </w:tcPr>
          <w:p w14:paraId="5F2D022B" w14:textId="77777777" w:rsidR="00E836FB" w:rsidRDefault="00994958">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2C" w14:textId="77777777" w:rsidR="00E836FB" w:rsidRDefault="00994958">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2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2F"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3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32"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3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35" w14:textId="77777777" w:rsidR="00E836FB" w:rsidRDefault="00994958">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37" w14:textId="77777777" w:rsidR="00E836FB" w:rsidRDefault="00E836FB">
            <w:pPr>
              <w:rPr>
                <w:rFonts w:ascii="宋体"/>
              </w:rPr>
            </w:pPr>
          </w:p>
        </w:tc>
        <w:tc>
          <w:tcPr>
            <w:tcW w:w="0" w:type="auto"/>
            <w:shd w:val="clear" w:color="auto" w:fill="auto"/>
            <w:vAlign w:val="bottom"/>
          </w:tcPr>
          <w:p w14:paraId="5F2D0238" w14:textId="77777777" w:rsidR="00E836FB" w:rsidRDefault="00E836FB">
            <w:pPr>
              <w:rPr>
                <w:rFonts w:ascii="宋体"/>
                <w:vanish/>
              </w:rPr>
            </w:pPr>
          </w:p>
        </w:tc>
        <w:tc>
          <w:tcPr>
            <w:tcW w:w="0" w:type="auto"/>
            <w:shd w:val="clear" w:color="auto" w:fill="auto"/>
            <w:vAlign w:val="bottom"/>
          </w:tcPr>
          <w:p w14:paraId="5F2D0239"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3A"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3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3D"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3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40"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4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43" w14:textId="77777777" w:rsidR="00E836FB" w:rsidRDefault="00994958">
            <w:pPr>
              <w:jc w:val="right"/>
              <w:textAlignment w:val="center"/>
            </w:pPr>
            <w:r>
              <w:rPr>
                <w:rFonts w:ascii="Arial" w:eastAsia="宋体" w:hAnsi="Arial" w:cs="Arial"/>
                <w:b/>
                <w:bCs/>
                <w:color w:val="000000"/>
                <w:sz w:val="12"/>
                <w:szCs w:val="12"/>
              </w:rPr>
              <w:t>(120)</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24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246"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247"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248" w14:textId="77777777" w:rsidR="00E836FB" w:rsidRDefault="00E836FB">
            <w:pPr>
              <w:rPr>
                <w:rFonts w:ascii="宋体"/>
              </w:rPr>
            </w:pPr>
          </w:p>
        </w:tc>
        <w:tc>
          <w:tcPr>
            <w:tcW w:w="0" w:type="auto"/>
            <w:shd w:val="clear" w:color="auto" w:fill="FFFFFF"/>
            <w:tcMar>
              <w:top w:w="0" w:type="dxa"/>
              <w:left w:w="20" w:type="dxa"/>
              <w:bottom w:w="0" w:type="dxa"/>
              <w:right w:w="20" w:type="dxa"/>
            </w:tcMar>
            <w:vAlign w:val="bottom"/>
          </w:tcPr>
          <w:p w14:paraId="5F2D0249" w14:textId="77777777" w:rsidR="00E836FB" w:rsidRDefault="00E836FB">
            <w:pPr>
              <w:rPr>
                <w:rFonts w:ascii="宋体"/>
              </w:rPr>
            </w:pPr>
          </w:p>
        </w:tc>
      </w:tr>
      <w:tr w:rsidR="00E836FB" w14:paraId="5F2D0261" w14:textId="77777777">
        <w:trPr>
          <w:hidden/>
        </w:trPr>
        <w:tc>
          <w:tcPr>
            <w:tcW w:w="0" w:type="auto"/>
            <w:gridSpan w:val="3"/>
            <w:shd w:val="clear" w:color="auto" w:fill="auto"/>
            <w:vAlign w:val="bottom"/>
          </w:tcPr>
          <w:p w14:paraId="5F2D024B" w14:textId="77777777" w:rsidR="00E836FB" w:rsidRDefault="00E836FB">
            <w:pPr>
              <w:rPr>
                <w:rFonts w:ascii="宋体"/>
                <w:vanish/>
              </w:rPr>
            </w:pPr>
          </w:p>
        </w:tc>
        <w:tc>
          <w:tcPr>
            <w:tcW w:w="0" w:type="auto"/>
            <w:gridSpan w:val="3"/>
            <w:shd w:val="clear" w:color="auto" w:fill="auto"/>
            <w:vAlign w:val="bottom"/>
          </w:tcPr>
          <w:p w14:paraId="5F2D024C" w14:textId="77777777" w:rsidR="00E836FB" w:rsidRDefault="00E836FB">
            <w:pPr>
              <w:rPr>
                <w:rFonts w:ascii="宋体"/>
                <w:vanish/>
              </w:rPr>
            </w:pPr>
          </w:p>
        </w:tc>
        <w:tc>
          <w:tcPr>
            <w:tcW w:w="0" w:type="auto"/>
            <w:gridSpan w:val="3"/>
            <w:shd w:val="clear" w:color="auto" w:fill="auto"/>
            <w:vAlign w:val="bottom"/>
          </w:tcPr>
          <w:p w14:paraId="5F2D024D" w14:textId="77777777" w:rsidR="00E836FB" w:rsidRDefault="00E836FB">
            <w:pPr>
              <w:rPr>
                <w:rFonts w:ascii="宋体"/>
                <w:vanish/>
              </w:rPr>
            </w:pPr>
          </w:p>
        </w:tc>
        <w:tc>
          <w:tcPr>
            <w:tcW w:w="0" w:type="auto"/>
            <w:gridSpan w:val="3"/>
            <w:shd w:val="clear" w:color="auto" w:fill="auto"/>
            <w:vAlign w:val="bottom"/>
          </w:tcPr>
          <w:p w14:paraId="5F2D024E" w14:textId="77777777" w:rsidR="00E836FB" w:rsidRDefault="00E836FB">
            <w:pPr>
              <w:rPr>
                <w:rFonts w:ascii="宋体"/>
                <w:vanish/>
              </w:rPr>
            </w:pPr>
          </w:p>
        </w:tc>
        <w:tc>
          <w:tcPr>
            <w:tcW w:w="0" w:type="auto"/>
            <w:gridSpan w:val="3"/>
            <w:shd w:val="clear" w:color="auto" w:fill="auto"/>
            <w:vAlign w:val="bottom"/>
          </w:tcPr>
          <w:p w14:paraId="5F2D024F" w14:textId="77777777" w:rsidR="00E836FB" w:rsidRDefault="00E836FB">
            <w:pPr>
              <w:rPr>
                <w:rFonts w:ascii="宋体"/>
                <w:vanish/>
              </w:rPr>
            </w:pPr>
          </w:p>
        </w:tc>
        <w:tc>
          <w:tcPr>
            <w:tcW w:w="0" w:type="auto"/>
            <w:gridSpan w:val="3"/>
            <w:shd w:val="clear" w:color="auto" w:fill="auto"/>
            <w:vAlign w:val="bottom"/>
          </w:tcPr>
          <w:p w14:paraId="5F2D0250" w14:textId="77777777" w:rsidR="00E836FB" w:rsidRDefault="00E836FB">
            <w:pPr>
              <w:rPr>
                <w:rFonts w:ascii="宋体"/>
                <w:vanish/>
              </w:rPr>
            </w:pPr>
          </w:p>
        </w:tc>
        <w:tc>
          <w:tcPr>
            <w:tcW w:w="0" w:type="auto"/>
            <w:gridSpan w:val="3"/>
            <w:shd w:val="clear" w:color="auto" w:fill="auto"/>
            <w:vAlign w:val="bottom"/>
          </w:tcPr>
          <w:p w14:paraId="5F2D0251" w14:textId="77777777" w:rsidR="00E836FB" w:rsidRDefault="00E836FB">
            <w:pPr>
              <w:rPr>
                <w:rFonts w:ascii="宋体"/>
                <w:vanish/>
              </w:rPr>
            </w:pPr>
          </w:p>
        </w:tc>
        <w:tc>
          <w:tcPr>
            <w:tcW w:w="0" w:type="auto"/>
            <w:gridSpan w:val="3"/>
            <w:shd w:val="clear" w:color="auto" w:fill="auto"/>
            <w:vAlign w:val="bottom"/>
          </w:tcPr>
          <w:p w14:paraId="5F2D0252" w14:textId="77777777" w:rsidR="00E836FB" w:rsidRDefault="00E836FB">
            <w:pPr>
              <w:rPr>
                <w:rFonts w:ascii="宋体"/>
                <w:vanish/>
              </w:rPr>
            </w:pPr>
          </w:p>
        </w:tc>
        <w:tc>
          <w:tcPr>
            <w:tcW w:w="0" w:type="auto"/>
            <w:gridSpan w:val="3"/>
            <w:shd w:val="clear" w:color="auto" w:fill="auto"/>
            <w:vAlign w:val="bottom"/>
          </w:tcPr>
          <w:p w14:paraId="5F2D0253" w14:textId="77777777" w:rsidR="00E836FB" w:rsidRDefault="00E836FB">
            <w:pPr>
              <w:rPr>
                <w:rFonts w:ascii="宋体"/>
                <w:vanish/>
              </w:rPr>
            </w:pPr>
          </w:p>
        </w:tc>
        <w:tc>
          <w:tcPr>
            <w:tcW w:w="0" w:type="auto"/>
            <w:shd w:val="clear" w:color="auto" w:fill="auto"/>
            <w:vAlign w:val="bottom"/>
          </w:tcPr>
          <w:p w14:paraId="5F2D0254" w14:textId="77777777" w:rsidR="00E836FB" w:rsidRDefault="00E836FB">
            <w:pPr>
              <w:rPr>
                <w:rFonts w:ascii="宋体"/>
                <w:vanish/>
              </w:rPr>
            </w:pPr>
          </w:p>
        </w:tc>
        <w:tc>
          <w:tcPr>
            <w:tcW w:w="0" w:type="auto"/>
            <w:shd w:val="clear" w:color="auto" w:fill="auto"/>
            <w:vAlign w:val="bottom"/>
          </w:tcPr>
          <w:p w14:paraId="5F2D0255" w14:textId="77777777" w:rsidR="00E836FB" w:rsidRDefault="00E836FB">
            <w:pPr>
              <w:rPr>
                <w:rFonts w:ascii="宋体"/>
                <w:vanish/>
              </w:rPr>
            </w:pPr>
          </w:p>
        </w:tc>
        <w:tc>
          <w:tcPr>
            <w:tcW w:w="0" w:type="auto"/>
            <w:gridSpan w:val="3"/>
            <w:shd w:val="clear" w:color="auto" w:fill="auto"/>
            <w:vAlign w:val="bottom"/>
          </w:tcPr>
          <w:p w14:paraId="5F2D0256" w14:textId="77777777" w:rsidR="00E836FB" w:rsidRDefault="00E836FB">
            <w:pPr>
              <w:rPr>
                <w:rFonts w:ascii="宋体"/>
                <w:vanish/>
              </w:rPr>
            </w:pPr>
          </w:p>
        </w:tc>
        <w:tc>
          <w:tcPr>
            <w:tcW w:w="0" w:type="auto"/>
            <w:gridSpan w:val="3"/>
            <w:shd w:val="clear" w:color="auto" w:fill="auto"/>
            <w:vAlign w:val="bottom"/>
          </w:tcPr>
          <w:p w14:paraId="5F2D0257" w14:textId="77777777" w:rsidR="00E836FB" w:rsidRDefault="00E836FB">
            <w:pPr>
              <w:rPr>
                <w:rFonts w:ascii="宋体"/>
                <w:vanish/>
              </w:rPr>
            </w:pPr>
          </w:p>
        </w:tc>
        <w:tc>
          <w:tcPr>
            <w:tcW w:w="0" w:type="auto"/>
            <w:gridSpan w:val="3"/>
            <w:shd w:val="clear" w:color="auto" w:fill="auto"/>
            <w:vAlign w:val="bottom"/>
          </w:tcPr>
          <w:p w14:paraId="5F2D0258" w14:textId="77777777" w:rsidR="00E836FB" w:rsidRDefault="00E836FB">
            <w:pPr>
              <w:rPr>
                <w:rFonts w:ascii="宋体"/>
                <w:vanish/>
              </w:rPr>
            </w:pPr>
          </w:p>
        </w:tc>
        <w:tc>
          <w:tcPr>
            <w:tcW w:w="0" w:type="auto"/>
            <w:gridSpan w:val="3"/>
            <w:shd w:val="clear" w:color="auto" w:fill="auto"/>
            <w:vAlign w:val="bottom"/>
          </w:tcPr>
          <w:p w14:paraId="5F2D0259" w14:textId="77777777" w:rsidR="00E836FB" w:rsidRDefault="00E836FB">
            <w:pPr>
              <w:rPr>
                <w:rFonts w:ascii="宋体"/>
                <w:vanish/>
              </w:rPr>
            </w:pPr>
          </w:p>
        </w:tc>
        <w:tc>
          <w:tcPr>
            <w:tcW w:w="0" w:type="auto"/>
            <w:gridSpan w:val="3"/>
            <w:shd w:val="clear" w:color="auto" w:fill="auto"/>
            <w:vAlign w:val="bottom"/>
          </w:tcPr>
          <w:p w14:paraId="5F2D025A" w14:textId="77777777" w:rsidR="00E836FB" w:rsidRDefault="00E836FB">
            <w:pPr>
              <w:rPr>
                <w:rFonts w:ascii="宋体"/>
                <w:vanish/>
              </w:rPr>
            </w:pPr>
          </w:p>
        </w:tc>
        <w:tc>
          <w:tcPr>
            <w:tcW w:w="0" w:type="auto"/>
            <w:gridSpan w:val="3"/>
            <w:shd w:val="clear" w:color="auto" w:fill="auto"/>
            <w:vAlign w:val="bottom"/>
          </w:tcPr>
          <w:p w14:paraId="5F2D025B" w14:textId="77777777" w:rsidR="00E836FB" w:rsidRDefault="00E836FB">
            <w:pPr>
              <w:rPr>
                <w:rFonts w:ascii="宋体"/>
                <w:vanish/>
              </w:rPr>
            </w:pPr>
          </w:p>
        </w:tc>
        <w:tc>
          <w:tcPr>
            <w:tcW w:w="0" w:type="auto"/>
            <w:gridSpan w:val="3"/>
            <w:shd w:val="clear" w:color="auto" w:fill="auto"/>
            <w:vAlign w:val="bottom"/>
          </w:tcPr>
          <w:p w14:paraId="5F2D025C" w14:textId="77777777" w:rsidR="00E836FB" w:rsidRDefault="00E836FB">
            <w:pPr>
              <w:rPr>
                <w:rFonts w:ascii="宋体"/>
                <w:vanish/>
              </w:rPr>
            </w:pPr>
          </w:p>
        </w:tc>
        <w:tc>
          <w:tcPr>
            <w:tcW w:w="0" w:type="auto"/>
            <w:gridSpan w:val="3"/>
            <w:shd w:val="clear" w:color="auto" w:fill="auto"/>
            <w:vAlign w:val="bottom"/>
          </w:tcPr>
          <w:p w14:paraId="5F2D025D" w14:textId="77777777" w:rsidR="00E836FB" w:rsidRDefault="00E836FB">
            <w:pPr>
              <w:rPr>
                <w:rFonts w:ascii="宋体"/>
                <w:vanish/>
              </w:rPr>
            </w:pPr>
          </w:p>
        </w:tc>
        <w:tc>
          <w:tcPr>
            <w:tcW w:w="0" w:type="auto"/>
            <w:gridSpan w:val="3"/>
            <w:shd w:val="clear" w:color="auto" w:fill="auto"/>
            <w:vAlign w:val="bottom"/>
          </w:tcPr>
          <w:p w14:paraId="5F2D025E" w14:textId="77777777" w:rsidR="00E836FB" w:rsidRDefault="00E836FB">
            <w:pPr>
              <w:rPr>
                <w:rFonts w:ascii="宋体"/>
                <w:vanish/>
              </w:rPr>
            </w:pPr>
          </w:p>
        </w:tc>
        <w:tc>
          <w:tcPr>
            <w:tcW w:w="0" w:type="auto"/>
            <w:gridSpan w:val="2"/>
            <w:shd w:val="clear" w:color="auto" w:fill="auto"/>
            <w:vAlign w:val="bottom"/>
          </w:tcPr>
          <w:p w14:paraId="5F2D025F" w14:textId="77777777" w:rsidR="00E836FB" w:rsidRDefault="00E836FB">
            <w:pPr>
              <w:rPr>
                <w:rFonts w:ascii="宋体"/>
                <w:vanish/>
              </w:rPr>
            </w:pPr>
          </w:p>
        </w:tc>
        <w:tc>
          <w:tcPr>
            <w:tcW w:w="0" w:type="auto"/>
            <w:shd w:val="clear" w:color="auto" w:fill="auto"/>
            <w:vAlign w:val="bottom"/>
          </w:tcPr>
          <w:p w14:paraId="5F2D0260" w14:textId="77777777" w:rsidR="00E836FB" w:rsidRDefault="00E836FB">
            <w:pPr>
              <w:rPr>
                <w:rFonts w:ascii="宋体"/>
                <w:vanish/>
              </w:rPr>
            </w:pPr>
          </w:p>
        </w:tc>
      </w:tr>
      <w:tr w:rsidR="00E836FB" w14:paraId="5F2D0278" w14:textId="77777777">
        <w:trPr>
          <w:hidden/>
        </w:trPr>
        <w:tc>
          <w:tcPr>
            <w:tcW w:w="0" w:type="auto"/>
            <w:gridSpan w:val="3"/>
            <w:shd w:val="clear" w:color="auto" w:fill="auto"/>
            <w:vAlign w:val="bottom"/>
          </w:tcPr>
          <w:p w14:paraId="5F2D0262" w14:textId="77777777" w:rsidR="00E836FB" w:rsidRDefault="00E836FB">
            <w:pPr>
              <w:rPr>
                <w:rFonts w:ascii="宋体"/>
                <w:vanish/>
              </w:rPr>
            </w:pPr>
          </w:p>
        </w:tc>
        <w:tc>
          <w:tcPr>
            <w:tcW w:w="0" w:type="auto"/>
            <w:gridSpan w:val="3"/>
            <w:shd w:val="clear" w:color="auto" w:fill="auto"/>
            <w:vAlign w:val="bottom"/>
          </w:tcPr>
          <w:p w14:paraId="5F2D0263" w14:textId="77777777" w:rsidR="00E836FB" w:rsidRDefault="00E836FB">
            <w:pPr>
              <w:rPr>
                <w:rFonts w:ascii="宋体"/>
                <w:vanish/>
              </w:rPr>
            </w:pPr>
          </w:p>
        </w:tc>
        <w:tc>
          <w:tcPr>
            <w:tcW w:w="0" w:type="auto"/>
            <w:gridSpan w:val="3"/>
            <w:shd w:val="clear" w:color="auto" w:fill="auto"/>
            <w:vAlign w:val="bottom"/>
          </w:tcPr>
          <w:p w14:paraId="5F2D0264" w14:textId="77777777" w:rsidR="00E836FB" w:rsidRDefault="00E836FB">
            <w:pPr>
              <w:rPr>
                <w:rFonts w:ascii="宋体"/>
                <w:vanish/>
              </w:rPr>
            </w:pPr>
          </w:p>
        </w:tc>
        <w:tc>
          <w:tcPr>
            <w:tcW w:w="0" w:type="auto"/>
            <w:gridSpan w:val="3"/>
            <w:shd w:val="clear" w:color="auto" w:fill="auto"/>
            <w:vAlign w:val="bottom"/>
          </w:tcPr>
          <w:p w14:paraId="5F2D0265" w14:textId="77777777" w:rsidR="00E836FB" w:rsidRDefault="00E836FB">
            <w:pPr>
              <w:rPr>
                <w:rFonts w:ascii="宋体"/>
                <w:vanish/>
              </w:rPr>
            </w:pPr>
          </w:p>
        </w:tc>
        <w:tc>
          <w:tcPr>
            <w:tcW w:w="0" w:type="auto"/>
            <w:gridSpan w:val="3"/>
            <w:shd w:val="clear" w:color="auto" w:fill="auto"/>
            <w:vAlign w:val="bottom"/>
          </w:tcPr>
          <w:p w14:paraId="5F2D0266" w14:textId="77777777" w:rsidR="00E836FB" w:rsidRDefault="00E836FB">
            <w:pPr>
              <w:rPr>
                <w:rFonts w:ascii="宋体"/>
                <w:vanish/>
              </w:rPr>
            </w:pPr>
          </w:p>
        </w:tc>
        <w:tc>
          <w:tcPr>
            <w:tcW w:w="0" w:type="auto"/>
            <w:gridSpan w:val="3"/>
            <w:shd w:val="clear" w:color="auto" w:fill="auto"/>
            <w:vAlign w:val="bottom"/>
          </w:tcPr>
          <w:p w14:paraId="5F2D0267" w14:textId="77777777" w:rsidR="00E836FB" w:rsidRDefault="00E836FB">
            <w:pPr>
              <w:rPr>
                <w:rFonts w:ascii="宋体"/>
                <w:vanish/>
              </w:rPr>
            </w:pPr>
          </w:p>
        </w:tc>
        <w:tc>
          <w:tcPr>
            <w:tcW w:w="0" w:type="auto"/>
            <w:gridSpan w:val="3"/>
            <w:shd w:val="clear" w:color="auto" w:fill="auto"/>
            <w:vAlign w:val="bottom"/>
          </w:tcPr>
          <w:p w14:paraId="5F2D0268" w14:textId="77777777" w:rsidR="00E836FB" w:rsidRDefault="00E836FB">
            <w:pPr>
              <w:rPr>
                <w:rFonts w:ascii="宋体"/>
                <w:vanish/>
              </w:rPr>
            </w:pPr>
          </w:p>
        </w:tc>
        <w:tc>
          <w:tcPr>
            <w:tcW w:w="0" w:type="auto"/>
            <w:gridSpan w:val="3"/>
            <w:shd w:val="clear" w:color="auto" w:fill="auto"/>
            <w:vAlign w:val="bottom"/>
          </w:tcPr>
          <w:p w14:paraId="5F2D0269" w14:textId="77777777" w:rsidR="00E836FB" w:rsidRDefault="00E836FB">
            <w:pPr>
              <w:rPr>
                <w:rFonts w:ascii="宋体"/>
                <w:vanish/>
              </w:rPr>
            </w:pPr>
          </w:p>
        </w:tc>
        <w:tc>
          <w:tcPr>
            <w:tcW w:w="0" w:type="auto"/>
            <w:gridSpan w:val="3"/>
            <w:shd w:val="clear" w:color="auto" w:fill="auto"/>
            <w:vAlign w:val="bottom"/>
          </w:tcPr>
          <w:p w14:paraId="5F2D026A" w14:textId="77777777" w:rsidR="00E836FB" w:rsidRDefault="00E836FB">
            <w:pPr>
              <w:rPr>
                <w:rFonts w:ascii="宋体"/>
                <w:vanish/>
              </w:rPr>
            </w:pPr>
          </w:p>
        </w:tc>
        <w:tc>
          <w:tcPr>
            <w:tcW w:w="0" w:type="auto"/>
            <w:shd w:val="clear" w:color="auto" w:fill="auto"/>
            <w:vAlign w:val="bottom"/>
          </w:tcPr>
          <w:p w14:paraId="5F2D026B" w14:textId="77777777" w:rsidR="00E836FB" w:rsidRDefault="00E836FB">
            <w:pPr>
              <w:rPr>
                <w:rFonts w:ascii="宋体"/>
                <w:vanish/>
              </w:rPr>
            </w:pPr>
          </w:p>
        </w:tc>
        <w:tc>
          <w:tcPr>
            <w:tcW w:w="0" w:type="auto"/>
            <w:shd w:val="clear" w:color="auto" w:fill="auto"/>
            <w:vAlign w:val="bottom"/>
          </w:tcPr>
          <w:p w14:paraId="5F2D026C" w14:textId="77777777" w:rsidR="00E836FB" w:rsidRDefault="00E836FB">
            <w:pPr>
              <w:rPr>
                <w:rFonts w:ascii="宋体"/>
                <w:vanish/>
              </w:rPr>
            </w:pPr>
          </w:p>
        </w:tc>
        <w:tc>
          <w:tcPr>
            <w:tcW w:w="0" w:type="auto"/>
            <w:gridSpan w:val="3"/>
            <w:shd w:val="clear" w:color="auto" w:fill="auto"/>
            <w:vAlign w:val="bottom"/>
          </w:tcPr>
          <w:p w14:paraId="5F2D026D" w14:textId="77777777" w:rsidR="00E836FB" w:rsidRDefault="00E836FB">
            <w:pPr>
              <w:rPr>
                <w:rFonts w:ascii="宋体"/>
                <w:vanish/>
              </w:rPr>
            </w:pPr>
          </w:p>
        </w:tc>
        <w:tc>
          <w:tcPr>
            <w:tcW w:w="0" w:type="auto"/>
            <w:gridSpan w:val="3"/>
            <w:shd w:val="clear" w:color="auto" w:fill="auto"/>
            <w:vAlign w:val="bottom"/>
          </w:tcPr>
          <w:p w14:paraId="5F2D026E" w14:textId="77777777" w:rsidR="00E836FB" w:rsidRDefault="00E836FB">
            <w:pPr>
              <w:rPr>
                <w:rFonts w:ascii="宋体"/>
                <w:vanish/>
              </w:rPr>
            </w:pPr>
          </w:p>
        </w:tc>
        <w:tc>
          <w:tcPr>
            <w:tcW w:w="0" w:type="auto"/>
            <w:gridSpan w:val="3"/>
            <w:shd w:val="clear" w:color="auto" w:fill="auto"/>
            <w:vAlign w:val="bottom"/>
          </w:tcPr>
          <w:p w14:paraId="5F2D026F" w14:textId="77777777" w:rsidR="00E836FB" w:rsidRDefault="00E836FB">
            <w:pPr>
              <w:rPr>
                <w:rFonts w:ascii="宋体"/>
                <w:vanish/>
              </w:rPr>
            </w:pPr>
          </w:p>
        </w:tc>
        <w:tc>
          <w:tcPr>
            <w:tcW w:w="0" w:type="auto"/>
            <w:gridSpan w:val="3"/>
            <w:shd w:val="clear" w:color="auto" w:fill="auto"/>
            <w:vAlign w:val="bottom"/>
          </w:tcPr>
          <w:p w14:paraId="5F2D0270" w14:textId="77777777" w:rsidR="00E836FB" w:rsidRDefault="00E836FB">
            <w:pPr>
              <w:rPr>
                <w:rFonts w:ascii="宋体"/>
                <w:vanish/>
              </w:rPr>
            </w:pPr>
          </w:p>
        </w:tc>
        <w:tc>
          <w:tcPr>
            <w:tcW w:w="0" w:type="auto"/>
            <w:gridSpan w:val="3"/>
            <w:shd w:val="clear" w:color="auto" w:fill="auto"/>
            <w:vAlign w:val="bottom"/>
          </w:tcPr>
          <w:p w14:paraId="5F2D0271" w14:textId="77777777" w:rsidR="00E836FB" w:rsidRDefault="00E836FB">
            <w:pPr>
              <w:rPr>
                <w:rFonts w:ascii="宋体"/>
                <w:vanish/>
              </w:rPr>
            </w:pPr>
          </w:p>
        </w:tc>
        <w:tc>
          <w:tcPr>
            <w:tcW w:w="0" w:type="auto"/>
            <w:gridSpan w:val="3"/>
            <w:shd w:val="clear" w:color="auto" w:fill="auto"/>
            <w:vAlign w:val="bottom"/>
          </w:tcPr>
          <w:p w14:paraId="5F2D0272" w14:textId="77777777" w:rsidR="00E836FB" w:rsidRDefault="00E836FB">
            <w:pPr>
              <w:rPr>
                <w:rFonts w:ascii="宋体"/>
                <w:vanish/>
              </w:rPr>
            </w:pPr>
          </w:p>
        </w:tc>
        <w:tc>
          <w:tcPr>
            <w:tcW w:w="0" w:type="auto"/>
            <w:gridSpan w:val="3"/>
            <w:shd w:val="clear" w:color="auto" w:fill="auto"/>
            <w:vAlign w:val="bottom"/>
          </w:tcPr>
          <w:p w14:paraId="5F2D0273" w14:textId="77777777" w:rsidR="00E836FB" w:rsidRDefault="00E836FB">
            <w:pPr>
              <w:rPr>
                <w:rFonts w:ascii="宋体"/>
                <w:vanish/>
              </w:rPr>
            </w:pPr>
          </w:p>
        </w:tc>
        <w:tc>
          <w:tcPr>
            <w:tcW w:w="0" w:type="auto"/>
            <w:gridSpan w:val="3"/>
            <w:shd w:val="clear" w:color="auto" w:fill="auto"/>
            <w:vAlign w:val="bottom"/>
          </w:tcPr>
          <w:p w14:paraId="5F2D0274" w14:textId="77777777" w:rsidR="00E836FB" w:rsidRDefault="00E836FB">
            <w:pPr>
              <w:rPr>
                <w:rFonts w:ascii="宋体"/>
                <w:vanish/>
              </w:rPr>
            </w:pPr>
          </w:p>
        </w:tc>
        <w:tc>
          <w:tcPr>
            <w:tcW w:w="0" w:type="auto"/>
            <w:gridSpan w:val="3"/>
            <w:shd w:val="clear" w:color="auto" w:fill="auto"/>
            <w:vAlign w:val="bottom"/>
          </w:tcPr>
          <w:p w14:paraId="5F2D0275" w14:textId="77777777" w:rsidR="00E836FB" w:rsidRDefault="00E836FB">
            <w:pPr>
              <w:rPr>
                <w:rFonts w:ascii="宋体"/>
                <w:vanish/>
              </w:rPr>
            </w:pPr>
          </w:p>
        </w:tc>
        <w:tc>
          <w:tcPr>
            <w:tcW w:w="0" w:type="auto"/>
            <w:gridSpan w:val="2"/>
            <w:shd w:val="clear" w:color="auto" w:fill="auto"/>
            <w:vAlign w:val="bottom"/>
          </w:tcPr>
          <w:p w14:paraId="5F2D0276" w14:textId="77777777" w:rsidR="00E836FB" w:rsidRDefault="00E836FB">
            <w:pPr>
              <w:rPr>
                <w:rFonts w:ascii="宋体"/>
                <w:vanish/>
              </w:rPr>
            </w:pPr>
          </w:p>
        </w:tc>
        <w:tc>
          <w:tcPr>
            <w:tcW w:w="0" w:type="auto"/>
            <w:shd w:val="clear" w:color="auto" w:fill="auto"/>
            <w:vAlign w:val="bottom"/>
          </w:tcPr>
          <w:p w14:paraId="5F2D0277" w14:textId="77777777" w:rsidR="00E836FB" w:rsidRDefault="00E836FB">
            <w:pPr>
              <w:rPr>
                <w:rFonts w:ascii="宋体"/>
                <w:vanish/>
              </w:rPr>
            </w:pPr>
          </w:p>
        </w:tc>
      </w:tr>
      <w:tr w:rsidR="00E836FB" w14:paraId="5F2D028F" w14:textId="77777777">
        <w:trPr>
          <w:hidden/>
        </w:trPr>
        <w:tc>
          <w:tcPr>
            <w:tcW w:w="0" w:type="auto"/>
            <w:gridSpan w:val="3"/>
            <w:shd w:val="clear" w:color="auto" w:fill="auto"/>
            <w:vAlign w:val="bottom"/>
          </w:tcPr>
          <w:p w14:paraId="5F2D0279" w14:textId="77777777" w:rsidR="00E836FB" w:rsidRDefault="00E836FB">
            <w:pPr>
              <w:rPr>
                <w:rFonts w:ascii="宋体"/>
                <w:vanish/>
              </w:rPr>
            </w:pPr>
          </w:p>
        </w:tc>
        <w:tc>
          <w:tcPr>
            <w:tcW w:w="0" w:type="auto"/>
            <w:gridSpan w:val="3"/>
            <w:shd w:val="clear" w:color="auto" w:fill="auto"/>
            <w:vAlign w:val="bottom"/>
          </w:tcPr>
          <w:p w14:paraId="5F2D027A" w14:textId="77777777" w:rsidR="00E836FB" w:rsidRDefault="00E836FB">
            <w:pPr>
              <w:rPr>
                <w:rFonts w:ascii="宋体"/>
                <w:vanish/>
              </w:rPr>
            </w:pPr>
          </w:p>
        </w:tc>
        <w:tc>
          <w:tcPr>
            <w:tcW w:w="0" w:type="auto"/>
            <w:gridSpan w:val="3"/>
            <w:shd w:val="clear" w:color="auto" w:fill="auto"/>
            <w:vAlign w:val="bottom"/>
          </w:tcPr>
          <w:p w14:paraId="5F2D027B" w14:textId="77777777" w:rsidR="00E836FB" w:rsidRDefault="00E836FB">
            <w:pPr>
              <w:rPr>
                <w:rFonts w:ascii="宋体"/>
                <w:vanish/>
              </w:rPr>
            </w:pPr>
          </w:p>
        </w:tc>
        <w:tc>
          <w:tcPr>
            <w:tcW w:w="0" w:type="auto"/>
            <w:gridSpan w:val="3"/>
            <w:shd w:val="clear" w:color="auto" w:fill="auto"/>
            <w:vAlign w:val="bottom"/>
          </w:tcPr>
          <w:p w14:paraId="5F2D027C" w14:textId="77777777" w:rsidR="00E836FB" w:rsidRDefault="00E836FB">
            <w:pPr>
              <w:rPr>
                <w:rFonts w:ascii="宋体"/>
                <w:vanish/>
              </w:rPr>
            </w:pPr>
          </w:p>
        </w:tc>
        <w:tc>
          <w:tcPr>
            <w:tcW w:w="0" w:type="auto"/>
            <w:gridSpan w:val="3"/>
            <w:shd w:val="clear" w:color="auto" w:fill="auto"/>
            <w:vAlign w:val="bottom"/>
          </w:tcPr>
          <w:p w14:paraId="5F2D027D" w14:textId="77777777" w:rsidR="00E836FB" w:rsidRDefault="00E836FB">
            <w:pPr>
              <w:rPr>
                <w:rFonts w:ascii="宋体"/>
                <w:vanish/>
              </w:rPr>
            </w:pPr>
          </w:p>
        </w:tc>
        <w:tc>
          <w:tcPr>
            <w:tcW w:w="0" w:type="auto"/>
            <w:gridSpan w:val="3"/>
            <w:shd w:val="clear" w:color="auto" w:fill="auto"/>
            <w:vAlign w:val="bottom"/>
          </w:tcPr>
          <w:p w14:paraId="5F2D027E" w14:textId="77777777" w:rsidR="00E836FB" w:rsidRDefault="00E836FB">
            <w:pPr>
              <w:rPr>
                <w:rFonts w:ascii="宋体"/>
                <w:vanish/>
              </w:rPr>
            </w:pPr>
          </w:p>
        </w:tc>
        <w:tc>
          <w:tcPr>
            <w:tcW w:w="0" w:type="auto"/>
            <w:gridSpan w:val="3"/>
            <w:shd w:val="clear" w:color="auto" w:fill="auto"/>
            <w:vAlign w:val="bottom"/>
          </w:tcPr>
          <w:p w14:paraId="5F2D027F" w14:textId="77777777" w:rsidR="00E836FB" w:rsidRDefault="00E836FB">
            <w:pPr>
              <w:rPr>
                <w:rFonts w:ascii="宋体"/>
                <w:vanish/>
              </w:rPr>
            </w:pPr>
          </w:p>
        </w:tc>
        <w:tc>
          <w:tcPr>
            <w:tcW w:w="0" w:type="auto"/>
            <w:gridSpan w:val="3"/>
            <w:shd w:val="clear" w:color="auto" w:fill="auto"/>
            <w:vAlign w:val="bottom"/>
          </w:tcPr>
          <w:p w14:paraId="5F2D0280" w14:textId="77777777" w:rsidR="00E836FB" w:rsidRDefault="00E836FB">
            <w:pPr>
              <w:rPr>
                <w:rFonts w:ascii="宋体"/>
                <w:vanish/>
              </w:rPr>
            </w:pPr>
          </w:p>
        </w:tc>
        <w:tc>
          <w:tcPr>
            <w:tcW w:w="0" w:type="auto"/>
            <w:gridSpan w:val="3"/>
            <w:shd w:val="clear" w:color="auto" w:fill="auto"/>
            <w:vAlign w:val="bottom"/>
          </w:tcPr>
          <w:p w14:paraId="5F2D0281" w14:textId="77777777" w:rsidR="00E836FB" w:rsidRDefault="00E836FB">
            <w:pPr>
              <w:rPr>
                <w:rFonts w:ascii="宋体"/>
                <w:vanish/>
              </w:rPr>
            </w:pPr>
          </w:p>
        </w:tc>
        <w:tc>
          <w:tcPr>
            <w:tcW w:w="0" w:type="auto"/>
            <w:shd w:val="clear" w:color="auto" w:fill="auto"/>
            <w:vAlign w:val="bottom"/>
          </w:tcPr>
          <w:p w14:paraId="5F2D0282" w14:textId="77777777" w:rsidR="00E836FB" w:rsidRDefault="00E836FB">
            <w:pPr>
              <w:rPr>
                <w:rFonts w:ascii="宋体"/>
                <w:vanish/>
              </w:rPr>
            </w:pPr>
          </w:p>
        </w:tc>
        <w:tc>
          <w:tcPr>
            <w:tcW w:w="0" w:type="auto"/>
            <w:shd w:val="clear" w:color="auto" w:fill="auto"/>
            <w:vAlign w:val="bottom"/>
          </w:tcPr>
          <w:p w14:paraId="5F2D0283" w14:textId="77777777" w:rsidR="00E836FB" w:rsidRDefault="00E836FB">
            <w:pPr>
              <w:rPr>
                <w:rFonts w:ascii="宋体"/>
                <w:vanish/>
              </w:rPr>
            </w:pPr>
          </w:p>
        </w:tc>
        <w:tc>
          <w:tcPr>
            <w:tcW w:w="0" w:type="auto"/>
            <w:gridSpan w:val="3"/>
            <w:shd w:val="clear" w:color="auto" w:fill="auto"/>
            <w:vAlign w:val="bottom"/>
          </w:tcPr>
          <w:p w14:paraId="5F2D0284" w14:textId="77777777" w:rsidR="00E836FB" w:rsidRDefault="00E836FB">
            <w:pPr>
              <w:rPr>
                <w:rFonts w:ascii="宋体"/>
                <w:vanish/>
              </w:rPr>
            </w:pPr>
          </w:p>
        </w:tc>
        <w:tc>
          <w:tcPr>
            <w:tcW w:w="0" w:type="auto"/>
            <w:gridSpan w:val="3"/>
            <w:shd w:val="clear" w:color="auto" w:fill="auto"/>
            <w:vAlign w:val="bottom"/>
          </w:tcPr>
          <w:p w14:paraId="5F2D0285" w14:textId="77777777" w:rsidR="00E836FB" w:rsidRDefault="00E836FB">
            <w:pPr>
              <w:rPr>
                <w:rFonts w:ascii="宋体"/>
                <w:vanish/>
              </w:rPr>
            </w:pPr>
          </w:p>
        </w:tc>
        <w:tc>
          <w:tcPr>
            <w:tcW w:w="0" w:type="auto"/>
            <w:gridSpan w:val="3"/>
            <w:shd w:val="clear" w:color="auto" w:fill="auto"/>
            <w:vAlign w:val="bottom"/>
          </w:tcPr>
          <w:p w14:paraId="5F2D0286" w14:textId="77777777" w:rsidR="00E836FB" w:rsidRDefault="00E836FB">
            <w:pPr>
              <w:rPr>
                <w:rFonts w:ascii="宋体"/>
                <w:vanish/>
              </w:rPr>
            </w:pPr>
          </w:p>
        </w:tc>
        <w:tc>
          <w:tcPr>
            <w:tcW w:w="0" w:type="auto"/>
            <w:gridSpan w:val="3"/>
            <w:shd w:val="clear" w:color="auto" w:fill="auto"/>
            <w:vAlign w:val="bottom"/>
          </w:tcPr>
          <w:p w14:paraId="5F2D0287" w14:textId="77777777" w:rsidR="00E836FB" w:rsidRDefault="00E836FB">
            <w:pPr>
              <w:rPr>
                <w:rFonts w:ascii="宋体"/>
                <w:vanish/>
              </w:rPr>
            </w:pPr>
          </w:p>
        </w:tc>
        <w:tc>
          <w:tcPr>
            <w:tcW w:w="0" w:type="auto"/>
            <w:gridSpan w:val="3"/>
            <w:shd w:val="clear" w:color="auto" w:fill="auto"/>
            <w:vAlign w:val="bottom"/>
          </w:tcPr>
          <w:p w14:paraId="5F2D0288" w14:textId="77777777" w:rsidR="00E836FB" w:rsidRDefault="00E836FB">
            <w:pPr>
              <w:rPr>
                <w:rFonts w:ascii="宋体"/>
                <w:vanish/>
              </w:rPr>
            </w:pPr>
          </w:p>
        </w:tc>
        <w:tc>
          <w:tcPr>
            <w:tcW w:w="0" w:type="auto"/>
            <w:gridSpan w:val="3"/>
            <w:shd w:val="clear" w:color="auto" w:fill="auto"/>
            <w:vAlign w:val="bottom"/>
          </w:tcPr>
          <w:p w14:paraId="5F2D0289" w14:textId="77777777" w:rsidR="00E836FB" w:rsidRDefault="00E836FB">
            <w:pPr>
              <w:rPr>
                <w:rFonts w:ascii="宋体"/>
                <w:vanish/>
              </w:rPr>
            </w:pPr>
          </w:p>
        </w:tc>
        <w:tc>
          <w:tcPr>
            <w:tcW w:w="0" w:type="auto"/>
            <w:gridSpan w:val="3"/>
            <w:shd w:val="clear" w:color="auto" w:fill="auto"/>
            <w:vAlign w:val="bottom"/>
          </w:tcPr>
          <w:p w14:paraId="5F2D028A" w14:textId="77777777" w:rsidR="00E836FB" w:rsidRDefault="00E836FB">
            <w:pPr>
              <w:rPr>
                <w:rFonts w:ascii="宋体"/>
                <w:vanish/>
              </w:rPr>
            </w:pPr>
          </w:p>
        </w:tc>
        <w:tc>
          <w:tcPr>
            <w:tcW w:w="0" w:type="auto"/>
            <w:gridSpan w:val="3"/>
            <w:shd w:val="clear" w:color="auto" w:fill="auto"/>
            <w:vAlign w:val="bottom"/>
          </w:tcPr>
          <w:p w14:paraId="5F2D028B" w14:textId="77777777" w:rsidR="00E836FB" w:rsidRDefault="00E836FB">
            <w:pPr>
              <w:rPr>
                <w:rFonts w:ascii="宋体"/>
                <w:vanish/>
              </w:rPr>
            </w:pPr>
          </w:p>
        </w:tc>
        <w:tc>
          <w:tcPr>
            <w:tcW w:w="0" w:type="auto"/>
            <w:gridSpan w:val="3"/>
            <w:shd w:val="clear" w:color="auto" w:fill="auto"/>
            <w:vAlign w:val="bottom"/>
          </w:tcPr>
          <w:p w14:paraId="5F2D028C" w14:textId="77777777" w:rsidR="00E836FB" w:rsidRDefault="00E836FB">
            <w:pPr>
              <w:rPr>
                <w:rFonts w:ascii="宋体"/>
                <w:vanish/>
              </w:rPr>
            </w:pPr>
          </w:p>
        </w:tc>
        <w:tc>
          <w:tcPr>
            <w:tcW w:w="0" w:type="auto"/>
            <w:gridSpan w:val="2"/>
            <w:shd w:val="clear" w:color="auto" w:fill="auto"/>
            <w:vAlign w:val="bottom"/>
          </w:tcPr>
          <w:p w14:paraId="5F2D028D" w14:textId="77777777" w:rsidR="00E836FB" w:rsidRDefault="00E836FB">
            <w:pPr>
              <w:rPr>
                <w:rFonts w:ascii="宋体"/>
                <w:vanish/>
              </w:rPr>
            </w:pPr>
          </w:p>
        </w:tc>
        <w:tc>
          <w:tcPr>
            <w:tcW w:w="0" w:type="auto"/>
            <w:shd w:val="clear" w:color="auto" w:fill="auto"/>
            <w:vAlign w:val="bottom"/>
          </w:tcPr>
          <w:p w14:paraId="5F2D028E" w14:textId="77777777" w:rsidR="00E836FB" w:rsidRDefault="00E836FB">
            <w:pPr>
              <w:rPr>
                <w:rFonts w:ascii="宋体"/>
                <w:vanish/>
              </w:rPr>
            </w:pPr>
          </w:p>
        </w:tc>
      </w:tr>
      <w:tr w:rsidR="00E836FB" w14:paraId="5F2D02A6" w14:textId="77777777">
        <w:trPr>
          <w:hidden/>
        </w:trPr>
        <w:tc>
          <w:tcPr>
            <w:tcW w:w="0" w:type="auto"/>
            <w:gridSpan w:val="3"/>
            <w:shd w:val="clear" w:color="auto" w:fill="auto"/>
            <w:vAlign w:val="bottom"/>
          </w:tcPr>
          <w:p w14:paraId="5F2D0290" w14:textId="77777777" w:rsidR="00E836FB" w:rsidRDefault="00E836FB">
            <w:pPr>
              <w:rPr>
                <w:rFonts w:ascii="宋体"/>
                <w:vanish/>
              </w:rPr>
            </w:pPr>
          </w:p>
        </w:tc>
        <w:tc>
          <w:tcPr>
            <w:tcW w:w="0" w:type="auto"/>
            <w:gridSpan w:val="3"/>
            <w:shd w:val="clear" w:color="auto" w:fill="auto"/>
            <w:vAlign w:val="bottom"/>
          </w:tcPr>
          <w:p w14:paraId="5F2D0291" w14:textId="77777777" w:rsidR="00E836FB" w:rsidRDefault="00E836FB">
            <w:pPr>
              <w:rPr>
                <w:rFonts w:ascii="宋体"/>
                <w:vanish/>
              </w:rPr>
            </w:pPr>
          </w:p>
        </w:tc>
        <w:tc>
          <w:tcPr>
            <w:tcW w:w="0" w:type="auto"/>
            <w:gridSpan w:val="3"/>
            <w:shd w:val="clear" w:color="auto" w:fill="auto"/>
            <w:vAlign w:val="bottom"/>
          </w:tcPr>
          <w:p w14:paraId="5F2D0292" w14:textId="77777777" w:rsidR="00E836FB" w:rsidRDefault="00E836FB">
            <w:pPr>
              <w:rPr>
                <w:rFonts w:ascii="宋体"/>
                <w:vanish/>
              </w:rPr>
            </w:pPr>
          </w:p>
        </w:tc>
        <w:tc>
          <w:tcPr>
            <w:tcW w:w="0" w:type="auto"/>
            <w:gridSpan w:val="3"/>
            <w:shd w:val="clear" w:color="auto" w:fill="auto"/>
            <w:vAlign w:val="bottom"/>
          </w:tcPr>
          <w:p w14:paraId="5F2D0293" w14:textId="77777777" w:rsidR="00E836FB" w:rsidRDefault="00E836FB">
            <w:pPr>
              <w:rPr>
                <w:rFonts w:ascii="宋体"/>
                <w:vanish/>
              </w:rPr>
            </w:pPr>
          </w:p>
        </w:tc>
        <w:tc>
          <w:tcPr>
            <w:tcW w:w="0" w:type="auto"/>
            <w:gridSpan w:val="3"/>
            <w:shd w:val="clear" w:color="auto" w:fill="auto"/>
            <w:vAlign w:val="bottom"/>
          </w:tcPr>
          <w:p w14:paraId="5F2D0294" w14:textId="77777777" w:rsidR="00E836FB" w:rsidRDefault="00E836FB">
            <w:pPr>
              <w:rPr>
                <w:rFonts w:ascii="宋体"/>
                <w:vanish/>
              </w:rPr>
            </w:pPr>
          </w:p>
        </w:tc>
        <w:tc>
          <w:tcPr>
            <w:tcW w:w="0" w:type="auto"/>
            <w:gridSpan w:val="3"/>
            <w:shd w:val="clear" w:color="auto" w:fill="auto"/>
            <w:vAlign w:val="bottom"/>
          </w:tcPr>
          <w:p w14:paraId="5F2D0295" w14:textId="77777777" w:rsidR="00E836FB" w:rsidRDefault="00E836FB">
            <w:pPr>
              <w:rPr>
                <w:rFonts w:ascii="宋体"/>
                <w:vanish/>
              </w:rPr>
            </w:pPr>
          </w:p>
        </w:tc>
        <w:tc>
          <w:tcPr>
            <w:tcW w:w="0" w:type="auto"/>
            <w:gridSpan w:val="3"/>
            <w:shd w:val="clear" w:color="auto" w:fill="auto"/>
            <w:vAlign w:val="bottom"/>
          </w:tcPr>
          <w:p w14:paraId="5F2D0296" w14:textId="77777777" w:rsidR="00E836FB" w:rsidRDefault="00E836FB">
            <w:pPr>
              <w:rPr>
                <w:rFonts w:ascii="宋体"/>
                <w:vanish/>
              </w:rPr>
            </w:pPr>
          </w:p>
        </w:tc>
        <w:tc>
          <w:tcPr>
            <w:tcW w:w="0" w:type="auto"/>
            <w:gridSpan w:val="3"/>
            <w:shd w:val="clear" w:color="auto" w:fill="auto"/>
            <w:vAlign w:val="bottom"/>
          </w:tcPr>
          <w:p w14:paraId="5F2D0297" w14:textId="77777777" w:rsidR="00E836FB" w:rsidRDefault="00E836FB">
            <w:pPr>
              <w:rPr>
                <w:rFonts w:ascii="宋体"/>
                <w:vanish/>
              </w:rPr>
            </w:pPr>
          </w:p>
        </w:tc>
        <w:tc>
          <w:tcPr>
            <w:tcW w:w="0" w:type="auto"/>
            <w:gridSpan w:val="3"/>
            <w:shd w:val="clear" w:color="auto" w:fill="auto"/>
            <w:vAlign w:val="bottom"/>
          </w:tcPr>
          <w:p w14:paraId="5F2D0298" w14:textId="77777777" w:rsidR="00E836FB" w:rsidRDefault="00E836FB">
            <w:pPr>
              <w:rPr>
                <w:rFonts w:ascii="宋体"/>
                <w:vanish/>
              </w:rPr>
            </w:pPr>
          </w:p>
        </w:tc>
        <w:tc>
          <w:tcPr>
            <w:tcW w:w="0" w:type="auto"/>
            <w:shd w:val="clear" w:color="auto" w:fill="auto"/>
            <w:vAlign w:val="bottom"/>
          </w:tcPr>
          <w:p w14:paraId="5F2D0299" w14:textId="77777777" w:rsidR="00E836FB" w:rsidRDefault="00E836FB">
            <w:pPr>
              <w:rPr>
                <w:rFonts w:ascii="宋体"/>
                <w:vanish/>
              </w:rPr>
            </w:pPr>
          </w:p>
        </w:tc>
        <w:tc>
          <w:tcPr>
            <w:tcW w:w="0" w:type="auto"/>
            <w:shd w:val="clear" w:color="auto" w:fill="auto"/>
            <w:vAlign w:val="bottom"/>
          </w:tcPr>
          <w:p w14:paraId="5F2D029A" w14:textId="77777777" w:rsidR="00E836FB" w:rsidRDefault="00E836FB">
            <w:pPr>
              <w:rPr>
                <w:rFonts w:ascii="宋体"/>
                <w:vanish/>
              </w:rPr>
            </w:pPr>
          </w:p>
        </w:tc>
        <w:tc>
          <w:tcPr>
            <w:tcW w:w="0" w:type="auto"/>
            <w:gridSpan w:val="3"/>
            <w:shd w:val="clear" w:color="auto" w:fill="auto"/>
            <w:vAlign w:val="bottom"/>
          </w:tcPr>
          <w:p w14:paraId="5F2D029B" w14:textId="77777777" w:rsidR="00E836FB" w:rsidRDefault="00E836FB">
            <w:pPr>
              <w:rPr>
                <w:rFonts w:ascii="宋体"/>
                <w:vanish/>
              </w:rPr>
            </w:pPr>
          </w:p>
        </w:tc>
        <w:tc>
          <w:tcPr>
            <w:tcW w:w="0" w:type="auto"/>
            <w:gridSpan w:val="3"/>
            <w:shd w:val="clear" w:color="auto" w:fill="auto"/>
            <w:vAlign w:val="bottom"/>
          </w:tcPr>
          <w:p w14:paraId="5F2D029C" w14:textId="77777777" w:rsidR="00E836FB" w:rsidRDefault="00E836FB">
            <w:pPr>
              <w:rPr>
                <w:rFonts w:ascii="宋体"/>
                <w:vanish/>
              </w:rPr>
            </w:pPr>
          </w:p>
        </w:tc>
        <w:tc>
          <w:tcPr>
            <w:tcW w:w="0" w:type="auto"/>
            <w:gridSpan w:val="3"/>
            <w:shd w:val="clear" w:color="auto" w:fill="auto"/>
            <w:vAlign w:val="bottom"/>
          </w:tcPr>
          <w:p w14:paraId="5F2D029D" w14:textId="77777777" w:rsidR="00E836FB" w:rsidRDefault="00E836FB">
            <w:pPr>
              <w:rPr>
                <w:rFonts w:ascii="宋体"/>
                <w:vanish/>
              </w:rPr>
            </w:pPr>
          </w:p>
        </w:tc>
        <w:tc>
          <w:tcPr>
            <w:tcW w:w="0" w:type="auto"/>
            <w:gridSpan w:val="3"/>
            <w:shd w:val="clear" w:color="auto" w:fill="auto"/>
            <w:vAlign w:val="bottom"/>
          </w:tcPr>
          <w:p w14:paraId="5F2D029E" w14:textId="77777777" w:rsidR="00E836FB" w:rsidRDefault="00E836FB">
            <w:pPr>
              <w:rPr>
                <w:rFonts w:ascii="宋体"/>
                <w:vanish/>
              </w:rPr>
            </w:pPr>
          </w:p>
        </w:tc>
        <w:tc>
          <w:tcPr>
            <w:tcW w:w="0" w:type="auto"/>
            <w:gridSpan w:val="3"/>
            <w:shd w:val="clear" w:color="auto" w:fill="auto"/>
            <w:vAlign w:val="bottom"/>
          </w:tcPr>
          <w:p w14:paraId="5F2D029F" w14:textId="77777777" w:rsidR="00E836FB" w:rsidRDefault="00E836FB">
            <w:pPr>
              <w:rPr>
                <w:rFonts w:ascii="宋体"/>
                <w:vanish/>
              </w:rPr>
            </w:pPr>
          </w:p>
        </w:tc>
        <w:tc>
          <w:tcPr>
            <w:tcW w:w="0" w:type="auto"/>
            <w:gridSpan w:val="3"/>
            <w:shd w:val="clear" w:color="auto" w:fill="auto"/>
            <w:vAlign w:val="bottom"/>
          </w:tcPr>
          <w:p w14:paraId="5F2D02A0" w14:textId="77777777" w:rsidR="00E836FB" w:rsidRDefault="00E836FB">
            <w:pPr>
              <w:rPr>
                <w:rFonts w:ascii="宋体"/>
                <w:vanish/>
              </w:rPr>
            </w:pPr>
          </w:p>
        </w:tc>
        <w:tc>
          <w:tcPr>
            <w:tcW w:w="0" w:type="auto"/>
            <w:gridSpan w:val="3"/>
            <w:shd w:val="clear" w:color="auto" w:fill="auto"/>
            <w:vAlign w:val="bottom"/>
          </w:tcPr>
          <w:p w14:paraId="5F2D02A1" w14:textId="77777777" w:rsidR="00E836FB" w:rsidRDefault="00E836FB">
            <w:pPr>
              <w:rPr>
                <w:rFonts w:ascii="宋体"/>
                <w:vanish/>
              </w:rPr>
            </w:pPr>
          </w:p>
        </w:tc>
        <w:tc>
          <w:tcPr>
            <w:tcW w:w="0" w:type="auto"/>
            <w:gridSpan w:val="3"/>
            <w:shd w:val="clear" w:color="auto" w:fill="auto"/>
            <w:vAlign w:val="bottom"/>
          </w:tcPr>
          <w:p w14:paraId="5F2D02A2" w14:textId="77777777" w:rsidR="00E836FB" w:rsidRDefault="00E836FB">
            <w:pPr>
              <w:rPr>
                <w:rFonts w:ascii="宋体"/>
                <w:vanish/>
              </w:rPr>
            </w:pPr>
          </w:p>
        </w:tc>
        <w:tc>
          <w:tcPr>
            <w:tcW w:w="0" w:type="auto"/>
            <w:gridSpan w:val="3"/>
            <w:shd w:val="clear" w:color="auto" w:fill="auto"/>
            <w:vAlign w:val="bottom"/>
          </w:tcPr>
          <w:p w14:paraId="5F2D02A3" w14:textId="77777777" w:rsidR="00E836FB" w:rsidRDefault="00E836FB">
            <w:pPr>
              <w:rPr>
                <w:rFonts w:ascii="宋体"/>
                <w:vanish/>
              </w:rPr>
            </w:pPr>
          </w:p>
        </w:tc>
        <w:tc>
          <w:tcPr>
            <w:tcW w:w="0" w:type="auto"/>
            <w:gridSpan w:val="2"/>
            <w:shd w:val="clear" w:color="auto" w:fill="auto"/>
            <w:vAlign w:val="bottom"/>
          </w:tcPr>
          <w:p w14:paraId="5F2D02A4" w14:textId="77777777" w:rsidR="00E836FB" w:rsidRDefault="00E836FB">
            <w:pPr>
              <w:rPr>
                <w:rFonts w:ascii="宋体"/>
                <w:vanish/>
              </w:rPr>
            </w:pPr>
          </w:p>
        </w:tc>
        <w:tc>
          <w:tcPr>
            <w:tcW w:w="0" w:type="auto"/>
            <w:shd w:val="clear" w:color="auto" w:fill="auto"/>
            <w:vAlign w:val="bottom"/>
          </w:tcPr>
          <w:p w14:paraId="5F2D02A5" w14:textId="77777777" w:rsidR="00E836FB" w:rsidRDefault="00E836FB">
            <w:pPr>
              <w:rPr>
                <w:rFonts w:ascii="宋体"/>
                <w:vanish/>
              </w:rPr>
            </w:pPr>
          </w:p>
        </w:tc>
      </w:tr>
      <w:tr w:rsidR="00E836FB" w14:paraId="5F2D02BD" w14:textId="77777777">
        <w:trPr>
          <w:hidden/>
        </w:trPr>
        <w:tc>
          <w:tcPr>
            <w:tcW w:w="0" w:type="auto"/>
            <w:gridSpan w:val="3"/>
            <w:shd w:val="clear" w:color="auto" w:fill="auto"/>
            <w:vAlign w:val="bottom"/>
          </w:tcPr>
          <w:p w14:paraId="5F2D02A7" w14:textId="77777777" w:rsidR="00E836FB" w:rsidRDefault="00E836FB">
            <w:pPr>
              <w:rPr>
                <w:rFonts w:ascii="宋体"/>
                <w:vanish/>
              </w:rPr>
            </w:pPr>
          </w:p>
        </w:tc>
        <w:tc>
          <w:tcPr>
            <w:tcW w:w="0" w:type="auto"/>
            <w:gridSpan w:val="3"/>
            <w:shd w:val="clear" w:color="auto" w:fill="auto"/>
            <w:vAlign w:val="bottom"/>
          </w:tcPr>
          <w:p w14:paraId="5F2D02A8" w14:textId="77777777" w:rsidR="00E836FB" w:rsidRDefault="00E836FB">
            <w:pPr>
              <w:rPr>
                <w:rFonts w:ascii="宋体"/>
                <w:vanish/>
              </w:rPr>
            </w:pPr>
          </w:p>
        </w:tc>
        <w:tc>
          <w:tcPr>
            <w:tcW w:w="0" w:type="auto"/>
            <w:gridSpan w:val="3"/>
            <w:shd w:val="clear" w:color="auto" w:fill="auto"/>
            <w:vAlign w:val="bottom"/>
          </w:tcPr>
          <w:p w14:paraId="5F2D02A9" w14:textId="77777777" w:rsidR="00E836FB" w:rsidRDefault="00E836FB">
            <w:pPr>
              <w:rPr>
                <w:rFonts w:ascii="宋体"/>
                <w:vanish/>
              </w:rPr>
            </w:pPr>
          </w:p>
        </w:tc>
        <w:tc>
          <w:tcPr>
            <w:tcW w:w="0" w:type="auto"/>
            <w:gridSpan w:val="3"/>
            <w:shd w:val="clear" w:color="auto" w:fill="auto"/>
            <w:vAlign w:val="bottom"/>
          </w:tcPr>
          <w:p w14:paraId="5F2D02AA" w14:textId="77777777" w:rsidR="00E836FB" w:rsidRDefault="00E836FB">
            <w:pPr>
              <w:rPr>
                <w:rFonts w:ascii="宋体"/>
                <w:vanish/>
              </w:rPr>
            </w:pPr>
          </w:p>
        </w:tc>
        <w:tc>
          <w:tcPr>
            <w:tcW w:w="0" w:type="auto"/>
            <w:gridSpan w:val="3"/>
            <w:shd w:val="clear" w:color="auto" w:fill="auto"/>
            <w:vAlign w:val="bottom"/>
          </w:tcPr>
          <w:p w14:paraId="5F2D02AB" w14:textId="77777777" w:rsidR="00E836FB" w:rsidRDefault="00E836FB">
            <w:pPr>
              <w:rPr>
                <w:rFonts w:ascii="宋体"/>
                <w:vanish/>
              </w:rPr>
            </w:pPr>
          </w:p>
        </w:tc>
        <w:tc>
          <w:tcPr>
            <w:tcW w:w="0" w:type="auto"/>
            <w:gridSpan w:val="3"/>
            <w:shd w:val="clear" w:color="auto" w:fill="auto"/>
            <w:vAlign w:val="bottom"/>
          </w:tcPr>
          <w:p w14:paraId="5F2D02AC" w14:textId="77777777" w:rsidR="00E836FB" w:rsidRDefault="00E836FB">
            <w:pPr>
              <w:rPr>
                <w:rFonts w:ascii="宋体"/>
                <w:vanish/>
              </w:rPr>
            </w:pPr>
          </w:p>
        </w:tc>
        <w:tc>
          <w:tcPr>
            <w:tcW w:w="0" w:type="auto"/>
            <w:gridSpan w:val="3"/>
            <w:shd w:val="clear" w:color="auto" w:fill="auto"/>
            <w:vAlign w:val="bottom"/>
          </w:tcPr>
          <w:p w14:paraId="5F2D02AD" w14:textId="77777777" w:rsidR="00E836FB" w:rsidRDefault="00E836FB">
            <w:pPr>
              <w:rPr>
                <w:rFonts w:ascii="宋体"/>
                <w:vanish/>
              </w:rPr>
            </w:pPr>
          </w:p>
        </w:tc>
        <w:tc>
          <w:tcPr>
            <w:tcW w:w="0" w:type="auto"/>
            <w:gridSpan w:val="3"/>
            <w:shd w:val="clear" w:color="auto" w:fill="auto"/>
            <w:vAlign w:val="bottom"/>
          </w:tcPr>
          <w:p w14:paraId="5F2D02AE" w14:textId="77777777" w:rsidR="00E836FB" w:rsidRDefault="00E836FB">
            <w:pPr>
              <w:rPr>
                <w:rFonts w:ascii="宋体"/>
                <w:vanish/>
              </w:rPr>
            </w:pPr>
          </w:p>
        </w:tc>
        <w:tc>
          <w:tcPr>
            <w:tcW w:w="0" w:type="auto"/>
            <w:gridSpan w:val="3"/>
            <w:shd w:val="clear" w:color="auto" w:fill="auto"/>
            <w:vAlign w:val="bottom"/>
          </w:tcPr>
          <w:p w14:paraId="5F2D02AF" w14:textId="77777777" w:rsidR="00E836FB" w:rsidRDefault="00E836FB">
            <w:pPr>
              <w:rPr>
                <w:rFonts w:ascii="宋体"/>
                <w:vanish/>
              </w:rPr>
            </w:pPr>
          </w:p>
        </w:tc>
        <w:tc>
          <w:tcPr>
            <w:tcW w:w="0" w:type="auto"/>
            <w:shd w:val="clear" w:color="auto" w:fill="auto"/>
            <w:vAlign w:val="bottom"/>
          </w:tcPr>
          <w:p w14:paraId="5F2D02B0" w14:textId="77777777" w:rsidR="00E836FB" w:rsidRDefault="00E836FB">
            <w:pPr>
              <w:rPr>
                <w:rFonts w:ascii="宋体"/>
                <w:vanish/>
              </w:rPr>
            </w:pPr>
          </w:p>
        </w:tc>
        <w:tc>
          <w:tcPr>
            <w:tcW w:w="0" w:type="auto"/>
            <w:shd w:val="clear" w:color="auto" w:fill="auto"/>
            <w:vAlign w:val="bottom"/>
          </w:tcPr>
          <w:p w14:paraId="5F2D02B1" w14:textId="77777777" w:rsidR="00E836FB" w:rsidRDefault="00E836FB">
            <w:pPr>
              <w:rPr>
                <w:rFonts w:ascii="宋体"/>
                <w:vanish/>
              </w:rPr>
            </w:pPr>
          </w:p>
        </w:tc>
        <w:tc>
          <w:tcPr>
            <w:tcW w:w="0" w:type="auto"/>
            <w:gridSpan w:val="3"/>
            <w:shd w:val="clear" w:color="auto" w:fill="auto"/>
            <w:vAlign w:val="bottom"/>
          </w:tcPr>
          <w:p w14:paraId="5F2D02B2" w14:textId="77777777" w:rsidR="00E836FB" w:rsidRDefault="00E836FB">
            <w:pPr>
              <w:rPr>
                <w:rFonts w:ascii="宋体"/>
                <w:vanish/>
              </w:rPr>
            </w:pPr>
          </w:p>
        </w:tc>
        <w:tc>
          <w:tcPr>
            <w:tcW w:w="0" w:type="auto"/>
            <w:gridSpan w:val="3"/>
            <w:shd w:val="clear" w:color="auto" w:fill="auto"/>
            <w:vAlign w:val="bottom"/>
          </w:tcPr>
          <w:p w14:paraId="5F2D02B3" w14:textId="77777777" w:rsidR="00E836FB" w:rsidRDefault="00E836FB">
            <w:pPr>
              <w:rPr>
                <w:rFonts w:ascii="宋体"/>
                <w:vanish/>
              </w:rPr>
            </w:pPr>
          </w:p>
        </w:tc>
        <w:tc>
          <w:tcPr>
            <w:tcW w:w="0" w:type="auto"/>
            <w:gridSpan w:val="3"/>
            <w:shd w:val="clear" w:color="auto" w:fill="auto"/>
            <w:vAlign w:val="bottom"/>
          </w:tcPr>
          <w:p w14:paraId="5F2D02B4" w14:textId="77777777" w:rsidR="00E836FB" w:rsidRDefault="00E836FB">
            <w:pPr>
              <w:rPr>
                <w:rFonts w:ascii="宋体"/>
                <w:vanish/>
              </w:rPr>
            </w:pPr>
          </w:p>
        </w:tc>
        <w:tc>
          <w:tcPr>
            <w:tcW w:w="0" w:type="auto"/>
            <w:gridSpan w:val="3"/>
            <w:shd w:val="clear" w:color="auto" w:fill="auto"/>
            <w:vAlign w:val="bottom"/>
          </w:tcPr>
          <w:p w14:paraId="5F2D02B5" w14:textId="77777777" w:rsidR="00E836FB" w:rsidRDefault="00E836FB">
            <w:pPr>
              <w:rPr>
                <w:rFonts w:ascii="宋体"/>
                <w:vanish/>
              </w:rPr>
            </w:pPr>
          </w:p>
        </w:tc>
        <w:tc>
          <w:tcPr>
            <w:tcW w:w="0" w:type="auto"/>
            <w:gridSpan w:val="3"/>
            <w:shd w:val="clear" w:color="auto" w:fill="auto"/>
            <w:vAlign w:val="bottom"/>
          </w:tcPr>
          <w:p w14:paraId="5F2D02B6" w14:textId="77777777" w:rsidR="00E836FB" w:rsidRDefault="00E836FB">
            <w:pPr>
              <w:rPr>
                <w:rFonts w:ascii="宋体"/>
                <w:vanish/>
              </w:rPr>
            </w:pPr>
          </w:p>
        </w:tc>
        <w:tc>
          <w:tcPr>
            <w:tcW w:w="0" w:type="auto"/>
            <w:gridSpan w:val="3"/>
            <w:shd w:val="clear" w:color="auto" w:fill="auto"/>
            <w:vAlign w:val="bottom"/>
          </w:tcPr>
          <w:p w14:paraId="5F2D02B7" w14:textId="77777777" w:rsidR="00E836FB" w:rsidRDefault="00E836FB">
            <w:pPr>
              <w:rPr>
                <w:rFonts w:ascii="宋体"/>
                <w:vanish/>
              </w:rPr>
            </w:pPr>
          </w:p>
        </w:tc>
        <w:tc>
          <w:tcPr>
            <w:tcW w:w="0" w:type="auto"/>
            <w:gridSpan w:val="3"/>
            <w:shd w:val="clear" w:color="auto" w:fill="auto"/>
            <w:vAlign w:val="bottom"/>
          </w:tcPr>
          <w:p w14:paraId="5F2D02B8" w14:textId="77777777" w:rsidR="00E836FB" w:rsidRDefault="00E836FB">
            <w:pPr>
              <w:rPr>
                <w:rFonts w:ascii="宋体"/>
                <w:vanish/>
              </w:rPr>
            </w:pPr>
          </w:p>
        </w:tc>
        <w:tc>
          <w:tcPr>
            <w:tcW w:w="0" w:type="auto"/>
            <w:gridSpan w:val="3"/>
            <w:shd w:val="clear" w:color="auto" w:fill="auto"/>
            <w:vAlign w:val="bottom"/>
          </w:tcPr>
          <w:p w14:paraId="5F2D02B9" w14:textId="77777777" w:rsidR="00E836FB" w:rsidRDefault="00E836FB">
            <w:pPr>
              <w:rPr>
                <w:rFonts w:ascii="宋体"/>
                <w:vanish/>
              </w:rPr>
            </w:pPr>
          </w:p>
        </w:tc>
        <w:tc>
          <w:tcPr>
            <w:tcW w:w="0" w:type="auto"/>
            <w:gridSpan w:val="3"/>
            <w:shd w:val="clear" w:color="auto" w:fill="auto"/>
            <w:vAlign w:val="bottom"/>
          </w:tcPr>
          <w:p w14:paraId="5F2D02BA" w14:textId="77777777" w:rsidR="00E836FB" w:rsidRDefault="00E836FB">
            <w:pPr>
              <w:rPr>
                <w:rFonts w:ascii="宋体"/>
                <w:vanish/>
              </w:rPr>
            </w:pPr>
          </w:p>
        </w:tc>
        <w:tc>
          <w:tcPr>
            <w:tcW w:w="0" w:type="auto"/>
            <w:gridSpan w:val="2"/>
            <w:shd w:val="clear" w:color="auto" w:fill="auto"/>
            <w:vAlign w:val="bottom"/>
          </w:tcPr>
          <w:p w14:paraId="5F2D02BB" w14:textId="77777777" w:rsidR="00E836FB" w:rsidRDefault="00E836FB">
            <w:pPr>
              <w:rPr>
                <w:rFonts w:ascii="宋体"/>
                <w:vanish/>
              </w:rPr>
            </w:pPr>
          </w:p>
        </w:tc>
        <w:tc>
          <w:tcPr>
            <w:tcW w:w="0" w:type="auto"/>
            <w:shd w:val="clear" w:color="auto" w:fill="auto"/>
            <w:vAlign w:val="bottom"/>
          </w:tcPr>
          <w:p w14:paraId="5F2D02BC" w14:textId="77777777" w:rsidR="00E836FB" w:rsidRDefault="00E836FB">
            <w:pPr>
              <w:rPr>
                <w:rFonts w:ascii="宋体"/>
                <w:vanish/>
              </w:rPr>
            </w:pPr>
          </w:p>
        </w:tc>
      </w:tr>
      <w:tr w:rsidR="00E836FB" w14:paraId="5F2D02D4" w14:textId="77777777">
        <w:trPr>
          <w:hidden/>
        </w:trPr>
        <w:tc>
          <w:tcPr>
            <w:tcW w:w="0" w:type="auto"/>
            <w:gridSpan w:val="3"/>
            <w:shd w:val="clear" w:color="auto" w:fill="auto"/>
            <w:vAlign w:val="bottom"/>
          </w:tcPr>
          <w:p w14:paraId="5F2D02BE" w14:textId="77777777" w:rsidR="00E836FB" w:rsidRDefault="00E836FB">
            <w:pPr>
              <w:rPr>
                <w:rFonts w:ascii="宋体"/>
                <w:vanish/>
              </w:rPr>
            </w:pPr>
          </w:p>
        </w:tc>
        <w:tc>
          <w:tcPr>
            <w:tcW w:w="0" w:type="auto"/>
            <w:gridSpan w:val="3"/>
            <w:shd w:val="clear" w:color="auto" w:fill="auto"/>
            <w:vAlign w:val="bottom"/>
          </w:tcPr>
          <w:p w14:paraId="5F2D02BF" w14:textId="77777777" w:rsidR="00E836FB" w:rsidRDefault="00E836FB">
            <w:pPr>
              <w:rPr>
                <w:rFonts w:ascii="宋体"/>
                <w:vanish/>
              </w:rPr>
            </w:pPr>
          </w:p>
        </w:tc>
        <w:tc>
          <w:tcPr>
            <w:tcW w:w="0" w:type="auto"/>
            <w:gridSpan w:val="3"/>
            <w:shd w:val="clear" w:color="auto" w:fill="auto"/>
            <w:vAlign w:val="bottom"/>
          </w:tcPr>
          <w:p w14:paraId="5F2D02C0" w14:textId="77777777" w:rsidR="00E836FB" w:rsidRDefault="00E836FB">
            <w:pPr>
              <w:rPr>
                <w:rFonts w:ascii="宋体"/>
                <w:vanish/>
              </w:rPr>
            </w:pPr>
          </w:p>
        </w:tc>
        <w:tc>
          <w:tcPr>
            <w:tcW w:w="0" w:type="auto"/>
            <w:gridSpan w:val="3"/>
            <w:shd w:val="clear" w:color="auto" w:fill="auto"/>
            <w:vAlign w:val="bottom"/>
          </w:tcPr>
          <w:p w14:paraId="5F2D02C1" w14:textId="77777777" w:rsidR="00E836FB" w:rsidRDefault="00E836FB">
            <w:pPr>
              <w:rPr>
                <w:rFonts w:ascii="宋体"/>
                <w:vanish/>
              </w:rPr>
            </w:pPr>
          </w:p>
        </w:tc>
        <w:tc>
          <w:tcPr>
            <w:tcW w:w="0" w:type="auto"/>
            <w:gridSpan w:val="3"/>
            <w:shd w:val="clear" w:color="auto" w:fill="auto"/>
            <w:vAlign w:val="bottom"/>
          </w:tcPr>
          <w:p w14:paraId="5F2D02C2" w14:textId="77777777" w:rsidR="00E836FB" w:rsidRDefault="00E836FB">
            <w:pPr>
              <w:rPr>
                <w:rFonts w:ascii="宋体"/>
                <w:vanish/>
              </w:rPr>
            </w:pPr>
          </w:p>
        </w:tc>
        <w:tc>
          <w:tcPr>
            <w:tcW w:w="0" w:type="auto"/>
            <w:gridSpan w:val="3"/>
            <w:shd w:val="clear" w:color="auto" w:fill="auto"/>
            <w:vAlign w:val="bottom"/>
          </w:tcPr>
          <w:p w14:paraId="5F2D02C3" w14:textId="77777777" w:rsidR="00E836FB" w:rsidRDefault="00E836FB">
            <w:pPr>
              <w:rPr>
                <w:rFonts w:ascii="宋体"/>
                <w:vanish/>
              </w:rPr>
            </w:pPr>
          </w:p>
        </w:tc>
        <w:tc>
          <w:tcPr>
            <w:tcW w:w="0" w:type="auto"/>
            <w:gridSpan w:val="3"/>
            <w:shd w:val="clear" w:color="auto" w:fill="auto"/>
            <w:vAlign w:val="bottom"/>
          </w:tcPr>
          <w:p w14:paraId="5F2D02C4" w14:textId="77777777" w:rsidR="00E836FB" w:rsidRDefault="00E836FB">
            <w:pPr>
              <w:rPr>
                <w:rFonts w:ascii="宋体"/>
                <w:vanish/>
              </w:rPr>
            </w:pPr>
          </w:p>
        </w:tc>
        <w:tc>
          <w:tcPr>
            <w:tcW w:w="0" w:type="auto"/>
            <w:gridSpan w:val="3"/>
            <w:shd w:val="clear" w:color="auto" w:fill="auto"/>
            <w:vAlign w:val="bottom"/>
          </w:tcPr>
          <w:p w14:paraId="5F2D02C5" w14:textId="77777777" w:rsidR="00E836FB" w:rsidRDefault="00E836FB">
            <w:pPr>
              <w:rPr>
                <w:rFonts w:ascii="宋体"/>
                <w:vanish/>
              </w:rPr>
            </w:pPr>
          </w:p>
        </w:tc>
        <w:tc>
          <w:tcPr>
            <w:tcW w:w="0" w:type="auto"/>
            <w:gridSpan w:val="3"/>
            <w:shd w:val="clear" w:color="auto" w:fill="auto"/>
            <w:vAlign w:val="bottom"/>
          </w:tcPr>
          <w:p w14:paraId="5F2D02C6" w14:textId="77777777" w:rsidR="00E836FB" w:rsidRDefault="00E836FB">
            <w:pPr>
              <w:rPr>
                <w:rFonts w:ascii="宋体"/>
                <w:vanish/>
              </w:rPr>
            </w:pPr>
          </w:p>
        </w:tc>
        <w:tc>
          <w:tcPr>
            <w:tcW w:w="0" w:type="auto"/>
            <w:shd w:val="clear" w:color="auto" w:fill="auto"/>
            <w:vAlign w:val="bottom"/>
          </w:tcPr>
          <w:p w14:paraId="5F2D02C7" w14:textId="77777777" w:rsidR="00E836FB" w:rsidRDefault="00E836FB">
            <w:pPr>
              <w:rPr>
                <w:rFonts w:ascii="宋体"/>
                <w:vanish/>
              </w:rPr>
            </w:pPr>
          </w:p>
        </w:tc>
        <w:tc>
          <w:tcPr>
            <w:tcW w:w="0" w:type="auto"/>
            <w:shd w:val="clear" w:color="auto" w:fill="auto"/>
            <w:vAlign w:val="bottom"/>
          </w:tcPr>
          <w:p w14:paraId="5F2D02C8" w14:textId="77777777" w:rsidR="00E836FB" w:rsidRDefault="00E836FB">
            <w:pPr>
              <w:rPr>
                <w:rFonts w:ascii="宋体"/>
                <w:vanish/>
              </w:rPr>
            </w:pPr>
          </w:p>
        </w:tc>
        <w:tc>
          <w:tcPr>
            <w:tcW w:w="0" w:type="auto"/>
            <w:gridSpan w:val="3"/>
            <w:shd w:val="clear" w:color="auto" w:fill="auto"/>
            <w:vAlign w:val="bottom"/>
          </w:tcPr>
          <w:p w14:paraId="5F2D02C9" w14:textId="77777777" w:rsidR="00E836FB" w:rsidRDefault="00E836FB">
            <w:pPr>
              <w:rPr>
                <w:rFonts w:ascii="宋体"/>
                <w:vanish/>
              </w:rPr>
            </w:pPr>
          </w:p>
        </w:tc>
        <w:tc>
          <w:tcPr>
            <w:tcW w:w="0" w:type="auto"/>
            <w:gridSpan w:val="3"/>
            <w:shd w:val="clear" w:color="auto" w:fill="auto"/>
            <w:vAlign w:val="bottom"/>
          </w:tcPr>
          <w:p w14:paraId="5F2D02CA" w14:textId="77777777" w:rsidR="00E836FB" w:rsidRDefault="00E836FB">
            <w:pPr>
              <w:rPr>
                <w:rFonts w:ascii="宋体"/>
                <w:vanish/>
              </w:rPr>
            </w:pPr>
          </w:p>
        </w:tc>
        <w:tc>
          <w:tcPr>
            <w:tcW w:w="0" w:type="auto"/>
            <w:gridSpan w:val="3"/>
            <w:shd w:val="clear" w:color="auto" w:fill="auto"/>
            <w:vAlign w:val="bottom"/>
          </w:tcPr>
          <w:p w14:paraId="5F2D02CB" w14:textId="77777777" w:rsidR="00E836FB" w:rsidRDefault="00E836FB">
            <w:pPr>
              <w:rPr>
                <w:rFonts w:ascii="宋体"/>
                <w:vanish/>
              </w:rPr>
            </w:pPr>
          </w:p>
        </w:tc>
        <w:tc>
          <w:tcPr>
            <w:tcW w:w="0" w:type="auto"/>
            <w:gridSpan w:val="3"/>
            <w:shd w:val="clear" w:color="auto" w:fill="auto"/>
            <w:vAlign w:val="bottom"/>
          </w:tcPr>
          <w:p w14:paraId="5F2D02CC" w14:textId="77777777" w:rsidR="00E836FB" w:rsidRDefault="00E836FB">
            <w:pPr>
              <w:rPr>
                <w:rFonts w:ascii="宋体"/>
                <w:vanish/>
              </w:rPr>
            </w:pPr>
          </w:p>
        </w:tc>
        <w:tc>
          <w:tcPr>
            <w:tcW w:w="0" w:type="auto"/>
            <w:gridSpan w:val="3"/>
            <w:shd w:val="clear" w:color="auto" w:fill="auto"/>
            <w:vAlign w:val="bottom"/>
          </w:tcPr>
          <w:p w14:paraId="5F2D02CD" w14:textId="77777777" w:rsidR="00E836FB" w:rsidRDefault="00E836FB">
            <w:pPr>
              <w:rPr>
                <w:rFonts w:ascii="宋体"/>
                <w:vanish/>
              </w:rPr>
            </w:pPr>
          </w:p>
        </w:tc>
        <w:tc>
          <w:tcPr>
            <w:tcW w:w="0" w:type="auto"/>
            <w:gridSpan w:val="3"/>
            <w:shd w:val="clear" w:color="auto" w:fill="auto"/>
            <w:vAlign w:val="bottom"/>
          </w:tcPr>
          <w:p w14:paraId="5F2D02CE" w14:textId="77777777" w:rsidR="00E836FB" w:rsidRDefault="00E836FB">
            <w:pPr>
              <w:rPr>
                <w:rFonts w:ascii="宋体"/>
                <w:vanish/>
              </w:rPr>
            </w:pPr>
          </w:p>
        </w:tc>
        <w:tc>
          <w:tcPr>
            <w:tcW w:w="0" w:type="auto"/>
            <w:gridSpan w:val="3"/>
            <w:shd w:val="clear" w:color="auto" w:fill="auto"/>
            <w:vAlign w:val="bottom"/>
          </w:tcPr>
          <w:p w14:paraId="5F2D02CF" w14:textId="77777777" w:rsidR="00E836FB" w:rsidRDefault="00E836FB">
            <w:pPr>
              <w:rPr>
                <w:rFonts w:ascii="宋体"/>
                <w:vanish/>
              </w:rPr>
            </w:pPr>
          </w:p>
        </w:tc>
        <w:tc>
          <w:tcPr>
            <w:tcW w:w="0" w:type="auto"/>
            <w:gridSpan w:val="3"/>
            <w:shd w:val="clear" w:color="auto" w:fill="auto"/>
            <w:vAlign w:val="bottom"/>
          </w:tcPr>
          <w:p w14:paraId="5F2D02D0" w14:textId="77777777" w:rsidR="00E836FB" w:rsidRDefault="00E836FB">
            <w:pPr>
              <w:rPr>
                <w:rFonts w:ascii="宋体"/>
                <w:vanish/>
              </w:rPr>
            </w:pPr>
          </w:p>
        </w:tc>
        <w:tc>
          <w:tcPr>
            <w:tcW w:w="0" w:type="auto"/>
            <w:gridSpan w:val="3"/>
            <w:shd w:val="clear" w:color="auto" w:fill="auto"/>
            <w:vAlign w:val="bottom"/>
          </w:tcPr>
          <w:p w14:paraId="5F2D02D1" w14:textId="77777777" w:rsidR="00E836FB" w:rsidRDefault="00E836FB">
            <w:pPr>
              <w:rPr>
                <w:rFonts w:ascii="宋体"/>
                <w:vanish/>
              </w:rPr>
            </w:pPr>
          </w:p>
        </w:tc>
        <w:tc>
          <w:tcPr>
            <w:tcW w:w="0" w:type="auto"/>
            <w:gridSpan w:val="2"/>
            <w:shd w:val="clear" w:color="auto" w:fill="auto"/>
            <w:vAlign w:val="bottom"/>
          </w:tcPr>
          <w:p w14:paraId="5F2D02D2" w14:textId="77777777" w:rsidR="00E836FB" w:rsidRDefault="00E836FB">
            <w:pPr>
              <w:rPr>
                <w:rFonts w:ascii="宋体"/>
                <w:vanish/>
              </w:rPr>
            </w:pPr>
          </w:p>
        </w:tc>
        <w:tc>
          <w:tcPr>
            <w:tcW w:w="0" w:type="auto"/>
            <w:shd w:val="clear" w:color="auto" w:fill="auto"/>
            <w:vAlign w:val="bottom"/>
          </w:tcPr>
          <w:p w14:paraId="5F2D02D3" w14:textId="77777777" w:rsidR="00E836FB" w:rsidRDefault="00E836FB">
            <w:pPr>
              <w:rPr>
                <w:rFonts w:ascii="宋体"/>
                <w:vanish/>
              </w:rPr>
            </w:pPr>
          </w:p>
        </w:tc>
      </w:tr>
      <w:tr w:rsidR="00E836FB" w14:paraId="5F2D02EB" w14:textId="77777777">
        <w:trPr>
          <w:hidden/>
        </w:trPr>
        <w:tc>
          <w:tcPr>
            <w:tcW w:w="0" w:type="auto"/>
            <w:gridSpan w:val="3"/>
            <w:shd w:val="clear" w:color="auto" w:fill="auto"/>
            <w:vAlign w:val="bottom"/>
          </w:tcPr>
          <w:p w14:paraId="5F2D02D5" w14:textId="77777777" w:rsidR="00E836FB" w:rsidRDefault="00E836FB">
            <w:pPr>
              <w:rPr>
                <w:rFonts w:ascii="宋体"/>
                <w:vanish/>
              </w:rPr>
            </w:pPr>
          </w:p>
        </w:tc>
        <w:tc>
          <w:tcPr>
            <w:tcW w:w="0" w:type="auto"/>
            <w:gridSpan w:val="3"/>
            <w:shd w:val="clear" w:color="auto" w:fill="auto"/>
            <w:vAlign w:val="bottom"/>
          </w:tcPr>
          <w:p w14:paraId="5F2D02D6" w14:textId="77777777" w:rsidR="00E836FB" w:rsidRDefault="00E836FB">
            <w:pPr>
              <w:rPr>
                <w:rFonts w:ascii="宋体"/>
                <w:vanish/>
              </w:rPr>
            </w:pPr>
          </w:p>
        </w:tc>
        <w:tc>
          <w:tcPr>
            <w:tcW w:w="0" w:type="auto"/>
            <w:gridSpan w:val="3"/>
            <w:shd w:val="clear" w:color="auto" w:fill="auto"/>
            <w:vAlign w:val="bottom"/>
          </w:tcPr>
          <w:p w14:paraId="5F2D02D7" w14:textId="77777777" w:rsidR="00E836FB" w:rsidRDefault="00E836FB">
            <w:pPr>
              <w:rPr>
                <w:rFonts w:ascii="宋体"/>
                <w:vanish/>
              </w:rPr>
            </w:pPr>
          </w:p>
        </w:tc>
        <w:tc>
          <w:tcPr>
            <w:tcW w:w="0" w:type="auto"/>
            <w:gridSpan w:val="3"/>
            <w:shd w:val="clear" w:color="auto" w:fill="auto"/>
            <w:vAlign w:val="bottom"/>
          </w:tcPr>
          <w:p w14:paraId="5F2D02D8" w14:textId="77777777" w:rsidR="00E836FB" w:rsidRDefault="00E836FB">
            <w:pPr>
              <w:rPr>
                <w:rFonts w:ascii="宋体"/>
                <w:vanish/>
              </w:rPr>
            </w:pPr>
          </w:p>
        </w:tc>
        <w:tc>
          <w:tcPr>
            <w:tcW w:w="0" w:type="auto"/>
            <w:gridSpan w:val="3"/>
            <w:shd w:val="clear" w:color="auto" w:fill="auto"/>
            <w:vAlign w:val="bottom"/>
          </w:tcPr>
          <w:p w14:paraId="5F2D02D9" w14:textId="77777777" w:rsidR="00E836FB" w:rsidRDefault="00E836FB">
            <w:pPr>
              <w:rPr>
                <w:rFonts w:ascii="宋体"/>
                <w:vanish/>
              </w:rPr>
            </w:pPr>
          </w:p>
        </w:tc>
        <w:tc>
          <w:tcPr>
            <w:tcW w:w="0" w:type="auto"/>
            <w:gridSpan w:val="3"/>
            <w:shd w:val="clear" w:color="auto" w:fill="auto"/>
            <w:vAlign w:val="bottom"/>
          </w:tcPr>
          <w:p w14:paraId="5F2D02DA" w14:textId="77777777" w:rsidR="00E836FB" w:rsidRDefault="00E836FB">
            <w:pPr>
              <w:rPr>
                <w:rFonts w:ascii="宋体"/>
                <w:vanish/>
              </w:rPr>
            </w:pPr>
          </w:p>
        </w:tc>
        <w:tc>
          <w:tcPr>
            <w:tcW w:w="0" w:type="auto"/>
            <w:gridSpan w:val="3"/>
            <w:shd w:val="clear" w:color="auto" w:fill="auto"/>
            <w:vAlign w:val="bottom"/>
          </w:tcPr>
          <w:p w14:paraId="5F2D02DB" w14:textId="77777777" w:rsidR="00E836FB" w:rsidRDefault="00E836FB">
            <w:pPr>
              <w:rPr>
                <w:rFonts w:ascii="宋体"/>
                <w:vanish/>
              </w:rPr>
            </w:pPr>
          </w:p>
        </w:tc>
        <w:tc>
          <w:tcPr>
            <w:tcW w:w="0" w:type="auto"/>
            <w:gridSpan w:val="3"/>
            <w:shd w:val="clear" w:color="auto" w:fill="auto"/>
            <w:vAlign w:val="bottom"/>
          </w:tcPr>
          <w:p w14:paraId="5F2D02DC" w14:textId="77777777" w:rsidR="00E836FB" w:rsidRDefault="00E836FB">
            <w:pPr>
              <w:rPr>
                <w:rFonts w:ascii="宋体"/>
                <w:vanish/>
              </w:rPr>
            </w:pPr>
          </w:p>
        </w:tc>
        <w:tc>
          <w:tcPr>
            <w:tcW w:w="0" w:type="auto"/>
            <w:gridSpan w:val="3"/>
            <w:shd w:val="clear" w:color="auto" w:fill="auto"/>
            <w:vAlign w:val="bottom"/>
          </w:tcPr>
          <w:p w14:paraId="5F2D02DD" w14:textId="77777777" w:rsidR="00E836FB" w:rsidRDefault="00E836FB">
            <w:pPr>
              <w:rPr>
                <w:rFonts w:ascii="宋体"/>
                <w:vanish/>
              </w:rPr>
            </w:pPr>
          </w:p>
        </w:tc>
        <w:tc>
          <w:tcPr>
            <w:tcW w:w="0" w:type="auto"/>
            <w:shd w:val="clear" w:color="auto" w:fill="auto"/>
            <w:vAlign w:val="bottom"/>
          </w:tcPr>
          <w:p w14:paraId="5F2D02DE" w14:textId="77777777" w:rsidR="00E836FB" w:rsidRDefault="00E836FB">
            <w:pPr>
              <w:rPr>
                <w:rFonts w:ascii="宋体"/>
                <w:vanish/>
              </w:rPr>
            </w:pPr>
          </w:p>
        </w:tc>
        <w:tc>
          <w:tcPr>
            <w:tcW w:w="0" w:type="auto"/>
            <w:shd w:val="clear" w:color="auto" w:fill="auto"/>
            <w:vAlign w:val="bottom"/>
          </w:tcPr>
          <w:p w14:paraId="5F2D02DF" w14:textId="77777777" w:rsidR="00E836FB" w:rsidRDefault="00E836FB">
            <w:pPr>
              <w:rPr>
                <w:rFonts w:ascii="宋体"/>
                <w:vanish/>
              </w:rPr>
            </w:pPr>
          </w:p>
        </w:tc>
        <w:tc>
          <w:tcPr>
            <w:tcW w:w="0" w:type="auto"/>
            <w:gridSpan w:val="3"/>
            <w:shd w:val="clear" w:color="auto" w:fill="auto"/>
            <w:vAlign w:val="bottom"/>
          </w:tcPr>
          <w:p w14:paraId="5F2D02E0" w14:textId="77777777" w:rsidR="00E836FB" w:rsidRDefault="00E836FB">
            <w:pPr>
              <w:rPr>
                <w:rFonts w:ascii="宋体"/>
                <w:vanish/>
              </w:rPr>
            </w:pPr>
          </w:p>
        </w:tc>
        <w:tc>
          <w:tcPr>
            <w:tcW w:w="0" w:type="auto"/>
            <w:gridSpan w:val="3"/>
            <w:shd w:val="clear" w:color="auto" w:fill="auto"/>
            <w:vAlign w:val="bottom"/>
          </w:tcPr>
          <w:p w14:paraId="5F2D02E1" w14:textId="77777777" w:rsidR="00E836FB" w:rsidRDefault="00E836FB">
            <w:pPr>
              <w:rPr>
                <w:rFonts w:ascii="宋体"/>
                <w:vanish/>
              </w:rPr>
            </w:pPr>
          </w:p>
        </w:tc>
        <w:tc>
          <w:tcPr>
            <w:tcW w:w="0" w:type="auto"/>
            <w:gridSpan w:val="3"/>
            <w:shd w:val="clear" w:color="auto" w:fill="auto"/>
            <w:vAlign w:val="bottom"/>
          </w:tcPr>
          <w:p w14:paraId="5F2D02E2" w14:textId="77777777" w:rsidR="00E836FB" w:rsidRDefault="00E836FB">
            <w:pPr>
              <w:rPr>
                <w:rFonts w:ascii="宋体"/>
                <w:vanish/>
              </w:rPr>
            </w:pPr>
          </w:p>
        </w:tc>
        <w:tc>
          <w:tcPr>
            <w:tcW w:w="0" w:type="auto"/>
            <w:gridSpan w:val="3"/>
            <w:shd w:val="clear" w:color="auto" w:fill="auto"/>
            <w:vAlign w:val="bottom"/>
          </w:tcPr>
          <w:p w14:paraId="5F2D02E3" w14:textId="77777777" w:rsidR="00E836FB" w:rsidRDefault="00E836FB">
            <w:pPr>
              <w:rPr>
                <w:rFonts w:ascii="宋体"/>
                <w:vanish/>
              </w:rPr>
            </w:pPr>
          </w:p>
        </w:tc>
        <w:tc>
          <w:tcPr>
            <w:tcW w:w="0" w:type="auto"/>
            <w:gridSpan w:val="3"/>
            <w:shd w:val="clear" w:color="auto" w:fill="auto"/>
            <w:vAlign w:val="bottom"/>
          </w:tcPr>
          <w:p w14:paraId="5F2D02E4" w14:textId="77777777" w:rsidR="00E836FB" w:rsidRDefault="00E836FB">
            <w:pPr>
              <w:rPr>
                <w:rFonts w:ascii="宋体"/>
                <w:vanish/>
              </w:rPr>
            </w:pPr>
          </w:p>
        </w:tc>
        <w:tc>
          <w:tcPr>
            <w:tcW w:w="0" w:type="auto"/>
            <w:gridSpan w:val="3"/>
            <w:shd w:val="clear" w:color="auto" w:fill="auto"/>
            <w:vAlign w:val="bottom"/>
          </w:tcPr>
          <w:p w14:paraId="5F2D02E5" w14:textId="77777777" w:rsidR="00E836FB" w:rsidRDefault="00E836FB">
            <w:pPr>
              <w:rPr>
                <w:rFonts w:ascii="宋体"/>
                <w:vanish/>
              </w:rPr>
            </w:pPr>
          </w:p>
        </w:tc>
        <w:tc>
          <w:tcPr>
            <w:tcW w:w="0" w:type="auto"/>
            <w:gridSpan w:val="3"/>
            <w:shd w:val="clear" w:color="auto" w:fill="auto"/>
            <w:vAlign w:val="bottom"/>
          </w:tcPr>
          <w:p w14:paraId="5F2D02E6" w14:textId="77777777" w:rsidR="00E836FB" w:rsidRDefault="00E836FB">
            <w:pPr>
              <w:rPr>
                <w:rFonts w:ascii="宋体"/>
                <w:vanish/>
              </w:rPr>
            </w:pPr>
          </w:p>
        </w:tc>
        <w:tc>
          <w:tcPr>
            <w:tcW w:w="0" w:type="auto"/>
            <w:gridSpan w:val="3"/>
            <w:shd w:val="clear" w:color="auto" w:fill="auto"/>
            <w:vAlign w:val="bottom"/>
          </w:tcPr>
          <w:p w14:paraId="5F2D02E7" w14:textId="77777777" w:rsidR="00E836FB" w:rsidRDefault="00E836FB">
            <w:pPr>
              <w:rPr>
                <w:rFonts w:ascii="宋体"/>
                <w:vanish/>
              </w:rPr>
            </w:pPr>
          </w:p>
        </w:tc>
        <w:tc>
          <w:tcPr>
            <w:tcW w:w="0" w:type="auto"/>
            <w:gridSpan w:val="3"/>
            <w:shd w:val="clear" w:color="auto" w:fill="auto"/>
            <w:vAlign w:val="bottom"/>
          </w:tcPr>
          <w:p w14:paraId="5F2D02E8" w14:textId="77777777" w:rsidR="00E836FB" w:rsidRDefault="00E836FB">
            <w:pPr>
              <w:rPr>
                <w:rFonts w:ascii="宋体"/>
                <w:vanish/>
              </w:rPr>
            </w:pPr>
          </w:p>
        </w:tc>
        <w:tc>
          <w:tcPr>
            <w:tcW w:w="0" w:type="auto"/>
            <w:gridSpan w:val="2"/>
            <w:shd w:val="clear" w:color="auto" w:fill="auto"/>
            <w:vAlign w:val="bottom"/>
          </w:tcPr>
          <w:p w14:paraId="5F2D02E9" w14:textId="77777777" w:rsidR="00E836FB" w:rsidRDefault="00E836FB">
            <w:pPr>
              <w:rPr>
                <w:rFonts w:ascii="宋体"/>
                <w:vanish/>
              </w:rPr>
            </w:pPr>
          </w:p>
        </w:tc>
        <w:tc>
          <w:tcPr>
            <w:tcW w:w="0" w:type="auto"/>
            <w:shd w:val="clear" w:color="auto" w:fill="auto"/>
            <w:vAlign w:val="bottom"/>
          </w:tcPr>
          <w:p w14:paraId="5F2D02EA" w14:textId="77777777" w:rsidR="00E836FB" w:rsidRDefault="00E836FB">
            <w:pPr>
              <w:rPr>
                <w:rFonts w:ascii="宋体"/>
                <w:vanish/>
              </w:rPr>
            </w:pPr>
          </w:p>
        </w:tc>
      </w:tr>
      <w:tr w:rsidR="00E836FB" w14:paraId="5F2D030B" w14:textId="77777777">
        <w:tc>
          <w:tcPr>
            <w:tcW w:w="0" w:type="auto"/>
            <w:gridSpan w:val="3"/>
            <w:shd w:val="clear" w:color="auto" w:fill="CCEEFF"/>
            <w:tcMar>
              <w:top w:w="40" w:type="dxa"/>
              <w:left w:w="20" w:type="dxa"/>
              <w:bottom w:w="40" w:type="dxa"/>
              <w:right w:w="20" w:type="dxa"/>
            </w:tcMar>
            <w:vAlign w:val="center"/>
          </w:tcPr>
          <w:p w14:paraId="5F2D02EC" w14:textId="77777777" w:rsidR="00E836FB" w:rsidRDefault="00994958">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5F2D02ED"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2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2F0"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2F3"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F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2F6"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F8" w14:textId="77777777" w:rsidR="00E836FB" w:rsidRDefault="00E836FB">
            <w:pPr>
              <w:rPr>
                <w:rFonts w:ascii="宋体"/>
              </w:rPr>
            </w:pPr>
          </w:p>
        </w:tc>
        <w:tc>
          <w:tcPr>
            <w:tcW w:w="0" w:type="auto"/>
            <w:shd w:val="clear" w:color="auto" w:fill="auto"/>
            <w:vAlign w:val="bottom"/>
          </w:tcPr>
          <w:p w14:paraId="5F2D02F9" w14:textId="77777777" w:rsidR="00E836FB" w:rsidRDefault="00E836FB">
            <w:pPr>
              <w:rPr>
                <w:rFonts w:ascii="宋体"/>
                <w:vanish/>
              </w:rPr>
            </w:pPr>
          </w:p>
        </w:tc>
        <w:tc>
          <w:tcPr>
            <w:tcW w:w="0" w:type="auto"/>
            <w:shd w:val="clear" w:color="auto" w:fill="auto"/>
            <w:vAlign w:val="bottom"/>
          </w:tcPr>
          <w:p w14:paraId="5F2D02FA"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02FB"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2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2FE" w14:textId="77777777" w:rsidR="00E836FB" w:rsidRDefault="00994958">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2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0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301" w14:textId="77777777" w:rsidR="00E836FB" w:rsidRDefault="00994958">
            <w:pPr>
              <w:jc w:val="right"/>
              <w:textAlignment w:val="bottom"/>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03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0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304" w14:textId="77777777" w:rsidR="00E836FB" w:rsidRDefault="00994958">
            <w:pPr>
              <w:jc w:val="right"/>
              <w:textAlignment w:val="bottom"/>
            </w:pPr>
            <w:r>
              <w:rPr>
                <w:rFonts w:ascii="Arial" w:eastAsia="宋体" w:hAnsi="Arial" w:cs="Arial"/>
                <w:b/>
                <w:bCs/>
                <w:color w:val="000000"/>
                <w:sz w:val="12"/>
                <w:szCs w:val="12"/>
              </w:rPr>
              <w:t>(15)</w:t>
            </w:r>
          </w:p>
        </w:tc>
        <w:tc>
          <w:tcPr>
            <w:tcW w:w="0" w:type="auto"/>
            <w:shd w:val="clear" w:color="auto" w:fill="CCEEFF"/>
            <w:tcMar>
              <w:top w:w="40" w:type="dxa"/>
              <w:left w:w="0" w:type="dxa"/>
              <w:bottom w:w="40" w:type="dxa"/>
              <w:right w:w="20" w:type="dxa"/>
            </w:tcMar>
            <w:vAlign w:val="bottom"/>
          </w:tcPr>
          <w:p w14:paraId="5F2D03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0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07"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08"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309"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30A" w14:textId="77777777" w:rsidR="00E836FB" w:rsidRDefault="00E836FB">
            <w:pPr>
              <w:rPr>
                <w:rFonts w:ascii="宋体"/>
              </w:rPr>
            </w:pPr>
          </w:p>
        </w:tc>
      </w:tr>
      <w:tr w:rsidR="00E836FB" w14:paraId="5F2D032B" w14:textId="77777777">
        <w:tc>
          <w:tcPr>
            <w:tcW w:w="0" w:type="auto"/>
            <w:gridSpan w:val="3"/>
            <w:shd w:val="clear" w:color="auto" w:fill="FFFFFF"/>
            <w:tcMar>
              <w:top w:w="40" w:type="dxa"/>
              <w:left w:w="20" w:type="dxa"/>
              <w:bottom w:w="40" w:type="dxa"/>
              <w:right w:w="20" w:type="dxa"/>
            </w:tcMar>
            <w:vAlign w:val="center"/>
          </w:tcPr>
          <w:p w14:paraId="5F2D030C" w14:textId="77777777" w:rsidR="00E836FB" w:rsidRDefault="00994958">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0D" w14:textId="77777777" w:rsidR="00E836FB" w:rsidRDefault="00994958">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0E" w14:textId="77777777" w:rsidR="00E836FB" w:rsidRDefault="00E83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30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10"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1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1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13"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1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1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16" w14:textId="77777777" w:rsidR="00E836FB" w:rsidRDefault="00994958">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17" w14:textId="77777777" w:rsidR="00E836FB" w:rsidRDefault="00E83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318" w14:textId="77777777" w:rsidR="00E836FB" w:rsidRDefault="00E836FB">
            <w:pPr>
              <w:rPr>
                <w:rFonts w:ascii="宋体"/>
              </w:rPr>
            </w:pPr>
          </w:p>
        </w:tc>
        <w:tc>
          <w:tcPr>
            <w:tcW w:w="0" w:type="auto"/>
            <w:shd w:val="clear" w:color="auto" w:fill="auto"/>
            <w:vAlign w:val="bottom"/>
          </w:tcPr>
          <w:p w14:paraId="5F2D0319" w14:textId="77777777" w:rsidR="00E836FB" w:rsidRDefault="00E836FB">
            <w:pPr>
              <w:rPr>
                <w:rFonts w:ascii="宋体"/>
                <w:vanish/>
              </w:rPr>
            </w:pPr>
          </w:p>
        </w:tc>
        <w:tc>
          <w:tcPr>
            <w:tcW w:w="0" w:type="auto"/>
            <w:shd w:val="clear" w:color="auto" w:fill="auto"/>
            <w:vAlign w:val="bottom"/>
          </w:tcPr>
          <w:p w14:paraId="5F2D031A"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1B"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1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1E"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2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21" w14:textId="77777777" w:rsidR="00E836FB" w:rsidRDefault="00994958">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2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24" w14:textId="77777777" w:rsidR="00E836FB" w:rsidRDefault="00994958">
            <w:pPr>
              <w:jc w:val="right"/>
              <w:textAlignment w:val="center"/>
            </w:pPr>
            <w:r>
              <w:rPr>
                <w:rFonts w:ascii="Arial" w:eastAsia="宋体" w:hAnsi="Arial" w:cs="Arial"/>
                <w:b/>
                <w:bCs/>
                <w:color w:val="000000"/>
                <w:sz w:val="12"/>
                <w:szCs w:val="12"/>
              </w:rPr>
              <w:t>(135)</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2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27"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28"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329" w14:textId="77777777" w:rsidR="00E836FB" w:rsidRDefault="00E836FB">
            <w:pPr>
              <w:rPr>
                <w:rFonts w:ascii="宋体"/>
              </w:rPr>
            </w:pPr>
          </w:p>
        </w:tc>
        <w:tc>
          <w:tcPr>
            <w:tcW w:w="0" w:type="auto"/>
            <w:shd w:val="clear" w:color="auto" w:fill="FFFFFF"/>
            <w:tcMar>
              <w:top w:w="0" w:type="dxa"/>
              <w:left w:w="20" w:type="dxa"/>
              <w:bottom w:w="0" w:type="dxa"/>
              <w:right w:w="20" w:type="dxa"/>
            </w:tcMar>
            <w:vAlign w:val="bottom"/>
          </w:tcPr>
          <w:p w14:paraId="5F2D032A" w14:textId="77777777" w:rsidR="00E836FB" w:rsidRDefault="00E836FB">
            <w:pPr>
              <w:rPr>
                <w:rFonts w:ascii="宋体"/>
              </w:rPr>
            </w:pPr>
          </w:p>
        </w:tc>
      </w:tr>
      <w:tr w:rsidR="00E836FB" w14:paraId="5F2D0342" w14:textId="77777777">
        <w:tc>
          <w:tcPr>
            <w:tcW w:w="0" w:type="auto"/>
            <w:gridSpan w:val="3"/>
            <w:shd w:val="clear" w:color="auto" w:fill="CCEEFF"/>
            <w:tcMar>
              <w:top w:w="40" w:type="dxa"/>
              <w:left w:w="20" w:type="dxa"/>
              <w:bottom w:w="40" w:type="dxa"/>
              <w:right w:w="20" w:type="dxa"/>
            </w:tcMar>
            <w:vAlign w:val="center"/>
          </w:tcPr>
          <w:p w14:paraId="5F2D032C" w14:textId="77777777" w:rsidR="00E836FB" w:rsidRDefault="00994958">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5F2D032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2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2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4" w14:textId="77777777" w:rsidR="00E836FB" w:rsidRDefault="00E836FB">
            <w:pPr>
              <w:rPr>
                <w:rFonts w:ascii="宋体"/>
              </w:rPr>
            </w:pPr>
          </w:p>
        </w:tc>
        <w:tc>
          <w:tcPr>
            <w:tcW w:w="0" w:type="auto"/>
            <w:shd w:val="clear" w:color="auto" w:fill="auto"/>
            <w:vAlign w:val="bottom"/>
          </w:tcPr>
          <w:p w14:paraId="5F2D0335" w14:textId="77777777" w:rsidR="00E836FB" w:rsidRDefault="00E836FB">
            <w:pPr>
              <w:rPr>
                <w:rFonts w:ascii="宋体"/>
                <w:vanish/>
              </w:rPr>
            </w:pPr>
          </w:p>
        </w:tc>
        <w:tc>
          <w:tcPr>
            <w:tcW w:w="0" w:type="auto"/>
            <w:shd w:val="clear" w:color="auto" w:fill="auto"/>
            <w:vAlign w:val="bottom"/>
          </w:tcPr>
          <w:p w14:paraId="5F2D0336"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033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33F" w14:textId="77777777" w:rsidR="00E836FB" w:rsidRDefault="00E836FB">
            <w:pPr>
              <w:rPr>
                <w:rFonts w:ascii="宋体"/>
              </w:rPr>
            </w:pPr>
          </w:p>
        </w:tc>
        <w:tc>
          <w:tcPr>
            <w:tcW w:w="0" w:type="auto"/>
            <w:gridSpan w:val="2"/>
            <w:shd w:val="clear" w:color="auto" w:fill="CCEEFF"/>
            <w:tcMar>
              <w:top w:w="0" w:type="dxa"/>
              <w:left w:w="20" w:type="dxa"/>
              <w:bottom w:w="0" w:type="dxa"/>
              <w:right w:w="20" w:type="dxa"/>
            </w:tcMar>
            <w:vAlign w:val="bottom"/>
          </w:tcPr>
          <w:p w14:paraId="5F2D0340"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341" w14:textId="77777777" w:rsidR="00E836FB" w:rsidRDefault="00E836FB">
            <w:pPr>
              <w:rPr>
                <w:rFonts w:ascii="宋体"/>
              </w:rPr>
            </w:pPr>
          </w:p>
        </w:tc>
      </w:tr>
      <w:tr w:rsidR="00E836FB" w14:paraId="5F2D0359" w14:textId="77777777">
        <w:tc>
          <w:tcPr>
            <w:tcW w:w="0" w:type="auto"/>
            <w:gridSpan w:val="3"/>
            <w:shd w:val="clear" w:color="auto" w:fill="FFFFFF"/>
            <w:tcMar>
              <w:top w:w="40" w:type="dxa"/>
              <w:left w:w="20" w:type="dxa"/>
              <w:bottom w:w="40" w:type="dxa"/>
              <w:right w:w="20" w:type="dxa"/>
            </w:tcMar>
            <w:vAlign w:val="center"/>
          </w:tcPr>
          <w:p w14:paraId="5F2D0343" w14:textId="77777777" w:rsidR="00E836FB" w:rsidRDefault="00994958">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5F2D034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B" w14:textId="77777777" w:rsidR="00E836FB" w:rsidRDefault="00E836FB">
            <w:pPr>
              <w:rPr>
                <w:rFonts w:ascii="宋体"/>
              </w:rPr>
            </w:pPr>
          </w:p>
        </w:tc>
        <w:tc>
          <w:tcPr>
            <w:tcW w:w="0" w:type="auto"/>
            <w:shd w:val="clear" w:color="auto" w:fill="auto"/>
            <w:vAlign w:val="bottom"/>
          </w:tcPr>
          <w:p w14:paraId="5F2D034C" w14:textId="77777777" w:rsidR="00E836FB" w:rsidRDefault="00E836FB">
            <w:pPr>
              <w:rPr>
                <w:rFonts w:ascii="宋体"/>
                <w:vanish/>
              </w:rPr>
            </w:pPr>
          </w:p>
        </w:tc>
        <w:tc>
          <w:tcPr>
            <w:tcW w:w="0" w:type="auto"/>
            <w:shd w:val="clear" w:color="auto" w:fill="auto"/>
            <w:vAlign w:val="bottom"/>
          </w:tcPr>
          <w:p w14:paraId="5F2D034D"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034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4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5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5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5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5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5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5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356" w14:textId="77777777" w:rsidR="00E836FB" w:rsidRDefault="00E836FB">
            <w:pPr>
              <w:rPr>
                <w:rFonts w:ascii="宋体"/>
              </w:rPr>
            </w:pPr>
          </w:p>
        </w:tc>
        <w:tc>
          <w:tcPr>
            <w:tcW w:w="0" w:type="auto"/>
            <w:gridSpan w:val="2"/>
            <w:shd w:val="clear" w:color="auto" w:fill="FFFFFF"/>
            <w:tcMar>
              <w:top w:w="0" w:type="dxa"/>
              <w:left w:w="20" w:type="dxa"/>
              <w:bottom w:w="0" w:type="dxa"/>
              <w:right w:w="20" w:type="dxa"/>
            </w:tcMar>
            <w:vAlign w:val="bottom"/>
          </w:tcPr>
          <w:p w14:paraId="5F2D0357" w14:textId="77777777" w:rsidR="00E836FB" w:rsidRDefault="00E836FB">
            <w:pPr>
              <w:rPr>
                <w:rFonts w:ascii="宋体"/>
              </w:rPr>
            </w:pPr>
          </w:p>
        </w:tc>
        <w:tc>
          <w:tcPr>
            <w:tcW w:w="0" w:type="auto"/>
            <w:shd w:val="clear" w:color="auto" w:fill="FFFFFF"/>
            <w:tcMar>
              <w:top w:w="0" w:type="dxa"/>
              <w:left w:w="20" w:type="dxa"/>
              <w:bottom w:w="0" w:type="dxa"/>
              <w:right w:w="20" w:type="dxa"/>
            </w:tcMar>
            <w:vAlign w:val="bottom"/>
          </w:tcPr>
          <w:p w14:paraId="5F2D0358" w14:textId="77777777" w:rsidR="00E836FB" w:rsidRDefault="00E836FB">
            <w:pPr>
              <w:rPr>
                <w:rFonts w:ascii="宋体"/>
              </w:rPr>
            </w:pPr>
          </w:p>
        </w:tc>
      </w:tr>
      <w:tr w:rsidR="00E836FB" w14:paraId="5F2D037A" w14:textId="77777777">
        <w:tc>
          <w:tcPr>
            <w:tcW w:w="0" w:type="auto"/>
            <w:gridSpan w:val="3"/>
            <w:shd w:val="clear" w:color="auto" w:fill="CCEEFF"/>
            <w:tcMar>
              <w:top w:w="40" w:type="dxa"/>
              <w:left w:w="155" w:type="dxa"/>
              <w:bottom w:w="40" w:type="dxa"/>
              <w:right w:w="20" w:type="dxa"/>
            </w:tcMar>
            <w:vAlign w:val="center"/>
          </w:tcPr>
          <w:p w14:paraId="5F2D035A" w14:textId="77777777" w:rsidR="00E836FB" w:rsidRDefault="00994958">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5F2D035B" w14:textId="77777777" w:rsidR="00E836FB" w:rsidRDefault="00994958">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5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5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5E" w14:textId="77777777" w:rsidR="00E836FB" w:rsidRDefault="00994958">
            <w:pPr>
              <w:jc w:val="right"/>
              <w:textAlignment w:val="center"/>
            </w:pPr>
            <w:r>
              <w:rPr>
                <w:rFonts w:ascii="Arial" w:eastAsia="宋体" w:hAnsi="Arial" w:cs="Arial"/>
                <w:b/>
                <w:bCs/>
                <w:color w:val="000000"/>
                <w:sz w:val="12"/>
                <w:szCs w:val="12"/>
              </w:rPr>
              <w:t>(3)</w:t>
            </w:r>
          </w:p>
        </w:tc>
        <w:tc>
          <w:tcPr>
            <w:tcW w:w="0" w:type="auto"/>
            <w:shd w:val="clear" w:color="auto" w:fill="CCEEFF"/>
            <w:tcMar>
              <w:top w:w="40" w:type="dxa"/>
              <w:left w:w="0" w:type="dxa"/>
              <w:bottom w:w="40" w:type="dxa"/>
              <w:right w:w="20" w:type="dxa"/>
            </w:tcMar>
            <w:vAlign w:val="center"/>
          </w:tcPr>
          <w:p w14:paraId="5F2D03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6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61"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6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6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64" w14:textId="77777777" w:rsidR="00E836FB" w:rsidRDefault="00994958">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6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66" w14:textId="77777777" w:rsidR="00E836FB" w:rsidRDefault="00E836FB">
            <w:pPr>
              <w:rPr>
                <w:rFonts w:ascii="宋体"/>
              </w:rPr>
            </w:pPr>
          </w:p>
        </w:tc>
        <w:tc>
          <w:tcPr>
            <w:tcW w:w="0" w:type="auto"/>
            <w:shd w:val="clear" w:color="auto" w:fill="auto"/>
            <w:vAlign w:val="bottom"/>
          </w:tcPr>
          <w:p w14:paraId="5F2D0367" w14:textId="77777777" w:rsidR="00E836FB" w:rsidRDefault="00E836FB">
            <w:pPr>
              <w:rPr>
                <w:rFonts w:ascii="宋体"/>
                <w:vanish/>
              </w:rPr>
            </w:pPr>
          </w:p>
        </w:tc>
        <w:tc>
          <w:tcPr>
            <w:tcW w:w="0" w:type="auto"/>
            <w:shd w:val="clear" w:color="auto" w:fill="auto"/>
            <w:vAlign w:val="bottom"/>
          </w:tcPr>
          <w:p w14:paraId="5F2D0368"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center"/>
          </w:tcPr>
          <w:p w14:paraId="5F2D0369"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6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6C"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6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6F"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7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72"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7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375"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376"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377"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378" w14:textId="77777777" w:rsidR="00E836FB" w:rsidRDefault="00994958">
            <w:pPr>
              <w:textAlignment w:val="center"/>
            </w:pPr>
            <w:r>
              <w:rPr>
                <w:rFonts w:ascii="Arial" w:eastAsia="宋体" w:hAnsi="Arial" w:cs="Arial"/>
                <w:b/>
                <w:bCs/>
                <w:color w:val="000000"/>
                <w:sz w:val="12"/>
                <w:szCs w:val="12"/>
              </w:rPr>
              <w:t>$</w:t>
            </w:r>
          </w:p>
          <w:p w14:paraId="5F2D0379" w14:textId="77777777" w:rsidR="00E836FB" w:rsidRDefault="00994958">
            <w:pPr>
              <w:jc w:val="right"/>
              <w:textAlignment w:val="center"/>
            </w:pPr>
            <w:r>
              <w:rPr>
                <w:rFonts w:ascii="Arial" w:eastAsia="宋体" w:hAnsi="Arial" w:cs="Arial"/>
                <w:b/>
                <w:bCs/>
                <w:color w:val="000000"/>
                <w:sz w:val="12"/>
                <w:szCs w:val="12"/>
              </w:rPr>
              <w:t>(1)</w:t>
            </w:r>
          </w:p>
        </w:tc>
      </w:tr>
      <w:tr w:rsidR="00E836FB" w14:paraId="5F2D0391" w14:textId="77777777">
        <w:trPr>
          <w:hidden/>
        </w:trPr>
        <w:tc>
          <w:tcPr>
            <w:tcW w:w="0" w:type="auto"/>
            <w:gridSpan w:val="3"/>
            <w:shd w:val="clear" w:color="auto" w:fill="auto"/>
            <w:vAlign w:val="bottom"/>
          </w:tcPr>
          <w:p w14:paraId="5F2D037B" w14:textId="77777777" w:rsidR="00E836FB" w:rsidRDefault="00E836FB">
            <w:pPr>
              <w:rPr>
                <w:rFonts w:ascii="宋体"/>
                <w:vanish/>
              </w:rPr>
            </w:pPr>
          </w:p>
        </w:tc>
        <w:tc>
          <w:tcPr>
            <w:tcW w:w="0" w:type="auto"/>
            <w:gridSpan w:val="3"/>
            <w:shd w:val="clear" w:color="auto" w:fill="auto"/>
            <w:vAlign w:val="bottom"/>
          </w:tcPr>
          <w:p w14:paraId="5F2D037C" w14:textId="77777777" w:rsidR="00E836FB" w:rsidRDefault="00E836FB">
            <w:pPr>
              <w:rPr>
                <w:rFonts w:ascii="宋体"/>
                <w:vanish/>
              </w:rPr>
            </w:pPr>
          </w:p>
        </w:tc>
        <w:tc>
          <w:tcPr>
            <w:tcW w:w="0" w:type="auto"/>
            <w:gridSpan w:val="3"/>
            <w:shd w:val="clear" w:color="auto" w:fill="auto"/>
            <w:vAlign w:val="bottom"/>
          </w:tcPr>
          <w:p w14:paraId="5F2D037D" w14:textId="77777777" w:rsidR="00E836FB" w:rsidRDefault="00E836FB">
            <w:pPr>
              <w:rPr>
                <w:rFonts w:ascii="宋体"/>
                <w:vanish/>
              </w:rPr>
            </w:pPr>
          </w:p>
        </w:tc>
        <w:tc>
          <w:tcPr>
            <w:tcW w:w="0" w:type="auto"/>
            <w:gridSpan w:val="3"/>
            <w:shd w:val="clear" w:color="auto" w:fill="auto"/>
            <w:vAlign w:val="bottom"/>
          </w:tcPr>
          <w:p w14:paraId="5F2D037E" w14:textId="77777777" w:rsidR="00E836FB" w:rsidRDefault="00E836FB">
            <w:pPr>
              <w:rPr>
                <w:rFonts w:ascii="宋体"/>
                <w:vanish/>
              </w:rPr>
            </w:pPr>
          </w:p>
        </w:tc>
        <w:tc>
          <w:tcPr>
            <w:tcW w:w="0" w:type="auto"/>
            <w:gridSpan w:val="3"/>
            <w:shd w:val="clear" w:color="auto" w:fill="auto"/>
            <w:vAlign w:val="bottom"/>
          </w:tcPr>
          <w:p w14:paraId="5F2D037F" w14:textId="77777777" w:rsidR="00E836FB" w:rsidRDefault="00E836FB">
            <w:pPr>
              <w:rPr>
                <w:rFonts w:ascii="宋体"/>
                <w:vanish/>
              </w:rPr>
            </w:pPr>
          </w:p>
        </w:tc>
        <w:tc>
          <w:tcPr>
            <w:tcW w:w="0" w:type="auto"/>
            <w:gridSpan w:val="3"/>
            <w:shd w:val="clear" w:color="auto" w:fill="auto"/>
            <w:vAlign w:val="bottom"/>
          </w:tcPr>
          <w:p w14:paraId="5F2D0380" w14:textId="77777777" w:rsidR="00E836FB" w:rsidRDefault="00E836FB">
            <w:pPr>
              <w:rPr>
                <w:rFonts w:ascii="宋体"/>
                <w:vanish/>
              </w:rPr>
            </w:pPr>
          </w:p>
        </w:tc>
        <w:tc>
          <w:tcPr>
            <w:tcW w:w="0" w:type="auto"/>
            <w:gridSpan w:val="3"/>
            <w:shd w:val="clear" w:color="auto" w:fill="auto"/>
            <w:vAlign w:val="bottom"/>
          </w:tcPr>
          <w:p w14:paraId="5F2D0381" w14:textId="77777777" w:rsidR="00E836FB" w:rsidRDefault="00E836FB">
            <w:pPr>
              <w:rPr>
                <w:rFonts w:ascii="宋体"/>
                <w:vanish/>
              </w:rPr>
            </w:pPr>
          </w:p>
        </w:tc>
        <w:tc>
          <w:tcPr>
            <w:tcW w:w="0" w:type="auto"/>
            <w:gridSpan w:val="3"/>
            <w:shd w:val="clear" w:color="auto" w:fill="auto"/>
            <w:vAlign w:val="bottom"/>
          </w:tcPr>
          <w:p w14:paraId="5F2D0382" w14:textId="77777777" w:rsidR="00E836FB" w:rsidRDefault="00E836FB">
            <w:pPr>
              <w:rPr>
                <w:rFonts w:ascii="宋体"/>
                <w:vanish/>
              </w:rPr>
            </w:pPr>
          </w:p>
        </w:tc>
        <w:tc>
          <w:tcPr>
            <w:tcW w:w="0" w:type="auto"/>
            <w:gridSpan w:val="3"/>
            <w:shd w:val="clear" w:color="auto" w:fill="auto"/>
            <w:vAlign w:val="bottom"/>
          </w:tcPr>
          <w:p w14:paraId="5F2D0383" w14:textId="77777777" w:rsidR="00E836FB" w:rsidRDefault="00E836FB">
            <w:pPr>
              <w:rPr>
                <w:rFonts w:ascii="宋体"/>
                <w:vanish/>
              </w:rPr>
            </w:pPr>
          </w:p>
        </w:tc>
        <w:tc>
          <w:tcPr>
            <w:tcW w:w="0" w:type="auto"/>
            <w:shd w:val="clear" w:color="auto" w:fill="auto"/>
            <w:vAlign w:val="bottom"/>
          </w:tcPr>
          <w:p w14:paraId="5F2D0384" w14:textId="77777777" w:rsidR="00E836FB" w:rsidRDefault="00E836FB">
            <w:pPr>
              <w:rPr>
                <w:rFonts w:ascii="宋体"/>
                <w:vanish/>
              </w:rPr>
            </w:pPr>
          </w:p>
        </w:tc>
        <w:tc>
          <w:tcPr>
            <w:tcW w:w="0" w:type="auto"/>
            <w:shd w:val="clear" w:color="auto" w:fill="auto"/>
            <w:vAlign w:val="bottom"/>
          </w:tcPr>
          <w:p w14:paraId="5F2D0385" w14:textId="77777777" w:rsidR="00E836FB" w:rsidRDefault="00E836FB">
            <w:pPr>
              <w:rPr>
                <w:rFonts w:ascii="宋体"/>
                <w:vanish/>
              </w:rPr>
            </w:pPr>
          </w:p>
        </w:tc>
        <w:tc>
          <w:tcPr>
            <w:tcW w:w="0" w:type="auto"/>
            <w:gridSpan w:val="3"/>
            <w:shd w:val="clear" w:color="auto" w:fill="auto"/>
            <w:vAlign w:val="bottom"/>
          </w:tcPr>
          <w:p w14:paraId="5F2D0386" w14:textId="77777777" w:rsidR="00E836FB" w:rsidRDefault="00E836FB">
            <w:pPr>
              <w:rPr>
                <w:rFonts w:ascii="宋体"/>
                <w:vanish/>
              </w:rPr>
            </w:pPr>
          </w:p>
        </w:tc>
        <w:tc>
          <w:tcPr>
            <w:tcW w:w="0" w:type="auto"/>
            <w:gridSpan w:val="3"/>
            <w:shd w:val="clear" w:color="auto" w:fill="auto"/>
            <w:vAlign w:val="bottom"/>
          </w:tcPr>
          <w:p w14:paraId="5F2D0387" w14:textId="77777777" w:rsidR="00E836FB" w:rsidRDefault="00E836FB">
            <w:pPr>
              <w:rPr>
                <w:rFonts w:ascii="宋体"/>
                <w:vanish/>
              </w:rPr>
            </w:pPr>
          </w:p>
        </w:tc>
        <w:tc>
          <w:tcPr>
            <w:tcW w:w="0" w:type="auto"/>
            <w:gridSpan w:val="3"/>
            <w:shd w:val="clear" w:color="auto" w:fill="auto"/>
            <w:vAlign w:val="bottom"/>
          </w:tcPr>
          <w:p w14:paraId="5F2D0388" w14:textId="77777777" w:rsidR="00E836FB" w:rsidRDefault="00E836FB">
            <w:pPr>
              <w:rPr>
                <w:rFonts w:ascii="宋体"/>
                <w:vanish/>
              </w:rPr>
            </w:pPr>
          </w:p>
        </w:tc>
        <w:tc>
          <w:tcPr>
            <w:tcW w:w="0" w:type="auto"/>
            <w:gridSpan w:val="3"/>
            <w:shd w:val="clear" w:color="auto" w:fill="auto"/>
            <w:vAlign w:val="bottom"/>
          </w:tcPr>
          <w:p w14:paraId="5F2D0389" w14:textId="77777777" w:rsidR="00E836FB" w:rsidRDefault="00E836FB">
            <w:pPr>
              <w:rPr>
                <w:rFonts w:ascii="宋体"/>
                <w:vanish/>
              </w:rPr>
            </w:pPr>
          </w:p>
        </w:tc>
        <w:tc>
          <w:tcPr>
            <w:tcW w:w="0" w:type="auto"/>
            <w:gridSpan w:val="3"/>
            <w:shd w:val="clear" w:color="auto" w:fill="auto"/>
            <w:vAlign w:val="bottom"/>
          </w:tcPr>
          <w:p w14:paraId="5F2D038A" w14:textId="77777777" w:rsidR="00E836FB" w:rsidRDefault="00E836FB">
            <w:pPr>
              <w:rPr>
                <w:rFonts w:ascii="宋体"/>
                <w:vanish/>
              </w:rPr>
            </w:pPr>
          </w:p>
        </w:tc>
        <w:tc>
          <w:tcPr>
            <w:tcW w:w="0" w:type="auto"/>
            <w:gridSpan w:val="3"/>
            <w:shd w:val="clear" w:color="auto" w:fill="auto"/>
            <w:vAlign w:val="bottom"/>
          </w:tcPr>
          <w:p w14:paraId="5F2D038B" w14:textId="77777777" w:rsidR="00E836FB" w:rsidRDefault="00E836FB">
            <w:pPr>
              <w:rPr>
                <w:rFonts w:ascii="宋体"/>
                <w:vanish/>
              </w:rPr>
            </w:pPr>
          </w:p>
        </w:tc>
        <w:tc>
          <w:tcPr>
            <w:tcW w:w="0" w:type="auto"/>
            <w:gridSpan w:val="3"/>
            <w:shd w:val="clear" w:color="auto" w:fill="auto"/>
            <w:vAlign w:val="bottom"/>
          </w:tcPr>
          <w:p w14:paraId="5F2D038C" w14:textId="77777777" w:rsidR="00E836FB" w:rsidRDefault="00E836FB">
            <w:pPr>
              <w:rPr>
                <w:rFonts w:ascii="宋体"/>
                <w:vanish/>
              </w:rPr>
            </w:pPr>
          </w:p>
        </w:tc>
        <w:tc>
          <w:tcPr>
            <w:tcW w:w="0" w:type="auto"/>
            <w:gridSpan w:val="3"/>
            <w:shd w:val="clear" w:color="auto" w:fill="auto"/>
            <w:vAlign w:val="bottom"/>
          </w:tcPr>
          <w:p w14:paraId="5F2D038D" w14:textId="77777777" w:rsidR="00E836FB" w:rsidRDefault="00E836FB">
            <w:pPr>
              <w:rPr>
                <w:rFonts w:ascii="宋体"/>
                <w:vanish/>
              </w:rPr>
            </w:pPr>
          </w:p>
        </w:tc>
        <w:tc>
          <w:tcPr>
            <w:tcW w:w="0" w:type="auto"/>
            <w:gridSpan w:val="3"/>
            <w:shd w:val="clear" w:color="auto" w:fill="auto"/>
            <w:vAlign w:val="bottom"/>
          </w:tcPr>
          <w:p w14:paraId="5F2D038E" w14:textId="77777777" w:rsidR="00E836FB" w:rsidRDefault="00E836FB">
            <w:pPr>
              <w:rPr>
                <w:rFonts w:ascii="宋体"/>
                <w:vanish/>
              </w:rPr>
            </w:pPr>
          </w:p>
        </w:tc>
        <w:tc>
          <w:tcPr>
            <w:tcW w:w="0" w:type="auto"/>
            <w:gridSpan w:val="2"/>
            <w:shd w:val="clear" w:color="auto" w:fill="auto"/>
            <w:vAlign w:val="bottom"/>
          </w:tcPr>
          <w:p w14:paraId="5F2D038F" w14:textId="77777777" w:rsidR="00E836FB" w:rsidRDefault="00E836FB">
            <w:pPr>
              <w:rPr>
                <w:rFonts w:ascii="宋体"/>
                <w:vanish/>
              </w:rPr>
            </w:pPr>
          </w:p>
        </w:tc>
        <w:tc>
          <w:tcPr>
            <w:tcW w:w="0" w:type="auto"/>
            <w:shd w:val="clear" w:color="auto" w:fill="auto"/>
            <w:vAlign w:val="bottom"/>
          </w:tcPr>
          <w:p w14:paraId="5F2D0390" w14:textId="77777777" w:rsidR="00E836FB" w:rsidRDefault="00E836FB">
            <w:pPr>
              <w:rPr>
                <w:rFonts w:ascii="宋体"/>
                <w:vanish/>
              </w:rPr>
            </w:pPr>
          </w:p>
        </w:tc>
      </w:tr>
      <w:tr w:rsidR="00E836FB" w14:paraId="5F2D03A8" w14:textId="77777777">
        <w:trPr>
          <w:hidden/>
        </w:trPr>
        <w:tc>
          <w:tcPr>
            <w:tcW w:w="0" w:type="auto"/>
            <w:gridSpan w:val="3"/>
            <w:shd w:val="clear" w:color="auto" w:fill="auto"/>
            <w:vAlign w:val="bottom"/>
          </w:tcPr>
          <w:p w14:paraId="5F2D0392" w14:textId="77777777" w:rsidR="00E836FB" w:rsidRDefault="00E836FB">
            <w:pPr>
              <w:rPr>
                <w:rFonts w:ascii="宋体"/>
                <w:vanish/>
              </w:rPr>
            </w:pPr>
          </w:p>
        </w:tc>
        <w:tc>
          <w:tcPr>
            <w:tcW w:w="0" w:type="auto"/>
            <w:gridSpan w:val="3"/>
            <w:shd w:val="clear" w:color="auto" w:fill="auto"/>
            <w:vAlign w:val="bottom"/>
          </w:tcPr>
          <w:p w14:paraId="5F2D0393" w14:textId="77777777" w:rsidR="00E836FB" w:rsidRDefault="00E836FB">
            <w:pPr>
              <w:rPr>
                <w:rFonts w:ascii="宋体"/>
                <w:vanish/>
              </w:rPr>
            </w:pPr>
          </w:p>
        </w:tc>
        <w:tc>
          <w:tcPr>
            <w:tcW w:w="0" w:type="auto"/>
            <w:gridSpan w:val="3"/>
            <w:shd w:val="clear" w:color="auto" w:fill="auto"/>
            <w:vAlign w:val="bottom"/>
          </w:tcPr>
          <w:p w14:paraId="5F2D0394" w14:textId="77777777" w:rsidR="00E836FB" w:rsidRDefault="00E836FB">
            <w:pPr>
              <w:rPr>
                <w:rFonts w:ascii="宋体"/>
                <w:vanish/>
              </w:rPr>
            </w:pPr>
          </w:p>
        </w:tc>
        <w:tc>
          <w:tcPr>
            <w:tcW w:w="0" w:type="auto"/>
            <w:gridSpan w:val="3"/>
            <w:shd w:val="clear" w:color="auto" w:fill="auto"/>
            <w:vAlign w:val="bottom"/>
          </w:tcPr>
          <w:p w14:paraId="5F2D0395" w14:textId="77777777" w:rsidR="00E836FB" w:rsidRDefault="00E836FB">
            <w:pPr>
              <w:rPr>
                <w:rFonts w:ascii="宋体"/>
                <w:vanish/>
              </w:rPr>
            </w:pPr>
          </w:p>
        </w:tc>
        <w:tc>
          <w:tcPr>
            <w:tcW w:w="0" w:type="auto"/>
            <w:gridSpan w:val="3"/>
            <w:shd w:val="clear" w:color="auto" w:fill="auto"/>
            <w:vAlign w:val="bottom"/>
          </w:tcPr>
          <w:p w14:paraId="5F2D0396" w14:textId="77777777" w:rsidR="00E836FB" w:rsidRDefault="00E836FB">
            <w:pPr>
              <w:rPr>
                <w:rFonts w:ascii="宋体"/>
                <w:vanish/>
              </w:rPr>
            </w:pPr>
          </w:p>
        </w:tc>
        <w:tc>
          <w:tcPr>
            <w:tcW w:w="0" w:type="auto"/>
            <w:gridSpan w:val="3"/>
            <w:shd w:val="clear" w:color="auto" w:fill="auto"/>
            <w:vAlign w:val="bottom"/>
          </w:tcPr>
          <w:p w14:paraId="5F2D0397" w14:textId="77777777" w:rsidR="00E836FB" w:rsidRDefault="00E836FB">
            <w:pPr>
              <w:rPr>
                <w:rFonts w:ascii="宋体"/>
                <w:vanish/>
              </w:rPr>
            </w:pPr>
          </w:p>
        </w:tc>
        <w:tc>
          <w:tcPr>
            <w:tcW w:w="0" w:type="auto"/>
            <w:gridSpan w:val="3"/>
            <w:shd w:val="clear" w:color="auto" w:fill="auto"/>
            <w:vAlign w:val="bottom"/>
          </w:tcPr>
          <w:p w14:paraId="5F2D0398" w14:textId="77777777" w:rsidR="00E836FB" w:rsidRDefault="00E836FB">
            <w:pPr>
              <w:rPr>
                <w:rFonts w:ascii="宋体"/>
                <w:vanish/>
              </w:rPr>
            </w:pPr>
          </w:p>
        </w:tc>
        <w:tc>
          <w:tcPr>
            <w:tcW w:w="0" w:type="auto"/>
            <w:gridSpan w:val="3"/>
            <w:shd w:val="clear" w:color="auto" w:fill="auto"/>
            <w:vAlign w:val="bottom"/>
          </w:tcPr>
          <w:p w14:paraId="5F2D0399" w14:textId="77777777" w:rsidR="00E836FB" w:rsidRDefault="00E836FB">
            <w:pPr>
              <w:rPr>
                <w:rFonts w:ascii="宋体"/>
                <w:vanish/>
              </w:rPr>
            </w:pPr>
          </w:p>
        </w:tc>
        <w:tc>
          <w:tcPr>
            <w:tcW w:w="0" w:type="auto"/>
            <w:gridSpan w:val="3"/>
            <w:shd w:val="clear" w:color="auto" w:fill="auto"/>
            <w:vAlign w:val="bottom"/>
          </w:tcPr>
          <w:p w14:paraId="5F2D039A" w14:textId="77777777" w:rsidR="00E836FB" w:rsidRDefault="00E836FB">
            <w:pPr>
              <w:rPr>
                <w:rFonts w:ascii="宋体"/>
                <w:vanish/>
              </w:rPr>
            </w:pPr>
          </w:p>
        </w:tc>
        <w:tc>
          <w:tcPr>
            <w:tcW w:w="0" w:type="auto"/>
            <w:shd w:val="clear" w:color="auto" w:fill="auto"/>
            <w:vAlign w:val="bottom"/>
          </w:tcPr>
          <w:p w14:paraId="5F2D039B" w14:textId="77777777" w:rsidR="00E836FB" w:rsidRDefault="00E836FB">
            <w:pPr>
              <w:rPr>
                <w:rFonts w:ascii="宋体"/>
                <w:vanish/>
              </w:rPr>
            </w:pPr>
          </w:p>
        </w:tc>
        <w:tc>
          <w:tcPr>
            <w:tcW w:w="0" w:type="auto"/>
            <w:shd w:val="clear" w:color="auto" w:fill="auto"/>
            <w:vAlign w:val="bottom"/>
          </w:tcPr>
          <w:p w14:paraId="5F2D039C" w14:textId="77777777" w:rsidR="00E836FB" w:rsidRDefault="00E836FB">
            <w:pPr>
              <w:rPr>
                <w:rFonts w:ascii="宋体"/>
                <w:vanish/>
              </w:rPr>
            </w:pPr>
          </w:p>
        </w:tc>
        <w:tc>
          <w:tcPr>
            <w:tcW w:w="0" w:type="auto"/>
            <w:gridSpan w:val="3"/>
            <w:shd w:val="clear" w:color="auto" w:fill="auto"/>
            <w:vAlign w:val="bottom"/>
          </w:tcPr>
          <w:p w14:paraId="5F2D039D" w14:textId="77777777" w:rsidR="00E836FB" w:rsidRDefault="00E836FB">
            <w:pPr>
              <w:rPr>
                <w:rFonts w:ascii="宋体"/>
                <w:vanish/>
              </w:rPr>
            </w:pPr>
          </w:p>
        </w:tc>
        <w:tc>
          <w:tcPr>
            <w:tcW w:w="0" w:type="auto"/>
            <w:gridSpan w:val="3"/>
            <w:shd w:val="clear" w:color="auto" w:fill="auto"/>
            <w:vAlign w:val="bottom"/>
          </w:tcPr>
          <w:p w14:paraId="5F2D039E" w14:textId="77777777" w:rsidR="00E836FB" w:rsidRDefault="00E836FB">
            <w:pPr>
              <w:rPr>
                <w:rFonts w:ascii="宋体"/>
                <w:vanish/>
              </w:rPr>
            </w:pPr>
          </w:p>
        </w:tc>
        <w:tc>
          <w:tcPr>
            <w:tcW w:w="0" w:type="auto"/>
            <w:gridSpan w:val="3"/>
            <w:shd w:val="clear" w:color="auto" w:fill="auto"/>
            <w:vAlign w:val="bottom"/>
          </w:tcPr>
          <w:p w14:paraId="5F2D039F" w14:textId="77777777" w:rsidR="00E836FB" w:rsidRDefault="00E836FB">
            <w:pPr>
              <w:rPr>
                <w:rFonts w:ascii="宋体"/>
                <w:vanish/>
              </w:rPr>
            </w:pPr>
          </w:p>
        </w:tc>
        <w:tc>
          <w:tcPr>
            <w:tcW w:w="0" w:type="auto"/>
            <w:gridSpan w:val="3"/>
            <w:shd w:val="clear" w:color="auto" w:fill="auto"/>
            <w:vAlign w:val="bottom"/>
          </w:tcPr>
          <w:p w14:paraId="5F2D03A0" w14:textId="77777777" w:rsidR="00E836FB" w:rsidRDefault="00E836FB">
            <w:pPr>
              <w:rPr>
                <w:rFonts w:ascii="宋体"/>
                <w:vanish/>
              </w:rPr>
            </w:pPr>
          </w:p>
        </w:tc>
        <w:tc>
          <w:tcPr>
            <w:tcW w:w="0" w:type="auto"/>
            <w:gridSpan w:val="3"/>
            <w:shd w:val="clear" w:color="auto" w:fill="auto"/>
            <w:vAlign w:val="bottom"/>
          </w:tcPr>
          <w:p w14:paraId="5F2D03A1" w14:textId="77777777" w:rsidR="00E836FB" w:rsidRDefault="00E836FB">
            <w:pPr>
              <w:rPr>
                <w:rFonts w:ascii="宋体"/>
                <w:vanish/>
              </w:rPr>
            </w:pPr>
          </w:p>
        </w:tc>
        <w:tc>
          <w:tcPr>
            <w:tcW w:w="0" w:type="auto"/>
            <w:gridSpan w:val="3"/>
            <w:shd w:val="clear" w:color="auto" w:fill="auto"/>
            <w:vAlign w:val="bottom"/>
          </w:tcPr>
          <w:p w14:paraId="5F2D03A2" w14:textId="77777777" w:rsidR="00E836FB" w:rsidRDefault="00E836FB">
            <w:pPr>
              <w:rPr>
                <w:rFonts w:ascii="宋体"/>
                <w:vanish/>
              </w:rPr>
            </w:pPr>
          </w:p>
        </w:tc>
        <w:tc>
          <w:tcPr>
            <w:tcW w:w="0" w:type="auto"/>
            <w:gridSpan w:val="3"/>
            <w:shd w:val="clear" w:color="auto" w:fill="auto"/>
            <w:vAlign w:val="bottom"/>
          </w:tcPr>
          <w:p w14:paraId="5F2D03A3" w14:textId="77777777" w:rsidR="00E836FB" w:rsidRDefault="00E836FB">
            <w:pPr>
              <w:rPr>
                <w:rFonts w:ascii="宋体"/>
                <w:vanish/>
              </w:rPr>
            </w:pPr>
          </w:p>
        </w:tc>
        <w:tc>
          <w:tcPr>
            <w:tcW w:w="0" w:type="auto"/>
            <w:gridSpan w:val="3"/>
            <w:shd w:val="clear" w:color="auto" w:fill="auto"/>
            <w:vAlign w:val="bottom"/>
          </w:tcPr>
          <w:p w14:paraId="5F2D03A4" w14:textId="77777777" w:rsidR="00E836FB" w:rsidRDefault="00E836FB">
            <w:pPr>
              <w:rPr>
                <w:rFonts w:ascii="宋体"/>
                <w:vanish/>
              </w:rPr>
            </w:pPr>
          </w:p>
        </w:tc>
        <w:tc>
          <w:tcPr>
            <w:tcW w:w="0" w:type="auto"/>
            <w:gridSpan w:val="3"/>
            <w:shd w:val="clear" w:color="auto" w:fill="auto"/>
            <w:vAlign w:val="bottom"/>
          </w:tcPr>
          <w:p w14:paraId="5F2D03A5" w14:textId="77777777" w:rsidR="00E836FB" w:rsidRDefault="00E836FB">
            <w:pPr>
              <w:rPr>
                <w:rFonts w:ascii="宋体"/>
                <w:vanish/>
              </w:rPr>
            </w:pPr>
          </w:p>
        </w:tc>
        <w:tc>
          <w:tcPr>
            <w:tcW w:w="0" w:type="auto"/>
            <w:gridSpan w:val="2"/>
            <w:shd w:val="clear" w:color="auto" w:fill="auto"/>
            <w:vAlign w:val="bottom"/>
          </w:tcPr>
          <w:p w14:paraId="5F2D03A6" w14:textId="77777777" w:rsidR="00E836FB" w:rsidRDefault="00E836FB">
            <w:pPr>
              <w:rPr>
                <w:rFonts w:ascii="宋体"/>
                <w:vanish/>
              </w:rPr>
            </w:pPr>
          </w:p>
        </w:tc>
        <w:tc>
          <w:tcPr>
            <w:tcW w:w="0" w:type="auto"/>
            <w:shd w:val="clear" w:color="auto" w:fill="auto"/>
            <w:vAlign w:val="bottom"/>
          </w:tcPr>
          <w:p w14:paraId="5F2D03A7" w14:textId="77777777" w:rsidR="00E836FB" w:rsidRDefault="00E836FB">
            <w:pPr>
              <w:rPr>
                <w:rFonts w:ascii="宋体"/>
                <w:vanish/>
              </w:rPr>
            </w:pPr>
          </w:p>
        </w:tc>
      </w:tr>
      <w:tr w:rsidR="00E836FB" w14:paraId="5F2D03C8" w14:textId="77777777">
        <w:tc>
          <w:tcPr>
            <w:tcW w:w="0" w:type="auto"/>
            <w:gridSpan w:val="3"/>
            <w:shd w:val="clear" w:color="auto" w:fill="FFFFFF"/>
            <w:tcMar>
              <w:top w:w="40" w:type="dxa"/>
              <w:left w:w="20" w:type="dxa"/>
              <w:bottom w:w="40" w:type="dxa"/>
              <w:right w:w="20" w:type="dxa"/>
            </w:tcMar>
            <w:vAlign w:val="center"/>
          </w:tcPr>
          <w:p w14:paraId="5F2D03A9" w14:textId="77777777" w:rsidR="00E836FB" w:rsidRDefault="00994958">
            <w:pPr>
              <w:textAlignment w:val="center"/>
            </w:pPr>
            <w:r>
              <w:rPr>
                <w:rFonts w:ascii="Arial" w:eastAsia="宋体" w:hAnsi="Arial" w:cs="Arial"/>
                <w:color w:val="000000"/>
                <w:sz w:val="12"/>
                <w:szCs w:val="12"/>
              </w:rPr>
              <w:t xml:space="preserve">Total derivative </w:t>
            </w:r>
            <w:r>
              <w:rPr>
                <w:rFonts w:ascii="Arial" w:eastAsia="宋体" w:hAnsi="Arial" w:cs="Arial"/>
                <w:color w:val="000000"/>
                <w:sz w:val="12"/>
                <w:szCs w:val="12"/>
              </w:rPr>
              <w:t>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AA" w14:textId="77777777" w:rsidR="00E836FB" w:rsidRDefault="00994958">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A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AD" w14:textId="77777777" w:rsidR="00E836FB" w:rsidRDefault="00994958">
            <w:pPr>
              <w:jc w:val="right"/>
              <w:textAlignment w:val="center"/>
            </w:pPr>
            <w:r>
              <w:rPr>
                <w:rFonts w:ascii="Arial" w:eastAsia="宋体" w:hAnsi="Arial" w:cs="Arial"/>
                <w:b/>
                <w:bCs/>
                <w:color w:val="000000"/>
                <w:sz w:val="12"/>
                <w:szCs w:val="12"/>
              </w:rPr>
              <w:t>(3)</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A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B0"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B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B3" w14:textId="77777777" w:rsidR="00E836FB" w:rsidRDefault="00994958">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B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B5" w14:textId="77777777" w:rsidR="00E836FB" w:rsidRDefault="00E836FB">
            <w:pPr>
              <w:rPr>
                <w:rFonts w:ascii="宋体"/>
              </w:rPr>
            </w:pPr>
          </w:p>
        </w:tc>
        <w:tc>
          <w:tcPr>
            <w:tcW w:w="0" w:type="auto"/>
            <w:shd w:val="clear" w:color="auto" w:fill="auto"/>
            <w:vAlign w:val="bottom"/>
          </w:tcPr>
          <w:p w14:paraId="5F2D03B6" w14:textId="77777777" w:rsidR="00E836FB" w:rsidRDefault="00E836FB">
            <w:pPr>
              <w:rPr>
                <w:rFonts w:ascii="宋体"/>
                <w:vanish/>
              </w:rPr>
            </w:pPr>
          </w:p>
        </w:tc>
        <w:tc>
          <w:tcPr>
            <w:tcW w:w="0" w:type="auto"/>
            <w:shd w:val="clear" w:color="auto" w:fill="auto"/>
            <w:vAlign w:val="bottom"/>
          </w:tcPr>
          <w:p w14:paraId="5F2D03B7"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B8"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B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BB"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B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BE"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C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C1"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3C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3C4"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3C5"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3C6"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F2D03C7" w14:textId="77777777" w:rsidR="00E836FB" w:rsidRDefault="00994958">
            <w:pPr>
              <w:jc w:val="right"/>
              <w:textAlignment w:val="center"/>
            </w:pPr>
            <w:r>
              <w:rPr>
                <w:rFonts w:ascii="Arial" w:eastAsia="宋体" w:hAnsi="Arial" w:cs="Arial"/>
                <w:b/>
                <w:bCs/>
                <w:color w:val="000000"/>
                <w:sz w:val="12"/>
                <w:szCs w:val="12"/>
              </w:rPr>
              <w:t>(1)</w:t>
            </w:r>
          </w:p>
        </w:tc>
      </w:tr>
      <w:tr w:rsidR="00994958" w14:paraId="5F2D03F2" w14:textId="77777777">
        <w:tc>
          <w:tcPr>
            <w:tcW w:w="0" w:type="auto"/>
            <w:gridSpan w:val="3"/>
            <w:shd w:val="clear" w:color="auto" w:fill="CCEEFF"/>
            <w:tcMar>
              <w:top w:w="40" w:type="dxa"/>
              <w:left w:w="20" w:type="dxa"/>
              <w:bottom w:w="40" w:type="dxa"/>
              <w:right w:w="20" w:type="dxa"/>
            </w:tcMar>
            <w:vAlign w:val="center"/>
          </w:tcPr>
          <w:p w14:paraId="5F2D03C9" w14:textId="77777777" w:rsidR="00E836FB" w:rsidRDefault="00994958">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CA"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CB" w14:textId="77777777" w:rsidR="00E836FB" w:rsidRDefault="00994958">
            <w:pPr>
              <w:jc w:val="right"/>
              <w:textAlignment w:val="center"/>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C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CE"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CF" w14:textId="77777777" w:rsidR="00E836FB" w:rsidRDefault="00994958">
            <w:pPr>
              <w:jc w:val="right"/>
              <w:textAlignment w:val="center"/>
            </w:pPr>
            <w:r>
              <w:rPr>
                <w:rFonts w:ascii="Arial" w:eastAsia="宋体" w:hAnsi="Arial" w:cs="Arial"/>
                <w:b/>
                <w:bCs/>
                <w:color w:val="000000"/>
                <w:sz w:val="12"/>
                <w:szCs w:val="12"/>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D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D2"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D3"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D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D6"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D7" w14:textId="77777777" w:rsidR="00E836FB" w:rsidRDefault="00994958">
            <w:pPr>
              <w:jc w:val="right"/>
              <w:textAlignment w:val="center"/>
            </w:pPr>
            <w:r>
              <w:rPr>
                <w:rFonts w:ascii="Arial" w:eastAsia="宋体" w:hAnsi="Arial" w:cs="Arial"/>
                <w:b/>
                <w:bCs/>
                <w:color w:val="000000"/>
                <w:sz w:val="12"/>
                <w:szCs w:val="12"/>
              </w:rPr>
              <w:t>107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D9" w14:textId="77777777" w:rsidR="00E836FB" w:rsidRDefault="00E836FB">
            <w:pPr>
              <w:rPr>
                <w:rFonts w:ascii="宋体"/>
              </w:rPr>
            </w:pPr>
          </w:p>
        </w:tc>
        <w:tc>
          <w:tcPr>
            <w:tcW w:w="0" w:type="auto"/>
            <w:shd w:val="clear" w:color="auto" w:fill="auto"/>
            <w:vAlign w:val="bottom"/>
          </w:tcPr>
          <w:p w14:paraId="5F2D03DA" w14:textId="77777777" w:rsidR="00E836FB" w:rsidRDefault="00E836FB">
            <w:pPr>
              <w:rPr>
                <w:rFonts w:ascii="宋体"/>
                <w:vanish/>
              </w:rPr>
            </w:pPr>
          </w:p>
        </w:tc>
        <w:tc>
          <w:tcPr>
            <w:tcW w:w="0" w:type="auto"/>
            <w:shd w:val="clear" w:color="auto" w:fill="auto"/>
            <w:vAlign w:val="bottom"/>
          </w:tcPr>
          <w:p w14:paraId="5F2D03DB" w14:textId="77777777" w:rsidR="00E836FB" w:rsidRDefault="00E836FB">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DC"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DD"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D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E0"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E1"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E3"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E4"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E5" w14:textId="77777777" w:rsidR="00E836FB" w:rsidRDefault="00994958">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E7"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E8"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E9" w14:textId="77777777" w:rsidR="00E836FB" w:rsidRDefault="00994958">
            <w:pPr>
              <w:jc w:val="right"/>
              <w:textAlignment w:val="center"/>
            </w:pPr>
            <w:r>
              <w:rPr>
                <w:rFonts w:ascii="Arial" w:eastAsia="宋体" w:hAnsi="Arial" w:cs="Arial"/>
                <w:b/>
                <w:bCs/>
                <w:color w:val="000000"/>
                <w:sz w:val="12"/>
                <w:szCs w:val="12"/>
              </w:rPr>
              <w:t>(135)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3E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EC" w14:textId="77777777" w:rsidR="00E836FB" w:rsidRDefault="00994958">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03ED" w14:textId="77777777" w:rsidR="00E836FB" w:rsidRDefault="00994958">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03EE"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3E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03F0" w14:textId="77777777" w:rsidR="00E836FB" w:rsidRDefault="00994958">
            <w:pPr>
              <w:textAlignment w:val="center"/>
            </w:pPr>
            <w:r>
              <w:rPr>
                <w:rFonts w:ascii="Arial" w:eastAsia="宋体" w:hAnsi="Arial" w:cs="Arial"/>
                <w:b/>
                <w:bCs/>
                <w:color w:val="000000"/>
                <w:sz w:val="12"/>
                <w:szCs w:val="12"/>
              </w:rPr>
              <w:t>$</w:t>
            </w:r>
          </w:p>
          <w:p w14:paraId="5F2D03F1" w14:textId="77777777" w:rsidR="00E836FB" w:rsidRDefault="00994958">
            <w:pPr>
              <w:jc w:val="right"/>
              <w:textAlignment w:val="center"/>
            </w:pPr>
            <w:r>
              <w:rPr>
                <w:rFonts w:ascii="Arial" w:eastAsia="宋体" w:hAnsi="Arial" w:cs="Arial"/>
                <w:b/>
                <w:bCs/>
                <w:color w:val="000000"/>
                <w:sz w:val="12"/>
                <w:szCs w:val="12"/>
              </w:rPr>
              <w:t>(1)</w:t>
            </w:r>
          </w:p>
        </w:tc>
      </w:tr>
    </w:tbl>
    <w:p w14:paraId="5F2D03F3"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E836FB" w14:paraId="5F2D0400" w14:textId="77777777">
        <w:tc>
          <w:tcPr>
            <w:tcW w:w="50" w:type="pct"/>
            <w:shd w:val="clear" w:color="auto" w:fill="auto"/>
            <w:vAlign w:val="bottom"/>
          </w:tcPr>
          <w:p w14:paraId="5F2D03F4" w14:textId="77777777" w:rsidR="00E836FB" w:rsidRDefault="00E836FB">
            <w:pPr>
              <w:rPr>
                <w:rFonts w:ascii="宋体"/>
              </w:rPr>
            </w:pPr>
          </w:p>
        </w:tc>
        <w:tc>
          <w:tcPr>
            <w:tcW w:w="1348" w:type="pct"/>
            <w:shd w:val="clear" w:color="auto" w:fill="auto"/>
            <w:vAlign w:val="bottom"/>
          </w:tcPr>
          <w:p w14:paraId="5F2D03F5" w14:textId="77777777" w:rsidR="00E836FB" w:rsidRDefault="00E836FB">
            <w:pPr>
              <w:rPr>
                <w:rFonts w:ascii="宋体"/>
              </w:rPr>
            </w:pPr>
          </w:p>
        </w:tc>
        <w:tc>
          <w:tcPr>
            <w:tcW w:w="5" w:type="pct"/>
            <w:shd w:val="clear" w:color="auto" w:fill="auto"/>
            <w:vAlign w:val="bottom"/>
          </w:tcPr>
          <w:p w14:paraId="5F2D03F6" w14:textId="77777777" w:rsidR="00E836FB" w:rsidRDefault="00E836FB">
            <w:pPr>
              <w:rPr>
                <w:rFonts w:ascii="宋体"/>
              </w:rPr>
            </w:pPr>
          </w:p>
        </w:tc>
        <w:tc>
          <w:tcPr>
            <w:tcW w:w="50" w:type="pct"/>
            <w:shd w:val="clear" w:color="auto" w:fill="auto"/>
            <w:vAlign w:val="bottom"/>
          </w:tcPr>
          <w:p w14:paraId="5F2D03F7" w14:textId="77777777" w:rsidR="00E836FB" w:rsidRDefault="00E836FB">
            <w:pPr>
              <w:rPr>
                <w:rFonts w:ascii="宋体"/>
              </w:rPr>
            </w:pPr>
          </w:p>
        </w:tc>
        <w:tc>
          <w:tcPr>
            <w:tcW w:w="668" w:type="pct"/>
            <w:shd w:val="clear" w:color="auto" w:fill="auto"/>
            <w:vAlign w:val="bottom"/>
          </w:tcPr>
          <w:p w14:paraId="5F2D03F8" w14:textId="77777777" w:rsidR="00E836FB" w:rsidRDefault="00E836FB">
            <w:pPr>
              <w:rPr>
                <w:rFonts w:ascii="宋体"/>
              </w:rPr>
            </w:pPr>
          </w:p>
        </w:tc>
        <w:tc>
          <w:tcPr>
            <w:tcW w:w="5" w:type="pct"/>
            <w:shd w:val="clear" w:color="auto" w:fill="auto"/>
            <w:vAlign w:val="bottom"/>
          </w:tcPr>
          <w:p w14:paraId="5F2D03F9" w14:textId="77777777" w:rsidR="00E836FB" w:rsidRDefault="00E836FB">
            <w:pPr>
              <w:rPr>
                <w:rFonts w:ascii="宋体"/>
              </w:rPr>
            </w:pPr>
          </w:p>
        </w:tc>
        <w:tc>
          <w:tcPr>
            <w:tcW w:w="50" w:type="pct"/>
            <w:shd w:val="clear" w:color="auto" w:fill="auto"/>
            <w:vAlign w:val="bottom"/>
          </w:tcPr>
          <w:p w14:paraId="5F2D03FA" w14:textId="77777777" w:rsidR="00E836FB" w:rsidRDefault="00E836FB">
            <w:pPr>
              <w:rPr>
                <w:rFonts w:ascii="宋体"/>
              </w:rPr>
            </w:pPr>
          </w:p>
        </w:tc>
        <w:tc>
          <w:tcPr>
            <w:tcW w:w="909" w:type="pct"/>
            <w:shd w:val="clear" w:color="auto" w:fill="auto"/>
            <w:vAlign w:val="bottom"/>
          </w:tcPr>
          <w:p w14:paraId="5F2D03FB" w14:textId="77777777" w:rsidR="00E836FB" w:rsidRDefault="00E836FB">
            <w:pPr>
              <w:rPr>
                <w:rFonts w:ascii="宋体"/>
              </w:rPr>
            </w:pPr>
          </w:p>
        </w:tc>
        <w:tc>
          <w:tcPr>
            <w:tcW w:w="5" w:type="pct"/>
            <w:shd w:val="clear" w:color="auto" w:fill="auto"/>
            <w:vAlign w:val="bottom"/>
          </w:tcPr>
          <w:p w14:paraId="5F2D03FC" w14:textId="77777777" w:rsidR="00E836FB" w:rsidRDefault="00E836FB">
            <w:pPr>
              <w:rPr>
                <w:rFonts w:ascii="宋体"/>
              </w:rPr>
            </w:pPr>
          </w:p>
        </w:tc>
        <w:tc>
          <w:tcPr>
            <w:tcW w:w="50" w:type="pct"/>
            <w:shd w:val="clear" w:color="auto" w:fill="auto"/>
            <w:vAlign w:val="bottom"/>
          </w:tcPr>
          <w:p w14:paraId="5F2D03FD" w14:textId="77777777" w:rsidR="00E836FB" w:rsidRDefault="00E836FB">
            <w:pPr>
              <w:rPr>
                <w:rFonts w:ascii="宋体"/>
              </w:rPr>
            </w:pPr>
          </w:p>
        </w:tc>
        <w:tc>
          <w:tcPr>
            <w:tcW w:w="1852" w:type="pct"/>
            <w:shd w:val="clear" w:color="auto" w:fill="auto"/>
            <w:vAlign w:val="bottom"/>
          </w:tcPr>
          <w:p w14:paraId="5F2D03FE" w14:textId="77777777" w:rsidR="00E836FB" w:rsidRDefault="00E836FB">
            <w:pPr>
              <w:rPr>
                <w:rFonts w:ascii="宋体"/>
              </w:rPr>
            </w:pPr>
          </w:p>
        </w:tc>
        <w:tc>
          <w:tcPr>
            <w:tcW w:w="5" w:type="pct"/>
            <w:shd w:val="clear" w:color="auto" w:fill="auto"/>
            <w:vAlign w:val="bottom"/>
          </w:tcPr>
          <w:p w14:paraId="5F2D03FF" w14:textId="77777777" w:rsidR="00E836FB" w:rsidRDefault="00E836FB">
            <w:pPr>
              <w:rPr>
                <w:rFonts w:ascii="宋体"/>
              </w:rPr>
            </w:pPr>
          </w:p>
        </w:tc>
      </w:tr>
      <w:tr w:rsidR="00E836FB" w14:paraId="5F2D040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040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0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0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04" w14:textId="77777777" w:rsidR="00E836FB" w:rsidRDefault="00E836FB">
            <w:pPr>
              <w:rPr>
                <w:rFonts w:ascii="宋体"/>
              </w:rPr>
            </w:pPr>
          </w:p>
        </w:tc>
      </w:tr>
    </w:tbl>
    <w:p w14:paraId="5F2D0406" w14:textId="77777777" w:rsidR="00E836FB" w:rsidRDefault="00994958">
      <w:pPr>
        <w:jc w:val="both"/>
      </w:pPr>
      <w:r>
        <w:rPr>
          <w:rFonts w:ascii="Arial" w:eastAsia="宋体" w:hAnsi="Arial" w:cs="Arial"/>
          <w:color w:val="000000"/>
          <w:sz w:val="8"/>
          <w:szCs w:val="8"/>
        </w:rPr>
        <w:t>(1)</w:t>
      </w:r>
      <w:r>
        <w:rPr>
          <w:rFonts w:ascii="Arial" w:eastAsia="宋体" w:hAnsi="Arial" w:cs="Arial"/>
          <w:color w:val="000000"/>
          <w:sz w:val="13"/>
          <w:szCs w:val="13"/>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3"/>
          <w:szCs w:val="13"/>
        </w:rPr>
        <w:t xml:space="preserve"> trading services.</w:t>
      </w:r>
    </w:p>
    <w:p w14:paraId="5F2D0407" w14:textId="77777777" w:rsidR="00E836FB" w:rsidRDefault="00E836FB">
      <w:pPr>
        <w:spacing w:before="100"/>
      </w:pPr>
    </w:p>
    <w:tbl>
      <w:tblPr>
        <w:tblW w:w="5000" w:type="pct"/>
        <w:tblCellMar>
          <w:top w:w="15" w:type="dxa"/>
          <w:left w:w="15" w:type="dxa"/>
          <w:bottom w:w="15" w:type="dxa"/>
          <w:right w:w="15" w:type="dxa"/>
        </w:tblCellMar>
        <w:tblLook w:val="04A0" w:firstRow="1" w:lastRow="0" w:firstColumn="1" w:lastColumn="0" w:noHBand="0" w:noVBand="1"/>
      </w:tblPr>
      <w:tblGrid>
        <w:gridCol w:w="64"/>
        <w:gridCol w:w="851"/>
        <w:gridCol w:w="35"/>
        <w:gridCol w:w="84"/>
        <w:gridCol w:w="512"/>
        <w:gridCol w:w="35"/>
        <w:gridCol w:w="36"/>
        <w:gridCol w:w="35"/>
        <w:gridCol w:w="35"/>
        <w:gridCol w:w="84"/>
        <w:gridCol w:w="508"/>
        <w:gridCol w:w="37"/>
        <w:gridCol w:w="37"/>
        <w:gridCol w:w="36"/>
        <w:gridCol w:w="36"/>
        <w:gridCol w:w="91"/>
        <w:gridCol w:w="789"/>
        <w:gridCol w:w="36"/>
        <w:gridCol w:w="36"/>
        <w:gridCol w:w="36"/>
        <w:gridCol w:w="36"/>
        <w:gridCol w:w="88"/>
        <w:gridCol w:w="516"/>
        <w:gridCol w:w="36"/>
        <w:gridCol w:w="36"/>
        <w:gridCol w:w="36"/>
        <w:gridCol w:w="36"/>
        <w:gridCol w:w="36"/>
        <w:gridCol w:w="36"/>
        <w:gridCol w:w="85"/>
        <w:gridCol w:w="263"/>
        <w:gridCol w:w="36"/>
        <w:gridCol w:w="36"/>
        <w:gridCol w:w="36"/>
        <w:gridCol w:w="36"/>
        <w:gridCol w:w="87"/>
        <w:gridCol w:w="587"/>
        <w:gridCol w:w="36"/>
        <w:gridCol w:w="36"/>
        <w:gridCol w:w="36"/>
        <w:gridCol w:w="36"/>
        <w:gridCol w:w="87"/>
        <w:gridCol w:w="461"/>
        <w:gridCol w:w="36"/>
        <w:gridCol w:w="36"/>
        <w:gridCol w:w="36"/>
        <w:gridCol w:w="36"/>
        <w:gridCol w:w="87"/>
        <w:gridCol w:w="461"/>
        <w:gridCol w:w="36"/>
        <w:gridCol w:w="36"/>
        <w:gridCol w:w="36"/>
        <w:gridCol w:w="36"/>
        <w:gridCol w:w="86"/>
        <w:gridCol w:w="494"/>
        <w:gridCol w:w="36"/>
        <w:gridCol w:w="36"/>
        <w:gridCol w:w="36"/>
        <w:gridCol w:w="685"/>
      </w:tblGrid>
      <w:tr w:rsidR="00E836FB" w14:paraId="5F2D0443" w14:textId="77777777">
        <w:tc>
          <w:tcPr>
            <w:tcW w:w="50" w:type="pct"/>
            <w:shd w:val="clear" w:color="auto" w:fill="auto"/>
            <w:vAlign w:val="bottom"/>
          </w:tcPr>
          <w:p w14:paraId="5F2D0408" w14:textId="77777777" w:rsidR="00E836FB" w:rsidRDefault="00E836FB">
            <w:pPr>
              <w:rPr>
                <w:rFonts w:ascii="宋体"/>
              </w:rPr>
            </w:pPr>
          </w:p>
        </w:tc>
        <w:tc>
          <w:tcPr>
            <w:tcW w:w="800" w:type="pct"/>
            <w:shd w:val="clear" w:color="auto" w:fill="auto"/>
            <w:vAlign w:val="bottom"/>
          </w:tcPr>
          <w:p w14:paraId="5F2D0409" w14:textId="77777777" w:rsidR="00E836FB" w:rsidRDefault="00E836FB">
            <w:pPr>
              <w:rPr>
                <w:rFonts w:ascii="宋体"/>
              </w:rPr>
            </w:pPr>
          </w:p>
        </w:tc>
        <w:tc>
          <w:tcPr>
            <w:tcW w:w="5" w:type="pct"/>
            <w:shd w:val="clear" w:color="auto" w:fill="auto"/>
            <w:vAlign w:val="bottom"/>
          </w:tcPr>
          <w:p w14:paraId="5F2D040A" w14:textId="77777777" w:rsidR="00E836FB" w:rsidRDefault="00E836FB">
            <w:pPr>
              <w:rPr>
                <w:rFonts w:ascii="宋体"/>
              </w:rPr>
            </w:pPr>
          </w:p>
        </w:tc>
        <w:tc>
          <w:tcPr>
            <w:tcW w:w="50" w:type="pct"/>
            <w:shd w:val="clear" w:color="auto" w:fill="auto"/>
            <w:vAlign w:val="bottom"/>
          </w:tcPr>
          <w:p w14:paraId="5F2D040B" w14:textId="77777777" w:rsidR="00E836FB" w:rsidRDefault="00E836FB">
            <w:pPr>
              <w:rPr>
                <w:rFonts w:ascii="宋体"/>
              </w:rPr>
            </w:pPr>
          </w:p>
        </w:tc>
        <w:tc>
          <w:tcPr>
            <w:tcW w:w="390" w:type="pct"/>
            <w:shd w:val="clear" w:color="auto" w:fill="auto"/>
            <w:vAlign w:val="bottom"/>
          </w:tcPr>
          <w:p w14:paraId="5F2D040C" w14:textId="77777777" w:rsidR="00E836FB" w:rsidRDefault="00E836FB">
            <w:pPr>
              <w:rPr>
                <w:rFonts w:ascii="宋体"/>
              </w:rPr>
            </w:pPr>
          </w:p>
        </w:tc>
        <w:tc>
          <w:tcPr>
            <w:tcW w:w="5" w:type="pct"/>
            <w:shd w:val="clear" w:color="auto" w:fill="auto"/>
            <w:vAlign w:val="bottom"/>
          </w:tcPr>
          <w:p w14:paraId="5F2D040D" w14:textId="77777777" w:rsidR="00E836FB" w:rsidRDefault="00E836FB">
            <w:pPr>
              <w:rPr>
                <w:rFonts w:ascii="宋体"/>
              </w:rPr>
            </w:pPr>
          </w:p>
        </w:tc>
        <w:tc>
          <w:tcPr>
            <w:tcW w:w="5" w:type="pct"/>
            <w:shd w:val="clear" w:color="auto" w:fill="auto"/>
            <w:vAlign w:val="bottom"/>
          </w:tcPr>
          <w:p w14:paraId="5F2D040E" w14:textId="77777777" w:rsidR="00E836FB" w:rsidRDefault="00E836FB">
            <w:pPr>
              <w:rPr>
                <w:rFonts w:ascii="宋体"/>
              </w:rPr>
            </w:pPr>
          </w:p>
        </w:tc>
        <w:tc>
          <w:tcPr>
            <w:tcW w:w="19" w:type="pct"/>
            <w:shd w:val="clear" w:color="auto" w:fill="auto"/>
            <w:vAlign w:val="bottom"/>
          </w:tcPr>
          <w:p w14:paraId="5F2D040F" w14:textId="77777777" w:rsidR="00E836FB" w:rsidRDefault="00E836FB">
            <w:pPr>
              <w:rPr>
                <w:rFonts w:ascii="宋体"/>
              </w:rPr>
            </w:pPr>
          </w:p>
        </w:tc>
        <w:tc>
          <w:tcPr>
            <w:tcW w:w="5" w:type="pct"/>
            <w:shd w:val="clear" w:color="auto" w:fill="auto"/>
            <w:vAlign w:val="bottom"/>
          </w:tcPr>
          <w:p w14:paraId="5F2D0410" w14:textId="77777777" w:rsidR="00E836FB" w:rsidRDefault="00E836FB">
            <w:pPr>
              <w:rPr>
                <w:rFonts w:ascii="宋体"/>
              </w:rPr>
            </w:pPr>
          </w:p>
        </w:tc>
        <w:tc>
          <w:tcPr>
            <w:tcW w:w="50" w:type="pct"/>
            <w:shd w:val="clear" w:color="auto" w:fill="auto"/>
            <w:vAlign w:val="bottom"/>
          </w:tcPr>
          <w:p w14:paraId="5F2D0411" w14:textId="77777777" w:rsidR="00E836FB" w:rsidRDefault="00E836FB">
            <w:pPr>
              <w:rPr>
                <w:rFonts w:ascii="宋体"/>
              </w:rPr>
            </w:pPr>
          </w:p>
        </w:tc>
        <w:tc>
          <w:tcPr>
            <w:tcW w:w="317" w:type="pct"/>
            <w:shd w:val="clear" w:color="auto" w:fill="auto"/>
            <w:vAlign w:val="bottom"/>
          </w:tcPr>
          <w:p w14:paraId="5F2D0412" w14:textId="77777777" w:rsidR="00E836FB" w:rsidRDefault="00E836FB">
            <w:pPr>
              <w:rPr>
                <w:rFonts w:ascii="宋体"/>
              </w:rPr>
            </w:pPr>
          </w:p>
        </w:tc>
        <w:tc>
          <w:tcPr>
            <w:tcW w:w="5" w:type="pct"/>
            <w:shd w:val="clear" w:color="auto" w:fill="auto"/>
            <w:vAlign w:val="bottom"/>
          </w:tcPr>
          <w:p w14:paraId="5F2D0413" w14:textId="77777777" w:rsidR="00E836FB" w:rsidRDefault="00E836FB">
            <w:pPr>
              <w:rPr>
                <w:rFonts w:ascii="宋体"/>
              </w:rPr>
            </w:pPr>
          </w:p>
        </w:tc>
        <w:tc>
          <w:tcPr>
            <w:tcW w:w="5" w:type="pct"/>
            <w:shd w:val="clear" w:color="auto" w:fill="auto"/>
            <w:vAlign w:val="bottom"/>
          </w:tcPr>
          <w:p w14:paraId="5F2D0414" w14:textId="77777777" w:rsidR="00E836FB" w:rsidRDefault="00E836FB">
            <w:pPr>
              <w:rPr>
                <w:rFonts w:ascii="宋体"/>
              </w:rPr>
            </w:pPr>
          </w:p>
        </w:tc>
        <w:tc>
          <w:tcPr>
            <w:tcW w:w="19" w:type="pct"/>
            <w:shd w:val="clear" w:color="auto" w:fill="auto"/>
            <w:vAlign w:val="bottom"/>
          </w:tcPr>
          <w:p w14:paraId="5F2D0415" w14:textId="77777777" w:rsidR="00E836FB" w:rsidRDefault="00E836FB">
            <w:pPr>
              <w:rPr>
                <w:rFonts w:ascii="宋体"/>
              </w:rPr>
            </w:pPr>
          </w:p>
        </w:tc>
        <w:tc>
          <w:tcPr>
            <w:tcW w:w="5" w:type="pct"/>
            <w:shd w:val="clear" w:color="auto" w:fill="auto"/>
            <w:vAlign w:val="bottom"/>
          </w:tcPr>
          <w:p w14:paraId="5F2D0416" w14:textId="77777777" w:rsidR="00E836FB" w:rsidRDefault="00E836FB">
            <w:pPr>
              <w:rPr>
                <w:rFonts w:ascii="宋体"/>
              </w:rPr>
            </w:pPr>
          </w:p>
        </w:tc>
        <w:tc>
          <w:tcPr>
            <w:tcW w:w="50" w:type="pct"/>
            <w:shd w:val="clear" w:color="auto" w:fill="auto"/>
            <w:vAlign w:val="bottom"/>
          </w:tcPr>
          <w:p w14:paraId="5F2D0417" w14:textId="77777777" w:rsidR="00E836FB" w:rsidRDefault="00E836FB">
            <w:pPr>
              <w:rPr>
                <w:rFonts w:ascii="宋体"/>
              </w:rPr>
            </w:pPr>
          </w:p>
        </w:tc>
        <w:tc>
          <w:tcPr>
            <w:tcW w:w="449" w:type="pct"/>
            <w:shd w:val="clear" w:color="auto" w:fill="auto"/>
            <w:vAlign w:val="bottom"/>
          </w:tcPr>
          <w:p w14:paraId="5F2D0418" w14:textId="77777777" w:rsidR="00E836FB" w:rsidRDefault="00E836FB">
            <w:pPr>
              <w:rPr>
                <w:rFonts w:ascii="宋体"/>
              </w:rPr>
            </w:pPr>
          </w:p>
        </w:tc>
        <w:tc>
          <w:tcPr>
            <w:tcW w:w="5" w:type="pct"/>
            <w:shd w:val="clear" w:color="auto" w:fill="auto"/>
            <w:vAlign w:val="bottom"/>
          </w:tcPr>
          <w:p w14:paraId="5F2D0419" w14:textId="77777777" w:rsidR="00E836FB" w:rsidRDefault="00E836FB">
            <w:pPr>
              <w:rPr>
                <w:rFonts w:ascii="宋体"/>
              </w:rPr>
            </w:pPr>
          </w:p>
        </w:tc>
        <w:tc>
          <w:tcPr>
            <w:tcW w:w="5" w:type="pct"/>
            <w:shd w:val="clear" w:color="auto" w:fill="auto"/>
            <w:vAlign w:val="bottom"/>
          </w:tcPr>
          <w:p w14:paraId="5F2D041A" w14:textId="77777777" w:rsidR="00E836FB" w:rsidRDefault="00E836FB">
            <w:pPr>
              <w:rPr>
                <w:rFonts w:ascii="宋体"/>
              </w:rPr>
            </w:pPr>
          </w:p>
        </w:tc>
        <w:tc>
          <w:tcPr>
            <w:tcW w:w="19" w:type="pct"/>
            <w:shd w:val="clear" w:color="auto" w:fill="auto"/>
            <w:vAlign w:val="bottom"/>
          </w:tcPr>
          <w:p w14:paraId="5F2D041B" w14:textId="77777777" w:rsidR="00E836FB" w:rsidRDefault="00E836FB">
            <w:pPr>
              <w:rPr>
                <w:rFonts w:ascii="宋体"/>
              </w:rPr>
            </w:pPr>
          </w:p>
        </w:tc>
        <w:tc>
          <w:tcPr>
            <w:tcW w:w="5" w:type="pct"/>
            <w:shd w:val="clear" w:color="auto" w:fill="auto"/>
            <w:vAlign w:val="bottom"/>
          </w:tcPr>
          <w:p w14:paraId="5F2D041C" w14:textId="77777777" w:rsidR="00E836FB" w:rsidRDefault="00E836FB">
            <w:pPr>
              <w:rPr>
                <w:rFonts w:ascii="宋体"/>
              </w:rPr>
            </w:pPr>
          </w:p>
        </w:tc>
        <w:tc>
          <w:tcPr>
            <w:tcW w:w="50" w:type="pct"/>
            <w:shd w:val="clear" w:color="auto" w:fill="auto"/>
            <w:vAlign w:val="bottom"/>
          </w:tcPr>
          <w:p w14:paraId="5F2D041D" w14:textId="77777777" w:rsidR="00E836FB" w:rsidRDefault="00E836FB">
            <w:pPr>
              <w:rPr>
                <w:rFonts w:ascii="宋体"/>
              </w:rPr>
            </w:pPr>
          </w:p>
        </w:tc>
        <w:tc>
          <w:tcPr>
            <w:tcW w:w="303" w:type="pct"/>
            <w:shd w:val="clear" w:color="auto" w:fill="auto"/>
            <w:vAlign w:val="bottom"/>
          </w:tcPr>
          <w:p w14:paraId="5F2D041E" w14:textId="77777777" w:rsidR="00E836FB" w:rsidRDefault="00E836FB">
            <w:pPr>
              <w:rPr>
                <w:rFonts w:ascii="宋体"/>
              </w:rPr>
            </w:pPr>
          </w:p>
        </w:tc>
        <w:tc>
          <w:tcPr>
            <w:tcW w:w="5" w:type="pct"/>
            <w:shd w:val="clear" w:color="auto" w:fill="auto"/>
            <w:vAlign w:val="bottom"/>
          </w:tcPr>
          <w:p w14:paraId="5F2D041F" w14:textId="77777777" w:rsidR="00E836FB" w:rsidRDefault="00E836FB">
            <w:pPr>
              <w:rPr>
                <w:rFonts w:ascii="宋体"/>
              </w:rPr>
            </w:pPr>
          </w:p>
        </w:tc>
        <w:tc>
          <w:tcPr>
            <w:tcW w:w="0" w:type="auto"/>
            <w:shd w:val="clear" w:color="auto" w:fill="auto"/>
            <w:vAlign w:val="bottom"/>
          </w:tcPr>
          <w:p w14:paraId="5F2D0420" w14:textId="77777777" w:rsidR="00E836FB" w:rsidRDefault="00E836FB">
            <w:pPr>
              <w:rPr>
                <w:rFonts w:ascii="宋体"/>
                <w:vanish/>
              </w:rPr>
            </w:pPr>
          </w:p>
        </w:tc>
        <w:tc>
          <w:tcPr>
            <w:tcW w:w="0" w:type="auto"/>
            <w:shd w:val="clear" w:color="auto" w:fill="auto"/>
            <w:vAlign w:val="bottom"/>
          </w:tcPr>
          <w:p w14:paraId="5F2D0421" w14:textId="77777777" w:rsidR="00E836FB" w:rsidRDefault="00E836FB">
            <w:pPr>
              <w:rPr>
                <w:rFonts w:ascii="宋体"/>
                <w:vanish/>
              </w:rPr>
            </w:pPr>
          </w:p>
        </w:tc>
        <w:tc>
          <w:tcPr>
            <w:tcW w:w="5" w:type="pct"/>
            <w:shd w:val="clear" w:color="auto" w:fill="auto"/>
            <w:vAlign w:val="bottom"/>
          </w:tcPr>
          <w:p w14:paraId="5F2D0422" w14:textId="77777777" w:rsidR="00E836FB" w:rsidRDefault="00E836FB">
            <w:pPr>
              <w:rPr>
                <w:rFonts w:ascii="宋体"/>
              </w:rPr>
            </w:pPr>
          </w:p>
        </w:tc>
        <w:tc>
          <w:tcPr>
            <w:tcW w:w="19" w:type="pct"/>
            <w:shd w:val="clear" w:color="auto" w:fill="auto"/>
            <w:vAlign w:val="bottom"/>
          </w:tcPr>
          <w:p w14:paraId="5F2D0423" w14:textId="77777777" w:rsidR="00E836FB" w:rsidRDefault="00E836FB">
            <w:pPr>
              <w:rPr>
                <w:rFonts w:ascii="宋体"/>
              </w:rPr>
            </w:pPr>
          </w:p>
        </w:tc>
        <w:tc>
          <w:tcPr>
            <w:tcW w:w="5" w:type="pct"/>
            <w:shd w:val="clear" w:color="auto" w:fill="auto"/>
            <w:vAlign w:val="bottom"/>
          </w:tcPr>
          <w:p w14:paraId="5F2D0424" w14:textId="77777777" w:rsidR="00E836FB" w:rsidRDefault="00E836FB">
            <w:pPr>
              <w:rPr>
                <w:rFonts w:ascii="宋体"/>
              </w:rPr>
            </w:pPr>
          </w:p>
        </w:tc>
        <w:tc>
          <w:tcPr>
            <w:tcW w:w="50" w:type="pct"/>
            <w:shd w:val="clear" w:color="auto" w:fill="auto"/>
            <w:vAlign w:val="bottom"/>
          </w:tcPr>
          <w:p w14:paraId="5F2D0425" w14:textId="77777777" w:rsidR="00E836FB" w:rsidRDefault="00E836FB">
            <w:pPr>
              <w:rPr>
                <w:rFonts w:ascii="宋体"/>
              </w:rPr>
            </w:pPr>
          </w:p>
        </w:tc>
        <w:tc>
          <w:tcPr>
            <w:tcW w:w="200" w:type="pct"/>
            <w:shd w:val="clear" w:color="auto" w:fill="auto"/>
            <w:vAlign w:val="bottom"/>
          </w:tcPr>
          <w:p w14:paraId="5F2D0426" w14:textId="77777777" w:rsidR="00E836FB" w:rsidRDefault="00E836FB">
            <w:pPr>
              <w:rPr>
                <w:rFonts w:ascii="宋体"/>
              </w:rPr>
            </w:pPr>
          </w:p>
        </w:tc>
        <w:tc>
          <w:tcPr>
            <w:tcW w:w="5" w:type="pct"/>
            <w:shd w:val="clear" w:color="auto" w:fill="auto"/>
            <w:vAlign w:val="bottom"/>
          </w:tcPr>
          <w:p w14:paraId="5F2D0427" w14:textId="77777777" w:rsidR="00E836FB" w:rsidRDefault="00E836FB">
            <w:pPr>
              <w:rPr>
                <w:rFonts w:ascii="宋体"/>
              </w:rPr>
            </w:pPr>
          </w:p>
        </w:tc>
        <w:tc>
          <w:tcPr>
            <w:tcW w:w="5" w:type="pct"/>
            <w:shd w:val="clear" w:color="auto" w:fill="auto"/>
            <w:vAlign w:val="bottom"/>
          </w:tcPr>
          <w:p w14:paraId="5F2D0428" w14:textId="77777777" w:rsidR="00E836FB" w:rsidRDefault="00E836FB">
            <w:pPr>
              <w:rPr>
                <w:rFonts w:ascii="宋体"/>
              </w:rPr>
            </w:pPr>
          </w:p>
        </w:tc>
        <w:tc>
          <w:tcPr>
            <w:tcW w:w="19" w:type="pct"/>
            <w:shd w:val="clear" w:color="auto" w:fill="auto"/>
            <w:vAlign w:val="bottom"/>
          </w:tcPr>
          <w:p w14:paraId="5F2D0429" w14:textId="77777777" w:rsidR="00E836FB" w:rsidRDefault="00E836FB">
            <w:pPr>
              <w:rPr>
                <w:rFonts w:ascii="宋体"/>
              </w:rPr>
            </w:pPr>
          </w:p>
        </w:tc>
        <w:tc>
          <w:tcPr>
            <w:tcW w:w="5" w:type="pct"/>
            <w:shd w:val="clear" w:color="auto" w:fill="auto"/>
            <w:vAlign w:val="bottom"/>
          </w:tcPr>
          <w:p w14:paraId="5F2D042A" w14:textId="77777777" w:rsidR="00E836FB" w:rsidRDefault="00E836FB">
            <w:pPr>
              <w:rPr>
                <w:rFonts w:ascii="宋体"/>
              </w:rPr>
            </w:pPr>
          </w:p>
        </w:tc>
        <w:tc>
          <w:tcPr>
            <w:tcW w:w="50" w:type="pct"/>
            <w:shd w:val="clear" w:color="auto" w:fill="auto"/>
            <w:vAlign w:val="bottom"/>
          </w:tcPr>
          <w:p w14:paraId="5F2D042B" w14:textId="77777777" w:rsidR="00E836FB" w:rsidRDefault="00E836FB">
            <w:pPr>
              <w:rPr>
                <w:rFonts w:ascii="宋体"/>
              </w:rPr>
            </w:pPr>
          </w:p>
        </w:tc>
        <w:tc>
          <w:tcPr>
            <w:tcW w:w="347" w:type="pct"/>
            <w:shd w:val="clear" w:color="auto" w:fill="auto"/>
            <w:vAlign w:val="bottom"/>
          </w:tcPr>
          <w:p w14:paraId="5F2D042C" w14:textId="77777777" w:rsidR="00E836FB" w:rsidRDefault="00E836FB">
            <w:pPr>
              <w:rPr>
                <w:rFonts w:ascii="宋体"/>
              </w:rPr>
            </w:pPr>
          </w:p>
        </w:tc>
        <w:tc>
          <w:tcPr>
            <w:tcW w:w="5" w:type="pct"/>
            <w:shd w:val="clear" w:color="auto" w:fill="auto"/>
            <w:vAlign w:val="bottom"/>
          </w:tcPr>
          <w:p w14:paraId="5F2D042D" w14:textId="77777777" w:rsidR="00E836FB" w:rsidRDefault="00E836FB">
            <w:pPr>
              <w:rPr>
                <w:rFonts w:ascii="宋体"/>
              </w:rPr>
            </w:pPr>
          </w:p>
        </w:tc>
        <w:tc>
          <w:tcPr>
            <w:tcW w:w="5" w:type="pct"/>
            <w:shd w:val="clear" w:color="auto" w:fill="auto"/>
            <w:vAlign w:val="bottom"/>
          </w:tcPr>
          <w:p w14:paraId="5F2D042E" w14:textId="77777777" w:rsidR="00E836FB" w:rsidRDefault="00E836FB">
            <w:pPr>
              <w:rPr>
                <w:rFonts w:ascii="宋体"/>
              </w:rPr>
            </w:pPr>
          </w:p>
        </w:tc>
        <w:tc>
          <w:tcPr>
            <w:tcW w:w="19" w:type="pct"/>
            <w:shd w:val="clear" w:color="auto" w:fill="auto"/>
            <w:vAlign w:val="bottom"/>
          </w:tcPr>
          <w:p w14:paraId="5F2D042F" w14:textId="77777777" w:rsidR="00E836FB" w:rsidRDefault="00E836FB">
            <w:pPr>
              <w:rPr>
                <w:rFonts w:ascii="宋体"/>
              </w:rPr>
            </w:pPr>
          </w:p>
        </w:tc>
        <w:tc>
          <w:tcPr>
            <w:tcW w:w="5" w:type="pct"/>
            <w:shd w:val="clear" w:color="auto" w:fill="auto"/>
            <w:vAlign w:val="bottom"/>
          </w:tcPr>
          <w:p w14:paraId="5F2D0430" w14:textId="77777777" w:rsidR="00E836FB" w:rsidRDefault="00E836FB">
            <w:pPr>
              <w:rPr>
                <w:rFonts w:ascii="宋体"/>
              </w:rPr>
            </w:pPr>
          </w:p>
        </w:tc>
        <w:tc>
          <w:tcPr>
            <w:tcW w:w="50" w:type="pct"/>
            <w:shd w:val="clear" w:color="auto" w:fill="auto"/>
            <w:vAlign w:val="bottom"/>
          </w:tcPr>
          <w:p w14:paraId="5F2D0431" w14:textId="77777777" w:rsidR="00E836FB" w:rsidRDefault="00E836FB">
            <w:pPr>
              <w:rPr>
                <w:rFonts w:ascii="宋体"/>
              </w:rPr>
            </w:pPr>
          </w:p>
        </w:tc>
        <w:tc>
          <w:tcPr>
            <w:tcW w:w="273" w:type="pct"/>
            <w:shd w:val="clear" w:color="auto" w:fill="auto"/>
            <w:vAlign w:val="bottom"/>
          </w:tcPr>
          <w:p w14:paraId="5F2D0432" w14:textId="77777777" w:rsidR="00E836FB" w:rsidRDefault="00E836FB">
            <w:pPr>
              <w:rPr>
                <w:rFonts w:ascii="宋体"/>
              </w:rPr>
            </w:pPr>
          </w:p>
        </w:tc>
        <w:tc>
          <w:tcPr>
            <w:tcW w:w="5" w:type="pct"/>
            <w:shd w:val="clear" w:color="auto" w:fill="auto"/>
            <w:vAlign w:val="bottom"/>
          </w:tcPr>
          <w:p w14:paraId="5F2D0433" w14:textId="77777777" w:rsidR="00E836FB" w:rsidRDefault="00E836FB">
            <w:pPr>
              <w:rPr>
                <w:rFonts w:ascii="宋体"/>
              </w:rPr>
            </w:pPr>
          </w:p>
        </w:tc>
        <w:tc>
          <w:tcPr>
            <w:tcW w:w="5" w:type="pct"/>
            <w:shd w:val="clear" w:color="auto" w:fill="auto"/>
            <w:vAlign w:val="bottom"/>
          </w:tcPr>
          <w:p w14:paraId="5F2D0434" w14:textId="77777777" w:rsidR="00E836FB" w:rsidRDefault="00E836FB">
            <w:pPr>
              <w:rPr>
                <w:rFonts w:ascii="宋体"/>
              </w:rPr>
            </w:pPr>
          </w:p>
        </w:tc>
        <w:tc>
          <w:tcPr>
            <w:tcW w:w="19" w:type="pct"/>
            <w:shd w:val="clear" w:color="auto" w:fill="auto"/>
            <w:vAlign w:val="bottom"/>
          </w:tcPr>
          <w:p w14:paraId="5F2D0435" w14:textId="77777777" w:rsidR="00E836FB" w:rsidRDefault="00E836FB">
            <w:pPr>
              <w:rPr>
                <w:rFonts w:ascii="宋体"/>
              </w:rPr>
            </w:pPr>
          </w:p>
        </w:tc>
        <w:tc>
          <w:tcPr>
            <w:tcW w:w="5" w:type="pct"/>
            <w:shd w:val="clear" w:color="auto" w:fill="auto"/>
            <w:vAlign w:val="bottom"/>
          </w:tcPr>
          <w:p w14:paraId="5F2D0436" w14:textId="77777777" w:rsidR="00E836FB" w:rsidRDefault="00E836FB">
            <w:pPr>
              <w:rPr>
                <w:rFonts w:ascii="宋体"/>
              </w:rPr>
            </w:pPr>
          </w:p>
        </w:tc>
        <w:tc>
          <w:tcPr>
            <w:tcW w:w="50" w:type="pct"/>
            <w:shd w:val="clear" w:color="auto" w:fill="auto"/>
            <w:vAlign w:val="bottom"/>
          </w:tcPr>
          <w:p w14:paraId="5F2D0437" w14:textId="77777777" w:rsidR="00E836FB" w:rsidRDefault="00E836FB">
            <w:pPr>
              <w:rPr>
                <w:rFonts w:ascii="宋体"/>
              </w:rPr>
            </w:pPr>
          </w:p>
        </w:tc>
        <w:tc>
          <w:tcPr>
            <w:tcW w:w="273" w:type="pct"/>
            <w:shd w:val="clear" w:color="auto" w:fill="auto"/>
            <w:vAlign w:val="bottom"/>
          </w:tcPr>
          <w:p w14:paraId="5F2D0438" w14:textId="77777777" w:rsidR="00E836FB" w:rsidRDefault="00E836FB">
            <w:pPr>
              <w:rPr>
                <w:rFonts w:ascii="宋体"/>
              </w:rPr>
            </w:pPr>
          </w:p>
        </w:tc>
        <w:tc>
          <w:tcPr>
            <w:tcW w:w="5" w:type="pct"/>
            <w:shd w:val="clear" w:color="auto" w:fill="auto"/>
            <w:vAlign w:val="bottom"/>
          </w:tcPr>
          <w:p w14:paraId="5F2D0439" w14:textId="77777777" w:rsidR="00E836FB" w:rsidRDefault="00E836FB">
            <w:pPr>
              <w:rPr>
                <w:rFonts w:ascii="宋体"/>
              </w:rPr>
            </w:pPr>
          </w:p>
        </w:tc>
        <w:tc>
          <w:tcPr>
            <w:tcW w:w="5" w:type="pct"/>
            <w:shd w:val="clear" w:color="auto" w:fill="auto"/>
            <w:vAlign w:val="bottom"/>
          </w:tcPr>
          <w:p w14:paraId="5F2D043A" w14:textId="77777777" w:rsidR="00E836FB" w:rsidRDefault="00E836FB">
            <w:pPr>
              <w:rPr>
                <w:rFonts w:ascii="宋体"/>
              </w:rPr>
            </w:pPr>
          </w:p>
        </w:tc>
        <w:tc>
          <w:tcPr>
            <w:tcW w:w="19" w:type="pct"/>
            <w:shd w:val="clear" w:color="auto" w:fill="auto"/>
            <w:vAlign w:val="bottom"/>
          </w:tcPr>
          <w:p w14:paraId="5F2D043B" w14:textId="77777777" w:rsidR="00E836FB" w:rsidRDefault="00E836FB">
            <w:pPr>
              <w:rPr>
                <w:rFonts w:ascii="宋体"/>
              </w:rPr>
            </w:pPr>
          </w:p>
        </w:tc>
        <w:tc>
          <w:tcPr>
            <w:tcW w:w="5" w:type="pct"/>
            <w:shd w:val="clear" w:color="auto" w:fill="auto"/>
            <w:vAlign w:val="bottom"/>
          </w:tcPr>
          <w:p w14:paraId="5F2D043C" w14:textId="77777777" w:rsidR="00E836FB" w:rsidRDefault="00E836FB">
            <w:pPr>
              <w:rPr>
                <w:rFonts w:ascii="宋体"/>
              </w:rPr>
            </w:pPr>
          </w:p>
        </w:tc>
        <w:tc>
          <w:tcPr>
            <w:tcW w:w="50" w:type="pct"/>
            <w:shd w:val="clear" w:color="auto" w:fill="auto"/>
            <w:vAlign w:val="bottom"/>
          </w:tcPr>
          <w:p w14:paraId="5F2D043D" w14:textId="77777777" w:rsidR="00E836FB" w:rsidRDefault="00E836FB">
            <w:pPr>
              <w:rPr>
                <w:rFonts w:ascii="宋体"/>
              </w:rPr>
            </w:pPr>
          </w:p>
        </w:tc>
        <w:tc>
          <w:tcPr>
            <w:tcW w:w="295" w:type="pct"/>
            <w:shd w:val="clear" w:color="auto" w:fill="auto"/>
            <w:vAlign w:val="bottom"/>
          </w:tcPr>
          <w:p w14:paraId="5F2D043E" w14:textId="77777777" w:rsidR="00E836FB" w:rsidRDefault="00E836FB">
            <w:pPr>
              <w:rPr>
                <w:rFonts w:ascii="宋体"/>
              </w:rPr>
            </w:pPr>
          </w:p>
        </w:tc>
        <w:tc>
          <w:tcPr>
            <w:tcW w:w="5" w:type="pct"/>
            <w:shd w:val="clear" w:color="auto" w:fill="auto"/>
            <w:vAlign w:val="bottom"/>
          </w:tcPr>
          <w:p w14:paraId="5F2D043F" w14:textId="77777777" w:rsidR="00E836FB" w:rsidRDefault="00E836FB">
            <w:pPr>
              <w:rPr>
                <w:rFonts w:ascii="宋体"/>
              </w:rPr>
            </w:pPr>
          </w:p>
        </w:tc>
        <w:tc>
          <w:tcPr>
            <w:tcW w:w="5" w:type="pct"/>
            <w:shd w:val="clear" w:color="auto" w:fill="auto"/>
            <w:vAlign w:val="bottom"/>
          </w:tcPr>
          <w:p w14:paraId="5F2D0440" w14:textId="77777777" w:rsidR="00E836FB" w:rsidRDefault="00E836FB">
            <w:pPr>
              <w:rPr>
                <w:rFonts w:ascii="宋体"/>
              </w:rPr>
            </w:pPr>
          </w:p>
        </w:tc>
        <w:tc>
          <w:tcPr>
            <w:tcW w:w="19" w:type="pct"/>
            <w:shd w:val="clear" w:color="auto" w:fill="auto"/>
            <w:vAlign w:val="bottom"/>
          </w:tcPr>
          <w:p w14:paraId="5F2D0441" w14:textId="77777777" w:rsidR="00E836FB" w:rsidRDefault="00E836FB">
            <w:pPr>
              <w:rPr>
                <w:rFonts w:ascii="宋体"/>
              </w:rPr>
            </w:pPr>
          </w:p>
        </w:tc>
        <w:tc>
          <w:tcPr>
            <w:tcW w:w="5" w:type="pct"/>
            <w:shd w:val="clear" w:color="auto" w:fill="auto"/>
            <w:vAlign w:val="bottom"/>
          </w:tcPr>
          <w:p w14:paraId="5F2D0442" w14:textId="77777777" w:rsidR="00E836FB" w:rsidRDefault="00E836FB">
            <w:pPr>
              <w:rPr>
                <w:rFonts w:ascii="宋体"/>
              </w:rPr>
            </w:pPr>
          </w:p>
        </w:tc>
      </w:tr>
      <w:tr w:rsidR="00E836FB" w14:paraId="5F2D0449" w14:textId="77777777">
        <w:tc>
          <w:tcPr>
            <w:tcW w:w="0" w:type="auto"/>
            <w:gridSpan w:val="3"/>
            <w:shd w:val="clear" w:color="auto" w:fill="auto"/>
            <w:tcMar>
              <w:top w:w="0" w:type="dxa"/>
              <w:left w:w="20" w:type="dxa"/>
              <w:bottom w:w="0" w:type="dxa"/>
              <w:right w:w="20" w:type="dxa"/>
            </w:tcMar>
            <w:vAlign w:val="bottom"/>
          </w:tcPr>
          <w:p w14:paraId="5F2D0444" w14:textId="77777777" w:rsidR="00E836FB" w:rsidRDefault="00E836FB">
            <w:pPr>
              <w:rPr>
                <w:rFonts w:ascii="宋体"/>
              </w:rPr>
            </w:pPr>
          </w:p>
        </w:tc>
        <w:tc>
          <w:tcPr>
            <w:tcW w:w="0" w:type="auto"/>
            <w:gridSpan w:val="53"/>
            <w:shd w:val="clear" w:color="auto" w:fill="auto"/>
            <w:tcMar>
              <w:top w:w="40" w:type="dxa"/>
              <w:left w:w="20" w:type="dxa"/>
              <w:bottom w:w="40" w:type="dxa"/>
              <w:right w:w="20" w:type="dxa"/>
            </w:tcMar>
            <w:vAlign w:val="bottom"/>
          </w:tcPr>
          <w:p w14:paraId="5F2D0445" w14:textId="77777777" w:rsidR="00E836FB" w:rsidRDefault="00994958">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5F2D0446" w14:textId="77777777" w:rsidR="00E836FB" w:rsidRDefault="00E836FB">
            <w:pPr>
              <w:rPr>
                <w:rFonts w:ascii="宋体"/>
              </w:rPr>
            </w:pPr>
          </w:p>
        </w:tc>
        <w:tc>
          <w:tcPr>
            <w:tcW w:w="0" w:type="auto"/>
            <w:shd w:val="clear" w:color="auto" w:fill="auto"/>
            <w:vAlign w:val="bottom"/>
          </w:tcPr>
          <w:p w14:paraId="5F2D0447" w14:textId="77777777" w:rsidR="00E836FB" w:rsidRDefault="00E836FB">
            <w:pPr>
              <w:rPr>
                <w:rFonts w:ascii="宋体"/>
              </w:rPr>
            </w:pPr>
          </w:p>
        </w:tc>
        <w:tc>
          <w:tcPr>
            <w:tcW w:w="0" w:type="auto"/>
            <w:shd w:val="clear" w:color="auto" w:fill="auto"/>
            <w:vAlign w:val="bottom"/>
          </w:tcPr>
          <w:p w14:paraId="5F2D0448" w14:textId="77777777" w:rsidR="00E836FB" w:rsidRDefault="00E836FB">
            <w:pPr>
              <w:rPr>
                <w:rFonts w:ascii="宋体"/>
              </w:rPr>
            </w:pPr>
          </w:p>
        </w:tc>
      </w:tr>
      <w:tr w:rsidR="00E836FB" w14:paraId="5F2D044F" w14:textId="77777777">
        <w:tc>
          <w:tcPr>
            <w:tcW w:w="0" w:type="auto"/>
            <w:gridSpan w:val="3"/>
            <w:shd w:val="clear" w:color="auto" w:fill="auto"/>
            <w:tcMar>
              <w:top w:w="40" w:type="dxa"/>
              <w:left w:w="20" w:type="dxa"/>
              <w:bottom w:w="40" w:type="dxa"/>
              <w:right w:w="20" w:type="dxa"/>
            </w:tcMar>
          </w:tcPr>
          <w:p w14:paraId="5F2D044A" w14:textId="77777777" w:rsidR="00E836FB" w:rsidRDefault="00994958">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F2D044B" w14:textId="77777777" w:rsidR="00E836FB" w:rsidRDefault="00994958">
            <w:pPr>
              <w:jc w:val="center"/>
              <w:textAlignment w:val="bottom"/>
            </w:pPr>
            <w:r>
              <w:rPr>
                <w:rFonts w:ascii="Arial" w:eastAsia="宋体" w:hAnsi="Arial" w:cs="Arial"/>
                <w:b/>
                <w:bCs/>
                <w:color w:val="000000"/>
                <w:sz w:val="12"/>
                <w:szCs w:val="12"/>
              </w:rPr>
              <w:t>Year Ended December 31, 2020</w:t>
            </w:r>
          </w:p>
        </w:tc>
        <w:tc>
          <w:tcPr>
            <w:tcW w:w="0" w:type="auto"/>
            <w:shd w:val="clear" w:color="auto" w:fill="auto"/>
            <w:vAlign w:val="bottom"/>
          </w:tcPr>
          <w:p w14:paraId="5F2D044C" w14:textId="77777777" w:rsidR="00E836FB" w:rsidRDefault="00E836FB">
            <w:pPr>
              <w:rPr>
                <w:rFonts w:ascii="宋体"/>
              </w:rPr>
            </w:pPr>
          </w:p>
        </w:tc>
        <w:tc>
          <w:tcPr>
            <w:tcW w:w="0" w:type="auto"/>
            <w:shd w:val="clear" w:color="auto" w:fill="auto"/>
            <w:vAlign w:val="bottom"/>
          </w:tcPr>
          <w:p w14:paraId="5F2D044D" w14:textId="77777777" w:rsidR="00E836FB" w:rsidRDefault="00E836FB">
            <w:pPr>
              <w:rPr>
                <w:rFonts w:ascii="宋体"/>
              </w:rPr>
            </w:pPr>
          </w:p>
        </w:tc>
        <w:tc>
          <w:tcPr>
            <w:tcW w:w="0" w:type="auto"/>
            <w:shd w:val="clear" w:color="auto" w:fill="auto"/>
            <w:vAlign w:val="bottom"/>
          </w:tcPr>
          <w:p w14:paraId="5F2D044E" w14:textId="77777777" w:rsidR="00E836FB" w:rsidRDefault="00E836FB">
            <w:pPr>
              <w:rPr>
                <w:rFonts w:ascii="宋体"/>
              </w:rPr>
            </w:pPr>
          </w:p>
        </w:tc>
      </w:tr>
      <w:tr w:rsidR="00E836FB" w14:paraId="5F2D0465" w14:textId="77777777">
        <w:trPr>
          <w:trHeight w:val="480"/>
        </w:trPr>
        <w:tc>
          <w:tcPr>
            <w:tcW w:w="0" w:type="auto"/>
            <w:gridSpan w:val="3"/>
            <w:shd w:val="clear" w:color="auto" w:fill="auto"/>
            <w:tcMar>
              <w:top w:w="40" w:type="dxa"/>
              <w:left w:w="20" w:type="dxa"/>
              <w:bottom w:w="40" w:type="dxa"/>
              <w:right w:w="20" w:type="dxa"/>
            </w:tcMar>
          </w:tcPr>
          <w:p w14:paraId="5F2D0450" w14:textId="77777777" w:rsidR="00E836FB" w:rsidRDefault="00994958">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451" w14:textId="77777777" w:rsidR="00E836FB" w:rsidRDefault="00994958">
            <w:pPr>
              <w:jc w:val="center"/>
              <w:textAlignment w:val="bottom"/>
            </w:pPr>
            <w:r>
              <w:rPr>
                <w:rFonts w:ascii="Arial" w:eastAsia="宋体" w:hAnsi="Arial" w:cs="Arial"/>
                <w:b/>
                <w:bCs/>
                <w:color w:val="000000"/>
                <w:sz w:val="12"/>
                <w:szCs w:val="12"/>
              </w:rPr>
              <w:t xml:space="preserve">Fair Value </w:t>
            </w:r>
            <w:r>
              <w:rPr>
                <w:rFonts w:ascii="Arial" w:eastAsia="宋体" w:hAnsi="Arial" w:cs="Arial"/>
                <w:b/>
                <w:bCs/>
                <w:color w:val="000000"/>
                <w:sz w:val="12"/>
                <w:szCs w:val="12"/>
              </w:rPr>
              <w:br/>
              <w:t xml:space="preserve">as of </w:t>
            </w:r>
            <w:r>
              <w:rPr>
                <w:rFonts w:ascii="Arial" w:eastAsia="宋体" w:hAnsi="Arial" w:cs="Arial"/>
                <w:b/>
                <w:bCs/>
                <w:color w:val="000000"/>
                <w:sz w:val="12"/>
                <w:szCs w:val="12"/>
              </w:rPr>
              <w:br/>
            </w:r>
            <w:r>
              <w:rPr>
                <w:rFonts w:ascii="Arial" w:eastAsia="宋体" w:hAnsi="Arial" w:cs="Arial"/>
                <w:b/>
                <w:bCs/>
                <w:color w:val="000000"/>
                <w:sz w:val="12"/>
                <w:szCs w:val="12"/>
              </w:rPr>
              <w:t xml:space="preserve">December 31, </w:t>
            </w:r>
            <w:r>
              <w:rPr>
                <w:rFonts w:ascii="Arial" w:eastAsia="宋体" w:hAnsi="Arial" w:cs="Arial"/>
                <w:b/>
                <w:bCs/>
                <w:color w:val="000000"/>
                <w:sz w:val="12"/>
                <w:szCs w:val="12"/>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52"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453" w14:textId="77777777" w:rsidR="00E836FB" w:rsidRDefault="00994958">
            <w:pPr>
              <w:jc w:val="center"/>
              <w:textAlignment w:val="bottom"/>
            </w:pPr>
            <w:r>
              <w:rPr>
                <w:rFonts w:ascii="Arial" w:eastAsia="宋体" w:hAnsi="Arial" w:cs="Arial"/>
                <w:b/>
                <w:bCs/>
                <w:color w:val="000000"/>
                <w:sz w:val="12"/>
                <w:szCs w:val="12"/>
              </w:rPr>
              <w:t>Total Realized and</w:t>
            </w:r>
            <w:r>
              <w:rPr>
                <w:rFonts w:ascii="Arial" w:eastAsia="宋体" w:hAnsi="Arial" w:cs="Arial"/>
                <w:b/>
                <w:bCs/>
                <w:color w:val="000000"/>
                <w:sz w:val="12"/>
                <w:szCs w:val="12"/>
              </w:rPr>
              <w:br/>
              <w:t>Unrealized Gains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54"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455" w14:textId="77777777" w:rsidR="00E836FB" w:rsidRDefault="00994958">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5F2D0456" w14:textId="77777777" w:rsidR="00E836FB" w:rsidRDefault="00E836FB">
            <w:pPr>
              <w:rPr>
                <w:rFonts w:ascii="宋体"/>
                <w:vanish/>
              </w:rPr>
            </w:pPr>
          </w:p>
        </w:tc>
        <w:tc>
          <w:tcPr>
            <w:tcW w:w="0" w:type="auto"/>
            <w:shd w:val="clear" w:color="auto" w:fill="auto"/>
            <w:vAlign w:val="bottom"/>
          </w:tcPr>
          <w:p w14:paraId="5F2D0457" w14:textId="77777777" w:rsidR="00E836FB" w:rsidRDefault="00E836F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58"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459" w14:textId="77777777" w:rsidR="00E836FB" w:rsidRDefault="00994958">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5A"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45B" w14:textId="77777777" w:rsidR="00E836FB" w:rsidRDefault="00994958">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5C"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45D" w14:textId="77777777" w:rsidR="00E836FB" w:rsidRDefault="00994958">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5E"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45F" w14:textId="77777777" w:rsidR="00E836FB" w:rsidRDefault="00994958">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60"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461" w14:textId="77777777" w:rsidR="00E836FB" w:rsidRDefault="00994958">
            <w:pPr>
              <w:jc w:val="center"/>
              <w:textAlignment w:val="bottom"/>
            </w:pPr>
            <w:r>
              <w:rPr>
                <w:rFonts w:ascii="Arial" w:eastAsia="宋体" w:hAnsi="Arial" w:cs="Arial"/>
                <w:b/>
                <w:bCs/>
                <w:color w:val="000000"/>
                <w:sz w:val="12"/>
                <w:szCs w:val="12"/>
              </w:rPr>
              <w:t>Fair Value </w:t>
            </w:r>
          </w:p>
          <w:p w14:paraId="5F2D0462" w14:textId="77777777" w:rsidR="00E836FB" w:rsidRDefault="00994958">
            <w:pPr>
              <w:jc w:val="center"/>
              <w:textAlignment w:val="bottom"/>
            </w:pPr>
            <w:r>
              <w:rPr>
                <w:rFonts w:ascii="Arial" w:eastAsia="宋体" w:hAnsi="Arial" w:cs="Arial"/>
                <w:b/>
                <w:bCs/>
                <w:color w:val="000000"/>
                <w:sz w:val="12"/>
                <w:szCs w:val="12"/>
              </w:rPr>
              <w:t>as of December 31, 2020</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F2D0463" w14:textId="77777777" w:rsidR="00E836FB" w:rsidRDefault="00E836FB">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F2D0464" w14:textId="77777777" w:rsidR="00E836FB" w:rsidRDefault="00994958">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December 31, 2020</w:t>
            </w:r>
          </w:p>
        </w:tc>
      </w:tr>
      <w:tr w:rsidR="00E836FB" w14:paraId="5F2D047B" w14:textId="77777777">
        <w:trPr>
          <w:trHeight w:val="580"/>
        </w:trPr>
        <w:tc>
          <w:tcPr>
            <w:tcW w:w="0" w:type="auto"/>
            <w:gridSpan w:val="3"/>
            <w:shd w:val="clear" w:color="auto" w:fill="auto"/>
            <w:tcMar>
              <w:top w:w="40" w:type="dxa"/>
              <w:left w:w="20" w:type="dxa"/>
              <w:bottom w:w="40" w:type="dxa"/>
              <w:right w:w="20" w:type="dxa"/>
            </w:tcMar>
            <w:vAlign w:val="bottom"/>
          </w:tcPr>
          <w:p w14:paraId="5F2D0466" w14:textId="77777777" w:rsidR="00E836FB" w:rsidRDefault="00994958">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467"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46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469" w14:textId="77777777" w:rsidR="00E836FB" w:rsidRDefault="00994958">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6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46B" w14:textId="77777777" w:rsidR="00E836FB" w:rsidRDefault="00994958">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5F2D046C"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46D" w14:textId="77777777" w:rsidR="00E836FB" w:rsidRDefault="00E836FB">
            <w:pPr>
              <w:jc w:val="center"/>
              <w:rPr>
                <w:rFonts w:ascii="宋体"/>
              </w:rPr>
            </w:pPr>
          </w:p>
        </w:tc>
        <w:tc>
          <w:tcPr>
            <w:tcW w:w="0" w:type="auto"/>
            <w:shd w:val="clear" w:color="auto" w:fill="auto"/>
            <w:vAlign w:val="bottom"/>
          </w:tcPr>
          <w:p w14:paraId="5F2D046E" w14:textId="77777777" w:rsidR="00E836FB" w:rsidRDefault="00E836FB">
            <w:pPr>
              <w:rPr>
                <w:rFonts w:ascii="宋体"/>
                <w:vanish/>
              </w:rPr>
            </w:pPr>
          </w:p>
        </w:tc>
        <w:tc>
          <w:tcPr>
            <w:tcW w:w="0" w:type="auto"/>
            <w:shd w:val="clear" w:color="auto" w:fill="auto"/>
            <w:vAlign w:val="bottom"/>
          </w:tcPr>
          <w:p w14:paraId="5F2D046F"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0470"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471"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472"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473"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474"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475"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476"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477"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0478"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47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7A" w14:textId="77777777" w:rsidR="00E836FB" w:rsidRDefault="00E836FB">
            <w:pPr>
              <w:rPr>
                <w:rFonts w:ascii="宋体"/>
              </w:rPr>
            </w:pPr>
          </w:p>
        </w:tc>
      </w:tr>
      <w:tr w:rsidR="00E836FB" w14:paraId="5F2D0492" w14:textId="77777777">
        <w:tc>
          <w:tcPr>
            <w:tcW w:w="0" w:type="auto"/>
            <w:gridSpan w:val="3"/>
            <w:shd w:val="clear" w:color="auto" w:fill="auto"/>
            <w:tcMar>
              <w:top w:w="40" w:type="dxa"/>
              <w:left w:w="20" w:type="dxa"/>
              <w:bottom w:w="40" w:type="dxa"/>
              <w:right w:w="20" w:type="dxa"/>
            </w:tcMar>
            <w:vAlign w:val="center"/>
          </w:tcPr>
          <w:p w14:paraId="5F2D047C" w14:textId="77777777" w:rsidR="00E836FB" w:rsidRDefault="00994958">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7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7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7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8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8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8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83" w14:textId="77777777" w:rsidR="00E836FB" w:rsidRDefault="00E836FB">
            <w:pPr>
              <w:rPr>
                <w:rFonts w:ascii="宋体"/>
              </w:rPr>
            </w:pPr>
          </w:p>
        </w:tc>
        <w:tc>
          <w:tcPr>
            <w:tcW w:w="0" w:type="auto"/>
            <w:shd w:val="clear" w:color="auto" w:fill="auto"/>
            <w:vAlign w:val="bottom"/>
          </w:tcPr>
          <w:p w14:paraId="5F2D0484" w14:textId="77777777" w:rsidR="00E836FB" w:rsidRDefault="00E836FB">
            <w:pPr>
              <w:rPr>
                <w:rFonts w:ascii="宋体"/>
                <w:vanish/>
              </w:rPr>
            </w:pPr>
          </w:p>
        </w:tc>
        <w:tc>
          <w:tcPr>
            <w:tcW w:w="0" w:type="auto"/>
            <w:shd w:val="clear" w:color="auto" w:fill="auto"/>
            <w:vAlign w:val="bottom"/>
          </w:tcPr>
          <w:p w14:paraId="5F2D0485"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048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8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8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8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8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8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48F" w14:textId="77777777" w:rsidR="00E836FB" w:rsidRDefault="00E836FB">
            <w:pPr>
              <w:rPr>
                <w:rFonts w:ascii="宋体"/>
              </w:rPr>
            </w:pPr>
          </w:p>
        </w:tc>
        <w:tc>
          <w:tcPr>
            <w:tcW w:w="0" w:type="auto"/>
            <w:gridSpan w:val="2"/>
            <w:shd w:val="clear" w:color="auto" w:fill="auto"/>
            <w:tcMar>
              <w:top w:w="0" w:type="dxa"/>
              <w:left w:w="20" w:type="dxa"/>
              <w:bottom w:w="0" w:type="dxa"/>
              <w:right w:w="20" w:type="dxa"/>
            </w:tcMar>
            <w:vAlign w:val="bottom"/>
          </w:tcPr>
          <w:p w14:paraId="5F2D0490" w14:textId="77777777" w:rsidR="00E836FB" w:rsidRDefault="00E836FB">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F2D0491" w14:textId="77777777" w:rsidR="00E836FB" w:rsidRDefault="00E836FB">
            <w:pPr>
              <w:rPr>
                <w:rFonts w:ascii="宋体"/>
              </w:rPr>
            </w:pPr>
          </w:p>
        </w:tc>
      </w:tr>
      <w:tr w:rsidR="00E836FB" w14:paraId="5F2D04A9" w14:textId="77777777">
        <w:tc>
          <w:tcPr>
            <w:tcW w:w="0" w:type="auto"/>
            <w:gridSpan w:val="3"/>
            <w:shd w:val="clear" w:color="auto" w:fill="auto"/>
            <w:tcMar>
              <w:top w:w="40" w:type="dxa"/>
              <w:left w:w="20" w:type="dxa"/>
              <w:bottom w:w="40" w:type="dxa"/>
              <w:right w:w="20" w:type="dxa"/>
            </w:tcMar>
            <w:vAlign w:val="center"/>
          </w:tcPr>
          <w:p w14:paraId="5F2D0493" w14:textId="77777777" w:rsidR="00E836FB" w:rsidRDefault="00994958">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5F2D04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A" w14:textId="77777777" w:rsidR="00E836FB" w:rsidRDefault="00E836FB">
            <w:pPr>
              <w:rPr>
                <w:rFonts w:ascii="宋体"/>
              </w:rPr>
            </w:pPr>
          </w:p>
        </w:tc>
        <w:tc>
          <w:tcPr>
            <w:tcW w:w="0" w:type="auto"/>
            <w:shd w:val="clear" w:color="auto" w:fill="auto"/>
            <w:vAlign w:val="bottom"/>
          </w:tcPr>
          <w:p w14:paraId="5F2D049B" w14:textId="77777777" w:rsidR="00E836FB" w:rsidRDefault="00E836FB">
            <w:pPr>
              <w:rPr>
                <w:rFonts w:ascii="宋体"/>
                <w:vanish/>
              </w:rPr>
            </w:pPr>
          </w:p>
        </w:tc>
        <w:tc>
          <w:tcPr>
            <w:tcW w:w="0" w:type="auto"/>
            <w:shd w:val="clear" w:color="auto" w:fill="auto"/>
            <w:vAlign w:val="bottom"/>
          </w:tcPr>
          <w:p w14:paraId="5F2D049C"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04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A6" w14:textId="77777777" w:rsidR="00E836FB" w:rsidRDefault="00E836FB">
            <w:pPr>
              <w:rPr>
                <w:rFonts w:ascii="宋体"/>
              </w:rPr>
            </w:pPr>
          </w:p>
        </w:tc>
        <w:tc>
          <w:tcPr>
            <w:tcW w:w="0" w:type="auto"/>
            <w:gridSpan w:val="2"/>
            <w:shd w:val="clear" w:color="auto" w:fill="auto"/>
            <w:tcMar>
              <w:top w:w="0" w:type="dxa"/>
              <w:left w:w="20" w:type="dxa"/>
              <w:bottom w:w="0" w:type="dxa"/>
              <w:right w:w="20" w:type="dxa"/>
            </w:tcMar>
            <w:vAlign w:val="bottom"/>
          </w:tcPr>
          <w:p w14:paraId="5F2D04A7" w14:textId="77777777" w:rsidR="00E836FB" w:rsidRDefault="00E836FB">
            <w:pPr>
              <w:rPr>
                <w:rFonts w:ascii="宋体"/>
              </w:rPr>
            </w:pPr>
          </w:p>
        </w:tc>
        <w:tc>
          <w:tcPr>
            <w:tcW w:w="0" w:type="auto"/>
            <w:shd w:val="clear" w:color="auto" w:fill="auto"/>
            <w:tcMar>
              <w:top w:w="0" w:type="dxa"/>
              <w:left w:w="20" w:type="dxa"/>
              <w:bottom w:w="0" w:type="dxa"/>
              <w:right w:w="20" w:type="dxa"/>
            </w:tcMar>
            <w:vAlign w:val="bottom"/>
          </w:tcPr>
          <w:p w14:paraId="5F2D04A8" w14:textId="77777777" w:rsidR="00E836FB" w:rsidRDefault="00E836FB">
            <w:pPr>
              <w:rPr>
                <w:rFonts w:ascii="宋体"/>
              </w:rPr>
            </w:pPr>
          </w:p>
        </w:tc>
      </w:tr>
      <w:tr w:rsidR="00E836FB" w14:paraId="5F2D04C0" w14:textId="77777777">
        <w:trPr>
          <w:hidden/>
        </w:trPr>
        <w:tc>
          <w:tcPr>
            <w:tcW w:w="0" w:type="auto"/>
            <w:gridSpan w:val="3"/>
            <w:shd w:val="clear" w:color="auto" w:fill="auto"/>
            <w:vAlign w:val="bottom"/>
          </w:tcPr>
          <w:p w14:paraId="5F2D04AA" w14:textId="77777777" w:rsidR="00E836FB" w:rsidRDefault="00E836FB">
            <w:pPr>
              <w:rPr>
                <w:rFonts w:ascii="宋体"/>
                <w:vanish/>
              </w:rPr>
            </w:pPr>
          </w:p>
        </w:tc>
        <w:tc>
          <w:tcPr>
            <w:tcW w:w="0" w:type="auto"/>
            <w:gridSpan w:val="3"/>
            <w:shd w:val="clear" w:color="auto" w:fill="auto"/>
            <w:vAlign w:val="bottom"/>
          </w:tcPr>
          <w:p w14:paraId="5F2D04AB" w14:textId="77777777" w:rsidR="00E836FB" w:rsidRDefault="00E836FB">
            <w:pPr>
              <w:rPr>
                <w:rFonts w:ascii="宋体"/>
                <w:vanish/>
              </w:rPr>
            </w:pPr>
          </w:p>
        </w:tc>
        <w:tc>
          <w:tcPr>
            <w:tcW w:w="0" w:type="auto"/>
            <w:gridSpan w:val="3"/>
            <w:shd w:val="clear" w:color="auto" w:fill="auto"/>
            <w:vAlign w:val="bottom"/>
          </w:tcPr>
          <w:p w14:paraId="5F2D04AC" w14:textId="77777777" w:rsidR="00E836FB" w:rsidRDefault="00E836FB">
            <w:pPr>
              <w:rPr>
                <w:rFonts w:ascii="宋体"/>
                <w:vanish/>
              </w:rPr>
            </w:pPr>
          </w:p>
        </w:tc>
        <w:tc>
          <w:tcPr>
            <w:tcW w:w="0" w:type="auto"/>
            <w:gridSpan w:val="3"/>
            <w:shd w:val="clear" w:color="auto" w:fill="auto"/>
            <w:vAlign w:val="bottom"/>
          </w:tcPr>
          <w:p w14:paraId="5F2D04AD" w14:textId="77777777" w:rsidR="00E836FB" w:rsidRDefault="00E836FB">
            <w:pPr>
              <w:rPr>
                <w:rFonts w:ascii="宋体"/>
                <w:vanish/>
              </w:rPr>
            </w:pPr>
          </w:p>
        </w:tc>
        <w:tc>
          <w:tcPr>
            <w:tcW w:w="0" w:type="auto"/>
            <w:gridSpan w:val="3"/>
            <w:shd w:val="clear" w:color="auto" w:fill="auto"/>
            <w:vAlign w:val="bottom"/>
          </w:tcPr>
          <w:p w14:paraId="5F2D04AE" w14:textId="77777777" w:rsidR="00E836FB" w:rsidRDefault="00E836FB">
            <w:pPr>
              <w:rPr>
                <w:rFonts w:ascii="宋体"/>
                <w:vanish/>
              </w:rPr>
            </w:pPr>
          </w:p>
        </w:tc>
        <w:tc>
          <w:tcPr>
            <w:tcW w:w="0" w:type="auto"/>
            <w:gridSpan w:val="3"/>
            <w:shd w:val="clear" w:color="auto" w:fill="auto"/>
            <w:vAlign w:val="bottom"/>
          </w:tcPr>
          <w:p w14:paraId="5F2D04AF" w14:textId="77777777" w:rsidR="00E836FB" w:rsidRDefault="00E836FB">
            <w:pPr>
              <w:rPr>
                <w:rFonts w:ascii="宋体"/>
                <w:vanish/>
              </w:rPr>
            </w:pPr>
          </w:p>
        </w:tc>
        <w:tc>
          <w:tcPr>
            <w:tcW w:w="0" w:type="auto"/>
            <w:gridSpan w:val="3"/>
            <w:shd w:val="clear" w:color="auto" w:fill="auto"/>
            <w:vAlign w:val="bottom"/>
          </w:tcPr>
          <w:p w14:paraId="5F2D04B0" w14:textId="77777777" w:rsidR="00E836FB" w:rsidRDefault="00E836FB">
            <w:pPr>
              <w:rPr>
                <w:rFonts w:ascii="宋体"/>
                <w:vanish/>
              </w:rPr>
            </w:pPr>
          </w:p>
        </w:tc>
        <w:tc>
          <w:tcPr>
            <w:tcW w:w="0" w:type="auto"/>
            <w:gridSpan w:val="3"/>
            <w:shd w:val="clear" w:color="auto" w:fill="auto"/>
            <w:vAlign w:val="bottom"/>
          </w:tcPr>
          <w:p w14:paraId="5F2D04B1" w14:textId="77777777" w:rsidR="00E836FB" w:rsidRDefault="00E836FB">
            <w:pPr>
              <w:rPr>
                <w:rFonts w:ascii="宋体"/>
                <w:vanish/>
              </w:rPr>
            </w:pPr>
          </w:p>
        </w:tc>
        <w:tc>
          <w:tcPr>
            <w:tcW w:w="0" w:type="auto"/>
            <w:shd w:val="clear" w:color="auto" w:fill="auto"/>
            <w:vAlign w:val="bottom"/>
          </w:tcPr>
          <w:p w14:paraId="5F2D04B2" w14:textId="77777777" w:rsidR="00E836FB" w:rsidRDefault="00E836FB">
            <w:pPr>
              <w:rPr>
                <w:rFonts w:ascii="宋体"/>
                <w:vanish/>
              </w:rPr>
            </w:pPr>
          </w:p>
        </w:tc>
        <w:tc>
          <w:tcPr>
            <w:tcW w:w="0" w:type="auto"/>
            <w:shd w:val="clear" w:color="auto" w:fill="auto"/>
            <w:vAlign w:val="bottom"/>
          </w:tcPr>
          <w:p w14:paraId="5F2D04B3" w14:textId="77777777" w:rsidR="00E836FB" w:rsidRDefault="00E836FB">
            <w:pPr>
              <w:rPr>
                <w:rFonts w:ascii="宋体"/>
                <w:vanish/>
              </w:rPr>
            </w:pPr>
          </w:p>
        </w:tc>
        <w:tc>
          <w:tcPr>
            <w:tcW w:w="0" w:type="auto"/>
            <w:gridSpan w:val="3"/>
            <w:shd w:val="clear" w:color="auto" w:fill="auto"/>
            <w:vAlign w:val="bottom"/>
          </w:tcPr>
          <w:p w14:paraId="5F2D04B4" w14:textId="77777777" w:rsidR="00E836FB" w:rsidRDefault="00E836FB">
            <w:pPr>
              <w:rPr>
                <w:rFonts w:ascii="宋体"/>
                <w:vanish/>
              </w:rPr>
            </w:pPr>
          </w:p>
        </w:tc>
        <w:tc>
          <w:tcPr>
            <w:tcW w:w="0" w:type="auto"/>
            <w:gridSpan w:val="3"/>
            <w:shd w:val="clear" w:color="auto" w:fill="auto"/>
            <w:vAlign w:val="bottom"/>
          </w:tcPr>
          <w:p w14:paraId="5F2D04B5" w14:textId="77777777" w:rsidR="00E836FB" w:rsidRDefault="00E836FB">
            <w:pPr>
              <w:rPr>
                <w:rFonts w:ascii="宋体"/>
                <w:vanish/>
              </w:rPr>
            </w:pPr>
          </w:p>
        </w:tc>
        <w:tc>
          <w:tcPr>
            <w:tcW w:w="0" w:type="auto"/>
            <w:gridSpan w:val="3"/>
            <w:shd w:val="clear" w:color="auto" w:fill="auto"/>
            <w:vAlign w:val="bottom"/>
          </w:tcPr>
          <w:p w14:paraId="5F2D04B6" w14:textId="77777777" w:rsidR="00E836FB" w:rsidRDefault="00E836FB">
            <w:pPr>
              <w:rPr>
                <w:rFonts w:ascii="宋体"/>
                <w:vanish/>
              </w:rPr>
            </w:pPr>
          </w:p>
        </w:tc>
        <w:tc>
          <w:tcPr>
            <w:tcW w:w="0" w:type="auto"/>
            <w:gridSpan w:val="3"/>
            <w:shd w:val="clear" w:color="auto" w:fill="auto"/>
            <w:vAlign w:val="bottom"/>
          </w:tcPr>
          <w:p w14:paraId="5F2D04B7" w14:textId="77777777" w:rsidR="00E836FB" w:rsidRDefault="00E836FB">
            <w:pPr>
              <w:rPr>
                <w:rFonts w:ascii="宋体"/>
                <w:vanish/>
              </w:rPr>
            </w:pPr>
          </w:p>
        </w:tc>
        <w:tc>
          <w:tcPr>
            <w:tcW w:w="0" w:type="auto"/>
            <w:gridSpan w:val="3"/>
            <w:shd w:val="clear" w:color="auto" w:fill="auto"/>
            <w:vAlign w:val="bottom"/>
          </w:tcPr>
          <w:p w14:paraId="5F2D04B8" w14:textId="77777777" w:rsidR="00E836FB" w:rsidRDefault="00E836FB">
            <w:pPr>
              <w:rPr>
                <w:rFonts w:ascii="宋体"/>
                <w:vanish/>
              </w:rPr>
            </w:pPr>
          </w:p>
        </w:tc>
        <w:tc>
          <w:tcPr>
            <w:tcW w:w="0" w:type="auto"/>
            <w:gridSpan w:val="3"/>
            <w:shd w:val="clear" w:color="auto" w:fill="auto"/>
            <w:vAlign w:val="bottom"/>
          </w:tcPr>
          <w:p w14:paraId="5F2D04B9" w14:textId="77777777" w:rsidR="00E836FB" w:rsidRDefault="00E836FB">
            <w:pPr>
              <w:rPr>
                <w:rFonts w:ascii="宋体"/>
                <w:vanish/>
              </w:rPr>
            </w:pPr>
          </w:p>
        </w:tc>
        <w:tc>
          <w:tcPr>
            <w:tcW w:w="0" w:type="auto"/>
            <w:gridSpan w:val="3"/>
            <w:shd w:val="clear" w:color="auto" w:fill="auto"/>
            <w:vAlign w:val="bottom"/>
          </w:tcPr>
          <w:p w14:paraId="5F2D04BA" w14:textId="77777777" w:rsidR="00E836FB" w:rsidRDefault="00E836FB">
            <w:pPr>
              <w:rPr>
                <w:rFonts w:ascii="宋体"/>
                <w:vanish/>
              </w:rPr>
            </w:pPr>
          </w:p>
        </w:tc>
        <w:tc>
          <w:tcPr>
            <w:tcW w:w="0" w:type="auto"/>
            <w:gridSpan w:val="3"/>
            <w:shd w:val="clear" w:color="auto" w:fill="auto"/>
            <w:vAlign w:val="bottom"/>
          </w:tcPr>
          <w:p w14:paraId="5F2D04BB" w14:textId="77777777" w:rsidR="00E836FB" w:rsidRDefault="00E836FB">
            <w:pPr>
              <w:rPr>
                <w:rFonts w:ascii="宋体"/>
                <w:vanish/>
              </w:rPr>
            </w:pPr>
          </w:p>
        </w:tc>
        <w:tc>
          <w:tcPr>
            <w:tcW w:w="0" w:type="auto"/>
            <w:gridSpan w:val="3"/>
            <w:shd w:val="clear" w:color="auto" w:fill="auto"/>
            <w:vAlign w:val="bottom"/>
          </w:tcPr>
          <w:p w14:paraId="5F2D04BC" w14:textId="77777777" w:rsidR="00E836FB" w:rsidRDefault="00E836FB">
            <w:pPr>
              <w:rPr>
                <w:rFonts w:ascii="宋体"/>
                <w:vanish/>
              </w:rPr>
            </w:pPr>
          </w:p>
        </w:tc>
        <w:tc>
          <w:tcPr>
            <w:tcW w:w="0" w:type="auto"/>
            <w:gridSpan w:val="3"/>
            <w:shd w:val="clear" w:color="auto" w:fill="auto"/>
            <w:vAlign w:val="bottom"/>
          </w:tcPr>
          <w:p w14:paraId="5F2D04BD" w14:textId="77777777" w:rsidR="00E836FB" w:rsidRDefault="00E836FB">
            <w:pPr>
              <w:rPr>
                <w:rFonts w:ascii="宋体"/>
                <w:vanish/>
              </w:rPr>
            </w:pPr>
          </w:p>
        </w:tc>
        <w:tc>
          <w:tcPr>
            <w:tcW w:w="0" w:type="auto"/>
            <w:gridSpan w:val="2"/>
            <w:shd w:val="clear" w:color="auto" w:fill="auto"/>
            <w:vAlign w:val="bottom"/>
          </w:tcPr>
          <w:p w14:paraId="5F2D04BE" w14:textId="77777777" w:rsidR="00E836FB" w:rsidRDefault="00E836FB">
            <w:pPr>
              <w:rPr>
                <w:rFonts w:ascii="宋体"/>
                <w:vanish/>
              </w:rPr>
            </w:pPr>
          </w:p>
        </w:tc>
        <w:tc>
          <w:tcPr>
            <w:tcW w:w="0" w:type="auto"/>
            <w:shd w:val="clear" w:color="auto" w:fill="auto"/>
            <w:vAlign w:val="bottom"/>
          </w:tcPr>
          <w:p w14:paraId="5F2D04BF" w14:textId="77777777" w:rsidR="00E836FB" w:rsidRDefault="00E836FB">
            <w:pPr>
              <w:rPr>
                <w:rFonts w:ascii="宋体"/>
                <w:vanish/>
              </w:rPr>
            </w:pPr>
          </w:p>
        </w:tc>
      </w:tr>
      <w:tr w:rsidR="00E836FB" w14:paraId="5F2D04D7" w14:textId="77777777">
        <w:tc>
          <w:tcPr>
            <w:tcW w:w="0" w:type="auto"/>
            <w:gridSpan w:val="3"/>
            <w:shd w:val="clear" w:color="auto" w:fill="auto"/>
            <w:tcMar>
              <w:top w:w="40" w:type="dxa"/>
              <w:left w:w="20" w:type="dxa"/>
              <w:bottom w:w="40" w:type="dxa"/>
              <w:right w:w="20" w:type="dxa"/>
            </w:tcMar>
            <w:vAlign w:val="center"/>
          </w:tcPr>
          <w:p w14:paraId="5F2D04C1" w14:textId="77777777" w:rsidR="00E836FB" w:rsidRDefault="00994958">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5F2D04C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8" w14:textId="77777777" w:rsidR="00E836FB" w:rsidRDefault="00E836FB">
            <w:pPr>
              <w:rPr>
                <w:rFonts w:ascii="宋体"/>
              </w:rPr>
            </w:pPr>
          </w:p>
        </w:tc>
        <w:tc>
          <w:tcPr>
            <w:tcW w:w="0" w:type="auto"/>
            <w:shd w:val="clear" w:color="auto" w:fill="auto"/>
            <w:vAlign w:val="bottom"/>
          </w:tcPr>
          <w:p w14:paraId="5F2D04C9" w14:textId="77777777" w:rsidR="00E836FB" w:rsidRDefault="00E836FB">
            <w:pPr>
              <w:rPr>
                <w:rFonts w:ascii="宋体"/>
                <w:vanish/>
              </w:rPr>
            </w:pPr>
          </w:p>
        </w:tc>
        <w:tc>
          <w:tcPr>
            <w:tcW w:w="0" w:type="auto"/>
            <w:shd w:val="clear" w:color="auto" w:fill="auto"/>
            <w:vAlign w:val="bottom"/>
          </w:tcPr>
          <w:p w14:paraId="5F2D04CA"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04C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C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D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D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D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D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4D4" w14:textId="77777777" w:rsidR="00E836FB" w:rsidRDefault="00E836FB">
            <w:pPr>
              <w:rPr>
                <w:rFonts w:ascii="宋体"/>
              </w:rPr>
            </w:pPr>
          </w:p>
        </w:tc>
        <w:tc>
          <w:tcPr>
            <w:tcW w:w="0" w:type="auto"/>
            <w:gridSpan w:val="2"/>
            <w:shd w:val="clear" w:color="auto" w:fill="auto"/>
            <w:tcMar>
              <w:top w:w="0" w:type="dxa"/>
              <w:left w:w="20" w:type="dxa"/>
              <w:bottom w:w="0" w:type="dxa"/>
              <w:right w:w="20" w:type="dxa"/>
            </w:tcMar>
            <w:vAlign w:val="bottom"/>
          </w:tcPr>
          <w:p w14:paraId="5F2D04D5" w14:textId="77777777" w:rsidR="00E836FB" w:rsidRDefault="00E836FB">
            <w:pPr>
              <w:rPr>
                <w:rFonts w:ascii="宋体"/>
              </w:rPr>
            </w:pPr>
          </w:p>
        </w:tc>
        <w:tc>
          <w:tcPr>
            <w:tcW w:w="0" w:type="auto"/>
            <w:shd w:val="clear" w:color="auto" w:fill="auto"/>
            <w:tcMar>
              <w:top w:w="0" w:type="dxa"/>
              <w:left w:w="20" w:type="dxa"/>
              <w:bottom w:w="0" w:type="dxa"/>
              <w:right w:w="20" w:type="dxa"/>
            </w:tcMar>
            <w:vAlign w:val="bottom"/>
          </w:tcPr>
          <w:p w14:paraId="5F2D04D6" w14:textId="77777777" w:rsidR="00E836FB" w:rsidRDefault="00E836FB">
            <w:pPr>
              <w:rPr>
                <w:rFonts w:ascii="宋体"/>
              </w:rPr>
            </w:pPr>
          </w:p>
        </w:tc>
      </w:tr>
      <w:tr w:rsidR="00994958" w14:paraId="5F2D0500" w14:textId="77777777">
        <w:tc>
          <w:tcPr>
            <w:tcW w:w="0" w:type="auto"/>
            <w:gridSpan w:val="3"/>
            <w:shd w:val="clear" w:color="auto" w:fill="CCEEFF"/>
            <w:tcMar>
              <w:top w:w="40" w:type="dxa"/>
              <w:left w:w="155" w:type="dxa"/>
              <w:bottom w:w="40" w:type="dxa"/>
              <w:right w:w="20" w:type="dxa"/>
            </w:tcMar>
            <w:vAlign w:val="center"/>
          </w:tcPr>
          <w:p w14:paraId="5F2D04D8" w14:textId="77777777" w:rsidR="00E836FB" w:rsidRDefault="00994958">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5F2D04D9"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DA" w14:textId="77777777" w:rsidR="00E836FB" w:rsidRDefault="00994958">
            <w:pPr>
              <w:jc w:val="right"/>
              <w:textAlignment w:val="center"/>
            </w:pPr>
            <w:r>
              <w:rPr>
                <w:rFonts w:ascii="Arial" w:eastAsia="宋体" w:hAnsi="Arial" w:cs="Arial"/>
                <w:color w:val="000000"/>
                <w:sz w:val="12"/>
                <w:szCs w:val="12"/>
              </w:rPr>
              <w:t>1,820 </w:t>
            </w:r>
          </w:p>
        </w:tc>
        <w:tc>
          <w:tcPr>
            <w:tcW w:w="0" w:type="auto"/>
            <w:shd w:val="clear" w:color="auto" w:fill="CCEEFF"/>
            <w:tcMar>
              <w:top w:w="40" w:type="dxa"/>
              <w:left w:w="0" w:type="dxa"/>
              <w:bottom w:w="40" w:type="dxa"/>
              <w:right w:w="20" w:type="dxa"/>
            </w:tcMar>
            <w:vAlign w:val="center"/>
          </w:tcPr>
          <w:p w14:paraId="5F2D04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4DC"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DD"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DE"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4D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4E0"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E1"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E2" w14:textId="77777777" w:rsidR="00E836FB" w:rsidRDefault="00994958">
            <w:pPr>
              <w:jc w:val="right"/>
              <w:textAlignment w:val="center"/>
            </w:pPr>
            <w:r>
              <w:rPr>
                <w:rFonts w:ascii="Arial" w:eastAsia="宋体" w:hAnsi="Arial" w:cs="Arial"/>
                <w:color w:val="000000"/>
                <w:sz w:val="12"/>
                <w:szCs w:val="12"/>
              </w:rPr>
              <w:t>(10)</w:t>
            </w:r>
          </w:p>
        </w:tc>
        <w:tc>
          <w:tcPr>
            <w:tcW w:w="0" w:type="auto"/>
            <w:shd w:val="clear" w:color="auto" w:fill="CCEEFF"/>
            <w:tcMar>
              <w:top w:w="40" w:type="dxa"/>
              <w:left w:w="0" w:type="dxa"/>
              <w:bottom w:w="40" w:type="dxa"/>
              <w:right w:w="20" w:type="dxa"/>
            </w:tcMar>
            <w:vAlign w:val="center"/>
          </w:tcPr>
          <w:p w14:paraId="5F2D04E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4E4"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E5"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E6" w14:textId="77777777" w:rsidR="00E836FB" w:rsidRDefault="00994958">
            <w:pPr>
              <w:jc w:val="right"/>
              <w:textAlignment w:val="center"/>
            </w:pPr>
            <w:r>
              <w:rPr>
                <w:rFonts w:ascii="Arial" w:eastAsia="宋体" w:hAnsi="Arial" w:cs="Arial"/>
                <w:color w:val="000000"/>
                <w:sz w:val="12"/>
                <w:szCs w:val="12"/>
              </w:rPr>
              <w:t>864 </w:t>
            </w:r>
          </w:p>
        </w:tc>
        <w:tc>
          <w:tcPr>
            <w:tcW w:w="0" w:type="auto"/>
            <w:shd w:val="clear" w:color="auto" w:fill="CCEEFF"/>
            <w:tcMar>
              <w:top w:w="40" w:type="dxa"/>
              <w:left w:w="0" w:type="dxa"/>
              <w:bottom w:w="40" w:type="dxa"/>
              <w:right w:w="20" w:type="dxa"/>
            </w:tcMar>
            <w:vAlign w:val="center"/>
          </w:tcPr>
          <w:p w14:paraId="5F2D04E7" w14:textId="77777777" w:rsidR="00E836FB" w:rsidRDefault="00E836FB">
            <w:pPr>
              <w:jc w:val="right"/>
              <w:rPr>
                <w:rFonts w:ascii="宋体"/>
              </w:rPr>
            </w:pPr>
          </w:p>
        </w:tc>
        <w:tc>
          <w:tcPr>
            <w:tcW w:w="0" w:type="auto"/>
            <w:shd w:val="clear" w:color="auto" w:fill="auto"/>
            <w:vAlign w:val="bottom"/>
          </w:tcPr>
          <w:p w14:paraId="5F2D04E8" w14:textId="77777777" w:rsidR="00E836FB" w:rsidRDefault="00E836FB">
            <w:pPr>
              <w:rPr>
                <w:rFonts w:ascii="宋体"/>
                <w:vanish/>
              </w:rPr>
            </w:pPr>
          </w:p>
        </w:tc>
        <w:tc>
          <w:tcPr>
            <w:tcW w:w="0" w:type="auto"/>
            <w:shd w:val="clear" w:color="auto" w:fill="auto"/>
            <w:vAlign w:val="bottom"/>
          </w:tcPr>
          <w:p w14:paraId="5F2D04E9"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04EA"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EB"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EC" w14:textId="77777777" w:rsidR="00E836FB" w:rsidRDefault="00994958">
            <w:pPr>
              <w:jc w:val="right"/>
              <w:textAlignment w:val="center"/>
            </w:pPr>
            <w:r>
              <w:rPr>
                <w:rFonts w:ascii="Arial" w:eastAsia="宋体" w:hAnsi="Arial" w:cs="Arial"/>
                <w:color w:val="000000"/>
                <w:sz w:val="12"/>
                <w:szCs w:val="12"/>
              </w:rPr>
              <w:t>(95)</w:t>
            </w:r>
          </w:p>
        </w:tc>
        <w:tc>
          <w:tcPr>
            <w:tcW w:w="0" w:type="auto"/>
            <w:shd w:val="clear" w:color="auto" w:fill="CCEEFF"/>
            <w:tcMar>
              <w:top w:w="40" w:type="dxa"/>
              <w:left w:w="0" w:type="dxa"/>
              <w:bottom w:w="40" w:type="dxa"/>
              <w:right w:w="20" w:type="dxa"/>
            </w:tcMar>
            <w:vAlign w:val="center"/>
          </w:tcPr>
          <w:p w14:paraId="5F2D04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4EE"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EF"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F0" w14:textId="77777777" w:rsidR="00E836FB" w:rsidRDefault="00994958">
            <w:pPr>
              <w:jc w:val="right"/>
              <w:textAlignment w:val="center"/>
            </w:pPr>
            <w:r>
              <w:rPr>
                <w:rFonts w:ascii="Arial" w:eastAsia="宋体" w:hAnsi="Arial" w:cs="Arial"/>
                <w:color w:val="000000"/>
                <w:sz w:val="12"/>
                <w:szCs w:val="12"/>
              </w:rPr>
              <w:t>(77)</w:t>
            </w:r>
          </w:p>
        </w:tc>
        <w:tc>
          <w:tcPr>
            <w:tcW w:w="0" w:type="auto"/>
            <w:shd w:val="clear" w:color="auto" w:fill="CCEEFF"/>
            <w:tcMar>
              <w:top w:w="40" w:type="dxa"/>
              <w:left w:w="0" w:type="dxa"/>
              <w:bottom w:w="40" w:type="dxa"/>
              <w:right w:w="20" w:type="dxa"/>
            </w:tcMar>
            <w:vAlign w:val="center"/>
          </w:tcPr>
          <w:p w14:paraId="5F2D04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4F2"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F3"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F4" w14:textId="77777777" w:rsidR="00E836FB" w:rsidRDefault="00994958">
            <w:pPr>
              <w:jc w:val="right"/>
              <w:textAlignment w:val="center"/>
            </w:pPr>
            <w:r>
              <w:rPr>
                <w:rFonts w:ascii="Arial" w:eastAsia="宋体" w:hAnsi="Arial" w:cs="Arial"/>
                <w:color w:val="000000"/>
                <w:sz w:val="12"/>
                <w:szCs w:val="12"/>
              </w:rPr>
              <w:t>50 </w:t>
            </w:r>
          </w:p>
        </w:tc>
        <w:tc>
          <w:tcPr>
            <w:tcW w:w="0" w:type="auto"/>
            <w:shd w:val="clear" w:color="auto" w:fill="CCEEFF"/>
            <w:tcMar>
              <w:top w:w="40" w:type="dxa"/>
              <w:left w:w="0" w:type="dxa"/>
              <w:bottom w:w="40" w:type="dxa"/>
              <w:right w:w="20" w:type="dxa"/>
            </w:tcMar>
            <w:vAlign w:val="center"/>
          </w:tcPr>
          <w:p w14:paraId="5F2D04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4F6"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F7"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F8" w14:textId="77777777" w:rsidR="00E836FB" w:rsidRDefault="00994958">
            <w:pPr>
              <w:jc w:val="right"/>
              <w:textAlignment w:val="center"/>
            </w:pPr>
            <w:r>
              <w:rPr>
                <w:rFonts w:ascii="Arial" w:eastAsia="宋体" w:hAnsi="Arial" w:cs="Arial"/>
                <w:color w:val="000000"/>
                <w:sz w:val="12"/>
                <w:szCs w:val="12"/>
              </w:rPr>
              <w:t>(2,538)</w:t>
            </w:r>
          </w:p>
        </w:tc>
        <w:tc>
          <w:tcPr>
            <w:tcW w:w="0" w:type="auto"/>
            <w:shd w:val="clear" w:color="auto" w:fill="CCEEFF"/>
            <w:tcMar>
              <w:top w:w="40" w:type="dxa"/>
              <w:left w:w="0" w:type="dxa"/>
              <w:bottom w:w="40" w:type="dxa"/>
              <w:right w:w="20" w:type="dxa"/>
            </w:tcMar>
            <w:vAlign w:val="center"/>
          </w:tcPr>
          <w:p w14:paraId="5F2D04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4FA"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04FB" w14:textId="77777777" w:rsidR="00E836FB" w:rsidRDefault="00994958">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F2D04FC" w14:textId="77777777" w:rsidR="00E836FB" w:rsidRDefault="00994958">
            <w:pPr>
              <w:jc w:val="right"/>
              <w:textAlignment w:val="center"/>
            </w:pPr>
            <w:r>
              <w:rPr>
                <w:rFonts w:ascii="Arial" w:eastAsia="宋体" w:hAnsi="Arial" w:cs="Arial"/>
                <w:color w:val="000000"/>
                <w:sz w:val="12"/>
                <w:szCs w:val="12"/>
              </w:rPr>
              <w:t>14 </w:t>
            </w:r>
          </w:p>
        </w:tc>
        <w:tc>
          <w:tcPr>
            <w:tcW w:w="0" w:type="auto"/>
            <w:shd w:val="clear" w:color="auto" w:fill="CCEEFF"/>
            <w:tcMar>
              <w:top w:w="40" w:type="dxa"/>
              <w:left w:w="0" w:type="dxa"/>
              <w:bottom w:w="40" w:type="dxa"/>
              <w:right w:w="20" w:type="dxa"/>
            </w:tcMar>
            <w:vAlign w:val="center"/>
          </w:tcPr>
          <w:p w14:paraId="5F2D04FD"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4FE"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4FF" w14:textId="77777777" w:rsidR="00E836FB" w:rsidRDefault="00E836FB">
            <w:pPr>
              <w:rPr>
                <w:rFonts w:ascii="宋体"/>
              </w:rPr>
            </w:pPr>
          </w:p>
        </w:tc>
      </w:tr>
      <w:tr w:rsidR="00E836FB" w14:paraId="5F2D0517" w14:textId="77777777">
        <w:trPr>
          <w:hidden/>
        </w:trPr>
        <w:tc>
          <w:tcPr>
            <w:tcW w:w="0" w:type="auto"/>
            <w:gridSpan w:val="3"/>
            <w:shd w:val="clear" w:color="auto" w:fill="auto"/>
            <w:vAlign w:val="bottom"/>
          </w:tcPr>
          <w:p w14:paraId="5F2D0501" w14:textId="77777777" w:rsidR="00E836FB" w:rsidRDefault="00E836FB">
            <w:pPr>
              <w:rPr>
                <w:rFonts w:ascii="宋体"/>
                <w:vanish/>
              </w:rPr>
            </w:pPr>
          </w:p>
        </w:tc>
        <w:tc>
          <w:tcPr>
            <w:tcW w:w="0" w:type="auto"/>
            <w:gridSpan w:val="3"/>
            <w:shd w:val="clear" w:color="auto" w:fill="auto"/>
            <w:vAlign w:val="bottom"/>
          </w:tcPr>
          <w:p w14:paraId="5F2D0502" w14:textId="77777777" w:rsidR="00E836FB" w:rsidRDefault="00E836FB">
            <w:pPr>
              <w:rPr>
                <w:rFonts w:ascii="宋体"/>
                <w:vanish/>
              </w:rPr>
            </w:pPr>
          </w:p>
        </w:tc>
        <w:tc>
          <w:tcPr>
            <w:tcW w:w="0" w:type="auto"/>
            <w:gridSpan w:val="3"/>
            <w:shd w:val="clear" w:color="auto" w:fill="auto"/>
            <w:vAlign w:val="bottom"/>
          </w:tcPr>
          <w:p w14:paraId="5F2D0503" w14:textId="77777777" w:rsidR="00E836FB" w:rsidRDefault="00E836FB">
            <w:pPr>
              <w:rPr>
                <w:rFonts w:ascii="宋体"/>
                <w:vanish/>
              </w:rPr>
            </w:pPr>
          </w:p>
        </w:tc>
        <w:tc>
          <w:tcPr>
            <w:tcW w:w="0" w:type="auto"/>
            <w:gridSpan w:val="3"/>
            <w:shd w:val="clear" w:color="auto" w:fill="auto"/>
            <w:vAlign w:val="bottom"/>
          </w:tcPr>
          <w:p w14:paraId="5F2D0504" w14:textId="77777777" w:rsidR="00E836FB" w:rsidRDefault="00E836FB">
            <w:pPr>
              <w:rPr>
                <w:rFonts w:ascii="宋体"/>
                <w:vanish/>
              </w:rPr>
            </w:pPr>
          </w:p>
        </w:tc>
        <w:tc>
          <w:tcPr>
            <w:tcW w:w="0" w:type="auto"/>
            <w:gridSpan w:val="3"/>
            <w:shd w:val="clear" w:color="auto" w:fill="auto"/>
            <w:vAlign w:val="bottom"/>
          </w:tcPr>
          <w:p w14:paraId="5F2D0505" w14:textId="77777777" w:rsidR="00E836FB" w:rsidRDefault="00E836FB">
            <w:pPr>
              <w:rPr>
                <w:rFonts w:ascii="宋体"/>
                <w:vanish/>
              </w:rPr>
            </w:pPr>
          </w:p>
        </w:tc>
        <w:tc>
          <w:tcPr>
            <w:tcW w:w="0" w:type="auto"/>
            <w:gridSpan w:val="3"/>
            <w:shd w:val="clear" w:color="auto" w:fill="auto"/>
            <w:vAlign w:val="bottom"/>
          </w:tcPr>
          <w:p w14:paraId="5F2D0506" w14:textId="77777777" w:rsidR="00E836FB" w:rsidRDefault="00E836FB">
            <w:pPr>
              <w:rPr>
                <w:rFonts w:ascii="宋体"/>
                <w:vanish/>
              </w:rPr>
            </w:pPr>
          </w:p>
        </w:tc>
        <w:tc>
          <w:tcPr>
            <w:tcW w:w="0" w:type="auto"/>
            <w:gridSpan w:val="3"/>
            <w:shd w:val="clear" w:color="auto" w:fill="auto"/>
            <w:vAlign w:val="bottom"/>
          </w:tcPr>
          <w:p w14:paraId="5F2D0507" w14:textId="77777777" w:rsidR="00E836FB" w:rsidRDefault="00E836FB">
            <w:pPr>
              <w:rPr>
                <w:rFonts w:ascii="宋体"/>
                <w:vanish/>
              </w:rPr>
            </w:pPr>
          </w:p>
        </w:tc>
        <w:tc>
          <w:tcPr>
            <w:tcW w:w="0" w:type="auto"/>
            <w:gridSpan w:val="3"/>
            <w:shd w:val="clear" w:color="auto" w:fill="auto"/>
            <w:vAlign w:val="bottom"/>
          </w:tcPr>
          <w:p w14:paraId="5F2D0508" w14:textId="77777777" w:rsidR="00E836FB" w:rsidRDefault="00E836FB">
            <w:pPr>
              <w:rPr>
                <w:rFonts w:ascii="宋体"/>
                <w:vanish/>
              </w:rPr>
            </w:pPr>
          </w:p>
        </w:tc>
        <w:tc>
          <w:tcPr>
            <w:tcW w:w="0" w:type="auto"/>
            <w:shd w:val="clear" w:color="auto" w:fill="auto"/>
            <w:vAlign w:val="bottom"/>
          </w:tcPr>
          <w:p w14:paraId="5F2D0509" w14:textId="77777777" w:rsidR="00E836FB" w:rsidRDefault="00E836FB">
            <w:pPr>
              <w:rPr>
                <w:rFonts w:ascii="宋体"/>
                <w:vanish/>
              </w:rPr>
            </w:pPr>
          </w:p>
        </w:tc>
        <w:tc>
          <w:tcPr>
            <w:tcW w:w="0" w:type="auto"/>
            <w:shd w:val="clear" w:color="auto" w:fill="auto"/>
            <w:vAlign w:val="bottom"/>
          </w:tcPr>
          <w:p w14:paraId="5F2D050A" w14:textId="77777777" w:rsidR="00E836FB" w:rsidRDefault="00E836FB">
            <w:pPr>
              <w:rPr>
                <w:rFonts w:ascii="宋体"/>
                <w:vanish/>
              </w:rPr>
            </w:pPr>
          </w:p>
        </w:tc>
        <w:tc>
          <w:tcPr>
            <w:tcW w:w="0" w:type="auto"/>
            <w:gridSpan w:val="3"/>
            <w:shd w:val="clear" w:color="auto" w:fill="auto"/>
            <w:vAlign w:val="bottom"/>
          </w:tcPr>
          <w:p w14:paraId="5F2D050B" w14:textId="77777777" w:rsidR="00E836FB" w:rsidRDefault="00E836FB">
            <w:pPr>
              <w:rPr>
                <w:rFonts w:ascii="宋体"/>
                <w:vanish/>
              </w:rPr>
            </w:pPr>
          </w:p>
        </w:tc>
        <w:tc>
          <w:tcPr>
            <w:tcW w:w="0" w:type="auto"/>
            <w:gridSpan w:val="3"/>
            <w:shd w:val="clear" w:color="auto" w:fill="auto"/>
            <w:vAlign w:val="bottom"/>
          </w:tcPr>
          <w:p w14:paraId="5F2D050C" w14:textId="77777777" w:rsidR="00E836FB" w:rsidRDefault="00E836FB">
            <w:pPr>
              <w:rPr>
                <w:rFonts w:ascii="宋体"/>
                <w:vanish/>
              </w:rPr>
            </w:pPr>
          </w:p>
        </w:tc>
        <w:tc>
          <w:tcPr>
            <w:tcW w:w="0" w:type="auto"/>
            <w:gridSpan w:val="3"/>
            <w:shd w:val="clear" w:color="auto" w:fill="auto"/>
            <w:vAlign w:val="bottom"/>
          </w:tcPr>
          <w:p w14:paraId="5F2D050D" w14:textId="77777777" w:rsidR="00E836FB" w:rsidRDefault="00E836FB">
            <w:pPr>
              <w:rPr>
                <w:rFonts w:ascii="宋体"/>
                <w:vanish/>
              </w:rPr>
            </w:pPr>
          </w:p>
        </w:tc>
        <w:tc>
          <w:tcPr>
            <w:tcW w:w="0" w:type="auto"/>
            <w:gridSpan w:val="3"/>
            <w:shd w:val="clear" w:color="auto" w:fill="auto"/>
            <w:vAlign w:val="bottom"/>
          </w:tcPr>
          <w:p w14:paraId="5F2D050E" w14:textId="77777777" w:rsidR="00E836FB" w:rsidRDefault="00E836FB">
            <w:pPr>
              <w:rPr>
                <w:rFonts w:ascii="宋体"/>
                <w:vanish/>
              </w:rPr>
            </w:pPr>
          </w:p>
        </w:tc>
        <w:tc>
          <w:tcPr>
            <w:tcW w:w="0" w:type="auto"/>
            <w:gridSpan w:val="3"/>
            <w:shd w:val="clear" w:color="auto" w:fill="auto"/>
            <w:vAlign w:val="bottom"/>
          </w:tcPr>
          <w:p w14:paraId="5F2D050F" w14:textId="77777777" w:rsidR="00E836FB" w:rsidRDefault="00E836FB">
            <w:pPr>
              <w:rPr>
                <w:rFonts w:ascii="宋体"/>
                <w:vanish/>
              </w:rPr>
            </w:pPr>
          </w:p>
        </w:tc>
        <w:tc>
          <w:tcPr>
            <w:tcW w:w="0" w:type="auto"/>
            <w:gridSpan w:val="3"/>
            <w:shd w:val="clear" w:color="auto" w:fill="auto"/>
            <w:vAlign w:val="bottom"/>
          </w:tcPr>
          <w:p w14:paraId="5F2D0510" w14:textId="77777777" w:rsidR="00E836FB" w:rsidRDefault="00E836FB">
            <w:pPr>
              <w:rPr>
                <w:rFonts w:ascii="宋体"/>
                <w:vanish/>
              </w:rPr>
            </w:pPr>
          </w:p>
        </w:tc>
        <w:tc>
          <w:tcPr>
            <w:tcW w:w="0" w:type="auto"/>
            <w:gridSpan w:val="3"/>
            <w:shd w:val="clear" w:color="auto" w:fill="auto"/>
            <w:vAlign w:val="bottom"/>
          </w:tcPr>
          <w:p w14:paraId="5F2D0511" w14:textId="77777777" w:rsidR="00E836FB" w:rsidRDefault="00E836FB">
            <w:pPr>
              <w:rPr>
                <w:rFonts w:ascii="宋体"/>
                <w:vanish/>
              </w:rPr>
            </w:pPr>
          </w:p>
        </w:tc>
        <w:tc>
          <w:tcPr>
            <w:tcW w:w="0" w:type="auto"/>
            <w:gridSpan w:val="3"/>
            <w:shd w:val="clear" w:color="auto" w:fill="auto"/>
            <w:vAlign w:val="bottom"/>
          </w:tcPr>
          <w:p w14:paraId="5F2D0512" w14:textId="77777777" w:rsidR="00E836FB" w:rsidRDefault="00E836FB">
            <w:pPr>
              <w:rPr>
                <w:rFonts w:ascii="宋体"/>
                <w:vanish/>
              </w:rPr>
            </w:pPr>
          </w:p>
        </w:tc>
        <w:tc>
          <w:tcPr>
            <w:tcW w:w="0" w:type="auto"/>
            <w:gridSpan w:val="3"/>
            <w:shd w:val="clear" w:color="auto" w:fill="auto"/>
            <w:vAlign w:val="bottom"/>
          </w:tcPr>
          <w:p w14:paraId="5F2D0513" w14:textId="77777777" w:rsidR="00E836FB" w:rsidRDefault="00E836FB">
            <w:pPr>
              <w:rPr>
                <w:rFonts w:ascii="宋体"/>
                <w:vanish/>
              </w:rPr>
            </w:pPr>
          </w:p>
        </w:tc>
        <w:tc>
          <w:tcPr>
            <w:tcW w:w="0" w:type="auto"/>
            <w:gridSpan w:val="3"/>
            <w:shd w:val="clear" w:color="auto" w:fill="auto"/>
            <w:vAlign w:val="bottom"/>
          </w:tcPr>
          <w:p w14:paraId="5F2D0514" w14:textId="77777777" w:rsidR="00E836FB" w:rsidRDefault="00E836FB">
            <w:pPr>
              <w:rPr>
                <w:rFonts w:ascii="宋体"/>
                <w:vanish/>
              </w:rPr>
            </w:pPr>
          </w:p>
        </w:tc>
        <w:tc>
          <w:tcPr>
            <w:tcW w:w="0" w:type="auto"/>
            <w:gridSpan w:val="2"/>
            <w:shd w:val="clear" w:color="auto" w:fill="auto"/>
            <w:vAlign w:val="bottom"/>
          </w:tcPr>
          <w:p w14:paraId="5F2D0515" w14:textId="77777777" w:rsidR="00E836FB" w:rsidRDefault="00E836FB">
            <w:pPr>
              <w:rPr>
                <w:rFonts w:ascii="宋体"/>
                <w:vanish/>
              </w:rPr>
            </w:pPr>
          </w:p>
        </w:tc>
        <w:tc>
          <w:tcPr>
            <w:tcW w:w="0" w:type="auto"/>
            <w:shd w:val="clear" w:color="auto" w:fill="auto"/>
            <w:vAlign w:val="bottom"/>
          </w:tcPr>
          <w:p w14:paraId="5F2D0516" w14:textId="77777777" w:rsidR="00E836FB" w:rsidRDefault="00E836FB">
            <w:pPr>
              <w:rPr>
                <w:rFonts w:ascii="宋体"/>
                <w:vanish/>
              </w:rPr>
            </w:pPr>
          </w:p>
        </w:tc>
      </w:tr>
      <w:tr w:rsidR="00E836FB" w14:paraId="5F2D0537" w14:textId="77777777">
        <w:tc>
          <w:tcPr>
            <w:tcW w:w="0" w:type="auto"/>
            <w:gridSpan w:val="3"/>
            <w:shd w:val="clear" w:color="auto" w:fill="FFFFFF"/>
            <w:tcMar>
              <w:top w:w="40" w:type="dxa"/>
              <w:left w:w="20" w:type="dxa"/>
              <w:bottom w:w="40" w:type="dxa"/>
              <w:right w:w="20" w:type="dxa"/>
            </w:tcMar>
            <w:vAlign w:val="center"/>
          </w:tcPr>
          <w:p w14:paraId="5F2D0518" w14:textId="77777777" w:rsidR="00E836FB" w:rsidRDefault="00994958">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19" w14:textId="77777777" w:rsidR="00E836FB" w:rsidRDefault="00994958">
            <w:pPr>
              <w:jc w:val="right"/>
              <w:textAlignment w:val="center"/>
            </w:pPr>
            <w:r>
              <w:rPr>
                <w:rFonts w:ascii="Arial" w:eastAsia="宋体" w:hAnsi="Arial" w:cs="Arial"/>
                <w:color w:val="000000"/>
                <w:sz w:val="12"/>
                <w:szCs w:val="12"/>
              </w:rPr>
              <w:t>1,820 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1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1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1C"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1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1F" w14:textId="77777777" w:rsidR="00E836FB" w:rsidRDefault="00994958">
            <w:pPr>
              <w:jc w:val="right"/>
              <w:textAlignment w:val="center"/>
            </w:pPr>
            <w:r>
              <w:rPr>
                <w:rFonts w:ascii="Arial" w:eastAsia="宋体" w:hAnsi="Arial" w:cs="Arial"/>
                <w:color w:val="000000"/>
                <w:sz w:val="12"/>
                <w:szCs w:val="12"/>
              </w:rPr>
              <w:t>(10)</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2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22" w14:textId="77777777" w:rsidR="00E836FB" w:rsidRDefault="00994958">
            <w:pPr>
              <w:jc w:val="right"/>
              <w:textAlignment w:val="center"/>
            </w:pPr>
            <w:r>
              <w:rPr>
                <w:rFonts w:ascii="Arial" w:eastAsia="宋体" w:hAnsi="Arial" w:cs="Arial"/>
                <w:color w:val="000000"/>
                <w:sz w:val="12"/>
                <w:szCs w:val="12"/>
              </w:rPr>
              <w:t>864 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23" w14:textId="77777777" w:rsidR="00E836FB" w:rsidRDefault="00E836FB">
            <w:pPr>
              <w:jc w:val="right"/>
              <w:rPr>
                <w:rFonts w:ascii="宋体"/>
              </w:rPr>
            </w:pPr>
          </w:p>
        </w:tc>
        <w:tc>
          <w:tcPr>
            <w:tcW w:w="0" w:type="auto"/>
            <w:shd w:val="clear" w:color="auto" w:fill="auto"/>
            <w:vAlign w:val="bottom"/>
          </w:tcPr>
          <w:p w14:paraId="5F2D0524" w14:textId="77777777" w:rsidR="00E836FB" w:rsidRDefault="00E836FB">
            <w:pPr>
              <w:rPr>
                <w:rFonts w:ascii="宋体"/>
                <w:vanish/>
              </w:rPr>
            </w:pPr>
          </w:p>
        </w:tc>
        <w:tc>
          <w:tcPr>
            <w:tcW w:w="0" w:type="auto"/>
            <w:shd w:val="clear" w:color="auto" w:fill="auto"/>
            <w:vAlign w:val="bottom"/>
          </w:tcPr>
          <w:p w14:paraId="5F2D0525"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052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27" w14:textId="77777777" w:rsidR="00E836FB" w:rsidRDefault="00994958">
            <w:pPr>
              <w:jc w:val="right"/>
              <w:textAlignment w:val="center"/>
            </w:pPr>
            <w:r>
              <w:rPr>
                <w:rFonts w:ascii="Arial" w:eastAsia="宋体" w:hAnsi="Arial" w:cs="Arial"/>
                <w:color w:val="000000"/>
                <w:sz w:val="12"/>
                <w:szCs w:val="12"/>
              </w:rPr>
              <w:t>(95)</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2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2A" w14:textId="77777777" w:rsidR="00E836FB" w:rsidRDefault="00994958">
            <w:pPr>
              <w:jc w:val="right"/>
              <w:textAlignment w:val="center"/>
            </w:pPr>
            <w:r>
              <w:rPr>
                <w:rFonts w:ascii="Arial" w:eastAsia="宋体" w:hAnsi="Arial" w:cs="Arial"/>
                <w:color w:val="000000"/>
                <w:sz w:val="12"/>
                <w:szCs w:val="12"/>
              </w:rPr>
              <w:t>(77)</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2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2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2D" w14:textId="77777777" w:rsidR="00E836FB" w:rsidRDefault="00994958">
            <w:pPr>
              <w:jc w:val="right"/>
              <w:textAlignment w:val="center"/>
            </w:pPr>
            <w:r>
              <w:rPr>
                <w:rFonts w:ascii="Arial" w:eastAsia="宋体" w:hAnsi="Arial" w:cs="Arial"/>
                <w:color w:val="000000"/>
                <w:sz w:val="12"/>
                <w:szCs w:val="12"/>
              </w:rPr>
              <w:t>50 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2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2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30" w14:textId="77777777" w:rsidR="00E836FB" w:rsidRDefault="00994958">
            <w:pPr>
              <w:jc w:val="right"/>
              <w:textAlignment w:val="center"/>
            </w:pPr>
            <w:r>
              <w:rPr>
                <w:rFonts w:ascii="Arial" w:eastAsia="宋体" w:hAnsi="Arial" w:cs="Arial"/>
                <w:color w:val="000000"/>
                <w:sz w:val="12"/>
                <w:szCs w:val="12"/>
              </w:rPr>
              <w:t>(2,538)</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3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33" w14:textId="77777777" w:rsidR="00E836FB" w:rsidRDefault="00994958">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34"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535" w14:textId="77777777" w:rsidR="00E836FB" w:rsidRDefault="00E836FB">
            <w:pPr>
              <w:rPr>
                <w:rFonts w:ascii="宋体"/>
              </w:rPr>
            </w:pPr>
          </w:p>
        </w:tc>
        <w:tc>
          <w:tcPr>
            <w:tcW w:w="0" w:type="auto"/>
            <w:shd w:val="clear" w:color="auto" w:fill="FFFFFF"/>
            <w:tcMar>
              <w:top w:w="0" w:type="dxa"/>
              <w:left w:w="20" w:type="dxa"/>
              <w:bottom w:w="0" w:type="dxa"/>
              <w:right w:w="20" w:type="dxa"/>
            </w:tcMar>
            <w:vAlign w:val="bottom"/>
          </w:tcPr>
          <w:p w14:paraId="5F2D0536" w14:textId="77777777" w:rsidR="00E836FB" w:rsidRDefault="00E836FB">
            <w:pPr>
              <w:rPr>
                <w:rFonts w:ascii="宋体"/>
              </w:rPr>
            </w:pPr>
          </w:p>
        </w:tc>
      </w:tr>
      <w:tr w:rsidR="00E836FB" w14:paraId="5F2D054E" w14:textId="77777777">
        <w:tc>
          <w:tcPr>
            <w:tcW w:w="0" w:type="auto"/>
            <w:gridSpan w:val="3"/>
            <w:shd w:val="clear" w:color="auto" w:fill="CCEEFF"/>
            <w:tcMar>
              <w:top w:w="40" w:type="dxa"/>
              <w:left w:w="20" w:type="dxa"/>
              <w:bottom w:w="40" w:type="dxa"/>
              <w:right w:w="20" w:type="dxa"/>
            </w:tcMar>
            <w:vAlign w:val="center"/>
          </w:tcPr>
          <w:p w14:paraId="5F2D0538" w14:textId="77777777" w:rsidR="00E836FB" w:rsidRDefault="00994958">
            <w:pPr>
              <w:textAlignment w:val="center"/>
            </w:pPr>
            <w:r>
              <w:rPr>
                <w:rFonts w:ascii="Arial" w:eastAsia="宋体" w:hAnsi="Arial" w:cs="Arial"/>
                <w:color w:val="000000"/>
                <w:sz w:val="12"/>
                <w:szCs w:val="12"/>
              </w:rPr>
              <w:t>Non-U.S. debt securities:</w:t>
            </w:r>
          </w:p>
        </w:tc>
        <w:tc>
          <w:tcPr>
            <w:tcW w:w="0" w:type="auto"/>
            <w:gridSpan w:val="3"/>
            <w:shd w:val="clear" w:color="auto" w:fill="CCEEFF"/>
            <w:tcMar>
              <w:top w:w="0" w:type="dxa"/>
              <w:left w:w="20" w:type="dxa"/>
              <w:bottom w:w="0" w:type="dxa"/>
              <w:right w:w="20" w:type="dxa"/>
            </w:tcMar>
            <w:vAlign w:val="bottom"/>
          </w:tcPr>
          <w:p w14:paraId="5F2D053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3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3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3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3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3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3F" w14:textId="77777777" w:rsidR="00E836FB" w:rsidRDefault="00E836FB">
            <w:pPr>
              <w:rPr>
                <w:rFonts w:ascii="宋体"/>
              </w:rPr>
            </w:pPr>
          </w:p>
        </w:tc>
        <w:tc>
          <w:tcPr>
            <w:tcW w:w="0" w:type="auto"/>
            <w:shd w:val="clear" w:color="auto" w:fill="auto"/>
            <w:vAlign w:val="bottom"/>
          </w:tcPr>
          <w:p w14:paraId="5F2D0540" w14:textId="77777777" w:rsidR="00E836FB" w:rsidRDefault="00E836FB">
            <w:pPr>
              <w:rPr>
                <w:rFonts w:ascii="宋体"/>
                <w:vanish/>
              </w:rPr>
            </w:pPr>
          </w:p>
        </w:tc>
        <w:tc>
          <w:tcPr>
            <w:tcW w:w="0" w:type="auto"/>
            <w:shd w:val="clear" w:color="auto" w:fill="auto"/>
            <w:vAlign w:val="bottom"/>
          </w:tcPr>
          <w:p w14:paraId="5F2D0541"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054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54B" w14:textId="77777777" w:rsidR="00E836FB" w:rsidRDefault="00E836FB">
            <w:pPr>
              <w:rPr>
                <w:rFonts w:ascii="宋体"/>
              </w:rPr>
            </w:pPr>
          </w:p>
        </w:tc>
        <w:tc>
          <w:tcPr>
            <w:tcW w:w="0" w:type="auto"/>
            <w:gridSpan w:val="2"/>
            <w:shd w:val="clear" w:color="auto" w:fill="CCEEFF"/>
            <w:tcMar>
              <w:top w:w="0" w:type="dxa"/>
              <w:left w:w="20" w:type="dxa"/>
              <w:bottom w:w="0" w:type="dxa"/>
              <w:right w:w="20" w:type="dxa"/>
            </w:tcMar>
            <w:vAlign w:val="bottom"/>
          </w:tcPr>
          <w:p w14:paraId="5F2D054C"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54D" w14:textId="77777777" w:rsidR="00E836FB" w:rsidRDefault="00E836FB">
            <w:pPr>
              <w:rPr>
                <w:rFonts w:ascii="宋体"/>
              </w:rPr>
            </w:pPr>
          </w:p>
        </w:tc>
      </w:tr>
      <w:tr w:rsidR="00E836FB" w14:paraId="5F2D0565" w14:textId="77777777">
        <w:trPr>
          <w:hidden/>
        </w:trPr>
        <w:tc>
          <w:tcPr>
            <w:tcW w:w="0" w:type="auto"/>
            <w:gridSpan w:val="3"/>
            <w:shd w:val="clear" w:color="auto" w:fill="auto"/>
            <w:vAlign w:val="bottom"/>
          </w:tcPr>
          <w:p w14:paraId="5F2D054F" w14:textId="77777777" w:rsidR="00E836FB" w:rsidRDefault="00E836FB">
            <w:pPr>
              <w:rPr>
                <w:rFonts w:ascii="宋体"/>
                <w:vanish/>
              </w:rPr>
            </w:pPr>
          </w:p>
        </w:tc>
        <w:tc>
          <w:tcPr>
            <w:tcW w:w="0" w:type="auto"/>
            <w:gridSpan w:val="3"/>
            <w:shd w:val="clear" w:color="auto" w:fill="auto"/>
            <w:vAlign w:val="bottom"/>
          </w:tcPr>
          <w:p w14:paraId="5F2D0550" w14:textId="77777777" w:rsidR="00E836FB" w:rsidRDefault="00E836FB">
            <w:pPr>
              <w:rPr>
                <w:rFonts w:ascii="宋体"/>
                <w:vanish/>
              </w:rPr>
            </w:pPr>
          </w:p>
        </w:tc>
        <w:tc>
          <w:tcPr>
            <w:tcW w:w="0" w:type="auto"/>
            <w:gridSpan w:val="3"/>
            <w:shd w:val="clear" w:color="auto" w:fill="auto"/>
            <w:vAlign w:val="bottom"/>
          </w:tcPr>
          <w:p w14:paraId="5F2D0551" w14:textId="77777777" w:rsidR="00E836FB" w:rsidRDefault="00E836FB">
            <w:pPr>
              <w:rPr>
                <w:rFonts w:ascii="宋体"/>
                <w:vanish/>
              </w:rPr>
            </w:pPr>
          </w:p>
        </w:tc>
        <w:tc>
          <w:tcPr>
            <w:tcW w:w="0" w:type="auto"/>
            <w:gridSpan w:val="3"/>
            <w:shd w:val="clear" w:color="auto" w:fill="auto"/>
            <w:vAlign w:val="bottom"/>
          </w:tcPr>
          <w:p w14:paraId="5F2D0552" w14:textId="77777777" w:rsidR="00E836FB" w:rsidRDefault="00E836FB">
            <w:pPr>
              <w:rPr>
                <w:rFonts w:ascii="宋体"/>
                <w:vanish/>
              </w:rPr>
            </w:pPr>
          </w:p>
        </w:tc>
        <w:tc>
          <w:tcPr>
            <w:tcW w:w="0" w:type="auto"/>
            <w:gridSpan w:val="3"/>
            <w:shd w:val="clear" w:color="auto" w:fill="auto"/>
            <w:vAlign w:val="bottom"/>
          </w:tcPr>
          <w:p w14:paraId="5F2D0553" w14:textId="77777777" w:rsidR="00E836FB" w:rsidRDefault="00E836FB">
            <w:pPr>
              <w:rPr>
                <w:rFonts w:ascii="宋体"/>
                <w:vanish/>
              </w:rPr>
            </w:pPr>
          </w:p>
        </w:tc>
        <w:tc>
          <w:tcPr>
            <w:tcW w:w="0" w:type="auto"/>
            <w:gridSpan w:val="3"/>
            <w:shd w:val="clear" w:color="auto" w:fill="auto"/>
            <w:vAlign w:val="bottom"/>
          </w:tcPr>
          <w:p w14:paraId="5F2D0554" w14:textId="77777777" w:rsidR="00E836FB" w:rsidRDefault="00E836FB">
            <w:pPr>
              <w:rPr>
                <w:rFonts w:ascii="宋体"/>
                <w:vanish/>
              </w:rPr>
            </w:pPr>
          </w:p>
        </w:tc>
        <w:tc>
          <w:tcPr>
            <w:tcW w:w="0" w:type="auto"/>
            <w:gridSpan w:val="3"/>
            <w:shd w:val="clear" w:color="auto" w:fill="auto"/>
            <w:vAlign w:val="bottom"/>
          </w:tcPr>
          <w:p w14:paraId="5F2D0555" w14:textId="77777777" w:rsidR="00E836FB" w:rsidRDefault="00E836FB">
            <w:pPr>
              <w:rPr>
                <w:rFonts w:ascii="宋体"/>
                <w:vanish/>
              </w:rPr>
            </w:pPr>
          </w:p>
        </w:tc>
        <w:tc>
          <w:tcPr>
            <w:tcW w:w="0" w:type="auto"/>
            <w:gridSpan w:val="3"/>
            <w:shd w:val="clear" w:color="auto" w:fill="auto"/>
            <w:vAlign w:val="bottom"/>
          </w:tcPr>
          <w:p w14:paraId="5F2D0556" w14:textId="77777777" w:rsidR="00E836FB" w:rsidRDefault="00E836FB">
            <w:pPr>
              <w:rPr>
                <w:rFonts w:ascii="宋体"/>
                <w:vanish/>
              </w:rPr>
            </w:pPr>
          </w:p>
        </w:tc>
        <w:tc>
          <w:tcPr>
            <w:tcW w:w="0" w:type="auto"/>
            <w:shd w:val="clear" w:color="auto" w:fill="auto"/>
            <w:vAlign w:val="bottom"/>
          </w:tcPr>
          <w:p w14:paraId="5F2D0557" w14:textId="77777777" w:rsidR="00E836FB" w:rsidRDefault="00E836FB">
            <w:pPr>
              <w:rPr>
                <w:rFonts w:ascii="宋体"/>
                <w:vanish/>
              </w:rPr>
            </w:pPr>
          </w:p>
        </w:tc>
        <w:tc>
          <w:tcPr>
            <w:tcW w:w="0" w:type="auto"/>
            <w:shd w:val="clear" w:color="auto" w:fill="auto"/>
            <w:vAlign w:val="bottom"/>
          </w:tcPr>
          <w:p w14:paraId="5F2D0558" w14:textId="77777777" w:rsidR="00E836FB" w:rsidRDefault="00E836FB">
            <w:pPr>
              <w:rPr>
                <w:rFonts w:ascii="宋体"/>
                <w:vanish/>
              </w:rPr>
            </w:pPr>
          </w:p>
        </w:tc>
        <w:tc>
          <w:tcPr>
            <w:tcW w:w="0" w:type="auto"/>
            <w:gridSpan w:val="3"/>
            <w:shd w:val="clear" w:color="auto" w:fill="auto"/>
            <w:vAlign w:val="bottom"/>
          </w:tcPr>
          <w:p w14:paraId="5F2D0559" w14:textId="77777777" w:rsidR="00E836FB" w:rsidRDefault="00E836FB">
            <w:pPr>
              <w:rPr>
                <w:rFonts w:ascii="宋体"/>
                <w:vanish/>
              </w:rPr>
            </w:pPr>
          </w:p>
        </w:tc>
        <w:tc>
          <w:tcPr>
            <w:tcW w:w="0" w:type="auto"/>
            <w:gridSpan w:val="3"/>
            <w:shd w:val="clear" w:color="auto" w:fill="auto"/>
            <w:vAlign w:val="bottom"/>
          </w:tcPr>
          <w:p w14:paraId="5F2D055A" w14:textId="77777777" w:rsidR="00E836FB" w:rsidRDefault="00E836FB">
            <w:pPr>
              <w:rPr>
                <w:rFonts w:ascii="宋体"/>
                <w:vanish/>
              </w:rPr>
            </w:pPr>
          </w:p>
        </w:tc>
        <w:tc>
          <w:tcPr>
            <w:tcW w:w="0" w:type="auto"/>
            <w:gridSpan w:val="3"/>
            <w:shd w:val="clear" w:color="auto" w:fill="auto"/>
            <w:vAlign w:val="bottom"/>
          </w:tcPr>
          <w:p w14:paraId="5F2D055B" w14:textId="77777777" w:rsidR="00E836FB" w:rsidRDefault="00E836FB">
            <w:pPr>
              <w:rPr>
                <w:rFonts w:ascii="宋体"/>
                <w:vanish/>
              </w:rPr>
            </w:pPr>
          </w:p>
        </w:tc>
        <w:tc>
          <w:tcPr>
            <w:tcW w:w="0" w:type="auto"/>
            <w:gridSpan w:val="3"/>
            <w:shd w:val="clear" w:color="auto" w:fill="auto"/>
            <w:vAlign w:val="bottom"/>
          </w:tcPr>
          <w:p w14:paraId="5F2D055C" w14:textId="77777777" w:rsidR="00E836FB" w:rsidRDefault="00E836FB">
            <w:pPr>
              <w:rPr>
                <w:rFonts w:ascii="宋体"/>
                <w:vanish/>
              </w:rPr>
            </w:pPr>
          </w:p>
        </w:tc>
        <w:tc>
          <w:tcPr>
            <w:tcW w:w="0" w:type="auto"/>
            <w:gridSpan w:val="3"/>
            <w:shd w:val="clear" w:color="auto" w:fill="auto"/>
            <w:vAlign w:val="bottom"/>
          </w:tcPr>
          <w:p w14:paraId="5F2D055D" w14:textId="77777777" w:rsidR="00E836FB" w:rsidRDefault="00E836FB">
            <w:pPr>
              <w:rPr>
                <w:rFonts w:ascii="宋体"/>
                <w:vanish/>
              </w:rPr>
            </w:pPr>
          </w:p>
        </w:tc>
        <w:tc>
          <w:tcPr>
            <w:tcW w:w="0" w:type="auto"/>
            <w:gridSpan w:val="3"/>
            <w:shd w:val="clear" w:color="auto" w:fill="auto"/>
            <w:vAlign w:val="bottom"/>
          </w:tcPr>
          <w:p w14:paraId="5F2D055E" w14:textId="77777777" w:rsidR="00E836FB" w:rsidRDefault="00E836FB">
            <w:pPr>
              <w:rPr>
                <w:rFonts w:ascii="宋体"/>
                <w:vanish/>
              </w:rPr>
            </w:pPr>
          </w:p>
        </w:tc>
        <w:tc>
          <w:tcPr>
            <w:tcW w:w="0" w:type="auto"/>
            <w:gridSpan w:val="3"/>
            <w:shd w:val="clear" w:color="auto" w:fill="auto"/>
            <w:vAlign w:val="bottom"/>
          </w:tcPr>
          <w:p w14:paraId="5F2D055F" w14:textId="77777777" w:rsidR="00E836FB" w:rsidRDefault="00E836FB">
            <w:pPr>
              <w:rPr>
                <w:rFonts w:ascii="宋体"/>
                <w:vanish/>
              </w:rPr>
            </w:pPr>
          </w:p>
        </w:tc>
        <w:tc>
          <w:tcPr>
            <w:tcW w:w="0" w:type="auto"/>
            <w:gridSpan w:val="3"/>
            <w:shd w:val="clear" w:color="auto" w:fill="auto"/>
            <w:vAlign w:val="bottom"/>
          </w:tcPr>
          <w:p w14:paraId="5F2D0560" w14:textId="77777777" w:rsidR="00E836FB" w:rsidRDefault="00E836FB">
            <w:pPr>
              <w:rPr>
                <w:rFonts w:ascii="宋体"/>
                <w:vanish/>
              </w:rPr>
            </w:pPr>
          </w:p>
        </w:tc>
        <w:tc>
          <w:tcPr>
            <w:tcW w:w="0" w:type="auto"/>
            <w:gridSpan w:val="3"/>
            <w:shd w:val="clear" w:color="auto" w:fill="auto"/>
            <w:vAlign w:val="bottom"/>
          </w:tcPr>
          <w:p w14:paraId="5F2D0561" w14:textId="77777777" w:rsidR="00E836FB" w:rsidRDefault="00E836FB">
            <w:pPr>
              <w:rPr>
                <w:rFonts w:ascii="宋体"/>
                <w:vanish/>
              </w:rPr>
            </w:pPr>
          </w:p>
        </w:tc>
        <w:tc>
          <w:tcPr>
            <w:tcW w:w="0" w:type="auto"/>
            <w:gridSpan w:val="3"/>
            <w:shd w:val="clear" w:color="auto" w:fill="auto"/>
            <w:vAlign w:val="bottom"/>
          </w:tcPr>
          <w:p w14:paraId="5F2D0562" w14:textId="77777777" w:rsidR="00E836FB" w:rsidRDefault="00E836FB">
            <w:pPr>
              <w:rPr>
                <w:rFonts w:ascii="宋体"/>
                <w:vanish/>
              </w:rPr>
            </w:pPr>
          </w:p>
        </w:tc>
        <w:tc>
          <w:tcPr>
            <w:tcW w:w="0" w:type="auto"/>
            <w:gridSpan w:val="2"/>
            <w:shd w:val="clear" w:color="auto" w:fill="auto"/>
            <w:vAlign w:val="bottom"/>
          </w:tcPr>
          <w:p w14:paraId="5F2D0563" w14:textId="77777777" w:rsidR="00E836FB" w:rsidRDefault="00E836FB">
            <w:pPr>
              <w:rPr>
                <w:rFonts w:ascii="宋体"/>
                <w:vanish/>
              </w:rPr>
            </w:pPr>
          </w:p>
        </w:tc>
        <w:tc>
          <w:tcPr>
            <w:tcW w:w="0" w:type="auto"/>
            <w:shd w:val="clear" w:color="auto" w:fill="auto"/>
            <w:vAlign w:val="bottom"/>
          </w:tcPr>
          <w:p w14:paraId="5F2D0564" w14:textId="77777777" w:rsidR="00E836FB" w:rsidRDefault="00E836FB">
            <w:pPr>
              <w:rPr>
                <w:rFonts w:ascii="宋体"/>
                <w:vanish/>
              </w:rPr>
            </w:pPr>
          </w:p>
        </w:tc>
      </w:tr>
      <w:tr w:rsidR="00E836FB" w14:paraId="5F2D0585" w14:textId="77777777">
        <w:tc>
          <w:tcPr>
            <w:tcW w:w="0" w:type="auto"/>
            <w:gridSpan w:val="3"/>
            <w:shd w:val="clear" w:color="auto" w:fill="FFFFFF"/>
            <w:tcMar>
              <w:top w:w="40" w:type="dxa"/>
              <w:left w:w="155" w:type="dxa"/>
              <w:bottom w:w="40" w:type="dxa"/>
              <w:right w:w="20" w:type="dxa"/>
            </w:tcMar>
            <w:vAlign w:val="center"/>
          </w:tcPr>
          <w:p w14:paraId="5F2D0566" w14:textId="77777777" w:rsidR="00E836FB" w:rsidRDefault="00994958">
            <w:pPr>
              <w:textAlignment w:val="center"/>
            </w:pPr>
            <w:r>
              <w:rPr>
                <w:rFonts w:ascii="Arial" w:eastAsia="宋体" w:hAnsi="Arial" w:cs="Arial"/>
                <w:color w:val="000000"/>
                <w:sz w:val="12"/>
                <w:szCs w:val="12"/>
              </w:rPr>
              <w:t>Asset-backed securities</w:t>
            </w:r>
          </w:p>
        </w:tc>
        <w:tc>
          <w:tcPr>
            <w:tcW w:w="0" w:type="auto"/>
            <w:gridSpan w:val="2"/>
            <w:shd w:val="clear" w:color="auto" w:fill="FFFFFF"/>
            <w:tcMar>
              <w:top w:w="40" w:type="dxa"/>
              <w:left w:w="20" w:type="dxa"/>
              <w:bottom w:w="40" w:type="dxa"/>
              <w:right w:w="0" w:type="dxa"/>
            </w:tcMar>
            <w:vAlign w:val="center"/>
          </w:tcPr>
          <w:p w14:paraId="5F2D0567" w14:textId="77777777" w:rsidR="00E836FB" w:rsidRDefault="00994958">
            <w:pPr>
              <w:jc w:val="right"/>
              <w:textAlignment w:val="center"/>
            </w:pPr>
            <w:r>
              <w:rPr>
                <w:rFonts w:ascii="Arial" w:eastAsia="宋体" w:hAnsi="Arial" w:cs="Arial"/>
                <w:color w:val="000000"/>
                <w:sz w:val="12"/>
                <w:szCs w:val="12"/>
              </w:rPr>
              <w:t>887 </w:t>
            </w:r>
          </w:p>
        </w:tc>
        <w:tc>
          <w:tcPr>
            <w:tcW w:w="0" w:type="auto"/>
            <w:shd w:val="clear" w:color="auto" w:fill="FFFFFF"/>
            <w:tcMar>
              <w:top w:w="40" w:type="dxa"/>
              <w:left w:w="0" w:type="dxa"/>
              <w:bottom w:w="40" w:type="dxa"/>
              <w:right w:w="20" w:type="dxa"/>
            </w:tcMar>
            <w:vAlign w:val="center"/>
          </w:tcPr>
          <w:p w14:paraId="5F2D05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6A"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56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6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6D" w14:textId="77777777" w:rsidR="00E836FB" w:rsidRDefault="00994958">
            <w:pPr>
              <w:jc w:val="right"/>
              <w:textAlignment w:val="center"/>
            </w:pPr>
            <w:r>
              <w:rPr>
                <w:rFonts w:ascii="Arial" w:eastAsia="宋体" w:hAnsi="Arial" w:cs="Arial"/>
                <w:color w:val="000000"/>
                <w:sz w:val="12"/>
                <w:szCs w:val="12"/>
              </w:rPr>
              <w:t>35 </w:t>
            </w:r>
          </w:p>
        </w:tc>
        <w:tc>
          <w:tcPr>
            <w:tcW w:w="0" w:type="auto"/>
            <w:shd w:val="clear" w:color="auto" w:fill="FFFFFF"/>
            <w:tcMar>
              <w:top w:w="40" w:type="dxa"/>
              <w:left w:w="0" w:type="dxa"/>
              <w:bottom w:w="40" w:type="dxa"/>
              <w:right w:w="20" w:type="dxa"/>
            </w:tcMar>
            <w:vAlign w:val="center"/>
          </w:tcPr>
          <w:p w14:paraId="5F2D056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6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70" w14:textId="77777777" w:rsidR="00E836FB" w:rsidRDefault="00994958">
            <w:pPr>
              <w:jc w:val="right"/>
              <w:textAlignment w:val="center"/>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center"/>
          </w:tcPr>
          <w:p w14:paraId="5F2D0571" w14:textId="77777777" w:rsidR="00E836FB" w:rsidRDefault="00E836FB">
            <w:pPr>
              <w:jc w:val="right"/>
              <w:rPr>
                <w:rFonts w:ascii="宋体"/>
              </w:rPr>
            </w:pPr>
          </w:p>
        </w:tc>
        <w:tc>
          <w:tcPr>
            <w:tcW w:w="0" w:type="auto"/>
            <w:shd w:val="clear" w:color="auto" w:fill="auto"/>
            <w:vAlign w:val="bottom"/>
          </w:tcPr>
          <w:p w14:paraId="5F2D0572" w14:textId="77777777" w:rsidR="00E836FB" w:rsidRDefault="00E836FB">
            <w:pPr>
              <w:rPr>
                <w:rFonts w:ascii="宋体"/>
                <w:vanish/>
              </w:rPr>
            </w:pPr>
          </w:p>
        </w:tc>
        <w:tc>
          <w:tcPr>
            <w:tcW w:w="0" w:type="auto"/>
            <w:shd w:val="clear" w:color="auto" w:fill="auto"/>
            <w:vAlign w:val="bottom"/>
          </w:tcPr>
          <w:p w14:paraId="5F2D0573"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05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75"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57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7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78" w14:textId="77777777" w:rsidR="00E836FB" w:rsidRDefault="00994958">
            <w:pPr>
              <w:jc w:val="right"/>
              <w:textAlignment w:val="center"/>
            </w:pPr>
            <w:r>
              <w:rPr>
                <w:rFonts w:ascii="Arial" w:eastAsia="宋体" w:hAnsi="Arial" w:cs="Arial"/>
                <w:color w:val="000000"/>
                <w:sz w:val="12"/>
                <w:szCs w:val="12"/>
              </w:rPr>
              <w:t>(5)</w:t>
            </w:r>
          </w:p>
        </w:tc>
        <w:tc>
          <w:tcPr>
            <w:tcW w:w="0" w:type="auto"/>
            <w:shd w:val="clear" w:color="auto" w:fill="FFFFFF"/>
            <w:tcMar>
              <w:top w:w="40" w:type="dxa"/>
              <w:left w:w="0" w:type="dxa"/>
              <w:bottom w:w="40" w:type="dxa"/>
              <w:right w:w="20" w:type="dxa"/>
            </w:tcMar>
            <w:vAlign w:val="center"/>
          </w:tcPr>
          <w:p w14:paraId="5F2D05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7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7B"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57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7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7E" w14:textId="77777777" w:rsidR="00E836FB" w:rsidRDefault="00994958">
            <w:pPr>
              <w:jc w:val="right"/>
              <w:textAlignment w:val="center"/>
            </w:pPr>
            <w:r>
              <w:rPr>
                <w:rFonts w:ascii="Arial" w:eastAsia="宋体" w:hAnsi="Arial" w:cs="Arial"/>
                <w:color w:val="000000"/>
                <w:sz w:val="12"/>
                <w:szCs w:val="12"/>
              </w:rPr>
              <w:t>(918)</w:t>
            </w:r>
          </w:p>
        </w:tc>
        <w:tc>
          <w:tcPr>
            <w:tcW w:w="0" w:type="auto"/>
            <w:shd w:val="clear" w:color="auto" w:fill="FFFFFF"/>
            <w:tcMar>
              <w:top w:w="40" w:type="dxa"/>
              <w:left w:w="0" w:type="dxa"/>
              <w:bottom w:w="40" w:type="dxa"/>
              <w:right w:w="20" w:type="dxa"/>
            </w:tcMar>
            <w:vAlign w:val="center"/>
          </w:tcPr>
          <w:p w14:paraId="5F2D05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8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581"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582"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583" w14:textId="77777777" w:rsidR="00E836FB" w:rsidRDefault="00E836FB">
            <w:pPr>
              <w:rPr>
                <w:rFonts w:ascii="宋体"/>
              </w:rPr>
            </w:pPr>
          </w:p>
        </w:tc>
        <w:tc>
          <w:tcPr>
            <w:tcW w:w="0" w:type="auto"/>
            <w:shd w:val="clear" w:color="auto" w:fill="FFFFFF"/>
            <w:tcMar>
              <w:top w:w="0" w:type="dxa"/>
              <w:left w:w="20" w:type="dxa"/>
              <w:bottom w:w="0" w:type="dxa"/>
              <w:right w:w="20" w:type="dxa"/>
            </w:tcMar>
            <w:vAlign w:val="bottom"/>
          </w:tcPr>
          <w:p w14:paraId="5F2D0584" w14:textId="77777777" w:rsidR="00E836FB" w:rsidRDefault="00E836FB">
            <w:pPr>
              <w:rPr>
                <w:rFonts w:ascii="宋体"/>
              </w:rPr>
            </w:pPr>
          </w:p>
        </w:tc>
      </w:tr>
      <w:tr w:rsidR="00E836FB" w14:paraId="5F2D059C" w14:textId="77777777">
        <w:trPr>
          <w:hidden/>
        </w:trPr>
        <w:tc>
          <w:tcPr>
            <w:tcW w:w="0" w:type="auto"/>
            <w:gridSpan w:val="3"/>
            <w:shd w:val="clear" w:color="auto" w:fill="auto"/>
            <w:vAlign w:val="bottom"/>
          </w:tcPr>
          <w:p w14:paraId="5F2D0586" w14:textId="77777777" w:rsidR="00E836FB" w:rsidRDefault="00E836FB">
            <w:pPr>
              <w:rPr>
                <w:rFonts w:ascii="宋体"/>
                <w:vanish/>
              </w:rPr>
            </w:pPr>
          </w:p>
        </w:tc>
        <w:tc>
          <w:tcPr>
            <w:tcW w:w="0" w:type="auto"/>
            <w:gridSpan w:val="3"/>
            <w:shd w:val="clear" w:color="auto" w:fill="auto"/>
            <w:vAlign w:val="bottom"/>
          </w:tcPr>
          <w:p w14:paraId="5F2D0587" w14:textId="77777777" w:rsidR="00E836FB" w:rsidRDefault="00E836FB">
            <w:pPr>
              <w:rPr>
                <w:rFonts w:ascii="宋体"/>
                <w:vanish/>
              </w:rPr>
            </w:pPr>
          </w:p>
        </w:tc>
        <w:tc>
          <w:tcPr>
            <w:tcW w:w="0" w:type="auto"/>
            <w:gridSpan w:val="3"/>
            <w:shd w:val="clear" w:color="auto" w:fill="auto"/>
            <w:vAlign w:val="bottom"/>
          </w:tcPr>
          <w:p w14:paraId="5F2D0588" w14:textId="77777777" w:rsidR="00E836FB" w:rsidRDefault="00E836FB">
            <w:pPr>
              <w:rPr>
                <w:rFonts w:ascii="宋体"/>
                <w:vanish/>
              </w:rPr>
            </w:pPr>
          </w:p>
        </w:tc>
        <w:tc>
          <w:tcPr>
            <w:tcW w:w="0" w:type="auto"/>
            <w:gridSpan w:val="3"/>
            <w:shd w:val="clear" w:color="auto" w:fill="auto"/>
            <w:vAlign w:val="bottom"/>
          </w:tcPr>
          <w:p w14:paraId="5F2D0589" w14:textId="77777777" w:rsidR="00E836FB" w:rsidRDefault="00E836FB">
            <w:pPr>
              <w:rPr>
                <w:rFonts w:ascii="宋体"/>
                <w:vanish/>
              </w:rPr>
            </w:pPr>
          </w:p>
        </w:tc>
        <w:tc>
          <w:tcPr>
            <w:tcW w:w="0" w:type="auto"/>
            <w:gridSpan w:val="3"/>
            <w:shd w:val="clear" w:color="auto" w:fill="auto"/>
            <w:vAlign w:val="bottom"/>
          </w:tcPr>
          <w:p w14:paraId="5F2D058A" w14:textId="77777777" w:rsidR="00E836FB" w:rsidRDefault="00E836FB">
            <w:pPr>
              <w:rPr>
                <w:rFonts w:ascii="宋体"/>
                <w:vanish/>
              </w:rPr>
            </w:pPr>
          </w:p>
        </w:tc>
        <w:tc>
          <w:tcPr>
            <w:tcW w:w="0" w:type="auto"/>
            <w:gridSpan w:val="3"/>
            <w:shd w:val="clear" w:color="auto" w:fill="auto"/>
            <w:vAlign w:val="bottom"/>
          </w:tcPr>
          <w:p w14:paraId="5F2D058B" w14:textId="77777777" w:rsidR="00E836FB" w:rsidRDefault="00E836FB">
            <w:pPr>
              <w:rPr>
                <w:rFonts w:ascii="宋体"/>
                <w:vanish/>
              </w:rPr>
            </w:pPr>
          </w:p>
        </w:tc>
        <w:tc>
          <w:tcPr>
            <w:tcW w:w="0" w:type="auto"/>
            <w:gridSpan w:val="3"/>
            <w:shd w:val="clear" w:color="auto" w:fill="auto"/>
            <w:vAlign w:val="bottom"/>
          </w:tcPr>
          <w:p w14:paraId="5F2D058C" w14:textId="77777777" w:rsidR="00E836FB" w:rsidRDefault="00E836FB">
            <w:pPr>
              <w:rPr>
                <w:rFonts w:ascii="宋体"/>
                <w:vanish/>
              </w:rPr>
            </w:pPr>
          </w:p>
        </w:tc>
        <w:tc>
          <w:tcPr>
            <w:tcW w:w="0" w:type="auto"/>
            <w:gridSpan w:val="3"/>
            <w:shd w:val="clear" w:color="auto" w:fill="auto"/>
            <w:vAlign w:val="bottom"/>
          </w:tcPr>
          <w:p w14:paraId="5F2D058D" w14:textId="77777777" w:rsidR="00E836FB" w:rsidRDefault="00E836FB">
            <w:pPr>
              <w:rPr>
                <w:rFonts w:ascii="宋体"/>
                <w:vanish/>
              </w:rPr>
            </w:pPr>
          </w:p>
        </w:tc>
        <w:tc>
          <w:tcPr>
            <w:tcW w:w="0" w:type="auto"/>
            <w:shd w:val="clear" w:color="auto" w:fill="auto"/>
            <w:vAlign w:val="bottom"/>
          </w:tcPr>
          <w:p w14:paraId="5F2D058E" w14:textId="77777777" w:rsidR="00E836FB" w:rsidRDefault="00E836FB">
            <w:pPr>
              <w:rPr>
                <w:rFonts w:ascii="宋体"/>
                <w:vanish/>
              </w:rPr>
            </w:pPr>
          </w:p>
        </w:tc>
        <w:tc>
          <w:tcPr>
            <w:tcW w:w="0" w:type="auto"/>
            <w:shd w:val="clear" w:color="auto" w:fill="auto"/>
            <w:vAlign w:val="bottom"/>
          </w:tcPr>
          <w:p w14:paraId="5F2D058F" w14:textId="77777777" w:rsidR="00E836FB" w:rsidRDefault="00E836FB">
            <w:pPr>
              <w:rPr>
                <w:rFonts w:ascii="宋体"/>
                <w:vanish/>
              </w:rPr>
            </w:pPr>
          </w:p>
        </w:tc>
        <w:tc>
          <w:tcPr>
            <w:tcW w:w="0" w:type="auto"/>
            <w:gridSpan w:val="3"/>
            <w:shd w:val="clear" w:color="auto" w:fill="auto"/>
            <w:vAlign w:val="bottom"/>
          </w:tcPr>
          <w:p w14:paraId="5F2D0590" w14:textId="77777777" w:rsidR="00E836FB" w:rsidRDefault="00E836FB">
            <w:pPr>
              <w:rPr>
                <w:rFonts w:ascii="宋体"/>
                <w:vanish/>
              </w:rPr>
            </w:pPr>
          </w:p>
        </w:tc>
        <w:tc>
          <w:tcPr>
            <w:tcW w:w="0" w:type="auto"/>
            <w:gridSpan w:val="3"/>
            <w:shd w:val="clear" w:color="auto" w:fill="auto"/>
            <w:vAlign w:val="bottom"/>
          </w:tcPr>
          <w:p w14:paraId="5F2D0591" w14:textId="77777777" w:rsidR="00E836FB" w:rsidRDefault="00E836FB">
            <w:pPr>
              <w:rPr>
                <w:rFonts w:ascii="宋体"/>
                <w:vanish/>
              </w:rPr>
            </w:pPr>
          </w:p>
        </w:tc>
        <w:tc>
          <w:tcPr>
            <w:tcW w:w="0" w:type="auto"/>
            <w:gridSpan w:val="3"/>
            <w:shd w:val="clear" w:color="auto" w:fill="auto"/>
            <w:vAlign w:val="bottom"/>
          </w:tcPr>
          <w:p w14:paraId="5F2D0592" w14:textId="77777777" w:rsidR="00E836FB" w:rsidRDefault="00E836FB">
            <w:pPr>
              <w:rPr>
                <w:rFonts w:ascii="宋体"/>
                <w:vanish/>
              </w:rPr>
            </w:pPr>
          </w:p>
        </w:tc>
        <w:tc>
          <w:tcPr>
            <w:tcW w:w="0" w:type="auto"/>
            <w:gridSpan w:val="3"/>
            <w:shd w:val="clear" w:color="auto" w:fill="auto"/>
            <w:vAlign w:val="bottom"/>
          </w:tcPr>
          <w:p w14:paraId="5F2D0593" w14:textId="77777777" w:rsidR="00E836FB" w:rsidRDefault="00E836FB">
            <w:pPr>
              <w:rPr>
                <w:rFonts w:ascii="宋体"/>
                <w:vanish/>
              </w:rPr>
            </w:pPr>
          </w:p>
        </w:tc>
        <w:tc>
          <w:tcPr>
            <w:tcW w:w="0" w:type="auto"/>
            <w:gridSpan w:val="3"/>
            <w:shd w:val="clear" w:color="auto" w:fill="auto"/>
            <w:vAlign w:val="bottom"/>
          </w:tcPr>
          <w:p w14:paraId="5F2D0594" w14:textId="77777777" w:rsidR="00E836FB" w:rsidRDefault="00E836FB">
            <w:pPr>
              <w:rPr>
                <w:rFonts w:ascii="宋体"/>
                <w:vanish/>
              </w:rPr>
            </w:pPr>
          </w:p>
        </w:tc>
        <w:tc>
          <w:tcPr>
            <w:tcW w:w="0" w:type="auto"/>
            <w:gridSpan w:val="3"/>
            <w:shd w:val="clear" w:color="auto" w:fill="auto"/>
            <w:vAlign w:val="bottom"/>
          </w:tcPr>
          <w:p w14:paraId="5F2D0595" w14:textId="77777777" w:rsidR="00E836FB" w:rsidRDefault="00E836FB">
            <w:pPr>
              <w:rPr>
                <w:rFonts w:ascii="宋体"/>
                <w:vanish/>
              </w:rPr>
            </w:pPr>
          </w:p>
        </w:tc>
        <w:tc>
          <w:tcPr>
            <w:tcW w:w="0" w:type="auto"/>
            <w:gridSpan w:val="3"/>
            <w:shd w:val="clear" w:color="auto" w:fill="auto"/>
            <w:vAlign w:val="bottom"/>
          </w:tcPr>
          <w:p w14:paraId="5F2D0596" w14:textId="77777777" w:rsidR="00E836FB" w:rsidRDefault="00E836FB">
            <w:pPr>
              <w:rPr>
                <w:rFonts w:ascii="宋体"/>
                <w:vanish/>
              </w:rPr>
            </w:pPr>
          </w:p>
        </w:tc>
        <w:tc>
          <w:tcPr>
            <w:tcW w:w="0" w:type="auto"/>
            <w:gridSpan w:val="3"/>
            <w:shd w:val="clear" w:color="auto" w:fill="auto"/>
            <w:vAlign w:val="bottom"/>
          </w:tcPr>
          <w:p w14:paraId="5F2D0597" w14:textId="77777777" w:rsidR="00E836FB" w:rsidRDefault="00E836FB">
            <w:pPr>
              <w:rPr>
                <w:rFonts w:ascii="宋体"/>
                <w:vanish/>
              </w:rPr>
            </w:pPr>
          </w:p>
        </w:tc>
        <w:tc>
          <w:tcPr>
            <w:tcW w:w="0" w:type="auto"/>
            <w:gridSpan w:val="3"/>
            <w:shd w:val="clear" w:color="auto" w:fill="auto"/>
            <w:vAlign w:val="bottom"/>
          </w:tcPr>
          <w:p w14:paraId="5F2D0598" w14:textId="77777777" w:rsidR="00E836FB" w:rsidRDefault="00E836FB">
            <w:pPr>
              <w:rPr>
                <w:rFonts w:ascii="宋体"/>
                <w:vanish/>
              </w:rPr>
            </w:pPr>
          </w:p>
        </w:tc>
        <w:tc>
          <w:tcPr>
            <w:tcW w:w="0" w:type="auto"/>
            <w:gridSpan w:val="3"/>
            <w:shd w:val="clear" w:color="auto" w:fill="auto"/>
            <w:vAlign w:val="bottom"/>
          </w:tcPr>
          <w:p w14:paraId="5F2D0599" w14:textId="77777777" w:rsidR="00E836FB" w:rsidRDefault="00E836FB">
            <w:pPr>
              <w:rPr>
                <w:rFonts w:ascii="宋体"/>
                <w:vanish/>
              </w:rPr>
            </w:pPr>
          </w:p>
        </w:tc>
        <w:tc>
          <w:tcPr>
            <w:tcW w:w="0" w:type="auto"/>
            <w:gridSpan w:val="2"/>
            <w:shd w:val="clear" w:color="auto" w:fill="auto"/>
            <w:vAlign w:val="bottom"/>
          </w:tcPr>
          <w:p w14:paraId="5F2D059A" w14:textId="77777777" w:rsidR="00E836FB" w:rsidRDefault="00E836FB">
            <w:pPr>
              <w:rPr>
                <w:rFonts w:ascii="宋体"/>
                <w:vanish/>
              </w:rPr>
            </w:pPr>
          </w:p>
        </w:tc>
        <w:tc>
          <w:tcPr>
            <w:tcW w:w="0" w:type="auto"/>
            <w:shd w:val="clear" w:color="auto" w:fill="auto"/>
            <w:vAlign w:val="bottom"/>
          </w:tcPr>
          <w:p w14:paraId="5F2D059B" w14:textId="77777777" w:rsidR="00E836FB" w:rsidRDefault="00E836FB">
            <w:pPr>
              <w:rPr>
                <w:rFonts w:ascii="宋体"/>
                <w:vanish/>
              </w:rPr>
            </w:pPr>
          </w:p>
        </w:tc>
      </w:tr>
      <w:tr w:rsidR="00E836FB" w14:paraId="5F2D05BC" w14:textId="77777777">
        <w:tc>
          <w:tcPr>
            <w:tcW w:w="0" w:type="auto"/>
            <w:gridSpan w:val="3"/>
            <w:shd w:val="clear" w:color="auto" w:fill="CCEEFF"/>
            <w:tcMar>
              <w:top w:w="40" w:type="dxa"/>
              <w:left w:w="155" w:type="dxa"/>
              <w:bottom w:w="40" w:type="dxa"/>
              <w:right w:w="20" w:type="dxa"/>
            </w:tcMar>
            <w:vAlign w:val="center"/>
          </w:tcPr>
          <w:p w14:paraId="5F2D059D" w14:textId="77777777" w:rsidR="00E836FB" w:rsidRDefault="00994958">
            <w:pPr>
              <w:textAlignment w:val="center"/>
            </w:pPr>
            <w:r>
              <w:rPr>
                <w:rFonts w:ascii="Arial" w:eastAsia="宋体" w:hAnsi="Arial" w:cs="Arial"/>
                <w:color w:val="000000"/>
                <w:sz w:val="12"/>
                <w:szCs w:val="12"/>
              </w:rPr>
              <w:t>Other</w:t>
            </w:r>
          </w:p>
        </w:tc>
        <w:tc>
          <w:tcPr>
            <w:tcW w:w="0" w:type="auto"/>
            <w:gridSpan w:val="2"/>
            <w:shd w:val="clear" w:color="auto" w:fill="CCEEFF"/>
            <w:tcMar>
              <w:top w:w="40" w:type="dxa"/>
              <w:left w:w="20" w:type="dxa"/>
              <w:bottom w:w="40" w:type="dxa"/>
              <w:right w:w="0" w:type="dxa"/>
            </w:tcMar>
            <w:vAlign w:val="center"/>
          </w:tcPr>
          <w:p w14:paraId="5F2D059E" w14:textId="77777777" w:rsidR="00E836FB" w:rsidRDefault="00994958">
            <w:pPr>
              <w:jc w:val="right"/>
              <w:textAlignment w:val="center"/>
            </w:pPr>
            <w:r>
              <w:rPr>
                <w:rFonts w:ascii="Arial" w:eastAsia="宋体" w:hAnsi="Arial" w:cs="Arial"/>
                <w:color w:val="000000"/>
                <w:sz w:val="12"/>
                <w:szCs w:val="12"/>
              </w:rPr>
              <w:t>45 </w:t>
            </w:r>
          </w:p>
        </w:tc>
        <w:tc>
          <w:tcPr>
            <w:tcW w:w="0" w:type="auto"/>
            <w:shd w:val="clear" w:color="auto" w:fill="CCEEFF"/>
            <w:tcMar>
              <w:top w:w="40" w:type="dxa"/>
              <w:left w:w="0" w:type="dxa"/>
              <w:bottom w:w="40" w:type="dxa"/>
              <w:right w:w="20" w:type="dxa"/>
            </w:tcMar>
            <w:vAlign w:val="center"/>
          </w:tcPr>
          <w:p w14:paraId="5F2D059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5A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A1"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5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5A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A4" w14:textId="77777777" w:rsidR="00E836FB" w:rsidRDefault="00994958">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5F2D05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5A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A7"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5A8" w14:textId="77777777" w:rsidR="00E836FB" w:rsidRDefault="00E836FB">
            <w:pPr>
              <w:jc w:val="right"/>
              <w:rPr>
                <w:rFonts w:ascii="宋体"/>
              </w:rPr>
            </w:pPr>
          </w:p>
        </w:tc>
        <w:tc>
          <w:tcPr>
            <w:tcW w:w="0" w:type="auto"/>
            <w:shd w:val="clear" w:color="auto" w:fill="auto"/>
            <w:vAlign w:val="bottom"/>
          </w:tcPr>
          <w:p w14:paraId="5F2D05A9" w14:textId="77777777" w:rsidR="00E836FB" w:rsidRDefault="00E836FB">
            <w:pPr>
              <w:rPr>
                <w:rFonts w:ascii="宋体"/>
                <w:vanish/>
              </w:rPr>
            </w:pPr>
          </w:p>
        </w:tc>
        <w:tc>
          <w:tcPr>
            <w:tcW w:w="0" w:type="auto"/>
            <w:shd w:val="clear" w:color="auto" w:fill="auto"/>
            <w:vAlign w:val="bottom"/>
          </w:tcPr>
          <w:p w14:paraId="5F2D05AA"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05A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AC"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5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5A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AF"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5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5B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B2"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5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5B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B5" w14:textId="77777777" w:rsidR="00E836FB" w:rsidRDefault="00994958">
            <w:pPr>
              <w:jc w:val="right"/>
              <w:textAlignment w:val="center"/>
            </w:pPr>
            <w:r>
              <w:rPr>
                <w:rFonts w:ascii="Arial" w:eastAsia="宋体" w:hAnsi="Arial" w:cs="Arial"/>
                <w:color w:val="000000"/>
                <w:sz w:val="12"/>
                <w:szCs w:val="12"/>
              </w:rPr>
              <w:t>(47)</w:t>
            </w:r>
          </w:p>
        </w:tc>
        <w:tc>
          <w:tcPr>
            <w:tcW w:w="0" w:type="auto"/>
            <w:shd w:val="clear" w:color="auto" w:fill="CCEEFF"/>
            <w:tcMar>
              <w:top w:w="40" w:type="dxa"/>
              <w:left w:w="0" w:type="dxa"/>
              <w:bottom w:w="40" w:type="dxa"/>
              <w:right w:w="20" w:type="dxa"/>
            </w:tcMar>
            <w:vAlign w:val="center"/>
          </w:tcPr>
          <w:p w14:paraId="5F2D05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5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05B8"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F2D05B9"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5BA"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5BB" w14:textId="77777777" w:rsidR="00E836FB" w:rsidRDefault="00E836FB">
            <w:pPr>
              <w:rPr>
                <w:rFonts w:ascii="宋体"/>
              </w:rPr>
            </w:pPr>
          </w:p>
        </w:tc>
      </w:tr>
      <w:tr w:rsidR="00E836FB" w14:paraId="5F2D05DC" w14:textId="77777777">
        <w:tc>
          <w:tcPr>
            <w:tcW w:w="0" w:type="auto"/>
            <w:gridSpan w:val="3"/>
            <w:shd w:val="clear" w:color="auto" w:fill="FFFFFF"/>
            <w:tcMar>
              <w:top w:w="40" w:type="dxa"/>
              <w:left w:w="20" w:type="dxa"/>
              <w:bottom w:w="40" w:type="dxa"/>
              <w:right w:w="20" w:type="dxa"/>
            </w:tcMar>
            <w:vAlign w:val="center"/>
          </w:tcPr>
          <w:p w14:paraId="5F2D05BD" w14:textId="77777777" w:rsidR="00E836FB" w:rsidRDefault="00994958">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BE" w14:textId="77777777" w:rsidR="00E836FB" w:rsidRDefault="00994958">
            <w:pPr>
              <w:jc w:val="right"/>
              <w:textAlignment w:val="center"/>
            </w:pPr>
            <w:r>
              <w:rPr>
                <w:rFonts w:ascii="Arial" w:eastAsia="宋体" w:hAnsi="Arial" w:cs="Arial"/>
                <w:color w:val="000000"/>
                <w:sz w:val="12"/>
                <w:szCs w:val="12"/>
              </w:rPr>
              <w:t>932 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C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C1"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C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C4" w14:textId="77777777" w:rsidR="00E836FB" w:rsidRDefault="00994958">
            <w:pPr>
              <w:jc w:val="right"/>
              <w:textAlignment w:val="center"/>
            </w:pPr>
            <w:r>
              <w:rPr>
                <w:rFonts w:ascii="Arial" w:eastAsia="宋体" w:hAnsi="Arial" w:cs="Arial"/>
                <w:color w:val="000000"/>
                <w:sz w:val="12"/>
                <w:szCs w:val="12"/>
              </w:rPr>
              <w:t>37 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C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C7" w14:textId="77777777" w:rsidR="00E836FB" w:rsidRDefault="00994958">
            <w:pPr>
              <w:jc w:val="right"/>
              <w:textAlignment w:val="center"/>
            </w:pPr>
            <w:r>
              <w:rPr>
                <w:rFonts w:ascii="Arial" w:eastAsia="宋体" w:hAnsi="Arial" w:cs="Arial"/>
                <w:color w:val="000000"/>
                <w:sz w:val="12"/>
                <w:szCs w:val="12"/>
              </w:rPr>
              <w:t>1 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C8" w14:textId="77777777" w:rsidR="00E836FB" w:rsidRDefault="00E836FB">
            <w:pPr>
              <w:jc w:val="right"/>
              <w:rPr>
                <w:rFonts w:ascii="宋体"/>
              </w:rPr>
            </w:pPr>
          </w:p>
        </w:tc>
        <w:tc>
          <w:tcPr>
            <w:tcW w:w="0" w:type="auto"/>
            <w:shd w:val="clear" w:color="auto" w:fill="auto"/>
            <w:vAlign w:val="bottom"/>
          </w:tcPr>
          <w:p w14:paraId="5F2D05C9" w14:textId="77777777" w:rsidR="00E836FB" w:rsidRDefault="00E836FB">
            <w:pPr>
              <w:rPr>
                <w:rFonts w:ascii="宋体"/>
                <w:vanish/>
              </w:rPr>
            </w:pPr>
          </w:p>
        </w:tc>
        <w:tc>
          <w:tcPr>
            <w:tcW w:w="0" w:type="auto"/>
            <w:shd w:val="clear" w:color="auto" w:fill="auto"/>
            <w:vAlign w:val="bottom"/>
          </w:tcPr>
          <w:p w14:paraId="5F2D05CA"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05C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CC"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C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CF" w14:textId="77777777" w:rsidR="00E836FB" w:rsidRDefault="00994958">
            <w:pPr>
              <w:jc w:val="right"/>
              <w:textAlignment w:val="center"/>
            </w:pPr>
            <w:r>
              <w:rPr>
                <w:rFonts w:ascii="Arial" w:eastAsia="宋体" w:hAnsi="Arial" w:cs="Arial"/>
                <w:color w:val="000000"/>
                <w:sz w:val="12"/>
                <w:szCs w:val="12"/>
              </w:rPr>
              <w:t>(5)</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D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D2"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D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D5" w14:textId="77777777" w:rsidR="00E836FB" w:rsidRDefault="00994958">
            <w:pPr>
              <w:jc w:val="right"/>
              <w:textAlignment w:val="center"/>
            </w:pPr>
            <w:r>
              <w:rPr>
                <w:rFonts w:ascii="Arial" w:eastAsia="宋体" w:hAnsi="Arial" w:cs="Arial"/>
                <w:color w:val="000000"/>
                <w:sz w:val="12"/>
                <w:szCs w:val="12"/>
              </w:rPr>
              <w:t>(965)</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5D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F2D05D8"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F2D05D9"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5DA" w14:textId="77777777" w:rsidR="00E836FB" w:rsidRDefault="00E836FB">
            <w:pPr>
              <w:rPr>
                <w:rFonts w:ascii="宋体"/>
              </w:rPr>
            </w:pPr>
          </w:p>
        </w:tc>
        <w:tc>
          <w:tcPr>
            <w:tcW w:w="0" w:type="auto"/>
            <w:shd w:val="clear" w:color="auto" w:fill="FFFFFF"/>
            <w:tcMar>
              <w:top w:w="0" w:type="dxa"/>
              <w:left w:w="20" w:type="dxa"/>
              <w:bottom w:w="0" w:type="dxa"/>
              <w:right w:w="20" w:type="dxa"/>
            </w:tcMar>
            <w:vAlign w:val="bottom"/>
          </w:tcPr>
          <w:p w14:paraId="5F2D05DB" w14:textId="77777777" w:rsidR="00E836FB" w:rsidRDefault="00E836FB">
            <w:pPr>
              <w:rPr>
                <w:rFonts w:ascii="宋体"/>
              </w:rPr>
            </w:pPr>
          </w:p>
        </w:tc>
      </w:tr>
      <w:tr w:rsidR="00E836FB" w14:paraId="5F2D05F3" w14:textId="77777777">
        <w:trPr>
          <w:hidden/>
        </w:trPr>
        <w:tc>
          <w:tcPr>
            <w:tcW w:w="0" w:type="auto"/>
            <w:gridSpan w:val="3"/>
            <w:shd w:val="clear" w:color="auto" w:fill="auto"/>
            <w:vAlign w:val="bottom"/>
          </w:tcPr>
          <w:p w14:paraId="5F2D05DD" w14:textId="77777777" w:rsidR="00E836FB" w:rsidRDefault="00E836FB">
            <w:pPr>
              <w:rPr>
                <w:rFonts w:ascii="宋体"/>
                <w:vanish/>
              </w:rPr>
            </w:pPr>
          </w:p>
        </w:tc>
        <w:tc>
          <w:tcPr>
            <w:tcW w:w="0" w:type="auto"/>
            <w:gridSpan w:val="3"/>
            <w:shd w:val="clear" w:color="auto" w:fill="auto"/>
            <w:vAlign w:val="bottom"/>
          </w:tcPr>
          <w:p w14:paraId="5F2D05DE" w14:textId="77777777" w:rsidR="00E836FB" w:rsidRDefault="00E836FB">
            <w:pPr>
              <w:rPr>
                <w:rFonts w:ascii="宋体"/>
                <w:vanish/>
              </w:rPr>
            </w:pPr>
          </w:p>
        </w:tc>
        <w:tc>
          <w:tcPr>
            <w:tcW w:w="0" w:type="auto"/>
            <w:gridSpan w:val="3"/>
            <w:shd w:val="clear" w:color="auto" w:fill="auto"/>
            <w:vAlign w:val="bottom"/>
          </w:tcPr>
          <w:p w14:paraId="5F2D05DF" w14:textId="77777777" w:rsidR="00E836FB" w:rsidRDefault="00E836FB">
            <w:pPr>
              <w:rPr>
                <w:rFonts w:ascii="宋体"/>
                <w:vanish/>
              </w:rPr>
            </w:pPr>
          </w:p>
        </w:tc>
        <w:tc>
          <w:tcPr>
            <w:tcW w:w="0" w:type="auto"/>
            <w:gridSpan w:val="3"/>
            <w:shd w:val="clear" w:color="auto" w:fill="auto"/>
            <w:vAlign w:val="bottom"/>
          </w:tcPr>
          <w:p w14:paraId="5F2D05E0" w14:textId="77777777" w:rsidR="00E836FB" w:rsidRDefault="00E836FB">
            <w:pPr>
              <w:rPr>
                <w:rFonts w:ascii="宋体"/>
                <w:vanish/>
              </w:rPr>
            </w:pPr>
          </w:p>
        </w:tc>
        <w:tc>
          <w:tcPr>
            <w:tcW w:w="0" w:type="auto"/>
            <w:gridSpan w:val="3"/>
            <w:shd w:val="clear" w:color="auto" w:fill="auto"/>
            <w:vAlign w:val="bottom"/>
          </w:tcPr>
          <w:p w14:paraId="5F2D05E1" w14:textId="77777777" w:rsidR="00E836FB" w:rsidRDefault="00E836FB">
            <w:pPr>
              <w:rPr>
                <w:rFonts w:ascii="宋体"/>
                <w:vanish/>
              </w:rPr>
            </w:pPr>
          </w:p>
        </w:tc>
        <w:tc>
          <w:tcPr>
            <w:tcW w:w="0" w:type="auto"/>
            <w:gridSpan w:val="3"/>
            <w:shd w:val="clear" w:color="auto" w:fill="auto"/>
            <w:vAlign w:val="bottom"/>
          </w:tcPr>
          <w:p w14:paraId="5F2D05E2" w14:textId="77777777" w:rsidR="00E836FB" w:rsidRDefault="00E836FB">
            <w:pPr>
              <w:rPr>
                <w:rFonts w:ascii="宋体"/>
                <w:vanish/>
              </w:rPr>
            </w:pPr>
          </w:p>
        </w:tc>
        <w:tc>
          <w:tcPr>
            <w:tcW w:w="0" w:type="auto"/>
            <w:gridSpan w:val="3"/>
            <w:shd w:val="clear" w:color="auto" w:fill="auto"/>
            <w:vAlign w:val="bottom"/>
          </w:tcPr>
          <w:p w14:paraId="5F2D05E3" w14:textId="77777777" w:rsidR="00E836FB" w:rsidRDefault="00E836FB">
            <w:pPr>
              <w:rPr>
                <w:rFonts w:ascii="宋体"/>
                <w:vanish/>
              </w:rPr>
            </w:pPr>
          </w:p>
        </w:tc>
        <w:tc>
          <w:tcPr>
            <w:tcW w:w="0" w:type="auto"/>
            <w:gridSpan w:val="3"/>
            <w:shd w:val="clear" w:color="auto" w:fill="auto"/>
            <w:vAlign w:val="bottom"/>
          </w:tcPr>
          <w:p w14:paraId="5F2D05E4" w14:textId="77777777" w:rsidR="00E836FB" w:rsidRDefault="00E836FB">
            <w:pPr>
              <w:rPr>
                <w:rFonts w:ascii="宋体"/>
                <w:vanish/>
              </w:rPr>
            </w:pPr>
          </w:p>
        </w:tc>
        <w:tc>
          <w:tcPr>
            <w:tcW w:w="0" w:type="auto"/>
            <w:shd w:val="clear" w:color="auto" w:fill="auto"/>
            <w:vAlign w:val="bottom"/>
          </w:tcPr>
          <w:p w14:paraId="5F2D05E5" w14:textId="77777777" w:rsidR="00E836FB" w:rsidRDefault="00E836FB">
            <w:pPr>
              <w:rPr>
                <w:rFonts w:ascii="宋体"/>
                <w:vanish/>
              </w:rPr>
            </w:pPr>
          </w:p>
        </w:tc>
        <w:tc>
          <w:tcPr>
            <w:tcW w:w="0" w:type="auto"/>
            <w:shd w:val="clear" w:color="auto" w:fill="auto"/>
            <w:vAlign w:val="bottom"/>
          </w:tcPr>
          <w:p w14:paraId="5F2D05E6" w14:textId="77777777" w:rsidR="00E836FB" w:rsidRDefault="00E836FB">
            <w:pPr>
              <w:rPr>
                <w:rFonts w:ascii="宋体"/>
                <w:vanish/>
              </w:rPr>
            </w:pPr>
          </w:p>
        </w:tc>
        <w:tc>
          <w:tcPr>
            <w:tcW w:w="0" w:type="auto"/>
            <w:gridSpan w:val="3"/>
            <w:shd w:val="clear" w:color="auto" w:fill="auto"/>
            <w:vAlign w:val="bottom"/>
          </w:tcPr>
          <w:p w14:paraId="5F2D05E7" w14:textId="77777777" w:rsidR="00E836FB" w:rsidRDefault="00E836FB">
            <w:pPr>
              <w:rPr>
                <w:rFonts w:ascii="宋体"/>
                <w:vanish/>
              </w:rPr>
            </w:pPr>
          </w:p>
        </w:tc>
        <w:tc>
          <w:tcPr>
            <w:tcW w:w="0" w:type="auto"/>
            <w:gridSpan w:val="3"/>
            <w:shd w:val="clear" w:color="auto" w:fill="auto"/>
            <w:vAlign w:val="bottom"/>
          </w:tcPr>
          <w:p w14:paraId="5F2D05E8" w14:textId="77777777" w:rsidR="00E836FB" w:rsidRDefault="00E836FB">
            <w:pPr>
              <w:rPr>
                <w:rFonts w:ascii="宋体"/>
                <w:vanish/>
              </w:rPr>
            </w:pPr>
          </w:p>
        </w:tc>
        <w:tc>
          <w:tcPr>
            <w:tcW w:w="0" w:type="auto"/>
            <w:gridSpan w:val="3"/>
            <w:shd w:val="clear" w:color="auto" w:fill="auto"/>
            <w:vAlign w:val="bottom"/>
          </w:tcPr>
          <w:p w14:paraId="5F2D05E9" w14:textId="77777777" w:rsidR="00E836FB" w:rsidRDefault="00E836FB">
            <w:pPr>
              <w:rPr>
                <w:rFonts w:ascii="宋体"/>
                <w:vanish/>
              </w:rPr>
            </w:pPr>
          </w:p>
        </w:tc>
        <w:tc>
          <w:tcPr>
            <w:tcW w:w="0" w:type="auto"/>
            <w:gridSpan w:val="3"/>
            <w:shd w:val="clear" w:color="auto" w:fill="auto"/>
            <w:vAlign w:val="bottom"/>
          </w:tcPr>
          <w:p w14:paraId="5F2D05EA" w14:textId="77777777" w:rsidR="00E836FB" w:rsidRDefault="00E836FB">
            <w:pPr>
              <w:rPr>
                <w:rFonts w:ascii="宋体"/>
                <w:vanish/>
              </w:rPr>
            </w:pPr>
          </w:p>
        </w:tc>
        <w:tc>
          <w:tcPr>
            <w:tcW w:w="0" w:type="auto"/>
            <w:gridSpan w:val="3"/>
            <w:shd w:val="clear" w:color="auto" w:fill="auto"/>
            <w:vAlign w:val="bottom"/>
          </w:tcPr>
          <w:p w14:paraId="5F2D05EB" w14:textId="77777777" w:rsidR="00E836FB" w:rsidRDefault="00E836FB">
            <w:pPr>
              <w:rPr>
                <w:rFonts w:ascii="宋体"/>
                <w:vanish/>
              </w:rPr>
            </w:pPr>
          </w:p>
        </w:tc>
        <w:tc>
          <w:tcPr>
            <w:tcW w:w="0" w:type="auto"/>
            <w:gridSpan w:val="3"/>
            <w:shd w:val="clear" w:color="auto" w:fill="auto"/>
            <w:vAlign w:val="bottom"/>
          </w:tcPr>
          <w:p w14:paraId="5F2D05EC" w14:textId="77777777" w:rsidR="00E836FB" w:rsidRDefault="00E836FB">
            <w:pPr>
              <w:rPr>
                <w:rFonts w:ascii="宋体"/>
                <w:vanish/>
              </w:rPr>
            </w:pPr>
          </w:p>
        </w:tc>
        <w:tc>
          <w:tcPr>
            <w:tcW w:w="0" w:type="auto"/>
            <w:gridSpan w:val="3"/>
            <w:shd w:val="clear" w:color="auto" w:fill="auto"/>
            <w:vAlign w:val="bottom"/>
          </w:tcPr>
          <w:p w14:paraId="5F2D05ED" w14:textId="77777777" w:rsidR="00E836FB" w:rsidRDefault="00E836FB">
            <w:pPr>
              <w:rPr>
                <w:rFonts w:ascii="宋体"/>
                <w:vanish/>
              </w:rPr>
            </w:pPr>
          </w:p>
        </w:tc>
        <w:tc>
          <w:tcPr>
            <w:tcW w:w="0" w:type="auto"/>
            <w:gridSpan w:val="3"/>
            <w:shd w:val="clear" w:color="auto" w:fill="auto"/>
            <w:vAlign w:val="bottom"/>
          </w:tcPr>
          <w:p w14:paraId="5F2D05EE" w14:textId="77777777" w:rsidR="00E836FB" w:rsidRDefault="00E836FB">
            <w:pPr>
              <w:rPr>
                <w:rFonts w:ascii="宋体"/>
                <w:vanish/>
              </w:rPr>
            </w:pPr>
          </w:p>
        </w:tc>
        <w:tc>
          <w:tcPr>
            <w:tcW w:w="0" w:type="auto"/>
            <w:gridSpan w:val="3"/>
            <w:shd w:val="clear" w:color="auto" w:fill="auto"/>
            <w:vAlign w:val="bottom"/>
          </w:tcPr>
          <w:p w14:paraId="5F2D05EF" w14:textId="77777777" w:rsidR="00E836FB" w:rsidRDefault="00E836FB">
            <w:pPr>
              <w:rPr>
                <w:rFonts w:ascii="宋体"/>
                <w:vanish/>
              </w:rPr>
            </w:pPr>
          </w:p>
        </w:tc>
        <w:tc>
          <w:tcPr>
            <w:tcW w:w="0" w:type="auto"/>
            <w:gridSpan w:val="3"/>
            <w:shd w:val="clear" w:color="auto" w:fill="auto"/>
            <w:vAlign w:val="bottom"/>
          </w:tcPr>
          <w:p w14:paraId="5F2D05F0" w14:textId="77777777" w:rsidR="00E836FB" w:rsidRDefault="00E836FB">
            <w:pPr>
              <w:rPr>
                <w:rFonts w:ascii="宋体"/>
                <w:vanish/>
              </w:rPr>
            </w:pPr>
          </w:p>
        </w:tc>
        <w:tc>
          <w:tcPr>
            <w:tcW w:w="0" w:type="auto"/>
            <w:gridSpan w:val="2"/>
            <w:shd w:val="clear" w:color="auto" w:fill="auto"/>
            <w:vAlign w:val="bottom"/>
          </w:tcPr>
          <w:p w14:paraId="5F2D05F1" w14:textId="77777777" w:rsidR="00E836FB" w:rsidRDefault="00E836FB">
            <w:pPr>
              <w:rPr>
                <w:rFonts w:ascii="宋体"/>
                <w:vanish/>
              </w:rPr>
            </w:pPr>
          </w:p>
        </w:tc>
        <w:tc>
          <w:tcPr>
            <w:tcW w:w="0" w:type="auto"/>
            <w:shd w:val="clear" w:color="auto" w:fill="auto"/>
            <w:vAlign w:val="bottom"/>
          </w:tcPr>
          <w:p w14:paraId="5F2D05F2" w14:textId="77777777" w:rsidR="00E836FB" w:rsidRDefault="00E836FB">
            <w:pPr>
              <w:rPr>
                <w:rFonts w:ascii="宋体"/>
                <w:vanish/>
              </w:rPr>
            </w:pPr>
          </w:p>
        </w:tc>
      </w:tr>
      <w:tr w:rsidR="00E836FB" w14:paraId="5F2D060A" w14:textId="77777777">
        <w:trPr>
          <w:hidden/>
        </w:trPr>
        <w:tc>
          <w:tcPr>
            <w:tcW w:w="0" w:type="auto"/>
            <w:gridSpan w:val="3"/>
            <w:shd w:val="clear" w:color="auto" w:fill="auto"/>
            <w:vAlign w:val="bottom"/>
          </w:tcPr>
          <w:p w14:paraId="5F2D05F4" w14:textId="77777777" w:rsidR="00E836FB" w:rsidRDefault="00E836FB">
            <w:pPr>
              <w:rPr>
                <w:rFonts w:ascii="宋体"/>
                <w:vanish/>
              </w:rPr>
            </w:pPr>
          </w:p>
        </w:tc>
        <w:tc>
          <w:tcPr>
            <w:tcW w:w="0" w:type="auto"/>
            <w:gridSpan w:val="3"/>
            <w:shd w:val="clear" w:color="auto" w:fill="auto"/>
            <w:vAlign w:val="bottom"/>
          </w:tcPr>
          <w:p w14:paraId="5F2D05F5" w14:textId="77777777" w:rsidR="00E836FB" w:rsidRDefault="00E836FB">
            <w:pPr>
              <w:rPr>
                <w:rFonts w:ascii="宋体"/>
                <w:vanish/>
              </w:rPr>
            </w:pPr>
          </w:p>
        </w:tc>
        <w:tc>
          <w:tcPr>
            <w:tcW w:w="0" w:type="auto"/>
            <w:gridSpan w:val="3"/>
            <w:shd w:val="clear" w:color="auto" w:fill="auto"/>
            <w:vAlign w:val="bottom"/>
          </w:tcPr>
          <w:p w14:paraId="5F2D05F6" w14:textId="77777777" w:rsidR="00E836FB" w:rsidRDefault="00E836FB">
            <w:pPr>
              <w:rPr>
                <w:rFonts w:ascii="宋体"/>
                <w:vanish/>
              </w:rPr>
            </w:pPr>
          </w:p>
        </w:tc>
        <w:tc>
          <w:tcPr>
            <w:tcW w:w="0" w:type="auto"/>
            <w:gridSpan w:val="3"/>
            <w:shd w:val="clear" w:color="auto" w:fill="auto"/>
            <w:vAlign w:val="bottom"/>
          </w:tcPr>
          <w:p w14:paraId="5F2D05F7" w14:textId="77777777" w:rsidR="00E836FB" w:rsidRDefault="00E836FB">
            <w:pPr>
              <w:rPr>
                <w:rFonts w:ascii="宋体"/>
                <w:vanish/>
              </w:rPr>
            </w:pPr>
          </w:p>
        </w:tc>
        <w:tc>
          <w:tcPr>
            <w:tcW w:w="0" w:type="auto"/>
            <w:gridSpan w:val="3"/>
            <w:shd w:val="clear" w:color="auto" w:fill="auto"/>
            <w:vAlign w:val="bottom"/>
          </w:tcPr>
          <w:p w14:paraId="5F2D05F8" w14:textId="77777777" w:rsidR="00E836FB" w:rsidRDefault="00E836FB">
            <w:pPr>
              <w:rPr>
                <w:rFonts w:ascii="宋体"/>
                <w:vanish/>
              </w:rPr>
            </w:pPr>
          </w:p>
        </w:tc>
        <w:tc>
          <w:tcPr>
            <w:tcW w:w="0" w:type="auto"/>
            <w:gridSpan w:val="3"/>
            <w:shd w:val="clear" w:color="auto" w:fill="auto"/>
            <w:vAlign w:val="bottom"/>
          </w:tcPr>
          <w:p w14:paraId="5F2D05F9" w14:textId="77777777" w:rsidR="00E836FB" w:rsidRDefault="00E836FB">
            <w:pPr>
              <w:rPr>
                <w:rFonts w:ascii="宋体"/>
                <w:vanish/>
              </w:rPr>
            </w:pPr>
          </w:p>
        </w:tc>
        <w:tc>
          <w:tcPr>
            <w:tcW w:w="0" w:type="auto"/>
            <w:gridSpan w:val="3"/>
            <w:shd w:val="clear" w:color="auto" w:fill="auto"/>
            <w:vAlign w:val="bottom"/>
          </w:tcPr>
          <w:p w14:paraId="5F2D05FA" w14:textId="77777777" w:rsidR="00E836FB" w:rsidRDefault="00E836FB">
            <w:pPr>
              <w:rPr>
                <w:rFonts w:ascii="宋体"/>
                <w:vanish/>
              </w:rPr>
            </w:pPr>
          </w:p>
        </w:tc>
        <w:tc>
          <w:tcPr>
            <w:tcW w:w="0" w:type="auto"/>
            <w:gridSpan w:val="3"/>
            <w:shd w:val="clear" w:color="auto" w:fill="auto"/>
            <w:vAlign w:val="bottom"/>
          </w:tcPr>
          <w:p w14:paraId="5F2D05FB" w14:textId="77777777" w:rsidR="00E836FB" w:rsidRDefault="00E836FB">
            <w:pPr>
              <w:rPr>
                <w:rFonts w:ascii="宋体"/>
                <w:vanish/>
              </w:rPr>
            </w:pPr>
          </w:p>
        </w:tc>
        <w:tc>
          <w:tcPr>
            <w:tcW w:w="0" w:type="auto"/>
            <w:shd w:val="clear" w:color="auto" w:fill="auto"/>
            <w:vAlign w:val="bottom"/>
          </w:tcPr>
          <w:p w14:paraId="5F2D05FC" w14:textId="77777777" w:rsidR="00E836FB" w:rsidRDefault="00E836FB">
            <w:pPr>
              <w:rPr>
                <w:rFonts w:ascii="宋体"/>
                <w:vanish/>
              </w:rPr>
            </w:pPr>
          </w:p>
        </w:tc>
        <w:tc>
          <w:tcPr>
            <w:tcW w:w="0" w:type="auto"/>
            <w:shd w:val="clear" w:color="auto" w:fill="auto"/>
            <w:vAlign w:val="bottom"/>
          </w:tcPr>
          <w:p w14:paraId="5F2D05FD" w14:textId="77777777" w:rsidR="00E836FB" w:rsidRDefault="00E836FB">
            <w:pPr>
              <w:rPr>
                <w:rFonts w:ascii="宋体"/>
                <w:vanish/>
              </w:rPr>
            </w:pPr>
          </w:p>
        </w:tc>
        <w:tc>
          <w:tcPr>
            <w:tcW w:w="0" w:type="auto"/>
            <w:gridSpan w:val="3"/>
            <w:shd w:val="clear" w:color="auto" w:fill="auto"/>
            <w:vAlign w:val="bottom"/>
          </w:tcPr>
          <w:p w14:paraId="5F2D05FE" w14:textId="77777777" w:rsidR="00E836FB" w:rsidRDefault="00E836FB">
            <w:pPr>
              <w:rPr>
                <w:rFonts w:ascii="宋体"/>
                <w:vanish/>
              </w:rPr>
            </w:pPr>
          </w:p>
        </w:tc>
        <w:tc>
          <w:tcPr>
            <w:tcW w:w="0" w:type="auto"/>
            <w:gridSpan w:val="3"/>
            <w:shd w:val="clear" w:color="auto" w:fill="auto"/>
            <w:vAlign w:val="bottom"/>
          </w:tcPr>
          <w:p w14:paraId="5F2D05FF" w14:textId="77777777" w:rsidR="00E836FB" w:rsidRDefault="00E836FB">
            <w:pPr>
              <w:rPr>
                <w:rFonts w:ascii="宋体"/>
                <w:vanish/>
              </w:rPr>
            </w:pPr>
          </w:p>
        </w:tc>
        <w:tc>
          <w:tcPr>
            <w:tcW w:w="0" w:type="auto"/>
            <w:gridSpan w:val="3"/>
            <w:shd w:val="clear" w:color="auto" w:fill="auto"/>
            <w:vAlign w:val="bottom"/>
          </w:tcPr>
          <w:p w14:paraId="5F2D0600" w14:textId="77777777" w:rsidR="00E836FB" w:rsidRDefault="00E836FB">
            <w:pPr>
              <w:rPr>
                <w:rFonts w:ascii="宋体"/>
                <w:vanish/>
              </w:rPr>
            </w:pPr>
          </w:p>
        </w:tc>
        <w:tc>
          <w:tcPr>
            <w:tcW w:w="0" w:type="auto"/>
            <w:gridSpan w:val="3"/>
            <w:shd w:val="clear" w:color="auto" w:fill="auto"/>
            <w:vAlign w:val="bottom"/>
          </w:tcPr>
          <w:p w14:paraId="5F2D0601" w14:textId="77777777" w:rsidR="00E836FB" w:rsidRDefault="00E836FB">
            <w:pPr>
              <w:rPr>
                <w:rFonts w:ascii="宋体"/>
                <w:vanish/>
              </w:rPr>
            </w:pPr>
          </w:p>
        </w:tc>
        <w:tc>
          <w:tcPr>
            <w:tcW w:w="0" w:type="auto"/>
            <w:gridSpan w:val="3"/>
            <w:shd w:val="clear" w:color="auto" w:fill="auto"/>
            <w:vAlign w:val="bottom"/>
          </w:tcPr>
          <w:p w14:paraId="5F2D0602" w14:textId="77777777" w:rsidR="00E836FB" w:rsidRDefault="00E836FB">
            <w:pPr>
              <w:rPr>
                <w:rFonts w:ascii="宋体"/>
                <w:vanish/>
              </w:rPr>
            </w:pPr>
          </w:p>
        </w:tc>
        <w:tc>
          <w:tcPr>
            <w:tcW w:w="0" w:type="auto"/>
            <w:gridSpan w:val="3"/>
            <w:shd w:val="clear" w:color="auto" w:fill="auto"/>
            <w:vAlign w:val="bottom"/>
          </w:tcPr>
          <w:p w14:paraId="5F2D0603" w14:textId="77777777" w:rsidR="00E836FB" w:rsidRDefault="00E836FB">
            <w:pPr>
              <w:rPr>
                <w:rFonts w:ascii="宋体"/>
                <w:vanish/>
              </w:rPr>
            </w:pPr>
          </w:p>
        </w:tc>
        <w:tc>
          <w:tcPr>
            <w:tcW w:w="0" w:type="auto"/>
            <w:gridSpan w:val="3"/>
            <w:shd w:val="clear" w:color="auto" w:fill="auto"/>
            <w:vAlign w:val="bottom"/>
          </w:tcPr>
          <w:p w14:paraId="5F2D0604" w14:textId="77777777" w:rsidR="00E836FB" w:rsidRDefault="00E836FB">
            <w:pPr>
              <w:rPr>
                <w:rFonts w:ascii="宋体"/>
                <w:vanish/>
              </w:rPr>
            </w:pPr>
          </w:p>
        </w:tc>
        <w:tc>
          <w:tcPr>
            <w:tcW w:w="0" w:type="auto"/>
            <w:gridSpan w:val="3"/>
            <w:shd w:val="clear" w:color="auto" w:fill="auto"/>
            <w:vAlign w:val="bottom"/>
          </w:tcPr>
          <w:p w14:paraId="5F2D0605" w14:textId="77777777" w:rsidR="00E836FB" w:rsidRDefault="00E836FB">
            <w:pPr>
              <w:rPr>
                <w:rFonts w:ascii="宋体"/>
                <w:vanish/>
              </w:rPr>
            </w:pPr>
          </w:p>
        </w:tc>
        <w:tc>
          <w:tcPr>
            <w:tcW w:w="0" w:type="auto"/>
            <w:gridSpan w:val="3"/>
            <w:shd w:val="clear" w:color="auto" w:fill="auto"/>
            <w:vAlign w:val="bottom"/>
          </w:tcPr>
          <w:p w14:paraId="5F2D0606" w14:textId="77777777" w:rsidR="00E836FB" w:rsidRDefault="00E836FB">
            <w:pPr>
              <w:rPr>
                <w:rFonts w:ascii="宋体"/>
                <w:vanish/>
              </w:rPr>
            </w:pPr>
          </w:p>
        </w:tc>
        <w:tc>
          <w:tcPr>
            <w:tcW w:w="0" w:type="auto"/>
            <w:gridSpan w:val="3"/>
            <w:shd w:val="clear" w:color="auto" w:fill="auto"/>
            <w:vAlign w:val="bottom"/>
          </w:tcPr>
          <w:p w14:paraId="5F2D0607" w14:textId="77777777" w:rsidR="00E836FB" w:rsidRDefault="00E836FB">
            <w:pPr>
              <w:rPr>
                <w:rFonts w:ascii="宋体"/>
                <w:vanish/>
              </w:rPr>
            </w:pPr>
          </w:p>
        </w:tc>
        <w:tc>
          <w:tcPr>
            <w:tcW w:w="0" w:type="auto"/>
            <w:gridSpan w:val="2"/>
            <w:shd w:val="clear" w:color="auto" w:fill="auto"/>
            <w:vAlign w:val="bottom"/>
          </w:tcPr>
          <w:p w14:paraId="5F2D0608" w14:textId="77777777" w:rsidR="00E836FB" w:rsidRDefault="00E836FB">
            <w:pPr>
              <w:rPr>
                <w:rFonts w:ascii="宋体"/>
                <w:vanish/>
              </w:rPr>
            </w:pPr>
          </w:p>
        </w:tc>
        <w:tc>
          <w:tcPr>
            <w:tcW w:w="0" w:type="auto"/>
            <w:shd w:val="clear" w:color="auto" w:fill="auto"/>
            <w:vAlign w:val="bottom"/>
          </w:tcPr>
          <w:p w14:paraId="5F2D0609" w14:textId="77777777" w:rsidR="00E836FB" w:rsidRDefault="00E836FB">
            <w:pPr>
              <w:rPr>
                <w:rFonts w:ascii="宋体"/>
                <w:vanish/>
              </w:rPr>
            </w:pPr>
          </w:p>
        </w:tc>
      </w:tr>
      <w:tr w:rsidR="00E836FB" w14:paraId="5F2D0621" w14:textId="77777777">
        <w:trPr>
          <w:hidden/>
        </w:trPr>
        <w:tc>
          <w:tcPr>
            <w:tcW w:w="0" w:type="auto"/>
            <w:gridSpan w:val="3"/>
            <w:shd w:val="clear" w:color="auto" w:fill="auto"/>
            <w:vAlign w:val="bottom"/>
          </w:tcPr>
          <w:p w14:paraId="5F2D060B" w14:textId="77777777" w:rsidR="00E836FB" w:rsidRDefault="00E836FB">
            <w:pPr>
              <w:rPr>
                <w:rFonts w:ascii="宋体"/>
                <w:vanish/>
              </w:rPr>
            </w:pPr>
          </w:p>
        </w:tc>
        <w:tc>
          <w:tcPr>
            <w:tcW w:w="0" w:type="auto"/>
            <w:gridSpan w:val="3"/>
            <w:shd w:val="clear" w:color="auto" w:fill="auto"/>
            <w:vAlign w:val="bottom"/>
          </w:tcPr>
          <w:p w14:paraId="5F2D060C" w14:textId="77777777" w:rsidR="00E836FB" w:rsidRDefault="00E836FB">
            <w:pPr>
              <w:rPr>
                <w:rFonts w:ascii="宋体"/>
                <w:vanish/>
              </w:rPr>
            </w:pPr>
          </w:p>
        </w:tc>
        <w:tc>
          <w:tcPr>
            <w:tcW w:w="0" w:type="auto"/>
            <w:gridSpan w:val="3"/>
            <w:shd w:val="clear" w:color="auto" w:fill="auto"/>
            <w:vAlign w:val="bottom"/>
          </w:tcPr>
          <w:p w14:paraId="5F2D060D" w14:textId="77777777" w:rsidR="00E836FB" w:rsidRDefault="00E836FB">
            <w:pPr>
              <w:rPr>
                <w:rFonts w:ascii="宋体"/>
                <w:vanish/>
              </w:rPr>
            </w:pPr>
          </w:p>
        </w:tc>
        <w:tc>
          <w:tcPr>
            <w:tcW w:w="0" w:type="auto"/>
            <w:gridSpan w:val="3"/>
            <w:shd w:val="clear" w:color="auto" w:fill="auto"/>
            <w:vAlign w:val="bottom"/>
          </w:tcPr>
          <w:p w14:paraId="5F2D060E" w14:textId="77777777" w:rsidR="00E836FB" w:rsidRDefault="00E836FB">
            <w:pPr>
              <w:rPr>
                <w:rFonts w:ascii="宋体"/>
                <w:vanish/>
              </w:rPr>
            </w:pPr>
          </w:p>
        </w:tc>
        <w:tc>
          <w:tcPr>
            <w:tcW w:w="0" w:type="auto"/>
            <w:gridSpan w:val="3"/>
            <w:shd w:val="clear" w:color="auto" w:fill="auto"/>
            <w:vAlign w:val="bottom"/>
          </w:tcPr>
          <w:p w14:paraId="5F2D060F" w14:textId="77777777" w:rsidR="00E836FB" w:rsidRDefault="00E836FB">
            <w:pPr>
              <w:rPr>
                <w:rFonts w:ascii="宋体"/>
                <w:vanish/>
              </w:rPr>
            </w:pPr>
          </w:p>
        </w:tc>
        <w:tc>
          <w:tcPr>
            <w:tcW w:w="0" w:type="auto"/>
            <w:gridSpan w:val="3"/>
            <w:shd w:val="clear" w:color="auto" w:fill="auto"/>
            <w:vAlign w:val="bottom"/>
          </w:tcPr>
          <w:p w14:paraId="5F2D0610" w14:textId="77777777" w:rsidR="00E836FB" w:rsidRDefault="00E836FB">
            <w:pPr>
              <w:rPr>
                <w:rFonts w:ascii="宋体"/>
                <w:vanish/>
              </w:rPr>
            </w:pPr>
          </w:p>
        </w:tc>
        <w:tc>
          <w:tcPr>
            <w:tcW w:w="0" w:type="auto"/>
            <w:gridSpan w:val="3"/>
            <w:shd w:val="clear" w:color="auto" w:fill="auto"/>
            <w:vAlign w:val="bottom"/>
          </w:tcPr>
          <w:p w14:paraId="5F2D0611" w14:textId="77777777" w:rsidR="00E836FB" w:rsidRDefault="00E836FB">
            <w:pPr>
              <w:rPr>
                <w:rFonts w:ascii="宋体"/>
                <w:vanish/>
              </w:rPr>
            </w:pPr>
          </w:p>
        </w:tc>
        <w:tc>
          <w:tcPr>
            <w:tcW w:w="0" w:type="auto"/>
            <w:gridSpan w:val="3"/>
            <w:shd w:val="clear" w:color="auto" w:fill="auto"/>
            <w:vAlign w:val="bottom"/>
          </w:tcPr>
          <w:p w14:paraId="5F2D0612" w14:textId="77777777" w:rsidR="00E836FB" w:rsidRDefault="00E836FB">
            <w:pPr>
              <w:rPr>
                <w:rFonts w:ascii="宋体"/>
                <w:vanish/>
              </w:rPr>
            </w:pPr>
          </w:p>
        </w:tc>
        <w:tc>
          <w:tcPr>
            <w:tcW w:w="0" w:type="auto"/>
            <w:shd w:val="clear" w:color="auto" w:fill="auto"/>
            <w:vAlign w:val="bottom"/>
          </w:tcPr>
          <w:p w14:paraId="5F2D0613" w14:textId="77777777" w:rsidR="00E836FB" w:rsidRDefault="00E836FB">
            <w:pPr>
              <w:rPr>
                <w:rFonts w:ascii="宋体"/>
                <w:vanish/>
              </w:rPr>
            </w:pPr>
          </w:p>
        </w:tc>
        <w:tc>
          <w:tcPr>
            <w:tcW w:w="0" w:type="auto"/>
            <w:shd w:val="clear" w:color="auto" w:fill="auto"/>
            <w:vAlign w:val="bottom"/>
          </w:tcPr>
          <w:p w14:paraId="5F2D0614" w14:textId="77777777" w:rsidR="00E836FB" w:rsidRDefault="00E836FB">
            <w:pPr>
              <w:rPr>
                <w:rFonts w:ascii="宋体"/>
                <w:vanish/>
              </w:rPr>
            </w:pPr>
          </w:p>
        </w:tc>
        <w:tc>
          <w:tcPr>
            <w:tcW w:w="0" w:type="auto"/>
            <w:gridSpan w:val="3"/>
            <w:shd w:val="clear" w:color="auto" w:fill="auto"/>
            <w:vAlign w:val="bottom"/>
          </w:tcPr>
          <w:p w14:paraId="5F2D0615" w14:textId="77777777" w:rsidR="00E836FB" w:rsidRDefault="00E836FB">
            <w:pPr>
              <w:rPr>
                <w:rFonts w:ascii="宋体"/>
                <w:vanish/>
              </w:rPr>
            </w:pPr>
          </w:p>
        </w:tc>
        <w:tc>
          <w:tcPr>
            <w:tcW w:w="0" w:type="auto"/>
            <w:gridSpan w:val="3"/>
            <w:shd w:val="clear" w:color="auto" w:fill="auto"/>
            <w:vAlign w:val="bottom"/>
          </w:tcPr>
          <w:p w14:paraId="5F2D0616" w14:textId="77777777" w:rsidR="00E836FB" w:rsidRDefault="00E836FB">
            <w:pPr>
              <w:rPr>
                <w:rFonts w:ascii="宋体"/>
                <w:vanish/>
              </w:rPr>
            </w:pPr>
          </w:p>
        </w:tc>
        <w:tc>
          <w:tcPr>
            <w:tcW w:w="0" w:type="auto"/>
            <w:gridSpan w:val="3"/>
            <w:shd w:val="clear" w:color="auto" w:fill="auto"/>
            <w:vAlign w:val="bottom"/>
          </w:tcPr>
          <w:p w14:paraId="5F2D0617" w14:textId="77777777" w:rsidR="00E836FB" w:rsidRDefault="00E836FB">
            <w:pPr>
              <w:rPr>
                <w:rFonts w:ascii="宋体"/>
                <w:vanish/>
              </w:rPr>
            </w:pPr>
          </w:p>
        </w:tc>
        <w:tc>
          <w:tcPr>
            <w:tcW w:w="0" w:type="auto"/>
            <w:gridSpan w:val="3"/>
            <w:shd w:val="clear" w:color="auto" w:fill="auto"/>
            <w:vAlign w:val="bottom"/>
          </w:tcPr>
          <w:p w14:paraId="5F2D0618" w14:textId="77777777" w:rsidR="00E836FB" w:rsidRDefault="00E836FB">
            <w:pPr>
              <w:rPr>
                <w:rFonts w:ascii="宋体"/>
                <w:vanish/>
              </w:rPr>
            </w:pPr>
          </w:p>
        </w:tc>
        <w:tc>
          <w:tcPr>
            <w:tcW w:w="0" w:type="auto"/>
            <w:gridSpan w:val="3"/>
            <w:shd w:val="clear" w:color="auto" w:fill="auto"/>
            <w:vAlign w:val="bottom"/>
          </w:tcPr>
          <w:p w14:paraId="5F2D0619" w14:textId="77777777" w:rsidR="00E836FB" w:rsidRDefault="00E836FB">
            <w:pPr>
              <w:rPr>
                <w:rFonts w:ascii="宋体"/>
                <w:vanish/>
              </w:rPr>
            </w:pPr>
          </w:p>
        </w:tc>
        <w:tc>
          <w:tcPr>
            <w:tcW w:w="0" w:type="auto"/>
            <w:gridSpan w:val="3"/>
            <w:shd w:val="clear" w:color="auto" w:fill="auto"/>
            <w:vAlign w:val="bottom"/>
          </w:tcPr>
          <w:p w14:paraId="5F2D061A" w14:textId="77777777" w:rsidR="00E836FB" w:rsidRDefault="00E836FB">
            <w:pPr>
              <w:rPr>
                <w:rFonts w:ascii="宋体"/>
                <w:vanish/>
              </w:rPr>
            </w:pPr>
          </w:p>
        </w:tc>
        <w:tc>
          <w:tcPr>
            <w:tcW w:w="0" w:type="auto"/>
            <w:gridSpan w:val="3"/>
            <w:shd w:val="clear" w:color="auto" w:fill="auto"/>
            <w:vAlign w:val="bottom"/>
          </w:tcPr>
          <w:p w14:paraId="5F2D061B" w14:textId="77777777" w:rsidR="00E836FB" w:rsidRDefault="00E836FB">
            <w:pPr>
              <w:rPr>
                <w:rFonts w:ascii="宋体"/>
                <w:vanish/>
              </w:rPr>
            </w:pPr>
          </w:p>
        </w:tc>
        <w:tc>
          <w:tcPr>
            <w:tcW w:w="0" w:type="auto"/>
            <w:gridSpan w:val="3"/>
            <w:shd w:val="clear" w:color="auto" w:fill="auto"/>
            <w:vAlign w:val="bottom"/>
          </w:tcPr>
          <w:p w14:paraId="5F2D061C" w14:textId="77777777" w:rsidR="00E836FB" w:rsidRDefault="00E836FB">
            <w:pPr>
              <w:rPr>
                <w:rFonts w:ascii="宋体"/>
                <w:vanish/>
              </w:rPr>
            </w:pPr>
          </w:p>
        </w:tc>
        <w:tc>
          <w:tcPr>
            <w:tcW w:w="0" w:type="auto"/>
            <w:gridSpan w:val="3"/>
            <w:shd w:val="clear" w:color="auto" w:fill="auto"/>
            <w:vAlign w:val="bottom"/>
          </w:tcPr>
          <w:p w14:paraId="5F2D061D" w14:textId="77777777" w:rsidR="00E836FB" w:rsidRDefault="00E836FB">
            <w:pPr>
              <w:rPr>
                <w:rFonts w:ascii="宋体"/>
                <w:vanish/>
              </w:rPr>
            </w:pPr>
          </w:p>
        </w:tc>
        <w:tc>
          <w:tcPr>
            <w:tcW w:w="0" w:type="auto"/>
            <w:gridSpan w:val="3"/>
            <w:shd w:val="clear" w:color="auto" w:fill="auto"/>
            <w:vAlign w:val="bottom"/>
          </w:tcPr>
          <w:p w14:paraId="5F2D061E" w14:textId="77777777" w:rsidR="00E836FB" w:rsidRDefault="00E836FB">
            <w:pPr>
              <w:rPr>
                <w:rFonts w:ascii="宋体"/>
                <w:vanish/>
              </w:rPr>
            </w:pPr>
          </w:p>
        </w:tc>
        <w:tc>
          <w:tcPr>
            <w:tcW w:w="0" w:type="auto"/>
            <w:gridSpan w:val="2"/>
            <w:shd w:val="clear" w:color="auto" w:fill="auto"/>
            <w:vAlign w:val="bottom"/>
          </w:tcPr>
          <w:p w14:paraId="5F2D061F" w14:textId="77777777" w:rsidR="00E836FB" w:rsidRDefault="00E836FB">
            <w:pPr>
              <w:rPr>
                <w:rFonts w:ascii="宋体"/>
                <w:vanish/>
              </w:rPr>
            </w:pPr>
          </w:p>
        </w:tc>
        <w:tc>
          <w:tcPr>
            <w:tcW w:w="0" w:type="auto"/>
            <w:shd w:val="clear" w:color="auto" w:fill="auto"/>
            <w:vAlign w:val="bottom"/>
          </w:tcPr>
          <w:p w14:paraId="5F2D0620" w14:textId="77777777" w:rsidR="00E836FB" w:rsidRDefault="00E836FB">
            <w:pPr>
              <w:rPr>
                <w:rFonts w:ascii="宋体"/>
                <w:vanish/>
              </w:rPr>
            </w:pPr>
          </w:p>
        </w:tc>
      </w:tr>
      <w:tr w:rsidR="00E836FB" w14:paraId="5F2D0641" w14:textId="77777777">
        <w:tc>
          <w:tcPr>
            <w:tcW w:w="0" w:type="auto"/>
            <w:gridSpan w:val="3"/>
            <w:shd w:val="clear" w:color="auto" w:fill="CCEEFF"/>
            <w:tcMar>
              <w:top w:w="40" w:type="dxa"/>
              <w:left w:w="20" w:type="dxa"/>
              <w:bottom w:w="40" w:type="dxa"/>
              <w:right w:w="20" w:type="dxa"/>
            </w:tcMar>
            <w:vAlign w:val="center"/>
          </w:tcPr>
          <w:p w14:paraId="5F2D0622" w14:textId="77777777" w:rsidR="00E836FB" w:rsidRDefault="00994958">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23" w14:textId="77777777" w:rsidR="00E836FB" w:rsidRDefault="00994958">
            <w:pPr>
              <w:jc w:val="right"/>
              <w:textAlignment w:val="center"/>
            </w:pPr>
            <w:r>
              <w:rPr>
                <w:rFonts w:ascii="Arial" w:eastAsia="宋体" w:hAnsi="Arial" w:cs="Arial"/>
                <w:color w:val="000000"/>
                <w:sz w:val="12"/>
                <w:szCs w:val="12"/>
              </w:rPr>
              <w:t>2,752 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2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26"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2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2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29" w14:textId="77777777" w:rsidR="00E836FB" w:rsidRDefault="00994958">
            <w:pPr>
              <w:jc w:val="right"/>
              <w:textAlignment w:val="center"/>
            </w:pPr>
            <w:r>
              <w:rPr>
                <w:rFonts w:ascii="Arial" w:eastAsia="宋体" w:hAnsi="Arial" w:cs="Arial"/>
                <w:color w:val="000000"/>
                <w:sz w:val="12"/>
                <w:szCs w:val="12"/>
              </w:rPr>
              <w:t>27 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2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2C" w14:textId="77777777" w:rsidR="00E836FB" w:rsidRDefault="00994958">
            <w:pPr>
              <w:jc w:val="right"/>
              <w:textAlignment w:val="center"/>
            </w:pPr>
            <w:r>
              <w:rPr>
                <w:rFonts w:ascii="Arial" w:eastAsia="宋体" w:hAnsi="Arial" w:cs="Arial"/>
                <w:color w:val="000000"/>
                <w:sz w:val="12"/>
                <w:szCs w:val="12"/>
              </w:rPr>
              <w:t>865 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2D" w14:textId="77777777" w:rsidR="00E836FB" w:rsidRDefault="00E836FB">
            <w:pPr>
              <w:jc w:val="right"/>
              <w:rPr>
                <w:rFonts w:ascii="宋体"/>
              </w:rPr>
            </w:pPr>
          </w:p>
        </w:tc>
        <w:tc>
          <w:tcPr>
            <w:tcW w:w="0" w:type="auto"/>
            <w:shd w:val="clear" w:color="auto" w:fill="auto"/>
            <w:vAlign w:val="bottom"/>
          </w:tcPr>
          <w:p w14:paraId="5F2D062E" w14:textId="77777777" w:rsidR="00E836FB" w:rsidRDefault="00E836FB">
            <w:pPr>
              <w:rPr>
                <w:rFonts w:ascii="宋体"/>
                <w:vanish/>
              </w:rPr>
            </w:pPr>
          </w:p>
        </w:tc>
        <w:tc>
          <w:tcPr>
            <w:tcW w:w="0" w:type="auto"/>
            <w:shd w:val="clear" w:color="auto" w:fill="auto"/>
            <w:vAlign w:val="bottom"/>
          </w:tcPr>
          <w:p w14:paraId="5F2D062F"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063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31" w14:textId="77777777" w:rsidR="00E836FB" w:rsidRDefault="00994958">
            <w:pPr>
              <w:jc w:val="right"/>
              <w:textAlignment w:val="center"/>
            </w:pPr>
            <w:r>
              <w:rPr>
                <w:rFonts w:ascii="Arial" w:eastAsia="宋体" w:hAnsi="Arial" w:cs="Arial"/>
                <w:color w:val="000000"/>
                <w:sz w:val="12"/>
                <w:szCs w:val="12"/>
              </w:rPr>
              <w:t>(95)</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3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3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34" w14:textId="77777777" w:rsidR="00E836FB" w:rsidRDefault="00994958">
            <w:pPr>
              <w:jc w:val="right"/>
              <w:textAlignment w:val="center"/>
            </w:pPr>
            <w:r>
              <w:rPr>
                <w:rFonts w:ascii="Arial" w:eastAsia="宋体" w:hAnsi="Arial" w:cs="Arial"/>
                <w:color w:val="000000"/>
                <w:sz w:val="12"/>
                <w:szCs w:val="12"/>
              </w:rPr>
              <w:t>(82)</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3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37" w14:textId="77777777" w:rsidR="00E836FB" w:rsidRDefault="00994958">
            <w:pPr>
              <w:jc w:val="right"/>
              <w:textAlignment w:val="center"/>
            </w:pPr>
            <w:r>
              <w:rPr>
                <w:rFonts w:ascii="Arial" w:eastAsia="宋体" w:hAnsi="Arial" w:cs="Arial"/>
                <w:color w:val="000000"/>
                <w:sz w:val="12"/>
                <w:szCs w:val="12"/>
              </w:rPr>
              <w:t>50 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3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3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3A" w14:textId="77777777" w:rsidR="00E836FB" w:rsidRDefault="00994958">
            <w:pPr>
              <w:jc w:val="right"/>
              <w:textAlignment w:val="center"/>
            </w:pPr>
            <w:r>
              <w:rPr>
                <w:rFonts w:ascii="Arial" w:eastAsia="宋体" w:hAnsi="Arial" w:cs="Arial"/>
                <w:color w:val="000000"/>
                <w:sz w:val="12"/>
                <w:szCs w:val="12"/>
              </w:rPr>
              <w:t>(3,503)</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3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3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3D" w14:textId="77777777" w:rsidR="00E836FB" w:rsidRDefault="00994958">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3E"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63F"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640" w14:textId="77777777" w:rsidR="00E836FB" w:rsidRDefault="00E836FB">
            <w:pPr>
              <w:rPr>
                <w:rFonts w:ascii="宋体"/>
              </w:rPr>
            </w:pPr>
          </w:p>
        </w:tc>
      </w:tr>
      <w:tr w:rsidR="00E836FB" w14:paraId="5F2D0658" w14:textId="77777777">
        <w:tc>
          <w:tcPr>
            <w:tcW w:w="0" w:type="auto"/>
            <w:gridSpan w:val="3"/>
            <w:shd w:val="clear" w:color="auto" w:fill="FFFFFF"/>
            <w:tcMar>
              <w:top w:w="40" w:type="dxa"/>
              <w:left w:w="20" w:type="dxa"/>
              <w:bottom w:w="40" w:type="dxa"/>
              <w:right w:w="20" w:type="dxa"/>
            </w:tcMar>
            <w:vAlign w:val="center"/>
          </w:tcPr>
          <w:p w14:paraId="5F2D0642" w14:textId="77777777" w:rsidR="00E836FB" w:rsidRDefault="00994958">
            <w:pPr>
              <w:textAlignment w:val="center"/>
            </w:pPr>
            <w:r>
              <w:rPr>
                <w:rFonts w:ascii="Arial" w:eastAsia="宋体" w:hAnsi="Arial" w:cs="Arial"/>
                <w:color w:val="000000"/>
                <w:sz w:val="12"/>
                <w:szCs w:val="12"/>
              </w:rPr>
              <w:t>Other assets:</w:t>
            </w:r>
          </w:p>
        </w:tc>
        <w:tc>
          <w:tcPr>
            <w:tcW w:w="0" w:type="auto"/>
            <w:gridSpan w:val="3"/>
            <w:shd w:val="clear" w:color="auto" w:fill="FFFFFF"/>
            <w:tcMar>
              <w:top w:w="0" w:type="dxa"/>
              <w:left w:w="20" w:type="dxa"/>
              <w:bottom w:w="0" w:type="dxa"/>
              <w:right w:w="20" w:type="dxa"/>
            </w:tcMar>
            <w:vAlign w:val="bottom"/>
          </w:tcPr>
          <w:p w14:paraId="5F2D064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9" w14:textId="77777777" w:rsidR="00E836FB" w:rsidRDefault="00E836FB">
            <w:pPr>
              <w:rPr>
                <w:rFonts w:ascii="宋体"/>
              </w:rPr>
            </w:pPr>
          </w:p>
        </w:tc>
        <w:tc>
          <w:tcPr>
            <w:tcW w:w="0" w:type="auto"/>
            <w:shd w:val="clear" w:color="auto" w:fill="auto"/>
            <w:vAlign w:val="bottom"/>
          </w:tcPr>
          <w:p w14:paraId="5F2D064A" w14:textId="77777777" w:rsidR="00E836FB" w:rsidRDefault="00E836FB">
            <w:pPr>
              <w:rPr>
                <w:rFonts w:ascii="宋体"/>
                <w:vanish/>
              </w:rPr>
            </w:pPr>
          </w:p>
        </w:tc>
        <w:tc>
          <w:tcPr>
            <w:tcW w:w="0" w:type="auto"/>
            <w:shd w:val="clear" w:color="auto" w:fill="auto"/>
            <w:vAlign w:val="bottom"/>
          </w:tcPr>
          <w:p w14:paraId="5F2D064B"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064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4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5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5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5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5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5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655" w14:textId="77777777" w:rsidR="00E836FB" w:rsidRDefault="00E836FB">
            <w:pPr>
              <w:rPr>
                <w:rFonts w:ascii="宋体"/>
              </w:rPr>
            </w:pPr>
          </w:p>
        </w:tc>
        <w:tc>
          <w:tcPr>
            <w:tcW w:w="0" w:type="auto"/>
            <w:gridSpan w:val="2"/>
            <w:shd w:val="clear" w:color="auto" w:fill="FFFFFF"/>
            <w:tcMar>
              <w:top w:w="0" w:type="dxa"/>
              <w:left w:w="20" w:type="dxa"/>
              <w:bottom w:w="0" w:type="dxa"/>
              <w:right w:w="20" w:type="dxa"/>
            </w:tcMar>
            <w:vAlign w:val="bottom"/>
          </w:tcPr>
          <w:p w14:paraId="5F2D0656" w14:textId="77777777" w:rsidR="00E836FB" w:rsidRDefault="00E836FB">
            <w:pPr>
              <w:rPr>
                <w:rFonts w:ascii="宋体"/>
              </w:rPr>
            </w:pPr>
          </w:p>
        </w:tc>
        <w:tc>
          <w:tcPr>
            <w:tcW w:w="0" w:type="auto"/>
            <w:shd w:val="clear" w:color="auto" w:fill="FFFFFF"/>
            <w:tcMar>
              <w:top w:w="0" w:type="dxa"/>
              <w:left w:w="20" w:type="dxa"/>
              <w:bottom w:w="0" w:type="dxa"/>
              <w:right w:w="20" w:type="dxa"/>
            </w:tcMar>
            <w:vAlign w:val="bottom"/>
          </w:tcPr>
          <w:p w14:paraId="5F2D0657" w14:textId="77777777" w:rsidR="00E836FB" w:rsidRDefault="00E836FB">
            <w:pPr>
              <w:rPr>
                <w:rFonts w:ascii="宋体"/>
              </w:rPr>
            </w:pPr>
          </w:p>
        </w:tc>
      </w:tr>
      <w:tr w:rsidR="00E836FB" w14:paraId="5F2D066F" w14:textId="77777777">
        <w:tc>
          <w:tcPr>
            <w:tcW w:w="0" w:type="auto"/>
            <w:gridSpan w:val="3"/>
            <w:shd w:val="clear" w:color="auto" w:fill="CCEEFF"/>
            <w:tcMar>
              <w:top w:w="40" w:type="dxa"/>
              <w:left w:w="20" w:type="dxa"/>
              <w:bottom w:w="40" w:type="dxa"/>
              <w:right w:w="20" w:type="dxa"/>
            </w:tcMar>
            <w:vAlign w:val="center"/>
          </w:tcPr>
          <w:p w14:paraId="5F2D0659" w14:textId="77777777" w:rsidR="00E836FB" w:rsidRDefault="00994958">
            <w:pPr>
              <w:textAlignment w:val="center"/>
            </w:pPr>
            <w:r>
              <w:rPr>
                <w:rFonts w:ascii="Arial" w:eastAsia="宋体" w:hAnsi="Arial" w:cs="Arial"/>
                <w:color w:val="000000"/>
                <w:sz w:val="12"/>
                <w:szCs w:val="12"/>
              </w:rPr>
              <w:t>Derivative instruments:</w:t>
            </w:r>
          </w:p>
        </w:tc>
        <w:tc>
          <w:tcPr>
            <w:tcW w:w="0" w:type="auto"/>
            <w:gridSpan w:val="3"/>
            <w:shd w:val="clear" w:color="auto" w:fill="CCEEFF"/>
            <w:tcMar>
              <w:top w:w="0" w:type="dxa"/>
              <w:left w:w="20" w:type="dxa"/>
              <w:bottom w:w="0" w:type="dxa"/>
              <w:right w:w="20" w:type="dxa"/>
            </w:tcMar>
            <w:vAlign w:val="bottom"/>
          </w:tcPr>
          <w:p w14:paraId="5F2D065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5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5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5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5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5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0" w14:textId="77777777" w:rsidR="00E836FB" w:rsidRDefault="00E836FB">
            <w:pPr>
              <w:rPr>
                <w:rFonts w:ascii="宋体"/>
              </w:rPr>
            </w:pPr>
          </w:p>
        </w:tc>
        <w:tc>
          <w:tcPr>
            <w:tcW w:w="0" w:type="auto"/>
            <w:shd w:val="clear" w:color="auto" w:fill="auto"/>
            <w:vAlign w:val="bottom"/>
          </w:tcPr>
          <w:p w14:paraId="5F2D0661" w14:textId="77777777" w:rsidR="00E836FB" w:rsidRDefault="00E836FB">
            <w:pPr>
              <w:rPr>
                <w:rFonts w:ascii="宋体"/>
                <w:vanish/>
              </w:rPr>
            </w:pPr>
          </w:p>
        </w:tc>
        <w:tc>
          <w:tcPr>
            <w:tcW w:w="0" w:type="auto"/>
            <w:shd w:val="clear" w:color="auto" w:fill="auto"/>
            <w:vAlign w:val="bottom"/>
          </w:tcPr>
          <w:p w14:paraId="5F2D0662"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066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66C" w14:textId="77777777" w:rsidR="00E836FB" w:rsidRDefault="00E836FB">
            <w:pPr>
              <w:rPr>
                <w:rFonts w:ascii="宋体"/>
              </w:rPr>
            </w:pPr>
          </w:p>
        </w:tc>
        <w:tc>
          <w:tcPr>
            <w:tcW w:w="0" w:type="auto"/>
            <w:gridSpan w:val="2"/>
            <w:shd w:val="clear" w:color="auto" w:fill="CCEEFF"/>
            <w:tcMar>
              <w:top w:w="0" w:type="dxa"/>
              <w:left w:w="20" w:type="dxa"/>
              <w:bottom w:w="0" w:type="dxa"/>
              <w:right w:w="20" w:type="dxa"/>
            </w:tcMar>
            <w:vAlign w:val="bottom"/>
          </w:tcPr>
          <w:p w14:paraId="5F2D066D" w14:textId="77777777" w:rsidR="00E836FB" w:rsidRDefault="00E836FB">
            <w:pPr>
              <w:rPr>
                <w:rFonts w:ascii="宋体"/>
              </w:rPr>
            </w:pPr>
          </w:p>
        </w:tc>
        <w:tc>
          <w:tcPr>
            <w:tcW w:w="0" w:type="auto"/>
            <w:shd w:val="clear" w:color="auto" w:fill="CCEEFF"/>
            <w:tcMar>
              <w:top w:w="0" w:type="dxa"/>
              <w:left w:w="20" w:type="dxa"/>
              <w:bottom w:w="0" w:type="dxa"/>
              <w:right w:w="20" w:type="dxa"/>
            </w:tcMar>
            <w:vAlign w:val="bottom"/>
          </w:tcPr>
          <w:p w14:paraId="5F2D066E" w14:textId="77777777" w:rsidR="00E836FB" w:rsidRDefault="00E836FB">
            <w:pPr>
              <w:rPr>
                <w:rFonts w:ascii="宋体"/>
              </w:rPr>
            </w:pPr>
          </w:p>
        </w:tc>
      </w:tr>
      <w:tr w:rsidR="00E836FB" w14:paraId="5F2D0690" w14:textId="77777777">
        <w:tc>
          <w:tcPr>
            <w:tcW w:w="0" w:type="auto"/>
            <w:gridSpan w:val="3"/>
            <w:shd w:val="clear" w:color="auto" w:fill="FFFFFF"/>
            <w:tcMar>
              <w:top w:w="40" w:type="dxa"/>
              <w:left w:w="155" w:type="dxa"/>
              <w:bottom w:w="40" w:type="dxa"/>
              <w:right w:w="20" w:type="dxa"/>
            </w:tcMar>
            <w:vAlign w:val="center"/>
          </w:tcPr>
          <w:p w14:paraId="5F2D0670" w14:textId="77777777" w:rsidR="00E836FB" w:rsidRDefault="00994958">
            <w:pPr>
              <w:textAlignment w:val="center"/>
            </w:pPr>
            <w:r>
              <w:rPr>
                <w:rFonts w:ascii="Arial" w:eastAsia="宋体" w:hAnsi="Arial" w:cs="Arial"/>
                <w:color w:val="000000"/>
                <w:sz w:val="12"/>
                <w:szCs w:val="12"/>
              </w:rPr>
              <w:t>Foreign exchange contracts</w:t>
            </w:r>
          </w:p>
        </w:tc>
        <w:tc>
          <w:tcPr>
            <w:tcW w:w="0" w:type="auto"/>
            <w:gridSpan w:val="2"/>
            <w:shd w:val="clear" w:color="auto" w:fill="FFFFFF"/>
            <w:tcMar>
              <w:top w:w="40" w:type="dxa"/>
              <w:left w:w="20" w:type="dxa"/>
              <w:bottom w:w="40" w:type="dxa"/>
              <w:right w:w="0" w:type="dxa"/>
            </w:tcMar>
            <w:vAlign w:val="center"/>
          </w:tcPr>
          <w:p w14:paraId="5F2D0671" w14:textId="77777777" w:rsidR="00E836FB" w:rsidRDefault="00994958">
            <w:pPr>
              <w:jc w:val="right"/>
              <w:textAlignment w:val="center"/>
            </w:pPr>
            <w:r>
              <w:rPr>
                <w:rFonts w:ascii="Arial" w:eastAsia="宋体" w:hAnsi="Arial" w:cs="Arial"/>
                <w:color w:val="000000"/>
                <w:sz w:val="12"/>
                <w:szCs w:val="12"/>
              </w:rPr>
              <w:t>4 </w:t>
            </w:r>
          </w:p>
        </w:tc>
        <w:tc>
          <w:tcPr>
            <w:tcW w:w="0" w:type="auto"/>
            <w:shd w:val="clear" w:color="auto" w:fill="FFFFFF"/>
            <w:tcMar>
              <w:top w:w="40" w:type="dxa"/>
              <w:left w:w="0" w:type="dxa"/>
              <w:bottom w:w="40" w:type="dxa"/>
              <w:right w:w="20" w:type="dxa"/>
            </w:tcMar>
            <w:vAlign w:val="center"/>
          </w:tcPr>
          <w:p w14:paraId="5F2D06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74" w14:textId="77777777" w:rsidR="00E836FB" w:rsidRDefault="00994958">
            <w:pPr>
              <w:jc w:val="right"/>
              <w:textAlignment w:val="center"/>
            </w:pPr>
            <w:r>
              <w:rPr>
                <w:rFonts w:ascii="Arial" w:eastAsia="宋体" w:hAnsi="Arial" w:cs="Arial"/>
                <w:color w:val="000000"/>
                <w:sz w:val="12"/>
                <w:szCs w:val="12"/>
              </w:rPr>
              <w:t>(6)</w:t>
            </w:r>
          </w:p>
        </w:tc>
        <w:tc>
          <w:tcPr>
            <w:tcW w:w="0" w:type="auto"/>
            <w:shd w:val="clear" w:color="auto" w:fill="FFFFFF"/>
            <w:tcMar>
              <w:top w:w="40" w:type="dxa"/>
              <w:left w:w="0" w:type="dxa"/>
              <w:bottom w:w="40" w:type="dxa"/>
              <w:right w:w="20" w:type="dxa"/>
            </w:tcMar>
            <w:vAlign w:val="center"/>
          </w:tcPr>
          <w:p w14:paraId="5F2D06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77"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6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7A" w14:textId="77777777" w:rsidR="00E836FB" w:rsidRDefault="00994958">
            <w:pPr>
              <w:jc w:val="right"/>
              <w:textAlignment w:val="center"/>
            </w:pPr>
            <w:r>
              <w:rPr>
                <w:rFonts w:ascii="Arial" w:eastAsia="宋体" w:hAnsi="Arial" w:cs="Arial"/>
                <w:color w:val="000000"/>
                <w:sz w:val="12"/>
                <w:szCs w:val="12"/>
              </w:rPr>
              <w:t>5 </w:t>
            </w:r>
          </w:p>
        </w:tc>
        <w:tc>
          <w:tcPr>
            <w:tcW w:w="0" w:type="auto"/>
            <w:shd w:val="clear" w:color="auto" w:fill="FFFFFF"/>
            <w:tcMar>
              <w:top w:w="40" w:type="dxa"/>
              <w:left w:w="0" w:type="dxa"/>
              <w:bottom w:w="40" w:type="dxa"/>
              <w:right w:w="20" w:type="dxa"/>
            </w:tcMar>
            <w:vAlign w:val="center"/>
          </w:tcPr>
          <w:p w14:paraId="5F2D067B" w14:textId="77777777" w:rsidR="00E836FB" w:rsidRDefault="00E836FB">
            <w:pPr>
              <w:jc w:val="right"/>
              <w:rPr>
                <w:rFonts w:ascii="宋体"/>
              </w:rPr>
            </w:pPr>
          </w:p>
        </w:tc>
        <w:tc>
          <w:tcPr>
            <w:tcW w:w="0" w:type="auto"/>
            <w:shd w:val="clear" w:color="auto" w:fill="auto"/>
            <w:vAlign w:val="bottom"/>
          </w:tcPr>
          <w:p w14:paraId="5F2D067C" w14:textId="77777777" w:rsidR="00E836FB" w:rsidRDefault="00E836FB">
            <w:pPr>
              <w:rPr>
                <w:rFonts w:ascii="宋体"/>
                <w:vanish/>
              </w:rPr>
            </w:pPr>
          </w:p>
        </w:tc>
        <w:tc>
          <w:tcPr>
            <w:tcW w:w="0" w:type="auto"/>
            <w:shd w:val="clear" w:color="auto" w:fill="auto"/>
            <w:vAlign w:val="bottom"/>
          </w:tcPr>
          <w:p w14:paraId="5F2D067D"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06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7F"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6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8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82" w14:textId="77777777" w:rsidR="00E836FB" w:rsidRDefault="00994958">
            <w:pPr>
              <w:jc w:val="right"/>
              <w:textAlignment w:val="center"/>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center"/>
          </w:tcPr>
          <w:p w14:paraId="5F2D06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8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85"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6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8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88" w14:textId="77777777" w:rsidR="00E836FB" w:rsidRDefault="00994958">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F2D06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8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068B" w14:textId="77777777" w:rsidR="00E836FB" w:rsidRDefault="00994958">
            <w:pPr>
              <w:jc w:val="right"/>
              <w:textAlignment w:val="center"/>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center"/>
          </w:tcPr>
          <w:p w14:paraId="5F2D068C"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68D" w14:textId="77777777" w:rsidR="00E836FB" w:rsidRDefault="00E836FB">
            <w:pPr>
              <w:rPr>
                <w:rFonts w:ascii="宋体"/>
              </w:rPr>
            </w:pPr>
          </w:p>
        </w:tc>
        <w:tc>
          <w:tcPr>
            <w:tcW w:w="0" w:type="auto"/>
            <w:shd w:val="clear" w:color="auto" w:fill="FFFFFF"/>
            <w:tcMar>
              <w:top w:w="40" w:type="dxa"/>
              <w:left w:w="20" w:type="dxa"/>
              <w:bottom w:w="40" w:type="dxa"/>
              <w:right w:w="0" w:type="dxa"/>
            </w:tcMar>
            <w:vAlign w:val="center"/>
          </w:tcPr>
          <w:p w14:paraId="5F2D068E" w14:textId="77777777" w:rsidR="00E836FB" w:rsidRDefault="00994958">
            <w:pPr>
              <w:textAlignment w:val="center"/>
            </w:pPr>
            <w:r>
              <w:rPr>
                <w:rFonts w:ascii="Arial" w:eastAsia="宋体" w:hAnsi="Arial" w:cs="Arial"/>
                <w:color w:val="000000"/>
                <w:sz w:val="12"/>
                <w:szCs w:val="12"/>
              </w:rPr>
              <w:t>$</w:t>
            </w:r>
          </w:p>
          <w:p w14:paraId="5F2D068F" w14:textId="77777777" w:rsidR="00E836FB" w:rsidRDefault="00994958">
            <w:pPr>
              <w:jc w:val="right"/>
              <w:textAlignment w:val="center"/>
            </w:pPr>
            <w:r>
              <w:rPr>
                <w:rFonts w:ascii="Arial" w:eastAsia="宋体" w:hAnsi="Arial" w:cs="Arial"/>
                <w:color w:val="000000"/>
                <w:sz w:val="12"/>
                <w:szCs w:val="12"/>
              </w:rPr>
              <w:t>(3)</w:t>
            </w:r>
          </w:p>
        </w:tc>
      </w:tr>
      <w:tr w:rsidR="00E836FB" w14:paraId="5F2D06B0" w14:textId="77777777">
        <w:tc>
          <w:tcPr>
            <w:tcW w:w="0" w:type="auto"/>
            <w:gridSpan w:val="3"/>
            <w:shd w:val="clear" w:color="auto" w:fill="CCEEFF"/>
            <w:tcMar>
              <w:top w:w="40" w:type="dxa"/>
              <w:left w:w="20" w:type="dxa"/>
              <w:bottom w:w="40" w:type="dxa"/>
              <w:right w:w="20" w:type="dxa"/>
            </w:tcMar>
            <w:vAlign w:val="center"/>
          </w:tcPr>
          <w:p w14:paraId="5F2D0691" w14:textId="77777777" w:rsidR="00E836FB" w:rsidRDefault="00994958">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92" w14:textId="77777777" w:rsidR="00E836FB" w:rsidRDefault="00994958">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9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95" w14:textId="77777777" w:rsidR="00E836FB" w:rsidRDefault="00994958">
            <w:pPr>
              <w:jc w:val="right"/>
              <w:textAlignment w:val="center"/>
            </w:pPr>
            <w:r>
              <w:rPr>
                <w:rFonts w:ascii="Arial" w:eastAsia="宋体" w:hAnsi="Arial" w:cs="Arial"/>
                <w:color w:val="000000"/>
                <w:sz w:val="12"/>
                <w:szCs w:val="12"/>
              </w:rPr>
              <w:t>(6)</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9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9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98"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9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9B" w14:textId="77777777" w:rsidR="00E836FB" w:rsidRDefault="00994958">
            <w:pPr>
              <w:jc w:val="right"/>
              <w:textAlignment w:val="center"/>
            </w:pPr>
            <w:r>
              <w:rPr>
                <w:rFonts w:ascii="Arial" w:eastAsia="宋体" w:hAnsi="Arial" w:cs="Arial"/>
                <w:color w:val="000000"/>
                <w:sz w:val="12"/>
                <w:szCs w:val="12"/>
              </w:rPr>
              <w:t>5 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9C" w14:textId="77777777" w:rsidR="00E836FB" w:rsidRDefault="00E836FB">
            <w:pPr>
              <w:jc w:val="right"/>
              <w:rPr>
                <w:rFonts w:ascii="宋体"/>
              </w:rPr>
            </w:pPr>
          </w:p>
        </w:tc>
        <w:tc>
          <w:tcPr>
            <w:tcW w:w="0" w:type="auto"/>
            <w:shd w:val="clear" w:color="auto" w:fill="auto"/>
            <w:vAlign w:val="bottom"/>
          </w:tcPr>
          <w:p w14:paraId="5F2D069D" w14:textId="77777777" w:rsidR="00E836FB" w:rsidRDefault="00E836FB">
            <w:pPr>
              <w:rPr>
                <w:rFonts w:ascii="宋体"/>
                <w:vanish/>
              </w:rPr>
            </w:pPr>
          </w:p>
        </w:tc>
        <w:tc>
          <w:tcPr>
            <w:tcW w:w="0" w:type="auto"/>
            <w:shd w:val="clear" w:color="auto" w:fill="auto"/>
            <w:vAlign w:val="bottom"/>
          </w:tcPr>
          <w:p w14:paraId="5F2D069E"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069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A0"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A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A3" w14:textId="77777777" w:rsidR="00E836FB" w:rsidRDefault="00994958">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A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A6"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A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A9" w14:textId="77777777" w:rsidR="00E836FB" w:rsidRDefault="00994958">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6A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06AC" w14:textId="77777777" w:rsidR="00E836FB" w:rsidRDefault="00994958">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06AD"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06A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F2D06AF" w14:textId="77777777" w:rsidR="00E836FB" w:rsidRDefault="00994958">
            <w:pPr>
              <w:jc w:val="right"/>
              <w:textAlignment w:val="center"/>
            </w:pPr>
            <w:r>
              <w:rPr>
                <w:rFonts w:ascii="Arial" w:eastAsia="宋体" w:hAnsi="Arial" w:cs="Arial"/>
                <w:color w:val="000000"/>
                <w:sz w:val="12"/>
                <w:szCs w:val="12"/>
              </w:rPr>
              <w:t>(3)</w:t>
            </w:r>
          </w:p>
        </w:tc>
      </w:tr>
      <w:tr w:rsidR="00994958" w14:paraId="5F2D06DA" w14:textId="77777777">
        <w:tc>
          <w:tcPr>
            <w:tcW w:w="0" w:type="auto"/>
            <w:gridSpan w:val="3"/>
            <w:shd w:val="clear" w:color="auto" w:fill="FFFFFF"/>
            <w:tcMar>
              <w:top w:w="40" w:type="dxa"/>
              <w:left w:w="20" w:type="dxa"/>
              <w:bottom w:w="40" w:type="dxa"/>
              <w:right w:w="20" w:type="dxa"/>
            </w:tcMar>
            <w:vAlign w:val="center"/>
          </w:tcPr>
          <w:p w14:paraId="5F2D06B1" w14:textId="77777777" w:rsidR="00E836FB" w:rsidRDefault="00994958">
            <w:pPr>
              <w:textAlignment w:val="center"/>
            </w:pPr>
            <w:r>
              <w:rPr>
                <w:rFonts w:ascii="Arial" w:eastAsia="宋体" w:hAnsi="Arial" w:cs="Arial"/>
                <w:color w:val="000000"/>
                <w:sz w:val="12"/>
                <w:szCs w:val="12"/>
              </w:rPr>
              <w:t xml:space="preserve">Total assets </w:t>
            </w:r>
            <w:r>
              <w:rPr>
                <w:rFonts w:ascii="Arial" w:eastAsia="宋体" w:hAnsi="Arial" w:cs="Arial"/>
                <w:color w:val="000000"/>
                <w:sz w:val="12"/>
                <w:szCs w:val="12"/>
              </w:rPr>
              <w:t>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B2"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B3" w14:textId="77777777" w:rsidR="00E836FB" w:rsidRDefault="00994958">
            <w:pPr>
              <w:jc w:val="right"/>
              <w:textAlignment w:val="center"/>
            </w:pPr>
            <w:r>
              <w:rPr>
                <w:rFonts w:ascii="Arial" w:eastAsia="宋体" w:hAnsi="Arial" w:cs="Arial"/>
                <w:color w:val="000000"/>
                <w:sz w:val="12"/>
                <w:szCs w:val="12"/>
              </w:rPr>
              <w:t>2,756 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B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B5"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B6"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B7" w14:textId="77777777" w:rsidR="00E836FB" w:rsidRDefault="00994958">
            <w:pPr>
              <w:jc w:val="right"/>
              <w:textAlignment w:val="center"/>
            </w:pPr>
            <w:r>
              <w:rPr>
                <w:rFonts w:ascii="Arial" w:eastAsia="宋体" w:hAnsi="Arial" w:cs="Arial"/>
                <w:color w:val="000000"/>
                <w:sz w:val="12"/>
                <w:szCs w:val="12"/>
              </w:rPr>
              <w:t>(6)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B9"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BA"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BB" w14:textId="77777777" w:rsidR="00E836FB" w:rsidRDefault="00994958">
            <w:pPr>
              <w:jc w:val="right"/>
              <w:textAlignment w:val="center"/>
            </w:pPr>
            <w:r>
              <w:rPr>
                <w:rFonts w:ascii="Arial" w:eastAsia="宋体" w:hAnsi="Arial" w:cs="Arial"/>
                <w:color w:val="000000"/>
                <w:sz w:val="12"/>
                <w:szCs w:val="12"/>
              </w:rPr>
              <w:t>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BD"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BE"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BF" w14:textId="77777777" w:rsidR="00E836FB" w:rsidRDefault="00994958">
            <w:pPr>
              <w:jc w:val="right"/>
              <w:textAlignment w:val="center"/>
            </w:pPr>
            <w:r>
              <w:rPr>
                <w:rFonts w:ascii="Arial" w:eastAsia="宋体" w:hAnsi="Arial" w:cs="Arial"/>
                <w:color w:val="000000"/>
                <w:sz w:val="12"/>
                <w:szCs w:val="12"/>
              </w:rPr>
              <w:t>870 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C0" w14:textId="77777777" w:rsidR="00E836FB" w:rsidRDefault="00E836FB">
            <w:pPr>
              <w:jc w:val="right"/>
              <w:rPr>
                <w:rFonts w:ascii="宋体"/>
              </w:rPr>
            </w:pPr>
          </w:p>
        </w:tc>
        <w:tc>
          <w:tcPr>
            <w:tcW w:w="0" w:type="auto"/>
            <w:shd w:val="clear" w:color="auto" w:fill="auto"/>
            <w:vAlign w:val="bottom"/>
          </w:tcPr>
          <w:p w14:paraId="5F2D06C1" w14:textId="77777777" w:rsidR="00E836FB" w:rsidRDefault="00E836FB">
            <w:pPr>
              <w:rPr>
                <w:rFonts w:ascii="宋体"/>
                <w:vanish/>
              </w:rPr>
            </w:pPr>
          </w:p>
        </w:tc>
        <w:tc>
          <w:tcPr>
            <w:tcW w:w="0" w:type="auto"/>
            <w:shd w:val="clear" w:color="auto" w:fill="auto"/>
            <w:vAlign w:val="bottom"/>
          </w:tcPr>
          <w:p w14:paraId="5F2D06C2"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06C3"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C4"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C5" w14:textId="77777777" w:rsidR="00E836FB" w:rsidRDefault="00994958">
            <w:pPr>
              <w:jc w:val="right"/>
              <w:textAlignment w:val="center"/>
            </w:pPr>
            <w:r>
              <w:rPr>
                <w:rFonts w:ascii="Arial" w:eastAsia="宋体" w:hAnsi="Arial" w:cs="Arial"/>
                <w:color w:val="000000"/>
                <w:sz w:val="12"/>
                <w:szCs w:val="12"/>
              </w:rPr>
              <w:t>(95)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C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C8"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C9" w14:textId="77777777" w:rsidR="00E836FB" w:rsidRDefault="00994958">
            <w:pPr>
              <w:jc w:val="right"/>
              <w:textAlignment w:val="center"/>
            </w:pPr>
            <w:r>
              <w:rPr>
                <w:rFonts w:ascii="Arial" w:eastAsia="宋体" w:hAnsi="Arial" w:cs="Arial"/>
                <w:color w:val="000000"/>
                <w:sz w:val="12"/>
                <w:szCs w:val="12"/>
              </w:rPr>
              <w:t>(83)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CB"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CC"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CD" w14:textId="77777777" w:rsidR="00E836FB" w:rsidRDefault="00994958">
            <w:pPr>
              <w:jc w:val="right"/>
              <w:textAlignment w:val="center"/>
            </w:pPr>
            <w:r>
              <w:rPr>
                <w:rFonts w:ascii="Arial" w:eastAsia="宋体" w:hAnsi="Arial" w:cs="Arial"/>
                <w:color w:val="000000"/>
                <w:sz w:val="12"/>
                <w:szCs w:val="12"/>
              </w:rPr>
              <w:t>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C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D0"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D1" w14:textId="77777777" w:rsidR="00E836FB" w:rsidRDefault="00994958">
            <w:pPr>
              <w:jc w:val="right"/>
              <w:textAlignment w:val="center"/>
            </w:pPr>
            <w:r>
              <w:rPr>
                <w:rFonts w:ascii="Arial" w:eastAsia="宋体" w:hAnsi="Arial" w:cs="Arial"/>
                <w:color w:val="000000"/>
                <w:sz w:val="12"/>
                <w:szCs w:val="12"/>
              </w:rPr>
              <w:t>(3,503)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6D3"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D4"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F2D06D5" w14:textId="77777777" w:rsidR="00E836FB" w:rsidRDefault="00994958">
            <w:pPr>
              <w:jc w:val="right"/>
              <w:textAlignment w:val="center"/>
            </w:pPr>
            <w:r>
              <w:rPr>
                <w:rFonts w:ascii="Arial" w:eastAsia="宋体" w:hAnsi="Arial" w:cs="Arial"/>
                <w:color w:val="000000"/>
                <w:sz w:val="12"/>
                <w:szCs w:val="12"/>
              </w:rPr>
              <w:t>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F2D06D6"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06D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F2D06D8" w14:textId="77777777" w:rsidR="00E836FB" w:rsidRDefault="00994958">
            <w:pPr>
              <w:textAlignment w:val="center"/>
            </w:pPr>
            <w:r>
              <w:rPr>
                <w:rFonts w:ascii="Arial" w:eastAsia="宋体" w:hAnsi="Arial" w:cs="Arial"/>
                <w:color w:val="000000"/>
                <w:sz w:val="12"/>
                <w:szCs w:val="12"/>
              </w:rPr>
              <w:t>$</w:t>
            </w:r>
          </w:p>
          <w:p w14:paraId="5F2D06D9" w14:textId="77777777" w:rsidR="00E836FB" w:rsidRDefault="00994958">
            <w:pPr>
              <w:jc w:val="right"/>
              <w:textAlignment w:val="center"/>
            </w:pPr>
            <w:r>
              <w:rPr>
                <w:rFonts w:ascii="Arial" w:eastAsia="宋体" w:hAnsi="Arial" w:cs="Arial"/>
                <w:color w:val="000000"/>
                <w:sz w:val="12"/>
                <w:szCs w:val="12"/>
              </w:rPr>
              <w:t>(3)</w:t>
            </w:r>
          </w:p>
        </w:tc>
      </w:tr>
    </w:tbl>
    <w:p w14:paraId="5F2D06DB" w14:textId="77777777" w:rsidR="00E836FB" w:rsidRDefault="00E836F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E836FB" w14:paraId="5F2D06EB" w14:textId="77777777">
        <w:tc>
          <w:tcPr>
            <w:tcW w:w="50" w:type="pct"/>
            <w:shd w:val="clear" w:color="auto" w:fill="auto"/>
            <w:vAlign w:val="bottom"/>
          </w:tcPr>
          <w:p w14:paraId="5F2D06DC" w14:textId="77777777" w:rsidR="00E836FB" w:rsidRDefault="00E836FB">
            <w:pPr>
              <w:rPr>
                <w:rFonts w:ascii="宋体"/>
              </w:rPr>
            </w:pPr>
          </w:p>
        </w:tc>
        <w:tc>
          <w:tcPr>
            <w:tcW w:w="1350" w:type="pct"/>
            <w:shd w:val="clear" w:color="auto" w:fill="auto"/>
            <w:vAlign w:val="bottom"/>
          </w:tcPr>
          <w:p w14:paraId="5F2D06DD" w14:textId="77777777" w:rsidR="00E836FB" w:rsidRDefault="00E836FB">
            <w:pPr>
              <w:rPr>
                <w:rFonts w:ascii="宋体"/>
              </w:rPr>
            </w:pPr>
          </w:p>
        </w:tc>
        <w:tc>
          <w:tcPr>
            <w:tcW w:w="5" w:type="pct"/>
            <w:shd w:val="clear" w:color="auto" w:fill="auto"/>
            <w:vAlign w:val="bottom"/>
          </w:tcPr>
          <w:p w14:paraId="5F2D06DE" w14:textId="77777777" w:rsidR="00E836FB" w:rsidRDefault="00E836FB">
            <w:pPr>
              <w:rPr>
                <w:rFonts w:ascii="宋体"/>
              </w:rPr>
            </w:pPr>
          </w:p>
        </w:tc>
        <w:tc>
          <w:tcPr>
            <w:tcW w:w="50" w:type="pct"/>
            <w:shd w:val="clear" w:color="auto" w:fill="auto"/>
            <w:vAlign w:val="bottom"/>
          </w:tcPr>
          <w:p w14:paraId="5F2D06DF" w14:textId="77777777" w:rsidR="00E836FB" w:rsidRDefault="00E836FB">
            <w:pPr>
              <w:rPr>
                <w:rFonts w:ascii="宋体"/>
              </w:rPr>
            </w:pPr>
          </w:p>
        </w:tc>
        <w:tc>
          <w:tcPr>
            <w:tcW w:w="911" w:type="pct"/>
            <w:shd w:val="clear" w:color="auto" w:fill="auto"/>
            <w:vAlign w:val="bottom"/>
          </w:tcPr>
          <w:p w14:paraId="5F2D06E0" w14:textId="77777777" w:rsidR="00E836FB" w:rsidRDefault="00E836FB">
            <w:pPr>
              <w:rPr>
                <w:rFonts w:ascii="宋体"/>
              </w:rPr>
            </w:pPr>
          </w:p>
        </w:tc>
        <w:tc>
          <w:tcPr>
            <w:tcW w:w="5" w:type="pct"/>
            <w:shd w:val="clear" w:color="auto" w:fill="auto"/>
            <w:vAlign w:val="bottom"/>
          </w:tcPr>
          <w:p w14:paraId="5F2D06E1" w14:textId="77777777" w:rsidR="00E836FB" w:rsidRDefault="00E836FB">
            <w:pPr>
              <w:rPr>
                <w:rFonts w:ascii="宋体"/>
              </w:rPr>
            </w:pPr>
          </w:p>
        </w:tc>
        <w:tc>
          <w:tcPr>
            <w:tcW w:w="50" w:type="pct"/>
            <w:shd w:val="clear" w:color="auto" w:fill="auto"/>
            <w:vAlign w:val="bottom"/>
          </w:tcPr>
          <w:p w14:paraId="5F2D06E2" w14:textId="77777777" w:rsidR="00E836FB" w:rsidRDefault="00E836FB">
            <w:pPr>
              <w:rPr>
                <w:rFonts w:ascii="宋体"/>
              </w:rPr>
            </w:pPr>
          </w:p>
        </w:tc>
        <w:tc>
          <w:tcPr>
            <w:tcW w:w="1562" w:type="pct"/>
            <w:shd w:val="clear" w:color="auto" w:fill="auto"/>
            <w:vAlign w:val="bottom"/>
          </w:tcPr>
          <w:p w14:paraId="5F2D06E3" w14:textId="77777777" w:rsidR="00E836FB" w:rsidRDefault="00E836FB">
            <w:pPr>
              <w:rPr>
                <w:rFonts w:ascii="宋体"/>
              </w:rPr>
            </w:pPr>
          </w:p>
        </w:tc>
        <w:tc>
          <w:tcPr>
            <w:tcW w:w="5" w:type="pct"/>
            <w:shd w:val="clear" w:color="auto" w:fill="auto"/>
            <w:vAlign w:val="bottom"/>
          </w:tcPr>
          <w:p w14:paraId="5F2D06E4" w14:textId="77777777" w:rsidR="00E836FB" w:rsidRDefault="00E836FB">
            <w:pPr>
              <w:rPr>
                <w:rFonts w:ascii="宋体"/>
              </w:rPr>
            </w:pPr>
          </w:p>
        </w:tc>
        <w:tc>
          <w:tcPr>
            <w:tcW w:w="50" w:type="pct"/>
            <w:shd w:val="clear" w:color="auto" w:fill="auto"/>
            <w:vAlign w:val="bottom"/>
          </w:tcPr>
          <w:p w14:paraId="5F2D06E5" w14:textId="77777777" w:rsidR="00E836FB" w:rsidRDefault="00E836FB">
            <w:pPr>
              <w:rPr>
                <w:rFonts w:ascii="宋体"/>
              </w:rPr>
            </w:pPr>
          </w:p>
        </w:tc>
        <w:tc>
          <w:tcPr>
            <w:tcW w:w="918" w:type="pct"/>
            <w:shd w:val="clear" w:color="auto" w:fill="auto"/>
            <w:vAlign w:val="bottom"/>
          </w:tcPr>
          <w:p w14:paraId="5F2D06E6" w14:textId="77777777" w:rsidR="00E836FB" w:rsidRDefault="00E836FB">
            <w:pPr>
              <w:rPr>
                <w:rFonts w:ascii="宋体"/>
              </w:rPr>
            </w:pPr>
          </w:p>
        </w:tc>
        <w:tc>
          <w:tcPr>
            <w:tcW w:w="5" w:type="pct"/>
            <w:shd w:val="clear" w:color="auto" w:fill="auto"/>
            <w:vAlign w:val="bottom"/>
          </w:tcPr>
          <w:p w14:paraId="5F2D06E7" w14:textId="77777777" w:rsidR="00E836FB" w:rsidRDefault="00E836FB">
            <w:pPr>
              <w:rPr>
                <w:rFonts w:ascii="宋体"/>
              </w:rPr>
            </w:pPr>
          </w:p>
        </w:tc>
        <w:tc>
          <w:tcPr>
            <w:tcW w:w="5" w:type="pct"/>
            <w:shd w:val="clear" w:color="auto" w:fill="auto"/>
            <w:vAlign w:val="bottom"/>
          </w:tcPr>
          <w:p w14:paraId="5F2D06E8" w14:textId="77777777" w:rsidR="00E836FB" w:rsidRDefault="00E836FB">
            <w:pPr>
              <w:rPr>
                <w:rFonts w:ascii="宋体"/>
              </w:rPr>
            </w:pPr>
          </w:p>
        </w:tc>
        <w:tc>
          <w:tcPr>
            <w:tcW w:w="26" w:type="pct"/>
            <w:shd w:val="clear" w:color="auto" w:fill="auto"/>
            <w:vAlign w:val="bottom"/>
          </w:tcPr>
          <w:p w14:paraId="5F2D06E9" w14:textId="77777777" w:rsidR="00E836FB" w:rsidRDefault="00E836FB">
            <w:pPr>
              <w:rPr>
                <w:rFonts w:ascii="宋体"/>
              </w:rPr>
            </w:pPr>
          </w:p>
        </w:tc>
        <w:tc>
          <w:tcPr>
            <w:tcW w:w="5" w:type="pct"/>
            <w:shd w:val="clear" w:color="auto" w:fill="auto"/>
            <w:vAlign w:val="bottom"/>
          </w:tcPr>
          <w:p w14:paraId="5F2D06EA" w14:textId="77777777" w:rsidR="00E836FB" w:rsidRDefault="00E836FB">
            <w:pPr>
              <w:rPr>
                <w:rFonts w:ascii="宋体"/>
              </w:rPr>
            </w:pPr>
          </w:p>
        </w:tc>
      </w:tr>
      <w:tr w:rsidR="00E836FB" w14:paraId="5F2D06F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06E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6E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6E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6E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6F0" w14:textId="77777777" w:rsidR="00E836FB" w:rsidRDefault="00E836FB">
            <w:pPr>
              <w:rPr>
                <w:rFonts w:ascii="宋体"/>
              </w:rPr>
            </w:pPr>
          </w:p>
        </w:tc>
      </w:tr>
    </w:tbl>
    <w:p w14:paraId="5F2D06F2" w14:textId="77777777" w:rsidR="00E836FB" w:rsidRDefault="00994958">
      <w:r>
        <w:rPr>
          <w:rFonts w:ascii="Arial" w:eastAsia="宋体" w:hAnsi="Arial" w:cs="Arial"/>
          <w:color w:val="000000"/>
          <w:sz w:val="8"/>
          <w:szCs w:val="8"/>
        </w:rPr>
        <w:t>(1)</w:t>
      </w:r>
      <w:r>
        <w:rPr>
          <w:rFonts w:ascii="Arial" w:eastAsia="宋体" w:hAnsi="Arial" w:cs="Arial"/>
          <w:color w:val="000000"/>
          <w:sz w:val="13"/>
          <w:szCs w:val="13"/>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3"/>
          <w:szCs w:val="13"/>
        </w:rPr>
        <w:t xml:space="preserve"> trading services.</w:t>
      </w:r>
    </w:p>
    <w:p w14:paraId="5F2D06F3" w14:textId="77777777" w:rsidR="00E836FB" w:rsidRDefault="00994958">
      <w:pPr>
        <w:ind w:firstLine="450"/>
        <w:jc w:val="right"/>
      </w:pPr>
      <w:r>
        <w:rPr>
          <w:rFonts w:ascii="Arial" w:eastAsia="宋体" w:hAnsi="Arial" w:cs="Arial"/>
          <w:color w:val="000000"/>
          <w:sz w:val="18"/>
          <w:szCs w:val="18"/>
        </w:rPr>
        <w:t>State Street Corporation | 141</w:t>
      </w:r>
    </w:p>
    <w:p w14:paraId="5F2D06F4" w14:textId="77777777" w:rsidR="00E836FB" w:rsidRDefault="00E836FB">
      <w:pPr>
        <w:ind w:firstLine="450"/>
        <w:jc w:val="center"/>
      </w:pPr>
    </w:p>
    <w:p w14:paraId="5F2D06F5" w14:textId="77777777" w:rsidR="00E836FB" w:rsidRDefault="00994958">
      <w:r>
        <w:pict w14:anchorId="5F2D6E12">
          <v:rect id="_x0000_i1165" style="width:415.3pt;height:1.5pt" o:hralign="center" o:hrstd="t" o:hr="t" fillcolor="#a0a0a0" stroked="f"/>
        </w:pict>
      </w:r>
    </w:p>
    <w:p w14:paraId="5F2D06F6" w14:textId="77777777" w:rsidR="00E836FB" w:rsidRDefault="00994958">
      <w:pPr>
        <w:ind w:firstLine="450"/>
        <w:jc w:val="center"/>
      </w:pPr>
      <w:r>
        <w:rPr>
          <w:rFonts w:ascii="Arial" w:eastAsia="宋体" w:hAnsi="Arial" w:cs="Arial"/>
          <w:b/>
          <w:bCs/>
          <w:color w:val="000000"/>
          <w:sz w:val="20"/>
          <w:szCs w:val="20"/>
        </w:rPr>
        <w:t>STATE STREET CORPORATION</w:t>
      </w:r>
    </w:p>
    <w:p w14:paraId="5F2D06F7"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06F8" w14:textId="77777777" w:rsidR="00E836FB" w:rsidRDefault="00994958">
      <w:pPr>
        <w:spacing w:before="60"/>
        <w:ind w:firstLine="450"/>
        <w:jc w:val="both"/>
      </w:pPr>
      <w:r>
        <w:rPr>
          <w:rFonts w:ascii="Arial" w:eastAsia="宋体" w:hAnsi="Arial" w:cs="Arial"/>
          <w:color w:val="000000"/>
          <w:sz w:val="20"/>
          <w:szCs w:val="20"/>
        </w:rPr>
        <w:t>The following table presents quantitative information, as of the dates indicated, about the valuation techniques and significant unobse</w:t>
      </w:r>
      <w:r>
        <w:rPr>
          <w:rFonts w:ascii="Arial" w:eastAsia="宋体" w:hAnsi="Arial" w:cs="Arial"/>
          <w:color w:val="000000"/>
          <w:sz w:val="20"/>
          <w:szCs w:val="20"/>
        </w:rPr>
        <w:t>rvable inputs used in the valuation of our level 3 financial assets and liabilities measured at fair value on a recurring basis for which we use internally-developed pricing models. The significant unobservable inputs for our level 3 financial assets and l</w:t>
      </w:r>
      <w:r>
        <w:rPr>
          <w:rFonts w:ascii="Arial" w:eastAsia="宋体" w:hAnsi="Arial" w:cs="Arial"/>
          <w:color w:val="000000"/>
          <w:sz w:val="20"/>
          <w:szCs w:val="20"/>
        </w:rPr>
        <w:t>iabilities whose fair value is measured using pricing information from non-binding broker/dealer quotes are not included in the table, as the specific inputs applied are not provided by the broker/dealer.</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1920"/>
        <w:gridCol w:w="37"/>
        <w:gridCol w:w="94"/>
        <w:gridCol w:w="582"/>
        <w:gridCol w:w="36"/>
        <w:gridCol w:w="36"/>
        <w:gridCol w:w="36"/>
        <w:gridCol w:w="36"/>
        <w:gridCol w:w="94"/>
        <w:gridCol w:w="582"/>
        <w:gridCol w:w="36"/>
        <w:gridCol w:w="36"/>
        <w:gridCol w:w="36"/>
        <w:gridCol w:w="36"/>
        <w:gridCol w:w="71"/>
        <w:gridCol w:w="613"/>
        <w:gridCol w:w="36"/>
        <w:gridCol w:w="36"/>
        <w:gridCol w:w="36"/>
        <w:gridCol w:w="36"/>
        <w:gridCol w:w="82"/>
        <w:gridCol w:w="810"/>
        <w:gridCol w:w="36"/>
        <w:gridCol w:w="36"/>
        <w:gridCol w:w="36"/>
        <w:gridCol w:w="36"/>
        <w:gridCol w:w="103"/>
        <w:gridCol w:w="415"/>
        <w:gridCol w:w="40"/>
        <w:gridCol w:w="38"/>
        <w:gridCol w:w="79"/>
        <w:gridCol w:w="38"/>
        <w:gridCol w:w="80"/>
        <w:gridCol w:w="322"/>
        <w:gridCol w:w="39"/>
        <w:gridCol w:w="36"/>
        <w:gridCol w:w="36"/>
        <w:gridCol w:w="36"/>
        <w:gridCol w:w="69"/>
        <w:gridCol w:w="496"/>
        <w:gridCol w:w="137"/>
        <w:gridCol w:w="37"/>
        <w:gridCol w:w="37"/>
        <w:gridCol w:w="36"/>
        <w:gridCol w:w="68"/>
        <w:gridCol w:w="497"/>
        <w:gridCol w:w="136"/>
      </w:tblGrid>
      <w:tr w:rsidR="00E836FB" w14:paraId="5F2D0729" w14:textId="77777777">
        <w:trPr>
          <w:jc w:val="center"/>
        </w:trPr>
        <w:tc>
          <w:tcPr>
            <w:tcW w:w="50" w:type="pct"/>
            <w:shd w:val="clear" w:color="auto" w:fill="auto"/>
            <w:vAlign w:val="bottom"/>
          </w:tcPr>
          <w:p w14:paraId="5F2D06F9" w14:textId="77777777" w:rsidR="00E836FB" w:rsidRDefault="00E836FB">
            <w:pPr>
              <w:rPr>
                <w:rFonts w:ascii="宋体"/>
              </w:rPr>
            </w:pPr>
          </w:p>
        </w:tc>
        <w:tc>
          <w:tcPr>
            <w:tcW w:w="1447" w:type="pct"/>
            <w:shd w:val="clear" w:color="auto" w:fill="auto"/>
            <w:vAlign w:val="bottom"/>
          </w:tcPr>
          <w:p w14:paraId="5F2D06FA" w14:textId="77777777" w:rsidR="00E836FB" w:rsidRDefault="00E836FB">
            <w:pPr>
              <w:rPr>
                <w:rFonts w:ascii="宋体"/>
              </w:rPr>
            </w:pPr>
          </w:p>
        </w:tc>
        <w:tc>
          <w:tcPr>
            <w:tcW w:w="5" w:type="pct"/>
            <w:shd w:val="clear" w:color="auto" w:fill="auto"/>
            <w:vAlign w:val="bottom"/>
          </w:tcPr>
          <w:p w14:paraId="5F2D06FB" w14:textId="77777777" w:rsidR="00E836FB" w:rsidRDefault="00E836FB">
            <w:pPr>
              <w:rPr>
                <w:rFonts w:ascii="宋体"/>
              </w:rPr>
            </w:pPr>
          </w:p>
        </w:tc>
        <w:tc>
          <w:tcPr>
            <w:tcW w:w="50" w:type="pct"/>
            <w:shd w:val="clear" w:color="auto" w:fill="auto"/>
            <w:vAlign w:val="bottom"/>
          </w:tcPr>
          <w:p w14:paraId="5F2D06FC" w14:textId="77777777" w:rsidR="00E836FB" w:rsidRDefault="00E836FB">
            <w:pPr>
              <w:rPr>
                <w:rFonts w:ascii="宋体"/>
              </w:rPr>
            </w:pPr>
          </w:p>
        </w:tc>
        <w:tc>
          <w:tcPr>
            <w:tcW w:w="364" w:type="pct"/>
            <w:shd w:val="clear" w:color="auto" w:fill="auto"/>
            <w:vAlign w:val="bottom"/>
          </w:tcPr>
          <w:p w14:paraId="5F2D06FD" w14:textId="77777777" w:rsidR="00E836FB" w:rsidRDefault="00E836FB">
            <w:pPr>
              <w:rPr>
                <w:rFonts w:ascii="宋体"/>
              </w:rPr>
            </w:pPr>
          </w:p>
        </w:tc>
        <w:tc>
          <w:tcPr>
            <w:tcW w:w="5" w:type="pct"/>
            <w:shd w:val="clear" w:color="auto" w:fill="auto"/>
            <w:vAlign w:val="bottom"/>
          </w:tcPr>
          <w:p w14:paraId="5F2D06FE" w14:textId="77777777" w:rsidR="00E836FB" w:rsidRDefault="00E836FB">
            <w:pPr>
              <w:rPr>
                <w:rFonts w:ascii="宋体"/>
              </w:rPr>
            </w:pPr>
          </w:p>
        </w:tc>
        <w:tc>
          <w:tcPr>
            <w:tcW w:w="5" w:type="pct"/>
            <w:shd w:val="clear" w:color="auto" w:fill="auto"/>
            <w:vAlign w:val="bottom"/>
          </w:tcPr>
          <w:p w14:paraId="5F2D06FF" w14:textId="77777777" w:rsidR="00E836FB" w:rsidRDefault="00E836FB">
            <w:pPr>
              <w:rPr>
                <w:rFonts w:ascii="宋体"/>
              </w:rPr>
            </w:pPr>
          </w:p>
        </w:tc>
        <w:tc>
          <w:tcPr>
            <w:tcW w:w="19" w:type="pct"/>
            <w:shd w:val="clear" w:color="auto" w:fill="auto"/>
            <w:vAlign w:val="bottom"/>
          </w:tcPr>
          <w:p w14:paraId="5F2D0700" w14:textId="77777777" w:rsidR="00E836FB" w:rsidRDefault="00E836FB">
            <w:pPr>
              <w:rPr>
                <w:rFonts w:ascii="宋体"/>
              </w:rPr>
            </w:pPr>
          </w:p>
        </w:tc>
        <w:tc>
          <w:tcPr>
            <w:tcW w:w="5" w:type="pct"/>
            <w:shd w:val="clear" w:color="auto" w:fill="auto"/>
            <w:vAlign w:val="bottom"/>
          </w:tcPr>
          <w:p w14:paraId="5F2D0701" w14:textId="77777777" w:rsidR="00E836FB" w:rsidRDefault="00E836FB">
            <w:pPr>
              <w:rPr>
                <w:rFonts w:ascii="宋体"/>
              </w:rPr>
            </w:pPr>
          </w:p>
        </w:tc>
        <w:tc>
          <w:tcPr>
            <w:tcW w:w="50" w:type="pct"/>
            <w:shd w:val="clear" w:color="auto" w:fill="auto"/>
            <w:vAlign w:val="bottom"/>
          </w:tcPr>
          <w:p w14:paraId="5F2D0702" w14:textId="77777777" w:rsidR="00E836FB" w:rsidRDefault="00E836FB">
            <w:pPr>
              <w:rPr>
                <w:rFonts w:ascii="宋体"/>
              </w:rPr>
            </w:pPr>
          </w:p>
        </w:tc>
        <w:tc>
          <w:tcPr>
            <w:tcW w:w="364" w:type="pct"/>
            <w:shd w:val="clear" w:color="auto" w:fill="auto"/>
            <w:vAlign w:val="bottom"/>
          </w:tcPr>
          <w:p w14:paraId="5F2D0703" w14:textId="77777777" w:rsidR="00E836FB" w:rsidRDefault="00E836FB">
            <w:pPr>
              <w:rPr>
                <w:rFonts w:ascii="宋体"/>
              </w:rPr>
            </w:pPr>
          </w:p>
        </w:tc>
        <w:tc>
          <w:tcPr>
            <w:tcW w:w="5" w:type="pct"/>
            <w:shd w:val="clear" w:color="auto" w:fill="auto"/>
            <w:vAlign w:val="bottom"/>
          </w:tcPr>
          <w:p w14:paraId="5F2D0704" w14:textId="77777777" w:rsidR="00E836FB" w:rsidRDefault="00E836FB">
            <w:pPr>
              <w:rPr>
                <w:rFonts w:ascii="宋体"/>
              </w:rPr>
            </w:pPr>
          </w:p>
        </w:tc>
        <w:tc>
          <w:tcPr>
            <w:tcW w:w="5" w:type="pct"/>
            <w:shd w:val="clear" w:color="auto" w:fill="auto"/>
            <w:vAlign w:val="bottom"/>
          </w:tcPr>
          <w:p w14:paraId="5F2D0705" w14:textId="77777777" w:rsidR="00E836FB" w:rsidRDefault="00E836FB">
            <w:pPr>
              <w:rPr>
                <w:rFonts w:ascii="宋体"/>
              </w:rPr>
            </w:pPr>
          </w:p>
        </w:tc>
        <w:tc>
          <w:tcPr>
            <w:tcW w:w="19" w:type="pct"/>
            <w:shd w:val="clear" w:color="auto" w:fill="auto"/>
            <w:vAlign w:val="bottom"/>
          </w:tcPr>
          <w:p w14:paraId="5F2D0706" w14:textId="77777777" w:rsidR="00E836FB" w:rsidRDefault="00E836FB">
            <w:pPr>
              <w:rPr>
                <w:rFonts w:ascii="宋体"/>
              </w:rPr>
            </w:pPr>
          </w:p>
        </w:tc>
        <w:tc>
          <w:tcPr>
            <w:tcW w:w="5" w:type="pct"/>
            <w:shd w:val="clear" w:color="auto" w:fill="auto"/>
            <w:vAlign w:val="bottom"/>
          </w:tcPr>
          <w:p w14:paraId="5F2D0707" w14:textId="77777777" w:rsidR="00E836FB" w:rsidRDefault="00E836FB">
            <w:pPr>
              <w:rPr>
                <w:rFonts w:ascii="宋体"/>
              </w:rPr>
            </w:pPr>
          </w:p>
        </w:tc>
        <w:tc>
          <w:tcPr>
            <w:tcW w:w="50" w:type="pct"/>
            <w:shd w:val="clear" w:color="auto" w:fill="auto"/>
            <w:vAlign w:val="bottom"/>
          </w:tcPr>
          <w:p w14:paraId="5F2D0708" w14:textId="77777777" w:rsidR="00E836FB" w:rsidRDefault="00E836FB">
            <w:pPr>
              <w:rPr>
                <w:rFonts w:ascii="宋体"/>
              </w:rPr>
            </w:pPr>
          </w:p>
        </w:tc>
        <w:tc>
          <w:tcPr>
            <w:tcW w:w="438" w:type="pct"/>
            <w:shd w:val="clear" w:color="auto" w:fill="auto"/>
            <w:vAlign w:val="bottom"/>
          </w:tcPr>
          <w:p w14:paraId="5F2D0709" w14:textId="77777777" w:rsidR="00E836FB" w:rsidRDefault="00E836FB">
            <w:pPr>
              <w:rPr>
                <w:rFonts w:ascii="宋体"/>
              </w:rPr>
            </w:pPr>
          </w:p>
        </w:tc>
        <w:tc>
          <w:tcPr>
            <w:tcW w:w="5" w:type="pct"/>
            <w:shd w:val="clear" w:color="auto" w:fill="auto"/>
            <w:vAlign w:val="bottom"/>
          </w:tcPr>
          <w:p w14:paraId="5F2D070A" w14:textId="77777777" w:rsidR="00E836FB" w:rsidRDefault="00E836FB">
            <w:pPr>
              <w:rPr>
                <w:rFonts w:ascii="宋体"/>
              </w:rPr>
            </w:pPr>
          </w:p>
        </w:tc>
        <w:tc>
          <w:tcPr>
            <w:tcW w:w="5" w:type="pct"/>
            <w:shd w:val="clear" w:color="auto" w:fill="auto"/>
            <w:vAlign w:val="bottom"/>
          </w:tcPr>
          <w:p w14:paraId="5F2D070B" w14:textId="77777777" w:rsidR="00E836FB" w:rsidRDefault="00E836FB">
            <w:pPr>
              <w:rPr>
                <w:rFonts w:ascii="宋体"/>
              </w:rPr>
            </w:pPr>
          </w:p>
        </w:tc>
        <w:tc>
          <w:tcPr>
            <w:tcW w:w="19" w:type="pct"/>
            <w:shd w:val="clear" w:color="auto" w:fill="auto"/>
            <w:vAlign w:val="bottom"/>
          </w:tcPr>
          <w:p w14:paraId="5F2D070C" w14:textId="77777777" w:rsidR="00E836FB" w:rsidRDefault="00E836FB">
            <w:pPr>
              <w:rPr>
                <w:rFonts w:ascii="宋体"/>
              </w:rPr>
            </w:pPr>
          </w:p>
        </w:tc>
        <w:tc>
          <w:tcPr>
            <w:tcW w:w="5" w:type="pct"/>
            <w:shd w:val="clear" w:color="auto" w:fill="auto"/>
            <w:vAlign w:val="bottom"/>
          </w:tcPr>
          <w:p w14:paraId="5F2D070D" w14:textId="77777777" w:rsidR="00E836FB" w:rsidRDefault="00E836FB">
            <w:pPr>
              <w:rPr>
                <w:rFonts w:ascii="宋体"/>
              </w:rPr>
            </w:pPr>
          </w:p>
        </w:tc>
        <w:tc>
          <w:tcPr>
            <w:tcW w:w="50" w:type="pct"/>
            <w:shd w:val="clear" w:color="auto" w:fill="auto"/>
            <w:vAlign w:val="bottom"/>
          </w:tcPr>
          <w:p w14:paraId="5F2D070E" w14:textId="77777777" w:rsidR="00E836FB" w:rsidRDefault="00E836FB">
            <w:pPr>
              <w:rPr>
                <w:rFonts w:ascii="宋体"/>
              </w:rPr>
            </w:pPr>
          </w:p>
        </w:tc>
        <w:tc>
          <w:tcPr>
            <w:tcW w:w="497" w:type="pct"/>
            <w:shd w:val="clear" w:color="auto" w:fill="auto"/>
            <w:vAlign w:val="bottom"/>
          </w:tcPr>
          <w:p w14:paraId="5F2D070F" w14:textId="77777777" w:rsidR="00E836FB" w:rsidRDefault="00E836FB">
            <w:pPr>
              <w:rPr>
                <w:rFonts w:ascii="宋体"/>
              </w:rPr>
            </w:pPr>
          </w:p>
        </w:tc>
        <w:tc>
          <w:tcPr>
            <w:tcW w:w="5" w:type="pct"/>
            <w:shd w:val="clear" w:color="auto" w:fill="auto"/>
            <w:vAlign w:val="bottom"/>
          </w:tcPr>
          <w:p w14:paraId="5F2D0710" w14:textId="77777777" w:rsidR="00E836FB" w:rsidRDefault="00E836FB">
            <w:pPr>
              <w:rPr>
                <w:rFonts w:ascii="宋体"/>
              </w:rPr>
            </w:pPr>
          </w:p>
        </w:tc>
        <w:tc>
          <w:tcPr>
            <w:tcW w:w="5" w:type="pct"/>
            <w:shd w:val="clear" w:color="auto" w:fill="auto"/>
            <w:vAlign w:val="bottom"/>
          </w:tcPr>
          <w:p w14:paraId="5F2D0711" w14:textId="77777777" w:rsidR="00E836FB" w:rsidRDefault="00E836FB">
            <w:pPr>
              <w:rPr>
                <w:rFonts w:ascii="宋体"/>
              </w:rPr>
            </w:pPr>
          </w:p>
        </w:tc>
        <w:tc>
          <w:tcPr>
            <w:tcW w:w="19" w:type="pct"/>
            <w:shd w:val="clear" w:color="auto" w:fill="auto"/>
            <w:vAlign w:val="bottom"/>
          </w:tcPr>
          <w:p w14:paraId="5F2D0712" w14:textId="77777777" w:rsidR="00E836FB" w:rsidRDefault="00E836FB">
            <w:pPr>
              <w:rPr>
                <w:rFonts w:ascii="宋体"/>
              </w:rPr>
            </w:pPr>
          </w:p>
        </w:tc>
        <w:tc>
          <w:tcPr>
            <w:tcW w:w="5" w:type="pct"/>
            <w:shd w:val="clear" w:color="auto" w:fill="auto"/>
            <w:vAlign w:val="bottom"/>
          </w:tcPr>
          <w:p w14:paraId="5F2D0713" w14:textId="77777777" w:rsidR="00E836FB" w:rsidRDefault="00E836FB">
            <w:pPr>
              <w:rPr>
                <w:rFonts w:ascii="宋体"/>
              </w:rPr>
            </w:pPr>
          </w:p>
        </w:tc>
        <w:tc>
          <w:tcPr>
            <w:tcW w:w="50" w:type="pct"/>
            <w:shd w:val="clear" w:color="auto" w:fill="auto"/>
            <w:vAlign w:val="bottom"/>
          </w:tcPr>
          <w:p w14:paraId="5F2D0714" w14:textId="77777777" w:rsidR="00E836FB" w:rsidRDefault="00E836FB">
            <w:pPr>
              <w:rPr>
                <w:rFonts w:ascii="宋体"/>
              </w:rPr>
            </w:pPr>
          </w:p>
        </w:tc>
        <w:tc>
          <w:tcPr>
            <w:tcW w:w="202" w:type="pct"/>
            <w:shd w:val="clear" w:color="auto" w:fill="auto"/>
            <w:vAlign w:val="bottom"/>
          </w:tcPr>
          <w:p w14:paraId="5F2D0715" w14:textId="77777777" w:rsidR="00E836FB" w:rsidRDefault="00E836FB">
            <w:pPr>
              <w:rPr>
                <w:rFonts w:ascii="宋体"/>
              </w:rPr>
            </w:pPr>
          </w:p>
        </w:tc>
        <w:tc>
          <w:tcPr>
            <w:tcW w:w="5" w:type="pct"/>
            <w:shd w:val="clear" w:color="auto" w:fill="auto"/>
            <w:vAlign w:val="bottom"/>
          </w:tcPr>
          <w:p w14:paraId="5F2D0716" w14:textId="77777777" w:rsidR="00E836FB" w:rsidRDefault="00E836FB">
            <w:pPr>
              <w:rPr>
                <w:rFonts w:ascii="宋体"/>
              </w:rPr>
            </w:pPr>
          </w:p>
        </w:tc>
        <w:tc>
          <w:tcPr>
            <w:tcW w:w="5" w:type="pct"/>
            <w:shd w:val="clear" w:color="auto" w:fill="auto"/>
            <w:vAlign w:val="bottom"/>
          </w:tcPr>
          <w:p w14:paraId="5F2D0717" w14:textId="77777777" w:rsidR="00E836FB" w:rsidRDefault="00E836FB">
            <w:pPr>
              <w:rPr>
                <w:rFonts w:ascii="宋体"/>
              </w:rPr>
            </w:pPr>
          </w:p>
        </w:tc>
        <w:tc>
          <w:tcPr>
            <w:tcW w:w="71" w:type="pct"/>
            <w:shd w:val="clear" w:color="auto" w:fill="auto"/>
            <w:vAlign w:val="bottom"/>
          </w:tcPr>
          <w:p w14:paraId="5F2D0718" w14:textId="77777777" w:rsidR="00E836FB" w:rsidRDefault="00E836FB">
            <w:pPr>
              <w:rPr>
                <w:rFonts w:ascii="宋体"/>
              </w:rPr>
            </w:pPr>
          </w:p>
        </w:tc>
        <w:tc>
          <w:tcPr>
            <w:tcW w:w="5" w:type="pct"/>
            <w:shd w:val="clear" w:color="auto" w:fill="auto"/>
            <w:vAlign w:val="bottom"/>
          </w:tcPr>
          <w:p w14:paraId="5F2D0719" w14:textId="77777777" w:rsidR="00E836FB" w:rsidRDefault="00E836FB">
            <w:pPr>
              <w:rPr>
                <w:rFonts w:ascii="宋体"/>
              </w:rPr>
            </w:pPr>
          </w:p>
        </w:tc>
        <w:tc>
          <w:tcPr>
            <w:tcW w:w="50" w:type="pct"/>
            <w:shd w:val="clear" w:color="auto" w:fill="auto"/>
            <w:vAlign w:val="bottom"/>
          </w:tcPr>
          <w:p w14:paraId="5F2D071A" w14:textId="77777777" w:rsidR="00E836FB" w:rsidRDefault="00E836FB">
            <w:pPr>
              <w:rPr>
                <w:rFonts w:ascii="宋体"/>
              </w:rPr>
            </w:pPr>
          </w:p>
        </w:tc>
        <w:tc>
          <w:tcPr>
            <w:tcW w:w="202" w:type="pct"/>
            <w:shd w:val="clear" w:color="auto" w:fill="auto"/>
            <w:vAlign w:val="bottom"/>
          </w:tcPr>
          <w:p w14:paraId="5F2D071B" w14:textId="77777777" w:rsidR="00E836FB" w:rsidRDefault="00E836FB">
            <w:pPr>
              <w:rPr>
                <w:rFonts w:ascii="宋体"/>
              </w:rPr>
            </w:pPr>
          </w:p>
        </w:tc>
        <w:tc>
          <w:tcPr>
            <w:tcW w:w="5" w:type="pct"/>
            <w:shd w:val="clear" w:color="auto" w:fill="auto"/>
            <w:vAlign w:val="bottom"/>
          </w:tcPr>
          <w:p w14:paraId="5F2D071C" w14:textId="77777777" w:rsidR="00E836FB" w:rsidRDefault="00E836FB">
            <w:pPr>
              <w:rPr>
                <w:rFonts w:ascii="宋体"/>
              </w:rPr>
            </w:pPr>
          </w:p>
        </w:tc>
        <w:tc>
          <w:tcPr>
            <w:tcW w:w="5" w:type="pct"/>
            <w:shd w:val="clear" w:color="auto" w:fill="auto"/>
            <w:vAlign w:val="bottom"/>
          </w:tcPr>
          <w:p w14:paraId="5F2D071D" w14:textId="77777777" w:rsidR="00E836FB" w:rsidRDefault="00E836FB">
            <w:pPr>
              <w:rPr>
                <w:rFonts w:ascii="宋体"/>
              </w:rPr>
            </w:pPr>
          </w:p>
        </w:tc>
        <w:tc>
          <w:tcPr>
            <w:tcW w:w="19" w:type="pct"/>
            <w:shd w:val="clear" w:color="auto" w:fill="auto"/>
            <w:vAlign w:val="bottom"/>
          </w:tcPr>
          <w:p w14:paraId="5F2D071E" w14:textId="77777777" w:rsidR="00E836FB" w:rsidRDefault="00E836FB">
            <w:pPr>
              <w:rPr>
                <w:rFonts w:ascii="宋体"/>
              </w:rPr>
            </w:pPr>
          </w:p>
        </w:tc>
        <w:tc>
          <w:tcPr>
            <w:tcW w:w="5" w:type="pct"/>
            <w:shd w:val="clear" w:color="auto" w:fill="auto"/>
            <w:vAlign w:val="bottom"/>
          </w:tcPr>
          <w:p w14:paraId="5F2D071F" w14:textId="77777777" w:rsidR="00E836FB" w:rsidRDefault="00E836FB">
            <w:pPr>
              <w:rPr>
                <w:rFonts w:ascii="宋体"/>
              </w:rPr>
            </w:pPr>
          </w:p>
        </w:tc>
        <w:tc>
          <w:tcPr>
            <w:tcW w:w="50" w:type="pct"/>
            <w:shd w:val="clear" w:color="auto" w:fill="auto"/>
            <w:vAlign w:val="bottom"/>
          </w:tcPr>
          <w:p w14:paraId="5F2D0720" w14:textId="77777777" w:rsidR="00E836FB" w:rsidRDefault="00E836FB">
            <w:pPr>
              <w:rPr>
                <w:rFonts w:ascii="宋体"/>
              </w:rPr>
            </w:pPr>
          </w:p>
        </w:tc>
        <w:tc>
          <w:tcPr>
            <w:tcW w:w="364" w:type="pct"/>
            <w:shd w:val="clear" w:color="auto" w:fill="auto"/>
            <w:vAlign w:val="bottom"/>
          </w:tcPr>
          <w:p w14:paraId="5F2D0721" w14:textId="77777777" w:rsidR="00E836FB" w:rsidRDefault="00E836FB">
            <w:pPr>
              <w:rPr>
                <w:rFonts w:ascii="宋体"/>
              </w:rPr>
            </w:pPr>
          </w:p>
        </w:tc>
        <w:tc>
          <w:tcPr>
            <w:tcW w:w="5" w:type="pct"/>
            <w:shd w:val="clear" w:color="auto" w:fill="auto"/>
            <w:vAlign w:val="bottom"/>
          </w:tcPr>
          <w:p w14:paraId="5F2D0722" w14:textId="77777777" w:rsidR="00E836FB" w:rsidRDefault="00E836FB">
            <w:pPr>
              <w:rPr>
                <w:rFonts w:ascii="宋体"/>
              </w:rPr>
            </w:pPr>
          </w:p>
        </w:tc>
        <w:tc>
          <w:tcPr>
            <w:tcW w:w="5" w:type="pct"/>
            <w:shd w:val="clear" w:color="auto" w:fill="auto"/>
            <w:vAlign w:val="bottom"/>
          </w:tcPr>
          <w:p w14:paraId="5F2D0723" w14:textId="77777777" w:rsidR="00E836FB" w:rsidRDefault="00E836FB">
            <w:pPr>
              <w:rPr>
                <w:rFonts w:ascii="宋体"/>
              </w:rPr>
            </w:pPr>
          </w:p>
        </w:tc>
        <w:tc>
          <w:tcPr>
            <w:tcW w:w="19" w:type="pct"/>
            <w:shd w:val="clear" w:color="auto" w:fill="auto"/>
            <w:vAlign w:val="bottom"/>
          </w:tcPr>
          <w:p w14:paraId="5F2D0724" w14:textId="77777777" w:rsidR="00E836FB" w:rsidRDefault="00E836FB">
            <w:pPr>
              <w:rPr>
                <w:rFonts w:ascii="宋体"/>
              </w:rPr>
            </w:pPr>
          </w:p>
        </w:tc>
        <w:tc>
          <w:tcPr>
            <w:tcW w:w="5" w:type="pct"/>
            <w:shd w:val="clear" w:color="auto" w:fill="auto"/>
            <w:vAlign w:val="bottom"/>
          </w:tcPr>
          <w:p w14:paraId="5F2D0725" w14:textId="77777777" w:rsidR="00E836FB" w:rsidRDefault="00E836FB">
            <w:pPr>
              <w:rPr>
                <w:rFonts w:ascii="宋体"/>
              </w:rPr>
            </w:pPr>
          </w:p>
        </w:tc>
        <w:tc>
          <w:tcPr>
            <w:tcW w:w="50" w:type="pct"/>
            <w:shd w:val="clear" w:color="auto" w:fill="auto"/>
            <w:vAlign w:val="bottom"/>
          </w:tcPr>
          <w:p w14:paraId="5F2D0726" w14:textId="77777777" w:rsidR="00E836FB" w:rsidRDefault="00E836FB">
            <w:pPr>
              <w:rPr>
                <w:rFonts w:ascii="宋体"/>
              </w:rPr>
            </w:pPr>
          </w:p>
        </w:tc>
        <w:tc>
          <w:tcPr>
            <w:tcW w:w="365" w:type="pct"/>
            <w:shd w:val="clear" w:color="auto" w:fill="auto"/>
            <w:vAlign w:val="bottom"/>
          </w:tcPr>
          <w:p w14:paraId="5F2D0727" w14:textId="77777777" w:rsidR="00E836FB" w:rsidRDefault="00E836FB">
            <w:pPr>
              <w:rPr>
                <w:rFonts w:ascii="宋体"/>
              </w:rPr>
            </w:pPr>
          </w:p>
        </w:tc>
        <w:tc>
          <w:tcPr>
            <w:tcW w:w="5" w:type="pct"/>
            <w:shd w:val="clear" w:color="auto" w:fill="auto"/>
            <w:vAlign w:val="bottom"/>
          </w:tcPr>
          <w:p w14:paraId="5F2D0728" w14:textId="77777777" w:rsidR="00E836FB" w:rsidRDefault="00E836FB">
            <w:pPr>
              <w:rPr>
                <w:rFonts w:ascii="宋体"/>
              </w:rPr>
            </w:pPr>
          </w:p>
        </w:tc>
      </w:tr>
      <w:tr w:rsidR="00E836FB" w14:paraId="5F2D072C" w14:textId="77777777">
        <w:trPr>
          <w:jc w:val="center"/>
        </w:trPr>
        <w:tc>
          <w:tcPr>
            <w:tcW w:w="0" w:type="auto"/>
            <w:gridSpan w:val="3"/>
            <w:shd w:val="clear" w:color="auto" w:fill="auto"/>
            <w:tcMar>
              <w:top w:w="0" w:type="dxa"/>
              <w:left w:w="20" w:type="dxa"/>
              <w:bottom w:w="0" w:type="dxa"/>
              <w:right w:w="20" w:type="dxa"/>
            </w:tcMar>
            <w:vAlign w:val="bottom"/>
          </w:tcPr>
          <w:p w14:paraId="5F2D072A" w14:textId="77777777" w:rsidR="00E836FB" w:rsidRDefault="00E836FB">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5F2D072B" w14:textId="77777777" w:rsidR="00E836FB" w:rsidRDefault="00994958">
            <w:pPr>
              <w:jc w:val="center"/>
              <w:textAlignment w:val="bottom"/>
            </w:pPr>
            <w:r>
              <w:rPr>
                <w:rFonts w:ascii="Arial" w:eastAsia="宋体" w:hAnsi="Arial" w:cs="Arial"/>
                <w:b/>
                <w:bCs/>
                <w:color w:val="000000"/>
                <w:sz w:val="14"/>
                <w:szCs w:val="14"/>
              </w:rPr>
              <w:t>Quantitative Information about Level 3 Fair Value Measurements</w:t>
            </w:r>
          </w:p>
        </w:tc>
      </w:tr>
      <w:tr w:rsidR="00E836FB" w14:paraId="5F2D0737" w14:textId="77777777">
        <w:trPr>
          <w:jc w:val="center"/>
        </w:trPr>
        <w:tc>
          <w:tcPr>
            <w:tcW w:w="0" w:type="auto"/>
            <w:gridSpan w:val="3"/>
            <w:shd w:val="clear" w:color="auto" w:fill="auto"/>
            <w:tcMar>
              <w:top w:w="0" w:type="dxa"/>
              <w:left w:w="20" w:type="dxa"/>
              <w:bottom w:w="0" w:type="dxa"/>
              <w:right w:w="20" w:type="dxa"/>
            </w:tcMar>
            <w:vAlign w:val="bottom"/>
          </w:tcPr>
          <w:p w14:paraId="5F2D072D"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72E" w14:textId="77777777" w:rsidR="00E836FB" w:rsidRDefault="00994958">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2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3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3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3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33" w14:textId="77777777" w:rsidR="00E836FB" w:rsidRDefault="00E836FB">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0734" w14:textId="77777777" w:rsidR="00E836FB" w:rsidRDefault="00994958">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35"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736" w14:textId="77777777" w:rsidR="00E836FB" w:rsidRDefault="00994958">
            <w:pPr>
              <w:jc w:val="center"/>
              <w:textAlignment w:val="bottom"/>
            </w:pPr>
            <w:r>
              <w:rPr>
                <w:rFonts w:ascii="Arial" w:eastAsia="宋体" w:hAnsi="Arial" w:cs="Arial"/>
                <w:b/>
                <w:bCs/>
                <w:color w:val="000000"/>
                <w:sz w:val="13"/>
                <w:szCs w:val="13"/>
              </w:rPr>
              <w:t>Weighted-Average</w:t>
            </w:r>
          </w:p>
        </w:tc>
      </w:tr>
      <w:tr w:rsidR="00E836FB" w14:paraId="5F2D0746" w14:textId="77777777">
        <w:trPr>
          <w:jc w:val="center"/>
        </w:trPr>
        <w:tc>
          <w:tcPr>
            <w:tcW w:w="0" w:type="auto"/>
            <w:gridSpan w:val="3"/>
            <w:shd w:val="clear" w:color="auto" w:fill="auto"/>
            <w:tcMar>
              <w:top w:w="40" w:type="dxa"/>
              <w:left w:w="20" w:type="dxa"/>
              <w:bottom w:w="40" w:type="dxa"/>
              <w:right w:w="20" w:type="dxa"/>
            </w:tcMar>
            <w:vAlign w:val="bottom"/>
          </w:tcPr>
          <w:p w14:paraId="5F2D0738" w14:textId="77777777" w:rsidR="00E836FB" w:rsidRDefault="00994958">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739" w14:textId="77777777" w:rsidR="00E836FB" w:rsidRDefault="00994958">
            <w:pPr>
              <w:jc w:val="center"/>
              <w:textAlignment w:val="bottom"/>
            </w:pPr>
            <w:r>
              <w:rPr>
                <w:rFonts w:ascii="Arial" w:eastAsia="宋体" w:hAnsi="Arial" w:cs="Arial"/>
                <w:b/>
                <w:bCs/>
                <w:color w:val="000000"/>
                <w:sz w:val="13"/>
                <w:szCs w:val="13"/>
              </w:rPr>
              <w:t>As of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3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73B" w14:textId="77777777" w:rsidR="00E836FB" w:rsidRDefault="00994958">
            <w:pPr>
              <w:jc w:val="center"/>
              <w:textAlignment w:val="bottom"/>
            </w:pPr>
            <w:r>
              <w:rPr>
                <w:rFonts w:ascii="Arial" w:eastAsia="宋体" w:hAnsi="Arial" w:cs="Arial"/>
                <w:b/>
                <w:bCs/>
                <w:color w:val="000000"/>
                <w:sz w:val="13"/>
                <w:szCs w:val="13"/>
              </w:rPr>
              <w:t>As of December 31, 2020</w:t>
            </w:r>
          </w:p>
        </w:tc>
        <w:tc>
          <w:tcPr>
            <w:tcW w:w="0" w:type="auto"/>
            <w:gridSpan w:val="3"/>
            <w:shd w:val="clear" w:color="auto" w:fill="auto"/>
            <w:tcMar>
              <w:top w:w="0" w:type="dxa"/>
              <w:left w:w="20" w:type="dxa"/>
              <w:bottom w:w="0" w:type="dxa"/>
              <w:right w:w="20" w:type="dxa"/>
            </w:tcMar>
            <w:vAlign w:val="bottom"/>
          </w:tcPr>
          <w:p w14:paraId="5F2D073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073D" w14:textId="77777777" w:rsidR="00E836FB" w:rsidRDefault="00994958">
            <w:pPr>
              <w:jc w:val="center"/>
              <w:textAlignment w:val="bottom"/>
            </w:pPr>
            <w:r>
              <w:rPr>
                <w:rFonts w:ascii="Arial" w:eastAsia="宋体" w:hAnsi="Arial" w:cs="Arial"/>
                <w:b/>
                <w:bCs/>
                <w:color w:val="000000"/>
                <w:sz w:val="13"/>
                <w:szCs w:val="13"/>
              </w:rPr>
              <w:t>Valuation Technique</w:t>
            </w:r>
          </w:p>
        </w:tc>
        <w:tc>
          <w:tcPr>
            <w:tcW w:w="0" w:type="auto"/>
            <w:gridSpan w:val="3"/>
            <w:shd w:val="clear" w:color="auto" w:fill="auto"/>
            <w:tcMar>
              <w:top w:w="0" w:type="dxa"/>
              <w:left w:w="20" w:type="dxa"/>
              <w:bottom w:w="0" w:type="dxa"/>
              <w:right w:w="20" w:type="dxa"/>
            </w:tcMar>
            <w:vAlign w:val="bottom"/>
          </w:tcPr>
          <w:p w14:paraId="5F2D073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073F" w14:textId="77777777" w:rsidR="00E836FB" w:rsidRDefault="00994958">
            <w:pPr>
              <w:jc w:val="center"/>
              <w:textAlignment w:val="bottom"/>
            </w:pPr>
            <w:r>
              <w:rPr>
                <w:rFonts w:ascii="Arial" w:eastAsia="宋体" w:hAnsi="Arial" w:cs="Arial"/>
                <w:b/>
                <w:bCs/>
                <w:color w:val="000000"/>
                <w:sz w:val="13"/>
                <w:szCs w:val="13"/>
              </w:rPr>
              <w:t>Significant Unobservable Input</w:t>
            </w:r>
            <w:r>
              <w:rPr>
                <w:rFonts w:ascii="Arial" w:eastAsia="宋体" w:hAnsi="Arial" w:cs="Arial"/>
                <w:b/>
                <w:bCs/>
                <w:color w:val="000000"/>
                <w:sz w:val="8"/>
                <w:szCs w:val="8"/>
              </w:rPr>
              <w:t>(1)</w:t>
            </w:r>
          </w:p>
        </w:tc>
        <w:tc>
          <w:tcPr>
            <w:tcW w:w="0" w:type="auto"/>
            <w:gridSpan w:val="3"/>
            <w:shd w:val="clear" w:color="auto" w:fill="auto"/>
            <w:tcMar>
              <w:top w:w="0" w:type="dxa"/>
              <w:left w:w="20" w:type="dxa"/>
              <w:bottom w:w="0" w:type="dxa"/>
              <w:right w:w="20" w:type="dxa"/>
            </w:tcMar>
            <w:vAlign w:val="bottom"/>
          </w:tcPr>
          <w:p w14:paraId="5F2D0740"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741" w14:textId="77777777" w:rsidR="00E836FB" w:rsidRDefault="00994958">
            <w:pPr>
              <w:jc w:val="center"/>
              <w:textAlignment w:val="bottom"/>
            </w:pPr>
            <w:r>
              <w:rPr>
                <w:rFonts w:ascii="Arial" w:eastAsia="宋体" w:hAnsi="Arial" w:cs="Arial"/>
                <w:b/>
                <w:bCs/>
                <w:color w:val="000000"/>
                <w:sz w:val="13"/>
                <w:szCs w:val="13"/>
              </w:rPr>
              <w:t>As of December 31, 2021</w:t>
            </w:r>
          </w:p>
        </w:tc>
        <w:tc>
          <w:tcPr>
            <w:tcW w:w="0" w:type="auto"/>
            <w:gridSpan w:val="3"/>
            <w:shd w:val="clear" w:color="auto" w:fill="auto"/>
            <w:tcMar>
              <w:top w:w="0" w:type="dxa"/>
              <w:left w:w="20" w:type="dxa"/>
              <w:bottom w:w="0" w:type="dxa"/>
              <w:right w:w="20" w:type="dxa"/>
            </w:tcMar>
            <w:vAlign w:val="bottom"/>
          </w:tcPr>
          <w:p w14:paraId="5F2D074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743" w14:textId="77777777" w:rsidR="00E836FB" w:rsidRDefault="00994958">
            <w:pPr>
              <w:jc w:val="center"/>
              <w:textAlignment w:val="bottom"/>
            </w:pPr>
            <w:r>
              <w:rPr>
                <w:rFonts w:ascii="Arial" w:eastAsia="宋体" w:hAnsi="Arial" w:cs="Arial"/>
                <w:b/>
                <w:bCs/>
                <w:color w:val="000000"/>
                <w:sz w:val="13"/>
                <w:szCs w:val="13"/>
              </w:rPr>
              <w:t>As of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4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745" w14:textId="77777777" w:rsidR="00E836FB" w:rsidRDefault="00994958">
            <w:pPr>
              <w:jc w:val="center"/>
              <w:textAlignment w:val="bottom"/>
            </w:pPr>
            <w:r>
              <w:rPr>
                <w:rFonts w:ascii="Arial" w:eastAsia="宋体" w:hAnsi="Arial" w:cs="Arial"/>
                <w:b/>
                <w:bCs/>
                <w:color w:val="000000"/>
                <w:sz w:val="13"/>
                <w:szCs w:val="13"/>
              </w:rPr>
              <w:t>As of December 31, 2020</w:t>
            </w:r>
          </w:p>
        </w:tc>
      </w:tr>
      <w:tr w:rsidR="00E836FB" w14:paraId="5F2D0757" w14:textId="77777777">
        <w:trPr>
          <w:jc w:val="center"/>
        </w:trPr>
        <w:tc>
          <w:tcPr>
            <w:tcW w:w="0" w:type="auto"/>
            <w:gridSpan w:val="3"/>
            <w:shd w:val="clear" w:color="auto" w:fill="auto"/>
            <w:tcMar>
              <w:top w:w="40" w:type="dxa"/>
              <w:left w:w="20" w:type="dxa"/>
              <w:bottom w:w="40" w:type="dxa"/>
              <w:right w:w="20" w:type="dxa"/>
            </w:tcMar>
            <w:vAlign w:val="bottom"/>
          </w:tcPr>
          <w:p w14:paraId="5F2D0747" w14:textId="77777777" w:rsidR="00E836FB" w:rsidRDefault="00994958">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4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4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4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4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4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4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4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5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5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5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5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756" w14:textId="77777777" w:rsidR="00E836FB" w:rsidRDefault="00E836FB">
            <w:pPr>
              <w:rPr>
                <w:rFonts w:ascii="宋体"/>
              </w:rPr>
            </w:pPr>
          </w:p>
        </w:tc>
      </w:tr>
      <w:tr w:rsidR="00E836FB" w14:paraId="5F2D0768" w14:textId="77777777">
        <w:trPr>
          <w:jc w:val="center"/>
        </w:trPr>
        <w:tc>
          <w:tcPr>
            <w:tcW w:w="0" w:type="auto"/>
            <w:gridSpan w:val="3"/>
            <w:shd w:val="clear" w:color="auto" w:fill="auto"/>
            <w:tcMar>
              <w:top w:w="40" w:type="dxa"/>
              <w:left w:w="20" w:type="dxa"/>
              <w:bottom w:w="40" w:type="dxa"/>
              <w:right w:w="20" w:type="dxa"/>
            </w:tcMar>
            <w:vAlign w:val="bottom"/>
          </w:tcPr>
          <w:p w14:paraId="5F2D0758" w14:textId="77777777" w:rsidR="00E836FB" w:rsidRDefault="00994958">
            <w:pPr>
              <w:textAlignment w:val="bottom"/>
            </w:pPr>
            <w:r>
              <w:rPr>
                <w:rFonts w:ascii="Arial" w:eastAsia="宋体" w:hAnsi="Arial" w:cs="Arial"/>
                <w:b/>
                <w:bCs/>
                <w:color w:val="000000"/>
                <w:sz w:val="13"/>
                <w:szCs w:val="13"/>
              </w:rPr>
              <w:t>Assets:</w:t>
            </w:r>
          </w:p>
        </w:tc>
        <w:tc>
          <w:tcPr>
            <w:tcW w:w="0" w:type="auto"/>
            <w:gridSpan w:val="3"/>
            <w:shd w:val="clear" w:color="auto" w:fill="auto"/>
            <w:tcMar>
              <w:top w:w="0" w:type="dxa"/>
              <w:left w:w="20" w:type="dxa"/>
              <w:bottom w:w="0" w:type="dxa"/>
              <w:right w:w="20" w:type="dxa"/>
            </w:tcMar>
            <w:vAlign w:val="bottom"/>
          </w:tcPr>
          <w:p w14:paraId="5F2D075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5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67" w14:textId="77777777" w:rsidR="00E836FB" w:rsidRDefault="00E836FB">
            <w:pPr>
              <w:rPr>
                <w:rFonts w:ascii="宋体"/>
              </w:rPr>
            </w:pPr>
          </w:p>
        </w:tc>
      </w:tr>
      <w:tr w:rsidR="00E836FB" w14:paraId="5F2D077F" w14:textId="77777777">
        <w:trPr>
          <w:jc w:val="center"/>
        </w:trPr>
        <w:tc>
          <w:tcPr>
            <w:tcW w:w="0" w:type="auto"/>
            <w:gridSpan w:val="3"/>
            <w:shd w:val="clear" w:color="auto" w:fill="CCEEFF"/>
            <w:tcMar>
              <w:top w:w="40" w:type="dxa"/>
              <w:left w:w="20" w:type="dxa"/>
              <w:bottom w:w="40" w:type="dxa"/>
              <w:right w:w="20" w:type="dxa"/>
            </w:tcMar>
            <w:vAlign w:val="bottom"/>
          </w:tcPr>
          <w:p w14:paraId="5F2D0769" w14:textId="77777777" w:rsidR="00E836FB" w:rsidRDefault="00994958">
            <w:pPr>
              <w:textAlignment w:val="bottom"/>
            </w:pPr>
            <w:r>
              <w:rPr>
                <w:rFonts w:ascii="Arial" w:eastAsia="宋体" w:hAnsi="Arial" w:cs="Arial"/>
                <w:color w:val="000000"/>
                <w:sz w:val="13"/>
                <w:szCs w:val="13"/>
              </w:rPr>
              <w:t xml:space="preserve">Derivative Instruments, 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5F2D076A"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D076B"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07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76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76E"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D076F" w14:textId="77777777" w:rsidR="00E836FB" w:rsidRDefault="00994958">
            <w:pPr>
              <w:jc w:val="right"/>
              <w:textAlignment w:val="bottom"/>
            </w:pPr>
            <w:r>
              <w:rPr>
                <w:rFonts w:ascii="Arial" w:eastAsia="宋体" w:hAnsi="Arial" w:cs="Arial"/>
                <w:color w:val="000000"/>
                <w:sz w:val="13"/>
                <w:szCs w:val="13"/>
              </w:rPr>
              <w:t>2 </w:t>
            </w:r>
          </w:p>
        </w:tc>
        <w:tc>
          <w:tcPr>
            <w:tcW w:w="0" w:type="auto"/>
            <w:shd w:val="clear" w:color="auto" w:fill="CCEEFF"/>
            <w:tcMar>
              <w:top w:w="40" w:type="dxa"/>
              <w:left w:w="0" w:type="dxa"/>
              <w:bottom w:w="40" w:type="dxa"/>
              <w:right w:w="20" w:type="dxa"/>
            </w:tcMar>
            <w:vAlign w:val="bottom"/>
          </w:tcPr>
          <w:p w14:paraId="5F2D07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77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0772" w14:textId="77777777" w:rsidR="00E836FB" w:rsidRDefault="00994958">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vAlign w:val="bottom"/>
          </w:tcPr>
          <w:p w14:paraId="5F2D077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0774" w14:textId="77777777" w:rsidR="00E836FB" w:rsidRDefault="00994958">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vAlign w:val="bottom"/>
          </w:tcPr>
          <w:p w14:paraId="5F2D0775"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D0776" w14:textId="77777777" w:rsidR="00E836FB" w:rsidRDefault="00994958">
            <w:pPr>
              <w:jc w:val="right"/>
              <w:textAlignment w:val="bottom"/>
            </w:pPr>
            <w:r>
              <w:rPr>
                <w:rFonts w:ascii="Arial" w:eastAsia="宋体" w:hAnsi="Arial" w:cs="Arial"/>
                <w:b/>
                <w:bCs/>
                <w:color w:val="000000"/>
                <w:sz w:val="13"/>
                <w:szCs w:val="13"/>
              </w:rPr>
              <w:t>5.3%</w:t>
            </w:r>
          </w:p>
        </w:tc>
        <w:tc>
          <w:tcPr>
            <w:tcW w:w="0" w:type="auto"/>
            <w:gridSpan w:val="3"/>
            <w:shd w:val="clear" w:color="auto" w:fill="CCEEFF"/>
            <w:tcMar>
              <w:top w:w="40" w:type="dxa"/>
              <w:left w:w="20" w:type="dxa"/>
              <w:bottom w:w="40" w:type="dxa"/>
              <w:right w:w="20" w:type="dxa"/>
            </w:tcMar>
            <w:vAlign w:val="bottom"/>
          </w:tcPr>
          <w:p w14:paraId="5F2D0777" w14:textId="77777777" w:rsidR="00E836FB" w:rsidRDefault="00994958">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5F2D0778" w14:textId="77777777" w:rsidR="00E836FB" w:rsidRDefault="00994958">
            <w:pPr>
              <w:textAlignment w:val="bottom"/>
            </w:pPr>
            <w:r>
              <w:rPr>
                <w:rFonts w:ascii="Arial" w:eastAsia="宋体" w:hAnsi="Arial" w:cs="Arial"/>
                <w:b/>
                <w:bCs/>
                <w:color w:val="000000"/>
                <w:sz w:val="13"/>
                <w:szCs w:val="13"/>
              </w:rPr>
              <w:t>15.9%</w:t>
            </w:r>
          </w:p>
        </w:tc>
        <w:tc>
          <w:tcPr>
            <w:tcW w:w="0" w:type="auto"/>
            <w:gridSpan w:val="3"/>
            <w:shd w:val="clear" w:color="auto" w:fill="CCEEFF"/>
            <w:tcMar>
              <w:top w:w="0" w:type="dxa"/>
              <w:left w:w="20" w:type="dxa"/>
              <w:bottom w:w="0" w:type="dxa"/>
              <w:right w:w="20" w:type="dxa"/>
            </w:tcMar>
            <w:vAlign w:val="bottom"/>
          </w:tcPr>
          <w:p w14:paraId="5F2D077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77A" w14:textId="77777777" w:rsidR="00E836FB" w:rsidRDefault="00994958">
            <w:pPr>
              <w:jc w:val="right"/>
              <w:textAlignment w:val="bottom"/>
            </w:pPr>
            <w:r>
              <w:rPr>
                <w:rFonts w:ascii="Arial" w:eastAsia="宋体" w:hAnsi="Arial" w:cs="Arial"/>
                <w:b/>
                <w:bCs/>
                <w:color w:val="000000"/>
                <w:sz w:val="13"/>
                <w:szCs w:val="13"/>
              </w:rPr>
              <w:t>15.2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077B" w14:textId="77777777" w:rsidR="00E836FB" w:rsidRDefault="00994958">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D077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77D" w14:textId="77777777" w:rsidR="00E836FB" w:rsidRDefault="00994958">
            <w:pPr>
              <w:jc w:val="right"/>
              <w:textAlignment w:val="bottom"/>
            </w:pPr>
            <w:r>
              <w:rPr>
                <w:rFonts w:ascii="Arial" w:eastAsia="宋体" w:hAnsi="Arial" w:cs="Arial"/>
                <w:color w:val="000000"/>
                <w:sz w:val="13"/>
                <w:szCs w:val="13"/>
              </w:rPr>
              <w:t>7.9 </w:t>
            </w:r>
          </w:p>
        </w:tc>
        <w:tc>
          <w:tcPr>
            <w:tcW w:w="0" w:type="auto"/>
            <w:shd w:val="clear" w:color="auto" w:fill="CCEEFF"/>
            <w:tcMar>
              <w:top w:w="40" w:type="dxa"/>
              <w:left w:w="0" w:type="dxa"/>
              <w:bottom w:w="40" w:type="dxa"/>
              <w:right w:w="20" w:type="dxa"/>
            </w:tcMar>
            <w:vAlign w:val="bottom"/>
          </w:tcPr>
          <w:p w14:paraId="5F2D077E" w14:textId="77777777" w:rsidR="00E836FB" w:rsidRDefault="00994958">
            <w:pPr>
              <w:jc w:val="right"/>
              <w:textAlignment w:val="bottom"/>
            </w:pPr>
            <w:r>
              <w:rPr>
                <w:rFonts w:ascii="Arial" w:eastAsia="宋体" w:hAnsi="Arial" w:cs="Arial"/>
                <w:color w:val="000000"/>
                <w:sz w:val="13"/>
                <w:szCs w:val="13"/>
              </w:rPr>
              <w:t>%</w:t>
            </w:r>
          </w:p>
        </w:tc>
      </w:tr>
      <w:tr w:rsidR="00E836FB" w14:paraId="5F2D0794" w14:textId="77777777">
        <w:trPr>
          <w:jc w:val="center"/>
        </w:trPr>
        <w:tc>
          <w:tcPr>
            <w:tcW w:w="0" w:type="auto"/>
            <w:gridSpan w:val="3"/>
            <w:shd w:val="clear" w:color="auto" w:fill="FFFFFF"/>
            <w:tcMar>
              <w:top w:w="40" w:type="dxa"/>
              <w:left w:w="155" w:type="dxa"/>
              <w:bottom w:w="40" w:type="dxa"/>
              <w:right w:w="20" w:type="dxa"/>
            </w:tcMar>
            <w:vAlign w:val="bottom"/>
          </w:tcPr>
          <w:p w14:paraId="5F2D0780" w14:textId="77777777" w:rsidR="00E836FB" w:rsidRDefault="00994958">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0781"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782"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7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784"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785"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786" w14:textId="77777777" w:rsidR="00E836FB" w:rsidRDefault="00994958">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78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78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8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8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8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8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8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8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8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9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9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9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793" w14:textId="77777777" w:rsidR="00E836FB" w:rsidRDefault="00E836FB">
            <w:pPr>
              <w:rPr>
                <w:rFonts w:ascii="宋体"/>
              </w:rPr>
            </w:pPr>
          </w:p>
        </w:tc>
      </w:tr>
      <w:tr w:rsidR="00E836FB" w14:paraId="5F2D07A5" w14:textId="77777777">
        <w:trPr>
          <w:jc w:val="center"/>
        </w:trPr>
        <w:tc>
          <w:tcPr>
            <w:tcW w:w="0" w:type="auto"/>
            <w:gridSpan w:val="3"/>
            <w:shd w:val="clear" w:color="auto" w:fill="CCEEFF"/>
            <w:tcMar>
              <w:top w:w="40" w:type="dxa"/>
              <w:left w:w="20" w:type="dxa"/>
              <w:bottom w:w="40" w:type="dxa"/>
              <w:right w:w="20" w:type="dxa"/>
            </w:tcMar>
            <w:vAlign w:val="bottom"/>
          </w:tcPr>
          <w:p w14:paraId="5F2D0795" w14:textId="77777777" w:rsidR="00E836FB" w:rsidRDefault="00994958">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79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7"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79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9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A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A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A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A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A4" w14:textId="77777777" w:rsidR="00E836FB" w:rsidRDefault="00E836FB">
            <w:pPr>
              <w:rPr>
                <w:rFonts w:ascii="宋体"/>
              </w:rPr>
            </w:pPr>
          </w:p>
        </w:tc>
      </w:tr>
      <w:tr w:rsidR="00E836FB" w14:paraId="5F2D07BC" w14:textId="77777777">
        <w:trPr>
          <w:jc w:val="center"/>
        </w:trPr>
        <w:tc>
          <w:tcPr>
            <w:tcW w:w="0" w:type="auto"/>
            <w:gridSpan w:val="3"/>
            <w:shd w:val="clear" w:color="auto" w:fill="FFFFFF"/>
            <w:tcMar>
              <w:top w:w="40" w:type="dxa"/>
              <w:left w:w="20" w:type="dxa"/>
              <w:bottom w:w="40" w:type="dxa"/>
              <w:right w:w="20" w:type="dxa"/>
            </w:tcMar>
            <w:vAlign w:val="bottom"/>
          </w:tcPr>
          <w:p w14:paraId="5F2D07A6" w14:textId="77777777" w:rsidR="00E836FB" w:rsidRDefault="00994958">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5F2D07A7"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5F2D07A8"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F2D07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7AA"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07AB" w14:textId="77777777" w:rsidR="00E836FB" w:rsidRDefault="00994958">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F2D07AC" w14:textId="77777777" w:rsidR="00E836FB" w:rsidRDefault="00994958">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5F2D07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7A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07AF" w14:textId="77777777" w:rsidR="00E836FB" w:rsidRDefault="00994958">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vAlign w:val="bottom"/>
          </w:tcPr>
          <w:p w14:paraId="5F2D07B0"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07B1" w14:textId="77777777" w:rsidR="00E836FB" w:rsidRDefault="00994958">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vAlign w:val="bottom"/>
          </w:tcPr>
          <w:p w14:paraId="5F2D07B2" w14:textId="77777777" w:rsidR="00E836FB" w:rsidRDefault="00E836FB">
            <w:pPr>
              <w:rPr>
                <w:rFonts w:ascii="宋体"/>
              </w:rPr>
            </w:pPr>
          </w:p>
        </w:tc>
        <w:tc>
          <w:tcPr>
            <w:tcW w:w="0" w:type="auto"/>
            <w:gridSpan w:val="3"/>
            <w:shd w:val="clear" w:color="auto" w:fill="FFFFFF"/>
            <w:tcMar>
              <w:top w:w="40" w:type="dxa"/>
              <w:left w:w="20" w:type="dxa"/>
              <w:bottom w:w="40" w:type="dxa"/>
              <w:right w:w="140" w:type="dxa"/>
            </w:tcMar>
            <w:vAlign w:val="bottom"/>
          </w:tcPr>
          <w:p w14:paraId="5F2D07B3" w14:textId="77777777" w:rsidR="00E836FB" w:rsidRDefault="00994958">
            <w:pPr>
              <w:jc w:val="right"/>
              <w:textAlignment w:val="bottom"/>
            </w:pPr>
            <w:r>
              <w:rPr>
                <w:rFonts w:ascii="Arial" w:eastAsia="宋体" w:hAnsi="Arial" w:cs="Arial"/>
                <w:b/>
                <w:bCs/>
                <w:color w:val="000000"/>
                <w:sz w:val="13"/>
                <w:szCs w:val="13"/>
              </w:rPr>
              <w:t>14.7%</w:t>
            </w:r>
          </w:p>
        </w:tc>
        <w:tc>
          <w:tcPr>
            <w:tcW w:w="0" w:type="auto"/>
            <w:gridSpan w:val="3"/>
            <w:shd w:val="clear" w:color="auto" w:fill="FFFFFF"/>
            <w:tcMar>
              <w:top w:w="40" w:type="dxa"/>
              <w:left w:w="20" w:type="dxa"/>
              <w:bottom w:w="40" w:type="dxa"/>
              <w:right w:w="20" w:type="dxa"/>
            </w:tcMar>
            <w:vAlign w:val="bottom"/>
          </w:tcPr>
          <w:p w14:paraId="5F2D07B4" w14:textId="77777777" w:rsidR="00E836FB" w:rsidRDefault="00994958">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5F2D07B5" w14:textId="77777777" w:rsidR="00E836FB" w:rsidRDefault="00994958">
            <w:pPr>
              <w:textAlignment w:val="bottom"/>
            </w:pPr>
            <w:r>
              <w:rPr>
                <w:rFonts w:ascii="Arial" w:eastAsia="宋体" w:hAnsi="Arial" w:cs="Arial"/>
                <w:b/>
                <w:bCs/>
                <w:color w:val="000000"/>
                <w:sz w:val="13"/>
                <w:szCs w:val="13"/>
              </w:rPr>
              <w:t>14.7%</w:t>
            </w:r>
          </w:p>
        </w:tc>
        <w:tc>
          <w:tcPr>
            <w:tcW w:w="0" w:type="auto"/>
            <w:gridSpan w:val="3"/>
            <w:shd w:val="clear" w:color="auto" w:fill="FFFFFF"/>
            <w:tcMar>
              <w:top w:w="0" w:type="dxa"/>
              <w:left w:w="20" w:type="dxa"/>
              <w:bottom w:w="0" w:type="dxa"/>
              <w:right w:w="20" w:type="dxa"/>
            </w:tcMar>
            <w:vAlign w:val="bottom"/>
          </w:tcPr>
          <w:p w14:paraId="5F2D07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7B7" w14:textId="77777777" w:rsidR="00E836FB" w:rsidRDefault="00994958">
            <w:pPr>
              <w:jc w:val="right"/>
              <w:textAlignment w:val="bottom"/>
            </w:pPr>
            <w:r>
              <w:rPr>
                <w:rFonts w:ascii="Arial" w:eastAsia="宋体" w:hAnsi="Arial" w:cs="Arial"/>
                <w:b/>
                <w:bCs/>
                <w:color w:val="000000"/>
                <w:sz w:val="13"/>
                <w:szCs w:val="13"/>
              </w:rPr>
              <w:t>14.7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07B8" w14:textId="77777777" w:rsidR="00E836FB" w:rsidRDefault="00994958">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vAlign w:val="bottom"/>
          </w:tcPr>
          <w:p w14:paraId="5F2D07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7BA" w14:textId="77777777" w:rsidR="00E836FB" w:rsidRDefault="00994958">
            <w:pPr>
              <w:jc w:val="right"/>
              <w:textAlignment w:val="bottom"/>
            </w:pPr>
            <w:r>
              <w:rPr>
                <w:rFonts w:ascii="Arial" w:eastAsia="宋体" w:hAnsi="Arial" w:cs="Arial"/>
                <w:color w:val="000000"/>
                <w:sz w:val="13"/>
                <w:szCs w:val="13"/>
              </w:rPr>
              <w:t>7.7 </w:t>
            </w:r>
          </w:p>
        </w:tc>
        <w:tc>
          <w:tcPr>
            <w:tcW w:w="0" w:type="auto"/>
            <w:shd w:val="clear" w:color="auto" w:fill="FFFFFF"/>
            <w:tcMar>
              <w:top w:w="40" w:type="dxa"/>
              <w:left w:w="0" w:type="dxa"/>
              <w:bottom w:w="40" w:type="dxa"/>
              <w:right w:w="20" w:type="dxa"/>
            </w:tcMar>
            <w:vAlign w:val="bottom"/>
          </w:tcPr>
          <w:p w14:paraId="5F2D07BB" w14:textId="77777777" w:rsidR="00E836FB" w:rsidRDefault="00994958">
            <w:pPr>
              <w:jc w:val="right"/>
              <w:textAlignment w:val="bottom"/>
            </w:pPr>
            <w:r>
              <w:rPr>
                <w:rFonts w:ascii="Arial" w:eastAsia="宋体" w:hAnsi="Arial" w:cs="Arial"/>
                <w:color w:val="000000"/>
                <w:sz w:val="13"/>
                <w:szCs w:val="13"/>
              </w:rPr>
              <w:t>%</w:t>
            </w:r>
          </w:p>
        </w:tc>
      </w:tr>
      <w:tr w:rsidR="00E836FB" w14:paraId="5F2D07D1" w14:textId="77777777">
        <w:trPr>
          <w:jc w:val="center"/>
        </w:trPr>
        <w:tc>
          <w:tcPr>
            <w:tcW w:w="0" w:type="auto"/>
            <w:gridSpan w:val="3"/>
            <w:shd w:val="clear" w:color="auto" w:fill="CCEEFF"/>
            <w:tcMar>
              <w:top w:w="40" w:type="dxa"/>
              <w:left w:w="155" w:type="dxa"/>
              <w:bottom w:w="40" w:type="dxa"/>
              <w:right w:w="20" w:type="dxa"/>
            </w:tcMar>
            <w:vAlign w:val="bottom"/>
          </w:tcPr>
          <w:p w14:paraId="5F2D07BD" w14:textId="77777777" w:rsidR="00E836FB" w:rsidRDefault="00994958">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07BE"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07BF"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07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7C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07C2"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07C3" w14:textId="77777777" w:rsidR="00E836FB" w:rsidRDefault="00994958">
            <w:pPr>
              <w:jc w:val="right"/>
              <w:textAlignment w:val="bottom"/>
            </w:pPr>
            <w:r>
              <w:rPr>
                <w:rFonts w:ascii="Arial" w:eastAsia="宋体" w:hAnsi="Arial" w:cs="Arial"/>
                <w:color w:val="000000"/>
                <w:sz w:val="13"/>
                <w:szCs w:val="13"/>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07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7C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C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7D0" w14:textId="77777777" w:rsidR="00E836FB" w:rsidRDefault="00E836FB">
            <w:pPr>
              <w:rPr>
                <w:rFonts w:ascii="宋体"/>
              </w:rPr>
            </w:pPr>
          </w:p>
        </w:tc>
      </w:tr>
    </w:tbl>
    <w:p w14:paraId="5F2D07D2" w14:textId="77777777" w:rsidR="00E836FB" w:rsidRDefault="00E836FB">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E836FB" w14:paraId="5F2D07DF" w14:textId="77777777">
        <w:trPr>
          <w:jc w:val="center"/>
        </w:trPr>
        <w:tc>
          <w:tcPr>
            <w:tcW w:w="50" w:type="pct"/>
            <w:shd w:val="clear" w:color="auto" w:fill="auto"/>
            <w:vAlign w:val="bottom"/>
          </w:tcPr>
          <w:p w14:paraId="5F2D07D3" w14:textId="77777777" w:rsidR="00E836FB" w:rsidRDefault="00E836FB">
            <w:pPr>
              <w:rPr>
                <w:rFonts w:ascii="宋体"/>
              </w:rPr>
            </w:pPr>
          </w:p>
        </w:tc>
        <w:tc>
          <w:tcPr>
            <w:tcW w:w="1348" w:type="pct"/>
            <w:shd w:val="clear" w:color="auto" w:fill="auto"/>
            <w:vAlign w:val="bottom"/>
          </w:tcPr>
          <w:p w14:paraId="5F2D07D4" w14:textId="77777777" w:rsidR="00E836FB" w:rsidRDefault="00E836FB">
            <w:pPr>
              <w:rPr>
                <w:rFonts w:ascii="宋体"/>
              </w:rPr>
            </w:pPr>
          </w:p>
        </w:tc>
        <w:tc>
          <w:tcPr>
            <w:tcW w:w="5" w:type="pct"/>
            <w:shd w:val="clear" w:color="auto" w:fill="auto"/>
            <w:vAlign w:val="bottom"/>
          </w:tcPr>
          <w:p w14:paraId="5F2D07D5" w14:textId="77777777" w:rsidR="00E836FB" w:rsidRDefault="00E836FB">
            <w:pPr>
              <w:rPr>
                <w:rFonts w:ascii="宋体"/>
              </w:rPr>
            </w:pPr>
          </w:p>
        </w:tc>
        <w:tc>
          <w:tcPr>
            <w:tcW w:w="50" w:type="pct"/>
            <w:shd w:val="clear" w:color="auto" w:fill="auto"/>
            <w:vAlign w:val="bottom"/>
          </w:tcPr>
          <w:p w14:paraId="5F2D07D6" w14:textId="77777777" w:rsidR="00E836FB" w:rsidRDefault="00E836FB">
            <w:pPr>
              <w:rPr>
                <w:rFonts w:ascii="宋体"/>
              </w:rPr>
            </w:pPr>
          </w:p>
        </w:tc>
        <w:tc>
          <w:tcPr>
            <w:tcW w:w="668" w:type="pct"/>
            <w:shd w:val="clear" w:color="auto" w:fill="auto"/>
            <w:vAlign w:val="bottom"/>
          </w:tcPr>
          <w:p w14:paraId="5F2D07D7" w14:textId="77777777" w:rsidR="00E836FB" w:rsidRDefault="00E836FB">
            <w:pPr>
              <w:rPr>
                <w:rFonts w:ascii="宋体"/>
              </w:rPr>
            </w:pPr>
          </w:p>
        </w:tc>
        <w:tc>
          <w:tcPr>
            <w:tcW w:w="5" w:type="pct"/>
            <w:shd w:val="clear" w:color="auto" w:fill="auto"/>
            <w:vAlign w:val="bottom"/>
          </w:tcPr>
          <w:p w14:paraId="5F2D07D8" w14:textId="77777777" w:rsidR="00E836FB" w:rsidRDefault="00E836FB">
            <w:pPr>
              <w:rPr>
                <w:rFonts w:ascii="宋体"/>
              </w:rPr>
            </w:pPr>
          </w:p>
        </w:tc>
        <w:tc>
          <w:tcPr>
            <w:tcW w:w="50" w:type="pct"/>
            <w:shd w:val="clear" w:color="auto" w:fill="auto"/>
            <w:vAlign w:val="bottom"/>
          </w:tcPr>
          <w:p w14:paraId="5F2D07D9" w14:textId="77777777" w:rsidR="00E836FB" w:rsidRDefault="00E836FB">
            <w:pPr>
              <w:rPr>
                <w:rFonts w:ascii="宋体"/>
              </w:rPr>
            </w:pPr>
          </w:p>
        </w:tc>
        <w:tc>
          <w:tcPr>
            <w:tcW w:w="909" w:type="pct"/>
            <w:shd w:val="clear" w:color="auto" w:fill="auto"/>
            <w:vAlign w:val="bottom"/>
          </w:tcPr>
          <w:p w14:paraId="5F2D07DA" w14:textId="77777777" w:rsidR="00E836FB" w:rsidRDefault="00E836FB">
            <w:pPr>
              <w:rPr>
                <w:rFonts w:ascii="宋体"/>
              </w:rPr>
            </w:pPr>
          </w:p>
        </w:tc>
        <w:tc>
          <w:tcPr>
            <w:tcW w:w="5" w:type="pct"/>
            <w:shd w:val="clear" w:color="auto" w:fill="auto"/>
            <w:vAlign w:val="bottom"/>
          </w:tcPr>
          <w:p w14:paraId="5F2D07DB" w14:textId="77777777" w:rsidR="00E836FB" w:rsidRDefault="00E836FB">
            <w:pPr>
              <w:rPr>
                <w:rFonts w:ascii="宋体"/>
              </w:rPr>
            </w:pPr>
          </w:p>
        </w:tc>
        <w:tc>
          <w:tcPr>
            <w:tcW w:w="50" w:type="pct"/>
            <w:shd w:val="clear" w:color="auto" w:fill="auto"/>
            <w:vAlign w:val="bottom"/>
          </w:tcPr>
          <w:p w14:paraId="5F2D07DC" w14:textId="77777777" w:rsidR="00E836FB" w:rsidRDefault="00E836FB">
            <w:pPr>
              <w:rPr>
                <w:rFonts w:ascii="宋体"/>
              </w:rPr>
            </w:pPr>
          </w:p>
        </w:tc>
        <w:tc>
          <w:tcPr>
            <w:tcW w:w="1852" w:type="pct"/>
            <w:shd w:val="clear" w:color="auto" w:fill="auto"/>
            <w:vAlign w:val="bottom"/>
          </w:tcPr>
          <w:p w14:paraId="5F2D07DD" w14:textId="77777777" w:rsidR="00E836FB" w:rsidRDefault="00E836FB">
            <w:pPr>
              <w:rPr>
                <w:rFonts w:ascii="宋体"/>
              </w:rPr>
            </w:pPr>
          </w:p>
        </w:tc>
        <w:tc>
          <w:tcPr>
            <w:tcW w:w="5" w:type="pct"/>
            <w:shd w:val="clear" w:color="auto" w:fill="auto"/>
            <w:vAlign w:val="bottom"/>
          </w:tcPr>
          <w:p w14:paraId="5F2D07DE" w14:textId="77777777" w:rsidR="00E836FB" w:rsidRDefault="00E836FB">
            <w:pPr>
              <w:rPr>
                <w:rFonts w:ascii="宋体"/>
              </w:rPr>
            </w:pPr>
          </w:p>
        </w:tc>
      </w:tr>
      <w:tr w:rsidR="00E836FB" w14:paraId="5F2D07E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07E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E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E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7E3" w14:textId="77777777" w:rsidR="00E836FB" w:rsidRDefault="00E836FB">
            <w:pPr>
              <w:rPr>
                <w:rFonts w:ascii="宋体"/>
              </w:rPr>
            </w:pPr>
          </w:p>
        </w:tc>
      </w:tr>
    </w:tbl>
    <w:p w14:paraId="5F2D07E5" w14:textId="77777777" w:rsidR="00E836FB" w:rsidRDefault="00994958">
      <w:pPr>
        <w:spacing w:after="12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5F2D07E6" w14:textId="77777777" w:rsidR="00E836FB" w:rsidRDefault="00994958">
      <w:pPr>
        <w:spacing w:before="60"/>
      </w:pPr>
      <w:r>
        <w:rPr>
          <w:rFonts w:ascii="Arial" w:eastAsia="宋体" w:hAnsi="Arial" w:cs="Arial"/>
          <w:b/>
          <w:bCs/>
          <w:i/>
          <w:iCs/>
          <w:color w:val="000000"/>
          <w:sz w:val="20"/>
          <w:szCs w:val="20"/>
        </w:rPr>
        <w:t xml:space="preserve">Financial </w:t>
      </w:r>
      <w:r>
        <w:rPr>
          <w:rFonts w:ascii="Arial" w:eastAsia="宋体" w:hAnsi="Arial" w:cs="Arial"/>
          <w:b/>
          <w:bCs/>
          <w:i/>
          <w:iCs/>
          <w:color w:val="000000"/>
          <w:sz w:val="20"/>
          <w:szCs w:val="20"/>
        </w:rPr>
        <w:t>Instruments Not Carried at Fair Value</w:t>
      </w:r>
    </w:p>
    <w:p w14:paraId="5F2D07E7" w14:textId="77777777" w:rsidR="00E836FB" w:rsidRDefault="00994958">
      <w:pPr>
        <w:spacing w:before="60"/>
        <w:ind w:firstLine="450"/>
        <w:jc w:val="both"/>
      </w:pPr>
      <w:r>
        <w:rPr>
          <w:rFonts w:ascii="Arial" w:eastAsia="宋体" w:hAnsi="Arial" w:cs="Arial"/>
          <w:color w:val="000000"/>
          <w:sz w:val="20"/>
          <w:szCs w:val="20"/>
        </w:rPr>
        <w:t xml:space="preserve">Estimates of fair value for financial instruments not carried at fair value in our consolidated statement of condition are generally subjective in nature, and are determined as of a specific point in time based on the </w:t>
      </w:r>
      <w:r>
        <w:rPr>
          <w:rFonts w:ascii="Arial" w:eastAsia="宋体" w:hAnsi="Arial" w:cs="Arial"/>
          <w:color w:val="000000"/>
          <w:sz w:val="20"/>
          <w:szCs w:val="20"/>
        </w:rPr>
        <w:t>characteristics of the financial instruments and relevant market information. Disclosure of fair value estimates is not required by U.S. GAAP for certain items, such as lease financing, equity- method investments, obligations for pension and other post-ret</w:t>
      </w:r>
      <w:r>
        <w:rPr>
          <w:rFonts w:ascii="Arial" w:eastAsia="宋体" w:hAnsi="Arial" w:cs="Arial"/>
          <w:color w:val="000000"/>
          <w:sz w:val="20"/>
          <w:szCs w:val="20"/>
        </w:rPr>
        <w:t>irement plans, premises and equipment, other intangible assets and income-tax assets and liabilities. Accordingly, aggregate fair-value estimates presented do not purport to represent, and should not be considered representative of, our underlying “market”</w:t>
      </w:r>
      <w:r>
        <w:rPr>
          <w:rFonts w:ascii="Arial" w:eastAsia="宋体" w:hAnsi="Arial" w:cs="Arial"/>
          <w:color w:val="000000"/>
          <w:sz w:val="20"/>
          <w:szCs w:val="20"/>
        </w:rPr>
        <w:t xml:space="preserve"> or franchise value. In addition, because of potential differences in methodologies and assumptions used to estimate fair values, our estimates of fair value should not be compared to those of other financial institutions.</w:t>
      </w:r>
    </w:p>
    <w:p w14:paraId="5F2D07E8" w14:textId="77777777" w:rsidR="00E836FB" w:rsidRDefault="00994958">
      <w:pPr>
        <w:spacing w:before="60"/>
        <w:ind w:firstLine="450"/>
        <w:jc w:val="both"/>
      </w:pPr>
      <w:r>
        <w:rPr>
          <w:rFonts w:ascii="Arial" w:eastAsia="宋体" w:hAnsi="Arial" w:cs="Arial"/>
          <w:color w:val="000000"/>
          <w:sz w:val="20"/>
          <w:szCs w:val="20"/>
        </w:rPr>
        <w:t>We use the following methods to e</w:t>
      </w:r>
      <w:r>
        <w:rPr>
          <w:rFonts w:ascii="Arial" w:eastAsia="宋体" w:hAnsi="Arial" w:cs="Arial"/>
          <w:color w:val="000000"/>
          <w:sz w:val="20"/>
          <w:szCs w:val="20"/>
        </w:rPr>
        <w:t>stimate the fair values of our financial instruments:</w:t>
      </w:r>
    </w:p>
    <w:p w14:paraId="5F2D07E9" w14:textId="77777777" w:rsidR="00E836FB" w:rsidRDefault="00994958">
      <w:pPr>
        <w:spacing w:before="60"/>
        <w:ind w:hanging="360"/>
        <w:jc w:val="both"/>
      </w:pPr>
      <w:r>
        <w:rPr>
          <w:rFonts w:ascii="Arial" w:eastAsia="宋体" w:hAnsi="Arial" w:cs="Arial"/>
          <w:color w:val="000000"/>
          <w:sz w:val="20"/>
          <w:szCs w:val="20"/>
        </w:rPr>
        <w:t>•For financial instruments that have quoted market prices, those quoted prices are used to estimate fair value;</w:t>
      </w:r>
    </w:p>
    <w:p w14:paraId="5F2D07EA" w14:textId="77777777" w:rsidR="00E836FB" w:rsidRDefault="00994958">
      <w:pPr>
        <w:spacing w:before="60"/>
        <w:ind w:hanging="360"/>
        <w:jc w:val="both"/>
      </w:pPr>
      <w:r>
        <w:rPr>
          <w:rFonts w:ascii="Arial" w:eastAsia="宋体" w:hAnsi="Arial" w:cs="Arial"/>
          <w:color w:val="000000"/>
          <w:sz w:val="20"/>
          <w:szCs w:val="20"/>
        </w:rPr>
        <w:t>•For financial instruments that have no defined maturity, have a remaining maturity of 180</w:t>
      </w:r>
      <w:r>
        <w:rPr>
          <w:rFonts w:ascii="Arial" w:eastAsia="宋体" w:hAnsi="Arial" w:cs="Arial"/>
          <w:color w:val="000000"/>
          <w:sz w:val="20"/>
          <w:szCs w:val="20"/>
        </w:rPr>
        <w:t xml:space="preserve"> days or less, or reprice frequently to a market rate, we assume that the fair value of these instruments approximates their reported value, after taking into consideration any applicable credit risk; and</w:t>
      </w:r>
    </w:p>
    <w:p w14:paraId="5F2D07EB" w14:textId="77777777" w:rsidR="00E836FB" w:rsidRDefault="00994958">
      <w:pPr>
        <w:spacing w:before="60"/>
        <w:ind w:hanging="360"/>
        <w:jc w:val="both"/>
      </w:pPr>
      <w:r>
        <w:rPr>
          <w:rFonts w:ascii="Arial" w:eastAsia="宋体" w:hAnsi="Arial" w:cs="Arial"/>
          <w:color w:val="000000"/>
          <w:sz w:val="20"/>
          <w:szCs w:val="20"/>
        </w:rPr>
        <w:t>•For financial instruments for which no quoted mark</w:t>
      </w:r>
      <w:r>
        <w:rPr>
          <w:rFonts w:ascii="Arial" w:eastAsia="宋体" w:hAnsi="Arial" w:cs="Arial"/>
          <w:color w:val="000000"/>
          <w:sz w:val="20"/>
          <w:szCs w:val="20"/>
        </w:rPr>
        <w:t>et prices are available, fair value is estimated using information obtained from independent third parties, or by discounting the expected cash flows using an estimated current market interest rate for the financial instrument.</w:t>
      </w:r>
    </w:p>
    <w:p w14:paraId="5F2D07EC" w14:textId="77777777" w:rsidR="00E836FB" w:rsidRDefault="00994958">
      <w:pPr>
        <w:spacing w:before="60"/>
        <w:ind w:firstLine="450"/>
        <w:jc w:val="both"/>
      </w:pPr>
      <w:r>
        <w:rPr>
          <w:rFonts w:ascii="Arial" w:eastAsia="宋体" w:hAnsi="Arial" w:cs="Arial"/>
          <w:color w:val="000000"/>
          <w:sz w:val="20"/>
          <w:szCs w:val="20"/>
        </w:rPr>
        <w:t>The generally short duration</w:t>
      </w:r>
      <w:r>
        <w:rPr>
          <w:rFonts w:ascii="Arial" w:eastAsia="宋体" w:hAnsi="Arial" w:cs="Arial"/>
          <w:color w:val="000000"/>
          <w:sz w:val="20"/>
          <w:szCs w:val="20"/>
        </w:rPr>
        <w:t xml:space="preserve"> of certain of our assets and liabilities results in a significant number of financial instruments for which fair value equals or closely approximates the amount recorded in our consolidated statement of condition. These financial instruments are reported </w:t>
      </w:r>
      <w:r>
        <w:rPr>
          <w:rFonts w:ascii="Arial" w:eastAsia="宋体" w:hAnsi="Arial" w:cs="Arial"/>
          <w:color w:val="000000"/>
          <w:sz w:val="20"/>
          <w:szCs w:val="20"/>
        </w:rPr>
        <w:t>in the following captions in our consolidated statement of condition: cash and due from banks; interest-bearing deposits with banks; securities purchased under resale agreements; accrued interest and fees receivable; deposits; securities sold under repurch</w:t>
      </w:r>
      <w:r>
        <w:rPr>
          <w:rFonts w:ascii="Arial" w:eastAsia="宋体" w:hAnsi="Arial" w:cs="Arial"/>
          <w:color w:val="000000"/>
          <w:sz w:val="20"/>
          <w:szCs w:val="20"/>
        </w:rPr>
        <w:t>ase agreements; and other short-term borrowings.</w:t>
      </w:r>
    </w:p>
    <w:p w14:paraId="5F2D07ED" w14:textId="77777777" w:rsidR="00E836FB" w:rsidRDefault="00994958">
      <w:pPr>
        <w:spacing w:before="60"/>
        <w:ind w:firstLine="450"/>
        <w:jc w:val="both"/>
      </w:pPr>
      <w:r>
        <w:rPr>
          <w:rFonts w:ascii="Arial" w:eastAsia="宋体" w:hAnsi="Arial" w:cs="Arial"/>
          <w:color w:val="000000"/>
          <w:sz w:val="20"/>
          <w:szCs w:val="20"/>
        </w:rPr>
        <w:t>In addition, due to the relatively short duration of certain of our loans, we consider fair value for these loans to approximate their reported value. The fair value of other types of loans, such as leverage</w:t>
      </w:r>
      <w:r>
        <w:rPr>
          <w:rFonts w:ascii="Arial" w:eastAsia="宋体" w:hAnsi="Arial" w:cs="Arial"/>
          <w:color w:val="000000"/>
          <w:sz w:val="20"/>
          <w:szCs w:val="20"/>
        </w:rPr>
        <w:t>d loans, commercial real estate loans, purchased receivables and municipal loans is estimated using information obtained from independent third parties or by discounting expected future cash flows using current rates at which similar loans would be made to</w:t>
      </w:r>
      <w:r>
        <w:rPr>
          <w:rFonts w:ascii="Arial" w:eastAsia="宋体" w:hAnsi="Arial" w:cs="Arial"/>
          <w:color w:val="000000"/>
          <w:sz w:val="20"/>
          <w:szCs w:val="20"/>
        </w:rPr>
        <w:t xml:space="preserve"> borrowers with similar credit ratings for the same remaining maturities. Commitments to lend have no reported value because their terms are at prevailing market rates.</w:t>
      </w:r>
    </w:p>
    <w:p w14:paraId="5F2D07EE" w14:textId="77777777" w:rsidR="00E836FB" w:rsidRDefault="00994958">
      <w:pPr>
        <w:ind w:firstLine="450"/>
        <w:jc w:val="right"/>
      </w:pPr>
      <w:r>
        <w:rPr>
          <w:rFonts w:ascii="Arial" w:eastAsia="宋体" w:hAnsi="Arial" w:cs="Arial"/>
          <w:color w:val="000000"/>
          <w:sz w:val="18"/>
          <w:szCs w:val="18"/>
        </w:rPr>
        <w:t>State Street Corporation | 142</w:t>
      </w:r>
    </w:p>
    <w:p w14:paraId="5F2D07EF" w14:textId="77777777" w:rsidR="00E836FB" w:rsidRDefault="00E836FB">
      <w:pPr>
        <w:ind w:firstLine="450"/>
        <w:jc w:val="center"/>
      </w:pPr>
    </w:p>
    <w:p w14:paraId="5F2D07F0" w14:textId="77777777" w:rsidR="00E836FB" w:rsidRDefault="00994958">
      <w:r>
        <w:pict w14:anchorId="5F2D6E13">
          <v:rect id="_x0000_i1166" style="width:415.3pt;height:1.5pt" o:hralign="center" o:hrstd="t" o:hr="t" fillcolor="#a0a0a0" stroked="f"/>
        </w:pict>
      </w:r>
    </w:p>
    <w:p w14:paraId="5F2D07F1" w14:textId="77777777" w:rsidR="00E836FB" w:rsidRDefault="00994958">
      <w:pPr>
        <w:ind w:firstLine="450"/>
        <w:jc w:val="center"/>
      </w:pPr>
      <w:r>
        <w:rPr>
          <w:rFonts w:ascii="Arial" w:eastAsia="宋体" w:hAnsi="Arial" w:cs="Arial"/>
          <w:b/>
          <w:bCs/>
          <w:color w:val="000000"/>
          <w:sz w:val="20"/>
          <w:szCs w:val="20"/>
        </w:rPr>
        <w:t>STATE STREET CORPORATION</w:t>
      </w:r>
    </w:p>
    <w:p w14:paraId="5F2D07F2" w14:textId="77777777" w:rsidR="00E836FB" w:rsidRDefault="00994958">
      <w:pPr>
        <w:ind w:firstLine="45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CONSOLIDATED FINANCIAL STATEMENTS</w:t>
      </w:r>
    </w:p>
    <w:p w14:paraId="5F2D07F3" w14:textId="77777777" w:rsidR="00E836FB" w:rsidRDefault="00994958">
      <w:pPr>
        <w:spacing w:before="60"/>
        <w:ind w:firstLine="450"/>
        <w:jc w:val="both"/>
      </w:pPr>
      <w:r>
        <w:rPr>
          <w:rFonts w:ascii="Arial" w:eastAsia="宋体" w:hAnsi="Arial" w:cs="Arial"/>
          <w:color w:val="000000"/>
          <w:sz w:val="20"/>
          <w:szCs w:val="20"/>
        </w:rPr>
        <w:t>The following tables present the reported amounts and estimated fair values of the financial assets and liabilities not carried at fair value, as they would be categorized within the fair value hierarchy, as of the dates i</w:t>
      </w:r>
      <w:r>
        <w:rPr>
          <w:rFonts w:ascii="Arial" w:eastAsia="宋体" w:hAnsi="Arial" w:cs="Arial"/>
          <w:color w:val="000000"/>
          <w:sz w:val="20"/>
          <w:szCs w:val="20"/>
        </w:rPr>
        <w:t>ndicated:</w:t>
      </w:r>
    </w:p>
    <w:tbl>
      <w:tblPr>
        <w:tblW w:w="4985" w:type="pct"/>
        <w:tblCellMar>
          <w:top w:w="15" w:type="dxa"/>
          <w:left w:w="15" w:type="dxa"/>
          <w:bottom w:w="15" w:type="dxa"/>
          <w:right w:w="15" w:type="dxa"/>
        </w:tblCellMar>
        <w:tblLook w:val="04A0" w:firstRow="1" w:lastRow="0" w:firstColumn="1" w:lastColumn="0" w:noHBand="0" w:noVBand="1"/>
      </w:tblPr>
      <w:tblGrid>
        <w:gridCol w:w="48"/>
        <w:gridCol w:w="2247"/>
        <w:gridCol w:w="39"/>
        <w:gridCol w:w="99"/>
        <w:gridCol w:w="678"/>
        <w:gridCol w:w="36"/>
        <w:gridCol w:w="36"/>
        <w:gridCol w:w="36"/>
        <w:gridCol w:w="36"/>
        <w:gridCol w:w="99"/>
        <w:gridCol w:w="636"/>
        <w:gridCol w:w="36"/>
        <w:gridCol w:w="36"/>
        <w:gridCol w:w="36"/>
        <w:gridCol w:w="36"/>
        <w:gridCol w:w="99"/>
        <w:gridCol w:w="1004"/>
        <w:gridCol w:w="36"/>
        <w:gridCol w:w="36"/>
        <w:gridCol w:w="36"/>
        <w:gridCol w:w="36"/>
        <w:gridCol w:w="99"/>
        <w:gridCol w:w="1200"/>
        <w:gridCol w:w="36"/>
        <w:gridCol w:w="36"/>
        <w:gridCol w:w="36"/>
        <w:gridCol w:w="36"/>
        <w:gridCol w:w="99"/>
        <w:gridCol w:w="1352"/>
        <w:gridCol w:w="36"/>
      </w:tblGrid>
      <w:tr w:rsidR="00E836FB" w14:paraId="5F2D0812" w14:textId="77777777">
        <w:tc>
          <w:tcPr>
            <w:tcW w:w="50" w:type="pct"/>
            <w:shd w:val="clear" w:color="auto" w:fill="auto"/>
            <w:vAlign w:val="bottom"/>
          </w:tcPr>
          <w:p w14:paraId="5F2D07F4" w14:textId="77777777" w:rsidR="00E836FB" w:rsidRDefault="00E836FB">
            <w:pPr>
              <w:rPr>
                <w:rFonts w:ascii="宋体"/>
              </w:rPr>
            </w:pPr>
          </w:p>
        </w:tc>
        <w:tc>
          <w:tcPr>
            <w:tcW w:w="1447" w:type="pct"/>
            <w:shd w:val="clear" w:color="auto" w:fill="auto"/>
            <w:vAlign w:val="bottom"/>
          </w:tcPr>
          <w:p w14:paraId="5F2D07F5" w14:textId="77777777" w:rsidR="00E836FB" w:rsidRDefault="00E836FB">
            <w:pPr>
              <w:rPr>
                <w:rFonts w:ascii="宋体"/>
              </w:rPr>
            </w:pPr>
          </w:p>
        </w:tc>
        <w:tc>
          <w:tcPr>
            <w:tcW w:w="5" w:type="pct"/>
            <w:shd w:val="clear" w:color="auto" w:fill="auto"/>
            <w:vAlign w:val="bottom"/>
          </w:tcPr>
          <w:p w14:paraId="5F2D07F6" w14:textId="77777777" w:rsidR="00E836FB" w:rsidRDefault="00E836FB">
            <w:pPr>
              <w:rPr>
                <w:rFonts w:ascii="宋体"/>
              </w:rPr>
            </w:pPr>
          </w:p>
        </w:tc>
        <w:tc>
          <w:tcPr>
            <w:tcW w:w="50" w:type="pct"/>
            <w:shd w:val="clear" w:color="auto" w:fill="auto"/>
            <w:vAlign w:val="bottom"/>
          </w:tcPr>
          <w:p w14:paraId="5F2D07F7" w14:textId="77777777" w:rsidR="00E836FB" w:rsidRDefault="00E836FB">
            <w:pPr>
              <w:rPr>
                <w:rFonts w:ascii="宋体"/>
              </w:rPr>
            </w:pPr>
          </w:p>
        </w:tc>
        <w:tc>
          <w:tcPr>
            <w:tcW w:w="480" w:type="pct"/>
            <w:shd w:val="clear" w:color="auto" w:fill="auto"/>
            <w:vAlign w:val="bottom"/>
          </w:tcPr>
          <w:p w14:paraId="5F2D07F8" w14:textId="77777777" w:rsidR="00E836FB" w:rsidRDefault="00E836FB">
            <w:pPr>
              <w:rPr>
                <w:rFonts w:ascii="宋体"/>
              </w:rPr>
            </w:pPr>
          </w:p>
        </w:tc>
        <w:tc>
          <w:tcPr>
            <w:tcW w:w="5" w:type="pct"/>
            <w:shd w:val="clear" w:color="auto" w:fill="auto"/>
            <w:vAlign w:val="bottom"/>
          </w:tcPr>
          <w:p w14:paraId="5F2D07F9" w14:textId="77777777" w:rsidR="00E836FB" w:rsidRDefault="00E836FB">
            <w:pPr>
              <w:rPr>
                <w:rFonts w:ascii="宋体"/>
              </w:rPr>
            </w:pPr>
          </w:p>
        </w:tc>
        <w:tc>
          <w:tcPr>
            <w:tcW w:w="5" w:type="pct"/>
            <w:shd w:val="clear" w:color="auto" w:fill="auto"/>
            <w:vAlign w:val="bottom"/>
          </w:tcPr>
          <w:p w14:paraId="5F2D07FA" w14:textId="77777777" w:rsidR="00E836FB" w:rsidRDefault="00E836FB">
            <w:pPr>
              <w:rPr>
                <w:rFonts w:ascii="宋体"/>
              </w:rPr>
            </w:pPr>
          </w:p>
        </w:tc>
        <w:tc>
          <w:tcPr>
            <w:tcW w:w="26" w:type="pct"/>
            <w:shd w:val="clear" w:color="auto" w:fill="auto"/>
            <w:vAlign w:val="bottom"/>
          </w:tcPr>
          <w:p w14:paraId="5F2D07FB" w14:textId="77777777" w:rsidR="00E836FB" w:rsidRDefault="00E836FB">
            <w:pPr>
              <w:rPr>
                <w:rFonts w:ascii="宋体"/>
              </w:rPr>
            </w:pPr>
          </w:p>
        </w:tc>
        <w:tc>
          <w:tcPr>
            <w:tcW w:w="5" w:type="pct"/>
            <w:shd w:val="clear" w:color="auto" w:fill="auto"/>
            <w:vAlign w:val="bottom"/>
          </w:tcPr>
          <w:p w14:paraId="5F2D07FC" w14:textId="77777777" w:rsidR="00E836FB" w:rsidRDefault="00E836FB">
            <w:pPr>
              <w:rPr>
                <w:rFonts w:ascii="宋体"/>
              </w:rPr>
            </w:pPr>
          </w:p>
        </w:tc>
        <w:tc>
          <w:tcPr>
            <w:tcW w:w="50" w:type="pct"/>
            <w:shd w:val="clear" w:color="auto" w:fill="auto"/>
            <w:vAlign w:val="bottom"/>
          </w:tcPr>
          <w:p w14:paraId="5F2D07FD" w14:textId="77777777" w:rsidR="00E836FB" w:rsidRDefault="00E836FB">
            <w:pPr>
              <w:rPr>
                <w:rFonts w:ascii="宋体"/>
              </w:rPr>
            </w:pPr>
          </w:p>
        </w:tc>
        <w:tc>
          <w:tcPr>
            <w:tcW w:w="472" w:type="pct"/>
            <w:shd w:val="clear" w:color="auto" w:fill="auto"/>
            <w:vAlign w:val="bottom"/>
          </w:tcPr>
          <w:p w14:paraId="5F2D07FE" w14:textId="77777777" w:rsidR="00E836FB" w:rsidRDefault="00E836FB">
            <w:pPr>
              <w:rPr>
                <w:rFonts w:ascii="宋体"/>
              </w:rPr>
            </w:pPr>
          </w:p>
        </w:tc>
        <w:tc>
          <w:tcPr>
            <w:tcW w:w="5" w:type="pct"/>
            <w:shd w:val="clear" w:color="auto" w:fill="auto"/>
            <w:vAlign w:val="bottom"/>
          </w:tcPr>
          <w:p w14:paraId="5F2D07FF" w14:textId="77777777" w:rsidR="00E836FB" w:rsidRDefault="00E836FB">
            <w:pPr>
              <w:rPr>
                <w:rFonts w:ascii="宋体"/>
              </w:rPr>
            </w:pPr>
          </w:p>
        </w:tc>
        <w:tc>
          <w:tcPr>
            <w:tcW w:w="5" w:type="pct"/>
            <w:shd w:val="clear" w:color="auto" w:fill="auto"/>
            <w:vAlign w:val="bottom"/>
          </w:tcPr>
          <w:p w14:paraId="5F2D0800" w14:textId="77777777" w:rsidR="00E836FB" w:rsidRDefault="00E836FB">
            <w:pPr>
              <w:rPr>
                <w:rFonts w:ascii="宋体"/>
              </w:rPr>
            </w:pPr>
          </w:p>
        </w:tc>
        <w:tc>
          <w:tcPr>
            <w:tcW w:w="26" w:type="pct"/>
            <w:shd w:val="clear" w:color="auto" w:fill="auto"/>
            <w:vAlign w:val="bottom"/>
          </w:tcPr>
          <w:p w14:paraId="5F2D0801" w14:textId="77777777" w:rsidR="00E836FB" w:rsidRDefault="00E836FB">
            <w:pPr>
              <w:rPr>
                <w:rFonts w:ascii="宋体"/>
              </w:rPr>
            </w:pPr>
          </w:p>
        </w:tc>
        <w:tc>
          <w:tcPr>
            <w:tcW w:w="5" w:type="pct"/>
            <w:shd w:val="clear" w:color="auto" w:fill="auto"/>
            <w:vAlign w:val="bottom"/>
          </w:tcPr>
          <w:p w14:paraId="5F2D0802" w14:textId="77777777" w:rsidR="00E836FB" w:rsidRDefault="00E836FB">
            <w:pPr>
              <w:rPr>
                <w:rFonts w:ascii="宋体"/>
              </w:rPr>
            </w:pPr>
          </w:p>
        </w:tc>
        <w:tc>
          <w:tcPr>
            <w:tcW w:w="50" w:type="pct"/>
            <w:shd w:val="clear" w:color="auto" w:fill="auto"/>
            <w:vAlign w:val="bottom"/>
          </w:tcPr>
          <w:p w14:paraId="5F2D0803" w14:textId="77777777" w:rsidR="00E836FB" w:rsidRDefault="00E836FB">
            <w:pPr>
              <w:rPr>
                <w:rFonts w:ascii="宋体"/>
              </w:rPr>
            </w:pPr>
          </w:p>
        </w:tc>
        <w:tc>
          <w:tcPr>
            <w:tcW w:w="707" w:type="pct"/>
            <w:shd w:val="clear" w:color="auto" w:fill="auto"/>
            <w:vAlign w:val="bottom"/>
          </w:tcPr>
          <w:p w14:paraId="5F2D0804" w14:textId="77777777" w:rsidR="00E836FB" w:rsidRDefault="00E836FB">
            <w:pPr>
              <w:rPr>
                <w:rFonts w:ascii="宋体"/>
              </w:rPr>
            </w:pPr>
          </w:p>
        </w:tc>
        <w:tc>
          <w:tcPr>
            <w:tcW w:w="5" w:type="pct"/>
            <w:shd w:val="clear" w:color="auto" w:fill="auto"/>
            <w:vAlign w:val="bottom"/>
          </w:tcPr>
          <w:p w14:paraId="5F2D0805" w14:textId="77777777" w:rsidR="00E836FB" w:rsidRDefault="00E836FB">
            <w:pPr>
              <w:rPr>
                <w:rFonts w:ascii="宋体"/>
              </w:rPr>
            </w:pPr>
          </w:p>
        </w:tc>
        <w:tc>
          <w:tcPr>
            <w:tcW w:w="5" w:type="pct"/>
            <w:shd w:val="clear" w:color="auto" w:fill="auto"/>
            <w:vAlign w:val="bottom"/>
          </w:tcPr>
          <w:p w14:paraId="5F2D0806" w14:textId="77777777" w:rsidR="00E836FB" w:rsidRDefault="00E836FB">
            <w:pPr>
              <w:rPr>
                <w:rFonts w:ascii="宋体"/>
              </w:rPr>
            </w:pPr>
          </w:p>
        </w:tc>
        <w:tc>
          <w:tcPr>
            <w:tcW w:w="26" w:type="pct"/>
            <w:shd w:val="clear" w:color="auto" w:fill="auto"/>
            <w:vAlign w:val="bottom"/>
          </w:tcPr>
          <w:p w14:paraId="5F2D0807" w14:textId="77777777" w:rsidR="00E836FB" w:rsidRDefault="00E836FB">
            <w:pPr>
              <w:rPr>
                <w:rFonts w:ascii="宋体"/>
              </w:rPr>
            </w:pPr>
          </w:p>
        </w:tc>
        <w:tc>
          <w:tcPr>
            <w:tcW w:w="5" w:type="pct"/>
            <w:shd w:val="clear" w:color="auto" w:fill="auto"/>
            <w:vAlign w:val="bottom"/>
          </w:tcPr>
          <w:p w14:paraId="5F2D0808" w14:textId="77777777" w:rsidR="00E836FB" w:rsidRDefault="00E836FB">
            <w:pPr>
              <w:rPr>
                <w:rFonts w:ascii="宋体"/>
              </w:rPr>
            </w:pPr>
          </w:p>
        </w:tc>
        <w:tc>
          <w:tcPr>
            <w:tcW w:w="50" w:type="pct"/>
            <w:shd w:val="clear" w:color="auto" w:fill="auto"/>
            <w:vAlign w:val="bottom"/>
          </w:tcPr>
          <w:p w14:paraId="5F2D0809" w14:textId="77777777" w:rsidR="00E836FB" w:rsidRDefault="00E836FB">
            <w:pPr>
              <w:rPr>
                <w:rFonts w:ascii="宋体"/>
              </w:rPr>
            </w:pPr>
          </w:p>
        </w:tc>
        <w:tc>
          <w:tcPr>
            <w:tcW w:w="707" w:type="pct"/>
            <w:shd w:val="clear" w:color="auto" w:fill="auto"/>
            <w:vAlign w:val="bottom"/>
          </w:tcPr>
          <w:p w14:paraId="5F2D080A" w14:textId="77777777" w:rsidR="00E836FB" w:rsidRDefault="00E836FB">
            <w:pPr>
              <w:rPr>
                <w:rFonts w:ascii="宋体"/>
              </w:rPr>
            </w:pPr>
          </w:p>
        </w:tc>
        <w:tc>
          <w:tcPr>
            <w:tcW w:w="5" w:type="pct"/>
            <w:shd w:val="clear" w:color="auto" w:fill="auto"/>
            <w:vAlign w:val="bottom"/>
          </w:tcPr>
          <w:p w14:paraId="5F2D080B" w14:textId="77777777" w:rsidR="00E836FB" w:rsidRDefault="00E836FB">
            <w:pPr>
              <w:rPr>
                <w:rFonts w:ascii="宋体"/>
              </w:rPr>
            </w:pPr>
          </w:p>
        </w:tc>
        <w:tc>
          <w:tcPr>
            <w:tcW w:w="5" w:type="pct"/>
            <w:shd w:val="clear" w:color="auto" w:fill="auto"/>
            <w:vAlign w:val="bottom"/>
          </w:tcPr>
          <w:p w14:paraId="5F2D080C" w14:textId="77777777" w:rsidR="00E836FB" w:rsidRDefault="00E836FB">
            <w:pPr>
              <w:rPr>
                <w:rFonts w:ascii="宋体"/>
              </w:rPr>
            </w:pPr>
          </w:p>
        </w:tc>
        <w:tc>
          <w:tcPr>
            <w:tcW w:w="26" w:type="pct"/>
            <w:shd w:val="clear" w:color="auto" w:fill="auto"/>
            <w:vAlign w:val="bottom"/>
          </w:tcPr>
          <w:p w14:paraId="5F2D080D" w14:textId="77777777" w:rsidR="00E836FB" w:rsidRDefault="00E836FB">
            <w:pPr>
              <w:rPr>
                <w:rFonts w:ascii="宋体"/>
              </w:rPr>
            </w:pPr>
          </w:p>
        </w:tc>
        <w:tc>
          <w:tcPr>
            <w:tcW w:w="5" w:type="pct"/>
            <w:shd w:val="clear" w:color="auto" w:fill="auto"/>
            <w:vAlign w:val="bottom"/>
          </w:tcPr>
          <w:p w14:paraId="5F2D080E" w14:textId="77777777" w:rsidR="00E836FB" w:rsidRDefault="00E836FB">
            <w:pPr>
              <w:rPr>
                <w:rFonts w:ascii="宋体"/>
              </w:rPr>
            </w:pPr>
          </w:p>
        </w:tc>
        <w:tc>
          <w:tcPr>
            <w:tcW w:w="50" w:type="pct"/>
            <w:shd w:val="clear" w:color="auto" w:fill="auto"/>
            <w:vAlign w:val="bottom"/>
          </w:tcPr>
          <w:p w14:paraId="5F2D080F" w14:textId="77777777" w:rsidR="00E836FB" w:rsidRDefault="00E836FB">
            <w:pPr>
              <w:rPr>
                <w:rFonts w:ascii="宋体"/>
              </w:rPr>
            </w:pPr>
          </w:p>
        </w:tc>
        <w:tc>
          <w:tcPr>
            <w:tcW w:w="707" w:type="pct"/>
            <w:shd w:val="clear" w:color="auto" w:fill="auto"/>
            <w:vAlign w:val="bottom"/>
          </w:tcPr>
          <w:p w14:paraId="5F2D0810" w14:textId="77777777" w:rsidR="00E836FB" w:rsidRDefault="00E836FB">
            <w:pPr>
              <w:rPr>
                <w:rFonts w:ascii="宋体"/>
              </w:rPr>
            </w:pPr>
          </w:p>
        </w:tc>
        <w:tc>
          <w:tcPr>
            <w:tcW w:w="5" w:type="pct"/>
            <w:shd w:val="clear" w:color="auto" w:fill="auto"/>
            <w:vAlign w:val="bottom"/>
          </w:tcPr>
          <w:p w14:paraId="5F2D0811" w14:textId="77777777" w:rsidR="00E836FB" w:rsidRDefault="00E836FB">
            <w:pPr>
              <w:rPr>
                <w:rFonts w:ascii="宋体"/>
              </w:rPr>
            </w:pPr>
          </w:p>
        </w:tc>
      </w:tr>
      <w:tr w:rsidR="00E836FB" w14:paraId="5F2D0819" w14:textId="77777777">
        <w:tc>
          <w:tcPr>
            <w:tcW w:w="0" w:type="auto"/>
            <w:gridSpan w:val="3"/>
            <w:shd w:val="clear" w:color="auto" w:fill="auto"/>
            <w:tcMar>
              <w:top w:w="40" w:type="dxa"/>
              <w:left w:w="20" w:type="dxa"/>
              <w:bottom w:w="40" w:type="dxa"/>
              <w:right w:w="20" w:type="dxa"/>
            </w:tcMar>
            <w:vAlign w:val="bottom"/>
          </w:tcPr>
          <w:p w14:paraId="5F2D0813" w14:textId="77777777" w:rsidR="00E836FB" w:rsidRDefault="00994958">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vAlign w:val="bottom"/>
          </w:tcPr>
          <w:p w14:paraId="5F2D08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1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1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17"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0818" w14:textId="77777777" w:rsidR="00E836FB" w:rsidRDefault="00994958">
            <w:pPr>
              <w:jc w:val="center"/>
              <w:textAlignment w:val="bottom"/>
            </w:pPr>
            <w:r>
              <w:rPr>
                <w:rFonts w:ascii="Arial" w:eastAsia="宋体" w:hAnsi="Arial" w:cs="Arial"/>
                <w:b/>
                <w:bCs/>
                <w:color w:val="000000"/>
                <w:sz w:val="14"/>
                <w:szCs w:val="14"/>
              </w:rPr>
              <w:t>Fair Value Hierarchy</w:t>
            </w:r>
          </w:p>
        </w:tc>
      </w:tr>
      <w:tr w:rsidR="00E836FB" w14:paraId="5F2D0824" w14:textId="77777777">
        <w:tc>
          <w:tcPr>
            <w:tcW w:w="0" w:type="auto"/>
            <w:gridSpan w:val="3"/>
            <w:shd w:val="clear" w:color="auto" w:fill="auto"/>
            <w:tcMar>
              <w:top w:w="40" w:type="dxa"/>
              <w:left w:w="20" w:type="dxa"/>
              <w:bottom w:w="40" w:type="dxa"/>
              <w:right w:w="20" w:type="dxa"/>
            </w:tcMar>
            <w:vAlign w:val="bottom"/>
          </w:tcPr>
          <w:p w14:paraId="5F2D081A"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081B" w14:textId="77777777" w:rsidR="00E836FB" w:rsidRDefault="00994958">
            <w:pPr>
              <w:jc w:val="center"/>
              <w:textAlignment w:val="bottom"/>
            </w:pPr>
            <w:r>
              <w:rPr>
                <w:rFonts w:ascii="Arial" w:eastAsia="宋体" w:hAnsi="Arial" w:cs="Arial"/>
                <w:b/>
                <w:bCs/>
                <w:color w:val="000000"/>
                <w:sz w:val="14"/>
                <w:szCs w:val="14"/>
              </w:rPr>
              <w:t>Reported Amount </w:t>
            </w:r>
          </w:p>
        </w:tc>
        <w:tc>
          <w:tcPr>
            <w:tcW w:w="0" w:type="auto"/>
            <w:gridSpan w:val="3"/>
            <w:shd w:val="clear" w:color="auto" w:fill="auto"/>
            <w:tcMar>
              <w:top w:w="0" w:type="dxa"/>
              <w:left w:w="20" w:type="dxa"/>
              <w:bottom w:w="0" w:type="dxa"/>
              <w:right w:w="20" w:type="dxa"/>
            </w:tcMar>
            <w:vAlign w:val="bottom"/>
          </w:tcPr>
          <w:p w14:paraId="5F2D081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081D" w14:textId="77777777" w:rsidR="00E836FB" w:rsidRDefault="00994958">
            <w:pPr>
              <w:jc w:val="center"/>
              <w:textAlignment w:val="bottom"/>
            </w:pPr>
            <w:r>
              <w:rPr>
                <w:rFonts w:ascii="Arial" w:eastAsia="宋体" w:hAnsi="Arial" w:cs="Arial"/>
                <w:b/>
                <w:bCs/>
                <w:color w:val="000000"/>
                <w:sz w:val="14"/>
                <w:szCs w:val="14"/>
              </w:rPr>
              <w:t>Estimated Fair Value</w:t>
            </w:r>
          </w:p>
        </w:tc>
        <w:tc>
          <w:tcPr>
            <w:tcW w:w="0" w:type="auto"/>
            <w:gridSpan w:val="3"/>
            <w:shd w:val="clear" w:color="auto" w:fill="auto"/>
            <w:tcMar>
              <w:top w:w="0" w:type="dxa"/>
              <w:left w:w="20" w:type="dxa"/>
              <w:bottom w:w="0" w:type="dxa"/>
              <w:right w:w="20" w:type="dxa"/>
            </w:tcMar>
            <w:vAlign w:val="bottom"/>
          </w:tcPr>
          <w:p w14:paraId="5F2D081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81F" w14:textId="77777777" w:rsidR="00E836FB" w:rsidRDefault="00994958">
            <w:pPr>
              <w:jc w:val="center"/>
              <w:textAlignment w:val="bottom"/>
            </w:pPr>
            <w:r>
              <w:rPr>
                <w:rFonts w:ascii="Arial" w:eastAsia="宋体" w:hAnsi="Arial" w:cs="Arial"/>
                <w:b/>
                <w:bCs/>
                <w:color w:val="000000"/>
                <w:sz w:val="14"/>
                <w:szCs w:val="14"/>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82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821" w14:textId="77777777" w:rsidR="00E836FB" w:rsidRDefault="00994958">
            <w:pPr>
              <w:jc w:val="center"/>
              <w:textAlignment w:val="bottom"/>
            </w:pPr>
            <w:r>
              <w:rPr>
                <w:rFonts w:ascii="Arial" w:eastAsia="宋体" w:hAnsi="Arial" w:cs="Arial"/>
                <w:b/>
                <w:bCs/>
                <w:color w:val="000000"/>
                <w:sz w:val="14"/>
                <w:szCs w:val="14"/>
              </w:rPr>
              <w:t xml:space="preserve">Pricing Methods with </w:t>
            </w:r>
            <w:r>
              <w:rPr>
                <w:rFonts w:ascii="Arial" w:eastAsia="宋体" w:hAnsi="Arial" w:cs="Arial"/>
                <w:b/>
                <w:bCs/>
                <w:color w:val="000000"/>
                <w:sz w:val="14"/>
                <w:szCs w:val="14"/>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82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823" w14:textId="77777777" w:rsidR="00E836FB" w:rsidRDefault="00994958">
            <w:pPr>
              <w:jc w:val="center"/>
              <w:textAlignment w:val="bottom"/>
            </w:pPr>
            <w:r>
              <w:rPr>
                <w:rFonts w:ascii="Arial" w:eastAsia="宋体" w:hAnsi="Arial" w:cs="Arial"/>
                <w:b/>
                <w:bCs/>
                <w:color w:val="000000"/>
                <w:sz w:val="14"/>
                <w:szCs w:val="14"/>
              </w:rPr>
              <w:t>Pricing Methods with Significant Unobservable Market Inputs (Level 3)</w:t>
            </w:r>
          </w:p>
        </w:tc>
      </w:tr>
      <w:tr w:rsidR="00E836FB" w14:paraId="5F2D082F" w14:textId="77777777">
        <w:tc>
          <w:tcPr>
            <w:tcW w:w="0" w:type="auto"/>
            <w:gridSpan w:val="3"/>
            <w:shd w:val="clear" w:color="auto" w:fill="auto"/>
            <w:tcMar>
              <w:top w:w="40" w:type="dxa"/>
              <w:left w:w="20" w:type="dxa"/>
              <w:bottom w:w="40" w:type="dxa"/>
              <w:right w:w="20" w:type="dxa"/>
            </w:tcMar>
            <w:vAlign w:val="bottom"/>
          </w:tcPr>
          <w:p w14:paraId="5F2D0825" w14:textId="77777777" w:rsidR="00E836FB" w:rsidRDefault="00994958">
            <w:pPr>
              <w:textAlignment w:val="bottom"/>
            </w:pPr>
            <w:r>
              <w:rPr>
                <w:rFonts w:ascii="Arial" w:eastAsia="宋体" w:hAnsi="Arial" w:cs="Arial"/>
                <w:b/>
                <w:bCs/>
                <w:color w:val="000000"/>
                <w:sz w:val="14"/>
                <w:szCs w:val="14"/>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82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2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82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2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82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2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8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2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82E" w14:textId="77777777" w:rsidR="00E836FB" w:rsidRDefault="00E836FB">
            <w:pPr>
              <w:rPr>
                <w:rFonts w:ascii="宋体"/>
              </w:rPr>
            </w:pPr>
          </w:p>
        </w:tc>
      </w:tr>
      <w:tr w:rsidR="00E836FB" w14:paraId="5F2D083A" w14:textId="77777777">
        <w:tc>
          <w:tcPr>
            <w:tcW w:w="0" w:type="auto"/>
            <w:gridSpan w:val="3"/>
            <w:shd w:val="clear" w:color="auto" w:fill="auto"/>
            <w:tcMar>
              <w:top w:w="40" w:type="dxa"/>
              <w:left w:w="20" w:type="dxa"/>
              <w:bottom w:w="40" w:type="dxa"/>
              <w:right w:w="20" w:type="dxa"/>
            </w:tcMar>
            <w:vAlign w:val="bottom"/>
          </w:tcPr>
          <w:p w14:paraId="5F2D0830" w14:textId="77777777" w:rsidR="00E836FB" w:rsidRDefault="00994958">
            <w:pPr>
              <w:textAlignment w:val="bottom"/>
            </w:pPr>
            <w:r>
              <w:rPr>
                <w:rFonts w:ascii="Arial" w:eastAsia="宋体" w:hAnsi="Arial" w:cs="Arial"/>
                <w:b/>
                <w:bCs/>
                <w:color w:val="000000"/>
                <w:sz w:val="14"/>
                <w:szCs w:val="14"/>
              </w:rPr>
              <w:t>Financial Assets:</w:t>
            </w:r>
          </w:p>
        </w:tc>
        <w:tc>
          <w:tcPr>
            <w:tcW w:w="0" w:type="auto"/>
            <w:gridSpan w:val="3"/>
            <w:shd w:val="clear" w:color="auto" w:fill="FFFFFF"/>
            <w:tcMar>
              <w:top w:w="40" w:type="dxa"/>
              <w:left w:w="20" w:type="dxa"/>
              <w:bottom w:w="40" w:type="dxa"/>
              <w:right w:w="20" w:type="dxa"/>
            </w:tcMar>
            <w:vAlign w:val="bottom"/>
          </w:tcPr>
          <w:p w14:paraId="5F2D0831" w14:textId="77777777" w:rsidR="00E836FB" w:rsidRDefault="00994958">
            <w:pPr>
              <w:jc w:val="right"/>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5F2D083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0833" w14:textId="77777777" w:rsidR="00E836FB" w:rsidRDefault="00994958">
            <w:pPr>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5F2D083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0835" w14:textId="77777777" w:rsidR="00E836FB" w:rsidRDefault="00994958">
            <w:pPr>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5F2D083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0837" w14:textId="77777777" w:rsidR="00E836FB" w:rsidRDefault="00994958">
            <w:pPr>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5F2D083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839" w14:textId="77777777" w:rsidR="00E836FB" w:rsidRDefault="00E836FB">
            <w:pPr>
              <w:rPr>
                <w:rFonts w:ascii="宋体"/>
              </w:rPr>
            </w:pPr>
          </w:p>
        </w:tc>
      </w:tr>
      <w:tr w:rsidR="00E836FB" w14:paraId="5F2D084F" w14:textId="77777777">
        <w:tc>
          <w:tcPr>
            <w:tcW w:w="0" w:type="auto"/>
            <w:gridSpan w:val="3"/>
            <w:shd w:val="clear" w:color="auto" w:fill="CCEEFF"/>
            <w:tcMar>
              <w:top w:w="40" w:type="dxa"/>
              <w:left w:w="20" w:type="dxa"/>
              <w:bottom w:w="40" w:type="dxa"/>
              <w:right w:w="20" w:type="dxa"/>
            </w:tcMar>
            <w:vAlign w:val="bottom"/>
          </w:tcPr>
          <w:p w14:paraId="5F2D083B" w14:textId="77777777" w:rsidR="00E836FB" w:rsidRDefault="00994958">
            <w:pPr>
              <w:textAlignment w:val="bottom"/>
            </w:pPr>
            <w:r>
              <w:rPr>
                <w:rFonts w:ascii="Arial" w:eastAsia="宋体" w:hAnsi="Arial" w:cs="Arial"/>
                <w:color w:val="000000"/>
                <w:sz w:val="14"/>
                <w:szCs w:val="14"/>
              </w:rPr>
              <w:t>Cash and due from banks</w:t>
            </w:r>
          </w:p>
        </w:tc>
        <w:tc>
          <w:tcPr>
            <w:tcW w:w="0" w:type="auto"/>
            <w:shd w:val="clear" w:color="auto" w:fill="CCEEFF"/>
            <w:tcMar>
              <w:top w:w="40" w:type="dxa"/>
              <w:left w:w="20" w:type="dxa"/>
              <w:bottom w:w="40" w:type="dxa"/>
              <w:right w:w="0" w:type="dxa"/>
            </w:tcMar>
            <w:vAlign w:val="bottom"/>
          </w:tcPr>
          <w:p w14:paraId="5F2D083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3D" w14:textId="77777777" w:rsidR="00E836FB" w:rsidRDefault="00994958">
            <w:pPr>
              <w:jc w:val="right"/>
              <w:textAlignment w:val="bottom"/>
            </w:pPr>
            <w:r>
              <w:rPr>
                <w:rFonts w:ascii="Arial" w:eastAsia="宋体" w:hAnsi="Arial" w:cs="Arial"/>
                <w:b/>
                <w:bCs/>
                <w:color w:val="000000"/>
                <w:sz w:val="14"/>
                <w:szCs w:val="14"/>
              </w:rPr>
              <w:t>3,631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3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4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41" w14:textId="77777777" w:rsidR="00E836FB" w:rsidRDefault="00994958">
            <w:pPr>
              <w:jc w:val="right"/>
              <w:textAlignment w:val="bottom"/>
            </w:pPr>
            <w:r>
              <w:rPr>
                <w:rFonts w:ascii="Arial" w:eastAsia="宋体" w:hAnsi="Arial" w:cs="Arial"/>
                <w:b/>
                <w:bCs/>
                <w:color w:val="000000"/>
                <w:sz w:val="14"/>
                <w:szCs w:val="14"/>
              </w:rPr>
              <w:t>3,631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4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4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44"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45" w14:textId="77777777" w:rsidR="00E836FB" w:rsidRDefault="00994958">
            <w:pPr>
              <w:jc w:val="right"/>
              <w:textAlignment w:val="bottom"/>
            </w:pPr>
            <w:r>
              <w:rPr>
                <w:rFonts w:ascii="Arial" w:eastAsia="宋体" w:hAnsi="Arial" w:cs="Arial"/>
                <w:b/>
                <w:bCs/>
                <w:color w:val="000000"/>
                <w:sz w:val="14"/>
                <w:szCs w:val="14"/>
              </w:rPr>
              <w:t>3,631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4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4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4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4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4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4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4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4E" w14:textId="77777777" w:rsidR="00E836FB" w:rsidRDefault="00E836FB">
            <w:pPr>
              <w:jc w:val="right"/>
              <w:rPr>
                <w:rFonts w:ascii="宋体"/>
              </w:rPr>
            </w:pPr>
          </w:p>
        </w:tc>
      </w:tr>
      <w:tr w:rsidR="00E836FB" w14:paraId="5F2D085F" w14:textId="77777777">
        <w:tc>
          <w:tcPr>
            <w:tcW w:w="0" w:type="auto"/>
            <w:gridSpan w:val="3"/>
            <w:shd w:val="clear" w:color="auto" w:fill="FFFFFF"/>
            <w:tcMar>
              <w:top w:w="40" w:type="dxa"/>
              <w:left w:w="20" w:type="dxa"/>
              <w:bottom w:w="40" w:type="dxa"/>
              <w:right w:w="20" w:type="dxa"/>
            </w:tcMar>
            <w:vAlign w:val="bottom"/>
          </w:tcPr>
          <w:p w14:paraId="5F2D0850" w14:textId="77777777" w:rsidR="00E836FB" w:rsidRDefault="00994958">
            <w:pPr>
              <w:textAlignment w:val="bottom"/>
            </w:pPr>
            <w:r>
              <w:rPr>
                <w:rFonts w:ascii="Arial" w:eastAsia="宋体" w:hAnsi="Arial" w:cs="Arial"/>
                <w:color w:val="000000"/>
                <w:sz w:val="14"/>
                <w:szCs w:val="14"/>
              </w:rPr>
              <w:t>Interest-bearing deposits with banks</w:t>
            </w:r>
          </w:p>
        </w:tc>
        <w:tc>
          <w:tcPr>
            <w:tcW w:w="0" w:type="auto"/>
            <w:gridSpan w:val="2"/>
            <w:shd w:val="clear" w:color="auto" w:fill="FFFFFF"/>
            <w:tcMar>
              <w:top w:w="40" w:type="dxa"/>
              <w:left w:w="20" w:type="dxa"/>
              <w:bottom w:w="40" w:type="dxa"/>
              <w:right w:w="0" w:type="dxa"/>
            </w:tcMar>
            <w:vAlign w:val="bottom"/>
          </w:tcPr>
          <w:p w14:paraId="5F2D0851" w14:textId="77777777" w:rsidR="00E836FB" w:rsidRDefault="00994958">
            <w:pPr>
              <w:jc w:val="right"/>
              <w:textAlignment w:val="bottom"/>
            </w:pPr>
            <w:r>
              <w:rPr>
                <w:rFonts w:ascii="Arial" w:eastAsia="宋体" w:hAnsi="Arial" w:cs="Arial"/>
                <w:b/>
                <w:bCs/>
                <w:color w:val="000000"/>
                <w:sz w:val="14"/>
                <w:szCs w:val="14"/>
              </w:rPr>
              <w:t>106,358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5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54" w14:textId="77777777" w:rsidR="00E836FB" w:rsidRDefault="00994958">
            <w:pPr>
              <w:jc w:val="right"/>
              <w:textAlignment w:val="bottom"/>
            </w:pPr>
            <w:r>
              <w:rPr>
                <w:rFonts w:ascii="Arial" w:eastAsia="宋体" w:hAnsi="Arial" w:cs="Arial"/>
                <w:b/>
                <w:bCs/>
                <w:color w:val="000000"/>
                <w:sz w:val="14"/>
                <w:szCs w:val="14"/>
              </w:rPr>
              <w:t>106,358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5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5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5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5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5A" w14:textId="77777777" w:rsidR="00E836FB" w:rsidRDefault="00994958">
            <w:pPr>
              <w:jc w:val="right"/>
              <w:textAlignment w:val="bottom"/>
            </w:pPr>
            <w:r>
              <w:rPr>
                <w:rFonts w:ascii="Arial" w:eastAsia="宋体" w:hAnsi="Arial" w:cs="Arial"/>
                <w:b/>
                <w:bCs/>
                <w:color w:val="000000"/>
                <w:sz w:val="14"/>
                <w:szCs w:val="14"/>
              </w:rPr>
              <w:t>106,358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5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5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5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5E" w14:textId="77777777" w:rsidR="00E836FB" w:rsidRDefault="00E836FB">
            <w:pPr>
              <w:jc w:val="right"/>
              <w:rPr>
                <w:rFonts w:ascii="宋体"/>
              </w:rPr>
            </w:pPr>
          </w:p>
        </w:tc>
      </w:tr>
      <w:tr w:rsidR="00E836FB" w14:paraId="5F2D086F" w14:textId="77777777">
        <w:tc>
          <w:tcPr>
            <w:tcW w:w="0" w:type="auto"/>
            <w:gridSpan w:val="3"/>
            <w:shd w:val="clear" w:color="auto" w:fill="CCEEFF"/>
            <w:tcMar>
              <w:top w:w="40" w:type="dxa"/>
              <w:left w:w="20" w:type="dxa"/>
              <w:bottom w:w="40" w:type="dxa"/>
              <w:right w:w="20" w:type="dxa"/>
            </w:tcMar>
            <w:vAlign w:val="bottom"/>
          </w:tcPr>
          <w:p w14:paraId="5F2D0860" w14:textId="77777777" w:rsidR="00E836FB" w:rsidRDefault="00994958">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F2D0861" w14:textId="77777777" w:rsidR="00E836FB" w:rsidRDefault="00994958">
            <w:pPr>
              <w:jc w:val="right"/>
              <w:textAlignment w:val="bottom"/>
            </w:pPr>
            <w:r>
              <w:rPr>
                <w:rFonts w:ascii="Arial" w:eastAsia="宋体" w:hAnsi="Arial" w:cs="Arial"/>
                <w:b/>
                <w:bCs/>
                <w:color w:val="000000"/>
                <w:sz w:val="14"/>
                <w:szCs w:val="14"/>
              </w:rPr>
              <w:t>3,012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6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6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64" w14:textId="77777777" w:rsidR="00E836FB" w:rsidRDefault="00994958">
            <w:pPr>
              <w:jc w:val="right"/>
              <w:textAlignment w:val="bottom"/>
            </w:pPr>
            <w:r>
              <w:rPr>
                <w:rFonts w:ascii="Arial" w:eastAsia="宋体" w:hAnsi="Arial" w:cs="Arial"/>
                <w:b/>
                <w:bCs/>
                <w:color w:val="000000"/>
                <w:sz w:val="14"/>
                <w:szCs w:val="14"/>
              </w:rPr>
              <w:t>3,012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6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6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6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6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6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6A" w14:textId="77777777" w:rsidR="00E836FB" w:rsidRDefault="00994958">
            <w:pPr>
              <w:jc w:val="right"/>
              <w:textAlignment w:val="bottom"/>
            </w:pPr>
            <w:r>
              <w:rPr>
                <w:rFonts w:ascii="Arial" w:eastAsia="宋体" w:hAnsi="Arial" w:cs="Arial"/>
                <w:b/>
                <w:bCs/>
                <w:color w:val="000000"/>
                <w:sz w:val="14"/>
                <w:szCs w:val="14"/>
              </w:rPr>
              <w:t>3,012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6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6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6E" w14:textId="77777777" w:rsidR="00E836FB" w:rsidRDefault="00E836FB">
            <w:pPr>
              <w:jc w:val="right"/>
              <w:rPr>
                <w:rFonts w:ascii="宋体"/>
              </w:rPr>
            </w:pPr>
          </w:p>
        </w:tc>
      </w:tr>
      <w:tr w:rsidR="00E836FB" w14:paraId="5F2D087A" w14:textId="77777777">
        <w:trPr>
          <w:hidden/>
        </w:trPr>
        <w:tc>
          <w:tcPr>
            <w:tcW w:w="0" w:type="auto"/>
            <w:gridSpan w:val="3"/>
            <w:shd w:val="clear" w:color="auto" w:fill="auto"/>
            <w:vAlign w:val="bottom"/>
          </w:tcPr>
          <w:p w14:paraId="5F2D0870" w14:textId="77777777" w:rsidR="00E836FB" w:rsidRDefault="00E836FB">
            <w:pPr>
              <w:rPr>
                <w:rFonts w:ascii="宋体"/>
                <w:vanish/>
              </w:rPr>
            </w:pPr>
          </w:p>
        </w:tc>
        <w:tc>
          <w:tcPr>
            <w:tcW w:w="0" w:type="auto"/>
            <w:gridSpan w:val="3"/>
            <w:shd w:val="clear" w:color="auto" w:fill="auto"/>
            <w:vAlign w:val="bottom"/>
          </w:tcPr>
          <w:p w14:paraId="5F2D0871" w14:textId="77777777" w:rsidR="00E836FB" w:rsidRDefault="00E836FB">
            <w:pPr>
              <w:rPr>
                <w:rFonts w:ascii="宋体"/>
                <w:vanish/>
              </w:rPr>
            </w:pPr>
          </w:p>
        </w:tc>
        <w:tc>
          <w:tcPr>
            <w:tcW w:w="0" w:type="auto"/>
            <w:gridSpan w:val="3"/>
            <w:shd w:val="clear" w:color="auto" w:fill="auto"/>
            <w:vAlign w:val="bottom"/>
          </w:tcPr>
          <w:p w14:paraId="5F2D0872" w14:textId="77777777" w:rsidR="00E836FB" w:rsidRDefault="00E836FB">
            <w:pPr>
              <w:rPr>
                <w:rFonts w:ascii="宋体"/>
                <w:vanish/>
              </w:rPr>
            </w:pPr>
          </w:p>
        </w:tc>
        <w:tc>
          <w:tcPr>
            <w:tcW w:w="0" w:type="auto"/>
            <w:gridSpan w:val="3"/>
            <w:shd w:val="clear" w:color="auto" w:fill="auto"/>
            <w:vAlign w:val="bottom"/>
          </w:tcPr>
          <w:p w14:paraId="5F2D0873" w14:textId="77777777" w:rsidR="00E836FB" w:rsidRDefault="00E836FB">
            <w:pPr>
              <w:rPr>
                <w:rFonts w:ascii="宋体"/>
                <w:vanish/>
              </w:rPr>
            </w:pPr>
          </w:p>
        </w:tc>
        <w:tc>
          <w:tcPr>
            <w:tcW w:w="0" w:type="auto"/>
            <w:gridSpan w:val="3"/>
            <w:shd w:val="clear" w:color="auto" w:fill="auto"/>
            <w:vAlign w:val="bottom"/>
          </w:tcPr>
          <w:p w14:paraId="5F2D0874" w14:textId="77777777" w:rsidR="00E836FB" w:rsidRDefault="00E836FB">
            <w:pPr>
              <w:rPr>
                <w:rFonts w:ascii="宋体"/>
                <w:vanish/>
              </w:rPr>
            </w:pPr>
          </w:p>
        </w:tc>
        <w:tc>
          <w:tcPr>
            <w:tcW w:w="0" w:type="auto"/>
            <w:gridSpan w:val="3"/>
            <w:shd w:val="clear" w:color="auto" w:fill="auto"/>
            <w:vAlign w:val="bottom"/>
          </w:tcPr>
          <w:p w14:paraId="5F2D0875" w14:textId="77777777" w:rsidR="00E836FB" w:rsidRDefault="00E836FB">
            <w:pPr>
              <w:rPr>
                <w:rFonts w:ascii="宋体"/>
                <w:vanish/>
              </w:rPr>
            </w:pPr>
          </w:p>
        </w:tc>
        <w:tc>
          <w:tcPr>
            <w:tcW w:w="0" w:type="auto"/>
            <w:gridSpan w:val="3"/>
            <w:shd w:val="clear" w:color="auto" w:fill="auto"/>
            <w:vAlign w:val="bottom"/>
          </w:tcPr>
          <w:p w14:paraId="5F2D0876" w14:textId="77777777" w:rsidR="00E836FB" w:rsidRDefault="00E836FB">
            <w:pPr>
              <w:rPr>
                <w:rFonts w:ascii="宋体"/>
                <w:vanish/>
              </w:rPr>
            </w:pPr>
          </w:p>
        </w:tc>
        <w:tc>
          <w:tcPr>
            <w:tcW w:w="0" w:type="auto"/>
            <w:gridSpan w:val="3"/>
            <w:shd w:val="clear" w:color="auto" w:fill="auto"/>
            <w:vAlign w:val="bottom"/>
          </w:tcPr>
          <w:p w14:paraId="5F2D0877" w14:textId="77777777" w:rsidR="00E836FB" w:rsidRDefault="00E836FB">
            <w:pPr>
              <w:rPr>
                <w:rFonts w:ascii="宋体"/>
                <w:vanish/>
              </w:rPr>
            </w:pPr>
          </w:p>
        </w:tc>
        <w:tc>
          <w:tcPr>
            <w:tcW w:w="0" w:type="auto"/>
            <w:gridSpan w:val="3"/>
            <w:shd w:val="clear" w:color="auto" w:fill="auto"/>
            <w:vAlign w:val="bottom"/>
          </w:tcPr>
          <w:p w14:paraId="5F2D0878" w14:textId="77777777" w:rsidR="00E836FB" w:rsidRDefault="00E836FB">
            <w:pPr>
              <w:rPr>
                <w:rFonts w:ascii="宋体"/>
                <w:vanish/>
              </w:rPr>
            </w:pPr>
          </w:p>
        </w:tc>
        <w:tc>
          <w:tcPr>
            <w:tcW w:w="0" w:type="auto"/>
            <w:gridSpan w:val="3"/>
            <w:shd w:val="clear" w:color="auto" w:fill="auto"/>
            <w:vAlign w:val="bottom"/>
          </w:tcPr>
          <w:p w14:paraId="5F2D0879" w14:textId="77777777" w:rsidR="00E836FB" w:rsidRDefault="00E836FB">
            <w:pPr>
              <w:rPr>
                <w:rFonts w:ascii="宋体"/>
                <w:vanish/>
              </w:rPr>
            </w:pPr>
          </w:p>
        </w:tc>
      </w:tr>
      <w:tr w:rsidR="00E836FB" w14:paraId="5F2D088A" w14:textId="77777777">
        <w:tc>
          <w:tcPr>
            <w:tcW w:w="0" w:type="auto"/>
            <w:gridSpan w:val="3"/>
            <w:shd w:val="clear" w:color="auto" w:fill="FFFFFF"/>
            <w:tcMar>
              <w:top w:w="40" w:type="dxa"/>
              <w:left w:w="20" w:type="dxa"/>
              <w:bottom w:w="40" w:type="dxa"/>
              <w:right w:w="20" w:type="dxa"/>
            </w:tcMar>
            <w:vAlign w:val="bottom"/>
          </w:tcPr>
          <w:p w14:paraId="5F2D087B" w14:textId="77777777" w:rsidR="00E836FB" w:rsidRDefault="00994958">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5F2D087C" w14:textId="77777777" w:rsidR="00E836FB" w:rsidRDefault="00994958">
            <w:pPr>
              <w:jc w:val="right"/>
              <w:textAlignment w:val="bottom"/>
            </w:pPr>
            <w:r>
              <w:rPr>
                <w:rFonts w:ascii="Arial" w:eastAsia="宋体" w:hAnsi="Arial" w:cs="Arial"/>
                <w:b/>
                <w:bCs/>
                <w:color w:val="000000"/>
                <w:sz w:val="14"/>
                <w:szCs w:val="14"/>
              </w:rPr>
              <w:t>42,430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7F" w14:textId="77777777" w:rsidR="00E836FB" w:rsidRDefault="00994958">
            <w:pPr>
              <w:jc w:val="right"/>
              <w:textAlignment w:val="bottom"/>
            </w:pPr>
            <w:r>
              <w:rPr>
                <w:rFonts w:ascii="Arial" w:eastAsia="宋体" w:hAnsi="Arial" w:cs="Arial"/>
                <w:b/>
                <w:bCs/>
                <w:color w:val="000000"/>
                <w:sz w:val="14"/>
                <w:szCs w:val="14"/>
              </w:rPr>
              <w:t>42,271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8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82" w14:textId="77777777" w:rsidR="00E836FB" w:rsidRDefault="00994958">
            <w:pPr>
              <w:jc w:val="right"/>
              <w:textAlignment w:val="bottom"/>
            </w:pPr>
            <w:r>
              <w:rPr>
                <w:rFonts w:ascii="Arial" w:eastAsia="宋体" w:hAnsi="Arial" w:cs="Arial"/>
                <w:b/>
                <w:bCs/>
                <w:color w:val="000000"/>
                <w:sz w:val="14"/>
                <w:szCs w:val="14"/>
              </w:rPr>
              <w:t>2,160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8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85" w14:textId="77777777" w:rsidR="00E836FB" w:rsidRDefault="00994958">
            <w:pPr>
              <w:jc w:val="right"/>
              <w:textAlignment w:val="bottom"/>
            </w:pPr>
            <w:r>
              <w:rPr>
                <w:rFonts w:ascii="Arial" w:eastAsia="宋体" w:hAnsi="Arial" w:cs="Arial"/>
                <w:b/>
                <w:bCs/>
                <w:color w:val="000000"/>
                <w:sz w:val="14"/>
                <w:szCs w:val="14"/>
              </w:rPr>
              <w:t>40,111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8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8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89" w14:textId="77777777" w:rsidR="00E836FB" w:rsidRDefault="00E836FB">
            <w:pPr>
              <w:jc w:val="right"/>
              <w:rPr>
                <w:rFonts w:ascii="宋体"/>
              </w:rPr>
            </w:pPr>
          </w:p>
        </w:tc>
      </w:tr>
      <w:tr w:rsidR="00E836FB" w14:paraId="5F2D089A" w14:textId="77777777">
        <w:tc>
          <w:tcPr>
            <w:tcW w:w="0" w:type="auto"/>
            <w:gridSpan w:val="3"/>
            <w:shd w:val="clear" w:color="auto" w:fill="CCEEFF"/>
            <w:tcMar>
              <w:top w:w="40" w:type="dxa"/>
              <w:left w:w="20" w:type="dxa"/>
              <w:bottom w:w="40" w:type="dxa"/>
              <w:right w:w="20" w:type="dxa"/>
            </w:tcMar>
            <w:vAlign w:val="bottom"/>
          </w:tcPr>
          <w:p w14:paraId="5F2D088B" w14:textId="77777777" w:rsidR="00E836FB" w:rsidRDefault="00994958">
            <w:pPr>
              <w:textAlignment w:val="bottom"/>
            </w:pPr>
            <w:r>
              <w:rPr>
                <w:rFonts w:ascii="Arial" w:eastAsia="宋体" w:hAnsi="Arial" w:cs="Arial"/>
                <w:color w:val="000000"/>
                <w:sz w:val="14"/>
                <w:szCs w:val="14"/>
              </w:rPr>
              <w:t>Net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D088C" w14:textId="77777777" w:rsidR="00E836FB" w:rsidRDefault="00994958">
            <w:pPr>
              <w:jc w:val="right"/>
              <w:textAlignment w:val="bottom"/>
            </w:pPr>
            <w:r>
              <w:rPr>
                <w:rFonts w:ascii="Arial" w:eastAsia="宋体" w:hAnsi="Arial" w:cs="Arial"/>
                <w:b/>
                <w:bCs/>
                <w:color w:val="000000"/>
                <w:sz w:val="14"/>
                <w:szCs w:val="14"/>
              </w:rPr>
              <w:t>32,445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8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8F" w14:textId="77777777" w:rsidR="00E836FB" w:rsidRDefault="00994958">
            <w:pPr>
              <w:jc w:val="right"/>
              <w:textAlignment w:val="bottom"/>
            </w:pPr>
            <w:r>
              <w:rPr>
                <w:rFonts w:ascii="Arial" w:eastAsia="宋体" w:hAnsi="Arial" w:cs="Arial"/>
                <w:b/>
                <w:bCs/>
                <w:color w:val="000000"/>
                <w:sz w:val="14"/>
                <w:szCs w:val="14"/>
              </w:rPr>
              <w:t>32,528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9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9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9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95" w14:textId="77777777" w:rsidR="00E836FB" w:rsidRDefault="00994958">
            <w:pPr>
              <w:jc w:val="right"/>
              <w:textAlignment w:val="bottom"/>
            </w:pPr>
            <w:r>
              <w:rPr>
                <w:rFonts w:ascii="Arial" w:eastAsia="宋体" w:hAnsi="Arial" w:cs="Arial"/>
                <w:b/>
                <w:bCs/>
                <w:color w:val="000000"/>
                <w:sz w:val="14"/>
                <w:szCs w:val="14"/>
              </w:rPr>
              <w:t>29,862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9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9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98" w14:textId="77777777" w:rsidR="00E836FB" w:rsidRDefault="00994958">
            <w:pPr>
              <w:jc w:val="right"/>
              <w:textAlignment w:val="bottom"/>
            </w:pPr>
            <w:r>
              <w:rPr>
                <w:rFonts w:ascii="Arial" w:eastAsia="宋体" w:hAnsi="Arial" w:cs="Arial"/>
                <w:b/>
                <w:bCs/>
                <w:color w:val="000000"/>
                <w:sz w:val="14"/>
                <w:szCs w:val="14"/>
              </w:rPr>
              <w:t>2,666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99" w14:textId="77777777" w:rsidR="00E836FB" w:rsidRDefault="00E836FB">
            <w:pPr>
              <w:jc w:val="right"/>
              <w:rPr>
                <w:rFonts w:ascii="宋体"/>
              </w:rPr>
            </w:pPr>
          </w:p>
        </w:tc>
      </w:tr>
      <w:tr w:rsidR="00E836FB" w14:paraId="5F2D08AA" w14:textId="77777777">
        <w:tc>
          <w:tcPr>
            <w:tcW w:w="0" w:type="auto"/>
            <w:gridSpan w:val="3"/>
            <w:shd w:val="clear" w:color="auto" w:fill="FFFFFF"/>
            <w:tcMar>
              <w:top w:w="40" w:type="dxa"/>
              <w:left w:w="20" w:type="dxa"/>
              <w:bottom w:w="40" w:type="dxa"/>
              <w:right w:w="20" w:type="dxa"/>
            </w:tcMar>
            <w:vAlign w:val="bottom"/>
          </w:tcPr>
          <w:p w14:paraId="5F2D089B"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D089C"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9F"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A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A5"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A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A9" w14:textId="77777777" w:rsidR="00E836FB" w:rsidRDefault="00E836FB">
            <w:pPr>
              <w:jc w:val="right"/>
              <w:rPr>
                <w:rFonts w:ascii="宋体"/>
              </w:rPr>
            </w:pPr>
          </w:p>
        </w:tc>
      </w:tr>
      <w:tr w:rsidR="00E836FB" w14:paraId="5F2D08B5" w14:textId="77777777">
        <w:tc>
          <w:tcPr>
            <w:tcW w:w="0" w:type="auto"/>
            <w:gridSpan w:val="3"/>
            <w:shd w:val="clear" w:color="auto" w:fill="CCEEFF"/>
            <w:tcMar>
              <w:top w:w="40" w:type="dxa"/>
              <w:left w:w="20" w:type="dxa"/>
              <w:bottom w:w="40" w:type="dxa"/>
              <w:right w:w="20" w:type="dxa"/>
            </w:tcMar>
            <w:vAlign w:val="bottom"/>
          </w:tcPr>
          <w:p w14:paraId="5F2D08AB" w14:textId="77777777" w:rsidR="00E836FB" w:rsidRDefault="00994958">
            <w:pPr>
              <w:textAlignment w:val="bottom"/>
            </w:pPr>
            <w:r>
              <w:rPr>
                <w:rFonts w:ascii="Arial" w:eastAsia="宋体" w:hAnsi="Arial" w:cs="Arial"/>
                <w:b/>
                <w:bCs/>
                <w:color w:val="000000"/>
                <w:sz w:val="14"/>
                <w:szCs w:val="14"/>
              </w:rPr>
              <w:t>Financial Liabilities:</w:t>
            </w:r>
          </w:p>
        </w:tc>
        <w:tc>
          <w:tcPr>
            <w:tcW w:w="0" w:type="auto"/>
            <w:gridSpan w:val="3"/>
            <w:shd w:val="clear" w:color="auto" w:fill="CCEEFF"/>
            <w:tcMar>
              <w:top w:w="0" w:type="dxa"/>
              <w:left w:w="20" w:type="dxa"/>
              <w:bottom w:w="0" w:type="dxa"/>
              <w:right w:w="20" w:type="dxa"/>
            </w:tcMar>
            <w:vAlign w:val="bottom"/>
          </w:tcPr>
          <w:p w14:paraId="5F2D08A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A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A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A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B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B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B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B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8B4" w14:textId="77777777" w:rsidR="00E836FB" w:rsidRDefault="00E836FB">
            <w:pPr>
              <w:rPr>
                <w:rFonts w:ascii="宋体"/>
              </w:rPr>
            </w:pPr>
          </w:p>
        </w:tc>
      </w:tr>
      <w:tr w:rsidR="00E836FB" w14:paraId="5F2D08C0" w14:textId="77777777">
        <w:tc>
          <w:tcPr>
            <w:tcW w:w="0" w:type="auto"/>
            <w:gridSpan w:val="3"/>
            <w:shd w:val="clear" w:color="auto" w:fill="FFFFFF"/>
            <w:tcMar>
              <w:top w:w="40" w:type="dxa"/>
              <w:left w:w="20" w:type="dxa"/>
              <w:bottom w:w="40" w:type="dxa"/>
              <w:right w:w="20" w:type="dxa"/>
            </w:tcMar>
            <w:vAlign w:val="bottom"/>
          </w:tcPr>
          <w:p w14:paraId="5F2D08B6" w14:textId="77777777" w:rsidR="00E836FB" w:rsidRDefault="00994958">
            <w:pPr>
              <w:textAlignment w:val="bottom"/>
            </w:pPr>
            <w:r>
              <w:rPr>
                <w:rFonts w:ascii="Arial" w:eastAsia="宋体" w:hAnsi="Arial" w:cs="Arial"/>
                <w:color w:val="000000"/>
                <w:sz w:val="14"/>
                <w:szCs w:val="14"/>
              </w:rPr>
              <w:t>Deposits:</w:t>
            </w:r>
          </w:p>
        </w:tc>
        <w:tc>
          <w:tcPr>
            <w:tcW w:w="0" w:type="auto"/>
            <w:gridSpan w:val="3"/>
            <w:shd w:val="clear" w:color="auto" w:fill="FFFFFF"/>
            <w:tcMar>
              <w:top w:w="0" w:type="dxa"/>
              <w:left w:w="20" w:type="dxa"/>
              <w:bottom w:w="0" w:type="dxa"/>
              <w:right w:w="20" w:type="dxa"/>
            </w:tcMar>
            <w:vAlign w:val="bottom"/>
          </w:tcPr>
          <w:p w14:paraId="5F2D08B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8BF" w14:textId="77777777" w:rsidR="00E836FB" w:rsidRDefault="00E836FB">
            <w:pPr>
              <w:rPr>
                <w:rFonts w:ascii="宋体"/>
              </w:rPr>
            </w:pPr>
          </w:p>
        </w:tc>
      </w:tr>
      <w:tr w:rsidR="00E836FB" w14:paraId="5F2D08D5" w14:textId="77777777">
        <w:tc>
          <w:tcPr>
            <w:tcW w:w="0" w:type="auto"/>
            <w:gridSpan w:val="3"/>
            <w:shd w:val="clear" w:color="auto" w:fill="CCEEFF"/>
            <w:tcMar>
              <w:top w:w="40" w:type="dxa"/>
              <w:left w:w="20" w:type="dxa"/>
              <w:bottom w:w="40" w:type="dxa"/>
              <w:right w:w="20" w:type="dxa"/>
            </w:tcMar>
            <w:vAlign w:val="bottom"/>
          </w:tcPr>
          <w:p w14:paraId="5F2D08C1" w14:textId="77777777" w:rsidR="00E836FB" w:rsidRDefault="00994958">
            <w:pPr>
              <w:textAlignment w:val="bottom"/>
            </w:pPr>
            <w:r>
              <w:rPr>
                <w:rFonts w:ascii="Arial" w:eastAsia="宋体" w:hAnsi="Arial" w:cs="Arial"/>
                <w:color w:val="000000"/>
                <w:sz w:val="14"/>
                <w:szCs w:val="14"/>
              </w:rPr>
              <w:t>   Non-interest-bearing</w:t>
            </w:r>
          </w:p>
        </w:tc>
        <w:tc>
          <w:tcPr>
            <w:tcW w:w="0" w:type="auto"/>
            <w:shd w:val="clear" w:color="auto" w:fill="CCEEFF"/>
            <w:tcMar>
              <w:top w:w="40" w:type="dxa"/>
              <w:left w:w="20" w:type="dxa"/>
              <w:bottom w:w="40" w:type="dxa"/>
              <w:right w:w="0" w:type="dxa"/>
            </w:tcMar>
            <w:vAlign w:val="bottom"/>
          </w:tcPr>
          <w:p w14:paraId="5F2D08C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C3" w14:textId="77777777" w:rsidR="00E836FB" w:rsidRDefault="00994958">
            <w:pPr>
              <w:jc w:val="right"/>
              <w:textAlignment w:val="bottom"/>
            </w:pPr>
            <w:r>
              <w:rPr>
                <w:rFonts w:ascii="Arial" w:eastAsia="宋体" w:hAnsi="Arial" w:cs="Arial"/>
                <w:b/>
                <w:bCs/>
                <w:color w:val="000000"/>
                <w:sz w:val="14"/>
                <w:szCs w:val="14"/>
              </w:rPr>
              <w:t>56,461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C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C6"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C7" w14:textId="77777777" w:rsidR="00E836FB" w:rsidRDefault="00994958">
            <w:pPr>
              <w:jc w:val="right"/>
              <w:textAlignment w:val="bottom"/>
            </w:pPr>
            <w:r>
              <w:rPr>
                <w:rFonts w:ascii="Arial" w:eastAsia="宋体" w:hAnsi="Arial" w:cs="Arial"/>
                <w:b/>
                <w:bCs/>
                <w:color w:val="000000"/>
                <w:sz w:val="14"/>
                <w:szCs w:val="14"/>
              </w:rPr>
              <w:t>56,461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C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CA"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C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C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CE"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CF" w14:textId="77777777" w:rsidR="00E836FB" w:rsidRDefault="00994958">
            <w:pPr>
              <w:jc w:val="right"/>
              <w:textAlignment w:val="bottom"/>
            </w:pPr>
            <w:r>
              <w:rPr>
                <w:rFonts w:ascii="Arial" w:eastAsia="宋体" w:hAnsi="Arial" w:cs="Arial"/>
                <w:b/>
                <w:bCs/>
                <w:color w:val="000000"/>
                <w:sz w:val="14"/>
                <w:szCs w:val="14"/>
              </w:rPr>
              <w:t>56,461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D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8D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08D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D4" w14:textId="77777777" w:rsidR="00E836FB" w:rsidRDefault="00E836FB">
            <w:pPr>
              <w:jc w:val="right"/>
              <w:rPr>
                <w:rFonts w:ascii="宋体"/>
              </w:rPr>
            </w:pPr>
          </w:p>
        </w:tc>
      </w:tr>
      <w:tr w:rsidR="00E836FB" w14:paraId="5F2D08E5" w14:textId="77777777">
        <w:tc>
          <w:tcPr>
            <w:tcW w:w="0" w:type="auto"/>
            <w:gridSpan w:val="3"/>
            <w:shd w:val="clear" w:color="auto" w:fill="FFFFFF"/>
            <w:tcMar>
              <w:top w:w="40" w:type="dxa"/>
              <w:left w:w="20" w:type="dxa"/>
              <w:bottom w:w="40" w:type="dxa"/>
              <w:right w:w="20" w:type="dxa"/>
            </w:tcMar>
            <w:vAlign w:val="bottom"/>
          </w:tcPr>
          <w:p w14:paraId="5F2D08D6" w14:textId="77777777" w:rsidR="00E836FB" w:rsidRDefault="00994958">
            <w:pPr>
              <w:textAlignment w:val="bottom"/>
            </w:pPr>
            <w:r>
              <w:rPr>
                <w:rFonts w:ascii="Arial" w:eastAsia="宋体" w:hAnsi="Arial" w:cs="Arial"/>
                <w:color w:val="000000"/>
                <w:sz w:val="14"/>
                <w:szCs w:val="14"/>
              </w:rPr>
              <w:t>   Interest-bearing - U.S.</w:t>
            </w:r>
          </w:p>
        </w:tc>
        <w:tc>
          <w:tcPr>
            <w:tcW w:w="0" w:type="auto"/>
            <w:gridSpan w:val="2"/>
            <w:shd w:val="clear" w:color="auto" w:fill="FFFFFF"/>
            <w:tcMar>
              <w:top w:w="40" w:type="dxa"/>
              <w:left w:w="20" w:type="dxa"/>
              <w:bottom w:w="40" w:type="dxa"/>
              <w:right w:w="0" w:type="dxa"/>
            </w:tcMar>
            <w:vAlign w:val="bottom"/>
          </w:tcPr>
          <w:p w14:paraId="5F2D08D7" w14:textId="77777777" w:rsidR="00E836FB" w:rsidRDefault="00994958">
            <w:pPr>
              <w:jc w:val="right"/>
              <w:textAlignment w:val="bottom"/>
            </w:pPr>
            <w:r>
              <w:rPr>
                <w:rFonts w:ascii="Arial" w:eastAsia="宋体" w:hAnsi="Arial" w:cs="Arial"/>
                <w:b/>
                <w:bCs/>
                <w:color w:val="000000"/>
                <w:sz w:val="14"/>
                <w:szCs w:val="14"/>
              </w:rPr>
              <w:t>102,985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D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DA" w14:textId="77777777" w:rsidR="00E836FB" w:rsidRDefault="00994958">
            <w:pPr>
              <w:jc w:val="right"/>
              <w:textAlignment w:val="bottom"/>
            </w:pPr>
            <w:r>
              <w:rPr>
                <w:rFonts w:ascii="Arial" w:eastAsia="宋体" w:hAnsi="Arial" w:cs="Arial"/>
                <w:b/>
                <w:bCs/>
                <w:color w:val="000000"/>
                <w:sz w:val="14"/>
                <w:szCs w:val="14"/>
              </w:rPr>
              <w:t>102,985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D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D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D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E0" w14:textId="77777777" w:rsidR="00E836FB" w:rsidRDefault="00994958">
            <w:pPr>
              <w:jc w:val="right"/>
              <w:textAlignment w:val="bottom"/>
            </w:pPr>
            <w:r>
              <w:rPr>
                <w:rFonts w:ascii="Arial" w:eastAsia="宋体" w:hAnsi="Arial" w:cs="Arial"/>
                <w:b/>
                <w:bCs/>
                <w:color w:val="000000"/>
                <w:sz w:val="14"/>
                <w:szCs w:val="14"/>
              </w:rPr>
              <w:t>102,985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E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E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E4" w14:textId="77777777" w:rsidR="00E836FB" w:rsidRDefault="00E836FB">
            <w:pPr>
              <w:jc w:val="right"/>
              <w:rPr>
                <w:rFonts w:ascii="宋体"/>
              </w:rPr>
            </w:pPr>
          </w:p>
        </w:tc>
      </w:tr>
      <w:tr w:rsidR="00E836FB" w14:paraId="5F2D08F5" w14:textId="77777777">
        <w:tc>
          <w:tcPr>
            <w:tcW w:w="0" w:type="auto"/>
            <w:gridSpan w:val="3"/>
            <w:shd w:val="clear" w:color="auto" w:fill="CCEEFF"/>
            <w:tcMar>
              <w:top w:w="40" w:type="dxa"/>
              <w:left w:w="20" w:type="dxa"/>
              <w:bottom w:w="40" w:type="dxa"/>
              <w:right w:w="20" w:type="dxa"/>
            </w:tcMar>
            <w:vAlign w:val="bottom"/>
          </w:tcPr>
          <w:p w14:paraId="5F2D08E6" w14:textId="77777777" w:rsidR="00E836FB" w:rsidRDefault="00994958">
            <w:pPr>
              <w:textAlignment w:val="bottom"/>
            </w:pPr>
            <w:r>
              <w:rPr>
                <w:rFonts w:ascii="Arial" w:eastAsia="宋体" w:hAnsi="Arial" w:cs="Arial"/>
                <w:color w:val="000000"/>
                <w:sz w:val="14"/>
                <w:szCs w:val="14"/>
              </w:rPr>
              <w:t>   Interest-bearing - non-U.S.</w:t>
            </w:r>
          </w:p>
        </w:tc>
        <w:tc>
          <w:tcPr>
            <w:tcW w:w="0" w:type="auto"/>
            <w:gridSpan w:val="2"/>
            <w:shd w:val="clear" w:color="auto" w:fill="CCEEFF"/>
            <w:tcMar>
              <w:top w:w="40" w:type="dxa"/>
              <w:left w:w="20" w:type="dxa"/>
              <w:bottom w:w="40" w:type="dxa"/>
              <w:right w:w="0" w:type="dxa"/>
            </w:tcMar>
            <w:vAlign w:val="bottom"/>
          </w:tcPr>
          <w:p w14:paraId="5F2D08E7" w14:textId="77777777" w:rsidR="00E836FB" w:rsidRDefault="00994958">
            <w:pPr>
              <w:jc w:val="right"/>
              <w:textAlignment w:val="bottom"/>
            </w:pPr>
            <w:r>
              <w:rPr>
                <w:rFonts w:ascii="Arial" w:eastAsia="宋体" w:hAnsi="Arial" w:cs="Arial"/>
                <w:b/>
                <w:bCs/>
                <w:color w:val="000000"/>
                <w:sz w:val="14"/>
                <w:szCs w:val="14"/>
              </w:rPr>
              <w:t>95,589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EA" w14:textId="77777777" w:rsidR="00E836FB" w:rsidRDefault="00994958">
            <w:pPr>
              <w:jc w:val="right"/>
              <w:textAlignment w:val="bottom"/>
            </w:pPr>
            <w:r>
              <w:rPr>
                <w:rFonts w:ascii="Arial" w:eastAsia="宋体" w:hAnsi="Arial" w:cs="Arial"/>
                <w:b/>
                <w:bCs/>
                <w:color w:val="000000"/>
                <w:sz w:val="14"/>
                <w:szCs w:val="14"/>
              </w:rPr>
              <w:t>95,589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E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F0" w14:textId="77777777" w:rsidR="00E836FB" w:rsidRDefault="00994958">
            <w:pPr>
              <w:jc w:val="right"/>
              <w:textAlignment w:val="bottom"/>
            </w:pPr>
            <w:r>
              <w:rPr>
                <w:rFonts w:ascii="Arial" w:eastAsia="宋体" w:hAnsi="Arial" w:cs="Arial"/>
                <w:b/>
                <w:bCs/>
                <w:color w:val="000000"/>
                <w:sz w:val="14"/>
                <w:szCs w:val="14"/>
              </w:rPr>
              <w:t>95,589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8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8F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8F4" w14:textId="77777777" w:rsidR="00E836FB" w:rsidRDefault="00E836FB">
            <w:pPr>
              <w:jc w:val="right"/>
              <w:rPr>
                <w:rFonts w:ascii="宋体"/>
              </w:rPr>
            </w:pPr>
          </w:p>
        </w:tc>
      </w:tr>
      <w:tr w:rsidR="00E836FB" w14:paraId="5F2D0905" w14:textId="77777777">
        <w:tc>
          <w:tcPr>
            <w:tcW w:w="0" w:type="auto"/>
            <w:gridSpan w:val="3"/>
            <w:shd w:val="clear" w:color="auto" w:fill="FFFFFF"/>
            <w:tcMar>
              <w:top w:w="40" w:type="dxa"/>
              <w:left w:w="20" w:type="dxa"/>
              <w:bottom w:w="40" w:type="dxa"/>
              <w:right w:w="20" w:type="dxa"/>
            </w:tcMar>
            <w:vAlign w:val="bottom"/>
          </w:tcPr>
          <w:p w14:paraId="5F2D08F6" w14:textId="77777777" w:rsidR="00E836FB" w:rsidRDefault="00994958">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5F2D08F7" w14:textId="77777777" w:rsidR="00E836FB" w:rsidRDefault="00994958">
            <w:pPr>
              <w:jc w:val="right"/>
              <w:textAlignment w:val="bottom"/>
            </w:pPr>
            <w:r>
              <w:rPr>
                <w:rFonts w:ascii="Arial" w:eastAsia="宋体" w:hAnsi="Arial" w:cs="Arial"/>
                <w:b/>
                <w:bCs/>
                <w:color w:val="000000"/>
                <w:sz w:val="14"/>
                <w:szCs w:val="14"/>
              </w:rPr>
              <w:t>1,575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F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FA" w14:textId="77777777" w:rsidR="00E836FB" w:rsidRDefault="00994958">
            <w:pPr>
              <w:jc w:val="right"/>
              <w:textAlignment w:val="bottom"/>
            </w:pPr>
            <w:r>
              <w:rPr>
                <w:rFonts w:ascii="Arial" w:eastAsia="宋体" w:hAnsi="Arial" w:cs="Arial"/>
                <w:b/>
                <w:bCs/>
                <w:color w:val="000000"/>
                <w:sz w:val="14"/>
                <w:szCs w:val="14"/>
              </w:rPr>
              <w:t>1,575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F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F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8F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8F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8F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00" w14:textId="77777777" w:rsidR="00E836FB" w:rsidRDefault="00994958">
            <w:pPr>
              <w:jc w:val="right"/>
              <w:textAlignment w:val="bottom"/>
            </w:pPr>
            <w:r>
              <w:rPr>
                <w:rFonts w:ascii="Arial" w:eastAsia="宋体" w:hAnsi="Arial" w:cs="Arial"/>
                <w:b/>
                <w:bCs/>
                <w:color w:val="000000"/>
                <w:sz w:val="14"/>
                <w:szCs w:val="14"/>
              </w:rPr>
              <w:t>1,575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0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0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0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04" w14:textId="77777777" w:rsidR="00E836FB" w:rsidRDefault="00E836FB">
            <w:pPr>
              <w:jc w:val="right"/>
              <w:rPr>
                <w:rFonts w:ascii="宋体"/>
              </w:rPr>
            </w:pPr>
          </w:p>
        </w:tc>
      </w:tr>
      <w:tr w:rsidR="00E836FB" w14:paraId="5F2D0910" w14:textId="77777777">
        <w:trPr>
          <w:hidden/>
        </w:trPr>
        <w:tc>
          <w:tcPr>
            <w:tcW w:w="0" w:type="auto"/>
            <w:gridSpan w:val="3"/>
            <w:shd w:val="clear" w:color="auto" w:fill="auto"/>
            <w:vAlign w:val="bottom"/>
          </w:tcPr>
          <w:p w14:paraId="5F2D0906" w14:textId="77777777" w:rsidR="00E836FB" w:rsidRDefault="00E836FB">
            <w:pPr>
              <w:rPr>
                <w:rFonts w:ascii="宋体"/>
                <w:vanish/>
              </w:rPr>
            </w:pPr>
          </w:p>
        </w:tc>
        <w:tc>
          <w:tcPr>
            <w:tcW w:w="0" w:type="auto"/>
            <w:gridSpan w:val="3"/>
            <w:shd w:val="clear" w:color="auto" w:fill="auto"/>
            <w:vAlign w:val="bottom"/>
          </w:tcPr>
          <w:p w14:paraId="5F2D0907" w14:textId="77777777" w:rsidR="00E836FB" w:rsidRDefault="00E836FB">
            <w:pPr>
              <w:rPr>
                <w:rFonts w:ascii="宋体"/>
                <w:vanish/>
              </w:rPr>
            </w:pPr>
          </w:p>
        </w:tc>
        <w:tc>
          <w:tcPr>
            <w:tcW w:w="0" w:type="auto"/>
            <w:gridSpan w:val="3"/>
            <w:shd w:val="clear" w:color="auto" w:fill="auto"/>
            <w:vAlign w:val="bottom"/>
          </w:tcPr>
          <w:p w14:paraId="5F2D0908" w14:textId="77777777" w:rsidR="00E836FB" w:rsidRDefault="00E836FB">
            <w:pPr>
              <w:rPr>
                <w:rFonts w:ascii="宋体"/>
                <w:vanish/>
              </w:rPr>
            </w:pPr>
          </w:p>
        </w:tc>
        <w:tc>
          <w:tcPr>
            <w:tcW w:w="0" w:type="auto"/>
            <w:gridSpan w:val="3"/>
            <w:shd w:val="clear" w:color="auto" w:fill="auto"/>
            <w:vAlign w:val="bottom"/>
          </w:tcPr>
          <w:p w14:paraId="5F2D0909" w14:textId="77777777" w:rsidR="00E836FB" w:rsidRDefault="00E836FB">
            <w:pPr>
              <w:rPr>
                <w:rFonts w:ascii="宋体"/>
                <w:vanish/>
              </w:rPr>
            </w:pPr>
          </w:p>
        </w:tc>
        <w:tc>
          <w:tcPr>
            <w:tcW w:w="0" w:type="auto"/>
            <w:gridSpan w:val="3"/>
            <w:shd w:val="clear" w:color="auto" w:fill="auto"/>
            <w:vAlign w:val="bottom"/>
          </w:tcPr>
          <w:p w14:paraId="5F2D090A" w14:textId="77777777" w:rsidR="00E836FB" w:rsidRDefault="00E836FB">
            <w:pPr>
              <w:rPr>
                <w:rFonts w:ascii="宋体"/>
                <w:vanish/>
              </w:rPr>
            </w:pPr>
          </w:p>
        </w:tc>
        <w:tc>
          <w:tcPr>
            <w:tcW w:w="0" w:type="auto"/>
            <w:gridSpan w:val="3"/>
            <w:shd w:val="clear" w:color="auto" w:fill="auto"/>
            <w:vAlign w:val="bottom"/>
          </w:tcPr>
          <w:p w14:paraId="5F2D090B" w14:textId="77777777" w:rsidR="00E836FB" w:rsidRDefault="00E836FB">
            <w:pPr>
              <w:rPr>
                <w:rFonts w:ascii="宋体"/>
                <w:vanish/>
              </w:rPr>
            </w:pPr>
          </w:p>
        </w:tc>
        <w:tc>
          <w:tcPr>
            <w:tcW w:w="0" w:type="auto"/>
            <w:gridSpan w:val="3"/>
            <w:shd w:val="clear" w:color="auto" w:fill="auto"/>
            <w:vAlign w:val="bottom"/>
          </w:tcPr>
          <w:p w14:paraId="5F2D090C" w14:textId="77777777" w:rsidR="00E836FB" w:rsidRDefault="00E836FB">
            <w:pPr>
              <w:rPr>
                <w:rFonts w:ascii="宋体"/>
                <w:vanish/>
              </w:rPr>
            </w:pPr>
          </w:p>
        </w:tc>
        <w:tc>
          <w:tcPr>
            <w:tcW w:w="0" w:type="auto"/>
            <w:gridSpan w:val="3"/>
            <w:shd w:val="clear" w:color="auto" w:fill="auto"/>
            <w:vAlign w:val="bottom"/>
          </w:tcPr>
          <w:p w14:paraId="5F2D090D" w14:textId="77777777" w:rsidR="00E836FB" w:rsidRDefault="00E836FB">
            <w:pPr>
              <w:rPr>
                <w:rFonts w:ascii="宋体"/>
                <w:vanish/>
              </w:rPr>
            </w:pPr>
          </w:p>
        </w:tc>
        <w:tc>
          <w:tcPr>
            <w:tcW w:w="0" w:type="auto"/>
            <w:gridSpan w:val="3"/>
            <w:shd w:val="clear" w:color="auto" w:fill="auto"/>
            <w:vAlign w:val="bottom"/>
          </w:tcPr>
          <w:p w14:paraId="5F2D090E" w14:textId="77777777" w:rsidR="00E836FB" w:rsidRDefault="00E836FB">
            <w:pPr>
              <w:rPr>
                <w:rFonts w:ascii="宋体"/>
                <w:vanish/>
              </w:rPr>
            </w:pPr>
          </w:p>
        </w:tc>
        <w:tc>
          <w:tcPr>
            <w:tcW w:w="0" w:type="auto"/>
            <w:gridSpan w:val="3"/>
            <w:shd w:val="clear" w:color="auto" w:fill="auto"/>
            <w:vAlign w:val="bottom"/>
          </w:tcPr>
          <w:p w14:paraId="5F2D090F" w14:textId="77777777" w:rsidR="00E836FB" w:rsidRDefault="00E836FB">
            <w:pPr>
              <w:rPr>
                <w:rFonts w:ascii="宋体"/>
                <w:vanish/>
              </w:rPr>
            </w:pPr>
          </w:p>
        </w:tc>
      </w:tr>
      <w:tr w:rsidR="00E836FB" w14:paraId="5F2D0920" w14:textId="77777777">
        <w:tc>
          <w:tcPr>
            <w:tcW w:w="0" w:type="auto"/>
            <w:gridSpan w:val="3"/>
            <w:shd w:val="clear" w:color="auto" w:fill="CCEEFF"/>
            <w:tcMar>
              <w:top w:w="40" w:type="dxa"/>
              <w:left w:w="20" w:type="dxa"/>
              <w:bottom w:w="40" w:type="dxa"/>
              <w:right w:w="20" w:type="dxa"/>
            </w:tcMar>
            <w:vAlign w:val="bottom"/>
          </w:tcPr>
          <w:p w14:paraId="5F2D0911" w14:textId="77777777" w:rsidR="00E836FB" w:rsidRDefault="00994958">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5F2D0912" w14:textId="77777777" w:rsidR="00E836FB" w:rsidRDefault="00994958">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15" w14:textId="77777777" w:rsidR="00E836FB" w:rsidRDefault="00994958">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1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1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1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1B" w14:textId="77777777" w:rsidR="00E836FB" w:rsidRDefault="00994958">
            <w:pPr>
              <w:jc w:val="right"/>
              <w:textAlignment w:val="bottom"/>
            </w:pPr>
            <w:r>
              <w:rPr>
                <w:rFonts w:ascii="Arial" w:eastAsia="宋体" w:hAnsi="Arial" w:cs="Arial"/>
                <w:b/>
                <w:bCs/>
                <w:color w:val="000000"/>
                <w:sz w:val="14"/>
                <w:szCs w:val="14"/>
              </w:rPr>
              <w:t>128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1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1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1F" w14:textId="77777777" w:rsidR="00E836FB" w:rsidRDefault="00E836FB">
            <w:pPr>
              <w:jc w:val="right"/>
              <w:rPr>
                <w:rFonts w:ascii="宋体"/>
              </w:rPr>
            </w:pPr>
          </w:p>
        </w:tc>
      </w:tr>
      <w:tr w:rsidR="00E836FB" w14:paraId="5F2D092B" w14:textId="77777777">
        <w:trPr>
          <w:hidden/>
        </w:trPr>
        <w:tc>
          <w:tcPr>
            <w:tcW w:w="0" w:type="auto"/>
            <w:gridSpan w:val="3"/>
            <w:shd w:val="clear" w:color="auto" w:fill="auto"/>
            <w:vAlign w:val="bottom"/>
          </w:tcPr>
          <w:p w14:paraId="5F2D0921" w14:textId="77777777" w:rsidR="00E836FB" w:rsidRDefault="00E836FB">
            <w:pPr>
              <w:rPr>
                <w:rFonts w:ascii="宋体"/>
                <w:vanish/>
              </w:rPr>
            </w:pPr>
          </w:p>
        </w:tc>
        <w:tc>
          <w:tcPr>
            <w:tcW w:w="0" w:type="auto"/>
            <w:gridSpan w:val="3"/>
            <w:shd w:val="clear" w:color="auto" w:fill="auto"/>
            <w:vAlign w:val="bottom"/>
          </w:tcPr>
          <w:p w14:paraId="5F2D0922" w14:textId="77777777" w:rsidR="00E836FB" w:rsidRDefault="00E836FB">
            <w:pPr>
              <w:rPr>
                <w:rFonts w:ascii="宋体"/>
                <w:vanish/>
              </w:rPr>
            </w:pPr>
          </w:p>
        </w:tc>
        <w:tc>
          <w:tcPr>
            <w:tcW w:w="0" w:type="auto"/>
            <w:gridSpan w:val="3"/>
            <w:shd w:val="clear" w:color="auto" w:fill="auto"/>
            <w:vAlign w:val="bottom"/>
          </w:tcPr>
          <w:p w14:paraId="5F2D0923" w14:textId="77777777" w:rsidR="00E836FB" w:rsidRDefault="00E836FB">
            <w:pPr>
              <w:rPr>
                <w:rFonts w:ascii="宋体"/>
                <w:vanish/>
              </w:rPr>
            </w:pPr>
          </w:p>
        </w:tc>
        <w:tc>
          <w:tcPr>
            <w:tcW w:w="0" w:type="auto"/>
            <w:gridSpan w:val="3"/>
            <w:shd w:val="clear" w:color="auto" w:fill="auto"/>
            <w:vAlign w:val="bottom"/>
          </w:tcPr>
          <w:p w14:paraId="5F2D0924" w14:textId="77777777" w:rsidR="00E836FB" w:rsidRDefault="00E836FB">
            <w:pPr>
              <w:rPr>
                <w:rFonts w:ascii="宋体"/>
                <w:vanish/>
              </w:rPr>
            </w:pPr>
          </w:p>
        </w:tc>
        <w:tc>
          <w:tcPr>
            <w:tcW w:w="0" w:type="auto"/>
            <w:gridSpan w:val="3"/>
            <w:shd w:val="clear" w:color="auto" w:fill="auto"/>
            <w:vAlign w:val="bottom"/>
          </w:tcPr>
          <w:p w14:paraId="5F2D0925" w14:textId="77777777" w:rsidR="00E836FB" w:rsidRDefault="00E836FB">
            <w:pPr>
              <w:rPr>
                <w:rFonts w:ascii="宋体"/>
                <w:vanish/>
              </w:rPr>
            </w:pPr>
          </w:p>
        </w:tc>
        <w:tc>
          <w:tcPr>
            <w:tcW w:w="0" w:type="auto"/>
            <w:gridSpan w:val="3"/>
            <w:shd w:val="clear" w:color="auto" w:fill="auto"/>
            <w:vAlign w:val="bottom"/>
          </w:tcPr>
          <w:p w14:paraId="5F2D0926" w14:textId="77777777" w:rsidR="00E836FB" w:rsidRDefault="00E836FB">
            <w:pPr>
              <w:rPr>
                <w:rFonts w:ascii="宋体"/>
                <w:vanish/>
              </w:rPr>
            </w:pPr>
          </w:p>
        </w:tc>
        <w:tc>
          <w:tcPr>
            <w:tcW w:w="0" w:type="auto"/>
            <w:gridSpan w:val="3"/>
            <w:shd w:val="clear" w:color="auto" w:fill="auto"/>
            <w:vAlign w:val="bottom"/>
          </w:tcPr>
          <w:p w14:paraId="5F2D0927" w14:textId="77777777" w:rsidR="00E836FB" w:rsidRDefault="00E836FB">
            <w:pPr>
              <w:rPr>
                <w:rFonts w:ascii="宋体"/>
                <w:vanish/>
              </w:rPr>
            </w:pPr>
          </w:p>
        </w:tc>
        <w:tc>
          <w:tcPr>
            <w:tcW w:w="0" w:type="auto"/>
            <w:gridSpan w:val="3"/>
            <w:shd w:val="clear" w:color="auto" w:fill="auto"/>
            <w:vAlign w:val="bottom"/>
          </w:tcPr>
          <w:p w14:paraId="5F2D0928" w14:textId="77777777" w:rsidR="00E836FB" w:rsidRDefault="00E836FB">
            <w:pPr>
              <w:rPr>
                <w:rFonts w:ascii="宋体"/>
                <w:vanish/>
              </w:rPr>
            </w:pPr>
          </w:p>
        </w:tc>
        <w:tc>
          <w:tcPr>
            <w:tcW w:w="0" w:type="auto"/>
            <w:gridSpan w:val="3"/>
            <w:shd w:val="clear" w:color="auto" w:fill="auto"/>
            <w:vAlign w:val="bottom"/>
          </w:tcPr>
          <w:p w14:paraId="5F2D0929" w14:textId="77777777" w:rsidR="00E836FB" w:rsidRDefault="00E836FB">
            <w:pPr>
              <w:rPr>
                <w:rFonts w:ascii="宋体"/>
                <w:vanish/>
              </w:rPr>
            </w:pPr>
          </w:p>
        </w:tc>
        <w:tc>
          <w:tcPr>
            <w:tcW w:w="0" w:type="auto"/>
            <w:gridSpan w:val="3"/>
            <w:shd w:val="clear" w:color="auto" w:fill="auto"/>
            <w:vAlign w:val="bottom"/>
          </w:tcPr>
          <w:p w14:paraId="5F2D092A" w14:textId="77777777" w:rsidR="00E836FB" w:rsidRDefault="00E836FB">
            <w:pPr>
              <w:rPr>
                <w:rFonts w:ascii="宋体"/>
                <w:vanish/>
              </w:rPr>
            </w:pPr>
          </w:p>
        </w:tc>
      </w:tr>
      <w:tr w:rsidR="00E836FB" w14:paraId="5F2D093B" w14:textId="77777777">
        <w:tc>
          <w:tcPr>
            <w:tcW w:w="0" w:type="auto"/>
            <w:gridSpan w:val="3"/>
            <w:shd w:val="clear" w:color="auto" w:fill="FFFFFF"/>
            <w:tcMar>
              <w:top w:w="40" w:type="dxa"/>
              <w:left w:w="20" w:type="dxa"/>
              <w:bottom w:w="40" w:type="dxa"/>
              <w:right w:w="20" w:type="dxa"/>
            </w:tcMar>
            <w:vAlign w:val="bottom"/>
          </w:tcPr>
          <w:p w14:paraId="5F2D092C" w14:textId="77777777" w:rsidR="00E836FB" w:rsidRDefault="00994958">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5F2D092D" w14:textId="77777777" w:rsidR="00E836FB" w:rsidRDefault="00994958">
            <w:pPr>
              <w:jc w:val="right"/>
              <w:textAlignment w:val="bottom"/>
            </w:pPr>
            <w:r>
              <w:rPr>
                <w:rFonts w:ascii="Arial" w:eastAsia="宋体" w:hAnsi="Arial" w:cs="Arial"/>
                <w:b/>
                <w:bCs/>
                <w:color w:val="000000"/>
                <w:sz w:val="14"/>
                <w:szCs w:val="14"/>
              </w:rPr>
              <w:t>13,475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2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2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30" w14:textId="77777777" w:rsidR="00E836FB" w:rsidRDefault="00994958">
            <w:pPr>
              <w:jc w:val="right"/>
              <w:textAlignment w:val="bottom"/>
            </w:pPr>
            <w:r>
              <w:rPr>
                <w:rFonts w:ascii="Arial" w:eastAsia="宋体" w:hAnsi="Arial" w:cs="Arial"/>
                <w:b/>
                <w:bCs/>
                <w:color w:val="000000"/>
                <w:sz w:val="14"/>
                <w:szCs w:val="14"/>
              </w:rPr>
              <w:t>13,552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3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3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3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36" w14:textId="77777777" w:rsidR="00E836FB" w:rsidRDefault="00994958">
            <w:pPr>
              <w:jc w:val="right"/>
              <w:textAlignment w:val="bottom"/>
            </w:pPr>
            <w:r>
              <w:rPr>
                <w:rFonts w:ascii="Arial" w:eastAsia="宋体" w:hAnsi="Arial" w:cs="Arial"/>
                <w:b/>
                <w:bCs/>
                <w:color w:val="000000"/>
                <w:sz w:val="14"/>
                <w:szCs w:val="14"/>
              </w:rPr>
              <w:t>13,385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3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39" w14:textId="77777777" w:rsidR="00E836FB" w:rsidRDefault="00994958">
            <w:pPr>
              <w:jc w:val="right"/>
              <w:textAlignment w:val="bottom"/>
            </w:pPr>
            <w:r>
              <w:rPr>
                <w:rFonts w:ascii="Arial" w:eastAsia="宋体" w:hAnsi="Arial" w:cs="Arial"/>
                <w:b/>
                <w:bCs/>
                <w:color w:val="000000"/>
                <w:sz w:val="14"/>
                <w:szCs w:val="14"/>
              </w:rPr>
              <w:t>167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3A" w14:textId="77777777" w:rsidR="00E836FB" w:rsidRDefault="00E836FB">
            <w:pPr>
              <w:jc w:val="right"/>
              <w:rPr>
                <w:rFonts w:ascii="宋体"/>
              </w:rPr>
            </w:pPr>
          </w:p>
        </w:tc>
      </w:tr>
      <w:tr w:rsidR="00E836FB" w14:paraId="5F2D094B" w14:textId="77777777">
        <w:tc>
          <w:tcPr>
            <w:tcW w:w="0" w:type="auto"/>
            <w:gridSpan w:val="3"/>
            <w:shd w:val="clear" w:color="auto" w:fill="CCEEFF"/>
            <w:tcMar>
              <w:top w:w="40" w:type="dxa"/>
              <w:left w:w="20" w:type="dxa"/>
              <w:bottom w:w="40" w:type="dxa"/>
              <w:right w:w="20" w:type="dxa"/>
            </w:tcMar>
            <w:vAlign w:val="bottom"/>
          </w:tcPr>
          <w:p w14:paraId="5F2D093C"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D093D"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3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40"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4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4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4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46"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4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4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4A" w14:textId="77777777" w:rsidR="00E836FB" w:rsidRDefault="00E836FB">
            <w:pPr>
              <w:jc w:val="right"/>
              <w:rPr>
                <w:rFonts w:ascii="宋体"/>
              </w:rPr>
            </w:pPr>
          </w:p>
        </w:tc>
      </w:tr>
    </w:tbl>
    <w:p w14:paraId="5F2D094C"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E836FB" w14:paraId="5F2D0959" w14:textId="77777777">
        <w:tc>
          <w:tcPr>
            <w:tcW w:w="50" w:type="pct"/>
            <w:shd w:val="clear" w:color="auto" w:fill="auto"/>
            <w:vAlign w:val="bottom"/>
          </w:tcPr>
          <w:p w14:paraId="5F2D094D" w14:textId="77777777" w:rsidR="00E836FB" w:rsidRDefault="00E836FB">
            <w:pPr>
              <w:rPr>
                <w:rFonts w:ascii="宋体"/>
              </w:rPr>
            </w:pPr>
          </w:p>
        </w:tc>
        <w:tc>
          <w:tcPr>
            <w:tcW w:w="1348" w:type="pct"/>
            <w:shd w:val="clear" w:color="auto" w:fill="auto"/>
            <w:vAlign w:val="bottom"/>
          </w:tcPr>
          <w:p w14:paraId="5F2D094E" w14:textId="77777777" w:rsidR="00E836FB" w:rsidRDefault="00E836FB">
            <w:pPr>
              <w:rPr>
                <w:rFonts w:ascii="宋体"/>
              </w:rPr>
            </w:pPr>
          </w:p>
        </w:tc>
        <w:tc>
          <w:tcPr>
            <w:tcW w:w="5" w:type="pct"/>
            <w:shd w:val="clear" w:color="auto" w:fill="auto"/>
            <w:vAlign w:val="bottom"/>
          </w:tcPr>
          <w:p w14:paraId="5F2D094F" w14:textId="77777777" w:rsidR="00E836FB" w:rsidRDefault="00E836FB">
            <w:pPr>
              <w:rPr>
                <w:rFonts w:ascii="宋体"/>
              </w:rPr>
            </w:pPr>
          </w:p>
        </w:tc>
        <w:tc>
          <w:tcPr>
            <w:tcW w:w="50" w:type="pct"/>
            <w:shd w:val="clear" w:color="auto" w:fill="auto"/>
            <w:vAlign w:val="bottom"/>
          </w:tcPr>
          <w:p w14:paraId="5F2D0950" w14:textId="77777777" w:rsidR="00E836FB" w:rsidRDefault="00E836FB">
            <w:pPr>
              <w:rPr>
                <w:rFonts w:ascii="宋体"/>
              </w:rPr>
            </w:pPr>
          </w:p>
        </w:tc>
        <w:tc>
          <w:tcPr>
            <w:tcW w:w="968" w:type="pct"/>
            <w:shd w:val="clear" w:color="auto" w:fill="auto"/>
            <w:vAlign w:val="bottom"/>
          </w:tcPr>
          <w:p w14:paraId="5F2D0951" w14:textId="77777777" w:rsidR="00E836FB" w:rsidRDefault="00E836FB">
            <w:pPr>
              <w:rPr>
                <w:rFonts w:ascii="宋体"/>
              </w:rPr>
            </w:pPr>
          </w:p>
        </w:tc>
        <w:tc>
          <w:tcPr>
            <w:tcW w:w="5" w:type="pct"/>
            <w:shd w:val="clear" w:color="auto" w:fill="auto"/>
            <w:vAlign w:val="bottom"/>
          </w:tcPr>
          <w:p w14:paraId="5F2D0952" w14:textId="77777777" w:rsidR="00E836FB" w:rsidRDefault="00E836FB">
            <w:pPr>
              <w:rPr>
                <w:rFonts w:ascii="宋体"/>
              </w:rPr>
            </w:pPr>
          </w:p>
        </w:tc>
        <w:tc>
          <w:tcPr>
            <w:tcW w:w="50" w:type="pct"/>
            <w:shd w:val="clear" w:color="auto" w:fill="auto"/>
            <w:vAlign w:val="bottom"/>
          </w:tcPr>
          <w:p w14:paraId="5F2D0953" w14:textId="77777777" w:rsidR="00E836FB" w:rsidRDefault="00E836FB">
            <w:pPr>
              <w:rPr>
                <w:rFonts w:ascii="宋体"/>
              </w:rPr>
            </w:pPr>
          </w:p>
        </w:tc>
        <w:tc>
          <w:tcPr>
            <w:tcW w:w="858" w:type="pct"/>
            <w:shd w:val="clear" w:color="auto" w:fill="auto"/>
            <w:vAlign w:val="bottom"/>
          </w:tcPr>
          <w:p w14:paraId="5F2D0954" w14:textId="77777777" w:rsidR="00E836FB" w:rsidRDefault="00E836FB">
            <w:pPr>
              <w:rPr>
                <w:rFonts w:ascii="宋体"/>
              </w:rPr>
            </w:pPr>
          </w:p>
        </w:tc>
        <w:tc>
          <w:tcPr>
            <w:tcW w:w="5" w:type="pct"/>
            <w:shd w:val="clear" w:color="auto" w:fill="auto"/>
            <w:vAlign w:val="bottom"/>
          </w:tcPr>
          <w:p w14:paraId="5F2D0955" w14:textId="77777777" w:rsidR="00E836FB" w:rsidRDefault="00E836FB">
            <w:pPr>
              <w:rPr>
                <w:rFonts w:ascii="宋体"/>
              </w:rPr>
            </w:pPr>
          </w:p>
        </w:tc>
        <w:tc>
          <w:tcPr>
            <w:tcW w:w="50" w:type="pct"/>
            <w:shd w:val="clear" w:color="auto" w:fill="auto"/>
            <w:vAlign w:val="bottom"/>
          </w:tcPr>
          <w:p w14:paraId="5F2D0956" w14:textId="77777777" w:rsidR="00E836FB" w:rsidRDefault="00E836FB">
            <w:pPr>
              <w:rPr>
                <w:rFonts w:ascii="宋体"/>
              </w:rPr>
            </w:pPr>
          </w:p>
        </w:tc>
        <w:tc>
          <w:tcPr>
            <w:tcW w:w="1604" w:type="pct"/>
            <w:shd w:val="clear" w:color="auto" w:fill="auto"/>
            <w:vAlign w:val="bottom"/>
          </w:tcPr>
          <w:p w14:paraId="5F2D0957" w14:textId="77777777" w:rsidR="00E836FB" w:rsidRDefault="00E836FB">
            <w:pPr>
              <w:rPr>
                <w:rFonts w:ascii="宋体"/>
              </w:rPr>
            </w:pPr>
          </w:p>
        </w:tc>
        <w:tc>
          <w:tcPr>
            <w:tcW w:w="5" w:type="pct"/>
            <w:shd w:val="clear" w:color="auto" w:fill="auto"/>
            <w:vAlign w:val="bottom"/>
          </w:tcPr>
          <w:p w14:paraId="5F2D0958" w14:textId="77777777" w:rsidR="00E836FB" w:rsidRDefault="00E836FB">
            <w:pPr>
              <w:rPr>
                <w:rFonts w:ascii="宋体"/>
              </w:rPr>
            </w:pPr>
          </w:p>
        </w:tc>
      </w:tr>
      <w:tr w:rsidR="00E836FB" w14:paraId="5F2D095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09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5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5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5D" w14:textId="77777777" w:rsidR="00E836FB" w:rsidRDefault="00E836FB">
            <w:pPr>
              <w:rPr>
                <w:rFonts w:ascii="宋体"/>
              </w:rPr>
            </w:pPr>
          </w:p>
        </w:tc>
      </w:tr>
    </w:tbl>
    <w:p w14:paraId="5F2D095F" w14:textId="77777777" w:rsidR="00E836FB" w:rsidRDefault="00994958">
      <w:r>
        <w:rPr>
          <w:rFonts w:ascii="Arial" w:eastAsia="宋体" w:hAnsi="Arial" w:cs="Arial"/>
          <w:color w:val="000000"/>
          <w:sz w:val="7"/>
          <w:szCs w:val="7"/>
        </w:rPr>
        <w:t>(1)</w:t>
      </w:r>
      <w:r>
        <w:rPr>
          <w:rFonts w:ascii="Arial" w:eastAsia="宋体" w:hAnsi="Arial" w:cs="Arial"/>
          <w:color w:val="000000"/>
          <w:sz w:val="12"/>
          <w:szCs w:val="12"/>
        </w:rPr>
        <w:t xml:space="preserve"> Includes $8 million of loans classified as held-for-sale that were measured at fair value in level 2 as of December 31, 2021.</w:t>
      </w:r>
    </w:p>
    <w:p w14:paraId="5F2D0960" w14:textId="77777777" w:rsidR="00E836FB" w:rsidRDefault="00994958">
      <w:pPr>
        <w:spacing w:before="90"/>
      </w:pPr>
      <w:r>
        <w:rPr>
          <w:rFonts w:ascii="Arial" w:eastAsia="宋体" w:hAnsi="Arial" w:cs="Arial"/>
          <w:color w:val="000000"/>
          <w:sz w:val="7"/>
          <w:szCs w:val="7"/>
        </w:rPr>
        <w:t>(2)</w:t>
      </w:r>
      <w:r>
        <w:rPr>
          <w:rFonts w:ascii="Arial" w:eastAsia="宋体" w:hAnsi="Arial" w:cs="Arial"/>
          <w:color w:val="000000"/>
          <w:sz w:val="12"/>
          <w:szCs w:val="12"/>
        </w:rPr>
        <w:t xml:space="preserve"> Represents a portion of underlying client assets related to our enhanced custody business, which clients have allowed us to t</w:t>
      </w:r>
      <w:r>
        <w:rPr>
          <w:rFonts w:ascii="Arial" w:eastAsia="宋体" w:hAnsi="Arial" w:cs="Arial"/>
          <w:color w:val="000000"/>
          <w:sz w:val="12"/>
          <w:szCs w:val="12"/>
        </w:rPr>
        <w:t>ransfer and re-pledge.</w:t>
      </w:r>
    </w:p>
    <w:tbl>
      <w:tblPr>
        <w:tblW w:w="4985" w:type="pct"/>
        <w:tblCellMar>
          <w:top w:w="15" w:type="dxa"/>
          <w:left w:w="15" w:type="dxa"/>
          <w:bottom w:w="15" w:type="dxa"/>
          <w:right w:w="15" w:type="dxa"/>
        </w:tblCellMar>
        <w:tblLook w:val="04A0" w:firstRow="1" w:lastRow="0" w:firstColumn="1" w:lastColumn="0" w:noHBand="0" w:noVBand="1"/>
      </w:tblPr>
      <w:tblGrid>
        <w:gridCol w:w="48"/>
        <w:gridCol w:w="2247"/>
        <w:gridCol w:w="39"/>
        <w:gridCol w:w="99"/>
        <w:gridCol w:w="678"/>
        <w:gridCol w:w="36"/>
        <w:gridCol w:w="36"/>
        <w:gridCol w:w="36"/>
        <w:gridCol w:w="36"/>
        <w:gridCol w:w="99"/>
        <w:gridCol w:w="636"/>
        <w:gridCol w:w="36"/>
        <w:gridCol w:w="36"/>
        <w:gridCol w:w="36"/>
        <w:gridCol w:w="36"/>
        <w:gridCol w:w="99"/>
        <w:gridCol w:w="1004"/>
        <w:gridCol w:w="36"/>
        <w:gridCol w:w="36"/>
        <w:gridCol w:w="36"/>
        <w:gridCol w:w="36"/>
        <w:gridCol w:w="99"/>
        <w:gridCol w:w="1200"/>
        <w:gridCol w:w="36"/>
        <w:gridCol w:w="36"/>
        <w:gridCol w:w="36"/>
        <w:gridCol w:w="36"/>
        <w:gridCol w:w="99"/>
        <w:gridCol w:w="1352"/>
        <w:gridCol w:w="36"/>
      </w:tblGrid>
      <w:tr w:rsidR="00E836FB" w14:paraId="5F2D097F" w14:textId="77777777">
        <w:tc>
          <w:tcPr>
            <w:tcW w:w="50" w:type="pct"/>
            <w:shd w:val="clear" w:color="auto" w:fill="auto"/>
            <w:vAlign w:val="bottom"/>
          </w:tcPr>
          <w:p w14:paraId="5F2D0961" w14:textId="77777777" w:rsidR="00E836FB" w:rsidRDefault="00E836FB">
            <w:pPr>
              <w:rPr>
                <w:rFonts w:ascii="宋体"/>
              </w:rPr>
            </w:pPr>
          </w:p>
        </w:tc>
        <w:tc>
          <w:tcPr>
            <w:tcW w:w="1447" w:type="pct"/>
            <w:shd w:val="clear" w:color="auto" w:fill="auto"/>
            <w:vAlign w:val="bottom"/>
          </w:tcPr>
          <w:p w14:paraId="5F2D0962" w14:textId="77777777" w:rsidR="00E836FB" w:rsidRDefault="00E836FB">
            <w:pPr>
              <w:rPr>
                <w:rFonts w:ascii="宋体"/>
              </w:rPr>
            </w:pPr>
          </w:p>
        </w:tc>
        <w:tc>
          <w:tcPr>
            <w:tcW w:w="5" w:type="pct"/>
            <w:shd w:val="clear" w:color="auto" w:fill="auto"/>
            <w:vAlign w:val="bottom"/>
          </w:tcPr>
          <w:p w14:paraId="5F2D0963" w14:textId="77777777" w:rsidR="00E836FB" w:rsidRDefault="00E836FB">
            <w:pPr>
              <w:rPr>
                <w:rFonts w:ascii="宋体"/>
              </w:rPr>
            </w:pPr>
          </w:p>
        </w:tc>
        <w:tc>
          <w:tcPr>
            <w:tcW w:w="50" w:type="pct"/>
            <w:shd w:val="clear" w:color="auto" w:fill="auto"/>
            <w:vAlign w:val="bottom"/>
          </w:tcPr>
          <w:p w14:paraId="5F2D0964" w14:textId="77777777" w:rsidR="00E836FB" w:rsidRDefault="00E836FB">
            <w:pPr>
              <w:rPr>
                <w:rFonts w:ascii="宋体"/>
              </w:rPr>
            </w:pPr>
          </w:p>
        </w:tc>
        <w:tc>
          <w:tcPr>
            <w:tcW w:w="480" w:type="pct"/>
            <w:shd w:val="clear" w:color="auto" w:fill="auto"/>
            <w:vAlign w:val="bottom"/>
          </w:tcPr>
          <w:p w14:paraId="5F2D0965" w14:textId="77777777" w:rsidR="00E836FB" w:rsidRDefault="00E836FB">
            <w:pPr>
              <w:rPr>
                <w:rFonts w:ascii="宋体"/>
              </w:rPr>
            </w:pPr>
          </w:p>
        </w:tc>
        <w:tc>
          <w:tcPr>
            <w:tcW w:w="5" w:type="pct"/>
            <w:shd w:val="clear" w:color="auto" w:fill="auto"/>
            <w:vAlign w:val="bottom"/>
          </w:tcPr>
          <w:p w14:paraId="5F2D0966" w14:textId="77777777" w:rsidR="00E836FB" w:rsidRDefault="00E836FB">
            <w:pPr>
              <w:rPr>
                <w:rFonts w:ascii="宋体"/>
              </w:rPr>
            </w:pPr>
          </w:p>
        </w:tc>
        <w:tc>
          <w:tcPr>
            <w:tcW w:w="5" w:type="pct"/>
            <w:shd w:val="clear" w:color="auto" w:fill="auto"/>
            <w:vAlign w:val="bottom"/>
          </w:tcPr>
          <w:p w14:paraId="5F2D0967" w14:textId="77777777" w:rsidR="00E836FB" w:rsidRDefault="00E836FB">
            <w:pPr>
              <w:rPr>
                <w:rFonts w:ascii="宋体"/>
              </w:rPr>
            </w:pPr>
          </w:p>
        </w:tc>
        <w:tc>
          <w:tcPr>
            <w:tcW w:w="26" w:type="pct"/>
            <w:shd w:val="clear" w:color="auto" w:fill="auto"/>
            <w:vAlign w:val="bottom"/>
          </w:tcPr>
          <w:p w14:paraId="5F2D0968" w14:textId="77777777" w:rsidR="00E836FB" w:rsidRDefault="00E836FB">
            <w:pPr>
              <w:rPr>
                <w:rFonts w:ascii="宋体"/>
              </w:rPr>
            </w:pPr>
          </w:p>
        </w:tc>
        <w:tc>
          <w:tcPr>
            <w:tcW w:w="5" w:type="pct"/>
            <w:shd w:val="clear" w:color="auto" w:fill="auto"/>
            <w:vAlign w:val="bottom"/>
          </w:tcPr>
          <w:p w14:paraId="5F2D0969" w14:textId="77777777" w:rsidR="00E836FB" w:rsidRDefault="00E836FB">
            <w:pPr>
              <w:rPr>
                <w:rFonts w:ascii="宋体"/>
              </w:rPr>
            </w:pPr>
          </w:p>
        </w:tc>
        <w:tc>
          <w:tcPr>
            <w:tcW w:w="50" w:type="pct"/>
            <w:shd w:val="clear" w:color="auto" w:fill="auto"/>
            <w:vAlign w:val="bottom"/>
          </w:tcPr>
          <w:p w14:paraId="5F2D096A" w14:textId="77777777" w:rsidR="00E836FB" w:rsidRDefault="00E836FB">
            <w:pPr>
              <w:rPr>
                <w:rFonts w:ascii="宋体"/>
              </w:rPr>
            </w:pPr>
          </w:p>
        </w:tc>
        <w:tc>
          <w:tcPr>
            <w:tcW w:w="472" w:type="pct"/>
            <w:shd w:val="clear" w:color="auto" w:fill="auto"/>
            <w:vAlign w:val="bottom"/>
          </w:tcPr>
          <w:p w14:paraId="5F2D096B" w14:textId="77777777" w:rsidR="00E836FB" w:rsidRDefault="00E836FB">
            <w:pPr>
              <w:rPr>
                <w:rFonts w:ascii="宋体"/>
              </w:rPr>
            </w:pPr>
          </w:p>
        </w:tc>
        <w:tc>
          <w:tcPr>
            <w:tcW w:w="5" w:type="pct"/>
            <w:shd w:val="clear" w:color="auto" w:fill="auto"/>
            <w:vAlign w:val="bottom"/>
          </w:tcPr>
          <w:p w14:paraId="5F2D096C" w14:textId="77777777" w:rsidR="00E836FB" w:rsidRDefault="00E836FB">
            <w:pPr>
              <w:rPr>
                <w:rFonts w:ascii="宋体"/>
              </w:rPr>
            </w:pPr>
          </w:p>
        </w:tc>
        <w:tc>
          <w:tcPr>
            <w:tcW w:w="5" w:type="pct"/>
            <w:shd w:val="clear" w:color="auto" w:fill="auto"/>
            <w:vAlign w:val="bottom"/>
          </w:tcPr>
          <w:p w14:paraId="5F2D096D" w14:textId="77777777" w:rsidR="00E836FB" w:rsidRDefault="00E836FB">
            <w:pPr>
              <w:rPr>
                <w:rFonts w:ascii="宋体"/>
              </w:rPr>
            </w:pPr>
          </w:p>
        </w:tc>
        <w:tc>
          <w:tcPr>
            <w:tcW w:w="26" w:type="pct"/>
            <w:shd w:val="clear" w:color="auto" w:fill="auto"/>
            <w:vAlign w:val="bottom"/>
          </w:tcPr>
          <w:p w14:paraId="5F2D096E" w14:textId="77777777" w:rsidR="00E836FB" w:rsidRDefault="00E836FB">
            <w:pPr>
              <w:rPr>
                <w:rFonts w:ascii="宋体"/>
              </w:rPr>
            </w:pPr>
          </w:p>
        </w:tc>
        <w:tc>
          <w:tcPr>
            <w:tcW w:w="5" w:type="pct"/>
            <w:shd w:val="clear" w:color="auto" w:fill="auto"/>
            <w:vAlign w:val="bottom"/>
          </w:tcPr>
          <w:p w14:paraId="5F2D096F" w14:textId="77777777" w:rsidR="00E836FB" w:rsidRDefault="00E836FB">
            <w:pPr>
              <w:rPr>
                <w:rFonts w:ascii="宋体"/>
              </w:rPr>
            </w:pPr>
          </w:p>
        </w:tc>
        <w:tc>
          <w:tcPr>
            <w:tcW w:w="50" w:type="pct"/>
            <w:shd w:val="clear" w:color="auto" w:fill="auto"/>
            <w:vAlign w:val="bottom"/>
          </w:tcPr>
          <w:p w14:paraId="5F2D0970" w14:textId="77777777" w:rsidR="00E836FB" w:rsidRDefault="00E836FB">
            <w:pPr>
              <w:rPr>
                <w:rFonts w:ascii="宋体"/>
              </w:rPr>
            </w:pPr>
          </w:p>
        </w:tc>
        <w:tc>
          <w:tcPr>
            <w:tcW w:w="707" w:type="pct"/>
            <w:shd w:val="clear" w:color="auto" w:fill="auto"/>
            <w:vAlign w:val="bottom"/>
          </w:tcPr>
          <w:p w14:paraId="5F2D0971" w14:textId="77777777" w:rsidR="00E836FB" w:rsidRDefault="00E836FB">
            <w:pPr>
              <w:rPr>
                <w:rFonts w:ascii="宋体"/>
              </w:rPr>
            </w:pPr>
          </w:p>
        </w:tc>
        <w:tc>
          <w:tcPr>
            <w:tcW w:w="5" w:type="pct"/>
            <w:shd w:val="clear" w:color="auto" w:fill="auto"/>
            <w:vAlign w:val="bottom"/>
          </w:tcPr>
          <w:p w14:paraId="5F2D0972" w14:textId="77777777" w:rsidR="00E836FB" w:rsidRDefault="00E836FB">
            <w:pPr>
              <w:rPr>
                <w:rFonts w:ascii="宋体"/>
              </w:rPr>
            </w:pPr>
          </w:p>
        </w:tc>
        <w:tc>
          <w:tcPr>
            <w:tcW w:w="5" w:type="pct"/>
            <w:shd w:val="clear" w:color="auto" w:fill="auto"/>
            <w:vAlign w:val="bottom"/>
          </w:tcPr>
          <w:p w14:paraId="5F2D0973" w14:textId="77777777" w:rsidR="00E836FB" w:rsidRDefault="00E836FB">
            <w:pPr>
              <w:rPr>
                <w:rFonts w:ascii="宋体"/>
              </w:rPr>
            </w:pPr>
          </w:p>
        </w:tc>
        <w:tc>
          <w:tcPr>
            <w:tcW w:w="26" w:type="pct"/>
            <w:shd w:val="clear" w:color="auto" w:fill="auto"/>
            <w:vAlign w:val="bottom"/>
          </w:tcPr>
          <w:p w14:paraId="5F2D0974" w14:textId="77777777" w:rsidR="00E836FB" w:rsidRDefault="00E836FB">
            <w:pPr>
              <w:rPr>
                <w:rFonts w:ascii="宋体"/>
              </w:rPr>
            </w:pPr>
          </w:p>
        </w:tc>
        <w:tc>
          <w:tcPr>
            <w:tcW w:w="5" w:type="pct"/>
            <w:shd w:val="clear" w:color="auto" w:fill="auto"/>
            <w:vAlign w:val="bottom"/>
          </w:tcPr>
          <w:p w14:paraId="5F2D0975" w14:textId="77777777" w:rsidR="00E836FB" w:rsidRDefault="00E836FB">
            <w:pPr>
              <w:rPr>
                <w:rFonts w:ascii="宋体"/>
              </w:rPr>
            </w:pPr>
          </w:p>
        </w:tc>
        <w:tc>
          <w:tcPr>
            <w:tcW w:w="50" w:type="pct"/>
            <w:shd w:val="clear" w:color="auto" w:fill="auto"/>
            <w:vAlign w:val="bottom"/>
          </w:tcPr>
          <w:p w14:paraId="5F2D0976" w14:textId="77777777" w:rsidR="00E836FB" w:rsidRDefault="00E836FB">
            <w:pPr>
              <w:rPr>
                <w:rFonts w:ascii="宋体"/>
              </w:rPr>
            </w:pPr>
          </w:p>
        </w:tc>
        <w:tc>
          <w:tcPr>
            <w:tcW w:w="707" w:type="pct"/>
            <w:shd w:val="clear" w:color="auto" w:fill="auto"/>
            <w:vAlign w:val="bottom"/>
          </w:tcPr>
          <w:p w14:paraId="5F2D0977" w14:textId="77777777" w:rsidR="00E836FB" w:rsidRDefault="00E836FB">
            <w:pPr>
              <w:rPr>
                <w:rFonts w:ascii="宋体"/>
              </w:rPr>
            </w:pPr>
          </w:p>
        </w:tc>
        <w:tc>
          <w:tcPr>
            <w:tcW w:w="5" w:type="pct"/>
            <w:shd w:val="clear" w:color="auto" w:fill="auto"/>
            <w:vAlign w:val="bottom"/>
          </w:tcPr>
          <w:p w14:paraId="5F2D0978" w14:textId="77777777" w:rsidR="00E836FB" w:rsidRDefault="00E836FB">
            <w:pPr>
              <w:rPr>
                <w:rFonts w:ascii="宋体"/>
              </w:rPr>
            </w:pPr>
          </w:p>
        </w:tc>
        <w:tc>
          <w:tcPr>
            <w:tcW w:w="5" w:type="pct"/>
            <w:shd w:val="clear" w:color="auto" w:fill="auto"/>
            <w:vAlign w:val="bottom"/>
          </w:tcPr>
          <w:p w14:paraId="5F2D0979" w14:textId="77777777" w:rsidR="00E836FB" w:rsidRDefault="00E836FB">
            <w:pPr>
              <w:rPr>
                <w:rFonts w:ascii="宋体"/>
              </w:rPr>
            </w:pPr>
          </w:p>
        </w:tc>
        <w:tc>
          <w:tcPr>
            <w:tcW w:w="26" w:type="pct"/>
            <w:shd w:val="clear" w:color="auto" w:fill="auto"/>
            <w:vAlign w:val="bottom"/>
          </w:tcPr>
          <w:p w14:paraId="5F2D097A" w14:textId="77777777" w:rsidR="00E836FB" w:rsidRDefault="00E836FB">
            <w:pPr>
              <w:rPr>
                <w:rFonts w:ascii="宋体"/>
              </w:rPr>
            </w:pPr>
          </w:p>
        </w:tc>
        <w:tc>
          <w:tcPr>
            <w:tcW w:w="5" w:type="pct"/>
            <w:shd w:val="clear" w:color="auto" w:fill="auto"/>
            <w:vAlign w:val="bottom"/>
          </w:tcPr>
          <w:p w14:paraId="5F2D097B" w14:textId="77777777" w:rsidR="00E836FB" w:rsidRDefault="00E836FB">
            <w:pPr>
              <w:rPr>
                <w:rFonts w:ascii="宋体"/>
              </w:rPr>
            </w:pPr>
          </w:p>
        </w:tc>
        <w:tc>
          <w:tcPr>
            <w:tcW w:w="50" w:type="pct"/>
            <w:shd w:val="clear" w:color="auto" w:fill="auto"/>
            <w:vAlign w:val="bottom"/>
          </w:tcPr>
          <w:p w14:paraId="5F2D097C" w14:textId="77777777" w:rsidR="00E836FB" w:rsidRDefault="00E836FB">
            <w:pPr>
              <w:rPr>
                <w:rFonts w:ascii="宋体"/>
              </w:rPr>
            </w:pPr>
          </w:p>
        </w:tc>
        <w:tc>
          <w:tcPr>
            <w:tcW w:w="707" w:type="pct"/>
            <w:shd w:val="clear" w:color="auto" w:fill="auto"/>
            <w:vAlign w:val="bottom"/>
          </w:tcPr>
          <w:p w14:paraId="5F2D097D" w14:textId="77777777" w:rsidR="00E836FB" w:rsidRDefault="00E836FB">
            <w:pPr>
              <w:rPr>
                <w:rFonts w:ascii="宋体"/>
              </w:rPr>
            </w:pPr>
          </w:p>
        </w:tc>
        <w:tc>
          <w:tcPr>
            <w:tcW w:w="5" w:type="pct"/>
            <w:shd w:val="clear" w:color="auto" w:fill="auto"/>
            <w:vAlign w:val="bottom"/>
          </w:tcPr>
          <w:p w14:paraId="5F2D097E" w14:textId="77777777" w:rsidR="00E836FB" w:rsidRDefault="00E836FB">
            <w:pPr>
              <w:rPr>
                <w:rFonts w:ascii="宋体"/>
              </w:rPr>
            </w:pPr>
          </w:p>
        </w:tc>
      </w:tr>
      <w:tr w:rsidR="00E836FB" w14:paraId="5F2D0986" w14:textId="77777777">
        <w:tc>
          <w:tcPr>
            <w:tcW w:w="0" w:type="auto"/>
            <w:gridSpan w:val="3"/>
            <w:shd w:val="clear" w:color="auto" w:fill="auto"/>
            <w:tcMar>
              <w:top w:w="0" w:type="dxa"/>
              <w:left w:w="20" w:type="dxa"/>
              <w:bottom w:w="0" w:type="dxa"/>
              <w:right w:w="20" w:type="dxa"/>
            </w:tcMar>
            <w:vAlign w:val="bottom"/>
          </w:tcPr>
          <w:p w14:paraId="5F2D09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8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8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8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84"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0985" w14:textId="77777777" w:rsidR="00E836FB" w:rsidRDefault="00994958">
            <w:pPr>
              <w:jc w:val="center"/>
              <w:textAlignment w:val="bottom"/>
            </w:pPr>
            <w:r>
              <w:rPr>
                <w:rFonts w:ascii="Arial" w:eastAsia="宋体" w:hAnsi="Arial" w:cs="Arial"/>
                <w:b/>
                <w:bCs/>
                <w:color w:val="000000"/>
                <w:sz w:val="14"/>
                <w:szCs w:val="14"/>
              </w:rPr>
              <w:t>Fair Value Hierarchy</w:t>
            </w:r>
          </w:p>
        </w:tc>
      </w:tr>
      <w:tr w:rsidR="00E836FB" w14:paraId="5F2D0991" w14:textId="77777777">
        <w:tc>
          <w:tcPr>
            <w:tcW w:w="0" w:type="auto"/>
            <w:gridSpan w:val="3"/>
            <w:shd w:val="clear" w:color="auto" w:fill="auto"/>
            <w:tcMar>
              <w:top w:w="40" w:type="dxa"/>
              <w:left w:w="20" w:type="dxa"/>
              <w:bottom w:w="40" w:type="dxa"/>
              <w:right w:w="20" w:type="dxa"/>
            </w:tcMar>
            <w:vAlign w:val="bottom"/>
          </w:tcPr>
          <w:p w14:paraId="5F2D0987"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0988" w14:textId="77777777" w:rsidR="00E836FB" w:rsidRDefault="00994958">
            <w:pPr>
              <w:jc w:val="center"/>
              <w:textAlignment w:val="bottom"/>
            </w:pPr>
            <w:r>
              <w:rPr>
                <w:rFonts w:ascii="Arial" w:eastAsia="宋体" w:hAnsi="Arial" w:cs="Arial"/>
                <w:b/>
                <w:bCs/>
                <w:color w:val="000000"/>
                <w:sz w:val="14"/>
                <w:szCs w:val="14"/>
              </w:rPr>
              <w:t>Reported Amount </w:t>
            </w:r>
          </w:p>
        </w:tc>
        <w:tc>
          <w:tcPr>
            <w:tcW w:w="0" w:type="auto"/>
            <w:gridSpan w:val="3"/>
            <w:shd w:val="clear" w:color="auto" w:fill="auto"/>
            <w:tcMar>
              <w:top w:w="0" w:type="dxa"/>
              <w:left w:w="20" w:type="dxa"/>
              <w:bottom w:w="0" w:type="dxa"/>
              <w:right w:w="20" w:type="dxa"/>
            </w:tcMar>
            <w:vAlign w:val="bottom"/>
          </w:tcPr>
          <w:p w14:paraId="5F2D098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098A" w14:textId="77777777" w:rsidR="00E836FB" w:rsidRDefault="00994958">
            <w:pPr>
              <w:jc w:val="center"/>
              <w:textAlignment w:val="bottom"/>
            </w:pPr>
            <w:r>
              <w:rPr>
                <w:rFonts w:ascii="Arial" w:eastAsia="宋体" w:hAnsi="Arial" w:cs="Arial"/>
                <w:b/>
                <w:bCs/>
                <w:color w:val="000000"/>
                <w:sz w:val="14"/>
                <w:szCs w:val="14"/>
              </w:rPr>
              <w:t>Estimated Fair Value</w:t>
            </w:r>
          </w:p>
        </w:tc>
        <w:tc>
          <w:tcPr>
            <w:tcW w:w="0" w:type="auto"/>
            <w:gridSpan w:val="3"/>
            <w:shd w:val="clear" w:color="auto" w:fill="auto"/>
            <w:tcMar>
              <w:top w:w="0" w:type="dxa"/>
              <w:left w:w="20" w:type="dxa"/>
              <w:bottom w:w="0" w:type="dxa"/>
              <w:right w:w="20" w:type="dxa"/>
            </w:tcMar>
            <w:vAlign w:val="bottom"/>
          </w:tcPr>
          <w:p w14:paraId="5F2D098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98C" w14:textId="77777777" w:rsidR="00E836FB" w:rsidRDefault="00994958">
            <w:pPr>
              <w:jc w:val="center"/>
              <w:textAlignment w:val="bottom"/>
            </w:pPr>
            <w:r>
              <w:rPr>
                <w:rFonts w:ascii="Arial" w:eastAsia="宋体" w:hAnsi="Arial" w:cs="Arial"/>
                <w:b/>
                <w:bCs/>
                <w:color w:val="000000"/>
                <w:sz w:val="14"/>
                <w:szCs w:val="14"/>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98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98E" w14:textId="77777777" w:rsidR="00E836FB" w:rsidRDefault="00994958">
            <w:pPr>
              <w:jc w:val="center"/>
              <w:textAlignment w:val="bottom"/>
            </w:pPr>
            <w:r>
              <w:rPr>
                <w:rFonts w:ascii="Arial" w:eastAsia="宋体" w:hAnsi="Arial" w:cs="Arial"/>
                <w:b/>
                <w:bCs/>
                <w:color w:val="000000"/>
                <w:sz w:val="14"/>
                <w:szCs w:val="14"/>
              </w:rPr>
              <w:t xml:space="preserve">Pricing Methods with </w:t>
            </w:r>
            <w:r>
              <w:rPr>
                <w:rFonts w:ascii="Arial" w:eastAsia="宋体" w:hAnsi="Arial" w:cs="Arial"/>
                <w:b/>
                <w:bCs/>
                <w:color w:val="000000"/>
                <w:sz w:val="14"/>
                <w:szCs w:val="14"/>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98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990" w14:textId="77777777" w:rsidR="00E836FB" w:rsidRDefault="00994958">
            <w:pPr>
              <w:jc w:val="center"/>
              <w:textAlignment w:val="bottom"/>
            </w:pPr>
            <w:r>
              <w:rPr>
                <w:rFonts w:ascii="Arial" w:eastAsia="宋体" w:hAnsi="Arial" w:cs="Arial"/>
                <w:b/>
                <w:bCs/>
                <w:color w:val="000000"/>
                <w:sz w:val="14"/>
                <w:szCs w:val="14"/>
              </w:rPr>
              <w:t>Pricing Methods with Significant Unobservable Market Inputs (Level 3)</w:t>
            </w:r>
          </w:p>
        </w:tc>
      </w:tr>
      <w:tr w:rsidR="00E836FB" w14:paraId="5F2D099C" w14:textId="77777777">
        <w:tc>
          <w:tcPr>
            <w:tcW w:w="0" w:type="auto"/>
            <w:gridSpan w:val="3"/>
            <w:shd w:val="clear" w:color="auto" w:fill="auto"/>
            <w:tcMar>
              <w:top w:w="40" w:type="dxa"/>
              <w:left w:w="20" w:type="dxa"/>
              <w:bottom w:w="40" w:type="dxa"/>
              <w:right w:w="20" w:type="dxa"/>
            </w:tcMar>
            <w:vAlign w:val="bottom"/>
          </w:tcPr>
          <w:p w14:paraId="5F2D0992" w14:textId="77777777" w:rsidR="00E836FB" w:rsidRDefault="00994958">
            <w:pPr>
              <w:textAlignment w:val="bottom"/>
            </w:pPr>
            <w:r>
              <w:rPr>
                <w:rFonts w:ascii="Arial" w:eastAsia="宋体" w:hAnsi="Arial" w:cs="Arial"/>
                <w:b/>
                <w:bCs/>
                <w:color w:val="000000"/>
                <w:sz w:val="14"/>
                <w:szCs w:val="14"/>
              </w:rPr>
              <w:t>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9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9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9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9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9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9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9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9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99B" w14:textId="77777777" w:rsidR="00E836FB" w:rsidRDefault="00E836FB">
            <w:pPr>
              <w:rPr>
                <w:rFonts w:ascii="宋体"/>
              </w:rPr>
            </w:pPr>
          </w:p>
        </w:tc>
      </w:tr>
      <w:tr w:rsidR="00E836FB" w14:paraId="5F2D09A7" w14:textId="77777777">
        <w:tc>
          <w:tcPr>
            <w:tcW w:w="0" w:type="auto"/>
            <w:gridSpan w:val="3"/>
            <w:shd w:val="clear" w:color="auto" w:fill="auto"/>
            <w:tcMar>
              <w:top w:w="40" w:type="dxa"/>
              <w:left w:w="20" w:type="dxa"/>
              <w:bottom w:w="40" w:type="dxa"/>
              <w:right w:w="20" w:type="dxa"/>
            </w:tcMar>
            <w:vAlign w:val="bottom"/>
          </w:tcPr>
          <w:p w14:paraId="5F2D099D" w14:textId="77777777" w:rsidR="00E836FB" w:rsidRDefault="00994958">
            <w:pPr>
              <w:textAlignment w:val="bottom"/>
            </w:pPr>
            <w:r>
              <w:rPr>
                <w:rFonts w:ascii="Arial" w:eastAsia="宋体" w:hAnsi="Arial" w:cs="Arial"/>
                <w:b/>
                <w:bCs/>
                <w:color w:val="000000"/>
                <w:sz w:val="14"/>
                <w:szCs w:val="14"/>
              </w:rPr>
              <w:t>Financial Assets:</w:t>
            </w:r>
          </w:p>
        </w:tc>
        <w:tc>
          <w:tcPr>
            <w:tcW w:w="0" w:type="auto"/>
            <w:gridSpan w:val="3"/>
            <w:shd w:val="clear" w:color="auto" w:fill="auto"/>
            <w:tcMar>
              <w:top w:w="0" w:type="dxa"/>
              <w:left w:w="20" w:type="dxa"/>
              <w:bottom w:w="0" w:type="dxa"/>
              <w:right w:w="20" w:type="dxa"/>
            </w:tcMar>
            <w:vAlign w:val="bottom"/>
          </w:tcPr>
          <w:p w14:paraId="5F2D09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9A6" w14:textId="77777777" w:rsidR="00E836FB" w:rsidRDefault="00E836FB">
            <w:pPr>
              <w:rPr>
                <w:rFonts w:ascii="宋体"/>
              </w:rPr>
            </w:pPr>
          </w:p>
        </w:tc>
      </w:tr>
      <w:tr w:rsidR="00E836FB" w14:paraId="5F2D09BC" w14:textId="77777777">
        <w:tc>
          <w:tcPr>
            <w:tcW w:w="0" w:type="auto"/>
            <w:gridSpan w:val="3"/>
            <w:shd w:val="clear" w:color="auto" w:fill="CCEEFF"/>
            <w:tcMar>
              <w:top w:w="40" w:type="dxa"/>
              <w:left w:w="20" w:type="dxa"/>
              <w:bottom w:w="40" w:type="dxa"/>
              <w:right w:w="20" w:type="dxa"/>
            </w:tcMar>
            <w:vAlign w:val="bottom"/>
          </w:tcPr>
          <w:p w14:paraId="5F2D09A8" w14:textId="77777777" w:rsidR="00E836FB" w:rsidRDefault="00994958">
            <w:pPr>
              <w:textAlignment w:val="bottom"/>
            </w:pPr>
            <w:r>
              <w:rPr>
                <w:rFonts w:ascii="Arial" w:eastAsia="宋体" w:hAnsi="Arial" w:cs="Arial"/>
                <w:color w:val="000000"/>
                <w:sz w:val="14"/>
                <w:szCs w:val="14"/>
              </w:rPr>
              <w:t>Cash and due from banks</w:t>
            </w:r>
          </w:p>
        </w:tc>
        <w:tc>
          <w:tcPr>
            <w:tcW w:w="0" w:type="auto"/>
            <w:shd w:val="clear" w:color="auto" w:fill="CCEEFF"/>
            <w:tcMar>
              <w:top w:w="40" w:type="dxa"/>
              <w:left w:w="20" w:type="dxa"/>
              <w:bottom w:w="40" w:type="dxa"/>
              <w:right w:w="0" w:type="dxa"/>
            </w:tcMar>
            <w:vAlign w:val="bottom"/>
          </w:tcPr>
          <w:p w14:paraId="5F2D09A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09AA" w14:textId="77777777" w:rsidR="00E836FB" w:rsidRDefault="00994958">
            <w:pPr>
              <w:jc w:val="right"/>
              <w:textAlignment w:val="bottom"/>
            </w:pPr>
            <w:r>
              <w:rPr>
                <w:rFonts w:ascii="Arial" w:eastAsia="宋体" w:hAnsi="Arial" w:cs="Arial"/>
                <w:color w:val="000000"/>
                <w:sz w:val="14"/>
                <w:szCs w:val="14"/>
              </w:rPr>
              <w:t>3,467 </w:t>
            </w:r>
          </w:p>
        </w:tc>
        <w:tc>
          <w:tcPr>
            <w:tcW w:w="0" w:type="auto"/>
            <w:shd w:val="clear" w:color="auto" w:fill="CCEEFF"/>
            <w:tcMar>
              <w:top w:w="40" w:type="dxa"/>
              <w:left w:w="0" w:type="dxa"/>
              <w:bottom w:w="40" w:type="dxa"/>
              <w:right w:w="20" w:type="dxa"/>
            </w:tcMar>
            <w:vAlign w:val="bottom"/>
          </w:tcPr>
          <w:p w14:paraId="5F2D09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A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9A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09AE" w14:textId="77777777" w:rsidR="00E836FB" w:rsidRDefault="00994958">
            <w:pPr>
              <w:jc w:val="right"/>
              <w:textAlignment w:val="bottom"/>
            </w:pPr>
            <w:r>
              <w:rPr>
                <w:rFonts w:ascii="Arial" w:eastAsia="宋体" w:hAnsi="Arial" w:cs="Arial"/>
                <w:color w:val="000000"/>
                <w:sz w:val="14"/>
                <w:szCs w:val="14"/>
              </w:rPr>
              <w:t>3,467 </w:t>
            </w:r>
          </w:p>
        </w:tc>
        <w:tc>
          <w:tcPr>
            <w:tcW w:w="0" w:type="auto"/>
            <w:shd w:val="clear" w:color="auto" w:fill="CCEEFF"/>
            <w:tcMar>
              <w:top w:w="40" w:type="dxa"/>
              <w:left w:w="0" w:type="dxa"/>
              <w:bottom w:w="40" w:type="dxa"/>
              <w:right w:w="20" w:type="dxa"/>
            </w:tcMar>
            <w:vAlign w:val="bottom"/>
          </w:tcPr>
          <w:p w14:paraId="5F2D09A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B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9B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09B2" w14:textId="77777777" w:rsidR="00E836FB" w:rsidRDefault="00994958">
            <w:pPr>
              <w:jc w:val="right"/>
              <w:textAlignment w:val="bottom"/>
            </w:pPr>
            <w:r>
              <w:rPr>
                <w:rFonts w:ascii="Arial" w:eastAsia="宋体" w:hAnsi="Arial" w:cs="Arial"/>
                <w:color w:val="000000"/>
                <w:sz w:val="14"/>
                <w:szCs w:val="14"/>
              </w:rPr>
              <w:t>3,467 </w:t>
            </w:r>
          </w:p>
        </w:tc>
        <w:tc>
          <w:tcPr>
            <w:tcW w:w="0" w:type="auto"/>
            <w:shd w:val="clear" w:color="auto" w:fill="CCEEFF"/>
            <w:tcMar>
              <w:top w:w="40" w:type="dxa"/>
              <w:left w:w="0" w:type="dxa"/>
              <w:bottom w:w="40" w:type="dxa"/>
              <w:right w:w="20" w:type="dxa"/>
            </w:tcMar>
            <w:vAlign w:val="bottom"/>
          </w:tcPr>
          <w:p w14:paraId="5F2D09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B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9B5"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09B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B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9B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09B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BB" w14:textId="77777777" w:rsidR="00E836FB" w:rsidRDefault="00E836FB">
            <w:pPr>
              <w:jc w:val="right"/>
              <w:rPr>
                <w:rFonts w:ascii="宋体"/>
              </w:rPr>
            </w:pPr>
          </w:p>
        </w:tc>
      </w:tr>
      <w:tr w:rsidR="00E836FB" w14:paraId="5F2D09CC" w14:textId="77777777">
        <w:tc>
          <w:tcPr>
            <w:tcW w:w="0" w:type="auto"/>
            <w:gridSpan w:val="3"/>
            <w:shd w:val="clear" w:color="auto" w:fill="FFFFFF"/>
            <w:tcMar>
              <w:top w:w="40" w:type="dxa"/>
              <w:left w:w="20" w:type="dxa"/>
              <w:bottom w:w="40" w:type="dxa"/>
              <w:right w:w="20" w:type="dxa"/>
            </w:tcMar>
            <w:vAlign w:val="bottom"/>
          </w:tcPr>
          <w:p w14:paraId="5F2D09BD" w14:textId="77777777" w:rsidR="00E836FB" w:rsidRDefault="00994958">
            <w:pPr>
              <w:textAlignment w:val="bottom"/>
            </w:pPr>
            <w:r>
              <w:rPr>
                <w:rFonts w:ascii="Arial" w:eastAsia="宋体" w:hAnsi="Arial" w:cs="Arial"/>
                <w:color w:val="000000"/>
                <w:sz w:val="14"/>
                <w:szCs w:val="14"/>
              </w:rPr>
              <w:t>Interest-bearing deposits with banks</w:t>
            </w:r>
          </w:p>
        </w:tc>
        <w:tc>
          <w:tcPr>
            <w:tcW w:w="0" w:type="auto"/>
            <w:gridSpan w:val="2"/>
            <w:shd w:val="clear" w:color="auto" w:fill="FFFFFF"/>
            <w:tcMar>
              <w:top w:w="40" w:type="dxa"/>
              <w:left w:w="20" w:type="dxa"/>
              <w:bottom w:w="40" w:type="dxa"/>
              <w:right w:w="0" w:type="dxa"/>
            </w:tcMar>
            <w:vAlign w:val="bottom"/>
          </w:tcPr>
          <w:p w14:paraId="5F2D09BE" w14:textId="77777777" w:rsidR="00E836FB" w:rsidRDefault="00994958">
            <w:pPr>
              <w:jc w:val="right"/>
              <w:textAlignment w:val="bottom"/>
            </w:pPr>
            <w:r>
              <w:rPr>
                <w:rFonts w:ascii="Arial" w:eastAsia="宋体" w:hAnsi="Arial" w:cs="Arial"/>
                <w:color w:val="000000"/>
                <w:sz w:val="14"/>
                <w:szCs w:val="14"/>
              </w:rPr>
              <w:t>116,960 </w:t>
            </w:r>
          </w:p>
        </w:tc>
        <w:tc>
          <w:tcPr>
            <w:tcW w:w="0" w:type="auto"/>
            <w:shd w:val="clear" w:color="auto" w:fill="FFFFFF"/>
            <w:tcMar>
              <w:top w:w="40" w:type="dxa"/>
              <w:left w:w="0" w:type="dxa"/>
              <w:bottom w:w="40" w:type="dxa"/>
              <w:right w:w="20" w:type="dxa"/>
            </w:tcMar>
            <w:vAlign w:val="bottom"/>
          </w:tcPr>
          <w:p w14:paraId="5F2D09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C1" w14:textId="77777777" w:rsidR="00E836FB" w:rsidRDefault="00994958">
            <w:pPr>
              <w:jc w:val="right"/>
              <w:textAlignment w:val="bottom"/>
            </w:pPr>
            <w:r>
              <w:rPr>
                <w:rFonts w:ascii="Arial" w:eastAsia="宋体" w:hAnsi="Arial" w:cs="Arial"/>
                <w:color w:val="000000"/>
                <w:sz w:val="14"/>
                <w:szCs w:val="14"/>
              </w:rPr>
              <w:t>116,960 </w:t>
            </w:r>
          </w:p>
        </w:tc>
        <w:tc>
          <w:tcPr>
            <w:tcW w:w="0" w:type="auto"/>
            <w:shd w:val="clear" w:color="auto" w:fill="FFFFFF"/>
            <w:tcMar>
              <w:top w:w="40" w:type="dxa"/>
              <w:left w:w="0" w:type="dxa"/>
              <w:bottom w:w="40" w:type="dxa"/>
              <w:right w:w="20" w:type="dxa"/>
            </w:tcMar>
            <w:vAlign w:val="bottom"/>
          </w:tcPr>
          <w:p w14:paraId="5F2D09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C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C7" w14:textId="77777777" w:rsidR="00E836FB" w:rsidRDefault="00994958">
            <w:pPr>
              <w:jc w:val="right"/>
              <w:textAlignment w:val="bottom"/>
            </w:pPr>
            <w:r>
              <w:rPr>
                <w:rFonts w:ascii="Arial" w:eastAsia="宋体" w:hAnsi="Arial" w:cs="Arial"/>
                <w:color w:val="000000"/>
                <w:sz w:val="14"/>
                <w:szCs w:val="14"/>
              </w:rPr>
              <w:t>116,960 </w:t>
            </w:r>
          </w:p>
        </w:tc>
        <w:tc>
          <w:tcPr>
            <w:tcW w:w="0" w:type="auto"/>
            <w:shd w:val="clear" w:color="auto" w:fill="FFFFFF"/>
            <w:tcMar>
              <w:top w:w="40" w:type="dxa"/>
              <w:left w:w="0" w:type="dxa"/>
              <w:bottom w:w="40" w:type="dxa"/>
              <w:right w:w="20" w:type="dxa"/>
            </w:tcMar>
            <w:vAlign w:val="bottom"/>
          </w:tcPr>
          <w:p w14:paraId="5F2D09C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C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C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CB" w14:textId="77777777" w:rsidR="00E836FB" w:rsidRDefault="00E836FB">
            <w:pPr>
              <w:jc w:val="right"/>
              <w:rPr>
                <w:rFonts w:ascii="宋体"/>
              </w:rPr>
            </w:pPr>
          </w:p>
        </w:tc>
      </w:tr>
      <w:tr w:rsidR="00E836FB" w14:paraId="5F2D09DC" w14:textId="77777777">
        <w:tc>
          <w:tcPr>
            <w:tcW w:w="0" w:type="auto"/>
            <w:gridSpan w:val="3"/>
            <w:shd w:val="clear" w:color="auto" w:fill="CCEEFF"/>
            <w:tcMar>
              <w:top w:w="40" w:type="dxa"/>
              <w:left w:w="20" w:type="dxa"/>
              <w:bottom w:w="40" w:type="dxa"/>
              <w:right w:w="20" w:type="dxa"/>
            </w:tcMar>
            <w:vAlign w:val="bottom"/>
          </w:tcPr>
          <w:p w14:paraId="5F2D09CD" w14:textId="77777777" w:rsidR="00E836FB" w:rsidRDefault="00994958">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F2D09CE" w14:textId="77777777" w:rsidR="00E836FB" w:rsidRDefault="00994958">
            <w:pPr>
              <w:jc w:val="right"/>
              <w:textAlignment w:val="bottom"/>
            </w:pPr>
            <w:r>
              <w:rPr>
                <w:rFonts w:ascii="Arial" w:eastAsia="宋体" w:hAnsi="Arial" w:cs="Arial"/>
                <w:color w:val="000000"/>
                <w:sz w:val="14"/>
                <w:szCs w:val="14"/>
              </w:rPr>
              <w:t>3,106 </w:t>
            </w:r>
          </w:p>
        </w:tc>
        <w:tc>
          <w:tcPr>
            <w:tcW w:w="0" w:type="auto"/>
            <w:shd w:val="clear" w:color="auto" w:fill="CCEEFF"/>
            <w:tcMar>
              <w:top w:w="40" w:type="dxa"/>
              <w:left w:w="0" w:type="dxa"/>
              <w:bottom w:w="40" w:type="dxa"/>
              <w:right w:w="20" w:type="dxa"/>
            </w:tcMar>
            <w:vAlign w:val="bottom"/>
          </w:tcPr>
          <w:p w14:paraId="5F2D09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D1" w14:textId="77777777" w:rsidR="00E836FB" w:rsidRDefault="00994958">
            <w:pPr>
              <w:jc w:val="right"/>
              <w:textAlignment w:val="bottom"/>
            </w:pPr>
            <w:r>
              <w:rPr>
                <w:rFonts w:ascii="Arial" w:eastAsia="宋体" w:hAnsi="Arial" w:cs="Arial"/>
                <w:color w:val="000000"/>
                <w:sz w:val="14"/>
                <w:szCs w:val="14"/>
              </w:rPr>
              <w:t>3,106 </w:t>
            </w:r>
          </w:p>
        </w:tc>
        <w:tc>
          <w:tcPr>
            <w:tcW w:w="0" w:type="auto"/>
            <w:shd w:val="clear" w:color="auto" w:fill="CCEEFF"/>
            <w:tcMar>
              <w:top w:w="40" w:type="dxa"/>
              <w:left w:w="0" w:type="dxa"/>
              <w:bottom w:w="40" w:type="dxa"/>
              <w:right w:w="20" w:type="dxa"/>
            </w:tcMar>
            <w:vAlign w:val="bottom"/>
          </w:tcPr>
          <w:p w14:paraId="5F2D09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D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D7" w14:textId="77777777" w:rsidR="00E836FB" w:rsidRDefault="00994958">
            <w:pPr>
              <w:jc w:val="right"/>
              <w:textAlignment w:val="bottom"/>
            </w:pPr>
            <w:r>
              <w:rPr>
                <w:rFonts w:ascii="Arial" w:eastAsia="宋体" w:hAnsi="Arial" w:cs="Arial"/>
                <w:color w:val="000000"/>
                <w:sz w:val="14"/>
                <w:szCs w:val="14"/>
              </w:rPr>
              <w:t>3,106 </w:t>
            </w:r>
          </w:p>
        </w:tc>
        <w:tc>
          <w:tcPr>
            <w:tcW w:w="0" w:type="auto"/>
            <w:shd w:val="clear" w:color="auto" w:fill="CCEEFF"/>
            <w:tcMar>
              <w:top w:w="40" w:type="dxa"/>
              <w:left w:w="0" w:type="dxa"/>
              <w:bottom w:w="40" w:type="dxa"/>
              <w:right w:w="20" w:type="dxa"/>
            </w:tcMar>
            <w:vAlign w:val="bottom"/>
          </w:tcPr>
          <w:p w14:paraId="5F2D09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D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DB" w14:textId="77777777" w:rsidR="00E836FB" w:rsidRDefault="00E836FB">
            <w:pPr>
              <w:jc w:val="right"/>
              <w:rPr>
                <w:rFonts w:ascii="宋体"/>
              </w:rPr>
            </w:pPr>
          </w:p>
        </w:tc>
      </w:tr>
      <w:tr w:rsidR="00E836FB" w14:paraId="5F2D09EC" w14:textId="77777777">
        <w:tc>
          <w:tcPr>
            <w:tcW w:w="0" w:type="auto"/>
            <w:gridSpan w:val="3"/>
            <w:shd w:val="clear" w:color="auto" w:fill="FFFFFF"/>
            <w:tcMar>
              <w:top w:w="40" w:type="dxa"/>
              <w:left w:w="20" w:type="dxa"/>
              <w:bottom w:w="40" w:type="dxa"/>
              <w:right w:w="20" w:type="dxa"/>
            </w:tcMar>
            <w:vAlign w:val="bottom"/>
          </w:tcPr>
          <w:p w14:paraId="5F2D09DD" w14:textId="77777777" w:rsidR="00E836FB" w:rsidRDefault="00994958">
            <w:pPr>
              <w:textAlignment w:val="bottom"/>
            </w:pPr>
            <w:r>
              <w:rPr>
                <w:rFonts w:ascii="Arial" w:eastAsia="宋体" w:hAnsi="Arial" w:cs="Arial"/>
                <w:color w:val="000000"/>
                <w:sz w:val="14"/>
                <w:szCs w:val="14"/>
              </w:rPr>
              <w:t>HTM securities purchased under the MMLF</w:t>
            </w:r>
            <w:r>
              <w:rPr>
                <w:rFonts w:ascii="Arial" w:eastAsia="宋体" w:hAnsi="Arial" w:cs="Arial"/>
                <w:color w:val="000000"/>
                <w:sz w:val="14"/>
                <w:szCs w:val="14"/>
              </w:rPr>
              <w:br/>
              <w:t>program</w:t>
            </w:r>
          </w:p>
        </w:tc>
        <w:tc>
          <w:tcPr>
            <w:tcW w:w="0" w:type="auto"/>
            <w:gridSpan w:val="2"/>
            <w:shd w:val="clear" w:color="auto" w:fill="FFFFFF"/>
            <w:tcMar>
              <w:top w:w="40" w:type="dxa"/>
              <w:left w:w="20" w:type="dxa"/>
              <w:bottom w:w="40" w:type="dxa"/>
              <w:right w:w="0" w:type="dxa"/>
            </w:tcMar>
            <w:vAlign w:val="bottom"/>
          </w:tcPr>
          <w:p w14:paraId="5F2D09DE" w14:textId="77777777" w:rsidR="00E836FB" w:rsidRDefault="00994958">
            <w:pPr>
              <w:jc w:val="right"/>
              <w:textAlignment w:val="bottom"/>
            </w:pPr>
            <w:r>
              <w:rPr>
                <w:rFonts w:ascii="Arial" w:eastAsia="宋体" w:hAnsi="Arial" w:cs="Arial"/>
                <w:color w:val="000000"/>
                <w:sz w:val="14"/>
                <w:szCs w:val="14"/>
              </w:rPr>
              <w:t>3,299 </w:t>
            </w:r>
          </w:p>
        </w:tc>
        <w:tc>
          <w:tcPr>
            <w:tcW w:w="0" w:type="auto"/>
            <w:shd w:val="clear" w:color="auto" w:fill="FFFFFF"/>
            <w:tcMar>
              <w:top w:w="40" w:type="dxa"/>
              <w:left w:w="0" w:type="dxa"/>
              <w:bottom w:w="40" w:type="dxa"/>
              <w:right w:w="20" w:type="dxa"/>
            </w:tcMar>
            <w:vAlign w:val="bottom"/>
          </w:tcPr>
          <w:p w14:paraId="5F2D09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E1" w14:textId="77777777" w:rsidR="00E836FB" w:rsidRDefault="00994958">
            <w:pPr>
              <w:jc w:val="right"/>
              <w:textAlignment w:val="bottom"/>
            </w:pPr>
            <w:r>
              <w:rPr>
                <w:rFonts w:ascii="Arial" w:eastAsia="宋体" w:hAnsi="Arial" w:cs="Arial"/>
                <w:color w:val="000000"/>
                <w:sz w:val="14"/>
                <w:szCs w:val="14"/>
              </w:rPr>
              <w:t>3,304 </w:t>
            </w:r>
          </w:p>
        </w:tc>
        <w:tc>
          <w:tcPr>
            <w:tcW w:w="0" w:type="auto"/>
            <w:shd w:val="clear" w:color="auto" w:fill="FFFFFF"/>
            <w:tcMar>
              <w:top w:w="40" w:type="dxa"/>
              <w:left w:w="0" w:type="dxa"/>
              <w:bottom w:w="40" w:type="dxa"/>
              <w:right w:w="20" w:type="dxa"/>
            </w:tcMar>
            <w:vAlign w:val="bottom"/>
          </w:tcPr>
          <w:p w14:paraId="5F2D09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E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E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E7" w14:textId="77777777" w:rsidR="00E836FB" w:rsidRDefault="00994958">
            <w:pPr>
              <w:jc w:val="right"/>
              <w:textAlignment w:val="bottom"/>
            </w:pPr>
            <w:r>
              <w:rPr>
                <w:rFonts w:ascii="Arial" w:eastAsia="宋体" w:hAnsi="Arial" w:cs="Arial"/>
                <w:color w:val="000000"/>
                <w:sz w:val="14"/>
                <w:szCs w:val="14"/>
              </w:rPr>
              <w:t>3,304 </w:t>
            </w:r>
          </w:p>
        </w:tc>
        <w:tc>
          <w:tcPr>
            <w:tcW w:w="0" w:type="auto"/>
            <w:shd w:val="clear" w:color="auto" w:fill="FFFFFF"/>
            <w:tcMar>
              <w:top w:w="40" w:type="dxa"/>
              <w:left w:w="0" w:type="dxa"/>
              <w:bottom w:w="40" w:type="dxa"/>
              <w:right w:w="20" w:type="dxa"/>
            </w:tcMar>
            <w:vAlign w:val="bottom"/>
          </w:tcPr>
          <w:p w14:paraId="5F2D09E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9E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9E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9EB" w14:textId="77777777" w:rsidR="00E836FB" w:rsidRDefault="00E836FB">
            <w:pPr>
              <w:jc w:val="right"/>
              <w:rPr>
                <w:rFonts w:ascii="宋体"/>
              </w:rPr>
            </w:pPr>
          </w:p>
        </w:tc>
      </w:tr>
      <w:tr w:rsidR="00E836FB" w14:paraId="5F2D09FC" w14:textId="77777777">
        <w:tc>
          <w:tcPr>
            <w:tcW w:w="0" w:type="auto"/>
            <w:gridSpan w:val="3"/>
            <w:shd w:val="clear" w:color="auto" w:fill="CCEEFF"/>
            <w:tcMar>
              <w:top w:w="40" w:type="dxa"/>
              <w:left w:w="20" w:type="dxa"/>
              <w:bottom w:w="40" w:type="dxa"/>
              <w:right w:w="20" w:type="dxa"/>
            </w:tcMar>
            <w:vAlign w:val="bottom"/>
          </w:tcPr>
          <w:p w14:paraId="5F2D09ED" w14:textId="77777777" w:rsidR="00E836FB" w:rsidRDefault="00994958">
            <w:pPr>
              <w:textAlignment w:val="bottom"/>
            </w:pPr>
            <w:r>
              <w:rPr>
                <w:rFonts w:ascii="Arial" w:eastAsia="宋体" w:hAnsi="Arial" w:cs="Arial"/>
                <w:color w:val="000000"/>
                <w:sz w:val="14"/>
                <w:szCs w:val="14"/>
              </w:rPr>
              <w:t>Investment securities held-to-maturity</w:t>
            </w:r>
          </w:p>
        </w:tc>
        <w:tc>
          <w:tcPr>
            <w:tcW w:w="0" w:type="auto"/>
            <w:gridSpan w:val="2"/>
            <w:shd w:val="clear" w:color="auto" w:fill="CCEEFF"/>
            <w:tcMar>
              <w:top w:w="40" w:type="dxa"/>
              <w:left w:w="20" w:type="dxa"/>
              <w:bottom w:w="40" w:type="dxa"/>
              <w:right w:w="0" w:type="dxa"/>
            </w:tcMar>
            <w:vAlign w:val="bottom"/>
          </w:tcPr>
          <w:p w14:paraId="5F2D09EE" w14:textId="77777777" w:rsidR="00E836FB" w:rsidRDefault="00994958">
            <w:pPr>
              <w:jc w:val="right"/>
              <w:textAlignment w:val="bottom"/>
            </w:pPr>
            <w:r>
              <w:rPr>
                <w:rFonts w:ascii="Arial" w:eastAsia="宋体" w:hAnsi="Arial" w:cs="Arial"/>
                <w:color w:val="000000"/>
                <w:sz w:val="14"/>
                <w:szCs w:val="14"/>
              </w:rPr>
              <w:t>48,929 </w:t>
            </w:r>
          </w:p>
        </w:tc>
        <w:tc>
          <w:tcPr>
            <w:tcW w:w="0" w:type="auto"/>
            <w:shd w:val="clear" w:color="auto" w:fill="CCEEFF"/>
            <w:tcMar>
              <w:top w:w="40" w:type="dxa"/>
              <w:left w:w="0" w:type="dxa"/>
              <w:bottom w:w="40" w:type="dxa"/>
              <w:right w:w="20" w:type="dxa"/>
            </w:tcMar>
            <w:vAlign w:val="bottom"/>
          </w:tcPr>
          <w:p w14:paraId="5F2D09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F1" w14:textId="77777777" w:rsidR="00E836FB" w:rsidRDefault="00994958">
            <w:pPr>
              <w:jc w:val="right"/>
              <w:textAlignment w:val="bottom"/>
            </w:pPr>
            <w:r>
              <w:rPr>
                <w:rFonts w:ascii="Arial" w:eastAsia="宋体" w:hAnsi="Arial" w:cs="Arial"/>
                <w:color w:val="000000"/>
                <w:sz w:val="14"/>
                <w:szCs w:val="14"/>
              </w:rPr>
              <w:t>50,003 </w:t>
            </w:r>
          </w:p>
        </w:tc>
        <w:tc>
          <w:tcPr>
            <w:tcW w:w="0" w:type="auto"/>
            <w:shd w:val="clear" w:color="auto" w:fill="CCEEFF"/>
            <w:tcMar>
              <w:top w:w="40" w:type="dxa"/>
              <w:left w:w="0" w:type="dxa"/>
              <w:bottom w:w="40" w:type="dxa"/>
              <w:right w:w="20" w:type="dxa"/>
            </w:tcMar>
            <w:vAlign w:val="bottom"/>
          </w:tcPr>
          <w:p w14:paraId="5F2D09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F4" w14:textId="77777777" w:rsidR="00E836FB" w:rsidRDefault="00994958">
            <w:pPr>
              <w:jc w:val="right"/>
              <w:textAlignment w:val="bottom"/>
            </w:pPr>
            <w:r>
              <w:rPr>
                <w:rFonts w:ascii="Arial" w:eastAsia="宋体" w:hAnsi="Arial" w:cs="Arial"/>
                <w:color w:val="000000"/>
                <w:sz w:val="14"/>
                <w:szCs w:val="14"/>
              </w:rPr>
              <w:t>6,115 </w:t>
            </w:r>
          </w:p>
        </w:tc>
        <w:tc>
          <w:tcPr>
            <w:tcW w:w="0" w:type="auto"/>
            <w:shd w:val="clear" w:color="auto" w:fill="CCEEFF"/>
            <w:tcMar>
              <w:top w:w="40" w:type="dxa"/>
              <w:left w:w="0" w:type="dxa"/>
              <w:bottom w:w="40" w:type="dxa"/>
              <w:right w:w="20" w:type="dxa"/>
            </w:tcMar>
            <w:vAlign w:val="bottom"/>
          </w:tcPr>
          <w:p w14:paraId="5F2D09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F7" w14:textId="77777777" w:rsidR="00E836FB" w:rsidRDefault="00994958">
            <w:pPr>
              <w:jc w:val="right"/>
              <w:textAlignment w:val="bottom"/>
            </w:pPr>
            <w:r>
              <w:rPr>
                <w:rFonts w:ascii="Arial" w:eastAsia="宋体" w:hAnsi="Arial" w:cs="Arial"/>
                <w:color w:val="000000"/>
                <w:sz w:val="14"/>
                <w:szCs w:val="14"/>
              </w:rPr>
              <w:t>43,888 </w:t>
            </w:r>
          </w:p>
        </w:tc>
        <w:tc>
          <w:tcPr>
            <w:tcW w:w="0" w:type="auto"/>
            <w:shd w:val="clear" w:color="auto" w:fill="CCEEFF"/>
            <w:tcMar>
              <w:top w:w="40" w:type="dxa"/>
              <w:left w:w="0" w:type="dxa"/>
              <w:bottom w:w="40" w:type="dxa"/>
              <w:right w:w="20" w:type="dxa"/>
            </w:tcMar>
            <w:vAlign w:val="bottom"/>
          </w:tcPr>
          <w:p w14:paraId="5F2D09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9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9F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9FB" w14:textId="77777777" w:rsidR="00E836FB" w:rsidRDefault="00E836FB">
            <w:pPr>
              <w:jc w:val="right"/>
              <w:rPr>
                <w:rFonts w:ascii="宋体"/>
              </w:rPr>
            </w:pPr>
          </w:p>
        </w:tc>
      </w:tr>
      <w:tr w:rsidR="00E836FB" w14:paraId="5F2D0A0C" w14:textId="77777777">
        <w:tc>
          <w:tcPr>
            <w:tcW w:w="0" w:type="auto"/>
            <w:gridSpan w:val="3"/>
            <w:shd w:val="clear" w:color="auto" w:fill="FFFFFF"/>
            <w:tcMar>
              <w:top w:w="40" w:type="dxa"/>
              <w:left w:w="20" w:type="dxa"/>
              <w:bottom w:w="40" w:type="dxa"/>
              <w:right w:w="20" w:type="dxa"/>
            </w:tcMar>
            <w:vAlign w:val="bottom"/>
          </w:tcPr>
          <w:p w14:paraId="5F2D09FD" w14:textId="77777777" w:rsidR="00E836FB" w:rsidRDefault="00994958">
            <w:pPr>
              <w:textAlignment w:val="bottom"/>
            </w:pPr>
            <w:r>
              <w:rPr>
                <w:rFonts w:ascii="Arial" w:eastAsia="宋体" w:hAnsi="Arial" w:cs="Arial"/>
                <w:color w:val="000000"/>
                <w:sz w:val="14"/>
                <w:szCs w:val="14"/>
              </w:rPr>
              <w:t>Net loans</w:t>
            </w:r>
          </w:p>
        </w:tc>
        <w:tc>
          <w:tcPr>
            <w:tcW w:w="0" w:type="auto"/>
            <w:gridSpan w:val="2"/>
            <w:shd w:val="clear" w:color="auto" w:fill="FFFFFF"/>
            <w:tcMar>
              <w:top w:w="40" w:type="dxa"/>
              <w:left w:w="20" w:type="dxa"/>
              <w:bottom w:w="40" w:type="dxa"/>
              <w:right w:w="0" w:type="dxa"/>
            </w:tcMar>
            <w:vAlign w:val="bottom"/>
          </w:tcPr>
          <w:p w14:paraId="5F2D09FE" w14:textId="77777777" w:rsidR="00E836FB" w:rsidRDefault="00994958">
            <w:pPr>
              <w:jc w:val="right"/>
              <w:textAlignment w:val="bottom"/>
            </w:pPr>
            <w:r>
              <w:rPr>
                <w:rFonts w:ascii="Arial" w:eastAsia="宋体" w:hAnsi="Arial" w:cs="Arial"/>
                <w:color w:val="000000"/>
                <w:sz w:val="14"/>
                <w:szCs w:val="14"/>
              </w:rPr>
              <w:t>27,803 </w:t>
            </w:r>
          </w:p>
        </w:tc>
        <w:tc>
          <w:tcPr>
            <w:tcW w:w="0" w:type="auto"/>
            <w:shd w:val="clear" w:color="auto" w:fill="FFFFFF"/>
            <w:tcMar>
              <w:top w:w="40" w:type="dxa"/>
              <w:left w:w="0" w:type="dxa"/>
              <w:bottom w:w="40" w:type="dxa"/>
              <w:right w:w="20" w:type="dxa"/>
            </w:tcMar>
            <w:vAlign w:val="bottom"/>
          </w:tcPr>
          <w:p w14:paraId="5F2D09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01" w14:textId="77777777" w:rsidR="00E836FB" w:rsidRDefault="00994958">
            <w:pPr>
              <w:jc w:val="right"/>
              <w:textAlignment w:val="bottom"/>
            </w:pPr>
            <w:r>
              <w:rPr>
                <w:rFonts w:ascii="Arial" w:eastAsia="宋体" w:hAnsi="Arial" w:cs="Arial"/>
                <w:color w:val="000000"/>
                <w:sz w:val="14"/>
                <w:szCs w:val="14"/>
              </w:rPr>
              <w:t>27,884 </w:t>
            </w:r>
          </w:p>
        </w:tc>
        <w:tc>
          <w:tcPr>
            <w:tcW w:w="0" w:type="auto"/>
            <w:shd w:val="clear" w:color="auto" w:fill="FFFFFF"/>
            <w:tcMar>
              <w:top w:w="40" w:type="dxa"/>
              <w:left w:w="0" w:type="dxa"/>
              <w:bottom w:w="40" w:type="dxa"/>
              <w:right w:w="20" w:type="dxa"/>
            </w:tcMar>
            <w:vAlign w:val="bottom"/>
          </w:tcPr>
          <w:p w14:paraId="5F2D0A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0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07" w14:textId="77777777" w:rsidR="00E836FB" w:rsidRDefault="00994958">
            <w:pPr>
              <w:jc w:val="right"/>
              <w:textAlignment w:val="bottom"/>
            </w:pPr>
            <w:r>
              <w:rPr>
                <w:rFonts w:ascii="Arial" w:eastAsia="宋体" w:hAnsi="Arial" w:cs="Arial"/>
                <w:color w:val="000000"/>
                <w:sz w:val="14"/>
                <w:szCs w:val="14"/>
              </w:rPr>
              <w:t>25,668 </w:t>
            </w:r>
          </w:p>
        </w:tc>
        <w:tc>
          <w:tcPr>
            <w:tcW w:w="0" w:type="auto"/>
            <w:shd w:val="clear" w:color="auto" w:fill="FFFFFF"/>
            <w:tcMar>
              <w:top w:w="40" w:type="dxa"/>
              <w:left w:w="0" w:type="dxa"/>
              <w:bottom w:w="40" w:type="dxa"/>
              <w:right w:w="20" w:type="dxa"/>
            </w:tcMar>
            <w:vAlign w:val="bottom"/>
          </w:tcPr>
          <w:p w14:paraId="5F2D0A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0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0A" w14:textId="77777777" w:rsidR="00E836FB" w:rsidRDefault="00994958">
            <w:pPr>
              <w:jc w:val="right"/>
              <w:textAlignment w:val="bottom"/>
            </w:pPr>
            <w:r>
              <w:rPr>
                <w:rFonts w:ascii="Arial" w:eastAsia="宋体" w:hAnsi="Arial" w:cs="Arial"/>
                <w:color w:val="000000"/>
                <w:sz w:val="14"/>
                <w:szCs w:val="14"/>
              </w:rPr>
              <w:t>2,216 </w:t>
            </w:r>
          </w:p>
        </w:tc>
        <w:tc>
          <w:tcPr>
            <w:tcW w:w="0" w:type="auto"/>
            <w:shd w:val="clear" w:color="auto" w:fill="FFFFFF"/>
            <w:tcMar>
              <w:top w:w="40" w:type="dxa"/>
              <w:left w:w="0" w:type="dxa"/>
              <w:bottom w:w="40" w:type="dxa"/>
              <w:right w:w="20" w:type="dxa"/>
            </w:tcMar>
            <w:vAlign w:val="bottom"/>
          </w:tcPr>
          <w:p w14:paraId="5F2D0A0B" w14:textId="77777777" w:rsidR="00E836FB" w:rsidRDefault="00E836FB">
            <w:pPr>
              <w:jc w:val="right"/>
              <w:rPr>
                <w:rFonts w:ascii="宋体"/>
              </w:rPr>
            </w:pPr>
          </w:p>
        </w:tc>
      </w:tr>
      <w:tr w:rsidR="00E836FB" w14:paraId="5F2D0A1C" w14:textId="77777777">
        <w:tc>
          <w:tcPr>
            <w:tcW w:w="0" w:type="auto"/>
            <w:gridSpan w:val="3"/>
            <w:shd w:val="clear" w:color="auto" w:fill="CCEEFF"/>
            <w:tcMar>
              <w:top w:w="40" w:type="dxa"/>
              <w:left w:w="20" w:type="dxa"/>
              <w:bottom w:w="40" w:type="dxa"/>
              <w:right w:w="20" w:type="dxa"/>
            </w:tcMar>
            <w:vAlign w:val="bottom"/>
          </w:tcPr>
          <w:p w14:paraId="5F2D0A0D"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D0A0E"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0A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11"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0A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1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17"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0A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1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1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1B" w14:textId="77777777" w:rsidR="00E836FB" w:rsidRDefault="00E836FB">
            <w:pPr>
              <w:jc w:val="right"/>
              <w:rPr>
                <w:rFonts w:ascii="宋体"/>
              </w:rPr>
            </w:pPr>
          </w:p>
        </w:tc>
      </w:tr>
      <w:tr w:rsidR="00E836FB" w14:paraId="5F2D0A27" w14:textId="77777777">
        <w:tc>
          <w:tcPr>
            <w:tcW w:w="0" w:type="auto"/>
            <w:gridSpan w:val="3"/>
            <w:shd w:val="clear" w:color="auto" w:fill="FFFFFF"/>
            <w:tcMar>
              <w:top w:w="40" w:type="dxa"/>
              <w:left w:w="20" w:type="dxa"/>
              <w:bottom w:w="40" w:type="dxa"/>
              <w:right w:w="20" w:type="dxa"/>
            </w:tcMar>
            <w:vAlign w:val="bottom"/>
          </w:tcPr>
          <w:p w14:paraId="5F2D0A1D" w14:textId="77777777" w:rsidR="00E836FB" w:rsidRDefault="00994958">
            <w:pPr>
              <w:textAlignment w:val="bottom"/>
            </w:pPr>
            <w:r>
              <w:rPr>
                <w:rFonts w:ascii="Arial" w:eastAsia="宋体" w:hAnsi="Arial" w:cs="Arial"/>
                <w:b/>
                <w:bCs/>
                <w:color w:val="000000"/>
                <w:sz w:val="14"/>
                <w:szCs w:val="14"/>
              </w:rPr>
              <w:t>Financial Liabilities:</w:t>
            </w:r>
          </w:p>
        </w:tc>
        <w:tc>
          <w:tcPr>
            <w:tcW w:w="0" w:type="auto"/>
            <w:gridSpan w:val="3"/>
            <w:shd w:val="clear" w:color="auto" w:fill="FFFFFF"/>
            <w:tcMar>
              <w:top w:w="0" w:type="dxa"/>
              <w:left w:w="20" w:type="dxa"/>
              <w:bottom w:w="0" w:type="dxa"/>
              <w:right w:w="20" w:type="dxa"/>
            </w:tcMar>
            <w:vAlign w:val="bottom"/>
          </w:tcPr>
          <w:p w14:paraId="5F2D0A1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1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2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2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2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2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2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2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A26" w14:textId="77777777" w:rsidR="00E836FB" w:rsidRDefault="00E836FB">
            <w:pPr>
              <w:rPr>
                <w:rFonts w:ascii="宋体"/>
              </w:rPr>
            </w:pPr>
          </w:p>
        </w:tc>
      </w:tr>
      <w:tr w:rsidR="00E836FB" w14:paraId="5F2D0A32" w14:textId="77777777">
        <w:tc>
          <w:tcPr>
            <w:tcW w:w="0" w:type="auto"/>
            <w:gridSpan w:val="3"/>
            <w:shd w:val="clear" w:color="auto" w:fill="CCEEFF"/>
            <w:tcMar>
              <w:top w:w="40" w:type="dxa"/>
              <w:left w:w="20" w:type="dxa"/>
              <w:bottom w:w="40" w:type="dxa"/>
              <w:right w:w="20" w:type="dxa"/>
            </w:tcMar>
            <w:vAlign w:val="bottom"/>
          </w:tcPr>
          <w:p w14:paraId="5F2D0A28" w14:textId="77777777" w:rsidR="00E836FB" w:rsidRDefault="00994958">
            <w:pPr>
              <w:textAlignment w:val="bottom"/>
            </w:pPr>
            <w:r>
              <w:rPr>
                <w:rFonts w:ascii="Arial" w:eastAsia="宋体" w:hAnsi="Arial" w:cs="Arial"/>
                <w:color w:val="000000"/>
                <w:sz w:val="14"/>
                <w:szCs w:val="14"/>
              </w:rPr>
              <w:t>Deposits:</w:t>
            </w:r>
          </w:p>
        </w:tc>
        <w:tc>
          <w:tcPr>
            <w:tcW w:w="0" w:type="auto"/>
            <w:gridSpan w:val="3"/>
            <w:shd w:val="clear" w:color="auto" w:fill="CCEEFF"/>
            <w:tcMar>
              <w:top w:w="0" w:type="dxa"/>
              <w:left w:w="20" w:type="dxa"/>
              <w:bottom w:w="0" w:type="dxa"/>
              <w:right w:w="20" w:type="dxa"/>
            </w:tcMar>
            <w:vAlign w:val="bottom"/>
          </w:tcPr>
          <w:p w14:paraId="5F2D0A2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2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2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2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2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2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2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3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A31" w14:textId="77777777" w:rsidR="00E836FB" w:rsidRDefault="00E836FB">
            <w:pPr>
              <w:rPr>
                <w:rFonts w:ascii="宋体"/>
              </w:rPr>
            </w:pPr>
          </w:p>
        </w:tc>
      </w:tr>
      <w:tr w:rsidR="00E836FB" w14:paraId="5F2D0A47" w14:textId="77777777">
        <w:tc>
          <w:tcPr>
            <w:tcW w:w="0" w:type="auto"/>
            <w:gridSpan w:val="3"/>
            <w:shd w:val="clear" w:color="auto" w:fill="FFFFFF"/>
            <w:tcMar>
              <w:top w:w="40" w:type="dxa"/>
              <w:left w:w="20" w:type="dxa"/>
              <w:bottom w:w="40" w:type="dxa"/>
              <w:right w:w="20" w:type="dxa"/>
            </w:tcMar>
            <w:vAlign w:val="bottom"/>
          </w:tcPr>
          <w:p w14:paraId="5F2D0A33" w14:textId="77777777" w:rsidR="00E836FB" w:rsidRDefault="00994958">
            <w:pPr>
              <w:textAlignment w:val="bottom"/>
            </w:pPr>
            <w:r>
              <w:rPr>
                <w:rFonts w:ascii="Arial" w:eastAsia="宋体" w:hAnsi="Arial" w:cs="Arial"/>
                <w:color w:val="000000"/>
                <w:sz w:val="14"/>
                <w:szCs w:val="14"/>
              </w:rPr>
              <w:t>   Non-interest-bearing</w:t>
            </w:r>
          </w:p>
        </w:tc>
        <w:tc>
          <w:tcPr>
            <w:tcW w:w="0" w:type="auto"/>
            <w:shd w:val="clear" w:color="auto" w:fill="FFFFFF"/>
            <w:tcMar>
              <w:top w:w="40" w:type="dxa"/>
              <w:left w:w="20" w:type="dxa"/>
              <w:bottom w:w="40" w:type="dxa"/>
              <w:right w:w="0" w:type="dxa"/>
            </w:tcMar>
            <w:vAlign w:val="bottom"/>
          </w:tcPr>
          <w:p w14:paraId="5F2D0A3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D0A35" w14:textId="77777777" w:rsidR="00E836FB" w:rsidRDefault="00994958">
            <w:pPr>
              <w:jc w:val="right"/>
              <w:textAlignment w:val="bottom"/>
            </w:pPr>
            <w:r>
              <w:rPr>
                <w:rFonts w:ascii="Arial" w:eastAsia="宋体" w:hAnsi="Arial" w:cs="Arial"/>
                <w:color w:val="000000"/>
                <w:sz w:val="14"/>
                <w:szCs w:val="14"/>
              </w:rPr>
              <w:t>49,439 </w:t>
            </w:r>
          </w:p>
        </w:tc>
        <w:tc>
          <w:tcPr>
            <w:tcW w:w="0" w:type="auto"/>
            <w:shd w:val="clear" w:color="auto" w:fill="FFFFFF"/>
            <w:tcMar>
              <w:top w:w="40" w:type="dxa"/>
              <w:left w:w="0" w:type="dxa"/>
              <w:bottom w:w="40" w:type="dxa"/>
              <w:right w:w="20" w:type="dxa"/>
            </w:tcMar>
            <w:vAlign w:val="bottom"/>
          </w:tcPr>
          <w:p w14:paraId="5F2D0A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37"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0A3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D0A39" w14:textId="77777777" w:rsidR="00E836FB" w:rsidRDefault="00994958">
            <w:pPr>
              <w:jc w:val="right"/>
              <w:textAlignment w:val="bottom"/>
            </w:pPr>
            <w:r>
              <w:rPr>
                <w:rFonts w:ascii="Arial" w:eastAsia="宋体" w:hAnsi="Arial" w:cs="Arial"/>
                <w:color w:val="000000"/>
                <w:sz w:val="14"/>
                <w:szCs w:val="14"/>
              </w:rPr>
              <w:t>49,439 </w:t>
            </w:r>
          </w:p>
        </w:tc>
        <w:tc>
          <w:tcPr>
            <w:tcW w:w="0" w:type="auto"/>
            <w:shd w:val="clear" w:color="auto" w:fill="FFFFFF"/>
            <w:tcMar>
              <w:top w:w="40" w:type="dxa"/>
              <w:left w:w="0" w:type="dxa"/>
              <w:bottom w:w="40" w:type="dxa"/>
              <w:right w:w="20" w:type="dxa"/>
            </w:tcMar>
            <w:vAlign w:val="bottom"/>
          </w:tcPr>
          <w:p w14:paraId="5F2D0A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3B"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0A3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D0A3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3F"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0A4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D0A41" w14:textId="77777777" w:rsidR="00E836FB" w:rsidRDefault="00994958">
            <w:pPr>
              <w:jc w:val="right"/>
              <w:textAlignment w:val="bottom"/>
            </w:pPr>
            <w:r>
              <w:rPr>
                <w:rFonts w:ascii="Arial" w:eastAsia="宋体" w:hAnsi="Arial" w:cs="Arial"/>
                <w:color w:val="000000"/>
                <w:sz w:val="14"/>
                <w:szCs w:val="14"/>
              </w:rPr>
              <w:t>49,439 </w:t>
            </w:r>
          </w:p>
        </w:tc>
        <w:tc>
          <w:tcPr>
            <w:tcW w:w="0" w:type="auto"/>
            <w:shd w:val="clear" w:color="auto" w:fill="FFFFFF"/>
            <w:tcMar>
              <w:top w:w="40" w:type="dxa"/>
              <w:left w:w="0" w:type="dxa"/>
              <w:bottom w:w="40" w:type="dxa"/>
              <w:right w:w="20" w:type="dxa"/>
            </w:tcMar>
            <w:vAlign w:val="bottom"/>
          </w:tcPr>
          <w:p w14:paraId="5F2D0A4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43"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0A4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D0A4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46" w14:textId="77777777" w:rsidR="00E836FB" w:rsidRDefault="00E836FB">
            <w:pPr>
              <w:jc w:val="right"/>
              <w:rPr>
                <w:rFonts w:ascii="宋体"/>
              </w:rPr>
            </w:pPr>
          </w:p>
        </w:tc>
      </w:tr>
      <w:tr w:rsidR="00E836FB" w14:paraId="5F2D0A57" w14:textId="77777777">
        <w:tc>
          <w:tcPr>
            <w:tcW w:w="0" w:type="auto"/>
            <w:gridSpan w:val="3"/>
            <w:shd w:val="clear" w:color="auto" w:fill="CCEEFF"/>
            <w:tcMar>
              <w:top w:w="40" w:type="dxa"/>
              <w:left w:w="20" w:type="dxa"/>
              <w:bottom w:w="40" w:type="dxa"/>
              <w:right w:w="20" w:type="dxa"/>
            </w:tcMar>
            <w:vAlign w:val="bottom"/>
          </w:tcPr>
          <w:p w14:paraId="5F2D0A48" w14:textId="77777777" w:rsidR="00E836FB" w:rsidRDefault="00994958">
            <w:pPr>
              <w:textAlignment w:val="bottom"/>
            </w:pPr>
            <w:r>
              <w:rPr>
                <w:rFonts w:ascii="Arial" w:eastAsia="宋体" w:hAnsi="Arial" w:cs="Arial"/>
                <w:color w:val="000000"/>
                <w:sz w:val="14"/>
                <w:szCs w:val="14"/>
              </w:rPr>
              <w:t>   Interest-bearing - U.S.</w:t>
            </w:r>
          </w:p>
        </w:tc>
        <w:tc>
          <w:tcPr>
            <w:tcW w:w="0" w:type="auto"/>
            <w:gridSpan w:val="2"/>
            <w:shd w:val="clear" w:color="auto" w:fill="CCEEFF"/>
            <w:tcMar>
              <w:top w:w="40" w:type="dxa"/>
              <w:left w:w="20" w:type="dxa"/>
              <w:bottom w:w="40" w:type="dxa"/>
              <w:right w:w="0" w:type="dxa"/>
            </w:tcMar>
            <w:vAlign w:val="bottom"/>
          </w:tcPr>
          <w:p w14:paraId="5F2D0A49" w14:textId="77777777" w:rsidR="00E836FB" w:rsidRDefault="00994958">
            <w:pPr>
              <w:jc w:val="right"/>
              <w:textAlignment w:val="bottom"/>
            </w:pPr>
            <w:r>
              <w:rPr>
                <w:rFonts w:ascii="Arial" w:eastAsia="宋体" w:hAnsi="Arial" w:cs="Arial"/>
                <w:color w:val="000000"/>
                <w:sz w:val="14"/>
                <w:szCs w:val="14"/>
              </w:rPr>
              <w:t>102,331 </w:t>
            </w:r>
          </w:p>
        </w:tc>
        <w:tc>
          <w:tcPr>
            <w:tcW w:w="0" w:type="auto"/>
            <w:shd w:val="clear" w:color="auto" w:fill="CCEEFF"/>
            <w:tcMar>
              <w:top w:w="40" w:type="dxa"/>
              <w:left w:w="0" w:type="dxa"/>
              <w:bottom w:w="40" w:type="dxa"/>
              <w:right w:w="20" w:type="dxa"/>
            </w:tcMar>
            <w:vAlign w:val="bottom"/>
          </w:tcPr>
          <w:p w14:paraId="5F2D0A4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4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4C" w14:textId="77777777" w:rsidR="00E836FB" w:rsidRDefault="00994958">
            <w:pPr>
              <w:jc w:val="right"/>
              <w:textAlignment w:val="bottom"/>
            </w:pPr>
            <w:r>
              <w:rPr>
                <w:rFonts w:ascii="Arial" w:eastAsia="宋体" w:hAnsi="Arial" w:cs="Arial"/>
                <w:color w:val="000000"/>
                <w:sz w:val="14"/>
                <w:szCs w:val="14"/>
              </w:rPr>
              <w:t>102,331 </w:t>
            </w:r>
          </w:p>
        </w:tc>
        <w:tc>
          <w:tcPr>
            <w:tcW w:w="0" w:type="auto"/>
            <w:shd w:val="clear" w:color="auto" w:fill="CCEEFF"/>
            <w:tcMar>
              <w:top w:w="40" w:type="dxa"/>
              <w:left w:w="0" w:type="dxa"/>
              <w:bottom w:w="40" w:type="dxa"/>
              <w:right w:w="20" w:type="dxa"/>
            </w:tcMar>
            <w:vAlign w:val="bottom"/>
          </w:tcPr>
          <w:p w14:paraId="5F2D0A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4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52" w14:textId="77777777" w:rsidR="00E836FB" w:rsidRDefault="00994958">
            <w:pPr>
              <w:jc w:val="right"/>
              <w:textAlignment w:val="bottom"/>
            </w:pPr>
            <w:r>
              <w:rPr>
                <w:rFonts w:ascii="Arial" w:eastAsia="宋体" w:hAnsi="Arial" w:cs="Arial"/>
                <w:color w:val="000000"/>
                <w:sz w:val="14"/>
                <w:szCs w:val="14"/>
              </w:rPr>
              <w:t>102,331 </w:t>
            </w:r>
          </w:p>
        </w:tc>
        <w:tc>
          <w:tcPr>
            <w:tcW w:w="0" w:type="auto"/>
            <w:shd w:val="clear" w:color="auto" w:fill="CCEEFF"/>
            <w:tcMar>
              <w:top w:w="40" w:type="dxa"/>
              <w:left w:w="0" w:type="dxa"/>
              <w:bottom w:w="40" w:type="dxa"/>
              <w:right w:w="20" w:type="dxa"/>
            </w:tcMar>
            <w:vAlign w:val="bottom"/>
          </w:tcPr>
          <w:p w14:paraId="5F2D0A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5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5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56" w14:textId="77777777" w:rsidR="00E836FB" w:rsidRDefault="00E836FB">
            <w:pPr>
              <w:jc w:val="right"/>
              <w:rPr>
                <w:rFonts w:ascii="宋体"/>
              </w:rPr>
            </w:pPr>
          </w:p>
        </w:tc>
      </w:tr>
      <w:tr w:rsidR="00E836FB" w14:paraId="5F2D0A67" w14:textId="77777777">
        <w:tc>
          <w:tcPr>
            <w:tcW w:w="0" w:type="auto"/>
            <w:gridSpan w:val="3"/>
            <w:shd w:val="clear" w:color="auto" w:fill="FFFFFF"/>
            <w:tcMar>
              <w:top w:w="40" w:type="dxa"/>
              <w:left w:w="20" w:type="dxa"/>
              <w:bottom w:w="40" w:type="dxa"/>
              <w:right w:w="20" w:type="dxa"/>
            </w:tcMar>
            <w:vAlign w:val="bottom"/>
          </w:tcPr>
          <w:p w14:paraId="5F2D0A58" w14:textId="77777777" w:rsidR="00E836FB" w:rsidRDefault="00994958">
            <w:pPr>
              <w:textAlignment w:val="bottom"/>
            </w:pPr>
            <w:r>
              <w:rPr>
                <w:rFonts w:ascii="Arial" w:eastAsia="宋体" w:hAnsi="Arial" w:cs="Arial"/>
                <w:color w:val="000000"/>
                <w:sz w:val="14"/>
                <w:szCs w:val="14"/>
              </w:rPr>
              <w:t>   Interest-bearing - non-U.S.</w:t>
            </w:r>
          </w:p>
        </w:tc>
        <w:tc>
          <w:tcPr>
            <w:tcW w:w="0" w:type="auto"/>
            <w:gridSpan w:val="2"/>
            <w:shd w:val="clear" w:color="auto" w:fill="FFFFFF"/>
            <w:tcMar>
              <w:top w:w="40" w:type="dxa"/>
              <w:left w:w="20" w:type="dxa"/>
              <w:bottom w:w="40" w:type="dxa"/>
              <w:right w:w="0" w:type="dxa"/>
            </w:tcMar>
            <w:vAlign w:val="bottom"/>
          </w:tcPr>
          <w:p w14:paraId="5F2D0A59" w14:textId="77777777" w:rsidR="00E836FB" w:rsidRDefault="00994958">
            <w:pPr>
              <w:jc w:val="right"/>
              <w:textAlignment w:val="bottom"/>
            </w:pPr>
            <w:r>
              <w:rPr>
                <w:rFonts w:ascii="Arial" w:eastAsia="宋体" w:hAnsi="Arial" w:cs="Arial"/>
                <w:color w:val="000000"/>
                <w:sz w:val="14"/>
                <w:szCs w:val="14"/>
              </w:rPr>
              <w:t>88,028 </w:t>
            </w:r>
          </w:p>
        </w:tc>
        <w:tc>
          <w:tcPr>
            <w:tcW w:w="0" w:type="auto"/>
            <w:shd w:val="clear" w:color="auto" w:fill="FFFFFF"/>
            <w:tcMar>
              <w:top w:w="40" w:type="dxa"/>
              <w:left w:w="0" w:type="dxa"/>
              <w:bottom w:w="40" w:type="dxa"/>
              <w:right w:w="20" w:type="dxa"/>
            </w:tcMar>
            <w:vAlign w:val="bottom"/>
          </w:tcPr>
          <w:p w14:paraId="5F2D0A5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5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5C" w14:textId="77777777" w:rsidR="00E836FB" w:rsidRDefault="00994958">
            <w:pPr>
              <w:jc w:val="right"/>
              <w:textAlignment w:val="bottom"/>
            </w:pPr>
            <w:r>
              <w:rPr>
                <w:rFonts w:ascii="Arial" w:eastAsia="宋体" w:hAnsi="Arial" w:cs="Arial"/>
                <w:color w:val="000000"/>
                <w:sz w:val="14"/>
                <w:szCs w:val="14"/>
              </w:rPr>
              <w:t>88,028 </w:t>
            </w:r>
          </w:p>
        </w:tc>
        <w:tc>
          <w:tcPr>
            <w:tcW w:w="0" w:type="auto"/>
            <w:shd w:val="clear" w:color="auto" w:fill="FFFFFF"/>
            <w:tcMar>
              <w:top w:w="40" w:type="dxa"/>
              <w:left w:w="0" w:type="dxa"/>
              <w:bottom w:w="40" w:type="dxa"/>
              <w:right w:w="20" w:type="dxa"/>
            </w:tcMar>
            <w:vAlign w:val="bottom"/>
          </w:tcPr>
          <w:p w14:paraId="5F2D0A5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5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5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62" w14:textId="77777777" w:rsidR="00E836FB" w:rsidRDefault="00994958">
            <w:pPr>
              <w:jc w:val="right"/>
              <w:textAlignment w:val="bottom"/>
            </w:pPr>
            <w:r>
              <w:rPr>
                <w:rFonts w:ascii="Arial" w:eastAsia="宋体" w:hAnsi="Arial" w:cs="Arial"/>
                <w:color w:val="000000"/>
                <w:sz w:val="14"/>
                <w:szCs w:val="14"/>
              </w:rPr>
              <w:t>88,028 </w:t>
            </w:r>
          </w:p>
        </w:tc>
        <w:tc>
          <w:tcPr>
            <w:tcW w:w="0" w:type="auto"/>
            <w:shd w:val="clear" w:color="auto" w:fill="FFFFFF"/>
            <w:tcMar>
              <w:top w:w="40" w:type="dxa"/>
              <w:left w:w="0" w:type="dxa"/>
              <w:bottom w:w="40" w:type="dxa"/>
              <w:right w:w="20" w:type="dxa"/>
            </w:tcMar>
            <w:vAlign w:val="bottom"/>
          </w:tcPr>
          <w:p w14:paraId="5F2D0A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6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66" w14:textId="77777777" w:rsidR="00E836FB" w:rsidRDefault="00E836FB">
            <w:pPr>
              <w:jc w:val="right"/>
              <w:rPr>
                <w:rFonts w:ascii="宋体"/>
              </w:rPr>
            </w:pPr>
          </w:p>
        </w:tc>
      </w:tr>
      <w:tr w:rsidR="00E836FB" w14:paraId="5F2D0A77" w14:textId="77777777">
        <w:tc>
          <w:tcPr>
            <w:tcW w:w="0" w:type="auto"/>
            <w:gridSpan w:val="3"/>
            <w:shd w:val="clear" w:color="auto" w:fill="CCEEFF"/>
            <w:tcMar>
              <w:top w:w="40" w:type="dxa"/>
              <w:left w:w="20" w:type="dxa"/>
              <w:bottom w:w="40" w:type="dxa"/>
              <w:right w:w="20" w:type="dxa"/>
            </w:tcMar>
            <w:vAlign w:val="bottom"/>
          </w:tcPr>
          <w:p w14:paraId="5F2D0A68" w14:textId="77777777" w:rsidR="00E836FB" w:rsidRDefault="00994958">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F2D0A69" w14:textId="77777777" w:rsidR="00E836FB" w:rsidRDefault="00994958">
            <w:pPr>
              <w:jc w:val="right"/>
              <w:textAlignment w:val="bottom"/>
            </w:pPr>
            <w:r>
              <w:rPr>
                <w:rFonts w:ascii="Arial" w:eastAsia="宋体" w:hAnsi="Arial" w:cs="Arial"/>
                <w:color w:val="000000"/>
                <w:sz w:val="14"/>
                <w:szCs w:val="14"/>
              </w:rPr>
              <w:t>3,413 </w:t>
            </w:r>
          </w:p>
        </w:tc>
        <w:tc>
          <w:tcPr>
            <w:tcW w:w="0" w:type="auto"/>
            <w:shd w:val="clear" w:color="auto" w:fill="CCEEFF"/>
            <w:tcMar>
              <w:top w:w="40" w:type="dxa"/>
              <w:left w:w="0" w:type="dxa"/>
              <w:bottom w:w="40" w:type="dxa"/>
              <w:right w:w="20" w:type="dxa"/>
            </w:tcMar>
            <w:vAlign w:val="bottom"/>
          </w:tcPr>
          <w:p w14:paraId="5F2D0A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6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6C" w14:textId="77777777" w:rsidR="00E836FB" w:rsidRDefault="00994958">
            <w:pPr>
              <w:jc w:val="right"/>
              <w:textAlignment w:val="bottom"/>
            </w:pPr>
            <w:r>
              <w:rPr>
                <w:rFonts w:ascii="Arial" w:eastAsia="宋体" w:hAnsi="Arial" w:cs="Arial"/>
                <w:color w:val="000000"/>
                <w:sz w:val="14"/>
                <w:szCs w:val="14"/>
              </w:rPr>
              <w:t>3,413 </w:t>
            </w:r>
          </w:p>
        </w:tc>
        <w:tc>
          <w:tcPr>
            <w:tcW w:w="0" w:type="auto"/>
            <w:shd w:val="clear" w:color="auto" w:fill="CCEEFF"/>
            <w:tcMar>
              <w:top w:w="40" w:type="dxa"/>
              <w:left w:w="0" w:type="dxa"/>
              <w:bottom w:w="40" w:type="dxa"/>
              <w:right w:w="20" w:type="dxa"/>
            </w:tcMar>
            <w:vAlign w:val="bottom"/>
          </w:tcPr>
          <w:p w14:paraId="5F2D0A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6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6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7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72" w14:textId="77777777" w:rsidR="00E836FB" w:rsidRDefault="00994958">
            <w:pPr>
              <w:jc w:val="right"/>
              <w:textAlignment w:val="bottom"/>
            </w:pPr>
            <w:r>
              <w:rPr>
                <w:rFonts w:ascii="Arial" w:eastAsia="宋体" w:hAnsi="Arial" w:cs="Arial"/>
                <w:color w:val="000000"/>
                <w:sz w:val="14"/>
                <w:szCs w:val="14"/>
              </w:rPr>
              <w:t>3,413 </w:t>
            </w:r>
          </w:p>
        </w:tc>
        <w:tc>
          <w:tcPr>
            <w:tcW w:w="0" w:type="auto"/>
            <w:shd w:val="clear" w:color="auto" w:fill="CCEEFF"/>
            <w:tcMar>
              <w:top w:w="40" w:type="dxa"/>
              <w:left w:w="0" w:type="dxa"/>
              <w:bottom w:w="40" w:type="dxa"/>
              <w:right w:w="20" w:type="dxa"/>
            </w:tcMar>
            <w:vAlign w:val="bottom"/>
          </w:tcPr>
          <w:p w14:paraId="5F2D0A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7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7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76" w14:textId="77777777" w:rsidR="00E836FB" w:rsidRDefault="00E836FB">
            <w:pPr>
              <w:jc w:val="right"/>
              <w:rPr>
                <w:rFonts w:ascii="宋体"/>
              </w:rPr>
            </w:pPr>
          </w:p>
        </w:tc>
      </w:tr>
      <w:tr w:rsidR="00E836FB" w14:paraId="5F2D0A87" w14:textId="77777777">
        <w:tc>
          <w:tcPr>
            <w:tcW w:w="0" w:type="auto"/>
            <w:gridSpan w:val="3"/>
            <w:shd w:val="clear" w:color="auto" w:fill="FFFFFF"/>
            <w:tcMar>
              <w:top w:w="40" w:type="dxa"/>
              <w:left w:w="20" w:type="dxa"/>
              <w:bottom w:w="40" w:type="dxa"/>
              <w:right w:w="20" w:type="dxa"/>
            </w:tcMar>
            <w:vAlign w:val="bottom"/>
          </w:tcPr>
          <w:p w14:paraId="5F2D0A78" w14:textId="77777777" w:rsidR="00E836FB" w:rsidRDefault="00994958">
            <w:pPr>
              <w:textAlignment w:val="bottom"/>
            </w:pPr>
            <w:r>
              <w:rPr>
                <w:rFonts w:ascii="Arial" w:eastAsia="宋体" w:hAnsi="Arial" w:cs="Arial"/>
                <w:color w:val="000000"/>
                <w:sz w:val="14"/>
                <w:szCs w:val="14"/>
              </w:rPr>
              <w:t>Short-term bor</w:t>
            </w:r>
            <w:r>
              <w:rPr>
                <w:rFonts w:ascii="Arial" w:eastAsia="宋体" w:hAnsi="Arial" w:cs="Arial"/>
                <w:color w:val="000000"/>
                <w:sz w:val="14"/>
                <w:szCs w:val="14"/>
              </w:rPr>
              <w:t>rowings under the MMLF</w:t>
            </w:r>
            <w:r>
              <w:rPr>
                <w:rFonts w:ascii="Arial" w:eastAsia="宋体" w:hAnsi="Arial" w:cs="Arial"/>
                <w:color w:val="000000"/>
                <w:sz w:val="14"/>
                <w:szCs w:val="14"/>
              </w:rPr>
              <w:br/>
              <w:t>program</w:t>
            </w:r>
          </w:p>
        </w:tc>
        <w:tc>
          <w:tcPr>
            <w:tcW w:w="0" w:type="auto"/>
            <w:gridSpan w:val="2"/>
            <w:shd w:val="clear" w:color="auto" w:fill="FFFFFF"/>
            <w:tcMar>
              <w:top w:w="40" w:type="dxa"/>
              <w:left w:w="20" w:type="dxa"/>
              <w:bottom w:w="40" w:type="dxa"/>
              <w:right w:w="0" w:type="dxa"/>
            </w:tcMar>
            <w:vAlign w:val="bottom"/>
          </w:tcPr>
          <w:p w14:paraId="5F2D0A79" w14:textId="77777777" w:rsidR="00E836FB" w:rsidRDefault="00994958">
            <w:pPr>
              <w:jc w:val="right"/>
              <w:textAlignment w:val="bottom"/>
            </w:pPr>
            <w:r>
              <w:rPr>
                <w:rFonts w:ascii="Arial" w:eastAsia="宋体" w:hAnsi="Arial" w:cs="Arial"/>
                <w:color w:val="000000"/>
                <w:sz w:val="14"/>
                <w:szCs w:val="14"/>
              </w:rPr>
              <w:t>3,302 </w:t>
            </w:r>
          </w:p>
        </w:tc>
        <w:tc>
          <w:tcPr>
            <w:tcW w:w="0" w:type="auto"/>
            <w:shd w:val="clear" w:color="auto" w:fill="FFFFFF"/>
            <w:tcMar>
              <w:top w:w="40" w:type="dxa"/>
              <w:left w:w="0" w:type="dxa"/>
              <w:bottom w:w="40" w:type="dxa"/>
              <w:right w:w="20" w:type="dxa"/>
            </w:tcMar>
            <w:vAlign w:val="bottom"/>
          </w:tcPr>
          <w:p w14:paraId="5F2D0A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7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7C" w14:textId="77777777" w:rsidR="00E836FB" w:rsidRDefault="00994958">
            <w:pPr>
              <w:jc w:val="right"/>
              <w:textAlignment w:val="bottom"/>
            </w:pPr>
            <w:r>
              <w:rPr>
                <w:rFonts w:ascii="Arial" w:eastAsia="宋体" w:hAnsi="Arial" w:cs="Arial"/>
                <w:color w:val="000000"/>
                <w:sz w:val="14"/>
                <w:szCs w:val="14"/>
              </w:rPr>
              <w:t>3,302 </w:t>
            </w:r>
          </w:p>
        </w:tc>
        <w:tc>
          <w:tcPr>
            <w:tcW w:w="0" w:type="auto"/>
            <w:shd w:val="clear" w:color="auto" w:fill="FFFFFF"/>
            <w:tcMar>
              <w:top w:w="40" w:type="dxa"/>
              <w:left w:w="0" w:type="dxa"/>
              <w:bottom w:w="40" w:type="dxa"/>
              <w:right w:w="20" w:type="dxa"/>
            </w:tcMar>
            <w:vAlign w:val="bottom"/>
          </w:tcPr>
          <w:p w14:paraId="5F2D0A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7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8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82" w14:textId="77777777" w:rsidR="00E836FB" w:rsidRDefault="00994958">
            <w:pPr>
              <w:jc w:val="right"/>
              <w:textAlignment w:val="bottom"/>
            </w:pPr>
            <w:r>
              <w:rPr>
                <w:rFonts w:ascii="Arial" w:eastAsia="宋体" w:hAnsi="Arial" w:cs="Arial"/>
                <w:color w:val="000000"/>
                <w:sz w:val="14"/>
                <w:szCs w:val="14"/>
              </w:rPr>
              <w:t>3,302 </w:t>
            </w:r>
          </w:p>
        </w:tc>
        <w:tc>
          <w:tcPr>
            <w:tcW w:w="0" w:type="auto"/>
            <w:shd w:val="clear" w:color="auto" w:fill="FFFFFF"/>
            <w:tcMar>
              <w:top w:w="40" w:type="dxa"/>
              <w:left w:w="0" w:type="dxa"/>
              <w:bottom w:w="40" w:type="dxa"/>
              <w:right w:w="20" w:type="dxa"/>
            </w:tcMar>
            <w:vAlign w:val="bottom"/>
          </w:tcPr>
          <w:p w14:paraId="5F2D0A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8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8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86" w14:textId="77777777" w:rsidR="00E836FB" w:rsidRDefault="00E836FB">
            <w:pPr>
              <w:jc w:val="right"/>
              <w:rPr>
                <w:rFonts w:ascii="宋体"/>
              </w:rPr>
            </w:pPr>
          </w:p>
        </w:tc>
      </w:tr>
      <w:tr w:rsidR="00E836FB" w14:paraId="5F2D0A97" w14:textId="77777777">
        <w:tc>
          <w:tcPr>
            <w:tcW w:w="0" w:type="auto"/>
            <w:gridSpan w:val="3"/>
            <w:shd w:val="clear" w:color="auto" w:fill="CCEEFF"/>
            <w:tcMar>
              <w:top w:w="40" w:type="dxa"/>
              <w:left w:w="20" w:type="dxa"/>
              <w:bottom w:w="40" w:type="dxa"/>
              <w:right w:w="20" w:type="dxa"/>
            </w:tcMar>
            <w:vAlign w:val="bottom"/>
          </w:tcPr>
          <w:p w14:paraId="5F2D0A88" w14:textId="77777777" w:rsidR="00E836FB" w:rsidRDefault="00994958">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5F2D0A89" w14:textId="77777777" w:rsidR="00E836FB" w:rsidRDefault="00994958">
            <w:pPr>
              <w:jc w:val="right"/>
              <w:textAlignment w:val="bottom"/>
            </w:pPr>
            <w:r>
              <w:rPr>
                <w:rFonts w:ascii="Arial" w:eastAsia="宋体" w:hAnsi="Arial" w:cs="Arial"/>
                <w:color w:val="000000"/>
                <w:sz w:val="14"/>
                <w:szCs w:val="14"/>
              </w:rPr>
              <w:t>685 </w:t>
            </w:r>
          </w:p>
        </w:tc>
        <w:tc>
          <w:tcPr>
            <w:tcW w:w="0" w:type="auto"/>
            <w:shd w:val="clear" w:color="auto" w:fill="CCEEFF"/>
            <w:tcMar>
              <w:top w:w="40" w:type="dxa"/>
              <w:left w:w="0" w:type="dxa"/>
              <w:bottom w:w="40" w:type="dxa"/>
              <w:right w:w="20" w:type="dxa"/>
            </w:tcMar>
            <w:vAlign w:val="bottom"/>
          </w:tcPr>
          <w:p w14:paraId="5F2D0A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8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8C" w14:textId="77777777" w:rsidR="00E836FB" w:rsidRDefault="00994958">
            <w:pPr>
              <w:jc w:val="right"/>
              <w:textAlignment w:val="bottom"/>
            </w:pPr>
            <w:r>
              <w:rPr>
                <w:rFonts w:ascii="Arial" w:eastAsia="宋体" w:hAnsi="Arial" w:cs="Arial"/>
                <w:color w:val="000000"/>
                <w:sz w:val="14"/>
                <w:szCs w:val="14"/>
              </w:rPr>
              <w:t>685 </w:t>
            </w:r>
          </w:p>
        </w:tc>
        <w:tc>
          <w:tcPr>
            <w:tcW w:w="0" w:type="auto"/>
            <w:shd w:val="clear" w:color="auto" w:fill="CCEEFF"/>
            <w:tcMar>
              <w:top w:w="40" w:type="dxa"/>
              <w:left w:w="0" w:type="dxa"/>
              <w:bottom w:w="40" w:type="dxa"/>
              <w:right w:w="20" w:type="dxa"/>
            </w:tcMar>
            <w:vAlign w:val="bottom"/>
          </w:tcPr>
          <w:p w14:paraId="5F2D0A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8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8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9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92" w14:textId="77777777" w:rsidR="00E836FB" w:rsidRDefault="00994958">
            <w:pPr>
              <w:jc w:val="right"/>
              <w:textAlignment w:val="bottom"/>
            </w:pPr>
            <w:r>
              <w:rPr>
                <w:rFonts w:ascii="Arial" w:eastAsia="宋体" w:hAnsi="Arial" w:cs="Arial"/>
                <w:color w:val="000000"/>
                <w:sz w:val="14"/>
                <w:szCs w:val="14"/>
              </w:rPr>
              <w:t>685 </w:t>
            </w:r>
          </w:p>
        </w:tc>
        <w:tc>
          <w:tcPr>
            <w:tcW w:w="0" w:type="auto"/>
            <w:shd w:val="clear" w:color="auto" w:fill="CCEEFF"/>
            <w:tcMar>
              <w:top w:w="40" w:type="dxa"/>
              <w:left w:w="0" w:type="dxa"/>
              <w:bottom w:w="40" w:type="dxa"/>
              <w:right w:w="20" w:type="dxa"/>
            </w:tcMar>
            <w:vAlign w:val="bottom"/>
          </w:tcPr>
          <w:p w14:paraId="5F2D0A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9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9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96" w14:textId="77777777" w:rsidR="00E836FB" w:rsidRDefault="00E836FB">
            <w:pPr>
              <w:jc w:val="right"/>
              <w:rPr>
                <w:rFonts w:ascii="宋体"/>
              </w:rPr>
            </w:pPr>
          </w:p>
        </w:tc>
      </w:tr>
      <w:tr w:rsidR="00E836FB" w14:paraId="5F2D0AA7" w14:textId="77777777">
        <w:tc>
          <w:tcPr>
            <w:tcW w:w="0" w:type="auto"/>
            <w:gridSpan w:val="3"/>
            <w:shd w:val="clear" w:color="auto" w:fill="FFFFFF"/>
            <w:tcMar>
              <w:top w:w="40" w:type="dxa"/>
              <w:left w:w="20" w:type="dxa"/>
              <w:bottom w:w="40" w:type="dxa"/>
              <w:right w:w="20" w:type="dxa"/>
            </w:tcMar>
            <w:vAlign w:val="bottom"/>
          </w:tcPr>
          <w:p w14:paraId="5F2D0A98" w14:textId="77777777" w:rsidR="00E836FB" w:rsidRDefault="00994958">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5F2D0A99" w14:textId="77777777" w:rsidR="00E836FB" w:rsidRDefault="00994958">
            <w:pPr>
              <w:jc w:val="right"/>
              <w:textAlignment w:val="bottom"/>
            </w:pPr>
            <w:r>
              <w:rPr>
                <w:rFonts w:ascii="Arial" w:eastAsia="宋体" w:hAnsi="Arial" w:cs="Arial"/>
                <w:color w:val="000000"/>
                <w:sz w:val="14"/>
                <w:szCs w:val="14"/>
              </w:rPr>
              <w:t>13,805 </w:t>
            </w:r>
          </w:p>
        </w:tc>
        <w:tc>
          <w:tcPr>
            <w:tcW w:w="0" w:type="auto"/>
            <w:shd w:val="clear" w:color="auto" w:fill="FFFFFF"/>
            <w:tcMar>
              <w:top w:w="40" w:type="dxa"/>
              <w:left w:w="0" w:type="dxa"/>
              <w:bottom w:w="40" w:type="dxa"/>
              <w:right w:w="20" w:type="dxa"/>
            </w:tcMar>
            <w:vAlign w:val="bottom"/>
          </w:tcPr>
          <w:p w14:paraId="5F2D0A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9C" w14:textId="77777777" w:rsidR="00E836FB" w:rsidRDefault="00994958">
            <w:pPr>
              <w:jc w:val="right"/>
              <w:textAlignment w:val="bottom"/>
            </w:pPr>
            <w:r>
              <w:rPr>
                <w:rFonts w:ascii="Arial" w:eastAsia="宋体" w:hAnsi="Arial" w:cs="Arial"/>
                <w:color w:val="000000"/>
                <w:sz w:val="14"/>
                <w:szCs w:val="14"/>
              </w:rPr>
              <w:t>14,162 </w:t>
            </w:r>
          </w:p>
        </w:tc>
        <w:tc>
          <w:tcPr>
            <w:tcW w:w="0" w:type="auto"/>
            <w:shd w:val="clear" w:color="auto" w:fill="FFFFFF"/>
            <w:tcMar>
              <w:top w:w="40" w:type="dxa"/>
              <w:left w:w="0" w:type="dxa"/>
              <w:bottom w:w="40" w:type="dxa"/>
              <w:right w:w="20" w:type="dxa"/>
            </w:tcMar>
            <w:vAlign w:val="bottom"/>
          </w:tcPr>
          <w:p w14:paraId="5F2D0A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9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0A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A2" w14:textId="77777777" w:rsidR="00E836FB" w:rsidRDefault="00994958">
            <w:pPr>
              <w:jc w:val="right"/>
              <w:textAlignment w:val="bottom"/>
            </w:pPr>
            <w:r>
              <w:rPr>
                <w:rFonts w:ascii="Arial" w:eastAsia="宋体" w:hAnsi="Arial" w:cs="Arial"/>
                <w:color w:val="000000"/>
                <w:sz w:val="14"/>
                <w:szCs w:val="14"/>
              </w:rPr>
              <w:t>14,049 </w:t>
            </w:r>
          </w:p>
        </w:tc>
        <w:tc>
          <w:tcPr>
            <w:tcW w:w="0" w:type="auto"/>
            <w:shd w:val="clear" w:color="auto" w:fill="FFFFFF"/>
            <w:tcMar>
              <w:top w:w="40" w:type="dxa"/>
              <w:left w:w="0" w:type="dxa"/>
              <w:bottom w:w="40" w:type="dxa"/>
              <w:right w:w="20" w:type="dxa"/>
            </w:tcMar>
            <w:vAlign w:val="bottom"/>
          </w:tcPr>
          <w:p w14:paraId="5F2D0A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A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AA5" w14:textId="77777777" w:rsidR="00E836FB" w:rsidRDefault="00994958">
            <w:pPr>
              <w:jc w:val="right"/>
              <w:textAlignment w:val="bottom"/>
            </w:pPr>
            <w:r>
              <w:rPr>
                <w:rFonts w:ascii="Arial" w:eastAsia="宋体" w:hAnsi="Arial" w:cs="Arial"/>
                <w:color w:val="000000"/>
                <w:sz w:val="14"/>
                <w:szCs w:val="14"/>
              </w:rPr>
              <w:t>113 </w:t>
            </w:r>
          </w:p>
        </w:tc>
        <w:tc>
          <w:tcPr>
            <w:tcW w:w="0" w:type="auto"/>
            <w:shd w:val="clear" w:color="auto" w:fill="FFFFFF"/>
            <w:tcMar>
              <w:top w:w="40" w:type="dxa"/>
              <w:left w:w="0" w:type="dxa"/>
              <w:bottom w:w="40" w:type="dxa"/>
              <w:right w:w="20" w:type="dxa"/>
            </w:tcMar>
            <w:vAlign w:val="bottom"/>
          </w:tcPr>
          <w:p w14:paraId="5F2D0AA6" w14:textId="77777777" w:rsidR="00E836FB" w:rsidRDefault="00E836FB">
            <w:pPr>
              <w:jc w:val="right"/>
              <w:rPr>
                <w:rFonts w:ascii="宋体"/>
              </w:rPr>
            </w:pPr>
          </w:p>
        </w:tc>
      </w:tr>
      <w:tr w:rsidR="00E836FB" w14:paraId="5F2D0AB7" w14:textId="77777777">
        <w:tc>
          <w:tcPr>
            <w:tcW w:w="0" w:type="auto"/>
            <w:gridSpan w:val="3"/>
            <w:shd w:val="clear" w:color="auto" w:fill="CCEEFF"/>
            <w:tcMar>
              <w:top w:w="40" w:type="dxa"/>
              <w:left w:w="20" w:type="dxa"/>
              <w:bottom w:w="40" w:type="dxa"/>
              <w:right w:w="20" w:type="dxa"/>
            </w:tcMar>
            <w:vAlign w:val="bottom"/>
          </w:tcPr>
          <w:p w14:paraId="5F2D0AA8"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D0AA9"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0A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A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AC"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0A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A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A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B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B2"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0A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AB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AB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0AB6" w14:textId="77777777" w:rsidR="00E836FB" w:rsidRDefault="00E836FB">
            <w:pPr>
              <w:jc w:val="right"/>
              <w:rPr>
                <w:rFonts w:ascii="宋体"/>
              </w:rPr>
            </w:pPr>
          </w:p>
        </w:tc>
      </w:tr>
    </w:tbl>
    <w:p w14:paraId="5F2D0AB8"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E836FB" w14:paraId="5F2D0AC5" w14:textId="77777777">
        <w:tc>
          <w:tcPr>
            <w:tcW w:w="50" w:type="pct"/>
            <w:shd w:val="clear" w:color="auto" w:fill="auto"/>
            <w:vAlign w:val="bottom"/>
          </w:tcPr>
          <w:p w14:paraId="5F2D0AB9" w14:textId="77777777" w:rsidR="00E836FB" w:rsidRDefault="00E836FB">
            <w:pPr>
              <w:rPr>
                <w:rFonts w:ascii="宋体"/>
              </w:rPr>
            </w:pPr>
          </w:p>
        </w:tc>
        <w:tc>
          <w:tcPr>
            <w:tcW w:w="1348" w:type="pct"/>
            <w:shd w:val="clear" w:color="auto" w:fill="auto"/>
            <w:vAlign w:val="bottom"/>
          </w:tcPr>
          <w:p w14:paraId="5F2D0ABA" w14:textId="77777777" w:rsidR="00E836FB" w:rsidRDefault="00E836FB">
            <w:pPr>
              <w:rPr>
                <w:rFonts w:ascii="宋体"/>
              </w:rPr>
            </w:pPr>
          </w:p>
        </w:tc>
        <w:tc>
          <w:tcPr>
            <w:tcW w:w="5" w:type="pct"/>
            <w:shd w:val="clear" w:color="auto" w:fill="auto"/>
            <w:vAlign w:val="bottom"/>
          </w:tcPr>
          <w:p w14:paraId="5F2D0ABB" w14:textId="77777777" w:rsidR="00E836FB" w:rsidRDefault="00E836FB">
            <w:pPr>
              <w:rPr>
                <w:rFonts w:ascii="宋体"/>
              </w:rPr>
            </w:pPr>
          </w:p>
        </w:tc>
        <w:tc>
          <w:tcPr>
            <w:tcW w:w="50" w:type="pct"/>
            <w:shd w:val="clear" w:color="auto" w:fill="auto"/>
            <w:vAlign w:val="bottom"/>
          </w:tcPr>
          <w:p w14:paraId="5F2D0ABC" w14:textId="77777777" w:rsidR="00E836FB" w:rsidRDefault="00E836FB">
            <w:pPr>
              <w:rPr>
                <w:rFonts w:ascii="宋体"/>
              </w:rPr>
            </w:pPr>
          </w:p>
        </w:tc>
        <w:tc>
          <w:tcPr>
            <w:tcW w:w="968" w:type="pct"/>
            <w:shd w:val="clear" w:color="auto" w:fill="auto"/>
            <w:vAlign w:val="bottom"/>
          </w:tcPr>
          <w:p w14:paraId="5F2D0ABD" w14:textId="77777777" w:rsidR="00E836FB" w:rsidRDefault="00E836FB">
            <w:pPr>
              <w:rPr>
                <w:rFonts w:ascii="宋体"/>
              </w:rPr>
            </w:pPr>
          </w:p>
        </w:tc>
        <w:tc>
          <w:tcPr>
            <w:tcW w:w="5" w:type="pct"/>
            <w:shd w:val="clear" w:color="auto" w:fill="auto"/>
            <w:vAlign w:val="bottom"/>
          </w:tcPr>
          <w:p w14:paraId="5F2D0ABE" w14:textId="77777777" w:rsidR="00E836FB" w:rsidRDefault="00E836FB">
            <w:pPr>
              <w:rPr>
                <w:rFonts w:ascii="宋体"/>
              </w:rPr>
            </w:pPr>
          </w:p>
        </w:tc>
        <w:tc>
          <w:tcPr>
            <w:tcW w:w="50" w:type="pct"/>
            <w:shd w:val="clear" w:color="auto" w:fill="auto"/>
            <w:vAlign w:val="bottom"/>
          </w:tcPr>
          <w:p w14:paraId="5F2D0ABF" w14:textId="77777777" w:rsidR="00E836FB" w:rsidRDefault="00E836FB">
            <w:pPr>
              <w:rPr>
                <w:rFonts w:ascii="宋体"/>
              </w:rPr>
            </w:pPr>
          </w:p>
        </w:tc>
        <w:tc>
          <w:tcPr>
            <w:tcW w:w="858" w:type="pct"/>
            <w:shd w:val="clear" w:color="auto" w:fill="auto"/>
            <w:vAlign w:val="bottom"/>
          </w:tcPr>
          <w:p w14:paraId="5F2D0AC0" w14:textId="77777777" w:rsidR="00E836FB" w:rsidRDefault="00E836FB">
            <w:pPr>
              <w:rPr>
                <w:rFonts w:ascii="宋体"/>
              </w:rPr>
            </w:pPr>
          </w:p>
        </w:tc>
        <w:tc>
          <w:tcPr>
            <w:tcW w:w="5" w:type="pct"/>
            <w:shd w:val="clear" w:color="auto" w:fill="auto"/>
            <w:vAlign w:val="bottom"/>
          </w:tcPr>
          <w:p w14:paraId="5F2D0AC1" w14:textId="77777777" w:rsidR="00E836FB" w:rsidRDefault="00E836FB">
            <w:pPr>
              <w:rPr>
                <w:rFonts w:ascii="宋体"/>
              </w:rPr>
            </w:pPr>
          </w:p>
        </w:tc>
        <w:tc>
          <w:tcPr>
            <w:tcW w:w="50" w:type="pct"/>
            <w:shd w:val="clear" w:color="auto" w:fill="auto"/>
            <w:vAlign w:val="bottom"/>
          </w:tcPr>
          <w:p w14:paraId="5F2D0AC2" w14:textId="77777777" w:rsidR="00E836FB" w:rsidRDefault="00E836FB">
            <w:pPr>
              <w:rPr>
                <w:rFonts w:ascii="宋体"/>
              </w:rPr>
            </w:pPr>
          </w:p>
        </w:tc>
        <w:tc>
          <w:tcPr>
            <w:tcW w:w="1604" w:type="pct"/>
            <w:shd w:val="clear" w:color="auto" w:fill="auto"/>
            <w:vAlign w:val="bottom"/>
          </w:tcPr>
          <w:p w14:paraId="5F2D0AC3" w14:textId="77777777" w:rsidR="00E836FB" w:rsidRDefault="00E836FB">
            <w:pPr>
              <w:rPr>
                <w:rFonts w:ascii="宋体"/>
              </w:rPr>
            </w:pPr>
          </w:p>
        </w:tc>
        <w:tc>
          <w:tcPr>
            <w:tcW w:w="5" w:type="pct"/>
            <w:shd w:val="clear" w:color="auto" w:fill="auto"/>
            <w:vAlign w:val="bottom"/>
          </w:tcPr>
          <w:p w14:paraId="5F2D0AC4" w14:textId="77777777" w:rsidR="00E836FB" w:rsidRDefault="00E836FB">
            <w:pPr>
              <w:rPr>
                <w:rFonts w:ascii="宋体"/>
              </w:rPr>
            </w:pPr>
          </w:p>
        </w:tc>
      </w:tr>
      <w:tr w:rsidR="00E836FB" w14:paraId="5F2D0AC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0AC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AC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AC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AC9" w14:textId="77777777" w:rsidR="00E836FB" w:rsidRDefault="00E836FB">
            <w:pPr>
              <w:rPr>
                <w:rFonts w:ascii="宋体"/>
              </w:rPr>
            </w:pPr>
          </w:p>
        </w:tc>
      </w:tr>
    </w:tbl>
    <w:p w14:paraId="5F2D0ACB" w14:textId="77777777" w:rsidR="00E836FB" w:rsidRDefault="00994958">
      <w:r>
        <w:rPr>
          <w:rFonts w:ascii="Arial" w:eastAsia="宋体" w:hAnsi="Arial" w:cs="Arial"/>
          <w:color w:val="000000"/>
          <w:sz w:val="9"/>
          <w:szCs w:val="9"/>
        </w:rPr>
        <w:t>(1)</w:t>
      </w:r>
      <w:r>
        <w:rPr>
          <w:rFonts w:ascii="Arial" w:eastAsia="宋体" w:hAnsi="Arial" w:cs="Arial"/>
          <w:color w:val="000000"/>
          <w:sz w:val="14"/>
          <w:szCs w:val="14"/>
        </w:rPr>
        <w:t xml:space="preserve"> Represents a portion of underlying client assets related to our enhanced custody business, which clients have allowed us to transfer and re-pledge.</w:t>
      </w:r>
    </w:p>
    <w:p w14:paraId="5F2D0ACC" w14:textId="77777777" w:rsidR="00E836FB" w:rsidRDefault="00994958">
      <w:pPr>
        <w:ind w:firstLine="450"/>
        <w:jc w:val="right"/>
      </w:pPr>
      <w:r>
        <w:rPr>
          <w:rFonts w:ascii="Arial" w:eastAsia="宋体" w:hAnsi="Arial" w:cs="Arial"/>
          <w:color w:val="000000"/>
          <w:sz w:val="18"/>
          <w:szCs w:val="18"/>
        </w:rPr>
        <w:t>State Street Corporation | 143</w:t>
      </w:r>
    </w:p>
    <w:p w14:paraId="5F2D0ACD" w14:textId="77777777" w:rsidR="00E836FB" w:rsidRDefault="00E836FB">
      <w:pPr>
        <w:ind w:firstLine="450"/>
        <w:jc w:val="center"/>
      </w:pPr>
    </w:p>
    <w:p w14:paraId="5F2D0ACE" w14:textId="77777777" w:rsidR="00E836FB" w:rsidRDefault="00994958">
      <w:r>
        <w:pict w14:anchorId="5F2D6E14">
          <v:rect id="_x0000_i1167" style="width:415.3pt;height:1.5pt" o:hralign="center" o:hrstd="t" o:hr="t" fillcolor="#a0a0a0" stroked="f"/>
        </w:pict>
      </w:r>
    </w:p>
    <w:p w14:paraId="5F2D0ACF" w14:textId="77777777" w:rsidR="00E836FB" w:rsidRDefault="00994958">
      <w:pPr>
        <w:ind w:firstLine="450"/>
        <w:jc w:val="center"/>
      </w:pPr>
      <w:r>
        <w:rPr>
          <w:rFonts w:ascii="Arial" w:eastAsia="宋体" w:hAnsi="Arial" w:cs="Arial"/>
          <w:b/>
          <w:bCs/>
          <w:color w:val="000000"/>
          <w:sz w:val="20"/>
          <w:szCs w:val="20"/>
        </w:rPr>
        <w:t>STATE STREET CORPORATION</w:t>
      </w:r>
    </w:p>
    <w:p w14:paraId="5F2D0AD0"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0AD1" w14:textId="77777777" w:rsidR="00E836FB" w:rsidRDefault="00E836FB">
      <w:pPr>
        <w:ind w:firstLine="450"/>
      </w:pPr>
    </w:p>
    <w:p w14:paraId="5F2D0AD2" w14:textId="77777777" w:rsidR="00E836FB" w:rsidRDefault="00994958">
      <w:pPr>
        <w:spacing w:before="60"/>
        <w:jc w:val="both"/>
      </w:pPr>
      <w:r>
        <w:rPr>
          <w:rFonts w:ascii="Arial" w:eastAsia="宋体" w:hAnsi="Arial" w:cs="Arial"/>
          <w:b/>
          <w:bCs/>
          <w:color w:val="000000"/>
          <w:sz w:val="20"/>
          <w:szCs w:val="20"/>
        </w:rPr>
        <w:t>Note</w:t>
      </w:r>
      <w:r>
        <w:rPr>
          <w:rFonts w:ascii="Arial" w:eastAsia="宋体" w:hAnsi="Arial" w:cs="Arial"/>
          <w:b/>
          <w:bCs/>
          <w:color w:val="000000"/>
          <w:sz w:val="20"/>
          <w:szCs w:val="20"/>
        </w:rPr>
        <w:t xml:space="preserve"> 3.    Investment Securities</w:t>
      </w:r>
    </w:p>
    <w:p w14:paraId="5F2D0AD3" w14:textId="77777777" w:rsidR="00E836FB" w:rsidRDefault="00994958">
      <w:pPr>
        <w:spacing w:before="60"/>
        <w:ind w:firstLine="450"/>
        <w:jc w:val="both"/>
      </w:pPr>
      <w:r>
        <w:rPr>
          <w:rFonts w:ascii="Arial" w:eastAsia="宋体" w:hAnsi="Arial" w:cs="Arial"/>
          <w:color w:val="000000"/>
          <w:sz w:val="20"/>
          <w:szCs w:val="20"/>
        </w:rPr>
        <w:t>Investment securities held by us are classified as either trading account assets, AFS, HTM or equity securities held at fair value at the time of purchase and reassessed periodically, based on management’s intent.</w:t>
      </w:r>
    </w:p>
    <w:p w14:paraId="5F2D0AD4" w14:textId="77777777" w:rsidR="00E836FB" w:rsidRDefault="00994958">
      <w:pPr>
        <w:spacing w:before="60"/>
        <w:ind w:firstLine="450"/>
        <w:jc w:val="both"/>
      </w:pPr>
      <w:r>
        <w:rPr>
          <w:rFonts w:ascii="Arial" w:eastAsia="宋体" w:hAnsi="Arial" w:cs="Arial"/>
          <w:color w:val="000000"/>
          <w:sz w:val="20"/>
          <w:szCs w:val="20"/>
        </w:rPr>
        <w:t>Generally, tr</w:t>
      </w:r>
      <w:r>
        <w:rPr>
          <w:rFonts w:ascii="Arial" w:eastAsia="宋体" w:hAnsi="Arial" w:cs="Arial"/>
          <w:color w:val="000000"/>
          <w:sz w:val="20"/>
          <w:szCs w:val="20"/>
        </w:rPr>
        <w:t>ading assets are debt and equity securities purchased in connection with our trading activities and, as such, are expected to be sold in the near term. Our trading activities typically involve active and frequent buying and selling with the objective of ge</w:t>
      </w:r>
      <w:r>
        <w:rPr>
          <w:rFonts w:ascii="Arial" w:eastAsia="宋体" w:hAnsi="Arial" w:cs="Arial"/>
          <w:color w:val="000000"/>
          <w:sz w:val="20"/>
          <w:szCs w:val="20"/>
        </w:rPr>
        <w:t>nerating profits on short-term movements. AFS investment securities are those securities that we intend to hold for an indefinite period of time. AFS investment securities include securities utilized as part of our asset and liability management activities</w:t>
      </w:r>
      <w:r>
        <w:rPr>
          <w:rFonts w:ascii="Arial" w:eastAsia="宋体" w:hAnsi="Arial" w:cs="Arial"/>
          <w:color w:val="000000"/>
          <w:sz w:val="20"/>
          <w:szCs w:val="20"/>
        </w:rPr>
        <w:t xml:space="preserve"> that may be sold in response to changes in interest rates, prepayment risk, liquidity needs or other factors. HTM securities are debt securities that management has the intent and the ability to hold to maturity.</w:t>
      </w:r>
    </w:p>
    <w:p w14:paraId="5F2D0AD5" w14:textId="77777777" w:rsidR="00E836FB" w:rsidRDefault="00994958">
      <w:pPr>
        <w:spacing w:before="60"/>
        <w:ind w:firstLine="450"/>
        <w:jc w:val="both"/>
      </w:pPr>
      <w:r>
        <w:rPr>
          <w:rFonts w:ascii="Arial" w:eastAsia="宋体" w:hAnsi="Arial" w:cs="Arial"/>
          <w:color w:val="000000"/>
          <w:sz w:val="20"/>
          <w:szCs w:val="20"/>
        </w:rPr>
        <w:t xml:space="preserve">Trading assets are carried at fair value. </w:t>
      </w:r>
      <w:r>
        <w:rPr>
          <w:rFonts w:ascii="Arial" w:eastAsia="宋体" w:hAnsi="Arial" w:cs="Arial"/>
          <w:color w:val="000000"/>
          <w:sz w:val="20"/>
          <w:szCs w:val="20"/>
        </w:rPr>
        <w:t>Both realized and unrealized gains and losses on trading assets are recorded in foreign exchange trading services revenue in our consolidated statement of income. AFS securities are carried at fair value, with any allowance for credit losses recorded throu</w:t>
      </w:r>
      <w:r>
        <w:rPr>
          <w:rFonts w:ascii="Arial" w:eastAsia="宋体" w:hAnsi="Arial" w:cs="Arial"/>
          <w:color w:val="000000"/>
          <w:sz w:val="20"/>
          <w:szCs w:val="20"/>
        </w:rPr>
        <w:t>gh the consolidated statement of income and after-tax net unrealized gains and losses are recorded in AOCI. Gains or losses realized on sales of AFS investment securities are computed using the specific identification method and are recorded in gains (loss</w:t>
      </w:r>
      <w:r>
        <w:rPr>
          <w:rFonts w:ascii="Arial" w:eastAsia="宋体" w:hAnsi="Arial" w:cs="Arial"/>
          <w:color w:val="000000"/>
          <w:sz w:val="20"/>
          <w:szCs w:val="20"/>
        </w:rPr>
        <w:t>es) related to investment securities, net, in our consolidated statement of income. HTM investment securities are carried at cost, adjusted for amortization of premiums and accretion of discounts, with any allowance for credit losses recorded through the c</w:t>
      </w:r>
      <w:r>
        <w:rPr>
          <w:rFonts w:ascii="Arial" w:eastAsia="宋体" w:hAnsi="Arial" w:cs="Arial"/>
          <w:color w:val="000000"/>
          <w:sz w:val="20"/>
          <w:szCs w:val="20"/>
        </w:rPr>
        <w:t>onsolidated statement of income.</w:t>
      </w:r>
    </w:p>
    <w:p w14:paraId="5F2D0AD6" w14:textId="77777777" w:rsidR="00E836FB" w:rsidRDefault="00994958">
      <w:pPr>
        <w:ind w:firstLine="450"/>
        <w:jc w:val="right"/>
      </w:pPr>
      <w:r>
        <w:rPr>
          <w:rFonts w:ascii="Arial" w:eastAsia="宋体" w:hAnsi="Arial" w:cs="Arial"/>
          <w:color w:val="000000"/>
          <w:sz w:val="18"/>
          <w:szCs w:val="18"/>
        </w:rPr>
        <w:t>State Street Corporation | 144</w:t>
      </w:r>
    </w:p>
    <w:p w14:paraId="5F2D0AD7" w14:textId="77777777" w:rsidR="00E836FB" w:rsidRDefault="00E836FB">
      <w:pPr>
        <w:ind w:firstLine="450"/>
        <w:jc w:val="center"/>
      </w:pPr>
    </w:p>
    <w:p w14:paraId="5F2D0AD8" w14:textId="77777777" w:rsidR="00E836FB" w:rsidRDefault="00994958">
      <w:r>
        <w:pict w14:anchorId="5F2D6E15">
          <v:rect id="_x0000_i1168" style="width:415.3pt;height:1.5pt" o:hralign="center" o:hrstd="t" o:hr="t" fillcolor="#a0a0a0" stroked="f"/>
        </w:pict>
      </w:r>
    </w:p>
    <w:p w14:paraId="5F2D0AD9" w14:textId="77777777" w:rsidR="00E836FB" w:rsidRDefault="00994958">
      <w:pPr>
        <w:ind w:firstLine="450"/>
        <w:jc w:val="center"/>
      </w:pPr>
      <w:r>
        <w:rPr>
          <w:rFonts w:ascii="Arial" w:eastAsia="宋体" w:hAnsi="Arial" w:cs="Arial"/>
          <w:b/>
          <w:bCs/>
          <w:color w:val="000000"/>
          <w:sz w:val="20"/>
          <w:szCs w:val="20"/>
        </w:rPr>
        <w:t>STATE STREET CORPORATION</w:t>
      </w:r>
    </w:p>
    <w:p w14:paraId="5F2D0ADA"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0ADB" w14:textId="77777777" w:rsidR="00E836FB" w:rsidRDefault="00994958">
      <w:pPr>
        <w:spacing w:before="60"/>
        <w:ind w:firstLine="450"/>
        <w:jc w:val="both"/>
      </w:pPr>
      <w:r>
        <w:rPr>
          <w:rFonts w:ascii="Arial" w:eastAsia="宋体" w:hAnsi="Arial" w:cs="Arial"/>
          <w:color w:val="000000"/>
          <w:sz w:val="20"/>
          <w:szCs w:val="20"/>
        </w:rPr>
        <w:t xml:space="preserve">The following table presents the amortized cost, fair value and associated unrealized gains and losses of AFS and HTM </w:t>
      </w:r>
      <w:r>
        <w:rPr>
          <w:rFonts w:ascii="Arial" w:eastAsia="宋体" w:hAnsi="Arial" w:cs="Arial"/>
          <w:color w:val="000000"/>
          <w:sz w:val="20"/>
          <w:szCs w:val="20"/>
        </w:rPr>
        <w:t>investment securities as of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43"/>
        <w:gridCol w:w="2201"/>
        <w:gridCol w:w="37"/>
        <w:gridCol w:w="105"/>
        <w:gridCol w:w="679"/>
        <w:gridCol w:w="36"/>
        <w:gridCol w:w="36"/>
        <w:gridCol w:w="36"/>
        <w:gridCol w:w="36"/>
        <w:gridCol w:w="105"/>
        <w:gridCol w:w="377"/>
        <w:gridCol w:w="36"/>
        <w:gridCol w:w="36"/>
        <w:gridCol w:w="36"/>
        <w:gridCol w:w="36"/>
        <w:gridCol w:w="105"/>
        <w:gridCol w:w="464"/>
        <w:gridCol w:w="36"/>
        <w:gridCol w:w="36"/>
        <w:gridCol w:w="36"/>
        <w:gridCol w:w="36"/>
        <w:gridCol w:w="104"/>
        <w:gridCol w:w="501"/>
        <w:gridCol w:w="36"/>
        <w:gridCol w:w="36"/>
        <w:gridCol w:w="36"/>
        <w:gridCol w:w="36"/>
        <w:gridCol w:w="105"/>
        <w:gridCol w:w="679"/>
        <w:gridCol w:w="36"/>
        <w:gridCol w:w="36"/>
        <w:gridCol w:w="36"/>
        <w:gridCol w:w="36"/>
        <w:gridCol w:w="104"/>
        <w:gridCol w:w="418"/>
        <w:gridCol w:w="36"/>
        <w:gridCol w:w="37"/>
        <w:gridCol w:w="89"/>
        <w:gridCol w:w="36"/>
        <w:gridCol w:w="105"/>
        <w:gridCol w:w="464"/>
        <w:gridCol w:w="36"/>
        <w:gridCol w:w="36"/>
        <w:gridCol w:w="36"/>
        <w:gridCol w:w="36"/>
        <w:gridCol w:w="104"/>
        <w:gridCol w:w="501"/>
        <w:gridCol w:w="36"/>
      </w:tblGrid>
      <w:tr w:rsidR="00E836FB" w14:paraId="5F2D0B0C" w14:textId="77777777">
        <w:tc>
          <w:tcPr>
            <w:tcW w:w="50" w:type="pct"/>
            <w:shd w:val="clear" w:color="auto" w:fill="auto"/>
            <w:vAlign w:val="bottom"/>
          </w:tcPr>
          <w:p w14:paraId="5F2D0ADC" w14:textId="77777777" w:rsidR="00E836FB" w:rsidRDefault="00E836FB">
            <w:pPr>
              <w:rPr>
                <w:rFonts w:ascii="宋体"/>
              </w:rPr>
            </w:pPr>
          </w:p>
        </w:tc>
        <w:tc>
          <w:tcPr>
            <w:tcW w:w="1641" w:type="pct"/>
            <w:shd w:val="clear" w:color="auto" w:fill="auto"/>
            <w:vAlign w:val="bottom"/>
          </w:tcPr>
          <w:p w14:paraId="5F2D0ADD" w14:textId="77777777" w:rsidR="00E836FB" w:rsidRDefault="00E836FB">
            <w:pPr>
              <w:rPr>
                <w:rFonts w:ascii="宋体"/>
              </w:rPr>
            </w:pPr>
          </w:p>
        </w:tc>
        <w:tc>
          <w:tcPr>
            <w:tcW w:w="5" w:type="pct"/>
            <w:shd w:val="clear" w:color="auto" w:fill="auto"/>
            <w:vAlign w:val="bottom"/>
          </w:tcPr>
          <w:p w14:paraId="5F2D0ADE" w14:textId="77777777" w:rsidR="00E836FB" w:rsidRDefault="00E836FB">
            <w:pPr>
              <w:rPr>
                <w:rFonts w:ascii="宋体"/>
              </w:rPr>
            </w:pPr>
          </w:p>
        </w:tc>
        <w:tc>
          <w:tcPr>
            <w:tcW w:w="50" w:type="pct"/>
            <w:shd w:val="clear" w:color="auto" w:fill="auto"/>
            <w:vAlign w:val="bottom"/>
          </w:tcPr>
          <w:p w14:paraId="5F2D0ADF" w14:textId="77777777" w:rsidR="00E836FB" w:rsidRDefault="00E836FB">
            <w:pPr>
              <w:rPr>
                <w:rFonts w:ascii="宋体"/>
              </w:rPr>
            </w:pPr>
          </w:p>
        </w:tc>
        <w:tc>
          <w:tcPr>
            <w:tcW w:w="392" w:type="pct"/>
            <w:shd w:val="clear" w:color="auto" w:fill="auto"/>
            <w:vAlign w:val="bottom"/>
          </w:tcPr>
          <w:p w14:paraId="5F2D0AE0" w14:textId="77777777" w:rsidR="00E836FB" w:rsidRDefault="00E836FB">
            <w:pPr>
              <w:rPr>
                <w:rFonts w:ascii="宋体"/>
              </w:rPr>
            </w:pPr>
          </w:p>
        </w:tc>
        <w:tc>
          <w:tcPr>
            <w:tcW w:w="5" w:type="pct"/>
            <w:shd w:val="clear" w:color="auto" w:fill="auto"/>
            <w:vAlign w:val="bottom"/>
          </w:tcPr>
          <w:p w14:paraId="5F2D0AE1" w14:textId="77777777" w:rsidR="00E836FB" w:rsidRDefault="00E836FB">
            <w:pPr>
              <w:rPr>
                <w:rFonts w:ascii="宋体"/>
              </w:rPr>
            </w:pPr>
          </w:p>
        </w:tc>
        <w:tc>
          <w:tcPr>
            <w:tcW w:w="5" w:type="pct"/>
            <w:shd w:val="clear" w:color="auto" w:fill="auto"/>
            <w:vAlign w:val="bottom"/>
          </w:tcPr>
          <w:p w14:paraId="5F2D0AE2" w14:textId="77777777" w:rsidR="00E836FB" w:rsidRDefault="00E836FB">
            <w:pPr>
              <w:rPr>
                <w:rFonts w:ascii="宋体"/>
              </w:rPr>
            </w:pPr>
          </w:p>
        </w:tc>
        <w:tc>
          <w:tcPr>
            <w:tcW w:w="26" w:type="pct"/>
            <w:shd w:val="clear" w:color="auto" w:fill="auto"/>
            <w:vAlign w:val="bottom"/>
          </w:tcPr>
          <w:p w14:paraId="5F2D0AE3" w14:textId="77777777" w:rsidR="00E836FB" w:rsidRDefault="00E836FB">
            <w:pPr>
              <w:rPr>
                <w:rFonts w:ascii="宋体"/>
              </w:rPr>
            </w:pPr>
          </w:p>
        </w:tc>
        <w:tc>
          <w:tcPr>
            <w:tcW w:w="5" w:type="pct"/>
            <w:shd w:val="clear" w:color="auto" w:fill="auto"/>
            <w:vAlign w:val="bottom"/>
          </w:tcPr>
          <w:p w14:paraId="5F2D0AE4" w14:textId="77777777" w:rsidR="00E836FB" w:rsidRDefault="00E836FB">
            <w:pPr>
              <w:rPr>
                <w:rFonts w:ascii="宋体"/>
              </w:rPr>
            </w:pPr>
          </w:p>
        </w:tc>
        <w:tc>
          <w:tcPr>
            <w:tcW w:w="50" w:type="pct"/>
            <w:shd w:val="clear" w:color="auto" w:fill="auto"/>
            <w:vAlign w:val="bottom"/>
          </w:tcPr>
          <w:p w14:paraId="5F2D0AE5" w14:textId="77777777" w:rsidR="00E836FB" w:rsidRDefault="00E836FB">
            <w:pPr>
              <w:rPr>
                <w:rFonts w:ascii="宋体"/>
              </w:rPr>
            </w:pPr>
          </w:p>
        </w:tc>
        <w:tc>
          <w:tcPr>
            <w:tcW w:w="260" w:type="pct"/>
            <w:shd w:val="clear" w:color="auto" w:fill="auto"/>
            <w:vAlign w:val="bottom"/>
          </w:tcPr>
          <w:p w14:paraId="5F2D0AE6" w14:textId="77777777" w:rsidR="00E836FB" w:rsidRDefault="00E836FB">
            <w:pPr>
              <w:rPr>
                <w:rFonts w:ascii="宋体"/>
              </w:rPr>
            </w:pPr>
          </w:p>
        </w:tc>
        <w:tc>
          <w:tcPr>
            <w:tcW w:w="5" w:type="pct"/>
            <w:shd w:val="clear" w:color="auto" w:fill="auto"/>
            <w:vAlign w:val="bottom"/>
          </w:tcPr>
          <w:p w14:paraId="5F2D0AE7" w14:textId="77777777" w:rsidR="00E836FB" w:rsidRDefault="00E836FB">
            <w:pPr>
              <w:rPr>
                <w:rFonts w:ascii="宋体"/>
              </w:rPr>
            </w:pPr>
          </w:p>
        </w:tc>
        <w:tc>
          <w:tcPr>
            <w:tcW w:w="5" w:type="pct"/>
            <w:shd w:val="clear" w:color="auto" w:fill="auto"/>
            <w:vAlign w:val="bottom"/>
          </w:tcPr>
          <w:p w14:paraId="5F2D0AE8" w14:textId="77777777" w:rsidR="00E836FB" w:rsidRDefault="00E836FB">
            <w:pPr>
              <w:rPr>
                <w:rFonts w:ascii="宋体"/>
              </w:rPr>
            </w:pPr>
          </w:p>
        </w:tc>
        <w:tc>
          <w:tcPr>
            <w:tcW w:w="26" w:type="pct"/>
            <w:shd w:val="clear" w:color="auto" w:fill="auto"/>
            <w:vAlign w:val="bottom"/>
          </w:tcPr>
          <w:p w14:paraId="5F2D0AE9" w14:textId="77777777" w:rsidR="00E836FB" w:rsidRDefault="00E836FB">
            <w:pPr>
              <w:rPr>
                <w:rFonts w:ascii="宋体"/>
              </w:rPr>
            </w:pPr>
          </w:p>
        </w:tc>
        <w:tc>
          <w:tcPr>
            <w:tcW w:w="5" w:type="pct"/>
            <w:shd w:val="clear" w:color="auto" w:fill="auto"/>
            <w:vAlign w:val="bottom"/>
          </w:tcPr>
          <w:p w14:paraId="5F2D0AEA" w14:textId="77777777" w:rsidR="00E836FB" w:rsidRDefault="00E836FB">
            <w:pPr>
              <w:rPr>
                <w:rFonts w:ascii="宋体"/>
              </w:rPr>
            </w:pPr>
          </w:p>
        </w:tc>
        <w:tc>
          <w:tcPr>
            <w:tcW w:w="50" w:type="pct"/>
            <w:shd w:val="clear" w:color="auto" w:fill="auto"/>
            <w:vAlign w:val="bottom"/>
          </w:tcPr>
          <w:p w14:paraId="5F2D0AEB" w14:textId="77777777" w:rsidR="00E836FB" w:rsidRDefault="00E836FB">
            <w:pPr>
              <w:rPr>
                <w:rFonts w:ascii="宋体"/>
              </w:rPr>
            </w:pPr>
          </w:p>
        </w:tc>
        <w:tc>
          <w:tcPr>
            <w:tcW w:w="275" w:type="pct"/>
            <w:shd w:val="clear" w:color="auto" w:fill="auto"/>
            <w:vAlign w:val="bottom"/>
          </w:tcPr>
          <w:p w14:paraId="5F2D0AEC" w14:textId="77777777" w:rsidR="00E836FB" w:rsidRDefault="00E836FB">
            <w:pPr>
              <w:rPr>
                <w:rFonts w:ascii="宋体"/>
              </w:rPr>
            </w:pPr>
          </w:p>
        </w:tc>
        <w:tc>
          <w:tcPr>
            <w:tcW w:w="5" w:type="pct"/>
            <w:shd w:val="clear" w:color="auto" w:fill="auto"/>
            <w:vAlign w:val="bottom"/>
          </w:tcPr>
          <w:p w14:paraId="5F2D0AED" w14:textId="77777777" w:rsidR="00E836FB" w:rsidRDefault="00E836FB">
            <w:pPr>
              <w:rPr>
                <w:rFonts w:ascii="宋体"/>
              </w:rPr>
            </w:pPr>
          </w:p>
        </w:tc>
        <w:tc>
          <w:tcPr>
            <w:tcW w:w="5" w:type="pct"/>
            <w:shd w:val="clear" w:color="auto" w:fill="auto"/>
            <w:vAlign w:val="bottom"/>
          </w:tcPr>
          <w:p w14:paraId="5F2D0AEE" w14:textId="77777777" w:rsidR="00E836FB" w:rsidRDefault="00E836FB">
            <w:pPr>
              <w:rPr>
                <w:rFonts w:ascii="宋体"/>
              </w:rPr>
            </w:pPr>
          </w:p>
        </w:tc>
        <w:tc>
          <w:tcPr>
            <w:tcW w:w="26" w:type="pct"/>
            <w:shd w:val="clear" w:color="auto" w:fill="auto"/>
            <w:vAlign w:val="bottom"/>
          </w:tcPr>
          <w:p w14:paraId="5F2D0AEF" w14:textId="77777777" w:rsidR="00E836FB" w:rsidRDefault="00E836FB">
            <w:pPr>
              <w:rPr>
                <w:rFonts w:ascii="宋体"/>
              </w:rPr>
            </w:pPr>
          </w:p>
        </w:tc>
        <w:tc>
          <w:tcPr>
            <w:tcW w:w="5" w:type="pct"/>
            <w:shd w:val="clear" w:color="auto" w:fill="auto"/>
            <w:vAlign w:val="bottom"/>
          </w:tcPr>
          <w:p w14:paraId="5F2D0AF0" w14:textId="77777777" w:rsidR="00E836FB" w:rsidRDefault="00E836FB">
            <w:pPr>
              <w:rPr>
                <w:rFonts w:ascii="宋体"/>
              </w:rPr>
            </w:pPr>
          </w:p>
        </w:tc>
        <w:tc>
          <w:tcPr>
            <w:tcW w:w="50" w:type="pct"/>
            <w:shd w:val="clear" w:color="auto" w:fill="auto"/>
            <w:vAlign w:val="bottom"/>
          </w:tcPr>
          <w:p w14:paraId="5F2D0AF1" w14:textId="77777777" w:rsidR="00E836FB" w:rsidRDefault="00E836FB">
            <w:pPr>
              <w:rPr>
                <w:rFonts w:ascii="宋体"/>
              </w:rPr>
            </w:pPr>
          </w:p>
        </w:tc>
        <w:tc>
          <w:tcPr>
            <w:tcW w:w="378" w:type="pct"/>
            <w:shd w:val="clear" w:color="auto" w:fill="auto"/>
            <w:vAlign w:val="bottom"/>
          </w:tcPr>
          <w:p w14:paraId="5F2D0AF2" w14:textId="77777777" w:rsidR="00E836FB" w:rsidRDefault="00E836FB">
            <w:pPr>
              <w:rPr>
                <w:rFonts w:ascii="宋体"/>
              </w:rPr>
            </w:pPr>
          </w:p>
        </w:tc>
        <w:tc>
          <w:tcPr>
            <w:tcW w:w="5" w:type="pct"/>
            <w:shd w:val="clear" w:color="auto" w:fill="auto"/>
            <w:vAlign w:val="bottom"/>
          </w:tcPr>
          <w:p w14:paraId="5F2D0AF3" w14:textId="77777777" w:rsidR="00E836FB" w:rsidRDefault="00E836FB">
            <w:pPr>
              <w:rPr>
                <w:rFonts w:ascii="宋体"/>
              </w:rPr>
            </w:pPr>
          </w:p>
        </w:tc>
        <w:tc>
          <w:tcPr>
            <w:tcW w:w="5" w:type="pct"/>
            <w:shd w:val="clear" w:color="auto" w:fill="auto"/>
            <w:vAlign w:val="bottom"/>
          </w:tcPr>
          <w:p w14:paraId="5F2D0AF4" w14:textId="77777777" w:rsidR="00E836FB" w:rsidRDefault="00E836FB">
            <w:pPr>
              <w:rPr>
                <w:rFonts w:ascii="宋体"/>
              </w:rPr>
            </w:pPr>
          </w:p>
        </w:tc>
        <w:tc>
          <w:tcPr>
            <w:tcW w:w="26" w:type="pct"/>
            <w:shd w:val="clear" w:color="auto" w:fill="auto"/>
            <w:vAlign w:val="bottom"/>
          </w:tcPr>
          <w:p w14:paraId="5F2D0AF5" w14:textId="77777777" w:rsidR="00E836FB" w:rsidRDefault="00E836FB">
            <w:pPr>
              <w:rPr>
                <w:rFonts w:ascii="宋体"/>
              </w:rPr>
            </w:pPr>
          </w:p>
        </w:tc>
        <w:tc>
          <w:tcPr>
            <w:tcW w:w="5" w:type="pct"/>
            <w:shd w:val="clear" w:color="auto" w:fill="auto"/>
            <w:vAlign w:val="bottom"/>
          </w:tcPr>
          <w:p w14:paraId="5F2D0AF6" w14:textId="77777777" w:rsidR="00E836FB" w:rsidRDefault="00E836FB">
            <w:pPr>
              <w:rPr>
                <w:rFonts w:ascii="宋体"/>
              </w:rPr>
            </w:pPr>
          </w:p>
        </w:tc>
        <w:tc>
          <w:tcPr>
            <w:tcW w:w="50" w:type="pct"/>
            <w:shd w:val="clear" w:color="auto" w:fill="auto"/>
            <w:vAlign w:val="bottom"/>
          </w:tcPr>
          <w:p w14:paraId="5F2D0AF7" w14:textId="77777777" w:rsidR="00E836FB" w:rsidRDefault="00E836FB">
            <w:pPr>
              <w:rPr>
                <w:rFonts w:ascii="宋体"/>
              </w:rPr>
            </w:pPr>
          </w:p>
        </w:tc>
        <w:tc>
          <w:tcPr>
            <w:tcW w:w="392" w:type="pct"/>
            <w:shd w:val="clear" w:color="auto" w:fill="auto"/>
            <w:vAlign w:val="bottom"/>
          </w:tcPr>
          <w:p w14:paraId="5F2D0AF8" w14:textId="77777777" w:rsidR="00E836FB" w:rsidRDefault="00E836FB">
            <w:pPr>
              <w:rPr>
                <w:rFonts w:ascii="宋体"/>
              </w:rPr>
            </w:pPr>
          </w:p>
        </w:tc>
        <w:tc>
          <w:tcPr>
            <w:tcW w:w="5" w:type="pct"/>
            <w:shd w:val="clear" w:color="auto" w:fill="auto"/>
            <w:vAlign w:val="bottom"/>
          </w:tcPr>
          <w:p w14:paraId="5F2D0AF9" w14:textId="77777777" w:rsidR="00E836FB" w:rsidRDefault="00E836FB">
            <w:pPr>
              <w:rPr>
                <w:rFonts w:ascii="宋体"/>
              </w:rPr>
            </w:pPr>
          </w:p>
        </w:tc>
        <w:tc>
          <w:tcPr>
            <w:tcW w:w="5" w:type="pct"/>
            <w:shd w:val="clear" w:color="auto" w:fill="auto"/>
            <w:vAlign w:val="bottom"/>
          </w:tcPr>
          <w:p w14:paraId="5F2D0AFA" w14:textId="77777777" w:rsidR="00E836FB" w:rsidRDefault="00E836FB">
            <w:pPr>
              <w:rPr>
                <w:rFonts w:ascii="宋体"/>
              </w:rPr>
            </w:pPr>
          </w:p>
        </w:tc>
        <w:tc>
          <w:tcPr>
            <w:tcW w:w="26" w:type="pct"/>
            <w:shd w:val="clear" w:color="auto" w:fill="auto"/>
            <w:vAlign w:val="bottom"/>
          </w:tcPr>
          <w:p w14:paraId="5F2D0AFB" w14:textId="77777777" w:rsidR="00E836FB" w:rsidRDefault="00E836FB">
            <w:pPr>
              <w:rPr>
                <w:rFonts w:ascii="宋体"/>
              </w:rPr>
            </w:pPr>
          </w:p>
        </w:tc>
        <w:tc>
          <w:tcPr>
            <w:tcW w:w="5" w:type="pct"/>
            <w:shd w:val="clear" w:color="auto" w:fill="auto"/>
            <w:vAlign w:val="bottom"/>
          </w:tcPr>
          <w:p w14:paraId="5F2D0AFC" w14:textId="77777777" w:rsidR="00E836FB" w:rsidRDefault="00E836FB">
            <w:pPr>
              <w:rPr>
                <w:rFonts w:ascii="宋体"/>
              </w:rPr>
            </w:pPr>
          </w:p>
        </w:tc>
        <w:tc>
          <w:tcPr>
            <w:tcW w:w="50" w:type="pct"/>
            <w:shd w:val="clear" w:color="auto" w:fill="auto"/>
            <w:vAlign w:val="bottom"/>
          </w:tcPr>
          <w:p w14:paraId="5F2D0AFD" w14:textId="77777777" w:rsidR="00E836FB" w:rsidRDefault="00E836FB">
            <w:pPr>
              <w:rPr>
                <w:rFonts w:ascii="宋体"/>
              </w:rPr>
            </w:pPr>
          </w:p>
        </w:tc>
        <w:tc>
          <w:tcPr>
            <w:tcW w:w="275" w:type="pct"/>
            <w:shd w:val="clear" w:color="auto" w:fill="auto"/>
            <w:vAlign w:val="bottom"/>
          </w:tcPr>
          <w:p w14:paraId="5F2D0AFE" w14:textId="77777777" w:rsidR="00E836FB" w:rsidRDefault="00E836FB">
            <w:pPr>
              <w:rPr>
                <w:rFonts w:ascii="宋体"/>
              </w:rPr>
            </w:pPr>
          </w:p>
        </w:tc>
        <w:tc>
          <w:tcPr>
            <w:tcW w:w="5" w:type="pct"/>
            <w:shd w:val="clear" w:color="auto" w:fill="auto"/>
            <w:vAlign w:val="bottom"/>
          </w:tcPr>
          <w:p w14:paraId="5F2D0AFF" w14:textId="77777777" w:rsidR="00E836FB" w:rsidRDefault="00E836FB">
            <w:pPr>
              <w:rPr>
                <w:rFonts w:ascii="宋体"/>
              </w:rPr>
            </w:pPr>
          </w:p>
        </w:tc>
        <w:tc>
          <w:tcPr>
            <w:tcW w:w="5" w:type="pct"/>
            <w:shd w:val="clear" w:color="auto" w:fill="auto"/>
            <w:vAlign w:val="bottom"/>
          </w:tcPr>
          <w:p w14:paraId="5F2D0B00" w14:textId="77777777" w:rsidR="00E836FB" w:rsidRDefault="00E836FB">
            <w:pPr>
              <w:rPr>
                <w:rFonts w:ascii="宋体"/>
              </w:rPr>
            </w:pPr>
          </w:p>
        </w:tc>
        <w:tc>
          <w:tcPr>
            <w:tcW w:w="26" w:type="pct"/>
            <w:shd w:val="clear" w:color="auto" w:fill="auto"/>
            <w:vAlign w:val="bottom"/>
          </w:tcPr>
          <w:p w14:paraId="5F2D0B01" w14:textId="77777777" w:rsidR="00E836FB" w:rsidRDefault="00E836FB">
            <w:pPr>
              <w:rPr>
                <w:rFonts w:ascii="宋体"/>
              </w:rPr>
            </w:pPr>
          </w:p>
        </w:tc>
        <w:tc>
          <w:tcPr>
            <w:tcW w:w="5" w:type="pct"/>
            <w:shd w:val="clear" w:color="auto" w:fill="auto"/>
            <w:vAlign w:val="bottom"/>
          </w:tcPr>
          <w:p w14:paraId="5F2D0B02" w14:textId="77777777" w:rsidR="00E836FB" w:rsidRDefault="00E836FB">
            <w:pPr>
              <w:rPr>
                <w:rFonts w:ascii="宋体"/>
              </w:rPr>
            </w:pPr>
          </w:p>
        </w:tc>
        <w:tc>
          <w:tcPr>
            <w:tcW w:w="50" w:type="pct"/>
            <w:shd w:val="clear" w:color="auto" w:fill="auto"/>
            <w:vAlign w:val="bottom"/>
          </w:tcPr>
          <w:p w14:paraId="5F2D0B03" w14:textId="77777777" w:rsidR="00E836FB" w:rsidRDefault="00E836FB">
            <w:pPr>
              <w:rPr>
                <w:rFonts w:ascii="宋体"/>
              </w:rPr>
            </w:pPr>
          </w:p>
        </w:tc>
        <w:tc>
          <w:tcPr>
            <w:tcW w:w="275" w:type="pct"/>
            <w:shd w:val="clear" w:color="auto" w:fill="auto"/>
            <w:vAlign w:val="bottom"/>
          </w:tcPr>
          <w:p w14:paraId="5F2D0B04" w14:textId="77777777" w:rsidR="00E836FB" w:rsidRDefault="00E836FB">
            <w:pPr>
              <w:rPr>
                <w:rFonts w:ascii="宋体"/>
              </w:rPr>
            </w:pPr>
          </w:p>
        </w:tc>
        <w:tc>
          <w:tcPr>
            <w:tcW w:w="5" w:type="pct"/>
            <w:shd w:val="clear" w:color="auto" w:fill="auto"/>
            <w:vAlign w:val="bottom"/>
          </w:tcPr>
          <w:p w14:paraId="5F2D0B05" w14:textId="77777777" w:rsidR="00E836FB" w:rsidRDefault="00E836FB">
            <w:pPr>
              <w:rPr>
                <w:rFonts w:ascii="宋体"/>
              </w:rPr>
            </w:pPr>
          </w:p>
        </w:tc>
        <w:tc>
          <w:tcPr>
            <w:tcW w:w="5" w:type="pct"/>
            <w:shd w:val="clear" w:color="auto" w:fill="auto"/>
            <w:vAlign w:val="bottom"/>
          </w:tcPr>
          <w:p w14:paraId="5F2D0B06" w14:textId="77777777" w:rsidR="00E836FB" w:rsidRDefault="00E836FB">
            <w:pPr>
              <w:rPr>
                <w:rFonts w:ascii="宋体"/>
              </w:rPr>
            </w:pPr>
          </w:p>
        </w:tc>
        <w:tc>
          <w:tcPr>
            <w:tcW w:w="26" w:type="pct"/>
            <w:shd w:val="clear" w:color="auto" w:fill="auto"/>
            <w:vAlign w:val="bottom"/>
          </w:tcPr>
          <w:p w14:paraId="5F2D0B07" w14:textId="77777777" w:rsidR="00E836FB" w:rsidRDefault="00E836FB">
            <w:pPr>
              <w:rPr>
                <w:rFonts w:ascii="宋体"/>
              </w:rPr>
            </w:pPr>
          </w:p>
        </w:tc>
        <w:tc>
          <w:tcPr>
            <w:tcW w:w="5" w:type="pct"/>
            <w:shd w:val="clear" w:color="auto" w:fill="auto"/>
            <w:vAlign w:val="bottom"/>
          </w:tcPr>
          <w:p w14:paraId="5F2D0B08" w14:textId="77777777" w:rsidR="00E836FB" w:rsidRDefault="00E836FB">
            <w:pPr>
              <w:rPr>
                <w:rFonts w:ascii="宋体"/>
              </w:rPr>
            </w:pPr>
          </w:p>
        </w:tc>
        <w:tc>
          <w:tcPr>
            <w:tcW w:w="50" w:type="pct"/>
            <w:shd w:val="clear" w:color="auto" w:fill="auto"/>
            <w:vAlign w:val="bottom"/>
          </w:tcPr>
          <w:p w14:paraId="5F2D0B09" w14:textId="77777777" w:rsidR="00E836FB" w:rsidRDefault="00E836FB">
            <w:pPr>
              <w:rPr>
                <w:rFonts w:ascii="宋体"/>
              </w:rPr>
            </w:pPr>
          </w:p>
        </w:tc>
        <w:tc>
          <w:tcPr>
            <w:tcW w:w="356" w:type="pct"/>
            <w:shd w:val="clear" w:color="auto" w:fill="auto"/>
            <w:vAlign w:val="bottom"/>
          </w:tcPr>
          <w:p w14:paraId="5F2D0B0A" w14:textId="77777777" w:rsidR="00E836FB" w:rsidRDefault="00E836FB">
            <w:pPr>
              <w:rPr>
                <w:rFonts w:ascii="宋体"/>
              </w:rPr>
            </w:pPr>
          </w:p>
        </w:tc>
        <w:tc>
          <w:tcPr>
            <w:tcW w:w="5" w:type="pct"/>
            <w:shd w:val="clear" w:color="auto" w:fill="auto"/>
            <w:vAlign w:val="bottom"/>
          </w:tcPr>
          <w:p w14:paraId="5F2D0B0B" w14:textId="77777777" w:rsidR="00E836FB" w:rsidRDefault="00E836FB">
            <w:pPr>
              <w:rPr>
                <w:rFonts w:ascii="宋体"/>
              </w:rPr>
            </w:pPr>
          </w:p>
        </w:tc>
      </w:tr>
      <w:tr w:rsidR="00E836FB" w14:paraId="5F2D0B11" w14:textId="77777777">
        <w:tc>
          <w:tcPr>
            <w:tcW w:w="0" w:type="auto"/>
            <w:gridSpan w:val="3"/>
            <w:shd w:val="clear" w:color="auto" w:fill="auto"/>
            <w:tcMar>
              <w:top w:w="40" w:type="dxa"/>
              <w:left w:w="20" w:type="dxa"/>
              <w:bottom w:w="40" w:type="dxa"/>
              <w:right w:w="20" w:type="dxa"/>
            </w:tcMar>
            <w:vAlign w:val="bottom"/>
          </w:tcPr>
          <w:p w14:paraId="5F2D0B0D" w14:textId="77777777" w:rsidR="00E836FB" w:rsidRDefault="00994958">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5F2D0B0E"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D0B0F" w14:textId="77777777" w:rsidR="00E836FB" w:rsidRDefault="00E836FB">
            <w:pPr>
              <w:rPr>
                <w:rFonts w:ascii="宋体"/>
              </w:rPr>
            </w:pPr>
          </w:p>
        </w:tc>
        <w:tc>
          <w:tcPr>
            <w:tcW w:w="0" w:type="auto"/>
            <w:gridSpan w:val="21"/>
            <w:shd w:val="clear" w:color="auto" w:fill="auto"/>
            <w:tcMar>
              <w:top w:w="40" w:type="dxa"/>
              <w:left w:w="20" w:type="dxa"/>
              <w:bottom w:w="40" w:type="dxa"/>
              <w:right w:w="20" w:type="dxa"/>
            </w:tcMar>
            <w:vAlign w:val="bottom"/>
          </w:tcPr>
          <w:p w14:paraId="5F2D0B10"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D0B24" w14:textId="77777777">
        <w:trPr>
          <w:trHeight w:val="400"/>
        </w:trPr>
        <w:tc>
          <w:tcPr>
            <w:tcW w:w="0" w:type="auto"/>
            <w:gridSpan w:val="3"/>
            <w:shd w:val="clear" w:color="auto" w:fill="auto"/>
            <w:tcMar>
              <w:top w:w="40" w:type="dxa"/>
              <w:left w:w="20" w:type="dxa"/>
              <w:bottom w:w="40" w:type="dxa"/>
              <w:right w:w="20" w:type="dxa"/>
            </w:tcMar>
            <w:vAlign w:val="bottom"/>
          </w:tcPr>
          <w:p w14:paraId="5F2D0B12" w14:textId="77777777" w:rsidR="00E836FB" w:rsidRDefault="00994958">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B13" w14:textId="77777777" w:rsidR="00E836FB" w:rsidRDefault="00994958">
            <w:pPr>
              <w:jc w:val="center"/>
              <w:textAlignment w:val="bottom"/>
            </w:pPr>
            <w:r>
              <w:rPr>
                <w:rFonts w:ascii="Arial" w:eastAsia="宋体" w:hAnsi="Arial" w:cs="Arial"/>
                <w:b/>
                <w:bCs/>
                <w:color w:val="000000"/>
                <w:sz w:val="15"/>
                <w:szCs w:val="15"/>
              </w:rPr>
              <w:t>Amortized</w:t>
            </w:r>
          </w:p>
          <w:p w14:paraId="5F2D0B14" w14:textId="77777777" w:rsidR="00E836FB" w:rsidRDefault="00994958">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5F2D0B15"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B16" w14:textId="77777777" w:rsidR="00E836FB" w:rsidRDefault="00994958">
            <w:pPr>
              <w:jc w:val="center"/>
              <w:textAlignment w:val="bottom"/>
            </w:pPr>
            <w:r>
              <w:rPr>
                <w:rFonts w:ascii="Arial" w:eastAsia="宋体" w:hAnsi="Arial" w:cs="Arial"/>
                <w:b/>
                <w:bCs/>
                <w:color w:val="000000"/>
                <w:sz w:val="15"/>
                <w:szCs w:val="15"/>
              </w:rPr>
              <w:t>Gross</w:t>
            </w:r>
          </w:p>
          <w:p w14:paraId="5F2D0B17" w14:textId="77777777" w:rsidR="00E836FB" w:rsidRDefault="00994958">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18"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B19" w14:textId="77777777" w:rsidR="00E836FB" w:rsidRDefault="00994958">
            <w:pPr>
              <w:jc w:val="center"/>
              <w:textAlignment w:val="bottom"/>
            </w:pPr>
            <w:r>
              <w:rPr>
                <w:rFonts w:ascii="Arial" w:eastAsia="宋体" w:hAnsi="Arial" w:cs="Arial"/>
                <w:b/>
                <w:bCs/>
                <w:color w:val="000000"/>
                <w:sz w:val="15"/>
                <w:szCs w:val="15"/>
              </w:rPr>
              <w:t>Fair</w:t>
            </w:r>
          </w:p>
          <w:p w14:paraId="5F2D0B1A" w14:textId="77777777" w:rsidR="00E836FB" w:rsidRDefault="00994958">
            <w:pP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vAlign w:val="bottom"/>
          </w:tcPr>
          <w:p w14:paraId="5F2D0B1B"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B1C" w14:textId="77777777" w:rsidR="00E836FB" w:rsidRDefault="00994958">
            <w:pPr>
              <w:jc w:val="center"/>
              <w:textAlignment w:val="bottom"/>
            </w:pPr>
            <w:r>
              <w:rPr>
                <w:rFonts w:ascii="Arial" w:eastAsia="宋体" w:hAnsi="Arial" w:cs="Arial"/>
                <w:b/>
                <w:bCs/>
                <w:color w:val="000000"/>
                <w:sz w:val="15"/>
                <w:szCs w:val="15"/>
              </w:rPr>
              <w:t>Amortized</w:t>
            </w:r>
          </w:p>
          <w:p w14:paraId="5F2D0B1D" w14:textId="77777777" w:rsidR="00E836FB" w:rsidRDefault="00994958">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5F2D0B1E"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B1F" w14:textId="77777777" w:rsidR="00E836FB" w:rsidRDefault="00994958">
            <w:pPr>
              <w:jc w:val="center"/>
              <w:textAlignment w:val="bottom"/>
            </w:pPr>
            <w:r>
              <w:rPr>
                <w:rFonts w:ascii="Arial" w:eastAsia="宋体" w:hAnsi="Arial" w:cs="Arial"/>
                <w:b/>
                <w:bCs/>
                <w:color w:val="000000"/>
                <w:sz w:val="15"/>
                <w:szCs w:val="15"/>
              </w:rPr>
              <w:t>Gross</w:t>
            </w:r>
          </w:p>
          <w:p w14:paraId="5F2D0B20" w14:textId="77777777" w:rsidR="00E836FB" w:rsidRDefault="00994958">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21"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0B22" w14:textId="77777777" w:rsidR="00E836FB" w:rsidRDefault="00994958">
            <w:pPr>
              <w:jc w:val="center"/>
              <w:textAlignment w:val="bottom"/>
            </w:pPr>
            <w:r>
              <w:rPr>
                <w:rFonts w:ascii="Arial" w:eastAsia="宋体" w:hAnsi="Arial" w:cs="Arial"/>
                <w:b/>
                <w:bCs/>
                <w:color w:val="000000"/>
                <w:sz w:val="15"/>
                <w:szCs w:val="15"/>
              </w:rPr>
              <w:t>Fair</w:t>
            </w:r>
          </w:p>
          <w:p w14:paraId="5F2D0B23" w14:textId="77777777" w:rsidR="00E836FB" w:rsidRDefault="00994958">
            <w:pPr>
              <w:jc w:val="center"/>
              <w:textAlignment w:val="bottom"/>
            </w:pPr>
            <w:r>
              <w:rPr>
                <w:rFonts w:ascii="Arial" w:eastAsia="宋体" w:hAnsi="Arial" w:cs="Arial"/>
                <w:b/>
                <w:bCs/>
                <w:color w:val="000000"/>
                <w:sz w:val="15"/>
                <w:szCs w:val="15"/>
              </w:rPr>
              <w:t>Value</w:t>
            </w:r>
          </w:p>
        </w:tc>
      </w:tr>
      <w:tr w:rsidR="00E836FB" w14:paraId="5F2D0B35" w14:textId="77777777">
        <w:trPr>
          <w:trHeight w:val="240"/>
        </w:trPr>
        <w:tc>
          <w:tcPr>
            <w:tcW w:w="0" w:type="auto"/>
            <w:gridSpan w:val="3"/>
            <w:shd w:val="clear" w:color="auto" w:fill="auto"/>
            <w:tcMar>
              <w:top w:w="40" w:type="dxa"/>
              <w:left w:w="20" w:type="dxa"/>
              <w:bottom w:w="40" w:type="dxa"/>
              <w:right w:w="20" w:type="dxa"/>
            </w:tcMar>
            <w:vAlign w:val="bottom"/>
          </w:tcPr>
          <w:p w14:paraId="5F2D0B25"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B26" w14:textId="77777777" w:rsidR="00E836FB" w:rsidRDefault="00E836FB">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5F2D0B2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B28" w14:textId="77777777" w:rsidR="00E836FB" w:rsidRDefault="00994958">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2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B2A" w14:textId="77777777" w:rsidR="00E836FB" w:rsidRDefault="00994958">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F2D0B2B"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B2C" w14:textId="77777777" w:rsidR="00E836FB" w:rsidRDefault="00E836FB">
            <w:pPr>
              <w:rPr>
                <w:rFonts w:ascii="宋体"/>
              </w:rPr>
            </w:pPr>
          </w:p>
        </w:tc>
        <w:tc>
          <w:tcPr>
            <w:tcW w:w="0" w:type="auto"/>
            <w:gridSpan w:val="3"/>
            <w:vMerge/>
            <w:shd w:val="clear" w:color="auto" w:fill="auto"/>
            <w:tcMar>
              <w:top w:w="0" w:type="dxa"/>
              <w:left w:w="20" w:type="dxa"/>
              <w:bottom w:w="0" w:type="dxa"/>
              <w:right w:w="20" w:type="dxa"/>
            </w:tcMar>
            <w:vAlign w:val="bottom"/>
          </w:tcPr>
          <w:p w14:paraId="5F2D0B2D"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B2E" w14:textId="77777777" w:rsidR="00E836FB" w:rsidRDefault="00E836FB">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5F2D0B2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B30" w14:textId="77777777" w:rsidR="00E836FB" w:rsidRDefault="00994958">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3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B32" w14:textId="77777777" w:rsidR="00E836FB" w:rsidRDefault="00994958">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F2D0B33"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0B34" w14:textId="77777777" w:rsidR="00E836FB" w:rsidRDefault="00E836FB">
            <w:pPr>
              <w:rPr>
                <w:rFonts w:ascii="宋体"/>
              </w:rPr>
            </w:pPr>
          </w:p>
        </w:tc>
      </w:tr>
      <w:tr w:rsidR="00E836FB" w14:paraId="5F2D0B46" w14:textId="77777777">
        <w:tc>
          <w:tcPr>
            <w:tcW w:w="0" w:type="auto"/>
            <w:gridSpan w:val="3"/>
            <w:shd w:val="clear" w:color="auto" w:fill="auto"/>
            <w:tcMar>
              <w:top w:w="40" w:type="dxa"/>
              <w:left w:w="20" w:type="dxa"/>
              <w:bottom w:w="40" w:type="dxa"/>
              <w:right w:w="20" w:type="dxa"/>
            </w:tcMar>
            <w:vAlign w:val="bottom"/>
          </w:tcPr>
          <w:p w14:paraId="5F2D0B36" w14:textId="77777777" w:rsidR="00E836FB" w:rsidRDefault="00994958">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3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3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3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3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3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3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3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3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3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4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B45" w14:textId="77777777" w:rsidR="00E836FB" w:rsidRDefault="00E836FB">
            <w:pPr>
              <w:rPr>
                <w:rFonts w:ascii="宋体"/>
              </w:rPr>
            </w:pPr>
          </w:p>
        </w:tc>
      </w:tr>
      <w:tr w:rsidR="00E836FB" w14:paraId="5F2D0B57" w14:textId="77777777">
        <w:tc>
          <w:tcPr>
            <w:tcW w:w="0" w:type="auto"/>
            <w:gridSpan w:val="3"/>
            <w:shd w:val="clear" w:color="auto" w:fill="auto"/>
            <w:tcMar>
              <w:top w:w="40" w:type="dxa"/>
              <w:left w:w="20" w:type="dxa"/>
              <w:bottom w:w="40" w:type="dxa"/>
              <w:right w:w="20" w:type="dxa"/>
            </w:tcMar>
            <w:vAlign w:val="bottom"/>
          </w:tcPr>
          <w:p w14:paraId="5F2D0B47" w14:textId="77777777" w:rsidR="00E836FB" w:rsidRDefault="00994958">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5F2D0B4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4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5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5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5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5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B56" w14:textId="77777777" w:rsidR="00E836FB" w:rsidRDefault="00E836FB">
            <w:pPr>
              <w:rPr>
                <w:rFonts w:ascii="宋体"/>
              </w:rPr>
            </w:pPr>
          </w:p>
        </w:tc>
      </w:tr>
      <w:tr w:rsidR="00E836FB" w14:paraId="5F2D0B78" w14:textId="77777777">
        <w:tc>
          <w:tcPr>
            <w:tcW w:w="0" w:type="auto"/>
            <w:gridSpan w:val="3"/>
            <w:shd w:val="clear" w:color="auto" w:fill="CCEEFF"/>
            <w:tcMar>
              <w:top w:w="40" w:type="dxa"/>
              <w:left w:w="245" w:type="dxa"/>
              <w:bottom w:w="40" w:type="dxa"/>
              <w:right w:w="20" w:type="dxa"/>
            </w:tcMar>
            <w:vAlign w:val="bottom"/>
          </w:tcPr>
          <w:p w14:paraId="5F2D0B58" w14:textId="77777777" w:rsidR="00E836FB" w:rsidRDefault="00994958">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F2D0B5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B5A" w14:textId="77777777" w:rsidR="00E836FB" w:rsidRDefault="00994958">
            <w:pPr>
              <w:jc w:val="right"/>
              <w:textAlignment w:val="bottom"/>
            </w:pPr>
            <w:r>
              <w:rPr>
                <w:rFonts w:ascii="Arial" w:eastAsia="宋体" w:hAnsi="Arial" w:cs="Arial"/>
                <w:b/>
                <w:bCs/>
                <w:color w:val="000000"/>
                <w:sz w:val="15"/>
                <w:szCs w:val="15"/>
              </w:rPr>
              <w:t>18,111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5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B5D"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B5E" w14:textId="77777777" w:rsidR="00E836FB" w:rsidRDefault="00994958">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6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B6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B62" w14:textId="77777777" w:rsidR="00E836FB" w:rsidRDefault="00994958">
            <w:pPr>
              <w:jc w:val="right"/>
              <w:textAlignment w:val="bottom"/>
            </w:pPr>
            <w:r>
              <w:rPr>
                <w:rFonts w:ascii="Arial" w:eastAsia="宋体" w:hAnsi="Arial" w:cs="Arial"/>
                <w:b/>
                <w:bCs/>
                <w:color w:val="000000"/>
                <w:sz w:val="15"/>
                <w:szCs w:val="15"/>
              </w:rPr>
              <w:t>196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6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B65"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B66" w14:textId="77777777" w:rsidR="00E836FB" w:rsidRDefault="00994958">
            <w:pPr>
              <w:jc w:val="right"/>
              <w:textAlignment w:val="bottom"/>
            </w:pPr>
            <w:r>
              <w:rPr>
                <w:rFonts w:ascii="Arial" w:eastAsia="宋体" w:hAnsi="Arial" w:cs="Arial"/>
                <w:b/>
                <w:bCs/>
                <w:color w:val="000000"/>
                <w:sz w:val="15"/>
                <w:szCs w:val="15"/>
              </w:rPr>
              <w:t>17,939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6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B69"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B6A" w14:textId="77777777" w:rsidR="00E836FB" w:rsidRDefault="00994958">
            <w:pPr>
              <w:jc w:val="right"/>
              <w:textAlignment w:val="bottom"/>
            </w:pPr>
            <w:r>
              <w:rPr>
                <w:rFonts w:ascii="Arial" w:eastAsia="宋体" w:hAnsi="Arial" w:cs="Arial"/>
                <w:color w:val="000000"/>
                <w:sz w:val="15"/>
                <w:szCs w:val="15"/>
              </w:rPr>
              <w:t>6,453 </w:t>
            </w:r>
          </w:p>
        </w:tc>
        <w:tc>
          <w:tcPr>
            <w:tcW w:w="0" w:type="auto"/>
            <w:shd w:val="clear" w:color="auto" w:fill="CCEEFF"/>
            <w:tcMar>
              <w:top w:w="40" w:type="dxa"/>
              <w:left w:w="0" w:type="dxa"/>
              <w:bottom w:w="40" w:type="dxa"/>
              <w:right w:w="20" w:type="dxa"/>
            </w:tcMar>
            <w:vAlign w:val="bottom"/>
          </w:tcPr>
          <w:p w14:paraId="5F2D0B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6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B6D"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B6E" w14:textId="77777777" w:rsidR="00E836FB" w:rsidRDefault="00994958">
            <w:pPr>
              <w:jc w:val="right"/>
              <w:textAlignment w:val="bottom"/>
            </w:pPr>
            <w:r>
              <w:rPr>
                <w:rFonts w:ascii="Arial" w:eastAsia="宋体" w:hAnsi="Arial" w:cs="Arial"/>
                <w:color w:val="000000"/>
                <w:sz w:val="15"/>
                <w:szCs w:val="15"/>
              </w:rPr>
              <w:t>123 </w:t>
            </w:r>
          </w:p>
        </w:tc>
        <w:tc>
          <w:tcPr>
            <w:tcW w:w="0" w:type="auto"/>
            <w:shd w:val="clear" w:color="auto" w:fill="CCEEFF"/>
            <w:tcMar>
              <w:top w:w="40" w:type="dxa"/>
              <w:left w:w="0" w:type="dxa"/>
              <w:bottom w:w="40" w:type="dxa"/>
              <w:right w:w="20" w:type="dxa"/>
            </w:tcMar>
            <w:vAlign w:val="bottom"/>
          </w:tcPr>
          <w:p w14:paraId="5F2D0B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7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B71"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B72"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0B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7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B75"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B76" w14:textId="77777777" w:rsidR="00E836FB" w:rsidRDefault="00994958">
            <w:pPr>
              <w:jc w:val="right"/>
              <w:textAlignment w:val="bottom"/>
            </w:pPr>
            <w:r>
              <w:rPr>
                <w:rFonts w:ascii="Arial" w:eastAsia="宋体" w:hAnsi="Arial" w:cs="Arial"/>
                <w:color w:val="000000"/>
                <w:sz w:val="15"/>
                <w:szCs w:val="15"/>
              </w:rPr>
              <w:t>6,575 </w:t>
            </w:r>
          </w:p>
        </w:tc>
        <w:tc>
          <w:tcPr>
            <w:tcW w:w="0" w:type="auto"/>
            <w:shd w:val="clear" w:color="auto" w:fill="CCEEFF"/>
            <w:tcMar>
              <w:top w:w="40" w:type="dxa"/>
              <w:left w:w="0" w:type="dxa"/>
              <w:bottom w:w="40" w:type="dxa"/>
              <w:right w:w="20" w:type="dxa"/>
            </w:tcMar>
            <w:vAlign w:val="bottom"/>
          </w:tcPr>
          <w:p w14:paraId="5F2D0B77" w14:textId="77777777" w:rsidR="00E836FB" w:rsidRDefault="00E836FB">
            <w:pPr>
              <w:jc w:val="right"/>
              <w:rPr>
                <w:rFonts w:ascii="宋体"/>
              </w:rPr>
            </w:pPr>
          </w:p>
        </w:tc>
      </w:tr>
      <w:tr w:rsidR="00E836FB" w14:paraId="5F2D0B91" w14:textId="77777777">
        <w:tc>
          <w:tcPr>
            <w:tcW w:w="0" w:type="auto"/>
            <w:gridSpan w:val="3"/>
            <w:shd w:val="clear" w:color="auto" w:fill="FFFFFF"/>
            <w:tcMar>
              <w:top w:w="40" w:type="dxa"/>
              <w:left w:w="245" w:type="dxa"/>
              <w:bottom w:w="40" w:type="dxa"/>
              <w:right w:w="20" w:type="dxa"/>
            </w:tcMar>
            <w:vAlign w:val="bottom"/>
          </w:tcPr>
          <w:p w14:paraId="5F2D0B79"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F2D0B7A" w14:textId="77777777" w:rsidR="00E836FB" w:rsidRDefault="00994958">
            <w:pPr>
              <w:jc w:val="right"/>
              <w:textAlignment w:val="bottom"/>
            </w:pPr>
            <w:r>
              <w:rPr>
                <w:rFonts w:ascii="Arial" w:eastAsia="宋体" w:hAnsi="Arial" w:cs="Arial"/>
                <w:b/>
                <w:bCs/>
                <w:color w:val="000000"/>
                <w:sz w:val="15"/>
                <w:szCs w:val="15"/>
              </w:rPr>
              <w:t>18,154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7D" w14:textId="77777777" w:rsidR="00E836FB" w:rsidRDefault="00994958">
            <w:pPr>
              <w:jc w:val="right"/>
              <w:textAlignment w:val="bottom"/>
            </w:pPr>
            <w:r>
              <w:rPr>
                <w:rFonts w:ascii="Arial" w:eastAsia="宋体" w:hAnsi="Arial" w:cs="Arial"/>
                <w:b/>
                <w:bCs/>
                <w:color w:val="000000"/>
                <w:sz w:val="15"/>
                <w:szCs w:val="15"/>
              </w:rPr>
              <w:t>148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7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7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80" w14:textId="77777777" w:rsidR="00E836FB" w:rsidRDefault="00994958">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8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8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83" w14:textId="77777777" w:rsidR="00E836FB" w:rsidRDefault="00994958">
            <w:pPr>
              <w:jc w:val="right"/>
              <w:textAlignment w:val="bottom"/>
            </w:pPr>
            <w:r>
              <w:rPr>
                <w:rFonts w:ascii="Arial" w:eastAsia="宋体" w:hAnsi="Arial" w:cs="Arial"/>
                <w:b/>
                <w:bCs/>
                <w:color w:val="000000"/>
                <w:sz w:val="15"/>
                <w:szCs w:val="15"/>
              </w:rPr>
              <w:t>18,208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8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8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86" w14:textId="77777777" w:rsidR="00E836FB" w:rsidRDefault="00994958">
            <w:pPr>
              <w:jc w:val="right"/>
              <w:textAlignment w:val="bottom"/>
            </w:pPr>
            <w:r>
              <w:rPr>
                <w:rFonts w:ascii="Arial" w:eastAsia="宋体" w:hAnsi="Arial" w:cs="Arial"/>
                <w:color w:val="000000"/>
                <w:sz w:val="15"/>
                <w:szCs w:val="15"/>
              </w:rPr>
              <w:t>13,891 </w:t>
            </w:r>
          </w:p>
        </w:tc>
        <w:tc>
          <w:tcPr>
            <w:tcW w:w="0" w:type="auto"/>
            <w:shd w:val="clear" w:color="auto" w:fill="FFFFFF"/>
            <w:tcMar>
              <w:top w:w="40" w:type="dxa"/>
              <w:left w:w="0" w:type="dxa"/>
              <w:bottom w:w="40" w:type="dxa"/>
              <w:right w:w="20" w:type="dxa"/>
            </w:tcMar>
            <w:vAlign w:val="bottom"/>
          </w:tcPr>
          <w:p w14:paraId="5F2D0B8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8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89" w14:textId="77777777" w:rsidR="00E836FB" w:rsidRDefault="00994958">
            <w:pPr>
              <w:jc w:val="right"/>
              <w:textAlignment w:val="bottom"/>
            </w:pPr>
            <w:r>
              <w:rPr>
                <w:rFonts w:ascii="Arial" w:eastAsia="宋体" w:hAnsi="Arial" w:cs="Arial"/>
                <w:color w:val="000000"/>
                <w:sz w:val="15"/>
                <w:szCs w:val="15"/>
              </w:rPr>
              <w:t>421 </w:t>
            </w:r>
          </w:p>
        </w:tc>
        <w:tc>
          <w:tcPr>
            <w:tcW w:w="0" w:type="auto"/>
            <w:shd w:val="clear" w:color="auto" w:fill="FFFFFF"/>
            <w:tcMar>
              <w:top w:w="40" w:type="dxa"/>
              <w:left w:w="0" w:type="dxa"/>
              <w:bottom w:w="40" w:type="dxa"/>
              <w:right w:w="20" w:type="dxa"/>
            </w:tcMar>
            <w:vAlign w:val="bottom"/>
          </w:tcPr>
          <w:p w14:paraId="5F2D0B8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8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8C" w14:textId="77777777" w:rsidR="00E836FB" w:rsidRDefault="00994958">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5F2D0B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8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8F" w14:textId="77777777" w:rsidR="00E836FB" w:rsidRDefault="00994958">
            <w:pPr>
              <w:jc w:val="right"/>
              <w:textAlignment w:val="bottom"/>
            </w:pPr>
            <w:r>
              <w:rPr>
                <w:rFonts w:ascii="Arial" w:eastAsia="宋体" w:hAnsi="Arial" w:cs="Arial"/>
                <w:color w:val="000000"/>
                <w:sz w:val="15"/>
                <w:szCs w:val="15"/>
              </w:rPr>
              <w:t>14,305 </w:t>
            </w:r>
          </w:p>
        </w:tc>
        <w:tc>
          <w:tcPr>
            <w:tcW w:w="0" w:type="auto"/>
            <w:shd w:val="clear" w:color="auto" w:fill="FFFFFF"/>
            <w:tcMar>
              <w:top w:w="40" w:type="dxa"/>
              <w:left w:w="0" w:type="dxa"/>
              <w:bottom w:w="40" w:type="dxa"/>
              <w:right w:w="20" w:type="dxa"/>
            </w:tcMar>
            <w:vAlign w:val="bottom"/>
          </w:tcPr>
          <w:p w14:paraId="5F2D0B90" w14:textId="77777777" w:rsidR="00E836FB" w:rsidRDefault="00E836FB">
            <w:pPr>
              <w:jc w:val="right"/>
              <w:rPr>
                <w:rFonts w:ascii="宋体"/>
              </w:rPr>
            </w:pPr>
          </w:p>
        </w:tc>
      </w:tr>
      <w:tr w:rsidR="00E836FB" w14:paraId="5F2D0BAA" w14:textId="77777777">
        <w:tc>
          <w:tcPr>
            <w:tcW w:w="0" w:type="auto"/>
            <w:gridSpan w:val="3"/>
            <w:shd w:val="clear" w:color="auto" w:fill="CCEEFF"/>
            <w:tcMar>
              <w:top w:w="40" w:type="dxa"/>
              <w:left w:w="380" w:type="dxa"/>
              <w:bottom w:w="40" w:type="dxa"/>
              <w:right w:w="20" w:type="dxa"/>
            </w:tcMar>
            <w:vAlign w:val="bottom"/>
          </w:tcPr>
          <w:p w14:paraId="5F2D0B92"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93" w14:textId="77777777" w:rsidR="00E836FB" w:rsidRDefault="00994958">
            <w:pPr>
              <w:jc w:val="right"/>
              <w:textAlignment w:val="bottom"/>
            </w:pPr>
            <w:r>
              <w:rPr>
                <w:rFonts w:ascii="Arial" w:eastAsia="宋体" w:hAnsi="Arial" w:cs="Arial"/>
                <w:b/>
                <w:bCs/>
                <w:color w:val="000000"/>
                <w:sz w:val="15"/>
                <w:szCs w:val="15"/>
              </w:rPr>
              <w:t>36,265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9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96" w14:textId="77777777" w:rsidR="00E836FB" w:rsidRDefault="00994958">
            <w:pPr>
              <w:jc w:val="right"/>
              <w:textAlignment w:val="bottom"/>
            </w:pPr>
            <w:r>
              <w:rPr>
                <w:rFonts w:ascii="Arial" w:eastAsia="宋体" w:hAnsi="Arial" w:cs="Arial"/>
                <w:b/>
                <w:bCs/>
                <w:color w:val="000000"/>
                <w:sz w:val="15"/>
                <w:szCs w:val="15"/>
              </w:rPr>
              <w:t>172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9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99" w14:textId="77777777" w:rsidR="00E836FB" w:rsidRDefault="00994958">
            <w:pPr>
              <w:jc w:val="right"/>
              <w:textAlignment w:val="bottom"/>
            </w:pPr>
            <w:r>
              <w:rPr>
                <w:rFonts w:ascii="Arial" w:eastAsia="宋体" w:hAnsi="Arial" w:cs="Arial"/>
                <w:b/>
                <w:bCs/>
                <w:color w:val="000000"/>
                <w:sz w:val="15"/>
                <w:szCs w:val="15"/>
              </w:rPr>
              <w:t>290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9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9C" w14:textId="77777777" w:rsidR="00E836FB" w:rsidRDefault="00994958">
            <w:pPr>
              <w:jc w:val="right"/>
              <w:textAlignment w:val="bottom"/>
            </w:pPr>
            <w:r>
              <w:rPr>
                <w:rFonts w:ascii="Arial" w:eastAsia="宋体" w:hAnsi="Arial" w:cs="Arial"/>
                <w:b/>
                <w:bCs/>
                <w:color w:val="000000"/>
                <w:sz w:val="15"/>
                <w:szCs w:val="15"/>
              </w:rPr>
              <w:t>36,147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9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9F" w14:textId="77777777" w:rsidR="00E836FB" w:rsidRDefault="00994958">
            <w:pPr>
              <w:jc w:val="right"/>
              <w:textAlignment w:val="bottom"/>
            </w:pPr>
            <w:r>
              <w:rPr>
                <w:rFonts w:ascii="Arial" w:eastAsia="宋体" w:hAnsi="Arial" w:cs="Arial"/>
                <w:color w:val="000000"/>
                <w:sz w:val="15"/>
                <w:szCs w:val="15"/>
              </w:rPr>
              <w:t>20,344 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A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A2" w14:textId="77777777" w:rsidR="00E836FB" w:rsidRDefault="00994958">
            <w:pPr>
              <w:jc w:val="right"/>
              <w:textAlignment w:val="bottom"/>
            </w:pPr>
            <w:r>
              <w:rPr>
                <w:rFonts w:ascii="Arial" w:eastAsia="宋体" w:hAnsi="Arial" w:cs="Arial"/>
                <w:color w:val="000000"/>
                <w:sz w:val="15"/>
                <w:szCs w:val="15"/>
              </w:rPr>
              <w:t>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A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A5" w14:textId="77777777" w:rsidR="00E836FB" w:rsidRDefault="00994958">
            <w:pPr>
              <w:jc w:val="right"/>
              <w:textAlignment w:val="bottom"/>
            </w:pPr>
            <w:r>
              <w:rPr>
                <w:rFonts w:ascii="Arial" w:eastAsia="宋体" w:hAnsi="Arial" w:cs="Arial"/>
                <w:color w:val="000000"/>
                <w:sz w:val="15"/>
                <w:szCs w:val="15"/>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A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BA8" w14:textId="77777777" w:rsidR="00E836FB" w:rsidRDefault="00994958">
            <w:pPr>
              <w:jc w:val="right"/>
              <w:textAlignment w:val="bottom"/>
            </w:pPr>
            <w:r>
              <w:rPr>
                <w:rFonts w:ascii="Arial" w:eastAsia="宋体" w:hAnsi="Arial" w:cs="Arial"/>
                <w:color w:val="000000"/>
                <w:sz w:val="15"/>
                <w:szCs w:val="15"/>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BA9" w14:textId="77777777" w:rsidR="00E836FB" w:rsidRDefault="00E836FB">
            <w:pPr>
              <w:jc w:val="right"/>
              <w:rPr>
                <w:rFonts w:ascii="宋体"/>
              </w:rPr>
            </w:pPr>
          </w:p>
        </w:tc>
      </w:tr>
      <w:tr w:rsidR="00E836FB" w14:paraId="5F2D0BBB" w14:textId="77777777">
        <w:tc>
          <w:tcPr>
            <w:tcW w:w="0" w:type="auto"/>
            <w:gridSpan w:val="3"/>
            <w:shd w:val="clear" w:color="auto" w:fill="FFFFFF"/>
            <w:tcMar>
              <w:top w:w="40" w:type="dxa"/>
              <w:left w:w="20" w:type="dxa"/>
              <w:bottom w:w="40" w:type="dxa"/>
              <w:right w:w="20" w:type="dxa"/>
            </w:tcMar>
            <w:vAlign w:val="bottom"/>
          </w:tcPr>
          <w:p w14:paraId="5F2D0BAB"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A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BA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A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BAF"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B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BB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B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BB3"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B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BB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B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BB7"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B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BB9"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BBA" w14:textId="77777777" w:rsidR="00E836FB" w:rsidRDefault="00E836FB">
            <w:pPr>
              <w:rPr>
                <w:rFonts w:ascii="宋体"/>
              </w:rPr>
            </w:pPr>
          </w:p>
        </w:tc>
      </w:tr>
      <w:tr w:rsidR="00E836FB" w14:paraId="5F2D0BD4" w14:textId="77777777">
        <w:tc>
          <w:tcPr>
            <w:tcW w:w="0" w:type="auto"/>
            <w:gridSpan w:val="3"/>
            <w:shd w:val="clear" w:color="auto" w:fill="CCEEFF"/>
            <w:tcMar>
              <w:top w:w="40" w:type="dxa"/>
              <w:left w:w="245" w:type="dxa"/>
              <w:bottom w:w="40" w:type="dxa"/>
              <w:right w:w="20" w:type="dxa"/>
            </w:tcMar>
            <w:vAlign w:val="bottom"/>
          </w:tcPr>
          <w:p w14:paraId="5F2D0BBC"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F2D0BBD" w14:textId="77777777" w:rsidR="00E836FB" w:rsidRDefault="00994958">
            <w:pPr>
              <w:jc w:val="right"/>
              <w:textAlignment w:val="bottom"/>
            </w:pPr>
            <w:r>
              <w:rPr>
                <w:rFonts w:ascii="Arial" w:eastAsia="宋体" w:hAnsi="Arial" w:cs="Arial"/>
                <w:b/>
                <w:bCs/>
                <w:color w:val="000000"/>
                <w:sz w:val="15"/>
                <w:szCs w:val="15"/>
              </w:rPr>
              <w:t>1,986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B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C0" w14:textId="77777777" w:rsidR="00E836FB" w:rsidRDefault="00994958">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C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C3"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C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C6" w14:textId="77777777" w:rsidR="00E836FB" w:rsidRDefault="00994958">
            <w:pPr>
              <w:jc w:val="right"/>
              <w:textAlignment w:val="bottom"/>
            </w:pPr>
            <w:r>
              <w:rPr>
                <w:rFonts w:ascii="Arial" w:eastAsia="宋体" w:hAnsi="Arial" w:cs="Arial"/>
                <w:b/>
                <w:bCs/>
                <w:color w:val="000000"/>
                <w:sz w:val="15"/>
                <w:szCs w:val="15"/>
              </w:rPr>
              <w:t>1,995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C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C9" w14:textId="77777777" w:rsidR="00E836FB" w:rsidRDefault="00994958">
            <w:pPr>
              <w:jc w:val="right"/>
              <w:textAlignment w:val="bottom"/>
            </w:pPr>
            <w:r>
              <w:rPr>
                <w:rFonts w:ascii="Arial" w:eastAsia="宋体" w:hAnsi="Arial" w:cs="Arial"/>
                <w:color w:val="000000"/>
                <w:sz w:val="15"/>
                <w:szCs w:val="15"/>
              </w:rPr>
              <w:t>1,994 </w:t>
            </w:r>
          </w:p>
        </w:tc>
        <w:tc>
          <w:tcPr>
            <w:tcW w:w="0" w:type="auto"/>
            <w:shd w:val="clear" w:color="auto" w:fill="CCEEFF"/>
            <w:tcMar>
              <w:top w:w="40" w:type="dxa"/>
              <w:left w:w="0" w:type="dxa"/>
              <w:bottom w:w="40" w:type="dxa"/>
              <w:right w:w="20" w:type="dxa"/>
            </w:tcMar>
            <w:vAlign w:val="bottom"/>
          </w:tcPr>
          <w:p w14:paraId="5F2D0B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CC"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F2D0B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C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CF" w14:textId="77777777" w:rsidR="00E836FB" w:rsidRDefault="00994958">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F2D0B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D2" w14:textId="77777777" w:rsidR="00E836FB" w:rsidRDefault="00994958">
            <w:pPr>
              <w:jc w:val="right"/>
              <w:textAlignment w:val="bottom"/>
            </w:pPr>
            <w:r>
              <w:rPr>
                <w:rFonts w:ascii="Arial" w:eastAsia="宋体" w:hAnsi="Arial" w:cs="Arial"/>
                <w:color w:val="000000"/>
                <w:sz w:val="15"/>
                <w:szCs w:val="15"/>
              </w:rPr>
              <w:t>1,996 </w:t>
            </w:r>
          </w:p>
        </w:tc>
        <w:tc>
          <w:tcPr>
            <w:tcW w:w="0" w:type="auto"/>
            <w:shd w:val="clear" w:color="auto" w:fill="CCEEFF"/>
            <w:tcMar>
              <w:top w:w="40" w:type="dxa"/>
              <w:left w:w="0" w:type="dxa"/>
              <w:bottom w:w="40" w:type="dxa"/>
              <w:right w:w="20" w:type="dxa"/>
            </w:tcMar>
            <w:vAlign w:val="bottom"/>
          </w:tcPr>
          <w:p w14:paraId="5F2D0BD3" w14:textId="77777777" w:rsidR="00E836FB" w:rsidRDefault="00E836FB">
            <w:pPr>
              <w:jc w:val="right"/>
              <w:rPr>
                <w:rFonts w:ascii="宋体"/>
              </w:rPr>
            </w:pPr>
          </w:p>
        </w:tc>
      </w:tr>
      <w:tr w:rsidR="00E836FB" w14:paraId="5F2D0BED" w14:textId="77777777">
        <w:tc>
          <w:tcPr>
            <w:tcW w:w="0" w:type="auto"/>
            <w:gridSpan w:val="3"/>
            <w:shd w:val="clear" w:color="auto" w:fill="FFFFFF"/>
            <w:tcMar>
              <w:top w:w="40" w:type="dxa"/>
              <w:left w:w="20" w:type="dxa"/>
              <w:bottom w:w="40" w:type="dxa"/>
              <w:right w:w="20" w:type="dxa"/>
            </w:tcMar>
            <w:vAlign w:val="bottom"/>
          </w:tcPr>
          <w:p w14:paraId="5F2D0BD5" w14:textId="77777777" w:rsidR="00E836FB" w:rsidRDefault="00994958">
            <w:pPr>
              <w:textAlignment w:val="bottom"/>
            </w:pPr>
            <w:r>
              <w:rPr>
                <w:rFonts w:ascii="Arial" w:eastAsia="宋体" w:hAnsi="Arial" w:cs="Arial"/>
                <w:color w:val="000000"/>
                <w:sz w:val="15"/>
                <w:szCs w:val="15"/>
              </w:rPr>
              <w:t>Asset-backed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F2D0BD6" w14:textId="77777777" w:rsidR="00E836FB" w:rsidRDefault="00994958">
            <w:pPr>
              <w:jc w:val="right"/>
              <w:textAlignment w:val="bottom"/>
            </w:pPr>
            <w:r>
              <w:rPr>
                <w:rFonts w:ascii="Arial" w:eastAsia="宋体" w:hAnsi="Arial" w:cs="Arial"/>
                <w:b/>
                <w:bCs/>
                <w:color w:val="000000"/>
                <w:sz w:val="15"/>
                <w:szCs w:val="15"/>
              </w:rPr>
              <w:t>2,087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D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D9"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DC"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DF" w14:textId="77777777" w:rsidR="00E836FB" w:rsidRDefault="00994958">
            <w:pPr>
              <w:jc w:val="right"/>
              <w:textAlignment w:val="bottom"/>
            </w:pPr>
            <w:r>
              <w:rPr>
                <w:rFonts w:ascii="Arial" w:eastAsia="宋体" w:hAnsi="Arial" w:cs="Arial"/>
                <w:b/>
                <w:bCs/>
                <w:color w:val="000000"/>
                <w:sz w:val="15"/>
                <w:szCs w:val="15"/>
              </w:rPr>
              <w:t>2,087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B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E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E2" w14:textId="77777777" w:rsidR="00E836FB" w:rsidRDefault="00994958">
            <w:pPr>
              <w:jc w:val="right"/>
              <w:textAlignment w:val="bottom"/>
            </w:pPr>
            <w:r>
              <w:rPr>
                <w:rFonts w:ascii="Arial" w:eastAsia="宋体" w:hAnsi="Arial" w:cs="Arial"/>
                <w:color w:val="000000"/>
                <w:sz w:val="15"/>
                <w:szCs w:val="15"/>
              </w:rPr>
              <w:t>2,294 </w:t>
            </w:r>
          </w:p>
        </w:tc>
        <w:tc>
          <w:tcPr>
            <w:tcW w:w="0" w:type="auto"/>
            <w:shd w:val="clear" w:color="auto" w:fill="FFFFFF"/>
            <w:tcMar>
              <w:top w:w="40" w:type="dxa"/>
              <w:left w:w="0" w:type="dxa"/>
              <w:bottom w:w="40" w:type="dxa"/>
              <w:right w:w="20" w:type="dxa"/>
            </w:tcMar>
            <w:vAlign w:val="bottom"/>
          </w:tcPr>
          <w:p w14:paraId="5F2D0B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E5"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0B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E8"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F2D0B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BE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BEB" w14:textId="77777777" w:rsidR="00E836FB" w:rsidRDefault="00994958">
            <w:pPr>
              <w:jc w:val="right"/>
              <w:textAlignment w:val="bottom"/>
            </w:pPr>
            <w:r>
              <w:rPr>
                <w:rFonts w:ascii="Arial" w:eastAsia="宋体" w:hAnsi="Arial" w:cs="Arial"/>
                <w:color w:val="000000"/>
                <w:sz w:val="15"/>
                <w:szCs w:val="15"/>
              </w:rPr>
              <w:t>2,291 </w:t>
            </w:r>
          </w:p>
        </w:tc>
        <w:tc>
          <w:tcPr>
            <w:tcW w:w="0" w:type="auto"/>
            <w:shd w:val="clear" w:color="auto" w:fill="FFFFFF"/>
            <w:tcMar>
              <w:top w:w="40" w:type="dxa"/>
              <w:left w:w="0" w:type="dxa"/>
              <w:bottom w:w="40" w:type="dxa"/>
              <w:right w:w="20" w:type="dxa"/>
            </w:tcMar>
            <w:vAlign w:val="bottom"/>
          </w:tcPr>
          <w:p w14:paraId="5F2D0BEC" w14:textId="77777777" w:rsidR="00E836FB" w:rsidRDefault="00E836FB">
            <w:pPr>
              <w:jc w:val="right"/>
              <w:rPr>
                <w:rFonts w:ascii="宋体"/>
              </w:rPr>
            </w:pPr>
          </w:p>
        </w:tc>
      </w:tr>
      <w:tr w:rsidR="00E836FB" w14:paraId="5F2D0C06" w14:textId="77777777">
        <w:tc>
          <w:tcPr>
            <w:tcW w:w="0" w:type="auto"/>
            <w:gridSpan w:val="3"/>
            <w:shd w:val="clear" w:color="auto" w:fill="CCEEFF"/>
            <w:tcMar>
              <w:top w:w="40" w:type="dxa"/>
              <w:left w:w="245" w:type="dxa"/>
              <w:bottom w:w="40" w:type="dxa"/>
              <w:right w:w="20" w:type="dxa"/>
            </w:tcMar>
            <w:vAlign w:val="bottom"/>
          </w:tcPr>
          <w:p w14:paraId="5F2D0BEE" w14:textId="77777777" w:rsidR="00E836FB" w:rsidRDefault="00994958">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5F2D0BEF" w14:textId="77777777" w:rsidR="00E836FB" w:rsidRDefault="00994958">
            <w:pPr>
              <w:jc w:val="right"/>
              <w:textAlignment w:val="bottom"/>
            </w:pPr>
            <w:r>
              <w:rPr>
                <w:rFonts w:ascii="Arial" w:eastAsia="宋体" w:hAnsi="Arial" w:cs="Arial"/>
                <w:b/>
                <w:bCs/>
                <w:color w:val="000000"/>
                <w:sz w:val="15"/>
                <w:szCs w:val="15"/>
              </w:rPr>
              <w:t>23,533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F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F2" w14:textId="77777777" w:rsidR="00E836FB" w:rsidRDefault="00994958">
            <w:pPr>
              <w:jc w:val="right"/>
              <w:textAlignment w:val="bottom"/>
            </w:pPr>
            <w:r>
              <w:rPr>
                <w:rFonts w:ascii="Arial" w:eastAsia="宋体" w:hAnsi="Arial" w:cs="Arial"/>
                <w:b/>
                <w:bCs/>
                <w:color w:val="000000"/>
                <w:sz w:val="15"/>
                <w:szCs w:val="15"/>
              </w:rPr>
              <w:t>114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F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F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F5" w14:textId="77777777" w:rsidR="00E836FB" w:rsidRDefault="00994958">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F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F8" w14:textId="77777777" w:rsidR="00E836FB" w:rsidRDefault="00994958">
            <w:pPr>
              <w:jc w:val="right"/>
              <w:textAlignment w:val="bottom"/>
            </w:pPr>
            <w:r>
              <w:rPr>
                <w:rFonts w:ascii="Arial" w:eastAsia="宋体" w:hAnsi="Arial" w:cs="Arial"/>
                <w:b/>
                <w:bCs/>
                <w:color w:val="000000"/>
                <w:sz w:val="15"/>
                <w:szCs w:val="15"/>
              </w:rPr>
              <w:t>23,547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B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FB" w14:textId="77777777" w:rsidR="00E836FB" w:rsidRDefault="00994958">
            <w:pPr>
              <w:jc w:val="right"/>
              <w:textAlignment w:val="bottom"/>
            </w:pPr>
            <w:r>
              <w:rPr>
                <w:rFonts w:ascii="Arial" w:eastAsia="宋体" w:hAnsi="Arial" w:cs="Arial"/>
                <w:color w:val="000000"/>
                <w:sz w:val="15"/>
                <w:szCs w:val="15"/>
              </w:rPr>
              <w:t>21,769 </w:t>
            </w:r>
          </w:p>
        </w:tc>
        <w:tc>
          <w:tcPr>
            <w:tcW w:w="0" w:type="auto"/>
            <w:shd w:val="clear" w:color="auto" w:fill="CCEEFF"/>
            <w:tcMar>
              <w:top w:w="40" w:type="dxa"/>
              <w:left w:w="0" w:type="dxa"/>
              <w:bottom w:w="40" w:type="dxa"/>
              <w:right w:w="20" w:type="dxa"/>
            </w:tcMar>
            <w:vAlign w:val="bottom"/>
          </w:tcPr>
          <w:p w14:paraId="5F2D0B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B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BFE" w14:textId="77777777" w:rsidR="00E836FB" w:rsidRDefault="00994958">
            <w:pPr>
              <w:jc w:val="right"/>
              <w:textAlignment w:val="bottom"/>
            </w:pPr>
            <w:r>
              <w:rPr>
                <w:rFonts w:ascii="Arial" w:eastAsia="宋体" w:hAnsi="Arial" w:cs="Arial"/>
                <w:color w:val="000000"/>
                <w:sz w:val="15"/>
                <w:szCs w:val="15"/>
              </w:rPr>
              <w:t>321 </w:t>
            </w:r>
          </w:p>
        </w:tc>
        <w:tc>
          <w:tcPr>
            <w:tcW w:w="0" w:type="auto"/>
            <w:shd w:val="clear" w:color="auto" w:fill="CCEEFF"/>
            <w:tcMar>
              <w:top w:w="40" w:type="dxa"/>
              <w:left w:w="0" w:type="dxa"/>
              <w:bottom w:w="40" w:type="dxa"/>
              <w:right w:w="20" w:type="dxa"/>
            </w:tcMar>
            <w:vAlign w:val="bottom"/>
          </w:tcPr>
          <w:p w14:paraId="5F2D0B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0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01"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F2D0C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0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04" w14:textId="77777777" w:rsidR="00E836FB" w:rsidRDefault="00994958">
            <w:pPr>
              <w:jc w:val="right"/>
              <w:textAlignment w:val="bottom"/>
            </w:pPr>
            <w:r>
              <w:rPr>
                <w:rFonts w:ascii="Arial" w:eastAsia="宋体" w:hAnsi="Arial" w:cs="Arial"/>
                <w:color w:val="000000"/>
                <w:sz w:val="15"/>
                <w:szCs w:val="15"/>
              </w:rPr>
              <w:t>22,087 </w:t>
            </w:r>
          </w:p>
        </w:tc>
        <w:tc>
          <w:tcPr>
            <w:tcW w:w="0" w:type="auto"/>
            <w:shd w:val="clear" w:color="auto" w:fill="CCEEFF"/>
            <w:tcMar>
              <w:top w:w="40" w:type="dxa"/>
              <w:left w:w="0" w:type="dxa"/>
              <w:bottom w:w="40" w:type="dxa"/>
              <w:right w:w="20" w:type="dxa"/>
            </w:tcMar>
            <w:vAlign w:val="bottom"/>
          </w:tcPr>
          <w:p w14:paraId="5F2D0C05" w14:textId="77777777" w:rsidR="00E836FB" w:rsidRDefault="00E836FB">
            <w:pPr>
              <w:jc w:val="right"/>
              <w:rPr>
                <w:rFonts w:ascii="宋体"/>
              </w:rPr>
            </w:pPr>
          </w:p>
        </w:tc>
      </w:tr>
      <w:tr w:rsidR="00E836FB" w14:paraId="5F2D0C1F" w14:textId="77777777">
        <w:tc>
          <w:tcPr>
            <w:tcW w:w="0" w:type="auto"/>
            <w:gridSpan w:val="3"/>
            <w:shd w:val="clear" w:color="auto" w:fill="FFFFFF"/>
            <w:tcMar>
              <w:top w:w="40" w:type="dxa"/>
              <w:left w:w="20" w:type="dxa"/>
              <w:bottom w:w="40" w:type="dxa"/>
              <w:right w:w="20" w:type="dxa"/>
            </w:tcMar>
            <w:vAlign w:val="bottom"/>
          </w:tcPr>
          <w:p w14:paraId="5F2D0C07" w14:textId="77777777" w:rsidR="00E836FB" w:rsidRDefault="00994958">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D0C08" w14:textId="77777777" w:rsidR="00E836FB" w:rsidRDefault="00994958">
            <w:pPr>
              <w:jc w:val="right"/>
              <w:textAlignment w:val="bottom"/>
            </w:pPr>
            <w:r>
              <w:rPr>
                <w:rFonts w:ascii="Arial" w:eastAsia="宋体" w:hAnsi="Arial" w:cs="Arial"/>
                <w:b/>
                <w:bCs/>
                <w:color w:val="000000"/>
                <w:sz w:val="15"/>
                <w:szCs w:val="15"/>
              </w:rPr>
              <w:t>3,113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0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0B" w14:textId="77777777" w:rsidR="00E836FB" w:rsidRDefault="00994958">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0E" w14:textId="77777777" w:rsidR="00E836FB" w:rsidRDefault="00994958">
            <w:pPr>
              <w:jc w:val="right"/>
              <w:textAlignment w:val="bottom"/>
            </w:pPr>
            <w:r>
              <w:rPr>
                <w:rFonts w:ascii="Arial" w:eastAsia="宋体" w:hAnsi="Arial" w:cs="Arial"/>
                <w:b/>
                <w:bCs/>
                <w:color w:val="000000"/>
                <w:sz w:val="15"/>
                <w:szCs w:val="15"/>
              </w:rPr>
              <w:t>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11" w14:textId="77777777" w:rsidR="00E836FB" w:rsidRDefault="00994958">
            <w:pPr>
              <w:jc w:val="right"/>
              <w:textAlignment w:val="bottom"/>
            </w:pPr>
            <w:r>
              <w:rPr>
                <w:rFonts w:ascii="Arial" w:eastAsia="宋体" w:hAnsi="Arial" w:cs="Arial"/>
                <w:b/>
                <w:bCs/>
                <w:color w:val="000000"/>
                <w:sz w:val="15"/>
                <w:szCs w:val="15"/>
              </w:rPr>
              <w:t>3,098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14" w14:textId="77777777" w:rsidR="00E836FB" w:rsidRDefault="00994958">
            <w:pPr>
              <w:jc w:val="right"/>
              <w:textAlignment w:val="bottom"/>
            </w:pPr>
            <w:r>
              <w:rPr>
                <w:rFonts w:ascii="Arial" w:eastAsia="宋体" w:hAnsi="Arial" w:cs="Arial"/>
                <w:color w:val="000000"/>
                <w:sz w:val="15"/>
                <w:szCs w:val="15"/>
              </w:rPr>
              <w:t>3,297 </w:t>
            </w:r>
          </w:p>
        </w:tc>
        <w:tc>
          <w:tcPr>
            <w:tcW w:w="0" w:type="auto"/>
            <w:shd w:val="clear" w:color="auto" w:fill="FFFFFF"/>
            <w:tcMar>
              <w:top w:w="40" w:type="dxa"/>
              <w:left w:w="0" w:type="dxa"/>
              <w:bottom w:w="40" w:type="dxa"/>
              <w:right w:w="20" w:type="dxa"/>
            </w:tcMar>
            <w:vAlign w:val="bottom"/>
          </w:tcPr>
          <w:p w14:paraId="5F2D0C1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1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17" w14:textId="77777777" w:rsidR="00E836FB" w:rsidRDefault="00994958">
            <w:pPr>
              <w:jc w:val="right"/>
              <w:textAlignment w:val="bottom"/>
            </w:pPr>
            <w:r>
              <w:rPr>
                <w:rFonts w:ascii="Arial" w:eastAsia="宋体" w:hAnsi="Arial" w:cs="Arial"/>
                <w:color w:val="000000"/>
                <w:sz w:val="15"/>
                <w:szCs w:val="15"/>
              </w:rPr>
              <w:t>58 </w:t>
            </w:r>
          </w:p>
        </w:tc>
        <w:tc>
          <w:tcPr>
            <w:tcW w:w="0" w:type="auto"/>
            <w:shd w:val="clear" w:color="auto" w:fill="FFFFFF"/>
            <w:tcMar>
              <w:top w:w="40" w:type="dxa"/>
              <w:left w:w="0" w:type="dxa"/>
              <w:bottom w:w="40" w:type="dxa"/>
              <w:right w:w="20" w:type="dxa"/>
            </w:tcMar>
            <w:vAlign w:val="bottom"/>
          </w:tcPr>
          <w:p w14:paraId="5F2D0C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1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1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1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1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1D" w14:textId="77777777" w:rsidR="00E836FB" w:rsidRDefault="00994958">
            <w:pPr>
              <w:jc w:val="right"/>
              <w:textAlignment w:val="bottom"/>
            </w:pPr>
            <w:r>
              <w:rPr>
                <w:rFonts w:ascii="Arial" w:eastAsia="宋体" w:hAnsi="Arial" w:cs="Arial"/>
                <w:color w:val="000000"/>
                <w:sz w:val="15"/>
                <w:szCs w:val="15"/>
              </w:rPr>
              <w:t>3,355 </w:t>
            </w:r>
          </w:p>
        </w:tc>
        <w:tc>
          <w:tcPr>
            <w:tcW w:w="0" w:type="auto"/>
            <w:shd w:val="clear" w:color="auto" w:fill="FFFFFF"/>
            <w:tcMar>
              <w:top w:w="40" w:type="dxa"/>
              <w:left w:w="0" w:type="dxa"/>
              <w:bottom w:w="40" w:type="dxa"/>
              <w:right w:w="20" w:type="dxa"/>
            </w:tcMar>
            <w:vAlign w:val="bottom"/>
          </w:tcPr>
          <w:p w14:paraId="5F2D0C1E" w14:textId="77777777" w:rsidR="00E836FB" w:rsidRDefault="00E836FB">
            <w:pPr>
              <w:jc w:val="right"/>
              <w:rPr>
                <w:rFonts w:ascii="宋体"/>
              </w:rPr>
            </w:pPr>
          </w:p>
        </w:tc>
      </w:tr>
      <w:tr w:rsidR="00E836FB" w14:paraId="5F2D0C38" w14:textId="77777777">
        <w:tc>
          <w:tcPr>
            <w:tcW w:w="0" w:type="auto"/>
            <w:gridSpan w:val="3"/>
            <w:shd w:val="clear" w:color="auto" w:fill="CCEEFF"/>
            <w:tcMar>
              <w:top w:w="40" w:type="dxa"/>
              <w:left w:w="380" w:type="dxa"/>
              <w:bottom w:w="40" w:type="dxa"/>
              <w:right w:w="20" w:type="dxa"/>
            </w:tcMar>
            <w:vAlign w:val="bottom"/>
          </w:tcPr>
          <w:p w14:paraId="5F2D0C20"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21" w14:textId="77777777" w:rsidR="00E836FB" w:rsidRDefault="00994958">
            <w:pPr>
              <w:jc w:val="right"/>
              <w:textAlignment w:val="bottom"/>
            </w:pPr>
            <w:r>
              <w:rPr>
                <w:rFonts w:ascii="Arial" w:eastAsia="宋体" w:hAnsi="Arial" w:cs="Arial"/>
                <w:b/>
                <w:bCs/>
                <w:color w:val="000000"/>
                <w:sz w:val="15"/>
                <w:szCs w:val="15"/>
              </w:rPr>
              <w:t>30,719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2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24" w14:textId="77777777" w:rsidR="00E836FB" w:rsidRDefault="00994958">
            <w:pPr>
              <w:jc w:val="right"/>
              <w:textAlignment w:val="bottom"/>
            </w:pPr>
            <w:r>
              <w:rPr>
                <w:rFonts w:ascii="Arial" w:eastAsia="宋体" w:hAnsi="Arial" w:cs="Arial"/>
                <w:b/>
                <w:bCs/>
                <w:color w:val="000000"/>
                <w:sz w:val="15"/>
                <w:szCs w:val="15"/>
              </w:rPr>
              <w:t>145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2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2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27" w14:textId="77777777" w:rsidR="00E836FB" w:rsidRDefault="00994958">
            <w:pPr>
              <w:jc w:val="right"/>
              <w:textAlignment w:val="bottom"/>
            </w:pPr>
            <w:r>
              <w:rPr>
                <w:rFonts w:ascii="Arial" w:eastAsia="宋体" w:hAnsi="Arial" w:cs="Arial"/>
                <w:b/>
                <w:bCs/>
                <w:color w:val="000000"/>
                <w:sz w:val="15"/>
                <w:szCs w:val="15"/>
              </w:rPr>
              <w:t>137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2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2A" w14:textId="77777777" w:rsidR="00E836FB" w:rsidRDefault="00994958">
            <w:pPr>
              <w:jc w:val="right"/>
              <w:textAlignment w:val="bottom"/>
            </w:pPr>
            <w:r>
              <w:rPr>
                <w:rFonts w:ascii="Arial" w:eastAsia="宋体" w:hAnsi="Arial" w:cs="Arial"/>
                <w:b/>
                <w:bCs/>
                <w:color w:val="000000"/>
                <w:sz w:val="15"/>
                <w:szCs w:val="15"/>
              </w:rPr>
              <w:t>30,727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2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2D" w14:textId="77777777" w:rsidR="00E836FB" w:rsidRDefault="00994958">
            <w:pPr>
              <w:jc w:val="right"/>
              <w:textAlignment w:val="bottom"/>
            </w:pPr>
            <w:r>
              <w:rPr>
                <w:rFonts w:ascii="Arial" w:eastAsia="宋体" w:hAnsi="Arial" w:cs="Arial"/>
                <w:color w:val="000000"/>
                <w:sz w:val="15"/>
                <w:szCs w:val="15"/>
              </w:rPr>
              <w:t>29,354 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2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2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30" w14:textId="77777777" w:rsidR="00E836FB" w:rsidRDefault="00994958">
            <w:pPr>
              <w:jc w:val="right"/>
              <w:textAlignment w:val="bottom"/>
            </w:pPr>
            <w:r>
              <w:rPr>
                <w:rFonts w:ascii="Arial" w:eastAsia="宋体" w:hAnsi="Arial" w:cs="Arial"/>
                <w:color w:val="000000"/>
                <w:sz w:val="15"/>
                <w:szCs w:val="15"/>
              </w:rPr>
              <w:t>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3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33" w14:textId="77777777" w:rsidR="00E836FB" w:rsidRDefault="00994958">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3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3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36" w14:textId="77777777" w:rsidR="00E836FB" w:rsidRDefault="00994958">
            <w:pPr>
              <w:jc w:val="right"/>
              <w:textAlignment w:val="bottom"/>
            </w:pPr>
            <w:r>
              <w:rPr>
                <w:rFonts w:ascii="Arial" w:eastAsia="宋体" w:hAnsi="Arial" w:cs="Arial"/>
                <w:color w:val="000000"/>
                <w:sz w:val="15"/>
                <w:szCs w:val="15"/>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37" w14:textId="77777777" w:rsidR="00E836FB" w:rsidRDefault="00E836FB">
            <w:pPr>
              <w:jc w:val="right"/>
              <w:rPr>
                <w:rFonts w:ascii="宋体"/>
              </w:rPr>
            </w:pPr>
          </w:p>
        </w:tc>
      </w:tr>
      <w:tr w:rsidR="00E836FB" w14:paraId="5F2D0C49" w14:textId="77777777">
        <w:tc>
          <w:tcPr>
            <w:tcW w:w="0" w:type="auto"/>
            <w:gridSpan w:val="3"/>
            <w:shd w:val="clear" w:color="auto" w:fill="FFFFFF"/>
            <w:tcMar>
              <w:top w:w="40" w:type="dxa"/>
              <w:left w:w="20" w:type="dxa"/>
              <w:bottom w:w="40" w:type="dxa"/>
              <w:right w:w="20" w:type="dxa"/>
            </w:tcMar>
            <w:vAlign w:val="bottom"/>
          </w:tcPr>
          <w:p w14:paraId="5F2D0C39"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3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C3B"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3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C3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3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C3F"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4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C4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4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C43"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4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C4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4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C47"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C48" w14:textId="77777777" w:rsidR="00E836FB" w:rsidRDefault="00E836FB">
            <w:pPr>
              <w:rPr>
                <w:rFonts w:ascii="宋体"/>
              </w:rPr>
            </w:pPr>
          </w:p>
        </w:tc>
      </w:tr>
      <w:tr w:rsidR="00E836FB" w14:paraId="5F2D0C62" w14:textId="77777777">
        <w:tc>
          <w:tcPr>
            <w:tcW w:w="0" w:type="auto"/>
            <w:gridSpan w:val="3"/>
            <w:shd w:val="clear" w:color="auto" w:fill="CCEEFF"/>
            <w:tcMar>
              <w:top w:w="40" w:type="dxa"/>
              <w:left w:w="20" w:type="dxa"/>
              <w:bottom w:w="40" w:type="dxa"/>
              <w:right w:w="20" w:type="dxa"/>
            </w:tcMar>
            <w:vAlign w:val="bottom"/>
          </w:tcPr>
          <w:p w14:paraId="5F2D0C4A" w14:textId="77777777" w:rsidR="00E836FB" w:rsidRDefault="00994958">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F2D0C4B" w14:textId="77777777" w:rsidR="00E836FB" w:rsidRDefault="00994958">
            <w:pPr>
              <w:jc w:val="right"/>
              <w:textAlignment w:val="bottom"/>
            </w:pPr>
            <w:r>
              <w:rPr>
                <w:rFonts w:ascii="Arial" w:eastAsia="宋体" w:hAnsi="Arial" w:cs="Arial"/>
                <w:b/>
                <w:bCs/>
                <w:color w:val="000000"/>
                <w:sz w:val="15"/>
                <w:szCs w:val="15"/>
              </w:rPr>
              <w:t>209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4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4E"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5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54" w14:textId="77777777" w:rsidR="00E836FB" w:rsidRDefault="00994958">
            <w:pPr>
              <w:jc w:val="right"/>
              <w:textAlignment w:val="bottom"/>
            </w:pPr>
            <w:r>
              <w:rPr>
                <w:rFonts w:ascii="Arial" w:eastAsia="宋体" w:hAnsi="Arial" w:cs="Arial"/>
                <w:b/>
                <w:bCs/>
                <w:color w:val="000000"/>
                <w:sz w:val="15"/>
                <w:szCs w:val="15"/>
              </w:rPr>
              <w:t>211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57" w14:textId="77777777" w:rsidR="00E836FB" w:rsidRDefault="00994958">
            <w:pPr>
              <w:jc w:val="right"/>
              <w:textAlignment w:val="bottom"/>
            </w:pPr>
            <w:r>
              <w:rPr>
                <w:rFonts w:ascii="Arial" w:eastAsia="宋体" w:hAnsi="Arial" w:cs="Arial"/>
                <w:color w:val="000000"/>
                <w:sz w:val="15"/>
                <w:szCs w:val="15"/>
              </w:rPr>
              <w:t>313 </w:t>
            </w:r>
          </w:p>
        </w:tc>
        <w:tc>
          <w:tcPr>
            <w:tcW w:w="0" w:type="auto"/>
            <w:shd w:val="clear" w:color="auto" w:fill="CCEEFF"/>
            <w:tcMar>
              <w:top w:w="40" w:type="dxa"/>
              <w:left w:w="0" w:type="dxa"/>
              <w:bottom w:w="40" w:type="dxa"/>
              <w:right w:w="20" w:type="dxa"/>
            </w:tcMar>
            <w:vAlign w:val="bottom"/>
          </w:tcPr>
          <w:p w14:paraId="5F2D0C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5A" w14:textId="77777777" w:rsidR="00E836FB" w:rsidRDefault="00994958">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F2D0C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5D"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0C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60" w14:textId="77777777" w:rsidR="00E836FB" w:rsidRDefault="00994958">
            <w:pPr>
              <w:jc w:val="right"/>
              <w:textAlignment w:val="bottom"/>
            </w:pPr>
            <w:r>
              <w:rPr>
                <w:rFonts w:ascii="Arial" w:eastAsia="宋体" w:hAnsi="Arial" w:cs="Arial"/>
                <w:color w:val="000000"/>
                <w:sz w:val="15"/>
                <w:szCs w:val="15"/>
              </w:rPr>
              <w:t>314 </w:t>
            </w:r>
          </w:p>
        </w:tc>
        <w:tc>
          <w:tcPr>
            <w:tcW w:w="0" w:type="auto"/>
            <w:shd w:val="clear" w:color="auto" w:fill="CCEEFF"/>
            <w:tcMar>
              <w:top w:w="40" w:type="dxa"/>
              <w:left w:w="0" w:type="dxa"/>
              <w:bottom w:w="40" w:type="dxa"/>
              <w:right w:w="20" w:type="dxa"/>
            </w:tcMar>
            <w:vAlign w:val="bottom"/>
          </w:tcPr>
          <w:p w14:paraId="5F2D0C61" w14:textId="77777777" w:rsidR="00E836FB" w:rsidRDefault="00E836FB">
            <w:pPr>
              <w:jc w:val="right"/>
              <w:rPr>
                <w:rFonts w:ascii="宋体"/>
              </w:rPr>
            </w:pPr>
          </w:p>
        </w:tc>
      </w:tr>
      <w:tr w:rsidR="00E836FB" w14:paraId="5F2D0C7B" w14:textId="77777777">
        <w:tc>
          <w:tcPr>
            <w:tcW w:w="0" w:type="auto"/>
            <w:gridSpan w:val="3"/>
            <w:shd w:val="clear" w:color="auto" w:fill="FFFFFF"/>
            <w:tcMar>
              <w:top w:w="40" w:type="dxa"/>
              <w:left w:w="20" w:type="dxa"/>
              <w:bottom w:w="40" w:type="dxa"/>
              <w:right w:w="20" w:type="dxa"/>
            </w:tcMar>
            <w:vAlign w:val="bottom"/>
          </w:tcPr>
          <w:p w14:paraId="5F2D0C63" w14:textId="77777777" w:rsidR="00E836FB" w:rsidRDefault="00994958">
            <w:pPr>
              <w:textAlignment w:val="bottom"/>
            </w:pPr>
            <w:r>
              <w:rPr>
                <w:rFonts w:ascii="Arial" w:eastAsia="宋体" w:hAnsi="Arial" w:cs="Arial"/>
                <w:color w:val="000000"/>
                <w:sz w:val="15"/>
                <w:szCs w:val="15"/>
              </w:rPr>
              <w:t>Collateralized loan obligations</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F2D0C64" w14:textId="77777777" w:rsidR="00E836FB" w:rsidRDefault="00994958">
            <w:pPr>
              <w:jc w:val="right"/>
              <w:textAlignment w:val="bottom"/>
            </w:pPr>
            <w:r>
              <w:rPr>
                <w:rFonts w:ascii="Arial" w:eastAsia="宋体" w:hAnsi="Arial" w:cs="Arial"/>
                <w:b/>
                <w:bCs/>
                <w:color w:val="000000"/>
                <w:sz w:val="15"/>
                <w:szCs w:val="15"/>
              </w:rPr>
              <w:t>2,155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67"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6A"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6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6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6D" w14:textId="77777777" w:rsidR="00E836FB" w:rsidRDefault="00994958">
            <w:pPr>
              <w:jc w:val="right"/>
              <w:textAlignment w:val="bottom"/>
            </w:pPr>
            <w:r>
              <w:rPr>
                <w:rFonts w:ascii="Arial" w:eastAsia="宋体" w:hAnsi="Arial" w:cs="Arial"/>
                <w:b/>
                <w:bCs/>
                <w:color w:val="000000"/>
                <w:sz w:val="15"/>
                <w:szCs w:val="15"/>
              </w:rPr>
              <w:t>2,155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6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6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70" w14:textId="77777777" w:rsidR="00E836FB" w:rsidRDefault="00994958">
            <w:pPr>
              <w:jc w:val="right"/>
              <w:textAlignment w:val="bottom"/>
            </w:pPr>
            <w:r>
              <w:rPr>
                <w:rFonts w:ascii="Arial" w:eastAsia="宋体" w:hAnsi="Arial" w:cs="Arial"/>
                <w:color w:val="000000"/>
                <w:sz w:val="15"/>
                <w:szCs w:val="15"/>
              </w:rPr>
              <w:t>2,969 </w:t>
            </w:r>
          </w:p>
        </w:tc>
        <w:tc>
          <w:tcPr>
            <w:tcW w:w="0" w:type="auto"/>
            <w:shd w:val="clear" w:color="auto" w:fill="FFFFFF"/>
            <w:tcMar>
              <w:top w:w="40" w:type="dxa"/>
              <w:left w:w="0" w:type="dxa"/>
              <w:bottom w:w="40" w:type="dxa"/>
              <w:right w:w="20" w:type="dxa"/>
            </w:tcMar>
            <w:vAlign w:val="bottom"/>
          </w:tcPr>
          <w:p w14:paraId="5F2D0C7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7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73"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F2D0C7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7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76" w14:textId="77777777" w:rsidR="00E836FB" w:rsidRDefault="00994958">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5F2D0C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7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79" w14:textId="77777777" w:rsidR="00E836FB" w:rsidRDefault="00994958">
            <w:pPr>
              <w:jc w:val="right"/>
              <w:textAlignment w:val="bottom"/>
            </w:pPr>
            <w:r>
              <w:rPr>
                <w:rFonts w:ascii="Arial" w:eastAsia="宋体" w:hAnsi="Arial" w:cs="Arial"/>
                <w:color w:val="000000"/>
                <w:sz w:val="15"/>
                <w:szCs w:val="15"/>
              </w:rPr>
              <w:t>2,966 </w:t>
            </w:r>
          </w:p>
        </w:tc>
        <w:tc>
          <w:tcPr>
            <w:tcW w:w="0" w:type="auto"/>
            <w:shd w:val="clear" w:color="auto" w:fill="FFFFFF"/>
            <w:tcMar>
              <w:top w:w="40" w:type="dxa"/>
              <w:left w:w="0" w:type="dxa"/>
              <w:bottom w:w="40" w:type="dxa"/>
              <w:right w:w="20" w:type="dxa"/>
            </w:tcMar>
            <w:vAlign w:val="bottom"/>
          </w:tcPr>
          <w:p w14:paraId="5F2D0C7A" w14:textId="77777777" w:rsidR="00E836FB" w:rsidRDefault="00E836FB">
            <w:pPr>
              <w:jc w:val="right"/>
              <w:rPr>
                <w:rFonts w:ascii="宋体"/>
              </w:rPr>
            </w:pPr>
          </w:p>
        </w:tc>
      </w:tr>
      <w:tr w:rsidR="00E836FB" w14:paraId="5F2D0C94" w14:textId="77777777">
        <w:tc>
          <w:tcPr>
            <w:tcW w:w="0" w:type="auto"/>
            <w:gridSpan w:val="3"/>
            <w:shd w:val="clear" w:color="auto" w:fill="CCEEFF"/>
            <w:tcMar>
              <w:top w:w="40" w:type="dxa"/>
              <w:left w:w="20" w:type="dxa"/>
              <w:bottom w:w="40" w:type="dxa"/>
              <w:right w:w="20" w:type="dxa"/>
            </w:tcMar>
            <w:vAlign w:val="bottom"/>
          </w:tcPr>
          <w:p w14:paraId="5F2D0C7C" w14:textId="77777777" w:rsidR="00E836FB" w:rsidRDefault="00994958">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5F2D0C7D" w14:textId="77777777" w:rsidR="00E836FB" w:rsidRDefault="00994958">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7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8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8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8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8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8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86" w14:textId="77777777" w:rsidR="00E836FB" w:rsidRDefault="00994958">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8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89" w14:textId="77777777" w:rsidR="00E836FB" w:rsidRDefault="00994958">
            <w:pPr>
              <w:jc w:val="right"/>
              <w:textAlignment w:val="bottom"/>
            </w:pPr>
            <w:r>
              <w:rPr>
                <w:rFonts w:ascii="Arial" w:eastAsia="宋体" w:hAnsi="Arial" w:cs="Arial"/>
                <w:color w:val="000000"/>
                <w:sz w:val="15"/>
                <w:szCs w:val="15"/>
              </w:rPr>
              <w:t>76 </w:t>
            </w:r>
          </w:p>
        </w:tc>
        <w:tc>
          <w:tcPr>
            <w:tcW w:w="0" w:type="auto"/>
            <w:shd w:val="clear" w:color="auto" w:fill="CCEEFF"/>
            <w:tcMar>
              <w:top w:w="40" w:type="dxa"/>
              <w:left w:w="0" w:type="dxa"/>
              <w:bottom w:w="40" w:type="dxa"/>
              <w:right w:w="20" w:type="dxa"/>
            </w:tcMar>
            <w:vAlign w:val="bottom"/>
          </w:tcPr>
          <w:p w14:paraId="5F2D0C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8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8C" w14:textId="77777777" w:rsidR="00E836FB" w:rsidRDefault="00994958">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F2D0C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8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8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9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92" w14:textId="77777777" w:rsidR="00E836FB" w:rsidRDefault="00994958">
            <w:pPr>
              <w:jc w:val="right"/>
              <w:textAlignment w:val="bottom"/>
            </w:pPr>
            <w:r>
              <w:rPr>
                <w:rFonts w:ascii="Arial" w:eastAsia="宋体" w:hAnsi="Arial" w:cs="Arial"/>
                <w:color w:val="000000"/>
                <w:sz w:val="15"/>
                <w:szCs w:val="15"/>
              </w:rPr>
              <w:t>78 </w:t>
            </w:r>
          </w:p>
        </w:tc>
        <w:tc>
          <w:tcPr>
            <w:tcW w:w="0" w:type="auto"/>
            <w:shd w:val="clear" w:color="auto" w:fill="CCEEFF"/>
            <w:tcMar>
              <w:top w:w="40" w:type="dxa"/>
              <w:left w:w="0" w:type="dxa"/>
              <w:bottom w:w="40" w:type="dxa"/>
              <w:right w:w="20" w:type="dxa"/>
            </w:tcMar>
            <w:vAlign w:val="bottom"/>
          </w:tcPr>
          <w:p w14:paraId="5F2D0C93" w14:textId="77777777" w:rsidR="00E836FB" w:rsidRDefault="00E836FB">
            <w:pPr>
              <w:jc w:val="right"/>
              <w:rPr>
                <w:rFonts w:ascii="宋体"/>
              </w:rPr>
            </w:pPr>
          </w:p>
        </w:tc>
      </w:tr>
      <w:tr w:rsidR="00E836FB" w14:paraId="5F2D0CAD" w14:textId="77777777">
        <w:tc>
          <w:tcPr>
            <w:tcW w:w="0" w:type="auto"/>
            <w:gridSpan w:val="3"/>
            <w:shd w:val="clear" w:color="auto" w:fill="FFFFFF"/>
            <w:tcMar>
              <w:top w:w="40" w:type="dxa"/>
              <w:left w:w="245" w:type="dxa"/>
              <w:bottom w:w="40" w:type="dxa"/>
              <w:right w:w="20" w:type="dxa"/>
            </w:tcMar>
            <w:vAlign w:val="bottom"/>
          </w:tcPr>
          <w:p w14:paraId="5F2D0C95"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D0C96" w14:textId="77777777" w:rsidR="00E836FB" w:rsidRDefault="00994958">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9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9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99"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9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9F" w14:textId="77777777" w:rsidR="00E836FB" w:rsidRDefault="00994958">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A2" w14:textId="77777777" w:rsidR="00E836FB" w:rsidRDefault="00994958">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F2D0C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A5"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A8"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C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CAB" w14:textId="77777777" w:rsidR="00E836FB" w:rsidRDefault="00994958">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F2D0CAC" w14:textId="77777777" w:rsidR="00E836FB" w:rsidRDefault="00E836FB">
            <w:pPr>
              <w:jc w:val="right"/>
              <w:rPr>
                <w:rFonts w:ascii="宋体"/>
              </w:rPr>
            </w:pPr>
          </w:p>
        </w:tc>
      </w:tr>
      <w:tr w:rsidR="00E836FB" w14:paraId="5F2D0CC6" w14:textId="77777777">
        <w:tc>
          <w:tcPr>
            <w:tcW w:w="0" w:type="auto"/>
            <w:gridSpan w:val="3"/>
            <w:shd w:val="clear" w:color="auto" w:fill="CCEEFF"/>
            <w:tcMar>
              <w:top w:w="40" w:type="dxa"/>
              <w:left w:w="380" w:type="dxa"/>
              <w:bottom w:w="40" w:type="dxa"/>
              <w:right w:w="20" w:type="dxa"/>
            </w:tcMar>
            <w:vAlign w:val="bottom"/>
          </w:tcPr>
          <w:p w14:paraId="5F2D0CAE" w14:textId="77777777" w:rsidR="00E836FB" w:rsidRDefault="00994958">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AF" w14:textId="77777777" w:rsidR="00E836FB" w:rsidRDefault="00994958">
            <w:pPr>
              <w:jc w:val="right"/>
              <w:textAlignment w:val="bottom"/>
            </w:pPr>
            <w:r>
              <w:rPr>
                <w:rFonts w:ascii="Arial" w:eastAsia="宋体" w:hAnsi="Arial" w:cs="Arial"/>
                <w:b/>
                <w:bCs/>
                <w:color w:val="000000"/>
                <w:sz w:val="15"/>
                <w:szCs w:val="15"/>
              </w:rPr>
              <w:t>2,506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B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B2" w14:textId="77777777" w:rsidR="00E836FB" w:rsidRDefault="00994958">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B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B5"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B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B8" w14:textId="77777777" w:rsidR="00E836FB" w:rsidRDefault="00994958">
            <w:pPr>
              <w:jc w:val="right"/>
              <w:textAlignment w:val="bottom"/>
            </w:pPr>
            <w:r>
              <w:rPr>
                <w:rFonts w:ascii="Arial" w:eastAsia="宋体" w:hAnsi="Arial" w:cs="Arial"/>
                <w:b/>
                <w:bCs/>
                <w:color w:val="000000"/>
                <w:sz w:val="15"/>
                <w:szCs w:val="15"/>
              </w:rPr>
              <w:t>2,509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B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BB" w14:textId="77777777" w:rsidR="00E836FB" w:rsidRDefault="00994958">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B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BE" w14:textId="77777777" w:rsidR="00E836FB" w:rsidRDefault="00994958">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C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C1" w14:textId="77777777" w:rsidR="00E836FB" w:rsidRDefault="00994958">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C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CC4" w14:textId="77777777" w:rsidR="00E836FB" w:rsidRDefault="00994958">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CC5" w14:textId="77777777" w:rsidR="00E836FB" w:rsidRDefault="00E836FB">
            <w:pPr>
              <w:jc w:val="right"/>
              <w:rPr>
                <w:rFonts w:ascii="宋体"/>
              </w:rPr>
            </w:pPr>
          </w:p>
        </w:tc>
      </w:tr>
      <w:tr w:rsidR="00E836FB" w14:paraId="5F2D0CDF" w14:textId="77777777">
        <w:tc>
          <w:tcPr>
            <w:tcW w:w="0" w:type="auto"/>
            <w:gridSpan w:val="3"/>
            <w:shd w:val="clear" w:color="auto" w:fill="FFFFFF"/>
            <w:tcMar>
              <w:top w:w="40" w:type="dxa"/>
              <w:left w:w="20" w:type="dxa"/>
              <w:bottom w:w="40" w:type="dxa"/>
              <w:right w:w="20" w:type="dxa"/>
            </w:tcMar>
            <w:vAlign w:val="bottom"/>
          </w:tcPr>
          <w:p w14:paraId="5F2D0CC7" w14:textId="77777777" w:rsidR="00E836FB" w:rsidRDefault="00994958">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(6)</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C8" w14:textId="77777777" w:rsidR="00E836FB" w:rsidRDefault="00994958">
            <w:pPr>
              <w:jc w:val="right"/>
              <w:textAlignment w:val="bottom"/>
            </w:pPr>
            <w:r>
              <w:rPr>
                <w:rFonts w:ascii="Arial" w:eastAsia="宋体" w:hAnsi="Arial" w:cs="Arial"/>
                <w:b/>
                <w:bCs/>
                <w:color w:val="000000"/>
                <w:sz w:val="15"/>
                <w:szCs w:val="15"/>
              </w:rPr>
              <w:t>1,216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C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CB" w14:textId="77777777" w:rsidR="00E836FB" w:rsidRDefault="00994958">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C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CE"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D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D1" w14:textId="77777777" w:rsidR="00E836FB" w:rsidRDefault="00994958">
            <w:pPr>
              <w:jc w:val="right"/>
              <w:textAlignment w:val="bottom"/>
            </w:pPr>
            <w:r>
              <w:rPr>
                <w:rFonts w:ascii="Arial" w:eastAsia="宋体" w:hAnsi="Arial" w:cs="Arial"/>
                <w:b/>
                <w:bCs/>
                <w:color w:val="000000"/>
                <w:sz w:val="15"/>
                <w:szCs w:val="15"/>
              </w:rPr>
              <w:t>1,272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D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D4" w14:textId="77777777" w:rsidR="00E836FB" w:rsidRDefault="00994958">
            <w:pPr>
              <w:jc w:val="right"/>
              <w:textAlignment w:val="bottom"/>
            </w:pPr>
            <w:r>
              <w:rPr>
                <w:rFonts w:ascii="Arial" w:eastAsia="宋体" w:hAnsi="Arial" w:cs="Arial"/>
                <w:color w:val="000000"/>
                <w:sz w:val="15"/>
                <w:szCs w:val="15"/>
              </w:rPr>
              <w:t>1,470 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D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D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D7" w14:textId="77777777" w:rsidR="00E836FB" w:rsidRDefault="00994958">
            <w:pPr>
              <w:jc w:val="right"/>
              <w:textAlignment w:val="bottom"/>
            </w:pPr>
            <w:r>
              <w:rPr>
                <w:rFonts w:ascii="Arial" w:eastAsia="宋体" w:hAnsi="Arial" w:cs="Arial"/>
                <w:color w:val="000000"/>
                <w:sz w:val="15"/>
                <w:szCs w:val="15"/>
              </w:rPr>
              <w:t>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D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DA" w14:textId="77777777" w:rsidR="00E836FB" w:rsidRDefault="00994958">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CD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CDD" w14:textId="77777777" w:rsidR="00E836FB" w:rsidRDefault="00994958">
            <w:pPr>
              <w:jc w:val="right"/>
              <w:textAlignment w:val="bottom"/>
            </w:pPr>
            <w:r>
              <w:rPr>
                <w:rFonts w:ascii="Arial" w:eastAsia="宋体" w:hAnsi="Arial" w:cs="Arial"/>
                <w:color w:val="000000"/>
                <w:sz w:val="15"/>
                <w:szCs w:val="15"/>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CDE" w14:textId="77777777" w:rsidR="00E836FB" w:rsidRDefault="00E836FB">
            <w:pPr>
              <w:jc w:val="right"/>
              <w:rPr>
                <w:rFonts w:ascii="宋体"/>
              </w:rPr>
            </w:pPr>
          </w:p>
        </w:tc>
      </w:tr>
      <w:tr w:rsidR="00E836FB" w14:paraId="5F2D0CF8" w14:textId="77777777">
        <w:tc>
          <w:tcPr>
            <w:tcW w:w="0" w:type="auto"/>
            <w:gridSpan w:val="3"/>
            <w:shd w:val="clear" w:color="auto" w:fill="CCEEFF"/>
            <w:tcMar>
              <w:top w:w="40" w:type="dxa"/>
              <w:left w:w="20" w:type="dxa"/>
              <w:bottom w:w="40" w:type="dxa"/>
              <w:right w:w="20" w:type="dxa"/>
            </w:tcMar>
            <w:vAlign w:val="bottom"/>
          </w:tcPr>
          <w:p w14:paraId="5F2D0CE0" w14:textId="77777777" w:rsidR="00E836FB" w:rsidRDefault="00994958">
            <w:pPr>
              <w:textAlignment w:val="bottom"/>
            </w:pPr>
            <w:r>
              <w:rPr>
                <w:rFonts w:ascii="Arial" w:eastAsia="宋体" w:hAnsi="Arial" w:cs="Arial"/>
                <w:color w:val="000000"/>
                <w:sz w:val="15"/>
                <w:szCs w:val="15"/>
              </w:rPr>
              <w:t>Other U.S. debt securities</w:t>
            </w:r>
            <w:r>
              <w:rPr>
                <w:rFonts w:ascii="Arial" w:eastAsia="宋体" w:hAnsi="Arial" w:cs="Arial"/>
                <w:color w:val="000000"/>
                <w:sz w:val="9"/>
                <w:szCs w:val="9"/>
              </w:rPr>
              <w:t>(7)</w:t>
            </w:r>
          </w:p>
        </w:tc>
        <w:tc>
          <w:tcPr>
            <w:tcW w:w="0" w:type="auto"/>
            <w:gridSpan w:val="2"/>
            <w:shd w:val="clear" w:color="auto" w:fill="CCEEFF"/>
            <w:tcMar>
              <w:top w:w="40" w:type="dxa"/>
              <w:left w:w="20" w:type="dxa"/>
              <w:bottom w:w="40" w:type="dxa"/>
              <w:right w:w="0" w:type="dxa"/>
            </w:tcMar>
            <w:vAlign w:val="bottom"/>
          </w:tcPr>
          <w:p w14:paraId="5F2D0CE1" w14:textId="77777777" w:rsidR="00E836FB" w:rsidRDefault="00994958">
            <w:pPr>
              <w:jc w:val="right"/>
              <w:textAlignment w:val="bottom"/>
            </w:pPr>
            <w:r>
              <w:rPr>
                <w:rFonts w:ascii="Arial" w:eastAsia="宋体" w:hAnsi="Arial" w:cs="Arial"/>
                <w:b/>
                <w:bCs/>
                <w:color w:val="000000"/>
                <w:sz w:val="15"/>
                <w:szCs w:val="15"/>
              </w:rPr>
              <w:t>2,734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E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E4" w14:textId="77777777" w:rsidR="00E836FB" w:rsidRDefault="00994958">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E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E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E7" w14:textId="77777777" w:rsidR="00E836FB" w:rsidRDefault="00994958">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EA" w14:textId="77777777" w:rsidR="00E836FB" w:rsidRDefault="00994958">
            <w:pPr>
              <w:jc w:val="right"/>
              <w:textAlignment w:val="bottom"/>
            </w:pPr>
            <w:r>
              <w:rPr>
                <w:rFonts w:ascii="Arial" w:eastAsia="宋体" w:hAnsi="Arial" w:cs="Arial"/>
                <w:b/>
                <w:bCs/>
                <w:color w:val="000000"/>
                <w:sz w:val="15"/>
                <w:szCs w:val="15"/>
              </w:rPr>
              <w:t>2,744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ED" w14:textId="77777777" w:rsidR="00E836FB" w:rsidRDefault="00994958">
            <w:pPr>
              <w:jc w:val="right"/>
              <w:textAlignment w:val="bottom"/>
            </w:pPr>
            <w:r>
              <w:rPr>
                <w:rFonts w:ascii="Arial" w:eastAsia="宋体" w:hAnsi="Arial" w:cs="Arial"/>
                <w:color w:val="000000"/>
                <w:sz w:val="15"/>
                <w:szCs w:val="15"/>
              </w:rPr>
              <w:t>3,371 </w:t>
            </w:r>
          </w:p>
        </w:tc>
        <w:tc>
          <w:tcPr>
            <w:tcW w:w="0" w:type="auto"/>
            <w:shd w:val="clear" w:color="auto" w:fill="CCEEFF"/>
            <w:tcMar>
              <w:top w:w="40" w:type="dxa"/>
              <w:left w:w="0" w:type="dxa"/>
              <w:bottom w:w="40" w:type="dxa"/>
              <w:right w:w="20" w:type="dxa"/>
            </w:tcMar>
            <w:vAlign w:val="bottom"/>
          </w:tcPr>
          <w:p w14:paraId="5F2D0C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F0" w14:textId="77777777" w:rsidR="00E836FB" w:rsidRDefault="00994958">
            <w:pPr>
              <w:jc w:val="right"/>
              <w:textAlignment w:val="bottom"/>
            </w:pPr>
            <w:r>
              <w:rPr>
                <w:rFonts w:ascii="Arial" w:eastAsia="宋体" w:hAnsi="Arial" w:cs="Arial"/>
                <w:color w:val="000000"/>
                <w:sz w:val="15"/>
                <w:szCs w:val="15"/>
              </w:rPr>
              <w:t>72 </w:t>
            </w:r>
          </w:p>
        </w:tc>
        <w:tc>
          <w:tcPr>
            <w:tcW w:w="0" w:type="auto"/>
            <w:shd w:val="clear" w:color="auto" w:fill="CCEEFF"/>
            <w:tcMar>
              <w:top w:w="40" w:type="dxa"/>
              <w:left w:w="0" w:type="dxa"/>
              <w:bottom w:w="40" w:type="dxa"/>
              <w:right w:w="20" w:type="dxa"/>
            </w:tcMar>
            <w:vAlign w:val="bottom"/>
          </w:tcPr>
          <w:p w14:paraId="5F2D0C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F3"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C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CF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CF6" w14:textId="77777777" w:rsidR="00E836FB" w:rsidRDefault="00994958">
            <w:pPr>
              <w:jc w:val="right"/>
              <w:textAlignment w:val="bottom"/>
            </w:pPr>
            <w:r>
              <w:rPr>
                <w:rFonts w:ascii="Arial" w:eastAsia="宋体" w:hAnsi="Arial" w:cs="Arial"/>
                <w:color w:val="000000"/>
                <w:sz w:val="15"/>
                <w:szCs w:val="15"/>
              </w:rPr>
              <w:t>3,443 </w:t>
            </w:r>
          </w:p>
        </w:tc>
        <w:tc>
          <w:tcPr>
            <w:tcW w:w="0" w:type="auto"/>
            <w:shd w:val="clear" w:color="auto" w:fill="CCEEFF"/>
            <w:tcMar>
              <w:top w:w="40" w:type="dxa"/>
              <w:left w:w="0" w:type="dxa"/>
              <w:bottom w:w="40" w:type="dxa"/>
              <w:right w:w="20" w:type="dxa"/>
            </w:tcMar>
            <w:vAlign w:val="bottom"/>
          </w:tcPr>
          <w:p w14:paraId="5F2D0CF7" w14:textId="77777777" w:rsidR="00E836FB" w:rsidRDefault="00E836FB">
            <w:pPr>
              <w:jc w:val="right"/>
              <w:rPr>
                <w:rFonts w:ascii="宋体"/>
              </w:rPr>
            </w:pPr>
          </w:p>
        </w:tc>
      </w:tr>
      <w:tr w:rsidR="00E836FB" w14:paraId="5F2D0D09" w14:textId="77777777">
        <w:trPr>
          <w:hidden/>
        </w:trPr>
        <w:tc>
          <w:tcPr>
            <w:tcW w:w="0" w:type="auto"/>
            <w:gridSpan w:val="3"/>
            <w:shd w:val="clear" w:color="auto" w:fill="auto"/>
            <w:vAlign w:val="bottom"/>
          </w:tcPr>
          <w:p w14:paraId="5F2D0CF9" w14:textId="77777777" w:rsidR="00E836FB" w:rsidRDefault="00E836FB">
            <w:pPr>
              <w:rPr>
                <w:rFonts w:ascii="宋体"/>
                <w:vanish/>
              </w:rPr>
            </w:pPr>
          </w:p>
        </w:tc>
        <w:tc>
          <w:tcPr>
            <w:tcW w:w="0" w:type="auto"/>
            <w:gridSpan w:val="3"/>
            <w:shd w:val="clear" w:color="auto" w:fill="auto"/>
            <w:vAlign w:val="bottom"/>
          </w:tcPr>
          <w:p w14:paraId="5F2D0CFA" w14:textId="77777777" w:rsidR="00E836FB" w:rsidRDefault="00E836FB">
            <w:pPr>
              <w:rPr>
                <w:rFonts w:ascii="宋体"/>
                <w:vanish/>
              </w:rPr>
            </w:pPr>
          </w:p>
        </w:tc>
        <w:tc>
          <w:tcPr>
            <w:tcW w:w="0" w:type="auto"/>
            <w:gridSpan w:val="3"/>
            <w:shd w:val="clear" w:color="auto" w:fill="auto"/>
            <w:vAlign w:val="bottom"/>
          </w:tcPr>
          <w:p w14:paraId="5F2D0CFB" w14:textId="77777777" w:rsidR="00E836FB" w:rsidRDefault="00E836FB">
            <w:pPr>
              <w:rPr>
                <w:rFonts w:ascii="宋体"/>
                <w:vanish/>
              </w:rPr>
            </w:pPr>
          </w:p>
        </w:tc>
        <w:tc>
          <w:tcPr>
            <w:tcW w:w="0" w:type="auto"/>
            <w:gridSpan w:val="3"/>
            <w:shd w:val="clear" w:color="auto" w:fill="auto"/>
            <w:vAlign w:val="bottom"/>
          </w:tcPr>
          <w:p w14:paraId="5F2D0CFC" w14:textId="77777777" w:rsidR="00E836FB" w:rsidRDefault="00E836FB">
            <w:pPr>
              <w:rPr>
                <w:rFonts w:ascii="宋体"/>
                <w:vanish/>
              </w:rPr>
            </w:pPr>
          </w:p>
        </w:tc>
        <w:tc>
          <w:tcPr>
            <w:tcW w:w="0" w:type="auto"/>
            <w:gridSpan w:val="3"/>
            <w:shd w:val="clear" w:color="auto" w:fill="auto"/>
            <w:vAlign w:val="bottom"/>
          </w:tcPr>
          <w:p w14:paraId="5F2D0CFD" w14:textId="77777777" w:rsidR="00E836FB" w:rsidRDefault="00E836FB">
            <w:pPr>
              <w:rPr>
                <w:rFonts w:ascii="宋体"/>
                <w:vanish/>
              </w:rPr>
            </w:pPr>
          </w:p>
        </w:tc>
        <w:tc>
          <w:tcPr>
            <w:tcW w:w="0" w:type="auto"/>
            <w:gridSpan w:val="3"/>
            <w:shd w:val="clear" w:color="auto" w:fill="auto"/>
            <w:vAlign w:val="bottom"/>
          </w:tcPr>
          <w:p w14:paraId="5F2D0CFE" w14:textId="77777777" w:rsidR="00E836FB" w:rsidRDefault="00E836FB">
            <w:pPr>
              <w:rPr>
                <w:rFonts w:ascii="宋体"/>
                <w:vanish/>
              </w:rPr>
            </w:pPr>
          </w:p>
        </w:tc>
        <w:tc>
          <w:tcPr>
            <w:tcW w:w="0" w:type="auto"/>
            <w:gridSpan w:val="3"/>
            <w:shd w:val="clear" w:color="auto" w:fill="auto"/>
            <w:vAlign w:val="bottom"/>
          </w:tcPr>
          <w:p w14:paraId="5F2D0CFF" w14:textId="77777777" w:rsidR="00E836FB" w:rsidRDefault="00E836FB">
            <w:pPr>
              <w:rPr>
                <w:rFonts w:ascii="宋体"/>
                <w:vanish/>
              </w:rPr>
            </w:pPr>
          </w:p>
        </w:tc>
        <w:tc>
          <w:tcPr>
            <w:tcW w:w="0" w:type="auto"/>
            <w:gridSpan w:val="3"/>
            <w:shd w:val="clear" w:color="auto" w:fill="auto"/>
            <w:vAlign w:val="bottom"/>
          </w:tcPr>
          <w:p w14:paraId="5F2D0D00" w14:textId="77777777" w:rsidR="00E836FB" w:rsidRDefault="00E836FB">
            <w:pPr>
              <w:rPr>
                <w:rFonts w:ascii="宋体"/>
                <w:vanish/>
              </w:rPr>
            </w:pPr>
          </w:p>
        </w:tc>
        <w:tc>
          <w:tcPr>
            <w:tcW w:w="0" w:type="auto"/>
            <w:gridSpan w:val="3"/>
            <w:shd w:val="clear" w:color="auto" w:fill="auto"/>
            <w:vAlign w:val="bottom"/>
          </w:tcPr>
          <w:p w14:paraId="5F2D0D01" w14:textId="77777777" w:rsidR="00E836FB" w:rsidRDefault="00E836FB">
            <w:pPr>
              <w:rPr>
                <w:rFonts w:ascii="宋体"/>
                <w:vanish/>
              </w:rPr>
            </w:pPr>
          </w:p>
        </w:tc>
        <w:tc>
          <w:tcPr>
            <w:tcW w:w="0" w:type="auto"/>
            <w:gridSpan w:val="3"/>
            <w:shd w:val="clear" w:color="auto" w:fill="auto"/>
            <w:vAlign w:val="bottom"/>
          </w:tcPr>
          <w:p w14:paraId="5F2D0D02" w14:textId="77777777" w:rsidR="00E836FB" w:rsidRDefault="00E836FB">
            <w:pPr>
              <w:rPr>
                <w:rFonts w:ascii="宋体"/>
                <w:vanish/>
              </w:rPr>
            </w:pPr>
          </w:p>
        </w:tc>
        <w:tc>
          <w:tcPr>
            <w:tcW w:w="0" w:type="auto"/>
            <w:gridSpan w:val="3"/>
            <w:shd w:val="clear" w:color="auto" w:fill="auto"/>
            <w:vAlign w:val="bottom"/>
          </w:tcPr>
          <w:p w14:paraId="5F2D0D03" w14:textId="77777777" w:rsidR="00E836FB" w:rsidRDefault="00E836FB">
            <w:pPr>
              <w:rPr>
                <w:rFonts w:ascii="宋体"/>
                <w:vanish/>
              </w:rPr>
            </w:pPr>
          </w:p>
        </w:tc>
        <w:tc>
          <w:tcPr>
            <w:tcW w:w="0" w:type="auto"/>
            <w:gridSpan w:val="3"/>
            <w:shd w:val="clear" w:color="auto" w:fill="auto"/>
            <w:vAlign w:val="bottom"/>
          </w:tcPr>
          <w:p w14:paraId="5F2D0D04" w14:textId="77777777" w:rsidR="00E836FB" w:rsidRDefault="00E836FB">
            <w:pPr>
              <w:rPr>
                <w:rFonts w:ascii="宋体"/>
                <w:vanish/>
              </w:rPr>
            </w:pPr>
          </w:p>
        </w:tc>
        <w:tc>
          <w:tcPr>
            <w:tcW w:w="0" w:type="auto"/>
            <w:gridSpan w:val="3"/>
            <w:shd w:val="clear" w:color="auto" w:fill="auto"/>
            <w:vAlign w:val="bottom"/>
          </w:tcPr>
          <w:p w14:paraId="5F2D0D05" w14:textId="77777777" w:rsidR="00E836FB" w:rsidRDefault="00E836FB">
            <w:pPr>
              <w:rPr>
                <w:rFonts w:ascii="宋体"/>
                <w:vanish/>
              </w:rPr>
            </w:pPr>
          </w:p>
        </w:tc>
        <w:tc>
          <w:tcPr>
            <w:tcW w:w="0" w:type="auto"/>
            <w:gridSpan w:val="3"/>
            <w:shd w:val="clear" w:color="auto" w:fill="auto"/>
            <w:vAlign w:val="bottom"/>
          </w:tcPr>
          <w:p w14:paraId="5F2D0D06" w14:textId="77777777" w:rsidR="00E836FB" w:rsidRDefault="00E836FB">
            <w:pPr>
              <w:rPr>
                <w:rFonts w:ascii="宋体"/>
                <w:vanish/>
              </w:rPr>
            </w:pPr>
          </w:p>
        </w:tc>
        <w:tc>
          <w:tcPr>
            <w:tcW w:w="0" w:type="auto"/>
            <w:gridSpan w:val="3"/>
            <w:shd w:val="clear" w:color="auto" w:fill="auto"/>
            <w:vAlign w:val="bottom"/>
          </w:tcPr>
          <w:p w14:paraId="5F2D0D07" w14:textId="77777777" w:rsidR="00E836FB" w:rsidRDefault="00E836FB">
            <w:pPr>
              <w:rPr>
                <w:rFonts w:ascii="宋体"/>
                <w:vanish/>
              </w:rPr>
            </w:pPr>
          </w:p>
        </w:tc>
        <w:tc>
          <w:tcPr>
            <w:tcW w:w="0" w:type="auto"/>
            <w:gridSpan w:val="3"/>
            <w:shd w:val="clear" w:color="auto" w:fill="auto"/>
            <w:vAlign w:val="bottom"/>
          </w:tcPr>
          <w:p w14:paraId="5F2D0D08" w14:textId="77777777" w:rsidR="00E836FB" w:rsidRDefault="00E836FB">
            <w:pPr>
              <w:rPr>
                <w:rFonts w:ascii="宋体"/>
                <w:vanish/>
              </w:rPr>
            </w:pPr>
          </w:p>
        </w:tc>
      </w:tr>
      <w:tr w:rsidR="00E836FB" w14:paraId="5F2D0D1A" w14:textId="77777777">
        <w:trPr>
          <w:hidden/>
        </w:trPr>
        <w:tc>
          <w:tcPr>
            <w:tcW w:w="0" w:type="auto"/>
            <w:gridSpan w:val="3"/>
            <w:shd w:val="clear" w:color="auto" w:fill="auto"/>
            <w:vAlign w:val="bottom"/>
          </w:tcPr>
          <w:p w14:paraId="5F2D0D0A" w14:textId="77777777" w:rsidR="00E836FB" w:rsidRDefault="00E836FB">
            <w:pPr>
              <w:rPr>
                <w:rFonts w:ascii="宋体"/>
                <w:vanish/>
              </w:rPr>
            </w:pPr>
          </w:p>
        </w:tc>
        <w:tc>
          <w:tcPr>
            <w:tcW w:w="0" w:type="auto"/>
            <w:gridSpan w:val="3"/>
            <w:shd w:val="clear" w:color="auto" w:fill="auto"/>
            <w:vAlign w:val="bottom"/>
          </w:tcPr>
          <w:p w14:paraId="5F2D0D0B" w14:textId="77777777" w:rsidR="00E836FB" w:rsidRDefault="00E836FB">
            <w:pPr>
              <w:rPr>
                <w:rFonts w:ascii="宋体"/>
                <w:vanish/>
              </w:rPr>
            </w:pPr>
          </w:p>
        </w:tc>
        <w:tc>
          <w:tcPr>
            <w:tcW w:w="0" w:type="auto"/>
            <w:gridSpan w:val="3"/>
            <w:shd w:val="clear" w:color="auto" w:fill="auto"/>
            <w:vAlign w:val="bottom"/>
          </w:tcPr>
          <w:p w14:paraId="5F2D0D0C" w14:textId="77777777" w:rsidR="00E836FB" w:rsidRDefault="00E836FB">
            <w:pPr>
              <w:rPr>
                <w:rFonts w:ascii="宋体"/>
                <w:vanish/>
              </w:rPr>
            </w:pPr>
          </w:p>
        </w:tc>
        <w:tc>
          <w:tcPr>
            <w:tcW w:w="0" w:type="auto"/>
            <w:gridSpan w:val="3"/>
            <w:shd w:val="clear" w:color="auto" w:fill="auto"/>
            <w:vAlign w:val="bottom"/>
          </w:tcPr>
          <w:p w14:paraId="5F2D0D0D" w14:textId="77777777" w:rsidR="00E836FB" w:rsidRDefault="00E836FB">
            <w:pPr>
              <w:rPr>
                <w:rFonts w:ascii="宋体"/>
                <w:vanish/>
              </w:rPr>
            </w:pPr>
          </w:p>
        </w:tc>
        <w:tc>
          <w:tcPr>
            <w:tcW w:w="0" w:type="auto"/>
            <w:gridSpan w:val="3"/>
            <w:shd w:val="clear" w:color="auto" w:fill="auto"/>
            <w:vAlign w:val="bottom"/>
          </w:tcPr>
          <w:p w14:paraId="5F2D0D0E" w14:textId="77777777" w:rsidR="00E836FB" w:rsidRDefault="00E836FB">
            <w:pPr>
              <w:rPr>
                <w:rFonts w:ascii="宋体"/>
                <w:vanish/>
              </w:rPr>
            </w:pPr>
          </w:p>
        </w:tc>
        <w:tc>
          <w:tcPr>
            <w:tcW w:w="0" w:type="auto"/>
            <w:gridSpan w:val="3"/>
            <w:shd w:val="clear" w:color="auto" w:fill="auto"/>
            <w:vAlign w:val="bottom"/>
          </w:tcPr>
          <w:p w14:paraId="5F2D0D0F" w14:textId="77777777" w:rsidR="00E836FB" w:rsidRDefault="00E836FB">
            <w:pPr>
              <w:rPr>
                <w:rFonts w:ascii="宋体"/>
                <w:vanish/>
              </w:rPr>
            </w:pPr>
          </w:p>
        </w:tc>
        <w:tc>
          <w:tcPr>
            <w:tcW w:w="0" w:type="auto"/>
            <w:gridSpan w:val="3"/>
            <w:shd w:val="clear" w:color="auto" w:fill="auto"/>
            <w:vAlign w:val="bottom"/>
          </w:tcPr>
          <w:p w14:paraId="5F2D0D10" w14:textId="77777777" w:rsidR="00E836FB" w:rsidRDefault="00E836FB">
            <w:pPr>
              <w:rPr>
                <w:rFonts w:ascii="宋体"/>
                <w:vanish/>
              </w:rPr>
            </w:pPr>
          </w:p>
        </w:tc>
        <w:tc>
          <w:tcPr>
            <w:tcW w:w="0" w:type="auto"/>
            <w:gridSpan w:val="3"/>
            <w:shd w:val="clear" w:color="auto" w:fill="auto"/>
            <w:vAlign w:val="bottom"/>
          </w:tcPr>
          <w:p w14:paraId="5F2D0D11" w14:textId="77777777" w:rsidR="00E836FB" w:rsidRDefault="00E836FB">
            <w:pPr>
              <w:rPr>
                <w:rFonts w:ascii="宋体"/>
                <w:vanish/>
              </w:rPr>
            </w:pPr>
          </w:p>
        </w:tc>
        <w:tc>
          <w:tcPr>
            <w:tcW w:w="0" w:type="auto"/>
            <w:gridSpan w:val="3"/>
            <w:shd w:val="clear" w:color="auto" w:fill="auto"/>
            <w:vAlign w:val="bottom"/>
          </w:tcPr>
          <w:p w14:paraId="5F2D0D12" w14:textId="77777777" w:rsidR="00E836FB" w:rsidRDefault="00E836FB">
            <w:pPr>
              <w:rPr>
                <w:rFonts w:ascii="宋体"/>
                <w:vanish/>
              </w:rPr>
            </w:pPr>
          </w:p>
        </w:tc>
        <w:tc>
          <w:tcPr>
            <w:tcW w:w="0" w:type="auto"/>
            <w:gridSpan w:val="3"/>
            <w:shd w:val="clear" w:color="auto" w:fill="auto"/>
            <w:vAlign w:val="bottom"/>
          </w:tcPr>
          <w:p w14:paraId="5F2D0D13" w14:textId="77777777" w:rsidR="00E836FB" w:rsidRDefault="00E836FB">
            <w:pPr>
              <w:rPr>
                <w:rFonts w:ascii="宋体"/>
                <w:vanish/>
              </w:rPr>
            </w:pPr>
          </w:p>
        </w:tc>
        <w:tc>
          <w:tcPr>
            <w:tcW w:w="0" w:type="auto"/>
            <w:gridSpan w:val="3"/>
            <w:shd w:val="clear" w:color="auto" w:fill="auto"/>
            <w:vAlign w:val="bottom"/>
          </w:tcPr>
          <w:p w14:paraId="5F2D0D14" w14:textId="77777777" w:rsidR="00E836FB" w:rsidRDefault="00E836FB">
            <w:pPr>
              <w:rPr>
                <w:rFonts w:ascii="宋体"/>
                <w:vanish/>
              </w:rPr>
            </w:pPr>
          </w:p>
        </w:tc>
        <w:tc>
          <w:tcPr>
            <w:tcW w:w="0" w:type="auto"/>
            <w:gridSpan w:val="3"/>
            <w:shd w:val="clear" w:color="auto" w:fill="auto"/>
            <w:vAlign w:val="bottom"/>
          </w:tcPr>
          <w:p w14:paraId="5F2D0D15" w14:textId="77777777" w:rsidR="00E836FB" w:rsidRDefault="00E836FB">
            <w:pPr>
              <w:rPr>
                <w:rFonts w:ascii="宋体"/>
                <w:vanish/>
              </w:rPr>
            </w:pPr>
          </w:p>
        </w:tc>
        <w:tc>
          <w:tcPr>
            <w:tcW w:w="0" w:type="auto"/>
            <w:gridSpan w:val="3"/>
            <w:shd w:val="clear" w:color="auto" w:fill="auto"/>
            <w:vAlign w:val="bottom"/>
          </w:tcPr>
          <w:p w14:paraId="5F2D0D16" w14:textId="77777777" w:rsidR="00E836FB" w:rsidRDefault="00E836FB">
            <w:pPr>
              <w:rPr>
                <w:rFonts w:ascii="宋体"/>
                <w:vanish/>
              </w:rPr>
            </w:pPr>
          </w:p>
        </w:tc>
        <w:tc>
          <w:tcPr>
            <w:tcW w:w="0" w:type="auto"/>
            <w:gridSpan w:val="3"/>
            <w:shd w:val="clear" w:color="auto" w:fill="auto"/>
            <w:vAlign w:val="bottom"/>
          </w:tcPr>
          <w:p w14:paraId="5F2D0D17" w14:textId="77777777" w:rsidR="00E836FB" w:rsidRDefault="00E836FB">
            <w:pPr>
              <w:rPr>
                <w:rFonts w:ascii="宋体"/>
                <w:vanish/>
              </w:rPr>
            </w:pPr>
          </w:p>
        </w:tc>
        <w:tc>
          <w:tcPr>
            <w:tcW w:w="0" w:type="auto"/>
            <w:gridSpan w:val="3"/>
            <w:shd w:val="clear" w:color="auto" w:fill="auto"/>
            <w:vAlign w:val="bottom"/>
          </w:tcPr>
          <w:p w14:paraId="5F2D0D18" w14:textId="77777777" w:rsidR="00E836FB" w:rsidRDefault="00E836FB">
            <w:pPr>
              <w:rPr>
                <w:rFonts w:ascii="宋体"/>
                <w:vanish/>
              </w:rPr>
            </w:pPr>
          </w:p>
        </w:tc>
        <w:tc>
          <w:tcPr>
            <w:tcW w:w="0" w:type="auto"/>
            <w:gridSpan w:val="3"/>
            <w:shd w:val="clear" w:color="auto" w:fill="auto"/>
            <w:vAlign w:val="bottom"/>
          </w:tcPr>
          <w:p w14:paraId="5F2D0D19" w14:textId="77777777" w:rsidR="00E836FB" w:rsidRDefault="00E836FB">
            <w:pPr>
              <w:rPr>
                <w:rFonts w:ascii="宋体"/>
                <w:vanish/>
              </w:rPr>
            </w:pPr>
          </w:p>
        </w:tc>
      </w:tr>
      <w:tr w:rsidR="00E836FB" w14:paraId="5F2D0D2B" w14:textId="77777777">
        <w:trPr>
          <w:hidden/>
        </w:trPr>
        <w:tc>
          <w:tcPr>
            <w:tcW w:w="0" w:type="auto"/>
            <w:gridSpan w:val="3"/>
            <w:shd w:val="clear" w:color="auto" w:fill="auto"/>
            <w:vAlign w:val="bottom"/>
          </w:tcPr>
          <w:p w14:paraId="5F2D0D1B" w14:textId="77777777" w:rsidR="00E836FB" w:rsidRDefault="00E836FB">
            <w:pPr>
              <w:rPr>
                <w:rFonts w:ascii="宋体"/>
                <w:vanish/>
              </w:rPr>
            </w:pPr>
          </w:p>
        </w:tc>
        <w:tc>
          <w:tcPr>
            <w:tcW w:w="0" w:type="auto"/>
            <w:gridSpan w:val="3"/>
            <w:shd w:val="clear" w:color="auto" w:fill="auto"/>
            <w:vAlign w:val="bottom"/>
          </w:tcPr>
          <w:p w14:paraId="5F2D0D1C" w14:textId="77777777" w:rsidR="00E836FB" w:rsidRDefault="00E836FB">
            <w:pPr>
              <w:rPr>
                <w:rFonts w:ascii="宋体"/>
                <w:vanish/>
              </w:rPr>
            </w:pPr>
          </w:p>
        </w:tc>
        <w:tc>
          <w:tcPr>
            <w:tcW w:w="0" w:type="auto"/>
            <w:gridSpan w:val="3"/>
            <w:shd w:val="clear" w:color="auto" w:fill="auto"/>
            <w:vAlign w:val="bottom"/>
          </w:tcPr>
          <w:p w14:paraId="5F2D0D1D" w14:textId="77777777" w:rsidR="00E836FB" w:rsidRDefault="00E836FB">
            <w:pPr>
              <w:rPr>
                <w:rFonts w:ascii="宋体"/>
                <w:vanish/>
              </w:rPr>
            </w:pPr>
          </w:p>
        </w:tc>
        <w:tc>
          <w:tcPr>
            <w:tcW w:w="0" w:type="auto"/>
            <w:gridSpan w:val="3"/>
            <w:shd w:val="clear" w:color="auto" w:fill="auto"/>
            <w:vAlign w:val="bottom"/>
          </w:tcPr>
          <w:p w14:paraId="5F2D0D1E" w14:textId="77777777" w:rsidR="00E836FB" w:rsidRDefault="00E836FB">
            <w:pPr>
              <w:rPr>
                <w:rFonts w:ascii="宋体"/>
                <w:vanish/>
              </w:rPr>
            </w:pPr>
          </w:p>
        </w:tc>
        <w:tc>
          <w:tcPr>
            <w:tcW w:w="0" w:type="auto"/>
            <w:gridSpan w:val="3"/>
            <w:shd w:val="clear" w:color="auto" w:fill="auto"/>
            <w:vAlign w:val="bottom"/>
          </w:tcPr>
          <w:p w14:paraId="5F2D0D1F" w14:textId="77777777" w:rsidR="00E836FB" w:rsidRDefault="00E836FB">
            <w:pPr>
              <w:rPr>
                <w:rFonts w:ascii="宋体"/>
                <w:vanish/>
              </w:rPr>
            </w:pPr>
          </w:p>
        </w:tc>
        <w:tc>
          <w:tcPr>
            <w:tcW w:w="0" w:type="auto"/>
            <w:gridSpan w:val="3"/>
            <w:shd w:val="clear" w:color="auto" w:fill="auto"/>
            <w:vAlign w:val="bottom"/>
          </w:tcPr>
          <w:p w14:paraId="5F2D0D20" w14:textId="77777777" w:rsidR="00E836FB" w:rsidRDefault="00E836FB">
            <w:pPr>
              <w:rPr>
                <w:rFonts w:ascii="宋体"/>
                <w:vanish/>
              </w:rPr>
            </w:pPr>
          </w:p>
        </w:tc>
        <w:tc>
          <w:tcPr>
            <w:tcW w:w="0" w:type="auto"/>
            <w:gridSpan w:val="3"/>
            <w:shd w:val="clear" w:color="auto" w:fill="auto"/>
            <w:vAlign w:val="bottom"/>
          </w:tcPr>
          <w:p w14:paraId="5F2D0D21" w14:textId="77777777" w:rsidR="00E836FB" w:rsidRDefault="00E836FB">
            <w:pPr>
              <w:rPr>
                <w:rFonts w:ascii="宋体"/>
                <w:vanish/>
              </w:rPr>
            </w:pPr>
          </w:p>
        </w:tc>
        <w:tc>
          <w:tcPr>
            <w:tcW w:w="0" w:type="auto"/>
            <w:gridSpan w:val="3"/>
            <w:shd w:val="clear" w:color="auto" w:fill="auto"/>
            <w:vAlign w:val="bottom"/>
          </w:tcPr>
          <w:p w14:paraId="5F2D0D22" w14:textId="77777777" w:rsidR="00E836FB" w:rsidRDefault="00E836FB">
            <w:pPr>
              <w:rPr>
                <w:rFonts w:ascii="宋体"/>
                <w:vanish/>
              </w:rPr>
            </w:pPr>
          </w:p>
        </w:tc>
        <w:tc>
          <w:tcPr>
            <w:tcW w:w="0" w:type="auto"/>
            <w:gridSpan w:val="3"/>
            <w:shd w:val="clear" w:color="auto" w:fill="auto"/>
            <w:vAlign w:val="bottom"/>
          </w:tcPr>
          <w:p w14:paraId="5F2D0D23" w14:textId="77777777" w:rsidR="00E836FB" w:rsidRDefault="00E836FB">
            <w:pPr>
              <w:rPr>
                <w:rFonts w:ascii="宋体"/>
                <w:vanish/>
              </w:rPr>
            </w:pPr>
          </w:p>
        </w:tc>
        <w:tc>
          <w:tcPr>
            <w:tcW w:w="0" w:type="auto"/>
            <w:gridSpan w:val="3"/>
            <w:shd w:val="clear" w:color="auto" w:fill="auto"/>
            <w:vAlign w:val="bottom"/>
          </w:tcPr>
          <w:p w14:paraId="5F2D0D24" w14:textId="77777777" w:rsidR="00E836FB" w:rsidRDefault="00E836FB">
            <w:pPr>
              <w:rPr>
                <w:rFonts w:ascii="宋体"/>
                <w:vanish/>
              </w:rPr>
            </w:pPr>
          </w:p>
        </w:tc>
        <w:tc>
          <w:tcPr>
            <w:tcW w:w="0" w:type="auto"/>
            <w:gridSpan w:val="3"/>
            <w:shd w:val="clear" w:color="auto" w:fill="auto"/>
            <w:vAlign w:val="bottom"/>
          </w:tcPr>
          <w:p w14:paraId="5F2D0D25" w14:textId="77777777" w:rsidR="00E836FB" w:rsidRDefault="00E836FB">
            <w:pPr>
              <w:rPr>
                <w:rFonts w:ascii="宋体"/>
                <w:vanish/>
              </w:rPr>
            </w:pPr>
          </w:p>
        </w:tc>
        <w:tc>
          <w:tcPr>
            <w:tcW w:w="0" w:type="auto"/>
            <w:gridSpan w:val="3"/>
            <w:shd w:val="clear" w:color="auto" w:fill="auto"/>
            <w:vAlign w:val="bottom"/>
          </w:tcPr>
          <w:p w14:paraId="5F2D0D26" w14:textId="77777777" w:rsidR="00E836FB" w:rsidRDefault="00E836FB">
            <w:pPr>
              <w:rPr>
                <w:rFonts w:ascii="宋体"/>
                <w:vanish/>
              </w:rPr>
            </w:pPr>
          </w:p>
        </w:tc>
        <w:tc>
          <w:tcPr>
            <w:tcW w:w="0" w:type="auto"/>
            <w:gridSpan w:val="3"/>
            <w:shd w:val="clear" w:color="auto" w:fill="auto"/>
            <w:vAlign w:val="bottom"/>
          </w:tcPr>
          <w:p w14:paraId="5F2D0D27" w14:textId="77777777" w:rsidR="00E836FB" w:rsidRDefault="00E836FB">
            <w:pPr>
              <w:rPr>
                <w:rFonts w:ascii="宋体"/>
                <w:vanish/>
              </w:rPr>
            </w:pPr>
          </w:p>
        </w:tc>
        <w:tc>
          <w:tcPr>
            <w:tcW w:w="0" w:type="auto"/>
            <w:gridSpan w:val="3"/>
            <w:shd w:val="clear" w:color="auto" w:fill="auto"/>
            <w:vAlign w:val="bottom"/>
          </w:tcPr>
          <w:p w14:paraId="5F2D0D28" w14:textId="77777777" w:rsidR="00E836FB" w:rsidRDefault="00E836FB">
            <w:pPr>
              <w:rPr>
                <w:rFonts w:ascii="宋体"/>
                <w:vanish/>
              </w:rPr>
            </w:pPr>
          </w:p>
        </w:tc>
        <w:tc>
          <w:tcPr>
            <w:tcW w:w="0" w:type="auto"/>
            <w:gridSpan w:val="3"/>
            <w:shd w:val="clear" w:color="auto" w:fill="auto"/>
            <w:vAlign w:val="bottom"/>
          </w:tcPr>
          <w:p w14:paraId="5F2D0D29" w14:textId="77777777" w:rsidR="00E836FB" w:rsidRDefault="00E836FB">
            <w:pPr>
              <w:rPr>
                <w:rFonts w:ascii="宋体"/>
                <w:vanish/>
              </w:rPr>
            </w:pPr>
          </w:p>
        </w:tc>
        <w:tc>
          <w:tcPr>
            <w:tcW w:w="0" w:type="auto"/>
            <w:gridSpan w:val="3"/>
            <w:shd w:val="clear" w:color="auto" w:fill="auto"/>
            <w:vAlign w:val="bottom"/>
          </w:tcPr>
          <w:p w14:paraId="5F2D0D2A" w14:textId="77777777" w:rsidR="00E836FB" w:rsidRDefault="00E836FB">
            <w:pPr>
              <w:rPr>
                <w:rFonts w:ascii="宋体"/>
                <w:vanish/>
              </w:rPr>
            </w:pPr>
          </w:p>
        </w:tc>
      </w:tr>
      <w:tr w:rsidR="00E836FB" w14:paraId="5F2D0D3C" w14:textId="77777777">
        <w:trPr>
          <w:hidden/>
        </w:trPr>
        <w:tc>
          <w:tcPr>
            <w:tcW w:w="0" w:type="auto"/>
            <w:gridSpan w:val="3"/>
            <w:shd w:val="clear" w:color="auto" w:fill="auto"/>
            <w:vAlign w:val="bottom"/>
          </w:tcPr>
          <w:p w14:paraId="5F2D0D2C" w14:textId="77777777" w:rsidR="00E836FB" w:rsidRDefault="00E836FB">
            <w:pPr>
              <w:rPr>
                <w:rFonts w:ascii="宋体"/>
                <w:vanish/>
              </w:rPr>
            </w:pPr>
          </w:p>
        </w:tc>
        <w:tc>
          <w:tcPr>
            <w:tcW w:w="0" w:type="auto"/>
            <w:gridSpan w:val="3"/>
            <w:shd w:val="clear" w:color="auto" w:fill="auto"/>
            <w:vAlign w:val="bottom"/>
          </w:tcPr>
          <w:p w14:paraId="5F2D0D2D" w14:textId="77777777" w:rsidR="00E836FB" w:rsidRDefault="00E836FB">
            <w:pPr>
              <w:rPr>
                <w:rFonts w:ascii="宋体"/>
                <w:vanish/>
              </w:rPr>
            </w:pPr>
          </w:p>
        </w:tc>
        <w:tc>
          <w:tcPr>
            <w:tcW w:w="0" w:type="auto"/>
            <w:gridSpan w:val="3"/>
            <w:shd w:val="clear" w:color="auto" w:fill="auto"/>
            <w:vAlign w:val="bottom"/>
          </w:tcPr>
          <w:p w14:paraId="5F2D0D2E" w14:textId="77777777" w:rsidR="00E836FB" w:rsidRDefault="00E836FB">
            <w:pPr>
              <w:rPr>
                <w:rFonts w:ascii="宋体"/>
                <w:vanish/>
              </w:rPr>
            </w:pPr>
          </w:p>
        </w:tc>
        <w:tc>
          <w:tcPr>
            <w:tcW w:w="0" w:type="auto"/>
            <w:gridSpan w:val="3"/>
            <w:shd w:val="clear" w:color="auto" w:fill="auto"/>
            <w:vAlign w:val="bottom"/>
          </w:tcPr>
          <w:p w14:paraId="5F2D0D2F" w14:textId="77777777" w:rsidR="00E836FB" w:rsidRDefault="00E836FB">
            <w:pPr>
              <w:rPr>
                <w:rFonts w:ascii="宋体"/>
                <w:vanish/>
              </w:rPr>
            </w:pPr>
          </w:p>
        </w:tc>
        <w:tc>
          <w:tcPr>
            <w:tcW w:w="0" w:type="auto"/>
            <w:gridSpan w:val="3"/>
            <w:shd w:val="clear" w:color="auto" w:fill="auto"/>
            <w:vAlign w:val="bottom"/>
          </w:tcPr>
          <w:p w14:paraId="5F2D0D30" w14:textId="77777777" w:rsidR="00E836FB" w:rsidRDefault="00E836FB">
            <w:pPr>
              <w:rPr>
                <w:rFonts w:ascii="宋体"/>
                <w:vanish/>
              </w:rPr>
            </w:pPr>
          </w:p>
        </w:tc>
        <w:tc>
          <w:tcPr>
            <w:tcW w:w="0" w:type="auto"/>
            <w:gridSpan w:val="3"/>
            <w:shd w:val="clear" w:color="auto" w:fill="auto"/>
            <w:vAlign w:val="bottom"/>
          </w:tcPr>
          <w:p w14:paraId="5F2D0D31" w14:textId="77777777" w:rsidR="00E836FB" w:rsidRDefault="00E836FB">
            <w:pPr>
              <w:rPr>
                <w:rFonts w:ascii="宋体"/>
                <w:vanish/>
              </w:rPr>
            </w:pPr>
          </w:p>
        </w:tc>
        <w:tc>
          <w:tcPr>
            <w:tcW w:w="0" w:type="auto"/>
            <w:gridSpan w:val="3"/>
            <w:shd w:val="clear" w:color="auto" w:fill="auto"/>
            <w:vAlign w:val="bottom"/>
          </w:tcPr>
          <w:p w14:paraId="5F2D0D32" w14:textId="77777777" w:rsidR="00E836FB" w:rsidRDefault="00E836FB">
            <w:pPr>
              <w:rPr>
                <w:rFonts w:ascii="宋体"/>
                <w:vanish/>
              </w:rPr>
            </w:pPr>
          </w:p>
        </w:tc>
        <w:tc>
          <w:tcPr>
            <w:tcW w:w="0" w:type="auto"/>
            <w:gridSpan w:val="3"/>
            <w:shd w:val="clear" w:color="auto" w:fill="auto"/>
            <w:vAlign w:val="bottom"/>
          </w:tcPr>
          <w:p w14:paraId="5F2D0D33" w14:textId="77777777" w:rsidR="00E836FB" w:rsidRDefault="00E836FB">
            <w:pPr>
              <w:rPr>
                <w:rFonts w:ascii="宋体"/>
                <w:vanish/>
              </w:rPr>
            </w:pPr>
          </w:p>
        </w:tc>
        <w:tc>
          <w:tcPr>
            <w:tcW w:w="0" w:type="auto"/>
            <w:gridSpan w:val="3"/>
            <w:shd w:val="clear" w:color="auto" w:fill="auto"/>
            <w:vAlign w:val="bottom"/>
          </w:tcPr>
          <w:p w14:paraId="5F2D0D34" w14:textId="77777777" w:rsidR="00E836FB" w:rsidRDefault="00E836FB">
            <w:pPr>
              <w:rPr>
                <w:rFonts w:ascii="宋体"/>
                <w:vanish/>
              </w:rPr>
            </w:pPr>
          </w:p>
        </w:tc>
        <w:tc>
          <w:tcPr>
            <w:tcW w:w="0" w:type="auto"/>
            <w:gridSpan w:val="3"/>
            <w:shd w:val="clear" w:color="auto" w:fill="auto"/>
            <w:vAlign w:val="bottom"/>
          </w:tcPr>
          <w:p w14:paraId="5F2D0D35" w14:textId="77777777" w:rsidR="00E836FB" w:rsidRDefault="00E836FB">
            <w:pPr>
              <w:rPr>
                <w:rFonts w:ascii="宋体"/>
                <w:vanish/>
              </w:rPr>
            </w:pPr>
          </w:p>
        </w:tc>
        <w:tc>
          <w:tcPr>
            <w:tcW w:w="0" w:type="auto"/>
            <w:gridSpan w:val="3"/>
            <w:shd w:val="clear" w:color="auto" w:fill="auto"/>
            <w:vAlign w:val="bottom"/>
          </w:tcPr>
          <w:p w14:paraId="5F2D0D36" w14:textId="77777777" w:rsidR="00E836FB" w:rsidRDefault="00E836FB">
            <w:pPr>
              <w:rPr>
                <w:rFonts w:ascii="宋体"/>
                <w:vanish/>
              </w:rPr>
            </w:pPr>
          </w:p>
        </w:tc>
        <w:tc>
          <w:tcPr>
            <w:tcW w:w="0" w:type="auto"/>
            <w:gridSpan w:val="3"/>
            <w:shd w:val="clear" w:color="auto" w:fill="auto"/>
            <w:vAlign w:val="bottom"/>
          </w:tcPr>
          <w:p w14:paraId="5F2D0D37" w14:textId="77777777" w:rsidR="00E836FB" w:rsidRDefault="00E836FB">
            <w:pPr>
              <w:rPr>
                <w:rFonts w:ascii="宋体"/>
                <w:vanish/>
              </w:rPr>
            </w:pPr>
          </w:p>
        </w:tc>
        <w:tc>
          <w:tcPr>
            <w:tcW w:w="0" w:type="auto"/>
            <w:gridSpan w:val="3"/>
            <w:shd w:val="clear" w:color="auto" w:fill="auto"/>
            <w:vAlign w:val="bottom"/>
          </w:tcPr>
          <w:p w14:paraId="5F2D0D38" w14:textId="77777777" w:rsidR="00E836FB" w:rsidRDefault="00E836FB">
            <w:pPr>
              <w:rPr>
                <w:rFonts w:ascii="宋体"/>
                <w:vanish/>
              </w:rPr>
            </w:pPr>
          </w:p>
        </w:tc>
        <w:tc>
          <w:tcPr>
            <w:tcW w:w="0" w:type="auto"/>
            <w:gridSpan w:val="3"/>
            <w:shd w:val="clear" w:color="auto" w:fill="auto"/>
            <w:vAlign w:val="bottom"/>
          </w:tcPr>
          <w:p w14:paraId="5F2D0D39" w14:textId="77777777" w:rsidR="00E836FB" w:rsidRDefault="00E836FB">
            <w:pPr>
              <w:rPr>
                <w:rFonts w:ascii="宋体"/>
                <w:vanish/>
              </w:rPr>
            </w:pPr>
          </w:p>
        </w:tc>
        <w:tc>
          <w:tcPr>
            <w:tcW w:w="0" w:type="auto"/>
            <w:gridSpan w:val="3"/>
            <w:shd w:val="clear" w:color="auto" w:fill="auto"/>
            <w:vAlign w:val="bottom"/>
          </w:tcPr>
          <w:p w14:paraId="5F2D0D3A" w14:textId="77777777" w:rsidR="00E836FB" w:rsidRDefault="00E836FB">
            <w:pPr>
              <w:rPr>
                <w:rFonts w:ascii="宋体"/>
                <w:vanish/>
              </w:rPr>
            </w:pPr>
          </w:p>
        </w:tc>
        <w:tc>
          <w:tcPr>
            <w:tcW w:w="0" w:type="auto"/>
            <w:gridSpan w:val="3"/>
            <w:shd w:val="clear" w:color="auto" w:fill="auto"/>
            <w:vAlign w:val="bottom"/>
          </w:tcPr>
          <w:p w14:paraId="5F2D0D3B" w14:textId="77777777" w:rsidR="00E836FB" w:rsidRDefault="00E836FB">
            <w:pPr>
              <w:rPr>
                <w:rFonts w:ascii="宋体"/>
                <w:vanish/>
              </w:rPr>
            </w:pPr>
          </w:p>
        </w:tc>
      </w:tr>
      <w:tr w:rsidR="00E836FB" w14:paraId="5F2D0D5D" w14:textId="77777777">
        <w:tc>
          <w:tcPr>
            <w:tcW w:w="0" w:type="auto"/>
            <w:gridSpan w:val="3"/>
            <w:shd w:val="clear" w:color="auto" w:fill="FFFFFF"/>
            <w:tcMar>
              <w:top w:w="40" w:type="dxa"/>
              <w:left w:w="20" w:type="dxa"/>
              <w:bottom w:w="40" w:type="dxa"/>
              <w:right w:w="20" w:type="dxa"/>
            </w:tcMar>
            <w:vAlign w:val="bottom"/>
          </w:tcPr>
          <w:p w14:paraId="5F2D0D3D" w14:textId="77777777" w:rsidR="00E836FB" w:rsidRDefault="00994958">
            <w:pPr>
              <w:textAlignment w:val="bottom"/>
            </w:pPr>
            <w:r>
              <w:rPr>
                <w:rFonts w:ascii="Arial" w:eastAsia="宋体" w:hAnsi="Arial" w:cs="Arial"/>
                <w:color w:val="000000"/>
                <w:sz w:val="15"/>
                <w:szCs w:val="15"/>
              </w:rPr>
              <w:t>Total available-for-sale securities</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0D3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3F" w14:textId="77777777" w:rsidR="00E836FB" w:rsidRDefault="00994958">
            <w:pPr>
              <w:jc w:val="right"/>
              <w:textAlignment w:val="bottom"/>
            </w:pPr>
            <w:r>
              <w:rPr>
                <w:rFonts w:ascii="Arial" w:eastAsia="宋体" w:hAnsi="Arial" w:cs="Arial"/>
                <w:b/>
                <w:bCs/>
                <w:color w:val="000000"/>
                <w:sz w:val="15"/>
                <w:szCs w:val="15"/>
              </w:rPr>
              <w:t>73,440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41"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D4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43" w14:textId="77777777" w:rsidR="00E836FB" w:rsidRDefault="00994958">
            <w:pPr>
              <w:jc w:val="right"/>
              <w:textAlignment w:val="bottom"/>
            </w:pPr>
            <w:r>
              <w:rPr>
                <w:rFonts w:ascii="Arial" w:eastAsia="宋体" w:hAnsi="Arial" w:cs="Arial"/>
                <w:b/>
                <w:bCs/>
                <w:color w:val="000000"/>
                <w:sz w:val="15"/>
                <w:szCs w:val="15"/>
              </w:rPr>
              <w:t>404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45"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D4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47" w14:textId="77777777" w:rsidR="00E836FB" w:rsidRDefault="00994958">
            <w:pPr>
              <w:jc w:val="right"/>
              <w:textAlignment w:val="bottom"/>
            </w:pPr>
            <w:r>
              <w:rPr>
                <w:rFonts w:ascii="Arial" w:eastAsia="宋体" w:hAnsi="Arial" w:cs="Arial"/>
                <w:b/>
                <w:bCs/>
                <w:color w:val="000000"/>
                <w:sz w:val="15"/>
                <w:szCs w:val="15"/>
              </w:rPr>
              <w:t>445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4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49"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D4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4B" w14:textId="77777777" w:rsidR="00E836FB" w:rsidRDefault="00994958">
            <w:pPr>
              <w:jc w:val="right"/>
              <w:textAlignment w:val="bottom"/>
            </w:pPr>
            <w:r>
              <w:rPr>
                <w:rFonts w:ascii="Arial" w:eastAsia="宋体" w:hAnsi="Arial" w:cs="Arial"/>
                <w:b/>
                <w:bCs/>
                <w:color w:val="000000"/>
                <w:sz w:val="15"/>
                <w:szCs w:val="15"/>
              </w:rPr>
              <w:t>73,399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4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4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D4E"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4F" w14:textId="77777777" w:rsidR="00E836FB" w:rsidRDefault="00994958">
            <w:pPr>
              <w:jc w:val="right"/>
              <w:textAlignment w:val="bottom"/>
            </w:pPr>
            <w:r>
              <w:rPr>
                <w:rFonts w:ascii="Arial" w:eastAsia="宋体" w:hAnsi="Arial" w:cs="Arial"/>
                <w:color w:val="000000"/>
                <w:sz w:val="15"/>
                <w:szCs w:val="15"/>
              </w:rPr>
              <w:t>57,987 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51"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D52"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53" w14:textId="77777777" w:rsidR="00E836FB" w:rsidRDefault="00994958">
            <w:pPr>
              <w:jc w:val="right"/>
              <w:textAlignment w:val="bottom"/>
            </w:pPr>
            <w:r>
              <w:rPr>
                <w:rFonts w:ascii="Arial" w:eastAsia="宋体" w:hAnsi="Arial" w:cs="Arial"/>
                <w:color w:val="000000"/>
                <w:sz w:val="15"/>
                <w:szCs w:val="15"/>
              </w:rPr>
              <w:t>1,087 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5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55"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D56"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57" w14:textId="77777777" w:rsidR="00E836FB" w:rsidRDefault="00994958">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59"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0D5A"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0D5B" w14:textId="77777777" w:rsidR="00E836FB" w:rsidRDefault="00994958">
            <w:pPr>
              <w:jc w:val="right"/>
              <w:textAlignment w:val="bottom"/>
            </w:pPr>
            <w:r>
              <w:rPr>
                <w:rFonts w:ascii="Arial" w:eastAsia="宋体" w:hAnsi="Arial" w:cs="Arial"/>
                <w:color w:val="000000"/>
                <w:sz w:val="15"/>
                <w:szCs w:val="15"/>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D5C" w14:textId="77777777" w:rsidR="00E836FB" w:rsidRDefault="00E836FB">
            <w:pPr>
              <w:jc w:val="right"/>
              <w:rPr>
                <w:rFonts w:ascii="宋体"/>
              </w:rPr>
            </w:pPr>
          </w:p>
        </w:tc>
      </w:tr>
      <w:tr w:rsidR="00E836FB" w14:paraId="5F2D0D6E" w14:textId="77777777">
        <w:tc>
          <w:tcPr>
            <w:tcW w:w="0" w:type="auto"/>
            <w:gridSpan w:val="3"/>
            <w:shd w:val="clear" w:color="auto" w:fill="CCEEFF"/>
            <w:tcMar>
              <w:top w:w="40" w:type="dxa"/>
              <w:left w:w="20" w:type="dxa"/>
              <w:bottom w:w="40" w:type="dxa"/>
              <w:right w:w="20" w:type="dxa"/>
            </w:tcMar>
            <w:vAlign w:val="bottom"/>
          </w:tcPr>
          <w:p w14:paraId="5F2D0D5E" w14:textId="77777777" w:rsidR="00E836FB" w:rsidRDefault="00994958">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5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D60"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6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D62"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6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D64"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6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D66"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6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D68"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6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D6A"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6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0D6C"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0D6D" w14:textId="77777777" w:rsidR="00E836FB" w:rsidRDefault="00E836FB">
            <w:pPr>
              <w:rPr>
                <w:rFonts w:ascii="宋体"/>
              </w:rPr>
            </w:pPr>
          </w:p>
        </w:tc>
      </w:tr>
      <w:tr w:rsidR="00E836FB" w14:paraId="5F2D0D7F" w14:textId="77777777">
        <w:tc>
          <w:tcPr>
            <w:tcW w:w="0" w:type="auto"/>
            <w:gridSpan w:val="3"/>
            <w:shd w:val="clear" w:color="auto" w:fill="FFFFFF"/>
            <w:tcMar>
              <w:top w:w="40" w:type="dxa"/>
              <w:left w:w="20" w:type="dxa"/>
              <w:bottom w:w="40" w:type="dxa"/>
              <w:right w:w="20" w:type="dxa"/>
            </w:tcMar>
            <w:vAlign w:val="bottom"/>
          </w:tcPr>
          <w:p w14:paraId="5F2D0D6F" w14:textId="77777777" w:rsidR="00E836FB" w:rsidRDefault="00994958">
            <w:pPr>
              <w:textAlignment w:val="bottom"/>
            </w:pPr>
            <w:r>
              <w:rPr>
                <w:rFonts w:ascii="Arial" w:eastAsia="宋体" w:hAnsi="Arial" w:cs="Arial"/>
                <w:color w:val="000000"/>
                <w:sz w:val="15"/>
                <w:szCs w:val="15"/>
              </w:rPr>
              <w:t xml:space="preserve">U.S. Treasury and </w:t>
            </w:r>
            <w:r>
              <w:rPr>
                <w:rFonts w:ascii="Arial" w:eastAsia="宋体" w:hAnsi="Arial" w:cs="Arial"/>
                <w:color w:val="000000"/>
                <w:sz w:val="15"/>
                <w:szCs w:val="15"/>
              </w:rPr>
              <w:t>federal agencies:</w:t>
            </w:r>
          </w:p>
        </w:tc>
        <w:tc>
          <w:tcPr>
            <w:tcW w:w="0" w:type="auto"/>
            <w:gridSpan w:val="3"/>
            <w:shd w:val="clear" w:color="auto" w:fill="FFFFFF"/>
            <w:tcMar>
              <w:top w:w="0" w:type="dxa"/>
              <w:left w:w="20" w:type="dxa"/>
              <w:bottom w:w="0" w:type="dxa"/>
              <w:right w:w="20" w:type="dxa"/>
            </w:tcMar>
            <w:vAlign w:val="bottom"/>
          </w:tcPr>
          <w:p w14:paraId="5F2D0D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7E" w14:textId="77777777" w:rsidR="00E836FB" w:rsidRDefault="00E836FB">
            <w:pPr>
              <w:rPr>
                <w:rFonts w:ascii="宋体"/>
              </w:rPr>
            </w:pPr>
          </w:p>
        </w:tc>
      </w:tr>
      <w:tr w:rsidR="00E836FB" w14:paraId="5F2D0DA0" w14:textId="77777777">
        <w:tc>
          <w:tcPr>
            <w:tcW w:w="0" w:type="auto"/>
            <w:gridSpan w:val="3"/>
            <w:shd w:val="clear" w:color="auto" w:fill="CCEEFF"/>
            <w:tcMar>
              <w:top w:w="40" w:type="dxa"/>
              <w:left w:w="245" w:type="dxa"/>
              <w:bottom w:w="40" w:type="dxa"/>
              <w:right w:w="20" w:type="dxa"/>
            </w:tcMar>
            <w:vAlign w:val="bottom"/>
          </w:tcPr>
          <w:p w14:paraId="5F2D0D80" w14:textId="77777777" w:rsidR="00E836FB" w:rsidRDefault="00994958">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F2D0D8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D82" w14:textId="77777777" w:rsidR="00E836FB" w:rsidRDefault="00994958">
            <w:pPr>
              <w:jc w:val="right"/>
              <w:textAlignment w:val="bottom"/>
            </w:pPr>
            <w:r>
              <w:rPr>
                <w:rFonts w:ascii="Arial" w:eastAsia="宋体" w:hAnsi="Arial" w:cs="Arial"/>
                <w:b/>
                <w:bCs/>
                <w:color w:val="000000"/>
                <w:sz w:val="15"/>
                <w:szCs w:val="15"/>
              </w:rPr>
              <w:t>2,170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8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D85"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D86" w14:textId="77777777" w:rsidR="00E836FB" w:rsidRDefault="00994958">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8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D8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D8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8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D8D"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D8E" w14:textId="77777777" w:rsidR="00E836FB" w:rsidRDefault="00994958">
            <w:pPr>
              <w:jc w:val="right"/>
              <w:textAlignment w:val="bottom"/>
            </w:pPr>
            <w:r>
              <w:rPr>
                <w:rFonts w:ascii="Arial" w:eastAsia="宋体" w:hAnsi="Arial" w:cs="Arial"/>
                <w:b/>
                <w:bCs/>
                <w:color w:val="000000"/>
                <w:sz w:val="15"/>
                <w:szCs w:val="15"/>
              </w:rPr>
              <w:t>2,180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9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D91"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D92" w14:textId="77777777" w:rsidR="00E836FB" w:rsidRDefault="00994958">
            <w:pPr>
              <w:jc w:val="right"/>
              <w:textAlignment w:val="bottom"/>
            </w:pPr>
            <w:r>
              <w:rPr>
                <w:rFonts w:ascii="Arial" w:eastAsia="宋体" w:hAnsi="Arial" w:cs="Arial"/>
                <w:color w:val="000000"/>
                <w:sz w:val="15"/>
                <w:szCs w:val="15"/>
              </w:rPr>
              <w:t>6,057 </w:t>
            </w:r>
          </w:p>
        </w:tc>
        <w:tc>
          <w:tcPr>
            <w:tcW w:w="0" w:type="auto"/>
            <w:shd w:val="clear" w:color="auto" w:fill="CCEEFF"/>
            <w:tcMar>
              <w:top w:w="40" w:type="dxa"/>
              <w:left w:w="0" w:type="dxa"/>
              <w:bottom w:w="40" w:type="dxa"/>
              <w:right w:w="20" w:type="dxa"/>
            </w:tcMar>
            <w:vAlign w:val="bottom"/>
          </w:tcPr>
          <w:p w14:paraId="5F2D0D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9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D95"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D96" w14:textId="77777777" w:rsidR="00E836FB" w:rsidRDefault="00994958">
            <w:pPr>
              <w:jc w:val="right"/>
              <w:textAlignment w:val="bottom"/>
            </w:pPr>
            <w:r>
              <w:rPr>
                <w:rFonts w:ascii="Arial" w:eastAsia="宋体" w:hAnsi="Arial" w:cs="Arial"/>
                <w:color w:val="000000"/>
                <w:sz w:val="15"/>
                <w:szCs w:val="15"/>
              </w:rPr>
              <w:t>83 </w:t>
            </w:r>
          </w:p>
        </w:tc>
        <w:tc>
          <w:tcPr>
            <w:tcW w:w="0" w:type="auto"/>
            <w:shd w:val="clear" w:color="auto" w:fill="CCEEFF"/>
            <w:tcMar>
              <w:top w:w="40" w:type="dxa"/>
              <w:left w:w="0" w:type="dxa"/>
              <w:bottom w:w="40" w:type="dxa"/>
              <w:right w:w="20" w:type="dxa"/>
            </w:tcMar>
            <w:vAlign w:val="bottom"/>
          </w:tcPr>
          <w:p w14:paraId="5F2D0D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9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D99"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D9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9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D9D"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0D9E" w14:textId="77777777" w:rsidR="00E836FB" w:rsidRDefault="00994958">
            <w:pPr>
              <w:jc w:val="right"/>
              <w:textAlignment w:val="bottom"/>
            </w:pPr>
            <w:r>
              <w:rPr>
                <w:rFonts w:ascii="Arial" w:eastAsia="宋体" w:hAnsi="Arial" w:cs="Arial"/>
                <w:color w:val="000000"/>
                <w:sz w:val="15"/>
                <w:szCs w:val="15"/>
              </w:rPr>
              <w:t>6,140 </w:t>
            </w:r>
          </w:p>
        </w:tc>
        <w:tc>
          <w:tcPr>
            <w:tcW w:w="0" w:type="auto"/>
            <w:shd w:val="clear" w:color="auto" w:fill="CCEEFF"/>
            <w:tcMar>
              <w:top w:w="40" w:type="dxa"/>
              <w:left w:w="0" w:type="dxa"/>
              <w:bottom w:w="40" w:type="dxa"/>
              <w:right w:w="20" w:type="dxa"/>
            </w:tcMar>
            <w:vAlign w:val="bottom"/>
          </w:tcPr>
          <w:p w14:paraId="5F2D0D9F" w14:textId="77777777" w:rsidR="00E836FB" w:rsidRDefault="00E836FB">
            <w:pPr>
              <w:jc w:val="right"/>
              <w:rPr>
                <w:rFonts w:ascii="宋体"/>
              </w:rPr>
            </w:pPr>
          </w:p>
        </w:tc>
      </w:tr>
      <w:tr w:rsidR="00E836FB" w14:paraId="5F2D0DB9" w14:textId="77777777">
        <w:tc>
          <w:tcPr>
            <w:tcW w:w="0" w:type="auto"/>
            <w:gridSpan w:val="3"/>
            <w:shd w:val="clear" w:color="auto" w:fill="FFFFFF"/>
            <w:tcMar>
              <w:top w:w="40" w:type="dxa"/>
              <w:left w:w="245" w:type="dxa"/>
              <w:bottom w:w="40" w:type="dxa"/>
              <w:right w:w="20" w:type="dxa"/>
            </w:tcMar>
            <w:vAlign w:val="bottom"/>
          </w:tcPr>
          <w:p w14:paraId="5F2D0DA1"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F2D0DA2" w14:textId="77777777" w:rsidR="00E836FB" w:rsidRDefault="00994958">
            <w:pPr>
              <w:jc w:val="right"/>
              <w:textAlignment w:val="bottom"/>
            </w:pPr>
            <w:r>
              <w:rPr>
                <w:rFonts w:ascii="Arial" w:eastAsia="宋体" w:hAnsi="Arial" w:cs="Arial"/>
                <w:b/>
                <w:bCs/>
                <w:color w:val="000000"/>
                <w:sz w:val="15"/>
                <w:szCs w:val="15"/>
              </w:rPr>
              <w:t>33,481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D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DA5" w14:textId="77777777" w:rsidR="00E836FB" w:rsidRDefault="00994958">
            <w:pPr>
              <w:jc w:val="right"/>
              <w:textAlignment w:val="bottom"/>
            </w:pPr>
            <w:r>
              <w:rPr>
                <w:rFonts w:ascii="Arial" w:eastAsia="宋体" w:hAnsi="Arial" w:cs="Arial"/>
                <w:b/>
                <w:bCs/>
                <w:color w:val="000000"/>
                <w:sz w:val="15"/>
                <w:szCs w:val="15"/>
              </w:rPr>
              <w:t>362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D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DA8" w14:textId="77777777" w:rsidR="00E836FB" w:rsidRDefault="00994958">
            <w:pPr>
              <w:jc w:val="right"/>
              <w:textAlignment w:val="bottom"/>
            </w:pPr>
            <w:r>
              <w:rPr>
                <w:rFonts w:ascii="Arial" w:eastAsia="宋体" w:hAnsi="Arial" w:cs="Arial"/>
                <w:b/>
                <w:bCs/>
                <w:color w:val="000000"/>
                <w:sz w:val="15"/>
                <w:szCs w:val="15"/>
              </w:rPr>
              <w:t>578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D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DAB" w14:textId="77777777" w:rsidR="00E836FB" w:rsidRDefault="00994958">
            <w:pPr>
              <w:jc w:val="right"/>
              <w:textAlignment w:val="bottom"/>
            </w:pPr>
            <w:r>
              <w:rPr>
                <w:rFonts w:ascii="Arial" w:eastAsia="宋体" w:hAnsi="Arial" w:cs="Arial"/>
                <w:b/>
                <w:bCs/>
                <w:color w:val="000000"/>
                <w:sz w:val="15"/>
                <w:szCs w:val="15"/>
              </w:rPr>
              <w:t>33,265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D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A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DAE" w14:textId="77777777" w:rsidR="00E836FB" w:rsidRDefault="00994958">
            <w:pPr>
              <w:jc w:val="right"/>
              <w:textAlignment w:val="bottom"/>
            </w:pPr>
            <w:r>
              <w:rPr>
                <w:rFonts w:ascii="Arial" w:eastAsia="宋体" w:hAnsi="Arial" w:cs="Arial"/>
                <w:color w:val="000000"/>
                <w:sz w:val="15"/>
                <w:szCs w:val="15"/>
              </w:rPr>
              <w:t>36,901 </w:t>
            </w:r>
          </w:p>
        </w:tc>
        <w:tc>
          <w:tcPr>
            <w:tcW w:w="0" w:type="auto"/>
            <w:shd w:val="clear" w:color="auto" w:fill="FFFFFF"/>
            <w:tcMar>
              <w:top w:w="40" w:type="dxa"/>
              <w:left w:w="0" w:type="dxa"/>
              <w:bottom w:w="40" w:type="dxa"/>
              <w:right w:w="20" w:type="dxa"/>
            </w:tcMar>
            <w:vAlign w:val="bottom"/>
          </w:tcPr>
          <w:p w14:paraId="5F2D0D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DB1" w14:textId="77777777" w:rsidR="00E836FB" w:rsidRDefault="00994958">
            <w:pPr>
              <w:jc w:val="right"/>
              <w:textAlignment w:val="bottom"/>
            </w:pPr>
            <w:r>
              <w:rPr>
                <w:rFonts w:ascii="Arial" w:eastAsia="宋体" w:hAnsi="Arial" w:cs="Arial"/>
                <w:color w:val="000000"/>
                <w:sz w:val="15"/>
                <w:szCs w:val="15"/>
              </w:rPr>
              <w:t>955 </w:t>
            </w:r>
          </w:p>
        </w:tc>
        <w:tc>
          <w:tcPr>
            <w:tcW w:w="0" w:type="auto"/>
            <w:shd w:val="clear" w:color="auto" w:fill="FFFFFF"/>
            <w:tcMar>
              <w:top w:w="40" w:type="dxa"/>
              <w:left w:w="0" w:type="dxa"/>
              <w:bottom w:w="40" w:type="dxa"/>
              <w:right w:w="20" w:type="dxa"/>
            </w:tcMar>
            <w:vAlign w:val="bottom"/>
          </w:tcPr>
          <w:p w14:paraId="5F2D0D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DB4" w14:textId="77777777" w:rsidR="00E836FB" w:rsidRDefault="00994958">
            <w:pPr>
              <w:jc w:val="right"/>
              <w:textAlignment w:val="bottom"/>
            </w:pPr>
            <w:r>
              <w:rPr>
                <w:rFonts w:ascii="Arial" w:eastAsia="宋体" w:hAnsi="Arial" w:cs="Arial"/>
                <w:color w:val="000000"/>
                <w:sz w:val="15"/>
                <w:szCs w:val="15"/>
              </w:rPr>
              <w:t>67 </w:t>
            </w:r>
          </w:p>
        </w:tc>
        <w:tc>
          <w:tcPr>
            <w:tcW w:w="0" w:type="auto"/>
            <w:shd w:val="clear" w:color="auto" w:fill="FFFFFF"/>
            <w:tcMar>
              <w:top w:w="40" w:type="dxa"/>
              <w:left w:w="0" w:type="dxa"/>
              <w:bottom w:w="40" w:type="dxa"/>
              <w:right w:w="20" w:type="dxa"/>
            </w:tcMar>
            <w:vAlign w:val="bottom"/>
          </w:tcPr>
          <w:p w14:paraId="5F2D0D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D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DB7" w14:textId="77777777" w:rsidR="00E836FB" w:rsidRDefault="00994958">
            <w:pPr>
              <w:jc w:val="right"/>
              <w:textAlignment w:val="bottom"/>
            </w:pPr>
            <w:r>
              <w:rPr>
                <w:rFonts w:ascii="Arial" w:eastAsia="宋体" w:hAnsi="Arial" w:cs="Arial"/>
                <w:color w:val="000000"/>
                <w:sz w:val="15"/>
                <w:szCs w:val="15"/>
              </w:rPr>
              <w:t>37,789 </w:t>
            </w:r>
          </w:p>
        </w:tc>
        <w:tc>
          <w:tcPr>
            <w:tcW w:w="0" w:type="auto"/>
            <w:shd w:val="clear" w:color="auto" w:fill="FFFFFF"/>
            <w:tcMar>
              <w:top w:w="40" w:type="dxa"/>
              <w:left w:w="0" w:type="dxa"/>
              <w:bottom w:w="40" w:type="dxa"/>
              <w:right w:w="20" w:type="dxa"/>
            </w:tcMar>
            <w:vAlign w:val="bottom"/>
          </w:tcPr>
          <w:p w14:paraId="5F2D0DB8" w14:textId="77777777" w:rsidR="00E836FB" w:rsidRDefault="00E836FB">
            <w:pPr>
              <w:jc w:val="right"/>
              <w:rPr>
                <w:rFonts w:ascii="宋体"/>
              </w:rPr>
            </w:pPr>
          </w:p>
        </w:tc>
      </w:tr>
      <w:tr w:rsidR="00E836FB" w14:paraId="5F2D0DD2" w14:textId="77777777">
        <w:tc>
          <w:tcPr>
            <w:tcW w:w="0" w:type="auto"/>
            <w:gridSpan w:val="3"/>
            <w:shd w:val="clear" w:color="auto" w:fill="CCEEFF"/>
            <w:tcMar>
              <w:top w:w="40" w:type="dxa"/>
              <w:left w:w="380" w:type="dxa"/>
              <w:bottom w:w="40" w:type="dxa"/>
              <w:right w:w="20" w:type="dxa"/>
            </w:tcMar>
            <w:vAlign w:val="bottom"/>
          </w:tcPr>
          <w:p w14:paraId="5F2D0DBA"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BB" w14:textId="77777777" w:rsidR="00E836FB" w:rsidRDefault="00994958">
            <w:pPr>
              <w:jc w:val="right"/>
              <w:textAlignment w:val="bottom"/>
            </w:pPr>
            <w:r>
              <w:rPr>
                <w:rFonts w:ascii="Arial" w:eastAsia="宋体" w:hAnsi="Arial" w:cs="Arial"/>
                <w:b/>
                <w:bCs/>
                <w:color w:val="000000"/>
                <w:sz w:val="15"/>
                <w:szCs w:val="15"/>
              </w:rPr>
              <w:t>35,651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B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BE" w14:textId="77777777" w:rsidR="00E836FB" w:rsidRDefault="00994958">
            <w:pPr>
              <w:jc w:val="right"/>
              <w:textAlignment w:val="bottom"/>
            </w:pPr>
            <w:r>
              <w:rPr>
                <w:rFonts w:ascii="Arial" w:eastAsia="宋体" w:hAnsi="Arial" w:cs="Arial"/>
                <w:b/>
                <w:bCs/>
                <w:color w:val="000000"/>
                <w:sz w:val="15"/>
                <w:szCs w:val="15"/>
              </w:rPr>
              <w:t>372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C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C1" w14:textId="77777777" w:rsidR="00E836FB" w:rsidRDefault="00994958">
            <w:pPr>
              <w:jc w:val="right"/>
              <w:textAlignment w:val="bottom"/>
            </w:pPr>
            <w:r>
              <w:rPr>
                <w:rFonts w:ascii="Arial" w:eastAsia="宋体" w:hAnsi="Arial" w:cs="Arial"/>
                <w:b/>
                <w:bCs/>
                <w:color w:val="000000"/>
                <w:sz w:val="15"/>
                <w:szCs w:val="15"/>
              </w:rPr>
              <w:t>578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C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C4" w14:textId="77777777" w:rsidR="00E836FB" w:rsidRDefault="00994958">
            <w:pPr>
              <w:jc w:val="right"/>
              <w:textAlignment w:val="bottom"/>
            </w:pPr>
            <w:r>
              <w:rPr>
                <w:rFonts w:ascii="Arial" w:eastAsia="宋体" w:hAnsi="Arial" w:cs="Arial"/>
                <w:b/>
                <w:bCs/>
                <w:color w:val="000000"/>
                <w:sz w:val="15"/>
                <w:szCs w:val="15"/>
              </w:rPr>
              <w:t>35,445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C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C7" w14:textId="77777777" w:rsidR="00E836FB" w:rsidRDefault="00994958">
            <w:pPr>
              <w:jc w:val="right"/>
              <w:textAlignment w:val="bottom"/>
            </w:pPr>
            <w:r>
              <w:rPr>
                <w:rFonts w:ascii="Arial" w:eastAsia="宋体" w:hAnsi="Arial" w:cs="Arial"/>
                <w:color w:val="000000"/>
                <w:sz w:val="15"/>
                <w:szCs w:val="15"/>
              </w:rPr>
              <w:t>42,958 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C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CA" w14:textId="77777777" w:rsidR="00E836FB" w:rsidRDefault="00994958">
            <w:pPr>
              <w:jc w:val="right"/>
              <w:textAlignment w:val="bottom"/>
            </w:pPr>
            <w:r>
              <w:rPr>
                <w:rFonts w:ascii="Arial" w:eastAsia="宋体" w:hAnsi="Arial" w:cs="Arial"/>
                <w:color w:val="000000"/>
                <w:sz w:val="15"/>
                <w:szCs w:val="15"/>
              </w:rPr>
              <w:t>1,038 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C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CD" w14:textId="77777777" w:rsidR="00E836FB" w:rsidRDefault="00994958">
            <w:pPr>
              <w:jc w:val="right"/>
              <w:textAlignment w:val="bottom"/>
            </w:pPr>
            <w:r>
              <w:rPr>
                <w:rFonts w:ascii="Arial" w:eastAsia="宋体" w:hAnsi="Arial" w:cs="Arial"/>
                <w:color w:val="000000"/>
                <w:sz w:val="15"/>
                <w:szCs w:val="15"/>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C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C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DD0" w14:textId="77777777" w:rsidR="00E836FB" w:rsidRDefault="00994958">
            <w:pPr>
              <w:jc w:val="right"/>
              <w:textAlignment w:val="bottom"/>
            </w:pPr>
            <w:r>
              <w:rPr>
                <w:rFonts w:ascii="Arial" w:eastAsia="宋体" w:hAnsi="Arial" w:cs="Arial"/>
                <w:color w:val="000000"/>
                <w:sz w:val="15"/>
                <w:szCs w:val="15"/>
              </w:rPr>
              <w:t>43,929 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DD1" w14:textId="77777777" w:rsidR="00E836FB" w:rsidRDefault="00E836FB">
            <w:pPr>
              <w:jc w:val="right"/>
              <w:rPr>
                <w:rFonts w:ascii="宋体"/>
              </w:rPr>
            </w:pPr>
          </w:p>
        </w:tc>
      </w:tr>
      <w:tr w:rsidR="00E836FB" w14:paraId="5F2D0DE3" w14:textId="77777777">
        <w:tc>
          <w:tcPr>
            <w:tcW w:w="0" w:type="auto"/>
            <w:gridSpan w:val="3"/>
            <w:shd w:val="clear" w:color="auto" w:fill="FFFFFF"/>
            <w:tcMar>
              <w:top w:w="40" w:type="dxa"/>
              <w:left w:w="20" w:type="dxa"/>
              <w:bottom w:w="40" w:type="dxa"/>
              <w:right w:w="20" w:type="dxa"/>
            </w:tcMar>
            <w:vAlign w:val="bottom"/>
          </w:tcPr>
          <w:p w14:paraId="5F2D0DD3"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D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D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D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D7"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D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D9"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D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DB"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D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D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D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DF"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E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DE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DE2" w14:textId="77777777" w:rsidR="00E836FB" w:rsidRDefault="00E836FB">
            <w:pPr>
              <w:rPr>
                <w:rFonts w:ascii="宋体"/>
              </w:rPr>
            </w:pPr>
          </w:p>
        </w:tc>
      </w:tr>
      <w:tr w:rsidR="00E836FB" w14:paraId="5F2D0DFC" w14:textId="77777777">
        <w:tc>
          <w:tcPr>
            <w:tcW w:w="0" w:type="auto"/>
            <w:gridSpan w:val="3"/>
            <w:shd w:val="clear" w:color="auto" w:fill="CCEEFF"/>
            <w:tcMar>
              <w:top w:w="40" w:type="dxa"/>
              <w:left w:w="245" w:type="dxa"/>
              <w:bottom w:w="40" w:type="dxa"/>
              <w:right w:w="20" w:type="dxa"/>
            </w:tcMar>
            <w:vAlign w:val="bottom"/>
          </w:tcPr>
          <w:p w14:paraId="5F2D0DE4"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F2D0DE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E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DE8"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E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DEB"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DE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D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DF1" w14:textId="77777777" w:rsidR="00E836FB" w:rsidRDefault="00994958">
            <w:pPr>
              <w:jc w:val="right"/>
              <w:textAlignment w:val="bottom"/>
            </w:pPr>
            <w:r>
              <w:rPr>
                <w:rFonts w:ascii="Arial" w:eastAsia="宋体" w:hAnsi="Arial" w:cs="Arial"/>
                <w:color w:val="000000"/>
                <w:sz w:val="15"/>
                <w:szCs w:val="15"/>
              </w:rPr>
              <w:t>303 </w:t>
            </w:r>
          </w:p>
        </w:tc>
        <w:tc>
          <w:tcPr>
            <w:tcW w:w="0" w:type="auto"/>
            <w:shd w:val="clear" w:color="auto" w:fill="CCEEFF"/>
            <w:tcMar>
              <w:top w:w="40" w:type="dxa"/>
              <w:left w:w="0" w:type="dxa"/>
              <w:bottom w:w="40" w:type="dxa"/>
              <w:right w:w="20" w:type="dxa"/>
            </w:tcMar>
            <w:vAlign w:val="bottom"/>
          </w:tcPr>
          <w:p w14:paraId="5F2D0D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DF4" w14:textId="77777777" w:rsidR="00E836FB" w:rsidRDefault="00994958">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5F2D0D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DF7"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F2D0D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D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DFA" w14:textId="77777777" w:rsidR="00E836FB" w:rsidRDefault="00994958">
            <w:pPr>
              <w:jc w:val="right"/>
              <w:textAlignment w:val="bottom"/>
            </w:pPr>
            <w:r>
              <w:rPr>
                <w:rFonts w:ascii="Arial" w:eastAsia="宋体" w:hAnsi="Arial" w:cs="Arial"/>
                <w:color w:val="000000"/>
                <w:sz w:val="15"/>
                <w:szCs w:val="15"/>
              </w:rPr>
              <w:t>367 </w:t>
            </w:r>
          </w:p>
        </w:tc>
        <w:tc>
          <w:tcPr>
            <w:tcW w:w="0" w:type="auto"/>
            <w:shd w:val="clear" w:color="auto" w:fill="CCEEFF"/>
            <w:tcMar>
              <w:top w:w="40" w:type="dxa"/>
              <w:left w:w="0" w:type="dxa"/>
              <w:bottom w:w="40" w:type="dxa"/>
              <w:right w:w="20" w:type="dxa"/>
            </w:tcMar>
            <w:vAlign w:val="bottom"/>
          </w:tcPr>
          <w:p w14:paraId="5F2D0DFB" w14:textId="77777777" w:rsidR="00E836FB" w:rsidRDefault="00E836FB">
            <w:pPr>
              <w:jc w:val="right"/>
              <w:rPr>
                <w:rFonts w:ascii="宋体"/>
              </w:rPr>
            </w:pPr>
          </w:p>
        </w:tc>
      </w:tr>
      <w:tr w:rsidR="00E836FB" w14:paraId="5F2D0E0D" w14:textId="77777777">
        <w:trPr>
          <w:hidden/>
        </w:trPr>
        <w:tc>
          <w:tcPr>
            <w:tcW w:w="0" w:type="auto"/>
            <w:gridSpan w:val="3"/>
            <w:shd w:val="clear" w:color="auto" w:fill="auto"/>
            <w:vAlign w:val="bottom"/>
          </w:tcPr>
          <w:p w14:paraId="5F2D0DFD" w14:textId="77777777" w:rsidR="00E836FB" w:rsidRDefault="00E836FB">
            <w:pPr>
              <w:rPr>
                <w:rFonts w:ascii="宋体"/>
                <w:vanish/>
              </w:rPr>
            </w:pPr>
          </w:p>
        </w:tc>
        <w:tc>
          <w:tcPr>
            <w:tcW w:w="0" w:type="auto"/>
            <w:gridSpan w:val="3"/>
            <w:shd w:val="clear" w:color="auto" w:fill="auto"/>
            <w:vAlign w:val="bottom"/>
          </w:tcPr>
          <w:p w14:paraId="5F2D0DFE" w14:textId="77777777" w:rsidR="00E836FB" w:rsidRDefault="00E836FB">
            <w:pPr>
              <w:rPr>
                <w:rFonts w:ascii="宋体"/>
                <w:vanish/>
              </w:rPr>
            </w:pPr>
          </w:p>
        </w:tc>
        <w:tc>
          <w:tcPr>
            <w:tcW w:w="0" w:type="auto"/>
            <w:gridSpan w:val="3"/>
            <w:shd w:val="clear" w:color="auto" w:fill="auto"/>
            <w:vAlign w:val="bottom"/>
          </w:tcPr>
          <w:p w14:paraId="5F2D0DFF" w14:textId="77777777" w:rsidR="00E836FB" w:rsidRDefault="00E836FB">
            <w:pPr>
              <w:rPr>
                <w:rFonts w:ascii="宋体"/>
                <w:vanish/>
              </w:rPr>
            </w:pPr>
          </w:p>
        </w:tc>
        <w:tc>
          <w:tcPr>
            <w:tcW w:w="0" w:type="auto"/>
            <w:gridSpan w:val="3"/>
            <w:shd w:val="clear" w:color="auto" w:fill="auto"/>
            <w:vAlign w:val="bottom"/>
          </w:tcPr>
          <w:p w14:paraId="5F2D0E00" w14:textId="77777777" w:rsidR="00E836FB" w:rsidRDefault="00E836FB">
            <w:pPr>
              <w:rPr>
                <w:rFonts w:ascii="宋体"/>
                <w:vanish/>
              </w:rPr>
            </w:pPr>
          </w:p>
        </w:tc>
        <w:tc>
          <w:tcPr>
            <w:tcW w:w="0" w:type="auto"/>
            <w:gridSpan w:val="3"/>
            <w:shd w:val="clear" w:color="auto" w:fill="auto"/>
            <w:vAlign w:val="bottom"/>
          </w:tcPr>
          <w:p w14:paraId="5F2D0E01" w14:textId="77777777" w:rsidR="00E836FB" w:rsidRDefault="00E836FB">
            <w:pPr>
              <w:rPr>
                <w:rFonts w:ascii="宋体"/>
                <w:vanish/>
              </w:rPr>
            </w:pPr>
          </w:p>
        </w:tc>
        <w:tc>
          <w:tcPr>
            <w:tcW w:w="0" w:type="auto"/>
            <w:gridSpan w:val="3"/>
            <w:shd w:val="clear" w:color="auto" w:fill="auto"/>
            <w:vAlign w:val="bottom"/>
          </w:tcPr>
          <w:p w14:paraId="5F2D0E02" w14:textId="77777777" w:rsidR="00E836FB" w:rsidRDefault="00E836FB">
            <w:pPr>
              <w:rPr>
                <w:rFonts w:ascii="宋体"/>
                <w:vanish/>
              </w:rPr>
            </w:pPr>
          </w:p>
        </w:tc>
        <w:tc>
          <w:tcPr>
            <w:tcW w:w="0" w:type="auto"/>
            <w:gridSpan w:val="3"/>
            <w:shd w:val="clear" w:color="auto" w:fill="auto"/>
            <w:vAlign w:val="bottom"/>
          </w:tcPr>
          <w:p w14:paraId="5F2D0E03" w14:textId="77777777" w:rsidR="00E836FB" w:rsidRDefault="00E836FB">
            <w:pPr>
              <w:rPr>
                <w:rFonts w:ascii="宋体"/>
                <w:vanish/>
              </w:rPr>
            </w:pPr>
          </w:p>
        </w:tc>
        <w:tc>
          <w:tcPr>
            <w:tcW w:w="0" w:type="auto"/>
            <w:gridSpan w:val="3"/>
            <w:shd w:val="clear" w:color="auto" w:fill="auto"/>
            <w:vAlign w:val="bottom"/>
          </w:tcPr>
          <w:p w14:paraId="5F2D0E04" w14:textId="77777777" w:rsidR="00E836FB" w:rsidRDefault="00E836FB">
            <w:pPr>
              <w:rPr>
                <w:rFonts w:ascii="宋体"/>
                <w:vanish/>
              </w:rPr>
            </w:pPr>
          </w:p>
        </w:tc>
        <w:tc>
          <w:tcPr>
            <w:tcW w:w="0" w:type="auto"/>
            <w:gridSpan w:val="3"/>
            <w:shd w:val="clear" w:color="auto" w:fill="auto"/>
            <w:vAlign w:val="bottom"/>
          </w:tcPr>
          <w:p w14:paraId="5F2D0E05" w14:textId="77777777" w:rsidR="00E836FB" w:rsidRDefault="00E836FB">
            <w:pPr>
              <w:rPr>
                <w:rFonts w:ascii="宋体"/>
                <w:vanish/>
              </w:rPr>
            </w:pPr>
          </w:p>
        </w:tc>
        <w:tc>
          <w:tcPr>
            <w:tcW w:w="0" w:type="auto"/>
            <w:gridSpan w:val="3"/>
            <w:shd w:val="clear" w:color="auto" w:fill="auto"/>
            <w:vAlign w:val="bottom"/>
          </w:tcPr>
          <w:p w14:paraId="5F2D0E06" w14:textId="77777777" w:rsidR="00E836FB" w:rsidRDefault="00E836FB">
            <w:pPr>
              <w:rPr>
                <w:rFonts w:ascii="宋体"/>
                <w:vanish/>
              </w:rPr>
            </w:pPr>
          </w:p>
        </w:tc>
        <w:tc>
          <w:tcPr>
            <w:tcW w:w="0" w:type="auto"/>
            <w:gridSpan w:val="3"/>
            <w:shd w:val="clear" w:color="auto" w:fill="auto"/>
            <w:vAlign w:val="bottom"/>
          </w:tcPr>
          <w:p w14:paraId="5F2D0E07" w14:textId="77777777" w:rsidR="00E836FB" w:rsidRDefault="00E836FB">
            <w:pPr>
              <w:rPr>
                <w:rFonts w:ascii="宋体"/>
                <w:vanish/>
              </w:rPr>
            </w:pPr>
          </w:p>
        </w:tc>
        <w:tc>
          <w:tcPr>
            <w:tcW w:w="0" w:type="auto"/>
            <w:gridSpan w:val="3"/>
            <w:shd w:val="clear" w:color="auto" w:fill="auto"/>
            <w:vAlign w:val="bottom"/>
          </w:tcPr>
          <w:p w14:paraId="5F2D0E08" w14:textId="77777777" w:rsidR="00E836FB" w:rsidRDefault="00E836FB">
            <w:pPr>
              <w:rPr>
                <w:rFonts w:ascii="宋体"/>
                <w:vanish/>
              </w:rPr>
            </w:pPr>
          </w:p>
        </w:tc>
        <w:tc>
          <w:tcPr>
            <w:tcW w:w="0" w:type="auto"/>
            <w:gridSpan w:val="3"/>
            <w:shd w:val="clear" w:color="auto" w:fill="auto"/>
            <w:vAlign w:val="bottom"/>
          </w:tcPr>
          <w:p w14:paraId="5F2D0E09" w14:textId="77777777" w:rsidR="00E836FB" w:rsidRDefault="00E836FB">
            <w:pPr>
              <w:rPr>
                <w:rFonts w:ascii="宋体"/>
                <w:vanish/>
              </w:rPr>
            </w:pPr>
          </w:p>
        </w:tc>
        <w:tc>
          <w:tcPr>
            <w:tcW w:w="0" w:type="auto"/>
            <w:gridSpan w:val="3"/>
            <w:shd w:val="clear" w:color="auto" w:fill="auto"/>
            <w:vAlign w:val="bottom"/>
          </w:tcPr>
          <w:p w14:paraId="5F2D0E0A" w14:textId="77777777" w:rsidR="00E836FB" w:rsidRDefault="00E836FB">
            <w:pPr>
              <w:rPr>
                <w:rFonts w:ascii="宋体"/>
                <w:vanish/>
              </w:rPr>
            </w:pPr>
          </w:p>
        </w:tc>
        <w:tc>
          <w:tcPr>
            <w:tcW w:w="0" w:type="auto"/>
            <w:gridSpan w:val="3"/>
            <w:shd w:val="clear" w:color="auto" w:fill="auto"/>
            <w:vAlign w:val="bottom"/>
          </w:tcPr>
          <w:p w14:paraId="5F2D0E0B" w14:textId="77777777" w:rsidR="00E836FB" w:rsidRDefault="00E836FB">
            <w:pPr>
              <w:rPr>
                <w:rFonts w:ascii="宋体"/>
                <w:vanish/>
              </w:rPr>
            </w:pPr>
          </w:p>
        </w:tc>
        <w:tc>
          <w:tcPr>
            <w:tcW w:w="0" w:type="auto"/>
            <w:gridSpan w:val="3"/>
            <w:shd w:val="clear" w:color="auto" w:fill="auto"/>
            <w:vAlign w:val="bottom"/>
          </w:tcPr>
          <w:p w14:paraId="5F2D0E0C" w14:textId="77777777" w:rsidR="00E836FB" w:rsidRDefault="00E836FB">
            <w:pPr>
              <w:rPr>
                <w:rFonts w:ascii="宋体"/>
                <w:vanish/>
              </w:rPr>
            </w:pPr>
          </w:p>
        </w:tc>
      </w:tr>
      <w:tr w:rsidR="00E836FB" w14:paraId="5F2D0E26" w14:textId="77777777">
        <w:tc>
          <w:tcPr>
            <w:tcW w:w="0" w:type="auto"/>
            <w:gridSpan w:val="3"/>
            <w:shd w:val="clear" w:color="auto" w:fill="FFFFFF"/>
            <w:tcMar>
              <w:top w:w="40" w:type="dxa"/>
              <w:left w:w="245" w:type="dxa"/>
              <w:bottom w:w="40" w:type="dxa"/>
              <w:right w:w="20" w:type="dxa"/>
            </w:tcMar>
            <w:vAlign w:val="bottom"/>
          </w:tcPr>
          <w:p w14:paraId="5F2D0E0E" w14:textId="77777777" w:rsidR="00E836FB" w:rsidRDefault="00994958">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FFFFFF"/>
            <w:tcMar>
              <w:top w:w="40" w:type="dxa"/>
              <w:left w:w="20" w:type="dxa"/>
              <w:bottom w:w="40" w:type="dxa"/>
              <w:right w:w="0" w:type="dxa"/>
            </w:tcMar>
            <w:vAlign w:val="bottom"/>
          </w:tcPr>
          <w:p w14:paraId="5F2D0E0F" w14:textId="77777777" w:rsidR="00E836FB" w:rsidRDefault="00994958">
            <w:pPr>
              <w:jc w:val="right"/>
              <w:textAlignment w:val="bottom"/>
            </w:pPr>
            <w:r>
              <w:rPr>
                <w:rFonts w:ascii="Arial" w:eastAsia="宋体" w:hAnsi="Arial" w:cs="Arial"/>
                <w:b/>
                <w:bCs/>
                <w:color w:val="000000"/>
                <w:sz w:val="15"/>
                <w:szCs w:val="15"/>
              </w:rPr>
              <w:t>1,564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1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1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1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15" w14:textId="77777777" w:rsidR="00E836FB" w:rsidRDefault="00994958">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1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18" w14:textId="77777777" w:rsidR="00E836FB" w:rsidRDefault="00994958">
            <w:pPr>
              <w:jc w:val="right"/>
              <w:textAlignment w:val="bottom"/>
            </w:pPr>
            <w:r>
              <w:rPr>
                <w:rFonts w:ascii="Arial" w:eastAsia="宋体" w:hAnsi="Arial" w:cs="Arial"/>
                <w:b/>
                <w:bCs/>
                <w:color w:val="000000"/>
                <w:sz w:val="15"/>
                <w:szCs w:val="15"/>
              </w:rPr>
              <w:t>1,555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1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1B" w14:textId="77777777" w:rsidR="00E836FB" w:rsidRDefault="00994958">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5F2D0E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1E"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21"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24" w14:textId="77777777" w:rsidR="00E836FB" w:rsidRDefault="00994958">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5F2D0E25" w14:textId="77777777" w:rsidR="00E836FB" w:rsidRDefault="00E836FB">
            <w:pPr>
              <w:jc w:val="right"/>
              <w:rPr>
                <w:rFonts w:ascii="宋体"/>
              </w:rPr>
            </w:pPr>
          </w:p>
        </w:tc>
      </w:tr>
      <w:tr w:rsidR="00E836FB" w14:paraId="5F2D0E37" w14:textId="77777777">
        <w:trPr>
          <w:hidden/>
        </w:trPr>
        <w:tc>
          <w:tcPr>
            <w:tcW w:w="0" w:type="auto"/>
            <w:gridSpan w:val="3"/>
            <w:shd w:val="clear" w:color="auto" w:fill="auto"/>
            <w:vAlign w:val="bottom"/>
          </w:tcPr>
          <w:p w14:paraId="5F2D0E27" w14:textId="77777777" w:rsidR="00E836FB" w:rsidRDefault="00E836FB">
            <w:pPr>
              <w:rPr>
                <w:rFonts w:ascii="宋体"/>
                <w:vanish/>
              </w:rPr>
            </w:pPr>
          </w:p>
        </w:tc>
        <w:tc>
          <w:tcPr>
            <w:tcW w:w="0" w:type="auto"/>
            <w:gridSpan w:val="3"/>
            <w:shd w:val="clear" w:color="auto" w:fill="auto"/>
            <w:vAlign w:val="bottom"/>
          </w:tcPr>
          <w:p w14:paraId="5F2D0E28" w14:textId="77777777" w:rsidR="00E836FB" w:rsidRDefault="00E836FB">
            <w:pPr>
              <w:rPr>
                <w:rFonts w:ascii="宋体"/>
                <w:vanish/>
              </w:rPr>
            </w:pPr>
          </w:p>
        </w:tc>
        <w:tc>
          <w:tcPr>
            <w:tcW w:w="0" w:type="auto"/>
            <w:gridSpan w:val="3"/>
            <w:shd w:val="clear" w:color="auto" w:fill="auto"/>
            <w:vAlign w:val="bottom"/>
          </w:tcPr>
          <w:p w14:paraId="5F2D0E29" w14:textId="77777777" w:rsidR="00E836FB" w:rsidRDefault="00E836FB">
            <w:pPr>
              <w:rPr>
                <w:rFonts w:ascii="宋体"/>
                <w:vanish/>
              </w:rPr>
            </w:pPr>
          </w:p>
        </w:tc>
        <w:tc>
          <w:tcPr>
            <w:tcW w:w="0" w:type="auto"/>
            <w:gridSpan w:val="3"/>
            <w:shd w:val="clear" w:color="auto" w:fill="auto"/>
            <w:vAlign w:val="bottom"/>
          </w:tcPr>
          <w:p w14:paraId="5F2D0E2A" w14:textId="77777777" w:rsidR="00E836FB" w:rsidRDefault="00E836FB">
            <w:pPr>
              <w:rPr>
                <w:rFonts w:ascii="宋体"/>
                <w:vanish/>
              </w:rPr>
            </w:pPr>
          </w:p>
        </w:tc>
        <w:tc>
          <w:tcPr>
            <w:tcW w:w="0" w:type="auto"/>
            <w:gridSpan w:val="3"/>
            <w:shd w:val="clear" w:color="auto" w:fill="auto"/>
            <w:vAlign w:val="bottom"/>
          </w:tcPr>
          <w:p w14:paraId="5F2D0E2B" w14:textId="77777777" w:rsidR="00E836FB" w:rsidRDefault="00E836FB">
            <w:pPr>
              <w:rPr>
                <w:rFonts w:ascii="宋体"/>
                <w:vanish/>
              </w:rPr>
            </w:pPr>
          </w:p>
        </w:tc>
        <w:tc>
          <w:tcPr>
            <w:tcW w:w="0" w:type="auto"/>
            <w:gridSpan w:val="3"/>
            <w:shd w:val="clear" w:color="auto" w:fill="auto"/>
            <w:vAlign w:val="bottom"/>
          </w:tcPr>
          <w:p w14:paraId="5F2D0E2C" w14:textId="77777777" w:rsidR="00E836FB" w:rsidRDefault="00E836FB">
            <w:pPr>
              <w:rPr>
                <w:rFonts w:ascii="宋体"/>
                <w:vanish/>
              </w:rPr>
            </w:pPr>
          </w:p>
        </w:tc>
        <w:tc>
          <w:tcPr>
            <w:tcW w:w="0" w:type="auto"/>
            <w:gridSpan w:val="3"/>
            <w:shd w:val="clear" w:color="auto" w:fill="auto"/>
            <w:vAlign w:val="bottom"/>
          </w:tcPr>
          <w:p w14:paraId="5F2D0E2D" w14:textId="77777777" w:rsidR="00E836FB" w:rsidRDefault="00E836FB">
            <w:pPr>
              <w:rPr>
                <w:rFonts w:ascii="宋体"/>
                <w:vanish/>
              </w:rPr>
            </w:pPr>
          </w:p>
        </w:tc>
        <w:tc>
          <w:tcPr>
            <w:tcW w:w="0" w:type="auto"/>
            <w:gridSpan w:val="3"/>
            <w:shd w:val="clear" w:color="auto" w:fill="auto"/>
            <w:vAlign w:val="bottom"/>
          </w:tcPr>
          <w:p w14:paraId="5F2D0E2E" w14:textId="77777777" w:rsidR="00E836FB" w:rsidRDefault="00E836FB">
            <w:pPr>
              <w:rPr>
                <w:rFonts w:ascii="宋体"/>
                <w:vanish/>
              </w:rPr>
            </w:pPr>
          </w:p>
        </w:tc>
        <w:tc>
          <w:tcPr>
            <w:tcW w:w="0" w:type="auto"/>
            <w:gridSpan w:val="3"/>
            <w:shd w:val="clear" w:color="auto" w:fill="auto"/>
            <w:vAlign w:val="bottom"/>
          </w:tcPr>
          <w:p w14:paraId="5F2D0E2F" w14:textId="77777777" w:rsidR="00E836FB" w:rsidRDefault="00E836FB">
            <w:pPr>
              <w:rPr>
                <w:rFonts w:ascii="宋体"/>
                <w:vanish/>
              </w:rPr>
            </w:pPr>
          </w:p>
        </w:tc>
        <w:tc>
          <w:tcPr>
            <w:tcW w:w="0" w:type="auto"/>
            <w:gridSpan w:val="3"/>
            <w:shd w:val="clear" w:color="auto" w:fill="auto"/>
            <w:vAlign w:val="bottom"/>
          </w:tcPr>
          <w:p w14:paraId="5F2D0E30" w14:textId="77777777" w:rsidR="00E836FB" w:rsidRDefault="00E836FB">
            <w:pPr>
              <w:rPr>
                <w:rFonts w:ascii="宋体"/>
                <w:vanish/>
              </w:rPr>
            </w:pPr>
          </w:p>
        </w:tc>
        <w:tc>
          <w:tcPr>
            <w:tcW w:w="0" w:type="auto"/>
            <w:gridSpan w:val="3"/>
            <w:shd w:val="clear" w:color="auto" w:fill="auto"/>
            <w:vAlign w:val="bottom"/>
          </w:tcPr>
          <w:p w14:paraId="5F2D0E31" w14:textId="77777777" w:rsidR="00E836FB" w:rsidRDefault="00E836FB">
            <w:pPr>
              <w:rPr>
                <w:rFonts w:ascii="宋体"/>
                <w:vanish/>
              </w:rPr>
            </w:pPr>
          </w:p>
        </w:tc>
        <w:tc>
          <w:tcPr>
            <w:tcW w:w="0" w:type="auto"/>
            <w:gridSpan w:val="3"/>
            <w:shd w:val="clear" w:color="auto" w:fill="auto"/>
            <w:vAlign w:val="bottom"/>
          </w:tcPr>
          <w:p w14:paraId="5F2D0E32" w14:textId="77777777" w:rsidR="00E836FB" w:rsidRDefault="00E836FB">
            <w:pPr>
              <w:rPr>
                <w:rFonts w:ascii="宋体"/>
                <w:vanish/>
              </w:rPr>
            </w:pPr>
          </w:p>
        </w:tc>
        <w:tc>
          <w:tcPr>
            <w:tcW w:w="0" w:type="auto"/>
            <w:gridSpan w:val="3"/>
            <w:shd w:val="clear" w:color="auto" w:fill="auto"/>
            <w:vAlign w:val="bottom"/>
          </w:tcPr>
          <w:p w14:paraId="5F2D0E33" w14:textId="77777777" w:rsidR="00E836FB" w:rsidRDefault="00E836FB">
            <w:pPr>
              <w:rPr>
                <w:rFonts w:ascii="宋体"/>
                <w:vanish/>
              </w:rPr>
            </w:pPr>
          </w:p>
        </w:tc>
        <w:tc>
          <w:tcPr>
            <w:tcW w:w="0" w:type="auto"/>
            <w:gridSpan w:val="3"/>
            <w:shd w:val="clear" w:color="auto" w:fill="auto"/>
            <w:vAlign w:val="bottom"/>
          </w:tcPr>
          <w:p w14:paraId="5F2D0E34" w14:textId="77777777" w:rsidR="00E836FB" w:rsidRDefault="00E836FB">
            <w:pPr>
              <w:rPr>
                <w:rFonts w:ascii="宋体"/>
                <w:vanish/>
              </w:rPr>
            </w:pPr>
          </w:p>
        </w:tc>
        <w:tc>
          <w:tcPr>
            <w:tcW w:w="0" w:type="auto"/>
            <w:gridSpan w:val="3"/>
            <w:shd w:val="clear" w:color="auto" w:fill="auto"/>
            <w:vAlign w:val="bottom"/>
          </w:tcPr>
          <w:p w14:paraId="5F2D0E35" w14:textId="77777777" w:rsidR="00E836FB" w:rsidRDefault="00E836FB">
            <w:pPr>
              <w:rPr>
                <w:rFonts w:ascii="宋体"/>
                <w:vanish/>
              </w:rPr>
            </w:pPr>
          </w:p>
        </w:tc>
        <w:tc>
          <w:tcPr>
            <w:tcW w:w="0" w:type="auto"/>
            <w:gridSpan w:val="3"/>
            <w:shd w:val="clear" w:color="auto" w:fill="auto"/>
            <w:vAlign w:val="bottom"/>
          </w:tcPr>
          <w:p w14:paraId="5F2D0E36" w14:textId="77777777" w:rsidR="00E836FB" w:rsidRDefault="00E836FB">
            <w:pPr>
              <w:rPr>
                <w:rFonts w:ascii="宋体"/>
                <w:vanish/>
              </w:rPr>
            </w:pPr>
          </w:p>
        </w:tc>
      </w:tr>
      <w:tr w:rsidR="00E836FB" w14:paraId="5F2D0E50" w14:textId="77777777">
        <w:tc>
          <w:tcPr>
            <w:tcW w:w="0" w:type="auto"/>
            <w:gridSpan w:val="3"/>
            <w:shd w:val="clear" w:color="auto" w:fill="CCEEFF"/>
            <w:tcMar>
              <w:top w:w="40" w:type="dxa"/>
              <w:left w:w="380" w:type="dxa"/>
              <w:bottom w:w="40" w:type="dxa"/>
              <w:right w:w="20" w:type="dxa"/>
            </w:tcMar>
            <w:vAlign w:val="bottom"/>
          </w:tcPr>
          <w:p w14:paraId="5F2D0E38"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39" w14:textId="77777777" w:rsidR="00E836FB" w:rsidRDefault="00994958">
            <w:pPr>
              <w:jc w:val="right"/>
              <w:textAlignment w:val="bottom"/>
            </w:pPr>
            <w:r>
              <w:rPr>
                <w:rFonts w:ascii="Arial" w:eastAsia="宋体" w:hAnsi="Arial" w:cs="Arial"/>
                <w:b/>
                <w:bCs/>
                <w:color w:val="000000"/>
                <w:sz w:val="15"/>
                <w:szCs w:val="15"/>
              </w:rPr>
              <w:t>1,564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3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3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3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3F" w14:textId="77777777" w:rsidR="00E836FB" w:rsidRDefault="00994958">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4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42" w14:textId="77777777" w:rsidR="00E836FB" w:rsidRDefault="00994958">
            <w:pPr>
              <w:jc w:val="right"/>
              <w:textAlignment w:val="bottom"/>
            </w:pPr>
            <w:r>
              <w:rPr>
                <w:rFonts w:ascii="Arial" w:eastAsia="宋体" w:hAnsi="Arial" w:cs="Arial"/>
                <w:b/>
                <w:bCs/>
                <w:color w:val="000000"/>
                <w:sz w:val="15"/>
                <w:szCs w:val="15"/>
              </w:rPr>
              <w:t>1,555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4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45" w14:textId="77777777" w:rsidR="00E836FB" w:rsidRDefault="00994958">
            <w:pPr>
              <w:jc w:val="right"/>
              <w:textAlignment w:val="bottom"/>
            </w:pPr>
            <w:r>
              <w:rPr>
                <w:rFonts w:ascii="Arial" w:eastAsia="宋体" w:hAnsi="Arial" w:cs="Arial"/>
                <w:color w:val="000000"/>
                <w:sz w:val="15"/>
                <w:szCs w:val="15"/>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4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48" w14:textId="77777777" w:rsidR="00E836FB" w:rsidRDefault="00994958">
            <w:pPr>
              <w:jc w:val="right"/>
              <w:textAlignment w:val="bottom"/>
            </w:pPr>
            <w:r>
              <w:rPr>
                <w:rFonts w:ascii="Arial" w:eastAsia="宋体" w:hAnsi="Arial" w:cs="Arial"/>
                <w:color w:val="000000"/>
                <w:sz w:val="15"/>
                <w:szCs w:val="15"/>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4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4B" w14:textId="77777777" w:rsidR="00E836FB" w:rsidRDefault="00994958">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4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4E" w14:textId="77777777" w:rsidR="00E836FB" w:rsidRDefault="00994958">
            <w:pPr>
              <w:jc w:val="right"/>
              <w:textAlignment w:val="bottom"/>
            </w:pPr>
            <w:r>
              <w:rPr>
                <w:rFonts w:ascii="Arial" w:eastAsia="宋体" w:hAnsi="Arial" w:cs="Arial"/>
                <w:color w:val="000000"/>
                <w:sz w:val="15"/>
                <w:szCs w:val="15"/>
              </w:rPr>
              <w:t>709 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4F" w14:textId="77777777" w:rsidR="00E836FB" w:rsidRDefault="00E836FB">
            <w:pPr>
              <w:jc w:val="right"/>
              <w:rPr>
                <w:rFonts w:ascii="宋体"/>
              </w:rPr>
            </w:pPr>
          </w:p>
        </w:tc>
      </w:tr>
      <w:tr w:rsidR="00E836FB" w14:paraId="5F2D0E61" w14:textId="77777777">
        <w:trPr>
          <w:hidden/>
        </w:trPr>
        <w:tc>
          <w:tcPr>
            <w:tcW w:w="0" w:type="auto"/>
            <w:gridSpan w:val="3"/>
            <w:shd w:val="clear" w:color="auto" w:fill="auto"/>
            <w:vAlign w:val="bottom"/>
          </w:tcPr>
          <w:p w14:paraId="5F2D0E51" w14:textId="77777777" w:rsidR="00E836FB" w:rsidRDefault="00E836FB">
            <w:pPr>
              <w:rPr>
                <w:rFonts w:ascii="宋体"/>
                <w:vanish/>
              </w:rPr>
            </w:pPr>
          </w:p>
        </w:tc>
        <w:tc>
          <w:tcPr>
            <w:tcW w:w="0" w:type="auto"/>
            <w:gridSpan w:val="3"/>
            <w:shd w:val="clear" w:color="auto" w:fill="auto"/>
            <w:vAlign w:val="bottom"/>
          </w:tcPr>
          <w:p w14:paraId="5F2D0E52" w14:textId="77777777" w:rsidR="00E836FB" w:rsidRDefault="00E836FB">
            <w:pPr>
              <w:rPr>
                <w:rFonts w:ascii="宋体"/>
                <w:vanish/>
              </w:rPr>
            </w:pPr>
          </w:p>
        </w:tc>
        <w:tc>
          <w:tcPr>
            <w:tcW w:w="0" w:type="auto"/>
            <w:gridSpan w:val="3"/>
            <w:shd w:val="clear" w:color="auto" w:fill="auto"/>
            <w:vAlign w:val="bottom"/>
          </w:tcPr>
          <w:p w14:paraId="5F2D0E53" w14:textId="77777777" w:rsidR="00E836FB" w:rsidRDefault="00E836FB">
            <w:pPr>
              <w:rPr>
                <w:rFonts w:ascii="宋体"/>
                <w:vanish/>
              </w:rPr>
            </w:pPr>
          </w:p>
        </w:tc>
        <w:tc>
          <w:tcPr>
            <w:tcW w:w="0" w:type="auto"/>
            <w:gridSpan w:val="3"/>
            <w:shd w:val="clear" w:color="auto" w:fill="auto"/>
            <w:vAlign w:val="bottom"/>
          </w:tcPr>
          <w:p w14:paraId="5F2D0E54" w14:textId="77777777" w:rsidR="00E836FB" w:rsidRDefault="00E836FB">
            <w:pPr>
              <w:rPr>
                <w:rFonts w:ascii="宋体"/>
                <w:vanish/>
              </w:rPr>
            </w:pPr>
          </w:p>
        </w:tc>
        <w:tc>
          <w:tcPr>
            <w:tcW w:w="0" w:type="auto"/>
            <w:gridSpan w:val="3"/>
            <w:shd w:val="clear" w:color="auto" w:fill="auto"/>
            <w:vAlign w:val="bottom"/>
          </w:tcPr>
          <w:p w14:paraId="5F2D0E55" w14:textId="77777777" w:rsidR="00E836FB" w:rsidRDefault="00E836FB">
            <w:pPr>
              <w:rPr>
                <w:rFonts w:ascii="宋体"/>
                <w:vanish/>
              </w:rPr>
            </w:pPr>
          </w:p>
        </w:tc>
        <w:tc>
          <w:tcPr>
            <w:tcW w:w="0" w:type="auto"/>
            <w:gridSpan w:val="3"/>
            <w:shd w:val="clear" w:color="auto" w:fill="auto"/>
            <w:vAlign w:val="bottom"/>
          </w:tcPr>
          <w:p w14:paraId="5F2D0E56" w14:textId="77777777" w:rsidR="00E836FB" w:rsidRDefault="00E836FB">
            <w:pPr>
              <w:rPr>
                <w:rFonts w:ascii="宋体"/>
                <w:vanish/>
              </w:rPr>
            </w:pPr>
          </w:p>
        </w:tc>
        <w:tc>
          <w:tcPr>
            <w:tcW w:w="0" w:type="auto"/>
            <w:gridSpan w:val="3"/>
            <w:shd w:val="clear" w:color="auto" w:fill="auto"/>
            <w:vAlign w:val="bottom"/>
          </w:tcPr>
          <w:p w14:paraId="5F2D0E57" w14:textId="77777777" w:rsidR="00E836FB" w:rsidRDefault="00E836FB">
            <w:pPr>
              <w:rPr>
                <w:rFonts w:ascii="宋体"/>
                <w:vanish/>
              </w:rPr>
            </w:pPr>
          </w:p>
        </w:tc>
        <w:tc>
          <w:tcPr>
            <w:tcW w:w="0" w:type="auto"/>
            <w:gridSpan w:val="3"/>
            <w:shd w:val="clear" w:color="auto" w:fill="auto"/>
            <w:vAlign w:val="bottom"/>
          </w:tcPr>
          <w:p w14:paraId="5F2D0E58" w14:textId="77777777" w:rsidR="00E836FB" w:rsidRDefault="00E836FB">
            <w:pPr>
              <w:rPr>
                <w:rFonts w:ascii="宋体"/>
                <w:vanish/>
              </w:rPr>
            </w:pPr>
          </w:p>
        </w:tc>
        <w:tc>
          <w:tcPr>
            <w:tcW w:w="0" w:type="auto"/>
            <w:gridSpan w:val="3"/>
            <w:shd w:val="clear" w:color="auto" w:fill="auto"/>
            <w:vAlign w:val="bottom"/>
          </w:tcPr>
          <w:p w14:paraId="5F2D0E59" w14:textId="77777777" w:rsidR="00E836FB" w:rsidRDefault="00E836FB">
            <w:pPr>
              <w:rPr>
                <w:rFonts w:ascii="宋体"/>
                <w:vanish/>
              </w:rPr>
            </w:pPr>
          </w:p>
        </w:tc>
        <w:tc>
          <w:tcPr>
            <w:tcW w:w="0" w:type="auto"/>
            <w:gridSpan w:val="3"/>
            <w:shd w:val="clear" w:color="auto" w:fill="auto"/>
            <w:vAlign w:val="bottom"/>
          </w:tcPr>
          <w:p w14:paraId="5F2D0E5A" w14:textId="77777777" w:rsidR="00E836FB" w:rsidRDefault="00E836FB">
            <w:pPr>
              <w:rPr>
                <w:rFonts w:ascii="宋体"/>
                <w:vanish/>
              </w:rPr>
            </w:pPr>
          </w:p>
        </w:tc>
        <w:tc>
          <w:tcPr>
            <w:tcW w:w="0" w:type="auto"/>
            <w:gridSpan w:val="3"/>
            <w:shd w:val="clear" w:color="auto" w:fill="auto"/>
            <w:vAlign w:val="bottom"/>
          </w:tcPr>
          <w:p w14:paraId="5F2D0E5B" w14:textId="77777777" w:rsidR="00E836FB" w:rsidRDefault="00E836FB">
            <w:pPr>
              <w:rPr>
                <w:rFonts w:ascii="宋体"/>
                <w:vanish/>
              </w:rPr>
            </w:pPr>
          </w:p>
        </w:tc>
        <w:tc>
          <w:tcPr>
            <w:tcW w:w="0" w:type="auto"/>
            <w:gridSpan w:val="3"/>
            <w:shd w:val="clear" w:color="auto" w:fill="auto"/>
            <w:vAlign w:val="bottom"/>
          </w:tcPr>
          <w:p w14:paraId="5F2D0E5C" w14:textId="77777777" w:rsidR="00E836FB" w:rsidRDefault="00E836FB">
            <w:pPr>
              <w:rPr>
                <w:rFonts w:ascii="宋体"/>
                <w:vanish/>
              </w:rPr>
            </w:pPr>
          </w:p>
        </w:tc>
        <w:tc>
          <w:tcPr>
            <w:tcW w:w="0" w:type="auto"/>
            <w:gridSpan w:val="3"/>
            <w:shd w:val="clear" w:color="auto" w:fill="auto"/>
            <w:vAlign w:val="bottom"/>
          </w:tcPr>
          <w:p w14:paraId="5F2D0E5D" w14:textId="77777777" w:rsidR="00E836FB" w:rsidRDefault="00E836FB">
            <w:pPr>
              <w:rPr>
                <w:rFonts w:ascii="宋体"/>
                <w:vanish/>
              </w:rPr>
            </w:pPr>
          </w:p>
        </w:tc>
        <w:tc>
          <w:tcPr>
            <w:tcW w:w="0" w:type="auto"/>
            <w:gridSpan w:val="3"/>
            <w:shd w:val="clear" w:color="auto" w:fill="auto"/>
            <w:vAlign w:val="bottom"/>
          </w:tcPr>
          <w:p w14:paraId="5F2D0E5E" w14:textId="77777777" w:rsidR="00E836FB" w:rsidRDefault="00E836FB">
            <w:pPr>
              <w:rPr>
                <w:rFonts w:ascii="宋体"/>
                <w:vanish/>
              </w:rPr>
            </w:pPr>
          </w:p>
        </w:tc>
        <w:tc>
          <w:tcPr>
            <w:tcW w:w="0" w:type="auto"/>
            <w:gridSpan w:val="3"/>
            <w:shd w:val="clear" w:color="auto" w:fill="auto"/>
            <w:vAlign w:val="bottom"/>
          </w:tcPr>
          <w:p w14:paraId="5F2D0E5F" w14:textId="77777777" w:rsidR="00E836FB" w:rsidRDefault="00E836FB">
            <w:pPr>
              <w:rPr>
                <w:rFonts w:ascii="宋体"/>
                <w:vanish/>
              </w:rPr>
            </w:pPr>
          </w:p>
        </w:tc>
        <w:tc>
          <w:tcPr>
            <w:tcW w:w="0" w:type="auto"/>
            <w:gridSpan w:val="3"/>
            <w:shd w:val="clear" w:color="auto" w:fill="auto"/>
            <w:vAlign w:val="bottom"/>
          </w:tcPr>
          <w:p w14:paraId="5F2D0E60" w14:textId="77777777" w:rsidR="00E836FB" w:rsidRDefault="00E836FB">
            <w:pPr>
              <w:rPr>
                <w:rFonts w:ascii="宋体"/>
                <w:vanish/>
              </w:rPr>
            </w:pPr>
          </w:p>
        </w:tc>
      </w:tr>
      <w:tr w:rsidR="00E836FB" w14:paraId="5F2D0E72" w14:textId="77777777">
        <w:tc>
          <w:tcPr>
            <w:tcW w:w="0" w:type="auto"/>
            <w:gridSpan w:val="3"/>
            <w:shd w:val="clear" w:color="auto" w:fill="FFFFFF"/>
            <w:tcMar>
              <w:top w:w="40" w:type="dxa"/>
              <w:left w:w="20" w:type="dxa"/>
              <w:bottom w:w="40" w:type="dxa"/>
              <w:right w:w="20" w:type="dxa"/>
            </w:tcMar>
            <w:vAlign w:val="bottom"/>
          </w:tcPr>
          <w:p w14:paraId="5F2D0E62"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shd w:val="clear" w:color="auto" w:fill="FFFFFF"/>
            <w:tcMar>
              <w:top w:w="0" w:type="dxa"/>
              <w:left w:w="20" w:type="dxa"/>
              <w:bottom w:w="0" w:type="dxa"/>
              <w:right w:w="20" w:type="dxa"/>
            </w:tcMar>
            <w:vAlign w:val="bottom"/>
          </w:tcPr>
          <w:p w14:paraId="5F2D0E6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6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E71" w14:textId="77777777" w:rsidR="00E836FB" w:rsidRDefault="00E836FB">
            <w:pPr>
              <w:rPr>
                <w:rFonts w:ascii="宋体"/>
              </w:rPr>
            </w:pPr>
          </w:p>
        </w:tc>
      </w:tr>
      <w:tr w:rsidR="00E836FB" w14:paraId="5F2D0E8B" w14:textId="77777777">
        <w:tc>
          <w:tcPr>
            <w:tcW w:w="0" w:type="auto"/>
            <w:gridSpan w:val="3"/>
            <w:shd w:val="clear" w:color="auto" w:fill="CCEEFF"/>
            <w:tcMar>
              <w:top w:w="40" w:type="dxa"/>
              <w:left w:w="20" w:type="dxa"/>
              <w:bottom w:w="40" w:type="dxa"/>
              <w:right w:w="20" w:type="dxa"/>
            </w:tcMar>
            <w:vAlign w:val="bottom"/>
          </w:tcPr>
          <w:p w14:paraId="5F2D0E73" w14:textId="77777777" w:rsidR="00E836FB" w:rsidRDefault="00994958">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F2D0E74" w14:textId="77777777" w:rsidR="00E836FB" w:rsidRDefault="00994958">
            <w:pPr>
              <w:jc w:val="right"/>
              <w:textAlignment w:val="bottom"/>
            </w:pPr>
            <w:r>
              <w:rPr>
                <w:rFonts w:ascii="Arial" w:eastAsia="宋体" w:hAnsi="Arial" w:cs="Arial"/>
                <w:b/>
                <w:bCs/>
                <w:color w:val="000000"/>
                <w:sz w:val="15"/>
                <w:szCs w:val="15"/>
              </w:rPr>
              <w:t>4,908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7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77" w14:textId="77777777" w:rsidR="00E836FB" w:rsidRDefault="00994958">
            <w:pPr>
              <w:jc w:val="right"/>
              <w:textAlignment w:val="bottom"/>
            </w:pPr>
            <w:r>
              <w:rPr>
                <w:rFonts w:ascii="Arial" w:eastAsia="宋体" w:hAnsi="Arial" w:cs="Arial"/>
                <w:b/>
                <w:bCs/>
                <w:color w:val="000000"/>
                <w:sz w:val="15"/>
                <w:szCs w:val="15"/>
              </w:rPr>
              <w:t>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7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7A" w14:textId="77777777" w:rsidR="00E836FB" w:rsidRDefault="00994958">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7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7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7D" w14:textId="77777777" w:rsidR="00E836FB" w:rsidRDefault="00994958">
            <w:pPr>
              <w:jc w:val="right"/>
              <w:textAlignment w:val="bottom"/>
            </w:pPr>
            <w:r>
              <w:rPr>
                <w:rFonts w:ascii="Arial" w:eastAsia="宋体" w:hAnsi="Arial" w:cs="Arial"/>
                <w:b/>
                <w:bCs/>
                <w:color w:val="000000"/>
                <w:sz w:val="15"/>
                <w:szCs w:val="15"/>
              </w:rPr>
              <w:t>4,942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7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80" w14:textId="77777777" w:rsidR="00E836FB" w:rsidRDefault="00994958">
            <w:pPr>
              <w:jc w:val="right"/>
              <w:textAlignment w:val="bottom"/>
            </w:pPr>
            <w:r>
              <w:rPr>
                <w:rFonts w:ascii="Arial" w:eastAsia="宋体" w:hAnsi="Arial" w:cs="Arial"/>
                <w:color w:val="000000"/>
                <w:sz w:val="15"/>
                <w:szCs w:val="15"/>
              </w:rPr>
              <w:t>4,774 </w:t>
            </w:r>
          </w:p>
        </w:tc>
        <w:tc>
          <w:tcPr>
            <w:tcW w:w="0" w:type="auto"/>
            <w:shd w:val="clear" w:color="auto" w:fill="CCEEFF"/>
            <w:tcMar>
              <w:top w:w="40" w:type="dxa"/>
              <w:left w:w="0" w:type="dxa"/>
              <w:bottom w:w="40" w:type="dxa"/>
              <w:right w:w="20" w:type="dxa"/>
            </w:tcMar>
            <w:vAlign w:val="bottom"/>
          </w:tcPr>
          <w:p w14:paraId="5F2D0E8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8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83" w14:textId="77777777" w:rsidR="00E836FB" w:rsidRDefault="00994958">
            <w:pPr>
              <w:jc w:val="right"/>
              <w:textAlignment w:val="bottom"/>
            </w:pPr>
            <w:r>
              <w:rPr>
                <w:rFonts w:ascii="Arial" w:eastAsia="宋体" w:hAnsi="Arial" w:cs="Arial"/>
                <w:color w:val="000000"/>
                <w:sz w:val="15"/>
                <w:szCs w:val="15"/>
              </w:rPr>
              <w:t>33 </w:t>
            </w:r>
          </w:p>
        </w:tc>
        <w:tc>
          <w:tcPr>
            <w:tcW w:w="0" w:type="auto"/>
            <w:shd w:val="clear" w:color="auto" w:fill="CCEEFF"/>
            <w:tcMar>
              <w:top w:w="40" w:type="dxa"/>
              <w:left w:w="0" w:type="dxa"/>
              <w:bottom w:w="40" w:type="dxa"/>
              <w:right w:w="20" w:type="dxa"/>
            </w:tcMar>
            <w:vAlign w:val="bottom"/>
          </w:tcPr>
          <w:p w14:paraId="5F2D0E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8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86" w14:textId="77777777" w:rsidR="00E836FB" w:rsidRDefault="00994958">
            <w:pPr>
              <w:jc w:val="right"/>
              <w:textAlignment w:val="bottom"/>
            </w:pPr>
            <w:r>
              <w:rPr>
                <w:rFonts w:ascii="Arial" w:eastAsia="宋体" w:hAnsi="Arial" w:cs="Arial"/>
                <w:color w:val="000000"/>
                <w:sz w:val="15"/>
                <w:szCs w:val="15"/>
              </w:rPr>
              <w:t>25 </w:t>
            </w:r>
          </w:p>
        </w:tc>
        <w:tc>
          <w:tcPr>
            <w:tcW w:w="0" w:type="auto"/>
            <w:shd w:val="clear" w:color="auto" w:fill="CCEEFF"/>
            <w:tcMar>
              <w:top w:w="40" w:type="dxa"/>
              <w:left w:w="0" w:type="dxa"/>
              <w:bottom w:w="40" w:type="dxa"/>
              <w:right w:w="20" w:type="dxa"/>
            </w:tcMar>
            <w:vAlign w:val="bottom"/>
          </w:tcPr>
          <w:p w14:paraId="5F2D0E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8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89" w14:textId="77777777" w:rsidR="00E836FB" w:rsidRDefault="00994958">
            <w:pPr>
              <w:jc w:val="right"/>
              <w:textAlignment w:val="bottom"/>
            </w:pPr>
            <w:r>
              <w:rPr>
                <w:rFonts w:ascii="Arial" w:eastAsia="宋体" w:hAnsi="Arial" w:cs="Arial"/>
                <w:color w:val="000000"/>
                <w:sz w:val="15"/>
                <w:szCs w:val="15"/>
              </w:rPr>
              <w:t>4,782 </w:t>
            </w:r>
          </w:p>
        </w:tc>
        <w:tc>
          <w:tcPr>
            <w:tcW w:w="0" w:type="auto"/>
            <w:shd w:val="clear" w:color="auto" w:fill="CCEEFF"/>
            <w:tcMar>
              <w:top w:w="40" w:type="dxa"/>
              <w:left w:w="0" w:type="dxa"/>
              <w:bottom w:w="40" w:type="dxa"/>
              <w:right w:w="20" w:type="dxa"/>
            </w:tcMar>
            <w:vAlign w:val="bottom"/>
          </w:tcPr>
          <w:p w14:paraId="5F2D0E8A" w14:textId="77777777" w:rsidR="00E836FB" w:rsidRDefault="00E836FB">
            <w:pPr>
              <w:jc w:val="right"/>
              <w:rPr>
                <w:rFonts w:ascii="宋体"/>
              </w:rPr>
            </w:pPr>
          </w:p>
        </w:tc>
      </w:tr>
      <w:tr w:rsidR="00E836FB" w14:paraId="5F2D0EA4" w14:textId="77777777">
        <w:tc>
          <w:tcPr>
            <w:tcW w:w="0" w:type="auto"/>
            <w:gridSpan w:val="3"/>
            <w:shd w:val="clear" w:color="auto" w:fill="FFFFFF"/>
            <w:tcMar>
              <w:top w:w="40" w:type="dxa"/>
              <w:left w:w="20" w:type="dxa"/>
              <w:bottom w:w="40" w:type="dxa"/>
              <w:right w:w="20" w:type="dxa"/>
            </w:tcMar>
            <w:vAlign w:val="bottom"/>
          </w:tcPr>
          <w:p w14:paraId="5F2D0E8C" w14:textId="77777777" w:rsidR="00E836FB" w:rsidRDefault="00994958">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(8)</w:t>
            </w:r>
          </w:p>
        </w:tc>
        <w:tc>
          <w:tcPr>
            <w:tcW w:w="0" w:type="auto"/>
            <w:gridSpan w:val="2"/>
            <w:shd w:val="clear" w:color="auto" w:fill="FFFFFF"/>
            <w:tcMar>
              <w:top w:w="40" w:type="dxa"/>
              <w:left w:w="20" w:type="dxa"/>
              <w:bottom w:w="40" w:type="dxa"/>
              <w:right w:w="0" w:type="dxa"/>
            </w:tcMar>
            <w:vAlign w:val="bottom"/>
          </w:tcPr>
          <w:p w14:paraId="5F2D0E8D" w14:textId="77777777" w:rsidR="00E836FB" w:rsidRDefault="00994958">
            <w:pPr>
              <w:jc w:val="right"/>
              <w:textAlignment w:val="bottom"/>
            </w:pPr>
            <w:r>
              <w:rPr>
                <w:rFonts w:ascii="Arial" w:eastAsia="宋体" w:hAnsi="Arial" w:cs="Arial"/>
                <w:b/>
                <w:bCs/>
                <w:color w:val="000000"/>
                <w:sz w:val="15"/>
                <w:szCs w:val="15"/>
              </w:rPr>
              <w:t>307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8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90" w14:textId="77777777" w:rsidR="00E836FB" w:rsidRDefault="00994958">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9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9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96" w14:textId="77777777" w:rsidR="00E836FB" w:rsidRDefault="00994958">
            <w:pPr>
              <w:jc w:val="right"/>
              <w:textAlignment w:val="bottom"/>
            </w:pPr>
            <w:r>
              <w:rPr>
                <w:rFonts w:ascii="Arial" w:eastAsia="宋体" w:hAnsi="Arial" w:cs="Arial"/>
                <w:b/>
                <w:bCs/>
                <w:color w:val="000000"/>
                <w:sz w:val="15"/>
                <w:szCs w:val="15"/>
              </w:rPr>
              <w:t>329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E9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9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99" w14:textId="77777777" w:rsidR="00E836FB" w:rsidRDefault="00994958">
            <w:pPr>
              <w:jc w:val="right"/>
              <w:textAlignment w:val="bottom"/>
            </w:pPr>
            <w:r>
              <w:rPr>
                <w:rFonts w:ascii="Arial" w:eastAsia="宋体" w:hAnsi="Arial" w:cs="Arial"/>
                <w:color w:val="000000"/>
                <w:sz w:val="15"/>
                <w:szCs w:val="15"/>
              </w:rPr>
              <w:t>554 </w:t>
            </w:r>
          </w:p>
        </w:tc>
        <w:tc>
          <w:tcPr>
            <w:tcW w:w="0" w:type="auto"/>
            <w:shd w:val="clear" w:color="auto" w:fill="FFFFFF"/>
            <w:tcMar>
              <w:top w:w="40" w:type="dxa"/>
              <w:left w:w="0" w:type="dxa"/>
              <w:bottom w:w="40" w:type="dxa"/>
              <w:right w:w="20" w:type="dxa"/>
            </w:tcMar>
            <w:vAlign w:val="bottom"/>
          </w:tcPr>
          <w:p w14:paraId="5F2D0E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9C" w14:textId="77777777" w:rsidR="00E836FB" w:rsidRDefault="00994958">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5F2D0E9D" w14:textId="77777777" w:rsidR="00E836FB" w:rsidRDefault="00E836F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F2D0E9E" w14:textId="77777777" w:rsidR="00E836FB" w:rsidRDefault="00994958">
            <w:pPr>
              <w:jc w:val="right"/>
              <w:textAlignment w:val="bottom"/>
            </w:pPr>
            <w:r>
              <w:rPr>
                <w:rFonts w:ascii="Arial" w:eastAsia="宋体" w:hAnsi="Arial" w:cs="Arial"/>
                <w:color w:val="000000"/>
                <w:sz w:val="15"/>
                <w:szCs w:val="15"/>
              </w:rPr>
              <w:t>1</w:t>
            </w:r>
          </w:p>
        </w:tc>
        <w:tc>
          <w:tcPr>
            <w:tcW w:w="0" w:type="auto"/>
            <w:gridSpan w:val="2"/>
            <w:shd w:val="clear" w:color="auto" w:fill="FFFFFF"/>
            <w:tcMar>
              <w:top w:w="40" w:type="dxa"/>
              <w:left w:w="20" w:type="dxa"/>
              <w:bottom w:w="40" w:type="dxa"/>
              <w:right w:w="0" w:type="dxa"/>
            </w:tcMar>
            <w:vAlign w:val="bottom"/>
          </w:tcPr>
          <w:p w14:paraId="5F2D0E9F"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0E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EA2" w14:textId="77777777" w:rsidR="00E836FB" w:rsidRDefault="00994958">
            <w:pPr>
              <w:jc w:val="right"/>
              <w:textAlignment w:val="bottom"/>
            </w:pPr>
            <w:r>
              <w:rPr>
                <w:rFonts w:ascii="Arial" w:eastAsia="宋体" w:hAnsi="Arial" w:cs="Arial"/>
                <w:color w:val="000000"/>
                <w:sz w:val="15"/>
                <w:szCs w:val="15"/>
              </w:rPr>
              <w:t>583 </w:t>
            </w:r>
          </w:p>
        </w:tc>
        <w:tc>
          <w:tcPr>
            <w:tcW w:w="0" w:type="auto"/>
            <w:shd w:val="clear" w:color="auto" w:fill="FFFFFF"/>
            <w:tcMar>
              <w:top w:w="40" w:type="dxa"/>
              <w:left w:w="0" w:type="dxa"/>
              <w:bottom w:w="40" w:type="dxa"/>
              <w:right w:w="20" w:type="dxa"/>
            </w:tcMar>
            <w:vAlign w:val="bottom"/>
          </w:tcPr>
          <w:p w14:paraId="5F2D0EA3" w14:textId="77777777" w:rsidR="00E836FB" w:rsidRDefault="00E836FB">
            <w:pPr>
              <w:jc w:val="right"/>
              <w:rPr>
                <w:rFonts w:ascii="宋体"/>
              </w:rPr>
            </w:pPr>
          </w:p>
        </w:tc>
      </w:tr>
      <w:tr w:rsidR="00E836FB" w14:paraId="5F2D0EBD" w14:textId="77777777">
        <w:tc>
          <w:tcPr>
            <w:tcW w:w="0" w:type="auto"/>
            <w:gridSpan w:val="3"/>
            <w:shd w:val="clear" w:color="auto" w:fill="CCEEFF"/>
            <w:tcMar>
              <w:top w:w="40" w:type="dxa"/>
              <w:left w:w="380" w:type="dxa"/>
              <w:bottom w:w="40" w:type="dxa"/>
              <w:right w:w="20" w:type="dxa"/>
            </w:tcMar>
            <w:vAlign w:val="bottom"/>
          </w:tcPr>
          <w:p w14:paraId="5F2D0EA5" w14:textId="77777777" w:rsidR="00E836FB" w:rsidRDefault="00994958">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A6" w14:textId="77777777" w:rsidR="00E836FB" w:rsidRDefault="00994958">
            <w:pPr>
              <w:jc w:val="right"/>
              <w:textAlignment w:val="bottom"/>
            </w:pPr>
            <w:r>
              <w:rPr>
                <w:rFonts w:ascii="Arial" w:eastAsia="宋体" w:hAnsi="Arial" w:cs="Arial"/>
                <w:b/>
                <w:bCs/>
                <w:color w:val="000000"/>
                <w:sz w:val="15"/>
                <w:szCs w:val="15"/>
              </w:rPr>
              <w:t>5,215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A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A9" w14:textId="77777777" w:rsidR="00E836FB" w:rsidRDefault="00994958">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A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AC" w14:textId="77777777" w:rsidR="00E836FB" w:rsidRDefault="00994958">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A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AF" w14:textId="77777777" w:rsidR="00E836FB" w:rsidRDefault="00994958">
            <w:pPr>
              <w:jc w:val="right"/>
              <w:textAlignment w:val="bottom"/>
            </w:pPr>
            <w:r>
              <w:rPr>
                <w:rFonts w:ascii="Arial" w:eastAsia="宋体" w:hAnsi="Arial" w:cs="Arial"/>
                <w:b/>
                <w:bCs/>
                <w:color w:val="000000"/>
                <w:sz w:val="15"/>
                <w:szCs w:val="15"/>
              </w:rPr>
              <w:t>5,271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B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B2" w14:textId="77777777" w:rsidR="00E836FB" w:rsidRDefault="00994958">
            <w:pPr>
              <w:jc w:val="right"/>
              <w:textAlignment w:val="bottom"/>
            </w:pPr>
            <w:r>
              <w:rPr>
                <w:rFonts w:ascii="Arial" w:eastAsia="宋体" w:hAnsi="Arial" w:cs="Arial"/>
                <w:color w:val="000000"/>
                <w:sz w:val="15"/>
                <w:szCs w:val="15"/>
              </w:rPr>
              <w:t>5,328 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B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B5" w14:textId="77777777" w:rsidR="00E836FB" w:rsidRDefault="00994958">
            <w:pPr>
              <w:jc w:val="right"/>
              <w:textAlignment w:val="bottom"/>
            </w:pPr>
            <w:r>
              <w:rPr>
                <w:rFonts w:ascii="Arial" w:eastAsia="宋体" w:hAnsi="Arial" w:cs="Arial"/>
                <w:color w:val="000000"/>
                <w:sz w:val="15"/>
                <w:szCs w:val="15"/>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B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B8" w14:textId="77777777" w:rsidR="00E836FB" w:rsidRDefault="00994958">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B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EBB" w14:textId="77777777" w:rsidR="00E836FB" w:rsidRDefault="00994958">
            <w:pPr>
              <w:jc w:val="right"/>
              <w:textAlignment w:val="bottom"/>
            </w:pPr>
            <w:r>
              <w:rPr>
                <w:rFonts w:ascii="Arial" w:eastAsia="宋体" w:hAnsi="Arial" w:cs="Arial"/>
                <w:color w:val="000000"/>
                <w:sz w:val="15"/>
                <w:szCs w:val="15"/>
              </w:rPr>
              <w:t>5,365 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EBC" w14:textId="77777777" w:rsidR="00E836FB" w:rsidRDefault="00E836FB">
            <w:pPr>
              <w:jc w:val="right"/>
              <w:rPr>
                <w:rFonts w:ascii="宋体"/>
              </w:rPr>
            </w:pPr>
          </w:p>
        </w:tc>
      </w:tr>
      <w:tr w:rsidR="00E836FB" w14:paraId="5F2D0ED6" w14:textId="77777777">
        <w:tc>
          <w:tcPr>
            <w:tcW w:w="0" w:type="auto"/>
            <w:gridSpan w:val="3"/>
            <w:shd w:val="clear" w:color="auto" w:fill="FFFFFF"/>
            <w:tcMar>
              <w:top w:w="40" w:type="dxa"/>
              <w:left w:w="20" w:type="dxa"/>
              <w:bottom w:w="40" w:type="dxa"/>
              <w:right w:w="20" w:type="dxa"/>
            </w:tcMar>
            <w:vAlign w:val="bottom"/>
          </w:tcPr>
          <w:p w14:paraId="5F2D0EBE" w14:textId="77777777" w:rsidR="00E836FB" w:rsidRDefault="00994958">
            <w:pPr>
              <w:textAlignment w:val="bottom"/>
            </w:pPr>
            <w:r>
              <w:rPr>
                <w:rFonts w:ascii="Arial" w:eastAsia="宋体" w:hAnsi="Arial" w:cs="Arial"/>
                <w:color w:val="000000"/>
                <w:sz w:val="15"/>
                <w:szCs w:val="15"/>
              </w:rPr>
              <w:t>Total</w:t>
            </w:r>
            <w:r>
              <w:rPr>
                <w:rFonts w:ascii="Arial" w:eastAsia="宋体" w:hAnsi="Arial" w:cs="Arial"/>
                <w:color w:val="000000"/>
                <w:sz w:val="9"/>
                <w:szCs w:val="9"/>
              </w:rPr>
              <w:t>(9)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BF" w14:textId="77777777" w:rsidR="00E836FB" w:rsidRDefault="00994958">
            <w:pPr>
              <w:jc w:val="right"/>
              <w:textAlignment w:val="bottom"/>
            </w:pPr>
            <w:r>
              <w:rPr>
                <w:rFonts w:ascii="Arial" w:eastAsia="宋体" w:hAnsi="Arial" w:cs="Arial"/>
                <w:b/>
                <w:bCs/>
                <w:color w:val="000000"/>
                <w:sz w:val="15"/>
                <w:szCs w:val="15"/>
              </w:rPr>
              <w:t>42,430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C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C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C2" w14:textId="77777777" w:rsidR="00E836FB" w:rsidRDefault="00994958">
            <w:pPr>
              <w:jc w:val="right"/>
              <w:textAlignment w:val="bottom"/>
            </w:pPr>
            <w:r>
              <w:rPr>
                <w:rFonts w:ascii="Arial" w:eastAsia="宋体" w:hAnsi="Arial" w:cs="Arial"/>
                <w:b/>
                <w:bCs/>
                <w:color w:val="000000"/>
                <w:sz w:val="15"/>
                <w:szCs w:val="15"/>
              </w:rPr>
              <w:t>442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C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C5" w14:textId="77777777" w:rsidR="00E836FB" w:rsidRDefault="00994958">
            <w:pPr>
              <w:jc w:val="right"/>
              <w:textAlignment w:val="bottom"/>
            </w:pPr>
            <w:r>
              <w:rPr>
                <w:rFonts w:ascii="Arial" w:eastAsia="宋体" w:hAnsi="Arial" w:cs="Arial"/>
                <w:b/>
                <w:bCs/>
                <w:color w:val="000000"/>
                <w:sz w:val="15"/>
                <w:szCs w:val="15"/>
              </w:rPr>
              <w:t>601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C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C8" w14:textId="77777777" w:rsidR="00E836FB" w:rsidRDefault="00994958">
            <w:pPr>
              <w:jc w:val="right"/>
              <w:textAlignment w:val="bottom"/>
            </w:pPr>
            <w:r>
              <w:rPr>
                <w:rFonts w:ascii="Arial" w:eastAsia="宋体" w:hAnsi="Arial" w:cs="Arial"/>
                <w:b/>
                <w:bCs/>
                <w:color w:val="000000"/>
                <w:sz w:val="15"/>
                <w:szCs w:val="15"/>
              </w:rPr>
              <w:t>42,271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C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CB" w14:textId="77777777" w:rsidR="00E836FB" w:rsidRDefault="00994958">
            <w:pPr>
              <w:jc w:val="right"/>
              <w:textAlignment w:val="bottom"/>
            </w:pPr>
            <w:r>
              <w:rPr>
                <w:rFonts w:ascii="Arial" w:eastAsia="宋体" w:hAnsi="Arial" w:cs="Arial"/>
                <w:color w:val="000000"/>
                <w:sz w:val="15"/>
                <w:szCs w:val="15"/>
              </w:rPr>
              <w:t>48,931 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C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CE" w14:textId="77777777" w:rsidR="00E836FB" w:rsidRDefault="00994958">
            <w:pPr>
              <w:jc w:val="right"/>
              <w:textAlignment w:val="bottom"/>
            </w:pPr>
            <w:r>
              <w:rPr>
                <w:rFonts w:ascii="Arial" w:eastAsia="宋体" w:hAnsi="Arial" w:cs="Arial"/>
                <w:color w:val="000000"/>
                <w:sz w:val="15"/>
                <w:szCs w:val="15"/>
              </w:rPr>
              <w:t>1,169 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D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D1" w14:textId="77777777" w:rsidR="00E836FB" w:rsidRDefault="00994958">
            <w:pPr>
              <w:jc w:val="right"/>
              <w:textAlignment w:val="bottom"/>
            </w:pPr>
            <w:r>
              <w:rPr>
                <w:rFonts w:ascii="Arial" w:eastAsia="宋体" w:hAnsi="Arial" w:cs="Arial"/>
                <w:color w:val="000000"/>
                <w:sz w:val="15"/>
                <w:szCs w:val="15"/>
              </w:rPr>
              <w:t>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D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0ED4" w14:textId="77777777" w:rsidR="00E836FB" w:rsidRDefault="00994958">
            <w:pPr>
              <w:jc w:val="right"/>
              <w:textAlignment w:val="bottom"/>
            </w:pPr>
            <w:r>
              <w:rPr>
                <w:rFonts w:ascii="Arial" w:eastAsia="宋体" w:hAnsi="Arial" w:cs="Arial"/>
                <w:color w:val="000000"/>
                <w:sz w:val="15"/>
                <w:szCs w:val="15"/>
              </w:rPr>
              <w:t>50,003 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0ED5" w14:textId="77777777" w:rsidR="00E836FB" w:rsidRDefault="00E836FB">
            <w:pPr>
              <w:jc w:val="right"/>
              <w:rPr>
                <w:rFonts w:ascii="宋体"/>
              </w:rPr>
            </w:pPr>
          </w:p>
        </w:tc>
      </w:tr>
      <w:tr w:rsidR="00E836FB" w14:paraId="5F2D0EEF" w14:textId="77777777">
        <w:tc>
          <w:tcPr>
            <w:tcW w:w="0" w:type="auto"/>
            <w:gridSpan w:val="3"/>
            <w:shd w:val="clear" w:color="auto" w:fill="CCEEFF"/>
            <w:tcMar>
              <w:top w:w="40" w:type="dxa"/>
              <w:left w:w="20" w:type="dxa"/>
              <w:bottom w:w="40" w:type="dxa"/>
              <w:right w:w="20" w:type="dxa"/>
            </w:tcMar>
            <w:vAlign w:val="bottom"/>
          </w:tcPr>
          <w:p w14:paraId="5F2D0ED7" w14:textId="77777777" w:rsidR="00E836FB" w:rsidRDefault="00994958">
            <w:pPr>
              <w:textAlignment w:val="bottom"/>
            </w:pPr>
            <w:r>
              <w:rPr>
                <w:rFonts w:ascii="Arial" w:eastAsia="宋体" w:hAnsi="Arial" w:cs="Arial"/>
                <w:color w:val="000000"/>
                <w:sz w:val="15"/>
                <w:szCs w:val="15"/>
              </w:rPr>
              <w:t>Held-to-maturity under money market mutual fund liquidity facility</w:t>
            </w:r>
            <w:r>
              <w:rPr>
                <w:rFonts w:ascii="Arial" w:eastAsia="宋体" w:hAnsi="Arial" w:cs="Arial"/>
                <w:color w:val="000000"/>
                <w:sz w:val="9"/>
                <w:szCs w:val="9"/>
              </w:rPr>
              <w:t>(9)</w:t>
            </w:r>
          </w:p>
        </w:tc>
        <w:tc>
          <w:tcPr>
            <w:tcW w:w="0" w:type="auto"/>
            <w:gridSpan w:val="2"/>
            <w:shd w:val="clear" w:color="auto" w:fill="CCEEFF"/>
            <w:tcMar>
              <w:top w:w="40" w:type="dxa"/>
              <w:left w:w="20" w:type="dxa"/>
              <w:bottom w:w="40" w:type="dxa"/>
              <w:right w:w="0" w:type="dxa"/>
            </w:tcMar>
            <w:vAlign w:val="bottom"/>
          </w:tcPr>
          <w:p w14:paraId="5F2D0ED8"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D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D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DB"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D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D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D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D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E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E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E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E4" w14:textId="77777777" w:rsidR="00E836FB" w:rsidRDefault="00994958">
            <w:pPr>
              <w:jc w:val="right"/>
              <w:textAlignment w:val="bottom"/>
            </w:pPr>
            <w:r>
              <w:rPr>
                <w:rFonts w:ascii="Arial" w:eastAsia="宋体" w:hAnsi="Arial" w:cs="Arial"/>
                <w:color w:val="000000"/>
                <w:sz w:val="15"/>
                <w:szCs w:val="15"/>
              </w:rPr>
              <w:t>3,300 </w:t>
            </w:r>
          </w:p>
        </w:tc>
        <w:tc>
          <w:tcPr>
            <w:tcW w:w="0" w:type="auto"/>
            <w:shd w:val="clear" w:color="auto" w:fill="CCEEFF"/>
            <w:tcMar>
              <w:top w:w="40" w:type="dxa"/>
              <w:left w:w="0" w:type="dxa"/>
              <w:bottom w:w="40" w:type="dxa"/>
              <w:right w:w="20" w:type="dxa"/>
            </w:tcMar>
            <w:vAlign w:val="bottom"/>
          </w:tcPr>
          <w:p w14:paraId="5F2D0EE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E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E7"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F2D0E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E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E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E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EED" w14:textId="77777777" w:rsidR="00E836FB" w:rsidRDefault="00994958">
            <w:pPr>
              <w:jc w:val="right"/>
              <w:textAlignment w:val="bottom"/>
            </w:pPr>
            <w:r>
              <w:rPr>
                <w:rFonts w:ascii="Arial" w:eastAsia="宋体" w:hAnsi="Arial" w:cs="Arial"/>
                <w:color w:val="000000"/>
                <w:sz w:val="15"/>
                <w:szCs w:val="15"/>
              </w:rPr>
              <w:t>3,304 </w:t>
            </w:r>
          </w:p>
        </w:tc>
        <w:tc>
          <w:tcPr>
            <w:tcW w:w="0" w:type="auto"/>
            <w:shd w:val="clear" w:color="auto" w:fill="CCEEFF"/>
            <w:tcMar>
              <w:top w:w="40" w:type="dxa"/>
              <w:left w:w="0" w:type="dxa"/>
              <w:bottom w:w="40" w:type="dxa"/>
              <w:right w:w="20" w:type="dxa"/>
            </w:tcMar>
            <w:vAlign w:val="bottom"/>
          </w:tcPr>
          <w:p w14:paraId="5F2D0EEE" w14:textId="77777777" w:rsidR="00E836FB" w:rsidRDefault="00E836FB">
            <w:pPr>
              <w:jc w:val="right"/>
              <w:rPr>
                <w:rFonts w:ascii="宋体"/>
              </w:rPr>
            </w:pPr>
          </w:p>
        </w:tc>
      </w:tr>
      <w:tr w:rsidR="00E836FB" w14:paraId="5F2D0F10" w14:textId="77777777">
        <w:tc>
          <w:tcPr>
            <w:tcW w:w="0" w:type="auto"/>
            <w:gridSpan w:val="3"/>
            <w:shd w:val="clear" w:color="auto" w:fill="FFFFFF"/>
            <w:tcMar>
              <w:top w:w="40" w:type="dxa"/>
              <w:left w:w="20" w:type="dxa"/>
              <w:bottom w:w="40" w:type="dxa"/>
              <w:right w:w="20" w:type="dxa"/>
            </w:tcMar>
            <w:vAlign w:val="bottom"/>
          </w:tcPr>
          <w:p w14:paraId="5F2D0EF0" w14:textId="77777777" w:rsidR="00E836FB" w:rsidRDefault="00994958">
            <w:pPr>
              <w:textAlignment w:val="bottom"/>
            </w:pPr>
            <w:r>
              <w:rPr>
                <w:rFonts w:ascii="Arial" w:eastAsia="宋体" w:hAnsi="Arial" w:cs="Arial"/>
                <w:color w:val="000000"/>
                <w:sz w:val="15"/>
                <w:szCs w:val="15"/>
              </w:rPr>
              <w:t>Total held-to-maturity securities</w:t>
            </w:r>
            <w:r>
              <w:rPr>
                <w:rFonts w:ascii="Arial" w:eastAsia="宋体" w:hAnsi="Arial" w:cs="Arial"/>
                <w:color w:val="000000"/>
                <w:sz w:val="9"/>
                <w:szCs w:val="9"/>
              </w:rPr>
              <w:t xml:space="preserve">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EF1"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EF2" w14:textId="77777777" w:rsidR="00E836FB" w:rsidRDefault="00994958">
            <w:pPr>
              <w:jc w:val="right"/>
              <w:textAlignment w:val="bottom"/>
            </w:pPr>
            <w:r>
              <w:rPr>
                <w:rFonts w:ascii="Arial" w:eastAsia="宋体" w:hAnsi="Arial" w:cs="Arial"/>
                <w:b/>
                <w:bCs/>
                <w:color w:val="000000"/>
                <w:sz w:val="15"/>
                <w:szCs w:val="15"/>
              </w:rPr>
              <w:t>42,430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EF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F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EF5"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EF6" w14:textId="77777777" w:rsidR="00E836FB" w:rsidRDefault="00994958">
            <w:pPr>
              <w:jc w:val="right"/>
              <w:textAlignment w:val="bottom"/>
            </w:pPr>
            <w:r>
              <w:rPr>
                <w:rFonts w:ascii="Arial" w:eastAsia="宋体" w:hAnsi="Arial" w:cs="Arial"/>
                <w:b/>
                <w:bCs/>
                <w:color w:val="000000"/>
                <w:sz w:val="15"/>
                <w:szCs w:val="15"/>
              </w:rPr>
              <w:t>442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E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F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EF9"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EFA" w14:textId="77777777" w:rsidR="00E836FB" w:rsidRDefault="00994958">
            <w:pPr>
              <w:jc w:val="right"/>
              <w:textAlignment w:val="bottom"/>
            </w:pPr>
            <w:r>
              <w:rPr>
                <w:rFonts w:ascii="Arial" w:eastAsia="宋体" w:hAnsi="Arial" w:cs="Arial"/>
                <w:b/>
                <w:bCs/>
                <w:color w:val="000000"/>
                <w:sz w:val="15"/>
                <w:szCs w:val="15"/>
              </w:rPr>
              <w:t>601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EF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EFC"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EFD"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EFE" w14:textId="77777777" w:rsidR="00E836FB" w:rsidRDefault="00994958">
            <w:pPr>
              <w:jc w:val="right"/>
              <w:textAlignment w:val="bottom"/>
            </w:pPr>
            <w:r>
              <w:rPr>
                <w:rFonts w:ascii="Arial" w:eastAsia="宋体" w:hAnsi="Arial" w:cs="Arial"/>
                <w:b/>
                <w:bCs/>
                <w:color w:val="000000"/>
                <w:sz w:val="15"/>
                <w:szCs w:val="15"/>
              </w:rPr>
              <w:t>42,271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E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00"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F0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F02" w14:textId="77777777" w:rsidR="00E836FB" w:rsidRDefault="00994958">
            <w:pPr>
              <w:jc w:val="right"/>
              <w:textAlignment w:val="bottom"/>
            </w:pPr>
            <w:r>
              <w:rPr>
                <w:rFonts w:ascii="Arial" w:eastAsia="宋体" w:hAnsi="Arial" w:cs="Arial"/>
                <w:color w:val="000000"/>
                <w:sz w:val="15"/>
                <w:szCs w:val="15"/>
              </w:rPr>
              <w:t>52,231 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F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0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F0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F06" w14:textId="77777777" w:rsidR="00E836FB" w:rsidRDefault="00994958">
            <w:pPr>
              <w:jc w:val="right"/>
              <w:textAlignment w:val="bottom"/>
            </w:pPr>
            <w:r>
              <w:rPr>
                <w:rFonts w:ascii="Arial" w:eastAsia="宋体" w:hAnsi="Arial" w:cs="Arial"/>
                <w:color w:val="000000"/>
                <w:sz w:val="15"/>
                <w:szCs w:val="15"/>
              </w:rPr>
              <w:t>1,173 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F0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0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F0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F0A" w14:textId="77777777" w:rsidR="00E836FB" w:rsidRDefault="00994958">
            <w:pPr>
              <w:jc w:val="right"/>
              <w:textAlignment w:val="bottom"/>
            </w:pPr>
            <w:r>
              <w:rPr>
                <w:rFonts w:ascii="Arial" w:eastAsia="宋体" w:hAnsi="Arial" w:cs="Arial"/>
                <w:color w:val="000000"/>
                <w:sz w:val="15"/>
                <w:szCs w:val="15"/>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F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0C"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0F0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0F0E" w14:textId="77777777" w:rsidR="00E836FB" w:rsidRDefault="00994958">
            <w:pPr>
              <w:jc w:val="right"/>
              <w:textAlignment w:val="bottom"/>
            </w:pPr>
            <w:r>
              <w:rPr>
                <w:rFonts w:ascii="Arial" w:eastAsia="宋体" w:hAnsi="Arial" w:cs="Arial"/>
                <w:color w:val="000000"/>
                <w:sz w:val="15"/>
                <w:szCs w:val="15"/>
              </w:rPr>
              <w:t>53,307 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0F0F" w14:textId="77777777" w:rsidR="00E836FB" w:rsidRDefault="00E836FB">
            <w:pPr>
              <w:jc w:val="right"/>
              <w:rPr>
                <w:rFonts w:ascii="宋体"/>
              </w:rPr>
            </w:pPr>
          </w:p>
        </w:tc>
      </w:tr>
    </w:tbl>
    <w:p w14:paraId="5F2D0F11" w14:textId="77777777" w:rsidR="00E836FB" w:rsidRDefault="00E836F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E836FB" w14:paraId="5F2D0F1E" w14:textId="77777777">
        <w:tc>
          <w:tcPr>
            <w:tcW w:w="50" w:type="pct"/>
            <w:shd w:val="clear" w:color="auto" w:fill="auto"/>
            <w:vAlign w:val="bottom"/>
          </w:tcPr>
          <w:p w14:paraId="5F2D0F12" w14:textId="77777777" w:rsidR="00E836FB" w:rsidRDefault="00E836FB">
            <w:pPr>
              <w:rPr>
                <w:rFonts w:ascii="宋体"/>
              </w:rPr>
            </w:pPr>
          </w:p>
        </w:tc>
        <w:tc>
          <w:tcPr>
            <w:tcW w:w="1350" w:type="pct"/>
            <w:shd w:val="clear" w:color="auto" w:fill="auto"/>
            <w:vAlign w:val="bottom"/>
          </w:tcPr>
          <w:p w14:paraId="5F2D0F13" w14:textId="77777777" w:rsidR="00E836FB" w:rsidRDefault="00E836FB">
            <w:pPr>
              <w:rPr>
                <w:rFonts w:ascii="宋体"/>
              </w:rPr>
            </w:pPr>
          </w:p>
        </w:tc>
        <w:tc>
          <w:tcPr>
            <w:tcW w:w="5" w:type="pct"/>
            <w:shd w:val="clear" w:color="auto" w:fill="auto"/>
            <w:vAlign w:val="bottom"/>
          </w:tcPr>
          <w:p w14:paraId="5F2D0F14" w14:textId="77777777" w:rsidR="00E836FB" w:rsidRDefault="00E836FB">
            <w:pPr>
              <w:rPr>
                <w:rFonts w:ascii="宋体"/>
              </w:rPr>
            </w:pPr>
          </w:p>
        </w:tc>
        <w:tc>
          <w:tcPr>
            <w:tcW w:w="50" w:type="pct"/>
            <w:shd w:val="clear" w:color="auto" w:fill="auto"/>
            <w:vAlign w:val="bottom"/>
          </w:tcPr>
          <w:p w14:paraId="5F2D0F15" w14:textId="77777777" w:rsidR="00E836FB" w:rsidRDefault="00E836FB">
            <w:pPr>
              <w:rPr>
                <w:rFonts w:ascii="宋体"/>
              </w:rPr>
            </w:pPr>
          </w:p>
        </w:tc>
        <w:tc>
          <w:tcPr>
            <w:tcW w:w="918" w:type="pct"/>
            <w:shd w:val="clear" w:color="auto" w:fill="auto"/>
            <w:vAlign w:val="bottom"/>
          </w:tcPr>
          <w:p w14:paraId="5F2D0F16" w14:textId="77777777" w:rsidR="00E836FB" w:rsidRDefault="00E836FB">
            <w:pPr>
              <w:rPr>
                <w:rFonts w:ascii="宋体"/>
              </w:rPr>
            </w:pPr>
          </w:p>
        </w:tc>
        <w:tc>
          <w:tcPr>
            <w:tcW w:w="5" w:type="pct"/>
            <w:shd w:val="clear" w:color="auto" w:fill="auto"/>
            <w:vAlign w:val="bottom"/>
          </w:tcPr>
          <w:p w14:paraId="5F2D0F17" w14:textId="77777777" w:rsidR="00E836FB" w:rsidRDefault="00E836FB">
            <w:pPr>
              <w:rPr>
                <w:rFonts w:ascii="宋体"/>
              </w:rPr>
            </w:pPr>
          </w:p>
        </w:tc>
        <w:tc>
          <w:tcPr>
            <w:tcW w:w="50" w:type="pct"/>
            <w:shd w:val="clear" w:color="auto" w:fill="auto"/>
            <w:vAlign w:val="bottom"/>
          </w:tcPr>
          <w:p w14:paraId="5F2D0F18" w14:textId="77777777" w:rsidR="00E836FB" w:rsidRDefault="00E836FB">
            <w:pPr>
              <w:rPr>
                <w:rFonts w:ascii="宋体"/>
              </w:rPr>
            </w:pPr>
          </w:p>
        </w:tc>
        <w:tc>
          <w:tcPr>
            <w:tcW w:w="918" w:type="pct"/>
            <w:shd w:val="clear" w:color="auto" w:fill="auto"/>
            <w:vAlign w:val="bottom"/>
          </w:tcPr>
          <w:p w14:paraId="5F2D0F19" w14:textId="77777777" w:rsidR="00E836FB" w:rsidRDefault="00E836FB">
            <w:pPr>
              <w:rPr>
                <w:rFonts w:ascii="宋体"/>
              </w:rPr>
            </w:pPr>
          </w:p>
        </w:tc>
        <w:tc>
          <w:tcPr>
            <w:tcW w:w="5" w:type="pct"/>
            <w:shd w:val="clear" w:color="auto" w:fill="auto"/>
            <w:vAlign w:val="bottom"/>
          </w:tcPr>
          <w:p w14:paraId="5F2D0F1A" w14:textId="77777777" w:rsidR="00E836FB" w:rsidRDefault="00E836FB">
            <w:pPr>
              <w:rPr>
                <w:rFonts w:ascii="宋体"/>
              </w:rPr>
            </w:pPr>
          </w:p>
        </w:tc>
        <w:tc>
          <w:tcPr>
            <w:tcW w:w="50" w:type="pct"/>
            <w:shd w:val="clear" w:color="auto" w:fill="auto"/>
            <w:vAlign w:val="bottom"/>
          </w:tcPr>
          <w:p w14:paraId="5F2D0F1B" w14:textId="77777777" w:rsidR="00E836FB" w:rsidRDefault="00E836FB">
            <w:pPr>
              <w:rPr>
                <w:rFonts w:ascii="宋体"/>
              </w:rPr>
            </w:pPr>
          </w:p>
        </w:tc>
        <w:tc>
          <w:tcPr>
            <w:tcW w:w="1592" w:type="pct"/>
            <w:shd w:val="clear" w:color="auto" w:fill="auto"/>
            <w:vAlign w:val="bottom"/>
          </w:tcPr>
          <w:p w14:paraId="5F2D0F1C" w14:textId="77777777" w:rsidR="00E836FB" w:rsidRDefault="00E836FB">
            <w:pPr>
              <w:rPr>
                <w:rFonts w:ascii="宋体"/>
              </w:rPr>
            </w:pPr>
          </w:p>
        </w:tc>
        <w:tc>
          <w:tcPr>
            <w:tcW w:w="5" w:type="pct"/>
            <w:shd w:val="clear" w:color="auto" w:fill="auto"/>
            <w:vAlign w:val="bottom"/>
          </w:tcPr>
          <w:p w14:paraId="5F2D0F1D" w14:textId="77777777" w:rsidR="00E836FB" w:rsidRDefault="00E836FB">
            <w:pPr>
              <w:rPr>
                <w:rFonts w:ascii="宋体"/>
              </w:rPr>
            </w:pPr>
          </w:p>
        </w:tc>
      </w:tr>
      <w:tr w:rsidR="00E836FB" w14:paraId="5F2D0F2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0F1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2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22" w14:textId="77777777" w:rsidR="00E836FB" w:rsidRDefault="00E836FB">
            <w:pPr>
              <w:rPr>
                <w:rFonts w:ascii="宋体"/>
              </w:rPr>
            </w:pPr>
          </w:p>
        </w:tc>
      </w:tr>
    </w:tbl>
    <w:p w14:paraId="5F2D0F24" w14:textId="77777777" w:rsidR="00E836FB" w:rsidRDefault="00994958">
      <w:pPr>
        <w:spacing w:before="40"/>
        <w:jc w:val="both"/>
      </w:pPr>
      <w:r>
        <w:rPr>
          <w:rFonts w:ascii="Arial" w:eastAsia="宋体" w:hAnsi="Arial" w:cs="Arial"/>
          <w:color w:val="000000"/>
          <w:sz w:val="8"/>
          <w:szCs w:val="8"/>
        </w:rPr>
        <w:t>(1)</w:t>
      </w:r>
      <w:r>
        <w:rPr>
          <w:rFonts w:ascii="Arial" w:eastAsia="宋体" w:hAnsi="Arial" w:cs="Arial"/>
          <w:color w:val="000000"/>
          <w:sz w:val="13"/>
          <w:szCs w:val="13"/>
        </w:rPr>
        <w:t xml:space="preserve"> As of December 31, 2021 and December 31, 2020, the fair value includes non-U.S. collateralized loan obligations of $0.83 billion and $0.96 billion, respectively. </w:t>
      </w:r>
    </w:p>
    <w:p w14:paraId="5F2D0F25" w14:textId="77777777" w:rsidR="00E836FB" w:rsidRDefault="00994958">
      <w:pPr>
        <w:spacing w:before="40"/>
        <w:jc w:val="both"/>
      </w:pPr>
      <w:r>
        <w:rPr>
          <w:rFonts w:ascii="Arial" w:eastAsia="宋体" w:hAnsi="Arial" w:cs="Arial"/>
          <w:color w:val="000000"/>
          <w:sz w:val="8"/>
          <w:szCs w:val="8"/>
        </w:rPr>
        <w:t>(2)</w:t>
      </w:r>
      <w:r>
        <w:rPr>
          <w:rFonts w:ascii="Arial" w:eastAsia="宋体" w:hAnsi="Arial" w:cs="Arial"/>
          <w:color w:val="000000"/>
          <w:sz w:val="13"/>
          <w:szCs w:val="13"/>
        </w:rPr>
        <w:t xml:space="preserve"> As of December 31, 2021 and December 31, 2020, the fair value includes non-U.S. corporat</w:t>
      </w:r>
      <w:r>
        <w:rPr>
          <w:rFonts w:ascii="Arial" w:eastAsia="宋体" w:hAnsi="Arial" w:cs="Arial"/>
          <w:color w:val="000000"/>
          <w:sz w:val="13"/>
          <w:szCs w:val="13"/>
        </w:rPr>
        <w:t xml:space="preserve">e bonds of $1.53 billion and $1.88 billion, respectively, </w:t>
      </w:r>
    </w:p>
    <w:p w14:paraId="5F2D0F26" w14:textId="77777777" w:rsidR="00E836FB" w:rsidRDefault="00994958">
      <w:pPr>
        <w:spacing w:before="40"/>
        <w:jc w:val="both"/>
      </w:pPr>
      <w:r>
        <w:rPr>
          <w:rFonts w:ascii="Arial" w:eastAsia="宋体" w:hAnsi="Arial" w:cs="Arial"/>
          <w:color w:val="000000"/>
          <w:sz w:val="8"/>
          <w:szCs w:val="8"/>
        </w:rPr>
        <w:t>(3)</w:t>
      </w:r>
      <w:r>
        <w:rPr>
          <w:rFonts w:ascii="Arial" w:eastAsia="宋体" w:hAnsi="Arial" w:cs="Arial"/>
          <w:color w:val="000000"/>
          <w:sz w:val="13"/>
          <w:szCs w:val="13"/>
        </w:rPr>
        <w:t xml:space="preserve"> Primarily comprised of securities guaranteed by the federal government with respect to at least 97% of defaulted principal and accrued interest on the underlying loans.</w:t>
      </w:r>
    </w:p>
    <w:p w14:paraId="5F2D0F27" w14:textId="77777777" w:rsidR="00E836FB" w:rsidRDefault="00994958">
      <w:pPr>
        <w:spacing w:before="40"/>
        <w:jc w:val="both"/>
      </w:pPr>
      <w:r>
        <w:rPr>
          <w:rFonts w:ascii="Arial" w:eastAsia="宋体" w:hAnsi="Arial" w:cs="Arial"/>
          <w:color w:val="000000"/>
          <w:sz w:val="8"/>
          <w:szCs w:val="8"/>
        </w:rPr>
        <w:t>(4)</w:t>
      </w:r>
      <w:r>
        <w:rPr>
          <w:rFonts w:ascii="Arial" w:eastAsia="宋体" w:hAnsi="Arial" w:cs="Arial"/>
          <w:color w:val="000000"/>
          <w:sz w:val="13"/>
          <w:szCs w:val="13"/>
        </w:rPr>
        <w:t xml:space="preserve"> Excludes collaterali</w:t>
      </w:r>
      <w:r>
        <w:rPr>
          <w:rFonts w:ascii="Arial" w:eastAsia="宋体" w:hAnsi="Arial" w:cs="Arial"/>
          <w:color w:val="000000"/>
          <w:sz w:val="13"/>
          <w:szCs w:val="13"/>
        </w:rPr>
        <w:t xml:space="preserve">zed loan obligations in loan form. Refer to Note 4 for additional information. </w:t>
      </w:r>
    </w:p>
    <w:p w14:paraId="5F2D0F28" w14:textId="77777777" w:rsidR="00E836FB" w:rsidRDefault="00994958">
      <w:pPr>
        <w:spacing w:before="40"/>
        <w:jc w:val="both"/>
      </w:pPr>
      <w:r>
        <w:rPr>
          <w:rFonts w:ascii="Arial" w:eastAsia="宋体" w:hAnsi="Arial" w:cs="Arial"/>
          <w:color w:val="000000"/>
          <w:sz w:val="8"/>
          <w:szCs w:val="8"/>
        </w:rPr>
        <w:t>(5)</w:t>
      </w:r>
      <w:r>
        <w:rPr>
          <w:rFonts w:ascii="Arial" w:eastAsia="宋体" w:hAnsi="Arial" w:cs="Arial"/>
          <w:color w:val="000000"/>
          <w:sz w:val="13"/>
          <w:szCs w:val="13"/>
        </w:rPr>
        <w:t xml:space="preserve"> Consists entirely of non-agency CMBS as of both December 31, 2021 and December 31, 2020.</w:t>
      </w:r>
    </w:p>
    <w:p w14:paraId="5F2D0F29" w14:textId="77777777" w:rsidR="00E836FB" w:rsidRDefault="00994958">
      <w:pPr>
        <w:spacing w:before="40"/>
        <w:jc w:val="both"/>
      </w:pPr>
      <w:r>
        <w:rPr>
          <w:rFonts w:ascii="Arial" w:eastAsia="宋体" w:hAnsi="Arial" w:cs="Arial"/>
          <w:color w:val="000000"/>
          <w:sz w:val="8"/>
          <w:szCs w:val="8"/>
        </w:rPr>
        <w:t>(6)</w:t>
      </w:r>
      <w:r>
        <w:rPr>
          <w:rFonts w:ascii="Arial" w:eastAsia="宋体" w:hAnsi="Arial" w:cs="Arial"/>
          <w:color w:val="000000"/>
          <w:sz w:val="13"/>
          <w:szCs w:val="13"/>
        </w:rPr>
        <w:t xml:space="preserve"> As of December 31, 2021 and December 31, 2020, the fair value of state and poli</w:t>
      </w:r>
      <w:r>
        <w:rPr>
          <w:rFonts w:ascii="Arial" w:eastAsia="宋体" w:hAnsi="Arial" w:cs="Arial"/>
          <w:color w:val="000000"/>
          <w:sz w:val="13"/>
          <w:szCs w:val="13"/>
        </w:rPr>
        <w:t>tical subdivisions includes securities in trusts of $0.52 billion and $0.70 billion, respectively. Additional information about these trusts is provided in Note 14.</w:t>
      </w:r>
    </w:p>
    <w:p w14:paraId="5F2D0F2A" w14:textId="77777777" w:rsidR="00E836FB" w:rsidRDefault="00994958">
      <w:pPr>
        <w:spacing w:before="40"/>
        <w:jc w:val="both"/>
      </w:pPr>
      <w:r>
        <w:rPr>
          <w:rFonts w:ascii="Arial" w:eastAsia="宋体" w:hAnsi="Arial" w:cs="Arial"/>
          <w:color w:val="000000"/>
          <w:sz w:val="8"/>
          <w:szCs w:val="8"/>
        </w:rPr>
        <w:t>(7)</w:t>
      </w:r>
      <w:r>
        <w:rPr>
          <w:rFonts w:ascii="Arial" w:eastAsia="宋体" w:hAnsi="Arial" w:cs="Arial"/>
          <w:color w:val="000000"/>
          <w:sz w:val="13"/>
          <w:szCs w:val="13"/>
        </w:rPr>
        <w:t xml:space="preserve"> As of December 31, 2021 and December 31, 2020, the fair value of U.S. corporate bonds w</w:t>
      </w:r>
      <w:r>
        <w:rPr>
          <w:rFonts w:ascii="Arial" w:eastAsia="宋体" w:hAnsi="Arial" w:cs="Arial"/>
          <w:color w:val="000000"/>
          <w:sz w:val="13"/>
          <w:szCs w:val="13"/>
        </w:rPr>
        <w:t xml:space="preserve">as $2.44 billion and $3.44 billion, respectively. </w:t>
      </w:r>
    </w:p>
    <w:p w14:paraId="5F2D0F2B" w14:textId="77777777" w:rsidR="00E836FB" w:rsidRDefault="00994958">
      <w:pPr>
        <w:spacing w:before="40"/>
        <w:jc w:val="both"/>
      </w:pPr>
      <w:r>
        <w:rPr>
          <w:rFonts w:ascii="Arial" w:eastAsia="宋体" w:hAnsi="Arial" w:cs="Arial"/>
          <w:color w:val="000000"/>
          <w:sz w:val="8"/>
          <w:szCs w:val="8"/>
        </w:rPr>
        <w:t>(8)</w:t>
      </w:r>
      <w:r>
        <w:rPr>
          <w:rFonts w:ascii="Arial" w:eastAsia="宋体" w:hAnsi="Arial" w:cs="Arial"/>
          <w:color w:val="000000"/>
          <w:sz w:val="13"/>
          <w:szCs w:val="13"/>
        </w:rPr>
        <w:t xml:space="preserve"> As of December 31, 2021 and December 31, 2020, the total amortized cost included $292 million and $464 million, respectively, of non-agency CMBS and $14 million and $90 million of non-agency RMBS, resp</w:t>
      </w:r>
      <w:r>
        <w:rPr>
          <w:rFonts w:ascii="Arial" w:eastAsia="宋体" w:hAnsi="Arial" w:cs="Arial"/>
          <w:color w:val="000000"/>
          <w:sz w:val="13"/>
          <w:szCs w:val="13"/>
        </w:rPr>
        <w:t xml:space="preserve">ectively. </w:t>
      </w:r>
    </w:p>
    <w:p w14:paraId="5F2D0F2C" w14:textId="77777777" w:rsidR="00E836FB" w:rsidRDefault="00994958">
      <w:pPr>
        <w:jc w:val="both"/>
      </w:pPr>
      <w:r>
        <w:rPr>
          <w:rFonts w:ascii="Arial" w:eastAsia="宋体" w:hAnsi="Arial" w:cs="Arial"/>
          <w:color w:val="000000"/>
          <w:sz w:val="8"/>
          <w:szCs w:val="8"/>
        </w:rPr>
        <w:t>(9)</w:t>
      </w:r>
      <w:r>
        <w:rPr>
          <w:rFonts w:ascii="Arial" w:eastAsia="宋体" w:hAnsi="Arial" w:cs="Arial"/>
          <w:color w:val="000000"/>
          <w:sz w:val="13"/>
          <w:szCs w:val="13"/>
        </w:rPr>
        <w:t xml:space="preserve"> As of December 31, 2021 and 2020, we recognized an allowance for credit losses on all HTM securities of $0 million and $3 million, respectively, inclusive of $0 million and $1 million, respectively, related to HTM securities purchased under </w:t>
      </w:r>
      <w:r>
        <w:rPr>
          <w:rFonts w:ascii="Arial" w:eastAsia="宋体" w:hAnsi="Arial" w:cs="Arial"/>
          <w:color w:val="000000"/>
          <w:sz w:val="13"/>
          <w:szCs w:val="13"/>
        </w:rPr>
        <w:t>the money market mutual fund liquidity facility.</w:t>
      </w:r>
    </w:p>
    <w:p w14:paraId="5F2D0F2D" w14:textId="77777777" w:rsidR="00E836FB" w:rsidRDefault="00E836FB">
      <w:pPr>
        <w:jc w:val="both"/>
      </w:pPr>
    </w:p>
    <w:p w14:paraId="5F2D0F2E" w14:textId="77777777" w:rsidR="00E836FB" w:rsidRDefault="00994958">
      <w:pPr>
        <w:ind w:firstLine="450"/>
        <w:jc w:val="right"/>
      </w:pPr>
      <w:r>
        <w:rPr>
          <w:rFonts w:ascii="Arial" w:eastAsia="宋体" w:hAnsi="Arial" w:cs="Arial"/>
          <w:color w:val="000000"/>
          <w:sz w:val="18"/>
          <w:szCs w:val="18"/>
        </w:rPr>
        <w:t>State Street Corporation | 145</w:t>
      </w:r>
    </w:p>
    <w:p w14:paraId="5F2D0F2F" w14:textId="77777777" w:rsidR="00E836FB" w:rsidRDefault="00E836FB">
      <w:pPr>
        <w:ind w:firstLine="450"/>
        <w:jc w:val="center"/>
      </w:pPr>
    </w:p>
    <w:p w14:paraId="5F2D0F30" w14:textId="77777777" w:rsidR="00E836FB" w:rsidRDefault="00994958">
      <w:r>
        <w:pict w14:anchorId="5F2D6E16">
          <v:rect id="_x0000_i1169" style="width:415.3pt;height:1.5pt" o:hralign="center" o:hrstd="t" o:hr="t" fillcolor="#a0a0a0" stroked="f"/>
        </w:pict>
      </w:r>
    </w:p>
    <w:p w14:paraId="5F2D0F31" w14:textId="77777777" w:rsidR="00E836FB" w:rsidRDefault="00994958">
      <w:pPr>
        <w:ind w:firstLine="450"/>
        <w:jc w:val="center"/>
      </w:pPr>
      <w:r>
        <w:rPr>
          <w:rFonts w:ascii="Arial" w:eastAsia="宋体" w:hAnsi="Arial" w:cs="Arial"/>
          <w:b/>
          <w:bCs/>
          <w:color w:val="000000"/>
          <w:sz w:val="20"/>
          <w:szCs w:val="20"/>
        </w:rPr>
        <w:t>STATE STREET CORPORATION</w:t>
      </w:r>
    </w:p>
    <w:p w14:paraId="5F2D0F32"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0F33" w14:textId="77777777" w:rsidR="00E836FB" w:rsidRDefault="00994958">
      <w:pPr>
        <w:spacing w:before="60"/>
        <w:ind w:firstLine="450"/>
        <w:jc w:val="both"/>
      </w:pPr>
      <w:r>
        <w:rPr>
          <w:rFonts w:ascii="Arial" w:eastAsia="宋体" w:hAnsi="Arial" w:cs="Arial"/>
          <w:color w:val="000000"/>
          <w:sz w:val="20"/>
          <w:szCs w:val="20"/>
        </w:rPr>
        <w:t xml:space="preserve">Aggregate investment securities with carrying values of approximately $80.81 billion and $70.57 </w:t>
      </w:r>
      <w:r>
        <w:rPr>
          <w:rFonts w:ascii="Arial" w:eastAsia="宋体" w:hAnsi="Arial" w:cs="Arial"/>
          <w:color w:val="000000"/>
          <w:sz w:val="20"/>
          <w:szCs w:val="20"/>
        </w:rPr>
        <w:t>billion as of December 31, 2021 and December 31, 2020, respectively, were designated as pledged for public and trust deposits, short-term borrowings and for other purposes as provided by law.</w:t>
      </w:r>
    </w:p>
    <w:p w14:paraId="5F2D0F34" w14:textId="77777777" w:rsidR="00E836FB" w:rsidRDefault="00994958">
      <w:pPr>
        <w:spacing w:before="60"/>
        <w:ind w:firstLine="450"/>
        <w:jc w:val="both"/>
      </w:pPr>
      <w:r>
        <w:rPr>
          <w:rFonts w:ascii="Arial" w:eastAsia="宋体" w:hAnsi="Arial" w:cs="Arial"/>
          <w:color w:val="000000"/>
          <w:sz w:val="20"/>
          <w:szCs w:val="20"/>
        </w:rPr>
        <w:t>In 2021, 2020 and 2019, $1.25 billion, $8.60 billion and $3.98 m</w:t>
      </w:r>
      <w:r>
        <w:rPr>
          <w:rFonts w:ascii="Arial" w:eastAsia="宋体" w:hAnsi="Arial" w:cs="Arial"/>
          <w:color w:val="000000"/>
          <w:sz w:val="20"/>
          <w:szCs w:val="20"/>
        </w:rPr>
        <w:t>illion, respectively, of agency MBS, previously classified as AFS, were transferred to HTM. These transfers reflect our intent to hold these securities until their maturity. These securities were transferred at fair value, which included a net unrealized g</w:t>
      </w:r>
      <w:r>
        <w:rPr>
          <w:rFonts w:ascii="Arial" w:eastAsia="宋体" w:hAnsi="Arial" w:cs="Arial"/>
          <w:color w:val="000000"/>
          <w:sz w:val="20"/>
          <w:szCs w:val="20"/>
        </w:rPr>
        <w:t>ain of $12 million , $120 million and $49 million as of December 31, 2021, 2020 and 2019, respectively, within accumulated other comprehensive loss which will be accreted into interest income over the remaining life of the transferred security (ranging fro</w:t>
      </w:r>
      <w:r>
        <w:rPr>
          <w:rFonts w:ascii="Arial" w:eastAsia="宋体" w:hAnsi="Arial" w:cs="Arial"/>
          <w:color w:val="000000"/>
          <w:sz w:val="20"/>
          <w:szCs w:val="20"/>
        </w:rPr>
        <w:t>m approximately 1 to 36 years).</w:t>
      </w:r>
    </w:p>
    <w:p w14:paraId="5F2D0F35" w14:textId="77777777" w:rsidR="00E836FB" w:rsidRDefault="00994958">
      <w:pPr>
        <w:spacing w:before="60"/>
        <w:ind w:firstLine="450"/>
        <w:jc w:val="both"/>
      </w:pPr>
      <w:r>
        <w:rPr>
          <w:rFonts w:ascii="Arial" w:eastAsia="宋体" w:hAnsi="Arial" w:cs="Arial"/>
          <w:color w:val="000000"/>
          <w:sz w:val="20"/>
          <w:szCs w:val="20"/>
        </w:rPr>
        <w:t>In 2021, we transferred $438 million of HTM debt securities that referenced LIBOR and other discontinued reference rates to AFS. $378 million of these securities were sold resulting in a pre-tax gain of $58 million.</w:t>
      </w:r>
    </w:p>
    <w:p w14:paraId="5F2D0F36" w14:textId="77777777" w:rsidR="00E836FB" w:rsidRDefault="00994958">
      <w:pPr>
        <w:spacing w:before="60"/>
        <w:ind w:firstLine="450"/>
        <w:jc w:val="both"/>
      </w:pPr>
      <w:r>
        <w:rPr>
          <w:rFonts w:ascii="Arial" w:eastAsia="宋体" w:hAnsi="Arial" w:cs="Arial"/>
          <w:color w:val="000000"/>
          <w:sz w:val="20"/>
          <w:szCs w:val="20"/>
        </w:rPr>
        <w:t>In 2021,</w:t>
      </w:r>
      <w:r>
        <w:rPr>
          <w:rFonts w:ascii="Arial" w:eastAsia="宋体" w:hAnsi="Arial" w:cs="Arial"/>
          <w:color w:val="000000"/>
          <w:sz w:val="20"/>
          <w:szCs w:val="20"/>
        </w:rPr>
        <w:t xml:space="preserve"> 2020 and 2019, proceeds from sales of AFS securities was approximately $12.82 billion, $2.65 billion and $5.64 billion, respectively, primarily driven by MBS, ABS, municipal bonds and supranationals, resulting in a pre-tax gain of approximately $57 millio</w:t>
      </w:r>
      <w:r>
        <w:rPr>
          <w:rFonts w:ascii="Arial" w:eastAsia="宋体" w:hAnsi="Arial" w:cs="Arial"/>
          <w:color w:val="000000"/>
          <w:sz w:val="20"/>
          <w:szCs w:val="20"/>
        </w:rPr>
        <w:t xml:space="preserve">n in 2021, a pre-tax gain of approximately $4 million in 2020 and a pre-tax loss less than $1 million in 2019. </w:t>
      </w:r>
    </w:p>
    <w:p w14:paraId="5F2D0F37" w14:textId="77777777" w:rsidR="00E836FB" w:rsidRDefault="00994958">
      <w:pPr>
        <w:spacing w:before="60"/>
        <w:ind w:firstLine="450"/>
        <w:jc w:val="both"/>
      </w:pPr>
      <w:r>
        <w:rPr>
          <w:rFonts w:ascii="Arial" w:eastAsia="宋体" w:hAnsi="Arial" w:cs="Arial"/>
          <w:color w:val="000000"/>
          <w:sz w:val="20"/>
          <w:szCs w:val="20"/>
        </w:rPr>
        <w:t xml:space="preserve">The following tables present the aggregate fair values of AFS investment securities that have been in a continuous unrealized loss position for </w:t>
      </w:r>
      <w:r>
        <w:rPr>
          <w:rFonts w:ascii="Arial" w:eastAsia="宋体" w:hAnsi="Arial" w:cs="Arial"/>
          <w:color w:val="000000"/>
          <w:sz w:val="20"/>
          <w:szCs w:val="20"/>
        </w:rPr>
        <w:t>less than 12 months, and those that have been in a continuous unrealized loss position for 12 months or longer,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332"/>
        <w:gridCol w:w="36"/>
        <w:gridCol w:w="104"/>
        <w:gridCol w:w="501"/>
        <w:gridCol w:w="36"/>
        <w:gridCol w:w="36"/>
        <w:gridCol w:w="36"/>
        <w:gridCol w:w="36"/>
        <w:gridCol w:w="105"/>
        <w:gridCol w:w="709"/>
        <w:gridCol w:w="36"/>
        <w:gridCol w:w="36"/>
        <w:gridCol w:w="36"/>
        <w:gridCol w:w="36"/>
        <w:gridCol w:w="104"/>
        <w:gridCol w:w="418"/>
        <w:gridCol w:w="36"/>
        <w:gridCol w:w="36"/>
        <w:gridCol w:w="36"/>
        <w:gridCol w:w="36"/>
        <w:gridCol w:w="105"/>
        <w:gridCol w:w="709"/>
        <w:gridCol w:w="36"/>
        <w:gridCol w:w="36"/>
        <w:gridCol w:w="36"/>
        <w:gridCol w:w="36"/>
        <w:gridCol w:w="104"/>
        <w:gridCol w:w="501"/>
        <w:gridCol w:w="36"/>
        <w:gridCol w:w="36"/>
        <w:gridCol w:w="36"/>
        <w:gridCol w:w="36"/>
        <w:gridCol w:w="105"/>
        <w:gridCol w:w="709"/>
        <w:gridCol w:w="36"/>
      </w:tblGrid>
      <w:tr w:rsidR="00E836FB" w14:paraId="5F2D0F5C" w14:textId="77777777">
        <w:tc>
          <w:tcPr>
            <w:tcW w:w="50" w:type="pct"/>
            <w:shd w:val="clear" w:color="auto" w:fill="auto"/>
            <w:vAlign w:val="bottom"/>
          </w:tcPr>
          <w:p w14:paraId="5F2D0F38" w14:textId="77777777" w:rsidR="00E836FB" w:rsidRDefault="00E836FB">
            <w:pPr>
              <w:rPr>
                <w:rFonts w:ascii="宋体"/>
              </w:rPr>
            </w:pPr>
          </w:p>
        </w:tc>
        <w:tc>
          <w:tcPr>
            <w:tcW w:w="2152" w:type="pct"/>
            <w:shd w:val="clear" w:color="auto" w:fill="auto"/>
            <w:vAlign w:val="bottom"/>
          </w:tcPr>
          <w:p w14:paraId="5F2D0F39" w14:textId="77777777" w:rsidR="00E836FB" w:rsidRDefault="00E836FB">
            <w:pPr>
              <w:rPr>
                <w:rFonts w:ascii="宋体"/>
              </w:rPr>
            </w:pPr>
          </w:p>
        </w:tc>
        <w:tc>
          <w:tcPr>
            <w:tcW w:w="5" w:type="pct"/>
            <w:shd w:val="clear" w:color="auto" w:fill="auto"/>
            <w:vAlign w:val="bottom"/>
          </w:tcPr>
          <w:p w14:paraId="5F2D0F3A" w14:textId="77777777" w:rsidR="00E836FB" w:rsidRDefault="00E836FB">
            <w:pPr>
              <w:rPr>
                <w:rFonts w:ascii="宋体"/>
              </w:rPr>
            </w:pPr>
          </w:p>
        </w:tc>
        <w:tc>
          <w:tcPr>
            <w:tcW w:w="50" w:type="pct"/>
            <w:shd w:val="clear" w:color="auto" w:fill="auto"/>
            <w:vAlign w:val="bottom"/>
          </w:tcPr>
          <w:p w14:paraId="5F2D0F3B" w14:textId="77777777" w:rsidR="00E836FB" w:rsidRDefault="00E836FB">
            <w:pPr>
              <w:rPr>
                <w:rFonts w:ascii="宋体"/>
              </w:rPr>
            </w:pPr>
          </w:p>
        </w:tc>
        <w:tc>
          <w:tcPr>
            <w:tcW w:w="405" w:type="pct"/>
            <w:shd w:val="clear" w:color="auto" w:fill="auto"/>
            <w:vAlign w:val="bottom"/>
          </w:tcPr>
          <w:p w14:paraId="5F2D0F3C" w14:textId="77777777" w:rsidR="00E836FB" w:rsidRDefault="00E836FB">
            <w:pPr>
              <w:rPr>
                <w:rFonts w:ascii="宋体"/>
              </w:rPr>
            </w:pPr>
          </w:p>
        </w:tc>
        <w:tc>
          <w:tcPr>
            <w:tcW w:w="5" w:type="pct"/>
            <w:shd w:val="clear" w:color="auto" w:fill="auto"/>
            <w:vAlign w:val="bottom"/>
          </w:tcPr>
          <w:p w14:paraId="5F2D0F3D" w14:textId="77777777" w:rsidR="00E836FB" w:rsidRDefault="00E836FB">
            <w:pPr>
              <w:rPr>
                <w:rFonts w:ascii="宋体"/>
              </w:rPr>
            </w:pPr>
          </w:p>
        </w:tc>
        <w:tc>
          <w:tcPr>
            <w:tcW w:w="5" w:type="pct"/>
            <w:shd w:val="clear" w:color="auto" w:fill="auto"/>
            <w:vAlign w:val="bottom"/>
          </w:tcPr>
          <w:p w14:paraId="5F2D0F3E" w14:textId="77777777" w:rsidR="00E836FB" w:rsidRDefault="00E836FB">
            <w:pPr>
              <w:rPr>
                <w:rFonts w:ascii="宋体"/>
              </w:rPr>
            </w:pPr>
          </w:p>
        </w:tc>
        <w:tc>
          <w:tcPr>
            <w:tcW w:w="19" w:type="pct"/>
            <w:shd w:val="clear" w:color="auto" w:fill="auto"/>
            <w:vAlign w:val="bottom"/>
          </w:tcPr>
          <w:p w14:paraId="5F2D0F3F" w14:textId="77777777" w:rsidR="00E836FB" w:rsidRDefault="00E836FB">
            <w:pPr>
              <w:rPr>
                <w:rFonts w:ascii="宋体"/>
              </w:rPr>
            </w:pPr>
          </w:p>
        </w:tc>
        <w:tc>
          <w:tcPr>
            <w:tcW w:w="5" w:type="pct"/>
            <w:shd w:val="clear" w:color="auto" w:fill="auto"/>
            <w:vAlign w:val="bottom"/>
          </w:tcPr>
          <w:p w14:paraId="5F2D0F40" w14:textId="77777777" w:rsidR="00E836FB" w:rsidRDefault="00E836FB">
            <w:pPr>
              <w:rPr>
                <w:rFonts w:ascii="宋体"/>
              </w:rPr>
            </w:pPr>
          </w:p>
        </w:tc>
        <w:tc>
          <w:tcPr>
            <w:tcW w:w="50" w:type="pct"/>
            <w:shd w:val="clear" w:color="auto" w:fill="auto"/>
            <w:vAlign w:val="bottom"/>
          </w:tcPr>
          <w:p w14:paraId="5F2D0F41" w14:textId="77777777" w:rsidR="00E836FB" w:rsidRDefault="00E836FB">
            <w:pPr>
              <w:rPr>
                <w:rFonts w:ascii="宋体"/>
              </w:rPr>
            </w:pPr>
          </w:p>
        </w:tc>
        <w:tc>
          <w:tcPr>
            <w:tcW w:w="434" w:type="pct"/>
            <w:shd w:val="clear" w:color="auto" w:fill="auto"/>
            <w:vAlign w:val="bottom"/>
          </w:tcPr>
          <w:p w14:paraId="5F2D0F42" w14:textId="77777777" w:rsidR="00E836FB" w:rsidRDefault="00E836FB">
            <w:pPr>
              <w:rPr>
                <w:rFonts w:ascii="宋体"/>
              </w:rPr>
            </w:pPr>
          </w:p>
        </w:tc>
        <w:tc>
          <w:tcPr>
            <w:tcW w:w="5" w:type="pct"/>
            <w:shd w:val="clear" w:color="auto" w:fill="auto"/>
            <w:vAlign w:val="bottom"/>
          </w:tcPr>
          <w:p w14:paraId="5F2D0F43" w14:textId="77777777" w:rsidR="00E836FB" w:rsidRDefault="00E836FB">
            <w:pPr>
              <w:rPr>
                <w:rFonts w:ascii="宋体"/>
              </w:rPr>
            </w:pPr>
          </w:p>
        </w:tc>
        <w:tc>
          <w:tcPr>
            <w:tcW w:w="5" w:type="pct"/>
            <w:shd w:val="clear" w:color="auto" w:fill="auto"/>
            <w:vAlign w:val="bottom"/>
          </w:tcPr>
          <w:p w14:paraId="5F2D0F44" w14:textId="77777777" w:rsidR="00E836FB" w:rsidRDefault="00E836FB">
            <w:pPr>
              <w:rPr>
                <w:rFonts w:ascii="宋体"/>
              </w:rPr>
            </w:pPr>
          </w:p>
        </w:tc>
        <w:tc>
          <w:tcPr>
            <w:tcW w:w="26" w:type="pct"/>
            <w:shd w:val="clear" w:color="auto" w:fill="auto"/>
            <w:vAlign w:val="bottom"/>
          </w:tcPr>
          <w:p w14:paraId="5F2D0F45" w14:textId="77777777" w:rsidR="00E836FB" w:rsidRDefault="00E836FB">
            <w:pPr>
              <w:rPr>
                <w:rFonts w:ascii="宋体"/>
              </w:rPr>
            </w:pPr>
          </w:p>
        </w:tc>
        <w:tc>
          <w:tcPr>
            <w:tcW w:w="5" w:type="pct"/>
            <w:shd w:val="clear" w:color="auto" w:fill="auto"/>
            <w:vAlign w:val="bottom"/>
          </w:tcPr>
          <w:p w14:paraId="5F2D0F46" w14:textId="77777777" w:rsidR="00E836FB" w:rsidRDefault="00E836FB">
            <w:pPr>
              <w:rPr>
                <w:rFonts w:ascii="宋体"/>
              </w:rPr>
            </w:pPr>
          </w:p>
        </w:tc>
        <w:tc>
          <w:tcPr>
            <w:tcW w:w="50" w:type="pct"/>
            <w:shd w:val="clear" w:color="auto" w:fill="auto"/>
            <w:vAlign w:val="bottom"/>
          </w:tcPr>
          <w:p w14:paraId="5F2D0F47" w14:textId="77777777" w:rsidR="00E836FB" w:rsidRDefault="00E836FB">
            <w:pPr>
              <w:rPr>
                <w:rFonts w:ascii="宋体"/>
              </w:rPr>
            </w:pPr>
          </w:p>
        </w:tc>
        <w:tc>
          <w:tcPr>
            <w:tcW w:w="237" w:type="pct"/>
            <w:shd w:val="clear" w:color="auto" w:fill="auto"/>
            <w:vAlign w:val="bottom"/>
          </w:tcPr>
          <w:p w14:paraId="5F2D0F48" w14:textId="77777777" w:rsidR="00E836FB" w:rsidRDefault="00E836FB">
            <w:pPr>
              <w:rPr>
                <w:rFonts w:ascii="宋体"/>
              </w:rPr>
            </w:pPr>
          </w:p>
        </w:tc>
        <w:tc>
          <w:tcPr>
            <w:tcW w:w="5" w:type="pct"/>
            <w:shd w:val="clear" w:color="auto" w:fill="auto"/>
            <w:vAlign w:val="bottom"/>
          </w:tcPr>
          <w:p w14:paraId="5F2D0F49" w14:textId="77777777" w:rsidR="00E836FB" w:rsidRDefault="00E836FB">
            <w:pPr>
              <w:rPr>
                <w:rFonts w:ascii="宋体"/>
              </w:rPr>
            </w:pPr>
          </w:p>
        </w:tc>
        <w:tc>
          <w:tcPr>
            <w:tcW w:w="5" w:type="pct"/>
            <w:shd w:val="clear" w:color="auto" w:fill="auto"/>
            <w:vAlign w:val="bottom"/>
          </w:tcPr>
          <w:p w14:paraId="5F2D0F4A" w14:textId="77777777" w:rsidR="00E836FB" w:rsidRDefault="00E836FB">
            <w:pPr>
              <w:rPr>
                <w:rFonts w:ascii="宋体"/>
              </w:rPr>
            </w:pPr>
          </w:p>
        </w:tc>
        <w:tc>
          <w:tcPr>
            <w:tcW w:w="19" w:type="pct"/>
            <w:shd w:val="clear" w:color="auto" w:fill="auto"/>
            <w:vAlign w:val="bottom"/>
          </w:tcPr>
          <w:p w14:paraId="5F2D0F4B" w14:textId="77777777" w:rsidR="00E836FB" w:rsidRDefault="00E836FB">
            <w:pPr>
              <w:rPr>
                <w:rFonts w:ascii="宋体"/>
              </w:rPr>
            </w:pPr>
          </w:p>
        </w:tc>
        <w:tc>
          <w:tcPr>
            <w:tcW w:w="5" w:type="pct"/>
            <w:shd w:val="clear" w:color="auto" w:fill="auto"/>
            <w:vAlign w:val="bottom"/>
          </w:tcPr>
          <w:p w14:paraId="5F2D0F4C" w14:textId="77777777" w:rsidR="00E836FB" w:rsidRDefault="00E836FB">
            <w:pPr>
              <w:rPr>
                <w:rFonts w:ascii="宋体"/>
              </w:rPr>
            </w:pPr>
          </w:p>
        </w:tc>
        <w:tc>
          <w:tcPr>
            <w:tcW w:w="50" w:type="pct"/>
            <w:shd w:val="clear" w:color="auto" w:fill="auto"/>
            <w:vAlign w:val="bottom"/>
          </w:tcPr>
          <w:p w14:paraId="5F2D0F4D" w14:textId="77777777" w:rsidR="00E836FB" w:rsidRDefault="00E836FB">
            <w:pPr>
              <w:rPr>
                <w:rFonts w:ascii="宋体"/>
              </w:rPr>
            </w:pPr>
          </w:p>
        </w:tc>
        <w:tc>
          <w:tcPr>
            <w:tcW w:w="434" w:type="pct"/>
            <w:shd w:val="clear" w:color="auto" w:fill="auto"/>
            <w:vAlign w:val="bottom"/>
          </w:tcPr>
          <w:p w14:paraId="5F2D0F4E" w14:textId="77777777" w:rsidR="00E836FB" w:rsidRDefault="00E836FB">
            <w:pPr>
              <w:rPr>
                <w:rFonts w:ascii="宋体"/>
              </w:rPr>
            </w:pPr>
          </w:p>
        </w:tc>
        <w:tc>
          <w:tcPr>
            <w:tcW w:w="5" w:type="pct"/>
            <w:shd w:val="clear" w:color="auto" w:fill="auto"/>
            <w:vAlign w:val="bottom"/>
          </w:tcPr>
          <w:p w14:paraId="5F2D0F4F" w14:textId="77777777" w:rsidR="00E836FB" w:rsidRDefault="00E836FB">
            <w:pPr>
              <w:rPr>
                <w:rFonts w:ascii="宋体"/>
              </w:rPr>
            </w:pPr>
          </w:p>
        </w:tc>
        <w:tc>
          <w:tcPr>
            <w:tcW w:w="5" w:type="pct"/>
            <w:shd w:val="clear" w:color="auto" w:fill="auto"/>
            <w:vAlign w:val="bottom"/>
          </w:tcPr>
          <w:p w14:paraId="5F2D0F50" w14:textId="77777777" w:rsidR="00E836FB" w:rsidRDefault="00E836FB">
            <w:pPr>
              <w:rPr>
                <w:rFonts w:ascii="宋体"/>
              </w:rPr>
            </w:pPr>
          </w:p>
        </w:tc>
        <w:tc>
          <w:tcPr>
            <w:tcW w:w="19" w:type="pct"/>
            <w:shd w:val="clear" w:color="auto" w:fill="auto"/>
            <w:vAlign w:val="bottom"/>
          </w:tcPr>
          <w:p w14:paraId="5F2D0F51" w14:textId="77777777" w:rsidR="00E836FB" w:rsidRDefault="00E836FB">
            <w:pPr>
              <w:rPr>
                <w:rFonts w:ascii="宋体"/>
              </w:rPr>
            </w:pPr>
          </w:p>
        </w:tc>
        <w:tc>
          <w:tcPr>
            <w:tcW w:w="5" w:type="pct"/>
            <w:shd w:val="clear" w:color="auto" w:fill="auto"/>
            <w:vAlign w:val="bottom"/>
          </w:tcPr>
          <w:p w14:paraId="5F2D0F52" w14:textId="77777777" w:rsidR="00E836FB" w:rsidRDefault="00E836FB">
            <w:pPr>
              <w:rPr>
                <w:rFonts w:ascii="宋体"/>
              </w:rPr>
            </w:pPr>
          </w:p>
        </w:tc>
        <w:tc>
          <w:tcPr>
            <w:tcW w:w="50" w:type="pct"/>
            <w:shd w:val="clear" w:color="auto" w:fill="auto"/>
            <w:vAlign w:val="bottom"/>
          </w:tcPr>
          <w:p w14:paraId="5F2D0F53" w14:textId="77777777" w:rsidR="00E836FB" w:rsidRDefault="00E836FB">
            <w:pPr>
              <w:rPr>
                <w:rFonts w:ascii="宋体"/>
              </w:rPr>
            </w:pPr>
          </w:p>
        </w:tc>
        <w:tc>
          <w:tcPr>
            <w:tcW w:w="361" w:type="pct"/>
            <w:shd w:val="clear" w:color="auto" w:fill="auto"/>
            <w:vAlign w:val="bottom"/>
          </w:tcPr>
          <w:p w14:paraId="5F2D0F54" w14:textId="77777777" w:rsidR="00E836FB" w:rsidRDefault="00E836FB">
            <w:pPr>
              <w:rPr>
                <w:rFonts w:ascii="宋体"/>
              </w:rPr>
            </w:pPr>
          </w:p>
        </w:tc>
        <w:tc>
          <w:tcPr>
            <w:tcW w:w="5" w:type="pct"/>
            <w:shd w:val="clear" w:color="auto" w:fill="auto"/>
            <w:vAlign w:val="bottom"/>
          </w:tcPr>
          <w:p w14:paraId="5F2D0F55" w14:textId="77777777" w:rsidR="00E836FB" w:rsidRDefault="00E836FB">
            <w:pPr>
              <w:rPr>
                <w:rFonts w:ascii="宋体"/>
              </w:rPr>
            </w:pPr>
          </w:p>
        </w:tc>
        <w:tc>
          <w:tcPr>
            <w:tcW w:w="5" w:type="pct"/>
            <w:shd w:val="clear" w:color="auto" w:fill="auto"/>
            <w:vAlign w:val="bottom"/>
          </w:tcPr>
          <w:p w14:paraId="5F2D0F56" w14:textId="77777777" w:rsidR="00E836FB" w:rsidRDefault="00E836FB">
            <w:pPr>
              <w:rPr>
                <w:rFonts w:ascii="宋体"/>
              </w:rPr>
            </w:pPr>
          </w:p>
        </w:tc>
        <w:tc>
          <w:tcPr>
            <w:tcW w:w="19" w:type="pct"/>
            <w:shd w:val="clear" w:color="auto" w:fill="auto"/>
            <w:vAlign w:val="bottom"/>
          </w:tcPr>
          <w:p w14:paraId="5F2D0F57" w14:textId="77777777" w:rsidR="00E836FB" w:rsidRDefault="00E836FB">
            <w:pPr>
              <w:rPr>
                <w:rFonts w:ascii="宋体"/>
              </w:rPr>
            </w:pPr>
          </w:p>
        </w:tc>
        <w:tc>
          <w:tcPr>
            <w:tcW w:w="5" w:type="pct"/>
            <w:shd w:val="clear" w:color="auto" w:fill="auto"/>
            <w:vAlign w:val="bottom"/>
          </w:tcPr>
          <w:p w14:paraId="5F2D0F58" w14:textId="77777777" w:rsidR="00E836FB" w:rsidRDefault="00E836FB">
            <w:pPr>
              <w:rPr>
                <w:rFonts w:ascii="宋体"/>
              </w:rPr>
            </w:pPr>
          </w:p>
        </w:tc>
        <w:tc>
          <w:tcPr>
            <w:tcW w:w="50" w:type="pct"/>
            <w:shd w:val="clear" w:color="auto" w:fill="auto"/>
            <w:vAlign w:val="bottom"/>
          </w:tcPr>
          <w:p w14:paraId="5F2D0F59" w14:textId="77777777" w:rsidR="00E836FB" w:rsidRDefault="00E836FB">
            <w:pPr>
              <w:rPr>
                <w:rFonts w:ascii="宋体"/>
              </w:rPr>
            </w:pPr>
          </w:p>
        </w:tc>
        <w:tc>
          <w:tcPr>
            <w:tcW w:w="435" w:type="pct"/>
            <w:shd w:val="clear" w:color="auto" w:fill="auto"/>
            <w:vAlign w:val="bottom"/>
          </w:tcPr>
          <w:p w14:paraId="5F2D0F5A" w14:textId="77777777" w:rsidR="00E836FB" w:rsidRDefault="00E836FB">
            <w:pPr>
              <w:rPr>
                <w:rFonts w:ascii="宋体"/>
              </w:rPr>
            </w:pPr>
          </w:p>
        </w:tc>
        <w:tc>
          <w:tcPr>
            <w:tcW w:w="5" w:type="pct"/>
            <w:shd w:val="clear" w:color="auto" w:fill="auto"/>
            <w:vAlign w:val="bottom"/>
          </w:tcPr>
          <w:p w14:paraId="5F2D0F5B" w14:textId="77777777" w:rsidR="00E836FB" w:rsidRDefault="00E836FB">
            <w:pPr>
              <w:rPr>
                <w:rFonts w:ascii="宋体"/>
              </w:rPr>
            </w:pPr>
          </w:p>
        </w:tc>
      </w:tr>
      <w:tr w:rsidR="00E836FB" w14:paraId="5F2D0F5F" w14:textId="77777777">
        <w:tc>
          <w:tcPr>
            <w:tcW w:w="0" w:type="auto"/>
            <w:gridSpan w:val="3"/>
            <w:shd w:val="clear" w:color="auto" w:fill="auto"/>
            <w:tcMar>
              <w:top w:w="0" w:type="dxa"/>
              <w:left w:w="20" w:type="dxa"/>
              <w:bottom w:w="0" w:type="dxa"/>
              <w:right w:w="20" w:type="dxa"/>
            </w:tcMar>
            <w:vAlign w:val="bottom"/>
          </w:tcPr>
          <w:p w14:paraId="5F2D0F5D" w14:textId="77777777" w:rsidR="00E836FB" w:rsidRDefault="00E836F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F2D0F5E" w14:textId="77777777" w:rsidR="00E836FB" w:rsidRDefault="00994958">
            <w:pPr>
              <w:jc w:val="center"/>
              <w:textAlignment w:val="bottom"/>
            </w:pPr>
            <w:r>
              <w:rPr>
                <w:rFonts w:ascii="Arial" w:eastAsia="宋体" w:hAnsi="Arial" w:cs="Arial"/>
                <w:b/>
                <w:bCs/>
                <w:color w:val="000000"/>
                <w:sz w:val="15"/>
                <w:szCs w:val="15"/>
              </w:rPr>
              <w:t>As of December 31, 2021</w:t>
            </w:r>
          </w:p>
        </w:tc>
      </w:tr>
      <w:tr w:rsidR="00E836FB" w14:paraId="5F2D0F66" w14:textId="77777777">
        <w:tc>
          <w:tcPr>
            <w:tcW w:w="0" w:type="auto"/>
            <w:gridSpan w:val="3"/>
            <w:shd w:val="clear" w:color="auto" w:fill="auto"/>
            <w:tcMar>
              <w:top w:w="0" w:type="dxa"/>
              <w:left w:w="20" w:type="dxa"/>
              <w:bottom w:w="0" w:type="dxa"/>
              <w:right w:w="20" w:type="dxa"/>
            </w:tcMar>
            <w:vAlign w:val="bottom"/>
          </w:tcPr>
          <w:p w14:paraId="5F2D0F60"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F61" w14:textId="77777777" w:rsidR="00E836FB" w:rsidRDefault="00994958">
            <w:pPr>
              <w:jc w:val="center"/>
              <w:textAlignment w:val="bottom"/>
            </w:pPr>
            <w:r>
              <w:rPr>
                <w:rFonts w:ascii="Arial" w:eastAsia="宋体" w:hAnsi="Arial" w:cs="Arial"/>
                <w:b/>
                <w:bCs/>
                <w:color w:val="000000"/>
                <w:sz w:val="15"/>
                <w:szCs w:val="15"/>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62"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F63" w14:textId="77777777" w:rsidR="00E836FB" w:rsidRDefault="00994958">
            <w:pPr>
              <w:jc w:val="center"/>
              <w:textAlignment w:val="bottom"/>
            </w:pPr>
            <w:r>
              <w:rPr>
                <w:rFonts w:ascii="Arial" w:eastAsia="宋体" w:hAnsi="Arial" w:cs="Arial"/>
                <w:b/>
                <w:bCs/>
                <w:color w:val="000000"/>
                <w:sz w:val="15"/>
                <w:szCs w:val="15"/>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64"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0F65" w14:textId="77777777" w:rsidR="00E836FB" w:rsidRDefault="00994958">
            <w:pPr>
              <w:jc w:val="center"/>
              <w:textAlignment w:val="bottom"/>
            </w:pPr>
            <w:r>
              <w:rPr>
                <w:rFonts w:ascii="Arial" w:eastAsia="宋体" w:hAnsi="Arial" w:cs="Arial"/>
                <w:b/>
                <w:bCs/>
                <w:color w:val="000000"/>
                <w:sz w:val="15"/>
                <w:szCs w:val="15"/>
              </w:rPr>
              <w:t>Total</w:t>
            </w:r>
          </w:p>
        </w:tc>
      </w:tr>
      <w:tr w:rsidR="00E836FB" w14:paraId="5F2D0F7C" w14:textId="77777777">
        <w:tc>
          <w:tcPr>
            <w:tcW w:w="0" w:type="auto"/>
            <w:gridSpan w:val="3"/>
            <w:shd w:val="clear" w:color="auto" w:fill="auto"/>
            <w:tcMar>
              <w:top w:w="40" w:type="dxa"/>
              <w:left w:w="20" w:type="dxa"/>
              <w:bottom w:w="40" w:type="dxa"/>
              <w:right w:w="20" w:type="dxa"/>
            </w:tcMar>
            <w:vAlign w:val="bottom"/>
          </w:tcPr>
          <w:p w14:paraId="5F2D0F67"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F68" w14:textId="77777777" w:rsidR="00E836FB" w:rsidRDefault="00994958">
            <w:pPr>
              <w:jc w:val="center"/>
              <w:textAlignment w:val="bottom"/>
            </w:pPr>
            <w:r>
              <w:rPr>
                <w:rFonts w:ascii="Arial" w:eastAsia="宋体" w:hAnsi="Arial" w:cs="Arial"/>
                <w:b/>
                <w:bCs/>
                <w:color w:val="000000"/>
                <w:sz w:val="15"/>
                <w:szCs w:val="15"/>
              </w:rPr>
              <w:t>Fair</w:t>
            </w:r>
          </w:p>
          <w:p w14:paraId="5F2D0F69" w14:textId="77777777" w:rsidR="00E836FB" w:rsidRDefault="00994958">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6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F6B" w14:textId="77777777" w:rsidR="00E836FB" w:rsidRDefault="00994958">
            <w:pPr>
              <w:jc w:val="center"/>
              <w:textAlignment w:val="bottom"/>
            </w:pPr>
            <w:r>
              <w:rPr>
                <w:rFonts w:ascii="Arial" w:eastAsia="宋体" w:hAnsi="Arial" w:cs="Arial"/>
                <w:b/>
                <w:bCs/>
                <w:color w:val="000000"/>
                <w:sz w:val="15"/>
                <w:szCs w:val="15"/>
              </w:rPr>
              <w:t>Gross</w:t>
            </w:r>
          </w:p>
          <w:p w14:paraId="5F2D0F6C" w14:textId="77777777" w:rsidR="00E836FB" w:rsidRDefault="00994958">
            <w:pPr>
              <w:jc w:val="center"/>
              <w:textAlignment w:val="bottom"/>
            </w:pPr>
            <w:r>
              <w:rPr>
                <w:rFonts w:ascii="Arial" w:eastAsia="宋体" w:hAnsi="Arial" w:cs="Arial"/>
                <w:b/>
                <w:bCs/>
                <w:color w:val="000000"/>
                <w:sz w:val="15"/>
                <w:szCs w:val="15"/>
              </w:rPr>
              <w:t>Unrealized</w:t>
            </w:r>
          </w:p>
          <w:p w14:paraId="5F2D0F6D" w14:textId="77777777" w:rsidR="00E836FB" w:rsidRDefault="00994958">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F2D0F6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F6F" w14:textId="77777777" w:rsidR="00E836FB" w:rsidRDefault="00994958">
            <w:pPr>
              <w:jc w:val="center"/>
              <w:textAlignment w:val="bottom"/>
            </w:pPr>
            <w:r>
              <w:rPr>
                <w:rFonts w:ascii="Arial" w:eastAsia="宋体" w:hAnsi="Arial" w:cs="Arial"/>
                <w:b/>
                <w:bCs/>
                <w:color w:val="000000"/>
                <w:sz w:val="15"/>
                <w:szCs w:val="15"/>
              </w:rPr>
              <w:t>Fair</w:t>
            </w:r>
          </w:p>
          <w:p w14:paraId="5F2D0F70" w14:textId="77777777" w:rsidR="00E836FB" w:rsidRDefault="00994958">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7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F72" w14:textId="77777777" w:rsidR="00E836FB" w:rsidRDefault="00994958">
            <w:pPr>
              <w:jc w:val="center"/>
              <w:textAlignment w:val="bottom"/>
            </w:pPr>
            <w:r>
              <w:rPr>
                <w:rFonts w:ascii="Arial" w:eastAsia="宋体" w:hAnsi="Arial" w:cs="Arial"/>
                <w:b/>
                <w:bCs/>
                <w:color w:val="000000"/>
                <w:sz w:val="15"/>
                <w:szCs w:val="15"/>
              </w:rPr>
              <w:t>Gross</w:t>
            </w:r>
          </w:p>
          <w:p w14:paraId="5F2D0F73" w14:textId="77777777" w:rsidR="00E836FB" w:rsidRDefault="00994958">
            <w:pPr>
              <w:jc w:val="center"/>
              <w:textAlignment w:val="bottom"/>
            </w:pPr>
            <w:r>
              <w:rPr>
                <w:rFonts w:ascii="Arial" w:eastAsia="宋体" w:hAnsi="Arial" w:cs="Arial"/>
                <w:b/>
                <w:bCs/>
                <w:color w:val="000000"/>
                <w:sz w:val="15"/>
                <w:szCs w:val="15"/>
              </w:rPr>
              <w:t>Unrealized</w:t>
            </w:r>
          </w:p>
          <w:p w14:paraId="5F2D0F74" w14:textId="77777777" w:rsidR="00E836FB" w:rsidRDefault="00994958">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F2D0F7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F76" w14:textId="77777777" w:rsidR="00E836FB" w:rsidRDefault="00994958">
            <w:pPr>
              <w:jc w:val="center"/>
              <w:textAlignment w:val="bottom"/>
            </w:pPr>
            <w:r>
              <w:rPr>
                <w:rFonts w:ascii="Arial" w:eastAsia="宋体" w:hAnsi="Arial" w:cs="Arial"/>
                <w:b/>
                <w:bCs/>
                <w:color w:val="000000"/>
                <w:sz w:val="15"/>
                <w:szCs w:val="15"/>
              </w:rPr>
              <w:t>Fair</w:t>
            </w:r>
          </w:p>
          <w:p w14:paraId="5F2D0F77" w14:textId="77777777" w:rsidR="00E836FB" w:rsidRDefault="00994958">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7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0F79" w14:textId="77777777" w:rsidR="00E836FB" w:rsidRDefault="00994958">
            <w:pPr>
              <w:jc w:val="center"/>
              <w:textAlignment w:val="bottom"/>
            </w:pPr>
            <w:r>
              <w:rPr>
                <w:rFonts w:ascii="Arial" w:eastAsia="宋体" w:hAnsi="Arial" w:cs="Arial"/>
                <w:b/>
                <w:bCs/>
                <w:color w:val="000000"/>
                <w:sz w:val="15"/>
                <w:szCs w:val="15"/>
              </w:rPr>
              <w:t>Gross</w:t>
            </w:r>
          </w:p>
          <w:p w14:paraId="5F2D0F7A" w14:textId="77777777" w:rsidR="00E836FB" w:rsidRDefault="00994958">
            <w:pPr>
              <w:jc w:val="center"/>
              <w:textAlignment w:val="bottom"/>
            </w:pPr>
            <w:r>
              <w:rPr>
                <w:rFonts w:ascii="Arial" w:eastAsia="宋体" w:hAnsi="Arial" w:cs="Arial"/>
                <w:b/>
                <w:bCs/>
                <w:color w:val="000000"/>
                <w:sz w:val="15"/>
                <w:szCs w:val="15"/>
              </w:rPr>
              <w:t>Unrealized</w:t>
            </w:r>
          </w:p>
          <w:p w14:paraId="5F2D0F7B" w14:textId="77777777" w:rsidR="00E836FB" w:rsidRDefault="00994958">
            <w:pPr>
              <w:jc w:val="center"/>
              <w:textAlignment w:val="bottom"/>
            </w:pPr>
            <w:r>
              <w:rPr>
                <w:rFonts w:ascii="Arial" w:eastAsia="宋体" w:hAnsi="Arial" w:cs="Arial"/>
                <w:b/>
                <w:bCs/>
                <w:color w:val="000000"/>
                <w:sz w:val="15"/>
                <w:szCs w:val="15"/>
              </w:rPr>
              <w:t>Losses</w:t>
            </w:r>
          </w:p>
        </w:tc>
      </w:tr>
      <w:tr w:rsidR="00E836FB" w14:paraId="5F2D0F89" w14:textId="77777777">
        <w:tc>
          <w:tcPr>
            <w:tcW w:w="0" w:type="auto"/>
            <w:gridSpan w:val="3"/>
            <w:shd w:val="clear" w:color="auto" w:fill="auto"/>
            <w:tcMar>
              <w:top w:w="40" w:type="dxa"/>
              <w:left w:w="20" w:type="dxa"/>
              <w:bottom w:w="40" w:type="dxa"/>
              <w:right w:w="20" w:type="dxa"/>
            </w:tcMar>
            <w:vAlign w:val="bottom"/>
          </w:tcPr>
          <w:p w14:paraId="5F2D0F7D" w14:textId="77777777" w:rsidR="00E836FB" w:rsidRDefault="00994958">
            <w:pPr>
              <w:textAlignment w:val="bottom"/>
            </w:pPr>
            <w:r>
              <w:rPr>
                <w:rFonts w:ascii="Arial" w:eastAsia="宋体" w:hAnsi="Arial" w:cs="Arial"/>
                <w:b/>
                <w:bCs/>
                <w:color w:val="000000"/>
                <w:sz w:val="15"/>
                <w:szCs w:val="15"/>
              </w:rPr>
              <w:t>Ava</w:t>
            </w:r>
            <w:r>
              <w:rPr>
                <w:rFonts w:ascii="Arial" w:eastAsia="宋体" w:hAnsi="Arial" w:cs="Arial"/>
                <w:b/>
                <w:bCs/>
                <w:color w:val="000000"/>
                <w:sz w:val="15"/>
                <w:szCs w:val="15"/>
              </w:rPr>
              <w:t>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7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7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8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8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0F88" w14:textId="77777777" w:rsidR="00E836FB" w:rsidRDefault="00E836FB">
            <w:pPr>
              <w:rPr>
                <w:rFonts w:ascii="宋体"/>
              </w:rPr>
            </w:pPr>
          </w:p>
        </w:tc>
      </w:tr>
      <w:tr w:rsidR="00E836FB" w14:paraId="5F2D0F96" w14:textId="77777777">
        <w:tc>
          <w:tcPr>
            <w:tcW w:w="0" w:type="auto"/>
            <w:gridSpan w:val="3"/>
            <w:shd w:val="clear" w:color="auto" w:fill="auto"/>
            <w:tcMar>
              <w:top w:w="40" w:type="dxa"/>
              <w:left w:w="20" w:type="dxa"/>
              <w:bottom w:w="40" w:type="dxa"/>
              <w:right w:w="20" w:type="dxa"/>
            </w:tcMar>
            <w:vAlign w:val="bottom"/>
          </w:tcPr>
          <w:p w14:paraId="5F2D0F8A" w14:textId="77777777" w:rsidR="00E836FB" w:rsidRDefault="00994958">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5F2D0F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8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9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0F95" w14:textId="77777777" w:rsidR="00E836FB" w:rsidRDefault="00E836FB">
            <w:pPr>
              <w:rPr>
                <w:rFonts w:ascii="宋体"/>
              </w:rPr>
            </w:pPr>
          </w:p>
        </w:tc>
      </w:tr>
      <w:tr w:rsidR="00E836FB" w14:paraId="5F2D0FAF" w14:textId="77777777">
        <w:tc>
          <w:tcPr>
            <w:tcW w:w="0" w:type="auto"/>
            <w:gridSpan w:val="3"/>
            <w:shd w:val="clear" w:color="auto" w:fill="CCEEFF"/>
            <w:tcMar>
              <w:top w:w="40" w:type="dxa"/>
              <w:left w:w="155" w:type="dxa"/>
              <w:bottom w:w="40" w:type="dxa"/>
              <w:right w:w="20" w:type="dxa"/>
            </w:tcMar>
            <w:vAlign w:val="bottom"/>
          </w:tcPr>
          <w:p w14:paraId="5F2D0F97" w14:textId="77777777" w:rsidR="00E836FB" w:rsidRDefault="00994958">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F2D0F98"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F99" w14:textId="77777777" w:rsidR="00E836FB" w:rsidRDefault="00994958">
            <w:pPr>
              <w:jc w:val="right"/>
              <w:textAlignment w:val="bottom"/>
            </w:pPr>
            <w:r>
              <w:rPr>
                <w:rFonts w:ascii="Arial" w:eastAsia="宋体" w:hAnsi="Arial" w:cs="Arial"/>
                <w:b/>
                <w:bCs/>
                <w:color w:val="000000"/>
                <w:sz w:val="15"/>
                <w:szCs w:val="15"/>
              </w:rPr>
              <w:t>14,749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9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F9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F9D" w14:textId="77777777" w:rsidR="00E836FB" w:rsidRDefault="00994958">
            <w:pPr>
              <w:jc w:val="right"/>
              <w:textAlignment w:val="bottom"/>
            </w:pPr>
            <w:r>
              <w:rPr>
                <w:rFonts w:ascii="Arial" w:eastAsia="宋体" w:hAnsi="Arial" w:cs="Arial"/>
                <w:b/>
                <w:bCs/>
                <w:color w:val="000000"/>
                <w:sz w:val="15"/>
                <w:szCs w:val="15"/>
              </w:rPr>
              <w:t>194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9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FA0"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FA1" w14:textId="77777777" w:rsidR="00E836FB" w:rsidRDefault="00994958">
            <w:pPr>
              <w:jc w:val="right"/>
              <w:textAlignment w:val="bottom"/>
            </w:pPr>
            <w:r>
              <w:rPr>
                <w:rFonts w:ascii="Arial" w:eastAsia="宋体" w:hAnsi="Arial" w:cs="Arial"/>
                <w:b/>
                <w:bCs/>
                <w:color w:val="000000"/>
                <w:sz w:val="15"/>
                <w:szCs w:val="15"/>
              </w:rPr>
              <w:t>1,624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A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FA4"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FA5"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A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FA8"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FA9" w14:textId="77777777" w:rsidR="00E836FB" w:rsidRDefault="00994958">
            <w:pPr>
              <w:jc w:val="right"/>
              <w:textAlignment w:val="bottom"/>
            </w:pPr>
            <w:r>
              <w:rPr>
                <w:rFonts w:ascii="Arial" w:eastAsia="宋体" w:hAnsi="Arial" w:cs="Arial"/>
                <w:b/>
                <w:bCs/>
                <w:color w:val="000000"/>
                <w:sz w:val="15"/>
                <w:szCs w:val="15"/>
              </w:rPr>
              <w:t>16,373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A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0FA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0FAD" w14:textId="77777777" w:rsidR="00E836FB" w:rsidRDefault="00994958">
            <w:pPr>
              <w:jc w:val="right"/>
              <w:textAlignment w:val="bottom"/>
            </w:pPr>
            <w:r>
              <w:rPr>
                <w:rFonts w:ascii="Arial" w:eastAsia="宋体" w:hAnsi="Arial" w:cs="Arial"/>
                <w:b/>
                <w:bCs/>
                <w:color w:val="000000"/>
                <w:sz w:val="15"/>
                <w:szCs w:val="15"/>
              </w:rPr>
              <w:t>196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AE" w14:textId="77777777" w:rsidR="00E836FB" w:rsidRDefault="00E836FB">
            <w:pPr>
              <w:jc w:val="right"/>
              <w:rPr>
                <w:rFonts w:ascii="宋体"/>
              </w:rPr>
            </w:pPr>
          </w:p>
        </w:tc>
      </w:tr>
      <w:tr w:rsidR="00E836FB" w14:paraId="5F2D0FC2" w14:textId="77777777">
        <w:tc>
          <w:tcPr>
            <w:tcW w:w="0" w:type="auto"/>
            <w:gridSpan w:val="3"/>
            <w:shd w:val="clear" w:color="auto" w:fill="FFFFFF"/>
            <w:tcMar>
              <w:top w:w="40" w:type="dxa"/>
              <w:left w:w="155" w:type="dxa"/>
              <w:bottom w:w="40" w:type="dxa"/>
              <w:right w:w="20" w:type="dxa"/>
            </w:tcMar>
            <w:vAlign w:val="bottom"/>
          </w:tcPr>
          <w:p w14:paraId="5F2D0FB0" w14:textId="77777777" w:rsidR="00E836FB" w:rsidRDefault="00994958">
            <w:pPr>
              <w:textAlignment w:val="bottom"/>
            </w:pPr>
            <w:r>
              <w:rPr>
                <w:rFonts w:ascii="Arial" w:eastAsia="宋体" w:hAnsi="Arial" w:cs="Arial"/>
                <w:color w:val="000000"/>
                <w:sz w:val="15"/>
                <w:szCs w:val="15"/>
              </w:rPr>
              <w:t>Mortgag</w:t>
            </w:r>
            <w:r>
              <w:rPr>
                <w:rFonts w:ascii="Arial" w:eastAsia="宋体" w:hAnsi="Arial" w:cs="Arial"/>
                <w:color w:val="000000"/>
                <w:sz w:val="15"/>
                <w:szCs w:val="15"/>
              </w:rPr>
              <w:t>e-backed securities</w:t>
            </w:r>
          </w:p>
        </w:tc>
        <w:tc>
          <w:tcPr>
            <w:tcW w:w="0" w:type="auto"/>
            <w:gridSpan w:val="2"/>
            <w:shd w:val="clear" w:color="auto" w:fill="FFFFFF"/>
            <w:tcMar>
              <w:top w:w="40" w:type="dxa"/>
              <w:left w:w="20" w:type="dxa"/>
              <w:bottom w:w="40" w:type="dxa"/>
              <w:right w:w="0" w:type="dxa"/>
            </w:tcMar>
            <w:vAlign w:val="bottom"/>
          </w:tcPr>
          <w:p w14:paraId="5F2D0FB1" w14:textId="77777777" w:rsidR="00E836FB" w:rsidRDefault="00994958">
            <w:pPr>
              <w:jc w:val="right"/>
              <w:textAlignment w:val="bottom"/>
            </w:pPr>
            <w:r>
              <w:rPr>
                <w:rFonts w:ascii="Arial" w:eastAsia="宋体" w:hAnsi="Arial" w:cs="Arial"/>
                <w:b/>
                <w:bCs/>
                <w:color w:val="000000"/>
                <w:sz w:val="15"/>
                <w:szCs w:val="15"/>
              </w:rPr>
              <w:t>10,417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FB4" w14:textId="77777777" w:rsidR="00E836FB" w:rsidRDefault="00994958">
            <w:pPr>
              <w:jc w:val="right"/>
              <w:textAlignment w:val="bottom"/>
            </w:pPr>
            <w:r>
              <w:rPr>
                <w:rFonts w:ascii="Arial" w:eastAsia="宋体" w:hAnsi="Arial" w:cs="Arial"/>
                <w:b/>
                <w:bCs/>
                <w:color w:val="000000"/>
                <w:sz w:val="15"/>
                <w:szCs w:val="15"/>
              </w:rPr>
              <w:t>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FB7" w14:textId="77777777" w:rsidR="00E836FB" w:rsidRDefault="00994958">
            <w:pPr>
              <w:jc w:val="right"/>
              <w:textAlignment w:val="bottom"/>
            </w:pPr>
            <w:r>
              <w:rPr>
                <w:rFonts w:ascii="Arial" w:eastAsia="宋体" w:hAnsi="Arial" w:cs="Arial"/>
                <w:b/>
                <w:bCs/>
                <w:color w:val="000000"/>
                <w:sz w:val="15"/>
                <w:szCs w:val="15"/>
              </w:rPr>
              <w:t>369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FBA" w14:textId="77777777" w:rsidR="00E836FB" w:rsidRDefault="00994958">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B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B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FBD" w14:textId="77777777" w:rsidR="00E836FB" w:rsidRDefault="00994958">
            <w:pPr>
              <w:jc w:val="right"/>
              <w:textAlignment w:val="bottom"/>
            </w:pPr>
            <w:r>
              <w:rPr>
                <w:rFonts w:ascii="Arial" w:eastAsia="宋体" w:hAnsi="Arial" w:cs="Arial"/>
                <w:b/>
                <w:bCs/>
                <w:color w:val="000000"/>
                <w:sz w:val="15"/>
                <w:szCs w:val="15"/>
              </w:rPr>
              <w:t>10,786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B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B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FC0" w14:textId="77777777" w:rsidR="00E836FB" w:rsidRDefault="00994958">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C1" w14:textId="77777777" w:rsidR="00E836FB" w:rsidRDefault="00E836FB">
            <w:pPr>
              <w:jc w:val="right"/>
              <w:rPr>
                <w:rFonts w:ascii="宋体"/>
              </w:rPr>
            </w:pPr>
          </w:p>
        </w:tc>
      </w:tr>
      <w:tr w:rsidR="00E836FB" w14:paraId="5F2D0FD5" w14:textId="77777777">
        <w:tc>
          <w:tcPr>
            <w:tcW w:w="0" w:type="auto"/>
            <w:gridSpan w:val="3"/>
            <w:shd w:val="clear" w:color="auto" w:fill="CCEEFF"/>
            <w:tcMar>
              <w:top w:w="40" w:type="dxa"/>
              <w:left w:w="245" w:type="dxa"/>
              <w:bottom w:w="40" w:type="dxa"/>
              <w:right w:w="20" w:type="dxa"/>
            </w:tcMar>
            <w:vAlign w:val="bottom"/>
          </w:tcPr>
          <w:p w14:paraId="5F2D0FC3"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FC4" w14:textId="77777777" w:rsidR="00E836FB" w:rsidRDefault="00994958">
            <w:pPr>
              <w:jc w:val="right"/>
              <w:textAlignment w:val="bottom"/>
            </w:pPr>
            <w:r>
              <w:rPr>
                <w:rFonts w:ascii="Arial" w:eastAsia="宋体" w:hAnsi="Arial" w:cs="Arial"/>
                <w:b/>
                <w:bCs/>
                <w:color w:val="000000"/>
                <w:sz w:val="15"/>
                <w:szCs w:val="15"/>
              </w:rPr>
              <w:t>25,166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F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C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FC7" w14:textId="77777777" w:rsidR="00E836FB" w:rsidRDefault="00994958">
            <w:pPr>
              <w:jc w:val="right"/>
              <w:textAlignment w:val="bottom"/>
            </w:pPr>
            <w:r>
              <w:rPr>
                <w:rFonts w:ascii="Arial" w:eastAsia="宋体" w:hAnsi="Arial" w:cs="Arial"/>
                <w:b/>
                <w:bCs/>
                <w:color w:val="000000"/>
                <w:sz w:val="15"/>
                <w:szCs w:val="15"/>
              </w:rPr>
              <w:t>274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F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C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FCA" w14:textId="77777777" w:rsidR="00E836FB" w:rsidRDefault="00994958">
            <w:pPr>
              <w:jc w:val="right"/>
              <w:textAlignment w:val="bottom"/>
            </w:pPr>
            <w:r>
              <w:rPr>
                <w:rFonts w:ascii="Arial" w:eastAsia="宋体" w:hAnsi="Arial" w:cs="Arial"/>
                <w:b/>
                <w:bCs/>
                <w:color w:val="000000"/>
                <w:sz w:val="15"/>
                <w:szCs w:val="15"/>
              </w:rPr>
              <w:t>1,993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F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C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FCD" w14:textId="77777777" w:rsidR="00E836FB" w:rsidRDefault="00994958">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FC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C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FD0" w14:textId="77777777" w:rsidR="00E836FB" w:rsidRDefault="00994958">
            <w:pPr>
              <w:jc w:val="right"/>
              <w:textAlignment w:val="bottom"/>
            </w:pPr>
            <w:r>
              <w:rPr>
                <w:rFonts w:ascii="Arial" w:eastAsia="宋体" w:hAnsi="Arial" w:cs="Arial"/>
                <w:b/>
                <w:bCs/>
                <w:color w:val="000000"/>
                <w:sz w:val="15"/>
                <w:szCs w:val="15"/>
              </w:rPr>
              <w:t>27,159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FD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D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0FD3" w14:textId="77777777" w:rsidR="00E836FB" w:rsidRDefault="00994958">
            <w:pPr>
              <w:jc w:val="right"/>
              <w:textAlignment w:val="bottom"/>
            </w:pPr>
            <w:r>
              <w:rPr>
                <w:rFonts w:ascii="Arial" w:eastAsia="宋体" w:hAnsi="Arial" w:cs="Arial"/>
                <w:b/>
                <w:bCs/>
                <w:color w:val="000000"/>
                <w:sz w:val="15"/>
                <w:szCs w:val="15"/>
              </w:rPr>
              <w:t>290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0FD4" w14:textId="77777777" w:rsidR="00E836FB" w:rsidRDefault="00E836FB">
            <w:pPr>
              <w:jc w:val="right"/>
              <w:rPr>
                <w:rFonts w:ascii="宋体"/>
              </w:rPr>
            </w:pPr>
          </w:p>
        </w:tc>
      </w:tr>
      <w:tr w:rsidR="00E836FB" w14:paraId="5F2D0FE2" w14:textId="77777777">
        <w:tc>
          <w:tcPr>
            <w:tcW w:w="0" w:type="auto"/>
            <w:gridSpan w:val="3"/>
            <w:shd w:val="clear" w:color="auto" w:fill="FFFFFF"/>
            <w:tcMar>
              <w:top w:w="40" w:type="dxa"/>
              <w:left w:w="20" w:type="dxa"/>
              <w:bottom w:w="40" w:type="dxa"/>
              <w:right w:w="20" w:type="dxa"/>
            </w:tcMar>
            <w:vAlign w:val="bottom"/>
          </w:tcPr>
          <w:p w14:paraId="5F2D0FD6"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FD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FD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FD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FD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F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FDC"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FD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FDE"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FD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0FE0"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0FE1" w14:textId="77777777" w:rsidR="00E836FB" w:rsidRDefault="00E836FB">
            <w:pPr>
              <w:rPr>
                <w:rFonts w:ascii="宋体"/>
              </w:rPr>
            </w:pPr>
          </w:p>
        </w:tc>
      </w:tr>
      <w:tr w:rsidR="00E836FB" w14:paraId="5F2D0FF5" w14:textId="77777777">
        <w:tc>
          <w:tcPr>
            <w:tcW w:w="0" w:type="auto"/>
            <w:gridSpan w:val="3"/>
            <w:shd w:val="clear" w:color="auto" w:fill="CCEEFF"/>
            <w:tcMar>
              <w:top w:w="40" w:type="dxa"/>
              <w:left w:w="155" w:type="dxa"/>
              <w:bottom w:w="40" w:type="dxa"/>
              <w:right w:w="20" w:type="dxa"/>
            </w:tcMar>
            <w:vAlign w:val="bottom"/>
          </w:tcPr>
          <w:p w14:paraId="5F2D0FE3" w14:textId="77777777" w:rsidR="00E836FB" w:rsidRDefault="00994958">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5F2D0FE4" w14:textId="77777777" w:rsidR="00E836FB" w:rsidRDefault="00994958">
            <w:pPr>
              <w:jc w:val="right"/>
              <w:textAlignment w:val="bottom"/>
            </w:pPr>
            <w:r>
              <w:rPr>
                <w:rFonts w:ascii="Arial" w:eastAsia="宋体" w:hAnsi="Arial" w:cs="Arial"/>
                <w:b/>
                <w:bCs/>
                <w:color w:val="000000"/>
                <w:sz w:val="15"/>
                <w:szCs w:val="15"/>
              </w:rPr>
              <w:t>577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E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E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FE7"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FEA" w14:textId="77777777" w:rsidR="00E836FB" w:rsidRDefault="00994958">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FED"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FF0" w14:textId="77777777" w:rsidR="00E836FB" w:rsidRDefault="00994958">
            <w:pPr>
              <w:jc w:val="right"/>
              <w:textAlignment w:val="bottom"/>
            </w:pPr>
            <w:r>
              <w:rPr>
                <w:rFonts w:ascii="Arial" w:eastAsia="宋体" w:hAnsi="Arial" w:cs="Arial"/>
                <w:b/>
                <w:bCs/>
                <w:color w:val="000000"/>
                <w:sz w:val="15"/>
                <w:szCs w:val="15"/>
              </w:rPr>
              <w:t>607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0F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0FF3"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0FF4" w14:textId="77777777" w:rsidR="00E836FB" w:rsidRDefault="00E836FB">
            <w:pPr>
              <w:jc w:val="right"/>
              <w:rPr>
                <w:rFonts w:ascii="宋体"/>
              </w:rPr>
            </w:pPr>
          </w:p>
        </w:tc>
      </w:tr>
      <w:tr w:rsidR="00E836FB" w14:paraId="5F2D1008" w14:textId="77777777">
        <w:tc>
          <w:tcPr>
            <w:tcW w:w="0" w:type="auto"/>
            <w:gridSpan w:val="3"/>
            <w:shd w:val="clear" w:color="auto" w:fill="FFFFFF"/>
            <w:tcMar>
              <w:top w:w="40" w:type="dxa"/>
              <w:left w:w="155" w:type="dxa"/>
              <w:bottom w:w="40" w:type="dxa"/>
              <w:right w:w="20" w:type="dxa"/>
            </w:tcMar>
            <w:vAlign w:val="bottom"/>
          </w:tcPr>
          <w:p w14:paraId="5F2D0FF6"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F2D0FF7" w14:textId="77777777" w:rsidR="00E836FB" w:rsidRDefault="00994958">
            <w:pPr>
              <w:jc w:val="right"/>
              <w:textAlignment w:val="bottom"/>
            </w:pPr>
            <w:r>
              <w:rPr>
                <w:rFonts w:ascii="Arial" w:eastAsia="宋体" w:hAnsi="Arial" w:cs="Arial"/>
                <w:b/>
                <w:bCs/>
                <w:color w:val="000000"/>
                <w:sz w:val="15"/>
                <w:szCs w:val="15"/>
              </w:rPr>
              <w:t>1,021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F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FFA"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F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F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0FFD" w14:textId="77777777" w:rsidR="00E836FB" w:rsidRDefault="00994958">
            <w:pPr>
              <w:jc w:val="right"/>
              <w:textAlignment w:val="bottom"/>
            </w:pPr>
            <w:r>
              <w:rPr>
                <w:rFonts w:ascii="Arial" w:eastAsia="宋体" w:hAnsi="Arial" w:cs="Arial"/>
                <w:b/>
                <w:bCs/>
                <w:color w:val="000000"/>
                <w:sz w:val="15"/>
                <w:szCs w:val="15"/>
              </w:rPr>
              <w:t>127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0FF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0FF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00"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0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0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03" w14:textId="77777777" w:rsidR="00E836FB" w:rsidRDefault="00994958">
            <w:pPr>
              <w:jc w:val="right"/>
              <w:textAlignment w:val="bottom"/>
            </w:pPr>
            <w:r>
              <w:rPr>
                <w:rFonts w:ascii="Arial" w:eastAsia="宋体" w:hAnsi="Arial" w:cs="Arial"/>
                <w:b/>
                <w:bCs/>
                <w:color w:val="000000"/>
                <w:sz w:val="15"/>
                <w:szCs w:val="15"/>
              </w:rPr>
              <w:t>1,148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0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0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06"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07" w14:textId="77777777" w:rsidR="00E836FB" w:rsidRDefault="00E836FB">
            <w:pPr>
              <w:jc w:val="right"/>
              <w:rPr>
                <w:rFonts w:ascii="宋体"/>
              </w:rPr>
            </w:pPr>
          </w:p>
        </w:tc>
      </w:tr>
      <w:tr w:rsidR="00E836FB" w14:paraId="5F2D101B" w14:textId="77777777">
        <w:tc>
          <w:tcPr>
            <w:tcW w:w="0" w:type="auto"/>
            <w:gridSpan w:val="3"/>
            <w:shd w:val="clear" w:color="auto" w:fill="CCEEFF"/>
            <w:tcMar>
              <w:top w:w="40" w:type="dxa"/>
              <w:left w:w="155" w:type="dxa"/>
              <w:bottom w:w="40" w:type="dxa"/>
              <w:right w:w="20" w:type="dxa"/>
            </w:tcMar>
            <w:vAlign w:val="bottom"/>
          </w:tcPr>
          <w:p w14:paraId="5F2D1009" w14:textId="77777777" w:rsidR="00E836FB" w:rsidRDefault="00994958">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5F2D100A" w14:textId="77777777" w:rsidR="00E836FB" w:rsidRDefault="00994958">
            <w:pPr>
              <w:jc w:val="right"/>
              <w:textAlignment w:val="bottom"/>
            </w:pPr>
            <w:r>
              <w:rPr>
                <w:rFonts w:ascii="Arial" w:eastAsia="宋体" w:hAnsi="Arial" w:cs="Arial"/>
                <w:b/>
                <w:bCs/>
                <w:color w:val="000000"/>
                <w:sz w:val="15"/>
                <w:szCs w:val="15"/>
              </w:rPr>
              <w:t>10,406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0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0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0D" w14:textId="77777777" w:rsidR="00E836FB" w:rsidRDefault="00994958">
            <w:pPr>
              <w:jc w:val="right"/>
              <w:textAlignment w:val="bottom"/>
            </w:pPr>
            <w:r>
              <w:rPr>
                <w:rFonts w:ascii="Arial" w:eastAsia="宋体" w:hAnsi="Arial" w:cs="Arial"/>
                <w:b/>
                <w:bCs/>
                <w:color w:val="000000"/>
                <w:sz w:val="15"/>
                <w:szCs w:val="15"/>
              </w:rPr>
              <w:t>97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0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0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10" w14:textId="77777777" w:rsidR="00E836FB" w:rsidRDefault="00994958">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1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13"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1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16" w14:textId="77777777" w:rsidR="00E836FB" w:rsidRDefault="00994958">
            <w:pPr>
              <w:jc w:val="right"/>
              <w:textAlignment w:val="bottom"/>
            </w:pPr>
            <w:r>
              <w:rPr>
                <w:rFonts w:ascii="Arial" w:eastAsia="宋体" w:hAnsi="Arial" w:cs="Arial"/>
                <w:b/>
                <w:bCs/>
                <w:color w:val="000000"/>
                <w:sz w:val="15"/>
                <w:szCs w:val="15"/>
              </w:rPr>
              <w:t>10,469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1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1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19" w14:textId="77777777" w:rsidR="00E836FB" w:rsidRDefault="00994958">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1A" w14:textId="77777777" w:rsidR="00E836FB" w:rsidRDefault="00E836FB">
            <w:pPr>
              <w:jc w:val="right"/>
              <w:rPr>
                <w:rFonts w:ascii="宋体"/>
              </w:rPr>
            </w:pPr>
          </w:p>
        </w:tc>
      </w:tr>
      <w:tr w:rsidR="00E836FB" w14:paraId="5F2D102E" w14:textId="77777777">
        <w:tc>
          <w:tcPr>
            <w:tcW w:w="0" w:type="auto"/>
            <w:gridSpan w:val="3"/>
            <w:shd w:val="clear" w:color="auto" w:fill="FFFFFF"/>
            <w:tcMar>
              <w:top w:w="40" w:type="dxa"/>
              <w:left w:w="155" w:type="dxa"/>
              <w:bottom w:w="40" w:type="dxa"/>
              <w:right w:w="20" w:type="dxa"/>
            </w:tcMar>
            <w:vAlign w:val="bottom"/>
          </w:tcPr>
          <w:p w14:paraId="5F2D101C"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D101D" w14:textId="77777777" w:rsidR="00E836FB" w:rsidRDefault="00994958">
            <w:pPr>
              <w:jc w:val="right"/>
              <w:textAlignment w:val="bottom"/>
            </w:pPr>
            <w:r>
              <w:rPr>
                <w:rFonts w:ascii="Arial" w:eastAsia="宋体" w:hAnsi="Arial" w:cs="Arial"/>
                <w:b/>
                <w:bCs/>
                <w:color w:val="000000"/>
                <w:sz w:val="15"/>
                <w:szCs w:val="15"/>
              </w:rPr>
              <w:t>1,570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1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1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20" w14:textId="77777777" w:rsidR="00E836FB" w:rsidRDefault="00994958">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2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23" w14:textId="77777777" w:rsidR="00E836FB" w:rsidRDefault="00994958">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2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26" w14:textId="77777777" w:rsidR="00E836FB" w:rsidRDefault="00994958">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2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29" w14:textId="77777777" w:rsidR="00E836FB" w:rsidRDefault="00994958">
            <w:pPr>
              <w:jc w:val="right"/>
              <w:textAlignment w:val="bottom"/>
            </w:pPr>
            <w:r>
              <w:rPr>
                <w:rFonts w:ascii="Arial" w:eastAsia="宋体" w:hAnsi="Arial" w:cs="Arial"/>
                <w:b/>
                <w:bCs/>
                <w:color w:val="000000"/>
                <w:sz w:val="15"/>
                <w:szCs w:val="15"/>
              </w:rPr>
              <w:t>1,589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2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2C" w14:textId="77777777" w:rsidR="00E836FB" w:rsidRDefault="00994958">
            <w:pPr>
              <w:jc w:val="right"/>
              <w:textAlignment w:val="bottom"/>
            </w:pPr>
            <w:r>
              <w:rPr>
                <w:rFonts w:ascii="Arial" w:eastAsia="宋体" w:hAnsi="Arial" w:cs="Arial"/>
                <w:b/>
                <w:bCs/>
                <w:color w:val="000000"/>
                <w:sz w:val="15"/>
                <w:szCs w:val="15"/>
              </w:rPr>
              <w:t>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2D" w14:textId="77777777" w:rsidR="00E836FB" w:rsidRDefault="00E836FB">
            <w:pPr>
              <w:jc w:val="right"/>
              <w:rPr>
                <w:rFonts w:ascii="宋体"/>
              </w:rPr>
            </w:pPr>
          </w:p>
        </w:tc>
      </w:tr>
      <w:tr w:rsidR="00E836FB" w14:paraId="5F2D1041" w14:textId="77777777">
        <w:tc>
          <w:tcPr>
            <w:tcW w:w="0" w:type="auto"/>
            <w:gridSpan w:val="3"/>
            <w:shd w:val="clear" w:color="auto" w:fill="CCEEFF"/>
            <w:tcMar>
              <w:top w:w="40" w:type="dxa"/>
              <w:left w:w="245" w:type="dxa"/>
              <w:bottom w:w="40" w:type="dxa"/>
              <w:right w:w="20" w:type="dxa"/>
            </w:tcMar>
            <w:vAlign w:val="bottom"/>
          </w:tcPr>
          <w:p w14:paraId="5F2D102F"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30" w14:textId="77777777" w:rsidR="00E836FB" w:rsidRDefault="00994958">
            <w:pPr>
              <w:jc w:val="right"/>
              <w:textAlignment w:val="bottom"/>
            </w:pPr>
            <w:r>
              <w:rPr>
                <w:rFonts w:ascii="Arial" w:eastAsia="宋体" w:hAnsi="Arial" w:cs="Arial"/>
                <w:b/>
                <w:bCs/>
                <w:color w:val="000000"/>
                <w:sz w:val="15"/>
                <w:szCs w:val="15"/>
              </w:rPr>
              <w:t>13,574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3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33" w14:textId="77777777" w:rsidR="00E836FB" w:rsidRDefault="00994958">
            <w:pPr>
              <w:jc w:val="right"/>
              <w:textAlignment w:val="bottom"/>
            </w:pPr>
            <w:r>
              <w:rPr>
                <w:rFonts w:ascii="Arial" w:eastAsia="宋体" w:hAnsi="Arial" w:cs="Arial"/>
                <w:b/>
                <w:bCs/>
                <w:color w:val="000000"/>
                <w:sz w:val="15"/>
                <w:szCs w:val="15"/>
              </w:rPr>
              <w:t>133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3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3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36" w14:textId="77777777" w:rsidR="00E836FB" w:rsidRDefault="00994958">
            <w:pPr>
              <w:jc w:val="right"/>
              <w:textAlignment w:val="bottom"/>
            </w:pPr>
            <w:r>
              <w:rPr>
                <w:rFonts w:ascii="Arial" w:eastAsia="宋体" w:hAnsi="Arial" w:cs="Arial"/>
                <w:b/>
                <w:bCs/>
                <w:color w:val="000000"/>
                <w:sz w:val="15"/>
                <w:szCs w:val="15"/>
              </w:rPr>
              <w:t>239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3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3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39" w14:textId="77777777" w:rsidR="00E836FB" w:rsidRDefault="00994958">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3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3C" w14:textId="77777777" w:rsidR="00E836FB" w:rsidRDefault="00994958">
            <w:pPr>
              <w:jc w:val="right"/>
              <w:textAlignment w:val="bottom"/>
            </w:pPr>
            <w:r>
              <w:rPr>
                <w:rFonts w:ascii="Arial" w:eastAsia="宋体" w:hAnsi="Arial" w:cs="Arial"/>
                <w:b/>
                <w:bCs/>
                <w:color w:val="000000"/>
                <w:sz w:val="15"/>
                <w:szCs w:val="15"/>
              </w:rPr>
              <w:t>13,813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3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3F" w14:textId="77777777" w:rsidR="00E836FB" w:rsidRDefault="00994958">
            <w:pPr>
              <w:jc w:val="right"/>
              <w:textAlignment w:val="bottom"/>
            </w:pPr>
            <w:r>
              <w:rPr>
                <w:rFonts w:ascii="Arial" w:eastAsia="宋体" w:hAnsi="Arial" w:cs="Arial"/>
                <w:b/>
                <w:bCs/>
                <w:color w:val="000000"/>
                <w:sz w:val="15"/>
                <w:szCs w:val="15"/>
              </w:rPr>
              <w:t>137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40" w14:textId="77777777" w:rsidR="00E836FB" w:rsidRDefault="00E836FB">
            <w:pPr>
              <w:jc w:val="right"/>
              <w:rPr>
                <w:rFonts w:ascii="宋体"/>
              </w:rPr>
            </w:pPr>
          </w:p>
        </w:tc>
      </w:tr>
      <w:tr w:rsidR="00E836FB" w14:paraId="5F2D104E" w14:textId="77777777">
        <w:tc>
          <w:tcPr>
            <w:tcW w:w="0" w:type="auto"/>
            <w:gridSpan w:val="3"/>
            <w:shd w:val="clear" w:color="auto" w:fill="FFFFFF"/>
            <w:tcMar>
              <w:top w:w="40" w:type="dxa"/>
              <w:left w:w="20" w:type="dxa"/>
              <w:bottom w:w="40" w:type="dxa"/>
              <w:right w:w="20" w:type="dxa"/>
            </w:tcMar>
            <w:vAlign w:val="bottom"/>
          </w:tcPr>
          <w:p w14:paraId="5F2D1042"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04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044"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04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046"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04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04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04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04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04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04C"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04D" w14:textId="77777777" w:rsidR="00E836FB" w:rsidRDefault="00E836FB">
            <w:pPr>
              <w:rPr>
                <w:rFonts w:ascii="宋体"/>
              </w:rPr>
            </w:pPr>
          </w:p>
        </w:tc>
      </w:tr>
      <w:tr w:rsidR="00E836FB" w14:paraId="5F2D105B" w14:textId="77777777">
        <w:trPr>
          <w:hidden/>
        </w:trPr>
        <w:tc>
          <w:tcPr>
            <w:tcW w:w="0" w:type="auto"/>
            <w:gridSpan w:val="3"/>
            <w:shd w:val="clear" w:color="auto" w:fill="auto"/>
            <w:vAlign w:val="bottom"/>
          </w:tcPr>
          <w:p w14:paraId="5F2D104F" w14:textId="77777777" w:rsidR="00E836FB" w:rsidRDefault="00E836FB">
            <w:pPr>
              <w:rPr>
                <w:rFonts w:ascii="宋体"/>
                <w:vanish/>
              </w:rPr>
            </w:pPr>
          </w:p>
        </w:tc>
        <w:tc>
          <w:tcPr>
            <w:tcW w:w="0" w:type="auto"/>
            <w:gridSpan w:val="3"/>
            <w:shd w:val="clear" w:color="auto" w:fill="auto"/>
            <w:vAlign w:val="bottom"/>
          </w:tcPr>
          <w:p w14:paraId="5F2D1050" w14:textId="77777777" w:rsidR="00E836FB" w:rsidRDefault="00E836FB">
            <w:pPr>
              <w:rPr>
                <w:rFonts w:ascii="宋体"/>
                <w:vanish/>
              </w:rPr>
            </w:pPr>
          </w:p>
        </w:tc>
        <w:tc>
          <w:tcPr>
            <w:tcW w:w="0" w:type="auto"/>
            <w:gridSpan w:val="3"/>
            <w:shd w:val="clear" w:color="auto" w:fill="auto"/>
            <w:vAlign w:val="bottom"/>
          </w:tcPr>
          <w:p w14:paraId="5F2D1051" w14:textId="77777777" w:rsidR="00E836FB" w:rsidRDefault="00E836FB">
            <w:pPr>
              <w:rPr>
                <w:rFonts w:ascii="宋体"/>
                <w:vanish/>
              </w:rPr>
            </w:pPr>
          </w:p>
        </w:tc>
        <w:tc>
          <w:tcPr>
            <w:tcW w:w="0" w:type="auto"/>
            <w:gridSpan w:val="3"/>
            <w:shd w:val="clear" w:color="auto" w:fill="auto"/>
            <w:vAlign w:val="bottom"/>
          </w:tcPr>
          <w:p w14:paraId="5F2D1052" w14:textId="77777777" w:rsidR="00E836FB" w:rsidRDefault="00E836FB">
            <w:pPr>
              <w:rPr>
                <w:rFonts w:ascii="宋体"/>
                <w:vanish/>
              </w:rPr>
            </w:pPr>
          </w:p>
        </w:tc>
        <w:tc>
          <w:tcPr>
            <w:tcW w:w="0" w:type="auto"/>
            <w:gridSpan w:val="3"/>
            <w:shd w:val="clear" w:color="auto" w:fill="auto"/>
            <w:vAlign w:val="bottom"/>
          </w:tcPr>
          <w:p w14:paraId="5F2D1053" w14:textId="77777777" w:rsidR="00E836FB" w:rsidRDefault="00E836FB">
            <w:pPr>
              <w:rPr>
                <w:rFonts w:ascii="宋体"/>
                <w:vanish/>
              </w:rPr>
            </w:pPr>
          </w:p>
        </w:tc>
        <w:tc>
          <w:tcPr>
            <w:tcW w:w="0" w:type="auto"/>
            <w:gridSpan w:val="3"/>
            <w:shd w:val="clear" w:color="auto" w:fill="auto"/>
            <w:vAlign w:val="bottom"/>
          </w:tcPr>
          <w:p w14:paraId="5F2D1054" w14:textId="77777777" w:rsidR="00E836FB" w:rsidRDefault="00E836FB">
            <w:pPr>
              <w:rPr>
                <w:rFonts w:ascii="宋体"/>
                <w:vanish/>
              </w:rPr>
            </w:pPr>
          </w:p>
        </w:tc>
        <w:tc>
          <w:tcPr>
            <w:tcW w:w="0" w:type="auto"/>
            <w:gridSpan w:val="3"/>
            <w:shd w:val="clear" w:color="auto" w:fill="auto"/>
            <w:vAlign w:val="bottom"/>
          </w:tcPr>
          <w:p w14:paraId="5F2D1055" w14:textId="77777777" w:rsidR="00E836FB" w:rsidRDefault="00E836FB">
            <w:pPr>
              <w:rPr>
                <w:rFonts w:ascii="宋体"/>
                <w:vanish/>
              </w:rPr>
            </w:pPr>
          </w:p>
        </w:tc>
        <w:tc>
          <w:tcPr>
            <w:tcW w:w="0" w:type="auto"/>
            <w:gridSpan w:val="3"/>
            <w:shd w:val="clear" w:color="auto" w:fill="auto"/>
            <w:vAlign w:val="bottom"/>
          </w:tcPr>
          <w:p w14:paraId="5F2D1056" w14:textId="77777777" w:rsidR="00E836FB" w:rsidRDefault="00E836FB">
            <w:pPr>
              <w:rPr>
                <w:rFonts w:ascii="宋体"/>
                <w:vanish/>
              </w:rPr>
            </w:pPr>
          </w:p>
        </w:tc>
        <w:tc>
          <w:tcPr>
            <w:tcW w:w="0" w:type="auto"/>
            <w:gridSpan w:val="3"/>
            <w:shd w:val="clear" w:color="auto" w:fill="auto"/>
            <w:vAlign w:val="bottom"/>
          </w:tcPr>
          <w:p w14:paraId="5F2D1057" w14:textId="77777777" w:rsidR="00E836FB" w:rsidRDefault="00E836FB">
            <w:pPr>
              <w:rPr>
                <w:rFonts w:ascii="宋体"/>
                <w:vanish/>
              </w:rPr>
            </w:pPr>
          </w:p>
        </w:tc>
        <w:tc>
          <w:tcPr>
            <w:tcW w:w="0" w:type="auto"/>
            <w:gridSpan w:val="3"/>
            <w:shd w:val="clear" w:color="auto" w:fill="auto"/>
            <w:vAlign w:val="bottom"/>
          </w:tcPr>
          <w:p w14:paraId="5F2D1058" w14:textId="77777777" w:rsidR="00E836FB" w:rsidRDefault="00E836FB">
            <w:pPr>
              <w:rPr>
                <w:rFonts w:ascii="宋体"/>
                <w:vanish/>
              </w:rPr>
            </w:pPr>
          </w:p>
        </w:tc>
        <w:tc>
          <w:tcPr>
            <w:tcW w:w="0" w:type="auto"/>
            <w:gridSpan w:val="3"/>
            <w:shd w:val="clear" w:color="auto" w:fill="auto"/>
            <w:vAlign w:val="bottom"/>
          </w:tcPr>
          <w:p w14:paraId="5F2D1059" w14:textId="77777777" w:rsidR="00E836FB" w:rsidRDefault="00E836FB">
            <w:pPr>
              <w:rPr>
                <w:rFonts w:ascii="宋体"/>
                <w:vanish/>
              </w:rPr>
            </w:pPr>
          </w:p>
        </w:tc>
        <w:tc>
          <w:tcPr>
            <w:tcW w:w="0" w:type="auto"/>
            <w:gridSpan w:val="3"/>
            <w:shd w:val="clear" w:color="auto" w:fill="auto"/>
            <w:vAlign w:val="bottom"/>
          </w:tcPr>
          <w:p w14:paraId="5F2D105A" w14:textId="77777777" w:rsidR="00E836FB" w:rsidRDefault="00E836FB">
            <w:pPr>
              <w:rPr>
                <w:rFonts w:ascii="宋体"/>
                <w:vanish/>
              </w:rPr>
            </w:pPr>
          </w:p>
        </w:tc>
      </w:tr>
      <w:tr w:rsidR="00E836FB" w14:paraId="5F2D106E" w14:textId="77777777">
        <w:tc>
          <w:tcPr>
            <w:tcW w:w="0" w:type="auto"/>
            <w:gridSpan w:val="3"/>
            <w:shd w:val="clear" w:color="auto" w:fill="CCEEFF"/>
            <w:tcMar>
              <w:top w:w="40" w:type="dxa"/>
              <w:left w:w="155" w:type="dxa"/>
              <w:bottom w:w="40" w:type="dxa"/>
              <w:right w:w="20" w:type="dxa"/>
            </w:tcMar>
            <w:vAlign w:val="bottom"/>
          </w:tcPr>
          <w:p w14:paraId="5F2D105C" w14:textId="77777777" w:rsidR="00E836FB" w:rsidRDefault="00994958">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5F2D105D" w14:textId="77777777" w:rsidR="00E836FB" w:rsidRDefault="00994958">
            <w:pPr>
              <w:jc w:val="right"/>
              <w:textAlignment w:val="bottom"/>
            </w:pPr>
            <w:r>
              <w:rPr>
                <w:rFonts w:ascii="Arial" w:eastAsia="宋体" w:hAnsi="Arial" w:cs="Arial"/>
                <w:b/>
                <w:bCs/>
                <w:color w:val="000000"/>
                <w:sz w:val="15"/>
                <w:szCs w:val="15"/>
              </w:rPr>
              <w:t>1,268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60"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6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6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63"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6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6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6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69" w14:textId="77777777" w:rsidR="00E836FB" w:rsidRDefault="00994958">
            <w:pPr>
              <w:jc w:val="right"/>
              <w:textAlignment w:val="bottom"/>
            </w:pPr>
            <w:r>
              <w:rPr>
                <w:rFonts w:ascii="Arial" w:eastAsia="宋体" w:hAnsi="Arial" w:cs="Arial"/>
                <w:b/>
                <w:bCs/>
                <w:color w:val="000000"/>
                <w:sz w:val="15"/>
                <w:szCs w:val="15"/>
              </w:rPr>
              <w:t>1,268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6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06C"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06D" w14:textId="77777777" w:rsidR="00E836FB" w:rsidRDefault="00E836FB">
            <w:pPr>
              <w:jc w:val="right"/>
              <w:rPr>
                <w:rFonts w:ascii="宋体"/>
              </w:rPr>
            </w:pPr>
          </w:p>
        </w:tc>
      </w:tr>
      <w:tr w:rsidR="00E836FB" w14:paraId="5F2D1081" w14:textId="77777777">
        <w:tc>
          <w:tcPr>
            <w:tcW w:w="0" w:type="auto"/>
            <w:gridSpan w:val="3"/>
            <w:shd w:val="clear" w:color="auto" w:fill="FFFFFF"/>
            <w:tcMar>
              <w:top w:w="40" w:type="dxa"/>
              <w:left w:w="245" w:type="dxa"/>
              <w:bottom w:w="40" w:type="dxa"/>
              <w:right w:w="20" w:type="dxa"/>
            </w:tcMar>
            <w:vAlign w:val="bottom"/>
          </w:tcPr>
          <w:p w14:paraId="5F2D106F" w14:textId="77777777" w:rsidR="00E836FB" w:rsidRDefault="00994958">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070" w14:textId="77777777" w:rsidR="00E836FB" w:rsidRDefault="00994958">
            <w:pPr>
              <w:jc w:val="right"/>
              <w:textAlignment w:val="bottom"/>
            </w:pPr>
            <w:r>
              <w:rPr>
                <w:rFonts w:ascii="Arial" w:eastAsia="宋体" w:hAnsi="Arial" w:cs="Arial"/>
                <w:b/>
                <w:bCs/>
                <w:color w:val="000000"/>
                <w:sz w:val="15"/>
                <w:szCs w:val="15"/>
              </w:rPr>
              <w:t>1,268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07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7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073"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07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7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07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0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7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079"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0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7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07C" w14:textId="77777777" w:rsidR="00E836FB" w:rsidRDefault="00994958">
            <w:pPr>
              <w:jc w:val="right"/>
              <w:textAlignment w:val="bottom"/>
            </w:pPr>
            <w:r>
              <w:rPr>
                <w:rFonts w:ascii="Arial" w:eastAsia="宋体" w:hAnsi="Arial" w:cs="Arial"/>
                <w:b/>
                <w:bCs/>
                <w:color w:val="000000"/>
                <w:sz w:val="15"/>
                <w:szCs w:val="15"/>
              </w:rPr>
              <w:t>1,268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0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7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07F"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080" w14:textId="77777777" w:rsidR="00E836FB" w:rsidRDefault="00E836FB">
            <w:pPr>
              <w:jc w:val="right"/>
              <w:rPr>
                <w:rFonts w:ascii="宋体"/>
              </w:rPr>
            </w:pPr>
          </w:p>
        </w:tc>
      </w:tr>
      <w:tr w:rsidR="00E836FB" w14:paraId="5F2D1094" w14:textId="77777777">
        <w:tc>
          <w:tcPr>
            <w:tcW w:w="0" w:type="auto"/>
            <w:gridSpan w:val="3"/>
            <w:shd w:val="clear" w:color="auto" w:fill="CCEEFF"/>
            <w:tcMar>
              <w:top w:w="40" w:type="dxa"/>
              <w:left w:w="20" w:type="dxa"/>
              <w:bottom w:w="40" w:type="dxa"/>
              <w:right w:w="20" w:type="dxa"/>
            </w:tcMar>
            <w:vAlign w:val="bottom"/>
          </w:tcPr>
          <w:p w14:paraId="5F2D1082" w14:textId="77777777" w:rsidR="00E836FB" w:rsidRDefault="00994958">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83" w14:textId="77777777" w:rsidR="00E836FB" w:rsidRDefault="00994958">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8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8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8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89" w14:textId="77777777" w:rsidR="00E836FB" w:rsidRDefault="00994958">
            <w:pPr>
              <w:jc w:val="right"/>
              <w:textAlignment w:val="bottom"/>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8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8C"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8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8F" w14:textId="77777777" w:rsidR="00E836FB" w:rsidRDefault="00994958">
            <w:pPr>
              <w:jc w:val="right"/>
              <w:textAlignment w:val="bottom"/>
            </w:pPr>
            <w:r>
              <w:rPr>
                <w:rFonts w:ascii="Arial" w:eastAsia="宋体" w:hAnsi="Arial" w:cs="Arial"/>
                <w:b/>
                <w:bCs/>
                <w:color w:val="000000"/>
                <w:sz w:val="15"/>
                <w:szCs w:val="15"/>
              </w:rPr>
              <w:t>55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9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092" w14:textId="77777777" w:rsidR="00E836FB" w:rsidRDefault="00994958">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093" w14:textId="77777777" w:rsidR="00E836FB" w:rsidRDefault="00E836FB">
            <w:pPr>
              <w:jc w:val="right"/>
              <w:rPr>
                <w:rFonts w:ascii="宋体"/>
              </w:rPr>
            </w:pPr>
          </w:p>
        </w:tc>
      </w:tr>
      <w:tr w:rsidR="00E836FB" w14:paraId="5F2D10A1" w14:textId="77777777">
        <w:trPr>
          <w:hidden/>
        </w:trPr>
        <w:tc>
          <w:tcPr>
            <w:tcW w:w="0" w:type="auto"/>
            <w:gridSpan w:val="3"/>
            <w:shd w:val="clear" w:color="auto" w:fill="auto"/>
            <w:vAlign w:val="bottom"/>
          </w:tcPr>
          <w:p w14:paraId="5F2D1095" w14:textId="77777777" w:rsidR="00E836FB" w:rsidRDefault="00E836FB">
            <w:pPr>
              <w:rPr>
                <w:rFonts w:ascii="宋体"/>
                <w:vanish/>
              </w:rPr>
            </w:pPr>
          </w:p>
        </w:tc>
        <w:tc>
          <w:tcPr>
            <w:tcW w:w="0" w:type="auto"/>
            <w:gridSpan w:val="3"/>
            <w:shd w:val="clear" w:color="auto" w:fill="auto"/>
            <w:vAlign w:val="bottom"/>
          </w:tcPr>
          <w:p w14:paraId="5F2D1096" w14:textId="77777777" w:rsidR="00E836FB" w:rsidRDefault="00E836FB">
            <w:pPr>
              <w:rPr>
                <w:rFonts w:ascii="宋体"/>
                <w:vanish/>
              </w:rPr>
            </w:pPr>
          </w:p>
        </w:tc>
        <w:tc>
          <w:tcPr>
            <w:tcW w:w="0" w:type="auto"/>
            <w:gridSpan w:val="3"/>
            <w:shd w:val="clear" w:color="auto" w:fill="auto"/>
            <w:vAlign w:val="bottom"/>
          </w:tcPr>
          <w:p w14:paraId="5F2D1097" w14:textId="77777777" w:rsidR="00E836FB" w:rsidRDefault="00E836FB">
            <w:pPr>
              <w:rPr>
                <w:rFonts w:ascii="宋体"/>
                <w:vanish/>
              </w:rPr>
            </w:pPr>
          </w:p>
        </w:tc>
        <w:tc>
          <w:tcPr>
            <w:tcW w:w="0" w:type="auto"/>
            <w:gridSpan w:val="3"/>
            <w:shd w:val="clear" w:color="auto" w:fill="auto"/>
            <w:vAlign w:val="bottom"/>
          </w:tcPr>
          <w:p w14:paraId="5F2D1098" w14:textId="77777777" w:rsidR="00E836FB" w:rsidRDefault="00E836FB">
            <w:pPr>
              <w:rPr>
                <w:rFonts w:ascii="宋体"/>
                <w:vanish/>
              </w:rPr>
            </w:pPr>
          </w:p>
        </w:tc>
        <w:tc>
          <w:tcPr>
            <w:tcW w:w="0" w:type="auto"/>
            <w:gridSpan w:val="3"/>
            <w:shd w:val="clear" w:color="auto" w:fill="auto"/>
            <w:vAlign w:val="bottom"/>
          </w:tcPr>
          <w:p w14:paraId="5F2D1099" w14:textId="77777777" w:rsidR="00E836FB" w:rsidRDefault="00E836FB">
            <w:pPr>
              <w:rPr>
                <w:rFonts w:ascii="宋体"/>
                <w:vanish/>
              </w:rPr>
            </w:pPr>
          </w:p>
        </w:tc>
        <w:tc>
          <w:tcPr>
            <w:tcW w:w="0" w:type="auto"/>
            <w:gridSpan w:val="3"/>
            <w:shd w:val="clear" w:color="auto" w:fill="auto"/>
            <w:vAlign w:val="bottom"/>
          </w:tcPr>
          <w:p w14:paraId="5F2D109A" w14:textId="77777777" w:rsidR="00E836FB" w:rsidRDefault="00E836FB">
            <w:pPr>
              <w:rPr>
                <w:rFonts w:ascii="宋体"/>
                <w:vanish/>
              </w:rPr>
            </w:pPr>
          </w:p>
        </w:tc>
        <w:tc>
          <w:tcPr>
            <w:tcW w:w="0" w:type="auto"/>
            <w:gridSpan w:val="3"/>
            <w:shd w:val="clear" w:color="auto" w:fill="auto"/>
            <w:vAlign w:val="bottom"/>
          </w:tcPr>
          <w:p w14:paraId="5F2D109B" w14:textId="77777777" w:rsidR="00E836FB" w:rsidRDefault="00E836FB">
            <w:pPr>
              <w:rPr>
                <w:rFonts w:ascii="宋体"/>
                <w:vanish/>
              </w:rPr>
            </w:pPr>
          </w:p>
        </w:tc>
        <w:tc>
          <w:tcPr>
            <w:tcW w:w="0" w:type="auto"/>
            <w:gridSpan w:val="3"/>
            <w:shd w:val="clear" w:color="auto" w:fill="auto"/>
            <w:vAlign w:val="bottom"/>
          </w:tcPr>
          <w:p w14:paraId="5F2D109C" w14:textId="77777777" w:rsidR="00E836FB" w:rsidRDefault="00E836FB">
            <w:pPr>
              <w:rPr>
                <w:rFonts w:ascii="宋体"/>
                <w:vanish/>
              </w:rPr>
            </w:pPr>
          </w:p>
        </w:tc>
        <w:tc>
          <w:tcPr>
            <w:tcW w:w="0" w:type="auto"/>
            <w:gridSpan w:val="3"/>
            <w:shd w:val="clear" w:color="auto" w:fill="auto"/>
            <w:vAlign w:val="bottom"/>
          </w:tcPr>
          <w:p w14:paraId="5F2D109D" w14:textId="77777777" w:rsidR="00E836FB" w:rsidRDefault="00E836FB">
            <w:pPr>
              <w:rPr>
                <w:rFonts w:ascii="宋体"/>
                <w:vanish/>
              </w:rPr>
            </w:pPr>
          </w:p>
        </w:tc>
        <w:tc>
          <w:tcPr>
            <w:tcW w:w="0" w:type="auto"/>
            <w:gridSpan w:val="3"/>
            <w:shd w:val="clear" w:color="auto" w:fill="auto"/>
            <w:vAlign w:val="bottom"/>
          </w:tcPr>
          <w:p w14:paraId="5F2D109E" w14:textId="77777777" w:rsidR="00E836FB" w:rsidRDefault="00E836FB">
            <w:pPr>
              <w:rPr>
                <w:rFonts w:ascii="宋体"/>
                <w:vanish/>
              </w:rPr>
            </w:pPr>
          </w:p>
        </w:tc>
        <w:tc>
          <w:tcPr>
            <w:tcW w:w="0" w:type="auto"/>
            <w:gridSpan w:val="3"/>
            <w:shd w:val="clear" w:color="auto" w:fill="auto"/>
            <w:vAlign w:val="bottom"/>
          </w:tcPr>
          <w:p w14:paraId="5F2D109F" w14:textId="77777777" w:rsidR="00E836FB" w:rsidRDefault="00E836FB">
            <w:pPr>
              <w:rPr>
                <w:rFonts w:ascii="宋体"/>
                <w:vanish/>
              </w:rPr>
            </w:pPr>
          </w:p>
        </w:tc>
        <w:tc>
          <w:tcPr>
            <w:tcW w:w="0" w:type="auto"/>
            <w:gridSpan w:val="3"/>
            <w:shd w:val="clear" w:color="auto" w:fill="auto"/>
            <w:vAlign w:val="bottom"/>
          </w:tcPr>
          <w:p w14:paraId="5F2D10A0" w14:textId="77777777" w:rsidR="00E836FB" w:rsidRDefault="00E836FB">
            <w:pPr>
              <w:rPr>
                <w:rFonts w:ascii="宋体"/>
                <w:vanish/>
              </w:rPr>
            </w:pPr>
          </w:p>
        </w:tc>
      </w:tr>
      <w:tr w:rsidR="00E836FB" w14:paraId="5F2D10B4" w14:textId="77777777">
        <w:tc>
          <w:tcPr>
            <w:tcW w:w="0" w:type="auto"/>
            <w:gridSpan w:val="3"/>
            <w:shd w:val="clear" w:color="auto" w:fill="FFFFFF"/>
            <w:tcMar>
              <w:top w:w="40" w:type="dxa"/>
              <w:left w:w="20" w:type="dxa"/>
              <w:bottom w:w="40" w:type="dxa"/>
              <w:right w:w="20" w:type="dxa"/>
            </w:tcMar>
            <w:vAlign w:val="bottom"/>
          </w:tcPr>
          <w:p w14:paraId="5F2D10A2" w14:textId="77777777" w:rsidR="00E836FB" w:rsidRDefault="00994958">
            <w:pPr>
              <w:textAlignment w:val="bottom"/>
            </w:pPr>
            <w:r>
              <w:rPr>
                <w:rFonts w:ascii="Arial" w:eastAsia="宋体" w:hAnsi="Arial" w:cs="Arial"/>
                <w:color w:val="000000"/>
                <w:sz w:val="15"/>
                <w:szCs w:val="15"/>
              </w:rPr>
              <w:t>Other U.S. debt securities</w:t>
            </w:r>
          </w:p>
        </w:tc>
        <w:tc>
          <w:tcPr>
            <w:tcW w:w="0" w:type="auto"/>
            <w:gridSpan w:val="2"/>
            <w:shd w:val="clear" w:color="auto" w:fill="FFFFFF"/>
            <w:tcMar>
              <w:top w:w="40" w:type="dxa"/>
              <w:left w:w="20" w:type="dxa"/>
              <w:bottom w:w="40" w:type="dxa"/>
              <w:right w:w="0" w:type="dxa"/>
            </w:tcMar>
            <w:vAlign w:val="bottom"/>
          </w:tcPr>
          <w:p w14:paraId="5F2D10A3" w14:textId="77777777" w:rsidR="00E836FB" w:rsidRDefault="00994958">
            <w:pPr>
              <w:jc w:val="right"/>
              <w:textAlignment w:val="bottom"/>
            </w:pPr>
            <w:r>
              <w:rPr>
                <w:rFonts w:ascii="Arial" w:eastAsia="宋体" w:hAnsi="Arial" w:cs="Arial"/>
                <w:b/>
                <w:bCs/>
                <w:color w:val="000000"/>
                <w:sz w:val="15"/>
                <w:szCs w:val="15"/>
              </w:rPr>
              <w:t>1,214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A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A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A6" w14:textId="77777777" w:rsidR="00E836FB" w:rsidRDefault="00994958">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A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A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A9"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A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A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A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AF" w14:textId="77777777" w:rsidR="00E836FB" w:rsidRDefault="00994958">
            <w:pPr>
              <w:jc w:val="right"/>
              <w:textAlignment w:val="bottom"/>
            </w:pPr>
            <w:r>
              <w:rPr>
                <w:rFonts w:ascii="Arial" w:eastAsia="宋体" w:hAnsi="Arial" w:cs="Arial"/>
                <w:b/>
                <w:bCs/>
                <w:color w:val="000000"/>
                <w:sz w:val="15"/>
                <w:szCs w:val="15"/>
              </w:rPr>
              <w:t>1,214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0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0B2" w14:textId="77777777" w:rsidR="00E836FB" w:rsidRDefault="00994958">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0B3" w14:textId="77777777" w:rsidR="00E836FB" w:rsidRDefault="00E836FB">
            <w:pPr>
              <w:jc w:val="right"/>
              <w:rPr>
                <w:rFonts w:ascii="宋体"/>
              </w:rPr>
            </w:pPr>
          </w:p>
        </w:tc>
      </w:tr>
      <w:tr w:rsidR="00E836FB" w14:paraId="5F2D10C1" w14:textId="77777777">
        <w:trPr>
          <w:hidden/>
        </w:trPr>
        <w:tc>
          <w:tcPr>
            <w:tcW w:w="0" w:type="auto"/>
            <w:gridSpan w:val="3"/>
            <w:shd w:val="clear" w:color="auto" w:fill="auto"/>
            <w:vAlign w:val="bottom"/>
          </w:tcPr>
          <w:p w14:paraId="5F2D10B5" w14:textId="77777777" w:rsidR="00E836FB" w:rsidRDefault="00E836FB">
            <w:pPr>
              <w:rPr>
                <w:rFonts w:ascii="宋体"/>
                <w:vanish/>
              </w:rPr>
            </w:pPr>
          </w:p>
        </w:tc>
        <w:tc>
          <w:tcPr>
            <w:tcW w:w="0" w:type="auto"/>
            <w:gridSpan w:val="3"/>
            <w:shd w:val="clear" w:color="auto" w:fill="auto"/>
            <w:vAlign w:val="bottom"/>
          </w:tcPr>
          <w:p w14:paraId="5F2D10B6" w14:textId="77777777" w:rsidR="00E836FB" w:rsidRDefault="00E836FB">
            <w:pPr>
              <w:rPr>
                <w:rFonts w:ascii="宋体"/>
                <w:vanish/>
              </w:rPr>
            </w:pPr>
          </w:p>
        </w:tc>
        <w:tc>
          <w:tcPr>
            <w:tcW w:w="0" w:type="auto"/>
            <w:gridSpan w:val="3"/>
            <w:shd w:val="clear" w:color="auto" w:fill="auto"/>
            <w:vAlign w:val="bottom"/>
          </w:tcPr>
          <w:p w14:paraId="5F2D10B7" w14:textId="77777777" w:rsidR="00E836FB" w:rsidRDefault="00E836FB">
            <w:pPr>
              <w:rPr>
                <w:rFonts w:ascii="宋体"/>
                <w:vanish/>
              </w:rPr>
            </w:pPr>
          </w:p>
        </w:tc>
        <w:tc>
          <w:tcPr>
            <w:tcW w:w="0" w:type="auto"/>
            <w:gridSpan w:val="3"/>
            <w:shd w:val="clear" w:color="auto" w:fill="auto"/>
            <w:vAlign w:val="bottom"/>
          </w:tcPr>
          <w:p w14:paraId="5F2D10B8" w14:textId="77777777" w:rsidR="00E836FB" w:rsidRDefault="00E836FB">
            <w:pPr>
              <w:rPr>
                <w:rFonts w:ascii="宋体"/>
                <w:vanish/>
              </w:rPr>
            </w:pPr>
          </w:p>
        </w:tc>
        <w:tc>
          <w:tcPr>
            <w:tcW w:w="0" w:type="auto"/>
            <w:gridSpan w:val="3"/>
            <w:shd w:val="clear" w:color="auto" w:fill="auto"/>
            <w:vAlign w:val="bottom"/>
          </w:tcPr>
          <w:p w14:paraId="5F2D10B9" w14:textId="77777777" w:rsidR="00E836FB" w:rsidRDefault="00E836FB">
            <w:pPr>
              <w:rPr>
                <w:rFonts w:ascii="宋体"/>
                <w:vanish/>
              </w:rPr>
            </w:pPr>
          </w:p>
        </w:tc>
        <w:tc>
          <w:tcPr>
            <w:tcW w:w="0" w:type="auto"/>
            <w:gridSpan w:val="3"/>
            <w:shd w:val="clear" w:color="auto" w:fill="auto"/>
            <w:vAlign w:val="bottom"/>
          </w:tcPr>
          <w:p w14:paraId="5F2D10BA" w14:textId="77777777" w:rsidR="00E836FB" w:rsidRDefault="00E836FB">
            <w:pPr>
              <w:rPr>
                <w:rFonts w:ascii="宋体"/>
                <w:vanish/>
              </w:rPr>
            </w:pPr>
          </w:p>
        </w:tc>
        <w:tc>
          <w:tcPr>
            <w:tcW w:w="0" w:type="auto"/>
            <w:gridSpan w:val="3"/>
            <w:shd w:val="clear" w:color="auto" w:fill="auto"/>
            <w:vAlign w:val="bottom"/>
          </w:tcPr>
          <w:p w14:paraId="5F2D10BB" w14:textId="77777777" w:rsidR="00E836FB" w:rsidRDefault="00E836FB">
            <w:pPr>
              <w:rPr>
                <w:rFonts w:ascii="宋体"/>
                <w:vanish/>
              </w:rPr>
            </w:pPr>
          </w:p>
        </w:tc>
        <w:tc>
          <w:tcPr>
            <w:tcW w:w="0" w:type="auto"/>
            <w:gridSpan w:val="3"/>
            <w:shd w:val="clear" w:color="auto" w:fill="auto"/>
            <w:vAlign w:val="bottom"/>
          </w:tcPr>
          <w:p w14:paraId="5F2D10BC" w14:textId="77777777" w:rsidR="00E836FB" w:rsidRDefault="00E836FB">
            <w:pPr>
              <w:rPr>
                <w:rFonts w:ascii="宋体"/>
                <w:vanish/>
              </w:rPr>
            </w:pPr>
          </w:p>
        </w:tc>
        <w:tc>
          <w:tcPr>
            <w:tcW w:w="0" w:type="auto"/>
            <w:gridSpan w:val="3"/>
            <w:shd w:val="clear" w:color="auto" w:fill="auto"/>
            <w:vAlign w:val="bottom"/>
          </w:tcPr>
          <w:p w14:paraId="5F2D10BD" w14:textId="77777777" w:rsidR="00E836FB" w:rsidRDefault="00E836FB">
            <w:pPr>
              <w:rPr>
                <w:rFonts w:ascii="宋体"/>
                <w:vanish/>
              </w:rPr>
            </w:pPr>
          </w:p>
        </w:tc>
        <w:tc>
          <w:tcPr>
            <w:tcW w:w="0" w:type="auto"/>
            <w:gridSpan w:val="3"/>
            <w:shd w:val="clear" w:color="auto" w:fill="auto"/>
            <w:vAlign w:val="bottom"/>
          </w:tcPr>
          <w:p w14:paraId="5F2D10BE" w14:textId="77777777" w:rsidR="00E836FB" w:rsidRDefault="00E836FB">
            <w:pPr>
              <w:rPr>
                <w:rFonts w:ascii="宋体"/>
                <w:vanish/>
              </w:rPr>
            </w:pPr>
          </w:p>
        </w:tc>
        <w:tc>
          <w:tcPr>
            <w:tcW w:w="0" w:type="auto"/>
            <w:gridSpan w:val="3"/>
            <w:shd w:val="clear" w:color="auto" w:fill="auto"/>
            <w:vAlign w:val="bottom"/>
          </w:tcPr>
          <w:p w14:paraId="5F2D10BF" w14:textId="77777777" w:rsidR="00E836FB" w:rsidRDefault="00E836FB">
            <w:pPr>
              <w:rPr>
                <w:rFonts w:ascii="宋体"/>
                <w:vanish/>
              </w:rPr>
            </w:pPr>
          </w:p>
        </w:tc>
        <w:tc>
          <w:tcPr>
            <w:tcW w:w="0" w:type="auto"/>
            <w:gridSpan w:val="3"/>
            <w:shd w:val="clear" w:color="auto" w:fill="auto"/>
            <w:vAlign w:val="bottom"/>
          </w:tcPr>
          <w:p w14:paraId="5F2D10C0" w14:textId="77777777" w:rsidR="00E836FB" w:rsidRDefault="00E836FB">
            <w:pPr>
              <w:rPr>
                <w:rFonts w:ascii="宋体"/>
                <w:vanish/>
              </w:rPr>
            </w:pPr>
          </w:p>
        </w:tc>
      </w:tr>
      <w:tr w:rsidR="00E836FB" w14:paraId="5F2D10CE" w14:textId="77777777">
        <w:trPr>
          <w:hidden/>
        </w:trPr>
        <w:tc>
          <w:tcPr>
            <w:tcW w:w="0" w:type="auto"/>
            <w:gridSpan w:val="3"/>
            <w:shd w:val="clear" w:color="auto" w:fill="auto"/>
            <w:vAlign w:val="bottom"/>
          </w:tcPr>
          <w:p w14:paraId="5F2D10C2" w14:textId="77777777" w:rsidR="00E836FB" w:rsidRDefault="00E836FB">
            <w:pPr>
              <w:rPr>
                <w:rFonts w:ascii="宋体"/>
                <w:vanish/>
              </w:rPr>
            </w:pPr>
          </w:p>
        </w:tc>
        <w:tc>
          <w:tcPr>
            <w:tcW w:w="0" w:type="auto"/>
            <w:gridSpan w:val="3"/>
            <w:shd w:val="clear" w:color="auto" w:fill="auto"/>
            <w:vAlign w:val="bottom"/>
          </w:tcPr>
          <w:p w14:paraId="5F2D10C3" w14:textId="77777777" w:rsidR="00E836FB" w:rsidRDefault="00E836FB">
            <w:pPr>
              <w:rPr>
                <w:rFonts w:ascii="宋体"/>
                <w:vanish/>
              </w:rPr>
            </w:pPr>
          </w:p>
        </w:tc>
        <w:tc>
          <w:tcPr>
            <w:tcW w:w="0" w:type="auto"/>
            <w:gridSpan w:val="3"/>
            <w:shd w:val="clear" w:color="auto" w:fill="auto"/>
            <w:vAlign w:val="bottom"/>
          </w:tcPr>
          <w:p w14:paraId="5F2D10C4" w14:textId="77777777" w:rsidR="00E836FB" w:rsidRDefault="00E836FB">
            <w:pPr>
              <w:rPr>
                <w:rFonts w:ascii="宋体"/>
                <w:vanish/>
              </w:rPr>
            </w:pPr>
          </w:p>
        </w:tc>
        <w:tc>
          <w:tcPr>
            <w:tcW w:w="0" w:type="auto"/>
            <w:gridSpan w:val="3"/>
            <w:shd w:val="clear" w:color="auto" w:fill="auto"/>
            <w:vAlign w:val="bottom"/>
          </w:tcPr>
          <w:p w14:paraId="5F2D10C5" w14:textId="77777777" w:rsidR="00E836FB" w:rsidRDefault="00E836FB">
            <w:pPr>
              <w:rPr>
                <w:rFonts w:ascii="宋体"/>
                <w:vanish/>
              </w:rPr>
            </w:pPr>
          </w:p>
        </w:tc>
        <w:tc>
          <w:tcPr>
            <w:tcW w:w="0" w:type="auto"/>
            <w:gridSpan w:val="3"/>
            <w:shd w:val="clear" w:color="auto" w:fill="auto"/>
            <w:vAlign w:val="bottom"/>
          </w:tcPr>
          <w:p w14:paraId="5F2D10C6" w14:textId="77777777" w:rsidR="00E836FB" w:rsidRDefault="00E836FB">
            <w:pPr>
              <w:rPr>
                <w:rFonts w:ascii="宋体"/>
                <w:vanish/>
              </w:rPr>
            </w:pPr>
          </w:p>
        </w:tc>
        <w:tc>
          <w:tcPr>
            <w:tcW w:w="0" w:type="auto"/>
            <w:gridSpan w:val="3"/>
            <w:shd w:val="clear" w:color="auto" w:fill="auto"/>
            <w:vAlign w:val="bottom"/>
          </w:tcPr>
          <w:p w14:paraId="5F2D10C7" w14:textId="77777777" w:rsidR="00E836FB" w:rsidRDefault="00E836FB">
            <w:pPr>
              <w:rPr>
                <w:rFonts w:ascii="宋体"/>
                <w:vanish/>
              </w:rPr>
            </w:pPr>
          </w:p>
        </w:tc>
        <w:tc>
          <w:tcPr>
            <w:tcW w:w="0" w:type="auto"/>
            <w:gridSpan w:val="3"/>
            <w:shd w:val="clear" w:color="auto" w:fill="auto"/>
            <w:vAlign w:val="bottom"/>
          </w:tcPr>
          <w:p w14:paraId="5F2D10C8" w14:textId="77777777" w:rsidR="00E836FB" w:rsidRDefault="00E836FB">
            <w:pPr>
              <w:rPr>
                <w:rFonts w:ascii="宋体"/>
                <w:vanish/>
              </w:rPr>
            </w:pPr>
          </w:p>
        </w:tc>
        <w:tc>
          <w:tcPr>
            <w:tcW w:w="0" w:type="auto"/>
            <w:gridSpan w:val="3"/>
            <w:shd w:val="clear" w:color="auto" w:fill="auto"/>
            <w:vAlign w:val="bottom"/>
          </w:tcPr>
          <w:p w14:paraId="5F2D10C9" w14:textId="77777777" w:rsidR="00E836FB" w:rsidRDefault="00E836FB">
            <w:pPr>
              <w:rPr>
                <w:rFonts w:ascii="宋体"/>
                <w:vanish/>
              </w:rPr>
            </w:pPr>
          </w:p>
        </w:tc>
        <w:tc>
          <w:tcPr>
            <w:tcW w:w="0" w:type="auto"/>
            <w:gridSpan w:val="3"/>
            <w:shd w:val="clear" w:color="auto" w:fill="auto"/>
            <w:vAlign w:val="bottom"/>
          </w:tcPr>
          <w:p w14:paraId="5F2D10CA" w14:textId="77777777" w:rsidR="00E836FB" w:rsidRDefault="00E836FB">
            <w:pPr>
              <w:rPr>
                <w:rFonts w:ascii="宋体"/>
                <w:vanish/>
              </w:rPr>
            </w:pPr>
          </w:p>
        </w:tc>
        <w:tc>
          <w:tcPr>
            <w:tcW w:w="0" w:type="auto"/>
            <w:gridSpan w:val="3"/>
            <w:shd w:val="clear" w:color="auto" w:fill="auto"/>
            <w:vAlign w:val="bottom"/>
          </w:tcPr>
          <w:p w14:paraId="5F2D10CB" w14:textId="77777777" w:rsidR="00E836FB" w:rsidRDefault="00E836FB">
            <w:pPr>
              <w:rPr>
                <w:rFonts w:ascii="宋体"/>
                <w:vanish/>
              </w:rPr>
            </w:pPr>
          </w:p>
        </w:tc>
        <w:tc>
          <w:tcPr>
            <w:tcW w:w="0" w:type="auto"/>
            <w:gridSpan w:val="3"/>
            <w:shd w:val="clear" w:color="auto" w:fill="auto"/>
            <w:vAlign w:val="bottom"/>
          </w:tcPr>
          <w:p w14:paraId="5F2D10CC" w14:textId="77777777" w:rsidR="00E836FB" w:rsidRDefault="00E836FB">
            <w:pPr>
              <w:rPr>
                <w:rFonts w:ascii="宋体"/>
                <w:vanish/>
              </w:rPr>
            </w:pPr>
          </w:p>
        </w:tc>
        <w:tc>
          <w:tcPr>
            <w:tcW w:w="0" w:type="auto"/>
            <w:gridSpan w:val="3"/>
            <w:shd w:val="clear" w:color="auto" w:fill="auto"/>
            <w:vAlign w:val="bottom"/>
          </w:tcPr>
          <w:p w14:paraId="5F2D10CD" w14:textId="77777777" w:rsidR="00E836FB" w:rsidRDefault="00E836FB">
            <w:pPr>
              <w:rPr>
                <w:rFonts w:ascii="宋体"/>
                <w:vanish/>
              </w:rPr>
            </w:pPr>
          </w:p>
        </w:tc>
      </w:tr>
      <w:tr w:rsidR="00E836FB" w14:paraId="5F2D10E7" w14:textId="77777777">
        <w:tc>
          <w:tcPr>
            <w:tcW w:w="0" w:type="auto"/>
            <w:gridSpan w:val="3"/>
            <w:shd w:val="clear" w:color="auto" w:fill="CCEEFF"/>
            <w:tcMar>
              <w:top w:w="40" w:type="dxa"/>
              <w:left w:w="20" w:type="dxa"/>
              <w:bottom w:w="40" w:type="dxa"/>
              <w:right w:w="20" w:type="dxa"/>
            </w:tcMar>
            <w:vAlign w:val="bottom"/>
          </w:tcPr>
          <w:p w14:paraId="5F2D10CF"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0D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0D1" w14:textId="77777777" w:rsidR="00E836FB" w:rsidRDefault="00994958">
            <w:pPr>
              <w:jc w:val="right"/>
              <w:textAlignment w:val="bottom"/>
            </w:pPr>
            <w:r>
              <w:rPr>
                <w:rFonts w:ascii="Arial" w:eastAsia="宋体" w:hAnsi="Arial" w:cs="Arial"/>
                <w:b/>
                <w:bCs/>
                <w:color w:val="000000"/>
                <w:sz w:val="15"/>
                <w:szCs w:val="15"/>
              </w:rPr>
              <w:t>41,232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0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D3"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0D4"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0D5" w14:textId="77777777" w:rsidR="00E836FB" w:rsidRDefault="00994958">
            <w:pPr>
              <w:jc w:val="right"/>
              <w:textAlignment w:val="bottom"/>
            </w:pPr>
            <w:r>
              <w:rPr>
                <w:rFonts w:ascii="Arial" w:eastAsia="宋体" w:hAnsi="Arial" w:cs="Arial"/>
                <w:b/>
                <w:bCs/>
                <w:color w:val="000000"/>
                <w:sz w:val="15"/>
                <w:szCs w:val="15"/>
              </w:rPr>
              <w:t>422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0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D7"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0D8"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0D9" w14:textId="77777777" w:rsidR="00E836FB" w:rsidRDefault="00994958">
            <w:pPr>
              <w:jc w:val="right"/>
              <w:textAlignment w:val="bottom"/>
            </w:pPr>
            <w:r>
              <w:rPr>
                <w:rFonts w:ascii="Arial" w:eastAsia="宋体" w:hAnsi="Arial" w:cs="Arial"/>
                <w:b/>
                <w:bCs/>
                <w:color w:val="000000"/>
                <w:sz w:val="15"/>
                <w:szCs w:val="15"/>
              </w:rPr>
              <w:t>2,277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0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D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0DC"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0DD" w14:textId="77777777" w:rsidR="00E836FB" w:rsidRDefault="00994958">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0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D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0E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0E1" w14:textId="77777777" w:rsidR="00E836FB" w:rsidRDefault="00994958">
            <w:pPr>
              <w:jc w:val="right"/>
              <w:textAlignment w:val="bottom"/>
            </w:pPr>
            <w:r>
              <w:rPr>
                <w:rFonts w:ascii="Arial" w:eastAsia="宋体" w:hAnsi="Arial" w:cs="Arial"/>
                <w:b/>
                <w:bCs/>
                <w:color w:val="000000"/>
                <w:sz w:val="15"/>
                <w:szCs w:val="15"/>
              </w:rPr>
              <w:t>43,509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0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0E3"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0E4"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0E5" w14:textId="77777777" w:rsidR="00E836FB" w:rsidRDefault="00994958">
            <w:pPr>
              <w:jc w:val="right"/>
              <w:textAlignment w:val="bottom"/>
            </w:pPr>
            <w:r>
              <w:rPr>
                <w:rFonts w:ascii="Arial" w:eastAsia="宋体" w:hAnsi="Arial" w:cs="Arial"/>
                <w:b/>
                <w:bCs/>
                <w:color w:val="000000"/>
                <w:sz w:val="15"/>
                <w:szCs w:val="15"/>
              </w:rPr>
              <w:t>445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0E6" w14:textId="77777777" w:rsidR="00E836FB" w:rsidRDefault="00E836FB">
            <w:pPr>
              <w:jc w:val="right"/>
              <w:rPr>
                <w:rFonts w:ascii="宋体"/>
              </w:rPr>
            </w:pPr>
          </w:p>
        </w:tc>
      </w:tr>
      <w:tr w:rsidR="00E836FB" w14:paraId="5F2D10F4" w14:textId="77777777">
        <w:trPr>
          <w:hidden/>
        </w:trPr>
        <w:tc>
          <w:tcPr>
            <w:tcW w:w="0" w:type="auto"/>
            <w:gridSpan w:val="3"/>
            <w:shd w:val="clear" w:color="auto" w:fill="auto"/>
            <w:vAlign w:val="bottom"/>
          </w:tcPr>
          <w:p w14:paraId="5F2D10E8" w14:textId="77777777" w:rsidR="00E836FB" w:rsidRDefault="00E836FB">
            <w:pPr>
              <w:rPr>
                <w:rFonts w:ascii="宋体"/>
                <w:vanish/>
              </w:rPr>
            </w:pPr>
          </w:p>
        </w:tc>
        <w:tc>
          <w:tcPr>
            <w:tcW w:w="0" w:type="auto"/>
            <w:gridSpan w:val="3"/>
            <w:shd w:val="clear" w:color="auto" w:fill="auto"/>
            <w:vAlign w:val="bottom"/>
          </w:tcPr>
          <w:p w14:paraId="5F2D10E9" w14:textId="77777777" w:rsidR="00E836FB" w:rsidRDefault="00E836FB">
            <w:pPr>
              <w:rPr>
                <w:rFonts w:ascii="宋体"/>
                <w:vanish/>
              </w:rPr>
            </w:pPr>
          </w:p>
        </w:tc>
        <w:tc>
          <w:tcPr>
            <w:tcW w:w="0" w:type="auto"/>
            <w:gridSpan w:val="3"/>
            <w:shd w:val="clear" w:color="auto" w:fill="auto"/>
            <w:vAlign w:val="bottom"/>
          </w:tcPr>
          <w:p w14:paraId="5F2D10EA" w14:textId="77777777" w:rsidR="00E836FB" w:rsidRDefault="00E836FB">
            <w:pPr>
              <w:rPr>
                <w:rFonts w:ascii="宋体"/>
                <w:vanish/>
              </w:rPr>
            </w:pPr>
          </w:p>
        </w:tc>
        <w:tc>
          <w:tcPr>
            <w:tcW w:w="0" w:type="auto"/>
            <w:gridSpan w:val="3"/>
            <w:shd w:val="clear" w:color="auto" w:fill="auto"/>
            <w:vAlign w:val="bottom"/>
          </w:tcPr>
          <w:p w14:paraId="5F2D10EB" w14:textId="77777777" w:rsidR="00E836FB" w:rsidRDefault="00E836FB">
            <w:pPr>
              <w:rPr>
                <w:rFonts w:ascii="宋体"/>
                <w:vanish/>
              </w:rPr>
            </w:pPr>
          </w:p>
        </w:tc>
        <w:tc>
          <w:tcPr>
            <w:tcW w:w="0" w:type="auto"/>
            <w:gridSpan w:val="3"/>
            <w:shd w:val="clear" w:color="auto" w:fill="auto"/>
            <w:vAlign w:val="bottom"/>
          </w:tcPr>
          <w:p w14:paraId="5F2D10EC" w14:textId="77777777" w:rsidR="00E836FB" w:rsidRDefault="00E836FB">
            <w:pPr>
              <w:rPr>
                <w:rFonts w:ascii="宋体"/>
                <w:vanish/>
              </w:rPr>
            </w:pPr>
          </w:p>
        </w:tc>
        <w:tc>
          <w:tcPr>
            <w:tcW w:w="0" w:type="auto"/>
            <w:gridSpan w:val="3"/>
            <w:shd w:val="clear" w:color="auto" w:fill="auto"/>
            <w:vAlign w:val="bottom"/>
          </w:tcPr>
          <w:p w14:paraId="5F2D10ED" w14:textId="77777777" w:rsidR="00E836FB" w:rsidRDefault="00E836FB">
            <w:pPr>
              <w:rPr>
                <w:rFonts w:ascii="宋体"/>
                <w:vanish/>
              </w:rPr>
            </w:pPr>
          </w:p>
        </w:tc>
        <w:tc>
          <w:tcPr>
            <w:tcW w:w="0" w:type="auto"/>
            <w:gridSpan w:val="3"/>
            <w:shd w:val="clear" w:color="auto" w:fill="auto"/>
            <w:vAlign w:val="bottom"/>
          </w:tcPr>
          <w:p w14:paraId="5F2D10EE" w14:textId="77777777" w:rsidR="00E836FB" w:rsidRDefault="00E836FB">
            <w:pPr>
              <w:rPr>
                <w:rFonts w:ascii="宋体"/>
                <w:vanish/>
              </w:rPr>
            </w:pPr>
          </w:p>
        </w:tc>
        <w:tc>
          <w:tcPr>
            <w:tcW w:w="0" w:type="auto"/>
            <w:gridSpan w:val="3"/>
            <w:shd w:val="clear" w:color="auto" w:fill="auto"/>
            <w:vAlign w:val="bottom"/>
          </w:tcPr>
          <w:p w14:paraId="5F2D10EF" w14:textId="77777777" w:rsidR="00E836FB" w:rsidRDefault="00E836FB">
            <w:pPr>
              <w:rPr>
                <w:rFonts w:ascii="宋体"/>
                <w:vanish/>
              </w:rPr>
            </w:pPr>
          </w:p>
        </w:tc>
        <w:tc>
          <w:tcPr>
            <w:tcW w:w="0" w:type="auto"/>
            <w:gridSpan w:val="3"/>
            <w:shd w:val="clear" w:color="auto" w:fill="auto"/>
            <w:vAlign w:val="bottom"/>
          </w:tcPr>
          <w:p w14:paraId="5F2D10F0" w14:textId="77777777" w:rsidR="00E836FB" w:rsidRDefault="00E836FB">
            <w:pPr>
              <w:rPr>
                <w:rFonts w:ascii="宋体"/>
                <w:vanish/>
              </w:rPr>
            </w:pPr>
          </w:p>
        </w:tc>
        <w:tc>
          <w:tcPr>
            <w:tcW w:w="0" w:type="auto"/>
            <w:gridSpan w:val="3"/>
            <w:shd w:val="clear" w:color="auto" w:fill="auto"/>
            <w:vAlign w:val="bottom"/>
          </w:tcPr>
          <w:p w14:paraId="5F2D10F1" w14:textId="77777777" w:rsidR="00E836FB" w:rsidRDefault="00E836FB">
            <w:pPr>
              <w:rPr>
                <w:rFonts w:ascii="宋体"/>
                <w:vanish/>
              </w:rPr>
            </w:pPr>
          </w:p>
        </w:tc>
        <w:tc>
          <w:tcPr>
            <w:tcW w:w="0" w:type="auto"/>
            <w:gridSpan w:val="3"/>
            <w:shd w:val="clear" w:color="auto" w:fill="auto"/>
            <w:vAlign w:val="bottom"/>
          </w:tcPr>
          <w:p w14:paraId="5F2D10F2" w14:textId="77777777" w:rsidR="00E836FB" w:rsidRDefault="00E836FB">
            <w:pPr>
              <w:rPr>
                <w:rFonts w:ascii="宋体"/>
                <w:vanish/>
              </w:rPr>
            </w:pPr>
          </w:p>
        </w:tc>
        <w:tc>
          <w:tcPr>
            <w:tcW w:w="0" w:type="auto"/>
            <w:gridSpan w:val="3"/>
            <w:shd w:val="clear" w:color="auto" w:fill="auto"/>
            <w:vAlign w:val="bottom"/>
          </w:tcPr>
          <w:p w14:paraId="5F2D10F3" w14:textId="77777777" w:rsidR="00E836FB" w:rsidRDefault="00E836FB">
            <w:pPr>
              <w:rPr>
                <w:rFonts w:ascii="宋体"/>
                <w:vanish/>
              </w:rPr>
            </w:pPr>
          </w:p>
        </w:tc>
      </w:tr>
      <w:tr w:rsidR="00E836FB" w14:paraId="5F2D1101" w14:textId="77777777">
        <w:trPr>
          <w:hidden/>
        </w:trPr>
        <w:tc>
          <w:tcPr>
            <w:tcW w:w="0" w:type="auto"/>
            <w:gridSpan w:val="3"/>
            <w:shd w:val="clear" w:color="auto" w:fill="auto"/>
            <w:vAlign w:val="bottom"/>
          </w:tcPr>
          <w:p w14:paraId="5F2D10F5" w14:textId="77777777" w:rsidR="00E836FB" w:rsidRDefault="00E836FB">
            <w:pPr>
              <w:rPr>
                <w:rFonts w:ascii="宋体"/>
                <w:vanish/>
              </w:rPr>
            </w:pPr>
          </w:p>
        </w:tc>
        <w:tc>
          <w:tcPr>
            <w:tcW w:w="0" w:type="auto"/>
            <w:gridSpan w:val="3"/>
            <w:shd w:val="clear" w:color="auto" w:fill="auto"/>
            <w:vAlign w:val="bottom"/>
          </w:tcPr>
          <w:p w14:paraId="5F2D10F6" w14:textId="77777777" w:rsidR="00E836FB" w:rsidRDefault="00E836FB">
            <w:pPr>
              <w:rPr>
                <w:rFonts w:ascii="宋体"/>
                <w:vanish/>
              </w:rPr>
            </w:pPr>
          </w:p>
        </w:tc>
        <w:tc>
          <w:tcPr>
            <w:tcW w:w="0" w:type="auto"/>
            <w:gridSpan w:val="3"/>
            <w:shd w:val="clear" w:color="auto" w:fill="auto"/>
            <w:vAlign w:val="bottom"/>
          </w:tcPr>
          <w:p w14:paraId="5F2D10F7" w14:textId="77777777" w:rsidR="00E836FB" w:rsidRDefault="00E836FB">
            <w:pPr>
              <w:rPr>
                <w:rFonts w:ascii="宋体"/>
                <w:vanish/>
              </w:rPr>
            </w:pPr>
          </w:p>
        </w:tc>
        <w:tc>
          <w:tcPr>
            <w:tcW w:w="0" w:type="auto"/>
            <w:gridSpan w:val="3"/>
            <w:shd w:val="clear" w:color="auto" w:fill="auto"/>
            <w:vAlign w:val="bottom"/>
          </w:tcPr>
          <w:p w14:paraId="5F2D10F8" w14:textId="77777777" w:rsidR="00E836FB" w:rsidRDefault="00E836FB">
            <w:pPr>
              <w:rPr>
                <w:rFonts w:ascii="宋体"/>
                <w:vanish/>
              </w:rPr>
            </w:pPr>
          </w:p>
        </w:tc>
        <w:tc>
          <w:tcPr>
            <w:tcW w:w="0" w:type="auto"/>
            <w:gridSpan w:val="3"/>
            <w:shd w:val="clear" w:color="auto" w:fill="auto"/>
            <w:vAlign w:val="bottom"/>
          </w:tcPr>
          <w:p w14:paraId="5F2D10F9" w14:textId="77777777" w:rsidR="00E836FB" w:rsidRDefault="00E836FB">
            <w:pPr>
              <w:rPr>
                <w:rFonts w:ascii="宋体"/>
                <w:vanish/>
              </w:rPr>
            </w:pPr>
          </w:p>
        </w:tc>
        <w:tc>
          <w:tcPr>
            <w:tcW w:w="0" w:type="auto"/>
            <w:gridSpan w:val="3"/>
            <w:shd w:val="clear" w:color="auto" w:fill="auto"/>
            <w:vAlign w:val="bottom"/>
          </w:tcPr>
          <w:p w14:paraId="5F2D10FA" w14:textId="77777777" w:rsidR="00E836FB" w:rsidRDefault="00E836FB">
            <w:pPr>
              <w:rPr>
                <w:rFonts w:ascii="宋体"/>
                <w:vanish/>
              </w:rPr>
            </w:pPr>
          </w:p>
        </w:tc>
        <w:tc>
          <w:tcPr>
            <w:tcW w:w="0" w:type="auto"/>
            <w:gridSpan w:val="3"/>
            <w:shd w:val="clear" w:color="auto" w:fill="auto"/>
            <w:vAlign w:val="bottom"/>
          </w:tcPr>
          <w:p w14:paraId="5F2D10FB" w14:textId="77777777" w:rsidR="00E836FB" w:rsidRDefault="00E836FB">
            <w:pPr>
              <w:rPr>
                <w:rFonts w:ascii="宋体"/>
                <w:vanish/>
              </w:rPr>
            </w:pPr>
          </w:p>
        </w:tc>
        <w:tc>
          <w:tcPr>
            <w:tcW w:w="0" w:type="auto"/>
            <w:gridSpan w:val="3"/>
            <w:shd w:val="clear" w:color="auto" w:fill="auto"/>
            <w:vAlign w:val="bottom"/>
          </w:tcPr>
          <w:p w14:paraId="5F2D10FC" w14:textId="77777777" w:rsidR="00E836FB" w:rsidRDefault="00E836FB">
            <w:pPr>
              <w:rPr>
                <w:rFonts w:ascii="宋体"/>
                <w:vanish/>
              </w:rPr>
            </w:pPr>
          </w:p>
        </w:tc>
        <w:tc>
          <w:tcPr>
            <w:tcW w:w="0" w:type="auto"/>
            <w:gridSpan w:val="3"/>
            <w:shd w:val="clear" w:color="auto" w:fill="auto"/>
            <w:vAlign w:val="bottom"/>
          </w:tcPr>
          <w:p w14:paraId="5F2D10FD" w14:textId="77777777" w:rsidR="00E836FB" w:rsidRDefault="00E836FB">
            <w:pPr>
              <w:rPr>
                <w:rFonts w:ascii="宋体"/>
                <w:vanish/>
              </w:rPr>
            </w:pPr>
          </w:p>
        </w:tc>
        <w:tc>
          <w:tcPr>
            <w:tcW w:w="0" w:type="auto"/>
            <w:gridSpan w:val="3"/>
            <w:shd w:val="clear" w:color="auto" w:fill="auto"/>
            <w:vAlign w:val="bottom"/>
          </w:tcPr>
          <w:p w14:paraId="5F2D10FE" w14:textId="77777777" w:rsidR="00E836FB" w:rsidRDefault="00E836FB">
            <w:pPr>
              <w:rPr>
                <w:rFonts w:ascii="宋体"/>
                <w:vanish/>
              </w:rPr>
            </w:pPr>
          </w:p>
        </w:tc>
        <w:tc>
          <w:tcPr>
            <w:tcW w:w="0" w:type="auto"/>
            <w:gridSpan w:val="3"/>
            <w:shd w:val="clear" w:color="auto" w:fill="auto"/>
            <w:vAlign w:val="bottom"/>
          </w:tcPr>
          <w:p w14:paraId="5F2D10FF" w14:textId="77777777" w:rsidR="00E836FB" w:rsidRDefault="00E836FB">
            <w:pPr>
              <w:rPr>
                <w:rFonts w:ascii="宋体"/>
                <w:vanish/>
              </w:rPr>
            </w:pPr>
          </w:p>
        </w:tc>
        <w:tc>
          <w:tcPr>
            <w:tcW w:w="0" w:type="auto"/>
            <w:gridSpan w:val="3"/>
            <w:shd w:val="clear" w:color="auto" w:fill="auto"/>
            <w:vAlign w:val="bottom"/>
          </w:tcPr>
          <w:p w14:paraId="5F2D1100" w14:textId="77777777" w:rsidR="00E836FB" w:rsidRDefault="00E836FB">
            <w:pPr>
              <w:rPr>
                <w:rFonts w:ascii="宋体"/>
                <w:vanish/>
              </w:rPr>
            </w:pPr>
          </w:p>
        </w:tc>
      </w:tr>
      <w:tr w:rsidR="00E836FB" w14:paraId="5F2D110E" w14:textId="77777777">
        <w:trPr>
          <w:hidden/>
        </w:trPr>
        <w:tc>
          <w:tcPr>
            <w:tcW w:w="0" w:type="auto"/>
            <w:gridSpan w:val="3"/>
            <w:shd w:val="clear" w:color="auto" w:fill="auto"/>
            <w:vAlign w:val="bottom"/>
          </w:tcPr>
          <w:p w14:paraId="5F2D1102" w14:textId="77777777" w:rsidR="00E836FB" w:rsidRDefault="00E836FB">
            <w:pPr>
              <w:rPr>
                <w:rFonts w:ascii="宋体"/>
                <w:vanish/>
              </w:rPr>
            </w:pPr>
          </w:p>
        </w:tc>
        <w:tc>
          <w:tcPr>
            <w:tcW w:w="0" w:type="auto"/>
            <w:gridSpan w:val="3"/>
            <w:shd w:val="clear" w:color="auto" w:fill="auto"/>
            <w:vAlign w:val="bottom"/>
          </w:tcPr>
          <w:p w14:paraId="5F2D1103" w14:textId="77777777" w:rsidR="00E836FB" w:rsidRDefault="00E836FB">
            <w:pPr>
              <w:rPr>
                <w:rFonts w:ascii="宋体"/>
                <w:vanish/>
              </w:rPr>
            </w:pPr>
          </w:p>
        </w:tc>
        <w:tc>
          <w:tcPr>
            <w:tcW w:w="0" w:type="auto"/>
            <w:gridSpan w:val="3"/>
            <w:shd w:val="clear" w:color="auto" w:fill="auto"/>
            <w:vAlign w:val="bottom"/>
          </w:tcPr>
          <w:p w14:paraId="5F2D1104" w14:textId="77777777" w:rsidR="00E836FB" w:rsidRDefault="00E836FB">
            <w:pPr>
              <w:rPr>
                <w:rFonts w:ascii="宋体"/>
                <w:vanish/>
              </w:rPr>
            </w:pPr>
          </w:p>
        </w:tc>
        <w:tc>
          <w:tcPr>
            <w:tcW w:w="0" w:type="auto"/>
            <w:gridSpan w:val="3"/>
            <w:shd w:val="clear" w:color="auto" w:fill="auto"/>
            <w:vAlign w:val="bottom"/>
          </w:tcPr>
          <w:p w14:paraId="5F2D1105" w14:textId="77777777" w:rsidR="00E836FB" w:rsidRDefault="00E836FB">
            <w:pPr>
              <w:rPr>
                <w:rFonts w:ascii="宋体"/>
                <w:vanish/>
              </w:rPr>
            </w:pPr>
          </w:p>
        </w:tc>
        <w:tc>
          <w:tcPr>
            <w:tcW w:w="0" w:type="auto"/>
            <w:gridSpan w:val="3"/>
            <w:shd w:val="clear" w:color="auto" w:fill="auto"/>
            <w:vAlign w:val="bottom"/>
          </w:tcPr>
          <w:p w14:paraId="5F2D1106" w14:textId="77777777" w:rsidR="00E836FB" w:rsidRDefault="00E836FB">
            <w:pPr>
              <w:rPr>
                <w:rFonts w:ascii="宋体"/>
                <w:vanish/>
              </w:rPr>
            </w:pPr>
          </w:p>
        </w:tc>
        <w:tc>
          <w:tcPr>
            <w:tcW w:w="0" w:type="auto"/>
            <w:gridSpan w:val="3"/>
            <w:shd w:val="clear" w:color="auto" w:fill="auto"/>
            <w:vAlign w:val="bottom"/>
          </w:tcPr>
          <w:p w14:paraId="5F2D1107" w14:textId="77777777" w:rsidR="00E836FB" w:rsidRDefault="00E836FB">
            <w:pPr>
              <w:rPr>
                <w:rFonts w:ascii="宋体"/>
                <w:vanish/>
              </w:rPr>
            </w:pPr>
          </w:p>
        </w:tc>
        <w:tc>
          <w:tcPr>
            <w:tcW w:w="0" w:type="auto"/>
            <w:gridSpan w:val="3"/>
            <w:shd w:val="clear" w:color="auto" w:fill="auto"/>
            <w:vAlign w:val="bottom"/>
          </w:tcPr>
          <w:p w14:paraId="5F2D1108" w14:textId="77777777" w:rsidR="00E836FB" w:rsidRDefault="00E836FB">
            <w:pPr>
              <w:rPr>
                <w:rFonts w:ascii="宋体"/>
                <w:vanish/>
              </w:rPr>
            </w:pPr>
          </w:p>
        </w:tc>
        <w:tc>
          <w:tcPr>
            <w:tcW w:w="0" w:type="auto"/>
            <w:gridSpan w:val="3"/>
            <w:shd w:val="clear" w:color="auto" w:fill="auto"/>
            <w:vAlign w:val="bottom"/>
          </w:tcPr>
          <w:p w14:paraId="5F2D1109" w14:textId="77777777" w:rsidR="00E836FB" w:rsidRDefault="00E836FB">
            <w:pPr>
              <w:rPr>
                <w:rFonts w:ascii="宋体"/>
                <w:vanish/>
              </w:rPr>
            </w:pPr>
          </w:p>
        </w:tc>
        <w:tc>
          <w:tcPr>
            <w:tcW w:w="0" w:type="auto"/>
            <w:gridSpan w:val="3"/>
            <w:shd w:val="clear" w:color="auto" w:fill="auto"/>
            <w:vAlign w:val="bottom"/>
          </w:tcPr>
          <w:p w14:paraId="5F2D110A" w14:textId="77777777" w:rsidR="00E836FB" w:rsidRDefault="00E836FB">
            <w:pPr>
              <w:rPr>
                <w:rFonts w:ascii="宋体"/>
                <w:vanish/>
              </w:rPr>
            </w:pPr>
          </w:p>
        </w:tc>
        <w:tc>
          <w:tcPr>
            <w:tcW w:w="0" w:type="auto"/>
            <w:gridSpan w:val="3"/>
            <w:shd w:val="clear" w:color="auto" w:fill="auto"/>
            <w:vAlign w:val="bottom"/>
          </w:tcPr>
          <w:p w14:paraId="5F2D110B" w14:textId="77777777" w:rsidR="00E836FB" w:rsidRDefault="00E836FB">
            <w:pPr>
              <w:rPr>
                <w:rFonts w:ascii="宋体"/>
                <w:vanish/>
              </w:rPr>
            </w:pPr>
          </w:p>
        </w:tc>
        <w:tc>
          <w:tcPr>
            <w:tcW w:w="0" w:type="auto"/>
            <w:gridSpan w:val="3"/>
            <w:shd w:val="clear" w:color="auto" w:fill="auto"/>
            <w:vAlign w:val="bottom"/>
          </w:tcPr>
          <w:p w14:paraId="5F2D110C" w14:textId="77777777" w:rsidR="00E836FB" w:rsidRDefault="00E836FB">
            <w:pPr>
              <w:rPr>
                <w:rFonts w:ascii="宋体"/>
                <w:vanish/>
              </w:rPr>
            </w:pPr>
          </w:p>
        </w:tc>
        <w:tc>
          <w:tcPr>
            <w:tcW w:w="0" w:type="auto"/>
            <w:gridSpan w:val="3"/>
            <w:shd w:val="clear" w:color="auto" w:fill="auto"/>
            <w:vAlign w:val="bottom"/>
          </w:tcPr>
          <w:p w14:paraId="5F2D110D" w14:textId="77777777" w:rsidR="00E836FB" w:rsidRDefault="00E836FB">
            <w:pPr>
              <w:rPr>
                <w:rFonts w:ascii="宋体"/>
                <w:vanish/>
              </w:rPr>
            </w:pPr>
          </w:p>
        </w:tc>
      </w:tr>
      <w:tr w:rsidR="00E836FB" w14:paraId="5F2D111B" w14:textId="77777777">
        <w:trPr>
          <w:hidden/>
        </w:trPr>
        <w:tc>
          <w:tcPr>
            <w:tcW w:w="0" w:type="auto"/>
            <w:gridSpan w:val="3"/>
            <w:shd w:val="clear" w:color="auto" w:fill="auto"/>
            <w:vAlign w:val="bottom"/>
          </w:tcPr>
          <w:p w14:paraId="5F2D110F" w14:textId="77777777" w:rsidR="00E836FB" w:rsidRDefault="00E836FB">
            <w:pPr>
              <w:rPr>
                <w:rFonts w:ascii="宋体"/>
                <w:vanish/>
              </w:rPr>
            </w:pPr>
          </w:p>
        </w:tc>
        <w:tc>
          <w:tcPr>
            <w:tcW w:w="0" w:type="auto"/>
            <w:gridSpan w:val="3"/>
            <w:shd w:val="clear" w:color="auto" w:fill="auto"/>
            <w:vAlign w:val="bottom"/>
          </w:tcPr>
          <w:p w14:paraId="5F2D1110" w14:textId="77777777" w:rsidR="00E836FB" w:rsidRDefault="00E836FB">
            <w:pPr>
              <w:rPr>
                <w:rFonts w:ascii="宋体"/>
                <w:vanish/>
              </w:rPr>
            </w:pPr>
          </w:p>
        </w:tc>
        <w:tc>
          <w:tcPr>
            <w:tcW w:w="0" w:type="auto"/>
            <w:gridSpan w:val="3"/>
            <w:shd w:val="clear" w:color="auto" w:fill="auto"/>
            <w:vAlign w:val="bottom"/>
          </w:tcPr>
          <w:p w14:paraId="5F2D1111" w14:textId="77777777" w:rsidR="00E836FB" w:rsidRDefault="00E836FB">
            <w:pPr>
              <w:rPr>
                <w:rFonts w:ascii="宋体"/>
                <w:vanish/>
              </w:rPr>
            </w:pPr>
          </w:p>
        </w:tc>
        <w:tc>
          <w:tcPr>
            <w:tcW w:w="0" w:type="auto"/>
            <w:gridSpan w:val="3"/>
            <w:shd w:val="clear" w:color="auto" w:fill="auto"/>
            <w:vAlign w:val="bottom"/>
          </w:tcPr>
          <w:p w14:paraId="5F2D1112" w14:textId="77777777" w:rsidR="00E836FB" w:rsidRDefault="00E836FB">
            <w:pPr>
              <w:rPr>
                <w:rFonts w:ascii="宋体"/>
                <w:vanish/>
              </w:rPr>
            </w:pPr>
          </w:p>
        </w:tc>
        <w:tc>
          <w:tcPr>
            <w:tcW w:w="0" w:type="auto"/>
            <w:gridSpan w:val="3"/>
            <w:shd w:val="clear" w:color="auto" w:fill="auto"/>
            <w:vAlign w:val="bottom"/>
          </w:tcPr>
          <w:p w14:paraId="5F2D1113" w14:textId="77777777" w:rsidR="00E836FB" w:rsidRDefault="00E836FB">
            <w:pPr>
              <w:rPr>
                <w:rFonts w:ascii="宋体"/>
                <w:vanish/>
              </w:rPr>
            </w:pPr>
          </w:p>
        </w:tc>
        <w:tc>
          <w:tcPr>
            <w:tcW w:w="0" w:type="auto"/>
            <w:gridSpan w:val="3"/>
            <w:shd w:val="clear" w:color="auto" w:fill="auto"/>
            <w:vAlign w:val="bottom"/>
          </w:tcPr>
          <w:p w14:paraId="5F2D1114" w14:textId="77777777" w:rsidR="00E836FB" w:rsidRDefault="00E836FB">
            <w:pPr>
              <w:rPr>
                <w:rFonts w:ascii="宋体"/>
                <w:vanish/>
              </w:rPr>
            </w:pPr>
          </w:p>
        </w:tc>
        <w:tc>
          <w:tcPr>
            <w:tcW w:w="0" w:type="auto"/>
            <w:gridSpan w:val="3"/>
            <w:shd w:val="clear" w:color="auto" w:fill="auto"/>
            <w:vAlign w:val="bottom"/>
          </w:tcPr>
          <w:p w14:paraId="5F2D1115" w14:textId="77777777" w:rsidR="00E836FB" w:rsidRDefault="00E836FB">
            <w:pPr>
              <w:rPr>
                <w:rFonts w:ascii="宋体"/>
                <w:vanish/>
              </w:rPr>
            </w:pPr>
          </w:p>
        </w:tc>
        <w:tc>
          <w:tcPr>
            <w:tcW w:w="0" w:type="auto"/>
            <w:gridSpan w:val="3"/>
            <w:shd w:val="clear" w:color="auto" w:fill="auto"/>
            <w:vAlign w:val="bottom"/>
          </w:tcPr>
          <w:p w14:paraId="5F2D1116" w14:textId="77777777" w:rsidR="00E836FB" w:rsidRDefault="00E836FB">
            <w:pPr>
              <w:rPr>
                <w:rFonts w:ascii="宋体"/>
                <w:vanish/>
              </w:rPr>
            </w:pPr>
          </w:p>
        </w:tc>
        <w:tc>
          <w:tcPr>
            <w:tcW w:w="0" w:type="auto"/>
            <w:gridSpan w:val="3"/>
            <w:shd w:val="clear" w:color="auto" w:fill="auto"/>
            <w:vAlign w:val="bottom"/>
          </w:tcPr>
          <w:p w14:paraId="5F2D1117" w14:textId="77777777" w:rsidR="00E836FB" w:rsidRDefault="00E836FB">
            <w:pPr>
              <w:rPr>
                <w:rFonts w:ascii="宋体"/>
                <w:vanish/>
              </w:rPr>
            </w:pPr>
          </w:p>
        </w:tc>
        <w:tc>
          <w:tcPr>
            <w:tcW w:w="0" w:type="auto"/>
            <w:gridSpan w:val="3"/>
            <w:shd w:val="clear" w:color="auto" w:fill="auto"/>
            <w:vAlign w:val="bottom"/>
          </w:tcPr>
          <w:p w14:paraId="5F2D1118" w14:textId="77777777" w:rsidR="00E836FB" w:rsidRDefault="00E836FB">
            <w:pPr>
              <w:rPr>
                <w:rFonts w:ascii="宋体"/>
                <w:vanish/>
              </w:rPr>
            </w:pPr>
          </w:p>
        </w:tc>
        <w:tc>
          <w:tcPr>
            <w:tcW w:w="0" w:type="auto"/>
            <w:gridSpan w:val="3"/>
            <w:shd w:val="clear" w:color="auto" w:fill="auto"/>
            <w:vAlign w:val="bottom"/>
          </w:tcPr>
          <w:p w14:paraId="5F2D1119" w14:textId="77777777" w:rsidR="00E836FB" w:rsidRDefault="00E836FB">
            <w:pPr>
              <w:rPr>
                <w:rFonts w:ascii="宋体"/>
                <w:vanish/>
              </w:rPr>
            </w:pPr>
          </w:p>
        </w:tc>
        <w:tc>
          <w:tcPr>
            <w:tcW w:w="0" w:type="auto"/>
            <w:gridSpan w:val="3"/>
            <w:shd w:val="clear" w:color="auto" w:fill="auto"/>
            <w:vAlign w:val="bottom"/>
          </w:tcPr>
          <w:p w14:paraId="5F2D111A" w14:textId="77777777" w:rsidR="00E836FB" w:rsidRDefault="00E836FB">
            <w:pPr>
              <w:rPr>
                <w:rFonts w:ascii="宋体"/>
                <w:vanish/>
              </w:rPr>
            </w:pPr>
          </w:p>
        </w:tc>
      </w:tr>
      <w:tr w:rsidR="00E836FB" w14:paraId="5F2D1128" w14:textId="77777777">
        <w:trPr>
          <w:hidden/>
        </w:trPr>
        <w:tc>
          <w:tcPr>
            <w:tcW w:w="0" w:type="auto"/>
            <w:gridSpan w:val="3"/>
            <w:shd w:val="clear" w:color="auto" w:fill="auto"/>
            <w:vAlign w:val="bottom"/>
          </w:tcPr>
          <w:p w14:paraId="5F2D111C" w14:textId="77777777" w:rsidR="00E836FB" w:rsidRDefault="00E836FB">
            <w:pPr>
              <w:rPr>
                <w:rFonts w:ascii="宋体"/>
                <w:vanish/>
              </w:rPr>
            </w:pPr>
          </w:p>
        </w:tc>
        <w:tc>
          <w:tcPr>
            <w:tcW w:w="0" w:type="auto"/>
            <w:gridSpan w:val="3"/>
            <w:shd w:val="clear" w:color="auto" w:fill="auto"/>
            <w:vAlign w:val="bottom"/>
          </w:tcPr>
          <w:p w14:paraId="5F2D111D" w14:textId="77777777" w:rsidR="00E836FB" w:rsidRDefault="00E836FB">
            <w:pPr>
              <w:rPr>
                <w:rFonts w:ascii="宋体"/>
                <w:vanish/>
              </w:rPr>
            </w:pPr>
          </w:p>
        </w:tc>
        <w:tc>
          <w:tcPr>
            <w:tcW w:w="0" w:type="auto"/>
            <w:gridSpan w:val="3"/>
            <w:shd w:val="clear" w:color="auto" w:fill="auto"/>
            <w:vAlign w:val="bottom"/>
          </w:tcPr>
          <w:p w14:paraId="5F2D111E" w14:textId="77777777" w:rsidR="00E836FB" w:rsidRDefault="00E836FB">
            <w:pPr>
              <w:rPr>
                <w:rFonts w:ascii="宋体"/>
                <w:vanish/>
              </w:rPr>
            </w:pPr>
          </w:p>
        </w:tc>
        <w:tc>
          <w:tcPr>
            <w:tcW w:w="0" w:type="auto"/>
            <w:gridSpan w:val="3"/>
            <w:shd w:val="clear" w:color="auto" w:fill="auto"/>
            <w:vAlign w:val="bottom"/>
          </w:tcPr>
          <w:p w14:paraId="5F2D111F" w14:textId="77777777" w:rsidR="00E836FB" w:rsidRDefault="00E836FB">
            <w:pPr>
              <w:rPr>
                <w:rFonts w:ascii="宋体"/>
                <w:vanish/>
              </w:rPr>
            </w:pPr>
          </w:p>
        </w:tc>
        <w:tc>
          <w:tcPr>
            <w:tcW w:w="0" w:type="auto"/>
            <w:gridSpan w:val="3"/>
            <w:shd w:val="clear" w:color="auto" w:fill="auto"/>
            <w:vAlign w:val="bottom"/>
          </w:tcPr>
          <w:p w14:paraId="5F2D1120" w14:textId="77777777" w:rsidR="00E836FB" w:rsidRDefault="00E836FB">
            <w:pPr>
              <w:rPr>
                <w:rFonts w:ascii="宋体"/>
                <w:vanish/>
              </w:rPr>
            </w:pPr>
          </w:p>
        </w:tc>
        <w:tc>
          <w:tcPr>
            <w:tcW w:w="0" w:type="auto"/>
            <w:gridSpan w:val="3"/>
            <w:shd w:val="clear" w:color="auto" w:fill="auto"/>
            <w:vAlign w:val="bottom"/>
          </w:tcPr>
          <w:p w14:paraId="5F2D1121" w14:textId="77777777" w:rsidR="00E836FB" w:rsidRDefault="00E836FB">
            <w:pPr>
              <w:rPr>
                <w:rFonts w:ascii="宋体"/>
                <w:vanish/>
              </w:rPr>
            </w:pPr>
          </w:p>
        </w:tc>
        <w:tc>
          <w:tcPr>
            <w:tcW w:w="0" w:type="auto"/>
            <w:gridSpan w:val="3"/>
            <w:shd w:val="clear" w:color="auto" w:fill="auto"/>
            <w:vAlign w:val="bottom"/>
          </w:tcPr>
          <w:p w14:paraId="5F2D1122" w14:textId="77777777" w:rsidR="00E836FB" w:rsidRDefault="00E836FB">
            <w:pPr>
              <w:rPr>
                <w:rFonts w:ascii="宋体"/>
                <w:vanish/>
              </w:rPr>
            </w:pPr>
          </w:p>
        </w:tc>
        <w:tc>
          <w:tcPr>
            <w:tcW w:w="0" w:type="auto"/>
            <w:gridSpan w:val="3"/>
            <w:shd w:val="clear" w:color="auto" w:fill="auto"/>
            <w:vAlign w:val="bottom"/>
          </w:tcPr>
          <w:p w14:paraId="5F2D1123" w14:textId="77777777" w:rsidR="00E836FB" w:rsidRDefault="00E836FB">
            <w:pPr>
              <w:rPr>
                <w:rFonts w:ascii="宋体"/>
                <w:vanish/>
              </w:rPr>
            </w:pPr>
          </w:p>
        </w:tc>
        <w:tc>
          <w:tcPr>
            <w:tcW w:w="0" w:type="auto"/>
            <w:gridSpan w:val="3"/>
            <w:shd w:val="clear" w:color="auto" w:fill="auto"/>
            <w:vAlign w:val="bottom"/>
          </w:tcPr>
          <w:p w14:paraId="5F2D1124" w14:textId="77777777" w:rsidR="00E836FB" w:rsidRDefault="00E836FB">
            <w:pPr>
              <w:rPr>
                <w:rFonts w:ascii="宋体"/>
                <w:vanish/>
              </w:rPr>
            </w:pPr>
          </w:p>
        </w:tc>
        <w:tc>
          <w:tcPr>
            <w:tcW w:w="0" w:type="auto"/>
            <w:gridSpan w:val="3"/>
            <w:shd w:val="clear" w:color="auto" w:fill="auto"/>
            <w:vAlign w:val="bottom"/>
          </w:tcPr>
          <w:p w14:paraId="5F2D1125" w14:textId="77777777" w:rsidR="00E836FB" w:rsidRDefault="00E836FB">
            <w:pPr>
              <w:rPr>
                <w:rFonts w:ascii="宋体"/>
                <w:vanish/>
              </w:rPr>
            </w:pPr>
          </w:p>
        </w:tc>
        <w:tc>
          <w:tcPr>
            <w:tcW w:w="0" w:type="auto"/>
            <w:gridSpan w:val="3"/>
            <w:shd w:val="clear" w:color="auto" w:fill="auto"/>
            <w:vAlign w:val="bottom"/>
          </w:tcPr>
          <w:p w14:paraId="5F2D1126" w14:textId="77777777" w:rsidR="00E836FB" w:rsidRDefault="00E836FB">
            <w:pPr>
              <w:rPr>
                <w:rFonts w:ascii="宋体"/>
                <w:vanish/>
              </w:rPr>
            </w:pPr>
          </w:p>
        </w:tc>
        <w:tc>
          <w:tcPr>
            <w:tcW w:w="0" w:type="auto"/>
            <w:gridSpan w:val="3"/>
            <w:shd w:val="clear" w:color="auto" w:fill="auto"/>
            <w:vAlign w:val="bottom"/>
          </w:tcPr>
          <w:p w14:paraId="5F2D1127" w14:textId="77777777" w:rsidR="00E836FB" w:rsidRDefault="00E836FB">
            <w:pPr>
              <w:rPr>
                <w:rFonts w:ascii="宋体"/>
                <w:vanish/>
              </w:rPr>
            </w:pPr>
          </w:p>
        </w:tc>
      </w:tr>
      <w:tr w:rsidR="00E836FB" w14:paraId="5F2D1135" w14:textId="77777777">
        <w:trPr>
          <w:hidden/>
        </w:trPr>
        <w:tc>
          <w:tcPr>
            <w:tcW w:w="0" w:type="auto"/>
            <w:gridSpan w:val="3"/>
            <w:shd w:val="clear" w:color="auto" w:fill="auto"/>
            <w:vAlign w:val="bottom"/>
          </w:tcPr>
          <w:p w14:paraId="5F2D1129" w14:textId="77777777" w:rsidR="00E836FB" w:rsidRDefault="00E836FB">
            <w:pPr>
              <w:rPr>
                <w:rFonts w:ascii="宋体"/>
                <w:vanish/>
              </w:rPr>
            </w:pPr>
          </w:p>
        </w:tc>
        <w:tc>
          <w:tcPr>
            <w:tcW w:w="0" w:type="auto"/>
            <w:gridSpan w:val="3"/>
            <w:shd w:val="clear" w:color="auto" w:fill="auto"/>
            <w:vAlign w:val="bottom"/>
          </w:tcPr>
          <w:p w14:paraId="5F2D112A" w14:textId="77777777" w:rsidR="00E836FB" w:rsidRDefault="00E836FB">
            <w:pPr>
              <w:rPr>
                <w:rFonts w:ascii="宋体"/>
                <w:vanish/>
              </w:rPr>
            </w:pPr>
          </w:p>
        </w:tc>
        <w:tc>
          <w:tcPr>
            <w:tcW w:w="0" w:type="auto"/>
            <w:gridSpan w:val="3"/>
            <w:shd w:val="clear" w:color="auto" w:fill="auto"/>
            <w:vAlign w:val="bottom"/>
          </w:tcPr>
          <w:p w14:paraId="5F2D112B" w14:textId="77777777" w:rsidR="00E836FB" w:rsidRDefault="00E836FB">
            <w:pPr>
              <w:rPr>
                <w:rFonts w:ascii="宋体"/>
                <w:vanish/>
              </w:rPr>
            </w:pPr>
          </w:p>
        </w:tc>
        <w:tc>
          <w:tcPr>
            <w:tcW w:w="0" w:type="auto"/>
            <w:gridSpan w:val="3"/>
            <w:shd w:val="clear" w:color="auto" w:fill="auto"/>
            <w:vAlign w:val="bottom"/>
          </w:tcPr>
          <w:p w14:paraId="5F2D112C" w14:textId="77777777" w:rsidR="00E836FB" w:rsidRDefault="00E836FB">
            <w:pPr>
              <w:rPr>
                <w:rFonts w:ascii="宋体"/>
                <w:vanish/>
              </w:rPr>
            </w:pPr>
          </w:p>
        </w:tc>
        <w:tc>
          <w:tcPr>
            <w:tcW w:w="0" w:type="auto"/>
            <w:gridSpan w:val="3"/>
            <w:shd w:val="clear" w:color="auto" w:fill="auto"/>
            <w:vAlign w:val="bottom"/>
          </w:tcPr>
          <w:p w14:paraId="5F2D112D" w14:textId="77777777" w:rsidR="00E836FB" w:rsidRDefault="00E836FB">
            <w:pPr>
              <w:rPr>
                <w:rFonts w:ascii="宋体"/>
                <w:vanish/>
              </w:rPr>
            </w:pPr>
          </w:p>
        </w:tc>
        <w:tc>
          <w:tcPr>
            <w:tcW w:w="0" w:type="auto"/>
            <w:gridSpan w:val="3"/>
            <w:shd w:val="clear" w:color="auto" w:fill="auto"/>
            <w:vAlign w:val="bottom"/>
          </w:tcPr>
          <w:p w14:paraId="5F2D112E" w14:textId="77777777" w:rsidR="00E836FB" w:rsidRDefault="00E836FB">
            <w:pPr>
              <w:rPr>
                <w:rFonts w:ascii="宋体"/>
                <w:vanish/>
              </w:rPr>
            </w:pPr>
          </w:p>
        </w:tc>
        <w:tc>
          <w:tcPr>
            <w:tcW w:w="0" w:type="auto"/>
            <w:gridSpan w:val="3"/>
            <w:shd w:val="clear" w:color="auto" w:fill="auto"/>
            <w:vAlign w:val="bottom"/>
          </w:tcPr>
          <w:p w14:paraId="5F2D112F" w14:textId="77777777" w:rsidR="00E836FB" w:rsidRDefault="00E836FB">
            <w:pPr>
              <w:rPr>
                <w:rFonts w:ascii="宋体"/>
                <w:vanish/>
              </w:rPr>
            </w:pPr>
          </w:p>
        </w:tc>
        <w:tc>
          <w:tcPr>
            <w:tcW w:w="0" w:type="auto"/>
            <w:gridSpan w:val="3"/>
            <w:shd w:val="clear" w:color="auto" w:fill="auto"/>
            <w:vAlign w:val="bottom"/>
          </w:tcPr>
          <w:p w14:paraId="5F2D1130" w14:textId="77777777" w:rsidR="00E836FB" w:rsidRDefault="00E836FB">
            <w:pPr>
              <w:rPr>
                <w:rFonts w:ascii="宋体"/>
                <w:vanish/>
              </w:rPr>
            </w:pPr>
          </w:p>
        </w:tc>
        <w:tc>
          <w:tcPr>
            <w:tcW w:w="0" w:type="auto"/>
            <w:gridSpan w:val="3"/>
            <w:shd w:val="clear" w:color="auto" w:fill="auto"/>
            <w:vAlign w:val="bottom"/>
          </w:tcPr>
          <w:p w14:paraId="5F2D1131" w14:textId="77777777" w:rsidR="00E836FB" w:rsidRDefault="00E836FB">
            <w:pPr>
              <w:rPr>
                <w:rFonts w:ascii="宋体"/>
                <w:vanish/>
              </w:rPr>
            </w:pPr>
          </w:p>
        </w:tc>
        <w:tc>
          <w:tcPr>
            <w:tcW w:w="0" w:type="auto"/>
            <w:gridSpan w:val="3"/>
            <w:shd w:val="clear" w:color="auto" w:fill="auto"/>
            <w:vAlign w:val="bottom"/>
          </w:tcPr>
          <w:p w14:paraId="5F2D1132" w14:textId="77777777" w:rsidR="00E836FB" w:rsidRDefault="00E836FB">
            <w:pPr>
              <w:rPr>
                <w:rFonts w:ascii="宋体"/>
                <w:vanish/>
              </w:rPr>
            </w:pPr>
          </w:p>
        </w:tc>
        <w:tc>
          <w:tcPr>
            <w:tcW w:w="0" w:type="auto"/>
            <w:gridSpan w:val="3"/>
            <w:shd w:val="clear" w:color="auto" w:fill="auto"/>
            <w:vAlign w:val="bottom"/>
          </w:tcPr>
          <w:p w14:paraId="5F2D1133" w14:textId="77777777" w:rsidR="00E836FB" w:rsidRDefault="00E836FB">
            <w:pPr>
              <w:rPr>
                <w:rFonts w:ascii="宋体"/>
                <w:vanish/>
              </w:rPr>
            </w:pPr>
          </w:p>
        </w:tc>
        <w:tc>
          <w:tcPr>
            <w:tcW w:w="0" w:type="auto"/>
            <w:gridSpan w:val="3"/>
            <w:shd w:val="clear" w:color="auto" w:fill="auto"/>
            <w:vAlign w:val="bottom"/>
          </w:tcPr>
          <w:p w14:paraId="5F2D1134" w14:textId="77777777" w:rsidR="00E836FB" w:rsidRDefault="00E836FB">
            <w:pPr>
              <w:rPr>
                <w:rFonts w:ascii="宋体"/>
                <w:vanish/>
              </w:rPr>
            </w:pPr>
          </w:p>
        </w:tc>
      </w:tr>
      <w:tr w:rsidR="00E836FB" w14:paraId="5F2D1142" w14:textId="77777777">
        <w:trPr>
          <w:hidden/>
        </w:trPr>
        <w:tc>
          <w:tcPr>
            <w:tcW w:w="0" w:type="auto"/>
            <w:gridSpan w:val="3"/>
            <w:shd w:val="clear" w:color="auto" w:fill="auto"/>
            <w:vAlign w:val="bottom"/>
          </w:tcPr>
          <w:p w14:paraId="5F2D1136" w14:textId="77777777" w:rsidR="00E836FB" w:rsidRDefault="00E836FB">
            <w:pPr>
              <w:rPr>
                <w:rFonts w:ascii="宋体"/>
                <w:vanish/>
              </w:rPr>
            </w:pPr>
          </w:p>
        </w:tc>
        <w:tc>
          <w:tcPr>
            <w:tcW w:w="0" w:type="auto"/>
            <w:gridSpan w:val="3"/>
            <w:shd w:val="clear" w:color="auto" w:fill="auto"/>
            <w:vAlign w:val="bottom"/>
          </w:tcPr>
          <w:p w14:paraId="5F2D1137" w14:textId="77777777" w:rsidR="00E836FB" w:rsidRDefault="00E836FB">
            <w:pPr>
              <w:rPr>
                <w:rFonts w:ascii="宋体"/>
                <w:vanish/>
              </w:rPr>
            </w:pPr>
          </w:p>
        </w:tc>
        <w:tc>
          <w:tcPr>
            <w:tcW w:w="0" w:type="auto"/>
            <w:gridSpan w:val="3"/>
            <w:shd w:val="clear" w:color="auto" w:fill="auto"/>
            <w:vAlign w:val="bottom"/>
          </w:tcPr>
          <w:p w14:paraId="5F2D1138" w14:textId="77777777" w:rsidR="00E836FB" w:rsidRDefault="00E836FB">
            <w:pPr>
              <w:rPr>
                <w:rFonts w:ascii="宋体"/>
                <w:vanish/>
              </w:rPr>
            </w:pPr>
          </w:p>
        </w:tc>
        <w:tc>
          <w:tcPr>
            <w:tcW w:w="0" w:type="auto"/>
            <w:gridSpan w:val="3"/>
            <w:shd w:val="clear" w:color="auto" w:fill="auto"/>
            <w:vAlign w:val="bottom"/>
          </w:tcPr>
          <w:p w14:paraId="5F2D1139" w14:textId="77777777" w:rsidR="00E836FB" w:rsidRDefault="00E836FB">
            <w:pPr>
              <w:rPr>
                <w:rFonts w:ascii="宋体"/>
                <w:vanish/>
              </w:rPr>
            </w:pPr>
          </w:p>
        </w:tc>
        <w:tc>
          <w:tcPr>
            <w:tcW w:w="0" w:type="auto"/>
            <w:gridSpan w:val="3"/>
            <w:shd w:val="clear" w:color="auto" w:fill="auto"/>
            <w:vAlign w:val="bottom"/>
          </w:tcPr>
          <w:p w14:paraId="5F2D113A" w14:textId="77777777" w:rsidR="00E836FB" w:rsidRDefault="00E836FB">
            <w:pPr>
              <w:rPr>
                <w:rFonts w:ascii="宋体"/>
                <w:vanish/>
              </w:rPr>
            </w:pPr>
          </w:p>
        </w:tc>
        <w:tc>
          <w:tcPr>
            <w:tcW w:w="0" w:type="auto"/>
            <w:gridSpan w:val="3"/>
            <w:shd w:val="clear" w:color="auto" w:fill="auto"/>
            <w:vAlign w:val="bottom"/>
          </w:tcPr>
          <w:p w14:paraId="5F2D113B" w14:textId="77777777" w:rsidR="00E836FB" w:rsidRDefault="00E836FB">
            <w:pPr>
              <w:rPr>
                <w:rFonts w:ascii="宋体"/>
                <w:vanish/>
              </w:rPr>
            </w:pPr>
          </w:p>
        </w:tc>
        <w:tc>
          <w:tcPr>
            <w:tcW w:w="0" w:type="auto"/>
            <w:gridSpan w:val="3"/>
            <w:shd w:val="clear" w:color="auto" w:fill="auto"/>
            <w:vAlign w:val="bottom"/>
          </w:tcPr>
          <w:p w14:paraId="5F2D113C" w14:textId="77777777" w:rsidR="00E836FB" w:rsidRDefault="00E836FB">
            <w:pPr>
              <w:rPr>
                <w:rFonts w:ascii="宋体"/>
                <w:vanish/>
              </w:rPr>
            </w:pPr>
          </w:p>
        </w:tc>
        <w:tc>
          <w:tcPr>
            <w:tcW w:w="0" w:type="auto"/>
            <w:gridSpan w:val="3"/>
            <w:shd w:val="clear" w:color="auto" w:fill="auto"/>
            <w:vAlign w:val="bottom"/>
          </w:tcPr>
          <w:p w14:paraId="5F2D113D" w14:textId="77777777" w:rsidR="00E836FB" w:rsidRDefault="00E836FB">
            <w:pPr>
              <w:rPr>
                <w:rFonts w:ascii="宋体"/>
                <w:vanish/>
              </w:rPr>
            </w:pPr>
          </w:p>
        </w:tc>
        <w:tc>
          <w:tcPr>
            <w:tcW w:w="0" w:type="auto"/>
            <w:gridSpan w:val="3"/>
            <w:shd w:val="clear" w:color="auto" w:fill="auto"/>
            <w:vAlign w:val="bottom"/>
          </w:tcPr>
          <w:p w14:paraId="5F2D113E" w14:textId="77777777" w:rsidR="00E836FB" w:rsidRDefault="00E836FB">
            <w:pPr>
              <w:rPr>
                <w:rFonts w:ascii="宋体"/>
                <w:vanish/>
              </w:rPr>
            </w:pPr>
          </w:p>
        </w:tc>
        <w:tc>
          <w:tcPr>
            <w:tcW w:w="0" w:type="auto"/>
            <w:gridSpan w:val="3"/>
            <w:shd w:val="clear" w:color="auto" w:fill="auto"/>
            <w:vAlign w:val="bottom"/>
          </w:tcPr>
          <w:p w14:paraId="5F2D113F" w14:textId="77777777" w:rsidR="00E836FB" w:rsidRDefault="00E836FB">
            <w:pPr>
              <w:rPr>
                <w:rFonts w:ascii="宋体"/>
                <w:vanish/>
              </w:rPr>
            </w:pPr>
          </w:p>
        </w:tc>
        <w:tc>
          <w:tcPr>
            <w:tcW w:w="0" w:type="auto"/>
            <w:gridSpan w:val="3"/>
            <w:shd w:val="clear" w:color="auto" w:fill="auto"/>
            <w:vAlign w:val="bottom"/>
          </w:tcPr>
          <w:p w14:paraId="5F2D1140" w14:textId="77777777" w:rsidR="00E836FB" w:rsidRDefault="00E836FB">
            <w:pPr>
              <w:rPr>
                <w:rFonts w:ascii="宋体"/>
                <w:vanish/>
              </w:rPr>
            </w:pPr>
          </w:p>
        </w:tc>
        <w:tc>
          <w:tcPr>
            <w:tcW w:w="0" w:type="auto"/>
            <w:gridSpan w:val="3"/>
            <w:shd w:val="clear" w:color="auto" w:fill="auto"/>
            <w:vAlign w:val="bottom"/>
          </w:tcPr>
          <w:p w14:paraId="5F2D1141" w14:textId="77777777" w:rsidR="00E836FB" w:rsidRDefault="00E836FB">
            <w:pPr>
              <w:rPr>
                <w:rFonts w:ascii="宋体"/>
                <w:vanish/>
              </w:rPr>
            </w:pPr>
          </w:p>
        </w:tc>
      </w:tr>
      <w:tr w:rsidR="00E836FB" w14:paraId="5F2D114F" w14:textId="77777777">
        <w:trPr>
          <w:hidden/>
        </w:trPr>
        <w:tc>
          <w:tcPr>
            <w:tcW w:w="0" w:type="auto"/>
            <w:gridSpan w:val="3"/>
            <w:shd w:val="clear" w:color="auto" w:fill="auto"/>
            <w:vAlign w:val="bottom"/>
          </w:tcPr>
          <w:p w14:paraId="5F2D1143" w14:textId="77777777" w:rsidR="00E836FB" w:rsidRDefault="00E836FB">
            <w:pPr>
              <w:rPr>
                <w:rFonts w:ascii="宋体"/>
                <w:vanish/>
              </w:rPr>
            </w:pPr>
          </w:p>
        </w:tc>
        <w:tc>
          <w:tcPr>
            <w:tcW w:w="0" w:type="auto"/>
            <w:gridSpan w:val="3"/>
            <w:shd w:val="clear" w:color="auto" w:fill="auto"/>
            <w:vAlign w:val="bottom"/>
          </w:tcPr>
          <w:p w14:paraId="5F2D1144" w14:textId="77777777" w:rsidR="00E836FB" w:rsidRDefault="00E836FB">
            <w:pPr>
              <w:rPr>
                <w:rFonts w:ascii="宋体"/>
                <w:vanish/>
              </w:rPr>
            </w:pPr>
          </w:p>
        </w:tc>
        <w:tc>
          <w:tcPr>
            <w:tcW w:w="0" w:type="auto"/>
            <w:gridSpan w:val="3"/>
            <w:shd w:val="clear" w:color="auto" w:fill="auto"/>
            <w:vAlign w:val="bottom"/>
          </w:tcPr>
          <w:p w14:paraId="5F2D1145" w14:textId="77777777" w:rsidR="00E836FB" w:rsidRDefault="00E836FB">
            <w:pPr>
              <w:rPr>
                <w:rFonts w:ascii="宋体"/>
                <w:vanish/>
              </w:rPr>
            </w:pPr>
          </w:p>
        </w:tc>
        <w:tc>
          <w:tcPr>
            <w:tcW w:w="0" w:type="auto"/>
            <w:gridSpan w:val="3"/>
            <w:shd w:val="clear" w:color="auto" w:fill="auto"/>
            <w:vAlign w:val="bottom"/>
          </w:tcPr>
          <w:p w14:paraId="5F2D1146" w14:textId="77777777" w:rsidR="00E836FB" w:rsidRDefault="00E836FB">
            <w:pPr>
              <w:rPr>
                <w:rFonts w:ascii="宋体"/>
                <w:vanish/>
              </w:rPr>
            </w:pPr>
          </w:p>
        </w:tc>
        <w:tc>
          <w:tcPr>
            <w:tcW w:w="0" w:type="auto"/>
            <w:gridSpan w:val="3"/>
            <w:shd w:val="clear" w:color="auto" w:fill="auto"/>
            <w:vAlign w:val="bottom"/>
          </w:tcPr>
          <w:p w14:paraId="5F2D1147" w14:textId="77777777" w:rsidR="00E836FB" w:rsidRDefault="00E836FB">
            <w:pPr>
              <w:rPr>
                <w:rFonts w:ascii="宋体"/>
                <w:vanish/>
              </w:rPr>
            </w:pPr>
          </w:p>
        </w:tc>
        <w:tc>
          <w:tcPr>
            <w:tcW w:w="0" w:type="auto"/>
            <w:gridSpan w:val="3"/>
            <w:shd w:val="clear" w:color="auto" w:fill="auto"/>
            <w:vAlign w:val="bottom"/>
          </w:tcPr>
          <w:p w14:paraId="5F2D1148" w14:textId="77777777" w:rsidR="00E836FB" w:rsidRDefault="00E836FB">
            <w:pPr>
              <w:rPr>
                <w:rFonts w:ascii="宋体"/>
                <w:vanish/>
              </w:rPr>
            </w:pPr>
          </w:p>
        </w:tc>
        <w:tc>
          <w:tcPr>
            <w:tcW w:w="0" w:type="auto"/>
            <w:gridSpan w:val="3"/>
            <w:shd w:val="clear" w:color="auto" w:fill="auto"/>
            <w:vAlign w:val="bottom"/>
          </w:tcPr>
          <w:p w14:paraId="5F2D1149" w14:textId="77777777" w:rsidR="00E836FB" w:rsidRDefault="00E836FB">
            <w:pPr>
              <w:rPr>
                <w:rFonts w:ascii="宋体"/>
                <w:vanish/>
              </w:rPr>
            </w:pPr>
          </w:p>
        </w:tc>
        <w:tc>
          <w:tcPr>
            <w:tcW w:w="0" w:type="auto"/>
            <w:gridSpan w:val="3"/>
            <w:shd w:val="clear" w:color="auto" w:fill="auto"/>
            <w:vAlign w:val="bottom"/>
          </w:tcPr>
          <w:p w14:paraId="5F2D114A" w14:textId="77777777" w:rsidR="00E836FB" w:rsidRDefault="00E836FB">
            <w:pPr>
              <w:rPr>
                <w:rFonts w:ascii="宋体"/>
                <w:vanish/>
              </w:rPr>
            </w:pPr>
          </w:p>
        </w:tc>
        <w:tc>
          <w:tcPr>
            <w:tcW w:w="0" w:type="auto"/>
            <w:gridSpan w:val="3"/>
            <w:shd w:val="clear" w:color="auto" w:fill="auto"/>
            <w:vAlign w:val="bottom"/>
          </w:tcPr>
          <w:p w14:paraId="5F2D114B" w14:textId="77777777" w:rsidR="00E836FB" w:rsidRDefault="00E836FB">
            <w:pPr>
              <w:rPr>
                <w:rFonts w:ascii="宋体"/>
                <w:vanish/>
              </w:rPr>
            </w:pPr>
          </w:p>
        </w:tc>
        <w:tc>
          <w:tcPr>
            <w:tcW w:w="0" w:type="auto"/>
            <w:gridSpan w:val="3"/>
            <w:shd w:val="clear" w:color="auto" w:fill="auto"/>
            <w:vAlign w:val="bottom"/>
          </w:tcPr>
          <w:p w14:paraId="5F2D114C" w14:textId="77777777" w:rsidR="00E836FB" w:rsidRDefault="00E836FB">
            <w:pPr>
              <w:rPr>
                <w:rFonts w:ascii="宋体"/>
                <w:vanish/>
              </w:rPr>
            </w:pPr>
          </w:p>
        </w:tc>
        <w:tc>
          <w:tcPr>
            <w:tcW w:w="0" w:type="auto"/>
            <w:gridSpan w:val="3"/>
            <w:shd w:val="clear" w:color="auto" w:fill="auto"/>
            <w:vAlign w:val="bottom"/>
          </w:tcPr>
          <w:p w14:paraId="5F2D114D" w14:textId="77777777" w:rsidR="00E836FB" w:rsidRDefault="00E836FB">
            <w:pPr>
              <w:rPr>
                <w:rFonts w:ascii="宋体"/>
                <w:vanish/>
              </w:rPr>
            </w:pPr>
          </w:p>
        </w:tc>
        <w:tc>
          <w:tcPr>
            <w:tcW w:w="0" w:type="auto"/>
            <w:gridSpan w:val="3"/>
            <w:shd w:val="clear" w:color="auto" w:fill="auto"/>
            <w:vAlign w:val="bottom"/>
          </w:tcPr>
          <w:p w14:paraId="5F2D114E" w14:textId="77777777" w:rsidR="00E836FB" w:rsidRDefault="00E836FB">
            <w:pPr>
              <w:rPr>
                <w:rFonts w:ascii="宋体"/>
                <w:vanish/>
              </w:rPr>
            </w:pPr>
          </w:p>
        </w:tc>
      </w:tr>
      <w:tr w:rsidR="00E836FB" w14:paraId="5F2D115C" w14:textId="77777777">
        <w:trPr>
          <w:hidden/>
        </w:trPr>
        <w:tc>
          <w:tcPr>
            <w:tcW w:w="0" w:type="auto"/>
            <w:gridSpan w:val="3"/>
            <w:shd w:val="clear" w:color="auto" w:fill="auto"/>
            <w:vAlign w:val="bottom"/>
          </w:tcPr>
          <w:p w14:paraId="5F2D1150" w14:textId="77777777" w:rsidR="00E836FB" w:rsidRDefault="00E836FB">
            <w:pPr>
              <w:rPr>
                <w:rFonts w:ascii="宋体"/>
                <w:vanish/>
              </w:rPr>
            </w:pPr>
          </w:p>
        </w:tc>
        <w:tc>
          <w:tcPr>
            <w:tcW w:w="0" w:type="auto"/>
            <w:gridSpan w:val="3"/>
            <w:shd w:val="clear" w:color="auto" w:fill="auto"/>
            <w:vAlign w:val="bottom"/>
          </w:tcPr>
          <w:p w14:paraId="5F2D1151" w14:textId="77777777" w:rsidR="00E836FB" w:rsidRDefault="00E836FB">
            <w:pPr>
              <w:rPr>
                <w:rFonts w:ascii="宋体"/>
                <w:vanish/>
              </w:rPr>
            </w:pPr>
          </w:p>
        </w:tc>
        <w:tc>
          <w:tcPr>
            <w:tcW w:w="0" w:type="auto"/>
            <w:gridSpan w:val="3"/>
            <w:shd w:val="clear" w:color="auto" w:fill="auto"/>
            <w:vAlign w:val="bottom"/>
          </w:tcPr>
          <w:p w14:paraId="5F2D1152" w14:textId="77777777" w:rsidR="00E836FB" w:rsidRDefault="00E836FB">
            <w:pPr>
              <w:rPr>
                <w:rFonts w:ascii="宋体"/>
                <w:vanish/>
              </w:rPr>
            </w:pPr>
          </w:p>
        </w:tc>
        <w:tc>
          <w:tcPr>
            <w:tcW w:w="0" w:type="auto"/>
            <w:gridSpan w:val="3"/>
            <w:shd w:val="clear" w:color="auto" w:fill="auto"/>
            <w:vAlign w:val="bottom"/>
          </w:tcPr>
          <w:p w14:paraId="5F2D1153" w14:textId="77777777" w:rsidR="00E836FB" w:rsidRDefault="00E836FB">
            <w:pPr>
              <w:rPr>
                <w:rFonts w:ascii="宋体"/>
                <w:vanish/>
              </w:rPr>
            </w:pPr>
          </w:p>
        </w:tc>
        <w:tc>
          <w:tcPr>
            <w:tcW w:w="0" w:type="auto"/>
            <w:gridSpan w:val="3"/>
            <w:shd w:val="clear" w:color="auto" w:fill="auto"/>
            <w:vAlign w:val="bottom"/>
          </w:tcPr>
          <w:p w14:paraId="5F2D1154" w14:textId="77777777" w:rsidR="00E836FB" w:rsidRDefault="00E836FB">
            <w:pPr>
              <w:rPr>
                <w:rFonts w:ascii="宋体"/>
                <w:vanish/>
              </w:rPr>
            </w:pPr>
          </w:p>
        </w:tc>
        <w:tc>
          <w:tcPr>
            <w:tcW w:w="0" w:type="auto"/>
            <w:gridSpan w:val="3"/>
            <w:shd w:val="clear" w:color="auto" w:fill="auto"/>
            <w:vAlign w:val="bottom"/>
          </w:tcPr>
          <w:p w14:paraId="5F2D1155" w14:textId="77777777" w:rsidR="00E836FB" w:rsidRDefault="00E836FB">
            <w:pPr>
              <w:rPr>
                <w:rFonts w:ascii="宋体"/>
                <w:vanish/>
              </w:rPr>
            </w:pPr>
          </w:p>
        </w:tc>
        <w:tc>
          <w:tcPr>
            <w:tcW w:w="0" w:type="auto"/>
            <w:gridSpan w:val="3"/>
            <w:shd w:val="clear" w:color="auto" w:fill="auto"/>
            <w:vAlign w:val="bottom"/>
          </w:tcPr>
          <w:p w14:paraId="5F2D1156" w14:textId="77777777" w:rsidR="00E836FB" w:rsidRDefault="00E836FB">
            <w:pPr>
              <w:rPr>
                <w:rFonts w:ascii="宋体"/>
                <w:vanish/>
              </w:rPr>
            </w:pPr>
          </w:p>
        </w:tc>
        <w:tc>
          <w:tcPr>
            <w:tcW w:w="0" w:type="auto"/>
            <w:gridSpan w:val="3"/>
            <w:shd w:val="clear" w:color="auto" w:fill="auto"/>
            <w:vAlign w:val="bottom"/>
          </w:tcPr>
          <w:p w14:paraId="5F2D1157" w14:textId="77777777" w:rsidR="00E836FB" w:rsidRDefault="00E836FB">
            <w:pPr>
              <w:rPr>
                <w:rFonts w:ascii="宋体"/>
                <w:vanish/>
              </w:rPr>
            </w:pPr>
          </w:p>
        </w:tc>
        <w:tc>
          <w:tcPr>
            <w:tcW w:w="0" w:type="auto"/>
            <w:gridSpan w:val="3"/>
            <w:shd w:val="clear" w:color="auto" w:fill="auto"/>
            <w:vAlign w:val="bottom"/>
          </w:tcPr>
          <w:p w14:paraId="5F2D1158" w14:textId="77777777" w:rsidR="00E836FB" w:rsidRDefault="00E836FB">
            <w:pPr>
              <w:rPr>
                <w:rFonts w:ascii="宋体"/>
                <w:vanish/>
              </w:rPr>
            </w:pPr>
          </w:p>
        </w:tc>
        <w:tc>
          <w:tcPr>
            <w:tcW w:w="0" w:type="auto"/>
            <w:gridSpan w:val="3"/>
            <w:shd w:val="clear" w:color="auto" w:fill="auto"/>
            <w:vAlign w:val="bottom"/>
          </w:tcPr>
          <w:p w14:paraId="5F2D1159" w14:textId="77777777" w:rsidR="00E836FB" w:rsidRDefault="00E836FB">
            <w:pPr>
              <w:rPr>
                <w:rFonts w:ascii="宋体"/>
                <w:vanish/>
              </w:rPr>
            </w:pPr>
          </w:p>
        </w:tc>
        <w:tc>
          <w:tcPr>
            <w:tcW w:w="0" w:type="auto"/>
            <w:gridSpan w:val="3"/>
            <w:shd w:val="clear" w:color="auto" w:fill="auto"/>
            <w:vAlign w:val="bottom"/>
          </w:tcPr>
          <w:p w14:paraId="5F2D115A" w14:textId="77777777" w:rsidR="00E836FB" w:rsidRDefault="00E836FB">
            <w:pPr>
              <w:rPr>
                <w:rFonts w:ascii="宋体"/>
                <w:vanish/>
              </w:rPr>
            </w:pPr>
          </w:p>
        </w:tc>
        <w:tc>
          <w:tcPr>
            <w:tcW w:w="0" w:type="auto"/>
            <w:gridSpan w:val="3"/>
            <w:shd w:val="clear" w:color="auto" w:fill="auto"/>
            <w:vAlign w:val="bottom"/>
          </w:tcPr>
          <w:p w14:paraId="5F2D115B" w14:textId="77777777" w:rsidR="00E836FB" w:rsidRDefault="00E836FB">
            <w:pPr>
              <w:rPr>
                <w:rFonts w:ascii="宋体"/>
                <w:vanish/>
              </w:rPr>
            </w:pPr>
          </w:p>
        </w:tc>
      </w:tr>
      <w:tr w:rsidR="00E836FB" w14:paraId="5F2D1169" w14:textId="77777777">
        <w:trPr>
          <w:hidden/>
        </w:trPr>
        <w:tc>
          <w:tcPr>
            <w:tcW w:w="0" w:type="auto"/>
            <w:gridSpan w:val="3"/>
            <w:shd w:val="clear" w:color="auto" w:fill="auto"/>
            <w:vAlign w:val="bottom"/>
          </w:tcPr>
          <w:p w14:paraId="5F2D115D" w14:textId="77777777" w:rsidR="00E836FB" w:rsidRDefault="00E836FB">
            <w:pPr>
              <w:rPr>
                <w:rFonts w:ascii="宋体"/>
                <w:vanish/>
              </w:rPr>
            </w:pPr>
          </w:p>
        </w:tc>
        <w:tc>
          <w:tcPr>
            <w:tcW w:w="0" w:type="auto"/>
            <w:gridSpan w:val="3"/>
            <w:shd w:val="clear" w:color="auto" w:fill="auto"/>
            <w:vAlign w:val="bottom"/>
          </w:tcPr>
          <w:p w14:paraId="5F2D115E" w14:textId="77777777" w:rsidR="00E836FB" w:rsidRDefault="00E836FB">
            <w:pPr>
              <w:rPr>
                <w:rFonts w:ascii="宋体"/>
                <w:vanish/>
              </w:rPr>
            </w:pPr>
          </w:p>
        </w:tc>
        <w:tc>
          <w:tcPr>
            <w:tcW w:w="0" w:type="auto"/>
            <w:gridSpan w:val="3"/>
            <w:shd w:val="clear" w:color="auto" w:fill="auto"/>
            <w:vAlign w:val="bottom"/>
          </w:tcPr>
          <w:p w14:paraId="5F2D115F" w14:textId="77777777" w:rsidR="00E836FB" w:rsidRDefault="00E836FB">
            <w:pPr>
              <w:rPr>
                <w:rFonts w:ascii="宋体"/>
                <w:vanish/>
              </w:rPr>
            </w:pPr>
          </w:p>
        </w:tc>
        <w:tc>
          <w:tcPr>
            <w:tcW w:w="0" w:type="auto"/>
            <w:gridSpan w:val="3"/>
            <w:shd w:val="clear" w:color="auto" w:fill="auto"/>
            <w:vAlign w:val="bottom"/>
          </w:tcPr>
          <w:p w14:paraId="5F2D1160" w14:textId="77777777" w:rsidR="00E836FB" w:rsidRDefault="00E836FB">
            <w:pPr>
              <w:rPr>
                <w:rFonts w:ascii="宋体"/>
                <w:vanish/>
              </w:rPr>
            </w:pPr>
          </w:p>
        </w:tc>
        <w:tc>
          <w:tcPr>
            <w:tcW w:w="0" w:type="auto"/>
            <w:gridSpan w:val="3"/>
            <w:shd w:val="clear" w:color="auto" w:fill="auto"/>
            <w:vAlign w:val="bottom"/>
          </w:tcPr>
          <w:p w14:paraId="5F2D1161" w14:textId="77777777" w:rsidR="00E836FB" w:rsidRDefault="00E836FB">
            <w:pPr>
              <w:rPr>
                <w:rFonts w:ascii="宋体"/>
                <w:vanish/>
              </w:rPr>
            </w:pPr>
          </w:p>
        </w:tc>
        <w:tc>
          <w:tcPr>
            <w:tcW w:w="0" w:type="auto"/>
            <w:gridSpan w:val="3"/>
            <w:shd w:val="clear" w:color="auto" w:fill="auto"/>
            <w:vAlign w:val="bottom"/>
          </w:tcPr>
          <w:p w14:paraId="5F2D1162" w14:textId="77777777" w:rsidR="00E836FB" w:rsidRDefault="00E836FB">
            <w:pPr>
              <w:rPr>
                <w:rFonts w:ascii="宋体"/>
                <w:vanish/>
              </w:rPr>
            </w:pPr>
          </w:p>
        </w:tc>
        <w:tc>
          <w:tcPr>
            <w:tcW w:w="0" w:type="auto"/>
            <w:gridSpan w:val="3"/>
            <w:shd w:val="clear" w:color="auto" w:fill="auto"/>
            <w:vAlign w:val="bottom"/>
          </w:tcPr>
          <w:p w14:paraId="5F2D1163" w14:textId="77777777" w:rsidR="00E836FB" w:rsidRDefault="00E836FB">
            <w:pPr>
              <w:rPr>
                <w:rFonts w:ascii="宋体"/>
                <w:vanish/>
              </w:rPr>
            </w:pPr>
          </w:p>
        </w:tc>
        <w:tc>
          <w:tcPr>
            <w:tcW w:w="0" w:type="auto"/>
            <w:gridSpan w:val="3"/>
            <w:shd w:val="clear" w:color="auto" w:fill="auto"/>
            <w:vAlign w:val="bottom"/>
          </w:tcPr>
          <w:p w14:paraId="5F2D1164" w14:textId="77777777" w:rsidR="00E836FB" w:rsidRDefault="00E836FB">
            <w:pPr>
              <w:rPr>
                <w:rFonts w:ascii="宋体"/>
                <w:vanish/>
              </w:rPr>
            </w:pPr>
          </w:p>
        </w:tc>
        <w:tc>
          <w:tcPr>
            <w:tcW w:w="0" w:type="auto"/>
            <w:gridSpan w:val="3"/>
            <w:shd w:val="clear" w:color="auto" w:fill="auto"/>
            <w:vAlign w:val="bottom"/>
          </w:tcPr>
          <w:p w14:paraId="5F2D1165" w14:textId="77777777" w:rsidR="00E836FB" w:rsidRDefault="00E836FB">
            <w:pPr>
              <w:rPr>
                <w:rFonts w:ascii="宋体"/>
                <w:vanish/>
              </w:rPr>
            </w:pPr>
          </w:p>
        </w:tc>
        <w:tc>
          <w:tcPr>
            <w:tcW w:w="0" w:type="auto"/>
            <w:gridSpan w:val="3"/>
            <w:shd w:val="clear" w:color="auto" w:fill="auto"/>
            <w:vAlign w:val="bottom"/>
          </w:tcPr>
          <w:p w14:paraId="5F2D1166" w14:textId="77777777" w:rsidR="00E836FB" w:rsidRDefault="00E836FB">
            <w:pPr>
              <w:rPr>
                <w:rFonts w:ascii="宋体"/>
                <w:vanish/>
              </w:rPr>
            </w:pPr>
          </w:p>
        </w:tc>
        <w:tc>
          <w:tcPr>
            <w:tcW w:w="0" w:type="auto"/>
            <w:gridSpan w:val="3"/>
            <w:shd w:val="clear" w:color="auto" w:fill="auto"/>
            <w:vAlign w:val="bottom"/>
          </w:tcPr>
          <w:p w14:paraId="5F2D1167" w14:textId="77777777" w:rsidR="00E836FB" w:rsidRDefault="00E836FB">
            <w:pPr>
              <w:rPr>
                <w:rFonts w:ascii="宋体"/>
                <w:vanish/>
              </w:rPr>
            </w:pPr>
          </w:p>
        </w:tc>
        <w:tc>
          <w:tcPr>
            <w:tcW w:w="0" w:type="auto"/>
            <w:gridSpan w:val="3"/>
            <w:shd w:val="clear" w:color="auto" w:fill="auto"/>
            <w:vAlign w:val="bottom"/>
          </w:tcPr>
          <w:p w14:paraId="5F2D1168" w14:textId="77777777" w:rsidR="00E836FB" w:rsidRDefault="00E836FB">
            <w:pPr>
              <w:rPr>
                <w:rFonts w:ascii="宋体"/>
                <w:vanish/>
              </w:rPr>
            </w:pPr>
          </w:p>
        </w:tc>
      </w:tr>
      <w:tr w:rsidR="00E836FB" w14:paraId="5F2D1176" w14:textId="77777777">
        <w:trPr>
          <w:hidden/>
        </w:trPr>
        <w:tc>
          <w:tcPr>
            <w:tcW w:w="0" w:type="auto"/>
            <w:gridSpan w:val="3"/>
            <w:shd w:val="clear" w:color="auto" w:fill="auto"/>
            <w:vAlign w:val="bottom"/>
          </w:tcPr>
          <w:p w14:paraId="5F2D116A" w14:textId="77777777" w:rsidR="00E836FB" w:rsidRDefault="00E836FB">
            <w:pPr>
              <w:rPr>
                <w:rFonts w:ascii="宋体"/>
                <w:vanish/>
              </w:rPr>
            </w:pPr>
          </w:p>
        </w:tc>
        <w:tc>
          <w:tcPr>
            <w:tcW w:w="0" w:type="auto"/>
            <w:gridSpan w:val="3"/>
            <w:shd w:val="clear" w:color="auto" w:fill="auto"/>
            <w:vAlign w:val="bottom"/>
          </w:tcPr>
          <w:p w14:paraId="5F2D116B" w14:textId="77777777" w:rsidR="00E836FB" w:rsidRDefault="00E836FB">
            <w:pPr>
              <w:rPr>
                <w:rFonts w:ascii="宋体"/>
                <w:vanish/>
              </w:rPr>
            </w:pPr>
          </w:p>
        </w:tc>
        <w:tc>
          <w:tcPr>
            <w:tcW w:w="0" w:type="auto"/>
            <w:gridSpan w:val="3"/>
            <w:shd w:val="clear" w:color="auto" w:fill="auto"/>
            <w:vAlign w:val="bottom"/>
          </w:tcPr>
          <w:p w14:paraId="5F2D116C" w14:textId="77777777" w:rsidR="00E836FB" w:rsidRDefault="00E836FB">
            <w:pPr>
              <w:rPr>
                <w:rFonts w:ascii="宋体"/>
                <w:vanish/>
              </w:rPr>
            </w:pPr>
          </w:p>
        </w:tc>
        <w:tc>
          <w:tcPr>
            <w:tcW w:w="0" w:type="auto"/>
            <w:gridSpan w:val="3"/>
            <w:shd w:val="clear" w:color="auto" w:fill="auto"/>
            <w:vAlign w:val="bottom"/>
          </w:tcPr>
          <w:p w14:paraId="5F2D116D" w14:textId="77777777" w:rsidR="00E836FB" w:rsidRDefault="00E836FB">
            <w:pPr>
              <w:rPr>
                <w:rFonts w:ascii="宋体"/>
                <w:vanish/>
              </w:rPr>
            </w:pPr>
          </w:p>
        </w:tc>
        <w:tc>
          <w:tcPr>
            <w:tcW w:w="0" w:type="auto"/>
            <w:gridSpan w:val="3"/>
            <w:shd w:val="clear" w:color="auto" w:fill="auto"/>
            <w:vAlign w:val="bottom"/>
          </w:tcPr>
          <w:p w14:paraId="5F2D116E" w14:textId="77777777" w:rsidR="00E836FB" w:rsidRDefault="00E836FB">
            <w:pPr>
              <w:rPr>
                <w:rFonts w:ascii="宋体"/>
                <w:vanish/>
              </w:rPr>
            </w:pPr>
          </w:p>
        </w:tc>
        <w:tc>
          <w:tcPr>
            <w:tcW w:w="0" w:type="auto"/>
            <w:gridSpan w:val="3"/>
            <w:shd w:val="clear" w:color="auto" w:fill="auto"/>
            <w:vAlign w:val="bottom"/>
          </w:tcPr>
          <w:p w14:paraId="5F2D116F" w14:textId="77777777" w:rsidR="00E836FB" w:rsidRDefault="00E836FB">
            <w:pPr>
              <w:rPr>
                <w:rFonts w:ascii="宋体"/>
                <w:vanish/>
              </w:rPr>
            </w:pPr>
          </w:p>
        </w:tc>
        <w:tc>
          <w:tcPr>
            <w:tcW w:w="0" w:type="auto"/>
            <w:gridSpan w:val="3"/>
            <w:shd w:val="clear" w:color="auto" w:fill="auto"/>
            <w:vAlign w:val="bottom"/>
          </w:tcPr>
          <w:p w14:paraId="5F2D1170" w14:textId="77777777" w:rsidR="00E836FB" w:rsidRDefault="00E836FB">
            <w:pPr>
              <w:rPr>
                <w:rFonts w:ascii="宋体"/>
                <w:vanish/>
              </w:rPr>
            </w:pPr>
          </w:p>
        </w:tc>
        <w:tc>
          <w:tcPr>
            <w:tcW w:w="0" w:type="auto"/>
            <w:gridSpan w:val="3"/>
            <w:shd w:val="clear" w:color="auto" w:fill="auto"/>
            <w:vAlign w:val="bottom"/>
          </w:tcPr>
          <w:p w14:paraId="5F2D1171" w14:textId="77777777" w:rsidR="00E836FB" w:rsidRDefault="00E836FB">
            <w:pPr>
              <w:rPr>
                <w:rFonts w:ascii="宋体"/>
                <w:vanish/>
              </w:rPr>
            </w:pPr>
          </w:p>
        </w:tc>
        <w:tc>
          <w:tcPr>
            <w:tcW w:w="0" w:type="auto"/>
            <w:gridSpan w:val="3"/>
            <w:shd w:val="clear" w:color="auto" w:fill="auto"/>
            <w:vAlign w:val="bottom"/>
          </w:tcPr>
          <w:p w14:paraId="5F2D1172" w14:textId="77777777" w:rsidR="00E836FB" w:rsidRDefault="00E836FB">
            <w:pPr>
              <w:rPr>
                <w:rFonts w:ascii="宋体"/>
                <w:vanish/>
              </w:rPr>
            </w:pPr>
          </w:p>
        </w:tc>
        <w:tc>
          <w:tcPr>
            <w:tcW w:w="0" w:type="auto"/>
            <w:gridSpan w:val="3"/>
            <w:shd w:val="clear" w:color="auto" w:fill="auto"/>
            <w:vAlign w:val="bottom"/>
          </w:tcPr>
          <w:p w14:paraId="5F2D1173" w14:textId="77777777" w:rsidR="00E836FB" w:rsidRDefault="00E836FB">
            <w:pPr>
              <w:rPr>
                <w:rFonts w:ascii="宋体"/>
                <w:vanish/>
              </w:rPr>
            </w:pPr>
          </w:p>
        </w:tc>
        <w:tc>
          <w:tcPr>
            <w:tcW w:w="0" w:type="auto"/>
            <w:gridSpan w:val="3"/>
            <w:shd w:val="clear" w:color="auto" w:fill="auto"/>
            <w:vAlign w:val="bottom"/>
          </w:tcPr>
          <w:p w14:paraId="5F2D1174" w14:textId="77777777" w:rsidR="00E836FB" w:rsidRDefault="00E836FB">
            <w:pPr>
              <w:rPr>
                <w:rFonts w:ascii="宋体"/>
                <w:vanish/>
              </w:rPr>
            </w:pPr>
          </w:p>
        </w:tc>
        <w:tc>
          <w:tcPr>
            <w:tcW w:w="0" w:type="auto"/>
            <w:gridSpan w:val="3"/>
            <w:shd w:val="clear" w:color="auto" w:fill="auto"/>
            <w:vAlign w:val="bottom"/>
          </w:tcPr>
          <w:p w14:paraId="5F2D1175" w14:textId="77777777" w:rsidR="00E836FB" w:rsidRDefault="00E836FB">
            <w:pPr>
              <w:rPr>
                <w:rFonts w:ascii="宋体"/>
                <w:vanish/>
              </w:rPr>
            </w:pPr>
          </w:p>
        </w:tc>
      </w:tr>
      <w:tr w:rsidR="00E836FB" w14:paraId="5F2D1183" w14:textId="77777777">
        <w:trPr>
          <w:hidden/>
        </w:trPr>
        <w:tc>
          <w:tcPr>
            <w:tcW w:w="0" w:type="auto"/>
            <w:gridSpan w:val="3"/>
            <w:shd w:val="clear" w:color="auto" w:fill="auto"/>
            <w:vAlign w:val="bottom"/>
          </w:tcPr>
          <w:p w14:paraId="5F2D1177" w14:textId="77777777" w:rsidR="00E836FB" w:rsidRDefault="00E836FB">
            <w:pPr>
              <w:rPr>
                <w:rFonts w:ascii="宋体"/>
                <w:vanish/>
              </w:rPr>
            </w:pPr>
          </w:p>
        </w:tc>
        <w:tc>
          <w:tcPr>
            <w:tcW w:w="0" w:type="auto"/>
            <w:gridSpan w:val="3"/>
            <w:shd w:val="clear" w:color="auto" w:fill="auto"/>
            <w:vAlign w:val="bottom"/>
          </w:tcPr>
          <w:p w14:paraId="5F2D1178" w14:textId="77777777" w:rsidR="00E836FB" w:rsidRDefault="00E836FB">
            <w:pPr>
              <w:rPr>
                <w:rFonts w:ascii="宋体"/>
                <w:vanish/>
              </w:rPr>
            </w:pPr>
          </w:p>
        </w:tc>
        <w:tc>
          <w:tcPr>
            <w:tcW w:w="0" w:type="auto"/>
            <w:gridSpan w:val="3"/>
            <w:shd w:val="clear" w:color="auto" w:fill="auto"/>
            <w:vAlign w:val="bottom"/>
          </w:tcPr>
          <w:p w14:paraId="5F2D1179" w14:textId="77777777" w:rsidR="00E836FB" w:rsidRDefault="00E836FB">
            <w:pPr>
              <w:rPr>
                <w:rFonts w:ascii="宋体"/>
                <w:vanish/>
              </w:rPr>
            </w:pPr>
          </w:p>
        </w:tc>
        <w:tc>
          <w:tcPr>
            <w:tcW w:w="0" w:type="auto"/>
            <w:gridSpan w:val="3"/>
            <w:shd w:val="clear" w:color="auto" w:fill="auto"/>
            <w:vAlign w:val="bottom"/>
          </w:tcPr>
          <w:p w14:paraId="5F2D117A" w14:textId="77777777" w:rsidR="00E836FB" w:rsidRDefault="00E836FB">
            <w:pPr>
              <w:rPr>
                <w:rFonts w:ascii="宋体"/>
                <w:vanish/>
              </w:rPr>
            </w:pPr>
          </w:p>
        </w:tc>
        <w:tc>
          <w:tcPr>
            <w:tcW w:w="0" w:type="auto"/>
            <w:gridSpan w:val="3"/>
            <w:shd w:val="clear" w:color="auto" w:fill="auto"/>
            <w:vAlign w:val="bottom"/>
          </w:tcPr>
          <w:p w14:paraId="5F2D117B" w14:textId="77777777" w:rsidR="00E836FB" w:rsidRDefault="00E836FB">
            <w:pPr>
              <w:rPr>
                <w:rFonts w:ascii="宋体"/>
                <w:vanish/>
              </w:rPr>
            </w:pPr>
          </w:p>
        </w:tc>
        <w:tc>
          <w:tcPr>
            <w:tcW w:w="0" w:type="auto"/>
            <w:gridSpan w:val="3"/>
            <w:shd w:val="clear" w:color="auto" w:fill="auto"/>
            <w:vAlign w:val="bottom"/>
          </w:tcPr>
          <w:p w14:paraId="5F2D117C" w14:textId="77777777" w:rsidR="00E836FB" w:rsidRDefault="00E836FB">
            <w:pPr>
              <w:rPr>
                <w:rFonts w:ascii="宋体"/>
                <w:vanish/>
              </w:rPr>
            </w:pPr>
          </w:p>
        </w:tc>
        <w:tc>
          <w:tcPr>
            <w:tcW w:w="0" w:type="auto"/>
            <w:gridSpan w:val="3"/>
            <w:shd w:val="clear" w:color="auto" w:fill="auto"/>
            <w:vAlign w:val="bottom"/>
          </w:tcPr>
          <w:p w14:paraId="5F2D117D" w14:textId="77777777" w:rsidR="00E836FB" w:rsidRDefault="00E836FB">
            <w:pPr>
              <w:rPr>
                <w:rFonts w:ascii="宋体"/>
                <w:vanish/>
              </w:rPr>
            </w:pPr>
          </w:p>
        </w:tc>
        <w:tc>
          <w:tcPr>
            <w:tcW w:w="0" w:type="auto"/>
            <w:gridSpan w:val="3"/>
            <w:shd w:val="clear" w:color="auto" w:fill="auto"/>
            <w:vAlign w:val="bottom"/>
          </w:tcPr>
          <w:p w14:paraId="5F2D117E" w14:textId="77777777" w:rsidR="00E836FB" w:rsidRDefault="00E836FB">
            <w:pPr>
              <w:rPr>
                <w:rFonts w:ascii="宋体"/>
                <w:vanish/>
              </w:rPr>
            </w:pPr>
          </w:p>
        </w:tc>
        <w:tc>
          <w:tcPr>
            <w:tcW w:w="0" w:type="auto"/>
            <w:gridSpan w:val="3"/>
            <w:shd w:val="clear" w:color="auto" w:fill="auto"/>
            <w:vAlign w:val="bottom"/>
          </w:tcPr>
          <w:p w14:paraId="5F2D117F" w14:textId="77777777" w:rsidR="00E836FB" w:rsidRDefault="00E836FB">
            <w:pPr>
              <w:rPr>
                <w:rFonts w:ascii="宋体"/>
                <w:vanish/>
              </w:rPr>
            </w:pPr>
          </w:p>
        </w:tc>
        <w:tc>
          <w:tcPr>
            <w:tcW w:w="0" w:type="auto"/>
            <w:gridSpan w:val="3"/>
            <w:shd w:val="clear" w:color="auto" w:fill="auto"/>
            <w:vAlign w:val="bottom"/>
          </w:tcPr>
          <w:p w14:paraId="5F2D1180" w14:textId="77777777" w:rsidR="00E836FB" w:rsidRDefault="00E836FB">
            <w:pPr>
              <w:rPr>
                <w:rFonts w:ascii="宋体"/>
                <w:vanish/>
              </w:rPr>
            </w:pPr>
          </w:p>
        </w:tc>
        <w:tc>
          <w:tcPr>
            <w:tcW w:w="0" w:type="auto"/>
            <w:gridSpan w:val="3"/>
            <w:shd w:val="clear" w:color="auto" w:fill="auto"/>
            <w:vAlign w:val="bottom"/>
          </w:tcPr>
          <w:p w14:paraId="5F2D1181" w14:textId="77777777" w:rsidR="00E836FB" w:rsidRDefault="00E836FB">
            <w:pPr>
              <w:rPr>
                <w:rFonts w:ascii="宋体"/>
                <w:vanish/>
              </w:rPr>
            </w:pPr>
          </w:p>
        </w:tc>
        <w:tc>
          <w:tcPr>
            <w:tcW w:w="0" w:type="auto"/>
            <w:gridSpan w:val="3"/>
            <w:shd w:val="clear" w:color="auto" w:fill="auto"/>
            <w:vAlign w:val="bottom"/>
          </w:tcPr>
          <w:p w14:paraId="5F2D1182" w14:textId="77777777" w:rsidR="00E836FB" w:rsidRDefault="00E836FB">
            <w:pPr>
              <w:rPr>
                <w:rFonts w:ascii="宋体"/>
                <w:vanish/>
              </w:rPr>
            </w:pPr>
          </w:p>
        </w:tc>
      </w:tr>
      <w:tr w:rsidR="00E836FB" w14:paraId="5F2D1190" w14:textId="77777777">
        <w:trPr>
          <w:hidden/>
        </w:trPr>
        <w:tc>
          <w:tcPr>
            <w:tcW w:w="0" w:type="auto"/>
            <w:gridSpan w:val="3"/>
            <w:shd w:val="clear" w:color="auto" w:fill="auto"/>
            <w:vAlign w:val="bottom"/>
          </w:tcPr>
          <w:p w14:paraId="5F2D1184" w14:textId="77777777" w:rsidR="00E836FB" w:rsidRDefault="00E836FB">
            <w:pPr>
              <w:rPr>
                <w:rFonts w:ascii="宋体"/>
                <w:vanish/>
              </w:rPr>
            </w:pPr>
          </w:p>
        </w:tc>
        <w:tc>
          <w:tcPr>
            <w:tcW w:w="0" w:type="auto"/>
            <w:gridSpan w:val="3"/>
            <w:shd w:val="clear" w:color="auto" w:fill="auto"/>
            <w:vAlign w:val="bottom"/>
          </w:tcPr>
          <w:p w14:paraId="5F2D1185" w14:textId="77777777" w:rsidR="00E836FB" w:rsidRDefault="00E836FB">
            <w:pPr>
              <w:rPr>
                <w:rFonts w:ascii="宋体"/>
                <w:vanish/>
              </w:rPr>
            </w:pPr>
          </w:p>
        </w:tc>
        <w:tc>
          <w:tcPr>
            <w:tcW w:w="0" w:type="auto"/>
            <w:gridSpan w:val="3"/>
            <w:shd w:val="clear" w:color="auto" w:fill="auto"/>
            <w:vAlign w:val="bottom"/>
          </w:tcPr>
          <w:p w14:paraId="5F2D1186" w14:textId="77777777" w:rsidR="00E836FB" w:rsidRDefault="00E836FB">
            <w:pPr>
              <w:rPr>
                <w:rFonts w:ascii="宋体"/>
                <w:vanish/>
              </w:rPr>
            </w:pPr>
          </w:p>
        </w:tc>
        <w:tc>
          <w:tcPr>
            <w:tcW w:w="0" w:type="auto"/>
            <w:gridSpan w:val="3"/>
            <w:shd w:val="clear" w:color="auto" w:fill="auto"/>
            <w:vAlign w:val="bottom"/>
          </w:tcPr>
          <w:p w14:paraId="5F2D1187" w14:textId="77777777" w:rsidR="00E836FB" w:rsidRDefault="00E836FB">
            <w:pPr>
              <w:rPr>
                <w:rFonts w:ascii="宋体"/>
                <w:vanish/>
              </w:rPr>
            </w:pPr>
          </w:p>
        </w:tc>
        <w:tc>
          <w:tcPr>
            <w:tcW w:w="0" w:type="auto"/>
            <w:gridSpan w:val="3"/>
            <w:shd w:val="clear" w:color="auto" w:fill="auto"/>
            <w:vAlign w:val="bottom"/>
          </w:tcPr>
          <w:p w14:paraId="5F2D1188" w14:textId="77777777" w:rsidR="00E836FB" w:rsidRDefault="00E836FB">
            <w:pPr>
              <w:rPr>
                <w:rFonts w:ascii="宋体"/>
                <w:vanish/>
              </w:rPr>
            </w:pPr>
          </w:p>
        </w:tc>
        <w:tc>
          <w:tcPr>
            <w:tcW w:w="0" w:type="auto"/>
            <w:gridSpan w:val="3"/>
            <w:shd w:val="clear" w:color="auto" w:fill="auto"/>
            <w:vAlign w:val="bottom"/>
          </w:tcPr>
          <w:p w14:paraId="5F2D1189" w14:textId="77777777" w:rsidR="00E836FB" w:rsidRDefault="00E836FB">
            <w:pPr>
              <w:rPr>
                <w:rFonts w:ascii="宋体"/>
                <w:vanish/>
              </w:rPr>
            </w:pPr>
          </w:p>
        </w:tc>
        <w:tc>
          <w:tcPr>
            <w:tcW w:w="0" w:type="auto"/>
            <w:gridSpan w:val="3"/>
            <w:shd w:val="clear" w:color="auto" w:fill="auto"/>
            <w:vAlign w:val="bottom"/>
          </w:tcPr>
          <w:p w14:paraId="5F2D118A" w14:textId="77777777" w:rsidR="00E836FB" w:rsidRDefault="00E836FB">
            <w:pPr>
              <w:rPr>
                <w:rFonts w:ascii="宋体"/>
                <w:vanish/>
              </w:rPr>
            </w:pPr>
          </w:p>
        </w:tc>
        <w:tc>
          <w:tcPr>
            <w:tcW w:w="0" w:type="auto"/>
            <w:gridSpan w:val="3"/>
            <w:shd w:val="clear" w:color="auto" w:fill="auto"/>
            <w:vAlign w:val="bottom"/>
          </w:tcPr>
          <w:p w14:paraId="5F2D118B" w14:textId="77777777" w:rsidR="00E836FB" w:rsidRDefault="00E836FB">
            <w:pPr>
              <w:rPr>
                <w:rFonts w:ascii="宋体"/>
                <w:vanish/>
              </w:rPr>
            </w:pPr>
          </w:p>
        </w:tc>
        <w:tc>
          <w:tcPr>
            <w:tcW w:w="0" w:type="auto"/>
            <w:gridSpan w:val="3"/>
            <w:shd w:val="clear" w:color="auto" w:fill="auto"/>
            <w:vAlign w:val="bottom"/>
          </w:tcPr>
          <w:p w14:paraId="5F2D118C" w14:textId="77777777" w:rsidR="00E836FB" w:rsidRDefault="00E836FB">
            <w:pPr>
              <w:rPr>
                <w:rFonts w:ascii="宋体"/>
                <w:vanish/>
              </w:rPr>
            </w:pPr>
          </w:p>
        </w:tc>
        <w:tc>
          <w:tcPr>
            <w:tcW w:w="0" w:type="auto"/>
            <w:gridSpan w:val="3"/>
            <w:shd w:val="clear" w:color="auto" w:fill="auto"/>
            <w:vAlign w:val="bottom"/>
          </w:tcPr>
          <w:p w14:paraId="5F2D118D" w14:textId="77777777" w:rsidR="00E836FB" w:rsidRDefault="00E836FB">
            <w:pPr>
              <w:rPr>
                <w:rFonts w:ascii="宋体"/>
                <w:vanish/>
              </w:rPr>
            </w:pPr>
          </w:p>
        </w:tc>
        <w:tc>
          <w:tcPr>
            <w:tcW w:w="0" w:type="auto"/>
            <w:gridSpan w:val="3"/>
            <w:shd w:val="clear" w:color="auto" w:fill="auto"/>
            <w:vAlign w:val="bottom"/>
          </w:tcPr>
          <w:p w14:paraId="5F2D118E" w14:textId="77777777" w:rsidR="00E836FB" w:rsidRDefault="00E836FB">
            <w:pPr>
              <w:rPr>
                <w:rFonts w:ascii="宋体"/>
                <w:vanish/>
              </w:rPr>
            </w:pPr>
          </w:p>
        </w:tc>
        <w:tc>
          <w:tcPr>
            <w:tcW w:w="0" w:type="auto"/>
            <w:gridSpan w:val="3"/>
            <w:shd w:val="clear" w:color="auto" w:fill="auto"/>
            <w:vAlign w:val="bottom"/>
          </w:tcPr>
          <w:p w14:paraId="5F2D118F" w14:textId="77777777" w:rsidR="00E836FB" w:rsidRDefault="00E836FB">
            <w:pPr>
              <w:rPr>
                <w:rFonts w:ascii="宋体"/>
                <w:vanish/>
              </w:rPr>
            </w:pPr>
          </w:p>
        </w:tc>
      </w:tr>
    </w:tbl>
    <w:p w14:paraId="5F2D1191" w14:textId="77777777" w:rsidR="00E836FB" w:rsidRDefault="00E836FB">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3319"/>
        <w:gridCol w:w="37"/>
        <w:gridCol w:w="104"/>
        <w:gridCol w:w="540"/>
        <w:gridCol w:w="36"/>
        <w:gridCol w:w="36"/>
        <w:gridCol w:w="36"/>
        <w:gridCol w:w="36"/>
        <w:gridCol w:w="105"/>
        <w:gridCol w:w="709"/>
        <w:gridCol w:w="36"/>
        <w:gridCol w:w="36"/>
        <w:gridCol w:w="36"/>
        <w:gridCol w:w="36"/>
        <w:gridCol w:w="104"/>
        <w:gridCol w:w="433"/>
        <w:gridCol w:w="36"/>
        <w:gridCol w:w="36"/>
        <w:gridCol w:w="36"/>
        <w:gridCol w:w="36"/>
        <w:gridCol w:w="105"/>
        <w:gridCol w:w="709"/>
        <w:gridCol w:w="36"/>
        <w:gridCol w:w="36"/>
        <w:gridCol w:w="36"/>
        <w:gridCol w:w="36"/>
        <w:gridCol w:w="104"/>
        <w:gridCol w:w="433"/>
        <w:gridCol w:w="36"/>
        <w:gridCol w:w="36"/>
        <w:gridCol w:w="36"/>
        <w:gridCol w:w="36"/>
        <w:gridCol w:w="105"/>
        <w:gridCol w:w="709"/>
        <w:gridCol w:w="36"/>
      </w:tblGrid>
      <w:tr w:rsidR="00E836FB" w14:paraId="5F2D11B6" w14:textId="77777777">
        <w:tc>
          <w:tcPr>
            <w:tcW w:w="50" w:type="pct"/>
            <w:shd w:val="clear" w:color="auto" w:fill="auto"/>
            <w:vAlign w:val="bottom"/>
          </w:tcPr>
          <w:p w14:paraId="5F2D1192" w14:textId="77777777" w:rsidR="00E836FB" w:rsidRDefault="00E836FB">
            <w:pPr>
              <w:rPr>
                <w:rFonts w:ascii="宋体"/>
              </w:rPr>
            </w:pPr>
          </w:p>
        </w:tc>
        <w:tc>
          <w:tcPr>
            <w:tcW w:w="2034" w:type="pct"/>
            <w:shd w:val="clear" w:color="auto" w:fill="auto"/>
            <w:vAlign w:val="bottom"/>
          </w:tcPr>
          <w:p w14:paraId="5F2D1193" w14:textId="77777777" w:rsidR="00E836FB" w:rsidRDefault="00E836FB">
            <w:pPr>
              <w:rPr>
                <w:rFonts w:ascii="宋体"/>
              </w:rPr>
            </w:pPr>
          </w:p>
        </w:tc>
        <w:tc>
          <w:tcPr>
            <w:tcW w:w="5" w:type="pct"/>
            <w:shd w:val="clear" w:color="auto" w:fill="auto"/>
            <w:vAlign w:val="bottom"/>
          </w:tcPr>
          <w:p w14:paraId="5F2D1194" w14:textId="77777777" w:rsidR="00E836FB" w:rsidRDefault="00E836FB">
            <w:pPr>
              <w:rPr>
                <w:rFonts w:ascii="宋体"/>
              </w:rPr>
            </w:pPr>
          </w:p>
        </w:tc>
        <w:tc>
          <w:tcPr>
            <w:tcW w:w="50" w:type="pct"/>
            <w:shd w:val="clear" w:color="auto" w:fill="auto"/>
            <w:vAlign w:val="bottom"/>
          </w:tcPr>
          <w:p w14:paraId="5F2D1195" w14:textId="77777777" w:rsidR="00E836FB" w:rsidRDefault="00E836FB">
            <w:pPr>
              <w:rPr>
                <w:rFonts w:ascii="宋体"/>
              </w:rPr>
            </w:pPr>
          </w:p>
        </w:tc>
        <w:tc>
          <w:tcPr>
            <w:tcW w:w="362" w:type="pct"/>
            <w:shd w:val="clear" w:color="auto" w:fill="auto"/>
            <w:vAlign w:val="bottom"/>
          </w:tcPr>
          <w:p w14:paraId="5F2D1196" w14:textId="77777777" w:rsidR="00E836FB" w:rsidRDefault="00E836FB">
            <w:pPr>
              <w:rPr>
                <w:rFonts w:ascii="宋体"/>
              </w:rPr>
            </w:pPr>
          </w:p>
        </w:tc>
        <w:tc>
          <w:tcPr>
            <w:tcW w:w="5" w:type="pct"/>
            <w:shd w:val="clear" w:color="auto" w:fill="auto"/>
            <w:vAlign w:val="bottom"/>
          </w:tcPr>
          <w:p w14:paraId="5F2D1197" w14:textId="77777777" w:rsidR="00E836FB" w:rsidRDefault="00E836FB">
            <w:pPr>
              <w:rPr>
                <w:rFonts w:ascii="宋体"/>
              </w:rPr>
            </w:pPr>
          </w:p>
        </w:tc>
        <w:tc>
          <w:tcPr>
            <w:tcW w:w="5" w:type="pct"/>
            <w:shd w:val="clear" w:color="auto" w:fill="auto"/>
            <w:vAlign w:val="bottom"/>
          </w:tcPr>
          <w:p w14:paraId="5F2D1198" w14:textId="77777777" w:rsidR="00E836FB" w:rsidRDefault="00E836FB">
            <w:pPr>
              <w:rPr>
                <w:rFonts w:ascii="宋体"/>
              </w:rPr>
            </w:pPr>
          </w:p>
        </w:tc>
        <w:tc>
          <w:tcPr>
            <w:tcW w:w="26" w:type="pct"/>
            <w:shd w:val="clear" w:color="auto" w:fill="auto"/>
            <w:vAlign w:val="bottom"/>
          </w:tcPr>
          <w:p w14:paraId="5F2D1199" w14:textId="77777777" w:rsidR="00E836FB" w:rsidRDefault="00E836FB">
            <w:pPr>
              <w:rPr>
                <w:rFonts w:ascii="宋体"/>
              </w:rPr>
            </w:pPr>
          </w:p>
        </w:tc>
        <w:tc>
          <w:tcPr>
            <w:tcW w:w="5" w:type="pct"/>
            <w:shd w:val="clear" w:color="auto" w:fill="auto"/>
            <w:vAlign w:val="bottom"/>
          </w:tcPr>
          <w:p w14:paraId="5F2D119A" w14:textId="77777777" w:rsidR="00E836FB" w:rsidRDefault="00E836FB">
            <w:pPr>
              <w:rPr>
                <w:rFonts w:ascii="宋体"/>
              </w:rPr>
            </w:pPr>
          </w:p>
        </w:tc>
        <w:tc>
          <w:tcPr>
            <w:tcW w:w="50" w:type="pct"/>
            <w:shd w:val="clear" w:color="auto" w:fill="auto"/>
            <w:vAlign w:val="bottom"/>
          </w:tcPr>
          <w:p w14:paraId="5F2D119B" w14:textId="77777777" w:rsidR="00E836FB" w:rsidRDefault="00E836FB">
            <w:pPr>
              <w:rPr>
                <w:rFonts w:ascii="宋体"/>
              </w:rPr>
            </w:pPr>
          </w:p>
        </w:tc>
        <w:tc>
          <w:tcPr>
            <w:tcW w:w="436" w:type="pct"/>
            <w:shd w:val="clear" w:color="auto" w:fill="auto"/>
            <w:vAlign w:val="bottom"/>
          </w:tcPr>
          <w:p w14:paraId="5F2D119C" w14:textId="77777777" w:rsidR="00E836FB" w:rsidRDefault="00E836FB">
            <w:pPr>
              <w:rPr>
                <w:rFonts w:ascii="宋体"/>
              </w:rPr>
            </w:pPr>
          </w:p>
        </w:tc>
        <w:tc>
          <w:tcPr>
            <w:tcW w:w="5" w:type="pct"/>
            <w:shd w:val="clear" w:color="auto" w:fill="auto"/>
            <w:vAlign w:val="bottom"/>
          </w:tcPr>
          <w:p w14:paraId="5F2D119D" w14:textId="77777777" w:rsidR="00E836FB" w:rsidRDefault="00E836FB">
            <w:pPr>
              <w:rPr>
                <w:rFonts w:ascii="宋体"/>
              </w:rPr>
            </w:pPr>
          </w:p>
        </w:tc>
        <w:tc>
          <w:tcPr>
            <w:tcW w:w="5" w:type="pct"/>
            <w:shd w:val="clear" w:color="auto" w:fill="auto"/>
            <w:vAlign w:val="bottom"/>
          </w:tcPr>
          <w:p w14:paraId="5F2D119E" w14:textId="77777777" w:rsidR="00E836FB" w:rsidRDefault="00E836FB">
            <w:pPr>
              <w:rPr>
                <w:rFonts w:ascii="宋体"/>
              </w:rPr>
            </w:pPr>
          </w:p>
        </w:tc>
        <w:tc>
          <w:tcPr>
            <w:tcW w:w="26" w:type="pct"/>
            <w:shd w:val="clear" w:color="auto" w:fill="auto"/>
            <w:vAlign w:val="bottom"/>
          </w:tcPr>
          <w:p w14:paraId="5F2D119F" w14:textId="77777777" w:rsidR="00E836FB" w:rsidRDefault="00E836FB">
            <w:pPr>
              <w:rPr>
                <w:rFonts w:ascii="宋体"/>
              </w:rPr>
            </w:pPr>
          </w:p>
        </w:tc>
        <w:tc>
          <w:tcPr>
            <w:tcW w:w="5" w:type="pct"/>
            <w:shd w:val="clear" w:color="auto" w:fill="auto"/>
            <w:vAlign w:val="bottom"/>
          </w:tcPr>
          <w:p w14:paraId="5F2D11A0" w14:textId="77777777" w:rsidR="00E836FB" w:rsidRDefault="00E836FB">
            <w:pPr>
              <w:rPr>
                <w:rFonts w:ascii="宋体"/>
              </w:rPr>
            </w:pPr>
          </w:p>
        </w:tc>
        <w:tc>
          <w:tcPr>
            <w:tcW w:w="50" w:type="pct"/>
            <w:shd w:val="clear" w:color="auto" w:fill="auto"/>
            <w:vAlign w:val="bottom"/>
          </w:tcPr>
          <w:p w14:paraId="5F2D11A1" w14:textId="77777777" w:rsidR="00E836FB" w:rsidRDefault="00E836FB">
            <w:pPr>
              <w:rPr>
                <w:rFonts w:ascii="宋体"/>
              </w:rPr>
            </w:pPr>
          </w:p>
        </w:tc>
        <w:tc>
          <w:tcPr>
            <w:tcW w:w="362" w:type="pct"/>
            <w:shd w:val="clear" w:color="auto" w:fill="auto"/>
            <w:vAlign w:val="bottom"/>
          </w:tcPr>
          <w:p w14:paraId="5F2D11A2" w14:textId="77777777" w:rsidR="00E836FB" w:rsidRDefault="00E836FB">
            <w:pPr>
              <w:rPr>
                <w:rFonts w:ascii="宋体"/>
              </w:rPr>
            </w:pPr>
          </w:p>
        </w:tc>
        <w:tc>
          <w:tcPr>
            <w:tcW w:w="5" w:type="pct"/>
            <w:shd w:val="clear" w:color="auto" w:fill="auto"/>
            <w:vAlign w:val="bottom"/>
          </w:tcPr>
          <w:p w14:paraId="5F2D11A3" w14:textId="77777777" w:rsidR="00E836FB" w:rsidRDefault="00E836FB">
            <w:pPr>
              <w:rPr>
                <w:rFonts w:ascii="宋体"/>
              </w:rPr>
            </w:pPr>
          </w:p>
        </w:tc>
        <w:tc>
          <w:tcPr>
            <w:tcW w:w="5" w:type="pct"/>
            <w:shd w:val="clear" w:color="auto" w:fill="auto"/>
            <w:vAlign w:val="bottom"/>
          </w:tcPr>
          <w:p w14:paraId="5F2D11A4" w14:textId="77777777" w:rsidR="00E836FB" w:rsidRDefault="00E836FB">
            <w:pPr>
              <w:rPr>
                <w:rFonts w:ascii="宋体"/>
              </w:rPr>
            </w:pPr>
          </w:p>
        </w:tc>
        <w:tc>
          <w:tcPr>
            <w:tcW w:w="26" w:type="pct"/>
            <w:shd w:val="clear" w:color="auto" w:fill="auto"/>
            <w:vAlign w:val="bottom"/>
          </w:tcPr>
          <w:p w14:paraId="5F2D11A5" w14:textId="77777777" w:rsidR="00E836FB" w:rsidRDefault="00E836FB">
            <w:pPr>
              <w:rPr>
                <w:rFonts w:ascii="宋体"/>
              </w:rPr>
            </w:pPr>
          </w:p>
        </w:tc>
        <w:tc>
          <w:tcPr>
            <w:tcW w:w="5" w:type="pct"/>
            <w:shd w:val="clear" w:color="auto" w:fill="auto"/>
            <w:vAlign w:val="bottom"/>
          </w:tcPr>
          <w:p w14:paraId="5F2D11A6" w14:textId="77777777" w:rsidR="00E836FB" w:rsidRDefault="00E836FB">
            <w:pPr>
              <w:rPr>
                <w:rFonts w:ascii="宋体"/>
              </w:rPr>
            </w:pPr>
          </w:p>
        </w:tc>
        <w:tc>
          <w:tcPr>
            <w:tcW w:w="50" w:type="pct"/>
            <w:shd w:val="clear" w:color="auto" w:fill="auto"/>
            <w:vAlign w:val="bottom"/>
          </w:tcPr>
          <w:p w14:paraId="5F2D11A7" w14:textId="77777777" w:rsidR="00E836FB" w:rsidRDefault="00E836FB">
            <w:pPr>
              <w:rPr>
                <w:rFonts w:ascii="宋体"/>
              </w:rPr>
            </w:pPr>
          </w:p>
        </w:tc>
        <w:tc>
          <w:tcPr>
            <w:tcW w:w="436" w:type="pct"/>
            <w:shd w:val="clear" w:color="auto" w:fill="auto"/>
            <w:vAlign w:val="bottom"/>
          </w:tcPr>
          <w:p w14:paraId="5F2D11A8" w14:textId="77777777" w:rsidR="00E836FB" w:rsidRDefault="00E836FB">
            <w:pPr>
              <w:rPr>
                <w:rFonts w:ascii="宋体"/>
              </w:rPr>
            </w:pPr>
          </w:p>
        </w:tc>
        <w:tc>
          <w:tcPr>
            <w:tcW w:w="5" w:type="pct"/>
            <w:shd w:val="clear" w:color="auto" w:fill="auto"/>
            <w:vAlign w:val="bottom"/>
          </w:tcPr>
          <w:p w14:paraId="5F2D11A9" w14:textId="77777777" w:rsidR="00E836FB" w:rsidRDefault="00E836FB">
            <w:pPr>
              <w:rPr>
                <w:rFonts w:ascii="宋体"/>
              </w:rPr>
            </w:pPr>
          </w:p>
        </w:tc>
        <w:tc>
          <w:tcPr>
            <w:tcW w:w="5" w:type="pct"/>
            <w:shd w:val="clear" w:color="auto" w:fill="auto"/>
            <w:vAlign w:val="bottom"/>
          </w:tcPr>
          <w:p w14:paraId="5F2D11AA" w14:textId="77777777" w:rsidR="00E836FB" w:rsidRDefault="00E836FB">
            <w:pPr>
              <w:rPr>
                <w:rFonts w:ascii="宋体"/>
              </w:rPr>
            </w:pPr>
          </w:p>
        </w:tc>
        <w:tc>
          <w:tcPr>
            <w:tcW w:w="26" w:type="pct"/>
            <w:shd w:val="clear" w:color="auto" w:fill="auto"/>
            <w:vAlign w:val="bottom"/>
          </w:tcPr>
          <w:p w14:paraId="5F2D11AB" w14:textId="77777777" w:rsidR="00E836FB" w:rsidRDefault="00E836FB">
            <w:pPr>
              <w:rPr>
                <w:rFonts w:ascii="宋体"/>
              </w:rPr>
            </w:pPr>
          </w:p>
        </w:tc>
        <w:tc>
          <w:tcPr>
            <w:tcW w:w="5" w:type="pct"/>
            <w:shd w:val="clear" w:color="auto" w:fill="auto"/>
            <w:vAlign w:val="bottom"/>
          </w:tcPr>
          <w:p w14:paraId="5F2D11AC" w14:textId="77777777" w:rsidR="00E836FB" w:rsidRDefault="00E836FB">
            <w:pPr>
              <w:rPr>
                <w:rFonts w:ascii="宋体"/>
              </w:rPr>
            </w:pPr>
          </w:p>
        </w:tc>
        <w:tc>
          <w:tcPr>
            <w:tcW w:w="50" w:type="pct"/>
            <w:shd w:val="clear" w:color="auto" w:fill="auto"/>
            <w:vAlign w:val="bottom"/>
          </w:tcPr>
          <w:p w14:paraId="5F2D11AD" w14:textId="77777777" w:rsidR="00E836FB" w:rsidRDefault="00E836FB">
            <w:pPr>
              <w:rPr>
                <w:rFonts w:ascii="宋体"/>
              </w:rPr>
            </w:pPr>
          </w:p>
        </w:tc>
        <w:tc>
          <w:tcPr>
            <w:tcW w:w="362" w:type="pct"/>
            <w:shd w:val="clear" w:color="auto" w:fill="auto"/>
            <w:vAlign w:val="bottom"/>
          </w:tcPr>
          <w:p w14:paraId="5F2D11AE" w14:textId="77777777" w:rsidR="00E836FB" w:rsidRDefault="00E836FB">
            <w:pPr>
              <w:rPr>
                <w:rFonts w:ascii="宋体"/>
              </w:rPr>
            </w:pPr>
          </w:p>
        </w:tc>
        <w:tc>
          <w:tcPr>
            <w:tcW w:w="5" w:type="pct"/>
            <w:shd w:val="clear" w:color="auto" w:fill="auto"/>
            <w:vAlign w:val="bottom"/>
          </w:tcPr>
          <w:p w14:paraId="5F2D11AF" w14:textId="77777777" w:rsidR="00E836FB" w:rsidRDefault="00E836FB">
            <w:pPr>
              <w:rPr>
                <w:rFonts w:ascii="宋体"/>
              </w:rPr>
            </w:pPr>
          </w:p>
        </w:tc>
        <w:tc>
          <w:tcPr>
            <w:tcW w:w="5" w:type="pct"/>
            <w:shd w:val="clear" w:color="auto" w:fill="auto"/>
            <w:vAlign w:val="bottom"/>
          </w:tcPr>
          <w:p w14:paraId="5F2D11B0" w14:textId="77777777" w:rsidR="00E836FB" w:rsidRDefault="00E836FB">
            <w:pPr>
              <w:rPr>
                <w:rFonts w:ascii="宋体"/>
              </w:rPr>
            </w:pPr>
          </w:p>
        </w:tc>
        <w:tc>
          <w:tcPr>
            <w:tcW w:w="26" w:type="pct"/>
            <w:shd w:val="clear" w:color="auto" w:fill="auto"/>
            <w:vAlign w:val="bottom"/>
          </w:tcPr>
          <w:p w14:paraId="5F2D11B1" w14:textId="77777777" w:rsidR="00E836FB" w:rsidRDefault="00E836FB">
            <w:pPr>
              <w:rPr>
                <w:rFonts w:ascii="宋体"/>
              </w:rPr>
            </w:pPr>
          </w:p>
        </w:tc>
        <w:tc>
          <w:tcPr>
            <w:tcW w:w="5" w:type="pct"/>
            <w:shd w:val="clear" w:color="auto" w:fill="auto"/>
            <w:vAlign w:val="bottom"/>
          </w:tcPr>
          <w:p w14:paraId="5F2D11B2" w14:textId="77777777" w:rsidR="00E836FB" w:rsidRDefault="00E836FB">
            <w:pPr>
              <w:rPr>
                <w:rFonts w:ascii="宋体"/>
              </w:rPr>
            </w:pPr>
          </w:p>
        </w:tc>
        <w:tc>
          <w:tcPr>
            <w:tcW w:w="50" w:type="pct"/>
            <w:shd w:val="clear" w:color="auto" w:fill="auto"/>
            <w:vAlign w:val="bottom"/>
          </w:tcPr>
          <w:p w14:paraId="5F2D11B3" w14:textId="77777777" w:rsidR="00E836FB" w:rsidRDefault="00E836FB">
            <w:pPr>
              <w:rPr>
                <w:rFonts w:ascii="宋体"/>
              </w:rPr>
            </w:pPr>
          </w:p>
        </w:tc>
        <w:tc>
          <w:tcPr>
            <w:tcW w:w="436" w:type="pct"/>
            <w:shd w:val="clear" w:color="auto" w:fill="auto"/>
            <w:vAlign w:val="bottom"/>
          </w:tcPr>
          <w:p w14:paraId="5F2D11B4" w14:textId="77777777" w:rsidR="00E836FB" w:rsidRDefault="00E836FB">
            <w:pPr>
              <w:rPr>
                <w:rFonts w:ascii="宋体"/>
              </w:rPr>
            </w:pPr>
          </w:p>
        </w:tc>
        <w:tc>
          <w:tcPr>
            <w:tcW w:w="5" w:type="pct"/>
            <w:shd w:val="clear" w:color="auto" w:fill="auto"/>
            <w:vAlign w:val="bottom"/>
          </w:tcPr>
          <w:p w14:paraId="5F2D11B5" w14:textId="77777777" w:rsidR="00E836FB" w:rsidRDefault="00E836FB">
            <w:pPr>
              <w:rPr>
                <w:rFonts w:ascii="宋体"/>
              </w:rPr>
            </w:pPr>
          </w:p>
        </w:tc>
      </w:tr>
      <w:tr w:rsidR="00E836FB" w14:paraId="5F2D11B9" w14:textId="77777777">
        <w:tc>
          <w:tcPr>
            <w:tcW w:w="0" w:type="auto"/>
            <w:gridSpan w:val="3"/>
            <w:shd w:val="clear" w:color="auto" w:fill="auto"/>
            <w:tcMar>
              <w:top w:w="0" w:type="dxa"/>
              <w:left w:w="20" w:type="dxa"/>
              <w:bottom w:w="0" w:type="dxa"/>
              <w:right w:w="20" w:type="dxa"/>
            </w:tcMar>
            <w:vAlign w:val="bottom"/>
          </w:tcPr>
          <w:p w14:paraId="5F2D11B7" w14:textId="77777777" w:rsidR="00E836FB" w:rsidRDefault="00E836F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F2D11B8" w14:textId="77777777" w:rsidR="00E836FB" w:rsidRDefault="00994958">
            <w:pPr>
              <w:jc w:val="center"/>
              <w:textAlignment w:val="bottom"/>
            </w:pPr>
            <w:r>
              <w:rPr>
                <w:rFonts w:ascii="Arial" w:eastAsia="宋体" w:hAnsi="Arial" w:cs="Arial"/>
                <w:b/>
                <w:bCs/>
                <w:color w:val="000000"/>
                <w:sz w:val="15"/>
                <w:szCs w:val="15"/>
              </w:rPr>
              <w:t>As of December 31, 2020</w:t>
            </w:r>
          </w:p>
        </w:tc>
      </w:tr>
      <w:tr w:rsidR="00E836FB" w14:paraId="5F2D11C0" w14:textId="77777777">
        <w:tc>
          <w:tcPr>
            <w:tcW w:w="0" w:type="auto"/>
            <w:gridSpan w:val="3"/>
            <w:shd w:val="clear" w:color="auto" w:fill="auto"/>
            <w:tcMar>
              <w:top w:w="0" w:type="dxa"/>
              <w:left w:w="20" w:type="dxa"/>
              <w:bottom w:w="0" w:type="dxa"/>
              <w:right w:w="20" w:type="dxa"/>
            </w:tcMar>
            <w:vAlign w:val="bottom"/>
          </w:tcPr>
          <w:p w14:paraId="5F2D11BA"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1BB" w14:textId="77777777" w:rsidR="00E836FB" w:rsidRDefault="00994958">
            <w:pPr>
              <w:jc w:val="center"/>
              <w:textAlignment w:val="bottom"/>
            </w:pPr>
            <w:r>
              <w:rPr>
                <w:rFonts w:ascii="Arial" w:eastAsia="宋体" w:hAnsi="Arial" w:cs="Arial"/>
                <w:b/>
                <w:bCs/>
                <w:color w:val="000000"/>
                <w:sz w:val="15"/>
                <w:szCs w:val="15"/>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BC"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1BD" w14:textId="77777777" w:rsidR="00E836FB" w:rsidRDefault="00994958">
            <w:pPr>
              <w:jc w:val="center"/>
              <w:textAlignment w:val="bottom"/>
            </w:pPr>
            <w:r>
              <w:rPr>
                <w:rFonts w:ascii="Arial" w:eastAsia="宋体" w:hAnsi="Arial" w:cs="Arial"/>
                <w:b/>
                <w:bCs/>
                <w:color w:val="000000"/>
                <w:sz w:val="15"/>
                <w:szCs w:val="15"/>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BE"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1BF" w14:textId="77777777" w:rsidR="00E836FB" w:rsidRDefault="00994958">
            <w:pPr>
              <w:jc w:val="center"/>
              <w:textAlignment w:val="bottom"/>
            </w:pPr>
            <w:r>
              <w:rPr>
                <w:rFonts w:ascii="Arial" w:eastAsia="宋体" w:hAnsi="Arial" w:cs="Arial"/>
                <w:b/>
                <w:bCs/>
                <w:color w:val="000000"/>
                <w:sz w:val="15"/>
                <w:szCs w:val="15"/>
              </w:rPr>
              <w:t>Total</w:t>
            </w:r>
          </w:p>
        </w:tc>
      </w:tr>
      <w:tr w:rsidR="00E836FB" w14:paraId="5F2D11D6" w14:textId="77777777">
        <w:tc>
          <w:tcPr>
            <w:tcW w:w="0" w:type="auto"/>
            <w:gridSpan w:val="3"/>
            <w:shd w:val="clear" w:color="auto" w:fill="auto"/>
            <w:tcMar>
              <w:top w:w="40" w:type="dxa"/>
              <w:left w:w="20" w:type="dxa"/>
              <w:bottom w:w="40" w:type="dxa"/>
              <w:right w:w="20" w:type="dxa"/>
            </w:tcMar>
            <w:vAlign w:val="bottom"/>
          </w:tcPr>
          <w:p w14:paraId="5F2D11C1"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1C2" w14:textId="77777777" w:rsidR="00E836FB" w:rsidRDefault="00994958">
            <w:pPr>
              <w:jc w:val="center"/>
              <w:textAlignment w:val="bottom"/>
            </w:pPr>
            <w:r>
              <w:rPr>
                <w:rFonts w:ascii="Arial" w:eastAsia="宋体" w:hAnsi="Arial" w:cs="Arial"/>
                <w:b/>
                <w:bCs/>
                <w:color w:val="000000"/>
                <w:sz w:val="15"/>
                <w:szCs w:val="15"/>
              </w:rPr>
              <w:t>Fair</w:t>
            </w:r>
          </w:p>
          <w:p w14:paraId="5F2D11C3" w14:textId="77777777" w:rsidR="00E836FB" w:rsidRDefault="00994958">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C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1C5" w14:textId="77777777" w:rsidR="00E836FB" w:rsidRDefault="00994958">
            <w:pPr>
              <w:jc w:val="center"/>
              <w:textAlignment w:val="bottom"/>
            </w:pPr>
            <w:r>
              <w:rPr>
                <w:rFonts w:ascii="Arial" w:eastAsia="宋体" w:hAnsi="Arial" w:cs="Arial"/>
                <w:b/>
                <w:bCs/>
                <w:color w:val="000000"/>
                <w:sz w:val="15"/>
                <w:szCs w:val="15"/>
              </w:rPr>
              <w:t>Gross</w:t>
            </w:r>
          </w:p>
          <w:p w14:paraId="5F2D11C6" w14:textId="77777777" w:rsidR="00E836FB" w:rsidRDefault="00994958">
            <w:pPr>
              <w:jc w:val="center"/>
              <w:textAlignment w:val="bottom"/>
            </w:pPr>
            <w:r>
              <w:rPr>
                <w:rFonts w:ascii="Arial" w:eastAsia="宋体" w:hAnsi="Arial" w:cs="Arial"/>
                <w:b/>
                <w:bCs/>
                <w:color w:val="000000"/>
                <w:sz w:val="15"/>
                <w:szCs w:val="15"/>
              </w:rPr>
              <w:t>Unrealized</w:t>
            </w:r>
          </w:p>
          <w:p w14:paraId="5F2D11C7" w14:textId="77777777" w:rsidR="00E836FB" w:rsidRDefault="00994958">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F2D11C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1C9" w14:textId="77777777" w:rsidR="00E836FB" w:rsidRDefault="00994958">
            <w:pPr>
              <w:jc w:val="center"/>
              <w:textAlignment w:val="bottom"/>
            </w:pPr>
            <w:r>
              <w:rPr>
                <w:rFonts w:ascii="Arial" w:eastAsia="宋体" w:hAnsi="Arial" w:cs="Arial"/>
                <w:b/>
                <w:bCs/>
                <w:color w:val="000000"/>
                <w:sz w:val="15"/>
                <w:szCs w:val="15"/>
              </w:rPr>
              <w:t>Fair</w:t>
            </w:r>
          </w:p>
          <w:p w14:paraId="5F2D11CA" w14:textId="77777777" w:rsidR="00E836FB" w:rsidRDefault="00994958">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C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1CC" w14:textId="77777777" w:rsidR="00E836FB" w:rsidRDefault="00994958">
            <w:pPr>
              <w:jc w:val="center"/>
              <w:textAlignment w:val="bottom"/>
            </w:pPr>
            <w:r>
              <w:rPr>
                <w:rFonts w:ascii="Arial" w:eastAsia="宋体" w:hAnsi="Arial" w:cs="Arial"/>
                <w:b/>
                <w:bCs/>
                <w:color w:val="000000"/>
                <w:sz w:val="15"/>
                <w:szCs w:val="15"/>
              </w:rPr>
              <w:t>Gross</w:t>
            </w:r>
          </w:p>
          <w:p w14:paraId="5F2D11CD" w14:textId="77777777" w:rsidR="00E836FB" w:rsidRDefault="00994958">
            <w:pPr>
              <w:jc w:val="center"/>
              <w:textAlignment w:val="bottom"/>
            </w:pPr>
            <w:r>
              <w:rPr>
                <w:rFonts w:ascii="Arial" w:eastAsia="宋体" w:hAnsi="Arial" w:cs="Arial"/>
                <w:b/>
                <w:bCs/>
                <w:color w:val="000000"/>
                <w:sz w:val="15"/>
                <w:szCs w:val="15"/>
              </w:rPr>
              <w:t>Unrealized</w:t>
            </w:r>
          </w:p>
          <w:p w14:paraId="5F2D11CE" w14:textId="77777777" w:rsidR="00E836FB" w:rsidRDefault="00994958">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F2D11C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1D0" w14:textId="77777777" w:rsidR="00E836FB" w:rsidRDefault="00994958">
            <w:pPr>
              <w:jc w:val="center"/>
              <w:textAlignment w:val="bottom"/>
            </w:pPr>
            <w:r>
              <w:rPr>
                <w:rFonts w:ascii="Arial" w:eastAsia="宋体" w:hAnsi="Arial" w:cs="Arial"/>
                <w:b/>
                <w:bCs/>
                <w:color w:val="000000"/>
                <w:sz w:val="15"/>
                <w:szCs w:val="15"/>
              </w:rPr>
              <w:t>Fair</w:t>
            </w:r>
          </w:p>
          <w:p w14:paraId="5F2D11D1" w14:textId="77777777" w:rsidR="00E836FB" w:rsidRDefault="00994958">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D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1D3" w14:textId="77777777" w:rsidR="00E836FB" w:rsidRDefault="00994958">
            <w:pPr>
              <w:jc w:val="center"/>
              <w:textAlignment w:val="bottom"/>
            </w:pPr>
            <w:r>
              <w:rPr>
                <w:rFonts w:ascii="Arial" w:eastAsia="宋体" w:hAnsi="Arial" w:cs="Arial"/>
                <w:b/>
                <w:bCs/>
                <w:color w:val="000000"/>
                <w:sz w:val="15"/>
                <w:szCs w:val="15"/>
              </w:rPr>
              <w:t>Gross</w:t>
            </w:r>
          </w:p>
          <w:p w14:paraId="5F2D11D4" w14:textId="77777777" w:rsidR="00E836FB" w:rsidRDefault="00994958">
            <w:pPr>
              <w:jc w:val="center"/>
              <w:textAlignment w:val="bottom"/>
            </w:pPr>
            <w:r>
              <w:rPr>
                <w:rFonts w:ascii="Arial" w:eastAsia="宋体" w:hAnsi="Arial" w:cs="Arial"/>
                <w:b/>
                <w:bCs/>
                <w:color w:val="000000"/>
                <w:sz w:val="15"/>
                <w:szCs w:val="15"/>
              </w:rPr>
              <w:t>Unrealized</w:t>
            </w:r>
          </w:p>
          <w:p w14:paraId="5F2D11D5" w14:textId="77777777" w:rsidR="00E836FB" w:rsidRDefault="00994958">
            <w:pPr>
              <w:jc w:val="center"/>
              <w:textAlignment w:val="bottom"/>
            </w:pPr>
            <w:r>
              <w:rPr>
                <w:rFonts w:ascii="Arial" w:eastAsia="宋体" w:hAnsi="Arial" w:cs="Arial"/>
                <w:b/>
                <w:bCs/>
                <w:color w:val="000000"/>
                <w:sz w:val="15"/>
                <w:szCs w:val="15"/>
              </w:rPr>
              <w:t>Losses</w:t>
            </w:r>
          </w:p>
        </w:tc>
      </w:tr>
      <w:tr w:rsidR="00E836FB" w14:paraId="5F2D11E3" w14:textId="77777777">
        <w:tc>
          <w:tcPr>
            <w:tcW w:w="0" w:type="auto"/>
            <w:gridSpan w:val="3"/>
            <w:shd w:val="clear" w:color="auto" w:fill="auto"/>
            <w:tcMar>
              <w:top w:w="40" w:type="dxa"/>
              <w:left w:w="20" w:type="dxa"/>
              <w:bottom w:w="40" w:type="dxa"/>
              <w:right w:w="20" w:type="dxa"/>
            </w:tcMar>
            <w:vAlign w:val="bottom"/>
          </w:tcPr>
          <w:p w14:paraId="5F2D11D7" w14:textId="77777777" w:rsidR="00E836FB" w:rsidRDefault="00994958">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D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D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D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D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D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D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D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D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E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1E2" w14:textId="77777777" w:rsidR="00E836FB" w:rsidRDefault="00E836FB">
            <w:pPr>
              <w:rPr>
                <w:rFonts w:ascii="宋体"/>
              </w:rPr>
            </w:pPr>
          </w:p>
        </w:tc>
      </w:tr>
      <w:tr w:rsidR="00E836FB" w14:paraId="5F2D11F0" w14:textId="77777777">
        <w:tc>
          <w:tcPr>
            <w:tcW w:w="0" w:type="auto"/>
            <w:gridSpan w:val="3"/>
            <w:shd w:val="clear" w:color="auto" w:fill="auto"/>
            <w:tcMar>
              <w:top w:w="40" w:type="dxa"/>
              <w:left w:w="20" w:type="dxa"/>
              <w:bottom w:w="40" w:type="dxa"/>
              <w:right w:w="20" w:type="dxa"/>
            </w:tcMar>
            <w:vAlign w:val="bottom"/>
          </w:tcPr>
          <w:p w14:paraId="5F2D11E4" w14:textId="77777777" w:rsidR="00E836FB" w:rsidRDefault="00994958">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5F2D11E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1EF" w14:textId="77777777" w:rsidR="00E836FB" w:rsidRDefault="00E836FB">
            <w:pPr>
              <w:rPr>
                <w:rFonts w:ascii="宋体"/>
              </w:rPr>
            </w:pPr>
          </w:p>
        </w:tc>
      </w:tr>
      <w:tr w:rsidR="00E836FB" w14:paraId="5F2D1209" w14:textId="77777777">
        <w:tc>
          <w:tcPr>
            <w:tcW w:w="0" w:type="auto"/>
            <w:gridSpan w:val="3"/>
            <w:shd w:val="clear" w:color="auto" w:fill="CCEEFF"/>
            <w:tcMar>
              <w:top w:w="40" w:type="dxa"/>
              <w:left w:w="245" w:type="dxa"/>
              <w:bottom w:w="40" w:type="dxa"/>
              <w:right w:w="20" w:type="dxa"/>
            </w:tcMar>
            <w:vAlign w:val="bottom"/>
          </w:tcPr>
          <w:p w14:paraId="5F2D11F1" w14:textId="77777777" w:rsidR="00E836FB" w:rsidRDefault="00994958">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F2D11F2"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11F3" w14:textId="77777777" w:rsidR="00E836FB" w:rsidRDefault="00994958">
            <w:pPr>
              <w:jc w:val="right"/>
              <w:textAlignment w:val="bottom"/>
            </w:pPr>
            <w:r>
              <w:rPr>
                <w:rFonts w:ascii="Arial" w:eastAsia="宋体" w:hAnsi="Arial" w:cs="Arial"/>
                <w:color w:val="000000"/>
                <w:sz w:val="15"/>
                <w:szCs w:val="15"/>
              </w:rPr>
              <w:t>1,636 </w:t>
            </w:r>
          </w:p>
        </w:tc>
        <w:tc>
          <w:tcPr>
            <w:tcW w:w="0" w:type="auto"/>
            <w:shd w:val="clear" w:color="auto" w:fill="CCEEFF"/>
            <w:tcMar>
              <w:top w:w="40" w:type="dxa"/>
              <w:left w:w="0" w:type="dxa"/>
              <w:bottom w:w="40" w:type="dxa"/>
              <w:right w:w="20" w:type="dxa"/>
            </w:tcMar>
            <w:vAlign w:val="bottom"/>
          </w:tcPr>
          <w:p w14:paraId="5F2D11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1F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1F6"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11F7"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11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1F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1FA"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11FB"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1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1F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1FE"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11F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2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0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202"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1203" w14:textId="77777777" w:rsidR="00E836FB" w:rsidRDefault="00994958">
            <w:pPr>
              <w:jc w:val="right"/>
              <w:textAlignment w:val="bottom"/>
            </w:pPr>
            <w:r>
              <w:rPr>
                <w:rFonts w:ascii="Arial" w:eastAsia="宋体" w:hAnsi="Arial" w:cs="Arial"/>
                <w:color w:val="000000"/>
                <w:sz w:val="15"/>
                <w:szCs w:val="15"/>
              </w:rPr>
              <w:t>1,636 </w:t>
            </w:r>
          </w:p>
        </w:tc>
        <w:tc>
          <w:tcPr>
            <w:tcW w:w="0" w:type="auto"/>
            <w:shd w:val="clear" w:color="auto" w:fill="CCEEFF"/>
            <w:tcMar>
              <w:top w:w="40" w:type="dxa"/>
              <w:left w:w="0" w:type="dxa"/>
              <w:bottom w:w="40" w:type="dxa"/>
              <w:right w:w="20" w:type="dxa"/>
            </w:tcMar>
            <w:vAlign w:val="bottom"/>
          </w:tcPr>
          <w:p w14:paraId="5F2D12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0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206"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1207"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1208" w14:textId="77777777" w:rsidR="00E836FB" w:rsidRDefault="00E836FB">
            <w:pPr>
              <w:jc w:val="right"/>
              <w:rPr>
                <w:rFonts w:ascii="宋体"/>
              </w:rPr>
            </w:pPr>
          </w:p>
        </w:tc>
      </w:tr>
      <w:tr w:rsidR="00E836FB" w14:paraId="5F2D121C" w14:textId="77777777">
        <w:tc>
          <w:tcPr>
            <w:tcW w:w="0" w:type="auto"/>
            <w:gridSpan w:val="3"/>
            <w:shd w:val="clear" w:color="auto" w:fill="FFFFFF"/>
            <w:tcMar>
              <w:top w:w="40" w:type="dxa"/>
              <w:left w:w="245" w:type="dxa"/>
              <w:bottom w:w="40" w:type="dxa"/>
              <w:right w:w="20" w:type="dxa"/>
            </w:tcMar>
            <w:vAlign w:val="bottom"/>
          </w:tcPr>
          <w:p w14:paraId="5F2D120A" w14:textId="77777777" w:rsidR="00E836FB" w:rsidRDefault="00994958">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F2D120B" w14:textId="77777777" w:rsidR="00E836FB" w:rsidRDefault="00994958">
            <w:pPr>
              <w:jc w:val="right"/>
              <w:textAlignment w:val="bottom"/>
            </w:pPr>
            <w:r>
              <w:rPr>
                <w:rFonts w:ascii="Arial" w:eastAsia="宋体" w:hAnsi="Arial" w:cs="Arial"/>
                <w:color w:val="000000"/>
                <w:sz w:val="15"/>
                <w:szCs w:val="15"/>
              </w:rPr>
              <w:t>1,394 </w:t>
            </w:r>
          </w:p>
        </w:tc>
        <w:tc>
          <w:tcPr>
            <w:tcW w:w="0" w:type="auto"/>
            <w:shd w:val="clear" w:color="auto" w:fill="FFFFFF"/>
            <w:tcMar>
              <w:top w:w="40" w:type="dxa"/>
              <w:left w:w="0" w:type="dxa"/>
              <w:bottom w:w="40" w:type="dxa"/>
              <w:right w:w="20" w:type="dxa"/>
            </w:tcMar>
            <w:vAlign w:val="bottom"/>
          </w:tcPr>
          <w:p w14:paraId="5F2D12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0E" w14:textId="77777777" w:rsidR="00E836FB" w:rsidRDefault="00994958">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5F2D12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11" w14:textId="77777777" w:rsidR="00E836FB" w:rsidRDefault="00994958">
            <w:pPr>
              <w:jc w:val="right"/>
              <w:textAlignment w:val="bottom"/>
            </w:pPr>
            <w:r>
              <w:rPr>
                <w:rFonts w:ascii="Arial" w:eastAsia="宋体" w:hAnsi="Arial" w:cs="Arial"/>
                <w:color w:val="000000"/>
                <w:sz w:val="15"/>
                <w:szCs w:val="15"/>
              </w:rPr>
              <w:t>63 </w:t>
            </w:r>
          </w:p>
        </w:tc>
        <w:tc>
          <w:tcPr>
            <w:tcW w:w="0" w:type="auto"/>
            <w:shd w:val="clear" w:color="auto" w:fill="FFFFFF"/>
            <w:tcMar>
              <w:top w:w="40" w:type="dxa"/>
              <w:left w:w="0" w:type="dxa"/>
              <w:bottom w:w="40" w:type="dxa"/>
              <w:right w:w="20" w:type="dxa"/>
            </w:tcMar>
            <w:vAlign w:val="bottom"/>
          </w:tcPr>
          <w:p w14:paraId="5F2D12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14"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21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1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17" w14:textId="77777777" w:rsidR="00E836FB" w:rsidRDefault="00994958">
            <w:pPr>
              <w:jc w:val="right"/>
              <w:textAlignment w:val="bottom"/>
            </w:pPr>
            <w:r>
              <w:rPr>
                <w:rFonts w:ascii="Arial" w:eastAsia="宋体" w:hAnsi="Arial" w:cs="Arial"/>
                <w:color w:val="000000"/>
                <w:sz w:val="15"/>
                <w:szCs w:val="15"/>
              </w:rPr>
              <w:t>1,457 </w:t>
            </w:r>
          </w:p>
        </w:tc>
        <w:tc>
          <w:tcPr>
            <w:tcW w:w="0" w:type="auto"/>
            <w:shd w:val="clear" w:color="auto" w:fill="FFFFFF"/>
            <w:tcMar>
              <w:top w:w="40" w:type="dxa"/>
              <w:left w:w="0" w:type="dxa"/>
              <w:bottom w:w="40" w:type="dxa"/>
              <w:right w:w="20" w:type="dxa"/>
            </w:tcMar>
            <w:vAlign w:val="bottom"/>
          </w:tcPr>
          <w:p w14:paraId="5F2D12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1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1A" w14:textId="77777777" w:rsidR="00E836FB" w:rsidRDefault="00994958">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5F2D121B" w14:textId="77777777" w:rsidR="00E836FB" w:rsidRDefault="00E836FB">
            <w:pPr>
              <w:jc w:val="right"/>
              <w:rPr>
                <w:rFonts w:ascii="宋体"/>
              </w:rPr>
            </w:pPr>
          </w:p>
        </w:tc>
      </w:tr>
      <w:tr w:rsidR="00E836FB" w14:paraId="5F2D122F" w14:textId="77777777">
        <w:tc>
          <w:tcPr>
            <w:tcW w:w="0" w:type="auto"/>
            <w:gridSpan w:val="3"/>
            <w:shd w:val="clear" w:color="auto" w:fill="CCEEFF"/>
            <w:tcMar>
              <w:top w:w="40" w:type="dxa"/>
              <w:left w:w="515" w:type="dxa"/>
              <w:bottom w:w="40" w:type="dxa"/>
              <w:right w:w="20" w:type="dxa"/>
            </w:tcMar>
            <w:vAlign w:val="bottom"/>
          </w:tcPr>
          <w:p w14:paraId="5F2D121D" w14:textId="77777777" w:rsidR="00E836FB" w:rsidRDefault="00994958">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1E" w14:textId="77777777" w:rsidR="00E836FB" w:rsidRDefault="00994958">
            <w:pPr>
              <w:jc w:val="right"/>
              <w:textAlignment w:val="bottom"/>
            </w:pPr>
            <w:r>
              <w:rPr>
                <w:rFonts w:ascii="Arial" w:eastAsia="宋体" w:hAnsi="Arial" w:cs="Arial"/>
                <w:color w:val="000000"/>
                <w:sz w:val="15"/>
                <w:szCs w:val="15"/>
              </w:rPr>
              <w:t>3,030 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2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21" w14:textId="77777777" w:rsidR="00E836FB" w:rsidRDefault="00994958">
            <w:pPr>
              <w:jc w:val="right"/>
              <w:textAlignment w:val="bottom"/>
            </w:pPr>
            <w:r>
              <w:rPr>
                <w:rFonts w:ascii="Arial" w:eastAsia="宋体" w:hAnsi="Arial" w:cs="Arial"/>
                <w:color w:val="000000"/>
                <w:sz w:val="15"/>
                <w:szCs w:val="15"/>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2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24" w14:textId="77777777" w:rsidR="00E836FB" w:rsidRDefault="00994958">
            <w:pPr>
              <w:jc w:val="right"/>
              <w:textAlignment w:val="bottom"/>
            </w:pPr>
            <w:r>
              <w:rPr>
                <w:rFonts w:ascii="Arial" w:eastAsia="宋体" w:hAnsi="Arial" w:cs="Arial"/>
                <w:color w:val="000000"/>
                <w:sz w:val="15"/>
                <w:szCs w:val="15"/>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2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2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27"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2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2A" w14:textId="77777777" w:rsidR="00E836FB" w:rsidRDefault="00994958">
            <w:pPr>
              <w:jc w:val="right"/>
              <w:textAlignment w:val="bottom"/>
            </w:pPr>
            <w:r>
              <w:rPr>
                <w:rFonts w:ascii="Arial" w:eastAsia="宋体" w:hAnsi="Arial" w:cs="Arial"/>
                <w:color w:val="000000"/>
                <w:sz w:val="15"/>
                <w:szCs w:val="15"/>
              </w:rPr>
              <w:t>3,093 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2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2D" w14:textId="77777777" w:rsidR="00E836FB" w:rsidRDefault="00994958">
            <w:pPr>
              <w:jc w:val="right"/>
              <w:textAlignment w:val="bottom"/>
            </w:pPr>
            <w:r>
              <w:rPr>
                <w:rFonts w:ascii="Arial" w:eastAsia="宋体" w:hAnsi="Arial" w:cs="Arial"/>
                <w:color w:val="000000"/>
                <w:sz w:val="15"/>
                <w:szCs w:val="15"/>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2E" w14:textId="77777777" w:rsidR="00E836FB" w:rsidRDefault="00E836FB">
            <w:pPr>
              <w:jc w:val="right"/>
              <w:rPr>
                <w:rFonts w:ascii="宋体"/>
              </w:rPr>
            </w:pPr>
          </w:p>
        </w:tc>
      </w:tr>
      <w:tr w:rsidR="00E836FB" w14:paraId="5F2D123C" w14:textId="77777777">
        <w:tc>
          <w:tcPr>
            <w:tcW w:w="0" w:type="auto"/>
            <w:gridSpan w:val="3"/>
            <w:shd w:val="clear" w:color="auto" w:fill="FFFFFF"/>
            <w:tcMar>
              <w:top w:w="40" w:type="dxa"/>
              <w:left w:w="20" w:type="dxa"/>
              <w:bottom w:w="40" w:type="dxa"/>
              <w:right w:w="20" w:type="dxa"/>
            </w:tcMar>
            <w:vAlign w:val="bottom"/>
          </w:tcPr>
          <w:p w14:paraId="5F2D1230"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3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32"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3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34"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3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36"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3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3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3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3B" w14:textId="77777777" w:rsidR="00E836FB" w:rsidRDefault="00E836FB">
            <w:pPr>
              <w:rPr>
                <w:rFonts w:ascii="宋体"/>
              </w:rPr>
            </w:pPr>
          </w:p>
        </w:tc>
      </w:tr>
      <w:tr w:rsidR="00E836FB" w14:paraId="5F2D124F" w14:textId="77777777">
        <w:tc>
          <w:tcPr>
            <w:tcW w:w="0" w:type="auto"/>
            <w:gridSpan w:val="3"/>
            <w:shd w:val="clear" w:color="auto" w:fill="CCEEFF"/>
            <w:tcMar>
              <w:top w:w="40" w:type="dxa"/>
              <w:left w:w="245" w:type="dxa"/>
              <w:bottom w:w="40" w:type="dxa"/>
              <w:right w:w="20" w:type="dxa"/>
            </w:tcMar>
            <w:vAlign w:val="bottom"/>
          </w:tcPr>
          <w:p w14:paraId="5F2D123D" w14:textId="77777777" w:rsidR="00E836FB" w:rsidRDefault="00994958">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5F2D123E" w14:textId="77777777" w:rsidR="00E836FB" w:rsidRDefault="00994958">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5F2D12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41"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24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4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44" w14:textId="77777777" w:rsidR="00E836FB" w:rsidRDefault="00994958">
            <w:pPr>
              <w:jc w:val="right"/>
              <w:textAlignment w:val="bottom"/>
            </w:pPr>
            <w:r>
              <w:rPr>
                <w:rFonts w:ascii="Arial" w:eastAsia="宋体" w:hAnsi="Arial" w:cs="Arial"/>
                <w:color w:val="000000"/>
                <w:sz w:val="15"/>
                <w:szCs w:val="15"/>
              </w:rPr>
              <w:t>197 </w:t>
            </w:r>
          </w:p>
        </w:tc>
        <w:tc>
          <w:tcPr>
            <w:tcW w:w="0" w:type="auto"/>
            <w:shd w:val="clear" w:color="auto" w:fill="CCEEFF"/>
            <w:tcMar>
              <w:top w:w="40" w:type="dxa"/>
              <w:left w:w="0" w:type="dxa"/>
              <w:bottom w:w="40" w:type="dxa"/>
              <w:right w:w="20" w:type="dxa"/>
            </w:tcMar>
            <w:vAlign w:val="bottom"/>
          </w:tcPr>
          <w:p w14:paraId="5F2D12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4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47"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124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4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4A" w14:textId="77777777" w:rsidR="00E836FB" w:rsidRDefault="00994958">
            <w:pPr>
              <w:jc w:val="right"/>
              <w:textAlignment w:val="bottom"/>
            </w:pPr>
            <w:r>
              <w:rPr>
                <w:rFonts w:ascii="Arial" w:eastAsia="宋体" w:hAnsi="Arial" w:cs="Arial"/>
                <w:color w:val="000000"/>
                <w:sz w:val="15"/>
                <w:szCs w:val="15"/>
              </w:rPr>
              <w:t>228 </w:t>
            </w:r>
          </w:p>
        </w:tc>
        <w:tc>
          <w:tcPr>
            <w:tcW w:w="0" w:type="auto"/>
            <w:shd w:val="clear" w:color="auto" w:fill="CCEEFF"/>
            <w:tcMar>
              <w:top w:w="40" w:type="dxa"/>
              <w:left w:w="0" w:type="dxa"/>
              <w:bottom w:w="40" w:type="dxa"/>
              <w:right w:w="20" w:type="dxa"/>
            </w:tcMar>
            <w:vAlign w:val="bottom"/>
          </w:tcPr>
          <w:p w14:paraId="5F2D12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4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4D"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124E" w14:textId="77777777" w:rsidR="00E836FB" w:rsidRDefault="00E836FB">
            <w:pPr>
              <w:jc w:val="right"/>
              <w:rPr>
                <w:rFonts w:ascii="宋体"/>
              </w:rPr>
            </w:pPr>
          </w:p>
        </w:tc>
      </w:tr>
      <w:tr w:rsidR="00E836FB" w14:paraId="5F2D125C" w14:textId="77777777">
        <w:trPr>
          <w:hidden/>
        </w:trPr>
        <w:tc>
          <w:tcPr>
            <w:tcW w:w="0" w:type="auto"/>
            <w:gridSpan w:val="3"/>
            <w:shd w:val="clear" w:color="auto" w:fill="auto"/>
            <w:vAlign w:val="bottom"/>
          </w:tcPr>
          <w:p w14:paraId="5F2D1250" w14:textId="77777777" w:rsidR="00E836FB" w:rsidRDefault="00E836FB">
            <w:pPr>
              <w:rPr>
                <w:rFonts w:ascii="宋体"/>
                <w:vanish/>
              </w:rPr>
            </w:pPr>
          </w:p>
        </w:tc>
        <w:tc>
          <w:tcPr>
            <w:tcW w:w="0" w:type="auto"/>
            <w:gridSpan w:val="3"/>
            <w:shd w:val="clear" w:color="auto" w:fill="auto"/>
            <w:vAlign w:val="bottom"/>
          </w:tcPr>
          <w:p w14:paraId="5F2D1251" w14:textId="77777777" w:rsidR="00E836FB" w:rsidRDefault="00E836FB">
            <w:pPr>
              <w:rPr>
                <w:rFonts w:ascii="宋体"/>
                <w:vanish/>
              </w:rPr>
            </w:pPr>
          </w:p>
        </w:tc>
        <w:tc>
          <w:tcPr>
            <w:tcW w:w="0" w:type="auto"/>
            <w:gridSpan w:val="3"/>
            <w:shd w:val="clear" w:color="auto" w:fill="auto"/>
            <w:vAlign w:val="bottom"/>
          </w:tcPr>
          <w:p w14:paraId="5F2D1252" w14:textId="77777777" w:rsidR="00E836FB" w:rsidRDefault="00E836FB">
            <w:pPr>
              <w:rPr>
                <w:rFonts w:ascii="宋体"/>
                <w:vanish/>
              </w:rPr>
            </w:pPr>
          </w:p>
        </w:tc>
        <w:tc>
          <w:tcPr>
            <w:tcW w:w="0" w:type="auto"/>
            <w:gridSpan w:val="3"/>
            <w:shd w:val="clear" w:color="auto" w:fill="auto"/>
            <w:vAlign w:val="bottom"/>
          </w:tcPr>
          <w:p w14:paraId="5F2D1253" w14:textId="77777777" w:rsidR="00E836FB" w:rsidRDefault="00E836FB">
            <w:pPr>
              <w:rPr>
                <w:rFonts w:ascii="宋体"/>
                <w:vanish/>
              </w:rPr>
            </w:pPr>
          </w:p>
        </w:tc>
        <w:tc>
          <w:tcPr>
            <w:tcW w:w="0" w:type="auto"/>
            <w:gridSpan w:val="3"/>
            <w:shd w:val="clear" w:color="auto" w:fill="auto"/>
            <w:vAlign w:val="bottom"/>
          </w:tcPr>
          <w:p w14:paraId="5F2D1254" w14:textId="77777777" w:rsidR="00E836FB" w:rsidRDefault="00E836FB">
            <w:pPr>
              <w:rPr>
                <w:rFonts w:ascii="宋体"/>
                <w:vanish/>
              </w:rPr>
            </w:pPr>
          </w:p>
        </w:tc>
        <w:tc>
          <w:tcPr>
            <w:tcW w:w="0" w:type="auto"/>
            <w:gridSpan w:val="3"/>
            <w:shd w:val="clear" w:color="auto" w:fill="auto"/>
            <w:vAlign w:val="bottom"/>
          </w:tcPr>
          <w:p w14:paraId="5F2D1255" w14:textId="77777777" w:rsidR="00E836FB" w:rsidRDefault="00E836FB">
            <w:pPr>
              <w:rPr>
                <w:rFonts w:ascii="宋体"/>
                <w:vanish/>
              </w:rPr>
            </w:pPr>
          </w:p>
        </w:tc>
        <w:tc>
          <w:tcPr>
            <w:tcW w:w="0" w:type="auto"/>
            <w:gridSpan w:val="3"/>
            <w:shd w:val="clear" w:color="auto" w:fill="auto"/>
            <w:vAlign w:val="bottom"/>
          </w:tcPr>
          <w:p w14:paraId="5F2D1256" w14:textId="77777777" w:rsidR="00E836FB" w:rsidRDefault="00E836FB">
            <w:pPr>
              <w:rPr>
                <w:rFonts w:ascii="宋体"/>
                <w:vanish/>
              </w:rPr>
            </w:pPr>
          </w:p>
        </w:tc>
        <w:tc>
          <w:tcPr>
            <w:tcW w:w="0" w:type="auto"/>
            <w:gridSpan w:val="3"/>
            <w:shd w:val="clear" w:color="auto" w:fill="auto"/>
            <w:vAlign w:val="bottom"/>
          </w:tcPr>
          <w:p w14:paraId="5F2D1257" w14:textId="77777777" w:rsidR="00E836FB" w:rsidRDefault="00E836FB">
            <w:pPr>
              <w:rPr>
                <w:rFonts w:ascii="宋体"/>
                <w:vanish/>
              </w:rPr>
            </w:pPr>
          </w:p>
        </w:tc>
        <w:tc>
          <w:tcPr>
            <w:tcW w:w="0" w:type="auto"/>
            <w:gridSpan w:val="3"/>
            <w:shd w:val="clear" w:color="auto" w:fill="auto"/>
            <w:vAlign w:val="bottom"/>
          </w:tcPr>
          <w:p w14:paraId="5F2D1258" w14:textId="77777777" w:rsidR="00E836FB" w:rsidRDefault="00E836FB">
            <w:pPr>
              <w:rPr>
                <w:rFonts w:ascii="宋体"/>
                <w:vanish/>
              </w:rPr>
            </w:pPr>
          </w:p>
        </w:tc>
        <w:tc>
          <w:tcPr>
            <w:tcW w:w="0" w:type="auto"/>
            <w:gridSpan w:val="3"/>
            <w:shd w:val="clear" w:color="auto" w:fill="auto"/>
            <w:vAlign w:val="bottom"/>
          </w:tcPr>
          <w:p w14:paraId="5F2D1259" w14:textId="77777777" w:rsidR="00E836FB" w:rsidRDefault="00E836FB">
            <w:pPr>
              <w:rPr>
                <w:rFonts w:ascii="宋体"/>
                <w:vanish/>
              </w:rPr>
            </w:pPr>
          </w:p>
        </w:tc>
        <w:tc>
          <w:tcPr>
            <w:tcW w:w="0" w:type="auto"/>
            <w:gridSpan w:val="3"/>
            <w:shd w:val="clear" w:color="auto" w:fill="auto"/>
            <w:vAlign w:val="bottom"/>
          </w:tcPr>
          <w:p w14:paraId="5F2D125A" w14:textId="77777777" w:rsidR="00E836FB" w:rsidRDefault="00E836FB">
            <w:pPr>
              <w:rPr>
                <w:rFonts w:ascii="宋体"/>
                <w:vanish/>
              </w:rPr>
            </w:pPr>
          </w:p>
        </w:tc>
        <w:tc>
          <w:tcPr>
            <w:tcW w:w="0" w:type="auto"/>
            <w:gridSpan w:val="3"/>
            <w:shd w:val="clear" w:color="auto" w:fill="auto"/>
            <w:vAlign w:val="bottom"/>
          </w:tcPr>
          <w:p w14:paraId="5F2D125B" w14:textId="77777777" w:rsidR="00E836FB" w:rsidRDefault="00E836FB">
            <w:pPr>
              <w:rPr>
                <w:rFonts w:ascii="宋体"/>
                <w:vanish/>
              </w:rPr>
            </w:pPr>
          </w:p>
        </w:tc>
      </w:tr>
      <w:tr w:rsidR="00E836FB" w14:paraId="5F2D126F" w14:textId="77777777">
        <w:tc>
          <w:tcPr>
            <w:tcW w:w="0" w:type="auto"/>
            <w:gridSpan w:val="3"/>
            <w:shd w:val="clear" w:color="auto" w:fill="FFFFFF"/>
            <w:tcMar>
              <w:top w:w="40" w:type="dxa"/>
              <w:left w:w="245" w:type="dxa"/>
              <w:bottom w:w="40" w:type="dxa"/>
              <w:right w:w="20" w:type="dxa"/>
            </w:tcMar>
            <w:vAlign w:val="bottom"/>
          </w:tcPr>
          <w:p w14:paraId="5F2D125D" w14:textId="77777777" w:rsidR="00E836FB" w:rsidRDefault="00994958">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5F2D125E" w14:textId="77777777" w:rsidR="00E836FB" w:rsidRDefault="00994958">
            <w:pPr>
              <w:jc w:val="right"/>
              <w:textAlignment w:val="bottom"/>
            </w:pPr>
            <w:r>
              <w:rPr>
                <w:rFonts w:ascii="Arial" w:eastAsia="宋体" w:hAnsi="Arial" w:cs="Arial"/>
                <w:color w:val="000000"/>
                <w:sz w:val="15"/>
                <w:szCs w:val="15"/>
              </w:rPr>
              <w:t>1,498 </w:t>
            </w:r>
          </w:p>
        </w:tc>
        <w:tc>
          <w:tcPr>
            <w:tcW w:w="0" w:type="auto"/>
            <w:shd w:val="clear" w:color="auto" w:fill="FFFFFF"/>
            <w:tcMar>
              <w:top w:w="40" w:type="dxa"/>
              <w:left w:w="0" w:type="dxa"/>
              <w:bottom w:w="40" w:type="dxa"/>
              <w:right w:w="20" w:type="dxa"/>
            </w:tcMar>
            <w:vAlign w:val="bottom"/>
          </w:tcPr>
          <w:p w14:paraId="5F2D12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61"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F2D12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64" w14:textId="77777777" w:rsidR="00E836FB" w:rsidRDefault="00994958">
            <w:pPr>
              <w:jc w:val="right"/>
              <w:textAlignment w:val="bottom"/>
            </w:pPr>
            <w:r>
              <w:rPr>
                <w:rFonts w:ascii="Arial" w:eastAsia="宋体" w:hAnsi="Arial" w:cs="Arial"/>
                <w:color w:val="000000"/>
                <w:sz w:val="15"/>
                <w:szCs w:val="15"/>
              </w:rPr>
              <w:t>369 </w:t>
            </w:r>
          </w:p>
        </w:tc>
        <w:tc>
          <w:tcPr>
            <w:tcW w:w="0" w:type="auto"/>
            <w:shd w:val="clear" w:color="auto" w:fill="FFFFFF"/>
            <w:tcMar>
              <w:top w:w="40" w:type="dxa"/>
              <w:left w:w="0" w:type="dxa"/>
              <w:bottom w:w="40" w:type="dxa"/>
              <w:right w:w="20" w:type="dxa"/>
            </w:tcMar>
            <w:vAlign w:val="bottom"/>
          </w:tcPr>
          <w:p w14:paraId="5F2D12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67" w14:textId="77777777" w:rsidR="00E836FB" w:rsidRDefault="00994958">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5F2D12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6A" w14:textId="77777777" w:rsidR="00E836FB" w:rsidRDefault="00994958">
            <w:pPr>
              <w:jc w:val="right"/>
              <w:textAlignment w:val="bottom"/>
            </w:pPr>
            <w:r>
              <w:rPr>
                <w:rFonts w:ascii="Arial" w:eastAsia="宋体" w:hAnsi="Arial" w:cs="Arial"/>
                <w:color w:val="000000"/>
                <w:sz w:val="15"/>
                <w:szCs w:val="15"/>
              </w:rPr>
              <w:t>1,867 </w:t>
            </w:r>
          </w:p>
        </w:tc>
        <w:tc>
          <w:tcPr>
            <w:tcW w:w="0" w:type="auto"/>
            <w:shd w:val="clear" w:color="auto" w:fill="FFFFFF"/>
            <w:tcMar>
              <w:top w:w="40" w:type="dxa"/>
              <w:left w:w="0" w:type="dxa"/>
              <w:bottom w:w="40" w:type="dxa"/>
              <w:right w:w="20" w:type="dxa"/>
            </w:tcMar>
            <w:vAlign w:val="bottom"/>
          </w:tcPr>
          <w:p w14:paraId="5F2D126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6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6D" w14:textId="77777777" w:rsidR="00E836FB" w:rsidRDefault="00994958">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5F2D126E" w14:textId="77777777" w:rsidR="00E836FB" w:rsidRDefault="00E836FB">
            <w:pPr>
              <w:jc w:val="right"/>
              <w:rPr>
                <w:rFonts w:ascii="宋体"/>
              </w:rPr>
            </w:pPr>
          </w:p>
        </w:tc>
      </w:tr>
      <w:tr w:rsidR="00E836FB" w14:paraId="5F2D127C" w14:textId="77777777">
        <w:trPr>
          <w:hidden/>
        </w:trPr>
        <w:tc>
          <w:tcPr>
            <w:tcW w:w="0" w:type="auto"/>
            <w:gridSpan w:val="3"/>
            <w:shd w:val="clear" w:color="auto" w:fill="auto"/>
            <w:vAlign w:val="bottom"/>
          </w:tcPr>
          <w:p w14:paraId="5F2D1270" w14:textId="77777777" w:rsidR="00E836FB" w:rsidRDefault="00E836FB">
            <w:pPr>
              <w:rPr>
                <w:rFonts w:ascii="宋体"/>
                <w:vanish/>
              </w:rPr>
            </w:pPr>
          </w:p>
        </w:tc>
        <w:tc>
          <w:tcPr>
            <w:tcW w:w="0" w:type="auto"/>
            <w:gridSpan w:val="3"/>
            <w:shd w:val="clear" w:color="auto" w:fill="auto"/>
            <w:vAlign w:val="bottom"/>
          </w:tcPr>
          <w:p w14:paraId="5F2D1271" w14:textId="77777777" w:rsidR="00E836FB" w:rsidRDefault="00E836FB">
            <w:pPr>
              <w:rPr>
                <w:rFonts w:ascii="宋体"/>
                <w:vanish/>
              </w:rPr>
            </w:pPr>
          </w:p>
        </w:tc>
        <w:tc>
          <w:tcPr>
            <w:tcW w:w="0" w:type="auto"/>
            <w:gridSpan w:val="3"/>
            <w:shd w:val="clear" w:color="auto" w:fill="auto"/>
            <w:vAlign w:val="bottom"/>
          </w:tcPr>
          <w:p w14:paraId="5F2D1272" w14:textId="77777777" w:rsidR="00E836FB" w:rsidRDefault="00E836FB">
            <w:pPr>
              <w:rPr>
                <w:rFonts w:ascii="宋体"/>
                <w:vanish/>
              </w:rPr>
            </w:pPr>
          </w:p>
        </w:tc>
        <w:tc>
          <w:tcPr>
            <w:tcW w:w="0" w:type="auto"/>
            <w:gridSpan w:val="3"/>
            <w:shd w:val="clear" w:color="auto" w:fill="auto"/>
            <w:vAlign w:val="bottom"/>
          </w:tcPr>
          <w:p w14:paraId="5F2D1273" w14:textId="77777777" w:rsidR="00E836FB" w:rsidRDefault="00E836FB">
            <w:pPr>
              <w:rPr>
                <w:rFonts w:ascii="宋体"/>
                <w:vanish/>
              </w:rPr>
            </w:pPr>
          </w:p>
        </w:tc>
        <w:tc>
          <w:tcPr>
            <w:tcW w:w="0" w:type="auto"/>
            <w:gridSpan w:val="3"/>
            <w:shd w:val="clear" w:color="auto" w:fill="auto"/>
            <w:vAlign w:val="bottom"/>
          </w:tcPr>
          <w:p w14:paraId="5F2D1274" w14:textId="77777777" w:rsidR="00E836FB" w:rsidRDefault="00E836FB">
            <w:pPr>
              <w:rPr>
                <w:rFonts w:ascii="宋体"/>
                <w:vanish/>
              </w:rPr>
            </w:pPr>
          </w:p>
        </w:tc>
        <w:tc>
          <w:tcPr>
            <w:tcW w:w="0" w:type="auto"/>
            <w:gridSpan w:val="3"/>
            <w:shd w:val="clear" w:color="auto" w:fill="auto"/>
            <w:vAlign w:val="bottom"/>
          </w:tcPr>
          <w:p w14:paraId="5F2D1275" w14:textId="77777777" w:rsidR="00E836FB" w:rsidRDefault="00E836FB">
            <w:pPr>
              <w:rPr>
                <w:rFonts w:ascii="宋体"/>
                <w:vanish/>
              </w:rPr>
            </w:pPr>
          </w:p>
        </w:tc>
        <w:tc>
          <w:tcPr>
            <w:tcW w:w="0" w:type="auto"/>
            <w:gridSpan w:val="3"/>
            <w:shd w:val="clear" w:color="auto" w:fill="auto"/>
            <w:vAlign w:val="bottom"/>
          </w:tcPr>
          <w:p w14:paraId="5F2D1276" w14:textId="77777777" w:rsidR="00E836FB" w:rsidRDefault="00E836FB">
            <w:pPr>
              <w:rPr>
                <w:rFonts w:ascii="宋体"/>
                <w:vanish/>
              </w:rPr>
            </w:pPr>
          </w:p>
        </w:tc>
        <w:tc>
          <w:tcPr>
            <w:tcW w:w="0" w:type="auto"/>
            <w:gridSpan w:val="3"/>
            <w:shd w:val="clear" w:color="auto" w:fill="auto"/>
            <w:vAlign w:val="bottom"/>
          </w:tcPr>
          <w:p w14:paraId="5F2D1277" w14:textId="77777777" w:rsidR="00E836FB" w:rsidRDefault="00E836FB">
            <w:pPr>
              <w:rPr>
                <w:rFonts w:ascii="宋体"/>
                <w:vanish/>
              </w:rPr>
            </w:pPr>
          </w:p>
        </w:tc>
        <w:tc>
          <w:tcPr>
            <w:tcW w:w="0" w:type="auto"/>
            <w:gridSpan w:val="3"/>
            <w:shd w:val="clear" w:color="auto" w:fill="auto"/>
            <w:vAlign w:val="bottom"/>
          </w:tcPr>
          <w:p w14:paraId="5F2D1278" w14:textId="77777777" w:rsidR="00E836FB" w:rsidRDefault="00E836FB">
            <w:pPr>
              <w:rPr>
                <w:rFonts w:ascii="宋体"/>
                <w:vanish/>
              </w:rPr>
            </w:pPr>
          </w:p>
        </w:tc>
        <w:tc>
          <w:tcPr>
            <w:tcW w:w="0" w:type="auto"/>
            <w:gridSpan w:val="3"/>
            <w:shd w:val="clear" w:color="auto" w:fill="auto"/>
            <w:vAlign w:val="bottom"/>
          </w:tcPr>
          <w:p w14:paraId="5F2D1279" w14:textId="77777777" w:rsidR="00E836FB" w:rsidRDefault="00E836FB">
            <w:pPr>
              <w:rPr>
                <w:rFonts w:ascii="宋体"/>
                <w:vanish/>
              </w:rPr>
            </w:pPr>
          </w:p>
        </w:tc>
        <w:tc>
          <w:tcPr>
            <w:tcW w:w="0" w:type="auto"/>
            <w:gridSpan w:val="3"/>
            <w:shd w:val="clear" w:color="auto" w:fill="auto"/>
            <w:vAlign w:val="bottom"/>
          </w:tcPr>
          <w:p w14:paraId="5F2D127A" w14:textId="77777777" w:rsidR="00E836FB" w:rsidRDefault="00E836FB">
            <w:pPr>
              <w:rPr>
                <w:rFonts w:ascii="宋体"/>
                <w:vanish/>
              </w:rPr>
            </w:pPr>
          </w:p>
        </w:tc>
        <w:tc>
          <w:tcPr>
            <w:tcW w:w="0" w:type="auto"/>
            <w:gridSpan w:val="3"/>
            <w:shd w:val="clear" w:color="auto" w:fill="auto"/>
            <w:vAlign w:val="bottom"/>
          </w:tcPr>
          <w:p w14:paraId="5F2D127B" w14:textId="77777777" w:rsidR="00E836FB" w:rsidRDefault="00E836FB">
            <w:pPr>
              <w:rPr>
                <w:rFonts w:ascii="宋体"/>
                <w:vanish/>
              </w:rPr>
            </w:pPr>
          </w:p>
        </w:tc>
      </w:tr>
      <w:tr w:rsidR="00E836FB" w14:paraId="5F2D128F" w14:textId="77777777">
        <w:tc>
          <w:tcPr>
            <w:tcW w:w="0" w:type="auto"/>
            <w:gridSpan w:val="3"/>
            <w:shd w:val="clear" w:color="auto" w:fill="CCEEFF"/>
            <w:tcMar>
              <w:top w:w="40" w:type="dxa"/>
              <w:left w:w="515" w:type="dxa"/>
              <w:bottom w:w="40" w:type="dxa"/>
              <w:right w:w="20" w:type="dxa"/>
            </w:tcMar>
            <w:vAlign w:val="bottom"/>
          </w:tcPr>
          <w:p w14:paraId="5F2D127D" w14:textId="77777777" w:rsidR="00E836FB" w:rsidRDefault="00994958">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7E" w14:textId="77777777" w:rsidR="00E836FB" w:rsidRDefault="00994958">
            <w:pPr>
              <w:jc w:val="right"/>
              <w:textAlignment w:val="bottom"/>
            </w:pPr>
            <w:r>
              <w:rPr>
                <w:rFonts w:ascii="Arial" w:eastAsia="宋体" w:hAnsi="Arial" w:cs="Arial"/>
                <w:color w:val="000000"/>
                <w:sz w:val="15"/>
                <w:szCs w:val="15"/>
              </w:rPr>
              <w:t>1,529 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8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81" w14:textId="77777777" w:rsidR="00E836FB" w:rsidRDefault="00994958">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8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84" w14:textId="77777777" w:rsidR="00E836FB" w:rsidRDefault="00994958">
            <w:pPr>
              <w:jc w:val="right"/>
              <w:textAlignment w:val="bottom"/>
            </w:pPr>
            <w:r>
              <w:rPr>
                <w:rFonts w:ascii="Arial" w:eastAsia="宋体" w:hAnsi="Arial" w:cs="Arial"/>
                <w:color w:val="000000"/>
                <w:sz w:val="15"/>
                <w:szCs w:val="15"/>
              </w:rPr>
              <w:t>566 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8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87" w14:textId="77777777" w:rsidR="00E836FB" w:rsidRDefault="00994958">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8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8A" w14:textId="77777777" w:rsidR="00E836FB" w:rsidRDefault="00994958">
            <w:pPr>
              <w:jc w:val="right"/>
              <w:textAlignment w:val="bottom"/>
            </w:pPr>
            <w:r>
              <w:rPr>
                <w:rFonts w:ascii="Arial" w:eastAsia="宋体" w:hAnsi="Arial" w:cs="Arial"/>
                <w:color w:val="000000"/>
                <w:sz w:val="15"/>
                <w:szCs w:val="15"/>
              </w:rPr>
              <w:t>2,095 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8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8D" w14:textId="77777777" w:rsidR="00E836FB" w:rsidRDefault="00994958">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8E" w14:textId="77777777" w:rsidR="00E836FB" w:rsidRDefault="00E836FB">
            <w:pPr>
              <w:jc w:val="right"/>
              <w:rPr>
                <w:rFonts w:ascii="宋体"/>
              </w:rPr>
            </w:pPr>
          </w:p>
        </w:tc>
      </w:tr>
      <w:tr w:rsidR="00E836FB" w14:paraId="5F2D129C" w14:textId="77777777">
        <w:tc>
          <w:tcPr>
            <w:tcW w:w="0" w:type="auto"/>
            <w:gridSpan w:val="3"/>
            <w:shd w:val="clear" w:color="auto" w:fill="FFFFFF"/>
            <w:tcMar>
              <w:top w:w="40" w:type="dxa"/>
              <w:left w:w="20" w:type="dxa"/>
              <w:bottom w:w="40" w:type="dxa"/>
              <w:right w:w="20" w:type="dxa"/>
            </w:tcMar>
            <w:vAlign w:val="bottom"/>
          </w:tcPr>
          <w:p w14:paraId="5F2D1290" w14:textId="77777777" w:rsidR="00E836FB" w:rsidRDefault="00994958">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9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92"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9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94"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9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96"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9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9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9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29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29B" w14:textId="77777777" w:rsidR="00E836FB" w:rsidRDefault="00E836FB">
            <w:pPr>
              <w:rPr>
                <w:rFonts w:ascii="宋体"/>
              </w:rPr>
            </w:pPr>
          </w:p>
        </w:tc>
      </w:tr>
      <w:tr w:rsidR="00E836FB" w14:paraId="5F2D12AF" w14:textId="77777777">
        <w:tc>
          <w:tcPr>
            <w:tcW w:w="0" w:type="auto"/>
            <w:gridSpan w:val="3"/>
            <w:shd w:val="clear" w:color="auto" w:fill="CCEEFF"/>
            <w:tcMar>
              <w:top w:w="40" w:type="dxa"/>
              <w:left w:w="245" w:type="dxa"/>
              <w:bottom w:w="40" w:type="dxa"/>
              <w:right w:w="20" w:type="dxa"/>
            </w:tcMar>
            <w:vAlign w:val="bottom"/>
          </w:tcPr>
          <w:p w14:paraId="5F2D129D" w14:textId="77777777" w:rsidR="00E836FB" w:rsidRDefault="00994958">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5F2D129E" w14:textId="77777777" w:rsidR="00E836FB" w:rsidRDefault="00994958">
            <w:pPr>
              <w:jc w:val="right"/>
              <w:textAlignment w:val="bottom"/>
            </w:pPr>
            <w:r>
              <w:rPr>
                <w:rFonts w:ascii="Arial" w:eastAsia="宋体" w:hAnsi="Arial" w:cs="Arial"/>
                <w:color w:val="000000"/>
                <w:sz w:val="15"/>
                <w:szCs w:val="15"/>
              </w:rPr>
              <w:t>600 </w:t>
            </w:r>
          </w:p>
        </w:tc>
        <w:tc>
          <w:tcPr>
            <w:tcW w:w="0" w:type="auto"/>
            <w:shd w:val="clear" w:color="auto" w:fill="CCEEFF"/>
            <w:tcMar>
              <w:top w:w="40" w:type="dxa"/>
              <w:left w:w="0" w:type="dxa"/>
              <w:bottom w:w="40" w:type="dxa"/>
              <w:right w:w="20" w:type="dxa"/>
            </w:tcMar>
            <w:vAlign w:val="bottom"/>
          </w:tcPr>
          <w:p w14:paraId="5F2D129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A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A1"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12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A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A4" w14:textId="77777777" w:rsidR="00E836FB" w:rsidRDefault="00994958">
            <w:pPr>
              <w:jc w:val="right"/>
              <w:textAlignment w:val="bottom"/>
            </w:pPr>
            <w:r>
              <w:rPr>
                <w:rFonts w:ascii="Arial" w:eastAsia="宋体" w:hAnsi="Arial" w:cs="Arial"/>
                <w:color w:val="000000"/>
                <w:sz w:val="15"/>
                <w:szCs w:val="15"/>
              </w:rPr>
              <w:t>120 </w:t>
            </w:r>
          </w:p>
        </w:tc>
        <w:tc>
          <w:tcPr>
            <w:tcW w:w="0" w:type="auto"/>
            <w:shd w:val="clear" w:color="auto" w:fill="CCEEFF"/>
            <w:tcMar>
              <w:top w:w="40" w:type="dxa"/>
              <w:left w:w="0" w:type="dxa"/>
              <w:bottom w:w="40" w:type="dxa"/>
              <w:right w:w="20" w:type="dxa"/>
            </w:tcMar>
            <w:vAlign w:val="bottom"/>
          </w:tcPr>
          <w:p w14:paraId="5F2D12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A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A7"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F2D12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A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AA" w14:textId="77777777" w:rsidR="00E836FB" w:rsidRDefault="00994958">
            <w:pPr>
              <w:jc w:val="right"/>
              <w:textAlignment w:val="bottom"/>
            </w:pPr>
            <w:r>
              <w:rPr>
                <w:rFonts w:ascii="Arial" w:eastAsia="宋体" w:hAnsi="Arial" w:cs="Arial"/>
                <w:color w:val="000000"/>
                <w:sz w:val="15"/>
                <w:szCs w:val="15"/>
              </w:rPr>
              <w:t>720 </w:t>
            </w:r>
          </w:p>
        </w:tc>
        <w:tc>
          <w:tcPr>
            <w:tcW w:w="0" w:type="auto"/>
            <w:shd w:val="clear" w:color="auto" w:fill="CCEEFF"/>
            <w:tcMar>
              <w:top w:w="40" w:type="dxa"/>
              <w:left w:w="0" w:type="dxa"/>
              <w:bottom w:w="40" w:type="dxa"/>
              <w:right w:w="20" w:type="dxa"/>
            </w:tcMar>
            <w:vAlign w:val="bottom"/>
          </w:tcPr>
          <w:p w14:paraId="5F2D12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A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AD" w14:textId="77777777" w:rsidR="00E836FB" w:rsidRDefault="00994958">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F2D12AE" w14:textId="77777777" w:rsidR="00E836FB" w:rsidRDefault="00E836FB">
            <w:pPr>
              <w:jc w:val="right"/>
              <w:rPr>
                <w:rFonts w:ascii="宋体"/>
              </w:rPr>
            </w:pPr>
          </w:p>
        </w:tc>
      </w:tr>
      <w:tr w:rsidR="00E836FB" w14:paraId="5F2D12C2" w14:textId="77777777">
        <w:tc>
          <w:tcPr>
            <w:tcW w:w="0" w:type="auto"/>
            <w:gridSpan w:val="3"/>
            <w:shd w:val="clear" w:color="auto" w:fill="FFFFFF"/>
            <w:tcMar>
              <w:top w:w="40" w:type="dxa"/>
              <w:left w:w="245" w:type="dxa"/>
              <w:bottom w:w="40" w:type="dxa"/>
              <w:right w:w="20" w:type="dxa"/>
            </w:tcMar>
            <w:vAlign w:val="bottom"/>
          </w:tcPr>
          <w:p w14:paraId="5F2D12B0" w14:textId="77777777" w:rsidR="00E836FB" w:rsidRDefault="00994958">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F2D12B1" w14:textId="77777777" w:rsidR="00E836FB" w:rsidRDefault="00994958">
            <w:pPr>
              <w:jc w:val="right"/>
              <w:textAlignment w:val="bottom"/>
            </w:pPr>
            <w:r>
              <w:rPr>
                <w:rFonts w:ascii="Arial" w:eastAsia="宋体" w:hAnsi="Arial" w:cs="Arial"/>
                <w:color w:val="000000"/>
                <w:sz w:val="15"/>
                <w:szCs w:val="15"/>
              </w:rPr>
              <w:t>1,015 </w:t>
            </w:r>
          </w:p>
        </w:tc>
        <w:tc>
          <w:tcPr>
            <w:tcW w:w="0" w:type="auto"/>
            <w:shd w:val="clear" w:color="auto" w:fill="FFFFFF"/>
            <w:tcMar>
              <w:top w:w="40" w:type="dxa"/>
              <w:left w:w="0" w:type="dxa"/>
              <w:bottom w:w="40" w:type="dxa"/>
              <w:right w:w="20" w:type="dxa"/>
            </w:tcMar>
            <w:vAlign w:val="bottom"/>
          </w:tcPr>
          <w:p w14:paraId="5F2D12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B4"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F2D12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B7" w14:textId="77777777" w:rsidR="00E836FB" w:rsidRDefault="00994958">
            <w:pPr>
              <w:jc w:val="right"/>
              <w:textAlignment w:val="bottom"/>
            </w:pPr>
            <w:r>
              <w:rPr>
                <w:rFonts w:ascii="Arial" w:eastAsia="宋体" w:hAnsi="Arial" w:cs="Arial"/>
                <w:color w:val="000000"/>
                <w:sz w:val="15"/>
                <w:szCs w:val="15"/>
              </w:rPr>
              <w:t>446 </w:t>
            </w:r>
          </w:p>
        </w:tc>
        <w:tc>
          <w:tcPr>
            <w:tcW w:w="0" w:type="auto"/>
            <w:shd w:val="clear" w:color="auto" w:fill="FFFFFF"/>
            <w:tcMar>
              <w:top w:w="40" w:type="dxa"/>
              <w:left w:w="0" w:type="dxa"/>
              <w:bottom w:w="40" w:type="dxa"/>
              <w:right w:w="20" w:type="dxa"/>
            </w:tcMar>
            <w:vAlign w:val="bottom"/>
          </w:tcPr>
          <w:p w14:paraId="5F2D12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BA"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12B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B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BD" w14:textId="77777777" w:rsidR="00E836FB" w:rsidRDefault="00994958">
            <w:pPr>
              <w:jc w:val="right"/>
              <w:textAlignment w:val="bottom"/>
            </w:pPr>
            <w:r>
              <w:rPr>
                <w:rFonts w:ascii="Arial" w:eastAsia="宋体" w:hAnsi="Arial" w:cs="Arial"/>
                <w:color w:val="000000"/>
                <w:sz w:val="15"/>
                <w:szCs w:val="15"/>
              </w:rPr>
              <w:t>1,461 </w:t>
            </w:r>
          </w:p>
        </w:tc>
        <w:tc>
          <w:tcPr>
            <w:tcW w:w="0" w:type="auto"/>
            <w:shd w:val="clear" w:color="auto" w:fill="FFFFFF"/>
            <w:tcMar>
              <w:top w:w="40" w:type="dxa"/>
              <w:left w:w="0" w:type="dxa"/>
              <w:bottom w:w="40" w:type="dxa"/>
              <w:right w:w="20" w:type="dxa"/>
            </w:tcMar>
            <w:vAlign w:val="bottom"/>
          </w:tcPr>
          <w:p w14:paraId="5F2D12B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B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C0"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F2D12C1" w14:textId="77777777" w:rsidR="00E836FB" w:rsidRDefault="00E836FB">
            <w:pPr>
              <w:jc w:val="right"/>
              <w:rPr>
                <w:rFonts w:ascii="宋体"/>
              </w:rPr>
            </w:pPr>
          </w:p>
        </w:tc>
      </w:tr>
      <w:tr w:rsidR="00E836FB" w14:paraId="5F2D12D5" w14:textId="77777777">
        <w:tc>
          <w:tcPr>
            <w:tcW w:w="0" w:type="auto"/>
            <w:gridSpan w:val="3"/>
            <w:shd w:val="clear" w:color="auto" w:fill="CCEEFF"/>
            <w:tcMar>
              <w:top w:w="40" w:type="dxa"/>
              <w:left w:w="245" w:type="dxa"/>
              <w:bottom w:w="40" w:type="dxa"/>
              <w:right w:w="20" w:type="dxa"/>
            </w:tcMar>
            <w:vAlign w:val="bottom"/>
          </w:tcPr>
          <w:p w14:paraId="5F2D12C3" w14:textId="77777777" w:rsidR="00E836FB" w:rsidRDefault="00994958">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5F2D12C4" w14:textId="77777777" w:rsidR="00E836FB" w:rsidRDefault="00994958">
            <w:pPr>
              <w:jc w:val="right"/>
              <w:textAlignment w:val="bottom"/>
            </w:pPr>
            <w:r>
              <w:rPr>
                <w:rFonts w:ascii="Arial" w:eastAsia="宋体" w:hAnsi="Arial" w:cs="Arial"/>
                <w:color w:val="000000"/>
                <w:sz w:val="15"/>
                <w:szCs w:val="15"/>
              </w:rPr>
              <w:t>489 </w:t>
            </w:r>
          </w:p>
        </w:tc>
        <w:tc>
          <w:tcPr>
            <w:tcW w:w="0" w:type="auto"/>
            <w:shd w:val="clear" w:color="auto" w:fill="CCEEFF"/>
            <w:tcMar>
              <w:top w:w="40" w:type="dxa"/>
              <w:left w:w="0" w:type="dxa"/>
              <w:bottom w:w="40" w:type="dxa"/>
              <w:right w:w="20" w:type="dxa"/>
            </w:tcMar>
            <w:vAlign w:val="bottom"/>
          </w:tcPr>
          <w:p w14:paraId="5F2D12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C7"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2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C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CA"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2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C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CD"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2C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C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D0" w14:textId="77777777" w:rsidR="00E836FB" w:rsidRDefault="00994958">
            <w:pPr>
              <w:jc w:val="right"/>
              <w:textAlignment w:val="bottom"/>
            </w:pPr>
            <w:r>
              <w:rPr>
                <w:rFonts w:ascii="Arial" w:eastAsia="宋体" w:hAnsi="Arial" w:cs="Arial"/>
                <w:color w:val="000000"/>
                <w:sz w:val="15"/>
                <w:szCs w:val="15"/>
              </w:rPr>
              <w:t>489 </w:t>
            </w:r>
          </w:p>
        </w:tc>
        <w:tc>
          <w:tcPr>
            <w:tcW w:w="0" w:type="auto"/>
            <w:shd w:val="clear" w:color="auto" w:fill="CCEEFF"/>
            <w:tcMar>
              <w:top w:w="40" w:type="dxa"/>
              <w:left w:w="0" w:type="dxa"/>
              <w:bottom w:w="40" w:type="dxa"/>
              <w:right w:w="20" w:type="dxa"/>
            </w:tcMar>
            <w:vAlign w:val="bottom"/>
          </w:tcPr>
          <w:p w14:paraId="5F2D12D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D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2D3"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2D4" w14:textId="77777777" w:rsidR="00E836FB" w:rsidRDefault="00E836FB">
            <w:pPr>
              <w:jc w:val="right"/>
              <w:rPr>
                <w:rFonts w:ascii="宋体"/>
              </w:rPr>
            </w:pPr>
          </w:p>
        </w:tc>
      </w:tr>
      <w:tr w:rsidR="00E836FB" w14:paraId="5F2D12E8" w14:textId="77777777">
        <w:tc>
          <w:tcPr>
            <w:tcW w:w="0" w:type="auto"/>
            <w:gridSpan w:val="3"/>
            <w:shd w:val="clear" w:color="auto" w:fill="FFFFFF"/>
            <w:tcMar>
              <w:top w:w="40" w:type="dxa"/>
              <w:left w:w="245" w:type="dxa"/>
              <w:bottom w:w="40" w:type="dxa"/>
              <w:right w:w="20" w:type="dxa"/>
            </w:tcMar>
            <w:vAlign w:val="bottom"/>
          </w:tcPr>
          <w:p w14:paraId="5F2D12D6"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D12D7" w14:textId="77777777" w:rsidR="00E836FB" w:rsidRDefault="00994958">
            <w:pPr>
              <w:jc w:val="right"/>
              <w:textAlignment w:val="bottom"/>
            </w:pPr>
            <w:r>
              <w:rPr>
                <w:rFonts w:ascii="Arial" w:eastAsia="宋体" w:hAnsi="Arial" w:cs="Arial"/>
                <w:color w:val="000000"/>
                <w:sz w:val="15"/>
                <w:szCs w:val="15"/>
              </w:rPr>
              <w:t>715 </w:t>
            </w:r>
          </w:p>
        </w:tc>
        <w:tc>
          <w:tcPr>
            <w:tcW w:w="0" w:type="auto"/>
            <w:shd w:val="clear" w:color="auto" w:fill="FFFFFF"/>
            <w:tcMar>
              <w:top w:w="40" w:type="dxa"/>
              <w:left w:w="0" w:type="dxa"/>
              <w:bottom w:w="40" w:type="dxa"/>
              <w:right w:w="20" w:type="dxa"/>
            </w:tcMar>
            <w:vAlign w:val="bottom"/>
          </w:tcPr>
          <w:p w14:paraId="5F2D12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D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DA"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F2D12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D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DD" w14:textId="77777777" w:rsidR="00E836FB" w:rsidRDefault="00994958">
            <w:pPr>
              <w:jc w:val="right"/>
              <w:textAlignment w:val="bottom"/>
            </w:pPr>
            <w:r>
              <w:rPr>
                <w:rFonts w:ascii="Arial" w:eastAsia="宋体" w:hAnsi="Arial" w:cs="Arial"/>
                <w:color w:val="000000"/>
                <w:sz w:val="15"/>
                <w:szCs w:val="15"/>
              </w:rPr>
              <w:t>80 </w:t>
            </w:r>
          </w:p>
        </w:tc>
        <w:tc>
          <w:tcPr>
            <w:tcW w:w="0" w:type="auto"/>
            <w:shd w:val="clear" w:color="auto" w:fill="FFFFFF"/>
            <w:tcMar>
              <w:top w:w="40" w:type="dxa"/>
              <w:left w:w="0" w:type="dxa"/>
              <w:bottom w:w="40" w:type="dxa"/>
              <w:right w:w="20" w:type="dxa"/>
            </w:tcMar>
            <w:vAlign w:val="bottom"/>
          </w:tcPr>
          <w:p w14:paraId="5F2D12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D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E0"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2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E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E3" w14:textId="77777777" w:rsidR="00E836FB" w:rsidRDefault="00994958">
            <w:pPr>
              <w:jc w:val="right"/>
              <w:textAlignment w:val="bottom"/>
            </w:pPr>
            <w:r>
              <w:rPr>
                <w:rFonts w:ascii="Arial" w:eastAsia="宋体" w:hAnsi="Arial" w:cs="Arial"/>
                <w:color w:val="000000"/>
                <w:sz w:val="15"/>
                <w:szCs w:val="15"/>
              </w:rPr>
              <w:t>795 </w:t>
            </w:r>
          </w:p>
        </w:tc>
        <w:tc>
          <w:tcPr>
            <w:tcW w:w="0" w:type="auto"/>
            <w:shd w:val="clear" w:color="auto" w:fill="FFFFFF"/>
            <w:tcMar>
              <w:top w:w="40" w:type="dxa"/>
              <w:left w:w="0" w:type="dxa"/>
              <w:bottom w:w="40" w:type="dxa"/>
              <w:right w:w="20" w:type="dxa"/>
            </w:tcMar>
            <w:vAlign w:val="bottom"/>
          </w:tcPr>
          <w:p w14:paraId="5F2D12E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2E6"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F2D12E7" w14:textId="77777777" w:rsidR="00E836FB" w:rsidRDefault="00E836FB">
            <w:pPr>
              <w:jc w:val="right"/>
              <w:rPr>
                <w:rFonts w:ascii="宋体"/>
              </w:rPr>
            </w:pPr>
          </w:p>
        </w:tc>
      </w:tr>
      <w:tr w:rsidR="00E836FB" w14:paraId="5F2D12FB" w14:textId="77777777">
        <w:tc>
          <w:tcPr>
            <w:tcW w:w="0" w:type="auto"/>
            <w:gridSpan w:val="3"/>
            <w:shd w:val="clear" w:color="auto" w:fill="CCEEFF"/>
            <w:tcMar>
              <w:top w:w="40" w:type="dxa"/>
              <w:left w:w="515" w:type="dxa"/>
              <w:bottom w:w="40" w:type="dxa"/>
              <w:right w:w="20" w:type="dxa"/>
            </w:tcMar>
            <w:vAlign w:val="bottom"/>
          </w:tcPr>
          <w:p w14:paraId="5F2D12E9" w14:textId="77777777" w:rsidR="00E836FB" w:rsidRDefault="00994958">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EA" w14:textId="77777777" w:rsidR="00E836FB" w:rsidRDefault="00994958">
            <w:pPr>
              <w:jc w:val="right"/>
              <w:textAlignment w:val="bottom"/>
            </w:pPr>
            <w:r>
              <w:rPr>
                <w:rFonts w:ascii="Arial" w:eastAsia="宋体" w:hAnsi="Arial" w:cs="Arial"/>
                <w:color w:val="000000"/>
                <w:sz w:val="15"/>
                <w:szCs w:val="15"/>
              </w:rPr>
              <w:t>2,819 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E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ED" w14:textId="77777777" w:rsidR="00E836FB" w:rsidRDefault="00994958">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E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F0" w14:textId="77777777" w:rsidR="00E836FB" w:rsidRDefault="00994958">
            <w:pPr>
              <w:jc w:val="right"/>
              <w:textAlignment w:val="bottom"/>
            </w:pPr>
            <w:r>
              <w:rPr>
                <w:rFonts w:ascii="Arial" w:eastAsia="宋体" w:hAnsi="Arial" w:cs="Arial"/>
                <w:color w:val="000000"/>
                <w:sz w:val="15"/>
                <w:szCs w:val="15"/>
              </w:rPr>
              <w:t>646 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F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F3" w14:textId="77777777" w:rsidR="00E836FB" w:rsidRDefault="00994958">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F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F6" w14:textId="77777777" w:rsidR="00E836FB" w:rsidRDefault="00994958">
            <w:pPr>
              <w:jc w:val="right"/>
              <w:textAlignment w:val="bottom"/>
            </w:pPr>
            <w:r>
              <w:rPr>
                <w:rFonts w:ascii="Arial" w:eastAsia="宋体" w:hAnsi="Arial" w:cs="Arial"/>
                <w:color w:val="000000"/>
                <w:sz w:val="15"/>
                <w:szCs w:val="15"/>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2F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2F9" w14:textId="77777777" w:rsidR="00E836FB" w:rsidRDefault="00994958">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2FA" w14:textId="77777777" w:rsidR="00E836FB" w:rsidRDefault="00E836FB">
            <w:pPr>
              <w:jc w:val="right"/>
              <w:rPr>
                <w:rFonts w:ascii="宋体"/>
              </w:rPr>
            </w:pPr>
          </w:p>
        </w:tc>
      </w:tr>
      <w:tr w:rsidR="00E836FB" w14:paraId="5F2D130E" w14:textId="77777777">
        <w:tc>
          <w:tcPr>
            <w:tcW w:w="0" w:type="auto"/>
            <w:gridSpan w:val="3"/>
            <w:shd w:val="clear" w:color="auto" w:fill="FFFFFF"/>
            <w:tcMar>
              <w:top w:w="40" w:type="dxa"/>
              <w:left w:w="20" w:type="dxa"/>
              <w:bottom w:w="40" w:type="dxa"/>
              <w:right w:w="20" w:type="dxa"/>
            </w:tcMar>
            <w:vAlign w:val="bottom"/>
          </w:tcPr>
          <w:p w14:paraId="5F2D12FC" w14:textId="77777777" w:rsidR="00E836FB" w:rsidRDefault="00994958">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2FD" w14:textId="77777777" w:rsidR="00E836FB" w:rsidRDefault="00994958">
            <w:pPr>
              <w:jc w:val="right"/>
              <w:textAlignment w:val="bottom"/>
            </w:pPr>
            <w:r>
              <w:rPr>
                <w:rFonts w:ascii="Arial" w:eastAsia="宋体" w:hAnsi="Arial" w:cs="Arial"/>
                <w:color w:val="000000"/>
                <w:sz w:val="15"/>
                <w:szCs w:val="15"/>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2F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2F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300" w14:textId="77777777" w:rsidR="00E836FB" w:rsidRDefault="00994958">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30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0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303" w14:textId="77777777" w:rsidR="00E836FB" w:rsidRDefault="00994958">
            <w:pPr>
              <w:jc w:val="right"/>
              <w:textAlignment w:val="bottom"/>
            </w:pPr>
            <w:r>
              <w:rPr>
                <w:rFonts w:ascii="Arial" w:eastAsia="宋体" w:hAnsi="Arial" w:cs="Arial"/>
                <w:color w:val="000000"/>
                <w:sz w:val="15"/>
                <w:szCs w:val="15"/>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30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0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306" w14:textId="77777777" w:rsidR="00E836FB" w:rsidRDefault="00994958">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30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0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309" w14:textId="77777777" w:rsidR="00E836FB" w:rsidRDefault="00994958">
            <w:pPr>
              <w:jc w:val="right"/>
              <w:textAlignment w:val="bottom"/>
            </w:pPr>
            <w:r>
              <w:rPr>
                <w:rFonts w:ascii="Arial" w:eastAsia="宋体" w:hAnsi="Arial" w:cs="Arial"/>
                <w:color w:val="000000"/>
                <w:sz w:val="15"/>
                <w:szCs w:val="15"/>
              </w:rPr>
              <w:t>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30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0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30C" w14:textId="77777777" w:rsidR="00E836FB" w:rsidRDefault="00994958">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30D" w14:textId="77777777" w:rsidR="00E836FB" w:rsidRDefault="00E836FB">
            <w:pPr>
              <w:jc w:val="right"/>
              <w:rPr>
                <w:rFonts w:ascii="宋体"/>
              </w:rPr>
            </w:pPr>
          </w:p>
        </w:tc>
      </w:tr>
      <w:tr w:rsidR="00E836FB" w14:paraId="5F2D131B" w14:textId="77777777">
        <w:trPr>
          <w:hidden/>
        </w:trPr>
        <w:tc>
          <w:tcPr>
            <w:tcW w:w="0" w:type="auto"/>
            <w:gridSpan w:val="3"/>
            <w:shd w:val="clear" w:color="auto" w:fill="auto"/>
            <w:vAlign w:val="bottom"/>
          </w:tcPr>
          <w:p w14:paraId="5F2D130F" w14:textId="77777777" w:rsidR="00E836FB" w:rsidRDefault="00E836FB">
            <w:pPr>
              <w:rPr>
                <w:rFonts w:ascii="宋体"/>
                <w:vanish/>
              </w:rPr>
            </w:pPr>
          </w:p>
        </w:tc>
        <w:tc>
          <w:tcPr>
            <w:tcW w:w="0" w:type="auto"/>
            <w:gridSpan w:val="3"/>
            <w:shd w:val="clear" w:color="auto" w:fill="auto"/>
            <w:vAlign w:val="bottom"/>
          </w:tcPr>
          <w:p w14:paraId="5F2D1310" w14:textId="77777777" w:rsidR="00E836FB" w:rsidRDefault="00E836FB">
            <w:pPr>
              <w:rPr>
                <w:rFonts w:ascii="宋体"/>
                <w:vanish/>
              </w:rPr>
            </w:pPr>
          </w:p>
        </w:tc>
        <w:tc>
          <w:tcPr>
            <w:tcW w:w="0" w:type="auto"/>
            <w:gridSpan w:val="3"/>
            <w:shd w:val="clear" w:color="auto" w:fill="auto"/>
            <w:vAlign w:val="bottom"/>
          </w:tcPr>
          <w:p w14:paraId="5F2D1311" w14:textId="77777777" w:rsidR="00E836FB" w:rsidRDefault="00E836FB">
            <w:pPr>
              <w:rPr>
                <w:rFonts w:ascii="宋体"/>
                <w:vanish/>
              </w:rPr>
            </w:pPr>
          </w:p>
        </w:tc>
        <w:tc>
          <w:tcPr>
            <w:tcW w:w="0" w:type="auto"/>
            <w:gridSpan w:val="3"/>
            <w:shd w:val="clear" w:color="auto" w:fill="auto"/>
            <w:vAlign w:val="bottom"/>
          </w:tcPr>
          <w:p w14:paraId="5F2D1312" w14:textId="77777777" w:rsidR="00E836FB" w:rsidRDefault="00E836FB">
            <w:pPr>
              <w:rPr>
                <w:rFonts w:ascii="宋体"/>
                <w:vanish/>
              </w:rPr>
            </w:pPr>
          </w:p>
        </w:tc>
        <w:tc>
          <w:tcPr>
            <w:tcW w:w="0" w:type="auto"/>
            <w:gridSpan w:val="3"/>
            <w:shd w:val="clear" w:color="auto" w:fill="auto"/>
            <w:vAlign w:val="bottom"/>
          </w:tcPr>
          <w:p w14:paraId="5F2D1313" w14:textId="77777777" w:rsidR="00E836FB" w:rsidRDefault="00E836FB">
            <w:pPr>
              <w:rPr>
                <w:rFonts w:ascii="宋体"/>
                <w:vanish/>
              </w:rPr>
            </w:pPr>
          </w:p>
        </w:tc>
        <w:tc>
          <w:tcPr>
            <w:tcW w:w="0" w:type="auto"/>
            <w:gridSpan w:val="3"/>
            <w:shd w:val="clear" w:color="auto" w:fill="auto"/>
            <w:vAlign w:val="bottom"/>
          </w:tcPr>
          <w:p w14:paraId="5F2D1314" w14:textId="77777777" w:rsidR="00E836FB" w:rsidRDefault="00E836FB">
            <w:pPr>
              <w:rPr>
                <w:rFonts w:ascii="宋体"/>
                <w:vanish/>
              </w:rPr>
            </w:pPr>
          </w:p>
        </w:tc>
        <w:tc>
          <w:tcPr>
            <w:tcW w:w="0" w:type="auto"/>
            <w:gridSpan w:val="3"/>
            <w:shd w:val="clear" w:color="auto" w:fill="auto"/>
            <w:vAlign w:val="bottom"/>
          </w:tcPr>
          <w:p w14:paraId="5F2D1315" w14:textId="77777777" w:rsidR="00E836FB" w:rsidRDefault="00E836FB">
            <w:pPr>
              <w:rPr>
                <w:rFonts w:ascii="宋体"/>
                <w:vanish/>
              </w:rPr>
            </w:pPr>
          </w:p>
        </w:tc>
        <w:tc>
          <w:tcPr>
            <w:tcW w:w="0" w:type="auto"/>
            <w:gridSpan w:val="3"/>
            <w:shd w:val="clear" w:color="auto" w:fill="auto"/>
            <w:vAlign w:val="bottom"/>
          </w:tcPr>
          <w:p w14:paraId="5F2D1316" w14:textId="77777777" w:rsidR="00E836FB" w:rsidRDefault="00E836FB">
            <w:pPr>
              <w:rPr>
                <w:rFonts w:ascii="宋体"/>
                <w:vanish/>
              </w:rPr>
            </w:pPr>
          </w:p>
        </w:tc>
        <w:tc>
          <w:tcPr>
            <w:tcW w:w="0" w:type="auto"/>
            <w:gridSpan w:val="3"/>
            <w:shd w:val="clear" w:color="auto" w:fill="auto"/>
            <w:vAlign w:val="bottom"/>
          </w:tcPr>
          <w:p w14:paraId="5F2D1317" w14:textId="77777777" w:rsidR="00E836FB" w:rsidRDefault="00E836FB">
            <w:pPr>
              <w:rPr>
                <w:rFonts w:ascii="宋体"/>
                <w:vanish/>
              </w:rPr>
            </w:pPr>
          </w:p>
        </w:tc>
        <w:tc>
          <w:tcPr>
            <w:tcW w:w="0" w:type="auto"/>
            <w:gridSpan w:val="3"/>
            <w:shd w:val="clear" w:color="auto" w:fill="auto"/>
            <w:vAlign w:val="bottom"/>
          </w:tcPr>
          <w:p w14:paraId="5F2D1318" w14:textId="77777777" w:rsidR="00E836FB" w:rsidRDefault="00E836FB">
            <w:pPr>
              <w:rPr>
                <w:rFonts w:ascii="宋体"/>
                <w:vanish/>
              </w:rPr>
            </w:pPr>
          </w:p>
        </w:tc>
        <w:tc>
          <w:tcPr>
            <w:tcW w:w="0" w:type="auto"/>
            <w:gridSpan w:val="3"/>
            <w:shd w:val="clear" w:color="auto" w:fill="auto"/>
            <w:vAlign w:val="bottom"/>
          </w:tcPr>
          <w:p w14:paraId="5F2D1319" w14:textId="77777777" w:rsidR="00E836FB" w:rsidRDefault="00E836FB">
            <w:pPr>
              <w:rPr>
                <w:rFonts w:ascii="宋体"/>
                <w:vanish/>
              </w:rPr>
            </w:pPr>
          </w:p>
        </w:tc>
        <w:tc>
          <w:tcPr>
            <w:tcW w:w="0" w:type="auto"/>
            <w:gridSpan w:val="3"/>
            <w:shd w:val="clear" w:color="auto" w:fill="auto"/>
            <w:vAlign w:val="bottom"/>
          </w:tcPr>
          <w:p w14:paraId="5F2D131A" w14:textId="77777777" w:rsidR="00E836FB" w:rsidRDefault="00E836FB">
            <w:pPr>
              <w:rPr>
                <w:rFonts w:ascii="宋体"/>
                <w:vanish/>
              </w:rPr>
            </w:pPr>
          </w:p>
        </w:tc>
      </w:tr>
      <w:tr w:rsidR="00E836FB" w14:paraId="5F2D132E" w14:textId="77777777">
        <w:tc>
          <w:tcPr>
            <w:tcW w:w="0" w:type="auto"/>
            <w:gridSpan w:val="3"/>
            <w:shd w:val="clear" w:color="auto" w:fill="CCEEFF"/>
            <w:tcMar>
              <w:top w:w="40" w:type="dxa"/>
              <w:left w:w="20" w:type="dxa"/>
              <w:bottom w:w="40" w:type="dxa"/>
              <w:right w:w="20" w:type="dxa"/>
            </w:tcMar>
            <w:vAlign w:val="bottom"/>
          </w:tcPr>
          <w:p w14:paraId="5F2D131C" w14:textId="77777777" w:rsidR="00E836FB" w:rsidRDefault="00994958">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5F2D131D" w14:textId="77777777" w:rsidR="00E836FB" w:rsidRDefault="00994958">
            <w:pPr>
              <w:jc w:val="right"/>
              <w:textAlignment w:val="bottom"/>
            </w:pPr>
            <w:r>
              <w:rPr>
                <w:rFonts w:ascii="Arial" w:eastAsia="宋体" w:hAnsi="Arial" w:cs="Arial"/>
                <w:color w:val="000000"/>
                <w:sz w:val="15"/>
                <w:szCs w:val="15"/>
              </w:rPr>
              <w:t>17 </w:t>
            </w:r>
          </w:p>
        </w:tc>
        <w:tc>
          <w:tcPr>
            <w:tcW w:w="0" w:type="auto"/>
            <w:shd w:val="clear" w:color="auto" w:fill="CCEEFF"/>
            <w:tcMar>
              <w:top w:w="40" w:type="dxa"/>
              <w:left w:w="0" w:type="dxa"/>
              <w:bottom w:w="40" w:type="dxa"/>
              <w:right w:w="20" w:type="dxa"/>
            </w:tcMar>
            <w:vAlign w:val="bottom"/>
          </w:tcPr>
          <w:p w14:paraId="5F2D13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31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320"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32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32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323"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3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32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326"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32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32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329" w14:textId="77777777" w:rsidR="00E836FB" w:rsidRDefault="00994958">
            <w:pPr>
              <w:jc w:val="right"/>
              <w:textAlignment w:val="bottom"/>
            </w:pPr>
            <w:r>
              <w:rPr>
                <w:rFonts w:ascii="Arial" w:eastAsia="宋体" w:hAnsi="Arial" w:cs="Arial"/>
                <w:color w:val="000000"/>
                <w:sz w:val="15"/>
                <w:szCs w:val="15"/>
              </w:rPr>
              <w:t>17 </w:t>
            </w:r>
          </w:p>
        </w:tc>
        <w:tc>
          <w:tcPr>
            <w:tcW w:w="0" w:type="auto"/>
            <w:shd w:val="clear" w:color="auto" w:fill="CCEEFF"/>
            <w:tcMar>
              <w:top w:w="40" w:type="dxa"/>
              <w:left w:w="0" w:type="dxa"/>
              <w:bottom w:w="40" w:type="dxa"/>
              <w:right w:w="20" w:type="dxa"/>
            </w:tcMar>
            <w:vAlign w:val="bottom"/>
          </w:tcPr>
          <w:p w14:paraId="5F2D13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3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32C"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32D" w14:textId="77777777" w:rsidR="00E836FB" w:rsidRDefault="00E836FB">
            <w:pPr>
              <w:jc w:val="right"/>
              <w:rPr>
                <w:rFonts w:ascii="宋体"/>
              </w:rPr>
            </w:pPr>
          </w:p>
        </w:tc>
      </w:tr>
      <w:tr w:rsidR="00E836FB" w14:paraId="5F2D133B" w14:textId="77777777">
        <w:trPr>
          <w:hidden/>
        </w:trPr>
        <w:tc>
          <w:tcPr>
            <w:tcW w:w="0" w:type="auto"/>
            <w:gridSpan w:val="3"/>
            <w:shd w:val="clear" w:color="auto" w:fill="auto"/>
            <w:vAlign w:val="bottom"/>
          </w:tcPr>
          <w:p w14:paraId="5F2D132F" w14:textId="77777777" w:rsidR="00E836FB" w:rsidRDefault="00E836FB">
            <w:pPr>
              <w:rPr>
                <w:rFonts w:ascii="宋体"/>
                <w:vanish/>
              </w:rPr>
            </w:pPr>
          </w:p>
        </w:tc>
        <w:tc>
          <w:tcPr>
            <w:tcW w:w="0" w:type="auto"/>
            <w:gridSpan w:val="3"/>
            <w:shd w:val="clear" w:color="auto" w:fill="auto"/>
            <w:vAlign w:val="bottom"/>
          </w:tcPr>
          <w:p w14:paraId="5F2D1330" w14:textId="77777777" w:rsidR="00E836FB" w:rsidRDefault="00E836FB">
            <w:pPr>
              <w:rPr>
                <w:rFonts w:ascii="宋体"/>
                <w:vanish/>
              </w:rPr>
            </w:pPr>
          </w:p>
        </w:tc>
        <w:tc>
          <w:tcPr>
            <w:tcW w:w="0" w:type="auto"/>
            <w:gridSpan w:val="3"/>
            <w:shd w:val="clear" w:color="auto" w:fill="auto"/>
            <w:vAlign w:val="bottom"/>
          </w:tcPr>
          <w:p w14:paraId="5F2D1331" w14:textId="77777777" w:rsidR="00E836FB" w:rsidRDefault="00E836FB">
            <w:pPr>
              <w:rPr>
                <w:rFonts w:ascii="宋体"/>
                <w:vanish/>
              </w:rPr>
            </w:pPr>
          </w:p>
        </w:tc>
        <w:tc>
          <w:tcPr>
            <w:tcW w:w="0" w:type="auto"/>
            <w:gridSpan w:val="3"/>
            <w:shd w:val="clear" w:color="auto" w:fill="auto"/>
            <w:vAlign w:val="bottom"/>
          </w:tcPr>
          <w:p w14:paraId="5F2D1332" w14:textId="77777777" w:rsidR="00E836FB" w:rsidRDefault="00E836FB">
            <w:pPr>
              <w:rPr>
                <w:rFonts w:ascii="宋体"/>
                <w:vanish/>
              </w:rPr>
            </w:pPr>
          </w:p>
        </w:tc>
        <w:tc>
          <w:tcPr>
            <w:tcW w:w="0" w:type="auto"/>
            <w:gridSpan w:val="3"/>
            <w:shd w:val="clear" w:color="auto" w:fill="auto"/>
            <w:vAlign w:val="bottom"/>
          </w:tcPr>
          <w:p w14:paraId="5F2D1333" w14:textId="77777777" w:rsidR="00E836FB" w:rsidRDefault="00E836FB">
            <w:pPr>
              <w:rPr>
                <w:rFonts w:ascii="宋体"/>
                <w:vanish/>
              </w:rPr>
            </w:pPr>
          </w:p>
        </w:tc>
        <w:tc>
          <w:tcPr>
            <w:tcW w:w="0" w:type="auto"/>
            <w:gridSpan w:val="3"/>
            <w:shd w:val="clear" w:color="auto" w:fill="auto"/>
            <w:vAlign w:val="bottom"/>
          </w:tcPr>
          <w:p w14:paraId="5F2D1334" w14:textId="77777777" w:rsidR="00E836FB" w:rsidRDefault="00E836FB">
            <w:pPr>
              <w:rPr>
                <w:rFonts w:ascii="宋体"/>
                <w:vanish/>
              </w:rPr>
            </w:pPr>
          </w:p>
        </w:tc>
        <w:tc>
          <w:tcPr>
            <w:tcW w:w="0" w:type="auto"/>
            <w:gridSpan w:val="3"/>
            <w:shd w:val="clear" w:color="auto" w:fill="auto"/>
            <w:vAlign w:val="bottom"/>
          </w:tcPr>
          <w:p w14:paraId="5F2D1335" w14:textId="77777777" w:rsidR="00E836FB" w:rsidRDefault="00E836FB">
            <w:pPr>
              <w:rPr>
                <w:rFonts w:ascii="宋体"/>
                <w:vanish/>
              </w:rPr>
            </w:pPr>
          </w:p>
        </w:tc>
        <w:tc>
          <w:tcPr>
            <w:tcW w:w="0" w:type="auto"/>
            <w:gridSpan w:val="3"/>
            <w:shd w:val="clear" w:color="auto" w:fill="auto"/>
            <w:vAlign w:val="bottom"/>
          </w:tcPr>
          <w:p w14:paraId="5F2D1336" w14:textId="77777777" w:rsidR="00E836FB" w:rsidRDefault="00E836FB">
            <w:pPr>
              <w:rPr>
                <w:rFonts w:ascii="宋体"/>
                <w:vanish/>
              </w:rPr>
            </w:pPr>
          </w:p>
        </w:tc>
        <w:tc>
          <w:tcPr>
            <w:tcW w:w="0" w:type="auto"/>
            <w:gridSpan w:val="3"/>
            <w:shd w:val="clear" w:color="auto" w:fill="auto"/>
            <w:vAlign w:val="bottom"/>
          </w:tcPr>
          <w:p w14:paraId="5F2D1337" w14:textId="77777777" w:rsidR="00E836FB" w:rsidRDefault="00E836FB">
            <w:pPr>
              <w:rPr>
                <w:rFonts w:ascii="宋体"/>
                <w:vanish/>
              </w:rPr>
            </w:pPr>
          </w:p>
        </w:tc>
        <w:tc>
          <w:tcPr>
            <w:tcW w:w="0" w:type="auto"/>
            <w:gridSpan w:val="3"/>
            <w:shd w:val="clear" w:color="auto" w:fill="auto"/>
            <w:vAlign w:val="bottom"/>
          </w:tcPr>
          <w:p w14:paraId="5F2D1338" w14:textId="77777777" w:rsidR="00E836FB" w:rsidRDefault="00E836FB">
            <w:pPr>
              <w:rPr>
                <w:rFonts w:ascii="宋体"/>
                <w:vanish/>
              </w:rPr>
            </w:pPr>
          </w:p>
        </w:tc>
        <w:tc>
          <w:tcPr>
            <w:tcW w:w="0" w:type="auto"/>
            <w:gridSpan w:val="3"/>
            <w:shd w:val="clear" w:color="auto" w:fill="auto"/>
            <w:vAlign w:val="bottom"/>
          </w:tcPr>
          <w:p w14:paraId="5F2D1339" w14:textId="77777777" w:rsidR="00E836FB" w:rsidRDefault="00E836FB">
            <w:pPr>
              <w:rPr>
                <w:rFonts w:ascii="宋体"/>
                <w:vanish/>
              </w:rPr>
            </w:pPr>
          </w:p>
        </w:tc>
        <w:tc>
          <w:tcPr>
            <w:tcW w:w="0" w:type="auto"/>
            <w:gridSpan w:val="3"/>
            <w:shd w:val="clear" w:color="auto" w:fill="auto"/>
            <w:vAlign w:val="bottom"/>
          </w:tcPr>
          <w:p w14:paraId="5F2D133A" w14:textId="77777777" w:rsidR="00E836FB" w:rsidRDefault="00E836FB">
            <w:pPr>
              <w:rPr>
                <w:rFonts w:ascii="宋体"/>
                <w:vanish/>
              </w:rPr>
            </w:pPr>
          </w:p>
        </w:tc>
      </w:tr>
      <w:tr w:rsidR="00E836FB" w14:paraId="5F2D1354" w14:textId="77777777">
        <w:tc>
          <w:tcPr>
            <w:tcW w:w="0" w:type="auto"/>
            <w:gridSpan w:val="3"/>
            <w:shd w:val="clear" w:color="auto" w:fill="FFFFFF"/>
            <w:tcMar>
              <w:top w:w="40" w:type="dxa"/>
              <w:left w:w="20" w:type="dxa"/>
              <w:bottom w:w="40" w:type="dxa"/>
              <w:right w:w="20" w:type="dxa"/>
            </w:tcMar>
            <w:vAlign w:val="bottom"/>
          </w:tcPr>
          <w:p w14:paraId="5F2D133C"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33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33E" w14:textId="77777777" w:rsidR="00E836FB" w:rsidRDefault="00994958">
            <w:pPr>
              <w:jc w:val="right"/>
              <w:textAlignment w:val="bottom"/>
            </w:pPr>
            <w:r>
              <w:rPr>
                <w:rFonts w:ascii="Arial" w:eastAsia="宋体" w:hAnsi="Arial" w:cs="Arial"/>
                <w:color w:val="000000"/>
                <w:sz w:val="15"/>
                <w:szCs w:val="15"/>
              </w:rPr>
              <w:t>7,490 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33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40"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34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342" w14:textId="77777777" w:rsidR="00E836FB" w:rsidRDefault="00994958">
            <w:pPr>
              <w:jc w:val="right"/>
              <w:textAlignment w:val="bottom"/>
            </w:pPr>
            <w:r>
              <w:rPr>
                <w:rFonts w:ascii="Arial" w:eastAsia="宋体" w:hAnsi="Arial" w:cs="Arial"/>
                <w:color w:val="000000"/>
                <w:sz w:val="15"/>
                <w:szCs w:val="15"/>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34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4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34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346" w14:textId="77777777" w:rsidR="00E836FB" w:rsidRDefault="00994958">
            <w:pPr>
              <w:jc w:val="right"/>
              <w:textAlignment w:val="bottom"/>
            </w:pPr>
            <w:r>
              <w:rPr>
                <w:rFonts w:ascii="Arial" w:eastAsia="宋体" w:hAnsi="Arial" w:cs="Arial"/>
                <w:color w:val="000000"/>
                <w:sz w:val="15"/>
                <w:szCs w:val="15"/>
              </w:rPr>
              <w:t>1,351 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34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4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349"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34A" w14:textId="77777777" w:rsidR="00E836FB" w:rsidRDefault="00994958">
            <w:pPr>
              <w:jc w:val="right"/>
              <w:textAlignment w:val="bottom"/>
            </w:pPr>
            <w:r>
              <w:rPr>
                <w:rFonts w:ascii="Arial" w:eastAsia="宋体" w:hAnsi="Arial" w:cs="Arial"/>
                <w:color w:val="000000"/>
                <w:sz w:val="15"/>
                <w:szCs w:val="15"/>
              </w:rPr>
              <w:t>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3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4C"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34D"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34E" w14:textId="77777777" w:rsidR="00E836FB" w:rsidRDefault="00994958">
            <w:pPr>
              <w:jc w:val="right"/>
              <w:textAlignment w:val="bottom"/>
            </w:pPr>
            <w:r>
              <w:rPr>
                <w:rFonts w:ascii="Arial" w:eastAsia="宋体" w:hAnsi="Arial" w:cs="Arial"/>
                <w:color w:val="000000"/>
                <w:sz w:val="15"/>
                <w:szCs w:val="15"/>
              </w:rPr>
              <w:t>8,841 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34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350"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351"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352" w14:textId="77777777" w:rsidR="00E836FB" w:rsidRDefault="00994958">
            <w:pPr>
              <w:jc w:val="right"/>
              <w:textAlignment w:val="bottom"/>
            </w:pPr>
            <w:r>
              <w:rPr>
                <w:rFonts w:ascii="Arial" w:eastAsia="宋体" w:hAnsi="Arial" w:cs="Arial"/>
                <w:color w:val="000000"/>
                <w:sz w:val="15"/>
                <w:szCs w:val="15"/>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353" w14:textId="77777777" w:rsidR="00E836FB" w:rsidRDefault="00E836FB">
            <w:pPr>
              <w:jc w:val="right"/>
              <w:rPr>
                <w:rFonts w:ascii="宋体"/>
              </w:rPr>
            </w:pPr>
          </w:p>
        </w:tc>
      </w:tr>
      <w:tr w:rsidR="00E836FB" w14:paraId="5F2D1361" w14:textId="77777777">
        <w:trPr>
          <w:hidden/>
        </w:trPr>
        <w:tc>
          <w:tcPr>
            <w:tcW w:w="0" w:type="auto"/>
            <w:gridSpan w:val="3"/>
            <w:shd w:val="clear" w:color="auto" w:fill="auto"/>
            <w:vAlign w:val="bottom"/>
          </w:tcPr>
          <w:p w14:paraId="5F2D1355" w14:textId="77777777" w:rsidR="00E836FB" w:rsidRDefault="00E836FB">
            <w:pPr>
              <w:rPr>
                <w:rFonts w:ascii="宋体"/>
                <w:vanish/>
              </w:rPr>
            </w:pPr>
          </w:p>
        </w:tc>
        <w:tc>
          <w:tcPr>
            <w:tcW w:w="0" w:type="auto"/>
            <w:gridSpan w:val="3"/>
            <w:shd w:val="clear" w:color="auto" w:fill="auto"/>
            <w:vAlign w:val="bottom"/>
          </w:tcPr>
          <w:p w14:paraId="5F2D1356" w14:textId="77777777" w:rsidR="00E836FB" w:rsidRDefault="00E836FB">
            <w:pPr>
              <w:rPr>
                <w:rFonts w:ascii="宋体"/>
                <w:vanish/>
              </w:rPr>
            </w:pPr>
          </w:p>
        </w:tc>
        <w:tc>
          <w:tcPr>
            <w:tcW w:w="0" w:type="auto"/>
            <w:gridSpan w:val="3"/>
            <w:shd w:val="clear" w:color="auto" w:fill="auto"/>
            <w:vAlign w:val="bottom"/>
          </w:tcPr>
          <w:p w14:paraId="5F2D1357" w14:textId="77777777" w:rsidR="00E836FB" w:rsidRDefault="00E836FB">
            <w:pPr>
              <w:rPr>
                <w:rFonts w:ascii="宋体"/>
                <w:vanish/>
              </w:rPr>
            </w:pPr>
          </w:p>
        </w:tc>
        <w:tc>
          <w:tcPr>
            <w:tcW w:w="0" w:type="auto"/>
            <w:gridSpan w:val="3"/>
            <w:shd w:val="clear" w:color="auto" w:fill="auto"/>
            <w:vAlign w:val="bottom"/>
          </w:tcPr>
          <w:p w14:paraId="5F2D1358" w14:textId="77777777" w:rsidR="00E836FB" w:rsidRDefault="00E836FB">
            <w:pPr>
              <w:rPr>
                <w:rFonts w:ascii="宋体"/>
                <w:vanish/>
              </w:rPr>
            </w:pPr>
          </w:p>
        </w:tc>
        <w:tc>
          <w:tcPr>
            <w:tcW w:w="0" w:type="auto"/>
            <w:gridSpan w:val="3"/>
            <w:shd w:val="clear" w:color="auto" w:fill="auto"/>
            <w:vAlign w:val="bottom"/>
          </w:tcPr>
          <w:p w14:paraId="5F2D1359" w14:textId="77777777" w:rsidR="00E836FB" w:rsidRDefault="00E836FB">
            <w:pPr>
              <w:rPr>
                <w:rFonts w:ascii="宋体"/>
                <w:vanish/>
              </w:rPr>
            </w:pPr>
          </w:p>
        </w:tc>
        <w:tc>
          <w:tcPr>
            <w:tcW w:w="0" w:type="auto"/>
            <w:gridSpan w:val="3"/>
            <w:shd w:val="clear" w:color="auto" w:fill="auto"/>
            <w:vAlign w:val="bottom"/>
          </w:tcPr>
          <w:p w14:paraId="5F2D135A" w14:textId="77777777" w:rsidR="00E836FB" w:rsidRDefault="00E836FB">
            <w:pPr>
              <w:rPr>
                <w:rFonts w:ascii="宋体"/>
                <w:vanish/>
              </w:rPr>
            </w:pPr>
          </w:p>
        </w:tc>
        <w:tc>
          <w:tcPr>
            <w:tcW w:w="0" w:type="auto"/>
            <w:gridSpan w:val="3"/>
            <w:shd w:val="clear" w:color="auto" w:fill="auto"/>
            <w:vAlign w:val="bottom"/>
          </w:tcPr>
          <w:p w14:paraId="5F2D135B" w14:textId="77777777" w:rsidR="00E836FB" w:rsidRDefault="00E836FB">
            <w:pPr>
              <w:rPr>
                <w:rFonts w:ascii="宋体"/>
                <w:vanish/>
              </w:rPr>
            </w:pPr>
          </w:p>
        </w:tc>
        <w:tc>
          <w:tcPr>
            <w:tcW w:w="0" w:type="auto"/>
            <w:gridSpan w:val="3"/>
            <w:shd w:val="clear" w:color="auto" w:fill="auto"/>
            <w:vAlign w:val="bottom"/>
          </w:tcPr>
          <w:p w14:paraId="5F2D135C" w14:textId="77777777" w:rsidR="00E836FB" w:rsidRDefault="00E836FB">
            <w:pPr>
              <w:rPr>
                <w:rFonts w:ascii="宋体"/>
                <w:vanish/>
              </w:rPr>
            </w:pPr>
          </w:p>
        </w:tc>
        <w:tc>
          <w:tcPr>
            <w:tcW w:w="0" w:type="auto"/>
            <w:gridSpan w:val="3"/>
            <w:shd w:val="clear" w:color="auto" w:fill="auto"/>
            <w:vAlign w:val="bottom"/>
          </w:tcPr>
          <w:p w14:paraId="5F2D135D" w14:textId="77777777" w:rsidR="00E836FB" w:rsidRDefault="00E836FB">
            <w:pPr>
              <w:rPr>
                <w:rFonts w:ascii="宋体"/>
                <w:vanish/>
              </w:rPr>
            </w:pPr>
          </w:p>
        </w:tc>
        <w:tc>
          <w:tcPr>
            <w:tcW w:w="0" w:type="auto"/>
            <w:gridSpan w:val="3"/>
            <w:shd w:val="clear" w:color="auto" w:fill="auto"/>
            <w:vAlign w:val="bottom"/>
          </w:tcPr>
          <w:p w14:paraId="5F2D135E" w14:textId="77777777" w:rsidR="00E836FB" w:rsidRDefault="00E836FB">
            <w:pPr>
              <w:rPr>
                <w:rFonts w:ascii="宋体"/>
                <w:vanish/>
              </w:rPr>
            </w:pPr>
          </w:p>
        </w:tc>
        <w:tc>
          <w:tcPr>
            <w:tcW w:w="0" w:type="auto"/>
            <w:gridSpan w:val="3"/>
            <w:shd w:val="clear" w:color="auto" w:fill="auto"/>
            <w:vAlign w:val="bottom"/>
          </w:tcPr>
          <w:p w14:paraId="5F2D135F" w14:textId="77777777" w:rsidR="00E836FB" w:rsidRDefault="00E836FB">
            <w:pPr>
              <w:rPr>
                <w:rFonts w:ascii="宋体"/>
                <w:vanish/>
              </w:rPr>
            </w:pPr>
          </w:p>
        </w:tc>
        <w:tc>
          <w:tcPr>
            <w:tcW w:w="0" w:type="auto"/>
            <w:gridSpan w:val="3"/>
            <w:shd w:val="clear" w:color="auto" w:fill="auto"/>
            <w:vAlign w:val="bottom"/>
          </w:tcPr>
          <w:p w14:paraId="5F2D1360" w14:textId="77777777" w:rsidR="00E836FB" w:rsidRDefault="00E836FB">
            <w:pPr>
              <w:rPr>
                <w:rFonts w:ascii="宋体"/>
                <w:vanish/>
              </w:rPr>
            </w:pPr>
          </w:p>
        </w:tc>
      </w:tr>
      <w:tr w:rsidR="00E836FB" w14:paraId="5F2D136E" w14:textId="77777777">
        <w:trPr>
          <w:hidden/>
        </w:trPr>
        <w:tc>
          <w:tcPr>
            <w:tcW w:w="0" w:type="auto"/>
            <w:gridSpan w:val="3"/>
            <w:shd w:val="clear" w:color="auto" w:fill="auto"/>
            <w:vAlign w:val="bottom"/>
          </w:tcPr>
          <w:p w14:paraId="5F2D1362" w14:textId="77777777" w:rsidR="00E836FB" w:rsidRDefault="00E836FB">
            <w:pPr>
              <w:rPr>
                <w:rFonts w:ascii="宋体"/>
                <w:vanish/>
              </w:rPr>
            </w:pPr>
          </w:p>
        </w:tc>
        <w:tc>
          <w:tcPr>
            <w:tcW w:w="0" w:type="auto"/>
            <w:gridSpan w:val="3"/>
            <w:shd w:val="clear" w:color="auto" w:fill="auto"/>
            <w:vAlign w:val="bottom"/>
          </w:tcPr>
          <w:p w14:paraId="5F2D1363" w14:textId="77777777" w:rsidR="00E836FB" w:rsidRDefault="00E836FB">
            <w:pPr>
              <w:rPr>
                <w:rFonts w:ascii="宋体"/>
                <w:vanish/>
              </w:rPr>
            </w:pPr>
          </w:p>
        </w:tc>
        <w:tc>
          <w:tcPr>
            <w:tcW w:w="0" w:type="auto"/>
            <w:gridSpan w:val="3"/>
            <w:shd w:val="clear" w:color="auto" w:fill="auto"/>
            <w:vAlign w:val="bottom"/>
          </w:tcPr>
          <w:p w14:paraId="5F2D1364" w14:textId="77777777" w:rsidR="00E836FB" w:rsidRDefault="00E836FB">
            <w:pPr>
              <w:rPr>
                <w:rFonts w:ascii="宋体"/>
                <w:vanish/>
              </w:rPr>
            </w:pPr>
          </w:p>
        </w:tc>
        <w:tc>
          <w:tcPr>
            <w:tcW w:w="0" w:type="auto"/>
            <w:gridSpan w:val="3"/>
            <w:shd w:val="clear" w:color="auto" w:fill="auto"/>
            <w:vAlign w:val="bottom"/>
          </w:tcPr>
          <w:p w14:paraId="5F2D1365" w14:textId="77777777" w:rsidR="00E836FB" w:rsidRDefault="00E836FB">
            <w:pPr>
              <w:rPr>
                <w:rFonts w:ascii="宋体"/>
                <w:vanish/>
              </w:rPr>
            </w:pPr>
          </w:p>
        </w:tc>
        <w:tc>
          <w:tcPr>
            <w:tcW w:w="0" w:type="auto"/>
            <w:gridSpan w:val="3"/>
            <w:shd w:val="clear" w:color="auto" w:fill="auto"/>
            <w:vAlign w:val="bottom"/>
          </w:tcPr>
          <w:p w14:paraId="5F2D1366" w14:textId="77777777" w:rsidR="00E836FB" w:rsidRDefault="00E836FB">
            <w:pPr>
              <w:rPr>
                <w:rFonts w:ascii="宋体"/>
                <w:vanish/>
              </w:rPr>
            </w:pPr>
          </w:p>
        </w:tc>
        <w:tc>
          <w:tcPr>
            <w:tcW w:w="0" w:type="auto"/>
            <w:gridSpan w:val="3"/>
            <w:shd w:val="clear" w:color="auto" w:fill="auto"/>
            <w:vAlign w:val="bottom"/>
          </w:tcPr>
          <w:p w14:paraId="5F2D1367" w14:textId="77777777" w:rsidR="00E836FB" w:rsidRDefault="00E836FB">
            <w:pPr>
              <w:rPr>
                <w:rFonts w:ascii="宋体"/>
                <w:vanish/>
              </w:rPr>
            </w:pPr>
          </w:p>
        </w:tc>
        <w:tc>
          <w:tcPr>
            <w:tcW w:w="0" w:type="auto"/>
            <w:gridSpan w:val="3"/>
            <w:shd w:val="clear" w:color="auto" w:fill="auto"/>
            <w:vAlign w:val="bottom"/>
          </w:tcPr>
          <w:p w14:paraId="5F2D1368" w14:textId="77777777" w:rsidR="00E836FB" w:rsidRDefault="00E836FB">
            <w:pPr>
              <w:rPr>
                <w:rFonts w:ascii="宋体"/>
                <w:vanish/>
              </w:rPr>
            </w:pPr>
          </w:p>
        </w:tc>
        <w:tc>
          <w:tcPr>
            <w:tcW w:w="0" w:type="auto"/>
            <w:gridSpan w:val="3"/>
            <w:shd w:val="clear" w:color="auto" w:fill="auto"/>
            <w:vAlign w:val="bottom"/>
          </w:tcPr>
          <w:p w14:paraId="5F2D1369" w14:textId="77777777" w:rsidR="00E836FB" w:rsidRDefault="00E836FB">
            <w:pPr>
              <w:rPr>
                <w:rFonts w:ascii="宋体"/>
                <w:vanish/>
              </w:rPr>
            </w:pPr>
          </w:p>
        </w:tc>
        <w:tc>
          <w:tcPr>
            <w:tcW w:w="0" w:type="auto"/>
            <w:gridSpan w:val="3"/>
            <w:shd w:val="clear" w:color="auto" w:fill="auto"/>
            <w:vAlign w:val="bottom"/>
          </w:tcPr>
          <w:p w14:paraId="5F2D136A" w14:textId="77777777" w:rsidR="00E836FB" w:rsidRDefault="00E836FB">
            <w:pPr>
              <w:rPr>
                <w:rFonts w:ascii="宋体"/>
                <w:vanish/>
              </w:rPr>
            </w:pPr>
          </w:p>
        </w:tc>
        <w:tc>
          <w:tcPr>
            <w:tcW w:w="0" w:type="auto"/>
            <w:gridSpan w:val="3"/>
            <w:shd w:val="clear" w:color="auto" w:fill="auto"/>
            <w:vAlign w:val="bottom"/>
          </w:tcPr>
          <w:p w14:paraId="5F2D136B" w14:textId="77777777" w:rsidR="00E836FB" w:rsidRDefault="00E836FB">
            <w:pPr>
              <w:rPr>
                <w:rFonts w:ascii="宋体"/>
                <w:vanish/>
              </w:rPr>
            </w:pPr>
          </w:p>
        </w:tc>
        <w:tc>
          <w:tcPr>
            <w:tcW w:w="0" w:type="auto"/>
            <w:gridSpan w:val="3"/>
            <w:shd w:val="clear" w:color="auto" w:fill="auto"/>
            <w:vAlign w:val="bottom"/>
          </w:tcPr>
          <w:p w14:paraId="5F2D136C" w14:textId="77777777" w:rsidR="00E836FB" w:rsidRDefault="00E836FB">
            <w:pPr>
              <w:rPr>
                <w:rFonts w:ascii="宋体"/>
                <w:vanish/>
              </w:rPr>
            </w:pPr>
          </w:p>
        </w:tc>
        <w:tc>
          <w:tcPr>
            <w:tcW w:w="0" w:type="auto"/>
            <w:gridSpan w:val="3"/>
            <w:shd w:val="clear" w:color="auto" w:fill="auto"/>
            <w:vAlign w:val="bottom"/>
          </w:tcPr>
          <w:p w14:paraId="5F2D136D" w14:textId="77777777" w:rsidR="00E836FB" w:rsidRDefault="00E836FB">
            <w:pPr>
              <w:rPr>
                <w:rFonts w:ascii="宋体"/>
                <w:vanish/>
              </w:rPr>
            </w:pPr>
          </w:p>
        </w:tc>
      </w:tr>
      <w:tr w:rsidR="00E836FB" w14:paraId="5F2D137B" w14:textId="77777777">
        <w:trPr>
          <w:hidden/>
        </w:trPr>
        <w:tc>
          <w:tcPr>
            <w:tcW w:w="0" w:type="auto"/>
            <w:gridSpan w:val="3"/>
            <w:shd w:val="clear" w:color="auto" w:fill="auto"/>
            <w:vAlign w:val="bottom"/>
          </w:tcPr>
          <w:p w14:paraId="5F2D136F" w14:textId="77777777" w:rsidR="00E836FB" w:rsidRDefault="00E836FB">
            <w:pPr>
              <w:rPr>
                <w:rFonts w:ascii="宋体"/>
                <w:vanish/>
              </w:rPr>
            </w:pPr>
          </w:p>
        </w:tc>
        <w:tc>
          <w:tcPr>
            <w:tcW w:w="0" w:type="auto"/>
            <w:gridSpan w:val="3"/>
            <w:shd w:val="clear" w:color="auto" w:fill="auto"/>
            <w:vAlign w:val="bottom"/>
          </w:tcPr>
          <w:p w14:paraId="5F2D1370" w14:textId="77777777" w:rsidR="00E836FB" w:rsidRDefault="00E836FB">
            <w:pPr>
              <w:rPr>
                <w:rFonts w:ascii="宋体"/>
                <w:vanish/>
              </w:rPr>
            </w:pPr>
          </w:p>
        </w:tc>
        <w:tc>
          <w:tcPr>
            <w:tcW w:w="0" w:type="auto"/>
            <w:gridSpan w:val="3"/>
            <w:shd w:val="clear" w:color="auto" w:fill="auto"/>
            <w:vAlign w:val="bottom"/>
          </w:tcPr>
          <w:p w14:paraId="5F2D1371" w14:textId="77777777" w:rsidR="00E836FB" w:rsidRDefault="00E836FB">
            <w:pPr>
              <w:rPr>
                <w:rFonts w:ascii="宋体"/>
                <w:vanish/>
              </w:rPr>
            </w:pPr>
          </w:p>
        </w:tc>
        <w:tc>
          <w:tcPr>
            <w:tcW w:w="0" w:type="auto"/>
            <w:gridSpan w:val="3"/>
            <w:shd w:val="clear" w:color="auto" w:fill="auto"/>
            <w:vAlign w:val="bottom"/>
          </w:tcPr>
          <w:p w14:paraId="5F2D1372" w14:textId="77777777" w:rsidR="00E836FB" w:rsidRDefault="00E836FB">
            <w:pPr>
              <w:rPr>
                <w:rFonts w:ascii="宋体"/>
                <w:vanish/>
              </w:rPr>
            </w:pPr>
          </w:p>
        </w:tc>
        <w:tc>
          <w:tcPr>
            <w:tcW w:w="0" w:type="auto"/>
            <w:gridSpan w:val="3"/>
            <w:shd w:val="clear" w:color="auto" w:fill="auto"/>
            <w:vAlign w:val="bottom"/>
          </w:tcPr>
          <w:p w14:paraId="5F2D1373" w14:textId="77777777" w:rsidR="00E836FB" w:rsidRDefault="00E836FB">
            <w:pPr>
              <w:rPr>
                <w:rFonts w:ascii="宋体"/>
                <w:vanish/>
              </w:rPr>
            </w:pPr>
          </w:p>
        </w:tc>
        <w:tc>
          <w:tcPr>
            <w:tcW w:w="0" w:type="auto"/>
            <w:gridSpan w:val="3"/>
            <w:shd w:val="clear" w:color="auto" w:fill="auto"/>
            <w:vAlign w:val="bottom"/>
          </w:tcPr>
          <w:p w14:paraId="5F2D1374" w14:textId="77777777" w:rsidR="00E836FB" w:rsidRDefault="00E836FB">
            <w:pPr>
              <w:rPr>
                <w:rFonts w:ascii="宋体"/>
                <w:vanish/>
              </w:rPr>
            </w:pPr>
          </w:p>
        </w:tc>
        <w:tc>
          <w:tcPr>
            <w:tcW w:w="0" w:type="auto"/>
            <w:gridSpan w:val="3"/>
            <w:shd w:val="clear" w:color="auto" w:fill="auto"/>
            <w:vAlign w:val="bottom"/>
          </w:tcPr>
          <w:p w14:paraId="5F2D1375" w14:textId="77777777" w:rsidR="00E836FB" w:rsidRDefault="00E836FB">
            <w:pPr>
              <w:rPr>
                <w:rFonts w:ascii="宋体"/>
                <w:vanish/>
              </w:rPr>
            </w:pPr>
          </w:p>
        </w:tc>
        <w:tc>
          <w:tcPr>
            <w:tcW w:w="0" w:type="auto"/>
            <w:gridSpan w:val="3"/>
            <w:shd w:val="clear" w:color="auto" w:fill="auto"/>
            <w:vAlign w:val="bottom"/>
          </w:tcPr>
          <w:p w14:paraId="5F2D1376" w14:textId="77777777" w:rsidR="00E836FB" w:rsidRDefault="00E836FB">
            <w:pPr>
              <w:rPr>
                <w:rFonts w:ascii="宋体"/>
                <w:vanish/>
              </w:rPr>
            </w:pPr>
          </w:p>
        </w:tc>
        <w:tc>
          <w:tcPr>
            <w:tcW w:w="0" w:type="auto"/>
            <w:gridSpan w:val="3"/>
            <w:shd w:val="clear" w:color="auto" w:fill="auto"/>
            <w:vAlign w:val="bottom"/>
          </w:tcPr>
          <w:p w14:paraId="5F2D1377" w14:textId="77777777" w:rsidR="00E836FB" w:rsidRDefault="00E836FB">
            <w:pPr>
              <w:rPr>
                <w:rFonts w:ascii="宋体"/>
                <w:vanish/>
              </w:rPr>
            </w:pPr>
          </w:p>
        </w:tc>
        <w:tc>
          <w:tcPr>
            <w:tcW w:w="0" w:type="auto"/>
            <w:gridSpan w:val="3"/>
            <w:shd w:val="clear" w:color="auto" w:fill="auto"/>
            <w:vAlign w:val="bottom"/>
          </w:tcPr>
          <w:p w14:paraId="5F2D1378" w14:textId="77777777" w:rsidR="00E836FB" w:rsidRDefault="00E836FB">
            <w:pPr>
              <w:rPr>
                <w:rFonts w:ascii="宋体"/>
                <w:vanish/>
              </w:rPr>
            </w:pPr>
          </w:p>
        </w:tc>
        <w:tc>
          <w:tcPr>
            <w:tcW w:w="0" w:type="auto"/>
            <w:gridSpan w:val="3"/>
            <w:shd w:val="clear" w:color="auto" w:fill="auto"/>
            <w:vAlign w:val="bottom"/>
          </w:tcPr>
          <w:p w14:paraId="5F2D1379" w14:textId="77777777" w:rsidR="00E836FB" w:rsidRDefault="00E836FB">
            <w:pPr>
              <w:rPr>
                <w:rFonts w:ascii="宋体"/>
                <w:vanish/>
              </w:rPr>
            </w:pPr>
          </w:p>
        </w:tc>
        <w:tc>
          <w:tcPr>
            <w:tcW w:w="0" w:type="auto"/>
            <w:gridSpan w:val="3"/>
            <w:shd w:val="clear" w:color="auto" w:fill="auto"/>
            <w:vAlign w:val="bottom"/>
          </w:tcPr>
          <w:p w14:paraId="5F2D137A" w14:textId="77777777" w:rsidR="00E836FB" w:rsidRDefault="00E836FB">
            <w:pPr>
              <w:rPr>
                <w:rFonts w:ascii="宋体"/>
                <w:vanish/>
              </w:rPr>
            </w:pPr>
          </w:p>
        </w:tc>
      </w:tr>
      <w:tr w:rsidR="00E836FB" w14:paraId="5F2D1388" w14:textId="77777777">
        <w:trPr>
          <w:hidden/>
        </w:trPr>
        <w:tc>
          <w:tcPr>
            <w:tcW w:w="0" w:type="auto"/>
            <w:gridSpan w:val="3"/>
            <w:shd w:val="clear" w:color="auto" w:fill="auto"/>
            <w:vAlign w:val="bottom"/>
          </w:tcPr>
          <w:p w14:paraId="5F2D137C" w14:textId="77777777" w:rsidR="00E836FB" w:rsidRDefault="00E836FB">
            <w:pPr>
              <w:rPr>
                <w:rFonts w:ascii="宋体"/>
                <w:vanish/>
              </w:rPr>
            </w:pPr>
          </w:p>
        </w:tc>
        <w:tc>
          <w:tcPr>
            <w:tcW w:w="0" w:type="auto"/>
            <w:gridSpan w:val="3"/>
            <w:shd w:val="clear" w:color="auto" w:fill="auto"/>
            <w:vAlign w:val="bottom"/>
          </w:tcPr>
          <w:p w14:paraId="5F2D137D" w14:textId="77777777" w:rsidR="00E836FB" w:rsidRDefault="00E836FB">
            <w:pPr>
              <w:rPr>
                <w:rFonts w:ascii="宋体"/>
                <w:vanish/>
              </w:rPr>
            </w:pPr>
          </w:p>
        </w:tc>
        <w:tc>
          <w:tcPr>
            <w:tcW w:w="0" w:type="auto"/>
            <w:gridSpan w:val="3"/>
            <w:shd w:val="clear" w:color="auto" w:fill="auto"/>
            <w:vAlign w:val="bottom"/>
          </w:tcPr>
          <w:p w14:paraId="5F2D137E" w14:textId="77777777" w:rsidR="00E836FB" w:rsidRDefault="00E836FB">
            <w:pPr>
              <w:rPr>
                <w:rFonts w:ascii="宋体"/>
                <w:vanish/>
              </w:rPr>
            </w:pPr>
          </w:p>
        </w:tc>
        <w:tc>
          <w:tcPr>
            <w:tcW w:w="0" w:type="auto"/>
            <w:gridSpan w:val="3"/>
            <w:shd w:val="clear" w:color="auto" w:fill="auto"/>
            <w:vAlign w:val="bottom"/>
          </w:tcPr>
          <w:p w14:paraId="5F2D137F" w14:textId="77777777" w:rsidR="00E836FB" w:rsidRDefault="00E836FB">
            <w:pPr>
              <w:rPr>
                <w:rFonts w:ascii="宋体"/>
                <w:vanish/>
              </w:rPr>
            </w:pPr>
          </w:p>
        </w:tc>
        <w:tc>
          <w:tcPr>
            <w:tcW w:w="0" w:type="auto"/>
            <w:gridSpan w:val="3"/>
            <w:shd w:val="clear" w:color="auto" w:fill="auto"/>
            <w:vAlign w:val="bottom"/>
          </w:tcPr>
          <w:p w14:paraId="5F2D1380" w14:textId="77777777" w:rsidR="00E836FB" w:rsidRDefault="00E836FB">
            <w:pPr>
              <w:rPr>
                <w:rFonts w:ascii="宋体"/>
                <w:vanish/>
              </w:rPr>
            </w:pPr>
          </w:p>
        </w:tc>
        <w:tc>
          <w:tcPr>
            <w:tcW w:w="0" w:type="auto"/>
            <w:gridSpan w:val="3"/>
            <w:shd w:val="clear" w:color="auto" w:fill="auto"/>
            <w:vAlign w:val="bottom"/>
          </w:tcPr>
          <w:p w14:paraId="5F2D1381" w14:textId="77777777" w:rsidR="00E836FB" w:rsidRDefault="00E836FB">
            <w:pPr>
              <w:rPr>
                <w:rFonts w:ascii="宋体"/>
                <w:vanish/>
              </w:rPr>
            </w:pPr>
          </w:p>
        </w:tc>
        <w:tc>
          <w:tcPr>
            <w:tcW w:w="0" w:type="auto"/>
            <w:gridSpan w:val="3"/>
            <w:shd w:val="clear" w:color="auto" w:fill="auto"/>
            <w:vAlign w:val="bottom"/>
          </w:tcPr>
          <w:p w14:paraId="5F2D1382" w14:textId="77777777" w:rsidR="00E836FB" w:rsidRDefault="00E836FB">
            <w:pPr>
              <w:rPr>
                <w:rFonts w:ascii="宋体"/>
                <w:vanish/>
              </w:rPr>
            </w:pPr>
          </w:p>
        </w:tc>
        <w:tc>
          <w:tcPr>
            <w:tcW w:w="0" w:type="auto"/>
            <w:gridSpan w:val="3"/>
            <w:shd w:val="clear" w:color="auto" w:fill="auto"/>
            <w:vAlign w:val="bottom"/>
          </w:tcPr>
          <w:p w14:paraId="5F2D1383" w14:textId="77777777" w:rsidR="00E836FB" w:rsidRDefault="00E836FB">
            <w:pPr>
              <w:rPr>
                <w:rFonts w:ascii="宋体"/>
                <w:vanish/>
              </w:rPr>
            </w:pPr>
          </w:p>
        </w:tc>
        <w:tc>
          <w:tcPr>
            <w:tcW w:w="0" w:type="auto"/>
            <w:gridSpan w:val="3"/>
            <w:shd w:val="clear" w:color="auto" w:fill="auto"/>
            <w:vAlign w:val="bottom"/>
          </w:tcPr>
          <w:p w14:paraId="5F2D1384" w14:textId="77777777" w:rsidR="00E836FB" w:rsidRDefault="00E836FB">
            <w:pPr>
              <w:rPr>
                <w:rFonts w:ascii="宋体"/>
                <w:vanish/>
              </w:rPr>
            </w:pPr>
          </w:p>
        </w:tc>
        <w:tc>
          <w:tcPr>
            <w:tcW w:w="0" w:type="auto"/>
            <w:gridSpan w:val="3"/>
            <w:shd w:val="clear" w:color="auto" w:fill="auto"/>
            <w:vAlign w:val="bottom"/>
          </w:tcPr>
          <w:p w14:paraId="5F2D1385" w14:textId="77777777" w:rsidR="00E836FB" w:rsidRDefault="00E836FB">
            <w:pPr>
              <w:rPr>
                <w:rFonts w:ascii="宋体"/>
                <w:vanish/>
              </w:rPr>
            </w:pPr>
          </w:p>
        </w:tc>
        <w:tc>
          <w:tcPr>
            <w:tcW w:w="0" w:type="auto"/>
            <w:gridSpan w:val="3"/>
            <w:shd w:val="clear" w:color="auto" w:fill="auto"/>
            <w:vAlign w:val="bottom"/>
          </w:tcPr>
          <w:p w14:paraId="5F2D1386" w14:textId="77777777" w:rsidR="00E836FB" w:rsidRDefault="00E836FB">
            <w:pPr>
              <w:rPr>
                <w:rFonts w:ascii="宋体"/>
                <w:vanish/>
              </w:rPr>
            </w:pPr>
          </w:p>
        </w:tc>
        <w:tc>
          <w:tcPr>
            <w:tcW w:w="0" w:type="auto"/>
            <w:gridSpan w:val="3"/>
            <w:shd w:val="clear" w:color="auto" w:fill="auto"/>
            <w:vAlign w:val="bottom"/>
          </w:tcPr>
          <w:p w14:paraId="5F2D1387" w14:textId="77777777" w:rsidR="00E836FB" w:rsidRDefault="00E836FB">
            <w:pPr>
              <w:rPr>
                <w:rFonts w:ascii="宋体"/>
                <w:vanish/>
              </w:rPr>
            </w:pPr>
          </w:p>
        </w:tc>
      </w:tr>
      <w:tr w:rsidR="00E836FB" w14:paraId="5F2D1395" w14:textId="77777777">
        <w:trPr>
          <w:hidden/>
        </w:trPr>
        <w:tc>
          <w:tcPr>
            <w:tcW w:w="0" w:type="auto"/>
            <w:gridSpan w:val="3"/>
            <w:shd w:val="clear" w:color="auto" w:fill="auto"/>
            <w:vAlign w:val="bottom"/>
          </w:tcPr>
          <w:p w14:paraId="5F2D1389" w14:textId="77777777" w:rsidR="00E836FB" w:rsidRDefault="00E836FB">
            <w:pPr>
              <w:rPr>
                <w:rFonts w:ascii="宋体"/>
                <w:vanish/>
              </w:rPr>
            </w:pPr>
          </w:p>
        </w:tc>
        <w:tc>
          <w:tcPr>
            <w:tcW w:w="0" w:type="auto"/>
            <w:gridSpan w:val="3"/>
            <w:shd w:val="clear" w:color="auto" w:fill="auto"/>
            <w:vAlign w:val="bottom"/>
          </w:tcPr>
          <w:p w14:paraId="5F2D138A" w14:textId="77777777" w:rsidR="00E836FB" w:rsidRDefault="00E836FB">
            <w:pPr>
              <w:rPr>
                <w:rFonts w:ascii="宋体"/>
                <w:vanish/>
              </w:rPr>
            </w:pPr>
          </w:p>
        </w:tc>
        <w:tc>
          <w:tcPr>
            <w:tcW w:w="0" w:type="auto"/>
            <w:gridSpan w:val="3"/>
            <w:shd w:val="clear" w:color="auto" w:fill="auto"/>
            <w:vAlign w:val="bottom"/>
          </w:tcPr>
          <w:p w14:paraId="5F2D138B" w14:textId="77777777" w:rsidR="00E836FB" w:rsidRDefault="00E836FB">
            <w:pPr>
              <w:rPr>
                <w:rFonts w:ascii="宋体"/>
                <w:vanish/>
              </w:rPr>
            </w:pPr>
          </w:p>
        </w:tc>
        <w:tc>
          <w:tcPr>
            <w:tcW w:w="0" w:type="auto"/>
            <w:gridSpan w:val="3"/>
            <w:shd w:val="clear" w:color="auto" w:fill="auto"/>
            <w:vAlign w:val="bottom"/>
          </w:tcPr>
          <w:p w14:paraId="5F2D138C" w14:textId="77777777" w:rsidR="00E836FB" w:rsidRDefault="00E836FB">
            <w:pPr>
              <w:rPr>
                <w:rFonts w:ascii="宋体"/>
                <w:vanish/>
              </w:rPr>
            </w:pPr>
          </w:p>
        </w:tc>
        <w:tc>
          <w:tcPr>
            <w:tcW w:w="0" w:type="auto"/>
            <w:gridSpan w:val="3"/>
            <w:shd w:val="clear" w:color="auto" w:fill="auto"/>
            <w:vAlign w:val="bottom"/>
          </w:tcPr>
          <w:p w14:paraId="5F2D138D" w14:textId="77777777" w:rsidR="00E836FB" w:rsidRDefault="00E836FB">
            <w:pPr>
              <w:rPr>
                <w:rFonts w:ascii="宋体"/>
                <w:vanish/>
              </w:rPr>
            </w:pPr>
          </w:p>
        </w:tc>
        <w:tc>
          <w:tcPr>
            <w:tcW w:w="0" w:type="auto"/>
            <w:gridSpan w:val="3"/>
            <w:shd w:val="clear" w:color="auto" w:fill="auto"/>
            <w:vAlign w:val="bottom"/>
          </w:tcPr>
          <w:p w14:paraId="5F2D138E" w14:textId="77777777" w:rsidR="00E836FB" w:rsidRDefault="00E836FB">
            <w:pPr>
              <w:rPr>
                <w:rFonts w:ascii="宋体"/>
                <w:vanish/>
              </w:rPr>
            </w:pPr>
          </w:p>
        </w:tc>
        <w:tc>
          <w:tcPr>
            <w:tcW w:w="0" w:type="auto"/>
            <w:gridSpan w:val="3"/>
            <w:shd w:val="clear" w:color="auto" w:fill="auto"/>
            <w:vAlign w:val="bottom"/>
          </w:tcPr>
          <w:p w14:paraId="5F2D138F" w14:textId="77777777" w:rsidR="00E836FB" w:rsidRDefault="00E836FB">
            <w:pPr>
              <w:rPr>
                <w:rFonts w:ascii="宋体"/>
                <w:vanish/>
              </w:rPr>
            </w:pPr>
          </w:p>
        </w:tc>
        <w:tc>
          <w:tcPr>
            <w:tcW w:w="0" w:type="auto"/>
            <w:gridSpan w:val="3"/>
            <w:shd w:val="clear" w:color="auto" w:fill="auto"/>
            <w:vAlign w:val="bottom"/>
          </w:tcPr>
          <w:p w14:paraId="5F2D1390" w14:textId="77777777" w:rsidR="00E836FB" w:rsidRDefault="00E836FB">
            <w:pPr>
              <w:rPr>
                <w:rFonts w:ascii="宋体"/>
                <w:vanish/>
              </w:rPr>
            </w:pPr>
          </w:p>
        </w:tc>
        <w:tc>
          <w:tcPr>
            <w:tcW w:w="0" w:type="auto"/>
            <w:gridSpan w:val="3"/>
            <w:shd w:val="clear" w:color="auto" w:fill="auto"/>
            <w:vAlign w:val="bottom"/>
          </w:tcPr>
          <w:p w14:paraId="5F2D1391" w14:textId="77777777" w:rsidR="00E836FB" w:rsidRDefault="00E836FB">
            <w:pPr>
              <w:rPr>
                <w:rFonts w:ascii="宋体"/>
                <w:vanish/>
              </w:rPr>
            </w:pPr>
          </w:p>
        </w:tc>
        <w:tc>
          <w:tcPr>
            <w:tcW w:w="0" w:type="auto"/>
            <w:gridSpan w:val="3"/>
            <w:shd w:val="clear" w:color="auto" w:fill="auto"/>
            <w:vAlign w:val="bottom"/>
          </w:tcPr>
          <w:p w14:paraId="5F2D1392" w14:textId="77777777" w:rsidR="00E836FB" w:rsidRDefault="00E836FB">
            <w:pPr>
              <w:rPr>
                <w:rFonts w:ascii="宋体"/>
                <w:vanish/>
              </w:rPr>
            </w:pPr>
          </w:p>
        </w:tc>
        <w:tc>
          <w:tcPr>
            <w:tcW w:w="0" w:type="auto"/>
            <w:gridSpan w:val="3"/>
            <w:shd w:val="clear" w:color="auto" w:fill="auto"/>
            <w:vAlign w:val="bottom"/>
          </w:tcPr>
          <w:p w14:paraId="5F2D1393" w14:textId="77777777" w:rsidR="00E836FB" w:rsidRDefault="00E836FB">
            <w:pPr>
              <w:rPr>
                <w:rFonts w:ascii="宋体"/>
                <w:vanish/>
              </w:rPr>
            </w:pPr>
          </w:p>
        </w:tc>
        <w:tc>
          <w:tcPr>
            <w:tcW w:w="0" w:type="auto"/>
            <w:gridSpan w:val="3"/>
            <w:shd w:val="clear" w:color="auto" w:fill="auto"/>
            <w:vAlign w:val="bottom"/>
          </w:tcPr>
          <w:p w14:paraId="5F2D1394" w14:textId="77777777" w:rsidR="00E836FB" w:rsidRDefault="00E836FB">
            <w:pPr>
              <w:rPr>
                <w:rFonts w:ascii="宋体"/>
                <w:vanish/>
              </w:rPr>
            </w:pPr>
          </w:p>
        </w:tc>
      </w:tr>
      <w:tr w:rsidR="00E836FB" w14:paraId="5F2D13A2" w14:textId="77777777">
        <w:trPr>
          <w:hidden/>
        </w:trPr>
        <w:tc>
          <w:tcPr>
            <w:tcW w:w="0" w:type="auto"/>
            <w:gridSpan w:val="3"/>
            <w:shd w:val="clear" w:color="auto" w:fill="auto"/>
            <w:vAlign w:val="bottom"/>
          </w:tcPr>
          <w:p w14:paraId="5F2D1396" w14:textId="77777777" w:rsidR="00E836FB" w:rsidRDefault="00E836FB">
            <w:pPr>
              <w:rPr>
                <w:rFonts w:ascii="宋体"/>
                <w:vanish/>
              </w:rPr>
            </w:pPr>
          </w:p>
        </w:tc>
        <w:tc>
          <w:tcPr>
            <w:tcW w:w="0" w:type="auto"/>
            <w:gridSpan w:val="3"/>
            <w:shd w:val="clear" w:color="auto" w:fill="auto"/>
            <w:vAlign w:val="bottom"/>
          </w:tcPr>
          <w:p w14:paraId="5F2D1397" w14:textId="77777777" w:rsidR="00E836FB" w:rsidRDefault="00E836FB">
            <w:pPr>
              <w:rPr>
                <w:rFonts w:ascii="宋体"/>
                <w:vanish/>
              </w:rPr>
            </w:pPr>
          </w:p>
        </w:tc>
        <w:tc>
          <w:tcPr>
            <w:tcW w:w="0" w:type="auto"/>
            <w:gridSpan w:val="3"/>
            <w:shd w:val="clear" w:color="auto" w:fill="auto"/>
            <w:vAlign w:val="bottom"/>
          </w:tcPr>
          <w:p w14:paraId="5F2D1398" w14:textId="77777777" w:rsidR="00E836FB" w:rsidRDefault="00E836FB">
            <w:pPr>
              <w:rPr>
                <w:rFonts w:ascii="宋体"/>
                <w:vanish/>
              </w:rPr>
            </w:pPr>
          </w:p>
        </w:tc>
        <w:tc>
          <w:tcPr>
            <w:tcW w:w="0" w:type="auto"/>
            <w:gridSpan w:val="3"/>
            <w:shd w:val="clear" w:color="auto" w:fill="auto"/>
            <w:vAlign w:val="bottom"/>
          </w:tcPr>
          <w:p w14:paraId="5F2D1399" w14:textId="77777777" w:rsidR="00E836FB" w:rsidRDefault="00E836FB">
            <w:pPr>
              <w:rPr>
                <w:rFonts w:ascii="宋体"/>
                <w:vanish/>
              </w:rPr>
            </w:pPr>
          </w:p>
        </w:tc>
        <w:tc>
          <w:tcPr>
            <w:tcW w:w="0" w:type="auto"/>
            <w:gridSpan w:val="3"/>
            <w:shd w:val="clear" w:color="auto" w:fill="auto"/>
            <w:vAlign w:val="bottom"/>
          </w:tcPr>
          <w:p w14:paraId="5F2D139A" w14:textId="77777777" w:rsidR="00E836FB" w:rsidRDefault="00E836FB">
            <w:pPr>
              <w:rPr>
                <w:rFonts w:ascii="宋体"/>
                <w:vanish/>
              </w:rPr>
            </w:pPr>
          </w:p>
        </w:tc>
        <w:tc>
          <w:tcPr>
            <w:tcW w:w="0" w:type="auto"/>
            <w:gridSpan w:val="3"/>
            <w:shd w:val="clear" w:color="auto" w:fill="auto"/>
            <w:vAlign w:val="bottom"/>
          </w:tcPr>
          <w:p w14:paraId="5F2D139B" w14:textId="77777777" w:rsidR="00E836FB" w:rsidRDefault="00E836FB">
            <w:pPr>
              <w:rPr>
                <w:rFonts w:ascii="宋体"/>
                <w:vanish/>
              </w:rPr>
            </w:pPr>
          </w:p>
        </w:tc>
        <w:tc>
          <w:tcPr>
            <w:tcW w:w="0" w:type="auto"/>
            <w:gridSpan w:val="3"/>
            <w:shd w:val="clear" w:color="auto" w:fill="auto"/>
            <w:vAlign w:val="bottom"/>
          </w:tcPr>
          <w:p w14:paraId="5F2D139C" w14:textId="77777777" w:rsidR="00E836FB" w:rsidRDefault="00E836FB">
            <w:pPr>
              <w:rPr>
                <w:rFonts w:ascii="宋体"/>
                <w:vanish/>
              </w:rPr>
            </w:pPr>
          </w:p>
        </w:tc>
        <w:tc>
          <w:tcPr>
            <w:tcW w:w="0" w:type="auto"/>
            <w:gridSpan w:val="3"/>
            <w:shd w:val="clear" w:color="auto" w:fill="auto"/>
            <w:vAlign w:val="bottom"/>
          </w:tcPr>
          <w:p w14:paraId="5F2D139D" w14:textId="77777777" w:rsidR="00E836FB" w:rsidRDefault="00E836FB">
            <w:pPr>
              <w:rPr>
                <w:rFonts w:ascii="宋体"/>
                <w:vanish/>
              </w:rPr>
            </w:pPr>
          </w:p>
        </w:tc>
        <w:tc>
          <w:tcPr>
            <w:tcW w:w="0" w:type="auto"/>
            <w:gridSpan w:val="3"/>
            <w:shd w:val="clear" w:color="auto" w:fill="auto"/>
            <w:vAlign w:val="bottom"/>
          </w:tcPr>
          <w:p w14:paraId="5F2D139E" w14:textId="77777777" w:rsidR="00E836FB" w:rsidRDefault="00E836FB">
            <w:pPr>
              <w:rPr>
                <w:rFonts w:ascii="宋体"/>
                <w:vanish/>
              </w:rPr>
            </w:pPr>
          </w:p>
        </w:tc>
        <w:tc>
          <w:tcPr>
            <w:tcW w:w="0" w:type="auto"/>
            <w:gridSpan w:val="3"/>
            <w:shd w:val="clear" w:color="auto" w:fill="auto"/>
            <w:vAlign w:val="bottom"/>
          </w:tcPr>
          <w:p w14:paraId="5F2D139F" w14:textId="77777777" w:rsidR="00E836FB" w:rsidRDefault="00E836FB">
            <w:pPr>
              <w:rPr>
                <w:rFonts w:ascii="宋体"/>
                <w:vanish/>
              </w:rPr>
            </w:pPr>
          </w:p>
        </w:tc>
        <w:tc>
          <w:tcPr>
            <w:tcW w:w="0" w:type="auto"/>
            <w:gridSpan w:val="3"/>
            <w:shd w:val="clear" w:color="auto" w:fill="auto"/>
            <w:vAlign w:val="bottom"/>
          </w:tcPr>
          <w:p w14:paraId="5F2D13A0" w14:textId="77777777" w:rsidR="00E836FB" w:rsidRDefault="00E836FB">
            <w:pPr>
              <w:rPr>
                <w:rFonts w:ascii="宋体"/>
                <w:vanish/>
              </w:rPr>
            </w:pPr>
          </w:p>
        </w:tc>
        <w:tc>
          <w:tcPr>
            <w:tcW w:w="0" w:type="auto"/>
            <w:gridSpan w:val="3"/>
            <w:shd w:val="clear" w:color="auto" w:fill="auto"/>
            <w:vAlign w:val="bottom"/>
          </w:tcPr>
          <w:p w14:paraId="5F2D13A1" w14:textId="77777777" w:rsidR="00E836FB" w:rsidRDefault="00E836FB">
            <w:pPr>
              <w:rPr>
                <w:rFonts w:ascii="宋体"/>
                <w:vanish/>
              </w:rPr>
            </w:pPr>
          </w:p>
        </w:tc>
      </w:tr>
      <w:tr w:rsidR="00E836FB" w14:paraId="5F2D13AF" w14:textId="77777777">
        <w:trPr>
          <w:hidden/>
        </w:trPr>
        <w:tc>
          <w:tcPr>
            <w:tcW w:w="0" w:type="auto"/>
            <w:gridSpan w:val="3"/>
            <w:shd w:val="clear" w:color="auto" w:fill="auto"/>
            <w:vAlign w:val="bottom"/>
          </w:tcPr>
          <w:p w14:paraId="5F2D13A3" w14:textId="77777777" w:rsidR="00E836FB" w:rsidRDefault="00E836FB">
            <w:pPr>
              <w:rPr>
                <w:rFonts w:ascii="宋体"/>
                <w:vanish/>
              </w:rPr>
            </w:pPr>
          </w:p>
        </w:tc>
        <w:tc>
          <w:tcPr>
            <w:tcW w:w="0" w:type="auto"/>
            <w:gridSpan w:val="3"/>
            <w:shd w:val="clear" w:color="auto" w:fill="auto"/>
            <w:vAlign w:val="bottom"/>
          </w:tcPr>
          <w:p w14:paraId="5F2D13A4" w14:textId="77777777" w:rsidR="00E836FB" w:rsidRDefault="00E836FB">
            <w:pPr>
              <w:rPr>
                <w:rFonts w:ascii="宋体"/>
                <w:vanish/>
              </w:rPr>
            </w:pPr>
          </w:p>
        </w:tc>
        <w:tc>
          <w:tcPr>
            <w:tcW w:w="0" w:type="auto"/>
            <w:gridSpan w:val="3"/>
            <w:shd w:val="clear" w:color="auto" w:fill="auto"/>
            <w:vAlign w:val="bottom"/>
          </w:tcPr>
          <w:p w14:paraId="5F2D13A5" w14:textId="77777777" w:rsidR="00E836FB" w:rsidRDefault="00E836FB">
            <w:pPr>
              <w:rPr>
                <w:rFonts w:ascii="宋体"/>
                <w:vanish/>
              </w:rPr>
            </w:pPr>
          </w:p>
        </w:tc>
        <w:tc>
          <w:tcPr>
            <w:tcW w:w="0" w:type="auto"/>
            <w:gridSpan w:val="3"/>
            <w:shd w:val="clear" w:color="auto" w:fill="auto"/>
            <w:vAlign w:val="bottom"/>
          </w:tcPr>
          <w:p w14:paraId="5F2D13A6" w14:textId="77777777" w:rsidR="00E836FB" w:rsidRDefault="00E836FB">
            <w:pPr>
              <w:rPr>
                <w:rFonts w:ascii="宋体"/>
                <w:vanish/>
              </w:rPr>
            </w:pPr>
          </w:p>
        </w:tc>
        <w:tc>
          <w:tcPr>
            <w:tcW w:w="0" w:type="auto"/>
            <w:gridSpan w:val="3"/>
            <w:shd w:val="clear" w:color="auto" w:fill="auto"/>
            <w:vAlign w:val="bottom"/>
          </w:tcPr>
          <w:p w14:paraId="5F2D13A7" w14:textId="77777777" w:rsidR="00E836FB" w:rsidRDefault="00E836FB">
            <w:pPr>
              <w:rPr>
                <w:rFonts w:ascii="宋体"/>
                <w:vanish/>
              </w:rPr>
            </w:pPr>
          </w:p>
        </w:tc>
        <w:tc>
          <w:tcPr>
            <w:tcW w:w="0" w:type="auto"/>
            <w:gridSpan w:val="3"/>
            <w:shd w:val="clear" w:color="auto" w:fill="auto"/>
            <w:vAlign w:val="bottom"/>
          </w:tcPr>
          <w:p w14:paraId="5F2D13A8" w14:textId="77777777" w:rsidR="00E836FB" w:rsidRDefault="00E836FB">
            <w:pPr>
              <w:rPr>
                <w:rFonts w:ascii="宋体"/>
                <w:vanish/>
              </w:rPr>
            </w:pPr>
          </w:p>
        </w:tc>
        <w:tc>
          <w:tcPr>
            <w:tcW w:w="0" w:type="auto"/>
            <w:gridSpan w:val="3"/>
            <w:shd w:val="clear" w:color="auto" w:fill="auto"/>
            <w:vAlign w:val="bottom"/>
          </w:tcPr>
          <w:p w14:paraId="5F2D13A9" w14:textId="77777777" w:rsidR="00E836FB" w:rsidRDefault="00E836FB">
            <w:pPr>
              <w:rPr>
                <w:rFonts w:ascii="宋体"/>
                <w:vanish/>
              </w:rPr>
            </w:pPr>
          </w:p>
        </w:tc>
        <w:tc>
          <w:tcPr>
            <w:tcW w:w="0" w:type="auto"/>
            <w:gridSpan w:val="3"/>
            <w:shd w:val="clear" w:color="auto" w:fill="auto"/>
            <w:vAlign w:val="bottom"/>
          </w:tcPr>
          <w:p w14:paraId="5F2D13AA" w14:textId="77777777" w:rsidR="00E836FB" w:rsidRDefault="00E836FB">
            <w:pPr>
              <w:rPr>
                <w:rFonts w:ascii="宋体"/>
                <w:vanish/>
              </w:rPr>
            </w:pPr>
          </w:p>
        </w:tc>
        <w:tc>
          <w:tcPr>
            <w:tcW w:w="0" w:type="auto"/>
            <w:gridSpan w:val="3"/>
            <w:shd w:val="clear" w:color="auto" w:fill="auto"/>
            <w:vAlign w:val="bottom"/>
          </w:tcPr>
          <w:p w14:paraId="5F2D13AB" w14:textId="77777777" w:rsidR="00E836FB" w:rsidRDefault="00E836FB">
            <w:pPr>
              <w:rPr>
                <w:rFonts w:ascii="宋体"/>
                <w:vanish/>
              </w:rPr>
            </w:pPr>
          </w:p>
        </w:tc>
        <w:tc>
          <w:tcPr>
            <w:tcW w:w="0" w:type="auto"/>
            <w:gridSpan w:val="3"/>
            <w:shd w:val="clear" w:color="auto" w:fill="auto"/>
            <w:vAlign w:val="bottom"/>
          </w:tcPr>
          <w:p w14:paraId="5F2D13AC" w14:textId="77777777" w:rsidR="00E836FB" w:rsidRDefault="00E836FB">
            <w:pPr>
              <w:rPr>
                <w:rFonts w:ascii="宋体"/>
                <w:vanish/>
              </w:rPr>
            </w:pPr>
          </w:p>
        </w:tc>
        <w:tc>
          <w:tcPr>
            <w:tcW w:w="0" w:type="auto"/>
            <w:gridSpan w:val="3"/>
            <w:shd w:val="clear" w:color="auto" w:fill="auto"/>
            <w:vAlign w:val="bottom"/>
          </w:tcPr>
          <w:p w14:paraId="5F2D13AD" w14:textId="77777777" w:rsidR="00E836FB" w:rsidRDefault="00E836FB">
            <w:pPr>
              <w:rPr>
                <w:rFonts w:ascii="宋体"/>
                <w:vanish/>
              </w:rPr>
            </w:pPr>
          </w:p>
        </w:tc>
        <w:tc>
          <w:tcPr>
            <w:tcW w:w="0" w:type="auto"/>
            <w:gridSpan w:val="3"/>
            <w:shd w:val="clear" w:color="auto" w:fill="auto"/>
            <w:vAlign w:val="bottom"/>
          </w:tcPr>
          <w:p w14:paraId="5F2D13AE" w14:textId="77777777" w:rsidR="00E836FB" w:rsidRDefault="00E836FB">
            <w:pPr>
              <w:rPr>
                <w:rFonts w:ascii="宋体"/>
                <w:vanish/>
              </w:rPr>
            </w:pPr>
          </w:p>
        </w:tc>
      </w:tr>
      <w:tr w:rsidR="00E836FB" w14:paraId="5F2D13BC" w14:textId="77777777">
        <w:trPr>
          <w:hidden/>
        </w:trPr>
        <w:tc>
          <w:tcPr>
            <w:tcW w:w="0" w:type="auto"/>
            <w:gridSpan w:val="3"/>
            <w:shd w:val="clear" w:color="auto" w:fill="auto"/>
            <w:vAlign w:val="bottom"/>
          </w:tcPr>
          <w:p w14:paraId="5F2D13B0" w14:textId="77777777" w:rsidR="00E836FB" w:rsidRDefault="00E836FB">
            <w:pPr>
              <w:rPr>
                <w:rFonts w:ascii="宋体"/>
                <w:vanish/>
              </w:rPr>
            </w:pPr>
          </w:p>
        </w:tc>
        <w:tc>
          <w:tcPr>
            <w:tcW w:w="0" w:type="auto"/>
            <w:gridSpan w:val="3"/>
            <w:shd w:val="clear" w:color="auto" w:fill="auto"/>
            <w:vAlign w:val="bottom"/>
          </w:tcPr>
          <w:p w14:paraId="5F2D13B1" w14:textId="77777777" w:rsidR="00E836FB" w:rsidRDefault="00E836FB">
            <w:pPr>
              <w:rPr>
                <w:rFonts w:ascii="宋体"/>
                <w:vanish/>
              </w:rPr>
            </w:pPr>
          </w:p>
        </w:tc>
        <w:tc>
          <w:tcPr>
            <w:tcW w:w="0" w:type="auto"/>
            <w:gridSpan w:val="3"/>
            <w:shd w:val="clear" w:color="auto" w:fill="auto"/>
            <w:vAlign w:val="bottom"/>
          </w:tcPr>
          <w:p w14:paraId="5F2D13B2" w14:textId="77777777" w:rsidR="00E836FB" w:rsidRDefault="00E836FB">
            <w:pPr>
              <w:rPr>
                <w:rFonts w:ascii="宋体"/>
                <w:vanish/>
              </w:rPr>
            </w:pPr>
          </w:p>
        </w:tc>
        <w:tc>
          <w:tcPr>
            <w:tcW w:w="0" w:type="auto"/>
            <w:gridSpan w:val="3"/>
            <w:shd w:val="clear" w:color="auto" w:fill="auto"/>
            <w:vAlign w:val="bottom"/>
          </w:tcPr>
          <w:p w14:paraId="5F2D13B3" w14:textId="77777777" w:rsidR="00E836FB" w:rsidRDefault="00E836FB">
            <w:pPr>
              <w:rPr>
                <w:rFonts w:ascii="宋体"/>
                <w:vanish/>
              </w:rPr>
            </w:pPr>
          </w:p>
        </w:tc>
        <w:tc>
          <w:tcPr>
            <w:tcW w:w="0" w:type="auto"/>
            <w:gridSpan w:val="3"/>
            <w:shd w:val="clear" w:color="auto" w:fill="auto"/>
            <w:vAlign w:val="bottom"/>
          </w:tcPr>
          <w:p w14:paraId="5F2D13B4" w14:textId="77777777" w:rsidR="00E836FB" w:rsidRDefault="00E836FB">
            <w:pPr>
              <w:rPr>
                <w:rFonts w:ascii="宋体"/>
                <w:vanish/>
              </w:rPr>
            </w:pPr>
          </w:p>
        </w:tc>
        <w:tc>
          <w:tcPr>
            <w:tcW w:w="0" w:type="auto"/>
            <w:gridSpan w:val="3"/>
            <w:shd w:val="clear" w:color="auto" w:fill="auto"/>
            <w:vAlign w:val="bottom"/>
          </w:tcPr>
          <w:p w14:paraId="5F2D13B5" w14:textId="77777777" w:rsidR="00E836FB" w:rsidRDefault="00E836FB">
            <w:pPr>
              <w:rPr>
                <w:rFonts w:ascii="宋体"/>
                <w:vanish/>
              </w:rPr>
            </w:pPr>
          </w:p>
        </w:tc>
        <w:tc>
          <w:tcPr>
            <w:tcW w:w="0" w:type="auto"/>
            <w:gridSpan w:val="3"/>
            <w:shd w:val="clear" w:color="auto" w:fill="auto"/>
            <w:vAlign w:val="bottom"/>
          </w:tcPr>
          <w:p w14:paraId="5F2D13B6" w14:textId="77777777" w:rsidR="00E836FB" w:rsidRDefault="00E836FB">
            <w:pPr>
              <w:rPr>
                <w:rFonts w:ascii="宋体"/>
                <w:vanish/>
              </w:rPr>
            </w:pPr>
          </w:p>
        </w:tc>
        <w:tc>
          <w:tcPr>
            <w:tcW w:w="0" w:type="auto"/>
            <w:gridSpan w:val="3"/>
            <w:shd w:val="clear" w:color="auto" w:fill="auto"/>
            <w:vAlign w:val="bottom"/>
          </w:tcPr>
          <w:p w14:paraId="5F2D13B7" w14:textId="77777777" w:rsidR="00E836FB" w:rsidRDefault="00E836FB">
            <w:pPr>
              <w:rPr>
                <w:rFonts w:ascii="宋体"/>
                <w:vanish/>
              </w:rPr>
            </w:pPr>
          </w:p>
        </w:tc>
        <w:tc>
          <w:tcPr>
            <w:tcW w:w="0" w:type="auto"/>
            <w:gridSpan w:val="3"/>
            <w:shd w:val="clear" w:color="auto" w:fill="auto"/>
            <w:vAlign w:val="bottom"/>
          </w:tcPr>
          <w:p w14:paraId="5F2D13B8" w14:textId="77777777" w:rsidR="00E836FB" w:rsidRDefault="00E836FB">
            <w:pPr>
              <w:rPr>
                <w:rFonts w:ascii="宋体"/>
                <w:vanish/>
              </w:rPr>
            </w:pPr>
          </w:p>
        </w:tc>
        <w:tc>
          <w:tcPr>
            <w:tcW w:w="0" w:type="auto"/>
            <w:gridSpan w:val="3"/>
            <w:shd w:val="clear" w:color="auto" w:fill="auto"/>
            <w:vAlign w:val="bottom"/>
          </w:tcPr>
          <w:p w14:paraId="5F2D13B9" w14:textId="77777777" w:rsidR="00E836FB" w:rsidRDefault="00E836FB">
            <w:pPr>
              <w:rPr>
                <w:rFonts w:ascii="宋体"/>
                <w:vanish/>
              </w:rPr>
            </w:pPr>
          </w:p>
        </w:tc>
        <w:tc>
          <w:tcPr>
            <w:tcW w:w="0" w:type="auto"/>
            <w:gridSpan w:val="3"/>
            <w:shd w:val="clear" w:color="auto" w:fill="auto"/>
            <w:vAlign w:val="bottom"/>
          </w:tcPr>
          <w:p w14:paraId="5F2D13BA" w14:textId="77777777" w:rsidR="00E836FB" w:rsidRDefault="00E836FB">
            <w:pPr>
              <w:rPr>
                <w:rFonts w:ascii="宋体"/>
                <w:vanish/>
              </w:rPr>
            </w:pPr>
          </w:p>
        </w:tc>
        <w:tc>
          <w:tcPr>
            <w:tcW w:w="0" w:type="auto"/>
            <w:gridSpan w:val="3"/>
            <w:shd w:val="clear" w:color="auto" w:fill="auto"/>
            <w:vAlign w:val="bottom"/>
          </w:tcPr>
          <w:p w14:paraId="5F2D13BB" w14:textId="77777777" w:rsidR="00E836FB" w:rsidRDefault="00E836FB">
            <w:pPr>
              <w:rPr>
                <w:rFonts w:ascii="宋体"/>
                <w:vanish/>
              </w:rPr>
            </w:pPr>
          </w:p>
        </w:tc>
      </w:tr>
      <w:tr w:rsidR="00E836FB" w14:paraId="5F2D13C9" w14:textId="77777777">
        <w:trPr>
          <w:hidden/>
        </w:trPr>
        <w:tc>
          <w:tcPr>
            <w:tcW w:w="0" w:type="auto"/>
            <w:gridSpan w:val="3"/>
            <w:shd w:val="clear" w:color="auto" w:fill="auto"/>
            <w:vAlign w:val="bottom"/>
          </w:tcPr>
          <w:p w14:paraId="5F2D13BD" w14:textId="77777777" w:rsidR="00E836FB" w:rsidRDefault="00E836FB">
            <w:pPr>
              <w:rPr>
                <w:rFonts w:ascii="宋体"/>
                <w:vanish/>
              </w:rPr>
            </w:pPr>
          </w:p>
        </w:tc>
        <w:tc>
          <w:tcPr>
            <w:tcW w:w="0" w:type="auto"/>
            <w:gridSpan w:val="3"/>
            <w:shd w:val="clear" w:color="auto" w:fill="auto"/>
            <w:vAlign w:val="bottom"/>
          </w:tcPr>
          <w:p w14:paraId="5F2D13BE" w14:textId="77777777" w:rsidR="00E836FB" w:rsidRDefault="00E836FB">
            <w:pPr>
              <w:rPr>
                <w:rFonts w:ascii="宋体"/>
                <w:vanish/>
              </w:rPr>
            </w:pPr>
          </w:p>
        </w:tc>
        <w:tc>
          <w:tcPr>
            <w:tcW w:w="0" w:type="auto"/>
            <w:gridSpan w:val="3"/>
            <w:shd w:val="clear" w:color="auto" w:fill="auto"/>
            <w:vAlign w:val="bottom"/>
          </w:tcPr>
          <w:p w14:paraId="5F2D13BF" w14:textId="77777777" w:rsidR="00E836FB" w:rsidRDefault="00E836FB">
            <w:pPr>
              <w:rPr>
                <w:rFonts w:ascii="宋体"/>
                <w:vanish/>
              </w:rPr>
            </w:pPr>
          </w:p>
        </w:tc>
        <w:tc>
          <w:tcPr>
            <w:tcW w:w="0" w:type="auto"/>
            <w:gridSpan w:val="3"/>
            <w:shd w:val="clear" w:color="auto" w:fill="auto"/>
            <w:vAlign w:val="bottom"/>
          </w:tcPr>
          <w:p w14:paraId="5F2D13C0" w14:textId="77777777" w:rsidR="00E836FB" w:rsidRDefault="00E836FB">
            <w:pPr>
              <w:rPr>
                <w:rFonts w:ascii="宋体"/>
                <w:vanish/>
              </w:rPr>
            </w:pPr>
          </w:p>
        </w:tc>
        <w:tc>
          <w:tcPr>
            <w:tcW w:w="0" w:type="auto"/>
            <w:gridSpan w:val="3"/>
            <w:shd w:val="clear" w:color="auto" w:fill="auto"/>
            <w:vAlign w:val="bottom"/>
          </w:tcPr>
          <w:p w14:paraId="5F2D13C1" w14:textId="77777777" w:rsidR="00E836FB" w:rsidRDefault="00E836FB">
            <w:pPr>
              <w:rPr>
                <w:rFonts w:ascii="宋体"/>
                <w:vanish/>
              </w:rPr>
            </w:pPr>
          </w:p>
        </w:tc>
        <w:tc>
          <w:tcPr>
            <w:tcW w:w="0" w:type="auto"/>
            <w:gridSpan w:val="3"/>
            <w:shd w:val="clear" w:color="auto" w:fill="auto"/>
            <w:vAlign w:val="bottom"/>
          </w:tcPr>
          <w:p w14:paraId="5F2D13C2" w14:textId="77777777" w:rsidR="00E836FB" w:rsidRDefault="00E836FB">
            <w:pPr>
              <w:rPr>
                <w:rFonts w:ascii="宋体"/>
                <w:vanish/>
              </w:rPr>
            </w:pPr>
          </w:p>
        </w:tc>
        <w:tc>
          <w:tcPr>
            <w:tcW w:w="0" w:type="auto"/>
            <w:gridSpan w:val="3"/>
            <w:shd w:val="clear" w:color="auto" w:fill="auto"/>
            <w:vAlign w:val="bottom"/>
          </w:tcPr>
          <w:p w14:paraId="5F2D13C3" w14:textId="77777777" w:rsidR="00E836FB" w:rsidRDefault="00E836FB">
            <w:pPr>
              <w:rPr>
                <w:rFonts w:ascii="宋体"/>
                <w:vanish/>
              </w:rPr>
            </w:pPr>
          </w:p>
        </w:tc>
        <w:tc>
          <w:tcPr>
            <w:tcW w:w="0" w:type="auto"/>
            <w:gridSpan w:val="3"/>
            <w:shd w:val="clear" w:color="auto" w:fill="auto"/>
            <w:vAlign w:val="bottom"/>
          </w:tcPr>
          <w:p w14:paraId="5F2D13C4" w14:textId="77777777" w:rsidR="00E836FB" w:rsidRDefault="00E836FB">
            <w:pPr>
              <w:rPr>
                <w:rFonts w:ascii="宋体"/>
                <w:vanish/>
              </w:rPr>
            </w:pPr>
          </w:p>
        </w:tc>
        <w:tc>
          <w:tcPr>
            <w:tcW w:w="0" w:type="auto"/>
            <w:gridSpan w:val="3"/>
            <w:shd w:val="clear" w:color="auto" w:fill="auto"/>
            <w:vAlign w:val="bottom"/>
          </w:tcPr>
          <w:p w14:paraId="5F2D13C5" w14:textId="77777777" w:rsidR="00E836FB" w:rsidRDefault="00E836FB">
            <w:pPr>
              <w:rPr>
                <w:rFonts w:ascii="宋体"/>
                <w:vanish/>
              </w:rPr>
            </w:pPr>
          </w:p>
        </w:tc>
        <w:tc>
          <w:tcPr>
            <w:tcW w:w="0" w:type="auto"/>
            <w:gridSpan w:val="3"/>
            <w:shd w:val="clear" w:color="auto" w:fill="auto"/>
            <w:vAlign w:val="bottom"/>
          </w:tcPr>
          <w:p w14:paraId="5F2D13C6" w14:textId="77777777" w:rsidR="00E836FB" w:rsidRDefault="00E836FB">
            <w:pPr>
              <w:rPr>
                <w:rFonts w:ascii="宋体"/>
                <w:vanish/>
              </w:rPr>
            </w:pPr>
          </w:p>
        </w:tc>
        <w:tc>
          <w:tcPr>
            <w:tcW w:w="0" w:type="auto"/>
            <w:gridSpan w:val="3"/>
            <w:shd w:val="clear" w:color="auto" w:fill="auto"/>
            <w:vAlign w:val="bottom"/>
          </w:tcPr>
          <w:p w14:paraId="5F2D13C7" w14:textId="77777777" w:rsidR="00E836FB" w:rsidRDefault="00E836FB">
            <w:pPr>
              <w:rPr>
                <w:rFonts w:ascii="宋体"/>
                <w:vanish/>
              </w:rPr>
            </w:pPr>
          </w:p>
        </w:tc>
        <w:tc>
          <w:tcPr>
            <w:tcW w:w="0" w:type="auto"/>
            <w:gridSpan w:val="3"/>
            <w:shd w:val="clear" w:color="auto" w:fill="auto"/>
            <w:vAlign w:val="bottom"/>
          </w:tcPr>
          <w:p w14:paraId="5F2D13C8" w14:textId="77777777" w:rsidR="00E836FB" w:rsidRDefault="00E836FB">
            <w:pPr>
              <w:rPr>
                <w:rFonts w:ascii="宋体"/>
                <w:vanish/>
              </w:rPr>
            </w:pPr>
          </w:p>
        </w:tc>
      </w:tr>
      <w:tr w:rsidR="00E836FB" w14:paraId="5F2D13D6" w14:textId="77777777">
        <w:trPr>
          <w:hidden/>
        </w:trPr>
        <w:tc>
          <w:tcPr>
            <w:tcW w:w="0" w:type="auto"/>
            <w:gridSpan w:val="3"/>
            <w:shd w:val="clear" w:color="auto" w:fill="auto"/>
            <w:vAlign w:val="bottom"/>
          </w:tcPr>
          <w:p w14:paraId="5F2D13CA" w14:textId="77777777" w:rsidR="00E836FB" w:rsidRDefault="00E836FB">
            <w:pPr>
              <w:rPr>
                <w:rFonts w:ascii="宋体"/>
                <w:vanish/>
              </w:rPr>
            </w:pPr>
          </w:p>
        </w:tc>
        <w:tc>
          <w:tcPr>
            <w:tcW w:w="0" w:type="auto"/>
            <w:gridSpan w:val="3"/>
            <w:shd w:val="clear" w:color="auto" w:fill="auto"/>
            <w:vAlign w:val="bottom"/>
          </w:tcPr>
          <w:p w14:paraId="5F2D13CB" w14:textId="77777777" w:rsidR="00E836FB" w:rsidRDefault="00E836FB">
            <w:pPr>
              <w:rPr>
                <w:rFonts w:ascii="宋体"/>
                <w:vanish/>
              </w:rPr>
            </w:pPr>
          </w:p>
        </w:tc>
        <w:tc>
          <w:tcPr>
            <w:tcW w:w="0" w:type="auto"/>
            <w:gridSpan w:val="3"/>
            <w:shd w:val="clear" w:color="auto" w:fill="auto"/>
            <w:vAlign w:val="bottom"/>
          </w:tcPr>
          <w:p w14:paraId="5F2D13CC" w14:textId="77777777" w:rsidR="00E836FB" w:rsidRDefault="00E836FB">
            <w:pPr>
              <w:rPr>
                <w:rFonts w:ascii="宋体"/>
                <w:vanish/>
              </w:rPr>
            </w:pPr>
          </w:p>
        </w:tc>
        <w:tc>
          <w:tcPr>
            <w:tcW w:w="0" w:type="auto"/>
            <w:gridSpan w:val="3"/>
            <w:shd w:val="clear" w:color="auto" w:fill="auto"/>
            <w:vAlign w:val="bottom"/>
          </w:tcPr>
          <w:p w14:paraId="5F2D13CD" w14:textId="77777777" w:rsidR="00E836FB" w:rsidRDefault="00E836FB">
            <w:pPr>
              <w:rPr>
                <w:rFonts w:ascii="宋体"/>
                <w:vanish/>
              </w:rPr>
            </w:pPr>
          </w:p>
        </w:tc>
        <w:tc>
          <w:tcPr>
            <w:tcW w:w="0" w:type="auto"/>
            <w:gridSpan w:val="3"/>
            <w:shd w:val="clear" w:color="auto" w:fill="auto"/>
            <w:vAlign w:val="bottom"/>
          </w:tcPr>
          <w:p w14:paraId="5F2D13CE" w14:textId="77777777" w:rsidR="00E836FB" w:rsidRDefault="00E836FB">
            <w:pPr>
              <w:rPr>
                <w:rFonts w:ascii="宋体"/>
                <w:vanish/>
              </w:rPr>
            </w:pPr>
          </w:p>
        </w:tc>
        <w:tc>
          <w:tcPr>
            <w:tcW w:w="0" w:type="auto"/>
            <w:gridSpan w:val="3"/>
            <w:shd w:val="clear" w:color="auto" w:fill="auto"/>
            <w:vAlign w:val="bottom"/>
          </w:tcPr>
          <w:p w14:paraId="5F2D13CF" w14:textId="77777777" w:rsidR="00E836FB" w:rsidRDefault="00E836FB">
            <w:pPr>
              <w:rPr>
                <w:rFonts w:ascii="宋体"/>
                <w:vanish/>
              </w:rPr>
            </w:pPr>
          </w:p>
        </w:tc>
        <w:tc>
          <w:tcPr>
            <w:tcW w:w="0" w:type="auto"/>
            <w:gridSpan w:val="3"/>
            <w:shd w:val="clear" w:color="auto" w:fill="auto"/>
            <w:vAlign w:val="bottom"/>
          </w:tcPr>
          <w:p w14:paraId="5F2D13D0" w14:textId="77777777" w:rsidR="00E836FB" w:rsidRDefault="00E836FB">
            <w:pPr>
              <w:rPr>
                <w:rFonts w:ascii="宋体"/>
                <w:vanish/>
              </w:rPr>
            </w:pPr>
          </w:p>
        </w:tc>
        <w:tc>
          <w:tcPr>
            <w:tcW w:w="0" w:type="auto"/>
            <w:gridSpan w:val="3"/>
            <w:shd w:val="clear" w:color="auto" w:fill="auto"/>
            <w:vAlign w:val="bottom"/>
          </w:tcPr>
          <w:p w14:paraId="5F2D13D1" w14:textId="77777777" w:rsidR="00E836FB" w:rsidRDefault="00E836FB">
            <w:pPr>
              <w:rPr>
                <w:rFonts w:ascii="宋体"/>
                <w:vanish/>
              </w:rPr>
            </w:pPr>
          </w:p>
        </w:tc>
        <w:tc>
          <w:tcPr>
            <w:tcW w:w="0" w:type="auto"/>
            <w:gridSpan w:val="3"/>
            <w:shd w:val="clear" w:color="auto" w:fill="auto"/>
            <w:vAlign w:val="bottom"/>
          </w:tcPr>
          <w:p w14:paraId="5F2D13D2" w14:textId="77777777" w:rsidR="00E836FB" w:rsidRDefault="00E836FB">
            <w:pPr>
              <w:rPr>
                <w:rFonts w:ascii="宋体"/>
                <w:vanish/>
              </w:rPr>
            </w:pPr>
          </w:p>
        </w:tc>
        <w:tc>
          <w:tcPr>
            <w:tcW w:w="0" w:type="auto"/>
            <w:gridSpan w:val="3"/>
            <w:shd w:val="clear" w:color="auto" w:fill="auto"/>
            <w:vAlign w:val="bottom"/>
          </w:tcPr>
          <w:p w14:paraId="5F2D13D3" w14:textId="77777777" w:rsidR="00E836FB" w:rsidRDefault="00E836FB">
            <w:pPr>
              <w:rPr>
                <w:rFonts w:ascii="宋体"/>
                <w:vanish/>
              </w:rPr>
            </w:pPr>
          </w:p>
        </w:tc>
        <w:tc>
          <w:tcPr>
            <w:tcW w:w="0" w:type="auto"/>
            <w:gridSpan w:val="3"/>
            <w:shd w:val="clear" w:color="auto" w:fill="auto"/>
            <w:vAlign w:val="bottom"/>
          </w:tcPr>
          <w:p w14:paraId="5F2D13D4" w14:textId="77777777" w:rsidR="00E836FB" w:rsidRDefault="00E836FB">
            <w:pPr>
              <w:rPr>
                <w:rFonts w:ascii="宋体"/>
                <w:vanish/>
              </w:rPr>
            </w:pPr>
          </w:p>
        </w:tc>
        <w:tc>
          <w:tcPr>
            <w:tcW w:w="0" w:type="auto"/>
            <w:gridSpan w:val="3"/>
            <w:shd w:val="clear" w:color="auto" w:fill="auto"/>
            <w:vAlign w:val="bottom"/>
          </w:tcPr>
          <w:p w14:paraId="5F2D13D5" w14:textId="77777777" w:rsidR="00E836FB" w:rsidRDefault="00E836FB">
            <w:pPr>
              <w:rPr>
                <w:rFonts w:ascii="宋体"/>
                <w:vanish/>
              </w:rPr>
            </w:pPr>
          </w:p>
        </w:tc>
      </w:tr>
      <w:tr w:rsidR="00E836FB" w14:paraId="5F2D13E3" w14:textId="77777777">
        <w:trPr>
          <w:hidden/>
        </w:trPr>
        <w:tc>
          <w:tcPr>
            <w:tcW w:w="0" w:type="auto"/>
            <w:gridSpan w:val="3"/>
            <w:shd w:val="clear" w:color="auto" w:fill="auto"/>
            <w:vAlign w:val="bottom"/>
          </w:tcPr>
          <w:p w14:paraId="5F2D13D7" w14:textId="77777777" w:rsidR="00E836FB" w:rsidRDefault="00E836FB">
            <w:pPr>
              <w:rPr>
                <w:rFonts w:ascii="宋体"/>
                <w:vanish/>
              </w:rPr>
            </w:pPr>
          </w:p>
        </w:tc>
        <w:tc>
          <w:tcPr>
            <w:tcW w:w="0" w:type="auto"/>
            <w:gridSpan w:val="3"/>
            <w:shd w:val="clear" w:color="auto" w:fill="auto"/>
            <w:vAlign w:val="bottom"/>
          </w:tcPr>
          <w:p w14:paraId="5F2D13D8" w14:textId="77777777" w:rsidR="00E836FB" w:rsidRDefault="00E836FB">
            <w:pPr>
              <w:rPr>
                <w:rFonts w:ascii="宋体"/>
                <w:vanish/>
              </w:rPr>
            </w:pPr>
          </w:p>
        </w:tc>
        <w:tc>
          <w:tcPr>
            <w:tcW w:w="0" w:type="auto"/>
            <w:gridSpan w:val="3"/>
            <w:shd w:val="clear" w:color="auto" w:fill="auto"/>
            <w:vAlign w:val="bottom"/>
          </w:tcPr>
          <w:p w14:paraId="5F2D13D9" w14:textId="77777777" w:rsidR="00E836FB" w:rsidRDefault="00E836FB">
            <w:pPr>
              <w:rPr>
                <w:rFonts w:ascii="宋体"/>
                <w:vanish/>
              </w:rPr>
            </w:pPr>
          </w:p>
        </w:tc>
        <w:tc>
          <w:tcPr>
            <w:tcW w:w="0" w:type="auto"/>
            <w:gridSpan w:val="3"/>
            <w:shd w:val="clear" w:color="auto" w:fill="auto"/>
            <w:vAlign w:val="bottom"/>
          </w:tcPr>
          <w:p w14:paraId="5F2D13DA" w14:textId="77777777" w:rsidR="00E836FB" w:rsidRDefault="00E836FB">
            <w:pPr>
              <w:rPr>
                <w:rFonts w:ascii="宋体"/>
                <w:vanish/>
              </w:rPr>
            </w:pPr>
          </w:p>
        </w:tc>
        <w:tc>
          <w:tcPr>
            <w:tcW w:w="0" w:type="auto"/>
            <w:gridSpan w:val="3"/>
            <w:shd w:val="clear" w:color="auto" w:fill="auto"/>
            <w:vAlign w:val="bottom"/>
          </w:tcPr>
          <w:p w14:paraId="5F2D13DB" w14:textId="77777777" w:rsidR="00E836FB" w:rsidRDefault="00E836FB">
            <w:pPr>
              <w:rPr>
                <w:rFonts w:ascii="宋体"/>
                <w:vanish/>
              </w:rPr>
            </w:pPr>
          </w:p>
        </w:tc>
        <w:tc>
          <w:tcPr>
            <w:tcW w:w="0" w:type="auto"/>
            <w:gridSpan w:val="3"/>
            <w:shd w:val="clear" w:color="auto" w:fill="auto"/>
            <w:vAlign w:val="bottom"/>
          </w:tcPr>
          <w:p w14:paraId="5F2D13DC" w14:textId="77777777" w:rsidR="00E836FB" w:rsidRDefault="00E836FB">
            <w:pPr>
              <w:rPr>
                <w:rFonts w:ascii="宋体"/>
                <w:vanish/>
              </w:rPr>
            </w:pPr>
          </w:p>
        </w:tc>
        <w:tc>
          <w:tcPr>
            <w:tcW w:w="0" w:type="auto"/>
            <w:gridSpan w:val="3"/>
            <w:shd w:val="clear" w:color="auto" w:fill="auto"/>
            <w:vAlign w:val="bottom"/>
          </w:tcPr>
          <w:p w14:paraId="5F2D13DD" w14:textId="77777777" w:rsidR="00E836FB" w:rsidRDefault="00E836FB">
            <w:pPr>
              <w:rPr>
                <w:rFonts w:ascii="宋体"/>
                <w:vanish/>
              </w:rPr>
            </w:pPr>
          </w:p>
        </w:tc>
        <w:tc>
          <w:tcPr>
            <w:tcW w:w="0" w:type="auto"/>
            <w:gridSpan w:val="3"/>
            <w:shd w:val="clear" w:color="auto" w:fill="auto"/>
            <w:vAlign w:val="bottom"/>
          </w:tcPr>
          <w:p w14:paraId="5F2D13DE" w14:textId="77777777" w:rsidR="00E836FB" w:rsidRDefault="00E836FB">
            <w:pPr>
              <w:rPr>
                <w:rFonts w:ascii="宋体"/>
                <w:vanish/>
              </w:rPr>
            </w:pPr>
          </w:p>
        </w:tc>
        <w:tc>
          <w:tcPr>
            <w:tcW w:w="0" w:type="auto"/>
            <w:gridSpan w:val="3"/>
            <w:shd w:val="clear" w:color="auto" w:fill="auto"/>
            <w:vAlign w:val="bottom"/>
          </w:tcPr>
          <w:p w14:paraId="5F2D13DF" w14:textId="77777777" w:rsidR="00E836FB" w:rsidRDefault="00E836FB">
            <w:pPr>
              <w:rPr>
                <w:rFonts w:ascii="宋体"/>
                <w:vanish/>
              </w:rPr>
            </w:pPr>
          </w:p>
        </w:tc>
        <w:tc>
          <w:tcPr>
            <w:tcW w:w="0" w:type="auto"/>
            <w:gridSpan w:val="3"/>
            <w:shd w:val="clear" w:color="auto" w:fill="auto"/>
            <w:vAlign w:val="bottom"/>
          </w:tcPr>
          <w:p w14:paraId="5F2D13E0" w14:textId="77777777" w:rsidR="00E836FB" w:rsidRDefault="00E836FB">
            <w:pPr>
              <w:rPr>
                <w:rFonts w:ascii="宋体"/>
                <w:vanish/>
              </w:rPr>
            </w:pPr>
          </w:p>
        </w:tc>
        <w:tc>
          <w:tcPr>
            <w:tcW w:w="0" w:type="auto"/>
            <w:gridSpan w:val="3"/>
            <w:shd w:val="clear" w:color="auto" w:fill="auto"/>
            <w:vAlign w:val="bottom"/>
          </w:tcPr>
          <w:p w14:paraId="5F2D13E1" w14:textId="77777777" w:rsidR="00E836FB" w:rsidRDefault="00E836FB">
            <w:pPr>
              <w:rPr>
                <w:rFonts w:ascii="宋体"/>
                <w:vanish/>
              </w:rPr>
            </w:pPr>
          </w:p>
        </w:tc>
        <w:tc>
          <w:tcPr>
            <w:tcW w:w="0" w:type="auto"/>
            <w:gridSpan w:val="3"/>
            <w:shd w:val="clear" w:color="auto" w:fill="auto"/>
            <w:vAlign w:val="bottom"/>
          </w:tcPr>
          <w:p w14:paraId="5F2D13E2" w14:textId="77777777" w:rsidR="00E836FB" w:rsidRDefault="00E836FB">
            <w:pPr>
              <w:rPr>
                <w:rFonts w:ascii="宋体"/>
                <w:vanish/>
              </w:rPr>
            </w:pPr>
          </w:p>
        </w:tc>
      </w:tr>
      <w:tr w:rsidR="00E836FB" w14:paraId="5F2D13F0" w14:textId="77777777">
        <w:trPr>
          <w:hidden/>
        </w:trPr>
        <w:tc>
          <w:tcPr>
            <w:tcW w:w="0" w:type="auto"/>
            <w:gridSpan w:val="3"/>
            <w:shd w:val="clear" w:color="auto" w:fill="auto"/>
            <w:vAlign w:val="bottom"/>
          </w:tcPr>
          <w:p w14:paraId="5F2D13E4" w14:textId="77777777" w:rsidR="00E836FB" w:rsidRDefault="00E836FB">
            <w:pPr>
              <w:rPr>
                <w:rFonts w:ascii="宋体"/>
                <w:vanish/>
              </w:rPr>
            </w:pPr>
          </w:p>
        </w:tc>
        <w:tc>
          <w:tcPr>
            <w:tcW w:w="0" w:type="auto"/>
            <w:gridSpan w:val="3"/>
            <w:shd w:val="clear" w:color="auto" w:fill="auto"/>
            <w:vAlign w:val="bottom"/>
          </w:tcPr>
          <w:p w14:paraId="5F2D13E5" w14:textId="77777777" w:rsidR="00E836FB" w:rsidRDefault="00E836FB">
            <w:pPr>
              <w:rPr>
                <w:rFonts w:ascii="宋体"/>
                <w:vanish/>
              </w:rPr>
            </w:pPr>
          </w:p>
        </w:tc>
        <w:tc>
          <w:tcPr>
            <w:tcW w:w="0" w:type="auto"/>
            <w:gridSpan w:val="3"/>
            <w:shd w:val="clear" w:color="auto" w:fill="auto"/>
            <w:vAlign w:val="bottom"/>
          </w:tcPr>
          <w:p w14:paraId="5F2D13E6" w14:textId="77777777" w:rsidR="00E836FB" w:rsidRDefault="00E836FB">
            <w:pPr>
              <w:rPr>
                <w:rFonts w:ascii="宋体"/>
                <w:vanish/>
              </w:rPr>
            </w:pPr>
          </w:p>
        </w:tc>
        <w:tc>
          <w:tcPr>
            <w:tcW w:w="0" w:type="auto"/>
            <w:gridSpan w:val="3"/>
            <w:shd w:val="clear" w:color="auto" w:fill="auto"/>
            <w:vAlign w:val="bottom"/>
          </w:tcPr>
          <w:p w14:paraId="5F2D13E7" w14:textId="77777777" w:rsidR="00E836FB" w:rsidRDefault="00E836FB">
            <w:pPr>
              <w:rPr>
                <w:rFonts w:ascii="宋体"/>
                <w:vanish/>
              </w:rPr>
            </w:pPr>
          </w:p>
        </w:tc>
        <w:tc>
          <w:tcPr>
            <w:tcW w:w="0" w:type="auto"/>
            <w:gridSpan w:val="3"/>
            <w:shd w:val="clear" w:color="auto" w:fill="auto"/>
            <w:vAlign w:val="bottom"/>
          </w:tcPr>
          <w:p w14:paraId="5F2D13E8" w14:textId="77777777" w:rsidR="00E836FB" w:rsidRDefault="00E836FB">
            <w:pPr>
              <w:rPr>
                <w:rFonts w:ascii="宋体"/>
                <w:vanish/>
              </w:rPr>
            </w:pPr>
          </w:p>
        </w:tc>
        <w:tc>
          <w:tcPr>
            <w:tcW w:w="0" w:type="auto"/>
            <w:gridSpan w:val="3"/>
            <w:shd w:val="clear" w:color="auto" w:fill="auto"/>
            <w:vAlign w:val="bottom"/>
          </w:tcPr>
          <w:p w14:paraId="5F2D13E9" w14:textId="77777777" w:rsidR="00E836FB" w:rsidRDefault="00E836FB">
            <w:pPr>
              <w:rPr>
                <w:rFonts w:ascii="宋体"/>
                <w:vanish/>
              </w:rPr>
            </w:pPr>
          </w:p>
        </w:tc>
        <w:tc>
          <w:tcPr>
            <w:tcW w:w="0" w:type="auto"/>
            <w:gridSpan w:val="3"/>
            <w:shd w:val="clear" w:color="auto" w:fill="auto"/>
            <w:vAlign w:val="bottom"/>
          </w:tcPr>
          <w:p w14:paraId="5F2D13EA" w14:textId="77777777" w:rsidR="00E836FB" w:rsidRDefault="00E836FB">
            <w:pPr>
              <w:rPr>
                <w:rFonts w:ascii="宋体"/>
                <w:vanish/>
              </w:rPr>
            </w:pPr>
          </w:p>
        </w:tc>
        <w:tc>
          <w:tcPr>
            <w:tcW w:w="0" w:type="auto"/>
            <w:gridSpan w:val="3"/>
            <w:shd w:val="clear" w:color="auto" w:fill="auto"/>
            <w:vAlign w:val="bottom"/>
          </w:tcPr>
          <w:p w14:paraId="5F2D13EB" w14:textId="77777777" w:rsidR="00E836FB" w:rsidRDefault="00E836FB">
            <w:pPr>
              <w:rPr>
                <w:rFonts w:ascii="宋体"/>
                <w:vanish/>
              </w:rPr>
            </w:pPr>
          </w:p>
        </w:tc>
        <w:tc>
          <w:tcPr>
            <w:tcW w:w="0" w:type="auto"/>
            <w:gridSpan w:val="3"/>
            <w:shd w:val="clear" w:color="auto" w:fill="auto"/>
            <w:vAlign w:val="bottom"/>
          </w:tcPr>
          <w:p w14:paraId="5F2D13EC" w14:textId="77777777" w:rsidR="00E836FB" w:rsidRDefault="00E836FB">
            <w:pPr>
              <w:rPr>
                <w:rFonts w:ascii="宋体"/>
                <w:vanish/>
              </w:rPr>
            </w:pPr>
          </w:p>
        </w:tc>
        <w:tc>
          <w:tcPr>
            <w:tcW w:w="0" w:type="auto"/>
            <w:gridSpan w:val="3"/>
            <w:shd w:val="clear" w:color="auto" w:fill="auto"/>
            <w:vAlign w:val="bottom"/>
          </w:tcPr>
          <w:p w14:paraId="5F2D13ED" w14:textId="77777777" w:rsidR="00E836FB" w:rsidRDefault="00E836FB">
            <w:pPr>
              <w:rPr>
                <w:rFonts w:ascii="宋体"/>
                <w:vanish/>
              </w:rPr>
            </w:pPr>
          </w:p>
        </w:tc>
        <w:tc>
          <w:tcPr>
            <w:tcW w:w="0" w:type="auto"/>
            <w:gridSpan w:val="3"/>
            <w:shd w:val="clear" w:color="auto" w:fill="auto"/>
            <w:vAlign w:val="bottom"/>
          </w:tcPr>
          <w:p w14:paraId="5F2D13EE" w14:textId="77777777" w:rsidR="00E836FB" w:rsidRDefault="00E836FB">
            <w:pPr>
              <w:rPr>
                <w:rFonts w:ascii="宋体"/>
                <w:vanish/>
              </w:rPr>
            </w:pPr>
          </w:p>
        </w:tc>
        <w:tc>
          <w:tcPr>
            <w:tcW w:w="0" w:type="auto"/>
            <w:gridSpan w:val="3"/>
            <w:shd w:val="clear" w:color="auto" w:fill="auto"/>
            <w:vAlign w:val="bottom"/>
          </w:tcPr>
          <w:p w14:paraId="5F2D13EF" w14:textId="77777777" w:rsidR="00E836FB" w:rsidRDefault="00E836FB">
            <w:pPr>
              <w:rPr>
                <w:rFonts w:ascii="宋体"/>
                <w:vanish/>
              </w:rPr>
            </w:pPr>
          </w:p>
        </w:tc>
      </w:tr>
      <w:tr w:rsidR="00E836FB" w14:paraId="5F2D13FD" w14:textId="77777777">
        <w:trPr>
          <w:hidden/>
        </w:trPr>
        <w:tc>
          <w:tcPr>
            <w:tcW w:w="0" w:type="auto"/>
            <w:gridSpan w:val="3"/>
            <w:shd w:val="clear" w:color="auto" w:fill="auto"/>
            <w:vAlign w:val="bottom"/>
          </w:tcPr>
          <w:p w14:paraId="5F2D13F1" w14:textId="77777777" w:rsidR="00E836FB" w:rsidRDefault="00E836FB">
            <w:pPr>
              <w:rPr>
                <w:rFonts w:ascii="宋体"/>
                <w:vanish/>
              </w:rPr>
            </w:pPr>
          </w:p>
        </w:tc>
        <w:tc>
          <w:tcPr>
            <w:tcW w:w="0" w:type="auto"/>
            <w:gridSpan w:val="3"/>
            <w:shd w:val="clear" w:color="auto" w:fill="auto"/>
            <w:vAlign w:val="bottom"/>
          </w:tcPr>
          <w:p w14:paraId="5F2D13F2" w14:textId="77777777" w:rsidR="00E836FB" w:rsidRDefault="00E836FB">
            <w:pPr>
              <w:rPr>
                <w:rFonts w:ascii="宋体"/>
                <w:vanish/>
              </w:rPr>
            </w:pPr>
          </w:p>
        </w:tc>
        <w:tc>
          <w:tcPr>
            <w:tcW w:w="0" w:type="auto"/>
            <w:gridSpan w:val="3"/>
            <w:shd w:val="clear" w:color="auto" w:fill="auto"/>
            <w:vAlign w:val="bottom"/>
          </w:tcPr>
          <w:p w14:paraId="5F2D13F3" w14:textId="77777777" w:rsidR="00E836FB" w:rsidRDefault="00E836FB">
            <w:pPr>
              <w:rPr>
                <w:rFonts w:ascii="宋体"/>
                <w:vanish/>
              </w:rPr>
            </w:pPr>
          </w:p>
        </w:tc>
        <w:tc>
          <w:tcPr>
            <w:tcW w:w="0" w:type="auto"/>
            <w:gridSpan w:val="3"/>
            <w:shd w:val="clear" w:color="auto" w:fill="auto"/>
            <w:vAlign w:val="bottom"/>
          </w:tcPr>
          <w:p w14:paraId="5F2D13F4" w14:textId="77777777" w:rsidR="00E836FB" w:rsidRDefault="00E836FB">
            <w:pPr>
              <w:rPr>
                <w:rFonts w:ascii="宋体"/>
                <w:vanish/>
              </w:rPr>
            </w:pPr>
          </w:p>
        </w:tc>
        <w:tc>
          <w:tcPr>
            <w:tcW w:w="0" w:type="auto"/>
            <w:gridSpan w:val="3"/>
            <w:shd w:val="clear" w:color="auto" w:fill="auto"/>
            <w:vAlign w:val="bottom"/>
          </w:tcPr>
          <w:p w14:paraId="5F2D13F5" w14:textId="77777777" w:rsidR="00E836FB" w:rsidRDefault="00E836FB">
            <w:pPr>
              <w:rPr>
                <w:rFonts w:ascii="宋体"/>
                <w:vanish/>
              </w:rPr>
            </w:pPr>
          </w:p>
        </w:tc>
        <w:tc>
          <w:tcPr>
            <w:tcW w:w="0" w:type="auto"/>
            <w:gridSpan w:val="3"/>
            <w:shd w:val="clear" w:color="auto" w:fill="auto"/>
            <w:vAlign w:val="bottom"/>
          </w:tcPr>
          <w:p w14:paraId="5F2D13F6" w14:textId="77777777" w:rsidR="00E836FB" w:rsidRDefault="00E836FB">
            <w:pPr>
              <w:rPr>
                <w:rFonts w:ascii="宋体"/>
                <w:vanish/>
              </w:rPr>
            </w:pPr>
          </w:p>
        </w:tc>
        <w:tc>
          <w:tcPr>
            <w:tcW w:w="0" w:type="auto"/>
            <w:gridSpan w:val="3"/>
            <w:shd w:val="clear" w:color="auto" w:fill="auto"/>
            <w:vAlign w:val="bottom"/>
          </w:tcPr>
          <w:p w14:paraId="5F2D13F7" w14:textId="77777777" w:rsidR="00E836FB" w:rsidRDefault="00E836FB">
            <w:pPr>
              <w:rPr>
                <w:rFonts w:ascii="宋体"/>
                <w:vanish/>
              </w:rPr>
            </w:pPr>
          </w:p>
        </w:tc>
        <w:tc>
          <w:tcPr>
            <w:tcW w:w="0" w:type="auto"/>
            <w:gridSpan w:val="3"/>
            <w:shd w:val="clear" w:color="auto" w:fill="auto"/>
            <w:vAlign w:val="bottom"/>
          </w:tcPr>
          <w:p w14:paraId="5F2D13F8" w14:textId="77777777" w:rsidR="00E836FB" w:rsidRDefault="00E836FB">
            <w:pPr>
              <w:rPr>
                <w:rFonts w:ascii="宋体"/>
                <w:vanish/>
              </w:rPr>
            </w:pPr>
          </w:p>
        </w:tc>
        <w:tc>
          <w:tcPr>
            <w:tcW w:w="0" w:type="auto"/>
            <w:gridSpan w:val="3"/>
            <w:shd w:val="clear" w:color="auto" w:fill="auto"/>
            <w:vAlign w:val="bottom"/>
          </w:tcPr>
          <w:p w14:paraId="5F2D13F9" w14:textId="77777777" w:rsidR="00E836FB" w:rsidRDefault="00E836FB">
            <w:pPr>
              <w:rPr>
                <w:rFonts w:ascii="宋体"/>
                <w:vanish/>
              </w:rPr>
            </w:pPr>
          </w:p>
        </w:tc>
        <w:tc>
          <w:tcPr>
            <w:tcW w:w="0" w:type="auto"/>
            <w:gridSpan w:val="3"/>
            <w:shd w:val="clear" w:color="auto" w:fill="auto"/>
            <w:vAlign w:val="bottom"/>
          </w:tcPr>
          <w:p w14:paraId="5F2D13FA" w14:textId="77777777" w:rsidR="00E836FB" w:rsidRDefault="00E836FB">
            <w:pPr>
              <w:rPr>
                <w:rFonts w:ascii="宋体"/>
                <w:vanish/>
              </w:rPr>
            </w:pPr>
          </w:p>
        </w:tc>
        <w:tc>
          <w:tcPr>
            <w:tcW w:w="0" w:type="auto"/>
            <w:gridSpan w:val="3"/>
            <w:shd w:val="clear" w:color="auto" w:fill="auto"/>
            <w:vAlign w:val="bottom"/>
          </w:tcPr>
          <w:p w14:paraId="5F2D13FB" w14:textId="77777777" w:rsidR="00E836FB" w:rsidRDefault="00E836FB">
            <w:pPr>
              <w:rPr>
                <w:rFonts w:ascii="宋体"/>
                <w:vanish/>
              </w:rPr>
            </w:pPr>
          </w:p>
        </w:tc>
        <w:tc>
          <w:tcPr>
            <w:tcW w:w="0" w:type="auto"/>
            <w:gridSpan w:val="3"/>
            <w:shd w:val="clear" w:color="auto" w:fill="auto"/>
            <w:vAlign w:val="bottom"/>
          </w:tcPr>
          <w:p w14:paraId="5F2D13FC" w14:textId="77777777" w:rsidR="00E836FB" w:rsidRDefault="00E836FB">
            <w:pPr>
              <w:rPr>
                <w:rFonts w:ascii="宋体"/>
                <w:vanish/>
              </w:rPr>
            </w:pPr>
          </w:p>
        </w:tc>
      </w:tr>
      <w:tr w:rsidR="00E836FB" w14:paraId="5F2D140A" w14:textId="77777777">
        <w:trPr>
          <w:hidden/>
        </w:trPr>
        <w:tc>
          <w:tcPr>
            <w:tcW w:w="0" w:type="auto"/>
            <w:gridSpan w:val="3"/>
            <w:shd w:val="clear" w:color="auto" w:fill="auto"/>
            <w:vAlign w:val="bottom"/>
          </w:tcPr>
          <w:p w14:paraId="5F2D13FE" w14:textId="77777777" w:rsidR="00E836FB" w:rsidRDefault="00E836FB">
            <w:pPr>
              <w:rPr>
                <w:rFonts w:ascii="宋体"/>
                <w:vanish/>
              </w:rPr>
            </w:pPr>
          </w:p>
        </w:tc>
        <w:tc>
          <w:tcPr>
            <w:tcW w:w="0" w:type="auto"/>
            <w:gridSpan w:val="3"/>
            <w:shd w:val="clear" w:color="auto" w:fill="auto"/>
            <w:vAlign w:val="bottom"/>
          </w:tcPr>
          <w:p w14:paraId="5F2D13FF" w14:textId="77777777" w:rsidR="00E836FB" w:rsidRDefault="00E836FB">
            <w:pPr>
              <w:rPr>
                <w:rFonts w:ascii="宋体"/>
                <w:vanish/>
              </w:rPr>
            </w:pPr>
          </w:p>
        </w:tc>
        <w:tc>
          <w:tcPr>
            <w:tcW w:w="0" w:type="auto"/>
            <w:gridSpan w:val="3"/>
            <w:shd w:val="clear" w:color="auto" w:fill="auto"/>
            <w:vAlign w:val="bottom"/>
          </w:tcPr>
          <w:p w14:paraId="5F2D1400" w14:textId="77777777" w:rsidR="00E836FB" w:rsidRDefault="00E836FB">
            <w:pPr>
              <w:rPr>
                <w:rFonts w:ascii="宋体"/>
                <w:vanish/>
              </w:rPr>
            </w:pPr>
          </w:p>
        </w:tc>
        <w:tc>
          <w:tcPr>
            <w:tcW w:w="0" w:type="auto"/>
            <w:gridSpan w:val="3"/>
            <w:shd w:val="clear" w:color="auto" w:fill="auto"/>
            <w:vAlign w:val="bottom"/>
          </w:tcPr>
          <w:p w14:paraId="5F2D1401" w14:textId="77777777" w:rsidR="00E836FB" w:rsidRDefault="00E836FB">
            <w:pPr>
              <w:rPr>
                <w:rFonts w:ascii="宋体"/>
                <w:vanish/>
              </w:rPr>
            </w:pPr>
          </w:p>
        </w:tc>
        <w:tc>
          <w:tcPr>
            <w:tcW w:w="0" w:type="auto"/>
            <w:gridSpan w:val="3"/>
            <w:shd w:val="clear" w:color="auto" w:fill="auto"/>
            <w:vAlign w:val="bottom"/>
          </w:tcPr>
          <w:p w14:paraId="5F2D1402" w14:textId="77777777" w:rsidR="00E836FB" w:rsidRDefault="00E836FB">
            <w:pPr>
              <w:rPr>
                <w:rFonts w:ascii="宋体"/>
                <w:vanish/>
              </w:rPr>
            </w:pPr>
          </w:p>
        </w:tc>
        <w:tc>
          <w:tcPr>
            <w:tcW w:w="0" w:type="auto"/>
            <w:gridSpan w:val="3"/>
            <w:shd w:val="clear" w:color="auto" w:fill="auto"/>
            <w:vAlign w:val="bottom"/>
          </w:tcPr>
          <w:p w14:paraId="5F2D1403" w14:textId="77777777" w:rsidR="00E836FB" w:rsidRDefault="00E836FB">
            <w:pPr>
              <w:rPr>
                <w:rFonts w:ascii="宋体"/>
                <w:vanish/>
              </w:rPr>
            </w:pPr>
          </w:p>
        </w:tc>
        <w:tc>
          <w:tcPr>
            <w:tcW w:w="0" w:type="auto"/>
            <w:gridSpan w:val="3"/>
            <w:shd w:val="clear" w:color="auto" w:fill="auto"/>
            <w:vAlign w:val="bottom"/>
          </w:tcPr>
          <w:p w14:paraId="5F2D1404" w14:textId="77777777" w:rsidR="00E836FB" w:rsidRDefault="00E836FB">
            <w:pPr>
              <w:rPr>
                <w:rFonts w:ascii="宋体"/>
                <w:vanish/>
              </w:rPr>
            </w:pPr>
          </w:p>
        </w:tc>
        <w:tc>
          <w:tcPr>
            <w:tcW w:w="0" w:type="auto"/>
            <w:gridSpan w:val="3"/>
            <w:shd w:val="clear" w:color="auto" w:fill="auto"/>
            <w:vAlign w:val="bottom"/>
          </w:tcPr>
          <w:p w14:paraId="5F2D1405" w14:textId="77777777" w:rsidR="00E836FB" w:rsidRDefault="00E836FB">
            <w:pPr>
              <w:rPr>
                <w:rFonts w:ascii="宋体"/>
                <w:vanish/>
              </w:rPr>
            </w:pPr>
          </w:p>
        </w:tc>
        <w:tc>
          <w:tcPr>
            <w:tcW w:w="0" w:type="auto"/>
            <w:gridSpan w:val="3"/>
            <w:shd w:val="clear" w:color="auto" w:fill="auto"/>
            <w:vAlign w:val="bottom"/>
          </w:tcPr>
          <w:p w14:paraId="5F2D1406" w14:textId="77777777" w:rsidR="00E836FB" w:rsidRDefault="00E836FB">
            <w:pPr>
              <w:rPr>
                <w:rFonts w:ascii="宋体"/>
                <w:vanish/>
              </w:rPr>
            </w:pPr>
          </w:p>
        </w:tc>
        <w:tc>
          <w:tcPr>
            <w:tcW w:w="0" w:type="auto"/>
            <w:gridSpan w:val="3"/>
            <w:shd w:val="clear" w:color="auto" w:fill="auto"/>
            <w:vAlign w:val="bottom"/>
          </w:tcPr>
          <w:p w14:paraId="5F2D1407" w14:textId="77777777" w:rsidR="00E836FB" w:rsidRDefault="00E836FB">
            <w:pPr>
              <w:rPr>
                <w:rFonts w:ascii="宋体"/>
                <w:vanish/>
              </w:rPr>
            </w:pPr>
          </w:p>
        </w:tc>
        <w:tc>
          <w:tcPr>
            <w:tcW w:w="0" w:type="auto"/>
            <w:gridSpan w:val="3"/>
            <w:shd w:val="clear" w:color="auto" w:fill="auto"/>
            <w:vAlign w:val="bottom"/>
          </w:tcPr>
          <w:p w14:paraId="5F2D1408" w14:textId="77777777" w:rsidR="00E836FB" w:rsidRDefault="00E836FB">
            <w:pPr>
              <w:rPr>
                <w:rFonts w:ascii="宋体"/>
                <w:vanish/>
              </w:rPr>
            </w:pPr>
          </w:p>
        </w:tc>
        <w:tc>
          <w:tcPr>
            <w:tcW w:w="0" w:type="auto"/>
            <w:gridSpan w:val="3"/>
            <w:shd w:val="clear" w:color="auto" w:fill="auto"/>
            <w:vAlign w:val="bottom"/>
          </w:tcPr>
          <w:p w14:paraId="5F2D1409" w14:textId="77777777" w:rsidR="00E836FB" w:rsidRDefault="00E836FB">
            <w:pPr>
              <w:rPr>
                <w:rFonts w:ascii="宋体"/>
                <w:vanish/>
              </w:rPr>
            </w:pPr>
          </w:p>
        </w:tc>
      </w:tr>
      <w:tr w:rsidR="00E836FB" w14:paraId="5F2D1417" w14:textId="77777777">
        <w:trPr>
          <w:hidden/>
        </w:trPr>
        <w:tc>
          <w:tcPr>
            <w:tcW w:w="0" w:type="auto"/>
            <w:gridSpan w:val="3"/>
            <w:shd w:val="clear" w:color="auto" w:fill="auto"/>
            <w:vAlign w:val="bottom"/>
          </w:tcPr>
          <w:p w14:paraId="5F2D140B" w14:textId="77777777" w:rsidR="00E836FB" w:rsidRDefault="00E836FB">
            <w:pPr>
              <w:rPr>
                <w:rFonts w:ascii="宋体"/>
                <w:vanish/>
              </w:rPr>
            </w:pPr>
          </w:p>
        </w:tc>
        <w:tc>
          <w:tcPr>
            <w:tcW w:w="0" w:type="auto"/>
            <w:gridSpan w:val="3"/>
            <w:shd w:val="clear" w:color="auto" w:fill="auto"/>
            <w:vAlign w:val="bottom"/>
          </w:tcPr>
          <w:p w14:paraId="5F2D140C" w14:textId="77777777" w:rsidR="00E836FB" w:rsidRDefault="00E836FB">
            <w:pPr>
              <w:rPr>
                <w:rFonts w:ascii="宋体"/>
                <w:vanish/>
              </w:rPr>
            </w:pPr>
          </w:p>
        </w:tc>
        <w:tc>
          <w:tcPr>
            <w:tcW w:w="0" w:type="auto"/>
            <w:gridSpan w:val="3"/>
            <w:shd w:val="clear" w:color="auto" w:fill="auto"/>
            <w:vAlign w:val="bottom"/>
          </w:tcPr>
          <w:p w14:paraId="5F2D140D" w14:textId="77777777" w:rsidR="00E836FB" w:rsidRDefault="00E836FB">
            <w:pPr>
              <w:rPr>
                <w:rFonts w:ascii="宋体"/>
                <w:vanish/>
              </w:rPr>
            </w:pPr>
          </w:p>
        </w:tc>
        <w:tc>
          <w:tcPr>
            <w:tcW w:w="0" w:type="auto"/>
            <w:gridSpan w:val="3"/>
            <w:shd w:val="clear" w:color="auto" w:fill="auto"/>
            <w:vAlign w:val="bottom"/>
          </w:tcPr>
          <w:p w14:paraId="5F2D140E" w14:textId="77777777" w:rsidR="00E836FB" w:rsidRDefault="00E836FB">
            <w:pPr>
              <w:rPr>
                <w:rFonts w:ascii="宋体"/>
                <w:vanish/>
              </w:rPr>
            </w:pPr>
          </w:p>
        </w:tc>
        <w:tc>
          <w:tcPr>
            <w:tcW w:w="0" w:type="auto"/>
            <w:gridSpan w:val="3"/>
            <w:shd w:val="clear" w:color="auto" w:fill="auto"/>
            <w:vAlign w:val="bottom"/>
          </w:tcPr>
          <w:p w14:paraId="5F2D140F" w14:textId="77777777" w:rsidR="00E836FB" w:rsidRDefault="00E836FB">
            <w:pPr>
              <w:rPr>
                <w:rFonts w:ascii="宋体"/>
                <w:vanish/>
              </w:rPr>
            </w:pPr>
          </w:p>
        </w:tc>
        <w:tc>
          <w:tcPr>
            <w:tcW w:w="0" w:type="auto"/>
            <w:gridSpan w:val="3"/>
            <w:shd w:val="clear" w:color="auto" w:fill="auto"/>
            <w:vAlign w:val="bottom"/>
          </w:tcPr>
          <w:p w14:paraId="5F2D1410" w14:textId="77777777" w:rsidR="00E836FB" w:rsidRDefault="00E836FB">
            <w:pPr>
              <w:rPr>
                <w:rFonts w:ascii="宋体"/>
                <w:vanish/>
              </w:rPr>
            </w:pPr>
          </w:p>
        </w:tc>
        <w:tc>
          <w:tcPr>
            <w:tcW w:w="0" w:type="auto"/>
            <w:gridSpan w:val="3"/>
            <w:shd w:val="clear" w:color="auto" w:fill="auto"/>
            <w:vAlign w:val="bottom"/>
          </w:tcPr>
          <w:p w14:paraId="5F2D1411" w14:textId="77777777" w:rsidR="00E836FB" w:rsidRDefault="00E836FB">
            <w:pPr>
              <w:rPr>
                <w:rFonts w:ascii="宋体"/>
                <w:vanish/>
              </w:rPr>
            </w:pPr>
          </w:p>
        </w:tc>
        <w:tc>
          <w:tcPr>
            <w:tcW w:w="0" w:type="auto"/>
            <w:gridSpan w:val="3"/>
            <w:shd w:val="clear" w:color="auto" w:fill="auto"/>
            <w:vAlign w:val="bottom"/>
          </w:tcPr>
          <w:p w14:paraId="5F2D1412" w14:textId="77777777" w:rsidR="00E836FB" w:rsidRDefault="00E836FB">
            <w:pPr>
              <w:rPr>
                <w:rFonts w:ascii="宋体"/>
                <w:vanish/>
              </w:rPr>
            </w:pPr>
          </w:p>
        </w:tc>
        <w:tc>
          <w:tcPr>
            <w:tcW w:w="0" w:type="auto"/>
            <w:gridSpan w:val="3"/>
            <w:shd w:val="clear" w:color="auto" w:fill="auto"/>
            <w:vAlign w:val="bottom"/>
          </w:tcPr>
          <w:p w14:paraId="5F2D1413" w14:textId="77777777" w:rsidR="00E836FB" w:rsidRDefault="00E836FB">
            <w:pPr>
              <w:rPr>
                <w:rFonts w:ascii="宋体"/>
                <w:vanish/>
              </w:rPr>
            </w:pPr>
          </w:p>
        </w:tc>
        <w:tc>
          <w:tcPr>
            <w:tcW w:w="0" w:type="auto"/>
            <w:gridSpan w:val="3"/>
            <w:shd w:val="clear" w:color="auto" w:fill="auto"/>
            <w:vAlign w:val="bottom"/>
          </w:tcPr>
          <w:p w14:paraId="5F2D1414" w14:textId="77777777" w:rsidR="00E836FB" w:rsidRDefault="00E836FB">
            <w:pPr>
              <w:rPr>
                <w:rFonts w:ascii="宋体"/>
                <w:vanish/>
              </w:rPr>
            </w:pPr>
          </w:p>
        </w:tc>
        <w:tc>
          <w:tcPr>
            <w:tcW w:w="0" w:type="auto"/>
            <w:gridSpan w:val="3"/>
            <w:shd w:val="clear" w:color="auto" w:fill="auto"/>
            <w:vAlign w:val="bottom"/>
          </w:tcPr>
          <w:p w14:paraId="5F2D1415" w14:textId="77777777" w:rsidR="00E836FB" w:rsidRDefault="00E836FB">
            <w:pPr>
              <w:rPr>
                <w:rFonts w:ascii="宋体"/>
                <w:vanish/>
              </w:rPr>
            </w:pPr>
          </w:p>
        </w:tc>
        <w:tc>
          <w:tcPr>
            <w:tcW w:w="0" w:type="auto"/>
            <w:gridSpan w:val="3"/>
            <w:shd w:val="clear" w:color="auto" w:fill="auto"/>
            <w:vAlign w:val="bottom"/>
          </w:tcPr>
          <w:p w14:paraId="5F2D1416" w14:textId="77777777" w:rsidR="00E836FB" w:rsidRDefault="00E836FB">
            <w:pPr>
              <w:rPr>
                <w:rFonts w:ascii="宋体"/>
                <w:vanish/>
              </w:rPr>
            </w:pPr>
          </w:p>
        </w:tc>
      </w:tr>
      <w:tr w:rsidR="00E836FB" w14:paraId="5F2D1424" w14:textId="77777777">
        <w:trPr>
          <w:hidden/>
        </w:trPr>
        <w:tc>
          <w:tcPr>
            <w:tcW w:w="0" w:type="auto"/>
            <w:gridSpan w:val="3"/>
            <w:shd w:val="clear" w:color="auto" w:fill="auto"/>
            <w:vAlign w:val="bottom"/>
          </w:tcPr>
          <w:p w14:paraId="5F2D1418" w14:textId="77777777" w:rsidR="00E836FB" w:rsidRDefault="00E836FB">
            <w:pPr>
              <w:rPr>
                <w:rFonts w:ascii="宋体"/>
                <w:vanish/>
              </w:rPr>
            </w:pPr>
          </w:p>
        </w:tc>
        <w:tc>
          <w:tcPr>
            <w:tcW w:w="0" w:type="auto"/>
            <w:gridSpan w:val="3"/>
            <w:shd w:val="clear" w:color="auto" w:fill="auto"/>
            <w:vAlign w:val="bottom"/>
          </w:tcPr>
          <w:p w14:paraId="5F2D1419" w14:textId="77777777" w:rsidR="00E836FB" w:rsidRDefault="00E836FB">
            <w:pPr>
              <w:rPr>
                <w:rFonts w:ascii="宋体"/>
                <w:vanish/>
              </w:rPr>
            </w:pPr>
          </w:p>
        </w:tc>
        <w:tc>
          <w:tcPr>
            <w:tcW w:w="0" w:type="auto"/>
            <w:gridSpan w:val="3"/>
            <w:shd w:val="clear" w:color="auto" w:fill="auto"/>
            <w:vAlign w:val="bottom"/>
          </w:tcPr>
          <w:p w14:paraId="5F2D141A" w14:textId="77777777" w:rsidR="00E836FB" w:rsidRDefault="00E836FB">
            <w:pPr>
              <w:rPr>
                <w:rFonts w:ascii="宋体"/>
                <w:vanish/>
              </w:rPr>
            </w:pPr>
          </w:p>
        </w:tc>
        <w:tc>
          <w:tcPr>
            <w:tcW w:w="0" w:type="auto"/>
            <w:gridSpan w:val="3"/>
            <w:shd w:val="clear" w:color="auto" w:fill="auto"/>
            <w:vAlign w:val="bottom"/>
          </w:tcPr>
          <w:p w14:paraId="5F2D141B" w14:textId="77777777" w:rsidR="00E836FB" w:rsidRDefault="00E836FB">
            <w:pPr>
              <w:rPr>
                <w:rFonts w:ascii="宋体"/>
                <w:vanish/>
              </w:rPr>
            </w:pPr>
          </w:p>
        </w:tc>
        <w:tc>
          <w:tcPr>
            <w:tcW w:w="0" w:type="auto"/>
            <w:gridSpan w:val="3"/>
            <w:shd w:val="clear" w:color="auto" w:fill="auto"/>
            <w:vAlign w:val="bottom"/>
          </w:tcPr>
          <w:p w14:paraId="5F2D141C" w14:textId="77777777" w:rsidR="00E836FB" w:rsidRDefault="00E836FB">
            <w:pPr>
              <w:rPr>
                <w:rFonts w:ascii="宋体"/>
                <w:vanish/>
              </w:rPr>
            </w:pPr>
          </w:p>
        </w:tc>
        <w:tc>
          <w:tcPr>
            <w:tcW w:w="0" w:type="auto"/>
            <w:gridSpan w:val="3"/>
            <w:shd w:val="clear" w:color="auto" w:fill="auto"/>
            <w:vAlign w:val="bottom"/>
          </w:tcPr>
          <w:p w14:paraId="5F2D141D" w14:textId="77777777" w:rsidR="00E836FB" w:rsidRDefault="00E836FB">
            <w:pPr>
              <w:rPr>
                <w:rFonts w:ascii="宋体"/>
                <w:vanish/>
              </w:rPr>
            </w:pPr>
          </w:p>
        </w:tc>
        <w:tc>
          <w:tcPr>
            <w:tcW w:w="0" w:type="auto"/>
            <w:gridSpan w:val="3"/>
            <w:shd w:val="clear" w:color="auto" w:fill="auto"/>
            <w:vAlign w:val="bottom"/>
          </w:tcPr>
          <w:p w14:paraId="5F2D141E" w14:textId="77777777" w:rsidR="00E836FB" w:rsidRDefault="00E836FB">
            <w:pPr>
              <w:rPr>
                <w:rFonts w:ascii="宋体"/>
                <w:vanish/>
              </w:rPr>
            </w:pPr>
          </w:p>
        </w:tc>
        <w:tc>
          <w:tcPr>
            <w:tcW w:w="0" w:type="auto"/>
            <w:gridSpan w:val="3"/>
            <w:shd w:val="clear" w:color="auto" w:fill="auto"/>
            <w:vAlign w:val="bottom"/>
          </w:tcPr>
          <w:p w14:paraId="5F2D141F" w14:textId="77777777" w:rsidR="00E836FB" w:rsidRDefault="00E836FB">
            <w:pPr>
              <w:rPr>
                <w:rFonts w:ascii="宋体"/>
                <w:vanish/>
              </w:rPr>
            </w:pPr>
          </w:p>
        </w:tc>
        <w:tc>
          <w:tcPr>
            <w:tcW w:w="0" w:type="auto"/>
            <w:gridSpan w:val="3"/>
            <w:shd w:val="clear" w:color="auto" w:fill="auto"/>
            <w:vAlign w:val="bottom"/>
          </w:tcPr>
          <w:p w14:paraId="5F2D1420" w14:textId="77777777" w:rsidR="00E836FB" w:rsidRDefault="00E836FB">
            <w:pPr>
              <w:rPr>
                <w:rFonts w:ascii="宋体"/>
                <w:vanish/>
              </w:rPr>
            </w:pPr>
          </w:p>
        </w:tc>
        <w:tc>
          <w:tcPr>
            <w:tcW w:w="0" w:type="auto"/>
            <w:gridSpan w:val="3"/>
            <w:shd w:val="clear" w:color="auto" w:fill="auto"/>
            <w:vAlign w:val="bottom"/>
          </w:tcPr>
          <w:p w14:paraId="5F2D1421" w14:textId="77777777" w:rsidR="00E836FB" w:rsidRDefault="00E836FB">
            <w:pPr>
              <w:rPr>
                <w:rFonts w:ascii="宋体"/>
                <w:vanish/>
              </w:rPr>
            </w:pPr>
          </w:p>
        </w:tc>
        <w:tc>
          <w:tcPr>
            <w:tcW w:w="0" w:type="auto"/>
            <w:gridSpan w:val="3"/>
            <w:shd w:val="clear" w:color="auto" w:fill="auto"/>
            <w:vAlign w:val="bottom"/>
          </w:tcPr>
          <w:p w14:paraId="5F2D1422" w14:textId="77777777" w:rsidR="00E836FB" w:rsidRDefault="00E836FB">
            <w:pPr>
              <w:rPr>
                <w:rFonts w:ascii="宋体"/>
                <w:vanish/>
              </w:rPr>
            </w:pPr>
          </w:p>
        </w:tc>
        <w:tc>
          <w:tcPr>
            <w:tcW w:w="0" w:type="auto"/>
            <w:gridSpan w:val="3"/>
            <w:shd w:val="clear" w:color="auto" w:fill="auto"/>
            <w:vAlign w:val="bottom"/>
          </w:tcPr>
          <w:p w14:paraId="5F2D1423" w14:textId="77777777" w:rsidR="00E836FB" w:rsidRDefault="00E836FB">
            <w:pPr>
              <w:rPr>
                <w:rFonts w:ascii="宋体"/>
                <w:vanish/>
              </w:rPr>
            </w:pPr>
          </w:p>
        </w:tc>
      </w:tr>
      <w:tr w:rsidR="00E836FB" w14:paraId="5F2D1431" w14:textId="77777777">
        <w:trPr>
          <w:hidden/>
        </w:trPr>
        <w:tc>
          <w:tcPr>
            <w:tcW w:w="0" w:type="auto"/>
            <w:gridSpan w:val="3"/>
            <w:shd w:val="clear" w:color="auto" w:fill="auto"/>
            <w:vAlign w:val="bottom"/>
          </w:tcPr>
          <w:p w14:paraId="5F2D1425" w14:textId="77777777" w:rsidR="00E836FB" w:rsidRDefault="00E836FB">
            <w:pPr>
              <w:rPr>
                <w:rFonts w:ascii="宋体"/>
                <w:vanish/>
              </w:rPr>
            </w:pPr>
          </w:p>
        </w:tc>
        <w:tc>
          <w:tcPr>
            <w:tcW w:w="0" w:type="auto"/>
            <w:gridSpan w:val="3"/>
            <w:shd w:val="clear" w:color="auto" w:fill="auto"/>
            <w:vAlign w:val="bottom"/>
          </w:tcPr>
          <w:p w14:paraId="5F2D1426" w14:textId="77777777" w:rsidR="00E836FB" w:rsidRDefault="00E836FB">
            <w:pPr>
              <w:rPr>
                <w:rFonts w:ascii="宋体"/>
                <w:vanish/>
              </w:rPr>
            </w:pPr>
          </w:p>
        </w:tc>
        <w:tc>
          <w:tcPr>
            <w:tcW w:w="0" w:type="auto"/>
            <w:gridSpan w:val="3"/>
            <w:shd w:val="clear" w:color="auto" w:fill="auto"/>
            <w:vAlign w:val="bottom"/>
          </w:tcPr>
          <w:p w14:paraId="5F2D1427" w14:textId="77777777" w:rsidR="00E836FB" w:rsidRDefault="00E836FB">
            <w:pPr>
              <w:rPr>
                <w:rFonts w:ascii="宋体"/>
                <w:vanish/>
              </w:rPr>
            </w:pPr>
          </w:p>
        </w:tc>
        <w:tc>
          <w:tcPr>
            <w:tcW w:w="0" w:type="auto"/>
            <w:gridSpan w:val="3"/>
            <w:shd w:val="clear" w:color="auto" w:fill="auto"/>
            <w:vAlign w:val="bottom"/>
          </w:tcPr>
          <w:p w14:paraId="5F2D1428" w14:textId="77777777" w:rsidR="00E836FB" w:rsidRDefault="00E836FB">
            <w:pPr>
              <w:rPr>
                <w:rFonts w:ascii="宋体"/>
                <w:vanish/>
              </w:rPr>
            </w:pPr>
          </w:p>
        </w:tc>
        <w:tc>
          <w:tcPr>
            <w:tcW w:w="0" w:type="auto"/>
            <w:gridSpan w:val="3"/>
            <w:shd w:val="clear" w:color="auto" w:fill="auto"/>
            <w:vAlign w:val="bottom"/>
          </w:tcPr>
          <w:p w14:paraId="5F2D1429" w14:textId="77777777" w:rsidR="00E836FB" w:rsidRDefault="00E836FB">
            <w:pPr>
              <w:rPr>
                <w:rFonts w:ascii="宋体"/>
                <w:vanish/>
              </w:rPr>
            </w:pPr>
          </w:p>
        </w:tc>
        <w:tc>
          <w:tcPr>
            <w:tcW w:w="0" w:type="auto"/>
            <w:gridSpan w:val="3"/>
            <w:shd w:val="clear" w:color="auto" w:fill="auto"/>
            <w:vAlign w:val="bottom"/>
          </w:tcPr>
          <w:p w14:paraId="5F2D142A" w14:textId="77777777" w:rsidR="00E836FB" w:rsidRDefault="00E836FB">
            <w:pPr>
              <w:rPr>
                <w:rFonts w:ascii="宋体"/>
                <w:vanish/>
              </w:rPr>
            </w:pPr>
          </w:p>
        </w:tc>
        <w:tc>
          <w:tcPr>
            <w:tcW w:w="0" w:type="auto"/>
            <w:gridSpan w:val="3"/>
            <w:shd w:val="clear" w:color="auto" w:fill="auto"/>
            <w:vAlign w:val="bottom"/>
          </w:tcPr>
          <w:p w14:paraId="5F2D142B" w14:textId="77777777" w:rsidR="00E836FB" w:rsidRDefault="00E836FB">
            <w:pPr>
              <w:rPr>
                <w:rFonts w:ascii="宋体"/>
                <w:vanish/>
              </w:rPr>
            </w:pPr>
          </w:p>
        </w:tc>
        <w:tc>
          <w:tcPr>
            <w:tcW w:w="0" w:type="auto"/>
            <w:gridSpan w:val="3"/>
            <w:shd w:val="clear" w:color="auto" w:fill="auto"/>
            <w:vAlign w:val="bottom"/>
          </w:tcPr>
          <w:p w14:paraId="5F2D142C" w14:textId="77777777" w:rsidR="00E836FB" w:rsidRDefault="00E836FB">
            <w:pPr>
              <w:rPr>
                <w:rFonts w:ascii="宋体"/>
                <w:vanish/>
              </w:rPr>
            </w:pPr>
          </w:p>
        </w:tc>
        <w:tc>
          <w:tcPr>
            <w:tcW w:w="0" w:type="auto"/>
            <w:gridSpan w:val="3"/>
            <w:shd w:val="clear" w:color="auto" w:fill="auto"/>
            <w:vAlign w:val="bottom"/>
          </w:tcPr>
          <w:p w14:paraId="5F2D142D" w14:textId="77777777" w:rsidR="00E836FB" w:rsidRDefault="00E836FB">
            <w:pPr>
              <w:rPr>
                <w:rFonts w:ascii="宋体"/>
                <w:vanish/>
              </w:rPr>
            </w:pPr>
          </w:p>
        </w:tc>
        <w:tc>
          <w:tcPr>
            <w:tcW w:w="0" w:type="auto"/>
            <w:gridSpan w:val="3"/>
            <w:shd w:val="clear" w:color="auto" w:fill="auto"/>
            <w:vAlign w:val="bottom"/>
          </w:tcPr>
          <w:p w14:paraId="5F2D142E" w14:textId="77777777" w:rsidR="00E836FB" w:rsidRDefault="00E836FB">
            <w:pPr>
              <w:rPr>
                <w:rFonts w:ascii="宋体"/>
                <w:vanish/>
              </w:rPr>
            </w:pPr>
          </w:p>
        </w:tc>
        <w:tc>
          <w:tcPr>
            <w:tcW w:w="0" w:type="auto"/>
            <w:gridSpan w:val="3"/>
            <w:shd w:val="clear" w:color="auto" w:fill="auto"/>
            <w:vAlign w:val="bottom"/>
          </w:tcPr>
          <w:p w14:paraId="5F2D142F" w14:textId="77777777" w:rsidR="00E836FB" w:rsidRDefault="00E836FB">
            <w:pPr>
              <w:rPr>
                <w:rFonts w:ascii="宋体"/>
                <w:vanish/>
              </w:rPr>
            </w:pPr>
          </w:p>
        </w:tc>
        <w:tc>
          <w:tcPr>
            <w:tcW w:w="0" w:type="auto"/>
            <w:gridSpan w:val="3"/>
            <w:shd w:val="clear" w:color="auto" w:fill="auto"/>
            <w:vAlign w:val="bottom"/>
          </w:tcPr>
          <w:p w14:paraId="5F2D1430" w14:textId="77777777" w:rsidR="00E836FB" w:rsidRDefault="00E836FB">
            <w:pPr>
              <w:rPr>
                <w:rFonts w:ascii="宋体"/>
                <w:vanish/>
              </w:rPr>
            </w:pPr>
          </w:p>
        </w:tc>
      </w:tr>
      <w:tr w:rsidR="00E836FB" w14:paraId="5F2D143E" w14:textId="77777777">
        <w:trPr>
          <w:hidden/>
        </w:trPr>
        <w:tc>
          <w:tcPr>
            <w:tcW w:w="0" w:type="auto"/>
            <w:gridSpan w:val="3"/>
            <w:shd w:val="clear" w:color="auto" w:fill="auto"/>
            <w:vAlign w:val="bottom"/>
          </w:tcPr>
          <w:p w14:paraId="5F2D1432" w14:textId="77777777" w:rsidR="00E836FB" w:rsidRDefault="00E836FB">
            <w:pPr>
              <w:rPr>
                <w:rFonts w:ascii="宋体"/>
                <w:vanish/>
              </w:rPr>
            </w:pPr>
          </w:p>
        </w:tc>
        <w:tc>
          <w:tcPr>
            <w:tcW w:w="0" w:type="auto"/>
            <w:gridSpan w:val="3"/>
            <w:shd w:val="clear" w:color="auto" w:fill="auto"/>
            <w:vAlign w:val="bottom"/>
          </w:tcPr>
          <w:p w14:paraId="5F2D1433" w14:textId="77777777" w:rsidR="00E836FB" w:rsidRDefault="00E836FB">
            <w:pPr>
              <w:rPr>
                <w:rFonts w:ascii="宋体"/>
                <w:vanish/>
              </w:rPr>
            </w:pPr>
          </w:p>
        </w:tc>
        <w:tc>
          <w:tcPr>
            <w:tcW w:w="0" w:type="auto"/>
            <w:gridSpan w:val="3"/>
            <w:shd w:val="clear" w:color="auto" w:fill="auto"/>
            <w:vAlign w:val="bottom"/>
          </w:tcPr>
          <w:p w14:paraId="5F2D1434" w14:textId="77777777" w:rsidR="00E836FB" w:rsidRDefault="00E836FB">
            <w:pPr>
              <w:rPr>
                <w:rFonts w:ascii="宋体"/>
                <w:vanish/>
              </w:rPr>
            </w:pPr>
          </w:p>
        </w:tc>
        <w:tc>
          <w:tcPr>
            <w:tcW w:w="0" w:type="auto"/>
            <w:gridSpan w:val="3"/>
            <w:shd w:val="clear" w:color="auto" w:fill="auto"/>
            <w:vAlign w:val="bottom"/>
          </w:tcPr>
          <w:p w14:paraId="5F2D1435" w14:textId="77777777" w:rsidR="00E836FB" w:rsidRDefault="00E836FB">
            <w:pPr>
              <w:rPr>
                <w:rFonts w:ascii="宋体"/>
                <w:vanish/>
              </w:rPr>
            </w:pPr>
          </w:p>
        </w:tc>
        <w:tc>
          <w:tcPr>
            <w:tcW w:w="0" w:type="auto"/>
            <w:gridSpan w:val="3"/>
            <w:shd w:val="clear" w:color="auto" w:fill="auto"/>
            <w:vAlign w:val="bottom"/>
          </w:tcPr>
          <w:p w14:paraId="5F2D1436" w14:textId="77777777" w:rsidR="00E836FB" w:rsidRDefault="00E836FB">
            <w:pPr>
              <w:rPr>
                <w:rFonts w:ascii="宋体"/>
                <w:vanish/>
              </w:rPr>
            </w:pPr>
          </w:p>
        </w:tc>
        <w:tc>
          <w:tcPr>
            <w:tcW w:w="0" w:type="auto"/>
            <w:gridSpan w:val="3"/>
            <w:shd w:val="clear" w:color="auto" w:fill="auto"/>
            <w:vAlign w:val="bottom"/>
          </w:tcPr>
          <w:p w14:paraId="5F2D1437" w14:textId="77777777" w:rsidR="00E836FB" w:rsidRDefault="00E836FB">
            <w:pPr>
              <w:rPr>
                <w:rFonts w:ascii="宋体"/>
                <w:vanish/>
              </w:rPr>
            </w:pPr>
          </w:p>
        </w:tc>
        <w:tc>
          <w:tcPr>
            <w:tcW w:w="0" w:type="auto"/>
            <w:gridSpan w:val="3"/>
            <w:shd w:val="clear" w:color="auto" w:fill="auto"/>
            <w:vAlign w:val="bottom"/>
          </w:tcPr>
          <w:p w14:paraId="5F2D1438" w14:textId="77777777" w:rsidR="00E836FB" w:rsidRDefault="00E836FB">
            <w:pPr>
              <w:rPr>
                <w:rFonts w:ascii="宋体"/>
                <w:vanish/>
              </w:rPr>
            </w:pPr>
          </w:p>
        </w:tc>
        <w:tc>
          <w:tcPr>
            <w:tcW w:w="0" w:type="auto"/>
            <w:gridSpan w:val="3"/>
            <w:shd w:val="clear" w:color="auto" w:fill="auto"/>
            <w:vAlign w:val="bottom"/>
          </w:tcPr>
          <w:p w14:paraId="5F2D1439" w14:textId="77777777" w:rsidR="00E836FB" w:rsidRDefault="00E836FB">
            <w:pPr>
              <w:rPr>
                <w:rFonts w:ascii="宋体"/>
                <w:vanish/>
              </w:rPr>
            </w:pPr>
          </w:p>
        </w:tc>
        <w:tc>
          <w:tcPr>
            <w:tcW w:w="0" w:type="auto"/>
            <w:gridSpan w:val="3"/>
            <w:shd w:val="clear" w:color="auto" w:fill="auto"/>
            <w:vAlign w:val="bottom"/>
          </w:tcPr>
          <w:p w14:paraId="5F2D143A" w14:textId="77777777" w:rsidR="00E836FB" w:rsidRDefault="00E836FB">
            <w:pPr>
              <w:rPr>
                <w:rFonts w:ascii="宋体"/>
                <w:vanish/>
              </w:rPr>
            </w:pPr>
          </w:p>
        </w:tc>
        <w:tc>
          <w:tcPr>
            <w:tcW w:w="0" w:type="auto"/>
            <w:gridSpan w:val="3"/>
            <w:shd w:val="clear" w:color="auto" w:fill="auto"/>
            <w:vAlign w:val="bottom"/>
          </w:tcPr>
          <w:p w14:paraId="5F2D143B" w14:textId="77777777" w:rsidR="00E836FB" w:rsidRDefault="00E836FB">
            <w:pPr>
              <w:rPr>
                <w:rFonts w:ascii="宋体"/>
                <w:vanish/>
              </w:rPr>
            </w:pPr>
          </w:p>
        </w:tc>
        <w:tc>
          <w:tcPr>
            <w:tcW w:w="0" w:type="auto"/>
            <w:gridSpan w:val="3"/>
            <w:shd w:val="clear" w:color="auto" w:fill="auto"/>
            <w:vAlign w:val="bottom"/>
          </w:tcPr>
          <w:p w14:paraId="5F2D143C" w14:textId="77777777" w:rsidR="00E836FB" w:rsidRDefault="00E836FB">
            <w:pPr>
              <w:rPr>
                <w:rFonts w:ascii="宋体"/>
                <w:vanish/>
              </w:rPr>
            </w:pPr>
          </w:p>
        </w:tc>
        <w:tc>
          <w:tcPr>
            <w:tcW w:w="0" w:type="auto"/>
            <w:gridSpan w:val="3"/>
            <w:shd w:val="clear" w:color="auto" w:fill="auto"/>
            <w:vAlign w:val="bottom"/>
          </w:tcPr>
          <w:p w14:paraId="5F2D143D" w14:textId="77777777" w:rsidR="00E836FB" w:rsidRDefault="00E836FB">
            <w:pPr>
              <w:rPr>
                <w:rFonts w:ascii="宋体"/>
                <w:vanish/>
              </w:rPr>
            </w:pPr>
          </w:p>
        </w:tc>
      </w:tr>
    </w:tbl>
    <w:p w14:paraId="5F2D143F" w14:textId="77777777" w:rsidR="00E836FB" w:rsidRDefault="00994958">
      <w:pPr>
        <w:ind w:firstLine="450"/>
        <w:jc w:val="right"/>
      </w:pPr>
      <w:r>
        <w:rPr>
          <w:rFonts w:ascii="Arial" w:eastAsia="宋体" w:hAnsi="Arial" w:cs="Arial"/>
          <w:color w:val="000000"/>
          <w:sz w:val="18"/>
          <w:szCs w:val="18"/>
        </w:rPr>
        <w:t>State Street Corporation | 146</w:t>
      </w:r>
    </w:p>
    <w:p w14:paraId="5F2D1440" w14:textId="77777777" w:rsidR="00E836FB" w:rsidRDefault="00E836FB">
      <w:pPr>
        <w:ind w:firstLine="450"/>
        <w:jc w:val="center"/>
      </w:pPr>
    </w:p>
    <w:p w14:paraId="5F2D1441" w14:textId="77777777" w:rsidR="00E836FB" w:rsidRDefault="00994958">
      <w:r>
        <w:pict w14:anchorId="5F2D6E17">
          <v:rect id="_x0000_i1170" style="width:415.3pt;height:1.5pt" o:hralign="center" o:hrstd="t" o:hr="t" fillcolor="#a0a0a0" stroked="f"/>
        </w:pict>
      </w:r>
    </w:p>
    <w:p w14:paraId="5F2D1442" w14:textId="77777777" w:rsidR="00E836FB" w:rsidRDefault="00994958">
      <w:pPr>
        <w:ind w:firstLine="450"/>
        <w:jc w:val="center"/>
      </w:pPr>
      <w:r>
        <w:rPr>
          <w:rFonts w:ascii="Arial" w:eastAsia="宋体" w:hAnsi="Arial" w:cs="Arial"/>
          <w:b/>
          <w:bCs/>
          <w:color w:val="000000"/>
          <w:sz w:val="20"/>
          <w:szCs w:val="20"/>
        </w:rPr>
        <w:t>STATE STREET CORPORATION</w:t>
      </w:r>
    </w:p>
    <w:p w14:paraId="5F2D1443"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1444" w14:textId="77777777" w:rsidR="00E836FB" w:rsidRDefault="00994958">
      <w:pPr>
        <w:ind w:firstLine="450"/>
        <w:jc w:val="both"/>
      </w:pPr>
      <w:r>
        <w:rPr>
          <w:rFonts w:ascii="Arial" w:eastAsia="宋体" w:hAnsi="Arial" w:cs="Arial"/>
          <w:color w:val="000000"/>
          <w:sz w:val="20"/>
          <w:szCs w:val="20"/>
        </w:rPr>
        <w:t xml:space="preserve">The following table presents the amortized cost and the fair value of contractual maturities of </w:t>
      </w:r>
      <w:r>
        <w:rPr>
          <w:rFonts w:ascii="Arial" w:eastAsia="宋体" w:hAnsi="Arial" w:cs="Arial"/>
          <w:color w:val="000000"/>
          <w:sz w:val="20"/>
          <w:szCs w:val="20"/>
        </w:rPr>
        <w:t>debt investment securities as of December 31, 2021. The maturities of certain ABS, MBS and collateralized mortgage obligations are based on expected principal payments. Actual maturities may differ from these expected maturities since certain borrowers hav</w:t>
      </w:r>
      <w:r>
        <w:rPr>
          <w:rFonts w:ascii="Arial" w:eastAsia="宋体" w:hAnsi="Arial" w:cs="Arial"/>
          <w:color w:val="000000"/>
          <w:sz w:val="20"/>
          <w:szCs w:val="20"/>
        </w:rPr>
        <w:t>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160"/>
        <w:gridCol w:w="989"/>
        <w:gridCol w:w="36"/>
        <w:gridCol w:w="94"/>
        <w:gridCol w:w="570"/>
        <w:gridCol w:w="36"/>
        <w:gridCol w:w="40"/>
        <w:gridCol w:w="33"/>
        <w:gridCol w:w="36"/>
        <w:gridCol w:w="94"/>
        <w:gridCol w:w="357"/>
        <w:gridCol w:w="36"/>
        <w:gridCol w:w="40"/>
        <w:gridCol w:w="33"/>
        <w:gridCol w:w="36"/>
        <w:gridCol w:w="93"/>
        <w:gridCol w:w="569"/>
        <w:gridCol w:w="35"/>
        <w:gridCol w:w="40"/>
        <w:gridCol w:w="31"/>
        <w:gridCol w:w="35"/>
        <w:gridCol w:w="93"/>
        <w:gridCol w:w="426"/>
        <w:gridCol w:w="35"/>
        <w:gridCol w:w="40"/>
        <w:gridCol w:w="31"/>
        <w:gridCol w:w="35"/>
        <w:gridCol w:w="93"/>
        <w:gridCol w:w="569"/>
        <w:gridCol w:w="35"/>
        <w:gridCol w:w="40"/>
        <w:gridCol w:w="31"/>
        <w:gridCol w:w="35"/>
        <w:gridCol w:w="93"/>
        <w:gridCol w:w="426"/>
        <w:gridCol w:w="35"/>
        <w:gridCol w:w="40"/>
        <w:gridCol w:w="31"/>
        <w:gridCol w:w="35"/>
        <w:gridCol w:w="93"/>
        <w:gridCol w:w="569"/>
        <w:gridCol w:w="35"/>
        <w:gridCol w:w="40"/>
        <w:gridCol w:w="31"/>
        <w:gridCol w:w="35"/>
        <w:gridCol w:w="93"/>
        <w:gridCol w:w="426"/>
        <w:gridCol w:w="35"/>
        <w:gridCol w:w="40"/>
        <w:gridCol w:w="31"/>
        <w:gridCol w:w="35"/>
        <w:gridCol w:w="93"/>
        <w:gridCol w:w="569"/>
        <w:gridCol w:w="35"/>
        <w:gridCol w:w="40"/>
        <w:gridCol w:w="31"/>
        <w:gridCol w:w="35"/>
        <w:gridCol w:w="93"/>
        <w:gridCol w:w="426"/>
        <w:gridCol w:w="35"/>
      </w:tblGrid>
      <w:tr w:rsidR="00E836FB" w14:paraId="5F2D1481" w14:textId="77777777">
        <w:tc>
          <w:tcPr>
            <w:tcW w:w="50" w:type="pct"/>
            <w:shd w:val="clear" w:color="auto" w:fill="auto"/>
            <w:vAlign w:val="bottom"/>
          </w:tcPr>
          <w:p w14:paraId="5F2D1445" w14:textId="77777777" w:rsidR="00E836FB" w:rsidRDefault="00E836FB">
            <w:pPr>
              <w:rPr>
                <w:rFonts w:ascii="宋体"/>
              </w:rPr>
            </w:pPr>
          </w:p>
        </w:tc>
        <w:tc>
          <w:tcPr>
            <w:tcW w:w="741" w:type="pct"/>
            <w:shd w:val="clear" w:color="auto" w:fill="auto"/>
            <w:vAlign w:val="bottom"/>
          </w:tcPr>
          <w:p w14:paraId="5F2D1446" w14:textId="77777777" w:rsidR="00E836FB" w:rsidRDefault="00E836FB">
            <w:pPr>
              <w:rPr>
                <w:rFonts w:ascii="宋体"/>
              </w:rPr>
            </w:pPr>
          </w:p>
        </w:tc>
        <w:tc>
          <w:tcPr>
            <w:tcW w:w="5" w:type="pct"/>
            <w:shd w:val="clear" w:color="auto" w:fill="auto"/>
            <w:vAlign w:val="bottom"/>
          </w:tcPr>
          <w:p w14:paraId="5F2D1447" w14:textId="77777777" w:rsidR="00E836FB" w:rsidRDefault="00E836FB">
            <w:pPr>
              <w:rPr>
                <w:rFonts w:ascii="宋体"/>
              </w:rPr>
            </w:pPr>
          </w:p>
        </w:tc>
        <w:tc>
          <w:tcPr>
            <w:tcW w:w="50" w:type="pct"/>
            <w:shd w:val="clear" w:color="auto" w:fill="auto"/>
            <w:vAlign w:val="bottom"/>
          </w:tcPr>
          <w:p w14:paraId="5F2D1448" w14:textId="77777777" w:rsidR="00E836FB" w:rsidRDefault="00E836FB">
            <w:pPr>
              <w:rPr>
                <w:rFonts w:ascii="宋体"/>
              </w:rPr>
            </w:pPr>
          </w:p>
        </w:tc>
        <w:tc>
          <w:tcPr>
            <w:tcW w:w="347" w:type="pct"/>
            <w:shd w:val="clear" w:color="auto" w:fill="auto"/>
            <w:vAlign w:val="bottom"/>
          </w:tcPr>
          <w:p w14:paraId="5F2D1449" w14:textId="77777777" w:rsidR="00E836FB" w:rsidRDefault="00E836FB">
            <w:pPr>
              <w:rPr>
                <w:rFonts w:ascii="宋体"/>
              </w:rPr>
            </w:pPr>
          </w:p>
        </w:tc>
        <w:tc>
          <w:tcPr>
            <w:tcW w:w="5" w:type="pct"/>
            <w:shd w:val="clear" w:color="auto" w:fill="auto"/>
            <w:vAlign w:val="bottom"/>
          </w:tcPr>
          <w:p w14:paraId="5F2D144A" w14:textId="77777777" w:rsidR="00E836FB" w:rsidRDefault="00E836FB">
            <w:pPr>
              <w:rPr>
                <w:rFonts w:ascii="宋体"/>
              </w:rPr>
            </w:pPr>
          </w:p>
        </w:tc>
        <w:tc>
          <w:tcPr>
            <w:tcW w:w="5" w:type="pct"/>
            <w:shd w:val="clear" w:color="auto" w:fill="auto"/>
            <w:vAlign w:val="bottom"/>
          </w:tcPr>
          <w:p w14:paraId="5F2D144B" w14:textId="77777777" w:rsidR="00E836FB" w:rsidRDefault="00E836FB">
            <w:pPr>
              <w:rPr>
                <w:rFonts w:ascii="宋体"/>
              </w:rPr>
            </w:pPr>
          </w:p>
        </w:tc>
        <w:tc>
          <w:tcPr>
            <w:tcW w:w="26" w:type="pct"/>
            <w:shd w:val="clear" w:color="auto" w:fill="auto"/>
            <w:vAlign w:val="bottom"/>
          </w:tcPr>
          <w:p w14:paraId="5F2D144C" w14:textId="77777777" w:rsidR="00E836FB" w:rsidRDefault="00E836FB">
            <w:pPr>
              <w:rPr>
                <w:rFonts w:ascii="宋体"/>
              </w:rPr>
            </w:pPr>
          </w:p>
        </w:tc>
        <w:tc>
          <w:tcPr>
            <w:tcW w:w="5" w:type="pct"/>
            <w:shd w:val="clear" w:color="auto" w:fill="auto"/>
            <w:vAlign w:val="bottom"/>
          </w:tcPr>
          <w:p w14:paraId="5F2D144D" w14:textId="77777777" w:rsidR="00E836FB" w:rsidRDefault="00E836FB">
            <w:pPr>
              <w:rPr>
                <w:rFonts w:ascii="宋体"/>
              </w:rPr>
            </w:pPr>
          </w:p>
        </w:tc>
        <w:tc>
          <w:tcPr>
            <w:tcW w:w="50" w:type="pct"/>
            <w:shd w:val="clear" w:color="auto" w:fill="auto"/>
            <w:vAlign w:val="bottom"/>
          </w:tcPr>
          <w:p w14:paraId="5F2D144E" w14:textId="77777777" w:rsidR="00E836FB" w:rsidRDefault="00E836FB">
            <w:pPr>
              <w:rPr>
                <w:rFonts w:ascii="宋体"/>
              </w:rPr>
            </w:pPr>
          </w:p>
        </w:tc>
        <w:tc>
          <w:tcPr>
            <w:tcW w:w="317" w:type="pct"/>
            <w:shd w:val="clear" w:color="auto" w:fill="auto"/>
            <w:vAlign w:val="bottom"/>
          </w:tcPr>
          <w:p w14:paraId="5F2D144F" w14:textId="77777777" w:rsidR="00E836FB" w:rsidRDefault="00E836FB">
            <w:pPr>
              <w:rPr>
                <w:rFonts w:ascii="宋体"/>
              </w:rPr>
            </w:pPr>
          </w:p>
        </w:tc>
        <w:tc>
          <w:tcPr>
            <w:tcW w:w="5" w:type="pct"/>
            <w:shd w:val="clear" w:color="auto" w:fill="auto"/>
            <w:vAlign w:val="bottom"/>
          </w:tcPr>
          <w:p w14:paraId="5F2D1450" w14:textId="77777777" w:rsidR="00E836FB" w:rsidRDefault="00E836FB">
            <w:pPr>
              <w:rPr>
                <w:rFonts w:ascii="宋体"/>
              </w:rPr>
            </w:pPr>
          </w:p>
        </w:tc>
        <w:tc>
          <w:tcPr>
            <w:tcW w:w="5" w:type="pct"/>
            <w:shd w:val="clear" w:color="auto" w:fill="auto"/>
            <w:vAlign w:val="bottom"/>
          </w:tcPr>
          <w:p w14:paraId="5F2D1451" w14:textId="77777777" w:rsidR="00E836FB" w:rsidRDefault="00E836FB">
            <w:pPr>
              <w:rPr>
                <w:rFonts w:ascii="宋体"/>
              </w:rPr>
            </w:pPr>
          </w:p>
        </w:tc>
        <w:tc>
          <w:tcPr>
            <w:tcW w:w="26" w:type="pct"/>
            <w:shd w:val="clear" w:color="auto" w:fill="auto"/>
            <w:vAlign w:val="bottom"/>
          </w:tcPr>
          <w:p w14:paraId="5F2D1452" w14:textId="77777777" w:rsidR="00E836FB" w:rsidRDefault="00E836FB">
            <w:pPr>
              <w:rPr>
                <w:rFonts w:ascii="宋体"/>
              </w:rPr>
            </w:pPr>
          </w:p>
        </w:tc>
        <w:tc>
          <w:tcPr>
            <w:tcW w:w="5" w:type="pct"/>
            <w:shd w:val="clear" w:color="auto" w:fill="auto"/>
            <w:vAlign w:val="bottom"/>
          </w:tcPr>
          <w:p w14:paraId="5F2D1453" w14:textId="77777777" w:rsidR="00E836FB" w:rsidRDefault="00E836FB">
            <w:pPr>
              <w:rPr>
                <w:rFonts w:ascii="宋体"/>
              </w:rPr>
            </w:pPr>
          </w:p>
        </w:tc>
        <w:tc>
          <w:tcPr>
            <w:tcW w:w="50" w:type="pct"/>
            <w:shd w:val="clear" w:color="auto" w:fill="auto"/>
            <w:vAlign w:val="bottom"/>
          </w:tcPr>
          <w:p w14:paraId="5F2D1454" w14:textId="77777777" w:rsidR="00E836FB" w:rsidRDefault="00E836FB">
            <w:pPr>
              <w:rPr>
                <w:rFonts w:ascii="宋体"/>
              </w:rPr>
            </w:pPr>
          </w:p>
        </w:tc>
        <w:tc>
          <w:tcPr>
            <w:tcW w:w="347" w:type="pct"/>
            <w:shd w:val="clear" w:color="auto" w:fill="auto"/>
            <w:vAlign w:val="bottom"/>
          </w:tcPr>
          <w:p w14:paraId="5F2D1455" w14:textId="77777777" w:rsidR="00E836FB" w:rsidRDefault="00E836FB">
            <w:pPr>
              <w:rPr>
                <w:rFonts w:ascii="宋体"/>
              </w:rPr>
            </w:pPr>
          </w:p>
        </w:tc>
        <w:tc>
          <w:tcPr>
            <w:tcW w:w="5" w:type="pct"/>
            <w:shd w:val="clear" w:color="auto" w:fill="auto"/>
            <w:vAlign w:val="bottom"/>
          </w:tcPr>
          <w:p w14:paraId="5F2D1456" w14:textId="77777777" w:rsidR="00E836FB" w:rsidRDefault="00E836FB">
            <w:pPr>
              <w:rPr>
                <w:rFonts w:ascii="宋体"/>
              </w:rPr>
            </w:pPr>
          </w:p>
        </w:tc>
        <w:tc>
          <w:tcPr>
            <w:tcW w:w="5" w:type="pct"/>
            <w:shd w:val="clear" w:color="auto" w:fill="auto"/>
            <w:vAlign w:val="bottom"/>
          </w:tcPr>
          <w:p w14:paraId="5F2D1457" w14:textId="77777777" w:rsidR="00E836FB" w:rsidRDefault="00E836FB">
            <w:pPr>
              <w:rPr>
                <w:rFonts w:ascii="宋体"/>
              </w:rPr>
            </w:pPr>
          </w:p>
        </w:tc>
        <w:tc>
          <w:tcPr>
            <w:tcW w:w="26" w:type="pct"/>
            <w:shd w:val="clear" w:color="auto" w:fill="auto"/>
            <w:vAlign w:val="bottom"/>
          </w:tcPr>
          <w:p w14:paraId="5F2D1458" w14:textId="77777777" w:rsidR="00E836FB" w:rsidRDefault="00E836FB">
            <w:pPr>
              <w:rPr>
                <w:rFonts w:ascii="宋体"/>
              </w:rPr>
            </w:pPr>
          </w:p>
        </w:tc>
        <w:tc>
          <w:tcPr>
            <w:tcW w:w="5" w:type="pct"/>
            <w:shd w:val="clear" w:color="auto" w:fill="auto"/>
            <w:vAlign w:val="bottom"/>
          </w:tcPr>
          <w:p w14:paraId="5F2D1459" w14:textId="77777777" w:rsidR="00E836FB" w:rsidRDefault="00E836FB">
            <w:pPr>
              <w:rPr>
                <w:rFonts w:ascii="宋体"/>
              </w:rPr>
            </w:pPr>
          </w:p>
        </w:tc>
        <w:tc>
          <w:tcPr>
            <w:tcW w:w="50" w:type="pct"/>
            <w:shd w:val="clear" w:color="auto" w:fill="auto"/>
            <w:vAlign w:val="bottom"/>
          </w:tcPr>
          <w:p w14:paraId="5F2D145A" w14:textId="77777777" w:rsidR="00E836FB" w:rsidRDefault="00E836FB">
            <w:pPr>
              <w:rPr>
                <w:rFonts w:ascii="宋体"/>
              </w:rPr>
            </w:pPr>
          </w:p>
        </w:tc>
        <w:tc>
          <w:tcPr>
            <w:tcW w:w="317" w:type="pct"/>
            <w:shd w:val="clear" w:color="auto" w:fill="auto"/>
            <w:vAlign w:val="bottom"/>
          </w:tcPr>
          <w:p w14:paraId="5F2D145B" w14:textId="77777777" w:rsidR="00E836FB" w:rsidRDefault="00E836FB">
            <w:pPr>
              <w:rPr>
                <w:rFonts w:ascii="宋体"/>
              </w:rPr>
            </w:pPr>
          </w:p>
        </w:tc>
        <w:tc>
          <w:tcPr>
            <w:tcW w:w="5" w:type="pct"/>
            <w:shd w:val="clear" w:color="auto" w:fill="auto"/>
            <w:vAlign w:val="bottom"/>
          </w:tcPr>
          <w:p w14:paraId="5F2D145C" w14:textId="77777777" w:rsidR="00E836FB" w:rsidRDefault="00E836FB">
            <w:pPr>
              <w:rPr>
                <w:rFonts w:ascii="宋体"/>
              </w:rPr>
            </w:pPr>
          </w:p>
        </w:tc>
        <w:tc>
          <w:tcPr>
            <w:tcW w:w="5" w:type="pct"/>
            <w:shd w:val="clear" w:color="auto" w:fill="auto"/>
            <w:vAlign w:val="bottom"/>
          </w:tcPr>
          <w:p w14:paraId="5F2D145D" w14:textId="77777777" w:rsidR="00E836FB" w:rsidRDefault="00E836FB">
            <w:pPr>
              <w:rPr>
                <w:rFonts w:ascii="宋体"/>
              </w:rPr>
            </w:pPr>
          </w:p>
        </w:tc>
        <w:tc>
          <w:tcPr>
            <w:tcW w:w="26" w:type="pct"/>
            <w:shd w:val="clear" w:color="auto" w:fill="auto"/>
            <w:vAlign w:val="bottom"/>
          </w:tcPr>
          <w:p w14:paraId="5F2D145E" w14:textId="77777777" w:rsidR="00E836FB" w:rsidRDefault="00E836FB">
            <w:pPr>
              <w:rPr>
                <w:rFonts w:ascii="宋体"/>
              </w:rPr>
            </w:pPr>
          </w:p>
        </w:tc>
        <w:tc>
          <w:tcPr>
            <w:tcW w:w="5" w:type="pct"/>
            <w:shd w:val="clear" w:color="auto" w:fill="auto"/>
            <w:vAlign w:val="bottom"/>
          </w:tcPr>
          <w:p w14:paraId="5F2D145F" w14:textId="77777777" w:rsidR="00E836FB" w:rsidRDefault="00E836FB">
            <w:pPr>
              <w:rPr>
                <w:rFonts w:ascii="宋体"/>
              </w:rPr>
            </w:pPr>
          </w:p>
        </w:tc>
        <w:tc>
          <w:tcPr>
            <w:tcW w:w="50" w:type="pct"/>
            <w:shd w:val="clear" w:color="auto" w:fill="auto"/>
            <w:vAlign w:val="bottom"/>
          </w:tcPr>
          <w:p w14:paraId="5F2D1460" w14:textId="77777777" w:rsidR="00E836FB" w:rsidRDefault="00E836FB">
            <w:pPr>
              <w:rPr>
                <w:rFonts w:ascii="宋体"/>
              </w:rPr>
            </w:pPr>
          </w:p>
        </w:tc>
        <w:tc>
          <w:tcPr>
            <w:tcW w:w="347" w:type="pct"/>
            <w:shd w:val="clear" w:color="auto" w:fill="auto"/>
            <w:vAlign w:val="bottom"/>
          </w:tcPr>
          <w:p w14:paraId="5F2D1461" w14:textId="77777777" w:rsidR="00E836FB" w:rsidRDefault="00E836FB">
            <w:pPr>
              <w:rPr>
                <w:rFonts w:ascii="宋体"/>
              </w:rPr>
            </w:pPr>
          </w:p>
        </w:tc>
        <w:tc>
          <w:tcPr>
            <w:tcW w:w="5" w:type="pct"/>
            <w:shd w:val="clear" w:color="auto" w:fill="auto"/>
            <w:vAlign w:val="bottom"/>
          </w:tcPr>
          <w:p w14:paraId="5F2D1462" w14:textId="77777777" w:rsidR="00E836FB" w:rsidRDefault="00E836FB">
            <w:pPr>
              <w:rPr>
                <w:rFonts w:ascii="宋体"/>
              </w:rPr>
            </w:pPr>
          </w:p>
        </w:tc>
        <w:tc>
          <w:tcPr>
            <w:tcW w:w="5" w:type="pct"/>
            <w:shd w:val="clear" w:color="auto" w:fill="auto"/>
            <w:vAlign w:val="bottom"/>
          </w:tcPr>
          <w:p w14:paraId="5F2D1463" w14:textId="77777777" w:rsidR="00E836FB" w:rsidRDefault="00E836FB">
            <w:pPr>
              <w:rPr>
                <w:rFonts w:ascii="宋体"/>
              </w:rPr>
            </w:pPr>
          </w:p>
        </w:tc>
        <w:tc>
          <w:tcPr>
            <w:tcW w:w="26" w:type="pct"/>
            <w:shd w:val="clear" w:color="auto" w:fill="auto"/>
            <w:vAlign w:val="bottom"/>
          </w:tcPr>
          <w:p w14:paraId="5F2D1464" w14:textId="77777777" w:rsidR="00E836FB" w:rsidRDefault="00E836FB">
            <w:pPr>
              <w:rPr>
                <w:rFonts w:ascii="宋体"/>
              </w:rPr>
            </w:pPr>
          </w:p>
        </w:tc>
        <w:tc>
          <w:tcPr>
            <w:tcW w:w="5" w:type="pct"/>
            <w:shd w:val="clear" w:color="auto" w:fill="auto"/>
            <w:vAlign w:val="bottom"/>
          </w:tcPr>
          <w:p w14:paraId="5F2D1465" w14:textId="77777777" w:rsidR="00E836FB" w:rsidRDefault="00E836FB">
            <w:pPr>
              <w:rPr>
                <w:rFonts w:ascii="宋体"/>
              </w:rPr>
            </w:pPr>
          </w:p>
        </w:tc>
        <w:tc>
          <w:tcPr>
            <w:tcW w:w="50" w:type="pct"/>
            <w:shd w:val="clear" w:color="auto" w:fill="auto"/>
            <w:vAlign w:val="bottom"/>
          </w:tcPr>
          <w:p w14:paraId="5F2D1466" w14:textId="77777777" w:rsidR="00E836FB" w:rsidRDefault="00E836FB">
            <w:pPr>
              <w:rPr>
                <w:rFonts w:ascii="宋体"/>
              </w:rPr>
            </w:pPr>
          </w:p>
        </w:tc>
        <w:tc>
          <w:tcPr>
            <w:tcW w:w="317" w:type="pct"/>
            <w:shd w:val="clear" w:color="auto" w:fill="auto"/>
            <w:vAlign w:val="bottom"/>
          </w:tcPr>
          <w:p w14:paraId="5F2D1467" w14:textId="77777777" w:rsidR="00E836FB" w:rsidRDefault="00E836FB">
            <w:pPr>
              <w:rPr>
                <w:rFonts w:ascii="宋体"/>
              </w:rPr>
            </w:pPr>
          </w:p>
        </w:tc>
        <w:tc>
          <w:tcPr>
            <w:tcW w:w="5" w:type="pct"/>
            <w:shd w:val="clear" w:color="auto" w:fill="auto"/>
            <w:vAlign w:val="bottom"/>
          </w:tcPr>
          <w:p w14:paraId="5F2D1468" w14:textId="77777777" w:rsidR="00E836FB" w:rsidRDefault="00E836FB">
            <w:pPr>
              <w:rPr>
                <w:rFonts w:ascii="宋体"/>
              </w:rPr>
            </w:pPr>
          </w:p>
        </w:tc>
        <w:tc>
          <w:tcPr>
            <w:tcW w:w="5" w:type="pct"/>
            <w:shd w:val="clear" w:color="auto" w:fill="auto"/>
            <w:vAlign w:val="bottom"/>
          </w:tcPr>
          <w:p w14:paraId="5F2D1469" w14:textId="77777777" w:rsidR="00E836FB" w:rsidRDefault="00E836FB">
            <w:pPr>
              <w:rPr>
                <w:rFonts w:ascii="宋体"/>
              </w:rPr>
            </w:pPr>
          </w:p>
        </w:tc>
        <w:tc>
          <w:tcPr>
            <w:tcW w:w="26" w:type="pct"/>
            <w:shd w:val="clear" w:color="auto" w:fill="auto"/>
            <w:vAlign w:val="bottom"/>
          </w:tcPr>
          <w:p w14:paraId="5F2D146A" w14:textId="77777777" w:rsidR="00E836FB" w:rsidRDefault="00E836FB">
            <w:pPr>
              <w:rPr>
                <w:rFonts w:ascii="宋体"/>
              </w:rPr>
            </w:pPr>
          </w:p>
        </w:tc>
        <w:tc>
          <w:tcPr>
            <w:tcW w:w="5" w:type="pct"/>
            <w:shd w:val="clear" w:color="auto" w:fill="auto"/>
            <w:vAlign w:val="bottom"/>
          </w:tcPr>
          <w:p w14:paraId="5F2D146B" w14:textId="77777777" w:rsidR="00E836FB" w:rsidRDefault="00E836FB">
            <w:pPr>
              <w:rPr>
                <w:rFonts w:ascii="宋体"/>
              </w:rPr>
            </w:pPr>
          </w:p>
        </w:tc>
        <w:tc>
          <w:tcPr>
            <w:tcW w:w="50" w:type="pct"/>
            <w:shd w:val="clear" w:color="auto" w:fill="auto"/>
            <w:vAlign w:val="bottom"/>
          </w:tcPr>
          <w:p w14:paraId="5F2D146C" w14:textId="77777777" w:rsidR="00E836FB" w:rsidRDefault="00E836FB">
            <w:pPr>
              <w:rPr>
                <w:rFonts w:ascii="宋体"/>
              </w:rPr>
            </w:pPr>
          </w:p>
        </w:tc>
        <w:tc>
          <w:tcPr>
            <w:tcW w:w="347" w:type="pct"/>
            <w:shd w:val="clear" w:color="auto" w:fill="auto"/>
            <w:vAlign w:val="bottom"/>
          </w:tcPr>
          <w:p w14:paraId="5F2D146D" w14:textId="77777777" w:rsidR="00E836FB" w:rsidRDefault="00E836FB">
            <w:pPr>
              <w:rPr>
                <w:rFonts w:ascii="宋体"/>
              </w:rPr>
            </w:pPr>
          </w:p>
        </w:tc>
        <w:tc>
          <w:tcPr>
            <w:tcW w:w="5" w:type="pct"/>
            <w:shd w:val="clear" w:color="auto" w:fill="auto"/>
            <w:vAlign w:val="bottom"/>
          </w:tcPr>
          <w:p w14:paraId="5F2D146E" w14:textId="77777777" w:rsidR="00E836FB" w:rsidRDefault="00E836FB">
            <w:pPr>
              <w:rPr>
                <w:rFonts w:ascii="宋体"/>
              </w:rPr>
            </w:pPr>
          </w:p>
        </w:tc>
        <w:tc>
          <w:tcPr>
            <w:tcW w:w="5" w:type="pct"/>
            <w:shd w:val="clear" w:color="auto" w:fill="auto"/>
            <w:vAlign w:val="bottom"/>
          </w:tcPr>
          <w:p w14:paraId="5F2D146F" w14:textId="77777777" w:rsidR="00E836FB" w:rsidRDefault="00E836FB">
            <w:pPr>
              <w:rPr>
                <w:rFonts w:ascii="宋体"/>
              </w:rPr>
            </w:pPr>
          </w:p>
        </w:tc>
        <w:tc>
          <w:tcPr>
            <w:tcW w:w="26" w:type="pct"/>
            <w:shd w:val="clear" w:color="auto" w:fill="auto"/>
            <w:vAlign w:val="bottom"/>
          </w:tcPr>
          <w:p w14:paraId="5F2D1470" w14:textId="77777777" w:rsidR="00E836FB" w:rsidRDefault="00E836FB">
            <w:pPr>
              <w:rPr>
                <w:rFonts w:ascii="宋体"/>
              </w:rPr>
            </w:pPr>
          </w:p>
        </w:tc>
        <w:tc>
          <w:tcPr>
            <w:tcW w:w="5" w:type="pct"/>
            <w:shd w:val="clear" w:color="auto" w:fill="auto"/>
            <w:vAlign w:val="bottom"/>
          </w:tcPr>
          <w:p w14:paraId="5F2D1471" w14:textId="77777777" w:rsidR="00E836FB" w:rsidRDefault="00E836FB">
            <w:pPr>
              <w:rPr>
                <w:rFonts w:ascii="宋体"/>
              </w:rPr>
            </w:pPr>
          </w:p>
        </w:tc>
        <w:tc>
          <w:tcPr>
            <w:tcW w:w="50" w:type="pct"/>
            <w:shd w:val="clear" w:color="auto" w:fill="auto"/>
            <w:vAlign w:val="bottom"/>
          </w:tcPr>
          <w:p w14:paraId="5F2D1472" w14:textId="77777777" w:rsidR="00E836FB" w:rsidRDefault="00E836FB">
            <w:pPr>
              <w:rPr>
                <w:rFonts w:ascii="宋体"/>
              </w:rPr>
            </w:pPr>
          </w:p>
        </w:tc>
        <w:tc>
          <w:tcPr>
            <w:tcW w:w="317" w:type="pct"/>
            <w:shd w:val="clear" w:color="auto" w:fill="auto"/>
            <w:vAlign w:val="bottom"/>
          </w:tcPr>
          <w:p w14:paraId="5F2D1473" w14:textId="77777777" w:rsidR="00E836FB" w:rsidRDefault="00E836FB">
            <w:pPr>
              <w:rPr>
                <w:rFonts w:ascii="宋体"/>
              </w:rPr>
            </w:pPr>
          </w:p>
        </w:tc>
        <w:tc>
          <w:tcPr>
            <w:tcW w:w="5" w:type="pct"/>
            <w:shd w:val="clear" w:color="auto" w:fill="auto"/>
            <w:vAlign w:val="bottom"/>
          </w:tcPr>
          <w:p w14:paraId="5F2D1474" w14:textId="77777777" w:rsidR="00E836FB" w:rsidRDefault="00E836FB">
            <w:pPr>
              <w:rPr>
                <w:rFonts w:ascii="宋体"/>
              </w:rPr>
            </w:pPr>
          </w:p>
        </w:tc>
        <w:tc>
          <w:tcPr>
            <w:tcW w:w="5" w:type="pct"/>
            <w:shd w:val="clear" w:color="auto" w:fill="auto"/>
            <w:vAlign w:val="bottom"/>
          </w:tcPr>
          <w:p w14:paraId="5F2D1475" w14:textId="77777777" w:rsidR="00E836FB" w:rsidRDefault="00E836FB">
            <w:pPr>
              <w:rPr>
                <w:rFonts w:ascii="宋体"/>
              </w:rPr>
            </w:pPr>
          </w:p>
        </w:tc>
        <w:tc>
          <w:tcPr>
            <w:tcW w:w="26" w:type="pct"/>
            <w:shd w:val="clear" w:color="auto" w:fill="auto"/>
            <w:vAlign w:val="bottom"/>
          </w:tcPr>
          <w:p w14:paraId="5F2D1476" w14:textId="77777777" w:rsidR="00E836FB" w:rsidRDefault="00E836FB">
            <w:pPr>
              <w:rPr>
                <w:rFonts w:ascii="宋体"/>
              </w:rPr>
            </w:pPr>
          </w:p>
        </w:tc>
        <w:tc>
          <w:tcPr>
            <w:tcW w:w="5" w:type="pct"/>
            <w:shd w:val="clear" w:color="auto" w:fill="auto"/>
            <w:vAlign w:val="bottom"/>
          </w:tcPr>
          <w:p w14:paraId="5F2D1477" w14:textId="77777777" w:rsidR="00E836FB" w:rsidRDefault="00E836FB">
            <w:pPr>
              <w:rPr>
                <w:rFonts w:ascii="宋体"/>
              </w:rPr>
            </w:pPr>
          </w:p>
        </w:tc>
        <w:tc>
          <w:tcPr>
            <w:tcW w:w="50" w:type="pct"/>
            <w:shd w:val="clear" w:color="auto" w:fill="auto"/>
            <w:vAlign w:val="bottom"/>
          </w:tcPr>
          <w:p w14:paraId="5F2D1478" w14:textId="77777777" w:rsidR="00E836FB" w:rsidRDefault="00E836FB">
            <w:pPr>
              <w:rPr>
                <w:rFonts w:ascii="宋体"/>
              </w:rPr>
            </w:pPr>
          </w:p>
        </w:tc>
        <w:tc>
          <w:tcPr>
            <w:tcW w:w="347" w:type="pct"/>
            <w:shd w:val="clear" w:color="auto" w:fill="auto"/>
            <w:vAlign w:val="bottom"/>
          </w:tcPr>
          <w:p w14:paraId="5F2D1479" w14:textId="77777777" w:rsidR="00E836FB" w:rsidRDefault="00E836FB">
            <w:pPr>
              <w:rPr>
                <w:rFonts w:ascii="宋体"/>
              </w:rPr>
            </w:pPr>
          </w:p>
        </w:tc>
        <w:tc>
          <w:tcPr>
            <w:tcW w:w="5" w:type="pct"/>
            <w:shd w:val="clear" w:color="auto" w:fill="auto"/>
            <w:vAlign w:val="bottom"/>
          </w:tcPr>
          <w:p w14:paraId="5F2D147A" w14:textId="77777777" w:rsidR="00E836FB" w:rsidRDefault="00E836FB">
            <w:pPr>
              <w:rPr>
                <w:rFonts w:ascii="宋体"/>
              </w:rPr>
            </w:pPr>
          </w:p>
        </w:tc>
        <w:tc>
          <w:tcPr>
            <w:tcW w:w="5" w:type="pct"/>
            <w:shd w:val="clear" w:color="auto" w:fill="auto"/>
            <w:vAlign w:val="bottom"/>
          </w:tcPr>
          <w:p w14:paraId="5F2D147B" w14:textId="77777777" w:rsidR="00E836FB" w:rsidRDefault="00E836FB">
            <w:pPr>
              <w:rPr>
                <w:rFonts w:ascii="宋体"/>
              </w:rPr>
            </w:pPr>
          </w:p>
        </w:tc>
        <w:tc>
          <w:tcPr>
            <w:tcW w:w="26" w:type="pct"/>
            <w:shd w:val="clear" w:color="auto" w:fill="auto"/>
            <w:vAlign w:val="bottom"/>
          </w:tcPr>
          <w:p w14:paraId="5F2D147C" w14:textId="77777777" w:rsidR="00E836FB" w:rsidRDefault="00E836FB">
            <w:pPr>
              <w:rPr>
                <w:rFonts w:ascii="宋体"/>
              </w:rPr>
            </w:pPr>
          </w:p>
        </w:tc>
        <w:tc>
          <w:tcPr>
            <w:tcW w:w="5" w:type="pct"/>
            <w:shd w:val="clear" w:color="auto" w:fill="auto"/>
            <w:vAlign w:val="bottom"/>
          </w:tcPr>
          <w:p w14:paraId="5F2D147D" w14:textId="77777777" w:rsidR="00E836FB" w:rsidRDefault="00E836FB">
            <w:pPr>
              <w:rPr>
                <w:rFonts w:ascii="宋体"/>
              </w:rPr>
            </w:pPr>
          </w:p>
        </w:tc>
        <w:tc>
          <w:tcPr>
            <w:tcW w:w="50" w:type="pct"/>
            <w:shd w:val="clear" w:color="auto" w:fill="auto"/>
            <w:vAlign w:val="bottom"/>
          </w:tcPr>
          <w:p w14:paraId="5F2D147E" w14:textId="77777777" w:rsidR="00E836FB" w:rsidRDefault="00E836FB">
            <w:pPr>
              <w:rPr>
                <w:rFonts w:ascii="宋体"/>
              </w:rPr>
            </w:pPr>
          </w:p>
        </w:tc>
        <w:tc>
          <w:tcPr>
            <w:tcW w:w="318" w:type="pct"/>
            <w:shd w:val="clear" w:color="auto" w:fill="auto"/>
            <w:vAlign w:val="bottom"/>
          </w:tcPr>
          <w:p w14:paraId="5F2D147F" w14:textId="77777777" w:rsidR="00E836FB" w:rsidRDefault="00E836FB">
            <w:pPr>
              <w:rPr>
                <w:rFonts w:ascii="宋体"/>
              </w:rPr>
            </w:pPr>
          </w:p>
        </w:tc>
        <w:tc>
          <w:tcPr>
            <w:tcW w:w="5" w:type="pct"/>
            <w:shd w:val="clear" w:color="auto" w:fill="auto"/>
            <w:vAlign w:val="bottom"/>
          </w:tcPr>
          <w:p w14:paraId="5F2D1480" w14:textId="77777777" w:rsidR="00E836FB" w:rsidRDefault="00E836FB">
            <w:pPr>
              <w:rPr>
                <w:rFonts w:ascii="宋体"/>
              </w:rPr>
            </w:pPr>
          </w:p>
        </w:tc>
      </w:tr>
      <w:tr w:rsidR="00E836FB" w14:paraId="5F2D1484" w14:textId="77777777">
        <w:tc>
          <w:tcPr>
            <w:tcW w:w="0" w:type="auto"/>
            <w:gridSpan w:val="3"/>
            <w:shd w:val="clear" w:color="auto" w:fill="auto"/>
            <w:tcMar>
              <w:top w:w="0" w:type="dxa"/>
              <w:left w:w="20" w:type="dxa"/>
              <w:bottom w:w="0" w:type="dxa"/>
              <w:right w:w="20" w:type="dxa"/>
            </w:tcMar>
            <w:vAlign w:val="bottom"/>
          </w:tcPr>
          <w:p w14:paraId="5F2D1482" w14:textId="77777777" w:rsidR="00E836FB" w:rsidRDefault="00E836FB">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5F2D1483" w14:textId="77777777" w:rsidR="00E836FB" w:rsidRDefault="00994958">
            <w:pPr>
              <w:jc w:val="center"/>
              <w:textAlignment w:val="bottom"/>
            </w:pPr>
            <w:r>
              <w:rPr>
                <w:rFonts w:ascii="Arial" w:eastAsia="宋体" w:hAnsi="Arial" w:cs="Arial"/>
                <w:b/>
                <w:bCs/>
                <w:color w:val="000000"/>
                <w:sz w:val="14"/>
                <w:szCs w:val="14"/>
              </w:rPr>
              <w:t>As of December 31, 2021</w:t>
            </w:r>
          </w:p>
        </w:tc>
      </w:tr>
      <w:tr w:rsidR="00E836FB" w14:paraId="5F2D148F" w14:textId="77777777">
        <w:tc>
          <w:tcPr>
            <w:tcW w:w="0" w:type="auto"/>
            <w:gridSpan w:val="3"/>
            <w:shd w:val="clear" w:color="auto" w:fill="auto"/>
            <w:tcMar>
              <w:top w:w="40" w:type="dxa"/>
              <w:left w:w="20" w:type="dxa"/>
              <w:bottom w:w="40" w:type="dxa"/>
              <w:right w:w="20" w:type="dxa"/>
            </w:tcMar>
            <w:vAlign w:val="bottom"/>
          </w:tcPr>
          <w:p w14:paraId="5F2D1485"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486" w14:textId="77777777" w:rsidR="00E836FB" w:rsidRDefault="00994958">
            <w:pPr>
              <w:jc w:val="center"/>
              <w:textAlignment w:val="bottom"/>
            </w:pPr>
            <w:r>
              <w:rPr>
                <w:rFonts w:ascii="Arial" w:eastAsia="宋体" w:hAnsi="Arial" w:cs="Arial"/>
                <w:b/>
                <w:bCs/>
                <w:color w:val="000000"/>
                <w:sz w:val="14"/>
                <w:szCs w:val="14"/>
              </w:rPr>
              <w:t>Under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87"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488" w14:textId="77777777" w:rsidR="00E836FB" w:rsidRDefault="00994958">
            <w:pPr>
              <w:jc w:val="center"/>
              <w:textAlignment w:val="bottom"/>
            </w:pPr>
            <w:r>
              <w:rPr>
                <w:rFonts w:ascii="Arial" w:eastAsia="宋体" w:hAnsi="Arial" w:cs="Arial"/>
                <w:b/>
                <w:bCs/>
                <w:color w:val="000000"/>
                <w:sz w:val="14"/>
                <w:szCs w:val="14"/>
              </w:rPr>
              <w:t>1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89"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48A" w14:textId="77777777" w:rsidR="00E836FB" w:rsidRDefault="00994958">
            <w:pPr>
              <w:jc w:val="center"/>
              <w:textAlignment w:val="bottom"/>
            </w:pPr>
            <w:r>
              <w:rPr>
                <w:rFonts w:ascii="Arial" w:eastAsia="宋体" w:hAnsi="Arial" w:cs="Arial"/>
                <w:b/>
                <w:bCs/>
                <w:color w:val="000000"/>
                <w:sz w:val="14"/>
                <w:szCs w:val="14"/>
              </w:rPr>
              <w:t>6 to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8B"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48C" w14:textId="77777777" w:rsidR="00E836FB" w:rsidRDefault="00994958">
            <w:pPr>
              <w:jc w:val="center"/>
              <w:textAlignment w:val="bottom"/>
            </w:pPr>
            <w:r>
              <w:rPr>
                <w:rFonts w:ascii="Arial" w:eastAsia="宋体" w:hAnsi="Arial" w:cs="Arial"/>
                <w:b/>
                <w:bCs/>
                <w:color w:val="000000"/>
                <w:sz w:val="14"/>
                <w:szCs w:val="14"/>
              </w:rPr>
              <w:t>Over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8D"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148E"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14A4" w14:textId="77777777">
        <w:tc>
          <w:tcPr>
            <w:tcW w:w="0" w:type="auto"/>
            <w:gridSpan w:val="3"/>
            <w:shd w:val="clear" w:color="auto" w:fill="auto"/>
            <w:tcMar>
              <w:top w:w="0" w:type="dxa"/>
              <w:left w:w="20" w:type="dxa"/>
              <w:bottom w:w="0" w:type="dxa"/>
              <w:right w:w="20" w:type="dxa"/>
            </w:tcMar>
            <w:vAlign w:val="bottom"/>
          </w:tcPr>
          <w:p w14:paraId="5F2D149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1" w14:textId="77777777" w:rsidR="00E836FB" w:rsidRDefault="00994958">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9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3" w14:textId="77777777" w:rsidR="00E836FB" w:rsidRDefault="00994958">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vAlign w:val="bottom"/>
          </w:tcPr>
          <w:p w14:paraId="5F2D149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5" w14:textId="77777777" w:rsidR="00E836FB" w:rsidRDefault="00994958">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9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7" w14:textId="77777777" w:rsidR="00E836FB" w:rsidRDefault="00994958">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vAlign w:val="bottom"/>
          </w:tcPr>
          <w:p w14:paraId="5F2D149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9" w14:textId="77777777" w:rsidR="00E836FB" w:rsidRDefault="00994958">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9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B" w14:textId="77777777" w:rsidR="00E836FB" w:rsidRDefault="00994958">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vAlign w:val="bottom"/>
          </w:tcPr>
          <w:p w14:paraId="5F2D149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D" w14:textId="77777777" w:rsidR="00E836FB" w:rsidRDefault="00994958">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9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9F" w14:textId="77777777" w:rsidR="00E836FB" w:rsidRDefault="00994958">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vAlign w:val="bottom"/>
          </w:tcPr>
          <w:p w14:paraId="5F2D14A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A1" w14:textId="77777777" w:rsidR="00E836FB" w:rsidRDefault="00994958">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A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14A3" w14:textId="77777777" w:rsidR="00E836FB" w:rsidRDefault="00994958">
            <w:pPr>
              <w:jc w:val="center"/>
              <w:textAlignment w:val="bottom"/>
            </w:pPr>
            <w:r>
              <w:rPr>
                <w:rFonts w:ascii="Arial" w:eastAsia="宋体" w:hAnsi="Arial" w:cs="Arial"/>
                <w:b/>
                <w:bCs/>
                <w:color w:val="000000"/>
                <w:sz w:val="14"/>
                <w:szCs w:val="14"/>
              </w:rPr>
              <w:t>Fair Value</w:t>
            </w:r>
          </w:p>
        </w:tc>
      </w:tr>
      <w:tr w:rsidR="00E836FB" w14:paraId="5F2D14B9" w14:textId="77777777">
        <w:tc>
          <w:tcPr>
            <w:tcW w:w="0" w:type="auto"/>
            <w:gridSpan w:val="3"/>
            <w:shd w:val="clear" w:color="auto" w:fill="auto"/>
            <w:tcMar>
              <w:top w:w="40" w:type="dxa"/>
              <w:left w:w="20" w:type="dxa"/>
              <w:bottom w:w="40" w:type="dxa"/>
              <w:right w:w="20" w:type="dxa"/>
            </w:tcMar>
            <w:vAlign w:val="bottom"/>
          </w:tcPr>
          <w:p w14:paraId="5F2D14A5" w14:textId="77777777" w:rsidR="00E836FB" w:rsidRDefault="00994958">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A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A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A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A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A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A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A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A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A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A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B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B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B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B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4B8" w14:textId="77777777" w:rsidR="00E836FB" w:rsidRDefault="00E836FB">
            <w:pPr>
              <w:rPr>
                <w:rFonts w:ascii="宋体"/>
              </w:rPr>
            </w:pPr>
          </w:p>
        </w:tc>
      </w:tr>
      <w:tr w:rsidR="00E836FB" w14:paraId="5F2D14CE" w14:textId="77777777">
        <w:tc>
          <w:tcPr>
            <w:tcW w:w="0" w:type="auto"/>
            <w:gridSpan w:val="3"/>
            <w:shd w:val="clear" w:color="auto" w:fill="auto"/>
            <w:tcMar>
              <w:top w:w="40" w:type="dxa"/>
              <w:left w:w="20" w:type="dxa"/>
              <w:bottom w:w="40" w:type="dxa"/>
              <w:right w:w="20" w:type="dxa"/>
            </w:tcMar>
            <w:vAlign w:val="bottom"/>
          </w:tcPr>
          <w:p w14:paraId="5F2D14BA" w14:textId="77777777" w:rsidR="00E836FB" w:rsidRDefault="00994958">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5F2D14B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B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4CD" w14:textId="77777777" w:rsidR="00E836FB" w:rsidRDefault="00E836FB">
            <w:pPr>
              <w:rPr>
                <w:rFonts w:ascii="宋体"/>
              </w:rPr>
            </w:pPr>
          </w:p>
        </w:tc>
      </w:tr>
      <w:tr w:rsidR="00994958" w14:paraId="5F2D14F7" w14:textId="77777777">
        <w:tc>
          <w:tcPr>
            <w:tcW w:w="0" w:type="auto"/>
            <w:gridSpan w:val="3"/>
            <w:shd w:val="clear" w:color="auto" w:fill="CCEEFF"/>
            <w:tcMar>
              <w:top w:w="40" w:type="dxa"/>
              <w:left w:w="140" w:type="dxa"/>
              <w:bottom w:w="40" w:type="dxa"/>
              <w:right w:w="20" w:type="dxa"/>
            </w:tcMar>
            <w:vAlign w:val="bottom"/>
          </w:tcPr>
          <w:p w14:paraId="5F2D14CF" w14:textId="77777777" w:rsidR="00E836FB" w:rsidRDefault="00994958">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F2D14D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D1" w14:textId="77777777" w:rsidR="00E836FB" w:rsidRDefault="00994958">
            <w:pPr>
              <w:jc w:val="right"/>
              <w:textAlignment w:val="bottom"/>
            </w:pPr>
            <w:r>
              <w:rPr>
                <w:rFonts w:ascii="Arial" w:eastAsia="宋体" w:hAnsi="Arial" w:cs="Arial"/>
                <w:b/>
                <w:bCs/>
                <w:color w:val="000000"/>
                <w:sz w:val="14"/>
                <w:szCs w:val="14"/>
              </w:rPr>
              <w:t>1,977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D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D4"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D5" w14:textId="77777777" w:rsidR="00E836FB" w:rsidRDefault="00994958">
            <w:pPr>
              <w:jc w:val="right"/>
              <w:textAlignment w:val="bottom"/>
            </w:pPr>
            <w:r>
              <w:rPr>
                <w:rFonts w:ascii="Arial" w:eastAsia="宋体" w:hAnsi="Arial" w:cs="Arial"/>
                <w:b/>
                <w:bCs/>
                <w:color w:val="000000"/>
                <w:sz w:val="14"/>
                <w:szCs w:val="14"/>
              </w:rPr>
              <w:t>1,976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D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D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D9" w14:textId="77777777" w:rsidR="00E836FB" w:rsidRDefault="00994958">
            <w:pPr>
              <w:jc w:val="right"/>
              <w:textAlignment w:val="bottom"/>
            </w:pPr>
            <w:r>
              <w:rPr>
                <w:rFonts w:ascii="Arial" w:eastAsia="宋体" w:hAnsi="Arial" w:cs="Arial"/>
                <w:b/>
                <w:bCs/>
                <w:color w:val="000000"/>
                <w:sz w:val="14"/>
                <w:szCs w:val="14"/>
              </w:rPr>
              <w:t>15,090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D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D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DD" w14:textId="77777777" w:rsidR="00E836FB" w:rsidRDefault="00994958">
            <w:pPr>
              <w:jc w:val="right"/>
              <w:textAlignment w:val="bottom"/>
            </w:pPr>
            <w:r>
              <w:rPr>
                <w:rFonts w:ascii="Arial" w:eastAsia="宋体" w:hAnsi="Arial" w:cs="Arial"/>
                <w:b/>
                <w:bCs/>
                <w:color w:val="000000"/>
                <w:sz w:val="14"/>
                <w:szCs w:val="14"/>
              </w:rPr>
              <w:t>14,912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D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E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E1" w14:textId="77777777" w:rsidR="00E836FB" w:rsidRDefault="00994958">
            <w:pPr>
              <w:jc w:val="right"/>
              <w:textAlignment w:val="bottom"/>
            </w:pPr>
            <w:r>
              <w:rPr>
                <w:rFonts w:ascii="Arial" w:eastAsia="宋体" w:hAnsi="Arial" w:cs="Arial"/>
                <w:b/>
                <w:bCs/>
                <w:color w:val="000000"/>
                <w:sz w:val="14"/>
                <w:szCs w:val="14"/>
              </w:rPr>
              <w:t>1,044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E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E4"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E5" w14:textId="77777777" w:rsidR="00E836FB" w:rsidRDefault="00994958">
            <w:pPr>
              <w:jc w:val="right"/>
              <w:textAlignment w:val="bottom"/>
            </w:pPr>
            <w:r>
              <w:rPr>
                <w:rFonts w:ascii="Arial" w:eastAsia="宋体" w:hAnsi="Arial" w:cs="Arial"/>
                <w:b/>
                <w:bCs/>
                <w:color w:val="000000"/>
                <w:sz w:val="14"/>
                <w:szCs w:val="14"/>
              </w:rPr>
              <w:t>1,051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E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E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E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E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E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E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E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F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F1" w14:textId="77777777" w:rsidR="00E836FB" w:rsidRDefault="00994958">
            <w:pPr>
              <w:jc w:val="right"/>
              <w:textAlignment w:val="bottom"/>
            </w:pPr>
            <w:r>
              <w:rPr>
                <w:rFonts w:ascii="Arial" w:eastAsia="宋体" w:hAnsi="Arial" w:cs="Arial"/>
                <w:b/>
                <w:bCs/>
                <w:color w:val="000000"/>
                <w:sz w:val="14"/>
                <w:szCs w:val="14"/>
              </w:rPr>
              <w:t>18,111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4F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4F4"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4F5" w14:textId="77777777" w:rsidR="00E836FB" w:rsidRDefault="00994958">
            <w:pPr>
              <w:jc w:val="right"/>
              <w:textAlignment w:val="bottom"/>
            </w:pPr>
            <w:r>
              <w:rPr>
                <w:rFonts w:ascii="Arial" w:eastAsia="宋体" w:hAnsi="Arial" w:cs="Arial"/>
                <w:b/>
                <w:bCs/>
                <w:color w:val="000000"/>
                <w:sz w:val="14"/>
                <w:szCs w:val="14"/>
              </w:rPr>
              <w:t>17,939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4F6" w14:textId="77777777" w:rsidR="00E836FB" w:rsidRDefault="00E836FB">
            <w:pPr>
              <w:jc w:val="right"/>
              <w:rPr>
                <w:rFonts w:ascii="宋体"/>
              </w:rPr>
            </w:pPr>
          </w:p>
        </w:tc>
      </w:tr>
      <w:tr w:rsidR="00994958" w14:paraId="5F2D1516" w14:textId="77777777">
        <w:tc>
          <w:tcPr>
            <w:tcW w:w="0" w:type="auto"/>
            <w:gridSpan w:val="3"/>
            <w:shd w:val="clear" w:color="auto" w:fill="FFFFFF"/>
            <w:tcMar>
              <w:top w:w="40" w:type="dxa"/>
              <w:left w:w="140" w:type="dxa"/>
              <w:bottom w:w="40" w:type="dxa"/>
              <w:right w:w="20" w:type="dxa"/>
            </w:tcMar>
            <w:vAlign w:val="bottom"/>
          </w:tcPr>
          <w:p w14:paraId="5F2D14F8" w14:textId="77777777" w:rsidR="00E836FB" w:rsidRDefault="00994958">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F2D14F9" w14:textId="77777777" w:rsidR="00E836FB" w:rsidRDefault="00994958">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4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4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4FC" w14:textId="77777777" w:rsidR="00E836FB" w:rsidRDefault="00994958">
            <w:pPr>
              <w:jc w:val="right"/>
              <w:textAlignment w:val="bottom"/>
            </w:pPr>
            <w:r>
              <w:rPr>
                <w:rFonts w:ascii="Arial" w:eastAsia="宋体" w:hAnsi="Arial" w:cs="Arial"/>
                <w:b/>
                <w:bCs/>
                <w:color w:val="000000"/>
                <w:sz w:val="14"/>
                <w:szCs w:val="14"/>
              </w:rPr>
              <w:t>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4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4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4FF" w14:textId="77777777" w:rsidR="00E836FB" w:rsidRDefault="00994958">
            <w:pPr>
              <w:jc w:val="right"/>
              <w:textAlignment w:val="bottom"/>
            </w:pPr>
            <w:r>
              <w:rPr>
                <w:rFonts w:ascii="Arial" w:eastAsia="宋体" w:hAnsi="Arial" w:cs="Arial"/>
                <w:b/>
                <w:bCs/>
                <w:color w:val="000000"/>
                <w:sz w:val="14"/>
                <w:szCs w:val="14"/>
              </w:rPr>
              <w:t>839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02" w14:textId="77777777" w:rsidR="00E836FB" w:rsidRDefault="00994958">
            <w:pPr>
              <w:jc w:val="right"/>
              <w:textAlignment w:val="bottom"/>
            </w:pPr>
            <w:r>
              <w:rPr>
                <w:rFonts w:ascii="Arial" w:eastAsia="宋体" w:hAnsi="Arial" w:cs="Arial"/>
                <w:b/>
                <w:bCs/>
                <w:color w:val="000000"/>
                <w:sz w:val="14"/>
                <w:szCs w:val="14"/>
              </w:rPr>
              <w:t>846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05" w14:textId="77777777" w:rsidR="00E836FB" w:rsidRDefault="00994958">
            <w:pPr>
              <w:jc w:val="right"/>
              <w:textAlignment w:val="bottom"/>
            </w:pPr>
            <w:r>
              <w:rPr>
                <w:rFonts w:ascii="Arial" w:eastAsia="宋体" w:hAnsi="Arial" w:cs="Arial"/>
                <w:b/>
                <w:bCs/>
                <w:color w:val="000000"/>
                <w:sz w:val="14"/>
                <w:szCs w:val="14"/>
              </w:rPr>
              <w:t>7,619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0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0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08" w14:textId="77777777" w:rsidR="00E836FB" w:rsidRDefault="00994958">
            <w:pPr>
              <w:jc w:val="right"/>
              <w:textAlignment w:val="bottom"/>
            </w:pPr>
            <w:r>
              <w:rPr>
                <w:rFonts w:ascii="Arial" w:eastAsia="宋体" w:hAnsi="Arial" w:cs="Arial"/>
                <w:b/>
                <w:bCs/>
                <w:color w:val="000000"/>
                <w:sz w:val="14"/>
                <w:szCs w:val="14"/>
              </w:rPr>
              <w:t>7,620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0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0B" w14:textId="77777777" w:rsidR="00E836FB" w:rsidRDefault="00994958">
            <w:pPr>
              <w:jc w:val="right"/>
              <w:textAlignment w:val="bottom"/>
            </w:pPr>
            <w:r>
              <w:rPr>
                <w:rFonts w:ascii="Arial" w:eastAsia="宋体" w:hAnsi="Arial" w:cs="Arial"/>
                <w:b/>
                <w:bCs/>
                <w:color w:val="000000"/>
                <w:sz w:val="14"/>
                <w:szCs w:val="14"/>
              </w:rPr>
              <w:t>9,625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0E" w14:textId="77777777" w:rsidR="00E836FB" w:rsidRDefault="00994958">
            <w:pPr>
              <w:jc w:val="right"/>
              <w:textAlignment w:val="bottom"/>
            </w:pPr>
            <w:r>
              <w:rPr>
                <w:rFonts w:ascii="Arial" w:eastAsia="宋体" w:hAnsi="Arial" w:cs="Arial"/>
                <w:b/>
                <w:bCs/>
                <w:color w:val="000000"/>
                <w:sz w:val="14"/>
                <w:szCs w:val="14"/>
              </w:rPr>
              <w:t>9,669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11" w14:textId="77777777" w:rsidR="00E836FB" w:rsidRDefault="00994958">
            <w:pPr>
              <w:jc w:val="right"/>
              <w:textAlignment w:val="bottom"/>
            </w:pPr>
            <w:r>
              <w:rPr>
                <w:rFonts w:ascii="Arial" w:eastAsia="宋体" w:hAnsi="Arial" w:cs="Arial"/>
                <w:b/>
                <w:bCs/>
                <w:color w:val="000000"/>
                <w:sz w:val="14"/>
                <w:szCs w:val="14"/>
              </w:rPr>
              <w:t>18,154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14" w14:textId="77777777" w:rsidR="00E836FB" w:rsidRDefault="00994958">
            <w:pPr>
              <w:jc w:val="right"/>
              <w:textAlignment w:val="bottom"/>
            </w:pPr>
            <w:r>
              <w:rPr>
                <w:rFonts w:ascii="Arial" w:eastAsia="宋体" w:hAnsi="Arial" w:cs="Arial"/>
                <w:b/>
                <w:bCs/>
                <w:color w:val="000000"/>
                <w:sz w:val="14"/>
                <w:szCs w:val="14"/>
              </w:rPr>
              <w:t>18,208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15" w14:textId="77777777" w:rsidR="00E836FB" w:rsidRDefault="00E836FB">
            <w:pPr>
              <w:jc w:val="right"/>
              <w:rPr>
                <w:rFonts w:ascii="宋体"/>
              </w:rPr>
            </w:pPr>
          </w:p>
        </w:tc>
      </w:tr>
      <w:tr w:rsidR="00994958" w14:paraId="5F2D1535" w14:textId="77777777">
        <w:tc>
          <w:tcPr>
            <w:tcW w:w="0" w:type="auto"/>
            <w:gridSpan w:val="3"/>
            <w:shd w:val="clear" w:color="auto" w:fill="CCEEFF"/>
            <w:tcMar>
              <w:top w:w="40" w:type="dxa"/>
              <w:left w:w="20" w:type="dxa"/>
              <w:bottom w:w="40" w:type="dxa"/>
              <w:right w:w="20" w:type="dxa"/>
            </w:tcMar>
            <w:vAlign w:val="bottom"/>
          </w:tcPr>
          <w:p w14:paraId="5F2D1517" w14:textId="77777777" w:rsidR="00E836FB" w:rsidRDefault="00994958">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18" w14:textId="77777777" w:rsidR="00E836FB" w:rsidRDefault="00994958">
            <w:pPr>
              <w:jc w:val="right"/>
              <w:textAlignment w:val="bottom"/>
            </w:pPr>
            <w:r>
              <w:rPr>
                <w:rFonts w:ascii="Arial" w:eastAsia="宋体" w:hAnsi="Arial" w:cs="Arial"/>
                <w:b/>
                <w:bCs/>
                <w:color w:val="000000"/>
                <w:sz w:val="14"/>
                <w:szCs w:val="14"/>
              </w:rPr>
              <w:t>2,048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1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1B" w14:textId="77777777" w:rsidR="00E836FB" w:rsidRDefault="00994958">
            <w:pPr>
              <w:jc w:val="right"/>
              <w:textAlignment w:val="bottom"/>
            </w:pPr>
            <w:r>
              <w:rPr>
                <w:rFonts w:ascii="Arial" w:eastAsia="宋体" w:hAnsi="Arial" w:cs="Arial"/>
                <w:b/>
                <w:bCs/>
                <w:color w:val="000000"/>
                <w:sz w:val="14"/>
                <w:szCs w:val="14"/>
              </w:rPr>
              <w:t>2,049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1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1E" w14:textId="77777777" w:rsidR="00E836FB" w:rsidRDefault="00994958">
            <w:pPr>
              <w:jc w:val="right"/>
              <w:textAlignment w:val="bottom"/>
            </w:pPr>
            <w:r>
              <w:rPr>
                <w:rFonts w:ascii="Arial" w:eastAsia="宋体" w:hAnsi="Arial" w:cs="Arial"/>
                <w:b/>
                <w:bCs/>
                <w:color w:val="000000"/>
                <w:sz w:val="14"/>
                <w:szCs w:val="14"/>
              </w:rPr>
              <w:t>15,929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2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21" w14:textId="77777777" w:rsidR="00E836FB" w:rsidRDefault="00994958">
            <w:pPr>
              <w:jc w:val="right"/>
              <w:textAlignment w:val="bottom"/>
            </w:pPr>
            <w:r>
              <w:rPr>
                <w:rFonts w:ascii="Arial" w:eastAsia="宋体" w:hAnsi="Arial" w:cs="Arial"/>
                <w:b/>
                <w:bCs/>
                <w:color w:val="000000"/>
                <w:sz w:val="14"/>
                <w:szCs w:val="14"/>
              </w:rPr>
              <w:t>15,758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2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24" w14:textId="77777777" w:rsidR="00E836FB" w:rsidRDefault="00994958">
            <w:pPr>
              <w:jc w:val="right"/>
              <w:textAlignment w:val="bottom"/>
            </w:pPr>
            <w:r>
              <w:rPr>
                <w:rFonts w:ascii="Arial" w:eastAsia="宋体" w:hAnsi="Arial" w:cs="Arial"/>
                <w:b/>
                <w:bCs/>
                <w:color w:val="000000"/>
                <w:sz w:val="14"/>
                <w:szCs w:val="14"/>
              </w:rPr>
              <w:t>8,663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2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2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27" w14:textId="77777777" w:rsidR="00E836FB" w:rsidRDefault="00994958">
            <w:pPr>
              <w:jc w:val="right"/>
              <w:textAlignment w:val="bottom"/>
            </w:pPr>
            <w:r>
              <w:rPr>
                <w:rFonts w:ascii="Arial" w:eastAsia="宋体" w:hAnsi="Arial" w:cs="Arial"/>
                <w:b/>
                <w:bCs/>
                <w:color w:val="000000"/>
                <w:sz w:val="14"/>
                <w:szCs w:val="14"/>
              </w:rPr>
              <w:t>8,671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2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2A" w14:textId="77777777" w:rsidR="00E836FB" w:rsidRDefault="00994958">
            <w:pPr>
              <w:jc w:val="right"/>
              <w:textAlignment w:val="bottom"/>
            </w:pPr>
            <w:r>
              <w:rPr>
                <w:rFonts w:ascii="Arial" w:eastAsia="宋体" w:hAnsi="Arial" w:cs="Arial"/>
                <w:b/>
                <w:bCs/>
                <w:color w:val="000000"/>
                <w:sz w:val="14"/>
                <w:szCs w:val="14"/>
              </w:rPr>
              <w:t>9,625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2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2D" w14:textId="77777777" w:rsidR="00E836FB" w:rsidRDefault="00994958">
            <w:pPr>
              <w:jc w:val="right"/>
              <w:textAlignment w:val="bottom"/>
            </w:pPr>
            <w:r>
              <w:rPr>
                <w:rFonts w:ascii="Arial" w:eastAsia="宋体" w:hAnsi="Arial" w:cs="Arial"/>
                <w:b/>
                <w:bCs/>
                <w:color w:val="000000"/>
                <w:sz w:val="14"/>
                <w:szCs w:val="14"/>
              </w:rPr>
              <w:t>9,669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2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2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30" w14:textId="77777777" w:rsidR="00E836FB" w:rsidRDefault="00994958">
            <w:pPr>
              <w:jc w:val="right"/>
              <w:textAlignment w:val="bottom"/>
            </w:pPr>
            <w:r>
              <w:rPr>
                <w:rFonts w:ascii="Arial" w:eastAsia="宋体" w:hAnsi="Arial" w:cs="Arial"/>
                <w:b/>
                <w:bCs/>
                <w:color w:val="000000"/>
                <w:sz w:val="14"/>
                <w:szCs w:val="14"/>
              </w:rPr>
              <w:t>36,265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3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33" w14:textId="77777777" w:rsidR="00E836FB" w:rsidRDefault="00994958">
            <w:pPr>
              <w:jc w:val="right"/>
              <w:textAlignment w:val="bottom"/>
            </w:pPr>
            <w:r>
              <w:rPr>
                <w:rFonts w:ascii="Arial" w:eastAsia="宋体" w:hAnsi="Arial" w:cs="Arial"/>
                <w:b/>
                <w:bCs/>
                <w:color w:val="000000"/>
                <w:sz w:val="14"/>
                <w:szCs w:val="14"/>
              </w:rPr>
              <w:t>36,147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34" w14:textId="77777777" w:rsidR="00E836FB" w:rsidRDefault="00E836FB">
            <w:pPr>
              <w:jc w:val="right"/>
              <w:rPr>
                <w:rFonts w:ascii="宋体"/>
              </w:rPr>
            </w:pPr>
          </w:p>
        </w:tc>
      </w:tr>
      <w:tr w:rsidR="00E836FB" w14:paraId="5F2D154A" w14:textId="77777777">
        <w:tc>
          <w:tcPr>
            <w:tcW w:w="0" w:type="auto"/>
            <w:gridSpan w:val="3"/>
            <w:shd w:val="clear" w:color="auto" w:fill="FFFFFF"/>
            <w:tcMar>
              <w:top w:w="40" w:type="dxa"/>
              <w:left w:w="20" w:type="dxa"/>
              <w:bottom w:w="40" w:type="dxa"/>
              <w:right w:w="20" w:type="dxa"/>
            </w:tcMar>
            <w:vAlign w:val="bottom"/>
          </w:tcPr>
          <w:p w14:paraId="5F2D1536" w14:textId="77777777" w:rsidR="00E836FB" w:rsidRDefault="00994958">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5F2D15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3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49" w14:textId="77777777" w:rsidR="00E836FB" w:rsidRDefault="00E836FB">
            <w:pPr>
              <w:rPr>
                <w:rFonts w:ascii="宋体"/>
              </w:rPr>
            </w:pPr>
          </w:p>
        </w:tc>
      </w:tr>
      <w:tr w:rsidR="00994958" w14:paraId="5F2D1569" w14:textId="77777777">
        <w:tc>
          <w:tcPr>
            <w:tcW w:w="0" w:type="auto"/>
            <w:gridSpan w:val="3"/>
            <w:shd w:val="clear" w:color="auto" w:fill="CCEEFF"/>
            <w:tcMar>
              <w:top w:w="40" w:type="dxa"/>
              <w:left w:w="140" w:type="dxa"/>
              <w:bottom w:w="40" w:type="dxa"/>
              <w:right w:w="20" w:type="dxa"/>
            </w:tcMar>
            <w:vAlign w:val="bottom"/>
          </w:tcPr>
          <w:p w14:paraId="5F2D154B" w14:textId="77777777" w:rsidR="00E836FB" w:rsidRDefault="00994958">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F2D154C" w14:textId="77777777" w:rsidR="00E836FB" w:rsidRDefault="00994958">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4F" w14:textId="77777777" w:rsidR="00E836FB" w:rsidRDefault="00994958">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52" w14:textId="77777777" w:rsidR="00E836FB" w:rsidRDefault="00994958">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5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55" w14:textId="77777777" w:rsidR="00E836FB" w:rsidRDefault="00994958">
            <w:pPr>
              <w:jc w:val="right"/>
              <w:textAlignment w:val="bottom"/>
            </w:pPr>
            <w:r>
              <w:rPr>
                <w:rFonts w:ascii="Arial" w:eastAsia="宋体" w:hAnsi="Arial" w:cs="Arial"/>
                <w:b/>
                <w:bCs/>
                <w:color w:val="000000"/>
                <w:sz w:val="14"/>
                <w:szCs w:val="14"/>
              </w:rPr>
              <w:t>527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5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58" w14:textId="77777777" w:rsidR="00E836FB" w:rsidRDefault="00994958">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5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5B" w14:textId="77777777" w:rsidR="00E836FB" w:rsidRDefault="00994958">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5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5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5E" w14:textId="77777777" w:rsidR="00E836FB" w:rsidRDefault="00994958">
            <w:pPr>
              <w:jc w:val="right"/>
              <w:textAlignment w:val="bottom"/>
            </w:pPr>
            <w:r>
              <w:rPr>
                <w:rFonts w:ascii="Arial" w:eastAsia="宋体" w:hAnsi="Arial" w:cs="Arial"/>
                <w:b/>
                <w:bCs/>
                <w:color w:val="000000"/>
                <w:sz w:val="14"/>
                <w:szCs w:val="14"/>
              </w:rPr>
              <w:t>1,263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6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61" w14:textId="77777777" w:rsidR="00E836FB" w:rsidRDefault="00994958">
            <w:pPr>
              <w:jc w:val="right"/>
              <w:textAlignment w:val="bottom"/>
            </w:pPr>
            <w:r>
              <w:rPr>
                <w:rFonts w:ascii="Arial" w:eastAsia="宋体" w:hAnsi="Arial" w:cs="Arial"/>
                <w:b/>
                <w:bCs/>
                <w:color w:val="000000"/>
                <w:sz w:val="14"/>
                <w:szCs w:val="14"/>
              </w:rPr>
              <w:t>1,271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6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6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64" w14:textId="77777777" w:rsidR="00E836FB" w:rsidRDefault="00994958">
            <w:pPr>
              <w:jc w:val="right"/>
              <w:textAlignment w:val="bottom"/>
            </w:pPr>
            <w:r>
              <w:rPr>
                <w:rFonts w:ascii="Arial" w:eastAsia="宋体" w:hAnsi="Arial" w:cs="Arial"/>
                <w:b/>
                <w:bCs/>
                <w:color w:val="000000"/>
                <w:sz w:val="14"/>
                <w:szCs w:val="14"/>
              </w:rPr>
              <w:t>1,986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6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6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67" w14:textId="77777777" w:rsidR="00E836FB" w:rsidRDefault="00994958">
            <w:pPr>
              <w:jc w:val="right"/>
              <w:textAlignment w:val="bottom"/>
            </w:pPr>
            <w:r>
              <w:rPr>
                <w:rFonts w:ascii="Arial" w:eastAsia="宋体" w:hAnsi="Arial" w:cs="Arial"/>
                <w:b/>
                <w:bCs/>
                <w:color w:val="000000"/>
                <w:sz w:val="14"/>
                <w:szCs w:val="14"/>
              </w:rPr>
              <w:t>1,995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68" w14:textId="77777777" w:rsidR="00E836FB" w:rsidRDefault="00E836FB">
            <w:pPr>
              <w:jc w:val="right"/>
              <w:rPr>
                <w:rFonts w:ascii="宋体"/>
              </w:rPr>
            </w:pPr>
          </w:p>
        </w:tc>
      </w:tr>
      <w:tr w:rsidR="00994958" w14:paraId="5F2D1588" w14:textId="77777777">
        <w:tc>
          <w:tcPr>
            <w:tcW w:w="0" w:type="auto"/>
            <w:gridSpan w:val="3"/>
            <w:shd w:val="clear" w:color="auto" w:fill="FFFFFF"/>
            <w:tcMar>
              <w:top w:w="40" w:type="dxa"/>
              <w:left w:w="140" w:type="dxa"/>
              <w:bottom w:w="40" w:type="dxa"/>
              <w:right w:w="20" w:type="dxa"/>
            </w:tcMar>
            <w:vAlign w:val="bottom"/>
          </w:tcPr>
          <w:p w14:paraId="5F2D156A" w14:textId="77777777" w:rsidR="00E836FB" w:rsidRDefault="00994958">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F2D156B" w14:textId="77777777" w:rsidR="00E836FB" w:rsidRDefault="00994958">
            <w:pPr>
              <w:jc w:val="right"/>
              <w:textAlignment w:val="bottom"/>
            </w:pPr>
            <w:r>
              <w:rPr>
                <w:rFonts w:ascii="Arial" w:eastAsia="宋体" w:hAnsi="Arial" w:cs="Arial"/>
                <w:b/>
                <w:bCs/>
                <w:color w:val="000000"/>
                <w:sz w:val="14"/>
                <w:szCs w:val="14"/>
              </w:rPr>
              <w:t>303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6E" w14:textId="77777777" w:rsidR="00E836FB" w:rsidRDefault="00994958">
            <w:pPr>
              <w:jc w:val="right"/>
              <w:textAlignment w:val="bottom"/>
            </w:pPr>
            <w:r>
              <w:rPr>
                <w:rFonts w:ascii="Arial" w:eastAsia="宋体" w:hAnsi="Arial" w:cs="Arial"/>
                <w:b/>
                <w:bCs/>
                <w:color w:val="000000"/>
                <w:sz w:val="14"/>
                <w:szCs w:val="14"/>
              </w:rPr>
              <w:t>302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71" w14:textId="77777777" w:rsidR="00E836FB" w:rsidRDefault="00994958">
            <w:pPr>
              <w:jc w:val="right"/>
              <w:textAlignment w:val="bottom"/>
            </w:pPr>
            <w:r>
              <w:rPr>
                <w:rFonts w:ascii="Arial" w:eastAsia="宋体" w:hAnsi="Arial" w:cs="Arial"/>
                <w:b/>
                <w:bCs/>
                <w:color w:val="000000"/>
                <w:sz w:val="14"/>
                <w:szCs w:val="14"/>
              </w:rPr>
              <w:t>1,040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74" w14:textId="77777777" w:rsidR="00E836FB" w:rsidRDefault="00994958">
            <w:pPr>
              <w:jc w:val="right"/>
              <w:textAlignment w:val="bottom"/>
            </w:pPr>
            <w:r>
              <w:rPr>
                <w:rFonts w:ascii="Arial" w:eastAsia="宋体" w:hAnsi="Arial" w:cs="Arial"/>
                <w:b/>
                <w:bCs/>
                <w:color w:val="000000"/>
                <w:sz w:val="14"/>
                <w:szCs w:val="14"/>
              </w:rPr>
              <w:t>1,041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77" w14:textId="77777777" w:rsidR="00E836FB" w:rsidRDefault="00994958">
            <w:pPr>
              <w:jc w:val="right"/>
              <w:textAlignment w:val="bottom"/>
            </w:pPr>
            <w:r>
              <w:rPr>
                <w:rFonts w:ascii="Arial" w:eastAsia="宋体" w:hAnsi="Arial" w:cs="Arial"/>
                <w:b/>
                <w:bCs/>
                <w:color w:val="000000"/>
                <w:sz w:val="14"/>
                <w:szCs w:val="14"/>
              </w:rPr>
              <w:t>454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7A" w14:textId="77777777" w:rsidR="00E836FB" w:rsidRDefault="00994958">
            <w:pPr>
              <w:jc w:val="right"/>
              <w:textAlignment w:val="bottom"/>
            </w:pPr>
            <w:r>
              <w:rPr>
                <w:rFonts w:ascii="Arial" w:eastAsia="宋体" w:hAnsi="Arial" w:cs="Arial"/>
                <w:b/>
                <w:bCs/>
                <w:color w:val="000000"/>
                <w:sz w:val="14"/>
                <w:szCs w:val="14"/>
              </w:rPr>
              <w:t>454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7D" w14:textId="77777777" w:rsidR="00E836FB" w:rsidRDefault="00994958">
            <w:pPr>
              <w:jc w:val="right"/>
              <w:textAlignment w:val="bottom"/>
            </w:pPr>
            <w:r>
              <w:rPr>
                <w:rFonts w:ascii="Arial" w:eastAsia="宋体" w:hAnsi="Arial" w:cs="Arial"/>
                <w:b/>
                <w:bCs/>
                <w:color w:val="000000"/>
                <w:sz w:val="14"/>
                <w:szCs w:val="14"/>
              </w:rPr>
              <w:t>290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7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7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80" w14:textId="77777777" w:rsidR="00E836FB" w:rsidRDefault="00994958">
            <w:pPr>
              <w:jc w:val="right"/>
              <w:textAlignment w:val="bottom"/>
            </w:pPr>
            <w:r>
              <w:rPr>
                <w:rFonts w:ascii="Arial" w:eastAsia="宋体" w:hAnsi="Arial" w:cs="Arial"/>
                <w:b/>
                <w:bCs/>
                <w:color w:val="000000"/>
                <w:sz w:val="14"/>
                <w:szCs w:val="14"/>
              </w:rPr>
              <w:t>290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8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8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83" w14:textId="77777777" w:rsidR="00E836FB" w:rsidRDefault="00994958">
            <w:pPr>
              <w:jc w:val="right"/>
              <w:textAlignment w:val="bottom"/>
            </w:pPr>
            <w:r>
              <w:rPr>
                <w:rFonts w:ascii="Arial" w:eastAsia="宋体" w:hAnsi="Arial" w:cs="Arial"/>
                <w:b/>
                <w:bCs/>
                <w:color w:val="000000"/>
                <w:sz w:val="14"/>
                <w:szCs w:val="14"/>
              </w:rPr>
              <w:t>2,087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8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8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86" w14:textId="77777777" w:rsidR="00E836FB" w:rsidRDefault="00994958">
            <w:pPr>
              <w:jc w:val="right"/>
              <w:textAlignment w:val="bottom"/>
            </w:pPr>
            <w:r>
              <w:rPr>
                <w:rFonts w:ascii="Arial" w:eastAsia="宋体" w:hAnsi="Arial" w:cs="Arial"/>
                <w:b/>
                <w:bCs/>
                <w:color w:val="000000"/>
                <w:sz w:val="14"/>
                <w:szCs w:val="14"/>
              </w:rPr>
              <w:t>2,087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87" w14:textId="77777777" w:rsidR="00E836FB" w:rsidRDefault="00E836FB">
            <w:pPr>
              <w:jc w:val="right"/>
              <w:rPr>
                <w:rFonts w:ascii="宋体"/>
              </w:rPr>
            </w:pPr>
          </w:p>
        </w:tc>
      </w:tr>
      <w:tr w:rsidR="00994958" w14:paraId="5F2D15A7" w14:textId="77777777">
        <w:tc>
          <w:tcPr>
            <w:tcW w:w="0" w:type="auto"/>
            <w:gridSpan w:val="3"/>
            <w:shd w:val="clear" w:color="auto" w:fill="CCEEFF"/>
            <w:tcMar>
              <w:top w:w="40" w:type="dxa"/>
              <w:left w:w="140" w:type="dxa"/>
              <w:bottom w:w="40" w:type="dxa"/>
              <w:right w:w="20" w:type="dxa"/>
            </w:tcMar>
            <w:vAlign w:val="bottom"/>
          </w:tcPr>
          <w:p w14:paraId="5F2D1589" w14:textId="77777777" w:rsidR="00E836FB" w:rsidRDefault="00994958">
            <w:pPr>
              <w:textAlignment w:val="bottom"/>
            </w:pPr>
            <w:r>
              <w:rPr>
                <w:rFonts w:ascii="Arial" w:eastAsia="宋体" w:hAnsi="Arial" w:cs="Arial"/>
                <w:color w:val="000000"/>
                <w:sz w:val="14"/>
                <w:szCs w:val="14"/>
              </w:rPr>
              <w:t>Non-U.S. sovereign, supranational and</w:t>
            </w:r>
            <w:r>
              <w:rPr>
                <w:rFonts w:ascii="Arial" w:eastAsia="宋体" w:hAnsi="Arial" w:cs="Arial"/>
                <w:color w:val="000000"/>
                <w:sz w:val="14"/>
                <w:szCs w:val="14"/>
              </w:rPr>
              <w:br/>
              <w:t>non-U.S. agency</w:t>
            </w:r>
          </w:p>
        </w:tc>
        <w:tc>
          <w:tcPr>
            <w:tcW w:w="0" w:type="auto"/>
            <w:gridSpan w:val="2"/>
            <w:shd w:val="clear" w:color="auto" w:fill="CCEEFF"/>
            <w:tcMar>
              <w:top w:w="40" w:type="dxa"/>
              <w:left w:w="20" w:type="dxa"/>
              <w:bottom w:w="40" w:type="dxa"/>
              <w:right w:w="0" w:type="dxa"/>
            </w:tcMar>
            <w:vAlign w:val="bottom"/>
          </w:tcPr>
          <w:p w14:paraId="5F2D158A" w14:textId="77777777" w:rsidR="00E836FB" w:rsidRDefault="00994958">
            <w:pPr>
              <w:jc w:val="right"/>
              <w:textAlignment w:val="bottom"/>
            </w:pPr>
            <w:r>
              <w:rPr>
                <w:rFonts w:ascii="Arial" w:eastAsia="宋体" w:hAnsi="Arial" w:cs="Arial"/>
                <w:b/>
                <w:bCs/>
                <w:color w:val="000000"/>
                <w:sz w:val="14"/>
                <w:szCs w:val="14"/>
              </w:rPr>
              <w:t>4,472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8D" w14:textId="77777777" w:rsidR="00E836FB" w:rsidRDefault="00994958">
            <w:pPr>
              <w:jc w:val="right"/>
              <w:textAlignment w:val="bottom"/>
            </w:pPr>
            <w:r>
              <w:rPr>
                <w:rFonts w:ascii="Arial" w:eastAsia="宋体" w:hAnsi="Arial" w:cs="Arial"/>
                <w:b/>
                <w:bCs/>
                <w:color w:val="000000"/>
                <w:sz w:val="14"/>
                <w:szCs w:val="14"/>
              </w:rPr>
              <w:t>4,480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90" w14:textId="77777777" w:rsidR="00E836FB" w:rsidRDefault="00994958">
            <w:pPr>
              <w:jc w:val="right"/>
              <w:textAlignment w:val="bottom"/>
            </w:pPr>
            <w:r>
              <w:rPr>
                <w:rFonts w:ascii="Arial" w:eastAsia="宋体" w:hAnsi="Arial" w:cs="Arial"/>
                <w:b/>
                <w:bCs/>
                <w:color w:val="000000"/>
                <w:sz w:val="14"/>
                <w:szCs w:val="14"/>
              </w:rPr>
              <w:t>16,329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93" w14:textId="77777777" w:rsidR="00E836FB" w:rsidRDefault="00994958">
            <w:pPr>
              <w:jc w:val="right"/>
              <w:textAlignment w:val="bottom"/>
            </w:pPr>
            <w:r>
              <w:rPr>
                <w:rFonts w:ascii="Arial" w:eastAsia="宋体" w:hAnsi="Arial" w:cs="Arial"/>
                <w:b/>
                <w:bCs/>
                <w:color w:val="000000"/>
                <w:sz w:val="14"/>
                <w:szCs w:val="14"/>
              </w:rPr>
              <w:t>16,336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9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96" w14:textId="77777777" w:rsidR="00E836FB" w:rsidRDefault="00994958">
            <w:pPr>
              <w:jc w:val="right"/>
              <w:textAlignment w:val="bottom"/>
            </w:pPr>
            <w:r>
              <w:rPr>
                <w:rFonts w:ascii="Arial" w:eastAsia="宋体" w:hAnsi="Arial" w:cs="Arial"/>
                <w:b/>
                <w:bCs/>
                <w:color w:val="000000"/>
                <w:sz w:val="14"/>
                <w:szCs w:val="14"/>
              </w:rPr>
              <w:t>2,717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99" w14:textId="77777777" w:rsidR="00E836FB" w:rsidRDefault="00994958">
            <w:pPr>
              <w:jc w:val="right"/>
              <w:textAlignment w:val="bottom"/>
            </w:pPr>
            <w:r>
              <w:rPr>
                <w:rFonts w:ascii="Arial" w:eastAsia="宋体" w:hAnsi="Arial" w:cs="Arial"/>
                <w:b/>
                <w:bCs/>
                <w:color w:val="000000"/>
                <w:sz w:val="14"/>
                <w:szCs w:val="14"/>
              </w:rPr>
              <w:t>2,717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9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9C" w14:textId="77777777" w:rsidR="00E836FB" w:rsidRDefault="00994958">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9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9F" w14:textId="77777777" w:rsidR="00E836FB" w:rsidRDefault="00994958">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A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A2" w14:textId="77777777" w:rsidR="00E836FB" w:rsidRDefault="00994958">
            <w:pPr>
              <w:jc w:val="right"/>
              <w:textAlignment w:val="bottom"/>
            </w:pPr>
            <w:r>
              <w:rPr>
                <w:rFonts w:ascii="Arial" w:eastAsia="宋体" w:hAnsi="Arial" w:cs="Arial"/>
                <w:b/>
                <w:bCs/>
                <w:color w:val="000000"/>
                <w:sz w:val="14"/>
                <w:szCs w:val="14"/>
              </w:rPr>
              <w:t>23,533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A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A5" w14:textId="77777777" w:rsidR="00E836FB" w:rsidRDefault="00994958">
            <w:pPr>
              <w:jc w:val="right"/>
              <w:textAlignment w:val="bottom"/>
            </w:pPr>
            <w:r>
              <w:rPr>
                <w:rFonts w:ascii="Arial" w:eastAsia="宋体" w:hAnsi="Arial" w:cs="Arial"/>
                <w:b/>
                <w:bCs/>
                <w:color w:val="000000"/>
                <w:sz w:val="14"/>
                <w:szCs w:val="14"/>
              </w:rPr>
              <w:t>23,547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A6" w14:textId="77777777" w:rsidR="00E836FB" w:rsidRDefault="00E836FB">
            <w:pPr>
              <w:jc w:val="right"/>
              <w:rPr>
                <w:rFonts w:ascii="宋体"/>
              </w:rPr>
            </w:pPr>
          </w:p>
        </w:tc>
      </w:tr>
      <w:tr w:rsidR="00994958" w14:paraId="5F2D15C6" w14:textId="77777777">
        <w:tc>
          <w:tcPr>
            <w:tcW w:w="0" w:type="auto"/>
            <w:gridSpan w:val="3"/>
            <w:shd w:val="clear" w:color="auto" w:fill="FFFFFF"/>
            <w:tcMar>
              <w:top w:w="40" w:type="dxa"/>
              <w:left w:w="140" w:type="dxa"/>
              <w:bottom w:w="40" w:type="dxa"/>
              <w:right w:w="20" w:type="dxa"/>
            </w:tcMar>
            <w:vAlign w:val="bottom"/>
          </w:tcPr>
          <w:p w14:paraId="5F2D15A8" w14:textId="77777777" w:rsidR="00E836FB" w:rsidRDefault="00994958">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F2D15A9" w14:textId="77777777" w:rsidR="00E836FB" w:rsidRDefault="00994958">
            <w:pPr>
              <w:jc w:val="right"/>
              <w:textAlignment w:val="bottom"/>
            </w:pPr>
            <w:r>
              <w:rPr>
                <w:rFonts w:ascii="Arial" w:eastAsia="宋体" w:hAnsi="Arial" w:cs="Arial"/>
                <w:b/>
                <w:bCs/>
                <w:color w:val="000000"/>
                <w:sz w:val="14"/>
                <w:szCs w:val="14"/>
              </w:rPr>
              <w:t>823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A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AC" w14:textId="77777777" w:rsidR="00E836FB" w:rsidRDefault="00994958">
            <w:pPr>
              <w:jc w:val="right"/>
              <w:textAlignment w:val="bottom"/>
            </w:pPr>
            <w:r>
              <w:rPr>
                <w:rFonts w:ascii="Arial" w:eastAsia="宋体" w:hAnsi="Arial" w:cs="Arial"/>
                <w:b/>
                <w:bCs/>
                <w:color w:val="000000"/>
                <w:sz w:val="14"/>
                <w:szCs w:val="14"/>
              </w:rPr>
              <w:t>826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A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AF" w14:textId="77777777" w:rsidR="00E836FB" w:rsidRDefault="00994958">
            <w:pPr>
              <w:jc w:val="right"/>
              <w:textAlignment w:val="bottom"/>
            </w:pPr>
            <w:r>
              <w:rPr>
                <w:rFonts w:ascii="Arial" w:eastAsia="宋体" w:hAnsi="Arial" w:cs="Arial"/>
                <w:b/>
                <w:bCs/>
                <w:color w:val="000000"/>
                <w:sz w:val="14"/>
                <w:szCs w:val="14"/>
              </w:rPr>
              <w:t>1,954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B2" w14:textId="77777777" w:rsidR="00E836FB" w:rsidRDefault="00994958">
            <w:pPr>
              <w:jc w:val="right"/>
              <w:textAlignment w:val="bottom"/>
            </w:pPr>
            <w:r>
              <w:rPr>
                <w:rFonts w:ascii="Arial" w:eastAsia="宋体" w:hAnsi="Arial" w:cs="Arial"/>
                <w:b/>
                <w:bCs/>
                <w:color w:val="000000"/>
                <w:sz w:val="14"/>
                <w:szCs w:val="14"/>
              </w:rPr>
              <w:t>1,943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B5" w14:textId="77777777" w:rsidR="00E836FB" w:rsidRDefault="00994958">
            <w:pPr>
              <w:jc w:val="right"/>
              <w:textAlignment w:val="bottom"/>
            </w:pPr>
            <w:r>
              <w:rPr>
                <w:rFonts w:ascii="Arial" w:eastAsia="宋体" w:hAnsi="Arial" w:cs="Arial"/>
                <w:b/>
                <w:bCs/>
                <w:color w:val="000000"/>
                <w:sz w:val="14"/>
                <w:szCs w:val="14"/>
              </w:rPr>
              <w:t>279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B8" w14:textId="77777777" w:rsidR="00E836FB" w:rsidRDefault="00994958">
            <w:pPr>
              <w:jc w:val="right"/>
              <w:textAlignment w:val="bottom"/>
            </w:pPr>
            <w:r>
              <w:rPr>
                <w:rFonts w:ascii="Arial" w:eastAsia="宋体" w:hAnsi="Arial" w:cs="Arial"/>
                <w:b/>
                <w:bCs/>
                <w:color w:val="000000"/>
                <w:sz w:val="14"/>
                <w:szCs w:val="14"/>
              </w:rPr>
              <w:t>275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BB" w14:textId="77777777" w:rsidR="00E836FB" w:rsidRDefault="00994958">
            <w:pPr>
              <w:jc w:val="right"/>
              <w:textAlignment w:val="bottom"/>
            </w:pPr>
            <w:r>
              <w:rPr>
                <w:rFonts w:ascii="Arial" w:eastAsia="宋体" w:hAnsi="Arial" w:cs="Arial"/>
                <w:b/>
                <w:bCs/>
                <w:color w:val="000000"/>
                <w:sz w:val="14"/>
                <w:szCs w:val="14"/>
              </w:rPr>
              <w:t>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BE" w14:textId="77777777" w:rsidR="00E836FB" w:rsidRDefault="00994958">
            <w:pPr>
              <w:jc w:val="right"/>
              <w:textAlignment w:val="bottom"/>
            </w:pPr>
            <w:r>
              <w:rPr>
                <w:rFonts w:ascii="Arial" w:eastAsia="宋体" w:hAnsi="Arial" w:cs="Arial"/>
                <w:b/>
                <w:bCs/>
                <w:color w:val="000000"/>
                <w:sz w:val="14"/>
                <w:szCs w:val="14"/>
              </w:rPr>
              <w:t>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C1" w14:textId="77777777" w:rsidR="00E836FB" w:rsidRDefault="00994958">
            <w:pPr>
              <w:jc w:val="right"/>
              <w:textAlignment w:val="bottom"/>
            </w:pPr>
            <w:r>
              <w:rPr>
                <w:rFonts w:ascii="Arial" w:eastAsia="宋体" w:hAnsi="Arial" w:cs="Arial"/>
                <w:b/>
                <w:bCs/>
                <w:color w:val="000000"/>
                <w:sz w:val="14"/>
                <w:szCs w:val="14"/>
              </w:rPr>
              <w:t>3,113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5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5C4" w14:textId="77777777" w:rsidR="00E836FB" w:rsidRDefault="00994958">
            <w:pPr>
              <w:jc w:val="right"/>
              <w:textAlignment w:val="bottom"/>
            </w:pPr>
            <w:r>
              <w:rPr>
                <w:rFonts w:ascii="Arial" w:eastAsia="宋体" w:hAnsi="Arial" w:cs="Arial"/>
                <w:b/>
                <w:bCs/>
                <w:color w:val="000000"/>
                <w:sz w:val="14"/>
                <w:szCs w:val="14"/>
              </w:rPr>
              <w:t>3,098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5C5" w14:textId="77777777" w:rsidR="00E836FB" w:rsidRDefault="00E836FB">
            <w:pPr>
              <w:jc w:val="right"/>
              <w:rPr>
                <w:rFonts w:ascii="宋体"/>
              </w:rPr>
            </w:pPr>
          </w:p>
        </w:tc>
      </w:tr>
      <w:tr w:rsidR="00994958" w14:paraId="5F2D15E5" w14:textId="77777777">
        <w:tc>
          <w:tcPr>
            <w:tcW w:w="0" w:type="auto"/>
            <w:gridSpan w:val="3"/>
            <w:shd w:val="clear" w:color="auto" w:fill="CCEEFF"/>
            <w:tcMar>
              <w:top w:w="40" w:type="dxa"/>
              <w:left w:w="20" w:type="dxa"/>
              <w:bottom w:w="40" w:type="dxa"/>
              <w:right w:w="20" w:type="dxa"/>
            </w:tcMar>
            <w:vAlign w:val="bottom"/>
          </w:tcPr>
          <w:p w14:paraId="5F2D15C7" w14:textId="77777777" w:rsidR="00E836FB" w:rsidRDefault="00994958">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C8" w14:textId="77777777" w:rsidR="00E836FB" w:rsidRDefault="00994958">
            <w:pPr>
              <w:jc w:val="right"/>
              <w:textAlignment w:val="bottom"/>
            </w:pPr>
            <w:r>
              <w:rPr>
                <w:rFonts w:ascii="Arial" w:eastAsia="宋体" w:hAnsi="Arial" w:cs="Arial"/>
                <w:b/>
                <w:bCs/>
                <w:color w:val="000000"/>
                <w:sz w:val="14"/>
                <w:szCs w:val="14"/>
              </w:rPr>
              <w:t>5,762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C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CB" w14:textId="77777777" w:rsidR="00E836FB" w:rsidRDefault="00994958">
            <w:pPr>
              <w:jc w:val="right"/>
              <w:textAlignment w:val="bottom"/>
            </w:pPr>
            <w:r>
              <w:rPr>
                <w:rFonts w:ascii="Arial" w:eastAsia="宋体" w:hAnsi="Arial" w:cs="Arial"/>
                <w:b/>
                <w:bCs/>
                <w:color w:val="000000"/>
                <w:sz w:val="14"/>
                <w:szCs w:val="14"/>
              </w:rPr>
              <w:t>5,772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C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CE" w14:textId="77777777" w:rsidR="00E836FB" w:rsidRDefault="00994958">
            <w:pPr>
              <w:jc w:val="right"/>
              <w:textAlignment w:val="bottom"/>
            </w:pPr>
            <w:r>
              <w:rPr>
                <w:rFonts w:ascii="Arial" w:eastAsia="宋体" w:hAnsi="Arial" w:cs="Arial"/>
                <w:b/>
                <w:bCs/>
                <w:color w:val="000000"/>
                <w:sz w:val="14"/>
                <w:szCs w:val="14"/>
              </w:rPr>
              <w:t>19,849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D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D1" w14:textId="77777777" w:rsidR="00E836FB" w:rsidRDefault="00994958">
            <w:pPr>
              <w:jc w:val="right"/>
              <w:textAlignment w:val="bottom"/>
            </w:pPr>
            <w:r>
              <w:rPr>
                <w:rFonts w:ascii="Arial" w:eastAsia="宋体" w:hAnsi="Arial" w:cs="Arial"/>
                <w:b/>
                <w:bCs/>
                <w:color w:val="000000"/>
                <w:sz w:val="14"/>
                <w:szCs w:val="14"/>
              </w:rPr>
              <w:t>19,847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D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D4" w14:textId="77777777" w:rsidR="00E836FB" w:rsidRDefault="00994958">
            <w:pPr>
              <w:jc w:val="right"/>
              <w:textAlignment w:val="bottom"/>
            </w:pPr>
            <w:r>
              <w:rPr>
                <w:rFonts w:ascii="Arial" w:eastAsia="宋体" w:hAnsi="Arial" w:cs="Arial"/>
                <w:b/>
                <w:bCs/>
                <w:color w:val="000000"/>
                <w:sz w:val="14"/>
                <w:szCs w:val="14"/>
              </w:rPr>
              <w:t>3,483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D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D7" w14:textId="77777777" w:rsidR="00E836FB" w:rsidRDefault="00994958">
            <w:pPr>
              <w:jc w:val="right"/>
              <w:textAlignment w:val="bottom"/>
            </w:pPr>
            <w:r>
              <w:rPr>
                <w:rFonts w:ascii="Arial" w:eastAsia="宋体" w:hAnsi="Arial" w:cs="Arial"/>
                <w:b/>
                <w:bCs/>
                <w:color w:val="000000"/>
                <w:sz w:val="14"/>
                <w:szCs w:val="14"/>
              </w:rPr>
              <w:t>3,479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D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DA" w14:textId="77777777" w:rsidR="00E836FB" w:rsidRDefault="00994958">
            <w:pPr>
              <w:jc w:val="right"/>
              <w:textAlignment w:val="bottom"/>
            </w:pPr>
            <w:r>
              <w:rPr>
                <w:rFonts w:ascii="Arial" w:eastAsia="宋体" w:hAnsi="Arial" w:cs="Arial"/>
                <w:b/>
                <w:bCs/>
                <w:color w:val="000000"/>
                <w:sz w:val="14"/>
                <w:szCs w:val="14"/>
              </w:rPr>
              <w:t>1,625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D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DD" w14:textId="77777777" w:rsidR="00E836FB" w:rsidRDefault="00994958">
            <w:pPr>
              <w:jc w:val="right"/>
              <w:textAlignment w:val="bottom"/>
            </w:pPr>
            <w:r>
              <w:rPr>
                <w:rFonts w:ascii="Arial" w:eastAsia="宋体" w:hAnsi="Arial" w:cs="Arial"/>
                <w:b/>
                <w:bCs/>
                <w:color w:val="000000"/>
                <w:sz w:val="14"/>
                <w:szCs w:val="14"/>
              </w:rPr>
              <w:t>1,629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D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E0" w14:textId="77777777" w:rsidR="00E836FB" w:rsidRDefault="00994958">
            <w:pPr>
              <w:jc w:val="right"/>
              <w:textAlignment w:val="bottom"/>
            </w:pPr>
            <w:r>
              <w:rPr>
                <w:rFonts w:ascii="Arial" w:eastAsia="宋体" w:hAnsi="Arial" w:cs="Arial"/>
                <w:b/>
                <w:bCs/>
                <w:color w:val="000000"/>
                <w:sz w:val="14"/>
                <w:szCs w:val="14"/>
              </w:rPr>
              <w:t>30,719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E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5E3" w14:textId="77777777" w:rsidR="00E836FB" w:rsidRDefault="00994958">
            <w:pPr>
              <w:jc w:val="right"/>
              <w:textAlignment w:val="bottom"/>
            </w:pPr>
            <w:r>
              <w:rPr>
                <w:rFonts w:ascii="Arial" w:eastAsia="宋体" w:hAnsi="Arial" w:cs="Arial"/>
                <w:b/>
                <w:bCs/>
                <w:color w:val="000000"/>
                <w:sz w:val="14"/>
                <w:szCs w:val="14"/>
              </w:rPr>
              <w:t>30,727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5E4" w14:textId="77777777" w:rsidR="00E836FB" w:rsidRDefault="00E836FB">
            <w:pPr>
              <w:jc w:val="right"/>
              <w:rPr>
                <w:rFonts w:ascii="宋体"/>
              </w:rPr>
            </w:pPr>
          </w:p>
        </w:tc>
      </w:tr>
      <w:tr w:rsidR="00E836FB" w14:paraId="5F2D15FA" w14:textId="77777777">
        <w:tc>
          <w:tcPr>
            <w:tcW w:w="0" w:type="auto"/>
            <w:gridSpan w:val="3"/>
            <w:shd w:val="clear" w:color="auto" w:fill="FFFFFF"/>
            <w:tcMar>
              <w:top w:w="40" w:type="dxa"/>
              <w:left w:w="20" w:type="dxa"/>
              <w:bottom w:w="40" w:type="dxa"/>
              <w:right w:w="20" w:type="dxa"/>
            </w:tcMar>
            <w:vAlign w:val="bottom"/>
          </w:tcPr>
          <w:p w14:paraId="5F2D15E6" w14:textId="77777777" w:rsidR="00E836FB" w:rsidRDefault="00994958">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E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E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E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E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E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EC"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E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EE"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E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F0"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F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F2"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F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F4"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F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F6"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F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5F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5F9" w14:textId="77777777" w:rsidR="00E836FB" w:rsidRDefault="00E836FB">
            <w:pPr>
              <w:rPr>
                <w:rFonts w:ascii="宋体"/>
              </w:rPr>
            </w:pPr>
          </w:p>
        </w:tc>
      </w:tr>
      <w:tr w:rsidR="00994958" w14:paraId="5F2D1619" w14:textId="77777777">
        <w:tc>
          <w:tcPr>
            <w:tcW w:w="0" w:type="auto"/>
            <w:gridSpan w:val="3"/>
            <w:shd w:val="clear" w:color="auto" w:fill="CCEEFF"/>
            <w:tcMar>
              <w:top w:w="40" w:type="dxa"/>
              <w:left w:w="140" w:type="dxa"/>
              <w:bottom w:w="40" w:type="dxa"/>
              <w:right w:w="20" w:type="dxa"/>
            </w:tcMar>
            <w:vAlign w:val="bottom"/>
          </w:tcPr>
          <w:p w14:paraId="5F2D15FB" w14:textId="77777777" w:rsidR="00E836FB" w:rsidRDefault="00994958">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5F2D15FC" w14:textId="77777777" w:rsidR="00E836FB" w:rsidRDefault="00994958">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5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5F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5FF" w14:textId="77777777" w:rsidR="00E836FB" w:rsidRDefault="00994958">
            <w:pPr>
              <w:jc w:val="right"/>
              <w:textAlignment w:val="bottom"/>
            </w:pPr>
            <w:r>
              <w:rPr>
                <w:rFonts w:ascii="Arial" w:eastAsia="宋体" w:hAnsi="Arial" w:cs="Arial"/>
                <w:b/>
                <w:bCs/>
                <w:color w:val="000000"/>
                <w:sz w:val="14"/>
                <w:szCs w:val="14"/>
              </w:rPr>
              <w:t>115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0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0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0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0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0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0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0E" w14:textId="77777777" w:rsidR="00E836FB" w:rsidRDefault="00994958">
            <w:pPr>
              <w:jc w:val="right"/>
              <w:textAlignment w:val="bottom"/>
            </w:pPr>
            <w:r>
              <w:rPr>
                <w:rFonts w:ascii="Arial" w:eastAsia="宋体" w:hAnsi="Arial" w:cs="Arial"/>
                <w:b/>
                <w:bCs/>
                <w:color w:val="000000"/>
                <w:sz w:val="14"/>
                <w:szCs w:val="14"/>
              </w:rPr>
              <w:t>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11" w14:textId="77777777" w:rsidR="00E836FB" w:rsidRDefault="00994958">
            <w:pPr>
              <w:jc w:val="right"/>
              <w:textAlignment w:val="bottom"/>
            </w:pPr>
            <w:r>
              <w:rPr>
                <w:rFonts w:ascii="Arial" w:eastAsia="宋体" w:hAnsi="Arial" w:cs="Arial"/>
                <w:b/>
                <w:bCs/>
                <w:color w:val="000000"/>
                <w:sz w:val="14"/>
                <w:szCs w:val="14"/>
              </w:rPr>
              <w:t>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14" w14:textId="77777777" w:rsidR="00E836FB" w:rsidRDefault="00994958">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17" w14:textId="77777777" w:rsidR="00E836FB" w:rsidRDefault="00994958">
            <w:pPr>
              <w:jc w:val="right"/>
              <w:textAlignment w:val="bottom"/>
            </w:pPr>
            <w:r>
              <w:rPr>
                <w:rFonts w:ascii="Arial" w:eastAsia="宋体" w:hAnsi="Arial" w:cs="Arial"/>
                <w:b/>
                <w:bCs/>
                <w:color w:val="000000"/>
                <w:sz w:val="14"/>
                <w:szCs w:val="14"/>
              </w:rPr>
              <w:t>211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18" w14:textId="77777777" w:rsidR="00E836FB" w:rsidRDefault="00E836FB">
            <w:pPr>
              <w:jc w:val="right"/>
              <w:rPr>
                <w:rFonts w:ascii="宋体"/>
              </w:rPr>
            </w:pPr>
          </w:p>
        </w:tc>
      </w:tr>
      <w:tr w:rsidR="00994958" w14:paraId="5F2D1638" w14:textId="77777777">
        <w:tc>
          <w:tcPr>
            <w:tcW w:w="0" w:type="auto"/>
            <w:gridSpan w:val="3"/>
            <w:shd w:val="clear" w:color="auto" w:fill="FFFFFF"/>
            <w:tcMar>
              <w:top w:w="40" w:type="dxa"/>
              <w:left w:w="140" w:type="dxa"/>
              <w:bottom w:w="40" w:type="dxa"/>
              <w:right w:w="20" w:type="dxa"/>
            </w:tcMar>
            <w:vAlign w:val="bottom"/>
          </w:tcPr>
          <w:p w14:paraId="5F2D161A" w14:textId="77777777" w:rsidR="00E836FB" w:rsidRDefault="00994958">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5F2D161B" w14:textId="77777777" w:rsidR="00E836FB" w:rsidRDefault="00994958">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1E" w14:textId="77777777" w:rsidR="00E836FB" w:rsidRDefault="00994958">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21" w14:textId="77777777" w:rsidR="00E836FB" w:rsidRDefault="00994958">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24" w14:textId="77777777" w:rsidR="00E836FB" w:rsidRDefault="00994958">
            <w:pPr>
              <w:jc w:val="right"/>
              <w:textAlignment w:val="bottom"/>
            </w:pPr>
            <w:r>
              <w:rPr>
                <w:rFonts w:ascii="Arial" w:eastAsia="宋体" w:hAnsi="Arial" w:cs="Arial"/>
                <w:b/>
                <w:bCs/>
                <w:color w:val="000000"/>
                <w:sz w:val="14"/>
                <w:szCs w:val="14"/>
              </w:rPr>
              <w:t>483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2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27" w14:textId="77777777" w:rsidR="00E836FB" w:rsidRDefault="00994958">
            <w:pPr>
              <w:jc w:val="right"/>
              <w:textAlignment w:val="bottom"/>
            </w:pPr>
            <w:r>
              <w:rPr>
                <w:rFonts w:ascii="Arial" w:eastAsia="宋体" w:hAnsi="Arial" w:cs="Arial"/>
                <w:b/>
                <w:bCs/>
                <w:color w:val="000000"/>
                <w:sz w:val="14"/>
                <w:szCs w:val="14"/>
              </w:rPr>
              <w:t>1,085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2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2A" w14:textId="77777777" w:rsidR="00E836FB" w:rsidRDefault="00994958">
            <w:pPr>
              <w:jc w:val="right"/>
              <w:textAlignment w:val="bottom"/>
            </w:pPr>
            <w:r>
              <w:rPr>
                <w:rFonts w:ascii="Arial" w:eastAsia="宋体" w:hAnsi="Arial" w:cs="Arial"/>
                <w:b/>
                <w:bCs/>
                <w:color w:val="000000"/>
                <w:sz w:val="14"/>
                <w:szCs w:val="14"/>
              </w:rPr>
              <w:t>1,084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2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2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2D" w14:textId="77777777" w:rsidR="00E836FB" w:rsidRDefault="00994958">
            <w:pPr>
              <w:jc w:val="right"/>
              <w:textAlignment w:val="bottom"/>
            </w:pPr>
            <w:r>
              <w:rPr>
                <w:rFonts w:ascii="Arial" w:eastAsia="宋体" w:hAnsi="Arial" w:cs="Arial"/>
                <w:b/>
                <w:bCs/>
                <w:color w:val="000000"/>
                <w:sz w:val="14"/>
                <w:szCs w:val="14"/>
              </w:rPr>
              <w:t>441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2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2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30" w14:textId="77777777" w:rsidR="00E836FB" w:rsidRDefault="00994958">
            <w:pPr>
              <w:jc w:val="right"/>
              <w:textAlignment w:val="bottom"/>
            </w:pPr>
            <w:r>
              <w:rPr>
                <w:rFonts w:ascii="Arial" w:eastAsia="宋体" w:hAnsi="Arial" w:cs="Arial"/>
                <w:b/>
                <w:bCs/>
                <w:color w:val="000000"/>
                <w:sz w:val="14"/>
                <w:szCs w:val="14"/>
              </w:rPr>
              <w:t>441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3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33" w14:textId="77777777" w:rsidR="00E836FB" w:rsidRDefault="00994958">
            <w:pPr>
              <w:jc w:val="right"/>
              <w:textAlignment w:val="bottom"/>
            </w:pPr>
            <w:r>
              <w:rPr>
                <w:rFonts w:ascii="Arial" w:eastAsia="宋体" w:hAnsi="Arial" w:cs="Arial"/>
                <w:b/>
                <w:bCs/>
                <w:color w:val="000000"/>
                <w:sz w:val="14"/>
                <w:szCs w:val="14"/>
              </w:rPr>
              <w:t>2,155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3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36" w14:textId="77777777" w:rsidR="00E836FB" w:rsidRDefault="00994958">
            <w:pPr>
              <w:jc w:val="right"/>
              <w:textAlignment w:val="bottom"/>
            </w:pPr>
            <w:r>
              <w:rPr>
                <w:rFonts w:ascii="Arial" w:eastAsia="宋体" w:hAnsi="Arial" w:cs="Arial"/>
                <w:b/>
                <w:bCs/>
                <w:color w:val="000000"/>
                <w:sz w:val="14"/>
                <w:szCs w:val="14"/>
              </w:rPr>
              <w:t>2,155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37" w14:textId="77777777" w:rsidR="00E836FB" w:rsidRDefault="00E836FB">
            <w:pPr>
              <w:jc w:val="right"/>
              <w:rPr>
                <w:rFonts w:ascii="宋体"/>
              </w:rPr>
            </w:pPr>
          </w:p>
        </w:tc>
      </w:tr>
      <w:tr w:rsidR="00994958" w14:paraId="5F2D1657" w14:textId="77777777">
        <w:tc>
          <w:tcPr>
            <w:tcW w:w="0" w:type="auto"/>
            <w:gridSpan w:val="3"/>
            <w:shd w:val="clear" w:color="auto" w:fill="CCEEFF"/>
            <w:tcMar>
              <w:top w:w="40" w:type="dxa"/>
              <w:left w:w="140" w:type="dxa"/>
              <w:bottom w:w="40" w:type="dxa"/>
              <w:right w:w="20" w:type="dxa"/>
            </w:tcMar>
            <w:vAlign w:val="bottom"/>
          </w:tcPr>
          <w:p w14:paraId="5F2D1639" w14:textId="77777777" w:rsidR="00E836FB" w:rsidRDefault="00994958">
            <w:pPr>
              <w:textAlignment w:val="bottom"/>
            </w:pPr>
            <w:r>
              <w:rPr>
                <w:rFonts w:ascii="Arial" w:eastAsia="宋体" w:hAnsi="Arial" w:cs="Arial"/>
                <w:color w:val="000000"/>
                <w:sz w:val="14"/>
                <w:szCs w:val="14"/>
              </w:rPr>
              <w:t>Non-agency CMBS and RMBS</w:t>
            </w:r>
          </w:p>
        </w:tc>
        <w:tc>
          <w:tcPr>
            <w:tcW w:w="0" w:type="auto"/>
            <w:gridSpan w:val="2"/>
            <w:shd w:val="clear" w:color="auto" w:fill="CCEEFF"/>
            <w:tcMar>
              <w:top w:w="40" w:type="dxa"/>
              <w:left w:w="20" w:type="dxa"/>
              <w:bottom w:w="40" w:type="dxa"/>
              <w:right w:w="0" w:type="dxa"/>
            </w:tcMar>
            <w:vAlign w:val="bottom"/>
          </w:tcPr>
          <w:p w14:paraId="5F2D163A"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3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3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3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3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4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4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4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4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4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4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4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4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4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4C" w14:textId="77777777" w:rsidR="00E836FB" w:rsidRDefault="00994958">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4F" w14:textId="77777777" w:rsidR="00E836FB" w:rsidRDefault="00994958">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52" w14:textId="77777777" w:rsidR="00E836FB" w:rsidRDefault="00994958">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5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55" w14:textId="77777777" w:rsidR="00E836FB" w:rsidRDefault="00994958">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56" w14:textId="77777777" w:rsidR="00E836FB" w:rsidRDefault="00E836FB">
            <w:pPr>
              <w:jc w:val="right"/>
              <w:rPr>
                <w:rFonts w:ascii="宋体"/>
              </w:rPr>
            </w:pPr>
          </w:p>
        </w:tc>
      </w:tr>
      <w:tr w:rsidR="00994958" w14:paraId="5F2D1676" w14:textId="77777777">
        <w:tc>
          <w:tcPr>
            <w:tcW w:w="0" w:type="auto"/>
            <w:gridSpan w:val="3"/>
            <w:shd w:val="clear" w:color="auto" w:fill="FFFFFF"/>
            <w:tcMar>
              <w:top w:w="40" w:type="dxa"/>
              <w:left w:w="140" w:type="dxa"/>
              <w:bottom w:w="40" w:type="dxa"/>
              <w:right w:w="20" w:type="dxa"/>
            </w:tcMar>
            <w:vAlign w:val="bottom"/>
          </w:tcPr>
          <w:p w14:paraId="5F2D1658" w14:textId="77777777" w:rsidR="00E836FB" w:rsidRDefault="00994958">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F2D165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5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5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5C"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5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5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5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6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65" w14:textId="77777777" w:rsidR="00E836FB" w:rsidRDefault="00994958">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68" w14:textId="77777777" w:rsidR="00E836FB" w:rsidRDefault="00994958">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6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6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71" w14:textId="77777777" w:rsidR="00E836FB" w:rsidRDefault="00994958">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674" w14:textId="77777777" w:rsidR="00E836FB" w:rsidRDefault="00994958">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675" w14:textId="77777777" w:rsidR="00E836FB" w:rsidRDefault="00E836FB">
            <w:pPr>
              <w:jc w:val="right"/>
              <w:rPr>
                <w:rFonts w:ascii="宋体"/>
              </w:rPr>
            </w:pPr>
          </w:p>
        </w:tc>
      </w:tr>
      <w:tr w:rsidR="00994958" w14:paraId="5F2D1695" w14:textId="77777777">
        <w:tc>
          <w:tcPr>
            <w:tcW w:w="0" w:type="auto"/>
            <w:gridSpan w:val="3"/>
            <w:shd w:val="clear" w:color="auto" w:fill="CCEEFF"/>
            <w:tcMar>
              <w:top w:w="40" w:type="dxa"/>
              <w:left w:w="20" w:type="dxa"/>
              <w:bottom w:w="40" w:type="dxa"/>
              <w:right w:w="20" w:type="dxa"/>
            </w:tcMar>
            <w:vAlign w:val="bottom"/>
          </w:tcPr>
          <w:p w14:paraId="5F2D1677" w14:textId="77777777" w:rsidR="00E836FB" w:rsidRDefault="00994958">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78" w14:textId="77777777" w:rsidR="00E836FB" w:rsidRDefault="00994958">
            <w:pPr>
              <w:jc w:val="right"/>
              <w:textAlignment w:val="bottom"/>
            </w:pPr>
            <w:r>
              <w:rPr>
                <w:rFonts w:ascii="Arial" w:eastAsia="宋体" w:hAnsi="Arial" w:cs="Arial"/>
                <w:b/>
                <w:bCs/>
                <w:color w:val="000000"/>
                <w:sz w:val="14"/>
                <w:szCs w:val="14"/>
              </w:rPr>
              <w:t>260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7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7B" w14:textId="77777777" w:rsidR="00E836FB" w:rsidRDefault="00994958">
            <w:pPr>
              <w:jc w:val="right"/>
              <w:textAlignment w:val="bottom"/>
            </w:pPr>
            <w:r>
              <w:rPr>
                <w:rFonts w:ascii="Arial" w:eastAsia="宋体" w:hAnsi="Arial" w:cs="Arial"/>
                <w:b/>
                <w:bCs/>
                <w:color w:val="000000"/>
                <w:sz w:val="14"/>
                <w:szCs w:val="14"/>
              </w:rPr>
              <w:t>262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7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7E" w14:textId="77777777" w:rsidR="00E836FB" w:rsidRDefault="00994958">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8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81" w14:textId="77777777" w:rsidR="00E836FB" w:rsidRDefault="00994958">
            <w:pPr>
              <w:jc w:val="right"/>
              <w:textAlignment w:val="bottom"/>
            </w:pPr>
            <w:r>
              <w:rPr>
                <w:rFonts w:ascii="Arial" w:eastAsia="宋体" w:hAnsi="Arial" w:cs="Arial"/>
                <w:b/>
                <w:bCs/>
                <w:color w:val="000000"/>
                <w:sz w:val="14"/>
                <w:szCs w:val="14"/>
              </w:rPr>
              <w:t>483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8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84" w14:textId="77777777" w:rsidR="00E836FB" w:rsidRDefault="00994958">
            <w:pPr>
              <w:jc w:val="right"/>
              <w:textAlignment w:val="bottom"/>
            </w:pPr>
            <w:r>
              <w:rPr>
                <w:rFonts w:ascii="Arial" w:eastAsia="宋体" w:hAnsi="Arial" w:cs="Arial"/>
                <w:b/>
                <w:bCs/>
                <w:color w:val="000000"/>
                <w:sz w:val="14"/>
                <w:szCs w:val="14"/>
              </w:rPr>
              <w:t>1,175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8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87" w14:textId="77777777" w:rsidR="00E836FB" w:rsidRDefault="00994958">
            <w:pPr>
              <w:jc w:val="right"/>
              <w:textAlignment w:val="bottom"/>
            </w:pPr>
            <w:r>
              <w:rPr>
                <w:rFonts w:ascii="Arial" w:eastAsia="宋体" w:hAnsi="Arial" w:cs="Arial"/>
                <w:b/>
                <w:bCs/>
                <w:color w:val="000000"/>
                <w:sz w:val="14"/>
                <w:szCs w:val="14"/>
              </w:rPr>
              <w:t>1,175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8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8A" w14:textId="77777777" w:rsidR="00E836FB" w:rsidRDefault="00994958">
            <w:pPr>
              <w:jc w:val="right"/>
              <w:textAlignment w:val="bottom"/>
            </w:pPr>
            <w:r>
              <w:rPr>
                <w:rFonts w:ascii="Arial" w:eastAsia="宋体" w:hAnsi="Arial" w:cs="Arial"/>
                <w:b/>
                <w:bCs/>
                <w:color w:val="000000"/>
                <w:sz w:val="14"/>
                <w:szCs w:val="14"/>
              </w:rPr>
              <w:t>589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8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8D" w14:textId="77777777" w:rsidR="00E836FB" w:rsidRDefault="00994958">
            <w:pPr>
              <w:jc w:val="right"/>
              <w:textAlignment w:val="bottom"/>
            </w:pPr>
            <w:r>
              <w:rPr>
                <w:rFonts w:ascii="Arial" w:eastAsia="宋体" w:hAnsi="Arial" w:cs="Arial"/>
                <w:b/>
                <w:bCs/>
                <w:color w:val="000000"/>
                <w:sz w:val="14"/>
                <w:szCs w:val="14"/>
              </w:rPr>
              <w:t>589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8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90" w14:textId="77777777" w:rsidR="00E836FB" w:rsidRDefault="00994958">
            <w:pPr>
              <w:jc w:val="right"/>
              <w:textAlignment w:val="bottom"/>
            </w:pPr>
            <w:r>
              <w:rPr>
                <w:rFonts w:ascii="Arial" w:eastAsia="宋体" w:hAnsi="Arial" w:cs="Arial"/>
                <w:b/>
                <w:bCs/>
                <w:color w:val="000000"/>
                <w:sz w:val="14"/>
                <w:szCs w:val="14"/>
              </w:rPr>
              <w:t>2,506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9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693" w14:textId="77777777" w:rsidR="00E836FB" w:rsidRDefault="00994958">
            <w:pPr>
              <w:jc w:val="right"/>
              <w:textAlignment w:val="bottom"/>
            </w:pPr>
            <w:r>
              <w:rPr>
                <w:rFonts w:ascii="Arial" w:eastAsia="宋体" w:hAnsi="Arial" w:cs="Arial"/>
                <w:b/>
                <w:bCs/>
                <w:color w:val="000000"/>
                <w:sz w:val="14"/>
                <w:szCs w:val="14"/>
              </w:rPr>
              <w:t>2,509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694" w14:textId="77777777" w:rsidR="00E836FB" w:rsidRDefault="00E836FB">
            <w:pPr>
              <w:jc w:val="right"/>
              <w:rPr>
                <w:rFonts w:ascii="宋体"/>
              </w:rPr>
            </w:pPr>
          </w:p>
        </w:tc>
      </w:tr>
      <w:tr w:rsidR="00994958" w14:paraId="5F2D16B4" w14:textId="77777777">
        <w:tc>
          <w:tcPr>
            <w:tcW w:w="0" w:type="auto"/>
            <w:gridSpan w:val="3"/>
            <w:shd w:val="clear" w:color="auto" w:fill="FFFFFF"/>
            <w:tcMar>
              <w:top w:w="40" w:type="dxa"/>
              <w:left w:w="140" w:type="dxa"/>
              <w:bottom w:w="40" w:type="dxa"/>
              <w:right w:w="20" w:type="dxa"/>
            </w:tcMar>
            <w:vAlign w:val="bottom"/>
          </w:tcPr>
          <w:p w14:paraId="5F2D1696" w14:textId="77777777" w:rsidR="00E836FB" w:rsidRDefault="00994958">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97" w14:textId="77777777" w:rsidR="00E836FB" w:rsidRDefault="00994958">
            <w:pPr>
              <w:jc w:val="right"/>
              <w:textAlignment w:val="bottom"/>
            </w:pPr>
            <w:r>
              <w:rPr>
                <w:rFonts w:ascii="Arial" w:eastAsia="宋体" w:hAnsi="Arial" w:cs="Arial"/>
                <w:b/>
                <w:bCs/>
                <w:color w:val="000000"/>
                <w:sz w:val="14"/>
                <w:szCs w:val="14"/>
              </w:rPr>
              <w:t>177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9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9A" w14:textId="77777777" w:rsidR="00E836FB" w:rsidRDefault="00994958">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9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9D" w14:textId="77777777" w:rsidR="00E836FB" w:rsidRDefault="00994958">
            <w:pPr>
              <w:jc w:val="right"/>
              <w:textAlignment w:val="bottom"/>
            </w:pPr>
            <w:r>
              <w:rPr>
                <w:rFonts w:ascii="Arial" w:eastAsia="宋体" w:hAnsi="Arial" w:cs="Arial"/>
                <w:b/>
                <w:bCs/>
                <w:color w:val="000000"/>
                <w:sz w:val="14"/>
                <w:szCs w:val="14"/>
              </w:rPr>
              <w:t>491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9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A0" w14:textId="77777777" w:rsidR="00E836FB" w:rsidRDefault="00994958">
            <w:pPr>
              <w:jc w:val="right"/>
              <w:textAlignment w:val="bottom"/>
            </w:pPr>
            <w:r>
              <w:rPr>
                <w:rFonts w:ascii="Arial" w:eastAsia="宋体" w:hAnsi="Arial" w:cs="Arial"/>
                <w:b/>
                <w:bCs/>
                <w:color w:val="000000"/>
                <w:sz w:val="14"/>
                <w:szCs w:val="14"/>
              </w:rPr>
              <w:t>512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A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A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A3" w14:textId="77777777" w:rsidR="00E836FB" w:rsidRDefault="00994958">
            <w:pPr>
              <w:jc w:val="right"/>
              <w:textAlignment w:val="bottom"/>
            </w:pPr>
            <w:r>
              <w:rPr>
                <w:rFonts w:ascii="Arial" w:eastAsia="宋体" w:hAnsi="Arial" w:cs="Arial"/>
                <w:b/>
                <w:bCs/>
                <w:color w:val="000000"/>
                <w:sz w:val="14"/>
                <w:szCs w:val="14"/>
              </w:rPr>
              <w:t>466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A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A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A6" w14:textId="77777777" w:rsidR="00E836FB" w:rsidRDefault="00994958">
            <w:pPr>
              <w:jc w:val="right"/>
              <w:textAlignment w:val="bottom"/>
            </w:pPr>
            <w:r>
              <w:rPr>
                <w:rFonts w:ascii="Arial" w:eastAsia="宋体" w:hAnsi="Arial" w:cs="Arial"/>
                <w:b/>
                <w:bCs/>
                <w:color w:val="000000"/>
                <w:sz w:val="14"/>
                <w:szCs w:val="14"/>
              </w:rPr>
              <w:t>499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A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A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A9" w14:textId="77777777" w:rsidR="00E836FB" w:rsidRDefault="00994958">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A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AC" w14:textId="77777777" w:rsidR="00E836FB" w:rsidRDefault="00994958">
            <w:pPr>
              <w:jc w:val="right"/>
              <w:textAlignment w:val="bottom"/>
            </w:pPr>
            <w:r>
              <w:rPr>
                <w:rFonts w:ascii="Arial" w:eastAsia="宋体" w:hAnsi="Arial" w:cs="Arial"/>
                <w:b/>
                <w:bCs/>
                <w:color w:val="000000"/>
                <w:sz w:val="14"/>
                <w:szCs w:val="14"/>
              </w:rPr>
              <w:t>81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A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AF" w14:textId="77777777" w:rsidR="00E836FB" w:rsidRDefault="00994958">
            <w:pPr>
              <w:jc w:val="right"/>
              <w:textAlignment w:val="bottom"/>
            </w:pPr>
            <w:r>
              <w:rPr>
                <w:rFonts w:ascii="Arial" w:eastAsia="宋体" w:hAnsi="Arial" w:cs="Arial"/>
                <w:b/>
                <w:bCs/>
                <w:color w:val="000000"/>
                <w:sz w:val="14"/>
                <w:szCs w:val="14"/>
              </w:rPr>
              <w:t>1,216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B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6B2" w14:textId="77777777" w:rsidR="00E836FB" w:rsidRDefault="00994958">
            <w:pPr>
              <w:jc w:val="right"/>
              <w:textAlignment w:val="bottom"/>
            </w:pPr>
            <w:r>
              <w:rPr>
                <w:rFonts w:ascii="Arial" w:eastAsia="宋体" w:hAnsi="Arial" w:cs="Arial"/>
                <w:b/>
                <w:bCs/>
                <w:color w:val="000000"/>
                <w:sz w:val="14"/>
                <w:szCs w:val="14"/>
              </w:rPr>
              <w:t>1,272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B3" w14:textId="77777777" w:rsidR="00E836FB" w:rsidRDefault="00E836FB">
            <w:pPr>
              <w:jc w:val="right"/>
              <w:rPr>
                <w:rFonts w:ascii="宋体"/>
              </w:rPr>
            </w:pPr>
          </w:p>
        </w:tc>
      </w:tr>
      <w:tr w:rsidR="00E836FB" w14:paraId="5F2D16C9" w14:textId="77777777">
        <w:trPr>
          <w:hidden/>
        </w:trPr>
        <w:tc>
          <w:tcPr>
            <w:tcW w:w="0" w:type="auto"/>
            <w:gridSpan w:val="3"/>
            <w:shd w:val="clear" w:color="auto" w:fill="auto"/>
            <w:vAlign w:val="bottom"/>
          </w:tcPr>
          <w:p w14:paraId="5F2D16B5" w14:textId="77777777" w:rsidR="00E836FB" w:rsidRDefault="00E836FB">
            <w:pPr>
              <w:rPr>
                <w:rFonts w:ascii="宋体"/>
                <w:vanish/>
              </w:rPr>
            </w:pPr>
          </w:p>
        </w:tc>
        <w:tc>
          <w:tcPr>
            <w:tcW w:w="0" w:type="auto"/>
            <w:gridSpan w:val="3"/>
            <w:shd w:val="clear" w:color="auto" w:fill="auto"/>
            <w:vAlign w:val="bottom"/>
          </w:tcPr>
          <w:p w14:paraId="5F2D16B6" w14:textId="77777777" w:rsidR="00E836FB" w:rsidRDefault="00E836FB">
            <w:pPr>
              <w:rPr>
                <w:rFonts w:ascii="宋体"/>
                <w:vanish/>
              </w:rPr>
            </w:pPr>
          </w:p>
        </w:tc>
        <w:tc>
          <w:tcPr>
            <w:tcW w:w="0" w:type="auto"/>
            <w:gridSpan w:val="3"/>
            <w:shd w:val="clear" w:color="auto" w:fill="auto"/>
            <w:vAlign w:val="bottom"/>
          </w:tcPr>
          <w:p w14:paraId="5F2D16B7" w14:textId="77777777" w:rsidR="00E836FB" w:rsidRDefault="00E836FB">
            <w:pPr>
              <w:rPr>
                <w:rFonts w:ascii="宋体"/>
                <w:vanish/>
              </w:rPr>
            </w:pPr>
          </w:p>
        </w:tc>
        <w:tc>
          <w:tcPr>
            <w:tcW w:w="0" w:type="auto"/>
            <w:gridSpan w:val="3"/>
            <w:shd w:val="clear" w:color="auto" w:fill="auto"/>
            <w:vAlign w:val="bottom"/>
          </w:tcPr>
          <w:p w14:paraId="5F2D16B8" w14:textId="77777777" w:rsidR="00E836FB" w:rsidRDefault="00E836FB">
            <w:pPr>
              <w:rPr>
                <w:rFonts w:ascii="宋体"/>
                <w:vanish/>
              </w:rPr>
            </w:pPr>
          </w:p>
        </w:tc>
        <w:tc>
          <w:tcPr>
            <w:tcW w:w="0" w:type="auto"/>
            <w:gridSpan w:val="3"/>
            <w:shd w:val="clear" w:color="auto" w:fill="auto"/>
            <w:vAlign w:val="bottom"/>
          </w:tcPr>
          <w:p w14:paraId="5F2D16B9" w14:textId="77777777" w:rsidR="00E836FB" w:rsidRDefault="00E836FB">
            <w:pPr>
              <w:rPr>
                <w:rFonts w:ascii="宋体"/>
                <w:vanish/>
              </w:rPr>
            </w:pPr>
          </w:p>
        </w:tc>
        <w:tc>
          <w:tcPr>
            <w:tcW w:w="0" w:type="auto"/>
            <w:gridSpan w:val="3"/>
            <w:shd w:val="clear" w:color="auto" w:fill="auto"/>
            <w:vAlign w:val="bottom"/>
          </w:tcPr>
          <w:p w14:paraId="5F2D16BA" w14:textId="77777777" w:rsidR="00E836FB" w:rsidRDefault="00E836FB">
            <w:pPr>
              <w:rPr>
                <w:rFonts w:ascii="宋体"/>
                <w:vanish/>
              </w:rPr>
            </w:pPr>
          </w:p>
        </w:tc>
        <w:tc>
          <w:tcPr>
            <w:tcW w:w="0" w:type="auto"/>
            <w:gridSpan w:val="3"/>
            <w:shd w:val="clear" w:color="auto" w:fill="auto"/>
            <w:vAlign w:val="bottom"/>
          </w:tcPr>
          <w:p w14:paraId="5F2D16BB" w14:textId="77777777" w:rsidR="00E836FB" w:rsidRDefault="00E836FB">
            <w:pPr>
              <w:rPr>
                <w:rFonts w:ascii="宋体"/>
                <w:vanish/>
              </w:rPr>
            </w:pPr>
          </w:p>
        </w:tc>
        <w:tc>
          <w:tcPr>
            <w:tcW w:w="0" w:type="auto"/>
            <w:gridSpan w:val="3"/>
            <w:shd w:val="clear" w:color="auto" w:fill="auto"/>
            <w:vAlign w:val="bottom"/>
          </w:tcPr>
          <w:p w14:paraId="5F2D16BC" w14:textId="77777777" w:rsidR="00E836FB" w:rsidRDefault="00E836FB">
            <w:pPr>
              <w:rPr>
                <w:rFonts w:ascii="宋体"/>
                <w:vanish/>
              </w:rPr>
            </w:pPr>
          </w:p>
        </w:tc>
        <w:tc>
          <w:tcPr>
            <w:tcW w:w="0" w:type="auto"/>
            <w:gridSpan w:val="3"/>
            <w:shd w:val="clear" w:color="auto" w:fill="auto"/>
            <w:vAlign w:val="bottom"/>
          </w:tcPr>
          <w:p w14:paraId="5F2D16BD" w14:textId="77777777" w:rsidR="00E836FB" w:rsidRDefault="00E836FB">
            <w:pPr>
              <w:rPr>
                <w:rFonts w:ascii="宋体"/>
                <w:vanish/>
              </w:rPr>
            </w:pPr>
          </w:p>
        </w:tc>
        <w:tc>
          <w:tcPr>
            <w:tcW w:w="0" w:type="auto"/>
            <w:gridSpan w:val="3"/>
            <w:shd w:val="clear" w:color="auto" w:fill="auto"/>
            <w:vAlign w:val="bottom"/>
          </w:tcPr>
          <w:p w14:paraId="5F2D16BE" w14:textId="77777777" w:rsidR="00E836FB" w:rsidRDefault="00E836FB">
            <w:pPr>
              <w:rPr>
                <w:rFonts w:ascii="宋体"/>
                <w:vanish/>
              </w:rPr>
            </w:pPr>
          </w:p>
        </w:tc>
        <w:tc>
          <w:tcPr>
            <w:tcW w:w="0" w:type="auto"/>
            <w:gridSpan w:val="3"/>
            <w:shd w:val="clear" w:color="auto" w:fill="auto"/>
            <w:vAlign w:val="bottom"/>
          </w:tcPr>
          <w:p w14:paraId="5F2D16BF" w14:textId="77777777" w:rsidR="00E836FB" w:rsidRDefault="00E836FB">
            <w:pPr>
              <w:rPr>
                <w:rFonts w:ascii="宋体"/>
                <w:vanish/>
              </w:rPr>
            </w:pPr>
          </w:p>
        </w:tc>
        <w:tc>
          <w:tcPr>
            <w:tcW w:w="0" w:type="auto"/>
            <w:gridSpan w:val="3"/>
            <w:shd w:val="clear" w:color="auto" w:fill="auto"/>
            <w:vAlign w:val="bottom"/>
          </w:tcPr>
          <w:p w14:paraId="5F2D16C0" w14:textId="77777777" w:rsidR="00E836FB" w:rsidRDefault="00E836FB">
            <w:pPr>
              <w:rPr>
                <w:rFonts w:ascii="宋体"/>
                <w:vanish/>
              </w:rPr>
            </w:pPr>
          </w:p>
        </w:tc>
        <w:tc>
          <w:tcPr>
            <w:tcW w:w="0" w:type="auto"/>
            <w:gridSpan w:val="3"/>
            <w:shd w:val="clear" w:color="auto" w:fill="auto"/>
            <w:vAlign w:val="bottom"/>
          </w:tcPr>
          <w:p w14:paraId="5F2D16C1" w14:textId="77777777" w:rsidR="00E836FB" w:rsidRDefault="00E836FB">
            <w:pPr>
              <w:rPr>
                <w:rFonts w:ascii="宋体"/>
                <w:vanish/>
              </w:rPr>
            </w:pPr>
          </w:p>
        </w:tc>
        <w:tc>
          <w:tcPr>
            <w:tcW w:w="0" w:type="auto"/>
            <w:gridSpan w:val="3"/>
            <w:shd w:val="clear" w:color="auto" w:fill="auto"/>
            <w:vAlign w:val="bottom"/>
          </w:tcPr>
          <w:p w14:paraId="5F2D16C2" w14:textId="77777777" w:rsidR="00E836FB" w:rsidRDefault="00E836FB">
            <w:pPr>
              <w:rPr>
                <w:rFonts w:ascii="宋体"/>
                <w:vanish/>
              </w:rPr>
            </w:pPr>
          </w:p>
        </w:tc>
        <w:tc>
          <w:tcPr>
            <w:tcW w:w="0" w:type="auto"/>
            <w:gridSpan w:val="3"/>
            <w:shd w:val="clear" w:color="auto" w:fill="auto"/>
            <w:vAlign w:val="bottom"/>
          </w:tcPr>
          <w:p w14:paraId="5F2D16C3" w14:textId="77777777" w:rsidR="00E836FB" w:rsidRDefault="00E836FB">
            <w:pPr>
              <w:rPr>
                <w:rFonts w:ascii="宋体"/>
                <w:vanish/>
              </w:rPr>
            </w:pPr>
          </w:p>
        </w:tc>
        <w:tc>
          <w:tcPr>
            <w:tcW w:w="0" w:type="auto"/>
            <w:gridSpan w:val="3"/>
            <w:shd w:val="clear" w:color="auto" w:fill="auto"/>
            <w:vAlign w:val="bottom"/>
          </w:tcPr>
          <w:p w14:paraId="5F2D16C4" w14:textId="77777777" w:rsidR="00E836FB" w:rsidRDefault="00E836FB">
            <w:pPr>
              <w:rPr>
                <w:rFonts w:ascii="宋体"/>
                <w:vanish/>
              </w:rPr>
            </w:pPr>
          </w:p>
        </w:tc>
        <w:tc>
          <w:tcPr>
            <w:tcW w:w="0" w:type="auto"/>
            <w:gridSpan w:val="3"/>
            <w:shd w:val="clear" w:color="auto" w:fill="auto"/>
            <w:vAlign w:val="bottom"/>
          </w:tcPr>
          <w:p w14:paraId="5F2D16C5" w14:textId="77777777" w:rsidR="00E836FB" w:rsidRDefault="00E836FB">
            <w:pPr>
              <w:rPr>
                <w:rFonts w:ascii="宋体"/>
                <w:vanish/>
              </w:rPr>
            </w:pPr>
          </w:p>
        </w:tc>
        <w:tc>
          <w:tcPr>
            <w:tcW w:w="0" w:type="auto"/>
            <w:gridSpan w:val="3"/>
            <w:shd w:val="clear" w:color="auto" w:fill="auto"/>
            <w:vAlign w:val="bottom"/>
          </w:tcPr>
          <w:p w14:paraId="5F2D16C6" w14:textId="77777777" w:rsidR="00E836FB" w:rsidRDefault="00E836FB">
            <w:pPr>
              <w:rPr>
                <w:rFonts w:ascii="宋体"/>
                <w:vanish/>
              </w:rPr>
            </w:pPr>
          </w:p>
        </w:tc>
        <w:tc>
          <w:tcPr>
            <w:tcW w:w="0" w:type="auto"/>
            <w:gridSpan w:val="3"/>
            <w:shd w:val="clear" w:color="auto" w:fill="auto"/>
            <w:vAlign w:val="bottom"/>
          </w:tcPr>
          <w:p w14:paraId="5F2D16C7" w14:textId="77777777" w:rsidR="00E836FB" w:rsidRDefault="00E836FB">
            <w:pPr>
              <w:rPr>
                <w:rFonts w:ascii="宋体"/>
                <w:vanish/>
              </w:rPr>
            </w:pPr>
          </w:p>
        </w:tc>
        <w:tc>
          <w:tcPr>
            <w:tcW w:w="0" w:type="auto"/>
            <w:gridSpan w:val="3"/>
            <w:shd w:val="clear" w:color="auto" w:fill="auto"/>
            <w:vAlign w:val="bottom"/>
          </w:tcPr>
          <w:p w14:paraId="5F2D16C8" w14:textId="77777777" w:rsidR="00E836FB" w:rsidRDefault="00E836FB">
            <w:pPr>
              <w:rPr>
                <w:rFonts w:ascii="宋体"/>
                <w:vanish/>
              </w:rPr>
            </w:pPr>
          </w:p>
        </w:tc>
      </w:tr>
      <w:tr w:rsidR="00994958" w14:paraId="5F2D16E8" w14:textId="77777777">
        <w:tc>
          <w:tcPr>
            <w:tcW w:w="0" w:type="auto"/>
            <w:gridSpan w:val="3"/>
            <w:shd w:val="clear" w:color="auto" w:fill="CCEEFF"/>
            <w:tcMar>
              <w:top w:w="40" w:type="dxa"/>
              <w:left w:w="140" w:type="dxa"/>
              <w:bottom w:w="40" w:type="dxa"/>
              <w:right w:w="20" w:type="dxa"/>
            </w:tcMar>
            <w:vAlign w:val="bottom"/>
          </w:tcPr>
          <w:p w14:paraId="5F2D16CA" w14:textId="77777777" w:rsidR="00E836FB" w:rsidRDefault="00994958">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5F2D16CB" w14:textId="77777777" w:rsidR="00E836FB" w:rsidRDefault="00994958">
            <w:pPr>
              <w:jc w:val="right"/>
              <w:textAlignment w:val="bottom"/>
            </w:pPr>
            <w:r>
              <w:rPr>
                <w:rFonts w:ascii="Arial" w:eastAsia="宋体" w:hAnsi="Arial" w:cs="Arial"/>
                <w:b/>
                <w:bCs/>
                <w:color w:val="000000"/>
                <w:sz w:val="14"/>
                <w:szCs w:val="14"/>
              </w:rPr>
              <w:t>998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CE" w14:textId="77777777" w:rsidR="00E836FB" w:rsidRDefault="00994958">
            <w:pPr>
              <w:jc w:val="right"/>
              <w:textAlignment w:val="bottom"/>
            </w:pPr>
            <w:r>
              <w:rPr>
                <w:rFonts w:ascii="Arial" w:eastAsia="宋体" w:hAnsi="Arial" w:cs="Arial"/>
                <w:b/>
                <w:bCs/>
                <w:color w:val="000000"/>
                <w:sz w:val="14"/>
                <w:szCs w:val="14"/>
              </w:rPr>
              <w:t>1,002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D1" w14:textId="77777777" w:rsidR="00E836FB" w:rsidRDefault="00994958">
            <w:pPr>
              <w:jc w:val="right"/>
              <w:textAlignment w:val="bottom"/>
            </w:pPr>
            <w:r>
              <w:rPr>
                <w:rFonts w:ascii="Arial" w:eastAsia="宋体" w:hAnsi="Arial" w:cs="Arial"/>
                <w:b/>
                <w:bCs/>
                <w:color w:val="000000"/>
                <w:sz w:val="14"/>
                <w:szCs w:val="14"/>
              </w:rPr>
              <w:t>1,696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D4" w14:textId="77777777" w:rsidR="00E836FB" w:rsidRDefault="00994958">
            <w:pPr>
              <w:jc w:val="right"/>
              <w:textAlignment w:val="bottom"/>
            </w:pPr>
            <w:r>
              <w:rPr>
                <w:rFonts w:ascii="Arial" w:eastAsia="宋体" w:hAnsi="Arial" w:cs="Arial"/>
                <w:b/>
                <w:bCs/>
                <w:color w:val="000000"/>
                <w:sz w:val="14"/>
                <w:szCs w:val="14"/>
              </w:rPr>
              <w:t>1,699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D7" w14:textId="77777777" w:rsidR="00E836FB" w:rsidRDefault="00994958">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DA" w14:textId="77777777" w:rsidR="00E836FB" w:rsidRDefault="00994958">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D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D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D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E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E3" w14:textId="77777777" w:rsidR="00E836FB" w:rsidRDefault="00994958">
            <w:pPr>
              <w:jc w:val="right"/>
              <w:textAlignment w:val="bottom"/>
            </w:pPr>
            <w:r>
              <w:rPr>
                <w:rFonts w:ascii="Arial" w:eastAsia="宋体" w:hAnsi="Arial" w:cs="Arial"/>
                <w:b/>
                <w:bCs/>
                <w:color w:val="000000"/>
                <w:sz w:val="14"/>
                <w:szCs w:val="14"/>
              </w:rPr>
              <w:t>2,734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6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6E6" w14:textId="77777777" w:rsidR="00E836FB" w:rsidRDefault="00994958">
            <w:pPr>
              <w:jc w:val="right"/>
              <w:textAlignment w:val="bottom"/>
            </w:pPr>
            <w:r>
              <w:rPr>
                <w:rFonts w:ascii="Arial" w:eastAsia="宋体" w:hAnsi="Arial" w:cs="Arial"/>
                <w:b/>
                <w:bCs/>
                <w:color w:val="000000"/>
                <w:sz w:val="14"/>
                <w:szCs w:val="14"/>
              </w:rPr>
              <w:t>2,744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6E7" w14:textId="77777777" w:rsidR="00E836FB" w:rsidRDefault="00E836FB">
            <w:pPr>
              <w:jc w:val="right"/>
              <w:rPr>
                <w:rFonts w:ascii="宋体"/>
              </w:rPr>
            </w:pPr>
          </w:p>
        </w:tc>
      </w:tr>
      <w:tr w:rsidR="00994958" w14:paraId="5F2D1711" w14:textId="77777777">
        <w:tc>
          <w:tcPr>
            <w:tcW w:w="0" w:type="auto"/>
            <w:gridSpan w:val="3"/>
            <w:shd w:val="clear" w:color="auto" w:fill="FFFFFF"/>
            <w:tcMar>
              <w:top w:w="40" w:type="dxa"/>
              <w:left w:w="20" w:type="dxa"/>
              <w:bottom w:w="40" w:type="dxa"/>
              <w:right w:w="20" w:type="dxa"/>
            </w:tcMar>
            <w:vAlign w:val="bottom"/>
          </w:tcPr>
          <w:p w14:paraId="5F2D16E9" w14:textId="77777777" w:rsidR="00E836FB" w:rsidRDefault="00994958">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16E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6EB" w14:textId="77777777" w:rsidR="00E836FB" w:rsidRDefault="00994958">
            <w:pPr>
              <w:jc w:val="right"/>
              <w:textAlignment w:val="bottom"/>
            </w:pPr>
            <w:r>
              <w:rPr>
                <w:rFonts w:ascii="Arial" w:eastAsia="宋体" w:hAnsi="Arial" w:cs="Arial"/>
                <w:b/>
                <w:bCs/>
                <w:color w:val="000000"/>
                <w:sz w:val="14"/>
                <w:szCs w:val="14"/>
              </w:rPr>
              <w:t>9,245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E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E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6E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6EF" w14:textId="77777777" w:rsidR="00E836FB" w:rsidRDefault="00994958">
            <w:pPr>
              <w:jc w:val="right"/>
              <w:textAlignment w:val="bottom"/>
            </w:pPr>
            <w:r>
              <w:rPr>
                <w:rFonts w:ascii="Arial" w:eastAsia="宋体" w:hAnsi="Arial" w:cs="Arial"/>
                <w:b/>
                <w:bCs/>
                <w:color w:val="000000"/>
                <w:sz w:val="14"/>
                <w:szCs w:val="14"/>
              </w:rPr>
              <w:t>9,265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F1"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6F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6F3" w14:textId="77777777" w:rsidR="00E836FB" w:rsidRDefault="00994958">
            <w:pPr>
              <w:jc w:val="right"/>
              <w:textAlignment w:val="bottom"/>
            </w:pPr>
            <w:r>
              <w:rPr>
                <w:rFonts w:ascii="Arial" w:eastAsia="宋体" w:hAnsi="Arial" w:cs="Arial"/>
                <w:b/>
                <w:bCs/>
                <w:color w:val="000000"/>
                <w:sz w:val="14"/>
                <w:szCs w:val="14"/>
              </w:rPr>
              <w:t>38,447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F5"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6F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6F7" w14:textId="77777777" w:rsidR="00E836FB" w:rsidRDefault="00994958">
            <w:pPr>
              <w:jc w:val="right"/>
              <w:textAlignment w:val="bottom"/>
            </w:pPr>
            <w:r>
              <w:rPr>
                <w:rFonts w:ascii="Arial" w:eastAsia="宋体" w:hAnsi="Arial" w:cs="Arial"/>
                <w:b/>
                <w:bCs/>
                <w:color w:val="000000"/>
                <w:sz w:val="14"/>
                <w:szCs w:val="14"/>
              </w:rPr>
              <w:t>38,299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F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F9"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6F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6FB" w14:textId="77777777" w:rsidR="00E836FB" w:rsidRDefault="00994958">
            <w:pPr>
              <w:jc w:val="right"/>
              <w:textAlignment w:val="bottom"/>
            </w:pPr>
            <w:r>
              <w:rPr>
                <w:rFonts w:ascii="Arial" w:eastAsia="宋体" w:hAnsi="Arial" w:cs="Arial"/>
                <w:b/>
                <w:bCs/>
                <w:color w:val="000000"/>
                <w:sz w:val="14"/>
                <w:szCs w:val="14"/>
              </w:rPr>
              <w:t>13,827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6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6F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6F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6FF" w14:textId="77777777" w:rsidR="00E836FB" w:rsidRDefault="00994958">
            <w:pPr>
              <w:jc w:val="right"/>
              <w:textAlignment w:val="bottom"/>
            </w:pPr>
            <w:r>
              <w:rPr>
                <w:rFonts w:ascii="Arial" w:eastAsia="宋体" w:hAnsi="Arial" w:cs="Arial"/>
                <w:b/>
                <w:bCs/>
                <w:color w:val="000000"/>
                <w:sz w:val="14"/>
                <w:szCs w:val="14"/>
              </w:rPr>
              <w:t>13,867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7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01"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70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703" w14:textId="77777777" w:rsidR="00E836FB" w:rsidRDefault="00994958">
            <w:pPr>
              <w:jc w:val="right"/>
              <w:textAlignment w:val="bottom"/>
            </w:pPr>
            <w:r>
              <w:rPr>
                <w:rFonts w:ascii="Arial" w:eastAsia="宋体" w:hAnsi="Arial" w:cs="Arial"/>
                <w:b/>
                <w:bCs/>
                <w:color w:val="000000"/>
                <w:sz w:val="14"/>
                <w:szCs w:val="14"/>
              </w:rPr>
              <w:t>11,921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70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05"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70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707" w14:textId="77777777" w:rsidR="00E836FB" w:rsidRDefault="00994958">
            <w:pPr>
              <w:jc w:val="right"/>
              <w:textAlignment w:val="bottom"/>
            </w:pPr>
            <w:r>
              <w:rPr>
                <w:rFonts w:ascii="Arial" w:eastAsia="宋体" w:hAnsi="Arial" w:cs="Arial"/>
                <w:b/>
                <w:bCs/>
                <w:color w:val="000000"/>
                <w:sz w:val="14"/>
                <w:szCs w:val="14"/>
              </w:rPr>
              <w:t>11,968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7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09"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70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70B" w14:textId="77777777" w:rsidR="00E836FB" w:rsidRDefault="00994958">
            <w:pPr>
              <w:jc w:val="right"/>
              <w:textAlignment w:val="bottom"/>
            </w:pPr>
            <w:r>
              <w:rPr>
                <w:rFonts w:ascii="Arial" w:eastAsia="宋体" w:hAnsi="Arial" w:cs="Arial"/>
                <w:b/>
                <w:bCs/>
                <w:color w:val="000000"/>
                <w:sz w:val="14"/>
                <w:szCs w:val="14"/>
              </w:rPr>
              <w:t>73,440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7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0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70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70F" w14:textId="77777777" w:rsidR="00E836FB" w:rsidRDefault="00994958">
            <w:pPr>
              <w:jc w:val="right"/>
              <w:textAlignment w:val="bottom"/>
            </w:pPr>
            <w:r>
              <w:rPr>
                <w:rFonts w:ascii="Arial" w:eastAsia="宋体" w:hAnsi="Arial" w:cs="Arial"/>
                <w:b/>
                <w:bCs/>
                <w:color w:val="000000"/>
                <w:sz w:val="14"/>
                <w:szCs w:val="14"/>
              </w:rPr>
              <w:t>73,399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710" w14:textId="77777777" w:rsidR="00E836FB" w:rsidRDefault="00E836FB">
            <w:pPr>
              <w:jc w:val="right"/>
              <w:rPr>
                <w:rFonts w:ascii="宋体"/>
              </w:rPr>
            </w:pPr>
          </w:p>
        </w:tc>
      </w:tr>
      <w:tr w:rsidR="00E836FB" w14:paraId="5F2D1726" w14:textId="77777777">
        <w:tc>
          <w:tcPr>
            <w:tcW w:w="0" w:type="auto"/>
            <w:gridSpan w:val="3"/>
            <w:shd w:val="clear" w:color="auto" w:fill="auto"/>
            <w:tcMar>
              <w:top w:w="40" w:type="dxa"/>
              <w:left w:w="20" w:type="dxa"/>
              <w:bottom w:w="40" w:type="dxa"/>
              <w:right w:w="20" w:type="dxa"/>
            </w:tcMar>
            <w:vAlign w:val="bottom"/>
          </w:tcPr>
          <w:p w14:paraId="5F2D1712" w14:textId="77777777" w:rsidR="00E836FB" w:rsidRDefault="00994958">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14"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1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16"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1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1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1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1A"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1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1C"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1E"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1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20"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22"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724"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725" w14:textId="77777777" w:rsidR="00E836FB" w:rsidRDefault="00E836FB">
            <w:pPr>
              <w:rPr>
                <w:rFonts w:ascii="宋体"/>
              </w:rPr>
            </w:pPr>
          </w:p>
        </w:tc>
      </w:tr>
      <w:tr w:rsidR="00E836FB" w14:paraId="5F2D173B" w14:textId="77777777">
        <w:tc>
          <w:tcPr>
            <w:tcW w:w="0" w:type="auto"/>
            <w:gridSpan w:val="3"/>
            <w:shd w:val="clear" w:color="auto" w:fill="FFFFFF"/>
            <w:tcMar>
              <w:top w:w="40" w:type="dxa"/>
              <w:left w:w="20" w:type="dxa"/>
              <w:bottom w:w="40" w:type="dxa"/>
              <w:right w:w="20" w:type="dxa"/>
            </w:tcMar>
            <w:vAlign w:val="bottom"/>
          </w:tcPr>
          <w:p w14:paraId="5F2D1727" w14:textId="77777777" w:rsidR="00E836FB" w:rsidRDefault="00994958">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5F2D172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2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2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2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2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2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2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2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3A" w14:textId="77777777" w:rsidR="00E836FB" w:rsidRDefault="00E836FB">
            <w:pPr>
              <w:rPr>
                <w:rFonts w:ascii="宋体"/>
              </w:rPr>
            </w:pPr>
          </w:p>
        </w:tc>
      </w:tr>
      <w:tr w:rsidR="00994958" w14:paraId="5F2D1764" w14:textId="77777777">
        <w:tc>
          <w:tcPr>
            <w:tcW w:w="0" w:type="auto"/>
            <w:gridSpan w:val="3"/>
            <w:shd w:val="clear" w:color="auto" w:fill="CCEEFF"/>
            <w:tcMar>
              <w:top w:w="40" w:type="dxa"/>
              <w:left w:w="140" w:type="dxa"/>
              <w:bottom w:w="40" w:type="dxa"/>
              <w:right w:w="20" w:type="dxa"/>
            </w:tcMar>
            <w:vAlign w:val="bottom"/>
          </w:tcPr>
          <w:p w14:paraId="5F2D173C" w14:textId="77777777" w:rsidR="00E836FB" w:rsidRDefault="00994958">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F2D173D"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3E" w14:textId="77777777" w:rsidR="00E836FB" w:rsidRDefault="00994958">
            <w:pPr>
              <w:jc w:val="right"/>
              <w:textAlignment w:val="bottom"/>
            </w:pPr>
            <w:r>
              <w:rPr>
                <w:rFonts w:ascii="Arial" w:eastAsia="宋体" w:hAnsi="Arial" w:cs="Arial"/>
                <w:b/>
                <w:bCs/>
                <w:color w:val="000000"/>
                <w:sz w:val="14"/>
                <w:szCs w:val="14"/>
              </w:rPr>
              <w:t>2,150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4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41"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42" w14:textId="77777777" w:rsidR="00E836FB" w:rsidRDefault="00994958">
            <w:pPr>
              <w:jc w:val="right"/>
              <w:textAlignment w:val="bottom"/>
            </w:pPr>
            <w:r>
              <w:rPr>
                <w:rFonts w:ascii="Arial" w:eastAsia="宋体" w:hAnsi="Arial" w:cs="Arial"/>
                <w:b/>
                <w:bCs/>
                <w:color w:val="000000"/>
                <w:sz w:val="14"/>
                <w:szCs w:val="14"/>
              </w:rPr>
              <w:t>2,159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4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45"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46"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4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49"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4A"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4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4D"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4E"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5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51"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52"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5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55"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56" w14:textId="77777777" w:rsidR="00E836FB" w:rsidRDefault="00994958">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5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59"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5A" w14:textId="77777777" w:rsidR="00E836FB" w:rsidRDefault="00994958">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5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5D"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5E" w14:textId="77777777" w:rsidR="00E836FB" w:rsidRDefault="00994958">
            <w:pPr>
              <w:jc w:val="right"/>
              <w:textAlignment w:val="bottom"/>
            </w:pPr>
            <w:r>
              <w:rPr>
                <w:rFonts w:ascii="Arial" w:eastAsia="宋体" w:hAnsi="Arial" w:cs="Arial"/>
                <w:b/>
                <w:bCs/>
                <w:color w:val="000000"/>
                <w:sz w:val="14"/>
                <w:szCs w:val="14"/>
              </w:rPr>
              <w:t>2,170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6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761"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1762" w14:textId="77777777" w:rsidR="00E836FB" w:rsidRDefault="00994958">
            <w:pPr>
              <w:jc w:val="right"/>
              <w:textAlignment w:val="bottom"/>
            </w:pPr>
            <w:r>
              <w:rPr>
                <w:rFonts w:ascii="Arial" w:eastAsia="宋体" w:hAnsi="Arial" w:cs="Arial"/>
                <w:b/>
                <w:bCs/>
                <w:color w:val="000000"/>
                <w:sz w:val="14"/>
                <w:szCs w:val="14"/>
              </w:rPr>
              <w:t>2,180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63" w14:textId="77777777" w:rsidR="00E836FB" w:rsidRDefault="00E836FB">
            <w:pPr>
              <w:jc w:val="right"/>
              <w:rPr>
                <w:rFonts w:ascii="宋体"/>
              </w:rPr>
            </w:pPr>
          </w:p>
        </w:tc>
      </w:tr>
      <w:tr w:rsidR="00994958" w14:paraId="5F2D1783" w14:textId="77777777">
        <w:tc>
          <w:tcPr>
            <w:tcW w:w="0" w:type="auto"/>
            <w:gridSpan w:val="3"/>
            <w:shd w:val="clear" w:color="auto" w:fill="FFFFFF"/>
            <w:tcMar>
              <w:top w:w="40" w:type="dxa"/>
              <w:left w:w="140" w:type="dxa"/>
              <w:bottom w:w="40" w:type="dxa"/>
              <w:right w:w="20" w:type="dxa"/>
            </w:tcMar>
            <w:vAlign w:val="bottom"/>
          </w:tcPr>
          <w:p w14:paraId="5F2D1765" w14:textId="77777777" w:rsidR="00E836FB" w:rsidRDefault="00994958">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F2D1766" w14:textId="77777777" w:rsidR="00E836FB" w:rsidRDefault="00994958">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6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6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69" w14:textId="77777777" w:rsidR="00E836FB" w:rsidRDefault="00994958">
            <w:pPr>
              <w:jc w:val="right"/>
              <w:textAlignment w:val="bottom"/>
            </w:pPr>
            <w:r>
              <w:rPr>
                <w:rFonts w:ascii="Arial" w:eastAsia="宋体" w:hAnsi="Arial" w:cs="Arial"/>
                <w:b/>
                <w:bCs/>
                <w:color w:val="000000"/>
                <w:sz w:val="14"/>
                <w:szCs w:val="14"/>
              </w:rPr>
              <w:t>151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6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6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6C" w14:textId="77777777" w:rsidR="00E836FB" w:rsidRDefault="00994958">
            <w:pPr>
              <w:jc w:val="right"/>
              <w:textAlignment w:val="bottom"/>
            </w:pPr>
            <w:r>
              <w:rPr>
                <w:rFonts w:ascii="Arial" w:eastAsia="宋体" w:hAnsi="Arial" w:cs="Arial"/>
                <w:b/>
                <w:bCs/>
                <w:color w:val="000000"/>
                <w:sz w:val="14"/>
                <w:szCs w:val="14"/>
              </w:rPr>
              <w:t>393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6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6F" w14:textId="77777777" w:rsidR="00E836FB" w:rsidRDefault="00994958">
            <w:pPr>
              <w:jc w:val="right"/>
              <w:textAlignment w:val="bottom"/>
            </w:pPr>
            <w:r>
              <w:rPr>
                <w:rFonts w:ascii="Arial" w:eastAsia="宋体" w:hAnsi="Arial" w:cs="Arial"/>
                <w:b/>
                <w:bCs/>
                <w:color w:val="000000"/>
                <w:sz w:val="14"/>
                <w:szCs w:val="14"/>
              </w:rPr>
              <w:t>399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7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72" w14:textId="77777777" w:rsidR="00E836FB" w:rsidRDefault="00994958">
            <w:pPr>
              <w:jc w:val="right"/>
              <w:textAlignment w:val="bottom"/>
            </w:pPr>
            <w:r>
              <w:rPr>
                <w:rFonts w:ascii="Arial" w:eastAsia="宋体" w:hAnsi="Arial" w:cs="Arial"/>
                <w:b/>
                <w:bCs/>
                <w:color w:val="000000"/>
                <w:sz w:val="14"/>
                <w:szCs w:val="14"/>
              </w:rPr>
              <w:t>4,651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75" w14:textId="77777777" w:rsidR="00E836FB" w:rsidRDefault="00994958">
            <w:pPr>
              <w:jc w:val="right"/>
              <w:textAlignment w:val="bottom"/>
            </w:pPr>
            <w:r>
              <w:rPr>
                <w:rFonts w:ascii="Arial" w:eastAsia="宋体" w:hAnsi="Arial" w:cs="Arial"/>
                <w:b/>
                <w:bCs/>
                <w:color w:val="000000"/>
                <w:sz w:val="14"/>
                <w:szCs w:val="14"/>
              </w:rPr>
              <w:t>4,591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7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7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78" w14:textId="77777777" w:rsidR="00E836FB" w:rsidRDefault="00994958">
            <w:pPr>
              <w:jc w:val="right"/>
              <w:textAlignment w:val="bottom"/>
            </w:pPr>
            <w:r>
              <w:rPr>
                <w:rFonts w:ascii="Arial" w:eastAsia="宋体" w:hAnsi="Arial" w:cs="Arial"/>
                <w:b/>
                <w:bCs/>
                <w:color w:val="000000"/>
                <w:sz w:val="14"/>
                <w:szCs w:val="14"/>
              </w:rPr>
              <w:t>28,289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7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7B" w14:textId="77777777" w:rsidR="00E836FB" w:rsidRDefault="00994958">
            <w:pPr>
              <w:jc w:val="right"/>
              <w:textAlignment w:val="bottom"/>
            </w:pPr>
            <w:r>
              <w:rPr>
                <w:rFonts w:ascii="Arial" w:eastAsia="宋体" w:hAnsi="Arial" w:cs="Arial"/>
                <w:b/>
                <w:bCs/>
                <w:color w:val="000000"/>
                <w:sz w:val="14"/>
                <w:szCs w:val="14"/>
              </w:rPr>
              <w:t>28,124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7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7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7E" w14:textId="77777777" w:rsidR="00E836FB" w:rsidRDefault="00994958">
            <w:pPr>
              <w:jc w:val="right"/>
              <w:textAlignment w:val="bottom"/>
            </w:pPr>
            <w:r>
              <w:rPr>
                <w:rFonts w:ascii="Arial" w:eastAsia="宋体" w:hAnsi="Arial" w:cs="Arial"/>
                <w:b/>
                <w:bCs/>
                <w:color w:val="000000"/>
                <w:sz w:val="14"/>
                <w:szCs w:val="14"/>
              </w:rPr>
              <w:t>33,481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78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781" w14:textId="77777777" w:rsidR="00E836FB" w:rsidRDefault="00994958">
            <w:pPr>
              <w:jc w:val="right"/>
              <w:textAlignment w:val="bottom"/>
            </w:pPr>
            <w:r>
              <w:rPr>
                <w:rFonts w:ascii="Arial" w:eastAsia="宋体" w:hAnsi="Arial" w:cs="Arial"/>
                <w:b/>
                <w:bCs/>
                <w:color w:val="000000"/>
                <w:sz w:val="14"/>
                <w:szCs w:val="14"/>
              </w:rPr>
              <w:t>33,265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782" w14:textId="77777777" w:rsidR="00E836FB" w:rsidRDefault="00E836FB">
            <w:pPr>
              <w:jc w:val="right"/>
              <w:rPr>
                <w:rFonts w:ascii="宋体"/>
              </w:rPr>
            </w:pPr>
          </w:p>
        </w:tc>
      </w:tr>
      <w:tr w:rsidR="00994958" w14:paraId="5F2D17A2" w14:textId="77777777">
        <w:tc>
          <w:tcPr>
            <w:tcW w:w="0" w:type="auto"/>
            <w:gridSpan w:val="3"/>
            <w:shd w:val="clear" w:color="auto" w:fill="CCEEFF"/>
            <w:tcMar>
              <w:top w:w="40" w:type="dxa"/>
              <w:left w:w="20" w:type="dxa"/>
              <w:bottom w:w="40" w:type="dxa"/>
              <w:right w:w="20" w:type="dxa"/>
            </w:tcMar>
            <w:vAlign w:val="bottom"/>
          </w:tcPr>
          <w:p w14:paraId="5F2D1784" w14:textId="77777777" w:rsidR="00E836FB" w:rsidRDefault="00994958">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85" w14:textId="77777777" w:rsidR="00E836FB" w:rsidRDefault="00994958">
            <w:pPr>
              <w:jc w:val="right"/>
              <w:textAlignment w:val="bottom"/>
            </w:pPr>
            <w:r>
              <w:rPr>
                <w:rFonts w:ascii="Arial" w:eastAsia="宋体" w:hAnsi="Arial" w:cs="Arial"/>
                <w:b/>
                <w:bCs/>
                <w:color w:val="000000"/>
                <w:sz w:val="14"/>
                <w:szCs w:val="14"/>
              </w:rPr>
              <w:t>2,298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8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88" w14:textId="77777777" w:rsidR="00E836FB" w:rsidRDefault="00994958">
            <w:pPr>
              <w:jc w:val="right"/>
              <w:textAlignment w:val="bottom"/>
            </w:pPr>
            <w:r>
              <w:rPr>
                <w:rFonts w:ascii="Arial" w:eastAsia="宋体" w:hAnsi="Arial" w:cs="Arial"/>
                <w:b/>
                <w:bCs/>
                <w:color w:val="000000"/>
                <w:sz w:val="14"/>
                <w:szCs w:val="14"/>
              </w:rPr>
              <w:t>2,310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8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8B" w14:textId="77777777" w:rsidR="00E836FB" w:rsidRDefault="00994958">
            <w:pPr>
              <w:jc w:val="right"/>
              <w:textAlignment w:val="bottom"/>
            </w:pPr>
            <w:r>
              <w:rPr>
                <w:rFonts w:ascii="Arial" w:eastAsia="宋体" w:hAnsi="Arial" w:cs="Arial"/>
                <w:b/>
                <w:bCs/>
                <w:color w:val="000000"/>
                <w:sz w:val="14"/>
                <w:szCs w:val="14"/>
              </w:rPr>
              <w:t>396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8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8E" w14:textId="77777777" w:rsidR="00E836FB" w:rsidRDefault="00994958">
            <w:pPr>
              <w:jc w:val="right"/>
              <w:textAlignment w:val="bottom"/>
            </w:pPr>
            <w:r>
              <w:rPr>
                <w:rFonts w:ascii="Arial" w:eastAsia="宋体" w:hAnsi="Arial" w:cs="Arial"/>
                <w:b/>
                <w:bCs/>
                <w:color w:val="000000"/>
                <w:sz w:val="14"/>
                <w:szCs w:val="14"/>
              </w:rPr>
              <w:t>402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9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91" w14:textId="77777777" w:rsidR="00E836FB" w:rsidRDefault="00994958">
            <w:pPr>
              <w:jc w:val="right"/>
              <w:textAlignment w:val="bottom"/>
            </w:pPr>
            <w:r>
              <w:rPr>
                <w:rFonts w:ascii="Arial" w:eastAsia="宋体" w:hAnsi="Arial" w:cs="Arial"/>
                <w:b/>
                <w:bCs/>
                <w:color w:val="000000"/>
                <w:sz w:val="14"/>
                <w:szCs w:val="14"/>
              </w:rPr>
              <w:t>4,652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9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94" w14:textId="77777777" w:rsidR="00E836FB" w:rsidRDefault="00994958">
            <w:pPr>
              <w:jc w:val="right"/>
              <w:textAlignment w:val="bottom"/>
            </w:pPr>
            <w:r>
              <w:rPr>
                <w:rFonts w:ascii="Arial" w:eastAsia="宋体" w:hAnsi="Arial" w:cs="Arial"/>
                <w:b/>
                <w:bCs/>
                <w:color w:val="000000"/>
                <w:sz w:val="14"/>
                <w:szCs w:val="14"/>
              </w:rPr>
              <w:t>4,592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9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97" w14:textId="77777777" w:rsidR="00E836FB" w:rsidRDefault="00994958">
            <w:pPr>
              <w:jc w:val="right"/>
              <w:textAlignment w:val="bottom"/>
            </w:pPr>
            <w:r>
              <w:rPr>
                <w:rFonts w:ascii="Arial" w:eastAsia="宋体" w:hAnsi="Arial" w:cs="Arial"/>
                <w:b/>
                <w:bCs/>
                <w:color w:val="000000"/>
                <w:sz w:val="14"/>
                <w:szCs w:val="14"/>
              </w:rPr>
              <w:t>28,305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9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9A" w14:textId="77777777" w:rsidR="00E836FB" w:rsidRDefault="00994958">
            <w:pPr>
              <w:jc w:val="right"/>
              <w:textAlignment w:val="bottom"/>
            </w:pPr>
            <w:r>
              <w:rPr>
                <w:rFonts w:ascii="Arial" w:eastAsia="宋体" w:hAnsi="Arial" w:cs="Arial"/>
                <w:b/>
                <w:bCs/>
                <w:color w:val="000000"/>
                <w:sz w:val="14"/>
                <w:szCs w:val="14"/>
              </w:rPr>
              <w:t>28,141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9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9D" w14:textId="77777777" w:rsidR="00E836FB" w:rsidRDefault="00994958">
            <w:pPr>
              <w:jc w:val="right"/>
              <w:textAlignment w:val="bottom"/>
            </w:pPr>
            <w:r>
              <w:rPr>
                <w:rFonts w:ascii="Arial" w:eastAsia="宋体" w:hAnsi="Arial" w:cs="Arial"/>
                <w:b/>
                <w:bCs/>
                <w:color w:val="000000"/>
                <w:sz w:val="14"/>
                <w:szCs w:val="14"/>
              </w:rPr>
              <w:t>35,651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9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7A0" w14:textId="77777777" w:rsidR="00E836FB" w:rsidRDefault="00994958">
            <w:pPr>
              <w:jc w:val="right"/>
              <w:textAlignment w:val="bottom"/>
            </w:pPr>
            <w:r>
              <w:rPr>
                <w:rFonts w:ascii="Arial" w:eastAsia="宋体" w:hAnsi="Arial" w:cs="Arial"/>
                <w:b/>
                <w:bCs/>
                <w:color w:val="000000"/>
                <w:sz w:val="14"/>
                <w:szCs w:val="14"/>
              </w:rPr>
              <w:t>35,445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7A1" w14:textId="77777777" w:rsidR="00E836FB" w:rsidRDefault="00E836FB">
            <w:pPr>
              <w:jc w:val="right"/>
              <w:rPr>
                <w:rFonts w:ascii="宋体"/>
              </w:rPr>
            </w:pPr>
          </w:p>
        </w:tc>
      </w:tr>
      <w:tr w:rsidR="00E836FB" w14:paraId="5F2D17B7" w14:textId="77777777">
        <w:tc>
          <w:tcPr>
            <w:tcW w:w="0" w:type="auto"/>
            <w:gridSpan w:val="3"/>
            <w:shd w:val="clear" w:color="auto" w:fill="FFFFFF"/>
            <w:tcMar>
              <w:top w:w="40" w:type="dxa"/>
              <w:left w:w="20" w:type="dxa"/>
              <w:bottom w:w="40" w:type="dxa"/>
              <w:right w:w="20" w:type="dxa"/>
            </w:tcMar>
            <w:vAlign w:val="bottom"/>
          </w:tcPr>
          <w:p w14:paraId="5F2D17A3" w14:textId="77777777" w:rsidR="00E836FB" w:rsidRDefault="00994958">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A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A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A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A7"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A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A9"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A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AB"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A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A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A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A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B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B1"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B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B3"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B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7B5"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17B6" w14:textId="77777777" w:rsidR="00E836FB" w:rsidRDefault="00E836FB">
            <w:pPr>
              <w:rPr>
                <w:rFonts w:ascii="宋体"/>
              </w:rPr>
            </w:pPr>
          </w:p>
        </w:tc>
      </w:tr>
      <w:tr w:rsidR="00E836FB" w14:paraId="5F2D17CC" w14:textId="77777777">
        <w:trPr>
          <w:hidden/>
        </w:trPr>
        <w:tc>
          <w:tcPr>
            <w:tcW w:w="0" w:type="auto"/>
            <w:gridSpan w:val="3"/>
            <w:shd w:val="clear" w:color="auto" w:fill="auto"/>
            <w:vAlign w:val="bottom"/>
          </w:tcPr>
          <w:p w14:paraId="5F2D17B8" w14:textId="77777777" w:rsidR="00E836FB" w:rsidRDefault="00E836FB">
            <w:pPr>
              <w:rPr>
                <w:rFonts w:ascii="宋体"/>
                <w:vanish/>
              </w:rPr>
            </w:pPr>
          </w:p>
        </w:tc>
        <w:tc>
          <w:tcPr>
            <w:tcW w:w="0" w:type="auto"/>
            <w:gridSpan w:val="3"/>
            <w:shd w:val="clear" w:color="auto" w:fill="auto"/>
            <w:vAlign w:val="bottom"/>
          </w:tcPr>
          <w:p w14:paraId="5F2D17B9" w14:textId="77777777" w:rsidR="00E836FB" w:rsidRDefault="00E836FB">
            <w:pPr>
              <w:rPr>
                <w:rFonts w:ascii="宋体"/>
                <w:vanish/>
              </w:rPr>
            </w:pPr>
          </w:p>
        </w:tc>
        <w:tc>
          <w:tcPr>
            <w:tcW w:w="0" w:type="auto"/>
            <w:gridSpan w:val="3"/>
            <w:shd w:val="clear" w:color="auto" w:fill="auto"/>
            <w:vAlign w:val="bottom"/>
          </w:tcPr>
          <w:p w14:paraId="5F2D17BA" w14:textId="77777777" w:rsidR="00E836FB" w:rsidRDefault="00E836FB">
            <w:pPr>
              <w:rPr>
                <w:rFonts w:ascii="宋体"/>
                <w:vanish/>
              </w:rPr>
            </w:pPr>
          </w:p>
        </w:tc>
        <w:tc>
          <w:tcPr>
            <w:tcW w:w="0" w:type="auto"/>
            <w:gridSpan w:val="3"/>
            <w:shd w:val="clear" w:color="auto" w:fill="auto"/>
            <w:vAlign w:val="bottom"/>
          </w:tcPr>
          <w:p w14:paraId="5F2D17BB" w14:textId="77777777" w:rsidR="00E836FB" w:rsidRDefault="00E836FB">
            <w:pPr>
              <w:rPr>
                <w:rFonts w:ascii="宋体"/>
                <w:vanish/>
              </w:rPr>
            </w:pPr>
          </w:p>
        </w:tc>
        <w:tc>
          <w:tcPr>
            <w:tcW w:w="0" w:type="auto"/>
            <w:gridSpan w:val="3"/>
            <w:shd w:val="clear" w:color="auto" w:fill="auto"/>
            <w:vAlign w:val="bottom"/>
          </w:tcPr>
          <w:p w14:paraId="5F2D17BC" w14:textId="77777777" w:rsidR="00E836FB" w:rsidRDefault="00E836FB">
            <w:pPr>
              <w:rPr>
                <w:rFonts w:ascii="宋体"/>
                <w:vanish/>
              </w:rPr>
            </w:pPr>
          </w:p>
        </w:tc>
        <w:tc>
          <w:tcPr>
            <w:tcW w:w="0" w:type="auto"/>
            <w:gridSpan w:val="3"/>
            <w:shd w:val="clear" w:color="auto" w:fill="auto"/>
            <w:vAlign w:val="bottom"/>
          </w:tcPr>
          <w:p w14:paraId="5F2D17BD" w14:textId="77777777" w:rsidR="00E836FB" w:rsidRDefault="00E836FB">
            <w:pPr>
              <w:rPr>
                <w:rFonts w:ascii="宋体"/>
                <w:vanish/>
              </w:rPr>
            </w:pPr>
          </w:p>
        </w:tc>
        <w:tc>
          <w:tcPr>
            <w:tcW w:w="0" w:type="auto"/>
            <w:gridSpan w:val="3"/>
            <w:shd w:val="clear" w:color="auto" w:fill="auto"/>
            <w:vAlign w:val="bottom"/>
          </w:tcPr>
          <w:p w14:paraId="5F2D17BE" w14:textId="77777777" w:rsidR="00E836FB" w:rsidRDefault="00E836FB">
            <w:pPr>
              <w:rPr>
                <w:rFonts w:ascii="宋体"/>
                <w:vanish/>
              </w:rPr>
            </w:pPr>
          </w:p>
        </w:tc>
        <w:tc>
          <w:tcPr>
            <w:tcW w:w="0" w:type="auto"/>
            <w:gridSpan w:val="3"/>
            <w:shd w:val="clear" w:color="auto" w:fill="auto"/>
            <w:vAlign w:val="bottom"/>
          </w:tcPr>
          <w:p w14:paraId="5F2D17BF" w14:textId="77777777" w:rsidR="00E836FB" w:rsidRDefault="00E836FB">
            <w:pPr>
              <w:rPr>
                <w:rFonts w:ascii="宋体"/>
                <w:vanish/>
              </w:rPr>
            </w:pPr>
          </w:p>
        </w:tc>
        <w:tc>
          <w:tcPr>
            <w:tcW w:w="0" w:type="auto"/>
            <w:gridSpan w:val="3"/>
            <w:shd w:val="clear" w:color="auto" w:fill="auto"/>
            <w:vAlign w:val="bottom"/>
          </w:tcPr>
          <w:p w14:paraId="5F2D17C0" w14:textId="77777777" w:rsidR="00E836FB" w:rsidRDefault="00E836FB">
            <w:pPr>
              <w:rPr>
                <w:rFonts w:ascii="宋体"/>
                <w:vanish/>
              </w:rPr>
            </w:pPr>
          </w:p>
        </w:tc>
        <w:tc>
          <w:tcPr>
            <w:tcW w:w="0" w:type="auto"/>
            <w:gridSpan w:val="3"/>
            <w:shd w:val="clear" w:color="auto" w:fill="auto"/>
            <w:vAlign w:val="bottom"/>
          </w:tcPr>
          <w:p w14:paraId="5F2D17C1" w14:textId="77777777" w:rsidR="00E836FB" w:rsidRDefault="00E836FB">
            <w:pPr>
              <w:rPr>
                <w:rFonts w:ascii="宋体"/>
                <w:vanish/>
              </w:rPr>
            </w:pPr>
          </w:p>
        </w:tc>
        <w:tc>
          <w:tcPr>
            <w:tcW w:w="0" w:type="auto"/>
            <w:gridSpan w:val="3"/>
            <w:shd w:val="clear" w:color="auto" w:fill="auto"/>
            <w:vAlign w:val="bottom"/>
          </w:tcPr>
          <w:p w14:paraId="5F2D17C2" w14:textId="77777777" w:rsidR="00E836FB" w:rsidRDefault="00E836FB">
            <w:pPr>
              <w:rPr>
                <w:rFonts w:ascii="宋体"/>
                <w:vanish/>
              </w:rPr>
            </w:pPr>
          </w:p>
        </w:tc>
        <w:tc>
          <w:tcPr>
            <w:tcW w:w="0" w:type="auto"/>
            <w:gridSpan w:val="3"/>
            <w:shd w:val="clear" w:color="auto" w:fill="auto"/>
            <w:vAlign w:val="bottom"/>
          </w:tcPr>
          <w:p w14:paraId="5F2D17C3" w14:textId="77777777" w:rsidR="00E836FB" w:rsidRDefault="00E836FB">
            <w:pPr>
              <w:rPr>
                <w:rFonts w:ascii="宋体"/>
                <w:vanish/>
              </w:rPr>
            </w:pPr>
          </w:p>
        </w:tc>
        <w:tc>
          <w:tcPr>
            <w:tcW w:w="0" w:type="auto"/>
            <w:gridSpan w:val="3"/>
            <w:shd w:val="clear" w:color="auto" w:fill="auto"/>
            <w:vAlign w:val="bottom"/>
          </w:tcPr>
          <w:p w14:paraId="5F2D17C4" w14:textId="77777777" w:rsidR="00E836FB" w:rsidRDefault="00E836FB">
            <w:pPr>
              <w:rPr>
                <w:rFonts w:ascii="宋体"/>
                <w:vanish/>
              </w:rPr>
            </w:pPr>
          </w:p>
        </w:tc>
        <w:tc>
          <w:tcPr>
            <w:tcW w:w="0" w:type="auto"/>
            <w:gridSpan w:val="3"/>
            <w:shd w:val="clear" w:color="auto" w:fill="auto"/>
            <w:vAlign w:val="bottom"/>
          </w:tcPr>
          <w:p w14:paraId="5F2D17C5" w14:textId="77777777" w:rsidR="00E836FB" w:rsidRDefault="00E836FB">
            <w:pPr>
              <w:rPr>
                <w:rFonts w:ascii="宋体"/>
                <w:vanish/>
              </w:rPr>
            </w:pPr>
          </w:p>
        </w:tc>
        <w:tc>
          <w:tcPr>
            <w:tcW w:w="0" w:type="auto"/>
            <w:gridSpan w:val="3"/>
            <w:shd w:val="clear" w:color="auto" w:fill="auto"/>
            <w:vAlign w:val="bottom"/>
          </w:tcPr>
          <w:p w14:paraId="5F2D17C6" w14:textId="77777777" w:rsidR="00E836FB" w:rsidRDefault="00E836FB">
            <w:pPr>
              <w:rPr>
                <w:rFonts w:ascii="宋体"/>
                <w:vanish/>
              </w:rPr>
            </w:pPr>
          </w:p>
        </w:tc>
        <w:tc>
          <w:tcPr>
            <w:tcW w:w="0" w:type="auto"/>
            <w:gridSpan w:val="3"/>
            <w:shd w:val="clear" w:color="auto" w:fill="auto"/>
            <w:vAlign w:val="bottom"/>
          </w:tcPr>
          <w:p w14:paraId="5F2D17C7" w14:textId="77777777" w:rsidR="00E836FB" w:rsidRDefault="00E836FB">
            <w:pPr>
              <w:rPr>
                <w:rFonts w:ascii="宋体"/>
                <w:vanish/>
              </w:rPr>
            </w:pPr>
          </w:p>
        </w:tc>
        <w:tc>
          <w:tcPr>
            <w:tcW w:w="0" w:type="auto"/>
            <w:gridSpan w:val="3"/>
            <w:shd w:val="clear" w:color="auto" w:fill="auto"/>
            <w:vAlign w:val="bottom"/>
          </w:tcPr>
          <w:p w14:paraId="5F2D17C8" w14:textId="77777777" w:rsidR="00E836FB" w:rsidRDefault="00E836FB">
            <w:pPr>
              <w:rPr>
                <w:rFonts w:ascii="宋体"/>
                <w:vanish/>
              </w:rPr>
            </w:pPr>
          </w:p>
        </w:tc>
        <w:tc>
          <w:tcPr>
            <w:tcW w:w="0" w:type="auto"/>
            <w:gridSpan w:val="3"/>
            <w:shd w:val="clear" w:color="auto" w:fill="auto"/>
            <w:vAlign w:val="bottom"/>
          </w:tcPr>
          <w:p w14:paraId="5F2D17C9" w14:textId="77777777" w:rsidR="00E836FB" w:rsidRDefault="00E836FB">
            <w:pPr>
              <w:rPr>
                <w:rFonts w:ascii="宋体"/>
                <w:vanish/>
              </w:rPr>
            </w:pPr>
          </w:p>
        </w:tc>
        <w:tc>
          <w:tcPr>
            <w:tcW w:w="0" w:type="auto"/>
            <w:gridSpan w:val="3"/>
            <w:shd w:val="clear" w:color="auto" w:fill="auto"/>
            <w:vAlign w:val="bottom"/>
          </w:tcPr>
          <w:p w14:paraId="5F2D17CA" w14:textId="77777777" w:rsidR="00E836FB" w:rsidRDefault="00E836FB">
            <w:pPr>
              <w:rPr>
                <w:rFonts w:ascii="宋体"/>
                <w:vanish/>
              </w:rPr>
            </w:pPr>
          </w:p>
        </w:tc>
        <w:tc>
          <w:tcPr>
            <w:tcW w:w="0" w:type="auto"/>
            <w:gridSpan w:val="3"/>
            <w:shd w:val="clear" w:color="auto" w:fill="auto"/>
            <w:vAlign w:val="bottom"/>
          </w:tcPr>
          <w:p w14:paraId="5F2D17CB" w14:textId="77777777" w:rsidR="00E836FB" w:rsidRDefault="00E836FB">
            <w:pPr>
              <w:rPr>
                <w:rFonts w:ascii="宋体"/>
                <w:vanish/>
              </w:rPr>
            </w:pPr>
          </w:p>
        </w:tc>
      </w:tr>
      <w:tr w:rsidR="00E836FB" w14:paraId="5F2D17E1" w14:textId="77777777">
        <w:trPr>
          <w:hidden/>
        </w:trPr>
        <w:tc>
          <w:tcPr>
            <w:tcW w:w="0" w:type="auto"/>
            <w:gridSpan w:val="3"/>
            <w:shd w:val="clear" w:color="auto" w:fill="auto"/>
            <w:vAlign w:val="bottom"/>
          </w:tcPr>
          <w:p w14:paraId="5F2D17CD" w14:textId="77777777" w:rsidR="00E836FB" w:rsidRDefault="00E836FB">
            <w:pPr>
              <w:rPr>
                <w:rFonts w:ascii="宋体"/>
                <w:vanish/>
              </w:rPr>
            </w:pPr>
          </w:p>
        </w:tc>
        <w:tc>
          <w:tcPr>
            <w:tcW w:w="0" w:type="auto"/>
            <w:gridSpan w:val="3"/>
            <w:shd w:val="clear" w:color="auto" w:fill="auto"/>
            <w:vAlign w:val="bottom"/>
          </w:tcPr>
          <w:p w14:paraId="5F2D17CE" w14:textId="77777777" w:rsidR="00E836FB" w:rsidRDefault="00E836FB">
            <w:pPr>
              <w:rPr>
                <w:rFonts w:ascii="宋体"/>
                <w:vanish/>
              </w:rPr>
            </w:pPr>
          </w:p>
        </w:tc>
        <w:tc>
          <w:tcPr>
            <w:tcW w:w="0" w:type="auto"/>
            <w:gridSpan w:val="3"/>
            <w:shd w:val="clear" w:color="auto" w:fill="auto"/>
            <w:vAlign w:val="bottom"/>
          </w:tcPr>
          <w:p w14:paraId="5F2D17CF" w14:textId="77777777" w:rsidR="00E836FB" w:rsidRDefault="00E836FB">
            <w:pPr>
              <w:rPr>
                <w:rFonts w:ascii="宋体"/>
                <w:vanish/>
              </w:rPr>
            </w:pPr>
          </w:p>
        </w:tc>
        <w:tc>
          <w:tcPr>
            <w:tcW w:w="0" w:type="auto"/>
            <w:gridSpan w:val="3"/>
            <w:shd w:val="clear" w:color="auto" w:fill="auto"/>
            <w:vAlign w:val="bottom"/>
          </w:tcPr>
          <w:p w14:paraId="5F2D17D0" w14:textId="77777777" w:rsidR="00E836FB" w:rsidRDefault="00E836FB">
            <w:pPr>
              <w:rPr>
                <w:rFonts w:ascii="宋体"/>
                <w:vanish/>
              </w:rPr>
            </w:pPr>
          </w:p>
        </w:tc>
        <w:tc>
          <w:tcPr>
            <w:tcW w:w="0" w:type="auto"/>
            <w:gridSpan w:val="3"/>
            <w:shd w:val="clear" w:color="auto" w:fill="auto"/>
            <w:vAlign w:val="bottom"/>
          </w:tcPr>
          <w:p w14:paraId="5F2D17D1" w14:textId="77777777" w:rsidR="00E836FB" w:rsidRDefault="00E836FB">
            <w:pPr>
              <w:rPr>
                <w:rFonts w:ascii="宋体"/>
                <w:vanish/>
              </w:rPr>
            </w:pPr>
          </w:p>
        </w:tc>
        <w:tc>
          <w:tcPr>
            <w:tcW w:w="0" w:type="auto"/>
            <w:gridSpan w:val="3"/>
            <w:shd w:val="clear" w:color="auto" w:fill="auto"/>
            <w:vAlign w:val="bottom"/>
          </w:tcPr>
          <w:p w14:paraId="5F2D17D2" w14:textId="77777777" w:rsidR="00E836FB" w:rsidRDefault="00E836FB">
            <w:pPr>
              <w:rPr>
                <w:rFonts w:ascii="宋体"/>
                <w:vanish/>
              </w:rPr>
            </w:pPr>
          </w:p>
        </w:tc>
        <w:tc>
          <w:tcPr>
            <w:tcW w:w="0" w:type="auto"/>
            <w:gridSpan w:val="3"/>
            <w:shd w:val="clear" w:color="auto" w:fill="auto"/>
            <w:vAlign w:val="bottom"/>
          </w:tcPr>
          <w:p w14:paraId="5F2D17D3" w14:textId="77777777" w:rsidR="00E836FB" w:rsidRDefault="00E836FB">
            <w:pPr>
              <w:rPr>
                <w:rFonts w:ascii="宋体"/>
                <w:vanish/>
              </w:rPr>
            </w:pPr>
          </w:p>
        </w:tc>
        <w:tc>
          <w:tcPr>
            <w:tcW w:w="0" w:type="auto"/>
            <w:gridSpan w:val="3"/>
            <w:shd w:val="clear" w:color="auto" w:fill="auto"/>
            <w:vAlign w:val="bottom"/>
          </w:tcPr>
          <w:p w14:paraId="5F2D17D4" w14:textId="77777777" w:rsidR="00E836FB" w:rsidRDefault="00E836FB">
            <w:pPr>
              <w:rPr>
                <w:rFonts w:ascii="宋体"/>
                <w:vanish/>
              </w:rPr>
            </w:pPr>
          </w:p>
        </w:tc>
        <w:tc>
          <w:tcPr>
            <w:tcW w:w="0" w:type="auto"/>
            <w:gridSpan w:val="3"/>
            <w:shd w:val="clear" w:color="auto" w:fill="auto"/>
            <w:vAlign w:val="bottom"/>
          </w:tcPr>
          <w:p w14:paraId="5F2D17D5" w14:textId="77777777" w:rsidR="00E836FB" w:rsidRDefault="00E836FB">
            <w:pPr>
              <w:rPr>
                <w:rFonts w:ascii="宋体"/>
                <w:vanish/>
              </w:rPr>
            </w:pPr>
          </w:p>
        </w:tc>
        <w:tc>
          <w:tcPr>
            <w:tcW w:w="0" w:type="auto"/>
            <w:gridSpan w:val="3"/>
            <w:shd w:val="clear" w:color="auto" w:fill="auto"/>
            <w:vAlign w:val="bottom"/>
          </w:tcPr>
          <w:p w14:paraId="5F2D17D6" w14:textId="77777777" w:rsidR="00E836FB" w:rsidRDefault="00E836FB">
            <w:pPr>
              <w:rPr>
                <w:rFonts w:ascii="宋体"/>
                <w:vanish/>
              </w:rPr>
            </w:pPr>
          </w:p>
        </w:tc>
        <w:tc>
          <w:tcPr>
            <w:tcW w:w="0" w:type="auto"/>
            <w:gridSpan w:val="3"/>
            <w:shd w:val="clear" w:color="auto" w:fill="auto"/>
            <w:vAlign w:val="bottom"/>
          </w:tcPr>
          <w:p w14:paraId="5F2D17D7" w14:textId="77777777" w:rsidR="00E836FB" w:rsidRDefault="00E836FB">
            <w:pPr>
              <w:rPr>
                <w:rFonts w:ascii="宋体"/>
                <w:vanish/>
              </w:rPr>
            </w:pPr>
          </w:p>
        </w:tc>
        <w:tc>
          <w:tcPr>
            <w:tcW w:w="0" w:type="auto"/>
            <w:gridSpan w:val="3"/>
            <w:shd w:val="clear" w:color="auto" w:fill="auto"/>
            <w:vAlign w:val="bottom"/>
          </w:tcPr>
          <w:p w14:paraId="5F2D17D8" w14:textId="77777777" w:rsidR="00E836FB" w:rsidRDefault="00E836FB">
            <w:pPr>
              <w:rPr>
                <w:rFonts w:ascii="宋体"/>
                <w:vanish/>
              </w:rPr>
            </w:pPr>
          </w:p>
        </w:tc>
        <w:tc>
          <w:tcPr>
            <w:tcW w:w="0" w:type="auto"/>
            <w:gridSpan w:val="3"/>
            <w:shd w:val="clear" w:color="auto" w:fill="auto"/>
            <w:vAlign w:val="bottom"/>
          </w:tcPr>
          <w:p w14:paraId="5F2D17D9" w14:textId="77777777" w:rsidR="00E836FB" w:rsidRDefault="00E836FB">
            <w:pPr>
              <w:rPr>
                <w:rFonts w:ascii="宋体"/>
                <w:vanish/>
              </w:rPr>
            </w:pPr>
          </w:p>
        </w:tc>
        <w:tc>
          <w:tcPr>
            <w:tcW w:w="0" w:type="auto"/>
            <w:gridSpan w:val="3"/>
            <w:shd w:val="clear" w:color="auto" w:fill="auto"/>
            <w:vAlign w:val="bottom"/>
          </w:tcPr>
          <w:p w14:paraId="5F2D17DA" w14:textId="77777777" w:rsidR="00E836FB" w:rsidRDefault="00E836FB">
            <w:pPr>
              <w:rPr>
                <w:rFonts w:ascii="宋体"/>
                <w:vanish/>
              </w:rPr>
            </w:pPr>
          </w:p>
        </w:tc>
        <w:tc>
          <w:tcPr>
            <w:tcW w:w="0" w:type="auto"/>
            <w:gridSpan w:val="3"/>
            <w:shd w:val="clear" w:color="auto" w:fill="auto"/>
            <w:vAlign w:val="bottom"/>
          </w:tcPr>
          <w:p w14:paraId="5F2D17DB" w14:textId="77777777" w:rsidR="00E836FB" w:rsidRDefault="00E836FB">
            <w:pPr>
              <w:rPr>
                <w:rFonts w:ascii="宋体"/>
                <w:vanish/>
              </w:rPr>
            </w:pPr>
          </w:p>
        </w:tc>
        <w:tc>
          <w:tcPr>
            <w:tcW w:w="0" w:type="auto"/>
            <w:gridSpan w:val="3"/>
            <w:shd w:val="clear" w:color="auto" w:fill="auto"/>
            <w:vAlign w:val="bottom"/>
          </w:tcPr>
          <w:p w14:paraId="5F2D17DC" w14:textId="77777777" w:rsidR="00E836FB" w:rsidRDefault="00E836FB">
            <w:pPr>
              <w:rPr>
                <w:rFonts w:ascii="宋体"/>
                <w:vanish/>
              </w:rPr>
            </w:pPr>
          </w:p>
        </w:tc>
        <w:tc>
          <w:tcPr>
            <w:tcW w:w="0" w:type="auto"/>
            <w:gridSpan w:val="3"/>
            <w:shd w:val="clear" w:color="auto" w:fill="auto"/>
            <w:vAlign w:val="bottom"/>
          </w:tcPr>
          <w:p w14:paraId="5F2D17DD" w14:textId="77777777" w:rsidR="00E836FB" w:rsidRDefault="00E836FB">
            <w:pPr>
              <w:rPr>
                <w:rFonts w:ascii="宋体"/>
                <w:vanish/>
              </w:rPr>
            </w:pPr>
          </w:p>
        </w:tc>
        <w:tc>
          <w:tcPr>
            <w:tcW w:w="0" w:type="auto"/>
            <w:gridSpan w:val="3"/>
            <w:shd w:val="clear" w:color="auto" w:fill="auto"/>
            <w:vAlign w:val="bottom"/>
          </w:tcPr>
          <w:p w14:paraId="5F2D17DE" w14:textId="77777777" w:rsidR="00E836FB" w:rsidRDefault="00E836FB">
            <w:pPr>
              <w:rPr>
                <w:rFonts w:ascii="宋体"/>
                <w:vanish/>
              </w:rPr>
            </w:pPr>
          </w:p>
        </w:tc>
        <w:tc>
          <w:tcPr>
            <w:tcW w:w="0" w:type="auto"/>
            <w:gridSpan w:val="3"/>
            <w:shd w:val="clear" w:color="auto" w:fill="auto"/>
            <w:vAlign w:val="bottom"/>
          </w:tcPr>
          <w:p w14:paraId="5F2D17DF" w14:textId="77777777" w:rsidR="00E836FB" w:rsidRDefault="00E836FB">
            <w:pPr>
              <w:rPr>
                <w:rFonts w:ascii="宋体"/>
                <w:vanish/>
              </w:rPr>
            </w:pPr>
          </w:p>
        </w:tc>
        <w:tc>
          <w:tcPr>
            <w:tcW w:w="0" w:type="auto"/>
            <w:gridSpan w:val="3"/>
            <w:shd w:val="clear" w:color="auto" w:fill="auto"/>
            <w:vAlign w:val="bottom"/>
          </w:tcPr>
          <w:p w14:paraId="5F2D17E0" w14:textId="77777777" w:rsidR="00E836FB" w:rsidRDefault="00E836FB">
            <w:pPr>
              <w:rPr>
                <w:rFonts w:ascii="宋体"/>
                <w:vanish/>
              </w:rPr>
            </w:pPr>
          </w:p>
        </w:tc>
      </w:tr>
      <w:tr w:rsidR="00994958" w14:paraId="5F2D1800" w14:textId="77777777">
        <w:tc>
          <w:tcPr>
            <w:tcW w:w="0" w:type="auto"/>
            <w:gridSpan w:val="3"/>
            <w:shd w:val="clear" w:color="auto" w:fill="CCEEFF"/>
            <w:tcMar>
              <w:top w:w="40" w:type="dxa"/>
              <w:left w:w="140" w:type="dxa"/>
              <w:bottom w:w="40" w:type="dxa"/>
              <w:right w:w="20" w:type="dxa"/>
            </w:tcMar>
            <w:vAlign w:val="bottom"/>
          </w:tcPr>
          <w:p w14:paraId="5F2D17E2" w14:textId="77777777" w:rsidR="00E836FB" w:rsidRDefault="00994958">
            <w:pPr>
              <w:textAlignment w:val="bottom"/>
            </w:pPr>
            <w:r>
              <w:rPr>
                <w:rFonts w:ascii="Arial" w:eastAsia="宋体" w:hAnsi="Arial" w:cs="Arial"/>
                <w:color w:val="000000"/>
                <w:sz w:val="14"/>
                <w:szCs w:val="14"/>
              </w:rPr>
              <w:t>Non-U.S. sovereign, supranational and</w:t>
            </w:r>
            <w:r>
              <w:rPr>
                <w:rFonts w:ascii="Arial" w:eastAsia="宋体" w:hAnsi="Arial" w:cs="Arial"/>
                <w:color w:val="000000"/>
                <w:sz w:val="14"/>
                <w:szCs w:val="14"/>
              </w:rPr>
              <w:br/>
              <w:t>non-U.S. agency</w:t>
            </w:r>
          </w:p>
        </w:tc>
        <w:tc>
          <w:tcPr>
            <w:tcW w:w="0" w:type="auto"/>
            <w:gridSpan w:val="2"/>
            <w:shd w:val="clear" w:color="auto" w:fill="CCEEFF"/>
            <w:tcMar>
              <w:top w:w="40" w:type="dxa"/>
              <w:left w:w="20" w:type="dxa"/>
              <w:bottom w:w="40" w:type="dxa"/>
              <w:right w:w="0" w:type="dxa"/>
            </w:tcMar>
            <w:vAlign w:val="bottom"/>
          </w:tcPr>
          <w:p w14:paraId="5F2D17E3" w14:textId="77777777" w:rsidR="00E836FB" w:rsidRDefault="00994958">
            <w:pPr>
              <w:jc w:val="right"/>
              <w:textAlignment w:val="bottom"/>
            </w:pPr>
            <w:r>
              <w:rPr>
                <w:rFonts w:ascii="Arial" w:eastAsia="宋体" w:hAnsi="Arial" w:cs="Arial"/>
                <w:b/>
                <w:bCs/>
                <w:color w:val="000000"/>
                <w:sz w:val="14"/>
                <w:szCs w:val="14"/>
              </w:rPr>
              <w:t>345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E6" w14:textId="77777777" w:rsidR="00E836FB" w:rsidRDefault="00994958">
            <w:pPr>
              <w:jc w:val="right"/>
              <w:textAlignment w:val="bottom"/>
            </w:pPr>
            <w:r>
              <w:rPr>
                <w:rFonts w:ascii="Arial" w:eastAsia="宋体" w:hAnsi="Arial" w:cs="Arial"/>
                <w:b/>
                <w:bCs/>
                <w:color w:val="000000"/>
                <w:sz w:val="14"/>
                <w:szCs w:val="14"/>
              </w:rPr>
              <w:t>345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E9" w14:textId="77777777" w:rsidR="00E836FB" w:rsidRDefault="00994958">
            <w:pPr>
              <w:jc w:val="right"/>
              <w:textAlignment w:val="bottom"/>
            </w:pPr>
            <w:r>
              <w:rPr>
                <w:rFonts w:ascii="Arial" w:eastAsia="宋体" w:hAnsi="Arial" w:cs="Arial"/>
                <w:b/>
                <w:bCs/>
                <w:color w:val="000000"/>
                <w:sz w:val="14"/>
                <w:szCs w:val="14"/>
              </w:rPr>
              <w:t>1,218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E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EC" w14:textId="77777777" w:rsidR="00E836FB" w:rsidRDefault="00994958">
            <w:pPr>
              <w:jc w:val="right"/>
              <w:textAlignment w:val="bottom"/>
            </w:pPr>
            <w:r>
              <w:rPr>
                <w:rFonts w:ascii="Arial" w:eastAsia="宋体" w:hAnsi="Arial" w:cs="Arial"/>
                <w:b/>
                <w:bCs/>
                <w:color w:val="000000"/>
                <w:sz w:val="14"/>
                <w:szCs w:val="14"/>
              </w:rPr>
              <w:t>1,209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E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EF"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F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F2"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F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F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F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F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F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FB" w14:textId="77777777" w:rsidR="00E836FB" w:rsidRDefault="00994958">
            <w:pPr>
              <w:jc w:val="right"/>
              <w:textAlignment w:val="bottom"/>
            </w:pPr>
            <w:r>
              <w:rPr>
                <w:rFonts w:ascii="Arial" w:eastAsia="宋体" w:hAnsi="Arial" w:cs="Arial"/>
                <w:b/>
                <w:bCs/>
                <w:color w:val="000000"/>
                <w:sz w:val="14"/>
                <w:szCs w:val="14"/>
              </w:rPr>
              <w:t>1,564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7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7FE" w14:textId="77777777" w:rsidR="00E836FB" w:rsidRDefault="00994958">
            <w:pPr>
              <w:jc w:val="right"/>
              <w:textAlignment w:val="bottom"/>
            </w:pPr>
            <w:r>
              <w:rPr>
                <w:rFonts w:ascii="Arial" w:eastAsia="宋体" w:hAnsi="Arial" w:cs="Arial"/>
                <w:b/>
                <w:bCs/>
                <w:color w:val="000000"/>
                <w:sz w:val="14"/>
                <w:szCs w:val="14"/>
              </w:rPr>
              <w:t>1,555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7FF" w14:textId="77777777" w:rsidR="00E836FB" w:rsidRDefault="00E836FB">
            <w:pPr>
              <w:jc w:val="right"/>
              <w:rPr>
                <w:rFonts w:ascii="宋体"/>
              </w:rPr>
            </w:pPr>
          </w:p>
        </w:tc>
      </w:tr>
      <w:tr w:rsidR="00E836FB" w14:paraId="5F2D1815" w14:textId="77777777">
        <w:trPr>
          <w:hidden/>
        </w:trPr>
        <w:tc>
          <w:tcPr>
            <w:tcW w:w="0" w:type="auto"/>
            <w:gridSpan w:val="3"/>
            <w:shd w:val="clear" w:color="auto" w:fill="auto"/>
            <w:vAlign w:val="bottom"/>
          </w:tcPr>
          <w:p w14:paraId="5F2D1801" w14:textId="77777777" w:rsidR="00E836FB" w:rsidRDefault="00E836FB">
            <w:pPr>
              <w:rPr>
                <w:rFonts w:ascii="宋体"/>
                <w:vanish/>
              </w:rPr>
            </w:pPr>
          </w:p>
        </w:tc>
        <w:tc>
          <w:tcPr>
            <w:tcW w:w="0" w:type="auto"/>
            <w:gridSpan w:val="3"/>
            <w:shd w:val="clear" w:color="auto" w:fill="auto"/>
            <w:vAlign w:val="bottom"/>
          </w:tcPr>
          <w:p w14:paraId="5F2D1802" w14:textId="77777777" w:rsidR="00E836FB" w:rsidRDefault="00E836FB">
            <w:pPr>
              <w:rPr>
                <w:rFonts w:ascii="宋体"/>
                <w:vanish/>
              </w:rPr>
            </w:pPr>
          </w:p>
        </w:tc>
        <w:tc>
          <w:tcPr>
            <w:tcW w:w="0" w:type="auto"/>
            <w:gridSpan w:val="3"/>
            <w:shd w:val="clear" w:color="auto" w:fill="auto"/>
            <w:vAlign w:val="bottom"/>
          </w:tcPr>
          <w:p w14:paraId="5F2D1803" w14:textId="77777777" w:rsidR="00E836FB" w:rsidRDefault="00E836FB">
            <w:pPr>
              <w:rPr>
                <w:rFonts w:ascii="宋体"/>
                <w:vanish/>
              </w:rPr>
            </w:pPr>
          </w:p>
        </w:tc>
        <w:tc>
          <w:tcPr>
            <w:tcW w:w="0" w:type="auto"/>
            <w:gridSpan w:val="3"/>
            <w:shd w:val="clear" w:color="auto" w:fill="auto"/>
            <w:vAlign w:val="bottom"/>
          </w:tcPr>
          <w:p w14:paraId="5F2D1804" w14:textId="77777777" w:rsidR="00E836FB" w:rsidRDefault="00E836FB">
            <w:pPr>
              <w:rPr>
                <w:rFonts w:ascii="宋体"/>
                <w:vanish/>
              </w:rPr>
            </w:pPr>
          </w:p>
        </w:tc>
        <w:tc>
          <w:tcPr>
            <w:tcW w:w="0" w:type="auto"/>
            <w:gridSpan w:val="3"/>
            <w:shd w:val="clear" w:color="auto" w:fill="auto"/>
            <w:vAlign w:val="bottom"/>
          </w:tcPr>
          <w:p w14:paraId="5F2D1805" w14:textId="77777777" w:rsidR="00E836FB" w:rsidRDefault="00E836FB">
            <w:pPr>
              <w:rPr>
                <w:rFonts w:ascii="宋体"/>
                <w:vanish/>
              </w:rPr>
            </w:pPr>
          </w:p>
        </w:tc>
        <w:tc>
          <w:tcPr>
            <w:tcW w:w="0" w:type="auto"/>
            <w:gridSpan w:val="3"/>
            <w:shd w:val="clear" w:color="auto" w:fill="auto"/>
            <w:vAlign w:val="bottom"/>
          </w:tcPr>
          <w:p w14:paraId="5F2D1806" w14:textId="77777777" w:rsidR="00E836FB" w:rsidRDefault="00E836FB">
            <w:pPr>
              <w:rPr>
                <w:rFonts w:ascii="宋体"/>
                <w:vanish/>
              </w:rPr>
            </w:pPr>
          </w:p>
        </w:tc>
        <w:tc>
          <w:tcPr>
            <w:tcW w:w="0" w:type="auto"/>
            <w:gridSpan w:val="3"/>
            <w:shd w:val="clear" w:color="auto" w:fill="auto"/>
            <w:vAlign w:val="bottom"/>
          </w:tcPr>
          <w:p w14:paraId="5F2D1807" w14:textId="77777777" w:rsidR="00E836FB" w:rsidRDefault="00E836FB">
            <w:pPr>
              <w:rPr>
                <w:rFonts w:ascii="宋体"/>
                <w:vanish/>
              </w:rPr>
            </w:pPr>
          </w:p>
        </w:tc>
        <w:tc>
          <w:tcPr>
            <w:tcW w:w="0" w:type="auto"/>
            <w:gridSpan w:val="3"/>
            <w:shd w:val="clear" w:color="auto" w:fill="auto"/>
            <w:vAlign w:val="bottom"/>
          </w:tcPr>
          <w:p w14:paraId="5F2D1808" w14:textId="77777777" w:rsidR="00E836FB" w:rsidRDefault="00E836FB">
            <w:pPr>
              <w:rPr>
                <w:rFonts w:ascii="宋体"/>
                <w:vanish/>
              </w:rPr>
            </w:pPr>
          </w:p>
        </w:tc>
        <w:tc>
          <w:tcPr>
            <w:tcW w:w="0" w:type="auto"/>
            <w:gridSpan w:val="3"/>
            <w:shd w:val="clear" w:color="auto" w:fill="auto"/>
            <w:vAlign w:val="bottom"/>
          </w:tcPr>
          <w:p w14:paraId="5F2D1809" w14:textId="77777777" w:rsidR="00E836FB" w:rsidRDefault="00E836FB">
            <w:pPr>
              <w:rPr>
                <w:rFonts w:ascii="宋体"/>
                <w:vanish/>
              </w:rPr>
            </w:pPr>
          </w:p>
        </w:tc>
        <w:tc>
          <w:tcPr>
            <w:tcW w:w="0" w:type="auto"/>
            <w:gridSpan w:val="3"/>
            <w:shd w:val="clear" w:color="auto" w:fill="auto"/>
            <w:vAlign w:val="bottom"/>
          </w:tcPr>
          <w:p w14:paraId="5F2D180A" w14:textId="77777777" w:rsidR="00E836FB" w:rsidRDefault="00E836FB">
            <w:pPr>
              <w:rPr>
                <w:rFonts w:ascii="宋体"/>
                <w:vanish/>
              </w:rPr>
            </w:pPr>
          </w:p>
        </w:tc>
        <w:tc>
          <w:tcPr>
            <w:tcW w:w="0" w:type="auto"/>
            <w:gridSpan w:val="3"/>
            <w:shd w:val="clear" w:color="auto" w:fill="auto"/>
            <w:vAlign w:val="bottom"/>
          </w:tcPr>
          <w:p w14:paraId="5F2D180B" w14:textId="77777777" w:rsidR="00E836FB" w:rsidRDefault="00E836FB">
            <w:pPr>
              <w:rPr>
                <w:rFonts w:ascii="宋体"/>
                <w:vanish/>
              </w:rPr>
            </w:pPr>
          </w:p>
        </w:tc>
        <w:tc>
          <w:tcPr>
            <w:tcW w:w="0" w:type="auto"/>
            <w:gridSpan w:val="3"/>
            <w:shd w:val="clear" w:color="auto" w:fill="auto"/>
            <w:vAlign w:val="bottom"/>
          </w:tcPr>
          <w:p w14:paraId="5F2D180C" w14:textId="77777777" w:rsidR="00E836FB" w:rsidRDefault="00E836FB">
            <w:pPr>
              <w:rPr>
                <w:rFonts w:ascii="宋体"/>
                <w:vanish/>
              </w:rPr>
            </w:pPr>
          </w:p>
        </w:tc>
        <w:tc>
          <w:tcPr>
            <w:tcW w:w="0" w:type="auto"/>
            <w:gridSpan w:val="3"/>
            <w:shd w:val="clear" w:color="auto" w:fill="auto"/>
            <w:vAlign w:val="bottom"/>
          </w:tcPr>
          <w:p w14:paraId="5F2D180D" w14:textId="77777777" w:rsidR="00E836FB" w:rsidRDefault="00E836FB">
            <w:pPr>
              <w:rPr>
                <w:rFonts w:ascii="宋体"/>
                <w:vanish/>
              </w:rPr>
            </w:pPr>
          </w:p>
        </w:tc>
        <w:tc>
          <w:tcPr>
            <w:tcW w:w="0" w:type="auto"/>
            <w:gridSpan w:val="3"/>
            <w:shd w:val="clear" w:color="auto" w:fill="auto"/>
            <w:vAlign w:val="bottom"/>
          </w:tcPr>
          <w:p w14:paraId="5F2D180E" w14:textId="77777777" w:rsidR="00E836FB" w:rsidRDefault="00E836FB">
            <w:pPr>
              <w:rPr>
                <w:rFonts w:ascii="宋体"/>
                <w:vanish/>
              </w:rPr>
            </w:pPr>
          </w:p>
        </w:tc>
        <w:tc>
          <w:tcPr>
            <w:tcW w:w="0" w:type="auto"/>
            <w:gridSpan w:val="3"/>
            <w:shd w:val="clear" w:color="auto" w:fill="auto"/>
            <w:vAlign w:val="bottom"/>
          </w:tcPr>
          <w:p w14:paraId="5F2D180F" w14:textId="77777777" w:rsidR="00E836FB" w:rsidRDefault="00E836FB">
            <w:pPr>
              <w:rPr>
                <w:rFonts w:ascii="宋体"/>
                <w:vanish/>
              </w:rPr>
            </w:pPr>
          </w:p>
        </w:tc>
        <w:tc>
          <w:tcPr>
            <w:tcW w:w="0" w:type="auto"/>
            <w:gridSpan w:val="3"/>
            <w:shd w:val="clear" w:color="auto" w:fill="auto"/>
            <w:vAlign w:val="bottom"/>
          </w:tcPr>
          <w:p w14:paraId="5F2D1810" w14:textId="77777777" w:rsidR="00E836FB" w:rsidRDefault="00E836FB">
            <w:pPr>
              <w:rPr>
                <w:rFonts w:ascii="宋体"/>
                <w:vanish/>
              </w:rPr>
            </w:pPr>
          </w:p>
        </w:tc>
        <w:tc>
          <w:tcPr>
            <w:tcW w:w="0" w:type="auto"/>
            <w:gridSpan w:val="3"/>
            <w:shd w:val="clear" w:color="auto" w:fill="auto"/>
            <w:vAlign w:val="bottom"/>
          </w:tcPr>
          <w:p w14:paraId="5F2D1811" w14:textId="77777777" w:rsidR="00E836FB" w:rsidRDefault="00E836FB">
            <w:pPr>
              <w:rPr>
                <w:rFonts w:ascii="宋体"/>
                <w:vanish/>
              </w:rPr>
            </w:pPr>
          </w:p>
        </w:tc>
        <w:tc>
          <w:tcPr>
            <w:tcW w:w="0" w:type="auto"/>
            <w:gridSpan w:val="3"/>
            <w:shd w:val="clear" w:color="auto" w:fill="auto"/>
            <w:vAlign w:val="bottom"/>
          </w:tcPr>
          <w:p w14:paraId="5F2D1812" w14:textId="77777777" w:rsidR="00E836FB" w:rsidRDefault="00E836FB">
            <w:pPr>
              <w:rPr>
                <w:rFonts w:ascii="宋体"/>
                <w:vanish/>
              </w:rPr>
            </w:pPr>
          </w:p>
        </w:tc>
        <w:tc>
          <w:tcPr>
            <w:tcW w:w="0" w:type="auto"/>
            <w:gridSpan w:val="3"/>
            <w:shd w:val="clear" w:color="auto" w:fill="auto"/>
            <w:vAlign w:val="bottom"/>
          </w:tcPr>
          <w:p w14:paraId="5F2D1813" w14:textId="77777777" w:rsidR="00E836FB" w:rsidRDefault="00E836FB">
            <w:pPr>
              <w:rPr>
                <w:rFonts w:ascii="宋体"/>
                <w:vanish/>
              </w:rPr>
            </w:pPr>
          </w:p>
        </w:tc>
        <w:tc>
          <w:tcPr>
            <w:tcW w:w="0" w:type="auto"/>
            <w:gridSpan w:val="3"/>
            <w:shd w:val="clear" w:color="auto" w:fill="auto"/>
            <w:vAlign w:val="bottom"/>
          </w:tcPr>
          <w:p w14:paraId="5F2D1814" w14:textId="77777777" w:rsidR="00E836FB" w:rsidRDefault="00E836FB">
            <w:pPr>
              <w:rPr>
                <w:rFonts w:ascii="宋体"/>
                <w:vanish/>
              </w:rPr>
            </w:pPr>
          </w:p>
        </w:tc>
      </w:tr>
      <w:tr w:rsidR="00994958" w14:paraId="5F2D1834" w14:textId="77777777">
        <w:tc>
          <w:tcPr>
            <w:tcW w:w="0" w:type="auto"/>
            <w:gridSpan w:val="3"/>
            <w:shd w:val="clear" w:color="auto" w:fill="FFFFFF"/>
            <w:tcMar>
              <w:top w:w="40" w:type="dxa"/>
              <w:left w:w="20" w:type="dxa"/>
              <w:bottom w:w="40" w:type="dxa"/>
              <w:right w:w="20" w:type="dxa"/>
            </w:tcMar>
            <w:vAlign w:val="bottom"/>
          </w:tcPr>
          <w:p w14:paraId="5F2D1816" w14:textId="77777777" w:rsidR="00E836FB" w:rsidRDefault="00994958">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17" w14:textId="77777777" w:rsidR="00E836FB" w:rsidRDefault="00994958">
            <w:pPr>
              <w:jc w:val="right"/>
              <w:textAlignment w:val="bottom"/>
            </w:pPr>
            <w:r>
              <w:rPr>
                <w:rFonts w:ascii="Arial" w:eastAsia="宋体" w:hAnsi="Arial" w:cs="Arial"/>
                <w:b/>
                <w:bCs/>
                <w:color w:val="000000"/>
                <w:sz w:val="14"/>
                <w:szCs w:val="14"/>
              </w:rPr>
              <w:t>345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1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1A" w14:textId="77777777" w:rsidR="00E836FB" w:rsidRDefault="00994958">
            <w:pPr>
              <w:jc w:val="right"/>
              <w:textAlignment w:val="bottom"/>
            </w:pPr>
            <w:r>
              <w:rPr>
                <w:rFonts w:ascii="Arial" w:eastAsia="宋体" w:hAnsi="Arial" w:cs="Arial"/>
                <w:b/>
                <w:bCs/>
                <w:color w:val="000000"/>
                <w:sz w:val="14"/>
                <w:szCs w:val="14"/>
              </w:rPr>
              <w:t>345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1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1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1D" w14:textId="77777777" w:rsidR="00E836FB" w:rsidRDefault="00994958">
            <w:pPr>
              <w:jc w:val="right"/>
              <w:textAlignment w:val="bottom"/>
            </w:pPr>
            <w:r>
              <w:rPr>
                <w:rFonts w:ascii="Arial" w:eastAsia="宋体" w:hAnsi="Arial" w:cs="Arial"/>
                <w:b/>
                <w:bCs/>
                <w:color w:val="000000"/>
                <w:sz w:val="14"/>
                <w:szCs w:val="14"/>
              </w:rPr>
              <w:t>1,218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1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1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20" w14:textId="77777777" w:rsidR="00E836FB" w:rsidRDefault="00994958">
            <w:pPr>
              <w:jc w:val="right"/>
              <w:textAlignment w:val="bottom"/>
            </w:pPr>
            <w:r>
              <w:rPr>
                <w:rFonts w:ascii="Arial" w:eastAsia="宋体" w:hAnsi="Arial" w:cs="Arial"/>
                <w:b/>
                <w:bCs/>
                <w:color w:val="000000"/>
                <w:sz w:val="14"/>
                <w:szCs w:val="14"/>
              </w:rPr>
              <w:t>1,209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2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23"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2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26"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2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2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2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2C"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2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2F" w14:textId="77777777" w:rsidR="00E836FB" w:rsidRDefault="00994958">
            <w:pPr>
              <w:jc w:val="right"/>
              <w:textAlignment w:val="bottom"/>
            </w:pPr>
            <w:r>
              <w:rPr>
                <w:rFonts w:ascii="Arial" w:eastAsia="宋体" w:hAnsi="Arial" w:cs="Arial"/>
                <w:b/>
                <w:bCs/>
                <w:color w:val="000000"/>
                <w:sz w:val="14"/>
                <w:szCs w:val="14"/>
              </w:rPr>
              <w:t>1,564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3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32" w14:textId="77777777" w:rsidR="00E836FB" w:rsidRDefault="00994958">
            <w:pPr>
              <w:jc w:val="right"/>
              <w:textAlignment w:val="bottom"/>
            </w:pPr>
            <w:r>
              <w:rPr>
                <w:rFonts w:ascii="Arial" w:eastAsia="宋体" w:hAnsi="Arial" w:cs="Arial"/>
                <w:b/>
                <w:bCs/>
                <w:color w:val="000000"/>
                <w:sz w:val="14"/>
                <w:szCs w:val="14"/>
              </w:rPr>
              <w:t>1,555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33" w14:textId="77777777" w:rsidR="00E836FB" w:rsidRDefault="00E836FB">
            <w:pPr>
              <w:jc w:val="right"/>
              <w:rPr>
                <w:rFonts w:ascii="宋体"/>
              </w:rPr>
            </w:pPr>
          </w:p>
        </w:tc>
      </w:tr>
      <w:tr w:rsidR="00E836FB" w14:paraId="5F2D1849" w14:textId="77777777">
        <w:tc>
          <w:tcPr>
            <w:tcW w:w="0" w:type="auto"/>
            <w:gridSpan w:val="3"/>
            <w:shd w:val="clear" w:color="auto" w:fill="CCEEFF"/>
            <w:tcMar>
              <w:top w:w="40" w:type="dxa"/>
              <w:left w:w="20" w:type="dxa"/>
              <w:bottom w:w="40" w:type="dxa"/>
              <w:right w:w="20" w:type="dxa"/>
            </w:tcMar>
            <w:vAlign w:val="bottom"/>
          </w:tcPr>
          <w:p w14:paraId="5F2D1835" w14:textId="77777777" w:rsidR="00E836FB" w:rsidRDefault="00994958">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3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37"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3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39"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3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3B"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3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3D"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3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3F"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4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41"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4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43"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4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45"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4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847"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848" w14:textId="77777777" w:rsidR="00E836FB" w:rsidRDefault="00E836FB">
            <w:pPr>
              <w:rPr>
                <w:rFonts w:ascii="宋体"/>
              </w:rPr>
            </w:pPr>
          </w:p>
        </w:tc>
      </w:tr>
      <w:tr w:rsidR="00994958" w14:paraId="5F2D1868" w14:textId="77777777">
        <w:tc>
          <w:tcPr>
            <w:tcW w:w="0" w:type="auto"/>
            <w:gridSpan w:val="3"/>
            <w:shd w:val="clear" w:color="auto" w:fill="FFFFFF"/>
            <w:tcMar>
              <w:top w:w="40" w:type="dxa"/>
              <w:left w:w="140" w:type="dxa"/>
              <w:bottom w:w="40" w:type="dxa"/>
              <w:right w:w="20" w:type="dxa"/>
            </w:tcMar>
            <w:vAlign w:val="bottom"/>
          </w:tcPr>
          <w:p w14:paraId="5F2D184A" w14:textId="77777777" w:rsidR="00E836FB" w:rsidRDefault="00994958">
            <w:pPr>
              <w:textAlignment w:val="bottom"/>
            </w:pPr>
            <w:r>
              <w:rPr>
                <w:rFonts w:ascii="Arial" w:eastAsia="宋体" w:hAnsi="Arial" w:cs="Arial"/>
                <w:color w:val="000000"/>
                <w:sz w:val="14"/>
                <w:szCs w:val="14"/>
              </w:rPr>
              <w:t>Student loans</w:t>
            </w:r>
          </w:p>
        </w:tc>
        <w:tc>
          <w:tcPr>
            <w:tcW w:w="0" w:type="auto"/>
            <w:gridSpan w:val="2"/>
            <w:shd w:val="clear" w:color="auto" w:fill="FFFFFF"/>
            <w:tcMar>
              <w:top w:w="40" w:type="dxa"/>
              <w:left w:w="20" w:type="dxa"/>
              <w:bottom w:w="40" w:type="dxa"/>
              <w:right w:w="0" w:type="dxa"/>
            </w:tcMar>
            <w:vAlign w:val="bottom"/>
          </w:tcPr>
          <w:p w14:paraId="5F2D184B" w14:textId="77777777" w:rsidR="00E836FB" w:rsidRDefault="00994958">
            <w:pPr>
              <w:jc w:val="right"/>
              <w:textAlignment w:val="bottom"/>
            </w:pPr>
            <w:r>
              <w:rPr>
                <w:rFonts w:ascii="Arial" w:eastAsia="宋体" w:hAnsi="Arial" w:cs="Arial"/>
                <w:b/>
                <w:bCs/>
                <w:color w:val="000000"/>
                <w:sz w:val="14"/>
                <w:szCs w:val="14"/>
              </w:rPr>
              <w:t>341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4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4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4E" w14:textId="77777777" w:rsidR="00E836FB" w:rsidRDefault="00994958">
            <w:pPr>
              <w:jc w:val="right"/>
              <w:textAlignment w:val="bottom"/>
            </w:pPr>
            <w:r>
              <w:rPr>
                <w:rFonts w:ascii="Arial" w:eastAsia="宋体" w:hAnsi="Arial" w:cs="Arial"/>
                <w:b/>
                <w:bCs/>
                <w:color w:val="000000"/>
                <w:sz w:val="14"/>
                <w:szCs w:val="14"/>
              </w:rPr>
              <w:t>335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4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5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51" w14:textId="77777777" w:rsidR="00E836FB" w:rsidRDefault="00994958">
            <w:pPr>
              <w:jc w:val="right"/>
              <w:textAlignment w:val="bottom"/>
            </w:pPr>
            <w:r>
              <w:rPr>
                <w:rFonts w:ascii="Arial" w:eastAsia="宋体" w:hAnsi="Arial" w:cs="Arial"/>
                <w:b/>
                <w:bCs/>
                <w:color w:val="000000"/>
                <w:sz w:val="14"/>
                <w:szCs w:val="14"/>
              </w:rPr>
              <w:t>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5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54" w14:textId="77777777" w:rsidR="00E836FB" w:rsidRDefault="00994958">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5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5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57" w14:textId="77777777" w:rsidR="00E836FB" w:rsidRDefault="00994958">
            <w:pPr>
              <w:jc w:val="right"/>
              <w:textAlignment w:val="bottom"/>
            </w:pPr>
            <w:r>
              <w:rPr>
                <w:rFonts w:ascii="Arial" w:eastAsia="宋体" w:hAnsi="Arial" w:cs="Arial"/>
                <w:b/>
                <w:bCs/>
                <w:color w:val="000000"/>
                <w:sz w:val="14"/>
                <w:szCs w:val="14"/>
              </w:rPr>
              <w:t>971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5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5A" w14:textId="77777777" w:rsidR="00E836FB" w:rsidRDefault="00994958">
            <w:pPr>
              <w:jc w:val="right"/>
              <w:textAlignment w:val="bottom"/>
            </w:pPr>
            <w:r>
              <w:rPr>
                <w:rFonts w:ascii="Arial" w:eastAsia="宋体" w:hAnsi="Arial" w:cs="Arial"/>
                <w:b/>
                <w:bCs/>
                <w:color w:val="000000"/>
                <w:sz w:val="14"/>
                <w:szCs w:val="14"/>
              </w:rPr>
              <w:t>984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5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5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5D" w14:textId="77777777" w:rsidR="00E836FB" w:rsidRDefault="00994958">
            <w:pPr>
              <w:jc w:val="right"/>
              <w:textAlignment w:val="bottom"/>
            </w:pPr>
            <w:r>
              <w:rPr>
                <w:rFonts w:ascii="Arial" w:eastAsia="宋体" w:hAnsi="Arial" w:cs="Arial"/>
                <w:b/>
                <w:bCs/>
                <w:color w:val="000000"/>
                <w:sz w:val="14"/>
                <w:szCs w:val="14"/>
              </w:rPr>
              <w:t>3,548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5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5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60" w14:textId="77777777" w:rsidR="00E836FB" w:rsidRDefault="00994958">
            <w:pPr>
              <w:jc w:val="right"/>
              <w:textAlignment w:val="bottom"/>
            </w:pPr>
            <w:r>
              <w:rPr>
                <w:rFonts w:ascii="Arial" w:eastAsia="宋体" w:hAnsi="Arial" w:cs="Arial"/>
                <w:b/>
                <w:bCs/>
                <w:color w:val="000000"/>
                <w:sz w:val="14"/>
                <w:szCs w:val="14"/>
              </w:rPr>
              <w:t>3,576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6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6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63" w14:textId="77777777" w:rsidR="00E836FB" w:rsidRDefault="00994958">
            <w:pPr>
              <w:jc w:val="right"/>
              <w:textAlignment w:val="bottom"/>
            </w:pPr>
            <w:r>
              <w:rPr>
                <w:rFonts w:ascii="Arial" w:eastAsia="宋体" w:hAnsi="Arial" w:cs="Arial"/>
                <w:b/>
                <w:bCs/>
                <w:color w:val="000000"/>
                <w:sz w:val="14"/>
                <w:szCs w:val="14"/>
              </w:rPr>
              <w:t>4,908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6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6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866" w14:textId="77777777" w:rsidR="00E836FB" w:rsidRDefault="00994958">
            <w:pPr>
              <w:jc w:val="right"/>
              <w:textAlignment w:val="bottom"/>
            </w:pPr>
            <w:r>
              <w:rPr>
                <w:rFonts w:ascii="Arial" w:eastAsia="宋体" w:hAnsi="Arial" w:cs="Arial"/>
                <w:b/>
                <w:bCs/>
                <w:color w:val="000000"/>
                <w:sz w:val="14"/>
                <w:szCs w:val="14"/>
              </w:rPr>
              <w:t>4,942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867" w14:textId="77777777" w:rsidR="00E836FB" w:rsidRDefault="00E836FB">
            <w:pPr>
              <w:jc w:val="right"/>
              <w:rPr>
                <w:rFonts w:ascii="宋体"/>
              </w:rPr>
            </w:pPr>
          </w:p>
        </w:tc>
      </w:tr>
      <w:tr w:rsidR="00E836FB" w14:paraId="5F2D187D" w14:textId="77777777">
        <w:trPr>
          <w:hidden/>
        </w:trPr>
        <w:tc>
          <w:tcPr>
            <w:tcW w:w="0" w:type="auto"/>
            <w:gridSpan w:val="3"/>
            <w:shd w:val="clear" w:color="auto" w:fill="auto"/>
            <w:vAlign w:val="bottom"/>
          </w:tcPr>
          <w:p w14:paraId="5F2D1869" w14:textId="77777777" w:rsidR="00E836FB" w:rsidRDefault="00E836FB">
            <w:pPr>
              <w:rPr>
                <w:rFonts w:ascii="宋体"/>
                <w:vanish/>
              </w:rPr>
            </w:pPr>
          </w:p>
        </w:tc>
        <w:tc>
          <w:tcPr>
            <w:tcW w:w="0" w:type="auto"/>
            <w:gridSpan w:val="3"/>
            <w:shd w:val="clear" w:color="auto" w:fill="auto"/>
            <w:vAlign w:val="bottom"/>
          </w:tcPr>
          <w:p w14:paraId="5F2D186A" w14:textId="77777777" w:rsidR="00E836FB" w:rsidRDefault="00E836FB">
            <w:pPr>
              <w:rPr>
                <w:rFonts w:ascii="宋体"/>
                <w:vanish/>
              </w:rPr>
            </w:pPr>
          </w:p>
        </w:tc>
        <w:tc>
          <w:tcPr>
            <w:tcW w:w="0" w:type="auto"/>
            <w:gridSpan w:val="3"/>
            <w:shd w:val="clear" w:color="auto" w:fill="auto"/>
            <w:vAlign w:val="bottom"/>
          </w:tcPr>
          <w:p w14:paraId="5F2D186B" w14:textId="77777777" w:rsidR="00E836FB" w:rsidRDefault="00E836FB">
            <w:pPr>
              <w:rPr>
                <w:rFonts w:ascii="宋体"/>
                <w:vanish/>
              </w:rPr>
            </w:pPr>
          </w:p>
        </w:tc>
        <w:tc>
          <w:tcPr>
            <w:tcW w:w="0" w:type="auto"/>
            <w:gridSpan w:val="3"/>
            <w:shd w:val="clear" w:color="auto" w:fill="auto"/>
            <w:vAlign w:val="bottom"/>
          </w:tcPr>
          <w:p w14:paraId="5F2D186C" w14:textId="77777777" w:rsidR="00E836FB" w:rsidRDefault="00E836FB">
            <w:pPr>
              <w:rPr>
                <w:rFonts w:ascii="宋体"/>
                <w:vanish/>
              </w:rPr>
            </w:pPr>
          </w:p>
        </w:tc>
        <w:tc>
          <w:tcPr>
            <w:tcW w:w="0" w:type="auto"/>
            <w:gridSpan w:val="3"/>
            <w:shd w:val="clear" w:color="auto" w:fill="auto"/>
            <w:vAlign w:val="bottom"/>
          </w:tcPr>
          <w:p w14:paraId="5F2D186D" w14:textId="77777777" w:rsidR="00E836FB" w:rsidRDefault="00E836FB">
            <w:pPr>
              <w:rPr>
                <w:rFonts w:ascii="宋体"/>
                <w:vanish/>
              </w:rPr>
            </w:pPr>
          </w:p>
        </w:tc>
        <w:tc>
          <w:tcPr>
            <w:tcW w:w="0" w:type="auto"/>
            <w:gridSpan w:val="3"/>
            <w:shd w:val="clear" w:color="auto" w:fill="auto"/>
            <w:vAlign w:val="bottom"/>
          </w:tcPr>
          <w:p w14:paraId="5F2D186E" w14:textId="77777777" w:rsidR="00E836FB" w:rsidRDefault="00E836FB">
            <w:pPr>
              <w:rPr>
                <w:rFonts w:ascii="宋体"/>
                <w:vanish/>
              </w:rPr>
            </w:pPr>
          </w:p>
        </w:tc>
        <w:tc>
          <w:tcPr>
            <w:tcW w:w="0" w:type="auto"/>
            <w:gridSpan w:val="3"/>
            <w:shd w:val="clear" w:color="auto" w:fill="auto"/>
            <w:vAlign w:val="bottom"/>
          </w:tcPr>
          <w:p w14:paraId="5F2D186F" w14:textId="77777777" w:rsidR="00E836FB" w:rsidRDefault="00E836FB">
            <w:pPr>
              <w:rPr>
                <w:rFonts w:ascii="宋体"/>
                <w:vanish/>
              </w:rPr>
            </w:pPr>
          </w:p>
        </w:tc>
        <w:tc>
          <w:tcPr>
            <w:tcW w:w="0" w:type="auto"/>
            <w:gridSpan w:val="3"/>
            <w:shd w:val="clear" w:color="auto" w:fill="auto"/>
            <w:vAlign w:val="bottom"/>
          </w:tcPr>
          <w:p w14:paraId="5F2D1870" w14:textId="77777777" w:rsidR="00E836FB" w:rsidRDefault="00E836FB">
            <w:pPr>
              <w:rPr>
                <w:rFonts w:ascii="宋体"/>
                <w:vanish/>
              </w:rPr>
            </w:pPr>
          </w:p>
        </w:tc>
        <w:tc>
          <w:tcPr>
            <w:tcW w:w="0" w:type="auto"/>
            <w:gridSpan w:val="3"/>
            <w:shd w:val="clear" w:color="auto" w:fill="auto"/>
            <w:vAlign w:val="bottom"/>
          </w:tcPr>
          <w:p w14:paraId="5F2D1871" w14:textId="77777777" w:rsidR="00E836FB" w:rsidRDefault="00E836FB">
            <w:pPr>
              <w:rPr>
                <w:rFonts w:ascii="宋体"/>
                <w:vanish/>
              </w:rPr>
            </w:pPr>
          </w:p>
        </w:tc>
        <w:tc>
          <w:tcPr>
            <w:tcW w:w="0" w:type="auto"/>
            <w:gridSpan w:val="3"/>
            <w:shd w:val="clear" w:color="auto" w:fill="auto"/>
            <w:vAlign w:val="bottom"/>
          </w:tcPr>
          <w:p w14:paraId="5F2D1872" w14:textId="77777777" w:rsidR="00E836FB" w:rsidRDefault="00E836FB">
            <w:pPr>
              <w:rPr>
                <w:rFonts w:ascii="宋体"/>
                <w:vanish/>
              </w:rPr>
            </w:pPr>
          </w:p>
        </w:tc>
        <w:tc>
          <w:tcPr>
            <w:tcW w:w="0" w:type="auto"/>
            <w:gridSpan w:val="3"/>
            <w:shd w:val="clear" w:color="auto" w:fill="auto"/>
            <w:vAlign w:val="bottom"/>
          </w:tcPr>
          <w:p w14:paraId="5F2D1873" w14:textId="77777777" w:rsidR="00E836FB" w:rsidRDefault="00E836FB">
            <w:pPr>
              <w:rPr>
                <w:rFonts w:ascii="宋体"/>
                <w:vanish/>
              </w:rPr>
            </w:pPr>
          </w:p>
        </w:tc>
        <w:tc>
          <w:tcPr>
            <w:tcW w:w="0" w:type="auto"/>
            <w:gridSpan w:val="3"/>
            <w:shd w:val="clear" w:color="auto" w:fill="auto"/>
            <w:vAlign w:val="bottom"/>
          </w:tcPr>
          <w:p w14:paraId="5F2D1874" w14:textId="77777777" w:rsidR="00E836FB" w:rsidRDefault="00E836FB">
            <w:pPr>
              <w:rPr>
                <w:rFonts w:ascii="宋体"/>
                <w:vanish/>
              </w:rPr>
            </w:pPr>
          </w:p>
        </w:tc>
        <w:tc>
          <w:tcPr>
            <w:tcW w:w="0" w:type="auto"/>
            <w:gridSpan w:val="3"/>
            <w:shd w:val="clear" w:color="auto" w:fill="auto"/>
            <w:vAlign w:val="bottom"/>
          </w:tcPr>
          <w:p w14:paraId="5F2D1875" w14:textId="77777777" w:rsidR="00E836FB" w:rsidRDefault="00E836FB">
            <w:pPr>
              <w:rPr>
                <w:rFonts w:ascii="宋体"/>
                <w:vanish/>
              </w:rPr>
            </w:pPr>
          </w:p>
        </w:tc>
        <w:tc>
          <w:tcPr>
            <w:tcW w:w="0" w:type="auto"/>
            <w:gridSpan w:val="3"/>
            <w:shd w:val="clear" w:color="auto" w:fill="auto"/>
            <w:vAlign w:val="bottom"/>
          </w:tcPr>
          <w:p w14:paraId="5F2D1876" w14:textId="77777777" w:rsidR="00E836FB" w:rsidRDefault="00E836FB">
            <w:pPr>
              <w:rPr>
                <w:rFonts w:ascii="宋体"/>
                <w:vanish/>
              </w:rPr>
            </w:pPr>
          </w:p>
        </w:tc>
        <w:tc>
          <w:tcPr>
            <w:tcW w:w="0" w:type="auto"/>
            <w:gridSpan w:val="3"/>
            <w:shd w:val="clear" w:color="auto" w:fill="auto"/>
            <w:vAlign w:val="bottom"/>
          </w:tcPr>
          <w:p w14:paraId="5F2D1877" w14:textId="77777777" w:rsidR="00E836FB" w:rsidRDefault="00E836FB">
            <w:pPr>
              <w:rPr>
                <w:rFonts w:ascii="宋体"/>
                <w:vanish/>
              </w:rPr>
            </w:pPr>
          </w:p>
        </w:tc>
        <w:tc>
          <w:tcPr>
            <w:tcW w:w="0" w:type="auto"/>
            <w:gridSpan w:val="3"/>
            <w:shd w:val="clear" w:color="auto" w:fill="auto"/>
            <w:vAlign w:val="bottom"/>
          </w:tcPr>
          <w:p w14:paraId="5F2D1878" w14:textId="77777777" w:rsidR="00E836FB" w:rsidRDefault="00E836FB">
            <w:pPr>
              <w:rPr>
                <w:rFonts w:ascii="宋体"/>
                <w:vanish/>
              </w:rPr>
            </w:pPr>
          </w:p>
        </w:tc>
        <w:tc>
          <w:tcPr>
            <w:tcW w:w="0" w:type="auto"/>
            <w:gridSpan w:val="3"/>
            <w:shd w:val="clear" w:color="auto" w:fill="auto"/>
            <w:vAlign w:val="bottom"/>
          </w:tcPr>
          <w:p w14:paraId="5F2D1879" w14:textId="77777777" w:rsidR="00E836FB" w:rsidRDefault="00E836FB">
            <w:pPr>
              <w:rPr>
                <w:rFonts w:ascii="宋体"/>
                <w:vanish/>
              </w:rPr>
            </w:pPr>
          </w:p>
        </w:tc>
        <w:tc>
          <w:tcPr>
            <w:tcW w:w="0" w:type="auto"/>
            <w:gridSpan w:val="3"/>
            <w:shd w:val="clear" w:color="auto" w:fill="auto"/>
            <w:vAlign w:val="bottom"/>
          </w:tcPr>
          <w:p w14:paraId="5F2D187A" w14:textId="77777777" w:rsidR="00E836FB" w:rsidRDefault="00E836FB">
            <w:pPr>
              <w:rPr>
                <w:rFonts w:ascii="宋体"/>
                <w:vanish/>
              </w:rPr>
            </w:pPr>
          </w:p>
        </w:tc>
        <w:tc>
          <w:tcPr>
            <w:tcW w:w="0" w:type="auto"/>
            <w:gridSpan w:val="3"/>
            <w:shd w:val="clear" w:color="auto" w:fill="auto"/>
            <w:vAlign w:val="bottom"/>
          </w:tcPr>
          <w:p w14:paraId="5F2D187B" w14:textId="77777777" w:rsidR="00E836FB" w:rsidRDefault="00E836FB">
            <w:pPr>
              <w:rPr>
                <w:rFonts w:ascii="宋体"/>
                <w:vanish/>
              </w:rPr>
            </w:pPr>
          </w:p>
        </w:tc>
        <w:tc>
          <w:tcPr>
            <w:tcW w:w="0" w:type="auto"/>
            <w:gridSpan w:val="3"/>
            <w:shd w:val="clear" w:color="auto" w:fill="auto"/>
            <w:vAlign w:val="bottom"/>
          </w:tcPr>
          <w:p w14:paraId="5F2D187C" w14:textId="77777777" w:rsidR="00E836FB" w:rsidRDefault="00E836FB">
            <w:pPr>
              <w:rPr>
                <w:rFonts w:ascii="宋体"/>
                <w:vanish/>
              </w:rPr>
            </w:pPr>
          </w:p>
        </w:tc>
      </w:tr>
      <w:tr w:rsidR="00994958" w14:paraId="5F2D189C" w14:textId="77777777">
        <w:tc>
          <w:tcPr>
            <w:tcW w:w="0" w:type="auto"/>
            <w:gridSpan w:val="3"/>
            <w:shd w:val="clear" w:color="auto" w:fill="CCEEFF"/>
            <w:tcMar>
              <w:top w:w="40" w:type="dxa"/>
              <w:left w:w="140" w:type="dxa"/>
              <w:bottom w:w="40" w:type="dxa"/>
              <w:right w:w="20" w:type="dxa"/>
            </w:tcMar>
            <w:vAlign w:val="bottom"/>
          </w:tcPr>
          <w:p w14:paraId="5F2D187E" w14:textId="77777777" w:rsidR="00E836FB" w:rsidRDefault="00994958">
            <w:pPr>
              <w:textAlignment w:val="bottom"/>
            </w:pPr>
            <w:r>
              <w:rPr>
                <w:rFonts w:ascii="Arial" w:eastAsia="宋体" w:hAnsi="Arial" w:cs="Arial"/>
                <w:color w:val="000000"/>
                <w:sz w:val="14"/>
                <w:szCs w:val="14"/>
              </w:rPr>
              <w:t>Non-agency CMBS and RMBS</w:t>
            </w:r>
          </w:p>
        </w:tc>
        <w:tc>
          <w:tcPr>
            <w:tcW w:w="0" w:type="auto"/>
            <w:gridSpan w:val="2"/>
            <w:shd w:val="clear" w:color="auto" w:fill="CCEEFF"/>
            <w:tcMar>
              <w:top w:w="40" w:type="dxa"/>
              <w:left w:w="20" w:type="dxa"/>
              <w:bottom w:w="40" w:type="dxa"/>
              <w:right w:w="0" w:type="dxa"/>
            </w:tcMar>
            <w:vAlign w:val="bottom"/>
          </w:tcPr>
          <w:p w14:paraId="5F2D187F" w14:textId="77777777" w:rsidR="00E836FB" w:rsidRDefault="00994958">
            <w:pPr>
              <w:jc w:val="right"/>
              <w:textAlignment w:val="bottom"/>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8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82" w14:textId="77777777" w:rsidR="00E836FB" w:rsidRDefault="00994958">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8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85" w14:textId="77777777" w:rsidR="00E836FB" w:rsidRDefault="00994958">
            <w:pPr>
              <w:jc w:val="right"/>
              <w:textAlignment w:val="bottom"/>
            </w:pPr>
            <w:r>
              <w:rPr>
                <w:rFonts w:ascii="Arial" w:eastAsia="宋体" w:hAnsi="Arial" w:cs="Arial"/>
                <w:b/>
                <w:bCs/>
                <w:color w:val="000000"/>
                <w:sz w:val="14"/>
                <w:szCs w:val="14"/>
              </w:rPr>
              <w:t>144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8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88" w14:textId="77777777" w:rsidR="00E836FB" w:rsidRDefault="00994958">
            <w:pPr>
              <w:jc w:val="right"/>
              <w:textAlignment w:val="bottom"/>
            </w:pPr>
            <w:r>
              <w:rPr>
                <w:rFonts w:ascii="Arial" w:eastAsia="宋体" w:hAnsi="Arial" w:cs="Arial"/>
                <w:b/>
                <w:bCs/>
                <w:color w:val="000000"/>
                <w:sz w:val="14"/>
                <w:szCs w:val="14"/>
              </w:rPr>
              <w:t>144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8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8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8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9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91" w14:textId="77777777" w:rsidR="00E836FB" w:rsidRDefault="00994958">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9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94" w14:textId="77777777" w:rsidR="00E836FB" w:rsidRDefault="00994958">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9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97" w14:textId="77777777" w:rsidR="00E836FB" w:rsidRDefault="00994958">
            <w:pPr>
              <w:jc w:val="right"/>
              <w:textAlignment w:val="bottom"/>
            </w:pPr>
            <w:r>
              <w:rPr>
                <w:rFonts w:ascii="Arial" w:eastAsia="宋体" w:hAnsi="Arial" w:cs="Arial"/>
                <w:b/>
                <w:bCs/>
                <w:color w:val="000000"/>
                <w:sz w:val="14"/>
                <w:szCs w:val="14"/>
              </w:rPr>
              <w:t>307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9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89A" w14:textId="77777777" w:rsidR="00E836FB" w:rsidRDefault="00994958">
            <w:pPr>
              <w:jc w:val="right"/>
              <w:textAlignment w:val="bottom"/>
            </w:pPr>
            <w:r>
              <w:rPr>
                <w:rFonts w:ascii="Arial" w:eastAsia="宋体" w:hAnsi="Arial" w:cs="Arial"/>
                <w:b/>
                <w:bCs/>
                <w:color w:val="000000"/>
                <w:sz w:val="14"/>
                <w:szCs w:val="14"/>
              </w:rPr>
              <w:t>329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89B" w14:textId="77777777" w:rsidR="00E836FB" w:rsidRDefault="00E836FB">
            <w:pPr>
              <w:jc w:val="right"/>
              <w:rPr>
                <w:rFonts w:ascii="宋体"/>
              </w:rPr>
            </w:pPr>
          </w:p>
        </w:tc>
      </w:tr>
      <w:tr w:rsidR="00E836FB" w14:paraId="5F2D18B1" w14:textId="77777777">
        <w:trPr>
          <w:hidden/>
        </w:trPr>
        <w:tc>
          <w:tcPr>
            <w:tcW w:w="0" w:type="auto"/>
            <w:gridSpan w:val="3"/>
            <w:shd w:val="clear" w:color="auto" w:fill="auto"/>
            <w:vAlign w:val="bottom"/>
          </w:tcPr>
          <w:p w14:paraId="5F2D189D" w14:textId="77777777" w:rsidR="00E836FB" w:rsidRDefault="00E836FB">
            <w:pPr>
              <w:rPr>
                <w:rFonts w:ascii="宋体"/>
                <w:vanish/>
              </w:rPr>
            </w:pPr>
          </w:p>
        </w:tc>
        <w:tc>
          <w:tcPr>
            <w:tcW w:w="0" w:type="auto"/>
            <w:gridSpan w:val="3"/>
            <w:shd w:val="clear" w:color="auto" w:fill="auto"/>
            <w:vAlign w:val="bottom"/>
          </w:tcPr>
          <w:p w14:paraId="5F2D189E" w14:textId="77777777" w:rsidR="00E836FB" w:rsidRDefault="00E836FB">
            <w:pPr>
              <w:rPr>
                <w:rFonts w:ascii="宋体"/>
                <w:vanish/>
              </w:rPr>
            </w:pPr>
          </w:p>
        </w:tc>
        <w:tc>
          <w:tcPr>
            <w:tcW w:w="0" w:type="auto"/>
            <w:gridSpan w:val="3"/>
            <w:shd w:val="clear" w:color="auto" w:fill="auto"/>
            <w:vAlign w:val="bottom"/>
          </w:tcPr>
          <w:p w14:paraId="5F2D189F" w14:textId="77777777" w:rsidR="00E836FB" w:rsidRDefault="00E836FB">
            <w:pPr>
              <w:rPr>
                <w:rFonts w:ascii="宋体"/>
                <w:vanish/>
              </w:rPr>
            </w:pPr>
          </w:p>
        </w:tc>
        <w:tc>
          <w:tcPr>
            <w:tcW w:w="0" w:type="auto"/>
            <w:gridSpan w:val="3"/>
            <w:shd w:val="clear" w:color="auto" w:fill="auto"/>
            <w:vAlign w:val="bottom"/>
          </w:tcPr>
          <w:p w14:paraId="5F2D18A0" w14:textId="77777777" w:rsidR="00E836FB" w:rsidRDefault="00E836FB">
            <w:pPr>
              <w:rPr>
                <w:rFonts w:ascii="宋体"/>
                <w:vanish/>
              </w:rPr>
            </w:pPr>
          </w:p>
        </w:tc>
        <w:tc>
          <w:tcPr>
            <w:tcW w:w="0" w:type="auto"/>
            <w:gridSpan w:val="3"/>
            <w:shd w:val="clear" w:color="auto" w:fill="auto"/>
            <w:vAlign w:val="bottom"/>
          </w:tcPr>
          <w:p w14:paraId="5F2D18A1" w14:textId="77777777" w:rsidR="00E836FB" w:rsidRDefault="00E836FB">
            <w:pPr>
              <w:rPr>
                <w:rFonts w:ascii="宋体"/>
                <w:vanish/>
              </w:rPr>
            </w:pPr>
          </w:p>
        </w:tc>
        <w:tc>
          <w:tcPr>
            <w:tcW w:w="0" w:type="auto"/>
            <w:gridSpan w:val="3"/>
            <w:shd w:val="clear" w:color="auto" w:fill="auto"/>
            <w:vAlign w:val="bottom"/>
          </w:tcPr>
          <w:p w14:paraId="5F2D18A2" w14:textId="77777777" w:rsidR="00E836FB" w:rsidRDefault="00E836FB">
            <w:pPr>
              <w:rPr>
                <w:rFonts w:ascii="宋体"/>
                <w:vanish/>
              </w:rPr>
            </w:pPr>
          </w:p>
        </w:tc>
        <w:tc>
          <w:tcPr>
            <w:tcW w:w="0" w:type="auto"/>
            <w:gridSpan w:val="3"/>
            <w:shd w:val="clear" w:color="auto" w:fill="auto"/>
            <w:vAlign w:val="bottom"/>
          </w:tcPr>
          <w:p w14:paraId="5F2D18A3" w14:textId="77777777" w:rsidR="00E836FB" w:rsidRDefault="00E836FB">
            <w:pPr>
              <w:rPr>
                <w:rFonts w:ascii="宋体"/>
                <w:vanish/>
              </w:rPr>
            </w:pPr>
          </w:p>
        </w:tc>
        <w:tc>
          <w:tcPr>
            <w:tcW w:w="0" w:type="auto"/>
            <w:gridSpan w:val="3"/>
            <w:shd w:val="clear" w:color="auto" w:fill="auto"/>
            <w:vAlign w:val="bottom"/>
          </w:tcPr>
          <w:p w14:paraId="5F2D18A4" w14:textId="77777777" w:rsidR="00E836FB" w:rsidRDefault="00E836FB">
            <w:pPr>
              <w:rPr>
                <w:rFonts w:ascii="宋体"/>
                <w:vanish/>
              </w:rPr>
            </w:pPr>
          </w:p>
        </w:tc>
        <w:tc>
          <w:tcPr>
            <w:tcW w:w="0" w:type="auto"/>
            <w:gridSpan w:val="3"/>
            <w:shd w:val="clear" w:color="auto" w:fill="auto"/>
            <w:vAlign w:val="bottom"/>
          </w:tcPr>
          <w:p w14:paraId="5F2D18A5" w14:textId="77777777" w:rsidR="00E836FB" w:rsidRDefault="00E836FB">
            <w:pPr>
              <w:rPr>
                <w:rFonts w:ascii="宋体"/>
                <w:vanish/>
              </w:rPr>
            </w:pPr>
          </w:p>
        </w:tc>
        <w:tc>
          <w:tcPr>
            <w:tcW w:w="0" w:type="auto"/>
            <w:gridSpan w:val="3"/>
            <w:shd w:val="clear" w:color="auto" w:fill="auto"/>
            <w:vAlign w:val="bottom"/>
          </w:tcPr>
          <w:p w14:paraId="5F2D18A6" w14:textId="77777777" w:rsidR="00E836FB" w:rsidRDefault="00E836FB">
            <w:pPr>
              <w:rPr>
                <w:rFonts w:ascii="宋体"/>
                <w:vanish/>
              </w:rPr>
            </w:pPr>
          </w:p>
        </w:tc>
        <w:tc>
          <w:tcPr>
            <w:tcW w:w="0" w:type="auto"/>
            <w:gridSpan w:val="3"/>
            <w:shd w:val="clear" w:color="auto" w:fill="auto"/>
            <w:vAlign w:val="bottom"/>
          </w:tcPr>
          <w:p w14:paraId="5F2D18A7" w14:textId="77777777" w:rsidR="00E836FB" w:rsidRDefault="00E836FB">
            <w:pPr>
              <w:rPr>
                <w:rFonts w:ascii="宋体"/>
                <w:vanish/>
              </w:rPr>
            </w:pPr>
          </w:p>
        </w:tc>
        <w:tc>
          <w:tcPr>
            <w:tcW w:w="0" w:type="auto"/>
            <w:gridSpan w:val="3"/>
            <w:shd w:val="clear" w:color="auto" w:fill="auto"/>
            <w:vAlign w:val="bottom"/>
          </w:tcPr>
          <w:p w14:paraId="5F2D18A8" w14:textId="77777777" w:rsidR="00E836FB" w:rsidRDefault="00E836FB">
            <w:pPr>
              <w:rPr>
                <w:rFonts w:ascii="宋体"/>
                <w:vanish/>
              </w:rPr>
            </w:pPr>
          </w:p>
        </w:tc>
        <w:tc>
          <w:tcPr>
            <w:tcW w:w="0" w:type="auto"/>
            <w:gridSpan w:val="3"/>
            <w:shd w:val="clear" w:color="auto" w:fill="auto"/>
            <w:vAlign w:val="bottom"/>
          </w:tcPr>
          <w:p w14:paraId="5F2D18A9" w14:textId="77777777" w:rsidR="00E836FB" w:rsidRDefault="00E836FB">
            <w:pPr>
              <w:rPr>
                <w:rFonts w:ascii="宋体"/>
                <w:vanish/>
              </w:rPr>
            </w:pPr>
          </w:p>
        </w:tc>
        <w:tc>
          <w:tcPr>
            <w:tcW w:w="0" w:type="auto"/>
            <w:gridSpan w:val="3"/>
            <w:shd w:val="clear" w:color="auto" w:fill="auto"/>
            <w:vAlign w:val="bottom"/>
          </w:tcPr>
          <w:p w14:paraId="5F2D18AA" w14:textId="77777777" w:rsidR="00E836FB" w:rsidRDefault="00E836FB">
            <w:pPr>
              <w:rPr>
                <w:rFonts w:ascii="宋体"/>
                <w:vanish/>
              </w:rPr>
            </w:pPr>
          </w:p>
        </w:tc>
        <w:tc>
          <w:tcPr>
            <w:tcW w:w="0" w:type="auto"/>
            <w:gridSpan w:val="3"/>
            <w:shd w:val="clear" w:color="auto" w:fill="auto"/>
            <w:vAlign w:val="bottom"/>
          </w:tcPr>
          <w:p w14:paraId="5F2D18AB" w14:textId="77777777" w:rsidR="00E836FB" w:rsidRDefault="00E836FB">
            <w:pPr>
              <w:rPr>
                <w:rFonts w:ascii="宋体"/>
                <w:vanish/>
              </w:rPr>
            </w:pPr>
          </w:p>
        </w:tc>
        <w:tc>
          <w:tcPr>
            <w:tcW w:w="0" w:type="auto"/>
            <w:gridSpan w:val="3"/>
            <w:shd w:val="clear" w:color="auto" w:fill="auto"/>
            <w:vAlign w:val="bottom"/>
          </w:tcPr>
          <w:p w14:paraId="5F2D18AC" w14:textId="77777777" w:rsidR="00E836FB" w:rsidRDefault="00E836FB">
            <w:pPr>
              <w:rPr>
                <w:rFonts w:ascii="宋体"/>
                <w:vanish/>
              </w:rPr>
            </w:pPr>
          </w:p>
        </w:tc>
        <w:tc>
          <w:tcPr>
            <w:tcW w:w="0" w:type="auto"/>
            <w:gridSpan w:val="3"/>
            <w:shd w:val="clear" w:color="auto" w:fill="auto"/>
            <w:vAlign w:val="bottom"/>
          </w:tcPr>
          <w:p w14:paraId="5F2D18AD" w14:textId="77777777" w:rsidR="00E836FB" w:rsidRDefault="00E836FB">
            <w:pPr>
              <w:rPr>
                <w:rFonts w:ascii="宋体"/>
                <w:vanish/>
              </w:rPr>
            </w:pPr>
          </w:p>
        </w:tc>
        <w:tc>
          <w:tcPr>
            <w:tcW w:w="0" w:type="auto"/>
            <w:gridSpan w:val="3"/>
            <w:shd w:val="clear" w:color="auto" w:fill="auto"/>
            <w:vAlign w:val="bottom"/>
          </w:tcPr>
          <w:p w14:paraId="5F2D18AE" w14:textId="77777777" w:rsidR="00E836FB" w:rsidRDefault="00E836FB">
            <w:pPr>
              <w:rPr>
                <w:rFonts w:ascii="宋体"/>
                <w:vanish/>
              </w:rPr>
            </w:pPr>
          </w:p>
        </w:tc>
        <w:tc>
          <w:tcPr>
            <w:tcW w:w="0" w:type="auto"/>
            <w:gridSpan w:val="3"/>
            <w:shd w:val="clear" w:color="auto" w:fill="auto"/>
            <w:vAlign w:val="bottom"/>
          </w:tcPr>
          <w:p w14:paraId="5F2D18AF" w14:textId="77777777" w:rsidR="00E836FB" w:rsidRDefault="00E836FB">
            <w:pPr>
              <w:rPr>
                <w:rFonts w:ascii="宋体"/>
                <w:vanish/>
              </w:rPr>
            </w:pPr>
          </w:p>
        </w:tc>
        <w:tc>
          <w:tcPr>
            <w:tcW w:w="0" w:type="auto"/>
            <w:gridSpan w:val="3"/>
            <w:shd w:val="clear" w:color="auto" w:fill="auto"/>
            <w:vAlign w:val="bottom"/>
          </w:tcPr>
          <w:p w14:paraId="5F2D18B0" w14:textId="77777777" w:rsidR="00E836FB" w:rsidRDefault="00E836FB">
            <w:pPr>
              <w:rPr>
                <w:rFonts w:ascii="宋体"/>
                <w:vanish/>
              </w:rPr>
            </w:pPr>
          </w:p>
        </w:tc>
      </w:tr>
      <w:tr w:rsidR="00E836FB" w14:paraId="5F2D18C6" w14:textId="77777777">
        <w:trPr>
          <w:hidden/>
        </w:trPr>
        <w:tc>
          <w:tcPr>
            <w:tcW w:w="0" w:type="auto"/>
            <w:gridSpan w:val="3"/>
            <w:shd w:val="clear" w:color="auto" w:fill="auto"/>
            <w:vAlign w:val="bottom"/>
          </w:tcPr>
          <w:p w14:paraId="5F2D18B2" w14:textId="77777777" w:rsidR="00E836FB" w:rsidRDefault="00E836FB">
            <w:pPr>
              <w:rPr>
                <w:rFonts w:ascii="宋体"/>
                <w:vanish/>
              </w:rPr>
            </w:pPr>
          </w:p>
        </w:tc>
        <w:tc>
          <w:tcPr>
            <w:tcW w:w="0" w:type="auto"/>
            <w:gridSpan w:val="3"/>
            <w:shd w:val="clear" w:color="auto" w:fill="auto"/>
            <w:vAlign w:val="bottom"/>
          </w:tcPr>
          <w:p w14:paraId="5F2D18B3" w14:textId="77777777" w:rsidR="00E836FB" w:rsidRDefault="00E836FB">
            <w:pPr>
              <w:rPr>
                <w:rFonts w:ascii="宋体"/>
                <w:vanish/>
              </w:rPr>
            </w:pPr>
          </w:p>
        </w:tc>
        <w:tc>
          <w:tcPr>
            <w:tcW w:w="0" w:type="auto"/>
            <w:gridSpan w:val="3"/>
            <w:shd w:val="clear" w:color="auto" w:fill="auto"/>
            <w:vAlign w:val="bottom"/>
          </w:tcPr>
          <w:p w14:paraId="5F2D18B4" w14:textId="77777777" w:rsidR="00E836FB" w:rsidRDefault="00E836FB">
            <w:pPr>
              <w:rPr>
                <w:rFonts w:ascii="宋体"/>
                <w:vanish/>
              </w:rPr>
            </w:pPr>
          </w:p>
        </w:tc>
        <w:tc>
          <w:tcPr>
            <w:tcW w:w="0" w:type="auto"/>
            <w:gridSpan w:val="3"/>
            <w:shd w:val="clear" w:color="auto" w:fill="auto"/>
            <w:vAlign w:val="bottom"/>
          </w:tcPr>
          <w:p w14:paraId="5F2D18B5" w14:textId="77777777" w:rsidR="00E836FB" w:rsidRDefault="00E836FB">
            <w:pPr>
              <w:rPr>
                <w:rFonts w:ascii="宋体"/>
                <w:vanish/>
              </w:rPr>
            </w:pPr>
          </w:p>
        </w:tc>
        <w:tc>
          <w:tcPr>
            <w:tcW w:w="0" w:type="auto"/>
            <w:gridSpan w:val="3"/>
            <w:shd w:val="clear" w:color="auto" w:fill="auto"/>
            <w:vAlign w:val="bottom"/>
          </w:tcPr>
          <w:p w14:paraId="5F2D18B6" w14:textId="77777777" w:rsidR="00E836FB" w:rsidRDefault="00E836FB">
            <w:pPr>
              <w:rPr>
                <w:rFonts w:ascii="宋体"/>
                <w:vanish/>
              </w:rPr>
            </w:pPr>
          </w:p>
        </w:tc>
        <w:tc>
          <w:tcPr>
            <w:tcW w:w="0" w:type="auto"/>
            <w:gridSpan w:val="3"/>
            <w:shd w:val="clear" w:color="auto" w:fill="auto"/>
            <w:vAlign w:val="bottom"/>
          </w:tcPr>
          <w:p w14:paraId="5F2D18B7" w14:textId="77777777" w:rsidR="00E836FB" w:rsidRDefault="00E836FB">
            <w:pPr>
              <w:rPr>
                <w:rFonts w:ascii="宋体"/>
                <w:vanish/>
              </w:rPr>
            </w:pPr>
          </w:p>
        </w:tc>
        <w:tc>
          <w:tcPr>
            <w:tcW w:w="0" w:type="auto"/>
            <w:gridSpan w:val="3"/>
            <w:shd w:val="clear" w:color="auto" w:fill="auto"/>
            <w:vAlign w:val="bottom"/>
          </w:tcPr>
          <w:p w14:paraId="5F2D18B8" w14:textId="77777777" w:rsidR="00E836FB" w:rsidRDefault="00E836FB">
            <w:pPr>
              <w:rPr>
                <w:rFonts w:ascii="宋体"/>
                <w:vanish/>
              </w:rPr>
            </w:pPr>
          </w:p>
        </w:tc>
        <w:tc>
          <w:tcPr>
            <w:tcW w:w="0" w:type="auto"/>
            <w:gridSpan w:val="3"/>
            <w:shd w:val="clear" w:color="auto" w:fill="auto"/>
            <w:vAlign w:val="bottom"/>
          </w:tcPr>
          <w:p w14:paraId="5F2D18B9" w14:textId="77777777" w:rsidR="00E836FB" w:rsidRDefault="00E836FB">
            <w:pPr>
              <w:rPr>
                <w:rFonts w:ascii="宋体"/>
                <w:vanish/>
              </w:rPr>
            </w:pPr>
          </w:p>
        </w:tc>
        <w:tc>
          <w:tcPr>
            <w:tcW w:w="0" w:type="auto"/>
            <w:gridSpan w:val="3"/>
            <w:shd w:val="clear" w:color="auto" w:fill="auto"/>
            <w:vAlign w:val="bottom"/>
          </w:tcPr>
          <w:p w14:paraId="5F2D18BA" w14:textId="77777777" w:rsidR="00E836FB" w:rsidRDefault="00E836FB">
            <w:pPr>
              <w:rPr>
                <w:rFonts w:ascii="宋体"/>
                <w:vanish/>
              </w:rPr>
            </w:pPr>
          </w:p>
        </w:tc>
        <w:tc>
          <w:tcPr>
            <w:tcW w:w="0" w:type="auto"/>
            <w:gridSpan w:val="3"/>
            <w:shd w:val="clear" w:color="auto" w:fill="auto"/>
            <w:vAlign w:val="bottom"/>
          </w:tcPr>
          <w:p w14:paraId="5F2D18BB" w14:textId="77777777" w:rsidR="00E836FB" w:rsidRDefault="00E836FB">
            <w:pPr>
              <w:rPr>
                <w:rFonts w:ascii="宋体"/>
                <w:vanish/>
              </w:rPr>
            </w:pPr>
          </w:p>
        </w:tc>
        <w:tc>
          <w:tcPr>
            <w:tcW w:w="0" w:type="auto"/>
            <w:gridSpan w:val="3"/>
            <w:shd w:val="clear" w:color="auto" w:fill="auto"/>
            <w:vAlign w:val="bottom"/>
          </w:tcPr>
          <w:p w14:paraId="5F2D18BC" w14:textId="77777777" w:rsidR="00E836FB" w:rsidRDefault="00E836FB">
            <w:pPr>
              <w:rPr>
                <w:rFonts w:ascii="宋体"/>
                <w:vanish/>
              </w:rPr>
            </w:pPr>
          </w:p>
        </w:tc>
        <w:tc>
          <w:tcPr>
            <w:tcW w:w="0" w:type="auto"/>
            <w:gridSpan w:val="3"/>
            <w:shd w:val="clear" w:color="auto" w:fill="auto"/>
            <w:vAlign w:val="bottom"/>
          </w:tcPr>
          <w:p w14:paraId="5F2D18BD" w14:textId="77777777" w:rsidR="00E836FB" w:rsidRDefault="00E836FB">
            <w:pPr>
              <w:rPr>
                <w:rFonts w:ascii="宋体"/>
                <w:vanish/>
              </w:rPr>
            </w:pPr>
          </w:p>
        </w:tc>
        <w:tc>
          <w:tcPr>
            <w:tcW w:w="0" w:type="auto"/>
            <w:gridSpan w:val="3"/>
            <w:shd w:val="clear" w:color="auto" w:fill="auto"/>
            <w:vAlign w:val="bottom"/>
          </w:tcPr>
          <w:p w14:paraId="5F2D18BE" w14:textId="77777777" w:rsidR="00E836FB" w:rsidRDefault="00E836FB">
            <w:pPr>
              <w:rPr>
                <w:rFonts w:ascii="宋体"/>
                <w:vanish/>
              </w:rPr>
            </w:pPr>
          </w:p>
        </w:tc>
        <w:tc>
          <w:tcPr>
            <w:tcW w:w="0" w:type="auto"/>
            <w:gridSpan w:val="3"/>
            <w:shd w:val="clear" w:color="auto" w:fill="auto"/>
            <w:vAlign w:val="bottom"/>
          </w:tcPr>
          <w:p w14:paraId="5F2D18BF" w14:textId="77777777" w:rsidR="00E836FB" w:rsidRDefault="00E836FB">
            <w:pPr>
              <w:rPr>
                <w:rFonts w:ascii="宋体"/>
                <w:vanish/>
              </w:rPr>
            </w:pPr>
          </w:p>
        </w:tc>
        <w:tc>
          <w:tcPr>
            <w:tcW w:w="0" w:type="auto"/>
            <w:gridSpan w:val="3"/>
            <w:shd w:val="clear" w:color="auto" w:fill="auto"/>
            <w:vAlign w:val="bottom"/>
          </w:tcPr>
          <w:p w14:paraId="5F2D18C0" w14:textId="77777777" w:rsidR="00E836FB" w:rsidRDefault="00E836FB">
            <w:pPr>
              <w:rPr>
                <w:rFonts w:ascii="宋体"/>
                <w:vanish/>
              </w:rPr>
            </w:pPr>
          </w:p>
        </w:tc>
        <w:tc>
          <w:tcPr>
            <w:tcW w:w="0" w:type="auto"/>
            <w:gridSpan w:val="3"/>
            <w:shd w:val="clear" w:color="auto" w:fill="auto"/>
            <w:vAlign w:val="bottom"/>
          </w:tcPr>
          <w:p w14:paraId="5F2D18C1" w14:textId="77777777" w:rsidR="00E836FB" w:rsidRDefault="00E836FB">
            <w:pPr>
              <w:rPr>
                <w:rFonts w:ascii="宋体"/>
                <w:vanish/>
              </w:rPr>
            </w:pPr>
          </w:p>
        </w:tc>
        <w:tc>
          <w:tcPr>
            <w:tcW w:w="0" w:type="auto"/>
            <w:gridSpan w:val="3"/>
            <w:shd w:val="clear" w:color="auto" w:fill="auto"/>
            <w:vAlign w:val="bottom"/>
          </w:tcPr>
          <w:p w14:paraId="5F2D18C2" w14:textId="77777777" w:rsidR="00E836FB" w:rsidRDefault="00E836FB">
            <w:pPr>
              <w:rPr>
                <w:rFonts w:ascii="宋体"/>
                <w:vanish/>
              </w:rPr>
            </w:pPr>
          </w:p>
        </w:tc>
        <w:tc>
          <w:tcPr>
            <w:tcW w:w="0" w:type="auto"/>
            <w:gridSpan w:val="3"/>
            <w:shd w:val="clear" w:color="auto" w:fill="auto"/>
            <w:vAlign w:val="bottom"/>
          </w:tcPr>
          <w:p w14:paraId="5F2D18C3" w14:textId="77777777" w:rsidR="00E836FB" w:rsidRDefault="00E836FB">
            <w:pPr>
              <w:rPr>
                <w:rFonts w:ascii="宋体"/>
                <w:vanish/>
              </w:rPr>
            </w:pPr>
          </w:p>
        </w:tc>
        <w:tc>
          <w:tcPr>
            <w:tcW w:w="0" w:type="auto"/>
            <w:gridSpan w:val="3"/>
            <w:shd w:val="clear" w:color="auto" w:fill="auto"/>
            <w:vAlign w:val="bottom"/>
          </w:tcPr>
          <w:p w14:paraId="5F2D18C4" w14:textId="77777777" w:rsidR="00E836FB" w:rsidRDefault="00E836FB">
            <w:pPr>
              <w:rPr>
                <w:rFonts w:ascii="宋体"/>
                <w:vanish/>
              </w:rPr>
            </w:pPr>
          </w:p>
        </w:tc>
        <w:tc>
          <w:tcPr>
            <w:tcW w:w="0" w:type="auto"/>
            <w:gridSpan w:val="3"/>
            <w:shd w:val="clear" w:color="auto" w:fill="auto"/>
            <w:vAlign w:val="bottom"/>
          </w:tcPr>
          <w:p w14:paraId="5F2D18C5" w14:textId="77777777" w:rsidR="00E836FB" w:rsidRDefault="00E836FB">
            <w:pPr>
              <w:rPr>
                <w:rFonts w:ascii="宋体"/>
                <w:vanish/>
              </w:rPr>
            </w:pPr>
          </w:p>
        </w:tc>
      </w:tr>
      <w:tr w:rsidR="00994958" w14:paraId="5F2D18E5" w14:textId="77777777">
        <w:tc>
          <w:tcPr>
            <w:tcW w:w="0" w:type="auto"/>
            <w:gridSpan w:val="3"/>
            <w:shd w:val="clear" w:color="auto" w:fill="FFFFFF"/>
            <w:tcMar>
              <w:top w:w="40" w:type="dxa"/>
              <w:left w:w="20" w:type="dxa"/>
              <w:bottom w:w="40" w:type="dxa"/>
              <w:right w:w="20" w:type="dxa"/>
            </w:tcMar>
            <w:vAlign w:val="bottom"/>
          </w:tcPr>
          <w:p w14:paraId="5F2D18C7" w14:textId="77777777" w:rsidR="00E836FB" w:rsidRDefault="00994958">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C8" w14:textId="77777777" w:rsidR="00E836FB" w:rsidRDefault="00994958">
            <w:pPr>
              <w:jc w:val="right"/>
              <w:textAlignment w:val="bottom"/>
            </w:pPr>
            <w:r>
              <w:rPr>
                <w:rFonts w:ascii="Arial" w:eastAsia="宋体" w:hAnsi="Arial" w:cs="Arial"/>
                <w:b/>
                <w:bCs/>
                <w:color w:val="000000"/>
                <w:sz w:val="14"/>
                <w:szCs w:val="14"/>
              </w:rPr>
              <w:t>428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C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CB" w14:textId="77777777" w:rsidR="00E836FB" w:rsidRDefault="00994958">
            <w:pPr>
              <w:jc w:val="right"/>
              <w:textAlignment w:val="bottom"/>
            </w:pPr>
            <w:r>
              <w:rPr>
                <w:rFonts w:ascii="Arial" w:eastAsia="宋体" w:hAnsi="Arial" w:cs="Arial"/>
                <w:b/>
                <w:bCs/>
                <w:color w:val="000000"/>
                <w:sz w:val="14"/>
                <w:szCs w:val="14"/>
              </w:rPr>
              <w:t>430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C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CE" w14:textId="77777777" w:rsidR="00E836FB" w:rsidRDefault="00994958">
            <w:pPr>
              <w:jc w:val="right"/>
              <w:textAlignment w:val="bottom"/>
            </w:pPr>
            <w:r>
              <w:rPr>
                <w:rFonts w:ascii="Arial" w:eastAsia="宋体" w:hAnsi="Arial" w:cs="Arial"/>
                <w:b/>
                <w:bCs/>
                <w:color w:val="000000"/>
                <w:sz w:val="14"/>
                <w:szCs w:val="14"/>
              </w:rPr>
              <w:t>192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D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D1" w14:textId="77777777" w:rsidR="00E836FB" w:rsidRDefault="00994958">
            <w:pPr>
              <w:jc w:val="right"/>
              <w:textAlignment w:val="bottom"/>
            </w:pPr>
            <w:r>
              <w:rPr>
                <w:rFonts w:ascii="Arial" w:eastAsia="宋体" w:hAnsi="Arial" w:cs="Arial"/>
                <w:b/>
                <w:bCs/>
                <w:color w:val="000000"/>
                <w:sz w:val="14"/>
                <w:szCs w:val="14"/>
              </w:rPr>
              <w:t>191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D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D4" w14:textId="77777777" w:rsidR="00E836FB" w:rsidRDefault="00994958">
            <w:pPr>
              <w:jc w:val="right"/>
              <w:textAlignment w:val="bottom"/>
            </w:pPr>
            <w:r>
              <w:rPr>
                <w:rFonts w:ascii="Arial" w:eastAsia="宋体" w:hAnsi="Arial" w:cs="Arial"/>
                <w:b/>
                <w:bCs/>
                <w:color w:val="000000"/>
                <w:sz w:val="14"/>
                <w:szCs w:val="14"/>
              </w:rPr>
              <w:t>971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D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D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D7" w14:textId="77777777" w:rsidR="00E836FB" w:rsidRDefault="00994958">
            <w:pPr>
              <w:jc w:val="right"/>
              <w:textAlignment w:val="bottom"/>
            </w:pPr>
            <w:r>
              <w:rPr>
                <w:rFonts w:ascii="Arial" w:eastAsia="宋体" w:hAnsi="Arial" w:cs="Arial"/>
                <w:b/>
                <w:bCs/>
                <w:color w:val="000000"/>
                <w:sz w:val="14"/>
                <w:szCs w:val="14"/>
              </w:rPr>
              <w:t>984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D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DA" w14:textId="77777777" w:rsidR="00E836FB" w:rsidRDefault="00994958">
            <w:pPr>
              <w:jc w:val="right"/>
              <w:textAlignment w:val="bottom"/>
            </w:pPr>
            <w:r>
              <w:rPr>
                <w:rFonts w:ascii="Arial" w:eastAsia="宋体" w:hAnsi="Arial" w:cs="Arial"/>
                <w:b/>
                <w:bCs/>
                <w:color w:val="000000"/>
                <w:sz w:val="14"/>
                <w:szCs w:val="14"/>
              </w:rPr>
              <w:t>3,624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D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DD" w14:textId="77777777" w:rsidR="00E836FB" w:rsidRDefault="00994958">
            <w:pPr>
              <w:jc w:val="right"/>
              <w:textAlignment w:val="bottom"/>
            </w:pPr>
            <w:r>
              <w:rPr>
                <w:rFonts w:ascii="Arial" w:eastAsia="宋体" w:hAnsi="Arial" w:cs="Arial"/>
                <w:b/>
                <w:bCs/>
                <w:color w:val="000000"/>
                <w:sz w:val="14"/>
                <w:szCs w:val="14"/>
              </w:rPr>
              <w:t>3,666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D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E0" w14:textId="77777777" w:rsidR="00E836FB" w:rsidRDefault="00994958">
            <w:pPr>
              <w:jc w:val="right"/>
              <w:textAlignment w:val="bottom"/>
            </w:pPr>
            <w:r>
              <w:rPr>
                <w:rFonts w:ascii="Arial" w:eastAsia="宋体" w:hAnsi="Arial" w:cs="Arial"/>
                <w:b/>
                <w:bCs/>
                <w:color w:val="000000"/>
                <w:sz w:val="14"/>
                <w:szCs w:val="14"/>
              </w:rPr>
              <w:t>5,215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8E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8E3" w14:textId="77777777" w:rsidR="00E836FB" w:rsidRDefault="00994958">
            <w:pPr>
              <w:jc w:val="right"/>
              <w:textAlignment w:val="bottom"/>
            </w:pPr>
            <w:r>
              <w:rPr>
                <w:rFonts w:ascii="Arial" w:eastAsia="宋体" w:hAnsi="Arial" w:cs="Arial"/>
                <w:b/>
                <w:bCs/>
                <w:color w:val="000000"/>
                <w:sz w:val="14"/>
                <w:szCs w:val="14"/>
              </w:rPr>
              <w:t>5,271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8E4" w14:textId="77777777" w:rsidR="00E836FB" w:rsidRDefault="00E836FB">
            <w:pPr>
              <w:jc w:val="right"/>
              <w:rPr>
                <w:rFonts w:ascii="宋体"/>
              </w:rPr>
            </w:pPr>
          </w:p>
        </w:tc>
      </w:tr>
      <w:tr w:rsidR="00994958" w14:paraId="5F2D190E" w14:textId="77777777">
        <w:tc>
          <w:tcPr>
            <w:tcW w:w="0" w:type="auto"/>
            <w:gridSpan w:val="3"/>
            <w:shd w:val="clear" w:color="auto" w:fill="CCEEFF"/>
            <w:tcMar>
              <w:top w:w="40" w:type="dxa"/>
              <w:left w:w="20" w:type="dxa"/>
              <w:bottom w:w="40" w:type="dxa"/>
              <w:right w:w="20" w:type="dxa"/>
            </w:tcMar>
            <w:vAlign w:val="bottom"/>
          </w:tcPr>
          <w:p w14:paraId="5F2D18E6" w14:textId="77777777" w:rsidR="00E836FB" w:rsidRDefault="00994958">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8E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8E8" w14:textId="77777777" w:rsidR="00E836FB" w:rsidRDefault="00994958">
            <w:pPr>
              <w:jc w:val="right"/>
              <w:textAlignment w:val="bottom"/>
            </w:pPr>
            <w:r>
              <w:rPr>
                <w:rFonts w:ascii="Arial" w:eastAsia="宋体" w:hAnsi="Arial" w:cs="Arial"/>
                <w:b/>
                <w:bCs/>
                <w:color w:val="000000"/>
                <w:sz w:val="14"/>
                <w:szCs w:val="14"/>
              </w:rPr>
              <w:t>3,071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8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E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8E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8EC" w14:textId="77777777" w:rsidR="00E836FB" w:rsidRDefault="00994958">
            <w:pPr>
              <w:jc w:val="right"/>
              <w:textAlignment w:val="bottom"/>
            </w:pPr>
            <w:r>
              <w:rPr>
                <w:rFonts w:ascii="Arial" w:eastAsia="宋体" w:hAnsi="Arial" w:cs="Arial"/>
                <w:b/>
                <w:bCs/>
                <w:color w:val="000000"/>
                <w:sz w:val="14"/>
                <w:szCs w:val="14"/>
              </w:rPr>
              <w:t>3,085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8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E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8EF"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8F0" w14:textId="77777777" w:rsidR="00E836FB" w:rsidRDefault="00994958">
            <w:pPr>
              <w:jc w:val="right"/>
              <w:textAlignment w:val="bottom"/>
            </w:pPr>
            <w:r>
              <w:rPr>
                <w:rFonts w:ascii="Arial" w:eastAsia="宋体" w:hAnsi="Arial" w:cs="Arial"/>
                <w:b/>
                <w:bCs/>
                <w:color w:val="000000"/>
                <w:sz w:val="14"/>
                <w:szCs w:val="14"/>
              </w:rPr>
              <w:t>1,806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8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F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8F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8F4" w14:textId="77777777" w:rsidR="00E836FB" w:rsidRDefault="00994958">
            <w:pPr>
              <w:jc w:val="right"/>
              <w:textAlignment w:val="bottom"/>
            </w:pPr>
            <w:r>
              <w:rPr>
                <w:rFonts w:ascii="Arial" w:eastAsia="宋体" w:hAnsi="Arial" w:cs="Arial"/>
                <w:b/>
                <w:bCs/>
                <w:color w:val="000000"/>
                <w:sz w:val="14"/>
                <w:szCs w:val="14"/>
              </w:rPr>
              <w:t>1,802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8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F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8F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8F8" w14:textId="77777777" w:rsidR="00E836FB" w:rsidRDefault="00994958">
            <w:pPr>
              <w:jc w:val="right"/>
              <w:textAlignment w:val="bottom"/>
            </w:pPr>
            <w:r>
              <w:rPr>
                <w:rFonts w:ascii="Arial" w:eastAsia="宋体" w:hAnsi="Arial" w:cs="Arial"/>
                <w:b/>
                <w:bCs/>
                <w:color w:val="000000"/>
                <w:sz w:val="14"/>
                <w:szCs w:val="14"/>
              </w:rPr>
              <w:t>5,624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8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F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8F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8FC" w14:textId="77777777" w:rsidR="00E836FB" w:rsidRDefault="00994958">
            <w:pPr>
              <w:jc w:val="right"/>
              <w:textAlignment w:val="bottom"/>
            </w:pPr>
            <w:r>
              <w:rPr>
                <w:rFonts w:ascii="Arial" w:eastAsia="宋体" w:hAnsi="Arial" w:cs="Arial"/>
                <w:b/>
                <w:bCs/>
                <w:color w:val="000000"/>
                <w:sz w:val="14"/>
                <w:szCs w:val="14"/>
              </w:rPr>
              <w:t>5,577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8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8F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8FF"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900" w14:textId="77777777" w:rsidR="00E836FB" w:rsidRDefault="00994958">
            <w:pPr>
              <w:jc w:val="right"/>
              <w:textAlignment w:val="bottom"/>
            </w:pPr>
            <w:r>
              <w:rPr>
                <w:rFonts w:ascii="Arial" w:eastAsia="宋体" w:hAnsi="Arial" w:cs="Arial"/>
                <w:b/>
                <w:bCs/>
                <w:color w:val="000000"/>
                <w:sz w:val="14"/>
                <w:szCs w:val="14"/>
              </w:rPr>
              <w:t>31,929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90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0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903"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904" w14:textId="77777777" w:rsidR="00E836FB" w:rsidRDefault="00994958">
            <w:pPr>
              <w:jc w:val="right"/>
              <w:textAlignment w:val="bottom"/>
            </w:pPr>
            <w:r>
              <w:rPr>
                <w:rFonts w:ascii="Arial" w:eastAsia="宋体" w:hAnsi="Arial" w:cs="Arial"/>
                <w:b/>
                <w:bCs/>
                <w:color w:val="000000"/>
                <w:sz w:val="14"/>
                <w:szCs w:val="14"/>
              </w:rPr>
              <w:t>31,807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9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0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90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908" w14:textId="77777777" w:rsidR="00E836FB" w:rsidRDefault="00994958">
            <w:pPr>
              <w:jc w:val="right"/>
              <w:textAlignment w:val="bottom"/>
            </w:pPr>
            <w:r>
              <w:rPr>
                <w:rFonts w:ascii="Arial" w:eastAsia="宋体" w:hAnsi="Arial" w:cs="Arial"/>
                <w:b/>
                <w:bCs/>
                <w:color w:val="000000"/>
                <w:sz w:val="14"/>
                <w:szCs w:val="14"/>
              </w:rPr>
              <w:t>42,430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9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0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90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90C" w14:textId="77777777" w:rsidR="00E836FB" w:rsidRDefault="00994958">
            <w:pPr>
              <w:jc w:val="right"/>
              <w:textAlignment w:val="bottom"/>
            </w:pPr>
            <w:r>
              <w:rPr>
                <w:rFonts w:ascii="Arial" w:eastAsia="宋体" w:hAnsi="Arial" w:cs="Arial"/>
                <w:b/>
                <w:bCs/>
                <w:color w:val="000000"/>
                <w:sz w:val="14"/>
                <w:szCs w:val="14"/>
              </w:rPr>
              <w:t>42,271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90D" w14:textId="77777777" w:rsidR="00E836FB" w:rsidRDefault="00E836FB">
            <w:pPr>
              <w:jc w:val="right"/>
              <w:rPr>
                <w:rFonts w:ascii="宋体"/>
              </w:rPr>
            </w:pPr>
          </w:p>
        </w:tc>
      </w:tr>
    </w:tbl>
    <w:p w14:paraId="5F2D190F" w14:textId="77777777" w:rsidR="00E836FB" w:rsidRDefault="00994958">
      <w:pPr>
        <w:ind w:firstLine="450"/>
        <w:jc w:val="right"/>
      </w:pPr>
      <w:r>
        <w:rPr>
          <w:rFonts w:ascii="Arial" w:eastAsia="宋体" w:hAnsi="Arial" w:cs="Arial"/>
          <w:color w:val="000000"/>
          <w:sz w:val="18"/>
          <w:szCs w:val="18"/>
        </w:rPr>
        <w:t>State Street Corporation | 147</w:t>
      </w:r>
    </w:p>
    <w:p w14:paraId="5F2D1910" w14:textId="77777777" w:rsidR="00E836FB" w:rsidRDefault="00E836FB">
      <w:pPr>
        <w:ind w:firstLine="450"/>
        <w:jc w:val="center"/>
      </w:pPr>
    </w:p>
    <w:p w14:paraId="5F2D1911" w14:textId="77777777" w:rsidR="00E836FB" w:rsidRDefault="00994958">
      <w:r>
        <w:pict w14:anchorId="5F2D6E18">
          <v:rect id="_x0000_i1171" style="width:415.3pt;height:1.5pt" o:hralign="center" o:hrstd="t" o:hr="t" fillcolor="#a0a0a0" stroked="f"/>
        </w:pict>
      </w:r>
    </w:p>
    <w:p w14:paraId="5F2D1912" w14:textId="77777777" w:rsidR="00E836FB" w:rsidRDefault="00994958">
      <w:pPr>
        <w:ind w:firstLine="450"/>
        <w:jc w:val="center"/>
      </w:pPr>
      <w:r>
        <w:rPr>
          <w:rFonts w:ascii="Arial" w:eastAsia="宋体" w:hAnsi="Arial" w:cs="Arial"/>
          <w:b/>
          <w:bCs/>
          <w:color w:val="000000"/>
          <w:sz w:val="20"/>
          <w:szCs w:val="20"/>
        </w:rPr>
        <w:t>STATE STREET CORPORATION</w:t>
      </w:r>
    </w:p>
    <w:p w14:paraId="5F2D1913"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1914" w14:textId="77777777" w:rsidR="00E836FB" w:rsidRDefault="00994958">
      <w:pPr>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a basis </w:t>
      </w:r>
      <w:r>
        <w:rPr>
          <w:rFonts w:ascii="Arial" w:eastAsia="宋体" w:hAnsi="Arial" w:cs="Arial"/>
          <w:color w:val="000000"/>
          <w:sz w:val="20"/>
          <w:szCs w:val="20"/>
        </w:rPr>
        <w:t>approximating a level rate of return over the contractual or estimated life of the security. The level rate of return considers any non-refundable fees or costs, as well as purchase premiums or discounts, adjusted as prepayments occur, resulting in amortiz</w:t>
      </w:r>
      <w:r>
        <w:rPr>
          <w:rFonts w:ascii="Arial" w:eastAsia="宋体" w:hAnsi="Arial" w:cs="Arial"/>
          <w:color w:val="000000"/>
          <w:sz w:val="20"/>
          <w:szCs w:val="20"/>
        </w:rPr>
        <w:t>ation or accretion, accordingly.</w:t>
      </w:r>
    </w:p>
    <w:p w14:paraId="5F2D1915" w14:textId="77777777" w:rsidR="00E836FB" w:rsidRDefault="00994958">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5F2D1916" w14:textId="77777777" w:rsidR="00E836FB" w:rsidRDefault="00994958">
      <w:pPr>
        <w:spacing w:before="60"/>
        <w:ind w:firstLine="450"/>
        <w:jc w:val="both"/>
        <w:textAlignment w:val="top"/>
      </w:pPr>
      <w:r>
        <w:rPr>
          <w:rFonts w:ascii="Arial" w:eastAsia="宋体" w:hAnsi="Arial" w:cs="Arial"/>
          <w:color w:val="000000"/>
          <w:sz w:val="20"/>
          <w:szCs w:val="20"/>
        </w:rPr>
        <w:t>We conduct quarterly reviews of HTM and AFS securities on a collective (pool) basis when similar risk characteristics exist to determine whethe</w:t>
      </w:r>
      <w:r>
        <w:rPr>
          <w:rFonts w:ascii="Arial" w:eastAsia="宋体" w:hAnsi="Arial" w:cs="Arial"/>
          <w:color w:val="000000"/>
          <w:sz w:val="20"/>
          <w:szCs w:val="20"/>
        </w:rPr>
        <w:t>r an allowance for credit losses should be recognized. HTM securities are evaluated for expected credit loss utilizing a probability of default methodology, or discounted cash flows assessed against the amortized cost of the investment security excluding a</w:t>
      </w:r>
      <w:r>
        <w:rPr>
          <w:rFonts w:ascii="Arial" w:eastAsia="宋体" w:hAnsi="Arial" w:cs="Arial"/>
          <w:color w:val="000000"/>
          <w:sz w:val="20"/>
          <w:szCs w:val="20"/>
        </w:rPr>
        <w:t xml:space="preserve">ccrued interest. </w:t>
      </w:r>
    </w:p>
    <w:p w14:paraId="5F2D1917" w14:textId="77777777" w:rsidR="00E836FB" w:rsidRDefault="00994958">
      <w:pPr>
        <w:spacing w:before="60"/>
        <w:ind w:firstLine="450"/>
        <w:jc w:val="both"/>
        <w:textAlignment w:val="top"/>
      </w:pPr>
      <w:r>
        <w:rPr>
          <w:rFonts w:ascii="Arial" w:eastAsia="宋体" w:hAnsi="Arial" w:cs="Arial"/>
          <w:color w:val="000000"/>
          <w:sz w:val="20"/>
          <w:szCs w:val="20"/>
        </w:rPr>
        <w:t>We monitor the credit quality of the HTM investment securities using a variety of methods, including both external and internal credit ratings.</w:t>
      </w:r>
    </w:p>
    <w:p w14:paraId="5F2D1918" w14:textId="77777777" w:rsidR="00E836FB" w:rsidRDefault="00994958">
      <w:pPr>
        <w:spacing w:before="60"/>
        <w:ind w:firstLine="450"/>
        <w:jc w:val="both"/>
        <w:textAlignment w:val="top"/>
      </w:pPr>
      <w:r>
        <w:rPr>
          <w:rFonts w:ascii="Arial" w:eastAsia="宋体" w:hAnsi="Arial" w:cs="Arial"/>
          <w:color w:val="000000"/>
          <w:sz w:val="20"/>
          <w:szCs w:val="20"/>
        </w:rPr>
        <w:t>With respect to certain classes of debt securities, primarily U.S. Treasuries and agency secur</w:t>
      </w:r>
      <w:r>
        <w:rPr>
          <w:rFonts w:ascii="Arial" w:eastAsia="宋体" w:hAnsi="Arial" w:cs="Arial"/>
          <w:color w:val="000000"/>
          <w:sz w:val="20"/>
          <w:szCs w:val="20"/>
        </w:rPr>
        <w:t>ities (mainly issued by U.S. Government entities and agencies, as well as Group of Seven sovereigns), we consider the history of credit losses, current conditions and reasonable and supportable forecasts, which may indicate that the expectation that nonpay</w:t>
      </w:r>
      <w:r>
        <w:rPr>
          <w:rFonts w:ascii="Arial" w:eastAsia="宋体" w:hAnsi="Arial" w:cs="Arial"/>
          <w:color w:val="000000"/>
          <w:sz w:val="20"/>
          <w:szCs w:val="20"/>
        </w:rPr>
        <w:t xml:space="preserve">ment of the amortized cost basis is or continues to be zero. Therefore, for those securities, we do not record expected credit losses. </w:t>
      </w:r>
    </w:p>
    <w:p w14:paraId="5F2D1919" w14:textId="77777777" w:rsidR="00E836FB" w:rsidRDefault="00994958">
      <w:pPr>
        <w:spacing w:before="60"/>
        <w:ind w:firstLine="450"/>
        <w:jc w:val="both"/>
        <w:textAlignment w:val="top"/>
      </w:pPr>
      <w:r>
        <w:rPr>
          <w:rFonts w:ascii="Arial" w:eastAsia="宋体" w:hAnsi="Arial" w:cs="Arial"/>
          <w:color w:val="000000"/>
          <w:sz w:val="20"/>
          <w:szCs w:val="20"/>
        </w:rPr>
        <w:t>Our allowance for credit losses on our HTM securities was approximately nil and $3 million as of December 31, 2021 and 2</w:t>
      </w:r>
      <w:r>
        <w:rPr>
          <w:rFonts w:ascii="Arial" w:eastAsia="宋体" w:hAnsi="Arial" w:cs="Arial"/>
          <w:color w:val="000000"/>
          <w:sz w:val="20"/>
          <w:szCs w:val="20"/>
        </w:rPr>
        <w:t>020, respectively, inclusive of nil and $1 million, respectively related to HTM securities purchased under the money market mutual fund liquidity facility.</w:t>
      </w:r>
    </w:p>
    <w:p w14:paraId="5F2D191A" w14:textId="77777777" w:rsidR="00E836FB" w:rsidRDefault="00994958">
      <w:pPr>
        <w:ind w:firstLine="450"/>
        <w:jc w:val="both"/>
        <w:textAlignment w:val="top"/>
      </w:pPr>
      <w:r>
        <w:rPr>
          <w:rFonts w:ascii="Arial" w:eastAsia="宋体" w:hAnsi="Arial" w:cs="Arial"/>
          <w:color w:val="000000"/>
          <w:sz w:val="20"/>
          <w:szCs w:val="20"/>
        </w:rPr>
        <w:t xml:space="preserve">We have elected to not record an allowance on accrued interest for HTM securities. Accrued interest </w:t>
      </w:r>
      <w:r>
        <w:rPr>
          <w:rFonts w:ascii="Arial" w:eastAsia="宋体" w:hAnsi="Arial" w:cs="Arial"/>
          <w:color w:val="000000"/>
          <w:sz w:val="20"/>
          <w:szCs w:val="20"/>
        </w:rPr>
        <w:t>on these securities is reversed against interest income when payment on a security is delinquent for greater than 90 days from the date of payment.</w:t>
      </w:r>
    </w:p>
    <w:p w14:paraId="5F2D191B" w14:textId="77777777" w:rsidR="00E836FB" w:rsidRDefault="00994958">
      <w:pPr>
        <w:spacing w:before="60"/>
        <w:ind w:firstLine="450"/>
        <w:jc w:val="both"/>
        <w:textAlignment w:val="top"/>
      </w:pPr>
      <w:r>
        <w:rPr>
          <w:rFonts w:ascii="Arial" w:eastAsia="宋体" w:hAnsi="Arial" w:cs="Arial"/>
          <w:color w:val="000000"/>
          <w:sz w:val="20"/>
          <w:szCs w:val="20"/>
        </w:rPr>
        <w:t>An AFS security is impaired when the current fair value of an individual security is below its amortized cos</w:t>
      </w:r>
      <w:r>
        <w:rPr>
          <w:rFonts w:ascii="Arial" w:eastAsia="宋体" w:hAnsi="Arial" w:cs="Arial"/>
          <w:color w:val="000000"/>
          <w:sz w:val="20"/>
          <w:szCs w:val="20"/>
        </w:rPr>
        <w:t>t basis. An allowance for credit losses on impaired AFS securities is recorded when the present value of expected future cash flows of the investment security is less than its amortized cost basis, limited to the amount by which the security’s amortized co</w:t>
      </w:r>
      <w:r>
        <w:rPr>
          <w:rFonts w:ascii="Arial" w:eastAsia="宋体" w:hAnsi="Arial" w:cs="Arial"/>
          <w:color w:val="000000"/>
          <w:sz w:val="20"/>
          <w:szCs w:val="20"/>
        </w:rPr>
        <w:t>st basis exceeds the fair value. Investment securities will be written down to fair value through the consolidated statement of income when management intends to sell (or may be required to sell) the securities before they recover in value.</w:t>
      </w:r>
    </w:p>
    <w:p w14:paraId="5F2D191C" w14:textId="77777777" w:rsidR="00E836FB" w:rsidRDefault="00994958">
      <w:pPr>
        <w:spacing w:before="60"/>
        <w:ind w:firstLine="450"/>
        <w:jc w:val="both"/>
        <w:textAlignment w:val="top"/>
      </w:pPr>
      <w:r>
        <w:rPr>
          <w:rFonts w:ascii="Arial" w:eastAsia="宋体" w:hAnsi="Arial" w:cs="Arial"/>
          <w:color w:val="000000"/>
          <w:sz w:val="20"/>
          <w:szCs w:val="20"/>
        </w:rPr>
        <w:t>Our review of i</w:t>
      </w:r>
      <w:r>
        <w:rPr>
          <w:rFonts w:ascii="Arial" w:eastAsia="宋体" w:hAnsi="Arial" w:cs="Arial"/>
          <w:color w:val="000000"/>
          <w:sz w:val="20"/>
          <w:szCs w:val="20"/>
        </w:rPr>
        <w:t>mpaired AFS investment securities generally includes:</w:t>
      </w:r>
    </w:p>
    <w:p w14:paraId="5F2D191D" w14:textId="77777777" w:rsidR="00E836FB" w:rsidRDefault="00994958">
      <w:pPr>
        <w:spacing w:before="60"/>
        <w:ind w:hanging="360"/>
        <w:jc w:val="both"/>
        <w:textAlignment w:val="top"/>
      </w:pPr>
      <w:r>
        <w:rPr>
          <w:rFonts w:ascii="Arial" w:eastAsia="宋体" w:hAnsi="Arial" w:cs="Arial"/>
          <w:color w:val="000000"/>
          <w:sz w:val="20"/>
          <w:szCs w:val="20"/>
        </w:rPr>
        <w:t xml:space="preserve">•the identification and evaluation of securities that have indications of potential impairment, such as issuer-specific concerns, including deteriorating financial condition or bankruptcy; </w:t>
      </w:r>
    </w:p>
    <w:p w14:paraId="5F2D191E" w14:textId="77777777" w:rsidR="00E836FB" w:rsidRDefault="00994958">
      <w:pPr>
        <w:spacing w:before="60"/>
        <w:ind w:hanging="360"/>
        <w:jc w:val="both"/>
        <w:textAlignment w:val="top"/>
      </w:pPr>
      <w:r>
        <w:rPr>
          <w:rFonts w:ascii="Arial" w:eastAsia="宋体" w:hAnsi="Arial" w:cs="Arial"/>
          <w:color w:val="000000"/>
          <w:sz w:val="20"/>
          <w:szCs w:val="20"/>
        </w:rPr>
        <w:t>•the analysi</w:t>
      </w:r>
      <w:r>
        <w:rPr>
          <w:rFonts w:ascii="Arial" w:eastAsia="宋体" w:hAnsi="Arial" w:cs="Arial"/>
          <w:color w:val="000000"/>
          <w:sz w:val="20"/>
          <w:szCs w:val="20"/>
        </w:rPr>
        <w:t>s of expected future cash flows of securities, based on quantitative and qualitative factors;</w:t>
      </w:r>
    </w:p>
    <w:p w14:paraId="5F2D191F" w14:textId="77777777" w:rsidR="00E836FB" w:rsidRDefault="00994958">
      <w:pPr>
        <w:spacing w:before="60"/>
        <w:ind w:hanging="360"/>
        <w:jc w:val="both"/>
        <w:textAlignment w:val="top"/>
      </w:pPr>
      <w:r>
        <w:rPr>
          <w:rFonts w:ascii="Arial" w:eastAsia="宋体" w:hAnsi="Arial" w:cs="Arial"/>
          <w:color w:val="000000"/>
          <w:sz w:val="20"/>
          <w:szCs w:val="20"/>
        </w:rPr>
        <w:t>•the analysis of the collectability of those future cash flows, including information about past events, current conditions, and reasonable and supportable foreca</w:t>
      </w:r>
      <w:r>
        <w:rPr>
          <w:rFonts w:ascii="Arial" w:eastAsia="宋体" w:hAnsi="Arial" w:cs="Arial"/>
          <w:color w:val="000000"/>
          <w:sz w:val="20"/>
          <w:szCs w:val="20"/>
        </w:rPr>
        <w:t>sts;</w:t>
      </w:r>
    </w:p>
    <w:p w14:paraId="5F2D1920" w14:textId="77777777" w:rsidR="00E836FB" w:rsidRDefault="00994958">
      <w:pPr>
        <w:spacing w:before="60"/>
        <w:ind w:hanging="360"/>
        <w:jc w:val="both"/>
        <w:textAlignment w:val="top"/>
      </w:pPr>
      <w:r>
        <w:rPr>
          <w:rFonts w:ascii="Arial" w:eastAsia="宋体" w:hAnsi="Arial" w:cs="Arial"/>
          <w:color w:val="000000"/>
          <w:sz w:val="20"/>
          <w:szCs w:val="20"/>
        </w:rPr>
        <w:t>•the analysis of the underlying collateral for MBS and ABS;</w:t>
      </w:r>
    </w:p>
    <w:p w14:paraId="5F2D1921" w14:textId="77777777" w:rsidR="00E836FB" w:rsidRDefault="00994958">
      <w:pPr>
        <w:spacing w:before="60"/>
        <w:ind w:hanging="360"/>
        <w:jc w:val="both"/>
        <w:textAlignment w:val="top"/>
      </w:pPr>
      <w:r>
        <w:rPr>
          <w:rFonts w:ascii="Arial" w:eastAsia="宋体" w:hAnsi="Arial" w:cs="Arial"/>
          <w:color w:val="000000"/>
          <w:sz w:val="20"/>
          <w:szCs w:val="20"/>
        </w:rPr>
        <w:t>•the analysis of individual impaired securities, including the anticipated recovery period and the magnitude of the overall price decline;</w:t>
      </w:r>
    </w:p>
    <w:p w14:paraId="5F2D1922" w14:textId="77777777" w:rsidR="00E836FB" w:rsidRDefault="00994958">
      <w:pPr>
        <w:spacing w:before="60"/>
        <w:ind w:hanging="360"/>
        <w:jc w:val="both"/>
        <w:textAlignment w:val="top"/>
      </w:pPr>
      <w:r>
        <w:rPr>
          <w:rFonts w:ascii="Arial" w:eastAsia="宋体" w:hAnsi="Arial" w:cs="Arial"/>
          <w:color w:val="000000"/>
          <w:sz w:val="20"/>
          <w:szCs w:val="20"/>
        </w:rPr>
        <w:t xml:space="preserve">•evaluation of factors or triggers that could cause </w:t>
      </w:r>
      <w:r>
        <w:rPr>
          <w:rFonts w:ascii="Arial" w:eastAsia="宋体" w:hAnsi="Arial" w:cs="Arial"/>
          <w:color w:val="000000"/>
          <w:sz w:val="20"/>
          <w:szCs w:val="20"/>
        </w:rPr>
        <w:t>individual securities to be deemed impaired and those that would not support impairment; and</w:t>
      </w:r>
    </w:p>
    <w:p w14:paraId="5F2D1923" w14:textId="77777777" w:rsidR="00E836FB" w:rsidRDefault="00994958">
      <w:pPr>
        <w:spacing w:before="60"/>
        <w:ind w:hanging="360"/>
        <w:jc w:val="both"/>
        <w:textAlignment w:val="top"/>
      </w:pPr>
      <w:r>
        <w:rPr>
          <w:rFonts w:ascii="Arial" w:eastAsia="宋体" w:hAnsi="Arial" w:cs="Arial"/>
          <w:color w:val="000000"/>
          <w:sz w:val="20"/>
          <w:szCs w:val="20"/>
        </w:rPr>
        <w:t>•documentation of the results of these analyses.</w:t>
      </w:r>
    </w:p>
    <w:p w14:paraId="5F2D1924" w14:textId="77777777" w:rsidR="00E836FB" w:rsidRDefault="00994958">
      <w:pPr>
        <w:spacing w:before="60"/>
        <w:ind w:firstLine="450"/>
        <w:jc w:val="both"/>
        <w:textAlignment w:val="top"/>
      </w:pPr>
      <w:r>
        <w:rPr>
          <w:rFonts w:ascii="Arial" w:eastAsia="宋体" w:hAnsi="Arial" w:cs="Arial"/>
          <w:color w:val="000000"/>
          <w:sz w:val="20"/>
          <w:szCs w:val="20"/>
        </w:rPr>
        <w:t xml:space="preserve">Our allowance for credit losses on our AFS securities was approximately $2 million and nil as of December 31, 2021 and 2020, respectively, </w:t>
      </w:r>
    </w:p>
    <w:p w14:paraId="5F2D1925" w14:textId="77777777" w:rsidR="00E836FB" w:rsidRDefault="00994958">
      <w:pPr>
        <w:spacing w:before="60"/>
        <w:ind w:firstLine="450"/>
        <w:jc w:val="both"/>
        <w:textAlignment w:val="top"/>
      </w:pPr>
      <w:r>
        <w:rPr>
          <w:rFonts w:ascii="Arial" w:eastAsia="宋体" w:hAnsi="Arial" w:cs="Arial"/>
          <w:color w:val="000000"/>
          <w:sz w:val="20"/>
          <w:szCs w:val="20"/>
        </w:rPr>
        <w:t>Substantially all of our investment securities portfolio is composed of debt securities. A critical component of our</w:t>
      </w:r>
      <w:r>
        <w:rPr>
          <w:rFonts w:ascii="Arial" w:eastAsia="宋体" w:hAnsi="Arial" w:cs="Arial"/>
          <w:color w:val="000000"/>
          <w:sz w:val="20"/>
          <w:szCs w:val="20"/>
        </w:rPr>
        <w:t xml:space="preserve"> assessment of impairment of these debt securities is the identification of credit-impaired securities for which management does not expect to receive cash flows sufficient to recover the entire amortized cost basis of the security.</w:t>
      </w:r>
    </w:p>
    <w:p w14:paraId="5F2D1926" w14:textId="77777777" w:rsidR="00E836FB" w:rsidRDefault="00994958">
      <w:pPr>
        <w:spacing w:before="60"/>
        <w:ind w:firstLine="450"/>
        <w:jc w:val="both"/>
        <w:textAlignment w:val="top"/>
      </w:pPr>
      <w:r>
        <w:rPr>
          <w:rFonts w:ascii="Arial" w:eastAsia="宋体" w:hAnsi="Arial" w:cs="Arial"/>
          <w:color w:val="000000"/>
          <w:sz w:val="20"/>
          <w:szCs w:val="20"/>
        </w:rPr>
        <w:t>Debt securities that ar</w:t>
      </w:r>
      <w:r>
        <w:rPr>
          <w:rFonts w:ascii="Arial" w:eastAsia="宋体" w:hAnsi="Arial" w:cs="Arial"/>
          <w:color w:val="000000"/>
          <w:sz w:val="20"/>
          <w:szCs w:val="20"/>
        </w:rPr>
        <w:t>e not deemed to be credit impaired are subject to additional management analysis to assess whether management intends to sell, or, more likely than not, would be required to sell, the security before the expected recovery of its amortized cost basis.</w:t>
      </w:r>
    </w:p>
    <w:p w14:paraId="5F2D1927" w14:textId="77777777" w:rsidR="00E836FB" w:rsidRDefault="00994958">
      <w:pPr>
        <w:spacing w:before="60"/>
        <w:ind w:firstLine="450"/>
        <w:jc w:val="both"/>
        <w:textAlignment w:val="top"/>
      </w:pPr>
      <w:r>
        <w:rPr>
          <w:rFonts w:ascii="Arial" w:eastAsia="宋体" w:hAnsi="Arial" w:cs="Arial"/>
          <w:color w:val="000000"/>
          <w:sz w:val="20"/>
          <w:szCs w:val="20"/>
        </w:rPr>
        <w:t>As of</w:t>
      </w:r>
      <w:r>
        <w:rPr>
          <w:rFonts w:ascii="Arial" w:eastAsia="宋体" w:hAnsi="Arial" w:cs="Arial"/>
          <w:color w:val="000000"/>
          <w:sz w:val="20"/>
          <w:szCs w:val="20"/>
        </w:rPr>
        <w:t xml:space="preserve"> December 31, 2021, 99% of our HTM and AFS investment portfolio is publicly rated investment grade.</w:t>
      </w:r>
    </w:p>
    <w:p w14:paraId="5F2D1928" w14:textId="77777777" w:rsidR="00E836FB" w:rsidRDefault="00994958">
      <w:pPr>
        <w:spacing w:before="60"/>
        <w:ind w:firstLine="450"/>
        <w:jc w:val="both"/>
        <w:textAlignment w:val="top"/>
      </w:pPr>
      <w:r>
        <w:rPr>
          <w:rFonts w:ascii="Arial" w:eastAsia="宋体" w:hAnsi="Arial" w:cs="Arial"/>
          <w:color w:val="000000"/>
          <w:sz w:val="20"/>
          <w:szCs w:val="20"/>
        </w:rPr>
        <w:t xml:space="preserve">Prior to the adoption of ASC 326 on January 1, 2020, we assessed our AFS and HTM securities for impairment under an OTTI model. Under this model impairment </w:t>
      </w:r>
      <w:r>
        <w:rPr>
          <w:rFonts w:ascii="Arial" w:eastAsia="宋体" w:hAnsi="Arial" w:cs="Arial"/>
          <w:color w:val="000000"/>
          <w:sz w:val="20"/>
          <w:szCs w:val="20"/>
        </w:rPr>
        <w:t>of AFS and HTM debt securities was recorded in our consolidated statement of income when management intended to sell (or may be required to sell) the securities before they recovered in value, or when management expected the present value of cash flows exp</w:t>
      </w:r>
      <w:r>
        <w:rPr>
          <w:rFonts w:ascii="Arial" w:eastAsia="宋体" w:hAnsi="Arial" w:cs="Arial"/>
          <w:color w:val="000000"/>
          <w:sz w:val="20"/>
          <w:szCs w:val="20"/>
        </w:rPr>
        <w:t xml:space="preserve">ected to be collected from the securities to be less than the amortized cost of the impaired security (a credit loss). </w:t>
      </w:r>
    </w:p>
    <w:p w14:paraId="5F2D1929" w14:textId="77777777" w:rsidR="00E836FB" w:rsidRDefault="00994958">
      <w:pPr>
        <w:ind w:firstLine="450"/>
        <w:jc w:val="right"/>
      </w:pPr>
      <w:r>
        <w:rPr>
          <w:rFonts w:ascii="Arial" w:eastAsia="宋体" w:hAnsi="Arial" w:cs="Arial"/>
          <w:color w:val="000000"/>
          <w:sz w:val="18"/>
          <w:szCs w:val="18"/>
        </w:rPr>
        <w:t>State Street Corporation | 148</w:t>
      </w:r>
    </w:p>
    <w:p w14:paraId="5F2D192A" w14:textId="77777777" w:rsidR="00E836FB" w:rsidRDefault="00E836FB">
      <w:pPr>
        <w:ind w:firstLine="450"/>
        <w:jc w:val="center"/>
      </w:pPr>
    </w:p>
    <w:p w14:paraId="5F2D192B" w14:textId="77777777" w:rsidR="00E836FB" w:rsidRDefault="00994958">
      <w:r>
        <w:pict w14:anchorId="5F2D6E19">
          <v:rect id="_x0000_i1172" style="width:415.3pt;height:1.5pt" o:hralign="center" o:hrstd="t" o:hr="t" fillcolor="#a0a0a0" stroked="f"/>
        </w:pict>
      </w:r>
    </w:p>
    <w:p w14:paraId="5F2D192C" w14:textId="77777777" w:rsidR="00E836FB" w:rsidRDefault="00994958">
      <w:pPr>
        <w:ind w:firstLine="450"/>
        <w:jc w:val="center"/>
      </w:pPr>
      <w:r>
        <w:rPr>
          <w:rFonts w:ascii="Arial" w:eastAsia="宋体" w:hAnsi="Arial" w:cs="Arial"/>
          <w:b/>
          <w:bCs/>
          <w:color w:val="000000"/>
          <w:sz w:val="20"/>
          <w:szCs w:val="20"/>
        </w:rPr>
        <w:t>STATE STREET CORPORATION</w:t>
      </w:r>
    </w:p>
    <w:p w14:paraId="5F2D192D"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192E" w14:textId="77777777" w:rsidR="00E836FB" w:rsidRDefault="00994958">
      <w:pPr>
        <w:spacing w:before="60"/>
        <w:ind w:firstLine="450"/>
        <w:jc w:val="both"/>
        <w:textAlignment w:val="top"/>
      </w:pPr>
      <w:r>
        <w:rPr>
          <w:rFonts w:ascii="Arial" w:eastAsia="宋体" w:hAnsi="Arial" w:cs="Arial"/>
          <w:color w:val="000000"/>
          <w:sz w:val="20"/>
          <w:szCs w:val="20"/>
        </w:rPr>
        <w:t>We recorded less than $1 million o</w:t>
      </w:r>
      <w:r>
        <w:rPr>
          <w:rFonts w:ascii="Arial" w:eastAsia="宋体" w:hAnsi="Arial" w:cs="Arial"/>
          <w:color w:val="000000"/>
          <w:sz w:val="20"/>
          <w:szCs w:val="20"/>
        </w:rPr>
        <w:t>f OTTI, included in other income, in the year ended December 31, 2019, which resulted from adverse changes in the timing of expected future cash flows from non-U.S. mortgage- and asset backed securities.</w:t>
      </w:r>
    </w:p>
    <w:p w14:paraId="5F2D192F" w14:textId="77777777" w:rsidR="00E836FB" w:rsidRDefault="00994958">
      <w:pPr>
        <w:spacing w:before="60"/>
        <w:ind w:firstLine="450"/>
        <w:jc w:val="both"/>
        <w:textAlignment w:val="top"/>
      </w:pPr>
      <w:r>
        <w:rPr>
          <w:rFonts w:ascii="Arial" w:eastAsia="宋体" w:hAnsi="Arial" w:cs="Arial"/>
          <w:color w:val="000000"/>
          <w:sz w:val="20"/>
          <w:szCs w:val="20"/>
        </w:rPr>
        <w:t>After a review of the investment portfolio, taking i</w:t>
      </w:r>
      <w:r>
        <w:rPr>
          <w:rFonts w:ascii="Arial" w:eastAsia="宋体" w:hAnsi="Arial" w:cs="Arial"/>
          <w:color w:val="000000"/>
          <w:sz w:val="20"/>
          <w:szCs w:val="20"/>
        </w:rPr>
        <w:t>nto consideration then-current economic conditions, adverse situations that might affect our ability to fully collect principal and interest, the timing of future payments, the credit quality and performance of the collateral underlying MBS and ABS and oth</w:t>
      </w:r>
      <w:r>
        <w:rPr>
          <w:rFonts w:ascii="Arial" w:eastAsia="宋体" w:hAnsi="Arial" w:cs="Arial"/>
          <w:color w:val="000000"/>
          <w:sz w:val="20"/>
          <w:szCs w:val="20"/>
        </w:rPr>
        <w:t xml:space="preserve">er relevant factors, management considered the aggregate decline in fair value of the investment securities portfolio and the resulting gross pre-tax unrealized losses of $1,046 million and $123 million related to 954 and 503 securities as of December 31, </w:t>
      </w:r>
      <w:r>
        <w:rPr>
          <w:rFonts w:ascii="Arial" w:eastAsia="宋体" w:hAnsi="Arial" w:cs="Arial"/>
          <w:color w:val="000000"/>
          <w:sz w:val="20"/>
          <w:szCs w:val="20"/>
        </w:rPr>
        <w:t>2021 and December 31, 2020, respectively, to be temporary, and not the result of any material changes in the credit characteristics of the securities.</w:t>
      </w:r>
    </w:p>
    <w:p w14:paraId="5F2D1930" w14:textId="77777777" w:rsidR="00E836FB" w:rsidRDefault="00994958">
      <w:pPr>
        <w:spacing w:before="180"/>
        <w:textAlignment w:val="top"/>
      </w:pPr>
      <w:r>
        <w:rPr>
          <w:rFonts w:ascii="Arial" w:eastAsia="宋体" w:hAnsi="Arial" w:cs="Arial"/>
          <w:b/>
          <w:bCs/>
          <w:color w:val="000000"/>
          <w:sz w:val="20"/>
          <w:szCs w:val="20"/>
        </w:rPr>
        <w:t>Note 4.    Loans and Allowance for Credit Losses</w:t>
      </w:r>
    </w:p>
    <w:p w14:paraId="5F2D1931" w14:textId="77777777" w:rsidR="00E836FB" w:rsidRDefault="00994958">
      <w:pPr>
        <w:spacing w:before="60"/>
        <w:ind w:firstLine="450"/>
        <w:jc w:val="both"/>
        <w:textAlignment w:val="top"/>
      </w:pPr>
      <w:r>
        <w:rPr>
          <w:rFonts w:ascii="Arial" w:eastAsia="宋体" w:hAnsi="Arial" w:cs="Arial"/>
          <w:color w:val="000000"/>
          <w:sz w:val="20"/>
          <w:szCs w:val="20"/>
        </w:rPr>
        <w:t xml:space="preserve">Loans are generally recorded at their principal </w:t>
      </w:r>
      <w:r>
        <w:rPr>
          <w:rFonts w:ascii="Arial" w:eastAsia="宋体" w:hAnsi="Arial" w:cs="Arial"/>
          <w:color w:val="000000"/>
          <w:sz w:val="20"/>
          <w:szCs w:val="20"/>
        </w:rPr>
        <w:t>amount outstanding, net of the allowance for credit losses, unearned income, and any net unamortized deferred loan origination fees. Loans that are classified as held-for-sale are measured at lower of cost or fair value on an individual basis.</w:t>
      </w:r>
    </w:p>
    <w:p w14:paraId="5F2D1932" w14:textId="77777777" w:rsidR="00E836FB" w:rsidRDefault="00994958">
      <w:pPr>
        <w:spacing w:before="60"/>
        <w:ind w:firstLine="450"/>
        <w:jc w:val="both"/>
        <w:textAlignment w:val="top"/>
      </w:pPr>
      <w:r>
        <w:rPr>
          <w:rFonts w:ascii="Arial" w:eastAsia="宋体" w:hAnsi="Arial" w:cs="Arial"/>
          <w:color w:val="000000"/>
          <w:sz w:val="20"/>
          <w:szCs w:val="20"/>
        </w:rPr>
        <w:t>Interest inc</w:t>
      </w:r>
      <w:r>
        <w:rPr>
          <w:rFonts w:ascii="Arial" w:eastAsia="宋体" w:hAnsi="Arial" w:cs="Arial"/>
          <w:color w:val="000000"/>
          <w:sz w:val="20"/>
          <w:szCs w:val="20"/>
        </w:rPr>
        <w:t>ome related to loans is recognized in our consolidated statement of income using the interest method, or on a basis approximating a level rate of return over the term of the loan. Fees received for providing loan commitments and letters of credit that we a</w:t>
      </w:r>
      <w:r>
        <w:rPr>
          <w:rFonts w:ascii="Arial" w:eastAsia="宋体" w:hAnsi="Arial" w:cs="Arial"/>
          <w:color w:val="000000"/>
          <w:sz w:val="20"/>
          <w:szCs w:val="20"/>
        </w:rPr>
        <w:t>nticipate will result in loans typically are deferred and amortized to interest income over the term of the related loan, beginning with the initial borrowing. Fees on commitments and letters of credit are amortized to software and processing fees over the</w:t>
      </w:r>
      <w:r>
        <w:rPr>
          <w:rFonts w:ascii="Arial" w:eastAsia="宋体" w:hAnsi="Arial" w:cs="Arial"/>
          <w:color w:val="000000"/>
          <w:sz w:val="20"/>
          <w:szCs w:val="20"/>
        </w:rPr>
        <w:t xml:space="preserve"> commitment period when funding is not known or expected.</w:t>
      </w:r>
    </w:p>
    <w:p w14:paraId="5F2D1933"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4969" w:type="pct"/>
        <w:tblCellMar>
          <w:top w:w="15" w:type="dxa"/>
          <w:left w:w="15" w:type="dxa"/>
          <w:bottom w:w="15" w:type="dxa"/>
          <w:right w:w="15" w:type="dxa"/>
        </w:tblCellMar>
        <w:tblLook w:val="04A0" w:firstRow="1" w:lastRow="0" w:firstColumn="1" w:lastColumn="0" w:noHBand="0" w:noVBand="1"/>
      </w:tblPr>
      <w:tblGrid>
        <w:gridCol w:w="45"/>
        <w:gridCol w:w="4160"/>
        <w:gridCol w:w="37"/>
        <w:gridCol w:w="105"/>
        <w:gridCol w:w="1770"/>
        <w:gridCol w:w="36"/>
        <w:gridCol w:w="36"/>
        <w:gridCol w:w="75"/>
        <w:gridCol w:w="36"/>
        <w:gridCol w:w="105"/>
        <w:gridCol w:w="1771"/>
        <w:gridCol w:w="36"/>
        <w:gridCol w:w="36"/>
        <w:gridCol w:w="36"/>
      </w:tblGrid>
      <w:tr w:rsidR="00E836FB" w14:paraId="5F2D1942" w14:textId="77777777">
        <w:tc>
          <w:tcPr>
            <w:tcW w:w="50" w:type="pct"/>
            <w:shd w:val="clear" w:color="auto" w:fill="auto"/>
            <w:vAlign w:val="bottom"/>
          </w:tcPr>
          <w:p w14:paraId="5F2D1934" w14:textId="77777777" w:rsidR="00E836FB" w:rsidRDefault="00E836FB">
            <w:pPr>
              <w:rPr>
                <w:rFonts w:ascii="宋体"/>
              </w:rPr>
            </w:pPr>
          </w:p>
        </w:tc>
        <w:tc>
          <w:tcPr>
            <w:tcW w:w="2555" w:type="pct"/>
            <w:shd w:val="clear" w:color="auto" w:fill="auto"/>
            <w:vAlign w:val="bottom"/>
          </w:tcPr>
          <w:p w14:paraId="5F2D1935" w14:textId="77777777" w:rsidR="00E836FB" w:rsidRDefault="00E836FB">
            <w:pPr>
              <w:rPr>
                <w:rFonts w:ascii="宋体"/>
              </w:rPr>
            </w:pPr>
          </w:p>
        </w:tc>
        <w:tc>
          <w:tcPr>
            <w:tcW w:w="5" w:type="pct"/>
            <w:shd w:val="clear" w:color="auto" w:fill="auto"/>
            <w:vAlign w:val="bottom"/>
          </w:tcPr>
          <w:p w14:paraId="5F2D1936" w14:textId="77777777" w:rsidR="00E836FB" w:rsidRDefault="00E836FB">
            <w:pPr>
              <w:rPr>
                <w:rFonts w:ascii="宋体"/>
              </w:rPr>
            </w:pPr>
          </w:p>
        </w:tc>
        <w:tc>
          <w:tcPr>
            <w:tcW w:w="50" w:type="pct"/>
            <w:shd w:val="clear" w:color="auto" w:fill="auto"/>
            <w:vAlign w:val="bottom"/>
          </w:tcPr>
          <w:p w14:paraId="5F2D1937" w14:textId="77777777" w:rsidR="00E836FB" w:rsidRDefault="00E836FB">
            <w:pPr>
              <w:rPr>
                <w:rFonts w:ascii="宋体"/>
              </w:rPr>
            </w:pPr>
          </w:p>
        </w:tc>
        <w:tc>
          <w:tcPr>
            <w:tcW w:w="1100" w:type="pct"/>
            <w:shd w:val="clear" w:color="auto" w:fill="auto"/>
            <w:vAlign w:val="bottom"/>
          </w:tcPr>
          <w:p w14:paraId="5F2D1938" w14:textId="77777777" w:rsidR="00E836FB" w:rsidRDefault="00E836FB">
            <w:pPr>
              <w:rPr>
                <w:rFonts w:ascii="宋体"/>
              </w:rPr>
            </w:pPr>
          </w:p>
        </w:tc>
        <w:tc>
          <w:tcPr>
            <w:tcW w:w="5" w:type="pct"/>
            <w:shd w:val="clear" w:color="auto" w:fill="auto"/>
            <w:vAlign w:val="bottom"/>
          </w:tcPr>
          <w:p w14:paraId="5F2D1939" w14:textId="77777777" w:rsidR="00E836FB" w:rsidRDefault="00E836FB">
            <w:pPr>
              <w:rPr>
                <w:rFonts w:ascii="宋体"/>
              </w:rPr>
            </w:pPr>
          </w:p>
        </w:tc>
        <w:tc>
          <w:tcPr>
            <w:tcW w:w="5" w:type="pct"/>
            <w:shd w:val="clear" w:color="auto" w:fill="auto"/>
            <w:vAlign w:val="bottom"/>
          </w:tcPr>
          <w:p w14:paraId="5F2D193A" w14:textId="77777777" w:rsidR="00E836FB" w:rsidRDefault="00E836FB">
            <w:pPr>
              <w:rPr>
                <w:rFonts w:ascii="宋体"/>
              </w:rPr>
            </w:pPr>
          </w:p>
        </w:tc>
        <w:tc>
          <w:tcPr>
            <w:tcW w:w="69" w:type="pct"/>
            <w:shd w:val="clear" w:color="auto" w:fill="auto"/>
            <w:vAlign w:val="bottom"/>
          </w:tcPr>
          <w:p w14:paraId="5F2D193B" w14:textId="77777777" w:rsidR="00E836FB" w:rsidRDefault="00E836FB">
            <w:pPr>
              <w:rPr>
                <w:rFonts w:ascii="宋体"/>
              </w:rPr>
            </w:pPr>
          </w:p>
        </w:tc>
        <w:tc>
          <w:tcPr>
            <w:tcW w:w="5" w:type="pct"/>
            <w:shd w:val="clear" w:color="auto" w:fill="auto"/>
            <w:vAlign w:val="bottom"/>
          </w:tcPr>
          <w:p w14:paraId="5F2D193C" w14:textId="77777777" w:rsidR="00E836FB" w:rsidRDefault="00E836FB">
            <w:pPr>
              <w:rPr>
                <w:rFonts w:ascii="宋体"/>
              </w:rPr>
            </w:pPr>
          </w:p>
        </w:tc>
        <w:tc>
          <w:tcPr>
            <w:tcW w:w="50" w:type="pct"/>
            <w:shd w:val="clear" w:color="auto" w:fill="auto"/>
            <w:vAlign w:val="bottom"/>
          </w:tcPr>
          <w:p w14:paraId="5F2D193D" w14:textId="77777777" w:rsidR="00E836FB" w:rsidRDefault="00E836FB">
            <w:pPr>
              <w:rPr>
                <w:rFonts w:ascii="宋体"/>
              </w:rPr>
            </w:pPr>
          </w:p>
        </w:tc>
        <w:tc>
          <w:tcPr>
            <w:tcW w:w="1100" w:type="pct"/>
            <w:shd w:val="clear" w:color="auto" w:fill="auto"/>
            <w:vAlign w:val="bottom"/>
          </w:tcPr>
          <w:p w14:paraId="5F2D193E" w14:textId="77777777" w:rsidR="00E836FB" w:rsidRDefault="00E836FB">
            <w:pPr>
              <w:rPr>
                <w:rFonts w:ascii="宋体"/>
              </w:rPr>
            </w:pPr>
          </w:p>
        </w:tc>
        <w:tc>
          <w:tcPr>
            <w:tcW w:w="5" w:type="pct"/>
            <w:shd w:val="clear" w:color="auto" w:fill="auto"/>
            <w:vAlign w:val="bottom"/>
          </w:tcPr>
          <w:p w14:paraId="5F2D193F" w14:textId="77777777" w:rsidR="00E836FB" w:rsidRDefault="00E836FB">
            <w:pPr>
              <w:rPr>
                <w:rFonts w:ascii="宋体"/>
              </w:rPr>
            </w:pPr>
          </w:p>
        </w:tc>
        <w:tc>
          <w:tcPr>
            <w:tcW w:w="0" w:type="auto"/>
            <w:shd w:val="clear" w:color="auto" w:fill="auto"/>
            <w:vAlign w:val="bottom"/>
          </w:tcPr>
          <w:p w14:paraId="5F2D1940" w14:textId="77777777" w:rsidR="00E836FB" w:rsidRDefault="00E836FB">
            <w:pPr>
              <w:rPr>
                <w:rFonts w:ascii="宋体"/>
                <w:vanish/>
              </w:rPr>
            </w:pPr>
          </w:p>
        </w:tc>
        <w:tc>
          <w:tcPr>
            <w:tcW w:w="0" w:type="auto"/>
            <w:shd w:val="clear" w:color="auto" w:fill="auto"/>
            <w:vAlign w:val="bottom"/>
          </w:tcPr>
          <w:p w14:paraId="5F2D1941" w14:textId="77777777" w:rsidR="00E836FB" w:rsidRDefault="00E836FB">
            <w:pPr>
              <w:rPr>
                <w:rFonts w:ascii="宋体"/>
                <w:vanish/>
              </w:rPr>
            </w:pPr>
          </w:p>
        </w:tc>
      </w:tr>
      <w:tr w:rsidR="00E836FB" w14:paraId="5F2D1949" w14:textId="77777777">
        <w:tc>
          <w:tcPr>
            <w:tcW w:w="0" w:type="auto"/>
            <w:gridSpan w:val="3"/>
            <w:shd w:val="clear" w:color="auto" w:fill="auto"/>
            <w:tcMar>
              <w:top w:w="40" w:type="dxa"/>
              <w:left w:w="20" w:type="dxa"/>
              <w:bottom w:w="40" w:type="dxa"/>
              <w:right w:w="20" w:type="dxa"/>
            </w:tcMar>
            <w:vAlign w:val="bottom"/>
          </w:tcPr>
          <w:p w14:paraId="5F2D1943"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F2D1944"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D194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1946" w14:textId="77777777" w:rsidR="00E836FB" w:rsidRDefault="00994958">
            <w:pPr>
              <w:jc w:val="center"/>
              <w:textAlignment w:val="bottom"/>
            </w:pPr>
            <w:r>
              <w:rPr>
                <w:rFonts w:ascii="Arial" w:eastAsia="宋体" w:hAnsi="Arial" w:cs="Arial"/>
                <w:b/>
                <w:bCs/>
                <w:color w:val="000000"/>
                <w:sz w:val="15"/>
                <w:szCs w:val="15"/>
              </w:rPr>
              <w:t>December 31, 2020</w:t>
            </w:r>
          </w:p>
        </w:tc>
        <w:tc>
          <w:tcPr>
            <w:tcW w:w="0" w:type="auto"/>
            <w:shd w:val="clear" w:color="auto" w:fill="auto"/>
            <w:vAlign w:val="bottom"/>
          </w:tcPr>
          <w:p w14:paraId="5F2D1947" w14:textId="77777777" w:rsidR="00E836FB" w:rsidRDefault="00E836FB">
            <w:pPr>
              <w:rPr>
                <w:rFonts w:ascii="宋体"/>
                <w:vanish/>
              </w:rPr>
            </w:pPr>
          </w:p>
        </w:tc>
        <w:tc>
          <w:tcPr>
            <w:tcW w:w="0" w:type="auto"/>
            <w:shd w:val="clear" w:color="auto" w:fill="auto"/>
            <w:vAlign w:val="bottom"/>
          </w:tcPr>
          <w:p w14:paraId="5F2D1948" w14:textId="77777777" w:rsidR="00E836FB" w:rsidRDefault="00E836FB">
            <w:pPr>
              <w:rPr>
                <w:rFonts w:ascii="宋体"/>
                <w:vanish/>
              </w:rPr>
            </w:pPr>
          </w:p>
        </w:tc>
      </w:tr>
      <w:tr w:rsidR="00E836FB" w14:paraId="5F2D1950" w14:textId="77777777">
        <w:tc>
          <w:tcPr>
            <w:tcW w:w="0" w:type="auto"/>
            <w:gridSpan w:val="3"/>
            <w:shd w:val="clear" w:color="auto" w:fill="auto"/>
            <w:tcMar>
              <w:top w:w="40" w:type="dxa"/>
              <w:left w:w="20" w:type="dxa"/>
              <w:bottom w:w="40" w:type="dxa"/>
              <w:right w:w="20" w:type="dxa"/>
            </w:tcMar>
            <w:vAlign w:val="bottom"/>
          </w:tcPr>
          <w:p w14:paraId="5F2D194A" w14:textId="77777777" w:rsidR="00E836FB" w:rsidRDefault="00994958">
            <w:pP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94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94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94D" w14:textId="77777777" w:rsidR="00E836FB" w:rsidRDefault="00E836FB">
            <w:pPr>
              <w:rPr>
                <w:rFonts w:ascii="宋体"/>
              </w:rPr>
            </w:pPr>
          </w:p>
        </w:tc>
        <w:tc>
          <w:tcPr>
            <w:tcW w:w="0" w:type="auto"/>
            <w:shd w:val="clear" w:color="auto" w:fill="auto"/>
            <w:vAlign w:val="bottom"/>
          </w:tcPr>
          <w:p w14:paraId="5F2D194E" w14:textId="77777777" w:rsidR="00E836FB" w:rsidRDefault="00E836FB">
            <w:pPr>
              <w:rPr>
                <w:rFonts w:ascii="宋体"/>
                <w:vanish/>
              </w:rPr>
            </w:pPr>
          </w:p>
        </w:tc>
        <w:tc>
          <w:tcPr>
            <w:tcW w:w="0" w:type="auto"/>
            <w:shd w:val="clear" w:color="auto" w:fill="auto"/>
            <w:vAlign w:val="bottom"/>
          </w:tcPr>
          <w:p w14:paraId="5F2D194F" w14:textId="77777777" w:rsidR="00E836FB" w:rsidRDefault="00E836FB">
            <w:pPr>
              <w:rPr>
                <w:rFonts w:ascii="宋体"/>
                <w:vanish/>
              </w:rPr>
            </w:pPr>
          </w:p>
        </w:tc>
      </w:tr>
      <w:tr w:rsidR="00E836FB" w14:paraId="5F2D1957" w14:textId="77777777">
        <w:tc>
          <w:tcPr>
            <w:tcW w:w="0" w:type="auto"/>
            <w:gridSpan w:val="3"/>
            <w:shd w:val="clear" w:color="auto" w:fill="auto"/>
            <w:tcMar>
              <w:top w:w="40" w:type="dxa"/>
              <w:left w:w="155" w:type="dxa"/>
              <w:bottom w:w="40" w:type="dxa"/>
              <w:right w:w="20" w:type="dxa"/>
            </w:tcMar>
            <w:vAlign w:val="bottom"/>
          </w:tcPr>
          <w:p w14:paraId="5F2D1951" w14:textId="77777777" w:rsidR="00E836FB" w:rsidRDefault="00994958">
            <w:pPr>
              <w:textAlignment w:val="bottom"/>
            </w:pPr>
            <w:r>
              <w:rPr>
                <w:rFonts w:ascii="Arial" w:eastAsia="宋体" w:hAnsi="Arial" w:cs="Arial"/>
                <w:color w:val="000000"/>
                <w:sz w:val="15"/>
                <w:szCs w:val="15"/>
              </w:rPr>
              <w:t>Commercial and financial:</w:t>
            </w:r>
          </w:p>
        </w:tc>
        <w:tc>
          <w:tcPr>
            <w:tcW w:w="0" w:type="auto"/>
            <w:gridSpan w:val="3"/>
            <w:shd w:val="clear" w:color="auto" w:fill="auto"/>
            <w:tcMar>
              <w:top w:w="0" w:type="dxa"/>
              <w:left w:w="20" w:type="dxa"/>
              <w:bottom w:w="0" w:type="dxa"/>
              <w:right w:w="20" w:type="dxa"/>
            </w:tcMar>
            <w:vAlign w:val="bottom"/>
          </w:tcPr>
          <w:p w14:paraId="5F2D195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9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954" w14:textId="77777777" w:rsidR="00E836FB" w:rsidRDefault="00E836FB">
            <w:pPr>
              <w:rPr>
                <w:rFonts w:ascii="宋体"/>
              </w:rPr>
            </w:pPr>
          </w:p>
        </w:tc>
        <w:tc>
          <w:tcPr>
            <w:tcW w:w="0" w:type="auto"/>
            <w:shd w:val="clear" w:color="auto" w:fill="auto"/>
            <w:vAlign w:val="bottom"/>
          </w:tcPr>
          <w:p w14:paraId="5F2D1955" w14:textId="77777777" w:rsidR="00E836FB" w:rsidRDefault="00E836FB">
            <w:pPr>
              <w:rPr>
                <w:rFonts w:ascii="宋体"/>
                <w:vanish/>
              </w:rPr>
            </w:pPr>
          </w:p>
        </w:tc>
        <w:tc>
          <w:tcPr>
            <w:tcW w:w="0" w:type="auto"/>
            <w:shd w:val="clear" w:color="auto" w:fill="auto"/>
            <w:vAlign w:val="bottom"/>
          </w:tcPr>
          <w:p w14:paraId="5F2D1956" w14:textId="77777777" w:rsidR="00E836FB" w:rsidRDefault="00E836FB">
            <w:pPr>
              <w:rPr>
                <w:rFonts w:ascii="宋体"/>
                <w:vanish/>
              </w:rPr>
            </w:pPr>
          </w:p>
        </w:tc>
      </w:tr>
      <w:tr w:rsidR="00E836FB" w14:paraId="5F2D1962" w14:textId="77777777">
        <w:tc>
          <w:tcPr>
            <w:tcW w:w="0" w:type="auto"/>
            <w:gridSpan w:val="3"/>
            <w:shd w:val="clear" w:color="auto" w:fill="CCEEFF"/>
            <w:tcMar>
              <w:top w:w="40" w:type="dxa"/>
              <w:left w:w="20" w:type="dxa"/>
              <w:bottom w:w="40" w:type="dxa"/>
              <w:right w:w="20" w:type="dxa"/>
            </w:tcMar>
            <w:vAlign w:val="bottom"/>
          </w:tcPr>
          <w:p w14:paraId="5F2D1958" w14:textId="77777777" w:rsidR="00E836FB" w:rsidRDefault="00994958">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F2D195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195A" w14:textId="77777777" w:rsidR="00E836FB" w:rsidRDefault="00994958">
            <w:pPr>
              <w:jc w:val="right"/>
              <w:textAlignment w:val="bottom"/>
            </w:pPr>
            <w:r>
              <w:rPr>
                <w:rFonts w:ascii="Arial" w:eastAsia="宋体" w:hAnsi="Arial" w:cs="Arial"/>
                <w:b/>
                <w:bCs/>
                <w:color w:val="000000"/>
                <w:sz w:val="15"/>
                <w:szCs w:val="15"/>
              </w:rPr>
              <w:t>12,396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9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5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95D"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195E" w14:textId="77777777" w:rsidR="00E836FB" w:rsidRDefault="00994958">
            <w:pPr>
              <w:jc w:val="right"/>
              <w:textAlignment w:val="bottom"/>
            </w:pPr>
            <w:r>
              <w:rPr>
                <w:rFonts w:ascii="Arial" w:eastAsia="宋体" w:hAnsi="Arial" w:cs="Arial"/>
                <w:color w:val="000000"/>
                <w:sz w:val="15"/>
                <w:szCs w:val="15"/>
              </w:rPr>
              <w:t>11,531 </w:t>
            </w:r>
          </w:p>
        </w:tc>
        <w:tc>
          <w:tcPr>
            <w:tcW w:w="0" w:type="auto"/>
            <w:shd w:val="clear" w:color="auto" w:fill="CCEEFF"/>
            <w:tcMar>
              <w:top w:w="40" w:type="dxa"/>
              <w:left w:w="0" w:type="dxa"/>
              <w:bottom w:w="40" w:type="dxa"/>
              <w:right w:w="20" w:type="dxa"/>
            </w:tcMar>
            <w:vAlign w:val="bottom"/>
          </w:tcPr>
          <w:p w14:paraId="5F2D195F" w14:textId="77777777" w:rsidR="00E836FB" w:rsidRDefault="00E836FB">
            <w:pPr>
              <w:jc w:val="right"/>
              <w:rPr>
                <w:rFonts w:ascii="宋体"/>
              </w:rPr>
            </w:pPr>
          </w:p>
        </w:tc>
        <w:tc>
          <w:tcPr>
            <w:tcW w:w="0" w:type="auto"/>
            <w:shd w:val="clear" w:color="auto" w:fill="auto"/>
            <w:vAlign w:val="bottom"/>
          </w:tcPr>
          <w:p w14:paraId="5F2D1960" w14:textId="77777777" w:rsidR="00E836FB" w:rsidRDefault="00E836FB">
            <w:pPr>
              <w:rPr>
                <w:rFonts w:ascii="宋体"/>
                <w:vanish/>
              </w:rPr>
            </w:pPr>
          </w:p>
        </w:tc>
        <w:tc>
          <w:tcPr>
            <w:tcW w:w="0" w:type="auto"/>
            <w:shd w:val="clear" w:color="auto" w:fill="auto"/>
            <w:vAlign w:val="bottom"/>
          </w:tcPr>
          <w:p w14:paraId="5F2D1961" w14:textId="77777777" w:rsidR="00E836FB" w:rsidRDefault="00E836FB">
            <w:pPr>
              <w:rPr>
                <w:rFonts w:ascii="宋体"/>
                <w:vanish/>
              </w:rPr>
            </w:pPr>
          </w:p>
        </w:tc>
      </w:tr>
      <w:tr w:rsidR="00E836FB" w14:paraId="5F2D196B" w14:textId="77777777">
        <w:tc>
          <w:tcPr>
            <w:tcW w:w="0" w:type="auto"/>
            <w:gridSpan w:val="3"/>
            <w:shd w:val="clear" w:color="auto" w:fill="FFFFFF"/>
            <w:tcMar>
              <w:top w:w="40" w:type="dxa"/>
              <w:left w:w="245" w:type="dxa"/>
              <w:bottom w:w="40" w:type="dxa"/>
              <w:right w:w="20" w:type="dxa"/>
            </w:tcMar>
            <w:vAlign w:val="bottom"/>
          </w:tcPr>
          <w:p w14:paraId="5F2D1963" w14:textId="77777777" w:rsidR="00E836FB" w:rsidRDefault="00994958">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5F2D1964" w14:textId="77777777" w:rsidR="00E836FB" w:rsidRDefault="00994958">
            <w:pPr>
              <w:jc w:val="right"/>
              <w:textAlignment w:val="bottom"/>
            </w:pPr>
            <w:r>
              <w:rPr>
                <w:rFonts w:ascii="Arial" w:eastAsia="宋体" w:hAnsi="Arial" w:cs="Arial"/>
                <w:b/>
                <w:bCs/>
                <w:color w:val="000000"/>
                <w:sz w:val="15"/>
                <w:szCs w:val="15"/>
              </w:rPr>
              <w:t>3,106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9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9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967" w14:textId="77777777" w:rsidR="00E836FB" w:rsidRDefault="00994958">
            <w:pPr>
              <w:jc w:val="right"/>
              <w:textAlignment w:val="bottom"/>
            </w:pPr>
            <w:r>
              <w:rPr>
                <w:rFonts w:ascii="Arial" w:eastAsia="宋体" w:hAnsi="Arial" w:cs="Arial"/>
                <w:color w:val="000000"/>
                <w:sz w:val="15"/>
                <w:szCs w:val="15"/>
              </w:rPr>
              <w:t>2,923 </w:t>
            </w:r>
          </w:p>
        </w:tc>
        <w:tc>
          <w:tcPr>
            <w:tcW w:w="0" w:type="auto"/>
            <w:shd w:val="clear" w:color="auto" w:fill="FFFFFF"/>
            <w:tcMar>
              <w:top w:w="40" w:type="dxa"/>
              <w:left w:w="0" w:type="dxa"/>
              <w:bottom w:w="40" w:type="dxa"/>
              <w:right w:w="20" w:type="dxa"/>
            </w:tcMar>
            <w:vAlign w:val="bottom"/>
          </w:tcPr>
          <w:p w14:paraId="5F2D1968" w14:textId="77777777" w:rsidR="00E836FB" w:rsidRDefault="00E836FB">
            <w:pPr>
              <w:jc w:val="right"/>
              <w:rPr>
                <w:rFonts w:ascii="宋体"/>
              </w:rPr>
            </w:pPr>
          </w:p>
        </w:tc>
        <w:tc>
          <w:tcPr>
            <w:tcW w:w="0" w:type="auto"/>
            <w:shd w:val="clear" w:color="auto" w:fill="auto"/>
            <w:vAlign w:val="bottom"/>
          </w:tcPr>
          <w:p w14:paraId="5F2D1969" w14:textId="77777777" w:rsidR="00E836FB" w:rsidRDefault="00E836FB">
            <w:pPr>
              <w:rPr>
                <w:rFonts w:ascii="宋体"/>
                <w:vanish/>
              </w:rPr>
            </w:pPr>
          </w:p>
        </w:tc>
        <w:tc>
          <w:tcPr>
            <w:tcW w:w="0" w:type="auto"/>
            <w:shd w:val="clear" w:color="auto" w:fill="auto"/>
            <w:vAlign w:val="bottom"/>
          </w:tcPr>
          <w:p w14:paraId="5F2D196A" w14:textId="77777777" w:rsidR="00E836FB" w:rsidRDefault="00E836FB">
            <w:pPr>
              <w:rPr>
                <w:rFonts w:ascii="宋体"/>
                <w:vanish/>
              </w:rPr>
            </w:pPr>
          </w:p>
        </w:tc>
      </w:tr>
      <w:tr w:rsidR="00E836FB" w14:paraId="5F2D1974" w14:textId="77777777">
        <w:tc>
          <w:tcPr>
            <w:tcW w:w="0" w:type="auto"/>
            <w:gridSpan w:val="3"/>
            <w:shd w:val="clear" w:color="auto" w:fill="CCEEFF"/>
            <w:tcMar>
              <w:top w:w="40" w:type="dxa"/>
              <w:left w:w="245" w:type="dxa"/>
              <w:bottom w:w="40" w:type="dxa"/>
              <w:right w:w="20" w:type="dxa"/>
            </w:tcMar>
            <w:vAlign w:val="bottom"/>
          </w:tcPr>
          <w:p w14:paraId="5F2D196C" w14:textId="77777777" w:rsidR="00E836FB" w:rsidRDefault="00994958">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5F2D196D" w14:textId="77777777" w:rsidR="00E836FB" w:rsidRDefault="00994958">
            <w:pPr>
              <w:jc w:val="right"/>
              <w:textAlignment w:val="bottom"/>
            </w:pPr>
            <w:r>
              <w:rPr>
                <w:rFonts w:ascii="Arial" w:eastAsia="宋体" w:hAnsi="Arial" w:cs="Arial"/>
                <w:b/>
                <w:bCs/>
                <w:color w:val="000000"/>
                <w:sz w:val="15"/>
                <w:szCs w:val="15"/>
              </w:rPr>
              <w:t>1,796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9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6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970" w14:textId="77777777" w:rsidR="00E836FB" w:rsidRDefault="00994958">
            <w:pPr>
              <w:jc w:val="right"/>
              <w:textAlignment w:val="bottom"/>
            </w:pPr>
            <w:r>
              <w:rPr>
                <w:rFonts w:ascii="Arial" w:eastAsia="宋体" w:hAnsi="Arial" w:cs="Arial"/>
                <w:color w:val="000000"/>
                <w:sz w:val="15"/>
                <w:szCs w:val="15"/>
              </w:rPr>
              <w:t>1,894 </w:t>
            </w:r>
          </w:p>
        </w:tc>
        <w:tc>
          <w:tcPr>
            <w:tcW w:w="0" w:type="auto"/>
            <w:shd w:val="clear" w:color="auto" w:fill="CCEEFF"/>
            <w:tcMar>
              <w:top w:w="40" w:type="dxa"/>
              <w:left w:w="0" w:type="dxa"/>
              <w:bottom w:w="40" w:type="dxa"/>
              <w:right w:w="20" w:type="dxa"/>
            </w:tcMar>
            <w:vAlign w:val="bottom"/>
          </w:tcPr>
          <w:p w14:paraId="5F2D1971" w14:textId="77777777" w:rsidR="00E836FB" w:rsidRDefault="00E836FB">
            <w:pPr>
              <w:jc w:val="right"/>
              <w:rPr>
                <w:rFonts w:ascii="宋体"/>
              </w:rPr>
            </w:pPr>
          </w:p>
        </w:tc>
        <w:tc>
          <w:tcPr>
            <w:tcW w:w="0" w:type="auto"/>
            <w:shd w:val="clear" w:color="auto" w:fill="auto"/>
            <w:vAlign w:val="bottom"/>
          </w:tcPr>
          <w:p w14:paraId="5F2D1972" w14:textId="77777777" w:rsidR="00E836FB" w:rsidRDefault="00E836FB">
            <w:pPr>
              <w:rPr>
                <w:rFonts w:ascii="宋体"/>
                <w:vanish/>
              </w:rPr>
            </w:pPr>
          </w:p>
        </w:tc>
        <w:tc>
          <w:tcPr>
            <w:tcW w:w="0" w:type="auto"/>
            <w:shd w:val="clear" w:color="auto" w:fill="auto"/>
            <w:vAlign w:val="bottom"/>
          </w:tcPr>
          <w:p w14:paraId="5F2D1973" w14:textId="77777777" w:rsidR="00E836FB" w:rsidRDefault="00E836FB">
            <w:pPr>
              <w:rPr>
                <w:rFonts w:ascii="宋体"/>
                <w:vanish/>
              </w:rPr>
            </w:pPr>
          </w:p>
        </w:tc>
      </w:tr>
      <w:tr w:rsidR="00E836FB" w14:paraId="5F2D197D" w14:textId="77777777">
        <w:tc>
          <w:tcPr>
            <w:tcW w:w="0" w:type="auto"/>
            <w:gridSpan w:val="3"/>
            <w:shd w:val="clear" w:color="auto" w:fill="FFFFFF"/>
            <w:tcMar>
              <w:top w:w="40" w:type="dxa"/>
              <w:left w:w="20" w:type="dxa"/>
              <w:bottom w:w="40" w:type="dxa"/>
              <w:right w:w="20" w:type="dxa"/>
            </w:tcMar>
            <w:vAlign w:val="bottom"/>
          </w:tcPr>
          <w:p w14:paraId="5F2D1975" w14:textId="77777777" w:rsidR="00E836FB" w:rsidRDefault="00994958">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D1976" w14:textId="77777777" w:rsidR="00E836FB" w:rsidRDefault="00994958">
            <w:pPr>
              <w:jc w:val="right"/>
              <w:textAlignment w:val="bottom"/>
            </w:pPr>
            <w:r>
              <w:rPr>
                <w:rFonts w:ascii="Arial" w:eastAsia="宋体" w:hAnsi="Arial" w:cs="Arial"/>
                <w:b/>
                <w:bCs/>
                <w:color w:val="000000"/>
                <w:sz w:val="15"/>
                <w:szCs w:val="15"/>
              </w:rPr>
              <w:t>2,262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9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97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979" w14:textId="77777777" w:rsidR="00E836FB" w:rsidRDefault="00994958">
            <w:pPr>
              <w:jc w:val="right"/>
              <w:textAlignment w:val="bottom"/>
            </w:pPr>
            <w:r>
              <w:rPr>
                <w:rFonts w:ascii="Arial" w:eastAsia="宋体" w:hAnsi="Arial" w:cs="Arial"/>
                <w:color w:val="000000"/>
                <w:sz w:val="15"/>
                <w:szCs w:val="15"/>
              </w:rPr>
              <w:t>2,688 </w:t>
            </w:r>
          </w:p>
        </w:tc>
        <w:tc>
          <w:tcPr>
            <w:tcW w:w="0" w:type="auto"/>
            <w:shd w:val="clear" w:color="auto" w:fill="FFFFFF"/>
            <w:tcMar>
              <w:top w:w="40" w:type="dxa"/>
              <w:left w:w="0" w:type="dxa"/>
              <w:bottom w:w="40" w:type="dxa"/>
              <w:right w:w="20" w:type="dxa"/>
            </w:tcMar>
            <w:vAlign w:val="bottom"/>
          </w:tcPr>
          <w:p w14:paraId="5F2D197A" w14:textId="77777777" w:rsidR="00E836FB" w:rsidRDefault="00E836FB">
            <w:pPr>
              <w:jc w:val="right"/>
              <w:rPr>
                <w:rFonts w:ascii="宋体"/>
              </w:rPr>
            </w:pPr>
          </w:p>
        </w:tc>
        <w:tc>
          <w:tcPr>
            <w:tcW w:w="0" w:type="auto"/>
            <w:shd w:val="clear" w:color="auto" w:fill="auto"/>
            <w:vAlign w:val="bottom"/>
          </w:tcPr>
          <w:p w14:paraId="5F2D197B" w14:textId="77777777" w:rsidR="00E836FB" w:rsidRDefault="00E836FB">
            <w:pPr>
              <w:rPr>
                <w:rFonts w:ascii="宋体"/>
                <w:vanish/>
              </w:rPr>
            </w:pPr>
          </w:p>
        </w:tc>
        <w:tc>
          <w:tcPr>
            <w:tcW w:w="0" w:type="auto"/>
            <w:shd w:val="clear" w:color="auto" w:fill="auto"/>
            <w:vAlign w:val="bottom"/>
          </w:tcPr>
          <w:p w14:paraId="5F2D197C" w14:textId="77777777" w:rsidR="00E836FB" w:rsidRDefault="00E836FB">
            <w:pPr>
              <w:rPr>
                <w:rFonts w:ascii="宋体"/>
                <w:vanish/>
              </w:rPr>
            </w:pPr>
          </w:p>
        </w:tc>
      </w:tr>
      <w:tr w:rsidR="00E836FB" w14:paraId="5F2D1986" w14:textId="77777777">
        <w:tc>
          <w:tcPr>
            <w:tcW w:w="0" w:type="auto"/>
            <w:gridSpan w:val="3"/>
            <w:shd w:val="clear" w:color="auto" w:fill="CCEEFF"/>
            <w:tcMar>
              <w:top w:w="40" w:type="dxa"/>
              <w:left w:w="155" w:type="dxa"/>
              <w:bottom w:w="40" w:type="dxa"/>
              <w:right w:w="20" w:type="dxa"/>
            </w:tcMar>
            <w:vAlign w:val="bottom"/>
          </w:tcPr>
          <w:p w14:paraId="5F2D197E" w14:textId="77777777" w:rsidR="00E836FB" w:rsidRDefault="00994958">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5F2D197F" w14:textId="77777777" w:rsidR="00E836FB" w:rsidRDefault="00994958">
            <w:pPr>
              <w:jc w:val="right"/>
              <w:textAlignment w:val="bottom"/>
            </w:pPr>
            <w:r>
              <w:rPr>
                <w:rFonts w:ascii="Arial" w:eastAsia="宋体" w:hAnsi="Arial" w:cs="Arial"/>
                <w:b/>
                <w:bCs/>
                <w:color w:val="000000"/>
                <w:sz w:val="15"/>
                <w:szCs w:val="15"/>
              </w:rPr>
              <w:t>2,554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9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8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982" w14:textId="77777777" w:rsidR="00E836FB" w:rsidRDefault="00994958">
            <w:pPr>
              <w:jc w:val="right"/>
              <w:textAlignment w:val="bottom"/>
            </w:pPr>
            <w:r>
              <w:rPr>
                <w:rFonts w:ascii="Arial" w:eastAsia="宋体" w:hAnsi="Arial" w:cs="Arial"/>
                <w:color w:val="000000"/>
                <w:sz w:val="15"/>
                <w:szCs w:val="15"/>
              </w:rPr>
              <w:t>2,096 </w:t>
            </w:r>
          </w:p>
        </w:tc>
        <w:tc>
          <w:tcPr>
            <w:tcW w:w="0" w:type="auto"/>
            <w:shd w:val="clear" w:color="auto" w:fill="CCEEFF"/>
            <w:tcMar>
              <w:top w:w="40" w:type="dxa"/>
              <w:left w:w="0" w:type="dxa"/>
              <w:bottom w:w="40" w:type="dxa"/>
              <w:right w:w="20" w:type="dxa"/>
            </w:tcMar>
            <w:vAlign w:val="bottom"/>
          </w:tcPr>
          <w:p w14:paraId="5F2D1983" w14:textId="77777777" w:rsidR="00E836FB" w:rsidRDefault="00E836FB">
            <w:pPr>
              <w:jc w:val="right"/>
              <w:rPr>
                <w:rFonts w:ascii="宋体"/>
              </w:rPr>
            </w:pPr>
          </w:p>
        </w:tc>
        <w:tc>
          <w:tcPr>
            <w:tcW w:w="0" w:type="auto"/>
            <w:shd w:val="clear" w:color="auto" w:fill="auto"/>
            <w:vAlign w:val="bottom"/>
          </w:tcPr>
          <w:p w14:paraId="5F2D1984" w14:textId="77777777" w:rsidR="00E836FB" w:rsidRDefault="00E836FB">
            <w:pPr>
              <w:rPr>
                <w:rFonts w:ascii="宋体"/>
                <w:vanish/>
              </w:rPr>
            </w:pPr>
          </w:p>
        </w:tc>
        <w:tc>
          <w:tcPr>
            <w:tcW w:w="0" w:type="auto"/>
            <w:shd w:val="clear" w:color="auto" w:fill="auto"/>
            <w:vAlign w:val="bottom"/>
          </w:tcPr>
          <w:p w14:paraId="5F2D1985" w14:textId="77777777" w:rsidR="00E836FB" w:rsidRDefault="00E836FB">
            <w:pPr>
              <w:rPr>
                <w:rFonts w:ascii="宋体"/>
                <w:vanish/>
              </w:rPr>
            </w:pPr>
          </w:p>
        </w:tc>
      </w:tr>
      <w:tr w:rsidR="00E836FB" w14:paraId="5F2D198D" w14:textId="77777777">
        <w:trPr>
          <w:hidden/>
        </w:trPr>
        <w:tc>
          <w:tcPr>
            <w:tcW w:w="0" w:type="auto"/>
            <w:gridSpan w:val="3"/>
            <w:shd w:val="clear" w:color="auto" w:fill="auto"/>
            <w:vAlign w:val="bottom"/>
          </w:tcPr>
          <w:p w14:paraId="5F2D1987" w14:textId="77777777" w:rsidR="00E836FB" w:rsidRDefault="00E836FB">
            <w:pPr>
              <w:rPr>
                <w:rFonts w:ascii="宋体"/>
                <w:vanish/>
              </w:rPr>
            </w:pPr>
          </w:p>
        </w:tc>
        <w:tc>
          <w:tcPr>
            <w:tcW w:w="0" w:type="auto"/>
            <w:gridSpan w:val="3"/>
            <w:shd w:val="clear" w:color="auto" w:fill="auto"/>
            <w:vAlign w:val="bottom"/>
          </w:tcPr>
          <w:p w14:paraId="5F2D1988" w14:textId="77777777" w:rsidR="00E836FB" w:rsidRDefault="00E836FB">
            <w:pPr>
              <w:rPr>
                <w:rFonts w:ascii="宋体"/>
                <w:vanish/>
              </w:rPr>
            </w:pPr>
          </w:p>
        </w:tc>
        <w:tc>
          <w:tcPr>
            <w:tcW w:w="0" w:type="auto"/>
            <w:gridSpan w:val="3"/>
            <w:shd w:val="clear" w:color="auto" w:fill="auto"/>
            <w:vAlign w:val="bottom"/>
          </w:tcPr>
          <w:p w14:paraId="5F2D1989" w14:textId="77777777" w:rsidR="00E836FB" w:rsidRDefault="00E836FB">
            <w:pPr>
              <w:rPr>
                <w:rFonts w:ascii="宋体"/>
                <w:vanish/>
              </w:rPr>
            </w:pPr>
          </w:p>
        </w:tc>
        <w:tc>
          <w:tcPr>
            <w:tcW w:w="0" w:type="auto"/>
            <w:gridSpan w:val="3"/>
            <w:shd w:val="clear" w:color="auto" w:fill="auto"/>
            <w:vAlign w:val="bottom"/>
          </w:tcPr>
          <w:p w14:paraId="5F2D198A" w14:textId="77777777" w:rsidR="00E836FB" w:rsidRDefault="00E836FB">
            <w:pPr>
              <w:rPr>
                <w:rFonts w:ascii="宋体"/>
                <w:vanish/>
              </w:rPr>
            </w:pPr>
          </w:p>
        </w:tc>
        <w:tc>
          <w:tcPr>
            <w:tcW w:w="0" w:type="auto"/>
            <w:shd w:val="clear" w:color="auto" w:fill="auto"/>
            <w:vAlign w:val="bottom"/>
          </w:tcPr>
          <w:p w14:paraId="5F2D198B" w14:textId="77777777" w:rsidR="00E836FB" w:rsidRDefault="00E836FB">
            <w:pPr>
              <w:rPr>
                <w:rFonts w:ascii="宋体"/>
                <w:vanish/>
              </w:rPr>
            </w:pPr>
          </w:p>
        </w:tc>
        <w:tc>
          <w:tcPr>
            <w:tcW w:w="0" w:type="auto"/>
            <w:shd w:val="clear" w:color="auto" w:fill="auto"/>
            <w:vAlign w:val="bottom"/>
          </w:tcPr>
          <w:p w14:paraId="5F2D198C" w14:textId="77777777" w:rsidR="00E836FB" w:rsidRDefault="00E836FB">
            <w:pPr>
              <w:rPr>
                <w:rFonts w:ascii="宋体"/>
                <w:vanish/>
              </w:rPr>
            </w:pPr>
          </w:p>
        </w:tc>
      </w:tr>
      <w:tr w:rsidR="00E836FB" w14:paraId="5F2D1996" w14:textId="77777777">
        <w:tc>
          <w:tcPr>
            <w:tcW w:w="0" w:type="auto"/>
            <w:gridSpan w:val="3"/>
            <w:shd w:val="clear" w:color="auto" w:fill="FFFFFF"/>
            <w:tcMar>
              <w:top w:w="40" w:type="dxa"/>
              <w:left w:w="245" w:type="dxa"/>
              <w:bottom w:w="40" w:type="dxa"/>
              <w:right w:w="20" w:type="dxa"/>
            </w:tcMar>
            <w:vAlign w:val="bottom"/>
          </w:tcPr>
          <w:p w14:paraId="5F2D198E" w14:textId="77777777" w:rsidR="00E836FB" w:rsidRDefault="00994958">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98F" w14:textId="77777777" w:rsidR="00E836FB" w:rsidRDefault="00994958">
            <w:pPr>
              <w:jc w:val="right"/>
              <w:textAlignment w:val="bottom"/>
            </w:pPr>
            <w:r>
              <w:rPr>
                <w:rFonts w:ascii="Arial" w:eastAsia="宋体" w:hAnsi="Arial" w:cs="Arial"/>
                <w:b/>
                <w:bCs/>
                <w:color w:val="000000"/>
                <w:sz w:val="15"/>
                <w:szCs w:val="15"/>
              </w:rPr>
              <w:t>22,114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99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99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992" w14:textId="77777777" w:rsidR="00E836FB" w:rsidRDefault="00994958">
            <w:pPr>
              <w:jc w:val="right"/>
              <w:textAlignment w:val="bottom"/>
            </w:pPr>
            <w:r>
              <w:rPr>
                <w:rFonts w:ascii="Arial" w:eastAsia="宋体" w:hAnsi="Arial" w:cs="Arial"/>
                <w:color w:val="000000"/>
                <w:sz w:val="15"/>
                <w:szCs w:val="15"/>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993" w14:textId="77777777" w:rsidR="00E836FB" w:rsidRDefault="00E836FB">
            <w:pPr>
              <w:jc w:val="right"/>
              <w:rPr>
                <w:rFonts w:ascii="宋体"/>
              </w:rPr>
            </w:pPr>
          </w:p>
        </w:tc>
        <w:tc>
          <w:tcPr>
            <w:tcW w:w="0" w:type="auto"/>
            <w:shd w:val="clear" w:color="auto" w:fill="auto"/>
            <w:vAlign w:val="bottom"/>
          </w:tcPr>
          <w:p w14:paraId="5F2D1994" w14:textId="77777777" w:rsidR="00E836FB" w:rsidRDefault="00E836FB">
            <w:pPr>
              <w:rPr>
                <w:rFonts w:ascii="宋体"/>
                <w:vanish/>
              </w:rPr>
            </w:pPr>
          </w:p>
        </w:tc>
        <w:tc>
          <w:tcPr>
            <w:tcW w:w="0" w:type="auto"/>
            <w:shd w:val="clear" w:color="auto" w:fill="auto"/>
            <w:vAlign w:val="bottom"/>
          </w:tcPr>
          <w:p w14:paraId="5F2D1995" w14:textId="77777777" w:rsidR="00E836FB" w:rsidRDefault="00E836FB">
            <w:pPr>
              <w:rPr>
                <w:rFonts w:ascii="宋体"/>
                <w:vanish/>
              </w:rPr>
            </w:pPr>
          </w:p>
        </w:tc>
      </w:tr>
      <w:tr w:rsidR="00E836FB" w14:paraId="5F2D199D" w14:textId="77777777">
        <w:tc>
          <w:tcPr>
            <w:tcW w:w="0" w:type="auto"/>
            <w:gridSpan w:val="3"/>
            <w:shd w:val="clear" w:color="auto" w:fill="CCEEFF"/>
            <w:tcMar>
              <w:top w:w="40" w:type="dxa"/>
              <w:left w:w="20" w:type="dxa"/>
              <w:bottom w:w="40" w:type="dxa"/>
              <w:right w:w="20" w:type="dxa"/>
            </w:tcMar>
            <w:vAlign w:val="bottom"/>
          </w:tcPr>
          <w:p w14:paraId="5F2D1997" w14:textId="77777777" w:rsidR="00E836FB" w:rsidRDefault="00994958">
            <w:pP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99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999"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199A" w14:textId="77777777" w:rsidR="00E836FB" w:rsidRDefault="00E836FB">
            <w:pPr>
              <w:rPr>
                <w:rFonts w:ascii="宋体"/>
              </w:rPr>
            </w:pPr>
          </w:p>
        </w:tc>
        <w:tc>
          <w:tcPr>
            <w:tcW w:w="0" w:type="auto"/>
            <w:shd w:val="clear" w:color="auto" w:fill="auto"/>
            <w:vAlign w:val="bottom"/>
          </w:tcPr>
          <w:p w14:paraId="5F2D199B" w14:textId="77777777" w:rsidR="00E836FB" w:rsidRDefault="00E836FB">
            <w:pPr>
              <w:rPr>
                <w:rFonts w:ascii="宋体"/>
                <w:vanish/>
              </w:rPr>
            </w:pPr>
          </w:p>
        </w:tc>
        <w:tc>
          <w:tcPr>
            <w:tcW w:w="0" w:type="auto"/>
            <w:shd w:val="clear" w:color="auto" w:fill="auto"/>
            <w:vAlign w:val="bottom"/>
          </w:tcPr>
          <w:p w14:paraId="5F2D199C" w14:textId="77777777" w:rsidR="00E836FB" w:rsidRDefault="00E836FB">
            <w:pPr>
              <w:rPr>
                <w:rFonts w:ascii="宋体"/>
                <w:vanish/>
              </w:rPr>
            </w:pPr>
          </w:p>
        </w:tc>
      </w:tr>
      <w:tr w:rsidR="00E836FB" w14:paraId="5F2D19A4" w14:textId="77777777">
        <w:tc>
          <w:tcPr>
            <w:tcW w:w="0" w:type="auto"/>
            <w:gridSpan w:val="3"/>
            <w:shd w:val="clear" w:color="auto" w:fill="FFFFFF"/>
            <w:tcMar>
              <w:top w:w="40" w:type="dxa"/>
              <w:left w:w="155" w:type="dxa"/>
              <w:bottom w:w="40" w:type="dxa"/>
              <w:right w:w="20" w:type="dxa"/>
            </w:tcMar>
            <w:vAlign w:val="bottom"/>
          </w:tcPr>
          <w:p w14:paraId="5F2D199E" w14:textId="77777777" w:rsidR="00E836FB" w:rsidRDefault="00994958">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vAlign w:val="bottom"/>
          </w:tcPr>
          <w:p w14:paraId="5F2D199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9A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19A1" w14:textId="77777777" w:rsidR="00E836FB" w:rsidRDefault="00E836FB">
            <w:pPr>
              <w:rPr>
                <w:rFonts w:ascii="宋体"/>
              </w:rPr>
            </w:pPr>
          </w:p>
        </w:tc>
        <w:tc>
          <w:tcPr>
            <w:tcW w:w="0" w:type="auto"/>
            <w:shd w:val="clear" w:color="auto" w:fill="auto"/>
            <w:vAlign w:val="bottom"/>
          </w:tcPr>
          <w:p w14:paraId="5F2D19A2" w14:textId="77777777" w:rsidR="00E836FB" w:rsidRDefault="00E836FB">
            <w:pPr>
              <w:rPr>
                <w:rFonts w:ascii="宋体"/>
                <w:vanish/>
              </w:rPr>
            </w:pPr>
          </w:p>
        </w:tc>
        <w:tc>
          <w:tcPr>
            <w:tcW w:w="0" w:type="auto"/>
            <w:shd w:val="clear" w:color="auto" w:fill="auto"/>
            <w:vAlign w:val="bottom"/>
          </w:tcPr>
          <w:p w14:paraId="5F2D19A3" w14:textId="77777777" w:rsidR="00E836FB" w:rsidRDefault="00E836FB">
            <w:pPr>
              <w:rPr>
                <w:rFonts w:ascii="宋体"/>
                <w:vanish/>
              </w:rPr>
            </w:pPr>
          </w:p>
        </w:tc>
      </w:tr>
      <w:tr w:rsidR="00E836FB" w14:paraId="5F2D19AD" w14:textId="77777777">
        <w:tc>
          <w:tcPr>
            <w:tcW w:w="0" w:type="auto"/>
            <w:gridSpan w:val="3"/>
            <w:shd w:val="clear" w:color="auto" w:fill="CCEEFF"/>
            <w:tcMar>
              <w:top w:w="40" w:type="dxa"/>
              <w:left w:w="20" w:type="dxa"/>
              <w:bottom w:w="40" w:type="dxa"/>
              <w:right w:w="20" w:type="dxa"/>
            </w:tcMar>
            <w:vAlign w:val="bottom"/>
          </w:tcPr>
          <w:p w14:paraId="5F2D19A5" w14:textId="77777777" w:rsidR="00E836FB" w:rsidRDefault="00994958">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D19A6" w14:textId="77777777" w:rsidR="00E836FB" w:rsidRDefault="00994958">
            <w:pPr>
              <w:jc w:val="right"/>
              <w:textAlignment w:val="bottom"/>
            </w:pPr>
            <w:r>
              <w:rPr>
                <w:rFonts w:ascii="Arial" w:eastAsia="宋体" w:hAnsi="Arial" w:cs="Arial"/>
                <w:b/>
                <w:bCs/>
                <w:color w:val="000000"/>
                <w:sz w:val="15"/>
                <w:szCs w:val="15"/>
              </w:rPr>
              <w:t>7,778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9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9A9" w14:textId="77777777" w:rsidR="00E836FB" w:rsidRDefault="00994958">
            <w:pPr>
              <w:jc w:val="right"/>
              <w:textAlignment w:val="bottom"/>
            </w:pPr>
            <w:r>
              <w:rPr>
                <w:rFonts w:ascii="Arial" w:eastAsia="宋体" w:hAnsi="Arial" w:cs="Arial"/>
                <w:color w:val="000000"/>
                <w:sz w:val="15"/>
                <w:szCs w:val="15"/>
              </w:rPr>
              <w:t>4,432 </w:t>
            </w:r>
          </w:p>
        </w:tc>
        <w:tc>
          <w:tcPr>
            <w:tcW w:w="0" w:type="auto"/>
            <w:shd w:val="clear" w:color="auto" w:fill="CCEEFF"/>
            <w:tcMar>
              <w:top w:w="40" w:type="dxa"/>
              <w:left w:w="0" w:type="dxa"/>
              <w:bottom w:w="40" w:type="dxa"/>
              <w:right w:w="20" w:type="dxa"/>
            </w:tcMar>
            <w:vAlign w:val="bottom"/>
          </w:tcPr>
          <w:p w14:paraId="5F2D19AA" w14:textId="77777777" w:rsidR="00E836FB" w:rsidRDefault="00E836FB">
            <w:pPr>
              <w:jc w:val="right"/>
              <w:rPr>
                <w:rFonts w:ascii="宋体"/>
              </w:rPr>
            </w:pPr>
          </w:p>
        </w:tc>
        <w:tc>
          <w:tcPr>
            <w:tcW w:w="0" w:type="auto"/>
            <w:shd w:val="clear" w:color="auto" w:fill="auto"/>
            <w:vAlign w:val="bottom"/>
          </w:tcPr>
          <w:p w14:paraId="5F2D19AB" w14:textId="77777777" w:rsidR="00E836FB" w:rsidRDefault="00E836FB">
            <w:pPr>
              <w:rPr>
                <w:rFonts w:ascii="宋体"/>
                <w:vanish/>
              </w:rPr>
            </w:pPr>
          </w:p>
        </w:tc>
        <w:tc>
          <w:tcPr>
            <w:tcW w:w="0" w:type="auto"/>
            <w:shd w:val="clear" w:color="auto" w:fill="auto"/>
            <w:vAlign w:val="bottom"/>
          </w:tcPr>
          <w:p w14:paraId="5F2D19AC" w14:textId="77777777" w:rsidR="00E836FB" w:rsidRDefault="00E836FB">
            <w:pPr>
              <w:rPr>
                <w:rFonts w:ascii="宋体"/>
                <w:vanish/>
              </w:rPr>
            </w:pPr>
          </w:p>
        </w:tc>
      </w:tr>
      <w:tr w:rsidR="00E836FB" w14:paraId="5F2D19B6" w14:textId="77777777">
        <w:tc>
          <w:tcPr>
            <w:tcW w:w="0" w:type="auto"/>
            <w:gridSpan w:val="3"/>
            <w:shd w:val="clear" w:color="auto" w:fill="FFFFFF"/>
            <w:tcMar>
              <w:top w:w="40" w:type="dxa"/>
              <w:left w:w="245" w:type="dxa"/>
              <w:bottom w:w="40" w:type="dxa"/>
              <w:right w:w="20" w:type="dxa"/>
            </w:tcMar>
            <w:vAlign w:val="bottom"/>
          </w:tcPr>
          <w:p w14:paraId="5F2D19AE" w14:textId="77777777" w:rsidR="00E836FB" w:rsidRDefault="00994958">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5F2D19AF" w14:textId="77777777" w:rsidR="00E836FB" w:rsidRDefault="00994958">
            <w:pPr>
              <w:jc w:val="right"/>
              <w:textAlignment w:val="bottom"/>
            </w:pPr>
            <w:r>
              <w:rPr>
                <w:rFonts w:ascii="Arial" w:eastAsia="宋体" w:hAnsi="Arial" w:cs="Arial"/>
                <w:b/>
                <w:bCs/>
                <w:color w:val="000000"/>
                <w:sz w:val="15"/>
                <w:szCs w:val="15"/>
              </w:rPr>
              <w:t>1,328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9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9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9B2" w14:textId="77777777" w:rsidR="00E836FB" w:rsidRDefault="00994958">
            <w:pPr>
              <w:jc w:val="right"/>
              <w:textAlignment w:val="bottom"/>
            </w:pPr>
            <w:r>
              <w:rPr>
                <w:rFonts w:ascii="Arial" w:eastAsia="宋体" w:hAnsi="Arial" w:cs="Arial"/>
                <w:color w:val="000000"/>
                <w:sz w:val="15"/>
                <w:szCs w:val="15"/>
              </w:rPr>
              <w:t>1,242 </w:t>
            </w:r>
          </w:p>
        </w:tc>
        <w:tc>
          <w:tcPr>
            <w:tcW w:w="0" w:type="auto"/>
            <w:shd w:val="clear" w:color="auto" w:fill="FFFFFF"/>
            <w:tcMar>
              <w:top w:w="40" w:type="dxa"/>
              <w:left w:w="0" w:type="dxa"/>
              <w:bottom w:w="40" w:type="dxa"/>
              <w:right w:w="20" w:type="dxa"/>
            </w:tcMar>
            <w:vAlign w:val="bottom"/>
          </w:tcPr>
          <w:p w14:paraId="5F2D19B3" w14:textId="77777777" w:rsidR="00E836FB" w:rsidRDefault="00E836FB">
            <w:pPr>
              <w:jc w:val="right"/>
              <w:rPr>
                <w:rFonts w:ascii="宋体"/>
              </w:rPr>
            </w:pPr>
          </w:p>
        </w:tc>
        <w:tc>
          <w:tcPr>
            <w:tcW w:w="0" w:type="auto"/>
            <w:shd w:val="clear" w:color="auto" w:fill="auto"/>
            <w:vAlign w:val="bottom"/>
          </w:tcPr>
          <w:p w14:paraId="5F2D19B4" w14:textId="77777777" w:rsidR="00E836FB" w:rsidRDefault="00E836FB">
            <w:pPr>
              <w:rPr>
                <w:rFonts w:ascii="宋体"/>
                <w:vanish/>
              </w:rPr>
            </w:pPr>
          </w:p>
        </w:tc>
        <w:tc>
          <w:tcPr>
            <w:tcW w:w="0" w:type="auto"/>
            <w:shd w:val="clear" w:color="auto" w:fill="auto"/>
            <w:vAlign w:val="bottom"/>
          </w:tcPr>
          <w:p w14:paraId="5F2D19B5" w14:textId="77777777" w:rsidR="00E836FB" w:rsidRDefault="00E836FB">
            <w:pPr>
              <w:rPr>
                <w:rFonts w:ascii="宋体"/>
                <w:vanish/>
              </w:rPr>
            </w:pPr>
          </w:p>
        </w:tc>
      </w:tr>
      <w:tr w:rsidR="00E836FB" w14:paraId="5F2D19BF" w14:textId="77777777">
        <w:tc>
          <w:tcPr>
            <w:tcW w:w="0" w:type="auto"/>
            <w:gridSpan w:val="3"/>
            <w:shd w:val="clear" w:color="auto" w:fill="CCEEFF"/>
            <w:tcMar>
              <w:top w:w="40" w:type="dxa"/>
              <w:left w:w="245" w:type="dxa"/>
              <w:bottom w:w="40" w:type="dxa"/>
              <w:right w:w="20" w:type="dxa"/>
            </w:tcMar>
            <w:vAlign w:val="bottom"/>
          </w:tcPr>
          <w:p w14:paraId="5F2D19B7" w14:textId="77777777" w:rsidR="00E836FB" w:rsidRDefault="00994958">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5F2D19B8" w14:textId="77777777" w:rsidR="00E836FB" w:rsidRDefault="00994958">
            <w:pPr>
              <w:jc w:val="right"/>
              <w:textAlignment w:val="bottom"/>
            </w:pPr>
            <w:r>
              <w:rPr>
                <w:rFonts w:ascii="Arial" w:eastAsia="宋体" w:hAnsi="Arial" w:cs="Arial"/>
                <w:b/>
                <w:bCs/>
                <w:color w:val="000000"/>
                <w:sz w:val="15"/>
                <w:szCs w:val="15"/>
              </w:rPr>
              <w:t>1,312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19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B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9BB" w14:textId="77777777" w:rsidR="00E836FB" w:rsidRDefault="00994958">
            <w:pPr>
              <w:jc w:val="right"/>
              <w:textAlignment w:val="bottom"/>
            </w:pPr>
            <w:r>
              <w:rPr>
                <w:rFonts w:ascii="Arial" w:eastAsia="宋体" w:hAnsi="Arial" w:cs="Arial"/>
                <w:color w:val="000000"/>
                <w:sz w:val="15"/>
                <w:szCs w:val="15"/>
              </w:rPr>
              <w:t>1,088 </w:t>
            </w:r>
          </w:p>
        </w:tc>
        <w:tc>
          <w:tcPr>
            <w:tcW w:w="0" w:type="auto"/>
            <w:shd w:val="clear" w:color="auto" w:fill="CCEEFF"/>
            <w:tcMar>
              <w:top w:w="40" w:type="dxa"/>
              <w:left w:w="0" w:type="dxa"/>
              <w:bottom w:w="40" w:type="dxa"/>
              <w:right w:w="20" w:type="dxa"/>
            </w:tcMar>
            <w:vAlign w:val="bottom"/>
          </w:tcPr>
          <w:p w14:paraId="5F2D19BC" w14:textId="77777777" w:rsidR="00E836FB" w:rsidRDefault="00E836FB">
            <w:pPr>
              <w:jc w:val="right"/>
              <w:rPr>
                <w:rFonts w:ascii="宋体"/>
              </w:rPr>
            </w:pPr>
          </w:p>
        </w:tc>
        <w:tc>
          <w:tcPr>
            <w:tcW w:w="0" w:type="auto"/>
            <w:shd w:val="clear" w:color="auto" w:fill="auto"/>
            <w:vAlign w:val="bottom"/>
          </w:tcPr>
          <w:p w14:paraId="5F2D19BD" w14:textId="77777777" w:rsidR="00E836FB" w:rsidRDefault="00E836FB">
            <w:pPr>
              <w:rPr>
                <w:rFonts w:ascii="宋体"/>
                <w:vanish/>
              </w:rPr>
            </w:pPr>
          </w:p>
        </w:tc>
        <w:tc>
          <w:tcPr>
            <w:tcW w:w="0" w:type="auto"/>
            <w:shd w:val="clear" w:color="auto" w:fill="auto"/>
            <w:vAlign w:val="bottom"/>
          </w:tcPr>
          <w:p w14:paraId="5F2D19BE" w14:textId="77777777" w:rsidR="00E836FB" w:rsidRDefault="00E836FB">
            <w:pPr>
              <w:rPr>
                <w:rFonts w:ascii="宋体"/>
                <w:vanish/>
              </w:rPr>
            </w:pPr>
          </w:p>
        </w:tc>
      </w:tr>
      <w:tr w:rsidR="00E836FB" w14:paraId="5F2D19C8" w14:textId="77777777">
        <w:tc>
          <w:tcPr>
            <w:tcW w:w="0" w:type="auto"/>
            <w:gridSpan w:val="3"/>
            <w:shd w:val="clear" w:color="auto" w:fill="FFFFFF"/>
            <w:tcMar>
              <w:top w:w="40" w:type="dxa"/>
              <w:left w:w="20" w:type="dxa"/>
              <w:bottom w:w="40" w:type="dxa"/>
              <w:right w:w="20" w:type="dxa"/>
            </w:tcMar>
            <w:vAlign w:val="bottom"/>
          </w:tcPr>
          <w:p w14:paraId="5F2D19C0" w14:textId="77777777" w:rsidR="00E836FB" w:rsidRDefault="00994958">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F2D19C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19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9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9C4" w14:textId="77777777" w:rsidR="00E836FB" w:rsidRDefault="00994958">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5F2D19C5" w14:textId="77777777" w:rsidR="00E836FB" w:rsidRDefault="00E836FB">
            <w:pPr>
              <w:jc w:val="right"/>
              <w:rPr>
                <w:rFonts w:ascii="宋体"/>
              </w:rPr>
            </w:pPr>
          </w:p>
        </w:tc>
        <w:tc>
          <w:tcPr>
            <w:tcW w:w="0" w:type="auto"/>
            <w:shd w:val="clear" w:color="auto" w:fill="auto"/>
            <w:vAlign w:val="bottom"/>
          </w:tcPr>
          <w:p w14:paraId="5F2D19C6" w14:textId="77777777" w:rsidR="00E836FB" w:rsidRDefault="00E836FB">
            <w:pPr>
              <w:rPr>
                <w:rFonts w:ascii="宋体"/>
                <w:vanish/>
              </w:rPr>
            </w:pPr>
          </w:p>
        </w:tc>
        <w:tc>
          <w:tcPr>
            <w:tcW w:w="0" w:type="auto"/>
            <w:shd w:val="clear" w:color="auto" w:fill="auto"/>
            <w:vAlign w:val="bottom"/>
          </w:tcPr>
          <w:p w14:paraId="5F2D19C7" w14:textId="77777777" w:rsidR="00E836FB" w:rsidRDefault="00E836FB">
            <w:pPr>
              <w:rPr>
                <w:rFonts w:ascii="宋体"/>
                <w:vanish/>
              </w:rPr>
            </w:pPr>
          </w:p>
        </w:tc>
      </w:tr>
      <w:tr w:rsidR="00E836FB" w14:paraId="5F2D19CF" w14:textId="77777777">
        <w:trPr>
          <w:hidden/>
        </w:trPr>
        <w:tc>
          <w:tcPr>
            <w:tcW w:w="0" w:type="auto"/>
            <w:gridSpan w:val="3"/>
            <w:shd w:val="clear" w:color="auto" w:fill="auto"/>
            <w:vAlign w:val="bottom"/>
          </w:tcPr>
          <w:p w14:paraId="5F2D19C9" w14:textId="77777777" w:rsidR="00E836FB" w:rsidRDefault="00E836FB">
            <w:pPr>
              <w:rPr>
                <w:rFonts w:ascii="宋体"/>
                <w:vanish/>
              </w:rPr>
            </w:pPr>
          </w:p>
        </w:tc>
        <w:tc>
          <w:tcPr>
            <w:tcW w:w="0" w:type="auto"/>
            <w:gridSpan w:val="3"/>
            <w:shd w:val="clear" w:color="auto" w:fill="auto"/>
            <w:vAlign w:val="bottom"/>
          </w:tcPr>
          <w:p w14:paraId="5F2D19CA" w14:textId="77777777" w:rsidR="00E836FB" w:rsidRDefault="00E836FB">
            <w:pPr>
              <w:rPr>
                <w:rFonts w:ascii="宋体"/>
                <w:vanish/>
              </w:rPr>
            </w:pPr>
          </w:p>
        </w:tc>
        <w:tc>
          <w:tcPr>
            <w:tcW w:w="0" w:type="auto"/>
            <w:gridSpan w:val="3"/>
            <w:shd w:val="clear" w:color="auto" w:fill="auto"/>
            <w:vAlign w:val="bottom"/>
          </w:tcPr>
          <w:p w14:paraId="5F2D19CB" w14:textId="77777777" w:rsidR="00E836FB" w:rsidRDefault="00E836FB">
            <w:pPr>
              <w:rPr>
                <w:rFonts w:ascii="宋体"/>
                <w:vanish/>
              </w:rPr>
            </w:pPr>
          </w:p>
        </w:tc>
        <w:tc>
          <w:tcPr>
            <w:tcW w:w="0" w:type="auto"/>
            <w:gridSpan w:val="3"/>
            <w:shd w:val="clear" w:color="auto" w:fill="auto"/>
            <w:vAlign w:val="bottom"/>
          </w:tcPr>
          <w:p w14:paraId="5F2D19CC" w14:textId="77777777" w:rsidR="00E836FB" w:rsidRDefault="00E836FB">
            <w:pPr>
              <w:rPr>
                <w:rFonts w:ascii="宋体"/>
                <w:vanish/>
              </w:rPr>
            </w:pPr>
          </w:p>
        </w:tc>
        <w:tc>
          <w:tcPr>
            <w:tcW w:w="0" w:type="auto"/>
            <w:shd w:val="clear" w:color="auto" w:fill="auto"/>
            <w:vAlign w:val="bottom"/>
          </w:tcPr>
          <w:p w14:paraId="5F2D19CD" w14:textId="77777777" w:rsidR="00E836FB" w:rsidRDefault="00E836FB">
            <w:pPr>
              <w:rPr>
                <w:rFonts w:ascii="宋体"/>
                <w:vanish/>
              </w:rPr>
            </w:pPr>
          </w:p>
        </w:tc>
        <w:tc>
          <w:tcPr>
            <w:tcW w:w="0" w:type="auto"/>
            <w:shd w:val="clear" w:color="auto" w:fill="auto"/>
            <w:vAlign w:val="bottom"/>
          </w:tcPr>
          <w:p w14:paraId="5F2D19CE" w14:textId="77777777" w:rsidR="00E836FB" w:rsidRDefault="00E836FB">
            <w:pPr>
              <w:rPr>
                <w:rFonts w:ascii="宋体"/>
                <w:vanish/>
              </w:rPr>
            </w:pPr>
          </w:p>
        </w:tc>
      </w:tr>
      <w:tr w:rsidR="00E836FB" w14:paraId="5F2D19D6" w14:textId="77777777">
        <w:trPr>
          <w:hidden/>
        </w:trPr>
        <w:tc>
          <w:tcPr>
            <w:tcW w:w="0" w:type="auto"/>
            <w:gridSpan w:val="3"/>
            <w:shd w:val="clear" w:color="auto" w:fill="auto"/>
            <w:vAlign w:val="bottom"/>
          </w:tcPr>
          <w:p w14:paraId="5F2D19D0" w14:textId="77777777" w:rsidR="00E836FB" w:rsidRDefault="00E836FB">
            <w:pPr>
              <w:rPr>
                <w:rFonts w:ascii="宋体"/>
                <w:vanish/>
              </w:rPr>
            </w:pPr>
          </w:p>
        </w:tc>
        <w:tc>
          <w:tcPr>
            <w:tcW w:w="0" w:type="auto"/>
            <w:gridSpan w:val="3"/>
            <w:shd w:val="clear" w:color="auto" w:fill="auto"/>
            <w:vAlign w:val="bottom"/>
          </w:tcPr>
          <w:p w14:paraId="5F2D19D1" w14:textId="77777777" w:rsidR="00E836FB" w:rsidRDefault="00E836FB">
            <w:pPr>
              <w:rPr>
                <w:rFonts w:ascii="宋体"/>
                <w:vanish/>
              </w:rPr>
            </w:pPr>
          </w:p>
        </w:tc>
        <w:tc>
          <w:tcPr>
            <w:tcW w:w="0" w:type="auto"/>
            <w:gridSpan w:val="3"/>
            <w:shd w:val="clear" w:color="auto" w:fill="auto"/>
            <w:vAlign w:val="bottom"/>
          </w:tcPr>
          <w:p w14:paraId="5F2D19D2" w14:textId="77777777" w:rsidR="00E836FB" w:rsidRDefault="00E836FB">
            <w:pPr>
              <w:rPr>
                <w:rFonts w:ascii="宋体"/>
                <w:vanish/>
              </w:rPr>
            </w:pPr>
          </w:p>
        </w:tc>
        <w:tc>
          <w:tcPr>
            <w:tcW w:w="0" w:type="auto"/>
            <w:gridSpan w:val="3"/>
            <w:shd w:val="clear" w:color="auto" w:fill="auto"/>
            <w:vAlign w:val="bottom"/>
          </w:tcPr>
          <w:p w14:paraId="5F2D19D3" w14:textId="77777777" w:rsidR="00E836FB" w:rsidRDefault="00E836FB">
            <w:pPr>
              <w:rPr>
                <w:rFonts w:ascii="宋体"/>
                <w:vanish/>
              </w:rPr>
            </w:pPr>
          </w:p>
        </w:tc>
        <w:tc>
          <w:tcPr>
            <w:tcW w:w="0" w:type="auto"/>
            <w:shd w:val="clear" w:color="auto" w:fill="auto"/>
            <w:vAlign w:val="bottom"/>
          </w:tcPr>
          <w:p w14:paraId="5F2D19D4" w14:textId="77777777" w:rsidR="00E836FB" w:rsidRDefault="00E836FB">
            <w:pPr>
              <w:rPr>
                <w:rFonts w:ascii="宋体"/>
                <w:vanish/>
              </w:rPr>
            </w:pPr>
          </w:p>
        </w:tc>
        <w:tc>
          <w:tcPr>
            <w:tcW w:w="0" w:type="auto"/>
            <w:shd w:val="clear" w:color="auto" w:fill="auto"/>
            <w:vAlign w:val="bottom"/>
          </w:tcPr>
          <w:p w14:paraId="5F2D19D5" w14:textId="77777777" w:rsidR="00E836FB" w:rsidRDefault="00E836FB">
            <w:pPr>
              <w:rPr>
                <w:rFonts w:ascii="宋体"/>
                <w:vanish/>
              </w:rPr>
            </w:pPr>
          </w:p>
        </w:tc>
      </w:tr>
      <w:tr w:rsidR="00E836FB" w14:paraId="5F2D19DD" w14:textId="77777777">
        <w:trPr>
          <w:hidden/>
        </w:trPr>
        <w:tc>
          <w:tcPr>
            <w:tcW w:w="0" w:type="auto"/>
            <w:gridSpan w:val="3"/>
            <w:shd w:val="clear" w:color="auto" w:fill="auto"/>
            <w:vAlign w:val="bottom"/>
          </w:tcPr>
          <w:p w14:paraId="5F2D19D7" w14:textId="77777777" w:rsidR="00E836FB" w:rsidRDefault="00E836FB">
            <w:pPr>
              <w:rPr>
                <w:rFonts w:ascii="宋体"/>
                <w:vanish/>
              </w:rPr>
            </w:pPr>
          </w:p>
        </w:tc>
        <w:tc>
          <w:tcPr>
            <w:tcW w:w="0" w:type="auto"/>
            <w:gridSpan w:val="3"/>
            <w:shd w:val="clear" w:color="auto" w:fill="auto"/>
            <w:vAlign w:val="bottom"/>
          </w:tcPr>
          <w:p w14:paraId="5F2D19D8" w14:textId="77777777" w:rsidR="00E836FB" w:rsidRDefault="00E836FB">
            <w:pPr>
              <w:rPr>
                <w:rFonts w:ascii="宋体"/>
                <w:vanish/>
              </w:rPr>
            </w:pPr>
          </w:p>
        </w:tc>
        <w:tc>
          <w:tcPr>
            <w:tcW w:w="0" w:type="auto"/>
            <w:gridSpan w:val="3"/>
            <w:shd w:val="clear" w:color="auto" w:fill="auto"/>
            <w:vAlign w:val="bottom"/>
          </w:tcPr>
          <w:p w14:paraId="5F2D19D9" w14:textId="77777777" w:rsidR="00E836FB" w:rsidRDefault="00E836FB">
            <w:pPr>
              <w:rPr>
                <w:rFonts w:ascii="宋体"/>
                <w:vanish/>
              </w:rPr>
            </w:pPr>
          </w:p>
        </w:tc>
        <w:tc>
          <w:tcPr>
            <w:tcW w:w="0" w:type="auto"/>
            <w:gridSpan w:val="3"/>
            <w:shd w:val="clear" w:color="auto" w:fill="auto"/>
            <w:vAlign w:val="bottom"/>
          </w:tcPr>
          <w:p w14:paraId="5F2D19DA" w14:textId="77777777" w:rsidR="00E836FB" w:rsidRDefault="00E836FB">
            <w:pPr>
              <w:rPr>
                <w:rFonts w:ascii="宋体"/>
                <w:vanish/>
              </w:rPr>
            </w:pPr>
          </w:p>
        </w:tc>
        <w:tc>
          <w:tcPr>
            <w:tcW w:w="0" w:type="auto"/>
            <w:shd w:val="clear" w:color="auto" w:fill="auto"/>
            <w:vAlign w:val="bottom"/>
          </w:tcPr>
          <w:p w14:paraId="5F2D19DB" w14:textId="77777777" w:rsidR="00E836FB" w:rsidRDefault="00E836FB">
            <w:pPr>
              <w:rPr>
                <w:rFonts w:ascii="宋体"/>
                <w:vanish/>
              </w:rPr>
            </w:pPr>
          </w:p>
        </w:tc>
        <w:tc>
          <w:tcPr>
            <w:tcW w:w="0" w:type="auto"/>
            <w:shd w:val="clear" w:color="auto" w:fill="auto"/>
            <w:vAlign w:val="bottom"/>
          </w:tcPr>
          <w:p w14:paraId="5F2D19DC" w14:textId="77777777" w:rsidR="00E836FB" w:rsidRDefault="00E836FB">
            <w:pPr>
              <w:rPr>
                <w:rFonts w:ascii="宋体"/>
                <w:vanish/>
              </w:rPr>
            </w:pPr>
          </w:p>
        </w:tc>
      </w:tr>
      <w:tr w:rsidR="00E836FB" w14:paraId="5F2D19E4" w14:textId="77777777">
        <w:trPr>
          <w:hidden/>
        </w:trPr>
        <w:tc>
          <w:tcPr>
            <w:tcW w:w="0" w:type="auto"/>
            <w:gridSpan w:val="3"/>
            <w:shd w:val="clear" w:color="auto" w:fill="auto"/>
            <w:vAlign w:val="bottom"/>
          </w:tcPr>
          <w:p w14:paraId="5F2D19DE" w14:textId="77777777" w:rsidR="00E836FB" w:rsidRDefault="00E836FB">
            <w:pPr>
              <w:rPr>
                <w:rFonts w:ascii="宋体"/>
                <w:vanish/>
              </w:rPr>
            </w:pPr>
          </w:p>
        </w:tc>
        <w:tc>
          <w:tcPr>
            <w:tcW w:w="0" w:type="auto"/>
            <w:gridSpan w:val="3"/>
            <w:shd w:val="clear" w:color="auto" w:fill="auto"/>
            <w:vAlign w:val="bottom"/>
          </w:tcPr>
          <w:p w14:paraId="5F2D19DF" w14:textId="77777777" w:rsidR="00E836FB" w:rsidRDefault="00E836FB">
            <w:pPr>
              <w:rPr>
                <w:rFonts w:ascii="宋体"/>
                <w:vanish/>
              </w:rPr>
            </w:pPr>
          </w:p>
        </w:tc>
        <w:tc>
          <w:tcPr>
            <w:tcW w:w="0" w:type="auto"/>
            <w:gridSpan w:val="3"/>
            <w:shd w:val="clear" w:color="auto" w:fill="auto"/>
            <w:vAlign w:val="bottom"/>
          </w:tcPr>
          <w:p w14:paraId="5F2D19E0" w14:textId="77777777" w:rsidR="00E836FB" w:rsidRDefault="00E836FB">
            <w:pPr>
              <w:rPr>
                <w:rFonts w:ascii="宋体"/>
                <w:vanish/>
              </w:rPr>
            </w:pPr>
          </w:p>
        </w:tc>
        <w:tc>
          <w:tcPr>
            <w:tcW w:w="0" w:type="auto"/>
            <w:gridSpan w:val="3"/>
            <w:shd w:val="clear" w:color="auto" w:fill="auto"/>
            <w:vAlign w:val="bottom"/>
          </w:tcPr>
          <w:p w14:paraId="5F2D19E1" w14:textId="77777777" w:rsidR="00E836FB" w:rsidRDefault="00E836FB">
            <w:pPr>
              <w:rPr>
                <w:rFonts w:ascii="宋体"/>
                <w:vanish/>
              </w:rPr>
            </w:pPr>
          </w:p>
        </w:tc>
        <w:tc>
          <w:tcPr>
            <w:tcW w:w="0" w:type="auto"/>
            <w:shd w:val="clear" w:color="auto" w:fill="auto"/>
            <w:vAlign w:val="bottom"/>
          </w:tcPr>
          <w:p w14:paraId="5F2D19E2" w14:textId="77777777" w:rsidR="00E836FB" w:rsidRDefault="00E836FB">
            <w:pPr>
              <w:rPr>
                <w:rFonts w:ascii="宋体"/>
                <w:vanish/>
              </w:rPr>
            </w:pPr>
          </w:p>
        </w:tc>
        <w:tc>
          <w:tcPr>
            <w:tcW w:w="0" w:type="auto"/>
            <w:shd w:val="clear" w:color="auto" w:fill="auto"/>
            <w:vAlign w:val="bottom"/>
          </w:tcPr>
          <w:p w14:paraId="5F2D19E3" w14:textId="77777777" w:rsidR="00E836FB" w:rsidRDefault="00E836FB">
            <w:pPr>
              <w:rPr>
                <w:rFonts w:ascii="宋体"/>
                <w:vanish/>
              </w:rPr>
            </w:pPr>
          </w:p>
        </w:tc>
      </w:tr>
      <w:tr w:rsidR="00E836FB" w14:paraId="5F2D19ED" w14:textId="77777777">
        <w:tc>
          <w:tcPr>
            <w:tcW w:w="0" w:type="auto"/>
            <w:gridSpan w:val="3"/>
            <w:shd w:val="clear" w:color="auto" w:fill="CCEEFF"/>
            <w:tcMar>
              <w:top w:w="40" w:type="dxa"/>
              <w:left w:w="245" w:type="dxa"/>
              <w:bottom w:w="40" w:type="dxa"/>
              <w:right w:w="20" w:type="dxa"/>
            </w:tcMar>
            <w:vAlign w:val="bottom"/>
          </w:tcPr>
          <w:p w14:paraId="5F2D19E5" w14:textId="77777777" w:rsidR="00E836FB" w:rsidRDefault="00994958">
            <w:pPr>
              <w:textAlignment w:val="bottom"/>
            </w:pPr>
            <w:r>
              <w:rPr>
                <w:rFonts w:ascii="Arial" w:eastAsia="宋体" w:hAnsi="Arial" w:cs="Arial"/>
                <w:color w:val="000000"/>
                <w:sz w:val="15"/>
                <w:szCs w:val="15"/>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9E6" w14:textId="77777777" w:rsidR="00E836FB" w:rsidRDefault="00994958">
            <w:pPr>
              <w:jc w:val="right"/>
              <w:textAlignment w:val="bottom"/>
            </w:pPr>
            <w:r>
              <w:rPr>
                <w:rFonts w:ascii="Arial" w:eastAsia="宋体" w:hAnsi="Arial" w:cs="Arial"/>
                <w:b/>
                <w:bCs/>
                <w:color w:val="000000"/>
                <w:sz w:val="15"/>
                <w:szCs w:val="15"/>
              </w:rPr>
              <w:t>10,418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9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E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19E9" w14:textId="77777777" w:rsidR="00E836FB" w:rsidRDefault="00994958">
            <w:pPr>
              <w:jc w:val="right"/>
              <w:textAlignment w:val="bottom"/>
            </w:pPr>
            <w:r>
              <w:rPr>
                <w:rFonts w:ascii="Arial" w:eastAsia="宋体" w:hAnsi="Arial" w:cs="Arial"/>
                <w:color w:val="000000"/>
                <w:sz w:val="15"/>
                <w:szCs w:val="15"/>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9EA" w14:textId="77777777" w:rsidR="00E836FB" w:rsidRDefault="00E836FB">
            <w:pPr>
              <w:jc w:val="right"/>
              <w:rPr>
                <w:rFonts w:ascii="宋体"/>
              </w:rPr>
            </w:pPr>
          </w:p>
        </w:tc>
        <w:tc>
          <w:tcPr>
            <w:tcW w:w="0" w:type="auto"/>
            <w:shd w:val="clear" w:color="auto" w:fill="auto"/>
            <w:vAlign w:val="bottom"/>
          </w:tcPr>
          <w:p w14:paraId="5F2D19EB" w14:textId="77777777" w:rsidR="00E836FB" w:rsidRDefault="00E836FB">
            <w:pPr>
              <w:rPr>
                <w:rFonts w:ascii="宋体"/>
                <w:vanish/>
              </w:rPr>
            </w:pPr>
          </w:p>
        </w:tc>
        <w:tc>
          <w:tcPr>
            <w:tcW w:w="0" w:type="auto"/>
            <w:shd w:val="clear" w:color="auto" w:fill="auto"/>
            <w:vAlign w:val="bottom"/>
          </w:tcPr>
          <w:p w14:paraId="5F2D19EC" w14:textId="77777777" w:rsidR="00E836FB" w:rsidRDefault="00E836FB">
            <w:pPr>
              <w:rPr>
                <w:rFonts w:ascii="宋体"/>
                <w:vanish/>
              </w:rPr>
            </w:pPr>
          </w:p>
        </w:tc>
      </w:tr>
      <w:tr w:rsidR="00E836FB" w14:paraId="5F2D19F6" w14:textId="77777777">
        <w:tc>
          <w:tcPr>
            <w:tcW w:w="0" w:type="auto"/>
            <w:gridSpan w:val="3"/>
            <w:shd w:val="clear" w:color="auto" w:fill="FFFFFF"/>
            <w:tcMar>
              <w:top w:w="40" w:type="dxa"/>
              <w:left w:w="20" w:type="dxa"/>
              <w:bottom w:w="40" w:type="dxa"/>
              <w:right w:w="20" w:type="dxa"/>
            </w:tcMar>
            <w:vAlign w:val="bottom"/>
          </w:tcPr>
          <w:p w14:paraId="5F2D19EE" w14:textId="77777777" w:rsidR="00E836FB" w:rsidRDefault="00994958">
            <w:pPr>
              <w:textAlignment w:val="bottom"/>
            </w:pPr>
            <w:r>
              <w:rPr>
                <w:rFonts w:ascii="Arial" w:eastAsia="宋体" w:hAnsi="Arial" w:cs="Arial"/>
                <w:color w:val="000000"/>
                <w:sz w:val="15"/>
                <w:szCs w:val="15"/>
              </w:rPr>
              <w:t>Total loans</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9EF" w14:textId="77777777" w:rsidR="00E836FB" w:rsidRDefault="00994958">
            <w:pPr>
              <w:jc w:val="right"/>
              <w:textAlignment w:val="bottom"/>
            </w:pPr>
            <w:r>
              <w:rPr>
                <w:rFonts w:ascii="Arial" w:eastAsia="宋体" w:hAnsi="Arial" w:cs="Arial"/>
                <w:b/>
                <w:bCs/>
                <w:color w:val="000000"/>
                <w:sz w:val="15"/>
                <w:szCs w:val="15"/>
              </w:rPr>
              <w:t>32,532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9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9F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19F2" w14:textId="77777777" w:rsidR="00E836FB" w:rsidRDefault="00994958">
            <w:pPr>
              <w:jc w:val="right"/>
              <w:textAlignment w:val="bottom"/>
            </w:pPr>
            <w:r>
              <w:rPr>
                <w:rFonts w:ascii="Arial" w:eastAsia="宋体" w:hAnsi="Arial" w:cs="Arial"/>
                <w:color w:val="000000"/>
                <w:sz w:val="15"/>
                <w:szCs w:val="15"/>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9F3" w14:textId="77777777" w:rsidR="00E836FB" w:rsidRDefault="00E836FB">
            <w:pPr>
              <w:jc w:val="right"/>
              <w:rPr>
                <w:rFonts w:ascii="宋体"/>
              </w:rPr>
            </w:pPr>
          </w:p>
        </w:tc>
        <w:tc>
          <w:tcPr>
            <w:tcW w:w="0" w:type="auto"/>
            <w:shd w:val="clear" w:color="auto" w:fill="auto"/>
            <w:vAlign w:val="bottom"/>
          </w:tcPr>
          <w:p w14:paraId="5F2D19F4" w14:textId="77777777" w:rsidR="00E836FB" w:rsidRDefault="00E836FB">
            <w:pPr>
              <w:rPr>
                <w:rFonts w:ascii="宋体"/>
                <w:vanish/>
              </w:rPr>
            </w:pPr>
          </w:p>
        </w:tc>
        <w:tc>
          <w:tcPr>
            <w:tcW w:w="0" w:type="auto"/>
            <w:shd w:val="clear" w:color="auto" w:fill="auto"/>
            <w:vAlign w:val="bottom"/>
          </w:tcPr>
          <w:p w14:paraId="5F2D19F5" w14:textId="77777777" w:rsidR="00E836FB" w:rsidRDefault="00E836FB">
            <w:pPr>
              <w:rPr>
                <w:rFonts w:ascii="宋体"/>
                <w:vanish/>
              </w:rPr>
            </w:pPr>
          </w:p>
        </w:tc>
      </w:tr>
      <w:tr w:rsidR="00E836FB" w14:paraId="5F2D19FF" w14:textId="77777777">
        <w:tc>
          <w:tcPr>
            <w:tcW w:w="0" w:type="auto"/>
            <w:gridSpan w:val="3"/>
            <w:shd w:val="clear" w:color="auto" w:fill="CCEEFF"/>
            <w:tcMar>
              <w:top w:w="40" w:type="dxa"/>
              <w:left w:w="20" w:type="dxa"/>
              <w:bottom w:w="40" w:type="dxa"/>
              <w:right w:w="20" w:type="dxa"/>
            </w:tcMar>
            <w:vAlign w:val="bottom"/>
          </w:tcPr>
          <w:p w14:paraId="5F2D19F7" w14:textId="77777777" w:rsidR="00E836FB" w:rsidRDefault="00994958">
            <w:pPr>
              <w:textAlignment w:val="bottom"/>
            </w:pPr>
            <w:r>
              <w:rPr>
                <w:rFonts w:ascii="Arial" w:eastAsia="宋体" w:hAnsi="Arial" w:cs="Arial"/>
                <w:b/>
                <w:bCs/>
                <w:color w:val="000000"/>
                <w:sz w:val="15"/>
                <w:szCs w:val="15"/>
              </w:rPr>
              <w:t>Allowance for credit losses</w:t>
            </w:r>
          </w:p>
        </w:tc>
        <w:tc>
          <w:tcPr>
            <w:tcW w:w="0" w:type="auto"/>
            <w:gridSpan w:val="2"/>
            <w:shd w:val="clear" w:color="auto" w:fill="CCEEFF"/>
            <w:tcMar>
              <w:top w:w="40" w:type="dxa"/>
              <w:left w:w="20" w:type="dxa"/>
              <w:bottom w:w="40" w:type="dxa"/>
              <w:right w:w="0" w:type="dxa"/>
            </w:tcMar>
            <w:vAlign w:val="bottom"/>
          </w:tcPr>
          <w:p w14:paraId="5F2D19F8" w14:textId="77777777" w:rsidR="00E836FB" w:rsidRDefault="00994958">
            <w:pPr>
              <w:jc w:val="right"/>
              <w:textAlignment w:val="bottom"/>
            </w:pPr>
            <w:r>
              <w:rPr>
                <w:rFonts w:ascii="Arial" w:eastAsia="宋体" w:hAnsi="Arial" w:cs="Arial"/>
                <w:b/>
                <w:bCs/>
                <w:color w:val="000000"/>
                <w:sz w:val="15"/>
                <w:szCs w:val="15"/>
              </w:rPr>
              <w:t>(87)</w:t>
            </w:r>
          </w:p>
        </w:tc>
        <w:tc>
          <w:tcPr>
            <w:tcW w:w="0" w:type="auto"/>
            <w:shd w:val="clear" w:color="auto" w:fill="CCEEFF"/>
            <w:tcMar>
              <w:top w:w="40" w:type="dxa"/>
              <w:left w:w="0" w:type="dxa"/>
              <w:bottom w:w="40" w:type="dxa"/>
              <w:right w:w="20" w:type="dxa"/>
            </w:tcMar>
            <w:vAlign w:val="bottom"/>
          </w:tcPr>
          <w:p w14:paraId="5F2D19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9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9FB" w14:textId="77777777" w:rsidR="00E836FB" w:rsidRDefault="00994958">
            <w:pPr>
              <w:jc w:val="right"/>
              <w:textAlignment w:val="bottom"/>
            </w:pPr>
            <w:r>
              <w:rPr>
                <w:rFonts w:ascii="Arial" w:eastAsia="宋体" w:hAnsi="Arial" w:cs="Arial"/>
                <w:color w:val="000000"/>
                <w:sz w:val="15"/>
                <w:szCs w:val="15"/>
              </w:rPr>
              <w:t>(122)</w:t>
            </w:r>
          </w:p>
        </w:tc>
        <w:tc>
          <w:tcPr>
            <w:tcW w:w="0" w:type="auto"/>
            <w:shd w:val="clear" w:color="auto" w:fill="CCEEFF"/>
            <w:tcMar>
              <w:top w:w="40" w:type="dxa"/>
              <w:left w:w="0" w:type="dxa"/>
              <w:bottom w:w="40" w:type="dxa"/>
              <w:right w:w="20" w:type="dxa"/>
            </w:tcMar>
            <w:vAlign w:val="bottom"/>
          </w:tcPr>
          <w:p w14:paraId="5F2D19FC" w14:textId="77777777" w:rsidR="00E836FB" w:rsidRDefault="00E836FB">
            <w:pPr>
              <w:jc w:val="right"/>
              <w:rPr>
                <w:rFonts w:ascii="宋体"/>
              </w:rPr>
            </w:pPr>
          </w:p>
        </w:tc>
        <w:tc>
          <w:tcPr>
            <w:tcW w:w="0" w:type="auto"/>
            <w:shd w:val="clear" w:color="auto" w:fill="auto"/>
            <w:vAlign w:val="bottom"/>
          </w:tcPr>
          <w:p w14:paraId="5F2D19FD" w14:textId="77777777" w:rsidR="00E836FB" w:rsidRDefault="00E836FB">
            <w:pPr>
              <w:rPr>
                <w:rFonts w:ascii="宋体"/>
                <w:vanish/>
              </w:rPr>
            </w:pPr>
          </w:p>
        </w:tc>
        <w:tc>
          <w:tcPr>
            <w:tcW w:w="0" w:type="auto"/>
            <w:shd w:val="clear" w:color="auto" w:fill="auto"/>
            <w:vAlign w:val="bottom"/>
          </w:tcPr>
          <w:p w14:paraId="5F2D19FE" w14:textId="77777777" w:rsidR="00E836FB" w:rsidRDefault="00E836FB">
            <w:pPr>
              <w:rPr>
                <w:rFonts w:ascii="宋体"/>
                <w:vanish/>
              </w:rPr>
            </w:pPr>
          </w:p>
        </w:tc>
      </w:tr>
      <w:tr w:rsidR="00E836FB" w14:paraId="5F2D1A0A" w14:textId="77777777">
        <w:tc>
          <w:tcPr>
            <w:tcW w:w="0" w:type="auto"/>
            <w:gridSpan w:val="3"/>
            <w:shd w:val="clear" w:color="auto" w:fill="FFFFFF"/>
            <w:tcMar>
              <w:top w:w="40" w:type="dxa"/>
              <w:left w:w="20" w:type="dxa"/>
              <w:bottom w:w="40" w:type="dxa"/>
              <w:right w:w="20" w:type="dxa"/>
            </w:tcMar>
            <w:vAlign w:val="bottom"/>
          </w:tcPr>
          <w:p w14:paraId="5F2D1A00" w14:textId="77777777" w:rsidR="00E836FB" w:rsidRDefault="00994958">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A01"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A02" w14:textId="77777777" w:rsidR="00E836FB" w:rsidRDefault="00994958">
            <w:pPr>
              <w:jc w:val="right"/>
              <w:textAlignment w:val="bottom"/>
            </w:pPr>
            <w:r>
              <w:rPr>
                <w:rFonts w:ascii="Arial" w:eastAsia="宋体" w:hAnsi="Arial" w:cs="Arial"/>
                <w:b/>
                <w:bCs/>
                <w:color w:val="000000"/>
                <w:sz w:val="15"/>
                <w:szCs w:val="15"/>
              </w:rPr>
              <w:t>32,445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A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0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A05"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A06" w14:textId="77777777" w:rsidR="00E836FB" w:rsidRDefault="00994958">
            <w:pPr>
              <w:jc w:val="right"/>
              <w:textAlignment w:val="bottom"/>
            </w:pPr>
            <w:r>
              <w:rPr>
                <w:rFonts w:ascii="Arial" w:eastAsia="宋体" w:hAnsi="Arial" w:cs="Arial"/>
                <w:color w:val="000000"/>
                <w:sz w:val="15"/>
                <w:szCs w:val="15"/>
              </w:rPr>
              <w:t>27,803 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A07" w14:textId="77777777" w:rsidR="00E836FB" w:rsidRDefault="00E836FB">
            <w:pPr>
              <w:jc w:val="right"/>
              <w:rPr>
                <w:rFonts w:ascii="宋体"/>
              </w:rPr>
            </w:pPr>
          </w:p>
        </w:tc>
        <w:tc>
          <w:tcPr>
            <w:tcW w:w="0" w:type="auto"/>
            <w:shd w:val="clear" w:color="auto" w:fill="auto"/>
            <w:vAlign w:val="bottom"/>
          </w:tcPr>
          <w:p w14:paraId="5F2D1A08" w14:textId="77777777" w:rsidR="00E836FB" w:rsidRDefault="00E836FB">
            <w:pPr>
              <w:rPr>
                <w:rFonts w:ascii="宋体"/>
                <w:vanish/>
              </w:rPr>
            </w:pPr>
          </w:p>
        </w:tc>
        <w:tc>
          <w:tcPr>
            <w:tcW w:w="0" w:type="auto"/>
            <w:shd w:val="clear" w:color="auto" w:fill="auto"/>
            <w:vAlign w:val="bottom"/>
          </w:tcPr>
          <w:p w14:paraId="5F2D1A09" w14:textId="77777777" w:rsidR="00E836FB" w:rsidRDefault="00E836FB">
            <w:pPr>
              <w:rPr>
                <w:rFonts w:ascii="宋体"/>
                <w:vanish/>
              </w:rPr>
            </w:pPr>
          </w:p>
        </w:tc>
      </w:tr>
    </w:tbl>
    <w:p w14:paraId="5F2D1A0B"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E836FB" w14:paraId="5F2D1A12" w14:textId="77777777">
        <w:tc>
          <w:tcPr>
            <w:tcW w:w="50" w:type="pct"/>
            <w:shd w:val="clear" w:color="auto" w:fill="auto"/>
            <w:vAlign w:val="bottom"/>
          </w:tcPr>
          <w:p w14:paraId="5F2D1A0C" w14:textId="77777777" w:rsidR="00E836FB" w:rsidRDefault="00E836FB">
            <w:pPr>
              <w:rPr>
                <w:rFonts w:ascii="宋体"/>
              </w:rPr>
            </w:pPr>
          </w:p>
        </w:tc>
        <w:tc>
          <w:tcPr>
            <w:tcW w:w="2327" w:type="pct"/>
            <w:shd w:val="clear" w:color="auto" w:fill="auto"/>
            <w:vAlign w:val="bottom"/>
          </w:tcPr>
          <w:p w14:paraId="5F2D1A0D" w14:textId="77777777" w:rsidR="00E836FB" w:rsidRDefault="00E836FB">
            <w:pPr>
              <w:rPr>
                <w:rFonts w:ascii="宋体"/>
              </w:rPr>
            </w:pPr>
          </w:p>
        </w:tc>
        <w:tc>
          <w:tcPr>
            <w:tcW w:w="5" w:type="pct"/>
            <w:shd w:val="clear" w:color="auto" w:fill="auto"/>
            <w:vAlign w:val="bottom"/>
          </w:tcPr>
          <w:p w14:paraId="5F2D1A0E" w14:textId="77777777" w:rsidR="00E836FB" w:rsidRDefault="00E836FB">
            <w:pPr>
              <w:rPr>
                <w:rFonts w:ascii="宋体"/>
              </w:rPr>
            </w:pPr>
          </w:p>
        </w:tc>
        <w:tc>
          <w:tcPr>
            <w:tcW w:w="50" w:type="pct"/>
            <w:shd w:val="clear" w:color="auto" w:fill="auto"/>
            <w:vAlign w:val="bottom"/>
          </w:tcPr>
          <w:p w14:paraId="5F2D1A0F" w14:textId="77777777" w:rsidR="00E836FB" w:rsidRDefault="00E836FB">
            <w:pPr>
              <w:rPr>
                <w:rFonts w:ascii="宋体"/>
              </w:rPr>
            </w:pPr>
          </w:p>
        </w:tc>
        <w:tc>
          <w:tcPr>
            <w:tcW w:w="2562" w:type="pct"/>
            <w:shd w:val="clear" w:color="auto" w:fill="auto"/>
            <w:vAlign w:val="bottom"/>
          </w:tcPr>
          <w:p w14:paraId="5F2D1A10" w14:textId="77777777" w:rsidR="00E836FB" w:rsidRDefault="00E836FB">
            <w:pPr>
              <w:rPr>
                <w:rFonts w:ascii="宋体"/>
              </w:rPr>
            </w:pPr>
          </w:p>
        </w:tc>
        <w:tc>
          <w:tcPr>
            <w:tcW w:w="5" w:type="pct"/>
            <w:shd w:val="clear" w:color="auto" w:fill="auto"/>
            <w:vAlign w:val="bottom"/>
          </w:tcPr>
          <w:p w14:paraId="5F2D1A11" w14:textId="77777777" w:rsidR="00E836FB" w:rsidRDefault="00E836FB">
            <w:pPr>
              <w:rPr>
                <w:rFonts w:ascii="宋体"/>
              </w:rPr>
            </w:pPr>
          </w:p>
        </w:tc>
      </w:tr>
      <w:tr w:rsidR="00E836FB" w14:paraId="5F2D1A1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1A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A14" w14:textId="77777777" w:rsidR="00E836FB" w:rsidRDefault="00E836FB">
            <w:pPr>
              <w:rPr>
                <w:rFonts w:ascii="宋体"/>
              </w:rPr>
            </w:pPr>
          </w:p>
        </w:tc>
      </w:tr>
    </w:tbl>
    <w:p w14:paraId="5F2D1A16" w14:textId="77777777" w:rsidR="00E836FB" w:rsidRDefault="00994958">
      <w:pPr>
        <w:spacing w:before="2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Domestic and foreign categorization is based on the borrower’s country of domicile.</w:t>
      </w:r>
    </w:p>
    <w:p w14:paraId="5F2D1A17" w14:textId="77777777" w:rsidR="00E836FB" w:rsidRDefault="00994958">
      <w:pPr>
        <w:spacing w:before="2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Fund finance loans include primarily $9,147 million private equity capital call finance loans, $6,397 million loans to real money funds, $2,913 million collateralized </w:t>
      </w:r>
      <w:r>
        <w:rPr>
          <w:rFonts w:ascii="Arial" w:eastAsia="宋体" w:hAnsi="Arial" w:cs="Arial"/>
          <w:color w:val="000000"/>
          <w:sz w:val="13"/>
          <w:szCs w:val="13"/>
        </w:rPr>
        <w:t>loan obligations in loan form and $1,387 million loans to business development companies as of December 31, 2021, compared to $8,380 million private equity capital call finance loans, $6,391 million loans to real money funds, and $821 million loans to busi</w:t>
      </w:r>
      <w:r>
        <w:rPr>
          <w:rFonts w:ascii="Arial" w:eastAsia="宋体" w:hAnsi="Arial" w:cs="Arial"/>
          <w:color w:val="000000"/>
          <w:sz w:val="13"/>
          <w:szCs w:val="13"/>
        </w:rPr>
        <w:t>ness development companies as of December 31, 2020.</w:t>
      </w:r>
    </w:p>
    <w:p w14:paraId="5F2D1A18" w14:textId="77777777" w:rsidR="00E836FB" w:rsidRDefault="00994958">
      <w:pPr>
        <w:spacing w:before="2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Includes $1,784 million securities finance loans, $455 million loans to municipalities and $23 million other loans as of December 31, 2021 and $1,911 million securities finance loans, $754 million loa</w:t>
      </w:r>
      <w:r>
        <w:rPr>
          <w:rFonts w:ascii="Arial" w:eastAsia="宋体" w:hAnsi="Arial" w:cs="Arial"/>
          <w:color w:val="000000"/>
          <w:sz w:val="13"/>
          <w:szCs w:val="13"/>
        </w:rPr>
        <w:t>ns to municipalities and $54 million other loans as of December 31, 2020.</w:t>
      </w:r>
    </w:p>
    <w:p w14:paraId="5F2D1A19" w14:textId="77777777" w:rsidR="00E836FB" w:rsidRDefault="00994958">
      <w:pPr>
        <w:spacing w:before="60"/>
        <w:ind w:firstLine="450"/>
        <w:jc w:val="both"/>
        <w:textAlignment w:val="top"/>
      </w:pPr>
      <w:r>
        <w:rPr>
          <w:rFonts w:ascii="Arial" w:eastAsia="宋体" w:hAnsi="Arial" w:cs="Arial"/>
          <w:color w:val="000000"/>
          <w:sz w:val="20"/>
          <w:szCs w:val="20"/>
        </w:rPr>
        <w:t>We segregate our loans into two segments: commercial and financial loans and commercial real estate loans. We further classify commercial and financial loans as fund finance loans, leveraged loans, overdrafts and other loans. Fund finance loans are compose</w:t>
      </w:r>
      <w:r>
        <w:rPr>
          <w:rFonts w:ascii="Arial" w:eastAsia="宋体" w:hAnsi="Arial" w:cs="Arial"/>
          <w:color w:val="000000"/>
          <w:sz w:val="20"/>
          <w:szCs w:val="20"/>
        </w:rPr>
        <w:t>d of revolving credit lines providing liquidity and leverage to mutual fund and private equity fund clients, as well as collateralized loan obligations in loan form. These classifications reflect their risk characteristics, their initial measurement attrib</w:t>
      </w:r>
      <w:r>
        <w:rPr>
          <w:rFonts w:ascii="Arial" w:eastAsia="宋体" w:hAnsi="Arial" w:cs="Arial"/>
          <w:color w:val="000000"/>
          <w:sz w:val="20"/>
          <w:szCs w:val="20"/>
        </w:rPr>
        <w:t xml:space="preserve">utes and the methods we use to monitor and assess credit risk. </w:t>
      </w:r>
    </w:p>
    <w:p w14:paraId="5F2D1A1A" w14:textId="77777777" w:rsidR="00E836FB" w:rsidRDefault="00994958">
      <w:pPr>
        <w:spacing w:before="60"/>
        <w:ind w:firstLine="450"/>
        <w:jc w:val="both"/>
        <w:textAlignment w:val="top"/>
      </w:pPr>
      <w:r>
        <w:rPr>
          <w:rFonts w:ascii="Arial" w:eastAsia="宋体" w:hAnsi="Arial" w:cs="Arial"/>
          <w:color w:val="000000"/>
          <w:sz w:val="20"/>
          <w:szCs w:val="20"/>
        </w:rPr>
        <w:t>Certain loans are pledged as collateral for access to the Federal Reserve's discount window. As of December 31, 2021 and December 31, 2020, the loans pledged as collateral totaled $10.80 billi</w:t>
      </w:r>
      <w:r>
        <w:rPr>
          <w:rFonts w:ascii="Arial" w:eastAsia="宋体" w:hAnsi="Arial" w:cs="Arial"/>
          <w:color w:val="000000"/>
          <w:sz w:val="20"/>
          <w:szCs w:val="20"/>
        </w:rPr>
        <w:t>on and $8.07 billion, respectively.</w:t>
      </w:r>
    </w:p>
    <w:p w14:paraId="5F2D1A1B" w14:textId="77777777" w:rsidR="00E836FB" w:rsidRDefault="00994958">
      <w:pPr>
        <w:ind w:firstLine="450"/>
        <w:jc w:val="right"/>
      </w:pPr>
      <w:r>
        <w:rPr>
          <w:rFonts w:ascii="Arial" w:eastAsia="宋体" w:hAnsi="Arial" w:cs="Arial"/>
          <w:color w:val="000000"/>
          <w:sz w:val="18"/>
          <w:szCs w:val="18"/>
        </w:rPr>
        <w:t>State Street Corporation | 149</w:t>
      </w:r>
    </w:p>
    <w:p w14:paraId="5F2D1A1C" w14:textId="77777777" w:rsidR="00E836FB" w:rsidRDefault="00E836FB">
      <w:pPr>
        <w:ind w:firstLine="450"/>
        <w:jc w:val="center"/>
      </w:pPr>
    </w:p>
    <w:p w14:paraId="5F2D1A1D" w14:textId="77777777" w:rsidR="00E836FB" w:rsidRDefault="00994958">
      <w:r>
        <w:pict w14:anchorId="5F2D6E1A">
          <v:rect id="_x0000_i1173" style="width:415.3pt;height:1.5pt" o:hralign="center" o:hrstd="t" o:hr="t" fillcolor="#a0a0a0" stroked="f"/>
        </w:pict>
      </w:r>
    </w:p>
    <w:p w14:paraId="5F2D1A1E" w14:textId="77777777" w:rsidR="00E836FB" w:rsidRDefault="00994958">
      <w:pPr>
        <w:ind w:firstLine="450"/>
        <w:jc w:val="center"/>
      </w:pPr>
      <w:r>
        <w:rPr>
          <w:rFonts w:ascii="Arial" w:eastAsia="宋体" w:hAnsi="Arial" w:cs="Arial"/>
          <w:b/>
          <w:bCs/>
          <w:color w:val="000000"/>
          <w:sz w:val="20"/>
          <w:szCs w:val="20"/>
        </w:rPr>
        <w:t>STATE STREET CORPORATION</w:t>
      </w:r>
    </w:p>
    <w:p w14:paraId="5F2D1A1F"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1A20" w14:textId="77777777" w:rsidR="00E836FB" w:rsidRDefault="00994958">
      <w:pPr>
        <w:spacing w:before="60"/>
        <w:ind w:firstLine="450"/>
        <w:jc w:val="both"/>
        <w:textAlignment w:val="top"/>
      </w:pPr>
      <w:r>
        <w:rPr>
          <w:rFonts w:ascii="Arial" w:eastAsia="宋体" w:hAnsi="Arial" w:cs="Arial"/>
          <w:color w:val="000000"/>
          <w:sz w:val="20"/>
          <w:szCs w:val="20"/>
        </w:rPr>
        <w:t>We generally place loans on non-accrual status once principal or interest payments are 90 days contractually past due,</w:t>
      </w:r>
      <w:r>
        <w:rPr>
          <w:rFonts w:ascii="Arial" w:eastAsia="宋体" w:hAnsi="Arial" w:cs="Arial"/>
          <w:color w:val="000000"/>
          <w:sz w:val="20"/>
          <w:szCs w:val="20"/>
        </w:rPr>
        <w:t xml:space="preserve"> or earlier if management determines that full collection is not probable. Loans 90 days past due, but considered both well-secured and in the process of collection, may be excluded from non-accrual status. When we place a loan on non-accrual status, the a</w:t>
      </w:r>
      <w:r>
        <w:rPr>
          <w:rFonts w:ascii="Arial" w:eastAsia="宋体" w:hAnsi="Arial" w:cs="Arial"/>
          <w:color w:val="000000"/>
          <w:sz w:val="20"/>
          <w:szCs w:val="20"/>
        </w:rPr>
        <w:t>ccrual of interest is discontinued and previously recorded but unpaid interest is reversed and generally charged against interest income. For loans on non-accrual status, income is recognized on a cash basis after recovery of principal, if and when interes</w:t>
      </w:r>
      <w:r>
        <w:rPr>
          <w:rFonts w:ascii="Arial" w:eastAsia="宋体" w:hAnsi="Arial" w:cs="Arial"/>
          <w:color w:val="000000"/>
          <w:sz w:val="20"/>
          <w:szCs w:val="20"/>
        </w:rPr>
        <w:t>t payments are received. Loans may be removed from non-accrual status when repayment is reasonably assured and performance under the terms of the loan has been demonstrated. As of both December 31, 2021 and December 31, 2020, we had no loans on non-accrual</w:t>
      </w:r>
      <w:r>
        <w:rPr>
          <w:rFonts w:ascii="Arial" w:eastAsia="宋体" w:hAnsi="Arial" w:cs="Arial"/>
          <w:color w:val="000000"/>
          <w:sz w:val="20"/>
          <w:szCs w:val="20"/>
        </w:rPr>
        <w:t xml:space="preserve"> status. </w:t>
      </w:r>
    </w:p>
    <w:p w14:paraId="5F2D1A21" w14:textId="77777777" w:rsidR="00E836FB" w:rsidRDefault="00994958">
      <w:pPr>
        <w:spacing w:before="60"/>
        <w:ind w:firstLine="450"/>
        <w:jc w:val="both"/>
        <w:textAlignment w:val="top"/>
      </w:pPr>
      <w:r>
        <w:rPr>
          <w:rFonts w:ascii="Arial" w:eastAsia="宋体" w:hAnsi="Arial" w:cs="Arial"/>
          <w:color w:val="000000"/>
          <w:sz w:val="20"/>
          <w:szCs w:val="20"/>
        </w:rPr>
        <w:t>We purchased $2,913 million of collateralized loan obligations in loan form, which were all investment grade as of December 31, 2021.</w:t>
      </w:r>
    </w:p>
    <w:p w14:paraId="5F2D1A22" w14:textId="77777777" w:rsidR="00E836FB" w:rsidRDefault="00994958">
      <w:pPr>
        <w:spacing w:before="60"/>
        <w:ind w:firstLine="450"/>
        <w:jc w:val="both"/>
        <w:textAlignment w:val="top"/>
      </w:pPr>
      <w:r>
        <w:rPr>
          <w:rFonts w:ascii="Arial" w:eastAsia="宋体" w:hAnsi="Arial" w:cs="Arial"/>
          <w:color w:val="000000"/>
          <w:sz w:val="20"/>
          <w:szCs w:val="20"/>
        </w:rPr>
        <w:t>We sold $181 million of leveraged loans in 2021, of which $8 million remained unsettled and was held for sale as</w:t>
      </w:r>
      <w:r>
        <w:rPr>
          <w:rFonts w:ascii="Arial" w:eastAsia="宋体" w:hAnsi="Arial" w:cs="Arial"/>
          <w:color w:val="000000"/>
          <w:sz w:val="20"/>
          <w:szCs w:val="20"/>
        </w:rPr>
        <w:t xml:space="preserve"> of December 31, 2021. We recorded a charge-off against the allowance for these loans prior to the sale of these loans of $2 million in 2021. </w:t>
      </w:r>
    </w:p>
    <w:p w14:paraId="5F2D1A23" w14:textId="77777777" w:rsidR="00E836FB" w:rsidRDefault="00994958">
      <w:pPr>
        <w:spacing w:before="60"/>
        <w:ind w:firstLine="450"/>
        <w:jc w:val="both"/>
        <w:textAlignment w:val="top"/>
      </w:pPr>
      <w:r>
        <w:rPr>
          <w:rFonts w:ascii="Arial" w:eastAsia="宋体" w:hAnsi="Arial" w:cs="Arial"/>
          <w:color w:val="000000"/>
          <w:sz w:val="20"/>
          <w:szCs w:val="20"/>
        </w:rPr>
        <w:t>In certain circumstances, we restructure troubled loans by granting concessions to borrowers experiencing financi</w:t>
      </w:r>
      <w:r>
        <w:rPr>
          <w:rFonts w:ascii="Arial" w:eastAsia="宋体" w:hAnsi="Arial" w:cs="Arial"/>
          <w:color w:val="000000"/>
          <w:sz w:val="20"/>
          <w:szCs w:val="20"/>
        </w:rPr>
        <w:t>al difficulty. Once restructured, the loans are generally considered impaired until their maturity, regardless of whether the borrowers perform under the modified terms of the loans. There were no loans modified in troubled debt restructurings during the y</w:t>
      </w:r>
      <w:r>
        <w:rPr>
          <w:rFonts w:ascii="Arial" w:eastAsia="宋体" w:hAnsi="Arial" w:cs="Arial"/>
          <w:color w:val="000000"/>
          <w:sz w:val="20"/>
          <w:szCs w:val="20"/>
        </w:rPr>
        <w:t>ears ended December 31, 2021 and 2020.</w:t>
      </w:r>
    </w:p>
    <w:p w14:paraId="5F2D1A24" w14:textId="77777777" w:rsidR="00E836FB" w:rsidRDefault="00994958">
      <w:pPr>
        <w:spacing w:before="60"/>
        <w:jc w:val="both"/>
        <w:textAlignment w:val="top"/>
      </w:pPr>
      <w:r>
        <w:rPr>
          <w:rFonts w:ascii="Arial" w:eastAsia="宋体" w:hAnsi="Arial" w:cs="Arial"/>
          <w:b/>
          <w:bCs/>
          <w:i/>
          <w:iCs/>
          <w:color w:val="000000"/>
          <w:sz w:val="20"/>
          <w:szCs w:val="20"/>
        </w:rPr>
        <w:t>Allowance for Credit Losses</w:t>
      </w:r>
    </w:p>
    <w:p w14:paraId="5F2D1A25" w14:textId="77777777" w:rsidR="00E836FB" w:rsidRDefault="00994958">
      <w:pPr>
        <w:spacing w:before="60"/>
        <w:ind w:firstLine="450"/>
        <w:jc w:val="both"/>
        <w:textAlignment w:val="top"/>
      </w:pPr>
      <w:r>
        <w:rPr>
          <w:rFonts w:ascii="Arial" w:eastAsia="宋体" w:hAnsi="Arial" w:cs="Arial"/>
          <w:color w:val="000000"/>
          <w:sz w:val="20"/>
          <w:szCs w:val="20"/>
        </w:rPr>
        <w:t xml:space="preserve">We recognize an allowance for credit losses in accordance with ASC 326 for financial assets held at amortized cost and off-balance sheet commitments. Prior to 2020, we recognized an </w:t>
      </w:r>
      <w:r>
        <w:rPr>
          <w:rFonts w:ascii="Arial" w:eastAsia="宋体" w:hAnsi="Arial" w:cs="Arial"/>
          <w:color w:val="000000"/>
          <w:sz w:val="20"/>
          <w:szCs w:val="20"/>
        </w:rPr>
        <w:t xml:space="preserve">allowance for loan losses under an incurred loss model. The allowance for credit losses is reviewed on a regular basis, and any provision for credit losses is recorded to reflect the amount necessary to maintain the allowance for expected credit losses at </w:t>
      </w:r>
      <w:r>
        <w:rPr>
          <w:rFonts w:ascii="Arial" w:eastAsia="宋体" w:hAnsi="Arial" w:cs="Arial"/>
          <w:color w:val="000000"/>
          <w:sz w:val="20"/>
          <w:szCs w:val="20"/>
        </w:rPr>
        <w:t>a level which represents what management does not expect to recover due to expected credit losses. For additional discussion on the allowance for credit losses for investment securities, please refer to Note 3.</w:t>
      </w:r>
    </w:p>
    <w:p w14:paraId="5F2D1A26" w14:textId="77777777" w:rsidR="00E836FB" w:rsidRDefault="00994958">
      <w:pPr>
        <w:spacing w:before="60"/>
        <w:ind w:firstLine="450"/>
        <w:jc w:val="both"/>
        <w:textAlignment w:val="top"/>
      </w:pPr>
      <w:r>
        <w:rPr>
          <w:rFonts w:ascii="Arial" w:eastAsia="宋体" w:hAnsi="Arial" w:cs="Arial"/>
          <w:color w:val="000000"/>
          <w:sz w:val="20"/>
          <w:szCs w:val="20"/>
        </w:rPr>
        <w:t>When the allowance is recorded, a provision f</w:t>
      </w:r>
      <w:r>
        <w:rPr>
          <w:rFonts w:ascii="Arial" w:eastAsia="宋体" w:hAnsi="Arial" w:cs="Arial"/>
          <w:color w:val="000000"/>
          <w:sz w:val="20"/>
          <w:szCs w:val="20"/>
        </w:rPr>
        <w:t xml:space="preserve">or credit loss expense is recognized in net income. The allowance for credit losses for financial assets (excluding investment securities, as discussed in Note 3) represents the portion of the amortized cost basis, including accrued interest for financial </w:t>
      </w:r>
      <w:r>
        <w:rPr>
          <w:rFonts w:ascii="Arial" w:eastAsia="宋体" w:hAnsi="Arial" w:cs="Arial"/>
          <w:color w:val="000000"/>
          <w:sz w:val="20"/>
          <w:szCs w:val="20"/>
        </w:rPr>
        <w:t xml:space="preserve">assets held at amortized cost, which management does not expect to recover due to expected credit losses and is presented on the statement of condition as an offset </w:t>
      </w:r>
    </w:p>
    <w:p w14:paraId="5F2D1A27" w14:textId="77777777" w:rsidR="00E836FB" w:rsidRDefault="00994958">
      <w:pPr>
        <w:spacing w:before="60"/>
        <w:jc w:val="both"/>
        <w:textAlignment w:val="top"/>
      </w:pPr>
      <w:r>
        <w:rPr>
          <w:rFonts w:ascii="Arial" w:eastAsia="宋体" w:hAnsi="Arial" w:cs="Arial"/>
          <w:color w:val="000000"/>
          <w:sz w:val="20"/>
          <w:szCs w:val="20"/>
        </w:rPr>
        <w:t>to the amortized cost basis. The accrued interest balance is presented separately on the s</w:t>
      </w:r>
      <w:r>
        <w:rPr>
          <w:rFonts w:ascii="Arial" w:eastAsia="宋体" w:hAnsi="Arial" w:cs="Arial"/>
          <w:color w:val="000000"/>
          <w:sz w:val="20"/>
          <w:szCs w:val="20"/>
        </w:rPr>
        <w:t>tatement of condition within accrued interest and fees receivable. The allowance for off-balance sheet commitments is presented within other liabilities. Loans are charged off to the allowance for credit losses in the reporting period in which either an ev</w:t>
      </w:r>
      <w:r>
        <w:rPr>
          <w:rFonts w:ascii="Arial" w:eastAsia="宋体" w:hAnsi="Arial" w:cs="Arial"/>
          <w:color w:val="000000"/>
          <w:sz w:val="20"/>
          <w:szCs w:val="20"/>
        </w:rPr>
        <w:t>ent occurs that confirms the existence of a loss on a loan, including a sale of a loan below its carrying value, or a portion of a loan is determined to be uncollectible.</w:t>
      </w:r>
    </w:p>
    <w:p w14:paraId="5F2D1A28" w14:textId="77777777" w:rsidR="00E836FB" w:rsidRDefault="00994958">
      <w:pPr>
        <w:spacing w:before="60"/>
        <w:ind w:firstLine="450"/>
        <w:jc w:val="both"/>
        <w:textAlignment w:val="top"/>
      </w:pPr>
      <w:r>
        <w:rPr>
          <w:rFonts w:ascii="Arial" w:eastAsia="宋体" w:hAnsi="Arial" w:cs="Arial"/>
          <w:color w:val="000000"/>
          <w:sz w:val="20"/>
          <w:szCs w:val="20"/>
        </w:rPr>
        <w:t>The allowance for credit losses may be determined using various methods, including di</w:t>
      </w:r>
      <w:r>
        <w:rPr>
          <w:rFonts w:ascii="Arial" w:eastAsia="宋体" w:hAnsi="Arial" w:cs="Arial"/>
          <w:color w:val="000000"/>
          <w:sz w:val="20"/>
          <w:szCs w:val="20"/>
        </w:rPr>
        <w:t>scounted cash flow methods, loss-rate methods, probability-of-default methods, and other quantitative or qualitative methods as determined by us. The method used to estimate expected credit losses may vary depending on the type of financial asset, our abil</w:t>
      </w:r>
      <w:r>
        <w:rPr>
          <w:rFonts w:ascii="Arial" w:eastAsia="宋体" w:hAnsi="Arial" w:cs="Arial"/>
          <w:color w:val="000000"/>
          <w:sz w:val="20"/>
          <w:szCs w:val="20"/>
        </w:rPr>
        <w:t>ity to predict the timing of cash flows, and the information available to us.</w:t>
      </w:r>
    </w:p>
    <w:p w14:paraId="5F2D1A29" w14:textId="77777777" w:rsidR="00E836FB" w:rsidRDefault="00994958">
      <w:pPr>
        <w:spacing w:before="60"/>
        <w:ind w:firstLine="450"/>
        <w:jc w:val="both"/>
        <w:textAlignment w:val="top"/>
      </w:pPr>
      <w:r>
        <w:rPr>
          <w:rFonts w:ascii="Arial" w:eastAsia="宋体" w:hAnsi="Arial" w:cs="Arial"/>
          <w:color w:val="000000"/>
          <w:sz w:val="20"/>
          <w:szCs w:val="20"/>
        </w:rPr>
        <w:t>The allowance for credit losses as reported in our consolidated statement of condition is adjusted by provision for credit losses, which is reported in earnings, and reduced by t</w:t>
      </w:r>
      <w:r>
        <w:rPr>
          <w:rFonts w:ascii="Arial" w:eastAsia="宋体" w:hAnsi="Arial" w:cs="Arial"/>
          <w:color w:val="000000"/>
          <w:sz w:val="20"/>
          <w:szCs w:val="20"/>
        </w:rPr>
        <w:t>he charge-off of principal amounts, net of recoveries.</w:t>
      </w:r>
    </w:p>
    <w:p w14:paraId="5F2D1A2A" w14:textId="77777777" w:rsidR="00E836FB" w:rsidRDefault="00994958">
      <w:pPr>
        <w:spacing w:before="60"/>
        <w:ind w:firstLine="450"/>
        <w:jc w:val="both"/>
        <w:textAlignment w:val="top"/>
      </w:pPr>
      <w:r>
        <w:rPr>
          <w:rFonts w:ascii="Arial" w:eastAsia="宋体" w:hAnsi="Arial" w:cs="Arial"/>
          <w:color w:val="000000"/>
          <w:sz w:val="20"/>
          <w:szCs w:val="20"/>
        </w:rPr>
        <w:t>We measure expected credit losses of financial assets on a collective (pool) basis when similar risk characteristic exist. Each reporting period, we assess whether the assets in the pool continue to di</w:t>
      </w:r>
      <w:r>
        <w:rPr>
          <w:rFonts w:ascii="Arial" w:eastAsia="宋体" w:hAnsi="Arial" w:cs="Arial"/>
          <w:color w:val="000000"/>
          <w:sz w:val="20"/>
          <w:szCs w:val="20"/>
        </w:rPr>
        <w:t>splay similar risk characteristics.</w:t>
      </w:r>
    </w:p>
    <w:p w14:paraId="5F2D1A2B" w14:textId="77777777" w:rsidR="00E836FB" w:rsidRDefault="00994958">
      <w:pPr>
        <w:spacing w:before="60"/>
        <w:ind w:firstLine="450"/>
        <w:jc w:val="both"/>
        <w:textAlignment w:val="top"/>
      </w:pPr>
      <w:r>
        <w:rPr>
          <w:rFonts w:ascii="Arial" w:eastAsia="宋体" w:hAnsi="Arial" w:cs="Arial"/>
          <w:color w:val="000000"/>
          <w:sz w:val="20"/>
          <w:szCs w:val="20"/>
        </w:rPr>
        <w:t>For a financial asset that does not share risk characteristics with other assets, expected credit losses are measured separately using one or more of the methods noted above. As of December 31, 2021, we had 9 loans for $</w:t>
      </w:r>
      <w:r>
        <w:rPr>
          <w:rFonts w:ascii="Arial" w:eastAsia="宋体" w:hAnsi="Arial" w:cs="Arial"/>
          <w:color w:val="000000"/>
          <w:sz w:val="20"/>
          <w:szCs w:val="20"/>
        </w:rPr>
        <w:t>232 million in the commercial and financial segment that no longer met the similar risk characteristics of their collective pool. We recorded an allowance for credit losses of $11 million as of December 31, 2021 on these loans.</w:t>
      </w:r>
    </w:p>
    <w:p w14:paraId="5F2D1A2C" w14:textId="77777777" w:rsidR="00E836FB" w:rsidRDefault="00994958">
      <w:pPr>
        <w:spacing w:before="60"/>
        <w:ind w:firstLine="450"/>
        <w:jc w:val="both"/>
        <w:textAlignment w:val="top"/>
      </w:pPr>
      <w:r>
        <w:rPr>
          <w:rFonts w:ascii="Arial" w:eastAsia="宋体" w:hAnsi="Arial" w:cs="Arial"/>
          <w:color w:val="000000"/>
          <w:sz w:val="20"/>
          <w:szCs w:val="20"/>
        </w:rPr>
        <w:t>When the asset is collateral</w:t>
      </w:r>
      <w:r>
        <w:rPr>
          <w:rFonts w:ascii="Arial" w:eastAsia="宋体" w:hAnsi="Arial" w:cs="Arial"/>
          <w:color w:val="000000"/>
          <w:sz w:val="20"/>
          <w:szCs w:val="20"/>
        </w:rPr>
        <w:t xml:space="preserve"> dependent, which means when the borrower is experiencing financial difficulty and repayment is expected to be provided substantially through the operation or sale of the collateral, expected credit losses are measured as the difference between the amortiz</w:t>
      </w:r>
      <w:r>
        <w:rPr>
          <w:rFonts w:ascii="Arial" w:eastAsia="宋体" w:hAnsi="Arial" w:cs="Arial"/>
          <w:color w:val="000000"/>
          <w:sz w:val="20"/>
          <w:szCs w:val="20"/>
        </w:rPr>
        <w:t>ed cost basis of the asset and the fair value of the collateral, adjusted for the estimated costs to sell.</w:t>
      </w:r>
    </w:p>
    <w:p w14:paraId="5F2D1A2D" w14:textId="77777777" w:rsidR="00E836FB" w:rsidRDefault="00994958">
      <w:pPr>
        <w:spacing w:before="60"/>
        <w:ind w:firstLine="450"/>
        <w:jc w:val="both"/>
        <w:textAlignment w:val="top"/>
      </w:pPr>
      <w:r>
        <w:rPr>
          <w:rFonts w:ascii="Arial" w:eastAsia="宋体" w:hAnsi="Arial" w:cs="Arial"/>
          <w:color w:val="000000"/>
          <w:sz w:val="20"/>
          <w:szCs w:val="20"/>
        </w:rPr>
        <w:t>Determining the appropriateness of the allowance is complex and requires judgment by management about the effect of matters that are inherently uncer</w:t>
      </w:r>
      <w:r>
        <w:rPr>
          <w:rFonts w:ascii="Arial" w:eastAsia="宋体" w:hAnsi="Arial" w:cs="Arial"/>
          <w:color w:val="000000"/>
          <w:sz w:val="20"/>
          <w:szCs w:val="20"/>
        </w:rPr>
        <w:t>tain. In future periods, factors and forecasts then prevailing may result in significant changes in the allowance for credit losses in those future periods.</w:t>
      </w:r>
    </w:p>
    <w:p w14:paraId="5F2D1A2E" w14:textId="77777777" w:rsidR="00E836FB" w:rsidRDefault="00994958">
      <w:pPr>
        <w:spacing w:before="60"/>
        <w:ind w:firstLine="450"/>
        <w:jc w:val="both"/>
        <w:textAlignment w:val="top"/>
      </w:pPr>
      <w:r>
        <w:rPr>
          <w:rFonts w:ascii="Arial" w:eastAsia="宋体" w:hAnsi="Arial" w:cs="Arial"/>
          <w:color w:val="000000"/>
          <w:sz w:val="20"/>
          <w:szCs w:val="20"/>
        </w:rPr>
        <w:t>We estimate credit losses over the contractual life of the financial asset, while factoring in prep</w:t>
      </w:r>
      <w:r>
        <w:rPr>
          <w:rFonts w:ascii="Arial" w:eastAsia="宋体" w:hAnsi="Arial" w:cs="Arial"/>
          <w:color w:val="000000"/>
          <w:sz w:val="20"/>
          <w:szCs w:val="20"/>
        </w:rPr>
        <w:t xml:space="preserve">ayment activity, where supported by data, over a </w:t>
      </w:r>
    </w:p>
    <w:p w14:paraId="5F2D1A2F" w14:textId="77777777" w:rsidR="00E836FB" w:rsidRDefault="00994958">
      <w:pPr>
        <w:ind w:firstLine="450"/>
        <w:jc w:val="right"/>
      </w:pPr>
      <w:r>
        <w:rPr>
          <w:rFonts w:ascii="Arial" w:eastAsia="宋体" w:hAnsi="Arial" w:cs="Arial"/>
          <w:color w:val="000000"/>
          <w:sz w:val="18"/>
          <w:szCs w:val="18"/>
        </w:rPr>
        <w:t>State Street Corporation | 150</w:t>
      </w:r>
    </w:p>
    <w:p w14:paraId="5F2D1A30" w14:textId="77777777" w:rsidR="00E836FB" w:rsidRDefault="00E836FB">
      <w:pPr>
        <w:ind w:firstLine="450"/>
        <w:jc w:val="center"/>
      </w:pPr>
    </w:p>
    <w:p w14:paraId="5F2D1A31" w14:textId="77777777" w:rsidR="00E836FB" w:rsidRDefault="00994958">
      <w:r>
        <w:pict w14:anchorId="5F2D6E1B">
          <v:rect id="_x0000_i1174" style="width:415.3pt;height:1.5pt" o:hralign="center" o:hrstd="t" o:hr="t" fillcolor="#a0a0a0" stroked="f"/>
        </w:pict>
      </w:r>
    </w:p>
    <w:p w14:paraId="5F2D1A32" w14:textId="77777777" w:rsidR="00E836FB" w:rsidRDefault="00994958">
      <w:pPr>
        <w:ind w:firstLine="450"/>
        <w:jc w:val="center"/>
      </w:pPr>
      <w:r>
        <w:rPr>
          <w:rFonts w:ascii="Arial" w:eastAsia="宋体" w:hAnsi="Arial" w:cs="Arial"/>
          <w:b/>
          <w:bCs/>
          <w:color w:val="000000"/>
          <w:sz w:val="20"/>
          <w:szCs w:val="20"/>
        </w:rPr>
        <w:t>STATE STREET CORPORATION</w:t>
      </w:r>
    </w:p>
    <w:p w14:paraId="5F2D1A33"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1A34" w14:textId="77777777" w:rsidR="00E836FB" w:rsidRDefault="00994958">
      <w:pPr>
        <w:spacing w:before="60"/>
        <w:jc w:val="both"/>
        <w:textAlignment w:val="top"/>
      </w:pPr>
      <w:r>
        <w:rPr>
          <w:rFonts w:ascii="Arial" w:eastAsia="宋体" w:hAnsi="Arial" w:cs="Arial"/>
          <w:color w:val="000000"/>
          <w:sz w:val="20"/>
          <w:szCs w:val="20"/>
        </w:rPr>
        <w:t>three year reasonable and supportable forecast period. We utilize a baseline, upside and downside scenar</w:t>
      </w:r>
      <w:r>
        <w:rPr>
          <w:rFonts w:ascii="Arial" w:eastAsia="宋体" w:hAnsi="Arial" w:cs="Arial"/>
          <w:color w:val="000000"/>
          <w:sz w:val="20"/>
          <w:szCs w:val="20"/>
        </w:rPr>
        <w:t>io which are applied based on a probability weighting, in order to better reflect management’s expectation of expected credit losses given existing market conditions and the changes in the economic environment. The multiple scenarios are based on a three y</w:t>
      </w:r>
      <w:r>
        <w:rPr>
          <w:rFonts w:ascii="Arial" w:eastAsia="宋体" w:hAnsi="Arial" w:cs="Arial"/>
          <w:color w:val="000000"/>
          <w:sz w:val="20"/>
          <w:szCs w:val="20"/>
        </w:rPr>
        <w:t>ear horizon (or less depending on contractual maturity) and then revert linearly over a two year period to a ten-year historical average thereafter. The contractual term excludes expected extensions, renewals and modifications, but includes prepayment assu</w:t>
      </w:r>
      <w:r>
        <w:rPr>
          <w:rFonts w:ascii="Arial" w:eastAsia="宋体" w:hAnsi="Arial" w:cs="Arial"/>
          <w:color w:val="000000"/>
          <w:sz w:val="20"/>
          <w:szCs w:val="20"/>
        </w:rPr>
        <w:t xml:space="preserve">mptions where applicable. </w:t>
      </w:r>
    </w:p>
    <w:p w14:paraId="5F2D1A35" w14:textId="77777777" w:rsidR="00E836FB" w:rsidRDefault="00994958">
      <w:pPr>
        <w:spacing w:before="60"/>
        <w:ind w:firstLine="450"/>
        <w:jc w:val="both"/>
        <w:textAlignment w:val="top"/>
      </w:pPr>
      <w:r>
        <w:rPr>
          <w:rFonts w:ascii="Arial" w:eastAsia="宋体" w:hAnsi="Arial" w:cs="Arial"/>
          <w:color w:val="000000"/>
          <w:sz w:val="20"/>
          <w:szCs w:val="20"/>
        </w:rPr>
        <w:t>As part of our allowance methodology, we establish qualitative reserves to address any risks inherent in our portfolio that are not addressed through our quantitative reserve assessment. These factors may relate to, among other t</w:t>
      </w:r>
      <w:r>
        <w:rPr>
          <w:rFonts w:ascii="Arial" w:eastAsia="宋体" w:hAnsi="Arial" w:cs="Arial"/>
          <w:color w:val="000000"/>
          <w:sz w:val="20"/>
          <w:szCs w:val="20"/>
        </w:rPr>
        <w:t>hings, legislation changes or new regulation, credit concentration, loan markets, scenario weighting and overall model limitations. The qualitative adjustments are applied to our portfolio of financial instruments under the existing governance structure an</w:t>
      </w:r>
      <w:r>
        <w:rPr>
          <w:rFonts w:ascii="Arial" w:eastAsia="宋体" w:hAnsi="Arial" w:cs="Arial"/>
          <w:color w:val="000000"/>
          <w:sz w:val="20"/>
          <w:szCs w:val="20"/>
        </w:rPr>
        <w:t>d are inherently judgmental.</w:t>
      </w:r>
    </w:p>
    <w:p w14:paraId="5F2D1A36" w14:textId="77777777" w:rsidR="00E836FB" w:rsidRDefault="00994958">
      <w:pPr>
        <w:spacing w:before="90"/>
        <w:jc w:val="both"/>
        <w:textAlignment w:val="top"/>
      </w:pPr>
      <w:r>
        <w:rPr>
          <w:rFonts w:ascii="Arial" w:eastAsia="宋体" w:hAnsi="Arial" w:cs="Arial"/>
          <w:b/>
          <w:bCs/>
          <w:color w:val="000000"/>
          <w:sz w:val="20"/>
          <w:szCs w:val="20"/>
        </w:rPr>
        <w:t>Credit Quality</w:t>
      </w:r>
    </w:p>
    <w:p w14:paraId="5F2D1A37" w14:textId="77777777" w:rsidR="00E836FB" w:rsidRDefault="00994958">
      <w:pPr>
        <w:spacing w:before="60"/>
        <w:ind w:firstLine="450"/>
        <w:jc w:val="both"/>
        <w:textAlignment w:val="top"/>
      </w:pPr>
      <w:r>
        <w:rPr>
          <w:rFonts w:ascii="Arial" w:eastAsia="宋体" w:hAnsi="Arial" w:cs="Arial"/>
          <w:color w:val="000000"/>
          <w:sz w:val="20"/>
          <w:szCs w:val="20"/>
        </w:rPr>
        <w:t xml:space="preserve">Credit quality for financial assets held at amortized cost is continuously monitored by management and is reflected within the allowance for credit losses. </w:t>
      </w:r>
    </w:p>
    <w:p w14:paraId="5F2D1A38" w14:textId="77777777" w:rsidR="00E836FB" w:rsidRDefault="00994958">
      <w:pPr>
        <w:spacing w:before="60"/>
        <w:ind w:firstLine="450"/>
        <w:jc w:val="both"/>
        <w:textAlignment w:val="top"/>
      </w:pPr>
      <w:r>
        <w:rPr>
          <w:rFonts w:ascii="Arial" w:eastAsia="宋体" w:hAnsi="Arial" w:cs="Arial"/>
          <w:color w:val="000000"/>
          <w:sz w:val="20"/>
          <w:szCs w:val="20"/>
        </w:rPr>
        <w:t>We use an internal risk-rating system to assess our risk of credit loss for each loan. This risk-ra</w:t>
      </w:r>
      <w:r>
        <w:rPr>
          <w:rFonts w:ascii="Arial" w:eastAsia="宋体" w:hAnsi="Arial" w:cs="Arial"/>
          <w:color w:val="000000"/>
          <w:sz w:val="20"/>
          <w:szCs w:val="20"/>
        </w:rPr>
        <w:t xml:space="preserve">ting process incorporates the use of risk-rating tools in conjunction with management judgment. Qualitative and quantitative inputs are captured in a systematic manner, and following a formal review and approval process, an internal credit rating based on </w:t>
      </w:r>
      <w:r>
        <w:rPr>
          <w:rFonts w:ascii="Arial" w:eastAsia="宋体" w:hAnsi="Arial" w:cs="Arial"/>
          <w:color w:val="000000"/>
          <w:sz w:val="20"/>
          <w:szCs w:val="20"/>
        </w:rPr>
        <w:t>our credit scale is assigned.</w:t>
      </w:r>
    </w:p>
    <w:p w14:paraId="5F2D1A39" w14:textId="77777777" w:rsidR="00E836FB" w:rsidRDefault="00994958">
      <w:pPr>
        <w:spacing w:before="60"/>
        <w:ind w:firstLine="450"/>
        <w:jc w:val="both"/>
        <w:textAlignment w:val="top"/>
      </w:pPr>
      <w:r>
        <w:rPr>
          <w:rFonts w:ascii="Arial" w:eastAsia="宋体" w:hAnsi="Arial" w:cs="Arial"/>
          <w:color w:val="000000"/>
          <w:sz w:val="20"/>
          <w:szCs w:val="20"/>
        </w:rPr>
        <w:t>When computing allowance levels, credit loss assumptions are estimated using a model that categorizes asset pools based on loss history, delinquency status and other credit trends and risk characteristics, including current co</w:t>
      </w:r>
      <w:r>
        <w:rPr>
          <w:rFonts w:ascii="Arial" w:eastAsia="宋体" w:hAnsi="Arial" w:cs="Arial"/>
          <w:color w:val="000000"/>
          <w:sz w:val="20"/>
          <w:szCs w:val="20"/>
        </w:rPr>
        <w:t xml:space="preserve">nditions and reasonable and supportable forecasts about the future. Determining the appropriateness of the allowance is complex and requires judgment by management about the effect of matters that are inherently uncertain. In future periods evaluations of </w:t>
      </w:r>
      <w:r>
        <w:rPr>
          <w:rFonts w:ascii="Arial" w:eastAsia="宋体" w:hAnsi="Arial" w:cs="Arial"/>
          <w:color w:val="000000"/>
          <w:sz w:val="20"/>
          <w:szCs w:val="20"/>
        </w:rPr>
        <w:t>the overall asset portfolio, in light of the factors and forecasts then prevailing, may result in significant changes in the allowance and credit loss expense in those future periods.</w:t>
      </w:r>
    </w:p>
    <w:p w14:paraId="5F2D1A3A" w14:textId="77777777" w:rsidR="00E836FB" w:rsidRDefault="00994958">
      <w:pPr>
        <w:spacing w:before="60"/>
        <w:ind w:firstLine="450"/>
        <w:jc w:val="both"/>
        <w:textAlignment w:val="top"/>
      </w:pPr>
      <w:r>
        <w:rPr>
          <w:rFonts w:ascii="Arial" w:eastAsia="宋体" w:hAnsi="Arial" w:cs="Arial"/>
          <w:color w:val="000000"/>
          <w:sz w:val="20"/>
          <w:szCs w:val="20"/>
        </w:rPr>
        <w:t>Credit quality is assessed and monitored by evaluating various attribute</w:t>
      </w:r>
      <w:r>
        <w:rPr>
          <w:rFonts w:ascii="Arial" w:eastAsia="宋体" w:hAnsi="Arial" w:cs="Arial"/>
          <w:color w:val="000000"/>
          <w:sz w:val="20"/>
          <w:szCs w:val="20"/>
        </w:rPr>
        <w:t xml:space="preserve">s in order to enable the earliest possible detection of any concerns with the customer’s credit rating. The results of those </w:t>
      </w:r>
    </w:p>
    <w:p w14:paraId="5F2D1A3B" w14:textId="77777777" w:rsidR="00E836FB" w:rsidRDefault="00994958">
      <w:pPr>
        <w:spacing w:before="60"/>
        <w:jc w:val="both"/>
        <w:textAlignment w:val="top"/>
      </w:pPr>
      <w:r>
        <w:rPr>
          <w:rFonts w:ascii="Arial" w:eastAsia="宋体" w:hAnsi="Arial" w:cs="Arial"/>
          <w:color w:val="000000"/>
          <w:sz w:val="20"/>
          <w:szCs w:val="20"/>
        </w:rPr>
        <w:t xml:space="preserve">evaluations are utilized in underwriting new loans and transactions with counterparties and in our process for </w:t>
      </w:r>
      <w:r>
        <w:rPr>
          <w:rFonts w:ascii="Arial" w:eastAsia="宋体" w:hAnsi="Arial" w:cs="Arial"/>
          <w:color w:val="000000"/>
          <w:sz w:val="20"/>
          <w:szCs w:val="20"/>
        </w:rPr>
        <w:t>estimation of expected credit losses.</w:t>
      </w:r>
    </w:p>
    <w:p w14:paraId="5F2D1A3C" w14:textId="77777777" w:rsidR="00E836FB" w:rsidRDefault="00994958">
      <w:pPr>
        <w:spacing w:before="60"/>
        <w:ind w:firstLine="450"/>
        <w:jc w:val="both"/>
        <w:textAlignment w:val="top"/>
      </w:pPr>
      <w:r>
        <w:rPr>
          <w:rFonts w:ascii="Arial" w:eastAsia="宋体" w:hAnsi="Arial" w:cs="Arial"/>
          <w:color w:val="000000"/>
          <w:sz w:val="20"/>
          <w:szCs w:val="20"/>
        </w:rPr>
        <w:t>In assessing the risk rating assigned to each individual loan, among the factors considered are the borrower's debt capacity, collateral coverage, payment history and delinquency experience, financial flexibility and e</w:t>
      </w:r>
      <w:r>
        <w:rPr>
          <w:rFonts w:ascii="Arial" w:eastAsia="宋体" w:hAnsi="Arial" w:cs="Arial"/>
          <w:color w:val="000000"/>
          <w:sz w:val="20"/>
          <w:szCs w:val="20"/>
        </w:rPr>
        <w:t>arnings strength, the expected amounts and source of repayment, the level and nature of contingencies, if any, and the industry and geography in which the borrower operates. These factors are based on an evaluation of historical and current information, an</w:t>
      </w:r>
      <w:r>
        <w:rPr>
          <w:rFonts w:ascii="Arial" w:eastAsia="宋体" w:hAnsi="Arial" w:cs="Arial"/>
          <w:color w:val="000000"/>
          <w:sz w:val="20"/>
          <w:szCs w:val="20"/>
        </w:rPr>
        <w:t>d involve subjective assessment and interpretation. Credit counterparties are evaluated and risk-rated on an individual basis at least annually. Management considers the ratings to be current as of December 31, 2021.</w:t>
      </w:r>
    </w:p>
    <w:p w14:paraId="5F2D1A3D" w14:textId="77777777" w:rsidR="00E836FB" w:rsidRDefault="00994958">
      <w:pPr>
        <w:spacing w:before="60"/>
        <w:ind w:firstLine="450"/>
        <w:jc w:val="both"/>
        <w:textAlignment w:val="top"/>
      </w:pPr>
      <w:r>
        <w:rPr>
          <w:rFonts w:ascii="Arial" w:eastAsia="宋体" w:hAnsi="Arial" w:cs="Arial"/>
          <w:color w:val="000000"/>
          <w:sz w:val="20"/>
          <w:szCs w:val="20"/>
        </w:rPr>
        <w:t>Our internal risk rating methodology as</w:t>
      </w:r>
      <w:r>
        <w:rPr>
          <w:rFonts w:ascii="Arial" w:eastAsia="宋体" w:hAnsi="Arial" w:cs="Arial"/>
          <w:color w:val="000000"/>
          <w:sz w:val="20"/>
          <w:szCs w:val="20"/>
        </w:rPr>
        <w:t>signs risk ratings to counterparties ranging from Investment Grade, Speculative, Special Mention, Substandard, Doubtful and Loss.</w:t>
      </w:r>
    </w:p>
    <w:p w14:paraId="5F2D1A3E" w14:textId="77777777" w:rsidR="00E836FB" w:rsidRDefault="00994958">
      <w:pPr>
        <w:spacing w:before="60"/>
        <w:ind w:hanging="360"/>
        <w:jc w:val="both"/>
        <w:textAlignment w:val="top"/>
      </w:pPr>
      <w:r>
        <w:rPr>
          <w:rFonts w:ascii="Arial" w:eastAsia="宋体" w:hAnsi="Arial" w:cs="Arial"/>
          <w:color w:val="000000"/>
          <w:sz w:val="20"/>
          <w:szCs w:val="20"/>
        </w:rPr>
        <w:t>•Investment Grade: Counterparties with strong credit quality and low expected credit risk and probability of default. Approxim</w:t>
      </w:r>
      <w:r>
        <w:rPr>
          <w:rFonts w:ascii="Arial" w:eastAsia="宋体" w:hAnsi="Arial" w:cs="Arial"/>
          <w:color w:val="000000"/>
          <w:sz w:val="20"/>
          <w:szCs w:val="20"/>
        </w:rPr>
        <w:t>ately 84% of our loans were rated as investment grade as of December 31, 2021 with external credit ratings, or equivalent, of "BBB-" or better.</w:t>
      </w:r>
    </w:p>
    <w:p w14:paraId="5F2D1A3F" w14:textId="77777777" w:rsidR="00E836FB" w:rsidRDefault="00994958">
      <w:pPr>
        <w:spacing w:before="60"/>
        <w:ind w:hanging="360"/>
        <w:jc w:val="both"/>
        <w:textAlignment w:val="top"/>
      </w:pPr>
      <w:r>
        <w:rPr>
          <w:rFonts w:ascii="Arial" w:eastAsia="宋体" w:hAnsi="Arial" w:cs="Arial"/>
          <w:color w:val="000000"/>
          <w:sz w:val="20"/>
          <w:szCs w:val="20"/>
        </w:rPr>
        <w:t xml:space="preserve">•Speculative: Counterparties that have the ability to repay but face significant uncertainties, such as adverse </w:t>
      </w:r>
      <w:r>
        <w:rPr>
          <w:rFonts w:ascii="Arial" w:eastAsia="宋体" w:hAnsi="Arial" w:cs="Arial"/>
          <w:color w:val="000000"/>
          <w:sz w:val="20"/>
          <w:szCs w:val="20"/>
        </w:rPr>
        <w:t>business or financial circumstances that could affect credit risk or economic downturns. Loans to counterparties rated as speculative account for approximately 15% of our loans as of December 31, 2021, and are concentrated in leveraged loans. Approximately</w:t>
      </w:r>
      <w:r>
        <w:rPr>
          <w:rFonts w:ascii="Arial" w:eastAsia="宋体" w:hAnsi="Arial" w:cs="Arial"/>
          <w:color w:val="000000"/>
          <w:sz w:val="20"/>
          <w:szCs w:val="20"/>
        </w:rPr>
        <w:t xml:space="preserve"> 94% of those leveraged loans have an external credit rating, or equivalent, of "BB" or "B" as of December 31, 2021.</w:t>
      </w:r>
    </w:p>
    <w:p w14:paraId="5F2D1A40" w14:textId="77777777" w:rsidR="00E836FB" w:rsidRDefault="00994958">
      <w:pPr>
        <w:spacing w:before="60"/>
        <w:ind w:hanging="360"/>
        <w:jc w:val="both"/>
        <w:textAlignment w:val="top"/>
      </w:pPr>
      <w:r>
        <w:rPr>
          <w:rFonts w:ascii="Arial" w:eastAsia="宋体" w:hAnsi="Arial" w:cs="Arial"/>
          <w:color w:val="000000"/>
          <w:sz w:val="20"/>
          <w:szCs w:val="20"/>
        </w:rPr>
        <w:t>•Special Mention: Counterparties with potential weaknesses that, if uncorrected, may result in deterioration of repayment prospects.</w:t>
      </w:r>
    </w:p>
    <w:p w14:paraId="5F2D1A41" w14:textId="77777777" w:rsidR="00E836FB" w:rsidRDefault="00994958">
      <w:pPr>
        <w:spacing w:before="60"/>
        <w:ind w:hanging="360"/>
        <w:jc w:val="both"/>
        <w:textAlignment w:val="top"/>
      </w:pPr>
      <w:r>
        <w:rPr>
          <w:rFonts w:ascii="Arial" w:eastAsia="宋体" w:hAnsi="Arial" w:cs="Arial"/>
          <w:color w:val="000000"/>
          <w:sz w:val="20"/>
          <w:szCs w:val="20"/>
        </w:rPr>
        <w:t>•Subst</w:t>
      </w:r>
      <w:r>
        <w:rPr>
          <w:rFonts w:ascii="Arial" w:eastAsia="宋体" w:hAnsi="Arial" w:cs="Arial"/>
          <w:color w:val="000000"/>
          <w:sz w:val="20"/>
          <w:szCs w:val="20"/>
        </w:rPr>
        <w:t xml:space="preserve">andard: Counterparties with well-defined weakness that jeopardizes repayment with the possibility we will sustain some loss. </w:t>
      </w:r>
    </w:p>
    <w:p w14:paraId="5F2D1A42" w14:textId="77777777" w:rsidR="00E836FB" w:rsidRDefault="00994958">
      <w:pPr>
        <w:spacing w:before="60"/>
        <w:ind w:hanging="360"/>
        <w:jc w:val="both"/>
        <w:textAlignment w:val="top"/>
      </w:pPr>
      <w:r>
        <w:rPr>
          <w:rFonts w:ascii="Arial" w:eastAsia="宋体" w:hAnsi="Arial" w:cs="Arial"/>
          <w:color w:val="000000"/>
          <w:sz w:val="20"/>
          <w:szCs w:val="20"/>
        </w:rPr>
        <w:t>•Doubtful: Counterparties with well-defined weakness which make collection or liquidation in full highly questionable and improbab</w:t>
      </w:r>
      <w:r>
        <w:rPr>
          <w:rFonts w:ascii="Arial" w:eastAsia="宋体" w:hAnsi="Arial" w:cs="Arial"/>
          <w:color w:val="000000"/>
          <w:sz w:val="20"/>
          <w:szCs w:val="20"/>
        </w:rPr>
        <w:t xml:space="preserve">le. </w:t>
      </w:r>
    </w:p>
    <w:p w14:paraId="5F2D1A43" w14:textId="77777777" w:rsidR="00E836FB" w:rsidRDefault="00994958">
      <w:pPr>
        <w:spacing w:before="60"/>
        <w:ind w:hanging="360"/>
        <w:jc w:val="both"/>
        <w:textAlignment w:val="top"/>
      </w:pPr>
      <w:r>
        <w:rPr>
          <w:rFonts w:ascii="Arial" w:eastAsia="宋体" w:hAnsi="Arial" w:cs="Arial"/>
          <w:color w:val="000000"/>
          <w:sz w:val="20"/>
          <w:szCs w:val="20"/>
        </w:rPr>
        <w:t xml:space="preserve">•Loss: Counterparties which are uncollectible or have little value. </w:t>
      </w:r>
    </w:p>
    <w:p w14:paraId="5F2D1A44" w14:textId="77777777" w:rsidR="00E836FB" w:rsidRDefault="00994958">
      <w:pPr>
        <w:ind w:firstLine="450"/>
        <w:jc w:val="right"/>
      </w:pPr>
      <w:r>
        <w:rPr>
          <w:rFonts w:ascii="Arial" w:eastAsia="宋体" w:hAnsi="Arial" w:cs="Arial"/>
          <w:color w:val="000000"/>
          <w:sz w:val="18"/>
          <w:szCs w:val="18"/>
        </w:rPr>
        <w:t>State Street Corporation | 151</w:t>
      </w:r>
    </w:p>
    <w:p w14:paraId="5F2D1A45" w14:textId="77777777" w:rsidR="00E836FB" w:rsidRDefault="00E836FB">
      <w:pPr>
        <w:ind w:firstLine="450"/>
        <w:jc w:val="center"/>
      </w:pPr>
    </w:p>
    <w:p w14:paraId="5F2D1A46" w14:textId="77777777" w:rsidR="00E836FB" w:rsidRDefault="00994958">
      <w:r>
        <w:pict w14:anchorId="5F2D6E1C">
          <v:rect id="_x0000_i1175" style="width:415.3pt;height:1.5pt" o:hralign="center" o:hrstd="t" o:hr="t" fillcolor="#a0a0a0" stroked="f"/>
        </w:pict>
      </w:r>
    </w:p>
    <w:p w14:paraId="5F2D1A47" w14:textId="77777777" w:rsidR="00E836FB" w:rsidRDefault="00994958">
      <w:pPr>
        <w:ind w:firstLine="450"/>
        <w:jc w:val="center"/>
      </w:pPr>
      <w:r>
        <w:rPr>
          <w:rFonts w:ascii="Arial" w:eastAsia="宋体" w:hAnsi="Arial" w:cs="Arial"/>
          <w:b/>
          <w:bCs/>
          <w:color w:val="000000"/>
          <w:sz w:val="20"/>
          <w:szCs w:val="20"/>
        </w:rPr>
        <w:t>STATE STREET CORPORATION</w:t>
      </w:r>
    </w:p>
    <w:p w14:paraId="5F2D1A48"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1A49" w14:textId="77777777" w:rsidR="00E836FB" w:rsidRDefault="00994958">
      <w:pPr>
        <w:spacing w:before="60"/>
        <w:ind w:firstLine="450"/>
        <w:jc w:val="both"/>
      </w:pPr>
      <w:r>
        <w:rPr>
          <w:rFonts w:ascii="Arial" w:eastAsia="宋体" w:hAnsi="Arial" w:cs="Arial"/>
          <w:color w:val="000000"/>
          <w:sz w:val="20"/>
          <w:szCs w:val="20"/>
        </w:rPr>
        <w:t>The following tables present our recorded loans to counterparties by risk rating</w:t>
      </w:r>
      <w:r>
        <w:rPr>
          <w:rFonts w:ascii="Arial" w:eastAsia="宋体" w:hAnsi="Arial" w:cs="Arial"/>
          <w:color w:val="000000"/>
          <w:sz w:val="20"/>
          <w:szCs w:val="20"/>
        </w:rPr>
        <w:t>, as noted above,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096"/>
        <w:gridCol w:w="37"/>
        <w:gridCol w:w="99"/>
        <w:gridCol w:w="1511"/>
        <w:gridCol w:w="36"/>
        <w:gridCol w:w="36"/>
        <w:gridCol w:w="36"/>
        <w:gridCol w:w="36"/>
        <w:gridCol w:w="99"/>
        <w:gridCol w:w="1511"/>
        <w:gridCol w:w="36"/>
        <w:gridCol w:w="36"/>
        <w:gridCol w:w="36"/>
        <w:gridCol w:w="36"/>
        <w:gridCol w:w="98"/>
        <w:gridCol w:w="1511"/>
        <w:gridCol w:w="36"/>
      </w:tblGrid>
      <w:tr w:rsidR="00E836FB" w14:paraId="5F2D1A5C" w14:textId="77777777">
        <w:tc>
          <w:tcPr>
            <w:tcW w:w="50" w:type="pct"/>
            <w:shd w:val="clear" w:color="auto" w:fill="auto"/>
            <w:vAlign w:val="bottom"/>
          </w:tcPr>
          <w:p w14:paraId="5F2D1A4A" w14:textId="77777777" w:rsidR="00E836FB" w:rsidRDefault="00E836FB">
            <w:pPr>
              <w:rPr>
                <w:rFonts w:ascii="宋体"/>
              </w:rPr>
            </w:pPr>
          </w:p>
        </w:tc>
        <w:tc>
          <w:tcPr>
            <w:tcW w:w="1899" w:type="pct"/>
            <w:shd w:val="clear" w:color="auto" w:fill="auto"/>
            <w:vAlign w:val="bottom"/>
          </w:tcPr>
          <w:p w14:paraId="5F2D1A4B" w14:textId="77777777" w:rsidR="00E836FB" w:rsidRDefault="00E836FB">
            <w:pPr>
              <w:rPr>
                <w:rFonts w:ascii="宋体"/>
              </w:rPr>
            </w:pPr>
          </w:p>
        </w:tc>
        <w:tc>
          <w:tcPr>
            <w:tcW w:w="5" w:type="pct"/>
            <w:shd w:val="clear" w:color="auto" w:fill="auto"/>
            <w:vAlign w:val="bottom"/>
          </w:tcPr>
          <w:p w14:paraId="5F2D1A4C" w14:textId="77777777" w:rsidR="00E836FB" w:rsidRDefault="00E836FB">
            <w:pPr>
              <w:rPr>
                <w:rFonts w:ascii="宋体"/>
              </w:rPr>
            </w:pPr>
          </w:p>
        </w:tc>
        <w:tc>
          <w:tcPr>
            <w:tcW w:w="50" w:type="pct"/>
            <w:shd w:val="clear" w:color="auto" w:fill="auto"/>
            <w:vAlign w:val="bottom"/>
          </w:tcPr>
          <w:p w14:paraId="5F2D1A4D" w14:textId="77777777" w:rsidR="00E836FB" w:rsidRDefault="00E836FB">
            <w:pPr>
              <w:rPr>
                <w:rFonts w:ascii="宋体"/>
              </w:rPr>
            </w:pPr>
          </w:p>
        </w:tc>
        <w:tc>
          <w:tcPr>
            <w:tcW w:w="940" w:type="pct"/>
            <w:shd w:val="clear" w:color="auto" w:fill="auto"/>
            <w:vAlign w:val="bottom"/>
          </w:tcPr>
          <w:p w14:paraId="5F2D1A4E" w14:textId="77777777" w:rsidR="00E836FB" w:rsidRDefault="00E836FB">
            <w:pPr>
              <w:rPr>
                <w:rFonts w:ascii="宋体"/>
              </w:rPr>
            </w:pPr>
          </w:p>
        </w:tc>
        <w:tc>
          <w:tcPr>
            <w:tcW w:w="5" w:type="pct"/>
            <w:shd w:val="clear" w:color="auto" w:fill="auto"/>
            <w:vAlign w:val="bottom"/>
          </w:tcPr>
          <w:p w14:paraId="5F2D1A4F" w14:textId="77777777" w:rsidR="00E836FB" w:rsidRDefault="00E836FB">
            <w:pPr>
              <w:rPr>
                <w:rFonts w:ascii="宋体"/>
              </w:rPr>
            </w:pPr>
          </w:p>
        </w:tc>
        <w:tc>
          <w:tcPr>
            <w:tcW w:w="5" w:type="pct"/>
            <w:shd w:val="clear" w:color="auto" w:fill="auto"/>
            <w:vAlign w:val="bottom"/>
          </w:tcPr>
          <w:p w14:paraId="5F2D1A50" w14:textId="77777777" w:rsidR="00E836FB" w:rsidRDefault="00E836FB">
            <w:pPr>
              <w:rPr>
                <w:rFonts w:ascii="宋体"/>
              </w:rPr>
            </w:pPr>
          </w:p>
        </w:tc>
        <w:tc>
          <w:tcPr>
            <w:tcW w:w="19" w:type="pct"/>
            <w:shd w:val="clear" w:color="auto" w:fill="auto"/>
            <w:vAlign w:val="bottom"/>
          </w:tcPr>
          <w:p w14:paraId="5F2D1A51" w14:textId="77777777" w:rsidR="00E836FB" w:rsidRDefault="00E836FB">
            <w:pPr>
              <w:rPr>
                <w:rFonts w:ascii="宋体"/>
              </w:rPr>
            </w:pPr>
          </w:p>
        </w:tc>
        <w:tc>
          <w:tcPr>
            <w:tcW w:w="5" w:type="pct"/>
            <w:shd w:val="clear" w:color="auto" w:fill="auto"/>
            <w:vAlign w:val="bottom"/>
          </w:tcPr>
          <w:p w14:paraId="5F2D1A52" w14:textId="77777777" w:rsidR="00E836FB" w:rsidRDefault="00E836FB">
            <w:pPr>
              <w:rPr>
                <w:rFonts w:ascii="宋体"/>
              </w:rPr>
            </w:pPr>
          </w:p>
        </w:tc>
        <w:tc>
          <w:tcPr>
            <w:tcW w:w="50" w:type="pct"/>
            <w:shd w:val="clear" w:color="auto" w:fill="auto"/>
            <w:vAlign w:val="bottom"/>
          </w:tcPr>
          <w:p w14:paraId="5F2D1A53" w14:textId="77777777" w:rsidR="00E836FB" w:rsidRDefault="00E836FB">
            <w:pPr>
              <w:rPr>
                <w:rFonts w:ascii="宋体"/>
              </w:rPr>
            </w:pPr>
          </w:p>
        </w:tc>
        <w:tc>
          <w:tcPr>
            <w:tcW w:w="940" w:type="pct"/>
            <w:shd w:val="clear" w:color="auto" w:fill="auto"/>
            <w:vAlign w:val="bottom"/>
          </w:tcPr>
          <w:p w14:paraId="5F2D1A54" w14:textId="77777777" w:rsidR="00E836FB" w:rsidRDefault="00E836FB">
            <w:pPr>
              <w:rPr>
                <w:rFonts w:ascii="宋体"/>
              </w:rPr>
            </w:pPr>
          </w:p>
        </w:tc>
        <w:tc>
          <w:tcPr>
            <w:tcW w:w="5" w:type="pct"/>
            <w:shd w:val="clear" w:color="auto" w:fill="auto"/>
            <w:vAlign w:val="bottom"/>
          </w:tcPr>
          <w:p w14:paraId="5F2D1A55" w14:textId="77777777" w:rsidR="00E836FB" w:rsidRDefault="00E836FB">
            <w:pPr>
              <w:rPr>
                <w:rFonts w:ascii="宋体"/>
              </w:rPr>
            </w:pPr>
          </w:p>
        </w:tc>
        <w:tc>
          <w:tcPr>
            <w:tcW w:w="5" w:type="pct"/>
            <w:shd w:val="clear" w:color="auto" w:fill="auto"/>
            <w:vAlign w:val="bottom"/>
          </w:tcPr>
          <w:p w14:paraId="5F2D1A56" w14:textId="77777777" w:rsidR="00E836FB" w:rsidRDefault="00E836FB">
            <w:pPr>
              <w:rPr>
                <w:rFonts w:ascii="宋体"/>
              </w:rPr>
            </w:pPr>
          </w:p>
        </w:tc>
        <w:tc>
          <w:tcPr>
            <w:tcW w:w="19" w:type="pct"/>
            <w:shd w:val="clear" w:color="auto" w:fill="auto"/>
            <w:vAlign w:val="bottom"/>
          </w:tcPr>
          <w:p w14:paraId="5F2D1A57" w14:textId="77777777" w:rsidR="00E836FB" w:rsidRDefault="00E836FB">
            <w:pPr>
              <w:rPr>
                <w:rFonts w:ascii="宋体"/>
              </w:rPr>
            </w:pPr>
          </w:p>
        </w:tc>
        <w:tc>
          <w:tcPr>
            <w:tcW w:w="5" w:type="pct"/>
            <w:shd w:val="clear" w:color="auto" w:fill="auto"/>
            <w:vAlign w:val="bottom"/>
          </w:tcPr>
          <w:p w14:paraId="5F2D1A58" w14:textId="77777777" w:rsidR="00E836FB" w:rsidRDefault="00E836FB">
            <w:pPr>
              <w:rPr>
                <w:rFonts w:ascii="宋体"/>
              </w:rPr>
            </w:pPr>
          </w:p>
        </w:tc>
        <w:tc>
          <w:tcPr>
            <w:tcW w:w="50" w:type="pct"/>
            <w:shd w:val="clear" w:color="auto" w:fill="auto"/>
            <w:vAlign w:val="bottom"/>
          </w:tcPr>
          <w:p w14:paraId="5F2D1A59" w14:textId="77777777" w:rsidR="00E836FB" w:rsidRDefault="00E836FB">
            <w:pPr>
              <w:rPr>
                <w:rFonts w:ascii="宋体"/>
              </w:rPr>
            </w:pPr>
          </w:p>
        </w:tc>
        <w:tc>
          <w:tcPr>
            <w:tcW w:w="940" w:type="pct"/>
            <w:shd w:val="clear" w:color="auto" w:fill="auto"/>
            <w:vAlign w:val="bottom"/>
          </w:tcPr>
          <w:p w14:paraId="5F2D1A5A" w14:textId="77777777" w:rsidR="00E836FB" w:rsidRDefault="00E836FB">
            <w:pPr>
              <w:rPr>
                <w:rFonts w:ascii="宋体"/>
              </w:rPr>
            </w:pPr>
          </w:p>
        </w:tc>
        <w:tc>
          <w:tcPr>
            <w:tcW w:w="5" w:type="pct"/>
            <w:shd w:val="clear" w:color="auto" w:fill="auto"/>
            <w:vAlign w:val="bottom"/>
          </w:tcPr>
          <w:p w14:paraId="5F2D1A5B" w14:textId="77777777" w:rsidR="00E836FB" w:rsidRDefault="00E836FB">
            <w:pPr>
              <w:rPr>
                <w:rFonts w:ascii="宋体"/>
              </w:rPr>
            </w:pPr>
          </w:p>
        </w:tc>
      </w:tr>
      <w:tr w:rsidR="00E836FB" w14:paraId="5F2D1A63" w14:textId="77777777">
        <w:trPr>
          <w:trHeight w:val="240"/>
        </w:trPr>
        <w:tc>
          <w:tcPr>
            <w:tcW w:w="0" w:type="auto"/>
            <w:gridSpan w:val="3"/>
            <w:shd w:val="clear" w:color="auto" w:fill="auto"/>
            <w:tcMar>
              <w:top w:w="40" w:type="dxa"/>
              <w:left w:w="20" w:type="dxa"/>
              <w:bottom w:w="40" w:type="dxa"/>
              <w:right w:w="20" w:type="dxa"/>
            </w:tcMar>
            <w:vAlign w:val="bottom"/>
          </w:tcPr>
          <w:p w14:paraId="5F2D1A5D" w14:textId="77777777" w:rsidR="00E836FB" w:rsidRDefault="00994958">
            <w:pPr>
              <w:textAlignment w:val="bottom"/>
            </w:pPr>
            <w:r>
              <w:rPr>
                <w:rFonts w:ascii="Arial" w:eastAsia="宋体" w:hAnsi="Arial" w:cs="Arial"/>
                <w:b/>
                <w:bCs/>
                <w:color w:val="000000"/>
                <w:sz w:val="14"/>
                <w:szCs w:val="14"/>
              </w:rPr>
              <w:t>December 31, 2021</w:t>
            </w:r>
          </w:p>
        </w:tc>
        <w:tc>
          <w:tcPr>
            <w:tcW w:w="0" w:type="auto"/>
            <w:gridSpan w:val="3"/>
            <w:vMerge w:val="restart"/>
            <w:shd w:val="clear" w:color="auto" w:fill="auto"/>
            <w:tcMar>
              <w:top w:w="40" w:type="dxa"/>
              <w:left w:w="20" w:type="dxa"/>
              <w:bottom w:w="40" w:type="dxa"/>
              <w:right w:w="20" w:type="dxa"/>
            </w:tcMar>
            <w:vAlign w:val="bottom"/>
          </w:tcPr>
          <w:p w14:paraId="5F2D1A5E" w14:textId="77777777" w:rsidR="00E836FB" w:rsidRDefault="00994958">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5F2D1A5F"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1A60" w14:textId="77777777" w:rsidR="00E836FB" w:rsidRDefault="00994958">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5F2D1A61"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1A62" w14:textId="77777777" w:rsidR="00E836FB" w:rsidRDefault="00994958">
            <w:pPr>
              <w:jc w:val="center"/>
              <w:textAlignment w:val="bottom"/>
            </w:pPr>
            <w:r>
              <w:rPr>
                <w:rFonts w:ascii="Arial" w:eastAsia="宋体" w:hAnsi="Arial" w:cs="Arial"/>
                <w:b/>
                <w:bCs/>
                <w:color w:val="000000"/>
                <w:sz w:val="14"/>
                <w:szCs w:val="14"/>
              </w:rPr>
              <w:t>Total Loans</w:t>
            </w:r>
          </w:p>
        </w:tc>
      </w:tr>
      <w:tr w:rsidR="00E836FB" w14:paraId="5F2D1A6A" w14:textId="77777777">
        <w:trPr>
          <w:trHeight w:val="240"/>
        </w:trPr>
        <w:tc>
          <w:tcPr>
            <w:tcW w:w="0" w:type="auto"/>
            <w:gridSpan w:val="3"/>
            <w:shd w:val="clear" w:color="auto" w:fill="auto"/>
            <w:tcMar>
              <w:top w:w="40" w:type="dxa"/>
              <w:left w:w="20" w:type="dxa"/>
              <w:bottom w:w="40" w:type="dxa"/>
              <w:right w:w="20" w:type="dxa"/>
            </w:tcMar>
            <w:vAlign w:val="bottom"/>
          </w:tcPr>
          <w:p w14:paraId="5F2D1A64"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5F2D1A65" w14:textId="77777777" w:rsidR="00E836FB" w:rsidRDefault="00E836F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F2D1A66"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1A67" w14:textId="77777777" w:rsidR="00E836FB" w:rsidRDefault="00E836F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F2D1A68"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1A69" w14:textId="77777777" w:rsidR="00E836FB" w:rsidRDefault="00E836FB">
            <w:pPr>
              <w:jc w:val="center"/>
              <w:rPr>
                <w:rFonts w:ascii="宋体"/>
              </w:rPr>
            </w:pPr>
          </w:p>
        </w:tc>
      </w:tr>
      <w:tr w:rsidR="00E836FB" w14:paraId="5F2D1A77" w14:textId="77777777">
        <w:tc>
          <w:tcPr>
            <w:tcW w:w="0" w:type="auto"/>
            <w:gridSpan w:val="3"/>
            <w:shd w:val="clear" w:color="auto" w:fill="CCEEFF"/>
            <w:tcMar>
              <w:top w:w="40" w:type="dxa"/>
              <w:left w:w="20" w:type="dxa"/>
              <w:bottom w:w="40" w:type="dxa"/>
              <w:right w:w="20" w:type="dxa"/>
            </w:tcMar>
            <w:vAlign w:val="bottom"/>
          </w:tcPr>
          <w:p w14:paraId="5F2D1A6B" w14:textId="77777777" w:rsidR="00E836FB" w:rsidRDefault="00994958">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1A6C"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A6D" w14:textId="77777777" w:rsidR="00E836FB" w:rsidRDefault="00994958">
            <w:pPr>
              <w:jc w:val="right"/>
              <w:textAlignment w:val="bottom"/>
            </w:pPr>
            <w:r>
              <w:rPr>
                <w:rFonts w:ascii="Arial" w:eastAsia="宋体" w:hAnsi="Arial" w:cs="Arial"/>
                <w:b/>
                <w:bCs/>
                <w:color w:val="000000"/>
                <w:sz w:val="14"/>
                <w:szCs w:val="14"/>
              </w:rPr>
              <w:t>24,974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A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6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A7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A71" w14:textId="77777777" w:rsidR="00E836FB" w:rsidRDefault="00994958">
            <w:pPr>
              <w:jc w:val="right"/>
              <w:textAlignment w:val="bottom"/>
            </w:pPr>
            <w:r>
              <w:rPr>
                <w:rFonts w:ascii="Arial" w:eastAsia="宋体" w:hAnsi="Arial" w:cs="Arial"/>
                <w:b/>
                <w:bCs/>
                <w:color w:val="000000"/>
                <w:sz w:val="14"/>
                <w:szCs w:val="14"/>
              </w:rPr>
              <w:t>2,222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A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7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A7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A75" w14:textId="77777777" w:rsidR="00E836FB" w:rsidRDefault="00994958">
            <w:pPr>
              <w:jc w:val="right"/>
              <w:textAlignment w:val="bottom"/>
            </w:pPr>
            <w:r>
              <w:rPr>
                <w:rFonts w:ascii="Arial" w:eastAsia="宋体" w:hAnsi="Arial" w:cs="Arial"/>
                <w:b/>
                <w:bCs/>
                <w:color w:val="000000"/>
                <w:sz w:val="14"/>
                <w:szCs w:val="14"/>
              </w:rPr>
              <w:t>27,196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A76" w14:textId="77777777" w:rsidR="00E836FB" w:rsidRDefault="00E836FB">
            <w:pPr>
              <w:jc w:val="right"/>
              <w:rPr>
                <w:rFonts w:ascii="宋体"/>
              </w:rPr>
            </w:pPr>
          </w:p>
        </w:tc>
      </w:tr>
      <w:tr w:rsidR="00E836FB" w14:paraId="5F2D1A81" w14:textId="77777777">
        <w:tc>
          <w:tcPr>
            <w:tcW w:w="0" w:type="auto"/>
            <w:gridSpan w:val="3"/>
            <w:shd w:val="clear" w:color="auto" w:fill="FFFFFF"/>
            <w:tcMar>
              <w:top w:w="40" w:type="dxa"/>
              <w:left w:w="20" w:type="dxa"/>
              <w:bottom w:w="40" w:type="dxa"/>
              <w:right w:w="20" w:type="dxa"/>
            </w:tcMar>
            <w:vAlign w:val="bottom"/>
          </w:tcPr>
          <w:p w14:paraId="5F2D1A78"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1A79" w14:textId="77777777" w:rsidR="00E836FB" w:rsidRDefault="00994958">
            <w:pPr>
              <w:jc w:val="right"/>
              <w:textAlignment w:val="bottom"/>
            </w:pPr>
            <w:r>
              <w:rPr>
                <w:rFonts w:ascii="Arial" w:eastAsia="宋体" w:hAnsi="Arial" w:cs="Arial"/>
                <w:b/>
                <w:bCs/>
                <w:color w:val="000000"/>
                <w:sz w:val="14"/>
                <w:szCs w:val="14"/>
              </w:rPr>
              <w:t>4,714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A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7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7C" w14:textId="77777777" w:rsidR="00E836FB" w:rsidRDefault="00994958">
            <w:pPr>
              <w:jc w:val="right"/>
              <w:textAlignment w:val="bottom"/>
            </w:pPr>
            <w:r>
              <w:rPr>
                <w:rFonts w:ascii="Arial" w:eastAsia="宋体" w:hAnsi="Arial" w:cs="Arial"/>
                <w:b/>
                <w:bCs/>
                <w:color w:val="000000"/>
                <w:sz w:val="14"/>
                <w:szCs w:val="14"/>
              </w:rPr>
              <w:t>270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A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7F" w14:textId="77777777" w:rsidR="00E836FB" w:rsidRDefault="00994958">
            <w:pPr>
              <w:jc w:val="right"/>
              <w:textAlignment w:val="bottom"/>
            </w:pPr>
            <w:r>
              <w:rPr>
                <w:rFonts w:ascii="Arial" w:eastAsia="宋体" w:hAnsi="Arial" w:cs="Arial"/>
                <w:b/>
                <w:bCs/>
                <w:color w:val="000000"/>
                <w:sz w:val="14"/>
                <w:szCs w:val="14"/>
              </w:rPr>
              <w:t>4,984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A80" w14:textId="77777777" w:rsidR="00E836FB" w:rsidRDefault="00E836FB">
            <w:pPr>
              <w:jc w:val="right"/>
              <w:rPr>
                <w:rFonts w:ascii="宋体"/>
              </w:rPr>
            </w:pPr>
          </w:p>
        </w:tc>
      </w:tr>
      <w:tr w:rsidR="00E836FB" w14:paraId="5F2D1A8B" w14:textId="77777777">
        <w:tc>
          <w:tcPr>
            <w:tcW w:w="0" w:type="auto"/>
            <w:gridSpan w:val="3"/>
            <w:shd w:val="clear" w:color="auto" w:fill="CCEEFF"/>
            <w:tcMar>
              <w:top w:w="40" w:type="dxa"/>
              <w:left w:w="20" w:type="dxa"/>
              <w:bottom w:w="40" w:type="dxa"/>
              <w:right w:w="20" w:type="dxa"/>
            </w:tcMar>
            <w:vAlign w:val="bottom"/>
          </w:tcPr>
          <w:p w14:paraId="5F2D1A82" w14:textId="77777777" w:rsidR="00E836FB" w:rsidRDefault="00994958">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F2D1A83" w14:textId="77777777" w:rsidR="00E836FB" w:rsidRDefault="00994958">
            <w:pPr>
              <w:jc w:val="right"/>
              <w:textAlignment w:val="bottom"/>
            </w:pPr>
            <w:r>
              <w:rPr>
                <w:rFonts w:ascii="Arial" w:eastAsia="宋体" w:hAnsi="Arial" w:cs="Arial"/>
                <w:b/>
                <w:bCs/>
                <w:color w:val="000000"/>
                <w:sz w:val="14"/>
                <w:szCs w:val="14"/>
              </w:rPr>
              <w:t>118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A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8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A86" w14:textId="77777777" w:rsidR="00E836FB" w:rsidRDefault="00994958">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A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8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A89" w14:textId="77777777" w:rsidR="00E836FB" w:rsidRDefault="00994958">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A8A" w14:textId="77777777" w:rsidR="00E836FB" w:rsidRDefault="00E836FB">
            <w:pPr>
              <w:jc w:val="right"/>
              <w:rPr>
                <w:rFonts w:ascii="宋体"/>
              </w:rPr>
            </w:pPr>
          </w:p>
        </w:tc>
      </w:tr>
      <w:tr w:rsidR="00E836FB" w14:paraId="5F2D1A95" w14:textId="77777777">
        <w:tc>
          <w:tcPr>
            <w:tcW w:w="0" w:type="auto"/>
            <w:gridSpan w:val="3"/>
            <w:shd w:val="clear" w:color="auto" w:fill="FFFFFF"/>
            <w:tcMar>
              <w:top w:w="40" w:type="dxa"/>
              <w:left w:w="20" w:type="dxa"/>
              <w:bottom w:w="40" w:type="dxa"/>
              <w:right w:w="20" w:type="dxa"/>
            </w:tcMar>
            <w:vAlign w:val="bottom"/>
          </w:tcPr>
          <w:p w14:paraId="5F2D1A8C" w14:textId="77777777" w:rsidR="00E836FB" w:rsidRDefault="00994958">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F2D1A8D" w14:textId="77777777" w:rsidR="00E836FB" w:rsidRDefault="00994958">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A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8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9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A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93" w14:textId="77777777" w:rsidR="00E836FB" w:rsidRDefault="00994958">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A94" w14:textId="77777777" w:rsidR="00E836FB" w:rsidRDefault="00E836FB">
            <w:pPr>
              <w:jc w:val="right"/>
              <w:rPr>
                <w:rFonts w:ascii="宋体"/>
              </w:rPr>
            </w:pPr>
          </w:p>
        </w:tc>
      </w:tr>
      <w:tr w:rsidR="00E836FB" w14:paraId="5F2D1A9C" w14:textId="77777777">
        <w:trPr>
          <w:hidden/>
        </w:trPr>
        <w:tc>
          <w:tcPr>
            <w:tcW w:w="0" w:type="auto"/>
            <w:gridSpan w:val="3"/>
            <w:shd w:val="clear" w:color="auto" w:fill="auto"/>
            <w:vAlign w:val="bottom"/>
          </w:tcPr>
          <w:p w14:paraId="5F2D1A96" w14:textId="77777777" w:rsidR="00E836FB" w:rsidRDefault="00E836FB">
            <w:pPr>
              <w:rPr>
                <w:rFonts w:ascii="宋体"/>
                <w:vanish/>
              </w:rPr>
            </w:pPr>
          </w:p>
        </w:tc>
        <w:tc>
          <w:tcPr>
            <w:tcW w:w="0" w:type="auto"/>
            <w:gridSpan w:val="3"/>
            <w:shd w:val="clear" w:color="auto" w:fill="auto"/>
            <w:vAlign w:val="bottom"/>
          </w:tcPr>
          <w:p w14:paraId="5F2D1A97" w14:textId="77777777" w:rsidR="00E836FB" w:rsidRDefault="00E836FB">
            <w:pPr>
              <w:rPr>
                <w:rFonts w:ascii="宋体"/>
                <w:vanish/>
              </w:rPr>
            </w:pPr>
          </w:p>
        </w:tc>
        <w:tc>
          <w:tcPr>
            <w:tcW w:w="0" w:type="auto"/>
            <w:gridSpan w:val="3"/>
            <w:shd w:val="clear" w:color="auto" w:fill="auto"/>
            <w:vAlign w:val="bottom"/>
          </w:tcPr>
          <w:p w14:paraId="5F2D1A98" w14:textId="77777777" w:rsidR="00E836FB" w:rsidRDefault="00E836FB">
            <w:pPr>
              <w:rPr>
                <w:rFonts w:ascii="宋体"/>
                <w:vanish/>
              </w:rPr>
            </w:pPr>
          </w:p>
        </w:tc>
        <w:tc>
          <w:tcPr>
            <w:tcW w:w="0" w:type="auto"/>
            <w:gridSpan w:val="3"/>
            <w:shd w:val="clear" w:color="auto" w:fill="auto"/>
            <w:vAlign w:val="bottom"/>
          </w:tcPr>
          <w:p w14:paraId="5F2D1A99" w14:textId="77777777" w:rsidR="00E836FB" w:rsidRDefault="00E836FB">
            <w:pPr>
              <w:rPr>
                <w:rFonts w:ascii="宋体"/>
                <w:vanish/>
              </w:rPr>
            </w:pPr>
          </w:p>
        </w:tc>
        <w:tc>
          <w:tcPr>
            <w:tcW w:w="0" w:type="auto"/>
            <w:gridSpan w:val="3"/>
            <w:shd w:val="clear" w:color="auto" w:fill="auto"/>
            <w:vAlign w:val="bottom"/>
          </w:tcPr>
          <w:p w14:paraId="5F2D1A9A" w14:textId="77777777" w:rsidR="00E836FB" w:rsidRDefault="00E836FB">
            <w:pPr>
              <w:rPr>
                <w:rFonts w:ascii="宋体"/>
                <w:vanish/>
              </w:rPr>
            </w:pPr>
          </w:p>
        </w:tc>
        <w:tc>
          <w:tcPr>
            <w:tcW w:w="0" w:type="auto"/>
            <w:gridSpan w:val="3"/>
            <w:shd w:val="clear" w:color="auto" w:fill="auto"/>
            <w:vAlign w:val="bottom"/>
          </w:tcPr>
          <w:p w14:paraId="5F2D1A9B" w14:textId="77777777" w:rsidR="00E836FB" w:rsidRDefault="00E836FB">
            <w:pPr>
              <w:rPr>
                <w:rFonts w:ascii="宋体"/>
                <w:vanish/>
              </w:rPr>
            </w:pPr>
          </w:p>
        </w:tc>
      </w:tr>
      <w:tr w:rsidR="00E836FB" w14:paraId="5F2D1AA3" w14:textId="77777777">
        <w:trPr>
          <w:hidden/>
        </w:trPr>
        <w:tc>
          <w:tcPr>
            <w:tcW w:w="0" w:type="auto"/>
            <w:gridSpan w:val="3"/>
            <w:shd w:val="clear" w:color="auto" w:fill="auto"/>
            <w:vAlign w:val="bottom"/>
          </w:tcPr>
          <w:p w14:paraId="5F2D1A9D" w14:textId="77777777" w:rsidR="00E836FB" w:rsidRDefault="00E836FB">
            <w:pPr>
              <w:rPr>
                <w:rFonts w:ascii="宋体"/>
                <w:vanish/>
              </w:rPr>
            </w:pPr>
          </w:p>
        </w:tc>
        <w:tc>
          <w:tcPr>
            <w:tcW w:w="0" w:type="auto"/>
            <w:gridSpan w:val="3"/>
            <w:shd w:val="clear" w:color="auto" w:fill="auto"/>
            <w:vAlign w:val="bottom"/>
          </w:tcPr>
          <w:p w14:paraId="5F2D1A9E" w14:textId="77777777" w:rsidR="00E836FB" w:rsidRDefault="00E836FB">
            <w:pPr>
              <w:rPr>
                <w:rFonts w:ascii="宋体"/>
                <w:vanish/>
              </w:rPr>
            </w:pPr>
          </w:p>
        </w:tc>
        <w:tc>
          <w:tcPr>
            <w:tcW w:w="0" w:type="auto"/>
            <w:gridSpan w:val="3"/>
            <w:shd w:val="clear" w:color="auto" w:fill="auto"/>
            <w:vAlign w:val="bottom"/>
          </w:tcPr>
          <w:p w14:paraId="5F2D1A9F" w14:textId="77777777" w:rsidR="00E836FB" w:rsidRDefault="00E836FB">
            <w:pPr>
              <w:rPr>
                <w:rFonts w:ascii="宋体"/>
                <w:vanish/>
              </w:rPr>
            </w:pPr>
          </w:p>
        </w:tc>
        <w:tc>
          <w:tcPr>
            <w:tcW w:w="0" w:type="auto"/>
            <w:gridSpan w:val="3"/>
            <w:shd w:val="clear" w:color="auto" w:fill="auto"/>
            <w:vAlign w:val="bottom"/>
          </w:tcPr>
          <w:p w14:paraId="5F2D1AA0" w14:textId="77777777" w:rsidR="00E836FB" w:rsidRDefault="00E836FB">
            <w:pPr>
              <w:rPr>
                <w:rFonts w:ascii="宋体"/>
                <w:vanish/>
              </w:rPr>
            </w:pPr>
          </w:p>
        </w:tc>
        <w:tc>
          <w:tcPr>
            <w:tcW w:w="0" w:type="auto"/>
            <w:gridSpan w:val="3"/>
            <w:shd w:val="clear" w:color="auto" w:fill="auto"/>
            <w:vAlign w:val="bottom"/>
          </w:tcPr>
          <w:p w14:paraId="5F2D1AA1" w14:textId="77777777" w:rsidR="00E836FB" w:rsidRDefault="00E836FB">
            <w:pPr>
              <w:rPr>
                <w:rFonts w:ascii="宋体"/>
                <w:vanish/>
              </w:rPr>
            </w:pPr>
          </w:p>
        </w:tc>
        <w:tc>
          <w:tcPr>
            <w:tcW w:w="0" w:type="auto"/>
            <w:gridSpan w:val="3"/>
            <w:shd w:val="clear" w:color="auto" w:fill="auto"/>
            <w:vAlign w:val="bottom"/>
          </w:tcPr>
          <w:p w14:paraId="5F2D1AA2" w14:textId="77777777" w:rsidR="00E836FB" w:rsidRDefault="00E836FB">
            <w:pPr>
              <w:rPr>
                <w:rFonts w:ascii="宋体"/>
                <w:vanish/>
              </w:rPr>
            </w:pPr>
          </w:p>
        </w:tc>
      </w:tr>
      <w:tr w:rsidR="00E836FB" w14:paraId="5F2D1AB0" w14:textId="77777777">
        <w:tc>
          <w:tcPr>
            <w:tcW w:w="0" w:type="auto"/>
            <w:gridSpan w:val="3"/>
            <w:shd w:val="clear" w:color="auto" w:fill="CCEEFF"/>
            <w:tcMar>
              <w:top w:w="40" w:type="dxa"/>
              <w:left w:w="20" w:type="dxa"/>
              <w:bottom w:w="40" w:type="dxa"/>
              <w:right w:w="20" w:type="dxa"/>
            </w:tcMar>
            <w:vAlign w:val="bottom"/>
          </w:tcPr>
          <w:p w14:paraId="5F2D1AA4" w14:textId="77777777" w:rsidR="00E836FB" w:rsidRDefault="00994958">
            <w:pPr>
              <w:textAlignment w:val="bottom"/>
            </w:pPr>
            <w:r>
              <w:rPr>
                <w:rFonts w:ascii="Arial" w:eastAsia="宋体" w:hAnsi="Arial" w:cs="Arial"/>
                <w:color w:val="000000"/>
                <w:sz w:val="14"/>
                <w:szCs w:val="14"/>
              </w:rPr>
              <w:t>Total</w:t>
            </w:r>
            <w:r>
              <w:rPr>
                <w:rFonts w:ascii="Arial" w:eastAsia="宋体" w:hAnsi="Arial" w:cs="Arial"/>
                <w:color w:val="000000"/>
                <w:sz w:val="9"/>
                <w:szCs w:val="9"/>
              </w:rPr>
              <w:t>(1)(2)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AA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AA6" w14:textId="77777777" w:rsidR="00E836FB" w:rsidRDefault="00994958">
            <w:pPr>
              <w:jc w:val="right"/>
              <w:textAlignment w:val="bottom"/>
            </w:pPr>
            <w:r>
              <w:rPr>
                <w:rFonts w:ascii="Arial" w:eastAsia="宋体" w:hAnsi="Arial" w:cs="Arial"/>
                <w:b/>
                <w:bCs/>
                <w:color w:val="000000"/>
                <w:sz w:val="14"/>
                <w:szCs w:val="14"/>
              </w:rPr>
              <w:t>29,970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A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A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AA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AAA" w14:textId="77777777" w:rsidR="00E836FB" w:rsidRDefault="00994958">
            <w:pPr>
              <w:jc w:val="right"/>
              <w:textAlignment w:val="bottom"/>
            </w:pPr>
            <w:r>
              <w:rPr>
                <w:rFonts w:ascii="Arial" w:eastAsia="宋体" w:hAnsi="Arial" w:cs="Arial"/>
                <w:b/>
                <w:bCs/>
                <w:color w:val="000000"/>
                <w:sz w:val="14"/>
                <w:szCs w:val="14"/>
              </w:rPr>
              <w:t>2,554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A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A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1AAD"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1AAE" w14:textId="77777777" w:rsidR="00E836FB" w:rsidRDefault="00994958">
            <w:pPr>
              <w:jc w:val="right"/>
              <w:textAlignment w:val="bottom"/>
            </w:pPr>
            <w:r>
              <w:rPr>
                <w:rFonts w:ascii="Arial" w:eastAsia="宋体" w:hAnsi="Arial" w:cs="Arial"/>
                <w:b/>
                <w:bCs/>
                <w:color w:val="000000"/>
                <w:sz w:val="14"/>
                <w:szCs w:val="14"/>
              </w:rPr>
              <w:t>32,524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1AAF" w14:textId="77777777" w:rsidR="00E836FB" w:rsidRDefault="00E836FB">
            <w:pPr>
              <w:jc w:val="right"/>
              <w:rPr>
                <w:rFonts w:ascii="宋体"/>
              </w:rPr>
            </w:pPr>
          </w:p>
        </w:tc>
      </w:tr>
    </w:tbl>
    <w:p w14:paraId="5F2D1AB1" w14:textId="77777777" w:rsidR="00E836FB" w:rsidRDefault="00E836F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8"/>
        <w:gridCol w:w="3096"/>
        <w:gridCol w:w="37"/>
        <w:gridCol w:w="99"/>
        <w:gridCol w:w="1511"/>
        <w:gridCol w:w="36"/>
        <w:gridCol w:w="36"/>
        <w:gridCol w:w="36"/>
        <w:gridCol w:w="36"/>
        <w:gridCol w:w="99"/>
        <w:gridCol w:w="1511"/>
        <w:gridCol w:w="36"/>
        <w:gridCol w:w="36"/>
        <w:gridCol w:w="36"/>
        <w:gridCol w:w="36"/>
        <w:gridCol w:w="98"/>
        <w:gridCol w:w="1511"/>
        <w:gridCol w:w="36"/>
      </w:tblGrid>
      <w:tr w:rsidR="00E836FB" w14:paraId="5F2D1AC4" w14:textId="77777777">
        <w:tc>
          <w:tcPr>
            <w:tcW w:w="50" w:type="pct"/>
            <w:shd w:val="clear" w:color="auto" w:fill="auto"/>
            <w:vAlign w:val="bottom"/>
          </w:tcPr>
          <w:p w14:paraId="5F2D1AB2" w14:textId="77777777" w:rsidR="00E836FB" w:rsidRDefault="00E836FB">
            <w:pPr>
              <w:rPr>
                <w:rFonts w:ascii="宋体"/>
              </w:rPr>
            </w:pPr>
          </w:p>
        </w:tc>
        <w:tc>
          <w:tcPr>
            <w:tcW w:w="1899" w:type="pct"/>
            <w:shd w:val="clear" w:color="auto" w:fill="auto"/>
            <w:vAlign w:val="bottom"/>
          </w:tcPr>
          <w:p w14:paraId="5F2D1AB3" w14:textId="77777777" w:rsidR="00E836FB" w:rsidRDefault="00E836FB">
            <w:pPr>
              <w:rPr>
                <w:rFonts w:ascii="宋体"/>
              </w:rPr>
            </w:pPr>
          </w:p>
        </w:tc>
        <w:tc>
          <w:tcPr>
            <w:tcW w:w="5" w:type="pct"/>
            <w:shd w:val="clear" w:color="auto" w:fill="auto"/>
            <w:vAlign w:val="bottom"/>
          </w:tcPr>
          <w:p w14:paraId="5F2D1AB4" w14:textId="77777777" w:rsidR="00E836FB" w:rsidRDefault="00E836FB">
            <w:pPr>
              <w:rPr>
                <w:rFonts w:ascii="宋体"/>
              </w:rPr>
            </w:pPr>
          </w:p>
        </w:tc>
        <w:tc>
          <w:tcPr>
            <w:tcW w:w="50" w:type="pct"/>
            <w:shd w:val="clear" w:color="auto" w:fill="auto"/>
            <w:vAlign w:val="bottom"/>
          </w:tcPr>
          <w:p w14:paraId="5F2D1AB5" w14:textId="77777777" w:rsidR="00E836FB" w:rsidRDefault="00E836FB">
            <w:pPr>
              <w:rPr>
                <w:rFonts w:ascii="宋体"/>
              </w:rPr>
            </w:pPr>
          </w:p>
        </w:tc>
        <w:tc>
          <w:tcPr>
            <w:tcW w:w="940" w:type="pct"/>
            <w:shd w:val="clear" w:color="auto" w:fill="auto"/>
            <w:vAlign w:val="bottom"/>
          </w:tcPr>
          <w:p w14:paraId="5F2D1AB6" w14:textId="77777777" w:rsidR="00E836FB" w:rsidRDefault="00E836FB">
            <w:pPr>
              <w:rPr>
                <w:rFonts w:ascii="宋体"/>
              </w:rPr>
            </w:pPr>
          </w:p>
        </w:tc>
        <w:tc>
          <w:tcPr>
            <w:tcW w:w="5" w:type="pct"/>
            <w:shd w:val="clear" w:color="auto" w:fill="auto"/>
            <w:vAlign w:val="bottom"/>
          </w:tcPr>
          <w:p w14:paraId="5F2D1AB7" w14:textId="77777777" w:rsidR="00E836FB" w:rsidRDefault="00E836FB">
            <w:pPr>
              <w:rPr>
                <w:rFonts w:ascii="宋体"/>
              </w:rPr>
            </w:pPr>
          </w:p>
        </w:tc>
        <w:tc>
          <w:tcPr>
            <w:tcW w:w="5" w:type="pct"/>
            <w:shd w:val="clear" w:color="auto" w:fill="auto"/>
            <w:vAlign w:val="bottom"/>
          </w:tcPr>
          <w:p w14:paraId="5F2D1AB8" w14:textId="77777777" w:rsidR="00E836FB" w:rsidRDefault="00E836FB">
            <w:pPr>
              <w:rPr>
                <w:rFonts w:ascii="宋体"/>
              </w:rPr>
            </w:pPr>
          </w:p>
        </w:tc>
        <w:tc>
          <w:tcPr>
            <w:tcW w:w="19" w:type="pct"/>
            <w:shd w:val="clear" w:color="auto" w:fill="auto"/>
            <w:vAlign w:val="bottom"/>
          </w:tcPr>
          <w:p w14:paraId="5F2D1AB9" w14:textId="77777777" w:rsidR="00E836FB" w:rsidRDefault="00E836FB">
            <w:pPr>
              <w:rPr>
                <w:rFonts w:ascii="宋体"/>
              </w:rPr>
            </w:pPr>
          </w:p>
        </w:tc>
        <w:tc>
          <w:tcPr>
            <w:tcW w:w="5" w:type="pct"/>
            <w:shd w:val="clear" w:color="auto" w:fill="auto"/>
            <w:vAlign w:val="bottom"/>
          </w:tcPr>
          <w:p w14:paraId="5F2D1ABA" w14:textId="77777777" w:rsidR="00E836FB" w:rsidRDefault="00E836FB">
            <w:pPr>
              <w:rPr>
                <w:rFonts w:ascii="宋体"/>
              </w:rPr>
            </w:pPr>
          </w:p>
        </w:tc>
        <w:tc>
          <w:tcPr>
            <w:tcW w:w="50" w:type="pct"/>
            <w:shd w:val="clear" w:color="auto" w:fill="auto"/>
            <w:vAlign w:val="bottom"/>
          </w:tcPr>
          <w:p w14:paraId="5F2D1ABB" w14:textId="77777777" w:rsidR="00E836FB" w:rsidRDefault="00E836FB">
            <w:pPr>
              <w:rPr>
                <w:rFonts w:ascii="宋体"/>
              </w:rPr>
            </w:pPr>
          </w:p>
        </w:tc>
        <w:tc>
          <w:tcPr>
            <w:tcW w:w="940" w:type="pct"/>
            <w:shd w:val="clear" w:color="auto" w:fill="auto"/>
            <w:vAlign w:val="bottom"/>
          </w:tcPr>
          <w:p w14:paraId="5F2D1ABC" w14:textId="77777777" w:rsidR="00E836FB" w:rsidRDefault="00E836FB">
            <w:pPr>
              <w:rPr>
                <w:rFonts w:ascii="宋体"/>
              </w:rPr>
            </w:pPr>
          </w:p>
        </w:tc>
        <w:tc>
          <w:tcPr>
            <w:tcW w:w="5" w:type="pct"/>
            <w:shd w:val="clear" w:color="auto" w:fill="auto"/>
            <w:vAlign w:val="bottom"/>
          </w:tcPr>
          <w:p w14:paraId="5F2D1ABD" w14:textId="77777777" w:rsidR="00E836FB" w:rsidRDefault="00E836FB">
            <w:pPr>
              <w:rPr>
                <w:rFonts w:ascii="宋体"/>
              </w:rPr>
            </w:pPr>
          </w:p>
        </w:tc>
        <w:tc>
          <w:tcPr>
            <w:tcW w:w="5" w:type="pct"/>
            <w:shd w:val="clear" w:color="auto" w:fill="auto"/>
            <w:vAlign w:val="bottom"/>
          </w:tcPr>
          <w:p w14:paraId="5F2D1ABE" w14:textId="77777777" w:rsidR="00E836FB" w:rsidRDefault="00E836FB">
            <w:pPr>
              <w:rPr>
                <w:rFonts w:ascii="宋体"/>
              </w:rPr>
            </w:pPr>
          </w:p>
        </w:tc>
        <w:tc>
          <w:tcPr>
            <w:tcW w:w="19" w:type="pct"/>
            <w:shd w:val="clear" w:color="auto" w:fill="auto"/>
            <w:vAlign w:val="bottom"/>
          </w:tcPr>
          <w:p w14:paraId="5F2D1ABF" w14:textId="77777777" w:rsidR="00E836FB" w:rsidRDefault="00E836FB">
            <w:pPr>
              <w:rPr>
                <w:rFonts w:ascii="宋体"/>
              </w:rPr>
            </w:pPr>
          </w:p>
        </w:tc>
        <w:tc>
          <w:tcPr>
            <w:tcW w:w="5" w:type="pct"/>
            <w:shd w:val="clear" w:color="auto" w:fill="auto"/>
            <w:vAlign w:val="bottom"/>
          </w:tcPr>
          <w:p w14:paraId="5F2D1AC0" w14:textId="77777777" w:rsidR="00E836FB" w:rsidRDefault="00E836FB">
            <w:pPr>
              <w:rPr>
                <w:rFonts w:ascii="宋体"/>
              </w:rPr>
            </w:pPr>
          </w:p>
        </w:tc>
        <w:tc>
          <w:tcPr>
            <w:tcW w:w="50" w:type="pct"/>
            <w:shd w:val="clear" w:color="auto" w:fill="auto"/>
            <w:vAlign w:val="bottom"/>
          </w:tcPr>
          <w:p w14:paraId="5F2D1AC1" w14:textId="77777777" w:rsidR="00E836FB" w:rsidRDefault="00E836FB">
            <w:pPr>
              <w:rPr>
                <w:rFonts w:ascii="宋体"/>
              </w:rPr>
            </w:pPr>
          </w:p>
        </w:tc>
        <w:tc>
          <w:tcPr>
            <w:tcW w:w="940" w:type="pct"/>
            <w:shd w:val="clear" w:color="auto" w:fill="auto"/>
            <w:vAlign w:val="bottom"/>
          </w:tcPr>
          <w:p w14:paraId="5F2D1AC2" w14:textId="77777777" w:rsidR="00E836FB" w:rsidRDefault="00E836FB">
            <w:pPr>
              <w:rPr>
                <w:rFonts w:ascii="宋体"/>
              </w:rPr>
            </w:pPr>
          </w:p>
        </w:tc>
        <w:tc>
          <w:tcPr>
            <w:tcW w:w="5" w:type="pct"/>
            <w:shd w:val="clear" w:color="auto" w:fill="auto"/>
            <w:vAlign w:val="bottom"/>
          </w:tcPr>
          <w:p w14:paraId="5F2D1AC3" w14:textId="77777777" w:rsidR="00E836FB" w:rsidRDefault="00E836FB">
            <w:pPr>
              <w:rPr>
                <w:rFonts w:ascii="宋体"/>
              </w:rPr>
            </w:pPr>
          </w:p>
        </w:tc>
      </w:tr>
      <w:tr w:rsidR="00E836FB" w14:paraId="5F2D1ACB" w14:textId="77777777">
        <w:trPr>
          <w:trHeight w:val="240"/>
        </w:trPr>
        <w:tc>
          <w:tcPr>
            <w:tcW w:w="0" w:type="auto"/>
            <w:gridSpan w:val="3"/>
            <w:shd w:val="clear" w:color="auto" w:fill="auto"/>
            <w:tcMar>
              <w:top w:w="40" w:type="dxa"/>
              <w:left w:w="20" w:type="dxa"/>
              <w:bottom w:w="40" w:type="dxa"/>
              <w:right w:w="20" w:type="dxa"/>
            </w:tcMar>
            <w:vAlign w:val="bottom"/>
          </w:tcPr>
          <w:p w14:paraId="5F2D1AC5" w14:textId="77777777" w:rsidR="00E836FB" w:rsidRDefault="00994958">
            <w:pPr>
              <w:textAlignment w:val="bottom"/>
            </w:pPr>
            <w:r>
              <w:rPr>
                <w:rFonts w:ascii="Arial" w:eastAsia="宋体" w:hAnsi="Arial" w:cs="Arial"/>
                <w:b/>
                <w:bCs/>
                <w:color w:val="000000"/>
                <w:sz w:val="14"/>
                <w:szCs w:val="14"/>
              </w:rPr>
              <w:t>December 31, 2020</w:t>
            </w:r>
          </w:p>
        </w:tc>
        <w:tc>
          <w:tcPr>
            <w:tcW w:w="0" w:type="auto"/>
            <w:gridSpan w:val="3"/>
            <w:vMerge w:val="restart"/>
            <w:shd w:val="clear" w:color="auto" w:fill="auto"/>
            <w:tcMar>
              <w:top w:w="40" w:type="dxa"/>
              <w:left w:w="20" w:type="dxa"/>
              <w:bottom w:w="40" w:type="dxa"/>
              <w:right w:w="20" w:type="dxa"/>
            </w:tcMar>
            <w:vAlign w:val="bottom"/>
          </w:tcPr>
          <w:p w14:paraId="5F2D1AC6" w14:textId="77777777" w:rsidR="00E836FB" w:rsidRDefault="00994958">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5F2D1AC7"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1AC8" w14:textId="77777777" w:rsidR="00E836FB" w:rsidRDefault="00994958">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5F2D1AC9"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1ACA" w14:textId="77777777" w:rsidR="00E836FB" w:rsidRDefault="00994958">
            <w:pPr>
              <w:jc w:val="center"/>
              <w:textAlignment w:val="bottom"/>
            </w:pPr>
            <w:r>
              <w:rPr>
                <w:rFonts w:ascii="Arial" w:eastAsia="宋体" w:hAnsi="Arial" w:cs="Arial"/>
                <w:b/>
                <w:bCs/>
                <w:color w:val="000000"/>
                <w:sz w:val="14"/>
                <w:szCs w:val="14"/>
              </w:rPr>
              <w:t>Total Loans </w:t>
            </w:r>
          </w:p>
        </w:tc>
      </w:tr>
      <w:tr w:rsidR="00E836FB" w14:paraId="5F2D1AD2" w14:textId="77777777">
        <w:trPr>
          <w:trHeight w:val="240"/>
        </w:trPr>
        <w:tc>
          <w:tcPr>
            <w:tcW w:w="0" w:type="auto"/>
            <w:gridSpan w:val="3"/>
            <w:shd w:val="clear" w:color="auto" w:fill="auto"/>
            <w:tcMar>
              <w:top w:w="40" w:type="dxa"/>
              <w:left w:w="20" w:type="dxa"/>
              <w:bottom w:w="40" w:type="dxa"/>
              <w:right w:w="20" w:type="dxa"/>
            </w:tcMar>
            <w:vAlign w:val="bottom"/>
          </w:tcPr>
          <w:p w14:paraId="5F2D1ACC"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5F2D1ACD" w14:textId="77777777" w:rsidR="00E836FB" w:rsidRDefault="00E836F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F2D1ACE"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1ACF" w14:textId="77777777" w:rsidR="00E836FB" w:rsidRDefault="00E836FB">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F2D1AD0"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1AD1" w14:textId="77777777" w:rsidR="00E836FB" w:rsidRDefault="00E836FB">
            <w:pPr>
              <w:jc w:val="center"/>
              <w:rPr>
                <w:rFonts w:ascii="宋体"/>
              </w:rPr>
            </w:pPr>
          </w:p>
        </w:tc>
      </w:tr>
      <w:tr w:rsidR="00E836FB" w14:paraId="5F2D1ADF" w14:textId="77777777">
        <w:tc>
          <w:tcPr>
            <w:tcW w:w="0" w:type="auto"/>
            <w:gridSpan w:val="3"/>
            <w:shd w:val="clear" w:color="auto" w:fill="CCEEFF"/>
            <w:tcMar>
              <w:top w:w="40" w:type="dxa"/>
              <w:left w:w="20" w:type="dxa"/>
              <w:bottom w:w="40" w:type="dxa"/>
              <w:right w:w="20" w:type="dxa"/>
            </w:tcMar>
            <w:vAlign w:val="bottom"/>
          </w:tcPr>
          <w:p w14:paraId="5F2D1AD3" w14:textId="77777777" w:rsidR="00E836FB" w:rsidRDefault="00994958">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1AD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AD5" w14:textId="77777777" w:rsidR="00E836FB" w:rsidRDefault="00994958">
            <w:pPr>
              <w:jc w:val="right"/>
              <w:textAlignment w:val="bottom"/>
            </w:pPr>
            <w:r>
              <w:rPr>
                <w:rFonts w:ascii="Arial" w:eastAsia="宋体" w:hAnsi="Arial" w:cs="Arial"/>
                <w:color w:val="000000"/>
                <w:sz w:val="14"/>
                <w:szCs w:val="14"/>
              </w:rPr>
              <w:t>20,859 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A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D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AD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AD9" w14:textId="77777777" w:rsidR="00E836FB" w:rsidRDefault="00994958">
            <w:pPr>
              <w:jc w:val="right"/>
              <w:textAlignment w:val="bottom"/>
            </w:pPr>
            <w:r>
              <w:rPr>
                <w:rFonts w:ascii="Arial" w:eastAsia="宋体" w:hAnsi="Arial" w:cs="Arial"/>
                <w:color w:val="000000"/>
                <w:sz w:val="14"/>
                <w:szCs w:val="14"/>
              </w:rPr>
              <w:t>1,724 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A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D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AD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ADD" w14:textId="77777777" w:rsidR="00E836FB" w:rsidRDefault="00994958">
            <w:pPr>
              <w:jc w:val="right"/>
              <w:textAlignment w:val="bottom"/>
            </w:pPr>
            <w:r>
              <w:rPr>
                <w:rFonts w:ascii="Arial" w:eastAsia="宋体" w:hAnsi="Arial" w:cs="Arial"/>
                <w:color w:val="000000"/>
                <w:sz w:val="14"/>
                <w:szCs w:val="14"/>
              </w:rPr>
              <w:t>22,583 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ADE" w14:textId="77777777" w:rsidR="00E836FB" w:rsidRDefault="00E836FB">
            <w:pPr>
              <w:jc w:val="right"/>
              <w:rPr>
                <w:rFonts w:ascii="宋体"/>
              </w:rPr>
            </w:pPr>
          </w:p>
        </w:tc>
      </w:tr>
      <w:tr w:rsidR="00E836FB" w14:paraId="5F2D1AE9" w14:textId="77777777">
        <w:tc>
          <w:tcPr>
            <w:tcW w:w="0" w:type="auto"/>
            <w:gridSpan w:val="3"/>
            <w:shd w:val="clear" w:color="auto" w:fill="FFFFFF"/>
            <w:tcMar>
              <w:top w:w="40" w:type="dxa"/>
              <w:left w:w="20" w:type="dxa"/>
              <w:bottom w:w="40" w:type="dxa"/>
              <w:right w:w="20" w:type="dxa"/>
            </w:tcMar>
            <w:vAlign w:val="bottom"/>
          </w:tcPr>
          <w:p w14:paraId="5F2D1AE0"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1AE1" w14:textId="77777777" w:rsidR="00E836FB" w:rsidRDefault="00994958">
            <w:pPr>
              <w:jc w:val="right"/>
              <w:textAlignment w:val="bottom"/>
            </w:pPr>
            <w:r>
              <w:rPr>
                <w:rFonts w:ascii="Arial" w:eastAsia="宋体" w:hAnsi="Arial" w:cs="Arial"/>
                <w:color w:val="000000"/>
                <w:sz w:val="14"/>
                <w:szCs w:val="14"/>
              </w:rPr>
              <w:t>4,852 </w:t>
            </w:r>
          </w:p>
        </w:tc>
        <w:tc>
          <w:tcPr>
            <w:tcW w:w="0" w:type="auto"/>
            <w:shd w:val="clear" w:color="auto" w:fill="FFFFFF"/>
            <w:tcMar>
              <w:top w:w="40" w:type="dxa"/>
              <w:left w:w="0" w:type="dxa"/>
              <w:bottom w:w="40" w:type="dxa"/>
              <w:right w:w="20" w:type="dxa"/>
            </w:tcMar>
            <w:vAlign w:val="bottom"/>
          </w:tcPr>
          <w:p w14:paraId="5F2D1A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E4" w14:textId="77777777" w:rsidR="00E836FB" w:rsidRDefault="00994958">
            <w:pPr>
              <w:jc w:val="right"/>
              <w:textAlignment w:val="bottom"/>
            </w:pPr>
            <w:r>
              <w:rPr>
                <w:rFonts w:ascii="Arial" w:eastAsia="宋体" w:hAnsi="Arial" w:cs="Arial"/>
                <w:color w:val="000000"/>
                <w:sz w:val="14"/>
                <w:szCs w:val="14"/>
              </w:rPr>
              <w:t>372 </w:t>
            </w:r>
          </w:p>
        </w:tc>
        <w:tc>
          <w:tcPr>
            <w:tcW w:w="0" w:type="auto"/>
            <w:shd w:val="clear" w:color="auto" w:fill="FFFFFF"/>
            <w:tcMar>
              <w:top w:w="40" w:type="dxa"/>
              <w:left w:w="0" w:type="dxa"/>
              <w:bottom w:w="40" w:type="dxa"/>
              <w:right w:w="20" w:type="dxa"/>
            </w:tcMar>
            <w:vAlign w:val="bottom"/>
          </w:tcPr>
          <w:p w14:paraId="5F2D1A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E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E7" w14:textId="77777777" w:rsidR="00E836FB" w:rsidRDefault="00994958">
            <w:pPr>
              <w:jc w:val="right"/>
              <w:textAlignment w:val="bottom"/>
            </w:pPr>
            <w:r>
              <w:rPr>
                <w:rFonts w:ascii="Arial" w:eastAsia="宋体" w:hAnsi="Arial" w:cs="Arial"/>
                <w:color w:val="000000"/>
                <w:sz w:val="14"/>
                <w:szCs w:val="14"/>
              </w:rPr>
              <w:t>5,224 </w:t>
            </w:r>
          </w:p>
        </w:tc>
        <w:tc>
          <w:tcPr>
            <w:tcW w:w="0" w:type="auto"/>
            <w:shd w:val="clear" w:color="auto" w:fill="FFFFFF"/>
            <w:tcMar>
              <w:top w:w="40" w:type="dxa"/>
              <w:left w:w="0" w:type="dxa"/>
              <w:bottom w:w="40" w:type="dxa"/>
              <w:right w:w="20" w:type="dxa"/>
            </w:tcMar>
            <w:vAlign w:val="bottom"/>
          </w:tcPr>
          <w:p w14:paraId="5F2D1AE8" w14:textId="77777777" w:rsidR="00E836FB" w:rsidRDefault="00E836FB">
            <w:pPr>
              <w:jc w:val="right"/>
              <w:rPr>
                <w:rFonts w:ascii="宋体"/>
              </w:rPr>
            </w:pPr>
          </w:p>
        </w:tc>
      </w:tr>
      <w:tr w:rsidR="00E836FB" w14:paraId="5F2D1AF3" w14:textId="77777777">
        <w:tc>
          <w:tcPr>
            <w:tcW w:w="0" w:type="auto"/>
            <w:gridSpan w:val="3"/>
            <w:shd w:val="clear" w:color="auto" w:fill="CCEEFF"/>
            <w:tcMar>
              <w:top w:w="40" w:type="dxa"/>
              <w:left w:w="20" w:type="dxa"/>
              <w:bottom w:w="40" w:type="dxa"/>
              <w:right w:w="20" w:type="dxa"/>
            </w:tcMar>
            <w:vAlign w:val="bottom"/>
          </w:tcPr>
          <w:p w14:paraId="5F2D1AEA" w14:textId="77777777" w:rsidR="00E836FB" w:rsidRDefault="00994958">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F2D1AEB" w14:textId="77777777" w:rsidR="00E836FB" w:rsidRDefault="00994958">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F2D1A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AE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A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A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AF1" w14:textId="77777777" w:rsidR="00E836FB" w:rsidRDefault="00994958">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F2D1AF2" w14:textId="77777777" w:rsidR="00E836FB" w:rsidRDefault="00E836FB">
            <w:pPr>
              <w:jc w:val="right"/>
              <w:rPr>
                <w:rFonts w:ascii="宋体"/>
              </w:rPr>
            </w:pPr>
          </w:p>
        </w:tc>
      </w:tr>
      <w:tr w:rsidR="00E836FB" w14:paraId="5F2D1AFD" w14:textId="77777777">
        <w:tc>
          <w:tcPr>
            <w:tcW w:w="0" w:type="auto"/>
            <w:gridSpan w:val="3"/>
            <w:shd w:val="clear" w:color="auto" w:fill="FFFFFF"/>
            <w:tcMar>
              <w:top w:w="40" w:type="dxa"/>
              <w:left w:w="20" w:type="dxa"/>
              <w:bottom w:w="40" w:type="dxa"/>
              <w:right w:w="20" w:type="dxa"/>
            </w:tcMar>
            <w:vAlign w:val="bottom"/>
          </w:tcPr>
          <w:p w14:paraId="5F2D1AF4" w14:textId="77777777" w:rsidR="00E836FB" w:rsidRDefault="00994958">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F2D1AF5" w14:textId="77777777" w:rsidR="00E836FB" w:rsidRDefault="00994958">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F2D1A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F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A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A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AFB" w14:textId="77777777" w:rsidR="00E836FB" w:rsidRDefault="00994958">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F2D1AFC" w14:textId="77777777" w:rsidR="00E836FB" w:rsidRDefault="00E836FB">
            <w:pPr>
              <w:jc w:val="right"/>
              <w:rPr>
                <w:rFonts w:ascii="宋体"/>
              </w:rPr>
            </w:pPr>
          </w:p>
        </w:tc>
      </w:tr>
      <w:tr w:rsidR="00E836FB" w14:paraId="5F2D1B07" w14:textId="77777777">
        <w:tc>
          <w:tcPr>
            <w:tcW w:w="0" w:type="auto"/>
            <w:gridSpan w:val="3"/>
            <w:shd w:val="clear" w:color="auto" w:fill="CCEEFF"/>
            <w:tcMar>
              <w:top w:w="40" w:type="dxa"/>
              <w:left w:w="20" w:type="dxa"/>
              <w:bottom w:w="40" w:type="dxa"/>
              <w:right w:w="20" w:type="dxa"/>
            </w:tcMar>
            <w:vAlign w:val="bottom"/>
          </w:tcPr>
          <w:p w14:paraId="5F2D1AFE" w14:textId="77777777" w:rsidR="00E836FB" w:rsidRDefault="00994958">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F2D1AFF" w14:textId="77777777" w:rsidR="00E836FB" w:rsidRDefault="00994958">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F2D1B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0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B0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B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B05" w14:textId="77777777" w:rsidR="00E836FB" w:rsidRDefault="00994958">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F2D1B06" w14:textId="77777777" w:rsidR="00E836FB" w:rsidRDefault="00E836FB">
            <w:pPr>
              <w:jc w:val="right"/>
              <w:rPr>
                <w:rFonts w:ascii="宋体"/>
              </w:rPr>
            </w:pPr>
          </w:p>
        </w:tc>
      </w:tr>
      <w:tr w:rsidR="00E836FB" w14:paraId="5F2D1B14" w14:textId="77777777">
        <w:tc>
          <w:tcPr>
            <w:tcW w:w="0" w:type="auto"/>
            <w:gridSpan w:val="3"/>
            <w:shd w:val="clear" w:color="auto" w:fill="FFFFFF"/>
            <w:tcMar>
              <w:top w:w="40" w:type="dxa"/>
              <w:left w:w="20" w:type="dxa"/>
              <w:bottom w:w="40" w:type="dxa"/>
              <w:right w:w="20" w:type="dxa"/>
            </w:tcMar>
            <w:vAlign w:val="bottom"/>
          </w:tcPr>
          <w:p w14:paraId="5F2D1B08" w14:textId="77777777" w:rsidR="00E836FB" w:rsidRDefault="00994958">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B0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B0A" w14:textId="77777777" w:rsidR="00E836FB" w:rsidRDefault="00994958">
            <w:pPr>
              <w:jc w:val="right"/>
              <w:textAlignment w:val="bottom"/>
            </w:pPr>
            <w:r>
              <w:rPr>
                <w:rFonts w:ascii="Arial" w:eastAsia="宋体" w:hAnsi="Arial" w:cs="Arial"/>
                <w:color w:val="000000"/>
                <w:sz w:val="14"/>
                <w:szCs w:val="14"/>
              </w:rPr>
              <w:t>25,829 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B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0C"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B0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B0E" w14:textId="77777777" w:rsidR="00E836FB" w:rsidRDefault="00994958">
            <w:pPr>
              <w:jc w:val="right"/>
              <w:textAlignment w:val="bottom"/>
            </w:pPr>
            <w:r>
              <w:rPr>
                <w:rFonts w:ascii="Arial" w:eastAsia="宋体" w:hAnsi="Arial" w:cs="Arial"/>
                <w:color w:val="000000"/>
                <w:sz w:val="14"/>
                <w:szCs w:val="14"/>
              </w:rPr>
              <w:t>2,096 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B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10"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1B1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1B12" w14:textId="77777777" w:rsidR="00E836FB" w:rsidRDefault="00994958">
            <w:pPr>
              <w:jc w:val="right"/>
              <w:textAlignment w:val="bottom"/>
            </w:pPr>
            <w:r>
              <w:rPr>
                <w:rFonts w:ascii="Arial" w:eastAsia="宋体" w:hAnsi="Arial" w:cs="Arial"/>
                <w:color w:val="000000"/>
                <w:sz w:val="14"/>
                <w:szCs w:val="14"/>
              </w:rPr>
              <w:t>27,925 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1B13" w14:textId="77777777" w:rsidR="00E836FB" w:rsidRDefault="00E836FB">
            <w:pPr>
              <w:jc w:val="right"/>
              <w:rPr>
                <w:rFonts w:ascii="宋体"/>
              </w:rPr>
            </w:pPr>
          </w:p>
        </w:tc>
      </w:tr>
    </w:tbl>
    <w:p w14:paraId="5F2D1B15" w14:textId="77777777" w:rsidR="00E836FB" w:rsidRDefault="00E836FB">
      <w:pPr>
        <w:rPr>
          <w:vanish/>
        </w:rPr>
      </w:pPr>
    </w:p>
    <w:tbl>
      <w:tblPr>
        <w:tblW w:w="1725" w:type="pct"/>
        <w:tblCellMar>
          <w:top w:w="15" w:type="dxa"/>
          <w:left w:w="15" w:type="dxa"/>
          <w:bottom w:w="15" w:type="dxa"/>
          <w:right w:w="15" w:type="dxa"/>
        </w:tblCellMar>
        <w:tblLook w:val="04A0" w:firstRow="1" w:lastRow="0" w:firstColumn="1" w:lastColumn="0" w:noHBand="0" w:noVBand="1"/>
      </w:tblPr>
      <w:tblGrid>
        <w:gridCol w:w="36"/>
        <w:gridCol w:w="2260"/>
        <w:gridCol w:w="36"/>
        <w:gridCol w:w="36"/>
        <w:gridCol w:w="36"/>
        <w:gridCol w:w="36"/>
        <w:gridCol w:w="36"/>
        <w:gridCol w:w="364"/>
        <w:gridCol w:w="36"/>
      </w:tblGrid>
      <w:tr w:rsidR="00E836FB" w14:paraId="5F2D1B1F" w14:textId="77777777">
        <w:tc>
          <w:tcPr>
            <w:tcW w:w="50" w:type="pct"/>
            <w:shd w:val="clear" w:color="auto" w:fill="auto"/>
            <w:vAlign w:val="bottom"/>
          </w:tcPr>
          <w:p w14:paraId="5F2D1B16" w14:textId="77777777" w:rsidR="00E836FB" w:rsidRDefault="00E836FB">
            <w:pPr>
              <w:rPr>
                <w:rFonts w:ascii="宋体"/>
              </w:rPr>
            </w:pPr>
          </w:p>
        </w:tc>
        <w:tc>
          <w:tcPr>
            <w:tcW w:w="4012" w:type="pct"/>
            <w:shd w:val="clear" w:color="auto" w:fill="auto"/>
            <w:vAlign w:val="bottom"/>
          </w:tcPr>
          <w:p w14:paraId="5F2D1B17" w14:textId="77777777" w:rsidR="00E836FB" w:rsidRDefault="00E836FB">
            <w:pPr>
              <w:rPr>
                <w:rFonts w:ascii="宋体"/>
              </w:rPr>
            </w:pPr>
          </w:p>
        </w:tc>
        <w:tc>
          <w:tcPr>
            <w:tcW w:w="5" w:type="pct"/>
            <w:shd w:val="clear" w:color="auto" w:fill="auto"/>
            <w:vAlign w:val="bottom"/>
          </w:tcPr>
          <w:p w14:paraId="5F2D1B18" w14:textId="77777777" w:rsidR="00E836FB" w:rsidRDefault="00E836FB">
            <w:pPr>
              <w:rPr>
                <w:rFonts w:ascii="宋体"/>
              </w:rPr>
            </w:pPr>
          </w:p>
        </w:tc>
        <w:tc>
          <w:tcPr>
            <w:tcW w:w="5" w:type="pct"/>
            <w:shd w:val="clear" w:color="auto" w:fill="auto"/>
            <w:vAlign w:val="bottom"/>
          </w:tcPr>
          <w:p w14:paraId="5F2D1B19" w14:textId="77777777" w:rsidR="00E836FB" w:rsidRDefault="00E836FB">
            <w:pPr>
              <w:rPr>
                <w:rFonts w:ascii="宋体"/>
              </w:rPr>
            </w:pPr>
          </w:p>
        </w:tc>
        <w:tc>
          <w:tcPr>
            <w:tcW w:w="95" w:type="pct"/>
            <w:shd w:val="clear" w:color="auto" w:fill="auto"/>
            <w:vAlign w:val="bottom"/>
          </w:tcPr>
          <w:p w14:paraId="5F2D1B1A" w14:textId="77777777" w:rsidR="00E836FB" w:rsidRDefault="00E836FB">
            <w:pPr>
              <w:rPr>
                <w:rFonts w:ascii="宋体"/>
              </w:rPr>
            </w:pPr>
          </w:p>
        </w:tc>
        <w:tc>
          <w:tcPr>
            <w:tcW w:w="5" w:type="pct"/>
            <w:shd w:val="clear" w:color="auto" w:fill="auto"/>
            <w:vAlign w:val="bottom"/>
          </w:tcPr>
          <w:p w14:paraId="5F2D1B1B" w14:textId="77777777" w:rsidR="00E836FB" w:rsidRDefault="00E836FB">
            <w:pPr>
              <w:rPr>
                <w:rFonts w:ascii="宋体"/>
              </w:rPr>
            </w:pPr>
          </w:p>
        </w:tc>
        <w:tc>
          <w:tcPr>
            <w:tcW w:w="50" w:type="pct"/>
            <w:shd w:val="clear" w:color="auto" w:fill="auto"/>
            <w:vAlign w:val="bottom"/>
          </w:tcPr>
          <w:p w14:paraId="5F2D1B1C" w14:textId="77777777" w:rsidR="00E836FB" w:rsidRDefault="00E836FB">
            <w:pPr>
              <w:rPr>
                <w:rFonts w:ascii="宋体"/>
              </w:rPr>
            </w:pPr>
          </w:p>
        </w:tc>
        <w:tc>
          <w:tcPr>
            <w:tcW w:w="771" w:type="pct"/>
            <w:shd w:val="clear" w:color="auto" w:fill="auto"/>
            <w:vAlign w:val="bottom"/>
          </w:tcPr>
          <w:p w14:paraId="5F2D1B1D" w14:textId="77777777" w:rsidR="00E836FB" w:rsidRDefault="00E836FB">
            <w:pPr>
              <w:rPr>
                <w:rFonts w:ascii="宋体"/>
              </w:rPr>
            </w:pPr>
          </w:p>
        </w:tc>
        <w:tc>
          <w:tcPr>
            <w:tcW w:w="5" w:type="pct"/>
            <w:shd w:val="clear" w:color="auto" w:fill="auto"/>
            <w:vAlign w:val="bottom"/>
          </w:tcPr>
          <w:p w14:paraId="5F2D1B1E" w14:textId="77777777" w:rsidR="00E836FB" w:rsidRDefault="00E836FB">
            <w:pPr>
              <w:rPr>
                <w:rFonts w:ascii="宋体"/>
              </w:rPr>
            </w:pPr>
          </w:p>
        </w:tc>
      </w:tr>
      <w:tr w:rsidR="00E836FB" w14:paraId="5F2D1B23" w14:textId="77777777">
        <w:trPr>
          <w:trHeight w:val="60"/>
        </w:trPr>
        <w:tc>
          <w:tcPr>
            <w:tcW w:w="0" w:type="auto"/>
            <w:gridSpan w:val="3"/>
            <w:shd w:val="clear" w:color="auto" w:fill="auto"/>
            <w:tcMar>
              <w:top w:w="0" w:type="dxa"/>
              <w:left w:w="20" w:type="dxa"/>
              <w:bottom w:w="0" w:type="dxa"/>
              <w:right w:w="20" w:type="dxa"/>
            </w:tcMar>
            <w:vAlign w:val="bottom"/>
          </w:tcPr>
          <w:p w14:paraId="5F2D1B2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22" w14:textId="77777777" w:rsidR="00E836FB" w:rsidRDefault="00E836FB">
            <w:pPr>
              <w:rPr>
                <w:rFonts w:ascii="宋体"/>
              </w:rPr>
            </w:pPr>
          </w:p>
        </w:tc>
      </w:tr>
      <w:tr w:rsidR="00E836FB" w14:paraId="5F2D1B27"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2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26" w14:textId="77777777" w:rsidR="00E836FB" w:rsidRDefault="00E836FB">
            <w:pPr>
              <w:rPr>
                <w:rFonts w:ascii="宋体"/>
              </w:rPr>
            </w:pPr>
          </w:p>
        </w:tc>
      </w:tr>
    </w:tbl>
    <w:p w14:paraId="5F2D1B28" w14:textId="77777777" w:rsidR="00E836FB" w:rsidRDefault="00994958">
      <w:pPr>
        <w:spacing w:before="20"/>
        <w:jc w:val="both"/>
      </w:pPr>
      <w:r>
        <w:rPr>
          <w:rFonts w:ascii="Arial" w:eastAsia="宋体" w:hAnsi="Arial" w:cs="Arial"/>
          <w:color w:val="000000"/>
          <w:sz w:val="8"/>
          <w:szCs w:val="8"/>
        </w:rPr>
        <w:t>(1)</w:t>
      </w:r>
      <w:r>
        <w:rPr>
          <w:rFonts w:ascii="Arial" w:eastAsia="宋体" w:hAnsi="Arial" w:cs="Arial"/>
          <w:color w:val="000000"/>
          <w:sz w:val="13"/>
          <w:szCs w:val="13"/>
        </w:rPr>
        <w:t xml:space="preserve"> Loans Include $3,108 million and $2,982 million of overdrafts as of December 31, 2021 and December 31, 2020, respectively. Overdrafts are short-term in nature and do not present a significant credit risk to us. As of December 31, 2021, $2,944 million over</w:t>
      </w:r>
      <w:r>
        <w:rPr>
          <w:rFonts w:ascii="Arial" w:eastAsia="宋体" w:hAnsi="Arial" w:cs="Arial"/>
          <w:color w:val="000000"/>
          <w:sz w:val="13"/>
          <w:szCs w:val="13"/>
        </w:rPr>
        <w:t>drafts were investment grade and $164 million overdrafts were speculative.</w:t>
      </w:r>
    </w:p>
    <w:p w14:paraId="5F2D1B29" w14:textId="77777777" w:rsidR="00E836FB" w:rsidRDefault="00994958">
      <w:pPr>
        <w:spacing w:before="20"/>
        <w:jc w:val="both"/>
      </w:pPr>
      <w:r>
        <w:rPr>
          <w:rFonts w:ascii="Arial" w:eastAsia="宋体" w:hAnsi="Arial" w:cs="Arial"/>
          <w:color w:val="000000"/>
          <w:sz w:val="8"/>
          <w:szCs w:val="8"/>
        </w:rPr>
        <w:t>(2)</w:t>
      </w:r>
      <w:r>
        <w:rPr>
          <w:rFonts w:ascii="Arial" w:eastAsia="宋体" w:hAnsi="Arial" w:cs="Arial"/>
          <w:color w:val="000000"/>
          <w:sz w:val="20"/>
          <w:szCs w:val="20"/>
        </w:rPr>
        <w:t xml:space="preserve"> </w:t>
      </w:r>
      <w:r>
        <w:rPr>
          <w:rFonts w:ascii="Arial" w:eastAsia="宋体" w:hAnsi="Arial" w:cs="Arial"/>
          <w:color w:val="000000"/>
          <w:sz w:val="13"/>
          <w:szCs w:val="13"/>
        </w:rPr>
        <w:t xml:space="preserve">Total does not include $8 million of loans classified as held-for-sale as of December 31, 2021. </w:t>
      </w:r>
    </w:p>
    <w:p w14:paraId="5F2D1B2A" w14:textId="77777777" w:rsidR="00E836FB" w:rsidRDefault="00994958">
      <w:pPr>
        <w:spacing w:before="60"/>
        <w:ind w:firstLine="450"/>
        <w:jc w:val="both"/>
      </w:pPr>
      <w:r>
        <w:rPr>
          <w:rFonts w:ascii="Arial" w:eastAsia="宋体" w:hAnsi="Arial" w:cs="Arial"/>
          <w:color w:val="000000"/>
          <w:sz w:val="20"/>
          <w:szCs w:val="20"/>
        </w:rPr>
        <w:t xml:space="preserve">Financial assets held at amortized cost that are not loans are </w:t>
      </w:r>
      <w:r>
        <w:rPr>
          <w:rFonts w:ascii="Arial" w:eastAsia="宋体" w:hAnsi="Arial" w:cs="Arial"/>
          <w:color w:val="000000"/>
          <w:sz w:val="20"/>
          <w:szCs w:val="20"/>
        </w:rPr>
        <w:t>disaggregated based on product type. This includes our fees receivable balance, which have had no history of credit losses, and are evaluated collectively as a pool.</w:t>
      </w:r>
    </w:p>
    <w:p w14:paraId="5F2D1B2B" w14:textId="77777777" w:rsidR="00E836FB" w:rsidRDefault="00994958">
      <w:pPr>
        <w:spacing w:before="60"/>
        <w:ind w:firstLine="450"/>
        <w:jc w:val="both"/>
      </w:pPr>
      <w:r>
        <w:rPr>
          <w:rFonts w:ascii="Arial" w:eastAsia="宋体" w:hAnsi="Arial" w:cs="Arial"/>
          <w:color w:val="000000"/>
          <w:sz w:val="20"/>
          <w:szCs w:val="20"/>
        </w:rPr>
        <w:t>Securities purchased under a resale agreement and securities-financing within our principa</w:t>
      </w:r>
      <w:r>
        <w:rPr>
          <w:rFonts w:ascii="Arial" w:eastAsia="宋体" w:hAnsi="Arial" w:cs="Arial"/>
          <w:color w:val="000000"/>
          <w:sz w:val="20"/>
          <w:szCs w:val="20"/>
        </w:rPr>
        <w:t>l business utilize the collateral maintenance provisions included within ASC 326. An allowance for credit losses is recognized for any remaining exposure based on counterparty type.</w:t>
      </w:r>
    </w:p>
    <w:p w14:paraId="5F2D1B2C" w14:textId="77777777" w:rsidR="00E836FB" w:rsidRDefault="00994958">
      <w:pPr>
        <w:spacing w:before="60"/>
        <w:ind w:firstLine="450"/>
        <w:jc w:val="both"/>
      </w:pPr>
      <w:r>
        <w:rPr>
          <w:rFonts w:ascii="Arial" w:eastAsia="宋体" w:hAnsi="Arial" w:cs="Arial"/>
          <w:color w:val="000000"/>
          <w:sz w:val="20"/>
          <w:szCs w:val="20"/>
        </w:rPr>
        <w:t>The allowance for credit losses for off-balance sheet credit exposures, re</w:t>
      </w:r>
      <w:r>
        <w:rPr>
          <w:rFonts w:ascii="Arial" w:eastAsia="宋体" w:hAnsi="Arial" w:cs="Arial"/>
          <w:color w:val="000000"/>
          <w:sz w:val="20"/>
          <w:szCs w:val="20"/>
        </w:rPr>
        <w:t>corded in accrued expenses and other liabilities in our consolidated statement of condition, represents management’s estimate of credit losses primarily in outstanding letters and lines of credit and other credit-enhancement facilities provided to our clie</w:t>
      </w:r>
      <w:r>
        <w:rPr>
          <w:rFonts w:ascii="Arial" w:eastAsia="宋体" w:hAnsi="Arial" w:cs="Arial"/>
          <w:color w:val="000000"/>
          <w:sz w:val="20"/>
          <w:szCs w:val="20"/>
        </w:rPr>
        <w:t>nts and outstanding as of the balance sheet date. The allowance is evaluated quarterly by management. Factors considered in evaluating the appropriate level of this allowance are similar to those considered with respect to the allowance for credit losses o</w:t>
      </w:r>
      <w:r>
        <w:rPr>
          <w:rFonts w:ascii="Arial" w:eastAsia="宋体" w:hAnsi="Arial" w:cs="Arial"/>
          <w:color w:val="000000"/>
          <w:sz w:val="20"/>
          <w:szCs w:val="20"/>
        </w:rPr>
        <w:t>n financial assets held at amortized cost. Provisions to maintain the allowance at a level considered by us to be appropriate to absorb estimated credit losses in outstanding facilities are recorded in the provision for credit losses in our consolidated st</w:t>
      </w:r>
      <w:r>
        <w:rPr>
          <w:rFonts w:ascii="Arial" w:eastAsia="宋体" w:hAnsi="Arial" w:cs="Arial"/>
          <w:color w:val="000000"/>
          <w:sz w:val="20"/>
          <w:szCs w:val="20"/>
        </w:rPr>
        <w:t xml:space="preserve">atement of income. </w:t>
      </w:r>
    </w:p>
    <w:p w14:paraId="5F2D1B2D" w14:textId="77777777" w:rsidR="00E836FB" w:rsidRDefault="00994958">
      <w:pPr>
        <w:spacing w:before="60" w:after="100"/>
        <w:ind w:firstLine="450"/>
        <w:jc w:val="both"/>
      </w:pPr>
      <w:r>
        <w:rPr>
          <w:rFonts w:ascii="Arial" w:eastAsia="宋体" w:hAnsi="Arial" w:cs="Arial"/>
          <w:color w:val="000000"/>
          <w:sz w:val="20"/>
          <w:szCs w:val="20"/>
        </w:rPr>
        <w:t>The following table presents the amortized cost basis, by year of origination and credit quality indicator as of December 31, 2021. For origination years before the fifth annual period, we present the aggregate amortized cost basis of l</w:t>
      </w:r>
      <w:r>
        <w:rPr>
          <w:rFonts w:ascii="Arial" w:eastAsia="宋体" w:hAnsi="Arial" w:cs="Arial"/>
          <w:color w:val="000000"/>
          <w:sz w:val="20"/>
          <w:szCs w:val="20"/>
        </w:rPr>
        <w:t>oans. For purchased loans, the date of issuance is used to determine the year of origination, not the date of acquisition. For modified, extended or renewed lending arrangements, we evaluate whether a credit event has occurred which would consider the loan</w:t>
      </w:r>
      <w:r>
        <w:rPr>
          <w:rFonts w:ascii="Arial" w:eastAsia="宋体" w:hAnsi="Arial" w:cs="Arial"/>
          <w:color w:val="000000"/>
          <w:sz w:val="20"/>
          <w:szCs w:val="20"/>
        </w:rPr>
        <w:t xml:space="preserve"> to be a new arrangement.</w:t>
      </w:r>
    </w:p>
    <w:p w14:paraId="5F2D1B2E" w14:textId="77777777" w:rsidR="00E836FB" w:rsidRDefault="00994958">
      <w:pPr>
        <w:ind w:firstLine="450"/>
        <w:jc w:val="right"/>
      </w:pPr>
      <w:r>
        <w:rPr>
          <w:rFonts w:ascii="Arial" w:eastAsia="宋体" w:hAnsi="Arial" w:cs="Arial"/>
          <w:color w:val="000000"/>
          <w:sz w:val="18"/>
          <w:szCs w:val="18"/>
        </w:rPr>
        <w:t>State Street Corporation | 152</w:t>
      </w:r>
    </w:p>
    <w:p w14:paraId="5F2D1B2F" w14:textId="77777777" w:rsidR="00E836FB" w:rsidRDefault="00E836FB">
      <w:pPr>
        <w:ind w:firstLine="450"/>
        <w:jc w:val="center"/>
      </w:pPr>
    </w:p>
    <w:p w14:paraId="5F2D1B30" w14:textId="77777777" w:rsidR="00E836FB" w:rsidRDefault="00994958">
      <w:r>
        <w:pict w14:anchorId="5F2D6E1D">
          <v:rect id="_x0000_i1176" style="width:415.3pt;height:1.5pt" o:hralign="center" o:hrstd="t" o:hr="t" fillcolor="#a0a0a0" stroked="f"/>
        </w:pict>
      </w:r>
    </w:p>
    <w:p w14:paraId="5F2D1B31" w14:textId="77777777" w:rsidR="00E836FB" w:rsidRDefault="00994958">
      <w:pPr>
        <w:ind w:firstLine="450"/>
        <w:jc w:val="center"/>
      </w:pPr>
      <w:r>
        <w:rPr>
          <w:rFonts w:ascii="Arial" w:eastAsia="宋体" w:hAnsi="Arial" w:cs="Arial"/>
          <w:b/>
          <w:bCs/>
          <w:color w:val="000000"/>
          <w:sz w:val="20"/>
          <w:szCs w:val="20"/>
        </w:rPr>
        <w:t>STATE STREET CORPORATION</w:t>
      </w:r>
    </w:p>
    <w:p w14:paraId="5F2D1B32" w14:textId="77777777" w:rsidR="00E836FB" w:rsidRDefault="00994958">
      <w:pPr>
        <w:ind w:firstLine="450"/>
        <w:jc w:val="center"/>
      </w:pPr>
      <w:r>
        <w:rPr>
          <w:rFonts w:ascii="Arial" w:eastAsia="宋体" w:hAnsi="Arial" w:cs="Arial"/>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E836FB" w14:paraId="5F2D1B65" w14:textId="77777777">
        <w:tc>
          <w:tcPr>
            <w:tcW w:w="50" w:type="pct"/>
            <w:shd w:val="clear" w:color="auto" w:fill="auto"/>
            <w:vAlign w:val="bottom"/>
          </w:tcPr>
          <w:p w14:paraId="5F2D1B33" w14:textId="77777777" w:rsidR="00E836FB" w:rsidRDefault="00E836FB">
            <w:pPr>
              <w:rPr>
                <w:rFonts w:ascii="宋体"/>
              </w:rPr>
            </w:pPr>
          </w:p>
        </w:tc>
        <w:tc>
          <w:tcPr>
            <w:tcW w:w="1458" w:type="pct"/>
            <w:shd w:val="clear" w:color="auto" w:fill="auto"/>
            <w:vAlign w:val="bottom"/>
          </w:tcPr>
          <w:p w14:paraId="5F2D1B34" w14:textId="77777777" w:rsidR="00E836FB" w:rsidRDefault="00E836FB">
            <w:pPr>
              <w:rPr>
                <w:rFonts w:ascii="宋体"/>
              </w:rPr>
            </w:pPr>
          </w:p>
        </w:tc>
        <w:tc>
          <w:tcPr>
            <w:tcW w:w="5" w:type="pct"/>
            <w:shd w:val="clear" w:color="auto" w:fill="auto"/>
            <w:vAlign w:val="bottom"/>
          </w:tcPr>
          <w:p w14:paraId="5F2D1B35" w14:textId="77777777" w:rsidR="00E836FB" w:rsidRDefault="00E836FB">
            <w:pPr>
              <w:rPr>
                <w:rFonts w:ascii="宋体"/>
              </w:rPr>
            </w:pPr>
          </w:p>
        </w:tc>
        <w:tc>
          <w:tcPr>
            <w:tcW w:w="50" w:type="pct"/>
            <w:shd w:val="clear" w:color="auto" w:fill="auto"/>
            <w:vAlign w:val="bottom"/>
          </w:tcPr>
          <w:p w14:paraId="5F2D1B36" w14:textId="77777777" w:rsidR="00E836FB" w:rsidRDefault="00E836FB">
            <w:pPr>
              <w:rPr>
                <w:rFonts w:ascii="宋体"/>
              </w:rPr>
            </w:pPr>
          </w:p>
        </w:tc>
        <w:tc>
          <w:tcPr>
            <w:tcW w:w="317" w:type="pct"/>
            <w:shd w:val="clear" w:color="auto" w:fill="auto"/>
            <w:vAlign w:val="bottom"/>
          </w:tcPr>
          <w:p w14:paraId="5F2D1B37" w14:textId="77777777" w:rsidR="00E836FB" w:rsidRDefault="00E836FB">
            <w:pPr>
              <w:rPr>
                <w:rFonts w:ascii="宋体"/>
              </w:rPr>
            </w:pPr>
          </w:p>
        </w:tc>
        <w:tc>
          <w:tcPr>
            <w:tcW w:w="5" w:type="pct"/>
            <w:shd w:val="clear" w:color="auto" w:fill="auto"/>
            <w:vAlign w:val="bottom"/>
          </w:tcPr>
          <w:p w14:paraId="5F2D1B38" w14:textId="77777777" w:rsidR="00E836FB" w:rsidRDefault="00E836FB">
            <w:pPr>
              <w:rPr>
                <w:rFonts w:ascii="宋体"/>
              </w:rPr>
            </w:pPr>
          </w:p>
        </w:tc>
        <w:tc>
          <w:tcPr>
            <w:tcW w:w="5" w:type="pct"/>
            <w:shd w:val="clear" w:color="auto" w:fill="auto"/>
            <w:vAlign w:val="bottom"/>
          </w:tcPr>
          <w:p w14:paraId="5F2D1B39" w14:textId="77777777" w:rsidR="00E836FB" w:rsidRDefault="00E836FB">
            <w:pPr>
              <w:rPr>
                <w:rFonts w:ascii="宋体"/>
              </w:rPr>
            </w:pPr>
          </w:p>
        </w:tc>
        <w:tc>
          <w:tcPr>
            <w:tcW w:w="26" w:type="pct"/>
            <w:shd w:val="clear" w:color="auto" w:fill="auto"/>
            <w:vAlign w:val="bottom"/>
          </w:tcPr>
          <w:p w14:paraId="5F2D1B3A" w14:textId="77777777" w:rsidR="00E836FB" w:rsidRDefault="00E836FB">
            <w:pPr>
              <w:rPr>
                <w:rFonts w:ascii="宋体"/>
              </w:rPr>
            </w:pPr>
          </w:p>
        </w:tc>
        <w:tc>
          <w:tcPr>
            <w:tcW w:w="5" w:type="pct"/>
            <w:shd w:val="clear" w:color="auto" w:fill="auto"/>
            <w:vAlign w:val="bottom"/>
          </w:tcPr>
          <w:p w14:paraId="5F2D1B3B" w14:textId="77777777" w:rsidR="00E836FB" w:rsidRDefault="00E836FB">
            <w:pPr>
              <w:rPr>
                <w:rFonts w:ascii="宋体"/>
              </w:rPr>
            </w:pPr>
          </w:p>
        </w:tc>
        <w:tc>
          <w:tcPr>
            <w:tcW w:w="50" w:type="pct"/>
            <w:shd w:val="clear" w:color="auto" w:fill="auto"/>
            <w:vAlign w:val="bottom"/>
          </w:tcPr>
          <w:p w14:paraId="5F2D1B3C" w14:textId="77777777" w:rsidR="00E836FB" w:rsidRDefault="00E836FB">
            <w:pPr>
              <w:rPr>
                <w:rFonts w:ascii="宋体"/>
              </w:rPr>
            </w:pPr>
          </w:p>
        </w:tc>
        <w:tc>
          <w:tcPr>
            <w:tcW w:w="317" w:type="pct"/>
            <w:shd w:val="clear" w:color="auto" w:fill="auto"/>
            <w:vAlign w:val="bottom"/>
          </w:tcPr>
          <w:p w14:paraId="5F2D1B3D" w14:textId="77777777" w:rsidR="00E836FB" w:rsidRDefault="00E836FB">
            <w:pPr>
              <w:rPr>
                <w:rFonts w:ascii="宋体"/>
              </w:rPr>
            </w:pPr>
          </w:p>
        </w:tc>
        <w:tc>
          <w:tcPr>
            <w:tcW w:w="5" w:type="pct"/>
            <w:shd w:val="clear" w:color="auto" w:fill="auto"/>
            <w:vAlign w:val="bottom"/>
          </w:tcPr>
          <w:p w14:paraId="5F2D1B3E" w14:textId="77777777" w:rsidR="00E836FB" w:rsidRDefault="00E836FB">
            <w:pPr>
              <w:rPr>
                <w:rFonts w:ascii="宋体"/>
              </w:rPr>
            </w:pPr>
          </w:p>
        </w:tc>
        <w:tc>
          <w:tcPr>
            <w:tcW w:w="5" w:type="pct"/>
            <w:shd w:val="clear" w:color="auto" w:fill="auto"/>
            <w:vAlign w:val="bottom"/>
          </w:tcPr>
          <w:p w14:paraId="5F2D1B3F" w14:textId="77777777" w:rsidR="00E836FB" w:rsidRDefault="00E836FB">
            <w:pPr>
              <w:rPr>
                <w:rFonts w:ascii="宋体"/>
              </w:rPr>
            </w:pPr>
          </w:p>
        </w:tc>
        <w:tc>
          <w:tcPr>
            <w:tcW w:w="26" w:type="pct"/>
            <w:shd w:val="clear" w:color="auto" w:fill="auto"/>
            <w:vAlign w:val="bottom"/>
          </w:tcPr>
          <w:p w14:paraId="5F2D1B40" w14:textId="77777777" w:rsidR="00E836FB" w:rsidRDefault="00E836FB">
            <w:pPr>
              <w:rPr>
                <w:rFonts w:ascii="宋体"/>
              </w:rPr>
            </w:pPr>
          </w:p>
        </w:tc>
        <w:tc>
          <w:tcPr>
            <w:tcW w:w="5" w:type="pct"/>
            <w:shd w:val="clear" w:color="auto" w:fill="auto"/>
            <w:vAlign w:val="bottom"/>
          </w:tcPr>
          <w:p w14:paraId="5F2D1B41" w14:textId="77777777" w:rsidR="00E836FB" w:rsidRDefault="00E836FB">
            <w:pPr>
              <w:rPr>
                <w:rFonts w:ascii="宋体"/>
              </w:rPr>
            </w:pPr>
          </w:p>
        </w:tc>
        <w:tc>
          <w:tcPr>
            <w:tcW w:w="50" w:type="pct"/>
            <w:shd w:val="clear" w:color="auto" w:fill="auto"/>
            <w:vAlign w:val="bottom"/>
          </w:tcPr>
          <w:p w14:paraId="5F2D1B42" w14:textId="77777777" w:rsidR="00E836FB" w:rsidRDefault="00E836FB">
            <w:pPr>
              <w:rPr>
                <w:rFonts w:ascii="宋体"/>
              </w:rPr>
            </w:pPr>
          </w:p>
        </w:tc>
        <w:tc>
          <w:tcPr>
            <w:tcW w:w="317" w:type="pct"/>
            <w:shd w:val="clear" w:color="auto" w:fill="auto"/>
            <w:vAlign w:val="bottom"/>
          </w:tcPr>
          <w:p w14:paraId="5F2D1B43" w14:textId="77777777" w:rsidR="00E836FB" w:rsidRDefault="00E836FB">
            <w:pPr>
              <w:rPr>
                <w:rFonts w:ascii="宋体"/>
              </w:rPr>
            </w:pPr>
          </w:p>
        </w:tc>
        <w:tc>
          <w:tcPr>
            <w:tcW w:w="5" w:type="pct"/>
            <w:shd w:val="clear" w:color="auto" w:fill="auto"/>
            <w:vAlign w:val="bottom"/>
          </w:tcPr>
          <w:p w14:paraId="5F2D1B44" w14:textId="77777777" w:rsidR="00E836FB" w:rsidRDefault="00E836FB">
            <w:pPr>
              <w:rPr>
                <w:rFonts w:ascii="宋体"/>
              </w:rPr>
            </w:pPr>
          </w:p>
        </w:tc>
        <w:tc>
          <w:tcPr>
            <w:tcW w:w="5" w:type="pct"/>
            <w:shd w:val="clear" w:color="auto" w:fill="auto"/>
            <w:vAlign w:val="bottom"/>
          </w:tcPr>
          <w:p w14:paraId="5F2D1B45" w14:textId="77777777" w:rsidR="00E836FB" w:rsidRDefault="00E836FB">
            <w:pPr>
              <w:rPr>
                <w:rFonts w:ascii="宋体"/>
              </w:rPr>
            </w:pPr>
          </w:p>
        </w:tc>
        <w:tc>
          <w:tcPr>
            <w:tcW w:w="26" w:type="pct"/>
            <w:shd w:val="clear" w:color="auto" w:fill="auto"/>
            <w:vAlign w:val="bottom"/>
          </w:tcPr>
          <w:p w14:paraId="5F2D1B46" w14:textId="77777777" w:rsidR="00E836FB" w:rsidRDefault="00E836FB">
            <w:pPr>
              <w:rPr>
                <w:rFonts w:ascii="宋体"/>
              </w:rPr>
            </w:pPr>
          </w:p>
        </w:tc>
        <w:tc>
          <w:tcPr>
            <w:tcW w:w="5" w:type="pct"/>
            <w:shd w:val="clear" w:color="auto" w:fill="auto"/>
            <w:vAlign w:val="bottom"/>
          </w:tcPr>
          <w:p w14:paraId="5F2D1B47" w14:textId="77777777" w:rsidR="00E836FB" w:rsidRDefault="00E836FB">
            <w:pPr>
              <w:rPr>
                <w:rFonts w:ascii="宋体"/>
              </w:rPr>
            </w:pPr>
          </w:p>
        </w:tc>
        <w:tc>
          <w:tcPr>
            <w:tcW w:w="50" w:type="pct"/>
            <w:shd w:val="clear" w:color="auto" w:fill="auto"/>
            <w:vAlign w:val="bottom"/>
          </w:tcPr>
          <w:p w14:paraId="5F2D1B48" w14:textId="77777777" w:rsidR="00E836FB" w:rsidRDefault="00E836FB">
            <w:pPr>
              <w:rPr>
                <w:rFonts w:ascii="宋体"/>
              </w:rPr>
            </w:pPr>
          </w:p>
        </w:tc>
        <w:tc>
          <w:tcPr>
            <w:tcW w:w="317" w:type="pct"/>
            <w:shd w:val="clear" w:color="auto" w:fill="auto"/>
            <w:vAlign w:val="bottom"/>
          </w:tcPr>
          <w:p w14:paraId="5F2D1B49" w14:textId="77777777" w:rsidR="00E836FB" w:rsidRDefault="00E836FB">
            <w:pPr>
              <w:rPr>
                <w:rFonts w:ascii="宋体"/>
              </w:rPr>
            </w:pPr>
          </w:p>
        </w:tc>
        <w:tc>
          <w:tcPr>
            <w:tcW w:w="5" w:type="pct"/>
            <w:shd w:val="clear" w:color="auto" w:fill="auto"/>
            <w:vAlign w:val="bottom"/>
          </w:tcPr>
          <w:p w14:paraId="5F2D1B4A" w14:textId="77777777" w:rsidR="00E836FB" w:rsidRDefault="00E836FB">
            <w:pPr>
              <w:rPr>
                <w:rFonts w:ascii="宋体"/>
              </w:rPr>
            </w:pPr>
          </w:p>
        </w:tc>
        <w:tc>
          <w:tcPr>
            <w:tcW w:w="5" w:type="pct"/>
            <w:shd w:val="clear" w:color="auto" w:fill="auto"/>
            <w:vAlign w:val="bottom"/>
          </w:tcPr>
          <w:p w14:paraId="5F2D1B4B" w14:textId="77777777" w:rsidR="00E836FB" w:rsidRDefault="00E836FB">
            <w:pPr>
              <w:rPr>
                <w:rFonts w:ascii="宋体"/>
              </w:rPr>
            </w:pPr>
          </w:p>
        </w:tc>
        <w:tc>
          <w:tcPr>
            <w:tcW w:w="26" w:type="pct"/>
            <w:shd w:val="clear" w:color="auto" w:fill="auto"/>
            <w:vAlign w:val="bottom"/>
          </w:tcPr>
          <w:p w14:paraId="5F2D1B4C" w14:textId="77777777" w:rsidR="00E836FB" w:rsidRDefault="00E836FB">
            <w:pPr>
              <w:rPr>
                <w:rFonts w:ascii="宋体"/>
              </w:rPr>
            </w:pPr>
          </w:p>
        </w:tc>
        <w:tc>
          <w:tcPr>
            <w:tcW w:w="5" w:type="pct"/>
            <w:shd w:val="clear" w:color="auto" w:fill="auto"/>
            <w:vAlign w:val="bottom"/>
          </w:tcPr>
          <w:p w14:paraId="5F2D1B4D" w14:textId="77777777" w:rsidR="00E836FB" w:rsidRDefault="00E836FB">
            <w:pPr>
              <w:rPr>
                <w:rFonts w:ascii="宋体"/>
              </w:rPr>
            </w:pPr>
          </w:p>
        </w:tc>
        <w:tc>
          <w:tcPr>
            <w:tcW w:w="50" w:type="pct"/>
            <w:shd w:val="clear" w:color="auto" w:fill="auto"/>
            <w:vAlign w:val="bottom"/>
          </w:tcPr>
          <w:p w14:paraId="5F2D1B4E" w14:textId="77777777" w:rsidR="00E836FB" w:rsidRDefault="00E836FB">
            <w:pPr>
              <w:rPr>
                <w:rFonts w:ascii="宋体"/>
              </w:rPr>
            </w:pPr>
          </w:p>
        </w:tc>
        <w:tc>
          <w:tcPr>
            <w:tcW w:w="317" w:type="pct"/>
            <w:shd w:val="clear" w:color="auto" w:fill="auto"/>
            <w:vAlign w:val="bottom"/>
          </w:tcPr>
          <w:p w14:paraId="5F2D1B4F" w14:textId="77777777" w:rsidR="00E836FB" w:rsidRDefault="00E836FB">
            <w:pPr>
              <w:rPr>
                <w:rFonts w:ascii="宋体"/>
              </w:rPr>
            </w:pPr>
          </w:p>
        </w:tc>
        <w:tc>
          <w:tcPr>
            <w:tcW w:w="5" w:type="pct"/>
            <w:shd w:val="clear" w:color="auto" w:fill="auto"/>
            <w:vAlign w:val="bottom"/>
          </w:tcPr>
          <w:p w14:paraId="5F2D1B50" w14:textId="77777777" w:rsidR="00E836FB" w:rsidRDefault="00E836FB">
            <w:pPr>
              <w:rPr>
                <w:rFonts w:ascii="宋体"/>
              </w:rPr>
            </w:pPr>
          </w:p>
        </w:tc>
        <w:tc>
          <w:tcPr>
            <w:tcW w:w="5" w:type="pct"/>
            <w:shd w:val="clear" w:color="auto" w:fill="auto"/>
            <w:vAlign w:val="bottom"/>
          </w:tcPr>
          <w:p w14:paraId="5F2D1B51" w14:textId="77777777" w:rsidR="00E836FB" w:rsidRDefault="00E836FB">
            <w:pPr>
              <w:rPr>
                <w:rFonts w:ascii="宋体"/>
              </w:rPr>
            </w:pPr>
          </w:p>
        </w:tc>
        <w:tc>
          <w:tcPr>
            <w:tcW w:w="26" w:type="pct"/>
            <w:shd w:val="clear" w:color="auto" w:fill="auto"/>
            <w:vAlign w:val="bottom"/>
          </w:tcPr>
          <w:p w14:paraId="5F2D1B52" w14:textId="77777777" w:rsidR="00E836FB" w:rsidRDefault="00E836FB">
            <w:pPr>
              <w:rPr>
                <w:rFonts w:ascii="宋体"/>
              </w:rPr>
            </w:pPr>
          </w:p>
        </w:tc>
        <w:tc>
          <w:tcPr>
            <w:tcW w:w="5" w:type="pct"/>
            <w:shd w:val="clear" w:color="auto" w:fill="auto"/>
            <w:vAlign w:val="bottom"/>
          </w:tcPr>
          <w:p w14:paraId="5F2D1B53" w14:textId="77777777" w:rsidR="00E836FB" w:rsidRDefault="00E836FB">
            <w:pPr>
              <w:rPr>
                <w:rFonts w:ascii="宋体"/>
              </w:rPr>
            </w:pPr>
          </w:p>
        </w:tc>
        <w:tc>
          <w:tcPr>
            <w:tcW w:w="0" w:type="auto"/>
            <w:shd w:val="clear" w:color="auto" w:fill="auto"/>
            <w:vAlign w:val="bottom"/>
          </w:tcPr>
          <w:p w14:paraId="5F2D1B54" w14:textId="77777777" w:rsidR="00E836FB" w:rsidRDefault="00E836FB">
            <w:pPr>
              <w:rPr>
                <w:rFonts w:ascii="宋体"/>
                <w:vanish/>
              </w:rPr>
            </w:pPr>
          </w:p>
        </w:tc>
        <w:tc>
          <w:tcPr>
            <w:tcW w:w="0" w:type="auto"/>
            <w:shd w:val="clear" w:color="auto" w:fill="auto"/>
            <w:vAlign w:val="bottom"/>
          </w:tcPr>
          <w:p w14:paraId="5F2D1B55" w14:textId="77777777" w:rsidR="00E836FB" w:rsidRDefault="00E836FB">
            <w:pPr>
              <w:rPr>
                <w:rFonts w:ascii="宋体"/>
                <w:vanish/>
              </w:rPr>
            </w:pPr>
          </w:p>
        </w:tc>
        <w:tc>
          <w:tcPr>
            <w:tcW w:w="50" w:type="pct"/>
            <w:shd w:val="clear" w:color="auto" w:fill="auto"/>
            <w:vAlign w:val="bottom"/>
          </w:tcPr>
          <w:p w14:paraId="5F2D1B56" w14:textId="77777777" w:rsidR="00E836FB" w:rsidRDefault="00E836FB">
            <w:pPr>
              <w:rPr>
                <w:rFonts w:ascii="宋体"/>
              </w:rPr>
            </w:pPr>
          </w:p>
        </w:tc>
        <w:tc>
          <w:tcPr>
            <w:tcW w:w="317" w:type="pct"/>
            <w:shd w:val="clear" w:color="auto" w:fill="auto"/>
            <w:vAlign w:val="bottom"/>
          </w:tcPr>
          <w:p w14:paraId="5F2D1B57" w14:textId="77777777" w:rsidR="00E836FB" w:rsidRDefault="00E836FB">
            <w:pPr>
              <w:rPr>
                <w:rFonts w:ascii="宋体"/>
              </w:rPr>
            </w:pPr>
          </w:p>
        </w:tc>
        <w:tc>
          <w:tcPr>
            <w:tcW w:w="5" w:type="pct"/>
            <w:shd w:val="clear" w:color="auto" w:fill="auto"/>
            <w:vAlign w:val="bottom"/>
          </w:tcPr>
          <w:p w14:paraId="5F2D1B58" w14:textId="77777777" w:rsidR="00E836FB" w:rsidRDefault="00E836FB">
            <w:pPr>
              <w:rPr>
                <w:rFonts w:ascii="宋体"/>
              </w:rPr>
            </w:pPr>
          </w:p>
        </w:tc>
        <w:tc>
          <w:tcPr>
            <w:tcW w:w="5" w:type="pct"/>
            <w:shd w:val="clear" w:color="auto" w:fill="auto"/>
            <w:vAlign w:val="bottom"/>
          </w:tcPr>
          <w:p w14:paraId="5F2D1B59" w14:textId="77777777" w:rsidR="00E836FB" w:rsidRDefault="00E836FB">
            <w:pPr>
              <w:rPr>
                <w:rFonts w:ascii="宋体"/>
              </w:rPr>
            </w:pPr>
          </w:p>
        </w:tc>
        <w:tc>
          <w:tcPr>
            <w:tcW w:w="26" w:type="pct"/>
            <w:shd w:val="clear" w:color="auto" w:fill="auto"/>
            <w:vAlign w:val="bottom"/>
          </w:tcPr>
          <w:p w14:paraId="5F2D1B5A" w14:textId="77777777" w:rsidR="00E836FB" w:rsidRDefault="00E836FB">
            <w:pPr>
              <w:rPr>
                <w:rFonts w:ascii="宋体"/>
              </w:rPr>
            </w:pPr>
          </w:p>
        </w:tc>
        <w:tc>
          <w:tcPr>
            <w:tcW w:w="5" w:type="pct"/>
            <w:shd w:val="clear" w:color="auto" w:fill="auto"/>
            <w:vAlign w:val="bottom"/>
          </w:tcPr>
          <w:p w14:paraId="5F2D1B5B" w14:textId="77777777" w:rsidR="00E836FB" w:rsidRDefault="00E836FB">
            <w:pPr>
              <w:rPr>
                <w:rFonts w:ascii="宋体"/>
              </w:rPr>
            </w:pPr>
          </w:p>
        </w:tc>
        <w:tc>
          <w:tcPr>
            <w:tcW w:w="50" w:type="pct"/>
            <w:shd w:val="clear" w:color="auto" w:fill="auto"/>
            <w:vAlign w:val="bottom"/>
          </w:tcPr>
          <w:p w14:paraId="5F2D1B5C" w14:textId="77777777" w:rsidR="00E836FB" w:rsidRDefault="00E836FB">
            <w:pPr>
              <w:rPr>
                <w:rFonts w:ascii="宋体"/>
              </w:rPr>
            </w:pPr>
          </w:p>
        </w:tc>
        <w:tc>
          <w:tcPr>
            <w:tcW w:w="566" w:type="pct"/>
            <w:shd w:val="clear" w:color="auto" w:fill="auto"/>
            <w:vAlign w:val="bottom"/>
          </w:tcPr>
          <w:p w14:paraId="5F2D1B5D" w14:textId="77777777" w:rsidR="00E836FB" w:rsidRDefault="00E836FB">
            <w:pPr>
              <w:rPr>
                <w:rFonts w:ascii="宋体"/>
              </w:rPr>
            </w:pPr>
          </w:p>
        </w:tc>
        <w:tc>
          <w:tcPr>
            <w:tcW w:w="5" w:type="pct"/>
            <w:shd w:val="clear" w:color="auto" w:fill="auto"/>
            <w:vAlign w:val="bottom"/>
          </w:tcPr>
          <w:p w14:paraId="5F2D1B5E" w14:textId="77777777" w:rsidR="00E836FB" w:rsidRDefault="00E836FB">
            <w:pPr>
              <w:rPr>
                <w:rFonts w:ascii="宋体"/>
              </w:rPr>
            </w:pPr>
          </w:p>
        </w:tc>
        <w:tc>
          <w:tcPr>
            <w:tcW w:w="5" w:type="pct"/>
            <w:shd w:val="clear" w:color="auto" w:fill="auto"/>
            <w:vAlign w:val="bottom"/>
          </w:tcPr>
          <w:p w14:paraId="5F2D1B5F" w14:textId="77777777" w:rsidR="00E836FB" w:rsidRDefault="00E836FB">
            <w:pPr>
              <w:rPr>
                <w:rFonts w:ascii="宋体"/>
              </w:rPr>
            </w:pPr>
          </w:p>
        </w:tc>
        <w:tc>
          <w:tcPr>
            <w:tcW w:w="26" w:type="pct"/>
            <w:shd w:val="clear" w:color="auto" w:fill="auto"/>
            <w:vAlign w:val="bottom"/>
          </w:tcPr>
          <w:p w14:paraId="5F2D1B60" w14:textId="77777777" w:rsidR="00E836FB" w:rsidRDefault="00E836FB">
            <w:pPr>
              <w:rPr>
                <w:rFonts w:ascii="宋体"/>
              </w:rPr>
            </w:pPr>
          </w:p>
        </w:tc>
        <w:tc>
          <w:tcPr>
            <w:tcW w:w="5" w:type="pct"/>
            <w:shd w:val="clear" w:color="auto" w:fill="auto"/>
            <w:vAlign w:val="bottom"/>
          </w:tcPr>
          <w:p w14:paraId="5F2D1B61" w14:textId="77777777" w:rsidR="00E836FB" w:rsidRDefault="00E836FB">
            <w:pPr>
              <w:rPr>
                <w:rFonts w:ascii="宋体"/>
              </w:rPr>
            </w:pPr>
          </w:p>
        </w:tc>
        <w:tc>
          <w:tcPr>
            <w:tcW w:w="50" w:type="pct"/>
            <w:shd w:val="clear" w:color="auto" w:fill="auto"/>
            <w:vAlign w:val="bottom"/>
          </w:tcPr>
          <w:p w14:paraId="5F2D1B62" w14:textId="77777777" w:rsidR="00E836FB" w:rsidRDefault="00E836FB">
            <w:pPr>
              <w:rPr>
                <w:rFonts w:ascii="宋体"/>
              </w:rPr>
            </w:pPr>
          </w:p>
        </w:tc>
        <w:tc>
          <w:tcPr>
            <w:tcW w:w="318" w:type="pct"/>
            <w:shd w:val="clear" w:color="auto" w:fill="auto"/>
            <w:vAlign w:val="bottom"/>
          </w:tcPr>
          <w:p w14:paraId="5F2D1B63" w14:textId="77777777" w:rsidR="00E836FB" w:rsidRDefault="00E836FB">
            <w:pPr>
              <w:rPr>
                <w:rFonts w:ascii="宋体"/>
              </w:rPr>
            </w:pPr>
          </w:p>
        </w:tc>
        <w:tc>
          <w:tcPr>
            <w:tcW w:w="5" w:type="pct"/>
            <w:shd w:val="clear" w:color="auto" w:fill="auto"/>
            <w:vAlign w:val="bottom"/>
          </w:tcPr>
          <w:p w14:paraId="5F2D1B64" w14:textId="77777777" w:rsidR="00E836FB" w:rsidRDefault="00E836FB">
            <w:pPr>
              <w:rPr>
                <w:rFonts w:ascii="宋体"/>
              </w:rPr>
            </w:pPr>
          </w:p>
        </w:tc>
      </w:tr>
      <w:tr w:rsidR="00E836FB" w14:paraId="5F2D1B78" w14:textId="77777777">
        <w:tc>
          <w:tcPr>
            <w:tcW w:w="0" w:type="auto"/>
            <w:gridSpan w:val="3"/>
            <w:shd w:val="clear" w:color="auto" w:fill="auto"/>
            <w:tcMar>
              <w:top w:w="40" w:type="dxa"/>
              <w:left w:w="20" w:type="dxa"/>
              <w:bottom w:w="40" w:type="dxa"/>
              <w:right w:w="20" w:type="dxa"/>
            </w:tcMar>
            <w:vAlign w:val="bottom"/>
          </w:tcPr>
          <w:p w14:paraId="5F2D1B66"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1B67"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5F2D1B6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1B69"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F2D1B6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1B6B"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5F2D1B6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1B6D" w14:textId="77777777" w:rsidR="00E836FB" w:rsidRDefault="00994958">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5F2D1B6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1B6F" w14:textId="77777777" w:rsidR="00E836FB" w:rsidRDefault="00994958">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5F2D1B70" w14:textId="77777777" w:rsidR="00E836FB" w:rsidRDefault="00E836FB">
            <w:pPr>
              <w:rPr>
                <w:rFonts w:ascii="宋体"/>
              </w:rPr>
            </w:pPr>
          </w:p>
        </w:tc>
        <w:tc>
          <w:tcPr>
            <w:tcW w:w="0" w:type="auto"/>
            <w:shd w:val="clear" w:color="auto" w:fill="auto"/>
            <w:vAlign w:val="bottom"/>
          </w:tcPr>
          <w:p w14:paraId="5F2D1B71" w14:textId="77777777" w:rsidR="00E836FB" w:rsidRDefault="00E836FB">
            <w:pPr>
              <w:rPr>
                <w:rFonts w:ascii="宋体"/>
                <w:vanish/>
              </w:rPr>
            </w:pPr>
          </w:p>
        </w:tc>
        <w:tc>
          <w:tcPr>
            <w:tcW w:w="0" w:type="auto"/>
            <w:shd w:val="clear" w:color="auto" w:fill="auto"/>
            <w:vAlign w:val="bottom"/>
          </w:tcPr>
          <w:p w14:paraId="5F2D1B72" w14:textId="77777777" w:rsidR="00E836FB" w:rsidRDefault="00E836FB">
            <w:pPr>
              <w:rPr>
                <w:rFonts w:ascii="宋体"/>
                <w:vanish/>
              </w:rPr>
            </w:pPr>
          </w:p>
        </w:tc>
        <w:tc>
          <w:tcPr>
            <w:tcW w:w="0" w:type="auto"/>
            <w:gridSpan w:val="3"/>
            <w:shd w:val="clear" w:color="auto" w:fill="auto"/>
            <w:tcMar>
              <w:top w:w="40" w:type="dxa"/>
              <w:left w:w="20" w:type="dxa"/>
              <w:bottom w:w="40" w:type="dxa"/>
              <w:right w:w="20" w:type="dxa"/>
            </w:tcMar>
            <w:vAlign w:val="bottom"/>
          </w:tcPr>
          <w:p w14:paraId="5F2D1B73" w14:textId="77777777" w:rsidR="00E836FB" w:rsidRDefault="00994958">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5F2D1B7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1B75" w14:textId="77777777" w:rsidR="00E836FB" w:rsidRDefault="00994958">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5F2D1B7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1B77" w14:textId="77777777" w:rsidR="00E836FB" w:rsidRDefault="00994958">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E836FB" w14:paraId="5F2D1B8B" w14:textId="77777777">
        <w:tc>
          <w:tcPr>
            <w:tcW w:w="0" w:type="auto"/>
            <w:gridSpan w:val="3"/>
            <w:shd w:val="clear" w:color="auto" w:fill="auto"/>
            <w:tcMar>
              <w:top w:w="40" w:type="dxa"/>
              <w:left w:w="20" w:type="dxa"/>
              <w:bottom w:w="40" w:type="dxa"/>
              <w:right w:w="20" w:type="dxa"/>
            </w:tcMar>
            <w:vAlign w:val="bottom"/>
          </w:tcPr>
          <w:p w14:paraId="5F2D1B79" w14:textId="77777777" w:rsidR="00E836FB" w:rsidRDefault="00994958">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7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7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7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7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7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7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8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8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83" w14:textId="77777777" w:rsidR="00E836FB" w:rsidRDefault="00E836FB">
            <w:pPr>
              <w:rPr>
                <w:rFonts w:ascii="宋体"/>
              </w:rPr>
            </w:pPr>
          </w:p>
        </w:tc>
        <w:tc>
          <w:tcPr>
            <w:tcW w:w="0" w:type="auto"/>
            <w:shd w:val="clear" w:color="auto" w:fill="auto"/>
            <w:vAlign w:val="bottom"/>
          </w:tcPr>
          <w:p w14:paraId="5F2D1B84" w14:textId="77777777" w:rsidR="00E836FB" w:rsidRDefault="00E836FB">
            <w:pPr>
              <w:rPr>
                <w:rFonts w:ascii="宋体"/>
                <w:vanish/>
              </w:rPr>
            </w:pPr>
          </w:p>
        </w:tc>
        <w:tc>
          <w:tcPr>
            <w:tcW w:w="0" w:type="auto"/>
            <w:shd w:val="clear" w:color="auto" w:fill="auto"/>
            <w:vAlign w:val="bottom"/>
          </w:tcPr>
          <w:p w14:paraId="5F2D1B85" w14:textId="77777777" w:rsidR="00E836FB" w:rsidRDefault="00E836F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8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8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8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1B8A" w14:textId="77777777" w:rsidR="00E836FB" w:rsidRDefault="00E836FB">
            <w:pPr>
              <w:rPr>
                <w:rFonts w:ascii="宋体"/>
              </w:rPr>
            </w:pPr>
          </w:p>
        </w:tc>
      </w:tr>
      <w:tr w:rsidR="00E836FB" w14:paraId="5F2D1B9E" w14:textId="77777777">
        <w:tc>
          <w:tcPr>
            <w:tcW w:w="0" w:type="auto"/>
            <w:gridSpan w:val="3"/>
            <w:shd w:val="clear" w:color="auto" w:fill="auto"/>
            <w:tcMar>
              <w:top w:w="40" w:type="dxa"/>
              <w:left w:w="155" w:type="dxa"/>
              <w:bottom w:w="40" w:type="dxa"/>
              <w:right w:w="20" w:type="dxa"/>
            </w:tcMar>
            <w:vAlign w:val="bottom"/>
          </w:tcPr>
          <w:p w14:paraId="5F2D1B8C"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F2D1B8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8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8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6" w14:textId="77777777" w:rsidR="00E836FB" w:rsidRDefault="00E836FB">
            <w:pPr>
              <w:rPr>
                <w:rFonts w:ascii="宋体"/>
              </w:rPr>
            </w:pPr>
          </w:p>
        </w:tc>
        <w:tc>
          <w:tcPr>
            <w:tcW w:w="0" w:type="auto"/>
            <w:shd w:val="clear" w:color="auto" w:fill="auto"/>
            <w:vAlign w:val="bottom"/>
          </w:tcPr>
          <w:p w14:paraId="5F2D1B97" w14:textId="77777777" w:rsidR="00E836FB" w:rsidRDefault="00E836FB">
            <w:pPr>
              <w:rPr>
                <w:rFonts w:ascii="宋体"/>
                <w:vanish/>
              </w:rPr>
            </w:pPr>
          </w:p>
        </w:tc>
        <w:tc>
          <w:tcPr>
            <w:tcW w:w="0" w:type="auto"/>
            <w:shd w:val="clear" w:color="auto" w:fill="auto"/>
            <w:vAlign w:val="bottom"/>
          </w:tcPr>
          <w:p w14:paraId="5F2D1B98"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1B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9D" w14:textId="77777777" w:rsidR="00E836FB" w:rsidRDefault="00E836FB">
            <w:pPr>
              <w:rPr>
                <w:rFonts w:ascii="宋体"/>
              </w:rPr>
            </w:pPr>
          </w:p>
        </w:tc>
      </w:tr>
      <w:tr w:rsidR="00E836FB" w14:paraId="5F2D1BB1" w14:textId="77777777">
        <w:tc>
          <w:tcPr>
            <w:tcW w:w="0" w:type="auto"/>
            <w:gridSpan w:val="3"/>
            <w:shd w:val="clear" w:color="auto" w:fill="auto"/>
            <w:tcMar>
              <w:top w:w="40" w:type="dxa"/>
              <w:left w:w="245" w:type="dxa"/>
              <w:bottom w:w="40" w:type="dxa"/>
              <w:right w:w="20" w:type="dxa"/>
            </w:tcMar>
            <w:vAlign w:val="bottom"/>
          </w:tcPr>
          <w:p w14:paraId="5F2D1B9F" w14:textId="77777777" w:rsidR="00E836FB" w:rsidRDefault="00994958">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F2D1B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9" w14:textId="77777777" w:rsidR="00E836FB" w:rsidRDefault="00E836FB">
            <w:pPr>
              <w:rPr>
                <w:rFonts w:ascii="宋体"/>
              </w:rPr>
            </w:pPr>
          </w:p>
        </w:tc>
        <w:tc>
          <w:tcPr>
            <w:tcW w:w="0" w:type="auto"/>
            <w:shd w:val="clear" w:color="auto" w:fill="auto"/>
            <w:vAlign w:val="bottom"/>
          </w:tcPr>
          <w:p w14:paraId="5F2D1BAA" w14:textId="77777777" w:rsidR="00E836FB" w:rsidRDefault="00E836FB">
            <w:pPr>
              <w:rPr>
                <w:rFonts w:ascii="宋体"/>
                <w:vanish/>
              </w:rPr>
            </w:pPr>
          </w:p>
        </w:tc>
        <w:tc>
          <w:tcPr>
            <w:tcW w:w="0" w:type="auto"/>
            <w:shd w:val="clear" w:color="auto" w:fill="auto"/>
            <w:vAlign w:val="bottom"/>
          </w:tcPr>
          <w:p w14:paraId="5F2D1BAB"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1BA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A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BB0" w14:textId="77777777" w:rsidR="00E836FB" w:rsidRDefault="00E836FB">
            <w:pPr>
              <w:rPr>
                <w:rFonts w:ascii="宋体"/>
              </w:rPr>
            </w:pPr>
          </w:p>
        </w:tc>
      </w:tr>
      <w:tr w:rsidR="00E836FB" w14:paraId="5F2D1BD4" w14:textId="77777777">
        <w:tc>
          <w:tcPr>
            <w:tcW w:w="0" w:type="auto"/>
            <w:gridSpan w:val="3"/>
            <w:shd w:val="clear" w:color="auto" w:fill="CCEEFF"/>
            <w:tcMar>
              <w:top w:w="40" w:type="dxa"/>
              <w:left w:w="380" w:type="dxa"/>
              <w:bottom w:w="40" w:type="dxa"/>
              <w:right w:w="20" w:type="dxa"/>
            </w:tcMar>
            <w:vAlign w:val="bottom"/>
          </w:tcPr>
          <w:p w14:paraId="5F2D1BB2" w14:textId="77777777" w:rsidR="00E836FB" w:rsidRDefault="00994958">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F2D1BB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B4" w14:textId="77777777" w:rsidR="00E836FB" w:rsidRDefault="00994958">
            <w:pPr>
              <w:jc w:val="right"/>
              <w:textAlignment w:val="bottom"/>
            </w:pPr>
            <w:r>
              <w:rPr>
                <w:rFonts w:ascii="Arial" w:eastAsia="宋体" w:hAnsi="Arial" w:cs="Arial"/>
                <w:color w:val="000000"/>
                <w:sz w:val="14"/>
                <w:szCs w:val="14"/>
              </w:rPr>
              <w:t>1,988 </w:t>
            </w:r>
          </w:p>
        </w:tc>
        <w:tc>
          <w:tcPr>
            <w:tcW w:w="0" w:type="auto"/>
            <w:shd w:val="clear" w:color="auto" w:fill="CCEEFF"/>
            <w:tcMar>
              <w:top w:w="40" w:type="dxa"/>
              <w:left w:w="0" w:type="dxa"/>
              <w:bottom w:w="40" w:type="dxa"/>
              <w:right w:w="20" w:type="dxa"/>
            </w:tcMar>
            <w:vAlign w:val="bottom"/>
          </w:tcPr>
          <w:p w14:paraId="5F2D1B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B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BB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B8" w14:textId="77777777" w:rsidR="00E836FB" w:rsidRDefault="00994958">
            <w:pPr>
              <w:jc w:val="right"/>
              <w:textAlignment w:val="bottom"/>
            </w:pPr>
            <w:r>
              <w:rPr>
                <w:rFonts w:ascii="Arial" w:eastAsia="宋体" w:hAnsi="Arial" w:cs="Arial"/>
                <w:color w:val="000000"/>
                <w:sz w:val="14"/>
                <w:szCs w:val="14"/>
              </w:rPr>
              <w:t>59 </w:t>
            </w:r>
          </w:p>
        </w:tc>
        <w:tc>
          <w:tcPr>
            <w:tcW w:w="0" w:type="auto"/>
            <w:shd w:val="clear" w:color="auto" w:fill="CCEEFF"/>
            <w:tcMar>
              <w:top w:w="40" w:type="dxa"/>
              <w:left w:w="0" w:type="dxa"/>
              <w:bottom w:w="40" w:type="dxa"/>
              <w:right w:w="20" w:type="dxa"/>
            </w:tcMar>
            <w:vAlign w:val="bottom"/>
          </w:tcPr>
          <w:p w14:paraId="5F2D1B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B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BB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BC" w14:textId="77777777" w:rsidR="00E836FB" w:rsidRDefault="00994958">
            <w:pPr>
              <w:jc w:val="right"/>
              <w:textAlignment w:val="bottom"/>
            </w:pPr>
            <w:r>
              <w:rPr>
                <w:rFonts w:ascii="Arial" w:eastAsia="宋体" w:hAnsi="Arial" w:cs="Arial"/>
                <w:color w:val="000000"/>
                <w:sz w:val="14"/>
                <w:szCs w:val="14"/>
              </w:rPr>
              <w:t>347 </w:t>
            </w:r>
          </w:p>
        </w:tc>
        <w:tc>
          <w:tcPr>
            <w:tcW w:w="0" w:type="auto"/>
            <w:shd w:val="clear" w:color="auto" w:fill="CCEEFF"/>
            <w:tcMar>
              <w:top w:w="40" w:type="dxa"/>
              <w:left w:w="0" w:type="dxa"/>
              <w:bottom w:w="40" w:type="dxa"/>
              <w:right w:w="20" w:type="dxa"/>
            </w:tcMar>
            <w:vAlign w:val="bottom"/>
          </w:tcPr>
          <w:p w14:paraId="5F2D1B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B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BB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C0"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D1B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C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BC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C4" w14:textId="77777777" w:rsidR="00E836FB" w:rsidRDefault="00994958">
            <w:pPr>
              <w:jc w:val="right"/>
              <w:textAlignment w:val="bottom"/>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bottom"/>
          </w:tcPr>
          <w:p w14:paraId="5F2D1B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C6" w14:textId="77777777" w:rsidR="00E836FB" w:rsidRDefault="00E836FB">
            <w:pPr>
              <w:rPr>
                <w:rFonts w:ascii="宋体"/>
              </w:rPr>
            </w:pPr>
          </w:p>
        </w:tc>
        <w:tc>
          <w:tcPr>
            <w:tcW w:w="0" w:type="auto"/>
            <w:shd w:val="clear" w:color="auto" w:fill="auto"/>
            <w:vAlign w:val="bottom"/>
          </w:tcPr>
          <w:p w14:paraId="5F2D1BC7" w14:textId="77777777" w:rsidR="00E836FB" w:rsidRDefault="00E836FB">
            <w:pPr>
              <w:rPr>
                <w:rFonts w:ascii="宋体"/>
                <w:vanish/>
              </w:rPr>
            </w:pPr>
          </w:p>
        </w:tc>
        <w:tc>
          <w:tcPr>
            <w:tcW w:w="0" w:type="auto"/>
            <w:shd w:val="clear" w:color="auto" w:fill="auto"/>
            <w:vAlign w:val="bottom"/>
          </w:tcPr>
          <w:p w14:paraId="5F2D1BC8"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D1BC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C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B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C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BC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CE" w14:textId="77777777" w:rsidR="00E836FB" w:rsidRDefault="00994958">
            <w:pPr>
              <w:jc w:val="right"/>
              <w:textAlignment w:val="bottom"/>
            </w:pPr>
            <w:r>
              <w:rPr>
                <w:rFonts w:ascii="Arial" w:eastAsia="宋体" w:hAnsi="Arial" w:cs="Arial"/>
                <w:color w:val="000000"/>
                <w:sz w:val="14"/>
                <w:szCs w:val="14"/>
              </w:rPr>
              <w:t>13,591 </w:t>
            </w:r>
          </w:p>
        </w:tc>
        <w:tc>
          <w:tcPr>
            <w:tcW w:w="0" w:type="auto"/>
            <w:shd w:val="clear" w:color="auto" w:fill="CCEEFF"/>
            <w:tcMar>
              <w:top w:w="40" w:type="dxa"/>
              <w:left w:w="0" w:type="dxa"/>
              <w:bottom w:w="40" w:type="dxa"/>
              <w:right w:w="20" w:type="dxa"/>
            </w:tcMar>
            <w:vAlign w:val="bottom"/>
          </w:tcPr>
          <w:p w14:paraId="5F2D1B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D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BD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BD2" w14:textId="77777777" w:rsidR="00E836FB" w:rsidRDefault="00994958">
            <w:pPr>
              <w:jc w:val="right"/>
              <w:textAlignment w:val="bottom"/>
            </w:pPr>
            <w:r>
              <w:rPr>
                <w:rFonts w:ascii="Arial" w:eastAsia="宋体" w:hAnsi="Arial" w:cs="Arial"/>
                <w:color w:val="000000"/>
                <w:sz w:val="14"/>
                <w:szCs w:val="14"/>
              </w:rPr>
              <w:t>16,024 </w:t>
            </w:r>
          </w:p>
        </w:tc>
        <w:tc>
          <w:tcPr>
            <w:tcW w:w="0" w:type="auto"/>
            <w:shd w:val="clear" w:color="auto" w:fill="CCEEFF"/>
            <w:tcMar>
              <w:top w:w="40" w:type="dxa"/>
              <w:left w:w="0" w:type="dxa"/>
              <w:bottom w:w="40" w:type="dxa"/>
              <w:right w:w="20" w:type="dxa"/>
            </w:tcMar>
            <w:vAlign w:val="bottom"/>
          </w:tcPr>
          <w:p w14:paraId="5F2D1BD3" w14:textId="77777777" w:rsidR="00E836FB" w:rsidRDefault="00E836FB">
            <w:pPr>
              <w:jc w:val="right"/>
              <w:rPr>
                <w:rFonts w:ascii="宋体"/>
              </w:rPr>
            </w:pPr>
          </w:p>
        </w:tc>
      </w:tr>
      <w:tr w:rsidR="00E836FB" w14:paraId="5F2D1BEF" w14:textId="77777777">
        <w:tc>
          <w:tcPr>
            <w:tcW w:w="0" w:type="auto"/>
            <w:gridSpan w:val="3"/>
            <w:shd w:val="clear" w:color="auto" w:fill="FFFFFF"/>
            <w:tcMar>
              <w:top w:w="40" w:type="dxa"/>
              <w:left w:w="380" w:type="dxa"/>
              <w:bottom w:w="40" w:type="dxa"/>
              <w:right w:w="20" w:type="dxa"/>
            </w:tcMar>
            <w:vAlign w:val="bottom"/>
          </w:tcPr>
          <w:p w14:paraId="5F2D1BD5"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1BD6" w14:textId="77777777" w:rsidR="00E836FB" w:rsidRDefault="00994958">
            <w:pPr>
              <w:jc w:val="right"/>
              <w:textAlignment w:val="bottom"/>
            </w:pPr>
            <w:r>
              <w:rPr>
                <w:rFonts w:ascii="Arial" w:eastAsia="宋体" w:hAnsi="Arial" w:cs="Arial"/>
                <w:color w:val="000000"/>
                <w:sz w:val="14"/>
                <w:szCs w:val="14"/>
              </w:rPr>
              <w:t>1,096 </w:t>
            </w:r>
          </w:p>
        </w:tc>
        <w:tc>
          <w:tcPr>
            <w:tcW w:w="0" w:type="auto"/>
            <w:shd w:val="clear" w:color="auto" w:fill="FFFFFF"/>
            <w:tcMar>
              <w:top w:w="40" w:type="dxa"/>
              <w:left w:w="0" w:type="dxa"/>
              <w:bottom w:w="40" w:type="dxa"/>
              <w:right w:w="20" w:type="dxa"/>
            </w:tcMar>
            <w:vAlign w:val="bottom"/>
          </w:tcPr>
          <w:p w14:paraId="5F2D1B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D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BD9" w14:textId="77777777" w:rsidR="00E836FB" w:rsidRDefault="00994958">
            <w:pPr>
              <w:jc w:val="right"/>
              <w:textAlignment w:val="bottom"/>
            </w:pPr>
            <w:r>
              <w:rPr>
                <w:rFonts w:ascii="Arial" w:eastAsia="宋体" w:hAnsi="Arial" w:cs="Arial"/>
                <w:color w:val="000000"/>
                <w:sz w:val="14"/>
                <w:szCs w:val="14"/>
              </w:rPr>
              <w:t>351 </w:t>
            </w:r>
          </w:p>
        </w:tc>
        <w:tc>
          <w:tcPr>
            <w:tcW w:w="0" w:type="auto"/>
            <w:shd w:val="clear" w:color="auto" w:fill="FFFFFF"/>
            <w:tcMar>
              <w:top w:w="40" w:type="dxa"/>
              <w:left w:w="0" w:type="dxa"/>
              <w:bottom w:w="40" w:type="dxa"/>
              <w:right w:w="20" w:type="dxa"/>
            </w:tcMar>
            <w:vAlign w:val="bottom"/>
          </w:tcPr>
          <w:p w14:paraId="5F2D1B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BDC" w14:textId="77777777" w:rsidR="00E836FB" w:rsidRDefault="00994958">
            <w:pPr>
              <w:jc w:val="right"/>
              <w:textAlignment w:val="bottom"/>
            </w:pPr>
            <w:r>
              <w:rPr>
                <w:rFonts w:ascii="Arial" w:eastAsia="宋体" w:hAnsi="Arial" w:cs="Arial"/>
                <w:color w:val="000000"/>
                <w:sz w:val="14"/>
                <w:szCs w:val="14"/>
              </w:rPr>
              <w:t>706 </w:t>
            </w:r>
          </w:p>
        </w:tc>
        <w:tc>
          <w:tcPr>
            <w:tcW w:w="0" w:type="auto"/>
            <w:shd w:val="clear" w:color="auto" w:fill="FFFFFF"/>
            <w:tcMar>
              <w:top w:w="40" w:type="dxa"/>
              <w:left w:w="0" w:type="dxa"/>
              <w:bottom w:w="40" w:type="dxa"/>
              <w:right w:w="20" w:type="dxa"/>
            </w:tcMar>
            <w:vAlign w:val="bottom"/>
          </w:tcPr>
          <w:p w14:paraId="5F2D1B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BDF" w14:textId="77777777" w:rsidR="00E836FB" w:rsidRDefault="00994958">
            <w:pPr>
              <w:jc w:val="right"/>
              <w:textAlignment w:val="bottom"/>
            </w:pPr>
            <w:r>
              <w:rPr>
                <w:rFonts w:ascii="Arial" w:eastAsia="宋体" w:hAnsi="Arial" w:cs="Arial"/>
                <w:color w:val="000000"/>
                <w:sz w:val="14"/>
                <w:szCs w:val="14"/>
              </w:rPr>
              <w:t>425 </w:t>
            </w:r>
          </w:p>
        </w:tc>
        <w:tc>
          <w:tcPr>
            <w:tcW w:w="0" w:type="auto"/>
            <w:shd w:val="clear" w:color="auto" w:fill="FFFFFF"/>
            <w:tcMar>
              <w:top w:w="40" w:type="dxa"/>
              <w:left w:w="0" w:type="dxa"/>
              <w:bottom w:w="40" w:type="dxa"/>
              <w:right w:w="20" w:type="dxa"/>
            </w:tcMar>
            <w:vAlign w:val="bottom"/>
          </w:tcPr>
          <w:p w14:paraId="5F2D1B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E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BE2" w14:textId="77777777" w:rsidR="00E836FB" w:rsidRDefault="00994958">
            <w:pPr>
              <w:jc w:val="right"/>
              <w:textAlignment w:val="bottom"/>
            </w:pPr>
            <w:r>
              <w:rPr>
                <w:rFonts w:ascii="Arial" w:eastAsia="宋体" w:hAnsi="Arial" w:cs="Arial"/>
                <w:color w:val="000000"/>
                <w:sz w:val="14"/>
                <w:szCs w:val="14"/>
              </w:rPr>
              <w:t>350 </w:t>
            </w:r>
          </w:p>
        </w:tc>
        <w:tc>
          <w:tcPr>
            <w:tcW w:w="0" w:type="auto"/>
            <w:shd w:val="clear" w:color="auto" w:fill="FFFFFF"/>
            <w:tcMar>
              <w:top w:w="40" w:type="dxa"/>
              <w:left w:w="0" w:type="dxa"/>
              <w:bottom w:w="40" w:type="dxa"/>
              <w:right w:w="20" w:type="dxa"/>
            </w:tcMar>
            <w:vAlign w:val="bottom"/>
          </w:tcPr>
          <w:p w14:paraId="5F2D1B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E4" w14:textId="77777777" w:rsidR="00E836FB" w:rsidRDefault="00E836FB">
            <w:pPr>
              <w:rPr>
                <w:rFonts w:ascii="宋体"/>
              </w:rPr>
            </w:pPr>
          </w:p>
        </w:tc>
        <w:tc>
          <w:tcPr>
            <w:tcW w:w="0" w:type="auto"/>
            <w:shd w:val="clear" w:color="auto" w:fill="auto"/>
            <w:vAlign w:val="bottom"/>
          </w:tcPr>
          <w:p w14:paraId="5F2D1BE5" w14:textId="77777777" w:rsidR="00E836FB" w:rsidRDefault="00E836FB">
            <w:pPr>
              <w:rPr>
                <w:rFonts w:ascii="宋体"/>
                <w:vanish/>
              </w:rPr>
            </w:pPr>
          </w:p>
        </w:tc>
        <w:tc>
          <w:tcPr>
            <w:tcW w:w="0" w:type="auto"/>
            <w:shd w:val="clear" w:color="auto" w:fill="auto"/>
            <w:vAlign w:val="bottom"/>
          </w:tcPr>
          <w:p w14:paraId="5F2D1BE6"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1BE7" w14:textId="77777777" w:rsidR="00E836FB" w:rsidRDefault="00994958">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F2D1BE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E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BEA" w14:textId="77777777" w:rsidR="00E836FB" w:rsidRDefault="00994958">
            <w:pPr>
              <w:jc w:val="right"/>
              <w:textAlignment w:val="bottom"/>
            </w:pPr>
            <w:r>
              <w:rPr>
                <w:rFonts w:ascii="Arial" w:eastAsia="宋体" w:hAnsi="Arial" w:cs="Arial"/>
                <w:color w:val="000000"/>
                <w:sz w:val="14"/>
                <w:szCs w:val="14"/>
              </w:rPr>
              <w:t>343 </w:t>
            </w:r>
          </w:p>
        </w:tc>
        <w:tc>
          <w:tcPr>
            <w:tcW w:w="0" w:type="auto"/>
            <w:shd w:val="clear" w:color="auto" w:fill="FFFFFF"/>
            <w:tcMar>
              <w:top w:w="40" w:type="dxa"/>
              <w:left w:w="0" w:type="dxa"/>
              <w:bottom w:w="40" w:type="dxa"/>
              <w:right w:w="20" w:type="dxa"/>
            </w:tcMar>
            <w:vAlign w:val="bottom"/>
          </w:tcPr>
          <w:p w14:paraId="5F2D1BE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BE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BED" w14:textId="77777777" w:rsidR="00E836FB" w:rsidRDefault="00994958">
            <w:pPr>
              <w:jc w:val="right"/>
              <w:textAlignment w:val="bottom"/>
            </w:pPr>
            <w:r>
              <w:rPr>
                <w:rFonts w:ascii="Arial" w:eastAsia="宋体" w:hAnsi="Arial" w:cs="Arial"/>
                <w:color w:val="000000"/>
                <w:sz w:val="14"/>
                <w:szCs w:val="14"/>
              </w:rPr>
              <w:t>3,278 </w:t>
            </w:r>
          </w:p>
        </w:tc>
        <w:tc>
          <w:tcPr>
            <w:tcW w:w="0" w:type="auto"/>
            <w:shd w:val="clear" w:color="auto" w:fill="FFFFFF"/>
            <w:tcMar>
              <w:top w:w="40" w:type="dxa"/>
              <w:left w:w="0" w:type="dxa"/>
              <w:bottom w:w="40" w:type="dxa"/>
              <w:right w:w="20" w:type="dxa"/>
            </w:tcMar>
            <w:vAlign w:val="bottom"/>
          </w:tcPr>
          <w:p w14:paraId="5F2D1BEE" w14:textId="77777777" w:rsidR="00E836FB" w:rsidRDefault="00E836FB">
            <w:pPr>
              <w:jc w:val="right"/>
              <w:rPr>
                <w:rFonts w:ascii="宋体"/>
              </w:rPr>
            </w:pPr>
          </w:p>
        </w:tc>
      </w:tr>
      <w:tr w:rsidR="00E836FB" w14:paraId="5F2D1C0A" w14:textId="77777777">
        <w:tc>
          <w:tcPr>
            <w:tcW w:w="0" w:type="auto"/>
            <w:gridSpan w:val="3"/>
            <w:shd w:val="clear" w:color="auto" w:fill="CCEEFF"/>
            <w:tcMar>
              <w:top w:w="40" w:type="dxa"/>
              <w:left w:w="380" w:type="dxa"/>
              <w:bottom w:w="40" w:type="dxa"/>
              <w:right w:w="20" w:type="dxa"/>
            </w:tcMar>
            <w:vAlign w:val="bottom"/>
          </w:tcPr>
          <w:p w14:paraId="5F2D1BF0" w14:textId="77777777" w:rsidR="00E836FB" w:rsidRDefault="00994958">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F2D1BF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B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BF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B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BF7" w14:textId="77777777" w:rsidR="00E836FB" w:rsidRDefault="00994958">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5F2D1B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BFA" w14:textId="77777777" w:rsidR="00E836FB" w:rsidRDefault="00994958">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5F2D1B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F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BFD" w14:textId="77777777" w:rsidR="00E836FB" w:rsidRDefault="00994958">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5F2D1B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BFF" w14:textId="77777777" w:rsidR="00E836FB" w:rsidRDefault="00E836FB">
            <w:pPr>
              <w:rPr>
                <w:rFonts w:ascii="宋体"/>
              </w:rPr>
            </w:pPr>
          </w:p>
        </w:tc>
        <w:tc>
          <w:tcPr>
            <w:tcW w:w="0" w:type="auto"/>
            <w:shd w:val="clear" w:color="auto" w:fill="auto"/>
            <w:vAlign w:val="bottom"/>
          </w:tcPr>
          <w:p w14:paraId="5F2D1C00" w14:textId="77777777" w:rsidR="00E836FB" w:rsidRDefault="00E836FB">
            <w:pPr>
              <w:rPr>
                <w:rFonts w:ascii="宋体"/>
                <w:vanish/>
              </w:rPr>
            </w:pPr>
          </w:p>
        </w:tc>
        <w:tc>
          <w:tcPr>
            <w:tcW w:w="0" w:type="auto"/>
            <w:shd w:val="clear" w:color="auto" w:fill="auto"/>
            <w:vAlign w:val="bottom"/>
          </w:tcPr>
          <w:p w14:paraId="5F2D1C01"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1C0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0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08" w14:textId="77777777" w:rsidR="00E836FB" w:rsidRDefault="00994958">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5F2D1C09" w14:textId="77777777" w:rsidR="00E836FB" w:rsidRDefault="00E836FB">
            <w:pPr>
              <w:jc w:val="right"/>
              <w:rPr>
                <w:rFonts w:ascii="宋体"/>
              </w:rPr>
            </w:pPr>
          </w:p>
        </w:tc>
      </w:tr>
      <w:tr w:rsidR="00E836FB" w14:paraId="5F2D1C25" w14:textId="77777777">
        <w:tc>
          <w:tcPr>
            <w:tcW w:w="0" w:type="auto"/>
            <w:gridSpan w:val="3"/>
            <w:shd w:val="clear" w:color="auto" w:fill="FFFFFF"/>
            <w:tcMar>
              <w:top w:w="40" w:type="dxa"/>
              <w:left w:w="380" w:type="dxa"/>
              <w:bottom w:w="40" w:type="dxa"/>
              <w:right w:w="20" w:type="dxa"/>
            </w:tcMar>
            <w:vAlign w:val="bottom"/>
          </w:tcPr>
          <w:p w14:paraId="5F2D1C0B" w14:textId="77777777" w:rsidR="00E836FB" w:rsidRDefault="00994958">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F2D1C0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C0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0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0F" w14:textId="77777777" w:rsidR="00E836FB" w:rsidRDefault="00994958">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5F2D1C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1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12" w14:textId="77777777" w:rsidR="00E836FB" w:rsidRDefault="00994958">
            <w:pPr>
              <w:jc w:val="right"/>
              <w:textAlignment w:val="bottom"/>
            </w:pPr>
            <w:r>
              <w:rPr>
                <w:rFonts w:ascii="Arial" w:eastAsia="宋体" w:hAnsi="Arial" w:cs="Arial"/>
                <w:color w:val="000000"/>
                <w:sz w:val="14"/>
                <w:szCs w:val="14"/>
              </w:rPr>
              <w:t>71 </w:t>
            </w:r>
          </w:p>
        </w:tc>
        <w:tc>
          <w:tcPr>
            <w:tcW w:w="0" w:type="auto"/>
            <w:shd w:val="clear" w:color="auto" w:fill="FFFFFF"/>
            <w:tcMar>
              <w:top w:w="40" w:type="dxa"/>
              <w:left w:w="0" w:type="dxa"/>
              <w:bottom w:w="40" w:type="dxa"/>
              <w:right w:w="20" w:type="dxa"/>
            </w:tcMar>
            <w:vAlign w:val="bottom"/>
          </w:tcPr>
          <w:p w14:paraId="5F2D1C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1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15" w14:textId="77777777" w:rsidR="00E836FB" w:rsidRDefault="00994958">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5F2D1C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1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18" w14:textId="77777777" w:rsidR="00E836FB" w:rsidRDefault="00994958">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5F2D1C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1A" w14:textId="77777777" w:rsidR="00E836FB" w:rsidRDefault="00E836FB">
            <w:pPr>
              <w:rPr>
                <w:rFonts w:ascii="宋体"/>
              </w:rPr>
            </w:pPr>
          </w:p>
        </w:tc>
        <w:tc>
          <w:tcPr>
            <w:tcW w:w="0" w:type="auto"/>
            <w:shd w:val="clear" w:color="auto" w:fill="auto"/>
            <w:vAlign w:val="bottom"/>
          </w:tcPr>
          <w:p w14:paraId="5F2D1C1B" w14:textId="77777777" w:rsidR="00E836FB" w:rsidRDefault="00E836FB">
            <w:pPr>
              <w:rPr>
                <w:rFonts w:ascii="宋体"/>
                <w:vanish/>
              </w:rPr>
            </w:pPr>
          </w:p>
        </w:tc>
        <w:tc>
          <w:tcPr>
            <w:tcW w:w="0" w:type="auto"/>
            <w:shd w:val="clear" w:color="auto" w:fill="auto"/>
            <w:vAlign w:val="bottom"/>
          </w:tcPr>
          <w:p w14:paraId="5F2D1C1C"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1C1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C1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1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2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C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2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23" w14:textId="77777777" w:rsidR="00E836FB" w:rsidRDefault="00994958">
            <w:pPr>
              <w:jc w:val="right"/>
              <w:textAlignment w:val="bottom"/>
            </w:pPr>
            <w:r>
              <w:rPr>
                <w:rFonts w:ascii="Arial" w:eastAsia="宋体" w:hAnsi="Arial" w:cs="Arial"/>
                <w:color w:val="000000"/>
                <w:sz w:val="14"/>
                <w:szCs w:val="14"/>
              </w:rPr>
              <w:t>140 </w:t>
            </w:r>
          </w:p>
        </w:tc>
        <w:tc>
          <w:tcPr>
            <w:tcW w:w="0" w:type="auto"/>
            <w:shd w:val="clear" w:color="auto" w:fill="FFFFFF"/>
            <w:tcMar>
              <w:top w:w="40" w:type="dxa"/>
              <w:left w:w="0" w:type="dxa"/>
              <w:bottom w:w="40" w:type="dxa"/>
              <w:right w:w="20" w:type="dxa"/>
            </w:tcMar>
            <w:vAlign w:val="bottom"/>
          </w:tcPr>
          <w:p w14:paraId="5F2D1C24" w14:textId="77777777" w:rsidR="00E836FB" w:rsidRDefault="00E836FB">
            <w:pPr>
              <w:jc w:val="right"/>
              <w:rPr>
                <w:rFonts w:ascii="宋体"/>
              </w:rPr>
            </w:pPr>
          </w:p>
        </w:tc>
      </w:tr>
      <w:tr w:rsidR="00E836FB" w14:paraId="5F2D1C38" w14:textId="77777777">
        <w:trPr>
          <w:hidden/>
        </w:trPr>
        <w:tc>
          <w:tcPr>
            <w:tcW w:w="0" w:type="auto"/>
            <w:gridSpan w:val="3"/>
            <w:shd w:val="clear" w:color="auto" w:fill="auto"/>
            <w:vAlign w:val="bottom"/>
          </w:tcPr>
          <w:p w14:paraId="5F2D1C26" w14:textId="77777777" w:rsidR="00E836FB" w:rsidRDefault="00E836FB">
            <w:pPr>
              <w:rPr>
                <w:rFonts w:ascii="宋体"/>
                <w:vanish/>
              </w:rPr>
            </w:pPr>
          </w:p>
        </w:tc>
        <w:tc>
          <w:tcPr>
            <w:tcW w:w="0" w:type="auto"/>
            <w:gridSpan w:val="3"/>
            <w:shd w:val="clear" w:color="auto" w:fill="auto"/>
            <w:vAlign w:val="bottom"/>
          </w:tcPr>
          <w:p w14:paraId="5F2D1C27" w14:textId="77777777" w:rsidR="00E836FB" w:rsidRDefault="00E836FB">
            <w:pPr>
              <w:rPr>
                <w:rFonts w:ascii="宋体"/>
                <w:vanish/>
              </w:rPr>
            </w:pPr>
          </w:p>
        </w:tc>
        <w:tc>
          <w:tcPr>
            <w:tcW w:w="0" w:type="auto"/>
            <w:gridSpan w:val="3"/>
            <w:shd w:val="clear" w:color="auto" w:fill="auto"/>
            <w:vAlign w:val="bottom"/>
          </w:tcPr>
          <w:p w14:paraId="5F2D1C28" w14:textId="77777777" w:rsidR="00E836FB" w:rsidRDefault="00E836FB">
            <w:pPr>
              <w:rPr>
                <w:rFonts w:ascii="宋体"/>
                <w:vanish/>
              </w:rPr>
            </w:pPr>
          </w:p>
        </w:tc>
        <w:tc>
          <w:tcPr>
            <w:tcW w:w="0" w:type="auto"/>
            <w:gridSpan w:val="3"/>
            <w:shd w:val="clear" w:color="auto" w:fill="auto"/>
            <w:vAlign w:val="bottom"/>
          </w:tcPr>
          <w:p w14:paraId="5F2D1C29" w14:textId="77777777" w:rsidR="00E836FB" w:rsidRDefault="00E836FB">
            <w:pPr>
              <w:rPr>
                <w:rFonts w:ascii="宋体"/>
                <w:vanish/>
              </w:rPr>
            </w:pPr>
          </w:p>
        </w:tc>
        <w:tc>
          <w:tcPr>
            <w:tcW w:w="0" w:type="auto"/>
            <w:gridSpan w:val="3"/>
            <w:shd w:val="clear" w:color="auto" w:fill="auto"/>
            <w:vAlign w:val="bottom"/>
          </w:tcPr>
          <w:p w14:paraId="5F2D1C2A" w14:textId="77777777" w:rsidR="00E836FB" w:rsidRDefault="00E836FB">
            <w:pPr>
              <w:rPr>
                <w:rFonts w:ascii="宋体"/>
                <w:vanish/>
              </w:rPr>
            </w:pPr>
          </w:p>
        </w:tc>
        <w:tc>
          <w:tcPr>
            <w:tcW w:w="0" w:type="auto"/>
            <w:gridSpan w:val="3"/>
            <w:shd w:val="clear" w:color="auto" w:fill="auto"/>
            <w:vAlign w:val="bottom"/>
          </w:tcPr>
          <w:p w14:paraId="5F2D1C2B" w14:textId="77777777" w:rsidR="00E836FB" w:rsidRDefault="00E836FB">
            <w:pPr>
              <w:rPr>
                <w:rFonts w:ascii="宋体"/>
                <w:vanish/>
              </w:rPr>
            </w:pPr>
          </w:p>
        </w:tc>
        <w:tc>
          <w:tcPr>
            <w:tcW w:w="0" w:type="auto"/>
            <w:gridSpan w:val="3"/>
            <w:shd w:val="clear" w:color="auto" w:fill="auto"/>
            <w:vAlign w:val="bottom"/>
          </w:tcPr>
          <w:p w14:paraId="5F2D1C2C" w14:textId="77777777" w:rsidR="00E836FB" w:rsidRDefault="00E836FB">
            <w:pPr>
              <w:rPr>
                <w:rFonts w:ascii="宋体"/>
                <w:vanish/>
              </w:rPr>
            </w:pPr>
          </w:p>
        </w:tc>
        <w:tc>
          <w:tcPr>
            <w:tcW w:w="0" w:type="auto"/>
            <w:gridSpan w:val="3"/>
            <w:shd w:val="clear" w:color="auto" w:fill="auto"/>
            <w:vAlign w:val="bottom"/>
          </w:tcPr>
          <w:p w14:paraId="5F2D1C2D" w14:textId="77777777" w:rsidR="00E836FB" w:rsidRDefault="00E836FB">
            <w:pPr>
              <w:rPr>
                <w:rFonts w:ascii="宋体"/>
                <w:vanish/>
              </w:rPr>
            </w:pPr>
          </w:p>
        </w:tc>
        <w:tc>
          <w:tcPr>
            <w:tcW w:w="0" w:type="auto"/>
            <w:gridSpan w:val="3"/>
            <w:shd w:val="clear" w:color="auto" w:fill="auto"/>
            <w:vAlign w:val="bottom"/>
          </w:tcPr>
          <w:p w14:paraId="5F2D1C2E" w14:textId="77777777" w:rsidR="00E836FB" w:rsidRDefault="00E836FB">
            <w:pPr>
              <w:rPr>
                <w:rFonts w:ascii="宋体"/>
                <w:vanish/>
              </w:rPr>
            </w:pPr>
          </w:p>
        </w:tc>
        <w:tc>
          <w:tcPr>
            <w:tcW w:w="0" w:type="auto"/>
            <w:gridSpan w:val="3"/>
            <w:shd w:val="clear" w:color="auto" w:fill="auto"/>
            <w:vAlign w:val="bottom"/>
          </w:tcPr>
          <w:p w14:paraId="5F2D1C2F" w14:textId="77777777" w:rsidR="00E836FB" w:rsidRDefault="00E836FB">
            <w:pPr>
              <w:rPr>
                <w:rFonts w:ascii="宋体"/>
                <w:vanish/>
              </w:rPr>
            </w:pPr>
          </w:p>
        </w:tc>
        <w:tc>
          <w:tcPr>
            <w:tcW w:w="0" w:type="auto"/>
            <w:gridSpan w:val="3"/>
            <w:shd w:val="clear" w:color="auto" w:fill="auto"/>
            <w:vAlign w:val="bottom"/>
          </w:tcPr>
          <w:p w14:paraId="5F2D1C30" w14:textId="77777777" w:rsidR="00E836FB" w:rsidRDefault="00E836FB">
            <w:pPr>
              <w:rPr>
                <w:rFonts w:ascii="宋体"/>
                <w:vanish/>
              </w:rPr>
            </w:pPr>
          </w:p>
        </w:tc>
        <w:tc>
          <w:tcPr>
            <w:tcW w:w="0" w:type="auto"/>
            <w:shd w:val="clear" w:color="auto" w:fill="auto"/>
            <w:vAlign w:val="bottom"/>
          </w:tcPr>
          <w:p w14:paraId="5F2D1C31" w14:textId="77777777" w:rsidR="00E836FB" w:rsidRDefault="00E836FB">
            <w:pPr>
              <w:rPr>
                <w:rFonts w:ascii="宋体"/>
                <w:vanish/>
              </w:rPr>
            </w:pPr>
          </w:p>
        </w:tc>
        <w:tc>
          <w:tcPr>
            <w:tcW w:w="0" w:type="auto"/>
            <w:shd w:val="clear" w:color="auto" w:fill="auto"/>
            <w:vAlign w:val="bottom"/>
          </w:tcPr>
          <w:p w14:paraId="5F2D1C32" w14:textId="77777777" w:rsidR="00E836FB" w:rsidRDefault="00E836FB">
            <w:pPr>
              <w:rPr>
                <w:rFonts w:ascii="宋体"/>
                <w:vanish/>
              </w:rPr>
            </w:pPr>
          </w:p>
        </w:tc>
        <w:tc>
          <w:tcPr>
            <w:tcW w:w="0" w:type="auto"/>
            <w:gridSpan w:val="3"/>
            <w:shd w:val="clear" w:color="auto" w:fill="auto"/>
            <w:vAlign w:val="bottom"/>
          </w:tcPr>
          <w:p w14:paraId="5F2D1C33" w14:textId="77777777" w:rsidR="00E836FB" w:rsidRDefault="00E836FB">
            <w:pPr>
              <w:rPr>
                <w:rFonts w:ascii="宋体"/>
                <w:vanish/>
              </w:rPr>
            </w:pPr>
          </w:p>
        </w:tc>
        <w:tc>
          <w:tcPr>
            <w:tcW w:w="0" w:type="auto"/>
            <w:gridSpan w:val="3"/>
            <w:shd w:val="clear" w:color="auto" w:fill="auto"/>
            <w:vAlign w:val="bottom"/>
          </w:tcPr>
          <w:p w14:paraId="5F2D1C34" w14:textId="77777777" w:rsidR="00E836FB" w:rsidRDefault="00E836FB">
            <w:pPr>
              <w:rPr>
                <w:rFonts w:ascii="宋体"/>
                <w:vanish/>
              </w:rPr>
            </w:pPr>
          </w:p>
        </w:tc>
        <w:tc>
          <w:tcPr>
            <w:tcW w:w="0" w:type="auto"/>
            <w:gridSpan w:val="3"/>
            <w:shd w:val="clear" w:color="auto" w:fill="auto"/>
            <w:vAlign w:val="bottom"/>
          </w:tcPr>
          <w:p w14:paraId="5F2D1C35" w14:textId="77777777" w:rsidR="00E836FB" w:rsidRDefault="00E836FB">
            <w:pPr>
              <w:rPr>
                <w:rFonts w:ascii="宋体"/>
                <w:vanish/>
              </w:rPr>
            </w:pPr>
          </w:p>
        </w:tc>
        <w:tc>
          <w:tcPr>
            <w:tcW w:w="0" w:type="auto"/>
            <w:gridSpan w:val="3"/>
            <w:shd w:val="clear" w:color="auto" w:fill="auto"/>
            <w:vAlign w:val="bottom"/>
          </w:tcPr>
          <w:p w14:paraId="5F2D1C36" w14:textId="77777777" w:rsidR="00E836FB" w:rsidRDefault="00E836FB">
            <w:pPr>
              <w:rPr>
                <w:rFonts w:ascii="宋体"/>
                <w:vanish/>
              </w:rPr>
            </w:pPr>
          </w:p>
        </w:tc>
        <w:tc>
          <w:tcPr>
            <w:tcW w:w="0" w:type="auto"/>
            <w:gridSpan w:val="3"/>
            <w:shd w:val="clear" w:color="auto" w:fill="auto"/>
            <w:vAlign w:val="bottom"/>
          </w:tcPr>
          <w:p w14:paraId="5F2D1C37" w14:textId="77777777" w:rsidR="00E836FB" w:rsidRDefault="00E836FB">
            <w:pPr>
              <w:rPr>
                <w:rFonts w:ascii="宋体"/>
                <w:vanish/>
              </w:rPr>
            </w:pPr>
          </w:p>
        </w:tc>
      </w:tr>
      <w:tr w:rsidR="00E836FB" w14:paraId="5F2D1C4B" w14:textId="77777777">
        <w:trPr>
          <w:hidden/>
        </w:trPr>
        <w:tc>
          <w:tcPr>
            <w:tcW w:w="0" w:type="auto"/>
            <w:gridSpan w:val="3"/>
            <w:shd w:val="clear" w:color="auto" w:fill="auto"/>
            <w:vAlign w:val="bottom"/>
          </w:tcPr>
          <w:p w14:paraId="5F2D1C39" w14:textId="77777777" w:rsidR="00E836FB" w:rsidRDefault="00E836FB">
            <w:pPr>
              <w:rPr>
                <w:rFonts w:ascii="宋体"/>
                <w:vanish/>
              </w:rPr>
            </w:pPr>
          </w:p>
        </w:tc>
        <w:tc>
          <w:tcPr>
            <w:tcW w:w="0" w:type="auto"/>
            <w:gridSpan w:val="3"/>
            <w:shd w:val="clear" w:color="auto" w:fill="auto"/>
            <w:vAlign w:val="bottom"/>
          </w:tcPr>
          <w:p w14:paraId="5F2D1C3A" w14:textId="77777777" w:rsidR="00E836FB" w:rsidRDefault="00E836FB">
            <w:pPr>
              <w:rPr>
                <w:rFonts w:ascii="宋体"/>
                <w:vanish/>
              </w:rPr>
            </w:pPr>
          </w:p>
        </w:tc>
        <w:tc>
          <w:tcPr>
            <w:tcW w:w="0" w:type="auto"/>
            <w:gridSpan w:val="3"/>
            <w:shd w:val="clear" w:color="auto" w:fill="auto"/>
            <w:vAlign w:val="bottom"/>
          </w:tcPr>
          <w:p w14:paraId="5F2D1C3B" w14:textId="77777777" w:rsidR="00E836FB" w:rsidRDefault="00E836FB">
            <w:pPr>
              <w:rPr>
                <w:rFonts w:ascii="宋体"/>
                <w:vanish/>
              </w:rPr>
            </w:pPr>
          </w:p>
        </w:tc>
        <w:tc>
          <w:tcPr>
            <w:tcW w:w="0" w:type="auto"/>
            <w:gridSpan w:val="3"/>
            <w:shd w:val="clear" w:color="auto" w:fill="auto"/>
            <w:vAlign w:val="bottom"/>
          </w:tcPr>
          <w:p w14:paraId="5F2D1C3C" w14:textId="77777777" w:rsidR="00E836FB" w:rsidRDefault="00E836FB">
            <w:pPr>
              <w:rPr>
                <w:rFonts w:ascii="宋体"/>
                <w:vanish/>
              </w:rPr>
            </w:pPr>
          </w:p>
        </w:tc>
        <w:tc>
          <w:tcPr>
            <w:tcW w:w="0" w:type="auto"/>
            <w:gridSpan w:val="3"/>
            <w:shd w:val="clear" w:color="auto" w:fill="auto"/>
            <w:vAlign w:val="bottom"/>
          </w:tcPr>
          <w:p w14:paraId="5F2D1C3D" w14:textId="77777777" w:rsidR="00E836FB" w:rsidRDefault="00E836FB">
            <w:pPr>
              <w:rPr>
                <w:rFonts w:ascii="宋体"/>
                <w:vanish/>
              </w:rPr>
            </w:pPr>
          </w:p>
        </w:tc>
        <w:tc>
          <w:tcPr>
            <w:tcW w:w="0" w:type="auto"/>
            <w:gridSpan w:val="3"/>
            <w:shd w:val="clear" w:color="auto" w:fill="auto"/>
            <w:vAlign w:val="bottom"/>
          </w:tcPr>
          <w:p w14:paraId="5F2D1C3E" w14:textId="77777777" w:rsidR="00E836FB" w:rsidRDefault="00E836FB">
            <w:pPr>
              <w:rPr>
                <w:rFonts w:ascii="宋体"/>
                <w:vanish/>
              </w:rPr>
            </w:pPr>
          </w:p>
        </w:tc>
        <w:tc>
          <w:tcPr>
            <w:tcW w:w="0" w:type="auto"/>
            <w:gridSpan w:val="3"/>
            <w:shd w:val="clear" w:color="auto" w:fill="auto"/>
            <w:vAlign w:val="bottom"/>
          </w:tcPr>
          <w:p w14:paraId="5F2D1C3F" w14:textId="77777777" w:rsidR="00E836FB" w:rsidRDefault="00E836FB">
            <w:pPr>
              <w:rPr>
                <w:rFonts w:ascii="宋体"/>
                <w:vanish/>
              </w:rPr>
            </w:pPr>
          </w:p>
        </w:tc>
        <w:tc>
          <w:tcPr>
            <w:tcW w:w="0" w:type="auto"/>
            <w:gridSpan w:val="3"/>
            <w:shd w:val="clear" w:color="auto" w:fill="auto"/>
            <w:vAlign w:val="bottom"/>
          </w:tcPr>
          <w:p w14:paraId="5F2D1C40" w14:textId="77777777" w:rsidR="00E836FB" w:rsidRDefault="00E836FB">
            <w:pPr>
              <w:rPr>
                <w:rFonts w:ascii="宋体"/>
                <w:vanish/>
              </w:rPr>
            </w:pPr>
          </w:p>
        </w:tc>
        <w:tc>
          <w:tcPr>
            <w:tcW w:w="0" w:type="auto"/>
            <w:gridSpan w:val="3"/>
            <w:shd w:val="clear" w:color="auto" w:fill="auto"/>
            <w:vAlign w:val="bottom"/>
          </w:tcPr>
          <w:p w14:paraId="5F2D1C41" w14:textId="77777777" w:rsidR="00E836FB" w:rsidRDefault="00E836FB">
            <w:pPr>
              <w:rPr>
                <w:rFonts w:ascii="宋体"/>
                <w:vanish/>
              </w:rPr>
            </w:pPr>
          </w:p>
        </w:tc>
        <w:tc>
          <w:tcPr>
            <w:tcW w:w="0" w:type="auto"/>
            <w:gridSpan w:val="3"/>
            <w:shd w:val="clear" w:color="auto" w:fill="auto"/>
            <w:vAlign w:val="bottom"/>
          </w:tcPr>
          <w:p w14:paraId="5F2D1C42" w14:textId="77777777" w:rsidR="00E836FB" w:rsidRDefault="00E836FB">
            <w:pPr>
              <w:rPr>
                <w:rFonts w:ascii="宋体"/>
                <w:vanish/>
              </w:rPr>
            </w:pPr>
          </w:p>
        </w:tc>
        <w:tc>
          <w:tcPr>
            <w:tcW w:w="0" w:type="auto"/>
            <w:gridSpan w:val="3"/>
            <w:shd w:val="clear" w:color="auto" w:fill="auto"/>
            <w:vAlign w:val="bottom"/>
          </w:tcPr>
          <w:p w14:paraId="5F2D1C43" w14:textId="77777777" w:rsidR="00E836FB" w:rsidRDefault="00E836FB">
            <w:pPr>
              <w:rPr>
                <w:rFonts w:ascii="宋体"/>
                <w:vanish/>
              </w:rPr>
            </w:pPr>
          </w:p>
        </w:tc>
        <w:tc>
          <w:tcPr>
            <w:tcW w:w="0" w:type="auto"/>
            <w:shd w:val="clear" w:color="auto" w:fill="auto"/>
            <w:vAlign w:val="bottom"/>
          </w:tcPr>
          <w:p w14:paraId="5F2D1C44" w14:textId="77777777" w:rsidR="00E836FB" w:rsidRDefault="00E836FB">
            <w:pPr>
              <w:rPr>
                <w:rFonts w:ascii="宋体"/>
                <w:vanish/>
              </w:rPr>
            </w:pPr>
          </w:p>
        </w:tc>
        <w:tc>
          <w:tcPr>
            <w:tcW w:w="0" w:type="auto"/>
            <w:shd w:val="clear" w:color="auto" w:fill="auto"/>
            <w:vAlign w:val="bottom"/>
          </w:tcPr>
          <w:p w14:paraId="5F2D1C45" w14:textId="77777777" w:rsidR="00E836FB" w:rsidRDefault="00E836FB">
            <w:pPr>
              <w:rPr>
                <w:rFonts w:ascii="宋体"/>
                <w:vanish/>
              </w:rPr>
            </w:pPr>
          </w:p>
        </w:tc>
        <w:tc>
          <w:tcPr>
            <w:tcW w:w="0" w:type="auto"/>
            <w:gridSpan w:val="3"/>
            <w:shd w:val="clear" w:color="auto" w:fill="auto"/>
            <w:vAlign w:val="bottom"/>
          </w:tcPr>
          <w:p w14:paraId="5F2D1C46" w14:textId="77777777" w:rsidR="00E836FB" w:rsidRDefault="00E836FB">
            <w:pPr>
              <w:rPr>
                <w:rFonts w:ascii="宋体"/>
                <w:vanish/>
              </w:rPr>
            </w:pPr>
          </w:p>
        </w:tc>
        <w:tc>
          <w:tcPr>
            <w:tcW w:w="0" w:type="auto"/>
            <w:gridSpan w:val="3"/>
            <w:shd w:val="clear" w:color="auto" w:fill="auto"/>
            <w:vAlign w:val="bottom"/>
          </w:tcPr>
          <w:p w14:paraId="5F2D1C47" w14:textId="77777777" w:rsidR="00E836FB" w:rsidRDefault="00E836FB">
            <w:pPr>
              <w:rPr>
                <w:rFonts w:ascii="宋体"/>
                <w:vanish/>
              </w:rPr>
            </w:pPr>
          </w:p>
        </w:tc>
        <w:tc>
          <w:tcPr>
            <w:tcW w:w="0" w:type="auto"/>
            <w:gridSpan w:val="3"/>
            <w:shd w:val="clear" w:color="auto" w:fill="auto"/>
            <w:vAlign w:val="bottom"/>
          </w:tcPr>
          <w:p w14:paraId="5F2D1C48" w14:textId="77777777" w:rsidR="00E836FB" w:rsidRDefault="00E836FB">
            <w:pPr>
              <w:rPr>
                <w:rFonts w:ascii="宋体"/>
                <w:vanish/>
              </w:rPr>
            </w:pPr>
          </w:p>
        </w:tc>
        <w:tc>
          <w:tcPr>
            <w:tcW w:w="0" w:type="auto"/>
            <w:gridSpan w:val="3"/>
            <w:shd w:val="clear" w:color="auto" w:fill="auto"/>
            <w:vAlign w:val="bottom"/>
          </w:tcPr>
          <w:p w14:paraId="5F2D1C49" w14:textId="77777777" w:rsidR="00E836FB" w:rsidRDefault="00E836FB">
            <w:pPr>
              <w:rPr>
                <w:rFonts w:ascii="宋体"/>
                <w:vanish/>
              </w:rPr>
            </w:pPr>
          </w:p>
        </w:tc>
        <w:tc>
          <w:tcPr>
            <w:tcW w:w="0" w:type="auto"/>
            <w:gridSpan w:val="3"/>
            <w:shd w:val="clear" w:color="auto" w:fill="auto"/>
            <w:vAlign w:val="bottom"/>
          </w:tcPr>
          <w:p w14:paraId="5F2D1C4A" w14:textId="77777777" w:rsidR="00E836FB" w:rsidRDefault="00E836FB">
            <w:pPr>
              <w:rPr>
                <w:rFonts w:ascii="宋体"/>
                <w:vanish/>
              </w:rPr>
            </w:pPr>
          </w:p>
        </w:tc>
      </w:tr>
      <w:tr w:rsidR="00E836FB" w14:paraId="5F2D1C6E" w14:textId="77777777">
        <w:tc>
          <w:tcPr>
            <w:tcW w:w="0" w:type="auto"/>
            <w:gridSpan w:val="3"/>
            <w:shd w:val="clear" w:color="auto" w:fill="CCEEFF"/>
            <w:tcMar>
              <w:top w:w="40" w:type="dxa"/>
              <w:left w:w="155" w:type="dxa"/>
              <w:bottom w:w="40" w:type="dxa"/>
              <w:right w:w="20" w:type="dxa"/>
            </w:tcMar>
            <w:vAlign w:val="bottom"/>
          </w:tcPr>
          <w:p w14:paraId="5F2D1C4C" w14:textId="77777777" w:rsidR="00E836FB" w:rsidRDefault="00994958">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1C4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4E" w14:textId="77777777" w:rsidR="00E836FB" w:rsidRDefault="00994958">
            <w:pPr>
              <w:jc w:val="right"/>
              <w:textAlignment w:val="bottom"/>
            </w:pPr>
            <w:r>
              <w:rPr>
                <w:rFonts w:ascii="Arial" w:eastAsia="宋体" w:hAnsi="Arial" w:cs="Arial"/>
                <w:color w:val="000000"/>
                <w:sz w:val="14"/>
                <w:szCs w:val="14"/>
              </w:rPr>
              <w:t>3,084 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5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C5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52" w14:textId="77777777" w:rsidR="00E836FB" w:rsidRDefault="00994958">
            <w:pPr>
              <w:jc w:val="right"/>
              <w:textAlignment w:val="bottom"/>
            </w:pPr>
            <w:r>
              <w:rPr>
                <w:rFonts w:ascii="Arial" w:eastAsia="宋体" w:hAnsi="Arial" w:cs="Arial"/>
                <w:color w:val="000000"/>
                <w:sz w:val="14"/>
                <w:szCs w:val="14"/>
              </w:rPr>
              <w:t>415 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5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C5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56" w14:textId="77777777" w:rsidR="00E836FB" w:rsidRDefault="00994958">
            <w:pPr>
              <w:jc w:val="right"/>
              <w:textAlignment w:val="bottom"/>
            </w:pPr>
            <w:r>
              <w:rPr>
                <w:rFonts w:ascii="Arial" w:eastAsia="宋体" w:hAnsi="Arial" w:cs="Arial"/>
                <w:color w:val="000000"/>
                <w:sz w:val="14"/>
                <w:szCs w:val="14"/>
              </w:rPr>
              <w:t>1,194 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5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C5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5A" w14:textId="77777777" w:rsidR="00E836FB" w:rsidRDefault="00994958">
            <w:pPr>
              <w:jc w:val="right"/>
              <w:textAlignment w:val="bottom"/>
            </w:pPr>
            <w:r>
              <w:rPr>
                <w:rFonts w:ascii="Arial" w:eastAsia="宋体" w:hAnsi="Arial" w:cs="Arial"/>
                <w:color w:val="000000"/>
                <w:sz w:val="14"/>
                <w:szCs w:val="14"/>
              </w:rPr>
              <w:t>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5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C5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5E" w14:textId="77777777" w:rsidR="00E836FB" w:rsidRDefault="00994958">
            <w:pPr>
              <w:jc w:val="right"/>
              <w:textAlignment w:val="bottom"/>
            </w:pPr>
            <w:r>
              <w:rPr>
                <w:rFonts w:ascii="Arial" w:eastAsia="宋体" w:hAnsi="Arial" w:cs="Arial"/>
                <w:color w:val="000000"/>
                <w:sz w:val="14"/>
                <w:szCs w:val="14"/>
              </w:rPr>
              <w:t>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60" w14:textId="77777777" w:rsidR="00E836FB" w:rsidRDefault="00E836FB">
            <w:pPr>
              <w:rPr>
                <w:rFonts w:ascii="宋体"/>
              </w:rPr>
            </w:pPr>
          </w:p>
        </w:tc>
        <w:tc>
          <w:tcPr>
            <w:tcW w:w="0" w:type="auto"/>
            <w:shd w:val="clear" w:color="auto" w:fill="auto"/>
            <w:vAlign w:val="bottom"/>
          </w:tcPr>
          <w:p w14:paraId="5F2D1C61" w14:textId="77777777" w:rsidR="00E836FB" w:rsidRDefault="00E836FB">
            <w:pPr>
              <w:rPr>
                <w:rFonts w:ascii="宋体"/>
                <w:vanish/>
              </w:rPr>
            </w:pPr>
          </w:p>
        </w:tc>
        <w:tc>
          <w:tcPr>
            <w:tcW w:w="0" w:type="auto"/>
            <w:shd w:val="clear" w:color="auto" w:fill="auto"/>
            <w:vAlign w:val="bottom"/>
          </w:tcPr>
          <w:p w14:paraId="5F2D1C62"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C6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64" w14:textId="77777777" w:rsidR="00E836FB" w:rsidRDefault="00994958">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6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6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C6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68" w14:textId="77777777" w:rsidR="00E836FB" w:rsidRDefault="00994958">
            <w:pPr>
              <w:jc w:val="right"/>
              <w:textAlignment w:val="bottom"/>
            </w:pPr>
            <w:r>
              <w:rPr>
                <w:rFonts w:ascii="Arial" w:eastAsia="宋体" w:hAnsi="Arial" w:cs="Arial"/>
                <w:color w:val="000000"/>
                <w:sz w:val="14"/>
                <w:szCs w:val="14"/>
              </w:rPr>
              <w:t>13,934 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6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1C6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1C6C" w14:textId="77777777" w:rsidR="00E836FB" w:rsidRDefault="00994958">
            <w:pPr>
              <w:jc w:val="right"/>
              <w:textAlignment w:val="bottom"/>
            </w:pPr>
            <w:r>
              <w:rPr>
                <w:rFonts w:ascii="Arial" w:eastAsia="宋体" w:hAnsi="Arial" w:cs="Arial"/>
                <w:color w:val="000000"/>
                <w:sz w:val="14"/>
                <w:szCs w:val="14"/>
              </w:rPr>
              <w:t>19,560 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1C6D" w14:textId="77777777" w:rsidR="00E836FB" w:rsidRDefault="00E836FB">
            <w:pPr>
              <w:jc w:val="right"/>
              <w:rPr>
                <w:rFonts w:ascii="宋体"/>
              </w:rPr>
            </w:pPr>
          </w:p>
        </w:tc>
      </w:tr>
      <w:tr w:rsidR="00E836FB" w14:paraId="5F2D1C81" w14:textId="77777777">
        <w:trPr>
          <w:trHeight w:val="60"/>
        </w:trPr>
        <w:tc>
          <w:tcPr>
            <w:tcW w:w="0" w:type="auto"/>
            <w:gridSpan w:val="3"/>
            <w:shd w:val="clear" w:color="auto" w:fill="auto"/>
            <w:tcMar>
              <w:top w:w="0" w:type="dxa"/>
              <w:left w:w="20" w:type="dxa"/>
              <w:bottom w:w="0" w:type="dxa"/>
              <w:right w:w="20" w:type="dxa"/>
            </w:tcMar>
            <w:vAlign w:val="bottom"/>
          </w:tcPr>
          <w:p w14:paraId="5F2D1C6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7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7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7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7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7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7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7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7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7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79" w14:textId="77777777" w:rsidR="00E836FB" w:rsidRDefault="00E836FB">
            <w:pPr>
              <w:rPr>
                <w:rFonts w:ascii="宋体"/>
              </w:rPr>
            </w:pPr>
          </w:p>
        </w:tc>
        <w:tc>
          <w:tcPr>
            <w:tcW w:w="0" w:type="auto"/>
            <w:shd w:val="clear" w:color="auto" w:fill="auto"/>
            <w:vAlign w:val="bottom"/>
          </w:tcPr>
          <w:p w14:paraId="5F2D1C7A" w14:textId="77777777" w:rsidR="00E836FB" w:rsidRDefault="00E836FB">
            <w:pPr>
              <w:rPr>
                <w:rFonts w:ascii="宋体"/>
                <w:vanish/>
              </w:rPr>
            </w:pPr>
          </w:p>
        </w:tc>
        <w:tc>
          <w:tcPr>
            <w:tcW w:w="0" w:type="auto"/>
            <w:shd w:val="clear" w:color="auto" w:fill="auto"/>
            <w:vAlign w:val="bottom"/>
          </w:tcPr>
          <w:p w14:paraId="5F2D1C7B" w14:textId="77777777" w:rsidR="00E836FB" w:rsidRDefault="00E836F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7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7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7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7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C80" w14:textId="77777777" w:rsidR="00E836FB" w:rsidRDefault="00E836FB">
            <w:pPr>
              <w:rPr>
                <w:rFonts w:ascii="宋体"/>
              </w:rPr>
            </w:pPr>
          </w:p>
        </w:tc>
      </w:tr>
      <w:tr w:rsidR="00E836FB" w14:paraId="5F2D1C94" w14:textId="77777777">
        <w:tc>
          <w:tcPr>
            <w:tcW w:w="0" w:type="auto"/>
            <w:gridSpan w:val="3"/>
            <w:shd w:val="clear" w:color="auto" w:fill="auto"/>
            <w:tcMar>
              <w:top w:w="40" w:type="dxa"/>
              <w:left w:w="155" w:type="dxa"/>
              <w:bottom w:w="40" w:type="dxa"/>
              <w:right w:w="20" w:type="dxa"/>
            </w:tcMar>
            <w:vAlign w:val="bottom"/>
          </w:tcPr>
          <w:p w14:paraId="5F2D1C82" w14:textId="77777777" w:rsidR="00E836FB" w:rsidRDefault="00994958">
            <w:pPr>
              <w:textAlignment w:val="bottom"/>
            </w:pPr>
            <w:r>
              <w:rPr>
                <w:rFonts w:ascii="Arial" w:eastAsia="宋体" w:hAnsi="Arial" w:cs="Arial"/>
                <w:color w:val="000000"/>
                <w:sz w:val="14"/>
                <w:szCs w:val="14"/>
              </w:rPr>
              <w:t>Co</w:t>
            </w:r>
            <w:r>
              <w:rPr>
                <w:rFonts w:ascii="Arial" w:eastAsia="宋体" w:hAnsi="Arial" w:cs="Arial"/>
                <w:color w:val="000000"/>
                <w:sz w:val="14"/>
                <w:szCs w:val="14"/>
              </w:rPr>
              <w:t>mmercial real estate:</w:t>
            </w:r>
          </w:p>
        </w:tc>
        <w:tc>
          <w:tcPr>
            <w:tcW w:w="0" w:type="auto"/>
            <w:gridSpan w:val="3"/>
            <w:shd w:val="clear" w:color="auto" w:fill="auto"/>
            <w:tcMar>
              <w:top w:w="0" w:type="dxa"/>
              <w:left w:w="20" w:type="dxa"/>
              <w:bottom w:w="0" w:type="dxa"/>
              <w:right w:w="20" w:type="dxa"/>
            </w:tcMar>
            <w:vAlign w:val="bottom"/>
          </w:tcPr>
          <w:p w14:paraId="5F2D1C8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8C" w14:textId="77777777" w:rsidR="00E836FB" w:rsidRDefault="00E836FB">
            <w:pPr>
              <w:rPr>
                <w:rFonts w:ascii="宋体"/>
              </w:rPr>
            </w:pPr>
          </w:p>
        </w:tc>
        <w:tc>
          <w:tcPr>
            <w:tcW w:w="0" w:type="auto"/>
            <w:shd w:val="clear" w:color="auto" w:fill="auto"/>
            <w:vAlign w:val="bottom"/>
          </w:tcPr>
          <w:p w14:paraId="5F2D1C8D" w14:textId="77777777" w:rsidR="00E836FB" w:rsidRDefault="00E836FB">
            <w:pPr>
              <w:rPr>
                <w:rFonts w:ascii="宋体"/>
                <w:vanish/>
              </w:rPr>
            </w:pPr>
          </w:p>
        </w:tc>
        <w:tc>
          <w:tcPr>
            <w:tcW w:w="0" w:type="auto"/>
            <w:shd w:val="clear" w:color="auto" w:fill="auto"/>
            <w:vAlign w:val="bottom"/>
          </w:tcPr>
          <w:p w14:paraId="5F2D1C8E"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1C8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3" w14:textId="77777777" w:rsidR="00E836FB" w:rsidRDefault="00E836FB">
            <w:pPr>
              <w:rPr>
                <w:rFonts w:ascii="宋体"/>
              </w:rPr>
            </w:pPr>
          </w:p>
        </w:tc>
      </w:tr>
      <w:tr w:rsidR="00E836FB" w14:paraId="5F2D1CA7" w14:textId="77777777">
        <w:tc>
          <w:tcPr>
            <w:tcW w:w="0" w:type="auto"/>
            <w:gridSpan w:val="3"/>
            <w:shd w:val="clear" w:color="auto" w:fill="auto"/>
            <w:tcMar>
              <w:top w:w="40" w:type="dxa"/>
              <w:left w:w="245" w:type="dxa"/>
              <w:bottom w:w="40" w:type="dxa"/>
              <w:right w:w="20" w:type="dxa"/>
            </w:tcMar>
            <w:vAlign w:val="bottom"/>
          </w:tcPr>
          <w:p w14:paraId="5F2D1C95" w14:textId="77777777" w:rsidR="00E836FB" w:rsidRDefault="00994958">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F2D1C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9F" w14:textId="77777777" w:rsidR="00E836FB" w:rsidRDefault="00E836FB">
            <w:pPr>
              <w:rPr>
                <w:rFonts w:ascii="宋体"/>
              </w:rPr>
            </w:pPr>
          </w:p>
        </w:tc>
        <w:tc>
          <w:tcPr>
            <w:tcW w:w="0" w:type="auto"/>
            <w:shd w:val="clear" w:color="auto" w:fill="auto"/>
            <w:vAlign w:val="bottom"/>
          </w:tcPr>
          <w:p w14:paraId="5F2D1CA0" w14:textId="77777777" w:rsidR="00E836FB" w:rsidRDefault="00E836FB">
            <w:pPr>
              <w:rPr>
                <w:rFonts w:ascii="宋体"/>
                <w:vanish/>
              </w:rPr>
            </w:pPr>
          </w:p>
        </w:tc>
        <w:tc>
          <w:tcPr>
            <w:tcW w:w="0" w:type="auto"/>
            <w:shd w:val="clear" w:color="auto" w:fill="auto"/>
            <w:vAlign w:val="bottom"/>
          </w:tcPr>
          <w:p w14:paraId="5F2D1CA1"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1C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CA6" w14:textId="77777777" w:rsidR="00E836FB" w:rsidRDefault="00E836FB">
            <w:pPr>
              <w:rPr>
                <w:rFonts w:ascii="宋体"/>
              </w:rPr>
            </w:pPr>
          </w:p>
        </w:tc>
      </w:tr>
      <w:tr w:rsidR="00E836FB" w14:paraId="5F2D1CCA" w14:textId="77777777">
        <w:tc>
          <w:tcPr>
            <w:tcW w:w="0" w:type="auto"/>
            <w:gridSpan w:val="3"/>
            <w:shd w:val="clear" w:color="auto" w:fill="CCEEFF"/>
            <w:tcMar>
              <w:top w:w="40" w:type="dxa"/>
              <w:left w:w="380" w:type="dxa"/>
              <w:bottom w:w="40" w:type="dxa"/>
              <w:right w:w="20" w:type="dxa"/>
            </w:tcMar>
            <w:vAlign w:val="bottom"/>
          </w:tcPr>
          <w:p w14:paraId="5F2D1CA8" w14:textId="77777777" w:rsidR="00E836FB" w:rsidRDefault="00994958">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F2D1CA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AA" w14:textId="77777777" w:rsidR="00E836FB" w:rsidRDefault="00994958">
            <w:pPr>
              <w:jc w:val="right"/>
              <w:textAlignment w:val="bottom"/>
            </w:pPr>
            <w:r>
              <w:rPr>
                <w:rFonts w:ascii="Arial" w:eastAsia="宋体" w:hAnsi="Arial" w:cs="Arial"/>
                <w:color w:val="000000"/>
                <w:sz w:val="14"/>
                <w:szCs w:val="14"/>
              </w:rPr>
              <w:t>580 </w:t>
            </w:r>
          </w:p>
        </w:tc>
        <w:tc>
          <w:tcPr>
            <w:tcW w:w="0" w:type="auto"/>
            <w:shd w:val="clear" w:color="auto" w:fill="CCEEFF"/>
            <w:tcMar>
              <w:top w:w="40" w:type="dxa"/>
              <w:left w:w="0" w:type="dxa"/>
              <w:bottom w:w="40" w:type="dxa"/>
              <w:right w:w="20" w:type="dxa"/>
            </w:tcMar>
            <w:vAlign w:val="bottom"/>
          </w:tcPr>
          <w:p w14:paraId="5F2D1C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A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CA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AE" w14:textId="77777777" w:rsidR="00E836FB" w:rsidRDefault="00994958">
            <w:pPr>
              <w:jc w:val="right"/>
              <w:textAlignment w:val="bottom"/>
            </w:pPr>
            <w:r>
              <w:rPr>
                <w:rFonts w:ascii="Arial" w:eastAsia="宋体" w:hAnsi="Arial" w:cs="Arial"/>
                <w:color w:val="000000"/>
                <w:sz w:val="14"/>
                <w:szCs w:val="14"/>
              </w:rPr>
              <w:t>129 </w:t>
            </w:r>
          </w:p>
        </w:tc>
        <w:tc>
          <w:tcPr>
            <w:tcW w:w="0" w:type="auto"/>
            <w:shd w:val="clear" w:color="auto" w:fill="CCEEFF"/>
            <w:tcMar>
              <w:top w:w="40" w:type="dxa"/>
              <w:left w:w="0" w:type="dxa"/>
              <w:bottom w:w="40" w:type="dxa"/>
              <w:right w:w="20" w:type="dxa"/>
            </w:tcMar>
            <w:vAlign w:val="bottom"/>
          </w:tcPr>
          <w:p w14:paraId="5F2D1CA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B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CB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B2" w14:textId="77777777" w:rsidR="00E836FB" w:rsidRDefault="00994958">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5F2D1C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B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CB5"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B6" w14:textId="77777777" w:rsidR="00E836FB" w:rsidRDefault="00994958">
            <w:pPr>
              <w:jc w:val="right"/>
              <w:textAlignment w:val="bottom"/>
            </w:pPr>
            <w:r>
              <w:rPr>
                <w:rFonts w:ascii="Arial" w:eastAsia="宋体" w:hAnsi="Arial" w:cs="Arial"/>
                <w:color w:val="000000"/>
                <w:sz w:val="14"/>
                <w:szCs w:val="14"/>
              </w:rPr>
              <w:t>657 </w:t>
            </w:r>
          </w:p>
        </w:tc>
        <w:tc>
          <w:tcPr>
            <w:tcW w:w="0" w:type="auto"/>
            <w:shd w:val="clear" w:color="auto" w:fill="CCEEFF"/>
            <w:tcMar>
              <w:top w:w="40" w:type="dxa"/>
              <w:left w:w="0" w:type="dxa"/>
              <w:bottom w:w="40" w:type="dxa"/>
              <w:right w:w="20" w:type="dxa"/>
            </w:tcMar>
            <w:vAlign w:val="bottom"/>
          </w:tcPr>
          <w:p w14:paraId="5F2D1C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B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CB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BA" w14:textId="77777777" w:rsidR="00E836FB" w:rsidRDefault="00994958">
            <w:pPr>
              <w:jc w:val="right"/>
              <w:textAlignment w:val="bottom"/>
            </w:pPr>
            <w:r>
              <w:rPr>
                <w:rFonts w:ascii="Arial" w:eastAsia="宋体" w:hAnsi="Arial" w:cs="Arial"/>
                <w:color w:val="000000"/>
                <w:sz w:val="14"/>
                <w:szCs w:val="14"/>
              </w:rPr>
              <w:t>276 </w:t>
            </w:r>
          </w:p>
        </w:tc>
        <w:tc>
          <w:tcPr>
            <w:tcW w:w="0" w:type="auto"/>
            <w:shd w:val="clear" w:color="auto" w:fill="CCEEFF"/>
            <w:tcMar>
              <w:top w:w="40" w:type="dxa"/>
              <w:left w:w="0" w:type="dxa"/>
              <w:bottom w:w="40" w:type="dxa"/>
              <w:right w:w="20" w:type="dxa"/>
            </w:tcMar>
            <w:vAlign w:val="bottom"/>
          </w:tcPr>
          <w:p w14:paraId="5F2D1C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BC" w14:textId="77777777" w:rsidR="00E836FB" w:rsidRDefault="00E836FB">
            <w:pPr>
              <w:rPr>
                <w:rFonts w:ascii="宋体"/>
              </w:rPr>
            </w:pPr>
          </w:p>
        </w:tc>
        <w:tc>
          <w:tcPr>
            <w:tcW w:w="0" w:type="auto"/>
            <w:shd w:val="clear" w:color="auto" w:fill="auto"/>
            <w:vAlign w:val="bottom"/>
          </w:tcPr>
          <w:p w14:paraId="5F2D1CBD" w14:textId="77777777" w:rsidR="00E836FB" w:rsidRDefault="00E836FB">
            <w:pPr>
              <w:rPr>
                <w:rFonts w:ascii="宋体"/>
                <w:vanish/>
              </w:rPr>
            </w:pPr>
          </w:p>
        </w:tc>
        <w:tc>
          <w:tcPr>
            <w:tcW w:w="0" w:type="auto"/>
            <w:shd w:val="clear" w:color="auto" w:fill="auto"/>
            <w:vAlign w:val="bottom"/>
          </w:tcPr>
          <w:p w14:paraId="5F2D1CBE"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D1CB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C0" w14:textId="77777777" w:rsidR="00E836FB" w:rsidRDefault="00994958">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F2D1C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C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CC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C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C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CC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CC8" w14:textId="77777777" w:rsidR="00E836FB" w:rsidRDefault="00994958">
            <w:pPr>
              <w:jc w:val="right"/>
              <w:textAlignment w:val="bottom"/>
            </w:pPr>
            <w:r>
              <w:rPr>
                <w:rFonts w:ascii="Arial" w:eastAsia="宋体" w:hAnsi="Arial" w:cs="Arial"/>
                <w:color w:val="000000"/>
                <w:sz w:val="14"/>
                <w:szCs w:val="14"/>
              </w:rPr>
              <w:t>2,222 </w:t>
            </w:r>
          </w:p>
        </w:tc>
        <w:tc>
          <w:tcPr>
            <w:tcW w:w="0" w:type="auto"/>
            <w:shd w:val="clear" w:color="auto" w:fill="CCEEFF"/>
            <w:tcMar>
              <w:top w:w="40" w:type="dxa"/>
              <w:left w:w="0" w:type="dxa"/>
              <w:bottom w:w="40" w:type="dxa"/>
              <w:right w:w="20" w:type="dxa"/>
            </w:tcMar>
            <w:vAlign w:val="bottom"/>
          </w:tcPr>
          <w:p w14:paraId="5F2D1CC9" w14:textId="77777777" w:rsidR="00E836FB" w:rsidRDefault="00E836FB">
            <w:pPr>
              <w:jc w:val="right"/>
              <w:rPr>
                <w:rFonts w:ascii="宋体"/>
              </w:rPr>
            </w:pPr>
          </w:p>
        </w:tc>
      </w:tr>
      <w:tr w:rsidR="00E836FB" w14:paraId="5F2D1CE5" w14:textId="77777777">
        <w:tc>
          <w:tcPr>
            <w:tcW w:w="0" w:type="auto"/>
            <w:gridSpan w:val="3"/>
            <w:shd w:val="clear" w:color="auto" w:fill="FFFFFF"/>
            <w:tcMar>
              <w:top w:w="40" w:type="dxa"/>
              <w:left w:w="380" w:type="dxa"/>
              <w:bottom w:w="40" w:type="dxa"/>
              <w:right w:w="20" w:type="dxa"/>
            </w:tcMar>
            <w:vAlign w:val="bottom"/>
          </w:tcPr>
          <w:p w14:paraId="5F2D1CCB"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1CCC" w14:textId="77777777" w:rsidR="00E836FB" w:rsidRDefault="00994958">
            <w:pPr>
              <w:jc w:val="right"/>
              <w:textAlignment w:val="bottom"/>
            </w:pPr>
            <w:r>
              <w:rPr>
                <w:rFonts w:ascii="Arial" w:eastAsia="宋体" w:hAnsi="Arial" w:cs="Arial"/>
                <w:color w:val="000000"/>
                <w:sz w:val="14"/>
                <w:szCs w:val="14"/>
              </w:rPr>
              <w:t>24 </w:t>
            </w:r>
          </w:p>
        </w:tc>
        <w:tc>
          <w:tcPr>
            <w:tcW w:w="0" w:type="auto"/>
            <w:shd w:val="clear" w:color="auto" w:fill="FFFFFF"/>
            <w:tcMar>
              <w:top w:w="40" w:type="dxa"/>
              <w:left w:w="0" w:type="dxa"/>
              <w:bottom w:w="40" w:type="dxa"/>
              <w:right w:w="20" w:type="dxa"/>
            </w:tcMar>
            <w:vAlign w:val="bottom"/>
          </w:tcPr>
          <w:p w14:paraId="5F2D1C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CF" w14:textId="77777777" w:rsidR="00E836FB" w:rsidRDefault="00994958">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5F2D1C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D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D2" w14:textId="77777777" w:rsidR="00E836FB" w:rsidRDefault="00994958">
            <w:pPr>
              <w:jc w:val="right"/>
              <w:textAlignment w:val="bottom"/>
            </w:pPr>
            <w:r>
              <w:rPr>
                <w:rFonts w:ascii="Arial" w:eastAsia="宋体" w:hAnsi="Arial" w:cs="Arial"/>
                <w:color w:val="000000"/>
                <w:sz w:val="14"/>
                <w:szCs w:val="14"/>
              </w:rPr>
              <w:t>149 </w:t>
            </w:r>
          </w:p>
        </w:tc>
        <w:tc>
          <w:tcPr>
            <w:tcW w:w="0" w:type="auto"/>
            <w:shd w:val="clear" w:color="auto" w:fill="FFFFFF"/>
            <w:tcMar>
              <w:top w:w="40" w:type="dxa"/>
              <w:left w:w="0" w:type="dxa"/>
              <w:bottom w:w="40" w:type="dxa"/>
              <w:right w:w="20" w:type="dxa"/>
            </w:tcMar>
            <w:vAlign w:val="bottom"/>
          </w:tcPr>
          <w:p w14:paraId="5F2D1C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D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D5"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FFFFFF"/>
            <w:tcMar>
              <w:top w:w="40" w:type="dxa"/>
              <w:left w:w="0" w:type="dxa"/>
              <w:bottom w:w="40" w:type="dxa"/>
              <w:right w:w="20" w:type="dxa"/>
            </w:tcMar>
            <w:vAlign w:val="bottom"/>
          </w:tcPr>
          <w:p w14:paraId="5F2D1C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D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C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DA" w14:textId="77777777" w:rsidR="00E836FB" w:rsidRDefault="00E836FB">
            <w:pPr>
              <w:rPr>
                <w:rFonts w:ascii="宋体"/>
              </w:rPr>
            </w:pPr>
          </w:p>
        </w:tc>
        <w:tc>
          <w:tcPr>
            <w:tcW w:w="0" w:type="auto"/>
            <w:shd w:val="clear" w:color="auto" w:fill="auto"/>
            <w:vAlign w:val="bottom"/>
          </w:tcPr>
          <w:p w14:paraId="5F2D1CDB" w14:textId="77777777" w:rsidR="00E836FB" w:rsidRDefault="00E836FB">
            <w:pPr>
              <w:rPr>
                <w:rFonts w:ascii="宋体"/>
                <w:vanish/>
              </w:rPr>
            </w:pPr>
          </w:p>
        </w:tc>
        <w:tc>
          <w:tcPr>
            <w:tcW w:w="0" w:type="auto"/>
            <w:shd w:val="clear" w:color="auto" w:fill="auto"/>
            <w:vAlign w:val="bottom"/>
          </w:tcPr>
          <w:p w14:paraId="5F2D1CDC"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1CDD" w14:textId="77777777" w:rsidR="00E836FB" w:rsidRDefault="00994958">
            <w:pPr>
              <w:jc w:val="right"/>
              <w:textAlignment w:val="bottom"/>
            </w:pPr>
            <w:r>
              <w:rPr>
                <w:rFonts w:ascii="Arial" w:eastAsia="宋体" w:hAnsi="Arial" w:cs="Arial"/>
                <w:color w:val="000000"/>
                <w:sz w:val="14"/>
                <w:szCs w:val="14"/>
              </w:rPr>
              <w:t>28 </w:t>
            </w:r>
          </w:p>
        </w:tc>
        <w:tc>
          <w:tcPr>
            <w:tcW w:w="0" w:type="auto"/>
            <w:shd w:val="clear" w:color="auto" w:fill="FFFFFF"/>
            <w:tcMar>
              <w:top w:w="40" w:type="dxa"/>
              <w:left w:w="0" w:type="dxa"/>
              <w:bottom w:w="40" w:type="dxa"/>
              <w:right w:w="20" w:type="dxa"/>
            </w:tcMar>
            <w:vAlign w:val="bottom"/>
          </w:tcPr>
          <w:p w14:paraId="5F2D1C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D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E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1C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CE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CE3" w14:textId="77777777" w:rsidR="00E836FB" w:rsidRDefault="00994958">
            <w:pPr>
              <w:jc w:val="right"/>
              <w:textAlignment w:val="bottom"/>
            </w:pPr>
            <w:r>
              <w:rPr>
                <w:rFonts w:ascii="Arial" w:eastAsia="宋体" w:hAnsi="Arial" w:cs="Arial"/>
                <w:color w:val="000000"/>
                <w:sz w:val="14"/>
                <w:szCs w:val="14"/>
              </w:rPr>
              <w:t>270 </w:t>
            </w:r>
          </w:p>
        </w:tc>
        <w:tc>
          <w:tcPr>
            <w:tcW w:w="0" w:type="auto"/>
            <w:shd w:val="clear" w:color="auto" w:fill="FFFFFF"/>
            <w:tcMar>
              <w:top w:w="40" w:type="dxa"/>
              <w:left w:w="0" w:type="dxa"/>
              <w:bottom w:w="40" w:type="dxa"/>
              <w:right w:w="20" w:type="dxa"/>
            </w:tcMar>
            <w:vAlign w:val="bottom"/>
          </w:tcPr>
          <w:p w14:paraId="5F2D1CE4" w14:textId="77777777" w:rsidR="00E836FB" w:rsidRDefault="00E836FB">
            <w:pPr>
              <w:jc w:val="right"/>
              <w:rPr>
                <w:rFonts w:ascii="宋体"/>
              </w:rPr>
            </w:pPr>
          </w:p>
        </w:tc>
      </w:tr>
      <w:tr w:rsidR="00E836FB" w14:paraId="5F2D1D00" w14:textId="77777777">
        <w:tc>
          <w:tcPr>
            <w:tcW w:w="0" w:type="auto"/>
            <w:gridSpan w:val="3"/>
            <w:shd w:val="clear" w:color="auto" w:fill="CCEEFF"/>
            <w:tcMar>
              <w:top w:w="40" w:type="dxa"/>
              <w:left w:w="380" w:type="dxa"/>
              <w:bottom w:w="40" w:type="dxa"/>
              <w:right w:w="20" w:type="dxa"/>
            </w:tcMar>
            <w:vAlign w:val="bottom"/>
          </w:tcPr>
          <w:p w14:paraId="5F2D1CE6" w14:textId="77777777" w:rsidR="00E836FB" w:rsidRDefault="00994958">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F2D1CE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E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E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ED" w14:textId="77777777" w:rsidR="00E836FB" w:rsidRDefault="00994958">
            <w:pPr>
              <w:jc w:val="right"/>
              <w:textAlignment w:val="bottom"/>
            </w:pPr>
            <w:r>
              <w:rPr>
                <w:rFonts w:ascii="Arial" w:eastAsia="宋体" w:hAnsi="Arial" w:cs="Arial"/>
                <w:color w:val="000000"/>
                <w:sz w:val="14"/>
                <w:szCs w:val="14"/>
              </w:rPr>
              <w:t>22 </w:t>
            </w:r>
          </w:p>
        </w:tc>
        <w:tc>
          <w:tcPr>
            <w:tcW w:w="0" w:type="auto"/>
            <w:shd w:val="clear" w:color="auto" w:fill="CCEEFF"/>
            <w:tcMar>
              <w:top w:w="40" w:type="dxa"/>
              <w:left w:w="0" w:type="dxa"/>
              <w:bottom w:w="40" w:type="dxa"/>
              <w:right w:w="20" w:type="dxa"/>
            </w:tcMar>
            <w:vAlign w:val="bottom"/>
          </w:tcPr>
          <w:p w14:paraId="5F2D1C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F0" w14:textId="77777777" w:rsidR="00E836FB" w:rsidRDefault="00994958">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5F2D1C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F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F5" w14:textId="77777777" w:rsidR="00E836FB" w:rsidRDefault="00E836FB">
            <w:pPr>
              <w:rPr>
                <w:rFonts w:ascii="宋体"/>
              </w:rPr>
            </w:pPr>
          </w:p>
        </w:tc>
        <w:tc>
          <w:tcPr>
            <w:tcW w:w="0" w:type="auto"/>
            <w:shd w:val="clear" w:color="auto" w:fill="auto"/>
            <w:vAlign w:val="bottom"/>
          </w:tcPr>
          <w:p w14:paraId="5F2D1CF6" w14:textId="77777777" w:rsidR="00E836FB" w:rsidRDefault="00E836FB">
            <w:pPr>
              <w:rPr>
                <w:rFonts w:ascii="宋体"/>
                <w:vanish/>
              </w:rPr>
            </w:pPr>
          </w:p>
        </w:tc>
        <w:tc>
          <w:tcPr>
            <w:tcW w:w="0" w:type="auto"/>
            <w:shd w:val="clear" w:color="auto" w:fill="auto"/>
            <w:vAlign w:val="bottom"/>
          </w:tcPr>
          <w:p w14:paraId="5F2D1CF7"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1CF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F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F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C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C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CFE" w14:textId="77777777" w:rsidR="00E836FB" w:rsidRDefault="00994958">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5F2D1CFF" w14:textId="77777777" w:rsidR="00E836FB" w:rsidRDefault="00E836FB">
            <w:pPr>
              <w:jc w:val="right"/>
              <w:rPr>
                <w:rFonts w:ascii="宋体"/>
              </w:rPr>
            </w:pPr>
          </w:p>
        </w:tc>
      </w:tr>
      <w:tr w:rsidR="00E836FB" w14:paraId="5F2D1D13" w14:textId="77777777">
        <w:trPr>
          <w:hidden/>
        </w:trPr>
        <w:tc>
          <w:tcPr>
            <w:tcW w:w="0" w:type="auto"/>
            <w:gridSpan w:val="3"/>
            <w:shd w:val="clear" w:color="auto" w:fill="auto"/>
            <w:vAlign w:val="bottom"/>
          </w:tcPr>
          <w:p w14:paraId="5F2D1D01" w14:textId="77777777" w:rsidR="00E836FB" w:rsidRDefault="00E836FB">
            <w:pPr>
              <w:rPr>
                <w:rFonts w:ascii="宋体"/>
                <w:vanish/>
              </w:rPr>
            </w:pPr>
          </w:p>
        </w:tc>
        <w:tc>
          <w:tcPr>
            <w:tcW w:w="0" w:type="auto"/>
            <w:gridSpan w:val="3"/>
            <w:shd w:val="clear" w:color="auto" w:fill="auto"/>
            <w:vAlign w:val="bottom"/>
          </w:tcPr>
          <w:p w14:paraId="5F2D1D02" w14:textId="77777777" w:rsidR="00E836FB" w:rsidRDefault="00E836FB">
            <w:pPr>
              <w:rPr>
                <w:rFonts w:ascii="宋体"/>
                <w:vanish/>
              </w:rPr>
            </w:pPr>
          </w:p>
        </w:tc>
        <w:tc>
          <w:tcPr>
            <w:tcW w:w="0" w:type="auto"/>
            <w:gridSpan w:val="3"/>
            <w:shd w:val="clear" w:color="auto" w:fill="auto"/>
            <w:vAlign w:val="bottom"/>
          </w:tcPr>
          <w:p w14:paraId="5F2D1D03" w14:textId="77777777" w:rsidR="00E836FB" w:rsidRDefault="00E836FB">
            <w:pPr>
              <w:rPr>
                <w:rFonts w:ascii="宋体"/>
                <w:vanish/>
              </w:rPr>
            </w:pPr>
          </w:p>
        </w:tc>
        <w:tc>
          <w:tcPr>
            <w:tcW w:w="0" w:type="auto"/>
            <w:gridSpan w:val="3"/>
            <w:shd w:val="clear" w:color="auto" w:fill="auto"/>
            <w:vAlign w:val="bottom"/>
          </w:tcPr>
          <w:p w14:paraId="5F2D1D04" w14:textId="77777777" w:rsidR="00E836FB" w:rsidRDefault="00E836FB">
            <w:pPr>
              <w:rPr>
                <w:rFonts w:ascii="宋体"/>
                <w:vanish/>
              </w:rPr>
            </w:pPr>
          </w:p>
        </w:tc>
        <w:tc>
          <w:tcPr>
            <w:tcW w:w="0" w:type="auto"/>
            <w:gridSpan w:val="3"/>
            <w:shd w:val="clear" w:color="auto" w:fill="auto"/>
            <w:vAlign w:val="bottom"/>
          </w:tcPr>
          <w:p w14:paraId="5F2D1D05" w14:textId="77777777" w:rsidR="00E836FB" w:rsidRDefault="00E836FB">
            <w:pPr>
              <w:rPr>
                <w:rFonts w:ascii="宋体"/>
                <w:vanish/>
              </w:rPr>
            </w:pPr>
          </w:p>
        </w:tc>
        <w:tc>
          <w:tcPr>
            <w:tcW w:w="0" w:type="auto"/>
            <w:gridSpan w:val="3"/>
            <w:shd w:val="clear" w:color="auto" w:fill="auto"/>
            <w:vAlign w:val="bottom"/>
          </w:tcPr>
          <w:p w14:paraId="5F2D1D06" w14:textId="77777777" w:rsidR="00E836FB" w:rsidRDefault="00E836FB">
            <w:pPr>
              <w:rPr>
                <w:rFonts w:ascii="宋体"/>
                <w:vanish/>
              </w:rPr>
            </w:pPr>
          </w:p>
        </w:tc>
        <w:tc>
          <w:tcPr>
            <w:tcW w:w="0" w:type="auto"/>
            <w:gridSpan w:val="3"/>
            <w:shd w:val="clear" w:color="auto" w:fill="auto"/>
            <w:vAlign w:val="bottom"/>
          </w:tcPr>
          <w:p w14:paraId="5F2D1D07" w14:textId="77777777" w:rsidR="00E836FB" w:rsidRDefault="00E836FB">
            <w:pPr>
              <w:rPr>
                <w:rFonts w:ascii="宋体"/>
                <w:vanish/>
              </w:rPr>
            </w:pPr>
          </w:p>
        </w:tc>
        <w:tc>
          <w:tcPr>
            <w:tcW w:w="0" w:type="auto"/>
            <w:gridSpan w:val="3"/>
            <w:shd w:val="clear" w:color="auto" w:fill="auto"/>
            <w:vAlign w:val="bottom"/>
          </w:tcPr>
          <w:p w14:paraId="5F2D1D08" w14:textId="77777777" w:rsidR="00E836FB" w:rsidRDefault="00E836FB">
            <w:pPr>
              <w:rPr>
                <w:rFonts w:ascii="宋体"/>
                <w:vanish/>
              </w:rPr>
            </w:pPr>
          </w:p>
        </w:tc>
        <w:tc>
          <w:tcPr>
            <w:tcW w:w="0" w:type="auto"/>
            <w:gridSpan w:val="3"/>
            <w:shd w:val="clear" w:color="auto" w:fill="auto"/>
            <w:vAlign w:val="bottom"/>
          </w:tcPr>
          <w:p w14:paraId="5F2D1D09" w14:textId="77777777" w:rsidR="00E836FB" w:rsidRDefault="00E836FB">
            <w:pPr>
              <w:rPr>
                <w:rFonts w:ascii="宋体"/>
                <w:vanish/>
              </w:rPr>
            </w:pPr>
          </w:p>
        </w:tc>
        <w:tc>
          <w:tcPr>
            <w:tcW w:w="0" w:type="auto"/>
            <w:gridSpan w:val="3"/>
            <w:shd w:val="clear" w:color="auto" w:fill="auto"/>
            <w:vAlign w:val="bottom"/>
          </w:tcPr>
          <w:p w14:paraId="5F2D1D0A" w14:textId="77777777" w:rsidR="00E836FB" w:rsidRDefault="00E836FB">
            <w:pPr>
              <w:rPr>
                <w:rFonts w:ascii="宋体"/>
                <w:vanish/>
              </w:rPr>
            </w:pPr>
          </w:p>
        </w:tc>
        <w:tc>
          <w:tcPr>
            <w:tcW w:w="0" w:type="auto"/>
            <w:gridSpan w:val="3"/>
            <w:shd w:val="clear" w:color="auto" w:fill="auto"/>
            <w:vAlign w:val="bottom"/>
          </w:tcPr>
          <w:p w14:paraId="5F2D1D0B" w14:textId="77777777" w:rsidR="00E836FB" w:rsidRDefault="00E836FB">
            <w:pPr>
              <w:rPr>
                <w:rFonts w:ascii="宋体"/>
                <w:vanish/>
              </w:rPr>
            </w:pPr>
          </w:p>
        </w:tc>
        <w:tc>
          <w:tcPr>
            <w:tcW w:w="0" w:type="auto"/>
            <w:shd w:val="clear" w:color="auto" w:fill="auto"/>
            <w:vAlign w:val="bottom"/>
          </w:tcPr>
          <w:p w14:paraId="5F2D1D0C" w14:textId="77777777" w:rsidR="00E836FB" w:rsidRDefault="00E836FB">
            <w:pPr>
              <w:rPr>
                <w:rFonts w:ascii="宋体"/>
                <w:vanish/>
              </w:rPr>
            </w:pPr>
          </w:p>
        </w:tc>
        <w:tc>
          <w:tcPr>
            <w:tcW w:w="0" w:type="auto"/>
            <w:shd w:val="clear" w:color="auto" w:fill="auto"/>
            <w:vAlign w:val="bottom"/>
          </w:tcPr>
          <w:p w14:paraId="5F2D1D0D" w14:textId="77777777" w:rsidR="00E836FB" w:rsidRDefault="00E836FB">
            <w:pPr>
              <w:rPr>
                <w:rFonts w:ascii="宋体"/>
                <w:vanish/>
              </w:rPr>
            </w:pPr>
          </w:p>
        </w:tc>
        <w:tc>
          <w:tcPr>
            <w:tcW w:w="0" w:type="auto"/>
            <w:gridSpan w:val="3"/>
            <w:shd w:val="clear" w:color="auto" w:fill="auto"/>
            <w:vAlign w:val="bottom"/>
          </w:tcPr>
          <w:p w14:paraId="5F2D1D0E" w14:textId="77777777" w:rsidR="00E836FB" w:rsidRDefault="00E836FB">
            <w:pPr>
              <w:rPr>
                <w:rFonts w:ascii="宋体"/>
                <w:vanish/>
              </w:rPr>
            </w:pPr>
          </w:p>
        </w:tc>
        <w:tc>
          <w:tcPr>
            <w:tcW w:w="0" w:type="auto"/>
            <w:gridSpan w:val="3"/>
            <w:shd w:val="clear" w:color="auto" w:fill="auto"/>
            <w:vAlign w:val="bottom"/>
          </w:tcPr>
          <w:p w14:paraId="5F2D1D0F" w14:textId="77777777" w:rsidR="00E836FB" w:rsidRDefault="00E836FB">
            <w:pPr>
              <w:rPr>
                <w:rFonts w:ascii="宋体"/>
                <w:vanish/>
              </w:rPr>
            </w:pPr>
          </w:p>
        </w:tc>
        <w:tc>
          <w:tcPr>
            <w:tcW w:w="0" w:type="auto"/>
            <w:gridSpan w:val="3"/>
            <w:shd w:val="clear" w:color="auto" w:fill="auto"/>
            <w:vAlign w:val="bottom"/>
          </w:tcPr>
          <w:p w14:paraId="5F2D1D10" w14:textId="77777777" w:rsidR="00E836FB" w:rsidRDefault="00E836FB">
            <w:pPr>
              <w:rPr>
                <w:rFonts w:ascii="宋体"/>
                <w:vanish/>
              </w:rPr>
            </w:pPr>
          </w:p>
        </w:tc>
        <w:tc>
          <w:tcPr>
            <w:tcW w:w="0" w:type="auto"/>
            <w:gridSpan w:val="3"/>
            <w:shd w:val="clear" w:color="auto" w:fill="auto"/>
            <w:vAlign w:val="bottom"/>
          </w:tcPr>
          <w:p w14:paraId="5F2D1D11" w14:textId="77777777" w:rsidR="00E836FB" w:rsidRDefault="00E836FB">
            <w:pPr>
              <w:rPr>
                <w:rFonts w:ascii="宋体"/>
                <w:vanish/>
              </w:rPr>
            </w:pPr>
          </w:p>
        </w:tc>
        <w:tc>
          <w:tcPr>
            <w:tcW w:w="0" w:type="auto"/>
            <w:gridSpan w:val="3"/>
            <w:shd w:val="clear" w:color="auto" w:fill="auto"/>
            <w:vAlign w:val="bottom"/>
          </w:tcPr>
          <w:p w14:paraId="5F2D1D12" w14:textId="77777777" w:rsidR="00E836FB" w:rsidRDefault="00E836FB">
            <w:pPr>
              <w:rPr>
                <w:rFonts w:ascii="宋体"/>
                <w:vanish/>
              </w:rPr>
            </w:pPr>
          </w:p>
        </w:tc>
      </w:tr>
      <w:tr w:rsidR="00E836FB" w14:paraId="5F2D1D26" w14:textId="77777777">
        <w:trPr>
          <w:hidden/>
        </w:trPr>
        <w:tc>
          <w:tcPr>
            <w:tcW w:w="0" w:type="auto"/>
            <w:gridSpan w:val="3"/>
            <w:shd w:val="clear" w:color="auto" w:fill="auto"/>
            <w:vAlign w:val="bottom"/>
          </w:tcPr>
          <w:p w14:paraId="5F2D1D14" w14:textId="77777777" w:rsidR="00E836FB" w:rsidRDefault="00E836FB">
            <w:pPr>
              <w:rPr>
                <w:rFonts w:ascii="宋体"/>
                <w:vanish/>
              </w:rPr>
            </w:pPr>
          </w:p>
        </w:tc>
        <w:tc>
          <w:tcPr>
            <w:tcW w:w="0" w:type="auto"/>
            <w:gridSpan w:val="3"/>
            <w:shd w:val="clear" w:color="auto" w:fill="auto"/>
            <w:vAlign w:val="bottom"/>
          </w:tcPr>
          <w:p w14:paraId="5F2D1D15" w14:textId="77777777" w:rsidR="00E836FB" w:rsidRDefault="00E836FB">
            <w:pPr>
              <w:rPr>
                <w:rFonts w:ascii="宋体"/>
                <w:vanish/>
              </w:rPr>
            </w:pPr>
          </w:p>
        </w:tc>
        <w:tc>
          <w:tcPr>
            <w:tcW w:w="0" w:type="auto"/>
            <w:gridSpan w:val="3"/>
            <w:shd w:val="clear" w:color="auto" w:fill="auto"/>
            <w:vAlign w:val="bottom"/>
          </w:tcPr>
          <w:p w14:paraId="5F2D1D16" w14:textId="77777777" w:rsidR="00E836FB" w:rsidRDefault="00E836FB">
            <w:pPr>
              <w:rPr>
                <w:rFonts w:ascii="宋体"/>
                <w:vanish/>
              </w:rPr>
            </w:pPr>
          </w:p>
        </w:tc>
        <w:tc>
          <w:tcPr>
            <w:tcW w:w="0" w:type="auto"/>
            <w:gridSpan w:val="3"/>
            <w:shd w:val="clear" w:color="auto" w:fill="auto"/>
            <w:vAlign w:val="bottom"/>
          </w:tcPr>
          <w:p w14:paraId="5F2D1D17" w14:textId="77777777" w:rsidR="00E836FB" w:rsidRDefault="00E836FB">
            <w:pPr>
              <w:rPr>
                <w:rFonts w:ascii="宋体"/>
                <w:vanish/>
              </w:rPr>
            </w:pPr>
          </w:p>
        </w:tc>
        <w:tc>
          <w:tcPr>
            <w:tcW w:w="0" w:type="auto"/>
            <w:gridSpan w:val="3"/>
            <w:shd w:val="clear" w:color="auto" w:fill="auto"/>
            <w:vAlign w:val="bottom"/>
          </w:tcPr>
          <w:p w14:paraId="5F2D1D18" w14:textId="77777777" w:rsidR="00E836FB" w:rsidRDefault="00E836FB">
            <w:pPr>
              <w:rPr>
                <w:rFonts w:ascii="宋体"/>
                <w:vanish/>
              </w:rPr>
            </w:pPr>
          </w:p>
        </w:tc>
        <w:tc>
          <w:tcPr>
            <w:tcW w:w="0" w:type="auto"/>
            <w:gridSpan w:val="3"/>
            <w:shd w:val="clear" w:color="auto" w:fill="auto"/>
            <w:vAlign w:val="bottom"/>
          </w:tcPr>
          <w:p w14:paraId="5F2D1D19" w14:textId="77777777" w:rsidR="00E836FB" w:rsidRDefault="00E836FB">
            <w:pPr>
              <w:rPr>
                <w:rFonts w:ascii="宋体"/>
                <w:vanish/>
              </w:rPr>
            </w:pPr>
          </w:p>
        </w:tc>
        <w:tc>
          <w:tcPr>
            <w:tcW w:w="0" w:type="auto"/>
            <w:gridSpan w:val="3"/>
            <w:shd w:val="clear" w:color="auto" w:fill="auto"/>
            <w:vAlign w:val="bottom"/>
          </w:tcPr>
          <w:p w14:paraId="5F2D1D1A" w14:textId="77777777" w:rsidR="00E836FB" w:rsidRDefault="00E836FB">
            <w:pPr>
              <w:rPr>
                <w:rFonts w:ascii="宋体"/>
                <w:vanish/>
              </w:rPr>
            </w:pPr>
          </w:p>
        </w:tc>
        <w:tc>
          <w:tcPr>
            <w:tcW w:w="0" w:type="auto"/>
            <w:gridSpan w:val="3"/>
            <w:shd w:val="clear" w:color="auto" w:fill="auto"/>
            <w:vAlign w:val="bottom"/>
          </w:tcPr>
          <w:p w14:paraId="5F2D1D1B" w14:textId="77777777" w:rsidR="00E836FB" w:rsidRDefault="00E836FB">
            <w:pPr>
              <w:rPr>
                <w:rFonts w:ascii="宋体"/>
                <w:vanish/>
              </w:rPr>
            </w:pPr>
          </w:p>
        </w:tc>
        <w:tc>
          <w:tcPr>
            <w:tcW w:w="0" w:type="auto"/>
            <w:gridSpan w:val="3"/>
            <w:shd w:val="clear" w:color="auto" w:fill="auto"/>
            <w:vAlign w:val="bottom"/>
          </w:tcPr>
          <w:p w14:paraId="5F2D1D1C" w14:textId="77777777" w:rsidR="00E836FB" w:rsidRDefault="00E836FB">
            <w:pPr>
              <w:rPr>
                <w:rFonts w:ascii="宋体"/>
                <w:vanish/>
              </w:rPr>
            </w:pPr>
          </w:p>
        </w:tc>
        <w:tc>
          <w:tcPr>
            <w:tcW w:w="0" w:type="auto"/>
            <w:gridSpan w:val="3"/>
            <w:shd w:val="clear" w:color="auto" w:fill="auto"/>
            <w:vAlign w:val="bottom"/>
          </w:tcPr>
          <w:p w14:paraId="5F2D1D1D" w14:textId="77777777" w:rsidR="00E836FB" w:rsidRDefault="00E836FB">
            <w:pPr>
              <w:rPr>
                <w:rFonts w:ascii="宋体"/>
                <w:vanish/>
              </w:rPr>
            </w:pPr>
          </w:p>
        </w:tc>
        <w:tc>
          <w:tcPr>
            <w:tcW w:w="0" w:type="auto"/>
            <w:gridSpan w:val="3"/>
            <w:shd w:val="clear" w:color="auto" w:fill="auto"/>
            <w:vAlign w:val="bottom"/>
          </w:tcPr>
          <w:p w14:paraId="5F2D1D1E" w14:textId="77777777" w:rsidR="00E836FB" w:rsidRDefault="00E836FB">
            <w:pPr>
              <w:rPr>
                <w:rFonts w:ascii="宋体"/>
                <w:vanish/>
              </w:rPr>
            </w:pPr>
          </w:p>
        </w:tc>
        <w:tc>
          <w:tcPr>
            <w:tcW w:w="0" w:type="auto"/>
            <w:shd w:val="clear" w:color="auto" w:fill="auto"/>
            <w:vAlign w:val="bottom"/>
          </w:tcPr>
          <w:p w14:paraId="5F2D1D1F" w14:textId="77777777" w:rsidR="00E836FB" w:rsidRDefault="00E836FB">
            <w:pPr>
              <w:rPr>
                <w:rFonts w:ascii="宋体"/>
                <w:vanish/>
              </w:rPr>
            </w:pPr>
          </w:p>
        </w:tc>
        <w:tc>
          <w:tcPr>
            <w:tcW w:w="0" w:type="auto"/>
            <w:shd w:val="clear" w:color="auto" w:fill="auto"/>
            <w:vAlign w:val="bottom"/>
          </w:tcPr>
          <w:p w14:paraId="5F2D1D20" w14:textId="77777777" w:rsidR="00E836FB" w:rsidRDefault="00E836FB">
            <w:pPr>
              <w:rPr>
                <w:rFonts w:ascii="宋体"/>
                <w:vanish/>
              </w:rPr>
            </w:pPr>
          </w:p>
        </w:tc>
        <w:tc>
          <w:tcPr>
            <w:tcW w:w="0" w:type="auto"/>
            <w:gridSpan w:val="3"/>
            <w:shd w:val="clear" w:color="auto" w:fill="auto"/>
            <w:vAlign w:val="bottom"/>
          </w:tcPr>
          <w:p w14:paraId="5F2D1D21" w14:textId="77777777" w:rsidR="00E836FB" w:rsidRDefault="00E836FB">
            <w:pPr>
              <w:rPr>
                <w:rFonts w:ascii="宋体"/>
                <w:vanish/>
              </w:rPr>
            </w:pPr>
          </w:p>
        </w:tc>
        <w:tc>
          <w:tcPr>
            <w:tcW w:w="0" w:type="auto"/>
            <w:gridSpan w:val="3"/>
            <w:shd w:val="clear" w:color="auto" w:fill="auto"/>
            <w:vAlign w:val="bottom"/>
          </w:tcPr>
          <w:p w14:paraId="5F2D1D22" w14:textId="77777777" w:rsidR="00E836FB" w:rsidRDefault="00E836FB">
            <w:pPr>
              <w:rPr>
                <w:rFonts w:ascii="宋体"/>
                <w:vanish/>
              </w:rPr>
            </w:pPr>
          </w:p>
        </w:tc>
        <w:tc>
          <w:tcPr>
            <w:tcW w:w="0" w:type="auto"/>
            <w:gridSpan w:val="3"/>
            <w:shd w:val="clear" w:color="auto" w:fill="auto"/>
            <w:vAlign w:val="bottom"/>
          </w:tcPr>
          <w:p w14:paraId="5F2D1D23" w14:textId="77777777" w:rsidR="00E836FB" w:rsidRDefault="00E836FB">
            <w:pPr>
              <w:rPr>
                <w:rFonts w:ascii="宋体"/>
                <w:vanish/>
              </w:rPr>
            </w:pPr>
          </w:p>
        </w:tc>
        <w:tc>
          <w:tcPr>
            <w:tcW w:w="0" w:type="auto"/>
            <w:gridSpan w:val="3"/>
            <w:shd w:val="clear" w:color="auto" w:fill="auto"/>
            <w:vAlign w:val="bottom"/>
          </w:tcPr>
          <w:p w14:paraId="5F2D1D24" w14:textId="77777777" w:rsidR="00E836FB" w:rsidRDefault="00E836FB">
            <w:pPr>
              <w:rPr>
                <w:rFonts w:ascii="宋体"/>
                <w:vanish/>
              </w:rPr>
            </w:pPr>
          </w:p>
        </w:tc>
        <w:tc>
          <w:tcPr>
            <w:tcW w:w="0" w:type="auto"/>
            <w:gridSpan w:val="3"/>
            <w:shd w:val="clear" w:color="auto" w:fill="auto"/>
            <w:vAlign w:val="bottom"/>
          </w:tcPr>
          <w:p w14:paraId="5F2D1D25" w14:textId="77777777" w:rsidR="00E836FB" w:rsidRDefault="00E836FB">
            <w:pPr>
              <w:rPr>
                <w:rFonts w:ascii="宋体"/>
                <w:vanish/>
              </w:rPr>
            </w:pPr>
          </w:p>
        </w:tc>
      </w:tr>
      <w:tr w:rsidR="00E836FB" w14:paraId="5F2D1D39" w14:textId="77777777">
        <w:trPr>
          <w:hidden/>
        </w:trPr>
        <w:tc>
          <w:tcPr>
            <w:tcW w:w="0" w:type="auto"/>
            <w:gridSpan w:val="3"/>
            <w:shd w:val="clear" w:color="auto" w:fill="auto"/>
            <w:vAlign w:val="bottom"/>
          </w:tcPr>
          <w:p w14:paraId="5F2D1D27" w14:textId="77777777" w:rsidR="00E836FB" w:rsidRDefault="00E836FB">
            <w:pPr>
              <w:rPr>
                <w:rFonts w:ascii="宋体"/>
                <w:vanish/>
              </w:rPr>
            </w:pPr>
          </w:p>
        </w:tc>
        <w:tc>
          <w:tcPr>
            <w:tcW w:w="0" w:type="auto"/>
            <w:gridSpan w:val="3"/>
            <w:shd w:val="clear" w:color="auto" w:fill="auto"/>
            <w:vAlign w:val="bottom"/>
          </w:tcPr>
          <w:p w14:paraId="5F2D1D28" w14:textId="77777777" w:rsidR="00E836FB" w:rsidRDefault="00E836FB">
            <w:pPr>
              <w:rPr>
                <w:rFonts w:ascii="宋体"/>
                <w:vanish/>
              </w:rPr>
            </w:pPr>
          </w:p>
        </w:tc>
        <w:tc>
          <w:tcPr>
            <w:tcW w:w="0" w:type="auto"/>
            <w:gridSpan w:val="3"/>
            <w:shd w:val="clear" w:color="auto" w:fill="auto"/>
            <w:vAlign w:val="bottom"/>
          </w:tcPr>
          <w:p w14:paraId="5F2D1D29" w14:textId="77777777" w:rsidR="00E836FB" w:rsidRDefault="00E836FB">
            <w:pPr>
              <w:rPr>
                <w:rFonts w:ascii="宋体"/>
                <w:vanish/>
              </w:rPr>
            </w:pPr>
          </w:p>
        </w:tc>
        <w:tc>
          <w:tcPr>
            <w:tcW w:w="0" w:type="auto"/>
            <w:gridSpan w:val="3"/>
            <w:shd w:val="clear" w:color="auto" w:fill="auto"/>
            <w:vAlign w:val="bottom"/>
          </w:tcPr>
          <w:p w14:paraId="5F2D1D2A" w14:textId="77777777" w:rsidR="00E836FB" w:rsidRDefault="00E836FB">
            <w:pPr>
              <w:rPr>
                <w:rFonts w:ascii="宋体"/>
                <w:vanish/>
              </w:rPr>
            </w:pPr>
          </w:p>
        </w:tc>
        <w:tc>
          <w:tcPr>
            <w:tcW w:w="0" w:type="auto"/>
            <w:gridSpan w:val="3"/>
            <w:shd w:val="clear" w:color="auto" w:fill="auto"/>
            <w:vAlign w:val="bottom"/>
          </w:tcPr>
          <w:p w14:paraId="5F2D1D2B" w14:textId="77777777" w:rsidR="00E836FB" w:rsidRDefault="00E836FB">
            <w:pPr>
              <w:rPr>
                <w:rFonts w:ascii="宋体"/>
                <w:vanish/>
              </w:rPr>
            </w:pPr>
          </w:p>
        </w:tc>
        <w:tc>
          <w:tcPr>
            <w:tcW w:w="0" w:type="auto"/>
            <w:gridSpan w:val="3"/>
            <w:shd w:val="clear" w:color="auto" w:fill="auto"/>
            <w:vAlign w:val="bottom"/>
          </w:tcPr>
          <w:p w14:paraId="5F2D1D2C" w14:textId="77777777" w:rsidR="00E836FB" w:rsidRDefault="00E836FB">
            <w:pPr>
              <w:rPr>
                <w:rFonts w:ascii="宋体"/>
                <w:vanish/>
              </w:rPr>
            </w:pPr>
          </w:p>
        </w:tc>
        <w:tc>
          <w:tcPr>
            <w:tcW w:w="0" w:type="auto"/>
            <w:gridSpan w:val="3"/>
            <w:shd w:val="clear" w:color="auto" w:fill="auto"/>
            <w:vAlign w:val="bottom"/>
          </w:tcPr>
          <w:p w14:paraId="5F2D1D2D" w14:textId="77777777" w:rsidR="00E836FB" w:rsidRDefault="00E836FB">
            <w:pPr>
              <w:rPr>
                <w:rFonts w:ascii="宋体"/>
                <w:vanish/>
              </w:rPr>
            </w:pPr>
          </w:p>
        </w:tc>
        <w:tc>
          <w:tcPr>
            <w:tcW w:w="0" w:type="auto"/>
            <w:gridSpan w:val="3"/>
            <w:shd w:val="clear" w:color="auto" w:fill="auto"/>
            <w:vAlign w:val="bottom"/>
          </w:tcPr>
          <w:p w14:paraId="5F2D1D2E" w14:textId="77777777" w:rsidR="00E836FB" w:rsidRDefault="00E836FB">
            <w:pPr>
              <w:rPr>
                <w:rFonts w:ascii="宋体"/>
                <w:vanish/>
              </w:rPr>
            </w:pPr>
          </w:p>
        </w:tc>
        <w:tc>
          <w:tcPr>
            <w:tcW w:w="0" w:type="auto"/>
            <w:gridSpan w:val="3"/>
            <w:shd w:val="clear" w:color="auto" w:fill="auto"/>
            <w:vAlign w:val="bottom"/>
          </w:tcPr>
          <w:p w14:paraId="5F2D1D2F" w14:textId="77777777" w:rsidR="00E836FB" w:rsidRDefault="00E836FB">
            <w:pPr>
              <w:rPr>
                <w:rFonts w:ascii="宋体"/>
                <w:vanish/>
              </w:rPr>
            </w:pPr>
          </w:p>
        </w:tc>
        <w:tc>
          <w:tcPr>
            <w:tcW w:w="0" w:type="auto"/>
            <w:gridSpan w:val="3"/>
            <w:shd w:val="clear" w:color="auto" w:fill="auto"/>
            <w:vAlign w:val="bottom"/>
          </w:tcPr>
          <w:p w14:paraId="5F2D1D30" w14:textId="77777777" w:rsidR="00E836FB" w:rsidRDefault="00E836FB">
            <w:pPr>
              <w:rPr>
                <w:rFonts w:ascii="宋体"/>
                <w:vanish/>
              </w:rPr>
            </w:pPr>
          </w:p>
        </w:tc>
        <w:tc>
          <w:tcPr>
            <w:tcW w:w="0" w:type="auto"/>
            <w:gridSpan w:val="3"/>
            <w:shd w:val="clear" w:color="auto" w:fill="auto"/>
            <w:vAlign w:val="bottom"/>
          </w:tcPr>
          <w:p w14:paraId="5F2D1D31" w14:textId="77777777" w:rsidR="00E836FB" w:rsidRDefault="00E836FB">
            <w:pPr>
              <w:rPr>
                <w:rFonts w:ascii="宋体"/>
                <w:vanish/>
              </w:rPr>
            </w:pPr>
          </w:p>
        </w:tc>
        <w:tc>
          <w:tcPr>
            <w:tcW w:w="0" w:type="auto"/>
            <w:shd w:val="clear" w:color="auto" w:fill="auto"/>
            <w:vAlign w:val="bottom"/>
          </w:tcPr>
          <w:p w14:paraId="5F2D1D32" w14:textId="77777777" w:rsidR="00E836FB" w:rsidRDefault="00E836FB">
            <w:pPr>
              <w:rPr>
                <w:rFonts w:ascii="宋体"/>
                <w:vanish/>
              </w:rPr>
            </w:pPr>
          </w:p>
        </w:tc>
        <w:tc>
          <w:tcPr>
            <w:tcW w:w="0" w:type="auto"/>
            <w:shd w:val="clear" w:color="auto" w:fill="auto"/>
            <w:vAlign w:val="bottom"/>
          </w:tcPr>
          <w:p w14:paraId="5F2D1D33" w14:textId="77777777" w:rsidR="00E836FB" w:rsidRDefault="00E836FB">
            <w:pPr>
              <w:rPr>
                <w:rFonts w:ascii="宋体"/>
                <w:vanish/>
              </w:rPr>
            </w:pPr>
          </w:p>
        </w:tc>
        <w:tc>
          <w:tcPr>
            <w:tcW w:w="0" w:type="auto"/>
            <w:gridSpan w:val="3"/>
            <w:shd w:val="clear" w:color="auto" w:fill="auto"/>
            <w:vAlign w:val="bottom"/>
          </w:tcPr>
          <w:p w14:paraId="5F2D1D34" w14:textId="77777777" w:rsidR="00E836FB" w:rsidRDefault="00E836FB">
            <w:pPr>
              <w:rPr>
                <w:rFonts w:ascii="宋体"/>
                <w:vanish/>
              </w:rPr>
            </w:pPr>
          </w:p>
        </w:tc>
        <w:tc>
          <w:tcPr>
            <w:tcW w:w="0" w:type="auto"/>
            <w:gridSpan w:val="3"/>
            <w:shd w:val="clear" w:color="auto" w:fill="auto"/>
            <w:vAlign w:val="bottom"/>
          </w:tcPr>
          <w:p w14:paraId="5F2D1D35" w14:textId="77777777" w:rsidR="00E836FB" w:rsidRDefault="00E836FB">
            <w:pPr>
              <w:rPr>
                <w:rFonts w:ascii="宋体"/>
                <w:vanish/>
              </w:rPr>
            </w:pPr>
          </w:p>
        </w:tc>
        <w:tc>
          <w:tcPr>
            <w:tcW w:w="0" w:type="auto"/>
            <w:gridSpan w:val="3"/>
            <w:shd w:val="clear" w:color="auto" w:fill="auto"/>
            <w:vAlign w:val="bottom"/>
          </w:tcPr>
          <w:p w14:paraId="5F2D1D36" w14:textId="77777777" w:rsidR="00E836FB" w:rsidRDefault="00E836FB">
            <w:pPr>
              <w:rPr>
                <w:rFonts w:ascii="宋体"/>
                <w:vanish/>
              </w:rPr>
            </w:pPr>
          </w:p>
        </w:tc>
        <w:tc>
          <w:tcPr>
            <w:tcW w:w="0" w:type="auto"/>
            <w:gridSpan w:val="3"/>
            <w:shd w:val="clear" w:color="auto" w:fill="auto"/>
            <w:vAlign w:val="bottom"/>
          </w:tcPr>
          <w:p w14:paraId="5F2D1D37" w14:textId="77777777" w:rsidR="00E836FB" w:rsidRDefault="00E836FB">
            <w:pPr>
              <w:rPr>
                <w:rFonts w:ascii="宋体"/>
                <w:vanish/>
              </w:rPr>
            </w:pPr>
          </w:p>
        </w:tc>
        <w:tc>
          <w:tcPr>
            <w:tcW w:w="0" w:type="auto"/>
            <w:gridSpan w:val="3"/>
            <w:shd w:val="clear" w:color="auto" w:fill="auto"/>
            <w:vAlign w:val="bottom"/>
          </w:tcPr>
          <w:p w14:paraId="5F2D1D38" w14:textId="77777777" w:rsidR="00E836FB" w:rsidRDefault="00E836FB">
            <w:pPr>
              <w:rPr>
                <w:rFonts w:ascii="宋体"/>
                <w:vanish/>
              </w:rPr>
            </w:pPr>
          </w:p>
        </w:tc>
      </w:tr>
      <w:tr w:rsidR="00E836FB" w14:paraId="5F2D1D5C" w14:textId="77777777">
        <w:tc>
          <w:tcPr>
            <w:tcW w:w="0" w:type="auto"/>
            <w:gridSpan w:val="3"/>
            <w:shd w:val="clear" w:color="auto" w:fill="FFFFFF"/>
            <w:tcMar>
              <w:top w:w="40" w:type="dxa"/>
              <w:left w:w="155" w:type="dxa"/>
              <w:bottom w:w="40" w:type="dxa"/>
              <w:right w:w="20" w:type="dxa"/>
            </w:tcMar>
            <w:vAlign w:val="bottom"/>
          </w:tcPr>
          <w:p w14:paraId="5F2D1D3A" w14:textId="77777777" w:rsidR="00E836FB" w:rsidRDefault="00994958">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1D3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3C" w14:textId="77777777" w:rsidR="00E836FB" w:rsidRDefault="00994958">
            <w:pPr>
              <w:jc w:val="right"/>
              <w:textAlignment w:val="bottom"/>
            </w:pPr>
            <w:r>
              <w:rPr>
                <w:rFonts w:ascii="Arial" w:eastAsia="宋体" w:hAnsi="Arial" w:cs="Arial"/>
                <w:color w:val="000000"/>
                <w:sz w:val="14"/>
                <w:szCs w:val="14"/>
              </w:rPr>
              <w:t>604 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3E"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D3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40" w14:textId="77777777" w:rsidR="00E836FB" w:rsidRDefault="00994958">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42"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D4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44" w14:textId="77777777" w:rsidR="00E836FB" w:rsidRDefault="00994958">
            <w:pPr>
              <w:jc w:val="right"/>
              <w:textAlignment w:val="bottom"/>
            </w:pPr>
            <w:r>
              <w:rPr>
                <w:rFonts w:ascii="Arial" w:eastAsia="宋体" w:hAnsi="Arial" w:cs="Arial"/>
                <w:color w:val="000000"/>
                <w:sz w:val="14"/>
                <w:szCs w:val="14"/>
              </w:rPr>
              <w:t>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46"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D4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48" w14:textId="77777777" w:rsidR="00E836FB" w:rsidRDefault="00994958">
            <w:pPr>
              <w:jc w:val="right"/>
              <w:textAlignment w:val="bottom"/>
            </w:pPr>
            <w:r>
              <w:rPr>
                <w:rFonts w:ascii="Arial" w:eastAsia="宋体" w:hAnsi="Arial" w:cs="Arial"/>
                <w:color w:val="000000"/>
                <w:sz w:val="14"/>
                <w:szCs w:val="14"/>
              </w:rPr>
              <w:t>717 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4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4A"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D4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4C" w14:textId="77777777" w:rsidR="00E836FB" w:rsidRDefault="00994958">
            <w:pPr>
              <w:jc w:val="right"/>
              <w:textAlignment w:val="bottom"/>
            </w:pPr>
            <w:r>
              <w:rPr>
                <w:rFonts w:ascii="Arial" w:eastAsia="宋体" w:hAnsi="Arial" w:cs="Arial"/>
                <w:color w:val="000000"/>
                <w:sz w:val="14"/>
                <w:szCs w:val="14"/>
              </w:rPr>
              <w:t>276 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4E" w14:textId="77777777" w:rsidR="00E836FB" w:rsidRDefault="00E836FB">
            <w:pPr>
              <w:rPr>
                <w:rFonts w:ascii="宋体"/>
              </w:rPr>
            </w:pPr>
          </w:p>
        </w:tc>
        <w:tc>
          <w:tcPr>
            <w:tcW w:w="0" w:type="auto"/>
            <w:shd w:val="clear" w:color="auto" w:fill="auto"/>
            <w:vAlign w:val="bottom"/>
          </w:tcPr>
          <w:p w14:paraId="5F2D1D4F" w14:textId="77777777" w:rsidR="00E836FB" w:rsidRDefault="00E836FB">
            <w:pPr>
              <w:rPr>
                <w:rFonts w:ascii="宋体"/>
                <w:vanish/>
              </w:rPr>
            </w:pPr>
          </w:p>
        </w:tc>
        <w:tc>
          <w:tcPr>
            <w:tcW w:w="0" w:type="auto"/>
            <w:shd w:val="clear" w:color="auto" w:fill="auto"/>
            <w:vAlign w:val="bottom"/>
          </w:tcPr>
          <w:p w14:paraId="5F2D1D50" w14:textId="77777777" w:rsidR="00E836FB" w:rsidRDefault="00E836F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D5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52" w14:textId="77777777" w:rsidR="00E836FB" w:rsidRDefault="00994958">
            <w:pPr>
              <w:jc w:val="right"/>
              <w:textAlignment w:val="bottom"/>
            </w:pPr>
            <w:r>
              <w:rPr>
                <w:rFonts w:ascii="Arial" w:eastAsia="宋体" w:hAnsi="Arial" w:cs="Arial"/>
                <w:color w:val="000000"/>
                <w:sz w:val="14"/>
                <w:szCs w:val="14"/>
              </w:rPr>
              <w:t>225 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54"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D5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56"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5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58"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D5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D5A" w14:textId="77777777" w:rsidR="00E836FB" w:rsidRDefault="00994958">
            <w:pPr>
              <w:jc w:val="right"/>
              <w:textAlignment w:val="bottom"/>
            </w:pPr>
            <w:r>
              <w:rPr>
                <w:rFonts w:ascii="Arial" w:eastAsia="宋体" w:hAnsi="Arial" w:cs="Arial"/>
                <w:color w:val="000000"/>
                <w:sz w:val="14"/>
                <w:szCs w:val="14"/>
              </w:rPr>
              <w:t>2,554 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D5B" w14:textId="77777777" w:rsidR="00E836FB" w:rsidRDefault="00E836FB">
            <w:pPr>
              <w:jc w:val="right"/>
              <w:rPr>
                <w:rFonts w:ascii="宋体"/>
              </w:rPr>
            </w:pPr>
          </w:p>
        </w:tc>
      </w:tr>
      <w:tr w:rsidR="00E836FB" w14:paraId="5F2D1D6F" w14:textId="77777777">
        <w:trPr>
          <w:trHeight w:val="60"/>
        </w:trPr>
        <w:tc>
          <w:tcPr>
            <w:tcW w:w="0" w:type="auto"/>
            <w:gridSpan w:val="3"/>
            <w:shd w:val="clear" w:color="auto" w:fill="auto"/>
            <w:tcMar>
              <w:top w:w="0" w:type="dxa"/>
              <w:left w:w="20" w:type="dxa"/>
              <w:bottom w:w="0" w:type="dxa"/>
              <w:right w:w="20" w:type="dxa"/>
            </w:tcMar>
            <w:vAlign w:val="bottom"/>
          </w:tcPr>
          <w:p w14:paraId="5F2D1D5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5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6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6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6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6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67" w14:textId="77777777" w:rsidR="00E836FB" w:rsidRDefault="00E836FB">
            <w:pPr>
              <w:rPr>
                <w:rFonts w:ascii="宋体"/>
              </w:rPr>
            </w:pPr>
          </w:p>
        </w:tc>
        <w:tc>
          <w:tcPr>
            <w:tcW w:w="0" w:type="auto"/>
            <w:shd w:val="clear" w:color="auto" w:fill="auto"/>
            <w:vAlign w:val="bottom"/>
          </w:tcPr>
          <w:p w14:paraId="5F2D1D68" w14:textId="77777777" w:rsidR="00E836FB" w:rsidRDefault="00E836FB">
            <w:pPr>
              <w:rPr>
                <w:rFonts w:ascii="宋体"/>
                <w:vanish/>
              </w:rPr>
            </w:pPr>
          </w:p>
        </w:tc>
        <w:tc>
          <w:tcPr>
            <w:tcW w:w="0" w:type="auto"/>
            <w:shd w:val="clear" w:color="auto" w:fill="auto"/>
            <w:vAlign w:val="bottom"/>
          </w:tcPr>
          <w:p w14:paraId="5F2D1D69" w14:textId="77777777" w:rsidR="00E836FB" w:rsidRDefault="00E836F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6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6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6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6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D6E" w14:textId="77777777" w:rsidR="00E836FB" w:rsidRDefault="00E836FB">
            <w:pPr>
              <w:rPr>
                <w:rFonts w:ascii="宋体"/>
              </w:rPr>
            </w:pPr>
          </w:p>
        </w:tc>
      </w:tr>
      <w:tr w:rsidR="00E836FB" w14:paraId="5F2D1D82" w14:textId="77777777">
        <w:tc>
          <w:tcPr>
            <w:tcW w:w="0" w:type="auto"/>
            <w:gridSpan w:val="3"/>
            <w:shd w:val="clear" w:color="auto" w:fill="auto"/>
            <w:tcMar>
              <w:top w:w="40" w:type="dxa"/>
              <w:left w:w="20" w:type="dxa"/>
              <w:bottom w:w="40" w:type="dxa"/>
              <w:right w:w="20" w:type="dxa"/>
            </w:tcMar>
            <w:vAlign w:val="bottom"/>
          </w:tcPr>
          <w:p w14:paraId="5F2D1D70" w14:textId="77777777" w:rsidR="00E836FB" w:rsidRDefault="00994958">
            <w:pPr>
              <w:textAlignment w:val="bottom"/>
            </w:pPr>
            <w:r>
              <w:rPr>
                <w:rFonts w:ascii="Arial" w:eastAsia="宋体" w:hAnsi="Arial" w:cs="Arial"/>
                <w:color w:val="000000"/>
                <w:sz w:val="14"/>
                <w:szCs w:val="14"/>
              </w:rPr>
              <w:t>No</w:t>
            </w:r>
            <w:r>
              <w:rPr>
                <w:rFonts w:ascii="Arial" w:eastAsia="宋体" w:hAnsi="Arial" w:cs="Arial"/>
                <w:color w:val="000000"/>
                <w:sz w:val="14"/>
                <w:szCs w:val="14"/>
              </w:rPr>
              <w:t>n-U.S. loans:</w:t>
            </w:r>
          </w:p>
        </w:tc>
        <w:tc>
          <w:tcPr>
            <w:tcW w:w="0" w:type="auto"/>
            <w:gridSpan w:val="3"/>
            <w:shd w:val="clear" w:color="auto" w:fill="auto"/>
            <w:tcMar>
              <w:top w:w="0" w:type="dxa"/>
              <w:left w:w="20" w:type="dxa"/>
              <w:bottom w:w="0" w:type="dxa"/>
              <w:right w:w="20" w:type="dxa"/>
            </w:tcMar>
            <w:vAlign w:val="bottom"/>
          </w:tcPr>
          <w:p w14:paraId="5F2D1D7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A" w14:textId="77777777" w:rsidR="00E836FB" w:rsidRDefault="00E836FB">
            <w:pPr>
              <w:rPr>
                <w:rFonts w:ascii="宋体"/>
              </w:rPr>
            </w:pPr>
          </w:p>
        </w:tc>
        <w:tc>
          <w:tcPr>
            <w:tcW w:w="0" w:type="auto"/>
            <w:shd w:val="clear" w:color="auto" w:fill="auto"/>
            <w:vAlign w:val="bottom"/>
          </w:tcPr>
          <w:p w14:paraId="5F2D1D7B" w14:textId="77777777" w:rsidR="00E836FB" w:rsidRDefault="00E836FB">
            <w:pPr>
              <w:rPr>
                <w:rFonts w:ascii="宋体"/>
                <w:vanish/>
              </w:rPr>
            </w:pPr>
          </w:p>
        </w:tc>
        <w:tc>
          <w:tcPr>
            <w:tcW w:w="0" w:type="auto"/>
            <w:shd w:val="clear" w:color="auto" w:fill="auto"/>
            <w:vAlign w:val="bottom"/>
          </w:tcPr>
          <w:p w14:paraId="5F2D1D7C"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1D7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7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1" w14:textId="77777777" w:rsidR="00E836FB" w:rsidRDefault="00E836FB">
            <w:pPr>
              <w:rPr>
                <w:rFonts w:ascii="宋体"/>
              </w:rPr>
            </w:pPr>
          </w:p>
        </w:tc>
      </w:tr>
      <w:tr w:rsidR="00E836FB" w14:paraId="5F2D1D95" w14:textId="77777777">
        <w:tc>
          <w:tcPr>
            <w:tcW w:w="0" w:type="auto"/>
            <w:gridSpan w:val="3"/>
            <w:shd w:val="clear" w:color="auto" w:fill="auto"/>
            <w:tcMar>
              <w:top w:w="40" w:type="dxa"/>
              <w:left w:w="155" w:type="dxa"/>
              <w:bottom w:w="40" w:type="dxa"/>
              <w:right w:w="20" w:type="dxa"/>
            </w:tcMar>
            <w:vAlign w:val="bottom"/>
          </w:tcPr>
          <w:p w14:paraId="5F2D1D83"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F2D1D8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8D" w14:textId="77777777" w:rsidR="00E836FB" w:rsidRDefault="00E836FB">
            <w:pPr>
              <w:rPr>
                <w:rFonts w:ascii="宋体"/>
              </w:rPr>
            </w:pPr>
          </w:p>
        </w:tc>
        <w:tc>
          <w:tcPr>
            <w:tcW w:w="0" w:type="auto"/>
            <w:shd w:val="clear" w:color="auto" w:fill="auto"/>
            <w:vAlign w:val="bottom"/>
          </w:tcPr>
          <w:p w14:paraId="5F2D1D8E" w14:textId="77777777" w:rsidR="00E836FB" w:rsidRDefault="00E836FB">
            <w:pPr>
              <w:rPr>
                <w:rFonts w:ascii="宋体"/>
                <w:vanish/>
              </w:rPr>
            </w:pPr>
          </w:p>
        </w:tc>
        <w:tc>
          <w:tcPr>
            <w:tcW w:w="0" w:type="auto"/>
            <w:shd w:val="clear" w:color="auto" w:fill="auto"/>
            <w:vAlign w:val="bottom"/>
          </w:tcPr>
          <w:p w14:paraId="5F2D1D8F"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1D9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4" w14:textId="77777777" w:rsidR="00E836FB" w:rsidRDefault="00E836FB">
            <w:pPr>
              <w:rPr>
                <w:rFonts w:ascii="宋体"/>
              </w:rPr>
            </w:pPr>
          </w:p>
        </w:tc>
      </w:tr>
      <w:tr w:rsidR="00E836FB" w14:paraId="5F2D1DA8" w14:textId="77777777">
        <w:tc>
          <w:tcPr>
            <w:tcW w:w="0" w:type="auto"/>
            <w:gridSpan w:val="3"/>
            <w:shd w:val="clear" w:color="auto" w:fill="auto"/>
            <w:tcMar>
              <w:top w:w="40" w:type="dxa"/>
              <w:left w:w="245" w:type="dxa"/>
              <w:bottom w:w="40" w:type="dxa"/>
              <w:right w:w="20" w:type="dxa"/>
            </w:tcMar>
            <w:vAlign w:val="bottom"/>
          </w:tcPr>
          <w:p w14:paraId="5F2D1D96" w14:textId="77777777" w:rsidR="00E836FB" w:rsidRDefault="00994958">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F2D1D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A0" w14:textId="77777777" w:rsidR="00E836FB" w:rsidRDefault="00E836FB">
            <w:pPr>
              <w:rPr>
                <w:rFonts w:ascii="宋体"/>
              </w:rPr>
            </w:pPr>
          </w:p>
        </w:tc>
        <w:tc>
          <w:tcPr>
            <w:tcW w:w="0" w:type="auto"/>
            <w:shd w:val="clear" w:color="auto" w:fill="auto"/>
            <w:vAlign w:val="bottom"/>
          </w:tcPr>
          <w:p w14:paraId="5F2D1DA1" w14:textId="77777777" w:rsidR="00E836FB" w:rsidRDefault="00E836FB">
            <w:pPr>
              <w:rPr>
                <w:rFonts w:ascii="宋体"/>
                <w:vanish/>
              </w:rPr>
            </w:pPr>
          </w:p>
        </w:tc>
        <w:tc>
          <w:tcPr>
            <w:tcW w:w="0" w:type="auto"/>
            <w:shd w:val="clear" w:color="auto" w:fill="auto"/>
            <w:vAlign w:val="bottom"/>
          </w:tcPr>
          <w:p w14:paraId="5F2D1DA2" w14:textId="77777777" w:rsidR="00E836FB" w:rsidRDefault="00E836FB">
            <w:pPr>
              <w:rPr>
                <w:rFonts w:ascii="宋体"/>
                <w:vanish/>
              </w:rPr>
            </w:pPr>
          </w:p>
        </w:tc>
        <w:tc>
          <w:tcPr>
            <w:tcW w:w="0" w:type="auto"/>
            <w:gridSpan w:val="3"/>
            <w:shd w:val="clear" w:color="auto" w:fill="auto"/>
            <w:tcMar>
              <w:top w:w="0" w:type="dxa"/>
              <w:left w:w="20" w:type="dxa"/>
              <w:bottom w:w="0" w:type="dxa"/>
              <w:right w:w="20" w:type="dxa"/>
            </w:tcMar>
            <w:vAlign w:val="bottom"/>
          </w:tcPr>
          <w:p w14:paraId="5F2D1D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A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DA7" w14:textId="77777777" w:rsidR="00E836FB" w:rsidRDefault="00E836FB">
            <w:pPr>
              <w:rPr>
                <w:rFonts w:ascii="宋体"/>
              </w:rPr>
            </w:pPr>
          </w:p>
        </w:tc>
      </w:tr>
      <w:tr w:rsidR="00E836FB" w14:paraId="5F2D1DCB" w14:textId="77777777">
        <w:tc>
          <w:tcPr>
            <w:tcW w:w="0" w:type="auto"/>
            <w:gridSpan w:val="3"/>
            <w:shd w:val="clear" w:color="auto" w:fill="CCEEFF"/>
            <w:tcMar>
              <w:top w:w="40" w:type="dxa"/>
              <w:left w:w="380" w:type="dxa"/>
              <w:bottom w:w="40" w:type="dxa"/>
              <w:right w:w="20" w:type="dxa"/>
            </w:tcMar>
            <w:vAlign w:val="bottom"/>
          </w:tcPr>
          <w:p w14:paraId="5F2D1DA9" w14:textId="77777777" w:rsidR="00E836FB" w:rsidRDefault="00994958">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F2D1DA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AB" w14:textId="77777777" w:rsidR="00E836FB" w:rsidRDefault="00994958">
            <w:pPr>
              <w:jc w:val="right"/>
              <w:textAlignment w:val="bottom"/>
            </w:pPr>
            <w:r>
              <w:rPr>
                <w:rFonts w:ascii="Arial" w:eastAsia="宋体" w:hAnsi="Arial" w:cs="Arial"/>
                <w:color w:val="000000"/>
                <w:sz w:val="14"/>
                <w:szCs w:val="14"/>
              </w:rPr>
              <w:t>4,087 </w:t>
            </w:r>
          </w:p>
        </w:tc>
        <w:tc>
          <w:tcPr>
            <w:tcW w:w="0" w:type="auto"/>
            <w:shd w:val="clear" w:color="auto" w:fill="CCEEFF"/>
            <w:tcMar>
              <w:top w:w="40" w:type="dxa"/>
              <w:left w:w="0" w:type="dxa"/>
              <w:bottom w:w="40" w:type="dxa"/>
              <w:right w:w="20" w:type="dxa"/>
            </w:tcMar>
            <w:vAlign w:val="bottom"/>
          </w:tcPr>
          <w:p w14:paraId="5F2D1D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A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DA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A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D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B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DB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B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D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B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DB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B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D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B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DB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B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D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BD" w14:textId="77777777" w:rsidR="00E836FB" w:rsidRDefault="00E836FB">
            <w:pPr>
              <w:rPr>
                <w:rFonts w:ascii="宋体"/>
              </w:rPr>
            </w:pPr>
          </w:p>
        </w:tc>
        <w:tc>
          <w:tcPr>
            <w:tcW w:w="0" w:type="auto"/>
            <w:shd w:val="clear" w:color="auto" w:fill="auto"/>
            <w:vAlign w:val="bottom"/>
          </w:tcPr>
          <w:p w14:paraId="5F2D1DBE" w14:textId="77777777" w:rsidR="00E836FB" w:rsidRDefault="00E836FB">
            <w:pPr>
              <w:rPr>
                <w:rFonts w:ascii="宋体"/>
                <w:vanish/>
              </w:rPr>
            </w:pPr>
          </w:p>
        </w:tc>
        <w:tc>
          <w:tcPr>
            <w:tcW w:w="0" w:type="auto"/>
            <w:shd w:val="clear" w:color="auto" w:fill="auto"/>
            <w:vAlign w:val="bottom"/>
          </w:tcPr>
          <w:p w14:paraId="5F2D1DBF"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D1DC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C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D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C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DC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C5" w14:textId="77777777" w:rsidR="00E836FB" w:rsidRDefault="00994958">
            <w:pPr>
              <w:jc w:val="right"/>
              <w:textAlignment w:val="bottom"/>
            </w:pPr>
            <w:r>
              <w:rPr>
                <w:rFonts w:ascii="Arial" w:eastAsia="宋体" w:hAnsi="Arial" w:cs="Arial"/>
                <w:color w:val="000000"/>
                <w:sz w:val="14"/>
                <w:szCs w:val="14"/>
              </w:rPr>
              <w:t>4,863 </w:t>
            </w:r>
          </w:p>
        </w:tc>
        <w:tc>
          <w:tcPr>
            <w:tcW w:w="0" w:type="auto"/>
            <w:shd w:val="clear" w:color="auto" w:fill="CCEEFF"/>
            <w:tcMar>
              <w:top w:w="40" w:type="dxa"/>
              <w:left w:w="0" w:type="dxa"/>
              <w:bottom w:w="40" w:type="dxa"/>
              <w:right w:w="20" w:type="dxa"/>
            </w:tcMar>
            <w:vAlign w:val="bottom"/>
          </w:tcPr>
          <w:p w14:paraId="5F2D1D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C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DC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DC9" w14:textId="77777777" w:rsidR="00E836FB" w:rsidRDefault="00994958">
            <w:pPr>
              <w:jc w:val="right"/>
              <w:textAlignment w:val="bottom"/>
            </w:pPr>
            <w:r>
              <w:rPr>
                <w:rFonts w:ascii="Arial" w:eastAsia="宋体" w:hAnsi="Arial" w:cs="Arial"/>
                <w:color w:val="000000"/>
                <w:sz w:val="14"/>
                <w:szCs w:val="14"/>
              </w:rPr>
              <w:t>8,950 </w:t>
            </w:r>
          </w:p>
        </w:tc>
        <w:tc>
          <w:tcPr>
            <w:tcW w:w="0" w:type="auto"/>
            <w:shd w:val="clear" w:color="auto" w:fill="CCEEFF"/>
            <w:tcMar>
              <w:top w:w="40" w:type="dxa"/>
              <w:left w:w="0" w:type="dxa"/>
              <w:bottom w:w="40" w:type="dxa"/>
              <w:right w:w="20" w:type="dxa"/>
            </w:tcMar>
            <w:vAlign w:val="bottom"/>
          </w:tcPr>
          <w:p w14:paraId="5F2D1DCA" w14:textId="77777777" w:rsidR="00E836FB" w:rsidRDefault="00E836FB">
            <w:pPr>
              <w:jc w:val="right"/>
              <w:rPr>
                <w:rFonts w:ascii="宋体"/>
              </w:rPr>
            </w:pPr>
          </w:p>
        </w:tc>
      </w:tr>
      <w:tr w:rsidR="00E836FB" w14:paraId="5F2D1DE6" w14:textId="77777777">
        <w:tc>
          <w:tcPr>
            <w:tcW w:w="0" w:type="auto"/>
            <w:gridSpan w:val="3"/>
            <w:shd w:val="clear" w:color="auto" w:fill="FFFFFF"/>
            <w:tcMar>
              <w:top w:w="40" w:type="dxa"/>
              <w:left w:w="380" w:type="dxa"/>
              <w:bottom w:w="40" w:type="dxa"/>
              <w:right w:w="20" w:type="dxa"/>
            </w:tcMar>
            <w:vAlign w:val="bottom"/>
          </w:tcPr>
          <w:p w14:paraId="5F2D1DCC"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1DCD" w14:textId="77777777" w:rsidR="00E836FB" w:rsidRDefault="00994958">
            <w:pPr>
              <w:jc w:val="right"/>
              <w:textAlignment w:val="bottom"/>
            </w:pPr>
            <w:r>
              <w:rPr>
                <w:rFonts w:ascii="Arial" w:eastAsia="宋体" w:hAnsi="Arial" w:cs="Arial"/>
                <w:color w:val="000000"/>
                <w:sz w:val="14"/>
                <w:szCs w:val="14"/>
              </w:rPr>
              <w:t>561 </w:t>
            </w:r>
          </w:p>
        </w:tc>
        <w:tc>
          <w:tcPr>
            <w:tcW w:w="0" w:type="auto"/>
            <w:shd w:val="clear" w:color="auto" w:fill="FFFFFF"/>
            <w:tcMar>
              <w:top w:w="40" w:type="dxa"/>
              <w:left w:w="0" w:type="dxa"/>
              <w:bottom w:w="40" w:type="dxa"/>
              <w:right w:w="20" w:type="dxa"/>
            </w:tcMar>
            <w:vAlign w:val="bottom"/>
          </w:tcPr>
          <w:p w14:paraId="5F2D1D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C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DD0" w14:textId="77777777" w:rsidR="00E836FB" w:rsidRDefault="00994958">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5F2D1DD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D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DD3" w14:textId="77777777" w:rsidR="00E836FB" w:rsidRDefault="00994958">
            <w:pPr>
              <w:jc w:val="right"/>
              <w:textAlignment w:val="bottom"/>
            </w:pPr>
            <w:r>
              <w:rPr>
                <w:rFonts w:ascii="Arial" w:eastAsia="宋体" w:hAnsi="Arial" w:cs="Arial"/>
                <w:color w:val="000000"/>
                <w:sz w:val="14"/>
                <w:szCs w:val="14"/>
              </w:rPr>
              <w:t>264 </w:t>
            </w:r>
          </w:p>
        </w:tc>
        <w:tc>
          <w:tcPr>
            <w:tcW w:w="0" w:type="auto"/>
            <w:shd w:val="clear" w:color="auto" w:fill="FFFFFF"/>
            <w:tcMar>
              <w:top w:w="40" w:type="dxa"/>
              <w:left w:w="0" w:type="dxa"/>
              <w:bottom w:w="40" w:type="dxa"/>
              <w:right w:w="20" w:type="dxa"/>
            </w:tcMar>
            <w:vAlign w:val="bottom"/>
          </w:tcPr>
          <w:p w14:paraId="5F2D1D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D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DD6" w14:textId="77777777" w:rsidR="00E836FB" w:rsidRDefault="00994958">
            <w:pPr>
              <w:jc w:val="right"/>
              <w:textAlignment w:val="bottom"/>
            </w:pPr>
            <w:r>
              <w:rPr>
                <w:rFonts w:ascii="Arial" w:eastAsia="宋体" w:hAnsi="Arial" w:cs="Arial"/>
                <w:color w:val="000000"/>
                <w:sz w:val="14"/>
                <w:szCs w:val="14"/>
              </w:rPr>
              <w:t>204 </w:t>
            </w:r>
          </w:p>
        </w:tc>
        <w:tc>
          <w:tcPr>
            <w:tcW w:w="0" w:type="auto"/>
            <w:shd w:val="clear" w:color="auto" w:fill="FFFFFF"/>
            <w:tcMar>
              <w:top w:w="40" w:type="dxa"/>
              <w:left w:w="0" w:type="dxa"/>
              <w:bottom w:w="40" w:type="dxa"/>
              <w:right w:w="20" w:type="dxa"/>
            </w:tcMar>
            <w:vAlign w:val="bottom"/>
          </w:tcPr>
          <w:p w14:paraId="5F2D1D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D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DD9" w14:textId="77777777" w:rsidR="00E836FB" w:rsidRDefault="00994958">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5F2D1D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DB" w14:textId="77777777" w:rsidR="00E836FB" w:rsidRDefault="00E836FB">
            <w:pPr>
              <w:rPr>
                <w:rFonts w:ascii="宋体"/>
              </w:rPr>
            </w:pPr>
          </w:p>
        </w:tc>
        <w:tc>
          <w:tcPr>
            <w:tcW w:w="0" w:type="auto"/>
            <w:shd w:val="clear" w:color="auto" w:fill="auto"/>
            <w:vAlign w:val="bottom"/>
          </w:tcPr>
          <w:p w14:paraId="5F2D1DDC" w14:textId="77777777" w:rsidR="00E836FB" w:rsidRDefault="00E836FB">
            <w:pPr>
              <w:rPr>
                <w:rFonts w:ascii="宋体"/>
                <w:vanish/>
              </w:rPr>
            </w:pPr>
          </w:p>
        </w:tc>
        <w:tc>
          <w:tcPr>
            <w:tcW w:w="0" w:type="auto"/>
            <w:shd w:val="clear" w:color="auto" w:fill="auto"/>
            <w:vAlign w:val="bottom"/>
          </w:tcPr>
          <w:p w14:paraId="5F2D1DDD"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1DDE" w14:textId="77777777" w:rsidR="00E836FB" w:rsidRDefault="00994958">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F2D1D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DE1" w14:textId="77777777" w:rsidR="00E836FB" w:rsidRDefault="00994958">
            <w:pPr>
              <w:jc w:val="right"/>
              <w:textAlignment w:val="bottom"/>
            </w:pPr>
            <w:r>
              <w:rPr>
                <w:rFonts w:ascii="Arial" w:eastAsia="宋体" w:hAnsi="Arial" w:cs="Arial"/>
                <w:color w:val="000000"/>
                <w:sz w:val="14"/>
                <w:szCs w:val="14"/>
              </w:rPr>
              <w:t>55 </w:t>
            </w:r>
          </w:p>
        </w:tc>
        <w:tc>
          <w:tcPr>
            <w:tcW w:w="0" w:type="auto"/>
            <w:shd w:val="clear" w:color="auto" w:fill="FFFFFF"/>
            <w:tcMar>
              <w:top w:w="40" w:type="dxa"/>
              <w:left w:w="0" w:type="dxa"/>
              <w:bottom w:w="40" w:type="dxa"/>
              <w:right w:w="20" w:type="dxa"/>
            </w:tcMar>
            <w:vAlign w:val="bottom"/>
          </w:tcPr>
          <w:p w14:paraId="5F2D1D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D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1DE4" w14:textId="77777777" w:rsidR="00E836FB" w:rsidRDefault="00994958">
            <w:pPr>
              <w:jc w:val="right"/>
              <w:textAlignment w:val="bottom"/>
            </w:pPr>
            <w:r>
              <w:rPr>
                <w:rFonts w:ascii="Arial" w:eastAsia="宋体" w:hAnsi="Arial" w:cs="Arial"/>
                <w:color w:val="000000"/>
                <w:sz w:val="14"/>
                <w:szCs w:val="14"/>
              </w:rPr>
              <w:t>1,436 </w:t>
            </w:r>
          </w:p>
        </w:tc>
        <w:tc>
          <w:tcPr>
            <w:tcW w:w="0" w:type="auto"/>
            <w:shd w:val="clear" w:color="auto" w:fill="FFFFFF"/>
            <w:tcMar>
              <w:top w:w="40" w:type="dxa"/>
              <w:left w:w="0" w:type="dxa"/>
              <w:bottom w:w="40" w:type="dxa"/>
              <w:right w:w="20" w:type="dxa"/>
            </w:tcMar>
            <w:vAlign w:val="bottom"/>
          </w:tcPr>
          <w:p w14:paraId="5F2D1DE5" w14:textId="77777777" w:rsidR="00E836FB" w:rsidRDefault="00E836FB">
            <w:pPr>
              <w:jc w:val="right"/>
              <w:rPr>
                <w:rFonts w:ascii="宋体"/>
              </w:rPr>
            </w:pPr>
          </w:p>
        </w:tc>
      </w:tr>
      <w:tr w:rsidR="00E836FB" w14:paraId="5F2D1DF9" w14:textId="77777777">
        <w:trPr>
          <w:hidden/>
        </w:trPr>
        <w:tc>
          <w:tcPr>
            <w:tcW w:w="0" w:type="auto"/>
            <w:gridSpan w:val="3"/>
            <w:shd w:val="clear" w:color="auto" w:fill="auto"/>
            <w:vAlign w:val="bottom"/>
          </w:tcPr>
          <w:p w14:paraId="5F2D1DE7" w14:textId="77777777" w:rsidR="00E836FB" w:rsidRDefault="00E836FB">
            <w:pPr>
              <w:rPr>
                <w:rFonts w:ascii="宋体"/>
                <w:vanish/>
              </w:rPr>
            </w:pPr>
          </w:p>
        </w:tc>
        <w:tc>
          <w:tcPr>
            <w:tcW w:w="0" w:type="auto"/>
            <w:gridSpan w:val="3"/>
            <w:shd w:val="clear" w:color="auto" w:fill="auto"/>
            <w:vAlign w:val="bottom"/>
          </w:tcPr>
          <w:p w14:paraId="5F2D1DE8" w14:textId="77777777" w:rsidR="00E836FB" w:rsidRDefault="00E836FB">
            <w:pPr>
              <w:rPr>
                <w:rFonts w:ascii="宋体"/>
                <w:vanish/>
              </w:rPr>
            </w:pPr>
          </w:p>
        </w:tc>
        <w:tc>
          <w:tcPr>
            <w:tcW w:w="0" w:type="auto"/>
            <w:gridSpan w:val="3"/>
            <w:shd w:val="clear" w:color="auto" w:fill="auto"/>
            <w:vAlign w:val="bottom"/>
          </w:tcPr>
          <w:p w14:paraId="5F2D1DE9" w14:textId="77777777" w:rsidR="00E836FB" w:rsidRDefault="00E836FB">
            <w:pPr>
              <w:rPr>
                <w:rFonts w:ascii="宋体"/>
                <w:vanish/>
              </w:rPr>
            </w:pPr>
          </w:p>
        </w:tc>
        <w:tc>
          <w:tcPr>
            <w:tcW w:w="0" w:type="auto"/>
            <w:gridSpan w:val="3"/>
            <w:shd w:val="clear" w:color="auto" w:fill="auto"/>
            <w:vAlign w:val="bottom"/>
          </w:tcPr>
          <w:p w14:paraId="5F2D1DEA" w14:textId="77777777" w:rsidR="00E836FB" w:rsidRDefault="00E836FB">
            <w:pPr>
              <w:rPr>
                <w:rFonts w:ascii="宋体"/>
                <w:vanish/>
              </w:rPr>
            </w:pPr>
          </w:p>
        </w:tc>
        <w:tc>
          <w:tcPr>
            <w:tcW w:w="0" w:type="auto"/>
            <w:gridSpan w:val="3"/>
            <w:shd w:val="clear" w:color="auto" w:fill="auto"/>
            <w:vAlign w:val="bottom"/>
          </w:tcPr>
          <w:p w14:paraId="5F2D1DEB" w14:textId="77777777" w:rsidR="00E836FB" w:rsidRDefault="00E836FB">
            <w:pPr>
              <w:rPr>
                <w:rFonts w:ascii="宋体"/>
                <w:vanish/>
              </w:rPr>
            </w:pPr>
          </w:p>
        </w:tc>
        <w:tc>
          <w:tcPr>
            <w:tcW w:w="0" w:type="auto"/>
            <w:gridSpan w:val="3"/>
            <w:shd w:val="clear" w:color="auto" w:fill="auto"/>
            <w:vAlign w:val="bottom"/>
          </w:tcPr>
          <w:p w14:paraId="5F2D1DEC" w14:textId="77777777" w:rsidR="00E836FB" w:rsidRDefault="00E836FB">
            <w:pPr>
              <w:rPr>
                <w:rFonts w:ascii="宋体"/>
                <w:vanish/>
              </w:rPr>
            </w:pPr>
          </w:p>
        </w:tc>
        <w:tc>
          <w:tcPr>
            <w:tcW w:w="0" w:type="auto"/>
            <w:gridSpan w:val="3"/>
            <w:shd w:val="clear" w:color="auto" w:fill="auto"/>
            <w:vAlign w:val="bottom"/>
          </w:tcPr>
          <w:p w14:paraId="5F2D1DED" w14:textId="77777777" w:rsidR="00E836FB" w:rsidRDefault="00E836FB">
            <w:pPr>
              <w:rPr>
                <w:rFonts w:ascii="宋体"/>
                <w:vanish/>
              </w:rPr>
            </w:pPr>
          </w:p>
        </w:tc>
        <w:tc>
          <w:tcPr>
            <w:tcW w:w="0" w:type="auto"/>
            <w:gridSpan w:val="3"/>
            <w:shd w:val="clear" w:color="auto" w:fill="auto"/>
            <w:vAlign w:val="bottom"/>
          </w:tcPr>
          <w:p w14:paraId="5F2D1DEE" w14:textId="77777777" w:rsidR="00E836FB" w:rsidRDefault="00E836FB">
            <w:pPr>
              <w:rPr>
                <w:rFonts w:ascii="宋体"/>
                <w:vanish/>
              </w:rPr>
            </w:pPr>
          </w:p>
        </w:tc>
        <w:tc>
          <w:tcPr>
            <w:tcW w:w="0" w:type="auto"/>
            <w:gridSpan w:val="3"/>
            <w:shd w:val="clear" w:color="auto" w:fill="auto"/>
            <w:vAlign w:val="bottom"/>
          </w:tcPr>
          <w:p w14:paraId="5F2D1DEF" w14:textId="77777777" w:rsidR="00E836FB" w:rsidRDefault="00E836FB">
            <w:pPr>
              <w:rPr>
                <w:rFonts w:ascii="宋体"/>
                <w:vanish/>
              </w:rPr>
            </w:pPr>
          </w:p>
        </w:tc>
        <w:tc>
          <w:tcPr>
            <w:tcW w:w="0" w:type="auto"/>
            <w:gridSpan w:val="3"/>
            <w:shd w:val="clear" w:color="auto" w:fill="auto"/>
            <w:vAlign w:val="bottom"/>
          </w:tcPr>
          <w:p w14:paraId="5F2D1DF0" w14:textId="77777777" w:rsidR="00E836FB" w:rsidRDefault="00E836FB">
            <w:pPr>
              <w:rPr>
                <w:rFonts w:ascii="宋体"/>
                <w:vanish/>
              </w:rPr>
            </w:pPr>
          </w:p>
        </w:tc>
        <w:tc>
          <w:tcPr>
            <w:tcW w:w="0" w:type="auto"/>
            <w:gridSpan w:val="3"/>
            <w:shd w:val="clear" w:color="auto" w:fill="auto"/>
            <w:vAlign w:val="bottom"/>
          </w:tcPr>
          <w:p w14:paraId="5F2D1DF1" w14:textId="77777777" w:rsidR="00E836FB" w:rsidRDefault="00E836FB">
            <w:pPr>
              <w:rPr>
                <w:rFonts w:ascii="宋体"/>
                <w:vanish/>
              </w:rPr>
            </w:pPr>
          </w:p>
        </w:tc>
        <w:tc>
          <w:tcPr>
            <w:tcW w:w="0" w:type="auto"/>
            <w:shd w:val="clear" w:color="auto" w:fill="auto"/>
            <w:vAlign w:val="bottom"/>
          </w:tcPr>
          <w:p w14:paraId="5F2D1DF2" w14:textId="77777777" w:rsidR="00E836FB" w:rsidRDefault="00E836FB">
            <w:pPr>
              <w:rPr>
                <w:rFonts w:ascii="宋体"/>
                <w:vanish/>
              </w:rPr>
            </w:pPr>
          </w:p>
        </w:tc>
        <w:tc>
          <w:tcPr>
            <w:tcW w:w="0" w:type="auto"/>
            <w:shd w:val="clear" w:color="auto" w:fill="auto"/>
            <w:vAlign w:val="bottom"/>
          </w:tcPr>
          <w:p w14:paraId="5F2D1DF3" w14:textId="77777777" w:rsidR="00E836FB" w:rsidRDefault="00E836FB">
            <w:pPr>
              <w:rPr>
                <w:rFonts w:ascii="宋体"/>
                <w:vanish/>
              </w:rPr>
            </w:pPr>
          </w:p>
        </w:tc>
        <w:tc>
          <w:tcPr>
            <w:tcW w:w="0" w:type="auto"/>
            <w:gridSpan w:val="3"/>
            <w:shd w:val="clear" w:color="auto" w:fill="auto"/>
            <w:vAlign w:val="bottom"/>
          </w:tcPr>
          <w:p w14:paraId="5F2D1DF4" w14:textId="77777777" w:rsidR="00E836FB" w:rsidRDefault="00E836FB">
            <w:pPr>
              <w:rPr>
                <w:rFonts w:ascii="宋体"/>
                <w:vanish/>
              </w:rPr>
            </w:pPr>
          </w:p>
        </w:tc>
        <w:tc>
          <w:tcPr>
            <w:tcW w:w="0" w:type="auto"/>
            <w:gridSpan w:val="3"/>
            <w:shd w:val="clear" w:color="auto" w:fill="auto"/>
            <w:vAlign w:val="bottom"/>
          </w:tcPr>
          <w:p w14:paraId="5F2D1DF5" w14:textId="77777777" w:rsidR="00E836FB" w:rsidRDefault="00E836FB">
            <w:pPr>
              <w:rPr>
                <w:rFonts w:ascii="宋体"/>
                <w:vanish/>
              </w:rPr>
            </w:pPr>
          </w:p>
        </w:tc>
        <w:tc>
          <w:tcPr>
            <w:tcW w:w="0" w:type="auto"/>
            <w:gridSpan w:val="3"/>
            <w:shd w:val="clear" w:color="auto" w:fill="auto"/>
            <w:vAlign w:val="bottom"/>
          </w:tcPr>
          <w:p w14:paraId="5F2D1DF6" w14:textId="77777777" w:rsidR="00E836FB" w:rsidRDefault="00E836FB">
            <w:pPr>
              <w:rPr>
                <w:rFonts w:ascii="宋体"/>
                <w:vanish/>
              </w:rPr>
            </w:pPr>
          </w:p>
        </w:tc>
        <w:tc>
          <w:tcPr>
            <w:tcW w:w="0" w:type="auto"/>
            <w:gridSpan w:val="3"/>
            <w:shd w:val="clear" w:color="auto" w:fill="auto"/>
            <w:vAlign w:val="bottom"/>
          </w:tcPr>
          <w:p w14:paraId="5F2D1DF7" w14:textId="77777777" w:rsidR="00E836FB" w:rsidRDefault="00E836FB">
            <w:pPr>
              <w:rPr>
                <w:rFonts w:ascii="宋体"/>
                <w:vanish/>
              </w:rPr>
            </w:pPr>
          </w:p>
        </w:tc>
        <w:tc>
          <w:tcPr>
            <w:tcW w:w="0" w:type="auto"/>
            <w:gridSpan w:val="3"/>
            <w:shd w:val="clear" w:color="auto" w:fill="auto"/>
            <w:vAlign w:val="bottom"/>
          </w:tcPr>
          <w:p w14:paraId="5F2D1DF8" w14:textId="77777777" w:rsidR="00E836FB" w:rsidRDefault="00E836FB">
            <w:pPr>
              <w:rPr>
                <w:rFonts w:ascii="宋体"/>
                <w:vanish/>
              </w:rPr>
            </w:pPr>
          </w:p>
        </w:tc>
      </w:tr>
      <w:tr w:rsidR="00E836FB" w14:paraId="5F2D1E0F" w14:textId="77777777">
        <w:tc>
          <w:tcPr>
            <w:tcW w:w="0" w:type="auto"/>
            <w:gridSpan w:val="3"/>
            <w:shd w:val="clear" w:color="auto" w:fill="CCEEFF"/>
            <w:tcMar>
              <w:top w:w="40" w:type="dxa"/>
              <w:left w:w="380" w:type="dxa"/>
              <w:bottom w:w="40" w:type="dxa"/>
              <w:right w:w="20" w:type="dxa"/>
            </w:tcMar>
            <w:vAlign w:val="bottom"/>
          </w:tcPr>
          <w:p w14:paraId="5F2D1DFA" w14:textId="77777777" w:rsidR="00E836FB" w:rsidRDefault="00994958">
            <w:pPr>
              <w:textAlignment w:val="bottom"/>
            </w:pPr>
            <w:r>
              <w:rPr>
                <w:rFonts w:ascii="Arial" w:eastAsia="宋体" w:hAnsi="Arial" w:cs="Arial"/>
                <w:color w:val="000000"/>
                <w:sz w:val="14"/>
                <w:szCs w:val="14"/>
              </w:rPr>
              <w:t>Substandard</w:t>
            </w:r>
          </w:p>
        </w:tc>
        <w:tc>
          <w:tcPr>
            <w:tcW w:w="0" w:type="auto"/>
            <w:gridSpan w:val="2"/>
            <w:shd w:val="clear" w:color="auto" w:fill="CCEEFF"/>
            <w:tcMar>
              <w:top w:w="40" w:type="dxa"/>
              <w:left w:w="20" w:type="dxa"/>
              <w:bottom w:w="40" w:type="dxa"/>
              <w:right w:w="0" w:type="dxa"/>
            </w:tcMar>
            <w:vAlign w:val="bottom"/>
          </w:tcPr>
          <w:p w14:paraId="5F2D1DF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1D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DF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DF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DF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E0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E0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E02" w14:textId="77777777" w:rsidR="00E836FB" w:rsidRDefault="00994958">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5F2D1E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E0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E0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E06" w14:textId="77777777" w:rsidR="00E836FB" w:rsidRDefault="00E836FB">
            <w:pPr>
              <w:rPr>
                <w:rFonts w:ascii="宋体"/>
              </w:rPr>
            </w:pPr>
          </w:p>
        </w:tc>
        <w:tc>
          <w:tcPr>
            <w:tcW w:w="0" w:type="auto"/>
            <w:shd w:val="clear" w:color="auto" w:fill="auto"/>
            <w:vAlign w:val="bottom"/>
          </w:tcPr>
          <w:p w14:paraId="5F2D1E07" w14:textId="77777777" w:rsidR="00E836FB" w:rsidRDefault="00E836FB">
            <w:pPr>
              <w:rPr>
                <w:rFonts w:ascii="宋体"/>
                <w:vanish/>
              </w:rPr>
            </w:pPr>
          </w:p>
        </w:tc>
        <w:tc>
          <w:tcPr>
            <w:tcW w:w="0" w:type="auto"/>
            <w:shd w:val="clear" w:color="auto" w:fill="auto"/>
            <w:vAlign w:val="bottom"/>
          </w:tcPr>
          <w:p w14:paraId="5F2D1E08" w14:textId="77777777" w:rsidR="00E836FB" w:rsidRDefault="00E836FB">
            <w:pPr>
              <w:rPr>
                <w:rFonts w:ascii="宋体"/>
                <w:vanish/>
              </w:rPr>
            </w:pPr>
          </w:p>
        </w:tc>
        <w:tc>
          <w:tcPr>
            <w:tcW w:w="0" w:type="auto"/>
            <w:gridSpan w:val="3"/>
            <w:shd w:val="clear" w:color="auto" w:fill="CCEEFF"/>
            <w:tcMar>
              <w:top w:w="0" w:type="dxa"/>
              <w:left w:w="20" w:type="dxa"/>
              <w:bottom w:w="0" w:type="dxa"/>
              <w:right w:w="20" w:type="dxa"/>
            </w:tcMar>
            <w:vAlign w:val="bottom"/>
          </w:tcPr>
          <w:p w14:paraId="5F2D1E0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E0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E0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1E0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1E0D" w14:textId="77777777" w:rsidR="00E836FB" w:rsidRDefault="00994958">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5F2D1E0E" w14:textId="77777777" w:rsidR="00E836FB" w:rsidRDefault="00E836FB">
            <w:pPr>
              <w:jc w:val="right"/>
              <w:rPr>
                <w:rFonts w:ascii="宋体"/>
              </w:rPr>
            </w:pPr>
          </w:p>
        </w:tc>
      </w:tr>
      <w:tr w:rsidR="00E836FB" w14:paraId="5F2D1E22" w14:textId="77777777">
        <w:trPr>
          <w:hidden/>
        </w:trPr>
        <w:tc>
          <w:tcPr>
            <w:tcW w:w="0" w:type="auto"/>
            <w:gridSpan w:val="3"/>
            <w:shd w:val="clear" w:color="auto" w:fill="auto"/>
            <w:vAlign w:val="bottom"/>
          </w:tcPr>
          <w:p w14:paraId="5F2D1E10" w14:textId="77777777" w:rsidR="00E836FB" w:rsidRDefault="00E836FB">
            <w:pPr>
              <w:rPr>
                <w:rFonts w:ascii="宋体"/>
                <w:vanish/>
              </w:rPr>
            </w:pPr>
          </w:p>
        </w:tc>
        <w:tc>
          <w:tcPr>
            <w:tcW w:w="0" w:type="auto"/>
            <w:gridSpan w:val="3"/>
            <w:shd w:val="clear" w:color="auto" w:fill="auto"/>
            <w:vAlign w:val="bottom"/>
          </w:tcPr>
          <w:p w14:paraId="5F2D1E11" w14:textId="77777777" w:rsidR="00E836FB" w:rsidRDefault="00E836FB">
            <w:pPr>
              <w:rPr>
                <w:rFonts w:ascii="宋体"/>
                <w:vanish/>
              </w:rPr>
            </w:pPr>
          </w:p>
        </w:tc>
        <w:tc>
          <w:tcPr>
            <w:tcW w:w="0" w:type="auto"/>
            <w:gridSpan w:val="3"/>
            <w:shd w:val="clear" w:color="auto" w:fill="auto"/>
            <w:vAlign w:val="bottom"/>
          </w:tcPr>
          <w:p w14:paraId="5F2D1E12" w14:textId="77777777" w:rsidR="00E836FB" w:rsidRDefault="00E836FB">
            <w:pPr>
              <w:rPr>
                <w:rFonts w:ascii="宋体"/>
                <w:vanish/>
              </w:rPr>
            </w:pPr>
          </w:p>
        </w:tc>
        <w:tc>
          <w:tcPr>
            <w:tcW w:w="0" w:type="auto"/>
            <w:gridSpan w:val="3"/>
            <w:shd w:val="clear" w:color="auto" w:fill="auto"/>
            <w:vAlign w:val="bottom"/>
          </w:tcPr>
          <w:p w14:paraId="5F2D1E13" w14:textId="77777777" w:rsidR="00E836FB" w:rsidRDefault="00E836FB">
            <w:pPr>
              <w:rPr>
                <w:rFonts w:ascii="宋体"/>
                <w:vanish/>
              </w:rPr>
            </w:pPr>
          </w:p>
        </w:tc>
        <w:tc>
          <w:tcPr>
            <w:tcW w:w="0" w:type="auto"/>
            <w:gridSpan w:val="3"/>
            <w:shd w:val="clear" w:color="auto" w:fill="auto"/>
            <w:vAlign w:val="bottom"/>
          </w:tcPr>
          <w:p w14:paraId="5F2D1E14" w14:textId="77777777" w:rsidR="00E836FB" w:rsidRDefault="00E836FB">
            <w:pPr>
              <w:rPr>
                <w:rFonts w:ascii="宋体"/>
                <w:vanish/>
              </w:rPr>
            </w:pPr>
          </w:p>
        </w:tc>
        <w:tc>
          <w:tcPr>
            <w:tcW w:w="0" w:type="auto"/>
            <w:gridSpan w:val="3"/>
            <w:shd w:val="clear" w:color="auto" w:fill="auto"/>
            <w:vAlign w:val="bottom"/>
          </w:tcPr>
          <w:p w14:paraId="5F2D1E15" w14:textId="77777777" w:rsidR="00E836FB" w:rsidRDefault="00E836FB">
            <w:pPr>
              <w:rPr>
                <w:rFonts w:ascii="宋体"/>
                <w:vanish/>
              </w:rPr>
            </w:pPr>
          </w:p>
        </w:tc>
        <w:tc>
          <w:tcPr>
            <w:tcW w:w="0" w:type="auto"/>
            <w:gridSpan w:val="3"/>
            <w:shd w:val="clear" w:color="auto" w:fill="auto"/>
            <w:vAlign w:val="bottom"/>
          </w:tcPr>
          <w:p w14:paraId="5F2D1E16" w14:textId="77777777" w:rsidR="00E836FB" w:rsidRDefault="00E836FB">
            <w:pPr>
              <w:rPr>
                <w:rFonts w:ascii="宋体"/>
                <w:vanish/>
              </w:rPr>
            </w:pPr>
          </w:p>
        </w:tc>
        <w:tc>
          <w:tcPr>
            <w:tcW w:w="0" w:type="auto"/>
            <w:gridSpan w:val="3"/>
            <w:shd w:val="clear" w:color="auto" w:fill="auto"/>
            <w:vAlign w:val="bottom"/>
          </w:tcPr>
          <w:p w14:paraId="5F2D1E17" w14:textId="77777777" w:rsidR="00E836FB" w:rsidRDefault="00E836FB">
            <w:pPr>
              <w:rPr>
                <w:rFonts w:ascii="宋体"/>
                <w:vanish/>
              </w:rPr>
            </w:pPr>
          </w:p>
        </w:tc>
        <w:tc>
          <w:tcPr>
            <w:tcW w:w="0" w:type="auto"/>
            <w:gridSpan w:val="3"/>
            <w:shd w:val="clear" w:color="auto" w:fill="auto"/>
            <w:vAlign w:val="bottom"/>
          </w:tcPr>
          <w:p w14:paraId="5F2D1E18" w14:textId="77777777" w:rsidR="00E836FB" w:rsidRDefault="00E836FB">
            <w:pPr>
              <w:rPr>
                <w:rFonts w:ascii="宋体"/>
                <w:vanish/>
              </w:rPr>
            </w:pPr>
          </w:p>
        </w:tc>
        <w:tc>
          <w:tcPr>
            <w:tcW w:w="0" w:type="auto"/>
            <w:gridSpan w:val="3"/>
            <w:shd w:val="clear" w:color="auto" w:fill="auto"/>
            <w:vAlign w:val="bottom"/>
          </w:tcPr>
          <w:p w14:paraId="5F2D1E19" w14:textId="77777777" w:rsidR="00E836FB" w:rsidRDefault="00E836FB">
            <w:pPr>
              <w:rPr>
                <w:rFonts w:ascii="宋体"/>
                <w:vanish/>
              </w:rPr>
            </w:pPr>
          </w:p>
        </w:tc>
        <w:tc>
          <w:tcPr>
            <w:tcW w:w="0" w:type="auto"/>
            <w:gridSpan w:val="3"/>
            <w:shd w:val="clear" w:color="auto" w:fill="auto"/>
            <w:vAlign w:val="bottom"/>
          </w:tcPr>
          <w:p w14:paraId="5F2D1E1A" w14:textId="77777777" w:rsidR="00E836FB" w:rsidRDefault="00E836FB">
            <w:pPr>
              <w:rPr>
                <w:rFonts w:ascii="宋体"/>
                <w:vanish/>
              </w:rPr>
            </w:pPr>
          </w:p>
        </w:tc>
        <w:tc>
          <w:tcPr>
            <w:tcW w:w="0" w:type="auto"/>
            <w:shd w:val="clear" w:color="auto" w:fill="auto"/>
            <w:vAlign w:val="bottom"/>
          </w:tcPr>
          <w:p w14:paraId="5F2D1E1B" w14:textId="77777777" w:rsidR="00E836FB" w:rsidRDefault="00E836FB">
            <w:pPr>
              <w:rPr>
                <w:rFonts w:ascii="宋体"/>
                <w:vanish/>
              </w:rPr>
            </w:pPr>
          </w:p>
        </w:tc>
        <w:tc>
          <w:tcPr>
            <w:tcW w:w="0" w:type="auto"/>
            <w:shd w:val="clear" w:color="auto" w:fill="auto"/>
            <w:vAlign w:val="bottom"/>
          </w:tcPr>
          <w:p w14:paraId="5F2D1E1C" w14:textId="77777777" w:rsidR="00E836FB" w:rsidRDefault="00E836FB">
            <w:pPr>
              <w:rPr>
                <w:rFonts w:ascii="宋体"/>
                <w:vanish/>
              </w:rPr>
            </w:pPr>
          </w:p>
        </w:tc>
        <w:tc>
          <w:tcPr>
            <w:tcW w:w="0" w:type="auto"/>
            <w:gridSpan w:val="3"/>
            <w:shd w:val="clear" w:color="auto" w:fill="auto"/>
            <w:vAlign w:val="bottom"/>
          </w:tcPr>
          <w:p w14:paraId="5F2D1E1D" w14:textId="77777777" w:rsidR="00E836FB" w:rsidRDefault="00E836FB">
            <w:pPr>
              <w:rPr>
                <w:rFonts w:ascii="宋体"/>
                <w:vanish/>
              </w:rPr>
            </w:pPr>
          </w:p>
        </w:tc>
        <w:tc>
          <w:tcPr>
            <w:tcW w:w="0" w:type="auto"/>
            <w:gridSpan w:val="3"/>
            <w:shd w:val="clear" w:color="auto" w:fill="auto"/>
            <w:vAlign w:val="bottom"/>
          </w:tcPr>
          <w:p w14:paraId="5F2D1E1E" w14:textId="77777777" w:rsidR="00E836FB" w:rsidRDefault="00E836FB">
            <w:pPr>
              <w:rPr>
                <w:rFonts w:ascii="宋体"/>
                <w:vanish/>
              </w:rPr>
            </w:pPr>
          </w:p>
        </w:tc>
        <w:tc>
          <w:tcPr>
            <w:tcW w:w="0" w:type="auto"/>
            <w:gridSpan w:val="3"/>
            <w:shd w:val="clear" w:color="auto" w:fill="auto"/>
            <w:vAlign w:val="bottom"/>
          </w:tcPr>
          <w:p w14:paraId="5F2D1E1F" w14:textId="77777777" w:rsidR="00E836FB" w:rsidRDefault="00E836FB">
            <w:pPr>
              <w:rPr>
                <w:rFonts w:ascii="宋体"/>
                <w:vanish/>
              </w:rPr>
            </w:pPr>
          </w:p>
        </w:tc>
        <w:tc>
          <w:tcPr>
            <w:tcW w:w="0" w:type="auto"/>
            <w:gridSpan w:val="3"/>
            <w:shd w:val="clear" w:color="auto" w:fill="auto"/>
            <w:vAlign w:val="bottom"/>
          </w:tcPr>
          <w:p w14:paraId="5F2D1E20" w14:textId="77777777" w:rsidR="00E836FB" w:rsidRDefault="00E836FB">
            <w:pPr>
              <w:rPr>
                <w:rFonts w:ascii="宋体"/>
                <w:vanish/>
              </w:rPr>
            </w:pPr>
          </w:p>
        </w:tc>
        <w:tc>
          <w:tcPr>
            <w:tcW w:w="0" w:type="auto"/>
            <w:gridSpan w:val="3"/>
            <w:shd w:val="clear" w:color="auto" w:fill="auto"/>
            <w:vAlign w:val="bottom"/>
          </w:tcPr>
          <w:p w14:paraId="5F2D1E21" w14:textId="77777777" w:rsidR="00E836FB" w:rsidRDefault="00E836FB">
            <w:pPr>
              <w:rPr>
                <w:rFonts w:ascii="宋体"/>
                <w:vanish/>
              </w:rPr>
            </w:pPr>
          </w:p>
        </w:tc>
      </w:tr>
      <w:tr w:rsidR="00E836FB" w14:paraId="5F2D1E35" w14:textId="77777777">
        <w:trPr>
          <w:hidden/>
        </w:trPr>
        <w:tc>
          <w:tcPr>
            <w:tcW w:w="0" w:type="auto"/>
            <w:gridSpan w:val="3"/>
            <w:shd w:val="clear" w:color="auto" w:fill="auto"/>
            <w:vAlign w:val="bottom"/>
          </w:tcPr>
          <w:p w14:paraId="5F2D1E23" w14:textId="77777777" w:rsidR="00E836FB" w:rsidRDefault="00E836FB">
            <w:pPr>
              <w:rPr>
                <w:rFonts w:ascii="宋体"/>
                <w:vanish/>
              </w:rPr>
            </w:pPr>
          </w:p>
        </w:tc>
        <w:tc>
          <w:tcPr>
            <w:tcW w:w="0" w:type="auto"/>
            <w:gridSpan w:val="3"/>
            <w:shd w:val="clear" w:color="auto" w:fill="auto"/>
            <w:vAlign w:val="bottom"/>
          </w:tcPr>
          <w:p w14:paraId="5F2D1E24" w14:textId="77777777" w:rsidR="00E836FB" w:rsidRDefault="00E836FB">
            <w:pPr>
              <w:rPr>
                <w:rFonts w:ascii="宋体"/>
                <w:vanish/>
              </w:rPr>
            </w:pPr>
          </w:p>
        </w:tc>
        <w:tc>
          <w:tcPr>
            <w:tcW w:w="0" w:type="auto"/>
            <w:gridSpan w:val="3"/>
            <w:shd w:val="clear" w:color="auto" w:fill="auto"/>
            <w:vAlign w:val="bottom"/>
          </w:tcPr>
          <w:p w14:paraId="5F2D1E25" w14:textId="77777777" w:rsidR="00E836FB" w:rsidRDefault="00E836FB">
            <w:pPr>
              <w:rPr>
                <w:rFonts w:ascii="宋体"/>
                <w:vanish/>
              </w:rPr>
            </w:pPr>
          </w:p>
        </w:tc>
        <w:tc>
          <w:tcPr>
            <w:tcW w:w="0" w:type="auto"/>
            <w:gridSpan w:val="3"/>
            <w:shd w:val="clear" w:color="auto" w:fill="auto"/>
            <w:vAlign w:val="bottom"/>
          </w:tcPr>
          <w:p w14:paraId="5F2D1E26" w14:textId="77777777" w:rsidR="00E836FB" w:rsidRDefault="00E836FB">
            <w:pPr>
              <w:rPr>
                <w:rFonts w:ascii="宋体"/>
                <w:vanish/>
              </w:rPr>
            </w:pPr>
          </w:p>
        </w:tc>
        <w:tc>
          <w:tcPr>
            <w:tcW w:w="0" w:type="auto"/>
            <w:gridSpan w:val="3"/>
            <w:shd w:val="clear" w:color="auto" w:fill="auto"/>
            <w:vAlign w:val="bottom"/>
          </w:tcPr>
          <w:p w14:paraId="5F2D1E27" w14:textId="77777777" w:rsidR="00E836FB" w:rsidRDefault="00E836FB">
            <w:pPr>
              <w:rPr>
                <w:rFonts w:ascii="宋体"/>
                <w:vanish/>
              </w:rPr>
            </w:pPr>
          </w:p>
        </w:tc>
        <w:tc>
          <w:tcPr>
            <w:tcW w:w="0" w:type="auto"/>
            <w:gridSpan w:val="3"/>
            <w:shd w:val="clear" w:color="auto" w:fill="auto"/>
            <w:vAlign w:val="bottom"/>
          </w:tcPr>
          <w:p w14:paraId="5F2D1E28" w14:textId="77777777" w:rsidR="00E836FB" w:rsidRDefault="00E836FB">
            <w:pPr>
              <w:rPr>
                <w:rFonts w:ascii="宋体"/>
                <w:vanish/>
              </w:rPr>
            </w:pPr>
          </w:p>
        </w:tc>
        <w:tc>
          <w:tcPr>
            <w:tcW w:w="0" w:type="auto"/>
            <w:gridSpan w:val="3"/>
            <w:shd w:val="clear" w:color="auto" w:fill="auto"/>
            <w:vAlign w:val="bottom"/>
          </w:tcPr>
          <w:p w14:paraId="5F2D1E29" w14:textId="77777777" w:rsidR="00E836FB" w:rsidRDefault="00E836FB">
            <w:pPr>
              <w:rPr>
                <w:rFonts w:ascii="宋体"/>
                <w:vanish/>
              </w:rPr>
            </w:pPr>
          </w:p>
        </w:tc>
        <w:tc>
          <w:tcPr>
            <w:tcW w:w="0" w:type="auto"/>
            <w:gridSpan w:val="3"/>
            <w:shd w:val="clear" w:color="auto" w:fill="auto"/>
            <w:vAlign w:val="bottom"/>
          </w:tcPr>
          <w:p w14:paraId="5F2D1E2A" w14:textId="77777777" w:rsidR="00E836FB" w:rsidRDefault="00E836FB">
            <w:pPr>
              <w:rPr>
                <w:rFonts w:ascii="宋体"/>
                <w:vanish/>
              </w:rPr>
            </w:pPr>
          </w:p>
        </w:tc>
        <w:tc>
          <w:tcPr>
            <w:tcW w:w="0" w:type="auto"/>
            <w:gridSpan w:val="3"/>
            <w:shd w:val="clear" w:color="auto" w:fill="auto"/>
            <w:vAlign w:val="bottom"/>
          </w:tcPr>
          <w:p w14:paraId="5F2D1E2B" w14:textId="77777777" w:rsidR="00E836FB" w:rsidRDefault="00E836FB">
            <w:pPr>
              <w:rPr>
                <w:rFonts w:ascii="宋体"/>
                <w:vanish/>
              </w:rPr>
            </w:pPr>
          </w:p>
        </w:tc>
        <w:tc>
          <w:tcPr>
            <w:tcW w:w="0" w:type="auto"/>
            <w:gridSpan w:val="3"/>
            <w:shd w:val="clear" w:color="auto" w:fill="auto"/>
            <w:vAlign w:val="bottom"/>
          </w:tcPr>
          <w:p w14:paraId="5F2D1E2C" w14:textId="77777777" w:rsidR="00E836FB" w:rsidRDefault="00E836FB">
            <w:pPr>
              <w:rPr>
                <w:rFonts w:ascii="宋体"/>
                <w:vanish/>
              </w:rPr>
            </w:pPr>
          </w:p>
        </w:tc>
        <w:tc>
          <w:tcPr>
            <w:tcW w:w="0" w:type="auto"/>
            <w:gridSpan w:val="3"/>
            <w:shd w:val="clear" w:color="auto" w:fill="auto"/>
            <w:vAlign w:val="bottom"/>
          </w:tcPr>
          <w:p w14:paraId="5F2D1E2D" w14:textId="77777777" w:rsidR="00E836FB" w:rsidRDefault="00E836FB">
            <w:pPr>
              <w:rPr>
                <w:rFonts w:ascii="宋体"/>
                <w:vanish/>
              </w:rPr>
            </w:pPr>
          </w:p>
        </w:tc>
        <w:tc>
          <w:tcPr>
            <w:tcW w:w="0" w:type="auto"/>
            <w:shd w:val="clear" w:color="auto" w:fill="auto"/>
            <w:vAlign w:val="bottom"/>
          </w:tcPr>
          <w:p w14:paraId="5F2D1E2E" w14:textId="77777777" w:rsidR="00E836FB" w:rsidRDefault="00E836FB">
            <w:pPr>
              <w:rPr>
                <w:rFonts w:ascii="宋体"/>
                <w:vanish/>
              </w:rPr>
            </w:pPr>
          </w:p>
        </w:tc>
        <w:tc>
          <w:tcPr>
            <w:tcW w:w="0" w:type="auto"/>
            <w:shd w:val="clear" w:color="auto" w:fill="auto"/>
            <w:vAlign w:val="bottom"/>
          </w:tcPr>
          <w:p w14:paraId="5F2D1E2F" w14:textId="77777777" w:rsidR="00E836FB" w:rsidRDefault="00E836FB">
            <w:pPr>
              <w:rPr>
                <w:rFonts w:ascii="宋体"/>
                <w:vanish/>
              </w:rPr>
            </w:pPr>
          </w:p>
        </w:tc>
        <w:tc>
          <w:tcPr>
            <w:tcW w:w="0" w:type="auto"/>
            <w:gridSpan w:val="3"/>
            <w:shd w:val="clear" w:color="auto" w:fill="auto"/>
            <w:vAlign w:val="bottom"/>
          </w:tcPr>
          <w:p w14:paraId="5F2D1E30" w14:textId="77777777" w:rsidR="00E836FB" w:rsidRDefault="00E836FB">
            <w:pPr>
              <w:rPr>
                <w:rFonts w:ascii="宋体"/>
                <w:vanish/>
              </w:rPr>
            </w:pPr>
          </w:p>
        </w:tc>
        <w:tc>
          <w:tcPr>
            <w:tcW w:w="0" w:type="auto"/>
            <w:gridSpan w:val="3"/>
            <w:shd w:val="clear" w:color="auto" w:fill="auto"/>
            <w:vAlign w:val="bottom"/>
          </w:tcPr>
          <w:p w14:paraId="5F2D1E31" w14:textId="77777777" w:rsidR="00E836FB" w:rsidRDefault="00E836FB">
            <w:pPr>
              <w:rPr>
                <w:rFonts w:ascii="宋体"/>
                <w:vanish/>
              </w:rPr>
            </w:pPr>
          </w:p>
        </w:tc>
        <w:tc>
          <w:tcPr>
            <w:tcW w:w="0" w:type="auto"/>
            <w:gridSpan w:val="3"/>
            <w:shd w:val="clear" w:color="auto" w:fill="auto"/>
            <w:vAlign w:val="bottom"/>
          </w:tcPr>
          <w:p w14:paraId="5F2D1E32" w14:textId="77777777" w:rsidR="00E836FB" w:rsidRDefault="00E836FB">
            <w:pPr>
              <w:rPr>
                <w:rFonts w:ascii="宋体"/>
                <w:vanish/>
              </w:rPr>
            </w:pPr>
          </w:p>
        </w:tc>
        <w:tc>
          <w:tcPr>
            <w:tcW w:w="0" w:type="auto"/>
            <w:gridSpan w:val="3"/>
            <w:shd w:val="clear" w:color="auto" w:fill="auto"/>
            <w:vAlign w:val="bottom"/>
          </w:tcPr>
          <w:p w14:paraId="5F2D1E33" w14:textId="77777777" w:rsidR="00E836FB" w:rsidRDefault="00E836FB">
            <w:pPr>
              <w:rPr>
                <w:rFonts w:ascii="宋体"/>
                <w:vanish/>
              </w:rPr>
            </w:pPr>
          </w:p>
        </w:tc>
        <w:tc>
          <w:tcPr>
            <w:tcW w:w="0" w:type="auto"/>
            <w:gridSpan w:val="3"/>
            <w:shd w:val="clear" w:color="auto" w:fill="auto"/>
            <w:vAlign w:val="bottom"/>
          </w:tcPr>
          <w:p w14:paraId="5F2D1E34" w14:textId="77777777" w:rsidR="00E836FB" w:rsidRDefault="00E836FB">
            <w:pPr>
              <w:rPr>
                <w:rFonts w:ascii="宋体"/>
                <w:vanish/>
              </w:rPr>
            </w:pPr>
          </w:p>
        </w:tc>
      </w:tr>
      <w:tr w:rsidR="00E836FB" w14:paraId="5F2D1E58" w14:textId="77777777">
        <w:tc>
          <w:tcPr>
            <w:tcW w:w="0" w:type="auto"/>
            <w:gridSpan w:val="3"/>
            <w:shd w:val="clear" w:color="auto" w:fill="FFFFFF"/>
            <w:tcMar>
              <w:top w:w="40" w:type="dxa"/>
              <w:left w:w="155" w:type="dxa"/>
              <w:bottom w:w="40" w:type="dxa"/>
              <w:right w:w="20" w:type="dxa"/>
            </w:tcMar>
            <w:vAlign w:val="bottom"/>
          </w:tcPr>
          <w:p w14:paraId="5F2D1E36" w14:textId="77777777" w:rsidR="00E836FB" w:rsidRDefault="00994958">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1E3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38" w14:textId="77777777" w:rsidR="00E836FB" w:rsidRDefault="00994958">
            <w:pPr>
              <w:jc w:val="right"/>
              <w:textAlignment w:val="bottom"/>
            </w:pPr>
            <w:r>
              <w:rPr>
                <w:rFonts w:ascii="Arial" w:eastAsia="宋体" w:hAnsi="Arial" w:cs="Arial"/>
                <w:color w:val="000000"/>
                <w:sz w:val="14"/>
                <w:szCs w:val="14"/>
              </w:rPr>
              <w:t>4,648 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E3A"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E3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3C" w14:textId="77777777" w:rsidR="00E836FB" w:rsidRDefault="00994958">
            <w:pPr>
              <w:jc w:val="right"/>
              <w:textAlignment w:val="bottom"/>
            </w:pPr>
            <w:r>
              <w:rPr>
                <w:rFonts w:ascii="Arial" w:eastAsia="宋体" w:hAnsi="Arial" w:cs="Arial"/>
                <w:color w:val="000000"/>
                <w:sz w:val="14"/>
                <w:szCs w:val="14"/>
              </w:rPr>
              <w:t>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E3E"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E3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40" w14:textId="77777777" w:rsidR="00E836FB" w:rsidRDefault="00994958">
            <w:pPr>
              <w:jc w:val="right"/>
              <w:textAlignment w:val="bottom"/>
            </w:pPr>
            <w:r>
              <w:rPr>
                <w:rFonts w:ascii="Arial" w:eastAsia="宋体" w:hAnsi="Arial" w:cs="Arial"/>
                <w:color w:val="000000"/>
                <w:sz w:val="14"/>
                <w:szCs w:val="14"/>
              </w:rPr>
              <w:t>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E42"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E4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44" w14:textId="77777777" w:rsidR="00E836FB" w:rsidRDefault="00994958">
            <w:pPr>
              <w:jc w:val="right"/>
              <w:textAlignment w:val="bottom"/>
            </w:pPr>
            <w:r>
              <w:rPr>
                <w:rFonts w:ascii="Arial" w:eastAsia="宋体" w:hAnsi="Arial" w:cs="Arial"/>
                <w:color w:val="000000"/>
                <w:sz w:val="14"/>
                <w:szCs w:val="14"/>
              </w:rPr>
              <w:t>228 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E46"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E4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48" w14:textId="77777777" w:rsidR="00E836FB" w:rsidRDefault="00994958">
            <w:pPr>
              <w:jc w:val="right"/>
              <w:textAlignment w:val="bottom"/>
            </w:pPr>
            <w:r>
              <w:rPr>
                <w:rFonts w:ascii="Arial" w:eastAsia="宋体" w:hAnsi="Arial" w:cs="Arial"/>
                <w:color w:val="000000"/>
                <w:sz w:val="14"/>
                <w:szCs w:val="14"/>
              </w:rPr>
              <w:t>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4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E4A" w14:textId="77777777" w:rsidR="00E836FB" w:rsidRDefault="00E836FB">
            <w:pPr>
              <w:rPr>
                <w:rFonts w:ascii="宋体"/>
              </w:rPr>
            </w:pPr>
          </w:p>
        </w:tc>
        <w:tc>
          <w:tcPr>
            <w:tcW w:w="0" w:type="auto"/>
            <w:shd w:val="clear" w:color="auto" w:fill="auto"/>
            <w:vAlign w:val="bottom"/>
          </w:tcPr>
          <w:p w14:paraId="5F2D1E4B" w14:textId="77777777" w:rsidR="00E836FB" w:rsidRDefault="00E836FB">
            <w:pPr>
              <w:rPr>
                <w:rFonts w:ascii="宋体"/>
                <w:vanish/>
              </w:rPr>
            </w:pPr>
          </w:p>
        </w:tc>
        <w:tc>
          <w:tcPr>
            <w:tcW w:w="0" w:type="auto"/>
            <w:shd w:val="clear" w:color="auto" w:fill="auto"/>
            <w:vAlign w:val="bottom"/>
          </w:tcPr>
          <w:p w14:paraId="5F2D1E4C" w14:textId="77777777" w:rsidR="00E836FB" w:rsidRDefault="00E836F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E4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4E" w14:textId="77777777" w:rsidR="00E836FB" w:rsidRDefault="00994958">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4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E50"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E5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52" w14:textId="77777777" w:rsidR="00E836FB" w:rsidRDefault="00994958">
            <w:pPr>
              <w:jc w:val="right"/>
              <w:textAlignment w:val="bottom"/>
            </w:pPr>
            <w:r>
              <w:rPr>
                <w:rFonts w:ascii="Arial" w:eastAsia="宋体" w:hAnsi="Arial" w:cs="Arial"/>
                <w:color w:val="000000"/>
                <w:sz w:val="14"/>
                <w:szCs w:val="14"/>
              </w:rPr>
              <w:t>4,918 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1E54"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1E5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1E56" w14:textId="77777777" w:rsidR="00E836FB" w:rsidRDefault="00994958">
            <w:pPr>
              <w:jc w:val="right"/>
              <w:textAlignment w:val="bottom"/>
            </w:pPr>
            <w:r>
              <w:rPr>
                <w:rFonts w:ascii="Arial" w:eastAsia="宋体" w:hAnsi="Arial" w:cs="Arial"/>
                <w:color w:val="000000"/>
                <w:sz w:val="14"/>
                <w:szCs w:val="14"/>
              </w:rPr>
              <w:t>10,410 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1E57" w14:textId="77777777" w:rsidR="00E836FB" w:rsidRDefault="00E836FB">
            <w:pPr>
              <w:jc w:val="right"/>
              <w:rPr>
                <w:rFonts w:ascii="宋体"/>
              </w:rPr>
            </w:pPr>
          </w:p>
        </w:tc>
      </w:tr>
      <w:tr w:rsidR="00E836FB" w14:paraId="5F2D1E6B" w14:textId="77777777">
        <w:trPr>
          <w:trHeight w:val="60"/>
        </w:trPr>
        <w:tc>
          <w:tcPr>
            <w:tcW w:w="0" w:type="auto"/>
            <w:gridSpan w:val="3"/>
            <w:shd w:val="clear" w:color="auto" w:fill="auto"/>
            <w:tcMar>
              <w:top w:w="0" w:type="dxa"/>
              <w:left w:w="20" w:type="dxa"/>
              <w:bottom w:w="0" w:type="dxa"/>
              <w:right w:w="20" w:type="dxa"/>
            </w:tcMar>
            <w:vAlign w:val="bottom"/>
          </w:tcPr>
          <w:p w14:paraId="5F2D1E59"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E5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5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E5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E5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E6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E63" w14:textId="77777777" w:rsidR="00E836FB" w:rsidRDefault="00E836FB">
            <w:pPr>
              <w:rPr>
                <w:rFonts w:ascii="宋体"/>
              </w:rPr>
            </w:pPr>
          </w:p>
        </w:tc>
        <w:tc>
          <w:tcPr>
            <w:tcW w:w="0" w:type="auto"/>
            <w:shd w:val="clear" w:color="auto" w:fill="auto"/>
            <w:vAlign w:val="bottom"/>
          </w:tcPr>
          <w:p w14:paraId="5F2D1E64" w14:textId="77777777" w:rsidR="00E836FB" w:rsidRDefault="00E836FB">
            <w:pPr>
              <w:rPr>
                <w:rFonts w:ascii="宋体"/>
                <w:vanish/>
              </w:rPr>
            </w:pPr>
          </w:p>
        </w:tc>
        <w:tc>
          <w:tcPr>
            <w:tcW w:w="0" w:type="auto"/>
            <w:shd w:val="clear" w:color="auto" w:fill="auto"/>
            <w:vAlign w:val="bottom"/>
          </w:tcPr>
          <w:p w14:paraId="5F2D1E65" w14:textId="77777777" w:rsidR="00E836FB" w:rsidRDefault="00E836F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6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E6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E69"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1E6A" w14:textId="77777777" w:rsidR="00E836FB" w:rsidRDefault="00E836FB">
            <w:pPr>
              <w:rPr>
                <w:rFonts w:ascii="宋体"/>
              </w:rPr>
            </w:pPr>
          </w:p>
        </w:tc>
      </w:tr>
      <w:tr w:rsidR="00E836FB" w14:paraId="5F2D1E7E" w14:textId="77777777">
        <w:trPr>
          <w:hidden/>
        </w:trPr>
        <w:tc>
          <w:tcPr>
            <w:tcW w:w="0" w:type="auto"/>
            <w:gridSpan w:val="3"/>
            <w:shd w:val="clear" w:color="auto" w:fill="auto"/>
            <w:vAlign w:val="bottom"/>
          </w:tcPr>
          <w:p w14:paraId="5F2D1E6C" w14:textId="77777777" w:rsidR="00E836FB" w:rsidRDefault="00E836FB">
            <w:pPr>
              <w:rPr>
                <w:rFonts w:ascii="宋体"/>
                <w:vanish/>
              </w:rPr>
            </w:pPr>
          </w:p>
        </w:tc>
        <w:tc>
          <w:tcPr>
            <w:tcW w:w="0" w:type="auto"/>
            <w:gridSpan w:val="3"/>
            <w:shd w:val="clear" w:color="auto" w:fill="auto"/>
            <w:vAlign w:val="bottom"/>
          </w:tcPr>
          <w:p w14:paraId="5F2D1E6D" w14:textId="77777777" w:rsidR="00E836FB" w:rsidRDefault="00E836FB">
            <w:pPr>
              <w:rPr>
                <w:rFonts w:ascii="宋体"/>
                <w:vanish/>
              </w:rPr>
            </w:pPr>
          </w:p>
        </w:tc>
        <w:tc>
          <w:tcPr>
            <w:tcW w:w="0" w:type="auto"/>
            <w:gridSpan w:val="3"/>
            <w:shd w:val="clear" w:color="auto" w:fill="auto"/>
            <w:vAlign w:val="bottom"/>
          </w:tcPr>
          <w:p w14:paraId="5F2D1E6E" w14:textId="77777777" w:rsidR="00E836FB" w:rsidRDefault="00E836FB">
            <w:pPr>
              <w:rPr>
                <w:rFonts w:ascii="宋体"/>
                <w:vanish/>
              </w:rPr>
            </w:pPr>
          </w:p>
        </w:tc>
        <w:tc>
          <w:tcPr>
            <w:tcW w:w="0" w:type="auto"/>
            <w:gridSpan w:val="3"/>
            <w:shd w:val="clear" w:color="auto" w:fill="auto"/>
            <w:vAlign w:val="bottom"/>
          </w:tcPr>
          <w:p w14:paraId="5F2D1E6F" w14:textId="77777777" w:rsidR="00E836FB" w:rsidRDefault="00E836FB">
            <w:pPr>
              <w:rPr>
                <w:rFonts w:ascii="宋体"/>
                <w:vanish/>
              </w:rPr>
            </w:pPr>
          </w:p>
        </w:tc>
        <w:tc>
          <w:tcPr>
            <w:tcW w:w="0" w:type="auto"/>
            <w:gridSpan w:val="3"/>
            <w:shd w:val="clear" w:color="auto" w:fill="auto"/>
            <w:vAlign w:val="bottom"/>
          </w:tcPr>
          <w:p w14:paraId="5F2D1E70" w14:textId="77777777" w:rsidR="00E836FB" w:rsidRDefault="00E836FB">
            <w:pPr>
              <w:rPr>
                <w:rFonts w:ascii="宋体"/>
                <w:vanish/>
              </w:rPr>
            </w:pPr>
          </w:p>
        </w:tc>
        <w:tc>
          <w:tcPr>
            <w:tcW w:w="0" w:type="auto"/>
            <w:gridSpan w:val="3"/>
            <w:shd w:val="clear" w:color="auto" w:fill="auto"/>
            <w:vAlign w:val="bottom"/>
          </w:tcPr>
          <w:p w14:paraId="5F2D1E71" w14:textId="77777777" w:rsidR="00E836FB" w:rsidRDefault="00E836FB">
            <w:pPr>
              <w:rPr>
                <w:rFonts w:ascii="宋体"/>
                <w:vanish/>
              </w:rPr>
            </w:pPr>
          </w:p>
        </w:tc>
        <w:tc>
          <w:tcPr>
            <w:tcW w:w="0" w:type="auto"/>
            <w:gridSpan w:val="3"/>
            <w:shd w:val="clear" w:color="auto" w:fill="auto"/>
            <w:vAlign w:val="bottom"/>
          </w:tcPr>
          <w:p w14:paraId="5F2D1E72" w14:textId="77777777" w:rsidR="00E836FB" w:rsidRDefault="00E836FB">
            <w:pPr>
              <w:rPr>
                <w:rFonts w:ascii="宋体"/>
                <w:vanish/>
              </w:rPr>
            </w:pPr>
          </w:p>
        </w:tc>
        <w:tc>
          <w:tcPr>
            <w:tcW w:w="0" w:type="auto"/>
            <w:gridSpan w:val="3"/>
            <w:shd w:val="clear" w:color="auto" w:fill="auto"/>
            <w:vAlign w:val="bottom"/>
          </w:tcPr>
          <w:p w14:paraId="5F2D1E73" w14:textId="77777777" w:rsidR="00E836FB" w:rsidRDefault="00E836FB">
            <w:pPr>
              <w:rPr>
                <w:rFonts w:ascii="宋体"/>
                <w:vanish/>
              </w:rPr>
            </w:pPr>
          </w:p>
        </w:tc>
        <w:tc>
          <w:tcPr>
            <w:tcW w:w="0" w:type="auto"/>
            <w:gridSpan w:val="3"/>
            <w:shd w:val="clear" w:color="auto" w:fill="auto"/>
            <w:vAlign w:val="bottom"/>
          </w:tcPr>
          <w:p w14:paraId="5F2D1E74" w14:textId="77777777" w:rsidR="00E836FB" w:rsidRDefault="00E836FB">
            <w:pPr>
              <w:rPr>
                <w:rFonts w:ascii="宋体"/>
                <w:vanish/>
              </w:rPr>
            </w:pPr>
          </w:p>
        </w:tc>
        <w:tc>
          <w:tcPr>
            <w:tcW w:w="0" w:type="auto"/>
            <w:gridSpan w:val="3"/>
            <w:shd w:val="clear" w:color="auto" w:fill="auto"/>
            <w:vAlign w:val="bottom"/>
          </w:tcPr>
          <w:p w14:paraId="5F2D1E75" w14:textId="77777777" w:rsidR="00E836FB" w:rsidRDefault="00E836FB">
            <w:pPr>
              <w:rPr>
                <w:rFonts w:ascii="宋体"/>
                <w:vanish/>
              </w:rPr>
            </w:pPr>
          </w:p>
        </w:tc>
        <w:tc>
          <w:tcPr>
            <w:tcW w:w="0" w:type="auto"/>
            <w:gridSpan w:val="3"/>
            <w:shd w:val="clear" w:color="auto" w:fill="auto"/>
            <w:vAlign w:val="bottom"/>
          </w:tcPr>
          <w:p w14:paraId="5F2D1E76" w14:textId="77777777" w:rsidR="00E836FB" w:rsidRDefault="00E836FB">
            <w:pPr>
              <w:rPr>
                <w:rFonts w:ascii="宋体"/>
                <w:vanish/>
              </w:rPr>
            </w:pPr>
          </w:p>
        </w:tc>
        <w:tc>
          <w:tcPr>
            <w:tcW w:w="0" w:type="auto"/>
            <w:shd w:val="clear" w:color="auto" w:fill="auto"/>
            <w:vAlign w:val="bottom"/>
          </w:tcPr>
          <w:p w14:paraId="5F2D1E77" w14:textId="77777777" w:rsidR="00E836FB" w:rsidRDefault="00E836FB">
            <w:pPr>
              <w:rPr>
                <w:rFonts w:ascii="宋体"/>
                <w:vanish/>
              </w:rPr>
            </w:pPr>
          </w:p>
        </w:tc>
        <w:tc>
          <w:tcPr>
            <w:tcW w:w="0" w:type="auto"/>
            <w:shd w:val="clear" w:color="auto" w:fill="auto"/>
            <w:vAlign w:val="bottom"/>
          </w:tcPr>
          <w:p w14:paraId="5F2D1E78" w14:textId="77777777" w:rsidR="00E836FB" w:rsidRDefault="00E836FB">
            <w:pPr>
              <w:rPr>
                <w:rFonts w:ascii="宋体"/>
                <w:vanish/>
              </w:rPr>
            </w:pPr>
          </w:p>
        </w:tc>
        <w:tc>
          <w:tcPr>
            <w:tcW w:w="0" w:type="auto"/>
            <w:gridSpan w:val="3"/>
            <w:shd w:val="clear" w:color="auto" w:fill="auto"/>
            <w:vAlign w:val="bottom"/>
          </w:tcPr>
          <w:p w14:paraId="5F2D1E79" w14:textId="77777777" w:rsidR="00E836FB" w:rsidRDefault="00E836FB">
            <w:pPr>
              <w:rPr>
                <w:rFonts w:ascii="宋体"/>
                <w:vanish/>
              </w:rPr>
            </w:pPr>
          </w:p>
        </w:tc>
        <w:tc>
          <w:tcPr>
            <w:tcW w:w="0" w:type="auto"/>
            <w:gridSpan w:val="3"/>
            <w:shd w:val="clear" w:color="auto" w:fill="auto"/>
            <w:vAlign w:val="bottom"/>
          </w:tcPr>
          <w:p w14:paraId="5F2D1E7A" w14:textId="77777777" w:rsidR="00E836FB" w:rsidRDefault="00E836FB">
            <w:pPr>
              <w:rPr>
                <w:rFonts w:ascii="宋体"/>
                <w:vanish/>
              </w:rPr>
            </w:pPr>
          </w:p>
        </w:tc>
        <w:tc>
          <w:tcPr>
            <w:tcW w:w="0" w:type="auto"/>
            <w:gridSpan w:val="3"/>
            <w:shd w:val="clear" w:color="auto" w:fill="auto"/>
            <w:vAlign w:val="bottom"/>
          </w:tcPr>
          <w:p w14:paraId="5F2D1E7B" w14:textId="77777777" w:rsidR="00E836FB" w:rsidRDefault="00E836FB">
            <w:pPr>
              <w:rPr>
                <w:rFonts w:ascii="宋体"/>
                <w:vanish/>
              </w:rPr>
            </w:pPr>
          </w:p>
        </w:tc>
        <w:tc>
          <w:tcPr>
            <w:tcW w:w="0" w:type="auto"/>
            <w:gridSpan w:val="3"/>
            <w:shd w:val="clear" w:color="auto" w:fill="auto"/>
            <w:vAlign w:val="bottom"/>
          </w:tcPr>
          <w:p w14:paraId="5F2D1E7C" w14:textId="77777777" w:rsidR="00E836FB" w:rsidRDefault="00E836FB">
            <w:pPr>
              <w:rPr>
                <w:rFonts w:ascii="宋体"/>
                <w:vanish/>
              </w:rPr>
            </w:pPr>
          </w:p>
        </w:tc>
        <w:tc>
          <w:tcPr>
            <w:tcW w:w="0" w:type="auto"/>
            <w:gridSpan w:val="3"/>
            <w:shd w:val="clear" w:color="auto" w:fill="auto"/>
            <w:vAlign w:val="bottom"/>
          </w:tcPr>
          <w:p w14:paraId="5F2D1E7D" w14:textId="77777777" w:rsidR="00E836FB" w:rsidRDefault="00E836FB">
            <w:pPr>
              <w:rPr>
                <w:rFonts w:ascii="宋体"/>
                <w:vanish/>
              </w:rPr>
            </w:pPr>
          </w:p>
        </w:tc>
      </w:tr>
      <w:tr w:rsidR="00E836FB" w14:paraId="5F2D1E91" w14:textId="77777777">
        <w:trPr>
          <w:hidden/>
        </w:trPr>
        <w:tc>
          <w:tcPr>
            <w:tcW w:w="0" w:type="auto"/>
            <w:gridSpan w:val="3"/>
            <w:shd w:val="clear" w:color="auto" w:fill="auto"/>
            <w:vAlign w:val="bottom"/>
          </w:tcPr>
          <w:p w14:paraId="5F2D1E7F" w14:textId="77777777" w:rsidR="00E836FB" w:rsidRDefault="00E836FB">
            <w:pPr>
              <w:rPr>
                <w:rFonts w:ascii="宋体"/>
                <w:vanish/>
              </w:rPr>
            </w:pPr>
          </w:p>
        </w:tc>
        <w:tc>
          <w:tcPr>
            <w:tcW w:w="0" w:type="auto"/>
            <w:gridSpan w:val="3"/>
            <w:shd w:val="clear" w:color="auto" w:fill="auto"/>
            <w:vAlign w:val="bottom"/>
          </w:tcPr>
          <w:p w14:paraId="5F2D1E80" w14:textId="77777777" w:rsidR="00E836FB" w:rsidRDefault="00E836FB">
            <w:pPr>
              <w:rPr>
                <w:rFonts w:ascii="宋体"/>
                <w:vanish/>
              </w:rPr>
            </w:pPr>
          </w:p>
        </w:tc>
        <w:tc>
          <w:tcPr>
            <w:tcW w:w="0" w:type="auto"/>
            <w:gridSpan w:val="3"/>
            <w:shd w:val="clear" w:color="auto" w:fill="auto"/>
            <w:vAlign w:val="bottom"/>
          </w:tcPr>
          <w:p w14:paraId="5F2D1E81" w14:textId="77777777" w:rsidR="00E836FB" w:rsidRDefault="00E836FB">
            <w:pPr>
              <w:rPr>
                <w:rFonts w:ascii="宋体"/>
                <w:vanish/>
              </w:rPr>
            </w:pPr>
          </w:p>
        </w:tc>
        <w:tc>
          <w:tcPr>
            <w:tcW w:w="0" w:type="auto"/>
            <w:gridSpan w:val="3"/>
            <w:shd w:val="clear" w:color="auto" w:fill="auto"/>
            <w:vAlign w:val="bottom"/>
          </w:tcPr>
          <w:p w14:paraId="5F2D1E82" w14:textId="77777777" w:rsidR="00E836FB" w:rsidRDefault="00E836FB">
            <w:pPr>
              <w:rPr>
                <w:rFonts w:ascii="宋体"/>
                <w:vanish/>
              </w:rPr>
            </w:pPr>
          </w:p>
        </w:tc>
        <w:tc>
          <w:tcPr>
            <w:tcW w:w="0" w:type="auto"/>
            <w:gridSpan w:val="3"/>
            <w:shd w:val="clear" w:color="auto" w:fill="auto"/>
            <w:vAlign w:val="bottom"/>
          </w:tcPr>
          <w:p w14:paraId="5F2D1E83" w14:textId="77777777" w:rsidR="00E836FB" w:rsidRDefault="00E836FB">
            <w:pPr>
              <w:rPr>
                <w:rFonts w:ascii="宋体"/>
                <w:vanish/>
              </w:rPr>
            </w:pPr>
          </w:p>
        </w:tc>
        <w:tc>
          <w:tcPr>
            <w:tcW w:w="0" w:type="auto"/>
            <w:gridSpan w:val="3"/>
            <w:shd w:val="clear" w:color="auto" w:fill="auto"/>
            <w:vAlign w:val="bottom"/>
          </w:tcPr>
          <w:p w14:paraId="5F2D1E84" w14:textId="77777777" w:rsidR="00E836FB" w:rsidRDefault="00E836FB">
            <w:pPr>
              <w:rPr>
                <w:rFonts w:ascii="宋体"/>
                <w:vanish/>
              </w:rPr>
            </w:pPr>
          </w:p>
        </w:tc>
        <w:tc>
          <w:tcPr>
            <w:tcW w:w="0" w:type="auto"/>
            <w:gridSpan w:val="3"/>
            <w:shd w:val="clear" w:color="auto" w:fill="auto"/>
            <w:vAlign w:val="bottom"/>
          </w:tcPr>
          <w:p w14:paraId="5F2D1E85" w14:textId="77777777" w:rsidR="00E836FB" w:rsidRDefault="00E836FB">
            <w:pPr>
              <w:rPr>
                <w:rFonts w:ascii="宋体"/>
                <w:vanish/>
              </w:rPr>
            </w:pPr>
          </w:p>
        </w:tc>
        <w:tc>
          <w:tcPr>
            <w:tcW w:w="0" w:type="auto"/>
            <w:gridSpan w:val="3"/>
            <w:shd w:val="clear" w:color="auto" w:fill="auto"/>
            <w:vAlign w:val="bottom"/>
          </w:tcPr>
          <w:p w14:paraId="5F2D1E86" w14:textId="77777777" w:rsidR="00E836FB" w:rsidRDefault="00E836FB">
            <w:pPr>
              <w:rPr>
                <w:rFonts w:ascii="宋体"/>
                <w:vanish/>
              </w:rPr>
            </w:pPr>
          </w:p>
        </w:tc>
        <w:tc>
          <w:tcPr>
            <w:tcW w:w="0" w:type="auto"/>
            <w:gridSpan w:val="3"/>
            <w:shd w:val="clear" w:color="auto" w:fill="auto"/>
            <w:vAlign w:val="bottom"/>
          </w:tcPr>
          <w:p w14:paraId="5F2D1E87" w14:textId="77777777" w:rsidR="00E836FB" w:rsidRDefault="00E836FB">
            <w:pPr>
              <w:rPr>
                <w:rFonts w:ascii="宋体"/>
                <w:vanish/>
              </w:rPr>
            </w:pPr>
          </w:p>
        </w:tc>
        <w:tc>
          <w:tcPr>
            <w:tcW w:w="0" w:type="auto"/>
            <w:gridSpan w:val="3"/>
            <w:shd w:val="clear" w:color="auto" w:fill="auto"/>
            <w:vAlign w:val="bottom"/>
          </w:tcPr>
          <w:p w14:paraId="5F2D1E88" w14:textId="77777777" w:rsidR="00E836FB" w:rsidRDefault="00E836FB">
            <w:pPr>
              <w:rPr>
                <w:rFonts w:ascii="宋体"/>
                <w:vanish/>
              </w:rPr>
            </w:pPr>
          </w:p>
        </w:tc>
        <w:tc>
          <w:tcPr>
            <w:tcW w:w="0" w:type="auto"/>
            <w:gridSpan w:val="3"/>
            <w:shd w:val="clear" w:color="auto" w:fill="auto"/>
            <w:vAlign w:val="bottom"/>
          </w:tcPr>
          <w:p w14:paraId="5F2D1E89" w14:textId="77777777" w:rsidR="00E836FB" w:rsidRDefault="00E836FB">
            <w:pPr>
              <w:rPr>
                <w:rFonts w:ascii="宋体"/>
                <w:vanish/>
              </w:rPr>
            </w:pPr>
          </w:p>
        </w:tc>
        <w:tc>
          <w:tcPr>
            <w:tcW w:w="0" w:type="auto"/>
            <w:shd w:val="clear" w:color="auto" w:fill="auto"/>
            <w:vAlign w:val="bottom"/>
          </w:tcPr>
          <w:p w14:paraId="5F2D1E8A" w14:textId="77777777" w:rsidR="00E836FB" w:rsidRDefault="00E836FB">
            <w:pPr>
              <w:rPr>
                <w:rFonts w:ascii="宋体"/>
                <w:vanish/>
              </w:rPr>
            </w:pPr>
          </w:p>
        </w:tc>
        <w:tc>
          <w:tcPr>
            <w:tcW w:w="0" w:type="auto"/>
            <w:shd w:val="clear" w:color="auto" w:fill="auto"/>
            <w:vAlign w:val="bottom"/>
          </w:tcPr>
          <w:p w14:paraId="5F2D1E8B" w14:textId="77777777" w:rsidR="00E836FB" w:rsidRDefault="00E836FB">
            <w:pPr>
              <w:rPr>
                <w:rFonts w:ascii="宋体"/>
                <w:vanish/>
              </w:rPr>
            </w:pPr>
          </w:p>
        </w:tc>
        <w:tc>
          <w:tcPr>
            <w:tcW w:w="0" w:type="auto"/>
            <w:gridSpan w:val="3"/>
            <w:shd w:val="clear" w:color="auto" w:fill="auto"/>
            <w:vAlign w:val="bottom"/>
          </w:tcPr>
          <w:p w14:paraId="5F2D1E8C" w14:textId="77777777" w:rsidR="00E836FB" w:rsidRDefault="00E836FB">
            <w:pPr>
              <w:rPr>
                <w:rFonts w:ascii="宋体"/>
                <w:vanish/>
              </w:rPr>
            </w:pPr>
          </w:p>
        </w:tc>
        <w:tc>
          <w:tcPr>
            <w:tcW w:w="0" w:type="auto"/>
            <w:gridSpan w:val="3"/>
            <w:shd w:val="clear" w:color="auto" w:fill="auto"/>
            <w:vAlign w:val="bottom"/>
          </w:tcPr>
          <w:p w14:paraId="5F2D1E8D" w14:textId="77777777" w:rsidR="00E836FB" w:rsidRDefault="00E836FB">
            <w:pPr>
              <w:rPr>
                <w:rFonts w:ascii="宋体"/>
                <w:vanish/>
              </w:rPr>
            </w:pPr>
          </w:p>
        </w:tc>
        <w:tc>
          <w:tcPr>
            <w:tcW w:w="0" w:type="auto"/>
            <w:gridSpan w:val="3"/>
            <w:shd w:val="clear" w:color="auto" w:fill="auto"/>
            <w:vAlign w:val="bottom"/>
          </w:tcPr>
          <w:p w14:paraId="5F2D1E8E" w14:textId="77777777" w:rsidR="00E836FB" w:rsidRDefault="00E836FB">
            <w:pPr>
              <w:rPr>
                <w:rFonts w:ascii="宋体"/>
                <w:vanish/>
              </w:rPr>
            </w:pPr>
          </w:p>
        </w:tc>
        <w:tc>
          <w:tcPr>
            <w:tcW w:w="0" w:type="auto"/>
            <w:gridSpan w:val="3"/>
            <w:shd w:val="clear" w:color="auto" w:fill="auto"/>
            <w:vAlign w:val="bottom"/>
          </w:tcPr>
          <w:p w14:paraId="5F2D1E8F" w14:textId="77777777" w:rsidR="00E836FB" w:rsidRDefault="00E836FB">
            <w:pPr>
              <w:rPr>
                <w:rFonts w:ascii="宋体"/>
                <w:vanish/>
              </w:rPr>
            </w:pPr>
          </w:p>
        </w:tc>
        <w:tc>
          <w:tcPr>
            <w:tcW w:w="0" w:type="auto"/>
            <w:gridSpan w:val="3"/>
            <w:shd w:val="clear" w:color="auto" w:fill="auto"/>
            <w:vAlign w:val="bottom"/>
          </w:tcPr>
          <w:p w14:paraId="5F2D1E90" w14:textId="77777777" w:rsidR="00E836FB" w:rsidRDefault="00E836FB">
            <w:pPr>
              <w:rPr>
                <w:rFonts w:ascii="宋体"/>
                <w:vanish/>
              </w:rPr>
            </w:pPr>
          </w:p>
        </w:tc>
      </w:tr>
      <w:tr w:rsidR="00E836FB" w14:paraId="5F2D1EA4" w14:textId="77777777">
        <w:trPr>
          <w:hidden/>
        </w:trPr>
        <w:tc>
          <w:tcPr>
            <w:tcW w:w="0" w:type="auto"/>
            <w:gridSpan w:val="3"/>
            <w:shd w:val="clear" w:color="auto" w:fill="auto"/>
            <w:vAlign w:val="bottom"/>
          </w:tcPr>
          <w:p w14:paraId="5F2D1E92" w14:textId="77777777" w:rsidR="00E836FB" w:rsidRDefault="00E836FB">
            <w:pPr>
              <w:rPr>
                <w:rFonts w:ascii="宋体"/>
                <w:vanish/>
              </w:rPr>
            </w:pPr>
          </w:p>
        </w:tc>
        <w:tc>
          <w:tcPr>
            <w:tcW w:w="0" w:type="auto"/>
            <w:gridSpan w:val="3"/>
            <w:shd w:val="clear" w:color="auto" w:fill="auto"/>
            <w:vAlign w:val="bottom"/>
          </w:tcPr>
          <w:p w14:paraId="5F2D1E93" w14:textId="77777777" w:rsidR="00E836FB" w:rsidRDefault="00E836FB">
            <w:pPr>
              <w:rPr>
                <w:rFonts w:ascii="宋体"/>
                <w:vanish/>
              </w:rPr>
            </w:pPr>
          </w:p>
        </w:tc>
        <w:tc>
          <w:tcPr>
            <w:tcW w:w="0" w:type="auto"/>
            <w:gridSpan w:val="3"/>
            <w:shd w:val="clear" w:color="auto" w:fill="auto"/>
            <w:vAlign w:val="bottom"/>
          </w:tcPr>
          <w:p w14:paraId="5F2D1E94" w14:textId="77777777" w:rsidR="00E836FB" w:rsidRDefault="00E836FB">
            <w:pPr>
              <w:rPr>
                <w:rFonts w:ascii="宋体"/>
                <w:vanish/>
              </w:rPr>
            </w:pPr>
          </w:p>
        </w:tc>
        <w:tc>
          <w:tcPr>
            <w:tcW w:w="0" w:type="auto"/>
            <w:gridSpan w:val="3"/>
            <w:shd w:val="clear" w:color="auto" w:fill="auto"/>
            <w:vAlign w:val="bottom"/>
          </w:tcPr>
          <w:p w14:paraId="5F2D1E95" w14:textId="77777777" w:rsidR="00E836FB" w:rsidRDefault="00E836FB">
            <w:pPr>
              <w:rPr>
                <w:rFonts w:ascii="宋体"/>
                <w:vanish/>
              </w:rPr>
            </w:pPr>
          </w:p>
        </w:tc>
        <w:tc>
          <w:tcPr>
            <w:tcW w:w="0" w:type="auto"/>
            <w:gridSpan w:val="3"/>
            <w:shd w:val="clear" w:color="auto" w:fill="auto"/>
            <w:vAlign w:val="bottom"/>
          </w:tcPr>
          <w:p w14:paraId="5F2D1E96" w14:textId="77777777" w:rsidR="00E836FB" w:rsidRDefault="00E836FB">
            <w:pPr>
              <w:rPr>
                <w:rFonts w:ascii="宋体"/>
                <w:vanish/>
              </w:rPr>
            </w:pPr>
          </w:p>
        </w:tc>
        <w:tc>
          <w:tcPr>
            <w:tcW w:w="0" w:type="auto"/>
            <w:gridSpan w:val="3"/>
            <w:shd w:val="clear" w:color="auto" w:fill="auto"/>
            <w:vAlign w:val="bottom"/>
          </w:tcPr>
          <w:p w14:paraId="5F2D1E97" w14:textId="77777777" w:rsidR="00E836FB" w:rsidRDefault="00E836FB">
            <w:pPr>
              <w:rPr>
                <w:rFonts w:ascii="宋体"/>
                <w:vanish/>
              </w:rPr>
            </w:pPr>
          </w:p>
        </w:tc>
        <w:tc>
          <w:tcPr>
            <w:tcW w:w="0" w:type="auto"/>
            <w:gridSpan w:val="3"/>
            <w:shd w:val="clear" w:color="auto" w:fill="auto"/>
            <w:vAlign w:val="bottom"/>
          </w:tcPr>
          <w:p w14:paraId="5F2D1E98" w14:textId="77777777" w:rsidR="00E836FB" w:rsidRDefault="00E836FB">
            <w:pPr>
              <w:rPr>
                <w:rFonts w:ascii="宋体"/>
                <w:vanish/>
              </w:rPr>
            </w:pPr>
          </w:p>
        </w:tc>
        <w:tc>
          <w:tcPr>
            <w:tcW w:w="0" w:type="auto"/>
            <w:gridSpan w:val="3"/>
            <w:shd w:val="clear" w:color="auto" w:fill="auto"/>
            <w:vAlign w:val="bottom"/>
          </w:tcPr>
          <w:p w14:paraId="5F2D1E99" w14:textId="77777777" w:rsidR="00E836FB" w:rsidRDefault="00E836FB">
            <w:pPr>
              <w:rPr>
                <w:rFonts w:ascii="宋体"/>
                <w:vanish/>
              </w:rPr>
            </w:pPr>
          </w:p>
        </w:tc>
        <w:tc>
          <w:tcPr>
            <w:tcW w:w="0" w:type="auto"/>
            <w:gridSpan w:val="3"/>
            <w:shd w:val="clear" w:color="auto" w:fill="auto"/>
            <w:vAlign w:val="bottom"/>
          </w:tcPr>
          <w:p w14:paraId="5F2D1E9A" w14:textId="77777777" w:rsidR="00E836FB" w:rsidRDefault="00E836FB">
            <w:pPr>
              <w:rPr>
                <w:rFonts w:ascii="宋体"/>
                <w:vanish/>
              </w:rPr>
            </w:pPr>
          </w:p>
        </w:tc>
        <w:tc>
          <w:tcPr>
            <w:tcW w:w="0" w:type="auto"/>
            <w:gridSpan w:val="3"/>
            <w:shd w:val="clear" w:color="auto" w:fill="auto"/>
            <w:vAlign w:val="bottom"/>
          </w:tcPr>
          <w:p w14:paraId="5F2D1E9B" w14:textId="77777777" w:rsidR="00E836FB" w:rsidRDefault="00E836FB">
            <w:pPr>
              <w:rPr>
                <w:rFonts w:ascii="宋体"/>
                <w:vanish/>
              </w:rPr>
            </w:pPr>
          </w:p>
        </w:tc>
        <w:tc>
          <w:tcPr>
            <w:tcW w:w="0" w:type="auto"/>
            <w:gridSpan w:val="3"/>
            <w:shd w:val="clear" w:color="auto" w:fill="auto"/>
            <w:vAlign w:val="bottom"/>
          </w:tcPr>
          <w:p w14:paraId="5F2D1E9C" w14:textId="77777777" w:rsidR="00E836FB" w:rsidRDefault="00E836FB">
            <w:pPr>
              <w:rPr>
                <w:rFonts w:ascii="宋体"/>
                <w:vanish/>
              </w:rPr>
            </w:pPr>
          </w:p>
        </w:tc>
        <w:tc>
          <w:tcPr>
            <w:tcW w:w="0" w:type="auto"/>
            <w:shd w:val="clear" w:color="auto" w:fill="auto"/>
            <w:vAlign w:val="bottom"/>
          </w:tcPr>
          <w:p w14:paraId="5F2D1E9D" w14:textId="77777777" w:rsidR="00E836FB" w:rsidRDefault="00E836FB">
            <w:pPr>
              <w:rPr>
                <w:rFonts w:ascii="宋体"/>
                <w:vanish/>
              </w:rPr>
            </w:pPr>
          </w:p>
        </w:tc>
        <w:tc>
          <w:tcPr>
            <w:tcW w:w="0" w:type="auto"/>
            <w:shd w:val="clear" w:color="auto" w:fill="auto"/>
            <w:vAlign w:val="bottom"/>
          </w:tcPr>
          <w:p w14:paraId="5F2D1E9E" w14:textId="77777777" w:rsidR="00E836FB" w:rsidRDefault="00E836FB">
            <w:pPr>
              <w:rPr>
                <w:rFonts w:ascii="宋体"/>
                <w:vanish/>
              </w:rPr>
            </w:pPr>
          </w:p>
        </w:tc>
        <w:tc>
          <w:tcPr>
            <w:tcW w:w="0" w:type="auto"/>
            <w:gridSpan w:val="3"/>
            <w:shd w:val="clear" w:color="auto" w:fill="auto"/>
            <w:vAlign w:val="bottom"/>
          </w:tcPr>
          <w:p w14:paraId="5F2D1E9F" w14:textId="77777777" w:rsidR="00E836FB" w:rsidRDefault="00E836FB">
            <w:pPr>
              <w:rPr>
                <w:rFonts w:ascii="宋体"/>
                <w:vanish/>
              </w:rPr>
            </w:pPr>
          </w:p>
        </w:tc>
        <w:tc>
          <w:tcPr>
            <w:tcW w:w="0" w:type="auto"/>
            <w:gridSpan w:val="3"/>
            <w:shd w:val="clear" w:color="auto" w:fill="auto"/>
            <w:vAlign w:val="bottom"/>
          </w:tcPr>
          <w:p w14:paraId="5F2D1EA0" w14:textId="77777777" w:rsidR="00E836FB" w:rsidRDefault="00E836FB">
            <w:pPr>
              <w:rPr>
                <w:rFonts w:ascii="宋体"/>
                <w:vanish/>
              </w:rPr>
            </w:pPr>
          </w:p>
        </w:tc>
        <w:tc>
          <w:tcPr>
            <w:tcW w:w="0" w:type="auto"/>
            <w:gridSpan w:val="3"/>
            <w:shd w:val="clear" w:color="auto" w:fill="auto"/>
            <w:vAlign w:val="bottom"/>
          </w:tcPr>
          <w:p w14:paraId="5F2D1EA1" w14:textId="77777777" w:rsidR="00E836FB" w:rsidRDefault="00E836FB">
            <w:pPr>
              <w:rPr>
                <w:rFonts w:ascii="宋体"/>
                <w:vanish/>
              </w:rPr>
            </w:pPr>
          </w:p>
        </w:tc>
        <w:tc>
          <w:tcPr>
            <w:tcW w:w="0" w:type="auto"/>
            <w:gridSpan w:val="3"/>
            <w:shd w:val="clear" w:color="auto" w:fill="auto"/>
            <w:vAlign w:val="bottom"/>
          </w:tcPr>
          <w:p w14:paraId="5F2D1EA2" w14:textId="77777777" w:rsidR="00E836FB" w:rsidRDefault="00E836FB">
            <w:pPr>
              <w:rPr>
                <w:rFonts w:ascii="宋体"/>
                <w:vanish/>
              </w:rPr>
            </w:pPr>
          </w:p>
        </w:tc>
        <w:tc>
          <w:tcPr>
            <w:tcW w:w="0" w:type="auto"/>
            <w:gridSpan w:val="3"/>
            <w:shd w:val="clear" w:color="auto" w:fill="auto"/>
            <w:vAlign w:val="bottom"/>
          </w:tcPr>
          <w:p w14:paraId="5F2D1EA3" w14:textId="77777777" w:rsidR="00E836FB" w:rsidRDefault="00E836FB">
            <w:pPr>
              <w:rPr>
                <w:rFonts w:ascii="宋体"/>
                <w:vanish/>
              </w:rPr>
            </w:pPr>
          </w:p>
        </w:tc>
      </w:tr>
      <w:tr w:rsidR="00E836FB" w14:paraId="5F2D1EB7" w14:textId="77777777">
        <w:trPr>
          <w:hidden/>
        </w:trPr>
        <w:tc>
          <w:tcPr>
            <w:tcW w:w="0" w:type="auto"/>
            <w:gridSpan w:val="3"/>
            <w:shd w:val="clear" w:color="auto" w:fill="auto"/>
            <w:vAlign w:val="bottom"/>
          </w:tcPr>
          <w:p w14:paraId="5F2D1EA5" w14:textId="77777777" w:rsidR="00E836FB" w:rsidRDefault="00E836FB">
            <w:pPr>
              <w:rPr>
                <w:rFonts w:ascii="宋体"/>
                <w:vanish/>
              </w:rPr>
            </w:pPr>
          </w:p>
        </w:tc>
        <w:tc>
          <w:tcPr>
            <w:tcW w:w="0" w:type="auto"/>
            <w:gridSpan w:val="3"/>
            <w:shd w:val="clear" w:color="auto" w:fill="auto"/>
            <w:vAlign w:val="bottom"/>
          </w:tcPr>
          <w:p w14:paraId="5F2D1EA6" w14:textId="77777777" w:rsidR="00E836FB" w:rsidRDefault="00E836FB">
            <w:pPr>
              <w:rPr>
                <w:rFonts w:ascii="宋体"/>
                <w:vanish/>
              </w:rPr>
            </w:pPr>
          </w:p>
        </w:tc>
        <w:tc>
          <w:tcPr>
            <w:tcW w:w="0" w:type="auto"/>
            <w:gridSpan w:val="3"/>
            <w:shd w:val="clear" w:color="auto" w:fill="auto"/>
            <w:vAlign w:val="bottom"/>
          </w:tcPr>
          <w:p w14:paraId="5F2D1EA7" w14:textId="77777777" w:rsidR="00E836FB" w:rsidRDefault="00E836FB">
            <w:pPr>
              <w:rPr>
                <w:rFonts w:ascii="宋体"/>
                <w:vanish/>
              </w:rPr>
            </w:pPr>
          </w:p>
        </w:tc>
        <w:tc>
          <w:tcPr>
            <w:tcW w:w="0" w:type="auto"/>
            <w:gridSpan w:val="3"/>
            <w:shd w:val="clear" w:color="auto" w:fill="auto"/>
            <w:vAlign w:val="bottom"/>
          </w:tcPr>
          <w:p w14:paraId="5F2D1EA8" w14:textId="77777777" w:rsidR="00E836FB" w:rsidRDefault="00E836FB">
            <w:pPr>
              <w:rPr>
                <w:rFonts w:ascii="宋体"/>
                <w:vanish/>
              </w:rPr>
            </w:pPr>
          </w:p>
        </w:tc>
        <w:tc>
          <w:tcPr>
            <w:tcW w:w="0" w:type="auto"/>
            <w:gridSpan w:val="3"/>
            <w:shd w:val="clear" w:color="auto" w:fill="auto"/>
            <w:vAlign w:val="bottom"/>
          </w:tcPr>
          <w:p w14:paraId="5F2D1EA9" w14:textId="77777777" w:rsidR="00E836FB" w:rsidRDefault="00E836FB">
            <w:pPr>
              <w:rPr>
                <w:rFonts w:ascii="宋体"/>
                <w:vanish/>
              </w:rPr>
            </w:pPr>
          </w:p>
        </w:tc>
        <w:tc>
          <w:tcPr>
            <w:tcW w:w="0" w:type="auto"/>
            <w:gridSpan w:val="3"/>
            <w:shd w:val="clear" w:color="auto" w:fill="auto"/>
            <w:vAlign w:val="bottom"/>
          </w:tcPr>
          <w:p w14:paraId="5F2D1EAA" w14:textId="77777777" w:rsidR="00E836FB" w:rsidRDefault="00E836FB">
            <w:pPr>
              <w:rPr>
                <w:rFonts w:ascii="宋体"/>
                <w:vanish/>
              </w:rPr>
            </w:pPr>
          </w:p>
        </w:tc>
        <w:tc>
          <w:tcPr>
            <w:tcW w:w="0" w:type="auto"/>
            <w:gridSpan w:val="3"/>
            <w:shd w:val="clear" w:color="auto" w:fill="auto"/>
            <w:vAlign w:val="bottom"/>
          </w:tcPr>
          <w:p w14:paraId="5F2D1EAB" w14:textId="77777777" w:rsidR="00E836FB" w:rsidRDefault="00E836FB">
            <w:pPr>
              <w:rPr>
                <w:rFonts w:ascii="宋体"/>
                <w:vanish/>
              </w:rPr>
            </w:pPr>
          </w:p>
        </w:tc>
        <w:tc>
          <w:tcPr>
            <w:tcW w:w="0" w:type="auto"/>
            <w:gridSpan w:val="3"/>
            <w:shd w:val="clear" w:color="auto" w:fill="auto"/>
            <w:vAlign w:val="bottom"/>
          </w:tcPr>
          <w:p w14:paraId="5F2D1EAC" w14:textId="77777777" w:rsidR="00E836FB" w:rsidRDefault="00E836FB">
            <w:pPr>
              <w:rPr>
                <w:rFonts w:ascii="宋体"/>
                <w:vanish/>
              </w:rPr>
            </w:pPr>
          </w:p>
        </w:tc>
        <w:tc>
          <w:tcPr>
            <w:tcW w:w="0" w:type="auto"/>
            <w:gridSpan w:val="3"/>
            <w:shd w:val="clear" w:color="auto" w:fill="auto"/>
            <w:vAlign w:val="bottom"/>
          </w:tcPr>
          <w:p w14:paraId="5F2D1EAD" w14:textId="77777777" w:rsidR="00E836FB" w:rsidRDefault="00E836FB">
            <w:pPr>
              <w:rPr>
                <w:rFonts w:ascii="宋体"/>
                <w:vanish/>
              </w:rPr>
            </w:pPr>
          </w:p>
        </w:tc>
        <w:tc>
          <w:tcPr>
            <w:tcW w:w="0" w:type="auto"/>
            <w:gridSpan w:val="3"/>
            <w:shd w:val="clear" w:color="auto" w:fill="auto"/>
            <w:vAlign w:val="bottom"/>
          </w:tcPr>
          <w:p w14:paraId="5F2D1EAE" w14:textId="77777777" w:rsidR="00E836FB" w:rsidRDefault="00E836FB">
            <w:pPr>
              <w:rPr>
                <w:rFonts w:ascii="宋体"/>
                <w:vanish/>
              </w:rPr>
            </w:pPr>
          </w:p>
        </w:tc>
        <w:tc>
          <w:tcPr>
            <w:tcW w:w="0" w:type="auto"/>
            <w:gridSpan w:val="3"/>
            <w:shd w:val="clear" w:color="auto" w:fill="auto"/>
            <w:vAlign w:val="bottom"/>
          </w:tcPr>
          <w:p w14:paraId="5F2D1EAF" w14:textId="77777777" w:rsidR="00E836FB" w:rsidRDefault="00E836FB">
            <w:pPr>
              <w:rPr>
                <w:rFonts w:ascii="宋体"/>
                <w:vanish/>
              </w:rPr>
            </w:pPr>
          </w:p>
        </w:tc>
        <w:tc>
          <w:tcPr>
            <w:tcW w:w="0" w:type="auto"/>
            <w:shd w:val="clear" w:color="auto" w:fill="auto"/>
            <w:vAlign w:val="bottom"/>
          </w:tcPr>
          <w:p w14:paraId="5F2D1EB0" w14:textId="77777777" w:rsidR="00E836FB" w:rsidRDefault="00E836FB">
            <w:pPr>
              <w:rPr>
                <w:rFonts w:ascii="宋体"/>
                <w:vanish/>
              </w:rPr>
            </w:pPr>
          </w:p>
        </w:tc>
        <w:tc>
          <w:tcPr>
            <w:tcW w:w="0" w:type="auto"/>
            <w:shd w:val="clear" w:color="auto" w:fill="auto"/>
            <w:vAlign w:val="bottom"/>
          </w:tcPr>
          <w:p w14:paraId="5F2D1EB1" w14:textId="77777777" w:rsidR="00E836FB" w:rsidRDefault="00E836FB">
            <w:pPr>
              <w:rPr>
                <w:rFonts w:ascii="宋体"/>
                <w:vanish/>
              </w:rPr>
            </w:pPr>
          </w:p>
        </w:tc>
        <w:tc>
          <w:tcPr>
            <w:tcW w:w="0" w:type="auto"/>
            <w:gridSpan w:val="3"/>
            <w:shd w:val="clear" w:color="auto" w:fill="auto"/>
            <w:vAlign w:val="bottom"/>
          </w:tcPr>
          <w:p w14:paraId="5F2D1EB2" w14:textId="77777777" w:rsidR="00E836FB" w:rsidRDefault="00E836FB">
            <w:pPr>
              <w:rPr>
                <w:rFonts w:ascii="宋体"/>
                <w:vanish/>
              </w:rPr>
            </w:pPr>
          </w:p>
        </w:tc>
        <w:tc>
          <w:tcPr>
            <w:tcW w:w="0" w:type="auto"/>
            <w:gridSpan w:val="3"/>
            <w:shd w:val="clear" w:color="auto" w:fill="auto"/>
            <w:vAlign w:val="bottom"/>
          </w:tcPr>
          <w:p w14:paraId="5F2D1EB3" w14:textId="77777777" w:rsidR="00E836FB" w:rsidRDefault="00E836FB">
            <w:pPr>
              <w:rPr>
                <w:rFonts w:ascii="宋体"/>
                <w:vanish/>
              </w:rPr>
            </w:pPr>
          </w:p>
        </w:tc>
        <w:tc>
          <w:tcPr>
            <w:tcW w:w="0" w:type="auto"/>
            <w:gridSpan w:val="3"/>
            <w:shd w:val="clear" w:color="auto" w:fill="auto"/>
            <w:vAlign w:val="bottom"/>
          </w:tcPr>
          <w:p w14:paraId="5F2D1EB4" w14:textId="77777777" w:rsidR="00E836FB" w:rsidRDefault="00E836FB">
            <w:pPr>
              <w:rPr>
                <w:rFonts w:ascii="宋体"/>
                <w:vanish/>
              </w:rPr>
            </w:pPr>
          </w:p>
        </w:tc>
        <w:tc>
          <w:tcPr>
            <w:tcW w:w="0" w:type="auto"/>
            <w:gridSpan w:val="3"/>
            <w:shd w:val="clear" w:color="auto" w:fill="auto"/>
            <w:vAlign w:val="bottom"/>
          </w:tcPr>
          <w:p w14:paraId="5F2D1EB5" w14:textId="77777777" w:rsidR="00E836FB" w:rsidRDefault="00E836FB">
            <w:pPr>
              <w:rPr>
                <w:rFonts w:ascii="宋体"/>
                <w:vanish/>
              </w:rPr>
            </w:pPr>
          </w:p>
        </w:tc>
        <w:tc>
          <w:tcPr>
            <w:tcW w:w="0" w:type="auto"/>
            <w:gridSpan w:val="3"/>
            <w:shd w:val="clear" w:color="auto" w:fill="auto"/>
            <w:vAlign w:val="bottom"/>
          </w:tcPr>
          <w:p w14:paraId="5F2D1EB6" w14:textId="77777777" w:rsidR="00E836FB" w:rsidRDefault="00E836FB">
            <w:pPr>
              <w:rPr>
                <w:rFonts w:ascii="宋体"/>
                <w:vanish/>
              </w:rPr>
            </w:pPr>
          </w:p>
        </w:tc>
      </w:tr>
      <w:tr w:rsidR="00E836FB" w14:paraId="5F2D1ECA" w14:textId="77777777">
        <w:trPr>
          <w:hidden/>
        </w:trPr>
        <w:tc>
          <w:tcPr>
            <w:tcW w:w="0" w:type="auto"/>
            <w:gridSpan w:val="3"/>
            <w:shd w:val="clear" w:color="auto" w:fill="auto"/>
            <w:vAlign w:val="bottom"/>
          </w:tcPr>
          <w:p w14:paraId="5F2D1EB8" w14:textId="77777777" w:rsidR="00E836FB" w:rsidRDefault="00E836FB">
            <w:pPr>
              <w:rPr>
                <w:rFonts w:ascii="宋体"/>
                <w:vanish/>
              </w:rPr>
            </w:pPr>
          </w:p>
        </w:tc>
        <w:tc>
          <w:tcPr>
            <w:tcW w:w="0" w:type="auto"/>
            <w:gridSpan w:val="3"/>
            <w:shd w:val="clear" w:color="auto" w:fill="auto"/>
            <w:vAlign w:val="bottom"/>
          </w:tcPr>
          <w:p w14:paraId="5F2D1EB9" w14:textId="77777777" w:rsidR="00E836FB" w:rsidRDefault="00E836FB">
            <w:pPr>
              <w:rPr>
                <w:rFonts w:ascii="宋体"/>
                <w:vanish/>
              </w:rPr>
            </w:pPr>
          </w:p>
        </w:tc>
        <w:tc>
          <w:tcPr>
            <w:tcW w:w="0" w:type="auto"/>
            <w:gridSpan w:val="3"/>
            <w:shd w:val="clear" w:color="auto" w:fill="auto"/>
            <w:vAlign w:val="bottom"/>
          </w:tcPr>
          <w:p w14:paraId="5F2D1EBA" w14:textId="77777777" w:rsidR="00E836FB" w:rsidRDefault="00E836FB">
            <w:pPr>
              <w:rPr>
                <w:rFonts w:ascii="宋体"/>
                <w:vanish/>
              </w:rPr>
            </w:pPr>
          </w:p>
        </w:tc>
        <w:tc>
          <w:tcPr>
            <w:tcW w:w="0" w:type="auto"/>
            <w:gridSpan w:val="3"/>
            <w:shd w:val="clear" w:color="auto" w:fill="auto"/>
            <w:vAlign w:val="bottom"/>
          </w:tcPr>
          <w:p w14:paraId="5F2D1EBB" w14:textId="77777777" w:rsidR="00E836FB" w:rsidRDefault="00E836FB">
            <w:pPr>
              <w:rPr>
                <w:rFonts w:ascii="宋体"/>
                <w:vanish/>
              </w:rPr>
            </w:pPr>
          </w:p>
        </w:tc>
        <w:tc>
          <w:tcPr>
            <w:tcW w:w="0" w:type="auto"/>
            <w:gridSpan w:val="3"/>
            <w:shd w:val="clear" w:color="auto" w:fill="auto"/>
            <w:vAlign w:val="bottom"/>
          </w:tcPr>
          <w:p w14:paraId="5F2D1EBC" w14:textId="77777777" w:rsidR="00E836FB" w:rsidRDefault="00E836FB">
            <w:pPr>
              <w:rPr>
                <w:rFonts w:ascii="宋体"/>
                <w:vanish/>
              </w:rPr>
            </w:pPr>
          </w:p>
        </w:tc>
        <w:tc>
          <w:tcPr>
            <w:tcW w:w="0" w:type="auto"/>
            <w:gridSpan w:val="3"/>
            <w:shd w:val="clear" w:color="auto" w:fill="auto"/>
            <w:vAlign w:val="bottom"/>
          </w:tcPr>
          <w:p w14:paraId="5F2D1EBD" w14:textId="77777777" w:rsidR="00E836FB" w:rsidRDefault="00E836FB">
            <w:pPr>
              <w:rPr>
                <w:rFonts w:ascii="宋体"/>
                <w:vanish/>
              </w:rPr>
            </w:pPr>
          </w:p>
        </w:tc>
        <w:tc>
          <w:tcPr>
            <w:tcW w:w="0" w:type="auto"/>
            <w:gridSpan w:val="3"/>
            <w:shd w:val="clear" w:color="auto" w:fill="auto"/>
            <w:vAlign w:val="bottom"/>
          </w:tcPr>
          <w:p w14:paraId="5F2D1EBE" w14:textId="77777777" w:rsidR="00E836FB" w:rsidRDefault="00E836FB">
            <w:pPr>
              <w:rPr>
                <w:rFonts w:ascii="宋体"/>
                <w:vanish/>
              </w:rPr>
            </w:pPr>
          </w:p>
        </w:tc>
        <w:tc>
          <w:tcPr>
            <w:tcW w:w="0" w:type="auto"/>
            <w:gridSpan w:val="3"/>
            <w:shd w:val="clear" w:color="auto" w:fill="auto"/>
            <w:vAlign w:val="bottom"/>
          </w:tcPr>
          <w:p w14:paraId="5F2D1EBF" w14:textId="77777777" w:rsidR="00E836FB" w:rsidRDefault="00E836FB">
            <w:pPr>
              <w:rPr>
                <w:rFonts w:ascii="宋体"/>
                <w:vanish/>
              </w:rPr>
            </w:pPr>
          </w:p>
        </w:tc>
        <w:tc>
          <w:tcPr>
            <w:tcW w:w="0" w:type="auto"/>
            <w:gridSpan w:val="3"/>
            <w:shd w:val="clear" w:color="auto" w:fill="auto"/>
            <w:vAlign w:val="bottom"/>
          </w:tcPr>
          <w:p w14:paraId="5F2D1EC0" w14:textId="77777777" w:rsidR="00E836FB" w:rsidRDefault="00E836FB">
            <w:pPr>
              <w:rPr>
                <w:rFonts w:ascii="宋体"/>
                <w:vanish/>
              </w:rPr>
            </w:pPr>
          </w:p>
        </w:tc>
        <w:tc>
          <w:tcPr>
            <w:tcW w:w="0" w:type="auto"/>
            <w:gridSpan w:val="3"/>
            <w:shd w:val="clear" w:color="auto" w:fill="auto"/>
            <w:vAlign w:val="bottom"/>
          </w:tcPr>
          <w:p w14:paraId="5F2D1EC1" w14:textId="77777777" w:rsidR="00E836FB" w:rsidRDefault="00E836FB">
            <w:pPr>
              <w:rPr>
                <w:rFonts w:ascii="宋体"/>
                <w:vanish/>
              </w:rPr>
            </w:pPr>
          </w:p>
        </w:tc>
        <w:tc>
          <w:tcPr>
            <w:tcW w:w="0" w:type="auto"/>
            <w:gridSpan w:val="3"/>
            <w:shd w:val="clear" w:color="auto" w:fill="auto"/>
            <w:vAlign w:val="bottom"/>
          </w:tcPr>
          <w:p w14:paraId="5F2D1EC2" w14:textId="77777777" w:rsidR="00E836FB" w:rsidRDefault="00E836FB">
            <w:pPr>
              <w:rPr>
                <w:rFonts w:ascii="宋体"/>
                <w:vanish/>
              </w:rPr>
            </w:pPr>
          </w:p>
        </w:tc>
        <w:tc>
          <w:tcPr>
            <w:tcW w:w="0" w:type="auto"/>
            <w:shd w:val="clear" w:color="auto" w:fill="auto"/>
            <w:vAlign w:val="bottom"/>
          </w:tcPr>
          <w:p w14:paraId="5F2D1EC3" w14:textId="77777777" w:rsidR="00E836FB" w:rsidRDefault="00E836FB">
            <w:pPr>
              <w:rPr>
                <w:rFonts w:ascii="宋体"/>
                <w:vanish/>
              </w:rPr>
            </w:pPr>
          </w:p>
        </w:tc>
        <w:tc>
          <w:tcPr>
            <w:tcW w:w="0" w:type="auto"/>
            <w:shd w:val="clear" w:color="auto" w:fill="auto"/>
            <w:vAlign w:val="bottom"/>
          </w:tcPr>
          <w:p w14:paraId="5F2D1EC4" w14:textId="77777777" w:rsidR="00E836FB" w:rsidRDefault="00E836FB">
            <w:pPr>
              <w:rPr>
                <w:rFonts w:ascii="宋体"/>
                <w:vanish/>
              </w:rPr>
            </w:pPr>
          </w:p>
        </w:tc>
        <w:tc>
          <w:tcPr>
            <w:tcW w:w="0" w:type="auto"/>
            <w:gridSpan w:val="3"/>
            <w:shd w:val="clear" w:color="auto" w:fill="auto"/>
            <w:vAlign w:val="bottom"/>
          </w:tcPr>
          <w:p w14:paraId="5F2D1EC5" w14:textId="77777777" w:rsidR="00E836FB" w:rsidRDefault="00E836FB">
            <w:pPr>
              <w:rPr>
                <w:rFonts w:ascii="宋体"/>
                <w:vanish/>
              </w:rPr>
            </w:pPr>
          </w:p>
        </w:tc>
        <w:tc>
          <w:tcPr>
            <w:tcW w:w="0" w:type="auto"/>
            <w:gridSpan w:val="3"/>
            <w:shd w:val="clear" w:color="auto" w:fill="auto"/>
            <w:vAlign w:val="bottom"/>
          </w:tcPr>
          <w:p w14:paraId="5F2D1EC6" w14:textId="77777777" w:rsidR="00E836FB" w:rsidRDefault="00E836FB">
            <w:pPr>
              <w:rPr>
                <w:rFonts w:ascii="宋体"/>
                <w:vanish/>
              </w:rPr>
            </w:pPr>
          </w:p>
        </w:tc>
        <w:tc>
          <w:tcPr>
            <w:tcW w:w="0" w:type="auto"/>
            <w:gridSpan w:val="3"/>
            <w:shd w:val="clear" w:color="auto" w:fill="auto"/>
            <w:vAlign w:val="bottom"/>
          </w:tcPr>
          <w:p w14:paraId="5F2D1EC7" w14:textId="77777777" w:rsidR="00E836FB" w:rsidRDefault="00E836FB">
            <w:pPr>
              <w:rPr>
                <w:rFonts w:ascii="宋体"/>
                <w:vanish/>
              </w:rPr>
            </w:pPr>
          </w:p>
        </w:tc>
        <w:tc>
          <w:tcPr>
            <w:tcW w:w="0" w:type="auto"/>
            <w:gridSpan w:val="3"/>
            <w:shd w:val="clear" w:color="auto" w:fill="auto"/>
            <w:vAlign w:val="bottom"/>
          </w:tcPr>
          <w:p w14:paraId="5F2D1EC8" w14:textId="77777777" w:rsidR="00E836FB" w:rsidRDefault="00E836FB">
            <w:pPr>
              <w:rPr>
                <w:rFonts w:ascii="宋体"/>
                <w:vanish/>
              </w:rPr>
            </w:pPr>
          </w:p>
        </w:tc>
        <w:tc>
          <w:tcPr>
            <w:tcW w:w="0" w:type="auto"/>
            <w:gridSpan w:val="3"/>
            <w:shd w:val="clear" w:color="auto" w:fill="auto"/>
            <w:vAlign w:val="bottom"/>
          </w:tcPr>
          <w:p w14:paraId="5F2D1EC9" w14:textId="77777777" w:rsidR="00E836FB" w:rsidRDefault="00E836FB">
            <w:pPr>
              <w:rPr>
                <w:rFonts w:ascii="宋体"/>
                <w:vanish/>
              </w:rPr>
            </w:pPr>
          </w:p>
        </w:tc>
      </w:tr>
      <w:tr w:rsidR="00E836FB" w14:paraId="5F2D1EDD" w14:textId="77777777">
        <w:trPr>
          <w:hidden/>
        </w:trPr>
        <w:tc>
          <w:tcPr>
            <w:tcW w:w="0" w:type="auto"/>
            <w:gridSpan w:val="3"/>
            <w:shd w:val="clear" w:color="auto" w:fill="auto"/>
            <w:vAlign w:val="bottom"/>
          </w:tcPr>
          <w:p w14:paraId="5F2D1ECB" w14:textId="77777777" w:rsidR="00E836FB" w:rsidRDefault="00E836FB">
            <w:pPr>
              <w:rPr>
                <w:rFonts w:ascii="宋体"/>
                <w:vanish/>
              </w:rPr>
            </w:pPr>
          </w:p>
        </w:tc>
        <w:tc>
          <w:tcPr>
            <w:tcW w:w="0" w:type="auto"/>
            <w:gridSpan w:val="3"/>
            <w:shd w:val="clear" w:color="auto" w:fill="auto"/>
            <w:vAlign w:val="bottom"/>
          </w:tcPr>
          <w:p w14:paraId="5F2D1ECC" w14:textId="77777777" w:rsidR="00E836FB" w:rsidRDefault="00E836FB">
            <w:pPr>
              <w:rPr>
                <w:rFonts w:ascii="宋体"/>
                <w:vanish/>
              </w:rPr>
            </w:pPr>
          </w:p>
        </w:tc>
        <w:tc>
          <w:tcPr>
            <w:tcW w:w="0" w:type="auto"/>
            <w:gridSpan w:val="3"/>
            <w:shd w:val="clear" w:color="auto" w:fill="auto"/>
            <w:vAlign w:val="bottom"/>
          </w:tcPr>
          <w:p w14:paraId="5F2D1ECD" w14:textId="77777777" w:rsidR="00E836FB" w:rsidRDefault="00E836FB">
            <w:pPr>
              <w:rPr>
                <w:rFonts w:ascii="宋体"/>
                <w:vanish/>
              </w:rPr>
            </w:pPr>
          </w:p>
        </w:tc>
        <w:tc>
          <w:tcPr>
            <w:tcW w:w="0" w:type="auto"/>
            <w:gridSpan w:val="3"/>
            <w:shd w:val="clear" w:color="auto" w:fill="auto"/>
            <w:vAlign w:val="bottom"/>
          </w:tcPr>
          <w:p w14:paraId="5F2D1ECE" w14:textId="77777777" w:rsidR="00E836FB" w:rsidRDefault="00E836FB">
            <w:pPr>
              <w:rPr>
                <w:rFonts w:ascii="宋体"/>
                <w:vanish/>
              </w:rPr>
            </w:pPr>
          </w:p>
        </w:tc>
        <w:tc>
          <w:tcPr>
            <w:tcW w:w="0" w:type="auto"/>
            <w:gridSpan w:val="3"/>
            <w:shd w:val="clear" w:color="auto" w:fill="auto"/>
            <w:vAlign w:val="bottom"/>
          </w:tcPr>
          <w:p w14:paraId="5F2D1ECF" w14:textId="77777777" w:rsidR="00E836FB" w:rsidRDefault="00E836FB">
            <w:pPr>
              <w:rPr>
                <w:rFonts w:ascii="宋体"/>
                <w:vanish/>
              </w:rPr>
            </w:pPr>
          </w:p>
        </w:tc>
        <w:tc>
          <w:tcPr>
            <w:tcW w:w="0" w:type="auto"/>
            <w:gridSpan w:val="3"/>
            <w:shd w:val="clear" w:color="auto" w:fill="auto"/>
            <w:vAlign w:val="bottom"/>
          </w:tcPr>
          <w:p w14:paraId="5F2D1ED0" w14:textId="77777777" w:rsidR="00E836FB" w:rsidRDefault="00E836FB">
            <w:pPr>
              <w:rPr>
                <w:rFonts w:ascii="宋体"/>
                <w:vanish/>
              </w:rPr>
            </w:pPr>
          </w:p>
        </w:tc>
        <w:tc>
          <w:tcPr>
            <w:tcW w:w="0" w:type="auto"/>
            <w:gridSpan w:val="3"/>
            <w:shd w:val="clear" w:color="auto" w:fill="auto"/>
            <w:vAlign w:val="bottom"/>
          </w:tcPr>
          <w:p w14:paraId="5F2D1ED1" w14:textId="77777777" w:rsidR="00E836FB" w:rsidRDefault="00E836FB">
            <w:pPr>
              <w:rPr>
                <w:rFonts w:ascii="宋体"/>
                <w:vanish/>
              </w:rPr>
            </w:pPr>
          </w:p>
        </w:tc>
        <w:tc>
          <w:tcPr>
            <w:tcW w:w="0" w:type="auto"/>
            <w:gridSpan w:val="3"/>
            <w:shd w:val="clear" w:color="auto" w:fill="auto"/>
            <w:vAlign w:val="bottom"/>
          </w:tcPr>
          <w:p w14:paraId="5F2D1ED2" w14:textId="77777777" w:rsidR="00E836FB" w:rsidRDefault="00E836FB">
            <w:pPr>
              <w:rPr>
                <w:rFonts w:ascii="宋体"/>
                <w:vanish/>
              </w:rPr>
            </w:pPr>
          </w:p>
        </w:tc>
        <w:tc>
          <w:tcPr>
            <w:tcW w:w="0" w:type="auto"/>
            <w:gridSpan w:val="3"/>
            <w:shd w:val="clear" w:color="auto" w:fill="auto"/>
            <w:vAlign w:val="bottom"/>
          </w:tcPr>
          <w:p w14:paraId="5F2D1ED3" w14:textId="77777777" w:rsidR="00E836FB" w:rsidRDefault="00E836FB">
            <w:pPr>
              <w:rPr>
                <w:rFonts w:ascii="宋体"/>
                <w:vanish/>
              </w:rPr>
            </w:pPr>
          </w:p>
        </w:tc>
        <w:tc>
          <w:tcPr>
            <w:tcW w:w="0" w:type="auto"/>
            <w:gridSpan w:val="3"/>
            <w:shd w:val="clear" w:color="auto" w:fill="auto"/>
            <w:vAlign w:val="bottom"/>
          </w:tcPr>
          <w:p w14:paraId="5F2D1ED4" w14:textId="77777777" w:rsidR="00E836FB" w:rsidRDefault="00E836FB">
            <w:pPr>
              <w:rPr>
                <w:rFonts w:ascii="宋体"/>
                <w:vanish/>
              </w:rPr>
            </w:pPr>
          </w:p>
        </w:tc>
        <w:tc>
          <w:tcPr>
            <w:tcW w:w="0" w:type="auto"/>
            <w:gridSpan w:val="3"/>
            <w:shd w:val="clear" w:color="auto" w:fill="auto"/>
            <w:vAlign w:val="bottom"/>
          </w:tcPr>
          <w:p w14:paraId="5F2D1ED5" w14:textId="77777777" w:rsidR="00E836FB" w:rsidRDefault="00E836FB">
            <w:pPr>
              <w:rPr>
                <w:rFonts w:ascii="宋体"/>
                <w:vanish/>
              </w:rPr>
            </w:pPr>
          </w:p>
        </w:tc>
        <w:tc>
          <w:tcPr>
            <w:tcW w:w="0" w:type="auto"/>
            <w:shd w:val="clear" w:color="auto" w:fill="auto"/>
            <w:vAlign w:val="bottom"/>
          </w:tcPr>
          <w:p w14:paraId="5F2D1ED6" w14:textId="77777777" w:rsidR="00E836FB" w:rsidRDefault="00E836FB">
            <w:pPr>
              <w:rPr>
                <w:rFonts w:ascii="宋体"/>
                <w:vanish/>
              </w:rPr>
            </w:pPr>
          </w:p>
        </w:tc>
        <w:tc>
          <w:tcPr>
            <w:tcW w:w="0" w:type="auto"/>
            <w:shd w:val="clear" w:color="auto" w:fill="auto"/>
            <w:vAlign w:val="bottom"/>
          </w:tcPr>
          <w:p w14:paraId="5F2D1ED7" w14:textId="77777777" w:rsidR="00E836FB" w:rsidRDefault="00E836FB">
            <w:pPr>
              <w:rPr>
                <w:rFonts w:ascii="宋体"/>
                <w:vanish/>
              </w:rPr>
            </w:pPr>
          </w:p>
        </w:tc>
        <w:tc>
          <w:tcPr>
            <w:tcW w:w="0" w:type="auto"/>
            <w:gridSpan w:val="3"/>
            <w:shd w:val="clear" w:color="auto" w:fill="auto"/>
            <w:vAlign w:val="bottom"/>
          </w:tcPr>
          <w:p w14:paraId="5F2D1ED8" w14:textId="77777777" w:rsidR="00E836FB" w:rsidRDefault="00E836FB">
            <w:pPr>
              <w:rPr>
                <w:rFonts w:ascii="宋体"/>
                <w:vanish/>
              </w:rPr>
            </w:pPr>
          </w:p>
        </w:tc>
        <w:tc>
          <w:tcPr>
            <w:tcW w:w="0" w:type="auto"/>
            <w:gridSpan w:val="3"/>
            <w:shd w:val="clear" w:color="auto" w:fill="auto"/>
            <w:vAlign w:val="bottom"/>
          </w:tcPr>
          <w:p w14:paraId="5F2D1ED9" w14:textId="77777777" w:rsidR="00E836FB" w:rsidRDefault="00E836FB">
            <w:pPr>
              <w:rPr>
                <w:rFonts w:ascii="宋体"/>
                <w:vanish/>
              </w:rPr>
            </w:pPr>
          </w:p>
        </w:tc>
        <w:tc>
          <w:tcPr>
            <w:tcW w:w="0" w:type="auto"/>
            <w:gridSpan w:val="3"/>
            <w:shd w:val="clear" w:color="auto" w:fill="auto"/>
            <w:vAlign w:val="bottom"/>
          </w:tcPr>
          <w:p w14:paraId="5F2D1EDA" w14:textId="77777777" w:rsidR="00E836FB" w:rsidRDefault="00E836FB">
            <w:pPr>
              <w:rPr>
                <w:rFonts w:ascii="宋体"/>
                <w:vanish/>
              </w:rPr>
            </w:pPr>
          </w:p>
        </w:tc>
        <w:tc>
          <w:tcPr>
            <w:tcW w:w="0" w:type="auto"/>
            <w:gridSpan w:val="3"/>
            <w:shd w:val="clear" w:color="auto" w:fill="auto"/>
            <w:vAlign w:val="bottom"/>
          </w:tcPr>
          <w:p w14:paraId="5F2D1EDB" w14:textId="77777777" w:rsidR="00E836FB" w:rsidRDefault="00E836FB">
            <w:pPr>
              <w:rPr>
                <w:rFonts w:ascii="宋体"/>
                <w:vanish/>
              </w:rPr>
            </w:pPr>
          </w:p>
        </w:tc>
        <w:tc>
          <w:tcPr>
            <w:tcW w:w="0" w:type="auto"/>
            <w:gridSpan w:val="3"/>
            <w:shd w:val="clear" w:color="auto" w:fill="auto"/>
            <w:vAlign w:val="bottom"/>
          </w:tcPr>
          <w:p w14:paraId="5F2D1EDC" w14:textId="77777777" w:rsidR="00E836FB" w:rsidRDefault="00E836FB">
            <w:pPr>
              <w:rPr>
                <w:rFonts w:ascii="宋体"/>
                <w:vanish/>
              </w:rPr>
            </w:pPr>
          </w:p>
        </w:tc>
      </w:tr>
      <w:tr w:rsidR="00E836FB" w14:paraId="5F2D1EF0" w14:textId="77777777">
        <w:trPr>
          <w:hidden/>
        </w:trPr>
        <w:tc>
          <w:tcPr>
            <w:tcW w:w="0" w:type="auto"/>
            <w:gridSpan w:val="3"/>
            <w:shd w:val="clear" w:color="auto" w:fill="auto"/>
            <w:vAlign w:val="bottom"/>
          </w:tcPr>
          <w:p w14:paraId="5F2D1EDE" w14:textId="77777777" w:rsidR="00E836FB" w:rsidRDefault="00E836FB">
            <w:pPr>
              <w:rPr>
                <w:rFonts w:ascii="宋体"/>
                <w:vanish/>
              </w:rPr>
            </w:pPr>
          </w:p>
        </w:tc>
        <w:tc>
          <w:tcPr>
            <w:tcW w:w="0" w:type="auto"/>
            <w:gridSpan w:val="3"/>
            <w:shd w:val="clear" w:color="auto" w:fill="auto"/>
            <w:vAlign w:val="bottom"/>
          </w:tcPr>
          <w:p w14:paraId="5F2D1EDF" w14:textId="77777777" w:rsidR="00E836FB" w:rsidRDefault="00E836FB">
            <w:pPr>
              <w:rPr>
                <w:rFonts w:ascii="宋体"/>
                <w:vanish/>
              </w:rPr>
            </w:pPr>
          </w:p>
        </w:tc>
        <w:tc>
          <w:tcPr>
            <w:tcW w:w="0" w:type="auto"/>
            <w:gridSpan w:val="3"/>
            <w:shd w:val="clear" w:color="auto" w:fill="auto"/>
            <w:vAlign w:val="bottom"/>
          </w:tcPr>
          <w:p w14:paraId="5F2D1EE0" w14:textId="77777777" w:rsidR="00E836FB" w:rsidRDefault="00E836FB">
            <w:pPr>
              <w:rPr>
                <w:rFonts w:ascii="宋体"/>
                <w:vanish/>
              </w:rPr>
            </w:pPr>
          </w:p>
        </w:tc>
        <w:tc>
          <w:tcPr>
            <w:tcW w:w="0" w:type="auto"/>
            <w:gridSpan w:val="3"/>
            <w:shd w:val="clear" w:color="auto" w:fill="auto"/>
            <w:vAlign w:val="bottom"/>
          </w:tcPr>
          <w:p w14:paraId="5F2D1EE1" w14:textId="77777777" w:rsidR="00E836FB" w:rsidRDefault="00E836FB">
            <w:pPr>
              <w:rPr>
                <w:rFonts w:ascii="宋体"/>
                <w:vanish/>
              </w:rPr>
            </w:pPr>
          </w:p>
        </w:tc>
        <w:tc>
          <w:tcPr>
            <w:tcW w:w="0" w:type="auto"/>
            <w:gridSpan w:val="3"/>
            <w:shd w:val="clear" w:color="auto" w:fill="auto"/>
            <w:vAlign w:val="bottom"/>
          </w:tcPr>
          <w:p w14:paraId="5F2D1EE2" w14:textId="77777777" w:rsidR="00E836FB" w:rsidRDefault="00E836FB">
            <w:pPr>
              <w:rPr>
                <w:rFonts w:ascii="宋体"/>
                <w:vanish/>
              </w:rPr>
            </w:pPr>
          </w:p>
        </w:tc>
        <w:tc>
          <w:tcPr>
            <w:tcW w:w="0" w:type="auto"/>
            <w:gridSpan w:val="3"/>
            <w:shd w:val="clear" w:color="auto" w:fill="auto"/>
            <w:vAlign w:val="bottom"/>
          </w:tcPr>
          <w:p w14:paraId="5F2D1EE3" w14:textId="77777777" w:rsidR="00E836FB" w:rsidRDefault="00E836FB">
            <w:pPr>
              <w:rPr>
                <w:rFonts w:ascii="宋体"/>
                <w:vanish/>
              </w:rPr>
            </w:pPr>
          </w:p>
        </w:tc>
        <w:tc>
          <w:tcPr>
            <w:tcW w:w="0" w:type="auto"/>
            <w:gridSpan w:val="3"/>
            <w:shd w:val="clear" w:color="auto" w:fill="auto"/>
            <w:vAlign w:val="bottom"/>
          </w:tcPr>
          <w:p w14:paraId="5F2D1EE4" w14:textId="77777777" w:rsidR="00E836FB" w:rsidRDefault="00E836FB">
            <w:pPr>
              <w:rPr>
                <w:rFonts w:ascii="宋体"/>
                <w:vanish/>
              </w:rPr>
            </w:pPr>
          </w:p>
        </w:tc>
        <w:tc>
          <w:tcPr>
            <w:tcW w:w="0" w:type="auto"/>
            <w:gridSpan w:val="3"/>
            <w:shd w:val="clear" w:color="auto" w:fill="auto"/>
            <w:vAlign w:val="bottom"/>
          </w:tcPr>
          <w:p w14:paraId="5F2D1EE5" w14:textId="77777777" w:rsidR="00E836FB" w:rsidRDefault="00E836FB">
            <w:pPr>
              <w:rPr>
                <w:rFonts w:ascii="宋体"/>
                <w:vanish/>
              </w:rPr>
            </w:pPr>
          </w:p>
        </w:tc>
        <w:tc>
          <w:tcPr>
            <w:tcW w:w="0" w:type="auto"/>
            <w:gridSpan w:val="3"/>
            <w:shd w:val="clear" w:color="auto" w:fill="auto"/>
            <w:vAlign w:val="bottom"/>
          </w:tcPr>
          <w:p w14:paraId="5F2D1EE6" w14:textId="77777777" w:rsidR="00E836FB" w:rsidRDefault="00E836FB">
            <w:pPr>
              <w:rPr>
                <w:rFonts w:ascii="宋体"/>
                <w:vanish/>
              </w:rPr>
            </w:pPr>
          </w:p>
        </w:tc>
        <w:tc>
          <w:tcPr>
            <w:tcW w:w="0" w:type="auto"/>
            <w:gridSpan w:val="3"/>
            <w:shd w:val="clear" w:color="auto" w:fill="auto"/>
            <w:vAlign w:val="bottom"/>
          </w:tcPr>
          <w:p w14:paraId="5F2D1EE7" w14:textId="77777777" w:rsidR="00E836FB" w:rsidRDefault="00E836FB">
            <w:pPr>
              <w:rPr>
                <w:rFonts w:ascii="宋体"/>
                <w:vanish/>
              </w:rPr>
            </w:pPr>
          </w:p>
        </w:tc>
        <w:tc>
          <w:tcPr>
            <w:tcW w:w="0" w:type="auto"/>
            <w:gridSpan w:val="3"/>
            <w:shd w:val="clear" w:color="auto" w:fill="auto"/>
            <w:vAlign w:val="bottom"/>
          </w:tcPr>
          <w:p w14:paraId="5F2D1EE8" w14:textId="77777777" w:rsidR="00E836FB" w:rsidRDefault="00E836FB">
            <w:pPr>
              <w:rPr>
                <w:rFonts w:ascii="宋体"/>
                <w:vanish/>
              </w:rPr>
            </w:pPr>
          </w:p>
        </w:tc>
        <w:tc>
          <w:tcPr>
            <w:tcW w:w="0" w:type="auto"/>
            <w:shd w:val="clear" w:color="auto" w:fill="auto"/>
            <w:vAlign w:val="bottom"/>
          </w:tcPr>
          <w:p w14:paraId="5F2D1EE9" w14:textId="77777777" w:rsidR="00E836FB" w:rsidRDefault="00E836FB">
            <w:pPr>
              <w:rPr>
                <w:rFonts w:ascii="宋体"/>
                <w:vanish/>
              </w:rPr>
            </w:pPr>
          </w:p>
        </w:tc>
        <w:tc>
          <w:tcPr>
            <w:tcW w:w="0" w:type="auto"/>
            <w:shd w:val="clear" w:color="auto" w:fill="auto"/>
            <w:vAlign w:val="bottom"/>
          </w:tcPr>
          <w:p w14:paraId="5F2D1EEA" w14:textId="77777777" w:rsidR="00E836FB" w:rsidRDefault="00E836FB">
            <w:pPr>
              <w:rPr>
                <w:rFonts w:ascii="宋体"/>
                <w:vanish/>
              </w:rPr>
            </w:pPr>
          </w:p>
        </w:tc>
        <w:tc>
          <w:tcPr>
            <w:tcW w:w="0" w:type="auto"/>
            <w:gridSpan w:val="3"/>
            <w:shd w:val="clear" w:color="auto" w:fill="auto"/>
            <w:vAlign w:val="bottom"/>
          </w:tcPr>
          <w:p w14:paraId="5F2D1EEB" w14:textId="77777777" w:rsidR="00E836FB" w:rsidRDefault="00E836FB">
            <w:pPr>
              <w:rPr>
                <w:rFonts w:ascii="宋体"/>
                <w:vanish/>
              </w:rPr>
            </w:pPr>
          </w:p>
        </w:tc>
        <w:tc>
          <w:tcPr>
            <w:tcW w:w="0" w:type="auto"/>
            <w:gridSpan w:val="3"/>
            <w:shd w:val="clear" w:color="auto" w:fill="auto"/>
            <w:vAlign w:val="bottom"/>
          </w:tcPr>
          <w:p w14:paraId="5F2D1EEC" w14:textId="77777777" w:rsidR="00E836FB" w:rsidRDefault="00E836FB">
            <w:pPr>
              <w:rPr>
                <w:rFonts w:ascii="宋体"/>
                <w:vanish/>
              </w:rPr>
            </w:pPr>
          </w:p>
        </w:tc>
        <w:tc>
          <w:tcPr>
            <w:tcW w:w="0" w:type="auto"/>
            <w:gridSpan w:val="3"/>
            <w:shd w:val="clear" w:color="auto" w:fill="auto"/>
            <w:vAlign w:val="bottom"/>
          </w:tcPr>
          <w:p w14:paraId="5F2D1EED" w14:textId="77777777" w:rsidR="00E836FB" w:rsidRDefault="00E836FB">
            <w:pPr>
              <w:rPr>
                <w:rFonts w:ascii="宋体"/>
                <w:vanish/>
              </w:rPr>
            </w:pPr>
          </w:p>
        </w:tc>
        <w:tc>
          <w:tcPr>
            <w:tcW w:w="0" w:type="auto"/>
            <w:gridSpan w:val="3"/>
            <w:shd w:val="clear" w:color="auto" w:fill="auto"/>
            <w:vAlign w:val="bottom"/>
          </w:tcPr>
          <w:p w14:paraId="5F2D1EEE" w14:textId="77777777" w:rsidR="00E836FB" w:rsidRDefault="00E836FB">
            <w:pPr>
              <w:rPr>
                <w:rFonts w:ascii="宋体"/>
                <w:vanish/>
              </w:rPr>
            </w:pPr>
          </w:p>
        </w:tc>
        <w:tc>
          <w:tcPr>
            <w:tcW w:w="0" w:type="auto"/>
            <w:gridSpan w:val="3"/>
            <w:shd w:val="clear" w:color="auto" w:fill="auto"/>
            <w:vAlign w:val="bottom"/>
          </w:tcPr>
          <w:p w14:paraId="5F2D1EEF" w14:textId="77777777" w:rsidR="00E836FB" w:rsidRDefault="00E836FB">
            <w:pPr>
              <w:rPr>
                <w:rFonts w:ascii="宋体"/>
                <w:vanish/>
              </w:rPr>
            </w:pPr>
          </w:p>
        </w:tc>
      </w:tr>
      <w:tr w:rsidR="00E836FB" w14:paraId="5F2D1F03" w14:textId="77777777">
        <w:trPr>
          <w:hidden/>
        </w:trPr>
        <w:tc>
          <w:tcPr>
            <w:tcW w:w="0" w:type="auto"/>
            <w:gridSpan w:val="3"/>
            <w:shd w:val="clear" w:color="auto" w:fill="auto"/>
            <w:vAlign w:val="bottom"/>
          </w:tcPr>
          <w:p w14:paraId="5F2D1EF1" w14:textId="77777777" w:rsidR="00E836FB" w:rsidRDefault="00E836FB">
            <w:pPr>
              <w:rPr>
                <w:rFonts w:ascii="宋体"/>
                <w:vanish/>
              </w:rPr>
            </w:pPr>
          </w:p>
        </w:tc>
        <w:tc>
          <w:tcPr>
            <w:tcW w:w="0" w:type="auto"/>
            <w:gridSpan w:val="3"/>
            <w:shd w:val="clear" w:color="auto" w:fill="auto"/>
            <w:vAlign w:val="bottom"/>
          </w:tcPr>
          <w:p w14:paraId="5F2D1EF2" w14:textId="77777777" w:rsidR="00E836FB" w:rsidRDefault="00E836FB">
            <w:pPr>
              <w:rPr>
                <w:rFonts w:ascii="宋体"/>
                <w:vanish/>
              </w:rPr>
            </w:pPr>
          </w:p>
        </w:tc>
        <w:tc>
          <w:tcPr>
            <w:tcW w:w="0" w:type="auto"/>
            <w:gridSpan w:val="3"/>
            <w:shd w:val="clear" w:color="auto" w:fill="auto"/>
            <w:vAlign w:val="bottom"/>
          </w:tcPr>
          <w:p w14:paraId="5F2D1EF3" w14:textId="77777777" w:rsidR="00E836FB" w:rsidRDefault="00E836FB">
            <w:pPr>
              <w:rPr>
                <w:rFonts w:ascii="宋体"/>
                <w:vanish/>
              </w:rPr>
            </w:pPr>
          </w:p>
        </w:tc>
        <w:tc>
          <w:tcPr>
            <w:tcW w:w="0" w:type="auto"/>
            <w:gridSpan w:val="3"/>
            <w:shd w:val="clear" w:color="auto" w:fill="auto"/>
            <w:vAlign w:val="bottom"/>
          </w:tcPr>
          <w:p w14:paraId="5F2D1EF4" w14:textId="77777777" w:rsidR="00E836FB" w:rsidRDefault="00E836FB">
            <w:pPr>
              <w:rPr>
                <w:rFonts w:ascii="宋体"/>
                <w:vanish/>
              </w:rPr>
            </w:pPr>
          </w:p>
        </w:tc>
        <w:tc>
          <w:tcPr>
            <w:tcW w:w="0" w:type="auto"/>
            <w:gridSpan w:val="3"/>
            <w:shd w:val="clear" w:color="auto" w:fill="auto"/>
            <w:vAlign w:val="bottom"/>
          </w:tcPr>
          <w:p w14:paraId="5F2D1EF5" w14:textId="77777777" w:rsidR="00E836FB" w:rsidRDefault="00E836FB">
            <w:pPr>
              <w:rPr>
                <w:rFonts w:ascii="宋体"/>
                <w:vanish/>
              </w:rPr>
            </w:pPr>
          </w:p>
        </w:tc>
        <w:tc>
          <w:tcPr>
            <w:tcW w:w="0" w:type="auto"/>
            <w:gridSpan w:val="3"/>
            <w:shd w:val="clear" w:color="auto" w:fill="auto"/>
            <w:vAlign w:val="bottom"/>
          </w:tcPr>
          <w:p w14:paraId="5F2D1EF6" w14:textId="77777777" w:rsidR="00E836FB" w:rsidRDefault="00E836FB">
            <w:pPr>
              <w:rPr>
                <w:rFonts w:ascii="宋体"/>
                <w:vanish/>
              </w:rPr>
            </w:pPr>
          </w:p>
        </w:tc>
        <w:tc>
          <w:tcPr>
            <w:tcW w:w="0" w:type="auto"/>
            <w:gridSpan w:val="3"/>
            <w:shd w:val="clear" w:color="auto" w:fill="auto"/>
            <w:vAlign w:val="bottom"/>
          </w:tcPr>
          <w:p w14:paraId="5F2D1EF7" w14:textId="77777777" w:rsidR="00E836FB" w:rsidRDefault="00E836FB">
            <w:pPr>
              <w:rPr>
                <w:rFonts w:ascii="宋体"/>
                <w:vanish/>
              </w:rPr>
            </w:pPr>
          </w:p>
        </w:tc>
        <w:tc>
          <w:tcPr>
            <w:tcW w:w="0" w:type="auto"/>
            <w:gridSpan w:val="3"/>
            <w:shd w:val="clear" w:color="auto" w:fill="auto"/>
            <w:vAlign w:val="bottom"/>
          </w:tcPr>
          <w:p w14:paraId="5F2D1EF8" w14:textId="77777777" w:rsidR="00E836FB" w:rsidRDefault="00E836FB">
            <w:pPr>
              <w:rPr>
                <w:rFonts w:ascii="宋体"/>
                <w:vanish/>
              </w:rPr>
            </w:pPr>
          </w:p>
        </w:tc>
        <w:tc>
          <w:tcPr>
            <w:tcW w:w="0" w:type="auto"/>
            <w:gridSpan w:val="3"/>
            <w:shd w:val="clear" w:color="auto" w:fill="auto"/>
            <w:vAlign w:val="bottom"/>
          </w:tcPr>
          <w:p w14:paraId="5F2D1EF9" w14:textId="77777777" w:rsidR="00E836FB" w:rsidRDefault="00E836FB">
            <w:pPr>
              <w:rPr>
                <w:rFonts w:ascii="宋体"/>
                <w:vanish/>
              </w:rPr>
            </w:pPr>
          </w:p>
        </w:tc>
        <w:tc>
          <w:tcPr>
            <w:tcW w:w="0" w:type="auto"/>
            <w:gridSpan w:val="3"/>
            <w:shd w:val="clear" w:color="auto" w:fill="auto"/>
            <w:vAlign w:val="bottom"/>
          </w:tcPr>
          <w:p w14:paraId="5F2D1EFA" w14:textId="77777777" w:rsidR="00E836FB" w:rsidRDefault="00E836FB">
            <w:pPr>
              <w:rPr>
                <w:rFonts w:ascii="宋体"/>
                <w:vanish/>
              </w:rPr>
            </w:pPr>
          </w:p>
        </w:tc>
        <w:tc>
          <w:tcPr>
            <w:tcW w:w="0" w:type="auto"/>
            <w:gridSpan w:val="3"/>
            <w:shd w:val="clear" w:color="auto" w:fill="auto"/>
            <w:vAlign w:val="bottom"/>
          </w:tcPr>
          <w:p w14:paraId="5F2D1EFB" w14:textId="77777777" w:rsidR="00E836FB" w:rsidRDefault="00E836FB">
            <w:pPr>
              <w:rPr>
                <w:rFonts w:ascii="宋体"/>
                <w:vanish/>
              </w:rPr>
            </w:pPr>
          </w:p>
        </w:tc>
        <w:tc>
          <w:tcPr>
            <w:tcW w:w="0" w:type="auto"/>
            <w:shd w:val="clear" w:color="auto" w:fill="auto"/>
            <w:vAlign w:val="bottom"/>
          </w:tcPr>
          <w:p w14:paraId="5F2D1EFC" w14:textId="77777777" w:rsidR="00E836FB" w:rsidRDefault="00E836FB">
            <w:pPr>
              <w:rPr>
                <w:rFonts w:ascii="宋体"/>
                <w:vanish/>
              </w:rPr>
            </w:pPr>
          </w:p>
        </w:tc>
        <w:tc>
          <w:tcPr>
            <w:tcW w:w="0" w:type="auto"/>
            <w:shd w:val="clear" w:color="auto" w:fill="auto"/>
            <w:vAlign w:val="bottom"/>
          </w:tcPr>
          <w:p w14:paraId="5F2D1EFD" w14:textId="77777777" w:rsidR="00E836FB" w:rsidRDefault="00E836FB">
            <w:pPr>
              <w:rPr>
                <w:rFonts w:ascii="宋体"/>
                <w:vanish/>
              </w:rPr>
            </w:pPr>
          </w:p>
        </w:tc>
        <w:tc>
          <w:tcPr>
            <w:tcW w:w="0" w:type="auto"/>
            <w:gridSpan w:val="3"/>
            <w:shd w:val="clear" w:color="auto" w:fill="auto"/>
            <w:vAlign w:val="bottom"/>
          </w:tcPr>
          <w:p w14:paraId="5F2D1EFE" w14:textId="77777777" w:rsidR="00E836FB" w:rsidRDefault="00E836FB">
            <w:pPr>
              <w:rPr>
                <w:rFonts w:ascii="宋体"/>
                <w:vanish/>
              </w:rPr>
            </w:pPr>
          </w:p>
        </w:tc>
        <w:tc>
          <w:tcPr>
            <w:tcW w:w="0" w:type="auto"/>
            <w:gridSpan w:val="3"/>
            <w:shd w:val="clear" w:color="auto" w:fill="auto"/>
            <w:vAlign w:val="bottom"/>
          </w:tcPr>
          <w:p w14:paraId="5F2D1EFF" w14:textId="77777777" w:rsidR="00E836FB" w:rsidRDefault="00E836FB">
            <w:pPr>
              <w:rPr>
                <w:rFonts w:ascii="宋体"/>
                <w:vanish/>
              </w:rPr>
            </w:pPr>
          </w:p>
        </w:tc>
        <w:tc>
          <w:tcPr>
            <w:tcW w:w="0" w:type="auto"/>
            <w:gridSpan w:val="3"/>
            <w:shd w:val="clear" w:color="auto" w:fill="auto"/>
            <w:vAlign w:val="bottom"/>
          </w:tcPr>
          <w:p w14:paraId="5F2D1F00" w14:textId="77777777" w:rsidR="00E836FB" w:rsidRDefault="00E836FB">
            <w:pPr>
              <w:rPr>
                <w:rFonts w:ascii="宋体"/>
                <w:vanish/>
              </w:rPr>
            </w:pPr>
          </w:p>
        </w:tc>
        <w:tc>
          <w:tcPr>
            <w:tcW w:w="0" w:type="auto"/>
            <w:gridSpan w:val="3"/>
            <w:shd w:val="clear" w:color="auto" w:fill="auto"/>
            <w:vAlign w:val="bottom"/>
          </w:tcPr>
          <w:p w14:paraId="5F2D1F01" w14:textId="77777777" w:rsidR="00E836FB" w:rsidRDefault="00E836FB">
            <w:pPr>
              <w:rPr>
                <w:rFonts w:ascii="宋体"/>
                <w:vanish/>
              </w:rPr>
            </w:pPr>
          </w:p>
        </w:tc>
        <w:tc>
          <w:tcPr>
            <w:tcW w:w="0" w:type="auto"/>
            <w:gridSpan w:val="3"/>
            <w:shd w:val="clear" w:color="auto" w:fill="auto"/>
            <w:vAlign w:val="bottom"/>
          </w:tcPr>
          <w:p w14:paraId="5F2D1F02" w14:textId="77777777" w:rsidR="00E836FB" w:rsidRDefault="00E836FB">
            <w:pPr>
              <w:rPr>
                <w:rFonts w:ascii="宋体"/>
                <w:vanish/>
              </w:rPr>
            </w:pPr>
          </w:p>
        </w:tc>
      </w:tr>
      <w:tr w:rsidR="00E836FB" w14:paraId="5F2D1F16" w14:textId="77777777">
        <w:trPr>
          <w:hidden/>
        </w:trPr>
        <w:tc>
          <w:tcPr>
            <w:tcW w:w="0" w:type="auto"/>
            <w:gridSpan w:val="3"/>
            <w:shd w:val="clear" w:color="auto" w:fill="auto"/>
            <w:vAlign w:val="bottom"/>
          </w:tcPr>
          <w:p w14:paraId="5F2D1F04" w14:textId="77777777" w:rsidR="00E836FB" w:rsidRDefault="00E836FB">
            <w:pPr>
              <w:rPr>
                <w:rFonts w:ascii="宋体"/>
                <w:vanish/>
              </w:rPr>
            </w:pPr>
          </w:p>
        </w:tc>
        <w:tc>
          <w:tcPr>
            <w:tcW w:w="0" w:type="auto"/>
            <w:gridSpan w:val="3"/>
            <w:shd w:val="clear" w:color="auto" w:fill="auto"/>
            <w:vAlign w:val="bottom"/>
          </w:tcPr>
          <w:p w14:paraId="5F2D1F05" w14:textId="77777777" w:rsidR="00E836FB" w:rsidRDefault="00E836FB">
            <w:pPr>
              <w:rPr>
                <w:rFonts w:ascii="宋体"/>
                <w:vanish/>
              </w:rPr>
            </w:pPr>
          </w:p>
        </w:tc>
        <w:tc>
          <w:tcPr>
            <w:tcW w:w="0" w:type="auto"/>
            <w:gridSpan w:val="3"/>
            <w:shd w:val="clear" w:color="auto" w:fill="auto"/>
            <w:vAlign w:val="bottom"/>
          </w:tcPr>
          <w:p w14:paraId="5F2D1F06" w14:textId="77777777" w:rsidR="00E836FB" w:rsidRDefault="00E836FB">
            <w:pPr>
              <w:rPr>
                <w:rFonts w:ascii="宋体"/>
                <w:vanish/>
              </w:rPr>
            </w:pPr>
          </w:p>
        </w:tc>
        <w:tc>
          <w:tcPr>
            <w:tcW w:w="0" w:type="auto"/>
            <w:gridSpan w:val="3"/>
            <w:shd w:val="clear" w:color="auto" w:fill="auto"/>
            <w:vAlign w:val="bottom"/>
          </w:tcPr>
          <w:p w14:paraId="5F2D1F07" w14:textId="77777777" w:rsidR="00E836FB" w:rsidRDefault="00E836FB">
            <w:pPr>
              <w:rPr>
                <w:rFonts w:ascii="宋体"/>
                <w:vanish/>
              </w:rPr>
            </w:pPr>
          </w:p>
        </w:tc>
        <w:tc>
          <w:tcPr>
            <w:tcW w:w="0" w:type="auto"/>
            <w:gridSpan w:val="3"/>
            <w:shd w:val="clear" w:color="auto" w:fill="auto"/>
            <w:vAlign w:val="bottom"/>
          </w:tcPr>
          <w:p w14:paraId="5F2D1F08" w14:textId="77777777" w:rsidR="00E836FB" w:rsidRDefault="00E836FB">
            <w:pPr>
              <w:rPr>
                <w:rFonts w:ascii="宋体"/>
                <w:vanish/>
              </w:rPr>
            </w:pPr>
          </w:p>
        </w:tc>
        <w:tc>
          <w:tcPr>
            <w:tcW w:w="0" w:type="auto"/>
            <w:gridSpan w:val="3"/>
            <w:shd w:val="clear" w:color="auto" w:fill="auto"/>
            <w:vAlign w:val="bottom"/>
          </w:tcPr>
          <w:p w14:paraId="5F2D1F09" w14:textId="77777777" w:rsidR="00E836FB" w:rsidRDefault="00E836FB">
            <w:pPr>
              <w:rPr>
                <w:rFonts w:ascii="宋体"/>
                <w:vanish/>
              </w:rPr>
            </w:pPr>
          </w:p>
        </w:tc>
        <w:tc>
          <w:tcPr>
            <w:tcW w:w="0" w:type="auto"/>
            <w:gridSpan w:val="3"/>
            <w:shd w:val="clear" w:color="auto" w:fill="auto"/>
            <w:vAlign w:val="bottom"/>
          </w:tcPr>
          <w:p w14:paraId="5F2D1F0A" w14:textId="77777777" w:rsidR="00E836FB" w:rsidRDefault="00E836FB">
            <w:pPr>
              <w:rPr>
                <w:rFonts w:ascii="宋体"/>
                <w:vanish/>
              </w:rPr>
            </w:pPr>
          </w:p>
        </w:tc>
        <w:tc>
          <w:tcPr>
            <w:tcW w:w="0" w:type="auto"/>
            <w:gridSpan w:val="3"/>
            <w:shd w:val="clear" w:color="auto" w:fill="auto"/>
            <w:vAlign w:val="bottom"/>
          </w:tcPr>
          <w:p w14:paraId="5F2D1F0B" w14:textId="77777777" w:rsidR="00E836FB" w:rsidRDefault="00E836FB">
            <w:pPr>
              <w:rPr>
                <w:rFonts w:ascii="宋体"/>
                <w:vanish/>
              </w:rPr>
            </w:pPr>
          </w:p>
        </w:tc>
        <w:tc>
          <w:tcPr>
            <w:tcW w:w="0" w:type="auto"/>
            <w:gridSpan w:val="3"/>
            <w:shd w:val="clear" w:color="auto" w:fill="auto"/>
            <w:vAlign w:val="bottom"/>
          </w:tcPr>
          <w:p w14:paraId="5F2D1F0C" w14:textId="77777777" w:rsidR="00E836FB" w:rsidRDefault="00E836FB">
            <w:pPr>
              <w:rPr>
                <w:rFonts w:ascii="宋体"/>
                <w:vanish/>
              </w:rPr>
            </w:pPr>
          </w:p>
        </w:tc>
        <w:tc>
          <w:tcPr>
            <w:tcW w:w="0" w:type="auto"/>
            <w:gridSpan w:val="3"/>
            <w:shd w:val="clear" w:color="auto" w:fill="auto"/>
            <w:vAlign w:val="bottom"/>
          </w:tcPr>
          <w:p w14:paraId="5F2D1F0D" w14:textId="77777777" w:rsidR="00E836FB" w:rsidRDefault="00E836FB">
            <w:pPr>
              <w:rPr>
                <w:rFonts w:ascii="宋体"/>
                <w:vanish/>
              </w:rPr>
            </w:pPr>
          </w:p>
        </w:tc>
        <w:tc>
          <w:tcPr>
            <w:tcW w:w="0" w:type="auto"/>
            <w:gridSpan w:val="3"/>
            <w:shd w:val="clear" w:color="auto" w:fill="auto"/>
            <w:vAlign w:val="bottom"/>
          </w:tcPr>
          <w:p w14:paraId="5F2D1F0E" w14:textId="77777777" w:rsidR="00E836FB" w:rsidRDefault="00E836FB">
            <w:pPr>
              <w:rPr>
                <w:rFonts w:ascii="宋体"/>
                <w:vanish/>
              </w:rPr>
            </w:pPr>
          </w:p>
        </w:tc>
        <w:tc>
          <w:tcPr>
            <w:tcW w:w="0" w:type="auto"/>
            <w:shd w:val="clear" w:color="auto" w:fill="auto"/>
            <w:vAlign w:val="bottom"/>
          </w:tcPr>
          <w:p w14:paraId="5F2D1F0F" w14:textId="77777777" w:rsidR="00E836FB" w:rsidRDefault="00E836FB">
            <w:pPr>
              <w:rPr>
                <w:rFonts w:ascii="宋体"/>
                <w:vanish/>
              </w:rPr>
            </w:pPr>
          </w:p>
        </w:tc>
        <w:tc>
          <w:tcPr>
            <w:tcW w:w="0" w:type="auto"/>
            <w:shd w:val="clear" w:color="auto" w:fill="auto"/>
            <w:vAlign w:val="bottom"/>
          </w:tcPr>
          <w:p w14:paraId="5F2D1F10" w14:textId="77777777" w:rsidR="00E836FB" w:rsidRDefault="00E836FB">
            <w:pPr>
              <w:rPr>
                <w:rFonts w:ascii="宋体"/>
                <w:vanish/>
              </w:rPr>
            </w:pPr>
          </w:p>
        </w:tc>
        <w:tc>
          <w:tcPr>
            <w:tcW w:w="0" w:type="auto"/>
            <w:gridSpan w:val="3"/>
            <w:shd w:val="clear" w:color="auto" w:fill="auto"/>
            <w:vAlign w:val="bottom"/>
          </w:tcPr>
          <w:p w14:paraId="5F2D1F11" w14:textId="77777777" w:rsidR="00E836FB" w:rsidRDefault="00E836FB">
            <w:pPr>
              <w:rPr>
                <w:rFonts w:ascii="宋体"/>
                <w:vanish/>
              </w:rPr>
            </w:pPr>
          </w:p>
        </w:tc>
        <w:tc>
          <w:tcPr>
            <w:tcW w:w="0" w:type="auto"/>
            <w:gridSpan w:val="3"/>
            <w:shd w:val="clear" w:color="auto" w:fill="auto"/>
            <w:vAlign w:val="bottom"/>
          </w:tcPr>
          <w:p w14:paraId="5F2D1F12" w14:textId="77777777" w:rsidR="00E836FB" w:rsidRDefault="00E836FB">
            <w:pPr>
              <w:rPr>
                <w:rFonts w:ascii="宋体"/>
                <w:vanish/>
              </w:rPr>
            </w:pPr>
          </w:p>
        </w:tc>
        <w:tc>
          <w:tcPr>
            <w:tcW w:w="0" w:type="auto"/>
            <w:gridSpan w:val="3"/>
            <w:shd w:val="clear" w:color="auto" w:fill="auto"/>
            <w:vAlign w:val="bottom"/>
          </w:tcPr>
          <w:p w14:paraId="5F2D1F13" w14:textId="77777777" w:rsidR="00E836FB" w:rsidRDefault="00E836FB">
            <w:pPr>
              <w:rPr>
                <w:rFonts w:ascii="宋体"/>
                <w:vanish/>
              </w:rPr>
            </w:pPr>
          </w:p>
        </w:tc>
        <w:tc>
          <w:tcPr>
            <w:tcW w:w="0" w:type="auto"/>
            <w:gridSpan w:val="3"/>
            <w:shd w:val="clear" w:color="auto" w:fill="auto"/>
            <w:vAlign w:val="bottom"/>
          </w:tcPr>
          <w:p w14:paraId="5F2D1F14" w14:textId="77777777" w:rsidR="00E836FB" w:rsidRDefault="00E836FB">
            <w:pPr>
              <w:rPr>
                <w:rFonts w:ascii="宋体"/>
                <w:vanish/>
              </w:rPr>
            </w:pPr>
          </w:p>
        </w:tc>
        <w:tc>
          <w:tcPr>
            <w:tcW w:w="0" w:type="auto"/>
            <w:gridSpan w:val="3"/>
            <w:shd w:val="clear" w:color="auto" w:fill="auto"/>
            <w:vAlign w:val="bottom"/>
          </w:tcPr>
          <w:p w14:paraId="5F2D1F15" w14:textId="77777777" w:rsidR="00E836FB" w:rsidRDefault="00E836FB">
            <w:pPr>
              <w:rPr>
                <w:rFonts w:ascii="宋体"/>
                <w:vanish/>
              </w:rPr>
            </w:pPr>
          </w:p>
        </w:tc>
      </w:tr>
      <w:tr w:rsidR="00E836FB" w14:paraId="5F2D1F29" w14:textId="77777777">
        <w:trPr>
          <w:hidden/>
        </w:trPr>
        <w:tc>
          <w:tcPr>
            <w:tcW w:w="0" w:type="auto"/>
            <w:gridSpan w:val="3"/>
            <w:shd w:val="clear" w:color="auto" w:fill="auto"/>
            <w:vAlign w:val="bottom"/>
          </w:tcPr>
          <w:p w14:paraId="5F2D1F17" w14:textId="77777777" w:rsidR="00E836FB" w:rsidRDefault="00E836FB">
            <w:pPr>
              <w:rPr>
                <w:rFonts w:ascii="宋体"/>
                <w:vanish/>
              </w:rPr>
            </w:pPr>
          </w:p>
        </w:tc>
        <w:tc>
          <w:tcPr>
            <w:tcW w:w="0" w:type="auto"/>
            <w:gridSpan w:val="3"/>
            <w:shd w:val="clear" w:color="auto" w:fill="auto"/>
            <w:vAlign w:val="bottom"/>
          </w:tcPr>
          <w:p w14:paraId="5F2D1F18" w14:textId="77777777" w:rsidR="00E836FB" w:rsidRDefault="00E836FB">
            <w:pPr>
              <w:rPr>
                <w:rFonts w:ascii="宋体"/>
                <w:vanish/>
              </w:rPr>
            </w:pPr>
          </w:p>
        </w:tc>
        <w:tc>
          <w:tcPr>
            <w:tcW w:w="0" w:type="auto"/>
            <w:gridSpan w:val="3"/>
            <w:shd w:val="clear" w:color="auto" w:fill="auto"/>
            <w:vAlign w:val="bottom"/>
          </w:tcPr>
          <w:p w14:paraId="5F2D1F19" w14:textId="77777777" w:rsidR="00E836FB" w:rsidRDefault="00E836FB">
            <w:pPr>
              <w:rPr>
                <w:rFonts w:ascii="宋体"/>
                <w:vanish/>
              </w:rPr>
            </w:pPr>
          </w:p>
        </w:tc>
        <w:tc>
          <w:tcPr>
            <w:tcW w:w="0" w:type="auto"/>
            <w:gridSpan w:val="3"/>
            <w:shd w:val="clear" w:color="auto" w:fill="auto"/>
            <w:vAlign w:val="bottom"/>
          </w:tcPr>
          <w:p w14:paraId="5F2D1F1A" w14:textId="77777777" w:rsidR="00E836FB" w:rsidRDefault="00E836FB">
            <w:pPr>
              <w:rPr>
                <w:rFonts w:ascii="宋体"/>
                <w:vanish/>
              </w:rPr>
            </w:pPr>
          </w:p>
        </w:tc>
        <w:tc>
          <w:tcPr>
            <w:tcW w:w="0" w:type="auto"/>
            <w:gridSpan w:val="3"/>
            <w:shd w:val="clear" w:color="auto" w:fill="auto"/>
            <w:vAlign w:val="bottom"/>
          </w:tcPr>
          <w:p w14:paraId="5F2D1F1B" w14:textId="77777777" w:rsidR="00E836FB" w:rsidRDefault="00E836FB">
            <w:pPr>
              <w:rPr>
                <w:rFonts w:ascii="宋体"/>
                <w:vanish/>
              </w:rPr>
            </w:pPr>
          </w:p>
        </w:tc>
        <w:tc>
          <w:tcPr>
            <w:tcW w:w="0" w:type="auto"/>
            <w:gridSpan w:val="3"/>
            <w:shd w:val="clear" w:color="auto" w:fill="auto"/>
            <w:vAlign w:val="bottom"/>
          </w:tcPr>
          <w:p w14:paraId="5F2D1F1C" w14:textId="77777777" w:rsidR="00E836FB" w:rsidRDefault="00E836FB">
            <w:pPr>
              <w:rPr>
                <w:rFonts w:ascii="宋体"/>
                <w:vanish/>
              </w:rPr>
            </w:pPr>
          </w:p>
        </w:tc>
        <w:tc>
          <w:tcPr>
            <w:tcW w:w="0" w:type="auto"/>
            <w:gridSpan w:val="3"/>
            <w:shd w:val="clear" w:color="auto" w:fill="auto"/>
            <w:vAlign w:val="bottom"/>
          </w:tcPr>
          <w:p w14:paraId="5F2D1F1D" w14:textId="77777777" w:rsidR="00E836FB" w:rsidRDefault="00E836FB">
            <w:pPr>
              <w:rPr>
                <w:rFonts w:ascii="宋体"/>
                <w:vanish/>
              </w:rPr>
            </w:pPr>
          </w:p>
        </w:tc>
        <w:tc>
          <w:tcPr>
            <w:tcW w:w="0" w:type="auto"/>
            <w:gridSpan w:val="3"/>
            <w:shd w:val="clear" w:color="auto" w:fill="auto"/>
            <w:vAlign w:val="bottom"/>
          </w:tcPr>
          <w:p w14:paraId="5F2D1F1E" w14:textId="77777777" w:rsidR="00E836FB" w:rsidRDefault="00E836FB">
            <w:pPr>
              <w:rPr>
                <w:rFonts w:ascii="宋体"/>
                <w:vanish/>
              </w:rPr>
            </w:pPr>
          </w:p>
        </w:tc>
        <w:tc>
          <w:tcPr>
            <w:tcW w:w="0" w:type="auto"/>
            <w:gridSpan w:val="3"/>
            <w:shd w:val="clear" w:color="auto" w:fill="auto"/>
            <w:vAlign w:val="bottom"/>
          </w:tcPr>
          <w:p w14:paraId="5F2D1F1F" w14:textId="77777777" w:rsidR="00E836FB" w:rsidRDefault="00E836FB">
            <w:pPr>
              <w:rPr>
                <w:rFonts w:ascii="宋体"/>
                <w:vanish/>
              </w:rPr>
            </w:pPr>
          </w:p>
        </w:tc>
        <w:tc>
          <w:tcPr>
            <w:tcW w:w="0" w:type="auto"/>
            <w:gridSpan w:val="3"/>
            <w:shd w:val="clear" w:color="auto" w:fill="auto"/>
            <w:vAlign w:val="bottom"/>
          </w:tcPr>
          <w:p w14:paraId="5F2D1F20" w14:textId="77777777" w:rsidR="00E836FB" w:rsidRDefault="00E836FB">
            <w:pPr>
              <w:rPr>
                <w:rFonts w:ascii="宋体"/>
                <w:vanish/>
              </w:rPr>
            </w:pPr>
          </w:p>
        </w:tc>
        <w:tc>
          <w:tcPr>
            <w:tcW w:w="0" w:type="auto"/>
            <w:gridSpan w:val="3"/>
            <w:shd w:val="clear" w:color="auto" w:fill="auto"/>
            <w:vAlign w:val="bottom"/>
          </w:tcPr>
          <w:p w14:paraId="5F2D1F21" w14:textId="77777777" w:rsidR="00E836FB" w:rsidRDefault="00E836FB">
            <w:pPr>
              <w:rPr>
                <w:rFonts w:ascii="宋体"/>
                <w:vanish/>
              </w:rPr>
            </w:pPr>
          </w:p>
        </w:tc>
        <w:tc>
          <w:tcPr>
            <w:tcW w:w="0" w:type="auto"/>
            <w:shd w:val="clear" w:color="auto" w:fill="auto"/>
            <w:vAlign w:val="bottom"/>
          </w:tcPr>
          <w:p w14:paraId="5F2D1F22" w14:textId="77777777" w:rsidR="00E836FB" w:rsidRDefault="00E836FB">
            <w:pPr>
              <w:rPr>
                <w:rFonts w:ascii="宋体"/>
                <w:vanish/>
              </w:rPr>
            </w:pPr>
          </w:p>
        </w:tc>
        <w:tc>
          <w:tcPr>
            <w:tcW w:w="0" w:type="auto"/>
            <w:shd w:val="clear" w:color="auto" w:fill="auto"/>
            <w:vAlign w:val="bottom"/>
          </w:tcPr>
          <w:p w14:paraId="5F2D1F23" w14:textId="77777777" w:rsidR="00E836FB" w:rsidRDefault="00E836FB">
            <w:pPr>
              <w:rPr>
                <w:rFonts w:ascii="宋体"/>
                <w:vanish/>
              </w:rPr>
            </w:pPr>
          </w:p>
        </w:tc>
        <w:tc>
          <w:tcPr>
            <w:tcW w:w="0" w:type="auto"/>
            <w:gridSpan w:val="3"/>
            <w:shd w:val="clear" w:color="auto" w:fill="auto"/>
            <w:vAlign w:val="bottom"/>
          </w:tcPr>
          <w:p w14:paraId="5F2D1F24" w14:textId="77777777" w:rsidR="00E836FB" w:rsidRDefault="00E836FB">
            <w:pPr>
              <w:rPr>
                <w:rFonts w:ascii="宋体"/>
                <w:vanish/>
              </w:rPr>
            </w:pPr>
          </w:p>
        </w:tc>
        <w:tc>
          <w:tcPr>
            <w:tcW w:w="0" w:type="auto"/>
            <w:gridSpan w:val="3"/>
            <w:shd w:val="clear" w:color="auto" w:fill="auto"/>
            <w:vAlign w:val="bottom"/>
          </w:tcPr>
          <w:p w14:paraId="5F2D1F25" w14:textId="77777777" w:rsidR="00E836FB" w:rsidRDefault="00E836FB">
            <w:pPr>
              <w:rPr>
                <w:rFonts w:ascii="宋体"/>
                <w:vanish/>
              </w:rPr>
            </w:pPr>
          </w:p>
        </w:tc>
        <w:tc>
          <w:tcPr>
            <w:tcW w:w="0" w:type="auto"/>
            <w:gridSpan w:val="3"/>
            <w:shd w:val="clear" w:color="auto" w:fill="auto"/>
            <w:vAlign w:val="bottom"/>
          </w:tcPr>
          <w:p w14:paraId="5F2D1F26" w14:textId="77777777" w:rsidR="00E836FB" w:rsidRDefault="00E836FB">
            <w:pPr>
              <w:rPr>
                <w:rFonts w:ascii="宋体"/>
                <w:vanish/>
              </w:rPr>
            </w:pPr>
          </w:p>
        </w:tc>
        <w:tc>
          <w:tcPr>
            <w:tcW w:w="0" w:type="auto"/>
            <w:gridSpan w:val="3"/>
            <w:shd w:val="clear" w:color="auto" w:fill="auto"/>
            <w:vAlign w:val="bottom"/>
          </w:tcPr>
          <w:p w14:paraId="5F2D1F27" w14:textId="77777777" w:rsidR="00E836FB" w:rsidRDefault="00E836FB">
            <w:pPr>
              <w:rPr>
                <w:rFonts w:ascii="宋体"/>
                <w:vanish/>
              </w:rPr>
            </w:pPr>
          </w:p>
        </w:tc>
        <w:tc>
          <w:tcPr>
            <w:tcW w:w="0" w:type="auto"/>
            <w:gridSpan w:val="3"/>
            <w:shd w:val="clear" w:color="auto" w:fill="auto"/>
            <w:vAlign w:val="bottom"/>
          </w:tcPr>
          <w:p w14:paraId="5F2D1F28" w14:textId="77777777" w:rsidR="00E836FB" w:rsidRDefault="00E836FB">
            <w:pPr>
              <w:rPr>
                <w:rFonts w:ascii="宋体"/>
                <w:vanish/>
              </w:rPr>
            </w:pPr>
          </w:p>
        </w:tc>
      </w:tr>
      <w:tr w:rsidR="00E836FB" w14:paraId="5F2D1F4C" w14:textId="77777777">
        <w:tc>
          <w:tcPr>
            <w:tcW w:w="0" w:type="auto"/>
            <w:gridSpan w:val="3"/>
            <w:shd w:val="clear" w:color="auto" w:fill="CCEEFF"/>
            <w:tcMar>
              <w:top w:w="40" w:type="dxa"/>
              <w:left w:w="20" w:type="dxa"/>
              <w:bottom w:w="40" w:type="dxa"/>
              <w:right w:w="20" w:type="dxa"/>
            </w:tcMar>
            <w:vAlign w:val="bottom"/>
          </w:tcPr>
          <w:p w14:paraId="5F2D1F2A" w14:textId="77777777" w:rsidR="00E836FB" w:rsidRDefault="00994958">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F2D1F2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2C" w14:textId="77777777" w:rsidR="00E836FB" w:rsidRDefault="00994958">
            <w:pPr>
              <w:jc w:val="right"/>
              <w:textAlignment w:val="bottom"/>
            </w:pPr>
            <w:r>
              <w:rPr>
                <w:rFonts w:ascii="Arial" w:eastAsia="宋体" w:hAnsi="Arial" w:cs="Arial"/>
                <w:color w:val="000000"/>
                <w:sz w:val="14"/>
                <w:szCs w:val="14"/>
              </w:rPr>
              <w:t>8,336 </w:t>
            </w:r>
          </w:p>
        </w:tc>
        <w:tc>
          <w:tcPr>
            <w:tcW w:w="0" w:type="auto"/>
            <w:shd w:val="clear" w:color="auto" w:fill="CCEEFF"/>
            <w:tcMar>
              <w:top w:w="40" w:type="dxa"/>
              <w:left w:w="0" w:type="dxa"/>
              <w:bottom w:w="40" w:type="dxa"/>
              <w:right w:w="20" w:type="dxa"/>
            </w:tcMar>
            <w:vAlign w:val="bottom"/>
          </w:tcPr>
          <w:p w14:paraId="5F2D1F2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F2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F2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30" w14:textId="77777777" w:rsidR="00E836FB" w:rsidRDefault="00994958">
            <w:pPr>
              <w:jc w:val="right"/>
              <w:textAlignment w:val="bottom"/>
            </w:pPr>
            <w:r>
              <w:rPr>
                <w:rFonts w:ascii="Arial" w:eastAsia="宋体" w:hAnsi="Arial" w:cs="Arial"/>
                <w:color w:val="000000"/>
                <w:sz w:val="14"/>
                <w:szCs w:val="14"/>
              </w:rPr>
              <w:t>794 </w:t>
            </w:r>
          </w:p>
        </w:tc>
        <w:tc>
          <w:tcPr>
            <w:tcW w:w="0" w:type="auto"/>
            <w:shd w:val="clear" w:color="auto" w:fill="CCEEFF"/>
            <w:tcMar>
              <w:top w:w="40" w:type="dxa"/>
              <w:left w:w="0" w:type="dxa"/>
              <w:bottom w:w="40" w:type="dxa"/>
              <w:right w:w="20" w:type="dxa"/>
            </w:tcMar>
            <w:vAlign w:val="bottom"/>
          </w:tcPr>
          <w:p w14:paraId="5F2D1F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F3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F3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34" w14:textId="77777777" w:rsidR="00E836FB" w:rsidRDefault="00994958">
            <w:pPr>
              <w:jc w:val="right"/>
              <w:textAlignment w:val="bottom"/>
            </w:pPr>
            <w:r>
              <w:rPr>
                <w:rFonts w:ascii="Arial" w:eastAsia="宋体" w:hAnsi="Arial" w:cs="Arial"/>
                <w:color w:val="000000"/>
                <w:sz w:val="14"/>
                <w:szCs w:val="14"/>
              </w:rPr>
              <w:t>2,012 </w:t>
            </w:r>
          </w:p>
        </w:tc>
        <w:tc>
          <w:tcPr>
            <w:tcW w:w="0" w:type="auto"/>
            <w:shd w:val="clear" w:color="auto" w:fill="CCEEFF"/>
            <w:tcMar>
              <w:top w:w="40" w:type="dxa"/>
              <w:left w:w="0" w:type="dxa"/>
              <w:bottom w:w="40" w:type="dxa"/>
              <w:right w:w="20" w:type="dxa"/>
            </w:tcMar>
            <w:vAlign w:val="bottom"/>
          </w:tcPr>
          <w:p w14:paraId="5F2D1F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F3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F3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38" w14:textId="77777777" w:rsidR="00E836FB" w:rsidRDefault="00994958">
            <w:pPr>
              <w:jc w:val="right"/>
              <w:textAlignment w:val="bottom"/>
            </w:pPr>
            <w:r>
              <w:rPr>
                <w:rFonts w:ascii="Arial" w:eastAsia="宋体" w:hAnsi="Arial" w:cs="Arial"/>
                <w:color w:val="000000"/>
                <w:sz w:val="14"/>
                <w:szCs w:val="14"/>
              </w:rPr>
              <w:t>1,457 </w:t>
            </w:r>
          </w:p>
        </w:tc>
        <w:tc>
          <w:tcPr>
            <w:tcW w:w="0" w:type="auto"/>
            <w:shd w:val="clear" w:color="auto" w:fill="CCEEFF"/>
            <w:tcMar>
              <w:top w:w="40" w:type="dxa"/>
              <w:left w:w="0" w:type="dxa"/>
              <w:bottom w:w="40" w:type="dxa"/>
              <w:right w:w="20" w:type="dxa"/>
            </w:tcMar>
            <w:vAlign w:val="bottom"/>
          </w:tcPr>
          <w:p w14:paraId="5F2D1F3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F3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F3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3C" w14:textId="77777777" w:rsidR="00E836FB" w:rsidRDefault="00994958">
            <w:pPr>
              <w:jc w:val="right"/>
              <w:textAlignment w:val="bottom"/>
            </w:pPr>
            <w:r>
              <w:rPr>
                <w:rFonts w:ascii="Arial" w:eastAsia="宋体" w:hAnsi="Arial" w:cs="Arial"/>
                <w:color w:val="000000"/>
                <w:sz w:val="14"/>
                <w:szCs w:val="14"/>
              </w:rPr>
              <w:t>810 </w:t>
            </w:r>
          </w:p>
        </w:tc>
        <w:tc>
          <w:tcPr>
            <w:tcW w:w="0" w:type="auto"/>
            <w:shd w:val="clear" w:color="auto" w:fill="CCEEFF"/>
            <w:tcMar>
              <w:top w:w="40" w:type="dxa"/>
              <w:left w:w="0" w:type="dxa"/>
              <w:bottom w:w="40" w:type="dxa"/>
              <w:right w:w="20" w:type="dxa"/>
            </w:tcMar>
            <w:vAlign w:val="bottom"/>
          </w:tcPr>
          <w:p w14:paraId="5F2D1F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F3E" w14:textId="77777777" w:rsidR="00E836FB" w:rsidRDefault="00E836FB">
            <w:pPr>
              <w:rPr>
                <w:rFonts w:ascii="宋体"/>
              </w:rPr>
            </w:pPr>
          </w:p>
        </w:tc>
        <w:tc>
          <w:tcPr>
            <w:tcW w:w="0" w:type="auto"/>
            <w:shd w:val="clear" w:color="auto" w:fill="auto"/>
            <w:vAlign w:val="bottom"/>
          </w:tcPr>
          <w:p w14:paraId="5F2D1F3F" w14:textId="77777777" w:rsidR="00E836FB" w:rsidRDefault="00E836FB">
            <w:pPr>
              <w:rPr>
                <w:rFonts w:ascii="宋体"/>
                <w:vanish/>
              </w:rPr>
            </w:pPr>
          </w:p>
        </w:tc>
        <w:tc>
          <w:tcPr>
            <w:tcW w:w="0" w:type="auto"/>
            <w:shd w:val="clear" w:color="auto" w:fill="auto"/>
            <w:vAlign w:val="bottom"/>
          </w:tcPr>
          <w:p w14:paraId="5F2D1F40"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D1F4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42" w14:textId="77777777" w:rsidR="00E836FB" w:rsidRDefault="00994958">
            <w:pPr>
              <w:jc w:val="right"/>
              <w:textAlignment w:val="bottom"/>
            </w:pPr>
            <w:r>
              <w:rPr>
                <w:rFonts w:ascii="Arial" w:eastAsia="宋体" w:hAnsi="Arial" w:cs="Arial"/>
                <w:color w:val="000000"/>
                <w:sz w:val="14"/>
                <w:szCs w:val="14"/>
              </w:rPr>
              <w:t>263 </w:t>
            </w:r>
          </w:p>
        </w:tc>
        <w:tc>
          <w:tcPr>
            <w:tcW w:w="0" w:type="auto"/>
            <w:shd w:val="clear" w:color="auto" w:fill="CCEEFF"/>
            <w:tcMar>
              <w:top w:w="40" w:type="dxa"/>
              <w:left w:w="0" w:type="dxa"/>
              <w:bottom w:w="40" w:type="dxa"/>
              <w:right w:w="20" w:type="dxa"/>
            </w:tcMar>
            <w:vAlign w:val="bottom"/>
          </w:tcPr>
          <w:p w14:paraId="5F2D1F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F4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F45"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46" w14:textId="77777777" w:rsidR="00E836FB" w:rsidRDefault="00994958">
            <w:pPr>
              <w:jc w:val="right"/>
              <w:textAlignment w:val="bottom"/>
            </w:pPr>
            <w:r>
              <w:rPr>
                <w:rFonts w:ascii="Arial" w:eastAsia="宋体" w:hAnsi="Arial" w:cs="Arial"/>
                <w:color w:val="000000"/>
                <w:sz w:val="14"/>
                <w:szCs w:val="14"/>
              </w:rPr>
              <w:t>18,852 </w:t>
            </w:r>
          </w:p>
        </w:tc>
        <w:tc>
          <w:tcPr>
            <w:tcW w:w="0" w:type="auto"/>
            <w:shd w:val="clear" w:color="auto" w:fill="CCEEFF"/>
            <w:tcMar>
              <w:top w:w="40" w:type="dxa"/>
              <w:left w:w="0" w:type="dxa"/>
              <w:bottom w:w="40" w:type="dxa"/>
              <w:right w:w="20" w:type="dxa"/>
            </w:tcMar>
            <w:vAlign w:val="bottom"/>
          </w:tcPr>
          <w:p w14:paraId="5F2D1F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1F4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1F4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1F4A" w14:textId="77777777" w:rsidR="00E836FB" w:rsidRDefault="00994958">
            <w:pPr>
              <w:jc w:val="right"/>
              <w:textAlignment w:val="bottom"/>
            </w:pPr>
            <w:r>
              <w:rPr>
                <w:rFonts w:ascii="Arial" w:eastAsia="宋体" w:hAnsi="Arial" w:cs="Arial"/>
                <w:color w:val="000000"/>
                <w:sz w:val="14"/>
                <w:szCs w:val="14"/>
              </w:rPr>
              <w:t>32,524 </w:t>
            </w:r>
          </w:p>
        </w:tc>
        <w:tc>
          <w:tcPr>
            <w:tcW w:w="0" w:type="auto"/>
            <w:shd w:val="clear" w:color="auto" w:fill="CCEEFF"/>
            <w:tcMar>
              <w:top w:w="40" w:type="dxa"/>
              <w:left w:w="0" w:type="dxa"/>
              <w:bottom w:w="40" w:type="dxa"/>
              <w:right w:w="20" w:type="dxa"/>
            </w:tcMar>
            <w:vAlign w:val="bottom"/>
          </w:tcPr>
          <w:p w14:paraId="5F2D1F4B" w14:textId="77777777" w:rsidR="00E836FB" w:rsidRDefault="00E836FB">
            <w:pPr>
              <w:jc w:val="right"/>
              <w:rPr>
                <w:rFonts w:ascii="宋体"/>
              </w:rPr>
            </w:pPr>
          </w:p>
        </w:tc>
      </w:tr>
      <w:tr w:rsidR="00E836FB" w14:paraId="5F2D1F5F" w14:textId="77777777">
        <w:trPr>
          <w:hidden/>
        </w:trPr>
        <w:tc>
          <w:tcPr>
            <w:tcW w:w="0" w:type="auto"/>
            <w:gridSpan w:val="3"/>
            <w:shd w:val="clear" w:color="auto" w:fill="auto"/>
            <w:vAlign w:val="bottom"/>
          </w:tcPr>
          <w:p w14:paraId="5F2D1F4D" w14:textId="77777777" w:rsidR="00E836FB" w:rsidRDefault="00E836FB">
            <w:pPr>
              <w:rPr>
                <w:rFonts w:ascii="宋体"/>
                <w:vanish/>
              </w:rPr>
            </w:pPr>
          </w:p>
        </w:tc>
        <w:tc>
          <w:tcPr>
            <w:tcW w:w="0" w:type="auto"/>
            <w:gridSpan w:val="3"/>
            <w:shd w:val="clear" w:color="auto" w:fill="auto"/>
            <w:vAlign w:val="bottom"/>
          </w:tcPr>
          <w:p w14:paraId="5F2D1F4E" w14:textId="77777777" w:rsidR="00E836FB" w:rsidRDefault="00E836FB">
            <w:pPr>
              <w:rPr>
                <w:rFonts w:ascii="宋体"/>
                <w:vanish/>
              </w:rPr>
            </w:pPr>
          </w:p>
        </w:tc>
        <w:tc>
          <w:tcPr>
            <w:tcW w:w="0" w:type="auto"/>
            <w:gridSpan w:val="3"/>
            <w:shd w:val="clear" w:color="auto" w:fill="auto"/>
            <w:vAlign w:val="bottom"/>
          </w:tcPr>
          <w:p w14:paraId="5F2D1F4F" w14:textId="77777777" w:rsidR="00E836FB" w:rsidRDefault="00E836FB">
            <w:pPr>
              <w:rPr>
                <w:rFonts w:ascii="宋体"/>
                <w:vanish/>
              </w:rPr>
            </w:pPr>
          </w:p>
        </w:tc>
        <w:tc>
          <w:tcPr>
            <w:tcW w:w="0" w:type="auto"/>
            <w:gridSpan w:val="3"/>
            <w:shd w:val="clear" w:color="auto" w:fill="auto"/>
            <w:vAlign w:val="bottom"/>
          </w:tcPr>
          <w:p w14:paraId="5F2D1F50" w14:textId="77777777" w:rsidR="00E836FB" w:rsidRDefault="00E836FB">
            <w:pPr>
              <w:rPr>
                <w:rFonts w:ascii="宋体"/>
                <w:vanish/>
              </w:rPr>
            </w:pPr>
          </w:p>
        </w:tc>
        <w:tc>
          <w:tcPr>
            <w:tcW w:w="0" w:type="auto"/>
            <w:gridSpan w:val="3"/>
            <w:shd w:val="clear" w:color="auto" w:fill="auto"/>
            <w:vAlign w:val="bottom"/>
          </w:tcPr>
          <w:p w14:paraId="5F2D1F51" w14:textId="77777777" w:rsidR="00E836FB" w:rsidRDefault="00E836FB">
            <w:pPr>
              <w:rPr>
                <w:rFonts w:ascii="宋体"/>
                <w:vanish/>
              </w:rPr>
            </w:pPr>
          </w:p>
        </w:tc>
        <w:tc>
          <w:tcPr>
            <w:tcW w:w="0" w:type="auto"/>
            <w:gridSpan w:val="3"/>
            <w:shd w:val="clear" w:color="auto" w:fill="auto"/>
            <w:vAlign w:val="bottom"/>
          </w:tcPr>
          <w:p w14:paraId="5F2D1F52" w14:textId="77777777" w:rsidR="00E836FB" w:rsidRDefault="00E836FB">
            <w:pPr>
              <w:rPr>
                <w:rFonts w:ascii="宋体"/>
                <w:vanish/>
              </w:rPr>
            </w:pPr>
          </w:p>
        </w:tc>
        <w:tc>
          <w:tcPr>
            <w:tcW w:w="0" w:type="auto"/>
            <w:gridSpan w:val="3"/>
            <w:shd w:val="clear" w:color="auto" w:fill="auto"/>
            <w:vAlign w:val="bottom"/>
          </w:tcPr>
          <w:p w14:paraId="5F2D1F53" w14:textId="77777777" w:rsidR="00E836FB" w:rsidRDefault="00E836FB">
            <w:pPr>
              <w:rPr>
                <w:rFonts w:ascii="宋体"/>
                <w:vanish/>
              </w:rPr>
            </w:pPr>
          </w:p>
        </w:tc>
        <w:tc>
          <w:tcPr>
            <w:tcW w:w="0" w:type="auto"/>
            <w:gridSpan w:val="3"/>
            <w:shd w:val="clear" w:color="auto" w:fill="auto"/>
            <w:vAlign w:val="bottom"/>
          </w:tcPr>
          <w:p w14:paraId="5F2D1F54" w14:textId="77777777" w:rsidR="00E836FB" w:rsidRDefault="00E836FB">
            <w:pPr>
              <w:rPr>
                <w:rFonts w:ascii="宋体"/>
                <w:vanish/>
              </w:rPr>
            </w:pPr>
          </w:p>
        </w:tc>
        <w:tc>
          <w:tcPr>
            <w:tcW w:w="0" w:type="auto"/>
            <w:gridSpan w:val="3"/>
            <w:shd w:val="clear" w:color="auto" w:fill="auto"/>
            <w:vAlign w:val="bottom"/>
          </w:tcPr>
          <w:p w14:paraId="5F2D1F55" w14:textId="77777777" w:rsidR="00E836FB" w:rsidRDefault="00E836FB">
            <w:pPr>
              <w:rPr>
                <w:rFonts w:ascii="宋体"/>
                <w:vanish/>
              </w:rPr>
            </w:pPr>
          </w:p>
        </w:tc>
        <w:tc>
          <w:tcPr>
            <w:tcW w:w="0" w:type="auto"/>
            <w:gridSpan w:val="3"/>
            <w:shd w:val="clear" w:color="auto" w:fill="auto"/>
            <w:vAlign w:val="bottom"/>
          </w:tcPr>
          <w:p w14:paraId="5F2D1F56" w14:textId="77777777" w:rsidR="00E836FB" w:rsidRDefault="00E836FB">
            <w:pPr>
              <w:rPr>
                <w:rFonts w:ascii="宋体"/>
                <w:vanish/>
              </w:rPr>
            </w:pPr>
          </w:p>
        </w:tc>
        <w:tc>
          <w:tcPr>
            <w:tcW w:w="0" w:type="auto"/>
            <w:gridSpan w:val="3"/>
            <w:shd w:val="clear" w:color="auto" w:fill="auto"/>
            <w:vAlign w:val="bottom"/>
          </w:tcPr>
          <w:p w14:paraId="5F2D1F57" w14:textId="77777777" w:rsidR="00E836FB" w:rsidRDefault="00E836FB">
            <w:pPr>
              <w:rPr>
                <w:rFonts w:ascii="宋体"/>
                <w:vanish/>
              </w:rPr>
            </w:pPr>
          </w:p>
        </w:tc>
        <w:tc>
          <w:tcPr>
            <w:tcW w:w="0" w:type="auto"/>
            <w:shd w:val="clear" w:color="auto" w:fill="auto"/>
            <w:vAlign w:val="bottom"/>
          </w:tcPr>
          <w:p w14:paraId="5F2D1F58" w14:textId="77777777" w:rsidR="00E836FB" w:rsidRDefault="00E836FB">
            <w:pPr>
              <w:rPr>
                <w:rFonts w:ascii="宋体"/>
                <w:vanish/>
              </w:rPr>
            </w:pPr>
          </w:p>
        </w:tc>
        <w:tc>
          <w:tcPr>
            <w:tcW w:w="0" w:type="auto"/>
            <w:shd w:val="clear" w:color="auto" w:fill="auto"/>
            <w:vAlign w:val="bottom"/>
          </w:tcPr>
          <w:p w14:paraId="5F2D1F59" w14:textId="77777777" w:rsidR="00E836FB" w:rsidRDefault="00E836FB">
            <w:pPr>
              <w:rPr>
                <w:rFonts w:ascii="宋体"/>
                <w:vanish/>
              </w:rPr>
            </w:pPr>
          </w:p>
        </w:tc>
        <w:tc>
          <w:tcPr>
            <w:tcW w:w="0" w:type="auto"/>
            <w:gridSpan w:val="3"/>
            <w:shd w:val="clear" w:color="auto" w:fill="auto"/>
            <w:vAlign w:val="bottom"/>
          </w:tcPr>
          <w:p w14:paraId="5F2D1F5A" w14:textId="77777777" w:rsidR="00E836FB" w:rsidRDefault="00E836FB">
            <w:pPr>
              <w:rPr>
                <w:rFonts w:ascii="宋体"/>
                <w:vanish/>
              </w:rPr>
            </w:pPr>
          </w:p>
        </w:tc>
        <w:tc>
          <w:tcPr>
            <w:tcW w:w="0" w:type="auto"/>
            <w:gridSpan w:val="3"/>
            <w:shd w:val="clear" w:color="auto" w:fill="auto"/>
            <w:vAlign w:val="bottom"/>
          </w:tcPr>
          <w:p w14:paraId="5F2D1F5B" w14:textId="77777777" w:rsidR="00E836FB" w:rsidRDefault="00E836FB">
            <w:pPr>
              <w:rPr>
                <w:rFonts w:ascii="宋体"/>
                <w:vanish/>
              </w:rPr>
            </w:pPr>
          </w:p>
        </w:tc>
        <w:tc>
          <w:tcPr>
            <w:tcW w:w="0" w:type="auto"/>
            <w:gridSpan w:val="3"/>
            <w:shd w:val="clear" w:color="auto" w:fill="auto"/>
            <w:vAlign w:val="bottom"/>
          </w:tcPr>
          <w:p w14:paraId="5F2D1F5C" w14:textId="77777777" w:rsidR="00E836FB" w:rsidRDefault="00E836FB">
            <w:pPr>
              <w:rPr>
                <w:rFonts w:ascii="宋体"/>
                <w:vanish/>
              </w:rPr>
            </w:pPr>
          </w:p>
        </w:tc>
        <w:tc>
          <w:tcPr>
            <w:tcW w:w="0" w:type="auto"/>
            <w:gridSpan w:val="3"/>
            <w:shd w:val="clear" w:color="auto" w:fill="auto"/>
            <w:vAlign w:val="bottom"/>
          </w:tcPr>
          <w:p w14:paraId="5F2D1F5D" w14:textId="77777777" w:rsidR="00E836FB" w:rsidRDefault="00E836FB">
            <w:pPr>
              <w:rPr>
                <w:rFonts w:ascii="宋体"/>
                <w:vanish/>
              </w:rPr>
            </w:pPr>
          </w:p>
        </w:tc>
        <w:tc>
          <w:tcPr>
            <w:tcW w:w="0" w:type="auto"/>
            <w:gridSpan w:val="3"/>
            <w:shd w:val="clear" w:color="auto" w:fill="auto"/>
            <w:vAlign w:val="bottom"/>
          </w:tcPr>
          <w:p w14:paraId="5F2D1F5E" w14:textId="77777777" w:rsidR="00E836FB" w:rsidRDefault="00E836FB">
            <w:pPr>
              <w:rPr>
                <w:rFonts w:ascii="宋体"/>
                <w:vanish/>
              </w:rPr>
            </w:pPr>
          </w:p>
        </w:tc>
      </w:tr>
      <w:tr w:rsidR="00E836FB" w14:paraId="5F2D1F72" w14:textId="77777777">
        <w:trPr>
          <w:hidden/>
        </w:trPr>
        <w:tc>
          <w:tcPr>
            <w:tcW w:w="0" w:type="auto"/>
            <w:gridSpan w:val="3"/>
            <w:shd w:val="clear" w:color="auto" w:fill="auto"/>
            <w:vAlign w:val="bottom"/>
          </w:tcPr>
          <w:p w14:paraId="5F2D1F60" w14:textId="77777777" w:rsidR="00E836FB" w:rsidRDefault="00E836FB">
            <w:pPr>
              <w:rPr>
                <w:rFonts w:ascii="宋体"/>
                <w:vanish/>
              </w:rPr>
            </w:pPr>
          </w:p>
        </w:tc>
        <w:tc>
          <w:tcPr>
            <w:tcW w:w="0" w:type="auto"/>
            <w:gridSpan w:val="3"/>
            <w:shd w:val="clear" w:color="auto" w:fill="auto"/>
            <w:vAlign w:val="bottom"/>
          </w:tcPr>
          <w:p w14:paraId="5F2D1F61" w14:textId="77777777" w:rsidR="00E836FB" w:rsidRDefault="00E836FB">
            <w:pPr>
              <w:rPr>
                <w:rFonts w:ascii="宋体"/>
                <w:vanish/>
              </w:rPr>
            </w:pPr>
          </w:p>
        </w:tc>
        <w:tc>
          <w:tcPr>
            <w:tcW w:w="0" w:type="auto"/>
            <w:gridSpan w:val="3"/>
            <w:shd w:val="clear" w:color="auto" w:fill="auto"/>
            <w:vAlign w:val="bottom"/>
          </w:tcPr>
          <w:p w14:paraId="5F2D1F62" w14:textId="77777777" w:rsidR="00E836FB" w:rsidRDefault="00E836FB">
            <w:pPr>
              <w:rPr>
                <w:rFonts w:ascii="宋体"/>
                <w:vanish/>
              </w:rPr>
            </w:pPr>
          </w:p>
        </w:tc>
        <w:tc>
          <w:tcPr>
            <w:tcW w:w="0" w:type="auto"/>
            <w:gridSpan w:val="3"/>
            <w:shd w:val="clear" w:color="auto" w:fill="auto"/>
            <w:vAlign w:val="bottom"/>
          </w:tcPr>
          <w:p w14:paraId="5F2D1F63" w14:textId="77777777" w:rsidR="00E836FB" w:rsidRDefault="00E836FB">
            <w:pPr>
              <w:rPr>
                <w:rFonts w:ascii="宋体"/>
                <w:vanish/>
              </w:rPr>
            </w:pPr>
          </w:p>
        </w:tc>
        <w:tc>
          <w:tcPr>
            <w:tcW w:w="0" w:type="auto"/>
            <w:gridSpan w:val="3"/>
            <w:shd w:val="clear" w:color="auto" w:fill="auto"/>
            <w:vAlign w:val="bottom"/>
          </w:tcPr>
          <w:p w14:paraId="5F2D1F64" w14:textId="77777777" w:rsidR="00E836FB" w:rsidRDefault="00E836FB">
            <w:pPr>
              <w:rPr>
                <w:rFonts w:ascii="宋体"/>
                <w:vanish/>
              </w:rPr>
            </w:pPr>
          </w:p>
        </w:tc>
        <w:tc>
          <w:tcPr>
            <w:tcW w:w="0" w:type="auto"/>
            <w:gridSpan w:val="3"/>
            <w:shd w:val="clear" w:color="auto" w:fill="auto"/>
            <w:vAlign w:val="bottom"/>
          </w:tcPr>
          <w:p w14:paraId="5F2D1F65" w14:textId="77777777" w:rsidR="00E836FB" w:rsidRDefault="00E836FB">
            <w:pPr>
              <w:rPr>
                <w:rFonts w:ascii="宋体"/>
                <w:vanish/>
              </w:rPr>
            </w:pPr>
          </w:p>
        </w:tc>
        <w:tc>
          <w:tcPr>
            <w:tcW w:w="0" w:type="auto"/>
            <w:gridSpan w:val="3"/>
            <w:shd w:val="clear" w:color="auto" w:fill="auto"/>
            <w:vAlign w:val="bottom"/>
          </w:tcPr>
          <w:p w14:paraId="5F2D1F66" w14:textId="77777777" w:rsidR="00E836FB" w:rsidRDefault="00E836FB">
            <w:pPr>
              <w:rPr>
                <w:rFonts w:ascii="宋体"/>
                <w:vanish/>
              </w:rPr>
            </w:pPr>
          </w:p>
        </w:tc>
        <w:tc>
          <w:tcPr>
            <w:tcW w:w="0" w:type="auto"/>
            <w:gridSpan w:val="3"/>
            <w:shd w:val="clear" w:color="auto" w:fill="auto"/>
            <w:vAlign w:val="bottom"/>
          </w:tcPr>
          <w:p w14:paraId="5F2D1F67" w14:textId="77777777" w:rsidR="00E836FB" w:rsidRDefault="00E836FB">
            <w:pPr>
              <w:rPr>
                <w:rFonts w:ascii="宋体"/>
                <w:vanish/>
              </w:rPr>
            </w:pPr>
          </w:p>
        </w:tc>
        <w:tc>
          <w:tcPr>
            <w:tcW w:w="0" w:type="auto"/>
            <w:gridSpan w:val="3"/>
            <w:shd w:val="clear" w:color="auto" w:fill="auto"/>
            <w:vAlign w:val="bottom"/>
          </w:tcPr>
          <w:p w14:paraId="5F2D1F68" w14:textId="77777777" w:rsidR="00E836FB" w:rsidRDefault="00E836FB">
            <w:pPr>
              <w:rPr>
                <w:rFonts w:ascii="宋体"/>
                <w:vanish/>
              </w:rPr>
            </w:pPr>
          </w:p>
        </w:tc>
        <w:tc>
          <w:tcPr>
            <w:tcW w:w="0" w:type="auto"/>
            <w:gridSpan w:val="3"/>
            <w:shd w:val="clear" w:color="auto" w:fill="auto"/>
            <w:vAlign w:val="bottom"/>
          </w:tcPr>
          <w:p w14:paraId="5F2D1F69" w14:textId="77777777" w:rsidR="00E836FB" w:rsidRDefault="00E836FB">
            <w:pPr>
              <w:rPr>
                <w:rFonts w:ascii="宋体"/>
                <w:vanish/>
              </w:rPr>
            </w:pPr>
          </w:p>
        </w:tc>
        <w:tc>
          <w:tcPr>
            <w:tcW w:w="0" w:type="auto"/>
            <w:gridSpan w:val="3"/>
            <w:shd w:val="clear" w:color="auto" w:fill="auto"/>
            <w:vAlign w:val="bottom"/>
          </w:tcPr>
          <w:p w14:paraId="5F2D1F6A" w14:textId="77777777" w:rsidR="00E836FB" w:rsidRDefault="00E836FB">
            <w:pPr>
              <w:rPr>
                <w:rFonts w:ascii="宋体"/>
                <w:vanish/>
              </w:rPr>
            </w:pPr>
          </w:p>
        </w:tc>
        <w:tc>
          <w:tcPr>
            <w:tcW w:w="0" w:type="auto"/>
            <w:shd w:val="clear" w:color="auto" w:fill="auto"/>
            <w:vAlign w:val="bottom"/>
          </w:tcPr>
          <w:p w14:paraId="5F2D1F6B" w14:textId="77777777" w:rsidR="00E836FB" w:rsidRDefault="00E836FB">
            <w:pPr>
              <w:rPr>
                <w:rFonts w:ascii="宋体"/>
                <w:vanish/>
              </w:rPr>
            </w:pPr>
          </w:p>
        </w:tc>
        <w:tc>
          <w:tcPr>
            <w:tcW w:w="0" w:type="auto"/>
            <w:shd w:val="clear" w:color="auto" w:fill="auto"/>
            <w:vAlign w:val="bottom"/>
          </w:tcPr>
          <w:p w14:paraId="5F2D1F6C" w14:textId="77777777" w:rsidR="00E836FB" w:rsidRDefault="00E836FB">
            <w:pPr>
              <w:rPr>
                <w:rFonts w:ascii="宋体"/>
                <w:vanish/>
              </w:rPr>
            </w:pPr>
          </w:p>
        </w:tc>
        <w:tc>
          <w:tcPr>
            <w:tcW w:w="0" w:type="auto"/>
            <w:gridSpan w:val="3"/>
            <w:shd w:val="clear" w:color="auto" w:fill="auto"/>
            <w:vAlign w:val="bottom"/>
          </w:tcPr>
          <w:p w14:paraId="5F2D1F6D" w14:textId="77777777" w:rsidR="00E836FB" w:rsidRDefault="00E836FB">
            <w:pPr>
              <w:rPr>
                <w:rFonts w:ascii="宋体"/>
                <w:vanish/>
              </w:rPr>
            </w:pPr>
          </w:p>
        </w:tc>
        <w:tc>
          <w:tcPr>
            <w:tcW w:w="0" w:type="auto"/>
            <w:gridSpan w:val="3"/>
            <w:shd w:val="clear" w:color="auto" w:fill="auto"/>
            <w:vAlign w:val="bottom"/>
          </w:tcPr>
          <w:p w14:paraId="5F2D1F6E" w14:textId="77777777" w:rsidR="00E836FB" w:rsidRDefault="00E836FB">
            <w:pPr>
              <w:rPr>
                <w:rFonts w:ascii="宋体"/>
                <w:vanish/>
              </w:rPr>
            </w:pPr>
          </w:p>
        </w:tc>
        <w:tc>
          <w:tcPr>
            <w:tcW w:w="0" w:type="auto"/>
            <w:gridSpan w:val="3"/>
            <w:shd w:val="clear" w:color="auto" w:fill="auto"/>
            <w:vAlign w:val="bottom"/>
          </w:tcPr>
          <w:p w14:paraId="5F2D1F6F" w14:textId="77777777" w:rsidR="00E836FB" w:rsidRDefault="00E836FB">
            <w:pPr>
              <w:rPr>
                <w:rFonts w:ascii="宋体"/>
                <w:vanish/>
              </w:rPr>
            </w:pPr>
          </w:p>
        </w:tc>
        <w:tc>
          <w:tcPr>
            <w:tcW w:w="0" w:type="auto"/>
            <w:gridSpan w:val="3"/>
            <w:shd w:val="clear" w:color="auto" w:fill="auto"/>
            <w:vAlign w:val="bottom"/>
          </w:tcPr>
          <w:p w14:paraId="5F2D1F70" w14:textId="77777777" w:rsidR="00E836FB" w:rsidRDefault="00E836FB">
            <w:pPr>
              <w:rPr>
                <w:rFonts w:ascii="宋体"/>
                <w:vanish/>
              </w:rPr>
            </w:pPr>
          </w:p>
        </w:tc>
        <w:tc>
          <w:tcPr>
            <w:tcW w:w="0" w:type="auto"/>
            <w:gridSpan w:val="3"/>
            <w:shd w:val="clear" w:color="auto" w:fill="auto"/>
            <w:vAlign w:val="bottom"/>
          </w:tcPr>
          <w:p w14:paraId="5F2D1F71" w14:textId="77777777" w:rsidR="00E836FB" w:rsidRDefault="00E836FB">
            <w:pPr>
              <w:rPr>
                <w:rFonts w:ascii="宋体"/>
                <w:vanish/>
              </w:rPr>
            </w:pPr>
          </w:p>
        </w:tc>
      </w:tr>
      <w:tr w:rsidR="00E836FB" w14:paraId="5F2D1F85" w14:textId="77777777">
        <w:trPr>
          <w:hidden/>
        </w:trPr>
        <w:tc>
          <w:tcPr>
            <w:tcW w:w="0" w:type="auto"/>
            <w:gridSpan w:val="3"/>
            <w:shd w:val="clear" w:color="auto" w:fill="auto"/>
            <w:vAlign w:val="bottom"/>
          </w:tcPr>
          <w:p w14:paraId="5F2D1F73" w14:textId="77777777" w:rsidR="00E836FB" w:rsidRDefault="00E836FB">
            <w:pPr>
              <w:rPr>
                <w:rFonts w:ascii="宋体"/>
                <w:vanish/>
              </w:rPr>
            </w:pPr>
          </w:p>
        </w:tc>
        <w:tc>
          <w:tcPr>
            <w:tcW w:w="0" w:type="auto"/>
            <w:gridSpan w:val="3"/>
            <w:shd w:val="clear" w:color="auto" w:fill="auto"/>
            <w:vAlign w:val="bottom"/>
          </w:tcPr>
          <w:p w14:paraId="5F2D1F74" w14:textId="77777777" w:rsidR="00E836FB" w:rsidRDefault="00E836FB">
            <w:pPr>
              <w:rPr>
                <w:rFonts w:ascii="宋体"/>
                <w:vanish/>
              </w:rPr>
            </w:pPr>
          </w:p>
        </w:tc>
        <w:tc>
          <w:tcPr>
            <w:tcW w:w="0" w:type="auto"/>
            <w:gridSpan w:val="3"/>
            <w:shd w:val="clear" w:color="auto" w:fill="auto"/>
            <w:vAlign w:val="bottom"/>
          </w:tcPr>
          <w:p w14:paraId="5F2D1F75" w14:textId="77777777" w:rsidR="00E836FB" w:rsidRDefault="00E836FB">
            <w:pPr>
              <w:rPr>
                <w:rFonts w:ascii="宋体"/>
                <w:vanish/>
              </w:rPr>
            </w:pPr>
          </w:p>
        </w:tc>
        <w:tc>
          <w:tcPr>
            <w:tcW w:w="0" w:type="auto"/>
            <w:gridSpan w:val="3"/>
            <w:shd w:val="clear" w:color="auto" w:fill="auto"/>
            <w:vAlign w:val="bottom"/>
          </w:tcPr>
          <w:p w14:paraId="5F2D1F76" w14:textId="77777777" w:rsidR="00E836FB" w:rsidRDefault="00E836FB">
            <w:pPr>
              <w:rPr>
                <w:rFonts w:ascii="宋体"/>
                <w:vanish/>
              </w:rPr>
            </w:pPr>
          </w:p>
        </w:tc>
        <w:tc>
          <w:tcPr>
            <w:tcW w:w="0" w:type="auto"/>
            <w:gridSpan w:val="3"/>
            <w:shd w:val="clear" w:color="auto" w:fill="auto"/>
            <w:vAlign w:val="bottom"/>
          </w:tcPr>
          <w:p w14:paraId="5F2D1F77" w14:textId="77777777" w:rsidR="00E836FB" w:rsidRDefault="00E836FB">
            <w:pPr>
              <w:rPr>
                <w:rFonts w:ascii="宋体"/>
                <w:vanish/>
              </w:rPr>
            </w:pPr>
          </w:p>
        </w:tc>
        <w:tc>
          <w:tcPr>
            <w:tcW w:w="0" w:type="auto"/>
            <w:gridSpan w:val="3"/>
            <w:shd w:val="clear" w:color="auto" w:fill="auto"/>
            <w:vAlign w:val="bottom"/>
          </w:tcPr>
          <w:p w14:paraId="5F2D1F78" w14:textId="77777777" w:rsidR="00E836FB" w:rsidRDefault="00E836FB">
            <w:pPr>
              <w:rPr>
                <w:rFonts w:ascii="宋体"/>
                <w:vanish/>
              </w:rPr>
            </w:pPr>
          </w:p>
        </w:tc>
        <w:tc>
          <w:tcPr>
            <w:tcW w:w="0" w:type="auto"/>
            <w:gridSpan w:val="3"/>
            <w:shd w:val="clear" w:color="auto" w:fill="auto"/>
            <w:vAlign w:val="bottom"/>
          </w:tcPr>
          <w:p w14:paraId="5F2D1F79" w14:textId="77777777" w:rsidR="00E836FB" w:rsidRDefault="00E836FB">
            <w:pPr>
              <w:rPr>
                <w:rFonts w:ascii="宋体"/>
                <w:vanish/>
              </w:rPr>
            </w:pPr>
          </w:p>
        </w:tc>
        <w:tc>
          <w:tcPr>
            <w:tcW w:w="0" w:type="auto"/>
            <w:gridSpan w:val="3"/>
            <w:shd w:val="clear" w:color="auto" w:fill="auto"/>
            <w:vAlign w:val="bottom"/>
          </w:tcPr>
          <w:p w14:paraId="5F2D1F7A" w14:textId="77777777" w:rsidR="00E836FB" w:rsidRDefault="00E836FB">
            <w:pPr>
              <w:rPr>
                <w:rFonts w:ascii="宋体"/>
                <w:vanish/>
              </w:rPr>
            </w:pPr>
          </w:p>
        </w:tc>
        <w:tc>
          <w:tcPr>
            <w:tcW w:w="0" w:type="auto"/>
            <w:gridSpan w:val="3"/>
            <w:shd w:val="clear" w:color="auto" w:fill="auto"/>
            <w:vAlign w:val="bottom"/>
          </w:tcPr>
          <w:p w14:paraId="5F2D1F7B" w14:textId="77777777" w:rsidR="00E836FB" w:rsidRDefault="00E836FB">
            <w:pPr>
              <w:rPr>
                <w:rFonts w:ascii="宋体"/>
                <w:vanish/>
              </w:rPr>
            </w:pPr>
          </w:p>
        </w:tc>
        <w:tc>
          <w:tcPr>
            <w:tcW w:w="0" w:type="auto"/>
            <w:gridSpan w:val="3"/>
            <w:shd w:val="clear" w:color="auto" w:fill="auto"/>
            <w:vAlign w:val="bottom"/>
          </w:tcPr>
          <w:p w14:paraId="5F2D1F7C" w14:textId="77777777" w:rsidR="00E836FB" w:rsidRDefault="00E836FB">
            <w:pPr>
              <w:rPr>
                <w:rFonts w:ascii="宋体"/>
                <w:vanish/>
              </w:rPr>
            </w:pPr>
          </w:p>
        </w:tc>
        <w:tc>
          <w:tcPr>
            <w:tcW w:w="0" w:type="auto"/>
            <w:gridSpan w:val="3"/>
            <w:shd w:val="clear" w:color="auto" w:fill="auto"/>
            <w:vAlign w:val="bottom"/>
          </w:tcPr>
          <w:p w14:paraId="5F2D1F7D" w14:textId="77777777" w:rsidR="00E836FB" w:rsidRDefault="00E836FB">
            <w:pPr>
              <w:rPr>
                <w:rFonts w:ascii="宋体"/>
                <w:vanish/>
              </w:rPr>
            </w:pPr>
          </w:p>
        </w:tc>
        <w:tc>
          <w:tcPr>
            <w:tcW w:w="0" w:type="auto"/>
            <w:shd w:val="clear" w:color="auto" w:fill="auto"/>
            <w:vAlign w:val="bottom"/>
          </w:tcPr>
          <w:p w14:paraId="5F2D1F7E" w14:textId="77777777" w:rsidR="00E836FB" w:rsidRDefault="00E836FB">
            <w:pPr>
              <w:rPr>
                <w:rFonts w:ascii="宋体"/>
                <w:vanish/>
              </w:rPr>
            </w:pPr>
          </w:p>
        </w:tc>
        <w:tc>
          <w:tcPr>
            <w:tcW w:w="0" w:type="auto"/>
            <w:shd w:val="clear" w:color="auto" w:fill="auto"/>
            <w:vAlign w:val="bottom"/>
          </w:tcPr>
          <w:p w14:paraId="5F2D1F7F" w14:textId="77777777" w:rsidR="00E836FB" w:rsidRDefault="00E836FB">
            <w:pPr>
              <w:rPr>
                <w:rFonts w:ascii="宋体"/>
                <w:vanish/>
              </w:rPr>
            </w:pPr>
          </w:p>
        </w:tc>
        <w:tc>
          <w:tcPr>
            <w:tcW w:w="0" w:type="auto"/>
            <w:gridSpan w:val="3"/>
            <w:shd w:val="clear" w:color="auto" w:fill="auto"/>
            <w:vAlign w:val="bottom"/>
          </w:tcPr>
          <w:p w14:paraId="5F2D1F80" w14:textId="77777777" w:rsidR="00E836FB" w:rsidRDefault="00E836FB">
            <w:pPr>
              <w:rPr>
                <w:rFonts w:ascii="宋体"/>
                <w:vanish/>
              </w:rPr>
            </w:pPr>
          </w:p>
        </w:tc>
        <w:tc>
          <w:tcPr>
            <w:tcW w:w="0" w:type="auto"/>
            <w:gridSpan w:val="3"/>
            <w:shd w:val="clear" w:color="auto" w:fill="auto"/>
            <w:vAlign w:val="bottom"/>
          </w:tcPr>
          <w:p w14:paraId="5F2D1F81" w14:textId="77777777" w:rsidR="00E836FB" w:rsidRDefault="00E836FB">
            <w:pPr>
              <w:rPr>
                <w:rFonts w:ascii="宋体"/>
                <w:vanish/>
              </w:rPr>
            </w:pPr>
          </w:p>
        </w:tc>
        <w:tc>
          <w:tcPr>
            <w:tcW w:w="0" w:type="auto"/>
            <w:gridSpan w:val="3"/>
            <w:shd w:val="clear" w:color="auto" w:fill="auto"/>
            <w:vAlign w:val="bottom"/>
          </w:tcPr>
          <w:p w14:paraId="5F2D1F82" w14:textId="77777777" w:rsidR="00E836FB" w:rsidRDefault="00E836FB">
            <w:pPr>
              <w:rPr>
                <w:rFonts w:ascii="宋体"/>
                <w:vanish/>
              </w:rPr>
            </w:pPr>
          </w:p>
        </w:tc>
        <w:tc>
          <w:tcPr>
            <w:tcW w:w="0" w:type="auto"/>
            <w:gridSpan w:val="3"/>
            <w:shd w:val="clear" w:color="auto" w:fill="auto"/>
            <w:vAlign w:val="bottom"/>
          </w:tcPr>
          <w:p w14:paraId="5F2D1F83" w14:textId="77777777" w:rsidR="00E836FB" w:rsidRDefault="00E836FB">
            <w:pPr>
              <w:rPr>
                <w:rFonts w:ascii="宋体"/>
                <w:vanish/>
              </w:rPr>
            </w:pPr>
          </w:p>
        </w:tc>
        <w:tc>
          <w:tcPr>
            <w:tcW w:w="0" w:type="auto"/>
            <w:gridSpan w:val="3"/>
            <w:shd w:val="clear" w:color="auto" w:fill="auto"/>
            <w:vAlign w:val="bottom"/>
          </w:tcPr>
          <w:p w14:paraId="5F2D1F84" w14:textId="77777777" w:rsidR="00E836FB" w:rsidRDefault="00E836FB">
            <w:pPr>
              <w:rPr>
                <w:rFonts w:ascii="宋体"/>
                <w:vanish/>
              </w:rPr>
            </w:pPr>
          </w:p>
        </w:tc>
      </w:tr>
      <w:tr w:rsidR="00E836FB" w14:paraId="5F2D1F98" w14:textId="77777777">
        <w:trPr>
          <w:hidden/>
        </w:trPr>
        <w:tc>
          <w:tcPr>
            <w:tcW w:w="0" w:type="auto"/>
            <w:gridSpan w:val="3"/>
            <w:shd w:val="clear" w:color="auto" w:fill="auto"/>
            <w:vAlign w:val="bottom"/>
          </w:tcPr>
          <w:p w14:paraId="5F2D1F86" w14:textId="77777777" w:rsidR="00E836FB" w:rsidRDefault="00E836FB">
            <w:pPr>
              <w:rPr>
                <w:rFonts w:ascii="宋体"/>
                <w:vanish/>
              </w:rPr>
            </w:pPr>
          </w:p>
        </w:tc>
        <w:tc>
          <w:tcPr>
            <w:tcW w:w="0" w:type="auto"/>
            <w:gridSpan w:val="3"/>
            <w:shd w:val="clear" w:color="auto" w:fill="auto"/>
            <w:vAlign w:val="bottom"/>
          </w:tcPr>
          <w:p w14:paraId="5F2D1F87" w14:textId="77777777" w:rsidR="00E836FB" w:rsidRDefault="00E836FB">
            <w:pPr>
              <w:rPr>
                <w:rFonts w:ascii="宋体"/>
                <w:vanish/>
              </w:rPr>
            </w:pPr>
          </w:p>
        </w:tc>
        <w:tc>
          <w:tcPr>
            <w:tcW w:w="0" w:type="auto"/>
            <w:gridSpan w:val="3"/>
            <w:shd w:val="clear" w:color="auto" w:fill="auto"/>
            <w:vAlign w:val="bottom"/>
          </w:tcPr>
          <w:p w14:paraId="5F2D1F88" w14:textId="77777777" w:rsidR="00E836FB" w:rsidRDefault="00E836FB">
            <w:pPr>
              <w:rPr>
                <w:rFonts w:ascii="宋体"/>
                <w:vanish/>
              </w:rPr>
            </w:pPr>
          </w:p>
        </w:tc>
        <w:tc>
          <w:tcPr>
            <w:tcW w:w="0" w:type="auto"/>
            <w:gridSpan w:val="3"/>
            <w:shd w:val="clear" w:color="auto" w:fill="auto"/>
            <w:vAlign w:val="bottom"/>
          </w:tcPr>
          <w:p w14:paraId="5F2D1F89" w14:textId="77777777" w:rsidR="00E836FB" w:rsidRDefault="00E836FB">
            <w:pPr>
              <w:rPr>
                <w:rFonts w:ascii="宋体"/>
                <w:vanish/>
              </w:rPr>
            </w:pPr>
          </w:p>
        </w:tc>
        <w:tc>
          <w:tcPr>
            <w:tcW w:w="0" w:type="auto"/>
            <w:gridSpan w:val="3"/>
            <w:shd w:val="clear" w:color="auto" w:fill="auto"/>
            <w:vAlign w:val="bottom"/>
          </w:tcPr>
          <w:p w14:paraId="5F2D1F8A" w14:textId="77777777" w:rsidR="00E836FB" w:rsidRDefault="00E836FB">
            <w:pPr>
              <w:rPr>
                <w:rFonts w:ascii="宋体"/>
                <w:vanish/>
              </w:rPr>
            </w:pPr>
          </w:p>
        </w:tc>
        <w:tc>
          <w:tcPr>
            <w:tcW w:w="0" w:type="auto"/>
            <w:gridSpan w:val="3"/>
            <w:shd w:val="clear" w:color="auto" w:fill="auto"/>
            <w:vAlign w:val="bottom"/>
          </w:tcPr>
          <w:p w14:paraId="5F2D1F8B" w14:textId="77777777" w:rsidR="00E836FB" w:rsidRDefault="00E836FB">
            <w:pPr>
              <w:rPr>
                <w:rFonts w:ascii="宋体"/>
                <w:vanish/>
              </w:rPr>
            </w:pPr>
          </w:p>
        </w:tc>
        <w:tc>
          <w:tcPr>
            <w:tcW w:w="0" w:type="auto"/>
            <w:gridSpan w:val="3"/>
            <w:shd w:val="clear" w:color="auto" w:fill="auto"/>
            <w:vAlign w:val="bottom"/>
          </w:tcPr>
          <w:p w14:paraId="5F2D1F8C" w14:textId="77777777" w:rsidR="00E836FB" w:rsidRDefault="00E836FB">
            <w:pPr>
              <w:rPr>
                <w:rFonts w:ascii="宋体"/>
                <w:vanish/>
              </w:rPr>
            </w:pPr>
          </w:p>
        </w:tc>
        <w:tc>
          <w:tcPr>
            <w:tcW w:w="0" w:type="auto"/>
            <w:gridSpan w:val="3"/>
            <w:shd w:val="clear" w:color="auto" w:fill="auto"/>
            <w:vAlign w:val="bottom"/>
          </w:tcPr>
          <w:p w14:paraId="5F2D1F8D" w14:textId="77777777" w:rsidR="00E836FB" w:rsidRDefault="00E836FB">
            <w:pPr>
              <w:rPr>
                <w:rFonts w:ascii="宋体"/>
                <w:vanish/>
              </w:rPr>
            </w:pPr>
          </w:p>
        </w:tc>
        <w:tc>
          <w:tcPr>
            <w:tcW w:w="0" w:type="auto"/>
            <w:gridSpan w:val="3"/>
            <w:shd w:val="clear" w:color="auto" w:fill="auto"/>
            <w:vAlign w:val="bottom"/>
          </w:tcPr>
          <w:p w14:paraId="5F2D1F8E" w14:textId="77777777" w:rsidR="00E836FB" w:rsidRDefault="00E836FB">
            <w:pPr>
              <w:rPr>
                <w:rFonts w:ascii="宋体"/>
                <w:vanish/>
              </w:rPr>
            </w:pPr>
          </w:p>
        </w:tc>
        <w:tc>
          <w:tcPr>
            <w:tcW w:w="0" w:type="auto"/>
            <w:gridSpan w:val="3"/>
            <w:shd w:val="clear" w:color="auto" w:fill="auto"/>
            <w:vAlign w:val="bottom"/>
          </w:tcPr>
          <w:p w14:paraId="5F2D1F8F" w14:textId="77777777" w:rsidR="00E836FB" w:rsidRDefault="00E836FB">
            <w:pPr>
              <w:rPr>
                <w:rFonts w:ascii="宋体"/>
                <w:vanish/>
              </w:rPr>
            </w:pPr>
          </w:p>
        </w:tc>
        <w:tc>
          <w:tcPr>
            <w:tcW w:w="0" w:type="auto"/>
            <w:gridSpan w:val="3"/>
            <w:shd w:val="clear" w:color="auto" w:fill="auto"/>
            <w:vAlign w:val="bottom"/>
          </w:tcPr>
          <w:p w14:paraId="5F2D1F90" w14:textId="77777777" w:rsidR="00E836FB" w:rsidRDefault="00E836FB">
            <w:pPr>
              <w:rPr>
                <w:rFonts w:ascii="宋体"/>
                <w:vanish/>
              </w:rPr>
            </w:pPr>
          </w:p>
        </w:tc>
        <w:tc>
          <w:tcPr>
            <w:tcW w:w="0" w:type="auto"/>
            <w:shd w:val="clear" w:color="auto" w:fill="auto"/>
            <w:vAlign w:val="bottom"/>
          </w:tcPr>
          <w:p w14:paraId="5F2D1F91" w14:textId="77777777" w:rsidR="00E836FB" w:rsidRDefault="00E836FB">
            <w:pPr>
              <w:rPr>
                <w:rFonts w:ascii="宋体"/>
                <w:vanish/>
              </w:rPr>
            </w:pPr>
          </w:p>
        </w:tc>
        <w:tc>
          <w:tcPr>
            <w:tcW w:w="0" w:type="auto"/>
            <w:shd w:val="clear" w:color="auto" w:fill="auto"/>
            <w:vAlign w:val="bottom"/>
          </w:tcPr>
          <w:p w14:paraId="5F2D1F92" w14:textId="77777777" w:rsidR="00E836FB" w:rsidRDefault="00E836FB">
            <w:pPr>
              <w:rPr>
                <w:rFonts w:ascii="宋体"/>
                <w:vanish/>
              </w:rPr>
            </w:pPr>
          </w:p>
        </w:tc>
        <w:tc>
          <w:tcPr>
            <w:tcW w:w="0" w:type="auto"/>
            <w:gridSpan w:val="3"/>
            <w:shd w:val="clear" w:color="auto" w:fill="auto"/>
            <w:vAlign w:val="bottom"/>
          </w:tcPr>
          <w:p w14:paraId="5F2D1F93" w14:textId="77777777" w:rsidR="00E836FB" w:rsidRDefault="00E836FB">
            <w:pPr>
              <w:rPr>
                <w:rFonts w:ascii="宋体"/>
                <w:vanish/>
              </w:rPr>
            </w:pPr>
          </w:p>
        </w:tc>
        <w:tc>
          <w:tcPr>
            <w:tcW w:w="0" w:type="auto"/>
            <w:gridSpan w:val="3"/>
            <w:shd w:val="clear" w:color="auto" w:fill="auto"/>
            <w:vAlign w:val="bottom"/>
          </w:tcPr>
          <w:p w14:paraId="5F2D1F94" w14:textId="77777777" w:rsidR="00E836FB" w:rsidRDefault="00E836FB">
            <w:pPr>
              <w:rPr>
                <w:rFonts w:ascii="宋体"/>
                <w:vanish/>
              </w:rPr>
            </w:pPr>
          </w:p>
        </w:tc>
        <w:tc>
          <w:tcPr>
            <w:tcW w:w="0" w:type="auto"/>
            <w:gridSpan w:val="3"/>
            <w:shd w:val="clear" w:color="auto" w:fill="auto"/>
            <w:vAlign w:val="bottom"/>
          </w:tcPr>
          <w:p w14:paraId="5F2D1F95" w14:textId="77777777" w:rsidR="00E836FB" w:rsidRDefault="00E836FB">
            <w:pPr>
              <w:rPr>
                <w:rFonts w:ascii="宋体"/>
                <w:vanish/>
              </w:rPr>
            </w:pPr>
          </w:p>
        </w:tc>
        <w:tc>
          <w:tcPr>
            <w:tcW w:w="0" w:type="auto"/>
            <w:gridSpan w:val="3"/>
            <w:shd w:val="clear" w:color="auto" w:fill="auto"/>
            <w:vAlign w:val="bottom"/>
          </w:tcPr>
          <w:p w14:paraId="5F2D1F96" w14:textId="77777777" w:rsidR="00E836FB" w:rsidRDefault="00E836FB">
            <w:pPr>
              <w:rPr>
                <w:rFonts w:ascii="宋体"/>
                <w:vanish/>
              </w:rPr>
            </w:pPr>
          </w:p>
        </w:tc>
        <w:tc>
          <w:tcPr>
            <w:tcW w:w="0" w:type="auto"/>
            <w:gridSpan w:val="3"/>
            <w:shd w:val="clear" w:color="auto" w:fill="auto"/>
            <w:vAlign w:val="bottom"/>
          </w:tcPr>
          <w:p w14:paraId="5F2D1F97" w14:textId="77777777" w:rsidR="00E836FB" w:rsidRDefault="00E836FB">
            <w:pPr>
              <w:rPr>
                <w:rFonts w:ascii="宋体"/>
                <w:vanish/>
              </w:rPr>
            </w:pPr>
          </w:p>
        </w:tc>
      </w:tr>
      <w:tr w:rsidR="00E836FB" w14:paraId="5F2D1FAB" w14:textId="77777777">
        <w:trPr>
          <w:hidden/>
        </w:trPr>
        <w:tc>
          <w:tcPr>
            <w:tcW w:w="0" w:type="auto"/>
            <w:gridSpan w:val="3"/>
            <w:shd w:val="clear" w:color="auto" w:fill="auto"/>
            <w:vAlign w:val="bottom"/>
          </w:tcPr>
          <w:p w14:paraId="5F2D1F99" w14:textId="77777777" w:rsidR="00E836FB" w:rsidRDefault="00E836FB">
            <w:pPr>
              <w:rPr>
                <w:rFonts w:ascii="宋体"/>
                <w:vanish/>
              </w:rPr>
            </w:pPr>
          </w:p>
        </w:tc>
        <w:tc>
          <w:tcPr>
            <w:tcW w:w="0" w:type="auto"/>
            <w:gridSpan w:val="3"/>
            <w:shd w:val="clear" w:color="auto" w:fill="auto"/>
            <w:vAlign w:val="bottom"/>
          </w:tcPr>
          <w:p w14:paraId="5F2D1F9A" w14:textId="77777777" w:rsidR="00E836FB" w:rsidRDefault="00E836FB">
            <w:pPr>
              <w:rPr>
                <w:rFonts w:ascii="宋体"/>
                <w:vanish/>
              </w:rPr>
            </w:pPr>
          </w:p>
        </w:tc>
        <w:tc>
          <w:tcPr>
            <w:tcW w:w="0" w:type="auto"/>
            <w:gridSpan w:val="3"/>
            <w:shd w:val="clear" w:color="auto" w:fill="auto"/>
            <w:vAlign w:val="bottom"/>
          </w:tcPr>
          <w:p w14:paraId="5F2D1F9B" w14:textId="77777777" w:rsidR="00E836FB" w:rsidRDefault="00E836FB">
            <w:pPr>
              <w:rPr>
                <w:rFonts w:ascii="宋体"/>
                <w:vanish/>
              </w:rPr>
            </w:pPr>
          </w:p>
        </w:tc>
        <w:tc>
          <w:tcPr>
            <w:tcW w:w="0" w:type="auto"/>
            <w:gridSpan w:val="3"/>
            <w:shd w:val="clear" w:color="auto" w:fill="auto"/>
            <w:vAlign w:val="bottom"/>
          </w:tcPr>
          <w:p w14:paraId="5F2D1F9C" w14:textId="77777777" w:rsidR="00E836FB" w:rsidRDefault="00E836FB">
            <w:pPr>
              <w:rPr>
                <w:rFonts w:ascii="宋体"/>
                <w:vanish/>
              </w:rPr>
            </w:pPr>
          </w:p>
        </w:tc>
        <w:tc>
          <w:tcPr>
            <w:tcW w:w="0" w:type="auto"/>
            <w:gridSpan w:val="3"/>
            <w:shd w:val="clear" w:color="auto" w:fill="auto"/>
            <w:vAlign w:val="bottom"/>
          </w:tcPr>
          <w:p w14:paraId="5F2D1F9D" w14:textId="77777777" w:rsidR="00E836FB" w:rsidRDefault="00E836FB">
            <w:pPr>
              <w:rPr>
                <w:rFonts w:ascii="宋体"/>
                <w:vanish/>
              </w:rPr>
            </w:pPr>
          </w:p>
        </w:tc>
        <w:tc>
          <w:tcPr>
            <w:tcW w:w="0" w:type="auto"/>
            <w:gridSpan w:val="3"/>
            <w:shd w:val="clear" w:color="auto" w:fill="auto"/>
            <w:vAlign w:val="bottom"/>
          </w:tcPr>
          <w:p w14:paraId="5F2D1F9E" w14:textId="77777777" w:rsidR="00E836FB" w:rsidRDefault="00E836FB">
            <w:pPr>
              <w:rPr>
                <w:rFonts w:ascii="宋体"/>
                <w:vanish/>
              </w:rPr>
            </w:pPr>
          </w:p>
        </w:tc>
        <w:tc>
          <w:tcPr>
            <w:tcW w:w="0" w:type="auto"/>
            <w:gridSpan w:val="3"/>
            <w:shd w:val="clear" w:color="auto" w:fill="auto"/>
            <w:vAlign w:val="bottom"/>
          </w:tcPr>
          <w:p w14:paraId="5F2D1F9F" w14:textId="77777777" w:rsidR="00E836FB" w:rsidRDefault="00E836FB">
            <w:pPr>
              <w:rPr>
                <w:rFonts w:ascii="宋体"/>
                <w:vanish/>
              </w:rPr>
            </w:pPr>
          </w:p>
        </w:tc>
        <w:tc>
          <w:tcPr>
            <w:tcW w:w="0" w:type="auto"/>
            <w:gridSpan w:val="3"/>
            <w:shd w:val="clear" w:color="auto" w:fill="auto"/>
            <w:vAlign w:val="bottom"/>
          </w:tcPr>
          <w:p w14:paraId="5F2D1FA0" w14:textId="77777777" w:rsidR="00E836FB" w:rsidRDefault="00E836FB">
            <w:pPr>
              <w:rPr>
                <w:rFonts w:ascii="宋体"/>
                <w:vanish/>
              </w:rPr>
            </w:pPr>
          </w:p>
        </w:tc>
        <w:tc>
          <w:tcPr>
            <w:tcW w:w="0" w:type="auto"/>
            <w:gridSpan w:val="3"/>
            <w:shd w:val="clear" w:color="auto" w:fill="auto"/>
            <w:vAlign w:val="bottom"/>
          </w:tcPr>
          <w:p w14:paraId="5F2D1FA1" w14:textId="77777777" w:rsidR="00E836FB" w:rsidRDefault="00E836FB">
            <w:pPr>
              <w:rPr>
                <w:rFonts w:ascii="宋体"/>
                <w:vanish/>
              </w:rPr>
            </w:pPr>
          </w:p>
        </w:tc>
        <w:tc>
          <w:tcPr>
            <w:tcW w:w="0" w:type="auto"/>
            <w:gridSpan w:val="3"/>
            <w:shd w:val="clear" w:color="auto" w:fill="auto"/>
            <w:vAlign w:val="bottom"/>
          </w:tcPr>
          <w:p w14:paraId="5F2D1FA2" w14:textId="77777777" w:rsidR="00E836FB" w:rsidRDefault="00E836FB">
            <w:pPr>
              <w:rPr>
                <w:rFonts w:ascii="宋体"/>
                <w:vanish/>
              </w:rPr>
            </w:pPr>
          </w:p>
        </w:tc>
        <w:tc>
          <w:tcPr>
            <w:tcW w:w="0" w:type="auto"/>
            <w:gridSpan w:val="3"/>
            <w:shd w:val="clear" w:color="auto" w:fill="auto"/>
            <w:vAlign w:val="bottom"/>
          </w:tcPr>
          <w:p w14:paraId="5F2D1FA3" w14:textId="77777777" w:rsidR="00E836FB" w:rsidRDefault="00E836FB">
            <w:pPr>
              <w:rPr>
                <w:rFonts w:ascii="宋体"/>
                <w:vanish/>
              </w:rPr>
            </w:pPr>
          </w:p>
        </w:tc>
        <w:tc>
          <w:tcPr>
            <w:tcW w:w="0" w:type="auto"/>
            <w:shd w:val="clear" w:color="auto" w:fill="auto"/>
            <w:vAlign w:val="bottom"/>
          </w:tcPr>
          <w:p w14:paraId="5F2D1FA4" w14:textId="77777777" w:rsidR="00E836FB" w:rsidRDefault="00E836FB">
            <w:pPr>
              <w:rPr>
                <w:rFonts w:ascii="宋体"/>
                <w:vanish/>
              </w:rPr>
            </w:pPr>
          </w:p>
        </w:tc>
        <w:tc>
          <w:tcPr>
            <w:tcW w:w="0" w:type="auto"/>
            <w:shd w:val="clear" w:color="auto" w:fill="auto"/>
            <w:vAlign w:val="bottom"/>
          </w:tcPr>
          <w:p w14:paraId="5F2D1FA5" w14:textId="77777777" w:rsidR="00E836FB" w:rsidRDefault="00E836FB">
            <w:pPr>
              <w:rPr>
                <w:rFonts w:ascii="宋体"/>
                <w:vanish/>
              </w:rPr>
            </w:pPr>
          </w:p>
        </w:tc>
        <w:tc>
          <w:tcPr>
            <w:tcW w:w="0" w:type="auto"/>
            <w:gridSpan w:val="3"/>
            <w:shd w:val="clear" w:color="auto" w:fill="auto"/>
            <w:vAlign w:val="bottom"/>
          </w:tcPr>
          <w:p w14:paraId="5F2D1FA6" w14:textId="77777777" w:rsidR="00E836FB" w:rsidRDefault="00E836FB">
            <w:pPr>
              <w:rPr>
                <w:rFonts w:ascii="宋体"/>
                <w:vanish/>
              </w:rPr>
            </w:pPr>
          </w:p>
        </w:tc>
        <w:tc>
          <w:tcPr>
            <w:tcW w:w="0" w:type="auto"/>
            <w:gridSpan w:val="3"/>
            <w:shd w:val="clear" w:color="auto" w:fill="auto"/>
            <w:vAlign w:val="bottom"/>
          </w:tcPr>
          <w:p w14:paraId="5F2D1FA7" w14:textId="77777777" w:rsidR="00E836FB" w:rsidRDefault="00E836FB">
            <w:pPr>
              <w:rPr>
                <w:rFonts w:ascii="宋体"/>
                <w:vanish/>
              </w:rPr>
            </w:pPr>
          </w:p>
        </w:tc>
        <w:tc>
          <w:tcPr>
            <w:tcW w:w="0" w:type="auto"/>
            <w:gridSpan w:val="3"/>
            <w:shd w:val="clear" w:color="auto" w:fill="auto"/>
            <w:vAlign w:val="bottom"/>
          </w:tcPr>
          <w:p w14:paraId="5F2D1FA8" w14:textId="77777777" w:rsidR="00E836FB" w:rsidRDefault="00E836FB">
            <w:pPr>
              <w:rPr>
                <w:rFonts w:ascii="宋体"/>
                <w:vanish/>
              </w:rPr>
            </w:pPr>
          </w:p>
        </w:tc>
        <w:tc>
          <w:tcPr>
            <w:tcW w:w="0" w:type="auto"/>
            <w:gridSpan w:val="3"/>
            <w:shd w:val="clear" w:color="auto" w:fill="auto"/>
            <w:vAlign w:val="bottom"/>
          </w:tcPr>
          <w:p w14:paraId="5F2D1FA9" w14:textId="77777777" w:rsidR="00E836FB" w:rsidRDefault="00E836FB">
            <w:pPr>
              <w:rPr>
                <w:rFonts w:ascii="宋体"/>
                <w:vanish/>
              </w:rPr>
            </w:pPr>
          </w:p>
        </w:tc>
        <w:tc>
          <w:tcPr>
            <w:tcW w:w="0" w:type="auto"/>
            <w:gridSpan w:val="3"/>
            <w:shd w:val="clear" w:color="auto" w:fill="auto"/>
            <w:vAlign w:val="bottom"/>
          </w:tcPr>
          <w:p w14:paraId="5F2D1FAA" w14:textId="77777777" w:rsidR="00E836FB" w:rsidRDefault="00E836FB">
            <w:pPr>
              <w:rPr>
                <w:rFonts w:ascii="宋体"/>
                <w:vanish/>
              </w:rPr>
            </w:pPr>
          </w:p>
        </w:tc>
      </w:tr>
      <w:tr w:rsidR="00E836FB" w14:paraId="5F2D1FBE" w14:textId="77777777">
        <w:trPr>
          <w:hidden/>
        </w:trPr>
        <w:tc>
          <w:tcPr>
            <w:tcW w:w="0" w:type="auto"/>
            <w:gridSpan w:val="3"/>
            <w:shd w:val="clear" w:color="auto" w:fill="auto"/>
            <w:vAlign w:val="bottom"/>
          </w:tcPr>
          <w:p w14:paraId="5F2D1FAC" w14:textId="77777777" w:rsidR="00E836FB" w:rsidRDefault="00E836FB">
            <w:pPr>
              <w:rPr>
                <w:rFonts w:ascii="宋体"/>
                <w:vanish/>
              </w:rPr>
            </w:pPr>
          </w:p>
        </w:tc>
        <w:tc>
          <w:tcPr>
            <w:tcW w:w="0" w:type="auto"/>
            <w:gridSpan w:val="3"/>
            <w:shd w:val="clear" w:color="auto" w:fill="auto"/>
            <w:vAlign w:val="bottom"/>
          </w:tcPr>
          <w:p w14:paraId="5F2D1FAD" w14:textId="77777777" w:rsidR="00E836FB" w:rsidRDefault="00E836FB">
            <w:pPr>
              <w:rPr>
                <w:rFonts w:ascii="宋体"/>
                <w:vanish/>
              </w:rPr>
            </w:pPr>
          </w:p>
        </w:tc>
        <w:tc>
          <w:tcPr>
            <w:tcW w:w="0" w:type="auto"/>
            <w:gridSpan w:val="3"/>
            <w:shd w:val="clear" w:color="auto" w:fill="auto"/>
            <w:vAlign w:val="bottom"/>
          </w:tcPr>
          <w:p w14:paraId="5F2D1FAE" w14:textId="77777777" w:rsidR="00E836FB" w:rsidRDefault="00E836FB">
            <w:pPr>
              <w:rPr>
                <w:rFonts w:ascii="宋体"/>
                <w:vanish/>
              </w:rPr>
            </w:pPr>
          </w:p>
        </w:tc>
        <w:tc>
          <w:tcPr>
            <w:tcW w:w="0" w:type="auto"/>
            <w:gridSpan w:val="3"/>
            <w:shd w:val="clear" w:color="auto" w:fill="auto"/>
            <w:vAlign w:val="bottom"/>
          </w:tcPr>
          <w:p w14:paraId="5F2D1FAF" w14:textId="77777777" w:rsidR="00E836FB" w:rsidRDefault="00E836FB">
            <w:pPr>
              <w:rPr>
                <w:rFonts w:ascii="宋体"/>
                <w:vanish/>
              </w:rPr>
            </w:pPr>
          </w:p>
        </w:tc>
        <w:tc>
          <w:tcPr>
            <w:tcW w:w="0" w:type="auto"/>
            <w:gridSpan w:val="3"/>
            <w:shd w:val="clear" w:color="auto" w:fill="auto"/>
            <w:vAlign w:val="bottom"/>
          </w:tcPr>
          <w:p w14:paraId="5F2D1FB0" w14:textId="77777777" w:rsidR="00E836FB" w:rsidRDefault="00E836FB">
            <w:pPr>
              <w:rPr>
                <w:rFonts w:ascii="宋体"/>
                <w:vanish/>
              </w:rPr>
            </w:pPr>
          </w:p>
        </w:tc>
        <w:tc>
          <w:tcPr>
            <w:tcW w:w="0" w:type="auto"/>
            <w:gridSpan w:val="3"/>
            <w:shd w:val="clear" w:color="auto" w:fill="auto"/>
            <w:vAlign w:val="bottom"/>
          </w:tcPr>
          <w:p w14:paraId="5F2D1FB1" w14:textId="77777777" w:rsidR="00E836FB" w:rsidRDefault="00E836FB">
            <w:pPr>
              <w:rPr>
                <w:rFonts w:ascii="宋体"/>
                <w:vanish/>
              </w:rPr>
            </w:pPr>
          </w:p>
        </w:tc>
        <w:tc>
          <w:tcPr>
            <w:tcW w:w="0" w:type="auto"/>
            <w:gridSpan w:val="3"/>
            <w:shd w:val="clear" w:color="auto" w:fill="auto"/>
            <w:vAlign w:val="bottom"/>
          </w:tcPr>
          <w:p w14:paraId="5F2D1FB2" w14:textId="77777777" w:rsidR="00E836FB" w:rsidRDefault="00E836FB">
            <w:pPr>
              <w:rPr>
                <w:rFonts w:ascii="宋体"/>
                <w:vanish/>
              </w:rPr>
            </w:pPr>
          </w:p>
        </w:tc>
        <w:tc>
          <w:tcPr>
            <w:tcW w:w="0" w:type="auto"/>
            <w:gridSpan w:val="3"/>
            <w:shd w:val="clear" w:color="auto" w:fill="auto"/>
            <w:vAlign w:val="bottom"/>
          </w:tcPr>
          <w:p w14:paraId="5F2D1FB3" w14:textId="77777777" w:rsidR="00E836FB" w:rsidRDefault="00E836FB">
            <w:pPr>
              <w:rPr>
                <w:rFonts w:ascii="宋体"/>
                <w:vanish/>
              </w:rPr>
            </w:pPr>
          </w:p>
        </w:tc>
        <w:tc>
          <w:tcPr>
            <w:tcW w:w="0" w:type="auto"/>
            <w:gridSpan w:val="3"/>
            <w:shd w:val="clear" w:color="auto" w:fill="auto"/>
            <w:vAlign w:val="bottom"/>
          </w:tcPr>
          <w:p w14:paraId="5F2D1FB4" w14:textId="77777777" w:rsidR="00E836FB" w:rsidRDefault="00E836FB">
            <w:pPr>
              <w:rPr>
                <w:rFonts w:ascii="宋体"/>
                <w:vanish/>
              </w:rPr>
            </w:pPr>
          </w:p>
        </w:tc>
        <w:tc>
          <w:tcPr>
            <w:tcW w:w="0" w:type="auto"/>
            <w:gridSpan w:val="3"/>
            <w:shd w:val="clear" w:color="auto" w:fill="auto"/>
            <w:vAlign w:val="bottom"/>
          </w:tcPr>
          <w:p w14:paraId="5F2D1FB5" w14:textId="77777777" w:rsidR="00E836FB" w:rsidRDefault="00E836FB">
            <w:pPr>
              <w:rPr>
                <w:rFonts w:ascii="宋体"/>
                <w:vanish/>
              </w:rPr>
            </w:pPr>
          </w:p>
        </w:tc>
        <w:tc>
          <w:tcPr>
            <w:tcW w:w="0" w:type="auto"/>
            <w:gridSpan w:val="3"/>
            <w:shd w:val="clear" w:color="auto" w:fill="auto"/>
            <w:vAlign w:val="bottom"/>
          </w:tcPr>
          <w:p w14:paraId="5F2D1FB6" w14:textId="77777777" w:rsidR="00E836FB" w:rsidRDefault="00E836FB">
            <w:pPr>
              <w:rPr>
                <w:rFonts w:ascii="宋体"/>
                <w:vanish/>
              </w:rPr>
            </w:pPr>
          </w:p>
        </w:tc>
        <w:tc>
          <w:tcPr>
            <w:tcW w:w="0" w:type="auto"/>
            <w:shd w:val="clear" w:color="auto" w:fill="auto"/>
            <w:vAlign w:val="bottom"/>
          </w:tcPr>
          <w:p w14:paraId="5F2D1FB7" w14:textId="77777777" w:rsidR="00E836FB" w:rsidRDefault="00E836FB">
            <w:pPr>
              <w:rPr>
                <w:rFonts w:ascii="宋体"/>
                <w:vanish/>
              </w:rPr>
            </w:pPr>
          </w:p>
        </w:tc>
        <w:tc>
          <w:tcPr>
            <w:tcW w:w="0" w:type="auto"/>
            <w:shd w:val="clear" w:color="auto" w:fill="auto"/>
            <w:vAlign w:val="bottom"/>
          </w:tcPr>
          <w:p w14:paraId="5F2D1FB8" w14:textId="77777777" w:rsidR="00E836FB" w:rsidRDefault="00E836FB">
            <w:pPr>
              <w:rPr>
                <w:rFonts w:ascii="宋体"/>
                <w:vanish/>
              </w:rPr>
            </w:pPr>
          </w:p>
        </w:tc>
        <w:tc>
          <w:tcPr>
            <w:tcW w:w="0" w:type="auto"/>
            <w:gridSpan w:val="3"/>
            <w:shd w:val="clear" w:color="auto" w:fill="auto"/>
            <w:vAlign w:val="bottom"/>
          </w:tcPr>
          <w:p w14:paraId="5F2D1FB9" w14:textId="77777777" w:rsidR="00E836FB" w:rsidRDefault="00E836FB">
            <w:pPr>
              <w:rPr>
                <w:rFonts w:ascii="宋体"/>
                <w:vanish/>
              </w:rPr>
            </w:pPr>
          </w:p>
        </w:tc>
        <w:tc>
          <w:tcPr>
            <w:tcW w:w="0" w:type="auto"/>
            <w:gridSpan w:val="3"/>
            <w:shd w:val="clear" w:color="auto" w:fill="auto"/>
            <w:vAlign w:val="bottom"/>
          </w:tcPr>
          <w:p w14:paraId="5F2D1FBA" w14:textId="77777777" w:rsidR="00E836FB" w:rsidRDefault="00E836FB">
            <w:pPr>
              <w:rPr>
                <w:rFonts w:ascii="宋体"/>
                <w:vanish/>
              </w:rPr>
            </w:pPr>
          </w:p>
        </w:tc>
        <w:tc>
          <w:tcPr>
            <w:tcW w:w="0" w:type="auto"/>
            <w:gridSpan w:val="3"/>
            <w:shd w:val="clear" w:color="auto" w:fill="auto"/>
            <w:vAlign w:val="bottom"/>
          </w:tcPr>
          <w:p w14:paraId="5F2D1FBB" w14:textId="77777777" w:rsidR="00E836FB" w:rsidRDefault="00E836FB">
            <w:pPr>
              <w:rPr>
                <w:rFonts w:ascii="宋体"/>
                <w:vanish/>
              </w:rPr>
            </w:pPr>
          </w:p>
        </w:tc>
        <w:tc>
          <w:tcPr>
            <w:tcW w:w="0" w:type="auto"/>
            <w:gridSpan w:val="3"/>
            <w:shd w:val="clear" w:color="auto" w:fill="auto"/>
            <w:vAlign w:val="bottom"/>
          </w:tcPr>
          <w:p w14:paraId="5F2D1FBC" w14:textId="77777777" w:rsidR="00E836FB" w:rsidRDefault="00E836FB">
            <w:pPr>
              <w:rPr>
                <w:rFonts w:ascii="宋体"/>
                <w:vanish/>
              </w:rPr>
            </w:pPr>
          </w:p>
        </w:tc>
        <w:tc>
          <w:tcPr>
            <w:tcW w:w="0" w:type="auto"/>
            <w:gridSpan w:val="3"/>
            <w:shd w:val="clear" w:color="auto" w:fill="auto"/>
            <w:vAlign w:val="bottom"/>
          </w:tcPr>
          <w:p w14:paraId="5F2D1FBD" w14:textId="77777777" w:rsidR="00E836FB" w:rsidRDefault="00E836FB">
            <w:pPr>
              <w:rPr>
                <w:rFonts w:ascii="宋体"/>
                <w:vanish/>
              </w:rPr>
            </w:pPr>
          </w:p>
        </w:tc>
      </w:tr>
      <w:tr w:rsidR="00E836FB" w14:paraId="5F2D1FD1" w14:textId="77777777">
        <w:trPr>
          <w:hidden/>
        </w:trPr>
        <w:tc>
          <w:tcPr>
            <w:tcW w:w="0" w:type="auto"/>
            <w:gridSpan w:val="3"/>
            <w:shd w:val="clear" w:color="auto" w:fill="auto"/>
            <w:vAlign w:val="bottom"/>
          </w:tcPr>
          <w:p w14:paraId="5F2D1FBF" w14:textId="77777777" w:rsidR="00E836FB" w:rsidRDefault="00E836FB">
            <w:pPr>
              <w:rPr>
                <w:rFonts w:ascii="宋体"/>
                <w:vanish/>
              </w:rPr>
            </w:pPr>
          </w:p>
        </w:tc>
        <w:tc>
          <w:tcPr>
            <w:tcW w:w="0" w:type="auto"/>
            <w:gridSpan w:val="3"/>
            <w:shd w:val="clear" w:color="auto" w:fill="auto"/>
            <w:vAlign w:val="bottom"/>
          </w:tcPr>
          <w:p w14:paraId="5F2D1FC0" w14:textId="77777777" w:rsidR="00E836FB" w:rsidRDefault="00E836FB">
            <w:pPr>
              <w:rPr>
                <w:rFonts w:ascii="宋体"/>
                <w:vanish/>
              </w:rPr>
            </w:pPr>
          </w:p>
        </w:tc>
        <w:tc>
          <w:tcPr>
            <w:tcW w:w="0" w:type="auto"/>
            <w:gridSpan w:val="3"/>
            <w:shd w:val="clear" w:color="auto" w:fill="auto"/>
            <w:vAlign w:val="bottom"/>
          </w:tcPr>
          <w:p w14:paraId="5F2D1FC1" w14:textId="77777777" w:rsidR="00E836FB" w:rsidRDefault="00E836FB">
            <w:pPr>
              <w:rPr>
                <w:rFonts w:ascii="宋体"/>
                <w:vanish/>
              </w:rPr>
            </w:pPr>
          </w:p>
        </w:tc>
        <w:tc>
          <w:tcPr>
            <w:tcW w:w="0" w:type="auto"/>
            <w:gridSpan w:val="3"/>
            <w:shd w:val="clear" w:color="auto" w:fill="auto"/>
            <w:vAlign w:val="bottom"/>
          </w:tcPr>
          <w:p w14:paraId="5F2D1FC2" w14:textId="77777777" w:rsidR="00E836FB" w:rsidRDefault="00E836FB">
            <w:pPr>
              <w:rPr>
                <w:rFonts w:ascii="宋体"/>
                <w:vanish/>
              </w:rPr>
            </w:pPr>
          </w:p>
        </w:tc>
        <w:tc>
          <w:tcPr>
            <w:tcW w:w="0" w:type="auto"/>
            <w:gridSpan w:val="3"/>
            <w:shd w:val="clear" w:color="auto" w:fill="auto"/>
            <w:vAlign w:val="bottom"/>
          </w:tcPr>
          <w:p w14:paraId="5F2D1FC3" w14:textId="77777777" w:rsidR="00E836FB" w:rsidRDefault="00E836FB">
            <w:pPr>
              <w:rPr>
                <w:rFonts w:ascii="宋体"/>
                <w:vanish/>
              </w:rPr>
            </w:pPr>
          </w:p>
        </w:tc>
        <w:tc>
          <w:tcPr>
            <w:tcW w:w="0" w:type="auto"/>
            <w:gridSpan w:val="3"/>
            <w:shd w:val="clear" w:color="auto" w:fill="auto"/>
            <w:vAlign w:val="bottom"/>
          </w:tcPr>
          <w:p w14:paraId="5F2D1FC4" w14:textId="77777777" w:rsidR="00E836FB" w:rsidRDefault="00E836FB">
            <w:pPr>
              <w:rPr>
                <w:rFonts w:ascii="宋体"/>
                <w:vanish/>
              </w:rPr>
            </w:pPr>
          </w:p>
        </w:tc>
        <w:tc>
          <w:tcPr>
            <w:tcW w:w="0" w:type="auto"/>
            <w:gridSpan w:val="3"/>
            <w:shd w:val="clear" w:color="auto" w:fill="auto"/>
            <w:vAlign w:val="bottom"/>
          </w:tcPr>
          <w:p w14:paraId="5F2D1FC5" w14:textId="77777777" w:rsidR="00E836FB" w:rsidRDefault="00E836FB">
            <w:pPr>
              <w:rPr>
                <w:rFonts w:ascii="宋体"/>
                <w:vanish/>
              </w:rPr>
            </w:pPr>
          </w:p>
        </w:tc>
        <w:tc>
          <w:tcPr>
            <w:tcW w:w="0" w:type="auto"/>
            <w:gridSpan w:val="3"/>
            <w:shd w:val="clear" w:color="auto" w:fill="auto"/>
            <w:vAlign w:val="bottom"/>
          </w:tcPr>
          <w:p w14:paraId="5F2D1FC6" w14:textId="77777777" w:rsidR="00E836FB" w:rsidRDefault="00E836FB">
            <w:pPr>
              <w:rPr>
                <w:rFonts w:ascii="宋体"/>
                <w:vanish/>
              </w:rPr>
            </w:pPr>
          </w:p>
        </w:tc>
        <w:tc>
          <w:tcPr>
            <w:tcW w:w="0" w:type="auto"/>
            <w:gridSpan w:val="3"/>
            <w:shd w:val="clear" w:color="auto" w:fill="auto"/>
            <w:vAlign w:val="bottom"/>
          </w:tcPr>
          <w:p w14:paraId="5F2D1FC7" w14:textId="77777777" w:rsidR="00E836FB" w:rsidRDefault="00E836FB">
            <w:pPr>
              <w:rPr>
                <w:rFonts w:ascii="宋体"/>
                <w:vanish/>
              </w:rPr>
            </w:pPr>
          </w:p>
        </w:tc>
        <w:tc>
          <w:tcPr>
            <w:tcW w:w="0" w:type="auto"/>
            <w:gridSpan w:val="3"/>
            <w:shd w:val="clear" w:color="auto" w:fill="auto"/>
            <w:vAlign w:val="bottom"/>
          </w:tcPr>
          <w:p w14:paraId="5F2D1FC8" w14:textId="77777777" w:rsidR="00E836FB" w:rsidRDefault="00E836FB">
            <w:pPr>
              <w:rPr>
                <w:rFonts w:ascii="宋体"/>
                <w:vanish/>
              </w:rPr>
            </w:pPr>
          </w:p>
        </w:tc>
        <w:tc>
          <w:tcPr>
            <w:tcW w:w="0" w:type="auto"/>
            <w:gridSpan w:val="3"/>
            <w:shd w:val="clear" w:color="auto" w:fill="auto"/>
            <w:vAlign w:val="bottom"/>
          </w:tcPr>
          <w:p w14:paraId="5F2D1FC9" w14:textId="77777777" w:rsidR="00E836FB" w:rsidRDefault="00E836FB">
            <w:pPr>
              <w:rPr>
                <w:rFonts w:ascii="宋体"/>
                <w:vanish/>
              </w:rPr>
            </w:pPr>
          </w:p>
        </w:tc>
        <w:tc>
          <w:tcPr>
            <w:tcW w:w="0" w:type="auto"/>
            <w:shd w:val="clear" w:color="auto" w:fill="auto"/>
            <w:vAlign w:val="bottom"/>
          </w:tcPr>
          <w:p w14:paraId="5F2D1FCA" w14:textId="77777777" w:rsidR="00E836FB" w:rsidRDefault="00E836FB">
            <w:pPr>
              <w:rPr>
                <w:rFonts w:ascii="宋体"/>
                <w:vanish/>
              </w:rPr>
            </w:pPr>
          </w:p>
        </w:tc>
        <w:tc>
          <w:tcPr>
            <w:tcW w:w="0" w:type="auto"/>
            <w:shd w:val="clear" w:color="auto" w:fill="auto"/>
            <w:vAlign w:val="bottom"/>
          </w:tcPr>
          <w:p w14:paraId="5F2D1FCB" w14:textId="77777777" w:rsidR="00E836FB" w:rsidRDefault="00E836FB">
            <w:pPr>
              <w:rPr>
                <w:rFonts w:ascii="宋体"/>
                <w:vanish/>
              </w:rPr>
            </w:pPr>
          </w:p>
        </w:tc>
        <w:tc>
          <w:tcPr>
            <w:tcW w:w="0" w:type="auto"/>
            <w:gridSpan w:val="3"/>
            <w:shd w:val="clear" w:color="auto" w:fill="auto"/>
            <w:vAlign w:val="bottom"/>
          </w:tcPr>
          <w:p w14:paraId="5F2D1FCC" w14:textId="77777777" w:rsidR="00E836FB" w:rsidRDefault="00E836FB">
            <w:pPr>
              <w:rPr>
                <w:rFonts w:ascii="宋体"/>
                <w:vanish/>
              </w:rPr>
            </w:pPr>
          </w:p>
        </w:tc>
        <w:tc>
          <w:tcPr>
            <w:tcW w:w="0" w:type="auto"/>
            <w:gridSpan w:val="3"/>
            <w:shd w:val="clear" w:color="auto" w:fill="auto"/>
            <w:vAlign w:val="bottom"/>
          </w:tcPr>
          <w:p w14:paraId="5F2D1FCD" w14:textId="77777777" w:rsidR="00E836FB" w:rsidRDefault="00E836FB">
            <w:pPr>
              <w:rPr>
                <w:rFonts w:ascii="宋体"/>
                <w:vanish/>
              </w:rPr>
            </w:pPr>
          </w:p>
        </w:tc>
        <w:tc>
          <w:tcPr>
            <w:tcW w:w="0" w:type="auto"/>
            <w:gridSpan w:val="3"/>
            <w:shd w:val="clear" w:color="auto" w:fill="auto"/>
            <w:vAlign w:val="bottom"/>
          </w:tcPr>
          <w:p w14:paraId="5F2D1FCE" w14:textId="77777777" w:rsidR="00E836FB" w:rsidRDefault="00E836FB">
            <w:pPr>
              <w:rPr>
                <w:rFonts w:ascii="宋体"/>
                <w:vanish/>
              </w:rPr>
            </w:pPr>
          </w:p>
        </w:tc>
        <w:tc>
          <w:tcPr>
            <w:tcW w:w="0" w:type="auto"/>
            <w:gridSpan w:val="3"/>
            <w:shd w:val="clear" w:color="auto" w:fill="auto"/>
            <w:vAlign w:val="bottom"/>
          </w:tcPr>
          <w:p w14:paraId="5F2D1FCF" w14:textId="77777777" w:rsidR="00E836FB" w:rsidRDefault="00E836FB">
            <w:pPr>
              <w:rPr>
                <w:rFonts w:ascii="宋体"/>
                <w:vanish/>
              </w:rPr>
            </w:pPr>
          </w:p>
        </w:tc>
        <w:tc>
          <w:tcPr>
            <w:tcW w:w="0" w:type="auto"/>
            <w:gridSpan w:val="3"/>
            <w:shd w:val="clear" w:color="auto" w:fill="auto"/>
            <w:vAlign w:val="bottom"/>
          </w:tcPr>
          <w:p w14:paraId="5F2D1FD0" w14:textId="77777777" w:rsidR="00E836FB" w:rsidRDefault="00E836FB">
            <w:pPr>
              <w:rPr>
                <w:rFonts w:ascii="宋体"/>
                <w:vanish/>
              </w:rPr>
            </w:pPr>
          </w:p>
        </w:tc>
      </w:tr>
      <w:tr w:rsidR="00E836FB" w14:paraId="5F2D1FE4" w14:textId="77777777">
        <w:trPr>
          <w:hidden/>
        </w:trPr>
        <w:tc>
          <w:tcPr>
            <w:tcW w:w="0" w:type="auto"/>
            <w:gridSpan w:val="3"/>
            <w:shd w:val="clear" w:color="auto" w:fill="auto"/>
            <w:vAlign w:val="bottom"/>
          </w:tcPr>
          <w:p w14:paraId="5F2D1FD2" w14:textId="77777777" w:rsidR="00E836FB" w:rsidRDefault="00E836FB">
            <w:pPr>
              <w:rPr>
                <w:rFonts w:ascii="宋体"/>
                <w:vanish/>
              </w:rPr>
            </w:pPr>
          </w:p>
        </w:tc>
        <w:tc>
          <w:tcPr>
            <w:tcW w:w="0" w:type="auto"/>
            <w:gridSpan w:val="3"/>
            <w:shd w:val="clear" w:color="auto" w:fill="auto"/>
            <w:vAlign w:val="bottom"/>
          </w:tcPr>
          <w:p w14:paraId="5F2D1FD3" w14:textId="77777777" w:rsidR="00E836FB" w:rsidRDefault="00E836FB">
            <w:pPr>
              <w:rPr>
                <w:rFonts w:ascii="宋体"/>
                <w:vanish/>
              </w:rPr>
            </w:pPr>
          </w:p>
        </w:tc>
        <w:tc>
          <w:tcPr>
            <w:tcW w:w="0" w:type="auto"/>
            <w:gridSpan w:val="3"/>
            <w:shd w:val="clear" w:color="auto" w:fill="auto"/>
            <w:vAlign w:val="bottom"/>
          </w:tcPr>
          <w:p w14:paraId="5F2D1FD4" w14:textId="77777777" w:rsidR="00E836FB" w:rsidRDefault="00E836FB">
            <w:pPr>
              <w:rPr>
                <w:rFonts w:ascii="宋体"/>
                <w:vanish/>
              </w:rPr>
            </w:pPr>
          </w:p>
        </w:tc>
        <w:tc>
          <w:tcPr>
            <w:tcW w:w="0" w:type="auto"/>
            <w:gridSpan w:val="3"/>
            <w:shd w:val="clear" w:color="auto" w:fill="auto"/>
            <w:vAlign w:val="bottom"/>
          </w:tcPr>
          <w:p w14:paraId="5F2D1FD5" w14:textId="77777777" w:rsidR="00E836FB" w:rsidRDefault="00E836FB">
            <w:pPr>
              <w:rPr>
                <w:rFonts w:ascii="宋体"/>
                <w:vanish/>
              </w:rPr>
            </w:pPr>
          </w:p>
        </w:tc>
        <w:tc>
          <w:tcPr>
            <w:tcW w:w="0" w:type="auto"/>
            <w:gridSpan w:val="3"/>
            <w:shd w:val="clear" w:color="auto" w:fill="auto"/>
            <w:vAlign w:val="bottom"/>
          </w:tcPr>
          <w:p w14:paraId="5F2D1FD6" w14:textId="77777777" w:rsidR="00E836FB" w:rsidRDefault="00E836FB">
            <w:pPr>
              <w:rPr>
                <w:rFonts w:ascii="宋体"/>
                <w:vanish/>
              </w:rPr>
            </w:pPr>
          </w:p>
        </w:tc>
        <w:tc>
          <w:tcPr>
            <w:tcW w:w="0" w:type="auto"/>
            <w:gridSpan w:val="3"/>
            <w:shd w:val="clear" w:color="auto" w:fill="auto"/>
            <w:vAlign w:val="bottom"/>
          </w:tcPr>
          <w:p w14:paraId="5F2D1FD7" w14:textId="77777777" w:rsidR="00E836FB" w:rsidRDefault="00E836FB">
            <w:pPr>
              <w:rPr>
                <w:rFonts w:ascii="宋体"/>
                <w:vanish/>
              </w:rPr>
            </w:pPr>
          </w:p>
        </w:tc>
        <w:tc>
          <w:tcPr>
            <w:tcW w:w="0" w:type="auto"/>
            <w:gridSpan w:val="3"/>
            <w:shd w:val="clear" w:color="auto" w:fill="auto"/>
            <w:vAlign w:val="bottom"/>
          </w:tcPr>
          <w:p w14:paraId="5F2D1FD8" w14:textId="77777777" w:rsidR="00E836FB" w:rsidRDefault="00E836FB">
            <w:pPr>
              <w:rPr>
                <w:rFonts w:ascii="宋体"/>
                <w:vanish/>
              </w:rPr>
            </w:pPr>
          </w:p>
        </w:tc>
        <w:tc>
          <w:tcPr>
            <w:tcW w:w="0" w:type="auto"/>
            <w:gridSpan w:val="3"/>
            <w:shd w:val="clear" w:color="auto" w:fill="auto"/>
            <w:vAlign w:val="bottom"/>
          </w:tcPr>
          <w:p w14:paraId="5F2D1FD9" w14:textId="77777777" w:rsidR="00E836FB" w:rsidRDefault="00E836FB">
            <w:pPr>
              <w:rPr>
                <w:rFonts w:ascii="宋体"/>
                <w:vanish/>
              </w:rPr>
            </w:pPr>
          </w:p>
        </w:tc>
        <w:tc>
          <w:tcPr>
            <w:tcW w:w="0" w:type="auto"/>
            <w:gridSpan w:val="3"/>
            <w:shd w:val="clear" w:color="auto" w:fill="auto"/>
            <w:vAlign w:val="bottom"/>
          </w:tcPr>
          <w:p w14:paraId="5F2D1FDA" w14:textId="77777777" w:rsidR="00E836FB" w:rsidRDefault="00E836FB">
            <w:pPr>
              <w:rPr>
                <w:rFonts w:ascii="宋体"/>
                <w:vanish/>
              </w:rPr>
            </w:pPr>
          </w:p>
        </w:tc>
        <w:tc>
          <w:tcPr>
            <w:tcW w:w="0" w:type="auto"/>
            <w:gridSpan w:val="3"/>
            <w:shd w:val="clear" w:color="auto" w:fill="auto"/>
            <w:vAlign w:val="bottom"/>
          </w:tcPr>
          <w:p w14:paraId="5F2D1FDB" w14:textId="77777777" w:rsidR="00E836FB" w:rsidRDefault="00E836FB">
            <w:pPr>
              <w:rPr>
                <w:rFonts w:ascii="宋体"/>
                <w:vanish/>
              </w:rPr>
            </w:pPr>
          </w:p>
        </w:tc>
        <w:tc>
          <w:tcPr>
            <w:tcW w:w="0" w:type="auto"/>
            <w:gridSpan w:val="3"/>
            <w:shd w:val="clear" w:color="auto" w:fill="auto"/>
            <w:vAlign w:val="bottom"/>
          </w:tcPr>
          <w:p w14:paraId="5F2D1FDC" w14:textId="77777777" w:rsidR="00E836FB" w:rsidRDefault="00E836FB">
            <w:pPr>
              <w:rPr>
                <w:rFonts w:ascii="宋体"/>
                <w:vanish/>
              </w:rPr>
            </w:pPr>
          </w:p>
        </w:tc>
        <w:tc>
          <w:tcPr>
            <w:tcW w:w="0" w:type="auto"/>
            <w:shd w:val="clear" w:color="auto" w:fill="auto"/>
            <w:vAlign w:val="bottom"/>
          </w:tcPr>
          <w:p w14:paraId="5F2D1FDD" w14:textId="77777777" w:rsidR="00E836FB" w:rsidRDefault="00E836FB">
            <w:pPr>
              <w:rPr>
                <w:rFonts w:ascii="宋体"/>
                <w:vanish/>
              </w:rPr>
            </w:pPr>
          </w:p>
        </w:tc>
        <w:tc>
          <w:tcPr>
            <w:tcW w:w="0" w:type="auto"/>
            <w:shd w:val="clear" w:color="auto" w:fill="auto"/>
            <w:vAlign w:val="bottom"/>
          </w:tcPr>
          <w:p w14:paraId="5F2D1FDE" w14:textId="77777777" w:rsidR="00E836FB" w:rsidRDefault="00E836FB">
            <w:pPr>
              <w:rPr>
                <w:rFonts w:ascii="宋体"/>
                <w:vanish/>
              </w:rPr>
            </w:pPr>
          </w:p>
        </w:tc>
        <w:tc>
          <w:tcPr>
            <w:tcW w:w="0" w:type="auto"/>
            <w:gridSpan w:val="3"/>
            <w:shd w:val="clear" w:color="auto" w:fill="auto"/>
            <w:vAlign w:val="bottom"/>
          </w:tcPr>
          <w:p w14:paraId="5F2D1FDF" w14:textId="77777777" w:rsidR="00E836FB" w:rsidRDefault="00E836FB">
            <w:pPr>
              <w:rPr>
                <w:rFonts w:ascii="宋体"/>
                <w:vanish/>
              </w:rPr>
            </w:pPr>
          </w:p>
        </w:tc>
        <w:tc>
          <w:tcPr>
            <w:tcW w:w="0" w:type="auto"/>
            <w:gridSpan w:val="3"/>
            <w:shd w:val="clear" w:color="auto" w:fill="auto"/>
            <w:vAlign w:val="bottom"/>
          </w:tcPr>
          <w:p w14:paraId="5F2D1FE0" w14:textId="77777777" w:rsidR="00E836FB" w:rsidRDefault="00E836FB">
            <w:pPr>
              <w:rPr>
                <w:rFonts w:ascii="宋体"/>
                <w:vanish/>
              </w:rPr>
            </w:pPr>
          </w:p>
        </w:tc>
        <w:tc>
          <w:tcPr>
            <w:tcW w:w="0" w:type="auto"/>
            <w:gridSpan w:val="3"/>
            <w:shd w:val="clear" w:color="auto" w:fill="auto"/>
            <w:vAlign w:val="bottom"/>
          </w:tcPr>
          <w:p w14:paraId="5F2D1FE1" w14:textId="77777777" w:rsidR="00E836FB" w:rsidRDefault="00E836FB">
            <w:pPr>
              <w:rPr>
                <w:rFonts w:ascii="宋体"/>
                <w:vanish/>
              </w:rPr>
            </w:pPr>
          </w:p>
        </w:tc>
        <w:tc>
          <w:tcPr>
            <w:tcW w:w="0" w:type="auto"/>
            <w:gridSpan w:val="3"/>
            <w:shd w:val="clear" w:color="auto" w:fill="auto"/>
            <w:vAlign w:val="bottom"/>
          </w:tcPr>
          <w:p w14:paraId="5F2D1FE2" w14:textId="77777777" w:rsidR="00E836FB" w:rsidRDefault="00E836FB">
            <w:pPr>
              <w:rPr>
                <w:rFonts w:ascii="宋体"/>
                <w:vanish/>
              </w:rPr>
            </w:pPr>
          </w:p>
        </w:tc>
        <w:tc>
          <w:tcPr>
            <w:tcW w:w="0" w:type="auto"/>
            <w:gridSpan w:val="3"/>
            <w:shd w:val="clear" w:color="auto" w:fill="auto"/>
            <w:vAlign w:val="bottom"/>
          </w:tcPr>
          <w:p w14:paraId="5F2D1FE3" w14:textId="77777777" w:rsidR="00E836FB" w:rsidRDefault="00E836FB">
            <w:pPr>
              <w:rPr>
                <w:rFonts w:ascii="宋体"/>
                <w:vanish/>
              </w:rPr>
            </w:pPr>
          </w:p>
        </w:tc>
      </w:tr>
    </w:tbl>
    <w:p w14:paraId="5F2D1FE5"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D1FEC" w14:textId="77777777">
        <w:tc>
          <w:tcPr>
            <w:tcW w:w="50" w:type="pct"/>
            <w:shd w:val="clear" w:color="auto" w:fill="auto"/>
            <w:vAlign w:val="bottom"/>
          </w:tcPr>
          <w:p w14:paraId="5F2D1FE6" w14:textId="77777777" w:rsidR="00E836FB" w:rsidRDefault="00E836FB">
            <w:pPr>
              <w:rPr>
                <w:rFonts w:ascii="宋体"/>
              </w:rPr>
            </w:pPr>
          </w:p>
        </w:tc>
        <w:tc>
          <w:tcPr>
            <w:tcW w:w="1348" w:type="pct"/>
            <w:shd w:val="clear" w:color="auto" w:fill="auto"/>
            <w:vAlign w:val="bottom"/>
          </w:tcPr>
          <w:p w14:paraId="5F2D1FE7" w14:textId="77777777" w:rsidR="00E836FB" w:rsidRDefault="00E836FB">
            <w:pPr>
              <w:rPr>
                <w:rFonts w:ascii="宋体"/>
              </w:rPr>
            </w:pPr>
          </w:p>
        </w:tc>
        <w:tc>
          <w:tcPr>
            <w:tcW w:w="5" w:type="pct"/>
            <w:shd w:val="clear" w:color="auto" w:fill="auto"/>
            <w:vAlign w:val="bottom"/>
          </w:tcPr>
          <w:p w14:paraId="5F2D1FE8" w14:textId="77777777" w:rsidR="00E836FB" w:rsidRDefault="00E836FB">
            <w:pPr>
              <w:rPr>
                <w:rFonts w:ascii="宋体"/>
              </w:rPr>
            </w:pPr>
          </w:p>
        </w:tc>
        <w:tc>
          <w:tcPr>
            <w:tcW w:w="50" w:type="pct"/>
            <w:shd w:val="clear" w:color="auto" w:fill="auto"/>
            <w:vAlign w:val="bottom"/>
          </w:tcPr>
          <w:p w14:paraId="5F2D1FE9" w14:textId="77777777" w:rsidR="00E836FB" w:rsidRDefault="00E836FB">
            <w:pPr>
              <w:rPr>
                <w:rFonts w:ascii="宋体"/>
              </w:rPr>
            </w:pPr>
          </w:p>
        </w:tc>
        <w:tc>
          <w:tcPr>
            <w:tcW w:w="3541" w:type="pct"/>
            <w:shd w:val="clear" w:color="auto" w:fill="auto"/>
            <w:vAlign w:val="bottom"/>
          </w:tcPr>
          <w:p w14:paraId="5F2D1FEA" w14:textId="77777777" w:rsidR="00E836FB" w:rsidRDefault="00E836FB">
            <w:pPr>
              <w:rPr>
                <w:rFonts w:ascii="宋体"/>
              </w:rPr>
            </w:pPr>
          </w:p>
        </w:tc>
        <w:tc>
          <w:tcPr>
            <w:tcW w:w="5" w:type="pct"/>
            <w:shd w:val="clear" w:color="auto" w:fill="auto"/>
            <w:vAlign w:val="bottom"/>
          </w:tcPr>
          <w:p w14:paraId="5F2D1FEB" w14:textId="77777777" w:rsidR="00E836FB" w:rsidRDefault="00E836FB">
            <w:pPr>
              <w:rPr>
                <w:rFonts w:ascii="宋体"/>
              </w:rPr>
            </w:pPr>
          </w:p>
        </w:tc>
      </w:tr>
      <w:tr w:rsidR="00E836FB" w14:paraId="5F2D1FE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1FE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1FEE" w14:textId="77777777" w:rsidR="00E836FB" w:rsidRDefault="00E836FB">
            <w:pPr>
              <w:rPr>
                <w:rFonts w:ascii="宋体"/>
              </w:rPr>
            </w:pPr>
          </w:p>
        </w:tc>
      </w:tr>
    </w:tbl>
    <w:p w14:paraId="5F2D1FF0" w14:textId="77777777" w:rsidR="00E836FB" w:rsidRDefault="00994958">
      <w:pPr>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2021, accrued interest receivable of $86 million included in the amortized cost basis of loans has been </w:t>
      </w:r>
      <w:r>
        <w:rPr>
          <w:rFonts w:ascii="Arial" w:eastAsia="宋体" w:hAnsi="Arial" w:cs="Arial"/>
          <w:color w:val="000000"/>
          <w:sz w:val="13"/>
          <w:szCs w:val="13"/>
        </w:rPr>
        <w:t>excluded from the amortized cost basis within this table.</w:t>
      </w:r>
    </w:p>
    <w:p w14:paraId="5F2D1FF1" w14:textId="77777777" w:rsidR="00E836FB" w:rsidRDefault="00994958">
      <w:pPr>
        <w:jc w:val="both"/>
      </w:pPr>
      <w:r>
        <w:rPr>
          <w:rFonts w:ascii="Arial" w:eastAsia="宋体" w:hAnsi="Arial" w:cs="Arial"/>
          <w:color w:val="000000"/>
          <w:sz w:val="8"/>
          <w:szCs w:val="8"/>
        </w:rPr>
        <w:t xml:space="preserve">(2) </w:t>
      </w:r>
      <w:r>
        <w:rPr>
          <w:rFonts w:ascii="Arial" w:eastAsia="宋体" w:hAnsi="Arial" w:cs="Arial"/>
          <w:color w:val="000000"/>
          <w:sz w:val="13"/>
          <w:szCs w:val="13"/>
        </w:rPr>
        <w:t>Total does not include $8 million of loans classified as held-for-sale as of December 31, 2021.</w:t>
      </w:r>
    </w:p>
    <w:p w14:paraId="5F2D1FF2" w14:textId="77777777" w:rsidR="00E836FB" w:rsidRDefault="00994958">
      <w:pPr>
        <w:spacing w:before="60" w:after="100"/>
        <w:ind w:firstLine="450"/>
        <w:jc w:val="both"/>
      </w:pPr>
      <w:r>
        <w:rPr>
          <w:rFonts w:ascii="Arial" w:eastAsia="宋体" w:hAnsi="Arial" w:cs="Arial"/>
          <w:color w:val="000000"/>
          <w:sz w:val="20"/>
          <w:szCs w:val="20"/>
        </w:rPr>
        <w:t xml:space="preserve">The following table presents the amortized cost basis, by year of origination and credit </w:t>
      </w:r>
      <w:r>
        <w:rPr>
          <w:rFonts w:ascii="Arial" w:eastAsia="宋体" w:hAnsi="Arial" w:cs="Arial"/>
          <w:color w:val="000000"/>
          <w:sz w:val="20"/>
          <w:szCs w:val="20"/>
        </w:rPr>
        <w:t>quality indicator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1"/>
        <w:gridCol w:w="2385"/>
        <w:gridCol w:w="40"/>
        <w:gridCol w:w="98"/>
        <w:gridCol w:w="483"/>
        <w:gridCol w:w="36"/>
        <w:gridCol w:w="36"/>
        <w:gridCol w:w="36"/>
        <w:gridCol w:w="36"/>
        <w:gridCol w:w="98"/>
        <w:gridCol w:w="445"/>
        <w:gridCol w:w="36"/>
        <w:gridCol w:w="36"/>
        <w:gridCol w:w="36"/>
        <w:gridCol w:w="36"/>
        <w:gridCol w:w="98"/>
        <w:gridCol w:w="445"/>
        <w:gridCol w:w="36"/>
        <w:gridCol w:w="36"/>
        <w:gridCol w:w="36"/>
        <w:gridCol w:w="36"/>
        <w:gridCol w:w="98"/>
        <w:gridCol w:w="445"/>
        <w:gridCol w:w="36"/>
        <w:gridCol w:w="36"/>
        <w:gridCol w:w="36"/>
        <w:gridCol w:w="36"/>
        <w:gridCol w:w="98"/>
        <w:gridCol w:w="445"/>
        <w:gridCol w:w="36"/>
        <w:gridCol w:w="36"/>
        <w:gridCol w:w="36"/>
        <w:gridCol w:w="36"/>
        <w:gridCol w:w="99"/>
        <w:gridCol w:w="447"/>
        <w:gridCol w:w="36"/>
        <w:gridCol w:w="36"/>
        <w:gridCol w:w="36"/>
        <w:gridCol w:w="36"/>
        <w:gridCol w:w="99"/>
        <w:gridCol w:w="862"/>
        <w:gridCol w:w="36"/>
        <w:gridCol w:w="36"/>
        <w:gridCol w:w="36"/>
        <w:gridCol w:w="36"/>
        <w:gridCol w:w="98"/>
        <w:gridCol w:w="468"/>
        <w:gridCol w:w="36"/>
      </w:tblGrid>
      <w:tr w:rsidR="00E836FB" w14:paraId="5F2D2023" w14:textId="77777777">
        <w:tc>
          <w:tcPr>
            <w:tcW w:w="50" w:type="pct"/>
            <w:shd w:val="clear" w:color="auto" w:fill="auto"/>
            <w:vAlign w:val="bottom"/>
          </w:tcPr>
          <w:p w14:paraId="5F2D1FF3" w14:textId="77777777" w:rsidR="00E836FB" w:rsidRDefault="00E836FB">
            <w:pPr>
              <w:rPr>
                <w:rFonts w:ascii="宋体"/>
              </w:rPr>
            </w:pPr>
          </w:p>
        </w:tc>
        <w:tc>
          <w:tcPr>
            <w:tcW w:w="1458" w:type="pct"/>
            <w:shd w:val="clear" w:color="auto" w:fill="auto"/>
            <w:vAlign w:val="bottom"/>
          </w:tcPr>
          <w:p w14:paraId="5F2D1FF4" w14:textId="77777777" w:rsidR="00E836FB" w:rsidRDefault="00E836FB">
            <w:pPr>
              <w:rPr>
                <w:rFonts w:ascii="宋体"/>
              </w:rPr>
            </w:pPr>
          </w:p>
        </w:tc>
        <w:tc>
          <w:tcPr>
            <w:tcW w:w="5" w:type="pct"/>
            <w:shd w:val="clear" w:color="auto" w:fill="auto"/>
            <w:vAlign w:val="bottom"/>
          </w:tcPr>
          <w:p w14:paraId="5F2D1FF5" w14:textId="77777777" w:rsidR="00E836FB" w:rsidRDefault="00E836FB">
            <w:pPr>
              <w:rPr>
                <w:rFonts w:ascii="宋体"/>
              </w:rPr>
            </w:pPr>
          </w:p>
        </w:tc>
        <w:tc>
          <w:tcPr>
            <w:tcW w:w="50" w:type="pct"/>
            <w:shd w:val="clear" w:color="auto" w:fill="auto"/>
            <w:vAlign w:val="bottom"/>
          </w:tcPr>
          <w:p w14:paraId="5F2D1FF6" w14:textId="77777777" w:rsidR="00E836FB" w:rsidRDefault="00E836FB">
            <w:pPr>
              <w:rPr>
                <w:rFonts w:ascii="宋体"/>
              </w:rPr>
            </w:pPr>
          </w:p>
        </w:tc>
        <w:tc>
          <w:tcPr>
            <w:tcW w:w="317" w:type="pct"/>
            <w:shd w:val="clear" w:color="auto" w:fill="auto"/>
            <w:vAlign w:val="bottom"/>
          </w:tcPr>
          <w:p w14:paraId="5F2D1FF7" w14:textId="77777777" w:rsidR="00E836FB" w:rsidRDefault="00E836FB">
            <w:pPr>
              <w:rPr>
                <w:rFonts w:ascii="宋体"/>
              </w:rPr>
            </w:pPr>
          </w:p>
        </w:tc>
        <w:tc>
          <w:tcPr>
            <w:tcW w:w="5" w:type="pct"/>
            <w:shd w:val="clear" w:color="auto" w:fill="auto"/>
            <w:vAlign w:val="bottom"/>
          </w:tcPr>
          <w:p w14:paraId="5F2D1FF8" w14:textId="77777777" w:rsidR="00E836FB" w:rsidRDefault="00E836FB">
            <w:pPr>
              <w:rPr>
                <w:rFonts w:ascii="宋体"/>
              </w:rPr>
            </w:pPr>
          </w:p>
        </w:tc>
        <w:tc>
          <w:tcPr>
            <w:tcW w:w="5" w:type="pct"/>
            <w:shd w:val="clear" w:color="auto" w:fill="auto"/>
            <w:vAlign w:val="bottom"/>
          </w:tcPr>
          <w:p w14:paraId="5F2D1FF9" w14:textId="77777777" w:rsidR="00E836FB" w:rsidRDefault="00E836FB">
            <w:pPr>
              <w:rPr>
                <w:rFonts w:ascii="宋体"/>
              </w:rPr>
            </w:pPr>
          </w:p>
        </w:tc>
        <w:tc>
          <w:tcPr>
            <w:tcW w:w="26" w:type="pct"/>
            <w:shd w:val="clear" w:color="auto" w:fill="auto"/>
            <w:vAlign w:val="bottom"/>
          </w:tcPr>
          <w:p w14:paraId="5F2D1FFA" w14:textId="77777777" w:rsidR="00E836FB" w:rsidRDefault="00E836FB">
            <w:pPr>
              <w:rPr>
                <w:rFonts w:ascii="宋体"/>
              </w:rPr>
            </w:pPr>
          </w:p>
        </w:tc>
        <w:tc>
          <w:tcPr>
            <w:tcW w:w="5" w:type="pct"/>
            <w:shd w:val="clear" w:color="auto" w:fill="auto"/>
            <w:vAlign w:val="bottom"/>
          </w:tcPr>
          <w:p w14:paraId="5F2D1FFB" w14:textId="77777777" w:rsidR="00E836FB" w:rsidRDefault="00E836FB">
            <w:pPr>
              <w:rPr>
                <w:rFonts w:ascii="宋体"/>
              </w:rPr>
            </w:pPr>
          </w:p>
        </w:tc>
        <w:tc>
          <w:tcPr>
            <w:tcW w:w="50" w:type="pct"/>
            <w:shd w:val="clear" w:color="auto" w:fill="auto"/>
            <w:vAlign w:val="bottom"/>
          </w:tcPr>
          <w:p w14:paraId="5F2D1FFC" w14:textId="77777777" w:rsidR="00E836FB" w:rsidRDefault="00E836FB">
            <w:pPr>
              <w:rPr>
                <w:rFonts w:ascii="宋体"/>
              </w:rPr>
            </w:pPr>
          </w:p>
        </w:tc>
        <w:tc>
          <w:tcPr>
            <w:tcW w:w="317" w:type="pct"/>
            <w:shd w:val="clear" w:color="auto" w:fill="auto"/>
            <w:vAlign w:val="bottom"/>
          </w:tcPr>
          <w:p w14:paraId="5F2D1FFD" w14:textId="77777777" w:rsidR="00E836FB" w:rsidRDefault="00E836FB">
            <w:pPr>
              <w:rPr>
                <w:rFonts w:ascii="宋体"/>
              </w:rPr>
            </w:pPr>
          </w:p>
        </w:tc>
        <w:tc>
          <w:tcPr>
            <w:tcW w:w="5" w:type="pct"/>
            <w:shd w:val="clear" w:color="auto" w:fill="auto"/>
            <w:vAlign w:val="bottom"/>
          </w:tcPr>
          <w:p w14:paraId="5F2D1FFE" w14:textId="77777777" w:rsidR="00E836FB" w:rsidRDefault="00E836FB">
            <w:pPr>
              <w:rPr>
                <w:rFonts w:ascii="宋体"/>
              </w:rPr>
            </w:pPr>
          </w:p>
        </w:tc>
        <w:tc>
          <w:tcPr>
            <w:tcW w:w="5" w:type="pct"/>
            <w:shd w:val="clear" w:color="auto" w:fill="auto"/>
            <w:vAlign w:val="bottom"/>
          </w:tcPr>
          <w:p w14:paraId="5F2D1FFF" w14:textId="77777777" w:rsidR="00E836FB" w:rsidRDefault="00E836FB">
            <w:pPr>
              <w:rPr>
                <w:rFonts w:ascii="宋体"/>
              </w:rPr>
            </w:pPr>
          </w:p>
        </w:tc>
        <w:tc>
          <w:tcPr>
            <w:tcW w:w="26" w:type="pct"/>
            <w:shd w:val="clear" w:color="auto" w:fill="auto"/>
            <w:vAlign w:val="bottom"/>
          </w:tcPr>
          <w:p w14:paraId="5F2D2000" w14:textId="77777777" w:rsidR="00E836FB" w:rsidRDefault="00E836FB">
            <w:pPr>
              <w:rPr>
                <w:rFonts w:ascii="宋体"/>
              </w:rPr>
            </w:pPr>
          </w:p>
        </w:tc>
        <w:tc>
          <w:tcPr>
            <w:tcW w:w="5" w:type="pct"/>
            <w:shd w:val="clear" w:color="auto" w:fill="auto"/>
            <w:vAlign w:val="bottom"/>
          </w:tcPr>
          <w:p w14:paraId="5F2D2001" w14:textId="77777777" w:rsidR="00E836FB" w:rsidRDefault="00E836FB">
            <w:pPr>
              <w:rPr>
                <w:rFonts w:ascii="宋体"/>
              </w:rPr>
            </w:pPr>
          </w:p>
        </w:tc>
        <w:tc>
          <w:tcPr>
            <w:tcW w:w="50" w:type="pct"/>
            <w:shd w:val="clear" w:color="auto" w:fill="auto"/>
            <w:vAlign w:val="bottom"/>
          </w:tcPr>
          <w:p w14:paraId="5F2D2002" w14:textId="77777777" w:rsidR="00E836FB" w:rsidRDefault="00E836FB">
            <w:pPr>
              <w:rPr>
                <w:rFonts w:ascii="宋体"/>
              </w:rPr>
            </w:pPr>
          </w:p>
        </w:tc>
        <w:tc>
          <w:tcPr>
            <w:tcW w:w="317" w:type="pct"/>
            <w:shd w:val="clear" w:color="auto" w:fill="auto"/>
            <w:vAlign w:val="bottom"/>
          </w:tcPr>
          <w:p w14:paraId="5F2D2003" w14:textId="77777777" w:rsidR="00E836FB" w:rsidRDefault="00E836FB">
            <w:pPr>
              <w:rPr>
                <w:rFonts w:ascii="宋体"/>
              </w:rPr>
            </w:pPr>
          </w:p>
        </w:tc>
        <w:tc>
          <w:tcPr>
            <w:tcW w:w="5" w:type="pct"/>
            <w:shd w:val="clear" w:color="auto" w:fill="auto"/>
            <w:vAlign w:val="bottom"/>
          </w:tcPr>
          <w:p w14:paraId="5F2D2004" w14:textId="77777777" w:rsidR="00E836FB" w:rsidRDefault="00E836FB">
            <w:pPr>
              <w:rPr>
                <w:rFonts w:ascii="宋体"/>
              </w:rPr>
            </w:pPr>
          </w:p>
        </w:tc>
        <w:tc>
          <w:tcPr>
            <w:tcW w:w="5" w:type="pct"/>
            <w:shd w:val="clear" w:color="auto" w:fill="auto"/>
            <w:vAlign w:val="bottom"/>
          </w:tcPr>
          <w:p w14:paraId="5F2D2005" w14:textId="77777777" w:rsidR="00E836FB" w:rsidRDefault="00E836FB">
            <w:pPr>
              <w:rPr>
                <w:rFonts w:ascii="宋体"/>
              </w:rPr>
            </w:pPr>
          </w:p>
        </w:tc>
        <w:tc>
          <w:tcPr>
            <w:tcW w:w="26" w:type="pct"/>
            <w:shd w:val="clear" w:color="auto" w:fill="auto"/>
            <w:vAlign w:val="bottom"/>
          </w:tcPr>
          <w:p w14:paraId="5F2D2006" w14:textId="77777777" w:rsidR="00E836FB" w:rsidRDefault="00E836FB">
            <w:pPr>
              <w:rPr>
                <w:rFonts w:ascii="宋体"/>
              </w:rPr>
            </w:pPr>
          </w:p>
        </w:tc>
        <w:tc>
          <w:tcPr>
            <w:tcW w:w="5" w:type="pct"/>
            <w:shd w:val="clear" w:color="auto" w:fill="auto"/>
            <w:vAlign w:val="bottom"/>
          </w:tcPr>
          <w:p w14:paraId="5F2D2007" w14:textId="77777777" w:rsidR="00E836FB" w:rsidRDefault="00E836FB">
            <w:pPr>
              <w:rPr>
                <w:rFonts w:ascii="宋体"/>
              </w:rPr>
            </w:pPr>
          </w:p>
        </w:tc>
        <w:tc>
          <w:tcPr>
            <w:tcW w:w="50" w:type="pct"/>
            <w:shd w:val="clear" w:color="auto" w:fill="auto"/>
            <w:vAlign w:val="bottom"/>
          </w:tcPr>
          <w:p w14:paraId="5F2D2008" w14:textId="77777777" w:rsidR="00E836FB" w:rsidRDefault="00E836FB">
            <w:pPr>
              <w:rPr>
                <w:rFonts w:ascii="宋体"/>
              </w:rPr>
            </w:pPr>
          </w:p>
        </w:tc>
        <w:tc>
          <w:tcPr>
            <w:tcW w:w="317" w:type="pct"/>
            <w:shd w:val="clear" w:color="auto" w:fill="auto"/>
            <w:vAlign w:val="bottom"/>
          </w:tcPr>
          <w:p w14:paraId="5F2D2009" w14:textId="77777777" w:rsidR="00E836FB" w:rsidRDefault="00E836FB">
            <w:pPr>
              <w:rPr>
                <w:rFonts w:ascii="宋体"/>
              </w:rPr>
            </w:pPr>
          </w:p>
        </w:tc>
        <w:tc>
          <w:tcPr>
            <w:tcW w:w="5" w:type="pct"/>
            <w:shd w:val="clear" w:color="auto" w:fill="auto"/>
            <w:vAlign w:val="bottom"/>
          </w:tcPr>
          <w:p w14:paraId="5F2D200A" w14:textId="77777777" w:rsidR="00E836FB" w:rsidRDefault="00E836FB">
            <w:pPr>
              <w:rPr>
                <w:rFonts w:ascii="宋体"/>
              </w:rPr>
            </w:pPr>
          </w:p>
        </w:tc>
        <w:tc>
          <w:tcPr>
            <w:tcW w:w="5" w:type="pct"/>
            <w:shd w:val="clear" w:color="auto" w:fill="auto"/>
            <w:vAlign w:val="bottom"/>
          </w:tcPr>
          <w:p w14:paraId="5F2D200B" w14:textId="77777777" w:rsidR="00E836FB" w:rsidRDefault="00E836FB">
            <w:pPr>
              <w:rPr>
                <w:rFonts w:ascii="宋体"/>
              </w:rPr>
            </w:pPr>
          </w:p>
        </w:tc>
        <w:tc>
          <w:tcPr>
            <w:tcW w:w="26" w:type="pct"/>
            <w:shd w:val="clear" w:color="auto" w:fill="auto"/>
            <w:vAlign w:val="bottom"/>
          </w:tcPr>
          <w:p w14:paraId="5F2D200C" w14:textId="77777777" w:rsidR="00E836FB" w:rsidRDefault="00E836FB">
            <w:pPr>
              <w:rPr>
                <w:rFonts w:ascii="宋体"/>
              </w:rPr>
            </w:pPr>
          </w:p>
        </w:tc>
        <w:tc>
          <w:tcPr>
            <w:tcW w:w="5" w:type="pct"/>
            <w:shd w:val="clear" w:color="auto" w:fill="auto"/>
            <w:vAlign w:val="bottom"/>
          </w:tcPr>
          <w:p w14:paraId="5F2D200D" w14:textId="77777777" w:rsidR="00E836FB" w:rsidRDefault="00E836FB">
            <w:pPr>
              <w:rPr>
                <w:rFonts w:ascii="宋体"/>
              </w:rPr>
            </w:pPr>
          </w:p>
        </w:tc>
        <w:tc>
          <w:tcPr>
            <w:tcW w:w="50" w:type="pct"/>
            <w:shd w:val="clear" w:color="auto" w:fill="auto"/>
            <w:vAlign w:val="bottom"/>
          </w:tcPr>
          <w:p w14:paraId="5F2D200E" w14:textId="77777777" w:rsidR="00E836FB" w:rsidRDefault="00E836FB">
            <w:pPr>
              <w:rPr>
                <w:rFonts w:ascii="宋体"/>
              </w:rPr>
            </w:pPr>
          </w:p>
        </w:tc>
        <w:tc>
          <w:tcPr>
            <w:tcW w:w="317" w:type="pct"/>
            <w:shd w:val="clear" w:color="auto" w:fill="auto"/>
            <w:vAlign w:val="bottom"/>
          </w:tcPr>
          <w:p w14:paraId="5F2D200F" w14:textId="77777777" w:rsidR="00E836FB" w:rsidRDefault="00E836FB">
            <w:pPr>
              <w:rPr>
                <w:rFonts w:ascii="宋体"/>
              </w:rPr>
            </w:pPr>
          </w:p>
        </w:tc>
        <w:tc>
          <w:tcPr>
            <w:tcW w:w="5" w:type="pct"/>
            <w:shd w:val="clear" w:color="auto" w:fill="auto"/>
            <w:vAlign w:val="bottom"/>
          </w:tcPr>
          <w:p w14:paraId="5F2D2010" w14:textId="77777777" w:rsidR="00E836FB" w:rsidRDefault="00E836FB">
            <w:pPr>
              <w:rPr>
                <w:rFonts w:ascii="宋体"/>
              </w:rPr>
            </w:pPr>
          </w:p>
        </w:tc>
        <w:tc>
          <w:tcPr>
            <w:tcW w:w="5" w:type="pct"/>
            <w:shd w:val="clear" w:color="auto" w:fill="auto"/>
            <w:vAlign w:val="bottom"/>
          </w:tcPr>
          <w:p w14:paraId="5F2D2011" w14:textId="77777777" w:rsidR="00E836FB" w:rsidRDefault="00E836FB">
            <w:pPr>
              <w:rPr>
                <w:rFonts w:ascii="宋体"/>
              </w:rPr>
            </w:pPr>
          </w:p>
        </w:tc>
        <w:tc>
          <w:tcPr>
            <w:tcW w:w="26" w:type="pct"/>
            <w:shd w:val="clear" w:color="auto" w:fill="auto"/>
            <w:vAlign w:val="bottom"/>
          </w:tcPr>
          <w:p w14:paraId="5F2D2012" w14:textId="77777777" w:rsidR="00E836FB" w:rsidRDefault="00E836FB">
            <w:pPr>
              <w:rPr>
                <w:rFonts w:ascii="宋体"/>
              </w:rPr>
            </w:pPr>
          </w:p>
        </w:tc>
        <w:tc>
          <w:tcPr>
            <w:tcW w:w="5" w:type="pct"/>
            <w:shd w:val="clear" w:color="auto" w:fill="auto"/>
            <w:vAlign w:val="bottom"/>
          </w:tcPr>
          <w:p w14:paraId="5F2D2013" w14:textId="77777777" w:rsidR="00E836FB" w:rsidRDefault="00E836FB">
            <w:pPr>
              <w:rPr>
                <w:rFonts w:ascii="宋体"/>
              </w:rPr>
            </w:pPr>
          </w:p>
        </w:tc>
        <w:tc>
          <w:tcPr>
            <w:tcW w:w="50" w:type="pct"/>
            <w:shd w:val="clear" w:color="auto" w:fill="auto"/>
            <w:vAlign w:val="bottom"/>
          </w:tcPr>
          <w:p w14:paraId="5F2D2014" w14:textId="77777777" w:rsidR="00E836FB" w:rsidRDefault="00E836FB">
            <w:pPr>
              <w:rPr>
                <w:rFonts w:ascii="宋体"/>
              </w:rPr>
            </w:pPr>
          </w:p>
        </w:tc>
        <w:tc>
          <w:tcPr>
            <w:tcW w:w="317" w:type="pct"/>
            <w:shd w:val="clear" w:color="auto" w:fill="auto"/>
            <w:vAlign w:val="bottom"/>
          </w:tcPr>
          <w:p w14:paraId="5F2D2015" w14:textId="77777777" w:rsidR="00E836FB" w:rsidRDefault="00E836FB">
            <w:pPr>
              <w:rPr>
                <w:rFonts w:ascii="宋体"/>
              </w:rPr>
            </w:pPr>
          </w:p>
        </w:tc>
        <w:tc>
          <w:tcPr>
            <w:tcW w:w="5" w:type="pct"/>
            <w:shd w:val="clear" w:color="auto" w:fill="auto"/>
            <w:vAlign w:val="bottom"/>
          </w:tcPr>
          <w:p w14:paraId="5F2D2016" w14:textId="77777777" w:rsidR="00E836FB" w:rsidRDefault="00E836FB">
            <w:pPr>
              <w:rPr>
                <w:rFonts w:ascii="宋体"/>
              </w:rPr>
            </w:pPr>
          </w:p>
        </w:tc>
        <w:tc>
          <w:tcPr>
            <w:tcW w:w="5" w:type="pct"/>
            <w:shd w:val="clear" w:color="auto" w:fill="auto"/>
            <w:vAlign w:val="bottom"/>
          </w:tcPr>
          <w:p w14:paraId="5F2D2017" w14:textId="77777777" w:rsidR="00E836FB" w:rsidRDefault="00E836FB">
            <w:pPr>
              <w:rPr>
                <w:rFonts w:ascii="宋体"/>
              </w:rPr>
            </w:pPr>
          </w:p>
        </w:tc>
        <w:tc>
          <w:tcPr>
            <w:tcW w:w="26" w:type="pct"/>
            <w:shd w:val="clear" w:color="auto" w:fill="auto"/>
            <w:vAlign w:val="bottom"/>
          </w:tcPr>
          <w:p w14:paraId="5F2D2018" w14:textId="77777777" w:rsidR="00E836FB" w:rsidRDefault="00E836FB">
            <w:pPr>
              <w:rPr>
                <w:rFonts w:ascii="宋体"/>
              </w:rPr>
            </w:pPr>
          </w:p>
        </w:tc>
        <w:tc>
          <w:tcPr>
            <w:tcW w:w="5" w:type="pct"/>
            <w:shd w:val="clear" w:color="auto" w:fill="auto"/>
            <w:vAlign w:val="bottom"/>
          </w:tcPr>
          <w:p w14:paraId="5F2D2019" w14:textId="77777777" w:rsidR="00E836FB" w:rsidRDefault="00E836FB">
            <w:pPr>
              <w:rPr>
                <w:rFonts w:ascii="宋体"/>
              </w:rPr>
            </w:pPr>
          </w:p>
        </w:tc>
        <w:tc>
          <w:tcPr>
            <w:tcW w:w="50" w:type="pct"/>
            <w:shd w:val="clear" w:color="auto" w:fill="auto"/>
            <w:vAlign w:val="bottom"/>
          </w:tcPr>
          <w:p w14:paraId="5F2D201A" w14:textId="77777777" w:rsidR="00E836FB" w:rsidRDefault="00E836FB">
            <w:pPr>
              <w:rPr>
                <w:rFonts w:ascii="宋体"/>
              </w:rPr>
            </w:pPr>
          </w:p>
        </w:tc>
        <w:tc>
          <w:tcPr>
            <w:tcW w:w="566" w:type="pct"/>
            <w:shd w:val="clear" w:color="auto" w:fill="auto"/>
            <w:vAlign w:val="bottom"/>
          </w:tcPr>
          <w:p w14:paraId="5F2D201B" w14:textId="77777777" w:rsidR="00E836FB" w:rsidRDefault="00E836FB">
            <w:pPr>
              <w:rPr>
                <w:rFonts w:ascii="宋体"/>
              </w:rPr>
            </w:pPr>
          </w:p>
        </w:tc>
        <w:tc>
          <w:tcPr>
            <w:tcW w:w="5" w:type="pct"/>
            <w:shd w:val="clear" w:color="auto" w:fill="auto"/>
            <w:vAlign w:val="bottom"/>
          </w:tcPr>
          <w:p w14:paraId="5F2D201C" w14:textId="77777777" w:rsidR="00E836FB" w:rsidRDefault="00E836FB">
            <w:pPr>
              <w:rPr>
                <w:rFonts w:ascii="宋体"/>
              </w:rPr>
            </w:pPr>
          </w:p>
        </w:tc>
        <w:tc>
          <w:tcPr>
            <w:tcW w:w="5" w:type="pct"/>
            <w:shd w:val="clear" w:color="auto" w:fill="auto"/>
            <w:vAlign w:val="bottom"/>
          </w:tcPr>
          <w:p w14:paraId="5F2D201D" w14:textId="77777777" w:rsidR="00E836FB" w:rsidRDefault="00E836FB">
            <w:pPr>
              <w:rPr>
                <w:rFonts w:ascii="宋体"/>
              </w:rPr>
            </w:pPr>
          </w:p>
        </w:tc>
        <w:tc>
          <w:tcPr>
            <w:tcW w:w="26" w:type="pct"/>
            <w:shd w:val="clear" w:color="auto" w:fill="auto"/>
            <w:vAlign w:val="bottom"/>
          </w:tcPr>
          <w:p w14:paraId="5F2D201E" w14:textId="77777777" w:rsidR="00E836FB" w:rsidRDefault="00E836FB">
            <w:pPr>
              <w:rPr>
                <w:rFonts w:ascii="宋体"/>
              </w:rPr>
            </w:pPr>
          </w:p>
        </w:tc>
        <w:tc>
          <w:tcPr>
            <w:tcW w:w="5" w:type="pct"/>
            <w:shd w:val="clear" w:color="auto" w:fill="auto"/>
            <w:vAlign w:val="bottom"/>
          </w:tcPr>
          <w:p w14:paraId="5F2D201F" w14:textId="77777777" w:rsidR="00E836FB" w:rsidRDefault="00E836FB">
            <w:pPr>
              <w:rPr>
                <w:rFonts w:ascii="宋体"/>
              </w:rPr>
            </w:pPr>
          </w:p>
        </w:tc>
        <w:tc>
          <w:tcPr>
            <w:tcW w:w="50" w:type="pct"/>
            <w:shd w:val="clear" w:color="auto" w:fill="auto"/>
            <w:vAlign w:val="bottom"/>
          </w:tcPr>
          <w:p w14:paraId="5F2D2020" w14:textId="77777777" w:rsidR="00E836FB" w:rsidRDefault="00E836FB">
            <w:pPr>
              <w:rPr>
                <w:rFonts w:ascii="宋体"/>
              </w:rPr>
            </w:pPr>
          </w:p>
        </w:tc>
        <w:tc>
          <w:tcPr>
            <w:tcW w:w="318" w:type="pct"/>
            <w:shd w:val="clear" w:color="auto" w:fill="auto"/>
            <w:vAlign w:val="bottom"/>
          </w:tcPr>
          <w:p w14:paraId="5F2D2021" w14:textId="77777777" w:rsidR="00E836FB" w:rsidRDefault="00E836FB">
            <w:pPr>
              <w:rPr>
                <w:rFonts w:ascii="宋体"/>
              </w:rPr>
            </w:pPr>
          </w:p>
        </w:tc>
        <w:tc>
          <w:tcPr>
            <w:tcW w:w="5" w:type="pct"/>
            <w:shd w:val="clear" w:color="auto" w:fill="auto"/>
            <w:vAlign w:val="bottom"/>
          </w:tcPr>
          <w:p w14:paraId="5F2D2022" w14:textId="77777777" w:rsidR="00E836FB" w:rsidRDefault="00E836FB">
            <w:pPr>
              <w:rPr>
                <w:rFonts w:ascii="宋体"/>
              </w:rPr>
            </w:pPr>
          </w:p>
        </w:tc>
      </w:tr>
      <w:tr w:rsidR="00E836FB" w14:paraId="5F2D2034" w14:textId="77777777">
        <w:tc>
          <w:tcPr>
            <w:tcW w:w="0" w:type="auto"/>
            <w:gridSpan w:val="3"/>
            <w:shd w:val="clear" w:color="auto" w:fill="auto"/>
            <w:tcMar>
              <w:top w:w="40" w:type="dxa"/>
              <w:left w:w="20" w:type="dxa"/>
              <w:bottom w:w="40" w:type="dxa"/>
              <w:right w:w="20" w:type="dxa"/>
            </w:tcMar>
            <w:vAlign w:val="bottom"/>
          </w:tcPr>
          <w:p w14:paraId="5F2D2024"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2025"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F2D202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027"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5F2D202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029" w14:textId="77777777" w:rsidR="00E836FB" w:rsidRDefault="00994958">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5F2D202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02B" w14:textId="77777777" w:rsidR="00E836FB" w:rsidRDefault="00994958">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5F2D202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02D" w14:textId="77777777" w:rsidR="00E836FB" w:rsidRDefault="00994958">
            <w:pPr>
              <w:jc w:val="center"/>
              <w:textAlignment w:val="bottom"/>
            </w:pPr>
            <w:r>
              <w:rPr>
                <w:rFonts w:ascii="Arial" w:eastAsia="宋体" w:hAnsi="Arial" w:cs="Arial"/>
                <w:b/>
                <w:bCs/>
                <w:color w:val="000000"/>
                <w:sz w:val="14"/>
                <w:szCs w:val="14"/>
              </w:rPr>
              <w:t>2016</w:t>
            </w:r>
          </w:p>
        </w:tc>
        <w:tc>
          <w:tcPr>
            <w:tcW w:w="0" w:type="auto"/>
            <w:gridSpan w:val="3"/>
            <w:shd w:val="clear" w:color="auto" w:fill="auto"/>
            <w:tcMar>
              <w:top w:w="0" w:type="dxa"/>
              <w:left w:w="20" w:type="dxa"/>
              <w:bottom w:w="0" w:type="dxa"/>
              <w:right w:w="20" w:type="dxa"/>
            </w:tcMar>
            <w:vAlign w:val="bottom"/>
          </w:tcPr>
          <w:p w14:paraId="5F2D202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02F" w14:textId="77777777" w:rsidR="00E836FB" w:rsidRDefault="00994958">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5F2D203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031" w14:textId="77777777" w:rsidR="00E836FB" w:rsidRDefault="00994958">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5F2D203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033" w14:textId="77777777" w:rsidR="00E836FB" w:rsidRDefault="00994958">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E836FB" w14:paraId="5F2D2045" w14:textId="77777777">
        <w:tc>
          <w:tcPr>
            <w:tcW w:w="0" w:type="auto"/>
            <w:gridSpan w:val="3"/>
            <w:shd w:val="clear" w:color="auto" w:fill="auto"/>
            <w:tcMar>
              <w:top w:w="40" w:type="dxa"/>
              <w:left w:w="20" w:type="dxa"/>
              <w:bottom w:w="40" w:type="dxa"/>
              <w:right w:w="20" w:type="dxa"/>
            </w:tcMar>
            <w:vAlign w:val="bottom"/>
          </w:tcPr>
          <w:p w14:paraId="5F2D2035" w14:textId="77777777" w:rsidR="00E836FB" w:rsidRDefault="00994958">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3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3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3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3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3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3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3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044" w14:textId="77777777" w:rsidR="00E836FB" w:rsidRDefault="00E836FB">
            <w:pPr>
              <w:rPr>
                <w:rFonts w:ascii="宋体"/>
              </w:rPr>
            </w:pPr>
          </w:p>
        </w:tc>
      </w:tr>
      <w:tr w:rsidR="00E836FB" w14:paraId="5F2D2056" w14:textId="77777777">
        <w:tc>
          <w:tcPr>
            <w:tcW w:w="0" w:type="auto"/>
            <w:gridSpan w:val="3"/>
            <w:shd w:val="clear" w:color="auto" w:fill="auto"/>
            <w:tcMar>
              <w:top w:w="40" w:type="dxa"/>
              <w:left w:w="155" w:type="dxa"/>
              <w:bottom w:w="40" w:type="dxa"/>
              <w:right w:w="20" w:type="dxa"/>
            </w:tcMar>
            <w:vAlign w:val="bottom"/>
          </w:tcPr>
          <w:p w14:paraId="5F2D2046"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F2D204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4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5" w14:textId="77777777" w:rsidR="00E836FB" w:rsidRDefault="00E836FB">
            <w:pPr>
              <w:rPr>
                <w:rFonts w:ascii="宋体"/>
              </w:rPr>
            </w:pPr>
          </w:p>
        </w:tc>
      </w:tr>
      <w:tr w:rsidR="00E836FB" w14:paraId="5F2D2067" w14:textId="77777777">
        <w:tc>
          <w:tcPr>
            <w:tcW w:w="0" w:type="auto"/>
            <w:gridSpan w:val="3"/>
            <w:shd w:val="clear" w:color="auto" w:fill="auto"/>
            <w:tcMar>
              <w:top w:w="40" w:type="dxa"/>
              <w:left w:w="245" w:type="dxa"/>
              <w:bottom w:w="40" w:type="dxa"/>
              <w:right w:w="20" w:type="dxa"/>
            </w:tcMar>
            <w:vAlign w:val="bottom"/>
          </w:tcPr>
          <w:p w14:paraId="5F2D2057" w14:textId="77777777" w:rsidR="00E836FB" w:rsidRDefault="00994958">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F2D205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5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066" w14:textId="77777777" w:rsidR="00E836FB" w:rsidRDefault="00E836FB">
            <w:pPr>
              <w:rPr>
                <w:rFonts w:ascii="宋体"/>
              </w:rPr>
            </w:pPr>
          </w:p>
        </w:tc>
      </w:tr>
      <w:tr w:rsidR="00E836FB" w14:paraId="5F2D2088" w14:textId="77777777">
        <w:tc>
          <w:tcPr>
            <w:tcW w:w="0" w:type="auto"/>
            <w:gridSpan w:val="3"/>
            <w:shd w:val="clear" w:color="auto" w:fill="CCEEFF"/>
            <w:tcMar>
              <w:top w:w="40" w:type="dxa"/>
              <w:left w:w="380" w:type="dxa"/>
              <w:bottom w:w="40" w:type="dxa"/>
              <w:right w:w="20" w:type="dxa"/>
            </w:tcMar>
            <w:vAlign w:val="bottom"/>
          </w:tcPr>
          <w:p w14:paraId="5F2D2068" w14:textId="77777777" w:rsidR="00E836FB" w:rsidRDefault="00994958">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F2D206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6A" w14:textId="77777777" w:rsidR="00E836FB" w:rsidRDefault="00994958">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5F2D20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6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06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6E" w14:textId="77777777" w:rsidR="00E836FB" w:rsidRDefault="00994958">
            <w:pPr>
              <w:jc w:val="right"/>
              <w:textAlignment w:val="bottom"/>
            </w:pPr>
            <w:r>
              <w:rPr>
                <w:rFonts w:ascii="Arial" w:eastAsia="宋体" w:hAnsi="Arial" w:cs="Arial"/>
                <w:color w:val="000000"/>
                <w:sz w:val="14"/>
                <w:szCs w:val="14"/>
              </w:rPr>
              <w:t>388 </w:t>
            </w:r>
          </w:p>
        </w:tc>
        <w:tc>
          <w:tcPr>
            <w:tcW w:w="0" w:type="auto"/>
            <w:shd w:val="clear" w:color="auto" w:fill="CCEEFF"/>
            <w:tcMar>
              <w:top w:w="40" w:type="dxa"/>
              <w:left w:w="0" w:type="dxa"/>
              <w:bottom w:w="40" w:type="dxa"/>
              <w:right w:w="20" w:type="dxa"/>
            </w:tcMar>
            <w:vAlign w:val="bottom"/>
          </w:tcPr>
          <w:p w14:paraId="5F2D20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7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07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72"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F2D20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7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075"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76" w14:textId="77777777" w:rsidR="00E836FB" w:rsidRDefault="00994958">
            <w:pPr>
              <w:jc w:val="right"/>
              <w:textAlignment w:val="bottom"/>
            </w:pPr>
            <w:r>
              <w:rPr>
                <w:rFonts w:ascii="Arial" w:eastAsia="宋体" w:hAnsi="Arial" w:cs="Arial"/>
                <w:color w:val="000000"/>
                <w:sz w:val="14"/>
                <w:szCs w:val="14"/>
              </w:rPr>
              <w:t>167 </w:t>
            </w:r>
          </w:p>
        </w:tc>
        <w:tc>
          <w:tcPr>
            <w:tcW w:w="0" w:type="auto"/>
            <w:shd w:val="clear" w:color="auto" w:fill="CCEEFF"/>
            <w:tcMar>
              <w:top w:w="40" w:type="dxa"/>
              <w:left w:w="0" w:type="dxa"/>
              <w:bottom w:w="40" w:type="dxa"/>
              <w:right w:w="20" w:type="dxa"/>
            </w:tcMar>
            <w:vAlign w:val="bottom"/>
          </w:tcPr>
          <w:p w14:paraId="5F2D207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7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07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7A" w14:textId="77777777" w:rsidR="00E836FB" w:rsidRDefault="00994958">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5F2D207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7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07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7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0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8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08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82" w14:textId="77777777" w:rsidR="00E836FB" w:rsidRDefault="00994958">
            <w:pPr>
              <w:jc w:val="right"/>
              <w:textAlignment w:val="bottom"/>
            </w:pPr>
            <w:r>
              <w:rPr>
                <w:rFonts w:ascii="Arial" w:eastAsia="宋体" w:hAnsi="Arial" w:cs="Arial"/>
                <w:color w:val="000000"/>
                <w:sz w:val="14"/>
                <w:szCs w:val="14"/>
              </w:rPr>
              <w:t>12,836 </w:t>
            </w:r>
          </w:p>
        </w:tc>
        <w:tc>
          <w:tcPr>
            <w:tcW w:w="0" w:type="auto"/>
            <w:shd w:val="clear" w:color="auto" w:fill="CCEEFF"/>
            <w:tcMar>
              <w:top w:w="40" w:type="dxa"/>
              <w:left w:w="0" w:type="dxa"/>
              <w:bottom w:w="40" w:type="dxa"/>
              <w:right w:w="20" w:type="dxa"/>
            </w:tcMar>
            <w:vAlign w:val="bottom"/>
          </w:tcPr>
          <w:p w14:paraId="5F2D20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8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085"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086" w14:textId="77777777" w:rsidR="00E836FB" w:rsidRDefault="00994958">
            <w:pPr>
              <w:jc w:val="right"/>
              <w:textAlignment w:val="bottom"/>
            </w:pPr>
            <w:r>
              <w:rPr>
                <w:rFonts w:ascii="Arial" w:eastAsia="宋体" w:hAnsi="Arial" w:cs="Arial"/>
                <w:color w:val="000000"/>
                <w:sz w:val="14"/>
                <w:szCs w:val="14"/>
              </w:rPr>
              <w:t>15,489 </w:t>
            </w:r>
          </w:p>
        </w:tc>
        <w:tc>
          <w:tcPr>
            <w:tcW w:w="0" w:type="auto"/>
            <w:shd w:val="clear" w:color="auto" w:fill="CCEEFF"/>
            <w:tcMar>
              <w:top w:w="40" w:type="dxa"/>
              <w:left w:w="0" w:type="dxa"/>
              <w:bottom w:w="40" w:type="dxa"/>
              <w:right w:w="20" w:type="dxa"/>
            </w:tcMar>
            <w:vAlign w:val="bottom"/>
          </w:tcPr>
          <w:p w14:paraId="5F2D2087" w14:textId="77777777" w:rsidR="00E836FB" w:rsidRDefault="00E836FB">
            <w:pPr>
              <w:jc w:val="right"/>
              <w:rPr>
                <w:rFonts w:ascii="宋体"/>
              </w:rPr>
            </w:pPr>
          </w:p>
        </w:tc>
      </w:tr>
      <w:tr w:rsidR="00E836FB" w14:paraId="5F2D20A1" w14:textId="77777777">
        <w:tc>
          <w:tcPr>
            <w:tcW w:w="0" w:type="auto"/>
            <w:gridSpan w:val="3"/>
            <w:shd w:val="clear" w:color="auto" w:fill="FFFFFF"/>
            <w:tcMar>
              <w:top w:w="40" w:type="dxa"/>
              <w:left w:w="380" w:type="dxa"/>
              <w:bottom w:w="40" w:type="dxa"/>
              <w:right w:w="20" w:type="dxa"/>
            </w:tcMar>
            <w:vAlign w:val="bottom"/>
          </w:tcPr>
          <w:p w14:paraId="5F2D2089"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208A" w14:textId="77777777" w:rsidR="00E836FB" w:rsidRDefault="00994958">
            <w:pPr>
              <w:jc w:val="right"/>
              <w:textAlignment w:val="bottom"/>
            </w:pPr>
            <w:r>
              <w:rPr>
                <w:rFonts w:ascii="Arial" w:eastAsia="宋体" w:hAnsi="Arial" w:cs="Arial"/>
                <w:color w:val="000000"/>
                <w:sz w:val="14"/>
                <w:szCs w:val="14"/>
              </w:rPr>
              <w:t>432 </w:t>
            </w:r>
          </w:p>
        </w:tc>
        <w:tc>
          <w:tcPr>
            <w:tcW w:w="0" w:type="auto"/>
            <w:shd w:val="clear" w:color="auto" w:fill="FFFFFF"/>
            <w:tcMar>
              <w:top w:w="40" w:type="dxa"/>
              <w:left w:w="0" w:type="dxa"/>
              <w:bottom w:w="40" w:type="dxa"/>
              <w:right w:w="20" w:type="dxa"/>
            </w:tcMar>
            <w:vAlign w:val="bottom"/>
          </w:tcPr>
          <w:p w14:paraId="5F2D20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8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8D" w14:textId="77777777" w:rsidR="00E836FB" w:rsidRDefault="00994958">
            <w:pPr>
              <w:jc w:val="right"/>
              <w:textAlignment w:val="bottom"/>
            </w:pPr>
            <w:r>
              <w:rPr>
                <w:rFonts w:ascii="Arial" w:eastAsia="宋体" w:hAnsi="Arial" w:cs="Arial"/>
                <w:color w:val="000000"/>
                <w:sz w:val="14"/>
                <w:szCs w:val="14"/>
              </w:rPr>
              <w:t>942 </w:t>
            </w:r>
          </w:p>
        </w:tc>
        <w:tc>
          <w:tcPr>
            <w:tcW w:w="0" w:type="auto"/>
            <w:shd w:val="clear" w:color="auto" w:fill="FFFFFF"/>
            <w:tcMar>
              <w:top w:w="40" w:type="dxa"/>
              <w:left w:w="0" w:type="dxa"/>
              <w:bottom w:w="40" w:type="dxa"/>
              <w:right w:w="20" w:type="dxa"/>
            </w:tcMar>
            <w:vAlign w:val="bottom"/>
          </w:tcPr>
          <w:p w14:paraId="5F2D20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8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90" w14:textId="77777777" w:rsidR="00E836FB" w:rsidRDefault="00994958">
            <w:pPr>
              <w:jc w:val="right"/>
              <w:textAlignment w:val="bottom"/>
            </w:pPr>
            <w:r>
              <w:rPr>
                <w:rFonts w:ascii="Arial" w:eastAsia="宋体" w:hAnsi="Arial" w:cs="Arial"/>
                <w:color w:val="000000"/>
                <w:sz w:val="14"/>
                <w:szCs w:val="14"/>
              </w:rPr>
              <w:t>822 </w:t>
            </w:r>
          </w:p>
        </w:tc>
        <w:tc>
          <w:tcPr>
            <w:tcW w:w="0" w:type="auto"/>
            <w:shd w:val="clear" w:color="auto" w:fill="FFFFFF"/>
            <w:tcMar>
              <w:top w:w="40" w:type="dxa"/>
              <w:left w:w="0" w:type="dxa"/>
              <w:bottom w:w="40" w:type="dxa"/>
              <w:right w:w="20" w:type="dxa"/>
            </w:tcMar>
            <w:vAlign w:val="bottom"/>
          </w:tcPr>
          <w:p w14:paraId="5F2D20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93" w14:textId="77777777" w:rsidR="00E836FB" w:rsidRDefault="00994958">
            <w:pPr>
              <w:jc w:val="right"/>
              <w:textAlignment w:val="bottom"/>
            </w:pPr>
            <w:r>
              <w:rPr>
                <w:rFonts w:ascii="Arial" w:eastAsia="宋体" w:hAnsi="Arial" w:cs="Arial"/>
                <w:color w:val="000000"/>
                <w:sz w:val="14"/>
                <w:szCs w:val="14"/>
              </w:rPr>
              <w:t>610 </w:t>
            </w:r>
          </w:p>
        </w:tc>
        <w:tc>
          <w:tcPr>
            <w:tcW w:w="0" w:type="auto"/>
            <w:shd w:val="clear" w:color="auto" w:fill="FFFFFF"/>
            <w:tcMar>
              <w:top w:w="40" w:type="dxa"/>
              <w:left w:w="0" w:type="dxa"/>
              <w:bottom w:w="40" w:type="dxa"/>
              <w:right w:w="20" w:type="dxa"/>
            </w:tcMar>
            <w:vAlign w:val="bottom"/>
          </w:tcPr>
          <w:p w14:paraId="5F2D20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9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96"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F2D209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9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9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0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9C" w14:textId="77777777" w:rsidR="00E836FB" w:rsidRDefault="00994958">
            <w:pPr>
              <w:jc w:val="right"/>
              <w:textAlignment w:val="bottom"/>
            </w:pPr>
            <w:r>
              <w:rPr>
                <w:rFonts w:ascii="Arial" w:eastAsia="宋体" w:hAnsi="Arial" w:cs="Arial"/>
                <w:color w:val="000000"/>
                <w:sz w:val="14"/>
                <w:szCs w:val="14"/>
              </w:rPr>
              <w:t>597 </w:t>
            </w:r>
          </w:p>
        </w:tc>
        <w:tc>
          <w:tcPr>
            <w:tcW w:w="0" w:type="auto"/>
            <w:shd w:val="clear" w:color="auto" w:fill="FFFFFF"/>
            <w:tcMar>
              <w:top w:w="40" w:type="dxa"/>
              <w:left w:w="0" w:type="dxa"/>
              <w:bottom w:w="40" w:type="dxa"/>
              <w:right w:w="20" w:type="dxa"/>
            </w:tcMar>
            <w:vAlign w:val="bottom"/>
          </w:tcPr>
          <w:p w14:paraId="5F2D20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9F" w14:textId="77777777" w:rsidR="00E836FB" w:rsidRDefault="00994958">
            <w:pPr>
              <w:jc w:val="right"/>
              <w:textAlignment w:val="bottom"/>
            </w:pPr>
            <w:r>
              <w:rPr>
                <w:rFonts w:ascii="Arial" w:eastAsia="宋体" w:hAnsi="Arial" w:cs="Arial"/>
                <w:color w:val="000000"/>
                <w:sz w:val="14"/>
                <w:szCs w:val="14"/>
              </w:rPr>
              <w:t>3,446 </w:t>
            </w:r>
          </w:p>
        </w:tc>
        <w:tc>
          <w:tcPr>
            <w:tcW w:w="0" w:type="auto"/>
            <w:shd w:val="clear" w:color="auto" w:fill="FFFFFF"/>
            <w:tcMar>
              <w:top w:w="40" w:type="dxa"/>
              <w:left w:w="0" w:type="dxa"/>
              <w:bottom w:w="40" w:type="dxa"/>
              <w:right w:w="20" w:type="dxa"/>
            </w:tcMar>
            <w:vAlign w:val="bottom"/>
          </w:tcPr>
          <w:p w14:paraId="5F2D20A0" w14:textId="77777777" w:rsidR="00E836FB" w:rsidRDefault="00E836FB">
            <w:pPr>
              <w:jc w:val="right"/>
              <w:rPr>
                <w:rFonts w:ascii="宋体"/>
              </w:rPr>
            </w:pPr>
          </w:p>
        </w:tc>
      </w:tr>
      <w:tr w:rsidR="00E836FB" w14:paraId="5F2D20BA" w14:textId="77777777">
        <w:tc>
          <w:tcPr>
            <w:tcW w:w="0" w:type="auto"/>
            <w:gridSpan w:val="3"/>
            <w:shd w:val="clear" w:color="auto" w:fill="CCEEFF"/>
            <w:tcMar>
              <w:top w:w="40" w:type="dxa"/>
              <w:left w:w="380" w:type="dxa"/>
              <w:bottom w:w="40" w:type="dxa"/>
              <w:right w:w="20" w:type="dxa"/>
            </w:tcMar>
            <w:vAlign w:val="bottom"/>
          </w:tcPr>
          <w:p w14:paraId="5F2D20A2" w14:textId="77777777" w:rsidR="00E836FB" w:rsidRDefault="00994958">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F2D20A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0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A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0A6" w14:textId="77777777" w:rsidR="00E836FB" w:rsidRDefault="00994958">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5F2D20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0A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0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A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0AC" w14:textId="77777777" w:rsidR="00E836FB" w:rsidRDefault="00994958">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5F2D20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A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0A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0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B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0B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0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B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0B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0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0B8" w14:textId="77777777" w:rsidR="00E836FB" w:rsidRDefault="00994958">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F2D20B9" w14:textId="77777777" w:rsidR="00E836FB" w:rsidRDefault="00E836FB">
            <w:pPr>
              <w:jc w:val="right"/>
              <w:rPr>
                <w:rFonts w:ascii="宋体"/>
              </w:rPr>
            </w:pPr>
          </w:p>
        </w:tc>
      </w:tr>
      <w:tr w:rsidR="00E836FB" w14:paraId="5F2D20D3" w14:textId="77777777">
        <w:tc>
          <w:tcPr>
            <w:tcW w:w="0" w:type="auto"/>
            <w:gridSpan w:val="3"/>
            <w:shd w:val="clear" w:color="auto" w:fill="FFFFFF"/>
            <w:tcMar>
              <w:top w:w="40" w:type="dxa"/>
              <w:left w:w="380" w:type="dxa"/>
              <w:bottom w:w="40" w:type="dxa"/>
              <w:right w:w="20" w:type="dxa"/>
            </w:tcMar>
            <w:vAlign w:val="bottom"/>
          </w:tcPr>
          <w:p w14:paraId="5F2D20BB" w14:textId="77777777" w:rsidR="00E836FB" w:rsidRDefault="00994958">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F2D20B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0B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B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BF" w14:textId="77777777" w:rsidR="00E836FB" w:rsidRDefault="00994958">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5F2D20C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C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C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0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C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C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0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C8" w14:textId="77777777" w:rsidR="00E836FB" w:rsidRDefault="00994958">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F2D20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C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C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0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C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C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0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0D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0D1" w14:textId="77777777" w:rsidR="00E836FB" w:rsidRDefault="00994958">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F2D20D2" w14:textId="77777777" w:rsidR="00E836FB" w:rsidRDefault="00E836FB">
            <w:pPr>
              <w:jc w:val="right"/>
              <w:rPr>
                <w:rFonts w:ascii="宋体"/>
              </w:rPr>
            </w:pPr>
          </w:p>
        </w:tc>
      </w:tr>
      <w:tr w:rsidR="00E836FB" w14:paraId="5F2D20E4" w14:textId="77777777">
        <w:trPr>
          <w:hidden/>
        </w:trPr>
        <w:tc>
          <w:tcPr>
            <w:tcW w:w="0" w:type="auto"/>
            <w:gridSpan w:val="3"/>
            <w:shd w:val="clear" w:color="auto" w:fill="auto"/>
            <w:vAlign w:val="bottom"/>
          </w:tcPr>
          <w:p w14:paraId="5F2D20D4" w14:textId="77777777" w:rsidR="00E836FB" w:rsidRDefault="00E836FB">
            <w:pPr>
              <w:rPr>
                <w:rFonts w:ascii="宋体"/>
                <w:vanish/>
              </w:rPr>
            </w:pPr>
          </w:p>
        </w:tc>
        <w:tc>
          <w:tcPr>
            <w:tcW w:w="0" w:type="auto"/>
            <w:gridSpan w:val="3"/>
            <w:shd w:val="clear" w:color="auto" w:fill="auto"/>
            <w:vAlign w:val="bottom"/>
          </w:tcPr>
          <w:p w14:paraId="5F2D20D5" w14:textId="77777777" w:rsidR="00E836FB" w:rsidRDefault="00E836FB">
            <w:pPr>
              <w:rPr>
                <w:rFonts w:ascii="宋体"/>
                <w:vanish/>
              </w:rPr>
            </w:pPr>
          </w:p>
        </w:tc>
        <w:tc>
          <w:tcPr>
            <w:tcW w:w="0" w:type="auto"/>
            <w:gridSpan w:val="3"/>
            <w:shd w:val="clear" w:color="auto" w:fill="auto"/>
            <w:vAlign w:val="bottom"/>
          </w:tcPr>
          <w:p w14:paraId="5F2D20D6" w14:textId="77777777" w:rsidR="00E836FB" w:rsidRDefault="00E836FB">
            <w:pPr>
              <w:rPr>
                <w:rFonts w:ascii="宋体"/>
                <w:vanish/>
              </w:rPr>
            </w:pPr>
          </w:p>
        </w:tc>
        <w:tc>
          <w:tcPr>
            <w:tcW w:w="0" w:type="auto"/>
            <w:gridSpan w:val="3"/>
            <w:shd w:val="clear" w:color="auto" w:fill="auto"/>
            <w:vAlign w:val="bottom"/>
          </w:tcPr>
          <w:p w14:paraId="5F2D20D7" w14:textId="77777777" w:rsidR="00E836FB" w:rsidRDefault="00E836FB">
            <w:pPr>
              <w:rPr>
                <w:rFonts w:ascii="宋体"/>
                <w:vanish/>
              </w:rPr>
            </w:pPr>
          </w:p>
        </w:tc>
        <w:tc>
          <w:tcPr>
            <w:tcW w:w="0" w:type="auto"/>
            <w:gridSpan w:val="3"/>
            <w:shd w:val="clear" w:color="auto" w:fill="auto"/>
            <w:vAlign w:val="bottom"/>
          </w:tcPr>
          <w:p w14:paraId="5F2D20D8" w14:textId="77777777" w:rsidR="00E836FB" w:rsidRDefault="00E836FB">
            <w:pPr>
              <w:rPr>
                <w:rFonts w:ascii="宋体"/>
                <w:vanish/>
              </w:rPr>
            </w:pPr>
          </w:p>
        </w:tc>
        <w:tc>
          <w:tcPr>
            <w:tcW w:w="0" w:type="auto"/>
            <w:gridSpan w:val="3"/>
            <w:shd w:val="clear" w:color="auto" w:fill="auto"/>
            <w:vAlign w:val="bottom"/>
          </w:tcPr>
          <w:p w14:paraId="5F2D20D9" w14:textId="77777777" w:rsidR="00E836FB" w:rsidRDefault="00E836FB">
            <w:pPr>
              <w:rPr>
                <w:rFonts w:ascii="宋体"/>
                <w:vanish/>
              </w:rPr>
            </w:pPr>
          </w:p>
        </w:tc>
        <w:tc>
          <w:tcPr>
            <w:tcW w:w="0" w:type="auto"/>
            <w:gridSpan w:val="3"/>
            <w:shd w:val="clear" w:color="auto" w:fill="auto"/>
            <w:vAlign w:val="bottom"/>
          </w:tcPr>
          <w:p w14:paraId="5F2D20DA" w14:textId="77777777" w:rsidR="00E836FB" w:rsidRDefault="00E836FB">
            <w:pPr>
              <w:rPr>
                <w:rFonts w:ascii="宋体"/>
                <w:vanish/>
              </w:rPr>
            </w:pPr>
          </w:p>
        </w:tc>
        <w:tc>
          <w:tcPr>
            <w:tcW w:w="0" w:type="auto"/>
            <w:gridSpan w:val="3"/>
            <w:shd w:val="clear" w:color="auto" w:fill="auto"/>
            <w:vAlign w:val="bottom"/>
          </w:tcPr>
          <w:p w14:paraId="5F2D20DB" w14:textId="77777777" w:rsidR="00E836FB" w:rsidRDefault="00E836FB">
            <w:pPr>
              <w:rPr>
                <w:rFonts w:ascii="宋体"/>
                <w:vanish/>
              </w:rPr>
            </w:pPr>
          </w:p>
        </w:tc>
        <w:tc>
          <w:tcPr>
            <w:tcW w:w="0" w:type="auto"/>
            <w:gridSpan w:val="3"/>
            <w:shd w:val="clear" w:color="auto" w:fill="auto"/>
            <w:vAlign w:val="bottom"/>
          </w:tcPr>
          <w:p w14:paraId="5F2D20DC" w14:textId="77777777" w:rsidR="00E836FB" w:rsidRDefault="00E836FB">
            <w:pPr>
              <w:rPr>
                <w:rFonts w:ascii="宋体"/>
                <w:vanish/>
              </w:rPr>
            </w:pPr>
          </w:p>
        </w:tc>
        <w:tc>
          <w:tcPr>
            <w:tcW w:w="0" w:type="auto"/>
            <w:gridSpan w:val="3"/>
            <w:shd w:val="clear" w:color="auto" w:fill="auto"/>
            <w:vAlign w:val="bottom"/>
          </w:tcPr>
          <w:p w14:paraId="5F2D20DD" w14:textId="77777777" w:rsidR="00E836FB" w:rsidRDefault="00E836FB">
            <w:pPr>
              <w:rPr>
                <w:rFonts w:ascii="宋体"/>
                <w:vanish/>
              </w:rPr>
            </w:pPr>
          </w:p>
        </w:tc>
        <w:tc>
          <w:tcPr>
            <w:tcW w:w="0" w:type="auto"/>
            <w:gridSpan w:val="3"/>
            <w:shd w:val="clear" w:color="auto" w:fill="auto"/>
            <w:vAlign w:val="bottom"/>
          </w:tcPr>
          <w:p w14:paraId="5F2D20DE" w14:textId="77777777" w:rsidR="00E836FB" w:rsidRDefault="00E836FB">
            <w:pPr>
              <w:rPr>
                <w:rFonts w:ascii="宋体"/>
                <w:vanish/>
              </w:rPr>
            </w:pPr>
          </w:p>
        </w:tc>
        <w:tc>
          <w:tcPr>
            <w:tcW w:w="0" w:type="auto"/>
            <w:gridSpan w:val="3"/>
            <w:shd w:val="clear" w:color="auto" w:fill="auto"/>
            <w:vAlign w:val="bottom"/>
          </w:tcPr>
          <w:p w14:paraId="5F2D20DF" w14:textId="77777777" w:rsidR="00E836FB" w:rsidRDefault="00E836FB">
            <w:pPr>
              <w:rPr>
                <w:rFonts w:ascii="宋体"/>
                <w:vanish/>
              </w:rPr>
            </w:pPr>
          </w:p>
        </w:tc>
        <w:tc>
          <w:tcPr>
            <w:tcW w:w="0" w:type="auto"/>
            <w:gridSpan w:val="3"/>
            <w:shd w:val="clear" w:color="auto" w:fill="auto"/>
            <w:vAlign w:val="bottom"/>
          </w:tcPr>
          <w:p w14:paraId="5F2D20E0" w14:textId="77777777" w:rsidR="00E836FB" w:rsidRDefault="00E836FB">
            <w:pPr>
              <w:rPr>
                <w:rFonts w:ascii="宋体"/>
                <w:vanish/>
              </w:rPr>
            </w:pPr>
          </w:p>
        </w:tc>
        <w:tc>
          <w:tcPr>
            <w:tcW w:w="0" w:type="auto"/>
            <w:gridSpan w:val="3"/>
            <w:shd w:val="clear" w:color="auto" w:fill="auto"/>
            <w:vAlign w:val="bottom"/>
          </w:tcPr>
          <w:p w14:paraId="5F2D20E1" w14:textId="77777777" w:rsidR="00E836FB" w:rsidRDefault="00E836FB">
            <w:pPr>
              <w:rPr>
                <w:rFonts w:ascii="宋体"/>
                <w:vanish/>
              </w:rPr>
            </w:pPr>
          </w:p>
        </w:tc>
        <w:tc>
          <w:tcPr>
            <w:tcW w:w="0" w:type="auto"/>
            <w:gridSpan w:val="3"/>
            <w:shd w:val="clear" w:color="auto" w:fill="auto"/>
            <w:vAlign w:val="bottom"/>
          </w:tcPr>
          <w:p w14:paraId="5F2D20E2" w14:textId="77777777" w:rsidR="00E836FB" w:rsidRDefault="00E836FB">
            <w:pPr>
              <w:rPr>
                <w:rFonts w:ascii="宋体"/>
                <w:vanish/>
              </w:rPr>
            </w:pPr>
          </w:p>
        </w:tc>
        <w:tc>
          <w:tcPr>
            <w:tcW w:w="0" w:type="auto"/>
            <w:gridSpan w:val="3"/>
            <w:shd w:val="clear" w:color="auto" w:fill="auto"/>
            <w:vAlign w:val="bottom"/>
          </w:tcPr>
          <w:p w14:paraId="5F2D20E3" w14:textId="77777777" w:rsidR="00E836FB" w:rsidRDefault="00E836FB">
            <w:pPr>
              <w:rPr>
                <w:rFonts w:ascii="宋体"/>
                <w:vanish/>
              </w:rPr>
            </w:pPr>
          </w:p>
        </w:tc>
      </w:tr>
      <w:tr w:rsidR="00E836FB" w14:paraId="5F2D20F5" w14:textId="77777777">
        <w:trPr>
          <w:hidden/>
        </w:trPr>
        <w:tc>
          <w:tcPr>
            <w:tcW w:w="0" w:type="auto"/>
            <w:gridSpan w:val="3"/>
            <w:shd w:val="clear" w:color="auto" w:fill="auto"/>
            <w:vAlign w:val="bottom"/>
          </w:tcPr>
          <w:p w14:paraId="5F2D20E5" w14:textId="77777777" w:rsidR="00E836FB" w:rsidRDefault="00E836FB">
            <w:pPr>
              <w:rPr>
                <w:rFonts w:ascii="宋体"/>
                <w:vanish/>
              </w:rPr>
            </w:pPr>
          </w:p>
        </w:tc>
        <w:tc>
          <w:tcPr>
            <w:tcW w:w="0" w:type="auto"/>
            <w:gridSpan w:val="3"/>
            <w:shd w:val="clear" w:color="auto" w:fill="auto"/>
            <w:vAlign w:val="bottom"/>
          </w:tcPr>
          <w:p w14:paraId="5F2D20E6" w14:textId="77777777" w:rsidR="00E836FB" w:rsidRDefault="00E836FB">
            <w:pPr>
              <w:rPr>
                <w:rFonts w:ascii="宋体"/>
                <w:vanish/>
              </w:rPr>
            </w:pPr>
          </w:p>
        </w:tc>
        <w:tc>
          <w:tcPr>
            <w:tcW w:w="0" w:type="auto"/>
            <w:gridSpan w:val="3"/>
            <w:shd w:val="clear" w:color="auto" w:fill="auto"/>
            <w:vAlign w:val="bottom"/>
          </w:tcPr>
          <w:p w14:paraId="5F2D20E7" w14:textId="77777777" w:rsidR="00E836FB" w:rsidRDefault="00E836FB">
            <w:pPr>
              <w:rPr>
                <w:rFonts w:ascii="宋体"/>
                <w:vanish/>
              </w:rPr>
            </w:pPr>
          </w:p>
        </w:tc>
        <w:tc>
          <w:tcPr>
            <w:tcW w:w="0" w:type="auto"/>
            <w:gridSpan w:val="3"/>
            <w:shd w:val="clear" w:color="auto" w:fill="auto"/>
            <w:vAlign w:val="bottom"/>
          </w:tcPr>
          <w:p w14:paraId="5F2D20E8" w14:textId="77777777" w:rsidR="00E836FB" w:rsidRDefault="00E836FB">
            <w:pPr>
              <w:rPr>
                <w:rFonts w:ascii="宋体"/>
                <w:vanish/>
              </w:rPr>
            </w:pPr>
          </w:p>
        </w:tc>
        <w:tc>
          <w:tcPr>
            <w:tcW w:w="0" w:type="auto"/>
            <w:gridSpan w:val="3"/>
            <w:shd w:val="clear" w:color="auto" w:fill="auto"/>
            <w:vAlign w:val="bottom"/>
          </w:tcPr>
          <w:p w14:paraId="5F2D20E9" w14:textId="77777777" w:rsidR="00E836FB" w:rsidRDefault="00E836FB">
            <w:pPr>
              <w:rPr>
                <w:rFonts w:ascii="宋体"/>
                <w:vanish/>
              </w:rPr>
            </w:pPr>
          </w:p>
        </w:tc>
        <w:tc>
          <w:tcPr>
            <w:tcW w:w="0" w:type="auto"/>
            <w:gridSpan w:val="3"/>
            <w:shd w:val="clear" w:color="auto" w:fill="auto"/>
            <w:vAlign w:val="bottom"/>
          </w:tcPr>
          <w:p w14:paraId="5F2D20EA" w14:textId="77777777" w:rsidR="00E836FB" w:rsidRDefault="00E836FB">
            <w:pPr>
              <w:rPr>
                <w:rFonts w:ascii="宋体"/>
                <w:vanish/>
              </w:rPr>
            </w:pPr>
          </w:p>
        </w:tc>
        <w:tc>
          <w:tcPr>
            <w:tcW w:w="0" w:type="auto"/>
            <w:gridSpan w:val="3"/>
            <w:shd w:val="clear" w:color="auto" w:fill="auto"/>
            <w:vAlign w:val="bottom"/>
          </w:tcPr>
          <w:p w14:paraId="5F2D20EB" w14:textId="77777777" w:rsidR="00E836FB" w:rsidRDefault="00E836FB">
            <w:pPr>
              <w:rPr>
                <w:rFonts w:ascii="宋体"/>
                <w:vanish/>
              </w:rPr>
            </w:pPr>
          </w:p>
        </w:tc>
        <w:tc>
          <w:tcPr>
            <w:tcW w:w="0" w:type="auto"/>
            <w:gridSpan w:val="3"/>
            <w:shd w:val="clear" w:color="auto" w:fill="auto"/>
            <w:vAlign w:val="bottom"/>
          </w:tcPr>
          <w:p w14:paraId="5F2D20EC" w14:textId="77777777" w:rsidR="00E836FB" w:rsidRDefault="00E836FB">
            <w:pPr>
              <w:rPr>
                <w:rFonts w:ascii="宋体"/>
                <w:vanish/>
              </w:rPr>
            </w:pPr>
          </w:p>
        </w:tc>
        <w:tc>
          <w:tcPr>
            <w:tcW w:w="0" w:type="auto"/>
            <w:gridSpan w:val="3"/>
            <w:shd w:val="clear" w:color="auto" w:fill="auto"/>
            <w:vAlign w:val="bottom"/>
          </w:tcPr>
          <w:p w14:paraId="5F2D20ED" w14:textId="77777777" w:rsidR="00E836FB" w:rsidRDefault="00E836FB">
            <w:pPr>
              <w:rPr>
                <w:rFonts w:ascii="宋体"/>
                <w:vanish/>
              </w:rPr>
            </w:pPr>
          </w:p>
        </w:tc>
        <w:tc>
          <w:tcPr>
            <w:tcW w:w="0" w:type="auto"/>
            <w:gridSpan w:val="3"/>
            <w:shd w:val="clear" w:color="auto" w:fill="auto"/>
            <w:vAlign w:val="bottom"/>
          </w:tcPr>
          <w:p w14:paraId="5F2D20EE" w14:textId="77777777" w:rsidR="00E836FB" w:rsidRDefault="00E836FB">
            <w:pPr>
              <w:rPr>
                <w:rFonts w:ascii="宋体"/>
                <w:vanish/>
              </w:rPr>
            </w:pPr>
          </w:p>
        </w:tc>
        <w:tc>
          <w:tcPr>
            <w:tcW w:w="0" w:type="auto"/>
            <w:gridSpan w:val="3"/>
            <w:shd w:val="clear" w:color="auto" w:fill="auto"/>
            <w:vAlign w:val="bottom"/>
          </w:tcPr>
          <w:p w14:paraId="5F2D20EF" w14:textId="77777777" w:rsidR="00E836FB" w:rsidRDefault="00E836FB">
            <w:pPr>
              <w:rPr>
                <w:rFonts w:ascii="宋体"/>
                <w:vanish/>
              </w:rPr>
            </w:pPr>
          </w:p>
        </w:tc>
        <w:tc>
          <w:tcPr>
            <w:tcW w:w="0" w:type="auto"/>
            <w:gridSpan w:val="3"/>
            <w:shd w:val="clear" w:color="auto" w:fill="auto"/>
            <w:vAlign w:val="bottom"/>
          </w:tcPr>
          <w:p w14:paraId="5F2D20F0" w14:textId="77777777" w:rsidR="00E836FB" w:rsidRDefault="00E836FB">
            <w:pPr>
              <w:rPr>
                <w:rFonts w:ascii="宋体"/>
                <w:vanish/>
              </w:rPr>
            </w:pPr>
          </w:p>
        </w:tc>
        <w:tc>
          <w:tcPr>
            <w:tcW w:w="0" w:type="auto"/>
            <w:gridSpan w:val="3"/>
            <w:shd w:val="clear" w:color="auto" w:fill="auto"/>
            <w:vAlign w:val="bottom"/>
          </w:tcPr>
          <w:p w14:paraId="5F2D20F1" w14:textId="77777777" w:rsidR="00E836FB" w:rsidRDefault="00E836FB">
            <w:pPr>
              <w:rPr>
                <w:rFonts w:ascii="宋体"/>
                <w:vanish/>
              </w:rPr>
            </w:pPr>
          </w:p>
        </w:tc>
        <w:tc>
          <w:tcPr>
            <w:tcW w:w="0" w:type="auto"/>
            <w:gridSpan w:val="3"/>
            <w:shd w:val="clear" w:color="auto" w:fill="auto"/>
            <w:vAlign w:val="bottom"/>
          </w:tcPr>
          <w:p w14:paraId="5F2D20F2" w14:textId="77777777" w:rsidR="00E836FB" w:rsidRDefault="00E836FB">
            <w:pPr>
              <w:rPr>
                <w:rFonts w:ascii="宋体"/>
                <w:vanish/>
              </w:rPr>
            </w:pPr>
          </w:p>
        </w:tc>
        <w:tc>
          <w:tcPr>
            <w:tcW w:w="0" w:type="auto"/>
            <w:gridSpan w:val="3"/>
            <w:shd w:val="clear" w:color="auto" w:fill="auto"/>
            <w:vAlign w:val="bottom"/>
          </w:tcPr>
          <w:p w14:paraId="5F2D20F3" w14:textId="77777777" w:rsidR="00E836FB" w:rsidRDefault="00E836FB">
            <w:pPr>
              <w:rPr>
                <w:rFonts w:ascii="宋体"/>
                <w:vanish/>
              </w:rPr>
            </w:pPr>
          </w:p>
        </w:tc>
        <w:tc>
          <w:tcPr>
            <w:tcW w:w="0" w:type="auto"/>
            <w:gridSpan w:val="3"/>
            <w:shd w:val="clear" w:color="auto" w:fill="auto"/>
            <w:vAlign w:val="bottom"/>
          </w:tcPr>
          <w:p w14:paraId="5F2D20F4" w14:textId="77777777" w:rsidR="00E836FB" w:rsidRDefault="00E836FB">
            <w:pPr>
              <w:rPr>
                <w:rFonts w:ascii="宋体"/>
                <w:vanish/>
              </w:rPr>
            </w:pPr>
          </w:p>
        </w:tc>
      </w:tr>
      <w:tr w:rsidR="00E836FB" w14:paraId="5F2D2116" w14:textId="77777777">
        <w:tc>
          <w:tcPr>
            <w:tcW w:w="0" w:type="auto"/>
            <w:gridSpan w:val="3"/>
            <w:shd w:val="clear" w:color="auto" w:fill="CCEEFF"/>
            <w:tcMar>
              <w:top w:w="40" w:type="dxa"/>
              <w:left w:w="155" w:type="dxa"/>
              <w:bottom w:w="40" w:type="dxa"/>
              <w:right w:w="20" w:type="dxa"/>
            </w:tcMar>
            <w:vAlign w:val="bottom"/>
          </w:tcPr>
          <w:p w14:paraId="5F2D20F6" w14:textId="77777777" w:rsidR="00E836FB" w:rsidRDefault="00994958">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20F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0F8" w14:textId="77777777" w:rsidR="00E836FB" w:rsidRDefault="00994958">
            <w:pPr>
              <w:jc w:val="right"/>
              <w:textAlignment w:val="bottom"/>
            </w:pPr>
            <w:r>
              <w:rPr>
                <w:rFonts w:ascii="Arial" w:eastAsia="宋体" w:hAnsi="Arial" w:cs="Arial"/>
                <w:color w:val="000000"/>
                <w:sz w:val="14"/>
                <w:szCs w:val="14"/>
              </w:rPr>
              <w:t>2,326 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0F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F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0F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0FC" w14:textId="77777777" w:rsidR="00E836FB" w:rsidRDefault="00994958">
            <w:pPr>
              <w:jc w:val="right"/>
              <w:textAlignment w:val="bottom"/>
            </w:pPr>
            <w:r>
              <w:rPr>
                <w:rFonts w:ascii="Arial" w:eastAsia="宋体" w:hAnsi="Arial" w:cs="Arial"/>
                <w:color w:val="000000"/>
                <w:sz w:val="14"/>
                <w:szCs w:val="14"/>
              </w:rPr>
              <w:t>1,363 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0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0F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0F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00" w14:textId="77777777" w:rsidR="00E836FB" w:rsidRDefault="00994958">
            <w:pPr>
              <w:jc w:val="right"/>
              <w:textAlignment w:val="bottom"/>
            </w:pPr>
            <w:r>
              <w:rPr>
                <w:rFonts w:ascii="Arial" w:eastAsia="宋体" w:hAnsi="Arial" w:cs="Arial"/>
                <w:color w:val="000000"/>
                <w:sz w:val="14"/>
                <w:szCs w:val="14"/>
              </w:rPr>
              <w:t>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0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0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0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04" w14:textId="77777777" w:rsidR="00E836FB" w:rsidRDefault="00994958">
            <w:pPr>
              <w:jc w:val="right"/>
              <w:textAlignment w:val="bottom"/>
            </w:pPr>
            <w:r>
              <w:rPr>
                <w:rFonts w:ascii="Arial" w:eastAsia="宋体" w:hAnsi="Arial" w:cs="Arial"/>
                <w:color w:val="000000"/>
                <w:sz w:val="14"/>
                <w:szCs w:val="14"/>
              </w:rPr>
              <w:t>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0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0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08" w14:textId="77777777" w:rsidR="00E836FB" w:rsidRDefault="00994958">
            <w:pPr>
              <w:jc w:val="right"/>
              <w:textAlignment w:val="bottom"/>
            </w:pPr>
            <w:r>
              <w:rPr>
                <w:rFonts w:ascii="Arial" w:eastAsia="宋体" w:hAnsi="Arial" w:cs="Arial"/>
                <w:color w:val="000000"/>
                <w:sz w:val="14"/>
                <w:szCs w:val="14"/>
              </w:rPr>
              <w:t>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0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0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0C"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0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0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10" w14:textId="77777777" w:rsidR="00E836FB" w:rsidRDefault="00994958">
            <w:pPr>
              <w:jc w:val="right"/>
              <w:textAlignment w:val="bottom"/>
            </w:pPr>
            <w:r>
              <w:rPr>
                <w:rFonts w:ascii="Arial" w:eastAsia="宋体" w:hAnsi="Arial" w:cs="Arial"/>
                <w:color w:val="000000"/>
                <w:sz w:val="14"/>
                <w:szCs w:val="14"/>
              </w:rPr>
              <w:t>13,433 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1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1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14" w14:textId="77777777" w:rsidR="00E836FB" w:rsidRDefault="00994958">
            <w:pPr>
              <w:jc w:val="right"/>
              <w:textAlignment w:val="bottom"/>
            </w:pPr>
            <w:r>
              <w:rPr>
                <w:rFonts w:ascii="Arial" w:eastAsia="宋体" w:hAnsi="Arial" w:cs="Arial"/>
                <w:color w:val="000000"/>
                <w:sz w:val="14"/>
                <w:szCs w:val="14"/>
              </w:rPr>
              <w:t>19,036 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15" w14:textId="77777777" w:rsidR="00E836FB" w:rsidRDefault="00E836FB">
            <w:pPr>
              <w:jc w:val="right"/>
              <w:rPr>
                <w:rFonts w:ascii="宋体"/>
              </w:rPr>
            </w:pPr>
          </w:p>
        </w:tc>
      </w:tr>
      <w:tr w:rsidR="00E836FB" w14:paraId="5F2D2127" w14:textId="77777777">
        <w:trPr>
          <w:trHeight w:val="60"/>
        </w:trPr>
        <w:tc>
          <w:tcPr>
            <w:tcW w:w="0" w:type="auto"/>
            <w:gridSpan w:val="3"/>
            <w:shd w:val="clear" w:color="auto" w:fill="auto"/>
            <w:tcMar>
              <w:top w:w="0" w:type="dxa"/>
              <w:left w:w="20" w:type="dxa"/>
              <w:bottom w:w="0" w:type="dxa"/>
              <w:right w:w="20" w:type="dxa"/>
            </w:tcMar>
            <w:vAlign w:val="bottom"/>
          </w:tcPr>
          <w:p w14:paraId="5F2D211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1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19"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1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1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1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1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2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2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2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26" w14:textId="77777777" w:rsidR="00E836FB" w:rsidRDefault="00E836FB">
            <w:pPr>
              <w:rPr>
                <w:rFonts w:ascii="宋体"/>
              </w:rPr>
            </w:pPr>
          </w:p>
        </w:tc>
      </w:tr>
      <w:tr w:rsidR="00E836FB" w14:paraId="5F2D2138" w14:textId="77777777">
        <w:tc>
          <w:tcPr>
            <w:tcW w:w="0" w:type="auto"/>
            <w:gridSpan w:val="3"/>
            <w:shd w:val="clear" w:color="auto" w:fill="auto"/>
            <w:tcMar>
              <w:top w:w="40" w:type="dxa"/>
              <w:left w:w="155" w:type="dxa"/>
              <w:bottom w:w="40" w:type="dxa"/>
              <w:right w:w="20" w:type="dxa"/>
            </w:tcMar>
            <w:vAlign w:val="bottom"/>
          </w:tcPr>
          <w:p w14:paraId="5F2D2128" w14:textId="77777777" w:rsidR="00E836FB" w:rsidRDefault="00994958">
            <w:pPr>
              <w:textAlignment w:val="bottom"/>
            </w:pPr>
            <w:r>
              <w:rPr>
                <w:rFonts w:ascii="Arial" w:eastAsia="宋体" w:hAnsi="Arial" w:cs="Arial"/>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5F2D212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2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7" w14:textId="77777777" w:rsidR="00E836FB" w:rsidRDefault="00E836FB">
            <w:pPr>
              <w:rPr>
                <w:rFonts w:ascii="宋体"/>
              </w:rPr>
            </w:pPr>
          </w:p>
        </w:tc>
      </w:tr>
      <w:tr w:rsidR="00E836FB" w14:paraId="5F2D2149" w14:textId="77777777">
        <w:tc>
          <w:tcPr>
            <w:tcW w:w="0" w:type="auto"/>
            <w:gridSpan w:val="3"/>
            <w:shd w:val="clear" w:color="auto" w:fill="auto"/>
            <w:tcMar>
              <w:top w:w="40" w:type="dxa"/>
              <w:left w:w="245" w:type="dxa"/>
              <w:bottom w:w="40" w:type="dxa"/>
              <w:right w:w="20" w:type="dxa"/>
            </w:tcMar>
            <w:vAlign w:val="bottom"/>
          </w:tcPr>
          <w:p w14:paraId="5F2D2139" w14:textId="77777777" w:rsidR="00E836FB" w:rsidRDefault="00994958">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F2D213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3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48" w14:textId="77777777" w:rsidR="00E836FB" w:rsidRDefault="00E836FB">
            <w:pPr>
              <w:rPr>
                <w:rFonts w:ascii="宋体"/>
              </w:rPr>
            </w:pPr>
          </w:p>
        </w:tc>
      </w:tr>
      <w:tr w:rsidR="00E836FB" w14:paraId="5F2D216A" w14:textId="77777777">
        <w:tc>
          <w:tcPr>
            <w:tcW w:w="0" w:type="auto"/>
            <w:gridSpan w:val="3"/>
            <w:shd w:val="clear" w:color="auto" w:fill="CCEEFF"/>
            <w:tcMar>
              <w:top w:w="40" w:type="dxa"/>
              <w:left w:w="380" w:type="dxa"/>
              <w:bottom w:w="40" w:type="dxa"/>
              <w:right w:w="20" w:type="dxa"/>
            </w:tcMar>
            <w:vAlign w:val="bottom"/>
          </w:tcPr>
          <w:p w14:paraId="5F2D214A" w14:textId="77777777" w:rsidR="00E836FB" w:rsidRDefault="00994958">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F2D214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4C" w14:textId="77777777" w:rsidR="00E836FB" w:rsidRDefault="00994958">
            <w:pPr>
              <w:jc w:val="right"/>
              <w:textAlignment w:val="bottom"/>
            </w:pPr>
            <w:r>
              <w:rPr>
                <w:rFonts w:ascii="Arial" w:eastAsia="宋体" w:hAnsi="Arial" w:cs="Arial"/>
                <w:color w:val="000000"/>
                <w:sz w:val="14"/>
                <w:szCs w:val="14"/>
              </w:rPr>
              <w:t>178 </w:t>
            </w:r>
          </w:p>
        </w:tc>
        <w:tc>
          <w:tcPr>
            <w:tcW w:w="0" w:type="auto"/>
            <w:shd w:val="clear" w:color="auto" w:fill="CCEEFF"/>
            <w:tcMar>
              <w:top w:w="40" w:type="dxa"/>
              <w:left w:w="0" w:type="dxa"/>
              <w:bottom w:w="40" w:type="dxa"/>
              <w:right w:w="20" w:type="dxa"/>
            </w:tcMar>
            <w:vAlign w:val="bottom"/>
          </w:tcPr>
          <w:p w14:paraId="5F2D21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4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14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50" w14:textId="77777777" w:rsidR="00E836FB" w:rsidRDefault="00994958">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5F2D21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5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15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54" w14:textId="77777777" w:rsidR="00E836FB" w:rsidRDefault="00994958">
            <w:pPr>
              <w:jc w:val="right"/>
              <w:textAlignment w:val="bottom"/>
            </w:pPr>
            <w:r>
              <w:rPr>
                <w:rFonts w:ascii="Arial" w:eastAsia="宋体" w:hAnsi="Arial" w:cs="Arial"/>
                <w:color w:val="000000"/>
                <w:sz w:val="14"/>
                <w:szCs w:val="14"/>
              </w:rPr>
              <w:t>688 </w:t>
            </w:r>
          </w:p>
        </w:tc>
        <w:tc>
          <w:tcPr>
            <w:tcW w:w="0" w:type="auto"/>
            <w:shd w:val="clear" w:color="auto" w:fill="CCEEFF"/>
            <w:tcMar>
              <w:top w:w="40" w:type="dxa"/>
              <w:left w:w="0" w:type="dxa"/>
              <w:bottom w:w="40" w:type="dxa"/>
              <w:right w:w="20" w:type="dxa"/>
            </w:tcMar>
            <w:vAlign w:val="bottom"/>
          </w:tcPr>
          <w:p w14:paraId="5F2D21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5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15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58" w14:textId="77777777" w:rsidR="00E836FB" w:rsidRDefault="00994958">
            <w:pPr>
              <w:jc w:val="right"/>
              <w:textAlignment w:val="bottom"/>
            </w:pPr>
            <w:r>
              <w:rPr>
                <w:rFonts w:ascii="Arial" w:eastAsia="宋体" w:hAnsi="Arial" w:cs="Arial"/>
                <w:color w:val="000000"/>
                <w:sz w:val="14"/>
                <w:szCs w:val="14"/>
              </w:rPr>
              <w:t>277 </w:t>
            </w:r>
          </w:p>
        </w:tc>
        <w:tc>
          <w:tcPr>
            <w:tcW w:w="0" w:type="auto"/>
            <w:shd w:val="clear" w:color="auto" w:fill="CCEEFF"/>
            <w:tcMar>
              <w:top w:w="40" w:type="dxa"/>
              <w:left w:w="0" w:type="dxa"/>
              <w:bottom w:w="40" w:type="dxa"/>
              <w:right w:w="20" w:type="dxa"/>
            </w:tcMar>
            <w:vAlign w:val="bottom"/>
          </w:tcPr>
          <w:p w14:paraId="5F2D21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5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15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5C" w14:textId="77777777" w:rsidR="00E836FB" w:rsidRDefault="00994958">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F2D215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5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15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6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16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6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16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6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16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6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16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168" w14:textId="77777777" w:rsidR="00E836FB" w:rsidRDefault="00994958">
            <w:pPr>
              <w:jc w:val="right"/>
              <w:textAlignment w:val="bottom"/>
            </w:pPr>
            <w:r>
              <w:rPr>
                <w:rFonts w:ascii="Arial" w:eastAsia="宋体" w:hAnsi="Arial" w:cs="Arial"/>
                <w:color w:val="000000"/>
                <w:sz w:val="14"/>
                <w:szCs w:val="14"/>
              </w:rPr>
              <w:t>1,723 </w:t>
            </w:r>
          </w:p>
        </w:tc>
        <w:tc>
          <w:tcPr>
            <w:tcW w:w="0" w:type="auto"/>
            <w:shd w:val="clear" w:color="auto" w:fill="CCEEFF"/>
            <w:tcMar>
              <w:top w:w="40" w:type="dxa"/>
              <w:left w:w="0" w:type="dxa"/>
              <w:bottom w:w="40" w:type="dxa"/>
              <w:right w:w="20" w:type="dxa"/>
            </w:tcMar>
            <w:vAlign w:val="bottom"/>
          </w:tcPr>
          <w:p w14:paraId="5F2D2169" w14:textId="77777777" w:rsidR="00E836FB" w:rsidRDefault="00E836FB">
            <w:pPr>
              <w:jc w:val="right"/>
              <w:rPr>
                <w:rFonts w:ascii="宋体"/>
              </w:rPr>
            </w:pPr>
          </w:p>
        </w:tc>
      </w:tr>
      <w:tr w:rsidR="00E836FB" w14:paraId="5F2D2183" w14:textId="77777777">
        <w:tc>
          <w:tcPr>
            <w:tcW w:w="0" w:type="auto"/>
            <w:gridSpan w:val="3"/>
            <w:shd w:val="clear" w:color="auto" w:fill="FFFFFF"/>
            <w:tcMar>
              <w:top w:w="40" w:type="dxa"/>
              <w:left w:w="380" w:type="dxa"/>
              <w:bottom w:w="40" w:type="dxa"/>
              <w:right w:w="20" w:type="dxa"/>
            </w:tcMar>
            <w:vAlign w:val="bottom"/>
          </w:tcPr>
          <w:p w14:paraId="5F2D216B"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216C" w14:textId="77777777" w:rsidR="00E836FB" w:rsidRDefault="00994958">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5F2D21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16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16F" w14:textId="77777777" w:rsidR="00E836FB" w:rsidRDefault="00994958">
            <w:pPr>
              <w:jc w:val="right"/>
              <w:textAlignment w:val="bottom"/>
            </w:pPr>
            <w:r>
              <w:rPr>
                <w:rFonts w:ascii="Arial" w:eastAsia="宋体" w:hAnsi="Arial" w:cs="Arial"/>
                <w:color w:val="000000"/>
                <w:sz w:val="14"/>
                <w:szCs w:val="14"/>
              </w:rPr>
              <w:t>166 </w:t>
            </w:r>
          </w:p>
        </w:tc>
        <w:tc>
          <w:tcPr>
            <w:tcW w:w="0" w:type="auto"/>
            <w:shd w:val="clear" w:color="auto" w:fill="FFFFFF"/>
            <w:tcMar>
              <w:top w:w="40" w:type="dxa"/>
              <w:left w:w="0" w:type="dxa"/>
              <w:bottom w:w="40" w:type="dxa"/>
              <w:right w:w="20" w:type="dxa"/>
            </w:tcMar>
            <w:vAlign w:val="bottom"/>
          </w:tcPr>
          <w:p w14:paraId="5F2D21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17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172" w14:textId="77777777" w:rsidR="00E836FB" w:rsidRDefault="00994958">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5F2D21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1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17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17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17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17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1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17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17B" w14:textId="77777777" w:rsidR="00E836FB" w:rsidRDefault="00994958">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F2D217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17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17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1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18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181" w14:textId="77777777" w:rsidR="00E836FB" w:rsidRDefault="00994958">
            <w:pPr>
              <w:jc w:val="right"/>
              <w:textAlignment w:val="bottom"/>
            </w:pPr>
            <w:r>
              <w:rPr>
                <w:rFonts w:ascii="Arial" w:eastAsia="宋体" w:hAnsi="Arial" w:cs="Arial"/>
                <w:color w:val="000000"/>
                <w:sz w:val="14"/>
                <w:szCs w:val="14"/>
              </w:rPr>
              <w:t>373 </w:t>
            </w:r>
          </w:p>
        </w:tc>
        <w:tc>
          <w:tcPr>
            <w:tcW w:w="0" w:type="auto"/>
            <w:shd w:val="clear" w:color="auto" w:fill="FFFFFF"/>
            <w:tcMar>
              <w:top w:w="40" w:type="dxa"/>
              <w:left w:w="0" w:type="dxa"/>
              <w:bottom w:w="40" w:type="dxa"/>
              <w:right w:w="20" w:type="dxa"/>
            </w:tcMar>
            <w:vAlign w:val="bottom"/>
          </w:tcPr>
          <w:p w14:paraId="5F2D2182" w14:textId="77777777" w:rsidR="00E836FB" w:rsidRDefault="00E836FB">
            <w:pPr>
              <w:jc w:val="right"/>
              <w:rPr>
                <w:rFonts w:ascii="宋体"/>
              </w:rPr>
            </w:pPr>
          </w:p>
        </w:tc>
      </w:tr>
      <w:tr w:rsidR="00E836FB" w14:paraId="5F2D2194" w14:textId="77777777">
        <w:trPr>
          <w:hidden/>
        </w:trPr>
        <w:tc>
          <w:tcPr>
            <w:tcW w:w="0" w:type="auto"/>
            <w:gridSpan w:val="3"/>
            <w:shd w:val="clear" w:color="auto" w:fill="auto"/>
            <w:vAlign w:val="bottom"/>
          </w:tcPr>
          <w:p w14:paraId="5F2D2184" w14:textId="77777777" w:rsidR="00E836FB" w:rsidRDefault="00E836FB">
            <w:pPr>
              <w:rPr>
                <w:rFonts w:ascii="宋体"/>
                <w:vanish/>
              </w:rPr>
            </w:pPr>
          </w:p>
        </w:tc>
        <w:tc>
          <w:tcPr>
            <w:tcW w:w="0" w:type="auto"/>
            <w:gridSpan w:val="3"/>
            <w:shd w:val="clear" w:color="auto" w:fill="auto"/>
            <w:vAlign w:val="bottom"/>
          </w:tcPr>
          <w:p w14:paraId="5F2D2185" w14:textId="77777777" w:rsidR="00E836FB" w:rsidRDefault="00E836FB">
            <w:pPr>
              <w:rPr>
                <w:rFonts w:ascii="宋体"/>
                <w:vanish/>
              </w:rPr>
            </w:pPr>
          </w:p>
        </w:tc>
        <w:tc>
          <w:tcPr>
            <w:tcW w:w="0" w:type="auto"/>
            <w:gridSpan w:val="3"/>
            <w:shd w:val="clear" w:color="auto" w:fill="auto"/>
            <w:vAlign w:val="bottom"/>
          </w:tcPr>
          <w:p w14:paraId="5F2D2186" w14:textId="77777777" w:rsidR="00E836FB" w:rsidRDefault="00E836FB">
            <w:pPr>
              <w:rPr>
                <w:rFonts w:ascii="宋体"/>
                <w:vanish/>
              </w:rPr>
            </w:pPr>
          </w:p>
        </w:tc>
        <w:tc>
          <w:tcPr>
            <w:tcW w:w="0" w:type="auto"/>
            <w:gridSpan w:val="3"/>
            <w:shd w:val="clear" w:color="auto" w:fill="auto"/>
            <w:vAlign w:val="bottom"/>
          </w:tcPr>
          <w:p w14:paraId="5F2D2187" w14:textId="77777777" w:rsidR="00E836FB" w:rsidRDefault="00E836FB">
            <w:pPr>
              <w:rPr>
                <w:rFonts w:ascii="宋体"/>
                <w:vanish/>
              </w:rPr>
            </w:pPr>
          </w:p>
        </w:tc>
        <w:tc>
          <w:tcPr>
            <w:tcW w:w="0" w:type="auto"/>
            <w:gridSpan w:val="3"/>
            <w:shd w:val="clear" w:color="auto" w:fill="auto"/>
            <w:vAlign w:val="bottom"/>
          </w:tcPr>
          <w:p w14:paraId="5F2D2188" w14:textId="77777777" w:rsidR="00E836FB" w:rsidRDefault="00E836FB">
            <w:pPr>
              <w:rPr>
                <w:rFonts w:ascii="宋体"/>
                <w:vanish/>
              </w:rPr>
            </w:pPr>
          </w:p>
        </w:tc>
        <w:tc>
          <w:tcPr>
            <w:tcW w:w="0" w:type="auto"/>
            <w:gridSpan w:val="3"/>
            <w:shd w:val="clear" w:color="auto" w:fill="auto"/>
            <w:vAlign w:val="bottom"/>
          </w:tcPr>
          <w:p w14:paraId="5F2D2189" w14:textId="77777777" w:rsidR="00E836FB" w:rsidRDefault="00E836FB">
            <w:pPr>
              <w:rPr>
                <w:rFonts w:ascii="宋体"/>
                <w:vanish/>
              </w:rPr>
            </w:pPr>
          </w:p>
        </w:tc>
        <w:tc>
          <w:tcPr>
            <w:tcW w:w="0" w:type="auto"/>
            <w:gridSpan w:val="3"/>
            <w:shd w:val="clear" w:color="auto" w:fill="auto"/>
            <w:vAlign w:val="bottom"/>
          </w:tcPr>
          <w:p w14:paraId="5F2D218A" w14:textId="77777777" w:rsidR="00E836FB" w:rsidRDefault="00E836FB">
            <w:pPr>
              <w:rPr>
                <w:rFonts w:ascii="宋体"/>
                <w:vanish/>
              </w:rPr>
            </w:pPr>
          </w:p>
        </w:tc>
        <w:tc>
          <w:tcPr>
            <w:tcW w:w="0" w:type="auto"/>
            <w:gridSpan w:val="3"/>
            <w:shd w:val="clear" w:color="auto" w:fill="auto"/>
            <w:vAlign w:val="bottom"/>
          </w:tcPr>
          <w:p w14:paraId="5F2D218B" w14:textId="77777777" w:rsidR="00E836FB" w:rsidRDefault="00E836FB">
            <w:pPr>
              <w:rPr>
                <w:rFonts w:ascii="宋体"/>
                <w:vanish/>
              </w:rPr>
            </w:pPr>
          </w:p>
        </w:tc>
        <w:tc>
          <w:tcPr>
            <w:tcW w:w="0" w:type="auto"/>
            <w:gridSpan w:val="3"/>
            <w:shd w:val="clear" w:color="auto" w:fill="auto"/>
            <w:vAlign w:val="bottom"/>
          </w:tcPr>
          <w:p w14:paraId="5F2D218C" w14:textId="77777777" w:rsidR="00E836FB" w:rsidRDefault="00E836FB">
            <w:pPr>
              <w:rPr>
                <w:rFonts w:ascii="宋体"/>
                <w:vanish/>
              </w:rPr>
            </w:pPr>
          </w:p>
        </w:tc>
        <w:tc>
          <w:tcPr>
            <w:tcW w:w="0" w:type="auto"/>
            <w:gridSpan w:val="3"/>
            <w:shd w:val="clear" w:color="auto" w:fill="auto"/>
            <w:vAlign w:val="bottom"/>
          </w:tcPr>
          <w:p w14:paraId="5F2D218D" w14:textId="77777777" w:rsidR="00E836FB" w:rsidRDefault="00E836FB">
            <w:pPr>
              <w:rPr>
                <w:rFonts w:ascii="宋体"/>
                <w:vanish/>
              </w:rPr>
            </w:pPr>
          </w:p>
        </w:tc>
        <w:tc>
          <w:tcPr>
            <w:tcW w:w="0" w:type="auto"/>
            <w:gridSpan w:val="3"/>
            <w:shd w:val="clear" w:color="auto" w:fill="auto"/>
            <w:vAlign w:val="bottom"/>
          </w:tcPr>
          <w:p w14:paraId="5F2D218E" w14:textId="77777777" w:rsidR="00E836FB" w:rsidRDefault="00E836FB">
            <w:pPr>
              <w:rPr>
                <w:rFonts w:ascii="宋体"/>
                <w:vanish/>
              </w:rPr>
            </w:pPr>
          </w:p>
        </w:tc>
        <w:tc>
          <w:tcPr>
            <w:tcW w:w="0" w:type="auto"/>
            <w:gridSpan w:val="3"/>
            <w:shd w:val="clear" w:color="auto" w:fill="auto"/>
            <w:vAlign w:val="bottom"/>
          </w:tcPr>
          <w:p w14:paraId="5F2D218F" w14:textId="77777777" w:rsidR="00E836FB" w:rsidRDefault="00E836FB">
            <w:pPr>
              <w:rPr>
                <w:rFonts w:ascii="宋体"/>
                <w:vanish/>
              </w:rPr>
            </w:pPr>
          </w:p>
        </w:tc>
        <w:tc>
          <w:tcPr>
            <w:tcW w:w="0" w:type="auto"/>
            <w:gridSpan w:val="3"/>
            <w:shd w:val="clear" w:color="auto" w:fill="auto"/>
            <w:vAlign w:val="bottom"/>
          </w:tcPr>
          <w:p w14:paraId="5F2D2190" w14:textId="77777777" w:rsidR="00E836FB" w:rsidRDefault="00E836FB">
            <w:pPr>
              <w:rPr>
                <w:rFonts w:ascii="宋体"/>
                <w:vanish/>
              </w:rPr>
            </w:pPr>
          </w:p>
        </w:tc>
        <w:tc>
          <w:tcPr>
            <w:tcW w:w="0" w:type="auto"/>
            <w:gridSpan w:val="3"/>
            <w:shd w:val="clear" w:color="auto" w:fill="auto"/>
            <w:vAlign w:val="bottom"/>
          </w:tcPr>
          <w:p w14:paraId="5F2D2191" w14:textId="77777777" w:rsidR="00E836FB" w:rsidRDefault="00E836FB">
            <w:pPr>
              <w:rPr>
                <w:rFonts w:ascii="宋体"/>
                <w:vanish/>
              </w:rPr>
            </w:pPr>
          </w:p>
        </w:tc>
        <w:tc>
          <w:tcPr>
            <w:tcW w:w="0" w:type="auto"/>
            <w:gridSpan w:val="3"/>
            <w:shd w:val="clear" w:color="auto" w:fill="auto"/>
            <w:vAlign w:val="bottom"/>
          </w:tcPr>
          <w:p w14:paraId="5F2D2192" w14:textId="77777777" w:rsidR="00E836FB" w:rsidRDefault="00E836FB">
            <w:pPr>
              <w:rPr>
                <w:rFonts w:ascii="宋体"/>
                <w:vanish/>
              </w:rPr>
            </w:pPr>
          </w:p>
        </w:tc>
        <w:tc>
          <w:tcPr>
            <w:tcW w:w="0" w:type="auto"/>
            <w:gridSpan w:val="3"/>
            <w:shd w:val="clear" w:color="auto" w:fill="auto"/>
            <w:vAlign w:val="bottom"/>
          </w:tcPr>
          <w:p w14:paraId="5F2D2193" w14:textId="77777777" w:rsidR="00E836FB" w:rsidRDefault="00E836FB">
            <w:pPr>
              <w:rPr>
                <w:rFonts w:ascii="宋体"/>
                <w:vanish/>
              </w:rPr>
            </w:pPr>
          </w:p>
        </w:tc>
      </w:tr>
      <w:tr w:rsidR="00E836FB" w14:paraId="5F2D21A5" w14:textId="77777777">
        <w:trPr>
          <w:hidden/>
        </w:trPr>
        <w:tc>
          <w:tcPr>
            <w:tcW w:w="0" w:type="auto"/>
            <w:gridSpan w:val="3"/>
            <w:shd w:val="clear" w:color="auto" w:fill="auto"/>
            <w:vAlign w:val="bottom"/>
          </w:tcPr>
          <w:p w14:paraId="5F2D2195" w14:textId="77777777" w:rsidR="00E836FB" w:rsidRDefault="00E836FB">
            <w:pPr>
              <w:rPr>
                <w:rFonts w:ascii="宋体"/>
                <w:vanish/>
              </w:rPr>
            </w:pPr>
          </w:p>
        </w:tc>
        <w:tc>
          <w:tcPr>
            <w:tcW w:w="0" w:type="auto"/>
            <w:gridSpan w:val="3"/>
            <w:shd w:val="clear" w:color="auto" w:fill="auto"/>
            <w:vAlign w:val="bottom"/>
          </w:tcPr>
          <w:p w14:paraId="5F2D2196" w14:textId="77777777" w:rsidR="00E836FB" w:rsidRDefault="00E836FB">
            <w:pPr>
              <w:rPr>
                <w:rFonts w:ascii="宋体"/>
                <w:vanish/>
              </w:rPr>
            </w:pPr>
          </w:p>
        </w:tc>
        <w:tc>
          <w:tcPr>
            <w:tcW w:w="0" w:type="auto"/>
            <w:gridSpan w:val="3"/>
            <w:shd w:val="clear" w:color="auto" w:fill="auto"/>
            <w:vAlign w:val="bottom"/>
          </w:tcPr>
          <w:p w14:paraId="5F2D2197" w14:textId="77777777" w:rsidR="00E836FB" w:rsidRDefault="00E836FB">
            <w:pPr>
              <w:rPr>
                <w:rFonts w:ascii="宋体"/>
                <w:vanish/>
              </w:rPr>
            </w:pPr>
          </w:p>
        </w:tc>
        <w:tc>
          <w:tcPr>
            <w:tcW w:w="0" w:type="auto"/>
            <w:gridSpan w:val="3"/>
            <w:shd w:val="clear" w:color="auto" w:fill="auto"/>
            <w:vAlign w:val="bottom"/>
          </w:tcPr>
          <w:p w14:paraId="5F2D2198" w14:textId="77777777" w:rsidR="00E836FB" w:rsidRDefault="00E836FB">
            <w:pPr>
              <w:rPr>
                <w:rFonts w:ascii="宋体"/>
                <w:vanish/>
              </w:rPr>
            </w:pPr>
          </w:p>
        </w:tc>
        <w:tc>
          <w:tcPr>
            <w:tcW w:w="0" w:type="auto"/>
            <w:gridSpan w:val="3"/>
            <w:shd w:val="clear" w:color="auto" w:fill="auto"/>
            <w:vAlign w:val="bottom"/>
          </w:tcPr>
          <w:p w14:paraId="5F2D2199" w14:textId="77777777" w:rsidR="00E836FB" w:rsidRDefault="00E836FB">
            <w:pPr>
              <w:rPr>
                <w:rFonts w:ascii="宋体"/>
                <w:vanish/>
              </w:rPr>
            </w:pPr>
          </w:p>
        </w:tc>
        <w:tc>
          <w:tcPr>
            <w:tcW w:w="0" w:type="auto"/>
            <w:gridSpan w:val="3"/>
            <w:shd w:val="clear" w:color="auto" w:fill="auto"/>
            <w:vAlign w:val="bottom"/>
          </w:tcPr>
          <w:p w14:paraId="5F2D219A" w14:textId="77777777" w:rsidR="00E836FB" w:rsidRDefault="00E836FB">
            <w:pPr>
              <w:rPr>
                <w:rFonts w:ascii="宋体"/>
                <w:vanish/>
              </w:rPr>
            </w:pPr>
          </w:p>
        </w:tc>
        <w:tc>
          <w:tcPr>
            <w:tcW w:w="0" w:type="auto"/>
            <w:gridSpan w:val="3"/>
            <w:shd w:val="clear" w:color="auto" w:fill="auto"/>
            <w:vAlign w:val="bottom"/>
          </w:tcPr>
          <w:p w14:paraId="5F2D219B" w14:textId="77777777" w:rsidR="00E836FB" w:rsidRDefault="00E836FB">
            <w:pPr>
              <w:rPr>
                <w:rFonts w:ascii="宋体"/>
                <w:vanish/>
              </w:rPr>
            </w:pPr>
          </w:p>
        </w:tc>
        <w:tc>
          <w:tcPr>
            <w:tcW w:w="0" w:type="auto"/>
            <w:gridSpan w:val="3"/>
            <w:shd w:val="clear" w:color="auto" w:fill="auto"/>
            <w:vAlign w:val="bottom"/>
          </w:tcPr>
          <w:p w14:paraId="5F2D219C" w14:textId="77777777" w:rsidR="00E836FB" w:rsidRDefault="00E836FB">
            <w:pPr>
              <w:rPr>
                <w:rFonts w:ascii="宋体"/>
                <w:vanish/>
              </w:rPr>
            </w:pPr>
          </w:p>
        </w:tc>
        <w:tc>
          <w:tcPr>
            <w:tcW w:w="0" w:type="auto"/>
            <w:gridSpan w:val="3"/>
            <w:shd w:val="clear" w:color="auto" w:fill="auto"/>
            <w:vAlign w:val="bottom"/>
          </w:tcPr>
          <w:p w14:paraId="5F2D219D" w14:textId="77777777" w:rsidR="00E836FB" w:rsidRDefault="00E836FB">
            <w:pPr>
              <w:rPr>
                <w:rFonts w:ascii="宋体"/>
                <w:vanish/>
              </w:rPr>
            </w:pPr>
          </w:p>
        </w:tc>
        <w:tc>
          <w:tcPr>
            <w:tcW w:w="0" w:type="auto"/>
            <w:gridSpan w:val="3"/>
            <w:shd w:val="clear" w:color="auto" w:fill="auto"/>
            <w:vAlign w:val="bottom"/>
          </w:tcPr>
          <w:p w14:paraId="5F2D219E" w14:textId="77777777" w:rsidR="00E836FB" w:rsidRDefault="00E836FB">
            <w:pPr>
              <w:rPr>
                <w:rFonts w:ascii="宋体"/>
                <w:vanish/>
              </w:rPr>
            </w:pPr>
          </w:p>
        </w:tc>
        <w:tc>
          <w:tcPr>
            <w:tcW w:w="0" w:type="auto"/>
            <w:gridSpan w:val="3"/>
            <w:shd w:val="clear" w:color="auto" w:fill="auto"/>
            <w:vAlign w:val="bottom"/>
          </w:tcPr>
          <w:p w14:paraId="5F2D219F" w14:textId="77777777" w:rsidR="00E836FB" w:rsidRDefault="00E836FB">
            <w:pPr>
              <w:rPr>
                <w:rFonts w:ascii="宋体"/>
                <w:vanish/>
              </w:rPr>
            </w:pPr>
          </w:p>
        </w:tc>
        <w:tc>
          <w:tcPr>
            <w:tcW w:w="0" w:type="auto"/>
            <w:gridSpan w:val="3"/>
            <w:shd w:val="clear" w:color="auto" w:fill="auto"/>
            <w:vAlign w:val="bottom"/>
          </w:tcPr>
          <w:p w14:paraId="5F2D21A0" w14:textId="77777777" w:rsidR="00E836FB" w:rsidRDefault="00E836FB">
            <w:pPr>
              <w:rPr>
                <w:rFonts w:ascii="宋体"/>
                <w:vanish/>
              </w:rPr>
            </w:pPr>
          </w:p>
        </w:tc>
        <w:tc>
          <w:tcPr>
            <w:tcW w:w="0" w:type="auto"/>
            <w:gridSpan w:val="3"/>
            <w:shd w:val="clear" w:color="auto" w:fill="auto"/>
            <w:vAlign w:val="bottom"/>
          </w:tcPr>
          <w:p w14:paraId="5F2D21A1" w14:textId="77777777" w:rsidR="00E836FB" w:rsidRDefault="00E836FB">
            <w:pPr>
              <w:rPr>
                <w:rFonts w:ascii="宋体"/>
                <w:vanish/>
              </w:rPr>
            </w:pPr>
          </w:p>
        </w:tc>
        <w:tc>
          <w:tcPr>
            <w:tcW w:w="0" w:type="auto"/>
            <w:gridSpan w:val="3"/>
            <w:shd w:val="clear" w:color="auto" w:fill="auto"/>
            <w:vAlign w:val="bottom"/>
          </w:tcPr>
          <w:p w14:paraId="5F2D21A2" w14:textId="77777777" w:rsidR="00E836FB" w:rsidRDefault="00E836FB">
            <w:pPr>
              <w:rPr>
                <w:rFonts w:ascii="宋体"/>
                <w:vanish/>
              </w:rPr>
            </w:pPr>
          </w:p>
        </w:tc>
        <w:tc>
          <w:tcPr>
            <w:tcW w:w="0" w:type="auto"/>
            <w:gridSpan w:val="3"/>
            <w:shd w:val="clear" w:color="auto" w:fill="auto"/>
            <w:vAlign w:val="bottom"/>
          </w:tcPr>
          <w:p w14:paraId="5F2D21A3" w14:textId="77777777" w:rsidR="00E836FB" w:rsidRDefault="00E836FB">
            <w:pPr>
              <w:rPr>
                <w:rFonts w:ascii="宋体"/>
                <w:vanish/>
              </w:rPr>
            </w:pPr>
          </w:p>
        </w:tc>
        <w:tc>
          <w:tcPr>
            <w:tcW w:w="0" w:type="auto"/>
            <w:gridSpan w:val="3"/>
            <w:shd w:val="clear" w:color="auto" w:fill="auto"/>
            <w:vAlign w:val="bottom"/>
          </w:tcPr>
          <w:p w14:paraId="5F2D21A4" w14:textId="77777777" w:rsidR="00E836FB" w:rsidRDefault="00E836FB">
            <w:pPr>
              <w:rPr>
                <w:rFonts w:ascii="宋体"/>
                <w:vanish/>
              </w:rPr>
            </w:pPr>
          </w:p>
        </w:tc>
      </w:tr>
      <w:tr w:rsidR="00E836FB" w14:paraId="5F2D21B6" w14:textId="77777777">
        <w:trPr>
          <w:hidden/>
        </w:trPr>
        <w:tc>
          <w:tcPr>
            <w:tcW w:w="0" w:type="auto"/>
            <w:gridSpan w:val="3"/>
            <w:shd w:val="clear" w:color="auto" w:fill="auto"/>
            <w:vAlign w:val="bottom"/>
          </w:tcPr>
          <w:p w14:paraId="5F2D21A6" w14:textId="77777777" w:rsidR="00E836FB" w:rsidRDefault="00E836FB">
            <w:pPr>
              <w:rPr>
                <w:rFonts w:ascii="宋体"/>
                <w:vanish/>
              </w:rPr>
            </w:pPr>
          </w:p>
        </w:tc>
        <w:tc>
          <w:tcPr>
            <w:tcW w:w="0" w:type="auto"/>
            <w:gridSpan w:val="3"/>
            <w:shd w:val="clear" w:color="auto" w:fill="auto"/>
            <w:vAlign w:val="bottom"/>
          </w:tcPr>
          <w:p w14:paraId="5F2D21A7" w14:textId="77777777" w:rsidR="00E836FB" w:rsidRDefault="00E836FB">
            <w:pPr>
              <w:rPr>
                <w:rFonts w:ascii="宋体"/>
                <w:vanish/>
              </w:rPr>
            </w:pPr>
          </w:p>
        </w:tc>
        <w:tc>
          <w:tcPr>
            <w:tcW w:w="0" w:type="auto"/>
            <w:gridSpan w:val="3"/>
            <w:shd w:val="clear" w:color="auto" w:fill="auto"/>
            <w:vAlign w:val="bottom"/>
          </w:tcPr>
          <w:p w14:paraId="5F2D21A8" w14:textId="77777777" w:rsidR="00E836FB" w:rsidRDefault="00E836FB">
            <w:pPr>
              <w:rPr>
                <w:rFonts w:ascii="宋体"/>
                <w:vanish/>
              </w:rPr>
            </w:pPr>
          </w:p>
        </w:tc>
        <w:tc>
          <w:tcPr>
            <w:tcW w:w="0" w:type="auto"/>
            <w:gridSpan w:val="3"/>
            <w:shd w:val="clear" w:color="auto" w:fill="auto"/>
            <w:vAlign w:val="bottom"/>
          </w:tcPr>
          <w:p w14:paraId="5F2D21A9" w14:textId="77777777" w:rsidR="00E836FB" w:rsidRDefault="00E836FB">
            <w:pPr>
              <w:rPr>
                <w:rFonts w:ascii="宋体"/>
                <w:vanish/>
              </w:rPr>
            </w:pPr>
          </w:p>
        </w:tc>
        <w:tc>
          <w:tcPr>
            <w:tcW w:w="0" w:type="auto"/>
            <w:gridSpan w:val="3"/>
            <w:shd w:val="clear" w:color="auto" w:fill="auto"/>
            <w:vAlign w:val="bottom"/>
          </w:tcPr>
          <w:p w14:paraId="5F2D21AA" w14:textId="77777777" w:rsidR="00E836FB" w:rsidRDefault="00E836FB">
            <w:pPr>
              <w:rPr>
                <w:rFonts w:ascii="宋体"/>
                <w:vanish/>
              </w:rPr>
            </w:pPr>
          </w:p>
        </w:tc>
        <w:tc>
          <w:tcPr>
            <w:tcW w:w="0" w:type="auto"/>
            <w:gridSpan w:val="3"/>
            <w:shd w:val="clear" w:color="auto" w:fill="auto"/>
            <w:vAlign w:val="bottom"/>
          </w:tcPr>
          <w:p w14:paraId="5F2D21AB" w14:textId="77777777" w:rsidR="00E836FB" w:rsidRDefault="00E836FB">
            <w:pPr>
              <w:rPr>
                <w:rFonts w:ascii="宋体"/>
                <w:vanish/>
              </w:rPr>
            </w:pPr>
          </w:p>
        </w:tc>
        <w:tc>
          <w:tcPr>
            <w:tcW w:w="0" w:type="auto"/>
            <w:gridSpan w:val="3"/>
            <w:shd w:val="clear" w:color="auto" w:fill="auto"/>
            <w:vAlign w:val="bottom"/>
          </w:tcPr>
          <w:p w14:paraId="5F2D21AC" w14:textId="77777777" w:rsidR="00E836FB" w:rsidRDefault="00E836FB">
            <w:pPr>
              <w:rPr>
                <w:rFonts w:ascii="宋体"/>
                <w:vanish/>
              </w:rPr>
            </w:pPr>
          </w:p>
        </w:tc>
        <w:tc>
          <w:tcPr>
            <w:tcW w:w="0" w:type="auto"/>
            <w:gridSpan w:val="3"/>
            <w:shd w:val="clear" w:color="auto" w:fill="auto"/>
            <w:vAlign w:val="bottom"/>
          </w:tcPr>
          <w:p w14:paraId="5F2D21AD" w14:textId="77777777" w:rsidR="00E836FB" w:rsidRDefault="00E836FB">
            <w:pPr>
              <w:rPr>
                <w:rFonts w:ascii="宋体"/>
                <w:vanish/>
              </w:rPr>
            </w:pPr>
          </w:p>
        </w:tc>
        <w:tc>
          <w:tcPr>
            <w:tcW w:w="0" w:type="auto"/>
            <w:gridSpan w:val="3"/>
            <w:shd w:val="clear" w:color="auto" w:fill="auto"/>
            <w:vAlign w:val="bottom"/>
          </w:tcPr>
          <w:p w14:paraId="5F2D21AE" w14:textId="77777777" w:rsidR="00E836FB" w:rsidRDefault="00E836FB">
            <w:pPr>
              <w:rPr>
                <w:rFonts w:ascii="宋体"/>
                <w:vanish/>
              </w:rPr>
            </w:pPr>
          </w:p>
        </w:tc>
        <w:tc>
          <w:tcPr>
            <w:tcW w:w="0" w:type="auto"/>
            <w:gridSpan w:val="3"/>
            <w:shd w:val="clear" w:color="auto" w:fill="auto"/>
            <w:vAlign w:val="bottom"/>
          </w:tcPr>
          <w:p w14:paraId="5F2D21AF" w14:textId="77777777" w:rsidR="00E836FB" w:rsidRDefault="00E836FB">
            <w:pPr>
              <w:rPr>
                <w:rFonts w:ascii="宋体"/>
                <w:vanish/>
              </w:rPr>
            </w:pPr>
          </w:p>
        </w:tc>
        <w:tc>
          <w:tcPr>
            <w:tcW w:w="0" w:type="auto"/>
            <w:gridSpan w:val="3"/>
            <w:shd w:val="clear" w:color="auto" w:fill="auto"/>
            <w:vAlign w:val="bottom"/>
          </w:tcPr>
          <w:p w14:paraId="5F2D21B0" w14:textId="77777777" w:rsidR="00E836FB" w:rsidRDefault="00E836FB">
            <w:pPr>
              <w:rPr>
                <w:rFonts w:ascii="宋体"/>
                <w:vanish/>
              </w:rPr>
            </w:pPr>
          </w:p>
        </w:tc>
        <w:tc>
          <w:tcPr>
            <w:tcW w:w="0" w:type="auto"/>
            <w:gridSpan w:val="3"/>
            <w:shd w:val="clear" w:color="auto" w:fill="auto"/>
            <w:vAlign w:val="bottom"/>
          </w:tcPr>
          <w:p w14:paraId="5F2D21B1" w14:textId="77777777" w:rsidR="00E836FB" w:rsidRDefault="00E836FB">
            <w:pPr>
              <w:rPr>
                <w:rFonts w:ascii="宋体"/>
                <w:vanish/>
              </w:rPr>
            </w:pPr>
          </w:p>
        </w:tc>
        <w:tc>
          <w:tcPr>
            <w:tcW w:w="0" w:type="auto"/>
            <w:gridSpan w:val="3"/>
            <w:shd w:val="clear" w:color="auto" w:fill="auto"/>
            <w:vAlign w:val="bottom"/>
          </w:tcPr>
          <w:p w14:paraId="5F2D21B2" w14:textId="77777777" w:rsidR="00E836FB" w:rsidRDefault="00E836FB">
            <w:pPr>
              <w:rPr>
                <w:rFonts w:ascii="宋体"/>
                <w:vanish/>
              </w:rPr>
            </w:pPr>
          </w:p>
        </w:tc>
        <w:tc>
          <w:tcPr>
            <w:tcW w:w="0" w:type="auto"/>
            <w:gridSpan w:val="3"/>
            <w:shd w:val="clear" w:color="auto" w:fill="auto"/>
            <w:vAlign w:val="bottom"/>
          </w:tcPr>
          <w:p w14:paraId="5F2D21B3" w14:textId="77777777" w:rsidR="00E836FB" w:rsidRDefault="00E836FB">
            <w:pPr>
              <w:rPr>
                <w:rFonts w:ascii="宋体"/>
                <w:vanish/>
              </w:rPr>
            </w:pPr>
          </w:p>
        </w:tc>
        <w:tc>
          <w:tcPr>
            <w:tcW w:w="0" w:type="auto"/>
            <w:gridSpan w:val="3"/>
            <w:shd w:val="clear" w:color="auto" w:fill="auto"/>
            <w:vAlign w:val="bottom"/>
          </w:tcPr>
          <w:p w14:paraId="5F2D21B4" w14:textId="77777777" w:rsidR="00E836FB" w:rsidRDefault="00E836FB">
            <w:pPr>
              <w:rPr>
                <w:rFonts w:ascii="宋体"/>
                <w:vanish/>
              </w:rPr>
            </w:pPr>
          </w:p>
        </w:tc>
        <w:tc>
          <w:tcPr>
            <w:tcW w:w="0" w:type="auto"/>
            <w:gridSpan w:val="3"/>
            <w:shd w:val="clear" w:color="auto" w:fill="auto"/>
            <w:vAlign w:val="bottom"/>
          </w:tcPr>
          <w:p w14:paraId="5F2D21B5" w14:textId="77777777" w:rsidR="00E836FB" w:rsidRDefault="00E836FB">
            <w:pPr>
              <w:rPr>
                <w:rFonts w:ascii="宋体"/>
                <w:vanish/>
              </w:rPr>
            </w:pPr>
          </w:p>
        </w:tc>
      </w:tr>
      <w:tr w:rsidR="00E836FB" w14:paraId="5F2D21C7" w14:textId="77777777">
        <w:trPr>
          <w:hidden/>
        </w:trPr>
        <w:tc>
          <w:tcPr>
            <w:tcW w:w="0" w:type="auto"/>
            <w:gridSpan w:val="3"/>
            <w:shd w:val="clear" w:color="auto" w:fill="auto"/>
            <w:vAlign w:val="bottom"/>
          </w:tcPr>
          <w:p w14:paraId="5F2D21B7" w14:textId="77777777" w:rsidR="00E836FB" w:rsidRDefault="00E836FB">
            <w:pPr>
              <w:rPr>
                <w:rFonts w:ascii="宋体"/>
                <w:vanish/>
              </w:rPr>
            </w:pPr>
          </w:p>
        </w:tc>
        <w:tc>
          <w:tcPr>
            <w:tcW w:w="0" w:type="auto"/>
            <w:gridSpan w:val="3"/>
            <w:shd w:val="clear" w:color="auto" w:fill="auto"/>
            <w:vAlign w:val="bottom"/>
          </w:tcPr>
          <w:p w14:paraId="5F2D21B8" w14:textId="77777777" w:rsidR="00E836FB" w:rsidRDefault="00E836FB">
            <w:pPr>
              <w:rPr>
                <w:rFonts w:ascii="宋体"/>
                <w:vanish/>
              </w:rPr>
            </w:pPr>
          </w:p>
        </w:tc>
        <w:tc>
          <w:tcPr>
            <w:tcW w:w="0" w:type="auto"/>
            <w:gridSpan w:val="3"/>
            <w:shd w:val="clear" w:color="auto" w:fill="auto"/>
            <w:vAlign w:val="bottom"/>
          </w:tcPr>
          <w:p w14:paraId="5F2D21B9" w14:textId="77777777" w:rsidR="00E836FB" w:rsidRDefault="00E836FB">
            <w:pPr>
              <w:rPr>
                <w:rFonts w:ascii="宋体"/>
                <w:vanish/>
              </w:rPr>
            </w:pPr>
          </w:p>
        </w:tc>
        <w:tc>
          <w:tcPr>
            <w:tcW w:w="0" w:type="auto"/>
            <w:gridSpan w:val="3"/>
            <w:shd w:val="clear" w:color="auto" w:fill="auto"/>
            <w:vAlign w:val="bottom"/>
          </w:tcPr>
          <w:p w14:paraId="5F2D21BA" w14:textId="77777777" w:rsidR="00E836FB" w:rsidRDefault="00E836FB">
            <w:pPr>
              <w:rPr>
                <w:rFonts w:ascii="宋体"/>
                <w:vanish/>
              </w:rPr>
            </w:pPr>
          </w:p>
        </w:tc>
        <w:tc>
          <w:tcPr>
            <w:tcW w:w="0" w:type="auto"/>
            <w:gridSpan w:val="3"/>
            <w:shd w:val="clear" w:color="auto" w:fill="auto"/>
            <w:vAlign w:val="bottom"/>
          </w:tcPr>
          <w:p w14:paraId="5F2D21BB" w14:textId="77777777" w:rsidR="00E836FB" w:rsidRDefault="00E836FB">
            <w:pPr>
              <w:rPr>
                <w:rFonts w:ascii="宋体"/>
                <w:vanish/>
              </w:rPr>
            </w:pPr>
          </w:p>
        </w:tc>
        <w:tc>
          <w:tcPr>
            <w:tcW w:w="0" w:type="auto"/>
            <w:gridSpan w:val="3"/>
            <w:shd w:val="clear" w:color="auto" w:fill="auto"/>
            <w:vAlign w:val="bottom"/>
          </w:tcPr>
          <w:p w14:paraId="5F2D21BC" w14:textId="77777777" w:rsidR="00E836FB" w:rsidRDefault="00E836FB">
            <w:pPr>
              <w:rPr>
                <w:rFonts w:ascii="宋体"/>
                <w:vanish/>
              </w:rPr>
            </w:pPr>
          </w:p>
        </w:tc>
        <w:tc>
          <w:tcPr>
            <w:tcW w:w="0" w:type="auto"/>
            <w:gridSpan w:val="3"/>
            <w:shd w:val="clear" w:color="auto" w:fill="auto"/>
            <w:vAlign w:val="bottom"/>
          </w:tcPr>
          <w:p w14:paraId="5F2D21BD" w14:textId="77777777" w:rsidR="00E836FB" w:rsidRDefault="00E836FB">
            <w:pPr>
              <w:rPr>
                <w:rFonts w:ascii="宋体"/>
                <w:vanish/>
              </w:rPr>
            </w:pPr>
          </w:p>
        </w:tc>
        <w:tc>
          <w:tcPr>
            <w:tcW w:w="0" w:type="auto"/>
            <w:gridSpan w:val="3"/>
            <w:shd w:val="clear" w:color="auto" w:fill="auto"/>
            <w:vAlign w:val="bottom"/>
          </w:tcPr>
          <w:p w14:paraId="5F2D21BE" w14:textId="77777777" w:rsidR="00E836FB" w:rsidRDefault="00E836FB">
            <w:pPr>
              <w:rPr>
                <w:rFonts w:ascii="宋体"/>
                <w:vanish/>
              </w:rPr>
            </w:pPr>
          </w:p>
        </w:tc>
        <w:tc>
          <w:tcPr>
            <w:tcW w:w="0" w:type="auto"/>
            <w:gridSpan w:val="3"/>
            <w:shd w:val="clear" w:color="auto" w:fill="auto"/>
            <w:vAlign w:val="bottom"/>
          </w:tcPr>
          <w:p w14:paraId="5F2D21BF" w14:textId="77777777" w:rsidR="00E836FB" w:rsidRDefault="00E836FB">
            <w:pPr>
              <w:rPr>
                <w:rFonts w:ascii="宋体"/>
                <w:vanish/>
              </w:rPr>
            </w:pPr>
          </w:p>
        </w:tc>
        <w:tc>
          <w:tcPr>
            <w:tcW w:w="0" w:type="auto"/>
            <w:gridSpan w:val="3"/>
            <w:shd w:val="clear" w:color="auto" w:fill="auto"/>
            <w:vAlign w:val="bottom"/>
          </w:tcPr>
          <w:p w14:paraId="5F2D21C0" w14:textId="77777777" w:rsidR="00E836FB" w:rsidRDefault="00E836FB">
            <w:pPr>
              <w:rPr>
                <w:rFonts w:ascii="宋体"/>
                <w:vanish/>
              </w:rPr>
            </w:pPr>
          </w:p>
        </w:tc>
        <w:tc>
          <w:tcPr>
            <w:tcW w:w="0" w:type="auto"/>
            <w:gridSpan w:val="3"/>
            <w:shd w:val="clear" w:color="auto" w:fill="auto"/>
            <w:vAlign w:val="bottom"/>
          </w:tcPr>
          <w:p w14:paraId="5F2D21C1" w14:textId="77777777" w:rsidR="00E836FB" w:rsidRDefault="00E836FB">
            <w:pPr>
              <w:rPr>
                <w:rFonts w:ascii="宋体"/>
                <w:vanish/>
              </w:rPr>
            </w:pPr>
          </w:p>
        </w:tc>
        <w:tc>
          <w:tcPr>
            <w:tcW w:w="0" w:type="auto"/>
            <w:gridSpan w:val="3"/>
            <w:shd w:val="clear" w:color="auto" w:fill="auto"/>
            <w:vAlign w:val="bottom"/>
          </w:tcPr>
          <w:p w14:paraId="5F2D21C2" w14:textId="77777777" w:rsidR="00E836FB" w:rsidRDefault="00E836FB">
            <w:pPr>
              <w:rPr>
                <w:rFonts w:ascii="宋体"/>
                <w:vanish/>
              </w:rPr>
            </w:pPr>
          </w:p>
        </w:tc>
        <w:tc>
          <w:tcPr>
            <w:tcW w:w="0" w:type="auto"/>
            <w:gridSpan w:val="3"/>
            <w:shd w:val="clear" w:color="auto" w:fill="auto"/>
            <w:vAlign w:val="bottom"/>
          </w:tcPr>
          <w:p w14:paraId="5F2D21C3" w14:textId="77777777" w:rsidR="00E836FB" w:rsidRDefault="00E836FB">
            <w:pPr>
              <w:rPr>
                <w:rFonts w:ascii="宋体"/>
                <w:vanish/>
              </w:rPr>
            </w:pPr>
          </w:p>
        </w:tc>
        <w:tc>
          <w:tcPr>
            <w:tcW w:w="0" w:type="auto"/>
            <w:gridSpan w:val="3"/>
            <w:shd w:val="clear" w:color="auto" w:fill="auto"/>
            <w:vAlign w:val="bottom"/>
          </w:tcPr>
          <w:p w14:paraId="5F2D21C4" w14:textId="77777777" w:rsidR="00E836FB" w:rsidRDefault="00E836FB">
            <w:pPr>
              <w:rPr>
                <w:rFonts w:ascii="宋体"/>
                <w:vanish/>
              </w:rPr>
            </w:pPr>
          </w:p>
        </w:tc>
        <w:tc>
          <w:tcPr>
            <w:tcW w:w="0" w:type="auto"/>
            <w:gridSpan w:val="3"/>
            <w:shd w:val="clear" w:color="auto" w:fill="auto"/>
            <w:vAlign w:val="bottom"/>
          </w:tcPr>
          <w:p w14:paraId="5F2D21C5" w14:textId="77777777" w:rsidR="00E836FB" w:rsidRDefault="00E836FB">
            <w:pPr>
              <w:rPr>
                <w:rFonts w:ascii="宋体"/>
                <w:vanish/>
              </w:rPr>
            </w:pPr>
          </w:p>
        </w:tc>
        <w:tc>
          <w:tcPr>
            <w:tcW w:w="0" w:type="auto"/>
            <w:gridSpan w:val="3"/>
            <w:shd w:val="clear" w:color="auto" w:fill="auto"/>
            <w:vAlign w:val="bottom"/>
          </w:tcPr>
          <w:p w14:paraId="5F2D21C6" w14:textId="77777777" w:rsidR="00E836FB" w:rsidRDefault="00E836FB">
            <w:pPr>
              <w:rPr>
                <w:rFonts w:ascii="宋体"/>
                <w:vanish/>
              </w:rPr>
            </w:pPr>
          </w:p>
        </w:tc>
      </w:tr>
      <w:tr w:rsidR="00E836FB" w14:paraId="5F2D21E8" w14:textId="77777777">
        <w:tc>
          <w:tcPr>
            <w:tcW w:w="0" w:type="auto"/>
            <w:gridSpan w:val="3"/>
            <w:shd w:val="clear" w:color="auto" w:fill="CCEEFF"/>
            <w:tcMar>
              <w:top w:w="40" w:type="dxa"/>
              <w:left w:w="155" w:type="dxa"/>
              <w:bottom w:w="40" w:type="dxa"/>
              <w:right w:w="20" w:type="dxa"/>
            </w:tcMar>
            <w:vAlign w:val="bottom"/>
          </w:tcPr>
          <w:p w14:paraId="5F2D21C8" w14:textId="77777777" w:rsidR="00E836FB" w:rsidRDefault="00994958">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21C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CA" w14:textId="77777777" w:rsidR="00E836FB" w:rsidRDefault="00994958">
            <w:pPr>
              <w:jc w:val="right"/>
              <w:textAlignment w:val="bottom"/>
            </w:pPr>
            <w:r>
              <w:rPr>
                <w:rFonts w:ascii="Arial" w:eastAsia="宋体" w:hAnsi="Arial" w:cs="Arial"/>
                <w:color w:val="000000"/>
                <w:sz w:val="14"/>
                <w:szCs w:val="14"/>
              </w:rPr>
              <w:t>298 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C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C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CE" w14:textId="77777777" w:rsidR="00E836FB" w:rsidRDefault="00994958">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D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D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D2" w14:textId="77777777" w:rsidR="00E836FB" w:rsidRDefault="00994958">
            <w:pPr>
              <w:jc w:val="right"/>
              <w:textAlignment w:val="bottom"/>
            </w:pPr>
            <w:r>
              <w:rPr>
                <w:rFonts w:ascii="Arial" w:eastAsia="宋体" w:hAnsi="Arial" w:cs="Arial"/>
                <w:color w:val="000000"/>
                <w:sz w:val="14"/>
                <w:szCs w:val="14"/>
              </w:rPr>
              <w:t>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D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D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D6" w14:textId="77777777" w:rsidR="00E836FB" w:rsidRDefault="00994958">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D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D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D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DA" w14:textId="77777777" w:rsidR="00E836FB" w:rsidRDefault="00994958">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D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D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DE" w14:textId="77777777" w:rsidR="00E836FB" w:rsidRDefault="00994958">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D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E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E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E2"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E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1E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1E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1E6" w14:textId="77777777" w:rsidR="00E836FB" w:rsidRDefault="00994958">
            <w:pPr>
              <w:jc w:val="right"/>
              <w:textAlignment w:val="bottom"/>
            </w:pPr>
            <w:r>
              <w:rPr>
                <w:rFonts w:ascii="Arial" w:eastAsia="宋体" w:hAnsi="Arial" w:cs="Arial"/>
                <w:color w:val="000000"/>
                <w:sz w:val="14"/>
                <w:szCs w:val="14"/>
              </w:rPr>
              <w:t>2,096 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1E7" w14:textId="77777777" w:rsidR="00E836FB" w:rsidRDefault="00E836FB">
            <w:pPr>
              <w:jc w:val="right"/>
              <w:rPr>
                <w:rFonts w:ascii="宋体"/>
              </w:rPr>
            </w:pPr>
          </w:p>
        </w:tc>
      </w:tr>
      <w:tr w:rsidR="00E836FB" w14:paraId="5F2D21F9" w14:textId="77777777">
        <w:trPr>
          <w:trHeight w:val="60"/>
        </w:trPr>
        <w:tc>
          <w:tcPr>
            <w:tcW w:w="0" w:type="auto"/>
            <w:gridSpan w:val="3"/>
            <w:shd w:val="clear" w:color="auto" w:fill="auto"/>
            <w:tcMar>
              <w:top w:w="0" w:type="dxa"/>
              <w:left w:w="20" w:type="dxa"/>
              <w:bottom w:w="0" w:type="dxa"/>
              <w:right w:w="20" w:type="dxa"/>
            </w:tcMar>
            <w:vAlign w:val="bottom"/>
          </w:tcPr>
          <w:p w14:paraId="5F2D21E9"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E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E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E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E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E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E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F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F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F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1F8" w14:textId="77777777" w:rsidR="00E836FB" w:rsidRDefault="00E836FB">
            <w:pPr>
              <w:rPr>
                <w:rFonts w:ascii="宋体"/>
              </w:rPr>
            </w:pPr>
          </w:p>
        </w:tc>
      </w:tr>
      <w:tr w:rsidR="00E836FB" w14:paraId="5F2D220A" w14:textId="77777777">
        <w:tc>
          <w:tcPr>
            <w:tcW w:w="0" w:type="auto"/>
            <w:gridSpan w:val="3"/>
            <w:shd w:val="clear" w:color="auto" w:fill="auto"/>
            <w:tcMar>
              <w:top w:w="40" w:type="dxa"/>
              <w:left w:w="20" w:type="dxa"/>
              <w:bottom w:w="40" w:type="dxa"/>
              <w:right w:w="20" w:type="dxa"/>
            </w:tcMar>
            <w:vAlign w:val="bottom"/>
          </w:tcPr>
          <w:p w14:paraId="5F2D21FA" w14:textId="77777777" w:rsidR="00E836FB" w:rsidRDefault="00994958">
            <w:pPr>
              <w:textAlignment w:val="bottom"/>
            </w:pPr>
            <w:r>
              <w:rPr>
                <w:rFonts w:ascii="Arial" w:eastAsia="宋体" w:hAnsi="Arial" w:cs="Arial"/>
                <w:color w:val="000000"/>
                <w:sz w:val="14"/>
                <w:szCs w:val="14"/>
              </w:rPr>
              <w:t>Non-U.S. loans:</w:t>
            </w:r>
          </w:p>
        </w:tc>
        <w:tc>
          <w:tcPr>
            <w:tcW w:w="0" w:type="auto"/>
            <w:gridSpan w:val="3"/>
            <w:shd w:val="clear" w:color="auto" w:fill="auto"/>
            <w:tcMar>
              <w:top w:w="0" w:type="dxa"/>
              <w:left w:w="20" w:type="dxa"/>
              <w:bottom w:w="0" w:type="dxa"/>
              <w:right w:w="20" w:type="dxa"/>
            </w:tcMar>
            <w:vAlign w:val="bottom"/>
          </w:tcPr>
          <w:p w14:paraId="5F2D21F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1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9" w14:textId="77777777" w:rsidR="00E836FB" w:rsidRDefault="00E836FB">
            <w:pPr>
              <w:rPr>
                <w:rFonts w:ascii="宋体"/>
              </w:rPr>
            </w:pPr>
          </w:p>
        </w:tc>
      </w:tr>
      <w:tr w:rsidR="00E836FB" w14:paraId="5F2D221B" w14:textId="77777777">
        <w:tc>
          <w:tcPr>
            <w:tcW w:w="0" w:type="auto"/>
            <w:gridSpan w:val="3"/>
            <w:shd w:val="clear" w:color="auto" w:fill="auto"/>
            <w:tcMar>
              <w:top w:w="40" w:type="dxa"/>
              <w:left w:w="155" w:type="dxa"/>
              <w:bottom w:w="40" w:type="dxa"/>
              <w:right w:w="20" w:type="dxa"/>
            </w:tcMar>
            <w:vAlign w:val="bottom"/>
          </w:tcPr>
          <w:p w14:paraId="5F2D220B" w14:textId="77777777" w:rsidR="00E836FB" w:rsidRDefault="00994958">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F2D220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0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A" w14:textId="77777777" w:rsidR="00E836FB" w:rsidRDefault="00E836FB">
            <w:pPr>
              <w:rPr>
                <w:rFonts w:ascii="宋体"/>
              </w:rPr>
            </w:pPr>
          </w:p>
        </w:tc>
      </w:tr>
      <w:tr w:rsidR="00E836FB" w14:paraId="5F2D222C" w14:textId="77777777">
        <w:tc>
          <w:tcPr>
            <w:tcW w:w="0" w:type="auto"/>
            <w:gridSpan w:val="3"/>
            <w:shd w:val="clear" w:color="auto" w:fill="auto"/>
            <w:tcMar>
              <w:top w:w="40" w:type="dxa"/>
              <w:left w:w="245" w:type="dxa"/>
              <w:bottom w:w="40" w:type="dxa"/>
              <w:right w:w="20" w:type="dxa"/>
            </w:tcMar>
            <w:vAlign w:val="bottom"/>
          </w:tcPr>
          <w:p w14:paraId="5F2D221C" w14:textId="77777777" w:rsidR="00E836FB" w:rsidRDefault="00994958">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F2D22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1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2B" w14:textId="77777777" w:rsidR="00E836FB" w:rsidRDefault="00E836FB">
            <w:pPr>
              <w:rPr>
                <w:rFonts w:ascii="宋体"/>
              </w:rPr>
            </w:pPr>
          </w:p>
        </w:tc>
      </w:tr>
      <w:tr w:rsidR="00E836FB" w14:paraId="5F2D224D" w14:textId="77777777">
        <w:tc>
          <w:tcPr>
            <w:tcW w:w="0" w:type="auto"/>
            <w:gridSpan w:val="3"/>
            <w:shd w:val="clear" w:color="auto" w:fill="CCEEFF"/>
            <w:tcMar>
              <w:top w:w="40" w:type="dxa"/>
              <w:left w:w="380" w:type="dxa"/>
              <w:bottom w:w="40" w:type="dxa"/>
              <w:right w:w="20" w:type="dxa"/>
            </w:tcMar>
            <w:vAlign w:val="bottom"/>
          </w:tcPr>
          <w:p w14:paraId="5F2D222D" w14:textId="77777777" w:rsidR="00E836FB" w:rsidRDefault="00994958">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F2D222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2F" w14:textId="77777777" w:rsidR="00E836FB" w:rsidRDefault="00994958">
            <w:pPr>
              <w:jc w:val="right"/>
              <w:textAlignment w:val="bottom"/>
            </w:pPr>
            <w:r>
              <w:rPr>
                <w:rFonts w:ascii="Arial" w:eastAsia="宋体" w:hAnsi="Arial" w:cs="Arial"/>
                <w:color w:val="000000"/>
                <w:sz w:val="14"/>
                <w:szCs w:val="14"/>
              </w:rPr>
              <w:t>1,028 </w:t>
            </w:r>
          </w:p>
        </w:tc>
        <w:tc>
          <w:tcPr>
            <w:tcW w:w="0" w:type="auto"/>
            <w:shd w:val="clear" w:color="auto" w:fill="CCEEFF"/>
            <w:tcMar>
              <w:top w:w="40" w:type="dxa"/>
              <w:left w:w="0" w:type="dxa"/>
              <w:bottom w:w="40" w:type="dxa"/>
              <w:right w:w="20" w:type="dxa"/>
            </w:tcMar>
            <w:vAlign w:val="bottom"/>
          </w:tcPr>
          <w:p w14:paraId="5F2D22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3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23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3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3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3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23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3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3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3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23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3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3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23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3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4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24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4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4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24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47" w14:textId="77777777" w:rsidR="00E836FB" w:rsidRDefault="00994958">
            <w:pPr>
              <w:jc w:val="right"/>
              <w:textAlignment w:val="bottom"/>
            </w:pPr>
            <w:r>
              <w:rPr>
                <w:rFonts w:ascii="Arial" w:eastAsia="宋体" w:hAnsi="Arial" w:cs="Arial"/>
                <w:color w:val="000000"/>
                <w:sz w:val="14"/>
                <w:szCs w:val="14"/>
              </w:rPr>
              <w:t>4,343 </w:t>
            </w:r>
          </w:p>
        </w:tc>
        <w:tc>
          <w:tcPr>
            <w:tcW w:w="0" w:type="auto"/>
            <w:shd w:val="clear" w:color="auto" w:fill="CCEEFF"/>
            <w:tcMar>
              <w:top w:w="40" w:type="dxa"/>
              <w:left w:w="0" w:type="dxa"/>
              <w:bottom w:w="40" w:type="dxa"/>
              <w:right w:w="20" w:type="dxa"/>
            </w:tcMar>
            <w:vAlign w:val="bottom"/>
          </w:tcPr>
          <w:p w14:paraId="5F2D224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4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24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24B" w14:textId="77777777" w:rsidR="00E836FB" w:rsidRDefault="00994958">
            <w:pPr>
              <w:jc w:val="right"/>
              <w:textAlignment w:val="bottom"/>
            </w:pPr>
            <w:r>
              <w:rPr>
                <w:rFonts w:ascii="Arial" w:eastAsia="宋体" w:hAnsi="Arial" w:cs="Arial"/>
                <w:color w:val="000000"/>
                <w:sz w:val="14"/>
                <w:szCs w:val="14"/>
              </w:rPr>
              <w:t>5,371 </w:t>
            </w:r>
          </w:p>
        </w:tc>
        <w:tc>
          <w:tcPr>
            <w:tcW w:w="0" w:type="auto"/>
            <w:shd w:val="clear" w:color="auto" w:fill="CCEEFF"/>
            <w:tcMar>
              <w:top w:w="40" w:type="dxa"/>
              <w:left w:w="0" w:type="dxa"/>
              <w:bottom w:w="40" w:type="dxa"/>
              <w:right w:w="20" w:type="dxa"/>
            </w:tcMar>
            <w:vAlign w:val="bottom"/>
          </w:tcPr>
          <w:p w14:paraId="5F2D224C" w14:textId="77777777" w:rsidR="00E836FB" w:rsidRDefault="00E836FB">
            <w:pPr>
              <w:jc w:val="right"/>
              <w:rPr>
                <w:rFonts w:ascii="宋体"/>
              </w:rPr>
            </w:pPr>
          </w:p>
        </w:tc>
      </w:tr>
      <w:tr w:rsidR="00E836FB" w14:paraId="5F2D2266" w14:textId="77777777">
        <w:tc>
          <w:tcPr>
            <w:tcW w:w="0" w:type="auto"/>
            <w:gridSpan w:val="3"/>
            <w:shd w:val="clear" w:color="auto" w:fill="FFFFFF"/>
            <w:tcMar>
              <w:top w:w="40" w:type="dxa"/>
              <w:left w:w="380" w:type="dxa"/>
              <w:bottom w:w="40" w:type="dxa"/>
              <w:right w:w="20" w:type="dxa"/>
            </w:tcMar>
            <w:vAlign w:val="bottom"/>
          </w:tcPr>
          <w:p w14:paraId="5F2D224E" w14:textId="77777777" w:rsidR="00E836FB" w:rsidRDefault="00994958">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F2D224F" w14:textId="77777777" w:rsidR="00E836FB" w:rsidRDefault="00994958">
            <w:pPr>
              <w:jc w:val="right"/>
              <w:textAlignment w:val="bottom"/>
            </w:pPr>
            <w:r>
              <w:rPr>
                <w:rFonts w:ascii="Arial" w:eastAsia="宋体" w:hAnsi="Arial" w:cs="Arial"/>
                <w:color w:val="000000"/>
                <w:sz w:val="14"/>
                <w:szCs w:val="14"/>
              </w:rPr>
              <w:t>283 </w:t>
            </w:r>
          </w:p>
        </w:tc>
        <w:tc>
          <w:tcPr>
            <w:tcW w:w="0" w:type="auto"/>
            <w:shd w:val="clear" w:color="auto" w:fill="FFFFFF"/>
            <w:tcMar>
              <w:top w:w="40" w:type="dxa"/>
              <w:left w:w="0" w:type="dxa"/>
              <w:bottom w:w="40" w:type="dxa"/>
              <w:right w:w="20" w:type="dxa"/>
            </w:tcMar>
            <w:vAlign w:val="bottom"/>
          </w:tcPr>
          <w:p w14:paraId="5F2D22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5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252" w14:textId="77777777" w:rsidR="00E836FB" w:rsidRDefault="00994958">
            <w:pPr>
              <w:jc w:val="right"/>
              <w:textAlignment w:val="bottom"/>
            </w:pPr>
            <w:r>
              <w:rPr>
                <w:rFonts w:ascii="Arial" w:eastAsia="宋体" w:hAnsi="Arial" w:cs="Arial"/>
                <w:color w:val="000000"/>
                <w:sz w:val="14"/>
                <w:szCs w:val="14"/>
              </w:rPr>
              <w:t>401 </w:t>
            </w:r>
          </w:p>
        </w:tc>
        <w:tc>
          <w:tcPr>
            <w:tcW w:w="0" w:type="auto"/>
            <w:shd w:val="clear" w:color="auto" w:fill="FFFFFF"/>
            <w:tcMar>
              <w:top w:w="40" w:type="dxa"/>
              <w:left w:w="0" w:type="dxa"/>
              <w:bottom w:w="40" w:type="dxa"/>
              <w:right w:w="20" w:type="dxa"/>
            </w:tcMar>
            <w:vAlign w:val="bottom"/>
          </w:tcPr>
          <w:p w14:paraId="5F2D22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5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255" w14:textId="77777777" w:rsidR="00E836FB" w:rsidRDefault="00994958">
            <w:pPr>
              <w:jc w:val="right"/>
              <w:textAlignment w:val="bottom"/>
            </w:pPr>
            <w:r>
              <w:rPr>
                <w:rFonts w:ascii="Arial" w:eastAsia="宋体" w:hAnsi="Arial" w:cs="Arial"/>
                <w:color w:val="000000"/>
                <w:sz w:val="14"/>
                <w:szCs w:val="14"/>
              </w:rPr>
              <w:t>346 </w:t>
            </w:r>
          </w:p>
        </w:tc>
        <w:tc>
          <w:tcPr>
            <w:tcW w:w="0" w:type="auto"/>
            <w:shd w:val="clear" w:color="auto" w:fill="FFFFFF"/>
            <w:tcMar>
              <w:top w:w="40" w:type="dxa"/>
              <w:left w:w="0" w:type="dxa"/>
              <w:bottom w:w="40" w:type="dxa"/>
              <w:right w:w="20" w:type="dxa"/>
            </w:tcMar>
            <w:vAlign w:val="bottom"/>
          </w:tcPr>
          <w:p w14:paraId="5F2D22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5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258" w14:textId="77777777" w:rsidR="00E836FB" w:rsidRDefault="00994958">
            <w:pPr>
              <w:jc w:val="right"/>
              <w:textAlignment w:val="bottom"/>
            </w:pPr>
            <w:r>
              <w:rPr>
                <w:rFonts w:ascii="Arial" w:eastAsia="宋体" w:hAnsi="Arial" w:cs="Arial"/>
                <w:color w:val="000000"/>
                <w:sz w:val="14"/>
                <w:szCs w:val="14"/>
              </w:rPr>
              <w:t>162 </w:t>
            </w:r>
          </w:p>
        </w:tc>
        <w:tc>
          <w:tcPr>
            <w:tcW w:w="0" w:type="auto"/>
            <w:shd w:val="clear" w:color="auto" w:fill="FFFFFF"/>
            <w:tcMar>
              <w:top w:w="40" w:type="dxa"/>
              <w:left w:w="0" w:type="dxa"/>
              <w:bottom w:w="40" w:type="dxa"/>
              <w:right w:w="20" w:type="dxa"/>
            </w:tcMar>
            <w:vAlign w:val="bottom"/>
          </w:tcPr>
          <w:p w14:paraId="5F2D225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5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25B" w14:textId="77777777" w:rsidR="00E836FB" w:rsidRDefault="00994958">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F2D225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5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25E" w14:textId="77777777" w:rsidR="00E836FB" w:rsidRDefault="00994958">
            <w:pPr>
              <w:jc w:val="right"/>
              <w:textAlignment w:val="bottom"/>
            </w:pPr>
            <w:r>
              <w:rPr>
                <w:rFonts w:ascii="Arial" w:eastAsia="宋体" w:hAnsi="Arial" w:cs="Arial"/>
                <w:color w:val="000000"/>
                <w:sz w:val="14"/>
                <w:szCs w:val="14"/>
              </w:rPr>
              <w:t>66 </w:t>
            </w:r>
          </w:p>
        </w:tc>
        <w:tc>
          <w:tcPr>
            <w:tcW w:w="0" w:type="auto"/>
            <w:shd w:val="clear" w:color="auto" w:fill="FFFFFF"/>
            <w:tcMar>
              <w:top w:w="40" w:type="dxa"/>
              <w:left w:w="0" w:type="dxa"/>
              <w:bottom w:w="40" w:type="dxa"/>
              <w:right w:w="20" w:type="dxa"/>
            </w:tcMar>
            <w:vAlign w:val="bottom"/>
          </w:tcPr>
          <w:p w14:paraId="5F2D22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261" w14:textId="77777777" w:rsidR="00E836FB" w:rsidRDefault="00994958">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5F2D22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264" w14:textId="77777777" w:rsidR="00E836FB" w:rsidRDefault="00994958">
            <w:pPr>
              <w:jc w:val="right"/>
              <w:textAlignment w:val="bottom"/>
            </w:pPr>
            <w:r>
              <w:rPr>
                <w:rFonts w:ascii="Arial" w:eastAsia="宋体" w:hAnsi="Arial" w:cs="Arial"/>
                <w:color w:val="000000"/>
                <w:sz w:val="14"/>
                <w:szCs w:val="14"/>
              </w:rPr>
              <w:t>1,405 </w:t>
            </w:r>
          </w:p>
        </w:tc>
        <w:tc>
          <w:tcPr>
            <w:tcW w:w="0" w:type="auto"/>
            <w:shd w:val="clear" w:color="auto" w:fill="FFFFFF"/>
            <w:tcMar>
              <w:top w:w="40" w:type="dxa"/>
              <w:left w:w="0" w:type="dxa"/>
              <w:bottom w:w="40" w:type="dxa"/>
              <w:right w:w="20" w:type="dxa"/>
            </w:tcMar>
            <w:vAlign w:val="bottom"/>
          </w:tcPr>
          <w:p w14:paraId="5F2D2265" w14:textId="77777777" w:rsidR="00E836FB" w:rsidRDefault="00E836FB">
            <w:pPr>
              <w:jc w:val="right"/>
              <w:rPr>
                <w:rFonts w:ascii="宋体"/>
              </w:rPr>
            </w:pPr>
          </w:p>
        </w:tc>
      </w:tr>
      <w:tr w:rsidR="00E836FB" w14:paraId="5F2D2277" w14:textId="77777777">
        <w:trPr>
          <w:hidden/>
        </w:trPr>
        <w:tc>
          <w:tcPr>
            <w:tcW w:w="0" w:type="auto"/>
            <w:gridSpan w:val="3"/>
            <w:shd w:val="clear" w:color="auto" w:fill="auto"/>
            <w:vAlign w:val="bottom"/>
          </w:tcPr>
          <w:p w14:paraId="5F2D2267" w14:textId="77777777" w:rsidR="00E836FB" w:rsidRDefault="00E836FB">
            <w:pPr>
              <w:rPr>
                <w:rFonts w:ascii="宋体"/>
                <w:vanish/>
              </w:rPr>
            </w:pPr>
          </w:p>
        </w:tc>
        <w:tc>
          <w:tcPr>
            <w:tcW w:w="0" w:type="auto"/>
            <w:gridSpan w:val="3"/>
            <w:shd w:val="clear" w:color="auto" w:fill="auto"/>
            <w:vAlign w:val="bottom"/>
          </w:tcPr>
          <w:p w14:paraId="5F2D2268" w14:textId="77777777" w:rsidR="00E836FB" w:rsidRDefault="00E836FB">
            <w:pPr>
              <w:rPr>
                <w:rFonts w:ascii="宋体"/>
                <w:vanish/>
              </w:rPr>
            </w:pPr>
          </w:p>
        </w:tc>
        <w:tc>
          <w:tcPr>
            <w:tcW w:w="0" w:type="auto"/>
            <w:gridSpan w:val="3"/>
            <w:shd w:val="clear" w:color="auto" w:fill="auto"/>
            <w:vAlign w:val="bottom"/>
          </w:tcPr>
          <w:p w14:paraId="5F2D2269" w14:textId="77777777" w:rsidR="00E836FB" w:rsidRDefault="00E836FB">
            <w:pPr>
              <w:rPr>
                <w:rFonts w:ascii="宋体"/>
                <w:vanish/>
              </w:rPr>
            </w:pPr>
          </w:p>
        </w:tc>
        <w:tc>
          <w:tcPr>
            <w:tcW w:w="0" w:type="auto"/>
            <w:gridSpan w:val="3"/>
            <w:shd w:val="clear" w:color="auto" w:fill="auto"/>
            <w:vAlign w:val="bottom"/>
          </w:tcPr>
          <w:p w14:paraId="5F2D226A" w14:textId="77777777" w:rsidR="00E836FB" w:rsidRDefault="00E836FB">
            <w:pPr>
              <w:rPr>
                <w:rFonts w:ascii="宋体"/>
                <w:vanish/>
              </w:rPr>
            </w:pPr>
          </w:p>
        </w:tc>
        <w:tc>
          <w:tcPr>
            <w:tcW w:w="0" w:type="auto"/>
            <w:gridSpan w:val="3"/>
            <w:shd w:val="clear" w:color="auto" w:fill="auto"/>
            <w:vAlign w:val="bottom"/>
          </w:tcPr>
          <w:p w14:paraId="5F2D226B" w14:textId="77777777" w:rsidR="00E836FB" w:rsidRDefault="00E836FB">
            <w:pPr>
              <w:rPr>
                <w:rFonts w:ascii="宋体"/>
                <w:vanish/>
              </w:rPr>
            </w:pPr>
          </w:p>
        </w:tc>
        <w:tc>
          <w:tcPr>
            <w:tcW w:w="0" w:type="auto"/>
            <w:gridSpan w:val="3"/>
            <w:shd w:val="clear" w:color="auto" w:fill="auto"/>
            <w:vAlign w:val="bottom"/>
          </w:tcPr>
          <w:p w14:paraId="5F2D226C" w14:textId="77777777" w:rsidR="00E836FB" w:rsidRDefault="00E836FB">
            <w:pPr>
              <w:rPr>
                <w:rFonts w:ascii="宋体"/>
                <w:vanish/>
              </w:rPr>
            </w:pPr>
          </w:p>
        </w:tc>
        <w:tc>
          <w:tcPr>
            <w:tcW w:w="0" w:type="auto"/>
            <w:gridSpan w:val="3"/>
            <w:shd w:val="clear" w:color="auto" w:fill="auto"/>
            <w:vAlign w:val="bottom"/>
          </w:tcPr>
          <w:p w14:paraId="5F2D226D" w14:textId="77777777" w:rsidR="00E836FB" w:rsidRDefault="00E836FB">
            <w:pPr>
              <w:rPr>
                <w:rFonts w:ascii="宋体"/>
                <w:vanish/>
              </w:rPr>
            </w:pPr>
          </w:p>
        </w:tc>
        <w:tc>
          <w:tcPr>
            <w:tcW w:w="0" w:type="auto"/>
            <w:gridSpan w:val="3"/>
            <w:shd w:val="clear" w:color="auto" w:fill="auto"/>
            <w:vAlign w:val="bottom"/>
          </w:tcPr>
          <w:p w14:paraId="5F2D226E" w14:textId="77777777" w:rsidR="00E836FB" w:rsidRDefault="00E836FB">
            <w:pPr>
              <w:rPr>
                <w:rFonts w:ascii="宋体"/>
                <w:vanish/>
              </w:rPr>
            </w:pPr>
          </w:p>
        </w:tc>
        <w:tc>
          <w:tcPr>
            <w:tcW w:w="0" w:type="auto"/>
            <w:gridSpan w:val="3"/>
            <w:shd w:val="clear" w:color="auto" w:fill="auto"/>
            <w:vAlign w:val="bottom"/>
          </w:tcPr>
          <w:p w14:paraId="5F2D226F" w14:textId="77777777" w:rsidR="00E836FB" w:rsidRDefault="00E836FB">
            <w:pPr>
              <w:rPr>
                <w:rFonts w:ascii="宋体"/>
                <w:vanish/>
              </w:rPr>
            </w:pPr>
          </w:p>
        </w:tc>
        <w:tc>
          <w:tcPr>
            <w:tcW w:w="0" w:type="auto"/>
            <w:gridSpan w:val="3"/>
            <w:shd w:val="clear" w:color="auto" w:fill="auto"/>
            <w:vAlign w:val="bottom"/>
          </w:tcPr>
          <w:p w14:paraId="5F2D2270" w14:textId="77777777" w:rsidR="00E836FB" w:rsidRDefault="00E836FB">
            <w:pPr>
              <w:rPr>
                <w:rFonts w:ascii="宋体"/>
                <w:vanish/>
              </w:rPr>
            </w:pPr>
          </w:p>
        </w:tc>
        <w:tc>
          <w:tcPr>
            <w:tcW w:w="0" w:type="auto"/>
            <w:gridSpan w:val="3"/>
            <w:shd w:val="clear" w:color="auto" w:fill="auto"/>
            <w:vAlign w:val="bottom"/>
          </w:tcPr>
          <w:p w14:paraId="5F2D2271" w14:textId="77777777" w:rsidR="00E836FB" w:rsidRDefault="00E836FB">
            <w:pPr>
              <w:rPr>
                <w:rFonts w:ascii="宋体"/>
                <w:vanish/>
              </w:rPr>
            </w:pPr>
          </w:p>
        </w:tc>
        <w:tc>
          <w:tcPr>
            <w:tcW w:w="0" w:type="auto"/>
            <w:gridSpan w:val="3"/>
            <w:shd w:val="clear" w:color="auto" w:fill="auto"/>
            <w:vAlign w:val="bottom"/>
          </w:tcPr>
          <w:p w14:paraId="5F2D2272" w14:textId="77777777" w:rsidR="00E836FB" w:rsidRDefault="00E836FB">
            <w:pPr>
              <w:rPr>
                <w:rFonts w:ascii="宋体"/>
                <w:vanish/>
              </w:rPr>
            </w:pPr>
          </w:p>
        </w:tc>
        <w:tc>
          <w:tcPr>
            <w:tcW w:w="0" w:type="auto"/>
            <w:gridSpan w:val="3"/>
            <w:shd w:val="clear" w:color="auto" w:fill="auto"/>
            <w:vAlign w:val="bottom"/>
          </w:tcPr>
          <w:p w14:paraId="5F2D2273" w14:textId="77777777" w:rsidR="00E836FB" w:rsidRDefault="00E836FB">
            <w:pPr>
              <w:rPr>
                <w:rFonts w:ascii="宋体"/>
                <w:vanish/>
              </w:rPr>
            </w:pPr>
          </w:p>
        </w:tc>
        <w:tc>
          <w:tcPr>
            <w:tcW w:w="0" w:type="auto"/>
            <w:gridSpan w:val="3"/>
            <w:shd w:val="clear" w:color="auto" w:fill="auto"/>
            <w:vAlign w:val="bottom"/>
          </w:tcPr>
          <w:p w14:paraId="5F2D2274" w14:textId="77777777" w:rsidR="00E836FB" w:rsidRDefault="00E836FB">
            <w:pPr>
              <w:rPr>
                <w:rFonts w:ascii="宋体"/>
                <w:vanish/>
              </w:rPr>
            </w:pPr>
          </w:p>
        </w:tc>
        <w:tc>
          <w:tcPr>
            <w:tcW w:w="0" w:type="auto"/>
            <w:gridSpan w:val="3"/>
            <w:shd w:val="clear" w:color="auto" w:fill="auto"/>
            <w:vAlign w:val="bottom"/>
          </w:tcPr>
          <w:p w14:paraId="5F2D2275" w14:textId="77777777" w:rsidR="00E836FB" w:rsidRDefault="00E836FB">
            <w:pPr>
              <w:rPr>
                <w:rFonts w:ascii="宋体"/>
                <w:vanish/>
              </w:rPr>
            </w:pPr>
          </w:p>
        </w:tc>
        <w:tc>
          <w:tcPr>
            <w:tcW w:w="0" w:type="auto"/>
            <w:gridSpan w:val="3"/>
            <w:shd w:val="clear" w:color="auto" w:fill="auto"/>
            <w:vAlign w:val="bottom"/>
          </w:tcPr>
          <w:p w14:paraId="5F2D2276" w14:textId="77777777" w:rsidR="00E836FB" w:rsidRDefault="00E836FB">
            <w:pPr>
              <w:rPr>
                <w:rFonts w:ascii="宋体"/>
                <w:vanish/>
              </w:rPr>
            </w:pPr>
          </w:p>
        </w:tc>
      </w:tr>
      <w:tr w:rsidR="00E836FB" w14:paraId="5F2D2288" w14:textId="77777777">
        <w:trPr>
          <w:hidden/>
        </w:trPr>
        <w:tc>
          <w:tcPr>
            <w:tcW w:w="0" w:type="auto"/>
            <w:gridSpan w:val="3"/>
            <w:shd w:val="clear" w:color="auto" w:fill="auto"/>
            <w:vAlign w:val="bottom"/>
          </w:tcPr>
          <w:p w14:paraId="5F2D2278" w14:textId="77777777" w:rsidR="00E836FB" w:rsidRDefault="00E836FB">
            <w:pPr>
              <w:rPr>
                <w:rFonts w:ascii="宋体"/>
                <w:vanish/>
              </w:rPr>
            </w:pPr>
          </w:p>
        </w:tc>
        <w:tc>
          <w:tcPr>
            <w:tcW w:w="0" w:type="auto"/>
            <w:gridSpan w:val="3"/>
            <w:shd w:val="clear" w:color="auto" w:fill="auto"/>
            <w:vAlign w:val="bottom"/>
          </w:tcPr>
          <w:p w14:paraId="5F2D2279" w14:textId="77777777" w:rsidR="00E836FB" w:rsidRDefault="00E836FB">
            <w:pPr>
              <w:rPr>
                <w:rFonts w:ascii="宋体"/>
                <w:vanish/>
              </w:rPr>
            </w:pPr>
          </w:p>
        </w:tc>
        <w:tc>
          <w:tcPr>
            <w:tcW w:w="0" w:type="auto"/>
            <w:gridSpan w:val="3"/>
            <w:shd w:val="clear" w:color="auto" w:fill="auto"/>
            <w:vAlign w:val="bottom"/>
          </w:tcPr>
          <w:p w14:paraId="5F2D227A" w14:textId="77777777" w:rsidR="00E836FB" w:rsidRDefault="00E836FB">
            <w:pPr>
              <w:rPr>
                <w:rFonts w:ascii="宋体"/>
                <w:vanish/>
              </w:rPr>
            </w:pPr>
          </w:p>
        </w:tc>
        <w:tc>
          <w:tcPr>
            <w:tcW w:w="0" w:type="auto"/>
            <w:gridSpan w:val="3"/>
            <w:shd w:val="clear" w:color="auto" w:fill="auto"/>
            <w:vAlign w:val="bottom"/>
          </w:tcPr>
          <w:p w14:paraId="5F2D227B" w14:textId="77777777" w:rsidR="00E836FB" w:rsidRDefault="00E836FB">
            <w:pPr>
              <w:rPr>
                <w:rFonts w:ascii="宋体"/>
                <w:vanish/>
              </w:rPr>
            </w:pPr>
          </w:p>
        </w:tc>
        <w:tc>
          <w:tcPr>
            <w:tcW w:w="0" w:type="auto"/>
            <w:gridSpan w:val="3"/>
            <w:shd w:val="clear" w:color="auto" w:fill="auto"/>
            <w:vAlign w:val="bottom"/>
          </w:tcPr>
          <w:p w14:paraId="5F2D227C" w14:textId="77777777" w:rsidR="00E836FB" w:rsidRDefault="00E836FB">
            <w:pPr>
              <w:rPr>
                <w:rFonts w:ascii="宋体"/>
                <w:vanish/>
              </w:rPr>
            </w:pPr>
          </w:p>
        </w:tc>
        <w:tc>
          <w:tcPr>
            <w:tcW w:w="0" w:type="auto"/>
            <w:gridSpan w:val="3"/>
            <w:shd w:val="clear" w:color="auto" w:fill="auto"/>
            <w:vAlign w:val="bottom"/>
          </w:tcPr>
          <w:p w14:paraId="5F2D227D" w14:textId="77777777" w:rsidR="00E836FB" w:rsidRDefault="00E836FB">
            <w:pPr>
              <w:rPr>
                <w:rFonts w:ascii="宋体"/>
                <w:vanish/>
              </w:rPr>
            </w:pPr>
          </w:p>
        </w:tc>
        <w:tc>
          <w:tcPr>
            <w:tcW w:w="0" w:type="auto"/>
            <w:gridSpan w:val="3"/>
            <w:shd w:val="clear" w:color="auto" w:fill="auto"/>
            <w:vAlign w:val="bottom"/>
          </w:tcPr>
          <w:p w14:paraId="5F2D227E" w14:textId="77777777" w:rsidR="00E836FB" w:rsidRDefault="00E836FB">
            <w:pPr>
              <w:rPr>
                <w:rFonts w:ascii="宋体"/>
                <w:vanish/>
              </w:rPr>
            </w:pPr>
          </w:p>
        </w:tc>
        <w:tc>
          <w:tcPr>
            <w:tcW w:w="0" w:type="auto"/>
            <w:gridSpan w:val="3"/>
            <w:shd w:val="clear" w:color="auto" w:fill="auto"/>
            <w:vAlign w:val="bottom"/>
          </w:tcPr>
          <w:p w14:paraId="5F2D227F" w14:textId="77777777" w:rsidR="00E836FB" w:rsidRDefault="00E836FB">
            <w:pPr>
              <w:rPr>
                <w:rFonts w:ascii="宋体"/>
                <w:vanish/>
              </w:rPr>
            </w:pPr>
          </w:p>
        </w:tc>
        <w:tc>
          <w:tcPr>
            <w:tcW w:w="0" w:type="auto"/>
            <w:gridSpan w:val="3"/>
            <w:shd w:val="clear" w:color="auto" w:fill="auto"/>
            <w:vAlign w:val="bottom"/>
          </w:tcPr>
          <w:p w14:paraId="5F2D2280" w14:textId="77777777" w:rsidR="00E836FB" w:rsidRDefault="00E836FB">
            <w:pPr>
              <w:rPr>
                <w:rFonts w:ascii="宋体"/>
                <w:vanish/>
              </w:rPr>
            </w:pPr>
          </w:p>
        </w:tc>
        <w:tc>
          <w:tcPr>
            <w:tcW w:w="0" w:type="auto"/>
            <w:gridSpan w:val="3"/>
            <w:shd w:val="clear" w:color="auto" w:fill="auto"/>
            <w:vAlign w:val="bottom"/>
          </w:tcPr>
          <w:p w14:paraId="5F2D2281" w14:textId="77777777" w:rsidR="00E836FB" w:rsidRDefault="00E836FB">
            <w:pPr>
              <w:rPr>
                <w:rFonts w:ascii="宋体"/>
                <w:vanish/>
              </w:rPr>
            </w:pPr>
          </w:p>
        </w:tc>
        <w:tc>
          <w:tcPr>
            <w:tcW w:w="0" w:type="auto"/>
            <w:gridSpan w:val="3"/>
            <w:shd w:val="clear" w:color="auto" w:fill="auto"/>
            <w:vAlign w:val="bottom"/>
          </w:tcPr>
          <w:p w14:paraId="5F2D2282" w14:textId="77777777" w:rsidR="00E836FB" w:rsidRDefault="00E836FB">
            <w:pPr>
              <w:rPr>
                <w:rFonts w:ascii="宋体"/>
                <w:vanish/>
              </w:rPr>
            </w:pPr>
          </w:p>
        </w:tc>
        <w:tc>
          <w:tcPr>
            <w:tcW w:w="0" w:type="auto"/>
            <w:gridSpan w:val="3"/>
            <w:shd w:val="clear" w:color="auto" w:fill="auto"/>
            <w:vAlign w:val="bottom"/>
          </w:tcPr>
          <w:p w14:paraId="5F2D2283" w14:textId="77777777" w:rsidR="00E836FB" w:rsidRDefault="00E836FB">
            <w:pPr>
              <w:rPr>
                <w:rFonts w:ascii="宋体"/>
                <w:vanish/>
              </w:rPr>
            </w:pPr>
          </w:p>
        </w:tc>
        <w:tc>
          <w:tcPr>
            <w:tcW w:w="0" w:type="auto"/>
            <w:gridSpan w:val="3"/>
            <w:shd w:val="clear" w:color="auto" w:fill="auto"/>
            <w:vAlign w:val="bottom"/>
          </w:tcPr>
          <w:p w14:paraId="5F2D2284" w14:textId="77777777" w:rsidR="00E836FB" w:rsidRDefault="00E836FB">
            <w:pPr>
              <w:rPr>
                <w:rFonts w:ascii="宋体"/>
                <w:vanish/>
              </w:rPr>
            </w:pPr>
          </w:p>
        </w:tc>
        <w:tc>
          <w:tcPr>
            <w:tcW w:w="0" w:type="auto"/>
            <w:gridSpan w:val="3"/>
            <w:shd w:val="clear" w:color="auto" w:fill="auto"/>
            <w:vAlign w:val="bottom"/>
          </w:tcPr>
          <w:p w14:paraId="5F2D2285" w14:textId="77777777" w:rsidR="00E836FB" w:rsidRDefault="00E836FB">
            <w:pPr>
              <w:rPr>
                <w:rFonts w:ascii="宋体"/>
                <w:vanish/>
              </w:rPr>
            </w:pPr>
          </w:p>
        </w:tc>
        <w:tc>
          <w:tcPr>
            <w:tcW w:w="0" w:type="auto"/>
            <w:gridSpan w:val="3"/>
            <w:shd w:val="clear" w:color="auto" w:fill="auto"/>
            <w:vAlign w:val="bottom"/>
          </w:tcPr>
          <w:p w14:paraId="5F2D2286" w14:textId="77777777" w:rsidR="00E836FB" w:rsidRDefault="00E836FB">
            <w:pPr>
              <w:rPr>
                <w:rFonts w:ascii="宋体"/>
                <w:vanish/>
              </w:rPr>
            </w:pPr>
          </w:p>
        </w:tc>
        <w:tc>
          <w:tcPr>
            <w:tcW w:w="0" w:type="auto"/>
            <w:gridSpan w:val="3"/>
            <w:shd w:val="clear" w:color="auto" w:fill="auto"/>
            <w:vAlign w:val="bottom"/>
          </w:tcPr>
          <w:p w14:paraId="5F2D2287" w14:textId="77777777" w:rsidR="00E836FB" w:rsidRDefault="00E836FB">
            <w:pPr>
              <w:rPr>
                <w:rFonts w:ascii="宋体"/>
                <w:vanish/>
              </w:rPr>
            </w:pPr>
          </w:p>
        </w:tc>
      </w:tr>
      <w:tr w:rsidR="00E836FB" w14:paraId="5F2D22A1" w14:textId="77777777">
        <w:tc>
          <w:tcPr>
            <w:tcW w:w="0" w:type="auto"/>
            <w:gridSpan w:val="3"/>
            <w:shd w:val="clear" w:color="auto" w:fill="CCEEFF"/>
            <w:tcMar>
              <w:top w:w="40" w:type="dxa"/>
              <w:left w:w="380" w:type="dxa"/>
              <w:bottom w:w="40" w:type="dxa"/>
              <w:right w:w="20" w:type="dxa"/>
            </w:tcMar>
            <w:vAlign w:val="bottom"/>
          </w:tcPr>
          <w:p w14:paraId="5F2D2289" w14:textId="77777777" w:rsidR="00E836FB" w:rsidRDefault="00994958">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F2D228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28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29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293" w14:textId="77777777" w:rsidR="00E836FB" w:rsidRDefault="00994958">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F2D22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9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29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29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9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29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2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29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29F" w14:textId="77777777" w:rsidR="00E836FB" w:rsidRDefault="00994958">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F2D22A0" w14:textId="77777777" w:rsidR="00E836FB" w:rsidRDefault="00E836FB">
            <w:pPr>
              <w:jc w:val="right"/>
              <w:rPr>
                <w:rFonts w:ascii="宋体"/>
              </w:rPr>
            </w:pPr>
          </w:p>
        </w:tc>
      </w:tr>
      <w:tr w:rsidR="00E836FB" w14:paraId="5F2D22B2" w14:textId="77777777">
        <w:trPr>
          <w:hidden/>
        </w:trPr>
        <w:tc>
          <w:tcPr>
            <w:tcW w:w="0" w:type="auto"/>
            <w:gridSpan w:val="3"/>
            <w:shd w:val="clear" w:color="auto" w:fill="auto"/>
            <w:vAlign w:val="bottom"/>
          </w:tcPr>
          <w:p w14:paraId="5F2D22A2" w14:textId="77777777" w:rsidR="00E836FB" w:rsidRDefault="00E836FB">
            <w:pPr>
              <w:rPr>
                <w:rFonts w:ascii="宋体"/>
                <w:vanish/>
              </w:rPr>
            </w:pPr>
          </w:p>
        </w:tc>
        <w:tc>
          <w:tcPr>
            <w:tcW w:w="0" w:type="auto"/>
            <w:gridSpan w:val="3"/>
            <w:shd w:val="clear" w:color="auto" w:fill="auto"/>
            <w:vAlign w:val="bottom"/>
          </w:tcPr>
          <w:p w14:paraId="5F2D22A3" w14:textId="77777777" w:rsidR="00E836FB" w:rsidRDefault="00E836FB">
            <w:pPr>
              <w:rPr>
                <w:rFonts w:ascii="宋体"/>
                <w:vanish/>
              </w:rPr>
            </w:pPr>
          </w:p>
        </w:tc>
        <w:tc>
          <w:tcPr>
            <w:tcW w:w="0" w:type="auto"/>
            <w:gridSpan w:val="3"/>
            <w:shd w:val="clear" w:color="auto" w:fill="auto"/>
            <w:vAlign w:val="bottom"/>
          </w:tcPr>
          <w:p w14:paraId="5F2D22A4" w14:textId="77777777" w:rsidR="00E836FB" w:rsidRDefault="00E836FB">
            <w:pPr>
              <w:rPr>
                <w:rFonts w:ascii="宋体"/>
                <w:vanish/>
              </w:rPr>
            </w:pPr>
          </w:p>
        </w:tc>
        <w:tc>
          <w:tcPr>
            <w:tcW w:w="0" w:type="auto"/>
            <w:gridSpan w:val="3"/>
            <w:shd w:val="clear" w:color="auto" w:fill="auto"/>
            <w:vAlign w:val="bottom"/>
          </w:tcPr>
          <w:p w14:paraId="5F2D22A5" w14:textId="77777777" w:rsidR="00E836FB" w:rsidRDefault="00E836FB">
            <w:pPr>
              <w:rPr>
                <w:rFonts w:ascii="宋体"/>
                <w:vanish/>
              </w:rPr>
            </w:pPr>
          </w:p>
        </w:tc>
        <w:tc>
          <w:tcPr>
            <w:tcW w:w="0" w:type="auto"/>
            <w:gridSpan w:val="3"/>
            <w:shd w:val="clear" w:color="auto" w:fill="auto"/>
            <w:vAlign w:val="bottom"/>
          </w:tcPr>
          <w:p w14:paraId="5F2D22A6" w14:textId="77777777" w:rsidR="00E836FB" w:rsidRDefault="00E836FB">
            <w:pPr>
              <w:rPr>
                <w:rFonts w:ascii="宋体"/>
                <w:vanish/>
              </w:rPr>
            </w:pPr>
          </w:p>
        </w:tc>
        <w:tc>
          <w:tcPr>
            <w:tcW w:w="0" w:type="auto"/>
            <w:gridSpan w:val="3"/>
            <w:shd w:val="clear" w:color="auto" w:fill="auto"/>
            <w:vAlign w:val="bottom"/>
          </w:tcPr>
          <w:p w14:paraId="5F2D22A7" w14:textId="77777777" w:rsidR="00E836FB" w:rsidRDefault="00E836FB">
            <w:pPr>
              <w:rPr>
                <w:rFonts w:ascii="宋体"/>
                <w:vanish/>
              </w:rPr>
            </w:pPr>
          </w:p>
        </w:tc>
        <w:tc>
          <w:tcPr>
            <w:tcW w:w="0" w:type="auto"/>
            <w:gridSpan w:val="3"/>
            <w:shd w:val="clear" w:color="auto" w:fill="auto"/>
            <w:vAlign w:val="bottom"/>
          </w:tcPr>
          <w:p w14:paraId="5F2D22A8" w14:textId="77777777" w:rsidR="00E836FB" w:rsidRDefault="00E836FB">
            <w:pPr>
              <w:rPr>
                <w:rFonts w:ascii="宋体"/>
                <w:vanish/>
              </w:rPr>
            </w:pPr>
          </w:p>
        </w:tc>
        <w:tc>
          <w:tcPr>
            <w:tcW w:w="0" w:type="auto"/>
            <w:gridSpan w:val="3"/>
            <w:shd w:val="clear" w:color="auto" w:fill="auto"/>
            <w:vAlign w:val="bottom"/>
          </w:tcPr>
          <w:p w14:paraId="5F2D22A9" w14:textId="77777777" w:rsidR="00E836FB" w:rsidRDefault="00E836FB">
            <w:pPr>
              <w:rPr>
                <w:rFonts w:ascii="宋体"/>
                <w:vanish/>
              </w:rPr>
            </w:pPr>
          </w:p>
        </w:tc>
        <w:tc>
          <w:tcPr>
            <w:tcW w:w="0" w:type="auto"/>
            <w:gridSpan w:val="3"/>
            <w:shd w:val="clear" w:color="auto" w:fill="auto"/>
            <w:vAlign w:val="bottom"/>
          </w:tcPr>
          <w:p w14:paraId="5F2D22AA" w14:textId="77777777" w:rsidR="00E836FB" w:rsidRDefault="00E836FB">
            <w:pPr>
              <w:rPr>
                <w:rFonts w:ascii="宋体"/>
                <w:vanish/>
              </w:rPr>
            </w:pPr>
          </w:p>
        </w:tc>
        <w:tc>
          <w:tcPr>
            <w:tcW w:w="0" w:type="auto"/>
            <w:gridSpan w:val="3"/>
            <w:shd w:val="clear" w:color="auto" w:fill="auto"/>
            <w:vAlign w:val="bottom"/>
          </w:tcPr>
          <w:p w14:paraId="5F2D22AB" w14:textId="77777777" w:rsidR="00E836FB" w:rsidRDefault="00E836FB">
            <w:pPr>
              <w:rPr>
                <w:rFonts w:ascii="宋体"/>
                <w:vanish/>
              </w:rPr>
            </w:pPr>
          </w:p>
        </w:tc>
        <w:tc>
          <w:tcPr>
            <w:tcW w:w="0" w:type="auto"/>
            <w:gridSpan w:val="3"/>
            <w:shd w:val="clear" w:color="auto" w:fill="auto"/>
            <w:vAlign w:val="bottom"/>
          </w:tcPr>
          <w:p w14:paraId="5F2D22AC" w14:textId="77777777" w:rsidR="00E836FB" w:rsidRDefault="00E836FB">
            <w:pPr>
              <w:rPr>
                <w:rFonts w:ascii="宋体"/>
                <w:vanish/>
              </w:rPr>
            </w:pPr>
          </w:p>
        </w:tc>
        <w:tc>
          <w:tcPr>
            <w:tcW w:w="0" w:type="auto"/>
            <w:gridSpan w:val="3"/>
            <w:shd w:val="clear" w:color="auto" w:fill="auto"/>
            <w:vAlign w:val="bottom"/>
          </w:tcPr>
          <w:p w14:paraId="5F2D22AD" w14:textId="77777777" w:rsidR="00E836FB" w:rsidRDefault="00E836FB">
            <w:pPr>
              <w:rPr>
                <w:rFonts w:ascii="宋体"/>
                <w:vanish/>
              </w:rPr>
            </w:pPr>
          </w:p>
        </w:tc>
        <w:tc>
          <w:tcPr>
            <w:tcW w:w="0" w:type="auto"/>
            <w:gridSpan w:val="3"/>
            <w:shd w:val="clear" w:color="auto" w:fill="auto"/>
            <w:vAlign w:val="bottom"/>
          </w:tcPr>
          <w:p w14:paraId="5F2D22AE" w14:textId="77777777" w:rsidR="00E836FB" w:rsidRDefault="00E836FB">
            <w:pPr>
              <w:rPr>
                <w:rFonts w:ascii="宋体"/>
                <w:vanish/>
              </w:rPr>
            </w:pPr>
          </w:p>
        </w:tc>
        <w:tc>
          <w:tcPr>
            <w:tcW w:w="0" w:type="auto"/>
            <w:gridSpan w:val="3"/>
            <w:shd w:val="clear" w:color="auto" w:fill="auto"/>
            <w:vAlign w:val="bottom"/>
          </w:tcPr>
          <w:p w14:paraId="5F2D22AF" w14:textId="77777777" w:rsidR="00E836FB" w:rsidRDefault="00E836FB">
            <w:pPr>
              <w:rPr>
                <w:rFonts w:ascii="宋体"/>
                <w:vanish/>
              </w:rPr>
            </w:pPr>
          </w:p>
        </w:tc>
        <w:tc>
          <w:tcPr>
            <w:tcW w:w="0" w:type="auto"/>
            <w:gridSpan w:val="3"/>
            <w:shd w:val="clear" w:color="auto" w:fill="auto"/>
            <w:vAlign w:val="bottom"/>
          </w:tcPr>
          <w:p w14:paraId="5F2D22B0" w14:textId="77777777" w:rsidR="00E836FB" w:rsidRDefault="00E836FB">
            <w:pPr>
              <w:rPr>
                <w:rFonts w:ascii="宋体"/>
                <w:vanish/>
              </w:rPr>
            </w:pPr>
          </w:p>
        </w:tc>
        <w:tc>
          <w:tcPr>
            <w:tcW w:w="0" w:type="auto"/>
            <w:gridSpan w:val="3"/>
            <w:shd w:val="clear" w:color="auto" w:fill="auto"/>
            <w:vAlign w:val="bottom"/>
          </w:tcPr>
          <w:p w14:paraId="5F2D22B1" w14:textId="77777777" w:rsidR="00E836FB" w:rsidRDefault="00E836FB">
            <w:pPr>
              <w:rPr>
                <w:rFonts w:ascii="宋体"/>
                <w:vanish/>
              </w:rPr>
            </w:pPr>
          </w:p>
        </w:tc>
      </w:tr>
      <w:tr w:rsidR="00E836FB" w14:paraId="5F2D22D3" w14:textId="77777777">
        <w:tc>
          <w:tcPr>
            <w:tcW w:w="0" w:type="auto"/>
            <w:gridSpan w:val="3"/>
            <w:shd w:val="clear" w:color="auto" w:fill="FFFFFF"/>
            <w:tcMar>
              <w:top w:w="40" w:type="dxa"/>
              <w:left w:w="155" w:type="dxa"/>
              <w:bottom w:w="40" w:type="dxa"/>
              <w:right w:w="20" w:type="dxa"/>
            </w:tcMar>
            <w:vAlign w:val="bottom"/>
          </w:tcPr>
          <w:p w14:paraId="5F2D22B3" w14:textId="77777777" w:rsidR="00E836FB" w:rsidRDefault="00994958">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22B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B5" w14:textId="77777777" w:rsidR="00E836FB" w:rsidRDefault="00994958">
            <w:pPr>
              <w:jc w:val="right"/>
              <w:textAlignment w:val="bottom"/>
            </w:pPr>
            <w:r>
              <w:rPr>
                <w:rFonts w:ascii="Arial" w:eastAsia="宋体" w:hAnsi="Arial" w:cs="Arial"/>
                <w:color w:val="000000"/>
                <w:sz w:val="14"/>
                <w:szCs w:val="14"/>
              </w:rPr>
              <w:t>1,311 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B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22B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B9" w14:textId="77777777" w:rsidR="00E836FB" w:rsidRDefault="00994958">
            <w:pPr>
              <w:jc w:val="right"/>
              <w:textAlignment w:val="bottom"/>
            </w:pPr>
            <w:r>
              <w:rPr>
                <w:rFonts w:ascii="Arial" w:eastAsia="宋体" w:hAnsi="Arial" w:cs="Arial"/>
                <w:color w:val="000000"/>
                <w:sz w:val="14"/>
                <w:szCs w:val="14"/>
              </w:rPr>
              <w:t>401 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B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B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22B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BD" w14:textId="77777777" w:rsidR="00E836FB" w:rsidRDefault="00994958">
            <w:pPr>
              <w:jc w:val="right"/>
              <w:textAlignment w:val="bottom"/>
            </w:pPr>
            <w:r>
              <w:rPr>
                <w:rFonts w:ascii="Arial" w:eastAsia="宋体" w:hAnsi="Arial" w:cs="Arial"/>
                <w:color w:val="000000"/>
                <w:sz w:val="14"/>
                <w:szCs w:val="14"/>
              </w:rPr>
              <w:t>346 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B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B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22C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C1" w14:textId="77777777" w:rsidR="00E836FB" w:rsidRDefault="00994958">
            <w:pPr>
              <w:jc w:val="right"/>
              <w:textAlignment w:val="bottom"/>
            </w:pPr>
            <w:r>
              <w:rPr>
                <w:rFonts w:ascii="Arial" w:eastAsia="宋体" w:hAnsi="Arial" w:cs="Arial"/>
                <w:color w:val="000000"/>
                <w:sz w:val="14"/>
                <w:szCs w:val="14"/>
              </w:rPr>
              <w:t>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C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22C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C5" w14:textId="77777777" w:rsidR="00E836FB" w:rsidRDefault="00994958">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C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22C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C9" w14:textId="77777777" w:rsidR="00E836FB" w:rsidRDefault="00994958">
            <w:pPr>
              <w:jc w:val="right"/>
              <w:textAlignment w:val="bottom"/>
            </w:pPr>
            <w:r>
              <w:rPr>
                <w:rFonts w:ascii="Arial" w:eastAsia="宋体" w:hAnsi="Arial" w:cs="Arial"/>
                <w:color w:val="000000"/>
                <w:sz w:val="14"/>
                <w:szCs w:val="14"/>
              </w:rPr>
              <w:t>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C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22C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CD" w14:textId="77777777" w:rsidR="00E836FB" w:rsidRDefault="00994958">
            <w:pPr>
              <w:jc w:val="right"/>
              <w:textAlignment w:val="bottom"/>
            </w:pPr>
            <w:r>
              <w:rPr>
                <w:rFonts w:ascii="Arial" w:eastAsia="宋体" w:hAnsi="Arial" w:cs="Arial"/>
                <w:color w:val="000000"/>
                <w:sz w:val="14"/>
                <w:szCs w:val="14"/>
              </w:rPr>
              <w:t>4,464 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2C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22D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22D1" w14:textId="77777777" w:rsidR="00E836FB" w:rsidRDefault="00994958">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2D2" w14:textId="77777777" w:rsidR="00E836FB" w:rsidRDefault="00E836FB">
            <w:pPr>
              <w:jc w:val="right"/>
              <w:rPr>
                <w:rFonts w:ascii="宋体"/>
              </w:rPr>
            </w:pPr>
          </w:p>
        </w:tc>
      </w:tr>
      <w:tr w:rsidR="00E836FB" w14:paraId="5F2D22E4" w14:textId="77777777">
        <w:trPr>
          <w:trHeight w:val="60"/>
        </w:trPr>
        <w:tc>
          <w:tcPr>
            <w:tcW w:w="0" w:type="auto"/>
            <w:gridSpan w:val="3"/>
            <w:shd w:val="clear" w:color="auto" w:fill="auto"/>
            <w:tcMar>
              <w:top w:w="0" w:type="dxa"/>
              <w:left w:w="20" w:type="dxa"/>
              <w:bottom w:w="0" w:type="dxa"/>
              <w:right w:w="20" w:type="dxa"/>
            </w:tcMar>
            <w:vAlign w:val="bottom"/>
          </w:tcPr>
          <w:p w14:paraId="5F2D22D4"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D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D6"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D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D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D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DA"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D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DC"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D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DE"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D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E0"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E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2E2"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2E3" w14:textId="77777777" w:rsidR="00E836FB" w:rsidRDefault="00E836FB">
            <w:pPr>
              <w:rPr>
                <w:rFonts w:ascii="宋体"/>
              </w:rPr>
            </w:pPr>
          </w:p>
        </w:tc>
      </w:tr>
      <w:tr w:rsidR="00E836FB" w14:paraId="5F2D22F5" w14:textId="77777777">
        <w:trPr>
          <w:hidden/>
        </w:trPr>
        <w:tc>
          <w:tcPr>
            <w:tcW w:w="0" w:type="auto"/>
            <w:gridSpan w:val="3"/>
            <w:shd w:val="clear" w:color="auto" w:fill="auto"/>
            <w:vAlign w:val="bottom"/>
          </w:tcPr>
          <w:p w14:paraId="5F2D22E5" w14:textId="77777777" w:rsidR="00E836FB" w:rsidRDefault="00E836FB">
            <w:pPr>
              <w:rPr>
                <w:rFonts w:ascii="宋体"/>
                <w:vanish/>
              </w:rPr>
            </w:pPr>
          </w:p>
        </w:tc>
        <w:tc>
          <w:tcPr>
            <w:tcW w:w="0" w:type="auto"/>
            <w:gridSpan w:val="3"/>
            <w:shd w:val="clear" w:color="auto" w:fill="auto"/>
            <w:vAlign w:val="bottom"/>
          </w:tcPr>
          <w:p w14:paraId="5F2D22E6" w14:textId="77777777" w:rsidR="00E836FB" w:rsidRDefault="00E836FB">
            <w:pPr>
              <w:rPr>
                <w:rFonts w:ascii="宋体"/>
                <w:vanish/>
              </w:rPr>
            </w:pPr>
          </w:p>
        </w:tc>
        <w:tc>
          <w:tcPr>
            <w:tcW w:w="0" w:type="auto"/>
            <w:gridSpan w:val="3"/>
            <w:shd w:val="clear" w:color="auto" w:fill="auto"/>
            <w:vAlign w:val="bottom"/>
          </w:tcPr>
          <w:p w14:paraId="5F2D22E7" w14:textId="77777777" w:rsidR="00E836FB" w:rsidRDefault="00E836FB">
            <w:pPr>
              <w:rPr>
                <w:rFonts w:ascii="宋体"/>
                <w:vanish/>
              </w:rPr>
            </w:pPr>
          </w:p>
        </w:tc>
        <w:tc>
          <w:tcPr>
            <w:tcW w:w="0" w:type="auto"/>
            <w:gridSpan w:val="3"/>
            <w:shd w:val="clear" w:color="auto" w:fill="auto"/>
            <w:vAlign w:val="bottom"/>
          </w:tcPr>
          <w:p w14:paraId="5F2D22E8" w14:textId="77777777" w:rsidR="00E836FB" w:rsidRDefault="00E836FB">
            <w:pPr>
              <w:rPr>
                <w:rFonts w:ascii="宋体"/>
                <w:vanish/>
              </w:rPr>
            </w:pPr>
          </w:p>
        </w:tc>
        <w:tc>
          <w:tcPr>
            <w:tcW w:w="0" w:type="auto"/>
            <w:gridSpan w:val="3"/>
            <w:shd w:val="clear" w:color="auto" w:fill="auto"/>
            <w:vAlign w:val="bottom"/>
          </w:tcPr>
          <w:p w14:paraId="5F2D22E9" w14:textId="77777777" w:rsidR="00E836FB" w:rsidRDefault="00E836FB">
            <w:pPr>
              <w:rPr>
                <w:rFonts w:ascii="宋体"/>
                <w:vanish/>
              </w:rPr>
            </w:pPr>
          </w:p>
        </w:tc>
        <w:tc>
          <w:tcPr>
            <w:tcW w:w="0" w:type="auto"/>
            <w:gridSpan w:val="3"/>
            <w:shd w:val="clear" w:color="auto" w:fill="auto"/>
            <w:vAlign w:val="bottom"/>
          </w:tcPr>
          <w:p w14:paraId="5F2D22EA" w14:textId="77777777" w:rsidR="00E836FB" w:rsidRDefault="00E836FB">
            <w:pPr>
              <w:rPr>
                <w:rFonts w:ascii="宋体"/>
                <w:vanish/>
              </w:rPr>
            </w:pPr>
          </w:p>
        </w:tc>
        <w:tc>
          <w:tcPr>
            <w:tcW w:w="0" w:type="auto"/>
            <w:gridSpan w:val="3"/>
            <w:shd w:val="clear" w:color="auto" w:fill="auto"/>
            <w:vAlign w:val="bottom"/>
          </w:tcPr>
          <w:p w14:paraId="5F2D22EB" w14:textId="77777777" w:rsidR="00E836FB" w:rsidRDefault="00E836FB">
            <w:pPr>
              <w:rPr>
                <w:rFonts w:ascii="宋体"/>
                <w:vanish/>
              </w:rPr>
            </w:pPr>
          </w:p>
        </w:tc>
        <w:tc>
          <w:tcPr>
            <w:tcW w:w="0" w:type="auto"/>
            <w:gridSpan w:val="3"/>
            <w:shd w:val="clear" w:color="auto" w:fill="auto"/>
            <w:vAlign w:val="bottom"/>
          </w:tcPr>
          <w:p w14:paraId="5F2D22EC" w14:textId="77777777" w:rsidR="00E836FB" w:rsidRDefault="00E836FB">
            <w:pPr>
              <w:rPr>
                <w:rFonts w:ascii="宋体"/>
                <w:vanish/>
              </w:rPr>
            </w:pPr>
          </w:p>
        </w:tc>
        <w:tc>
          <w:tcPr>
            <w:tcW w:w="0" w:type="auto"/>
            <w:gridSpan w:val="3"/>
            <w:shd w:val="clear" w:color="auto" w:fill="auto"/>
            <w:vAlign w:val="bottom"/>
          </w:tcPr>
          <w:p w14:paraId="5F2D22ED" w14:textId="77777777" w:rsidR="00E836FB" w:rsidRDefault="00E836FB">
            <w:pPr>
              <w:rPr>
                <w:rFonts w:ascii="宋体"/>
                <w:vanish/>
              </w:rPr>
            </w:pPr>
          </w:p>
        </w:tc>
        <w:tc>
          <w:tcPr>
            <w:tcW w:w="0" w:type="auto"/>
            <w:gridSpan w:val="3"/>
            <w:shd w:val="clear" w:color="auto" w:fill="auto"/>
            <w:vAlign w:val="bottom"/>
          </w:tcPr>
          <w:p w14:paraId="5F2D22EE" w14:textId="77777777" w:rsidR="00E836FB" w:rsidRDefault="00E836FB">
            <w:pPr>
              <w:rPr>
                <w:rFonts w:ascii="宋体"/>
                <w:vanish/>
              </w:rPr>
            </w:pPr>
          </w:p>
        </w:tc>
        <w:tc>
          <w:tcPr>
            <w:tcW w:w="0" w:type="auto"/>
            <w:gridSpan w:val="3"/>
            <w:shd w:val="clear" w:color="auto" w:fill="auto"/>
            <w:vAlign w:val="bottom"/>
          </w:tcPr>
          <w:p w14:paraId="5F2D22EF" w14:textId="77777777" w:rsidR="00E836FB" w:rsidRDefault="00E836FB">
            <w:pPr>
              <w:rPr>
                <w:rFonts w:ascii="宋体"/>
                <w:vanish/>
              </w:rPr>
            </w:pPr>
          </w:p>
        </w:tc>
        <w:tc>
          <w:tcPr>
            <w:tcW w:w="0" w:type="auto"/>
            <w:gridSpan w:val="3"/>
            <w:shd w:val="clear" w:color="auto" w:fill="auto"/>
            <w:vAlign w:val="bottom"/>
          </w:tcPr>
          <w:p w14:paraId="5F2D22F0" w14:textId="77777777" w:rsidR="00E836FB" w:rsidRDefault="00E836FB">
            <w:pPr>
              <w:rPr>
                <w:rFonts w:ascii="宋体"/>
                <w:vanish/>
              </w:rPr>
            </w:pPr>
          </w:p>
        </w:tc>
        <w:tc>
          <w:tcPr>
            <w:tcW w:w="0" w:type="auto"/>
            <w:gridSpan w:val="3"/>
            <w:shd w:val="clear" w:color="auto" w:fill="auto"/>
            <w:vAlign w:val="bottom"/>
          </w:tcPr>
          <w:p w14:paraId="5F2D22F1" w14:textId="77777777" w:rsidR="00E836FB" w:rsidRDefault="00E836FB">
            <w:pPr>
              <w:rPr>
                <w:rFonts w:ascii="宋体"/>
                <w:vanish/>
              </w:rPr>
            </w:pPr>
          </w:p>
        </w:tc>
        <w:tc>
          <w:tcPr>
            <w:tcW w:w="0" w:type="auto"/>
            <w:gridSpan w:val="3"/>
            <w:shd w:val="clear" w:color="auto" w:fill="auto"/>
            <w:vAlign w:val="bottom"/>
          </w:tcPr>
          <w:p w14:paraId="5F2D22F2" w14:textId="77777777" w:rsidR="00E836FB" w:rsidRDefault="00E836FB">
            <w:pPr>
              <w:rPr>
                <w:rFonts w:ascii="宋体"/>
                <w:vanish/>
              </w:rPr>
            </w:pPr>
          </w:p>
        </w:tc>
        <w:tc>
          <w:tcPr>
            <w:tcW w:w="0" w:type="auto"/>
            <w:gridSpan w:val="3"/>
            <w:shd w:val="clear" w:color="auto" w:fill="auto"/>
            <w:vAlign w:val="bottom"/>
          </w:tcPr>
          <w:p w14:paraId="5F2D22F3" w14:textId="77777777" w:rsidR="00E836FB" w:rsidRDefault="00E836FB">
            <w:pPr>
              <w:rPr>
                <w:rFonts w:ascii="宋体"/>
                <w:vanish/>
              </w:rPr>
            </w:pPr>
          </w:p>
        </w:tc>
        <w:tc>
          <w:tcPr>
            <w:tcW w:w="0" w:type="auto"/>
            <w:gridSpan w:val="3"/>
            <w:shd w:val="clear" w:color="auto" w:fill="auto"/>
            <w:vAlign w:val="bottom"/>
          </w:tcPr>
          <w:p w14:paraId="5F2D22F4" w14:textId="77777777" w:rsidR="00E836FB" w:rsidRDefault="00E836FB">
            <w:pPr>
              <w:rPr>
                <w:rFonts w:ascii="宋体"/>
                <w:vanish/>
              </w:rPr>
            </w:pPr>
          </w:p>
        </w:tc>
      </w:tr>
      <w:tr w:rsidR="00E836FB" w14:paraId="5F2D2306" w14:textId="77777777">
        <w:trPr>
          <w:hidden/>
        </w:trPr>
        <w:tc>
          <w:tcPr>
            <w:tcW w:w="0" w:type="auto"/>
            <w:gridSpan w:val="3"/>
            <w:shd w:val="clear" w:color="auto" w:fill="auto"/>
            <w:vAlign w:val="bottom"/>
          </w:tcPr>
          <w:p w14:paraId="5F2D22F6" w14:textId="77777777" w:rsidR="00E836FB" w:rsidRDefault="00E836FB">
            <w:pPr>
              <w:rPr>
                <w:rFonts w:ascii="宋体"/>
                <w:vanish/>
              </w:rPr>
            </w:pPr>
          </w:p>
        </w:tc>
        <w:tc>
          <w:tcPr>
            <w:tcW w:w="0" w:type="auto"/>
            <w:gridSpan w:val="3"/>
            <w:shd w:val="clear" w:color="auto" w:fill="auto"/>
            <w:vAlign w:val="bottom"/>
          </w:tcPr>
          <w:p w14:paraId="5F2D22F7" w14:textId="77777777" w:rsidR="00E836FB" w:rsidRDefault="00E836FB">
            <w:pPr>
              <w:rPr>
                <w:rFonts w:ascii="宋体"/>
                <w:vanish/>
              </w:rPr>
            </w:pPr>
          </w:p>
        </w:tc>
        <w:tc>
          <w:tcPr>
            <w:tcW w:w="0" w:type="auto"/>
            <w:gridSpan w:val="3"/>
            <w:shd w:val="clear" w:color="auto" w:fill="auto"/>
            <w:vAlign w:val="bottom"/>
          </w:tcPr>
          <w:p w14:paraId="5F2D22F8" w14:textId="77777777" w:rsidR="00E836FB" w:rsidRDefault="00E836FB">
            <w:pPr>
              <w:rPr>
                <w:rFonts w:ascii="宋体"/>
                <w:vanish/>
              </w:rPr>
            </w:pPr>
          </w:p>
        </w:tc>
        <w:tc>
          <w:tcPr>
            <w:tcW w:w="0" w:type="auto"/>
            <w:gridSpan w:val="3"/>
            <w:shd w:val="clear" w:color="auto" w:fill="auto"/>
            <w:vAlign w:val="bottom"/>
          </w:tcPr>
          <w:p w14:paraId="5F2D22F9" w14:textId="77777777" w:rsidR="00E836FB" w:rsidRDefault="00E836FB">
            <w:pPr>
              <w:rPr>
                <w:rFonts w:ascii="宋体"/>
                <w:vanish/>
              </w:rPr>
            </w:pPr>
          </w:p>
        </w:tc>
        <w:tc>
          <w:tcPr>
            <w:tcW w:w="0" w:type="auto"/>
            <w:gridSpan w:val="3"/>
            <w:shd w:val="clear" w:color="auto" w:fill="auto"/>
            <w:vAlign w:val="bottom"/>
          </w:tcPr>
          <w:p w14:paraId="5F2D22FA" w14:textId="77777777" w:rsidR="00E836FB" w:rsidRDefault="00E836FB">
            <w:pPr>
              <w:rPr>
                <w:rFonts w:ascii="宋体"/>
                <w:vanish/>
              </w:rPr>
            </w:pPr>
          </w:p>
        </w:tc>
        <w:tc>
          <w:tcPr>
            <w:tcW w:w="0" w:type="auto"/>
            <w:gridSpan w:val="3"/>
            <w:shd w:val="clear" w:color="auto" w:fill="auto"/>
            <w:vAlign w:val="bottom"/>
          </w:tcPr>
          <w:p w14:paraId="5F2D22FB" w14:textId="77777777" w:rsidR="00E836FB" w:rsidRDefault="00E836FB">
            <w:pPr>
              <w:rPr>
                <w:rFonts w:ascii="宋体"/>
                <w:vanish/>
              </w:rPr>
            </w:pPr>
          </w:p>
        </w:tc>
        <w:tc>
          <w:tcPr>
            <w:tcW w:w="0" w:type="auto"/>
            <w:gridSpan w:val="3"/>
            <w:shd w:val="clear" w:color="auto" w:fill="auto"/>
            <w:vAlign w:val="bottom"/>
          </w:tcPr>
          <w:p w14:paraId="5F2D22FC" w14:textId="77777777" w:rsidR="00E836FB" w:rsidRDefault="00E836FB">
            <w:pPr>
              <w:rPr>
                <w:rFonts w:ascii="宋体"/>
                <w:vanish/>
              </w:rPr>
            </w:pPr>
          </w:p>
        </w:tc>
        <w:tc>
          <w:tcPr>
            <w:tcW w:w="0" w:type="auto"/>
            <w:gridSpan w:val="3"/>
            <w:shd w:val="clear" w:color="auto" w:fill="auto"/>
            <w:vAlign w:val="bottom"/>
          </w:tcPr>
          <w:p w14:paraId="5F2D22FD" w14:textId="77777777" w:rsidR="00E836FB" w:rsidRDefault="00E836FB">
            <w:pPr>
              <w:rPr>
                <w:rFonts w:ascii="宋体"/>
                <w:vanish/>
              </w:rPr>
            </w:pPr>
          </w:p>
        </w:tc>
        <w:tc>
          <w:tcPr>
            <w:tcW w:w="0" w:type="auto"/>
            <w:gridSpan w:val="3"/>
            <w:shd w:val="clear" w:color="auto" w:fill="auto"/>
            <w:vAlign w:val="bottom"/>
          </w:tcPr>
          <w:p w14:paraId="5F2D22FE" w14:textId="77777777" w:rsidR="00E836FB" w:rsidRDefault="00E836FB">
            <w:pPr>
              <w:rPr>
                <w:rFonts w:ascii="宋体"/>
                <w:vanish/>
              </w:rPr>
            </w:pPr>
          </w:p>
        </w:tc>
        <w:tc>
          <w:tcPr>
            <w:tcW w:w="0" w:type="auto"/>
            <w:gridSpan w:val="3"/>
            <w:shd w:val="clear" w:color="auto" w:fill="auto"/>
            <w:vAlign w:val="bottom"/>
          </w:tcPr>
          <w:p w14:paraId="5F2D22FF" w14:textId="77777777" w:rsidR="00E836FB" w:rsidRDefault="00E836FB">
            <w:pPr>
              <w:rPr>
                <w:rFonts w:ascii="宋体"/>
                <w:vanish/>
              </w:rPr>
            </w:pPr>
          </w:p>
        </w:tc>
        <w:tc>
          <w:tcPr>
            <w:tcW w:w="0" w:type="auto"/>
            <w:gridSpan w:val="3"/>
            <w:shd w:val="clear" w:color="auto" w:fill="auto"/>
            <w:vAlign w:val="bottom"/>
          </w:tcPr>
          <w:p w14:paraId="5F2D2300" w14:textId="77777777" w:rsidR="00E836FB" w:rsidRDefault="00E836FB">
            <w:pPr>
              <w:rPr>
                <w:rFonts w:ascii="宋体"/>
                <w:vanish/>
              </w:rPr>
            </w:pPr>
          </w:p>
        </w:tc>
        <w:tc>
          <w:tcPr>
            <w:tcW w:w="0" w:type="auto"/>
            <w:gridSpan w:val="3"/>
            <w:shd w:val="clear" w:color="auto" w:fill="auto"/>
            <w:vAlign w:val="bottom"/>
          </w:tcPr>
          <w:p w14:paraId="5F2D2301" w14:textId="77777777" w:rsidR="00E836FB" w:rsidRDefault="00E836FB">
            <w:pPr>
              <w:rPr>
                <w:rFonts w:ascii="宋体"/>
                <w:vanish/>
              </w:rPr>
            </w:pPr>
          </w:p>
        </w:tc>
        <w:tc>
          <w:tcPr>
            <w:tcW w:w="0" w:type="auto"/>
            <w:gridSpan w:val="3"/>
            <w:shd w:val="clear" w:color="auto" w:fill="auto"/>
            <w:vAlign w:val="bottom"/>
          </w:tcPr>
          <w:p w14:paraId="5F2D2302" w14:textId="77777777" w:rsidR="00E836FB" w:rsidRDefault="00E836FB">
            <w:pPr>
              <w:rPr>
                <w:rFonts w:ascii="宋体"/>
                <w:vanish/>
              </w:rPr>
            </w:pPr>
          </w:p>
        </w:tc>
        <w:tc>
          <w:tcPr>
            <w:tcW w:w="0" w:type="auto"/>
            <w:gridSpan w:val="3"/>
            <w:shd w:val="clear" w:color="auto" w:fill="auto"/>
            <w:vAlign w:val="bottom"/>
          </w:tcPr>
          <w:p w14:paraId="5F2D2303" w14:textId="77777777" w:rsidR="00E836FB" w:rsidRDefault="00E836FB">
            <w:pPr>
              <w:rPr>
                <w:rFonts w:ascii="宋体"/>
                <w:vanish/>
              </w:rPr>
            </w:pPr>
          </w:p>
        </w:tc>
        <w:tc>
          <w:tcPr>
            <w:tcW w:w="0" w:type="auto"/>
            <w:gridSpan w:val="3"/>
            <w:shd w:val="clear" w:color="auto" w:fill="auto"/>
            <w:vAlign w:val="bottom"/>
          </w:tcPr>
          <w:p w14:paraId="5F2D2304" w14:textId="77777777" w:rsidR="00E836FB" w:rsidRDefault="00E836FB">
            <w:pPr>
              <w:rPr>
                <w:rFonts w:ascii="宋体"/>
                <w:vanish/>
              </w:rPr>
            </w:pPr>
          </w:p>
        </w:tc>
        <w:tc>
          <w:tcPr>
            <w:tcW w:w="0" w:type="auto"/>
            <w:gridSpan w:val="3"/>
            <w:shd w:val="clear" w:color="auto" w:fill="auto"/>
            <w:vAlign w:val="bottom"/>
          </w:tcPr>
          <w:p w14:paraId="5F2D2305" w14:textId="77777777" w:rsidR="00E836FB" w:rsidRDefault="00E836FB">
            <w:pPr>
              <w:rPr>
                <w:rFonts w:ascii="宋体"/>
                <w:vanish/>
              </w:rPr>
            </w:pPr>
          </w:p>
        </w:tc>
      </w:tr>
      <w:tr w:rsidR="00E836FB" w14:paraId="5F2D2317" w14:textId="77777777">
        <w:trPr>
          <w:hidden/>
        </w:trPr>
        <w:tc>
          <w:tcPr>
            <w:tcW w:w="0" w:type="auto"/>
            <w:gridSpan w:val="3"/>
            <w:shd w:val="clear" w:color="auto" w:fill="auto"/>
            <w:vAlign w:val="bottom"/>
          </w:tcPr>
          <w:p w14:paraId="5F2D2307" w14:textId="77777777" w:rsidR="00E836FB" w:rsidRDefault="00E836FB">
            <w:pPr>
              <w:rPr>
                <w:rFonts w:ascii="宋体"/>
                <w:vanish/>
              </w:rPr>
            </w:pPr>
          </w:p>
        </w:tc>
        <w:tc>
          <w:tcPr>
            <w:tcW w:w="0" w:type="auto"/>
            <w:gridSpan w:val="3"/>
            <w:shd w:val="clear" w:color="auto" w:fill="auto"/>
            <w:vAlign w:val="bottom"/>
          </w:tcPr>
          <w:p w14:paraId="5F2D2308" w14:textId="77777777" w:rsidR="00E836FB" w:rsidRDefault="00E836FB">
            <w:pPr>
              <w:rPr>
                <w:rFonts w:ascii="宋体"/>
                <w:vanish/>
              </w:rPr>
            </w:pPr>
          </w:p>
        </w:tc>
        <w:tc>
          <w:tcPr>
            <w:tcW w:w="0" w:type="auto"/>
            <w:gridSpan w:val="3"/>
            <w:shd w:val="clear" w:color="auto" w:fill="auto"/>
            <w:vAlign w:val="bottom"/>
          </w:tcPr>
          <w:p w14:paraId="5F2D2309" w14:textId="77777777" w:rsidR="00E836FB" w:rsidRDefault="00E836FB">
            <w:pPr>
              <w:rPr>
                <w:rFonts w:ascii="宋体"/>
                <w:vanish/>
              </w:rPr>
            </w:pPr>
          </w:p>
        </w:tc>
        <w:tc>
          <w:tcPr>
            <w:tcW w:w="0" w:type="auto"/>
            <w:gridSpan w:val="3"/>
            <w:shd w:val="clear" w:color="auto" w:fill="auto"/>
            <w:vAlign w:val="bottom"/>
          </w:tcPr>
          <w:p w14:paraId="5F2D230A" w14:textId="77777777" w:rsidR="00E836FB" w:rsidRDefault="00E836FB">
            <w:pPr>
              <w:rPr>
                <w:rFonts w:ascii="宋体"/>
                <w:vanish/>
              </w:rPr>
            </w:pPr>
          </w:p>
        </w:tc>
        <w:tc>
          <w:tcPr>
            <w:tcW w:w="0" w:type="auto"/>
            <w:gridSpan w:val="3"/>
            <w:shd w:val="clear" w:color="auto" w:fill="auto"/>
            <w:vAlign w:val="bottom"/>
          </w:tcPr>
          <w:p w14:paraId="5F2D230B" w14:textId="77777777" w:rsidR="00E836FB" w:rsidRDefault="00E836FB">
            <w:pPr>
              <w:rPr>
                <w:rFonts w:ascii="宋体"/>
                <w:vanish/>
              </w:rPr>
            </w:pPr>
          </w:p>
        </w:tc>
        <w:tc>
          <w:tcPr>
            <w:tcW w:w="0" w:type="auto"/>
            <w:gridSpan w:val="3"/>
            <w:shd w:val="clear" w:color="auto" w:fill="auto"/>
            <w:vAlign w:val="bottom"/>
          </w:tcPr>
          <w:p w14:paraId="5F2D230C" w14:textId="77777777" w:rsidR="00E836FB" w:rsidRDefault="00E836FB">
            <w:pPr>
              <w:rPr>
                <w:rFonts w:ascii="宋体"/>
                <w:vanish/>
              </w:rPr>
            </w:pPr>
          </w:p>
        </w:tc>
        <w:tc>
          <w:tcPr>
            <w:tcW w:w="0" w:type="auto"/>
            <w:gridSpan w:val="3"/>
            <w:shd w:val="clear" w:color="auto" w:fill="auto"/>
            <w:vAlign w:val="bottom"/>
          </w:tcPr>
          <w:p w14:paraId="5F2D230D" w14:textId="77777777" w:rsidR="00E836FB" w:rsidRDefault="00E836FB">
            <w:pPr>
              <w:rPr>
                <w:rFonts w:ascii="宋体"/>
                <w:vanish/>
              </w:rPr>
            </w:pPr>
          </w:p>
        </w:tc>
        <w:tc>
          <w:tcPr>
            <w:tcW w:w="0" w:type="auto"/>
            <w:gridSpan w:val="3"/>
            <w:shd w:val="clear" w:color="auto" w:fill="auto"/>
            <w:vAlign w:val="bottom"/>
          </w:tcPr>
          <w:p w14:paraId="5F2D230E" w14:textId="77777777" w:rsidR="00E836FB" w:rsidRDefault="00E836FB">
            <w:pPr>
              <w:rPr>
                <w:rFonts w:ascii="宋体"/>
                <w:vanish/>
              </w:rPr>
            </w:pPr>
          </w:p>
        </w:tc>
        <w:tc>
          <w:tcPr>
            <w:tcW w:w="0" w:type="auto"/>
            <w:gridSpan w:val="3"/>
            <w:shd w:val="clear" w:color="auto" w:fill="auto"/>
            <w:vAlign w:val="bottom"/>
          </w:tcPr>
          <w:p w14:paraId="5F2D230F" w14:textId="77777777" w:rsidR="00E836FB" w:rsidRDefault="00E836FB">
            <w:pPr>
              <w:rPr>
                <w:rFonts w:ascii="宋体"/>
                <w:vanish/>
              </w:rPr>
            </w:pPr>
          </w:p>
        </w:tc>
        <w:tc>
          <w:tcPr>
            <w:tcW w:w="0" w:type="auto"/>
            <w:gridSpan w:val="3"/>
            <w:shd w:val="clear" w:color="auto" w:fill="auto"/>
            <w:vAlign w:val="bottom"/>
          </w:tcPr>
          <w:p w14:paraId="5F2D2310" w14:textId="77777777" w:rsidR="00E836FB" w:rsidRDefault="00E836FB">
            <w:pPr>
              <w:rPr>
                <w:rFonts w:ascii="宋体"/>
                <w:vanish/>
              </w:rPr>
            </w:pPr>
          </w:p>
        </w:tc>
        <w:tc>
          <w:tcPr>
            <w:tcW w:w="0" w:type="auto"/>
            <w:gridSpan w:val="3"/>
            <w:shd w:val="clear" w:color="auto" w:fill="auto"/>
            <w:vAlign w:val="bottom"/>
          </w:tcPr>
          <w:p w14:paraId="5F2D2311" w14:textId="77777777" w:rsidR="00E836FB" w:rsidRDefault="00E836FB">
            <w:pPr>
              <w:rPr>
                <w:rFonts w:ascii="宋体"/>
                <w:vanish/>
              </w:rPr>
            </w:pPr>
          </w:p>
        </w:tc>
        <w:tc>
          <w:tcPr>
            <w:tcW w:w="0" w:type="auto"/>
            <w:gridSpan w:val="3"/>
            <w:shd w:val="clear" w:color="auto" w:fill="auto"/>
            <w:vAlign w:val="bottom"/>
          </w:tcPr>
          <w:p w14:paraId="5F2D2312" w14:textId="77777777" w:rsidR="00E836FB" w:rsidRDefault="00E836FB">
            <w:pPr>
              <w:rPr>
                <w:rFonts w:ascii="宋体"/>
                <w:vanish/>
              </w:rPr>
            </w:pPr>
          </w:p>
        </w:tc>
        <w:tc>
          <w:tcPr>
            <w:tcW w:w="0" w:type="auto"/>
            <w:gridSpan w:val="3"/>
            <w:shd w:val="clear" w:color="auto" w:fill="auto"/>
            <w:vAlign w:val="bottom"/>
          </w:tcPr>
          <w:p w14:paraId="5F2D2313" w14:textId="77777777" w:rsidR="00E836FB" w:rsidRDefault="00E836FB">
            <w:pPr>
              <w:rPr>
                <w:rFonts w:ascii="宋体"/>
                <w:vanish/>
              </w:rPr>
            </w:pPr>
          </w:p>
        </w:tc>
        <w:tc>
          <w:tcPr>
            <w:tcW w:w="0" w:type="auto"/>
            <w:gridSpan w:val="3"/>
            <w:shd w:val="clear" w:color="auto" w:fill="auto"/>
            <w:vAlign w:val="bottom"/>
          </w:tcPr>
          <w:p w14:paraId="5F2D2314" w14:textId="77777777" w:rsidR="00E836FB" w:rsidRDefault="00E836FB">
            <w:pPr>
              <w:rPr>
                <w:rFonts w:ascii="宋体"/>
                <w:vanish/>
              </w:rPr>
            </w:pPr>
          </w:p>
        </w:tc>
        <w:tc>
          <w:tcPr>
            <w:tcW w:w="0" w:type="auto"/>
            <w:gridSpan w:val="3"/>
            <w:shd w:val="clear" w:color="auto" w:fill="auto"/>
            <w:vAlign w:val="bottom"/>
          </w:tcPr>
          <w:p w14:paraId="5F2D2315" w14:textId="77777777" w:rsidR="00E836FB" w:rsidRDefault="00E836FB">
            <w:pPr>
              <w:rPr>
                <w:rFonts w:ascii="宋体"/>
                <w:vanish/>
              </w:rPr>
            </w:pPr>
          </w:p>
        </w:tc>
        <w:tc>
          <w:tcPr>
            <w:tcW w:w="0" w:type="auto"/>
            <w:gridSpan w:val="3"/>
            <w:shd w:val="clear" w:color="auto" w:fill="auto"/>
            <w:vAlign w:val="bottom"/>
          </w:tcPr>
          <w:p w14:paraId="5F2D2316" w14:textId="77777777" w:rsidR="00E836FB" w:rsidRDefault="00E836FB">
            <w:pPr>
              <w:rPr>
                <w:rFonts w:ascii="宋体"/>
                <w:vanish/>
              </w:rPr>
            </w:pPr>
          </w:p>
        </w:tc>
      </w:tr>
      <w:tr w:rsidR="00E836FB" w14:paraId="5F2D2328" w14:textId="77777777">
        <w:trPr>
          <w:hidden/>
        </w:trPr>
        <w:tc>
          <w:tcPr>
            <w:tcW w:w="0" w:type="auto"/>
            <w:gridSpan w:val="3"/>
            <w:shd w:val="clear" w:color="auto" w:fill="auto"/>
            <w:vAlign w:val="bottom"/>
          </w:tcPr>
          <w:p w14:paraId="5F2D2318" w14:textId="77777777" w:rsidR="00E836FB" w:rsidRDefault="00E836FB">
            <w:pPr>
              <w:rPr>
                <w:rFonts w:ascii="宋体"/>
                <w:vanish/>
              </w:rPr>
            </w:pPr>
          </w:p>
        </w:tc>
        <w:tc>
          <w:tcPr>
            <w:tcW w:w="0" w:type="auto"/>
            <w:gridSpan w:val="3"/>
            <w:shd w:val="clear" w:color="auto" w:fill="auto"/>
            <w:vAlign w:val="bottom"/>
          </w:tcPr>
          <w:p w14:paraId="5F2D2319" w14:textId="77777777" w:rsidR="00E836FB" w:rsidRDefault="00E836FB">
            <w:pPr>
              <w:rPr>
                <w:rFonts w:ascii="宋体"/>
                <w:vanish/>
              </w:rPr>
            </w:pPr>
          </w:p>
        </w:tc>
        <w:tc>
          <w:tcPr>
            <w:tcW w:w="0" w:type="auto"/>
            <w:gridSpan w:val="3"/>
            <w:shd w:val="clear" w:color="auto" w:fill="auto"/>
            <w:vAlign w:val="bottom"/>
          </w:tcPr>
          <w:p w14:paraId="5F2D231A" w14:textId="77777777" w:rsidR="00E836FB" w:rsidRDefault="00E836FB">
            <w:pPr>
              <w:rPr>
                <w:rFonts w:ascii="宋体"/>
                <w:vanish/>
              </w:rPr>
            </w:pPr>
          </w:p>
        </w:tc>
        <w:tc>
          <w:tcPr>
            <w:tcW w:w="0" w:type="auto"/>
            <w:gridSpan w:val="3"/>
            <w:shd w:val="clear" w:color="auto" w:fill="auto"/>
            <w:vAlign w:val="bottom"/>
          </w:tcPr>
          <w:p w14:paraId="5F2D231B" w14:textId="77777777" w:rsidR="00E836FB" w:rsidRDefault="00E836FB">
            <w:pPr>
              <w:rPr>
                <w:rFonts w:ascii="宋体"/>
                <w:vanish/>
              </w:rPr>
            </w:pPr>
          </w:p>
        </w:tc>
        <w:tc>
          <w:tcPr>
            <w:tcW w:w="0" w:type="auto"/>
            <w:gridSpan w:val="3"/>
            <w:shd w:val="clear" w:color="auto" w:fill="auto"/>
            <w:vAlign w:val="bottom"/>
          </w:tcPr>
          <w:p w14:paraId="5F2D231C" w14:textId="77777777" w:rsidR="00E836FB" w:rsidRDefault="00E836FB">
            <w:pPr>
              <w:rPr>
                <w:rFonts w:ascii="宋体"/>
                <w:vanish/>
              </w:rPr>
            </w:pPr>
          </w:p>
        </w:tc>
        <w:tc>
          <w:tcPr>
            <w:tcW w:w="0" w:type="auto"/>
            <w:gridSpan w:val="3"/>
            <w:shd w:val="clear" w:color="auto" w:fill="auto"/>
            <w:vAlign w:val="bottom"/>
          </w:tcPr>
          <w:p w14:paraId="5F2D231D" w14:textId="77777777" w:rsidR="00E836FB" w:rsidRDefault="00E836FB">
            <w:pPr>
              <w:rPr>
                <w:rFonts w:ascii="宋体"/>
                <w:vanish/>
              </w:rPr>
            </w:pPr>
          </w:p>
        </w:tc>
        <w:tc>
          <w:tcPr>
            <w:tcW w:w="0" w:type="auto"/>
            <w:gridSpan w:val="3"/>
            <w:shd w:val="clear" w:color="auto" w:fill="auto"/>
            <w:vAlign w:val="bottom"/>
          </w:tcPr>
          <w:p w14:paraId="5F2D231E" w14:textId="77777777" w:rsidR="00E836FB" w:rsidRDefault="00E836FB">
            <w:pPr>
              <w:rPr>
                <w:rFonts w:ascii="宋体"/>
                <w:vanish/>
              </w:rPr>
            </w:pPr>
          </w:p>
        </w:tc>
        <w:tc>
          <w:tcPr>
            <w:tcW w:w="0" w:type="auto"/>
            <w:gridSpan w:val="3"/>
            <w:shd w:val="clear" w:color="auto" w:fill="auto"/>
            <w:vAlign w:val="bottom"/>
          </w:tcPr>
          <w:p w14:paraId="5F2D231F" w14:textId="77777777" w:rsidR="00E836FB" w:rsidRDefault="00E836FB">
            <w:pPr>
              <w:rPr>
                <w:rFonts w:ascii="宋体"/>
                <w:vanish/>
              </w:rPr>
            </w:pPr>
          </w:p>
        </w:tc>
        <w:tc>
          <w:tcPr>
            <w:tcW w:w="0" w:type="auto"/>
            <w:gridSpan w:val="3"/>
            <w:shd w:val="clear" w:color="auto" w:fill="auto"/>
            <w:vAlign w:val="bottom"/>
          </w:tcPr>
          <w:p w14:paraId="5F2D2320" w14:textId="77777777" w:rsidR="00E836FB" w:rsidRDefault="00E836FB">
            <w:pPr>
              <w:rPr>
                <w:rFonts w:ascii="宋体"/>
                <w:vanish/>
              </w:rPr>
            </w:pPr>
          </w:p>
        </w:tc>
        <w:tc>
          <w:tcPr>
            <w:tcW w:w="0" w:type="auto"/>
            <w:gridSpan w:val="3"/>
            <w:shd w:val="clear" w:color="auto" w:fill="auto"/>
            <w:vAlign w:val="bottom"/>
          </w:tcPr>
          <w:p w14:paraId="5F2D2321" w14:textId="77777777" w:rsidR="00E836FB" w:rsidRDefault="00E836FB">
            <w:pPr>
              <w:rPr>
                <w:rFonts w:ascii="宋体"/>
                <w:vanish/>
              </w:rPr>
            </w:pPr>
          </w:p>
        </w:tc>
        <w:tc>
          <w:tcPr>
            <w:tcW w:w="0" w:type="auto"/>
            <w:gridSpan w:val="3"/>
            <w:shd w:val="clear" w:color="auto" w:fill="auto"/>
            <w:vAlign w:val="bottom"/>
          </w:tcPr>
          <w:p w14:paraId="5F2D2322" w14:textId="77777777" w:rsidR="00E836FB" w:rsidRDefault="00E836FB">
            <w:pPr>
              <w:rPr>
                <w:rFonts w:ascii="宋体"/>
                <w:vanish/>
              </w:rPr>
            </w:pPr>
          </w:p>
        </w:tc>
        <w:tc>
          <w:tcPr>
            <w:tcW w:w="0" w:type="auto"/>
            <w:gridSpan w:val="3"/>
            <w:shd w:val="clear" w:color="auto" w:fill="auto"/>
            <w:vAlign w:val="bottom"/>
          </w:tcPr>
          <w:p w14:paraId="5F2D2323" w14:textId="77777777" w:rsidR="00E836FB" w:rsidRDefault="00E836FB">
            <w:pPr>
              <w:rPr>
                <w:rFonts w:ascii="宋体"/>
                <w:vanish/>
              </w:rPr>
            </w:pPr>
          </w:p>
        </w:tc>
        <w:tc>
          <w:tcPr>
            <w:tcW w:w="0" w:type="auto"/>
            <w:gridSpan w:val="3"/>
            <w:shd w:val="clear" w:color="auto" w:fill="auto"/>
            <w:vAlign w:val="bottom"/>
          </w:tcPr>
          <w:p w14:paraId="5F2D2324" w14:textId="77777777" w:rsidR="00E836FB" w:rsidRDefault="00E836FB">
            <w:pPr>
              <w:rPr>
                <w:rFonts w:ascii="宋体"/>
                <w:vanish/>
              </w:rPr>
            </w:pPr>
          </w:p>
        </w:tc>
        <w:tc>
          <w:tcPr>
            <w:tcW w:w="0" w:type="auto"/>
            <w:gridSpan w:val="3"/>
            <w:shd w:val="clear" w:color="auto" w:fill="auto"/>
            <w:vAlign w:val="bottom"/>
          </w:tcPr>
          <w:p w14:paraId="5F2D2325" w14:textId="77777777" w:rsidR="00E836FB" w:rsidRDefault="00E836FB">
            <w:pPr>
              <w:rPr>
                <w:rFonts w:ascii="宋体"/>
                <w:vanish/>
              </w:rPr>
            </w:pPr>
          </w:p>
        </w:tc>
        <w:tc>
          <w:tcPr>
            <w:tcW w:w="0" w:type="auto"/>
            <w:gridSpan w:val="3"/>
            <w:shd w:val="clear" w:color="auto" w:fill="auto"/>
            <w:vAlign w:val="bottom"/>
          </w:tcPr>
          <w:p w14:paraId="5F2D2326" w14:textId="77777777" w:rsidR="00E836FB" w:rsidRDefault="00E836FB">
            <w:pPr>
              <w:rPr>
                <w:rFonts w:ascii="宋体"/>
                <w:vanish/>
              </w:rPr>
            </w:pPr>
          </w:p>
        </w:tc>
        <w:tc>
          <w:tcPr>
            <w:tcW w:w="0" w:type="auto"/>
            <w:gridSpan w:val="3"/>
            <w:shd w:val="clear" w:color="auto" w:fill="auto"/>
            <w:vAlign w:val="bottom"/>
          </w:tcPr>
          <w:p w14:paraId="5F2D2327" w14:textId="77777777" w:rsidR="00E836FB" w:rsidRDefault="00E836FB">
            <w:pPr>
              <w:rPr>
                <w:rFonts w:ascii="宋体"/>
                <w:vanish/>
              </w:rPr>
            </w:pPr>
          </w:p>
        </w:tc>
      </w:tr>
      <w:tr w:rsidR="00E836FB" w14:paraId="5F2D2339" w14:textId="77777777">
        <w:trPr>
          <w:hidden/>
        </w:trPr>
        <w:tc>
          <w:tcPr>
            <w:tcW w:w="0" w:type="auto"/>
            <w:gridSpan w:val="3"/>
            <w:shd w:val="clear" w:color="auto" w:fill="auto"/>
            <w:vAlign w:val="bottom"/>
          </w:tcPr>
          <w:p w14:paraId="5F2D2329" w14:textId="77777777" w:rsidR="00E836FB" w:rsidRDefault="00E836FB">
            <w:pPr>
              <w:rPr>
                <w:rFonts w:ascii="宋体"/>
                <w:vanish/>
              </w:rPr>
            </w:pPr>
          </w:p>
        </w:tc>
        <w:tc>
          <w:tcPr>
            <w:tcW w:w="0" w:type="auto"/>
            <w:gridSpan w:val="3"/>
            <w:shd w:val="clear" w:color="auto" w:fill="auto"/>
            <w:vAlign w:val="bottom"/>
          </w:tcPr>
          <w:p w14:paraId="5F2D232A" w14:textId="77777777" w:rsidR="00E836FB" w:rsidRDefault="00E836FB">
            <w:pPr>
              <w:rPr>
                <w:rFonts w:ascii="宋体"/>
                <w:vanish/>
              </w:rPr>
            </w:pPr>
          </w:p>
        </w:tc>
        <w:tc>
          <w:tcPr>
            <w:tcW w:w="0" w:type="auto"/>
            <w:gridSpan w:val="3"/>
            <w:shd w:val="clear" w:color="auto" w:fill="auto"/>
            <w:vAlign w:val="bottom"/>
          </w:tcPr>
          <w:p w14:paraId="5F2D232B" w14:textId="77777777" w:rsidR="00E836FB" w:rsidRDefault="00E836FB">
            <w:pPr>
              <w:rPr>
                <w:rFonts w:ascii="宋体"/>
                <w:vanish/>
              </w:rPr>
            </w:pPr>
          </w:p>
        </w:tc>
        <w:tc>
          <w:tcPr>
            <w:tcW w:w="0" w:type="auto"/>
            <w:gridSpan w:val="3"/>
            <w:shd w:val="clear" w:color="auto" w:fill="auto"/>
            <w:vAlign w:val="bottom"/>
          </w:tcPr>
          <w:p w14:paraId="5F2D232C" w14:textId="77777777" w:rsidR="00E836FB" w:rsidRDefault="00E836FB">
            <w:pPr>
              <w:rPr>
                <w:rFonts w:ascii="宋体"/>
                <w:vanish/>
              </w:rPr>
            </w:pPr>
          </w:p>
        </w:tc>
        <w:tc>
          <w:tcPr>
            <w:tcW w:w="0" w:type="auto"/>
            <w:gridSpan w:val="3"/>
            <w:shd w:val="clear" w:color="auto" w:fill="auto"/>
            <w:vAlign w:val="bottom"/>
          </w:tcPr>
          <w:p w14:paraId="5F2D232D" w14:textId="77777777" w:rsidR="00E836FB" w:rsidRDefault="00E836FB">
            <w:pPr>
              <w:rPr>
                <w:rFonts w:ascii="宋体"/>
                <w:vanish/>
              </w:rPr>
            </w:pPr>
          </w:p>
        </w:tc>
        <w:tc>
          <w:tcPr>
            <w:tcW w:w="0" w:type="auto"/>
            <w:gridSpan w:val="3"/>
            <w:shd w:val="clear" w:color="auto" w:fill="auto"/>
            <w:vAlign w:val="bottom"/>
          </w:tcPr>
          <w:p w14:paraId="5F2D232E" w14:textId="77777777" w:rsidR="00E836FB" w:rsidRDefault="00E836FB">
            <w:pPr>
              <w:rPr>
                <w:rFonts w:ascii="宋体"/>
                <w:vanish/>
              </w:rPr>
            </w:pPr>
          </w:p>
        </w:tc>
        <w:tc>
          <w:tcPr>
            <w:tcW w:w="0" w:type="auto"/>
            <w:gridSpan w:val="3"/>
            <w:shd w:val="clear" w:color="auto" w:fill="auto"/>
            <w:vAlign w:val="bottom"/>
          </w:tcPr>
          <w:p w14:paraId="5F2D232F" w14:textId="77777777" w:rsidR="00E836FB" w:rsidRDefault="00E836FB">
            <w:pPr>
              <w:rPr>
                <w:rFonts w:ascii="宋体"/>
                <w:vanish/>
              </w:rPr>
            </w:pPr>
          </w:p>
        </w:tc>
        <w:tc>
          <w:tcPr>
            <w:tcW w:w="0" w:type="auto"/>
            <w:gridSpan w:val="3"/>
            <w:shd w:val="clear" w:color="auto" w:fill="auto"/>
            <w:vAlign w:val="bottom"/>
          </w:tcPr>
          <w:p w14:paraId="5F2D2330" w14:textId="77777777" w:rsidR="00E836FB" w:rsidRDefault="00E836FB">
            <w:pPr>
              <w:rPr>
                <w:rFonts w:ascii="宋体"/>
                <w:vanish/>
              </w:rPr>
            </w:pPr>
          </w:p>
        </w:tc>
        <w:tc>
          <w:tcPr>
            <w:tcW w:w="0" w:type="auto"/>
            <w:gridSpan w:val="3"/>
            <w:shd w:val="clear" w:color="auto" w:fill="auto"/>
            <w:vAlign w:val="bottom"/>
          </w:tcPr>
          <w:p w14:paraId="5F2D2331" w14:textId="77777777" w:rsidR="00E836FB" w:rsidRDefault="00E836FB">
            <w:pPr>
              <w:rPr>
                <w:rFonts w:ascii="宋体"/>
                <w:vanish/>
              </w:rPr>
            </w:pPr>
          </w:p>
        </w:tc>
        <w:tc>
          <w:tcPr>
            <w:tcW w:w="0" w:type="auto"/>
            <w:gridSpan w:val="3"/>
            <w:shd w:val="clear" w:color="auto" w:fill="auto"/>
            <w:vAlign w:val="bottom"/>
          </w:tcPr>
          <w:p w14:paraId="5F2D2332" w14:textId="77777777" w:rsidR="00E836FB" w:rsidRDefault="00E836FB">
            <w:pPr>
              <w:rPr>
                <w:rFonts w:ascii="宋体"/>
                <w:vanish/>
              </w:rPr>
            </w:pPr>
          </w:p>
        </w:tc>
        <w:tc>
          <w:tcPr>
            <w:tcW w:w="0" w:type="auto"/>
            <w:gridSpan w:val="3"/>
            <w:shd w:val="clear" w:color="auto" w:fill="auto"/>
            <w:vAlign w:val="bottom"/>
          </w:tcPr>
          <w:p w14:paraId="5F2D2333" w14:textId="77777777" w:rsidR="00E836FB" w:rsidRDefault="00E836FB">
            <w:pPr>
              <w:rPr>
                <w:rFonts w:ascii="宋体"/>
                <w:vanish/>
              </w:rPr>
            </w:pPr>
          </w:p>
        </w:tc>
        <w:tc>
          <w:tcPr>
            <w:tcW w:w="0" w:type="auto"/>
            <w:gridSpan w:val="3"/>
            <w:shd w:val="clear" w:color="auto" w:fill="auto"/>
            <w:vAlign w:val="bottom"/>
          </w:tcPr>
          <w:p w14:paraId="5F2D2334" w14:textId="77777777" w:rsidR="00E836FB" w:rsidRDefault="00E836FB">
            <w:pPr>
              <w:rPr>
                <w:rFonts w:ascii="宋体"/>
                <w:vanish/>
              </w:rPr>
            </w:pPr>
          </w:p>
        </w:tc>
        <w:tc>
          <w:tcPr>
            <w:tcW w:w="0" w:type="auto"/>
            <w:gridSpan w:val="3"/>
            <w:shd w:val="clear" w:color="auto" w:fill="auto"/>
            <w:vAlign w:val="bottom"/>
          </w:tcPr>
          <w:p w14:paraId="5F2D2335" w14:textId="77777777" w:rsidR="00E836FB" w:rsidRDefault="00E836FB">
            <w:pPr>
              <w:rPr>
                <w:rFonts w:ascii="宋体"/>
                <w:vanish/>
              </w:rPr>
            </w:pPr>
          </w:p>
        </w:tc>
        <w:tc>
          <w:tcPr>
            <w:tcW w:w="0" w:type="auto"/>
            <w:gridSpan w:val="3"/>
            <w:shd w:val="clear" w:color="auto" w:fill="auto"/>
            <w:vAlign w:val="bottom"/>
          </w:tcPr>
          <w:p w14:paraId="5F2D2336" w14:textId="77777777" w:rsidR="00E836FB" w:rsidRDefault="00E836FB">
            <w:pPr>
              <w:rPr>
                <w:rFonts w:ascii="宋体"/>
                <w:vanish/>
              </w:rPr>
            </w:pPr>
          </w:p>
        </w:tc>
        <w:tc>
          <w:tcPr>
            <w:tcW w:w="0" w:type="auto"/>
            <w:gridSpan w:val="3"/>
            <w:shd w:val="clear" w:color="auto" w:fill="auto"/>
            <w:vAlign w:val="bottom"/>
          </w:tcPr>
          <w:p w14:paraId="5F2D2337" w14:textId="77777777" w:rsidR="00E836FB" w:rsidRDefault="00E836FB">
            <w:pPr>
              <w:rPr>
                <w:rFonts w:ascii="宋体"/>
                <w:vanish/>
              </w:rPr>
            </w:pPr>
          </w:p>
        </w:tc>
        <w:tc>
          <w:tcPr>
            <w:tcW w:w="0" w:type="auto"/>
            <w:gridSpan w:val="3"/>
            <w:shd w:val="clear" w:color="auto" w:fill="auto"/>
            <w:vAlign w:val="bottom"/>
          </w:tcPr>
          <w:p w14:paraId="5F2D2338" w14:textId="77777777" w:rsidR="00E836FB" w:rsidRDefault="00E836FB">
            <w:pPr>
              <w:rPr>
                <w:rFonts w:ascii="宋体"/>
                <w:vanish/>
              </w:rPr>
            </w:pPr>
          </w:p>
        </w:tc>
      </w:tr>
      <w:tr w:rsidR="00E836FB" w14:paraId="5F2D234A" w14:textId="77777777">
        <w:trPr>
          <w:hidden/>
        </w:trPr>
        <w:tc>
          <w:tcPr>
            <w:tcW w:w="0" w:type="auto"/>
            <w:gridSpan w:val="3"/>
            <w:shd w:val="clear" w:color="auto" w:fill="auto"/>
            <w:vAlign w:val="bottom"/>
          </w:tcPr>
          <w:p w14:paraId="5F2D233A" w14:textId="77777777" w:rsidR="00E836FB" w:rsidRDefault="00E836FB">
            <w:pPr>
              <w:rPr>
                <w:rFonts w:ascii="宋体"/>
                <w:vanish/>
              </w:rPr>
            </w:pPr>
          </w:p>
        </w:tc>
        <w:tc>
          <w:tcPr>
            <w:tcW w:w="0" w:type="auto"/>
            <w:gridSpan w:val="3"/>
            <w:shd w:val="clear" w:color="auto" w:fill="auto"/>
            <w:vAlign w:val="bottom"/>
          </w:tcPr>
          <w:p w14:paraId="5F2D233B" w14:textId="77777777" w:rsidR="00E836FB" w:rsidRDefault="00E836FB">
            <w:pPr>
              <w:rPr>
                <w:rFonts w:ascii="宋体"/>
                <w:vanish/>
              </w:rPr>
            </w:pPr>
          </w:p>
        </w:tc>
        <w:tc>
          <w:tcPr>
            <w:tcW w:w="0" w:type="auto"/>
            <w:gridSpan w:val="3"/>
            <w:shd w:val="clear" w:color="auto" w:fill="auto"/>
            <w:vAlign w:val="bottom"/>
          </w:tcPr>
          <w:p w14:paraId="5F2D233C" w14:textId="77777777" w:rsidR="00E836FB" w:rsidRDefault="00E836FB">
            <w:pPr>
              <w:rPr>
                <w:rFonts w:ascii="宋体"/>
                <w:vanish/>
              </w:rPr>
            </w:pPr>
          </w:p>
        </w:tc>
        <w:tc>
          <w:tcPr>
            <w:tcW w:w="0" w:type="auto"/>
            <w:gridSpan w:val="3"/>
            <w:shd w:val="clear" w:color="auto" w:fill="auto"/>
            <w:vAlign w:val="bottom"/>
          </w:tcPr>
          <w:p w14:paraId="5F2D233D" w14:textId="77777777" w:rsidR="00E836FB" w:rsidRDefault="00E836FB">
            <w:pPr>
              <w:rPr>
                <w:rFonts w:ascii="宋体"/>
                <w:vanish/>
              </w:rPr>
            </w:pPr>
          </w:p>
        </w:tc>
        <w:tc>
          <w:tcPr>
            <w:tcW w:w="0" w:type="auto"/>
            <w:gridSpan w:val="3"/>
            <w:shd w:val="clear" w:color="auto" w:fill="auto"/>
            <w:vAlign w:val="bottom"/>
          </w:tcPr>
          <w:p w14:paraId="5F2D233E" w14:textId="77777777" w:rsidR="00E836FB" w:rsidRDefault="00E836FB">
            <w:pPr>
              <w:rPr>
                <w:rFonts w:ascii="宋体"/>
                <w:vanish/>
              </w:rPr>
            </w:pPr>
          </w:p>
        </w:tc>
        <w:tc>
          <w:tcPr>
            <w:tcW w:w="0" w:type="auto"/>
            <w:gridSpan w:val="3"/>
            <w:shd w:val="clear" w:color="auto" w:fill="auto"/>
            <w:vAlign w:val="bottom"/>
          </w:tcPr>
          <w:p w14:paraId="5F2D233F" w14:textId="77777777" w:rsidR="00E836FB" w:rsidRDefault="00E836FB">
            <w:pPr>
              <w:rPr>
                <w:rFonts w:ascii="宋体"/>
                <w:vanish/>
              </w:rPr>
            </w:pPr>
          </w:p>
        </w:tc>
        <w:tc>
          <w:tcPr>
            <w:tcW w:w="0" w:type="auto"/>
            <w:gridSpan w:val="3"/>
            <w:shd w:val="clear" w:color="auto" w:fill="auto"/>
            <w:vAlign w:val="bottom"/>
          </w:tcPr>
          <w:p w14:paraId="5F2D2340" w14:textId="77777777" w:rsidR="00E836FB" w:rsidRDefault="00E836FB">
            <w:pPr>
              <w:rPr>
                <w:rFonts w:ascii="宋体"/>
                <w:vanish/>
              </w:rPr>
            </w:pPr>
          </w:p>
        </w:tc>
        <w:tc>
          <w:tcPr>
            <w:tcW w:w="0" w:type="auto"/>
            <w:gridSpan w:val="3"/>
            <w:shd w:val="clear" w:color="auto" w:fill="auto"/>
            <w:vAlign w:val="bottom"/>
          </w:tcPr>
          <w:p w14:paraId="5F2D2341" w14:textId="77777777" w:rsidR="00E836FB" w:rsidRDefault="00E836FB">
            <w:pPr>
              <w:rPr>
                <w:rFonts w:ascii="宋体"/>
                <w:vanish/>
              </w:rPr>
            </w:pPr>
          </w:p>
        </w:tc>
        <w:tc>
          <w:tcPr>
            <w:tcW w:w="0" w:type="auto"/>
            <w:gridSpan w:val="3"/>
            <w:shd w:val="clear" w:color="auto" w:fill="auto"/>
            <w:vAlign w:val="bottom"/>
          </w:tcPr>
          <w:p w14:paraId="5F2D2342" w14:textId="77777777" w:rsidR="00E836FB" w:rsidRDefault="00E836FB">
            <w:pPr>
              <w:rPr>
                <w:rFonts w:ascii="宋体"/>
                <w:vanish/>
              </w:rPr>
            </w:pPr>
          </w:p>
        </w:tc>
        <w:tc>
          <w:tcPr>
            <w:tcW w:w="0" w:type="auto"/>
            <w:gridSpan w:val="3"/>
            <w:shd w:val="clear" w:color="auto" w:fill="auto"/>
            <w:vAlign w:val="bottom"/>
          </w:tcPr>
          <w:p w14:paraId="5F2D2343" w14:textId="77777777" w:rsidR="00E836FB" w:rsidRDefault="00E836FB">
            <w:pPr>
              <w:rPr>
                <w:rFonts w:ascii="宋体"/>
                <w:vanish/>
              </w:rPr>
            </w:pPr>
          </w:p>
        </w:tc>
        <w:tc>
          <w:tcPr>
            <w:tcW w:w="0" w:type="auto"/>
            <w:gridSpan w:val="3"/>
            <w:shd w:val="clear" w:color="auto" w:fill="auto"/>
            <w:vAlign w:val="bottom"/>
          </w:tcPr>
          <w:p w14:paraId="5F2D2344" w14:textId="77777777" w:rsidR="00E836FB" w:rsidRDefault="00E836FB">
            <w:pPr>
              <w:rPr>
                <w:rFonts w:ascii="宋体"/>
                <w:vanish/>
              </w:rPr>
            </w:pPr>
          </w:p>
        </w:tc>
        <w:tc>
          <w:tcPr>
            <w:tcW w:w="0" w:type="auto"/>
            <w:gridSpan w:val="3"/>
            <w:shd w:val="clear" w:color="auto" w:fill="auto"/>
            <w:vAlign w:val="bottom"/>
          </w:tcPr>
          <w:p w14:paraId="5F2D2345" w14:textId="77777777" w:rsidR="00E836FB" w:rsidRDefault="00E836FB">
            <w:pPr>
              <w:rPr>
                <w:rFonts w:ascii="宋体"/>
                <w:vanish/>
              </w:rPr>
            </w:pPr>
          </w:p>
        </w:tc>
        <w:tc>
          <w:tcPr>
            <w:tcW w:w="0" w:type="auto"/>
            <w:gridSpan w:val="3"/>
            <w:shd w:val="clear" w:color="auto" w:fill="auto"/>
            <w:vAlign w:val="bottom"/>
          </w:tcPr>
          <w:p w14:paraId="5F2D2346" w14:textId="77777777" w:rsidR="00E836FB" w:rsidRDefault="00E836FB">
            <w:pPr>
              <w:rPr>
                <w:rFonts w:ascii="宋体"/>
                <w:vanish/>
              </w:rPr>
            </w:pPr>
          </w:p>
        </w:tc>
        <w:tc>
          <w:tcPr>
            <w:tcW w:w="0" w:type="auto"/>
            <w:gridSpan w:val="3"/>
            <w:shd w:val="clear" w:color="auto" w:fill="auto"/>
            <w:vAlign w:val="bottom"/>
          </w:tcPr>
          <w:p w14:paraId="5F2D2347" w14:textId="77777777" w:rsidR="00E836FB" w:rsidRDefault="00E836FB">
            <w:pPr>
              <w:rPr>
                <w:rFonts w:ascii="宋体"/>
                <w:vanish/>
              </w:rPr>
            </w:pPr>
          </w:p>
        </w:tc>
        <w:tc>
          <w:tcPr>
            <w:tcW w:w="0" w:type="auto"/>
            <w:gridSpan w:val="3"/>
            <w:shd w:val="clear" w:color="auto" w:fill="auto"/>
            <w:vAlign w:val="bottom"/>
          </w:tcPr>
          <w:p w14:paraId="5F2D2348" w14:textId="77777777" w:rsidR="00E836FB" w:rsidRDefault="00E836FB">
            <w:pPr>
              <w:rPr>
                <w:rFonts w:ascii="宋体"/>
                <w:vanish/>
              </w:rPr>
            </w:pPr>
          </w:p>
        </w:tc>
        <w:tc>
          <w:tcPr>
            <w:tcW w:w="0" w:type="auto"/>
            <w:gridSpan w:val="3"/>
            <w:shd w:val="clear" w:color="auto" w:fill="auto"/>
            <w:vAlign w:val="bottom"/>
          </w:tcPr>
          <w:p w14:paraId="5F2D2349" w14:textId="77777777" w:rsidR="00E836FB" w:rsidRDefault="00E836FB">
            <w:pPr>
              <w:rPr>
                <w:rFonts w:ascii="宋体"/>
                <w:vanish/>
              </w:rPr>
            </w:pPr>
          </w:p>
        </w:tc>
      </w:tr>
      <w:tr w:rsidR="00E836FB" w14:paraId="5F2D235B" w14:textId="77777777">
        <w:trPr>
          <w:hidden/>
        </w:trPr>
        <w:tc>
          <w:tcPr>
            <w:tcW w:w="0" w:type="auto"/>
            <w:gridSpan w:val="3"/>
            <w:shd w:val="clear" w:color="auto" w:fill="auto"/>
            <w:vAlign w:val="bottom"/>
          </w:tcPr>
          <w:p w14:paraId="5F2D234B" w14:textId="77777777" w:rsidR="00E836FB" w:rsidRDefault="00E836FB">
            <w:pPr>
              <w:rPr>
                <w:rFonts w:ascii="宋体"/>
                <w:vanish/>
              </w:rPr>
            </w:pPr>
          </w:p>
        </w:tc>
        <w:tc>
          <w:tcPr>
            <w:tcW w:w="0" w:type="auto"/>
            <w:gridSpan w:val="3"/>
            <w:shd w:val="clear" w:color="auto" w:fill="auto"/>
            <w:vAlign w:val="bottom"/>
          </w:tcPr>
          <w:p w14:paraId="5F2D234C" w14:textId="77777777" w:rsidR="00E836FB" w:rsidRDefault="00E836FB">
            <w:pPr>
              <w:rPr>
                <w:rFonts w:ascii="宋体"/>
                <w:vanish/>
              </w:rPr>
            </w:pPr>
          </w:p>
        </w:tc>
        <w:tc>
          <w:tcPr>
            <w:tcW w:w="0" w:type="auto"/>
            <w:gridSpan w:val="3"/>
            <w:shd w:val="clear" w:color="auto" w:fill="auto"/>
            <w:vAlign w:val="bottom"/>
          </w:tcPr>
          <w:p w14:paraId="5F2D234D" w14:textId="77777777" w:rsidR="00E836FB" w:rsidRDefault="00E836FB">
            <w:pPr>
              <w:rPr>
                <w:rFonts w:ascii="宋体"/>
                <w:vanish/>
              </w:rPr>
            </w:pPr>
          </w:p>
        </w:tc>
        <w:tc>
          <w:tcPr>
            <w:tcW w:w="0" w:type="auto"/>
            <w:gridSpan w:val="3"/>
            <w:shd w:val="clear" w:color="auto" w:fill="auto"/>
            <w:vAlign w:val="bottom"/>
          </w:tcPr>
          <w:p w14:paraId="5F2D234E" w14:textId="77777777" w:rsidR="00E836FB" w:rsidRDefault="00E836FB">
            <w:pPr>
              <w:rPr>
                <w:rFonts w:ascii="宋体"/>
                <w:vanish/>
              </w:rPr>
            </w:pPr>
          </w:p>
        </w:tc>
        <w:tc>
          <w:tcPr>
            <w:tcW w:w="0" w:type="auto"/>
            <w:gridSpan w:val="3"/>
            <w:shd w:val="clear" w:color="auto" w:fill="auto"/>
            <w:vAlign w:val="bottom"/>
          </w:tcPr>
          <w:p w14:paraId="5F2D234F" w14:textId="77777777" w:rsidR="00E836FB" w:rsidRDefault="00E836FB">
            <w:pPr>
              <w:rPr>
                <w:rFonts w:ascii="宋体"/>
                <w:vanish/>
              </w:rPr>
            </w:pPr>
          </w:p>
        </w:tc>
        <w:tc>
          <w:tcPr>
            <w:tcW w:w="0" w:type="auto"/>
            <w:gridSpan w:val="3"/>
            <w:shd w:val="clear" w:color="auto" w:fill="auto"/>
            <w:vAlign w:val="bottom"/>
          </w:tcPr>
          <w:p w14:paraId="5F2D2350" w14:textId="77777777" w:rsidR="00E836FB" w:rsidRDefault="00E836FB">
            <w:pPr>
              <w:rPr>
                <w:rFonts w:ascii="宋体"/>
                <w:vanish/>
              </w:rPr>
            </w:pPr>
          </w:p>
        </w:tc>
        <w:tc>
          <w:tcPr>
            <w:tcW w:w="0" w:type="auto"/>
            <w:gridSpan w:val="3"/>
            <w:shd w:val="clear" w:color="auto" w:fill="auto"/>
            <w:vAlign w:val="bottom"/>
          </w:tcPr>
          <w:p w14:paraId="5F2D2351" w14:textId="77777777" w:rsidR="00E836FB" w:rsidRDefault="00E836FB">
            <w:pPr>
              <w:rPr>
                <w:rFonts w:ascii="宋体"/>
                <w:vanish/>
              </w:rPr>
            </w:pPr>
          </w:p>
        </w:tc>
        <w:tc>
          <w:tcPr>
            <w:tcW w:w="0" w:type="auto"/>
            <w:gridSpan w:val="3"/>
            <w:shd w:val="clear" w:color="auto" w:fill="auto"/>
            <w:vAlign w:val="bottom"/>
          </w:tcPr>
          <w:p w14:paraId="5F2D2352" w14:textId="77777777" w:rsidR="00E836FB" w:rsidRDefault="00E836FB">
            <w:pPr>
              <w:rPr>
                <w:rFonts w:ascii="宋体"/>
                <w:vanish/>
              </w:rPr>
            </w:pPr>
          </w:p>
        </w:tc>
        <w:tc>
          <w:tcPr>
            <w:tcW w:w="0" w:type="auto"/>
            <w:gridSpan w:val="3"/>
            <w:shd w:val="clear" w:color="auto" w:fill="auto"/>
            <w:vAlign w:val="bottom"/>
          </w:tcPr>
          <w:p w14:paraId="5F2D2353" w14:textId="77777777" w:rsidR="00E836FB" w:rsidRDefault="00E836FB">
            <w:pPr>
              <w:rPr>
                <w:rFonts w:ascii="宋体"/>
                <w:vanish/>
              </w:rPr>
            </w:pPr>
          </w:p>
        </w:tc>
        <w:tc>
          <w:tcPr>
            <w:tcW w:w="0" w:type="auto"/>
            <w:gridSpan w:val="3"/>
            <w:shd w:val="clear" w:color="auto" w:fill="auto"/>
            <w:vAlign w:val="bottom"/>
          </w:tcPr>
          <w:p w14:paraId="5F2D2354" w14:textId="77777777" w:rsidR="00E836FB" w:rsidRDefault="00E836FB">
            <w:pPr>
              <w:rPr>
                <w:rFonts w:ascii="宋体"/>
                <w:vanish/>
              </w:rPr>
            </w:pPr>
          </w:p>
        </w:tc>
        <w:tc>
          <w:tcPr>
            <w:tcW w:w="0" w:type="auto"/>
            <w:gridSpan w:val="3"/>
            <w:shd w:val="clear" w:color="auto" w:fill="auto"/>
            <w:vAlign w:val="bottom"/>
          </w:tcPr>
          <w:p w14:paraId="5F2D2355" w14:textId="77777777" w:rsidR="00E836FB" w:rsidRDefault="00E836FB">
            <w:pPr>
              <w:rPr>
                <w:rFonts w:ascii="宋体"/>
                <w:vanish/>
              </w:rPr>
            </w:pPr>
          </w:p>
        </w:tc>
        <w:tc>
          <w:tcPr>
            <w:tcW w:w="0" w:type="auto"/>
            <w:gridSpan w:val="3"/>
            <w:shd w:val="clear" w:color="auto" w:fill="auto"/>
            <w:vAlign w:val="bottom"/>
          </w:tcPr>
          <w:p w14:paraId="5F2D2356" w14:textId="77777777" w:rsidR="00E836FB" w:rsidRDefault="00E836FB">
            <w:pPr>
              <w:rPr>
                <w:rFonts w:ascii="宋体"/>
                <w:vanish/>
              </w:rPr>
            </w:pPr>
          </w:p>
        </w:tc>
        <w:tc>
          <w:tcPr>
            <w:tcW w:w="0" w:type="auto"/>
            <w:gridSpan w:val="3"/>
            <w:shd w:val="clear" w:color="auto" w:fill="auto"/>
            <w:vAlign w:val="bottom"/>
          </w:tcPr>
          <w:p w14:paraId="5F2D2357" w14:textId="77777777" w:rsidR="00E836FB" w:rsidRDefault="00E836FB">
            <w:pPr>
              <w:rPr>
                <w:rFonts w:ascii="宋体"/>
                <w:vanish/>
              </w:rPr>
            </w:pPr>
          </w:p>
        </w:tc>
        <w:tc>
          <w:tcPr>
            <w:tcW w:w="0" w:type="auto"/>
            <w:gridSpan w:val="3"/>
            <w:shd w:val="clear" w:color="auto" w:fill="auto"/>
            <w:vAlign w:val="bottom"/>
          </w:tcPr>
          <w:p w14:paraId="5F2D2358" w14:textId="77777777" w:rsidR="00E836FB" w:rsidRDefault="00E836FB">
            <w:pPr>
              <w:rPr>
                <w:rFonts w:ascii="宋体"/>
                <w:vanish/>
              </w:rPr>
            </w:pPr>
          </w:p>
        </w:tc>
        <w:tc>
          <w:tcPr>
            <w:tcW w:w="0" w:type="auto"/>
            <w:gridSpan w:val="3"/>
            <w:shd w:val="clear" w:color="auto" w:fill="auto"/>
            <w:vAlign w:val="bottom"/>
          </w:tcPr>
          <w:p w14:paraId="5F2D2359" w14:textId="77777777" w:rsidR="00E836FB" w:rsidRDefault="00E836FB">
            <w:pPr>
              <w:rPr>
                <w:rFonts w:ascii="宋体"/>
                <w:vanish/>
              </w:rPr>
            </w:pPr>
          </w:p>
        </w:tc>
        <w:tc>
          <w:tcPr>
            <w:tcW w:w="0" w:type="auto"/>
            <w:gridSpan w:val="3"/>
            <w:shd w:val="clear" w:color="auto" w:fill="auto"/>
            <w:vAlign w:val="bottom"/>
          </w:tcPr>
          <w:p w14:paraId="5F2D235A" w14:textId="77777777" w:rsidR="00E836FB" w:rsidRDefault="00E836FB">
            <w:pPr>
              <w:rPr>
                <w:rFonts w:ascii="宋体"/>
                <w:vanish/>
              </w:rPr>
            </w:pPr>
          </w:p>
        </w:tc>
      </w:tr>
      <w:tr w:rsidR="00E836FB" w14:paraId="5F2D236C" w14:textId="77777777">
        <w:trPr>
          <w:hidden/>
        </w:trPr>
        <w:tc>
          <w:tcPr>
            <w:tcW w:w="0" w:type="auto"/>
            <w:gridSpan w:val="3"/>
            <w:shd w:val="clear" w:color="auto" w:fill="auto"/>
            <w:vAlign w:val="bottom"/>
          </w:tcPr>
          <w:p w14:paraId="5F2D235C" w14:textId="77777777" w:rsidR="00E836FB" w:rsidRDefault="00E836FB">
            <w:pPr>
              <w:rPr>
                <w:rFonts w:ascii="宋体"/>
                <w:vanish/>
              </w:rPr>
            </w:pPr>
          </w:p>
        </w:tc>
        <w:tc>
          <w:tcPr>
            <w:tcW w:w="0" w:type="auto"/>
            <w:gridSpan w:val="3"/>
            <w:shd w:val="clear" w:color="auto" w:fill="auto"/>
            <w:vAlign w:val="bottom"/>
          </w:tcPr>
          <w:p w14:paraId="5F2D235D" w14:textId="77777777" w:rsidR="00E836FB" w:rsidRDefault="00E836FB">
            <w:pPr>
              <w:rPr>
                <w:rFonts w:ascii="宋体"/>
                <w:vanish/>
              </w:rPr>
            </w:pPr>
          </w:p>
        </w:tc>
        <w:tc>
          <w:tcPr>
            <w:tcW w:w="0" w:type="auto"/>
            <w:gridSpan w:val="3"/>
            <w:shd w:val="clear" w:color="auto" w:fill="auto"/>
            <w:vAlign w:val="bottom"/>
          </w:tcPr>
          <w:p w14:paraId="5F2D235E" w14:textId="77777777" w:rsidR="00E836FB" w:rsidRDefault="00E836FB">
            <w:pPr>
              <w:rPr>
                <w:rFonts w:ascii="宋体"/>
                <w:vanish/>
              </w:rPr>
            </w:pPr>
          </w:p>
        </w:tc>
        <w:tc>
          <w:tcPr>
            <w:tcW w:w="0" w:type="auto"/>
            <w:gridSpan w:val="3"/>
            <w:shd w:val="clear" w:color="auto" w:fill="auto"/>
            <w:vAlign w:val="bottom"/>
          </w:tcPr>
          <w:p w14:paraId="5F2D235F" w14:textId="77777777" w:rsidR="00E836FB" w:rsidRDefault="00E836FB">
            <w:pPr>
              <w:rPr>
                <w:rFonts w:ascii="宋体"/>
                <w:vanish/>
              </w:rPr>
            </w:pPr>
          </w:p>
        </w:tc>
        <w:tc>
          <w:tcPr>
            <w:tcW w:w="0" w:type="auto"/>
            <w:gridSpan w:val="3"/>
            <w:shd w:val="clear" w:color="auto" w:fill="auto"/>
            <w:vAlign w:val="bottom"/>
          </w:tcPr>
          <w:p w14:paraId="5F2D2360" w14:textId="77777777" w:rsidR="00E836FB" w:rsidRDefault="00E836FB">
            <w:pPr>
              <w:rPr>
                <w:rFonts w:ascii="宋体"/>
                <w:vanish/>
              </w:rPr>
            </w:pPr>
          </w:p>
        </w:tc>
        <w:tc>
          <w:tcPr>
            <w:tcW w:w="0" w:type="auto"/>
            <w:gridSpan w:val="3"/>
            <w:shd w:val="clear" w:color="auto" w:fill="auto"/>
            <w:vAlign w:val="bottom"/>
          </w:tcPr>
          <w:p w14:paraId="5F2D2361" w14:textId="77777777" w:rsidR="00E836FB" w:rsidRDefault="00E836FB">
            <w:pPr>
              <w:rPr>
                <w:rFonts w:ascii="宋体"/>
                <w:vanish/>
              </w:rPr>
            </w:pPr>
          </w:p>
        </w:tc>
        <w:tc>
          <w:tcPr>
            <w:tcW w:w="0" w:type="auto"/>
            <w:gridSpan w:val="3"/>
            <w:shd w:val="clear" w:color="auto" w:fill="auto"/>
            <w:vAlign w:val="bottom"/>
          </w:tcPr>
          <w:p w14:paraId="5F2D2362" w14:textId="77777777" w:rsidR="00E836FB" w:rsidRDefault="00E836FB">
            <w:pPr>
              <w:rPr>
                <w:rFonts w:ascii="宋体"/>
                <w:vanish/>
              </w:rPr>
            </w:pPr>
          </w:p>
        </w:tc>
        <w:tc>
          <w:tcPr>
            <w:tcW w:w="0" w:type="auto"/>
            <w:gridSpan w:val="3"/>
            <w:shd w:val="clear" w:color="auto" w:fill="auto"/>
            <w:vAlign w:val="bottom"/>
          </w:tcPr>
          <w:p w14:paraId="5F2D2363" w14:textId="77777777" w:rsidR="00E836FB" w:rsidRDefault="00E836FB">
            <w:pPr>
              <w:rPr>
                <w:rFonts w:ascii="宋体"/>
                <w:vanish/>
              </w:rPr>
            </w:pPr>
          </w:p>
        </w:tc>
        <w:tc>
          <w:tcPr>
            <w:tcW w:w="0" w:type="auto"/>
            <w:gridSpan w:val="3"/>
            <w:shd w:val="clear" w:color="auto" w:fill="auto"/>
            <w:vAlign w:val="bottom"/>
          </w:tcPr>
          <w:p w14:paraId="5F2D2364" w14:textId="77777777" w:rsidR="00E836FB" w:rsidRDefault="00E836FB">
            <w:pPr>
              <w:rPr>
                <w:rFonts w:ascii="宋体"/>
                <w:vanish/>
              </w:rPr>
            </w:pPr>
          </w:p>
        </w:tc>
        <w:tc>
          <w:tcPr>
            <w:tcW w:w="0" w:type="auto"/>
            <w:gridSpan w:val="3"/>
            <w:shd w:val="clear" w:color="auto" w:fill="auto"/>
            <w:vAlign w:val="bottom"/>
          </w:tcPr>
          <w:p w14:paraId="5F2D2365" w14:textId="77777777" w:rsidR="00E836FB" w:rsidRDefault="00E836FB">
            <w:pPr>
              <w:rPr>
                <w:rFonts w:ascii="宋体"/>
                <w:vanish/>
              </w:rPr>
            </w:pPr>
          </w:p>
        </w:tc>
        <w:tc>
          <w:tcPr>
            <w:tcW w:w="0" w:type="auto"/>
            <w:gridSpan w:val="3"/>
            <w:shd w:val="clear" w:color="auto" w:fill="auto"/>
            <w:vAlign w:val="bottom"/>
          </w:tcPr>
          <w:p w14:paraId="5F2D2366" w14:textId="77777777" w:rsidR="00E836FB" w:rsidRDefault="00E836FB">
            <w:pPr>
              <w:rPr>
                <w:rFonts w:ascii="宋体"/>
                <w:vanish/>
              </w:rPr>
            </w:pPr>
          </w:p>
        </w:tc>
        <w:tc>
          <w:tcPr>
            <w:tcW w:w="0" w:type="auto"/>
            <w:gridSpan w:val="3"/>
            <w:shd w:val="clear" w:color="auto" w:fill="auto"/>
            <w:vAlign w:val="bottom"/>
          </w:tcPr>
          <w:p w14:paraId="5F2D2367" w14:textId="77777777" w:rsidR="00E836FB" w:rsidRDefault="00E836FB">
            <w:pPr>
              <w:rPr>
                <w:rFonts w:ascii="宋体"/>
                <w:vanish/>
              </w:rPr>
            </w:pPr>
          </w:p>
        </w:tc>
        <w:tc>
          <w:tcPr>
            <w:tcW w:w="0" w:type="auto"/>
            <w:gridSpan w:val="3"/>
            <w:shd w:val="clear" w:color="auto" w:fill="auto"/>
            <w:vAlign w:val="bottom"/>
          </w:tcPr>
          <w:p w14:paraId="5F2D2368" w14:textId="77777777" w:rsidR="00E836FB" w:rsidRDefault="00E836FB">
            <w:pPr>
              <w:rPr>
                <w:rFonts w:ascii="宋体"/>
                <w:vanish/>
              </w:rPr>
            </w:pPr>
          </w:p>
        </w:tc>
        <w:tc>
          <w:tcPr>
            <w:tcW w:w="0" w:type="auto"/>
            <w:gridSpan w:val="3"/>
            <w:shd w:val="clear" w:color="auto" w:fill="auto"/>
            <w:vAlign w:val="bottom"/>
          </w:tcPr>
          <w:p w14:paraId="5F2D2369" w14:textId="77777777" w:rsidR="00E836FB" w:rsidRDefault="00E836FB">
            <w:pPr>
              <w:rPr>
                <w:rFonts w:ascii="宋体"/>
                <w:vanish/>
              </w:rPr>
            </w:pPr>
          </w:p>
        </w:tc>
        <w:tc>
          <w:tcPr>
            <w:tcW w:w="0" w:type="auto"/>
            <w:gridSpan w:val="3"/>
            <w:shd w:val="clear" w:color="auto" w:fill="auto"/>
            <w:vAlign w:val="bottom"/>
          </w:tcPr>
          <w:p w14:paraId="5F2D236A" w14:textId="77777777" w:rsidR="00E836FB" w:rsidRDefault="00E836FB">
            <w:pPr>
              <w:rPr>
                <w:rFonts w:ascii="宋体"/>
                <w:vanish/>
              </w:rPr>
            </w:pPr>
          </w:p>
        </w:tc>
        <w:tc>
          <w:tcPr>
            <w:tcW w:w="0" w:type="auto"/>
            <w:gridSpan w:val="3"/>
            <w:shd w:val="clear" w:color="auto" w:fill="auto"/>
            <w:vAlign w:val="bottom"/>
          </w:tcPr>
          <w:p w14:paraId="5F2D236B" w14:textId="77777777" w:rsidR="00E836FB" w:rsidRDefault="00E836FB">
            <w:pPr>
              <w:rPr>
                <w:rFonts w:ascii="宋体"/>
                <w:vanish/>
              </w:rPr>
            </w:pPr>
          </w:p>
        </w:tc>
      </w:tr>
      <w:tr w:rsidR="00E836FB" w14:paraId="5F2D237D" w14:textId="77777777">
        <w:trPr>
          <w:hidden/>
        </w:trPr>
        <w:tc>
          <w:tcPr>
            <w:tcW w:w="0" w:type="auto"/>
            <w:gridSpan w:val="3"/>
            <w:shd w:val="clear" w:color="auto" w:fill="auto"/>
            <w:vAlign w:val="bottom"/>
          </w:tcPr>
          <w:p w14:paraId="5F2D236D" w14:textId="77777777" w:rsidR="00E836FB" w:rsidRDefault="00E836FB">
            <w:pPr>
              <w:rPr>
                <w:rFonts w:ascii="宋体"/>
                <w:vanish/>
              </w:rPr>
            </w:pPr>
          </w:p>
        </w:tc>
        <w:tc>
          <w:tcPr>
            <w:tcW w:w="0" w:type="auto"/>
            <w:gridSpan w:val="3"/>
            <w:shd w:val="clear" w:color="auto" w:fill="auto"/>
            <w:vAlign w:val="bottom"/>
          </w:tcPr>
          <w:p w14:paraId="5F2D236E" w14:textId="77777777" w:rsidR="00E836FB" w:rsidRDefault="00E836FB">
            <w:pPr>
              <w:rPr>
                <w:rFonts w:ascii="宋体"/>
                <w:vanish/>
              </w:rPr>
            </w:pPr>
          </w:p>
        </w:tc>
        <w:tc>
          <w:tcPr>
            <w:tcW w:w="0" w:type="auto"/>
            <w:gridSpan w:val="3"/>
            <w:shd w:val="clear" w:color="auto" w:fill="auto"/>
            <w:vAlign w:val="bottom"/>
          </w:tcPr>
          <w:p w14:paraId="5F2D236F" w14:textId="77777777" w:rsidR="00E836FB" w:rsidRDefault="00E836FB">
            <w:pPr>
              <w:rPr>
                <w:rFonts w:ascii="宋体"/>
                <w:vanish/>
              </w:rPr>
            </w:pPr>
          </w:p>
        </w:tc>
        <w:tc>
          <w:tcPr>
            <w:tcW w:w="0" w:type="auto"/>
            <w:gridSpan w:val="3"/>
            <w:shd w:val="clear" w:color="auto" w:fill="auto"/>
            <w:vAlign w:val="bottom"/>
          </w:tcPr>
          <w:p w14:paraId="5F2D2370" w14:textId="77777777" w:rsidR="00E836FB" w:rsidRDefault="00E836FB">
            <w:pPr>
              <w:rPr>
                <w:rFonts w:ascii="宋体"/>
                <w:vanish/>
              </w:rPr>
            </w:pPr>
          </w:p>
        </w:tc>
        <w:tc>
          <w:tcPr>
            <w:tcW w:w="0" w:type="auto"/>
            <w:gridSpan w:val="3"/>
            <w:shd w:val="clear" w:color="auto" w:fill="auto"/>
            <w:vAlign w:val="bottom"/>
          </w:tcPr>
          <w:p w14:paraId="5F2D2371" w14:textId="77777777" w:rsidR="00E836FB" w:rsidRDefault="00E836FB">
            <w:pPr>
              <w:rPr>
                <w:rFonts w:ascii="宋体"/>
                <w:vanish/>
              </w:rPr>
            </w:pPr>
          </w:p>
        </w:tc>
        <w:tc>
          <w:tcPr>
            <w:tcW w:w="0" w:type="auto"/>
            <w:gridSpan w:val="3"/>
            <w:shd w:val="clear" w:color="auto" w:fill="auto"/>
            <w:vAlign w:val="bottom"/>
          </w:tcPr>
          <w:p w14:paraId="5F2D2372" w14:textId="77777777" w:rsidR="00E836FB" w:rsidRDefault="00E836FB">
            <w:pPr>
              <w:rPr>
                <w:rFonts w:ascii="宋体"/>
                <w:vanish/>
              </w:rPr>
            </w:pPr>
          </w:p>
        </w:tc>
        <w:tc>
          <w:tcPr>
            <w:tcW w:w="0" w:type="auto"/>
            <w:gridSpan w:val="3"/>
            <w:shd w:val="clear" w:color="auto" w:fill="auto"/>
            <w:vAlign w:val="bottom"/>
          </w:tcPr>
          <w:p w14:paraId="5F2D2373" w14:textId="77777777" w:rsidR="00E836FB" w:rsidRDefault="00E836FB">
            <w:pPr>
              <w:rPr>
                <w:rFonts w:ascii="宋体"/>
                <w:vanish/>
              </w:rPr>
            </w:pPr>
          </w:p>
        </w:tc>
        <w:tc>
          <w:tcPr>
            <w:tcW w:w="0" w:type="auto"/>
            <w:gridSpan w:val="3"/>
            <w:shd w:val="clear" w:color="auto" w:fill="auto"/>
            <w:vAlign w:val="bottom"/>
          </w:tcPr>
          <w:p w14:paraId="5F2D2374" w14:textId="77777777" w:rsidR="00E836FB" w:rsidRDefault="00E836FB">
            <w:pPr>
              <w:rPr>
                <w:rFonts w:ascii="宋体"/>
                <w:vanish/>
              </w:rPr>
            </w:pPr>
          </w:p>
        </w:tc>
        <w:tc>
          <w:tcPr>
            <w:tcW w:w="0" w:type="auto"/>
            <w:gridSpan w:val="3"/>
            <w:shd w:val="clear" w:color="auto" w:fill="auto"/>
            <w:vAlign w:val="bottom"/>
          </w:tcPr>
          <w:p w14:paraId="5F2D2375" w14:textId="77777777" w:rsidR="00E836FB" w:rsidRDefault="00E836FB">
            <w:pPr>
              <w:rPr>
                <w:rFonts w:ascii="宋体"/>
                <w:vanish/>
              </w:rPr>
            </w:pPr>
          </w:p>
        </w:tc>
        <w:tc>
          <w:tcPr>
            <w:tcW w:w="0" w:type="auto"/>
            <w:gridSpan w:val="3"/>
            <w:shd w:val="clear" w:color="auto" w:fill="auto"/>
            <w:vAlign w:val="bottom"/>
          </w:tcPr>
          <w:p w14:paraId="5F2D2376" w14:textId="77777777" w:rsidR="00E836FB" w:rsidRDefault="00E836FB">
            <w:pPr>
              <w:rPr>
                <w:rFonts w:ascii="宋体"/>
                <w:vanish/>
              </w:rPr>
            </w:pPr>
          </w:p>
        </w:tc>
        <w:tc>
          <w:tcPr>
            <w:tcW w:w="0" w:type="auto"/>
            <w:gridSpan w:val="3"/>
            <w:shd w:val="clear" w:color="auto" w:fill="auto"/>
            <w:vAlign w:val="bottom"/>
          </w:tcPr>
          <w:p w14:paraId="5F2D2377" w14:textId="77777777" w:rsidR="00E836FB" w:rsidRDefault="00E836FB">
            <w:pPr>
              <w:rPr>
                <w:rFonts w:ascii="宋体"/>
                <w:vanish/>
              </w:rPr>
            </w:pPr>
          </w:p>
        </w:tc>
        <w:tc>
          <w:tcPr>
            <w:tcW w:w="0" w:type="auto"/>
            <w:gridSpan w:val="3"/>
            <w:shd w:val="clear" w:color="auto" w:fill="auto"/>
            <w:vAlign w:val="bottom"/>
          </w:tcPr>
          <w:p w14:paraId="5F2D2378" w14:textId="77777777" w:rsidR="00E836FB" w:rsidRDefault="00E836FB">
            <w:pPr>
              <w:rPr>
                <w:rFonts w:ascii="宋体"/>
                <w:vanish/>
              </w:rPr>
            </w:pPr>
          </w:p>
        </w:tc>
        <w:tc>
          <w:tcPr>
            <w:tcW w:w="0" w:type="auto"/>
            <w:gridSpan w:val="3"/>
            <w:shd w:val="clear" w:color="auto" w:fill="auto"/>
            <w:vAlign w:val="bottom"/>
          </w:tcPr>
          <w:p w14:paraId="5F2D2379" w14:textId="77777777" w:rsidR="00E836FB" w:rsidRDefault="00E836FB">
            <w:pPr>
              <w:rPr>
                <w:rFonts w:ascii="宋体"/>
                <w:vanish/>
              </w:rPr>
            </w:pPr>
          </w:p>
        </w:tc>
        <w:tc>
          <w:tcPr>
            <w:tcW w:w="0" w:type="auto"/>
            <w:gridSpan w:val="3"/>
            <w:shd w:val="clear" w:color="auto" w:fill="auto"/>
            <w:vAlign w:val="bottom"/>
          </w:tcPr>
          <w:p w14:paraId="5F2D237A" w14:textId="77777777" w:rsidR="00E836FB" w:rsidRDefault="00E836FB">
            <w:pPr>
              <w:rPr>
                <w:rFonts w:ascii="宋体"/>
                <w:vanish/>
              </w:rPr>
            </w:pPr>
          </w:p>
        </w:tc>
        <w:tc>
          <w:tcPr>
            <w:tcW w:w="0" w:type="auto"/>
            <w:gridSpan w:val="3"/>
            <w:shd w:val="clear" w:color="auto" w:fill="auto"/>
            <w:vAlign w:val="bottom"/>
          </w:tcPr>
          <w:p w14:paraId="5F2D237B" w14:textId="77777777" w:rsidR="00E836FB" w:rsidRDefault="00E836FB">
            <w:pPr>
              <w:rPr>
                <w:rFonts w:ascii="宋体"/>
                <w:vanish/>
              </w:rPr>
            </w:pPr>
          </w:p>
        </w:tc>
        <w:tc>
          <w:tcPr>
            <w:tcW w:w="0" w:type="auto"/>
            <w:gridSpan w:val="3"/>
            <w:shd w:val="clear" w:color="auto" w:fill="auto"/>
            <w:vAlign w:val="bottom"/>
          </w:tcPr>
          <w:p w14:paraId="5F2D237C" w14:textId="77777777" w:rsidR="00E836FB" w:rsidRDefault="00E836FB">
            <w:pPr>
              <w:rPr>
                <w:rFonts w:ascii="宋体"/>
                <w:vanish/>
              </w:rPr>
            </w:pPr>
          </w:p>
        </w:tc>
      </w:tr>
      <w:tr w:rsidR="00E836FB" w14:paraId="5F2D238E" w14:textId="77777777">
        <w:trPr>
          <w:hidden/>
        </w:trPr>
        <w:tc>
          <w:tcPr>
            <w:tcW w:w="0" w:type="auto"/>
            <w:gridSpan w:val="3"/>
            <w:shd w:val="clear" w:color="auto" w:fill="auto"/>
            <w:vAlign w:val="bottom"/>
          </w:tcPr>
          <w:p w14:paraId="5F2D237E" w14:textId="77777777" w:rsidR="00E836FB" w:rsidRDefault="00E836FB">
            <w:pPr>
              <w:rPr>
                <w:rFonts w:ascii="宋体"/>
                <w:vanish/>
              </w:rPr>
            </w:pPr>
          </w:p>
        </w:tc>
        <w:tc>
          <w:tcPr>
            <w:tcW w:w="0" w:type="auto"/>
            <w:gridSpan w:val="3"/>
            <w:shd w:val="clear" w:color="auto" w:fill="auto"/>
            <w:vAlign w:val="bottom"/>
          </w:tcPr>
          <w:p w14:paraId="5F2D237F" w14:textId="77777777" w:rsidR="00E836FB" w:rsidRDefault="00E836FB">
            <w:pPr>
              <w:rPr>
                <w:rFonts w:ascii="宋体"/>
                <w:vanish/>
              </w:rPr>
            </w:pPr>
          </w:p>
        </w:tc>
        <w:tc>
          <w:tcPr>
            <w:tcW w:w="0" w:type="auto"/>
            <w:gridSpan w:val="3"/>
            <w:shd w:val="clear" w:color="auto" w:fill="auto"/>
            <w:vAlign w:val="bottom"/>
          </w:tcPr>
          <w:p w14:paraId="5F2D2380" w14:textId="77777777" w:rsidR="00E836FB" w:rsidRDefault="00E836FB">
            <w:pPr>
              <w:rPr>
                <w:rFonts w:ascii="宋体"/>
                <w:vanish/>
              </w:rPr>
            </w:pPr>
          </w:p>
        </w:tc>
        <w:tc>
          <w:tcPr>
            <w:tcW w:w="0" w:type="auto"/>
            <w:gridSpan w:val="3"/>
            <w:shd w:val="clear" w:color="auto" w:fill="auto"/>
            <w:vAlign w:val="bottom"/>
          </w:tcPr>
          <w:p w14:paraId="5F2D2381" w14:textId="77777777" w:rsidR="00E836FB" w:rsidRDefault="00E836FB">
            <w:pPr>
              <w:rPr>
                <w:rFonts w:ascii="宋体"/>
                <w:vanish/>
              </w:rPr>
            </w:pPr>
          </w:p>
        </w:tc>
        <w:tc>
          <w:tcPr>
            <w:tcW w:w="0" w:type="auto"/>
            <w:gridSpan w:val="3"/>
            <w:shd w:val="clear" w:color="auto" w:fill="auto"/>
            <w:vAlign w:val="bottom"/>
          </w:tcPr>
          <w:p w14:paraId="5F2D2382" w14:textId="77777777" w:rsidR="00E836FB" w:rsidRDefault="00E836FB">
            <w:pPr>
              <w:rPr>
                <w:rFonts w:ascii="宋体"/>
                <w:vanish/>
              </w:rPr>
            </w:pPr>
          </w:p>
        </w:tc>
        <w:tc>
          <w:tcPr>
            <w:tcW w:w="0" w:type="auto"/>
            <w:gridSpan w:val="3"/>
            <w:shd w:val="clear" w:color="auto" w:fill="auto"/>
            <w:vAlign w:val="bottom"/>
          </w:tcPr>
          <w:p w14:paraId="5F2D2383" w14:textId="77777777" w:rsidR="00E836FB" w:rsidRDefault="00E836FB">
            <w:pPr>
              <w:rPr>
                <w:rFonts w:ascii="宋体"/>
                <w:vanish/>
              </w:rPr>
            </w:pPr>
          </w:p>
        </w:tc>
        <w:tc>
          <w:tcPr>
            <w:tcW w:w="0" w:type="auto"/>
            <w:gridSpan w:val="3"/>
            <w:shd w:val="clear" w:color="auto" w:fill="auto"/>
            <w:vAlign w:val="bottom"/>
          </w:tcPr>
          <w:p w14:paraId="5F2D2384" w14:textId="77777777" w:rsidR="00E836FB" w:rsidRDefault="00E836FB">
            <w:pPr>
              <w:rPr>
                <w:rFonts w:ascii="宋体"/>
                <w:vanish/>
              </w:rPr>
            </w:pPr>
          </w:p>
        </w:tc>
        <w:tc>
          <w:tcPr>
            <w:tcW w:w="0" w:type="auto"/>
            <w:gridSpan w:val="3"/>
            <w:shd w:val="clear" w:color="auto" w:fill="auto"/>
            <w:vAlign w:val="bottom"/>
          </w:tcPr>
          <w:p w14:paraId="5F2D2385" w14:textId="77777777" w:rsidR="00E836FB" w:rsidRDefault="00E836FB">
            <w:pPr>
              <w:rPr>
                <w:rFonts w:ascii="宋体"/>
                <w:vanish/>
              </w:rPr>
            </w:pPr>
          </w:p>
        </w:tc>
        <w:tc>
          <w:tcPr>
            <w:tcW w:w="0" w:type="auto"/>
            <w:gridSpan w:val="3"/>
            <w:shd w:val="clear" w:color="auto" w:fill="auto"/>
            <w:vAlign w:val="bottom"/>
          </w:tcPr>
          <w:p w14:paraId="5F2D2386" w14:textId="77777777" w:rsidR="00E836FB" w:rsidRDefault="00E836FB">
            <w:pPr>
              <w:rPr>
                <w:rFonts w:ascii="宋体"/>
                <w:vanish/>
              </w:rPr>
            </w:pPr>
          </w:p>
        </w:tc>
        <w:tc>
          <w:tcPr>
            <w:tcW w:w="0" w:type="auto"/>
            <w:gridSpan w:val="3"/>
            <w:shd w:val="clear" w:color="auto" w:fill="auto"/>
            <w:vAlign w:val="bottom"/>
          </w:tcPr>
          <w:p w14:paraId="5F2D2387" w14:textId="77777777" w:rsidR="00E836FB" w:rsidRDefault="00E836FB">
            <w:pPr>
              <w:rPr>
                <w:rFonts w:ascii="宋体"/>
                <w:vanish/>
              </w:rPr>
            </w:pPr>
          </w:p>
        </w:tc>
        <w:tc>
          <w:tcPr>
            <w:tcW w:w="0" w:type="auto"/>
            <w:gridSpan w:val="3"/>
            <w:shd w:val="clear" w:color="auto" w:fill="auto"/>
            <w:vAlign w:val="bottom"/>
          </w:tcPr>
          <w:p w14:paraId="5F2D2388" w14:textId="77777777" w:rsidR="00E836FB" w:rsidRDefault="00E836FB">
            <w:pPr>
              <w:rPr>
                <w:rFonts w:ascii="宋体"/>
                <w:vanish/>
              </w:rPr>
            </w:pPr>
          </w:p>
        </w:tc>
        <w:tc>
          <w:tcPr>
            <w:tcW w:w="0" w:type="auto"/>
            <w:gridSpan w:val="3"/>
            <w:shd w:val="clear" w:color="auto" w:fill="auto"/>
            <w:vAlign w:val="bottom"/>
          </w:tcPr>
          <w:p w14:paraId="5F2D2389" w14:textId="77777777" w:rsidR="00E836FB" w:rsidRDefault="00E836FB">
            <w:pPr>
              <w:rPr>
                <w:rFonts w:ascii="宋体"/>
                <w:vanish/>
              </w:rPr>
            </w:pPr>
          </w:p>
        </w:tc>
        <w:tc>
          <w:tcPr>
            <w:tcW w:w="0" w:type="auto"/>
            <w:gridSpan w:val="3"/>
            <w:shd w:val="clear" w:color="auto" w:fill="auto"/>
            <w:vAlign w:val="bottom"/>
          </w:tcPr>
          <w:p w14:paraId="5F2D238A" w14:textId="77777777" w:rsidR="00E836FB" w:rsidRDefault="00E836FB">
            <w:pPr>
              <w:rPr>
                <w:rFonts w:ascii="宋体"/>
                <w:vanish/>
              </w:rPr>
            </w:pPr>
          </w:p>
        </w:tc>
        <w:tc>
          <w:tcPr>
            <w:tcW w:w="0" w:type="auto"/>
            <w:gridSpan w:val="3"/>
            <w:shd w:val="clear" w:color="auto" w:fill="auto"/>
            <w:vAlign w:val="bottom"/>
          </w:tcPr>
          <w:p w14:paraId="5F2D238B" w14:textId="77777777" w:rsidR="00E836FB" w:rsidRDefault="00E836FB">
            <w:pPr>
              <w:rPr>
                <w:rFonts w:ascii="宋体"/>
                <w:vanish/>
              </w:rPr>
            </w:pPr>
          </w:p>
        </w:tc>
        <w:tc>
          <w:tcPr>
            <w:tcW w:w="0" w:type="auto"/>
            <w:gridSpan w:val="3"/>
            <w:shd w:val="clear" w:color="auto" w:fill="auto"/>
            <w:vAlign w:val="bottom"/>
          </w:tcPr>
          <w:p w14:paraId="5F2D238C" w14:textId="77777777" w:rsidR="00E836FB" w:rsidRDefault="00E836FB">
            <w:pPr>
              <w:rPr>
                <w:rFonts w:ascii="宋体"/>
                <w:vanish/>
              </w:rPr>
            </w:pPr>
          </w:p>
        </w:tc>
        <w:tc>
          <w:tcPr>
            <w:tcW w:w="0" w:type="auto"/>
            <w:gridSpan w:val="3"/>
            <w:shd w:val="clear" w:color="auto" w:fill="auto"/>
            <w:vAlign w:val="bottom"/>
          </w:tcPr>
          <w:p w14:paraId="5F2D238D" w14:textId="77777777" w:rsidR="00E836FB" w:rsidRDefault="00E836FB">
            <w:pPr>
              <w:rPr>
                <w:rFonts w:ascii="宋体"/>
                <w:vanish/>
              </w:rPr>
            </w:pPr>
          </w:p>
        </w:tc>
      </w:tr>
      <w:tr w:rsidR="00E836FB" w14:paraId="5F2D23AF" w14:textId="77777777">
        <w:tc>
          <w:tcPr>
            <w:tcW w:w="0" w:type="auto"/>
            <w:gridSpan w:val="3"/>
            <w:shd w:val="clear" w:color="auto" w:fill="CCEEFF"/>
            <w:tcMar>
              <w:top w:w="40" w:type="dxa"/>
              <w:left w:w="20" w:type="dxa"/>
              <w:bottom w:w="40" w:type="dxa"/>
              <w:right w:w="20" w:type="dxa"/>
            </w:tcMar>
            <w:vAlign w:val="bottom"/>
          </w:tcPr>
          <w:p w14:paraId="5F2D238F" w14:textId="77777777" w:rsidR="00E836FB" w:rsidRDefault="00994958">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5F2D239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91" w14:textId="77777777" w:rsidR="00E836FB" w:rsidRDefault="00994958">
            <w:pPr>
              <w:jc w:val="right"/>
              <w:textAlignment w:val="bottom"/>
            </w:pPr>
            <w:r>
              <w:rPr>
                <w:rFonts w:ascii="Arial" w:eastAsia="宋体" w:hAnsi="Arial" w:cs="Arial"/>
                <w:color w:val="000000"/>
                <w:sz w:val="14"/>
                <w:szCs w:val="14"/>
              </w:rPr>
              <w:t>3,935 </w:t>
            </w:r>
          </w:p>
        </w:tc>
        <w:tc>
          <w:tcPr>
            <w:tcW w:w="0" w:type="auto"/>
            <w:shd w:val="clear" w:color="auto" w:fill="CCEEFF"/>
            <w:tcMar>
              <w:top w:w="40" w:type="dxa"/>
              <w:left w:w="0" w:type="dxa"/>
              <w:bottom w:w="40" w:type="dxa"/>
              <w:right w:w="20" w:type="dxa"/>
            </w:tcMar>
            <w:vAlign w:val="bottom"/>
          </w:tcPr>
          <w:p w14:paraId="5F2D23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39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39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95" w14:textId="77777777" w:rsidR="00E836FB" w:rsidRDefault="00994958">
            <w:pPr>
              <w:jc w:val="right"/>
              <w:textAlignment w:val="bottom"/>
            </w:pPr>
            <w:r>
              <w:rPr>
                <w:rFonts w:ascii="Arial" w:eastAsia="宋体" w:hAnsi="Arial" w:cs="Arial"/>
                <w:color w:val="000000"/>
                <w:sz w:val="14"/>
                <w:szCs w:val="14"/>
              </w:rPr>
              <w:t>2,313 </w:t>
            </w:r>
          </w:p>
        </w:tc>
        <w:tc>
          <w:tcPr>
            <w:tcW w:w="0" w:type="auto"/>
            <w:shd w:val="clear" w:color="auto" w:fill="CCEEFF"/>
            <w:tcMar>
              <w:top w:w="40" w:type="dxa"/>
              <w:left w:w="0" w:type="dxa"/>
              <w:bottom w:w="40" w:type="dxa"/>
              <w:right w:w="20" w:type="dxa"/>
            </w:tcMar>
            <w:vAlign w:val="bottom"/>
          </w:tcPr>
          <w:p w14:paraId="5F2D239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39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39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99" w14:textId="77777777" w:rsidR="00E836FB" w:rsidRDefault="00994958">
            <w:pPr>
              <w:jc w:val="right"/>
              <w:textAlignment w:val="bottom"/>
            </w:pPr>
            <w:r>
              <w:rPr>
                <w:rFonts w:ascii="Arial" w:eastAsia="宋体" w:hAnsi="Arial" w:cs="Arial"/>
                <w:color w:val="000000"/>
                <w:sz w:val="14"/>
                <w:szCs w:val="14"/>
              </w:rPr>
              <w:t>1,918 </w:t>
            </w:r>
          </w:p>
        </w:tc>
        <w:tc>
          <w:tcPr>
            <w:tcW w:w="0" w:type="auto"/>
            <w:shd w:val="clear" w:color="auto" w:fill="CCEEFF"/>
            <w:tcMar>
              <w:top w:w="40" w:type="dxa"/>
              <w:left w:w="0" w:type="dxa"/>
              <w:bottom w:w="40" w:type="dxa"/>
              <w:right w:w="20" w:type="dxa"/>
            </w:tcMar>
            <w:vAlign w:val="bottom"/>
          </w:tcPr>
          <w:p w14:paraId="5F2D23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39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39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9D" w14:textId="77777777" w:rsidR="00E836FB" w:rsidRDefault="00994958">
            <w:pPr>
              <w:jc w:val="right"/>
              <w:textAlignment w:val="bottom"/>
            </w:pPr>
            <w:r>
              <w:rPr>
                <w:rFonts w:ascii="Arial" w:eastAsia="宋体" w:hAnsi="Arial" w:cs="Arial"/>
                <w:color w:val="000000"/>
                <w:sz w:val="14"/>
                <w:szCs w:val="14"/>
              </w:rPr>
              <w:t>1,272 </w:t>
            </w:r>
          </w:p>
        </w:tc>
        <w:tc>
          <w:tcPr>
            <w:tcW w:w="0" w:type="auto"/>
            <w:shd w:val="clear" w:color="auto" w:fill="CCEEFF"/>
            <w:tcMar>
              <w:top w:w="40" w:type="dxa"/>
              <w:left w:w="0" w:type="dxa"/>
              <w:bottom w:w="40" w:type="dxa"/>
              <w:right w:w="20" w:type="dxa"/>
            </w:tcMar>
            <w:vAlign w:val="bottom"/>
          </w:tcPr>
          <w:p w14:paraId="5F2D23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39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3A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A1" w14:textId="77777777" w:rsidR="00E836FB" w:rsidRDefault="00994958">
            <w:pPr>
              <w:jc w:val="right"/>
              <w:textAlignment w:val="bottom"/>
            </w:pPr>
            <w:r>
              <w:rPr>
                <w:rFonts w:ascii="Arial" w:eastAsia="宋体" w:hAnsi="Arial" w:cs="Arial"/>
                <w:color w:val="000000"/>
                <w:sz w:val="14"/>
                <w:szCs w:val="14"/>
              </w:rPr>
              <w:t>495 </w:t>
            </w:r>
          </w:p>
        </w:tc>
        <w:tc>
          <w:tcPr>
            <w:tcW w:w="0" w:type="auto"/>
            <w:shd w:val="clear" w:color="auto" w:fill="CCEEFF"/>
            <w:tcMar>
              <w:top w:w="40" w:type="dxa"/>
              <w:left w:w="0" w:type="dxa"/>
              <w:bottom w:w="40" w:type="dxa"/>
              <w:right w:w="20" w:type="dxa"/>
            </w:tcMar>
            <w:vAlign w:val="bottom"/>
          </w:tcPr>
          <w:p w14:paraId="5F2D23A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3A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3A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A5" w14:textId="77777777" w:rsidR="00E836FB" w:rsidRDefault="00994958">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5F2D23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3A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3A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A9" w14:textId="77777777" w:rsidR="00E836FB" w:rsidRDefault="00994958">
            <w:pPr>
              <w:jc w:val="right"/>
              <w:textAlignment w:val="bottom"/>
            </w:pPr>
            <w:r>
              <w:rPr>
                <w:rFonts w:ascii="Arial" w:eastAsia="宋体" w:hAnsi="Arial" w:cs="Arial"/>
                <w:color w:val="000000"/>
                <w:sz w:val="14"/>
                <w:szCs w:val="14"/>
              </w:rPr>
              <w:t>17,897 </w:t>
            </w:r>
          </w:p>
        </w:tc>
        <w:tc>
          <w:tcPr>
            <w:tcW w:w="0" w:type="auto"/>
            <w:shd w:val="clear" w:color="auto" w:fill="CCEEFF"/>
            <w:tcMar>
              <w:top w:w="40" w:type="dxa"/>
              <w:left w:w="0" w:type="dxa"/>
              <w:bottom w:w="40" w:type="dxa"/>
              <w:right w:w="20" w:type="dxa"/>
            </w:tcMar>
            <w:vAlign w:val="bottom"/>
          </w:tcPr>
          <w:p w14:paraId="5F2D23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3A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3A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3AD" w14:textId="77777777" w:rsidR="00E836FB" w:rsidRDefault="00994958">
            <w:pPr>
              <w:jc w:val="right"/>
              <w:textAlignment w:val="bottom"/>
            </w:pPr>
            <w:r>
              <w:rPr>
                <w:rFonts w:ascii="Arial" w:eastAsia="宋体" w:hAnsi="Arial" w:cs="Arial"/>
                <w:color w:val="000000"/>
                <w:sz w:val="14"/>
                <w:szCs w:val="14"/>
              </w:rPr>
              <w:t>27,925 </w:t>
            </w:r>
          </w:p>
        </w:tc>
        <w:tc>
          <w:tcPr>
            <w:tcW w:w="0" w:type="auto"/>
            <w:shd w:val="clear" w:color="auto" w:fill="CCEEFF"/>
            <w:tcMar>
              <w:top w:w="40" w:type="dxa"/>
              <w:left w:w="0" w:type="dxa"/>
              <w:bottom w:w="40" w:type="dxa"/>
              <w:right w:w="20" w:type="dxa"/>
            </w:tcMar>
            <w:vAlign w:val="bottom"/>
          </w:tcPr>
          <w:p w14:paraId="5F2D23AE" w14:textId="77777777" w:rsidR="00E836FB" w:rsidRDefault="00E836FB">
            <w:pPr>
              <w:jc w:val="right"/>
              <w:rPr>
                <w:rFonts w:ascii="宋体"/>
              </w:rPr>
            </w:pPr>
          </w:p>
        </w:tc>
      </w:tr>
      <w:tr w:rsidR="00E836FB" w14:paraId="5F2D23C0" w14:textId="77777777">
        <w:trPr>
          <w:hidden/>
        </w:trPr>
        <w:tc>
          <w:tcPr>
            <w:tcW w:w="0" w:type="auto"/>
            <w:gridSpan w:val="3"/>
            <w:shd w:val="clear" w:color="auto" w:fill="auto"/>
            <w:vAlign w:val="bottom"/>
          </w:tcPr>
          <w:p w14:paraId="5F2D23B0" w14:textId="77777777" w:rsidR="00E836FB" w:rsidRDefault="00E836FB">
            <w:pPr>
              <w:rPr>
                <w:rFonts w:ascii="宋体"/>
                <w:vanish/>
              </w:rPr>
            </w:pPr>
          </w:p>
        </w:tc>
        <w:tc>
          <w:tcPr>
            <w:tcW w:w="0" w:type="auto"/>
            <w:gridSpan w:val="3"/>
            <w:shd w:val="clear" w:color="auto" w:fill="auto"/>
            <w:vAlign w:val="bottom"/>
          </w:tcPr>
          <w:p w14:paraId="5F2D23B1" w14:textId="77777777" w:rsidR="00E836FB" w:rsidRDefault="00E836FB">
            <w:pPr>
              <w:rPr>
                <w:rFonts w:ascii="宋体"/>
                <w:vanish/>
              </w:rPr>
            </w:pPr>
          </w:p>
        </w:tc>
        <w:tc>
          <w:tcPr>
            <w:tcW w:w="0" w:type="auto"/>
            <w:gridSpan w:val="3"/>
            <w:shd w:val="clear" w:color="auto" w:fill="auto"/>
            <w:vAlign w:val="bottom"/>
          </w:tcPr>
          <w:p w14:paraId="5F2D23B2" w14:textId="77777777" w:rsidR="00E836FB" w:rsidRDefault="00E836FB">
            <w:pPr>
              <w:rPr>
                <w:rFonts w:ascii="宋体"/>
                <w:vanish/>
              </w:rPr>
            </w:pPr>
          </w:p>
        </w:tc>
        <w:tc>
          <w:tcPr>
            <w:tcW w:w="0" w:type="auto"/>
            <w:gridSpan w:val="3"/>
            <w:shd w:val="clear" w:color="auto" w:fill="auto"/>
            <w:vAlign w:val="bottom"/>
          </w:tcPr>
          <w:p w14:paraId="5F2D23B3" w14:textId="77777777" w:rsidR="00E836FB" w:rsidRDefault="00E836FB">
            <w:pPr>
              <w:rPr>
                <w:rFonts w:ascii="宋体"/>
                <w:vanish/>
              </w:rPr>
            </w:pPr>
          </w:p>
        </w:tc>
        <w:tc>
          <w:tcPr>
            <w:tcW w:w="0" w:type="auto"/>
            <w:gridSpan w:val="3"/>
            <w:shd w:val="clear" w:color="auto" w:fill="auto"/>
            <w:vAlign w:val="bottom"/>
          </w:tcPr>
          <w:p w14:paraId="5F2D23B4" w14:textId="77777777" w:rsidR="00E836FB" w:rsidRDefault="00E836FB">
            <w:pPr>
              <w:rPr>
                <w:rFonts w:ascii="宋体"/>
                <w:vanish/>
              </w:rPr>
            </w:pPr>
          </w:p>
        </w:tc>
        <w:tc>
          <w:tcPr>
            <w:tcW w:w="0" w:type="auto"/>
            <w:gridSpan w:val="3"/>
            <w:shd w:val="clear" w:color="auto" w:fill="auto"/>
            <w:vAlign w:val="bottom"/>
          </w:tcPr>
          <w:p w14:paraId="5F2D23B5" w14:textId="77777777" w:rsidR="00E836FB" w:rsidRDefault="00E836FB">
            <w:pPr>
              <w:rPr>
                <w:rFonts w:ascii="宋体"/>
                <w:vanish/>
              </w:rPr>
            </w:pPr>
          </w:p>
        </w:tc>
        <w:tc>
          <w:tcPr>
            <w:tcW w:w="0" w:type="auto"/>
            <w:gridSpan w:val="3"/>
            <w:shd w:val="clear" w:color="auto" w:fill="auto"/>
            <w:vAlign w:val="bottom"/>
          </w:tcPr>
          <w:p w14:paraId="5F2D23B6" w14:textId="77777777" w:rsidR="00E836FB" w:rsidRDefault="00E836FB">
            <w:pPr>
              <w:rPr>
                <w:rFonts w:ascii="宋体"/>
                <w:vanish/>
              </w:rPr>
            </w:pPr>
          </w:p>
        </w:tc>
        <w:tc>
          <w:tcPr>
            <w:tcW w:w="0" w:type="auto"/>
            <w:gridSpan w:val="3"/>
            <w:shd w:val="clear" w:color="auto" w:fill="auto"/>
            <w:vAlign w:val="bottom"/>
          </w:tcPr>
          <w:p w14:paraId="5F2D23B7" w14:textId="77777777" w:rsidR="00E836FB" w:rsidRDefault="00E836FB">
            <w:pPr>
              <w:rPr>
                <w:rFonts w:ascii="宋体"/>
                <w:vanish/>
              </w:rPr>
            </w:pPr>
          </w:p>
        </w:tc>
        <w:tc>
          <w:tcPr>
            <w:tcW w:w="0" w:type="auto"/>
            <w:gridSpan w:val="3"/>
            <w:shd w:val="clear" w:color="auto" w:fill="auto"/>
            <w:vAlign w:val="bottom"/>
          </w:tcPr>
          <w:p w14:paraId="5F2D23B8" w14:textId="77777777" w:rsidR="00E836FB" w:rsidRDefault="00E836FB">
            <w:pPr>
              <w:rPr>
                <w:rFonts w:ascii="宋体"/>
                <w:vanish/>
              </w:rPr>
            </w:pPr>
          </w:p>
        </w:tc>
        <w:tc>
          <w:tcPr>
            <w:tcW w:w="0" w:type="auto"/>
            <w:gridSpan w:val="3"/>
            <w:shd w:val="clear" w:color="auto" w:fill="auto"/>
            <w:vAlign w:val="bottom"/>
          </w:tcPr>
          <w:p w14:paraId="5F2D23B9" w14:textId="77777777" w:rsidR="00E836FB" w:rsidRDefault="00E836FB">
            <w:pPr>
              <w:rPr>
                <w:rFonts w:ascii="宋体"/>
                <w:vanish/>
              </w:rPr>
            </w:pPr>
          </w:p>
        </w:tc>
        <w:tc>
          <w:tcPr>
            <w:tcW w:w="0" w:type="auto"/>
            <w:gridSpan w:val="3"/>
            <w:shd w:val="clear" w:color="auto" w:fill="auto"/>
            <w:vAlign w:val="bottom"/>
          </w:tcPr>
          <w:p w14:paraId="5F2D23BA" w14:textId="77777777" w:rsidR="00E836FB" w:rsidRDefault="00E836FB">
            <w:pPr>
              <w:rPr>
                <w:rFonts w:ascii="宋体"/>
                <w:vanish/>
              </w:rPr>
            </w:pPr>
          </w:p>
        </w:tc>
        <w:tc>
          <w:tcPr>
            <w:tcW w:w="0" w:type="auto"/>
            <w:gridSpan w:val="3"/>
            <w:shd w:val="clear" w:color="auto" w:fill="auto"/>
            <w:vAlign w:val="bottom"/>
          </w:tcPr>
          <w:p w14:paraId="5F2D23BB" w14:textId="77777777" w:rsidR="00E836FB" w:rsidRDefault="00E836FB">
            <w:pPr>
              <w:rPr>
                <w:rFonts w:ascii="宋体"/>
                <w:vanish/>
              </w:rPr>
            </w:pPr>
          </w:p>
        </w:tc>
        <w:tc>
          <w:tcPr>
            <w:tcW w:w="0" w:type="auto"/>
            <w:gridSpan w:val="3"/>
            <w:shd w:val="clear" w:color="auto" w:fill="auto"/>
            <w:vAlign w:val="bottom"/>
          </w:tcPr>
          <w:p w14:paraId="5F2D23BC" w14:textId="77777777" w:rsidR="00E836FB" w:rsidRDefault="00E836FB">
            <w:pPr>
              <w:rPr>
                <w:rFonts w:ascii="宋体"/>
                <w:vanish/>
              </w:rPr>
            </w:pPr>
          </w:p>
        </w:tc>
        <w:tc>
          <w:tcPr>
            <w:tcW w:w="0" w:type="auto"/>
            <w:gridSpan w:val="3"/>
            <w:shd w:val="clear" w:color="auto" w:fill="auto"/>
            <w:vAlign w:val="bottom"/>
          </w:tcPr>
          <w:p w14:paraId="5F2D23BD" w14:textId="77777777" w:rsidR="00E836FB" w:rsidRDefault="00E836FB">
            <w:pPr>
              <w:rPr>
                <w:rFonts w:ascii="宋体"/>
                <w:vanish/>
              </w:rPr>
            </w:pPr>
          </w:p>
        </w:tc>
        <w:tc>
          <w:tcPr>
            <w:tcW w:w="0" w:type="auto"/>
            <w:gridSpan w:val="3"/>
            <w:shd w:val="clear" w:color="auto" w:fill="auto"/>
            <w:vAlign w:val="bottom"/>
          </w:tcPr>
          <w:p w14:paraId="5F2D23BE" w14:textId="77777777" w:rsidR="00E836FB" w:rsidRDefault="00E836FB">
            <w:pPr>
              <w:rPr>
                <w:rFonts w:ascii="宋体"/>
                <w:vanish/>
              </w:rPr>
            </w:pPr>
          </w:p>
        </w:tc>
        <w:tc>
          <w:tcPr>
            <w:tcW w:w="0" w:type="auto"/>
            <w:gridSpan w:val="3"/>
            <w:shd w:val="clear" w:color="auto" w:fill="auto"/>
            <w:vAlign w:val="bottom"/>
          </w:tcPr>
          <w:p w14:paraId="5F2D23BF" w14:textId="77777777" w:rsidR="00E836FB" w:rsidRDefault="00E836FB">
            <w:pPr>
              <w:rPr>
                <w:rFonts w:ascii="宋体"/>
                <w:vanish/>
              </w:rPr>
            </w:pPr>
          </w:p>
        </w:tc>
      </w:tr>
      <w:tr w:rsidR="00E836FB" w14:paraId="5F2D23D1" w14:textId="77777777">
        <w:trPr>
          <w:hidden/>
        </w:trPr>
        <w:tc>
          <w:tcPr>
            <w:tcW w:w="0" w:type="auto"/>
            <w:gridSpan w:val="3"/>
            <w:shd w:val="clear" w:color="auto" w:fill="auto"/>
            <w:vAlign w:val="bottom"/>
          </w:tcPr>
          <w:p w14:paraId="5F2D23C1" w14:textId="77777777" w:rsidR="00E836FB" w:rsidRDefault="00E836FB">
            <w:pPr>
              <w:rPr>
                <w:rFonts w:ascii="宋体"/>
                <w:vanish/>
              </w:rPr>
            </w:pPr>
          </w:p>
        </w:tc>
        <w:tc>
          <w:tcPr>
            <w:tcW w:w="0" w:type="auto"/>
            <w:gridSpan w:val="3"/>
            <w:shd w:val="clear" w:color="auto" w:fill="auto"/>
            <w:vAlign w:val="bottom"/>
          </w:tcPr>
          <w:p w14:paraId="5F2D23C2" w14:textId="77777777" w:rsidR="00E836FB" w:rsidRDefault="00E836FB">
            <w:pPr>
              <w:rPr>
                <w:rFonts w:ascii="宋体"/>
                <w:vanish/>
              </w:rPr>
            </w:pPr>
          </w:p>
        </w:tc>
        <w:tc>
          <w:tcPr>
            <w:tcW w:w="0" w:type="auto"/>
            <w:gridSpan w:val="3"/>
            <w:shd w:val="clear" w:color="auto" w:fill="auto"/>
            <w:vAlign w:val="bottom"/>
          </w:tcPr>
          <w:p w14:paraId="5F2D23C3" w14:textId="77777777" w:rsidR="00E836FB" w:rsidRDefault="00E836FB">
            <w:pPr>
              <w:rPr>
                <w:rFonts w:ascii="宋体"/>
                <w:vanish/>
              </w:rPr>
            </w:pPr>
          </w:p>
        </w:tc>
        <w:tc>
          <w:tcPr>
            <w:tcW w:w="0" w:type="auto"/>
            <w:gridSpan w:val="3"/>
            <w:shd w:val="clear" w:color="auto" w:fill="auto"/>
            <w:vAlign w:val="bottom"/>
          </w:tcPr>
          <w:p w14:paraId="5F2D23C4" w14:textId="77777777" w:rsidR="00E836FB" w:rsidRDefault="00E836FB">
            <w:pPr>
              <w:rPr>
                <w:rFonts w:ascii="宋体"/>
                <w:vanish/>
              </w:rPr>
            </w:pPr>
          </w:p>
        </w:tc>
        <w:tc>
          <w:tcPr>
            <w:tcW w:w="0" w:type="auto"/>
            <w:gridSpan w:val="3"/>
            <w:shd w:val="clear" w:color="auto" w:fill="auto"/>
            <w:vAlign w:val="bottom"/>
          </w:tcPr>
          <w:p w14:paraId="5F2D23C5" w14:textId="77777777" w:rsidR="00E836FB" w:rsidRDefault="00E836FB">
            <w:pPr>
              <w:rPr>
                <w:rFonts w:ascii="宋体"/>
                <w:vanish/>
              </w:rPr>
            </w:pPr>
          </w:p>
        </w:tc>
        <w:tc>
          <w:tcPr>
            <w:tcW w:w="0" w:type="auto"/>
            <w:gridSpan w:val="3"/>
            <w:shd w:val="clear" w:color="auto" w:fill="auto"/>
            <w:vAlign w:val="bottom"/>
          </w:tcPr>
          <w:p w14:paraId="5F2D23C6" w14:textId="77777777" w:rsidR="00E836FB" w:rsidRDefault="00E836FB">
            <w:pPr>
              <w:rPr>
                <w:rFonts w:ascii="宋体"/>
                <w:vanish/>
              </w:rPr>
            </w:pPr>
          </w:p>
        </w:tc>
        <w:tc>
          <w:tcPr>
            <w:tcW w:w="0" w:type="auto"/>
            <w:gridSpan w:val="3"/>
            <w:shd w:val="clear" w:color="auto" w:fill="auto"/>
            <w:vAlign w:val="bottom"/>
          </w:tcPr>
          <w:p w14:paraId="5F2D23C7" w14:textId="77777777" w:rsidR="00E836FB" w:rsidRDefault="00E836FB">
            <w:pPr>
              <w:rPr>
                <w:rFonts w:ascii="宋体"/>
                <w:vanish/>
              </w:rPr>
            </w:pPr>
          </w:p>
        </w:tc>
        <w:tc>
          <w:tcPr>
            <w:tcW w:w="0" w:type="auto"/>
            <w:gridSpan w:val="3"/>
            <w:shd w:val="clear" w:color="auto" w:fill="auto"/>
            <w:vAlign w:val="bottom"/>
          </w:tcPr>
          <w:p w14:paraId="5F2D23C8" w14:textId="77777777" w:rsidR="00E836FB" w:rsidRDefault="00E836FB">
            <w:pPr>
              <w:rPr>
                <w:rFonts w:ascii="宋体"/>
                <w:vanish/>
              </w:rPr>
            </w:pPr>
          </w:p>
        </w:tc>
        <w:tc>
          <w:tcPr>
            <w:tcW w:w="0" w:type="auto"/>
            <w:gridSpan w:val="3"/>
            <w:shd w:val="clear" w:color="auto" w:fill="auto"/>
            <w:vAlign w:val="bottom"/>
          </w:tcPr>
          <w:p w14:paraId="5F2D23C9" w14:textId="77777777" w:rsidR="00E836FB" w:rsidRDefault="00E836FB">
            <w:pPr>
              <w:rPr>
                <w:rFonts w:ascii="宋体"/>
                <w:vanish/>
              </w:rPr>
            </w:pPr>
          </w:p>
        </w:tc>
        <w:tc>
          <w:tcPr>
            <w:tcW w:w="0" w:type="auto"/>
            <w:gridSpan w:val="3"/>
            <w:shd w:val="clear" w:color="auto" w:fill="auto"/>
            <w:vAlign w:val="bottom"/>
          </w:tcPr>
          <w:p w14:paraId="5F2D23CA" w14:textId="77777777" w:rsidR="00E836FB" w:rsidRDefault="00E836FB">
            <w:pPr>
              <w:rPr>
                <w:rFonts w:ascii="宋体"/>
                <w:vanish/>
              </w:rPr>
            </w:pPr>
          </w:p>
        </w:tc>
        <w:tc>
          <w:tcPr>
            <w:tcW w:w="0" w:type="auto"/>
            <w:gridSpan w:val="3"/>
            <w:shd w:val="clear" w:color="auto" w:fill="auto"/>
            <w:vAlign w:val="bottom"/>
          </w:tcPr>
          <w:p w14:paraId="5F2D23CB" w14:textId="77777777" w:rsidR="00E836FB" w:rsidRDefault="00E836FB">
            <w:pPr>
              <w:rPr>
                <w:rFonts w:ascii="宋体"/>
                <w:vanish/>
              </w:rPr>
            </w:pPr>
          </w:p>
        </w:tc>
        <w:tc>
          <w:tcPr>
            <w:tcW w:w="0" w:type="auto"/>
            <w:gridSpan w:val="3"/>
            <w:shd w:val="clear" w:color="auto" w:fill="auto"/>
            <w:vAlign w:val="bottom"/>
          </w:tcPr>
          <w:p w14:paraId="5F2D23CC" w14:textId="77777777" w:rsidR="00E836FB" w:rsidRDefault="00E836FB">
            <w:pPr>
              <w:rPr>
                <w:rFonts w:ascii="宋体"/>
                <w:vanish/>
              </w:rPr>
            </w:pPr>
          </w:p>
        </w:tc>
        <w:tc>
          <w:tcPr>
            <w:tcW w:w="0" w:type="auto"/>
            <w:gridSpan w:val="3"/>
            <w:shd w:val="clear" w:color="auto" w:fill="auto"/>
            <w:vAlign w:val="bottom"/>
          </w:tcPr>
          <w:p w14:paraId="5F2D23CD" w14:textId="77777777" w:rsidR="00E836FB" w:rsidRDefault="00E836FB">
            <w:pPr>
              <w:rPr>
                <w:rFonts w:ascii="宋体"/>
                <w:vanish/>
              </w:rPr>
            </w:pPr>
          </w:p>
        </w:tc>
        <w:tc>
          <w:tcPr>
            <w:tcW w:w="0" w:type="auto"/>
            <w:gridSpan w:val="3"/>
            <w:shd w:val="clear" w:color="auto" w:fill="auto"/>
            <w:vAlign w:val="bottom"/>
          </w:tcPr>
          <w:p w14:paraId="5F2D23CE" w14:textId="77777777" w:rsidR="00E836FB" w:rsidRDefault="00E836FB">
            <w:pPr>
              <w:rPr>
                <w:rFonts w:ascii="宋体"/>
                <w:vanish/>
              </w:rPr>
            </w:pPr>
          </w:p>
        </w:tc>
        <w:tc>
          <w:tcPr>
            <w:tcW w:w="0" w:type="auto"/>
            <w:gridSpan w:val="3"/>
            <w:shd w:val="clear" w:color="auto" w:fill="auto"/>
            <w:vAlign w:val="bottom"/>
          </w:tcPr>
          <w:p w14:paraId="5F2D23CF" w14:textId="77777777" w:rsidR="00E836FB" w:rsidRDefault="00E836FB">
            <w:pPr>
              <w:rPr>
                <w:rFonts w:ascii="宋体"/>
                <w:vanish/>
              </w:rPr>
            </w:pPr>
          </w:p>
        </w:tc>
        <w:tc>
          <w:tcPr>
            <w:tcW w:w="0" w:type="auto"/>
            <w:gridSpan w:val="3"/>
            <w:shd w:val="clear" w:color="auto" w:fill="auto"/>
            <w:vAlign w:val="bottom"/>
          </w:tcPr>
          <w:p w14:paraId="5F2D23D0" w14:textId="77777777" w:rsidR="00E836FB" w:rsidRDefault="00E836FB">
            <w:pPr>
              <w:rPr>
                <w:rFonts w:ascii="宋体"/>
                <w:vanish/>
              </w:rPr>
            </w:pPr>
          </w:p>
        </w:tc>
      </w:tr>
      <w:tr w:rsidR="00E836FB" w14:paraId="5F2D23E2" w14:textId="77777777">
        <w:trPr>
          <w:hidden/>
        </w:trPr>
        <w:tc>
          <w:tcPr>
            <w:tcW w:w="0" w:type="auto"/>
            <w:gridSpan w:val="3"/>
            <w:shd w:val="clear" w:color="auto" w:fill="auto"/>
            <w:vAlign w:val="bottom"/>
          </w:tcPr>
          <w:p w14:paraId="5F2D23D2" w14:textId="77777777" w:rsidR="00E836FB" w:rsidRDefault="00E836FB">
            <w:pPr>
              <w:rPr>
                <w:rFonts w:ascii="宋体"/>
                <w:vanish/>
              </w:rPr>
            </w:pPr>
          </w:p>
        </w:tc>
        <w:tc>
          <w:tcPr>
            <w:tcW w:w="0" w:type="auto"/>
            <w:gridSpan w:val="3"/>
            <w:shd w:val="clear" w:color="auto" w:fill="auto"/>
            <w:vAlign w:val="bottom"/>
          </w:tcPr>
          <w:p w14:paraId="5F2D23D3" w14:textId="77777777" w:rsidR="00E836FB" w:rsidRDefault="00E836FB">
            <w:pPr>
              <w:rPr>
                <w:rFonts w:ascii="宋体"/>
                <w:vanish/>
              </w:rPr>
            </w:pPr>
          </w:p>
        </w:tc>
        <w:tc>
          <w:tcPr>
            <w:tcW w:w="0" w:type="auto"/>
            <w:gridSpan w:val="3"/>
            <w:shd w:val="clear" w:color="auto" w:fill="auto"/>
            <w:vAlign w:val="bottom"/>
          </w:tcPr>
          <w:p w14:paraId="5F2D23D4" w14:textId="77777777" w:rsidR="00E836FB" w:rsidRDefault="00E836FB">
            <w:pPr>
              <w:rPr>
                <w:rFonts w:ascii="宋体"/>
                <w:vanish/>
              </w:rPr>
            </w:pPr>
          </w:p>
        </w:tc>
        <w:tc>
          <w:tcPr>
            <w:tcW w:w="0" w:type="auto"/>
            <w:gridSpan w:val="3"/>
            <w:shd w:val="clear" w:color="auto" w:fill="auto"/>
            <w:vAlign w:val="bottom"/>
          </w:tcPr>
          <w:p w14:paraId="5F2D23D5" w14:textId="77777777" w:rsidR="00E836FB" w:rsidRDefault="00E836FB">
            <w:pPr>
              <w:rPr>
                <w:rFonts w:ascii="宋体"/>
                <w:vanish/>
              </w:rPr>
            </w:pPr>
          </w:p>
        </w:tc>
        <w:tc>
          <w:tcPr>
            <w:tcW w:w="0" w:type="auto"/>
            <w:gridSpan w:val="3"/>
            <w:shd w:val="clear" w:color="auto" w:fill="auto"/>
            <w:vAlign w:val="bottom"/>
          </w:tcPr>
          <w:p w14:paraId="5F2D23D6" w14:textId="77777777" w:rsidR="00E836FB" w:rsidRDefault="00E836FB">
            <w:pPr>
              <w:rPr>
                <w:rFonts w:ascii="宋体"/>
                <w:vanish/>
              </w:rPr>
            </w:pPr>
          </w:p>
        </w:tc>
        <w:tc>
          <w:tcPr>
            <w:tcW w:w="0" w:type="auto"/>
            <w:gridSpan w:val="3"/>
            <w:shd w:val="clear" w:color="auto" w:fill="auto"/>
            <w:vAlign w:val="bottom"/>
          </w:tcPr>
          <w:p w14:paraId="5F2D23D7" w14:textId="77777777" w:rsidR="00E836FB" w:rsidRDefault="00E836FB">
            <w:pPr>
              <w:rPr>
                <w:rFonts w:ascii="宋体"/>
                <w:vanish/>
              </w:rPr>
            </w:pPr>
          </w:p>
        </w:tc>
        <w:tc>
          <w:tcPr>
            <w:tcW w:w="0" w:type="auto"/>
            <w:gridSpan w:val="3"/>
            <w:shd w:val="clear" w:color="auto" w:fill="auto"/>
            <w:vAlign w:val="bottom"/>
          </w:tcPr>
          <w:p w14:paraId="5F2D23D8" w14:textId="77777777" w:rsidR="00E836FB" w:rsidRDefault="00E836FB">
            <w:pPr>
              <w:rPr>
                <w:rFonts w:ascii="宋体"/>
                <w:vanish/>
              </w:rPr>
            </w:pPr>
          </w:p>
        </w:tc>
        <w:tc>
          <w:tcPr>
            <w:tcW w:w="0" w:type="auto"/>
            <w:gridSpan w:val="3"/>
            <w:shd w:val="clear" w:color="auto" w:fill="auto"/>
            <w:vAlign w:val="bottom"/>
          </w:tcPr>
          <w:p w14:paraId="5F2D23D9" w14:textId="77777777" w:rsidR="00E836FB" w:rsidRDefault="00E836FB">
            <w:pPr>
              <w:rPr>
                <w:rFonts w:ascii="宋体"/>
                <w:vanish/>
              </w:rPr>
            </w:pPr>
          </w:p>
        </w:tc>
        <w:tc>
          <w:tcPr>
            <w:tcW w:w="0" w:type="auto"/>
            <w:gridSpan w:val="3"/>
            <w:shd w:val="clear" w:color="auto" w:fill="auto"/>
            <w:vAlign w:val="bottom"/>
          </w:tcPr>
          <w:p w14:paraId="5F2D23DA" w14:textId="77777777" w:rsidR="00E836FB" w:rsidRDefault="00E836FB">
            <w:pPr>
              <w:rPr>
                <w:rFonts w:ascii="宋体"/>
                <w:vanish/>
              </w:rPr>
            </w:pPr>
          </w:p>
        </w:tc>
        <w:tc>
          <w:tcPr>
            <w:tcW w:w="0" w:type="auto"/>
            <w:gridSpan w:val="3"/>
            <w:shd w:val="clear" w:color="auto" w:fill="auto"/>
            <w:vAlign w:val="bottom"/>
          </w:tcPr>
          <w:p w14:paraId="5F2D23DB" w14:textId="77777777" w:rsidR="00E836FB" w:rsidRDefault="00E836FB">
            <w:pPr>
              <w:rPr>
                <w:rFonts w:ascii="宋体"/>
                <w:vanish/>
              </w:rPr>
            </w:pPr>
          </w:p>
        </w:tc>
        <w:tc>
          <w:tcPr>
            <w:tcW w:w="0" w:type="auto"/>
            <w:gridSpan w:val="3"/>
            <w:shd w:val="clear" w:color="auto" w:fill="auto"/>
            <w:vAlign w:val="bottom"/>
          </w:tcPr>
          <w:p w14:paraId="5F2D23DC" w14:textId="77777777" w:rsidR="00E836FB" w:rsidRDefault="00E836FB">
            <w:pPr>
              <w:rPr>
                <w:rFonts w:ascii="宋体"/>
                <w:vanish/>
              </w:rPr>
            </w:pPr>
          </w:p>
        </w:tc>
        <w:tc>
          <w:tcPr>
            <w:tcW w:w="0" w:type="auto"/>
            <w:gridSpan w:val="3"/>
            <w:shd w:val="clear" w:color="auto" w:fill="auto"/>
            <w:vAlign w:val="bottom"/>
          </w:tcPr>
          <w:p w14:paraId="5F2D23DD" w14:textId="77777777" w:rsidR="00E836FB" w:rsidRDefault="00E836FB">
            <w:pPr>
              <w:rPr>
                <w:rFonts w:ascii="宋体"/>
                <w:vanish/>
              </w:rPr>
            </w:pPr>
          </w:p>
        </w:tc>
        <w:tc>
          <w:tcPr>
            <w:tcW w:w="0" w:type="auto"/>
            <w:gridSpan w:val="3"/>
            <w:shd w:val="clear" w:color="auto" w:fill="auto"/>
            <w:vAlign w:val="bottom"/>
          </w:tcPr>
          <w:p w14:paraId="5F2D23DE" w14:textId="77777777" w:rsidR="00E836FB" w:rsidRDefault="00E836FB">
            <w:pPr>
              <w:rPr>
                <w:rFonts w:ascii="宋体"/>
                <w:vanish/>
              </w:rPr>
            </w:pPr>
          </w:p>
        </w:tc>
        <w:tc>
          <w:tcPr>
            <w:tcW w:w="0" w:type="auto"/>
            <w:gridSpan w:val="3"/>
            <w:shd w:val="clear" w:color="auto" w:fill="auto"/>
            <w:vAlign w:val="bottom"/>
          </w:tcPr>
          <w:p w14:paraId="5F2D23DF" w14:textId="77777777" w:rsidR="00E836FB" w:rsidRDefault="00E836FB">
            <w:pPr>
              <w:rPr>
                <w:rFonts w:ascii="宋体"/>
                <w:vanish/>
              </w:rPr>
            </w:pPr>
          </w:p>
        </w:tc>
        <w:tc>
          <w:tcPr>
            <w:tcW w:w="0" w:type="auto"/>
            <w:gridSpan w:val="3"/>
            <w:shd w:val="clear" w:color="auto" w:fill="auto"/>
            <w:vAlign w:val="bottom"/>
          </w:tcPr>
          <w:p w14:paraId="5F2D23E0" w14:textId="77777777" w:rsidR="00E836FB" w:rsidRDefault="00E836FB">
            <w:pPr>
              <w:rPr>
                <w:rFonts w:ascii="宋体"/>
                <w:vanish/>
              </w:rPr>
            </w:pPr>
          </w:p>
        </w:tc>
        <w:tc>
          <w:tcPr>
            <w:tcW w:w="0" w:type="auto"/>
            <w:gridSpan w:val="3"/>
            <w:shd w:val="clear" w:color="auto" w:fill="auto"/>
            <w:vAlign w:val="bottom"/>
          </w:tcPr>
          <w:p w14:paraId="5F2D23E1" w14:textId="77777777" w:rsidR="00E836FB" w:rsidRDefault="00E836FB">
            <w:pPr>
              <w:rPr>
                <w:rFonts w:ascii="宋体"/>
                <w:vanish/>
              </w:rPr>
            </w:pPr>
          </w:p>
        </w:tc>
      </w:tr>
      <w:tr w:rsidR="00E836FB" w14:paraId="5F2D23F3" w14:textId="77777777">
        <w:trPr>
          <w:hidden/>
        </w:trPr>
        <w:tc>
          <w:tcPr>
            <w:tcW w:w="0" w:type="auto"/>
            <w:gridSpan w:val="3"/>
            <w:shd w:val="clear" w:color="auto" w:fill="auto"/>
            <w:vAlign w:val="bottom"/>
          </w:tcPr>
          <w:p w14:paraId="5F2D23E3" w14:textId="77777777" w:rsidR="00E836FB" w:rsidRDefault="00E836FB">
            <w:pPr>
              <w:rPr>
                <w:rFonts w:ascii="宋体"/>
                <w:vanish/>
              </w:rPr>
            </w:pPr>
          </w:p>
        </w:tc>
        <w:tc>
          <w:tcPr>
            <w:tcW w:w="0" w:type="auto"/>
            <w:gridSpan w:val="3"/>
            <w:shd w:val="clear" w:color="auto" w:fill="auto"/>
            <w:vAlign w:val="bottom"/>
          </w:tcPr>
          <w:p w14:paraId="5F2D23E4" w14:textId="77777777" w:rsidR="00E836FB" w:rsidRDefault="00E836FB">
            <w:pPr>
              <w:rPr>
                <w:rFonts w:ascii="宋体"/>
                <w:vanish/>
              </w:rPr>
            </w:pPr>
          </w:p>
        </w:tc>
        <w:tc>
          <w:tcPr>
            <w:tcW w:w="0" w:type="auto"/>
            <w:gridSpan w:val="3"/>
            <w:shd w:val="clear" w:color="auto" w:fill="auto"/>
            <w:vAlign w:val="bottom"/>
          </w:tcPr>
          <w:p w14:paraId="5F2D23E5" w14:textId="77777777" w:rsidR="00E836FB" w:rsidRDefault="00E836FB">
            <w:pPr>
              <w:rPr>
                <w:rFonts w:ascii="宋体"/>
                <w:vanish/>
              </w:rPr>
            </w:pPr>
          </w:p>
        </w:tc>
        <w:tc>
          <w:tcPr>
            <w:tcW w:w="0" w:type="auto"/>
            <w:gridSpan w:val="3"/>
            <w:shd w:val="clear" w:color="auto" w:fill="auto"/>
            <w:vAlign w:val="bottom"/>
          </w:tcPr>
          <w:p w14:paraId="5F2D23E6" w14:textId="77777777" w:rsidR="00E836FB" w:rsidRDefault="00E836FB">
            <w:pPr>
              <w:rPr>
                <w:rFonts w:ascii="宋体"/>
                <w:vanish/>
              </w:rPr>
            </w:pPr>
          </w:p>
        </w:tc>
        <w:tc>
          <w:tcPr>
            <w:tcW w:w="0" w:type="auto"/>
            <w:gridSpan w:val="3"/>
            <w:shd w:val="clear" w:color="auto" w:fill="auto"/>
            <w:vAlign w:val="bottom"/>
          </w:tcPr>
          <w:p w14:paraId="5F2D23E7" w14:textId="77777777" w:rsidR="00E836FB" w:rsidRDefault="00E836FB">
            <w:pPr>
              <w:rPr>
                <w:rFonts w:ascii="宋体"/>
                <w:vanish/>
              </w:rPr>
            </w:pPr>
          </w:p>
        </w:tc>
        <w:tc>
          <w:tcPr>
            <w:tcW w:w="0" w:type="auto"/>
            <w:gridSpan w:val="3"/>
            <w:shd w:val="clear" w:color="auto" w:fill="auto"/>
            <w:vAlign w:val="bottom"/>
          </w:tcPr>
          <w:p w14:paraId="5F2D23E8" w14:textId="77777777" w:rsidR="00E836FB" w:rsidRDefault="00E836FB">
            <w:pPr>
              <w:rPr>
                <w:rFonts w:ascii="宋体"/>
                <w:vanish/>
              </w:rPr>
            </w:pPr>
          </w:p>
        </w:tc>
        <w:tc>
          <w:tcPr>
            <w:tcW w:w="0" w:type="auto"/>
            <w:gridSpan w:val="3"/>
            <w:shd w:val="clear" w:color="auto" w:fill="auto"/>
            <w:vAlign w:val="bottom"/>
          </w:tcPr>
          <w:p w14:paraId="5F2D23E9" w14:textId="77777777" w:rsidR="00E836FB" w:rsidRDefault="00E836FB">
            <w:pPr>
              <w:rPr>
                <w:rFonts w:ascii="宋体"/>
                <w:vanish/>
              </w:rPr>
            </w:pPr>
          </w:p>
        </w:tc>
        <w:tc>
          <w:tcPr>
            <w:tcW w:w="0" w:type="auto"/>
            <w:gridSpan w:val="3"/>
            <w:shd w:val="clear" w:color="auto" w:fill="auto"/>
            <w:vAlign w:val="bottom"/>
          </w:tcPr>
          <w:p w14:paraId="5F2D23EA" w14:textId="77777777" w:rsidR="00E836FB" w:rsidRDefault="00E836FB">
            <w:pPr>
              <w:rPr>
                <w:rFonts w:ascii="宋体"/>
                <w:vanish/>
              </w:rPr>
            </w:pPr>
          </w:p>
        </w:tc>
        <w:tc>
          <w:tcPr>
            <w:tcW w:w="0" w:type="auto"/>
            <w:gridSpan w:val="3"/>
            <w:shd w:val="clear" w:color="auto" w:fill="auto"/>
            <w:vAlign w:val="bottom"/>
          </w:tcPr>
          <w:p w14:paraId="5F2D23EB" w14:textId="77777777" w:rsidR="00E836FB" w:rsidRDefault="00E836FB">
            <w:pPr>
              <w:rPr>
                <w:rFonts w:ascii="宋体"/>
                <w:vanish/>
              </w:rPr>
            </w:pPr>
          </w:p>
        </w:tc>
        <w:tc>
          <w:tcPr>
            <w:tcW w:w="0" w:type="auto"/>
            <w:gridSpan w:val="3"/>
            <w:shd w:val="clear" w:color="auto" w:fill="auto"/>
            <w:vAlign w:val="bottom"/>
          </w:tcPr>
          <w:p w14:paraId="5F2D23EC" w14:textId="77777777" w:rsidR="00E836FB" w:rsidRDefault="00E836FB">
            <w:pPr>
              <w:rPr>
                <w:rFonts w:ascii="宋体"/>
                <w:vanish/>
              </w:rPr>
            </w:pPr>
          </w:p>
        </w:tc>
        <w:tc>
          <w:tcPr>
            <w:tcW w:w="0" w:type="auto"/>
            <w:gridSpan w:val="3"/>
            <w:shd w:val="clear" w:color="auto" w:fill="auto"/>
            <w:vAlign w:val="bottom"/>
          </w:tcPr>
          <w:p w14:paraId="5F2D23ED" w14:textId="77777777" w:rsidR="00E836FB" w:rsidRDefault="00E836FB">
            <w:pPr>
              <w:rPr>
                <w:rFonts w:ascii="宋体"/>
                <w:vanish/>
              </w:rPr>
            </w:pPr>
          </w:p>
        </w:tc>
        <w:tc>
          <w:tcPr>
            <w:tcW w:w="0" w:type="auto"/>
            <w:gridSpan w:val="3"/>
            <w:shd w:val="clear" w:color="auto" w:fill="auto"/>
            <w:vAlign w:val="bottom"/>
          </w:tcPr>
          <w:p w14:paraId="5F2D23EE" w14:textId="77777777" w:rsidR="00E836FB" w:rsidRDefault="00E836FB">
            <w:pPr>
              <w:rPr>
                <w:rFonts w:ascii="宋体"/>
                <w:vanish/>
              </w:rPr>
            </w:pPr>
          </w:p>
        </w:tc>
        <w:tc>
          <w:tcPr>
            <w:tcW w:w="0" w:type="auto"/>
            <w:gridSpan w:val="3"/>
            <w:shd w:val="clear" w:color="auto" w:fill="auto"/>
            <w:vAlign w:val="bottom"/>
          </w:tcPr>
          <w:p w14:paraId="5F2D23EF" w14:textId="77777777" w:rsidR="00E836FB" w:rsidRDefault="00E836FB">
            <w:pPr>
              <w:rPr>
                <w:rFonts w:ascii="宋体"/>
                <w:vanish/>
              </w:rPr>
            </w:pPr>
          </w:p>
        </w:tc>
        <w:tc>
          <w:tcPr>
            <w:tcW w:w="0" w:type="auto"/>
            <w:gridSpan w:val="3"/>
            <w:shd w:val="clear" w:color="auto" w:fill="auto"/>
            <w:vAlign w:val="bottom"/>
          </w:tcPr>
          <w:p w14:paraId="5F2D23F0" w14:textId="77777777" w:rsidR="00E836FB" w:rsidRDefault="00E836FB">
            <w:pPr>
              <w:rPr>
                <w:rFonts w:ascii="宋体"/>
                <w:vanish/>
              </w:rPr>
            </w:pPr>
          </w:p>
        </w:tc>
        <w:tc>
          <w:tcPr>
            <w:tcW w:w="0" w:type="auto"/>
            <w:gridSpan w:val="3"/>
            <w:shd w:val="clear" w:color="auto" w:fill="auto"/>
            <w:vAlign w:val="bottom"/>
          </w:tcPr>
          <w:p w14:paraId="5F2D23F1" w14:textId="77777777" w:rsidR="00E836FB" w:rsidRDefault="00E836FB">
            <w:pPr>
              <w:rPr>
                <w:rFonts w:ascii="宋体"/>
                <w:vanish/>
              </w:rPr>
            </w:pPr>
          </w:p>
        </w:tc>
        <w:tc>
          <w:tcPr>
            <w:tcW w:w="0" w:type="auto"/>
            <w:gridSpan w:val="3"/>
            <w:shd w:val="clear" w:color="auto" w:fill="auto"/>
            <w:vAlign w:val="bottom"/>
          </w:tcPr>
          <w:p w14:paraId="5F2D23F2" w14:textId="77777777" w:rsidR="00E836FB" w:rsidRDefault="00E836FB">
            <w:pPr>
              <w:rPr>
                <w:rFonts w:ascii="宋体"/>
                <w:vanish/>
              </w:rPr>
            </w:pPr>
          </w:p>
        </w:tc>
      </w:tr>
      <w:tr w:rsidR="00E836FB" w14:paraId="5F2D2404" w14:textId="77777777">
        <w:trPr>
          <w:hidden/>
        </w:trPr>
        <w:tc>
          <w:tcPr>
            <w:tcW w:w="0" w:type="auto"/>
            <w:gridSpan w:val="3"/>
            <w:shd w:val="clear" w:color="auto" w:fill="auto"/>
            <w:vAlign w:val="bottom"/>
          </w:tcPr>
          <w:p w14:paraId="5F2D23F4" w14:textId="77777777" w:rsidR="00E836FB" w:rsidRDefault="00E836FB">
            <w:pPr>
              <w:rPr>
                <w:rFonts w:ascii="宋体"/>
                <w:vanish/>
              </w:rPr>
            </w:pPr>
          </w:p>
        </w:tc>
        <w:tc>
          <w:tcPr>
            <w:tcW w:w="0" w:type="auto"/>
            <w:gridSpan w:val="3"/>
            <w:shd w:val="clear" w:color="auto" w:fill="auto"/>
            <w:vAlign w:val="bottom"/>
          </w:tcPr>
          <w:p w14:paraId="5F2D23F5" w14:textId="77777777" w:rsidR="00E836FB" w:rsidRDefault="00E836FB">
            <w:pPr>
              <w:rPr>
                <w:rFonts w:ascii="宋体"/>
                <w:vanish/>
              </w:rPr>
            </w:pPr>
          </w:p>
        </w:tc>
        <w:tc>
          <w:tcPr>
            <w:tcW w:w="0" w:type="auto"/>
            <w:gridSpan w:val="3"/>
            <w:shd w:val="clear" w:color="auto" w:fill="auto"/>
            <w:vAlign w:val="bottom"/>
          </w:tcPr>
          <w:p w14:paraId="5F2D23F6" w14:textId="77777777" w:rsidR="00E836FB" w:rsidRDefault="00E836FB">
            <w:pPr>
              <w:rPr>
                <w:rFonts w:ascii="宋体"/>
                <w:vanish/>
              </w:rPr>
            </w:pPr>
          </w:p>
        </w:tc>
        <w:tc>
          <w:tcPr>
            <w:tcW w:w="0" w:type="auto"/>
            <w:gridSpan w:val="3"/>
            <w:shd w:val="clear" w:color="auto" w:fill="auto"/>
            <w:vAlign w:val="bottom"/>
          </w:tcPr>
          <w:p w14:paraId="5F2D23F7" w14:textId="77777777" w:rsidR="00E836FB" w:rsidRDefault="00E836FB">
            <w:pPr>
              <w:rPr>
                <w:rFonts w:ascii="宋体"/>
                <w:vanish/>
              </w:rPr>
            </w:pPr>
          </w:p>
        </w:tc>
        <w:tc>
          <w:tcPr>
            <w:tcW w:w="0" w:type="auto"/>
            <w:gridSpan w:val="3"/>
            <w:shd w:val="clear" w:color="auto" w:fill="auto"/>
            <w:vAlign w:val="bottom"/>
          </w:tcPr>
          <w:p w14:paraId="5F2D23F8" w14:textId="77777777" w:rsidR="00E836FB" w:rsidRDefault="00E836FB">
            <w:pPr>
              <w:rPr>
                <w:rFonts w:ascii="宋体"/>
                <w:vanish/>
              </w:rPr>
            </w:pPr>
          </w:p>
        </w:tc>
        <w:tc>
          <w:tcPr>
            <w:tcW w:w="0" w:type="auto"/>
            <w:gridSpan w:val="3"/>
            <w:shd w:val="clear" w:color="auto" w:fill="auto"/>
            <w:vAlign w:val="bottom"/>
          </w:tcPr>
          <w:p w14:paraId="5F2D23F9" w14:textId="77777777" w:rsidR="00E836FB" w:rsidRDefault="00E836FB">
            <w:pPr>
              <w:rPr>
                <w:rFonts w:ascii="宋体"/>
                <w:vanish/>
              </w:rPr>
            </w:pPr>
          </w:p>
        </w:tc>
        <w:tc>
          <w:tcPr>
            <w:tcW w:w="0" w:type="auto"/>
            <w:gridSpan w:val="3"/>
            <w:shd w:val="clear" w:color="auto" w:fill="auto"/>
            <w:vAlign w:val="bottom"/>
          </w:tcPr>
          <w:p w14:paraId="5F2D23FA" w14:textId="77777777" w:rsidR="00E836FB" w:rsidRDefault="00E836FB">
            <w:pPr>
              <w:rPr>
                <w:rFonts w:ascii="宋体"/>
                <w:vanish/>
              </w:rPr>
            </w:pPr>
          </w:p>
        </w:tc>
        <w:tc>
          <w:tcPr>
            <w:tcW w:w="0" w:type="auto"/>
            <w:gridSpan w:val="3"/>
            <w:shd w:val="clear" w:color="auto" w:fill="auto"/>
            <w:vAlign w:val="bottom"/>
          </w:tcPr>
          <w:p w14:paraId="5F2D23FB" w14:textId="77777777" w:rsidR="00E836FB" w:rsidRDefault="00E836FB">
            <w:pPr>
              <w:rPr>
                <w:rFonts w:ascii="宋体"/>
                <w:vanish/>
              </w:rPr>
            </w:pPr>
          </w:p>
        </w:tc>
        <w:tc>
          <w:tcPr>
            <w:tcW w:w="0" w:type="auto"/>
            <w:gridSpan w:val="3"/>
            <w:shd w:val="clear" w:color="auto" w:fill="auto"/>
            <w:vAlign w:val="bottom"/>
          </w:tcPr>
          <w:p w14:paraId="5F2D23FC" w14:textId="77777777" w:rsidR="00E836FB" w:rsidRDefault="00E836FB">
            <w:pPr>
              <w:rPr>
                <w:rFonts w:ascii="宋体"/>
                <w:vanish/>
              </w:rPr>
            </w:pPr>
          </w:p>
        </w:tc>
        <w:tc>
          <w:tcPr>
            <w:tcW w:w="0" w:type="auto"/>
            <w:gridSpan w:val="3"/>
            <w:shd w:val="clear" w:color="auto" w:fill="auto"/>
            <w:vAlign w:val="bottom"/>
          </w:tcPr>
          <w:p w14:paraId="5F2D23FD" w14:textId="77777777" w:rsidR="00E836FB" w:rsidRDefault="00E836FB">
            <w:pPr>
              <w:rPr>
                <w:rFonts w:ascii="宋体"/>
                <w:vanish/>
              </w:rPr>
            </w:pPr>
          </w:p>
        </w:tc>
        <w:tc>
          <w:tcPr>
            <w:tcW w:w="0" w:type="auto"/>
            <w:gridSpan w:val="3"/>
            <w:shd w:val="clear" w:color="auto" w:fill="auto"/>
            <w:vAlign w:val="bottom"/>
          </w:tcPr>
          <w:p w14:paraId="5F2D23FE" w14:textId="77777777" w:rsidR="00E836FB" w:rsidRDefault="00E836FB">
            <w:pPr>
              <w:rPr>
                <w:rFonts w:ascii="宋体"/>
                <w:vanish/>
              </w:rPr>
            </w:pPr>
          </w:p>
        </w:tc>
        <w:tc>
          <w:tcPr>
            <w:tcW w:w="0" w:type="auto"/>
            <w:gridSpan w:val="3"/>
            <w:shd w:val="clear" w:color="auto" w:fill="auto"/>
            <w:vAlign w:val="bottom"/>
          </w:tcPr>
          <w:p w14:paraId="5F2D23FF" w14:textId="77777777" w:rsidR="00E836FB" w:rsidRDefault="00E836FB">
            <w:pPr>
              <w:rPr>
                <w:rFonts w:ascii="宋体"/>
                <w:vanish/>
              </w:rPr>
            </w:pPr>
          </w:p>
        </w:tc>
        <w:tc>
          <w:tcPr>
            <w:tcW w:w="0" w:type="auto"/>
            <w:gridSpan w:val="3"/>
            <w:shd w:val="clear" w:color="auto" w:fill="auto"/>
            <w:vAlign w:val="bottom"/>
          </w:tcPr>
          <w:p w14:paraId="5F2D2400" w14:textId="77777777" w:rsidR="00E836FB" w:rsidRDefault="00E836FB">
            <w:pPr>
              <w:rPr>
                <w:rFonts w:ascii="宋体"/>
                <w:vanish/>
              </w:rPr>
            </w:pPr>
          </w:p>
        </w:tc>
        <w:tc>
          <w:tcPr>
            <w:tcW w:w="0" w:type="auto"/>
            <w:gridSpan w:val="3"/>
            <w:shd w:val="clear" w:color="auto" w:fill="auto"/>
            <w:vAlign w:val="bottom"/>
          </w:tcPr>
          <w:p w14:paraId="5F2D2401" w14:textId="77777777" w:rsidR="00E836FB" w:rsidRDefault="00E836FB">
            <w:pPr>
              <w:rPr>
                <w:rFonts w:ascii="宋体"/>
                <w:vanish/>
              </w:rPr>
            </w:pPr>
          </w:p>
        </w:tc>
        <w:tc>
          <w:tcPr>
            <w:tcW w:w="0" w:type="auto"/>
            <w:gridSpan w:val="3"/>
            <w:shd w:val="clear" w:color="auto" w:fill="auto"/>
            <w:vAlign w:val="bottom"/>
          </w:tcPr>
          <w:p w14:paraId="5F2D2402" w14:textId="77777777" w:rsidR="00E836FB" w:rsidRDefault="00E836FB">
            <w:pPr>
              <w:rPr>
                <w:rFonts w:ascii="宋体"/>
                <w:vanish/>
              </w:rPr>
            </w:pPr>
          </w:p>
        </w:tc>
        <w:tc>
          <w:tcPr>
            <w:tcW w:w="0" w:type="auto"/>
            <w:gridSpan w:val="3"/>
            <w:shd w:val="clear" w:color="auto" w:fill="auto"/>
            <w:vAlign w:val="bottom"/>
          </w:tcPr>
          <w:p w14:paraId="5F2D2403" w14:textId="77777777" w:rsidR="00E836FB" w:rsidRDefault="00E836FB">
            <w:pPr>
              <w:rPr>
                <w:rFonts w:ascii="宋体"/>
                <w:vanish/>
              </w:rPr>
            </w:pPr>
          </w:p>
        </w:tc>
      </w:tr>
      <w:tr w:rsidR="00E836FB" w14:paraId="5F2D2415" w14:textId="77777777">
        <w:trPr>
          <w:hidden/>
        </w:trPr>
        <w:tc>
          <w:tcPr>
            <w:tcW w:w="0" w:type="auto"/>
            <w:gridSpan w:val="3"/>
            <w:shd w:val="clear" w:color="auto" w:fill="auto"/>
            <w:vAlign w:val="bottom"/>
          </w:tcPr>
          <w:p w14:paraId="5F2D2405" w14:textId="77777777" w:rsidR="00E836FB" w:rsidRDefault="00E836FB">
            <w:pPr>
              <w:rPr>
                <w:rFonts w:ascii="宋体"/>
                <w:vanish/>
              </w:rPr>
            </w:pPr>
          </w:p>
        </w:tc>
        <w:tc>
          <w:tcPr>
            <w:tcW w:w="0" w:type="auto"/>
            <w:gridSpan w:val="3"/>
            <w:shd w:val="clear" w:color="auto" w:fill="auto"/>
            <w:vAlign w:val="bottom"/>
          </w:tcPr>
          <w:p w14:paraId="5F2D2406" w14:textId="77777777" w:rsidR="00E836FB" w:rsidRDefault="00E836FB">
            <w:pPr>
              <w:rPr>
                <w:rFonts w:ascii="宋体"/>
                <w:vanish/>
              </w:rPr>
            </w:pPr>
          </w:p>
        </w:tc>
        <w:tc>
          <w:tcPr>
            <w:tcW w:w="0" w:type="auto"/>
            <w:gridSpan w:val="3"/>
            <w:shd w:val="clear" w:color="auto" w:fill="auto"/>
            <w:vAlign w:val="bottom"/>
          </w:tcPr>
          <w:p w14:paraId="5F2D2407" w14:textId="77777777" w:rsidR="00E836FB" w:rsidRDefault="00E836FB">
            <w:pPr>
              <w:rPr>
                <w:rFonts w:ascii="宋体"/>
                <w:vanish/>
              </w:rPr>
            </w:pPr>
          </w:p>
        </w:tc>
        <w:tc>
          <w:tcPr>
            <w:tcW w:w="0" w:type="auto"/>
            <w:gridSpan w:val="3"/>
            <w:shd w:val="clear" w:color="auto" w:fill="auto"/>
            <w:vAlign w:val="bottom"/>
          </w:tcPr>
          <w:p w14:paraId="5F2D2408" w14:textId="77777777" w:rsidR="00E836FB" w:rsidRDefault="00E836FB">
            <w:pPr>
              <w:rPr>
                <w:rFonts w:ascii="宋体"/>
                <w:vanish/>
              </w:rPr>
            </w:pPr>
          </w:p>
        </w:tc>
        <w:tc>
          <w:tcPr>
            <w:tcW w:w="0" w:type="auto"/>
            <w:gridSpan w:val="3"/>
            <w:shd w:val="clear" w:color="auto" w:fill="auto"/>
            <w:vAlign w:val="bottom"/>
          </w:tcPr>
          <w:p w14:paraId="5F2D2409" w14:textId="77777777" w:rsidR="00E836FB" w:rsidRDefault="00E836FB">
            <w:pPr>
              <w:rPr>
                <w:rFonts w:ascii="宋体"/>
                <w:vanish/>
              </w:rPr>
            </w:pPr>
          </w:p>
        </w:tc>
        <w:tc>
          <w:tcPr>
            <w:tcW w:w="0" w:type="auto"/>
            <w:gridSpan w:val="3"/>
            <w:shd w:val="clear" w:color="auto" w:fill="auto"/>
            <w:vAlign w:val="bottom"/>
          </w:tcPr>
          <w:p w14:paraId="5F2D240A" w14:textId="77777777" w:rsidR="00E836FB" w:rsidRDefault="00E836FB">
            <w:pPr>
              <w:rPr>
                <w:rFonts w:ascii="宋体"/>
                <w:vanish/>
              </w:rPr>
            </w:pPr>
          </w:p>
        </w:tc>
        <w:tc>
          <w:tcPr>
            <w:tcW w:w="0" w:type="auto"/>
            <w:gridSpan w:val="3"/>
            <w:shd w:val="clear" w:color="auto" w:fill="auto"/>
            <w:vAlign w:val="bottom"/>
          </w:tcPr>
          <w:p w14:paraId="5F2D240B" w14:textId="77777777" w:rsidR="00E836FB" w:rsidRDefault="00E836FB">
            <w:pPr>
              <w:rPr>
                <w:rFonts w:ascii="宋体"/>
                <w:vanish/>
              </w:rPr>
            </w:pPr>
          </w:p>
        </w:tc>
        <w:tc>
          <w:tcPr>
            <w:tcW w:w="0" w:type="auto"/>
            <w:gridSpan w:val="3"/>
            <w:shd w:val="clear" w:color="auto" w:fill="auto"/>
            <w:vAlign w:val="bottom"/>
          </w:tcPr>
          <w:p w14:paraId="5F2D240C" w14:textId="77777777" w:rsidR="00E836FB" w:rsidRDefault="00E836FB">
            <w:pPr>
              <w:rPr>
                <w:rFonts w:ascii="宋体"/>
                <w:vanish/>
              </w:rPr>
            </w:pPr>
          </w:p>
        </w:tc>
        <w:tc>
          <w:tcPr>
            <w:tcW w:w="0" w:type="auto"/>
            <w:gridSpan w:val="3"/>
            <w:shd w:val="clear" w:color="auto" w:fill="auto"/>
            <w:vAlign w:val="bottom"/>
          </w:tcPr>
          <w:p w14:paraId="5F2D240D" w14:textId="77777777" w:rsidR="00E836FB" w:rsidRDefault="00E836FB">
            <w:pPr>
              <w:rPr>
                <w:rFonts w:ascii="宋体"/>
                <w:vanish/>
              </w:rPr>
            </w:pPr>
          </w:p>
        </w:tc>
        <w:tc>
          <w:tcPr>
            <w:tcW w:w="0" w:type="auto"/>
            <w:gridSpan w:val="3"/>
            <w:shd w:val="clear" w:color="auto" w:fill="auto"/>
            <w:vAlign w:val="bottom"/>
          </w:tcPr>
          <w:p w14:paraId="5F2D240E" w14:textId="77777777" w:rsidR="00E836FB" w:rsidRDefault="00E836FB">
            <w:pPr>
              <w:rPr>
                <w:rFonts w:ascii="宋体"/>
                <w:vanish/>
              </w:rPr>
            </w:pPr>
          </w:p>
        </w:tc>
        <w:tc>
          <w:tcPr>
            <w:tcW w:w="0" w:type="auto"/>
            <w:gridSpan w:val="3"/>
            <w:shd w:val="clear" w:color="auto" w:fill="auto"/>
            <w:vAlign w:val="bottom"/>
          </w:tcPr>
          <w:p w14:paraId="5F2D240F" w14:textId="77777777" w:rsidR="00E836FB" w:rsidRDefault="00E836FB">
            <w:pPr>
              <w:rPr>
                <w:rFonts w:ascii="宋体"/>
                <w:vanish/>
              </w:rPr>
            </w:pPr>
          </w:p>
        </w:tc>
        <w:tc>
          <w:tcPr>
            <w:tcW w:w="0" w:type="auto"/>
            <w:gridSpan w:val="3"/>
            <w:shd w:val="clear" w:color="auto" w:fill="auto"/>
            <w:vAlign w:val="bottom"/>
          </w:tcPr>
          <w:p w14:paraId="5F2D2410" w14:textId="77777777" w:rsidR="00E836FB" w:rsidRDefault="00E836FB">
            <w:pPr>
              <w:rPr>
                <w:rFonts w:ascii="宋体"/>
                <w:vanish/>
              </w:rPr>
            </w:pPr>
          </w:p>
        </w:tc>
        <w:tc>
          <w:tcPr>
            <w:tcW w:w="0" w:type="auto"/>
            <w:gridSpan w:val="3"/>
            <w:shd w:val="clear" w:color="auto" w:fill="auto"/>
            <w:vAlign w:val="bottom"/>
          </w:tcPr>
          <w:p w14:paraId="5F2D2411" w14:textId="77777777" w:rsidR="00E836FB" w:rsidRDefault="00E836FB">
            <w:pPr>
              <w:rPr>
                <w:rFonts w:ascii="宋体"/>
                <w:vanish/>
              </w:rPr>
            </w:pPr>
          </w:p>
        </w:tc>
        <w:tc>
          <w:tcPr>
            <w:tcW w:w="0" w:type="auto"/>
            <w:gridSpan w:val="3"/>
            <w:shd w:val="clear" w:color="auto" w:fill="auto"/>
            <w:vAlign w:val="bottom"/>
          </w:tcPr>
          <w:p w14:paraId="5F2D2412" w14:textId="77777777" w:rsidR="00E836FB" w:rsidRDefault="00E836FB">
            <w:pPr>
              <w:rPr>
                <w:rFonts w:ascii="宋体"/>
                <w:vanish/>
              </w:rPr>
            </w:pPr>
          </w:p>
        </w:tc>
        <w:tc>
          <w:tcPr>
            <w:tcW w:w="0" w:type="auto"/>
            <w:gridSpan w:val="3"/>
            <w:shd w:val="clear" w:color="auto" w:fill="auto"/>
            <w:vAlign w:val="bottom"/>
          </w:tcPr>
          <w:p w14:paraId="5F2D2413" w14:textId="77777777" w:rsidR="00E836FB" w:rsidRDefault="00E836FB">
            <w:pPr>
              <w:rPr>
                <w:rFonts w:ascii="宋体"/>
                <w:vanish/>
              </w:rPr>
            </w:pPr>
          </w:p>
        </w:tc>
        <w:tc>
          <w:tcPr>
            <w:tcW w:w="0" w:type="auto"/>
            <w:gridSpan w:val="3"/>
            <w:shd w:val="clear" w:color="auto" w:fill="auto"/>
            <w:vAlign w:val="bottom"/>
          </w:tcPr>
          <w:p w14:paraId="5F2D2414" w14:textId="77777777" w:rsidR="00E836FB" w:rsidRDefault="00E836FB">
            <w:pPr>
              <w:rPr>
                <w:rFonts w:ascii="宋体"/>
                <w:vanish/>
              </w:rPr>
            </w:pPr>
          </w:p>
        </w:tc>
      </w:tr>
      <w:tr w:rsidR="00E836FB" w14:paraId="5F2D2426" w14:textId="77777777">
        <w:trPr>
          <w:hidden/>
        </w:trPr>
        <w:tc>
          <w:tcPr>
            <w:tcW w:w="0" w:type="auto"/>
            <w:gridSpan w:val="3"/>
            <w:shd w:val="clear" w:color="auto" w:fill="auto"/>
            <w:vAlign w:val="bottom"/>
          </w:tcPr>
          <w:p w14:paraId="5F2D2416" w14:textId="77777777" w:rsidR="00E836FB" w:rsidRDefault="00E836FB">
            <w:pPr>
              <w:rPr>
                <w:rFonts w:ascii="宋体"/>
                <w:vanish/>
              </w:rPr>
            </w:pPr>
          </w:p>
        </w:tc>
        <w:tc>
          <w:tcPr>
            <w:tcW w:w="0" w:type="auto"/>
            <w:gridSpan w:val="3"/>
            <w:shd w:val="clear" w:color="auto" w:fill="auto"/>
            <w:vAlign w:val="bottom"/>
          </w:tcPr>
          <w:p w14:paraId="5F2D2417" w14:textId="77777777" w:rsidR="00E836FB" w:rsidRDefault="00E836FB">
            <w:pPr>
              <w:rPr>
                <w:rFonts w:ascii="宋体"/>
                <w:vanish/>
              </w:rPr>
            </w:pPr>
          </w:p>
        </w:tc>
        <w:tc>
          <w:tcPr>
            <w:tcW w:w="0" w:type="auto"/>
            <w:gridSpan w:val="3"/>
            <w:shd w:val="clear" w:color="auto" w:fill="auto"/>
            <w:vAlign w:val="bottom"/>
          </w:tcPr>
          <w:p w14:paraId="5F2D2418" w14:textId="77777777" w:rsidR="00E836FB" w:rsidRDefault="00E836FB">
            <w:pPr>
              <w:rPr>
                <w:rFonts w:ascii="宋体"/>
                <w:vanish/>
              </w:rPr>
            </w:pPr>
          </w:p>
        </w:tc>
        <w:tc>
          <w:tcPr>
            <w:tcW w:w="0" w:type="auto"/>
            <w:gridSpan w:val="3"/>
            <w:shd w:val="clear" w:color="auto" w:fill="auto"/>
            <w:vAlign w:val="bottom"/>
          </w:tcPr>
          <w:p w14:paraId="5F2D2419" w14:textId="77777777" w:rsidR="00E836FB" w:rsidRDefault="00E836FB">
            <w:pPr>
              <w:rPr>
                <w:rFonts w:ascii="宋体"/>
                <w:vanish/>
              </w:rPr>
            </w:pPr>
          </w:p>
        </w:tc>
        <w:tc>
          <w:tcPr>
            <w:tcW w:w="0" w:type="auto"/>
            <w:gridSpan w:val="3"/>
            <w:shd w:val="clear" w:color="auto" w:fill="auto"/>
            <w:vAlign w:val="bottom"/>
          </w:tcPr>
          <w:p w14:paraId="5F2D241A" w14:textId="77777777" w:rsidR="00E836FB" w:rsidRDefault="00E836FB">
            <w:pPr>
              <w:rPr>
                <w:rFonts w:ascii="宋体"/>
                <w:vanish/>
              </w:rPr>
            </w:pPr>
          </w:p>
        </w:tc>
        <w:tc>
          <w:tcPr>
            <w:tcW w:w="0" w:type="auto"/>
            <w:gridSpan w:val="3"/>
            <w:shd w:val="clear" w:color="auto" w:fill="auto"/>
            <w:vAlign w:val="bottom"/>
          </w:tcPr>
          <w:p w14:paraId="5F2D241B" w14:textId="77777777" w:rsidR="00E836FB" w:rsidRDefault="00E836FB">
            <w:pPr>
              <w:rPr>
                <w:rFonts w:ascii="宋体"/>
                <w:vanish/>
              </w:rPr>
            </w:pPr>
          </w:p>
        </w:tc>
        <w:tc>
          <w:tcPr>
            <w:tcW w:w="0" w:type="auto"/>
            <w:gridSpan w:val="3"/>
            <w:shd w:val="clear" w:color="auto" w:fill="auto"/>
            <w:vAlign w:val="bottom"/>
          </w:tcPr>
          <w:p w14:paraId="5F2D241C" w14:textId="77777777" w:rsidR="00E836FB" w:rsidRDefault="00E836FB">
            <w:pPr>
              <w:rPr>
                <w:rFonts w:ascii="宋体"/>
                <w:vanish/>
              </w:rPr>
            </w:pPr>
          </w:p>
        </w:tc>
        <w:tc>
          <w:tcPr>
            <w:tcW w:w="0" w:type="auto"/>
            <w:gridSpan w:val="3"/>
            <w:shd w:val="clear" w:color="auto" w:fill="auto"/>
            <w:vAlign w:val="bottom"/>
          </w:tcPr>
          <w:p w14:paraId="5F2D241D" w14:textId="77777777" w:rsidR="00E836FB" w:rsidRDefault="00E836FB">
            <w:pPr>
              <w:rPr>
                <w:rFonts w:ascii="宋体"/>
                <w:vanish/>
              </w:rPr>
            </w:pPr>
          </w:p>
        </w:tc>
        <w:tc>
          <w:tcPr>
            <w:tcW w:w="0" w:type="auto"/>
            <w:gridSpan w:val="3"/>
            <w:shd w:val="clear" w:color="auto" w:fill="auto"/>
            <w:vAlign w:val="bottom"/>
          </w:tcPr>
          <w:p w14:paraId="5F2D241E" w14:textId="77777777" w:rsidR="00E836FB" w:rsidRDefault="00E836FB">
            <w:pPr>
              <w:rPr>
                <w:rFonts w:ascii="宋体"/>
                <w:vanish/>
              </w:rPr>
            </w:pPr>
          </w:p>
        </w:tc>
        <w:tc>
          <w:tcPr>
            <w:tcW w:w="0" w:type="auto"/>
            <w:gridSpan w:val="3"/>
            <w:shd w:val="clear" w:color="auto" w:fill="auto"/>
            <w:vAlign w:val="bottom"/>
          </w:tcPr>
          <w:p w14:paraId="5F2D241F" w14:textId="77777777" w:rsidR="00E836FB" w:rsidRDefault="00E836FB">
            <w:pPr>
              <w:rPr>
                <w:rFonts w:ascii="宋体"/>
                <w:vanish/>
              </w:rPr>
            </w:pPr>
          </w:p>
        </w:tc>
        <w:tc>
          <w:tcPr>
            <w:tcW w:w="0" w:type="auto"/>
            <w:gridSpan w:val="3"/>
            <w:shd w:val="clear" w:color="auto" w:fill="auto"/>
            <w:vAlign w:val="bottom"/>
          </w:tcPr>
          <w:p w14:paraId="5F2D2420" w14:textId="77777777" w:rsidR="00E836FB" w:rsidRDefault="00E836FB">
            <w:pPr>
              <w:rPr>
                <w:rFonts w:ascii="宋体"/>
                <w:vanish/>
              </w:rPr>
            </w:pPr>
          </w:p>
        </w:tc>
        <w:tc>
          <w:tcPr>
            <w:tcW w:w="0" w:type="auto"/>
            <w:gridSpan w:val="3"/>
            <w:shd w:val="clear" w:color="auto" w:fill="auto"/>
            <w:vAlign w:val="bottom"/>
          </w:tcPr>
          <w:p w14:paraId="5F2D2421" w14:textId="77777777" w:rsidR="00E836FB" w:rsidRDefault="00E836FB">
            <w:pPr>
              <w:rPr>
                <w:rFonts w:ascii="宋体"/>
                <w:vanish/>
              </w:rPr>
            </w:pPr>
          </w:p>
        </w:tc>
        <w:tc>
          <w:tcPr>
            <w:tcW w:w="0" w:type="auto"/>
            <w:gridSpan w:val="3"/>
            <w:shd w:val="clear" w:color="auto" w:fill="auto"/>
            <w:vAlign w:val="bottom"/>
          </w:tcPr>
          <w:p w14:paraId="5F2D2422" w14:textId="77777777" w:rsidR="00E836FB" w:rsidRDefault="00E836FB">
            <w:pPr>
              <w:rPr>
                <w:rFonts w:ascii="宋体"/>
                <w:vanish/>
              </w:rPr>
            </w:pPr>
          </w:p>
        </w:tc>
        <w:tc>
          <w:tcPr>
            <w:tcW w:w="0" w:type="auto"/>
            <w:gridSpan w:val="3"/>
            <w:shd w:val="clear" w:color="auto" w:fill="auto"/>
            <w:vAlign w:val="bottom"/>
          </w:tcPr>
          <w:p w14:paraId="5F2D2423" w14:textId="77777777" w:rsidR="00E836FB" w:rsidRDefault="00E836FB">
            <w:pPr>
              <w:rPr>
                <w:rFonts w:ascii="宋体"/>
                <w:vanish/>
              </w:rPr>
            </w:pPr>
          </w:p>
        </w:tc>
        <w:tc>
          <w:tcPr>
            <w:tcW w:w="0" w:type="auto"/>
            <w:gridSpan w:val="3"/>
            <w:shd w:val="clear" w:color="auto" w:fill="auto"/>
            <w:vAlign w:val="bottom"/>
          </w:tcPr>
          <w:p w14:paraId="5F2D2424" w14:textId="77777777" w:rsidR="00E836FB" w:rsidRDefault="00E836FB">
            <w:pPr>
              <w:rPr>
                <w:rFonts w:ascii="宋体"/>
                <w:vanish/>
              </w:rPr>
            </w:pPr>
          </w:p>
        </w:tc>
        <w:tc>
          <w:tcPr>
            <w:tcW w:w="0" w:type="auto"/>
            <w:gridSpan w:val="3"/>
            <w:shd w:val="clear" w:color="auto" w:fill="auto"/>
            <w:vAlign w:val="bottom"/>
          </w:tcPr>
          <w:p w14:paraId="5F2D2425" w14:textId="77777777" w:rsidR="00E836FB" w:rsidRDefault="00E836FB">
            <w:pPr>
              <w:rPr>
                <w:rFonts w:ascii="宋体"/>
                <w:vanish/>
              </w:rPr>
            </w:pPr>
          </w:p>
        </w:tc>
      </w:tr>
      <w:tr w:rsidR="00E836FB" w14:paraId="5F2D2437" w14:textId="77777777">
        <w:trPr>
          <w:hidden/>
        </w:trPr>
        <w:tc>
          <w:tcPr>
            <w:tcW w:w="0" w:type="auto"/>
            <w:gridSpan w:val="3"/>
            <w:shd w:val="clear" w:color="auto" w:fill="auto"/>
            <w:vAlign w:val="bottom"/>
          </w:tcPr>
          <w:p w14:paraId="5F2D2427" w14:textId="77777777" w:rsidR="00E836FB" w:rsidRDefault="00E836FB">
            <w:pPr>
              <w:rPr>
                <w:rFonts w:ascii="宋体"/>
                <w:vanish/>
              </w:rPr>
            </w:pPr>
          </w:p>
        </w:tc>
        <w:tc>
          <w:tcPr>
            <w:tcW w:w="0" w:type="auto"/>
            <w:gridSpan w:val="3"/>
            <w:shd w:val="clear" w:color="auto" w:fill="auto"/>
            <w:vAlign w:val="bottom"/>
          </w:tcPr>
          <w:p w14:paraId="5F2D2428" w14:textId="77777777" w:rsidR="00E836FB" w:rsidRDefault="00E836FB">
            <w:pPr>
              <w:rPr>
                <w:rFonts w:ascii="宋体"/>
                <w:vanish/>
              </w:rPr>
            </w:pPr>
          </w:p>
        </w:tc>
        <w:tc>
          <w:tcPr>
            <w:tcW w:w="0" w:type="auto"/>
            <w:gridSpan w:val="3"/>
            <w:shd w:val="clear" w:color="auto" w:fill="auto"/>
            <w:vAlign w:val="bottom"/>
          </w:tcPr>
          <w:p w14:paraId="5F2D2429" w14:textId="77777777" w:rsidR="00E836FB" w:rsidRDefault="00E836FB">
            <w:pPr>
              <w:rPr>
                <w:rFonts w:ascii="宋体"/>
                <w:vanish/>
              </w:rPr>
            </w:pPr>
          </w:p>
        </w:tc>
        <w:tc>
          <w:tcPr>
            <w:tcW w:w="0" w:type="auto"/>
            <w:gridSpan w:val="3"/>
            <w:shd w:val="clear" w:color="auto" w:fill="auto"/>
            <w:vAlign w:val="bottom"/>
          </w:tcPr>
          <w:p w14:paraId="5F2D242A" w14:textId="77777777" w:rsidR="00E836FB" w:rsidRDefault="00E836FB">
            <w:pPr>
              <w:rPr>
                <w:rFonts w:ascii="宋体"/>
                <w:vanish/>
              </w:rPr>
            </w:pPr>
          </w:p>
        </w:tc>
        <w:tc>
          <w:tcPr>
            <w:tcW w:w="0" w:type="auto"/>
            <w:gridSpan w:val="3"/>
            <w:shd w:val="clear" w:color="auto" w:fill="auto"/>
            <w:vAlign w:val="bottom"/>
          </w:tcPr>
          <w:p w14:paraId="5F2D242B" w14:textId="77777777" w:rsidR="00E836FB" w:rsidRDefault="00E836FB">
            <w:pPr>
              <w:rPr>
                <w:rFonts w:ascii="宋体"/>
                <w:vanish/>
              </w:rPr>
            </w:pPr>
          </w:p>
        </w:tc>
        <w:tc>
          <w:tcPr>
            <w:tcW w:w="0" w:type="auto"/>
            <w:gridSpan w:val="3"/>
            <w:shd w:val="clear" w:color="auto" w:fill="auto"/>
            <w:vAlign w:val="bottom"/>
          </w:tcPr>
          <w:p w14:paraId="5F2D242C" w14:textId="77777777" w:rsidR="00E836FB" w:rsidRDefault="00E836FB">
            <w:pPr>
              <w:rPr>
                <w:rFonts w:ascii="宋体"/>
                <w:vanish/>
              </w:rPr>
            </w:pPr>
          </w:p>
        </w:tc>
        <w:tc>
          <w:tcPr>
            <w:tcW w:w="0" w:type="auto"/>
            <w:gridSpan w:val="3"/>
            <w:shd w:val="clear" w:color="auto" w:fill="auto"/>
            <w:vAlign w:val="bottom"/>
          </w:tcPr>
          <w:p w14:paraId="5F2D242D" w14:textId="77777777" w:rsidR="00E836FB" w:rsidRDefault="00E836FB">
            <w:pPr>
              <w:rPr>
                <w:rFonts w:ascii="宋体"/>
                <w:vanish/>
              </w:rPr>
            </w:pPr>
          </w:p>
        </w:tc>
        <w:tc>
          <w:tcPr>
            <w:tcW w:w="0" w:type="auto"/>
            <w:gridSpan w:val="3"/>
            <w:shd w:val="clear" w:color="auto" w:fill="auto"/>
            <w:vAlign w:val="bottom"/>
          </w:tcPr>
          <w:p w14:paraId="5F2D242E" w14:textId="77777777" w:rsidR="00E836FB" w:rsidRDefault="00E836FB">
            <w:pPr>
              <w:rPr>
                <w:rFonts w:ascii="宋体"/>
                <w:vanish/>
              </w:rPr>
            </w:pPr>
          </w:p>
        </w:tc>
        <w:tc>
          <w:tcPr>
            <w:tcW w:w="0" w:type="auto"/>
            <w:gridSpan w:val="3"/>
            <w:shd w:val="clear" w:color="auto" w:fill="auto"/>
            <w:vAlign w:val="bottom"/>
          </w:tcPr>
          <w:p w14:paraId="5F2D242F" w14:textId="77777777" w:rsidR="00E836FB" w:rsidRDefault="00E836FB">
            <w:pPr>
              <w:rPr>
                <w:rFonts w:ascii="宋体"/>
                <w:vanish/>
              </w:rPr>
            </w:pPr>
          </w:p>
        </w:tc>
        <w:tc>
          <w:tcPr>
            <w:tcW w:w="0" w:type="auto"/>
            <w:gridSpan w:val="3"/>
            <w:shd w:val="clear" w:color="auto" w:fill="auto"/>
            <w:vAlign w:val="bottom"/>
          </w:tcPr>
          <w:p w14:paraId="5F2D2430" w14:textId="77777777" w:rsidR="00E836FB" w:rsidRDefault="00E836FB">
            <w:pPr>
              <w:rPr>
                <w:rFonts w:ascii="宋体"/>
                <w:vanish/>
              </w:rPr>
            </w:pPr>
          </w:p>
        </w:tc>
        <w:tc>
          <w:tcPr>
            <w:tcW w:w="0" w:type="auto"/>
            <w:gridSpan w:val="3"/>
            <w:shd w:val="clear" w:color="auto" w:fill="auto"/>
            <w:vAlign w:val="bottom"/>
          </w:tcPr>
          <w:p w14:paraId="5F2D2431" w14:textId="77777777" w:rsidR="00E836FB" w:rsidRDefault="00E836FB">
            <w:pPr>
              <w:rPr>
                <w:rFonts w:ascii="宋体"/>
                <w:vanish/>
              </w:rPr>
            </w:pPr>
          </w:p>
        </w:tc>
        <w:tc>
          <w:tcPr>
            <w:tcW w:w="0" w:type="auto"/>
            <w:gridSpan w:val="3"/>
            <w:shd w:val="clear" w:color="auto" w:fill="auto"/>
            <w:vAlign w:val="bottom"/>
          </w:tcPr>
          <w:p w14:paraId="5F2D2432" w14:textId="77777777" w:rsidR="00E836FB" w:rsidRDefault="00E836FB">
            <w:pPr>
              <w:rPr>
                <w:rFonts w:ascii="宋体"/>
                <w:vanish/>
              </w:rPr>
            </w:pPr>
          </w:p>
        </w:tc>
        <w:tc>
          <w:tcPr>
            <w:tcW w:w="0" w:type="auto"/>
            <w:gridSpan w:val="3"/>
            <w:shd w:val="clear" w:color="auto" w:fill="auto"/>
            <w:vAlign w:val="bottom"/>
          </w:tcPr>
          <w:p w14:paraId="5F2D2433" w14:textId="77777777" w:rsidR="00E836FB" w:rsidRDefault="00E836FB">
            <w:pPr>
              <w:rPr>
                <w:rFonts w:ascii="宋体"/>
                <w:vanish/>
              </w:rPr>
            </w:pPr>
          </w:p>
        </w:tc>
        <w:tc>
          <w:tcPr>
            <w:tcW w:w="0" w:type="auto"/>
            <w:gridSpan w:val="3"/>
            <w:shd w:val="clear" w:color="auto" w:fill="auto"/>
            <w:vAlign w:val="bottom"/>
          </w:tcPr>
          <w:p w14:paraId="5F2D2434" w14:textId="77777777" w:rsidR="00E836FB" w:rsidRDefault="00E836FB">
            <w:pPr>
              <w:rPr>
                <w:rFonts w:ascii="宋体"/>
                <w:vanish/>
              </w:rPr>
            </w:pPr>
          </w:p>
        </w:tc>
        <w:tc>
          <w:tcPr>
            <w:tcW w:w="0" w:type="auto"/>
            <w:gridSpan w:val="3"/>
            <w:shd w:val="clear" w:color="auto" w:fill="auto"/>
            <w:vAlign w:val="bottom"/>
          </w:tcPr>
          <w:p w14:paraId="5F2D2435" w14:textId="77777777" w:rsidR="00E836FB" w:rsidRDefault="00E836FB">
            <w:pPr>
              <w:rPr>
                <w:rFonts w:ascii="宋体"/>
                <w:vanish/>
              </w:rPr>
            </w:pPr>
          </w:p>
        </w:tc>
        <w:tc>
          <w:tcPr>
            <w:tcW w:w="0" w:type="auto"/>
            <w:gridSpan w:val="3"/>
            <w:shd w:val="clear" w:color="auto" w:fill="auto"/>
            <w:vAlign w:val="bottom"/>
          </w:tcPr>
          <w:p w14:paraId="5F2D2436" w14:textId="77777777" w:rsidR="00E836FB" w:rsidRDefault="00E836FB">
            <w:pPr>
              <w:rPr>
                <w:rFonts w:ascii="宋体"/>
                <w:vanish/>
              </w:rPr>
            </w:pPr>
          </w:p>
        </w:tc>
      </w:tr>
    </w:tbl>
    <w:p w14:paraId="5F2D2438"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D243F" w14:textId="77777777">
        <w:tc>
          <w:tcPr>
            <w:tcW w:w="50" w:type="pct"/>
            <w:shd w:val="clear" w:color="auto" w:fill="auto"/>
            <w:vAlign w:val="bottom"/>
          </w:tcPr>
          <w:p w14:paraId="5F2D2439" w14:textId="77777777" w:rsidR="00E836FB" w:rsidRDefault="00E836FB">
            <w:pPr>
              <w:rPr>
                <w:rFonts w:ascii="宋体"/>
              </w:rPr>
            </w:pPr>
          </w:p>
        </w:tc>
        <w:tc>
          <w:tcPr>
            <w:tcW w:w="1348" w:type="pct"/>
            <w:shd w:val="clear" w:color="auto" w:fill="auto"/>
            <w:vAlign w:val="bottom"/>
          </w:tcPr>
          <w:p w14:paraId="5F2D243A" w14:textId="77777777" w:rsidR="00E836FB" w:rsidRDefault="00E836FB">
            <w:pPr>
              <w:rPr>
                <w:rFonts w:ascii="宋体"/>
              </w:rPr>
            </w:pPr>
          </w:p>
        </w:tc>
        <w:tc>
          <w:tcPr>
            <w:tcW w:w="5" w:type="pct"/>
            <w:shd w:val="clear" w:color="auto" w:fill="auto"/>
            <w:vAlign w:val="bottom"/>
          </w:tcPr>
          <w:p w14:paraId="5F2D243B" w14:textId="77777777" w:rsidR="00E836FB" w:rsidRDefault="00E836FB">
            <w:pPr>
              <w:rPr>
                <w:rFonts w:ascii="宋体"/>
              </w:rPr>
            </w:pPr>
          </w:p>
        </w:tc>
        <w:tc>
          <w:tcPr>
            <w:tcW w:w="50" w:type="pct"/>
            <w:shd w:val="clear" w:color="auto" w:fill="auto"/>
            <w:vAlign w:val="bottom"/>
          </w:tcPr>
          <w:p w14:paraId="5F2D243C" w14:textId="77777777" w:rsidR="00E836FB" w:rsidRDefault="00E836FB">
            <w:pPr>
              <w:rPr>
                <w:rFonts w:ascii="宋体"/>
              </w:rPr>
            </w:pPr>
          </w:p>
        </w:tc>
        <w:tc>
          <w:tcPr>
            <w:tcW w:w="3541" w:type="pct"/>
            <w:shd w:val="clear" w:color="auto" w:fill="auto"/>
            <w:vAlign w:val="bottom"/>
          </w:tcPr>
          <w:p w14:paraId="5F2D243D" w14:textId="77777777" w:rsidR="00E836FB" w:rsidRDefault="00E836FB">
            <w:pPr>
              <w:rPr>
                <w:rFonts w:ascii="宋体"/>
              </w:rPr>
            </w:pPr>
          </w:p>
        </w:tc>
        <w:tc>
          <w:tcPr>
            <w:tcW w:w="5" w:type="pct"/>
            <w:shd w:val="clear" w:color="auto" w:fill="auto"/>
            <w:vAlign w:val="bottom"/>
          </w:tcPr>
          <w:p w14:paraId="5F2D243E" w14:textId="77777777" w:rsidR="00E836FB" w:rsidRDefault="00E836FB">
            <w:pPr>
              <w:rPr>
                <w:rFonts w:ascii="宋体"/>
              </w:rPr>
            </w:pPr>
          </w:p>
        </w:tc>
      </w:tr>
      <w:tr w:rsidR="00E836FB" w14:paraId="5F2D244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4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41" w14:textId="77777777" w:rsidR="00E836FB" w:rsidRDefault="00E836FB">
            <w:pPr>
              <w:rPr>
                <w:rFonts w:ascii="宋体"/>
              </w:rPr>
            </w:pPr>
          </w:p>
        </w:tc>
      </w:tr>
    </w:tbl>
    <w:p w14:paraId="5F2D2443" w14:textId="77777777" w:rsidR="00E836FB" w:rsidRDefault="00994958">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2020, accrued interest receivable of $72 million included in the amortized cost basis of loans has been excluded from the </w:t>
      </w:r>
      <w:r>
        <w:rPr>
          <w:rFonts w:ascii="Arial" w:eastAsia="宋体" w:hAnsi="Arial" w:cs="Arial"/>
          <w:color w:val="000000"/>
          <w:sz w:val="13"/>
          <w:szCs w:val="13"/>
        </w:rPr>
        <w:t>amortized cost basis within this table.</w:t>
      </w:r>
    </w:p>
    <w:p w14:paraId="5F2D2444" w14:textId="77777777" w:rsidR="00E836FB" w:rsidRDefault="00E836FB">
      <w:pPr>
        <w:spacing w:before="60" w:after="100"/>
        <w:ind w:firstLine="450"/>
        <w:jc w:val="both"/>
      </w:pPr>
    </w:p>
    <w:p w14:paraId="5F2D2445" w14:textId="77777777" w:rsidR="00E836FB" w:rsidRDefault="00994958">
      <w:pPr>
        <w:ind w:firstLine="450"/>
        <w:jc w:val="right"/>
      </w:pPr>
      <w:r>
        <w:rPr>
          <w:rFonts w:ascii="Arial" w:eastAsia="宋体" w:hAnsi="Arial" w:cs="Arial"/>
          <w:color w:val="000000"/>
          <w:sz w:val="18"/>
          <w:szCs w:val="18"/>
        </w:rPr>
        <w:t>State Street Corporation | 153</w:t>
      </w:r>
    </w:p>
    <w:p w14:paraId="5F2D2446" w14:textId="77777777" w:rsidR="00E836FB" w:rsidRDefault="00E836FB">
      <w:pPr>
        <w:ind w:firstLine="450"/>
        <w:jc w:val="center"/>
      </w:pPr>
    </w:p>
    <w:p w14:paraId="5F2D2447" w14:textId="77777777" w:rsidR="00E836FB" w:rsidRDefault="00994958">
      <w:r>
        <w:pict w14:anchorId="5F2D6E1E">
          <v:rect id="_x0000_i1177" style="width:415.3pt;height:1.5pt" o:hralign="center" o:hrstd="t" o:hr="t" fillcolor="#a0a0a0" stroked="f"/>
        </w:pict>
      </w:r>
    </w:p>
    <w:p w14:paraId="5F2D2448" w14:textId="77777777" w:rsidR="00E836FB" w:rsidRDefault="00994958">
      <w:pPr>
        <w:ind w:firstLine="450"/>
        <w:jc w:val="center"/>
      </w:pPr>
      <w:r>
        <w:rPr>
          <w:rFonts w:ascii="Arial" w:eastAsia="宋体" w:hAnsi="Arial" w:cs="Arial"/>
          <w:b/>
          <w:bCs/>
          <w:color w:val="000000"/>
          <w:sz w:val="20"/>
          <w:szCs w:val="20"/>
        </w:rPr>
        <w:t>STATE STREET CORPORATION</w:t>
      </w:r>
    </w:p>
    <w:p w14:paraId="5F2D2449"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244A" w14:textId="77777777" w:rsidR="00E836FB" w:rsidRDefault="00994958">
      <w:pPr>
        <w:spacing w:before="60" w:after="100"/>
        <w:ind w:firstLine="450"/>
        <w:jc w:val="both"/>
      </w:pPr>
      <w:r>
        <w:rPr>
          <w:rFonts w:ascii="Arial" w:eastAsia="宋体" w:hAnsi="Arial" w:cs="Arial"/>
          <w:color w:val="000000"/>
          <w:sz w:val="20"/>
          <w:szCs w:val="20"/>
        </w:rPr>
        <w:t xml:space="preserve">The following table presents the activity in the allowance for credit losses by portfolio and class for the </w:t>
      </w:r>
      <w:r>
        <w:rPr>
          <w:rFonts w:ascii="Arial" w:eastAsia="宋体" w:hAnsi="Arial" w:cs="Arial"/>
          <w:color w:val="000000"/>
          <w:sz w:val="20"/>
          <w:szCs w:val="20"/>
        </w:rPr>
        <w:t>years ended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53"/>
        <w:gridCol w:w="894"/>
        <w:gridCol w:w="38"/>
        <w:gridCol w:w="100"/>
        <w:gridCol w:w="652"/>
        <w:gridCol w:w="38"/>
        <w:gridCol w:w="36"/>
        <w:gridCol w:w="36"/>
        <w:gridCol w:w="36"/>
        <w:gridCol w:w="99"/>
        <w:gridCol w:w="498"/>
        <w:gridCol w:w="37"/>
        <w:gridCol w:w="36"/>
        <w:gridCol w:w="36"/>
        <w:gridCol w:w="36"/>
        <w:gridCol w:w="99"/>
        <w:gridCol w:w="745"/>
        <w:gridCol w:w="36"/>
        <w:gridCol w:w="36"/>
        <w:gridCol w:w="36"/>
        <w:gridCol w:w="36"/>
        <w:gridCol w:w="124"/>
        <w:gridCol w:w="1072"/>
        <w:gridCol w:w="36"/>
        <w:gridCol w:w="36"/>
        <w:gridCol w:w="36"/>
        <w:gridCol w:w="36"/>
        <w:gridCol w:w="114"/>
        <w:gridCol w:w="989"/>
        <w:gridCol w:w="36"/>
        <w:gridCol w:w="36"/>
        <w:gridCol w:w="36"/>
        <w:gridCol w:w="36"/>
        <w:gridCol w:w="99"/>
        <w:gridCol w:w="877"/>
        <w:gridCol w:w="36"/>
        <w:gridCol w:w="36"/>
        <w:gridCol w:w="36"/>
        <w:gridCol w:w="36"/>
        <w:gridCol w:w="99"/>
        <w:gridCol w:w="366"/>
        <w:gridCol w:w="36"/>
        <w:gridCol w:w="36"/>
        <w:gridCol w:w="36"/>
        <w:gridCol w:w="36"/>
        <w:gridCol w:w="98"/>
        <w:gridCol w:w="273"/>
        <w:gridCol w:w="36"/>
      </w:tblGrid>
      <w:tr w:rsidR="00E836FB" w14:paraId="5F2D247B" w14:textId="77777777">
        <w:tc>
          <w:tcPr>
            <w:tcW w:w="50" w:type="pct"/>
            <w:shd w:val="clear" w:color="auto" w:fill="auto"/>
            <w:vAlign w:val="bottom"/>
          </w:tcPr>
          <w:p w14:paraId="5F2D244B" w14:textId="77777777" w:rsidR="00E836FB" w:rsidRDefault="00E836FB">
            <w:pPr>
              <w:rPr>
                <w:rFonts w:ascii="宋体"/>
              </w:rPr>
            </w:pPr>
          </w:p>
        </w:tc>
        <w:tc>
          <w:tcPr>
            <w:tcW w:w="792" w:type="pct"/>
            <w:shd w:val="clear" w:color="auto" w:fill="auto"/>
            <w:vAlign w:val="bottom"/>
          </w:tcPr>
          <w:p w14:paraId="5F2D244C" w14:textId="77777777" w:rsidR="00E836FB" w:rsidRDefault="00E836FB">
            <w:pPr>
              <w:rPr>
                <w:rFonts w:ascii="宋体"/>
              </w:rPr>
            </w:pPr>
          </w:p>
        </w:tc>
        <w:tc>
          <w:tcPr>
            <w:tcW w:w="5" w:type="pct"/>
            <w:shd w:val="clear" w:color="auto" w:fill="auto"/>
            <w:vAlign w:val="bottom"/>
          </w:tcPr>
          <w:p w14:paraId="5F2D244D" w14:textId="77777777" w:rsidR="00E836FB" w:rsidRDefault="00E836FB">
            <w:pPr>
              <w:rPr>
                <w:rFonts w:ascii="宋体"/>
              </w:rPr>
            </w:pPr>
          </w:p>
        </w:tc>
        <w:tc>
          <w:tcPr>
            <w:tcW w:w="50" w:type="pct"/>
            <w:shd w:val="clear" w:color="auto" w:fill="auto"/>
            <w:vAlign w:val="bottom"/>
          </w:tcPr>
          <w:p w14:paraId="5F2D244E" w14:textId="77777777" w:rsidR="00E836FB" w:rsidRDefault="00E836FB">
            <w:pPr>
              <w:rPr>
                <w:rFonts w:ascii="宋体"/>
              </w:rPr>
            </w:pPr>
          </w:p>
        </w:tc>
        <w:tc>
          <w:tcPr>
            <w:tcW w:w="405" w:type="pct"/>
            <w:shd w:val="clear" w:color="auto" w:fill="auto"/>
            <w:vAlign w:val="bottom"/>
          </w:tcPr>
          <w:p w14:paraId="5F2D244F" w14:textId="77777777" w:rsidR="00E836FB" w:rsidRDefault="00E836FB">
            <w:pPr>
              <w:rPr>
                <w:rFonts w:ascii="宋体"/>
              </w:rPr>
            </w:pPr>
          </w:p>
        </w:tc>
        <w:tc>
          <w:tcPr>
            <w:tcW w:w="5" w:type="pct"/>
            <w:shd w:val="clear" w:color="auto" w:fill="auto"/>
            <w:vAlign w:val="bottom"/>
          </w:tcPr>
          <w:p w14:paraId="5F2D2450" w14:textId="77777777" w:rsidR="00E836FB" w:rsidRDefault="00E836FB">
            <w:pPr>
              <w:rPr>
                <w:rFonts w:ascii="宋体"/>
              </w:rPr>
            </w:pPr>
          </w:p>
        </w:tc>
        <w:tc>
          <w:tcPr>
            <w:tcW w:w="5" w:type="pct"/>
            <w:shd w:val="clear" w:color="auto" w:fill="auto"/>
            <w:vAlign w:val="bottom"/>
          </w:tcPr>
          <w:p w14:paraId="5F2D2451" w14:textId="77777777" w:rsidR="00E836FB" w:rsidRDefault="00E836FB">
            <w:pPr>
              <w:rPr>
                <w:rFonts w:ascii="宋体"/>
              </w:rPr>
            </w:pPr>
          </w:p>
        </w:tc>
        <w:tc>
          <w:tcPr>
            <w:tcW w:w="26" w:type="pct"/>
            <w:shd w:val="clear" w:color="auto" w:fill="auto"/>
            <w:vAlign w:val="bottom"/>
          </w:tcPr>
          <w:p w14:paraId="5F2D2452" w14:textId="77777777" w:rsidR="00E836FB" w:rsidRDefault="00E836FB">
            <w:pPr>
              <w:rPr>
                <w:rFonts w:ascii="宋体"/>
              </w:rPr>
            </w:pPr>
          </w:p>
        </w:tc>
        <w:tc>
          <w:tcPr>
            <w:tcW w:w="5" w:type="pct"/>
            <w:shd w:val="clear" w:color="auto" w:fill="auto"/>
            <w:vAlign w:val="bottom"/>
          </w:tcPr>
          <w:p w14:paraId="5F2D2453" w14:textId="77777777" w:rsidR="00E836FB" w:rsidRDefault="00E836FB">
            <w:pPr>
              <w:rPr>
                <w:rFonts w:ascii="宋体"/>
              </w:rPr>
            </w:pPr>
          </w:p>
        </w:tc>
        <w:tc>
          <w:tcPr>
            <w:tcW w:w="50" w:type="pct"/>
            <w:shd w:val="clear" w:color="auto" w:fill="auto"/>
            <w:vAlign w:val="bottom"/>
          </w:tcPr>
          <w:p w14:paraId="5F2D2454" w14:textId="77777777" w:rsidR="00E836FB" w:rsidRDefault="00E836FB">
            <w:pPr>
              <w:rPr>
                <w:rFonts w:ascii="宋体"/>
              </w:rPr>
            </w:pPr>
          </w:p>
        </w:tc>
        <w:tc>
          <w:tcPr>
            <w:tcW w:w="420" w:type="pct"/>
            <w:shd w:val="clear" w:color="auto" w:fill="auto"/>
            <w:vAlign w:val="bottom"/>
          </w:tcPr>
          <w:p w14:paraId="5F2D2455" w14:textId="77777777" w:rsidR="00E836FB" w:rsidRDefault="00E836FB">
            <w:pPr>
              <w:rPr>
                <w:rFonts w:ascii="宋体"/>
              </w:rPr>
            </w:pPr>
          </w:p>
        </w:tc>
        <w:tc>
          <w:tcPr>
            <w:tcW w:w="5" w:type="pct"/>
            <w:shd w:val="clear" w:color="auto" w:fill="auto"/>
            <w:vAlign w:val="bottom"/>
          </w:tcPr>
          <w:p w14:paraId="5F2D2456" w14:textId="77777777" w:rsidR="00E836FB" w:rsidRDefault="00E836FB">
            <w:pPr>
              <w:rPr>
                <w:rFonts w:ascii="宋体"/>
              </w:rPr>
            </w:pPr>
          </w:p>
        </w:tc>
        <w:tc>
          <w:tcPr>
            <w:tcW w:w="5" w:type="pct"/>
            <w:shd w:val="clear" w:color="auto" w:fill="auto"/>
            <w:vAlign w:val="bottom"/>
          </w:tcPr>
          <w:p w14:paraId="5F2D2457" w14:textId="77777777" w:rsidR="00E836FB" w:rsidRDefault="00E836FB">
            <w:pPr>
              <w:rPr>
                <w:rFonts w:ascii="宋体"/>
              </w:rPr>
            </w:pPr>
          </w:p>
        </w:tc>
        <w:tc>
          <w:tcPr>
            <w:tcW w:w="26" w:type="pct"/>
            <w:shd w:val="clear" w:color="auto" w:fill="auto"/>
            <w:vAlign w:val="bottom"/>
          </w:tcPr>
          <w:p w14:paraId="5F2D2458" w14:textId="77777777" w:rsidR="00E836FB" w:rsidRDefault="00E836FB">
            <w:pPr>
              <w:rPr>
                <w:rFonts w:ascii="宋体"/>
              </w:rPr>
            </w:pPr>
          </w:p>
        </w:tc>
        <w:tc>
          <w:tcPr>
            <w:tcW w:w="5" w:type="pct"/>
            <w:shd w:val="clear" w:color="auto" w:fill="auto"/>
            <w:vAlign w:val="bottom"/>
          </w:tcPr>
          <w:p w14:paraId="5F2D2459" w14:textId="77777777" w:rsidR="00E836FB" w:rsidRDefault="00E836FB">
            <w:pPr>
              <w:rPr>
                <w:rFonts w:ascii="宋体"/>
              </w:rPr>
            </w:pPr>
          </w:p>
        </w:tc>
        <w:tc>
          <w:tcPr>
            <w:tcW w:w="50" w:type="pct"/>
            <w:shd w:val="clear" w:color="auto" w:fill="auto"/>
            <w:vAlign w:val="bottom"/>
          </w:tcPr>
          <w:p w14:paraId="5F2D245A" w14:textId="77777777" w:rsidR="00E836FB" w:rsidRDefault="00E836FB">
            <w:pPr>
              <w:rPr>
                <w:rFonts w:ascii="宋体"/>
              </w:rPr>
            </w:pPr>
          </w:p>
        </w:tc>
        <w:tc>
          <w:tcPr>
            <w:tcW w:w="420" w:type="pct"/>
            <w:shd w:val="clear" w:color="auto" w:fill="auto"/>
            <w:vAlign w:val="bottom"/>
          </w:tcPr>
          <w:p w14:paraId="5F2D245B" w14:textId="77777777" w:rsidR="00E836FB" w:rsidRDefault="00E836FB">
            <w:pPr>
              <w:rPr>
                <w:rFonts w:ascii="宋体"/>
              </w:rPr>
            </w:pPr>
          </w:p>
        </w:tc>
        <w:tc>
          <w:tcPr>
            <w:tcW w:w="5" w:type="pct"/>
            <w:shd w:val="clear" w:color="auto" w:fill="auto"/>
            <w:vAlign w:val="bottom"/>
          </w:tcPr>
          <w:p w14:paraId="5F2D245C" w14:textId="77777777" w:rsidR="00E836FB" w:rsidRDefault="00E836FB">
            <w:pPr>
              <w:rPr>
                <w:rFonts w:ascii="宋体"/>
              </w:rPr>
            </w:pPr>
          </w:p>
        </w:tc>
        <w:tc>
          <w:tcPr>
            <w:tcW w:w="5" w:type="pct"/>
            <w:shd w:val="clear" w:color="auto" w:fill="auto"/>
            <w:vAlign w:val="bottom"/>
          </w:tcPr>
          <w:p w14:paraId="5F2D245D" w14:textId="77777777" w:rsidR="00E836FB" w:rsidRDefault="00E836FB">
            <w:pPr>
              <w:rPr>
                <w:rFonts w:ascii="宋体"/>
              </w:rPr>
            </w:pPr>
          </w:p>
        </w:tc>
        <w:tc>
          <w:tcPr>
            <w:tcW w:w="26" w:type="pct"/>
            <w:shd w:val="clear" w:color="auto" w:fill="auto"/>
            <w:vAlign w:val="bottom"/>
          </w:tcPr>
          <w:p w14:paraId="5F2D245E" w14:textId="77777777" w:rsidR="00E836FB" w:rsidRDefault="00E836FB">
            <w:pPr>
              <w:rPr>
                <w:rFonts w:ascii="宋体"/>
              </w:rPr>
            </w:pPr>
          </w:p>
        </w:tc>
        <w:tc>
          <w:tcPr>
            <w:tcW w:w="5" w:type="pct"/>
            <w:shd w:val="clear" w:color="auto" w:fill="auto"/>
            <w:vAlign w:val="bottom"/>
          </w:tcPr>
          <w:p w14:paraId="5F2D245F" w14:textId="77777777" w:rsidR="00E836FB" w:rsidRDefault="00E836FB">
            <w:pPr>
              <w:rPr>
                <w:rFonts w:ascii="宋体"/>
              </w:rPr>
            </w:pPr>
          </w:p>
        </w:tc>
        <w:tc>
          <w:tcPr>
            <w:tcW w:w="50" w:type="pct"/>
            <w:shd w:val="clear" w:color="auto" w:fill="auto"/>
            <w:vAlign w:val="bottom"/>
          </w:tcPr>
          <w:p w14:paraId="5F2D2460" w14:textId="77777777" w:rsidR="00E836FB" w:rsidRDefault="00E836FB">
            <w:pPr>
              <w:rPr>
                <w:rFonts w:ascii="宋体"/>
              </w:rPr>
            </w:pPr>
          </w:p>
        </w:tc>
        <w:tc>
          <w:tcPr>
            <w:tcW w:w="434" w:type="pct"/>
            <w:shd w:val="clear" w:color="auto" w:fill="auto"/>
            <w:vAlign w:val="bottom"/>
          </w:tcPr>
          <w:p w14:paraId="5F2D2461" w14:textId="77777777" w:rsidR="00E836FB" w:rsidRDefault="00E836FB">
            <w:pPr>
              <w:rPr>
                <w:rFonts w:ascii="宋体"/>
              </w:rPr>
            </w:pPr>
          </w:p>
        </w:tc>
        <w:tc>
          <w:tcPr>
            <w:tcW w:w="5" w:type="pct"/>
            <w:shd w:val="clear" w:color="auto" w:fill="auto"/>
            <w:vAlign w:val="bottom"/>
          </w:tcPr>
          <w:p w14:paraId="5F2D2462" w14:textId="77777777" w:rsidR="00E836FB" w:rsidRDefault="00E836FB">
            <w:pPr>
              <w:rPr>
                <w:rFonts w:ascii="宋体"/>
              </w:rPr>
            </w:pPr>
          </w:p>
        </w:tc>
        <w:tc>
          <w:tcPr>
            <w:tcW w:w="5" w:type="pct"/>
            <w:shd w:val="clear" w:color="auto" w:fill="auto"/>
            <w:vAlign w:val="bottom"/>
          </w:tcPr>
          <w:p w14:paraId="5F2D2463" w14:textId="77777777" w:rsidR="00E836FB" w:rsidRDefault="00E836FB">
            <w:pPr>
              <w:rPr>
                <w:rFonts w:ascii="宋体"/>
              </w:rPr>
            </w:pPr>
          </w:p>
        </w:tc>
        <w:tc>
          <w:tcPr>
            <w:tcW w:w="19" w:type="pct"/>
            <w:shd w:val="clear" w:color="auto" w:fill="auto"/>
            <w:vAlign w:val="bottom"/>
          </w:tcPr>
          <w:p w14:paraId="5F2D2464" w14:textId="77777777" w:rsidR="00E836FB" w:rsidRDefault="00E836FB">
            <w:pPr>
              <w:rPr>
                <w:rFonts w:ascii="宋体"/>
              </w:rPr>
            </w:pPr>
          </w:p>
        </w:tc>
        <w:tc>
          <w:tcPr>
            <w:tcW w:w="5" w:type="pct"/>
            <w:shd w:val="clear" w:color="auto" w:fill="auto"/>
            <w:vAlign w:val="bottom"/>
          </w:tcPr>
          <w:p w14:paraId="5F2D2465" w14:textId="77777777" w:rsidR="00E836FB" w:rsidRDefault="00E836FB">
            <w:pPr>
              <w:rPr>
                <w:rFonts w:ascii="宋体"/>
              </w:rPr>
            </w:pPr>
          </w:p>
        </w:tc>
        <w:tc>
          <w:tcPr>
            <w:tcW w:w="50" w:type="pct"/>
            <w:shd w:val="clear" w:color="auto" w:fill="auto"/>
            <w:vAlign w:val="bottom"/>
          </w:tcPr>
          <w:p w14:paraId="5F2D2466" w14:textId="77777777" w:rsidR="00E836FB" w:rsidRDefault="00E836FB">
            <w:pPr>
              <w:rPr>
                <w:rFonts w:ascii="宋体"/>
              </w:rPr>
            </w:pPr>
          </w:p>
        </w:tc>
        <w:tc>
          <w:tcPr>
            <w:tcW w:w="434" w:type="pct"/>
            <w:shd w:val="clear" w:color="auto" w:fill="auto"/>
            <w:vAlign w:val="bottom"/>
          </w:tcPr>
          <w:p w14:paraId="5F2D2467" w14:textId="77777777" w:rsidR="00E836FB" w:rsidRDefault="00E836FB">
            <w:pPr>
              <w:rPr>
                <w:rFonts w:ascii="宋体"/>
              </w:rPr>
            </w:pPr>
          </w:p>
        </w:tc>
        <w:tc>
          <w:tcPr>
            <w:tcW w:w="5" w:type="pct"/>
            <w:shd w:val="clear" w:color="auto" w:fill="auto"/>
            <w:vAlign w:val="bottom"/>
          </w:tcPr>
          <w:p w14:paraId="5F2D2468" w14:textId="77777777" w:rsidR="00E836FB" w:rsidRDefault="00E836FB">
            <w:pPr>
              <w:rPr>
                <w:rFonts w:ascii="宋体"/>
              </w:rPr>
            </w:pPr>
          </w:p>
        </w:tc>
        <w:tc>
          <w:tcPr>
            <w:tcW w:w="5" w:type="pct"/>
            <w:shd w:val="clear" w:color="auto" w:fill="auto"/>
            <w:vAlign w:val="bottom"/>
          </w:tcPr>
          <w:p w14:paraId="5F2D2469" w14:textId="77777777" w:rsidR="00E836FB" w:rsidRDefault="00E836FB">
            <w:pPr>
              <w:rPr>
                <w:rFonts w:ascii="宋体"/>
              </w:rPr>
            </w:pPr>
          </w:p>
        </w:tc>
        <w:tc>
          <w:tcPr>
            <w:tcW w:w="26" w:type="pct"/>
            <w:shd w:val="clear" w:color="auto" w:fill="auto"/>
            <w:vAlign w:val="bottom"/>
          </w:tcPr>
          <w:p w14:paraId="5F2D246A" w14:textId="77777777" w:rsidR="00E836FB" w:rsidRDefault="00E836FB">
            <w:pPr>
              <w:rPr>
                <w:rFonts w:ascii="宋体"/>
              </w:rPr>
            </w:pPr>
          </w:p>
        </w:tc>
        <w:tc>
          <w:tcPr>
            <w:tcW w:w="5" w:type="pct"/>
            <w:shd w:val="clear" w:color="auto" w:fill="auto"/>
            <w:vAlign w:val="bottom"/>
          </w:tcPr>
          <w:p w14:paraId="5F2D246B" w14:textId="77777777" w:rsidR="00E836FB" w:rsidRDefault="00E836FB">
            <w:pPr>
              <w:rPr>
                <w:rFonts w:ascii="宋体"/>
              </w:rPr>
            </w:pPr>
          </w:p>
        </w:tc>
        <w:tc>
          <w:tcPr>
            <w:tcW w:w="50" w:type="pct"/>
            <w:shd w:val="clear" w:color="auto" w:fill="auto"/>
            <w:vAlign w:val="bottom"/>
          </w:tcPr>
          <w:p w14:paraId="5F2D246C" w14:textId="77777777" w:rsidR="00E836FB" w:rsidRDefault="00E836FB">
            <w:pPr>
              <w:rPr>
                <w:rFonts w:ascii="宋体"/>
              </w:rPr>
            </w:pPr>
          </w:p>
        </w:tc>
        <w:tc>
          <w:tcPr>
            <w:tcW w:w="493" w:type="pct"/>
            <w:shd w:val="clear" w:color="auto" w:fill="auto"/>
            <w:vAlign w:val="bottom"/>
          </w:tcPr>
          <w:p w14:paraId="5F2D246D" w14:textId="77777777" w:rsidR="00E836FB" w:rsidRDefault="00E836FB">
            <w:pPr>
              <w:rPr>
                <w:rFonts w:ascii="宋体"/>
              </w:rPr>
            </w:pPr>
          </w:p>
        </w:tc>
        <w:tc>
          <w:tcPr>
            <w:tcW w:w="5" w:type="pct"/>
            <w:shd w:val="clear" w:color="auto" w:fill="auto"/>
            <w:vAlign w:val="bottom"/>
          </w:tcPr>
          <w:p w14:paraId="5F2D246E" w14:textId="77777777" w:rsidR="00E836FB" w:rsidRDefault="00E836FB">
            <w:pPr>
              <w:rPr>
                <w:rFonts w:ascii="宋体"/>
              </w:rPr>
            </w:pPr>
          </w:p>
        </w:tc>
        <w:tc>
          <w:tcPr>
            <w:tcW w:w="5" w:type="pct"/>
            <w:shd w:val="clear" w:color="auto" w:fill="auto"/>
            <w:vAlign w:val="bottom"/>
          </w:tcPr>
          <w:p w14:paraId="5F2D246F" w14:textId="77777777" w:rsidR="00E836FB" w:rsidRDefault="00E836FB">
            <w:pPr>
              <w:rPr>
                <w:rFonts w:ascii="宋体"/>
              </w:rPr>
            </w:pPr>
          </w:p>
        </w:tc>
        <w:tc>
          <w:tcPr>
            <w:tcW w:w="26" w:type="pct"/>
            <w:shd w:val="clear" w:color="auto" w:fill="auto"/>
            <w:vAlign w:val="bottom"/>
          </w:tcPr>
          <w:p w14:paraId="5F2D2470" w14:textId="77777777" w:rsidR="00E836FB" w:rsidRDefault="00E836FB">
            <w:pPr>
              <w:rPr>
                <w:rFonts w:ascii="宋体"/>
              </w:rPr>
            </w:pPr>
          </w:p>
        </w:tc>
        <w:tc>
          <w:tcPr>
            <w:tcW w:w="5" w:type="pct"/>
            <w:shd w:val="clear" w:color="auto" w:fill="auto"/>
            <w:vAlign w:val="bottom"/>
          </w:tcPr>
          <w:p w14:paraId="5F2D2471" w14:textId="77777777" w:rsidR="00E836FB" w:rsidRDefault="00E836FB">
            <w:pPr>
              <w:rPr>
                <w:rFonts w:ascii="宋体"/>
              </w:rPr>
            </w:pPr>
          </w:p>
        </w:tc>
        <w:tc>
          <w:tcPr>
            <w:tcW w:w="50" w:type="pct"/>
            <w:shd w:val="clear" w:color="auto" w:fill="auto"/>
            <w:vAlign w:val="bottom"/>
          </w:tcPr>
          <w:p w14:paraId="5F2D2472" w14:textId="77777777" w:rsidR="00E836FB" w:rsidRDefault="00E836FB">
            <w:pPr>
              <w:rPr>
                <w:rFonts w:ascii="宋体"/>
              </w:rPr>
            </w:pPr>
          </w:p>
        </w:tc>
        <w:tc>
          <w:tcPr>
            <w:tcW w:w="420" w:type="pct"/>
            <w:shd w:val="clear" w:color="auto" w:fill="auto"/>
            <w:vAlign w:val="bottom"/>
          </w:tcPr>
          <w:p w14:paraId="5F2D2473" w14:textId="77777777" w:rsidR="00E836FB" w:rsidRDefault="00E836FB">
            <w:pPr>
              <w:rPr>
                <w:rFonts w:ascii="宋体"/>
              </w:rPr>
            </w:pPr>
          </w:p>
        </w:tc>
        <w:tc>
          <w:tcPr>
            <w:tcW w:w="5" w:type="pct"/>
            <w:shd w:val="clear" w:color="auto" w:fill="auto"/>
            <w:vAlign w:val="bottom"/>
          </w:tcPr>
          <w:p w14:paraId="5F2D2474" w14:textId="77777777" w:rsidR="00E836FB" w:rsidRDefault="00E836FB">
            <w:pPr>
              <w:rPr>
                <w:rFonts w:ascii="宋体"/>
              </w:rPr>
            </w:pPr>
          </w:p>
        </w:tc>
        <w:tc>
          <w:tcPr>
            <w:tcW w:w="5" w:type="pct"/>
            <w:shd w:val="clear" w:color="auto" w:fill="auto"/>
            <w:vAlign w:val="bottom"/>
          </w:tcPr>
          <w:p w14:paraId="5F2D2475" w14:textId="77777777" w:rsidR="00E836FB" w:rsidRDefault="00E836FB">
            <w:pPr>
              <w:rPr>
                <w:rFonts w:ascii="宋体"/>
              </w:rPr>
            </w:pPr>
          </w:p>
        </w:tc>
        <w:tc>
          <w:tcPr>
            <w:tcW w:w="26" w:type="pct"/>
            <w:shd w:val="clear" w:color="auto" w:fill="auto"/>
            <w:vAlign w:val="bottom"/>
          </w:tcPr>
          <w:p w14:paraId="5F2D2476" w14:textId="77777777" w:rsidR="00E836FB" w:rsidRDefault="00E836FB">
            <w:pPr>
              <w:rPr>
                <w:rFonts w:ascii="宋体"/>
              </w:rPr>
            </w:pPr>
          </w:p>
        </w:tc>
        <w:tc>
          <w:tcPr>
            <w:tcW w:w="5" w:type="pct"/>
            <w:shd w:val="clear" w:color="auto" w:fill="auto"/>
            <w:vAlign w:val="bottom"/>
          </w:tcPr>
          <w:p w14:paraId="5F2D2477" w14:textId="77777777" w:rsidR="00E836FB" w:rsidRDefault="00E836FB">
            <w:pPr>
              <w:rPr>
                <w:rFonts w:ascii="宋体"/>
              </w:rPr>
            </w:pPr>
          </w:p>
        </w:tc>
        <w:tc>
          <w:tcPr>
            <w:tcW w:w="50" w:type="pct"/>
            <w:shd w:val="clear" w:color="auto" w:fill="auto"/>
            <w:vAlign w:val="bottom"/>
          </w:tcPr>
          <w:p w14:paraId="5F2D2478" w14:textId="77777777" w:rsidR="00E836FB" w:rsidRDefault="00E836FB">
            <w:pPr>
              <w:rPr>
                <w:rFonts w:ascii="宋体"/>
              </w:rPr>
            </w:pPr>
          </w:p>
        </w:tc>
        <w:tc>
          <w:tcPr>
            <w:tcW w:w="435" w:type="pct"/>
            <w:shd w:val="clear" w:color="auto" w:fill="auto"/>
            <w:vAlign w:val="bottom"/>
          </w:tcPr>
          <w:p w14:paraId="5F2D2479" w14:textId="77777777" w:rsidR="00E836FB" w:rsidRDefault="00E836FB">
            <w:pPr>
              <w:rPr>
                <w:rFonts w:ascii="宋体"/>
              </w:rPr>
            </w:pPr>
          </w:p>
        </w:tc>
        <w:tc>
          <w:tcPr>
            <w:tcW w:w="5" w:type="pct"/>
            <w:shd w:val="clear" w:color="auto" w:fill="auto"/>
            <w:vAlign w:val="bottom"/>
          </w:tcPr>
          <w:p w14:paraId="5F2D247A" w14:textId="77777777" w:rsidR="00E836FB" w:rsidRDefault="00E836FB">
            <w:pPr>
              <w:rPr>
                <w:rFonts w:ascii="宋体"/>
              </w:rPr>
            </w:pPr>
          </w:p>
        </w:tc>
      </w:tr>
      <w:tr w:rsidR="00E836FB" w14:paraId="5F2D247E" w14:textId="77777777">
        <w:tc>
          <w:tcPr>
            <w:tcW w:w="0" w:type="auto"/>
            <w:gridSpan w:val="3"/>
            <w:shd w:val="clear" w:color="auto" w:fill="auto"/>
            <w:tcMar>
              <w:top w:w="0" w:type="dxa"/>
              <w:left w:w="20" w:type="dxa"/>
              <w:bottom w:w="0" w:type="dxa"/>
              <w:right w:w="20" w:type="dxa"/>
            </w:tcMar>
            <w:vAlign w:val="bottom"/>
          </w:tcPr>
          <w:p w14:paraId="5F2D247C" w14:textId="77777777" w:rsidR="00E836FB" w:rsidRDefault="00E836FB">
            <w:pPr>
              <w:rPr>
                <w:rFonts w:ascii="宋体"/>
              </w:rPr>
            </w:pPr>
          </w:p>
        </w:tc>
        <w:tc>
          <w:tcPr>
            <w:tcW w:w="0" w:type="auto"/>
            <w:gridSpan w:val="45"/>
            <w:shd w:val="clear" w:color="auto" w:fill="auto"/>
            <w:tcMar>
              <w:top w:w="40" w:type="dxa"/>
              <w:left w:w="20" w:type="dxa"/>
              <w:bottom w:w="40" w:type="dxa"/>
              <w:right w:w="20" w:type="dxa"/>
            </w:tcMar>
            <w:vAlign w:val="bottom"/>
          </w:tcPr>
          <w:p w14:paraId="5F2D247D" w14:textId="77777777" w:rsidR="00E836FB" w:rsidRDefault="00994958">
            <w:pPr>
              <w:jc w:val="center"/>
              <w:textAlignment w:val="bottom"/>
            </w:pPr>
            <w:r>
              <w:rPr>
                <w:rFonts w:ascii="Arial" w:eastAsia="宋体" w:hAnsi="Arial" w:cs="Arial"/>
                <w:b/>
                <w:bCs/>
                <w:color w:val="000000"/>
                <w:sz w:val="14"/>
                <w:szCs w:val="14"/>
              </w:rPr>
              <w:t>Year End December 31, 2021</w:t>
            </w:r>
          </w:p>
        </w:tc>
      </w:tr>
      <w:tr w:rsidR="00E836FB" w14:paraId="5F2D248C" w14:textId="77777777">
        <w:tc>
          <w:tcPr>
            <w:tcW w:w="0" w:type="auto"/>
            <w:gridSpan w:val="3"/>
            <w:shd w:val="clear" w:color="auto" w:fill="auto"/>
            <w:tcMar>
              <w:top w:w="0" w:type="dxa"/>
              <w:left w:w="20" w:type="dxa"/>
              <w:bottom w:w="0" w:type="dxa"/>
              <w:right w:w="20" w:type="dxa"/>
            </w:tcMar>
            <w:vAlign w:val="bottom"/>
          </w:tcPr>
          <w:p w14:paraId="5F2D247F"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2480" w14:textId="77777777" w:rsidR="00E836FB" w:rsidRDefault="00994958">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9" w14:textId="77777777" w:rsidR="00E836FB" w:rsidRDefault="00E836FB">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5F2D248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B" w14:textId="77777777" w:rsidR="00E836FB" w:rsidRDefault="00E836FB">
            <w:pPr>
              <w:rPr>
                <w:rFonts w:ascii="宋体"/>
              </w:rPr>
            </w:pPr>
          </w:p>
        </w:tc>
      </w:tr>
      <w:tr w:rsidR="00E836FB" w14:paraId="5F2D249D" w14:textId="77777777">
        <w:tc>
          <w:tcPr>
            <w:tcW w:w="0" w:type="auto"/>
            <w:gridSpan w:val="3"/>
            <w:shd w:val="clear" w:color="auto" w:fill="auto"/>
            <w:tcMar>
              <w:top w:w="40" w:type="dxa"/>
              <w:left w:w="20" w:type="dxa"/>
              <w:bottom w:w="40" w:type="dxa"/>
              <w:right w:w="20" w:type="dxa"/>
            </w:tcMar>
            <w:vAlign w:val="bottom"/>
          </w:tcPr>
          <w:p w14:paraId="5F2D248D"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48E" w14:textId="77777777" w:rsidR="00E836FB" w:rsidRDefault="00994958">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8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490" w14:textId="77777777" w:rsidR="00E836FB" w:rsidRDefault="00994958">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D249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492" w14:textId="77777777" w:rsidR="00E836FB" w:rsidRDefault="00994958">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5F2D249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494" w14:textId="77777777" w:rsidR="00E836FB" w:rsidRDefault="00994958">
            <w:pPr>
              <w:jc w:val="center"/>
              <w:textAlignment w:val="bottom"/>
            </w:pPr>
            <w:r>
              <w:rPr>
                <w:rFonts w:ascii="Arial" w:eastAsia="宋体" w:hAnsi="Arial" w:cs="Arial"/>
                <w:b/>
                <w:bCs/>
                <w:color w:val="000000"/>
                <w:sz w:val="14"/>
                <w:szCs w:val="14"/>
              </w:rPr>
              <w:t>Available-for-sale securities</w:t>
            </w:r>
          </w:p>
        </w:tc>
        <w:tc>
          <w:tcPr>
            <w:tcW w:w="0" w:type="auto"/>
            <w:gridSpan w:val="3"/>
            <w:shd w:val="clear" w:color="auto" w:fill="auto"/>
            <w:tcMar>
              <w:top w:w="0" w:type="dxa"/>
              <w:left w:w="20" w:type="dxa"/>
              <w:bottom w:w="0" w:type="dxa"/>
              <w:right w:w="20" w:type="dxa"/>
            </w:tcMar>
            <w:vAlign w:val="bottom"/>
          </w:tcPr>
          <w:p w14:paraId="5F2D249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496" w14:textId="77777777" w:rsidR="00E836FB" w:rsidRDefault="00994958">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5F2D249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498" w14:textId="77777777" w:rsidR="00E836FB" w:rsidRDefault="00994958">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5F2D249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49A" w14:textId="77777777" w:rsidR="00E836FB" w:rsidRDefault="00994958">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5F2D249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49C"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24AE" w14:textId="77777777">
        <w:tc>
          <w:tcPr>
            <w:tcW w:w="0" w:type="auto"/>
            <w:gridSpan w:val="3"/>
            <w:shd w:val="clear" w:color="auto" w:fill="auto"/>
            <w:tcMar>
              <w:top w:w="40" w:type="dxa"/>
              <w:left w:w="20" w:type="dxa"/>
              <w:bottom w:w="40" w:type="dxa"/>
              <w:right w:w="20" w:type="dxa"/>
            </w:tcMar>
            <w:vAlign w:val="bottom"/>
          </w:tcPr>
          <w:p w14:paraId="5F2D249E" w14:textId="77777777" w:rsidR="00E836FB" w:rsidRDefault="00994958">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A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A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A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A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A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A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A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4A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4AD" w14:textId="77777777" w:rsidR="00E836FB" w:rsidRDefault="00E836FB">
            <w:pPr>
              <w:rPr>
                <w:rFonts w:ascii="宋体"/>
              </w:rPr>
            </w:pPr>
          </w:p>
        </w:tc>
      </w:tr>
      <w:tr w:rsidR="00994958" w14:paraId="5F2D24CF" w14:textId="77777777">
        <w:tc>
          <w:tcPr>
            <w:tcW w:w="0" w:type="auto"/>
            <w:gridSpan w:val="3"/>
            <w:shd w:val="clear" w:color="auto" w:fill="CCEEFF"/>
            <w:tcMar>
              <w:top w:w="40" w:type="dxa"/>
              <w:left w:w="20" w:type="dxa"/>
              <w:bottom w:w="40" w:type="dxa"/>
              <w:right w:w="20" w:type="dxa"/>
            </w:tcMar>
            <w:vAlign w:val="bottom"/>
          </w:tcPr>
          <w:p w14:paraId="5F2D24AF" w14:textId="77777777" w:rsidR="00E836FB" w:rsidRDefault="00994958">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F2D24B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B1" w14:textId="77777777" w:rsidR="00E836FB" w:rsidRDefault="00994958">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B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B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4B4"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B5" w14:textId="77777777" w:rsidR="00E836FB" w:rsidRDefault="00994958">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B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4B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B9" w14:textId="77777777" w:rsidR="00E836FB" w:rsidRDefault="00994958">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B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4B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B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B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4C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C1"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C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4C4"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C5" w14:textId="77777777" w:rsidR="00E836FB" w:rsidRDefault="00994958">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C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4C8"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C9"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C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4CC"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24CD" w14:textId="77777777" w:rsidR="00E836FB" w:rsidRDefault="00994958">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CE" w14:textId="77777777" w:rsidR="00E836FB" w:rsidRDefault="00E836FB">
            <w:pPr>
              <w:jc w:val="right"/>
              <w:rPr>
                <w:rFonts w:ascii="宋体"/>
              </w:rPr>
            </w:pPr>
          </w:p>
        </w:tc>
      </w:tr>
      <w:tr w:rsidR="00E836FB" w14:paraId="5F2D24E8" w14:textId="77777777">
        <w:tc>
          <w:tcPr>
            <w:tcW w:w="0" w:type="auto"/>
            <w:gridSpan w:val="3"/>
            <w:shd w:val="clear" w:color="auto" w:fill="FFFFFF"/>
            <w:tcMar>
              <w:top w:w="40" w:type="dxa"/>
              <w:left w:w="20" w:type="dxa"/>
              <w:bottom w:w="40" w:type="dxa"/>
              <w:right w:w="20" w:type="dxa"/>
            </w:tcMar>
            <w:vAlign w:val="bottom"/>
          </w:tcPr>
          <w:p w14:paraId="5F2D24D0" w14:textId="77777777" w:rsidR="00E836FB" w:rsidRDefault="00994958">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D24D1"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F2D24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4D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4D4"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4D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4D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4D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4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4D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4DA"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4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4D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4D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4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4D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4E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4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4E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4E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4E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4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4E6"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F2D24E7" w14:textId="77777777" w:rsidR="00E836FB" w:rsidRDefault="00E836FB">
            <w:pPr>
              <w:jc w:val="right"/>
              <w:rPr>
                <w:rFonts w:ascii="宋体"/>
              </w:rPr>
            </w:pPr>
          </w:p>
        </w:tc>
      </w:tr>
      <w:tr w:rsidR="00E836FB" w14:paraId="5F2D2501" w14:textId="77777777">
        <w:tc>
          <w:tcPr>
            <w:tcW w:w="0" w:type="auto"/>
            <w:gridSpan w:val="3"/>
            <w:shd w:val="clear" w:color="auto" w:fill="CCEEFF"/>
            <w:tcMar>
              <w:top w:w="40" w:type="dxa"/>
              <w:left w:w="20" w:type="dxa"/>
              <w:bottom w:w="40" w:type="dxa"/>
              <w:right w:w="20" w:type="dxa"/>
            </w:tcMar>
            <w:vAlign w:val="bottom"/>
          </w:tcPr>
          <w:p w14:paraId="5F2D24E9" w14:textId="77777777" w:rsidR="00E836FB" w:rsidRDefault="00994958">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F2D24EA" w14:textId="77777777" w:rsidR="00E836FB" w:rsidRDefault="00994958">
            <w:pPr>
              <w:jc w:val="right"/>
              <w:textAlignment w:val="bottom"/>
            </w:pPr>
            <w:r>
              <w:rPr>
                <w:rFonts w:ascii="Arial" w:eastAsia="宋体" w:hAnsi="Arial" w:cs="Arial"/>
                <w:b/>
                <w:bCs/>
                <w:color w:val="000000"/>
                <w:sz w:val="14"/>
                <w:szCs w:val="14"/>
              </w:rPr>
              <w:t>(29)</w:t>
            </w:r>
          </w:p>
        </w:tc>
        <w:tc>
          <w:tcPr>
            <w:tcW w:w="0" w:type="auto"/>
            <w:shd w:val="clear" w:color="auto" w:fill="CCEEFF"/>
            <w:tcMar>
              <w:top w:w="40" w:type="dxa"/>
              <w:left w:w="0" w:type="dxa"/>
              <w:bottom w:w="40" w:type="dxa"/>
              <w:right w:w="20" w:type="dxa"/>
            </w:tcMar>
            <w:vAlign w:val="bottom"/>
          </w:tcPr>
          <w:p w14:paraId="5F2D24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4ED" w14:textId="77777777" w:rsidR="00E836FB" w:rsidRDefault="00994958">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left w:w="0" w:type="dxa"/>
              <w:bottom w:w="40" w:type="dxa"/>
              <w:right w:w="20" w:type="dxa"/>
            </w:tcMar>
            <w:vAlign w:val="bottom"/>
          </w:tcPr>
          <w:p w14:paraId="5F2D24E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4F0" w14:textId="77777777" w:rsidR="00E836FB" w:rsidRDefault="00994958">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4F3" w14:textId="77777777" w:rsidR="00E836FB" w:rsidRDefault="00994958">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4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F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4F6" w14:textId="77777777" w:rsidR="00E836FB" w:rsidRDefault="00994958">
            <w:pPr>
              <w:jc w:val="right"/>
              <w:textAlignment w:val="bottom"/>
            </w:pPr>
            <w:r>
              <w:rPr>
                <w:rFonts w:ascii="Arial" w:eastAsia="宋体" w:hAnsi="Arial" w:cs="Arial"/>
                <w:b/>
                <w:bCs/>
                <w:color w:val="000000"/>
                <w:sz w:val="14"/>
                <w:szCs w:val="14"/>
              </w:rPr>
              <w:t>(3)</w:t>
            </w:r>
          </w:p>
        </w:tc>
        <w:tc>
          <w:tcPr>
            <w:tcW w:w="0" w:type="auto"/>
            <w:shd w:val="clear" w:color="auto" w:fill="CCEEFF"/>
            <w:tcMar>
              <w:top w:w="40" w:type="dxa"/>
              <w:left w:w="0" w:type="dxa"/>
              <w:bottom w:w="40" w:type="dxa"/>
              <w:right w:w="20" w:type="dxa"/>
            </w:tcMar>
            <w:vAlign w:val="bottom"/>
          </w:tcPr>
          <w:p w14:paraId="5F2D24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F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4F9" w14:textId="77777777" w:rsidR="00E836FB" w:rsidRDefault="00994958">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5F2D24F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F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4FC"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F2D24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4F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4FF" w14:textId="77777777" w:rsidR="00E836FB" w:rsidRDefault="00994958">
            <w:pPr>
              <w:jc w:val="right"/>
              <w:textAlignment w:val="bottom"/>
            </w:pPr>
            <w:r>
              <w:rPr>
                <w:rFonts w:ascii="Arial" w:eastAsia="宋体" w:hAnsi="Arial" w:cs="Arial"/>
                <w:b/>
                <w:bCs/>
                <w:color w:val="000000"/>
                <w:sz w:val="14"/>
                <w:szCs w:val="14"/>
              </w:rPr>
              <w:t>(33)</w:t>
            </w:r>
          </w:p>
        </w:tc>
        <w:tc>
          <w:tcPr>
            <w:tcW w:w="0" w:type="auto"/>
            <w:shd w:val="clear" w:color="auto" w:fill="CCEEFF"/>
            <w:tcMar>
              <w:top w:w="40" w:type="dxa"/>
              <w:left w:w="0" w:type="dxa"/>
              <w:bottom w:w="40" w:type="dxa"/>
              <w:right w:w="20" w:type="dxa"/>
            </w:tcMar>
            <w:vAlign w:val="bottom"/>
          </w:tcPr>
          <w:p w14:paraId="5F2D2500" w14:textId="77777777" w:rsidR="00E836FB" w:rsidRDefault="00E836FB">
            <w:pPr>
              <w:jc w:val="right"/>
              <w:rPr>
                <w:rFonts w:ascii="宋体"/>
              </w:rPr>
            </w:pPr>
          </w:p>
        </w:tc>
      </w:tr>
      <w:tr w:rsidR="00E836FB" w14:paraId="5F2D2512" w14:textId="77777777">
        <w:trPr>
          <w:hidden/>
        </w:trPr>
        <w:tc>
          <w:tcPr>
            <w:tcW w:w="0" w:type="auto"/>
            <w:gridSpan w:val="3"/>
            <w:shd w:val="clear" w:color="auto" w:fill="auto"/>
            <w:vAlign w:val="bottom"/>
          </w:tcPr>
          <w:p w14:paraId="5F2D2502" w14:textId="77777777" w:rsidR="00E836FB" w:rsidRDefault="00E836FB">
            <w:pPr>
              <w:rPr>
                <w:rFonts w:ascii="宋体"/>
                <w:vanish/>
              </w:rPr>
            </w:pPr>
          </w:p>
        </w:tc>
        <w:tc>
          <w:tcPr>
            <w:tcW w:w="0" w:type="auto"/>
            <w:gridSpan w:val="3"/>
            <w:shd w:val="clear" w:color="auto" w:fill="auto"/>
            <w:vAlign w:val="bottom"/>
          </w:tcPr>
          <w:p w14:paraId="5F2D2503" w14:textId="77777777" w:rsidR="00E836FB" w:rsidRDefault="00E836FB">
            <w:pPr>
              <w:rPr>
                <w:rFonts w:ascii="宋体"/>
                <w:vanish/>
              </w:rPr>
            </w:pPr>
          </w:p>
        </w:tc>
        <w:tc>
          <w:tcPr>
            <w:tcW w:w="0" w:type="auto"/>
            <w:gridSpan w:val="3"/>
            <w:shd w:val="clear" w:color="auto" w:fill="auto"/>
            <w:vAlign w:val="bottom"/>
          </w:tcPr>
          <w:p w14:paraId="5F2D2504" w14:textId="77777777" w:rsidR="00E836FB" w:rsidRDefault="00E836FB">
            <w:pPr>
              <w:rPr>
                <w:rFonts w:ascii="宋体"/>
                <w:vanish/>
              </w:rPr>
            </w:pPr>
          </w:p>
        </w:tc>
        <w:tc>
          <w:tcPr>
            <w:tcW w:w="0" w:type="auto"/>
            <w:gridSpan w:val="3"/>
            <w:shd w:val="clear" w:color="auto" w:fill="auto"/>
            <w:vAlign w:val="bottom"/>
          </w:tcPr>
          <w:p w14:paraId="5F2D2505" w14:textId="77777777" w:rsidR="00E836FB" w:rsidRDefault="00E836FB">
            <w:pPr>
              <w:rPr>
                <w:rFonts w:ascii="宋体"/>
                <w:vanish/>
              </w:rPr>
            </w:pPr>
          </w:p>
        </w:tc>
        <w:tc>
          <w:tcPr>
            <w:tcW w:w="0" w:type="auto"/>
            <w:gridSpan w:val="3"/>
            <w:shd w:val="clear" w:color="auto" w:fill="auto"/>
            <w:vAlign w:val="bottom"/>
          </w:tcPr>
          <w:p w14:paraId="5F2D2506" w14:textId="77777777" w:rsidR="00E836FB" w:rsidRDefault="00E836FB">
            <w:pPr>
              <w:rPr>
                <w:rFonts w:ascii="宋体"/>
                <w:vanish/>
              </w:rPr>
            </w:pPr>
          </w:p>
        </w:tc>
        <w:tc>
          <w:tcPr>
            <w:tcW w:w="0" w:type="auto"/>
            <w:gridSpan w:val="3"/>
            <w:shd w:val="clear" w:color="auto" w:fill="auto"/>
            <w:vAlign w:val="bottom"/>
          </w:tcPr>
          <w:p w14:paraId="5F2D2507" w14:textId="77777777" w:rsidR="00E836FB" w:rsidRDefault="00E836FB">
            <w:pPr>
              <w:rPr>
                <w:rFonts w:ascii="宋体"/>
                <w:vanish/>
              </w:rPr>
            </w:pPr>
          </w:p>
        </w:tc>
        <w:tc>
          <w:tcPr>
            <w:tcW w:w="0" w:type="auto"/>
            <w:gridSpan w:val="3"/>
            <w:shd w:val="clear" w:color="auto" w:fill="auto"/>
            <w:vAlign w:val="bottom"/>
          </w:tcPr>
          <w:p w14:paraId="5F2D2508" w14:textId="77777777" w:rsidR="00E836FB" w:rsidRDefault="00E836FB">
            <w:pPr>
              <w:rPr>
                <w:rFonts w:ascii="宋体"/>
                <w:vanish/>
              </w:rPr>
            </w:pPr>
          </w:p>
        </w:tc>
        <w:tc>
          <w:tcPr>
            <w:tcW w:w="0" w:type="auto"/>
            <w:gridSpan w:val="3"/>
            <w:shd w:val="clear" w:color="auto" w:fill="auto"/>
            <w:vAlign w:val="bottom"/>
          </w:tcPr>
          <w:p w14:paraId="5F2D2509" w14:textId="77777777" w:rsidR="00E836FB" w:rsidRDefault="00E836FB">
            <w:pPr>
              <w:rPr>
                <w:rFonts w:ascii="宋体"/>
                <w:vanish/>
              </w:rPr>
            </w:pPr>
          </w:p>
        </w:tc>
        <w:tc>
          <w:tcPr>
            <w:tcW w:w="0" w:type="auto"/>
            <w:gridSpan w:val="3"/>
            <w:shd w:val="clear" w:color="auto" w:fill="auto"/>
            <w:vAlign w:val="bottom"/>
          </w:tcPr>
          <w:p w14:paraId="5F2D250A" w14:textId="77777777" w:rsidR="00E836FB" w:rsidRDefault="00E836FB">
            <w:pPr>
              <w:rPr>
                <w:rFonts w:ascii="宋体"/>
                <w:vanish/>
              </w:rPr>
            </w:pPr>
          </w:p>
        </w:tc>
        <w:tc>
          <w:tcPr>
            <w:tcW w:w="0" w:type="auto"/>
            <w:gridSpan w:val="3"/>
            <w:shd w:val="clear" w:color="auto" w:fill="auto"/>
            <w:vAlign w:val="bottom"/>
          </w:tcPr>
          <w:p w14:paraId="5F2D250B" w14:textId="77777777" w:rsidR="00E836FB" w:rsidRDefault="00E836FB">
            <w:pPr>
              <w:rPr>
                <w:rFonts w:ascii="宋体"/>
                <w:vanish/>
              </w:rPr>
            </w:pPr>
          </w:p>
        </w:tc>
        <w:tc>
          <w:tcPr>
            <w:tcW w:w="0" w:type="auto"/>
            <w:gridSpan w:val="3"/>
            <w:shd w:val="clear" w:color="auto" w:fill="auto"/>
            <w:vAlign w:val="bottom"/>
          </w:tcPr>
          <w:p w14:paraId="5F2D250C" w14:textId="77777777" w:rsidR="00E836FB" w:rsidRDefault="00E836FB">
            <w:pPr>
              <w:rPr>
                <w:rFonts w:ascii="宋体"/>
                <w:vanish/>
              </w:rPr>
            </w:pPr>
          </w:p>
        </w:tc>
        <w:tc>
          <w:tcPr>
            <w:tcW w:w="0" w:type="auto"/>
            <w:gridSpan w:val="3"/>
            <w:shd w:val="clear" w:color="auto" w:fill="auto"/>
            <w:vAlign w:val="bottom"/>
          </w:tcPr>
          <w:p w14:paraId="5F2D250D" w14:textId="77777777" w:rsidR="00E836FB" w:rsidRDefault="00E836FB">
            <w:pPr>
              <w:rPr>
                <w:rFonts w:ascii="宋体"/>
                <w:vanish/>
              </w:rPr>
            </w:pPr>
          </w:p>
        </w:tc>
        <w:tc>
          <w:tcPr>
            <w:tcW w:w="0" w:type="auto"/>
            <w:gridSpan w:val="3"/>
            <w:shd w:val="clear" w:color="auto" w:fill="auto"/>
            <w:vAlign w:val="bottom"/>
          </w:tcPr>
          <w:p w14:paraId="5F2D250E" w14:textId="77777777" w:rsidR="00E836FB" w:rsidRDefault="00E836FB">
            <w:pPr>
              <w:rPr>
                <w:rFonts w:ascii="宋体"/>
                <w:vanish/>
              </w:rPr>
            </w:pPr>
          </w:p>
        </w:tc>
        <w:tc>
          <w:tcPr>
            <w:tcW w:w="0" w:type="auto"/>
            <w:gridSpan w:val="3"/>
            <w:shd w:val="clear" w:color="auto" w:fill="auto"/>
            <w:vAlign w:val="bottom"/>
          </w:tcPr>
          <w:p w14:paraId="5F2D250F" w14:textId="77777777" w:rsidR="00E836FB" w:rsidRDefault="00E836FB">
            <w:pPr>
              <w:rPr>
                <w:rFonts w:ascii="宋体"/>
                <w:vanish/>
              </w:rPr>
            </w:pPr>
          </w:p>
        </w:tc>
        <w:tc>
          <w:tcPr>
            <w:tcW w:w="0" w:type="auto"/>
            <w:gridSpan w:val="3"/>
            <w:shd w:val="clear" w:color="auto" w:fill="auto"/>
            <w:vAlign w:val="bottom"/>
          </w:tcPr>
          <w:p w14:paraId="5F2D2510" w14:textId="77777777" w:rsidR="00E836FB" w:rsidRDefault="00E836FB">
            <w:pPr>
              <w:rPr>
                <w:rFonts w:ascii="宋体"/>
                <w:vanish/>
              </w:rPr>
            </w:pPr>
          </w:p>
        </w:tc>
        <w:tc>
          <w:tcPr>
            <w:tcW w:w="0" w:type="auto"/>
            <w:gridSpan w:val="3"/>
            <w:shd w:val="clear" w:color="auto" w:fill="auto"/>
            <w:vAlign w:val="bottom"/>
          </w:tcPr>
          <w:p w14:paraId="5F2D2511" w14:textId="77777777" w:rsidR="00E836FB" w:rsidRDefault="00E836FB">
            <w:pPr>
              <w:rPr>
                <w:rFonts w:ascii="宋体"/>
                <w:vanish/>
              </w:rPr>
            </w:pPr>
          </w:p>
        </w:tc>
      </w:tr>
      <w:tr w:rsidR="00E836FB" w14:paraId="5F2D252B" w14:textId="77777777">
        <w:tc>
          <w:tcPr>
            <w:tcW w:w="0" w:type="auto"/>
            <w:gridSpan w:val="3"/>
            <w:shd w:val="clear" w:color="auto" w:fill="FFFFFF"/>
            <w:tcMar>
              <w:top w:w="40" w:type="dxa"/>
              <w:left w:w="20" w:type="dxa"/>
              <w:bottom w:w="40" w:type="dxa"/>
              <w:right w:w="20" w:type="dxa"/>
            </w:tcMar>
            <w:vAlign w:val="bottom"/>
          </w:tcPr>
          <w:p w14:paraId="5F2D2513" w14:textId="77777777" w:rsidR="00E836FB" w:rsidRDefault="00994958">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5F2D2514" w14:textId="77777777" w:rsidR="00E836FB" w:rsidRDefault="00994958">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left w:w="0" w:type="dxa"/>
              <w:bottom w:w="40" w:type="dxa"/>
              <w:right w:w="20" w:type="dxa"/>
            </w:tcMar>
            <w:vAlign w:val="bottom"/>
          </w:tcPr>
          <w:p w14:paraId="5F2D251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1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17"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1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1A"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1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1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1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1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1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2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2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23"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D25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2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2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2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29" w14:textId="77777777" w:rsidR="00E836FB" w:rsidRDefault="00994958">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left w:w="0" w:type="dxa"/>
              <w:bottom w:w="40" w:type="dxa"/>
              <w:right w:w="20" w:type="dxa"/>
            </w:tcMar>
            <w:vAlign w:val="bottom"/>
          </w:tcPr>
          <w:p w14:paraId="5F2D252A" w14:textId="77777777" w:rsidR="00E836FB" w:rsidRDefault="00E836FB">
            <w:pPr>
              <w:jc w:val="right"/>
              <w:rPr>
                <w:rFonts w:ascii="宋体"/>
              </w:rPr>
            </w:pPr>
          </w:p>
        </w:tc>
      </w:tr>
      <w:tr w:rsidR="00E836FB" w14:paraId="5F2D253C" w14:textId="77777777">
        <w:trPr>
          <w:hidden/>
        </w:trPr>
        <w:tc>
          <w:tcPr>
            <w:tcW w:w="0" w:type="auto"/>
            <w:gridSpan w:val="3"/>
            <w:shd w:val="clear" w:color="auto" w:fill="auto"/>
            <w:vAlign w:val="bottom"/>
          </w:tcPr>
          <w:p w14:paraId="5F2D252C" w14:textId="77777777" w:rsidR="00E836FB" w:rsidRDefault="00E836FB">
            <w:pPr>
              <w:rPr>
                <w:rFonts w:ascii="宋体"/>
                <w:vanish/>
              </w:rPr>
            </w:pPr>
          </w:p>
        </w:tc>
        <w:tc>
          <w:tcPr>
            <w:tcW w:w="0" w:type="auto"/>
            <w:gridSpan w:val="3"/>
            <w:shd w:val="clear" w:color="auto" w:fill="auto"/>
            <w:vAlign w:val="bottom"/>
          </w:tcPr>
          <w:p w14:paraId="5F2D252D" w14:textId="77777777" w:rsidR="00E836FB" w:rsidRDefault="00E836FB">
            <w:pPr>
              <w:rPr>
                <w:rFonts w:ascii="宋体"/>
                <w:vanish/>
              </w:rPr>
            </w:pPr>
          </w:p>
        </w:tc>
        <w:tc>
          <w:tcPr>
            <w:tcW w:w="0" w:type="auto"/>
            <w:gridSpan w:val="3"/>
            <w:shd w:val="clear" w:color="auto" w:fill="auto"/>
            <w:vAlign w:val="bottom"/>
          </w:tcPr>
          <w:p w14:paraId="5F2D252E" w14:textId="77777777" w:rsidR="00E836FB" w:rsidRDefault="00E836FB">
            <w:pPr>
              <w:rPr>
                <w:rFonts w:ascii="宋体"/>
                <w:vanish/>
              </w:rPr>
            </w:pPr>
          </w:p>
        </w:tc>
        <w:tc>
          <w:tcPr>
            <w:tcW w:w="0" w:type="auto"/>
            <w:gridSpan w:val="3"/>
            <w:shd w:val="clear" w:color="auto" w:fill="auto"/>
            <w:vAlign w:val="bottom"/>
          </w:tcPr>
          <w:p w14:paraId="5F2D252F" w14:textId="77777777" w:rsidR="00E836FB" w:rsidRDefault="00E836FB">
            <w:pPr>
              <w:rPr>
                <w:rFonts w:ascii="宋体"/>
                <w:vanish/>
              </w:rPr>
            </w:pPr>
          </w:p>
        </w:tc>
        <w:tc>
          <w:tcPr>
            <w:tcW w:w="0" w:type="auto"/>
            <w:gridSpan w:val="3"/>
            <w:shd w:val="clear" w:color="auto" w:fill="auto"/>
            <w:vAlign w:val="bottom"/>
          </w:tcPr>
          <w:p w14:paraId="5F2D2530" w14:textId="77777777" w:rsidR="00E836FB" w:rsidRDefault="00E836FB">
            <w:pPr>
              <w:rPr>
                <w:rFonts w:ascii="宋体"/>
                <w:vanish/>
              </w:rPr>
            </w:pPr>
          </w:p>
        </w:tc>
        <w:tc>
          <w:tcPr>
            <w:tcW w:w="0" w:type="auto"/>
            <w:gridSpan w:val="3"/>
            <w:shd w:val="clear" w:color="auto" w:fill="auto"/>
            <w:vAlign w:val="bottom"/>
          </w:tcPr>
          <w:p w14:paraId="5F2D2531" w14:textId="77777777" w:rsidR="00E836FB" w:rsidRDefault="00E836FB">
            <w:pPr>
              <w:rPr>
                <w:rFonts w:ascii="宋体"/>
                <w:vanish/>
              </w:rPr>
            </w:pPr>
          </w:p>
        </w:tc>
        <w:tc>
          <w:tcPr>
            <w:tcW w:w="0" w:type="auto"/>
            <w:gridSpan w:val="3"/>
            <w:shd w:val="clear" w:color="auto" w:fill="auto"/>
            <w:vAlign w:val="bottom"/>
          </w:tcPr>
          <w:p w14:paraId="5F2D2532" w14:textId="77777777" w:rsidR="00E836FB" w:rsidRDefault="00E836FB">
            <w:pPr>
              <w:rPr>
                <w:rFonts w:ascii="宋体"/>
                <w:vanish/>
              </w:rPr>
            </w:pPr>
          </w:p>
        </w:tc>
        <w:tc>
          <w:tcPr>
            <w:tcW w:w="0" w:type="auto"/>
            <w:gridSpan w:val="3"/>
            <w:shd w:val="clear" w:color="auto" w:fill="auto"/>
            <w:vAlign w:val="bottom"/>
          </w:tcPr>
          <w:p w14:paraId="5F2D2533" w14:textId="77777777" w:rsidR="00E836FB" w:rsidRDefault="00E836FB">
            <w:pPr>
              <w:rPr>
                <w:rFonts w:ascii="宋体"/>
                <w:vanish/>
              </w:rPr>
            </w:pPr>
          </w:p>
        </w:tc>
        <w:tc>
          <w:tcPr>
            <w:tcW w:w="0" w:type="auto"/>
            <w:gridSpan w:val="3"/>
            <w:shd w:val="clear" w:color="auto" w:fill="auto"/>
            <w:vAlign w:val="bottom"/>
          </w:tcPr>
          <w:p w14:paraId="5F2D2534" w14:textId="77777777" w:rsidR="00E836FB" w:rsidRDefault="00E836FB">
            <w:pPr>
              <w:rPr>
                <w:rFonts w:ascii="宋体"/>
                <w:vanish/>
              </w:rPr>
            </w:pPr>
          </w:p>
        </w:tc>
        <w:tc>
          <w:tcPr>
            <w:tcW w:w="0" w:type="auto"/>
            <w:gridSpan w:val="3"/>
            <w:shd w:val="clear" w:color="auto" w:fill="auto"/>
            <w:vAlign w:val="bottom"/>
          </w:tcPr>
          <w:p w14:paraId="5F2D2535" w14:textId="77777777" w:rsidR="00E836FB" w:rsidRDefault="00E836FB">
            <w:pPr>
              <w:rPr>
                <w:rFonts w:ascii="宋体"/>
                <w:vanish/>
              </w:rPr>
            </w:pPr>
          </w:p>
        </w:tc>
        <w:tc>
          <w:tcPr>
            <w:tcW w:w="0" w:type="auto"/>
            <w:gridSpan w:val="3"/>
            <w:shd w:val="clear" w:color="auto" w:fill="auto"/>
            <w:vAlign w:val="bottom"/>
          </w:tcPr>
          <w:p w14:paraId="5F2D2536" w14:textId="77777777" w:rsidR="00E836FB" w:rsidRDefault="00E836FB">
            <w:pPr>
              <w:rPr>
                <w:rFonts w:ascii="宋体"/>
                <w:vanish/>
              </w:rPr>
            </w:pPr>
          </w:p>
        </w:tc>
        <w:tc>
          <w:tcPr>
            <w:tcW w:w="0" w:type="auto"/>
            <w:gridSpan w:val="3"/>
            <w:shd w:val="clear" w:color="auto" w:fill="auto"/>
            <w:vAlign w:val="bottom"/>
          </w:tcPr>
          <w:p w14:paraId="5F2D2537" w14:textId="77777777" w:rsidR="00E836FB" w:rsidRDefault="00E836FB">
            <w:pPr>
              <w:rPr>
                <w:rFonts w:ascii="宋体"/>
                <w:vanish/>
              </w:rPr>
            </w:pPr>
          </w:p>
        </w:tc>
        <w:tc>
          <w:tcPr>
            <w:tcW w:w="0" w:type="auto"/>
            <w:gridSpan w:val="3"/>
            <w:shd w:val="clear" w:color="auto" w:fill="auto"/>
            <w:vAlign w:val="bottom"/>
          </w:tcPr>
          <w:p w14:paraId="5F2D2538" w14:textId="77777777" w:rsidR="00E836FB" w:rsidRDefault="00E836FB">
            <w:pPr>
              <w:rPr>
                <w:rFonts w:ascii="宋体"/>
                <w:vanish/>
              </w:rPr>
            </w:pPr>
          </w:p>
        </w:tc>
        <w:tc>
          <w:tcPr>
            <w:tcW w:w="0" w:type="auto"/>
            <w:gridSpan w:val="3"/>
            <w:shd w:val="clear" w:color="auto" w:fill="auto"/>
            <w:vAlign w:val="bottom"/>
          </w:tcPr>
          <w:p w14:paraId="5F2D2539" w14:textId="77777777" w:rsidR="00E836FB" w:rsidRDefault="00E836FB">
            <w:pPr>
              <w:rPr>
                <w:rFonts w:ascii="宋体"/>
                <w:vanish/>
              </w:rPr>
            </w:pPr>
          </w:p>
        </w:tc>
        <w:tc>
          <w:tcPr>
            <w:tcW w:w="0" w:type="auto"/>
            <w:gridSpan w:val="3"/>
            <w:shd w:val="clear" w:color="auto" w:fill="auto"/>
            <w:vAlign w:val="bottom"/>
          </w:tcPr>
          <w:p w14:paraId="5F2D253A" w14:textId="77777777" w:rsidR="00E836FB" w:rsidRDefault="00E836FB">
            <w:pPr>
              <w:rPr>
                <w:rFonts w:ascii="宋体"/>
                <w:vanish/>
              </w:rPr>
            </w:pPr>
          </w:p>
        </w:tc>
        <w:tc>
          <w:tcPr>
            <w:tcW w:w="0" w:type="auto"/>
            <w:gridSpan w:val="3"/>
            <w:shd w:val="clear" w:color="auto" w:fill="auto"/>
            <w:vAlign w:val="bottom"/>
          </w:tcPr>
          <w:p w14:paraId="5F2D253B" w14:textId="77777777" w:rsidR="00E836FB" w:rsidRDefault="00E836FB">
            <w:pPr>
              <w:rPr>
                <w:rFonts w:ascii="宋体"/>
                <w:vanish/>
              </w:rPr>
            </w:pPr>
          </w:p>
        </w:tc>
      </w:tr>
      <w:tr w:rsidR="00994958" w14:paraId="5F2D255D" w14:textId="77777777">
        <w:tc>
          <w:tcPr>
            <w:tcW w:w="0" w:type="auto"/>
            <w:gridSpan w:val="3"/>
            <w:shd w:val="clear" w:color="auto" w:fill="CCEEFF"/>
            <w:tcMar>
              <w:top w:w="40" w:type="dxa"/>
              <w:left w:w="20" w:type="dxa"/>
              <w:bottom w:w="40" w:type="dxa"/>
              <w:right w:w="20" w:type="dxa"/>
            </w:tcMar>
            <w:vAlign w:val="bottom"/>
          </w:tcPr>
          <w:p w14:paraId="5F2D253D" w14:textId="77777777" w:rsidR="00E836FB" w:rsidRDefault="00994958">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3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3F" w14:textId="77777777" w:rsidR="00E836FB" w:rsidRDefault="00994958">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4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4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43" w14:textId="77777777" w:rsidR="00E836FB" w:rsidRDefault="00994958">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4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4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47" w14:textId="77777777" w:rsidR="00E836FB" w:rsidRDefault="00994958">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4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4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4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4B" w14:textId="77777777" w:rsidR="00E836FB" w:rsidRDefault="00994958">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4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4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4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5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5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53" w14:textId="77777777" w:rsidR="00E836FB" w:rsidRDefault="00994958">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5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5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5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5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5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55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55B" w14:textId="77777777" w:rsidR="00E836FB" w:rsidRDefault="00994958">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55C" w14:textId="77777777" w:rsidR="00E836FB" w:rsidRDefault="00E836FB">
            <w:pPr>
              <w:jc w:val="right"/>
              <w:rPr>
                <w:rFonts w:ascii="宋体"/>
              </w:rPr>
            </w:pPr>
          </w:p>
        </w:tc>
      </w:tr>
    </w:tbl>
    <w:p w14:paraId="5F2D255E" w14:textId="77777777" w:rsidR="00E836FB" w:rsidRDefault="00E836FB">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E836FB" w14:paraId="5F2D2568" w14:textId="77777777">
        <w:tc>
          <w:tcPr>
            <w:tcW w:w="50" w:type="pct"/>
            <w:shd w:val="clear" w:color="auto" w:fill="auto"/>
            <w:vAlign w:val="bottom"/>
          </w:tcPr>
          <w:p w14:paraId="5F2D255F" w14:textId="77777777" w:rsidR="00E836FB" w:rsidRDefault="00E836FB">
            <w:pPr>
              <w:rPr>
                <w:rFonts w:ascii="宋体"/>
              </w:rPr>
            </w:pPr>
          </w:p>
        </w:tc>
        <w:tc>
          <w:tcPr>
            <w:tcW w:w="3134" w:type="pct"/>
            <w:shd w:val="clear" w:color="auto" w:fill="auto"/>
            <w:vAlign w:val="bottom"/>
          </w:tcPr>
          <w:p w14:paraId="5F2D2560" w14:textId="77777777" w:rsidR="00E836FB" w:rsidRDefault="00E836FB">
            <w:pPr>
              <w:rPr>
                <w:rFonts w:ascii="宋体"/>
              </w:rPr>
            </w:pPr>
          </w:p>
        </w:tc>
        <w:tc>
          <w:tcPr>
            <w:tcW w:w="5" w:type="pct"/>
            <w:shd w:val="clear" w:color="auto" w:fill="auto"/>
            <w:vAlign w:val="bottom"/>
          </w:tcPr>
          <w:p w14:paraId="5F2D2561" w14:textId="77777777" w:rsidR="00E836FB" w:rsidRDefault="00E836FB">
            <w:pPr>
              <w:rPr>
                <w:rFonts w:ascii="宋体"/>
              </w:rPr>
            </w:pPr>
          </w:p>
        </w:tc>
        <w:tc>
          <w:tcPr>
            <w:tcW w:w="5" w:type="pct"/>
            <w:shd w:val="clear" w:color="auto" w:fill="auto"/>
            <w:vAlign w:val="bottom"/>
          </w:tcPr>
          <w:p w14:paraId="5F2D2562" w14:textId="77777777" w:rsidR="00E836FB" w:rsidRDefault="00E836FB">
            <w:pPr>
              <w:rPr>
                <w:rFonts w:ascii="宋体"/>
              </w:rPr>
            </w:pPr>
          </w:p>
        </w:tc>
        <w:tc>
          <w:tcPr>
            <w:tcW w:w="73" w:type="pct"/>
            <w:shd w:val="clear" w:color="auto" w:fill="auto"/>
            <w:vAlign w:val="bottom"/>
          </w:tcPr>
          <w:p w14:paraId="5F2D2563" w14:textId="77777777" w:rsidR="00E836FB" w:rsidRDefault="00E836FB">
            <w:pPr>
              <w:rPr>
                <w:rFonts w:ascii="宋体"/>
              </w:rPr>
            </w:pPr>
          </w:p>
        </w:tc>
        <w:tc>
          <w:tcPr>
            <w:tcW w:w="5" w:type="pct"/>
            <w:shd w:val="clear" w:color="auto" w:fill="auto"/>
            <w:vAlign w:val="bottom"/>
          </w:tcPr>
          <w:p w14:paraId="5F2D2564" w14:textId="77777777" w:rsidR="00E836FB" w:rsidRDefault="00E836FB">
            <w:pPr>
              <w:rPr>
                <w:rFonts w:ascii="宋体"/>
              </w:rPr>
            </w:pPr>
          </w:p>
        </w:tc>
        <w:tc>
          <w:tcPr>
            <w:tcW w:w="50" w:type="pct"/>
            <w:shd w:val="clear" w:color="auto" w:fill="auto"/>
            <w:vAlign w:val="bottom"/>
          </w:tcPr>
          <w:p w14:paraId="5F2D2565" w14:textId="77777777" w:rsidR="00E836FB" w:rsidRDefault="00E836FB">
            <w:pPr>
              <w:rPr>
                <w:rFonts w:ascii="宋体"/>
              </w:rPr>
            </w:pPr>
          </w:p>
        </w:tc>
        <w:tc>
          <w:tcPr>
            <w:tcW w:w="1672" w:type="pct"/>
            <w:shd w:val="clear" w:color="auto" w:fill="auto"/>
            <w:vAlign w:val="bottom"/>
          </w:tcPr>
          <w:p w14:paraId="5F2D2566" w14:textId="77777777" w:rsidR="00E836FB" w:rsidRDefault="00E836FB">
            <w:pPr>
              <w:rPr>
                <w:rFonts w:ascii="宋体"/>
              </w:rPr>
            </w:pPr>
          </w:p>
        </w:tc>
        <w:tc>
          <w:tcPr>
            <w:tcW w:w="5" w:type="pct"/>
            <w:shd w:val="clear" w:color="auto" w:fill="auto"/>
            <w:vAlign w:val="bottom"/>
          </w:tcPr>
          <w:p w14:paraId="5F2D2567" w14:textId="77777777" w:rsidR="00E836FB" w:rsidRDefault="00E836FB">
            <w:pPr>
              <w:rPr>
                <w:rFonts w:ascii="宋体"/>
              </w:rPr>
            </w:pPr>
          </w:p>
        </w:tc>
      </w:tr>
      <w:tr w:rsidR="00E836FB" w14:paraId="5F2D256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56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6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6B" w14:textId="77777777" w:rsidR="00E836FB" w:rsidRDefault="00E836FB">
            <w:pPr>
              <w:rPr>
                <w:rFonts w:ascii="宋体"/>
              </w:rPr>
            </w:pPr>
          </w:p>
        </w:tc>
      </w:tr>
    </w:tbl>
    <w:p w14:paraId="5F2D256D" w14:textId="77777777" w:rsidR="00E836FB" w:rsidRDefault="00994958">
      <w:r>
        <w:rPr>
          <w:rFonts w:ascii="Arial" w:eastAsia="宋体" w:hAnsi="Arial" w:cs="Arial"/>
          <w:color w:val="000000"/>
          <w:sz w:val="8"/>
          <w:szCs w:val="8"/>
        </w:rPr>
        <w:t>(1)</w:t>
      </w:r>
      <w:r>
        <w:rPr>
          <w:rFonts w:ascii="Arial" w:eastAsia="宋体" w:hAnsi="Arial" w:cs="Arial"/>
          <w:color w:val="000000"/>
          <w:sz w:val="13"/>
          <w:szCs w:val="13"/>
        </w:rPr>
        <w:t xml:space="preserve"> Includes $11 million allowance for credit losses on Fund Finance loans and $1 million on other loans.</w:t>
      </w:r>
    </w:p>
    <w:p w14:paraId="5F2D256E" w14:textId="77777777" w:rsidR="00E836FB" w:rsidRDefault="00994958">
      <w:pPr>
        <w:spacing w:before="60"/>
      </w:pPr>
      <w:r>
        <w:rPr>
          <w:rFonts w:ascii="Arial" w:eastAsia="宋体" w:hAnsi="Arial" w:cs="Arial"/>
          <w:color w:val="000000"/>
          <w:sz w:val="8"/>
          <w:szCs w:val="8"/>
        </w:rPr>
        <w:t>(2)</w:t>
      </w:r>
      <w:r>
        <w:rPr>
          <w:rFonts w:ascii="Arial" w:eastAsia="宋体" w:hAnsi="Arial" w:cs="Arial"/>
          <w:color w:val="000000"/>
          <w:sz w:val="13"/>
          <w:szCs w:val="13"/>
        </w:rPr>
        <w:t xml:space="preserve"> Related to the sale of leveraged loans in 2021.</w:t>
      </w:r>
    </w:p>
    <w:tbl>
      <w:tblPr>
        <w:tblW w:w="4956" w:type="pct"/>
        <w:tblCellMar>
          <w:top w:w="15" w:type="dxa"/>
          <w:left w:w="15" w:type="dxa"/>
          <w:bottom w:w="15" w:type="dxa"/>
          <w:right w:w="15" w:type="dxa"/>
        </w:tblCellMar>
        <w:tblLook w:val="04A0" w:firstRow="1" w:lastRow="0" w:firstColumn="1" w:lastColumn="0" w:noHBand="0" w:noVBand="1"/>
      </w:tblPr>
      <w:tblGrid>
        <w:gridCol w:w="45"/>
        <w:gridCol w:w="1491"/>
        <w:gridCol w:w="38"/>
        <w:gridCol w:w="100"/>
        <w:gridCol w:w="653"/>
        <w:gridCol w:w="38"/>
        <w:gridCol w:w="36"/>
        <w:gridCol w:w="36"/>
        <w:gridCol w:w="36"/>
        <w:gridCol w:w="99"/>
        <w:gridCol w:w="578"/>
        <w:gridCol w:w="37"/>
        <w:gridCol w:w="36"/>
        <w:gridCol w:w="36"/>
        <w:gridCol w:w="36"/>
        <w:gridCol w:w="99"/>
        <w:gridCol w:w="746"/>
        <w:gridCol w:w="36"/>
        <w:gridCol w:w="36"/>
        <w:gridCol w:w="36"/>
        <w:gridCol w:w="36"/>
        <w:gridCol w:w="99"/>
        <w:gridCol w:w="1024"/>
        <w:gridCol w:w="36"/>
        <w:gridCol w:w="36"/>
        <w:gridCol w:w="36"/>
        <w:gridCol w:w="36"/>
        <w:gridCol w:w="99"/>
        <w:gridCol w:w="898"/>
        <w:gridCol w:w="36"/>
        <w:gridCol w:w="36"/>
        <w:gridCol w:w="36"/>
        <w:gridCol w:w="36"/>
        <w:gridCol w:w="99"/>
        <w:gridCol w:w="562"/>
        <w:gridCol w:w="36"/>
        <w:gridCol w:w="36"/>
        <w:gridCol w:w="36"/>
        <w:gridCol w:w="36"/>
        <w:gridCol w:w="98"/>
        <w:gridCol w:w="632"/>
        <w:gridCol w:w="36"/>
      </w:tblGrid>
      <w:tr w:rsidR="00E836FB" w14:paraId="5F2D2599" w14:textId="77777777">
        <w:tc>
          <w:tcPr>
            <w:tcW w:w="50" w:type="pct"/>
            <w:shd w:val="clear" w:color="auto" w:fill="auto"/>
            <w:vAlign w:val="bottom"/>
          </w:tcPr>
          <w:p w14:paraId="5F2D256F" w14:textId="77777777" w:rsidR="00E836FB" w:rsidRDefault="00E836FB">
            <w:pPr>
              <w:rPr>
                <w:rFonts w:ascii="宋体"/>
              </w:rPr>
            </w:pPr>
          </w:p>
        </w:tc>
        <w:tc>
          <w:tcPr>
            <w:tcW w:w="940" w:type="pct"/>
            <w:shd w:val="clear" w:color="auto" w:fill="auto"/>
            <w:vAlign w:val="bottom"/>
          </w:tcPr>
          <w:p w14:paraId="5F2D2570" w14:textId="77777777" w:rsidR="00E836FB" w:rsidRDefault="00E836FB">
            <w:pPr>
              <w:rPr>
                <w:rFonts w:ascii="宋体"/>
              </w:rPr>
            </w:pPr>
          </w:p>
        </w:tc>
        <w:tc>
          <w:tcPr>
            <w:tcW w:w="5" w:type="pct"/>
            <w:shd w:val="clear" w:color="auto" w:fill="auto"/>
            <w:vAlign w:val="bottom"/>
          </w:tcPr>
          <w:p w14:paraId="5F2D2571" w14:textId="77777777" w:rsidR="00E836FB" w:rsidRDefault="00E836FB">
            <w:pPr>
              <w:rPr>
                <w:rFonts w:ascii="宋体"/>
              </w:rPr>
            </w:pPr>
          </w:p>
        </w:tc>
        <w:tc>
          <w:tcPr>
            <w:tcW w:w="50" w:type="pct"/>
            <w:shd w:val="clear" w:color="auto" w:fill="auto"/>
            <w:vAlign w:val="bottom"/>
          </w:tcPr>
          <w:p w14:paraId="5F2D2572" w14:textId="77777777" w:rsidR="00E836FB" w:rsidRDefault="00E836FB">
            <w:pPr>
              <w:rPr>
                <w:rFonts w:ascii="宋体"/>
              </w:rPr>
            </w:pPr>
          </w:p>
        </w:tc>
        <w:tc>
          <w:tcPr>
            <w:tcW w:w="409" w:type="pct"/>
            <w:shd w:val="clear" w:color="auto" w:fill="auto"/>
            <w:vAlign w:val="bottom"/>
          </w:tcPr>
          <w:p w14:paraId="5F2D2573" w14:textId="77777777" w:rsidR="00E836FB" w:rsidRDefault="00E836FB">
            <w:pPr>
              <w:rPr>
                <w:rFonts w:ascii="宋体"/>
              </w:rPr>
            </w:pPr>
          </w:p>
        </w:tc>
        <w:tc>
          <w:tcPr>
            <w:tcW w:w="5" w:type="pct"/>
            <w:shd w:val="clear" w:color="auto" w:fill="auto"/>
            <w:vAlign w:val="bottom"/>
          </w:tcPr>
          <w:p w14:paraId="5F2D2574" w14:textId="77777777" w:rsidR="00E836FB" w:rsidRDefault="00E836FB">
            <w:pPr>
              <w:rPr>
                <w:rFonts w:ascii="宋体"/>
              </w:rPr>
            </w:pPr>
          </w:p>
        </w:tc>
        <w:tc>
          <w:tcPr>
            <w:tcW w:w="5" w:type="pct"/>
            <w:shd w:val="clear" w:color="auto" w:fill="auto"/>
            <w:vAlign w:val="bottom"/>
          </w:tcPr>
          <w:p w14:paraId="5F2D2575" w14:textId="77777777" w:rsidR="00E836FB" w:rsidRDefault="00E836FB">
            <w:pPr>
              <w:rPr>
                <w:rFonts w:ascii="宋体"/>
              </w:rPr>
            </w:pPr>
          </w:p>
        </w:tc>
        <w:tc>
          <w:tcPr>
            <w:tcW w:w="26" w:type="pct"/>
            <w:shd w:val="clear" w:color="auto" w:fill="auto"/>
            <w:vAlign w:val="bottom"/>
          </w:tcPr>
          <w:p w14:paraId="5F2D2576" w14:textId="77777777" w:rsidR="00E836FB" w:rsidRDefault="00E836FB">
            <w:pPr>
              <w:rPr>
                <w:rFonts w:ascii="宋体"/>
              </w:rPr>
            </w:pPr>
          </w:p>
        </w:tc>
        <w:tc>
          <w:tcPr>
            <w:tcW w:w="5" w:type="pct"/>
            <w:shd w:val="clear" w:color="auto" w:fill="auto"/>
            <w:vAlign w:val="bottom"/>
          </w:tcPr>
          <w:p w14:paraId="5F2D2577" w14:textId="77777777" w:rsidR="00E836FB" w:rsidRDefault="00E836FB">
            <w:pPr>
              <w:rPr>
                <w:rFonts w:ascii="宋体"/>
              </w:rPr>
            </w:pPr>
          </w:p>
        </w:tc>
        <w:tc>
          <w:tcPr>
            <w:tcW w:w="50" w:type="pct"/>
            <w:shd w:val="clear" w:color="auto" w:fill="auto"/>
            <w:vAlign w:val="bottom"/>
          </w:tcPr>
          <w:p w14:paraId="5F2D2578" w14:textId="77777777" w:rsidR="00E836FB" w:rsidRDefault="00E836FB">
            <w:pPr>
              <w:rPr>
                <w:rFonts w:ascii="宋体"/>
              </w:rPr>
            </w:pPr>
          </w:p>
        </w:tc>
        <w:tc>
          <w:tcPr>
            <w:tcW w:w="424" w:type="pct"/>
            <w:shd w:val="clear" w:color="auto" w:fill="auto"/>
            <w:vAlign w:val="bottom"/>
          </w:tcPr>
          <w:p w14:paraId="5F2D2579" w14:textId="77777777" w:rsidR="00E836FB" w:rsidRDefault="00E836FB">
            <w:pPr>
              <w:rPr>
                <w:rFonts w:ascii="宋体"/>
              </w:rPr>
            </w:pPr>
          </w:p>
        </w:tc>
        <w:tc>
          <w:tcPr>
            <w:tcW w:w="5" w:type="pct"/>
            <w:shd w:val="clear" w:color="auto" w:fill="auto"/>
            <w:vAlign w:val="bottom"/>
          </w:tcPr>
          <w:p w14:paraId="5F2D257A" w14:textId="77777777" w:rsidR="00E836FB" w:rsidRDefault="00E836FB">
            <w:pPr>
              <w:rPr>
                <w:rFonts w:ascii="宋体"/>
              </w:rPr>
            </w:pPr>
          </w:p>
        </w:tc>
        <w:tc>
          <w:tcPr>
            <w:tcW w:w="5" w:type="pct"/>
            <w:shd w:val="clear" w:color="auto" w:fill="auto"/>
            <w:vAlign w:val="bottom"/>
          </w:tcPr>
          <w:p w14:paraId="5F2D257B" w14:textId="77777777" w:rsidR="00E836FB" w:rsidRDefault="00E836FB">
            <w:pPr>
              <w:rPr>
                <w:rFonts w:ascii="宋体"/>
              </w:rPr>
            </w:pPr>
          </w:p>
        </w:tc>
        <w:tc>
          <w:tcPr>
            <w:tcW w:w="26" w:type="pct"/>
            <w:shd w:val="clear" w:color="auto" w:fill="auto"/>
            <w:vAlign w:val="bottom"/>
          </w:tcPr>
          <w:p w14:paraId="5F2D257C" w14:textId="77777777" w:rsidR="00E836FB" w:rsidRDefault="00E836FB">
            <w:pPr>
              <w:rPr>
                <w:rFonts w:ascii="宋体"/>
              </w:rPr>
            </w:pPr>
          </w:p>
        </w:tc>
        <w:tc>
          <w:tcPr>
            <w:tcW w:w="5" w:type="pct"/>
            <w:shd w:val="clear" w:color="auto" w:fill="auto"/>
            <w:vAlign w:val="bottom"/>
          </w:tcPr>
          <w:p w14:paraId="5F2D257D" w14:textId="77777777" w:rsidR="00E836FB" w:rsidRDefault="00E836FB">
            <w:pPr>
              <w:rPr>
                <w:rFonts w:ascii="宋体"/>
              </w:rPr>
            </w:pPr>
          </w:p>
        </w:tc>
        <w:tc>
          <w:tcPr>
            <w:tcW w:w="50" w:type="pct"/>
            <w:shd w:val="clear" w:color="auto" w:fill="auto"/>
            <w:vAlign w:val="bottom"/>
          </w:tcPr>
          <w:p w14:paraId="5F2D257E" w14:textId="77777777" w:rsidR="00E836FB" w:rsidRDefault="00E836FB">
            <w:pPr>
              <w:rPr>
                <w:rFonts w:ascii="宋体"/>
              </w:rPr>
            </w:pPr>
          </w:p>
        </w:tc>
        <w:tc>
          <w:tcPr>
            <w:tcW w:w="424" w:type="pct"/>
            <w:shd w:val="clear" w:color="auto" w:fill="auto"/>
            <w:vAlign w:val="bottom"/>
          </w:tcPr>
          <w:p w14:paraId="5F2D257F" w14:textId="77777777" w:rsidR="00E836FB" w:rsidRDefault="00E836FB">
            <w:pPr>
              <w:rPr>
                <w:rFonts w:ascii="宋体"/>
              </w:rPr>
            </w:pPr>
          </w:p>
        </w:tc>
        <w:tc>
          <w:tcPr>
            <w:tcW w:w="5" w:type="pct"/>
            <w:shd w:val="clear" w:color="auto" w:fill="auto"/>
            <w:vAlign w:val="bottom"/>
          </w:tcPr>
          <w:p w14:paraId="5F2D2580" w14:textId="77777777" w:rsidR="00E836FB" w:rsidRDefault="00E836FB">
            <w:pPr>
              <w:rPr>
                <w:rFonts w:ascii="宋体"/>
              </w:rPr>
            </w:pPr>
          </w:p>
        </w:tc>
        <w:tc>
          <w:tcPr>
            <w:tcW w:w="5" w:type="pct"/>
            <w:shd w:val="clear" w:color="auto" w:fill="auto"/>
            <w:vAlign w:val="bottom"/>
          </w:tcPr>
          <w:p w14:paraId="5F2D2581" w14:textId="77777777" w:rsidR="00E836FB" w:rsidRDefault="00E836FB">
            <w:pPr>
              <w:rPr>
                <w:rFonts w:ascii="宋体"/>
              </w:rPr>
            </w:pPr>
          </w:p>
        </w:tc>
        <w:tc>
          <w:tcPr>
            <w:tcW w:w="26" w:type="pct"/>
            <w:shd w:val="clear" w:color="auto" w:fill="auto"/>
            <w:vAlign w:val="bottom"/>
          </w:tcPr>
          <w:p w14:paraId="5F2D2582" w14:textId="77777777" w:rsidR="00E836FB" w:rsidRDefault="00E836FB">
            <w:pPr>
              <w:rPr>
                <w:rFonts w:ascii="宋体"/>
              </w:rPr>
            </w:pPr>
          </w:p>
        </w:tc>
        <w:tc>
          <w:tcPr>
            <w:tcW w:w="5" w:type="pct"/>
            <w:shd w:val="clear" w:color="auto" w:fill="auto"/>
            <w:vAlign w:val="bottom"/>
          </w:tcPr>
          <w:p w14:paraId="5F2D2583" w14:textId="77777777" w:rsidR="00E836FB" w:rsidRDefault="00E836FB">
            <w:pPr>
              <w:rPr>
                <w:rFonts w:ascii="宋体"/>
              </w:rPr>
            </w:pPr>
          </w:p>
        </w:tc>
        <w:tc>
          <w:tcPr>
            <w:tcW w:w="50" w:type="pct"/>
            <w:shd w:val="clear" w:color="auto" w:fill="auto"/>
            <w:vAlign w:val="bottom"/>
          </w:tcPr>
          <w:p w14:paraId="5F2D2584" w14:textId="77777777" w:rsidR="00E836FB" w:rsidRDefault="00E836FB">
            <w:pPr>
              <w:rPr>
                <w:rFonts w:ascii="宋体"/>
              </w:rPr>
            </w:pPr>
          </w:p>
        </w:tc>
        <w:tc>
          <w:tcPr>
            <w:tcW w:w="630" w:type="pct"/>
            <w:shd w:val="clear" w:color="auto" w:fill="auto"/>
            <w:vAlign w:val="bottom"/>
          </w:tcPr>
          <w:p w14:paraId="5F2D2585" w14:textId="77777777" w:rsidR="00E836FB" w:rsidRDefault="00E836FB">
            <w:pPr>
              <w:rPr>
                <w:rFonts w:ascii="宋体"/>
              </w:rPr>
            </w:pPr>
          </w:p>
        </w:tc>
        <w:tc>
          <w:tcPr>
            <w:tcW w:w="5" w:type="pct"/>
            <w:shd w:val="clear" w:color="auto" w:fill="auto"/>
            <w:vAlign w:val="bottom"/>
          </w:tcPr>
          <w:p w14:paraId="5F2D2586" w14:textId="77777777" w:rsidR="00E836FB" w:rsidRDefault="00E836FB">
            <w:pPr>
              <w:rPr>
                <w:rFonts w:ascii="宋体"/>
              </w:rPr>
            </w:pPr>
          </w:p>
        </w:tc>
        <w:tc>
          <w:tcPr>
            <w:tcW w:w="5" w:type="pct"/>
            <w:shd w:val="clear" w:color="auto" w:fill="auto"/>
            <w:vAlign w:val="bottom"/>
          </w:tcPr>
          <w:p w14:paraId="5F2D2587" w14:textId="77777777" w:rsidR="00E836FB" w:rsidRDefault="00E836FB">
            <w:pPr>
              <w:rPr>
                <w:rFonts w:ascii="宋体"/>
              </w:rPr>
            </w:pPr>
          </w:p>
        </w:tc>
        <w:tc>
          <w:tcPr>
            <w:tcW w:w="26" w:type="pct"/>
            <w:shd w:val="clear" w:color="auto" w:fill="auto"/>
            <w:vAlign w:val="bottom"/>
          </w:tcPr>
          <w:p w14:paraId="5F2D2588" w14:textId="77777777" w:rsidR="00E836FB" w:rsidRDefault="00E836FB">
            <w:pPr>
              <w:rPr>
                <w:rFonts w:ascii="宋体"/>
              </w:rPr>
            </w:pPr>
          </w:p>
        </w:tc>
        <w:tc>
          <w:tcPr>
            <w:tcW w:w="5" w:type="pct"/>
            <w:shd w:val="clear" w:color="auto" w:fill="auto"/>
            <w:vAlign w:val="bottom"/>
          </w:tcPr>
          <w:p w14:paraId="5F2D2589" w14:textId="77777777" w:rsidR="00E836FB" w:rsidRDefault="00E836FB">
            <w:pPr>
              <w:rPr>
                <w:rFonts w:ascii="宋体"/>
              </w:rPr>
            </w:pPr>
          </w:p>
        </w:tc>
        <w:tc>
          <w:tcPr>
            <w:tcW w:w="50" w:type="pct"/>
            <w:shd w:val="clear" w:color="auto" w:fill="auto"/>
            <w:vAlign w:val="bottom"/>
          </w:tcPr>
          <w:p w14:paraId="5F2D258A" w14:textId="77777777" w:rsidR="00E836FB" w:rsidRDefault="00E836FB">
            <w:pPr>
              <w:rPr>
                <w:rFonts w:ascii="宋体"/>
              </w:rPr>
            </w:pPr>
          </w:p>
        </w:tc>
        <w:tc>
          <w:tcPr>
            <w:tcW w:w="645" w:type="pct"/>
            <w:shd w:val="clear" w:color="auto" w:fill="auto"/>
            <w:vAlign w:val="bottom"/>
          </w:tcPr>
          <w:p w14:paraId="5F2D258B" w14:textId="77777777" w:rsidR="00E836FB" w:rsidRDefault="00E836FB">
            <w:pPr>
              <w:rPr>
                <w:rFonts w:ascii="宋体"/>
              </w:rPr>
            </w:pPr>
          </w:p>
        </w:tc>
        <w:tc>
          <w:tcPr>
            <w:tcW w:w="5" w:type="pct"/>
            <w:shd w:val="clear" w:color="auto" w:fill="auto"/>
            <w:vAlign w:val="bottom"/>
          </w:tcPr>
          <w:p w14:paraId="5F2D258C" w14:textId="77777777" w:rsidR="00E836FB" w:rsidRDefault="00E836FB">
            <w:pPr>
              <w:rPr>
                <w:rFonts w:ascii="宋体"/>
              </w:rPr>
            </w:pPr>
          </w:p>
        </w:tc>
        <w:tc>
          <w:tcPr>
            <w:tcW w:w="5" w:type="pct"/>
            <w:shd w:val="clear" w:color="auto" w:fill="auto"/>
            <w:vAlign w:val="bottom"/>
          </w:tcPr>
          <w:p w14:paraId="5F2D258D" w14:textId="77777777" w:rsidR="00E836FB" w:rsidRDefault="00E836FB">
            <w:pPr>
              <w:rPr>
                <w:rFonts w:ascii="宋体"/>
              </w:rPr>
            </w:pPr>
          </w:p>
        </w:tc>
        <w:tc>
          <w:tcPr>
            <w:tcW w:w="26" w:type="pct"/>
            <w:shd w:val="clear" w:color="auto" w:fill="auto"/>
            <w:vAlign w:val="bottom"/>
          </w:tcPr>
          <w:p w14:paraId="5F2D258E" w14:textId="77777777" w:rsidR="00E836FB" w:rsidRDefault="00E836FB">
            <w:pPr>
              <w:rPr>
                <w:rFonts w:ascii="宋体"/>
              </w:rPr>
            </w:pPr>
          </w:p>
        </w:tc>
        <w:tc>
          <w:tcPr>
            <w:tcW w:w="5" w:type="pct"/>
            <w:shd w:val="clear" w:color="auto" w:fill="auto"/>
            <w:vAlign w:val="bottom"/>
          </w:tcPr>
          <w:p w14:paraId="5F2D258F" w14:textId="77777777" w:rsidR="00E836FB" w:rsidRDefault="00E836FB">
            <w:pPr>
              <w:rPr>
                <w:rFonts w:ascii="宋体"/>
              </w:rPr>
            </w:pPr>
          </w:p>
        </w:tc>
        <w:tc>
          <w:tcPr>
            <w:tcW w:w="50" w:type="pct"/>
            <w:shd w:val="clear" w:color="auto" w:fill="auto"/>
            <w:vAlign w:val="bottom"/>
          </w:tcPr>
          <w:p w14:paraId="5F2D2590" w14:textId="77777777" w:rsidR="00E836FB" w:rsidRDefault="00E836FB">
            <w:pPr>
              <w:rPr>
                <w:rFonts w:ascii="宋体"/>
              </w:rPr>
            </w:pPr>
          </w:p>
        </w:tc>
        <w:tc>
          <w:tcPr>
            <w:tcW w:w="424" w:type="pct"/>
            <w:shd w:val="clear" w:color="auto" w:fill="auto"/>
            <w:vAlign w:val="bottom"/>
          </w:tcPr>
          <w:p w14:paraId="5F2D2591" w14:textId="77777777" w:rsidR="00E836FB" w:rsidRDefault="00E836FB">
            <w:pPr>
              <w:rPr>
                <w:rFonts w:ascii="宋体"/>
              </w:rPr>
            </w:pPr>
          </w:p>
        </w:tc>
        <w:tc>
          <w:tcPr>
            <w:tcW w:w="5" w:type="pct"/>
            <w:shd w:val="clear" w:color="auto" w:fill="auto"/>
            <w:vAlign w:val="bottom"/>
          </w:tcPr>
          <w:p w14:paraId="5F2D2592" w14:textId="77777777" w:rsidR="00E836FB" w:rsidRDefault="00E836FB">
            <w:pPr>
              <w:rPr>
                <w:rFonts w:ascii="宋体"/>
              </w:rPr>
            </w:pPr>
          </w:p>
        </w:tc>
        <w:tc>
          <w:tcPr>
            <w:tcW w:w="5" w:type="pct"/>
            <w:shd w:val="clear" w:color="auto" w:fill="auto"/>
            <w:vAlign w:val="bottom"/>
          </w:tcPr>
          <w:p w14:paraId="5F2D2593" w14:textId="77777777" w:rsidR="00E836FB" w:rsidRDefault="00E836FB">
            <w:pPr>
              <w:rPr>
                <w:rFonts w:ascii="宋体"/>
              </w:rPr>
            </w:pPr>
          </w:p>
        </w:tc>
        <w:tc>
          <w:tcPr>
            <w:tcW w:w="26" w:type="pct"/>
            <w:shd w:val="clear" w:color="auto" w:fill="auto"/>
            <w:vAlign w:val="bottom"/>
          </w:tcPr>
          <w:p w14:paraId="5F2D2594" w14:textId="77777777" w:rsidR="00E836FB" w:rsidRDefault="00E836FB">
            <w:pPr>
              <w:rPr>
                <w:rFonts w:ascii="宋体"/>
              </w:rPr>
            </w:pPr>
          </w:p>
        </w:tc>
        <w:tc>
          <w:tcPr>
            <w:tcW w:w="5" w:type="pct"/>
            <w:shd w:val="clear" w:color="auto" w:fill="auto"/>
            <w:vAlign w:val="bottom"/>
          </w:tcPr>
          <w:p w14:paraId="5F2D2595" w14:textId="77777777" w:rsidR="00E836FB" w:rsidRDefault="00E836FB">
            <w:pPr>
              <w:rPr>
                <w:rFonts w:ascii="宋体"/>
              </w:rPr>
            </w:pPr>
          </w:p>
        </w:tc>
        <w:tc>
          <w:tcPr>
            <w:tcW w:w="50" w:type="pct"/>
            <w:shd w:val="clear" w:color="auto" w:fill="auto"/>
            <w:vAlign w:val="bottom"/>
          </w:tcPr>
          <w:p w14:paraId="5F2D2596" w14:textId="77777777" w:rsidR="00E836FB" w:rsidRDefault="00E836FB">
            <w:pPr>
              <w:rPr>
                <w:rFonts w:ascii="宋体"/>
              </w:rPr>
            </w:pPr>
          </w:p>
        </w:tc>
        <w:tc>
          <w:tcPr>
            <w:tcW w:w="439" w:type="pct"/>
            <w:shd w:val="clear" w:color="auto" w:fill="auto"/>
            <w:vAlign w:val="bottom"/>
          </w:tcPr>
          <w:p w14:paraId="5F2D2597" w14:textId="77777777" w:rsidR="00E836FB" w:rsidRDefault="00E836FB">
            <w:pPr>
              <w:rPr>
                <w:rFonts w:ascii="宋体"/>
              </w:rPr>
            </w:pPr>
          </w:p>
        </w:tc>
        <w:tc>
          <w:tcPr>
            <w:tcW w:w="5" w:type="pct"/>
            <w:shd w:val="clear" w:color="auto" w:fill="auto"/>
            <w:vAlign w:val="bottom"/>
          </w:tcPr>
          <w:p w14:paraId="5F2D2598" w14:textId="77777777" w:rsidR="00E836FB" w:rsidRDefault="00E836FB">
            <w:pPr>
              <w:rPr>
                <w:rFonts w:ascii="宋体"/>
              </w:rPr>
            </w:pPr>
          </w:p>
        </w:tc>
      </w:tr>
      <w:tr w:rsidR="00E836FB" w14:paraId="5F2D259C" w14:textId="77777777">
        <w:tc>
          <w:tcPr>
            <w:tcW w:w="0" w:type="auto"/>
            <w:gridSpan w:val="3"/>
            <w:shd w:val="clear" w:color="auto" w:fill="auto"/>
            <w:tcMar>
              <w:top w:w="0" w:type="dxa"/>
              <w:left w:w="20" w:type="dxa"/>
              <w:bottom w:w="0" w:type="dxa"/>
              <w:right w:w="20" w:type="dxa"/>
            </w:tcMar>
            <w:vAlign w:val="bottom"/>
          </w:tcPr>
          <w:p w14:paraId="5F2D259A" w14:textId="77777777" w:rsidR="00E836FB" w:rsidRDefault="00E836FB">
            <w:pPr>
              <w:rPr>
                <w:rFonts w:ascii="宋体"/>
              </w:rPr>
            </w:pPr>
          </w:p>
        </w:tc>
        <w:tc>
          <w:tcPr>
            <w:tcW w:w="0" w:type="auto"/>
            <w:gridSpan w:val="39"/>
            <w:shd w:val="clear" w:color="auto" w:fill="auto"/>
            <w:tcMar>
              <w:top w:w="40" w:type="dxa"/>
              <w:left w:w="20" w:type="dxa"/>
              <w:bottom w:w="40" w:type="dxa"/>
              <w:right w:w="20" w:type="dxa"/>
            </w:tcMar>
            <w:vAlign w:val="bottom"/>
          </w:tcPr>
          <w:p w14:paraId="5F2D259B" w14:textId="77777777" w:rsidR="00E836FB" w:rsidRDefault="00994958">
            <w:pPr>
              <w:jc w:val="center"/>
              <w:textAlignment w:val="bottom"/>
            </w:pPr>
            <w:r>
              <w:rPr>
                <w:rFonts w:ascii="Arial" w:eastAsia="宋体" w:hAnsi="Arial" w:cs="Arial"/>
                <w:b/>
                <w:bCs/>
                <w:color w:val="000000"/>
                <w:sz w:val="14"/>
                <w:szCs w:val="14"/>
              </w:rPr>
              <w:t>Year Ended December 31, 2020</w:t>
            </w:r>
          </w:p>
        </w:tc>
      </w:tr>
      <w:tr w:rsidR="00E836FB" w14:paraId="5F2D25A8" w14:textId="77777777">
        <w:tc>
          <w:tcPr>
            <w:tcW w:w="0" w:type="auto"/>
            <w:gridSpan w:val="3"/>
            <w:shd w:val="clear" w:color="auto" w:fill="auto"/>
            <w:tcMar>
              <w:top w:w="0" w:type="dxa"/>
              <w:left w:w="20" w:type="dxa"/>
              <w:bottom w:w="0" w:type="dxa"/>
              <w:right w:w="20" w:type="dxa"/>
            </w:tcMar>
            <w:vAlign w:val="bottom"/>
          </w:tcPr>
          <w:p w14:paraId="5F2D259D"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259E" w14:textId="77777777" w:rsidR="00E836FB" w:rsidRDefault="00994958">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9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5" w14:textId="77777777" w:rsidR="00E836FB" w:rsidRDefault="00E836FB">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5F2D25A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7" w14:textId="77777777" w:rsidR="00E836FB" w:rsidRDefault="00E836FB">
            <w:pPr>
              <w:rPr>
                <w:rFonts w:ascii="宋体"/>
              </w:rPr>
            </w:pPr>
          </w:p>
        </w:tc>
      </w:tr>
      <w:tr w:rsidR="00E836FB" w14:paraId="5F2D25B7" w14:textId="77777777">
        <w:tc>
          <w:tcPr>
            <w:tcW w:w="0" w:type="auto"/>
            <w:gridSpan w:val="3"/>
            <w:shd w:val="clear" w:color="auto" w:fill="auto"/>
            <w:tcMar>
              <w:top w:w="40" w:type="dxa"/>
              <w:left w:w="20" w:type="dxa"/>
              <w:bottom w:w="40" w:type="dxa"/>
              <w:right w:w="20" w:type="dxa"/>
            </w:tcMar>
            <w:vAlign w:val="bottom"/>
          </w:tcPr>
          <w:p w14:paraId="5F2D25A9"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5AA" w14:textId="77777777" w:rsidR="00E836FB" w:rsidRDefault="00994958">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A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5AC" w14:textId="77777777" w:rsidR="00E836FB" w:rsidRDefault="00994958">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D25A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5AE" w14:textId="77777777" w:rsidR="00E836FB" w:rsidRDefault="00994958">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5F2D25A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5B0" w14:textId="77777777" w:rsidR="00E836FB" w:rsidRDefault="00994958">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5F2D25B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5B2" w14:textId="77777777" w:rsidR="00E836FB" w:rsidRDefault="00994958">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5F2D25B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5B4" w14:textId="77777777" w:rsidR="00E836FB" w:rsidRDefault="00994958">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5F2D25B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5B6"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25C6" w14:textId="77777777">
        <w:tc>
          <w:tcPr>
            <w:tcW w:w="0" w:type="auto"/>
            <w:gridSpan w:val="3"/>
            <w:shd w:val="clear" w:color="auto" w:fill="auto"/>
            <w:tcMar>
              <w:top w:w="40" w:type="dxa"/>
              <w:left w:w="20" w:type="dxa"/>
              <w:bottom w:w="40" w:type="dxa"/>
              <w:right w:w="20" w:type="dxa"/>
            </w:tcMar>
            <w:vAlign w:val="bottom"/>
          </w:tcPr>
          <w:p w14:paraId="5F2D25B8" w14:textId="77777777" w:rsidR="00E836FB" w:rsidRDefault="00994958">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B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B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B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B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B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B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B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C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C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C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C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5C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5C5" w14:textId="77777777" w:rsidR="00E836FB" w:rsidRDefault="00E836FB">
            <w:pPr>
              <w:rPr>
                <w:rFonts w:ascii="宋体"/>
              </w:rPr>
            </w:pPr>
          </w:p>
        </w:tc>
      </w:tr>
      <w:tr w:rsidR="00E836FB" w14:paraId="5F2D25E3" w14:textId="77777777">
        <w:tc>
          <w:tcPr>
            <w:tcW w:w="0" w:type="auto"/>
            <w:gridSpan w:val="3"/>
            <w:shd w:val="clear" w:color="auto" w:fill="CCEEFF"/>
            <w:tcMar>
              <w:top w:w="40" w:type="dxa"/>
              <w:left w:w="20" w:type="dxa"/>
              <w:bottom w:w="40" w:type="dxa"/>
              <w:right w:w="20" w:type="dxa"/>
            </w:tcMar>
            <w:vAlign w:val="bottom"/>
          </w:tcPr>
          <w:p w14:paraId="5F2D25C7" w14:textId="77777777" w:rsidR="00E836FB" w:rsidRDefault="00994958">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F2D25C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5C9" w14:textId="77777777" w:rsidR="00E836FB" w:rsidRDefault="00994958">
            <w:pPr>
              <w:jc w:val="right"/>
              <w:textAlignment w:val="bottom"/>
            </w:pPr>
            <w:r>
              <w:rPr>
                <w:rFonts w:ascii="Arial" w:eastAsia="宋体" w:hAnsi="Arial" w:cs="Arial"/>
                <w:color w:val="000000"/>
                <w:sz w:val="14"/>
                <w:szCs w:val="14"/>
              </w:rPr>
              <w:t>61 </w:t>
            </w:r>
          </w:p>
        </w:tc>
        <w:tc>
          <w:tcPr>
            <w:tcW w:w="0" w:type="auto"/>
            <w:shd w:val="clear" w:color="auto" w:fill="CCEEFF"/>
            <w:tcMar>
              <w:top w:w="40" w:type="dxa"/>
              <w:left w:w="0" w:type="dxa"/>
              <w:bottom w:w="40" w:type="dxa"/>
              <w:right w:w="20" w:type="dxa"/>
            </w:tcMar>
            <w:vAlign w:val="bottom"/>
          </w:tcPr>
          <w:p w14:paraId="5F2D25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C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5C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5CD"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F2D25C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C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5D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5D1"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D25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D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5D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5D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5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D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5D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5D9" w14:textId="77777777" w:rsidR="00E836FB" w:rsidRDefault="00994958">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5F2D25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D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5DC"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5DD"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F2D25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D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5E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25E1"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F2D25E2" w14:textId="77777777" w:rsidR="00E836FB" w:rsidRDefault="00E836FB">
            <w:pPr>
              <w:jc w:val="right"/>
              <w:rPr>
                <w:rFonts w:ascii="宋体"/>
              </w:rPr>
            </w:pPr>
          </w:p>
        </w:tc>
      </w:tr>
      <w:tr w:rsidR="00E836FB" w14:paraId="5F2D25F9" w14:textId="77777777">
        <w:tc>
          <w:tcPr>
            <w:tcW w:w="0" w:type="auto"/>
            <w:gridSpan w:val="3"/>
            <w:shd w:val="clear" w:color="auto" w:fill="FFFFFF"/>
            <w:tcMar>
              <w:top w:w="40" w:type="dxa"/>
              <w:left w:w="20" w:type="dxa"/>
              <w:bottom w:w="40" w:type="dxa"/>
              <w:right w:w="20" w:type="dxa"/>
            </w:tcMar>
            <w:vAlign w:val="bottom"/>
          </w:tcPr>
          <w:p w14:paraId="5F2D25E4" w14:textId="77777777" w:rsidR="00E836FB" w:rsidRDefault="00994958">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D25E5" w14:textId="77777777" w:rsidR="00E836FB" w:rsidRDefault="00994958">
            <w:pPr>
              <w:jc w:val="right"/>
              <w:textAlignment w:val="bottom"/>
            </w:pPr>
            <w:r>
              <w:rPr>
                <w:rFonts w:ascii="Arial" w:eastAsia="宋体" w:hAnsi="Arial" w:cs="Arial"/>
                <w:color w:val="000000"/>
                <w:sz w:val="14"/>
                <w:szCs w:val="14"/>
              </w:rPr>
              <w:t>(41)</w:t>
            </w:r>
          </w:p>
        </w:tc>
        <w:tc>
          <w:tcPr>
            <w:tcW w:w="0" w:type="auto"/>
            <w:shd w:val="clear" w:color="auto" w:fill="FFFFFF"/>
            <w:tcMar>
              <w:top w:w="40" w:type="dxa"/>
              <w:left w:w="0" w:type="dxa"/>
              <w:bottom w:w="40" w:type="dxa"/>
              <w:right w:w="20" w:type="dxa"/>
            </w:tcMar>
            <w:vAlign w:val="bottom"/>
          </w:tcPr>
          <w:p w14:paraId="5F2D25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E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E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E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E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E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E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E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F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F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F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5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5F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5F7" w14:textId="77777777" w:rsidR="00E836FB" w:rsidRDefault="00994958">
            <w:pPr>
              <w:jc w:val="right"/>
              <w:textAlignment w:val="bottom"/>
            </w:pPr>
            <w:r>
              <w:rPr>
                <w:rFonts w:ascii="Arial" w:eastAsia="宋体" w:hAnsi="Arial" w:cs="Arial"/>
                <w:color w:val="000000"/>
                <w:sz w:val="14"/>
                <w:szCs w:val="14"/>
              </w:rPr>
              <w:t>(41)</w:t>
            </w:r>
          </w:p>
        </w:tc>
        <w:tc>
          <w:tcPr>
            <w:tcW w:w="0" w:type="auto"/>
            <w:shd w:val="clear" w:color="auto" w:fill="FFFFFF"/>
            <w:tcMar>
              <w:top w:w="40" w:type="dxa"/>
              <w:left w:w="0" w:type="dxa"/>
              <w:bottom w:w="40" w:type="dxa"/>
              <w:right w:w="20" w:type="dxa"/>
            </w:tcMar>
            <w:vAlign w:val="bottom"/>
          </w:tcPr>
          <w:p w14:paraId="5F2D25F8" w14:textId="77777777" w:rsidR="00E836FB" w:rsidRDefault="00E836FB">
            <w:pPr>
              <w:jc w:val="right"/>
              <w:rPr>
                <w:rFonts w:ascii="宋体"/>
              </w:rPr>
            </w:pPr>
          </w:p>
        </w:tc>
      </w:tr>
      <w:tr w:rsidR="00E836FB" w14:paraId="5F2D260F" w14:textId="77777777">
        <w:tc>
          <w:tcPr>
            <w:tcW w:w="0" w:type="auto"/>
            <w:gridSpan w:val="3"/>
            <w:shd w:val="clear" w:color="auto" w:fill="CCEEFF"/>
            <w:tcMar>
              <w:top w:w="40" w:type="dxa"/>
              <w:left w:w="20" w:type="dxa"/>
              <w:bottom w:w="40" w:type="dxa"/>
              <w:right w:w="20" w:type="dxa"/>
            </w:tcMar>
            <w:vAlign w:val="bottom"/>
          </w:tcPr>
          <w:p w14:paraId="5F2D25FA" w14:textId="77777777" w:rsidR="00E836FB" w:rsidRDefault="00994958">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F2D25FB" w14:textId="77777777" w:rsidR="00E836FB" w:rsidRDefault="00994958">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5F2D25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5F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5FE" w14:textId="77777777" w:rsidR="00E836FB" w:rsidRDefault="00994958">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5F2D25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0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601" w14:textId="77777777" w:rsidR="00E836FB" w:rsidRDefault="00994958">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5F2D26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0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604"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F2D26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0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607"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D26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0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60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260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0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60D" w14:textId="77777777" w:rsidR="00E836FB" w:rsidRDefault="00994958">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5F2D260E" w14:textId="77777777" w:rsidR="00E836FB" w:rsidRDefault="00E836FB">
            <w:pPr>
              <w:jc w:val="right"/>
              <w:rPr>
                <w:rFonts w:ascii="宋体"/>
              </w:rPr>
            </w:pPr>
          </w:p>
        </w:tc>
      </w:tr>
      <w:tr w:rsidR="00E836FB" w14:paraId="5F2D261E" w14:textId="77777777">
        <w:trPr>
          <w:hidden/>
        </w:trPr>
        <w:tc>
          <w:tcPr>
            <w:tcW w:w="0" w:type="auto"/>
            <w:gridSpan w:val="3"/>
            <w:shd w:val="clear" w:color="auto" w:fill="auto"/>
            <w:vAlign w:val="bottom"/>
          </w:tcPr>
          <w:p w14:paraId="5F2D2610" w14:textId="77777777" w:rsidR="00E836FB" w:rsidRDefault="00E836FB">
            <w:pPr>
              <w:rPr>
                <w:rFonts w:ascii="宋体"/>
                <w:vanish/>
              </w:rPr>
            </w:pPr>
          </w:p>
        </w:tc>
        <w:tc>
          <w:tcPr>
            <w:tcW w:w="0" w:type="auto"/>
            <w:gridSpan w:val="3"/>
            <w:shd w:val="clear" w:color="auto" w:fill="auto"/>
            <w:vAlign w:val="bottom"/>
          </w:tcPr>
          <w:p w14:paraId="5F2D2611" w14:textId="77777777" w:rsidR="00E836FB" w:rsidRDefault="00E836FB">
            <w:pPr>
              <w:rPr>
                <w:rFonts w:ascii="宋体"/>
                <w:vanish/>
              </w:rPr>
            </w:pPr>
          </w:p>
        </w:tc>
        <w:tc>
          <w:tcPr>
            <w:tcW w:w="0" w:type="auto"/>
            <w:gridSpan w:val="3"/>
            <w:shd w:val="clear" w:color="auto" w:fill="auto"/>
            <w:vAlign w:val="bottom"/>
          </w:tcPr>
          <w:p w14:paraId="5F2D2612" w14:textId="77777777" w:rsidR="00E836FB" w:rsidRDefault="00E836FB">
            <w:pPr>
              <w:rPr>
                <w:rFonts w:ascii="宋体"/>
                <w:vanish/>
              </w:rPr>
            </w:pPr>
          </w:p>
        </w:tc>
        <w:tc>
          <w:tcPr>
            <w:tcW w:w="0" w:type="auto"/>
            <w:gridSpan w:val="3"/>
            <w:shd w:val="clear" w:color="auto" w:fill="auto"/>
            <w:vAlign w:val="bottom"/>
          </w:tcPr>
          <w:p w14:paraId="5F2D2613" w14:textId="77777777" w:rsidR="00E836FB" w:rsidRDefault="00E836FB">
            <w:pPr>
              <w:rPr>
                <w:rFonts w:ascii="宋体"/>
                <w:vanish/>
              </w:rPr>
            </w:pPr>
          </w:p>
        </w:tc>
        <w:tc>
          <w:tcPr>
            <w:tcW w:w="0" w:type="auto"/>
            <w:gridSpan w:val="3"/>
            <w:shd w:val="clear" w:color="auto" w:fill="auto"/>
            <w:vAlign w:val="bottom"/>
          </w:tcPr>
          <w:p w14:paraId="5F2D2614" w14:textId="77777777" w:rsidR="00E836FB" w:rsidRDefault="00E836FB">
            <w:pPr>
              <w:rPr>
                <w:rFonts w:ascii="宋体"/>
                <w:vanish/>
              </w:rPr>
            </w:pPr>
          </w:p>
        </w:tc>
        <w:tc>
          <w:tcPr>
            <w:tcW w:w="0" w:type="auto"/>
            <w:gridSpan w:val="3"/>
            <w:shd w:val="clear" w:color="auto" w:fill="auto"/>
            <w:vAlign w:val="bottom"/>
          </w:tcPr>
          <w:p w14:paraId="5F2D2615" w14:textId="77777777" w:rsidR="00E836FB" w:rsidRDefault="00E836FB">
            <w:pPr>
              <w:rPr>
                <w:rFonts w:ascii="宋体"/>
                <w:vanish/>
              </w:rPr>
            </w:pPr>
          </w:p>
        </w:tc>
        <w:tc>
          <w:tcPr>
            <w:tcW w:w="0" w:type="auto"/>
            <w:gridSpan w:val="3"/>
            <w:shd w:val="clear" w:color="auto" w:fill="auto"/>
            <w:vAlign w:val="bottom"/>
          </w:tcPr>
          <w:p w14:paraId="5F2D2616" w14:textId="77777777" w:rsidR="00E836FB" w:rsidRDefault="00E836FB">
            <w:pPr>
              <w:rPr>
                <w:rFonts w:ascii="宋体"/>
                <w:vanish/>
              </w:rPr>
            </w:pPr>
          </w:p>
        </w:tc>
        <w:tc>
          <w:tcPr>
            <w:tcW w:w="0" w:type="auto"/>
            <w:gridSpan w:val="3"/>
            <w:shd w:val="clear" w:color="auto" w:fill="auto"/>
            <w:vAlign w:val="bottom"/>
          </w:tcPr>
          <w:p w14:paraId="5F2D2617" w14:textId="77777777" w:rsidR="00E836FB" w:rsidRDefault="00E836FB">
            <w:pPr>
              <w:rPr>
                <w:rFonts w:ascii="宋体"/>
                <w:vanish/>
              </w:rPr>
            </w:pPr>
          </w:p>
        </w:tc>
        <w:tc>
          <w:tcPr>
            <w:tcW w:w="0" w:type="auto"/>
            <w:gridSpan w:val="3"/>
            <w:shd w:val="clear" w:color="auto" w:fill="auto"/>
            <w:vAlign w:val="bottom"/>
          </w:tcPr>
          <w:p w14:paraId="5F2D2618" w14:textId="77777777" w:rsidR="00E836FB" w:rsidRDefault="00E836FB">
            <w:pPr>
              <w:rPr>
                <w:rFonts w:ascii="宋体"/>
                <w:vanish/>
              </w:rPr>
            </w:pPr>
          </w:p>
        </w:tc>
        <w:tc>
          <w:tcPr>
            <w:tcW w:w="0" w:type="auto"/>
            <w:gridSpan w:val="3"/>
            <w:shd w:val="clear" w:color="auto" w:fill="auto"/>
            <w:vAlign w:val="bottom"/>
          </w:tcPr>
          <w:p w14:paraId="5F2D2619" w14:textId="77777777" w:rsidR="00E836FB" w:rsidRDefault="00E836FB">
            <w:pPr>
              <w:rPr>
                <w:rFonts w:ascii="宋体"/>
                <w:vanish/>
              </w:rPr>
            </w:pPr>
          </w:p>
        </w:tc>
        <w:tc>
          <w:tcPr>
            <w:tcW w:w="0" w:type="auto"/>
            <w:gridSpan w:val="3"/>
            <w:shd w:val="clear" w:color="auto" w:fill="auto"/>
            <w:vAlign w:val="bottom"/>
          </w:tcPr>
          <w:p w14:paraId="5F2D261A" w14:textId="77777777" w:rsidR="00E836FB" w:rsidRDefault="00E836FB">
            <w:pPr>
              <w:rPr>
                <w:rFonts w:ascii="宋体"/>
                <w:vanish/>
              </w:rPr>
            </w:pPr>
          </w:p>
        </w:tc>
        <w:tc>
          <w:tcPr>
            <w:tcW w:w="0" w:type="auto"/>
            <w:gridSpan w:val="3"/>
            <w:shd w:val="clear" w:color="auto" w:fill="auto"/>
            <w:vAlign w:val="bottom"/>
          </w:tcPr>
          <w:p w14:paraId="5F2D261B" w14:textId="77777777" w:rsidR="00E836FB" w:rsidRDefault="00E836FB">
            <w:pPr>
              <w:rPr>
                <w:rFonts w:ascii="宋体"/>
                <w:vanish/>
              </w:rPr>
            </w:pPr>
          </w:p>
        </w:tc>
        <w:tc>
          <w:tcPr>
            <w:tcW w:w="0" w:type="auto"/>
            <w:gridSpan w:val="3"/>
            <w:shd w:val="clear" w:color="auto" w:fill="auto"/>
            <w:vAlign w:val="bottom"/>
          </w:tcPr>
          <w:p w14:paraId="5F2D261C" w14:textId="77777777" w:rsidR="00E836FB" w:rsidRDefault="00E836FB">
            <w:pPr>
              <w:rPr>
                <w:rFonts w:ascii="宋体"/>
                <w:vanish/>
              </w:rPr>
            </w:pPr>
          </w:p>
        </w:tc>
        <w:tc>
          <w:tcPr>
            <w:tcW w:w="0" w:type="auto"/>
            <w:gridSpan w:val="3"/>
            <w:shd w:val="clear" w:color="auto" w:fill="auto"/>
            <w:vAlign w:val="bottom"/>
          </w:tcPr>
          <w:p w14:paraId="5F2D261D" w14:textId="77777777" w:rsidR="00E836FB" w:rsidRDefault="00E836FB">
            <w:pPr>
              <w:rPr>
                <w:rFonts w:ascii="宋体"/>
                <w:vanish/>
              </w:rPr>
            </w:pPr>
          </w:p>
        </w:tc>
      </w:tr>
      <w:tr w:rsidR="00E836FB" w14:paraId="5F2D2634" w14:textId="77777777">
        <w:tc>
          <w:tcPr>
            <w:tcW w:w="0" w:type="auto"/>
            <w:gridSpan w:val="3"/>
            <w:shd w:val="clear" w:color="auto" w:fill="FFFFFF"/>
            <w:tcMar>
              <w:top w:w="40" w:type="dxa"/>
              <w:left w:w="20" w:type="dxa"/>
              <w:bottom w:w="40" w:type="dxa"/>
              <w:right w:w="20" w:type="dxa"/>
            </w:tcMar>
            <w:vAlign w:val="bottom"/>
          </w:tcPr>
          <w:p w14:paraId="5F2D261F" w14:textId="77777777" w:rsidR="00E836FB" w:rsidRDefault="00994958">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5F2D2620" w14:textId="77777777" w:rsidR="00E836FB" w:rsidRDefault="00994958">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F2D26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2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2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6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2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2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6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2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2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6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2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2C"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F2D26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2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2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26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32" w14:textId="77777777" w:rsidR="00E836FB" w:rsidRDefault="00994958">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5F2D2633" w14:textId="77777777" w:rsidR="00E836FB" w:rsidRDefault="00E836FB">
            <w:pPr>
              <w:jc w:val="right"/>
              <w:rPr>
                <w:rFonts w:ascii="宋体"/>
              </w:rPr>
            </w:pPr>
          </w:p>
        </w:tc>
      </w:tr>
      <w:tr w:rsidR="00E836FB" w14:paraId="5F2D2643" w14:textId="77777777">
        <w:trPr>
          <w:hidden/>
        </w:trPr>
        <w:tc>
          <w:tcPr>
            <w:tcW w:w="0" w:type="auto"/>
            <w:gridSpan w:val="3"/>
            <w:shd w:val="clear" w:color="auto" w:fill="auto"/>
            <w:vAlign w:val="bottom"/>
          </w:tcPr>
          <w:p w14:paraId="5F2D2635" w14:textId="77777777" w:rsidR="00E836FB" w:rsidRDefault="00E836FB">
            <w:pPr>
              <w:rPr>
                <w:rFonts w:ascii="宋体"/>
                <w:vanish/>
              </w:rPr>
            </w:pPr>
          </w:p>
        </w:tc>
        <w:tc>
          <w:tcPr>
            <w:tcW w:w="0" w:type="auto"/>
            <w:gridSpan w:val="3"/>
            <w:shd w:val="clear" w:color="auto" w:fill="auto"/>
            <w:vAlign w:val="bottom"/>
          </w:tcPr>
          <w:p w14:paraId="5F2D2636" w14:textId="77777777" w:rsidR="00E836FB" w:rsidRDefault="00E836FB">
            <w:pPr>
              <w:rPr>
                <w:rFonts w:ascii="宋体"/>
                <w:vanish/>
              </w:rPr>
            </w:pPr>
          </w:p>
        </w:tc>
        <w:tc>
          <w:tcPr>
            <w:tcW w:w="0" w:type="auto"/>
            <w:gridSpan w:val="3"/>
            <w:shd w:val="clear" w:color="auto" w:fill="auto"/>
            <w:vAlign w:val="bottom"/>
          </w:tcPr>
          <w:p w14:paraId="5F2D2637" w14:textId="77777777" w:rsidR="00E836FB" w:rsidRDefault="00E836FB">
            <w:pPr>
              <w:rPr>
                <w:rFonts w:ascii="宋体"/>
                <w:vanish/>
              </w:rPr>
            </w:pPr>
          </w:p>
        </w:tc>
        <w:tc>
          <w:tcPr>
            <w:tcW w:w="0" w:type="auto"/>
            <w:gridSpan w:val="3"/>
            <w:shd w:val="clear" w:color="auto" w:fill="auto"/>
            <w:vAlign w:val="bottom"/>
          </w:tcPr>
          <w:p w14:paraId="5F2D2638" w14:textId="77777777" w:rsidR="00E836FB" w:rsidRDefault="00E836FB">
            <w:pPr>
              <w:rPr>
                <w:rFonts w:ascii="宋体"/>
                <w:vanish/>
              </w:rPr>
            </w:pPr>
          </w:p>
        </w:tc>
        <w:tc>
          <w:tcPr>
            <w:tcW w:w="0" w:type="auto"/>
            <w:gridSpan w:val="3"/>
            <w:shd w:val="clear" w:color="auto" w:fill="auto"/>
            <w:vAlign w:val="bottom"/>
          </w:tcPr>
          <w:p w14:paraId="5F2D2639" w14:textId="77777777" w:rsidR="00E836FB" w:rsidRDefault="00E836FB">
            <w:pPr>
              <w:rPr>
                <w:rFonts w:ascii="宋体"/>
                <w:vanish/>
              </w:rPr>
            </w:pPr>
          </w:p>
        </w:tc>
        <w:tc>
          <w:tcPr>
            <w:tcW w:w="0" w:type="auto"/>
            <w:gridSpan w:val="3"/>
            <w:shd w:val="clear" w:color="auto" w:fill="auto"/>
            <w:vAlign w:val="bottom"/>
          </w:tcPr>
          <w:p w14:paraId="5F2D263A" w14:textId="77777777" w:rsidR="00E836FB" w:rsidRDefault="00E836FB">
            <w:pPr>
              <w:rPr>
                <w:rFonts w:ascii="宋体"/>
                <w:vanish/>
              </w:rPr>
            </w:pPr>
          </w:p>
        </w:tc>
        <w:tc>
          <w:tcPr>
            <w:tcW w:w="0" w:type="auto"/>
            <w:gridSpan w:val="3"/>
            <w:shd w:val="clear" w:color="auto" w:fill="auto"/>
            <w:vAlign w:val="bottom"/>
          </w:tcPr>
          <w:p w14:paraId="5F2D263B" w14:textId="77777777" w:rsidR="00E836FB" w:rsidRDefault="00E836FB">
            <w:pPr>
              <w:rPr>
                <w:rFonts w:ascii="宋体"/>
                <w:vanish/>
              </w:rPr>
            </w:pPr>
          </w:p>
        </w:tc>
        <w:tc>
          <w:tcPr>
            <w:tcW w:w="0" w:type="auto"/>
            <w:gridSpan w:val="3"/>
            <w:shd w:val="clear" w:color="auto" w:fill="auto"/>
            <w:vAlign w:val="bottom"/>
          </w:tcPr>
          <w:p w14:paraId="5F2D263C" w14:textId="77777777" w:rsidR="00E836FB" w:rsidRDefault="00E836FB">
            <w:pPr>
              <w:rPr>
                <w:rFonts w:ascii="宋体"/>
                <w:vanish/>
              </w:rPr>
            </w:pPr>
          </w:p>
        </w:tc>
        <w:tc>
          <w:tcPr>
            <w:tcW w:w="0" w:type="auto"/>
            <w:gridSpan w:val="3"/>
            <w:shd w:val="clear" w:color="auto" w:fill="auto"/>
            <w:vAlign w:val="bottom"/>
          </w:tcPr>
          <w:p w14:paraId="5F2D263D" w14:textId="77777777" w:rsidR="00E836FB" w:rsidRDefault="00E836FB">
            <w:pPr>
              <w:rPr>
                <w:rFonts w:ascii="宋体"/>
                <w:vanish/>
              </w:rPr>
            </w:pPr>
          </w:p>
        </w:tc>
        <w:tc>
          <w:tcPr>
            <w:tcW w:w="0" w:type="auto"/>
            <w:gridSpan w:val="3"/>
            <w:shd w:val="clear" w:color="auto" w:fill="auto"/>
            <w:vAlign w:val="bottom"/>
          </w:tcPr>
          <w:p w14:paraId="5F2D263E" w14:textId="77777777" w:rsidR="00E836FB" w:rsidRDefault="00E836FB">
            <w:pPr>
              <w:rPr>
                <w:rFonts w:ascii="宋体"/>
                <w:vanish/>
              </w:rPr>
            </w:pPr>
          </w:p>
        </w:tc>
        <w:tc>
          <w:tcPr>
            <w:tcW w:w="0" w:type="auto"/>
            <w:gridSpan w:val="3"/>
            <w:shd w:val="clear" w:color="auto" w:fill="auto"/>
            <w:vAlign w:val="bottom"/>
          </w:tcPr>
          <w:p w14:paraId="5F2D263F" w14:textId="77777777" w:rsidR="00E836FB" w:rsidRDefault="00E836FB">
            <w:pPr>
              <w:rPr>
                <w:rFonts w:ascii="宋体"/>
                <w:vanish/>
              </w:rPr>
            </w:pPr>
          </w:p>
        </w:tc>
        <w:tc>
          <w:tcPr>
            <w:tcW w:w="0" w:type="auto"/>
            <w:gridSpan w:val="3"/>
            <w:shd w:val="clear" w:color="auto" w:fill="auto"/>
            <w:vAlign w:val="bottom"/>
          </w:tcPr>
          <w:p w14:paraId="5F2D2640" w14:textId="77777777" w:rsidR="00E836FB" w:rsidRDefault="00E836FB">
            <w:pPr>
              <w:rPr>
                <w:rFonts w:ascii="宋体"/>
                <w:vanish/>
              </w:rPr>
            </w:pPr>
          </w:p>
        </w:tc>
        <w:tc>
          <w:tcPr>
            <w:tcW w:w="0" w:type="auto"/>
            <w:gridSpan w:val="3"/>
            <w:shd w:val="clear" w:color="auto" w:fill="auto"/>
            <w:vAlign w:val="bottom"/>
          </w:tcPr>
          <w:p w14:paraId="5F2D2641" w14:textId="77777777" w:rsidR="00E836FB" w:rsidRDefault="00E836FB">
            <w:pPr>
              <w:rPr>
                <w:rFonts w:ascii="宋体"/>
                <w:vanish/>
              </w:rPr>
            </w:pPr>
          </w:p>
        </w:tc>
        <w:tc>
          <w:tcPr>
            <w:tcW w:w="0" w:type="auto"/>
            <w:gridSpan w:val="3"/>
            <w:shd w:val="clear" w:color="auto" w:fill="auto"/>
            <w:vAlign w:val="bottom"/>
          </w:tcPr>
          <w:p w14:paraId="5F2D2642" w14:textId="77777777" w:rsidR="00E836FB" w:rsidRDefault="00E836FB">
            <w:pPr>
              <w:rPr>
                <w:rFonts w:ascii="宋体"/>
                <w:vanish/>
              </w:rPr>
            </w:pPr>
          </w:p>
        </w:tc>
      </w:tr>
      <w:tr w:rsidR="00E836FB" w14:paraId="5F2D2660" w14:textId="77777777">
        <w:tc>
          <w:tcPr>
            <w:tcW w:w="0" w:type="auto"/>
            <w:gridSpan w:val="3"/>
            <w:shd w:val="clear" w:color="auto" w:fill="CCEEFF"/>
            <w:tcMar>
              <w:top w:w="40" w:type="dxa"/>
              <w:left w:w="20" w:type="dxa"/>
              <w:bottom w:w="40" w:type="dxa"/>
              <w:right w:w="20" w:type="dxa"/>
            </w:tcMar>
            <w:vAlign w:val="bottom"/>
          </w:tcPr>
          <w:p w14:paraId="5F2D2644" w14:textId="77777777" w:rsidR="00E836FB" w:rsidRDefault="00994958">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64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646" w14:textId="77777777" w:rsidR="00E836FB" w:rsidRDefault="00994958">
            <w:pPr>
              <w:jc w:val="right"/>
              <w:textAlignment w:val="bottom"/>
            </w:pPr>
            <w:r>
              <w:rPr>
                <w:rFonts w:ascii="Arial" w:eastAsia="宋体" w:hAnsi="Arial" w:cs="Arial"/>
                <w:color w:val="000000"/>
                <w:sz w:val="14"/>
                <w:szCs w:val="14"/>
              </w:rPr>
              <w:t>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6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4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64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64A" w14:textId="77777777" w:rsidR="00E836FB" w:rsidRDefault="00994958">
            <w:pPr>
              <w:jc w:val="right"/>
              <w:textAlignment w:val="bottom"/>
            </w:pPr>
            <w:r>
              <w:rPr>
                <w:rFonts w:ascii="Arial" w:eastAsia="宋体" w:hAnsi="Arial" w:cs="Arial"/>
                <w:color w:val="000000"/>
                <w:sz w:val="14"/>
                <w:szCs w:val="14"/>
              </w:rPr>
              <w:t>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6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4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64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64E" w14:textId="77777777" w:rsidR="00E836FB" w:rsidRDefault="00994958">
            <w:pPr>
              <w:jc w:val="right"/>
              <w:textAlignment w:val="bottom"/>
            </w:pPr>
            <w:r>
              <w:rPr>
                <w:rFonts w:ascii="Arial" w:eastAsia="宋体" w:hAnsi="Arial" w:cs="Arial"/>
                <w:color w:val="000000"/>
                <w:sz w:val="14"/>
                <w:szCs w:val="14"/>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6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50"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65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652" w14:textId="77777777" w:rsidR="00E836FB" w:rsidRDefault="00994958">
            <w:pPr>
              <w:jc w:val="right"/>
              <w:textAlignment w:val="bottom"/>
            </w:pPr>
            <w:r>
              <w:rPr>
                <w:rFonts w:ascii="Arial" w:eastAsia="宋体" w:hAnsi="Arial" w:cs="Arial"/>
                <w:color w:val="000000"/>
                <w:sz w:val="14"/>
                <w:szCs w:val="14"/>
              </w:rPr>
              <w:t>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6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54"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65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656" w14:textId="77777777" w:rsidR="00E836FB" w:rsidRDefault="00994958">
            <w:pPr>
              <w:jc w:val="right"/>
              <w:textAlignment w:val="bottom"/>
            </w:pPr>
            <w:r>
              <w:rPr>
                <w:rFonts w:ascii="Arial" w:eastAsia="宋体" w:hAnsi="Arial" w:cs="Arial"/>
                <w:color w:val="000000"/>
                <w:sz w:val="14"/>
                <w:szCs w:val="14"/>
              </w:rPr>
              <w:t>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6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5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65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65A" w14:textId="77777777" w:rsidR="00E836FB" w:rsidRDefault="00994958">
            <w:pPr>
              <w:jc w:val="right"/>
              <w:textAlignment w:val="bottom"/>
            </w:pPr>
            <w:r>
              <w:rPr>
                <w:rFonts w:ascii="Arial" w:eastAsia="宋体" w:hAnsi="Arial" w:cs="Arial"/>
                <w:color w:val="000000"/>
                <w:sz w:val="14"/>
                <w:szCs w:val="14"/>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6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5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65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65E" w14:textId="77777777" w:rsidR="00E836FB" w:rsidRDefault="00994958">
            <w:pPr>
              <w:jc w:val="right"/>
              <w:textAlignment w:val="bottom"/>
            </w:pPr>
            <w:r>
              <w:rPr>
                <w:rFonts w:ascii="Arial" w:eastAsia="宋体" w:hAnsi="Arial" w:cs="Arial"/>
                <w:color w:val="000000"/>
                <w:sz w:val="14"/>
                <w:szCs w:val="14"/>
              </w:rPr>
              <w:t>148 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65F" w14:textId="77777777" w:rsidR="00E836FB" w:rsidRDefault="00E836FB">
            <w:pPr>
              <w:jc w:val="right"/>
              <w:rPr>
                <w:rFonts w:ascii="宋体"/>
              </w:rPr>
            </w:pPr>
          </w:p>
        </w:tc>
      </w:tr>
    </w:tbl>
    <w:p w14:paraId="5F2D2661" w14:textId="77777777" w:rsidR="00E836FB" w:rsidRDefault="00E836FB">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E836FB" w14:paraId="5F2D266B" w14:textId="77777777">
        <w:tc>
          <w:tcPr>
            <w:tcW w:w="50" w:type="pct"/>
            <w:shd w:val="clear" w:color="auto" w:fill="auto"/>
            <w:vAlign w:val="bottom"/>
          </w:tcPr>
          <w:p w14:paraId="5F2D2662" w14:textId="77777777" w:rsidR="00E836FB" w:rsidRDefault="00E836FB">
            <w:pPr>
              <w:rPr>
                <w:rFonts w:ascii="宋体"/>
              </w:rPr>
            </w:pPr>
          </w:p>
        </w:tc>
        <w:tc>
          <w:tcPr>
            <w:tcW w:w="3134" w:type="pct"/>
            <w:shd w:val="clear" w:color="auto" w:fill="auto"/>
            <w:vAlign w:val="bottom"/>
          </w:tcPr>
          <w:p w14:paraId="5F2D2663" w14:textId="77777777" w:rsidR="00E836FB" w:rsidRDefault="00E836FB">
            <w:pPr>
              <w:rPr>
                <w:rFonts w:ascii="宋体"/>
              </w:rPr>
            </w:pPr>
          </w:p>
        </w:tc>
        <w:tc>
          <w:tcPr>
            <w:tcW w:w="5" w:type="pct"/>
            <w:shd w:val="clear" w:color="auto" w:fill="auto"/>
            <w:vAlign w:val="bottom"/>
          </w:tcPr>
          <w:p w14:paraId="5F2D2664" w14:textId="77777777" w:rsidR="00E836FB" w:rsidRDefault="00E836FB">
            <w:pPr>
              <w:rPr>
                <w:rFonts w:ascii="宋体"/>
              </w:rPr>
            </w:pPr>
          </w:p>
        </w:tc>
        <w:tc>
          <w:tcPr>
            <w:tcW w:w="5" w:type="pct"/>
            <w:shd w:val="clear" w:color="auto" w:fill="auto"/>
            <w:vAlign w:val="bottom"/>
          </w:tcPr>
          <w:p w14:paraId="5F2D2665" w14:textId="77777777" w:rsidR="00E836FB" w:rsidRDefault="00E836FB">
            <w:pPr>
              <w:rPr>
                <w:rFonts w:ascii="宋体"/>
              </w:rPr>
            </w:pPr>
          </w:p>
        </w:tc>
        <w:tc>
          <w:tcPr>
            <w:tcW w:w="73" w:type="pct"/>
            <w:shd w:val="clear" w:color="auto" w:fill="auto"/>
            <w:vAlign w:val="bottom"/>
          </w:tcPr>
          <w:p w14:paraId="5F2D2666" w14:textId="77777777" w:rsidR="00E836FB" w:rsidRDefault="00E836FB">
            <w:pPr>
              <w:rPr>
                <w:rFonts w:ascii="宋体"/>
              </w:rPr>
            </w:pPr>
          </w:p>
        </w:tc>
        <w:tc>
          <w:tcPr>
            <w:tcW w:w="5" w:type="pct"/>
            <w:shd w:val="clear" w:color="auto" w:fill="auto"/>
            <w:vAlign w:val="bottom"/>
          </w:tcPr>
          <w:p w14:paraId="5F2D2667" w14:textId="77777777" w:rsidR="00E836FB" w:rsidRDefault="00E836FB">
            <w:pPr>
              <w:rPr>
                <w:rFonts w:ascii="宋体"/>
              </w:rPr>
            </w:pPr>
          </w:p>
        </w:tc>
        <w:tc>
          <w:tcPr>
            <w:tcW w:w="50" w:type="pct"/>
            <w:shd w:val="clear" w:color="auto" w:fill="auto"/>
            <w:vAlign w:val="bottom"/>
          </w:tcPr>
          <w:p w14:paraId="5F2D2668" w14:textId="77777777" w:rsidR="00E836FB" w:rsidRDefault="00E836FB">
            <w:pPr>
              <w:rPr>
                <w:rFonts w:ascii="宋体"/>
              </w:rPr>
            </w:pPr>
          </w:p>
        </w:tc>
        <w:tc>
          <w:tcPr>
            <w:tcW w:w="1672" w:type="pct"/>
            <w:shd w:val="clear" w:color="auto" w:fill="auto"/>
            <w:vAlign w:val="bottom"/>
          </w:tcPr>
          <w:p w14:paraId="5F2D2669" w14:textId="77777777" w:rsidR="00E836FB" w:rsidRDefault="00E836FB">
            <w:pPr>
              <w:rPr>
                <w:rFonts w:ascii="宋体"/>
              </w:rPr>
            </w:pPr>
          </w:p>
        </w:tc>
        <w:tc>
          <w:tcPr>
            <w:tcW w:w="5" w:type="pct"/>
            <w:shd w:val="clear" w:color="auto" w:fill="auto"/>
            <w:vAlign w:val="bottom"/>
          </w:tcPr>
          <w:p w14:paraId="5F2D266A" w14:textId="77777777" w:rsidR="00E836FB" w:rsidRDefault="00E836FB">
            <w:pPr>
              <w:rPr>
                <w:rFonts w:ascii="宋体"/>
              </w:rPr>
            </w:pPr>
          </w:p>
        </w:tc>
      </w:tr>
      <w:tr w:rsidR="00E836FB" w14:paraId="5F2D266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66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66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66E" w14:textId="77777777" w:rsidR="00E836FB" w:rsidRDefault="00E836FB">
            <w:pPr>
              <w:rPr>
                <w:rFonts w:ascii="宋体"/>
              </w:rPr>
            </w:pPr>
          </w:p>
        </w:tc>
      </w:tr>
    </w:tbl>
    <w:p w14:paraId="5F2D2670" w14:textId="77777777" w:rsidR="00E836FB" w:rsidRDefault="00994958">
      <w:r>
        <w:rPr>
          <w:rFonts w:ascii="Arial" w:eastAsia="宋体" w:hAnsi="Arial" w:cs="Arial"/>
          <w:color w:val="000000"/>
          <w:sz w:val="8"/>
          <w:szCs w:val="8"/>
        </w:rPr>
        <w:t>(1)</w:t>
      </w:r>
      <w:r>
        <w:rPr>
          <w:rFonts w:ascii="Arial" w:eastAsia="宋体" w:hAnsi="Arial" w:cs="Arial"/>
          <w:color w:val="000000"/>
          <w:sz w:val="13"/>
          <w:szCs w:val="13"/>
        </w:rPr>
        <w:t xml:space="preserve"> Includes $13 million allowance for credit losses on Fund Finance loans and $4 million on other loans.</w:t>
      </w:r>
    </w:p>
    <w:p w14:paraId="5F2D2671" w14:textId="77777777" w:rsidR="00E836FB" w:rsidRDefault="00994958">
      <w:pPr>
        <w:spacing w:before="60"/>
      </w:pPr>
      <w:r>
        <w:rPr>
          <w:rFonts w:ascii="Arial" w:eastAsia="宋体" w:hAnsi="Arial" w:cs="Arial"/>
          <w:color w:val="000000"/>
          <w:sz w:val="8"/>
          <w:szCs w:val="8"/>
        </w:rPr>
        <w:t>(2)</w:t>
      </w:r>
      <w:r>
        <w:rPr>
          <w:rFonts w:ascii="Arial" w:eastAsia="宋体" w:hAnsi="Arial" w:cs="Arial"/>
          <w:color w:val="000000"/>
          <w:sz w:val="13"/>
          <w:szCs w:val="13"/>
        </w:rPr>
        <w:t xml:space="preserve"> Related to the sale of leveraged loans in 2020.</w:t>
      </w:r>
    </w:p>
    <w:p w14:paraId="5F2D2672" w14:textId="77777777" w:rsidR="00E836FB" w:rsidRDefault="00994958">
      <w:pPr>
        <w:spacing w:before="60"/>
        <w:ind w:firstLine="450"/>
        <w:jc w:val="both"/>
      </w:pPr>
      <w:r>
        <w:rPr>
          <w:rFonts w:ascii="Arial" w:eastAsia="宋体" w:hAnsi="Arial" w:cs="Arial"/>
          <w:color w:val="000000"/>
          <w:sz w:val="20"/>
          <w:szCs w:val="20"/>
        </w:rPr>
        <w:t>Loans are reviewed on a regular basis, and any provisions for credit losses that are recorded reflect</w:t>
      </w:r>
      <w:r>
        <w:rPr>
          <w:rFonts w:ascii="Arial" w:eastAsia="宋体" w:hAnsi="Arial" w:cs="Arial"/>
          <w:color w:val="000000"/>
          <w:sz w:val="20"/>
          <w:szCs w:val="20"/>
        </w:rPr>
        <w:t xml:space="preserve"> management's estimate of the amount necessary to maintain the allowance for loan losses at a level considered appropriate to absorb expected credit losses in the loan portfolio. We recorded a $33 million release of credit reserves in 2021, which reflected</w:t>
      </w:r>
      <w:r>
        <w:rPr>
          <w:rFonts w:ascii="Arial" w:eastAsia="宋体" w:hAnsi="Arial" w:cs="Arial"/>
          <w:color w:val="000000"/>
          <w:sz w:val="20"/>
          <w:szCs w:val="20"/>
        </w:rPr>
        <w:t xml:space="preserve"> observed and expected improvements in both credit quality and economic outlook. Allowance estimates remain subject to continued model and economic uncertainty and management may use qualitative adjustments in the allowance estimates. If future data and fo</w:t>
      </w:r>
      <w:r>
        <w:rPr>
          <w:rFonts w:ascii="Arial" w:eastAsia="宋体" w:hAnsi="Arial" w:cs="Arial"/>
          <w:color w:val="000000"/>
          <w:sz w:val="20"/>
          <w:szCs w:val="20"/>
        </w:rPr>
        <w:t>recasts deviate relative to the forecasts utilized to determine our allowance for credit losses as of December 31, 2021, or if credit risk migration is higher or lower than forecasted for reasons independent of the economic forecast, our allowance for cred</w:t>
      </w:r>
      <w:r>
        <w:rPr>
          <w:rFonts w:ascii="Arial" w:eastAsia="宋体" w:hAnsi="Arial" w:cs="Arial"/>
          <w:color w:val="000000"/>
          <w:sz w:val="20"/>
          <w:szCs w:val="20"/>
        </w:rPr>
        <w:t>it losses will also change.</w:t>
      </w:r>
    </w:p>
    <w:p w14:paraId="5F2D2673" w14:textId="77777777" w:rsidR="00E836FB" w:rsidRDefault="00994958">
      <w:pPr>
        <w:spacing w:before="90"/>
        <w:jc w:val="both"/>
      </w:pPr>
      <w:r>
        <w:rPr>
          <w:rFonts w:ascii="Arial" w:eastAsia="宋体" w:hAnsi="Arial" w:cs="Arial"/>
          <w:b/>
          <w:bCs/>
          <w:color w:val="000000"/>
          <w:sz w:val="20"/>
          <w:szCs w:val="20"/>
        </w:rPr>
        <w:t>Note 5.    Goodwill and Other Intangible Assets</w:t>
      </w:r>
    </w:p>
    <w:p w14:paraId="5F2D2674" w14:textId="77777777" w:rsidR="00E836FB" w:rsidRDefault="00994958">
      <w:pPr>
        <w:spacing w:before="60"/>
        <w:ind w:firstLine="450"/>
        <w:jc w:val="both"/>
      </w:pPr>
      <w:r>
        <w:rPr>
          <w:rFonts w:ascii="Arial" w:eastAsia="宋体" w:hAnsi="Arial" w:cs="Arial"/>
          <w:color w:val="000000"/>
          <w:sz w:val="20"/>
          <w:szCs w:val="20"/>
        </w:rPr>
        <w:t>Goodwill represents the excess of the cost of an acquisition over the fair value of the net tangible and other intangible assets acquired. Other intangible assets represent purchas</w:t>
      </w:r>
      <w:r>
        <w:rPr>
          <w:rFonts w:ascii="Arial" w:eastAsia="宋体" w:hAnsi="Arial" w:cs="Arial"/>
          <w:color w:val="000000"/>
          <w:sz w:val="20"/>
          <w:szCs w:val="20"/>
        </w:rPr>
        <w:t xml:space="preserve">ed long-lived intangible assets, primarily client relationships, that can be distinguished from goodwill because of contractual rights or because the asset can be exchanged on its own or in combination with a related contract, asset or liability. Goodwill </w:t>
      </w:r>
      <w:r>
        <w:rPr>
          <w:rFonts w:ascii="Arial" w:eastAsia="宋体" w:hAnsi="Arial" w:cs="Arial"/>
          <w:color w:val="000000"/>
          <w:sz w:val="20"/>
          <w:szCs w:val="20"/>
        </w:rPr>
        <w:t>is not amortized, but is subject to at least annual evaluation for impairment. Other intangible assets, which are subject to evaluation for impairment, are mainly related to client relationships, which are amortized on a straight-line basis over periods ra</w:t>
      </w:r>
      <w:r>
        <w:rPr>
          <w:rFonts w:ascii="Arial" w:eastAsia="宋体" w:hAnsi="Arial" w:cs="Arial"/>
          <w:color w:val="000000"/>
          <w:sz w:val="20"/>
          <w:szCs w:val="20"/>
        </w:rPr>
        <w:t>nging from five to twenty years, technology assets, which are amortized on a straight-line basis over periods ranging from three to ten years, and core deposit intangible assets, which are amortized on a straight-line basis over periods ranging from sixtee</w:t>
      </w:r>
      <w:r>
        <w:rPr>
          <w:rFonts w:ascii="Arial" w:eastAsia="宋体" w:hAnsi="Arial" w:cs="Arial"/>
          <w:color w:val="000000"/>
          <w:sz w:val="20"/>
          <w:szCs w:val="20"/>
        </w:rPr>
        <w:t>n to twenty-two years, with such amortization recorded in other expenses in our consolidated statement of income.</w:t>
      </w:r>
    </w:p>
    <w:p w14:paraId="5F2D2675" w14:textId="77777777" w:rsidR="00E836FB" w:rsidRDefault="00994958">
      <w:pPr>
        <w:spacing w:before="60"/>
        <w:ind w:firstLine="450"/>
        <w:jc w:val="both"/>
      </w:pPr>
      <w:r>
        <w:rPr>
          <w:rFonts w:ascii="Arial" w:eastAsia="宋体" w:hAnsi="Arial" w:cs="Arial"/>
          <w:color w:val="000000"/>
          <w:sz w:val="20"/>
          <w:szCs w:val="20"/>
        </w:rPr>
        <w:t>Impairment of goodwill is deemed to exist if the carrying value of a reporting unit, including its allocation of goodwill and other intangible</w:t>
      </w:r>
      <w:r>
        <w:rPr>
          <w:rFonts w:ascii="Arial" w:eastAsia="宋体" w:hAnsi="Arial" w:cs="Arial"/>
          <w:color w:val="000000"/>
          <w:sz w:val="20"/>
          <w:szCs w:val="20"/>
        </w:rPr>
        <w:t xml:space="preserve"> assets, exceeds its estimated fair value. Impairment of other intangible assets is deemed to exist if the balance of the other intangible asset exceeds the cumulative expected undiscounted net cash inflows related to the asset over its remaining estimated</w:t>
      </w:r>
      <w:r>
        <w:rPr>
          <w:rFonts w:ascii="Arial" w:eastAsia="宋体" w:hAnsi="Arial" w:cs="Arial"/>
          <w:color w:val="000000"/>
          <w:sz w:val="20"/>
          <w:szCs w:val="20"/>
        </w:rPr>
        <w:t xml:space="preserve"> useful life. If these reviews determine that goodwill or other intangible assets are impaired, the value of the goodwill or the other intangible asset is written down through a charge to other expenses in our consolidated statement of income. There were n</w:t>
      </w:r>
      <w:r>
        <w:rPr>
          <w:rFonts w:ascii="Arial" w:eastAsia="宋体" w:hAnsi="Arial" w:cs="Arial"/>
          <w:color w:val="000000"/>
          <w:sz w:val="20"/>
          <w:szCs w:val="20"/>
        </w:rPr>
        <w:t>o impairments to goodwill or other intangible assets in 2021, 2020 and 2019.</w:t>
      </w:r>
    </w:p>
    <w:p w14:paraId="5F2D2676" w14:textId="77777777" w:rsidR="00E836FB" w:rsidRDefault="00994958">
      <w:pPr>
        <w:ind w:firstLine="450"/>
        <w:jc w:val="right"/>
      </w:pPr>
      <w:r>
        <w:rPr>
          <w:rFonts w:ascii="Arial" w:eastAsia="宋体" w:hAnsi="Arial" w:cs="Arial"/>
          <w:color w:val="000000"/>
          <w:sz w:val="18"/>
          <w:szCs w:val="18"/>
        </w:rPr>
        <w:t>State Street Corporation | 154</w:t>
      </w:r>
    </w:p>
    <w:p w14:paraId="5F2D2677" w14:textId="77777777" w:rsidR="00E836FB" w:rsidRDefault="00E836FB">
      <w:pPr>
        <w:ind w:firstLine="450"/>
        <w:jc w:val="center"/>
      </w:pPr>
    </w:p>
    <w:p w14:paraId="5F2D2678" w14:textId="77777777" w:rsidR="00E836FB" w:rsidRDefault="00994958">
      <w:r>
        <w:pict w14:anchorId="5F2D6E1F">
          <v:rect id="_x0000_i1178" style="width:415.3pt;height:1.5pt" o:hralign="center" o:hrstd="t" o:hr="t" fillcolor="#a0a0a0" stroked="f"/>
        </w:pict>
      </w:r>
    </w:p>
    <w:p w14:paraId="5F2D2679" w14:textId="77777777" w:rsidR="00E836FB" w:rsidRDefault="00994958">
      <w:pPr>
        <w:ind w:firstLine="450"/>
        <w:jc w:val="center"/>
      </w:pPr>
      <w:r>
        <w:rPr>
          <w:rFonts w:ascii="Arial" w:eastAsia="宋体" w:hAnsi="Arial" w:cs="Arial"/>
          <w:b/>
          <w:bCs/>
          <w:color w:val="000000"/>
          <w:sz w:val="20"/>
          <w:szCs w:val="20"/>
        </w:rPr>
        <w:t>STATE STREET CORPORATION</w:t>
      </w:r>
    </w:p>
    <w:p w14:paraId="5F2D267A"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267B"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table presents changes in the carrying amount of </w:t>
      </w:r>
      <w:r>
        <w:rPr>
          <w:rFonts w:ascii="Arial" w:eastAsia="宋体" w:hAnsi="Arial" w:cs="Arial"/>
          <w:color w:val="000000"/>
          <w:sz w:val="20"/>
          <w:szCs w:val="20"/>
        </w:rPr>
        <w:t>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516"/>
        <w:gridCol w:w="38"/>
        <w:gridCol w:w="105"/>
        <w:gridCol w:w="1625"/>
        <w:gridCol w:w="36"/>
        <w:gridCol w:w="36"/>
        <w:gridCol w:w="72"/>
        <w:gridCol w:w="36"/>
        <w:gridCol w:w="105"/>
        <w:gridCol w:w="1781"/>
        <w:gridCol w:w="36"/>
        <w:gridCol w:w="36"/>
        <w:gridCol w:w="72"/>
        <w:gridCol w:w="36"/>
        <w:gridCol w:w="104"/>
        <w:gridCol w:w="1625"/>
        <w:gridCol w:w="36"/>
      </w:tblGrid>
      <w:tr w:rsidR="00E836FB" w14:paraId="5F2D268E" w14:textId="77777777">
        <w:tc>
          <w:tcPr>
            <w:tcW w:w="50" w:type="pct"/>
            <w:shd w:val="clear" w:color="auto" w:fill="auto"/>
            <w:vAlign w:val="bottom"/>
          </w:tcPr>
          <w:p w14:paraId="5F2D267C" w14:textId="77777777" w:rsidR="00E836FB" w:rsidRDefault="00E836FB">
            <w:pPr>
              <w:rPr>
                <w:rFonts w:ascii="宋体"/>
              </w:rPr>
            </w:pPr>
          </w:p>
        </w:tc>
        <w:tc>
          <w:tcPr>
            <w:tcW w:w="1533" w:type="pct"/>
            <w:shd w:val="clear" w:color="auto" w:fill="auto"/>
            <w:vAlign w:val="bottom"/>
          </w:tcPr>
          <w:p w14:paraId="5F2D267D" w14:textId="77777777" w:rsidR="00E836FB" w:rsidRDefault="00E836FB">
            <w:pPr>
              <w:rPr>
                <w:rFonts w:ascii="宋体"/>
              </w:rPr>
            </w:pPr>
          </w:p>
        </w:tc>
        <w:tc>
          <w:tcPr>
            <w:tcW w:w="5" w:type="pct"/>
            <w:shd w:val="clear" w:color="auto" w:fill="auto"/>
            <w:vAlign w:val="bottom"/>
          </w:tcPr>
          <w:p w14:paraId="5F2D267E" w14:textId="77777777" w:rsidR="00E836FB" w:rsidRDefault="00E836FB">
            <w:pPr>
              <w:rPr>
                <w:rFonts w:ascii="宋体"/>
              </w:rPr>
            </w:pPr>
          </w:p>
        </w:tc>
        <w:tc>
          <w:tcPr>
            <w:tcW w:w="50" w:type="pct"/>
            <w:shd w:val="clear" w:color="auto" w:fill="auto"/>
            <w:vAlign w:val="bottom"/>
          </w:tcPr>
          <w:p w14:paraId="5F2D267F" w14:textId="77777777" w:rsidR="00E836FB" w:rsidRDefault="00E836FB">
            <w:pPr>
              <w:rPr>
                <w:rFonts w:ascii="宋体"/>
              </w:rPr>
            </w:pPr>
          </w:p>
        </w:tc>
        <w:tc>
          <w:tcPr>
            <w:tcW w:w="998" w:type="pct"/>
            <w:shd w:val="clear" w:color="auto" w:fill="auto"/>
            <w:vAlign w:val="bottom"/>
          </w:tcPr>
          <w:p w14:paraId="5F2D2680" w14:textId="77777777" w:rsidR="00E836FB" w:rsidRDefault="00E836FB">
            <w:pPr>
              <w:rPr>
                <w:rFonts w:ascii="宋体"/>
              </w:rPr>
            </w:pPr>
          </w:p>
        </w:tc>
        <w:tc>
          <w:tcPr>
            <w:tcW w:w="5" w:type="pct"/>
            <w:shd w:val="clear" w:color="auto" w:fill="auto"/>
            <w:vAlign w:val="bottom"/>
          </w:tcPr>
          <w:p w14:paraId="5F2D2681" w14:textId="77777777" w:rsidR="00E836FB" w:rsidRDefault="00E836FB">
            <w:pPr>
              <w:rPr>
                <w:rFonts w:ascii="宋体"/>
              </w:rPr>
            </w:pPr>
          </w:p>
        </w:tc>
        <w:tc>
          <w:tcPr>
            <w:tcW w:w="5" w:type="pct"/>
            <w:shd w:val="clear" w:color="auto" w:fill="auto"/>
            <w:vAlign w:val="bottom"/>
          </w:tcPr>
          <w:p w14:paraId="5F2D2682" w14:textId="77777777" w:rsidR="00E836FB" w:rsidRDefault="00E836FB">
            <w:pPr>
              <w:rPr>
                <w:rFonts w:ascii="宋体"/>
              </w:rPr>
            </w:pPr>
          </w:p>
        </w:tc>
        <w:tc>
          <w:tcPr>
            <w:tcW w:w="68" w:type="pct"/>
            <w:shd w:val="clear" w:color="auto" w:fill="auto"/>
            <w:vAlign w:val="bottom"/>
          </w:tcPr>
          <w:p w14:paraId="5F2D2683" w14:textId="77777777" w:rsidR="00E836FB" w:rsidRDefault="00E836FB">
            <w:pPr>
              <w:rPr>
                <w:rFonts w:ascii="宋体"/>
              </w:rPr>
            </w:pPr>
          </w:p>
        </w:tc>
        <w:tc>
          <w:tcPr>
            <w:tcW w:w="5" w:type="pct"/>
            <w:shd w:val="clear" w:color="auto" w:fill="auto"/>
            <w:vAlign w:val="bottom"/>
          </w:tcPr>
          <w:p w14:paraId="5F2D2684" w14:textId="77777777" w:rsidR="00E836FB" w:rsidRDefault="00E836FB">
            <w:pPr>
              <w:rPr>
                <w:rFonts w:ascii="宋体"/>
              </w:rPr>
            </w:pPr>
          </w:p>
        </w:tc>
        <w:tc>
          <w:tcPr>
            <w:tcW w:w="50" w:type="pct"/>
            <w:shd w:val="clear" w:color="auto" w:fill="auto"/>
            <w:vAlign w:val="bottom"/>
          </w:tcPr>
          <w:p w14:paraId="5F2D2685" w14:textId="77777777" w:rsidR="00E836FB" w:rsidRDefault="00E836FB">
            <w:pPr>
              <w:rPr>
                <w:rFonts w:ascii="宋体"/>
              </w:rPr>
            </w:pPr>
          </w:p>
        </w:tc>
        <w:tc>
          <w:tcPr>
            <w:tcW w:w="1092" w:type="pct"/>
            <w:shd w:val="clear" w:color="auto" w:fill="auto"/>
            <w:vAlign w:val="bottom"/>
          </w:tcPr>
          <w:p w14:paraId="5F2D2686" w14:textId="77777777" w:rsidR="00E836FB" w:rsidRDefault="00E836FB">
            <w:pPr>
              <w:rPr>
                <w:rFonts w:ascii="宋体"/>
              </w:rPr>
            </w:pPr>
          </w:p>
        </w:tc>
        <w:tc>
          <w:tcPr>
            <w:tcW w:w="5" w:type="pct"/>
            <w:shd w:val="clear" w:color="auto" w:fill="auto"/>
            <w:vAlign w:val="bottom"/>
          </w:tcPr>
          <w:p w14:paraId="5F2D2687" w14:textId="77777777" w:rsidR="00E836FB" w:rsidRDefault="00E836FB">
            <w:pPr>
              <w:rPr>
                <w:rFonts w:ascii="宋体"/>
              </w:rPr>
            </w:pPr>
          </w:p>
        </w:tc>
        <w:tc>
          <w:tcPr>
            <w:tcW w:w="5" w:type="pct"/>
            <w:shd w:val="clear" w:color="auto" w:fill="auto"/>
            <w:vAlign w:val="bottom"/>
          </w:tcPr>
          <w:p w14:paraId="5F2D2688" w14:textId="77777777" w:rsidR="00E836FB" w:rsidRDefault="00E836FB">
            <w:pPr>
              <w:rPr>
                <w:rFonts w:ascii="宋体"/>
              </w:rPr>
            </w:pPr>
          </w:p>
        </w:tc>
        <w:tc>
          <w:tcPr>
            <w:tcW w:w="68" w:type="pct"/>
            <w:shd w:val="clear" w:color="auto" w:fill="auto"/>
            <w:vAlign w:val="bottom"/>
          </w:tcPr>
          <w:p w14:paraId="5F2D2689" w14:textId="77777777" w:rsidR="00E836FB" w:rsidRDefault="00E836FB">
            <w:pPr>
              <w:rPr>
                <w:rFonts w:ascii="宋体"/>
              </w:rPr>
            </w:pPr>
          </w:p>
        </w:tc>
        <w:tc>
          <w:tcPr>
            <w:tcW w:w="5" w:type="pct"/>
            <w:shd w:val="clear" w:color="auto" w:fill="auto"/>
            <w:vAlign w:val="bottom"/>
          </w:tcPr>
          <w:p w14:paraId="5F2D268A" w14:textId="77777777" w:rsidR="00E836FB" w:rsidRDefault="00E836FB">
            <w:pPr>
              <w:rPr>
                <w:rFonts w:ascii="宋体"/>
              </w:rPr>
            </w:pPr>
          </w:p>
        </w:tc>
        <w:tc>
          <w:tcPr>
            <w:tcW w:w="50" w:type="pct"/>
            <w:shd w:val="clear" w:color="auto" w:fill="auto"/>
            <w:vAlign w:val="bottom"/>
          </w:tcPr>
          <w:p w14:paraId="5F2D268B" w14:textId="77777777" w:rsidR="00E836FB" w:rsidRDefault="00E836FB">
            <w:pPr>
              <w:rPr>
                <w:rFonts w:ascii="宋体"/>
              </w:rPr>
            </w:pPr>
          </w:p>
        </w:tc>
        <w:tc>
          <w:tcPr>
            <w:tcW w:w="998" w:type="pct"/>
            <w:shd w:val="clear" w:color="auto" w:fill="auto"/>
            <w:vAlign w:val="bottom"/>
          </w:tcPr>
          <w:p w14:paraId="5F2D268C" w14:textId="77777777" w:rsidR="00E836FB" w:rsidRDefault="00E836FB">
            <w:pPr>
              <w:rPr>
                <w:rFonts w:ascii="宋体"/>
              </w:rPr>
            </w:pPr>
          </w:p>
        </w:tc>
        <w:tc>
          <w:tcPr>
            <w:tcW w:w="5" w:type="pct"/>
            <w:shd w:val="clear" w:color="auto" w:fill="auto"/>
            <w:vAlign w:val="bottom"/>
          </w:tcPr>
          <w:p w14:paraId="5F2D268D" w14:textId="77777777" w:rsidR="00E836FB" w:rsidRDefault="00E836FB">
            <w:pPr>
              <w:rPr>
                <w:rFonts w:ascii="宋体"/>
              </w:rPr>
            </w:pPr>
          </w:p>
        </w:tc>
      </w:tr>
      <w:tr w:rsidR="00E836FB" w14:paraId="5F2D2696" w14:textId="77777777">
        <w:tc>
          <w:tcPr>
            <w:tcW w:w="0" w:type="auto"/>
            <w:gridSpan w:val="3"/>
            <w:shd w:val="clear" w:color="auto" w:fill="auto"/>
            <w:tcMar>
              <w:top w:w="40" w:type="dxa"/>
              <w:left w:w="20" w:type="dxa"/>
              <w:bottom w:w="40" w:type="dxa"/>
              <w:right w:w="20" w:type="dxa"/>
            </w:tcMar>
            <w:vAlign w:val="bottom"/>
          </w:tcPr>
          <w:p w14:paraId="5F2D268F"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F2D2690" w14:textId="77777777" w:rsidR="00E836FB" w:rsidRDefault="00994958">
            <w:pPr>
              <w:jc w:val="center"/>
              <w:textAlignment w:val="bottom"/>
            </w:pPr>
            <w:r>
              <w:rPr>
                <w:rFonts w:ascii="Arial" w:eastAsia="宋体" w:hAnsi="Arial" w:cs="Arial"/>
                <w:b/>
                <w:bCs/>
                <w:color w:val="000000"/>
                <w:sz w:val="15"/>
                <w:szCs w:val="15"/>
              </w:rPr>
              <w:t>Investment</w:t>
            </w:r>
          </w:p>
          <w:p w14:paraId="5F2D2691" w14:textId="77777777" w:rsidR="00E836FB" w:rsidRDefault="00994958">
            <w:pPr>
              <w:jc w:val="center"/>
              <w:textAlignment w:val="bottom"/>
            </w:pPr>
            <w:r>
              <w:rPr>
                <w:rFonts w:ascii="Arial" w:eastAsia="宋体" w:hAnsi="Arial" w:cs="Arial"/>
                <w:b/>
                <w:bCs/>
                <w:color w:val="000000"/>
                <w:sz w:val="15"/>
                <w:szCs w:val="15"/>
              </w:rPr>
              <w:t>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D269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693" w14:textId="77777777" w:rsidR="00E836FB" w:rsidRDefault="00994958">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5F2D269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695" w14:textId="77777777" w:rsidR="00E836FB" w:rsidRDefault="00994958">
            <w:pPr>
              <w:jc w:val="center"/>
              <w:textAlignment w:val="bottom"/>
            </w:pPr>
            <w:r>
              <w:rPr>
                <w:rFonts w:ascii="Arial" w:eastAsia="宋体" w:hAnsi="Arial" w:cs="Arial"/>
                <w:b/>
                <w:bCs/>
                <w:color w:val="000000"/>
                <w:sz w:val="15"/>
                <w:szCs w:val="15"/>
              </w:rPr>
              <w:t>Total</w:t>
            </w:r>
          </w:p>
        </w:tc>
      </w:tr>
      <w:tr w:rsidR="00E836FB" w14:paraId="5F2D269D" w14:textId="77777777">
        <w:tc>
          <w:tcPr>
            <w:tcW w:w="0" w:type="auto"/>
            <w:gridSpan w:val="3"/>
            <w:shd w:val="clear" w:color="auto" w:fill="auto"/>
            <w:tcMar>
              <w:top w:w="40" w:type="dxa"/>
              <w:left w:w="20" w:type="dxa"/>
              <w:bottom w:w="40" w:type="dxa"/>
              <w:right w:w="20" w:type="dxa"/>
            </w:tcMar>
            <w:vAlign w:val="bottom"/>
          </w:tcPr>
          <w:p w14:paraId="5F2D2697" w14:textId="77777777" w:rsidR="00E836FB" w:rsidRDefault="00994958">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6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69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6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69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69C" w14:textId="77777777" w:rsidR="00E836FB" w:rsidRDefault="00E836FB">
            <w:pPr>
              <w:rPr>
                <w:rFonts w:ascii="宋体"/>
              </w:rPr>
            </w:pPr>
          </w:p>
        </w:tc>
      </w:tr>
      <w:tr w:rsidR="00E836FB" w14:paraId="5F2D26A4" w14:textId="77777777">
        <w:trPr>
          <w:hidden/>
        </w:trPr>
        <w:tc>
          <w:tcPr>
            <w:tcW w:w="0" w:type="auto"/>
            <w:gridSpan w:val="3"/>
            <w:shd w:val="clear" w:color="auto" w:fill="auto"/>
            <w:vAlign w:val="bottom"/>
          </w:tcPr>
          <w:p w14:paraId="5F2D269E" w14:textId="77777777" w:rsidR="00E836FB" w:rsidRDefault="00E836FB">
            <w:pPr>
              <w:rPr>
                <w:rFonts w:ascii="宋体"/>
                <w:vanish/>
              </w:rPr>
            </w:pPr>
          </w:p>
        </w:tc>
        <w:tc>
          <w:tcPr>
            <w:tcW w:w="0" w:type="auto"/>
            <w:gridSpan w:val="3"/>
            <w:shd w:val="clear" w:color="auto" w:fill="auto"/>
            <w:vAlign w:val="bottom"/>
          </w:tcPr>
          <w:p w14:paraId="5F2D269F" w14:textId="77777777" w:rsidR="00E836FB" w:rsidRDefault="00E836FB">
            <w:pPr>
              <w:rPr>
                <w:rFonts w:ascii="宋体"/>
                <w:vanish/>
              </w:rPr>
            </w:pPr>
          </w:p>
        </w:tc>
        <w:tc>
          <w:tcPr>
            <w:tcW w:w="0" w:type="auto"/>
            <w:gridSpan w:val="3"/>
            <w:shd w:val="clear" w:color="auto" w:fill="auto"/>
            <w:vAlign w:val="bottom"/>
          </w:tcPr>
          <w:p w14:paraId="5F2D26A0" w14:textId="77777777" w:rsidR="00E836FB" w:rsidRDefault="00E836FB">
            <w:pPr>
              <w:rPr>
                <w:rFonts w:ascii="宋体"/>
                <w:vanish/>
              </w:rPr>
            </w:pPr>
          </w:p>
        </w:tc>
        <w:tc>
          <w:tcPr>
            <w:tcW w:w="0" w:type="auto"/>
            <w:gridSpan w:val="3"/>
            <w:shd w:val="clear" w:color="auto" w:fill="auto"/>
            <w:vAlign w:val="bottom"/>
          </w:tcPr>
          <w:p w14:paraId="5F2D26A1" w14:textId="77777777" w:rsidR="00E836FB" w:rsidRDefault="00E836FB">
            <w:pPr>
              <w:rPr>
                <w:rFonts w:ascii="宋体"/>
                <w:vanish/>
              </w:rPr>
            </w:pPr>
          </w:p>
        </w:tc>
        <w:tc>
          <w:tcPr>
            <w:tcW w:w="0" w:type="auto"/>
            <w:gridSpan w:val="3"/>
            <w:shd w:val="clear" w:color="auto" w:fill="auto"/>
            <w:vAlign w:val="bottom"/>
          </w:tcPr>
          <w:p w14:paraId="5F2D26A2" w14:textId="77777777" w:rsidR="00E836FB" w:rsidRDefault="00E836FB">
            <w:pPr>
              <w:rPr>
                <w:rFonts w:ascii="宋体"/>
                <w:vanish/>
              </w:rPr>
            </w:pPr>
          </w:p>
        </w:tc>
        <w:tc>
          <w:tcPr>
            <w:tcW w:w="0" w:type="auto"/>
            <w:gridSpan w:val="3"/>
            <w:shd w:val="clear" w:color="auto" w:fill="auto"/>
            <w:vAlign w:val="bottom"/>
          </w:tcPr>
          <w:p w14:paraId="5F2D26A3" w14:textId="77777777" w:rsidR="00E836FB" w:rsidRDefault="00E836FB">
            <w:pPr>
              <w:rPr>
                <w:rFonts w:ascii="宋体"/>
                <w:vanish/>
              </w:rPr>
            </w:pPr>
          </w:p>
        </w:tc>
      </w:tr>
      <w:tr w:rsidR="00E836FB" w14:paraId="5F2D26AB" w14:textId="77777777">
        <w:trPr>
          <w:hidden/>
        </w:trPr>
        <w:tc>
          <w:tcPr>
            <w:tcW w:w="0" w:type="auto"/>
            <w:gridSpan w:val="3"/>
            <w:shd w:val="clear" w:color="auto" w:fill="auto"/>
            <w:vAlign w:val="bottom"/>
          </w:tcPr>
          <w:p w14:paraId="5F2D26A5" w14:textId="77777777" w:rsidR="00E836FB" w:rsidRDefault="00E836FB">
            <w:pPr>
              <w:rPr>
                <w:rFonts w:ascii="宋体"/>
                <w:vanish/>
              </w:rPr>
            </w:pPr>
          </w:p>
        </w:tc>
        <w:tc>
          <w:tcPr>
            <w:tcW w:w="0" w:type="auto"/>
            <w:gridSpan w:val="3"/>
            <w:shd w:val="clear" w:color="auto" w:fill="auto"/>
            <w:vAlign w:val="bottom"/>
          </w:tcPr>
          <w:p w14:paraId="5F2D26A6" w14:textId="77777777" w:rsidR="00E836FB" w:rsidRDefault="00E836FB">
            <w:pPr>
              <w:rPr>
                <w:rFonts w:ascii="宋体"/>
                <w:vanish/>
              </w:rPr>
            </w:pPr>
          </w:p>
        </w:tc>
        <w:tc>
          <w:tcPr>
            <w:tcW w:w="0" w:type="auto"/>
            <w:gridSpan w:val="3"/>
            <w:shd w:val="clear" w:color="auto" w:fill="auto"/>
            <w:vAlign w:val="bottom"/>
          </w:tcPr>
          <w:p w14:paraId="5F2D26A7" w14:textId="77777777" w:rsidR="00E836FB" w:rsidRDefault="00E836FB">
            <w:pPr>
              <w:rPr>
                <w:rFonts w:ascii="宋体"/>
                <w:vanish/>
              </w:rPr>
            </w:pPr>
          </w:p>
        </w:tc>
        <w:tc>
          <w:tcPr>
            <w:tcW w:w="0" w:type="auto"/>
            <w:gridSpan w:val="3"/>
            <w:shd w:val="clear" w:color="auto" w:fill="auto"/>
            <w:vAlign w:val="bottom"/>
          </w:tcPr>
          <w:p w14:paraId="5F2D26A8" w14:textId="77777777" w:rsidR="00E836FB" w:rsidRDefault="00E836FB">
            <w:pPr>
              <w:rPr>
                <w:rFonts w:ascii="宋体"/>
                <w:vanish/>
              </w:rPr>
            </w:pPr>
          </w:p>
        </w:tc>
        <w:tc>
          <w:tcPr>
            <w:tcW w:w="0" w:type="auto"/>
            <w:gridSpan w:val="3"/>
            <w:shd w:val="clear" w:color="auto" w:fill="auto"/>
            <w:vAlign w:val="bottom"/>
          </w:tcPr>
          <w:p w14:paraId="5F2D26A9" w14:textId="77777777" w:rsidR="00E836FB" w:rsidRDefault="00E836FB">
            <w:pPr>
              <w:rPr>
                <w:rFonts w:ascii="宋体"/>
                <w:vanish/>
              </w:rPr>
            </w:pPr>
          </w:p>
        </w:tc>
        <w:tc>
          <w:tcPr>
            <w:tcW w:w="0" w:type="auto"/>
            <w:gridSpan w:val="3"/>
            <w:shd w:val="clear" w:color="auto" w:fill="auto"/>
            <w:vAlign w:val="bottom"/>
          </w:tcPr>
          <w:p w14:paraId="5F2D26AA" w14:textId="77777777" w:rsidR="00E836FB" w:rsidRDefault="00E836FB">
            <w:pPr>
              <w:rPr>
                <w:rFonts w:ascii="宋体"/>
                <w:vanish/>
              </w:rPr>
            </w:pPr>
          </w:p>
        </w:tc>
      </w:tr>
      <w:tr w:rsidR="00E836FB" w14:paraId="5F2D26B2" w14:textId="77777777">
        <w:trPr>
          <w:hidden/>
        </w:trPr>
        <w:tc>
          <w:tcPr>
            <w:tcW w:w="0" w:type="auto"/>
            <w:gridSpan w:val="3"/>
            <w:shd w:val="clear" w:color="auto" w:fill="auto"/>
            <w:vAlign w:val="bottom"/>
          </w:tcPr>
          <w:p w14:paraId="5F2D26AC" w14:textId="77777777" w:rsidR="00E836FB" w:rsidRDefault="00E836FB">
            <w:pPr>
              <w:rPr>
                <w:rFonts w:ascii="宋体"/>
                <w:vanish/>
              </w:rPr>
            </w:pPr>
          </w:p>
        </w:tc>
        <w:tc>
          <w:tcPr>
            <w:tcW w:w="0" w:type="auto"/>
            <w:gridSpan w:val="3"/>
            <w:shd w:val="clear" w:color="auto" w:fill="auto"/>
            <w:vAlign w:val="bottom"/>
          </w:tcPr>
          <w:p w14:paraId="5F2D26AD" w14:textId="77777777" w:rsidR="00E836FB" w:rsidRDefault="00E836FB">
            <w:pPr>
              <w:rPr>
                <w:rFonts w:ascii="宋体"/>
                <w:vanish/>
              </w:rPr>
            </w:pPr>
          </w:p>
        </w:tc>
        <w:tc>
          <w:tcPr>
            <w:tcW w:w="0" w:type="auto"/>
            <w:gridSpan w:val="3"/>
            <w:shd w:val="clear" w:color="auto" w:fill="auto"/>
            <w:vAlign w:val="bottom"/>
          </w:tcPr>
          <w:p w14:paraId="5F2D26AE" w14:textId="77777777" w:rsidR="00E836FB" w:rsidRDefault="00E836FB">
            <w:pPr>
              <w:rPr>
                <w:rFonts w:ascii="宋体"/>
                <w:vanish/>
              </w:rPr>
            </w:pPr>
          </w:p>
        </w:tc>
        <w:tc>
          <w:tcPr>
            <w:tcW w:w="0" w:type="auto"/>
            <w:gridSpan w:val="3"/>
            <w:shd w:val="clear" w:color="auto" w:fill="auto"/>
            <w:vAlign w:val="bottom"/>
          </w:tcPr>
          <w:p w14:paraId="5F2D26AF" w14:textId="77777777" w:rsidR="00E836FB" w:rsidRDefault="00E836FB">
            <w:pPr>
              <w:rPr>
                <w:rFonts w:ascii="宋体"/>
                <w:vanish/>
              </w:rPr>
            </w:pPr>
          </w:p>
        </w:tc>
        <w:tc>
          <w:tcPr>
            <w:tcW w:w="0" w:type="auto"/>
            <w:gridSpan w:val="3"/>
            <w:shd w:val="clear" w:color="auto" w:fill="auto"/>
            <w:vAlign w:val="bottom"/>
          </w:tcPr>
          <w:p w14:paraId="5F2D26B0" w14:textId="77777777" w:rsidR="00E836FB" w:rsidRDefault="00E836FB">
            <w:pPr>
              <w:rPr>
                <w:rFonts w:ascii="宋体"/>
                <w:vanish/>
              </w:rPr>
            </w:pPr>
          </w:p>
        </w:tc>
        <w:tc>
          <w:tcPr>
            <w:tcW w:w="0" w:type="auto"/>
            <w:gridSpan w:val="3"/>
            <w:shd w:val="clear" w:color="auto" w:fill="auto"/>
            <w:vAlign w:val="bottom"/>
          </w:tcPr>
          <w:p w14:paraId="5F2D26B1" w14:textId="77777777" w:rsidR="00E836FB" w:rsidRDefault="00E836FB">
            <w:pPr>
              <w:rPr>
                <w:rFonts w:ascii="宋体"/>
                <w:vanish/>
              </w:rPr>
            </w:pPr>
          </w:p>
        </w:tc>
      </w:tr>
      <w:tr w:rsidR="00E836FB" w14:paraId="5F2D26B9" w14:textId="77777777">
        <w:trPr>
          <w:hidden/>
        </w:trPr>
        <w:tc>
          <w:tcPr>
            <w:tcW w:w="0" w:type="auto"/>
            <w:gridSpan w:val="3"/>
            <w:shd w:val="clear" w:color="auto" w:fill="auto"/>
            <w:vAlign w:val="bottom"/>
          </w:tcPr>
          <w:p w14:paraId="5F2D26B3" w14:textId="77777777" w:rsidR="00E836FB" w:rsidRDefault="00E836FB">
            <w:pPr>
              <w:rPr>
                <w:rFonts w:ascii="宋体"/>
                <w:vanish/>
              </w:rPr>
            </w:pPr>
          </w:p>
        </w:tc>
        <w:tc>
          <w:tcPr>
            <w:tcW w:w="0" w:type="auto"/>
            <w:gridSpan w:val="3"/>
            <w:shd w:val="clear" w:color="auto" w:fill="auto"/>
            <w:vAlign w:val="bottom"/>
          </w:tcPr>
          <w:p w14:paraId="5F2D26B4" w14:textId="77777777" w:rsidR="00E836FB" w:rsidRDefault="00E836FB">
            <w:pPr>
              <w:rPr>
                <w:rFonts w:ascii="宋体"/>
                <w:vanish/>
              </w:rPr>
            </w:pPr>
          </w:p>
        </w:tc>
        <w:tc>
          <w:tcPr>
            <w:tcW w:w="0" w:type="auto"/>
            <w:gridSpan w:val="3"/>
            <w:shd w:val="clear" w:color="auto" w:fill="auto"/>
            <w:vAlign w:val="bottom"/>
          </w:tcPr>
          <w:p w14:paraId="5F2D26B5" w14:textId="77777777" w:rsidR="00E836FB" w:rsidRDefault="00E836FB">
            <w:pPr>
              <w:rPr>
                <w:rFonts w:ascii="宋体"/>
                <w:vanish/>
              </w:rPr>
            </w:pPr>
          </w:p>
        </w:tc>
        <w:tc>
          <w:tcPr>
            <w:tcW w:w="0" w:type="auto"/>
            <w:gridSpan w:val="3"/>
            <w:shd w:val="clear" w:color="auto" w:fill="auto"/>
            <w:vAlign w:val="bottom"/>
          </w:tcPr>
          <w:p w14:paraId="5F2D26B6" w14:textId="77777777" w:rsidR="00E836FB" w:rsidRDefault="00E836FB">
            <w:pPr>
              <w:rPr>
                <w:rFonts w:ascii="宋体"/>
                <w:vanish/>
              </w:rPr>
            </w:pPr>
          </w:p>
        </w:tc>
        <w:tc>
          <w:tcPr>
            <w:tcW w:w="0" w:type="auto"/>
            <w:gridSpan w:val="3"/>
            <w:shd w:val="clear" w:color="auto" w:fill="auto"/>
            <w:vAlign w:val="bottom"/>
          </w:tcPr>
          <w:p w14:paraId="5F2D26B7" w14:textId="77777777" w:rsidR="00E836FB" w:rsidRDefault="00E836FB">
            <w:pPr>
              <w:rPr>
                <w:rFonts w:ascii="宋体"/>
                <w:vanish/>
              </w:rPr>
            </w:pPr>
          </w:p>
        </w:tc>
        <w:tc>
          <w:tcPr>
            <w:tcW w:w="0" w:type="auto"/>
            <w:gridSpan w:val="3"/>
            <w:shd w:val="clear" w:color="auto" w:fill="auto"/>
            <w:vAlign w:val="bottom"/>
          </w:tcPr>
          <w:p w14:paraId="5F2D26B8" w14:textId="77777777" w:rsidR="00E836FB" w:rsidRDefault="00E836FB">
            <w:pPr>
              <w:rPr>
                <w:rFonts w:ascii="宋体"/>
                <w:vanish/>
              </w:rPr>
            </w:pPr>
          </w:p>
        </w:tc>
      </w:tr>
      <w:tr w:rsidR="00E836FB" w14:paraId="5F2D26C0" w14:textId="77777777">
        <w:trPr>
          <w:hidden/>
        </w:trPr>
        <w:tc>
          <w:tcPr>
            <w:tcW w:w="0" w:type="auto"/>
            <w:gridSpan w:val="3"/>
            <w:shd w:val="clear" w:color="auto" w:fill="auto"/>
            <w:vAlign w:val="bottom"/>
          </w:tcPr>
          <w:p w14:paraId="5F2D26BA" w14:textId="77777777" w:rsidR="00E836FB" w:rsidRDefault="00E836FB">
            <w:pPr>
              <w:rPr>
                <w:rFonts w:ascii="宋体"/>
                <w:vanish/>
              </w:rPr>
            </w:pPr>
          </w:p>
        </w:tc>
        <w:tc>
          <w:tcPr>
            <w:tcW w:w="0" w:type="auto"/>
            <w:gridSpan w:val="3"/>
            <w:shd w:val="clear" w:color="auto" w:fill="auto"/>
            <w:vAlign w:val="bottom"/>
          </w:tcPr>
          <w:p w14:paraId="5F2D26BB" w14:textId="77777777" w:rsidR="00E836FB" w:rsidRDefault="00E836FB">
            <w:pPr>
              <w:rPr>
                <w:rFonts w:ascii="宋体"/>
                <w:vanish/>
              </w:rPr>
            </w:pPr>
          </w:p>
        </w:tc>
        <w:tc>
          <w:tcPr>
            <w:tcW w:w="0" w:type="auto"/>
            <w:gridSpan w:val="3"/>
            <w:shd w:val="clear" w:color="auto" w:fill="auto"/>
            <w:vAlign w:val="bottom"/>
          </w:tcPr>
          <w:p w14:paraId="5F2D26BC" w14:textId="77777777" w:rsidR="00E836FB" w:rsidRDefault="00E836FB">
            <w:pPr>
              <w:rPr>
                <w:rFonts w:ascii="宋体"/>
                <w:vanish/>
              </w:rPr>
            </w:pPr>
          </w:p>
        </w:tc>
        <w:tc>
          <w:tcPr>
            <w:tcW w:w="0" w:type="auto"/>
            <w:gridSpan w:val="3"/>
            <w:shd w:val="clear" w:color="auto" w:fill="auto"/>
            <w:vAlign w:val="bottom"/>
          </w:tcPr>
          <w:p w14:paraId="5F2D26BD" w14:textId="77777777" w:rsidR="00E836FB" w:rsidRDefault="00E836FB">
            <w:pPr>
              <w:rPr>
                <w:rFonts w:ascii="宋体"/>
                <w:vanish/>
              </w:rPr>
            </w:pPr>
          </w:p>
        </w:tc>
        <w:tc>
          <w:tcPr>
            <w:tcW w:w="0" w:type="auto"/>
            <w:gridSpan w:val="3"/>
            <w:shd w:val="clear" w:color="auto" w:fill="auto"/>
            <w:vAlign w:val="bottom"/>
          </w:tcPr>
          <w:p w14:paraId="5F2D26BE" w14:textId="77777777" w:rsidR="00E836FB" w:rsidRDefault="00E836FB">
            <w:pPr>
              <w:rPr>
                <w:rFonts w:ascii="宋体"/>
                <w:vanish/>
              </w:rPr>
            </w:pPr>
          </w:p>
        </w:tc>
        <w:tc>
          <w:tcPr>
            <w:tcW w:w="0" w:type="auto"/>
            <w:gridSpan w:val="3"/>
            <w:shd w:val="clear" w:color="auto" w:fill="auto"/>
            <w:vAlign w:val="bottom"/>
          </w:tcPr>
          <w:p w14:paraId="5F2D26BF" w14:textId="77777777" w:rsidR="00E836FB" w:rsidRDefault="00E836FB">
            <w:pPr>
              <w:rPr>
                <w:rFonts w:ascii="宋体"/>
                <w:vanish/>
              </w:rPr>
            </w:pPr>
          </w:p>
        </w:tc>
      </w:tr>
      <w:tr w:rsidR="00E836FB" w14:paraId="5F2D26C7" w14:textId="77777777">
        <w:trPr>
          <w:hidden/>
        </w:trPr>
        <w:tc>
          <w:tcPr>
            <w:tcW w:w="0" w:type="auto"/>
            <w:gridSpan w:val="3"/>
            <w:shd w:val="clear" w:color="auto" w:fill="auto"/>
            <w:vAlign w:val="bottom"/>
          </w:tcPr>
          <w:p w14:paraId="5F2D26C1" w14:textId="77777777" w:rsidR="00E836FB" w:rsidRDefault="00E836FB">
            <w:pPr>
              <w:rPr>
                <w:rFonts w:ascii="宋体"/>
                <w:vanish/>
              </w:rPr>
            </w:pPr>
          </w:p>
        </w:tc>
        <w:tc>
          <w:tcPr>
            <w:tcW w:w="0" w:type="auto"/>
            <w:gridSpan w:val="3"/>
            <w:shd w:val="clear" w:color="auto" w:fill="auto"/>
            <w:vAlign w:val="bottom"/>
          </w:tcPr>
          <w:p w14:paraId="5F2D26C2" w14:textId="77777777" w:rsidR="00E836FB" w:rsidRDefault="00E836FB">
            <w:pPr>
              <w:rPr>
                <w:rFonts w:ascii="宋体"/>
                <w:vanish/>
              </w:rPr>
            </w:pPr>
          </w:p>
        </w:tc>
        <w:tc>
          <w:tcPr>
            <w:tcW w:w="0" w:type="auto"/>
            <w:gridSpan w:val="3"/>
            <w:shd w:val="clear" w:color="auto" w:fill="auto"/>
            <w:vAlign w:val="bottom"/>
          </w:tcPr>
          <w:p w14:paraId="5F2D26C3" w14:textId="77777777" w:rsidR="00E836FB" w:rsidRDefault="00E836FB">
            <w:pPr>
              <w:rPr>
                <w:rFonts w:ascii="宋体"/>
                <w:vanish/>
              </w:rPr>
            </w:pPr>
          </w:p>
        </w:tc>
        <w:tc>
          <w:tcPr>
            <w:tcW w:w="0" w:type="auto"/>
            <w:gridSpan w:val="3"/>
            <w:shd w:val="clear" w:color="auto" w:fill="auto"/>
            <w:vAlign w:val="bottom"/>
          </w:tcPr>
          <w:p w14:paraId="5F2D26C4" w14:textId="77777777" w:rsidR="00E836FB" w:rsidRDefault="00E836FB">
            <w:pPr>
              <w:rPr>
                <w:rFonts w:ascii="宋体"/>
                <w:vanish/>
              </w:rPr>
            </w:pPr>
          </w:p>
        </w:tc>
        <w:tc>
          <w:tcPr>
            <w:tcW w:w="0" w:type="auto"/>
            <w:gridSpan w:val="3"/>
            <w:shd w:val="clear" w:color="auto" w:fill="auto"/>
            <w:vAlign w:val="bottom"/>
          </w:tcPr>
          <w:p w14:paraId="5F2D26C5" w14:textId="77777777" w:rsidR="00E836FB" w:rsidRDefault="00E836FB">
            <w:pPr>
              <w:rPr>
                <w:rFonts w:ascii="宋体"/>
                <w:vanish/>
              </w:rPr>
            </w:pPr>
          </w:p>
        </w:tc>
        <w:tc>
          <w:tcPr>
            <w:tcW w:w="0" w:type="auto"/>
            <w:gridSpan w:val="3"/>
            <w:shd w:val="clear" w:color="auto" w:fill="auto"/>
            <w:vAlign w:val="bottom"/>
          </w:tcPr>
          <w:p w14:paraId="5F2D26C6" w14:textId="77777777" w:rsidR="00E836FB" w:rsidRDefault="00E836FB">
            <w:pPr>
              <w:rPr>
                <w:rFonts w:ascii="宋体"/>
                <w:vanish/>
              </w:rPr>
            </w:pPr>
          </w:p>
        </w:tc>
      </w:tr>
      <w:tr w:rsidR="00E836FB" w14:paraId="5F2D26CE" w14:textId="77777777">
        <w:trPr>
          <w:hidden/>
        </w:trPr>
        <w:tc>
          <w:tcPr>
            <w:tcW w:w="0" w:type="auto"/>
            <w:gridSpan w:val="3"/>
            <w:shd w:val="clear" w:color="auto" w:fill="auto"/>
            <w:vAlign w:val="bottom"/>
          </w:tcPr>
          <w:p w14:paraId="5F2D26C8" w14:textId="77777777" w:rsidR="00E836FB" w:rsidRDefault="00E836FB">
            <w:pPr>
              <w:rPr>
                <w:rFonts w:ascii="宋体"/>
                <w:vanish/>
              </w:rPr>
            </w:pPr>
          </w:p>
        </w:tc>
        <w:tc>
          <w:tcPr>
            <w:tcW w:w="0" w:type="auto"/>
            <w:gridSpan w:val="3"/>
            <w:shd w:val="clear" w:color="auto" w:fill="auto"/>
            <w:vAlign w:val="bottom"/>
          </w:tcPr>
          <w:p w14:paraId="5F2D26C9" w14:textId="77777777" w:rsidR="00E836FB" w:rsidRDefault="00E836FB">
            <w:pPr>
              <w:rPr>
                <w:rFonts w:ascii="宋体"/>
                <w:vanish/>
              </w:rPr>
            </w:pPr>
          </w:p>
        </w:tc>
        <w:tc>
          <w:tcPr>
            <w:tcW w:w="0" w:type="auto"/>
            <w:gridSpan w:val="3"/>
            <w:shd w:val="clear" w:color="auto" w:fill="auto"/>
            <w:vAlign w:val="bottom"/>
          </w:tcPr>
          <w:p w14:paraId="5F2D26CA" w14:textId="77777777" w:rsidR="00E836FB" w:rsidRDefault="00E836FB">
            <w:pPr>
              <w:rPr>
                <w:rFonts w:ascii="宋体"/>
                <w:vanish/>
              </w:rPr>
            </w:pPr>
          </w:p>
        </w:tc>
        <w:tc>
          <w:tcPr>
            <w:tcW w:w="0" w:type="auto"/>
            <w:gridSpan w:val="3"/>
            <w:shd w:val="clear" w:color="auto" w:fill="auto"/>
            <w:vAlign w:val="bottom"/>
          </w:tcPr>
          <w:p w14:paraId="5F2D26CB" w14:textId="77777777" w:rsidR="00E836FB" w:rsidRDefault="00E836FB">
            <w:pPr>
              <w:rPr>
                <w:rFonts w:ascii="宋体"/>
                <w:vanish/>
              </w:rPr>
            </w:pPr>
          </w:p>
        </w:tc>
        <w:tc>
          <w:tcPr>
            <w:tcW w:w="0" w:type="auto"/>
            <w:gridSpan w:val="3"/>
            <w:shd w:val="clear" w:color="auto" w:fill="auto"/>
            <w:vAlign w:val="bottom"/>
          </w:tcPr>
          <w:p w14:paraId="5F2D26CC" w14:textId="77777777" w:rsidR="00E836FB" w:rsidRDefault="00E836FB">
            <w:pPr>
              <w:rPr>
                <w:rFonts w:ascii="宋体"/>
                <w:vanish/>
              </w:rPr>
            </w:pPr>
          </w:p>
        </w:tc>
        <w:tc>
          <w:tcPr>
            <w:tcW w:w="0" w:type="auto"/>
            <w:gridSpan w:val="3"/>
            <w:shd w:val="clear" w:color="auto" w:fill="auto"/>
            <w:vAlign w:val="bottom"/>
          </w:tcPr>
          <w:p w14:paraId="5F2D26CD" w14:textId="77777777" w:rsidR="00E836FB" w:rsidRDefault="00E836FB">
            <w:pPr>
              <w:rPr>
                <w:rFonts w:ascii="宋体"/>
                <w:vanish/>
              </w:rPr>
            </w:pPr>
          </w:p>
        </w:tc>
      </w:tr>
      <w:tr w:rsidR="00E836FB" w14:paraId="5F2D26DB" w14:textId="77777777">
        <w:tc>
          <w:tcPr>
            <w:tcW w:w="0" w:type="auto"/>
            <w:gridSpan w:val="3"/>
            <w:shd w:val="clear" w:color="auto" w:fill="CCEEFF"/>
            <w:tcMar>
              <w:top w:w="40" w:type="dxa"/>
              <w:left w:w="20" w:type="dxa"/>
              <w:bottom w:w="40" w:type="dxa"/>
              <w:right w:w="20" w:type="dxa"/>
            </w:tcMar>
            <w:vAlign w:val="bottom"/>
          </w:tcPr>
          <w:p w14:paraId="5F2D26CF" w14:textId="77777777" w:rsidR="00E836FB" w:rsidRDefault="00994958">
            <w:pPr>
              <w:textAlignment w:val="bottom"/>
            </w:pPr>
            <w:r>
              <w:rPr>
                <w:rFonts w:ascii="Arial" w:eastAsia="宋体" w:hAnsi="Arial" w:cs="Arial"/>
                <w:b/>
                <w:bCs/>
                <w:color w:val="000000"/>
                <w:sz w:val="15"/>
                <w:szCs w:val="15"/>
              </w:rPr>
              <w:t>Ending balance December 31, 2019</w:t>
            </w:r>
          </w:p>
        </w:tc>
        <w:tc>
          <w:tcPr>
            <w:tcW w:w="0" w:type="auto"/>
            <w:shd w:val="clear" w:color="auto" w:fill="CCEEFF"/>
            <w:tcMar>
              <w:top w:w="40" w:type="dxa"/>
              <w:left w:w="20" w:type="dxa"/>
              <w:bottom w:w="40" w:type="dxa"/>
              <w:right w:w="0" w:type="dxa"/>
            </w:tcMar>
            <w:vAlign w:val="bottom"/>
          </w:tcPr>
          <w:p w14:paraId="5F2D26D0"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6D1" w14:textId="77777777" w:rsidR="00E836FB" w:rsidRDefault="00994958">
            <w:pPr>
              <w:jc w:val="right"/>
              <w:textAlignment w:val="bottom"/>
            </w:pPr>
            <w:r>
              <w:rPr>
                <w:rFonts w:ascii="Arial" w:eastAsia="宋体" w:hAnsi="Arial" w:cs="Arial"/>
                <w:color w:val="000000"/>
                <w:sz w:val="15"/>
                <w:szCs w:val="15"/>
              </w:rPr>
              <w:t>7,289 </w:t>
            </w:r>
          </w:p>
        </w:tc>
        <w:tc>
          <w:tcPr>
            <w:tcW w:w="0" w:type="auto"/>
            <w:shd w:val="clear" w:color="auto" w:fill="CCEEFF"/>
            <w:tcMar>
              <w:top w:w="40" w:type="dxa"/>
              <w:left w:w="0" w:type="dxa"/>
              <w:bottom w:w="40" w:type="dxa"/>
              <w:right w:w="20" w:type="dxa"/>
            </w:tcMar>
            <w:vAlign w:val="bottom"/>
          </w:tcPr>
          <w:p w14:paraId="5F2D26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D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6D4"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6D5" w14:textId="77777777" w:rsidR="00E836FB" w:rsidRDefault="00994958">
            <w:pPr>
              <w:jc w:val="right"/>
              <w:textAlignment w:val="bottom"/>
            </w:pPr>
            <w:r>
              <w:rPr>
                <w:rFonts w:ascii="Arial" w:eastAsia="宋体" w:hAnsi="Arial" w:cs="Arial"/>
                <w:color w:val="000000"/>
                <w:sz w:val="15"/>
                <w:szCs w:val="15"/>
              </w:rPr>
              <w:t>267 </w:t>
            </w:r>
          </w:p>
        </w:tc>
        <w:tc>
          <w:tcPr>
            <w:tcW w:w="0" w:type="auto"/>
            <w:shd w:val="clear" w:color="auto" w:fill="CCEEFF"/>
            <w:tcMar>
              <w:top w:w="40" w:type="dxa"/>
              <w:left w:w="0" w:type="dxa"/>
              <w:bottom w:w="40" w:type="dxa"/>
              <w:right w:w="20" w:type="dxa"/>
            </w:tcMar>
            <w:vAlign w:val="bottom"/>
          </w:tcPr>
          <w:p w14:paraId="5F2D26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D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6D8"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6D9" w14:textId="77777777" w:rsidR="00E836FB" w:rsidRDefault="00994958">
            <w:pPr>
              <w:jc w:val="right"/>
              <w:textAlignment w:val="bottom"/>
            </w:pPr>
            <w:r>
              <w:rPr>
                <w:rFonts w:ascii="Arial" w:eastAsia="宋体" w:hAnsi="Arial" w:cs="Arial"/>
                <w:color w:val="000000"/>
                <w:sz w:val="15"/>
                <w:szCs w:val="15"/>
              </w:rPr>
              <w:t>7,556 </w:t>
            </w:r>
          </w:p>
        </w:tc>
        <w:tc>
          <w:tcPr>
            <w:tcW w:w="0" w:type="auto"/>
            <w:shd w:val="clear" w:color="auto" w:fill="CCEEFF"/>
            <w:tcMar>
              <w:top w:w="40" w:type="dxa"/>
              <w:left w:w="0" w:type="dxa"/>
              <w:bottom w:w="40" w:type="dxa"/>
              <w:right w:w="20" w:type="dxa"/>
            </w:tcMar>
            <w:vAlign w:val="bottom"/>
          </w:tcPr>
          <w:p w14:paraId="5F2D26DA" w14:textId="77777777" w:rsidR="00E836FB" w:rsidRDefault="00E836FB">
            <w:pPr>
              <w:jc w:val="right"/>
              <w:rPr>
                <w:rFonts w:ascii="宋体"/>
              </w:rPr>
            </w:pPr>
          </w:p>
        </w:tc>
      </w:tr>
      <w:tr w:rsidR="00E836FB" w14:paraId="5F2D26E2" w14:textId="77777777">
        <w:trPr>
          <w:hidden/>
        </w:trPr>
        <w:tc>
          <w:tcPr>
            <w:tcW w:w="0" w:type="auto"/>
            <w:gridSpan w:val="3"/>
            <w:shd w:val="clear" w:color="auto" w:fill="auto"/>
            <w:vAlign w:val="bottom"/>
          </w:tcPr>
          <w:p w14:paraId="5F2D26DC" w14:textId="77777777" w:rsidR="00E836FB" w:rsidRDefault="00E836FB">
            <w:pPr>
              <w:rPr>
                <w:rFonts w:ascii="宋体"/>
                <w:vanish/>
              </w:rPr>
            </w:pPr>
          </w:p>
        </w:tc>
        <w:tc>
          <w:tcPr>
            <w:tcW w:w="0" w:type="auto"/>
            <w:gridSpan w:val="3"/>
            <w:shd w:val="clear" w:color="auto" w:fill="auto"/>
            <w:vAlign w:val="bottom"/>
          </w:tcPr>
          <w:p w14:paraId="5F2D26DD" w14:textId="77777777" w:rsidR="00E836FB" w:rsidRDefault="00E836FB">
            <w:pPr>
              <w:rPr>
                <w:rFonts w:ascii="宋体"/>
                <w:vanish/>
              </w:rPr>
            </w:pPr>
          </w:p>
        </w:tc>
        <w:tc>
          <w:tcPr>
            <w:tcW w:w="0" w:type="auto"/>
            <w:gridSpan w:val="3"/>
            <w:shd w:val="clear" w:color="auto" w:fill="auto"/>
            <w:vAlign w:val="bottom"/>
          </w:tcPr>
          <w:p w14:paraId="5F2D26DE" w14:textId="77777777" w:rsidR="00E836FB" w:rsidRDefault="00E836FB">
            <w:pPr>
              <w:rPr>
                <w:rFonts w:ascii="宋体"/>
                <w:vanish/>
              </w:rPr>
            </w:pPr>
          </w:p>
        </w:tc>
        <w:tc>
          <w:tcPr>
            <w:tcW w:w="0" w:type="auto"/>
            <w:gridSpan w:val="3"/>
            <w:shd w:val="clear" w:color="auto" w:fill="auto"/>
            <w:vAlign w:val="bottom"/>
          </w:tcPr>
          <w:p w14:paraId="5F2D26DF" w14:textId="77777777" w:rsidR="00E836FB" w:rsidRDefault="00E836FB">
            <w:pPr>
              <w:rPr>
                <w:rFonts w:ascii="宋体"/>
                <w:vanish/>
              </w:rPr>
            </w:pPr>
          </w:p>
        </w:tc>
        <w:tc>
          <w:tcPr>
            <w:tcW w:w="0" w:type="auto"/>
            <w:gridSpan w:val="3"/>
            <w:shd w:val="clear" w:color="auto" w:fill="auto"/>
            <w:vAlign w:val="bottom"/>
          </w:tcPr>
          <w:p w14:paraId="5F2D26E0" w14:textId="77777777" w:rsidR="00E836FB" w:rsidRDefault="00E836FB">
            <w:pPr>
              <w:rPr>
                <w:rFonts w:ascii="宋体"/>
                <w:vanish/>
              </w:rPr>
            </w:pPr>
          </w:p>
        </w:tc>
        <w:tc>
          <w:tcPr>
            <w:tcW w:w="0" w:type="auto"/>
            <w:gridSpan w:val="3"/>
            <w:shd w:val="clear" w:color="auto" w:fill="auto"/>
            <w:vAlign w:val="bottom"/>
          </w:tcPr>
          <w:p w14:paraId="5F2D26E1" w14:textId="77777777" w:rsidR="00E836FB" w:rsidRDefault="00E836FB">
            <w:pPr>
              <w:rPr>
                <w:rFonts w:ascii="宋体"/>
                <w:vanish/>
              </w:rPr>
            </w:pPr>
          </w:p>
        </w:tc>
      </w:tr>
      <w:tr w:rsidR="00E836FB" w14:paraId="5F2D26EC" w14:textId="77777777">
        <w:tc>
          <w:tcPr>
            <w:tcW w:w="0" w:type="auto"/>
            <w:gridSpan w:val="3"/>
            <w:shd w:val="clear" w:color="auto" w:fill="FFFFFF"/>
            <w:tcMar>
              <w:top w:w="40" w:type="dxa"/>
              <w:left w:w="20" w:type="dxa"/>
              <w:bottom w:w="40" w:type="dxa"/>
              <w:right w:w="20" w:type="dxa"/>
            </w:tcMar>
            <w:vAlign w:val="bottom"/>
          </w:tcPr>
          <w:p w14:paraId="5F2D26E3" w14:textId="77777777" w:rsidR="00E836FB" w:rsidRDefault="00994958">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5F2D26E4" w14:textId="77777777" w:rsidR="00E836FB" w:rsidRDefault="00994958">
            <w:pPr>
              <w:jc w:val="right"/>
              <w:textAlignment w:val="bottom"/>
            </w:pPr>
            <w:r>
              <w:rPr>
                <w:rFonts w:ascii="Arial" w:eastAsia="宋体" w:hAnsi="Arial" w:cs="Arial"/>
                <w:color w:val="000000"/>
                <w:sz w:val="15"/>
                <w:szCs w:val="15"/>
              </w:rPr>
              <w:t>124 </w:t>
            </w:r>
          </w:p>
        </w:tc>
        <w:tc>
          <w:tcPr>
            <w:tcW w:w="0" w:type="auto"/>
            <w:shd w:val="clear" w:color="auto" w:fill="FFFFFF"/>
            <w:tcMar>
              <w:top w:w="40" w:type="dxa"/>
              <w:left w:w="0" w:type="dxa"/>
              <w:bottom w:w="40" w:type="dxa"/>
              <w:right w:w="20" w:type="dxa"/>
            </w:tcMar>
            <w:vAlign w:val="bottom"/>
          </w:tcPr>
          <w:p w14:paraId="5F2D26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E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E7" w14:textId="77777777" w:rsidR="00E836FB" w:rsidRDefault="00994958">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F2D26E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E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EA" w14:textId="77777777" w:rsidR="00E836FB" w:rsidRDefault="00994958">
            <w:pPr>
              <w:jc w:val="right"/>
              <w:textAlignment w:val="bottom"/>
            </w:pPr>
            <w:r>
              <w:rPr>
                <w:rFonts w:ascii="Arial" w:eastAsia="宋体" w:hAnsi="Arial" w:cs="Arial"/>
                <w:color w:val="000000"/>
                <w:sz w:val="15"/>
                <w:szCs w:val="15"/>
              </w:rPr>
              <w:t>127 </w:t>
            </w:r>
          </w:p>
        </w:tc>
        <w:tc>
          <w:tcPr>
            <w:tcW w:w="0" w:type="auto"/>
            <w:shd w:val="clear" w:color="auto" w:fill="FFFFFF"/>
            <w:tcMar>
              <w:top w:w="40" w:type="dxa"/>
              <w:left w:w="0" w:type="dxa"/>
              <w:bottom w:w="40" w:type="dxa"/>
              <w:right w:w="20" w:type="dxa"/>
            </w:tcMar>
            <w:vAlign w:val="bottom"/>
          </w:tcPr>
          <w:p w14:paraId="5F2D26EB" w14:textId="77777777" w:rsidR="00E836FB" w:rsidRDefault="00E836FB">
            <w:pPr>
              <w:jc w:val="right"/>
              <w:rPr>
                <w:rFonts w:ascii="宋体"/>
              </w:rPr>
            </w:pPr>
          </w:p>
        </w:tc>
      </w:tr>
      <w:tr w:rsidR="00E836FB" w14:paraId="5F2D26F6" w14:textId="77777777">
        <w:tc>
          <w:tcPr>
            <w:tcW w:w="0" w:type="auto"/>
            <w:gridSpan w:val="3"/>
            <w:shd w:val="clear" w:color="auto" w:fill="CCEEFF"/>
            <w:tcMar>
              <w:top w:w="40" w:type="dxa"/>
              <w:left w:w="20" w:type="dxa"/>
              <w:bottom w:w="40" w:type="dxa"/>
              <w:right w:w="20" w:type="dxa"/>
            </w:tcMar>
            <w:vAlign w:val="bottom"/>
          </w:tcPr>
          <w:p w14:paraId="5F2D26ED" w14:textId="77777777" w:rsidR="00E836FB" w:rsidRDefault="00994958">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26EE" w14:textId="77777777" w:rsidR="00E836FB" w:rsidRDefault="00994958">
            <w:pPr>
              <w:jc w:val="right"/>
              <w:textAlignment w:val="bottom"/>
            </w:pPr>
            <w:r>
              <w:rPr>
                <w:rFonts w:ascii="Arial" w:eastAsia="宋体" w:hAnsi="Arial" w:cs="Arial"/>
                <w:color w:val="000000"/>
                <w:sz w:val="15"/>
                <w:szCs w:val="15"/>
              </w:rPr>
              <w:t>7,413 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6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F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26F1" w14:textId="77777777" w:rsidR="00E836FB" w:rsidRDefault="00994958">
            <w:pPr>
              <w:jc w:val="right"/>
              <w:textAlignment w:val="bottom"/>
            </w:pPr>
            <w:r>
              <w:rPr>
                <w:rFonts w:ascii="Arial" w:eastAsia="宋体" w:hAnsi="Arial" w:cs="Arial"/>
                <w:color w:val="000000"/>
                <w:sz w:val="15"/>
                <w:szCs w:val="15"/>
              </w:rPr>
              <w:t>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6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6F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26F4" w14:textId="77777777" w:rsidR="00E836FB" w:rsidRDefault="00994958">
            <w:pPr>
              <w:jc w:val="right"/>
              <w:textAlignment w:val="bottom"/>
            </w:pPr>
            <w:r>
              <w:rPr>
                <w:rFonts w:ascii="Arial" w:eastAsia="宋体" w:hAnsi="Arial" w:cs="Arial"/>
                <w:color w:val="000000"/>
                <w:sz w:val="15"/>
                <w:szCs w:val="15"/>
              </w:rPr>
              <w:t>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6F5" w14:textId="77777777" w:rsidR="00E836FB" w:rsidRDefault="00E836FB">
            <w:pPr>
              <w:jc w:val="right"/>
              <w:rPr>
                <w:rFonts w:ascii="宋体"/>
              </w:rPr>
            </w:pPr>
          </w:p>
        </w:tc>
      </w:tr>
      <w:tr w:rsidR="00E836FB" w14:paraId="5F2D2700" w14:textId="77777777">
        <w:tc>
          <w:tcPr>
            <w:tcW w:w="0" w:type="auto"/>
            <w:gridSpan w:val="3"/>
            <w:shd w:val="clear" w:color="auto" w:fill="FFFFFF"/>
            <w:tcMar>
              <w:top w:w="40" w:type="dxa"/>
              <w:left w:w="20" w:type="dxa"/>
              <w:bottom w:w="40" w:type="dxa"/>
              <w:right w:w="20" w:type="dxa"/>
            </w:tcMar>
            <w:vAlign w:val="bottom"/>
          </w:tcPr>
          <w:p w14:paraId="5F2D26F7" w14:textId="77777777" w:rsidR="00E836FB" w:rsidRDefault="00994958">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D26F8" w14:textId="77777777" w:rsidR="00E836FB" w:rsidRDefault="00994958">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6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FB"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6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6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6FE" w14:textId="77777777" w:rsidR="00E836FB" w:rsidRDefault="00994958">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6FF" w14:textId="77777777" w:rsidR="00E836FB" w:rsidRDefault="00E836FB">
            <w:pPr>
              <w:jc w:val="right"/>
              <w:rPr>
                <w:rFonts w:ascii="宋体"/>
              </w:rPr>
            </w:pPr>
          </w:p>
        </w:tc>
      </w:tr>
      <w:tr w:rsidR="00E836FB" w14:paraId="5F2D270A" w14:textId="77777777">
        <w:tc>
          <w:tcPr>
            <w:tcW w:w="0" w:type="auto"/>
            <w:gridSpan w:val="3"/>
            <w:shd w:val="clear" w:color="auto" w:fill="CCEEFF"/>
            <w:tcMar>
              <w:top w:w="40" w:type="dxa"/>
              <w:left w:w="20" w:type="dxa"/>
              <w:bottom w:w="40" w:type="dxa"/>
              <w:right w:w="20" w:type="dxa"/>
            </w:tcMar>
            <w:vAlign w:val="bottom"/>
          </w:tcPr>
          <w:p w14:paraId="5F2D2701" w14:textId="77777777" w:rsidR="00E836FB" w:rsidRDefault="00994958">
            <w:pPr>
              <w:textAlignment w:val="bottom"/>
            </w:pPr>
            <w:r>
              <w:rPr>
                <w:rFonts w:ascii="Arial" w:eastAsia="宋体" w:hAnsi="Arial" w:cs="Arial"/>
                <w:color w:val="000000"/>
                <w:sz w:val="15"/>
                <w:szCs w:val="15"/>
              </w:rPr>
              <w:t>Divestitures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F2D2702" w14:textId="77777777" w:rsidR="00E836FB" w:rsidRDefault="00994958">
            <w:pPr>
              <w:jc w:val="right"/>
              <w:textAlignment w:val="bottom"/>
            </w:pPr>
            <w:r>
              <w:rPr>
                <w:rFonts w:ascii="Arial" w:eastAsia="宋体" w:hAnsi="Arial" w:cs="Arial"/>
                <w:b/>
                <w:bCs/>
                <w:color w:val="000000"/>
                <w:sz w:val="15"/>
                <w:szCs w:val="15"/>
              </w:rPr>
              <w:t>(17)</w:t>
            </w:r>
          </w:p>
        </w:tc>
        <w:tc>
          <w:tcPr>
            <w:tcW w:w="0" w:type="auto"/>
            <w:shd w:val="clear" w:color="auto" w:fill="CCEEFF"/>
            <w:tcMar>
              <w:top w:w="40" w:type="dxa"/>
              <w:left w:w="0" w:type="dxa"/>
              <w:bottom w:w="40" w:type="dxa"/>
              <w:right w:w="20" w:type="dxa"/>
            </w:tcMar>
            <w:vAlign w:val="bottom"/>
          </w:tcPr>
          <w:p w14:paraId="5F2D27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05"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7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08" w14:textId="77777777" w:rsidR="00E836FB" w:rsidRDefault="00994958">
            <w:pPr>
              <w:jc w:val="right"/>
              <w:textAlignment w:val="bottom"/>
            </w:pPr>
            <w:r>
              <w:rPr>
                <w:rFonts w:ascii="Arial" w:eastAsia="宋体" w:hAnsi="Arial" w:cs="Arial"/>
                <w:b/>
                <w:bCs/>
                <w:color w:val="000000"/>
                <w:sz w:val="15"/>
                <w:szCs w:val="15"/>
              </w:rPr>
              <w:t>(17)</w:t>
            </w:r>
          </w:p>
        </w:tc>
        <w:tc>
          <w:tcPr>
            <w:tcW w:w="0" w:type="auto"/>
            <w:shd w:val="clear" w:color="auto" w:fill="CCEEFF"/>
            <w:tcMar>
              <w:top w:w="40" w:type="dxa"/>
              <w:left w:w="0" w:type="dxa"/>
              <w:bottom w:w="40" w:type="dxa"/>
              <w:right w:w="20" w:type="dxa"/>
            </w:tcMar>
            <w:vAlign w:val="bottom"/>
          </w:tcPr>
          <w:p w14:paraId="5F2D2709" w14:textId="77777777" w:rsidR="00E836FB" w:rsidRDefault="00E836FB">
            <w:pPr>
              <w:jc w:val="right"/>
              <w:rPr>
                <w:rFonts w:ascii="宋体"/>
              </w:rPr>
            </w:pPr>
          </w:p>
        </w:tc>
      </w:tr>
      <w:tr w:rsidR="00E836FB" w14:paraId="5F2D2714" w14:textId="77777777">
        <w:tc>
          <w:tcPr>
            <w:tcW w:w="0" w:type="auto"/>
            <w:gridSpan w:val="3"/>
            <w:shd w:val="clear" w:color="auto" w:fill="FFFFFF"/>
            <w:tcMar>
              <w:top w:w="40" w:type="dxa"/>
              <w:left w:w="20" w:type="dxa"/>
              <w:bottom w:w="40" w:type="dxa"/>
              <w:right w:w="20" w:type="dxa"/>
            </w:tcMar>
            <w:vAlign w:val="bottom"/>
          </w:tcPr>
          <w:p w14:paraId="5F2D270B" w14:textId="77777777" w:rsidR="00E836FB" w:rsidRDefault="00994958">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5F2D270C" w14:textId="77777777" w:rsidR="00E836FB" w:rsidRDefault="00994958">
            <w:pPr>
              <w:jc w:val="right"/>
              <w:textAlignment w:val="bottom"/>
            </w:pPr>
            <w:r>
              <w:rPr>
                <w:rFonts w:ascii="Arial" w:eastAsia="宋体" w:hAnsi="Arial" w:cs="Arial"/>
                <w:b/>
                <w:bCs/>
                <w:color w:val="000000"/>
                <w:sz w:val="15"/>
                <w:szCs w:val="15"/>
              </w:rPr>
              <w:t>(108)</w:t>
            </w:r>
          </w:p>
        </w:tc>
        <w:tc>
          <w:tcPr>
            <w:tcW w:w="0" w:type="auto"/>
            <w:shd w:val="clear" w:color="auto" w:fill="FFFFFF"/>
            <w:tcMar>
              <w:top w:w="40" w:type="dxa"/>
              <w:left w:w="0" w:type="dxa"/>
              <w:bottom w:w="40" w:type="dxa"/>
              <w:right w:w="20" w:type="dxa"/>
            </w:tcMar>
            <w:vAlign w:val="bottom"/>
          </w:tcPr>
          <w:p w14:paraId="5F2D270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0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70F" w14:textId="77777777" w:rsidR="00E836FB" w:rsidRDefault="00994958">
            <w:pPr>
              <w:jc w:val="right"/>
              <w:textAlignment w:val="bottom"/>
            </w:pPr>
            <w:r>
              <w:rPr>
                <w:rFonts w:ascii="Arial" w:eastAsia="宋体" w:hAnsi="Arial" w:cs="Arial"/>
                <w:b/>
                <w:bCs/>
                <w:color w:val="000000"/>
                <w:sz w:val="15"/>
                <w:szCs w:val="15"/>
              </w:rPr>
              <w:t>(3)</w:t>
            </w:r>
          </w:p>
        </w:tc>
        <w:tc>
          <w:tcPr>
            <w:tcW w:w="0" w:type="auto"/>
            <w:shd w:val="clear" w:color="auto" w:fill="FFFFFF"/>
            <w:tcMar>
              <w:top w:w="40" w:type="dxa"/>
              <w:left w:w="0" w:type="dxa"/>
              <w:bottom w:w="40" w:type="dxa"/>
              <w:right w:w="20" w:type="dxa"/>
            </w:tcMar>
            <w:vAlign w:val="bottom"/>
          </w:tcPr>
          <w:p w14:paraId="5F2D27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1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712" w14:textId="77777777" w:rsidR="00E836FB" w:rsidRDefault="00994958">
            <w:pPr>
              <w:jc w:val="right"/>
              <w:textAlignment w:val="bottom"/>
            </w:pPr>
            <w:r>
              <w:rPr>
                <w:rFonts w:ascii="Arial" w:eastAsia="宋体" w:hAnsi="Arial" w:cs="Arial"/>
                <w:b/>
                <w:bCs/>
                <w:color w:val="000000"/>
                <w:sz w:val="15"/>
                <w:szCs w:val="15"/>
              </w:rPr>
              <w:t>(111)</w:t>
            </w:r>
          </w:p>
        </w:tc>
        <w:tc>
          <w:tcPr>
            <w:tcW w:w="0" w:type="auto"/>
            <w:shd w:val="clear" w:color="auto" w:fill="FFFFFF"/>
            <w:tcMar>
              <w:top w:w="40" w:type="dxa"/>
              <w:left w:w="0" w:type="dxa"/>
              <w:bottom w:w="40" w:type="dxa"/>
              <w:right w:w="20" w:type="dxa"/>
            </w:tcMar>
            <w:vAlign w:val="bottom"/>
          </w:tcPr>
          <w:p w14:paraId="5F2D2713" w14:textId="77777777" w:rsidR="00E836FB" w:rsidRDefault="00E836FB">
            <w:pPr>
              <w:jc w:val="right"/>
              <w:rPr>
                <w:rFonts w:ascii="宋体"/>
              </w:rPr>
            </w:pPr>
          </w:p>
        </w:tc>
      </w:tr>
      <w:tr w:rsidR="00E836FB" w14:paraId="5F2D2721" w14:textId="77777777">
        <w:tc>
          <w:tcPr>
            <w:tcW w:w="0" w:type="auto"/>
            <w:gridSpan w:val="3"/>
            <w:shd w:val="clear" w:color="auto" w:fill="CCEEFF"/>
            <w:tcMar>
              <w:top w:w="40" w:type="dxa"/>
              <w:left w:w="20" w:type="dxa"/>
              <w:bottom w:w="40" w:type="dxa"/>
              <w:right w:w="20" w:type="dxa"/>
            </w:tcMar>
            <w:vAlign w:val="bottom"/>
          </w:tcPr>
          <w:p w14:paraId="5F2D2715" w14:textId="77777777" w:rsidR="00E836FB" w:rsidRDefault="00994958">
            <w:pPr>
              <w:textAlignment w:val="bottom"/>
            </w:pPr>
            <w:r>
              <w:rPr>
                <w:rFonts w:ascii="Arial" w:eastAsia="宋体" w:hAnsi="Arial" w:cs="Arial"/>
                <w:b/>
                <w:bCs/>
                <w:color w:val="000000"/>
                <w:sz w:val="15"/>
                <w:szCs w:val="15"/>
              </w:rPr>
              <w:t>Ending balance December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71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717" w14:textId="77777777" w:rsidR="00E836FB" w:rsidRDefault="00994958">
            <w:pPr>
              <w:jc w:val="right"/>
              <w:textAlignment w:val="bottom"/>
            </w:pPr>
            <w:r>
              <w:rPr>
                <w:rFonts w:ascii="Arial" w:eastAsia="宋体" w:hAnsi="Arial" w:cs="Arial"/>
                <w:b/>
                <w:bCs/>
                <w:color w:val="000000"/>
                <w:sz w:val="15"/>
                <w:szCs w:val="15"/>
              </w:rPr>
              <w:t>7,354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7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1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71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71B" w14:textId="77777777" w:rsidR="00E836FB" w:rsidRDefault="00994958">
            <w:pPr>
              <w:jc w:val="right"/>
              <w:textAlignment w:val="bottom"/>
            </w:pPr>
            <w:r>
              <w:rPr>
                <w:rFonts w:ascii="Arial" w:eastAsia="宋体" w:hAnsi="Arial" w:cs="Arial"/>
                <w:b/>
                <w:bCs/>
                <w:color w:val="000000"/>
                <w:sz w:val="15"/>
                <w:szCs w:val="15"/>
              </w:rPr>
              <w:t>267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7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1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71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71F" w14:textId="77777777" w:rsidR="00E836FB" w:rsidRDefault="00994958">
            <w:pPr>
              <w:jc w:val="right"/>
              <w:textAlignment w:val="bottom"/>
            </w:pPr>
            <w:r>
              <w:rPr>
                <w:rFonts w:ascii="Arial" w:eastAsia="宋体" w:hAnsi="Arial" w:cs="Arial"/>
                <w:b/>
                <w:bCs/>
                <w:color w:val="000000"/>
                <w:sz w:val="15"/>
                <w:szCs w:val="15"/>
              </w:rPr>
              <w:t>7,621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720" w14:textId="77777777" w:rsidR="00E836FB" w:rsidRDefault="00E836FB">
            <w:pPr>
              <w:jc w:val="right"/>
              <w:rPr>
                <w:rFonts w:ascii="宋体"/>
              </w:rPr>
            </w:pPr>
          </w:p>
        </w:tc>
      </w:tr>
    </w:tbl>
    <w:p w14:paraId="5F2D2722"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E836FB" w14:paraId="5F2D2729" w14:textId="77777777">
        <w:tc>
          <w:tcPr>
            <w:tcW w:w="50" w:type="pct"/>
            <w:shd w:val="clear" w:color="auto" w:fill="auto"/>
            <w:vAlign w:val="bottom"/>
          </w:tcPr>
          <w:p w14:paraId="5F2D2723" w14:textId="77777777" w:rsidR="00E836FB" w:rsidRDefault="00E836FB">
            <w:pPr>
              <w:rPr>
                <w:rFonts w:ascii="宋体"/>
              </w:rPr>
            </w:pPr>
          </w:p>
        </w:tc>
        <w:tc>
          <w:tcPr>
            <w:tcW w:w="2907" w:type="pct"/>
            <w:shd w:val="clear" w:color="auto" w:fill="auto"/>
            <w:vAlign w:val="bottom"/>
          </w:tcPr>
          <w:p w14:paraId="5F2D2724" w14:textId="77777777" w:rsidR="00E836FB" w:rsidRDefault="00E836FB">
            <w:pPr>
              <w:rPr>
                <w:rFonts w:ascii="宋体"/>
              </w:rPr>
            </w:pPr>
          </w:p>
        </w:tc>
        <w:tc>
          <w:tcPr>
            <w:tcW w:w="5" w:type="pct"/>
            <w:shd w:val="clear" w:color="auto" w:fill="auto"/>
            <w:vAlign w:val="bottom"/>
          </w:tcPr>
          <w:p w14:paraId="5F2D2725" w14:textId="77777777" w:rsidR="00E836FB" w:rsidRDefault="00E836FB">
            <w:pPr>
              <w:rPr>
                <w:rFonts w:ascii="宋体"/>
              </w:rPr>
            </w:pPr>
          </w:p>
        </w:tc>
        <w:tc>
          <w:tcPr>
            <w:tcW w:w="50" w:type="pct"/>
            <w:shd w:val="clear" w:color="auto" w:fill="auto"/>
            <w:vAlign w:val="bottom"/>
          </w:tcPr>
          <w:p w14:paraId="5F2D2726" w14:textId="77777777" w:rsidR="00E836FB" w:rsidRDefault="00E836FB">
            <w:pPr>
              <w:rPr>
                <w:rFonts w:ascii="宋体"/>
              </w:rPr>
            </w:pPr>
          </w:p>
        </w:tc>
        <w:tc>
          <w:tcPr>
            <w:tcW w:w="1982" w:type="pct"/>
            <w:shd w:val="clear" w:color="auto" w:fill="auto"/>
            <w:vAlign w:val="bottom"/>
          </w:tcPr>
          <w:p w14:paraId="5F2D2727" w14:textId="77777777" w:rsidR="00E836FB" w:rsidRDefault="00E836FB">
            <w:pPr>
              <w:rPr>
                <w:rFonts w:ascii="宋体"/>
              </w:rPr>
            </w:pPr>
          </w:p>
        </w:tc>
        <w:tc>
          <w:tcPr>
            <w:tcW w:w="5" w:type="pct"/>
            <w:shd w:val="clear" w:color="auto" w:fill="auto"/>
            <w:vAlign w:val="bottom"/>
          </w:tcPr>
          <w:p w14:paraId="5F2D2728" w14:textId="77777777" w:rsidR="00E836FB" w:rsidRDefault="00E836FB">
            <w:pPr>
              <w:rPr>
                <w:rFonts w:ascii="宋体"/>
              </w:rPr>
            </w:pPr>
          </w:p>
        </w:tc>
      </w:tr>
      <w:tr w:rsidR="00E836FB" w14:paraId="5F2D272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72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72B" w14:textId="77777777" w:rsidR="00E836FB" w:rsidRDefault="00E836FB">
            <w:pPr>
              <w:rPr>
                <w:rFonts w:ascii="宋体"/>
              </w:rPr>
            </w:pPr>
          </w:p>
        </w:tc>
      </w:tr>
    </w:tbl>
    <w:p w14:paraId="5F2D272D" w14:textId="77777777" w:rsidR="00E836FB" w:rsidRDefault="00994958">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 </w:t>
      </w:r>
    </w:p>
    <w:p w14:paraId="5F2D272E" w14:textId="77777777" w:rsidR="00E836FB" w:rsidRDefault="00994958">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Investment Servicing includes our acquisitions of the depositary bank and fund administrator activities of Fideuram Bank Luxembourg, a subsidiary of Intesa Sanpaolo, in the first quarter of 2021, with a total purchase price of approximately EUR 220 million</w:t>
      </w:r>
      <w:r>
        <w:rPr>
          <w:rFonts w:ascii="Arial" w:eastAsia="宋体" w:hAnsi="Arial" w:cs="Arial"/>
          <w:color w:val="000000"/>
          <w:sz w:val="13"/>
          <w:szCs w:val="13"/>
        </w:rPr>
        <w:t xml:space="preserve"> or approximately $258 million, and our acquisition of Mercatus, Inc. in the third quarter of 2021, with a total purchase price of approximately $88 million. We accounted for these acquisitions as business combinations and, in accordance with ASC Topic 805</w:t>
      </w:r>
      <w:r>
        <w:rPr>
          <w:rFonts w:ascii="Arial" w:eastAsia="宋体" w:hAnsi="Arial" w:cs="Arial"/>
          <w:color w:val="000000"/>
          <w:sz w:val="13"/>
          <w:szCs w:val="13"/>
        </w:rPr>
        <w:t xml:space="preserve">, Business Combinations, we have recorded assets acquired and liabilities assumed at their respective fair values as of the acquisition date. </w:t>
      </w:r>
    </w:p>
    <w:p w14:paraId="5F2D272F" w14:textId="77777777" w:rsidR="00E836FB" w:rsidRDefault="00994958">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In the second quarter of 2021, we sold a majority share of our WMS business.</w:t>
      </w:r>
    </w:p>
    <w:p w14:paraId="5F2D2730"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changes in the net carrying amount of other 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515"/>
        <w:gridCol w:w="39"/>
        <w:gridCol w:w="105"/>
        <w:gridCol w:w="1625"/>
        <w:gridCol w:w="36"/>
        <w:gridCol w:w="36"/>
        <w:gridCol w:w="72"/>
        <w:gridCol w:w="36"/>
        <w:gridCol w:w="105"/>
        <w:gridCol w:w="1781"/>
        <w:gridCol w:w="36"/>
        <w:gridCol w:w="36"/>
        <w:gridCol w:w="72"/>
        <w:gridCol w:w="36"/>
        <w:gridCol w:w="104"/>
        <w:gridCol w:w="1625"/>
        <w:gridCol w:w="36"/>
      </w:tblGrid>
      <w:tr w:rsidR="00E836FB" w14:paraId="5F2D2743" w14:textId="77777777">
        <w:tc>
          <w:tcPr>
            <w:tcW w:w="50" w:type="pct"/>
            <w:shd w:val="clear" w:color="auto" w:fill="auto"/>
            <w:vAlign w:val="bottom"/>
          </w:tcPr>
          <w:p w14:paraId="5F2D2731" w14:textId="77777777" w:rsidR="00E836FB" w:rsidRDefault="00E836FB">
            <w:pPr>
              <w:rPr>
                <w:rFonts w:ascii="宋体"/>
              </w:rPr>
            </w:pPr>
          </w:p>
        </w:tc>
        <w:tc>
          <w:tcPr>
            <w:tcW w:w="1533" w:type="pct"/>
            <w:shd w:val="clear" w:color="auto" w:fill="auto"/>
            <w:vAlign w:val="bottom"/>
          </w:tcPr>
          <w:p w14:paraId="5F2D2732" w14:textId="77777777" w:rsidR="00E836FB" w:rsidRDefault="00E836FB">
            <w:pPr>
              <w:rPr>
                <w:rFonts w:ascii="宋体"/>
              </w:rPr>
            </w:pPr>
          </w:p>
        </w:tc>
        <w:tc>
          <w:tcPr>
            <w:tcW w:w="5" w:type="pct"/>
            <w:shd w:val="clear" w:color="auto" w:fill="auto"/>
            <w:vAlign w:val="bottom"/>
          </w:tcPr>
          <w:p w14:paraId="5F2D2733" w14:textId="77777777" w:rsidR="00E836FB" w:rsidRDefault="00E836FB">
            <w:pPr>
              <w:rPr>
                <w:rFonts w:ascii="宋体"/>
              </w:rPr>
            </w:pPr>
          </w:p>
        </w:tc>
        <w:tc>
          <w:tcPr>
            <w:tcW w:w="50" w:type="pct"/>
            <w:shd w:val="clear" w:color="auto" w:fill="auto"/>
            <w:vAlign w:val="bottom"/>
          </w:tcPr>
          <w:p w14:paraId="5F2D2734" w14:textId="77777777" w:rsidR="00E836FB" w:rsidRDefault="00E836FB">
            <w:pPr>
              <w:rPr>
                <w:rFonts w:ascii="宋体"/>
              </w:rPr>
            </w:pPr>
          </w:p>
        </w:tc>
        <w:tc>
          <w:tcPr>
            <w:tcW w:w="998" w:type="pct"/>
            <w:shd w:val="clear" w:color="auto" w:fill="auto"/>
            <w:vAlign w:val="bottom"/>
          </w:tcPr>
          <w:p w14:paraId="5F2D2735" w14:textId="77777777" w:rsidR="00E836FB" w:rsidRDefault="00E836FB">
            <w:pPr>
              <w:rPr>
                <w:rFonts w:ascii="宋体"/>
              </w:rPr>
            </w:pPr>
          </w:p>
        </w:tc>
        <w:tc>
          <w:tcPr>
            <w:tcW w:w="5" w:type="pct"/>
            <w:shd w:val="clear" w:color="auto" w:fill="auto"/>
            <w:vAlign w:val="bottom"/>
          </w:tcPr>
          <w:p w14:paraId="5F2D2736" w14:textId="77777777" w:rsidR="00E836FB" w:rsidRDefault="00E836FB">
            <w:pPr>
              <w:rPr>
                <w:rFonts w:ascii="宋体"/>
              </w:rPr>
            </w:pPr>
          </w:p>
        </w:tc>
        <w:tc>
          <w:tcPr>
            <w:tcW w:w="5" w:type="pct"/>
            <w:shd w:val="clear" w:color="auto" w:fill="auto"/>
            <w:vAlign w:val="bottom"/>
          </w:tcPr>
          <w:p w14:paraId="5F2D2737" w14:textId="77777777" w:rsidR="00E836FB" w:rsidRDefault="00E836FB">
            <w:pPr>
              <w:rPr>
                <w:rFonts w:ascii="宋体"/>
              </w:rPr>
            </w:pPr>
          </w:p>
        </w:tc>
        <w:tc>
          <w:tcPr>
            <w:tcW w:w="68" w:type="pct"/>
            <w:shd w:val="clear" w:color="auto" w:fill="auto"/>
            <w:vAlign w:val="bottom"/>
          </w:tcPr>
          <w:p w14:paraId="5F2D2738" w14:textId="77777777" w:rsidR="00E836FB" w:rsidRDefault="00E836FB">
            <w:pPr>
              <w:rPr>
                <w:rFonts w:ascii="宋体"/>
              </w:rPr>
            </w:pPr>
          </w:p>
        </w:tc>
        <w:tc>
          <w:tcPr>
            <w:tcW w:w="5" w:type="pct"/>
            <w:shd w:val="clear" w:color="auto" w:fill="auto"/>
            <w:vAlign w:val="bottom"/>
          </w:tcPr>
          <w:p w14:paraId="5F2D2739" w14:textId="77777777" w:rsidR="00E836FB" w:rsidRDefault="00E836FB">
            <w:pPr>
              <w:rPr>
                <w:rFonts w:ascii="宋体"/>
              </w:rPr>
            </w:pPr>
          </w:p>
        </w:tc>
        <w:tc>
          <w:tcPr>
            <w:tcW w:w="50" w:type="pct"/>
            <w:shd w:val="clear" w:color="auto" w:fill="auto"/>
            <w:vAlign w:val="bottom"/>
          </w:tcPr>
          <w:p w14:paraId="5F2D273A" w14:textId="77777777" w:rsidR="00E836FB" w:rsidRDefault="00E836FB">
            <w:pPr>
              <w:rPr>
                <w:rFonts w:ascii="宋体"/>
              </w:rPr>
            </w:pPr>
          </w:p>
        </w:tc>
        <w:tc>
          <w:tcPr>
            <w:tcW w:w="1092" w:type="pct"/>
            <w:shd w:val="clear" w:color="auto" w:fill="auto"/>
            <w:vAlign w:val="bottom"/>
          </w:tcPr>
          <w:p w14:paraId="5F2D273B" w14:textId="77777777" w:rsidR="00E836FB" w:rsidRDefault="00E836FB">
            <w:pPr>
              <w:rPr>
                <w:rFonts w:ascii="宋体"/>
              </w:rPr>
            </w:pPr>
          </w:p>
        </w:tc>
        <w:tc>
          <w:tcPr>
            <w:tcW w:w="5" w:type="pct"/>
            <w:shd w:val="clear" w:color="auto" w:fill="auto"/>
            <w:vAlign w:val="bottom"/>
          </w:tcPr>
          <w:p w14:paraId="5F2D273C" w14:textId="77777777" w:rsidR="00E836FB" w:rsidRDefault="00E836FB">
            <w:pPr>
              <w:rPr>
                <w:rFonts w:ascii="宋体"/>
              </w:rPr>
            </w:pPr>
          </w:p>
        </w:tc>
        <w:tc>
          <w:tcPr>
            <w:tcW w:w="5" w:type="pct"/>
            <w:shd w:val="clear" w:color="auto" w:fill="auto"/>
            <w:vAlign w:val="bottom"/>
          </w:tcPr>
          <w:p w14:paraId="5F2D273D" w14:textId="77777777" w:rsidR="00E836FB" w:rsidRDefault="00E836FB">
            <w:pPr>
              <w:rPr>
                <w:rFonts w:ascii="宋体"/>
              </w:rPr>
            </w:pPr>
          </w:p>
        </w:tc>
        <w:tc>
          <w:tcPr>
            <w:tcW w:w="68" w:type="pct"/>
            <w:shd w:val="clear" w:color="auto" w:fill="auto"/>
            <w:vAlign w:val="bottom"/>
          </w:tcPr>
          <w:p w14:paraId="5F2D273E" w14:textId="77777777" w:rsidR="00E836FB" w:rsidRDefault="00E836FB">
            <w:pPr>
              <w:rPr>
                <w:rFonts w:ascii="宋体"/>
              </w:rPr>
            </w:pPr>
          </w:p>
        </w:tc>
        <w:tc>
          <w:tcPr>
            <w:tcW w:w="5" w:type="pct"/>
            <w:shd w:val="clear" w:color="auto" w:fill="auto"/>
            <w:vAlign w:val="bottom"/>
          </w:tcPr>
          <w:p w14:paraId="5F2D273F" w14:textId="77777777" w:rsidR="00E836FB" w:rsidRDefault="00E836FB">
            <w:pPr>
              <w:rPr>
                <w:rFonts w:ascii="宋体"/>
              </w:rPr>
            </w:pPr>
          </w:p>
        </w:tc>
        <w:tc>
          <w:tcPr>
            <w:tcW w:w="50" w:type="pct"/>
            <w:shd w:val="clear" w:color="auto" w:fill="auto"/>
            <w:vAlign w:val="bottom"/>
          </w:tcPr>
          <w:p w14:paraId="5F2D2740" w14:textId="77777777" w:rsidR="00E836FB" w:rsidRDefault="00E836FB">
            <w:pPr>
              <w:rPr>
                <w:rFonts w:ascii="宋体"/>
              </w:rPr>
            </w:pPr>
          </w:p>
        </w:tc>
        <w:tc>
          <w:tcPr>
            <w:tcW w:w="998" w:type="pct"/>
            <w:shd w:val="clear" w:color="auto" w:fill="auto"/>
            <w:vAlign w:val="bottom"/>
          </w:tcPr>
          <w:p w14:paraId="5F2D2741" w14:textId="77777777" w:rsidR="00E836FB" w:rsidRDefault="00E836FB">
            <w:pPr>
              <w:rPr>
                <w:rFonts w:ascii="宋体"/>
              </w:rPr>
            </w:pPr>
          </w:p>
        </w:tc>
        <w:tc>
          <w:tcPr>
            <w:tcW w:w="5" w:type="pct"/>
            <w:shd w:val="clear" w:color="auto" w:fill="auto"/>
            <w:vAlign w:val="bottom"/>
          </w:tcPr>
          <w:p w14:paraId="5F2D2742" w14:textId="77777777" w:rsidR="00E836FB" w:rsidRDefault="00E836FB">
            <w:pPr>
              <w:rPr>
                <w:rFonts w:ascii="宋体"/>
              </w:rPr>
            </w:pPr>
          </w:p>
        </w:tc>
      </w:tr>
      <w:tr w:rsidR="00E836FB" w14:paraId="5F2D274B" w14:textId="77777777">
        <w:tc>
          <w:tcPr>
            <w:tcW w:w="0" w:type="auto"/>
            <w:gridSpan w:val="3"/>
            <w:shd w:val="clear" w:color="auto" w:fill="auto"/>
            <w:tcMar>
              <w:top w:w="40" w:type="dxa"/>
              <w:left w:w="20" w:type="dxa"/>
              <w:bottom w:w="40" w:type="dxa"/>
              <w:right w:w="20" w:type="dxa"/>
            </w:tcMar>
            <w:vAlign w:val="bottom"/>
          </w:tcPr>
          <w:p w14:paraId="5F2D2744"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F2D2745" w14:textId="77777777" w:rsidR="00E836FB" w:rsidRDefault="00994958">
            <w:pPr>
              <w:jc w:val="center"/>
              <w:textAlignment w:val="bottom"/>
            </w:pPr>
            <w:r>
              <w:rPr>
                <w:rFonts w:ascii="Arial" w:eastAsia="宋体" w:hAnsi="Arial" w:cs="Arial"/>
                <w:b/>
                <w:bCs/>
                <w:color w:val="000000"/>
                <w:sz w:val="15"/>
                <w:szCs w:val="15"/>
              </w:rPr>
              <w:t>Investment</w:t>
            </w:r>
          </w:p>
          <w:p w14:paraId="5F2D2746" w14:textId="77777777" w:rsidR="00E836FB" w:rsidRDefault="00994958">
            <w:pPr>
              <w:jc w:val="center"/>
              <w:textAlignment w:val="bottom"/>
            </w:pPr>
            <w:r>
              <w:rPr>
                <w:rFonts w:ascii="Arial" w:eastAsia="宋体" w:hAnsi="Arial" w:cs="Arial"/>
                <w:b/>
                <w:bCs/>
                <w:color w:val="000000"/>
                <w:sz w:val="15"/>
                <w:szCs w:val="15"/>
              </w:rPr>
              <w:t>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D274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748" w14:textId="77777777" w:rsidR="00E836FB" w:rsidRDefault="00994958">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5F2D274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74A" w14:textId="77777777" w:rsidR="00E836FB" w:rsidRDefault="00994958">
            <w:pPr>
              <w:jc w:val="center"/>
              <w:textAlignment w:val="bottom"/>
            </w:pPr>
            <w:r>
              <w:rPr>
                <w:rFonts w:ascii="Arial" w:eastAsia="宋体" w:hAnsi="Arial" w:cs="Arial"/>
                <w:b/>
                <w:bCs/>
                <w:color w:val="000000"/>
                <w:sz w:val="15"/>
                <w:szCs w:val="15"/>
              </w:rPr>
              <w:t>Total</w:t>
            </w:r>
          </w:p>
        </w:tc>
      </w:tr>
      <w:tr w:rsidR="00E836FB" w14:paraId="5F2D2752" w14:textId="77777777">
        <w:tc>
          <w:tcPr>
            <w:tcW w:w="0" w:type="auto"/>
            <w:gridSpan w:val="3"/>
            <w:shd w:val="clear" w:color="auto" w:fill="auto"/>
            <w:tcMar>
              <w:top w:w="40" w:type="dxa"/>
              <w:left w:w="20" w:type="dxa"/>
              <w:bottom w:w="40" w:type="dxa"/>
              <w:right w:w="20" w:type="dxa"/>
            </w:tcMar>
            <w:vAlign w:val="bottom"/>
          </w:tcPr>
          <w:p w14:paraId="5F2D274C" w14:textId="77777777" w:rsidR="00E836FB" w:rsidRDefault="00994958">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74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74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74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75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751" w14:textId="77777777" w:rsidR="00E836FB" w:rsidRDefault="00E836FB">
            <w:pPr>
              <w:rPr>
                <w:rFonts w:ascii="宋体"/>
              </w:rPr>
            </w:pPr>
          </w:p>
        </w:tc>
      </w:tr>
      <w:tr w:rsidR="00E836FB" w14:paraId="5F2D2759" w14:textId="77777777">
        <w:trPr>
          <w:hidden/>
        </w:trPr>
        <w:tc>
          <w:tcPr>
            <w:tcW w:w="0" w:type="auto"/>
            <w:gridSpan w:val="3"/>
            <w:shd w:val="clear" w:color="auto" w:fill="auto"/>
            <w:vAlign w:val="bottom"/>
          </w:tcPr>
          <w:p w14:paraId="5F2D2753" w14:textId="77777777" w:rsidR="00E836FB" w:rsidRDefault="00E836FB">
            <w:pPr>
              <w:rPr>
                <w:rFonts w:ascii="宋体"/>
                <w:vanish/>
              </w:rPr>
            </w:pPr>
          </w:p>
        </w:tc>
        <w:tc>
          <w:tcPr>
            <w:tcW w:w="0" w:type="auto"/>
            <w:gridSpan w:val="3"/>
            <w:shd w:val="clear" w:color="auto" w:fill="auto"/>
            <w:vAlign w:val="bottom"/>
          </w:tcPr>
          <w:p w14:paraId="5F2D2754" w14:textId="77777777" w:rsidR="00E836FB" w:rsidRDefault="00E836FB">
            <w:pPr>
              <w:rPr>
                <w:rFonts w:ascii="宋体"/>
                <w:vanish/>
              </w:rPr>
            </w:pPr>
          </w:p>
        </w:tc>
        <w:tc>
          <w:tcPr>
            <w:tcW w:w="0" w:type="auto"/>
            <w:gridSpan w:val="3"/>
            <w:shd w:val="clear" w:color="auto" w:fill="auto"/>
            <w:vAlign w:val="bottom"/>
          </w:tcPr>
          <w:p w14:paraId="5F2D2755" w14:textId="77777777" w:rsidR="00E836FB" w:rsidRDefault="00E836FB">
            <w:pPr>
              <w:rPr>
                <w:rFonts w:ascii="宋体"/>
                <w:vanish/>
              </w:rPr>
            </w:pPr>
          </w:p>
        </w:tc>
        <w:tc>
          <w:tcPr>
            <w:tcW w:w="0" w:type="auto"/>
            <w:gridSpan w:val="3"/>
            <w:shd w:val="clear" w:color="auto" w:fill="auto"/>
            <w:vAlign w:val="bottom"/>
          </w:tcPr>
          <w:p w14:paraId="5F2D2756" w14:textId="77777777" w:rsidR="00E836FB" w:rsidRDefault="00E836FB">
            <w:pPr>
              <w:rPr>
                <w:rFonts w:ascii="宋体"/>
                <w:vanish/>
              </w:rPr>
            </w:pPr>
          </w:p>
        </w:tc>
        <w:tc>
          <w:tcPr>
            <w:tcW w:w="0" w:type="auto"/>
            <w:gridSpan w:val="3"/>
            <w:shd w:val="clear" w:color="auto" w:fill="auto"/>
            <w:vAlign w:val="bottom"/>
          </w:tcPr>
          <w:p w14:paraId="5F2D2757" w14:textId="77777777" w:rsidR="00E836FB" w:rsidRDefault="00E836FB">
            <w:pPr>
              <w:rPr>
                <w:rFonts w:ascii="宋体"/>
                <w:vanish/>
              </w:rPr>
            </w:pPr>
          </w:p>
        </w:tc>
        <w:tc>
          <w:tcPr>
            <w:tcW w:w="0" w:type="auto"/>
            <w:gridSpan w:val="3"/>
            <w:shd w:val="clear" w:color="auto" w:fill="auto"/>
            <w:vAlign w:val="bottom"/>
          </w:tcPr>
          <w:p w14:paraId="5F2D2758" w14:textId="77777777" w:rsidR="00E836FB" w:rsidRDefault="00E836FB">
            <w:pPr>
              <w:rPr>
                <w:rFonts w:ascii="宋体"/>
                <w:vanish/>
              </w:rPr>
            </w:pPr>
          </w:p>
        </w:tc>
      </w:tr>
      <w:tr w:rsidR="00E836FB" w14:paraId="5F2D2760" w14:textId="77777777">
        <w:trPr>
          <w:hidden/>
        </w:trPr>
        <w:tc>
          <w:tcPr>
            <w:tcW w:w="0" w:type="auto"/>
            <w:gridSpan w:val="3"/>
            <w:shd w:val="clear" w:color="auto" w:fill="auto"/>
            <w:vAlign w:val="bottom"/>
          </w:tcPr>
          <w:p w14:paraId="5F2D275A" w14:textId="77777777" w:rsidR="00E836FB" w:rsidRDefault="00E836FB">
            <w:pPr>
              <w:rPr>
                <w:rFonts w:ascii="宋体"/>
                <w:vanish/>
              </w:rPr>
            </w:pPr>
          </w:p>
        </w:tc>
        <w:tc>
          <w:tcPr>
            <w:tcW w:w="0" w:type="auto"/>
            <w:gridSpan w:val="3"/>
            <w:shd w:val="clear" w:color="auto" w:fill="auto"/>
            <w:vAlign w:val="bottom"/>
          </w:tcPr>
          <w:p w14:paraId="5F2D275B" w14:textId="77777777" w:rsidR="00E836FB" w:rsidRDefault="00E836FB">
            <w:pPr>
              <w:rPr>
                <w:rFonts w:ascii="宋体"/>
                <w:vanish/>
              </w:rPr>
            </w:pPr>
          </w:p>
        </w:tc>
        <w:tc>
          <w:tcPr>
            <w:tcW w:w="0" w:type="auto"/>
            <w:gridSpan w:val="3"/>
            <w:shd w:val="clear" w:color="auto" w:fill="auto"/>
            <w:vAlign w:val="bottom"/>
          </w:tcPr>
          <w:p w14:paraId="5F2D275C" w14:textId="77777777" w:rsidR="00E836FB" w:rsidRDefault="00E836FB">
            <w:pPr>
              <w:rPr>
                <w:rFonts w:ascii="宋体"/>
                <w:vanish/>
              </w:rPr>
            </w:pPr>
          </w:p>
        </w:tc>
        <w:tc>
          <w:tcPr>
            <w:tcW w:w="0" w:type="auto"/>
            <w:gridSpan w:val="3"/>
            <w:shd w:val="clear" w:color="auto" w:fill="auto"/>
            <w:vAlign w:val="bottom"/>
          </w:tcPr>
          <w:p w14:paraId="5F2D275D" w14:textId="77777777" w:rsidR="00E836FB" w:rsidRDefault="00E836FB">
            <w:pPr>
              <w:rPr>
                <w:rFonts w:ascii="宋体"/>
                <w:vanish/>
              </w:rPr>
            </w:pPr>
          </w:p>
        </w:tc>
        <w:tc>
          <w:tcPr>
            <w:tcW w:w="0" w:type="auto"/>
            <w:gridSpan w:val="3"/>
            <w:shd w:val="clear" w:color="auto" w:fill="auto"/>
            <w:vAlign w:val="bottom"/>
          </w:tcPr>
          <w:p w14:paraId="5F2D275E" w14:textId="77777777" w:rsidR="00E836FB" w:rsidRDefault="00E836FB">
            <w:pPr>
              <w:rPr>
                <w:rFonts w:ascii="宋体"/>
                <w:vanish/>
              </w:rPr>
            </w:pPr>
          </w:p>
        </w:tc>
        <w:tc>
          <w:tcPr>
            <w:tcW w:w="0" w:type="auto"/>
            <w:gridSpan w:val="3"/>
            <w:shd w:val="clear" w:color="auto" w:fill="auto"/>
            <w:vAlign w:val="bottom"/>
          </w:tcPr>
          <w:p w14:paraId="5F2D275F" w14:textId="77777777" w:rsidR="00E836FB" w:rsidRDefault="00E836FB">
            <w:pPr>
              <w:rPr>
                <w:rFonts w:ascii="宋体"/>
                <w:vanish/>
              </w:rPr>
            </w:pPr>
          </w:p>
        </w:tc>
      </w:tr>
      <w:tr w:rsidR="00E836FB" w14:paraId="5F2D2767" w14:textId="77777777">
        <w:trPr>
          <w:hidden/>
        </w:trPr>
        <w:tc>
          <w:tcPr>
            <w:tcW w:w="0" w:type="auto"/>
            <w:gridSpan w:val="3"/>
            <w:shd w:val="clear" w:color="auto" w:fill="auto"/>
            <w:vAlign w:val="bottom"/>
          </w:tcPr>
          <w:p w14:paraId="5F2D2761" w14:textId="77777777" w:rsidR="00E836FB" w:rsidRDefault="00E836FB">
            <w:pPr>
              <w:rPr>
                <w:rFonts w:ascii="宋体"/>
                <w:vanish/>
              </w:rPr>
            </w:pPr>
          </w:p>
        </w:tc>
        <w:tc>
          <w:tcPr>
            <w:tcW w:w="0" w:type="auto"/>
            <w:gridSpan w:val="3"/>
            <w:shd w:val="clear" w:color="auto" w:fill="auto"/>
            <w:vAlign w:val="bottom"/>
          </w:tcPr>
          <w:p w14:paraId="5F2D2762" w14:textId="77777777" w:rsidR="00E836FB" w:rsidRDefault="00E836FB">
            <w:pPr>
              <w:rPr>
                <w:rFonts w:ascii="宋体"/>
                <w:vanish/>
              </w:rPr>
            </w:pPr>
          </w:p>
        </w:tc>
        <w:tc>
          <w:tcPr>
            <w:tcW w:w="0" w:type="auto"/>
            <w:gridSpan w:val="3"/>
            <w:shd w:val="clear" w:color="auto" w:fill="auto"/>
            <w:vAlign w:val="bottom"/>
          </w:tcPr>
          <w:p w14:paraId="5F2D2763" w14:textId="77777777" w:rsidR="00E836FB" w:rsidRDefault="00E836FB">
            <w:pPr>
              <w:rPr>
                <w:rFonts w:ascii="宋体"/>
                <w:vanish/>
              </w:rPr>
            </w:pPr>
          </w:p>
        </w:tc>
        <w:tc>
          <w:tcPr>
            <w:tcW w:w="0" w:type="auto"/>
            <w:gridSpan w:val="3"/>
            <w:shd w:val="clear" w:color="auto" w:fill="auto"/>
            <w:vAlign w:val="bottom"/>
          </w:tcPr>
          <w:p w14:paraId="5F2D2764" w14:textId="77777777" w:rsidR="00E836FB" w:rsidRDefault="00E836FB">
            <w:pPr>
              <w:rPr>
                <w:rFonts w:ascii="宋体"/>
                <w:vanish/>
              </w:rPr>
            </w:pPr>
          </w:p>
        </w:tc>
        <w:tc>
          <w:tcPr>
            <w:tcW w:w="0" w:type="auto"/>
            <w:gridSpan w:val="3"/>
            <w:shd w:val="clear" w:color="auto" w:fill="auto"/>
            <w:vAlign w:val="bottom"/>
          </w:tcPr>
          <w:p w14:paraId="5F2D2765" w14:textId="77777777" w:rsidR="00E836FB" w:rsidRDefault="00E836FB">
            <w:pPr>
              <w:rPr>
                <w:rFonts w:ascii="宋体"/>
                <w:vanish/>
              </w:rPr>
            </w:pPr>
          </w:p>
        </w:tc>
        <w:tc>
          <w:tcPr>
            <w:tcW w:w="0" w:type="auto"/>
            <w:gridSpan w:val="3"/>
            <w:shd w:val="clear" w:color="auto" w:fill="auto"/>
            <w:vAlign w:val="bottom"/>
          </w:tcPr>
          <w:p w14:paraId="5F2D2766" w14:textId="77777777" w:rsidR="00E836FB" w:rsidRDefault="00E836FB">
            <w:pPr>
              <w:rPr>
                <w:rFonts w:ascii="宋体"/>
                <w:vanish/>
              </w:rPr>
            </w:pPr>
          </w:p>
        </w:tc>
      </w:tr>
      <w:tr w:rsidR="00E836FB" w14:paraId="5F2D276E" w14:textId="77777777">
        <w:trPr>
          <w:hidden/>
        </w:trPr>
        <w:tc>
          <w:tcPr>
            <w:tcW w:w="0" w:type="auto"/>
            <w:gridSpan w:val="3"/>
            <w:shd w:val="clear" w:color="auto" w:fill="auto"/>
            <w:vAlign w:val="bottom"/>
          </w:tcPr>
          <w:p w14:paraId="5F2D2768" w14:textId="77777777" w:rsidR="00E836FB" w:rsidRDefault="00E836FB">
            <w:pPr>
              <w:rPr>
                <w:rFonts w:ascii="宋体"/>
                <w:vanish/>
              </w:rPr>
            </w:pPr>
          </w:p>
        </w:tc>
        <w:tc>
          <w:tcPr>
            <w:tcW w:w="0" w:type="auto"/>
            <w:gridSpan w:val="3"/>
            <w:shd w:val="clear" w:color="auto" w:fill="auto"/>
            <w:vAlign w:val="bottom"/>
          </w:tcPr>
          <w:p w14:paraId="5F2D2769" w14:textId="77777777" w:rsidR="00E836FB" w:rsidRDefault="00E836FB">
            <w:pPr>
              <w:rPr>
                <w:rFonts w:ascii="宋体"/>
                <w:vanish/>
              </w:rPr>
            </w:pPr>
          </w:p>
        </w:tc>
        <w:tc>
          <w:tcPr>
            <w:tcW w:w="0" w:type="auto"/>
            <w:gridSpan w:val="3"/>
            <w:shd w:val="clear" w:color="auto" w:fill="auto"/>
            <w:vAlign w:val="bottom"/>
          </w:tcPr>
          <w:p w14:paraId="5F2D276A" w14:textId="77777777" w:rsidR="00E836FB" w:rsidRDefault="00E836FB">
            <w:pPr>
              <w:rPr>
                <w:rFonts w:ascii="宋体"/>
                <w:vanish/>
              </w:rPr>
            </w:pPr>
          </w:p>
        </w:tc>
        <w:tc>
          <w:tcPr>
            <w:tcW w:w="0" w:type="auto"/>
            <w:gridSpan w:val="3"/>
            <w:shd w:val="clear" w:color="auto" w:fill="auto"/>
            <w:vAlign w:val="bottom"/>
          </w:tcPr>
          <w:p w14:paraId="5F2D276B" w14:textId="77777777" w:rsidR="00E836FB" w:rsidRDefault="00E836FB">
            <w:pPr>
              <w:rPr>
                <w:rFonts w:ascii="宋体"/>
                <w:vanish/>
              </w:rPr>
            </w:pPr>
          </w:p>
        </w:tc>
        <w:tc>
          <w:tcPr>
            <w:tcW w:w="0" w:type="auto"/>
            <w:gridSpan w:val="3"/>
            <w:shd w:val="clear" w:color="auto" w:fill="auto"/>
            <w:vAlign w:val="bottom"/>
          </w:tcPr>
          <w:p w14:paraId="5F2D276C" w14:textId="77777777" w:rsidR="00E836FB" w:rsidRDefault="00E836FB">
            <w:pPr>
              <w:rPr>
                <w:rFonts w:ascii="宋体"/>
                <w:vanish/>
              </w:rPr>
            </w:pPr>
          </w:p>
        </w:tc>
        <w:tc>
          <w:tcPr>
            <w:tcW w:w="0" w:type="auto"/>
            <w:gridSpan w:val="3"/>
            <w:shd w:val="clear" w:color="auto" w:fill="auto"/>
            <w:vAlign w:val="bottom"/>
          </w:tcPr>
          <w:p w14:paraId="5F2D276D" w14:textId="77777777" w:rsidR="00E836FB" w:rsidRDefault="00E836FB">
            <w:pPr>
              <w:rPr>
                <w:rFonts w:ascii="宋体"/>
                <w:vanish/>
              </w:rPr>
            </w:pPr>
          </w:p>
        </w:tc>
      </w:tr>
      <w:tr w:rsidR="00E836FB" w14:paraId="5F2D2775" w14:textId="77777777">
        <w:trPr>
          <w:hidden/>
        </w:trPr>
        <w:tc>
          <w:tcPr>
            <w:tcW w:w="0" w:type="auto"/>
            <w:gridSpan w:val="3"/>
            <w:shd w:val="clear" w:color="auto" w:fill="auto"/>
            <w:vAlign w:val="bottom"/>
          </w:tcPr>
          <w:p w14:paraId="5F2D276F" w14:textId="77777777" w:rsidR="00E836FB" w:rsidRDefault="00E836FB">
            <w:pPr>
              <w:rPr>
                <w:rFonts w:ascii="宋体"/>
                <w:vanish/>
              </w:rPr>
            </w:pPr>
          </w:p>
        </w:tc>
        <w:tc>
          <w:tcPr>
            <w:tcW w:w="0" w:type="auto"/>
            <w:gridSpan w:val="3"/>
            <w:shd w:val="clear" w:color="auto" w:fill="auto"/>
            <w:vAlign w:val="bottom"/>
          </w:tcPr>
          <w:p w14:paraId="5F2D2770" w14:textId="77777777" w:rsidR="00E836FB" w:rsidRDefault="00E836FB">
            <w:pPr>
              <w:rPr>
                <w:rFonts w:ascii="宋体"/>
                <w:vanish/>
              </w:rPr>
            </w:pPr>
          </w:p>
        </w:tc>
        <w:tc>
          <w:tcPr>
            <w:tcW w:w="0" w:type="auto"/>
            <w:gridSpan w:val="3"/>
            <w:shd w:val="clear" w:color="auto" w:fill="auto"/>
            <w:vAlign w:val="bottom"/>
          </w:tcPr>
          <w:p w14:paraId="5F2D2771" w14:textId="77777777" w:rsidR="00E836FB" w:rsidRDefault="00E836FB">
            <w:pPr>
              <w:rPr>
                <w:rFonts w:ascii="宋体"/>
                <w:vanish/>
              </w:rPr>
            </w:pPr>
          </w:p>
        </w:tc>
        <w:tc>
          <w:tcPr>
            <w:tcW w:w="0" w:type="auto"/>
            <w:gridSpan w:val="3"/>
            <w:shd w:val="clear" w:color="auto" w:fill="auto"/>
            <w:vAlign w:val="bottom"/>
          </w:tcPr>
          <w:p w14:paraId="5F2D2772" w14:textId="77777777" w:rsidR="00E836FB" w:rsidRDefault="00E836FB">
            <w:pPr>
              <w:rPr>
                <w:rFonts w:ascii="宋体"/>
                <w:vanish/>
              </w:rPr>
            </w:pPr>
          </w:p>
        </w:tc>
        <w:tc>
          <w:tcPr>
            <w:tcW w:w="0" w:type="auto"/>
            <w:gridSpan w:val="3"/>
            <w:shd w:val="clear" w:color="auto" w:fill="auto"/>
            <w:vAlign w:val="bottom"/>
          </w:tcPr>
          <w:p w14:paraId="5F2D2773" w14:textId="77777777" w:rsidR="00E836FB" w:rsidRDefault="00E836FB">
            <w:pPr>
              <w:rPr>
                <w:rFonts w:ascii="宋体"/>
                <w:vanish/>
              </w:rPr>
            </w:pPr>
          </w:p>
        </w:tc>
        <w:tc>
          <w:tcPr>
            <w:tcW w:w="0" w:type="auto"/>
            <w:gridSpan w:val="3"/>
            <w:shd w:val="clear" w:color="auto" w:fill="auto"/>
            <w:vAlign w:val="bottom"/>
          </w:tcPr>
          <w:p w14:paraId="5F2D2774" w14:textId="77777777" w:rsidR="00E836FB" w:rsidRDefault="00E836FB">
            <w:pPr>
              <w:rPr>
                <w:rFonts w:ascii="宋体"/>
                <w:vanish/>
              </w:rPr>
            </w:pPr>
          </w:p>
        </w:tc>
      </w:tr>
      <w:tr w:rsidR="00E836FB" w14:paraId="5F2D2782" w14:textId="77777777">
        <w:tc>
          <w:tcPr>
            <w:tcW w:w="0" w:type="auto"/>
            <w:gridSpan w:val="3"/>
            <w:shd w:val="clear" w:color="auto" w:fill="CCEEFF"/>
            <w:tcMar>
              <w:top w:w="40" w:type="dxa"/>
              <w:left w:w="20" w:type="dxa"/>
              <w:bottom w:w="40" w:type="dxa"/>
              <w:right w:w="20" w:type="dxa"/>
            </w:tcMar>
            <w:vAlign w:val="bottom"/>
          </w:tcPr>
          <w:p w14:paraId="5F2D2776" w14:textId="77777777" w:rsidR="00E836FB" w:rsidRDefault="00994958">
            <w:pPr>
              <w:textAlignment w:val="bottom"/>
            </w:pPr>
            <w:r>
              <w:rPr>
                <w:rFonts w:ascii="Arial" w:eastAsia="宋体" w:hAnsi="Arial" w:cs="Arial"/>
                <w:b/>
                <w:bCs/>
                <w:color w:val="000000"/>
                <w:sz w:val="15"/>
                <w:szCs w:val="15"/>
              </w:rPr>
              <w:t>Ending balance December 31, 2019</w:t>
            </w:r>
          </w:p>
        </w:tc>
        <w:tc>
          <w:tcPr>
            <w:tcW w:w="0" w:type="auto"/>
            <w:shd w:val="clear" w:color="auto" w:fill="CCEEFF"/>
            <w:tcMar>
              <w:top w:w="40" w:type="dxa"/>
              <w:left w:w="20" w:type="dxa"/>
              <w:bottom w:w="40" w:type="dxa"/>
              <w:right w:w="0" w:type="dxa"/>
            </w:tcMar>
            <w:vAlign w:val="bottom"/>
          </w:tcPr>
          <w:p w14:paraId="5F2D2777"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778" w14:textId="77777777" w:rsidR="00E836FB" w:rsidRDefault="00994958">
            <w:pPr>
              <w:jc w:val="right"/>
              <w:textAlignment w:val="bottom"/>
            </w:pPr>
            <w:r>
              <w:rPr>
                <w:rFonts w:ascii="Arial" w:eastAsia="宋体" w:hAnsi="Arial" w:cs="Arial"/>
                <w:color w:val="000000"/>
                <w:sz w:val="15"/>
                <w:szCs w:val="15"/>
              </w:rPr>
              <w:t>1,908 </w:t>
            </w:r>
          </w:p>
        </w:tc>
        <w:tc>
          <w:tcPr>
            <w:tcW w:w="0" w:type="auto"/>
            <w:shd w:val="clear" w:color="auto" w:fill="CCEEFF"/>
            <w:tcMar>
              <w:top w:w="40" w:type="dxa"/>
              <w:left w:w="0" w:type="dxa"/>
              <w:bottom w:w="40" w:type="dxa"/>
              <w:right w:w="20" w:type="dxa"/>
            </w:tcMar>
            <w:vAlign w:val="bottom"/>
          </w:tcPr>
          <w:p w14:paraId="5F2D27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7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77B"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77C" w14:textId="77777777" w:rsidR="00E836FB" w:rsidRDefault="00994958">
            <w:pPr>
              <w:jc w:val="right"/>
              <w:textAlignment w:val="bottom"/>
            </w:pPr>
            <w:r>
              <w:rPr>
                <w:rFonts w:ascii="Arial" w:eastAsia="宋体" w:hAnsi="Arial" w:cs="Arial"/>
                <w:color w:val="000000"/>
                <w:sz w:val="15"/>
                <w:szCs w:val="15"/>
              </w:rPr>
              <w:t>122 </w:t>
            </w:r>
          </w:p>
        </w:tc>
        <w:tc>
          <w:tcPr>
            <w:tcW w:w="0" w:type="auto"/>
            <w:shd w:val="clear" w:color="auto" w:fill="CCEEFF"/>
            <w:tcMar>
              <w:top w:w="40" w:type="dxa"/>
              <w:left w:w="0" w:type="dxa"/>
              <w:bottom w:w="40" w:type="dxa"/>
              <w:right w:w="20" w:type="dxa"/>
            </w:tcMar>
            <w:vAlign w:val="bottom"/>
          </w:tcPr>
          <w:p w14:paraId="5F2D277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7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77F"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780" w14:textId="77777777" w:rsidR="00E836FB" w:rsidRDefault="00994958">
            <w:pPr>
              <w:jc w:val="right"/>
              <w:textAlignment w:val="bottom"/>
            </w:pPr>
            <w:r>
              <w:rPr>
                <w:rFonts w:ascii="Arial" w:eastAsia="宋体" w:hAnsi="Arial" w:cs="Arial"/>
                <w:color w:val="000000"/>
                <w:sz w:val="15"/>
                <w:szCs w:val="15"/>
              </w:rPr>
              <w:t>2,030 </w:t>
            </w:r>
          </w:p>
        </w:tc>
        <w:tc>
          <w:tcPr>
            <w:tcW w:w="0" w:type="auto"/>
            <w:shd w:val="clear" w:color="auto" w:fill="CCEEFF"/>
            <w:tcMar>
              <w:top w:w="40" w:type="dxa"/>
              <w:left w:w="0" w:type="dxa"/>
              <w:bottom w:w="40" w:type="dxa"/>
              <w:right w:w="20" w:type="dxa"/>
            </w:tcMar>
            <w:vAlign w:val="bottom"/>
          </w:tcPr>
          <w:p w14:paraId="5F2D2781" w14:textId="77777777" w:rsidR="00E836FB" w:rsidRDefault="00E836FB">
            <w:pPr>
              <w:jc w:val="right"/>
              <w:rPr>
                <w:rFonts w:ascii="宋体"/>
              </w:rPr>
            </w:pPr>
          </w:p>
        </w:tc>
      </w:tr>
      <w:tr w:rsidR="00E836FB" w14:paraId="5F2D2789" w14:textId="77777777">
        <w:trPr>
          <w:hidden/>
        </w:trPr>
        <w:tc>
          <w:tcPr>
            <w:tcW w:w="0" w:type="auto"/>
            <w:gridSpan w:val="3"/>
            <w:shd w:val="clear" w:color="auto" w:fill="auto"/>
            <w:vAlign w:val="bottom"/>
          </w:tcPr>
          <w:p w14:paraId="5F2D2783" w14:textId="77777777" w:rsidR="00E836FB" w:rsidRDefault="00E836FB">
            <w:pPr>
              <w:rPr>
                <w:rFonts w:ascii="宋体"/>
                <w:vanish/>
              </w:rPr>
            </w:pPr>
          </w:p>
        </w:tc>
        <w:tc>
          <w:tcPr>
            <w:tcW w:w="0" w:type="auto"/>
            <w:gridSpan w:val="3"/>
            <w:shd w:val="clear" w:color="auto" w:fill="auto"/>
            <w:vAlign w:val="bottom"/>
          </w:tcPr>
          <w:p w14:paraId="5F2D2784" w14:textId="77777777" w:rsidR="00E836FB" w:rsidRDefault="00E836FB">
            <w:pPr>
              <w:rPr>
                <w:rFonts w:ascii="宋体"/>
                <w:vanish/>
              </w:rPr>
            </w:pPr>
          </w:p>
        </w:tc>
        <w:tc>
          <w:tcPr>
            <w:tcW w:w="0" w:type="auto"/>
            <w:gridSpan w:val="3"/>
            <w:shd w:val="clear" w:color="auto" w:fill="auto"/>
            <w:vAlign w:val="bottom"/>
          </w:tcPr>
          <w:p w14:paraId="5F2D2785" w14:textId="77777777" w:rsidR="00E836FB" w:rsidRDefault="00E836FB">
            <w:pPr>
              <w:rPr>
                <w:rFonts w:ascii="宋体"/>
                <w:vanish/>
              </w:rPr>
            </w:pPr>
          </w:p>
        </w:tc>
        <w:tc>
          <w:tcPr>
            <w:tcW w:w="0" w:type="auto"/>
            <w:gridSpan w:val="3"/>
            <w:shd w:val="clear" w:color="auto" w:fill="auto"/>
            <w:vAlign w:val="bottom"/>
          </w:tcPr>
          <w:p w14:paraId="5F2D2786" w14:textId="77777777" w:rsidR="00E836FB" w:rsidRDefault="00E836FB">
            <w:pPr>
              <w:rPr>
                <w:rFonts w:ascii="宋体"/>
                <w:vanish/>
              </w:rPr>
            </w:pPr>
          </w:p>
        </w:tc>
        <w:tc>
          <w:tcPr>
            <w:tcW w:w="0" w:type="auto"/>
            <w:gridSpan w:val="3"/>
            <w:shd w:val="clear" w:color="auto" w:fill="auto"/>
            <w:vAlign w:val="bottom"/>
          </w:tcPr>
          <w:p w14:paraId="5F2D2787" w14:textId="77777777" w:rsidR="00E836FB" w:rsidRDefault="00E836FB">
            <w:pPr>
              <w:rPr>
                <w:rFonts w:ascii="宋体"/>
                <w:vanish/>
              </w:rPr>
            </w:pPr>
          </w:p>
        </w:tc>
        <w:tc>
          <w:tcPr>
            <w:tcW w:w="0" w:type="auto"/>
            <w:gridSpan w:val="3"/>
            <w:shd w:val="clear" w:color="auto" w:fill="auto"/>
            <w:vAlign w:val="bottom"/>
          </w:tcPr>
          <w:p w14:paraId="5F2D2788" w14:textId="77777777" w:rsidR="00E836FB" w:rsidRDefault="00E836FB">
            <w:pPr>
              <w:rPr>
                <w:rFonts w:ascii="宋体"/>
                <w:vanish/>
              </w:rPr>
            </w:pPr>
          </w:p>
        </w:tc>
      </w:tr>
      <w:tr w:rsidR="00E836FB" w14:paraId="5F2D2790" w14:textId="77777777">
        <w:trPr>
          <w:hidden/>
        </w:trPr>
        <w:tc>
          <w:tcPr>
            <w:tcW w:w="0" w:type="auto"/>
            <w:gridSpan w:val="3"/>
            <w:shd w:val="clear" w:color="auto" w:fill="auto"/>
            <w:vAlign w:val="bottom"/>
          </w:tcPr>
          <w:p w14:paraId="5F2D278A" w14:textId="77777777" w:rsidR="00E836FB" w:rsidRDefault="00E836FB">
            <w:pPr>
              <w:rPr>
                <w:rFonts w:ascii="宋体"/>
                <w:vanish/>
              </w:rPr>
            </w:pPr>
          </w:p>
        </w:tc>
        <w:tc>
          <w:tcPr>
            <w:tcW w:w="0" w:type="auto"/>
            <w:gridSpan w:val="3"/>
            <w:shd w:val="clear" w:color="auto" w:fill="auto"/>
            <w:vAlign w:val="bottom"/>
          </w:tcPr>
          <w:p w14:paraId="5F2D278B" w14:textId="77777777" w:rsidR="00E836FB" w:rsidRDefault="00E836FB">
            <w:pPr>
              <w:rPr>
                <w:rFonts w:ascii="宋体"/>
                <w:vanish/>
              </w:rPr>
            </w:pPr>
          </w:p>
        </w:tc>
        <w:tc>
          <w:tcPr>
            <w:tcW w:w="0" w:type="auto"/>
            <w:gridSpan w:val="3"/>
            <w:shd w:val="clear" w:color="auto" w:fill="auto"/>
            <w:vAlign w:val="bottom"/>
          </w:tcPr>
          <w:p w14:paraId="5F2D278C" w14:textId="77777777" w:rsidR="00E836FB" w:rsidRDefault="00E836FB">
            <w:pPr>
              <w:rPr>
                <w:rFonts w:ascii="宋体"/>
                <w:vanish/>
              </w:rPr>
            </w:pPr>
          </w:p>
        </w:tc>
        <w:tc>
          <w:tcPr>
            <w:tcW w:w="0" w:type="auto"/>
            <w:gridSpan w:val="3"/>
            <w:shd w:val="clear" w:color="auto" w:fill="auto"/>
            <w:vAlign w:val="bottom"/>
          </w:tcPr>
          <w:p w14:paraId="5F2D278D" w14:textId="77777777" w:rsidR="00E836FB" w:rsidRDefault="00E836FB">
            <w:pPr>
              <w:rPr>
                <w:rFonts w:ascii="宋体"/>
                <w:vanish/>
              </w:rPr>
            </w:pPr>
          </w:p>
        </w:tc>
        <w:tc>
          <w:tcPr>
            <w:tcW w:w="0" w:type="auto"/>
            <w:gridSpan w:val="3"/>
            <w:shd w:val="clear" w:color="auto" w:fill="auto"/>
            <w:vAlign w:val="bottom"/>
          </w:tcPr>
          <w:p w14:paraId="5F2D278E" w14:textId="77777777" w:rsidR="00E836FB" w:rsidRDefault="00E836FB">
            <w:pPr>
              <w:rPr>
                <w:rFonts w:ascii="宋体"/>
                <w:vanish/>
              </w:rPr>
            </w:pPr>
          </w:p>
        </w:tc>
        <w:tc>
          <w:tcPr>
            <w:tcW w:w="0" w:type="auto"/>
            <w:gridSpan w:val="3"/>
            <w:shd w:val="clear" w:color="auto" w:fill="auto"/>
            <w:vAlign w:val="bottom"/>
          </w:tcPr>
          <w:p w14:paraId="5F2D278F" w14:textId="77777777" w:rsidR="00E836FB" w:rsidRDefault="00E836FB">
            <w:pPr>
              <w:rPr>
                <w:rFonts w:ascii="宋体"/>
                <w:vanish/>
              </w:rPr>
            </w:pPr>
          </w:p>
        </w:tc>
      </w:tr>
      <w:tr w:rsidR="00E836FB" w14:paraId="5F2D2797" w14:textId="77777777">
        <w:trPr>
          <w:hidden/>
        </w:trPr>
        <w:tc>
          <w:tcPr>
            <w:tcW w:w="0" w:type="auto"/>
            <w:gridSpan w:val="3"/>
            <w:shd w:val="clear" w:color="auto" w:fill="auto"/>
            <w:vAlign w:val="bottom"/>
          </w:tcPr>
          <w:p w14:paraId="5F2D2791" w14:textId="77777777" w:rsidR="00E836FB" w:rsidRDefault="00E836FB">
            <w:pPr>
              <w:rPr>
                <w:rFonts w:ascii="宋体"/>
                <w:vanish/>
              </w:rPr>
            </w:pPr>
          </w:p>
        </w:tc>
        <w:tc>
          <w:tcPr>
            <w:tcW w:w="0" w:type="auto"/>
            <w:gridSpan w:val="3"/>
            <w:shd w:val="clear" w:color="auto" w:fill="auto"/>
            <w:vAlign w:val="bottom"/>
          </w:tcPr>
          <w:p w14:paraId="5F2D2792" w14:textId="77777777" w:rsidR="00E836FB" w:rsidRDefault="00E836FB">
            <w:pPr>
              <w:rPr>
                <w:rFonts w:ascii="宋体"/>
                <w:vanish/>
              </w:rPr>
            </w:pPr>
          </w:p>
        </w:tc>
        <w:tc>
          <w:tcPr>
            <w:tcW w:w="0" w:type="auto"/>
            <w:gridSpan w:val="3"/>
            <w:shd w:val="clear" w:color="auto" w:fill="auto"/>
            <w:vAlign w:val="bottom"/>
          </w:tcPr>
          <w:p w14:paraId="5F2D2793" w14:textId="77777777" w:rsidR="00E836FB" w:rsidRDefault="00E836FB">
            <w:pPr>
              <w:rPr>
                <w:rFonts w:ascii="宋体"/>
                <w:vanish/>
              </w:rPr>
            </w:pPr>
          </w:p>
        </w:tc>
        <w:tc>
          <w:tcPr>
            <w:tcW w:w="0" w:type="auto"/>
            <w:gridSpan w:val="3"/>
            <w:shd w:val="clear" w:color="auto" w:fill="auto"/>
            <w:vAlign w:val="bottom"/>
          </w:tcPr>
          <w:p w14:paraId="5F2D2794" w14:textId="77777777" w:rsidR="00E836FB" w:rsidRDefault="00E836FB">
            <w:pPr>
              <w:rPr>
                <w:rFonts w:ascii="宋体"/>
                <w:vanish/>
              </w:rPr>
            </w:pPr>
          </w:p>
        </w:tc>
        <w:tc>
          <w:tcPr>
            <w:tcW w:w="0" w:type="auto"/>
            <w:gridSpan w:val="3"/>
            <w:shd w:val="clear" w:color="auto" w:fill="auto"/>
            <w:vAlign w:val="bottom"/>
          </w:tcPr>
          <w:p w14:paraId="5F2D2795" w14:textId="77777777" w:rsidR="00E836FB" w:rsidRDefault="00E836FB">
            <w:pPr>
              <w:rPr>
                <w:rFonts w:ascii="宋体"/>
                <w:vanish/>
              </w:rPr>
            </w:pPr>
          </w:p>
        </w:tc>
        <w:tc>
          <w:tcPr>
            <w:tcW w:w="0" w:type="auto"/>
            <w:gridSpan w:val="3"/>
            <w:shd w:val="clear" w:color="auto" w:fill="auto"/>
            <w:vAlign w:val="bottom"/>
          </w:tcPr>
          <w:p w14:paraId="5F2D2796" w14:textId="77777777" w:rsidR="00E836FB" w:rsidRDefault="00E836FB">
            <w:pPr>
              <w:rPr>
                <w:rFonts w:ascii="宋体"/>
                <w:vanish/>
              </w:rPr>
            </w:pPr>
          </w:p>
        </w:tc>
      </w:tr>
      <w:tr w:rsidR="00E836FB" w14:paraId="5F2D27A1" w14:textId="77777777">
        <w:tc>
          <w:tcPr>
            <w:tcW w:w="0" w:type="auto"/>
            <w:gridSpan w:val="3"/>
            <w:shd w:val="clear" w:color="auto" w:fill="FFFFFF"/>
            <w:tcMar>
              <w:top w:w="40" w:type="dxa"/>
              <w:left w:w="20" w:type="dxa"/>
              <w:bottom w:w="40" w:type="dxa"/>
              <w:right w:w="20" w:type="dxa"/>
            </w:tcMar>
            <w:vAlign w:val="bottom"/>
          </w:tcPr>
          <w:p w14:paraId="5F2D2798" w14:textId="77777777" w:rsidR="00E836FB" w:rsidRDefault="00994958">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5F2D2799" w14:textId="77777777" w:rsidR="00E836FB" w:rsidRDefault="00994958">
            <w:pPr>
              <w:jc w:val="right"/>
              <w:textAlignment w:val="bottom"/>
            </w:pPr>
            <w:r>
              <w:rPr>
                <w:rFonts w:ascii="Arial" w:eastAsia="宋体" w:hAnsi="Arial" w:cs="Arial"/>
                <w:color w:val="000000"/>
                <w:sz w:val="15"/>
                <w:szCs w:val="15"/>
              </w:rPr>
              <w:t>(206)</w:t>
            </w:r>
          </w:p>
        </w:tc>
        <w:tc>
          <w:tcPr>
            <w:tcW w:w="0" w:type="auto"/>
            <w:shd w:val="clear" w:color="auto" w:fill="FFFFFF"/>
            <w:tcMar>
              <w:top w:w="40" w:type="dxa"/>
              <w:left w:w="0" w:type="dxa"/>
              <w:bottom w:w="40" w:type="dxa"/>
              <w:right w:w="20" w:type="dxa"/>
            </w:tcMar>
            <w:vAlign w:val="bottom"/>
          </w:tcPr>
          <w:p w14:paraId="5F2D27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79C" w14:textId="77777777" w:rsidR="00E836FB" w:rsidRDefault="00994958">
            <w:pPr>
              <w:jc w:val="right"/>
              <w:textAlignment w:val="bottom"/>
            </w:pPr>
            <w:r>
              <w:rPr>
                <w:rFonts w:ascii="Arial" w:eastAsia="宋体" w:hAnsi="Arial" w:cs="Arial"/>
                <w:color w:val="000000"/>
                <w:sz w:val="15"/>
                <w:szCs w:val="15"/>
              </w:rPr>
              <w:t>(28)</w:t>
            </w:r>
          </w:p>
        </w:tc>
        <w:tc>
          <w:tcPr>
            <w:tcW w:w="0" w:type="auto"/>
            <w:shd w:val="clear" w:color="auto" w:fill="FFFFFF"/>
            <w:tcMar>
              <w:top w:w="40" w:type="dxa"/>
              <w:left w:w="0" w:type="dxa"/>
              <w:bottom w:w="40" w:type="dxa"/>
              <w:right w:w="20" w:type="dxa"/>
            </w:tcMar>
            <w:vAlign w:val="bottom"/>
          </w:tcPr>
          <w:p w14:paraId="5F2D27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79F" w14:textId="77777777" w:rsidR="00E836FB" w:rsidRDefault="00994958">
            <w:pPr>
              <w:jc w:val="right"/>
              <w:textAlignment w:val="bottom"/>
            </w:pPr>
            <w:r>
              <w:rPr>
                <w:rFonts w:ascii="Arial" w:eastAsia="宋体" w:hAnsi="Arial" w:cs="Arial"/>
                <w:color w:val="000000"/>
                <w:sz w:val="15"/>
                <w:szCs w:val="15"/>
              </w:rPr>
              <w:t>(234)</w:t>
            </w:r>
          </w:p>
        </w:tc>
        <w:tc>
          <w:tcPr>
            <w:tcW w:w="0" w:type="auto"/>
            <w:shd w:val="clear" w:color="auto" w:fill="FFFFFF"/>
            <w:tcMar>
              <w:top w:w="40" w:type="dxa"/>
              <w:left w:w="0" w:type="dxa"/>
              <w:bottom w:w="40" w:type="dxa"/>
              <w:right w:w="20" w:type="dxa"/>
            </w:tcMar>
            <w:vAlign w:val="bottom"/>
          </w:tcPr>
          <w:p w14:paraId="5F2D27A0" w14:textId="77777777" w:rsidR="00E836FB" w:rsidRDefault="00E836FB">
            <w:pPr>
              <w:jc w:val="right"/>
              <w:rPr>
                <w:rFonts w:ascii="宋体"/>
              </w:rPr>
            </w:pPr>
          </w:p>
        </w:tc>
      </w:tr>
      <w:tr w:rsidR="00E836FB" w14:paraId="5F2D27AB" w14:textId="77777777">
        <w:tc>
          <w:tcPr>
            <w:tcW w:w="0" w:type="auto"/>
            <w:gridSpan w:val="3"/>
            <w:shd w:val="clear" w:color="auto" w:fill="CCEEFF"/>
            <w:tcMar>
              <w:top w:w="40" w:type="dxa"/>
              <w:left w:w="20" w:type="dxa"/>
              <w:bottom w:w="40" w:type="dxa"/>
              <w:right w:w="20" w:type="dxa"/>
            </w:tcMar>
            <w:vAlign w:val="bottom"/>
          </w:tcPr>
          <w:p w14:paraId="5F2D27A2" w14:textId="77777777" w:rsidR="00E836FB" w:rsidRDefault="00994958">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5F2D27A3" w14:textId="77777777" w:rsidR="00E836FB" w:rsidRDefault="00994958">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5F2D27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A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A6"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7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A9" w14:textId="77777777" w:rsidR="00E836FB" w:rsidRDefault="00994958">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5F2D27AA" w14:textId="77777777" w:rsidR="00E836FB" w:rsidRDefault="00E836FB">
            <w:pPr>
              <w:jc w:val="right"/>
              <w:rPr>
                <w:rFonts w:ascii="宋体"/>
              </w:rPr>
            </w:pPr>
          </w:p>
        </w:tc>
      </w:tr>
      <w:tr w:rsidR="00E836FB" w14:paraId="5F2D27B5" w14:textId="77777777">
        <w:tc>
          <w:tcPr>
            <w:tcW w:w="0" w:type="auto"/>
            <w:gridSpan w:val="3"/>
            <w:shd w:val="clear" w:color="auto" w:fill="FFFFFF"/>
            <w:tcMar>
              <w:top w:w="40" w:type="dxa"/>
              <w:left w:w="20" w:type="dxa"/>
              <w:bottom w:w="40" w:type="dxa"/>
              <w:right w:w="20" w:type="dxa"/>
            </w:tcMar>
            <w:vAlign w:val="bottom"/>
          </w:tcPr>
          <w:p w14:paraId="5F2D27AC" w14:textId="77777777" w:rsidR="00E836FB" w:rsidRDefault="00994958">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27AD" w14:textId="77777777" w:rsidR="00E836FB" w:rsidRDefault="00994958">
            <w:pPr>
              <w:jc w:val="right"/>
              <w:textAlignment w:val="bottom"/>
            </w:pPr>
            <w:r>
              <w:rPr>
                <w:rFonts w:ascii="Arial" w:eastAsia="宋体" w:hAnsi="Arial" w:cs="Arial"/>
                <w:color w:val="000000"/>
                <w:sz w:val="15"/>
                <w:szCs w:val="15"/>
              </w:rPr>
              <w:t>1,733 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7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A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27B0" w14:textId="77777777" w:rsidR="00E836FB" w:rsidRDefault="00994958">
            <w:pPr>
              <w:jc w:val="right"/>
              <w:textAlignment w:val="bottom"/>
            </w:pPr>
            <w:r>
              <w:rPr>
                <w:rFonts w:ascii="Arial" w:eastAsia="宋体" w:hAnsi="Arial" w:cs="Arial"/>
                <w:color w:val="000000"/>
                <w:sz w:val="15"/>
                <w:szCs w:val="15"/>
              </w:rPr>
              <w:t>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7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B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27B3" w14:textId="77777777" w:rsidR="00E836FB" w:rsidRDefault="00994958">
            <w:pPr>
              <w:jc w:val="right"/>
              <w:textAlignment w:val="bottom"/>
            </w:pPr>
            <w:r>
              <w:rPr>
                <w:rFonts w:ascii="Arial" w:eastAsia="宋体" w:hAnsi="Arial" w:cs="Arial"/>
                <w:color w:val="000000"/>
                <w:sz w:val="15"/>
                <w:szCs w:val="15"/>
              </w:rPr>
              <w:t>1,827 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27B4" w14:textId="77777777" w:rsidR="00E836FB" w:rsidRDefault="00E836FB">
            <w:pPr>
              <w:jc w:val="right"/>
              <w:rPr>
                <w:rFonts w:ascii="宋体"/>
              </w:rPr>
            </w:pPr>
          </w:p>
        </w:tc>
      </w:tr>
      <w:tr w:rsidR="00E836FB" w14:paraId="5F2D27BF" w14:textId="77777777">
        <w:tc>
          <w:tcPr>
            <w:tcW w:w="0" w:type="auto"/>
            <w:gridSpan w:val="3"/>
            <w:shd w:val="clear" w:color="auto" w:fill="CCEEFF"/>
            <w:tcMar>
              <w:top w:w="40" w:type="dxa"/>
              <w:left w:w="20" w:type="dxa"/>
              <w:bottom w:w="40" w:type="dxa"/>
              <w:right w:w="20" w:type="dxa"/>
            </w:tcMar>
            <w:vAlign w:val="bottom"/>
          </w:tcPr>
          <w:p w14:paraId="5F2D27B6" w14:textId="77777777" w:rsidR="00E836FB" w:rsidRDefault="00994958">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D27B7" w14:textId="77777777" w:rsidR="00E836FB" w:rsidRDefault="00994958">
            <w:pPr>
              <w:jc w:val="right"/>
              <w:textAlignment w:val="bottom"/>
            </w:pPr>
            <w:r>
              <w:rPr>
                <w:rFonts w:ascii="Arial" w:eastAsia="宋体" w:hAnsi="Arial" w:cs="Arial"/>
                <w:b/>
                <w:bCs/>
                <w:color w:val="000000"/>
                <w:sz w:val="15"/>
                <w:szCs w:val="15"/>
              </w:rPr>
              <w:t>264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7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B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B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7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B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BD" w14:textId="77777777" w:rsidR="00E836FB" w:rsidRDefault="00994958">
            <w:pPr>
              <w:jc w:val="right"/>
              <w:textAlignment w:val="bottom"/>
            </w:pPr>
            <w:r>
              <w:rPr>
                <w:rFonts w:ascii="Arial" w:eastAsia="宋体" w:hAnsi="Arial" w:cs="Arial"/>
                <w:b/>
                <w:bCs/>
                <w:color w:val="000000"/>
                <w:sz w:val="15"/>
                <w:szCs w:val="15"/>
              </w:rPr>
              <w:t>264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7BE" w14:textId="77777777" w:rsidR="00E836FB" w:rsidRDefault="00E836FB">
            <w:pPr>
              <w:jc w:val="right"/>
              <w:rPr>
                <w:rFonts w:ascii="宋体"/>
              </w:rPr>
            </w:pPr>
          </w:p>
        </w:tc>
      </w:tr>
      <w:tr w:rsidR="00E836FB" w14:paraId="5F2D27C9" w14:textId="77777777">
        <w:tc>
          <w:tcPr>
            <w:tcW w:w="0" w:type="auto"/>
            <w:gridSpan w:val="3"/>
            <w:shd w:val="clear" w:color="auto" w:fill="FFFFFF"/>
            <w:tcMar>
              <w:top w:w="40" w:type="dxa"/>
              <w:left w:w="20" w:type="dxa"/>
              <w:bottom w:w="40" w:type="dxa"/>
              <w:right w:w="20" w:type="dxa"/>
            </w:tcMar>
            <w:vAlign w:val="bottom"/>
          </w:tcPr>
          <w:p w14:paraId="5F2D27C0" w14:textId="77777777" w:rsidR="00E836FB" w:rsidRDefault="00994958">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5F2D27C1" w14:textId="77777777" w:rsidR="00E836FB" w:rsidRDefault="00994958">
            <w:pPr>
              <w:jc w:val="right"/>
              <w:textAlignment w:val="bottom"/>
            </w:pPr>
            <w:r>
              <w:rPr>
                <w:rFonts w:ascii="Arial" w:eastAsia="宋体" w:hAnsi="Arial" w:cs="Arial"/>
                <w:b/>
                <w:bCs/>
                <w:color w:val="000000"/>
                <w:sz w:val="15"/>
                <w:szCs w:val="15"/>
              </w:rPr>
              <w:t>(221)</w:t>
            </w:r>
          </w:p>
        </w:tc>
        <w:tc>
          <w:tcPr>
            <w:tcW w:w="0" w:type="auto"/>
            <w:shd w:val="clear" w:color="auto" w:fill="FFFFFF"/>
            <w:tcMar>
              <w:top w:w="40" w:type="dxa"/>
              <w:left w:w="0" w:type="dxa"/>
              <w:bottom w:w="40" w:type="dxa"/>
              <w:right w:w="20" w:type="dxa"/>
            </w:tcMar>
            <w:vAlign w:val="bottom"/>
          </w:tcPr>
          <w:p w14:paraId="5F2D27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7C4" w14:textId="77777777" w:rsidR="00E836FB" w:rsidRDefault="00994958">
            <w:pPr>
              <w:jc w:val="right"/>
              <w:textAlignment w:val="bottom"/>
            </w:pPr>
            <w:r>
              <w:rPr>
                <w:rFonts w:ascii="Arial" w:eastAsia="宋体" w:hAnsi="Arial" w:cs="Arial"/>
                <w:b/>
                <w:bCs/>
                <w:color w:val="000000"/>
                <w:sz w:val="15"/>
                <w:szCs w:val="15"/>
              </w:rPr>
              <w:t>(24)</w:t>
            </w:r>
          </w:p>
        </w:tc>
        <w:tc>
          <w:tcPr>
            <w:tcW w:w="0" w:type="auto"/>
            <w:shd w:val="clear" w:color="auto" w:fill="FFFFFF"/>
            <w:tcMar>
              <w:top w:w="40" w:type="dxa"/>
              <w:left w:w="0" w:type="dxa"/>
              <w:bottom w:w="40" w:type="dxa"/>
              <w:right w:w="20" w:type="dxa"/>
            </w:tcMar>
            <w:vAlign w:val="bottom"/>
          </w:tcPr>
          <w:p w14:paraId="5F2D27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7C7" w14:textId="77777777" w:rsidR="00E836FB" w:rsidRDefault="00994958">
            <w:pPr>
              <w:jc w:val="right"/>
              <w:textAlignment w:val="bottom"/>
            </w:pPr>
            <w:r>
              <w:rPr>
                <w:rFonts w:ascii="Arial" w:eastAsia="宋体" w:hAnsi="Arial" w:cs="Arial"/>
                <w:b/>
                <w:bCs/>
                <w:color w:val="000000"/>
                <w:sz w:val="15"/>
                <w:szCs w:val="15"/>
              </w:rPr>
              <w:t>(245)</w:t>
            </w:r>
          </w:p>
        </w:tc>
        <w:tc>
          <w:tcPr>
            <w:tcW w:w="0" w:type="auto"/>
            <w:shd w:val="clear" w:color="auto" w:fill="FFFFFF"/>
            <w:tcMar>
              <w:top w:w="40" w:type="dxa"/>
              <w:left w:w="0" w:type="dxa"/>
              <w:bottom w:w="40" w:type="dxa"/>
              <w:right w:w="20" w:type="dxa"/>
            </w:tcMar>
            <w:vAlign w:val="bottom"/>
          </w:tcPr>
          <w:p w14:paraId="5F2D27C8" w14:textId="77777777" w:rsidR="00E836FB" w:rsidRDefault="00E836FB">
            <w:pPr>
              <w:jc w:val="right"/>
              <w:rPr>
                <w:rFonts w:ascii="宋体"/>
              </w:rPr>
            </w:pPr>
          </w:p>
        </w:tc>
      </w:tr>
      <w:tr w:rsidR="00E836FB" w14:paraId="5F2D27D3" w14:textId="77777777">
        <w:tc>
          <w:tcPr>
            <w:tcW w:w="0" w:type="auto"/>
            <w:gridSpan w:val="3"/>
            <w:shd w:val="clear" w:color="auto" w:fill="CCEEFF"/>
            <w:tcMar>
              <w:top w:w="40" w:type="dxa"/>
              <w:left w:w="20" w:type="dxa"/>
              <w:bottom w:w="40" w:type="dxa"/>
              <w:right w:w="20" w:type="dxa"/>
            </w:tcMar>
            <w:vAlign w:val="bottom"/>
          </w:tcPr>
          <w:p w14:paraId="5F2D27CA" w14:textId="77777777" w:rsidR="00E836FB" w:rsidRDefault="00994958">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5F2D27CB" w14:textId="77777777" w:rsidR="00E836FB" w:rsidRDefault="00994958">
            <w:pPr>
              <w:jc w:val="right"/>
              <w:textAlignment w:val="bottom"/>
            </w:pPr>
            <w:r>
              <w:rPr>
                <w:rFonts w:ascii="Arial" w:eastAsia="宋体" w:hAnsi="Arial" w:cs="Arial"/>
                <w:b/>
                <w:bCs/>
                <w:color w:val="000000"/>
                <w:sz w:val="15"/>
                <w:szCs w:val="15"/>
              </w:rPr>
              <w:t>(30)</w:t>
            </w:r>
          </w:p>
        </w:tc>
        <w:tc>
          <w:tcPr>
            <w:tcW w:w="0" w:type="auto"/>
            <w:shd w:val="clear" w:color="auto" w:fill="CCEEFF"/>
            <w:tcMar>
              <w:top w:w="40" w:type="dxa"/>
              <w:left w:w="0" w:type="dxa"/>
              <w:bottom w:w="40" w:type="dxa"/>
              <w:right w:w="20" w:type="dxa"/>
            </w:tcMar>
            <w:vAlign w:val="bottom"/>
          </w:tcPr>
          <w:p w14:paraId="5F2D27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C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7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7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7D1" w14:textId="77777777" w:rsidR="00E836FB" w:rsidRDefault="00994958">
            <w:pPr>
              <w:jc w:val="right"/>
              <w:textAlignment w:val="bottom"/>
            </w:pPr>
            <w:r>
              <w:rPr>
                <w:rFonts w:ascii="Arial" w:eastAsia="宋体" w:hAnsi="Arial" w:cs="Arial"/>
                <w:b/>
                <w:bCs/>
                <w:color w:val="000000"/>
                <w:sz w:val="15"/>
                <w:szCs w:val="15"/>
              </w:rPr>
              <w:t>(30)</w:t>
            </w:r>
          </w:p>
        </w:tc>
        <w:tc>
          <w:tcPr>
            <w:tcW w:w="0" w:type="auto"/>
            <w:shd w:val="clear" w:color="auto" w:fill="CCEEFF"/>
            <w:tcMar>
              <w:top w:w="40" w:type="dxa"/>
              <w:left w:w="0" w:type="dxa"/>
              <w:bottom w:w="40" w:type="dxa"/>
              <w:right w:w="20" w:type="dxa"/>
            </w:tcMar>
            <w:vAlign w:val="bottom"/>
          </w:tcPr>
          <w:p w14:paraId="5F2D27D2" w14:textId="77777777" w:rsidR="00E836FB" w:rsidRDefault="00E836FB">
            <w:pPr>
              <w:jc w:val="right"/>
              <w:rPr>
                <w:rFonts w:ascii="宋体"/>
              </w:rPr>
            </w:pPr>
          </w:p>
        </w:tc>
      </w:tr>
      <w:tr w:rsidR="00E836FB" w14:paraId="5F2D27E0" w14:textId="77777777">
        <w:tc>
          <w:tcPr>
            <w:tcW w:w="0" w:type="auto"/>
            <w:gridSpan w:val="3"/>
            <w:shd w:val="clear" w:color="auto" w:fill="FFFFFF"/>
            <w:tcMar>
              <w:top w:w="40" w:type="dxa"/>
              <w:left w:w="20" w:type="dxa"/>
              <w:bottom w:w="40" w:type="dxa"/>
              <w:right w:w="20" w:type="dxa"/>
            </w:tcMar>
            <w:vAlign w:val="bottom"/>
          </w:tcPr>
          <w:p w14:paraId="5F2D27D4" w14:textId="77777777" w:rsidR="00E836FB" w:rsidRDefault="00994958">
            <w:pPr>
              <w:textAlignment w:val="bottom"/>
            </w:pPr>
            <w:r>
              <w:rPr>
                <w:rFonts w:ascii="Arial" w:eastAsia="宋体" w:hAnsi="Arial" w:cs="Arial"/>
                <w:b/>
                <w:bCs/>
                <w:color w:val="000000"/>
                <w:sz w:val="15"/>
                <w:szCs w:val="15"/>
              </w:rPr>
              <w:t>Ending balance December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27D5"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27D6" w14:textId="77777777" w:rsidR="00E836FB" w:rsidRDefault="00994958">
            <w:pPr>
              <w:jc w:val="right"/>
              <w:textAlignment w:val="bottom"/>
            </w:pPr>
            <w:r>
              <w:rPr>
                <w:rFonts w:ascii="Arial" w:eastAsia="宋体" w:hAnsi="Arial" w:cs="Arial"/>
                <w:b/>
                <w:bCs/>
                <w:color w:val="000000"/>
                <w:sz w:val="15"/>
                <w:szCs w:val="15"/>
              </w:rPr>
              <w:t>1,746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27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D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27D9"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27DA" w14:textId="77777777" w:rsidR="00E836FB" w:rsidRDefault="00994958">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27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7DC"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27DD"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27DE" w14:textId="77777777" w:rsidR="00E836FB" w:rsidRDefault="00994958">
            <w:pPr>
              <w:jc w:val="right"/>
              <w:textAlignment w:val="bottom"/>
            </w:pPr>
            <w:r>
              <w:rPr>
                <w:rFonts w:ascii="Arial" w:eastAsia="宋体" w:hAnsi="Arial" w:cs="Arial"/>
                <w:b/>
                <w:bCs/>
                <w:color w:val="000000"/>
                <w:sz w:val="15"/>
                <w:szCs w:val="15"/>
              </w:rPr>
              <w:t>1,816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27DF" w14:textId="77777777" w:rsidR="00E836FB" w:rsidRDefault="00E836FB">
            <w:pPr>
              <w:jc w:val="right"/>
              <w:rPr>
                <w:rFonts w:ascii="宋体"/>
              </w:rPr>
            </w:pPr>
          </w:p>
        </w:tc>
      </w:tr>
    </w:tbl>
    <w:p w14:paraId="5F2D27E1"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E836FB" w14:paraId="5F2D27E8" w14:textId="77777777">
        <w:tc>
          <w:tcPr>
            <w:tcW w:w="50" w:type="pct"/>
            <w:shd w:val="clear" w:color="auto" w:fill="auto"/>
            <w:vAlign w:val="bottom"/>
          </w:tcPr>
          <w:p w14:paraId="5F2D27E2" w14:textId="77777777" w:rsidR="00E836FB" w:rsidRDefault="00E836FB">
            <w:pPr>
              <w:rPr>
                <w:rFonts w:ascii="宋体"/>
              </w:rPr>
            </w:pPr>
          </w:p>
        </w:tc>
        <w:tc>
          <w:tcPr>
            <w:tcW w:w="2907" w:type="pct"/>
            <w:shd w:val="clear" w:color="auto" w:fill="auto"/>
            <w:vAlign w:val="bottom"/>
          </w:tcPr>
          <w:p w14:paraId="5F2D27E3" w14:textId="77777777" w:rsidR="00E836FB" w:rsidRDefault="00E836FB">
            <w:pPr>
              <w:rPr>
                <w:rFonts w:ascii="宋体"/>
              </w:rPr>
            </w:pPr>
          </w:p>
        </w:tc>
        <w:tc>
          <w:tcPr>
            <w:tcW w:w="5" w:type="pct"/>
            <w:shd w:val="clear" w:color="auto" w:fill="auto"/>
            <w:vAlign w:val="bottom"/>
          </w:tcPr>
          <w:p w14:paraId="5F2D27E4" w14:textId="77777777" w:rsidR="00E836FB" w:rsidRDefault="00E836FB">
            <w:pPr>
              <w:rPr>
                <w:rFonts w:ascii="宋体"/>
              </w:rPr>
            </w:pPr>
          </w:p>
        </w:tc>
        <w:tc>
          <w:tcPr>
            <w:tcW w:w="50" w:type="pct"/>
            <w:shd w:val="clear" w:color="auto" w:fill="auto"/>
            <w:vAlign w:val="bottom"/>
          </w:tcPr>
          <w:p w14:paraId="5F2D27E5" w14:textId="77777777" w:rsidR="00E836FB" w:rsidRDefault="00E836FB">
            <w:pPr>
              <w:rPr>
                <w:rFonts w:ascii="宋体"/>
              </w:rPr>
            </w:pPr>
          </w:p>
        </w:tc>
        <w:tc>
          <w:tcPr>
            <w:tcW w:w="1982" w:type="pct"/>
            <w:shd w:val="clear" w:color="auto" w:fill="auto"/>
            <w:vAlign w:val="bottom"/>
          </w:tcPr>
          <w:p w14:paraId="5F2D27E6" w14:textId="77777777" w:rsidR="00E836FB" w:rsidRDefault="00E836FB">
            <w:pPr>
              <w:rPr>
                <w:rFonts w:ascii="宋体"/>
              </w:rPr>
            </w:pPr>
          </w:p>
        </w:tc>
        <w:tc>
          <w:tcPr>
            <w:tcW w:w="5" w:type="pct"/>
            <w:shd w:val="clear" w:color="auto" w:fill="auto"/>
            <w:vAlign w:val="bottom"/>
          </w:tcPr>
          <w:p w14:paraId="5F2D27E7" w14:textId="77777777" w:rsidR="00E836FB" w:rsidRDefault="00E836FB">
            <w:pPr>
              <w:rPr>
                <w:rFonts w:ascii="宋体"/>
              </w:rPr>
            </w:pPr>
          </w:p>
        </w:tc>
      </w:tr>
      <w:tr w:rsidR="00E836FB" w14:paraId="5F2D27E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7E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7EA" w14:textId="77777777" w:rsidR="00E836FB" w:rsidRDefault="00E836FB">
            <w:pPr>
              <w:rPr>
                <w:rFonts w:ascii="宋体"/>
              </w:rPr>
            </w:pPr>
          </w:p>
        </w:tc>
      </w:tr>
    </w:tbl>
    <w:p w14:paraId="5F2D27EC" w14:textId="77777777" w:rsidR="00E836FB" w:rsidRDefault="00994958">
      <w:pPr>
        <w:spacing w:before="60"/>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w:t>
      </w:r>
    </w:p>
    <w:p w14:paraId="5F2D27ED" w14:textId="77777777" w:rsidR="00E836FB" w:rsidRDefault="00994958">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 in the third quarter of 2021, with a total purchase price of approximately $88 million. We accounted for these acquisitions as business combinations and, in accordance with ASC Topic 80</w:t>
      </w:r>
      <w:r>
        <w:rPr>
          <w:rFonts w:ascii="Arial" w:eastAsia="宋体" w:hAnsi="Arial" w:cs="Arial"/>
          <w:color w:val="000000"/>
          <w:sz w:val="13"/>
          <w:szCs w:val="13"/>
        </w:rPr>
        <w:t>5, Business Combinations, we have recorded assets acquired and liabilities assumed at their respective fair values as of the acquisition date.     </w:t>
      </w:r>
    </w:p>
    <w:p w14:paraId="5F2D27EE"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table presents the gross carrying amount, accumulated amortization and net carrying </w:t>
      </w:r>
      <w:r>
        <w:rPr>
          <w:rFonts w:ascii="Arial" w:eastAsia="宋体" w:hAnsi="Arial" w:cs="Arial"/>
          <w:color w:val="000000"/>
          <w:sz w:val="20"/>
          <w:szCs w:val="20"/>
        </w:rPr>
        <w:t>amount of other intangible assets by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436"/>
        <w:gridCol w:w="37"/>
        <w:gridCol w:w="105"/>
        <w:gridCol w:w="1625"/>
        <w:gridCol w:w="36"/>
        <w:gridCol w:w="36"/>
        <w:gridCol w:w="72"/>
        <w:gridCol w:w="36"/>
        <w:gridCol w:w="105"/>
        <w:gridCol w:w="1860"/>
        <w:gridCol w:w="36"/>
        <w:gridCol w:w="36"/>
        <w:gridCol w:w="72"/>
        <w:gridCol w:w="36"/>
        <w:gridCol w:w="105"/>
        <w:gridCol w:w="1625"/>
        <w:gridCol w:w="36"/>
      </w:tblGrid>
      <w:tr w:rsidR="00E836FB" w14:paraId="5F2D2801" w14:textId="77777777">
        <w:tc>
          <w:tcPr>
            <w:tcW w:w="50" w:type="pct"/>
            <w:shd w:val="clear" w:color="auto" w:fill="auto"/>
            <w:vAlign w:val="bottom"/>
          </w:tcPr>
          <w:p w14:paraId="5F2D27EF" w14:textId="77777777" w:rsidR="00E836FB" w:rsidRDefault="00E836FB">
            <w:pPr>
              <w:rPr>
                <w:rFonts w:ascii="宋体"/>
              </w:rPr>
            </w:pPr>
          </w:p>
        </w:tc>
        <w:tc>
          <w:tcPr>
            <w:tcW w:w="1485" w:type="pct"/>
            <w:shd w:val="clear" w:color="auto" w:fill="auto"/>
            <w:vAlign w:val="bottom"/>
          </w:tcPr>
          <w:p w14:paraId="5F2D27F0" w14:textId="77777777" w:rsidR="00E836FB" w:rsidRDefault="00E836FB">
            <w:pPr>
              <w:rPr>
                <w:rFonts w:ascii="宋体"/>
              </w:rPr>
            </w:pPr>
          </w:p>
        </w:tc>
        <w:tc>
          <w:tcPr>
            <w:tcW w:w="5" w:type="pct"/>
            <w:shd w:val="clear" w:color="auto" w:fill="auto"/>
            <w:vAlign w:val="bottom"/>
          </w:tcPr>
          <w:p w14:paraId="5F2D27F1" w14:textId="77777777" w:rsidR="00E836FB" w:rsidRDefault="00E836FB">
            <w:pPr>
              <w:rPr>
                <w:rFonts w:ascii="宋体"/>
              </w:rPr>
            </w:pPr>
          </w:p>
        </w:tc>
        <w:tc>
          <w:tcPr>
            <w:tcW w:w="50" w:type="pct"/>
            <w:shd w:val="clear" w:color="auto" w:fill="auto"/>
            <w:vAlign w:val="bottom"/>
          </w:tcPr>
          <w:p w14:paraId="5F2D27F2" w14:textId="77777777" w:rsidR="00E836FB" w:rsidRDefault="00E836FB">
            <w:pPr>
              <w:rPr>
                <w:rFonts w:ascii="宋体"/>
              </w:rPr>
            </w:pPr>
          </w:p>
        </w:tc>
        <w:tc>
          <w:tcPr>
            <w:tcW w:w="998" w:type="pct"/>
            <w:shd w:val="clear" w:color="auto" w:fill="auto"/>
            <w:vAlign w:val="bottom"/>
          </w:tcPr>
          <w:p w14:paraId="5F2D27F3" w14:textId="77777777" w:rsidR="00E836FB" w:rsidRDefault="00E836FB">
            <w:pPr>
              <w:rPr>
                <w:rFonts w:ascii="宋体"/>
              </w:rPr>
            </w:pPr>
          </w:p>
        </w:tc>
        <w:tc>
          <w:tcPr>
            <w:tcW w:w="5" w:type="pct"/>
            <w:shd w:val="clear" w:color="auto" w:fill="auto"/>
            <w:vAlign w:val="bottom"/>
          </w:tcPr>
          <w:p w14:paraId="5F2D27F4" w14:textId="77777777" w:rsidR="00E836FB" w:rsidRDefault="00E836FB">
            <w:pPr>
              <w:rPr>
                <w:rFonts w:ascii="宋体"/>
              </w:rPr>
            </w:pPr>
          </w:p>
        </w:tc>
        <w:tc>
          <w:tcPr>
            <w:tcW w:w="5" w:type="pct"/>
            <w:shd w:val="clear" w:color="auto" w:fill="auto"/>
            <w:vAlign w:val="bottom"/>
          </w:tcPr>
          <w:p w14:paraId="5F2D27F5" w14:textId="77777777" w:rsidR="00E836FB" w:rsidRDefault="00E836FB">
            <w:pPr>
              <w:rPr>
                <w:rFonts w:ascii="宋体"/>
              </w:rPr>
            </w:pPr>
          </w:p>
        </w:tc>
        <w:tc>
          <w:tcPr>
            <w:tcW w:w="68" w:type="pct"/>
            <w:shd w:val="clear" w:color="auto" w:fill="auto"/>
            <w:vAlign w:val="bottom"/>
          </w:tcPr>
          <w:p w14:paraId="5F2D27F6" w14:textId="77777777" w:rsidR="00E836FB" w:rsidRDefault="00E836FB">
            <w:pPr>
              <w:rPr>
                <w:rFonts w:ascii="宋体"/>
              </w:rPr>
            </w:pPr>
          </w:p>
        </w:tc>
        <w:tc>
          <w:tcPr>
            <w:tcW w:w="5" w:type="pct"/>
            <w:shd w:val="clear" w:color="auto" w:fill="auto"/>
            <w:vAlign w:val="bottom"/>
          </w:tcPr>
          <w:p w14:paraId="5F2D27F7" w14:textId="77777777" w:rsidR="00E836FB" w:rsidRDefault="00E836FB">
            <w:pPr>
              <w:rPr>
                <w:rFonts w:ascii="宋体"/>
              </w:rPr>
            </w:pPr>
          </w:p>
        </w:tc>
        <w:tc>
          <w:tcPr>
            <w:tcW w:w="50" w:type="pct"/>
            <w:shd w:val="clear" w:color="auto" w:fill="auto"/>
            <w:vAlign w:val="bottom"/>
          </w:tcPr>
          <w:p w14:paraId="5F2D27F8" w14:textId="77777777" w:rsidR="00E836FB" w:rsidRDefault="00E836FB">
            <w:pPr>
              <w:rPr>
                <w:rFonts w:ascii="宋体"/>
              </w:rPr>
            </w:pPr>
          </w:p>
        </w:tc>
        <w:tc>
          <w:tcPr>
            <w:tcW w:w="1139" w:type="pct"/>
            <w:shd w:val="clear" w:color="auto" w:fill="auto"/>
            <w:vAlign w:val="bottom"/>
          </w:tcPr>
          <w:p w14:paraId="5F2D27F9" w14:textId="77777777" w:rsidR="00E836FB" w:rsidRDefault="00E836FB">
            <w:pPr>
              <w:rPr>
                <w:rFonts w:ascii="宋体"/>
              </w:rPr>
            </w:pPr>
          </w:p>
        </w:tc>
        <w:tc>
          <w:tcPr>
            <w:tcW w:w="5" w:type="pct"/>
            <w:shd w:val="clear" w:color="auto" w:fill="auto"/>
            <w:vAlign w:val="bottom"/>
          </w:tcPr>
          <w:p w14:paraId="5F2D27FA" w14:textId="77777777" w:rsidR="00E836FB" w:rsidRDefault="00E836FB">
            <w:pPr>
              <w:rPr>
                <w:rFonts w:ascii="宋体"/>
              </w:rPr>
            </w:pPr>
          </w:p>
        </w:tc>
        <w:tc>
          <w:tcPr>
            <w:tcW w:w="5" w:type="pct"/>
            <w:shd w:val="clear" w:color="auto" w:fill="auto"/>
            <w:vAlign w:val="bottom"/>
          </w:tcPr>
          <w:p w14:paraId="5F2D27FB" w14:textId="77777777" w:rsidR="00E836FB" w:rsidRDefault="00E836FB">
            <w:pPr>
              <w:rPr>
                <w:rFonts w:ascii="宋体"/>
              </w:rPr>
            </w:pPr>
          </w:p>
        </w:tc>
        <w:tc>
          <w:tcPr>
            <w:tcW w:w="68" w:type="pct"/>
            <w:shd w:val="clear" w:color="auto" w:fill="auto"/>
            <w:vAlign w:val="bottom"/>
          </w:tcPr>
          <w:p w14:paraId="5F2D27FC" w14:textId="77777777" w:rsidR="00E836FB" w:rsidRDefault="00E836FB">
            <w:pPr>
              <w:rPr>
                <w:rFonts w:ascii="宋体"/>
              </w:rPr>
            </w:pPr>
          </w:p>
        </w:tc>
        <w:tc>
          <w:tcPr>
            <w:tcW w:w="5" w:type="pct"/>
            <w:shd w:val="clear" w:color="auto" w:fill="auto"/>
            <w:vAlign w:val="bottom"/>
          </w:tcPr>
          <w:p w14:paraId="5F2D27FD" w14:textId="77777777" w:rsidR="00E836FB" w:rsidRDefault="00E836FB">
            <w:pPr>
              <w:rPr>
                <w:rFonts w:ascii="宋体"/>
              </w:rPr>
            </w:pPr>
          </w:p>
        </w:tc>
        <w:tc>
          <w:tcPr>
            <w:tcW w:w="50" w:type="pct"/>
            <w:shd w:val="clear" w:color="auto" w:fill="auto"/>
            <w:vAlign w:val="bottom"/>
          </w:tcPr>
          <w:p w14:paraId="5F2D27FE" w14:textId="77777777" w:rsidR="00E836FB" w:rsidRDefault="00E836FB">
            <w:pPr>
              <w:rPr>
                <w:rFonts w:ascii="宋体"/>
              </w:rPr>
            </w:pPr>
          </w:p>
        </w:tc>
        <w:tc>
          <w:tcPr>
            <w:tcW w:w="998" w:type="pct"/>
            <w:shd w:val="clear" w:color="auto" w:fill="auto"/>
            <w:vAlign w:val="bottom"/>
          </w:tcPr>
          <w:p w14:paraId="5F2D27FF" w14:textId="77777777" w:rsidR="00E836FB" w:rsidRDefault="00E836FB">
            <w:pPr>
              <w:rPr>
                <w:rFonts w:ascii="宋体"/>
              </w:rPr>
            </w:pPr>
          </w:p>
        </w:tc>
        <w:tc>
          <w:tcPr>
            <w:tcW w:w="5" w:type="pct"/>
            <w:shd w:val="clear" w:color="auto" w:fill="auto"/>
            <w:vAlign w:val="bottom"/>
          </w:tcPr>
          <w:p w14:paraId="5F2D2800" w14:textId="77777777" w:rsidR="00E836FB" w:rsidRDefault="00E836FB">
            <w:pPr>
              <w:rPr>
                <w:rFonts w:ascii="宋体"/>
              </w:rPr>
            </w:pPr>
          </w:p>
        </w:tc>
      </w:tr>
      <w:tr w:rsidR="00E836FB" w14:paraId="5F2D2808" w14:textId="77777777">
        <w:trPr>
          <w:trHeight w:val="240"/>
        </w:trPr>
        <w:tc>
          <w:tcPr>
            <w:tcW w:w="0" w:type="auto"/>
            <w:gridSpan w:val="3"/>
            <w:shd w:val="clear" w:color="auto" w:fill="auto"/>
            <w:tcMar>
              <w:top w:w="40" w:type="dxa"/>
              <w:left w:w="20" w:type="dxa"/>
              <w:bottom w:w="40" w:type="dxa"/>
              <w:right w:w="20" w:type="dxa"/>
            </w:tcMar>
            <w:vAlign w:val="bottom"/>
          </w:tcPr>
          <w:p w14:paraId="5F2D2802" w14:textId="77777777" w:rsidR="00E836FB" w:rsidRDefault="00994958">
            <w:pPr>
              <w:textAlignment w:val="bottom"/>
            </w:pPr>
            <w:r>
              <w:rPr>
                <w:rFonts w:ascii="Arial" w:eastAsia="宋体" w:hAnsi="Arial" w:cs="Arial"/>
                <w:b/>
                <w:bCs/>
                <w:color w:val="000000"/>
                <w:sz w:val="15"/>
                <w:szCs w:val="15"/>
              </w:rPr>
              <w:t>December 31, 2021</w:t>
            </w:r>
          </w:p>
        </w:tc>
        <w:tc>
          <w:tcPr>
            <w:tcW w:w="0" w:type="auto"/>
            <w:gridSpan w:val="3"/>
            <w:vMerge w:val="restart"/>
            <w:shd w:val="clear" w:color="auto" w:fill="auto"/>
            <w:tcMar>
              <w:top w:w="40" w:type="dxa"/>
              <w:left w:w="20" w:type="dxa"/>
              <w:bottom w:w="40" w:type="dxa"/>
              <w:right w:w="20" w:type="dxa"/>
            </w:tcMar>
            <w:vAlign w:val="bottom"/>
          </w:tcPr>
          <w:p w14:paraId="5F2D2803" w14:textId="77777777" w:rsidR="00E836FB" w:rsidRDefault="00994958">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5F2D2804"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2805" w14:textId="77777777" w:rsidR="00E836FB" w:rsidRDefault="00994958">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5F2D2806"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2807" w14:textId="77777777" w:rsidR="00E836FB" w:rsidRDefault="00994958">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E836FB" w14:paraId="5F2D280F" w14:textId="77777777">
        <w:trPr>
          <w:trHeight w:val="300"/>
        </w:trPr>
        <w:tc>
          <w:tcPr>
            <w:tcW w:w="0" w:type="auto"/>
            <w:gridSpan w:val="3"/>
            <w:shd w:val="clear" w:color="auto" w:fill="auto"/>
            <w:tcMar>
              <w:top w:w="40" w:type="dxa"/>
              <w:left w:w="20" w:type="dxa"/>
              <w:bottom w:w="40" w:type="dxa"/>
              <w:right w:w="20" w:type="dxa"/>
            </w:tcMar>
            <w:vAlign w:val="bottom"/>
          </w:tcPr>
          <w:p w14:paraId="5F2D2809"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5F2D28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0B"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280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0D"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280E" w14:textId="77777777" w:rsidR="00E836FB" w:rsidRDefault="00E836FB">
            <w:pPr>
              <w:rPr>
                <w:rFonts w:ascii="宋体"/>
              </w:rPr>
            </w:pPr>
          </w:p>
        </w:tc>
      </w:tr>
      <w:tr w:rsidR="00E836FB" w14:paraId="5F2D2816" w14:textId="77777777">
        <w:tc>
          <w:tcPr>
            <w:tcW w:w="0" w:type="auto"/>
            <w:gridSpan w:val="3"/>
            <w:shd w:val="clear" w:color="auto" w:fill="FFFFFF"/>
            <w:tcMar>
              <w:top w:w="40" w:type="dxa"/>
              <w:left w:w="20" w:type="dxa"/>
              <w:bottom w:w="40" w:type="dxa"/>
              <w:right w:w="20" w:type="dxa"/>
            </w:tcMar>
            <w:vAlign w:val="bottom"/>
          </w:tcPr>
          <w:p w14:paraId="5F2D2810" w14:textId="77777777" w:rsidR="00E836FB" w:rsidRDefault="00994958">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81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1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8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1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815" w14:textId="77777777" w:rsidR="00E836FB" w:rsidRDefault="00E836FB">
            <w:pPr>
              <w:rPr>
                <w:rFonts w:ascii="宋体"/>
              </w:rPr>
            </w:pPr>
          </w:p>
        </w:tc>
      </w:tr>
      <w:tr w:rsidR="00E836FB" w14:paraId="5F2D2823" w14:textId="77777777">
        <w:tc>
          <w:tcPr>
            <w:tcW w:w="0" w:type="auto"/>
            <w:gridSpan w:val="3"/>
            <w:shd w:val="clear" w:color="auto" w:fill="CCEEFF"/>
            <w:tcMar>
              <w:top w:w="40" w:type="dxa"/>
              <w:left w:w="20" w:type="dxa"/>
              <w:bottom w:w="40" w:type="dxa"/>
              <w:right w:w="20" w:type="dxa"/>
            </w:tcMar>
            <w:vAlign w:val="bottom"/>
          </w:tcPr>
          <w:p w14:paraId="5F2D2817" w14:textId="77777777" w:rsidR="00E836FB" w:rsidRDefault="00994958">
            <w:pPr>
              <w:textAlignment w:val="bottom"/>
            </w:pPr>
            <w:r>
              <w:rPr>
                <w:rFonts w:ascii="Arial" w:eastAsia="宋体" w:hAnsi="Arial" w:cs="Arial"/>
                <w:color w:val="000000"/>
                <w:sz w:val="15"/>
                <w:szCs w:val="15"/>
              </w:rPr>
              <w:t xml:space="preserve">Client </w:t>
            </w:r>
            <w:r>
              <w:rPr>
                <w:rFonts w:ascii="Arial" w:eastAsia="宋体" w:hAnsi="Arial" w:cs="Arial"/>
                <w:color w:val="000000"/>
                <w:sz w:val="15"/>
                <w:szCs w:val="15"/>
              </w:rPr>
              <w:t>relationships</w:t>
            </w:r>
          </w:p>
        </w:tc>
        <w:tc>
          <w:tcPr>
            <w:tcW w:w="0" w:type="auto"/>
            <w:shd w:val="clear" w:color="auto" w:fill="CCEEFF"/>
            <w:tcMar>
              <w:top w:w="40" w:type="dxa"/>
              <w:left w:w="20" w:type="dxa"/>
              <w:bottom w:w="40" w:type="dxa"/>
              <w:right w:w="0" w:type="dxa"/>
            </w:tcMar>
            <w:vAlign w:val="bottom"/>
          </w:tcPr>
          <w:p w14:paraId="5F2D2818"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819" w14:textId="77777777" w:rsidR="00E836FB" w:rsidRDefault="00994958">
            <w:pPr>
              <w:jc w:val="right"/>
              <w:textAlignment w:val="bottom"/>
            </w:pPr>
            <w:r>
              <w:rPr>
                <w:rFonts w:ascii="Arial" w:eastAsia="宋体" w:hAnsi="Arial" w:cs="Arial"/>
                <w:b/>
                <w:bCs/>
                <w:color w:val="000000"/>
                <w:sz w:val="15"/>
                <w:szCs w:val="15"/>
              </w:rPr>
              <w:t>2,786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81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1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81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81D" w14:textId="77777777" w:rsidR="00E836FB" w:rsidRDefault="00994958">
            <w:pPr>
              <w:jc w:val="right"/>
              <w:textAlignment w:val="bottom"/>
            </w:pPr>
            <w:r>
              <w:rPr>
                <w:rFonts w:ascii="Arial" w:eastAsia="宋体" w:hAnsi="Arial" w:cs="Arial"/>
                <w:b/>
                <w:bCs/>
                <w:color w:val="000000"/>
                <w:sz w:val="15"/>
                <w:szCs w:val="15"/>
              </w:rPr>
              <w:t>(1,497)</w:t>
            </w:r>
          </w:p>
        </w:tc>
        <w:tc>
          <w:tcPr>
            <w:tcW w:w="0" w:type="auto"/>
            <w:shd w:val="clear" w:color="auto" w:fill="CCEEFF"/>
            <w:tcMar>
              <w:top w:w="40" w:type="dxa"/>
              <w:left w:w="0" w:type="dxa"/>
              <w:bottom w:w="40" w:type="dxa"/>
              <w:right w:w="20" w:type="dxa"/>
            </w:tcMar>
            <w:vAlign w:val="bottom"/>
          </w:tcPr>
          <w:p w14:paraId="5F2D28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1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820"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821" w14:textId="77777777" w:rsidR="00E836FB" w:rsidRDefault="00994958">
            <w:pPr>
              <w:jc w:val="right"/>
              <w:textAlignment w:val="bottom"/>
            </w:pPr>
            <w:r>
              <w:rPr>
                <w:rFonts w:ascii="Arial" w:eastAsia="宋体" w:hAnsi="Arial" w:cs="Arial"/>
                <w:b/>
                <w:bCs/>
                <w:color w:val="000000"/>
                <w:sz w:val="15"/>
                <w:szCs w:val="15"/>
              </w:rPr>
              <w:t>1,289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822" w14:textId="77777777" w:rsidR="00E836FB" w:rsidRDefault="00E836FB">
            <w:pPr>
              <w:jc w:val="right"/>
              <w:rPr>
                <w:rFonts w:ascii="宋体"/>
              </w:rPr>
            </w:pPr>
          </w:p>
        </w:tc>
      </w:tr>
      <w:tr w:rsidR="00E836FB" w14:paraId="5F2D282D" w14:textId="77777777">
        <w:tc>
          <w:tcPr>
            <w:tcW w:w="0" w:type="auto"/>
            <w:gridSpan w:val="3"/>
            <w:shd w:val="clear" w:color="auto" w:fill="auto"/>
            <w:tcMar>
              <w:top w:w="40" w:type="dxa"/>
              <w:left w:w="20" w:type="dxa"/>
              <w:bottom w:w="40" w:type="dxa"/>
              <w:right w:w="20" w:type="dxa"/>
            </w:tcMar>
            <w:vAlign w:val="bottom"/>
          </w:tcPr>
          <w:p w14:paraId="5F2D2824" w14:textId="77777777" w:rsidR="00E836FB" w:rsidRDefault="00994958">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5F2D2825" w14:textId="77777777" w:rsidR="00E836FB" w:rsidRDefault="00994958">
            <w:pPr>
              <w:jc w:val="right"/>
              <w:textAlignment w:val="bottom"/>
            </w:pPr>
            <w:r>
              <w:rPr>
                <w:rFonts w:ascii="Arial" w:eastAsia="宋体" w:hAnsi="Arial" w:cs="Arial"/>
                <w:b/>
                <w:bCs/>
                <w:color w:val="000000"/>
                <w:sz w:val="15"/>
                <w:szCs w:val="15"/>
              </w:rPr>
              <w:t>403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8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2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28" w14:textId="77777777" w:rsidR="00E836FB" w:rsidRDefault="00994958">
            <w:pPr>
              <w:jc w:val="right"/>
              <w:textAlignment w:val="bottom"/>
            </w:pPr>
            <w:r>
              <w:rPr>
                <w:rFonts w:ascii="Arial" w:eastAsia="宋体" w:hAnsi="Arial" w:cs="Arial"/>
                <w:b/>
                <w:bCs/>
                <w:color w:val="000000"/>
                <w:sz w:val="15"/>
                <w:szCs w:val="15"/>
              </w:rPr>
              <w:t>(142)</w:t>
            </w:r>
          </w:p>
        </w:tc>
        <w:tc>
          <w:tcPr>
            <w:tcW w:w="0" w:type="auto"/>
            <w:shd w:val="clear" w:color="auto" w:fill="FFFFFF"/>
            <w:tcMar>
              <w:top w:w="40" w:type="dxa"/>
              <w:left w:w="0" w:type="dxa"/>
              <w:bottom w:w="40" w:type="dxa"/>
              <w:right w:w="20" w:type="dxa"/>
            </w:tcMar>
            <w:vAlign w:val="bottom"/>
          </w:tcPr>
          <w:p w14:paraId="5F2D28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2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2B" w14:textId="77777777" w:rsidR="00E836FB" w:rsidRDefault="00994958">
            <w:pPr>
              <w:jc w:val="right"/>
              <w:textAlignment w:val="bottom"/>
            </w:pPr>
            <w:r>
              <w:rPr>
                <w:rFonts w:ascii="Arial" w:eastAsia="宋体" w:hAnsi="Arial" w:cs="Arial"/>
                <w:b/>
                <w:bCs/>
                <w:color w:val="000000"/>
                <w:sz w:val="15"/>
                <w:szCs w:val="15"/>
              </w:rPr>
              <w:t>261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82C" w14:textId="77777777" w:rsidR="00E836FB" w:rsidRDefault="00E836FB">
            <w:pPr>
              <w:jc w:val="right"/>
              <w:rPr>
                <w:rFonts w:ascii="宋体"/>
              </w:rPr>
            </w:pPr>
          </w:p>
        </w:tc>
      </w:tr>
      <w:tr w:rsidR="00E836FB" w14:paraId="5F2D2837" w14:textId="77777777">
        <w:tc>
          <w:tcPr>
            <w:tcW w:w="0" w:type="auto"/>
            <w:gridSpan w:val="3"/>
            <w:shd w:val="clear" w:color="auto" w:fill="CCEEFF"/>
            <w:tcMar>
              <w:top w:w="40" w:type="dxa"/>
              <w:left w:w="20" w:type="dxa"/>
              <w:bottom w:w="40" w:type="dxa"/>
              <w:right w:w="20" w:type="dxa"/>
            </w:tcMar>
            <w:vAlign w:val="bottom"/>
          </w:tcPr>
          <w:p w14:paraId="5F2D282E" w14:textId="77777777" w:rsidR="00E836FB" w:rsidRDefault="00994958">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5F2D282F" w14:textId="77777777" w:rsidR="00E836FB" w:rsidRDefault="00994958">
            <w:pPr>
              <w:jc w:val="right"/>
              <w:textAlignment w:val="bottom"/>
            </w:pPr>
            <w:r>
              <w:rPr>
                <w:rFonts w:ascii="Arial" w:eastAsia="宋体" w:hAnsi="Arial" w:cs="Arial"/>
                <w:b/>
                <w:bCs/>
                <w:color w:val="000000"/>
                <w:sz w:val="15"/>
                <w:szCs w:val="15"/>
              </w:rPr>
              <w:t>696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8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3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832" w14:textId="77777777" w:rsidR="00E836FB" w:rsidRDefault="00994958">
            <w:pPr>
              <w:jc w:val="right"/>
              <w:textAlignment w:val="bottom"/>
            </w:pPr>
            <w:r>
              <w:rPr>
                <w:rFonts w:ascii="Arial" w:eastAsia="宋体" w:hAnsi="Arial" w:cs="Arial"/>
                <w:b/>
                <w:bCs/>
                <w:color w:val="000000"/>
                <w:sz w:val="15"/>
                <w:szCs w:val="15"/>
              </w:rPr>
              <w:t>(451)</w:t>
            </w:r>
          </w:p>
        </w:tc>
        <w:tc>
          <w:tcPr>
            <w:tcW w:w="0" w:type="auto"/>
            <w:shd w:val="clear" w:color="auto" w:fill="CCEEFF"/>
            <w:tcMar>
              <w:top w:w="40" w:type="dxa"/>
              <w:left w:w="0" w:type="dxa"/>
              <w:bottom w:w="40" w:type="dxa"/>
              <w:right w:w="20" w:type="dxa"/>
            </w:tcMar>
            <w:vAlign w:val="bottom"/>
          </w:tcPr>
          <w:p w14:paraId="5F2D28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3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835" w14:textId="77777777" w:rsidR="00E836FB" w:rsidRDefault="00994958">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836" w14:textId="77777777" w:rsidR="00E836FB" w:rsidRDefault="00E836FB">
            <w:pPr>
              <w:jc w:val="right"/>
              <w:rPr>
                <w:rFonts w:ascii="宋体"/>
              </w:rPr>
            </w:pPr>
          </w:p>
        </w:tc>
      </w:tr>
      <w:tr w:rsidR="00E836FB" w14:paraId="5F2D2841" w14:textId="77777777">
        <w:tc>
          <w:tcPr>
            <w:tcW w:w="0" w:type="auto"/>
            <w:gridSpan w:val="3"/>
            <w:shd w:val="clear" w:color="auto" w:fill="auto"/>
            <w:tcMar>
              <w:top w:w="40" w:type="dxa"/>
              <w:left w:w="20" w:type="dxa"/>
              <w:bottom w:w="40" w:type="dxa"/>
              <w:right w:w="20" w:type="dxa"/>
            </w:tcMar>
            <w:vAlign w:val="bottom"/>
          </w:tcPr>
          <w:p w14:paraId="5F2D2838"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D2839" w14:textId="77777777" w:rsidR="00E836FB" w:rsidRDefault="00994958">
            <w:pPr>
              <w:jc w:val="right"/>
              <w:textAlignment w:val="bottom"/>
            </w:pPr>
            <w:r>
              <w:rPr>
                <w:rFonts w:ascii="Arial" w:eastAsia="宋体" w:hAnsi="Arial" w:cs="Arial"/>
                <w:b/>
                <w:bCs/>
                <w:color w:val="000000"/>
                <w:sz w:val="15"/>
                <w:szCs w:val="15"/>
              </w:rPr>
              <w:t>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8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3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3C" w14:textId="77777777" w:rsidR="00E836FB" w:rsidRDefault="00994958">
            <w:pPr>
              <w:jc w:val="right"/>
              <w:textAlignment w:val="bottom"/>
            </w:pPr>
            <w:r>
              <w:rPr>
                <w:rFonts w:ascii="Arial" w:eastAsia="宋体" w:hAnsi="Arial" w:cs="Arial"/>
                <w:b/>
                <w:bCs/>
                <w:color w:val="000000"/>
                <w:sz w:val="15"/>
                <w:szCs w:val="15"/>
              </w:rPr>
              <w:t>(75)</w:t>
            </w:r>
          </w:p>
        </w:tc>
        <w:tc>
          <w:tcPr>
            <w:tcW w:w="0" w:type="auto"/>
            <w:shd w:val="clear" w:color="auto" w:fill="FFFFFF"/>
            <w:tcMar>
              <w:top w:w="40" w:type="dxa"/>
              <w:left w:w="0" w:type="dxa"/>
              <w:bottom w:w="40" w:type="dxa"/>
              <w:right w:w="20" w:type="dxa"/>
            </w:tcMar>
            <w:vAlign w:val="bottom"/>
          </w:tcPr>
          <w:p w14:paraId="5F2D28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3F" w14:textId="77777777" w:rsidR="00E836FB" w:rsidRDefault="00994958">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840" w14:textId="77777777" w:rsidR="00E836FB" w:rsidRDefault="00E836FB">
            <w:pPr>
              <w:jc w:val="right"/>
              <w:rPr>
                <w:rFonts w:ascii="宋体"/>
              </w:rPr>
            </w:pPr>
          </w:p>
        </w:tc>
      </w:tr>
      <w:tr w:rsidR="00E836FB" w14:paraId="5F2D284E" w14:textId="77777777">
        <w:tc>
          <w:tcPr>
            <w:tcW w:w="0" w:type="auto"/>
            <w:gridSpan w:val="3"/>
            <w:shd w:val="clear" w:color="auto" w:fill="CCEEFF"/>
            <w:tcMar>
              <w:top w:w="40" w:type="dxa"/>
              <w:left w:w="20" w:type="dxa"/>
              <w:bottom w:w="40" w:type="dxa"/>
              <w:right w:w="20" w:type="dxa"/>
            </w:tcMar>
            <w:vAlign w:val="bottom"/>
          </w:tcPr>
          <w:p w14:paraId="5F2D2842"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2843"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844" w14:textId="77777777" w:rsidR="00E836FB" w:rsidRDefault="00994958">
            <w:pPr>
              <w:jc w:val="right"/>
              <w:textAlignment w:val="bottom"/>
            </w:pPr>
            <w:r>
              <w:rPr>
                <w:rFonts w:ascii="Arial" w:eastAsia="宋体" w:hAnsi="Arial" w:cs="Arial"/>
                <w:b/>
                <w:bCs/>
                <w:color w:val="000000"/>
                <w:sz w:val="15"/>
                <w:szCs w:val="15"/>
              </w:rPr>
              <w:t>3,981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8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4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84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848" w14:textId="77777777" w:rsidR="00E836FB" w:rsidRDefault="00994958">
            <w:pPr>
              <w:jc w:val="right"/>
              <w:textAlignment w:val="bottom"/>
            </w:pPr>
            <w:r>
              <w:rPr>
                <w:rFonts w:ascii="Arial" w:eastAsia="宋体" w:hAnsi="Arial" w:cs="Arial"/>
                <w:b/>
                <w:bCs/>
                <w:color w:val="000000"/>
                <w:sz w:val="15"/>
                <w:szCs w:val="15"/>
              </w:rPr>
              <w:t>(2,165)</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8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4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84B"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84C" w14:textId="77777777" w:rsidR="00E836FB" w:rsidRDefault="00994958">
            <w:pPr>
              <w:jc w:val="right"/>
              <w:textAlignment w:val="bottom"/>
            </w:pPr>
            <w:r>
              <w:rPr>
                <w:rFonts w:ascii="Arial" w:eastAsia="宋体" w:hAnsi="Arial" w:cs="Arial"/>
                <w:b/>
                <w:bCs/>
                <w:color w:val="000000"/>
                <w:sz w:val="15"/>
                <w:szCs w:val="15"/>
              </w:rPr>
              <w:t>1,816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84D" w14:textId="77777777" w:rsidR="00E836FB" w:rsidRDefault="00E836FB">
            <w:pPr>
              <w:jc w:val="right"/>
              <w:rPr>
                <w:rFonts w:ascii="宋体"/>
              </w:rPr>
            </w:pPr>
          </w:p>
        </w:tc>
      </w:tr>
      <w:tr w:rsidR="00E836FB" w14:paraId="5F2D2855" w14:textId="77777777">
        <w:trPr>
          <w:trHeight w:val="240"/>
        </w:trPr>
        <w:tc>
          <w:tcPr>
            <w:tcW w:w="0" w:type="auto"/>
            <w:gridSpan w:val="3"/>
            <w:shd w:val="clear" w:color="auto" w:fill="auto"/>
            <w:tcMar>
              <w:top w:w="0" w:type="dxa"/>
              <w:left w:w="20" w:type="dxa"/>
              <w:bottom w:w="0" w:type="dxa"/>
              <w:right w:w="20" w:type="dxa"/>
            </w:tcMar>
            <w:vAlign w:val="bottom"/>
          </w:tcPr>
          <w:p w14:paraId="5F2D284F"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8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51"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85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5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854" w14:textId="77777777" w:rsidR="00E836FB" w:rsidRDefault="00E836FB">
            <w:pPr>
              <w:rPr>
                <w:rFonts w:ascii="宋体"/>
              </w:rPr>
            </w:pPr>
          </w:p>
        </w:tc>
      </w:tr>
      <w:tr w:rsidR="00E836FB" w14:paraId="5F2D285C" w14:textId="77777777">
        <w:trPr>
          <w:trHeight w:val="240"/>
        </w:trPr>
        <w:tc>
          <w:tcPr>
            <w:tcW w:w="0" w:type="auto"/>
            <w:gridSpan w:val="3"/>
            <w:shd w:val="clear" w:color="auto" w:fill="auto"/>
            <w:tcMar>
              <w:top w:w="40" w:type="dxa"/>
              <w:left w:w="20" w:type="dxa"/>
              <w:bottom w:w="40" w:type="dxa"/>
              <w:right w:w="20" w:type="dxa"/>
            </w:tcMar>
            <w:vAlign w:val="bottom"/>
          </w:tcPr>
          <w:p w14:paraId="5F2D2856" w14:textId="77777777" w:rsidR="00E836FB" w:rsidRDefault="00994958">
            <w:pPr>
              <w:textAlignment w:val="bottom"/>
            </w:pPr>
            <w:r>
              <w:rPr>
                <w:rFonts w:ascii="Arial" w:eastAsia="宋体" w:hAnsi="Arial" w:cs="Arial"/>
                <w:b/>
                <w:bCs/>
                <w:color w:val="000000"/>
                <w:sz w:val="15"/>
                <w:szCs w:val="15"/>
              </w:rPr>
              <w:t>December 31, 2020</w:t>
            </w:r>
          </w:p>
        </w:tc>
        <w:tc>
          <w:tcPr>
            <w:tcW w:w="0" w:type="auto"/>
            <w:gridSpan w:val="3"/>
            <w:vMerge w:val="restart"/>
            <w:shd w:val="clear" w:color="auto" w:fill="auto"/>
            <w:tcMar>
              <w:top w:w="40" w:type="dxa"/>
              <w:left w:w="20" w:type="dxa"/>
              <w:bottom w:w="40" w:type="dxa"/>
              <w:right w:w="20" w:type="dxa"/>
            </w:tcMar>
            <w:vAlign w:val="bottom"/>
          </w:tcPr>
          <w:p w14:paraId="5F2D2857" w14:textId="77777777" w:rsidR="00E836FB" w:rsidRDefault="00994958">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5F2D2858"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2859" w14:textId="77777777" w:rsidR="00E836FB" w:rsidRDefault="00994958">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5F2D285A"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285B" w14:textId="77777777" w:rsidR="00E836FB" w:rsidRDefault="00994958">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E836FB" w14:paraId="5F2D2863" w14:textId="77777777">
        <w:trPr>
          <w:trHeight w:val="300"/>
        </w:trPr>
        <w:tc>
          <w:tcPr>
            <w:tcW w:w="0" w:type="auto"/>
            <w:gridSpan w:val="3"/>
            <w:shd w:val="clear" w:color="auto" w:fill="auto"/>
            <w:tcMar>
              <w:top w:w="40" w:type="dxa"/>
              <w:left w:w="20" w:type="dxa"/>
              <w:bottom w:w="40" w:type="dxa"/>
              <w:right w:w="20" w:type="dxa"/>
            </w:tcMar>
            <w:vAlign w:val="bottom"/>
          </w:tcPr>
          <w:p w14:paraId="5F2D285D"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5F2D28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5F"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28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61"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2862" w14:textId="77777777" w:rsidR="00E836FB" w:rsidRDefault="00E836FB">
            <w:pPr>
              <w:rPr>
                <w:rFonts w:ascii="宋体"/>
              </w:rPr>
            </w:pPr>
          </w:p>
        </w:tc>
      </w:tr>
      <w:tr w:rsidR="00E836FB" w14:paraId="5F2D286A" w14:textId="77777777">
        <w:tc>
          <w:tcPr>
            <w:tcW w:w="0" w:type="auto"/>
            <w:gridSpan w:val="3"/>
            <w:shd w:val="clear" w:color="auto" w:fill="auto"/>
            <w:tcMar>
              <w:top w:w="40" w:type="dxa"/>
              <w:left w:w="20" w:type="dxa"/>
              <w:bottom w:w="40" w:type="dxa"/>
              <w:right w:w="20" w:type="dxa"/>
            </w:tcMar>
            <w:vAlign w:val="bottom"/>
          </w:tcPr>
          <w:p w14:paraId="5F2D2864" w14:textId="77777777" w:rsidR="00E836FB" w:rsidRDefault="00994958">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8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6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86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86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869" w14:textId="77777777" w:rsidR="00E836FB" w:rsidRDefault="00E836FB">
            <w:pPr>
              <w:rPr>
                <w:rFonts w:ascii="宋体"/>
              </w:rPr>
            </w:pPr>
          </w:p>
        </w:tc>
      </w:tr>
      <w:tr w:rsidR="00E836FB" w14:paraId="5F2D2877" w14:textId="77777777">
        <w:tc>
          <w:tcPr>
            <w:tcW w:w="0" w:type="auto"/>
            <w:gridSpan w:val="3"/>
            <w:shd w:val="clear" w:color="auto" w:fill="CCEEFF"/>
            <w:tcMar>
              <w:top w:w="40" w:type="dxa"/>
              <w:left w:w="20" w:type="dxa"/>
              <w:bottom w:w="40" w:type="dxa"/>
              <w:right w:w="20" w:type="dxa"/>
            </w:tcMar>
            <w:vAlign w:val="bottom"/>
          </w:tcPr>
          <w:p w14:paraId="5F2D286B" w14:textId="77777777" w:rsidR="00E836FB" w:rsidRDefault="00994958">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5F2D286C"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86D" w14:textId="77777777" w:rsidR="00E836FB" w:rsidRDefault="00994958">
            <w:pPr>
              <w:jc w:val="right"/>
              <w:textAlignment w:val="bottom"/>
            </w:pPr>
            <w:r>
              <w:rPr>
                <w:rFonts w:ascii="Arial" w:eastAsia="宋体" w:hAnsi="Arial" w:cs="Arial"/>
                <w:color w:val="000000"/>
                <w:sz w:val="15"/>
                <w:szCs w:val="15"/>
              </w:rPr>
              <w:t>2,704 </w:t>
            </w:r>
          </w:p>
        </w:tc>
        <w:tc>
          <w:tcPr>
            <w:tcW w:w="0" w:type="auto"/>
            <w:shd w:val="clear" w:color="auto" w:fill="CCEEFF"/>
            <w:tcMar>
              <w:top w:w="40" w:type="dxa"/>
              <w:left w:w="0" w:type="dxa"/>
              <w:bottom w:w="40" w:type="dxa"/>
              <w:right w:w="20" w:type="dxa"/>
            </w:tcMar>
            <w:vAlign w:val="bottom"/>
          </w:tcPr>
          <w:p w14:paraId="5F2D28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6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870"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871" w14:textId="77777777" w:rsidR="00E836FB" w:rsidRDefault="00994958">
            <w:pPr>
              <w:jc w:val="right"/>
              <w:textAlignment w:val="bottom"/>
            </w:pPr>
            <w:r>
              <w:rPr>
                <w:rFonts w:ascii="Arial" w:eastAsia="宋体" w:hAnsi="Arial" w:cs="Arial"/>
                <w:color w:val="000000"/>
                <w:sz w:val="15"/>
                <w:szCs w:val="15"/>
              </w:rPr>
              <w:t>(1,450)</w:t>
            </w:r>
          </w:p>
        </w:tc>
        <w:tc>
          <w:tcPr>
            <w:tcW w:w="0" w:type="auto"/>
            <w:shd w:val="clear" w:color="auto" w:fill="CCEEFF"/>
            <w:tcMar>
              <w:top w:w="40" w:type="dxa"/>
              <w:left w:w="0" w:type="dxa"/>
              <w:bottom w:w="40" w:type="dxa"/>
              <w:right w:w="20" w:type="dxa"/>
            </w:tcMar>
            <w:vAlign w:val="bottom"/>
          </w:tcPr>
          <w:p w14:paraId="5F2D28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7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874"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875" w14:textId="77777777" w:rsidR="00E836FB" w:rsidRDefault="00994958">
            <w:pPr>
              <w:jc w:val="right"/>
              <w:textAlignment w:val="bottom"/>
            </w:pPr>
            <w:r>
              <w:rPr>
                <w:rFonts w:ascii="Arial" w:eastAsia="宋体" w:hAnsi="Arial" w:cs="Arial"/>
                <w:color w:val="000000"/>
                <w:sz w:val="15"/>
                <w:szCs w:val="15"/>
              </w:rPr>
              <w:t>1,254 </w:t>
            </w:r>
          </w:p>
        </w:tc>
        <w:tc>
          <w:tcPr>
            <w:tcW w:w="0" w:type="auto"/>
            <w:shd w:val="clear" w:color="auto" w:fill="CCEEFF"/>
            <w:tcMar>
              <w:top w:w="40" w:type="dxa"/>
              <w:left w:w="0" w:type="dxa"/>
              <w:bottom w:w="40" w:type="dxa"/>
              <w:right w:w="20" w:type="dxa"/>
            </w:tcMar>
            <w:vAlign w:val="bottom"/>
          </w:tcPr>
          <w:p w14:paraId="5F2D2876" w14:textId="77777777" w:rsidR="00E836FB" w:rsidRDefault="00E836FB">
            <w:pPr>
              <w:jc w:val="right"/>
              <w:rPr>
                <w:rFonts w:ascii="宋体"/>
              </w:rPr>
            </w:pPr>
          </w:p>
        </w:tc>
      </w:tr>
      <w:tr w:rsidR="00E836FB" w14:paraId="5F2D2881" w14:textId="77777777">
        <w:tc>
          <w:tcPr>
            <w:tcW w:w="0" w:type="auto"/>
            <w:gridSpan w:val="3"/>
            <w:shd w:val="clear" w:color="auto" w:fill="auto"/>
            <w:tcMar>
              <w:top w:w="40" w:type="dxa"/>
              <w:left w:w="20" w:type="dxa"/>
              <w:bottom w:w="40" w:type="dxa"/>
              <w:right w:w="20" w:type="dxa"/>
            </w:tcMar>
            <w:vAlign w:val="bottom"/>
          </w:tcPr>
          <w:p w14:paraId="5F2D2878" w14:textId="77777777" w:rsidR="00E836FB" w:rsidRDefault="00994958">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5F2D2879" w14:textId="77777777" w:rsidR="00E836FB" w:rsidRDefault="00994958">
            <w:pPr>
              <w:jc w:val="right"/>
              <w:textAlignment w:val="bottom"/>
            </w:pPr>
            <w:r>
              <w:rPr>
                <w:rFonts w:ascii="Arial" w:eastAsia="宋体" w:hAnsi="Arial" w:cs="Arial"/>
                <w:color w:val="000000"/>
                <w:sz w:val="15"/>
                <w:szCs w:val="15"/>
              </w:rPr>
              <w:t>393 </w:t>
            </w:r>
          </w:p>
        </w:tc>
        <w:tc>
          <w:tcPr>
            <w:tcW w:w="0" w:type="auto"/>
            <w:shd w:val="clear" w:color="auto" w:fill="FFFFFF"/>
            <w:tcMar>
              <w:top w:w="40" w:type="dxa"/>
              <w:left w:w="0" w:type="dxa"/>
              <w:bottom w:w="40" w:type="dxa"/>
              <w:right w:w="20" w:type="dxa"/>
            </w:tcMar>
            <w:vAlign w:val="bottom"/>
          </w:tcPr>
          <w:p w14:paraId="5F2D28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7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7C" w14:textId="77777777" w:rsidR="00E836FB" w:rsidRDefault="00994958">
            <w:pPr>
              <w:jc w:val="right"/>
              <w:textAlignment w:val="bottom"/>
            </w:pPr>
            <w:r>
              <w:rPr>
                <w:rFonts w:ascii="Arial" w:eastAsia="宋体" w:hAnsi="Arial" w:cs="Arial"/>
                <w:color w:val="000000"/>
                <w:sz w:val="15"/>
                <w:szCs w:val="15"/>
              </w:rPr>
              <w:t>(113)</w:t>
            </w:r>
          </w:p>
        </w:tc>
        <w:tc>
          <w:tcPr>
            <w:tcW w:w="0" w:type="auto"/>
            <w:shd w:val="clear" w:color="auto" w:fill="FFFFFF"/>
            <w:tcMar>
              <w:top w:w="40" w:type="dxa"/>
              <w:left w:w="0" w:type="dxa"/>
              <w:bottom w:w="40" w:type="dxa"/>
              <w:right w:w="20" w:type="dxa"/>
            </w:tcMar>
            <w:vAlign w:val="bottom"/>
          </w:tcPr>
          <w:p w14:paraId="5F2D28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7F" w14:textId="77777777" w:rsidR="00E836FB" w:rsidRDefault="00994958">
            <w:pPr>
              <w:jc w:val="right"/>
              <w:textAlignment w:val="bottom"/>
            </w:pPr>
            <w:r>
              <w:rPr>
                <w:rFonts w:ascii="Arial" w:eastAsia="宋体" w:hAnsi="Arial" w:cs="Arial"/>
                <w:color w:val="000000"/>
                <w:sz w:val="15"/>
                <w:szCs w:val="15"/>
              </w:rPr>
              <w:t>280 </w:t>
            </w:r>
          </w:p>
        </w:tc>
        <w:tc>
          <w:tcPr>
            <w:tcW w:w="0" w:type="auto"/>
            <w:shd w:val="clear" w:color="auto" w:fill="FFFFFF"/>
            <w:tcMar>
              <w:top w:w="40" w:type="dxa"/>
              <w:left w:w="0" w:type="dxa"/>
              <w:bottom w:w="40" w:type="dxa"/>
              <w:right w:w="20" w:type="dxa"/>
            </w:tcMar>
            <w:vAlign w:val="bottom"/>
          </w:tcPr>
          <w:p w14:paraId="5F2D2880" w14:textId="77777777" w:rsidR="00E836FB" w:rsidRDefault="00E836FB">
            <w:pPr>
              <w:jc w:val="right"/>
              <w:rPr>
                <w:rFonts w:ascii="宋体"/>
              </w:rPr>
            </w:pPr>
          </w:p>
        </w:tc>
      </w:tr>
      <w:tr w:rsidR="00E836FB" w14:paraId="5F2D288B" w14:textId="77777777">
        <w:tc>
          <w:tcPr>
            <w:tcW w:w="0" w:type="auto"/>
            <w:gridSpan w:val="3"/>
            <w:shd w:val="clear" w:color="auto" w:fill="CCEEFF"/>
            <w:tcMar>
              <w:top w:w="40" w:type="dxa"/>
              <w:left w:w="20" w:type="dxa"/>
              <w:bottom w:w="40" w:type="dxa"/>
              <w:right w:w="20" w:type="dxa"/>
            </w:tcMar>
            <w:vAlign w:val="bottom"/>
          </w:tcPr>
          <w:p w14:paraId="5F2D2882" w14:textId="77777777" w:rsidR="00E836FB" w:rsidRDefault="00994958">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5F2D2883" w14:textId="77777777" w:rsidR="00E836FB" w:rsidRDefault="00994958">
            <w:pPr>
              <w:jc w:val="right"/>
              <w:textAlignment w:val="bottom"/>
            </w:pPr>
            <w:r>
              <w:rPr>
                <w:rFonts w:ascii="Arial" w:eastAsia="宋体" w:hAnsi="Arial" w:cs="Arial"/>
                <w:color w:val="000000"/>
                <w:sz w:val="15"/>
                <w:szCs w:val="15"/>
              </w:rPr>
              <w:t>690 </w:t>
            </w:r>
          </w:p>
        </w:tc>
        <w:tc>
          <w:tcPr>
            <w:tcW w:w="0" w:type="auto"/>
            <w:shd w:val="clear" w:color="auto" w:fill="CCEEFF"/>
            <w:tcMar>
              <w:top w:w="40" w:type="dxa"/>
              <w:left w:w="0" w:type="dxa"/>
              <w:bottom w:w="40" w:type="dxa"/>
              <w:right w:w="20" w:type="dxa"/>
            </w:tcMar>
            <w:vAlign w:val="bottom"/>
          </w:tcPr>
          <w:p w14:paraId="5F2D28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8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886" w14:textId="77777777" w:rsidR="00E836FB" w:rsidRDefault="00994958">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5F2D28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8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889" w14:textId="77777777" w:rsidR="00E836FB" w:rsidRDefault="00994958">
            <w:pPr>
              <w:jc w:val="right"/>
              <w:textAlignment w:val="bottom"/>
            </w:pPr>
            <w:r>
              <w:rPr>
                <w:rFonts w:ascii="Arial" w:eastAsia="宋体" w:hAnsi="Arial" w:cs="Arial"/>
                <w:color w:val="000000"/>
                <w:sz w:val="15"/>
                <w:szCs w:val="15"/>
              </w:rPr>
              <w:t>265 </w:t>
            </w:r>
          </w:p>
        </w:tc>
        <w:tc>
          <w:tcPr>
            <w:tcW w:w="0" w:type="auto"/>
            <w:shd w:val="clear" w:color="auto" w:fill="CCEEFF"/>
            <w:tcMar>
              <w:top w:w="40" w:type="dxa"/>
              <w:left w:w="0" w:type="dxa"/>
              <w:bottom w:w="40" w:type="dxa"/>
              <w:right w:w="20" w:type="dxa"/>
            </w:tcMar>
            <w:vAlign w:val="bottom"/>
          </w:tcPr>
          <w:p w14:paraId="5F2D288A" w14:textId="77777777" w:rsidR="00E836FB" w:rsidRDefault="00E836FB">
            <w:pPr>
              <w:jc w:val="right"/>
              <w:rPr>
                <w:rFonts w:ascii="宋体"/>
              </w:rPr>
            </w:pPr>
          </w:p>
        </w:tc>
      </w:tr>
      <w:tr w:rsidR="00E836FB" w14:paraId="5F2D2895" w14:textId="77777777">
        <w:tc>
          <w:tcPr>
            <w:tcW w:w="0" w:type="auto"/>
            <w:gridSpan w:val="3"/>
            <w:shd w:val="clear" w:color="auto" w:fill="auto"/>
            <w:tcMar>
              <w:top w:w="40" w:type="dxa"/>
              <w:left w:w="20" w:type="dxa"/>
              <w:bottom w:w="40" w:type="dxa"/>
              <w:right w:w="20" w:type="dxa"/>
            </w:tcMar>
            <w:vAlign w:val="bottom"/>
          </w:tcPr>
          <w:p w14:paraId="5F2D288C" w14:textId="77777777" w:rsidR="00E836FB" w:rsidRDefault="00994958">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F2D288D" w14:textId="77777777" w:rsidR="00E836FB" w:rsidRDefault="00994958">
            <w:pPr>
              <w:jc w:val="right"/>
              <w:textAlignment w:val="bottom"/>
            </w:pPr>
            <w:r>
              <w:rPr>
                <w:rFonts w:ascii="Arial" w:eastAsia="宋体" w:hAnsi="Arial" w:cs="Arial"/>
                <w:color w:val="000000"/>
                <w:sz w:val="15"/>
                <w:szCs w:val="15"/>
              </w:rPr>
              <w:t>107 </w:t>
            </w:r>
          </w:p>
        </w:tc>
        <w:tc>
          <w:tcPr>
            <w:tcW w:w="0" w:type="auto"/>
            <w:shd w:val="clear" w:color="auto" w:fill="FFFFFF"/>
            <w:tcMar>
              <w:top w:w="40" w:type="dxa"/>
              <w:left w:w="0" w:type="dxa"/>
              <w:bottom w:w="40" w:type="dxa"/>
              <w:right w:w="20" w:type="dxa"/>
            </w:tcMar>
            <w:vAlign w:val="bottom"/>
          </w:tcPr>
          <w:p w14:paraId="5F2D28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8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90" w14:textId="77777777" w:rsidR="00E836FB" w:rsidRDefault="00994958">
            <w:pPr>
              <w:jc w:val="right"/>
              <w:textAlignment w:val="bottom"/>
            </w:pPr>
            <w:r>
              <w:rPr>
                <w:rFonts w:ascii="Arial" w:eastAsia="宋体" w:hAnsi="Arial" w:cs="Arial"/>
                <w:color w:val="000000"/>
                <w:sz w:val="15"/>
                <w:szCs w:val="15"/>
              </w:rPr>
              <w:t>(79)</w:t>
            </w:r>
          </w:p>
        </w:tc>
        <w:tc>
          <w:tcPr>
            <w:tcW w:w="0" w:type="auto"/>
            <w:shd w:val="clear" w:color="auto" w:fill="FFFFFF"/>
            <w:tcMar>
              <w:top w:w="40" w:type="dxa"/>
              <w:left w:w="0" w:type="dxa"/>
              <w:bottom w:w="40" w:type="dxa"/>
              <w:right w:w="20" w:type="dxa"/>
            </w:tcMar>
            <w:vAlign w:val="bottom"/>
          </w:tcPr>
          <w:p w14:paraId="5F2D28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8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893" w14:textId="77777777" w:rsidR="00E836FB" w:rsidRDefault="00994958">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5F2D2894" w14:textId="77777777" w:rsidR="00E836FB" w:rsidRDefault="00E836FB">
            <w:pPr>
              <w:jc w:val="right"/>
              <w:rPr>
                <w:rFonts w:ascii="宋体"/>
              </w:rPr>
            </w:pPr>
          </w:p>
        </w:tc>
      </w:tr>
      <w:tr w:rsidR="00E836FB" w14:paraId="5F2D28A2" w14:textId="77777777">
        <w:tc>
          <w:tcPr>
            <w:tcW w:w="0" w:type="auto"/>
            <w:gridSpan w:val="3"/>
            <w:shd w:val="clear" w:color="auto" w:fill="CCEEFF"/>
            <w:tcMar>
              <w:top w:w="40" w:type="dxa"/>
              <w:left w:w="20" w:type="dxa"/>
              <w:bottom w:w="40" w:type="dxa"/>
              <w:right w:w="20" w:type="dxa"/>
            </w:tcMar>
            <w:vAlign w:val="bottom"/>
          </w:tcPr>
          <w:p w14:paraId="5F2D2896"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89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898" w14:textId="77777777" w:rsidR="00E836FB" w:rsidRDefault="00994958">
            <w:pPr>
              <w:jc w:val="right"/>
              <w:textAlignment w:val="bottom"/>
            </w:pPr>
            <w:r>
              <w:rPr>
                <w:rFonts w:ascii="Arial" w:eastAsia="宋体" w:hAnsi="Arial" w:cs="Arial"/>
                <w:color w:val="000000"/>
                <w:sz w:val="15"/>
                <w:szCs w:val="15"/>
              </w:rPr>
              <w:t>3,894 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8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9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89B"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89C" w14:textId="77777777" w:rsidR="00E836FB" w:rsidRDefault="00994958">
            <w:pPr>
              <w:jc w:val="right"/>
              <w:textAlignment w:val="bottom"/>
            </w:pPr>
            <w:r>
              <w:rPr>
                <w:rFonts w:ascii="Arial" w:eastAsia="宋体" w:hAnsi="Arial" w:cs="Arial"/>
                <w:color w:val="000000"/>
                <w:sz w:val="15"/>
                <w:szCs w:val="15"/>
              </w:rPr>
              <w:t>(2,067)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8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89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89F"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8A0" w14:textId="77777777" w:rsidR="00E836FB" w:rsidRDefault="00994958">
            <w:pPr>
              <w:jc w:val="right"/>
              <w:textAlignment w:val="bottom"/>
            </w:pPr>
            <w:r>
              <w:rPr>
                <w:rFonts w:ascii="Arial" w:eastAsia="宋体" w:hAnsi="Arial" w:cs="Arial"/>
                <w:color w:val="000000"/>
                <w:sz w:val="15"/>
                <w:szCs w:val="15"/>
              </w:rPr>
              <w:t>1,827 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8A1" w14:textId="77777777" w:rsidR="00E836FB" w:rsidRDefault="00E836FB">
            <w:pPr>
              <w:jc w:val="right"/>
              <w:rPr>
                <w:rFonts w:ascii="宋体"/>
              </w:rPr>
            </w:pPr>
          </w:p>
        </w:tc>
      </w:tr>
      <w:tr w:rsidR="00E836FB" w14:paraId="5F2D28A9" w14:textId="77777777">
        <w:trPr>
          <w:hidden/>
        </w:trPr>
        <w:tc>
          <w:tcPr>
            <w:tcW w:w="0" w:type="auto"/>
            <w:gridSpan w:val="3"/>
            <w:shd w:val="clear" w:color="auto" w:fill="auto"/>
            <w:vAlign w:val="bottom"/>
          </w:tcPr>
          <w:p w14:paraId="5F2D28A3" w14:textId="77777777" w:rsidR="00E836FB" w:rsidRDefault="00E836FB">
            <w:pPr>
              <w:rPr>
                <w:rFonts w:ascii="宋体"/>
                <w:vanish/>
              </w:rPr>
            </w:pPr>
          </w:p>
        </w:tc>
        <w:tc>
          <w:tcPr>
            <w:tcW w:w="0" w:type="auto"/>
            <w:gridSpan w:val="3"/>
            <w:shd w:val="clear" w:color="auto" w:fill="auto"/>
            <w:vAlign w:val="bottom"/>
          </w:tcPr>
          <w:p w14:paraId="5F2D28A4" w14:textId="77777777" w:rsidR="00E836FB" w:rsidRDefault="00E836FB">
            <w:pPr>
              <w:rPr>
                <w:rFonts w:ascii="宋体"/>
                <w:vanish/>
              </w:rPr>
            </w:pPr>
          </w:p>
        </w:tc>
        <w:tc>
          <w:tcPr>
            <w:tcW w:w="0" w:type="auto"/>
            <w:gridSpan w:val="3"/>
            <w:shd w:val="clear" w:color="auto" w:fill="auto"/>
            <w:vAlign w:val="bottom"/>
          </w:tcPr>
          <w:p w14:paraId="5F2D28A5" w14:textId="77777777" w:rsidR="00E836FB" w:rsidRDefault="00E836FB">
            <w:pPr>
              <w:rPr>
                <w:rFonts w:ascii="宋体"/>
                <w:vanish/>
              </w:rPr>
            </w:pPr>
          </w:p>
        </w:tc>
        <w:tc>
          <w:tcPr>
            <w:tcW w:w="0" w:type="auto"/>
            <w:gridSpan w:val="3"/>
            <w:shd w:val="clear" w:color="auto" w:fill="auto"/>
            <w:vAlign w:val="bottom"/>
          </w:tcPr>
          <w:p w14:paraId="5F2D28A6" w14:textId="77777777" w:rsidR="00E836FB" w:rsidRDefault="00E836FB">
            <w:pPr>
              <w:rPr>
                <w:rFonts w:ascii="宋体"/>
                <w:vanish/>
              </w:rPr>
            </w:pPr>
          </w:p>
        </w:tc>
        <w:tc>
          <w:tcPr>
            <w:tcW w:w="0" w:type="auto"/>
            <w:gridSpan w:val="3"/>
            <w:shd w:val="clear" w:color="auto" w:fill="auto"/>
            <w:vAlign w:val="bottom"/>
          </w:tcPr>
          <w:p w14:paraId="5F2D28A7" w14:textId="77777777" w:rsidR="00E836FB" w:rsidRDefault="00E836FB">
            <w:pPr>
              <w:rPr>
                <w:rFonts w:ascii="宋体"/>
                <w:vanish/>
              </w:rPr>
            </w:pPr>
          </w:p>
        </w:tc>
        <w:tc>
          <w:tcPr>
            <w:tcW w:w="0" w:type="auto"/>
            <w:gridSpan w:val="3"/>
            <w:shd w:val="clear" w:color="auto" w:fill="auto"/>
            <w:vAlign w:val="bottom"/>
          </w:tcPr>
          <w:p w14:paraId="5F2D28A8" w14:textId="77777777" w:rsidR="00E836FB" w:rsidRDefault="00E836FB">
            <w:pPr>
              <w:rPr>
                <w:rFonts w:ascii="宋体"/>
                <w:vanish/>
              </w:rPr>
            </w:pPr>
          </w:p>
        </w:tc>
      </w:tr>
    </w:tbl>
    <w:p w14:paraId="5F2D28AA" w14:textId="77777777" w:rsidR="00E836FB" w:rsidRDefault="00994958">
      <w:pPr>
        <w:spacing w:before="60"/>
        <w:ind w:firstLine="450"/>
        <w:jc w:val="both"/>
        <w:textAlignment w:val="top"/>
      </w:pPr>
      <w:r>
        <w:rPr>
          <w:rFonts w:ascii="Arial" w:eastAsia="宋体" w:hAnsi="Arial" w:cs="Arial"/>
          <w:color w:val="000000"/>
          <w:sz w:val="20"/>
          <w:szCs w:val="20"/>
        </w:rPr>
        <w:t>Amortization expense related to other intangible assets was $245 million, $234 million and $236 million in 2021, 2020 and 2019, respectively.</w:t>
      </w:r>
    </w:p>
    <w:p w14:paraId="5F2D28AB" w14:textId="77777777" w:rsidR="00E836FB" w:rsidRDefault="00994958">
      <w:pPr>
        <w:spacing w:before="60"/>
        <w:ind w:firstLine="450"/>
        <w:jc w:val="both"/>
        <w:textAlignment w:val="top"/>
      </w:pPr>
      <w:r>
        <w:rPr>
          <w:rFonts w:ascii="Arial" w:eastAsia="宋体" w:hAnsi="Arial" w:cs="Arial"/>
          <w:color w:val="000000"/>
          <w:sz w:val="20"/>
          <w:szCs w:val="20"/>
        </w:rPr>
        <w:t xml:space="preserve">Expected future amortization expense for other </w:t>
      </w:r>
      <w:r>
        <w:rPr>
          <w:rFonts w:ascii="Arial" w:eastAsia="宋体" w:hAnsi="Arial" w:cs="Arial"/>
          <w:color w:val="000000"/>
          <w:sz w:val="20"/>
          <w:szCs w:val="20"/>
        </w:rPr>
        <w:t>intangible assets recorded as of December 31,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57"/>
        <w:gridCol w:w="5051"/>
        <w:gridCol w:w="37"/>
        <w:gridCol w:w="105"/>
        <w:gridCol w:w="3014"/>
        <w:gridCol w:w="36"/>
        <w:gridCol w:w="36"/>
      </w:tblGrid>
      <w:tr w:rsidR="00E836FB" w14:paraId="5F2D28B3" w14:textId="77777777">
        <w:tc>
          <w:tcPr>
            <w:tcW w:w="50" w:type="pct"/>
            <w:shd w:val="clear" w:color="auto" w:fill="auto"/>
            <w:vAlign w:val="bottom"/>
          </w:tcPr>
          <w:p w14:paraId="5F2D28AC" w14:textId="77777777" w:rsidR="00E836FB" w:rsidRDefault="00E836FB">
            <w:pPr>
              <w:rPr>
                <w:rFonts w:ascii="宋体"/>
              </w:rPr>
            </w:pPr>
          </w:p>
        </w:tc>
        <w:tc>
          <w:tcPr>
            <w:tcW w:w="3058" w:type="pct"/>
            <w:shd w:val="clear" w:color="auto" w:fill="auto"/>
            <w:vAlign w:val="bottom"/>
          </w:tcPr>
          <w:p w14:paraId="5F2D28AD" w14:textId="77777777" w:rsidR="00E836FB" w:rsidRDefault="00E836FB">
            <w:pPr>
              <w:rPr>
                <w:rFonts w:ascii="宋体"/>
              </w:rPr>
            </w:pPr>
          </w:p>
        </w:tc>
        <w:tc>
          <w:tcPr>
            <w:tcW w:w="5" w:type="pct"/>
            <w:shd w:val="clear" w:color="auto" w:fill="auto"/>
            <w:vAlign w:val="bottom"/>
          </w:tcPr>
          <w:p w14:paraId="5F2D28AE" w14:textId="77777777" w:rsidR="00E836FB" w:rsidRDefault="00E836FB">
            <w:pPr>
              <w:rPr>
                <w:rFonts w:ascii="宋体"/>
              </w:rPr>
            </w:pPr>
          </w:p>
        </w:tc>
        <w:tc>
          <w:tcPr>
            <w:tcW w:w="50" w:type="pct"/>
            <w:shd w:val="clear" w:color="auto" w:fill="auto"/>
            <w:vAlign w:val="bottom"/>
          </w:tcPr>
          <w:p w14:paraId="5F2D28AF" w14:textId="77777777" w:rsidR="00E836FB" w:rsidRDefault="00E836FB">
            <w:pPr>
              <w:rPr>
                <w:rFonts w:ascii="宋体"/>
              </w:rPr>
            </w:pPr>
          </w:p>
        </w:tc>
        <w:tc>
          <w:tcPr>
            <w:tcW w:w="1831" w:type="pct"/>
            <w:shd w:val="clear" w:color="auto" w:fill="auto"/>
            <w:vAlign w:val="bottom"/>
          </w:tcPr>
          <w:p w14:paraId="5F2D28B0" w14:textId="77777777" w:rsidR="00E836FB" w:rsidRDefault="00E836FB">
            <w:pPr>
              <w:rPr>
                <w:rFonts w:ascii="宋体"/>
              </w:rPr>
            </w:pPr>
          </w:p>
        </w:tc>
        <w:tc>
          <w:tcPr>
            <w:tcW w:w="5" w:type="pct"/>
            <w:shd w:val="clear" w:color="auto" w:fill="auto"/>
            <w:vAlign w:val="bottom"/>
          </w:tcPr>
          <w:p w14:paraId="5F2D28B1" w14:textId="77777777" w:rsidR="00E836FB" w:rsidRDefault="00E836FB">
            <w:pPr>
              <w:rPr>
                <w:rFonts w:ascii="宋体"/>
              </w:rPr>
            </w:pPr>
          </w:p>
        </w:tc>
        <w:tc>
          <w:tcPr>
            <w:tcW w:w="0" w:type="auto"/>
            <w:shd w:val="clear" w:color="auto" w:fill="auto"/>
            <w:vAlign w:val="bottom"/>
          </w:tcPr>
          <w:p w14:paraId="5F2D28B2" w14:textId="77777777" w:rsidR="00E836FB" w:rsidRDefault="00E836FB">
            <w:pPr>
              <w:rPr>
                <w:rFonts w:ascii="宋体"/>
                <w:vanish/>
              </w:rPr>
            </w:pPr>
          </w:p>
        </w:tc>
      </w:tr>
      <w:tr w:rsidR="00E836FB" w14:paraId="5F2D28B7" w14:textId="77777777">
        <w:tc>
          <w:tcPr>
            <w:tcW w:w="0" w:type="auto"/>
            <w:gridSpan w:val="3"/>
            <w:shd w:val="clear" w:color="auto" w:fill="auto"/>
            <w:tcMar>
              <w:top w:w="40" w:type="dxa"/>
              <w:left w:w="20" w:type="dxa"/>
              <w:bottom w:w="40" w:type="dxa"/>
              <w:right w:w="20" w:type="dxa"/>
            </w:tcMar>
            <w:vAlign w:val="bottom"/>
          </w:tcPr>
          <w:p w14:paraId="5F2D28B4"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F2D28B5" w14:textId="77777777" w:rsidR="00E836FB" w:rsidRDefault="00994958">
            <w:pPr>
              <w:jc w:val="center"/>
              <w:textAlignment w:val="bottom"/>
            </w:pPr>
            <w:r>
              <w:rPr>
                <w:rFonts w:ascii="Arial" w:eastAsia="宋体" w:hAnsi="Arial" w:cs="Arial"/>
                <w:b/>
                <w:bCs/>
                <w:color w:val="000000"/>
                <w:sz w:val="15"/>
                <w:szCs w:val="15"/>
              </w:rPr>
              <w:t>Future Amortization</w:t>
            </w:r>
          </w:p>
        </w:tc>
        <w:tc>
          <w:tcPr>
            <w:tcW w:w="0" w:type="auto"/>
            <w:shd w:val="clear" w:color="auto" w:fill="auto"/>
            <w:vAlign w:val="bottom"/>
          </w:tcPr>
          <w:p w14:paraId="5F2D28B6" w14:textId="77777777" w:rsidR="00E836FB" w:rsidRDefault="00E836FB">
            <w:pPr>
              <w:rPr>
                <w:rFonts w:ascii="宋体"/>
                <w:vanish/>
              </w:rPr>
            </w:pPr>
          </w:p>
        </w:tc>
      </w:tr>
      <w:tr w:rsidR="00E836FB" w14:paraId="5F2D28BB" w14:textId="77777777">
        <w:tc>
          <w:tcPr>
            <w:tcW w:w="0" w:type="auto"/>
            <w:gridSpan w:val="3"/>
            <w:shd w:val="clear" w:color="auto" w:fill="auto"/>
            <w:tcMar>
              <w:top w:w="40" w:type="dxa"/>
              <w:left w:w="20" w:type="dxa"/>
              <w:bottom w:w="40" w:type="dxa"/>
              <w:right w:w="20" w:type="dxa"/>
            </w:tcMar>
            <w:vAlign w:val="bottom"/>
          </w:tcPr>
          <w:p w14:paraId="5F2D28B8" w14:textId="77777777" w:rsidR="00E836FB" w:rsidRDefault="00994958">
            <w:pPr>
              <w:textAlignment w:val="bottom"/>
            </w:pPr>
            <w:r>
              <w:rPr>
                <w:rFonts w:ascii="Arial" w:eastAsia="宋体" w:hAnsi="Arial" w:cs="Arial"/>
                <w:b/>
                <w:bCs/>
                <w:color w:val="000000"/>
                <w:sz w:val="15"/>
                <w:szCs w:val="15"/>
              </w:rPr>
              <w:t>Years Ended December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8B9" w14:textId="77777777" w:rsidR="00E836FB" w:rsidRDefault="00E836FB">
            <w:pPr>
              <w:rPr>
                <w:rFonts w:ascii="宋体"/>
              </w:rPr>
            </w:pPr>
          </w:p>
        </w:tc>
        <w:tc>
          <w:tcPr>
            <w:tcW w:w="0" w:type="auto"/>
            <w:shd w:val="clear" w:color="auto" w:fill="auto"/>
            <w:vAlign w:val="bottom"/>
          </w:tcPr>
          <w:p w14:paraId="5F2D28BA" w14:textId="77777777" w:rsidR="00E836FB" w:rsidRDefault="00E836FB">
            <w:pPr>
              <w:rPr>
                <w:rFonts w:ascii="宋体"/>
                <w:vanish/>
              </w:rPr>
            </w:pPr>
          </w:p>
        </w:tc>
      </w:tr>
      <w:tr w:rsidR="00E836FB" w14:paraId="5F2D28BF" w14:textId="77777777">
        <w:trPr>
          <w:hidden/>
        </w:trPr>
        <w:tc>
          <w:tcPr>
            <w:tcW w:w="0" w:type="auto"/>
            <w:gridSpan w:val="3"/>
            <w:shd w:val="clear" w:color="auto" w:fill="auto"/>
            <w:vAlign w:val="bottom"/>
          </w:tcPr>
          <w:p w14:paraId="5F2D28BC" w14:textId="77777777" w:rsidR="00E836FB" w:rsidRDefault="00E836FB">
            <w:pPr>
              <w:rPr>
                <w:rFonts w:ascii="宋体"/>
                <w:vanish/>
              </w:rPr>
            </w:pPr>
          </w:p>
        </w:tc>
        <w:tc>
          <w:tcPr>
            <w:tcW w:w="0" w:type="auto"/>
            <w:gridSpan w:val="3"/>
            <w:shd w:val="clear" w:color="auto" w:fill="auto"/>
            <w:vAlign w:val="bottom"/>
          </w:tcPr>
          <w:p w14:paraId="5F2D28BD" w14:textId="77777777" w:rsidR="00E836FB" w:rsidRDefault="00E836FB">
            <w:pPr>
              <w:rPr>
                <w:rFonts w:ascii="宋体"/>
                <w:vanish/>
              </w:rPr>
            </w:pPr>
          </w:p>
        </w:tc>
        <w:tc>
          <w:tcPr>
            <w:tcW w:w="0" w:type="auto"/>
            <w:shd w:val="clear" w:color="auto" w:fill="auto"/>
            <w:vAlign w:val="bottom"/>
          </w:tcPr>
          <w:p w14:paraId="5F2D28BE" w14:textId="77777777" w:rsidR="00E836FB" w:rsidRDefault="00E836FB">
            <w:pPr>
              <w:rPr>
                <w:rFonts w:ascii="宋体"/>
                <w:vanish/>
              </w:rPr>
            </w:pPr>
          </w:p>
        </w:tc>
      </w:tr>
      <w:tr w:rsidR="00E836FB" w14:paraId="5F2D28C3" w14:textId="77777777">
        <w:trPr>
          <w:hidden/>
        </w:trPr>
        <w:tc>
          <w:tcPr>
            <w:tcW w:w="0" w:type="auto"/>
            <w:gridSpan w:val="3"/>
            <w:shd w:val="clear" w:color="auto" w:fill="auto"/>
            <w:vAlign w:val="bottom"/>
          </w:tcPr>
          <w:p w14:paraId="5F2D28C0" w14:textId="77777777" w:rsidR="00E836FB" w:rsidRDefault="00E836FB">
            <w:pPr>
              <w:rPr>
                <w:rFonts w:ascii="宋体"/>
                <w:vanish/>
              </w:rPr>
            </w:pPr>
          </w:p>
        </w:tc>
        <w:tc>
          <w:tcPr>
            <w:tcW w:w="0" w:type="auto"/>
            <w:gridSpan w:val="3"/>
            <w:shd w:val="clear" w:color="auto" w:fill="auto"/>
            <w:vAlign w:val="bottom"/>
          </w:tcPr>
          <w:p w14:paraId="5F2D28C1" w14:textId="77777777" w:rsidR="00E836FB" w:rsidRDefault="00E836FB">
            <w:pPr>
              <w:rPr>
                <w:rFonts w:ascii="宋体"/>
                <w:vanish/>
              </w:rPr>
            </w:pPr>
          </w:p>
        </w:tc>
        <w:tc>
          <w:tcPr>
            <w:tcW w:w="0" w:type="auto"/>
            <w:shd w:val="clear" w:color="auto" w:fill="auto"/>
            <w:vAlign w:val="bottom"/>
          </w:tcPr>
          <w:p w14:paraId="5F2D28C2" w14:textId="77777777" w:rsidR="00E836FB" w:rsidRDefault="00E836FB">
            <w:pPr>
              <w:rPr>
                <w:rFonts w:ascii="宋体"/>
                <w:vanish/>
              </w:rPr>
            </w:pPr>
          </w:p>
        </w:tc>
      </w:tr>
      <w:tr w:rsidR="00E836FB" w14:paraId="5F2D28C7" w14:textId="77777777">
        <w:trPr>
          <w:hidden/>
        </w:trPr>
        <w:tc>
          <w:tcPr>
            <w:tcW w:w="0" w:type="auto"/>
            <w:gridSpan w:val="3"/>
            <w:shd w:val="clear" w:color="auto" w:fill="auto"/>
            <w:vAlign w:val="bottom"/>
          </w:tcPr>
          <w:p w14:paraId="5F2D28C4" w14:textId="77777777" w:rsidR="00E836FB" w:rsidRDefault="00E836FB">
            <w:pPr>
              <w:rPr>
                <w:rFonts w:ascii="宋体"/>
                <w:vanish/>
              </w:rPr>
            </w:pPr>
          </w:p>
        </w:tc>
        <w:tc>
          <w:tcPr>
            <w:tcW w:w="0" w:type="auto"/>
            <w:gridSpan w:val="3"/>
            <w:shd w:val="clear" w:color="auto" w:fill="auto"/>
            <w:vAlign w:val="bottom"/>
          </w:tcPr>
          <w:p w14:paraId="5F2D28C5" w14:textId="77777777" w:rsidR="00E836FB" w:rsidRDefault="00E836FB">
            <w:pPr>
              <w:rPr>
                <w:rFonts w:ascii="宋体"/>
                <w:vanish/>
              </w:rPr>
            </w:pPr>
          </w:p>
        </w:tc>
        <w:tc>
          <w:tcPr>
            <w:tcW w:w="0" w:type="auto"/>
            <w:shd w:val="clear" w:color="auto" w:fill="auto"/>
            <w:vAlign w:val="bottom"/>
          </w:tcPr>
          <w:p w14:paraId="5F2D28C6" w14:textId="77777777" w:rsidR="00E836FB" w:rsidRDefault="00E836FB">
            <w:pPr>
              <w:rPr>
                <w:rFonts w:ascii="宋体"/>
                <w:vanish/>
              </w:rPr>
            </w:pPr>
          </w:p>
        </w:tc>
      </w:tr>
      <w:tr w:rsidR="00E836FB" w14:paraId="5F2D28CB" w14:textId="77777777">
        <w:trPr>
          <w:hidden/>
        </w:trPr>
        <w:tc>
          <w:tcPr>
            <w:tcW w:w="0" w:type="auto"/>
            <w:gridSpan w:val="3"/>
            <w:shd w:val="clear" w:color="auto" w:fill="auto"/>
            <w:vAlign w:val="bottom"/>
          </w:tcPr>
          <w:p w14:paraId="5F2D28C8" w14:textId="77777777" w:rsidR="00E836FB" w:rsidRDefault="00E836FB">
            <w:pPr>
              <w:rPr>
                <w:rFonts w:ascii="宋体"/>
                <w:vanish/>
              </w:rPr>
            </w:pPr>
          </w:p>
        </w:tc>
        <w:tc>
          <w:tcPr>
            <w:tcW w:w="0" w:type="auto"/>
            <w:gridSpan w:val="3"/>
            <w:shd w:val="clear" w:color="auto" w:fill="auto"/>
            <w:vAlign w:val="bottom"/>
          </w:tcPr>
          <w:p w14:paraId="5F2D28C9" w14:textId="77777777" w:rsidR="00E836FB" w:rsidRDefault="00E836FB">
            <w:pPr>
              <w:rPr>
                <w:rFonts w:ascii="宋体"/>
                <w:vanish/>
              </w:rPr>
            </w:pPr>
          </w:p>
        </w:tc>
        <w:tc>
          <w:tcPr>
            <w:tcW w:w="0" w:type="auto"/>
            <w:shd w:val="clear" w:color="auto" w:fill="auto"/>
            <w:vAlign w:val="bottom"/>
          </w:tcPr>
          <w:p w14:paraId="5F2D28CA" w14:textId="77777777" w:rsidR="00E836FB" w:rsidRDefault="00E836FB">
            <w:pPr>
              <w:rPr>
                <w:rFonts w:ascii="宋体"/>
                <w:vanish/>
              </w:rPr>
            </w:pPr>
          </w:p>
        </w:tc>
      </w:tr>
      <w:tr w:rsidR="00E836FB" w14:paraId="5F2D28CF" w14:textId="77777777">
        <w:trPr>
          <w:hidden/>
        </w:trPr>
        <w:tc>
          <w:tcPr>
            <w:tcW w:w="0" w:type="auto"/>
            <w:gridSpan w:val="3"/>
            <w:shd w:val="clear" w:color="auto" w:fill="auto"/>
            <w:vAlign w:val="bottom"/>
          </w:tcPr>
          <w:p w14:paraId="5F2D28CC" w14:textId="77777777" w:rsidR="00E836FB" w:rsidRDefault="00E836FB">
            <w:pPr>
              <w:rPr>
                <w:rFonts w:ascii="宋体"/>
                <w:vanish/>
              </w:rPr>
            </w:pPr>
          </w:p>
        </w:tc>
        <w:tc>
          <w:tcPr>
            <w:tcW w:w="0" w:type="auto"/>
            <w:gridSpan w:val="3"/>
            <w:shd w:val="clear" w:color="auto" w:fill="auto"/>
            <w:vAlign w:val="bottom"/>
          </w:tcPr>
          <w:p w14:paraId="5F2D28CD" w14:textId="77777777" w:rsidR="00E836FB" w:rsidRDefault="00E836FB">
            <w:pPr>
              <w:rPr>
                <w:rFonts w:ascii="宋体"/>
                <w:vanish/>
              </w:rPr>
            </w:pPr>
          </w:p>
        </w:tc>
        <w:tc>
          <w:tcPr>
            <w:tcW w:w="0" w:type="auto"/>
            <w:shd w:val="clear" w:color="auto" w:fill="auto"/>
            <w:vAlign w:val="bottom"/>
          </w:tcPr>
          <w:p w14:paraId="5F2D28CE" w14:textId="77777777" w:rsidR="00E836FB" w:rsidRDefault="00E836FB">
            <w:pPr>
              <w:rPr>
                <w:rFonts w:ascii="宋体"/>
                <w:vanish/>
              </w:rPr>
            </w:pPr>
          </w:p>
        </w:tc>
      </w:tr>
      <w:tr w:rsidR="00E836FB" w14:paraId="5F2D28D5" w14:textId="77777777">
        <w:tc>
          <w:tcPr>
            <w:tcW w:w="0" w:type="auto"/>
            <w:gridSpan w:val="3"/>
            <w:shd w:val="clear" w:color="auto" w:fill="CCEEFF"/>
            <w:tcMar>
              <w:top w:w="40" w:type="dxa"/>
              <w:left w:w="20" w:type="dxa"/>
              <w:bottom w:w="40" w:type="dxa"/>
              <w:right w:w="20" w:type="dxa"/>
            </w:tcMar>
            <w:vAlign w:val="bottom"/>
          </w:tcPr>
          <w:p w14:paraId="5F2D28D0" w14:textId="77777777" w:rsidR="00E836FB" w:rsidRDefault="00994958">
            <w:pPr>
              <w:textAlignment w:val="bottom"/>
            </w:pPr>
            <w:r>
              <w:rPr>
                <w:rFonts w:ascii="Arial" w:eastAsia="宋体" w:hAnsi="Arial" w:cs="Arial"/>
                <w:color w:val="000000"/>
                <w:sz w:val="15"/>
                <w:szCs w:val="15"/>
              </w:rPr>
              <w:t>2022</w:t>
            </w:r>
          </w:p>
        </w:tc>
        <w:tc>
          <w:tcPr>
            <w:tcW w:w="0" w:type="auto"/>
            <w:shd w:val="clear" w:color="auto" w:fill="CCEEFF"/>
            <w:tcMar>
              <w:top w:w="40" w:type="dxa"/>
              <w:left w:w="20" w:type="dxa"/>
              <w:bottom w:w="40" w:type="dxa"/>
              <w:right w:w="0" w:type="dxa"/>
            </w:tcMar>
            <w:vAlign w:val="bottom"/>
          </w:tcPr>
          <w:p w14:paraId="5F2D28D1"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8D2" w14:textId="77777777" w:rsidR="00E836FB" w:rsidRDefault="00994958">
            <w:pPr>
              <w:jc w:val="right"/>
              <w:textAlignment w:val="bottom"/>
            </w:pPr>
            <w:r>
              <w:rPr>
                <w:rFonts w:ascii="Arial" w:eastAsia="宋体" w:hAnsi="Arial" w:cs="Arial"/>
                <w:color w:val="000000"/>
                <w:sz w:val="15"/>
                <w:szCs w:val="15"/>
              </w:rPr>
              <w:t>248 </w:t>
            </w:r>
          </w:p>
        </w:tc>
        <w:tc>
          <w:tcPr>
            <w:tcW w:w="0" w:type="auto"/>
            <w:shd w:val="clear" w:color="auto" w:fill="CCEEFF"/>
            <w:tcMar>
              <w:top w:w="40" w:type="dxa"/>
              <w:left w:w="0" w:type="dxa"/>
              <w:bottom w:w="40" w:type="dxa"/>
              <w:right w:w="20" w:type="dxa"/>
            </w:tcMar>
            <w:vAlign w:val="bottom"/>
          </w:tcPr>
          <w:p w14:paraId="5F2D28D3" w14:textId="77777777" w:rsidR="00E836FB" w:rsidRDefault="00E836FB">
            <w:pPr>
              <w:jc w:val="right"/>
              <w:rPr>
                <w:rFonts w:ascii="宋体"/>
              </w:rPr>
            </w:pPr>
          </w:p>
        </w:tc>
        <w:tc>
          <w:tcPr>
            <w:tcW w:w="0" w:type="auto"/>
            <w:shd w:val="clear" w:color="auto" w:fill="auto"/>
            <w:vAlign w:val="bottom"/>
          </w:tcPr>
          <w:p w14:paraId="5F2D28D4" w14:textId="77777777" w:rsidR="00E836FB" w:rsidRDefault="00E836FB">
            <w:pPr>
              <w:rPr>
                <w:rFonts w:ascii="宋体"/>
                <w:vanish/>
              </w:rPr>
            </w:pPr>
          </w:p>
        </w:tc>
      </w:tr>
      <w:tr w:rsidR="00E836FB" w14:paraId="5F2D28D9" w14:textId="77777777">
        <w:trPr>
          <w:hidden/>
        </w:trPr>
        <w:tc>
          <w:tcPr>
            <w:tcW w:w="0" w:type="auto"/>
            <w:gridSpan w:val="3"/>
            <w:shd w:val="clear" w:color="auto" w:fill="auto"/>
            <w:vAlign w:val="bottom"/>
          </w:tcPr>
          <w:p w14:paraId="5F2D28D6" w14:textId="77777777" w:rsidR="00E836FB" w:rsidRDefault="00E836FB">
            <w:pPr>
              <w:rPr>
                <w:rFonts w:ascii="宋体"/>
                <w:vanish/>
              </w:rPr>
            </w:pPr>
          </w:p>
        </w:tc>
        <w:tc>
          <w:tcPr>
            <w:tcW w:w="0" w:type="auto"/>
            <w:gridSpan w:val="3"/>
            <w:shd w:val="clear" w:color="auto" w:fill="auto"/>
            <w:vAlign w:val="bottom"/>
          </w:tcPr>
          <w:p w14:paraId="5F2D28D7" w14:textId="77777777" w:rsidR="00E836FB" w:rsidRDefault="00E836FB">
            <w:pPr>
              <w:rPr>
                <w:rFonts w:ascii="宋体"/>
                <w:vanish/>
              </w:rPr>
            </w:pPr>
          </w:p>
        </w:tc>
        <w:tc>
          <w:tcPr>
            <w:tcW w:w="0" w:type="auto"/>
            <w:shd w:val="clear" w:color="auto" w:fill="auto"/>
            <w:vAlign w:val="bottom"/>
          </w:tcPr>
          <w:p w14:paraId="5F2D28D8" w14:textId="77777777" w:rsidR="00E836FB" w:rsidRDefault="00E836FB">
            <w:pPr>
              <w:rPr>
                <w:rFonts w:ascii="宋体"/>
                <w:vanish/>
              </w:rPr>
            </w:pPr>
          </w:p>
        </w:tc>
      </w:tr>
      <w:tr w:rsidR="00E836FB" w14:paraId="5F2D28DD" w14:textId="77777777">
        <w:trPr>
          <w:hidden/>
        </w:trPr>
        <w:tc>
          <w:tcPr>
            <w:tcW w:w="0" w:type="auto"/>
            <w:gridSpan w:val="3"/>
            <w:shd w:val="clear" w:color="auto" w:fill="auto"/>
            <w:vAlign w:val="bottom"/>
          </w:tcPr>
          <w:p w14:paraId="5F2D28DA" w14:textId="77777777" w:rsidR="00E836FB" w:rsidRDefault="00E836FB">
            <w:pPr>
              <w:rPr>
                <w:rFonts w:ascii="宋体"/>
                <w:vanish/>
              </w:rPr>
            </w:pPr>
          </w:p>
        </w:tc>
        <w:tc>
          <w:tcPr>
            <w:tcW w:w="0" w:type="auto"/>
            <w:gridSpan w:val="3"/>
            <w:shd w:val="clear" w:color="auto" w:fill="auto"/>
            <w:vAlign w:val="bottom"/>
          </w:tcPr>
          <w:p w14:paraId="5F2D28DB" w14:textId="77777777" w:rsidR="00E836FB" w:rsidRDefault="00E836FB">
            <w:pPr>
              <w:rPr>
                <w:rFonts w:ascii="宋体"/>
                <w:vanish/>
              </w:rPr>
            </w:pPr>
          </w:p>
        </w:tc>
        <w:tc>
          <w:tcPr>
            <w:tcW w:w="0" w:type="auto"/>
            <w:shd w:val="clear" w:color="auto" w:fill="auto"/>
            <w:vAlign w:val="bottom"/>
          </w:tcPr>
          <w:p w14:paraId="5F2D28DC" w14:textId="77777777" w:rsidR="00E836FB" w:rsidRDefault="00E836FB">
            <w:pPr>
              <w:rPr>
                <w:rFonts w:ascii="宋体"/>
                <w:vanish/>
              </w:rPr>
            </w:pPr>
          </w:p>
        </w:tc>
      </w:tr>
      <w:tr w:rsidR="00E836FB" w14:paraId="5F2D28E2" w14:textId="77777777">
        <w:tc>
          <w:tcPr>
            <w:tcW w:w="0" w:type="auto"/>
            <w:gridSpan w:val="3"/>
            <w:shd w:val="clear" w:color="auto" w:fill="auto"/>
            <w:tcMar>
              <w:top w:w="40" w:type="dxa"/>
              <w:left w:w="20" w:type="dxa"/>
              <w:bottom w:w="40" w:type="dxa"/>
              <w:right w:w="20" w:type="dxa"/>
            </w:tcMar>
            <w:vAlign w:val="bottom"/>
          </w:tcPr>
          <w:p w14:paraId="5F2D28DE" w14:textId="77777777" w:rsidR="00E836FB" w:rsidRDefault="00994958">
            <w:pPr>
              <w:textAlignment w:val="bottom"/>
            </w:pPr>
            <w:r>
              <w:rPr>
                <w:rFonts w:ascii="Arial" w:eastAsia="宋体" w:hAnsi="Arial" w:cs="Arial"/>
                <w:color w:val="000000"/>
                <w:sz w:val="15"/>
                <w:szCs w:val="15"/>
              </w:rPr>
              <w:t>2023</w:t>
            </w:r>
          </w:p>
        </w:tc>
        <w:tc>
          <w:tcPr>
            <w:tcW w:w="0" w:type="auto"/>
            <w:gridSpan w:val="2"/>
            <w:shd w:val="clear" w:color="auto" w:fill="FFFFFF"/>
            <w:tcMar>
              <w:top w:w="40" w:type="dxa"/>
              <w:left w:w="20" w:type="dxa"/>
              <w:bottom w:w="40" w:type="dxa"/>
              <w:right w:w="0" w:type="dxa"/>
            </w:tcMar>
            <w:vAlign w:val="bottom"/>
          </w:tcPr>
          <w:p w14:paraId="5F2D28DF" w14:textId="77777777" w:rsidR="00E836FB" w:rsidRDefault="00994958">
            <w:pPr>
              <w:jc w:val="right"/>
              <w:textAlignment w:val="bottom"/>
            </w:pPr>
            <w:r>
              <w:rPr>
                <w:rFonts w:ascii="Arial" w:eastAsia="宋体" w:hAnsi="Arial" w:cs="Arial"/>
                <w:color w:val="000000"/>
                <w:sz w:val="15"/>
                <w:szCs w:val="15"/>
              </w:rPr>
              <w:t>246 </w:t>
            </w:r>
          </w:p>
        </w:tc>
        <w:tc>
          <w:tcPr>
            <w:tcW w:w="0" w:type="auto"/>
            <w:shd w:val="clear" w:color="auto" w:fill="FFFFFF"/>
            <w:tcMar>
              <w:top w:w="40" w:type="dxa"/>
              <w:left w:w="0" w:type="dxa"/>
              <w:bottom w:w="40" w:type="dxa"/>
              <w:right w:w="20" w:type="dxa"/>
            </w:tcMar>
            <w:vAlign w:val="bottom"/>
          </w:tcPr>
          <w:p w14:paraId="5F2D28E0" w14:textId="77777777" w:rsidR="00E836FB" w:rsidRDefault="00E836FB">
            <w:pPr>
              <w:jc w:val="right"/>
              <w:rPr>
                <w:rFonts w:ascii="宋体"/>
              </w:rPr>
            </w:pPr>
          </w:p>
        </w:tc>
        <w:tc>
          <w:tcPr>
            <w:tcW w:w="0" w:type="auto"/>
            <w:shd w:val="clear" w:color="auto" w:fill="auto"/>
            <w:vAlign w:val="bottom"/>
          </w:tcPr>
          <w:p w14:paraId="5F2D28E1" w14:textId="77777777" w:rsidR="00E836FB" w:rsidRDefault="00E836FB">
            <w:pPr>
              <w:rPr>
                <w:rFonts w:ascii="宋体"/>
                <w:vanish/>
              </w:rPr>
            </w:pPr>
          </w:p>
        </w:tc>
      </w:tr>
      <w:tr w:rsidR="00E836FB" w14:paraId="5F2D28E7" w14:textId="77777777">
        <w:tc>
          <w:tcPr>
            <w:tcW w:w="0" w:type="auto"/>
            <w:gridSpan w:val="3"/>
            <w:shd w:val="clear" w:color="auto" w:fill="CCEEFF"/>
            <w:tcMar>
              <w:top w:w="40" w:type="dxa"/>
              <w:left w:w="20" w:type="dxa"/>
              <w:bottom w:w="40" w:type="dxa"/>
              <w:right w:w="20" w:type="dxa"/>
            </w:tcMar>
            <w:vAlign w:val="bottom"/>
          </w:tcPr>
          <w:p w14:paraId="5F2D28E3" w14:textId="77777777" w:rsidR="00E836FB" w:rsidRDefault="00994958">
            <w:pPr>
              <w:textAlignment w:val="bottom"/>
            </w:pPr>
            <w:r>
              <w:rPr>
                <w:rFonts w:ascii="Arial" w:eastAsia="宋体" w:hAnsi="Arial" w:cs="Arial"/>
                <w:color w:val="000000"/>
                <w:sz w:val="15"/>
                <w:szCs w:val="15"/>
              </w:rPr>
              <w:t>2024</w:t>
            </w:r>
          </w:p>
        </w:tc>
        <w:tc>
          <w:tcPr>
            <w:tcW w:w="0" w:type="auto"/>
            <w:gridSpan w:val="2"/>
            <w:shd w:val="clear" w:color="auto" w:fill="CCEEFF"/>
            <w:tcMar>
              <w:top w:w="40" w:type="dxa"/>
              <w:left w:w="20" w:type="dxa"/>
              <w:bottom w:w="40" w:type="dxa"/>
              <w:right w:w="0" w:type="dxa"/>
            </w:tcMar>
            <w:vAlign w:val="bottom"/>
          </w:tcPr>
          <w:p w14:paraId="5F2D28E4" w14:textId="77777777" w:rsidR="00E836FB" w:rsidRDefault="00994958">
            <w:pPr>
              <w:jc w:val="right"/>
              <w:textAlignment w:val="bottom"/>
            </w:pPr>
            <w:r>
              <w:rPr>
                <w:rFonts w:ascii="Arial" w:eastAsia="宋体" w:hAnsi="Arial" w:cs="Arial"/>
                <w:color w:val="000000"/>
                <w:sz w:val="15"/>
                <w:szCs w:val="15"/>
              </w:rPr>
              <w:t>239 </w:t>
            </w:r>
          </w:p>
        </w:tc>
        <w:tc>
          <w:tcPr>
            <w:tcW w:w="0" w:type="auto"/>
            <w:shd w:val="clear" w:color="auto" w:fill="CCEEFF"/>
            <w:tcMar>
              <w:top w:w="40" w:type="dxa"/>
              <w:left w:w="0" w:type="dxa"/>
              <w:bottom w:w="40" w:type="dxa"/>
              <w:right w:w="20" w:type="dxa"/>
            </w:tcMar>
            <w:vAlign w:val="bottom"/>
          </w:tcPr>
          <w:p w14:paraId="5F2D28E5" w14:textId="77777777" w:rsidR="00E836FB" w:rsidRDefault="00E836FB">
            <w:pPr>
              <w:jc w:val="right"/>
              <w:rPr>
                <w:rFonts w:ascii="宋体"/>
              </w:rPr>
            </w:pPr>
          </w:p>
        </w:tc>
        <w:tc>
          <w:tcPr>
            <w:tcW w:w="0" w:type="auto"/>
            <w:shd w:val="clear" w:color="auto" w:fill="auto"/>
            <w:vAlign w:val="bottom"/>
          </w:tcPr>
          <w:p w14:paraId="5F2D28E6" w14:textId="77777777" w:rsidR="00E836FB" w:rsidRDefault="00E836FB">
            <w:pPr>
              <w:rPr>
                <w:rFonts w:ascii="宋体"/>
                <w:vanish/>
              </w:rPr>
            </w:pPr>
          </w:p>
        </w:tc>
      </w:tr>
      <w:tr w:rsidR="00E836FB" w14:paraId="5F2D28EC" w14:textId="77777777">
        <w:tc>
          <w:tcPr>
            <w:tcW w:w="0" w:type="auto"/>
            <w:gridSpan w:val="3"/>
            <w:shd w:val="clear" w:color="auto" w:fill="auto"/>
            <w:tcMar>
              <w:top w:w="40" w:type="dxa"/>
              <w:left w:w="20" w:type="dxa"/>
              <w:bottom w:w="40" w:type="dxa"/>
              <w:right w:w="20" w:type="dxa"/>
            </w:tcMar>
            <w:vAlign w:val="bottom"/>
          </w:tcPr>
          <w:p w14:paraId="5F2D28E8" w14:textId="77777777" w:rsidR="00E836FB" w:rsidRDefault="00994958">
            <w:pPr>
              <w:textAlignment w:val="bottom"/>
            </w:pPr>
            <w:r>
              <w:rPr>
                <w:rFonts w:ascii="Arial" w:eastAsia="宋体" w:hAnsi="Arial" w:cs="Arial"/>
                <w:color w:val="000000"/>
                <w:sz w:val="15"/>
                <w:szCs w:val="15"/>
              </w:rPr>
              <w:t>2025</w:t>
            </w:r>
          </w:p>
        </w:tc>
        <w:tc>
          <w:tcPr>
            <w:tcW w:w="0" w:type="auto"/>
            <w:gridSpan w:val="2"/>
            <w:shd w:val="clear" w:color="auto" w:fill="FFFFFF"/>
            <w:tcMar>
              <w:top w:w="40" w:type="dxa"/>
              <w:left w:w="20" w:type="dxa"/>
              <w:bottom w:w="40" w:type="dxa"/>
              <w:right w:w="0" w:type="dxa"/>
            </w:tcMar>
            <w:vAlign w:val="bottom"/>
          </w:tcPr>
          <w:p w14:paraId="5F2D28E9" w14:textId="77777777" w:rsidR="00E836FB" w:rsidRDefault="00994958">
            <w:pPr>
              <w:jc w:val="right"/>
              <w:textAlignment w:val="bottom"/>
            </w:pPr>
            <w:r>
              <w:rPr>
                <w:rFonts w:ascii="Arial" w:eastAsia="宋体" w:hAnsi="Arial" w:cs="Arial"/>
                <w:color w:val="000000"/>
                <w:sz w:val="15"/>
                <w:szCs w:val="15"/>
              </w:rPr>
              <w:t>214 </w:t>
            </w:r>
          </w:p>
        </w:tc>
        <w:tc>
          <w:tcPr>
            <w:tcW w:w="0" w:type="auto"/>
            <w:shd w:val="clear" w:color="auto" w:fill="FFFFFF"/>
            <w:tcMar>
              <w:top w:w="40" w:type="dxa"/>
              <w:left w:w="0" w:type="dxa"/>
              <w:bottom w:w="40" w:type="dxa"/>
              <w:right w:w="20" w:type="dxa"/>
            </w:tcMar>
            <w:vAlign w:val="bottom"/>
          </w:tcPr>
          <w:p w14:paraId="5F2D28EA" w14:textId="77777777" w:rsidR="00E836FB" w:rsidRDefault="00E836FB">
            <w:pPr>
              <w:jc w:val="right"/>
              <w:rPr>
                <w:rFonts w:ascii="宋体"/>
              </w:rPr>
            </w:pPr>
          </w:p>
        </w:tc>
        <w:tc>
          <w:tcPr>
            <w:tcW w:w="0" w:type="auto"/>
            <w:shd w:val="clear" w:color="auto" w:fill="auto"/>
            <w:vAlign w:val="bottom"/>
          </w:tcPr>
          <w:p w14:paraId="5F2D28EB" w14:textId="77777777" w:rsidR="00E836FB" w:rsidRDefault="00E836FB">
            <w:pPr>
              <w:rPr>
                <w:rFonts w:ascii="宋体"/>
                <w:vanish/>
              </w:rPr>
            </w:pPr>
          </w:p>
        </w:tc>
      </w:tr>
      <w:tr w:rsidR="00E836FB" w14:paraId="5F2D28F1" w14:textId="77777777">
        <w:tc>
          <w:tcPr>
            <w:tcW w:w="0" w:type="auto"/>
            <w:gridSpan w:val="3"/>
            <w:shd w:val="clear" w:color="auto" w:fill="CCEEFF"/>
            <w:tcMar>
              <w:top w:w="40" w:type="dxa"/>
              <w:left w:w="20" w:type="dxa"/>
              <w:bottom w:w="40" w:type="dxa"/>
              <w:right w:w="20" w:type="dxa"/>
            </w:tcMar>
            <w:vAlign w:val="bottom"/>
          </w:tcPr>
          <w:p w14:paraId="5F2D28ED" w14:textId="77777777" w:rsidR="00E836FB" w:rsidRDefault="00994958">
            <w:pPr>
              <w:textAlignment w:val="bottom"/>
            </w:pPr>
            <w:r>
              <w:rPr>
                <w:rFonts w:ascii="Arial" w:eastAsia="宋体" w:hAnsi="Arial" w:cs="Arial"/>
                <w:color w:val="000000"/>
                <w:sz w:val="15"/>
                <w:szCs w:val="15"/>
              </w:rPr>
              <w:t>2026</w:t>
            </w:r>
          </w:p>
        </w:tc>
        <w:tc>
          <w:tcPr>
            <w:tcW w:w="0" w:type="auto"/>
            <w:gridSpan w:val="2"/>
            <w:shd w:val="clear" w:color="auto" w:fill="CCEEFF"/>
            <w:tcMar>
              <w:top w:w="40" w:type="dxa"/>
              <w:left w:w="20" w:type="dxa"/>
              <w:bottom w:w="40" w:type="dxa"/>
              <w:right w:w="0" w:type="dxa"/>
            </w:tcMar>
            <w:vAlign w:val="bottom"/>
          </w:tcPr>
          <w:p w14:paraId="5F2D28EE" w14:textId="77777777" w:rsidR="00E836FB" w:rsidRDefault="00994958">
            <w:pPr>
              <w:jc w:val="right"/>
              <w:textAlignment w:val="bottom"/>
            </w:pPr>
            <w:r>
              <w:rPr>
                <w:rFonts w:ascii="Arial" w:eastAsia="宋体" w:hAnsi="Arial" w:cs="Arial"/>
                <w:color w:val="000000"/>
                <w:sz w:val="15"/>
                <w:szCs w:val="15"/>
              </w:rPr>
              <w:t>205 </w:t>
            </w:r>
          </w:p>
        </w:tc>
        <w:tc>
          <w:tcPr>
            <w:tcW w:w="0" w:type="auto"/>
            <w:shd w:val="clear" w:color="auto" w:fill="CCEEFF"/>
            <w:tcMar>
              <w:top w:w="40" w:type="dxa"/>
              <w:left w:w="0" w:type="dxa"/>
              <w:bottom w:w="40" w:type="dxa"/>
              <w:right w:w="20" w:type="dxa"/>
            </w:tcMar>
            <w:vAlign w:val="bottom"/>
          </w:tcPr>
          <w:p w14:paraId="5F2D28EF" w14:textId="77777777" w:rsidR="00E836FB" w:rsidRDefault="00E836FB">
            <w:pPr>
              <w:jc w:val="right"/>
              <w:rPr>
                <w:rFonts w:ascii="宋体"/>
              </w:rPr>
            </w:pPr>
          </w:p>
        </w:tc>
        <w:tc>
          <w:tcPr>
            <w:tcW w:w="0" w:type="auto"/>
            <w:shd w:val="clear" w:color="auto" w:fill="auto"/>
            <w:vAlign w:val="bottom"/>
          </w:tcPr>
          <w:p w14:paraId="5F2D28F0" w14:textId="77777777" w:rsidR="00E836FB" w:rsidRDefault="00E836FB">
            <w:pPr>
              <w:rPr>
                <w:rFonts w:ascii="宋体"/>
                <w:vanish/>
              </w:rPr>
            </w:pPr>
          </w:p>
        </w:tc>
      </w:tr>
    </w:tbl>
    <w:p w14:paraId="5F2D28F2" w14:textId="77777777" w:rsidR="00E836FB" w:rsidRDefault="00994958">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155</w:t>
      </w:r>
    </w:p>
    <w:p w14:paraId="5F2D28F3" w14:textId="77777777" w:rsidR="00E836FB" w:rsidRDefault="00E836FB">
      <w:pPr>
        <w:ind w:firstLine="450"/>
        <w:jc w:val="center"/>
      </w:pPr>
    </w:p>
    <w:p w14:paraId="5F2D28F4" w14:textId="77777777" w:rsidR="00E836FB" w:rsidRDefault="00994958">
      <w:r>
        <w:pict w14:anchorId="5F2D6E20">
          <v:rect id="_x0000_i1179" style="width:415.3pt;height:1.5pt" o:hralign="center" o:hrstd="t" o:hr="t" fillcolor="#a0a0a0" stroked="f"/>
        </w:pict>
      </w:r>
    </w:p>
    <w:p w14:paraId="5F2D28F5" w14:textId="77777777" w:rsidR="00E836FB" w:rsidRDefault="00994958">
      <w:pPr>
        <w:ind w:firstLine="450"/>
        <w:jc w:val="center"/>
      </w:pPr>
      <w:r>
        <w:rPr>
          <w:rFonts w:ascii="Arial" w:eastAsia="宋体" w:hAnsi="Arial" w:cs="Arial"/>
          <w:b/>
          <w:bCs/>
          <w:color w:val="000000"/>
          <w:sz w:val="20"/>
          <w:szCs w:val="20"/>
        </w:rPr>
        <w:t>STATE STREET CORPORATION</w:t>
      </w:r>
    </w:p>
    <w:p w14:paraId="5F2D28F6"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28F7" w14:textId="77777777" w:rsidR="00E836FB" w:rsidRDefault="00994958">
      <w:pPr>
        <w:spacing w:before="180"/>
      </w:pPr>
      <w:r>
        <w:rPr>
          <w:rFonts w:ascii="Arial" w:eastAsia="宋体" w:hAnsi="Arial" w:cs="Arial"/>
          <w:b/>
          <w:bCs/>
          <w:color w:val="000000"/>
          <w:sz w:val="20"/>
          <w:szCs w:val="20"/>
        </w:rPr>
        <w:t>Note 6.    Other Assets</w:t>
      </w:r>
    </w:p>
    <w:p w14:paraId="5F2D28F8" w14:textId="77777777" w:rsidR="00E836FB" w:rsidRDefault="00994958">
      <w:pPr>
        <w:spacing w:before="60"/>
        <w:ind w:firstLine="450"/>
      </w:pPr>
      <w:r>
        <w:rPr>
          <w:rFonts w:ascii="Arial" w:eastAsia="宋体" w:hAnsi="Arial" w:cs="Arial"/>
          <w:color w:val="000000"/>
          <w:sz w:val="20"/>
          <w:szCs w:val="20"/>
        </w:rPr>
        <w:t>The following table presents the components of other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3467"/>
        <w:gridCol w:w="39"/>
        <w:gridCol w:w="105"/>
        <w:gridCol w:w="2212"/>
        <w:gridCol w:w="36"/>
        <w:gridCol w:w="36"/>
        <w:gridCol w:w="36"/>
        <w:gridCol w:w="36"/>
        <w:gridCol w:w="105"/>
        <w:gridCol w:w="2182"/>
        <w:gridCol w:w="36"/>
      </w:tblGrid>
      <w:tr w:rsidR="00E836FB" w14:paraId="5F2D2905" w14:textId="77777777">
        <w:tc>
          <w:tcPr>
            <w:tcW w:w="50" w:type="pct"/>
            <w:shd w:val="clear" w:color="auto" w:fill="auto"/>
            <w:vAlign w:val="bottom"/>
          </w:tcPr>
          <w:p w14:paraId="5F2D28F9" w14:textId="77777777" w:rsidR="00E836FB" w:rsidRDefault="00E836FB">
            <w:pPr>
              <w:rPr>
                <w:rFonts w:ascii="宋体"/>
              </w:rPr>
            </w:pPr>
          </w:p>
        </w:tc>
        <w:tc>
          <w:tcPr>
            <w:tcW w:w="2101" w:type="pct"/>
            <w:shd w:val="clear" w:color="auto" w:fill="auto"/>
            <w:vAlign w:val="bottom"/>
          </w:tcPr>
          <w:p w14:paraId="5F2D28FA" w14:textId="77777777" w:rsidR="00E836FB" w:rsidRDefault="00E836FB">
            <w:pPr>
              <w:rPr>
                <w:rFonts w:ascii="宋体"/>
              </w:rPr>
            </w:pPr>
          </w:p>
        </w:tc>
        <w:tc>
          <w:tcPr>
            <w:tcW w:w="5" w:type="pct"/>
            <w:shd w:val="clear" w:color="auto" w:fill="auto"/>
            <w:vAlign w:val="bottom"/>
          </w:tcPr>
          <w:p w14:paraId="5F2D28FB" w14:textId="77777777" w:rsidR="00E836FB" w:rsidRDefault="00E836FB">
            <w:pPr>
              <w:rPr>
                <w:rFonts w:ascii="宋体"/>
              </w:rPr>
            </w:pPr>
          </w:p>
        </w:tc>
        <w:tc>
          <w:tcPr>
            <w:tcW w:w="50" w:type="pct"/>
            <w:shd w:val="clear" w:color="auto" w:fill="auto"/>
            <w:vAlign w:val="bottom"/>
          </w:tcPr>
          <w:p w14:paraId="5F2D28FC" w14:textId="77777777" w:rsidR="00E836FB" w:rsidRDefault="00E836FB">
            <w:pPr>
              <w:rPr>
                <w:rFonts w:ascii="宋体"/>
              </w:rPr>
            </w:pPr>
          </w:p>
        </w:tc>
        <w:tc>
          <w:tcPr>
            <w:tcW w:w="1348" w:type="pct"/>
            <w:shd w:val="clear" w:color="auto" w:fill="auto"/>
            <w:vAlign w:val="bottom"/>
          </w:tcPr>
          <w:p w14:paraId="5F2D28FD" w14:textId="77777777" w:rsidR="00E836FB" w:rsidRDefault="00E836FB">
            <w:pPr>
              <w:rPr>
                <w:rFonts w:ascii="宋体"/>
              </w:rPr>
            </w:pPr>
          </w:p>
        </w:tc>
        <w:tc>
          <w:tcPr>
            <w:tcW w:w="5" w:type="pct"/>
            <w:shd w:val="clear" w:color="auto" w:fill="auto"/>
            <w:vAlign w:val="bottom"/>
          </w:tcPr>
          <w:p w14:paraId="5F2D28FE" w14:textId="77777777" w:rsidR="00E836FB" w:rsidRDefault="00E836FB">
            <w:pPr>
              <w:rPr>
                <w:rFonts w:ascii="宋体"/>
              </w:rPr>
            </w:pPr>
          </w:p>
        </w:tc>
        <w:tc>
          <w:tcPr>
            <w:tcW w:w="5" w:type="pct"/>
            <w:shd w:val="clear" w:color="auto" w:fill="auto"/>
            <w:vAlign w:val="bottom"/>
          </w:tcPr>
          <w:p w14:paraId="5F2D28FF" w14:textId="77777777" w:rsidR="00E836FB" w:rsidRDefault="00E836FB">
            <w:pPr>
              <w:rPr>
                <w:rFonts w:ascii="宋体"/>
              </w:rPr>
            </w:pPr>
          </w:p>
        </w:tc>
        <w:tc>
          <w:tcPr>
            <w:tcW w:w="26" w:type="pct"/>
            <w:shd w:val="clear" w:color="auto" w:fill="auto"/>
            <w:vAlign w:val="bottom"/>
          </w:tcPr>
          <w:p w14:paraId="5F2D2900" w14:textId="77777777" w:rsidR="00E836FB" w:rsidRDefault="00E836FB">
            <w:pPr>
              <w:rPr>
                <w:rFonts w:ascii="宋体"/>
              </w:rPr>
            </w:pPr>
          </w:p>
        </w:tc>
        <w:tc>
          <w:tcPr>
            <w:tcW w:w="5" w:type="pct"/>
            <w:shd w:val="clear" w:color="auto" w:fill="auto"/>
            <w:vAlign w:val="bottom"/>
          </w:tcPr>
          <w:p w14:paraId="5F2D2901" w14:textId="77777777" w:rsidR="00E836FB" w:rsidRDefault="00E836FB">
            <w:pPr>
              <w:rPr>
                <w:rFonts w:ascii="宋体"/>
              </w:rPr>
            </w:pPr>
          </w:p>
        </w:tc>
        <w:tc>
          <w:tcPr>
            <w:tcW w:w="50" w:type="pct"/>
            <w:shd w:val="clear" w:color="auto" w:fill="auto"/>
            <w:vAlign w:val="bottom"/>
          </w:tcPr>
          <w:p w14:paraId="5F2D2902" w14:textId="77777777" w:rsidR="00E836FB" w:rsidRDefault="00E836FB">
            <w:pPr>
              <w:rPr>
                <w:rFonts w:ascii="宋体"/>
              </w:rPr>
            </w:pPr>
          </w:p>
        </w:tc>
        <w:tc>
          <w:tcPr>
            <w:tcW w:w="1348" w:type="pct"/>
            <w:shd w:val="clear" w:color="auto" w:fill="auto"/>
            <w:vAlign w:val="bottom"/>
          </w:tcPr>
          <w:p w14:paraId="5F2D2903" w14:textId="77777777" w:rsidR="00E836FB" w:rsidRDefault="00E836FB">
            <w:pPr>
              <w:rPr>
                <w:rFonts w:ascii="宋体"/>
              </w:rPr>
            </w:pPr>
          </w:p>
        </w:tc>
        <w:tc>
          <w:tcPr>
            <w:tcW w:w="5" w:type="pct"/>
            <w:shd w:val="clear" w:color="auto" w:fill="auto"/>
            <w:vAlign w:val="bottom"/>
          </w:tcPr>
          <w:p w14:paraId="5F2D2904" w14:textId="77777777" w:rsidR="00E836FB" w:rsidRDefault="00E836FB">
            <w:pPr>
              <w:rPr>
                <w:rFonts w:ascii="宋体"/>
              </w:rPr>
            </w:pPr>
          </w:p>
        </w:tc>
      </w:tr>
      <w:tr w:rsidR="00E836FB" w14:paraId="5F2D290A" w14:textId="77777777">
        <w:tc>
          <w:tcPr>
            <w:tcW w:w="0" w:type="auto"/>
            <w:gridSpan w:val="3"/>
            <w:shd w:val="clear" w:color="auto" w:fill="auto"/>
            <w:tcMar>
              <w:top w:w="40" w:type="dxa"/>
              <w:left w:w="20" w:type="dxa"/>
              <w:bottom w:w="40" w:type="dxa"/>
              <w:right w:w="20" w:type="dxa"/>
            </w:tcMar>
            <w:vAlign w:val="bottom"/>
          </w:tcPr>
          <w:p w14:paraId="5F2D2906"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F2D2907"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D290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909"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D2913" w14:textId="77777777">
        <w:tc>
          <w:tcPr>
            <w:tcW w:w="0" w:type="auto"/>
            <w:gridSpan w:val="3"/>
            <w:shd w:val="clear" w:color="auto" w:fill="CCEEFF"/>
            <w:tcMar>
              <w:top w:w="40" w:type="dxa"/>
              <w:left w:w="20" w:type="dxa"/>
              <w:bottom w:w="40" w:type="dxa"/>
              <w:right w:w="20" w:type="dxa"/>
            </w:tcMar>
            <w:vAlign w:val="bottom"/>
          </w:tcPr>
          <w:p w14:paraId="5F2D290B" w14:textId="77777777" w:rsidR="00E836FB" w:rsidRDefault="00994958">
            <w:pPr>
              <w:textAlignment w:val="bottom"/>
            </w:pPr>
            <w:r>
              <w:rPr>
                <w:rFonts w:ascii="Arial" w:eastAsia="宋体" w:hAnsi="Arial" w:cs="Arial"/>
                <w:color w:val="000000"/>
                <w:sz w:val="15"/>
                <w:szCs w:val="15"/>
              </w:rPr>
              <w:t>Securities 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290C"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0D" w14:textId="77777777" w:rsidR="00E836FB" w:rsidRDefault="00994958">
            <w:pPr>
              <w:jc w:val="right"/>
              <w:textAlignment w:val="bottom"/>
            </w:pPr>
            <w:r>
              <w:rPr>
                <w:rFonts w:ascii="Arial" w:eastAsia="宋体" w:hAnsi="Arial" w:cs="Arial"/>
                <w:b/>
                <w:bCs/>
                <w:color w:val="000000"/>
                <w:sz w:val="15"/>
                <w:szCs w:val="15"/>
              </w:rPr>
              <w:t>22,300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0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0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10"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11" w14:textId="77777777" w:rsidR="00E836FB" w:rsidRDefault="00994958">
            <w:pPr>
              <w:jc w:val="right"/>
              <w:textAlignment w:val="bottom"/>
            </w:pPr>
            <w:r>
              <w:rPr>
                <w:rFonts w:ascii="Arial" w:eastAsia="宋体" w:hAnsi="Arial" w:cs="Arial"/>
                <w:color w:val="000000"/>
                <w:sz w:val="15"/>
                <w:szCs w:val="15"/>
              </w:rPr>
              <w:t>18,330 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12" w14:textId="77777777" w:rsidR="00E836FB" w:rsidRDefault="00E836FB">
            <w:pPr>
              <w:jc w:val="right"/>
              <w:rPr>
                <w:rFonts w:ascii="宋体"/>
              </w:rPr>
            </w:pPr>
          </w:p>
        </w:tc>
      </w:tr>
      <w:tr w:rsidR="00E836FB" w14:paraId="5F2D291A" w14:textId="77777777">
        <w:tc>
          <w:tcPr>
            <w:tcW w:w="0" w:type="auto"/>
            <w:gridSpan w:val="3"/>
            <w:shd w:val="clear" w:color="auto" w:fill="FFFFFF"/>
            <w:tcMar>
              <w:top w:w="40" w:type="dxa"/>
              <w:left w:w="20" w:type="dxa"/>
              <w:bottom w:w="40" w:type="dxa"/>
              <w:right w:w="20" w:type="dxa"/>
            </w:tcMar>
            <w:vAlign w:val="bottom"/>
          </w:tcPr>
          <w:p w14:paraId="5F2D2914" w14:textId="77777777" w:rsidR="00E836FB" w:rsidRDefault="00994958">
            <w:pPr>
              <w:textAlignment w:val="bottom"/>
            </w:pPr>
            <w:r>
              <w:rPr>
                <w:rFonts w:ascii="Arial" w:eastAsia="宋体" w:hAnsi="Arial" w:cs="Arial"/>
                <w:color w:val="000000"/>
                <w:sz w:val="15"/>
                <w:szCs w:val="15"/>
              </w:rPr>
              <w:t>Derivative instruments, net</w:t>
            </w:r>
          </w:p>
        </w:tc>
        <w:tc>
          <w:tcPr>
            <w:tcW w:w="0" w:type="auto"/>
            <w:gridSpan w:val="2"/>
            <w:shd w:val="clear" w:color="auto" w:fill="FFFFFF"/>
            <w:tcMar>
              <w:top w:w="40" w:type="dxa"/>
              <w:left w:w="20" w:type="dxa"/>
              <w:bottom w:w="40" w:type="dxa"/>
              <w:right w:w="0" w:type="dxa"/>
            </w:tcMar>
            <w:vAlign w:val="bottom"/>
          </w:tcPr>
          <w:p w14:paraId="5F2D2915" w14:textId="77777777" w:rsidR="00E836FB" w:rsidRDefault="00994958">
            <w:pPr>
              <w:jc w:val="right"/>
              <w:textAlignment w:val="bottom"/>
            </w:pPr>
            <w:r>
              <w:rPr>
                <w:rFonts w:ascii="Arial" w:eastAsia="宋体" w:hAnsi="Arial" w:cs="Arial"/>
                <w:b/>
                <w:bCs/>
                <w:color w:val="000000"/>
                <w:sz w:val="15"/>
                <w:szCs w:val="15"/>
              </w:rPr>
              <w:t>4,108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9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91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918" w14:textId="77777777" w:rsidR="00E836FB" w:rsidRDefault="00994958">
            <w:pPr>
              <w:jc w:val="right"/>
              <w:textAlignment w:val="bottom"/>
            </w:pPr>
            <w:r>
              <w:rPr>
                <w:rFonts w:ascii="Arial" w:eastAsia="宋体" w:hAnsi="Arial" w:cs="Arial"/>
                <w:color w:val="000000"/>
                <w:sz w:val="15"/>
                <w:szCs w:val="15"/>
              </w:rPr>
              <w:t>5,804 </w:t>
            </w:r>
          </w:p>
        </w:tc>
        <w:tc>
          <w:tcPr>
            <w:tcW w:w="0" w:type="auto"/>
            <w:shd w:val="clear" w:color="auto" w:fill="FFFFFF"/>
            <w:tcMar>
              <w:top w:w="40" w:type="dxa"/>
              <w:left w:w="0" w:type="dxa"/>
              <w:bottom w:w="40" w:type="dxa"/>
              <w:right w:w="20" w:type="dxa"/>
            </w:tcMar>
            <w:vAlign w:val="bottom"/>
          </w:tcPr>
          <w:p w14:paraId="5F2D2919" w14:textId="77777777" w:rsidR="00E836FB" w:rsidRDefault="00E836FB">
            <w:pPr>
              <w:jc w:val="right"/>
              <w:rPr>
                <w:rFonts w:ascii="宋体"/>
              </w:rPr>
            </w:pPr>
          </w:p>
        </w:tc>
      </w:tr>
      <w:tr w:rsidR="00E836FB" w14:paraId="5F2D2921" w14:textId="77777777">
        <w:tc>
          <w:tcPr>
            <w:tcW w:w="0" w:type="auto"/>
            <w:gridSpan w:val="3"/>
            <w:shd w:val="clear" w:color="auto" w:fill="CCEEFF"/>
            <w:tcMar>
              <w:top w:w="40" w:type="dxa"/>
              <w:left w:w="20" w:type="dxa"/>
              <w:bottom w:w="40" w:type="dxa"/>
              <w:right w:w="20" w:type="dxa"/>
            </w:tcMar>
            <w:vAlign w:val="bottom"/>
          </w:tcPr>
          <w:p w14:paraId="5F2D291B" w14:textId="77777777" w:rsidR="00E836FB" w:rsidRDefault="00994958">
            <w:pPr>
              <w:textAlignment w:val="bottom"/>
            </w:pPr>
            <w:r>
              <w:rPr>
                <w:rFonts w:ascii="Arial" w:eastAsia="宋体" w:hAnsi="Arial" w:cs="Arial"/>
                <w:color w:val="000000"/>
                <w:sz w:val="15"/>
                <w:szCs w:val="15"/>
              </w:rPr>
              <w:t>Bank-owned life insurance</w:t>
            </w:r>
          </w:p>
        </w:tc>
        <w:tc>
          <w:tcPr>
            <w:tcW w:w="0" w:type="auto"/>
            <w:gridSpan w:val="2"/>
            <w:shd w:val="clear" w:color="auto" w:fill="CCEEFF"/>
            <w:tcMar>
              <w:top w:w="40" w:type="dxa"/>
              <w:left w:w="20" w:type="dxa"/>
              <w:bottom w:w="40" w:type="dxa"/>
              <w:right w:w="0" w:type="dxa"/>
            </w:tcMar>
            <w:vAlign w:val="bottom"/>
          </w:tcPr>
          <w:p w14:paraId="5F2D291C" w14:textId="77777777" w:rsidR="00E836FB" w:rsidRDefault="00994958">
            <w:pPr>
              <w:jc w:val="right"/>
              <w:textAlignment w:val="bottom"/>
            </w:pPr>
            <w:r>
              <w:rPr>
                <w:rFonts w:ascii="Arial" w:eastAsia="宋体" w:hAnsi="Arial" w:cs="Arial"/>
                <w:b/>
                <w:bCs/>
                <w:color w:val="000000"/>
                <w:sz w:val="15"/>
                <w:szCs w:val="15"/>
              </w:rPr>
              <w:t>3,554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91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1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91F" w14:textId="77777777" w:rsidR="00E836FB" w:rsidRDefault="00994958">
            <w:pPr>
              <w:jc w:val="right"/>
              <w:textAlignment w:val="bottom"/>
            </w:pPr>
            <w:r>
              <w:rPr>
                <w:rFonts w:ascii="Arial" w:eastAsia="宋体" w:hAnsi="Arial" w:cs="Arial"/>
                <w:color w:val="000000"/>
                <w:sz w:val="15"/>
                <w:szCs w:val="15"/>
              </w:rPr>
              <w:t>3,479 </w:t>
            </w:r>
          </w:p>
        </w:tc>
        <w:tc>
          <w:tcPr>
            <w:tcW w:w="0" w:type="auto"/>
            <w:shd w:val="clear" w:color="auto" w:fill="CCEEFF"/>
            <w:tcMar>
              <w:top w:w="40" w:type="dxa"/>
              <w:left w:w="0" w:type="dxa"/>
              <w:bottom w:w="40" w:type="dxa"/>
              <w:right w:w="20" w:type="dxa"/>
            </w:tcMar>
            <w:vAlign w:val="bottom"/>
          </w:tcPr>
          <w:p w14:paraId="5F2D2920" w14:textId="77777777" w:rsidR="00E836FB" w:rsidRDefault="00E836FB">
            <w:pPr>
              <w:jc w:val="right"/>
              <w:rPr>
                <w:rFonts w:ascii="宋体"/>
              </w:rPr>
            </w:pPr>
          </w:p>
        </w:tc>
      </w:tr>
      <w:tr w:rsidR="00E836FB" w14:paraId="5F2D2928" w14:textId="77777777">
        <w:tc>
          <w:tcPr>
            <w:tcW w:w="0" w:type="auto"/>
            <w:gridSpan w:val="3"/>
            <w:shd w:val="clear" w:color="auto" w:fill="FFFFFF"/>
            <w:tcMar>
              <w:top w:w="40" w:type="dxa"/>
              <w:left w:w="20" w:type="dxa"/>
              <w:bottom w:w="40" w:type="dxa"/>
              <w:right w:w="20" w:type="dxa"/>
            </w:tcMar>
            <w:vAlign w:val="bottom"/>
          </w:tcPr>
          <w:p w14:paraId="5F2D2922" w14:textId="77777777" w:rsidR="00E836FB" w:rsidRDefault="00994958">
            <w:pPr>
              <w:textAlignment w:val="bottom"/>
            </w:pPr>
            <w:r>
              <w:rPr>
                <w:rFonts w:ascii="Arial" w:eastAsia="宋体" w:hAnsi="Arial" w:cs="Arial"/>
                <w:color w:val="000000"/>
                <w:sz w:val="15"/>
                <w:szCs w:val="15"/>
              </w:rPr>
              <w:t>Investments in joint ventures and other unconsolidated entities</w:t>
            </w:r>
          </w:p>
        </w:tc>
        <w:tc>
          <w:tcPr>
            <w:tcW w:w="0" w:type="auto"/>
            <w:gridSpan w:val="2"/>
            <w:shd w:val="clear" w:color="auto" w:fill="FFFFFF"/>
            <w:tcMar>
              <w:top w:w="40" w:type="dxa"/>
              <w:left w:w="20" w:type="dxa"/>
              <w:bottom w:w="40" w:type="dxa"/>
              <w:right w:w="0" w:type="dxa"/>
            </w:tcMar>
            <w:vAlign w:val="bottom"/>
          </w:tcPr>
          <w:p w14:paraId="5F2D2923" w14:textId="77777777" w:rsidR="00E836FB" w:rsidRDefault="00994958">
            <w:pPr>
              <w:jc w:val="right"/>
              <w:textAlignment w:val="bottom"/>
            </w:pPr>
            <w:r>
              <w:rPr>
                <w:rFonts w:ascii="Arial" w:eastAsia="宋体" w:hAnsi="Arial" w:cs="Arial"/>
                <w:b/>
                <w:bCs/>
                <w:color w:val="000000"/>
                <w:sz w:val="15"/>
                <w:szCs w:val="15"/>
              </w:rPr>
              <w:t>3,162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9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92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926" w14:textId="77777777" w:rsidR="00E836FB" w:rsidRDefault="00994958">
            <w:pPr>
              <w:jc w:val="right"/>
              <w:textAlignment w:val="bottom"/>
            </w:pPr>
            <w:r>
              <w:rPr>
                <w:rFonts w:ascii="Arial" w:eastAsia="宋体" w:hAnsi="Arial" w:cs="Arial"/>
                <w:color w:val="000000"/>
                <w:sz w:val="15"/>
                <w:szCs w:val="15"/>
              </w:rPr>
              <w:t>3,095 </w:t>
            </w:r>
          </w:p>
        </w:tc>
        <w:tc>
          <w:tcPr>
            <w:tcW w:w="0" w:type="auto"/>
            <w:shd w:val="clear" w:color="auto" w:fill="FFFFFF"/>
            <w:tcMar>
              <w:top w:w="40" w:type="dxa"/>
              <w:left w:w="0" w:type="dxa"/>
              <w:bottom w:w="40" w:type="dxa"/>
              <w:right w:w="20" w:type="dxa"/>
            </w:tcMar>
            <w:vAlign w:val="bottom"/>
          </w:tcPr>
          <w:p w14:paraId="5F2D2927" w14:textId="77777777" w:rsidR="00E836FB" w:rsidRDefault="00E836FB">
            <w:pPr>
              <w:jc w:val="right"/>
              <w:rPr>
                <w:rFonts w:ascii="宋体"/>
              </w:rPr>
            </w:pPr>
          </w:p>
        </w:tc>
      </w:tr>
      <w:tr w:rsidR="00E836FB" w14:paraId="5F2D292F" w14:textId="77777777">
        <w:tc>
          <w:tcPr>
            <w:tcW w:w="0" w:type="auto"/>
            <w:gridSpan w:val="3"/>
            <w:shd w:val="clear" w:color="auto" w:fill="CCEEFF"/>
            <w:tcMar>
              <w:top w:w="40" w:type="dxa"/>
              <w:left w:w="20" w:type="dxa"/>
              <w:bottom w:w="40" w:type="dxa"/>
              <w:right w:w="20" w:type="dxa"/>
            </w:tcMar>
            <w:vAlign w:val="bottom"/>
          </w:tcPr>
          <w:p w14:paraId="5F2D2929" w14:textId="77777777" w:rsidR="00E836FB" w:rsidRDefault="00994958">
            <w:pPr>
              <w:textAlignment w:val="bottom"/>
            </w:pPr>
            <w:r>
              <w:rPr>
                <w:rFonts w:ascii="Arial" w:eastAsia="宋体" w:hAnsi="Arial" w:cs="Arial"/>
                <w:color w:val="000000"/>
                <w:sz w:val="15"/>
                <w:szCs w:val="15"/>
              </w:rPr>
              <w:t>Collateral, net</w:t>
            </w:r>
          </w:p>
        </w:tc>
        <w:tc>
          <w:tcPr>
            <w:tcW w:w="0" w:type="auto"/>
            <w:gridSpan w:val="2"/>
            <w:shd w:val="clear" w:color="auto" w:fill="CCEEFF"/>
            <w:tcMar>
              <w:top w:w="40" w:type="dxa"/>
              <w:left w:w="20" w:type="dxa"/>
              <w:bottom w:w="40" w:type="dxa"/>
              <w:right w:w="0" w:type="dxa"/>
            </w:tcMar>
            <w:vAlign w:val="bottom"/>
          </w:tcPr>
          <w:p w14:paraId="5F2D292A" w14:textId="77777777" w:rsidR="00E836FB" w:rsidRDefault="00994958">
            <w:pPr>
              <w:jc w:val="right"/>
              <w:textAlignment w:val="bottom"/>
            </w:pPr>
            <w:r>
              <w:rPr>
                <w:rFonts w:ascii="Arial" w:eastAsia="宋体" w:hAnsi="Arial" w:cs="Arial"/>
                <w:b/>
                <w:bCs/>
                <w:color w:val="000000"/>
                <w:sz w:val="15"/>
                <w:szCs w:val="15"/>
              </w:rPr>
              <w:t>1,011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9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2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92D" w14:textId="77777777" w:rsidR="00E836FB" w:rsidRDefault="00994958">
            <w:pPr>
              <w:jc w:val="right"/>
              <w:textAlignment w:val="bottom"/>
            </w:pPr>
            <w:r>
              <w:rPr>
                <w:rFonts w:ascii="Arial" w:eastAsia="宋体" w:hAnsi="Arial" w:cs="Arial"/>
                <w:color w:val="000000"/>
                <w:sz w:val="15"/>
                <w:szCs w:val="15"/>
              </w:rPr>
              <w:t>2,616 </w:t>
            </w:r>
          </w:p>
        </w:tc>
        <w:tc>
          <w:tcPr>
            <w:tcW w:w="0" w:type="auto"/>
            <w:shd w:val="clear" w:color="auto" w:fill="CCEEFF"/>
            <w:tcMar>
              <w:top w:w="40" w:type="dxa"/>
              <w:left w:w="0" w:type="dxa"/>
              <w:bottom w:w="40" w:type="dxa"/>
              <w:right w:w="20" w:type="dxa"/>
            </w:tcMar>
            <w:vAlign w:val="bottom"/>
          </w:tcPr>
          <w:p w14:paraId="5F2D292E" w14:textId="77777777" w:rsidR="00E836FB" w:rsidRDefault="00E836FB">
            <w:pPr>
              <w:jc w:val="right"/>
              <w:rPr>
                <w:rFonts w:ascii="宋体"/>
              </w:rPr>
            </w:pPr>
          </w:p>
        </w:tc>
      </w:tr>
      <w:tr w:rsidR="00E836FB" w14:paraId="5F2D2936" w14:textId="77777777">
        <w:tc>
          <w:tcPr>
            <w:tcW w:w="0" w:type="auto"/>
            <w:gridSpan w:val="3"/>
            <w:shd w:val="clear" w:color="auto" w:fill="FFFFFF"/>
            <w:tcMar>
              <w:top w:w="40" w:type="dxa"/>
              <w:left w:w="20" w:type="dxa"/>
              <w:bottom w:w="40" w:type="dxa"/>
              <w:right w:w="20" w:type="dxa"/>
            </w:tcMar>
            <w:vAlign w:val="bottom"/>
          </w:tcPr>
          <w:p w14:paraId="5F2D2930" w14:textId="77777777" w:rsidR="00E836FB" w:rsidRDefault="00994958">
            <w:pPr>
              <w:textAlignment w:val="bottom"/>
            </w:pPr>
            <w:r>
              <w:rPr>
                <w:rFonts w:ascii="Arial" w:eastAsia="宋体" w:hAnsi="Arial" w:cs="Arial"/>
                <w:color w:val="000000"/>
                <w:sz w:val="15"/>
                <w:szCs w:val="15"/>
              </w:rPr>
              <w:t>Prepaid expenses</w:t>
            </w:r>
          </w:p>
        </w:tc>
        <w:tc>
          <w:tcPr>
            <w:tcW w:w="0" w:type="auto"/>
            <w:gridSpan w:val="2"/>
            <w:shd w:val="clear" w:color="auto" w:fill="FFFFFF"/>
            <w:tcMar>
              <w:top w:w="40" w:type="dxa"/>
              <w:left w:w="20" w:type="dxa"/>
              <w:bottom w:w="40" w:type="dxa"/>
              <w:right w:w="0" w:type="dxa"/>
            </w:tcMar>
            <w:vAlign w:val="bottom"/>
          </w:tcPr>
          <w:p w14:paraId="5F2D2931" w14:textId="77777777" w:rsidR="00E836FB" w:rsidRDefault="00994958">
            <w:pPr>
              <w:jc w:val="right"/>
              <w:textAlignment w:val="bottom"/>
            </w:pPr>
            <w:r>
              <w:rPr>
                <w:rFonts w:ascii="Arial" w:eastAsia="宋体" w:hAnsi="Arial" w:cs="Arial"/>
                <w:b/>
                <w:bCs/>
                <w:color w:val="000000"/>
                <w:sz w:val="15"/>
                <w:szCs w:val="15"/>
              </w:rPr>
              <w:t>612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9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93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934" w14:textId="77777777" w:rsidR="00E836FB" w:rsidRDefault="00994958">
            <w:pPr>
              <w:jc w:val="right"/>
              <w:textAlignment w:val="bottom"/>
            </w:pPr>
            <w:r>
              <w:rPr>
                <w:rFonts w:ascii="Arial" w:eastAsia="宋体" w:hAnsi="Arial" w:cs="Arial"/>
                <w:color w:val="000000"/>
                <w:sz w:val="15"/>
                <w:szCs w:val="15"/>
              </w:rPr>
              <w:t>383 </w:t>
            </w:r>
          </w:p>
        </w:tc>
        <w:tc>
          <w:tcPr>
            <w:tcW w:w="0" w:type="auto"/>
            <w:shd w:val="clear" w:color="auto" w:fill="FFFFFF"/>
            <w:tcMar>
              <w:top w:w="40" w:type="dxa"/>
              <w:left w:w="0" w:type="dxa"/>
              <w:bottom w:w="40" w:type="dxa"/>
              <w:right w:w="20" w:type="dxa"/>
            </w:tcMar>
            <w:vAlign w:val="bottom"/>
          </w:tcPr>
          <w:p w14:paraId="5F2D2935" w14:textId="77777777" w:rsidR="00E836FB" w:rsidRDefault="00E836FB">
            <w:pPr>
              <w:jc w:val="right"/>
              <w:rPr>
                <w:rFonts w:ascii="宋体"/>
              </w:rPr>
            </w:pPr>
          </w:p>
        </w:tc>
      </w:tr>
      <w:tr w:rsidR="00E836FB" w14:paraId="5F2D293D" w14:textId="77777777">
        <w:tc>
          <w:tcPr>
            <w:tcW w:w="0" w:type="auto"/>
            <w:gridSpan w:val="3"/>
            <w:shd w:val="clear" w:color="auto" w:fill="CCEEFF"/>
            <w:tcMar>
              <w:top w:w="40" w:type="dxa"/>
              <w:left w:w="20" w:type="dxa"/>
              <w:bottom w:w="40" w:type="dxa"/>
              <w:right w:w="20" w:type="dxa"/>
            </w:tcMar>
            <w:vAlign w:val="bottom"/>
          </w:tcPr>
          <w:p w14:paraId="5F2D2937" w14:textId="77777777" w:rsidR="00E836FB" w:rsidRDefault="00994958">
            <w:pPr>
              <w:textAlignment w:val="bottom"/>
            </w:pPr>
            <w:r>
              <w:rPr>
                <w:rFonts w:ascii="Arial" w:eastAsia="宋体" w:hAnsi="Arial" w:cs="Arial"/>
                <w:color w:val="000000"/>
                <w:sz w:val="15"/>
                <w:szCs w:val="15"/>
              </w:rPr>
              <w:t>Right-of-use assets</w:t>
            </w:r>
          </w:p>
        </w:tc>
        <w:tc>
          <w:tcPr>
            <w:tcW w:w="0" w:type="auto"/>
            <w:gridSpan w:val="2"/>
            <w:shd w:val="clear" w:color="auto" w:fill="CCEEFF"/>
            <w:tcMar>
              <w:top w:w="40" w:type="dxa"/>
              <w:left w:w="20" w:type="dxa"/>
              <w:bottom w:w="40" w:type="dxa"/>
              <w:right w:w="0" w:type="dxa"/>
            </w:tcMar>
            <w:vAlign w:val="bottom"/>
          </w:tcPr>
          <w:p w14:paraId="5F2D2938" w14:textId="77777777" w:rsidR="00E836FB" w:rsidRDefault="00994958">
            <w:pPr>
              <w:jc w:val="right"/>
              <w:textAlignment w:val="bottom"/>
            </w:pPr>
            <w:r>
              <w:rPr>
                <w:rFonts w:ascii="Arial" w:eastAsia="宋体" w:hAnsi="Arial" w:cs="Arial"/>
                <w:b/>
                <w:bCs/>
                <w:color w:val="000000"/>
                <w:sz w:val="15"/>
                <w:szCs w:val="15"/>
              </w:rPr>
              <w:t>542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93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3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93B" w14:textId="77777777" w:rsidR="00E836FB" w:rsidRDefault="00994958">
            <w:pPr>
              <w:jc w:val="right"/>
              <w:textAlignment w:val="bottom"/>
            </w:pPr>
            <w:r>
              <w:rPr>
                <w:rFonts w:ascii="Arial" w:eastAsia="宋体" w:hAnsi="Arial" w:cs="Arial"/>
                <w:color w:val="000000"/>
                <w:sz w:val="15"/>
                <w:szCs w:val="15"/>
              </w:rPr>
              <w:t>720 </w:t>
            </w:r>
          </w:p>
        </w:tc>
        <w:tc>
          <w:tcPr>
            <w:tcW w:w="0" w:type="auto"/>
            <w:shd w:val="clear" w:color="auto" w:fill="CCEEFF"/>
            <w:tcMar>
              <w:top w:w="40" w:type="dxa"/>
              <w:left w:w="0" w:type="dxa"/>
              <w:bottom w:w="40" w:type="dxa"/>
              <w:right w:w="20" w:type="dxa"/>
            </w:tcMar>
            <w:vAlign w:val="bottom"/>
          </w:tcPr>
          <w:p w14:paraId="5F2D293C" w14:textId="77777777" w:rsidR="00E836FB" w:rsidRDefault="00E836FB">
            <w:pPr>
              <w:jc w:val="right"/>
              <w:rPr>
                <w:rFonts w:ascii="宋体"/>
              </w:rPr>
            </w:pPr>
          </w:p>
        </w:tc>
      </w:tr>
      <w:tr w:rsidR="00E836FB" w14:paraId="5F2D2944" w14:textId="77777777">
        <w:tc>
          <w:tcPr>
            <w:tcW w:w="0" w:type="auto"/>
            <w:gridSpan w:val="3"/>
            <w:shd w:val="clear" w:color="auto" w:fill="FFFFFF"/>
            <w:tcMar>
              <w:top w:w="40" w:type="dxa"/>
              <w:left w:w="20" w:type="dxa"/>
              <w:bottom w:w="40" w:type="dxa"/>
              <w:right w:w="20" w:type="dxa"/>
            </w:tcMar>
            <w:vAlign w:val="bottom"/>
          </w:tcPr>
          <w:p w14:paraId="5F2D293E" w14:textId="77777777" w:rsidR="00E836FB" w:rsidRDefault="00994958">
            <w:pPr>
              <w:textAlignment w:val="bottom"/>
            </w:pPr>
            <w:r>
              <w:rPr>
                <w:rFonts w:ascii="Arial" w:eastAsia="宋体" w:hAnsi="Arial" w:cs="Arial"/>
                <w:color w:val="000000"/>
                <w:sz w:val="15"/>
                <w:szCs w:val="15"/>
              </w:rPr>
              <w:t>Income taxes receivable</w:t>
            </w:r>
          </w:p>
        </w:tc>
        <w:tc>
          <w:tcPr>
            <w:tcW w:w="0" w:type="auto"/>
            <w:gridSpan w:val="2"/>
            <w:shd w:val="clear" w:color="auto" w:fill="FFFFFF"/>
            <w:tcMar>
              <w:top w:w="40" w:type="dxa"/>
              <w:left w:w="20" w:type="dxa"/>
              <w:bottom w:w="40" w:type="dxa"/>
              <w:right w:w="0" w:type="dxa"/>
            </w:tcMar>
            <w:vAlign w:val="bottom"/>
          </w:tcPr>
          <w:p w14:paraId="5F2D293F" w14:textId="77777777" w:rsidR="00E836FB" w:rsidRDefault="00994958">
            <w:pPr>
              <w:jc w:val="right"/>
              <w:textAlignment w:val="bottom"/>
            </w:pPr>
            <w:r>
              <w:rPr>
                <w:rFonts w:ascii="Arial" w:eastAsia="宋体" w:hAnsi="Arial" w:cs="Arial"/>
                <w:b/>
                <w:bCs/>
                <w:color w:val="000000"/>
                <w:sz w:val="15"/>
                <w:szCs w:val="15"/>
              </w:rPr>
              <w:t>317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9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9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942" w14:textId="77777777" w:rsidR="00E836FB" w:rsidRDefault="00994958">
            <w:pPr>
              <w:jc w:val="right"/>
              <w:textAlignment w:val="bottom"/>
            </w:pPr>
            <w:r>
              <w:rPr>
                <w:rFonts w:ascii="Arial" w:eastAsia="宋体" w:hAnsi="Arial" w:cs="Arial"/>
                <w:color w:val="000000"/>
                <w:sz w:val="15"/>
                <w:szCs w:val="15"/>
              </w:rPr>
              <w:t>367 </w:t>
            </w:r>
          </w:p>
        </w:tc>
        <w:tc>
          <w:tcPr>
            <w:tcW w:w="0" w:type="auto"/>
            <w:shd w:val="clear" w:color="auto" w:fill="FFFFFF"/>
            <w:tcMar>
              <w:top w:w="40" w:type="dxa"/>
              <w:left w:w="0" w:type="dxa"/>
              <w:bottom w:w="40" w:type="dxa"/>
              <w:right w:w="20" w:type="dxa"/>
            </w:tcMar>
            <w:vAlign w:val="bottom"/>
          </w:tcPr>
          <w:p w14:paraId="5F2D2943" w14:textId="77777777" w:rsidR="00E836FB" w:rsidRDefault="00E836FB">
            <w:pPr>
              <w:jc w:val="right"/>
              <w:rPr>
                <w:rFonts w:ascii="宋体"/>
              </w:rPr>
            </w:pPr>
          </w:p>
        </w:tc>
      </w:tr>
      <w:tr w:rsidR="00E836FB" w14:paraId="5F2D294B" w14:textId="77777777">
        <w:tc>
          <w:tcPr>
            <w:tcW w:w="0" w:type="auto"/>
            <w:gridSpan w:val="3"/>
            <w:shd w:val="clear" w:color="auto" w:fill="CCEEFF"/>
            <w:tcMar>
              <w:top w:w="40" w:type="dxa"/>
              <w:left w:w="20" w:type="dxa"/>
              <w:bottom w:w="40" w:type="dxa"/>
              <w:right w:w="20" w:type="dxa"/>
            </w:tcMar>
            <w:vAlign w:val="bottom"/>
          </w:tcPr>
          <w:p w14:paraId="5F2D2945" w14:textId="77777777" w:rsidR="00E836FB" w:rsidRDefault="00994958">
            <w:pPr>
              <w:textAlignment w:val="bottom"/>
            </w:pPr>
            <w:r>
              <w:rPr>
                <w:rFonts w:ascii="Arial" w:eastAsia="宋体" w:hAnsi="Arial" w:cs="Arial"/>
                <w:color w:val="000000"/>
                <w:sz w:val="15"/>
                <w:szCs w:val="15"/>
              </w:rPr>
              <w:t>Deferred tax assets, net of valuation allowance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D2946" w14:textId="77777777" w:rsidR="00E836FB" w:rsidRDefault="00994958">
            <w:pPr>
              <w:jc w:val="right"/>
              <w:textAlignment w:val="bottom"/>
            </w:pPr>
            <w:r>
              <w:rPr>
                <w:rFonts w:ascii="Arial" w:eastAsia="宋体" w:hAnsi="Arial" w:cs="Arial"/>
                <w:b/>
                <w:bCs/>
                <w:color w:val="000000"/>
                <w:sz w:val="15"/>
                <w:szCs w:val="15"/>
              </w:rPr>
              <w:t>254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9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4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949" w14:textId="77777777" w:rsidR="00E836FB" w:rsidRDefault="00994958">
            <w:pPr>
              <w:jc w:val="right"/>
              <w:textAlignment w:val="bottom"/>
            </w:pPr>
            <w:r>
              <w:rPr>
                <w:rFonts w:ascii="Arial" w:eastAsia="宋体" w:hAnsi="Arial" w:cs="Arial"/>
                <w:color w:val="000000"/>
                <w:sz w:val="15"/>
                <w:szCs w:val="15"/>
              </w:rPr>
              <w:t>233 </w:t>
            </w:r>
          </w:p>
        </w:tc>
        <w:tc>
          <w:tcPr>
            <w:tcW w:w="0" w:type="auto"/>
            <w:shd w:val="clear" w:color="auto" w:fill="CCEEFF"/>
            <w:tcMar>
              <w:top w:w="40" w:type="dxa"/>
              <w:left w:w="0" w:type="dxa"/>
              <w:bottom w:w="40" w:type="dxa"/>
              <w:right w:w="20" w:type="dxa"/>
            </w:tcMar>
            <w:vAlign w:val="bottom"/>
          </w:tcPr>
          <w:p w14:paraId="5F2D294A" w14:textId="77777777" w:rsidR="00E836FB" w:rsidRDefault="00E836FB">
            <w:pPr>
              <w:jc w:val="right"/>
              <w:rPr>
                <w:rFonts w:ascii="宋体"/>
              </w:rPr>
            </w:pPr>
          </w:p>
        </w:tc>
      </w:tr>
      <w:tr w:rsidR="00E836FB" w14:paraId="5F2D2952" w14:textId="77777777">
        <w:tc>
          <w:tcPr>
            <w:tcW w:w="0" w:type="auto"/>
            <w:gridSpan w:val="3"/>
            <w:shd w:val="clear" w:color="auto" w:fill="FFFFFF"/>
            <w:tcMar>
              <w:top w:w="40" w:type="dxa"/>
              <w:left w:w="20" w:type="dxa"/>
              <w:bottom w:w="40" w:type="dxa"/>
              <w:right w:w="20" w:type="dxa"/>
            </w:tcMar>
            <w:vAlign w:val="bottom"/>
          </w:tcPr>
          <w:p w14:paraId="5F2D294C" w14:textId="77777777" w:rsidR="00E836FB" w:rsidRDefault="00994958">
            <w:pPr>
              <w:textAlignment w:val="bottom"/>
            </w:pPr>
            <w:r>
              <w:rPr>
                <w:rFonts w:ascii="Arial" w:eastAsia="宋体" w:hAnsi="Arial" w:cs="Arial"/>
                <w:color w:val="000000"/>
                <w:sz w:val="15"/>
                <w:szCs w:val="15"/>
              </w:rPr>
              <w:t>Accounts receivable</w:t>
            </w:r>
          </w:p>
        </w:tc>
        <w:tc>
          <w:tcPr>
            <w:tcW w:w="0" w:type="auto"/>
            <w:gridSpan w:val="2"/>
            <w:shd w:val="clear" w:color="auto" w:fill="FFFFFF"/>
            <w:tcMar>
              <w:top w:w="40" w:type="dxa"/>
              <w:left w:w="20" w:type="dxa"/>
              <w:bottom w:w="40" w:type="dxa"/>
              <w:right w:w="0" w:type="dxa"/>
            </w:tcMar>
            <w:vAlign w:val="bottom"/>
          </w:tcPr>
          <w:p w14:paraId="5F2D294D" w14:textId="77777777" w:rsidR="00E836FB" w:rsidRDefault="00994958">
            <w:pPr>
              <w:jc w:val="right"/>
              <w:textAlignment w:val="bottom"/>
            </w:pPr>
            <w:r>
              <w:rPr>
                <w:rFonts w:ascii="Arial" w:eastAsia="宋体" w:hAnsi="Arial" w:cs="Arial"/>
                <w:b/>
                <w:bCs/>
                <w:color w:val="000000"/>
                <w:sz w:val="15"/>
                <w:szCs w:val="15"/>
              </w:rPr>
              <w:t>236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9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9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950" w14:textId="77777777" w:rsidR="00E836FB" w:rsidRDefault="00994958">
            <w:pPr>
              <w:jc w:val="right"/>
              <w:textAlignment w:val="bottom"/>
            </w:pPr>
            <w:r>
              <w:rPr>
                <w:rFonts w:ascii="Arial" w:eastAsia="宋体" w:hAnsi="Arial" w:cs="Arial"/>
                <w:color w:val="000000"/>
                <w:sz w:val="15"/>
                <w:szCs w:val="15"/>
              </w:rPr>
              <w:t>379 </w:t>
            </w:r>
          </w:p>
        </w:tc>
        <w:tc>
          <w:tcPr>
            <w:tcW w:w="0" w:type="auto"/>
            <w:shd w:val="clear" w:color="auto" w:fill="FFFFFF"/>
            <w:tcMar>
              <w:top w:w="40" w:type="dxa"/>
              <w:left w:w="0" w:type="dxa"/>
              <w:bottom w:w="40" w:type="dxa"/>
              <w:right w:w="20" w:type="dxa"/>
            </w:tcMar>
            <w:vAlign w:val="bottom"/>
          </w:tcPr>
          <w:p w14:paraId="5F2D2951" w14:textId="77777777" w:rsidR="00E836FB" w:rsidRDefault="00E836FB">
            <w:pPr>
              <w:jc w:val="right"/>
              <w:rPr>
                <w:rFonts w:ascii="宋体"/>
              </w:rPr>
            </w:pPr>
          </w:p>
        </w:tc>
      </w:tr>
      <w:tr w:rsidR="00E836FB" w14:paraId="5F2D2957" w14:textId="77777777">
        <w:trPr>
          <w:hidden/>
        </w:trPr>
        <w:tc>
          <w:tcPr>
            <w:tcW w:w="0" w:type="auto"/>
            <w:gridSpan w:val="3"/>
            <w:shd w:val="clear" w:color="auto" w:fill="auto"/>
            <w:vAlign w:val="bottom"/>
          </w:tcPr>
          <w:p w14:paraId="5F2D2953" w14:textId="77777777" w:rsidR="00E836FB" w:rsidRDefault="00E836FB">
            <w:pPr>
              <w:rPr>
                <w:rFonts w:ascii="宋体"/>
                <w:vanish/>
              </w:rPr>
            </w:pPr>
          </w:p>
        </w:tc>
        <w:tc>
          <w:tcPr>
            <w:tcW w:w="0" w:type="auto"/>
            <w:gridSpan w:val="3"/>
            <w:shd w:val="clear" w:color="auto" w:fill="auto"/>
            <w:vAlign w:val="bottom"/>
          </w:tcPr>
          <w:p w14:paraId="5F2D2954" w14:textId="77777777" w:rsidR="00E836FB" w:rsidRDefault="00E836FB">
            <w:pPr>
              <w:rPr>
                <w:rFonts w:ascii="宋体"/>
                <w:vanish/>
              </w:rPr>
            </w:pPr>
          </w:p>
        </w:tc>
        <w:tc>
          <w:tcPr>
            <w:tcW w:w="0" w:type="auto"/>
            <w:gridSpan w:val="3"/>
            <w:shd w:val="clear" w:color="auto" w:fill="auto"/>
            <w:vAlign w:val="bottom"/>
          </w:tcPr>
          <w:p w14:paraId="5F2D2955" w14:textId="77777777" w:rsidR="00E836FB" w:rsidRDefault="00E836FB">
            <w:pPr>
              <w:rPr>
                <w:rFonts w:ascii="宋体"/>
                <w:vanish/>
              </w:rPr>
            </w:pPr>
          </w:p>
        </w:tc>
        <w:tc>
          <w:tcPr>
            <w:tcW w:w="0" w:type="auto"/>
            <w:gridSpan w:val="3"/>
            <w:shd w:val="clear" w:color="auto" w:fill="auto"/>
            <w:vAlign w:val="bottom"/>
          </w:tcPr>
          <w:p w14:paraId="5F2D2956" w14:textId="77777777" w:rsidR="00E836FB" w:rsidRDefault="00E836FB">
            <w:pPr>
              <w:rPr>
                <w:rFonts w:ascii="宋体"/>
                <w:vanish/>
              </w:rPr>
            </w:pPr>
          </w:p>
        </w:tc>
      </w:tr>
      <w:tr w:rsidR="00E836FB" w14:paraId="5F2D295E" w14:textId="77777777">
        <w:tc>
          <w:tcPr>
            <w:tcW w:w="0" w:type="auto"/>
            <w:gridSpan w:val="3"/>
            <w:shd w:val="clear" w:color="auto" w:fill="CCEEFF"/>
            <w:tcMar>
              <w:top w:w="40" w:type="dxa"/>
              <w:left w:w="20" w:type="dxa"/>
              <w:bottom w:w="40" w:type="dxa"/>
              <w:right w:w="20" w:type="dxa"/>
            </w:tcMar>
            <w:vAlign w:val="bottom"/>
          </w:tcPr>
          <w:p w14:paraId="5F2D2958" w14:textId="77777777" w:rsidR="00E836FB" w:rsidRDefault="00994958">
            <w:pPr>
              <w:textAlignment w:val="bottom"/>
            </w:pPr>
            <w:r>
              <w:rPr>
                <w:rFonts w:ascii="Arial" w:eastAsia="宋体" w:hAnsi="Arial" w:cs="Arial"/>
                <w:color w:val="000000"/>
                <w:sz w:val="15"/>
                <w:szCs w:val="15"/>
              </w:rPr>
              <w:t>Receivable for securities settlement</w:t>
            </w:r>
          </w:p>
        </w:tc>
        <w:tc>
          <w:tcPr>
            <w:tcW w:w="0" w:type="auto"/>
            <w:gridSpan w:val="2"/>
            <w:shd w:val="clear" w:color="auto" w:fill="CCEEFF"/>
            <w:tcMar>
              <w:top w:w="40" w:type="dxa"/>
              <w:left w:w="20" w:type="dxa"/>
              <w:bottom w:w="40" w:type="dxa"/>
              <w:right w:w="0" w:type="dxa"/>
            </w:tcMar>
            <w:vAlign w:val="bottom"/>
          </w:tcPr>
          <w:p w14:paraId="5F2D2959" w14:textId="77777777" w:rsidR="00E836FB" w:rsidRDefault="00994958">
            <w:pPr>
              <w:jc w:val="right"/>
              <w:textAlignment w:val="bottom"/>
            </w:pPr>
            <w:r>
              <w:rPr>
                <w:rFonts w:ascii="Arial" w:eastAsia="宋体" w:hAnsi="Arial" w:cs="Arial"/>
                <w:b/>
                <w:bCs/>
                <w:color w:val="000000"/>
                <w:sz w:val="15"/>
                <w:szCs w:val="15"/>
              </w:rPr>
              <w:t>213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9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5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95C" w14:textId="77777777" w:rsidR="00E836FB" w:rsidRDefault="00994958">
            <w:pPr>
              <w:jc w:val="right"/>
              <w:textAlignment w:val="bottom"/>
            </w:pPr>
            <w:r>
              <w:rPr>
                <w:rFonts w:ascii="Arial" w:eastAsia="宋体" w:hAnsi="Arial" w:cs="Arial"/>
                <w:color w:val="000000"/>
                <w:sz w:val="15"/>
                <w:szCs w:val="15"/>
              </w:rPr>
              <w:t>117 </w:t>
            </w:r>
          </w:p>
        </w:tc>
        <w:tc>
          <w:tcPr>
            <w:tcW w:w="0" w:type="auto"/>
            <w:shd w:val="clear" w:color="auto" w:fill="CCEEFF"/>
            <w:tcMar>
              <w:top w:w="40" w:type="dxa"/>
              <w:left w:w="0" w:type="dxa"/>
              <w:bottom w:w="40" w:type="dxa"/>
              <w:right w:w="20" w:type="dxa"/>
            </w:tcMar>
            <w:vAlign w:val="bottom"/>
          </w:tcPr>
          <w:p w14:paraId="5F2D295D" w14:textId="77777777" w:rsidR="00E836FB" w:rsidRDefault="00E836FB">
            <w:pPr>
              <w:jc w:val="right"/>
              <w:rPr>
                <w:rFonts w:ascii="宋体"/>
              </w:rPr>
            </w:pPr>
          </w:p>
        </w:tc>
      </w:tr>
      <w:tr w:rsidR="00E836FB" w14:paraId="5F2D2965" w14:textId="77777777">
        <w:tc>
          <w:tcPr>
            <w:tcW w:w="0" w:type="auto"/>
            <w:gridSpan w:val="3"/>
            <w:shd w:val="clear" w:color="auto" w:fill="FFFFFF"/>
            <w:tcMar>
              <w:top w:w="40" w:type="dxa"/>
              <w:left w:w="20" w:type="dxa"/>
              <w:bottom w:w="40" w:type="dxa"/>
              <w:right w:w="20" w:type="dxa"/>
            </w:tcMar>
            <w:vAlign w:val="bottom"/>
          </w:tcPr>
          <w:p w14:paraId="5F2D295F" w14:textId="77777777" w:rsidR="00E836FB" w:rsidRDefault="00994958">
            <w:pPr>
              <w:textAlignment w:val="bottom"/>
            </w:pPr>
            <w:r>
              <w:rPr>
                <w:rFonts w:ascii="Arial" w:eastAsia="宋体" w:hAnsi="Arial" w:cs="Arial"/>
                <w:color w:val="000000"/>
                <w:sz w:val="15"/>
                <w:szCs w:val="15"/>
              </w:rPr>
              <w:t>Deposits with clearing organizations</w:t>
            </w:r>
          </w:p>
        </w:tc>
        <w:tc>
          <w:tcPr>
            <w:tcW w:w="0" w:type="auto"/>
            <w:gridSpan w:val="2"/>
            <w:shd w:val="clear" w:color="auto" w:fill="FFFFFF"/>
            <w:tcMar>
              <w:top w:w="40" w:type="dxa"/>
              <w:left w:w="20" w:type="dxa"/>
              <w:bottom w:w="40" w:type="dxa"/>
              <w:right w:w="0" w:type="dxa"/>
            </w:tcMar>
            <w:vAlign w:val="bottom"/>
          </w:tcPr>
          <w:p w14:paraId="5F2D2960" w14:textId="77777777" w:rsidR="00E836FB" w:rsidRDefault="00994958">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96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96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963" w14:textId="77777777" w:rsidR="00E836FB" w:rsidRDefault="00994958">
            <w:pPr>
              <w:jc w:val="right"/>
              <w:textAlignment w:val="bottom"/>
            </w:pPr>
            <w:r>
              <w:rPr>
                <w:rFonts w:ascii="Arial" w:eastAsia="宋体" w:hAnsi="Arial" w:cs="Arial"/>
                <w:color w:val="000000"/>
                <w:sz w:val="15"/>
                <w:szCs w:val="15"/>
              </w:rPr>
              <w:t>58 </w:t>
            </w:r>
          </w:p>
        </w:tc>
        <w:tc>
          <w:tcPr>
            <w:tcW w:w="0" w:type="auto"/>
            <w:shd w:val="clear" w:color="auto" w:fill="FFFFFF"/>
            <w:tcMar>
              <w:top w:w="40" w:type="dxa"/>
              <w:left w:w="0" w:type="dxa"/>
              <w:bottom w:w="40" w:type="dxa"/>
              <w:right w:w="20" w:type="dxa"/>
            </w:tcMar>
            <w:vAlign w:val="bottom"/>
          </w:tcPr>
          <w:p w14:paraId="5F2D2964" w14:textId="77777777" w:rsidR="00E836FB" w:rsidRDefault="00E836FB">
            <w:pPr>
              <w:jc w:val="right"/>
              <w:rPr>
                <w:rFonts w:ascii="宋体"/>
              </w:rPr>
            </w:pPr>
          </w:p>
        </w:tc>
      </w:tr>
      <w:tr w:rsidR="00E836FB" w14:paraId="5F2D296C" w14:textId="77777777">
        <w:tc>
          <w:tcPr>
            <w:tcW w:w="0" w:type="auto"/>
            <w:gridSpan w:val="3"/>
            <w:shd w:val="clear" w:color="auto" w:fill="CCEEFF"/>
            <w:tcMar>
              <w:top w:w="40" w:type="dxa"/>
              <w:left w:w="20" w:type="dxa"/>
              <w:bottom w:w="40" w:type="dxa"/>
              <w:right w:w="20" w:type="dxa"/>
            </w:tcMar>
            <w:vAlign w:val="bottom"/>
          </w:tcPr>
          <w:p w14:paraId="5F2D2966" w14:textId="77777777" w:rsidR="00E836FB" w:rsidRDefault="00994958">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F2D2967" w14:textId="77777777" w:rsidR="00E836FB" w:rsidRDefault="00994958">
            <w:pPr>
              <w:jc w:val="right"/>
              <w:textAlignment w:val="bottom"/>
            </w:pPr>
            <w:r>
              <w:rPr>
                <w:rFonts w:ascii="Arial" w:eastAsia="宋体" w:hAnsi="Arial" w:cs="Arial"/>
                <w:b/>
                <w:bCs/>
                <w:color w:val="000000"/>
                <w:sz w:val="15"/>
                <w:szCs w:val="15"/>
              </w:rPr>
              <w:t>1,244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96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6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96A" w14:textId="77777777" w:rsidR="00E836FB" w:rsidRDefault="00994958">
            <w:pPr>
              <w:jc w:val="right"/>
              <w:textAlignment w:val="bottom"/>
            </w:pPr>
            <w:r>
              <w:rPr>
                <w:rFonts w:ascii="Arial" w:eastAsia="宋体" w:hAnsi="Arial" w:cs="Arial"/>
                <w:color w:val="000000"/>
                <w:sz w:val="15"/>
                <w:szCs w:val="15"/>
              </w:rPr>
              <w:t>929 </w:t>
            </w:r>
          </w:p>
        </w:tc>
        <w:tc>
          <w:tcPr>
            <w:tcW w:w="0" w:type="auto"/>
            <w:shd w:val="clear" w:color="auto" w:fill="CCEEFF"/>
            <w:tcMar>
              <w:top w:w="40" w:type="dxa"/>
              <w:left w:w="0" w:type="dxa"/>
              <w:bottom w:w="40" w:type="dxa"/>
              <w:right w:w="20" w:type="dxa"/>
            </w:tcMar>
            <w:vAlign w:val="bottom"/>
          </w:tcPr>
          <w:p w14:paraId="5F2D296B" w14:textId="77777777" w:rsidR="00E836FB" w:rsidRDefault="00E836FB">
            <w:pPr>
              <w:jc w:val="right"/>
              <w:rPr>
                <w:rFonts w:ascii="宋体"/>
              </w:rPr>
            </w:pPr>
          </w:p>
        </w:tc>
      </w:tr>
      <w:tr w:rsidR="00E836FB" w14:paraId="5F2D2975" w14:textId="77777777">
        <w:tc>
          <w:tcPr>
            <w:tcW w:w="0" w:type="auto"/>
            <w:gridSpan w:val="3"/>
            <w:shd w:val="clear" w:color="auto" w:fill="FFFFFF"/>
            <w:tcMar>
              <w:top w:w="40" w:type="dxa"/>
              <w:left w:w="20" w:type="dxa"/>
              <w:bottom w:w="40" w:type="dxa"/>
              <w:right w:w="20" w:type="dxa"/>
            </w:tcMar>
            <w:vAlign w:val="bottom"/>
          </w:tcPr>
          <w:p w14:paraId="5F2D296D"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296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296F" w14:textId="77777777" w:rsidR="00E836FB" w:rsidRDefault="00994958">
            <w:pPr>
              <w:jc w:val="right"/>
              <w:textAlignment w:val="bottom"/>
            </w:pPr>
            <w:r>
              <w:rPr>
                <w:rFonts w:ascii="Arial" w:eastAsia="宋体" w:hAnsi="Arial" w:cs="Arial"/>
                <w:b/>
                <w:bCs/>
                <w:color w:val="000000"/>
                <w:sz w:val="15"/>
                <w:szCs w:val="15"/>
              </w:rPr>
              <w:t>37,615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29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971"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2972"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2973" w14:textId="77777777" w:rsidR="00E836FB" w:rsidRDefault="00994958">
            <w:pPr>
              <w:jc w:val="right"/>
              <w:textAlignment w:val="bottom"/>
            </w:pPr>
            <w:r>
              <w:rPr>
                <w:rFonts w:ascii="Arial" w:eastAsia="宋体" w:hAnsi="Arial" w:cs="Arial"/>
                <w:color w:val="000000"/>
                <w:sz w:val="15"/>
                <w:szCs w:val="15"/>
              </w:rPr>
              <w:t>36,510 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2974" w14:textId="77777777" w:rsidR="00E836FB" w:rsidRDefault="00E836FB">
            <w:pPr>
              <w:jc w:val="right"/>
              <w:rPr>
                <w:rFonts w:ascii="宋体"/>
              </w:rPr>
            </w:pPr>
          </w:p>
        </w:tc>
      </w:tr>
    </w:tbl>
    <w:p w14:paraId="5F2D2976"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D297D" w14:textId="77777777">
        <w:tc>
          <w:tcPr>
            <w:tcW w:w="50" w:type="pct"/>
            <w:shd w:val="clear" w:color="auto" w:fill="auto"/>
            <w:vAlign w:val="bottom"/>
          </w:tcPr>
          <w:p w14:paraId="5F2D2977" w14:textId="77777777" w:rsidR="00E836FB" w:rsidRDefault="00E836FB">
            <w:pPr>
              <w:rPr>
                <w:rFonts w:ascii="宋体"/>
              </w:rPr>
            </w:pPr>
          </w:p>
        </w:tc>
        <w:tc>
          <w:tcPr>
            <w:tcW w:w="1348" w:type="pct"/>
            <w:shd w:val="clear" w:color="auto" w:fill="auto"/>
            <w:vAlign w:val="bottom"/>
          </w:tcPr>
          <w:p w14:paraId="5F2D2978" w14:textId="77777777" w:rsidR="00E836FB" w:rsidRDefault="00E836FB">
            <w:pPr>
              <w:rPr>
                <w:rFonts w:ascii="宋体"/>
              </w:rPr>
            </w:pPr>
          </w:p>
        </w:tc>
        <w:tc>
          <w:tcPr>
            <w:tcW w:w="5" w:type="pct"/>
            <w:shd w:val="clear" w:color="auto" w:fill="auto"/>
            <w:vAlign w:val="bottom"/>
          </w:tcPr>
          <w:p w14:paraId="5F2D2979" w14:textId="77777777" w:rsidR="00E836FB" w:rsidRDefault="00E836FB">
            <w:pPr>
              <w:rPr>
                <w:rFonts w:ascii="宋体"/>
              </w:rPr>
            </w:pPr>
          </w:p>
        </w:tc>
        <w:tc>
          <w:tcPr>
            <w:tcW w:w="50" w:type="pct"/>
            <w:shd w:val="clear" w:color="auto" w:fill="auto"/>
            <w:vAlign w:val="bottom"/>
          </w:tcPr>
          <w:p w14:paraId="5F2D297A" w14:textId="77777777" w:rsidR="00E836FB" w:rsidRDefault="00E836FB">
            <w:pPr>
              <w:rPr>
                <w:rFonts w:ascii="宋体"/>
              </w:rPr>
            </w:pPr>
          </w:p>
        </w:tc>
        <w:tc>
          <w:tcPr>
            <w:tcW w:w="3541" w:type="pct"/>
            <w:shd w:val="clear" w:color="auto" w:fill="auto"/>
            <w:vAlign w:val="bottom"/>
          </w:tcPr>
          <w:p w14:paraId="5F2D297B" w14:textId="77777777" w:rsidR="00E836FB" w:rsidRDefault="00E836FB">
            <w:pPr>
              <w:rPr>
                <w:rFonts w:ascii="宋体"/>
              </w:rPr>
            </w:pPr>
          </w:p>
        </w:tc>
        <w:tc>
          <w:tcPr>
            <w:tcW w:w="5" w:type="pct"/>
            <w:shd w:val="clear" w:color="auto" w:fill="auto"/>
            <w:vAlign w:val="bottom"/>
          </w:tcPr>
          <w:p w14:paraId="5F2D297C" w14:textId="77777777" w:rsidR="00E836FB" w:rsidRDefault="00E836FB">
            <w:pPr>
              <w:rPr>
                <w:rFonts w:ascii="宋体"/>
              </w:rPr>
            </w:pPr>
          </w:p>
        </w:tc>
      </w:tr>
      <w:tr w:rsidR="00E836FB" w14:paraId="5F2D298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97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97F" w14:textId="77777777" w:rsidR="00E836FB" w:rsidRDefault="00E836FB">
            <w:pPr>
              <w:rPr>
                <w:rFonts w:ascii="宋体"/>
              </w:rPr>
            </w:pPr>
          </w:p>
        </w:tc>
      </w:tr>
    </w:tbl>
    <w:p w14:paraId="5F2D2981" w14:textId="77777777" w:rsidR="00E836FB" w:rsidRDefault="00994958">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Refer to Note 11, for further information on the impact of collateral on our financial statement presentation of securities borrowing and securities lending transactions.</w:t>
      </w:r>
    </w:p>
    <w:p w14:paraId="5F2D2982" w14:textId="77777777" w:rsidR="00E836FB" w:rsidRDefault="00994958">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Deferred tax assets and liabilities recorded in our consolidated statement of co</w:t>
      </w:r>
      <w:r>
        <w:rPr>
          <w:rFonts w:ascii="Arial" w:eastAsia="宋体" w:hAnsi="Arial" w:cs="Arial"/>
          <w:color w:val="000000"/>
          <w:sz w:val="12"/>
          <w:szCs w:val="12"/>
        </w:rPr>
        <w:t>ndition are netted within the same tax jurisdiction.</w:t>
      </w:r>
    </w:p>
    <w:p w14:paraId="5F2D2983" w14:textId="77777777" w:rsidR="00E836FB" w:rsidRDefault="00994958">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Includes advances of $544 million and $460 million as of December 31, 2021 and December 31, 2020, respectively.</w:t>
      </w:r>
    </w:p>
    <w:p w14:paraId="5F2D2984" w14:textId="77777777" w:rsidR="00E836FB" w:rsidRDefault="00994958">
      <w:pPr>
        <w:spacing w:before="90"/>
        <w:jc w:val="both"/>
      </w:pPr>
      <w:r>
        <w:rPr>
          <w:rFonts w:ascii="Arial" w:eastAsia="宋体" w:hAnsi="Arial" w:cs="Arial"/>
          <w:b/>
          <w:bCs/>
          <w:color w:val="000000"/>
          <w:sz w:val="20"/>
          <w:szCs w:val="20"/>
        </w:rPr>
        <w:t>Note 7. Deposits</w:t>
      </w:r>
    </w:p>
    <w:p w14:paraId="5F2D2985" w14:textId="77777777" w:rsidR="00E836FB" w:rsidRDefault="00994958">
      <w:pPr>
        <w:ind w:firstLine="450"/>
        <w:jc w:val="both"/>
      </w:pPr>
      <w:r>
        <w:rPr>
          <w:rFonts w:ascii="Arial" w:eastAsia="宋体" w:hAnsi="Arial" w:cs="Arial"/>
          <w:color w:val="000000"/>
          <w:sz w:val="20"/>
          <w:szCs w:val="20"/>
        </w:rPr>
        <w:t>We had $1.31 billion and $1.68 billion of time deposits outstanding as of December 31, 2021 and December 31, 2020, respectively, all of which were non-US time deposits. As of December 31, 2021 and December 31, 2020, all time deposits were in uninsured acco</w:t>
      </w:r>
      <w:r>
        <w:rPr>
          <w:rFonts w:ascii="Arial" w:eastAsia="宋体" w:hAnsi="Arial" w:cs="Arial"/>
          <w:color w:val="000000"/>
          <w:sz w:val="20"/>
          <w:szCs w:val="20"/>
        </w:rPr>
        <w:t>unts not subject to any country specific deposit insurance limits. As of December 31, 2021, all time deposits are scheduled to mature in the next three months. Demand deposit overdrafts of $3.11 billion and $2.98 billion were included as loan balances at D</w:t>
      </w:r>
      <w:r>
        <w:rPr>
          <w:rFonts w:ascii="Arial" w:eastAsia="宋体" w:hAnsi="Arial" w:cs="Arial"/>
          <w:color w:val="000000"/>
          <w:sz w:val="20"/>
          <w:szCs w:val="20"/>
        </w:rPr>
        <w:t xml:space="preserve">ecember 31, 2021 and 2020, respectively. </w:t>
      </w:r>
    </w:p>
    <w:p w14:paraId="5F2D2986" w14:textId="77777777" w:rsidR="00E836FB" w:rsidRDefault="00994958">
      <w:pPr>
        <w:spacing w:before="90"/>
        <w:jc w:val="both"/>
      </w:pPr>
      <w:r>
        <w:rPr>
          <w:rFonts w:ascii="Arial" w:eastAsia="宋体" w:hAnsi="Arial" w:cs="Arial"/>
          <w:b/>
          <w:bCs/>
          <w:color w:val="000000"/>
          <w:sz w:val="20"/>
          <w:szCs w:val="20"/>
        </w:rPr>
        <w:t>Note 8. Short-Term Borrowings</w:t>
      </w:r>
    </w:p>
    <w:p w14:paraId="5F2D2987" w14:textId="77777777" w:rsidR="00E836FB" w:rsidRDefault="00994958">
      <w:pPr>
        <w:ind w:firstLine="450"/>
        <w:jc w:val="both"/>
      </w:pPr>
      <w:r>
        <w:rPr>
          <w:rFonts w:ascii="Arial" w:eastAsia="宋体" w:hAnsi="Arial" w:cs="Arial"/>
          <w:color w:val="000000"/>
          <w:sz w:val="20"/>
          <w:szCs w:val="20"/>
        </w:rPr>
        <w:t>Our short-term borrowings include securities sold under repurchase agreements, short-term borrowings associated with our tax-exempt investment program (more fully described in Note 14)</w:t>
      </w:r>
      <w:r>
        <w:rPr>
          <w:rFonts w:ascii="Arial" w:eastAsia="宋体" w:hAnsi="Arial" w:cs="Arial"/>
          <w:color w:val="000000"/>
          <w:sz w:val="20"/>
          <w:szCs w:val="20"/>
        </w:rPr>
        <w:t xml:space="preserve"> and other short-term borrowings, including those related to the money market liquidity facility.</w:t>
      </w:r>
    </w:p>
    <w:p w14:paraId="5F2D2988" w14:textId="77777777" w:rsidR="00E836FB" w:rsidRDefault="00994958">
      <w:pPr>
        <w:spacing w:before="60"/>
        <w:ind w:firstLine="450"/>
        <w:jc w:val="both"/>
      </w:pPr>
      <w:r>
        <w:rPr>
          <w:rFonts w:ascii="Arial" w:eastAsia="宋体" w:hAnsi="Arial" w:cs="Arial"/>
          <w:color w:val="000000"/>
          <w:sz w:val="20"/>
          <w:szCs w:val="20"/>
        </w:rPr>
        <w:t>Collectively, short-term borrowings had weighted-average interest rates of 0.31% and 0.93% in 2021 and 2020, respectively.</w:t>
      </w:r>
    </w:p>
    <w:p w14:paraId="5F2D2989" w14:textId="77777777" w:rsidR="00E836FB" w:rsidRDefault="00994958">
      <w:pPr>
        <w:spacing w:before="60"/>
        <w:ind w:firstLine="450"/>
        <w:jc w:val="both"/>
      </w:pPr>
      <w:r>
        <w:rPr>
          <w:rFonts w:ascii="Arial" w:eastAsia="宋体" w:hAnsi="Arial" w:cs="Arial"/>
          <w:color w:val="000000"/>
          <w:sz w:val="20"/>
          <w:szCs w:val="20"/>
        </w:rPr>
        <w:t>The following table presents inform</w:t>
      </w:r>
      <w:r>
        <w:rPr>
          <w:rFonts w:ascii="Arial" w:eastAsia="宋体" w:hAnsi="Arial" w:cs="Arial"/>
          <w:color w:val="000000"/>
          <w:sz w:val="20"/>
          <w:szCs w:val="20"/>
        </w:rPr>
        <w:t>ation with respect to the amounts outstanding and weighted-average interest rates of the primary components of our short-term borrowings as of and for the years ended December 31:</w:t>
      </w:r>
    </w:p>
    <w:tbl>
      <w:tblPr>
        <w:tblW w:w="5000" w:type="pct"/>
        <w:tblCellMar>
          <w:top w:w="15" w:type="dxa"/>
          <w:left w:w="15" w:type="dxa"/>
          <w:bottom w:w="15" w:type="dxa"/>
          <w:right w:w="15" w:type="dxa"/>
        </w:tblCellMar>
        <w:tblLook w:val="04A0" w:firstRow="1" w:lastRow="0" w:firstColumn="1" w:lastColumn="0" w:noHBand="0" w:noVBand="1"/>
      </w:tblPr>
      <w:tblGrid>
        <w:gridCol w:w="62"/>
        <w:gridCol w:w="1525"/>
        <w:gridCol w:w="38"/>
        <w:gridCol w:w="109"/>
        <w:gridCol w:w="469"/>
        <w:gridCol w:w="163"/>
        <w:gridCol w:w="36"/>
        <w:gridCol w:w="36"/>
        <w:gridCol w:w="36"/>
        <w:gridCol w:w="109"/>
        <w:gridCol w:w="445"/>
        <w:gridCol w:w="163"/>
        <w:gridCol w:w="36"/>
        <w:gridCol w:w="36"/>
        <w:gridCol w:w="36"/>
        <w:gridCol w:w="109"/>
        <w:gridCol w:w="445"/>
        <w:gridCol w:w="163"/>
        <w:gridCol w:w="36"/>
        <w:gridCol w:w="36"/>
        <w:gridCol w:w="36"/>
        <w:gridCol w:w="110"/>
        <w:gridCol w:w="290"/>
        <w:gridCol w:w="163"/>
        <w:gridCol w:w="36"/>
        <w:gridCol w:w="36"/>
        <w:gridCol w:w="36"/>
        <w:gridCol w:w="109"/>
        <w:gridCol w:w="312"/>
        <w:gridCol w:w="163"/>
        <w:gridCol w:w="36"/>
        <w:gridCol w:w="36"/>
        <w:gridCol w:w="36"/>
        <w:gridCol w:w="109"/>
        <w:gridCol w:w="338"/>
        <w:gridCol w:w="163"/>
        <w:gridCol w:w="36"/>
        <w:gridCol w:w="36"/>
        <w:gridCol w:w="36"/>
        <w:gridCol w:w="110"/>
        <w:gridCol w:w="366"/>
        <w:gridCol w:w="163"/>
        <w:gridCol w:w="36"/>
        <w:gridCol w:w="36"/>
        <w:gridCol w:w="36"/>
        <w:gridCol w:w="109"/>
        <w:gridCol w:w="445"/>
        <w:gridCol w:w="163"/>
        <w:gridCol w:w="36"/>
        <w:gridCol w:w="36"/>
        <w:gridCol w:w="36"/>
        <w:gridCol w:w="109"/>
        <w:gridCol w:w="287"/>
        <w:gridCol w:w="163"/>
      </w:tblGrid>
      <w:tr w:rsidR="00E836FB" w14:paraId="5F2D29C0" w14:textId="77777777">
        <w:tc>
          <w:tcPr>
            <w:tcW w:w="50" w:type="pct"/>
            <w:shd w:val="clear" w:color="auto" w:fill="auto"/>
            <w:vAlign w:val="bottom"/>
          </w:tcPr>
          <w:p w14:paraId="5F2D298A" w14:textId="77777777" w:rsidR="00E836FB" w:rsidRDefault="00E836FB">
            <w:pPr>
              <w:rPr>
                <w:rFonts w:ascii="宋体"/>
              </w:rPr>
            </w:pPr>
          </w:p>
        </w:tc>
        <w:tc>
          <w:tcPr>
            <w:tcW w:w="1034" w:type="pct"/>
            <w:shd w:val="clear" w:color="auto" w:fill="auto"/>
            <w:vAlign w:val="bottom"/>
          </w:tcPr>
          <w:p w14:paraId="5F2D298B" w14:textId="77777777" w:rsidR="00E836FB" w:rsidRDefault="00E836FB">
            <w:pPr>
              <w:rPr>
                <w:rFonts w:ascii="宋体"/>
              </w:rPr>
            </w:pPr>
          </w:p>
        </w:tc>
        <w:tc>
          <w:tcPr>
            <w:tcW w:w="5" w:type="pct"/>
            <w:shd w:val="clear" w:color="auto" w:fill="auto"/>
            <w:vAlign w:val="bottom"/>
          </w:tcPr>
          <w:p w14:paraId="5F2D298C" w14:textId="77777777" w:rsidR="00E836FB" w:rsidRDefault="00E836FB">
            <w:pPr>
              <w:rPr>
                <w:rFonts w:ascii="宋体"/>
              </w:rPr>
            </w:pPr>
          </w:p>
        </w:tc>
        <w:tc>
          <w:tcPr>
            <w:tcW w:w="50" w:type="pct"/>
            <w:shd w:val="clear" w:color="auto" w:fill="auto"/>
            <w:vAlign w:val="bottom"/>
          </w:tcPr>
          <w:p w14:paraId="5F2D298D" w14:textId="77777777" w:rsidR="00E836FB" w:rsidRDefault="00E836FB">
            <w:pPr>
              <w:rPr>
                <w:rFonts w:ascii="宋体"/>
              </w:rPr>
            </w:pPr>
          </w:p>
        </w:tc>
        <w:tc>
          <w:tcPr>
            <w:tcW w:w="347" w:type="pct"/>
            <w:shd w:val="clear" w:color="auto" w:fill="auto"/>
            <w:vAlign w:val="bottom"/>
          </w:tcPr>
          <w:p w14:paraId="5F2D298E" w14:textId="77777777" w:rsidR="00E836FB" w:rsidRDefault="00E836FB">
            <w:pPr>
              <w:rPr>
                <w:rFonts w:ascii="宋体"/>
              </w:rPr>
            </w:pPr>
          </w:p>
        </w:tc>
        <w:tc>
          <w:tcPr>
            <w:tcW w:w="5" w:type="pct"/>
            <w:shd w:val="clear" w:color="auto" w:fill="auto"/>
            <w:vAlign w:val="bottom"/>
          </w:tcPr>
          <w:p w14:paraId="5F2D298F" w14:textId="77777777" w:rsidR="00E836FB" w:rsidRDefault="00E836FB">
            <w:pPr>
              <w:rPr>
                <w:rFonts w:ascii="宋体"/>
              </w:rPr>
            </w:pPr>
          </w:p>
        </w:tc>
        <w:tc>
          <w:tcPr>
            <w:tcW w:w="5" w:type="pct"/>
            <w:shd w:val="clear" w:color="auto" w:fill="auto"/>
            <w:vAlign w:val="bottom"/>
          </w:tcPr>
          <w:p w14:paraId="5F2D2990" w14:textId="77777777" w:rsidR="00E836FB" w:rsidRDefault="00E836FB">
            <w:pPr>
              <w:rPr>
                <w:rFonts w:ascii="宋体"/>
              </w:rPr>
            </w:pPr>
          </w:p>
        </w:tc>
        <w:tc>
          <w:tcPr>
            <w:tcW w:w="26" w:type="pct"/>
            <w:shd w:val="clear" w:color="auto" w:fill="auto"/>
            <w:vAlign w:val="bottom"/>
          </w:tcPr>
          <w:p w14:paraId="5F2D2991" w14:textId="77777777" w:rsidR="00E836FB" w:rsidRDefault="00E836FB">
            <w:pPr>
              <w:rPr>
                <w:rFonts w:ascii="宋体"/>
              </w:rPr>
            </w:pPr>
          </w:p>
        </w:tc>
        <w:tc>
          <w:tcPr>
            <w:tcW w:w="5" w:type="pct"/>
            <w:shd w:val="clear" w:color="auto" w:fill="auto"/>
            <w:vAlign w:val="bottom"/>
          </w:tcPr>
          <w:p w14:paraId="5F2D2992" w14:textId="77777777" w:rsidR="00E836FB" w:rsidRDefault="00E836FB">
            <w:pPr>
              <w:rPr>
                <w:rFonts w:ascii="宋体"/>
              </w:rPr>
            </w:pPr>
          </w:p>
        </w:tc>
        <w:tc>
          <w:tcPr>
            <w:tcW w:w="50" w:type="pct"/>
            <w:shd w:val="clear" w:color="auto" w:fill="auto"/>
            <w:vAlign w:val="bottom"/>
          </w:tcPr>
          <w:p w14:paraId="5F2D2993" w14:textId="77777777" w:rsidR="00E836FB" w:rsidRDefault="00E836FB">
            <w:pPr>
              <w:rPr>
                <w:rFonts w:ascii="宋体"/>
              </w:rPr>
            </w:pPr>
          </w:p>
        </w:tc>
        <w:tc>
          <w:tcPr>
            <w:tcW w:w="347" w:type="pct"/>
            <w:shd w:val="clear" w:color="auto" w:fill="auto"/>
            <w:vAlign w:val="bottom"/>
          </w:tcPr>
          <w:p w14:paraId="5F2D2994" w14:textId="77777777" w:rsidR="00E836FB" w:rsidRDefault="00E836FB">
            <w:pPr>
              <w:rPr>
                <w:rFonts w:ascii="宋体"/>
              </w:rPr>
            </w:pPr>
          </w:p>
        </w:tc>
        <w:tc>
          <w:tcPr>
            <w:tcW w:w="5" w:type="pct"/>
            <w:shd w:val="clear" w:color="auto" w:fill="auto"/>
            <w:vAlign w:val="bottom"/>
          </w:tcPr>
          <w:p w14:paraId="5F2D2995" w14:textId="77777777" w:rsidR="00E836FB" w:rsidRDefault="00E836FB">
            <w:pPr>
              <w:rPr>
                <w:rFonts w:ascii="宋体"/>
              </w:rPr>
            </w:pPr>
          </w:p>
        </w:tc>
        <w:tc>
          <w:tcPr>
            <w:tcW w:w="5" w:type="pct"/>
            <w:shd w:val="clear" w:color="auto" w:fill="auto"/>
            <w:vAlign w:val="bottom"/>
          </w:tcPr>
          <w:p w14:paraId="5F2D2996" w14:textId="77777777" w:rsidR="00E836FB" w:rsidRDefault="00E836FB">
            <w:pPr>
              <w:rPr>
                <w:rFonts w:ascii="宋体"/>
              </w:rPr>
            </w:pPr>
          </w:p>
        </w:tc>
        <w:tc>
          <w:tcPr>
            <w:tcW w:w="26" w:type="pct"/>
            <w:shd w:val="clear" w:color="auto" w:fill="auto"/>
            <w:vAlign w:val="bottom"/>
          </w:tcPr>
          <w:p w14:paraId="5F2D2997" w14:textId="77777777" w:rsidR="00E836FB" w:rsidRDefault="00E836FB">
            <w:pPr>
              <w:rPr>
                <w:rFonts w:ascii="宋体"/>
              </w:rPr>
            </w:pPr>
          </w:p>
        </w:tc>
        <w:tc>
          <w:tcPr>
            <w:tcW w:w="5" w:type="pct"/>
            <w:shd w:val="clear" w:color="auto" w:fill="auto"/>
            <w:vAlign w:val="bottom"/>
          </w:tcPr>
          <w:p w14:paraId="5F2D2998" w14:textId="77777777" w:rsidR="00E836FB" w:rsidRDefault="00E836FB">
            <w:pPr>
              <w:rPr>
                <w:rFonts w:ascii="宋体"/>
              </w:rPr>
            </w:pPr>
          </w:p>
        </w:tc>
        <w:tc>
          <w:tcPr>
            <w:tcW w:w="50" w:type="pct"/>
            <w:shd w:val="clear" w:color="auto" w:fill="auto"/>
            <w:vAlign w:val="bottom"/>
          </w:tcPr>
          <w:p w14:paraId="5F2D2999" w14:textId="77777777" w:rsidR="00E836FB" w:rsidRDefault="00E836FB">
            <w:pPr>
              <w:rPr>
                <w:rFonts w:ascii="宋体"/>
              </w:rPr>
            </w:pPr>
          </w:p>
        </w:tc>
        <w:tc>
          <w:tcPr>
            <w:tcW w:w="347" w:type="pct"/>
            <w:shd w:val="clear" w:color="auto" w:fill="auto"/>
            <w:vAlign w:val="bottom"/>
          </w:tcPr>
          <w:p w14:paraId="5F2D299A" w14:textId="77777777" w:rsidR="00E836FB" w:rsidRDefault="00E836FB">
            <w:pPr>
              <w:rPr>
                <w:rFonts w:ascii="宋体"/>
              </w:rPr>
            </w:pPr>
          </w:p>
        </w:tc>
        <w:tc>
          <w:tcPr>
            <w:tcW w:w="5" w:type="pct"/>
            <w:shd w:val="clear" w:color="auto" w:fill="auto"/>
            <w:vAlign w:val="bottom"/>
          </w:tcPr>
          <w:p w14:paraId="5F2D299B" w14:textId="77777777" w:rsidR="00E836FB" w:rsidRDefault="00E836FB">
            <w:pPr>
              <w:rPr>
                <w:rFonts w:ascii="宋体"/>
              </w:rPr>
            </w:pPr>
          </w:p>
        </w:tc>
        <w:tc>
          <w:tcPr>
            <w:tcW w:w="5" w:type="pct"/>
            <w:shd w:val="clear" w:color="auto" w:fill="auto"/>
            <w:vAlign w:val="bottom"/>
          </w:tcPr>
          <w:p w14:paraId="5F2D299C" w14:textId="77777777" w:rsidR="00E836FB" w:rsidRDefault="00E836FB">
            <w:pPr>
              <w:rPr>
                <w:rFonts w:ascii="宋体"/>
              </w:rPr>
            </w:pPr>
          </w:p>
        </w:tc>
        <w:tc>
          <w:tcPr>
            <w:tcW w:w="26" w:type="pct"/>
            <w:shd w:val="clear" w:color="auto" w:fill="auto"/>
            <w:vAlign w:val="bottom"/>
          </w:tcPr>
          <w:p w14:paraId="5F2D299D" w14:textId="77777777" w:rsidR="00E836FB" w:rsidRDefault="00E836FB">
            <w:pPr>
              <w:rPr>
                <w:rFonts w:ascii="宋体"/>
              </w:rPr>
            </w:pPr>
          </w:p>
        </w:tc>
        <w:tc>
          <w:tcPr>
            <w:tcW w:w="5" w:type="pct"/>
            <w:shd w:val="clear" w:color="auto" w:fill="auto"/>
            <w:vAlign w:val="bottom"/>
          </w:tcPr>
          <w:p w14:paraId="5F2D299E" w14:textId="77777777" w:rsidR="00E836FB" w:rsidRDefault="00E836FB">
            <w:pPr>
              <w:rPr>
                <w:rFonts w:ascii="宋体"/>
              </w:rPr>
            </w:pPr>
          </w:p>
        </w:tc>
        <w:tc>
          <w:tcPr>
            <w:tcW w:w="50" w:type="pct"/>
            <w:shd w:val="clear" w:color="auto" w:fill="auto"/>
            <w:vAlign w:val="bottom"/>
          </w:tcPr>
          <w:p w14:paraId="5F2D299F" w14:textId="77777777" w:rsidR="00E836FB" w:rsidRDefault="00E836FB">
            <w:pPr>
              <w:rPr>
                <w:rFonts w:ascii="宋体"/>
              </w:rPr>
            </w:pPr>
          </w:p>
        </w:tc>
        <w:tc>
          <w:tcPr>
            <w:tcW w:w="347" w:type="pct"/>
            <w:shd w:val="clear" w:color="auto" w:fill="auto"/>
            <w:vAlign w:val="bottom"/>
          </w:tcPr>
          <w:p w14:paraId="5F2D29A0" w14:textId="77777777" w:rsidR="00E836FB" w:rsidRDefault="00E836FB">
            <w:pPr>
              <w:rPr>
                <w:rFonts w:ascii="宋体"/>
              </w:rPr>
            </w:pPr>
          </w:p>
        </w:tc>
        <w:tc>
          <w:tcPr>
            <w:tcW w:w="5" w:type="pct"/>
            <w:shd w:val="clear" w:color="auto" w:fill="auto"/>
            <w:vAlign w:val="bottom"/>
          </w:tcPr>
          <w:p w14:paraId="5F2D29A1" w14:textId="77777777" w:rsidR="00E836FB" w:rsidRDefault="00E836FB">
            <w:pPr>
              <w:rPr>
                <w:rFonts w:ascii="宋体"/>
              </w:rPr>
            </w:pPr>
          </w:p>
        </w:tc>
        <w:tc>
          <w:tcPr>
            <w:tcW w:w="5" w:type="pct"/>
            <w:shd w:val="clear" w:color="auto" w:fill="auto"/>
            <w:vAlign w:val="bottom"/>
          </w:tcPr>
          <w:p w14:paraId="5F2D29A2" w14:textId="77777777" w:rsidR="00E836FB" w:rsidRDefault="00E836FB">
            <w:pPr>
              <w:rPr>
                <w:rFonts w:ascii="宋体"/>
              </w:rPr>
            </w:pPr>
          </w:p>
        </w:tc>
        <w:tc>
          <w:tcPr>
            <w:tcW w:w="26" w:type="pct"/>
            <w:shd w:val="clear" w:color="auto" w:fill="auto"/>
            <w:vAlign w:val="bottom"/>
          </w:tcPr>
          <w:p w14:paraId="5F2D29A3" w14:textId="77777777" w:rsidR="00E836FB" w:rsidRDefault="00E836FB">
            <w:pPr>
              <w:rPr>
                <w:rFonts w:ascii="宋体"/>
              </w:rPr>
            </w:pPr>
          </w:p>
        </w:tc>
        <w:tc>
          <w:tcPr>
            <w:tcW w:w="5" w:type="pct"/>
            <w:shd w:val="clear" w:color="auto" w:fill="auto"/>
            <w:vAlign w:val="bottom"/>
          </w:tcPr>
          <w:p w14:paraId="5F2D29A4" w14:textId="77777777" w:rsidR="00E836FB" w:rsidRDefault="00E836FB">
            <w:pPr>
              <w:rPr>
                <w:rFonts w:ascii="宋体"/>
              </w:rPr>
            </w:pPr>
          </w:p>
        </w:tc>
        <w:tc>
          <w:tcPr>
            <w:tcW w:w="50" w:type="pct"/>
            <w:shd w:val="clear" w:color="auto" w:fill="auto"/>
            <w:vAlign w:val="bottom"/>
          </w:tcPr>
          <w:p w14:paraId="5F2D29A5" w14:textId="77777777" w:rsidR="00E836FB" w:rsidRDefault="00E836FB">
            <w:pPr>
              <w:rPr>
                <w:rFonts w:ascii="宋体"/>
              </w:rPr>
            </w:pPr>
          </w:p>
        </w:tc>
        <w:tc>
          <w:tcPr>
            <w:tcW w:w="347" w:type="pct"/>
            <w:shd w:val="clear" w:color="auto" w:fill="auto"/>
            <w:vAlign w:val="bottom"/>
          </w:tcPr>
          <w:p w14:paraId="5F2D29A6" w14:textId="77777777" w:rsidR="00E836FB" w:rsidRDefault="00E836FB">
            <w:pPr>
              <w:rPr>
                <w:rFonts w:ascii="宋体"/>
              </w:rPr>
            </w:pPr>
          </w:p>
        </w:tc>
        <w:tc>
          <w:tcPr>
            <w:tcW w:w="5" w:type="pct"/>
            <w:shd w:val="clear" w:color="auto" w:fill="auto"/>
            <w:vAlign w:val="bottom"/>
          </w:tcPr>
          <w:p w14:paraId="5F2D29A7" w14:textId="77777777" w:rsidR="00E836FB" w:rsidRDefault="00E836FB">
            <w:pPr>
              <w:rPr>
                <w:rFonts w:ascii="宋体"/>
              </w:rPr>
            </w:pPr>
          </w:p>
        </w:tc>
        <w:tc>
          <w:tcPr>
            <w:tcW w:w="5" w:type="pct"/>
            <w:shd w:val="clear" w:color="auto" w:fill="auto"/>
            <w:vAlign w:val="bottom"/>
          </w:tcPr>
          <w:p w14:paraId="5F2D29A8" w14:textId="77777777" w:rsidR="00E836FB" w:rsidRDefault="00E836FB">
            <w:pPr>
              <w:rPr>
                <w:rFonts w:ascii="宋体"/>
              </w:rPr>
            </w:pPr>
          </w:p>
        </w:tc>
        <w:tc>
          <w:tcPr>
            <w:tcW w:w="26" w:type="pct"/>
            <w:shd w:val="clear" w:color="auto" w:fill="auto"/>
            <w:vAlign w:val="bottom"/>
          </w:tcPr>
          <w:p w14:paraId="5F2D29A9" w14:textId="77777777" w:rsidR="00E836FB" w:rsidRDefault="00E836FB">
            <w:pPr>
              <w:rPr>
                <w:rFonts w:ascii="宋体"/>
              </w:rPr>
            </w:pPr>
          </w:p>
        </w:tc>
        <w:tc>
          <w:tcPr>
            <w:tcW w:w="5" w:type="pct"/>
            <w:shd w:val="clear" w:color="auto" w:fill="auto"/>
            <w:vAlign w:val="bottom"/>
          </w:tcPr>
          <w:p w14:paraId="5F2D29AA" w14:textId="77777777" w:rsidR="00E836FB" w:rsidRDefault="00E836FB">
            <w:pPr>
              <w:rPr>
                <w:rFonts w:ascii="宋体"/>
              </w:rPr>
            </w:pPr>
          </w:p>
        </w:tc>
        <w:tc>
          <w:tcPr>
            <w:tcW w:w="50" w:type="pct"/>
            <w:shd w:val="clear" w:color="auto" w:fill="auto"/>
            <w:vAlign w:val="bottom"/>
          </w:tcPr>
          <w:p w14:paraId="5F2D29AB" w14:textId="77777777" w:rsidR="00E836FB" w:rsidRDefault="00E836FB">
            <w:pPr>
              <w:rPr>
                <w:rFonts w:ascii="宋体"/>
              </w:rPr>
            </w:pPr>
          </w:p>
        </w:tc>
        <w:tc>
          <w:tcPr>
            <w:tcW w:w="347" w:type="pct"/>
            <w:shd w:val="clear" w:color="auto" w:fill="auto"/>
            <w:vAlign w:val="bottom"/>
          </w:tcPr>
          <w:p w14:paraId="5F2D29AC" w14:textId="77777777" w:rsidR="00E836FB" w:rsidRDefault="00E836FB">
            <w:pPr>
              <w:rPr>
                <w:rFonts w:ascii="宋体"/>
              </w:rPr>
            </w:pPr>
          </w:p>
        </w:tc>
        <w:tc>
          <w:tcPr>
            <w:tcW w:w="5" w:type="pct"/>
            <w:shd w:val="clear" w:color="auto" w:fill="auto"/>
            <w:vAlign w:val="bottom"/>
          </w:tcPr>
          <w:p w14:paraId="5F2D29AD" w14:textId="77777777" w:rsidR="00E836FB" w:rsidRDefault="00E836FB">
            <w:pPr>
              <w:rPr>
                <w:rFonts w:ascii="宋体"/>
              </w:rPr>
            </w:pPr>
          </w:p>
        </w:tc>
        <w:tc>
          <w:tcPr>
            <w:tcW w:w="5" w:type="pct"/>
            <w:shd w:val="clear" w:color="auto" w:fill="auto"/>
            <w:vAlign w:val="bottom"/>
          </w:tcPr>
          <w:p w14:paraId="5F2D29AE" w14:textId="77777777" w:rsidR="00E836FB" w:rsidRDefault="00E836FB">
            <w:pPr>
              <w:rPr>
                <w:rFonts w:ascii="宋体"/>
              </w:rPr>
            </w:pPr>
          </w:p>
        </w:tc>
        <w:tc>
          <w:tcPr>
            <w:tcW w:w="26" w:type="pct"/>
            <w:shd w:val="clear" w:color="auto" w:fill="auto"/>
            <w:vAlign w:val="bottom"/>
          </w:tcPr>
          <w:p w14:paraId="5F2D29AF" w14:textId="77777777" w:rsidR="00E836FB" w:rsidRDefault="00E836FB">
            <w:pPr>
              <w:rPr>
                <w:rFonts w:ascii="宋体"/>
              </w:rPr>
            </w:pPr>
          </w:p>
        </w:tc>
        <w:tc>
          <w:tcPr>
            <w:tcW w:w="5" w:type="pct"/>
            <w:shd w:val="clear" w:color="auto" w:fill="auto"/>
            <w:vAlign w:val="bottom"/>
          </w:tcPr>
          <w:p w14:paraId="5F2D29B0" w14:textId="77777777" w:rsidR="00E836FB" w:rsidRDefault="00E836FB">
            <w:pPr>
              <w:rPr>
                <w:rFonts w:ascii="宋体"/>
              </w:rPr>
            </w:pPr>
          </w:p>
        </w:tc>
        <w:tc>
          <w:tcPr>
            <w:tcW w:w="50" w:type="pct"/>
            <w:shd w:val="clear" w:color="auto" w:fill="auto"/>
            <w:vAlign w:val="bottom"/>
          </w:tcPr>
          <w:p w14:paraId="5F2D29B1" w14:textId="77777777" w:rsidR="00E836FB" w:rsidRDefault="00E836FB">
            <w:pPr>
              <w:rPr>
                <w:rFonts w:ascii="宋体"/>
              </w:rPr>
            </w:pPr>
          </w:p>
        </w:tc>
        <w:tc>
          <w:tcPr>
            <w:tcW w:w="347" w:type="pct"/>
            <w:shd w:val="clear" w:color="auto" w:fill="auto"/>
            <w:vAlign w:val="bottom"/>
          </w:tcPr>
          <w:p w14:paraId="5F2D29B2" w14:textId="77777777" w:rsidR="00E836FB" w:rsidRDefault="00E836FB">
            <w:pPr>
              <w:rPr>
                <w:rFonts w:ascii="宋体"/>
              </w:rPr>
            </w:pPr>
          </w:p>
        </w:tc>
        <w:tc>
          <w:tcPr>
            <w:tcW w:w="5" w:type="pct"/>
            <w:shd w:val="clear" w:color="auto" w:fill="auto"/>
            <w:vAlign w:val="bottom"/>
          </w:tcPr>
          <w:p w14:paraId="5F2D29B3" w14:textId="77777777" w:rsidR="00E836FB" w:rsidRDefault="00E836FB">
            <w:pPr>
              <w:rPr>
                <w:rFonts w:ascii="宋体"/>
              </w:rPr>
            </w:pPr>
          </w:p>
        </w:tc>
        <w:tc>
          <w:tcPr>
            <w:tcW w:w="5" w:type="pct"/>
            <w:shd w:val="clear" w:color="auto" w:fill="auto"/>
            <w:vAlign w:val="bottom"/>
          </w:tcPr>
          <w:p w14:paraId="5F2D29B4" w14:textId="77777777" w:rsidR="00E836FB" w:rsidRDefault="00E836FB">
            <w:pPr>
              <w:rPr>
                <w:rFonts w:ascii="宋体"/>
              </w:rPr>
            </w:pPr>
          </w:p>
        </w:tc>
        <w:tc>
          <w:tcPr>
            <w:tcW w:w="26" w:type="pct"/>
            <w:shd w:val="clear" w:color="auto" w:fill="auto"/>
            <w:vAlign w:val="bottom"/>
          </w:tcPr>
          <w:p w14:paraId="5F2D29B5" w14:textId="77777777" w:rsidR="00E836FB" w:rsidRDefault="00E836FB">
            <w:pPr>
              <w:rPr>
                <w:rFonts w:ascii="宋体"/>
              </w:rPr>
            </w:pPr>
          </w:p>
        </w:tc>
        <w:tc>
          <w:tcPr>
            <w:tcW w:w="5" w:type="pct"/>
            <w:shd w:val="clear" w:color="auto" w:fill="auto"/>
            <w:vAlign w:val="bottom"/>
          </w:tcPr>
          <w:p w14:paraId="5F2D29B6" w14:textId="77777777" w:rsidR="00E836FB" w:rsidRDefault="00E836FB">
            <w:pPr>
              <w:rPr>
                <w:rFonts w:ascii="宋体"/>
              </w:rPr>
            </w:pPr>
          </w:p>
        </w:tc>
        <w:tc>
          <w:tcPr>
            <w:tcW w:w="50" w:type="pct"/>
            <w:shd w:val="clear" w:color="auto" w:fill="auto"/>
            <w:vAlign w:val="bottom"/>
          </w:tcPr>
          <w:p w14:paraId="5F2D29B7" w14:textId="77777777" w:rsidR="00E836FB" w:rsidRDefault="00E836FB">
            <w:pPr>
              <w:rPr>
                <w:rFonts w:ascii="宋体"/>
              </w:rPr>
            </w:pPr>
          </w:p>
        </w:tc>
        <w:tc>
          <w:tcPr>
            <w:tcW w:w="347" w:type="pct"/>
            <w:shd w:val="clear" w:color="auto" w:fill="auto"/>
            <w:vAlign w:val="bottom"/>
          </w:tcPr>
          <w:p w14:paraId="5F2D29B8" w14:textId="77777777" w:rsidR="00E836FB" w:rsidRDefault="00E836FB">
            <w:pPr>
              <w:rPr>
                <w:rFonts w:ascii="宋体"/>
              </w:rPr>
            </w:pPr>
          </w:p>
        </w:tc>
        <w:tc>
          <w:tcPr>
            <w:tcW w:w="5" w:type="pct"/>
            <w:shd w:val="clear" w:color="auto" w:fill="auto"/>
            <w:vAlign w:val="bottom"/>
          </w:tcPr>
          <w:p w14:paraId="5F2D29B9" w14:textId="77777777" w:rsidR="00E836FB" w:rsidRDefault="00E836FB">
            <w:pPr>
              <w:rPr>
                <w:rFonts w:ascii="宋体"/>
              </w:rPr>
            </w:pPr>
          </w:p>
        </w:tc>
        <w:tc>
          <w:tcPr>
            <w:tcW w:w="5" w:type="pct"/>
            <w:shd w:val="clear" w:color="auto" w:fill="auto"/>
            <w:vAlign w:val="bottom"/>
          </w:tcPr>
          <w:p w14:paraId="5F2D29BA" w14:textId="77777777" w:rsidR="00E836FB" w:rsidRDefault="00E836FB">
            <w:pPr>
              <w:rPr>
                <w:rFonts w:ascii="宋体"/>
              </w:rPr>
            </w:pPr>
          </w:p>
        </w:tc>
        <w:tc>
          <w:tcPr>
            <w:tcW w:w="26" w:type="pct"/>
            <w:shd w:val="clear" w:color="auto" w:fill="auto"/>
            <w:vAlign w:val="bottom"/>
          </w:tcPr>
          <w:p w14:paraId="5F2D29BB" w14:textId="77777777" w:rsidR="00E836FB" w:rsidRDefault="00E836FB">
            <w:pPr>
              <w:rPr>
                <w:rFonts w:ascii="宋体"/>
              </w:rPr>
            </w:pPr>
          </w:p>
        </w:tc>
        <w:tc>
          <w:tcPr>
            <w:tcW w:w="5" w:type="pct"/>
            <w:shd w:val="clear" w:color="auto" w:fill="auto"/>
            <w:vAlign w:val="bottom"/>
          </w:tcPr>
          <w:p w14:paraId="5F2D29BC" w14:textId="77777777" w:rsidR="00E836FB" w:rsidRDefault="00E836FB">
            <w:pPr>
              <w:rPr>
                <w:rFonts w:ascii="宋体"/>
              </w:rPr>
            </w:pPr>
          </w:p>
        </w:tc>
        <w:tc>
          <w:tcPr>
            <w:tcW w:w="50" w:type="pct"/>
            <w:shd w:val="clear" w:color="auto" w:fill="auto"/>
            <w:vAlign w:val="bottom"/>
          </w:tcPr>
          <w:p w14:paraId="5F2D29BD" w14:textId="77777777" w:rsidR="00E836FB" w:rsidRDefault="00E836FB">
            <w:pPr>
              <w:rPr>
                <w:rFonts w:ascii="宋体"/>
              </w:rPr>
            </w:pPr>
          </w:p>
        </w:tc>
        <w:tc>
          <w:tcPr>
            <w:tcW w:w="347" w:type="pct"/>
            <w:shd w:val="clear" w:color="auto" w:fill="auto"/>
            <w:vAlign w:val="bottom"/>
          </w:tcPr>
          <w:p w14:paraId="5F2D29BE" w14:textId="77777777" w:rsidR="00E836FB" w:rsidRDefault="00E836FB">
            <w:pPr>
              <w:rPr>
                <w:rFonts w:ascii="宋体"/>
              </w:rPr>
            </w:pPr>
          </w:p>
        </w:tc>
        <w:tc>
          <w:tcPr>
            <w:tcW w:w="5" w:type="pct"/>
            <w:shd w:val="clear" w:color="auto" w:fill="auto"/>
            <w:vAlign w:val="bottom"/>
          </w:tcPr>
          <w:p w14:paraId="5F2D29BF" w14:textId="77777777" w:rsidR="00E836FB" w:rsidRDefault="00E836FB">
            <w:pPr>
              <w:rPr>
                <w:rFonts w:ascii="宋体"/>
              </w:rPr>
            </w:pPr>
          </w:p>
        </w:tc>
      </w:tr>
      <w:tr w:rsidR="00E836FB" w14:paraId="5F2D29C9" w14:textId="77777777">
        <w:tc>
          <w:tcPr>
            <w:tcW w:w="0" w:type="auto"/>
            <w:gridSpan w:val="3"/>
            <w:shd w:val="clear" w:color="auto" w:fill="auto"/>
            <w:tcMar>
              <w:top w:w="40" w:type="dxa"/>
              <w:left w:w="20" w:type="dxa"/>
              <w:bottom w:w="40" w:type="dxa"/>
              <w:right w:w="20" w:type="dxa"/>
            </w:tcMar>
            <w:vAlign w:val="bottom"/>
          </w:tcPr>
          <w:p w14:paraId="5F2D29C1" w14:textId="77777777" w:rsidR="00E836FB" w:rsidRDefault="00994958">
            <w:pPr>
              <w:textAlignment w:val="bottom"/>
            </w:pPr>
            <w:r>
              <w:rPr>
                <w:rFonts w:ascii="Arial" w:eastAsia="宋体" w:hAnsi="Arial" w:cs="Arial"/>
                <w:b/>
                <w:bCs/>
                <w:color w:val="000000"/>
                <w:sz w:val="16"/>
                <w:szCs w:val="16"/>
              </w:rPr>
              <w:t>(Dollars in millions)</w:t>
            </w:r>
          </w:p>
        </w:tc>
        <w:tc>
          <w:tcPr>
            <w:tcW w:w="0" w:type="auto"/>
            <w:gridSpan w:val="15"/>
            <w:shd w:val="clear" w:color="auto" w:fill="auto"/>
            <w:tcMar>
              <w:top w:w="40" w:type="dxa"/>
              <w:left w:w="20" w:type="dxa"/>
              <w:bottom w:w="40" w:type="dxa"/>
              <w:right w:w="20" w:type="dxa"/>
            </w:tcMar>
            <w:vAlign w:val="bottom"/>
          </w:tcPr>
          <w:p w14:paraId="5F2D29C2" w14:textId="77777777" w:rsidR="00E836FB" w:rsidRDefault="00994958">
            <w:pPr>
              <w:jc w:val="center"/>
              <w:textAlignment w:val="bottom"/>
            </w:pPr>
            <w:r>
              <w:rPr>
                <w:rFonts w:ascii="Arial" w:eastAsia="宋体" w:hAnsi="Arial" w:cs="Arial"/>
                <w:b/>
                <w:bCs/>
                <w:color w:val="000000"/>
                <w:sz w:val="16"/>
                <w:szCs w:val="16"/>
              </w:rPr>
              <w:t>Securities Sold Under</w:t>
            </w:r>
          </w:p>
          <w:p w14:paraId="5F2D29C3" w14:textId="77777777" w:rsidR="00E836FB" w:rsidRDefault="00994958">
            <w:pPr>
              <w:jc w:val="center"/>
              <w:textAlignment w:val="bottom"/>
            </w:pPr>
            <w:r>
              <w:rPr>
                <w:rFonts w:ascii="Arial" w:eastAsia="宋体" w:hAnsi="Arial" w:cs="Arial"/>
                <w:b/>
                <w:bCs/>
                <w:color w:val="000000"/>
                <w:sz w:val="16"/>
                <w:szCs w:val="16"/>
              </w:rPr>
              <w:t>Repurchase Agreements</w:t>
            </w:r>
          </w:p>
        </w:tc>
        <w:tc>
          <w:tcPr>
            <w:tcW w:w="0" w:type="auto"/>
            <w:gridSpan w:val="3"/>
            <w:shd w:val="clear" w:color="auto" w:fill="auto"/>
            <w:tcMar>
              <w:top w:w="0" w:type="dxa"/>
              <w:left w:w="20" w:type="dxa"/>
              <w:bottom w:w="0" w:type="dxa"/>
              <w:right w:w="20" w:type="dxa"/>
            </w:tcMar>
            <w:vAlign w:val="bottom"/>
          </w:tcPr>
          <w:p w14:paraId="5F2D29C4"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29C5" w14:textId="77777777" w:rsidR="00E836FB" w:rsidRDefault="00994958">
            <w:pPr>
              <w:jc w:val="center"/>
              <w:textAlignment w:val="bottom"/>
            </w:pPr>
            <w:r>
              <w:rPr>
                <w:rFonts w:ascii="Arial" w:eastAsia="宋体" w:hAnsi="Arial" w:cs="Arial"/>
                <w:b/>
                <w:bCs/>
                <w:color w:val="000000"/>
                <w:sz w:val="16"/>
                <w:szCs w:val="16"/>
              </w:rPr>
              <w:t>Tax-Exempt</w:t>
            </w:r>
          </w:p>
          <w:p w14:paraId="5F2D29C6" w14:textId="77777777" w:rsidR="00E836FB" w:rsidRDefault="00994958">
            <w:pPr>
              <w:jc w:val="center"/>
              <w:textAlignment w:val="bottom"/>
            </w:pPr>
            <w:r>
              <w:rPr>
                <w:rFonts w:ascii="Arial" w:eastAsia="宋体" w:hAnsi="Arial" w:cs="Arial"/>
                <w:b/>
                <w:bCs/>
                <w:color w:val="000000"/>
                <w:sz w:val="16"/>
                <w:szCs w:val="16"/>
              </w:rPr>
              <w:t>Investment Program</w:t>
            </w:r>
          </w:p>
        </w:tc>
        <w:tc>
          <w:tcPr>
            <w:tcW w:w="0" w:type="auto"/>
            <w:gridSpan w:val="3"/>
            <w:shd w:val="clear" w:color="auto" w:fill="auto"/>
            <w:tcMar>
              <w:top w:w="0" w:type="dxa"/>
              <w:left w:w="20" w:type="dxa"/>
              <w:bottom w:w="0" w:type="dxa"/>
              <w:right w:w="20" w:type="dxa"/>
            </w:tcMar>
            <w:vAlign w:val="bottom"/>
          </w:tcPr>
          <w:p w14:paraId="5F2D29C7"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29C8" w14:textId="77777777" w:rsidR="00E836FB" w:rsidRDefault="00994958">
            <w:pPr>
              <w:jc w:val="center"/>
              <w:textAlignment w:val="bottom"/>
            </w:pPr>
            <w:r>
              <w:rPr>
                <w:rFonts w:ascii="Arial" w:eastAsia="宋体" w:hAnsi="Arial" w:cs="Arial"/>
                <w:b/>
                <w:bCs/>
                <w:color w:val="000000"/>
                <w:sz w:val="16"/>
                <w:szCs w:val="16"/>
              </w:rPr>
              <w:t>Other</w:t>
            </w:r>
          </w:p>
        </w:tc>
      </w:tr>
      <w:tr w:rsidR="00E836FB" w14:paraId="5F2D29DC" w14:textId="77777777">
        <w:tc>
          <w:tcPr>
            <w:tcW w:w="0" w:type="auto"/>
            <w:gridSpan w:val="3"/>
            <w:shd w:val="clear" w:color="auto" w:fill="FFFFFF"/>
            <w:tcMar>
              <w:top w:w="0" w:type="dxa"/>
              <w:left w:w="20" w:type="dxa"/>
              <w:bottom w:w="0" w:type="dxa"/>
              <w:right w:w="20" w:type="dxa"/>
            </w:tcMar>
            <w:vAlign w:val="bottom"/>
          </w:tcPr>
          <w:p w14:paraId="5F2D29C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CB"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9C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CD"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9C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CF" w14:textId="77777777" w:rsidR="00E836FB" w:rsidRDefault="00994958">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5F2D29D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D1"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9D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D3"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9D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D5" w14:textId="77777777" w:rsidR="00E836FB" w:rsidRDefault="00994958">
            <w:pPr>
              <w:jc w:val="center"/>
              <w:textAlignment w:val="bottom"/>
            </w:pPr>
            <w:r>
              <w:rPr>
                <w:rFonts w:ascii="Arial" w:eastAsia="宋体" w:hAnsi="Arial" w:cs="Arial"/>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5F2D29D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D7"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9D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D9"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9D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9DB" w14:textId="77777777" w:rsidR="00E836FB" w:rsidRDefault="00994958">
            <w:pPr>
              <w:jc w:val="center"/>
              <w:textAlignment w:val="bottom"/>
            </w:pPr>
            <w:r>
              <w:rPr>
                <w:rFonts w:ascii="Arial" w:eastAsia="宋体" w:hAnsi="Arial" w:cs="Arial"/>
                <w:b/>
                <w:bCs/>
                <w:color w:val="000000"/>
                <w:sz w:val="16"/>
                <w:szCs w:val="16"/>
              </w:rPr>
              <w:t>2019</w:t>
            </w:r>
          </w:p>
        </w:tc>
      </w:tr>
      <w:tr w:rsidR="00994958" w14:paraId="5F2D2A01" w14:textId="77777777">
        <w:tc>
          <w:tcPr>
            <w:tcW w:w="0" w:type="auto"/>
            <w:gridSpan w:val="3"/>
            <w:shd w:val="clear" w:color="auto" w:fill="CCEEFF"/>
            <w:tcMar>
              <w:top w:w="40" w:type="dxa"/>
              <w:left w:w="20" w:type="dxa"/>
              <w:bottom w:w="40" w:type="dxa"/>
              <w:right w:w="20" w:type="dxa"/>
            </w:tcMar>
            <w:vAlign w:val="bottom"/>
          </w:tcPr>
          <w:p w14:paraId="5F2D29DD" w14:textId="77777777" w:rsidR="00E836FB" w:rsidRDefault="00994958">
            <w:pPr>
              <w:textAlignment w:val="bottom"/>
            </w:pPr>
            <w:r>
              <w:rPr>
                <w:rFonts w:ascii="Arial" w:eastAsia="宋体" w:hAnsi="Arial" w:cs="Arial"/>
                <w:color w:val="000000"/>
                <w:sz w:val="16"/>
                <w:szCs w:val="16"/>
              </w:rPr>
              <w:t>Balance as of December 31</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29DE"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DF" w14:textId="77777777" w:rsidR="00E836FB" w:rsidRDefault="00994958">
            <w:pPr>
              <w:jc w:val="right"/>
              <w:textAlignment w:val="bottom"/>
            </w:pPr>
            <w:r>
              <w:rPr>
                <w:rFonts w:ascii="Arial" w:eastAsia="宋体" w:hAnsi="Arial" w:cs="Arial"/>
                <w:b/>
                <w:bCs/>
                <w:color w:val="000000"/>
                <w:sz w:val="16"/>
                <w:szCs w:val="16"/>
              </w:rPr>
              <w:t>1,575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E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E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E2"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E3" w14:textId="77777777" w:rsidR="00E836FB" w:rsidRDefault="00994958">
            <w:pPr>
              <w:jc w:val="right"/>
              <w:textAlignment w:val="bottom"/>
            </w:pPr>
            <w:r>
              <w:rPr>
                <w:rFonts w:ascii="Arial" w:eastAsia="宋体" w:hAnsi="Arial" w:cs="Arial"/>
                <w:color w:val="000000"/>
                <w:sz w:val="16"/>
                <w:szCs w:val="16"/>
              </w:rPr>
              <w:t>3,413 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E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E6"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E7" w14:textId="77777777" w:rsidR="00E836FB" w:rsidRDefault="00994958">
            <w:pPr>
              <w:jc w:val="right"/>
              <w:textAlignment w:val="bottom"/>
            </w:pPr>
            <w:r>
              <w:rPr>
                <w:rFonts w:ascii="Arial" w:eastAsia="宋体" w:hAnsi="Arial" w:cs="Arial"/>
                <w:color w:val="000000"/>
                <w:sz w:val="16"/>
                <w:szCs w:val="16"/>
              </w:rPr>
              <w:t>1,102 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E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E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EA"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EB"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E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EE"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EF" w14:textId="77777777" w:rsidR="00E836FB" w:rsidRDefault="00994958">
            <w:pPr>
              <w:jc w:val="right"/>
              <w:textAlignment w:val="bottom"/>
            </w:pPr>
            <w:r>
              <w:rPr>
                <w:rFonts w:ascii="Arial" w:eastAsia="宋体" w:hAnsi="Arial" w:cs="Arial"/>
                <w:color w:val="000000"/>
                <w:sz w:val="16"/>
                <w:szCs w:val="16"/>
              </w:rPr>
              <w:t>616 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F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F2"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F3" w14:textId="77777777" w:rsidR="00E836FB" w:rsidRDefault="00994958">
            <w:pPr>
              <w:jc w:val="right"/>
              <w:textAlignment w:val="bottom"/>
            </w:pPr>
            <w:r>
              <w:rPr>
                <w:rFonts w:ascii="Arial" w:eastAsia="宋体" w:hAnsi="Arial" w:cs="Arial"/>
                <w:color w:val="000000"/>
                <w:sz w:val="16"/>
                <w:szCs w:val="16"/>
              </w:rPr>
              <w:t>823 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F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F6"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F7"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F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FA"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FB" w14:textId="77777777" w:rsidR="00E836FB" w:rsidRDefault="00994958">
            <w:pPr>
              <w:jc w:val="right"/>
              <w:textAlignment w:val="bottom"/>
            </w:pPr>
            <w:r>
              <w:rPr>
                <w:rFonts w:ascii="Arial" w:eastAsia="宋体" w:hAnsi="Arial" w:cs="Arial"/>
                <w:color w:val="000000"/>
                <w:sz w:val="16"/>
                <w:szCs w:val="16"/>
              </w:rPr>
              <w:t>3,302 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9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9F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9FE"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9FF" w14:textId="77777777" w:rsidR="00E836FB" w:rsidRDefault="00994958">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A00" w14:textId="77777777" w:rsidR="00E836FB" w:rsidRDefault="00E836FB">
            <w:pPr>
              <w:jc w:val="right"/>
              <w:rPr>
                <w:rFonts w:ascii="宋体"/>
              </w:rPr>
            </w:pPr>
          </w:p>
        </w:tc>
      </w:tr>
      <w:tr w:rsidR="00E836FB" w14:paraId="5F2D2A1D" w14:textId="77777777">
        <w:tc>
          <w:tcPr>
            <w:tcW w:w="0" w:type="auto"/>
            <w:gridSpan w:val="3"/>
            <w:shd w:val="clear" w:color="auto" w:fill="FFFFFF"/>
            <w:tcMar>
              <w:top w:w="40" w:type="dxa"/>
              <w:left w:w="20" w:type="dxa"/>
              <w:bottom w:w="40" w:type="dxa"/>
              <w:right w:w="20" w:type="dxa"/>
            </w:tcMar>
            <w:vAlign w:val="bottom"/>
          </w:tcPr>
          <w:p w14:paraId="5F2D2A02" w14:textId="77777777" w:rsidR="00E836FB" w:rsidRDefault="00994958">
            <w:pPr>
              <w:textAlignment w:val="bottom"/>
            </w:pPr>
            <w:r>
              <w:rPr>
                <w:rFonts w:ascii="Arial" w:eastAsia="宋体" w:hAnsi="Arial" w:cs="Arial"/>
                <w:color w:val="000000"/>
                <w:sz w:val="16"/>
                <w:szCs w:val="16"/>
              </w:rPr>
              <w:t>Maximum outstanding as of any month-end</w:t>
            </w:r>
          </w:p>
        </w:tc>
        <w:tc>
          <w:tcPr>
            <w:tcW w:w="0" w:type="auto"/>
            <w:gridSpan w:val="2"/>
            <w:shd w:val="clear" w:color="auto" w:fill="FFFFFF"/>
            <w:tcMar>
              <w:top w:w="40" w:type="dxa"/>
              <w:left w:w="20" w:type="dxa"/>
              <w:bottom w:w="40" w:type="dxa"/>
              <w:right w:w="0" w:type="dxa"/>
            </w:tcMar>
            <w:vAlign w:val="bottom"/>
          </w:tcPr>
          <w:p w14:paraId="5F2D2A03" w14:textId="77777777" w:rsidR="00E836FB" w:rsidRDefault="00994958">
            <w:pPr>
              <w:jc w:val="right"/>
              <w:textAlignment w:val="bottom"/>
            </w:pPr>
            <w:r>
              <w:rPr>
                <w:rFonts w:ascii="Arial" w:eastAsia="宋体" w:hAnsi="Arial" w:cs="Arial"/>
                <w:b/>
                <w:bCs/>
                <w:color w:val="000000"/>
                <w:sz w:val="16"/>
                <w:szCs w:val="16"/>
              </w:rPr>
              <w:t>1,575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A0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0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06" w14:textId="77777777" w:rsidR="00E836FB" w:rsidRDefault="00994958">
            <w:pPr>
              <w:jc w:val="right"/>
              <w:textAlignment w:val="bottom"/>
            </w:pPr>
            <w:r>
              <w:rPr>
                <w:rFonts w:ascii="Arial" w:eastAsia="宋体" w:hAnsi="Arial" w:cs="Arial"/>
                <w:color w:val="000000"/>
                <w:sz w:val="16"/>
                <w:szCs w:val="16"/>
              </w:rPr>
              <w:t>5,373 </w:t>
            </w:r>
          </w:p>
        </w:tc>
        <w:tc>
          <w:tcPr>
            <w:tcW w:w="0" w:type="auto"/>
            <w:shd w:val="clear" w:color="auto" w:fill="FFFFFF"/>
            <w:tcMar>
              <w:top w:w="40" w:type="dxa"/>
              <w:left w:w="0" w:type="dxa"/>
              <w:bottom w:w="40" w:type="dxa"/>
              <w:right w:w="20" w:type="dxa"/>
            </w:tcMar>
            <w:vAlign w:val="bottom"/>
          </w:tcPr>
          <w:p w14:paraId="5F2D2A0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0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09" w14:textId="77777777" w:rsidR="00E836FB" w:rsidRDefault="00994958">
            <w:pPr>
              <w:jc w:val="right"/>
              <w:textAlignment w:val="bottom"/>
            </w:pPr>
            <w:r>
              <w:rPr>
                <w:rFonts w:ascii="Arial" w:eastAsia="宋体" w:hAnsi="Arial" w:cs="Arial"/>
                <w:color w:val="000000"/>
                <w:sz w:val="16"/>
                <w:szCs w:val="16"/>
              </w:rPr>
              <w:t>4,125 </w:t>
            </w:r>
          </w:p>
        </w:tc>
        <w:tc>
          <w:tcPr>
            <w:tcW w:w="0" w:type="auto"/>
            <w:shd w:val="clear" w:color="auto" w:fill="FFFFFF"/>
            <w:tcMar>
              <w:top w:w="40" w:type="dxa"/>
              <w:left w:w="0" w:type="dxa"/>
              <w:bottom w:w="40" w:type="dxa"/>
              <w:right w:w="20" w:type="dxa"/>
            </w:tcMar>
            <w:vAlign w:val="bottom"/>
          </w:tcPr>
          <w:p w14:paraId="5F2D2A0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0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0C" w14:textId="77777777" w:rsidR="00E836FB" w:rsidRDefault="00994958">
            <w:pPr>
              <w:jc w:val="right"/>
              <w:textAlignment w:val="bottom"/>
            </w:pPr>
            <w:r>
              <w:rPr>
                <w:rFonts w:ascii="Arial" w:eastAsia="宋体" w:hAnsi="Arial" w:cs="Arial"/>
                <w:b/>
                <w:bCs/>
                <w:color w:val="000000"/>
                <w:sz w:val="16"/>
                <w:szCs w:val="16"/>
              </w:rPr>
              <w:t>616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A0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0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0F" w14:textId="77777777" w:rsidR="00E836FB" w:rsidRDefault="00994958">
            <w:pPr>
              <w:jc w:val="right"/>
              <w:textAlignment w:val="bottom"/>
            </w:pPr>
            <w:r>
              <w:rPr>
                <w:rFonts w:ascii="Arial" w:eastAsia="宋体" w:hAnsi="Arial" w:cs="Arial"/>
                <w:color w:val="000000"/>
                <w:sz w:val="16"/>
                <w:szCs w:val="16"/>
              </w:rPr>
              <w:t>823 </w:t>
            </w:r>
          </w:p>
        </w:tc>
        <w:tc>
          <w:tcPr>
            <w:tcW w:w="0" w:type="auto"/>
            <w:shd w:val="clear" w:color="auto" w:fill="FFFFFF"/>
            <w:tcMar>
              <w:top w:w="40" w:type="dxa"/>
              <w:left w:w="0" w:type="dxa"/>
              <w:bottom w:w="40" w:type="dxa"/>
              <w:right w:w="20" w:type="dxa"/>
            </w:tcMar>
            <w:vAlign w:val="bottom"/>
          </w:tcPr>
          <w:p w14:paraId="5F2D2A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1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12" w14:textId="77777777" w:rsidR="00E836FB" w:rsidRDefault="00994958">
            <w:pPr>
              <w:jc w:val="right"/>
              <w:textAlignment w:val="bottom"/>
            </w:pPr>
            <w:r>
              <w:rPr>
                <w:rFonts w:ascii="Arial" w:eastAsia="宋体" w:hAnsi="Arial" w:cs="Arial"/>
                <w:color w:val="000000"/>
                <w:sz w:val="16"/>
                <w:szCs w:val="16"/>
              </w:rPr>
              <w:t>931 </w:t>
            </w:r>
          </w:p>
        </w:tc>
        <w:tc>
          <w:tcPr>
            <w:tcW w:w="0" w:type="auto"/>
            <w:shd w:val="clear" w:color="auto" w:fill="FFFFFF"/>
            <w:tcMar>
              <w:top w:w="40" w:type="dxa"/>
              <w:left w:w="0" w:type="dxa"/>
              <w:bottom w:w="40" w:type="dxa"/>
              <w:right w:w="20" w:type="dxa"/>
            </w:tcMar>
            <w:vAlign w:val="bottom"/>
          </w:tcPr>
          <w:p w14:paraId="5F2D2A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1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15"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A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1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18" w14:textId="77777777" w:rsidR="00E836FB" w:rsidRDefault="00994958">
            <w:pPr>
              <w:jc w:val="right"/>
              <w:textAlignment w:val="bottom"/>
            </w:pPr>
            <w:r>
              <w:rPr>
                <w:rFonts w:ascii="Arial" w:eastAsia="宋体" w:hAnsi="Arial" w:cs="Arial"/>
                <w:color w:val="000000"/>
                <w:sz w:val="16"/>
                <w:szCs w:val="16"/>
              </w:rPr>
              <w:t>25,665 </w:t>
            </w:r>
          </w:p>
        </w:tc>
        <w:tc>
          <w:tcPr>
            <w:tcW w:w="0" w:type="auto"/>
            <w:shd w:val="clear" w:color="auto" w:fill="FFFFFF"/>
            <w:tcMar>
              <w:top w:w="40" w:type="dxa"/>
              <w:left w:w="0" w:type="dxa"/>
              <w:bottom w:w="40" w:type="dxa"/>
              <w:right w:w="20" w:type="dxa"/>
            </w:tcMar>
            <w:vAlign w:val="bottom"/>
          </w:tcPr>
          <w:p w14:paraId="5F2D2A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A1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1B"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A1C" w14:textId="77777777" w:rsidR="00E836FB" w:rsidRDefault="00E836FB">
            <w:pPr>
              <w:jc w:val="right"/>
              <w:rPr>
                <w:rFonts w:ascii="宋体"/>
              </w:rPr>
            </w:pPr>
          </w:p>
        </w:tc>
      </w:tr>
      <w:tr w:rsidR="00E836FB" w14:paraId="5F2D2A39" w14:textId="77777777">
        <w:tc>
          <w:tcPr>
            <w:tcW w:w="0" w:type="auto"/>
            <w:gridSpan w:val="3"/>
            <w:shd w:val="clear" w:color="auto" w:fill="CCEEFF"/>
            <w:tcMar>
              <w:top w:w="40" w:type="dxa"/>
              <w:left w:w="20" w:type="dxa"/>
              <w:bottom w:w="40" w:type="dxa"/>
              <w:right w:w="20" w:type="dxa"/>
            </w:tcMar>
            <w:vAlign w:val="bottom"/>
          </w:tcPr>
          <w:p w14:paraId="5F2D2A1E" w14:textId="77777777" w:rsidR="00E836FB" w:rsidRDefault="00994958">
            <w:pPr>
              <w:textAlignment w:val="bottom"/>
            </w:pPr>
            <w:r>
              <w:rPr>
                <w:rFonts w:ascii="Arial" w:eastAsia="宋体" w:hAnsi="Arial" w:cs="Arial"/>
                <w:color w:val="000000"/>
                <w:sz w:val="16"/>
                <w:szCs w:val="16"/>
              </w:rPr>
              <w:t>Average outstanding during the year</w:t>
            </w:r>
          </w:p>
        </w:tc>
        <w:tc>
          <w:tcPr>
            <w:tcW w:w="0" w:type="auto"/>
            <w:gridSpan w:val="2"/>
            <w:shd w:val="clear" w:color="auto" w:fill="CCEEFF"/>
            <w:tcMar>
              <w:top w:w="40" w:type="dxa"/>
              <w:left w:w="20" w:type="dxa"/>
              <w:bottom w:w="40" w:type="dxa"/>
              <w:right w:w="0" w:type="dxa"/>
            </w:tcMar>
            <w:vAlign w:val="bottom"/>
          </w:tcPr>
          <w:p w14:paraId="5F2D2A1F" w14:textId="77777777" w:rsidR="00E836FB" w:rsidRDefault="00994958">
            <w:pPr>
              <w:jc w:val="right"/>
              <w:textAlignment w:val="bottom"/>
            </w:pPr>
            <w:r>
              <w:rPr>
                <w:rFonts w:ascii="Arial" w:eastAsia="宋体" w:hAnsi="Arial" w:cs="Arial"/>
                <w:b/>
                <w:bCs/>
                <w:color w:val="000000"/>
                <w:sz w:val="16"/>
                <w:szCs w:val="16"/>
              </w:rPr>
              <w:t>667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2A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2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22" w14:textId="77777777" w:rsidR="00E836FB" w:rsidRDefault="00994958">
            <w:pPr>
              <w:jc w:val="right"/>
              <w:textAlignment w:val="bottom"/>
            </w:pPr>
            <w:r>
              <w:rPr>
                <w:rFonts w:ascii="Arial" w:eastAsia="宋体" w:hAnsi="Arial" w:cs="Arial"/>
                <w:color w:val="000000"/>
                <w:sz w:val="16"/>
                <w:szCs w:val="16"/>
              </w:rPr>
              <w:t>2,615 </w:t>
            </w:r>
          </w:p>
        </w:tc>
        <w:tc>
          <w:tcPr>
            <w:tcW w:w="0" w:type="auto"/>
            <w:shd w:val="clear" w:color="auto" w:fill="CCEEFF"/>
            <w:tcMar>
              <w:top w:w="40" w:type="dxa"/>
              <w:left w:w="0" w:type="dxa"/>
              <w:bottom w:w="40" w:type="dxa"/>
              <w:right w:w="20" w:type="dxa"/>
            </w:tcMar>
            <w:vAlign w:val="bottom"/>
          </w:tcPr>
          <w:p w14:paraId="5F2D2A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2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25" w14:textId="77777777" w:rsidR="00E836FB" w:rsidRDefault="00994958">
            <w:pPr>
              <w:jc w:val="right"/>
              <w:textAlignment w:val="bottom"/>
            </w:pPr>
            <w:r>
              <w:rPr>
                <w:rFonts w:ascii="Arial" w:eastAsia="宋体" w:hAnsi="Arial" w:cs="Arial"/>
                <w:color w:val="000000"/>
                <w:sz w:val="16"/>
                <w:szCs w:val="16"/>
              </w:rPr>
              <w:t>1,616 </w:t>
            </w:r>
          </w:p>
        </w:tc>
        <w:tc>
          <w:tcPr>
            <w:tcW w:w="0" w:type="auto"/>
            <w:shd w:val="clear" w:color="auto" w:fill="CCEEFF"/>
            <w:tcMar>
              <w:top w:w="40" w:type="dxa"/>
              <w:left w:w="0" w:type="dxa"/>
              <w:bottom w:w="40" w:type="dxa"/>
              <w:right w:w="20" w:type="dxa"/>
            </w:tcMar>
            <w:vAlign w:val="bottom"/>
          </w:tcPr>
          <w:p w14:paraId="5F2D2A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2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28" w14:textId="77777777" w:rsidR="00E836FB" w:rsidRDefault="00994958">
            <w:pPr>
              <w:jc w:val="right"/>
              <w:textAlignment w:val="bottom"/>
            </w:pPr>
            <w:r>
              <w:rPr>
                <w:rFonts w:ascii="Arial" w:eastAsia="宋体" w:hAnsi="Arial" w:cs="Arial"/>
                <w:b/>
                <w:bCs/>
                <w:color w:val="000000"/>
                <w:sz w:val="16"/>
                <w:szCs w:val="16"/>
              </w:rPr>
              <w:t>523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2A2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2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2B" w14:textId="77777777" w:rsidR="00E836FB" w:rsidRDefault="00994958">
            <w:pPr>
              <w:jc w:val="right"/>
              <w:textAlignment w:val="bottom"/>
            </w:pPr>
            <w:r>
              <w:rPr>
                <w:rFonts w:ascii="Arial" w:eastAsia="宋体" w:hAnsi="Arial" w:cs="Arial"/>
                <w:color w:val="000000"/>
                <w:sz w:val="16"/>
                <w:szCs w:val="16"/>
              </w:rPr>
              <w:t>771 </w:t>
            </w:r>
          </w:p>
        </w:tc>
        <w:tc>
          <w:tcPr>
            <w:tcW w:w="0" w:type="auto"/>
            <w:shd w:val="clear" w:color="auto" w:fill="CCEEFF"/>
            <w:tcMar>
              <w:top w:w="40" w:type="dxa"/>
              <w:left w:w="0" w:type="dxa"/>
              <w:bottom w:w="40" w:type="dxa"/>
              <w:right w:w="20" w:type="dxa"/>
            </w:tcMar>
            <w:vAlign w:val="bottom"/>
          </w:tcPr>
          <w:p w14:paraId="5F2D2A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2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2E" w14:textId="77777777" w:rsidR="00E836FB" w:rsidRDefault="00994958">
            <w:pPr>
              <w:jc w:val="right"/>
              <w:textAlignment w:val="bottom"/>
            </w:pPr>
            <w:r>
              <w:rPr>
                <w:rFonts w:ascii="Arial" w:eastAsia="宋体" w:hAnsi="Arial" w:cs="Arial"/>
                <w:color w:val="000000"/>
                <w:sz w:val="16"/>
                <w:szCs w:val="16"/>
              </w:rPr>
              <w:t>898 </w:t>
            </w:r>
          </w:p>
        </w:tc>
        <w:tc>
          <w:tcPr>
            <w:tcW w:w="0" w:type="auto"/>
            <w:shd w:val="clear" w:color="auto" w:fill="CCEEFF"/>
            <w:tcMar>
              <w:top w:w="40" w:type="dxa"/>
              <w:left w:w="0" w:type="dxa"/>
              <w:bottom w:w="40" w:type="dxa"/>
              <w:right w:w="20" w:type="dxa"/>
            </w:tcMar>
            <w:vAlign w:val="bottom"/>
          </w:tcPr>
          <w:p w14:paraId="5F2D2A2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3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31" w14:textId="77777777" w:rsidR="00E836FB" w:rsidRDefault="00994958">
            <w:pPr>
              <w:jc w:val="right"/>
              <w:textAlignment w:val="bottom"/>
            </w:pPr>
            <w:r>
              <w:rPr>
                <w:rFonts w:ascii="Arial" w:eastAsia="宋体" w:hAnsi="Arial" w:cs="Arial"/>
                <w:b/>
                <w:bCs/>
                <w:color w:val="000000"/>
                <w:sz w:val="16"/>
                <w:szCs w:val="16"/>
              </w:rPr>
              <w:t>315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2A3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3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34" w14:textId="77777777" w:rsidR="00E836FB" w:rsidRDefault="00994958">
            <w:pPr>
              <w:jc w:val="right"/>
              <w:textAlignment w:val="bottom"/>
            </w:pPr>
            <w:r>
              <w:rPr>
                <w:rFonts w:ascii="Arial" w:eastAsia="宋体" w:hAnsi="Arial" w:cs="Arial"/>
                <w:color w:val="000000"/>
                <w:sz w:val="16"/>
                <w:szCs w:val="16"/>
              </w:rPr>
              <w:t>8,251 </w:t>
            </w:r>
          </w:p>
        </w:tc>
        <w:tc>
          <w:tcPr>
            <w:tcW w:w="0" w:type="auto"/>
            <w:shd w:val="clear" w:color="auto" w:fill="CCEEFF"/>
            <w:tcMar>
              <w:top w:w="40" w:type="dxa"/>
              <w:left w:w="0" w:type="dxa"/>
              <w:bottom w:w="40" w:type="dxa"/>
              <w:right w:w="20" w:type="dxa"/>
            </w:tcMar>
            <w:vAlign w:val="bottom"/>
          </w:tcPr>
          <w:p w14:paraId="5F2D2A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3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37" w14:textId="77777777" w:rsidR="00E836FB" w:rsidRDefault="00994958">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5F2D2A38" w14:textId="77777777" w:rsidR="00E836FB" w:rsidRDefault="00E836FB">
            <w:pPr>
              <w:jc w:val="right"/>
              <w:rPr>
                <w:rFonts w:ascii="宋体"/>
              </w:rPr>
            </w:pPr>
          </w:p>
        </w:tc>
      </w:tr>
      <w:tr w:rsidR="00E836FB" w14:paraId="5F2D2A55" w14:textId="77777777">
        <w:tc>
          <w:tcPr>
            <w:tcW w:w="0" w:type="auto"/>
            <w:gridSpan w:val="3"/>
            <w:shd w:val="clear" w:color="auto" w:fill="FFFFFF"/>
            <w:tcMar>
              <w:top w:w="40" w:type="dxa"/>
              <w:left w:w="20" w:type="dxa"/>
              <w:bottom w:w="40" w:type="dxa"/>
              <w:right w:w="20" w:type="dxa"/>
            </w:tcMar>
            <w:vAlign w:val="bottom"/>
          </w:tcPr>
          <w:p w14:paraId="5F2D2A3A" w14:textId="77777777" w:rsidR="00E836FB" w:rsidRDefault="00994958">
            <w:pPr>
              <w:textAlignment w:val="bottom"/>
            </w:pPr>
            <w:r>
              <w:rPr>
                <w:rFonts w:ascii="Arial" w:eastAsia="宋体" w:hAnsi="Arial" w:cs="Arial"/>
                <w:color w:val="000000"/>
                <w:sz w:val="16"/>
                <w:szCs w:val="16"/>
              </w:rPr>
              <w:t>Weighted-average interest rate as of year-end</w:t>
            </w:r>
          </w:p>
        </w:tc>
        <w:tc>
          <w:tcPr>
            <w:tcW w:w="0" w:type="auto"/>
            <w:gridSpan w:val="2"/>
            <w:shd w:val="clear" w:color="auto" w:fill="FFFFFF"/>
            <w:tcMar>
              <w:top w:w="40" w:type="dxa"/>
              <w:left w:w="20" w:type="dxa"/>
              <w:bottom w:w="40" w:type="dxa"/>
              <w:right w:w="0" w:type="dxa"/>
            </w:tcMar>
            <w:vAlign w:val="bottom"/>
          </w:tcPr>
          <w:p w14:paraId="5F2D2A3B" w14:textId="77777777" w:rsidR="00E836FB" w:rsidRDefault="00994958">
            <w:pPr>
              <w:jc w:val="right"/>
              <w:textAlignment w:val="bottom"/>
            </w:pPr>
            <w:r>
              <w:rPr>
                <w:rFonts w:ascii="Arial" w:eastAsia="宋体" w:hAnsi="Arial" w:cs="Arial"/>
                <w:b/>
                <w:bCs/>
                <w:color w:val="000000"/>
                <w:sz w:val="16"/>
                <w:szCs w:val="16"/>
              </w:rPr>
              <w:t>.00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A3C" w14:textId="77777777" w:rsidR="00E836FB" w:rsidRDefault="00994958">
            <w:pPr>
              <w:jc w:val="right"/>
              <w:textAlignment w:val="bottom"/>
            </w:pPr>
            <w:r>
              <w:rPr>
                <w:rFonts w:ascii="Arial" w:eastAsia="宋体" w:hAnsi="Arial" w:cs="Arial"/>
                <w:b/>
                <w:bCs/>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3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3E" w14:textId="77777777" w:rsidR="00E836FB" w:rsidRDefault="00994958">
            <w:pPr>
              <w:jc w:val="right"/>
              <w:textAlignment w:val="bottom"/>
            </w:pPr>
            <w:r>
              <w:rPr>
                <w:rFonts w:ascii="Arial" w:eastAsia="宋体" w:hAnsi="Arial" w:cs="Arial"/>
                <w:color w:val="000000"/>
                <w:sz w:val="16"/>
                <w:szCs w:val="16"/>
              </w:rPr>
              <w:t>.00 </w:t>
            </w:r>
          </w:p>
        </w:tc>
        <w:tc>
          <w:tcPr>
            <w:tcW w:w="0" w:type="auto"/>
            <w:shd w:val="clear" w:color="auto" w:fill="FFFFFF"/>
            <w:tcMar>
              <w:top w:w="40" w:type="dxa"/>
              <w:left w:w="0" w:type="dxa"/>
              <w:bottom w:w="40" w:type="dxa"/>
              <w:right w:w="20" w:type="dxa"/>
            </w:tcMar>
            <w:vAlign w:val="bottom"/>
          </w:tcPr>
          <w:p w14:paraId="5F2D2A3F"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4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41" w14:textId="77777777" w:rsidR="00E836FB" w:rsidRDefault="00994958">
            <w:pPr>
              <w:jc w:val="right"/>
              <w:textAlignment w:val="bottom"/>
            </w:pPr>
            <w:r>
              <w:rPr>
                <w:rFonts w:ascii="Arial" w:eastAsia="宋体" w:hAnsi="Arial" w:cs="Arial"/>
                <w:color w:val="000000"/>
                <w:sz w:val="16"/>
                <w:szCs w:val="16"/>
              </w:rPr>
              <w:t>.00 </w:t>
            </w:r>
          </w:p>
        </w:tc>
        <w:tc>
          <w:tcPr>
            <w:tcW w:w="0" w:type="auto"/>
            <w:shd w:val="clear" w:color="auto" w:fill="FFFFFF"/>
            <w:tcMar>
              <w:top w:w="40" w:type="dxa"/>
              <w:left w:w="0" w:type="dxa"/>
              <w:bottom w:w="40" w:type="dxa"/>
              <w:right w:w="20" w:type="dxa"/>
            </w:tcMar>
            <w:vAlign w:val="bottom"/>
          </w:tcPr>
          <w:p w14:paraId="5F2D2A42"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4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44" w14:textId="77777777" w:rsidR="00E836FB" w:rsidRDefault="00994958">
            <w:pPr>
              <w:jc w:val="right"/>
              <w:textAlignment w:val="bottom"/>
            </w:pPr>
            <w:r>
              <w:rPr>
                <w:rFonts w:ascii="Arial" w:eastAsia="宋体" w:hAnsi="Arial" w:cs="Arial"/>
                <w:b/>
                <w:bCs/>
                <w:color w:val="000000"/>
                <w:sz w:val="16"/>
                <w:szCs w:val="16"/>
              </w:rPr>
              <w:t>.00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A45" w14:textId="77777777" w:rsidR="00E836FB" w:rsidRDefault="00994958">
            <w:pPr>
              <w:jc w:val="right"/>
              <w:textAlignment w:val="bottom"/>
            </w:pPr>
            <w:r>
              <w:rPr>
                <w:rFonts w:ascii="Arial" w:eastAsia="宋体" w:hAnsi="Arial" w:cs="Arial"/>
                <w:b/>
                <w:bCs/>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4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47" w14:textId="77777777" w:rsidR="00E836FB" w:rsidRDefault="00994958">
            <w:pPr>
              <w:jc w:val="right"/>
              <w:textAlignment w:val="bottom"/>
            </w:pPr>
            <w:r>
              <w:rPr>
                <w:rFonts w:ascii="Arial" w:eastAsia="宋体" w:hAnsi="Arial" w:cs="Arial"/>
                <w:color w:val="000000"/>
                <w:sz w:val="16"/>
                <w:szCs w:val="16"/>
              </w:rPr>
              <w:t>.23 </w:t>
            </w:r>
          </w:p>
        </w:tc>
        <w:tc>
          <w:tcPr>
            <w:tcW w:w="0" w:type="auto"/>
            <w:shd w:val="clear" w:color="auto" w:fill="FFFFFF"/>
            <w:tcMar>
              <w:top w:w="40" w:type="dxa"/>
              <w:left w:w="0" w:type="dxa"/>
              <w:bottom w:w="40" w:type="dxa"/>
              <w:right w:w="20" w:type="dxa"/>
            </w:tcMar>
            <w:vAlign w:val="bottom"/>
          </w:tcPr>
          <w:p w14:paraId="5F2D2A48"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4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4A" w14:textId="77777777" w:rsidR="00E836FB" w:rsidRDefault="00994958">
            <w:pPr>
              <w:jc w:val="right"/>
              <w:textAlignment w:val="bottom"/>
            </w:pPr>
            <w:r>
              <w:rPr>
                <w:rFonts w:ascii="Arial" w:eastAsia="宋体" w:hAnsi="Arial" w:cs="Arial"/>
                <w:color w:val="000000"/>
                <w:sz w:val="16"/>
                <w:szCs w:val="16"/>
              </w:rPr>
              <w:t>1.75 </w:t>
            </w:r>
          </w:p>
        </w:tc>
        <w:tc>
          <w:tcPr>
            <w:tcW w:w="0" w:type="auto"/>
            <w:shd w:val="clear" w:color="auto" w:fill="FFFFFF"/>
            <w:tcMar>
              <w:top w:w="40" w:type="dxa"/>
              <w:left w:w="0" w:type="dxa"/>
              <w:bottom w:w="40" w:type="dxa"/>
              <w:right w:w="20" w:type="dxa"/>
            </w:tcMar>
            <w:vAlign w:val="bottom"/>
          </w:tcPr>
          <w:p w14:paraId="5F2D2A4B"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4D" w14:textId="77777777" w:rsidR="00E836FB" w:rsidRDefault="00994958">
            <w:pPr>
              <w:jc w:val="right"/>
              <w:textAlignment w:val="bottom"/>
            </w:pPr>
            <w:r>
              <w:rPr>
                <w:rFonts w:ascii="Arial" w:eastAsia="宋体" w:hAnsi="Arial" w:cs="Arial"/>
                <w:b/>
                <w:bCs/>
                <w:color w:val="000000"/>
                <w:sz w:val="16"/>
                <w:szCs w:val="16"/>
              </w:rPr>
              <w:t>.00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A4E" w14:textId="77777777" w:rsidR="00E836FB" w:rsidRDefault="00994958">
            <w:pPr>
              <w:jc w:val="right"/>
              <w:textAlignment w:val="bottom"/>
            </w:pPr>
            <w:r>
              <w:rPr>
                <w:rFonts w:ascii="Arial" w:eastAsia="宋体" w:hAnsi="Arial" w:cs="Arial"/>
                <w:b/>
                <w:bCs/>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50" w14:textId="77777777" w:rsidR="00E836FB" w:rsidRDefault="00994958">
            <w:pPr>
              <w:jc w:val="right"/>
              <w:textAlignment w:val="bottom"/>
            </w:pPr>
            <w:r>
              <w:rPr>
                <w:rFonts w:ascii="Arial" w:eastAsia="宋体" w:hAnsi="Arial" w:cs="Arial"/>
                <w:color w:val="000000"/>
                <w:sz w:val="16"/>
                <w:szCs w:val="16"/>
              </w:rPr>
              <w:t>1.35 </w:t>
            </w:r>
          </w:p>
        </w:tc>
        <w:tc>
          <w:tcPr>
            <w:tcW w:w="0" w:type="auto"/>
            <w:shd w:val="clear" w:color="auto" w:fill="FFFFFF"/>
            <w:tcMar>
              <w:top w:w="40" w:type="dxa"/>
              <w:left w:w="0" w:type="dxa"/>
              <w:bottom w:w="40" w:type="dxa"/>
              <w:right w:w="20" w:type="dxa"/>
            </w:tcMar>
            <w:vAlign w:val="bottom"/>
          </w:tcPr>
          <w:p w14:paraId="5F2D2A51" w14:textId="77777777" w:rsidR="00E836FB" w:rsidRDefault="00994958">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5F2D2A5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A53" w14:textId="77777777" w:rsidR="00E836FB" w:rsidRDefault="00994958">
            <w:pPr>
              <w:jc w:val="right"/>
              <w:textAlignment w:val="bottom"/>
            </w:pPr>
            <w:r>
              <w:rPr>
                <w:rFonts w:ascii="Arial" w:eastAsia="宋体" w:hAnsi="Arial" w:cs="Arial"/>
                <w:color w:val="000000"/>
                <w:sz w:val="16"/>
                <w:szCs w:val="16"/>
              </w:rPr>
              <w:t>.00 </w:t>
            </w:r>
          </w:p>
        </w:tc>
        <w:tc>
          <w:tcPr>
            <w:tcW w:w="0" w:type="auto"/>
            <w:shd w:val="clear" w:color="auto" w:fill="FFFFFF"/>
            <w:tcMar>
              <w:top w:w="40" w:type="dxa"/>
              <w:left w:w="0" w:type="dxa"/>
              <w:bottom w:w="40" w:type="dxa"/>
              <w:right w:w="20" w:type="dxa"/>
            </w:tcMar>
            <w:vAlign w:val="bottom"/>
          </w:tcPr>
          <w:p w14:paraId="5F2D2A54" w14:textId="77777777" w:rsidR="00E836FB" w:rsidRDefault="00994958">
            <w:pPr>
              <w:jc w:val="right"/>
              <w:textAlignment w:val="bottom"/>
            </w:pPr>
            <w:r>
              <w:rPr>
                <w:rFonts w:ascii="Arial" w:eastAsia="宋体" w:hAnsi="Arial" w:cs="Arial"/>
                <w:color w:val="000000"/>
                <w:sz w:val="16"/>
                <w:szCs w:val="16"/>
              </w:rPr>
              <w:t>%</w:t>
            </w:r>
          </w:p>
        </w:tc>
      </w:tr>
      <w:tr w:rsidR="00E836FB" w14:paraId="5F2D2A71" w14:textId="77777777">
        <w:tc>
          <w:tcPr>
            <w:tcW w:w="0" w:type="auto"/>
            <w:gridSpan w:val="3"/>
            <w:shd w:val="clear" w:color="auto" w:fill="CCEEFF"/>
            <w:tcMar>
              <w:top w:w="40" w:type="dxa"/>
              <w:left w:w="20" w:type="dxa"/>
              <w:bottom w:w="40" w:type="dxa"/>
              <w:right w:w="20" w:type="dxa"/>
            </w:tcMar>
            <w:vAlign w:val="bottom"/>
          </w:tcPr>
          <w:p w14:paraId="5F2D2A56" w14:textId="77777777" w:rsidR="00E836FB" w:rsidRDefault="00994958">
            <w:pPr>
              <w:textAlignment w:val="bottom"/>
            </w:pPr>
            <w:r>
              <w:rPr>
                <w:rFonts w:ascii="Arial" w:eastAsia="宋体" w:hAnsi="Arial" w:cs="Arial"/>
                <w:color w:val="000000"/>
                <w:sz w:val="16"/>
                <w:szCs w:val="16"/>
              </w:rPr>
              <w:t>Weighted-average interest rate during the year</w:t>
            </w:r>
          </w:p>
        </w:tc>
        <w:tc>
          <w:tcPr>
            <w:tcW w:w="0" w:type="auto"/>
            <w:gridSpan w:val="2"/>
            <w:shd w:val="clear" w:color="auto" w:fill="CCEEFF"/>
            <w:tcMar>
              <w:top w:w="40" w:type="dxa"/>
              <w:left w:w="20" w:type="dxa"/>
              <w:bottom w:w="40" w:type="dxa"/>
              <w:right w:w="0" w:type="dxa"/>
            </w:tcMar>
            <w:vAlign w:val="bottom"/>
          </w:tcPr>
          <w:p w14:paraId="5F2D2A57" w14:textId="77777777" w:rsidR="00E836FB" w:rsidRDefault="00994958">
            <w:pPr>
              <w:jc w:val="right"/>
              <w:textAlignment w:val="bottom"/>
            </w:pPr>
            <w:r>
              <w:rPr>
                <w:rFonts w:ascii="Arial" w:eastAsia="宋体" w:hAnsi="Arial" w:cs="Arial"/>
                <w:b/>
                <w:bCs/>
                <w:color w:val="000000"/>
                <w:sz w:val="16"/>
                <w:szCs w:val="16"/>
              </w:rPr>
              <w:t>(.00)</w:t>
            </w:r>
          </w:p>
        </w:tc>
        <w:tc>
          <w:tcPr>
            <w:tcW w:w="0" w:type="auto"/>
            <w:shd w:val="clear" w:color="auto" w:fill="CCEEFF"/>
            <w:tcMar>
              <w:top w:w="40" w:type="dxa"/>
              <w:left w:w="0" w:type="dxa"/>
              <w:bottom w:w="40" w:type="dxa"/>
              <w:right w:w="20" w:type="dxa"/>
            </w:tcMar>
            <w:vAlign w:val="bottom"/>
          </w:tcPr>
          <w:p w14:paraId="5F2D2A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5A" w14:textId="77777777" w:rsidR="00E836FB" w:rsidRDefault="00994958">
            <w:pPr>
              <w:jc w:val="right"/>
              <w:textAlignment w:val="bottom"/>
            </w:pPr>
            <w:r>
              <w:rPr>
                <w:rFonts w:ascii="Arial" w:eastAsia="宋体" w:hAnsi="Arial" w:cs="Arial"/>
                <w:color w:val="000000"/>
                <w:sz w:val="16"/>
                <w:szCs w:val="16"/>
              </w:rPr>
              <w:t>.14 </w:t>
            </w:r>
          </w:p>
        </w:tc>
        <w:tc>
          <w:tcPr>
            <w:tcW w:w="0" w:type="auto"/>
            <w:shd w:val="clear" w:color="auto" w:fill="CCEEFF"/>
            <w:tcMar>
              <w:top w:w="40" w:type="dxa"/>
              <w:left w:w="0" w:type="dxa"/>
              <w:bottom w:w="40" w:type="dxa"/>
              <w:right w:w="20" w:type="dxa"/>
            </w:tcMar>
            <w:vAlign w:val="bottom"/>
          </w:tcPr>
          <w:p w14:paraId="5F2D2A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5D" w14:textId="77777777" w:rsidR="00E836FB" w:rsidRDefault="00994958">
            <w:pPr>
              <w:jc w:val="right"/>
              <w:textAlignment w:val="bottom"/>
            </w:pPr>
            <w:r>
              <w:rPr>
                <w:rFonts w:ascii="Arial" w:eastAsia="宋体" w:hAnsi="Arial" w:cs="Arial"/>
                <w:color w:val="000000"/>
                <w:sz w:val="16"/>
                <w:szCs w:val="16"/>
              </w:rPr>
              <w:t>1.90 </w:t>
            </w:r>
          </w:p>
        </w:tc>
        <w:tc>
          <w:tcPr>
            <w:tcW w:w="0" w:type="auto"/>
            <w:shd w:val="clear" w:color="auto" w:fill="CCEEFF"/>
            <w:tcMar>
              <w:top w:w="40" w:type="dxa"/>
              <w:left w:w="0" w:type="dxa"/>
              <w:bottom w:w="40" w:type="dxa"/>
              <w:right w:w="20" w:type="dxa"/>
            </w:tcMar>
            <w:vAlign w:val="bottom"/>
          </w:tcPr>
          <w:p w14:paraId="5F2D2A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60" w14:textId="77777777" w:rsidR="00E836FB" w:rsidRDefault="00994958">
            <w:pPr>
              <w:jc w:val="right"/>
              <w:textAlignment w:val="bottom"/>
            </w:pPr>
            <w:r>
              <w:rPr>
                <w:rFonts w:ascii="Arial" w:eastAsia="宋体" w:hAnsi="Arial" w:cs="Arial"/>
                <w:b/>
                <w:bCs/>
                <w:color w:val="000000"/>
                <w:sz w:val="16"/>
                <w:szCs w:val="16"/>
              </w:rPr>
              <w:t>.31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2A6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6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63" w14:textId="77777777" w:rsidR="00E836FB" w:rsidRDefault="00994958">
            <w:pPr>
              <w:jc w:val="right"/>
              <w:textAlignment w:val="bottom"/>
            </w:pPr>
            <w:r>
              <w:rPr>
                <w:rFonts w:ascii="Arial" w:eastAsia="宋体" w:hAnsi="Arial" w:cs="Arial"/>
                <w:color w:val="000000"/>
                <w:sz w:val="16"/>
                <w:szCs w:val="16"/>
              </w:rPr>
              <w:t>.78 </w:t>
            </w:r>
          </w:p>
        </w:tc>
        <w:tc>
          <w:tcPr>
            <w:tcW w:w="0" w:type="auto"/>
            <w:shd w:val="clear" w:color="auto" w:fill="CCEEFF"/>
            <w:tcMar>
              <w:top w:w="40" w:type="dxa"/>
              <w:left w:w="0" w:type="dxa"/>
              <w:bottom w:w="40" w:type="dxa"/>
              <w:right w:w="20" w:type="dxa"/>
            </w:tcMar>
            <w:vAlign w:val="bottom"/>
          </w:tcPr>
          <w:p w14:paraId="5F2D2A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6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66" w14:textId="77777777" w:rsidR="00E836FB" w:rsidRDefault="00994958">
            <w:pPr>
              <w:jc w:val="right"/>
              <w:textAlignment w:val="bottom"/>
            </w:pPr>
            <w:r>
              <w:rPr>
                <w:rFonts w:ascii="Arial" w:eastAsia="宋体" w:hAnsi="Arial" w:cs="Arial"/>
                <w:color w:val="000000"/>
                <w:sz w:val="16"/>
                <w:szCs w:val="16"/>
              </w:rPr>
              <w:t>1.51 </w:t>
            </w:r>
          </w:p>
        </w:tc>
        <w:tc>
          <w:tcPr>
            <w:tcW w:w="0" w:type="auto"/>
            <w:shd w:val="clear" w:color="auto" w:fill="CCEEFF"/>
            <w:tcMar>
              <w:top w:w="40" w:type="dxa"/>
              <w:left w:w="0" w:type="dxa"/>
              <w:bottom w:w="40" w:type="dxa"/>
              <w:right w:w="20" w:type="dxa"/>
            </w:tcMar>
            <w:vAlign w:val="bottom"/>
          </w:tcPr>
          <w:p w14:paraId="5F2D2A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6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69" w14:textId="77777777" w:rsidR="00E836FB" w:rsidRDefault="00994958">
            <w:pPr>
              <w:jc w:val="right"/>
              <w:textAlignment w:val="bottom"/>
            </w:pPr>
            <w:r>
              <w:rPr>
                <w:rFonts w:ascii="Arial" w:eastAsia="宋体" w:hAnsi="Arial" w:cs="Arial"/>
                <w:b/>
                <w:bCs/>
                <w:color w:val="000000"/>
                <w:sz w:val="16"/>
                <w:szCs w:val="16"/>
              </w:rPr>
              <w:t>.00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2A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6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6C" w14:textId="77777777" w:rsidR="00E836FB" w:rsidRDefault="00994958">
            <w:pPr>
              <w:jc w:val="right"/>
              <w:textAlignment w:val="bottom"/>
            </w:pPr>
            <w:r>
              <w:rPr>
                <w:rFonts w:ascii="Arial" w:eastAsia="宋体" w:hAnsi="Arial" w:cs="Arial"/>
                <w:color w:val="000000"/>
                <w:sz w:val="16"/>
                <w:szCs w:val="16"/>
              </w:rPr>
              <w:t>1.23 </w:t>
            </w:r>
          </w:p>
        </w:tc>
        <w:tc>
          <w:tcPr>
            <w:tcW w:w="0" w:type="auto"/>
            <w:shd w:val="clear" w:color="auto" w:fill="CCEEFF"/>
            <w:tcMar>
              <w:top w:w="40" w:type="dxa"/>
              <w:left w:w="0" w:type="dxa"/>
              <w:bottom w:w="40" w:type="dxa"/>
              <w:right w:w="20" w:type="dxa"/>
            </w:tcMar>
            <w:vAlign w:val="bottom"/>
          </w:tcPr>
          <w:p w14:paraId="5F2D2A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A6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A6F" w14:textId="77777777" w:rsidR="00E836FB" w:rsidRDefault="00994958">
            <w:pPr>
              <w:jc w:val="right"/>
              <w:textAlignment w:val="bottom"/>
            </w:pPr>
            <w:r>
              <w:rPr>
                <w:rFonts w:ascii="Arial" w:eastAsia="宋体" w:hAnsi="Arial" w:cs="Arial"/>
                <w:color w:val="000000"/>
                <w:sz w:val="16"/>
                <w:szCs w:val="16"/>
              </w:rPr>
              <w:t>.01 </w:t>
            </w:r>
          </w:p>
        </w:tc>
        <w:tc>
          <w:tcPr>
            <w:tcW w:w="0" w:type="auto"/>
            <w:shd w:val="clear" w:color="auto" w:fill="CCEEFF"/>
            <w:tcMar>
              <w:top w:w="40" w:type="dxa"/>
              <w:left w:w="0" w:type="dxa"/>
              <w:bottom w:w="40" w:type="dxa"/>
              <w:right w:w="20" w:type="dxa"/>
            </w:tcMar>
            <w:vAlign w:val="bottom"/>
          </w:tcPr>
          <w:p w14:paraId="5F2D2A70" w14:textId="77777777" w:rsidR="00E836FB" w:rsidRDefault="00E836FB">
            <w:pPr>
              <w:jc w:val="right"/>
              <w:rPr>
                <w:rFonts w:ascii="宋体"/>
              </w:rPr>
            </w:pPr>
          </w:p>
        </w:tc>
      </w:tr>
      <w:tr w:rsidR="00E836FB" w14:paraId="5F2D2A84" w14:textId="77777777">
        <w:trPr>
          <w:hidden/>
        </w:trPr>
        <w:tc>
          <w:tcPr>
            <w:tcW w:w="0" w:type="auto"/>
            <w:gridSpan w:val="3"/>
            <w:shd w:val="clear" w:color="auto" w:fill="auto"/>
            <w:vAlign w:val="bottom"/>
          </w:tcPr>
          <w:p w14:paraId="5F2D2A72" w14:textId="77777777" w:rsidR="00E836FB" w:rsidRDefault="00E836FB">
            <w:pPr>
              <w:rPr>
                <w:rFonts w:ascii="宋体"/>
                <w:vanish/>
              </w:rPr>
            </w:pPr>
          </w:p>
        </w:tc>
        <w:tc>
          <w:tcPr>
            <w:tcW w:w="0" w:type="auto"/>
            <w:gridSpan w:val="3"/>
            <w:shd w:val="clear" w:color="auto" w:fill="auto"/>
            <w:vAlign w:val="bottom"/>
          </w:tcPr>
          <w:p w14:paraId="5F2D2A73" w14:textId="77777777" w:rsidR="00E836FB" w:rsidRDefault="00E836FB">
            <w:pPr>
              <w:rPr>
                <w:rFonts w:ascii="宋体"/>
                <w:vanish/>
              </w:rPr>
            </w:pPr>
          </w:p>
        </w:tc>
        <w:tc>
          <w:tcPr>
            <w:tcW w:w="0" w:type="auto"/>
            <w:gridSpan w:val="3"/>
            <w:shd w:val="clear" w:color="auto" w:fill="auto"/>
            <w:vAlign w:val="bottom"/>
          </w:tcPr>
          <w:p w14:paraId="5F2D2A74" w14:textId="77777777" w:rsidR="00E836FB" w:rsidRDefault="00E836FB">
            <w:pPr>
              <w:rPr>
                <w:rFonts w:ascii="宋体"/>
                <w:vanish/>
              </w:rPr>
            </w:pPr>
          </w:p>
        </w:tc>
        <w:tc>
          <w:tcPr>
            <w:tcW w:w="0" w:type="auto"/>
            <w:gridSpan w:val="3"/>
            <w:shd w:val="clear" w:color="auto" w:fill="auto"/>
            <w:vAlign w:val="bottom"/>
          </w:tcPr>
          <w:p w14:paraId="5F2D2A75" w14:textId="77777777" w:rsidR="00E836FB" w:rsidRDefault="00E836FB">
            <w:pPr>
              <w:rPr>
                <w:rFonts w:ascii="宋体"/>
                <w:vanish/>
              </w:rPr>
            </w:pPr>
          </w:p>
        </w:tc>
        <w:tc>
          <w:tcPr>
            <w:tcW w:w="0" w:type="auto"/>
            <w:gridSpan w:val="3"/>
            <w:shd w:val="clear" w:color="auto" w:fill="auto"/>
            <w:vAlign w:val="bottom"/>
          </w:tcPr>
          <w:p w14:paraId="5F2D2A76" w14:textId="77777777" w:rsidR="00E836FB" w:rsidRDefault="00E836FB">
            <w:pPr>
              <w:rPr>
                <w:rFonts w:ascii="宋体"/>
                <w:vanish/>
              </w:rPr>
            </w:pPr>
          </w:p>
        </w:tc>
        <w:tc>
          <w:tcPr>
            <w:tcW w:w="0" w:type="auto"/>
            <w:gridSpan w:val="3"/>
            <w:shd w:val="clear" w:color="auto" w:fill="auto"/>
            <w:vAlign w:val="bottom"/>
          </w:tcPr>
          <w:p w14:paraId="5F2D2A77" w14:textId="77777777" w:rsidR="00E836FB" w:rsidRDefault="00E836FB">
            <w:pPr>
              <w:rPr>
                <w:rFonts w:ascii="宋体"/>
                <w:vanish/>
              </w:rPr>
            </w:pPr>
          </w:p>
        </w:tc>
        <w:tc>
          <w:tcPr>
            <w:tcW w:w="0" w:type="auto"/>
            <w:gridSpan w:val="3"/>
            <w:shd w:val="clear" w:color="auto" w:fill="auto"/>
            <w:vAlign w:val="bottom"/>
          </w:tcPr>
          <w:p w14:paraId="5F2D2A78" w14:textId="77777777" w:rsidR="00E836FB" w:rsidRDefault="00E836FB">
            <w:pPr>
              <w:rPr>
                <w:rFonts w:ascii="宋体"/>
                <w:vanish/>
              </w:rPr>
            </w:pPr>
          </w:p>
        </w:tc>
        <w:tc>
          <w:tcPr>
            <w:tcW w:w="0" w:type="auto"/>
            <w:gridSpan w:val="3"/>
            <w:shd w:val="clear" w:color="auto" w:fill="auto"/>
            <w:vAlign w:val="bottom"/>
          </w:tcPr>
          <w:p w14:paraId="5F2D2A79" w14:textId="77777777" w:rsidR="00E836FB" w:rsidRDefault="00E836FB">
            <w:pPr>
              <w:rPr>
                <w:rFonts w:ascii="宋体"/>
                <w:vanish/>
              </w:rPr>
            </w:pPr>
          </w:p>
        </w:tc>
        <w:tc>
          <w:tcPr>
            <w:tcW w:w="0" w:type="auto"/>
            <w:gridSpan w:val="3"/>
            <w:shd w:val="clear" w:color="auto" w:fill="auto"/>
            <w:vAlign w:val="bottom"/>
          </w:tcPr>
          <w:p w14:paraId="5F2D2A7A" w14:textId="77777777" w:rsidR="00E836FB" w:rsidRDefault="00E836FB">
            <w:pPr>
              <w:rPr>
                <w:rFonts w:ascii="宋体"/>
                <w:vanish/>
              </w:rPr>
            </w:pPr>
          </w:p>
        </w:tc>
        <w:tc>
          <w:tcPr>
            <w:tcW w:w="0" w:type="auto"/>
            <w:gridSpan w:val="3"/>
            <w:shd w:val="clear" w:color="auto" w:fill="auto"/>
            <w:vAlign w:val="bottom"/>
          </w:tcPr>
          <w:p w14:paraId="5F2D2A7B" w14:textId="77777777" w:rsidR="00E836FB" w:rsidRDefault="00E836FB">
            <w:pPr>
              <w:rPr>
                <w:rFonts w:ascii="宋体"/>
                <w:vanish/>
              </w:rPr>
            </w:pPr>
          </w:p>
        </w:tc>
        <w:tc>
          <w:tcPr>
            <w:tcW w:w="0" w:type="auto"/>
            <w:gridSpan w:val="3"/>
            <w:shd w:val="clear" w:color="auto" w:fill="auto"/>
            <w:vAlign w:val="bottom"/>
          </w:tcPr>
          <w:p w14:paraId="5F2D2A7C" w14:textId="77777777" w:rsidR="00E836FB" w:rsidRDefault="00E836FB">
            <w:pPr>
              <w:rPr>
                <w:rFonts w:ascii="宋体"/>
                <w:vanish/>
              </w:rPr>
            </w:pPr>
          </w:p>
        </w:tc>
        <w:tc>
          <w:tcPr>
            <w:tcW w:w="0" w:type="auto"/>
            <w:gridSpan w:val="3"/>
            <w:shd w:val="clear" w:color="auto" w:fill="auto"/>
            <w:vAlign w:val="bottom"/>
          </w:tcPr>
          <w:p w14:paraId="5F2D2A7D" w14:textId="77777777" w:rsidR="00E836FB" w:rsidRDefault="00E836FB">
            <w:pPr>
              <w:rPr>
                <w:rFonts w:ascii="宋体"/>
                <w:vanish/>
              </w:rPr>
            </w:pPr>
          </w:p>
        </w:tc>
        <w:tc>
          <w:tcPr>
            <w:tcW w:w="0" w:type="auto"/>
            <w:gridSpan w:val="3"/>
            <w:shd w:val="clear" w:color="auto" w:fill="auto"/>
            <w:vAlign w:val="bottom"/>
          </w:tcPr>
          <w:p w14:paraId="5F2D2A7E" w14:textId="77777777" w:rsidR="00E836FB" w:rsidRDefault="00E836FB">
            <w:pPr>
              <w:rPr>
                <w:rFonts w:ascii="宋体"/>
                <w:vanish/>
              </w:rPr>
            </w:pPr>
          </w:p>
        </w:tc>
        <w:tc>
          <w:tcPr>
            <w:tcW w:w="0" w:type="auto"/>
            <w:gridSpan w:val="3"/>
            <w:shd w:val="clear" w:color="auto" w:fill="auto"/>
            <w:vAlign w:val="bottom"/>
          </w:tcPr>
          <w:p w14:paraId="5F2D2A7F" w14:textId="77777777" w:rsidR="00E836FB" w:rsidRDefault="00E836FB">
            <w:pPr>
              <w:rPr>
                <w:rFonts w:ascii="宋体"/>
                <w:vanish/>
              </w:rPr>
            </w:pPr>
          </w:p>
        </w:tc>
        <w:tc>
          <w:tcPr>
            <w:tcW w:w="0" w:type="auto"/>
            <w:gridSpan w:val="3"/>
            <w:shd w:val="clear" w:color="auto" w:fill="auto"/>
            <w:vAlign w:val="bottom"/>
          </w:tcPr>
          <w:p w14:paraId="5F2D2A80" w14:textId="77777777" w:rsidR="00E836FB" w:rsidRDefault="00E836FB">
            <w:pPr>
              <w:rPr>
                <w:rFonts w:ascii="宋体"/>
                <w:vanish/>
              </w:rPr>
            </w:pPr>
          </w:p>
        </w:tc>
        <w:tc>
          <w:tcPr>
            <w:tcW w:w="0" w:type="auto"/>
            <w:gridSpan w:val="3"/>
            <w:shd w:val="clear" w:color="auto" w:fill="auto"/>
            <w:vAlign w:val="bottom"/>
          </w:tcPr>
          <w:p w14:paraId="5F2D2A81" w14:textId="77777777" w:rsidR="00E836FB" w:rsidRDefault="00E836FB">
            <w:pPr>
              <w:rPr>
                <w:rFonts w:ascii="宋体"/>
                <w:vanish/>
              </w:rPr>
            </w:pPr>
          </w:p>
        </w:tc>
        <w:tc>
          <w:tcPr>
            <w:tcW w:w="0" w:type="auto"/>
            <w:gridSpan w:val="3"/>
            <w:shd w:val="clear" w:color="auto" w:fill="auto"/>
            <w:vAlign w:val="bottom"/>
          </w:tcPr>
          <w:p w14:paraId="5F2D2A82" w14:textId="77777777" w:rsidR="00E836FB" w:rsidRDefault="00E836FB">
            <w:pPr>
              <w:rPr>
                <w:rFonts w:ascii="宋体"/>
                <w:vanish/>
              </w:rPr>
            </w:pPr>
          </w:p>
        </w:tc>
        <w:tc>
          <w:tcPr>
            <w:tcW w:w="0" w:type="auto"/>
            <w:gridSpan w:val="3"/>
            <w:shd w:val="clear" w:color="auto" w:fill="auto"/>
            <w:vAlign w:val="bottom"/>
          </w:tcPr>
          <w:p w14:paraId="5F2D2A83" w14:textId="77777777" w:rsidR="00E836FB" w:rsidRDefault="00E836FB">
            <w:pPr>
              <w:rPr>
                <w:rFonts w:ascii="宋体"/>
                <w:vanish/>
              </w:rPr>
            </w:pPr>
          </w:p>
        </w:tc>
      </w:tr>
      <w:tr w:rsidR="00E836FB" w14:paraId="5F2D2A9F" w14:textId="77777777">
        <w:trPr>
          <w:hidden/>
        </w:trPr>
        <w:tc>
          <w:tcPr>
            <w:tcW w:w="0" w:type="auto"/>
            <w:gridSpan w:val="3"/>
            <w:shd w:val="clear" w:color="auto" w:fill="auto"/>
            <w:vAlign w:val="bottom"/>
          </w:tcPr>
          <w:p w14:paraId="5F2D2A85" w14:textId="77777777" w:rsidR="00E836FB" w:rsidRDefault="00E836FB">
            <w:pPr>
              <w:rPr>
                <w:rFonts w:ascii="宋体"/>
                <w:vanish/>
              </w:rPr>
            </w:pPr>
          </w:p>
        </w:tc>
        <w:tc>
          <w:tcPr>
            <w:tcW w:w="0" w:type="auto"/>
            <w:gridSpan w:val="3"/>
            <w:shd w:val="clear" w:color="auto" w:fill="auto"/>
            <w:vAlign w:val="bottom"/>
          </w:tcPr>
          <w:p w14:paraId="5F2D2A86" w14:textId="77777777" w:rsidR="00E836FB" w:rsidRDefault="00E836FB">
            <w:pPr>
              <w:rPr>
                <w:rFonts w:ascii="宋体"/>
                <w:vanish/>
              </w:rPr>
            </w:pPr>
          </w:p>
        </w:tc>
        <w:tc>
          <w:tcPr>
            <w:tcW w:w="0" w:type="auto"/>
            <w:gridSpan w:val="3"/>
            <w:shd w:val="clear" w:color="auto" w:fill="auto"/>
            <w:vAlign w:val="bottom"/>
          </w:tcPr>
          <w:p w14:paraId="5F2D2A87" w14:textId="77777777" w:rsidR="00E836FB" w:rsidRDefault="00E836FB">
            <w:pPr>
              <w:rPr>
                <w:rFonts w:ascii="宋体"/>
                <w:vanish/>
              </w:rPr>
            </w:pPr>
          </w:p>
        </w:tc>
        <w:tc>
          <w:tcPr>
            <w:tcW w:w="0" w:type="auto"/>
            <w:gridSpan w:val="3"/>
            <w:shd w:val="clear" w:color="auto" w:fill="auto"/>
            <w:vAlign w:val="bottom"/>
          </w:tcPr>
          <w:p w14:paraId="5F2D2A88" w14:textId="77777777" w:rsidR="00E836FB" w:rsidRDefault="00E836FB">
            <w:pPr>
              <w:rPr>
                <w:rFonts w:ascii="宋体"/>
                <w:vanish/>
              </w:rPr>
            </w:pPr>
          </w:p>
        </w:tc>
        <w:tc>
          <w:tcPr>
            <w:tcW w:w="0" w:type="auto"/>
            <w:gridSpan w:val="3"/>
            <w:shd w:val="clear" w:color="auto" w:fill="auto"/>
            <w:vAlign w:val="bottom"/>
          </w:tcPr>
          <w:p w14:paraId="5F2D2A89" w14:textId="77777777" w:rsidR="00E836FB" w:rsidRDefault="00E836FB">
            <w:pPr>
              <w:rPr>
                <w:rFonts w:ascii="宋体"/>
                <w:vanish/>
              </w:rPr>
            </w:pPr>
          </w:p>
        </w:tc>
        <w:tc>
          <w:tcPr>
            <w:tcW w:w="0" w:type="auto"/>
            <w:gridSpan w:val="3"/>
            <w:shd w:val="clear" w:color="auto" w:fill="auto"/>
            <w:vAlign w:val="bottom"/>
          </w:tcPr>
          <w:p w14:paraId="5F2D2A8A" w14:textId="77777777" w:rsidR="00E836FB" w:rsidRDefault="00E836FB">
            <w:pPr>
              <w:rPr>
                <w:rFonts w:ascii="宋体"/>
                <w:vanish/>
              </w:rPr>
            </w:pPr>
          </w:p>
        </w:tc>
        <w:tc>
          <w:tcPr>
            <w:tcW w:w="0" w:type="auto"/>
            <w:gridSpan w:val="3"/>
            <w:shd w:val="clear" w:color="auto" w:fill="auto"/>
            <w:vAlign w:val="bottom"/>
          </w:tcPr>
          <w:p w14:paraId="5F2D2A8B" w14:textId="77777777" w:rsidR="00E836FB" w:rsidRDefault="00E836FB">
            <w:pPr>
              <w:rPr>
                <w:rFonts w:ascii="宋体"/>
                <w:vanish/>
              </w:rPr>
            </w:pPr>
          </w:p>
        </w:tc>
        <w:tc>
          <w:tcPr>
            <w:tcW w:w="0" w:type="auto"/>
            <w:gridSpan w:val="3"/>
            <w:shd w:val="clear" w:color="auto" w:fill="auto"/>
            <w:vAlign w:val="bottom"/>
          </w:tcPr>
          <w:p w14:paraId="5F2D2A8C" w14:textId="77777777" w:rsidR="00E836FB" w:rsidRDefault="00E836FB">
            <w:pPr>
              <w:rPr>
                <w:rFonts w:ascii="宋体"/>
                <w:vanish/>
              </w:rPr>
            </w:pPr>
          </w:p>
        </w:tc>
        <w:tc>
          <w:tcPr>
            <w:tcW w:w="0" w:type="auto"/>
            <w:gridSpan w:val="3"/>
            <w:shd w:val="clear" w:color="auto" w:fill="auto"/>
            <w:vAlign w:val="bottom"/>
          </w:tcPr>
          <w:p w14:paraId="5F2D2A8D" w14:textId="77777777" w:rsidR="00E836FB" w:rsidRDefault="00E836FB">
            <w:pPr>
              <w:rPr>
                <w:rFonts w:ascii="宋体"/>
                <w:vanish/>
              </w:rPr>
            </w:pPr>
          </w:p>
        </w:tc>
        <w:tc>
          <w:tcPr>
            <w:tcW w:w="0" w:type="auto"/>
            <w:gridSpan w:val="3"/>
            <w:shd w:val="clear" w:color="auto" w:fill="auto"/>
            <w:vAlign w:val="bottom"/>
          </w:tcPr>
          <w:p w14:paraId="5F2D2A8E" w14:textId="77777777" w:rsidR="00E836FB" w:rsidRDefault="00E836FB">
            <w:pPr>
              <w:rPr>
                <w:rFonts w:ascii="宋体"/>
                <w:vanish/>
              </w:rPr>
            </w:pPr>
          </w:p>
        </w:tc>
        <w:tc>
          <w:tcPr>
            <w:tcW w:w="0" w:type="auto"/>
            <w:gridSpan w:val="3"/>
            <w:shd w:val="clear" w:color="auto" w:fill="auto"/>
            <w:vAlign w:val="bottom"/>
          </w:tcPr>
          <w:p w14:paraId="5F2D2A8F" w14:textId="77777777" w:rsidR="00E836FB" w:rsidRDefault="00E836FB">
            <w:pPr>
              <w:rPr>
                <w:rFonts w:ascii="宋体"/>
                <w:vanish/>
              </w:rPr>
            </w:pPr>
          </w:p>
        </w:tc>
        <w:tc>
          <w:tcPr>
            <w:tcW w:w="0" w:type="auto"/>
            <w:gridSpan w:val="3"/>
            <w:shd w:val="clear" w:color="auto" w:fill="auto"/>
            <w:vAlign w:val="bottom"/>
          </w:tcPr>
          <w:p w14:paraId="5F2D2A90" w14:textId="77777777" w:rsidR="00E836FB" w:rsidRDefault="00E836FB">
            <w:pPr>
              <w:rPr>
                <w:rFonts w:ascii="宋体"/>
                <w:vanish/>
              </w:rPr>
            </w:pPr>
          </w:p>
        </w:tc>
        <w:tc>
          <w:tcPr>
            <w:tcW w:w="0" w:type="auto"/>
            <w:gridSpan w:val="3"/>
            <w:shd w:val="clear" w:color="auto" w:fill="auto"/>
            <w:vAlign w:val="bottom"/>
          </w:tcPr>
          <w:p w14:paraId="5F2D2A91" w14:textId="77777777" w:rsidR="00E836FB" w:rsidRDefault="00E836FB">
            <w:pPr>
              <w:rPr>
                <w:rFonts w:ascii="宋体"/>
                <w:vanish/>
              </w:rPr>
            </w:pPr>
          </w:p>
        </w:tc>
        <w:tc>
          <w:tcPr>
            <w:tcW w:w="0" w:type="auto"/>
            <w:gridSpan w:val="3"/>
            <w:shd w:val="clear" w:color="auto" w:fill="auto"/>
            <w:vAlign w:val="bottom"/>
          </w:tcPr>
          <w:p w14:paraId="5F2D2A92" w14:textId="77777777" w:rsidR="00E836FB" w:rsidRDefault="00E836FB">
            <w:pPr>
              <w:rPr>
                <w:rFonts w:ascii="宋体"/>
                <w:vanish/>
              </w:rPr>
            </w:pPr>
          </w:p>
        </w:tc>
        <w:tc>
          <w:tcPr>
            <w:tcW w:w="0" w:type="auto"/>
            <w:shd w:val="clear" w:color="auto" w:fill="auto"/>
            <w:vAlign w:val="bottom"/>
          </w:tcPr>
          <w:p w14:paraId="5F2D2A93" w14:textId="77777777" w:rsidR="00E836FB" w:rsidRDefault="00E836FB">
            <w:pPr>
              <w:rPr>
                <w:rFonts w:ascii="宋体"/>
              </w:rPr>
            </w:pPr>
          </w:p>
        </w:tc>
        <w:tc>
          <w:tcPr>
            <w:tcW w:w="0" w:type="auto"/>
            <w:shd w:val="clear" w:color="auto" w:fill="auto"/>
            <w:vAlign w:val="bottom"/>
          </w:tcPr>
          <w:p w14:paraId="5F2D2A94" w14:textId="77777777" w:rsidR="00E836FB" w:rsidRDefault="00E836FB">
            <w:pPr>
              <w:rPr>
                <w:rFonts w:ascii="宋体"/>
              </w:rPr>
            </w:pPr>
          </w:p>
        </w:tc>
        <w:tc>
          <w:tcPr>
            <w:tcW w:w="0" w:type="auto"/>
            <w:shd w:val="clear" w:color="auto" w:fill="auto"/>
            <w:vAlign w:val="bottom"/>
          </w:tcPr>
          <w:p w14:paraId="5F2D2A95" w14:textId="77777777" w:rsidR="00E836FB" w:rsidRDefault="00E836FB">
            <w:pPr>
              <w:rPr>
                <w:rFonts w:ascii="宋体"/>
              </w:rPr>
            </w:pPr>
          </w:p>
        </w:tc>
        <w:tc>
          <w:tcPr>
            <w:tcW w:w="0" w:type="auto"/>
            <w:shd w:val="clear" w:color="auto" w:fill="auto"/>
            <w:vAlign w:val="bottom"/>
          </w:tcPr>
          <w:p w14:paraId="5F2D2A96" w14:textId="77777777" w:rsidR="00E836FB" w:rsidRDefault="00E836FB">
            <w:pPr>
              <w:rPr>
                <w:rFonts w:ascii="宋体"/>
              </w:rPr>
            </w:pPr>
          </w:p>
        </w:tc>
        <w:tc>
          <w:tcPr>
            <w:tcW w:w="0" w:type="auto"/>
            <w:shd w:val="clear" w:color="auto" w:fill="auto"/>
            <w:vAlign w:val="bottom"/>
          </w:tcPr>
          <w:p w14:paraId="5F2D2A97" w14:textId="77777777" w:rsidR="00E836FB" w:rsidRDefault="00E836FB">
            <w:pPr>
              <w:rPr>
                <w:rFonts w:ascii="宋体"/>
              </w:rPr>
            </w:pPr>
          </w:p>
        </w:tc>
        <w:tc>
          <w:tcPr>
            <w:tcW w:w="0" w:type="auto"/>
            <w:shd w:val="clear" w:color="auto" w:fill="auto"/>
            <w:vAlign w:val="bottom"/>
          </w:tcPr>
          <w:p w14:paraId="5F2D2A98" w14:textId="77777777" w:rsidR="00E836FB" w:rsidRDefault="00E836FB">
            <w:pPr>
              <w:rPr>
                <w:rFonts w:ascii="宋体"/>
              </w:rPr>
            </w:pPr>
          </w:p>
        </w:tc>
        <w:tc>
          <w:tcPr>
            <w:tcW w:w="0" w:type="auto"/>
            <w:shd w:val="clear" w:color="auto" w:fill="auto"/>
            <w:vAlign w:val="bottom"/>
          </w:tcPr>
          <w:p w14:paraId="5F2D2A99" w14:textId="77777777" w:rsidR="00E836FB" w:rsidRDefault="00E836FB">
            <w:pPr>
              <w:rPr>
                <w:rFonts w:ascii="宋体"/>
              </w:rPr>
            </w:pPr>
          </w:p>
        </w:tc>
        <w:tc>
          <w:tcPr>
            <w:tcW w:w="0" w:type="auto"/>
            <w:shd w:val="clear" w:color="auto" w:fill="auto"/>
            <w:vAlign w:val="bottom"/>
          </w:tcPr>
          <w:p w14:paraId="5F2D2A9A" w14:textId="77777777" w:rsidR="00E836FB" w:rsidRDefault="00E836FB">
            <w:pPr>
              <w:rPr>
                <w:rFonts w:ascii="宋体"/>
              </w:rPr>
            </w:pPr>
          </w:p>
        </w:tc>
        <w:tc>
          <w:tcPr>
            <w:tcW w:w="0" w:type="auto"/>
            <w:shd w:val="clear" w:color="auto" w:fill="auto"/>
            <w:vAlign w:val="bottom"/>
          </w:tcPr>
          <w:p w14:paraId="5F2D2A9B" w14:textId="77777777" w:rsidR="00E836FB" w:rsidRDefault="00E836FB">
            <w:pPr>
              <w:rPr>
                <w:rFonts w:ascii="宋体"/>
              </w:rPr>
            </w:pPr>
          </w:p>
        </w:tc>
        <w:tc>
          <w:tcPr>
            <w:tcW w:w="0" w:type="auto"/>
            <w:shd w:val="clear" w:color="auto" w:fill="auto"/>
            <w:vAlign w:val="bottom"/>
          </w:tcPr>
          <w:p w14:paraId="5F2D2A9C" w14:textId="77777777" w:rsidR="00E836FB" w:rsidRDefault="00E836FB">
            <w:pPr>
              <w:rPr>
                <w:rFonts w:ascii="宋体"/>
              </w:rPr>
            </w:pPr>
          </w:p>
        </w:tc>
        <w:tc>
          <w:tcPr>
            <w:tcW w:w="0" w:type="auto"/>
            <w:shd w:val="clear" w:color="auto" w:fill="auto"/>
            <w:vAlign w:val="bottom"/>
          </w:tcPr>
          <w:p w14:paraId="5F2D2A9D" w14:textId="77777777" w:rsidR="00E836FB" w:rsidRDefault="00E836FB">
            <w:pPr>
              <w:rPr>
                <w:rFonts w:ascii="宋体"/>
              </w:rPr>
            </w:pPr>
          </w:p>
        </w:tc>
        <w:tc>
          <w:tcPr>
            <w:tcW w:w="0" w:type="auto"/>
            <w:shd w:val="clear" w:color="auto" w:fill="auto"/>
            <w:vAlign w:val="bottom"/>
          </w:tcPr>
          <w:p w14:paraId="5F2D2A9E" w14:textId="77777777" w:rsidR="00E836FB" w:rsidRDefault="00E836FB">
            <w:pPr>
              <w:rPr>
                <w:rFonts w:ascii="宋体"/>
              </w:rPr>
            </w:pPr>
          </w:p>
        </w:tc>
      </w:tr>
      <w:tr w:rsidR="00E836FB" w14:paraId="5F2D2AB2" w14:textId="77777777">
        <w:trPr>
          <w:hidden/>
        </w:trPr>
        <w:tc>
          <w:tcPr>
            <w:tcW w:w="0" w:type="auto"/>
            <w:gridSpan w:val="3"/>
            <w:shd w:val="clear" w:color="auto" w:fill="auto"/>
            <w:vAlign w:val="bottom"/>
          </w:tcPr>
          <w:p w14:paraId="5F2D2AA0" w14:textId="77777777" w:rsidR="00E836FB" w:rsidRDefault="00E836FB">
            <w:pPr>
              <w:rPr>
                <w:rFonts w:ascii="宋体"/>
                <w:vanish/>
              </w:rPr>
            </w:pPr>
          </w:p>
        </w:tc>
        <w:tc>
          <w:tcPr>
            <w:tcW w:w="0" w:type="auto"/>
            <w:gridSpan w:val="3"/>
            <w:shd w:val="clear" w:color="auto" w:fill="auto"/>
            <w:vAlign w:val="bottom"/>
          </w:tcPr>
          <w:p w14:paraId="5F2D2AA1" w14:textId="77777777" w:rsidR="00E836FB" w:rsidRDefault="00E836FB">
            <w:pPr>
              <w:rPr>
                <w:rFonts w:ascii="宋体"/>
                <w:vanish/>
              </w:rPr>
            </w:pPr>
          </w:p>
        </w:tc>
        <w:tc>
          <w:tcPr>
            <w:tcW w:w="0" w:type="auto"/>
            <w:gridSpan w:val="3"/>
            <w:shd w:val="clear" w:color="auto" w:fill="auto"/>
            <w:vAlign w:val="bottom"/>
          </w:tcPr>
          <w:p w14:paraId="5F2D2AA2" w14:textId="77777777" w:rsidR="00E836FB" w:rsidRDefault="00E836FB">
            <w:pPr>
              <w:rPr>
                <w:rFonts w:ascii="宋体"/>
                <w:vanish/>
              </w:rPr>
            </w:pPr>
          </w:p>
        </w:tc>
        <w:tc>
          <w:tcPr>
            <w:tcW w:w="0" w:type="auto"/>
            <w:gridSpan w:val="3"/>
            <w:shd w:val="clear" w:color="auto" w:fill="auto"/>
            <w:vAlign w:val="bottom"/>
          </w:tcPr>
          <w:p w14:paraId="5F2D2AA3" w14:textId="77777777" w:rsidR="00E836FB" w:rsidRDefault="00E836FB">
            <w:pPr>
              <w:rPr>
                <w:rFonts w:ascii="宋体"/>
                <w:vanish/>
              </w:rPr>
            </w:pPr>
          </w:p>
        </w:tc>
        <w:tc>
          <w:tcPr>
            <w:tcW w:w="0" w:type="auto"/>
            <w:gridSpan w:val="3"/>
            <w:shd w:val="clear" w:color="auto" w:fill="auto"/>
            <w:vAlign w:val="bottom"/>
          </w:tcPr>
          <w:p w14:paraId="5F2D2AA4" w14:textId="77777777" w:rsidR="00E836FB" w:rsidRDefault="00E836FB">
            <w:pPr>
              <w:rPr>
                <w:rFonts w:ascii="宋体"/>
                <w:vanish/>
              </w:rPr>
            </w:pPr>
          </w:p>
        </w:tc>
        <w:tc>
          <w:tcPr>
            <w:tcW w:w="0" w:type="auto"/>
            <w:gridSpan w:val="3"/>
            <w:shd w:val="clear" w:color="auto" w:fill="auto"/>
            <w:vAlign w:val="bottom"/>
          </w:tcPr>
          <w:p w14:paraId="5F2D2AA5" w14:textId="77777777" w:rsidR="00E836FB" w:rsidRDefault="00E836FB">
            <w:pPr>
              <w:rPr>
                <w:rFonts w:ascii="宋体"/>
                <w:vanish/>
              </w:rPr>
            </w:pPr>
          </w:p>
        </w:tc>
        <w:tc>
          <w:tcPr>
            <w:tcW w:w="0" w:type="auto"/>
            <w:gridSpan w:val="3"/>
            <w:shd w:val="clear" w:color="auto" w:fill="auto"/>
            <w:vAlign w:val="bottom"/>
          </w:tcPr>
          <w:p w14:paraId="5F2D2AA6" w14:textId="77777777" w:rsidR="00E836FB" w:rsidRDefault="00E836FB">
            <w:pPr>
              <w:rPr>
                <w:rFonts w:ascii="宋体"/>
                <w:vanish/>
              </w:rPr>
            </w:pPr>
          </w:p>
        </w:tc>
        <w:tc>
          <w:tcPr>
            <w:tcW w:w="0" w:type="auto"/>
            <w:gridSpan w:val="3"/>
            <w:shd w:val="clear" w:color="auto" w:fill="auto"/>
            <w:vAlign w:val="bottom"/>
          </w:tcPr>
          <w:p w14:paraId="5F2D2AA7" w14:textId="77777777" w:rsidR="00E836FB" w:rsidRDefault="00E836FB">
            <w:pPr>
              <w:rPr>
                <w:rFonts w:ascii="宋体"/>
                <w:vanish/>
              </w:rPr>
            </w:pPr>
          </w:p>
        </w:tc>
        <w:tc>
          <w:tcPr>
            <w:tcW w:w="0" w:type="auto"/>
            <w:gridSpan w:val="3"/>
            <w:shd w:val="clear" w:color="auto" w:fill="auto"/>
            <w:vAlign w:val="bottom"/>
          </w:tcPr>
          <w:p w14:paraId="5F2D2AA8" w14:textId="77777777" w:rsidR="00E836FB" w:rsidRDefault="00E836FB">
            <w:pPr>
              <w:rPr>
                <w:rFonts w:ascii="宋体"/>
                <w:vanish/>
              </w:rPr>
            </w:pPr>
          </w:p>
        </w:tc>
        <w:tc>
          <w:tcPr>
            <w:tcW w:w="0" w:type="auto"/>
            <w:gridSpan w:val="3"/>
            <w:shd w:val="clear" w:color="auto" w:fill="auto"/>
            <w:vAlign w:val="bottom"/>
          </w:tcPr>
          <w:p w14:paraId="5F2D2AA9" w14:textId="77777777" w:rsidR="00E836FB" w:rsidRDefault="00E836FB">
            <w:pPr>
              <w:rPr>
                <w:rFonts w:ascii="宋体"/>
                <w:vanish/>
              </w:rPr>
            </w:pPr>
          </w:p>
        </w:tc>
        <w:tc>
          <w:tcPr>
            <w:tcW w:w="0" w:type="auto"/>
            <w:gridSpan w:val="3"/>
            <w:shd w:val="clear" w:color="auto" w:fill="auto"/>
            <w:vAlign w:val="bottom"/>
          </w:tcPr>
          <w:p w14:paraId="5F2D2AAA" w14:textId="77777777" w:rsidR="00E836FB" w:rsidRDefault="00E836FB">
            <w:pPr>
              <w:rPr>
                <w:rFonts w:ascii="宋体"/>
                <w:vanish/>
              </w:rPr>
            </w:pPr>
          </w:p>
        </w:tc>
        <w:tc>
          <w:tcPr>
            <w:tcW w:w="0" w:type="auto"/>
            <w:gridSpan w:val="3"/>
            <w:shd w:val="clear" w:color="auto" w:fill="auto"/>
            <w:vAlign w:val="bottom"/>
          </w:tcPr>
          <w:p w14:paraId="5F2D2AAB" w14:textId="77777777" w:rsidR="00E836FB" w:rsidRDefault="00E836FB">
            <w:pPr>
              <w:rPr>
                <w:rFonts w:ascii="宋体"/>
                <w:vanish/>
              </w:rPr>
            </w:pPr>
          </w:p>
        </w:tc>
        <w:tc>
          <w:tcPr>
            <w:tcW w:w="0" w:type="auto"/>
            <w:gridSpan w:val="3"/>
            <w:shd w:val="clear" w:color="auto" w:fill="auto"/>
            <w:vAlign w:val="bottom"/>
          </w:tcPr>
          <w:p w14:paraId="5F2D2AAC" w14:textId="77777777" w:rsidR="00E836FB" w:rsidRDefault="00E836FB">
            <w:pPr>
              <w:rPr>
                <w:rFonts w:ascii="宋体"/>
                <w:vanish/>
              </w:rPr>
            </w:pPr>
          </w:p>
        </w:tc>
        <w:tc>
          <w:tcPr>
            <w:tcW w:w="0" w:type="auto"/>
            <w:gridSpan w:val="3"/>
            <w:shd w:val="clear" w:color="auto" w:fill="auto"/>
            <w:vAlign w:val="bottom"/>
          </w:tcPr>
          <w:p w14:paraId="5F2D2AAD" w14:textId="77777777" w:rsidR="00E836FB" w:rsidRDefault="00E836FB">
            <w:pPr>
              <w:rPr>
                <w:rFonts w:ascii="宋体"/>
                <w:vanish/>
              </w:rPr>
            </w:pPr>
          </w:p>
        </w:tc>
        <w:tc>
          <w:tcPr>
            <w:tcW w:w="0" w:type="auto"/>
            <w:gridSpan w:val="3"/>
            <w:shd w:val="clear" w:color="auto" w:fill="auto"/>
            <w:vAlign w:val="bottom"/>
          </w:tcPr>
          <w:p w14:paraId="5F2D2AAE" w14:textId="77777777" w:rsidR="00E836FB" w:rsidRDefault="00E836FB">
            <w:pPr>
              <w:rPr>
                <w:rFonts w:ascii="宋体"/>
                <w:vanish/>
              </w:rPr>
            </w:pPr>
          </w:p>
        </w:tc>
        <w:tc>
          <w:tcPr>
            <w:tcW w:w="0" w:type="auto"/>
            <w:gridSpan w:val="3"/>
            <w:shd w:val="clear" w:color="auto" w:fill="auto"/>
            <w:vAlign w:val="bottom"/>
          </w:tcPr>
          <w:p w14:paraId="5F2D2AAF" w14:textId="77777777" w:rsidR="00E836FB" w:rsidRDefault="00E836FB">
            <w:pPr>
              <w:rPr>
                <w:rFonts w:ascii="宋体"/>
                <w:vanish/>
              </w:rPr>
            </w:pPr>
          </w:p>
        </w:tc>
        <w:tc>
          <w:tcPr>
            <w:tcW w:w="0" w:type="auto"/>
            <w:gridSpan w:val="3"/>
            <w:shd w:val="clear" w:color="auto" w:fill="auto"/>
            <w:vAlign w:val="bottom"/>
          </w:tcPr>
          <w:p w14:paraId="5F2D2AB0" w14:textId="77777777" w:rsidR="00E836FB" w:rsidRDefault="00E836FB">
            <w:pPr>
              <w:rPr>
                <w:rFonts w:ascii="宋体"/>
                <w:vanish/>
              </w:rPr>
            </w:pPr>
          </w:p>
        </w:tc>
        <w:tc>
          <w:tcPr>
            <w:tcW w:w="0" w:type="auto"/>
            <w:gridSpan w:val="3"/>
            <w:shd w:val="clear" w:color="auto" w:fill="auto"/>
            <w:vAlign w:val="bottom"/>
          </w:tcPr>
          <w:p w14:paraId="5F2D2AB1" w14:textId="77777777" w:rsidR="00E836FB" w:rsidRDefault="00E836FB">
            <w:pPr>
              <w:rPr>
                <w:rFonts w:ascii="宋体"/>
                <w:vanish/>
              </w:rPr>
            </w:pPr>
          </w:p>
        </w:tc>
      </w:tr>
      <w:tr w:rsidR="00E836FB" w14:paraId="5F2D2AC5" w14:textId="77777777">
        <w:trPr>
          <w:hidden/>
        </w:trPr>
        <w:tc>
          <w:tcPr>
            <w:tcW w:w="0" w:type="auto"/>
            <w:gridSpan w:val="3"/>
            <w:shd w:val="clear" w:color="auto" w:fill="auto"/>
            <w:vAlign w:val="bottom"/>
          </w:tcPr>
          <w:p w14:paraId="5F2D2AB3" w14:textId="77777777" w:rsidR="00E836FB" w:rsidRDefault="00E836FB">
            <w:pPr>
              <w:rPr>
                <w:rFonts w:ascii="宋体"/>
                <w:vanish/>
              </w:rPr>
            </w:pPr>
          </w:p>
        </w:tc>
        <w:tc>
          <w:tcPr>
            <w:tcW w:w="0" w:type="auto"/>
            <w:gridSpan w:val="3"/>
            <w:shd w:val="clear" w:color="auto" w:fill="auto"/>
            <w:vAlign w:val="bottom"/>
          </w:tcPr>
          <w:p w14:paraId="5F2D2AB4" w14:textId="77777777" w:rsidR="00E836FB" w:rsidRDefault="00E836FB">
            <w:pPr>
              <w:rPr>
                <w:rFonts w:ascii="宋体"/>
                <w:vanish/>
              </w:rPr>
            </w:pPr>
          </w:p>
        </w:tc>
        <w:tc>
          <w:tcPr>
            <w:tcW w:w="0" w:type="auto"/>
            <w:gridSpan w:val="3"/>
            <w:shd w:val="clear" w:color="auto" w:fill="auto"/>
            <w:vAlign w:val="bottom"/>
          </w:tcPr>
          <w:p w14:paraId="5F2D2AB5" w14:textId="77777777" w:rsidR="00E836FB" w:rsidRDefault="00E836FB">
            <w:pPr>
              <w:rPr>
                <w:rFonts w:ascii="宋体"/>
                <w:vanish/>
              </w:rPr>
            </w:pPr>
          </w:p>
        </w:tc>
        <w:tc>
          <w:tcPr>
            <w:tcW w:w="0" w:type="auto"/>
            <w:gridSpan w:val="3"/>
            <w:shd w:val="clear" w:color="auto" w:fill="auto"/>
            <w:vAlign w:val="bottom"/>
          </w:tcPr>
          <w:p w14:paraId="5F2D2AB6" w14:textId="77777777" w:rsidR="00E836FB" w:rsidRDefault="00E836FB">
            <w:pPr>
              <w:rPr>
                <w:rFonts w:ascii="宋体"/>
                <w:vanish/>
              </w:rPr>
            </w:pPr>
          </w:p>
        </w:tc>
        <w:tc>
          <w:tcPr>
            <w:tcW w:w="0" w:type="auto"/>
            <w:gridSpan w:val="3"/>
            <w:shd w:val="clear" w:color="auto" w:fill="auto"/>
            <w:vAlign w:val="bottom"/>
          </w:tcPr>
          <w:p w14:paraId="5F2D2AB7" w14:textId="77777777" w:rsidR="00E836FB" w:rsidRDefault="00E836FB">
            <w:pPr>
              <w:rPr>
                <w:rFonts w:ascii="宋体"/>
                <w:vanish/>
              </w:rPr>
            </w:pPr>
          </w:p>
        </w:tc>
        <w:tc>
          <w:tcPr>
            <w:tcW w:w="0" w:type="auto"/>
            <w:gridSpan w:val="3"/>
            <w:shd w:val="clear" w:color="auto" w:fill="auto"/>
            <w:vAlign w:val="bottom"/>
          </w:tcPr>
          <w:p w14:paraId="5F2D2AB8" w14:textId="77777777" w:rsidR="00E836FB" w:rsidRDefault="00E836FB">
            <w:pPr>
              <w:rPr>
                <w:rFonts w:ascii="宋体"/>
                <w:vanish/>
              </w:rPr>
            </w:pPr>
          </w:p>
        </w:tc>
        <w:tc>
          <w:tcPr>
            <w:tcW w:w="0" w:type="auto"/>
            <w:gridSpan w:val="3"/>
            <w:shd w:val="clear" w:color="auto" w:fill="auto"/>
            <w:vAlign w:val="bottom"/>
          </w:tcPr>
          <w:p w14:paraId="5F2D2AB9" w14:textId="77777777" w:rsidR="00E836FB" w:rsidRDefault="00E836FB">
            <w:pPr>
              <w:rPr>
                <w:rFonts w:ascii="宋体"/>
                <w:vanish/>
              </w:rPr>
            </w:pPr>
          </w:p>
        </w:tc>
        <w:tc>
          <w:tcPr>
            <w:tcW w:w="0" w:type="auto"/>
            <w:gridSpan w:val="3"/>
            <w:shd w:val="clear" w:color="auto" w:fill="auto"/>
            <w:vAlign w:val="bottom"/>
          </w:tcPr>
          <w:p w14:paraId="5F2D2ABA" w14:textId="77777777" w:rsidR="00E836FB" w:rsidRDefault="00E836FB">
            <w:pPr>
              <w:rPr>
                <w:rFonts w:ascii="宋体"/>
                <w:vanish/>
              </w:rPr>
            </w:pPr>
          </w:p>
        </w:tc>
        <w:tc>
          <w:tcPr>
            <w:tcW w:w="0" w:type="auto"/>
            <w:gridSpan w:val="3"/>
            <w:shd w:val="clear" w:color="auto" w:fill="auto"/>
            <w:vAlign w:val="bottom"/>
          </w:tcPr>
          <w:p w14:paraId="5F2D2ABB" w14:textId="77777777" w:rsidR="00E836FB" w:rsidRDefault="00E836FB">
            <w:pPr>
              <w:rPr>
                <w:rFonts w:ascii="宋体"/>
                <w:vanish/>
              </w:rPr>
            </w:pPr>
          </w:p>
        </w:tc>
        <w:tc>
          <w:tcPr>
            <w:tcW w:w="0" w:type="auto"/>
            <w:gridSpan w:val="3"/>
            <w:shd w:val="clear" w:color="auto" w:fill="auto"/>
            <w:vAlign w:val="bottom"/>
          </w:tcPr>
          <w:p w14:paraId="5F2D2ABC" w14:textId="77777777" w:rsidR="00E836FB" w:rsidRDefault="00E836FB">
            <w:pPr>
              <w:rPr>
                <w:rFonts w:ascii="宋体"/>
                <w:vanish/>
              </w:rPr>
            </w:pPr>
          </w:p>
        </w:tc>
        <w:tc>
          <w:tcPr>
            <w:tcW w:w="0" w:type="auto"/>
            <w:gridSpan w:val="3"/>
            <w:shd w:val="clear" w:color="auto" w:fill="auto"/>
            <w:vAlign w:val="bottom"/>
          </w:tcPr>
          <w:p w14:paraId="5F2D2ABD" w14:textId="77777777" w:rsidR="00E836FB" w:rsidRDefault="00E836FB">
            <w:pPr>
              <w:rPr>
                <w:rFonts w:ascii="宋体"/>
                <w:vanish/>
              </w:rPr>
            </w:pPr>
          </w:p>
        </w:tc>
        <w:tc>
          <w:tcPr>
            <w:tcW w:w="0" w:type="auto"/>
            <w:gridSpan w:val="3"/>
            <w:shd w:val="clear" w:color="auto" w:fill="auto"/>
            <w:vAlign w:val="bottom"/>
          </w:tcPr>
          <w:p w14:paraId="5F2D2ABE" w14:textId="77777777" w:rsidR="00E836FB" w:rsidRDefault="00E836FB">
            <w:pPr>
              <w:rPr>
                <w:rFonts w:ascii="宋体"/>
                <w:vanish/>
              </w:rPr>
            </w:pPr>
          </w:p>
        </w:tc>
        <w:tc>
          <w:tcPr>
            <w:tcW w:w="0" w:type="auto"/>
            <w:gridSpan w:val="3"/>
            <w:shd w:val="clear" w:color="auto" w:fill="auto"/>
            <w:vAlign w:val="bottom"/>
          </w:tcPr>
          <w:p w14:paraId="5F2D2ABF" w14:textId="77777777" w:rsidR="00E836FB" w:rsidRDefault="00E836FB">
            <w:pPr>
              <w:rPr>
                <w:rFonts w:ascii="宋体"/>
                <w:vanish/>
              </w:rPr>
            </w:pPr>
          </w:p>
        </w:tc>
        <w:tc>
          <w:tcPr>
            <w:tcW w:w="0" w:type="auto"/>
            <w:gridSpan w:val="3"/>
            <w:shd w:val="clear" w:color="auto" w:fill="auto"/>
            <w:vAlign w:val="bottom"/>
          </w:tcPr>
          <w:p w14:paraId="5F2D2AC0" w14:textId="77777777" w:rsidR="00E836FB" w:rsidRDefault="00E836FB">
            <w:pPr>
              <w:rPr>
                <w:rFonts w:ascii="宋体"/>
                <w:vanish/>
              </w:rPr>
            </w:pPr>
          </w:p>
        </w:tc>
        <w:tc>
          <w:tcPr>
            <w:tcW w:w="0" w:type="auto"/>
            <w:gridSpan w:val="3"/>
            <w:shd w:val="clear" w:color="auto" w:fill="auto"/>
            <w:vAlign w:val="bottom"/>
          </w:tcPr>
          <w:p w14:paraId="5F2D2AC1" w14:textId="77777777" w:rsidR="00E836FB" w:rsidRDefault="00E836FB">
            <w:pPr>
              <w:rPr>
                <w:rFonts w:ascii="宋体"/>
                <w:vanish/>
              </w:rPr>
            </w:pPr>
          </w:p>
        </w:tc>
        <w:tc>
          <w:tcPr>
            <w:tcW w:w="0" w:type="auto"/>
            <w:gridSpan w:val="3"/>
            <w:shd w:val="clear" w:color="auto" w:fill="auto"/>
            <w:vAlign w:val="bottom"/>
          </w:tcPr>
          <w:p w14:paraId="5F2D2AC2" w14:textId="77777777" w:rsidR="00E836FB" w:rsidRDefault="00E836FB">
            <w:pPr>
              <w:rPr>
                <w:rFonts w:ascii="宋体"/>
                <w:vanish/>
              </w:rPr>
            </w:pPr>
          </w:p>
        </w:tc>
        <w:tc>
          <w:tcPr>
            <w:tcW w:w="0" w:type="auto"/>
            <w:gridSpan w:val="3"/>
            <w:shd w:val="clear" w:color="auto" w:fill="auto"/>
            <w:vAlign w:val="bottom"/>
          </w:tcPr>
          <w:p w14:paraId="5F2D2AC3" w14:textId="77777777" w:rsidR="00E836FB" w:rsidRDefault="00E836FB">
            <w:pPr>
              <w:rPr>
                <w:rFonts w:ascii="宋体"/>
                <w:vanish/>
              </w:rPr>
            </w:pPr>
          </w:p>
        </w:tc>
        <w:tc>
          <w:tcPr>
            <w:tcW w:w="0" w:type="auto"/>
            <w:gridSpan w:val="3"/>
            <w:shd w:val="clear" w:color="auto" w:fill="auto"/>
            <w:vAlign w:val="bottom"/>
          </w:tcPr>
          <w:p w14:paraId="5F2D2AC4" w14:textId="77777777" w:rsidR="00E836FB" w:rsidRDefault="00E836FB">
            <w:pPr>
              <w:rPr>
                <w:rFonts w:ascii="宋体"/>
                <w:vanish/>
              </w:rPr>
            </w:pPr>
          </w:p>
        </w:tc>
      </w:tr>
      <w:tr w:rsidR="00E836FB" w14:paraId="5F2D2AD8" w14:textId="77777777">
        <w:trPr>
          <w:hidden/>
        </w:trPr>
        <w:tc>
          <w:tcPr>
            <w:tcW w:w="0" w:type="auto"/>
            <w:gridSpan w:val="3"/>
            <w:shd w:val="clear" w:color="auto" w:fill="auto"/>
            <w:vAlign w:val="bottom"/>
          </w:tcPr>
          <w:p w14:paraId="5F2D2AC6" w14:textId="77777777" w:rsidR="00E836FB" w:rsidRDefault="00E836FB">
            <w:pPr>
              <w:rPr>
                <w:rFonts w:ascii="宋体"/>
                <w:vanish/>
              </w:rPr>
            </w:pPr>
          </w:p>
        </w:tc>
        <w:tc>
          <w:tcPr>
            <w:tcW w:w="0" w:type="auto"/>
            <w:gridSpan w:val="3"/>
            <w:shd w:val="clear" w:color="auto" w:fill="auto"/>
            <w:vAlign w:val="bottom"/>
          </w:tcPr>
          <w:p w14:paraId="5F2D2AC7" w14:textId="77777777" w:rsidR="00E836FB" w:rsidRDefault="00E836FB">
            <w:pPr>
              <w:rPr>
                <w:rFonts w:ascii="宋体"/>
                <w:vanish/>
              </w:rPr>
            </w:pPr>
          </w:p>
        </w:tc>
        <w:tc>
          <w:tcPr>
            <w:tcW w:w="0" w:type="auto"/>
            <w:gridSpan w:val="3"/>
            <w:shd w:val="clear" w:color="auto" w:fill="auto"/>
            <w:vAlign w:val="bottom"/>
          </w:tcPr>
          <w:p w14:paraId="5F2D2AC8" w14:textId="77777777" w:rsidR="00E836FB" w:rsidRDefault="00E836FB">
            <w:pPr>
              <w:rPr>
                <w:rFonts w:ascii="宋体"/>
                <w:vanish/>
              </w:rPr>
            </w:pPr>
          </w:p>
        </w:tc>
        <w:tc>
          <w:tcPr>
            <w:tcW w:w="0" w:type="auto"/>
            <w:gridSpan w:val="3"/>
            <w:shd w:val="clear" w:color="auto" w:fill="auto"/>
            <w:vAlign w:val="bottom"/>
          </w:tcPr>
          <w:p w14:paraId="5F2D2AC9" w14:textId="77777777" w:rsidR="00E836FB" w:rsidRDefault="00E836FB">
            <w:pPr>
              <w:rPr>
                <w:rFonts w:ascii="宋体"/>
                <w:vanish/>
              </w:rPr>
            </w:pPr>
          </w:p>
        </w:tc>
        <w:tc>
          <w:tcPr>
            <w:tcW w:w="0" w:type="auto"/>
            <w:gridSpan w:val="3"/>
            <w:shd w:val="clear" w:color="auto" w:fill="auto"/>
            <w:vAlign w:val="bottom"/>
          </w:tcPr>
          <w:p w14:paraId="5F2D2ACA" w14:textId="77777777" w:rsidR="00E836FB" w:rsidRDefault="00E836FB">
            <w:pPr>
              <w:rPr>
                <w:rFonts w:ascii="宋体"/>
                <w:vanish/>
              </w:rPr>
            </w:pPr>
          </w:p>
        </w:tc>
        <w:tc>
          <w:tcPr>
            <w:tcW w:w="0" w:type="auto"/>
            <w:gridSpan w:val="3"/>
            <w:shd w:val="clear" w:color="auto" w:fill="auto"/>
            <w:vAlign w:val="bottom"/>
          </w:tcPr>
          <w:p w14:paraId="5F2D2ACB" w14:textId="77777777" w:rsidR="00E836FB" w:rsidRDefault="00E836FB">
            <w:pPr>
              <w:rPr>
                <w:rFonts w:ascii="宋体"/>
                <w:vanish/>
              </w:rPr>
            </w:pPr>
          </w:p>
        </w:tc>
        <w:tc>
          <w:tcPr>
            <w:tcW w:w="0" w:type="auto"/>
            <w:gridSpan w:val="3"/>
            <w:shd w:val="clear" w:color="auto" w:fill="auto"/>
            <w:vAlign w:val="bottom"/>
          </w:tcPr>
          <w:p w14:paraId="5F2D2ACC" w14:textId="77777777" w:rsidR="00E836FB" w:rsidRDefault="00E836FB">
            <w:pPr>
              <w:rPr>
                <w:rFonts w:ascii="宋体"/>
                <w:vanish/>
              </w:rPr>
            </w:pPr>
          </w:p>
        </w:tc>
        <w:tc>
          <w:tcPr>
            <w:tcW w:w="0" w:type="auto"/>
            <w:gridSpan w:val="3"/>
            <w:shd w:val="clear" w:color="auto" w:fill="auto"/>
            <w:vAlign w:val="bottom"/>
          </w:tcPr>
          <w:p w14:paraId="5F2D2ACD" w14:textId="77777777" w:rsidR="00E836FB" w:rsidRDefault="00E836FB">
            <w:pPr>
              <w:rPr>
                <w:rFonts w:ascii="宋体"/>
                <w:vanish/>
              </w:rPr>
            </w:pPr>
          </w:p>
        </w:tc>
        <w:tc>
          <w:tcPr>
            <w:tcW w:w="0" w:type="auto"/>
            <w:gridSpan w:val="3"/>
            <w:shd w:val="clear" w:color="auto" w:fill="auto"/>
            <w:vAlign w:val="bottom"/>
          </w:tcPr>
          <w:p w14:paraId="5F2D2ACE" w14:textId="77777777" w:rsidR="00E836FB" w:rsidRDefault="00E836FB">
            <w:pPr>
              <w:rPr>
                <w:rFonts w:ascii="宋体"/>
                <w:vanish/>
              </w:rPr>
            </w:pPr>
          </w:p>
        </w:tc>
        <w:tc>
          <w:tcPr>
            <w:tcW w:w="0" w:type="auto"/>
            <w:gridSpan w:val="3"/>
            <w:shd w:val="clear" w:color="auto" w:fill="auto"/>
            <w:vAlign w:val="bottom"/>
          </w:tcPr>
          <w:p w14:paraId="5F2D2ACF" w14:textId="77777777" w:rsidR="00E836FB" w:rsidRDefault="00E836FB">
            <w:pPr>
              <w:rPr>
                <w:rFonts w:ascii="宋体"/>
                <w:vanish/>
              </w:rPr>
            </w:pPr>
          </w:p>
        </w:tc>
        <w:tc>
          <w:tcPr>
            <w:tcW w:w="0" w:type="auto"/>
            <w:gridSpan w:val="3"/>
            <w:shd w:val="clear" w:color="auto" w:fill="auto"/>
            <w:vAlign w:val="bottom"/>
          </w:tcPr>
          <w:p w14:paraId="5F2D2AD0" w14:textId="77777777" w:rsidR="00E836FB" w:rsidRDefault="00E836FB">
            <w:pPr>
              <w:rPr>
                <w:rFonts w:ascii="宋体"/>
                <w:vanish/>
              </w:rPr>
            </w:pPr>
          </w:p>
        </w:tc>
        <w:tc>
          <w:tcPr>
            <w:tcW w:w="0" w:type="auto"/>
            <w:gridSpan w:val="3"/>
            <w:shd w:val="clear" w:color="auto" w:fill="auto"/>
            <w:vAlign w:val="bottom"/>
          </w:tcPr>
          <w:p w14:paraId="5F2D2AD1" w14:textId="77777777" w:rsidR="00E836FB" w:rsidRDefault="00E836FB">
            <w:pPr>
              <w:rPr>
                <w:rFonts w:ascii="宋体"/>
                <w:vanish/>
              </w:rPr>
            </w:pPr>
          </w:p>
        </w:tc>
        <w:tc>
          <w:tcPr>
            <w:tcW w:w="0" w:type="auto"/>
            <w:gridSpan w:val="3"/>
            <w:shd w:val="clear" w:color="auto" w:fill="auto"/>
            <w:vAlign w:val="bottom"/>
          </w:tcPr>
          <w:p w14:paraId="5F2D2AD2" w14:textId="77777777" w:rsidR="00E836FB" w:rsidRDefault="00E836FB">
            <w:pPr>
              <w:rPr>
                <w:rFonts w:ascii="宋体"/>
                <w:vanish/>
              </w:rPr>
            </w:pPr>
          </w:p>
        </w:tc>
        <w:tc>
          <w:tcPr>
            <w:tcW w:w="0" w:type="auto"/>
            <w:gridSpan w:val="3"/>
            <w:shd w:val="clear" w:color="auto" w:fill="auto"/>
            <w:vAlign w:val="bottom"/>
          </w:tcPr>
          <w:p w14:paraId="5F2D2AD3" w14:textId="77777777" w:rsidR="00E836FB" w:rsidRDefault="00E836FB">
            <w:pPr>
              <w:rPr>
                <w:rFonts w:ascii="宋体"/>
                <w:vanish/>
              </w:rPr>
            </w:pPr>
          </w:p>
        </w:tc>
        <w:tc>
          <w:tcPr>
            <w:tcW w:w="0" w:type="auto"/>
            <w:gridSpan w:val="3"/>
            <w:shd w:val="clear" w:color="auto" w:fill="auto"/>
            <w:vAlign w:val="bottom"/>
          </w:tcPr>
          <w:p w14:paraId="5F2D2AD4" w14:textId="77777777" w:rsidR="00E836FB" w:rsidRDefault="00E836FB">
            <w:pPr>
              <w:rPr>
                <w:rFonts w:ascii="宋体"/>
                <w:vanish/>
              </w:rPr>
            </w:pPr>
          </w:p>
        </w:tc>
        <w:tc>
          <w:tcPr>
            <w:tcW w:w="0" w:type="auto"/>
            <w:gridSpan w:val="3"/>
            <w:shd w:val="clear" w:color="auto" w:fill="auto"/>
            <w:vAlign w:val="bottom"/>
          </w:tcPr>
          <w:p w14:paraId="5F2D2AD5" w14:textId="77777777" w:rsidR="00E836FB" w:rsidRDefault="00E836FB">
            <w:pPr>
              <w:rPr>
                <w:rFonts w:ascii="宋体"/>
                <w:vanish/>
              </w:rPr>
            </w:pPr>
          </w:p>
        </w:tc>
        <w:tc>
          <w:tcPr>
            <w:tcW w:w="0" w:type="auto"/>
            <w:gridSpan w:val="3"/>
            <w:shd w:val="clear" w:color="auto" w:fill="auto"/>
            <w:vAlign w:val="bottom"/>
          </w:tcPr>
          <w:p w14:paraId="5F2D2AD6" w14:textId="77777777" w:rsidR="00E836FB" w:rsidRDefault="00E836FB">
            <w:pPr>
              <w:rPr>
                <w:rFonts w:ascii="宋体"/>
                <w:vanish/>
              </w:rPr>
            </w:pPr>
          </w:p>
        </w:tc>
        <w:tc>
          <w:tcPr>
            <w:tcW w:w="0" w:type="auto"/>
            <w:gridSpan w:val="3"/>
            <w:shd w:val="clear" w:color="auto" w:fill="auto"/>
            <w:vAlign w:val="bottom"/>
          </w:tcPr>
          <w:p w14:paraId="5F2D2AD7" w14:textId="77777777" w:rsidR="00E836FB" w:rsidRDefault="00E836FB">
            <w:pPr>
              <w:rPr>
                <w:rFonts w:ascii="宋体"/>
                <w:vanish/>
              </w:rPr>
            </w:pPr>
          </w:p>
        </w:tc>
      </w:tr>
      <w:tr w:rsidR="00E836FB" w14:paraId="5F2D2AEB" w14:textId="77777777">
        <w:trPr>
          <w:hidden/>
        </w:trPr>
        <w:tc>
          <w:tcPr>
            <w:tcW w:w="0" w:type="auto"/>
            <w:gridSpan w:val="3"/>
            <w:shd w:val="clear" w:color="auto" w:fill="auto"/>
            <w:vAlign w:val="bottom"/>
          </w:tcPr>
          <w:p w14:paraId="5F2D2AD9" w14:textId="77777777" w:rsidR="00E836FB" w:rsidRDefault="00E836FB">
            <w:pPr>
              <w:rPr>
                <w:rFonts w:ascii="宋体"/>
                <w:vanish/>
              </w:rPr>
            </w:pPr>
          </w:p>
        </w:tc>
        <w:tc>
          <w:tcPr>
            <w:tcW w:w="0" w:type="auto"/>
            <w:gridSpan w:val="3"/>
            <w:shd w:val="clear" w:color="auto" w:fill="auto"/>
            <w:vAlign w:val="bottom"/>
          </w:tcPr>
          <w:p w14:paraId="5F2D2ADA" w14:textId="77777777" w:rsidR="00E836FB" w:rsidRDefault="00E836FB">
            <w:pPr>
              <w:rPr>
                <w:rFonts w:ascii="宋体"/>
                <w:vanish/>
              </w:rPr>
            </w:pPr>
          </w:p>
        </w:tc>
        <w:tc>
          <w:tcPr>
            <w:tcW w:w="0" w:type="auto"/>
            <w:gridSpan w:val="3"/>
            <w:shd w:val="clear" w:color="auto" w:fill="auto"/>
            <w:vAlign w:val="bottom"/>
          </w:tcPr>
          <w:p w14:paraId="5F2D2ADB" w14:textId="77777777" w:rsidR="00E836FB" w:rsidRDefault="00E836FB">
            <w:pPr>
              <w:rPr>
                <w:rFonts w:ascii="宋体"/>
                <w:vanish/>
              </w:rPr>
            </w:pPr>
          </w:p>
        </w:tc>
        <w:tc>
          <w:tcPr>
            <w:tcW w:w="0" w:type="auto"/>
            <w:gridSpan w:val="3"/>
            <w:shd w:val="clear" w:color="auto" w:fill="auto"/>
            <w:vAlign w:val="bottom"/>
          </w:tcPr>
          <w:p w14:paraId="5F2D2ADC" w14:textId="77777777" w:rsidR="00E836FB" w:rsidRDefault="00E836FB">
            <w:pPr>
              <w:rPr>
                <w:rFonts w:ascii="宋体"/>
                <w:vanish/>
              </w:rPr>
            </w:pPr>
          </w:p>
        </w:tc>
        <w:tc>
          <w:tcPr>
            <w:tcW w:w="0" w:type="auto"/>
            <w:gridSpan w:val="3"/>
            <w:shd w:val="clear" w:color="auto" w:fill="auto"/>
            <w:vAlign w:val="bottom"/>
          </w:tcPr>
          <w:p w14:paraId="5F2D2ADD" w14:textId="77777777" w:rsidR="00E836FB" w:rsidRDefault="00E836FB">
            <w:pPr>
              <w:rPr>
                <w:rFonts w:ascii="宋体"/>
                <w:vanish/>
              </w:rPr>
            </w:pPr>
          </w:p>
        </w:tc>
        <w:tc>
          <w:tcPr>
            <w:tcW w:w="0" w:type="auto"/>
            <w:gridSpan w:val="3"/>
            <w:shd w:val="clear" w:color="auto" w:fill="auto"/>
            <w:vAlign w:val="bottom"/>
          </w:tcPr>
          <w:p w14:paraId="5F2D2ADE" w14:textId="77777777" w:rsidR="00E836FB" w:rsidRDefault="00E836FB">
            <w:pPr>
              <w:rPr>
                <w:rFonts w:ascii="宋体"/>
                <w:vanish/>
              </w:rPr>
            </w:pPr>
          </w:p>
        </w:tc>
        <w:tc>
          <w:tcPr>
            <w:tcW w:w="0" w:type="auto"/>
            <w:gridSpan w:val="3"/>
            <w:shd w:val="clear" w:color="auto" w:fill="auto"/>
            <w:vAlign w:val="bottom"/>
          </w:tcPr>
          <w:p w14:paraId="5F2D2ADF" w14:textId="77777777" w:rsidR="00E836FB" w:rsidRDefault="00E836FB">
            <w:pPr>
              <w:rPr>
                <w:rFonts w:ascii="宋体"/>
                <w:vanish/>
              </w:rPr>
            </w:pPr>
          </w:p>
        </w:tc>
        <w:tc>
          <w:tcPr>
            <w:tcW w:w="0" w:type="auto"/>
            <w:gridSpan w:val="3"/>
            <w:shd w:val="clear" w:color="auto" w:fill="auto"/>
            <w:vAlign w:val="bottom"/>
          </w:tcPr>
          <w:p w14:paraId="5F2D2AE0" w14:textId="77777777" w:rsidR="00E836FB" w:rsidRDefault="00E836FB">
            <w:pPr>
              <w:rPr>
                <w:rFonts w:ascii="宋体"/>
                <w:vanish/>
              </w:rPr>
            </w:pPr>
          </w:p>
        </w:tc>
        <w:tc>
          <w:tcPr>
            <w:tcW w:w="0" w:type="auto"/>
            <w:gridSpan w:val="3"/>
            <w:shd w:val="clear" w:color="auto" w:fill="auto"/>
            <w:vAlign w:val="bottom"/>
          </w:tcPr>
          <w:p w14:paraId="5F2D2AE1" w14:textId="77777777" w:rsidR="00E836FB" w:rsidRDefault="00E836FB">
            <w:pPr>
              <w:rPr>
                <w:rFonts w:ascii="宋体"/>
                <w:vanish/>
              </w:rPr>
            </w:pPr>
          </w:p>
        </w:tc>
        <w:tc>
          <w:tcPr>
            <w:tcW w:w="0" w:type="auto"/>
            <w:gridSpan w:val="3"/>
            <w:shd w:val="clear" w:color="auto" w:fill="auto"/>
            <w:vAlign w:val="bottom"/>
          </w:tcPr>
          <w:p w14:paraId="5F2D2AE2" w14:textId="77777777" w:rsidR="00E836FB" w:rsidRDefault="00E836FB">
            <w:pPr>
              <w:rPr>
                <w:rFonts w:ascii="宋体"/>
                <w:vanish/>
              </w:rPr>
            </w:pPr>
          </w:p>
        </w:tc>
        <w:tc>
          <w:tcPr>
            <w:tcW w:w="0" w:type="auto"/>
            <w:gridSpan w:val="3"/>
            <w:shd w:val="clear" w:color="auto" w:fill="auto"/>
            <w:vAlign w:val="bottom"/>
          </w:tcPr>
          <w:p w14:paraId="5F2D2AE3" w14:textId="77777777" w:rsidR="00E836FB" w:rsidRDefault="00E836FB">
            <w:pPr>
              <w:rPr>
                <w:rFonts w:ascii="宋体"/>
                <w:vanish/>
              </w:rPr>
            </w:pPr>
          </w:p>
        </w:tc>
        <w:tc>
          <w:tcPr>
            <w:tcW w:w="0" w:type="auto"/>
            <w:gridSpan w:val="3"/>
            <w:shd w:val="clear" w:color="auto" w:fill="auto"/>
            <w:vAlign w:val="bottom"/>
          </w:tcPr>
          <w:p w14:paraId="5F2D2AE4" w14:textId="77777777" w:rsidR="00E836FB" w:rsidRDefault="00E836FB">
            <w:pPr>
              <w:rPr>
                <w:rFonts w:ascii="宋体"/>
                <w:vanish/>
              </w:rPr>
            </w:pPr>
          </w:p>
        </w:tc>
        <w:tc>
          <w:tcPr>
            <w:tcW w:w="0" w:type="auto"/>
            <w:gridSpan w:val="3"/>
            <w:shd w:val="clear" w:color="auto" w:fill="auto"/>
            <w:vAlign w:val="bottom"/>
          </w:tcPr>
          <w:p w14:paraId="5F2D2AE5" w14:textId="77777777" w:rsidR="00E836FB" w:rsidRDefault="00E836FB">
            <w:pPr>
              <w:rPr>
                <w:rFonts w:ascii="宋体"/>
                <w:vanish/>
              </w:rPr>
            </w:pPr>
          </w:p>
        </w:tc>
        <w:tc>
          <w:tcPr>
            <w:tcW w:w="0" w:type="auto"/>
            <w:gridSpan w:val="3"/>
            <w:shd w:val="clear" w:color="auto" w:fill="auto"/>
            <w:vAlign w:val="bottom"/>
          </w:tcPr>
          <w:p w14:paraId="5F2D2AE6" w14:textId="77777777" w:rsidR="00E836FB" w:rsidRDefault="00E836FB">
            <w:pPr>
              <w:rPr>
                <w:rFonts w:ascii="宋体"/>
                <w:vanish/>
              </w:rPr>
            </w:pPr>
          </w:p>
        </w:tc>
        <w:tc>
          <w:tcPr>
            <w:tcW w:w="0" w:type="auto"/>
            <w:gridSpan w:val="3"/>
            <w:shd w:val="clear" w:color="auto" w:fill="auto"/>
            <w:vAlign w:val="bottom"/>
          </w:tcPr>
          <w:p w14:paraId="5F2D2AE7" w14:textId="77777777" w:rsidR="00E836FB" w:rsidRDefault="00E836FB">
            <w:pPr>
              <w:rPr>
                <w:rFonts w:ascii="宋体"/>
                <w:vanish/>
              </w:rPr>
            </w:pPr>
          </w:p>
        </w:tc>
        <w:tc>
          <w:tcPr>
            <w:tcW w:w="0" w:type="auto"/>
            <w:gridSpan w:val="3"/>
            <w:shd w:val="clear" w:color="auto" w:fill="auto"/>
            <w:vAlign w:val="bottom"/>
          </w:tcPr>
          <w:p w14:paraId="5F2D2AE8" w14:textId="77777777" w:rsidR="00E836FB" w:rsidRDefault="00E836FB">
            <w:pPr>
              <w:rPr>
                <w:rFonts w:ascii="宋体"/>
                <w:vanish/>
              </w:rPr>
            </w:pPr>
          </w:p>
        </w:tc>
        <w:tc>
          <w:tcPr>
            <w:tcW w:w="0" w:type="auto"/>
            <w:gridSpan w:val="3"/>
            <w:shd w:val="clear" w:color="auto" w:fill="auto"/>
            <w:vAlign w:val="bottom"/>
          </w:tcPr>
          <w:p w14:paraId="5F2D2AE9" w14:textId="77777777" w:rsidR="00E836FB" w:rsidRDefault="00E836FB">
            <w:pPr>
              <w:rPr>
                <w:rFonts w:ascii="宋体"/>
                <w:vanish/>
              </w:rPr>
            </w:pPr>
          </w:p>
        </w:tc>
        <w:tc>
          <w:tcPr>
            <w:tcW w:w="0" w:type="auto"/>
            <w:gridSpan w:val="3"/>
            <w:shd w:val="clear" w:color="auto" w:fill="auto"/>
            <w:vAlign w:val="bottom"/>
          </w:tcPr>
          <w:p w14:paraId="5F2D2AEA" w14:textId="77777777" w:rsidR="00E836FB" w:rsidRDefault="00E836FB">
            <w:pPr>
              <w:rPr>
                <w:rFonts w:ascii="宋体"/>
                <w:vanish/>
              </w:rPr>
            </w:pPr>
          </w:p>
        </w:tc>
      </w:tr>
      <w:tr w:rsidR="00E836FB" w14:paraId="5F2D2AFE" w14:textId="77777777">
        <w:trPr>
          <w:hidden/>
        </w:trPr>
        <w:tc>
          <w:tcPr>
            <w:tcW w:w="0" w:type="auto"/>
            <w:gridSpan w:val="3"/>
            <w:shd w:val="clear" w:color="auto" w:fill="auto"/>
            <w:vAlign w:val="bottom"/>
          </w:tcPr>
          <w:p w14:paraId="5F2D2AEC" w14:textId="77777777" w:rsidR="00E836FB" w:rsidRDefault="00E836FB">
            <w:pPr>
              <w:rPr>
                <w:rFonts w:ascii="宋体"/>
                <w:vanish/>
              </w:rPr>
            </w:pPr>
          </w:p>
        </w:tc>
        <w:tc>
          <w:tcPr>
            <w:tcW w:w="0" w:type="auto"/>
            <w:gridSpan w:val="3"/>
            <w:shd w:val="clear" w:color="auto" w:fill="auto"/>
            <w:vAlign w:val="bottom"/>
          </w:tcPr>
          <w:p w14:paraId="5F2D2AED" w14:textId="77777777" w:rsidR="00E836FB" w:rsidRDefault="00E836FB">
            <w:pPr>
              <w:rPr>
                <w:rFonts w:ascii="宋体"/>
                <w:vanish/>
              </w:rPr>
            </w:pPr>
          </w:p>
        </w:tc>
        <w:tc>
          <w:tcPr>
            <w:tcW w:w="0" w:type="auto"/>
            <w:gridSpan w:val="3"/>
            <w:shd w:val="clear" w:color="auto" w:fill="auto"/>
            <w:vAlign w:val="bottom"/>
          </w:tcPr>
          <w:p w14:paraId="5F2D2AEE" w14:textId="77777777" w:rsidR="00E836FB" w:rsidRDefault="00E836FB">
            <w:pPr>
              <w:rPr>
                <w:rFonts w:ascii="宋体"/>
                <w:vanish/>
              </w:rPr>
            </w:pPr>
          </w:p>
        </w:tc>
        <w:tc>
          <w:tcPr>
            <w:tcW w:w="0" w:type="auto"/>
            <w:gridSpan w:val="3"/>
            <w:shd w:val="clear" w:color="auto" w:fill="auto"/>
            <w:vAlign w:val="bottom"/>
          </w:tcPr>
          <w:p w14:paraId="5F2D2AEF" w14:textId="77777777" w:rsidR="00E836FB" w:rsidRDefault="00E836FB">
            <w:pPr>
              <w:rPr>
                <w:rFonts w:ascii="宋体"/>
                <w:vanish/>
              </w:rPr>
            </w:pPr>
          </w:p>
        </w:tc>
        <w:tc>
          <w:tcPr>
            <w:tcW w:w="0" w:type="auto"/>
            <w:gridSpan w:val="3"/>
            <w:shd w:val="clear" w:color="auto" w:fill="auto"/>
            <w:vAlign w:val="bottom"/>
          </w:tcPr>
          <w:p w14:paraId="5F2D2AF0" w14:textId="77777777" w:rsidR="00E836FB" w:rsidRDefault="00E836FB">
            <w:pPr>
              <w:rPr>
                <w:rFonts w:ascii="宋体"/>
                <w:vanish/>
              </w:rPr>
            </w:pPr>
          </w:p>
        </w:tc>
        <w:tc>
          <w:tcPr>
            <w:tcW w:w="0" w:type="auto"/>
            <w:gridSpan w:val="3"/>
            <w:shd w:val="clear" w:color="auto" w:fill="auto"/>
            <w:vAlign w:val="bottom"/>
          </w:tcPr>
          <w:p w14:paraId="5F2D2AF1" w14:textId="77777777" w:rsidR="00E836FB" w:rsidRDefault="00E836FB">
            <w:pPr>
              <w:rPr>
                <w:rFonts w:ascii="宋体"/>
                <w:vanish/>
              </w:rPr>
            </w:pPr>
          </w:p>
        </w:tc>
        <w:tc>
          <w:tcPr>
            <w:tcW w:w="0" w:type="auto"/>
            <w:gridSpan w:val="3"/>
            <w:shd w:val="clear" w:color="auto" w:fill="auto"/>
            <w:vAlign w:val="bottom"/>
          </w:tcPr>
          <w:p w14:paraId="5F2D2AF2" w14:textId="77777777" w:rsidR="00E836FB" w:rsidRDefault="00E836FB">
            <w:pPr>
              <w:rPr>
                <w:rFonts w:ascii="宋体"/>
                <w:vanish/>
              </w:rPr>
            </w:pPr>
          </w:p>
        </w:tc>
        <w:tc>
          <w:tcPr>
            <w:tcW w:w="0" w:type="auto"/>
            <w:gridSpan w:val="3"/>
            <w:shd w:val="clear" w:color="auto" w:fill="auto"/>
            <w:vAlign w:val="bottom"/>
          </w:tcPr>
          <w:p w14:paraId="5F2D2AF3" w14:textId="77777777" w:rsidR="00E836FB" w:rsidRDefault="00E836FB">
            <w:pPr>
              <w:rPr>
                <w:rFonts w:ascii="宋体"/>
                <w:vanish/>
              </w:rPr>
            </w:pPr>
          </w:p>
        </w:tc>
        <w:tc>
          <w:tcPr>
            <w:tcW w:w="0" w:type="auto"/>
            <w:gridSpan w:val="3"/>
            <w:shd w:val="clear" w:color="auto" w:fill="auto"/>
            <w:vAlign w:val="bottom"/>
          </w:tcPr>
          <w:p w14:paraId="5F2D2AF4" w14:textId="77777777" w:rsidR="00E836FB" w:rsidRDefault="00E836FB">
            <w:pPr>
              <w:rPr>
                <w:rFonts w:ascii="宋体"/>
                <w:vanish/>
              </w:rPr>
            </w:pPr>
          </w:p>
        </w:tc>
        <w:tc>
          <w:tcPr>
            <w:tcW w:w="0" w:type="auto"/>
            <w:gridSpan w:val="3"/>
            <w:shd w:val="clear" w:color="auto" w:fill="auto"/>
            <w:vAlign w:val="bottom"/>
          </w:tcPr>
          <w:p w14:paraId="5F2D2AF5" w14:textId="77777777" w:rsidR="00E836FB" w:rsidRDefault="00E836FB">
            <w:pPr>
              <w:rPr>
                <w:rFonts w:ascii="宋体"/>
                <w:vanish/>
              </w:rPr>
            </w:pPr>
          </w:p>
        </w:tc>
        <w:tc>
          <w:tcPr>
            <w:tcW w:w="0" w:type="auto"/>
            <w:gridSpan w:val="3"/>
            <w:shd w:val="clear" w:color="auto" w:fill="auto"/>
            <w:vAlign w:val="bottom"/>
          </w:tcPr>
          <w:p w14:paraId="5F2D2AF6" w14:textId="77777777" w:rsidR="00E836FB" w:rsidRDefault="00E836FB">
            <w:pPr>
              <w:rPr>
                <w:rFonts w:ascii="宋体"/>
                <w:vanish/>
              </w:rPr>
            </w:pPr>
          </w:p>
        </w:tc>
        <w:tc>
          <w:tcPr>
            <w:tcW w:w="0" w:type="auto"/>
            <w:gridSpan w:val="3"/>
            <w:shd w:val="clear" w:color="auto" w:fill="auto"/>
            <w:vAlign w:val="bottom"/>
          </w:tcPr>
          <w:p w14:paraId="5F2D2AF7" w14:textId="77777777" w:rsidR="00E836FB" w:rsidRDefault="00E836FB">
            <w:pPr>
              <w:rPr>
                <w:rFonts w:ascii="宋体"/>
                <w:vanish/>
              </w:rPr>
            </w:pPr>
          </w:p>
        </w:tc>
        <w:tc>
          <w:tcPr>
            <w:tcW w:w="0" w:type="auto"/>
            <w:gridSpan w:val="3"/>
            <w:shd w:val="clear" w:color="auto" w:fill="auto"/>
            <w:vAlign w:val="bottom"/>
          </w:tcPr>
          <w:p w14:paraId="5F2D2AF8" w14:textId="77777777" w:rsidR="00E836FB" w:rsidRDefault="00E836FB">
            <w:pPr>
              <w:rPr>
                <w:rFonts w:ascii="宋体"/>
                <w:vanish/>
              </w:rPr>
            </w:pPr>
          </w:p>
        </w:tc>
        <w:tc>
          <w:tcPr>
            <w:tcW w:w="0" w:type="auto"/>
            <w:gridSpan w:val="3"/>
            <w:shd w:val="clear" w:color="auto" w:fill="auto"/>
            <w:vAlign w:val="bottom"/>
          </w:tcPr>
          <w:p w14:paraId="5F2D2AF9" w14:textId="77777777" w:rsidR="00E836FB" w:rsidRDefault="00E836FB">
            <w:pPr>
              <w:rPr>
                <w:rFonts w:ascii="宋体"/>
                <w:vanish/>
              </w:rPr>
            </w:pPr>
          </w:p>
        </w:tc>
        <w:tc>
          <w:tcPr>
            <w:tcW w:w="0" w:type="auto"/>
            <w:gridSpan w:val="3"/>
            <w:shd w:val="clear" w:color="auto" w:fill="auto"/>
            <w:vAlign w:val="bottom"/>
          </w:tcPr>
          <w:p w14:paraId="5F2D2AFA" w14:textId="77777777" w:rsidR="00E836FB" w:rsidRDefault="00E836FB">
            <w:pPr>
              <w:rPr>
                <w:rFonts w:ascii="宋体"/>
                <w:vanish/>
              </w:rPr>
            </w:pPr>
          </w:p>
        </w:tc>
        <w:tc>
          <w:tcPr>
            <w:tcW w:w="0" w:type="auto"/>
            <w:gridSpan w:val="3"/>
            <w:shd w:val="clear" w:color="auto" w:fill="auto"/>
            <w:vAlign w:val="bottom"/>
          </w:tcPr>
          <w:p w14:paraId="5F2D2AFB" w14:textId="77777777" w:rsidR="00E836FB" w:rsidRDefault="00E836FB">
            <w:pPr>
              <w:rPr>
                <w:rFonts w:ascii="宋体"/>
                <w:vanish/>
              </w:rPr>
            </w:pPr>
          </w:p>
        </w:tc>
        <w:tc>
          <w:tcPr>
            <w:tcW w:w="0" w:type="auto"/>
            <w:gridSpan w:val="3"/>
            <w:shd w:val="clear" w:color="auto" w:fill="auto"/>
            <w:vAlign w:val="bottom"/>
          </w:tcPr>
          <w:p w14:paraId="5F2D2AFC" w14:textId="77777777" w:rsidR="00E836FB" w:rsidRDefault="00E836FB">
            <w:pPr>
              <w:rPr>
                <w:rFonts w:ascii="宋体"/>
                <w:vanish/>
              </w:rPr>
            </w:pPr>
          </w:p>
        </w:tc>
        <w:tc>
          <w:tcPr>
            <w:tcW w:w="0" w:type="auto"/>
            <w:gridSpan w:val="3"/>
            <w:shd w:val="clear" w:color="auto" w:fill="auto"/>
            <w:vAlign w:val="bottom"/>
          </w:tcPr>
          <w:p w14:paraId="5F2D2AFD" w14:textId="77777777" w:rsidR="00E836FB" w:rsidRDefault="00E836FB">
            <w:pPr>
              <w:rPr>
                <w:rFonts w:ascii="宋体"/>
                <w:vanish/>
              </w:rPr>
            </w:pPr>
          </w:p>
        </w:tc>
      </w:tr>
      <w:tr w:rsidR="00E836FB" w14:paraId="5F2D2B11" w14:textId="77777777">
        <w:trPr>
          <w:hidden/>
        </w:trPr>
        <w:tc>
          <w:tcPr>
            <w:tcW w:w="0" w:type="auto"/>
            <w:gridSpan w:val="3"/>
            <w:shd w:val="clear" w:color="auto" w:fill="auto"/>
            <w:vAlign w:val="bottom"/>
          </w:tcPr>
          <w:p w14:paraId="5F2D2AFF" w14:textId="77777777" w:rsidR="00E836FB" w:rsidRDefault="00E836FB">
            <w:pPr>
              <w:rPr>
                <w:rFonts w:ascii="宋体"/>
                <w:vanish/>
              </w:rPr>
            </w:pPr>
          </w:p>
        </w:tc>
        <w:tc>
          <w:tcPr>
            <w:tcW w:w="0" w:type="auto"/>
            <w:gridSpan w:val="3"/>
            <w:shd w:val="clear" w:color="auto" w:fill="auto"/>
            <w:vAlign w:val="bottom"/>
          </w:tcPr>
          <w:p w14:paraId="5F2D2B00" w14:textId="77777777" w:rsidR="00E836FB" w:rsidRDefault="00E836FB">
            <w:pPr>
              <w:rPr>
                <w:rFonts w:ascii="宋体"/>
                <w:vanish/>
              </w:rPr>
            </w:pPr>
          </w:p>
        </w:tc>
        <w:tc>
          <w:tcPr>
            <w:tcW w:w="0" w:type="auto"/>
            <w:gridSpan w:val="3"/>
            <w:shd w:val="clear" w:color="auto" w:fill="auto"/>
            <w:vAlign w:val="bottom"/>
          </w:tcPr>
          <w:p w14:paraId="5F2D2B01" w14:textId="77777777" w:rsidR="00E836FB" w:rsidRDefault="00E836FB">
            <w:pPr>
              <w:rPr>
                <w:rFonts w:ascii="宋体"/>
                <w:vanish/>
              </w:rPr>
            </w:pPr>
          </w:p>
        </w:tc>
        <w:tc>
          <w:tcPr>
            <w:tcW w:w="0" w:type="auto"/>
            <w:gridSpan w:val="3"/>
            <w:shd w:val="clear" w:color="auto" w:fill="auto"/>
            <w:vAlign w:val="bottom"/>
          </w:tcPr>
          <w:p w14:paraId="5F2D2B02" w14:textId="77777777" w:rsidR="00E836FB" w:rsidRDefault="00E836FB">
            <w:pPr>
              <w:rPr>
                <w:rFonts w:ascii="宋体"/>
                <w:vanish/>
              </w:rPr>
            </w:pPr>
          </w:p>
        </w:tc>
        <w:tc>
          <w:tcPr>
            <w:tcW w:w="0" w:type="auto"/>
            <w:gridSpan w:val="3"/>
            <w:shd w:val="clear" w:color="auto" w:fill="auto"/>
            <w:vAlign w:val="bottom"/>
          </w:tcPr>
          <w:p w14:paraId="5F2D2B03" w14:textId="77777777" w:rsidR="00E836FB" w:rsidRDefault="00E836FB">
            <w:pPr>
              <w:rPr>
                <w:rFonts w:ascii="宋体"/>
                <w:vanish/>
              </w:rPr>
            </w:pPr>
          </w:p>
        </w:tc>
        <w:tc>
          <w:tcPr>
            <w:tcW w:w="0" w:type="auto"/>
            <w:gridSpan w:val="3"/>
            <w:shd w:val="clear" w:color="auto" w:fill="auto"/>
            <w:vAlign w:val="bottom"/>
          </w:tcPr>
          <w:p w14:paraId="5F2D2B04" w14:textId="77777777" w:rsidR="00E836FB" w:rsidRDefault="00E836FB">
            <w:pPr>
              <w:rPr>
                <w:rFonts w:ascii="宋体"/>
                <w:vanish/>
              </w:rPr>
            </w:pPr>
          </w:p>
        </w:tc>
        <w:tc>
          <w:tcPr>
            <w:tcW w:w="0" w:type="auto"/>
            <w:gridSpan w:val="3"/>
            <w:shd w:val="clear" w:color="auto" w:fill="auto"/>
            <w:vAlign w:val="bottom"/>
          </w:tcPr>
          <w:p w14:paraId="5F2D2B05" w14:textId="77777777" w:rsidR="00E836FB" w:rsidRDefault="00E836FB">
            <w:pPr>
              <w:rPr>
                <w:rFonts w:ascii="宋体"/>
                <w:vanish/>
              </w:rPr>
            </w:pPr>
          </w:p>
        </w:tc>
        <w:tc>
          <w:tcPr>
            <w:tcW w:w="0" w:type="auto"/>
            <w:gridSpan w:val="3"/>
            <w:shd w:val="clear" w:color="auto" w:fill="auto"/>
            <w:vAlign w:val="bottom"/>
          </w:tcPr>
          <w:p w14:paraId="5F2D2B06" w14:textId="77777777" w:rsidR="00E836FB" w:rsidRDefault="00E836FB">
            <w:pPr>
              <w:rPr>
                <w:rFonts w:ascii="宋体"/>
                <w:vanish/>
              </w:rPr>
            </w:pPr>
          </w:p>
        </w:tc>
        <w:tc>
          <w:tcPr>
            <w:tcW w:w="0" w:type="auto"/>
            <w:gridSpan w:val="3"/>
            <w:shd w:val="clear" w:color="auto" w:fill="auto"/>
            <w:vAlign w:val="bottom"/>
          </w:tcPr>
          <w:p w14:paraId="5F2D2B07" w14:textId="77777777" w:rsidR="00E836FB" w:rsidRDefault="00E836FB">
            <w:pPr>
              <w:rPr>
                <w:rFonts w:ascii="宋体"/>
                <w:vanish/>
              </w:rPr>
            </w:pPr>
          </w:p>
        </w:tc>
        <w:tc>
          <w:tcPr>
            <w:tcW w:w="0" w:type="auto"/>
            <w:gridSpan w:val="3"/>
            <w:shd w:val="clear" w:color="auto" w:fill="auto"/>
            <w:vAlign w:val="bottom"/>
          </w:tcPr>
          <w:p w14:paraId="5F2D2B08" w14:textId="77777777" w:rsidR="00E836FB" w:rsidRDefault="00E836FB">
            <w:pPr>
              <w:rPr>
                <w:rFonts w:ascii="宋体"/>
                <w:vanish/>
              </w:rPr>
            </w:pPr>
          </w:p>
        </w:tc>
        <w:tc>
          <w:tcPr>
            <w:tcW w:w="0" w:type="auto"/>
            <w:gridSpan w:val="3"/>
            <w:shd w:val="clear" w:color="auto" w:fill="auto"/>
            <w:vAlign w:val="bottom"/>
          </w:tcPr>
          <w:p w14:paraId="5F2D2B09" w14:textId="77777777" w:rsidR="00E836FB" w:rsidRDefault="00E836FB">
            <w:pPr>
              <w:rPr>
                <w:rFonts w:ascii="宋体"/>
                <w:vanish/>
              </w:rPr>
            </w:pPr>
          </w:p>
        </w:tc>
        <w:tc>
          <w:tcPr>
            <w:tcW w:w="0" w:type="auto"/>
            <w:gridSpan w:val="3"/>
            <w:shd w:val="clear" w:color="auto" w:fill="auto"/>
            <w:vAlign w:val="bottom"/>
          </w:tcPr>
          <w:p w14:paraId="5F2D2B0A" w14:textId="77777777" w:rsidR="00E836FB" w:rsidRDefault="00E836FB">
            <w:pPr>
              <w:rPr>
                <w:rFonts w:ascii="宋体"/>
                <w:vanish/>
              </w:rPr>
            </w:pPr>
          </w:p>
        </w:tc>
        <w:tc>
          <w:tcPr>
            <w:tcW w:w="0" w:type="auto"/>
            <w:gridSpan w:val="3"/>
            <w:shd w:val="clear" w:color="auto" w:fill="auto"/>
            <w:vAlign w:val="bottom"/>
          </w:tcPr>
          <w:p w14:paraId="5F2D2B0B" w14:textId="77777777" w:rsidR="00E836FB" w:rsidRDefault="00E836FB">
            <w:pPr>
              <w:rPr>
                <w:rFonts w:ascii="宋体"/>
                <w:vanish/>
              </w:rPr>
            </w:pPr>
          </w:p>
        </w:tc>
        <w:tc>
          <w:tcPr>
            <w:tcW w:w="0" w:type="auto"/>
            <w:gridSpan w:val="3"/>
            <w:shd w:val="clear" w:color="auto" w:fill="auto"/>
            <w:vAlign w:val="bottom"/>
          </w:tcPr>
          <w:p w14:paraId="5F2D2B0C" w14:textId="77777777" w:rsidR="00E836FB" w:rsidRDefault="00E836FB">
            <w:pPr>
              <w:rPr>
                <w:rFonts w:ascii="宋体"/>
                <w:vanish/>
              </w:rPr>
            </w:pPr>
          </w:p>
        </w:tc>
        <w:tc>
          <w:tcPr>
            <w:tcW w:w="0" w:type="auto"/>
            <w:gridSpan w:val="3"/>
            <w:shd w:val="clear" w:color="auto" w:fill="auto"/>
            <w:vAlign w:val="bottom"/>
          </w:tcPr>
          <w:p w14:paraId="5F2D2B0D" w14:textId="77777777" w:rsidR="00E836FB" w:rsidRDefault="00E836FB">
            <w:pPr>
              <w:rPr>
                <w:rFonts w:ascii="宋体"/>
                <w:vanish/>
              </w:rPr>
            </w:pPr>
          </w:p>
        </w:tc>
        <w:tc>
          <w:tcPr>
            <w:tcW w:w="0" w:type="auto"/>
            <w:gridSpan w:val="3"/>
            <w:shd w:val="clear" w:color="auto" w:fill="auto"/>
            <w:vAlign w:val="bottom"/>
          </w:tcPr>
          <w:p w14:paraId="5F2D2B0E" w14:textId="77777777" w:rsidR="00E836FB" w:rsidRDefault="00E836FB">
            <w:pPr>
              <w:rPr>
                <w:rFonts w:ascii="宋体"/>
                <w:vanish/>
              </w:rPr>
            </w:pPr>
          </w:p>
        </w:tc>
        <w:tc>
          <w:tcPr>
            <w:tcW w:w="0" w:type="auto"/>
            <w:gridSpan w:val="3"/>
            <w:shd w:val="clear" w:color="auto" w:fill="auto"/>
            <w:vAlign w:val="bottom"/>
          </w:tcPr>
          <w:p w14:paraId="5F2D2B0F" w14:textId="77777777" w:rsidR="00E836FB" w:rsidRDefault="00E836FB">
            <w:pPr>
              <w:rPr>
                <w:rFonts w:ascii="宋体"/>
                <w:vanish/>
              </w:rPr>
            </w:pPr>
          </w:p>
        </w:tc>
        <w:tc>
          <w:tcPr>
            <w:tcW w:w="0" w:type="auto"/>
            <w:gridSpan w:val="3"/>
            <w:shd w:val="clear" w:color="auto" w:fill="auto"/>
            <w:vAlign w:val="bottom"/>
          </w:tcPr>
          <w:p w14:paraId="5F2D2B10" w14:textId="77777777" w:rsidR="00E836FB" w:rsidRDefault="00E836FB">
            <w:pPr>
              <w:rPr>
                <w:rFonts w:ascii="宋体"/>
                <w:vanish/>
              </w:rPr>
            </w:pPr>
          </w:p>
        </w:tc>
      </w:tr>
    </w:tbl>
    <w:p w14:paraId="5F2D2B12" w14:textId="77777777" w:rsidR="00E836FB" w:rsidRDefault="00994958">
      <w:pPr>
        <w:spacing w:before="60"/>
        <w:ind w:firstLine="450"/>
        <w:jc w:val="both"/>
      </w:pPr>
      <w:r>
        <w:rPr>
          <w:rFonts w:ascii="Arial" w:eastAsia="宋体" w:hAnsi="Arial" w:cs="Arial"/>
          <w:color w:val="000000"/>
          <w:sz w:val="20"/>
          <w:szCs w:val="20"/>
        </w:rPr>
        <w:t xml:space="preserve">Obligations to </w:t>
      </w:r>
      <w:r>
        <w:rPr>
          <w:rFonts w:ascii="Arial" w:eastAsia="宋体" w:hAnsi="Arial" w:cs="Arial"/>
          <w:color w:val="000000"/>
          <w:sz w:val="20"/>
          <w:szCs w:val="20"/>
        </w:rPr>
        <w:t>repurchase securities sold are recorded as a liability in our consolidated statement of condition. Applicable securities with a fair value of $1.23 billion underlying the repurchase agreements remained in our investment securities portfolio as of December </w:t>
      </w:r>
      <w:r>
        <w:rPr>
          <w:rFonts w:ascii="Arial" w:eastAsia="宋体" w:hAnsi="Arial" w:cs="Arial"/>
          <w:color w:val="000000"/>
          <w:sz w:val="20"/>
          <w:szCs w:val="20"/>
        </w:rPr>
        <w:t>31, 2021.</w:t>
      </w:r>
    </w:p>
    <w:p w14:paraId="5F2D2B13" w14:textId="77777777" w:rsidR="00E836FB" w:rsidRDefault="00994958">
      <w:pPr>
        <w:ind w:firstLine="450"/>
        <w:jc w:val="right"/>
      </w:pPr>
      <w:r>
        <w:rPr>
          <w:rFonts w:ascii="Arial" w:eastAsia="宋体" w:hAnsi="Arial" w:cs="Arial"/>
          <w:color w:val="000000"/>
          <w:sz w:val="18"/>
          <w:szCs w:val="18"/>
        </w:rPr>
        <w:t>State Street Corporation | 156</w:t>
      </w:r>
    </w:p>
    <w:p w14:paraId="5F2D2B14" w14:textId="77777777" w:rsidR="00E836FB" w:rsidRDefault="00E836FB">
      <w:pPr>
        <w:ind w:firstLine="450"/>
        <w:jc w:val="center"/>
      </w:pPr>
    </w:p>
    <w:p w14:paraId="5F2D2B15" w14:textId="77777777" w:rsidR="00E836FB" w:rsidRDefault="00994958">
      <w:r>
        <w:pict w14:anchorId="5F2D6E21">
          <v:rect id="_x0000_i1180" style="width:415.3pt;height:1.5pt" o:hralign="center" o:hrstd="t" o:hr="t" fillcolor="#a0a0a0" stroked="f"/>
        </w:pict>
      </w:r>
    </w:p>
    <w:p w14:paraId="5F2D2B16" w14:textId="77777777" w:rsidR="00E836FB" w:rsidRDefault="00994958">
      <w:pPr>
        <w:ind w:firstLine="450"/>
        <w:jc w:val="center"/>
      </w:pPr>
      <w:r>
        <w:rPr>
          <w:rFonts w:ascii="Arial" w:eastAsia="宋体" w:hAnsi="Arial" w:cs="Arial"/>
          <w:b/>
          <w:bCs/>
          <w:color w:val="000000"/>
          <w:sz w:val="20"/>
          <w:szCs w:val="20"/>
        </w:rPr>
        <w:t>STATE STREET CORPORATION</w:t>
      </w:r>
    </w:p>
    <w:p w14:paraId="5F2D2B17"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2B18" w14:textId="77777777" w:rsidR="00E836FB" w:rsidRDefault="00994958">
      <w:pPr>
        <w:spacing w:before="60"/>
        <w:ind w:firstLine="450"/>
        <w:jc w:val="both"/>
      </w:pPr>
      <w:r>
        <w:rPr>
          <w:rFonts w:ascii="Arial" w:eastAsia="宋体" w:hAnsi="Arial" w:cs="Arial"/>
          <w:color w:val="000000"/>
          <w:sz w:val="20"/>
          <w:szCs w:val="20"/>
        </w:rPr>
        <w:t xml:space="preserve">The following table presents information about these securities and the carrying value of the related repurchase agreements, including </w:t>
      </w:r>
      <w:r>
        <w:rPr>
          <w:rFonts w:ascii="Arial" w:eastAsia="宋体" w:hAnsi="Arial" w:cs="Arial"/>
          <w:color w:val="000000"/>
          <w:sz w:val="20"/>
          <w:szCs w:val="20"/>
        </w:rPr>
        <w:t>accrued interest,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2138"/>
        <w:gridCol w:w="36"/>
        <w:gridCol w:w="110"/>
        <w:gridCol w:w="1846"/>
        <w:gridCol w:w="36"/>
        <w:gridCol w:w="36"/>
        <w:gridCol w:w="36"/>
        <w:gridCol w:w="36"/>
        <w:gridCol w:w="110"/>
        <w:gridCol w:w="1810"/>
        <w:gridCol w:w="36"/>
        <w:gridCol w:w="36"/>
        <w:gridCol w:w="36"/>
        <w:gridCol w:w="36"/>
        <w:gridCol w:w="110"/>
        <w:gridCol w:w="1812"/>
        <w:gridCol w:w="36"/>
      </w:tblGrid>
      <w:tr w:rsidR="00E836FB" w14:paraId="5F2D2B2B" w14:textId="77777777">
        <w:tc>
          <w:tcPr>
            <w:tcW w:w="50" w:type="pct"/>
            <w:shd w:val="clear" w:color="auto" w:fill="auto"/>
            <w:vAlign w:val="bottom"/>
          </w:tcPr>
          <w:p w14:paraId="5F2D2B19" w14:textId="77777777" w:rsidR="00E836FB" w:rsidRDefault="00E836FB">
            <w:pPr>
              <w:rPr>
                <w:rFonts w:ascii="宋体"/>
              </w:rPr>
            </w:pPr>
          </w:p>
        </w:tc>
        <w:tc>
          <w:tcPr>
            <w:tcW w:w="1307" w:type="pct"/>
            <w:shd w:val="clear" w:color="auto" w:fill="auto"/>
            <w:vAlign w:val="bottom"/>
          </w:tcPr>
          <w:p w14:paraId="5F2D2B1A" w14:textId="77777777" w:rsidR="00E836FB" w:rsidRDefault="00E836FB">
            <w:pPr>
              <w:rPr>
                <w:rFonts w:ascii="宋体"/>
              </w:rPr>
            </w:pPr>
          </w:p>
        </w:tc>
        <w:tc>
          <w:tcPr>
            <w:tcW w:w="5" w:type="pct"/>
            <w:shd w:val="clear" w:color="auto" w:fill="auto"/>
            <w:vAlign w:val="bottom"/>
          </w:tcPr>
          <w:p w14:paraId="5F2D2B1B" w14:textId="77777777" w:rsidR="00E836FB" w:rsidRDefault="00E836FB">
            <w:pPr>
              <w:rPr>
                <w:rFonts w:ascii="宋体"/>
              </w:rPr>
            </w:pPr>
          </w:p>
        </w:tc>
        <w:tc>
          <w:tcPr>
            <w:tcW w:w="50" w:type="pct"/>
            <w:shd w:val="clear" w:color="auto" w:fill="auto"/>
            <w:vAlign w:val="bottom"/>
          </w:tcPr>
          <w:p w14:paraId="5F2D2B1C" w14:textId="77777777" w:rsidR="00E836FB" w:rsidRDefault="00E836FB">
            <w:pPr>
              <w:rPr>
                <w:rFonts w:ascii="宋体"/>
              </w:rPr>
            </w:pPr>
          </w:p>
        </w:tc>
        <w:tc>
          <w:tcPr>
            <w:tcW w:w="1133" w:type="pct"/>
            <w:shd w:val="clear" w:color="auto" w:fill="auto"/>
            <w:vAlign w:val="bottom"/>
          </w:tcPr>
          <w:p w14:paraId="5F2D2B1D" w14:textId="77777777" w:rsidR="00E836FB" w:rsidRDefault="00E836FB">
            <w:pPr>
              <w:rPr>
                <w:rFonts w:ascii="宋体"/>
              </w:rPr>
            </w:pPr>
          </w:p>
        </w:tc>
        <w:tc>
          <w:tcPr>
            <w:tcW w:w="5" w:type="pct"/>
            <w:shd w:val="clear" w:color="auto" w:fill="auto"/>
            <w:vAlign w:val="bottom"/>
          </w:tcPr>
          <w:p w14:paraId="5F2D2B1E" w14:textId="77777777" w:rsidR="00E836FB" w:rsidRDefault="00E836FB">
            <w:pPr>
              <w:rPr>
                <w:rFonts w:ascii="宋体"/>
              </w:rPr>
            </w:pPr>
          </w:p>
        </w:tc>
        <w:tc>
          <w:tcPr>
            <w:tcW w:w="5" w:type="pct"/>
            <w:shd w:val="clear" w:color="auto" w:fill="auto"/>
            <w:vAlign w:val="bottom"/>
          </w:tcPr>
          <w:p w14:paraId="5F2D2B1F" w14:textId="77777777" w:rsidR="00E836FB" w:rsidRDefault="00E836FB">
            <w:pPr>
              <w:rPr>
                <w:rFonts w:ascii="宋体"/>
              </w:rPr>
            </w:pPr>
          </w:p>
        </w:tc>
        <w:tc>
          <w:tcPr>
            <w:tcW w:w="26" w:type="pct"/>
            <w:shd w:val="clear" w:color="auto" w:fill="auto"/>
            <w:vAlign w:val="bottom"/>
          </w:tcPr>
          <w:p w14:paraId="5F2D2B20" w14:textId="77777777" w:rsidR="00E836FB" w:rsidRDefault="00E836FB">
            <w:pPr>
              <w:rPr>
                <w:rFonts w:ascii="宋体"/>
              </w:rPr>
            </w:pPr>
          </w:p>
        </w:tc>
        <w:tc>
          <w:tcPr>
            <w:tcW w:w="5" w:type="pct"/>
            <w:shd w:val="clear" w:color="auto" w:fill="auto"/>
            <w:vAlign w:val="bottom"/>
          </w:tcPr>
          <w:p w14:paraId="5F2D2B21" w14:textId="77777777" w:rsidR="00E836FB" w:rsidRDefault="00E836FB">
            <w:pPr>
              <w:rPr>
                <w:rFonts w:ascii="宋体"/>
              </w:rPr>
            </w:pPr>
          </w:p>
        </w:tc>
        <w:tc>
          <w:tcPr>
            <w:tcW w:w="50" w:type="pct"/>
            <w:shd w:val="clear" w:color="auto" w:fill="auto"/>
            <w:vAlign w:val="bottom"/>
          </w:tcPr>
          <w:p w14:paraId="5F2D2B22" w14:textId="77777777" w:rsidR="00E836FB" w:rsidRDefault="00E836FB">
            <w:pPr>
              <w:rPr>
                <w:rFonts w:ascii="宋体"/>
              </w:rPr>
            </w:pPr>
          </w:p>
        </w:tc>
        <w:tc>
          <w:tcPr>
            <w:tcW w:w="1133" w:type="pct"/>
            <w:shd w:val="clear" w:color="auto" w:fill="auto"/>
            <w:vAlign w:val="bottom"/>
          </w:tcPr>
          <w:p w14:paraId="5F2D2B23" w14:textId="77777777" w:rsidR="00E836FB" w:rsidRDefault="00E836FB">
            <w:pPr>
              <w:rPr>
                <w:rFonts w:ascii="宋体"/>
              </w:rPr>
            </w:pPr>
          </w:p>
        </w:tc>
        <w:tc>
          <w:tcPr>
            <w:tcW w:w="5" w:type="pct"/>
            <w:shd w:val="clear" w:color="auto" w:fill="auto"/>
            <w:vAlign w:val="bottom"/>
          </w:tcPr>
          <w:p w14:paraId="5F2D2B24" w14:textId="77777777" w:rsidR="00E836FB" w:rsidRDefault="00E836FB">
            <w:pPr>
              <w:rPr>
                <w:rFonts w:ascii="宋体"/>
              </w:rPr>
            </w:pPr>
          </w:p>
        </w:tc>
        <w:tc>
          <w:tcPr>
            <w:tcW w:w="5" w:type="pct"/>
            <w:shd w:val="clear" w:color="auto" w:fill="auto"/>
            <w:vAlign w:val="bottom"/>
          </w:tcPr>
          <w:p w14:paraId="5F2D2B25" w14:textId="77777777" w:rsidR="00E836FB" w:rsidRDefault="00E836FB">
            <w:pPr>
              <w:rPr>
                <w:rFonts w:ascii="宋体"/>
              </w:rPr>
            </w:pPr>
          </w:p>
        </w:tc>
        <w:tc>
          <w:tcPr>
            <w:tcW w:w="26" w:type="pct"/>
            <w:shd w:val="clear" w:color="auto" w:fill="auto"/>
            <w:vAlign w:val="bottom"/>
          </w:tcPr>
          <w:p w14:paraId="5F2D2B26" w14:textId="77777777" w:rsidR="00E836FB" w:rsidRDefault="00E836FB">
            <w:pPr>
              <w:rPr>
                <w:rFonts w:ascii="宋体"/>
              </w:rPr>
            </w:pPr>
          </w:p>
        </w:tc>
        <w:tc>
          <w:tcPr>
            <w:tcW w:w="5" w:type="pct"/>
            <w:shd w:val="clear" w:color="auto" w:fill="auto"/>
            <w:vAlign w:val="bottom"/>
          </w:tcPr>
          <w:p w14:paraId="5F2D2B27" w14:textId="77777777" w:rsidR="00E836FB" w:rsidRDefault="00E836FB">
            <w:pPr>
              <w:rPr>
                <w:rFonts w:ascii="宋体"/>
              </w:rPr>
            </w:pPr>
          </w:p>
        </w:tc>
        <w:tc>
          <w:tcPr>
            <w:tcW w:w="50" w:type="pct"/>
            <w:shd w:val="clear" w:color="auto" w:fill="auto"/>
            <w:vAlign w:val="bottom"/>
          </w:tcPr>
          <w:p w14:paraId="5F2D2B28" w14:textId="77777777" w:rsidR="00E836FB" w:rsidRDefault="00E836FB">
            <w:pPr>
              <w:rPr>
                <w:rFonts w:ascii="宋体"/>
              </w:rPr>
            </w:pPr>
          </w:p>
        </w:tc>
        <w:tc>
          <w:tcPr>
            <w:tcW w:w="1133" w:type="pct"/>
            <w:shd w:val="clear" w:color="auto" w:fill="auto"/>
            <w:vAlign w:val="bottom"/>
          </w:tcPr>
          <w:p w14:paraId="5F2D2B29" w14:textId="77777777" w:rsidR="00E836FB" w:rsidRDefault="00E836FB">
            <w:pPr>
              <w:rPr>
                <w:rFonts w:ascii="宋体"/>
              </w:rPr>
            </w:pPr>
          </w:p>
        </w:tc>
        <w:tc>
          <w:tcPr>
            <w:tcW w:w="5" w:type="pct"/>
            <w:shd w:val="clear" w:color="auto" w:fill="auto"/>
            <w:vAlign w:val="bottom"/>
          </w:tcPr>
          <w:p w14:paraId="5F2D2B2A" w14:textId="77777777" w:rsidR="00E836FB" w:rsidRDefault="00E836FB">
            <w:pPr>
              <w:rPr>
                <w:rFonts w:ascii="宋体"/>
              </w:rPr>
            </w:pPr>
          </w:p>
        </w:tc>
      </w:tr>
      <w:tr w:rsidR="00E836FB" w14:paraId="5F2D2B31" w14:textId="77777777">
        <w:tc>
          <w:tcPr>
            <w:tcW w:w="0" w:type="auto"/>
            <w:gridSpan w:val="3"/>
            <w:shd w:val="clear" w:color="auto" w:fill="auto"/>
            <w:tcMar>
              <w:top w:w="40" w:type="dxa"/>
              <w:left w:w="20" w:type="dxa"/>
              <w:bottom w:w="40" w:type="dxa"/>
              <w:right w:w="20" w:type="dxa"/>
            </w:tcMar>
            <w:vAlign w:val="bottom"/>
          </w:tcPr>
          <w:p w14:paraId="5F2D2B2C" w14:textId="77777777" w:rsidR="00E836FB" w:rsidRDefault="00994958">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5F2D2B2D" w14:textId="77777777" w:rsidR="00E836FB" w:rsidRDefault="00994958">
            <w:pPr>
              <w:jc w:val="center"/>
              <w:textAlignment w:val="bottom"/>
            </w:pPr>
            <w:r>
              <w:rPr>
                <w:rFonts w:ascii="Arial" w:eastAsia="宋体" w:hAnsi="Arial" w:cs="Arial"/>
                <w:b/>
                <w:bCs/>
                <w:color w:val="000000"/>
                <w:sz w:val="16"/>
                <w:szCs w:val="16"/>
              </w:rPr>
              <w:t>Securities Sold</w:t>
            </w:r>
          </w:p>
        </w:tc>
        <w:tc>
          <w:tcPr>
            <w:tcW w:w="0" w:type="auto"/>
            <w:gridSpan w:val="3"/>
            <w:shd w:val="clear" w:color="auto" w:fill="auto"/>
            <w:tcMar>
              <w:top w:w="0" w:type="dxa"/>
              <w:left w:w="20" w:type="dxa"/>
              <w:bottom w:w="0" w:type="dxa"/>
              <w:right w:w="20" w:type="dxa"/>
            </w:tcMar>
            <w:vAlign w:val="bottom"/>
          </w:tcPr>
          <w:p w14:paraId="5F2D2B2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B2F" w14:textId="77777777" w:rsidR="00E836FB" w:rsidRDefault="00994958">
            <w:pPr>
              <w:jc w:val="center"/>
              <w:textAlignment w:val="bottom"/>
            </w:pPr>
            <w:r>
              <w:rPr>
                <w:rFonts w:ascii="Arial" w:eastAsia="宋体" w:hAnsi="Arial" w:cs="Arial"/>
                <w:b/>
                <w:bCs/>
                <w:color w:val="000000"/>
                <w:sz w:val="16"/>
                <w:szCs w:val="16"/>
              </w:rPr>
              <w:t>Repurchase</w:t>
            </w:r>
          </w:p>
          <w:p w14:paraId="5F2D2B30" w14:textId="77777777" w:rsidR="00E836FB" w:rsidRDefault="00994958">
            <w:pPr>
              <w:jc w:val="center"/>
              <w:textAlignment w:val="bottom"/>
            </w:pPr>
            <w:r>
              <w:rPr>
                <w:rFonts w:ascii="Arial" w:eastAsia="宋体" w:hAnsi="Arial" w:cs="Arial"/>
                <w:b/>
                <w:bCs/>
                <w:color w:val="000000"/>
                <w:sz w:val="16"/>
                <w:szCs w:val="16"/>
              </w:rPr>
              <w:t>Agreements</w:t>
            </w:r>
            <w:r>
              <w:rPr>
                <w:rFonts w:ascii="Arial" w:eastAsia="宋体" w:hAnsi="Arial" w:cs="Arial"/>
                <w:b/>
                <w:bCs/>
                <w:color w:val="000000"/>
                <w:sz w:val="10"/>
                <w:szCs w:val="10"/>
              </w:rPr>
              <w:t>(1)</w:t>
            </w:r>
          </w:p>
        </w:tc>
      </w:tr>
      <w:tr w:rsidR="00E836FB" w14:paraId="5F2D2B3A" w14:textId="77777777">
        <w:tc>
          <w:tcPr>
            <w:tcW w:w="0" w:type="auto"/>
            <w:gridSpan w:val="3"/>
            <w:shd w:val="clear" w:color="auto" w:fill="auto"/>
            <w:tcMar>
              <w:top w:w="40" w:type="dxa"/>
              <w:left w:w="20" w:type="dxa"/>
              <w:bottom w:w="40" w:type="dxa"/>
              <w:right w:w="20" w:type="dxa"/>
            </w:tcMar>
            <w:vAlign w:val="bottom"/>
          </w:tcPr>
          <w:p w14:paraId="5F2D2B32" w14:textId="77777777" w:rsidR="00E836FB" w:rsidRDefault="00994958">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B33" w14:textId="77777777" w:rsidR="00E836FB" w:rsidRDefault="00994958">
            <w:pPr>
              <w:jc w:val="center"/>
              <w:textAlignment w:val="bottom"/>
            </w:pPr>
            <w:r>
              <w:rPr>
                <w:rFonts w:ascii="Arial" w:eastAsia="宋体" w:hAnsi="Arial" w:cs="Arial"/>
                <w:b/>
                <w:bCs/>
                <w:color w:val="000000"/>
                <w:sz w:val="16"/>
                <w:szCs w:val="16"/>
              </w:rPr>
              <w:t>Amortized</w:t>
            </w:r>
          </w:p>
          <w:p w14:paraId="5F2D2B34" w14:textId="77777777" w:rsidR="00E836FB" w:rsidRDefault="00994958">
            <w:pPr>
              <w:jc w:val="center"/>
              <w:textAlignment w:val="bottom"/>
            </w:pPr>
            <w:r>
              <w:rPr>
                <w:rFonts w:ascii="Arial" w:eastAsia="宋体" w:hAnsi="Arial" w:cs="Arial"/>
                <w:b/>
                <w:bCs/>
                <w:color w:val="000000"/>
                <w:sz w:val="16"/>
                <w:szCs w:val="16"/>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B3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B36" w14:textId="77777777" w:rsidR="00E836FB" w:rsidRDefault="00994958">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5F2D2B3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B38" w14:textId="77777777" w:rsidR="00E836FB" w:rsidRDefault="00994958">
            <w:pPr>
              <w:jc w:val="center"/>
              <w:textAlignment w:val="bottom"/>
            </w:pPr>
            <w:r>
              <w:rPr>
                <w:rFonts w:ascii="Arial" w:eastAsia="宋体" w:hAnsi="Arial" w:cs="Arial"/>
                <w:b/>
                <w:bCs/>
                <w:color w:val="000000"/>
                <w:sz w:val="16"/>
                <w:szCs w:val="16"/>
              </w:rPr>
              <w:t>Amortized</w:t>
            </w:r>
          </w:p>
          <w:p w14:paraId="5F2D2B39" w14:textId="77777777" w:rsidR="00E836FB" w:rsidRDefault="00994958">
            <w:pPr>
              <w:jc w:val="center"/>
              <w:textAlignment w:val="bottom"/>
            </w:pPr>
            <w:r>
              <w:rPr>
                <w:rFonts w:ascii="Arial" w:eastAsia="宋体" w:hAnsi="Arial" w:cs="Arial"/>
                <w:b/>
                <w:bCs/>
                <w:color w:val="000000"/>
                <w:sz w:val="16"/>
                <w:szCs w:val="16"/>
              </w:rPr>
              <w:t>Cost</w:t>
            </w:r>
          </w:p>
        </w:tc>
      </w:tr>
      <w:tr w:rsidR="00E836FB" w14:paraId="5F2D2B47" w14:textId="77777777">
        <w:tc>
          <w:tcPr>
            <w:tcW w:w="0" w:type="auto"/>
            <w:gridSpan w:val="3"/>
            <w:shd w:val="clear" w:color="auto" w:fill="CCEEFF"/>
            <w:tcMar>
              <w:top w:w="40" w:type="dxa"/>
              <w:left w:w="20" w:type="dxa"/>
              <w:bottom w:w="40" w:type="dxa"/>
              <w:right w:w="20" w:type="dxa"/>
            </w:tcMar>
            <w:vAlign w:val="bottom"/>
          </w:tcPr>
          <w:p w14:paraId="5F2D2B3B" w14:textId="77777777" w:rsidR="00E836FB" w:rsidRDefault="00994958">
            <w:pPr>
              <w:textAlignment w:val="bottom"/>
            </w:pPr>
            <w:r>
              <w:rPr>
                <w:rFonts w:ascii="Arial" w:eastAsia="宋体" w:hAnsi="Arial" w:cs="Arial"/>
                <w:color w:val="000000"/>
                <w:sz w:val="16"/>
                <w:szCs w:val="16"/>
              </w:rPr>
              <w:t>Overnight maturity</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2B3C"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B3D" w14:textId="77777777" w:rsidR="00E836FB" w:rsidRDefault="00994958">
            <w:pPr>
              <w:jc w:val="right"/>
              <w:textAlignment w:val="bottom"/>
            </w:pPr>
            <w:r>
              <w:rPr>
                <w:rFonts w:ascii="Arial" w:eastAsia="宋体" w:hAnsi="Arial" w:cs="Arial"/>
                <w:b/>
                <w:bCs/>
                <w:color w:val="000000"/>
                <w:sz w:val="16"/>
                <w:szCs w:val="16"/>
              </w:rPr>
              <w:t>1,226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B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B3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B40"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B41" w14:textId="77777777" w:rsidR="00E836FB" w:rsidRDefault="00994958">
            <w:pPr>
              <w:jc w:val="right"/>
              <w:textAlignment w:val="bottom"/>
            </w:pPr>
            <w:r>
              <w:rPr>
                <w:rFonts w:ascii="Arial" w:eastAsia="宋体" w:hAnsi="Arial" w:cs="Arial"/>
                <w:b/>
                <w:bCs/>
                <w:color w:val="000000"/>
                <w:sz w:val="16"/>
                <w:szCs w:val="16"/>
              </w:rPr>
              <w:t>1,227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B4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B4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B44"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B45" w14:textId="77777777" w:rsidR="00E836FB" w:rsidRDefault="00994958">
            <w:pPr>
              <w:jc w:val="right"/>
              <w:textAlignment w:val="bottom"/>
            </w:pPr>
            <w:r>
              <w:rPr>
                <w:rFonts w:ascii="Arial" w:eastAsia="宋体" w:hAnsi="Arial" w:cs="Arial"/>
                <w:b/>
                <w:bCs/>
                <w:color w:val="000000"/>
                <w:sz w:val="16"/>
                <w:szCs w:val="16"/>
              </w:rPr>
              <w:t>1,575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B46" w14:textId="77777777" w:rsidR="00E836FB" w:rsidRDefault="00E836FB">
            <w:pPr>
              <w:jc w:val="right"/>
              <w:rPr>
                <w:rFonts w:ascii="宋体"/>
              </w:rPr>
            </w:pPr>
          </w:p>
        </w:tc>
      </w:tr>
    </w:tbl>
    <w:p w14:paraId="5F2D2B48"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45"/>
        <w:gridCol w:w="36"/>
        <w:gridCol w:w="69"/>
        <w:gridCol w:w="5881"/>
        <w:gridCol w:w="36"/>
      </w:tblGrid>
      <w:tr w:rsidR="00E836FB" w14:paraId="5F2D2B4F" w14:textId="77777777">
        <w:tc>
          <w:tcPr>
            <w:tcW w:w="50" w:type="pct"/>
            <w:shd w:val="clear" w:color="auto" w:fill="auto"/>
            <w:vAlign w:val="bottom"/>
          </w:tcPr>
          <w:p w14:paraId="5F2D2B49" w14:textId="77777777" w:rsidR="00E836FB" w:rsidRDefault="00E836FB">
            <w:pPr>
              <w:rPr>
                <w:rFonts w:ascii="宋体"/>
              </w:rPr>
            </w:pPr>
          </w:p>
        </w:tc>
        <w:tc>
          <w:tcPr>
            <w:tcW w:w="1355" w:type="pct"/>
            <w:shd w:val="clear" w:color="auto" w:fill="auto"/>
            <w:vAlign w:val="bottom"/>
          </w:tcPr>
          <w:p w14:paraId="5F2D2B4A" w14:textId="77777777" w:rsidR="00E836FB" w:rsidRDefault="00E836FB">
            <w:pPr>
              <w:rPr>
                <w:rFonts w:ascii="宋体"/>
              </w:rPr>
            </w:pPr>
          </w:p>
        </w:tc>
        <w:tc>
          <w:tcPr>
            <w:tcW w:w="5" w:type="pct"/>
            <w:shd w:val="clear" w:color="auto" w:fill="auto"/>
            <w:vAlign w:val="bottom"/>
          </w:tcPr>
          <w:p w14:paraId="5F2D2B4B" w14:textId="77777777" w:rsidR="00E836FB" w:rsidRDefault="00E836FB">
            <w:pPr>
              <w:rPr>
                <w:rFonts w:ascii="宋体"/>
              </w:rPr>
            </w:pPr>
          </w:p>
        </w:tc>
        <w:tc>
          <w:tcPr>
            <w:tcW w:w="50" w:type="pct"/>
            <w:shd w:val="clear" w:color="auto" w:fill="auto"/>
            <w:vAlign w:val="bottom"/>
          </w:tcPr>
          <w:p w14:paraId="5F2D2B4C" w14:textId="77777777" w:rsidR="00E836FB" w:rsidRDefault="00E836FB">
            <w:pPr>
              <w:rPr>
                <w:rFonts w:ascii="宋体"/>
              </w:rPr>
            </w:pPr>
          </w:p>
        </w:tc>
        <w:tc>
          <w:tcPr>
            <w:tcW w:w="3534" w:type="pct"/>
            <w:shd w:val="clear" w:color="auto" w:fill="auto"/>
            <w:vAlign w:val="bottom"/>
          </w:tcPr>
          <w:p w14:paraId="5F2D2B4D" w14:textId="77777777" w:rsidR="00E836FB" w:rsidRDefault="00E836FB">
            <w:pPr>
              <w:rPr>
                <w:rFonts w:ascii="宋体"/>
              </w:rPr>
            </w:pPr>
          </w:p>
        </w:tc>
        <w:tc>
          <w:tcPr>
            <w:tcW w:w="5" w:type="pct"/>
            <w:shd w:val="clear" w:color="auto" w:fill="auto"/>
            <w:vAlign w:val="bottom"/>
          </w:tcPr>
          <w:p w14:paraId="5F2D2B4E" w14:textId="77777777" w:rsidR="00E836FB" w:rsidRDefault="00E836FB">
            <w:pPr>
              <w:rPr>
                <w:rFonts w:ascii="宋体"/>
              </w:rPr>
            </w:pPr>
          </w:p>
        </w:tc>
      </w:tr>
      <w:tr w:rsidR="00E836FB" w14:paraId="5F2D2B5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B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51" w14:textId="77777777" w:rsidR="00E836FB" w:rsidRDefault="00E836FB">
            <w:pPr>
              <w:rPr>
                <w:rFonts w:ascii="宋体"/>
              </w:rPr>
            </w:pPr>
          </w:p>
        </w:tc>
      </w:tr>
    </w:tbl>
    <w:p w14:paraId="5F2D2B53" w14:textId="77777777" w:rsidR="00E836FB" w:rsidRDefault="00994958">
      <w:pPr>
        <w:spacing w:before="60"/>
      </w:pPr>
      <w:r>
        <w:rPr>
          <w:rFonts w:ascii="Arial" w:eastAsia="宋体" w:hAnsi="Arial" w:cs="Arial"/>
          <w:color w:val="000000"/>
          <w:sz w:val="9"/>
          <w:szCs w:val="9"/>
        </w:rPr>
        <w:t>(1)</w:t>
      </w:r>
      <w:r>
        <w:rPr>
          <w:rFonts w:ascii="Arial" w:eastAsia="宋体" w:hAnsi="Arial" w:cs="Arial"/>
          <w:color w:val="000000"/>
          <w:sz w:val="14"/>
          <w:szCs w:val="14"/>
        </w:rPr>
        <w:t xml:space="preserve"> Collateralized by investment securities.</w:t>
      </w:r>
    </w:p>
    <w:p w14:paraId="5F2D2B54" w14:textId="77777777" w:rsidR="00E836FB" w:rsidRDefault="00994958">
      <w:pPr>
        <w:spacing w:before="60"/>
        <w:ind w:firstLine="450"/>
        <w:jc w:val="both"/>
      </w:pPr>
      <w:r>
        <w:rPr>
          <w:rFonts w:ascii="Arial" w:eastAsia="宋体" w:hAnsi="Arial" w:cs="Arial"/>
          <w:color w:val="000000"/>
          <w:sz w:val="20"/>
          <w:szCs w:val="20"/>
        </w:rPr>
        <w:t xml:space="preserve">We maintain an agreement with a clearing organization that enables us to net securities purchased under resale agreements and sold under repurchase </w:t>
      </w:r>
      <w:r>
        <w:rPr>
          <w:rFonts w:ascii="Arial" w:eastAsia="宋体" w:hAnsi="Arial" w:cs="Arial"/>
          <w:color w:val="000000"/>
          <w:sz w:val="20"/>
          <w:szCs w:val="20"/>
        </w:rPr>
        <w:t>agreements with counterparties that are also members of the clearing organization when specific netting criteria are met. As a result of this netting, the average balances of securities purchased under resale agreements and securities sold under repurchase</w:t>
      </w:r>
      <w:r>
        <w:rPr>
          <w:rFonts w:ascii="Arial" w:eastAsia="宋体" w:hAnsi="Arial" w:cs="Arial"/>
          <w:color w:val="000000"/>
          <w:sz w:val="20"/>
          <w:szCs w:val="20"/>
        </w:rPr>
        <w:t xml:space="preserve"> agreements were reduced by $62.15 billion in 2021 compared to the $100.45 billion reduction in 2020. The decrease in average balance sheet netting, in 2021 compared to 2020, is primarily due to lower FICC repo volumes and lower short-term interest rates.</w:t>
      </w:r>
    </w:p>
    <w:p w14:paraId="5F2D2B55" w14:textId="77777777" w:rsidR="00E836FB" w:rsidRDefault="00994958">
      <w:pPr>
        <w:spacing w:before="60"/>
        <w:ind w:firstLine="450"/>
        <w:jc w:val="both"/>
      </w:pPr>
      <w:r>
        <w:rPr>
          <w:rFonts w:ascii="Arial" w:eastAsia="宋体" w:hAnsi="Arial" w:cs="Arial"/>
          <w:color w:val="000000"/>
          <w:sz w:val="20"/>
          <w:szCs w:val="20"/>
        </w:rPr>
        <w:t>State Street Bank currently maintains a line of credit of CAD 1.40 billion, or approximately $1.11 billion, as of December 31, 2021, to support its Canadian securities processing operations. The line of credit has no stated termination date and is cancella</w:t>
      </w:r>
      <w:r>
        <w:rPr>
          <w:rFonts w:ascii="Arial" w:eastAsia="宋体" w:hAnsi="Arial" w:cs="Arial"/>
          <w:color w:val="000000"/>
          <w:sz w:val="20"/>
          <w:szCs w:val="20"/>
        </w:rPr>
        <w:t>ble by either party with prior notice. As of December 31, 2021 and 2020, there was no balance outstanding on this line of credit.</w:t>
      </w:r>
    </w:p>
    <w:p w14:paraId="5F2D2B56" w14:textId="77777777" w:rsidR="00E836FB" w:rsidRDefault="00994958">
      <w:pPr>
        <w:spacing w:before="90"/>
      </w:pPr>
      <w:r>
        <w:rPr>
          <w:rFonts w:ascii="Arial" w:eastAsia="宋体" w:hAnsi="Arial" w:cs="Arial"/>
          <w:b/>
          <w:bCs/>
          <w:color w:val="000000"/>
          <w:sz w:val="20"/>
          <w:szCs w:val="20"/>
        </w:rPr>
        <w:t>Note 9. Long-Term Debt</w:t>
      </w:r>
    </w:p>
    <w:tbl>
      <w:tblPr>
        <w:tblW w:w="5000" w:type="pct"/>
        <w:tblCellMar>
          <w:top w:w="15" w:type="dxa"/>
          <w:left w:w="15" w:type="dxa"/>
          <w:bottom w:w="15" w:type="dxa"/>
          <w:right w:w="15" w:type="dxa"/>
        </w:tblCellMar>
        <w:tblLook w:val="04A0" w:firstRow="1" w:lastRow="0" w:firstColumn="1" w:lastColumn="0" w:noHBand="0" w:noVBand="1"/>
      </w:tblPr>
      <w:tblGrid>
        <w:gridCol w:w="49"/>
        <w:gridCol w:w="1253"/>
        <w:gridCol w:w="38"/>
        <w:gridCol w:w="36"/>
        <w:gridCol w:w="36"/>
        <w:gridCol w:w="36"/>
        <w:gridCol w:w="56"/>
        <w:gridCol w:w="1051"/>
        <w:gridCol w:w="37"/>
        <w:gridCol w:w="36"/>
        <w:gridCol w:w="36"/>
        <w:gridCol w:w="36"/>
        <w:gridCol w:w="81"/>
        <w:gridCol w:w="735"/>
        <w:gridCol w:w="147"/>
        <w:gridCol w:w="36"/>
        <w:gridCol w:w="36"/>
        <w:gridCol w:w="36"/>
        <w:gridCol w:w="46"/>
        <w:gridCol w:w="1632"/>
        <w:gridCol w:w="37"/>
        <w:gridCol w:w="36"/>
        <w:gridCol w:w="36"/>
        <w:gridCol w:w="36"/>
        <w:gridCol w:w="43"/>
        <w:gridCol w:w="893"/>
        <w:gridCol w:w="36"/>
        <w:gridCol w:w="36"/>
        <w:gridCol w:w="36"/>
        <w:gridCol w:w="36"/>
        <w:gridCol w:w="98"/>
        <w:gridCol w:w="643"/>
        <w:gridCol w:w="36"/>
        <w:gridCol w:w="36"/>
        <w:gridCol w:w="36"/>
        <w:gridCol w:w="36"/>
        <w:gridCol w:w="98"/>
        <w:gridCol w:w="643"/>
        <w:gridCol w:w="36"/>
      </w:tblGrid>
      <w:tr w:rsidR="00E836FB" w14:paraId="5F2D2B7E" w14:textId="77777777">
        <w:tc>
          <w:tcPr>
            <w:tcW w:w="50" w:type="pct"/>
            <w:shd w:val="clear" w:color="auto" w:fill="auto"/>
            <w:vAlign w:val="bottom"/>
          </w:tcPr>
          <w:p w14:paraId="5F2D2B57" w14:textId="77777777" w:rsidR="00E836FB" w:rsidRDefault="00E836FB">
            <w:pPr>
              <w:rPr>
                <w:rFonts w:ascii="宋体"/>
              </w:rPr>
            </w:pPr>
          </w:p>
        </w:tc>
        <w:tc>
          <w:tcPr>
            <w:tcW w:w="800" w:type="pct"/>
            <w:shd w:val="clear" w:color="auto" w:fill="auto"/>
            <w:vAlign w:val="bottom"/>
          </w:tcPr>
          <w:p w14:paraId="5F2D2B58" w14:textId="77777777" w:rsidR="00E836FB" w:rsidRDefault="00E836FB">
            <w:pPr>
              <w:rPr>
                <w:rFonts w:ascii="宋体"/>
              </w:rPr>
            </w:pPr>
          </w:p>
        </w:tc>
        <w:tc>
          <w:tcPr>
            <w:tcW w:w="5" w:type="pct"/>
            <w:shd w:val="clear" w:color="auto" w:fill="auto"/>
            <w:vAlign w:val="bottom"/>
          </w:tcPr>
          <w:p w14:paraId="5F2D2B59" w14:textId="77777777" w:rsidR="00E836FB" w:rsidRDefault="00E836FB">
            <w:pPr>
              <w:rPr>
                <w:rFonts w:ascii="宋体"/>
              </w:rPr>
            </w:pPr>
          </w:p>
        </w:tc>
        <w:tc>
          <w:tcPr>
            <w:tcW w:w="5" w:type="pct"/>
            <w:shd w:val="clear" w:color="auto" w:fill="auto"/>
            <w:vAlign w:val="bottom"/>
          </w:tcPr>
          <w:p w14:paraId="5F2D2B5A" w14:textId="77777777" w:rsidR="00E836FB" w:rsidRDefault="00E836FB">
            <w:pPr>
              <w:rPr>
                <w:rFonts w:ascii="宋体"/>
              </w:rPr>
            </w:pPr>
          </w:p>
        </w:tc>
        <w:tc>
          <w:tcPr>
            <w:tcW w:w="19" w:type="pct"/>
            <w:shd w:val="clear" w:color="auto" w:fill="auto"/>
            <w:vAlign w:val="bottom"/>
          </w:tcPr>
          <w:p w14:paraId="5F2D2B5B" w14:textId="77777777" w:rsidR="00E836FB" w:rsidRDefault="00E836FB">
            <w:pPr>
              <w:rPr>
                <w:rFonts w:ascii="宋体"/>
              </w:rPr>
            </w:pPr>
          </w:p>
        </w:tc>
        <w:tc>
          <w:tcPr>
            <w:tcW w:w="5" w:type="pct"/>
            <w:shd w:val="clear" w:color="auto" w:fill="auto"/>
            <w:vAlign w:val="bottom"/>
          </w:tcPr>
          <w:p w14:paraId="5F2D2B5C" w14:textId="77777777" w:rsidR="00E836FB" w:rsidRDefault="00E836FB">
            <w:pPr>
              <w:rPr>
                <w:rFonts w:ascii="宋体"/>
              </w:rPr>
            </w:pPr>
          </w:p>
        </w:tc>
        <w:tc>
          <w:tcPr>
            <w:tcW w:w="50" w:type="pct"/>
            <w:shd w:val="clear" w:color="auto" w:fill="auto"/>
            <w:vAlign w:val="bottom"/>
          </w:tcPr>
          <w:p w14:paraId="5F2D2B5D" w14:textId="77777777" w:rsidR="00E836FB" w:rsidRDefault="00E836FB">
            <w:pPr>
              <w:rPr>
                <w:rFonts w:ascii="宋体"/>
              </w:rPr>
            </w:pPr>
          </w:p>
        </w:tc>
        <w:tc>
          <w:tcPr>
            <w:tcW w:w="683" w:type="pct"/>
            <w:shd w:val="clear" w:color="auto" w:fill="auto"/>
            <w:vAlign w:val="bottom"/>
          </w:tcPr>
          <w:p w14:paraId="5F2D2B5E" w14:textId="77777777" w:rsidR="00E836FB" w:rsidRDefault="00E836FB">
            <w:pPr>
              <w:rPr>
                <w:rFonts w:ascii="宋体"/>
              </w:rPr>
            </w:pPr>
          </w:p>
        </w:tc>
        <w:tc>
          <w:tcPr>
            <w:tcW w:w="5" w:type="pct"/>
            <w:shd w:val="clear" w:color="auto" w:fill="auto"/>
            <w:vAlign w:val="bottom"/>
          </w:tcPr>
          <w:p w14:paraId="5F2D2B5F" w14:textId="77777777" w:rsidR="00E836FB" w:rsidRDefault="00E836FB">
            <w:pPr>
              <w:rPr>
                <w:rFonts w:ascii="宋体"/>
              </w:rPr>
            </w:pPr>
          </w:p>
        </w:tc>
        <w:tc>
          <w:tcPr>
            <w:tcW w:w="5" w:type="pct"/>
            <w:shd w:val="clear" w:color="auto" w:fill="auto"/>
            <w:vAlign w:val="bottom"/>
          </w:tcPr>
          <w:p w14:paraId="5F2D2B60" w14:textId="77777777" w:rsidR="00E836FB" w:rsidRDefault="00E836FB">
            <w:pPr>
              <w:rPr>
                <w:rFonts w:ascii="宋体"/>
              </w:rPr>
            </w:pPr>
          </w:p>
        </w:tc>
        <w:tc>
          <w:tcPr>
            <w:tcW w:w="19" w:type="pct"/>
            <w:shd w:val="clear" w:color="auto" w:fill="auto"/>
            <w:vAlign w:val="bottom"/>
          </w:tcPr>
          <w:p w14:paraId="5F2D2B61" w14:textId="77777777" w:rsidR="00E836FB" w:rsidRDefault="00E836FB">
            <w:pPr>
              <w:rPr>
                <w:rFonts w:ascii="宋体"/>
              </w:rPr>
            </w:pPr>
          </w:p>
        </w:tc>
        <w:tc>
          <w:tcPr>
            <w:tcW w:w="5" w:type="pct"/>
            <w:shd w:val="clear" w:color="auto" w:fill="auto"/>
            <w:vAlign w:val="bottom"/>
          </w:tcPr>
          <w:p w14:paraId="5F2D2B62" w14:textId="77777777" w:rsidR="00E836FB" w:rsidRDefault="00E836FB">
            <w:pPr>
              <w:rPr>
                <w:rFonts w:ascii="宋体"/>
              </w:rPr>
            </w:pPr>
          </w:p>
        </w:tc>
        <w:tc>
          <w:tcPr>
            <w:tcW w:w="50" w:type="pct"/>
            <w:shd w:val="clear" w:color="auto" w:fill="auto"/>
            <w:vAlign w:val="bottom"/>
          </w:tcPr>
          <w:p w14:paraId="5F2D2B63" w14:textId="77777777" w:rsidR="00E836FB" w:rsidRDefault="00E836FB">
            <w:pPr>
              <w:rPr>
                <w:rFonts w:ascii="宋体"/>
              </w:rPr>
            </w:pPr>
          </w:p>
        </w:tc>
        <w:tc>
          <w:tcPr>
            <w:tcW w:w="449" w:type="pct"/>
            <w:shd w:val="clear" w:color="auto" w:fill="auto"/>
            <w:vAlign w:val="bottom"/>
          </w:tcPr>
          <w:p w14:paraId="5F2D2B64" w14:textId="77777777" w:rsidR="00E836FB" w:rsidRDefault="00E836FB">
            <w:pPr>
              <w:rPr>
                <w:rFonts w:ascii="宋体"/>
              </w:rPr>
            </w:pPr>
          </w:p>
        </w:tc>
        <w:tc>
          <w:tcPr>
            <w:tcW w:w="5" w:type="pct"/>
            <w:shd w:val="clear" w:color="auto" w:fill="auto"/>
            <w:vAlign w:val="bottom"/>
          </w:tcPr>
          <w:p w14:paraId="5F2D2B65" w14:textId="77777777" w:rsidR="00E836FB" w:rsidRDefault="00E836FB">
            <w:pPr>
              <w:rPr>
                <w:rFonts w:ascii="宋体"/>
              </w:rPr>
            </w:pPr>
          </w:p>
        </w:tc>
        <w:tc>
          <w:tcPr>
            <w:tcW w:w="5" w:type="pct"/>
            <w:shd w:val="clear" w:color="auto" w:fill="auto"/>
            <w:vAlign w:val="bottom"/>
          </w:tcPr>
          <w:p w14:paraId="5F2D2B66" w14:textId="77777777" w:rsidR="00E836FB" w:rsidRDefault="00E836FB">
            <w:pPr>
              <w:rPr>
                <w:rFonts w:ascii="宋体"/>
              </w:rPr>
            </w:pPr>
          </w:p>
        </w:tc>
        <w:tc>
          <w:tcPr>
            <w:tcW w:w="19" w:type="pct"/>
            <w:shd w:val="clear" w:color="auto" w:fill="auto"/>
            <w:vAlign w:val="bottom"/>
          </w:tcPr>
          <w:p w14:paraId="5F2D2B67" w14:textId="77777777" w:rsidR="00E836FB" w:rsidRDefault="00E836FB">
            <w:pPr>
              <w:rPr>
                <w:rFonts w:ascii="宋体"/>
              </w:rPr>
            </w:pPr>
          </w:p>
        </w:tc>
        <w:tc>
          <w:tcPr>
            <w:tcW w:w="5" w:type="pct"/>
            <w:shd w:val="clear" w:color="auto" w:fill="auto"/>
            <w:vAlign w:val="bottom"/>
          </w:tcPr>
          <w:p w14:paraId="5F2D2B68" w14:textId="77777777" w:rsidR="00E836FB" w:rsidRDefault="00E836FB">
            <w:pPr>
              <w:rPr>
                <w:rFonts w:ascii="宋体"/>
              </w:rPr>
            </w:pPr>
          </w:p>
        </w:tc>
        <w:tc>
          <w:tcPr>
            <w:tcW w:w="50" w:type="pct"/>
            <w:shd w:val="clear" w:color="auto" w:fill="auto"/>
            <w:vAlign w:val="bottom"/>
          </w:tcPr>
          <w:p w14:paraId="5F2D2B69" w14:textId="77777777" w:rsidR="00E836FB" w:rsidRDefault="00E836FB">
            <w:pPr>
              <w:rPr>
                <w:rFonts w:ascii="宋体"/>
              </w:rPr>
            </w:pPr>
          </w:p>
        </w:tc>
        <w:tc>
          <w:tcPr>
            <w:tcW w:w="1085" w:type="pct"/>
            <w:shd w:val="clear" w:color="auto" w:fill="auto"/>
            <w:vAlign w:val="bottom"/>
          </w:tcPr>
          <w:p w14:paraId="5F2D2B6A" w14:textId="77777777" w:rsidR="00E836FB" w:rsidRDefault="00E836FB">
            <w:pPr>
              <w:rPr>
                <w:rFonts w:ascii="宋体"/>
              </w:rPr>
            </w:pPr>
          </w:p>
        </w:tc>
        <w:tc>
          <w:tcPr>
            <w:tcW w:w="5" w:type="pct"/>
            <w:shd w:val="clear" w:color="auto" w:fill="auto"/>
            <w:vAlign w:val="bottom"/>
          </w:tcPr>
          <w:p w14:paraId="5F2D2B6B" w14:textId="77777777" w:rsidR="00E836FB" w:rsidRDefault="00E836FB">
            <w:pPr>
              <w:rPr>
                <w:rFonts w:ascii="宋体"/>
              </w:rPr>
            </w:pPr>
          </w:p>
        </w:tc>
        <w:tc>
          <w:tcPr>
            <w:tcW w:w="5" w:type="pct"/>
            <w:shd w:val="clear" w:color="auto" w:fill="auto"/>
            <w:vAlign w:val="bottom"/>
          </w:tcPr>
          <w:p w14:paraId="5F2D2B6C" w14:textId="77777777" w:rsidR="00E836FB" w:rsidRDefault="00E836FB">
            <w:pPr>
              <w:rPr>
                <w:rFonts w:ascii="宋体"/>
              </w:rPr>
            </w:pPr>
          </w:p>
        </w:tc>
        <w:tc>
          <w:tcPr>
            <w:tcW w:w="19" w:type="pct"/>
            <w:shd w:val="clear" w:color="auto" w:fill="auto"/>
            <w:vAlign w:val="bottom"/>
          </w:tcPr>
          <w:p w14:paraId="5F2D2B6D" w14:textId="77777777" w:rsidR="00E836FB" w:rsidRDefault="00E836FB">
            <w:pPr>
              <w:rPr>
                <w:rFonts w:ascii="宋体"/>
              </w:rPr>
            </w:pPr>
          </w:p>
        </w:tc>
        <w:tc>
          <w:tcPr>
            <w:tcW w:w="5" w:type="pct"/>
            <w:shd w:val="clear" w:color="auto" w:fill="auto"/>
            <w:vAlign w:val="bottom"/>
          </w:tcPr>
          <w:p w14:paraId="5F2D2B6E" w14:textId="77777777" w:rsidR="00E836FB" w:rsidRDefault="00E836FB">
            <w:pPr>
              <w:rPr>
                <w:rFonts w:ascii="宋体"/>
              </w:rPr>
            </w:pPr>
          </w:p>
        </w:tc>
        <w:tc>
          <w:tcPr>
            <w:tcW w:w="50" w:type="pct"/>
            <w:shd w:val="clear" w:color="auto" w:fill="auto"/>
            <w:vAlign w:val="bottom"/>
          </w:tcPr>
          <w:p w14:paraId="5F2D2B6F" w14:textId="77777777" w:rsidR="00E836FB" w:rsidRDefault="00E836FB">
            <w:pPr>
              <w:rPr>
                <w:rFonts w:ascii="宋体"/>
              </w:rPr>
            </w:pPr>
          </w:p>
        </w:tc>
        <w:tc>
          <w:tcPr>
            <w:tcW w:w="580" w:type="pct"/>
            <w:shd w:val="clear" w:color="auto" w:fill="auto"/>
            <w:vAlign w:val="bottom"/>
          </w:tcPr>
          <w:p w14:paraId="5F2D2B70" w14:textId="77777777" w:rsidR="00E836FB" w:rsidRDefault="00E836FB">
            <w:pPr>
              <w:rPr>
                <w:rFonts w:ascii="宋体"/>
              </w:rPr>
            </w:pPr>
          </w:p>
        </w:tc>
        <w:tc>
          <w:tcPr>
            <w:tcW w:w="5" w:type="pct"/>
            <w:shd w:val="clear" w:color="auto" w:fill="auto"/>
            <w:vAlign w:val="bottom"/>
          </w:tcPr>
          <w:p w14:paraId="5F2D2B71" w14:textId="77777777" w:rsidR="00E836FB" w:rsidRDefault="00E836FB">
            <w:pPr>
              <w:rPr>
                <w:rFonts w:ascii="宋体"/>
              </w:rPr>
            </w:pPr>
          </w:p>
        </w:tc>
        <w:tc>
          <w:tcPr>
            <w:tcW w:w="5" w:type="pct"/>
            <w:shd w:val="clear" w:color="auto" w:fill="auto"/>
            <w:vAlign w:val="bottom"/>
          </w:tcPr>
          <w:p w14:paraId="5F2D2B72" w14:textId="77777777" w:rsidR="00E836FB" w:rsidRDefault="00E836FB">
            <w:pPr>
              <w:rPr>
                <w:rFonts w:ascii="宋体"/>
              </w:rPr>
            </w:pPr>
          </w:p>
        </w:tc>
        <w:tc>
          <w:tcPr>
            <w:tcW w:w="19" w:type="pct"/>
            <w:shd w:val="clear" w:color="auto" w:fill="auto"/>
            <w:vAlign w:val="bottom"/>
          </w:tcPr>
          <w:p w14:paraId="5F2D2B73" w14:textId="77777777" w:rsidR="00E836FB" w:rsidRDefault="00E836FB">
            <w:pPr>
              <w:rPr>
                <w:rFonts w:ascii="宋体"/>
              </w:rPr>
            </w:pPr>
          </w:p>
        </w:tc>
        <w:tc>
          <w:tcPr>
            <w:tcW w:w="5" w:type="pct"/>
            <w:shd w:val="clear" w:color="auto" w:fill="auto"/>
            <w:vAlign w:val="bottom"/>
          </w:tcPr>
          <w:p w14:paraId="5F2D2B74" w14:textId="77777777" w:rsidR="00E836FB" w:rsidRDefault="00E836FB">
            <w:pPr>
              <w:rPr>
                <w:rFonts w:ascii="宋体"/>
              </w:rPr>
            </w:pPr>
          </w:p>
        </w:tc>
        <w:tc>
          <w:tcPr>
            <w:tcW w:w="50" w:type="pct"/>
            <w:shd w:val="clear" w:color="auto" w:fill="auto"/>
            <w:vAlign w:val="bottom"/>
          </w:tcPr>
          <w:p w14:paraId="5F2D2B75" w14:textId="77777777" w:rsidR="00E836FB" w:rsidRDefault="00E836FB">
            <w:pPr>
              <w:rPr>
                <w:rFonts w:ascii="宋体"/>
              </w:rPr>
            </w:pPr>
          </w:p>
        </w:tc>
        <w:tc>
          <w:tcPr>
            <w:tcW w:w="420" w:type="pct"/>
            <w:shd w:val="clear" w:color="auto" w:fill="auto"/>
            <w:vAlign w:val="bottom"/>
          </w:tcPr>
          <w:p w14:paraId="5F2D2B76" w14:textId="77777777" w:rsidR="00E836FB" w:rsidRDefault="00E836FB">
            <w:pPr>
              <w:rPr>
                <w:rFonts w:ascii="宋体"/>
              </w:rPr>
            </w:pPr>
          </w:p>
        </w:tc>
        <w:tc>
          <w:tcPr>
            <w:tcW w:w="5" w:type="pct"/>
            <w:shd w:val="clear" w:color="auto" w:fill="auto"/>
            <w:vAlign w:val="bottom"/>
          </w:tcPr>
          <w:p w14:paraId="5F2D2B77" w14:textId="77777777" w:rsidR="00E836FB" w:rsidRDefault="00E836FB">
            <w:pPr>
              <w:rPr>
                <w:rFonts w:ascii="宋体"/>
              </w:rPr>
            </w:pPr>
          </w:p>
        </w:tc>
        <w:tc>
          <w:tcPr>
            <w:tcW w:w="5" w:type="pct"/>
            <w:shd w:val="clear" w:color="auto" w:fill="auto"/>
            <w:vAlign w:val="bottom"/>
          </w:tcPr>
          <w:p w14:paraId="5F2D2B78" w14:textId="77777777" w:rsidR="00E836FB" w:rsidRDefault="00E836FB">
            <w:pPr>
              <w:rPr>
                <w:rFonts w:ascii="宋体"/>
              </w:rPr>
            </w:pPr>
          </w:p>
        </w:tc>
        <w:tc>
          <w:tcPr>
            <w:tcW w:w="19" w:type="pct"/>
            <w:shd w:val="clear" w:color="auto" w:fill="auto"/>
            <w:vAlign w:val="bottom"/>
          </w:tcPr>
          <w:p w14:paraId="5F2D2B79" w14:textId="77777777" w:rsidR="00E836FB" w:rsidRDefault="00E836FB">
            <w:pPr>
              <w:rPr>
                <w:rFonts w:ascii="宋体"/>
              </w:rPr>
            </w:pPr>
          </w:p>
        </w:tc>
        <w:tc>
          <w:tcPr>
            <w:tcW w:w="5" w:type="pct"/>
            <w:shd w:val="clear" w:color="auto" w:fill="auto"/>
            <w:vAlign w:val="bottom"/>
          </w:tcPr>
          <w:p w14:paraId="5F2D2B7A" w14:textId="77777777" w:rsidR="00E836FB" w:rsidRDefault="00E836FB">
            <w:pPr>
              <w:rPr>
                <w:rFonts w:ascii="宋体"/>
              </w:rPr>
            </w:pPr>
          </w:p>
        </w:tc>
        <w:tc>
          <w:tcPr>
            <w:tcW w:w="50" w:type="pct"/>
            <w:shd w:val="clear" w:color="auto" w:fill="auto"/>
            <w:vAlign w:val="bottom"/>
          </w:tcPr>
          <w:p w14:paraId="5F2D2B7B" w14:textId="77777777" w:rsidR="00E836FB" w:rsidRDefault="00E836FB">
            <w:pPr>
              <w:rPr>
                <w:rFonts w:ascii="宋体"/>
              </w:rPr>
            </w:pPr>
          </w:p>
        </w:tc>
        <w:tc>
          <w:tcPr>
            <w:tcW w:w="420" w:type="pct"/>
            <w:shd w:val="clear" w:color="auto" w:fill="auto"/>
            <w:vAlign w:val="bottom"/>
          </w:tcPr>
          <w:p w14:paraId="5F2D2B7C" w14:textId="77777777" w:rsidR="00E836FB" w:rsidRDefault="00E836FB">
            <w:pPr>
              <w:rPr>
                <w:rFonts w:ascii="宋体"/>
              </w:rPr>
            </w:pPr>
          </w:p>
        </w:tc>
        <w:tc>
          <w:tcPr>
            <w:tcW w:w="5" w:type="pct"/>
            <w:shd w:val="clear" w:color="auto" w:fill="auto"/>
            <w:vAlign w:val="bottom"/>
          </w:tcPr>
          <w:p w14:paraId="5F2D2B7D" w14:textId="77777777" w:rsidR="00E836FB" w:rsidRDefault="00E836FB">
            <w:pPr>
              <w:rPr>
                <w:rFonts w:ascii="宋体"/>
              </w:rPr>
            </w:pPr>
          </w:p>
        </w:tc>
      </w:tr>
      <w:tr w:rsidR="00E836FB" w14:paraId="5F2D2B8A" w14:textId="77777777">
        <w:tc>
          <w:tcPr>
            <w:tcW w:w="0" w:type="auto"/>
            <w:gridSpan w:val="3"/>
            <w:shd w:val="clear" w:color="auto" w:fill="auto"/>
            <w:tcMar>
              <w:top w:w="40" w:type="dxa"/>
              <w:left w:w="20" w:type="dxa"/>
              <w:bottom w:w="40" w:type="dxa"/>
              <w:right w:w="20" w:type="dxa"/>
            </w:tcMar>
            <w:vAlign w:val="center"/>
          </w:tcPr>
          <w:p w14:paraId="5F2D2B7F" w14:textId="77777777" w:rsidR="00E836FB" w:rsidRDefault="00994958">
            <w:pPr>
              <w:textAlignment w:val="center"/>
            </w:pPr>
            <w:r>
              <w:rPr>
                <w:rFonts w:ascii="Arial" w:eastAsia="宋体" w:hAnsi="Arial" w:cs="Arial"/>
                <w:b/>
                <w:bCs/>
                <w:color w:val="000000"/>
                <w:sz w:val="14"/>
                <w:szCs w:val="14"/>
              </w:rPr>
              <w:t>(Dollars in millions)</w:t>
            </w:r>
          </w:p>
        </w:tc>
        <w:tc>
          <w:tcPr>
            <w:tcW w:w="0" w:type="auto"/>
            <w:gridSpan w:val="3"/>
            <w:shd w:val="clear" w:color="auto" w:fill="auto"/>
            <w:tcMar>
              <w:top w:w="0" w:type="dxa"/>
              <w:left w:w="20" w:type="dxa"/>
              <w:bottom w:w="0" w:type="dxa"/>
              <w:right w:w="20" w:type="dxa"/>
            </w:tcMar>
            <w:vAlign w:val="bottom"/>
          </w:tcPr>
          <w:p w14:paraId="5F2D2B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B88"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center"/>
          </w:tcPr>
          <w:p w14:paraId="5F2D2B89" w14:textId="77777777" w:rsidR="00E836FB" w:rsidRDefault="00994958">
            <w:pPr>
              <w:jc w:val="center"/>
              <w:textAlignment w:val="center"/>
            </w:pPr>
            <w:r>
              <w:rPr>
                <w:rFonts w:ascii="Arial" w:eastAsia="宋体" w:hAnsi="Arial" w:cs="Arial"/>
                <w:b/>
                <w:bCs/>
                <w:color w:val="000000"/>
                <w:sz w:val="14"/>
                <w:szCs w:val="14"/>
              </w:rPr>
              <w:t>As of December 31,</w:t>
            </w:r>
          </w:p>
        </w:tc>
      </w:tr>
      <w:tr w:rsidR="00E836FB" w14:paraId="5F2D2B98" w14:textId="77777777">
        <w:tc>
          <w:tcPr>
            <w:tcW w:w="0" w:type="auto"/>
            <w:gridSpan w:val="3"/>
            <w:shd w:val="clear" w:color="auto" w:fill="auto"/>
            <w:tcMar>
              <w:top w:w="40" w:type="dxa"/>
              <w:left w:w="87" w:type="dxa"/>
              <w:bottom w:w="40" w:type="dxa"/>
              <w:right w:w="87" w:type="dxa"/>
            </w:tcMar>
            <w:vAlign w:val="center"/>
          </w:tcPr>
          <w:p w14:paraId="5F2D2B8B" w14:textId="77777777" w:rsidR="00E836FB" w:rsidRDefault="00994958">
            <w:pPr>
              <w:jc w:val="center"/>
              <w:textAlignment w:val="center"/>
            </w:pPr>
            <w:r>
              <w:rPr>
                <w:rFonts w:ascii="Arial" w:eastAsia="宋体" w:hAnsi="Arial" w:cs="Arial"/>
                <w:b/>
                <w:bCs/>
                <w:color w:val="000000"/>
                <w:sz w:val="14"/>
                <w:szCs w:val="14"/>
              </w:rPr>
              <w:t>Issuance Date</w:t>
            </w:r>
          </w:p>
        </w:tc>
        <w:tc>
          <w:tcPr>
            <w:tcW w:w="0" w:type="auto"/>
            <w:gridSpan w:val="3"/>
            <w:shd w:val="clear" w:color="auto" w:fill="auto"/>
            <w:tcMar>
              <w:top w:w="0" w:type="dxa"/>
              <w:left w:w="20" w:type="dxa"/>
              <w:bottom w:w="0" w:type="dxa"/>
              <w:right w:w="20" w:type="dxa"/>
            </w:tcMar>
            <w:vAlign w:val="bottom"/>
          </w:tcPr>
          <w:p w14:paraId="5F2D2B8C" w14:textId="77777777" w:rsidR="00E836FB" w:rsidRDefault="00E836FB">
            <w:pPr>
              <w:rPr>
                <w:rFonts w:ascii="宋体"/>
              </w:rPr>
            </w:pPr>
          </w:p>
        </w:tc>
        <w:tc>
          <w:tcPr>
            <w:tcW w:w="0" w:type="auto"/>
            <w:gridSpan w:val="3"/>
            <w:shd w:val="clear" w:color="auto" w:fill="auto"/>
            <w:tcMar>
              <w:top w:w="40" w:type="dxa"/>
              <w:left w:w="87" w:type="dxa"/>
              <w:bottom w:w="40" w:type="dxa"/>
              <w:right w:w="87" w:type="dxa"/>
            </w:tcMar>
            <w:vAlign w:val="center"/>
          </w:tcPr>
          <w:p w14:paraId="5F2D2B8D" w14:textId="77777777" w:rsidR="00E836FB" w:rsidRDefault="00994958">
            <w:pPr>
              <w:jc w:val="center"/>
              <w:textAlignment w:val="center"/>
            </w:pPr>
            <w:r>
              <w:rPr>
                <w:rFonts w:ascii="Arial" w:eastAsia="宋体" w:hAnsi="Arial" w:cs="Arial"/>
                <w:b/>
                <w:bCs/>
                <w:color w:val="000000"/>
                <w:sz w:val="14"/>
                <w:szCs w:val="14"/>
              </w:rPr>
              <w:t>Maturity Date</w:t>
            </w:r>
          </w:p>
        </w:tc>
        <w:tc>
          <w:tcPr>
            <w:tcW w:w="0" w:type="auto"/>
            <w:gridSpan w:val="3"/>
            <w:shd w:val="clear" w:color="auto" w:fill="auto"/>
            <w:tcMar>
              <w:top w:w="0" w:type="dxa"/>
              <w:left w:w="20" w:type="dxa"/>
              <w:bottom w:w="0" w:type="dxa"/>
              <w:right w:w="20" w:type="dxa"/>
            </w:tcMar>
            <w:vAlign w:val="bottom"/>
          </w:tcPr>
          <w:p w14:paraId="5F2D2B8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2B8F" w14:textId="77777777" w:rsidR="00E836FB" w:rsidRDefault="00994958">
            <w:pPr>
              <w:jc w:val="center"/>
              <w:textAlignment w:val="center"/>
            </w:pPr>
            <w:r>
              <w:rPr>
                <w:rFonts w:ascii="Arial" w:eastAsia="宋体" w:hAnsi="Arial" w:cs="Arial"/>
                <w:b/>
                <w:bCs/>
                <w:color w:val="000000"/>
                <w:sz w:val="14"/>
                <w:szCs w:val="14"/>
              </w:rPr>
              <w:t>Coupon Rate</w:t>
            </w:r>
          </w:p>
        </w:tc>
        <w:tc>
          <w:tcPr>
            <w:tcW w:w="0" w:type="auto"/>
            <w:gridSpan w:val="3"/>
            <w:shd w:val="clear" w:color="auto" w:fill="auto"/>
            <w:tcMar>
              <w:top w:w="0" w:type="dxa"/>
              <w:left w:w="20" w:type="dxa"/>
              <w:bottom w:w="0" w:type="dxa"/>
              <w:right w:w="20" w:type="dxa"/>
            </w:tcMar>
            <w:vAlign w:val="bottom"/>
          </w:tcPr>
          <w:p w14:paraId="5F2D2B9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2B91" w14:textId="77777777" w:rsidR="00E836FB" w:rsidRDefault="00994958">
            <w:pPr>
              <w:jc w:val="center"/>
              <w:textAlignment w:val="center"/>
            </w:pPr>
            <w:r>
              <w:rPr>
                <w:rFonts w:ascii="Arial" w:eastAsia="宋体" w:hAnsi="Arial" w:cs="Arial"/>
                <w:b/>
                <w:bCs/>
                <w:color w:val="000000"/>
                <w:sz w:val="14"/>
                <w:szCs w:val="14"/>
              </w:rPr>
              <w:t>Seniority</w:t>
            </w:r>
          </w:p>
        </w:tc>
        <w:tc>
          <w:tcPr>
            <w:tcW w:w="0" w:type="auto"/>
            <w:gridSpan w:val="3"/>
            <w:shd w:val="clear" w:color="auto" w:fill="auto"/>
            <w:tcMar>
              <w:top w:w="0" w:type="dxa"/>
              <w:left w:w="20" w:type="dxa"/>
              <w:bottom w:w="0" w:type="dxa"/>
              <w:right w:w="20" w:type="dxa"/>
            </w:tcMar>
            <w:vAlign w:val="bottom"/>
          </w:tcPr>
          <w:p w14:paraId="5F2D2B9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2B93" w14:textId="77777777" w:rsidR="00E836FB" w:rsidRDefault="00994958">
            <w:pPr>
              <w:jc w:val="center"/>
              <w:textAlignment w:val="center"/>
            </w:pPr>
            <w:r>
              <w:rPr>
                <w:rFonts w:ascii="Arial" w:eastAsia="宋体" w:hAnsi="Arial" w:cs="Arial"/>
                <w:b/>
                <w:bCs/>
                <w:color w:val="000000"/>
                <w:sz w:val="14"/>
                <w:szCs w:val="14"/>
              </w:rPr>
              <w:t>Interest Due Dates</w:t>
            </w:r>
          </w:p>
        </w:tc>
        <w:tc>
          <w:tcPr>
            <w:tcW w:w="0" w:type="auto"/>
            <w:gridSpan w:val="3"/>
            <w:shd w:val="clear" w:color="auto" w:fill="auto"/>
            <w:tcMar>
              <w:top w:w="0" w:type="dxa"/>
              <w:left w:w="20" w:type="dxa"/>
              <w:bottom w:w="0" w:type="dxa"/>
              <w:right w:w="20" w:type="dxa"/>
            </w:tcMar>
            <w:vAlign w:val="bottom"/>
          </w:tcPr>
          <w:p w14:paraId="5F2D2B9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F2D2B95" w14:textId="77777777" w:rsidR="00E836FB" w:rsidRDefault="00994958">
            <w:pPr>
              <w:jc w:val="center"/>
              <w:textAlignment w:val="center"/>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B9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F2D2B97" w14:textId="77777777" w:rsidR="00E836FB" w:rsidRDefault="00994958">
            <w:pPr>
              <w:jc w:val="center"/>
              <w:textAlignment w:val="center"/>
            </w:pPr>
            <w:r>
              <w:rPr>
                <w:rFonts w:ascii="Arial" w:eastAsia="宋体" w:hAnsi="Arial" w:cs="Arial"/>
                <w:b/>
                <w:bCs/>
                <w:color w:val="000000"/>
                <w:sz w:val="14"/>
                <w:szCs w:val="14"/>
              </w:rPr>
              <w:t>2020</w:t>
            </w:r>
          </w:p>
        </w:tc>
      </w:tr>
      <w:tr w:rsidR="00E836FB" w14:paraId="5F2D2BAA" w14:textId="77777777">
        <w:trPr>
          <w:hidden/>
        </w:trPr>
        <w:tc>
          <w:tcPr>
            <w:tcW w:w="0" w:type="auto"/>
            <w:gridSpan w:val="3"/>
            <w:shd w:val="clear" w:color="auto" w:fill="auto"/>
            <w:vAlign w:val="bottom"/>
          </w:tcPr>
          <w:p w14:paraId="5F2D2B99" w14:textId="77777777" w:rsidR="00E836FB" w:rsidRDefault="00E836FB">
            <w:pPr>
              <w:rPr>
                <w:rFonts w:ascii="宋体"/>
                <w:vanish/>
              </w:rPr>
            </w:pPr>
          </w:p>
        </w:tc>
        <w:tc>
          <w:tcPr>
            <w:tcW w:w="0" w:type="auto"/>
            <w:gridSpan w:val="3"/>
            <w:shd w:val="clear" w:color="auto" w:fill="auto"/>
            <w:vAlign w:val="bottom"/>
          </w:tcPr>
          <w:p w14:paraId="5F2D2B9A" w14:textId="77777777" w:rsidR="00E836FB" w:rsidRDefault="00E836FB">
            <w:pPr>
              <w:rPr>
                <w:rFonts w:ascii="宋体"/>
                <w:vanish/>
              </w:rPr>
            </w:pPr>
          </w:p>
        </w:tc>
        <w:tc>
          <w:tcPr>
            <w:tcW w:w="0" w:type="auto"/>
            <w:gridSpan w:val="3"/>
            <w:shd w:val="clear" w:color="auto" w:fill="auto"/>
            <w:vAlign w:val="bottom"/>
          </w:tcPr>
          <w:p w14:paraId="5F2D2B9B" w14:textId="77777777" w:rsidR="00E836FB" w:rsidRDefault="00E836FB">
            <w:pPr>
              <w:rPr>
                <w:rFonts w:ascii="宋体"/>
                <w:vanish/>
              </w:rPr>
            </w:pPr>
          </w:p>
        </w:tc>
        <w:tc>
          <w:tcPr>
            <w:tcW w:w="0" w:type="auto"/>
            <w:gridSpan w:val="3"/>
            <w:shd w:val="clear" w:color="auto" w:fill="auto"/>
            <w:vAlign w:val="bottom"/>
          </w:tcPr>
          <w:p w14:paraId="5F2D2B9C" w14:textId="77777777" w:rsidR="00E836FB" w:rsidRDefault="00E836FB">
            <w:pPr>
              <w:rPr>
                <w:rFonts w:ascii="宋体"/>
                <w:vanish/>
              </w:rPr>
            </w:pPr>
          </w:p>
        </w:tc>
        <w:tc>
          <w:tcPr>
            <w:tcW w:w="0" w:type="auto"/>
            <w:gridSpan w:val="3"/>
            <w:shd w:val="clear" w:color="auto" w:fill="auto"/>
            <w:vAlign w:val="bottom"/>
          </w:tcPr>
          <w:p w14:paraId="5F2D2B9D" w14:textId="77777777" w:rsidR="00E836FB" w:rsidRDefault="00E836FB">
            <w:pPr>
              <w:rPr>
                <w:rFonts w:ascii="宋体"/>
                <w:vanish/>
              </w:rPr>
            </w:pPr>
          </w:p>
        </w:tc>
        <w:tc>
          <w:tcPr>
            <w:tcW w:w="0" w:type="auto"/>
            <w:gridSpan w:val="3"/>
            <w:shd w:val="clear" w:color="auto" w:fill="auto"/>
            <w:vAlign w:val="bottom"/>
          </w:tcPr>
          <w:p w14:paraId="5F2D2B9E" w14:textId="77777777" w:rsidR="00E836FB" w:rsidRDefault="00E836FB">
            <w:pPr>
              <w:rPr>
                <w:rFonts w:ascii="宋体"/>
                <w:vanish/>
              </w:rPr>
            </w:pPr>
          </w:p>
        </w:tc>
        <w:tc>
          <w:tcPr>
            <w:tcW w:w="0" w:type="auto"/>
            <w:gridSpan w:val="3"/>
            <w:shd w:val="clear" w:color="auto" w:fill="auto"/>
            <w:vAlign w:val="bottom"/>
          </w:tcPr>
          <w:p w14:paraId="5F2D2B9F" w14:textId="77777777" w:rsidR="00E836FB" w:rsidRDefault="00E836FB">
            <w:pPr>
              <w:rPr>
                <w:rFonts w:ascii="宋体"/>
                <w:vanish/>
              </w:rPr>
            </w:pPr>
          </w:p>
        </w:tc>
        <w:tc>
          <w:tcPr>
            <w:tcW w:w="0" w:type="auto"/>
            <w:gridSpan w:val="3"/>
            <w:shd w:val="clear" w:color="auto" w:fill="auto"/>
            <w:vAlign w:val="bottom"/>
          </w:tcPr>
          <w:p w14:paraId="5F2D2BA0" w14:textId="77777777" w:rsidR="00E836FB" w:rsidRDefault="00E836FB">
            <w:pPr>
              <w:rPr>
                <w:rFonts w:ascii="宋体"/>
                <w:vanish/>
              </w:rPr>
            </w:pPr>
          </w:p>
        </w:tc>
        <w:tc>
          <w:tcPr>
            <w:tcW w:w="0" w:type="auto"/>
            <w:gridSpan w:val="3"/>
            <w:shd w:val="clear" w:color="auto" w:fill="auto"/>
            <w:vAlign w:val="bottom"/>
          </w:tcPr>
          <w:p w14:paraId="5F2D2BA1" w14:textId="77777777" w:rsidR="00E836FB" w:rsidRDefault="00E836FB">
            <w:pPr>
              <w:rPr>
                <w:rFonts w:ascii="宋体"/>
                <w:vanish/>
              </w:rPr>
            </w:pPr>
          </w:p>
        </w:tc>
        <w:tc>
          <w:tcPr>
            <w:tcW w:w="0" w:type="auto"/>
            <w:gridSpan w:val="3"/>
            <w:shd w:val="clear" w:color="auto" w:fill="auto"/>
            <w:vAlign w:val="bottom"/>
          </w:tcPr>
          <w:p w14:paraId="5F2D2BA2" w14:textId="77777777" w:rsidR="00E836FB" w:rsidRDefault="00E836FB">
            <w:pPr>
              <w:rPr>
                <w:rFonts w:ascii="宋体"/>
                <w:vanish/>
              </w:rPr>
            </w:pPr>
          </w:p>
        </w:tc>
        <w:tc>
          <w:tcPr>
            <w:tcW w:w="0" w:type="auto"/>
            <w:gridSpan w:val="3"/>
            <w:shd w:val="clear" w:color="auto" w:fill="auto"/>
            <w:vAlign w:val="bottom"/>
          </w:tcPr>
          <w:p w14:paraId="5F2D2BA3" w14:textId="77777777" w:rsidR="00E836FB" w:rsidRDefault="00E836FB">
            <w:pPr>
              <w:rPr>
                <w:rFonts w:ascii="宋体"/>
                <w:vanish/>
              </w:rPr>
            </w:pPr>
          </w:p>
        </w:tc>
        <w:tc>
          <w:tcPr>
            <w:tcW w:w="0" w:type="auto"/>
            <w:shd w:val="clear" w:color="auto" w:fill="auto"/>
            <w:vAlign w:val="bottom"/>
          </w:tcPr>
          <w:p w14:paraId="5F2D2BA4" w14:textId="77777777" w:rsidR="00E836FB" w:rsidRDefault="00E836FB">
            <w:pPr>
              <w:rPr>
                <w:rFonts w:ascii="宋体"/>
              </w:rPr>
            </w:pPr>
          </w:p>
        </w:tc>
        <w:tc>
          <w:tcPr>
            <w:tcW w:w="0" w:type="auto"/>
            <w:shd w:val="clear" w:color="auto" w:fill="auto"/>
            <w:vAlign w:val="bottom"/>
          </w:tcPr>
          <w:p w14:paraId="5F2D2BA5" w14:textId="77777777" w:rsidR="00E836FB" w:rsidRDefault="00E836FB">
            <w:pPr>
              <w:rPr>
                <w:rFonts w:ascii="宋体"/>
              </w:rPr>
            </w:pPr>
          </w:p>
        </w:tc>
        <w:tc>
          <w:tcPr>
            <w:tcW w:w="0" w:type="auto"/>
            <w:shd w:val="clear" w:color="auto" w:fill="auto"/>
            <w:vAlign w:val="bottom"/>
          </w:tcPr>
          <w:p w14:paraId="5F2D2BA6" w14:textId="77777777" w:rsidR="00E836FB" w:rsidRDefault="00E836FB">
            <w:pPr>
              <w:rPr>
                <w:rFonts w:ascii="宋体"/>
              </w:rPr>
            </w:pPr>
          </w:p>
        </w:tc>
        <w:tc>
          <w:tcPr>
            <w:tcW w:w="0" w:type="auto"/>
            <w:shd w:val="clear" w:color="auto" w:fill="auto"/>
            <w:vAlign w:val="bottom"/>
          </w:tcPr>
          <w:p w14:paraId="5F2D2BA7" w14:textId="77777777" w:rsidR="00E836FB" w:rsidRDefault="00E836FB">
            <w:pPr>
              <w:rPr>
                <w:rFonts w:ascii="宋体"/>
              </w:rPr>
            </w:pPr>
          </w:p>
        </w:tc>
        <w:tc>
          <w:tcPr>
            <w:tcW w:w="0" w:type="auto"/>
            <w:shd w:val="clear" w:color="auto" w:fill="auto"/>
            <w:vAlign w:val="bottom"/>
          </w:tcPr>
          <w:p w14:paraId="5F2D2BA8" w14:textId="77777777" w:rsidR="00E836FB" w:rsidRDefault="00E836FB">
            <w:pPr>
              <w:rPr>
                <w:rFonts w:ascii="宋体"/>
              </w:rPr>
            </w:pPr>
          </w:p>
        </w:tc>
        <w:tc>
          <w:tcPr>
            <w:tcW w:w="0" w:type="auto"/>
            <w:shd w:val="clear" w:color="auto" w:fill="auto"/>
            <w:vAlign w:val="bottom"/>
          </w:tcPr>
          <w:p w14:paraId="5F2D2BA9" w14:textId="77777777" w:rsidR="00E836FB" w:rsidRDefault="00E836FB">
            <w:pPr>
              <w:rPr>
                <w:rFonts w:ascii="宋体"/>
              </w:rPr>
            </w:pPr>
          </w:p>
        </w:tc>
      </w:tr>
      <w:tr w:rsidR="00E836FB" w14:paraId="5F2D2BB8" w14:textId="77777777">
        <w:trPr>
          <w:hidden/>
        </w:trPr>
        <w:tc>
          <w:tcPr>
            <w:tcW w:w="0" w:type="auto"/>
            <w:gridSpan w:val="3"/>
            <w:shd w:val="clear" w:color="auto" w:fill="auto"/>
            <w:vAlign w:val="bottom"/>
          </w:tcPr>
          <w:p w14:paraId="5F2D2BAB" w14:textId="77777777" w:rsidR="00E836FB" w:rsidRDefault="00E836FB">
            <w:pPr>
              <w:rPr>
                <w:rFonts w:ascii="宋体"/>
                <w:vanish/>
              </w:rPr>
            </w:pPr>
          </w:p>
        </w:tc>
        <w:tc>
          <w:tcPr>
            <w:tcW w:w="0" w:type="auto"/>
            <w:gridSpan w:val="3"/>
            <w:shd w:val="clear" w:color="auto" w:fill="auto"/>
            <w:vAlign w:val="bottom"/>
          </w:tcPr>
          <w:p w14:paraId="5F2D2BAC" w14:textId="77777777" w:rsidR="00E836FB" w:rsidRDefault="00E836FB">
            <w:pPr>
              <w:rPr>
                <w:rFonts w:ascii="宋体"/>
                <w:vanish/>
              </w:rPr>
            </w:pPr>
          </w:p>
        </w:tc>
        <w:tc>
          <w:tcPr>
            <w:tcW w:w="0" w:type="auto"/>
            <w:gridSpan w:val="3"/>
            <w:shd w:val="clear" w:color="auto" w:fill="auto"/>
            <w:vAlign w:val="bottom"/>
          </w:tcPr>
          <w:p w14:paraId="5F2D2BAD" w14:textId="77777777" w:rsidR="00E836FB" w:rsidRDefault="00E836FB">
            <w:pPr>
              <w:rPr>
                <w:rFonts w:ascii="宋体"/>
                <w:vanish/>
              </w:rPr>
            </w:pPr>
          </w:p>
        </w:tc>
        <w:tc>
          <w:tcPr>
            <w:tcW w:w="0" w:type="auto"/>
            <w:gridSpan w:val="3"/>
            <w:shd w:val="clear" w:color="auto" w:fill="auto"/>
            <w:vAlign w:val="bottom"/>
          </w:tcPr>
          <w:p w14:paraId="5F2D2BAE" w14:textId="77777777" w:rsidR="00E836FB" w:rsidRDefault="00E836FB">
            <w:pPr>
              <w:rPr>
                <w:rFonts w:ascii="宋体"/>
                <w:vanish/>
              </w:rPr>
            </w:pPr>
          </w:p>
        </w:tc>
        <w:tc>
          <w:tcPr>
            <w:tcW w:w="0" w:type="auto"/>
            <w:gridSpan w:val="3"/>
            <w:shd w:val="clear" w:color="auto" w:fill="auto"/>
            <w:vAlign w:val="bottom"/>
          </w:tcPr>
          <w:p w14:paraId="5F2D2BAF" w14:textId="77777777" w:rsidR="00E836FB" w:rsidRDefault="00E836FB">
            <w:pPr>
              <w:rPr>
                <w:rFonts w:ascii="宋体"/>
                <w:vanish/>
              </w:rPr>
            </w:pPr>
          </w:p>
        </w:tc>
        <w:tc>
          <w:tcPr>
            <w:tcW w:w="0" w:type="auto"/>
            <w:gridSpan w:val="3"/>
            <w:shd w:val="clear" w:color="auto" w:fill="auto"/>
            <w:vAlign w:val="bottom"/>
          </w:tcPr>
          <w:p w14:paraId="5F2D2BB0" w14:textId="77777777" w:rsidR="00E836FB" w:rsidRDefault="00E836FB">
            <w:pPr>
              <w:rPr>
                <w:rFonts w:ascii="宋体"/>
                <w:vanish/>
              </w:rPr>
            </w:pPr>
          </w:p>
        </w:tc>
        <w:tc>
          <w:tcPr>
            <w:tcW w:w="0" w:type="auto"/>
            <w:gridSpan w:val="3"/>
            <w:shd w:val="clear" w:color="auto" w:fill="auto"/>
            <w:vAlign w:val="bottom"/>
          </w:tcPr>
          <w:p w14:paraId="5F2D2BB1" w14:textId="77777777" w:rsidR="00E836FB" w:rsidRDefault="00E836FB">
            <w:pPr>
              <w:rPr>
                <w:rFonts w:ascii="宋体"/>
                <w:vanish/>
              </w:rPr>
            </w:pPr>
          </w:p>
        </w:tc>
        <w:tc>
          <w:tcPr>
            <w:tcW w:w="0" w:type="auto"/>
            <w:gridSpan w:val="3"/>
            <w:shd w:val="clear" w:color="auto" w:fill="auto"/>
            <w:vAlign w:val="bottom"/>
          </w:tcPr>
          <w:p w14:paraId="5F2D2BB2" w14:textId="77777777" w:rsidR="00E836FB" w:rsidRDefault="00E836FB">
            <w:pPr>
              <w:rPr>
                <w:rFonts w:ascii="宋体"/>
                <w:vanish/>
              </w:rPr>
            </w:pPr>
          </w:p>
        </w:tc>
        <w:tc>
          <w:tcPr>
            <w:tcW w:w="0" w:type="auto"/>
            <w:gridSpan w:val="3"/>
            <w:shd w:val="clear" w:color="auto" w:fill="auto"/>
            <w:vAlign w:val="bottom"/>
          </w:tcPr>
          <w:p w14:paraId="5F2D2BB3" w14:textId="77777777" w:rsidR="00E836FB" w:rsidRDefault="00E836FB">
            <w:pPr>
              <w:rPr>
                <w:rFonts w:ascii="宋体"/>
                <w:vanish/>
              </w:rPr>
            </w:pPr>
          </w:p>
        </w:tc>
        <w:tc>
          <w:tcPr>
            <w:tcW w:w="0" w:type="auto"/>
            <w:gridSpan w:val="3"/>
            <w:shd w:val="clear" w:color="auto" w:fill="auto"/>
            <w:vAlign w:val="bottom"/>
          </w:tcPr>
          <w:p w14:paraId="5F2D2BB4" w14:textId="77777777" w:rsidR="00E836FB" w:rsidRDefault="00E836FB">
            <w:pPr>
              <w:rPr>
                <w:rFonts w:ascii="宋体"/>
                <w:vanish/>
              </w:rPr>
            </w:pPr>
          </w:p>
        </w:tc>
        <w:tc>
          <w:tcPr>
            <w:tcW w:w="0" w:type="auto"/>
            <w:gridSpan w:val="3"/>
            <w:shd w:val="clear" w:color="auto" w:fill="auto"/>
            <w:vAlign w:val="bottom"/>
          </w:tcPr>
          <w:p w14:paraId="5F2D2BB5" w14:textId="77777777" w:rsidR="00E836FB" w:rsidRDefault="00E836FB">
            <w:pPr>
              <w:rPr>
                <w:rFonts w:ascii="宋体"/>
                <w:vanish/>
              </w:rPr>
            </w:pPr>
          </w:p>
        </w:tc>
        <w:tc>
          <w:tcPr>
            <w:tcW w:w="0" w:type="auto"/>
            <w:gridSpan w:val="3"/>
            <w:shd w:val="clear" w:color="auto" w:fill="auto"/>
            <w:vAlign w:val="bottom"/>
          </w:tcPr>
          <w:p w14:paraId="5F2D2BB6" w14:textId="77777777" w:rsidR="00E836FB" w:rsidRDefault="00E836FB">
            <w:pPr>
              <w:rPr>
                <w:rFonts w:ascii="宋体"/>
                <w:vanish/>
              </w:rPr>
            </w:pPr>
          </w:p>
        </w:tc>
        <w:tc>
          <w:tcPr>
            <w:tcW w:w="0" w:type="auto"/>
            <w:gridSpan w:val="3"/>
            <w:shd w:val="clear" w:color="auto" w:fill="auto"/>
            <w:vAlign w:val="bottom"/>
          </w:tcPr>
          <w:p w14:paraId="5F2D2BB7" w14:textId="77777777" w:rsidR="00E836FB" w:rsidRDefault="00E836FB">
            <w:pPr>
              <w:rPr>
                <w:rFonts w:ascii="宋体"/>
                <w:vanish/>
              </w:rPr>
            </w:pPr>
          </w:p>
        </w:tc>
      </w:tr>
      <w:tr w:rsidR="00E836FB" w14:paraId="5F2D2BC6" w14:textId="77777777">
        <w:trPr>
          <w:hidden/>
        </w:trPr>
        <w:tc>
          <w:tcPr>
            <w:tcW w:w="0" w:type="auto"/>
            <w:gridSpan w:val="3"/>
            <w:shd w:val="clear" w:color="auto" w:fill="auto"/>
            <w:vAlign w:val="bottom"/>
          </w:tcPr>
          <w:p w14:paraId="5F2D2BB9" w14:textId="77777777" w:rsidR="00E836FB" w:rsidRDefault="00E836FB">
            <w:pPr>
              <w:rPr>
                <w:rFonts w:ascii="宋体"/>
                <w:vanish/>
              </w:rPr>
            </w:pPr>
          </w:p>
        </w:tc>
        <w:tc>
          <w:tcPr>
            <w:tcW w:w="0" w:type="auto"/>
            <w:gridSpan w:val="3"/>
            <w:shd w:val="clear" w:color="auto" w:fill="auto"/>
            <w:vAlign w:val="bottom"/>
          </w:tcPr>
          <w:p w14:paraId="5F2D2BBA" w14:textId="77777777" w:rsidR="00E836FB" w:rsidRDefault="00E836FB">
            <w:pPr>
              <w:rPr>
                <w:rFonts w:ascii="宋体"/>
                <w:vanish/>
              </w:rPr>
            </w:pPr>
          </w:p>
        </w:tc>
        <w:tc>
          <w:tcPr>
            <w:tcW w:w="0" w:type="auto"/>
            <w:gridSpan w:val="3"/>
            <w:shd w:val="clear" w:color="auto" w:fill="auto"/>
            <w:vAlign w:val="bottom"/>
          </w:tcPr>
          <w:p w14:paraId="5F2D2BBB" w14:textId="77777777" w:rsidR="00E836FB" w:rsidRDefault="00E836FB">
            <w:pPr>
              <w:rPr>
                <w:rFonts w:ascii="宋体"/>
                <w:vanish/>
              </w:rPr>
            </w:pPr>
          </w:p>
        </w:tc>
        <w:tc>
          <w:tcPr>
            <w:tcW w:w="0" w:type="auto"/>
            <w:gridSpan w:val="3"/>
            <w:shd w:val="clear" w:color="auto" w:fill="auto"/>
            <w:vAlign w:val="bottom"/>
          </w:tcPr>
          <w:p w14:paraId="5F2D2BBC" w14:textId="77777777" w:rsidR="00E836FB" w:rsidRDefault="00E836FB">
            <w:pPr>
              <w:rPr>
                <w:rFonts w:ascii="宋体"/>
                <w:vanish/>
              </w:rPr>
            </w:pPr>
          </w:p>
        </w:tc>
        <w:tc>
          <w:tcPr>
            <w:tcW w:w="0" w:type="auto"/>
            <w:gridSpan w:val="3"/>
            <w:shd w:val="clear" w:color="auto" w:fill="auto"/>
            <w:vAlign w:val="bottom"/>
          </w:tcPr>
          <w:p w14:paraId="5F2D2BBD" w14:textId="77777777" w:rsidR="00E836FB" w:rsidRDefault="00E836FB">
            <w:pPr>
              <w:rPr>
                <w:rFonts w:ascii="宋体"/>
                <w:vanish/>
              </w:rPr>
            </w:pPr>
          </w:p>
        </w:tc>
        <w:tc>
          <w:tcPr>
            <w:tcW w:w="0" w:type="auto"/>
            <w:gridSpan w:val="3"/>
            <w:shd w:val="clear" w:color="auto" w:fill="auto"/>
            <w:vAlign w:val="bottom"/>
          </w:tcPr>
          <w:p w14:paraId="5F2D2BBE" w14:textId="77777777" w:rsidR="00E836FB" w:rsidRDefault="00E836FB">
            <w:pPr>
              <w:rPr>
                <w:rFonts w:ascii="宋体"/>
                <w:vanish/>
              </w:rPr>
            </w:pPr>
          </w:p>
        </w:tc>
        <w:tc>
          <w:tcPr>
            <w:tcW w:w="0" w:type="auto"/>
            <w:gridSpan w:val="3"/>
            <w:shd w:val="clear" w:color="auto" w:fill="auto"/>
            <w:vAlign w:val="bottom"/>
          </w:tcPr>
          <w:p w14:paraId="5F2D2BBF" w14:textId="77777777" w:rsidR="00E836FB" w:rsidRDefault="00E836FB">
            <w:pPr>
              <w:rPr>
                <w:rFonts w:ascii="宋体"/>
                <w:vanish/>
              </w:rPr>
            </w:pPr>
          </w:p>
        </w:tc>
        <w:tc>
          <w:tcPr>
            <w:tcW w:w="0" w:type="auto"/>
            <w:gridSpan w:val="3"/>
            <w:shd w:val="clear" w:color="auto" w:fill="auto"/>
            <w:vAlign w:val="bottom"/>
          </w:tcPr>
          <w:p w14:paraId="5F2D2BC0" w14:textId="77777777" w:rsidR="00E836FB" w:rsidRDefault="00E836FB">
            <w:pPr>
              <w:rPr>
                <w:rFonts w:ascii="宋体"/>
                <w:vanish/>
              </w:rPr>
            </w:pPr>
          </w:p>
        </w:tc>
        <w:tc>
          <w:tcPr>
            <w:tcW w:w="0" w:type="auto"/>
            <w:gridSpan w:val="3"/>
            <w:shd w:val="clear" w:color="auto" w:fill="auto"/>
            <w:vAlign w:val="bottom"/>
          </w:tcPr>
          <w:p w14:paraId="5F2D2BC1" w14:textId="77777777" w:rsidR="00E836FB" w:rsidRDefault="00E836FB">
            <w:pPr>
              <w:rPr>
                <w:rFonts w:ascii="宋体"/>
                <w:vanish/>
              </w:rPr>
            </w:pPr>
          </w:p>
        </w:tc>
        <w:tc>
          <w:tcPr>
            <w:tcW w:w="0" w:type="auto"/>
            <w:gridSpan w:val="3"/>
            <w:shd w:val="clear" w:color="auto" w:fill="auto"/>
            <w:vAlign w:val="bottom"/>
          </w:tcPr>
          <w:p w14:paraId="5F2D2BC2" w14:textId="77777777" w:rsidR="00E836FB" w:rsidRDefault="00E836FB">
            <w:pPr>
              <w:rPr>
                <w:rFonts w:ascii="宋体"/>
                <w:vanish/>
              </w:rPr>
            </w:pPr>
          </w:p>
        </w:tc>
        <w:tc>
          <w:tcPr>
            <w:tcW w:w="0" w:type="auto"/>
            <w:gridSpan w:val="3"/>
            <w:shd w:val="clear" w:color="auto" w:fill="auto"/>
            <w:vAlign w:val="bottom"/>
          </w:tcPr>
          <w:p w14:paraId="5F2D2BC3" w14:textId="77777777" w:rsidR="00E836FB" w:rsidRDefault="00E836FB">
            <w:pPr>
              <w:rPr>
                <w:rFonts w:ascii="宋体"/>
                <w:vanish/>
              </w:rPr>
            </w:pPr>
          </w:p>
        </w:tc>
        <w:tc>
          <w:tcPr>
            <w:tcW w:w="0" w:type="auto"/>
            <w:gridSpan w:val="3"/>
            <w:shd w:val="clear" w:color="auto" w:fill="auto"/>
            <w:vAlign w:val="bottom"/>
          </w:tcPr>
          <w:p w14:paraId="5F2D2BC4" w14:textId="77777777" w:rsidR="00E836FB" w:rsidRDefault="00E836FB">
            <w:pPr>
              <w:rPr>
                <w:rFonts w:ascii="宋体"/>
                <w:vanish/>
              </w:rPr>
            </w:pPr>
          </w:p>
        </w:tc>
        <w:tc>
          <w:tcPr>
            <w:tcW w:w="0" w:type="auto"/>
            <w:gridSpan w:val="3"/>
            <w:shd w:val="clear" w:color="auto" w:fill="auto"/>
            <w:vAlign w:val="bottom"/>
          </w:tcPr>
          <w:p w14:paraId="5F2D2BC5" w14:textId="77777777" w:rsidR="00E836FB" w:rsidRDefault="00E836FB">
            <w:pPr>
              <w:rPr>
                <w:rFonts w:ascii="宋体"/>
                <w:vanish/>
              </w:rPr>
            </w:pPr>
          </w:p>
        </w:tc>
      </w:tr>
      <w:tr w:rsidR="00E836FB" w14:paraId="5F2D2BCC" w14:textId="77777777">
        <w:tc>
          <w:tcPr>
            <w:tcW w:w="0" w:type="auto"/>
            <w:gridSpan w:val="27"/>
            <w:tcBorders>
              <w:top w:val="single" w:sz="8" w:space="0" w:color="000000"/>
            </w:tcBorders>
            <w:shd w:val="clear" w:color="auto" w:fill="FFFFFF"/>
            <w:tcMar>
              <w:top w:w="40" w:type="dxa"/>
              <w:left w:w="20" w:type="dxa"/>
              <w:bottom w:w="40" w:type="dxa"/>
              <w:right w:w="20" w:type="dxa"/>
            </w:tcMar>
            <w:vAlign w:val="center"/>
          </w:tcPr>
          <w:p w14:paraId="5F2D2BC7" w14:textId="77777777" w:rsidR="00E836FB" w:rsidRDefault="00994958">
            <w:pPr>
              <w:textAlignment w:val="center"/>
            </w:pPr>
            <w:r>
              <w:rPr>
                <w:rFonts w:ascii="Arial" w:eastAsia="宋体" w:hAnsi="Arial" w:cs="Arial"/>
                <w:b/>
                <w:bCs/>
                <w:color w:val="000000"/>
                <w:sz w:val="14"/>
                <w:szCs w:val="14"/>
              </w:rPr>
              <w:t>Parent Company and Non-Banking Subsidiary Issuances</w:t>
            </w:r>
          </w:p>
        </w:tc>
        <w:tc>
          <w:tcPr>
            <w:tcW w:w="0" w:type="auto"/>
            <w:gridSpan w:val="3"/>
            <w:shd w:val="clear" w:color="auto" w:fill="FFFFFF"/>
            <w:tcMar>
              <w:top w:w="0" w:type="dxa"/>
              <w:left w:w="20" w:type="dxa"/>
              <w:bottom w:w="0" w:type="dxa"/>
              <w:right w:w="20" w:type="dxa"/>
            </w:tcMar>
            <w:vAlign w:val="bottom"/>
          </w:tcPr>
          <w:p w14:paraId="5F2D2BC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2BC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BCA"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2BCB" w14:textId="77777777" w:rsidR="00E836FB" w:rsidRDefault="00E836FB">
            <w:pPr>
              <w:rPr>
                <w:rFonts w:ascii="宋体"/>
              </w:rPr>
            </w:pPr>
          </w:p>
        </w:tc>
      </w:tr>
      <w:tr w:rsidR="00E836FB" w14:paraId="5F2D2BDF" w14:textId="77777777">
        <w:tc>
          <w:tcPr>
            <w:tcW w:w="0" w:type="auto"/>
            <w:gridSpan w:val="3"/>
            <w:shd w:val="clear" w:color="auto" w:fill="CCEEFF"/>
            <w:tcMar>
              <w:top w:w="40" w:type="dxa"/>
              <w:left w:w="155" w:type="dxa"/>
              <w:bottom w:w="40" w:type="dxa"/>
              <w:right w:w="20" w:type="dxa"/>
            </w:tcMar>
            <w:vAlign w:val="center"/>
          </w:tcPr>
          <w:p w14:paraId="5F2D2BCD" w14:textId="77777777" w:rsidR="00E836FB" w:rsidRDefault="00994958">
            <w:pPr>
              <w:textAlignment w:val="center"/>
            </w:pPr>
            <w:r>
              <w:rPr>
                <w:rFonts w:ascii="Arial" w:eastAsia="宋体" w:hAnsi="Arial" w:cs="Arial"/>
                <w:color w:val="000000"/>
                <w:sz w:val="14"/>
                <w:szCs w:val="14"/>
              </w:rPr>
              <w:t>August 18, 2015</w:t>
            </w:r>
          </w:p>
        </w:tc>
        <w:tc>
          <w:tcPr>
            <w:tcW w:w="0" w:type="auto"/>
            <w:gridSpan w:val="3"/>
            <w:shd w:val="clear" w:color="auto" w:fill="CCEEFF"/>
            <w:tcMar>
              <w:top w:w="0" w:type="dxa"/>
              <w:left w:w="20" w:type="dxa"/>
              <w:bottom w:w="0" w:type="dxa"/>
              <w:right w:w="20" w:type="dxa"/>
            </w:tcMar>
            <w:vAlign w:val="bottom"/>
          </w:tcPr>
          <w:p w14:paraId="5F2D2BCE"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BCF" w14:textId="77777777" w:rsidR="00E836FB" w:rsidRDefault="00994958">
            <w:pPr>
              <w:textAlignment w:val="center"/>
            </w:pPr>
            <w:r>
              <w:rPr>
                <w:rFonts w:ascii="Arial" w:eastAsia="宋体" w:hAnsi="Arial" w:cs="Arial"/>
                <w:color w:val="000000"/>
                <w:sz w:val="14"/>
                <w:szCs w:val="14"/>
              </w:rPr>
              <w:t>August 18, 2025</w:t>
            </w:r>
          </w:p>
        </w:tc>
        <w:tc>
          <w:tcPr>
            <w:tcW w:w="0" w:type="auto"/>
            <w:gridSpan w:val="3"/>
            <w:shd w:val="clear" w:color="auto" w:fill="CCEEFF"/>
            <w:tcMar>
              <w:top w:w="0" w:type="dxa"/>
              <w:left w:w="20" w:type="dxa"/>
              <w:bottom w:w="0" w:type="dxa"/>
              <w:right w:w="20" w:type="dxa"/>
            </w:tcMar>
            <w:vAlign w:val="bottom"/>
          </w:tcPr>
          <w:p w14:paraId="5F2D2B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BD1" w14:textId="77777777" w:rsidR="00E836FB" w:rsidRDefault="00994958">
            <w:pPr>
              <w:jc w:val="right"/>
              <w:textAlignment w:val="center"/>
            </w:pPr>
            <w:r>
              <w:rPr>
                <w:rFonts w:ascii="Arial" w:eastAsia="宋体" w:hAnsi="Arial" w:cs="Arial"/>
                <w:color w:val="000000"/>
                <w:sz w:val="14"/>
                <w:szCs w:val="14"/>
              </w:rPr>
              <w:t>3.55 </w:t>
            </w:r>
          </w:p>
        </w:tc>
        <w:tc>
          <w:tcPr>
            <w:tcW w:w="0" w:type="auto"/>
            <w:shd w:val="clear" w:color="auto" w:fill="CCEEFF"/>
            <w:tcMar>
              <w:top w:w="40" w:type="dxa"/>
              <w:left w:w="0" w:type="dxa"/>
              <w:bottom w:w="40" w:type="dxa"/>
              <w:right w:w="20" w:type="dxa"/>
            </w:tcMar>
            <w:vAlign w:val="center"/>
          </w:tcPr>
          <w:p w14:paraId="5F2D2BD2"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BD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BD4"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vAlign w:val="bottom"/>
          </w:tcPr>
          <w:p w14:paraId="5F2D2BD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BD6" w14:textId="77777777" w:rsidR="00E836FB" w:rsidRDefault="00994958">
            <w:pPr>
              <w:textAlignment w:val="center"/>
            </w:pPr>
            <w:r>
              <w:rPr>
                <w:rFonts w:ascii="Arial" w:eastAsia="宋体" w:hAnsi="Arial" w:cs="Arial"/>
                <w:color w:val="000000"/>
                <w:sz w:val="14"/>
                <w:szCs w:val="14"/>
              </w:rPr>
              <w:t>2/18; 8/18</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vAlign w:val="bottom"/>
          </w:tcPr>
          <w:p w14:paraId="5F2D2BD7"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2BD8" w14:textId="77777777" w:rsidR="00E836FB" w:rsidRDefault="00994958">
            <w:pPr>
              <w:textAlignment w:val="center"/>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center"/>
          </w:tcPr>
          <w:p w14:paraId="5F2D2BD9" w14:textId="77777777" w:rsidR="00E836FB" w:rsidRDefault="00994958">
            <w:pPr>
              <w:jc w:val="right"/>
              <w:textAlignment w:val="center"/>
            </w:pPr>
            <w:r>
              <w:rPr>
                <w:rFonts w:ascii="Arial" w:eastAsia="宋体" w:hAnsi="Arial" w:cs="Arial"/>
                <w:b/>
                <w:bCs/>
                <w:color w:val="000000"/>
                <w:sz w:val="14"/>
                <w:szCs w:val="14"/>
              </w:rPr>
              <w:t>1,370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B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BDB" w14:textId="77777777" w:rsidR="00E836FB" w:rsidRDefault="00E836FB">
            <w:pPr>
              <w:rPr>
                <w:rFonts w:ascii="宋体"/>
              </w:rPr>
            </w:pPr>
          </w:p>
        </w:tc>
        <w:tc>
          <w:tcPr>
            <w:tcW w:w="0" w:type="auto"/>
            <w:shd w:val="clear" w:color="auto" w:fill="CCEEFF"/>
            <w:tcMar>
              <w:top w:w="40" w:type="dxa"/>
              <w:left w:w="20" w:type="dxa"/>
              <w:bottom w:w="40" w:type="dxa"/>
              <w:right w:w="0" w:type="dxa"/>
            </w:tcMar>
            <w:vAlign w:val="center"/>
          </w:tcPr>
          <w:p w14:paraId="5F2D2BDC" w14:textId="77777777" w:rsidR="00E836FB" w:rsidRDefault="00994958">
            <w:pPr>
              <w:textAlignment w:val="center"/>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center"/>
          </w:tcPr>
          <w:p w14:paraId="5F2D2BDD" w14:textId="77777777" w:rsidR="00E836FB" w:rsidRDefault="00994958">
            <w:pPr>
              <w:jc w:val="right"/>
              <w:textAlignment w:val="center"/>
            </w:pPr>
            <w:r>
              <w:rPr>
                <w:rFonts w:ascii="Arial" w:eastAsia="宋体" w:hAnsi="Arial" w:cs="Arial"/>
                <w:color w:val="000000"/>
                <w:sz w:val="14"/>
                <w:szCs w:val="14"/>
              </w:rPr>
              <w:t>1,413 </w:t>
            </w:r>
          </w:p>
        </w:tc>
        <w:tc>
          <w:tcPr>
            <w:tcW w:w="0" w:type="auto"/>
            <w:shd w:val="clear" w:color="auto" w:fill="CCEEFF"/>
            <w:tcMar>
              <w:top w:w="40" w:type="dxa"/>
              <w:left w:w="0" w:type="dxa"/>
              <w:bottom w:w="40" w:type="dxa"/>
              <w:right w:w="20" w:type="dxa"/>
            </w:tcMar>
            <w:vAlign w:val="center"/>
          </w:tcPr>
          <w:p w14:paraId="5F2D2BDE" w14:textId="77777777" w:rsidR="00E836FB" w:rsidRDefault="00E836FB">
            <w:pPr>
              <w:jc w:val="right"/>
              <w:rPr>
                <w:rFonts w:ascii="宋体"/>
              </w:rPr>
            </w:pPr>
          </w:p>
        </w:tc>
      </w:tr>
      <w:tr w:rsidR="00E836FB" w14:paraId="5F2D2BED" w14:textId="77777777">
        <w:trPr>
          <w:hidden/>
        </w:trPr>
        <w:tc>
          <w:tcPr>
            <w:tcW w:w="0" w:type="auto"/>
            <w:gridSpan w:val="3"/>
            <w:shd w:val="clear" w:color="auto" w:fill="auto"/>
            <w:vAlign w:val="bottom"/>
          </w:tcPr>
          <w:p w14:paraId="5F2D2BE0" w14:textId="77777777" w:rsidR="00E836FB" w:rsidRDefault="00E836FB">
            <w:pPr>
              <w:rPr>
                <w:rFonts w:ascii="宋体"/>
                <w:vanish/>
              </w:rPr>
            </w:pPr>
          </w:p>
        </w:tc>
        <w:tc>
          <w:tcPr>
            <w:tcW w:w="0" w:type="auto"/>
            <w:gridSpan w:val="3"/>
            <w:shd w:val="clear" w:color="auto" w:fill="auto"/>
            <w:vAlign w:val="bottom"/>
          </w:tcPr>
          <w:p w14:paraId="5F2D2BE1" w14:textId="77777777" w:rsidR="00E836FB" w:rsidRDefault="00E836FB">
            <w:pPr>
              <w:rPr>
                <w:rFonts w:ascii="宋体"/>
                <w:vanish/>
              </w:rPr>
            </w:pPr>
          </w:p>
        </w:tc>
        <w:tc>
          <w:tcPr>
            <w:tcW w:w="0" w:type="auto"/>
            <w:gridSpan w:val="3"/>
            <w:shd w:val="clear" w:color="auto" w:fill="auto"/>
            <w:vAlign w:val="bottom"/>
          </w:tcPr>
          <w:p w14:paraId="5F2D2BE2" w14:textId="77777777" w:rsidR="00E836FB" w:rsidRDefault="00E836FB">
            <w:pPr>
              <w:rPr>
                <w:rFonts w:ascii="宋体"/>
                <w:vanish/>
              </w:rPr>
            </w:pPr>
          </w:p>
        </w:tc>
        <w:tc>
          <w:tcPr>
            <w:tcW w:w="0" w:type="auto"/>
            <w:gridSpan w:val="3"/>
            <w:shd w:val="clear" w:color="auto" w:fill="auto"/>
            <w:vAlign w:val="bottom"/>
          </w:tcPr>
          <w:p w14:paraId="5F2D2BE3" w14:textId="77777777" w:rsidR="00E836FB" w:rsidRDefault="00E836FB">
            <w:pPr>
              <w:rPr>
                <w:rFonts w:ascii="宋体"/>
                <w:vanish/>
              </w:rPr>
            </w:pPr>
          </w:p>
        </w:tc>
        <w:tc>
          <w:tcPr>
            <w:tcW w:w="0" w:type="auto"/>
            <w:gridSpan w:val="3"/>
            <w:shd w:val="clear" w:color="auto" w:fill="auto"/>
            <w:vAlign w:val="bottom"/>
          </w:tcPr>
          <w:p w14:paraId="5F2D2BE4" w14:textId="77777777" w:rsidR="00E836FB" w:rsidRDefault="00E836FB">
            <w:pPr>
              <w:rPr>
                <w:rFonts w:ascii="宋体"/>
                <w:vanish/>
              </w:rPr>
            </w:pPr>
          </w:p>
        </w:tc>
        <w:tc>
          <w:tcPr>
            <w:tcW w:w="0" w:type="auto"/>
            <w:gridSpan w:val="3"/>
            <w:shd w:val="clear" w:color="auto" w:fill="auto"/>
            <w:vAlign w:val="bottom"/>
          </w:tcPr>
          <w:p w14:paraId="5F2D2BE5" w14:textId="77777777" w:rsidR="00E836FB" w:rsidRDefault="00E836FB">
            <w:pPr>
              <w:rPr>
                <w:rFonts w:ascii="宋体"/>
                <w:vanish/>
              </w:rPr>
            </w:pPr>
          </w:p>
        </w:tc>
        <w:tc>
          <w:tcPr>
            <w:tcW w:w="0" w:type="auto"/>
            <w:gridSpan w:val="3"/>
            <w:shd w:val="clear" w:color="auto" w:fill="auto"/>
            <w:vAlign w:val="bottom"/>
          </w:tcPr>
          <w:p w14:paraId="5F2D2BE6" w14:textId="77777777" w:rsidR="00E836FB" w:rsidRDefault="00E836FB">
            <w:pPr>
              <w:rPr>
                <w:rFonts w:ascii="宋体"/>
                <w:vanish/>
              </w:rPr>
            </w:pPr>
          </w:p>
        </w:tc>
        <w:tc>
          <w:tcPr>
            <w:tcW w:w="0" w:type="auto"/>
            <w:gridSpan w:val="3"/>
            <w:shd w:val="clear" w:color="auto" w:fill="auto"/>
            <w:vAlign w:val="bottom"/>
          </w:tcPr>
          <w:p w14:paraId="5F2D2BE7" w14:textId="77777777" w:rsidR="00E836FB" w:rsidRDefault="00E836FB">
            <w:pPr>
              <w:rPr>
                <w:rFonts w:ascii="宋体"/>
                <w:vanish/>
              </w:rPr>
            </w:pPr>
          </w:p>
        </w:tc>
        <w:tc>
          <w:tcPr>
            <w:tcW w:w="0" w:type="auto"/>
            <w:gridSpan w:val="3"/>
            <w:shd w:val="clear" w:color="auto" w:fill="auto"/>
            <w:vAlign w:val="bottom"/>
          </w:tcPr>
          <w:p w14:paraId="5F2D2BE8" w14:textId="77777777" w:rsidR="00E836FB" w:rsidRDefault="00E836FB">
            <w:pPr>
              <w:rPr>
                <w:rFonts w:ascii="宋体"/>
                <w:vanish/>
              </w:rPr>
            </w:pPr>
          </w:p>
        </w:tc>
        <w:tc>
          <w:tcPr>
            <w:tcW w:w="0" w:type="auto"/>
            <w:gridSpan w:val="3"/>
            <w:shd w:val="clear" w:color="auto" w:fill="auto"/>
            <w:vAlign w:val="bottom"/>
          </w:tcPr>
          <w:p w14:paraId="5F2D2BE9" w14:textId="77777777" w:rsidR="00E836FB" w:rsidRDefault="00E836FB">
            <w:pPr>
              <w:rPr>
                <w:rFonts w:ascii="宋体"/>
                <w:vanish/>
              </w:rPr>
            </w:pPr>
          </w:p>
        </w:tc>
        <w:tc>
          <w:tcPr>
            <w:tcW w:w="0" w:type="auto"/>
            <w:gridSpan w:val="3"/>
            <w:shd w:val="clear" w:color="auto" w:fill="auto"/>
            <w:vAlign w:val="bottom"/>
          </w:tcPr>
          <w:p w14:paraId="5F2D2BEA" w14:textId="77777777" w:rsidR="00E836FB" w:rsidRDefault="00E836FB">
            <w:pPr>
              <w:rPr>
                <w:rFonts w:ascii="宋体"/>
                <w:vanish/>
              </w:rPr>
            </w:pPr>
          </w:p>
        </w:tc>
        <w:tc>
          <w:tcPr>
            <w:tcW w:w="0" w:type="auto"/>
            <w:gridSpan w:val="3"/>
            <w:shd w:val="clear" w:color="auto" w:fill="auto"/>
            <w:vAlign w:val="bottom"/>
          </w:tcPr>
          <w:p w14:paraId="5F2D2BEB" w14:textId="77777777" w:rsidR="00E836FB" w:rsidRDefault="00E836FB">
            <w:pPr>
              <w:rPr>
                <w:rFonts w:ascii="宋体"/>
                <w:vanish/>
              </w:rPr>
            </w:pPr>
          </w:p>
        </w:tc>
        <w:tc>
          <w:tcPr>
            <w:tcW w:w="0" w:type="auto"/>
            <w:gridSpan w:val="3"/>
            <w:shd w:val="clear" w:color="auto" w:fill="auto"/>
            <w:vAlign w:val="bottom"/>
          </w:tcPr>
          <w:p w14:paraId="5F2D2BEC" w14:textId="77777777" w:rsidR="00E836FB" w:rsidRDefault="00E836FB">
            <w:pPr>
              <w:rPr>
                <w:rFonts w:ascii="宋体"/>
                <w:vanish/>
              </w:rPr>
            </w:pPr>
          </w:p>
        </w:tc>
      </w:tr>
      <w:tr w:rsidR="00E836FB" w14:paraId="5F2D2BFE" w14:textId="77777777">
        <w:tc>
          <w:tcPr>
            <w:tcW w:w="0" w:type="auto"/>
            <w:gridSpan w:val="3"/>
            <w:shd w:val="clear" w:color="auto" w:fill="FFFFFF"/>
            <w:tcMar>
              <w:top w:w="40" w:type="dxa"/>
              <w:left w:w="155" w:type="dxa"/>
              <w:bottom w:w="40" w:type="dxa"/>
              <w:right w:w="20" w:type="dxa"/>
            </w:tcMar>
            <w:vAlign w:val="center"/>
          </w:tcPr>
          <w:p w14:paraId="5F2D2BEE" w14:textId="77777777" w:rsidR="00E836FB" w:rsidRDefault="00994958">
            <w:pPr>
              <w:textAlignment w:val="center"/>
            </w:pPr>
            <w:r>
              <w:rPr>
                <w:rFonts w:ascii="Arial" w:eastAsia="宋体" w:hAnsi="Arial" w:cs="Arial"/>
                <w:color w:val="000000"/>
                <w:sz w:val="14"/>
                <w:szCs w:val="14"/>
              </w:rPr>
              <w:t>November 19, 2013</w:t>
            </w:r>
          </w:p>
        </w:tc>
        <w:tc>
          <w:tcPr>
            <w:tcW w:w="0" w:type="auto"/>
            <w:gridSpan w:val="3"/>
            <w:shd w:val="clear" w:color="auto" w:fill="FFFFFF"/>
            <w:tcMar>
              <w:top w:w="0" w:type="dxa"/>
              <w:left w:w="20" w:type="dxa"/>
              <w:bottom w:w="0" w:type="dxa"/>
              <w:right w:w="20" w:type="dxa"/>
            </w:tcMar>
            <w:vAlign w:val="bottom"/>
          </w:tcPr>
          <w:p w14:paraId="5F2D2BEF" w14:textId="77777777" w:rsidR="00E836FB" w:rsidRDefault="00E836FB">
            <w:pPr>
              <w:rPr>
                <w:rFonts w:ascii="宋体"/>
              </w:rPr>
            </w:pPr>
          </w:p>
        </w:tc>
        <w:tc>
          <w:tcPr>
            <w:tcW w:w="0" w:type="auto"/>
            <w:gridSpan w:val="3"/>
            <w:shd w:val="clear" w:color="auto" w:fill="FFFFFF"/>
            <w:tcMar>
              <w:top w:w="40" w:type="dxa"/>
              <w:left w:w="155" w:type="dxa"/>
              <w:bottom w:w="40" w:type="dxa"/>
              <w:right w:w="20" w:type="dxa"/>
            </w:tcMar>
            <w:vAlign w:val="center"/>
          </w:tcPr>
          <w:p w14:paraId="5F2D2BF0" w14:textId="77777777" w:rsidR="00E836FB" w:rsidRDefault="00994958">
            <w:pPr>
              <w:textAlignment w:val="center"/>
            </w:pPr>
            <w:r>
              <w:rPr>
                <w:rFonts w:ascii="Arial" w:eastAsia="宋体" w:hAnsi="Arial" w:cs="Arial"/>
                <w:color w:val="000000"/>
                <w:sz w:val="14"/>
                <w:szCs w:val="14"/>
              </w:rPr>
              <w:t>November 20, 2023</w:t>
            </w:r>
          </w:p>
        </w:tc>
        <w:tc>
          <w:tcPr>
            <w:tcW w:w="0" w:type="auto"/>
            <w:gridSpan w:val="3"/>
            <w:shd w:val="clear" w:color="auto" w:fill="FFFFFF"/>
            <w:tcMar>
              <w:top w:w="0" w:type="dxa"/>
              <w:left w:w="20" w:type="dxa"/>
              <w:bottom w:w="0" w:type="dxa"/>
              <w:right w:w="20" w:type="dxa"/>
            </w:tcMar>
            <w:vAlign w:val="bottom"/>
          </w:tcPr>
          <w:p w14:paraId="5F2D2BF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BF2" w14:textId="77777777" w:rsidR="00E836FB" w:rsidRDefault="00994958">
            <w:pPr>
              <w:jc w:val="right"/>
              <w:textAlignment w:val="center"/>
            </w:pPr>
            <w:r>
              <w:rPr>
                <w:rFonts w:ascii="Arial" w:eastAsia="宋体" w:hAnsi="Arial" w:cs="Arial"/>
                <w:color w:val="000000"/>
                <w:sz w:val="14"/>
                <w:szCs w:val="14"/>
              </w:rPr>
              <w:t>3.7 </w:t>
            </w:r>
          </w:p>
        </w:tc>
        <w:tc>
          <w:tcPr>
            <w:tcW w:w="0" w:type="auto"/>
            <w:shd w:val="clear" w:color="auto" w:fill="FFFFFF"/>
            <w:tcMar>
              <w:top w:w="40" w:type="dxa"/>
              <w:left w:w="0" w:type="dxa"/>
              <w:bottom w:w="40" w:type="dxa"/>
              <w:right w:w="20" w:type="dxa"/>
            </w:tcMar>
            <w:vAlign w:val="center"/>
          </w:tcPr>
          <w:p w14:paraId="5F2D2BF3"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BF4"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BF5"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vAlign w:val="bottom"/>
          </w:tcPr>
          <w:p w14:paraId="5F2D2BF6"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BF7" w14:textId="77777777" w:rsidR="00E836FB" w:rsidRDefault="00994958">
            <w:pPr>
              <w:textAlignment w:val="center"/>
            </w:pPr>
            <w:r>
              <w:rPr>
                <w:rFonts w:ascii="Arial" w:eastAsia="宋体" w:hAnsi="Arial" w:cs="Arial"/>
                <w:color w:val="000000"/>
                <w:sz w:val="14"/>
                <w:szCs w:val="14"/>
              </w:rPr>
              <w:t>5/20; 11/20</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vAlign w:val="bottom"/>
          </w:tcPr>
          <w:p w14:paraId="5F2D2B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BF9" w14:textId="77777777" w:rsidR="00E836FB" w:rsidRDefault="00994958">
            <w:pPr>
              <w:jc w:val="right"/>
              <w:textAlignment w:val="center"/>
            </w:pPr>
            <w:r>
              <w:rPr>
                <w:rFonts w:ascii="Arial" w:eastAsia="宋体" w:hAnsi="Arial" w:cs="Arial"/>
                <w:b/>
                <w:bCs/>
                <w:color w:val="000000"/>
                <w:sz w:val="14"/>
                <w:szCs w:val="14"/>
              </w:rPr>
              <w:t>1,043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B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B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BFC" w14:textId="77777777" w:rsidR="00E836FB" w:rsidRDefault="00994958">
            <w:pPr>
              <w:jc w:val="right"/>
              <w:textAlignment w:val="center"/>
            </w:pPr>
            <w:r>
              <w:rPr>
                <w:rFonts w:ascii="Arial" w:eastAsia="宋体" w:hAnsi="Arial" w:cs="Arial"/>
                <w:color w:val="000000"/>
                <w:sz w:val="14"/>
                <w:szCs w:val="14"/>
              </w:rPr>
              <w:t>1,070 </w:t>
            </w:r>
          </w:p>
        </w:tc>
        <w:tc>
          <w:tcPr>
            <w:tcW w:w="0" w:type="auto"/>
            <w:shd w:val="clear" w:color="auto" w:fill="FFFFFF"/>
            <w:tcMar>
              <w:top w:w="40" w:type="dxa"/>
              <w:left w:w="0" w:type="dxa"/>
              <w:bottom w:w="40" w:type="dxa"/>
              <w:right w:w="20" w:type="dxa"/>
            </w:tcMar>
            <w:vAlign w:val="center"/>
          </w:tcPr>
          <w:p w14:paraId="5F2D2BFD" w14:textId="77777777" w:rsidR="00E836FB" w:rsidRDefault="00E836FB">
            <w:pPr>
              <w:jc w:val="right"/>
              <w:rPr>
                <w:rFonts w:ascii="宋体"/>
              </w:rPr>
            </w:pPr>
          </w:p>
        </w:tc>
      </w:tr>
      <w:tr w:rsidR="00E836FB" w14:paraId="5F2D2C0F" w14:textId="77777777">
        <w:tc>
          <w:tcPr>
            <w:tcW w:w="0" w:type="auto"/>
            <w:gridSpan w:val="3"/>
            <w:shd w:val="clear" w:color="auto" w:fill="CCEEFF"/>
            <w:tcMar>
              <w:top w:w="40" w:type="dxa"/>
              <w:left w:w="155" w:type="dxa"/>
              <w:bottom w:w="40" w:type="dxa"/>
              <w:right w:w="20" w:type="dxa"/>
            </w:tcMar>
            <w:vAlign w:val="center"/>
          </w:tcPr>
          <w:p w14:paraId="5F2D2BFF" w14:textId="77777777" w:rsidR="00E836FB" w:rsidRDefault="00994958">
            <w:pPr>
              <w:textAlignment w:val="center"/>
            </w:pPr>
            <w:r>
              <w:rPr>
                <w:rFonts w:ascii="Arial" w:eastAsia="宋体" w:hAnsi="Arial" w:cs="Arial"/>
                <w:color w:val="000000"/>
                <w:sz w:val="14"/>
                <w:szCs w:val="14"/>
              </w:rPr>
              <w:t>December 15, 2014</w:t>
            </w:r>
          </w:p>
        </w:tc>
        <w:tc>
          <w:tcPr>
            <w:tcW w:w="0" w:type="auto"/>
            <w:gridSpan w:val="3"/>
            <w:shd w:val="clear" w:color="auto" w:fill="CCEEFF"/>
            <w:tcMar>
              <w:top w:w="0" w:type="dxa"/>
              <w:left w:w="20" w:type="dxa"/>
              <w:bottom w:w="0" w:type="dxa"/>
              <w:right w:w="20" w:type="dxa"/>
            </w:tcMar>
            <w:vAlign w:val="bottom"/>
          </w:tcPr>
          <w:p w14:paraId="5F2D2C00"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01" w14:textId="77777777" w:rsidR="00E836FB" w:rsidRDefault="00994958">
            <w:pPr>
              <w:textAlignment w:val="center"/>
            </w:pPr>
            <w:r>
              <w:rPr>
                <w:rFonts w:ascii="Arial" w:eastAsia="宋体" w:hAnsi="Arial" w:cs="Arial"/>
                <w:color w:val="000000"/>
                <w:sz w:val="14"/>
                <w:szCs w:val="14"/>
              </w:rPr>
              <w:t>December 16, 2024</w:t>
            </w:r>
          </w:p>
        </w:tc>
        <w:tc>
          <w:tcPr>
            <w:tcW w:w="0" w:type="auto"/>
            <w:gridSpan w:val="3"/>
            <w:shd w:val="clear" w:color="auto" w:fill="CCEEFF"/>
            <w:tcMar>
              <w:top w:w="0" w:type="dxa"/>
              <w:left w:w="20" w:type="dxa"/>
              <w:bottom w:w="0" w:type="dxa"/>
              <w:right w:w="20" w:type="dxa"/>
            </w:tcMar>
            <w:vAlign w:val="bottom"/>
          </w:tcPr>
          <w:p w14:paraId="5F2D2C0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03" w14:textId="77777777" w:rsidR="00E836FB" w:rsidRDefault="00994958">
            <w:pPr>
              <w:jc w:val="right"/>
              <w:textAlignment w:val="center"/>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center"/>
          </w:tcPr>
          <w:p w14:paraId="5F2D2C04"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0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06"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vAlign w:val="bottom"/>
          </w:tcPr>
          <w:p w14:paraId="5F2D2C0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08" w14:textId="77777777" w:rsidR="00E836FB" w:rsidRDefault="00994958">
            <w:pPr>
              <w:textAlignment w:val="center"/>
            </w:pPr>
            <w:r>
              <w:rPr>
                <w:rFonts w:ascii="Arial" w:eastAsia="宋体" w:hAnsi="Arial" w:cs="Arial"/>
                <w:color w:val="000000"/>
                <w:sz w:val="14"/>
                <w:szCs w:val="14"/>
              </w:rPr>
              <w:t>6/16; 12/16</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vAlign w:val="bottom"/>
          </w:tcPr>
          <w:p w14:paraId="5F2D2C0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0A" w14:textId="77777777" w:rsidR="00E836FB" w:rsidRDefault="00994958">
            <w:pPr>
              <w:jc w:val="right"/>
              <w:textAlignment w:val="center"/>
            </w:pPr>
            <w:r>
              <w:rPr>
                <w:rFonts w:ascii="Arial" w:eastAsia="宋体" w:hAnsi="Arial" w:cs="Arial"/>
                <w:b/>
                <w:bCs/>
                <w:color w:val="000000"/>
                <w:sz w:val="14"/>
                <w:szCs w:val="14"/>
              </w:rPr>
              <w:t>1,040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0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0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0D" w14:textId="77777777" w:rsidR="00E836FB" w:rsidRDefault="00994958">
            <w:pPr>
              <w:jc w:val="right"/>
              <w:textAlignment w:val="center"/>
            </w:pPr>
            <w:r>
              <w:rPr>
                <w:rFonts w:ascii="Arial" w:eastAsia="宋体" w:hAnsi="Arial" w:cs="Arial"/>
                <w:color w:val="000000"/>
                <w:sz w:val="14"/>
                <w:szCs w:val="14"/>
              </w:rPr>
              <w:t>1,075 </w:t>
            </w:r>
          </w:p>
        </w:tc>
        <w:tc>
          <w:tcPr>
            <w:tcW w:w="0" w:type="auto"/>
            <w:shd w:val="clear" w:color="auto" w:fill="CCEEFF"/>
            <w:tcMar>
              <w:top w:w="40" w:type="dxa"/>
              <w:left w:w="0" w:type="dxa"/>
              <w:bottom w:w="40" w:type="dxa"/>
              <w:right w:w="20" w:type="dxa"/>
            </w:tcMar>
            <w:vAlign w:val="center"/>
          </w:tcPr>
          <w:p w14:paraId="5F2D2C0E" w14:textId="77777777" w:rsidR="00E836FB" w:rsidRDefault="00E836FB">
            <w:pPr>
              <w:jc w:val="right"/>
              <w:rPr>
                <w:rFonts w:ascii="宋体"/>
              </w:rPr>
            </w:pPr>
          </w:p>
        </w:tc>
      </w:tr>
      <w:tr w:rsidR="00E836FB" w14:paraId="5F2D2C20" w14:textId="77777777">
        <w:tc>
          <w:tcPr>
            <w:tcW w:w="0" w:type="auto"/>
            <w:gridSpan w:val="3"/>
            <w:shd w:val="clear" w:color="auto" w:fill="FFFFFF"/>
            <w:tcMar>
              <w:top w:w="40" w:type="dxa"/>
              <w:left w:w="155" w:type="dxa"/>
              <w:bottom w:w="40" w:type="dxa"/>
              <w:right w:w="20" w:type="dxa"/>
            </w:tcMar>
            <w:vAlign w:val="center"/>
          </w:tcPr>
          <w:p w14:paraId="5F2D2C10" w14:textId="77777777" w:rsidR="00E836FB" w:rsidRDefault="00994958">
            <w:pPr>
              <w:textAlignment w:val="center"/>
            </w:pPr>
            <w:r>
              <w:rPr>
                <w:rFonts w:ascii="Arial" w:eastAsia="宋体" w:hAnsi="Arial" w:cs="Arial"/>
                <w:color w:val="000000"/>
                <w:sz w:val="14"/>
                <w:szCs w:val="14"/>
              </w:rPr>
              <w:t>May 15, 2013</w:t>
            </w:r>
          </w:p>
        </w:tc>
        <w:tc>
          <w:tcPr>
            <w:tcW w:w="0" w:type="auto"/>
            <w:gridSpan w:val="3"/>
            <w:shd w:val="clear" w:color="auto" w:fill="FFFFFF"/>
            <w:tcMar>
              <w:top w:w="0" w:type="dxa"/>
              <w:left w:w="20" w:type="dxa"/>
              <w:bottom w:w="0" w:type="dxa"/>
              <w:right w:w="20" w:type="dxa"/>
            </w:tcMar>
            <w:vAlign w:val="bottom"/>
          </w:tcPr>
          <w:p w14:paraId="5F2D2C1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12" w14:textId="77777777" w:rsidR="00E836FB" w:rsidRDefault="00994958">
            <w:pPr>
              <w:textAlignment w:val="center"/>
            </w:pPr>
            <w:r>
              <w:rPr>
                <w:rFonts w:ascii="Arial" w:eastAsia="宋体" w:hAnsi="Arial" w:cs="Arial"/>
                <w:color w:val="000000"/>
                <w:sz w:val="14"/>
                <w:szCs w:val="14"/>
              </w:rPr>
              <w:t>May 15, 2023</w:t>
            </w:r>
            <w:r>
              <w:rPr>
                <w:rFonts w:ascii="Arial" w:eastAsia="宋体" w:hAnsi="Arial" w:cs="Arial"/>
                <w:color w:val="000000"/>
                <w:sz w:val="9"/>
                <w:szCs w:val="9"/>
              </w:rPr>
              <w:t>(2)</w:t>
            </w:r>
          </w:p>
        </w:tc>
        <w:tc>
          <w:tcPr>
            <w:tcW w:w="0" w:type="auto"/>
            <w:gridSpan w:val="3"/>
            <w:shd w:val="clear" w:color="auto" w:fill="FFFFFF"/>
            <w:tcMar>
              <w:top w:w="0" w:type="dxa"/>
              <w:left w:w="20" w:type="dxa"/>
              <w:bottom w:w="0" w:type="dxa"/>
              <w:right w:w="20" w:type="dxa"/>
            </w:tcMar>
            <w:vAlign w:val="bottom"/>
          </w:tcPr>
          <w:p w14:paraId="5F2D2C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14" w14:textId="77777777" w:rsidR="00E836FB" w:rsidRDefault="00994958">
            <w:pPr>
              <w:jc w:val="right"/>
              <w:textAlignment w:val="center"/>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center"/>
          </w:tcPr>
          <w:p w14:paraId="5F2D2C15"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C16"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17" w14:textId="77777777" w:rsidR="00E836FB" w:rsidRDefault="00994958">
            <w:pPr>
              <w:jc w:val="center"/>
              <w:textAlignment w:val="center"/>
            </w:pPr>
            <w:r>
              <w:rPr>
                <w:rFonts w:ascii="Arial" w:eastAsia="宋体" w:hAnsi="Arial" w:cs="Arial"/>
                <w:color w:val="000000"/>
                <w:sz w:val="14"/>
                <w:szCs w:val="14"/>
              </w:rPr>
              <w:t>Subordinated notes</w:t>
            </w:r>
          </w:p>
        </w:tc>
        <w:tc>
          <w:tcPr>
            <w:tcW w:w="0" w:type="auto"/>
            <w:gridSpan w:val="3"/>
            <w:shd w:val="clear" w:color="auto" w:fill="FFFFFF"/>
            <w:tcMar>
              <w:top w:w="0" w:type="dxa"/>
              <w:left w:w="20" w:type="dxa"/>
              <w:bottom w:w="0" w:type="dxa"/>
              <w:right w:w="20" w:type="dxa"/>
            </w:tcMar>
            <w:vAlign w:val="bottom"/>
          </w:tcPr>
          <w:p w14:paraId="5F2D2C18"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19" w14:textId="77777777" w:rsidR="00E836FB" w:rsidRDefault="00994958">
            <w:pPr>
              <w:textAlignment w:val="center"/>
            </w:pPr>
            <w:r>
              <w:rPr>
                <w:rFonts w:ascii="Arial" w:eastAsia="宋体" w:hAnsi="Arial" w:cs="Arial"/>
                <w:color w:val="000000"/>
                <w:sz w:val="14"/>
                <w:szCs w:val="14"/>
              </w:rPr>
              <w:t>5/15; 11/15</w:t>
            </w:r>
          </w:p>
        </w:tc>
        <w:tc>
          <w:tcPr>
            <w:tcW w:w="0" w:type="auto"/>
            <w:gridSpan w:val="3"/>
            <w:shd w:val="clear" w:color="auto" w:fill="FFFFFF"/>
            <w:tcMar>
              <w:top w:w="0" w:type="dxa"/>
              <w:left w:w="20" w:type="dxa"/>
              <w:bottom w:w="0" w:type="dxa"/>
              <w:right w:w="20" w:type="dxa"/>
            </w:tcMar>
            <w:vAlign w:val="bottom"/>
          </w:tcPr>
          <w:p w14:paraId="5F2D2C1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1B" w14:textId="77777777" w:rsidR="00E836FB" w:rsidRDefault="00994958">
            <w:pPr>
              <w:jc w:val="right"/>
              <w:textAlignment w:val="center"/>
            </w:pPr>
            <w:r>
              <w:rPr>
                <w:rFonts w:ascii="Arial" w:eastAsia="宋体" w:hAnsi="Arial" w:cs="Arial"/>
                <w:b/>
                <w:bCs/>
                <w:color w:val="000000"/>
                <w:sz w:val="14"/>
                <w:szCs w:val="14"/>
              </w:rPr>
              <w:t>1,022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C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1E" w14:textId="77777777" w:rsidR="00E836FB" w:rsidRDefault="00994958">
            <w:pPr>
              <w:jc w:val="right"/>
              <w:textAlignment w:val="center"/>
            </w:pPr>
            <w:r>
              <w:rPr>
                <w:rFonts w:ascii="Arial" w:eastAsia="宋体" w:hAnsi="Arial" w:cs="Arial"/>
                <w:color w:val="000000"/>
                <w:sz w:val="14"/>
                <w:szCs w:val="14"/>
              </w:rPr>
              <w:t>1,039 </w:t>
            </w:r>
          </w:p>
        </w:tc>
        <w:tc>
          <w:tcPr>
            <w:tcW w:w="0" w:type="auto"/>
            <w:shd w:val="clear" w:color="auto" w:fill="FFFFFF"/>
            <w:tcMar>
              <w:top w:w="40" w:type="dxa"/>
              <w:left w:w="0" w:type="dxa"/>
              <w:bottom w:w="40" w:type="dxa"/>
              <w:right w:w="20" w:type="dxa"/>
            </w:tcMar>
            <w:vAlign w:val="center"/>
          </w:tcPr>
          <w:p w14:paraId="5F2D2C1F" w14:textId="77777777" w:rsidR="00E836FB" w:rsidRDefault="00E836FB">
            <w:pPr>
              <w:jc w:val="right"/>
              <w:rPr>
                <w:rFonts w:ascii="宋体"/>
              </w:rPr>
            </w:pPr>
          </w:p>
        </w:tc>
      </w:tr>
      <w:tr w:rsidR="00E836FB" w14:paraId="5F2D2C31" w14:textId="77777777">
        <w:tc>
          <w:tcPr>
            <w:tcW w:w="0" w:type="auto"/>
            <w:gridSpan w:val="3"/>
            <w:shd w:val="clear" w:color="auto" w:fill="CCEEFF"/>
            <w:tcMar>
              <w:top w:w="40" w:type="dxa"/>
              <w:left w:w="155" w:type="dxa"/>
              <w:bottom w:w="40" w:type="dxa"/>
              <w:right w:w="20" w:type="dxa"/>
            </w:tcMar>
            <w:vAlign w:val="center"/>
          </w:tcPr>
          <w:p w14:paraId="5F2D2C21" w14:textId="77777777" w:rsidR="00E836FB" w:rsidRDefault="00994958">
            <w:pPr>
              <w:textAlignment w:val="center"/>
            </w:pPr>
            <w:r>
              <w:rPr>
                <w:rFonts w:ascii="Arial" w:eastAsia="宋体" w:hAnsi="Arial" w:cs="Arial"/>
                <w:color w:val="000000"/>
                <w:sz w:val="14"/>
                <w:szCs w:val="14"/>
              </w:rPr>
              <w:t>November 1, 2019</w:t>
            </w:r>
          </w:p>
        </w:tc>
        <w:tc>
          <w:tcPr>
            <w:tcW w:w="0" w:type="auto"/>
            <w:gridSpan w:val="3"/>
            <w:shd w:val="clear" w:color="auto" w:fill="CCEEFF"/>
            <w:tcMar>
              <w:top w:w="0" w:type="dxa"/>
              <w:left w:w="20" w:type="dxa"/>
              <w:bottom w:w="0" w:type="dxa"/>
              <w:right w:w="20" w:type="dxa"/>
            </w:tcMar>
            <w:vAlign w:val="bottom"/>
          </w:tcPr>
          <w:p w14:paraId="5F2D2C22"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23" w14:textId="77777777" w:rsidR="00E836FB" w:rsidRDefault="00994958">
            <w:pPr>
              <w:textAlignment w:val="center"/>
            </w:pPr>
            <w:r>
              <w:rPr>
                <w:rFonts w:ascii="Arial" w:eastAsia="宋体" w:hAnsi="Arial" w:cs="Arial"/>
                <w:color w:val="000000"/>
                <w:sz w:val="14"/>
                <w:szCs w:val="14"/>
              </w:rPr>
              <w:t>November 1, 2025</w:t>
            </w:r>
          </w:p>
        </w:tc>
        <w:tc>
          <w:tcPr>
            <w:tcW w:w="0" w:type="auto"/>
            <w:gridSpan w:val="3"/>
            <w:shd w:val="clear" w:color="auto" w:fill="CCEEFF"/>
            <w:tcMar>
              <w:top w:w="0" w:type="dxa"/>
              <w:left w:w="20" w:type="dxa"/>
              <w:bottom w:w="0" w:type="dxa"/>
              <w:right w:w="20" w:type="dxa"/>
            </w:tcMar>
            <w:vAlign w:val="bottom"/>
          </w:tcPr>
          <w:p w14:paraId="5F2D2C2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25" w14:textId="77777777" w:rsidR="00E836FB" w:rsidRDefault="00994958">
            <w:pPr>
              <w:jc w:val="right"/>
              <w:textAlignment w:val="center"/>
            </w:pPr>
            <w:r>
              <w:rPr>
                <w:rFonts w:ascii="Arial" w:eastAsia="宋体" w:hAnsi="Arial" w:cs="Arial"/>
                <w:color w:val="000000"/>
                <w:sz w:val="14"/>
                <w:szCs w:val="14"/>
              </w:rPr>
              <w:t>2.354 </w:t>
            </w:r>
          </w:p>
        </w:tc>
        <w:tc>
          <w:tcPr>
            <w:tcW w:w="0" w:type="auto"/>
            <w:shd w:val="clear" w:color="auto" w:fill="CCEEFF"/>
            <w:tcMar>
              <w:top w:w="40" w:type="dxa"/>
              <w:left w:w="0" w:type="dxa"/>
              <w:bottom w:w="40" w:type="dxa"/>
              <w:right w:w="20" w:type="dxa"/>
            </w:tcMar>
            <w:vAlign w:val="center"/>
          </w:tcPr>
          <w:p w14:paraId="5F2D2C26"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2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28"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vAlign w:val="bottom"/>
          </w:tcPr>
          <w:p w14:paraId="5F2D2C2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2A" w14:textId="77777777" w:rsidR="00E836FB" w:rsidRDefault="00994958">
            <w:pPr>
              <w:textAlignment w:val="center"/>
            </w:pPr>
            <w:r>
              <w:rPr>
                <w:rFonts w:ascii="Arial" w:eastAsia="宋体" w:hAnsi="Arial" w:cs="Arial"/>
                <w:color w:val="000000"/>
                <w:sz w:val="14"/>
                <w:szCs w:val="14"/>
              </w:rPr>
              <w:t>5/1; 11/1</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vAlign w:val="bottom"/>
          </w:tcPr>
          <w:p w14:paraId="5F2D2C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2C" w14:textId="77777777" w:rsidR="00E836FB" w:rsidRDefault="00994958">
            <w:pPr>
              <w:jc w:val="right"/>
              <w:textAlignment w:val="center"/>
            </w:pPr>
            <w:r>
              <w:rPr>
                <w:rFonts w:ascii="Arial" w:eastAsia="宋体" w:hAnsi="Arial" w:cs="Arial"/>
                <w:b/>
                <w:bCs/>
                <w:color w:val="000000"/>
                <w:sz w:val="14"/>
                <w:szCs w:val="14"/>
              </w:rPr>
              <w:t>1,019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2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2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2F" w14:textId="77777777" w:rsidR="00E836FB" w:rsidRDefault="00994958">
            <w:pPr>
              <w:jc w:val="right"/>
              <w:textAlignment w:val="center"/>
            </w:pPr>
            <w:r>
              <w:rPr>
                <w:rFonts w:ascii="Arial" w:eastAsia="宋体" w:hAnsi="Arial" w:cs="Arial"/>
                <w:color w:val="000000"/>
                <w:sz w:val="14"/>
                <w:szCs w:val="14"/>
              </w:rPr>
              <w:t>1,047 </w:t>
            </w:r>
          </w:p>
        </w:tc>
        <w:tc>
          <w:tcPr>
            <w:tcW w:w="0" w:type="auto"/>
            <w:shd w:val="clear" w:color="auto" w:fill="CCEEFF"/>
            <w:tcMar>
              <w:top w:w="40" w:type="dxa"/>
              <w:left w:w="0" w:type="dxa"/>
              <w:bottom w:w="40" w:type="dxa"/>
              <w:right w:w="20" w:type="dxa"/>
            </w:tcMar>
            <w:vAlign w:val="center"/>
          </w:tcPr>
          <w:p w14:paraId="5F2D2C30" w14:textId="77777777" w:rsidR="00E836FB" w:rsidRDefault="00E836FB">
            <w:pPr>
              <w:jc w:val="right"/>
              <w:rPr>
                <w:rFonts w:ascii="宋体"/>
              </w:rPr>
            </w:pPr>
          </w:p>
        </w:tc>
      </w:tr>
      <w:tr w:rsidR="00E836FB" w14:paraId="5F2D2C42" w14:textId="77777777">
        <w:tc>
          <w:tcPr>
            <w:tcW w:w="0" w:type="auto"/>
            <w:gridSpan w:val="3"/>
            <w:shd w:val="clear" w:color="auto" w:fill="FFFFFF"/>
            <w:tcMar>
              <w:top w:w="40" w:type="dxa"/>
              <w:left w:w="155" w:type="dxa"/>
              <w:bottom w:w="40" w:type="dxa"/>
              <w:right w:w="20" w:type="dxa"/>
            </w:tcMar>
            <w:vAlign w:val="center"/>
          </w:tcPr>
          <w:p w14:paraId="5F2D2C32" w14:textId="77777777" w:rsidR="00E836FB" w:rsidRDefault="00994958">
            <w:pPr>
              <w:textAlignment w:val="center"/>
            </w:pPr>
            <w:r>
              <w:rPr>
                <w:rFonts w:ascii="Arial" w:eastAsia="宋体" w:hAnsi="Arial" w:cs="Arial"/>
                <w:color w:val="000000"/>
                <w:sz w:val="14"/>
                <w:szCs w:val="14"/>
              </w:rPr>
              <w:t>March 3, 2021</w:t>
            </w:r>
          </w:p>
        </w:tc>
        <w:tc>
          <w:tcPr>
            <w:tcW w:w="0" w:type="auto"/>
            <w:gridSpan w:val="3"/>
            <w:shd w:val="clear" w:color="auto" w:fill="FFFFFF"/>
            <w:tcMar>
              <w:top w:w="0" w:type="dxa"/>
              <w:left w:w="20" w:type="dxa"/>
              <w:bottom w:w="0" w:type="dxa"/>
              <w:right w:w="20" w:type="dxa"/>
            </w:tcMar>
            <w:vAlign w:val="bottom"/>
          </w:tcPr>
          <w:p w14:paraId="5F2D2C33" w14:textId="77777777" w:rsidR="00E836FB" w:rsidRDefault="00E836FB">
            <w:pPr>
              <w:rPr>
                <w:rFonts w:ascii="宋体"/>
              </w:rPr>
            </w:pPr>
          </w:p>
        </w:tc>
        <w:tc>
          <w:tcPr>
            <w:tcW w:w="0" w:type="auto"/>
            <w:gridSpan w:val="3"/>
            <w:shd w:val="clear" w:color="auto" w:fill="FFFFFF"/>
            <w:tcMar>
              <w:top w:w="40" w:type="dxa"/>
              <w:left w:w="155" w:type="dxa"/>
              <w:bottom w:w="40" w:type="dxa"/>
              <w:right w:w="20" w:type="dxa"/>
            </w:tcMar>
            <w:vAlign w:val="center"/>
          </w:tcPr>
          <w:p w14:paraId="5F2D2C34" w14:textId="77777777" w:rsidR="00E836FB" w:rsidRDefault="00994958">
            <w:pPr>
              <w:textAlignment w:val="center"/>
            </w:pPr>
            <w:r>
              <w:rPr>
                <w:rFonts w:ascii="Arial" w:eastAsia="宋体" w:hAnsi="Arial" w:cs="Arial"/>
                <w:color w:val="000000"/>
                <w:sz w:val="14"/>
                <w:szCs w:val="14"/>
              </w:rPr>
              <w:t>March 3, 2031</w:t>
            </w:r>
          </w:p>
        </w:tc>
        <w:tc>
          <w:tcPr>
            <w:tcW w:w="0" w:type="auto"/>
            <w:gridSpan w:val="3"/>
            <w:shd w:val="clear" w:color="auto" w:fill="FFFFFF"/>
            <w:tcMar>
              <w:top w:w="0" w:type="dxa"/>
              <w:left w:w="20" w:type="dxa"/>
              <w:bottom w:w="0" w:type="dxa"/>
              <w:right w:w="20" w:type="dxa"/>
            </w:tcMar>
            <w:vAlign w:val="bottom"/>
          </w:tcPr>
          <w:p w14:paraId="5F2D2C3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36" w14:textId="77777777" w:rsidR="00E836FB" w:rsidRDefault="00994958">
            <w:pPr>
              <w:jc w:val="right"/>
              <w:textAlignment w:val="center"/>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center"/>
          </w:tcPr>
          <w:p w14:paraId="5F2D2C37"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C38"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39" w14:textId="77777777" w:rsidR="00E836FB" w:rsidRDefault="00994958">
            <w:pPr>
              <w:jc w:val="center"/>
              <w:textAlignment w:val="center"/>
            </w:pPr>
            <w:r>
              <w:rPr>
                <w:rFonts w:ascii="Arial" w:eastAsia="宋体" w:hAnsi="Arial" w:cs="Arial"/>
                <w:color w:val="000000"/>
                <w:sz w:val="14"/>
                <w:szCs w:val="14"/>
              </w:rPr>
              <w:t>Senior subordinated notes</w:t>
            </w:r>
          </w:p>
        </w:tc>
        <w:tc>
          <w:tcPr>
            <w:tcW w:w="0" w:type="auto"/>
            <w:gridSpan w:val="3"/>
            <w:shd w:val="clear" w:color="auto" w:fill="FFFFFF"/>
            <w:tcMar>
              <w:top w:w="0" w:type="dxa"/>
              <w:left w:w="20" w:type="dxa"/>
              <w:bottom w:w="0" w:type="dxa"/>
              <w:right w:w="20" w:type="dxa"/>
            </w:tcMar>
            <w:vAlign w:val="bottom"/>
          </w:tcPr>
          <w:p w14:paraId="5F2D2C3A"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3B" w14:textId="77777777" w:rsidR="00E836FB" w:rsidRDefault="00994958">
            <w:pPr>
              <w:textAlignment w:val="center"/>
            </w:pPr>
            <w:r>
              <w:rPr>
                <w:rFonts w:ascii="Arial" w:eastAsia="宋体" w:hAnsi="Arial" w:cs="Arial"/>
                <w:color w:val="000000"/>
                <w:sz w:val="14"/>
                <w:szCs w:val="14"/>
              </w:rPr>
              <w:t>3/3; 9/3</w:t>
            </w:r>
          </w:p>
        </w:tc>
        <w:tc>
          <w:tcPr>
            <w:tcW w:w="0" w:type="auto"/>
            <w:gridSpan w:val="3"/>
            <w:shd w:val="clear" w:color="auto" w:fill="FFFFFF"/>
            <w:tcMar>
              <w:top w:w="0" w:type="dxa"/>
              <w:left w:w="20" w:type="dxa"/>
              <w:bottom w:w="0" w:type="dxa"/>
              <w:right w:w="20" w:type="dxa"/>
            </w:tcMar>
            <w:vAlign w:val="bottom"/>
          </w:tcPr>
          <w:p w14:paraId="5F2D2C3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3D" w14:textId="77777777" w:rsidR="00E836FB" w:rsidRDefault="00994958">
            <w:pPr>
              <w:jc w:val="right"/>
              <w:textAlignment w:val="center"/>
            </w:pPr>
            <w:r>
              <w:rPr>
                <w:rFonts w:ascii="Arial" w:eastAsia="宋体" w:hAnsi="Arial" w:cs="Arial"/>
                <w:b/>
                <w:bCs/>
                <w:color w:val="000000"/>
                <w:sz w:val="14"/>
                <w:szCs w:val="14"/>
              </w:rPr>
              <w:t>843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C3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40" w14:textId="77777777" w:rsidR="00E836FB" w:rsidRDefault="00994958">
            <w:pPr>
              <w:jc w:val="right"/>
              <w:textAlignment w:val="center"/>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41" w14:textId="77777777" w:rsidR="00E836FB" w:rsidRDefault="00E836FB">
            <w:pPr>
              <w:jc w:val="right"/>
              <w:rPr>
                <w:rFonts w:ascii="宋体"/>
              </w:rPr>
            </w:pPr>
          </w:p>
        </w:tc>
      </w:tr>
      <w:tr w:rsidR="00E836FB" w14:paraId="5F2D2C53" w14:textId="77777777">
        <w:tc>
          <w:tcPr>
            <w:tcW w:w="0" w:type="auto"/>
            <w:gridSpan w:val="3"/>
            <w:shd w:val="clear" w:color="auto" w:fill="CCEEFF"/>
            <w:tcMar>
              <w:top w:w="40" w:type="dxa"/>
              <w:left w:w="155" w:type="dxa"/>
              <w:bottom w:w="40" w:type="dxa"/>
              <w:right w:w="20" w:type="dxa"/>
            </w:tcMar>
            <w:vAlign w:val="center"/>
          </w:tcPr>
          <w:p w14:paraId="5F2D2C43" w14:textId="77777777" w:rsidR="00E836FB" w:rsidRDefault="00994958">
            <w:pPr>
              <w:textAlignment w:val="center"/>
            </w:pPr>
            <w:r>
              <w:rPr>
                <w:rFonts w:ascii="Arial" w:eastAsia="宋体" w:hAnsi="Arial" w:cs="Arial"/>
                <w:color w:val="000000"/>
                <w:sz w:val="14"/>
                <w:szCs w:val="14"/>
              </w:rPr>
              <w:t>January 24, 2020</w:t>
            </w:r>
          </w:p>
        </w:tc>
        <w:tc>
          <w:tcPr>
            <w:tcW w:w="0" w:type="auto"/>
            <w:gridSpan w:val="3"/>
            <w:shd w:val="clear" w:color="auto" w:fill="CCEEFF"/>
            <w:tcMar>
              <w:top w:w="0" w:type="dxa"/>
              <w:left w:w="20" w:type="dxa"/>
              <w:bottom w:w="0" w:type="dxa"/>
              <w:right w:w="20" w:type="dxa"/>
            </w:tcMar>
            <w:vAlign w:val="bottom"/>
          </w:tcPr>
          <w:p w14:paraId="5F2D2C44"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45" w14:textId="77777777" w:rsidR="00E836FB" w:rsidRDefault="00994958">
            <w:pPr>
              <w:textAlignment w:val="center"/>
            </w:pPr>
            <w:r>
              <w:rPr>
                <w:rFonts w:ascii="Arial" w:eastAsia="宋体" w:hAnsi="Arial" w:cs="Arial"/>
                <w:color w:val="000000"/>
                <w:sz w:val="14"/>
                <w:szCs w:val="14"/>
              </w:rPr>
              <w:t>January 24, 2030</w:t>
            </w:r>
          </w:p>
        </w:tc>
        <w:tc>
          <w:tcPr>
            <w:tcW w:w="0" w:type="auto"/>
            <w:gridSpan w:val="3"/>
            <w:shd w:val="clear" w:color="auto" w:fill="CCEEFF"/>
            <w:tcMar>
              <w:top w:w="0" w:type="dxa"/>
              <w:left w:w="20" w:type="dxa"/>
              <w:bottom w:w="0" w:type="dxa"/>
              <w:right w:w="20" w:type="dxa"/>
            </w:tcMar>
            <w:vAlign w:val="bottom"/>
          </w:tcPr>
          <w:p w14:paraId="5F2D2C4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47" w14:textId="77777777" w:rsidR="00E836FB" w:rsidRDefault="00994958">
            <w:pPr>
              <w:jc w:val="right"/>
              <w:textAlignment w:val="center"/>
            </w:pPr>
            <w:r>
              <w:rPr>
                <w:rFonts w:ascii="Arial" w:eastAsia="宋体" w:hAnsi="Arial" w:cs="Arial"/>
                <w:color w:val="000000"/>
                <w:sz w:val="14"/>
                <w:szCs w:val="14"/>
              </w:rPr>
              <w:t>2.400 </w:t>
            </w:r>
          </w:p>
        </w:tc>
        <w:tc>
          <w:tcPr>
            <w:tcW w:w="0" w:type="auto"/>
            <w:shd w:val="clear" w:color="auto" w:fill="CCEEFF"/>
            <w:tcMar>
              <w:top w:w="40" w:type="dxa"/>
              <w:left w:w="0" w:type="dxa"/>
              <w:bottom w:w="40" w:type="dxa"/>
              <w:right w:w="20" w:type="dxa"/>
            </w:tcMar>
            <w:vAlign w:val="center"/>
          </w:tcPr>
          <w:p w14:paraId="5F2D2C48"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49"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4A"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vAlign w:val="bottom"/>
          </w:tcPr>
          <w:p w14:paraId="5F2D2C4B"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4C" w14:textId="77777777" w:rsidR="00E836FB" w:rsidRDefault="00994958">
            <w:pPr>
              <w:textAlignment w:val="center"/>
            </w:pPr>
            <w:r>
              <w:rPr>
                <w:rFonts w:ascii="Arial" w:eastAsia="宋体" w:hAnsi="Arial" w:cs="Arial"/>
                <w:color w:val="000000"/>
                <w:sz w:val="14"/>
                <w:szCs w:val="14"/>
              </w:rPr>
              <w:t>1/24, 7/24</w:t>
            </w:r>
          </w:p>
        </w:tc>
        <w:tc>
          <w:tcPr>
            <w:tcW w:w="0" w:type="auto"/>
            <w:gridSpan w:val="3"/>
            <w:shd w:val="clear" w:color="auto" w:fill="CCEEFF"/>
            <w:tcMar>
              <w:top w:w="0" w:type="dxa"/>
              <w:left w:w="20" w:type="dxa"/>
              <w:bottom w:w="0" w:type="dxa"/>
              <w:right w:w="20" w:type="dxa"/>
            </w:tcMar>
            <w:vAlign w:val="bottom"/>
          </w:tcPr>
          <w:p w14:paraId="5F2D2C4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4E" w14:textId="77777777" w:rsidR="00E836FB" w:rsidRDefault="00994958">
            <w:pPr>
              <w:jc w:val="right"/>
              <w:textAlignment w:val="center"/>
            </w:pPr>
            <w:r>
              <w:rPr>
                <w:rFonts w:ascii="Arial" w:eastAsia="宋体" w:hAnsi="Arial" w:cs="Arial"/>
                <w:b/>
                <w:bCs/>
                <w:color w:val="000000"/>
                <w:sz w:val="14"/>
                <w:szCs w:val="14"/>
              </w:rPr>
              <w:t>803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51" w14:textId="77777777" w:rsidR="00E836FB" w:rsidRDefault="00994958">
            <w:pPr>
              <w:jc w:val="right"/>
              <w:textAlignment w:val="center"/>
            </w:pPr>
            <w:r>
              <w:rPr>
                <w:rFonts w:ascii="Arial" w:eastAsia="宋体" w:hAnsi="Arial" w:cs="Arial"/>
                <w:color w:val="000000"/>
                <w:sz w:val="14"/>
                <w:szCs w:val="14"/>
              </w:rPr>
              <w:t>821 </w:t>
            </w:r>
          </w:p>
        </w:tc>
        <w:tc>
          <w:tcPr>
            <w:tcW w:w="0" w:type="auto"/>
            <w:shd w:val="clear" w:color="auto" w:fill="CCEEFF"/>
            <w:tcMar>
              <w:top w:w="40" w:type="dxa"/>
              <w:left w:w="0" w:type="dxa"/>
              <w:bottom w:w="40" w:type="dxa"/>
              <w:right w:w="20" w:type="dxa"/>
            </w:tcMar>
            <w:vAlign w:val="center"/>
          </w:tcPr>
          <w:p w14:paraId="5F2D2C52" w14:textId="77777777" w:rsidR="00E836FB" w:rsidRDefault="00E836FB">
            <w:pPr>
              <w:jc w:val="right"/>
              <w:rPr>
                <w:rFonts w:ascii="宋体"/>
              </w:rPr>
            </w:pPr>
          </w:p>
        </w:tc>
      </w:tr>
      <w:tr w:rsidR="00E836FB" w14:paraId="5F2D2C64" w14:textId="77777777">
        <w:tc>
          <w:tcPr>
            <w:tcW w:w="0" w:type="auto"/>
            <w:gridSpan w:val="3"/>
            <w:shd w:val="clear" w:color="auto" w:fill="FFFFFF"/>
            <w:tcMar>
              <w:top w:w="40" w:type="dxa"/>
              <w:left w:w="155" w:type="dxa"/>
              <w:bottom w:w="40" w:type="dxa"/>
              <w:right w:w="20" w:type="dxa"/>
            </w:tcMar>
            <w:vAlign w:val="center"/>
          </w:tcPr>
          <w:p w14:paraId="5F2D2C54" w14:textId="77777777" w:rsidR="00E836FB" w:rsidRDefault="00994958">
            <w:pPr>
              <w:textAlignment w:val="center"/>
            </w:pPr>
            <w:r>
              <w:rPr>
                <w:rFonts w:ascii="Arial" w:eastAsia="宋体" w:hAnsi="Arial" w:cs="Arial"/>
                <w:color w:val="000000"/>
                <w:sz w:val="14"/>
                <w:szCs w:val="14"/>
              </w:rPr>
              <w:t>May 19, 2016</w:t>
            </w:r>
          </w:p>
        </w:tc>
        <w:tc>
          <w:tcPr>
            <w:tcW w:w="0" w:type="auto"/>
            <w:gridSpan w:val="3"/>
            <w:shd w:val="clear" w:color="auto" w:fill="FFFFFF"/>
            <w:tcMar>
              <w:top w:w="0" w:type="dxa"/>
              <w:left w:w="20" w:type="dxa"/>
              <w:bottom w:w="0" w:type="dxa"/>
              <w:right w:w="20" w:type="dxa"/>
            </w:tcMar>
            <w:vAlign w:val="bottom"/>
          </w:tcPr>
          <w:p w14:paraId="5F2D2C55" w14:textId="77777777" w:rsidR="00E836FB" w:rsidRDefault="00E836FB">
            <w:pPr>
              <w:rPr>
                <w:rFonts w:ascii="宋体"/>
              </w:rPr>
            </w:pPr>
          </w:p>
        </w:tc>
        <w:tc>
          <w:tcPr>
            <w:tcW w:w="0" w:type="auto"/>
            <w:gridSpan w:val="3"/>
            <w:shd w:val="clear" w:color="auto" w:fill="FFFFFF"/>
            <w:tcMar>
              <w:top w:w="40" w:type="dxa"/>
              <w:left w:w="155" w:type="dxa"/>
              <w:bottom w:w="40" w:type="dxa"/>
              <w:right w:w="20" w:type="dxa"/>
            </w:tcMar>
            <w:vAlign w:val="center"/>
          </w:tcPr>
          <w:p w14:paraId="5F2D2C56" w14:textId="77777777" w:rsidR="00E836FB" w:rsidRDefault="00994958">
            <w:pPr>
              <w:textAlignment w:val="center"/>
            </w:pPr>
            <w:r>
              <w:rPr>
                <w:rFonts w:ascii="Arial" w:eastAsia="宋体" w:hAnsi="Arial" w:cs="Arial"/>
                <w:color w:val="000000"/>
                <w:sz w:val="14"/>
                <w:szCs w:val="14"/>
              </w:rPr>
              <w:t>May 19, 2026</w:t>
            </w:r>
          </w:p>
        </w:tc>
        <w:tc>
          <w:tcPr>
            <w:tcW w:w="0" w:type="auto"/>
            <w:gridSpan w:val="3"/>
            <w:shd w:val="clear" w:color="auto" w:fill="FFFFFF"/>
            <w:tcMar>
              <w:top w:w="0" w:type="dxa"/>
              <w:left w:w="20" w:type="dxa"/>
              <w:bottom w:w="0" w:type="dxa"/>
              <w:right w:w="20" w:type="dxa"/>
            </w:tcMar>
            <w:vAlign w:val="bottom"/>
          </w:tcPr>
          <w:p w14:paraId="5F2D2C5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58" w14:textId="77777777" w:rsidR="00E836FB" w:rsidRDefault="00994958">
            <w:pPr>
              <w:jc w:val="right"/>
              <w:textAlignment w:val="center"/>
            </w:pPr>
            <w:r>
              <w:rPr>
                <w:rFonts w:ascii="Arial" w:eastAsia="宋体" w:hAnsi="Arial" w:cs="Arial"/>
                <w:color w:val="000000"/>
                <w:sz w:val="14"/>
                <w:szCs w:val="14"/>
              </w:rPr>
              <w:t>2.65 </w:t>
            </w:r>
          </w:p>
        </w:tc>
        <w:tc>
          <w:tcPr>
            <w:tcW w:w="0" w:type="auto"/>
            <w:shd w:val="clear" w:color="auto" w:fill="FFFFFF"/>
            <w:tcMar>
              <w:top w:w="40" w:type="dxa"/>
              <w:left w:w="0" w:type="dxa"/>
              <w:bottom w:w="40" w:type="dxa"/>
              <w:right w:w="20" w:type="dxa"/>
            </w:tcMar>
            <w:vAlign w:val="center"/>
          </w:tcPr>
          <w:p w14:paraId="5F2D2C59"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C5A"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5B"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vAlign w:val="bottom"/>
          </w:tcPr>
          <w:p w14:paraId="5F2D2C5C"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5D" w14:textId="77777777" w:rsidR="00E836FB" w:rsidRDefault="00994958">
            <w:pPr>
              <w:textAlignment w:val="center"/>
            </w:pPr>
            <w:r>
              <w:rPr>
                <w:rFonts w:ascii="Arial" w:eastAsia="宋体" w:hAnsi="Arial" w:cs="Arial"/>
                <w:color w:val="000000"/>
                <w:sz w:val="14"/>
                <w:szCs w:val="14"/>
              </w:rPr>
              <w:t>5/19; 11/19</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vAlign w:val="bottom"/>
          </w:tcPr>
          <w:p w14:paraId="5F2D2C5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5F" w14:textId="77777777" w:rsidR="00E836FB" w:rsidRDefault="00994958">
            <w:pPr>
              <w:jc w:val="right"/>
              <w:textAlignment w:val="center"/>
            </w:pPr>
            <w:r>
              <w:rPr>
                <w:rFonts w:ascii="Arial" w:eastAsia="宋体" w:hAnsi="Arial" w:cs="Arial"/>
                <w:b/>
                <w:bCs/>
                <w:color w:val="000000"/>
                <w:sz w:val="14"/>
                <w:szCs w:val="14"/>
              </w:rPr>
              <w:t>779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C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62" w14:textId="77777777" w:rsidR="00E836FB" w:rsidRDefault="00994958">
            <w:pPr>
              <w:jc w:val="right"/>
              <w:textAlignment w:val="center"/>
            </w:pPr>
            <w:r>
              <w:rPr>
                <w:rFonts w:ascii="Arial" w:eastAsia="宋体" w:hAnsi="Arial" w:cs="Arial"/>
                <w:color w:val="000000"/>
                <w:sz w:val="14"/>
                <w:szCs w:val="14"/>
              </w:rPr>
              <w:t>796 </w:t>
            </w:r>
          </w:p>
        </w:tc>
        <w:tc>
          <w:tcPr>
            <w:tcW w:w="0" w:type="auto"/>
            <w:shd w:val="clear" w:color="auto" w:fill="FFFFFF"/>
            <w:tcMar>
              <w:top w:w="40" w:type="dxa"/>
              <w:left w:w="0" w:type="dxa"/>
              <w:bottom w:w="40" w:type="dxa"/>
              <w:right w:w="20" w:type="dxa"/>
            </w:tcMar>
            <w:vAlign w:val="center"/>
          </w:tcPr>
          <w:p w14:paraId="5F2D2C63" w14:textId="77777777" w:rsidR="00E836FB" w:rsidRDefault="00E836FB">
            <w:pPr>
              <w:jc w:val="right"/>
              <w:rPr>
                <w:rFonts w:ascii="宋体"/>
              </w:rPr>
            </w:pPr>
          </w:p>
        </w:tc>
      </w:tr>
      <w:tr w:rsidR="00E836FB" w14:paraId="5F2D2C75" w14:textId="77777777">
        <w:tc>
          <w:tcPr>
            <w:tcW w:w="0" w:type="auto"/>
            <w:gridSpan w:val="3"/>
            <w:shd w:val="clear" w:color="auto" w:fill="CCEEFF"/>
            <w:tcMar>
              <w:top w:w="40" w:type="dxa"/>
              <w:left w:w="155" w:type="dxa"/>
              <w:bottom w:w="40" w:type="dxa"/>
              <w:right w:w="20" w:type="dxa"/>
            </w:tcMar>
            <w:vAlign w:val="center"/>
          </w:tcPr>
          <w:p w14:paraId="5F2D2C65" w14:textId="77777777" w:rsidR="00E836FB" w:rsidRDefault="00994958">
            <w:pPr>
              <w:textAlignment w:val="center"/>
            </w:pPr>
            <w:r>
              <w:rPr>
                <w:rFonts w:ascii="Arial" w:eastAsia="宋体" w:hAnsi="Arial" w:cs="Arial"/>
                <w:color w:val="000000"/>
                <w:sz w:val="14"/>
                <w:szCs w:val="14"/>
              </w:rPr>
              <w:t>May 15, 2017</w:t>
            </w:r>
          </w:p>
        </w:tc>
        <w:tc>
          <w:tcPr>
            <w:tcW w:w="0" w:type="auto"/>
            <w:gridSpan w:val="3"/>
            <w:shd w:val="clear" w:color="auto" w:fill="CCEEFF"/>
            <w:tcMar>
              <w:top w:w="0" w:type="dxa"/>
              <w:left w:w="20" w:type="dxa"/>
              <w:bottom w:w="0" w:type="dxa"/>
              <w:right w:w="20" w:type="dxa"/>
            </w:tcMar>
            <w:vAlign w:val="bottom"/>
          </w:tcPr>
          <w:p w14:paraId="5F2D2C66"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67" w14:textId="77777777" w:rsidR="00E836FB" w:rsidRDefault="00994958">
            <w:pPr>
              <w:textAlignment w:val="center"/>
            </w:pPr>
            <w:r>
              <w:rPr>
                <w:rFonts w:ascii="Arial" w:eastAsia="宋体" w:hAnsi="Arial" w:cs="Arial"/>
                <w:color w:val="000000"/>
                <w:sz w:val="14"/>
                <w:szCs w:val="14"/>
              </w:rPr>
              <w:t>May 15, 2023</w:t>
            </w:r>
          </w:p>
        </w:tc>
        <w:tc>
          <w:tcPr>
            <w:tcW w:w="0" w:type="auto"/>
            <w:gridSpan w:val="3"/>
            <w:shd w:val="clear" w:color="auto" w:fill="CCEEFF"/>
            <w:tcMar>
              <w:top w:w="0" w:type="dxa"/>
              <w:left w:w="20" w:type="dxa"/>
              <w:bottom w:w="0" w:type="dxa"/>
              <w:right w:w="20" w:type="dxa"/>
            </w:tcMar>
            <w:vAlign w:val="bottom"/>
          </w:tcPr>
          <w:p w14:paraId="5F2D2C6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69" w14:textId="77777777" w:rsidR="00E836FB" w:rsidRDefault="00994958">
            <w:pPr>
              <w:jc w:val="right"/>
              <w:textAlignment w:val="center"/>
            </w:pPr>
            <w:r>
              <w:rPr>
                <w:rFonts w:ascii="Arial" w:eastAsia="宋体" w:hAnsi="Arial" w:cs="Arial"/>
                <w:color w:val="000000"/>
                <w:sz w:val="14"/>
                <w:szCs w:val="14"/>
              </w:rPr>
              <w:t>2.653 </w:t>
            </w:r>
          </w:p>
        </w:tc>
        <w:tc>
          <w:tcPr>
            <w:tcW w:w="0" w:type="auto"/>
            <w:shd w:val="clear" w:color="auto" w:fill="CCEEFF"/>
            <w:tcMar>
              <w:top w:w="40" w:type="dxa"/>
              <w:left w:w="0" w:type="dxa"/>
              <w:bottom w:w="40" w:type="dxa"/>
              <w:right w:w="20" w:type="dxa"/>
            </w:tcMar>
            <w:vAlign w:val="center"/>
          </w:tcPr>
          <w:p w14:paraId="5F2D2C6A"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6B"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6C"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vAlign w:val="bottom"/>
          </w:tcPr>
          <w:p w14:paraId="5F2D2C6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6E" w14:textId="77777777" w:rsidR="00E836FB" w:rsidRDefault="00994958">
            <w:pPr>
              <w:textAlignment w:val="center"/>
            </w:pPr>
            <w:r>
              <w:rPr>
                <w:rFonts w:ascii="Arial" w:eastAsia="宋体" w:hAnsi="Arial" w:cs="Arial"/>
                <w:color w:val="000000"/>
                <w:sz w:val="14"/>
                <w:szCs w:val="14"/>
              </w:rPr>
              <w:t>5/15; 11/15</w:t>
            </w:r>
          </w:p>
        </w:tc>
        <w:tc>
          <w:tcPr>
            <w:tcW w:w="0" w:type="auto"/>
            <w:gridSpan w:val="3"/>
            <w:shd w:val="clear" w:color="auto" w:fill="CCEEFF"/>
            <w:tcMar>
              <w:top w:w="0" w:type="dxa"/>
              <w:left w:w="20" w:type="dxa"/>
              <w:bottom w:w="0" w:type="dxa"/>
              <w:right w:w="20" w:type="dxa"/>
            </w:tcMar>
            <w:vAlign w:val="bottom"/>
          </w:tcPr>
          <w:p w14:paraId="5F2D2C6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70" w14:textId="77777777" w:rsidR="00E836FB" w:rsidRDefault="00994958">
            <w:pPr>
              <w:jc w:val="right"/>
              <w:textAlignment w:val="center"/>
            </w:pPr>
            <w:r>
              <w:rPr>
                <w:rFonts w:ascii="Arial" w:eastAsia="宋体" w:hAnsi="Arial" w:cs="Arial"/>
                <w:b/>
                <w:bCs/>
                <w:color w:val="000000"/>
                <w:sz w:val="14"/>
                <w:szCs w:val="14"/>
              </w:rPr>
              <w:t>754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7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7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73" w14:textId="77777777" w:rsidR="00E836FB" w:rsidRDefault="00994958">
            <w:pPr>
              <w:jc w:val="right"/>
              <w:textAlignment w:val="center"/>
            </w:pPr>
            <w:r>
              <w:rPr>
                <w:rFonts w:ascii="Arial" w:eastAsia="宋体" w:hAnsi="Arial" w:cs="Arial"/>
                <w:color w:val="000000"/>
                <w:sz w:val="14"/>
                <w:szCs w:val="14"/>
              </w:rPr>
              <w:t>766 </w:t>
            </w:r>
          </w:p>
        </w:tc>
        <w:tc>
          <w:tcPr>
            <w:tcW w:w="0" w:type="auto"/>
            <w:shd w:val="clear" w:color="auto" w:fill="CCEEFF"/>
            <w:tcMar>
              <w:top w:w="40" w:type="dxa"/>
              <w:left w:w="0" w:type="dxa"/>
              <w:bottom w:w="40" w:type="dxa"/>
              <w:right w:w="20" w:type="dxa"/>
            </w:tcMar>
            <w:vAlign w:val="center"/>
          </w:tcPr>
          <w:p w14:paraId="5F2D2C74" w14:textId="77777777" w:rsidR="00E836FB" w:rsidRDefault="00E836FB">
            <w:pPr>
              <w:jc w:val="right"/>
              <w:rPr>
                <w:rFonts w:ascii="宋体"/>
              </w:rPr>
            </w:pPr>
          </w:p>
        </w:tc>
      </w:tr>
      <w:tr w:rsidR="00E836FB" w14:paraId="5F2D2C86" w14:textId="77777777">
        <w:tc>
          <w:tcPr>
            <w:tcW w:w="0" w:type="auto"/>
            <w:gridSpan w:val="3"/>
            <w:shd w:val="clear" w:color="auto" w:fill="FFFFFF"/>
            <w:tcMar>
              <w:top w:w="40" w:type="dxa"/>
              <w:left w:w="155" w:type="dxa"/>
              <w:bottom w:w="40" w:type="dxa"/>
              <w:right w:w="20" w:type="dxa"/>
            </w:tcMar>
            <w:vAlign w:val="center"/>
          </w:tcPr>
          <w:p w14:paraId="5F2D2C76" w14:textId="77777777" w:rsidR="00E836FB" w:rsidRDefault="00994958">
            <w:pPr>
              <w:textAlignment w:val="center"/>
            </w:pPr>
            <w:r>
              <w:rPr>
                <w:rFonts w:ascii="Arial" w:eastAsia="宋体" w:hAnsi="Arial" w:cs="Arial"/>
                <w:color w:val="000000"/>
                <w:sz w:val="14"/>
                <w:szCs w:val="14"/>
              </w:rPr>
              <w:t>March 30, 2020</w:t>
            </w:r>
          </w:p>
        </w:tc>
        <w:tc>
          <w:tcPr>
            <w:tcW w:w="0" w:type="auto"/>
            <w:gridSpan w:val="3"/>
            <w:shd w:val="clear" w:color="auto" w:fill="FFFFFF"/>
            <w:tcMar>
              <w:top w:w="0" w:type="dxa"/>
              <w:left w:w="20" w:type="dxa"/>
              <w:bottom w:w="0" w:type="dxa"/>
              <w:right w:w="20" w:type="dxa"/>
            </w:tcMar>
            <w:vAlign w:val="bottom"/>
          </w:tcPr>
          <w:p w14:paraId="5F2D2C77" w14:textId="77777777" w:rsidR="00E836FB" w:rsidRDefault="00E836FB">
            <w:pPr>
              <w:rPr>
                <w:rFonts w:ascii="宋体"/>
              </w:rPr>
            </w:pPr>
          </w:p>
        </w:tc>
        <w:tc>
          <w:tcPr>
            <w:tcW w:w="0" w:type="auto"/>
            <w:gridSpan w:val="3"/>
            <w:shd w:val="clear" w:color="auto" w:fill="FFFFFF"/>
            <w:tcMar>
              <w:top w:w="40" w:type="dxa"/>
              <w:left w:w="155" w:type="dxa"/>
              <w:bottom w:w="40" w:type="dxa"/>
              <w:right w:w="20" w:type="dxa"/>
            </w:tcMar>
            <w:vAlign w:val="center"/>
          </w:tcPr>
          <w:p w14:paraId="5F2D2C78" w14:textId="77777777" w:rsidR="00E836FB" w:rsidRDefault="00994958">
            <w:pPr>
              <w:textAlignment w:val="center"/>
            </w:pPr>
            <w:r>
              <w:rPr>
                <w:rFonts w:ascii="Arial" w:eastAsia="宋体" w:hAnsi="Arial" w:cs="Arial"/>
                <w:color w:val="000000"/>
                <w:sz w:val="14"/>
                <w:szCs w:val="14"/>
              </w:rPr>
              <w:t>March 30, 2023</w:t>
            </w:r>
          </w:p>
        </w:tc>
        <w:tc>
          <w:tcPr>
            <w:tcW w:w="0" w:type="auto"/>
            <w:gridSpan w:val="3"/>
            <w:shd w:val="clear" w:color="auto" w:fill="FFFFFF"/>
            <w:tcMar>
              <w:top w:w="0" w:type="dxa"/>
              <w:left w:w="20" w:type="dxa"/>
              <w:bottom w:w="0" w:type="dxa"/>
              <w:right w:w="20" w:type="dxa"/>
            </w:tcMar>
            <w:vAlign w:val="bottom"/>
          </w:tcPr>
          <w:p w14:paraId="5F2D2C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7A" w14:textId="77777777" w:rsidR="00E836FB" w:rsidRDefault="00994958">
            <w:pPr>
              <w:jc w:val="right"/>
              <w:textAlignment w:val="center"/>
            </w:pPr>
            <w:r>
              <w:rPr>
                <w:rFonts w:ascii="Arial" w:eastAsia="宋体" w:hAnsi="Arial" w:cs="Arial"/>
                <w:color w:val="000000"/>
                <w:sz w:val="14"/>
                <w:szCs w:val="14"/>
              </w:rPr>
              <w:t>2.825 </w:t>
            </w:r>
          </w:p>
        </w:tc>
        <w:tc>
          <w:tcPr>
            <w:tcW w:w="0" w:type="auto"/>
            <w:shd w:val="clear" w:color="auto" w:fill="FFFFFF"/>
            <w:tcMar>
              <w:top w:w="40" w:type="dxa"/>
              <w:left w:w="0" w:type="dxa"/>
              <w:bottom w:w="40" w:type="dxa"/>
              <w:right w:w="20" w:type="dxa"/>
            </w:tcMar>
            <w:vAlign w:val="center"/>
          </w:tcPr>
          <w:p w14:paraId="5F2D2C7B"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C7C"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7D"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FFFFFF"/>
            <w:tcMar>
              <w:top w:w="0" w:type="dxa"/>
              <w:left w:w="20" w:type="dxa"/>
              <w:bottom w:w="0" w:type="dxa"/>
              <w:right w:w="20" w:type="dxa"/>
            </w:tcMar>
            <w:vAlign w:val="bottom"/>
          </w:tcPr>
          <w:p w14:paraId="5F2D2C7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7F" w14:textId="77777777" w:rsidR="00E836FB" w:rsidRDefault="00994958">
            <w:pPr>
              <w:textAlignment w:val="center"/>
            </w:pPr>
            <w:r>
              <w:rPr>
                <w:rFonts w:ascii="Arial" w:eastAsia="宋体" w:hAnsi="Arial" w:cs="Arial"/>
                <w:color w:val="000000"/>
                <w:sz w:val="14"/>
                <w:szCs w:val="14"/>
              </w:rPr>
              <w:t>3/30, 9/30</w:t>
            </w:r>
          </w:p>
        </w:tc>
        <w:tc>
          <w:tcPr>
            <w:tcW w:w="0" w:type="auto"/>
            <w:gridSpan w:val="3"/>
            <w:shd w:val="clear" w:color="auto" w:fill="FFFFFF"/>
            <w:tcMar>
              <w:top w:w="0" w:type="dxa"/>
              <w:left w:w="20" w:type="dxa"/>
              <w:bottom w:w="0" w:type="dxa"/>
              <w:right w:w="20" w:type="dxa"/>
            </w:tcMar>
            <w:vAlign w:val="bottom"/>
          </w:tcPr>
          <w:p w14:paraId="5F2D2C8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81" w14:textId="77777777" w:rsidR="00E836FB" w:rsidRDefault="00994958">
            <w:pPr>
              <w:jc w:val="right"/>
              <w:textAlignment w:val="center"/>
            </w:pPr>
            <w:r>
              <w:rPr>
                <w:rFonts w:ascii="Arial" w:eastAsia="宋体" w:hAnsi="Arial" w:cs="Arial"/>
                <w:b/>
                <w:bCs/>
                <w:color w:val="000000"/>
                <w:sz w:val="14"/>
                <w:szCs w:val="14"/>
              </w:rPr>
              <w:t>749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C8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84" w14:textId="77777777" w:rsidR="00E836FB" w:rsidRDefault="00994958">
            <w:pPr>
              <w:jc w:val="right"/>
              <w:textAlignment w:val="center"/>
            </w:pPr>
            <w:r>
              <w:rPr>
                <w:rFonts w:ascii="Arial" w:eastAsia="宋体" w:hAnsi="Arial" w:cs="Arial"/>
                <w:color w:val="000000"/>
                <w:sz w:val="14"/>
                <w:szCs w:val="14"/>
              </w:rPr>
              <w:t>748 </w:t>
            </w:r>
          </w:p>
        </w:tc>
        <w:tc>
          <w:tcPr>
            <w:tcW w:w="0" w:type="auto"/>
            <w:shd w:val="clear" w:color="auto" w:fill="FFFFFF"/>
            <w:tcMar>
              <w:top w:w="40" w:type="dxa"/>
              <w:left w:w="0" w:type="dxa"/>
              <w:bottom w:w="40" w:type="dxa"/>
              <w:right w:w="20" w:type="dxa"/>
            </w:tcMar>
            <w:vAlign w:val="center"/>
          </w:tcPr>
          <w:p w14:paraId="5F2D2C85" w14:textId="77777777" w:rsidR="00E836FB" w:rsidRDefault="00E836FB">
            <w:pPr>
              <w:jc w:val="right"/>
              <w:rPr>
                <w:rFonts w:ascii="宋体"/>
              </w:rPr>
            </w:pPr>
          </w:p>
        </w:tc>
      </w:tr>
      <w:tr w:rsidR="00E836FB" w14:paraId="5F2D2C97" w14:textId="77777777">
        <w:tc>
          <w:tcPr>
            <w:tcW w:w="0" w:type="auto"/>
            <w:gridSpan w:val="3"/>
            <w:shd w:val="clear" w:color="auto" w:fill="CCEEFF"/>
            <w:tcMar>
              <w:top w:w="40" w:type="dxa"/>
              <w:left w:w="155" w:type="dxa"/>
              <w:bottom w:w="40" w:type="dxa"/>
              <w:right w:w="20" w:type="dxa"/>
            </w:tcMar>
            <w:vAlign w:val="center"/>
          </w:tcPr>
          <w:p w14:paraId="5F2D2C87" w14:textId="77777777" w:rsidR="00E836FB" w:rsidRDefault="00994958">
            <w:pPr>
              <w:textAlignment w:val="center"/>
            </w:pPr>
            <w:r>
              <w:rPr>
                <w:rFonts w:ascii="Arial" w:eastAsia="宋体" w:hAnsi="Arial" w:cs="Arial"/>
                <w:color w:val="000000"/>
                <w:sz w:val="14"/>
                <w:szCs w:val="14"/>
              </w:rPr>
              <w:t>December 3, 2018</w:t>
            </w:r>
          </w:p>
        </w:tc>
        <w:tc>
          <w:tcPr>
            <w:tcW w:w="0" w:type="auto"/>
            <w:gridSpan w:val="3"/>
            <w:shd w:val="clear" w:color="auto" w:fill="CCEEFF"/>
            <w:tcMar>
              <w:top w:w="0" w:type="dxa"/>
              <w:left w:w="20" w:type="dxa"/>
              <w:bottom w:w="0" w:type="dxa"/>
              <w:right w:w="20" w:type="dxa"/>
            </w:tcMar>
            <w:vAlign w:val="bottom"/>
          </w:tcPr>
          <w:p w14:paraId="5F2D2C88"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89" w14:textId="77777777" w:rsidR="00E836FB" w:rsidRDefault="00994958">
            <w:pPr>
              <w:textAlignment w:val="center"/>
            </w:pPr>
            <w:r>
              <w:rPr>
                <w:rFonts w:ascii="Arial" w:eastAsia="宋体" w:hAnsi="Arial" w:cs="Arial"/>
                <w:color w:val="000000"/>
                <w:sz w:val="14"/>
                <w:szCs w:val="14"/>
              </w:rPr>
              <w:t>December 3, 2029</w:t>
            </w:r>
          </w:p>
        </w:tc>
        <w:tc>
          <w:tcPr>
            <w:tcW w:w="0" w:type="auto"/>
            <w:gridSpan w:val="3"/>
            <w:shd w:val="clear" w:color="auto" w:fill="CCEEFF"/>
            <w:tcMar>
              <w:top w:w="0" w:type="dxa"/>
              <w:left w:w="20" w:type="dxa"/>
              <w:bottom w:w="0" w:type="dxa"/>
              <w:right w:w="20" w:type="dxa"/>
            </w:tcMar>
            <w:vAlign w:val="bottom"/>
          </w:tcPr>
          <w:p w14:paraId="5F2D2C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8B" w14:textId="77777777" w:rsidR="00E836FB" w:rsidRDefault="00994958">
            <w:pPr>
              <w:jc w:val="right"/>
              <w:textAlignment w:val="center"/>
            </w:pPr>
            <w:r>
              <w:rPr>
                <w:rFonts w:ascii="Arial" w:eastAsia="宋体" w:hAnsi="Arial" w:cs="Arial"/>
                <w:color w:val="000000"/>
                <w:sz w:val="14"/>
                <w:szCs w:val="14"/>
              </w:rPr>
              <w:t>4.141 </w:t>
            </w:r>
          </w:p>
        </w:tc>
        <w:tc>
          <w:tcPr>
            <w:tcW w:w="0" w:type="auto"/>
            <w:shd w:val="clear" w:color="auto" w:fill="CCEEFF"/>
            <w:tcMar>
              <w:top w:w="40" w:type="dxa"/>
              <w:left w:w="0" w:type="dxa"/>
              <w:bottom w:w="40" w:type="dxa"/>
              <w:right w:w="20" w:type="dxa"/>
            </w:tcMar>
            <w:vAlign w:val="center"/>
          </w:tcPr>
          <w:p w14:paraId="5F2D2C8C"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8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8E"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vAlign w:val="bottom"/>
          </w:tcPr>
          <w:p w14:paraId="5F2D2C8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90" w14:textId="77777777" w:rsidR="00E836FB" w:rsidRDefault="00994958">
            <w:pPr>
              <w:textAlignment w:val="center"/>
            </w:pPr>
            <w:r>
              <w:rPr>
                <w:rFonts w:ascii="Arial" w:eastAsia="宋体" w:hAnsi="Arial" w:cs="Arial"/>
                <w:color w:val="000000"/>
                <w:sz w:val="14"/>
                <w:szCs w:val="14"/>
              </w:rPr>
              <w:t>6/3; 12/3</w:t>
            </w:r>
          </w:p>
        </w:tc>
        <w:tc>
          <w:tcPr>
            <w:tcW w:w="0" w:type="auto"/>
            <w:gridSpan w:val="3"/>
            <w:shd w:val="clear" w:color="auto" w:fill="CCEEFF"/>
            <w:tcMar>
              <w:top w:w="0" w:type="dxa"/>
              <w:left w:w="20" w:type="dxa"/>
              <w:bottom w:w="0" w:type="dxa"/>
              <w:right w:w="20" w:type="dxa"/>
            </w:tcMar>
            <w:vAlign w:val="bottom"/>
          </w:tcPr>
          <w:p w14:paraId="5F2D2C9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92" w14:textId="77777777" w:rsidR="00E836FB" w:rsidRDefault="00994958">
            <w:pPr>
              <w:jc w:val="right"/>
              <w:textAlignment w:val="center"/>
            </w:pPr>
            <w:r>
              <w:rPr>
                <w:rFonts w:ascii="Arial" w:eastAsia="宋体" w:hAnsi="Arial" w:cs="Arial"/>
                <w:b/>
                <w:bCs/>
                <w:color w:val="000000"/>
                <w:sz w:val="14"/>
                <w:szCs w:val="14"/>
              </w:rPr>
              <w:t>583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9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95" w14:textId="77777777" w:rsidR="00E836FB" w:rsidRDefault="00994958">
            <w:pPr>
              <w:jc w:val="right"/>
              <w:textAlignment w:val="center"/>
            </w:pPr>
            <w:r>
              <w:rPr>
                <w:rFonts w:ascii="Arial" w:eastAsia="宋体" w:hAnsi="Arial" w:cs="Arial"/>
                <w:color w:val="000000"/>
                <w:sz w:val="14"/>
                <w:szCs w:val="14"/>
              </w:rPr>
              <w:t>594 </w:t>
            </w:r>
          </w:p>
        </w:tc>
        <w:tc>
          <w:tcPr>
            <w:tcW w:w="0" w:type="auto"/>
            <w:shd w:val="clear" w:color="auto" w:fill="CCEEFF"/>
            <w:tcMar>
              <w:top w:w="40" w:type="dxa"/>
              <w:left w:w="0" w:type="dxa"/>
              <w:bottom w:w="40" w:type="dxa"/>
              <w:right w:w="20" w:type="dxa"/>
            </w:tcMar>
            <w:vAlign w:val="center"/>
          </w:tcPr>
          <w:p w14:paraId="5F2D2C96" w14:textId="77777777" w:rsidR="00E836FB" w:rsidRDefault="00E836FB">
            <w:pPr>
              <w:jc w:val="right"/>
              <w:rPr>
                <w:rFonts w:ascii="宋体"/>
              </w:rPr>
            </w:pPr>
          </w:p>
        </w:tc>
      </w:tr>
      <w:tr w:rsidR="00E836FB" w14:paraId="5F2D2CA8" w14:textId="77777777">
        <w:tc>
          <w:tcPr>
            <w:tcW w:w="0" w:type="auto"/>
            <w:gridSpan w:val="3"/>
            <w:shd w:val="clear" w:color="auto" w:fill="FFFFFF"/>
            <w:tcMar>
              <w:top w:w="40" w:type="dxa"/>
              <w:left w:w="155" w:type="dxa"/>
              <w:bottom w:w="40" w:type="dxa"/>
              <w:right w:w="20" w:type="dxa"/>
            </w:tcMar>
            <w:vAlign w:val="center"/>
          </w:tcPr>
          <w:p w14:paraId="5F2D2C98" w14:textId="77777777" w:rsidR="00E836FB" w:rsidRDefault="00994958">
            <w:pPr>
              <w:textAlignment w:val="center"/>
            </w:pPr>
            <w:r>
              <w:rPr>
                <w:rFonts w:ascii="Arial" w:eastAsia="宋体" w:hAnsi="Arial" w:cs="Arial"/>
                <w:color w:val="000000"/>
                <w:sz w:val="14"/>
                <w:szCs w:val="14"/>
              </w:rPr>
              <w:t>November 1, 2019</w:t>
            </w:r>
          </w:p>
        </w:tc>
        <w:tc>
          <w:tcPr>
            <w:tcW w:w="0" w:type="auto"/>
            <w:gridSpan w:val="3"/>
            <w:shd w:val="clear" w:color="auto" w:fill="FFFFFF"/>
            <w:tcMar>
              <w:top w:w="0" w:type="dxa"/>
              <w:left w:w="20" w:type="dxa"/>
              <w:bottom w:w="0" w:type="dxa"/>
              <w:right w:w="20" w:type="dxa"/>
            </w:tcMar>
            <w:vAlign w:val="bottom"/>
          </w:tcPr>
          <w:p w14:paraId="5F2D2C99"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9A" w14:textId="77777777" w:rsidR="00E836FB" w:rsidRDefault="00994958">
            <w:pPr>
              <w:textAlignment w:val="center"/>
            </w:pPr>
            <w:r>
              <w:rPr>
                <w:rFonts w:ascii="Arial" w:eastAsia="宋体" w:hAnsi="Arial" w:cs="Arial"/>
                <w:color w:val="000000"/>
                <w:sz w:val="14"/>
                <w:szCs w:val="14"/>
              </w:rPr>
              <w:t>November 1, 2034</w:t>
            </w:r>
            <w:r>
              <w:rPr>
                <w:rFonts w:ascii="Arial" w:eastAsia="宋体" w:hAnsi="Arial" w:cs="Arial"/>
                <w:color w:val="000000"/>
                <w:sz w:val="9"/>
                <w:szCs w:val="9"/>
              </w:rPr>
              <w:t>(2)</w:t>
            </w:r>
          </w:p>
        </w:tc>
        <w:tc>
          <w:tcPr>
            <w:tcW w:w="0" w:type="auto"/>
            <w:gridSpan w:val="3"/>
            <w:shd w:val="clear" w:color="auto" w:fill="FFFFFF"/>
            <w:tcMar>
              <w:top w:w="0" w:type="dxa"/>
              <w:left w:w="20" w:type="dxa"/>
              <w:bottom w:w="0" w:type="dxa"/>
              <w:right w:w="20" w:type="dxa"/>
            </w:tcMar>
            <w:vAlign w:val="bottom"/>
          </w:tcPr>
          <w:p w14:paraId="5F2D2C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9C" w14:textId="77777777" w:rsidR="00E836FB" w:rsidRDefault="00994958">
            <w:pPr>
              <w:jc w:val="right"/>
              <w:textAlignment w:val="center"/>
            </w:pPr>
            <w:r>
              <w:rPr>
                <w:rFonts w:ascii="Arial" w:eastAsia="宋体" w:hAnsi="Arial" w:cs="Arial"/>
                <w:color w:val="000000"/>
                <w:sz w:val="14"/>
                <w:szCs w:val="14"/>
              </w:rPr>
              <w:t>3.031 </w:t>
            </w:r>
          </w:p>
        </w:tc>
        <w:tc>
          <w:tcPr>
            <w:tcW w:w="0" w:type="auto"/>
            <w:shd w:val="clear" w:color="auto" w:fill="FFFFFF"/>
            <w:tcMar>
              <w:top w:w="40" w:type="dxa"/>
              <w:left w:w="0" w:type="dxa"/>
              <w:bottom w:w="40" w:type="dxa"/>
              <w:right w:w="20" w:type="dxa"/>
            </w:tcMar>
            <w:vAlign w:val="center"/>
          </w:tcPr>
          <w:p w14:paraId="5F2D2C9D"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C9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9F" w14:textId="77777777" w:rsidR="00E836FB" w:rsidRDefault="00994958">
            <w:pPr>
              <w:jc w:val="center"/>
              <w:textAlignment w:val="center"/>
            </w:pPr>
            <w:r>
              <w:rPr>
                <w:rFonts w:ascii="Arial" w:eastAsia="宋体" w:hAnsi="Arial" w:cs="Arial"/>
                <w:color w:val="000000"/>
                <w:sz w:val="14"/>
                <w:szCs w:val="14"/>
              </w:rPr>
              <w:t>Fixed-to-floating rate senior subordinated notes</w:t>
            </w:r>
          </w:p>
        </w:tc>
        <w:tc>
          <w:tcPr>
            <w:tcW w:w="0" w:type="auto"/>
            <w:gridSpan w:val="3"/>
            <w:shd w:val="clear" w:color="auto" w:fill="FFFFFF"/>
            <w:tcMar>
              <w:top w:w="0" w:type="dxa"/>
              <w:left w:w="20" w:type="dxa"/>
              <w:bottom w:w="0" w:type="dxa"/>
              <w:right w:w="20" w:type="dxa"/>
            </w:tcMar>
            <w:vAlign w:val="bottom"/>
          </w:tcPr>
          <w:p w14:paraId="5F2D2CA0"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A1" w14:textId="77777777" w:rsidR="00E836FB" w:rsidRDefault="00994958">
            <w:pPr>
              <w:textAlignment w:val="center"/>
            </w:pPr>
            <w:r>
              <w:rPr>
                <w:rFonts w:ascii="Arial" w:eastAsia="宋体" w:hAnsi="Arial" w:cs="Arial"/>
                <w:color w:val="000000"/>
                <w:sz w:val="14"/>
                <w:szCs w:val="14"/>
              </w:rPr>
              <w:t>5/1; 11/1</w:t>
            </w:r>
          </w:p>
        </w:tc>
        <w:tc>
          <w:tcPr>
            <w:tcW w:w="0" w:type="auto"/>
            <w:gridSpan w:val="3"/>
            <w:shd w:val="clear" w:color="auto" w:fill="FFFFFF"/>
            <w:tcMar>
              <w:top w:w="0" w:type="dxa"/>
              <w:left w:w="20" w:type="dxa"/>
              <w:bottom w:w="0" w:type="dxa"/>
              <w:right w:w="20" w:type="dxa"/>
            </w:tcMar>
            <w:vAlign w:val="bottom"/>
          </w:tcPr>
          <w:p w14:paraId="5F2D2CA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A3" w14:textId="77777777" w:rsidR="00E836FB" w:rsidRDefault="00994958">
            <w:pPr>
              <w:jc w:val="right"/>
              <w:textAlignment w:val="center"/>
            </w:pPr>
            <w:r>
              <w:rPr>
                <w:rFonts w:ascii="Arial" w:eastAsia="宋体" w:hAnsi="Arial" w:cs="Arial"/>
                <w:b/>
                <w:bCs/>
                <w:color w:val="000000"/>
                <w:sz w:val="14"/>
                <w:szCs w:val="14"/>
              </w:rPr>
              <w:t>541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A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CA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A6" w14:textId="77777777" w:rsidR="00E836FB" w:rsidRDefault="00994958">
            <w:pPr>
              <w:jc w:val="right"/>
              <w:textAlignment w:val="center"/>
            </w:pPr>
            <w:r>
              <w:rPr>
                <w:rFonts w:ascii="Arial" w:eastAsia="宋体" w:hAnsi="Arial" w:cs="Arial"/>
                <w:color w:val="000000"/>
                <w:sz w:val="14"/>
                <w:szCs w:val="14"/>
              </w:rPr>
              <w:t>546 </w:t>
            </w:r>
          </w:p>
        </w:tc>
        <w:tc>
          <w:tcPr>
            <w:tcW w:w="0" w:type="auto"/>
            <w:shd w:val="clear" w:color="auto" w:fill="FFFFFF"/>
            <w:tcMar>
              <w:top w:w="40" w:type="dxa"/>
              <w:left w:w="0" w:type="dxa"/>
              <w:bottom w:w="40" w:type="dxa"/>
              <w:right w:w="20" w:type="dxa"/>
            </w:tcMar>
            <w:vAlign w:val="center"/>
          </w:tcPr>
          <w:p w14:paraId="5F2D2CA7" w14:textId="77777777" w:rsidR="00E836FB" w:rsidRDefault="00E836FB">
            <w:pPr>
              <w:jc w:val="right"/>
              <w:rPr>
                <w:rFonts w:ascii="宋体"/>
              </w:rPr>
            </w:pPr>
          </w:p>
        </w:tc>
      </w:tr>
      <w:tr w:rsidR="00E836FB" w14:paraId="5F2D2CB9" w14:textId="77777777">
        <w:tc>
          <w:tcPr>
            <w:tcW w:w="0" w:type="auto"/>
            <w:gridSpan w:val="3"/>
            <w:shd w:val="clear" w:color="auto" w:fill="CCEEFF"/>
            <w:tcMar>
              <w:top w:w="40" w:type="dxa"/>
              <w:left w:w="155" w:type="dxa"/>
              <w:bottom w:w="40" w:type="dxa"/>
              <w:right w:w="20" w:type="dxa"/>
            </w:tcMar>
            <w:vAlign w:val="center"/>
          </w:tcPr>
          <w:p w14:paraId="5F2D2CA9" w14:textId="77777777" w:rsidR="00E836FB" w:rsidRDefault="00994958">
            <w:pPr>
              <w:textAlignment w:val="center"/>
            </w:pPr>
            <w:r>
              <w:rPr>
                <w:rFonts w:ascii="Arial" w:eastAsia="宋体" w:hAnsi="Arial" w:cs="Arial"/>
                <w:color w:val="000000"/>
                <w:sz w:val="14"/>
                <w:szCs w:val="14"/>
              </w:rPr>
              <w:t>December 3, 2018</w:t>
            </w:r>
          </w:p>
        </w:tc>
        <w:tc>
          <w:tcPr>
            <w:tcW w:w="0" w:type="auto"/>
            <w:gridSpan w:val="3"/>
            <w:shd w:val="clear" w:color="auto" w:fill="CCEEFF"/>
            <w:tcMar>
              <w:top w:w="0" w:type="dxa"/>
              <w:left w:w="20" w:type="dxa"/>
              <w:bottom w:w="0" w:type="dxa"/>
              <w:right w:w="20" w:type="dxa"/>
            </w:tcMar>
            <w:vAlign w:val="bottom"/>
          </w:tcPr>
          <w:p w14:paraId="5F2D2CAA"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AB" w14:textId="77777777" w:rsidR="00E836FB" w:rsidRDefault="00994958">
            <w:pPr>
              <w:textAlignment w:val="center"/>
            </w:pPr>
            <w:r>
              <w:rPr>
                <w:rFonts w:ascii="Arial" w:eastAsia="宋体" w:hAnsi="Arial" w:cs="Arial"/>
                <w:color w:val="000000"/>
                <w:sz w:val="14"/>
                <w:szCs w:val="14"/>
              </w:rPr>
              <w:t>December 3, 2024</w:t>
            </w:r>
          </w:p>
        </w:tc>
        <w:tc>
          <w:tcPr>
            <w:tcW w:w="0" w:type="auto"/>
            <w:gridSpan w:val="3"/>
            <w:shd w:val="clear" w:color="auto" w:fill="CCEEFF"/>
            <w:tcMar>
              <w:top w:w="0" w:type="dxa"/>
              <w:left w:w="20" w:type="dxa"/>
              <w:bottom w:w="0" w:type="dxa"/>
              <w:right w:w="20" w:type="dxa"/>
            </w:tcMar>
            <w:vAlign w:val="bottom"/>
          </w:tcPr>
          <w:p w14:paraId="5F2D2CA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AD" w14:textId="77777777" w:rsidR="00E836FB" w:rsidRDefault="00994958">
            <w:pPr>
              <w:jc w:val="right"/>
              <w:textAlignment w:val="center"/>
            </w:pPr>
            <w:r>
              <w:rPr>
                <w:rFonts w:ascii="Arial" w:eastAsia="宋体" w:hAnsi="Arial" w:cs="Arial"/>
                <w:color w:val="000000"/>
                <w:sz w:val="14"/>
                <w:szCs w:val="14"/>
              </w:rPr>
              <w:t>3.776 </w:t>
            </w:r>
          </w:p>
        </w:tc>
        <w:tc>
          <w:tcPr>
            <w:tcW w:w="0" w:type="auto"/>
            <w:shd w:val="clear" w:color="auto" w:fill="CCEEFF"/>
            <w:tcMar>
              <w:top w:w="40" w:type="dxa"/>
              <w:left w:w="0" w:type="dxa"/>
              <w:bottom w:w="40" w:type="dxa"/>
              <w:right w:w="20" w:type="dxa"/>
            </w:tcMar>
            <w:vAlign w:val="center"/>
          </w:tcPr>
          <w:p w14:paraId="5F2D2CAE"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A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B0"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vAlign w:val="bottom"/>
          </w:tcPr>
          <w:p w14:paraId="5F2D2CB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B2" w14:textId="77777777" w:rsidR="00E836FB" w:rsidRDefault="00994958">
            <w:pPr>
              <w:textAlignment w:val="center"/>
            </w:pPr>
            <w:r>
              <w:rPr>
                <w:rFonts w:ascii="Arial" w:eastAsia="宋体" w:hAnsi="Arial" w:cs="Arial"/>
                <w:color w:val="000000"/>
                <w:sz w:val="14"/>
                <w:szCs w:val="14"/>
              </w:rPr>
              <w:t>6/3; 12/3</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vAlign w:val="bottom"/>
          </w:tcPr>
          <w:p w14:paraId="5F2D2CB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B4" w14:textId="77777777" w:rsidR="00E836FB" w:rsidRDefault="00994958">
            <w:pPr>
              <w:jc w:val="right"/>
              <w:textAlignment w:val="center"/>
            </w:pPr>
            <w:r>
              <w:rPr>
                <w:rFonts w:ascii="Arial" w:eastAsia="宋体" w:hAnsi="Arial" w:cs="Arial"/>
                <w:b/>
                <w:bCs/>
                <w:color w:val="000000"/>
                <w:sz w:val="14"/>
                <w:szCs w:val="14"/>
              </w:rPr>
              <w:t>523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B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B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B7" w14:textId="77777777" w:rsidR="00E836FB" w:rsidRDefault="00994958">
            <w:pPr>
              <w:jc w:val="right"/>
              <w:textAlignment w:val="center"/>
            </w:pPr>
            <w:r>
              <w:rPr>
                <w:rFonts w:ascii="Arial" w:eastAsia="宋体" w:hAnsi="Arial" w:cs="Arial"/>
                <w:color w:val="000000"/>
                <w:sz w:val="14"/>
                <w:szCs w:val="14"/>
              </w:rPr>
              <w:t>538 </w:t>
            </w:r>
          </w:p>
        </w:tc>
        <w:tc>
          <w:tcPr>
            <w:tcW w:w="0" w:type="auto"/>
            <w:shd w:val="clear" w:color="auto" w:fill="CCEEFF"/>
            <w:tcMar>
              <w:top w:w="40" w:type="dxa"/>
              <w:left w:w="0" w:type="dxa"/>
              <w:bottom w:w="40" w:type="dxa"/>
              <w:right w:w="20" w:type="dxa"/>
            </w:tcMar>
            <w:vAlign w:val="center"/>
          </w:tcPr>
          <w:p w14:paraId="5F2D2CB8" w14:textId="77777777" w:rsidR="00E836FB" w:rsidRDefault="00E836FB">
            <w:pPr>
              <w:jc w:val="right"/>
              <w:rPr>
                <w:rFonts w:ascii="宋体"/>
              </w:rPr>
            </w:pPr>
          </w:p>
        </w:tc>
      </w:tr>
      <w:tr w:rsidR="00E836FB" w14:paraId="5F2D2CC9" w14:textId="77777777">
        <w:tc>
          <w:tcPr>
            <w:tcW w:w="0" w:type="auto"/>
            <w:gridSpan w:val="3"/>
            <w:shd w:val="clear" w:color="auto" w:fill="FFFFFF"/>
            <w:tcMar>
              <w:top w:w="40" w:type="dxa"/>
              <w:left w:w="155" w:type="dxa"/>
              <w:bottom w:w="40" w:type="dxa"/>
              <w:right w:w="20" w:type="dxa"/>
            </w:tcMar>
            <w:vAlign w:val="center"/>
          </w:tcPr>
          <w:p w14:paraId="5F2D2CBA" w14:textId="77777777" w:rsidR="00E836FB" w:rsidRDefault="00994958">
            <w:pPr>
              <w:textAlignment w:val="center"/>
            </w:pPr>
            <w:r>
              <w:rPr>
                <w:rFonts w:ascii="Arial" w:eastAsia="宋体" w:hAnsi="Arial" w:cs="Arial"/>
                <w:color w:val="000000"/>
                <w:sz w:val="14"/>
                <w:szCs w:val="14"/>
              </w:rPr>
              <w:t>April 30, 2007</w:t>
            </w:r>
          </w:p>
        </w:tc>
        <w:tc>
          <w:tcPr>
            <w:tcW w:w="0" w:type="auto"/>
            <w:gridSpan w:val="3"/>
            <w:shd w:val="clear" w:color="auto" w:fill="FFFFFF"/>
            <w:tcMar>
              <w:top w:w="0" w:type="dxa"/>
              <w:left w:w="20" w:type="dxa"/>
              <w:bottom w:w="0" w:type="dxa"/>
              <w:right w:w="20" w:type="dxa"/>
            </w:tcMar>
            <w:vAlign w:val="bottom"/>
          </w:tcPr>
          <w:p w14:paraId="5F2D2CBB" w14:textId="77777777" w:rsidR="00E836FB" w:rsidRDefault="00E836FB">
            <w:pPr>
              <w:rPr>
                <w:rFonts w:ascii="宋体"/>
              </w:rPr>
            </w:pPr>
          </w:p>
        </w:tc>
        <w:tc>
          <w:tcPr>
            <w:tcW w:w="0" w:type="auto"/>
            <w:gridSpan w:val="3"/>
            <w:shd w:val="clear" w:color="auto" w:fill="FFFFFF"/>
            <w:tcMar>
              <w:top w:w="40" w:type="dxa"/>
              <w:left w:w="155" w:type="dxa"/>
              <w:bottom w:w="40" w:type="dxa"/>
              <w:right w:w="20" w:type="dxa"/>
            </w:tcMar>
            <w:vAlign w:val="center"/>
          </w:tcPr>
          <w:p w14:paraId="5F2D2CBC" w14:textId="77777777" w:rsidR="00E836FB" w:rsidRDefault="00994958">
            <w:pPr>
              <w:textAlignment w:val="center"/>
            </w:pPr>
            <w:r>
              <w:rPr>
                <w:rFonts w:ascii="Arial" w:eastAsia="宋体" w:hAnsi="Arial" w:cs="Arial"/>
                <w:color w:val="000000"/>
                <w:sz w:val="14"/>
                <w:szCs w:val="14"/>
              </w:rPr>
              <w:t>June 15, 2047</w:t>
            </w:r>
          </w:p>
        </w:tc>
        <w:tc>
          <w:tcPr>
            <w:tcW w:w="0" w:type="auto"/>
            <w:gridSpan w:val="3"/>
            <w:shd w:val="clear" w:color="auto" w:fill="FFFFFF"/>
            <w:tcMar>
              <w:top w:w="0" w:type="dxa"/>
              <w:left w:w="20" w:type="dxa"/>
              <w:bottom w:w="0" w:type="dxa"/>
              <w:right w:w="20" w:type="dxa"/>
            </w:tcMar>
            <w:vAlign w:val="bottom"/>
          </w:tcPr>
          <w:p w14:paraId="5F2D2CB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BE" w14:textId="77777777" w:rsidR="00E836FB" w:rsidRDefault="00994958">
            <w:pPr>
              <w:jc w:val="right"/>
              <w:textAlignment w:val="center"/>
            </w:pPr>
            <w:r>
              <w:rPr>
                <w:rFonts w:ascii="Arial" w:eastAsia="宋体" w:hAnsi="Arial" w:cs="Arial"/>
                <w:color w:val="000000"/>
                <w:sz w:val="14"/>
                <w:szCs w:val="14"/>
              </w:rPr>
              <w:t>Floating-rate</w:t>
            </w:r>
          </w:p>
        </w:tc>
        <w:tc>
          <w:tcPr>
            <w:tcW w:w="0" w:type="auto"/>
            <w:gridSpan w:val="3"/>
            <w:shd w:val="clear" w:color="auto" w:fill="FFFFFF"/>
            <w:tcMar>
              <w:top w:w="0" w:type="dxa"/>
              <w:left w:w="20" w:type="dxa"/>
              <w:bottom w:w="0" w:type="dxa"/>
              <w:right w:w="20" w:type="dxa"/>
            </w:tcMar>
            <w:vAlign w:val="bottom"/>
          </w:tcPr>
          <w:p w14:paraId="5F2D2CB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C0" w14:textId="77777777" w:rsidR="00E836FB" w:rsidRDefault="00994958">
            <w:pPr>
              <w:jc w:val="center"/>
              <w:textAlignment w:val="center"/>
            </w:pPr>
            <w:r>
              <w:rPr>
                <w:rFonts w:ascii="Arial" w:eastAsia="宋体" w:hAnsi="Arial" w:cs="Arial"/>
                <w:color w:val="000000"/>
                <w:sz w:val="14"/>
                <w:szCs w:val="14"/>
              </w:rPr>
              <w:t>Junior subordinated debentures</w:t>
            </w:r>
          </w:p>
        </w:tc>
        <w:tc>
          <w:tcPr>
            <w:tcW w:w="0" w:type="auto"/>
            <w:gridSpan w:val="3"/>
            <w:shd w:val="clear" w:color="auto" w:fill="FFFFFF"/>
            <w:tcMar>
              <w:top w:w="0" w:type="dxa"/>
              <w:left w:w="20" w:type="dxa"/>
              <w:bottom w:w="0" w:type="dxa"/>
              <w:right w:w="20" w:type="dxa"/>
            </w:tcMar>
            <w:vAlign w:val="bottom"/>
          </w:tcPr>
          <w:p w14:paraId="5F2D2CC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C2" w14:textId="77777777" w:rsidR="00E836FB" w:rsidRDefault="00994958">
            <w:pPr>
              <w:textAlignment w:val="center"/>
            </w:pPr>
            <w:r>
              <w:rPr>
                <w:rFonts w:ascii="Arial" w:eastAsia="宋体" w:hAnsi="Arial" w:cs="Arial"/>
                <w:color w:val="000000"/>
                <w:sz w:val="14"/>
                <w:szCs w:val="14"/>
              </w:rPr>
              <w:t>3/15; 6/15; 9/15; 12/15</w:t>
            </w:r>
          </w:p>
        </w:tc>
        <w:tc>
          <w:tcPr>
            <w:tcW w:w="0" w:type="auto"/>
            <w:gridSpan w:val="3"/>
            <w:shd w:val="clear" w:color="auto" w:fill="FFFFFF"/>
            <w:tcMar>
              <w:top w:w="0" w:type="dxa"/>
              <w:left w:w="20" w:type="dxa"/>
              <w:bottom w:w="0" w:type="dxa"/>
              <w:right w:w="20" w:type="dxa"/>
            </w:tcMar>
            <w:vAlign w:val="bottom"/>
          </w:tcPr>
          <w:p w14:paraId="5F2D2C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C4" w14:textId="77777777" w:rsidR="00E836FB" w:rsidRDefault="00994958">
            <w:pPr>
              <w:jc w:val="right"/>
              <w:textAlignment w:val="center"/>
            </w:pPr>
            <w:r>
              <w:rPr>
                <w:rFonts w:ascii="Arial" w:eastAsia="宋体" w:hAnsi="Arial" w:cs="Arial"/>
                <w:b/>
                <w:bCs/>
                <w:color w:val="000000"/>
                <w:sz w:val="14"/>
                <w:szCs w:val="14"/>
              </w:rPr>
              <w:t>499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C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C7" w14:textId="77777777" w:rsidR="00E836FB" w:rsidRDefault="00994958">
            <w:pPr>
              <w:jc w:val="right"/>
              <w:textAlignment w:val="center"/>
            </w:pPr>
            <w:r>
              <w:rPr>
                <w:rFonts w:ascii="Arial" w:eastAsia="宋体" w:hAnsi="Arial" w:cs="Arial"/>
                <w:color w:val="000000"/>
                <w:sz w:val="14"/>
                <w:szCs w:val="14"/>
              </w:rPr>
              <w:t>499 </w:t>
            </w:r>
          </w:p>
        </w:tc>
        <w:tc>
          <w:tcPr>
            <w:tcW w:w="0" w:type="auto"/>
            <w:shd w:val="clear" w:color="auto" w:fill="FFFFFF"/>
            <w:tcMar>
              <w:top w:w="40" w:type="dxa"/>
              <w:left w:w="0" w:type="dxa"/>
              <w:bottom w:w="40" w:type="dxa"/>
              <w:right w:w="20" w:type="dxa"/>
            </w:tcMar>
            <w:vAlign w:val="center"/>
          </w:tcPr>
          <w:p w14:paraId="5F2D2CC8" w14:textId="77777777" w:rsidR="00E836FB" w:rsidRDefault="00E836FB">
            <w:pPr>
              <w:jc w:val="right"/>
              <w:rPr>
                <w:rFonts w:ascii="宋体"/>
              </w:rPr>
            </w:pPr>
          </w:p>
        </w:tc>
      </w:tr>
      <w:tr w:rsidR="00E836FB" w14:paraId="5F2D2CDA" w14:textId="77777777">
        <w:tc>
          <w:tcPr>
            <w:tcW w:w="0" w:type="auto"/>
            <w:gridSpan w:val="3"/>
            <w:shd w:val="clear" w:color="auto" w:fill="CCEEFF"/>
            <w:tcMar>
              <w:top w:w="40" w:type="dxa"/>
              <w:left w:w="155" w:type="dxa"/>
              <w:bottom w:w="40" w:type="dxa"/>
              <w:right w:w="20" w:type="dxa"/>
            </w:tcMar>
            <w:vAlign w:val="center"/>
          </w:tcPr>
          <w:p w14:paraId="5F2D2CCA" w14:textId="77777777" w:rsidR="00E836FB" w:rsidRDefault="00994958">
            <w:pPr>
              <w:textAlignment w:val="center"/>
            </w:pPr>
            <w:r>
              <w:rPr>
                <w:rFonts w:ascii="Arial" w:eastAsia="宋体" w:hAnsi="Arial" w:cs="Arial"/>
                <w:color w:val="000000"/>
                <w:sz w:val="14"/>
                <w:szCs w:val="14"/>
              </w:rPr>
              <w:t>March 30, 2020</w:t>
            </w:r>
          </w:p>
        </w:tc>
        <w:tc>
          <w:tcPr>
            <w:tcW w:w="0" w:type="auto"/>
            <w:gridSpan w:val="3"/>
            <w:shd w:val="clear" w:color="auto" w:fill="CCEEFF"/>
            <w:tcMar>
              <w:top w:w="0" w:type="dxa"/>
              <w:left w:w="20" w:type="dxa"/>
              <w:bottom w:w="0" w:type="dxa"/>
              <w:right w:w="20" w:type="dxa"/>
            </w:tcMar>
            <w:vAlign w:val="bottom"/>
          </w:tcPr>
          <w:p w14:paraId="5F2D2CCB"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CC" w14:textId="77777777" w:rsidR="00E836FB" w:rsidRDefault="00994958">
            <w:pPr>
              <w:textAlignment w:val="center"/>
            </w:pPr>
            <w:r>
              <w:rPr>
                <w:rFonts w:ascii="Arial" w:eastAsia="宋体" w:hAnsi="Arial" w:cs="Arial"/>
                <w:color w:val="000000"/>
                <w:sz w:val="14"/>
                <w:szCs w:val="14"/>
              </w:rPr>
              <w:t>March 30, 2026</w:t>
            </w:r>
          </w:p>
        </w:tc>
        <w:tc>
          <w:tcPr>
            <w:tcW w:w="0" w:type="auto"/>
            <w:gridSpan w:val="3"/>
            <w:shd w:val="clear" w:color="auto" w:fill="CCEEFF"/>
            <w:tcMar>
              <w:top w:w="0" w:type="dxa"/>
              <w:left w:w="20" w:type="dxa"/>
              <w:bottom w:w="0" w:type="dxa"/>
              <w:right w:w="20" w:type="dxa"/>
            </w:tcMar>
            <w:vAlign w:val="bottom"/>
          </w:tcPr>
          <w:p w14:paraId="5F2D2C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CE" w14:textId="77777777" w:rsidR="00E836FB" w:rsidRDefault="00994958">
            <w:pPr>
              <w:jc w:val="right"/>
              <w:textAlignment w:val="center"/>
            </w:pPr>
            <w:r>
              <w:rPr>
                <w:rFonts w:ascii="Arial" w:eastAsia="宋体" w:hAnsi="Arial" w:cs="Arial"/>
                <w:color w:val="000000"/>
                <w:sz w:val="14"/>
                <w:szCs w:val="14"/>
              </w:rPr>
              <w:t>2.901 </w:t>
            </w:r>
          </w:p>
        </w:tc>
        <w:tc>
          <w:tcPr>
            <w:tcW w:w="0" w:type="auto"/>
            <w:shd w:val="clear" w:color="auto" w:fill="CCEEFF"/>
            <w:tcMar>
              <w:top w:w="40" w:type="dxa"/>
              <w:left w:w="0" w:type="dxa"/>
              <w:bottom w:w="40" w:type="dxa"/>
              <w:right w:w="20" w:type="dxa"/>
            </w:tcMar>
            <w:vAlign w:val="center"/>
          </w:tcPr>
          <w:p w14:paraId="5F2D2CCF"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D0"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D1"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vAlign w:val="bottom"/>
          </w:tcPr>
          <w:p w14:paraId="5F2D2CD2"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D3" w14:textId="77777777" w:rsidR="00E836FB" w:rsidRDefault="00994958">
            <w:pPr>
              <w:textAlignment w:val="center"/>
            </w:pPr>
            <w:r>
              <w:rPr>
                <w:rFonts w:ascii="Arial" w:eastAsia="宋体" w:hAnsi="Arial" w:cs="Arial"/>
                <w:color w:val="000000"/>
                <w:sz w:val="14"/>
                <w:szCs w:val="14"/>
              </w:rPr>
              <w:t>3/30, 9/30</w:t>
            </w:r>
          </w:p>
        </w:tc>
        <w:tc>
          <w:tcPr>
            <w:tcW w:w="0" w:type="auto"/>
            <w:gridSpan w:val="3"/>
            <w:shd w:val="clear" w:color="auto" w:fill="CCEEFF"/>
            <w:tcMar>
              <w:top w:w="0" w:type="dxa"/>
              <w:left w:w="20" w:type="dxa"/>
              <w:bottom w:w="0" w:type="dxa"/>
              <w:right w:w="20" w:type="dxa"/>
            </w:tcMar>
            <w:vAlign w:val="bottom"/>
          </w:tcPr>
          <w:p w14:paraId="5F2D2C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D5" w14:textId="77777777" w:rsidR="00E836FB" w:rsidRDefault="00994958">
            <w:pPr>
              <w:jc w:val="right"/>
              <w:textAlignment w:val="center"/>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D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D8" w14:textId="77777777" w:rsidR="00E836FB" w:rsidRDefault="00994958">
            <w:pPr>
              <w:jc w:val="right"/>
              <w:textAlignment w:val="center"/>
            </w:pPr>
            <w:r>
              <w:rPr>
                <w:rFonts w:ascii="Arial" w:eastAsia="宋体" w:hAnsi="Arial" w:cs="Arial"/>
                <w:color w:val="000000"/>
                <w:sz w:val="14"/>
                <w:szCs w:val="14"/>
              </w:rPr>
              <w:t>498 </w:t>
            </w:r>
          </w:p>
        </w:tc>
        <w:tc>
          <w:tcPr>
            <w:tcW w:w="0" w:type="auto"/>
            <w:shd w:val="clear" w:color="auto" w:fill="CCEEFF"/>
            <w:tcMar>
              <w:top w:w="40" w:type="dxa"/>
              <w:left w:w="0" w:type="dxa"/>
              <w:bottom w:w="40" w:type="dxa"/>
              <w:right w:w="20" w:type="dxa"/>
            </w:tcMar>
            <w:vAlign w:val="center"/>
          </w:tcPr>
          <w:p w14:paraId="5F2D2CD9" w14:textId="77777777" w:rsidR="00E836FB" w:rsidRDefault="00E836FB">
            <w:pPr>
              <w:jc w:val="right"/>
              <w:rPr>
                <w:rFonts w:ascii="宋体"/>
              </w:rPr>
            </w:pPr>
          </w:p>
        </w:tc>
      </w:tr>
      <w:tr w:rsidR="00E836FB" w14:paraId="5F2D2CEB" w14:textId="77777777">
        <w:tc>
          <w:tcPr>
            <w:tcW w:w="0" w:type="auto"/>
            <w:gridSpan w:val="3"/>
            <w:shd w:val="clear" w:color="auto" w:fill="FFFFFF"/>
            <w:tcMar>
              <w:top w:w="40" w:type="dxa"/>
              <w:left w:w="155" w:type="dxa"/>
              <w:bottom w:w="40" w:type="dxa"/>
              <w:right w:w="20" w:type="dxa"/>
            </w:tcMar>
            <w:vAlign w:val="center"/>
          </w:tcPr>
          <w:p w14:paraId="5F2D2CDB" w14:textId="77777777" w:rsidR="00E836FB" w:rsidRDefault="00994958">
            <w:pPr>
              <w:textAlignment w:val="center"/>
            </w:pPr>
            <w:r>
              <w:rPr>
                <w:rFonts w:ascii="Arial" w:eastAsia="宋体" w:hAnsi="Arial" w:cs="Arial"/>
                <w:color w:val="000000"/>
                <w:sz w:val="14"/>
                <w:szCs w:val="14"/>
              </w:rPr>
              <w:t>March 30, 2020</w:t>
            </w:r>
          </w:p>
        </w:tc>
        <w:tc>
          <w:tcPr>
            <w:tcW w:w="0" w:type="auto"/>
            <w:gridSpan w:val="3"/>
            <w:shd w:val="clear" w:color="auto" w:fill="FFFFFF"/>
            <w:tcMar>
              <w:top w:w="0" w:type="dxa"/>
              <w:left w:w="20" w:type="dxa"/>
              <w:bottom w:w="0" w:type="dxa"/>
              <w:right w:w="20" w:type="dxa"/>
            </w:tcMar>
            <w:vAlign w:val="bottom"/>
          </w:tcPr>
          <w:p w14:paraId="5F2D2CDC" w14:textId="77777777" w:rsidR="00E836FB" w:rsidRDefault="00E836FB">
            <w:pPr>
              <w:rPr>
                <w:rFonts w:ascii="宋体"/>
              </w:rPr>
            </w:pPr>
          </w:p>
        </w:tc>
        <w:tc>
          <w:tcPr>
            <w:tcW w:w="0" w:type="auto"/>
            <w:gridSpan w:val="3"/>
            <w:shd w:val="clear" w:color="auto" w:fill="FFFFFF"/>
            <w:tcMar>
              <w:top w:w="40" w:type="dxa"/>
              <w:left w:w="155" w:type="dxa"/>
              <w:bottom w:w="40" w:type="dxa"/>
              <w:right w:w="20" w:type="dxa"/>
            </w:tcMar>
            <w:vAlign w:val="center"/>
          </w:tcPr>
          <w:p w14:paraId="5F2D2CDD" w14:textId="77777777" w:rsidR="00E836FB" w:rsidRDefault="00994958">
            <w:pPr>
              <w:textAlignment w:val="center"/>
            </w:pPr>
            <w:r>
              <w:rPr>
                <w:rFonts w:ascii="Arial" w:eastAsia="宋体" w:hAnsi="Arial" w:cs="Arial"/>
                <w:color w:val="000000"/>
                <w:sz w:val="14"/>
                <w:szCs w:val="14"/>
              </w:rPr>
              <w:t>March 30, 2031</w:t>
            </w:r>
          </w:p>
        </w:tc>
        <w:tc>
          <w:tcPr>
            <w:tcW w:w="0" w:type="auto"/>
            <w:gridSpan w:val="3"/>
            <w:shd w:val="clear" w:color="auto" w:fill="FFFFFF"/>
            <w:tcMar>
              <w:top w:w="0" w:type="dxa"/>
              <w:left w:w="20" w:type="dxa"/>
              <w:bottom w:w="0" w:type="dxa"/>
              <w:right w:w="20" w:type="dxa"/>
            </w:tcMar>
            <w:vAlign w:val="bottom"/>
          </w:tcPr>
          <w:p w14:paraId="5F2D2C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DF" w14:textId="77777777" w:rsidR="00E836FB" w:rsidRDefault="00994958">
            <w:pPr>
              <w:jc w:val="right"/>
              <w:textAlignment w:val="center"/>
            </w:pPr>
            <w:r>
              <w:rPr>
                <w:rFonts w:ascii="Arial" w:eastAsia="宋体" w:hAnsi="Arial" w:cs="Arial"/>
                <w:color w:val="000000"/>
                <w:sz w:val="14"/>
                <w:szCs w:val="14"/>
              </w:rPr>
              <w:t>3.152 </w:t>
            </w:r>
          </w:p>
        </w:tc>
        <w:tc>
          <w:tcPr>
            <w:tcW w:w="0" w:type="auto"/>
            <w:shd w:val="clear" w:color="auto" w:fill="FFFFFF"/>
            <w:tcMar>
              <w:top w:w="40" w:type="dxa"/>
              <w:left w:w="0" w:type="dxa"/>
              <w:bottom w:w="40" w:type="dxa"/>
              <w:right w:w="20" w:type="dxa"/>
            </w:tcMar>
            <w:vAlign w:val="center"/>
          </w:tcPr>
          <w:p w14:paraId="5F2D2CE0"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CE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E2"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FFFFFF"/>
            <w:tcMar>
              <w:top w:w="0" w:type="dxa"/>
              <w:left w:w="20" w:type="dxa"/>
              <w:bottom w:w="0" w:type="dxa"/>
              <w:right w:w="20" w:type="dxa"/>
            </w:tcMar>
            <w:vAlign w:val="bottom"/>
          </w:tcPr>
          <w:p w14:paraId="5F2D2CE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E4" w14:textId="77777777" w:rsidR="00E836FB" w:rsidRDefault="00994958">
            <w:pPr>
              <w:textAlignment w:val="center"/>
            </w:pPr>
            <w:r>
              <w:rPr>
                <w:rFonts w:ascii="Arial" w:eastAsia="宋体" w:hAnsi="Arial" w:cs="Arial"/>
                <w:color w:val="000000"/>
                <w:sz w:val="14"/>
                <w:szCs w:val="14"/>
              </w:rPr>
              <w:t>3/30, 9/30</w:t>
            </w:r>
          </w:p>
        </w:tc>
        <w:tc>
          <w:tcPr>
            <w:tcW w:w="0" w:type="auto"/>
            <w:gridSpan w:val="3"/>
            <w:shd w:val="clear" w:color="auto" w:fill="FFFFFF"/>
            <w:tcMar>
              <w:top w:w="0" w:type="dxa"/>
              <w:left w:w="20" w:type="dxa"/>
              <w:bottom w:w="0" w:type="dxa"/>
              <w:right w:w="20" w:type="dxa"/>
            </w:tcMar>
            <w:vAlign w:val="bottom"/>
          </w:tcPr>
          <w:p w14:paraId="5F2D2C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E6" w14:textId="77777777" w:rsidR="00E836FB" w:rsidRDefault="00994958">
            <w:pPr>
              <w:jc w:val="right"/>
              <w:textAlignment w:val="center"/>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C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CE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CE9" w14:textId="77777777" w:rsidR="00E836FB" w:rsidRDefault="00994958">
            <w:pPr>
              <w:jc w:val="right"/>
              <w:textAlignment w:val="center"/>
            </w:pPr>
            <w:r>
              <w:rPr>
                <w:rFonts w:ascii="Arial" w:eastAsia="宋体" w:hAnsi="Arial" w:cs="Arial"/>
                <w:color w:val="000000"/>
                <w:sz w:val="14"/>
                <w:szCs w:val="14"/>
              </w:rPr>
              <w:t>497 </w:t>
            </w:r>
          </w:p>
        </w:tc>
        <w:tc>
          <w:tcPr>
            <w:tcW w:w="0" w:type="auto"/>
            <w:shd w:val="clear" w:color="auto" w:fill="FFFFFF"/>
            <w:tcMar>
              <w:top w:w="40" w:type="dxa"/>
              <w:left w:w="0" w:type="dxa"/>
              <w:bottom w:w="40" w:type="dxa"/>
              <w:right w:w="20" w:type="dxa"/>
            </w:tcMar>
            <w:vAlign w:val="center"/>
          </w:tcPr>
          <w:p w14:paraId="5F2D2CEA" w14:textId="77777777" w:rsidR="00E836FB" w:rsidRDefault="00E836FB">
            <w:pPr>
              <w:jc w:val="right"/>
              <w:rPr>
                <w:rFonts w:ascii="宋体"/>
              </w:rPr>
            </w:pPr>
          </w:p>
        </w:tc>
      </w:tr>
      <w:tr w:rsidR="00E836FB" w14:paraId="5F2D2CFC" w14:textId="77777777">
        <w:tc>
          <w:tcPr>
            <w:tcW w:w="0" w:type="auto"/>
            <w:gridSpan w:val="3"/>
            <w:shd w:val="clear" w:color="auto" w:fill="CCEEFF"/>
            <w:tcMar>
              <w:top w:w="40" w:type="dxa"/>
              <w:left w:w="155" w:type="dxa"/>
              <w:bottom w:w="40" w:type="dxa"/>
              <w:right w:w="20" w:type="dxa"/>
            </w:tcMar>
            <w:vAlign w:val="center"/>
          </w:tcPr>
          <w:p w14:paraId="5F2D2CEC" w14:textId="77777777" w:rsidR="00E836FB" w:rsidRDefault="00994958">
            <w:pPr>
              <w:textAlignment w:val="center"/>
            </w:pPr>
            <w:r>
              <w:rPr>
                <w:rFonts w:ascii="Arial" w:eastAsia="宋体" w:hAnsi="Arial" w:cs="Arial"/>
                <w:color w:val="000000"/>
                <w:sz w:val="14"/>
                <w:szCs w:val="14"/>
              </w:rPr>
              <w:t>November 18, 2021</w:t>
            </w:r>
          </w:p>
        </w:tc>
        <w:tc>
          <w:tcPr>
            <w:tcW w:w="0" w:type="auto"/>
            <w:gridSpan w:val="3"/>
            <w:shd w:val="clear" w:color="auto" w:fill="CCEEFF"/>
            <w:tcMar>
              <w:top w:w="0" w:type="dxa"/>
              <w:left w:w="20" w:type="dxa"/>
              <w:bottom w:w="0" w:type="dxa"/>
              <w:right w:w="20" w:type="dxa"/>
            </w:tcMar>
            <w:vAlign w:val="bottom"/>
          </w:tcPr>
          <w:p w14:paraId="5F2D2CED"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CEE" w14:textId="77777777" w:rsidR="00E836FB" w:rsidRDefault="00994958">
            <w:pPr>
              <w:textAlignment w:val="center"/>
            </w:pPr>
            <w:r>
              <w:rPr>
                <w:rFonts w:ascii="Arial" w:eastAsia="宋体" w:hAnsi="Arial" w:cs="Arial"/>
                <w:color w:val="000000"/>
                <w:sz w:val="14"/>
                <w:szCs w:val="14"/>
              </w:rPr>
              <w:t>November 18, 2027</w:t>
            </w:r>
          </w:p>
        </w:tc>
        <w:tc>
          <w:tcPr>
            <w:tcW w:w="0" w:type="auto"/>
            <w:gridSpan w:val="3"/>
            <w:shd w:val="clear" w:color="auto" w:fill="CCEEFF"/>
            <w:tcMar>
              <w:top w:w="0" w:type="dxa"/>
              <w:left w:w="20" w:type="dxa"/>
              <w:bottom w:w="0" w:type="dxa"/>
              <w:right w:w="20" w:type="dxa"/>
            </w:tcMar>
            <w:vAlign w:val="bottom"/>
          </w:tcPr>
          <w:p w14:paraId="5F2D2CE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F0" w14:textId="77777777" w:rsidR="00E836FB" w:rsidRDefault="00994958">
            <w:pPr>
              <w:jc w:val="right"/>
              <w:textAlignment w:val="center"/>
            </w:pPr>
            <w:r>
              <w:rPr>
                <w:rFonts w:ascii="Arial" w:eastAsia="宋体" w:hAnsi="Arial" w:cs="Arial"/>
                <w:color w:val="000000"/>
                <w:sz w:val="14"/>
                <w:szCs w:val="14"/>
              </w:rPr>
              <w:t>1.684 </w:t>
            </w:r>
          </w:p>
        </w:tc>
        <w:tc>
          <w:tcPr>
            <w:tcW w:w="0" w:type="auto"/>
            <w:shd w:val="clear" w:color="auto" w:fill="CCEEFF"/>
            <w:tcMar>
              <w:top w:w="40" w:type="dxa"/>
              <w:left w:w="0" w:type="dxa"/>
              <w:bottom w:w="40" w:type="dxa"/>
              <w:right w:w="20" w:type="dxa"/>
            </w:tcMar>
            <w:vAlign w:val="center"/>
          </w:tcPr>
          <w:p w14:paraId="5F2D2CF1"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CF2"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F3" w14:textId="77777777" w:rsidR="00E836FB" w:rsidRDefault="00994958">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vAlign w:val="bottom"/>
          </w:tcPr>
          <w:p w14:paraId="5F2D2CF4"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CF5" w14:textId="77777777" w:rsidR="00E836FB" w:rsidRDefault="00994958">
            <w:pPr>
              <w:textAlignment w:val="center"/>
            </w:pPr>
            <w:r>
              <w:rPr>
                <w:rFonts w:ascii="Arial" w:eastAsia="宋体" w:hAnsi="Arial" w:cs="Arial"/>
                <w:color w:val="000000"/>
                <w:sz w:val="14"/>
                <w:szCs w:val="14"/>
              </w:rPr>
              <w:t>5/18; 11/18</w:t>
            </w:r>
          </w:p>
        </w:tc>
        <w:tc>
          <w:tcPr>
            <w:tcW w:w="0" w:type="auto"/>
            <w:gridSpan w:val="3"/>
            <w:shd w:val="clear" w:color="auto" w:fill="CCEEFF"/>
            <w:tcMar>
              <w:top w:w="0" w:type="dxa"/>
              <w:left w:w="20" w:type="dxa"/>
              <w:bottom w:w="0" w:type="dxa"/>
              <w:right w:w="20" w:type="dxa"/>
            </w:tcMar>
            <w:vAlign w:val="bottom"/>
          </w:tcPr>
          <w:p w14:paraId="5F2D2C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F7" w14:textId="77777777" w:rsidR="00E836FB" w:rsidRDefault="00994958">
            <w:pPr>
              <w:jc w:val="right"/>
              <w:textAlignment w:val="center"/>
            </w:pPr>
            <w:r>
              <w:rPr>
                <w:rFonts w:ascii="Arial" w:eastAsia="宋体" w:hAnsi="Arial" w:cs="Arial"/>
                <w:b/>
                <w:bCs/>
                <w:color w:val="000000"/>
                <w:sz w:val="14"/>
                <w:szCs w:val="14"/>
              </w:rPr>
              <w:t>497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C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CFA" w14:textId="77777777" w:rsidR="00E836FB" w:rsidRDefault="00994958">
            <w:pPr>
              <w:jc w:val="right"/>
              <w:textAlignment w:val="center"/>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CFB" w14:textId="77777777" w:rsidR="00E836FB" w:rsidRDefault="00E836FB">
            <w:pPr>
              <w:jc w:val="right"/>
              <w:rPr>
                <w:rFonts w:ascii="宋体"/>
              </w:rPr>
            </w:pPr>
          </w:p>
        </w:tc>
      </w:tr>
      <w:tr w:rsidR="00E836FB" w14:paraId="5F2D2D0D" w14:textId="77777777">
        <w:tc>
          <w:tcPr>
            <w:tcW w:w="0" w:type="auto"/>
            <w:gridSpan w:val="3"/>
            <w:shd w:val="clear" w:color="auto" w:fill="FFFFFF"/>
            <w:tcMar>
              <w:top w:w="40" w:type="dxa"/>
              <w:left w:w="155" w:type="dxa"/>
              <w:bottom w:w="40" w:type="dxa"/>
              <w:right w:w="20" w:type="dxa"/>
            </w:tcMar>
            <w:vAlign w:val="center"/>
          </w:tcPr>
          <w:p w14:paraId="5F2D2CFD" w14:textId="77777777" w:rsidR="00E836FB" w:rsidRDefault="00994958">
            <w:pPr>
              <w:textAlignment w:val="center"/>
            </w:pPr>
            <w:r>
              <w:rPr>
                <w:rFonts w:ascii="Arial" w:eastAsia="宋体" w:hAnsi="Arial" w:cs="Arial"/>
                <w:color w:val="000000"/>
                <w:sz w:val="14"/>
                <w:szCs w:val="14"/>
              </w:rPr>
              <w:t>June 21, 1996</w:t>
            </w:r>
          </w:p>
        </w:tc>
        <w:tc>
          <w:tcPr>
            <w:tcW w:w="0" w:type="auto"/>
            <w:gridSpan w:val="3"/>
            <w:shd w:val="clear" w:color="auto" w:fill="FFFFFF"/>
            <w:tcMar>
              <w:top w:w="0" w:type="dxa"/>
              <w:left w:w="20" w:type="dxa"/>
              <w:bottom w:w="0" w:type="dxa"/>
              <w:right w:w="20" w:type="dxa"/>
            </w:tcMar>
            <w:vAlign w:val="bottom"/>
          </w:tcPr>
          <w:p w14:paraId="5F2D2CF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CFF" w14:textId="77777777" w:rsidR="00E836FB" w:rsidRDefault="00994958">
            <w:pPr>
              <w:textAlignment w:val="center"/>
            </w:pPr>
            <w:r>
              <w:rPr>
                <w:rFonts w:ascii="Arial" w:eastAsia="宋体" w:hAnsi="Arial" w:cs="Arial"/>
                <w:color w:val="000000"/>
                <w:sz w:val="14"/>
                <w:szCs w:val="14"/>
              </w:rPr>
              <w:t>June 15, 2026</w:t>
            </w:r>
            <w:r>
              <w:rPr>
                <w:rFonts w:ascii="Arial" w:eastAsia="宋体" w:hAnsi="Arial" w:cs="Arial"/>
                <w:color w:val="000000"/>
                <w:sz w:val="9"/>
                <w:szCs w:val="9"/>
              </w:rPr>
              <w:t>(3)</w:t>
            </w:r>
          </w:p>
        </w:tc>
        <w:tc>
          <w:tcPr>
            <w:tcW w:w="0" w:type="auto"/>
            <w:gridSpan w:val="3"/>
            <w:shd w:val="clear" w:color="auto" w:fill="FFFFFF"/>
            <w:tcMar>
              <w:top w:w="0" w:type="dxa"/>
              <w:left w:w="20" w:type="dxa"/>
              <w:bottom w:w="0" w:type="dxa"/>
              <w:right w:w="20" w:type="dxa"/>
            </w:tcMar>
            <w:vAlign w:val="bottom"/>
          </w:tcPr>
          <w:p w14:paraId="5F2D2D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01" w14:textId="77777777" w:rsidR="00E836FB" w:rsidRDefault="00994958">
            <w:pPr>
              <w:jc w:val="right"/>
              <w:textAlignment w:val="center"/>
            </w:pPr>
            <w:r>
              <w:rPr>
                <w:rFonts w:ascii="Arial" w:eastAsia="宋体" w:hAnsi="Arial" w:cs="Arial"/>
                <w:color w:val="000000"/>
                <w:sz w:val="14"/>
                <w:szCs w:val="14"/>
              </w:rPr>
              <w:t>7.35 </w:t>
            </w:r>
          </w:p>
        </w:tc>
        <w:tc>
          <w:tcPr>
            <w:tcW w:w="0" w:type="auto"/>
            <w:shd w:val="clear" w:color="auto" w:fill="FFFFFF"/>
            <w:tcMar>
              <w:top w:w="40" w:type="dxa"/>
              <w:left w:w="0" w:type="dxa"/>
              <w:bottom w:w="40" w:type="dxa"/>
              <w:right w:w="20" w:type="dxa"/>
            </w:tcMar>
            <w:vAlign w:val="center"/>
          </w:tcPr>
          <w:p w14:paraId="5F2D2D02"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D0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D04"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vAlign w:val="bottom"/>
          </w:tcPr>
          <w:p w14:paraId="5F2D2D0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D06" w14:textId="77777777" w:rsidR="00E836FB" w:rsidRDefault="00994958">
            <w:pPr>
              <w:textAlignment w:val="center"/>
            </w:pPr>
            <w:r>
              <w:rPr>
                <w:rFonts w:ascii="Arial" w:eastAsia="宋体" w:hAnsi="Arial" w:cs="Arial"/>
                <w:color w:val="000000"/>
                <w:sz w:val="14"/>
                <w:szCs w:val="14"/>
              </w:rPr>
              <w:t>6/15; 12/15</w:t>
            </w:r>
          </w:p>
        </w:tc>
        <w:tc>
          <w:tcPr>
            <w:tcW w:w="0" w:type="auto"/>
            <w:gridSpan w:val="3"/>
            <w:shd w:val="clear" w:color="auto" w:fill="FFFFFF"/>
            <w:tcMar>
              <w:top w:w="0" w:type="dxa"/>
              <w:left w:w="20" w:type="dxa"/>
              <w:bottom w:w="0" w:type="dxa"/>
              <w:right w:w="20" w:type="dxa"/>
            </w:tcMar>
            <w:vAlign w:val="bottom"/>
          </w:tcPr>
          <w:p w14:paraId="5F2D2D0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08" w14:textId="77777777" w:rsidR="00E836FB" w:rsidRDefault="00994958">
            <w:pPr>
              <w:jc w:val="right"/>
              <w:textAlignment w:val="center"/>
            </w:pPr>
            <w:r>
              <w:rPr>
                <w:rFonts w:ascii="Arial" w:eastAsia="宋体" w:hAnsi="Arial" w:cs="Arial"/>
                <w:b/>
                <w:bCs/>
                <w:color w:val="000000"/>
                <w:sz w:val="14"/>
                <w:szCs w:val="14"/>
              </w:rPr>
              <w:t>150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D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D0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0B" w14:textId="77777777" w:rsidR="00E836FB" w:rsidRDefault="00994958">
            <w:pPr>
              <w:jc w:val="right"/>
              <w:textAlignment w:val="center"/>
            </w:pPr>
            <w:r>
              <w:rPr>
                <w:rFonts w:ascii="Arial" w:eastAsia="宋体" w:hAnsi="Arial" w:cs="Arial"/>
                <w:color w:val="000000"/>
                <w:sz w:val="14"/>
                <w:szCs w:val="14"/>
              </w:rPr>
              <w:t>150 </w:t>
            </w:r>
          </w:p>
        </w:tc>
        <w:tc>
          <w:tcPr>
            <w:tcW w:w="0" w:type="auto"/>
            <w:shd w:val="clear" w:color="auto" w:fill="FFFFFF"/>
            <w:tcMar>
              <w:top w:w="40" w:type="dxa"/>
              <w:left w:w="0" w:type="dxa"/>
              <w:bottom w:w="40" w:type="dxa"/>
              <w:right w:w="20" w:type="dxa"/>
            </w:tcMar>
            <w:vAlign w:val="center"/>
          </w:tcPr>
          <w:p w14:paraId="5F2D2D0C" w14:textId="77777777" w:rsidR="00E836FB" w:rsidRDefault="00E836FB">
            <w:pPr>
              <w:jc w:val="right"/>
              <w:rPr>
                <w:rFonts w:ascii="宋体"/>
              </w:rPr>
            </w:pPr>
          </w:p>
        </w:tc>
      </w:tr>
      <w:tr w:rsidR="00E836FB" w14:paraId="5F2D2D1B" w14:textId="77777777">
        <w:trPr>
          <w:hidden/>
        </w:trPr>
        <w:tc>
          <w:tcPr>
            <w:tcW w:w="0" w:type="auto"/>
            <w:gridSpan w:val="3"/>
            <w:shd w:val="clear" w:color="auto" w:fill="auto"/>
            <w:vAlign w:val="bottom"/>
          </w:tcPr>
          <w:p w14:paraId="5F2D2D0E" w14:textId="77777777" w:rsidR="00E836FB" w:rsidRDefault="00E836FB">
            <w:pPr>
              <w:rPr>
                <w:rFonts w:ascii="宋体"/>
                <w:vanish/>
              </w:rPr>
            </w:pPr>
          </w:p>
        </w:tc>
        <w:tc>
          <w:tcPr>
            <w:tcW w:w="0" w:type="auto"/>
            <w:gridSpan w:val="3"/>
            <w:shd w:val="clear" w:color="auto" w:fill="auto"/>
            <w:vAlign w:val="bottom"/>
          </w:tcPr>
          <w:p w14:paraId="5F2D2D0F" w14:textId="77777777" w:rsidR="00E836FB" w:rsidRDefault="00E836FB">
            <w:pPr>
              <w:rPr>
                <w:rFonts w:ascii="宋体"/>
                <w:vanish/>
              </w:rPr>
            </w:pPr>
          </w:p>
        </w:tc>
        <w:tc>
          <w:tcPr>
            <w:tcW w:w="0" w:type="auto"/>
            <w:gridSpan w:val="3"/>
            <w:shd w:val="clear" w:color="auto" w:fill="auto"/>
            <w:vAlign w:val="bottom"/>
          </w:tcPr>
          <w:p w14:paraId="5F2D2D10" w14:textId="77777777" w:rsidR="00E836FB" w:rsidRDefault="00E836FB">
            <w:pPr>
              <w:rPr>
                <w:rFonts w:ascii="宋体"/>
                <w:vanish/>
              </w:rPr>
            </w:pPr>
          </w:p>
        </w:tc>
        <w:tc>
          <w:tcPr>
            <w:tcW w:w="0" w:type="auto"/>
            <w:gridSpan w:val="3"/>
            <w:shd w:val="clear" w:color="auto" w:fill="auto"/>
            <w:vAlign w:val="bottom"/>
          </w:tcPr>
          <w:p w14:paraId="5F2D2D11" w14:textId="77777777" w:rsidR="00E836FB" w:rsidRDefault="00E836FB">
            <w:pPr>
              <w:rPr>
                <w:rFonts w:ascii="宋体"/>
                <w:vanish/>
              </w:rPr>
            </w:pPr>
          </w:p>
        </w:tc>
        <w:tc>
          <w:tcPr>
            <w:tcW w:w="0" w:type="auto"/>
            <w:gridSpan w:val="3"/>
            <w:shd w:val="clear" w:color="auto" w:fill="auto"/>
            <w:vAlign w:val="bottom"/>
          </w:tcPr>
          <w:p w14:paraId="5F2D2D12" w14:textId="77777777" w:rsidR="00E836FB" w:rsidRDefault="00E836FB">
            <w:pPr>
              <w:rPr>
                <w:rFonts w:ascii="宋体"/>
                <w:vanish/>
              </w:rPr>
            </w:pPr>
          </w:p>
        </w:tc>
        <w:tc>
          <w:tcPr>
            <w:tcW w:w="0" w:type="auto"/>
            <w:gridSpan w:val="3"/>
            <w:shd w:val="clear" w:color="auto" w:fill="auto"/>
            <w:vAlign w:val="bottom"/>
          </w:tcPr>
          <w:p w14:paraId="5F2D2D13" w14:textId="77777777" w:rsidR="00E836FB" w:rsidRDefault="00E836FB">
            <w:pPr>
              <w:rPr>
                <w:rFonts w:ascii="宋体"/>
                <w:vanish/>
              </w:rPr>
            </w:pPr>
          </w:p>
        </w:tc>
        <w:tc>
          <w:tcPr>
            <w:tcW w:w="0" w:type="auto"/>
            <w:gridSpan w:val="3"/>
            <w:shd w:val="clear" w:color="auto" w:fill="auto"/>
            <w:vAlign w:val="bottom"/>
          </w:tcPr>
          <w:p w14:paraId="5F2D2D14" w14:textId="77777777" w:rsidR="00E836FB" w:rsidRDefault="00E836FB">
            <w:pPr>
              <w:rPr>
                <w:rFonts w:ascii="宋体"/>
                <w:vanish/>
              </w:rPr>
            </w:pPr>
          </w:p>
        </w:tc>
        <w:tc>
          <w:tcPr>
            <w:tcW w:w="0" w:type="auto"/>
            <w:gridSpan w:val="3"/>
            <w:shd w:val="clear" w:color="auto" w:fill="auto"/>
            <w:vAlign w:val="bottom"/>
          </w:tcPr>
          <w:p w14:paraId="5F2D2D15" w14:textId="77777777" w:rsidR="00E836FB" w:rsidRDefault="00E836FB">
            <w:pPr>
              <w:rPr>
                <w:rFonts w:ascii="宋体"/>
                <w:vanish/>
              </w:rPr>
            </w:pPr>
          </w:p>
        </w:tc>
        <w:tc>
          <w:tcPr>
            <w:tcW w:w="0" w:type="auto"/>
            <w:gridSpan w:val="3"/>
            <w:shd w:val="clear" w:color="auto" w:fill="auto"/>
            <w:vAlign w:val="bottom"/>
          </w:tcPr>
          <w:p w14:paraId="5F2D2D16" w14:textId="77777777" w:rsidR="00E836FB" w:rsidRDefault="00E836FB">
            <w:pPr>
              <w:rPr>
                <w:rFonts w:ascii="宋体"/>
                <w:vanish/>
              </w:rPr>
            </w:pPr>
          </w:p>
        </w:tc>
        <w:tc>
          <w:tcPr>
            <w:tcW w:w="0" w:type="auto"/>
            <w:gridSpan w:val="3"/>
            <w:shd w:val="clear" w:color="auto" w:fill="auto"/>
            <w:vAlign w:val="bottom"/>
          </w:tcPr>
          <w:p w14:paraId="5F2D2D17" w14:textId="77777777" w:rsidR="00E836FB" w:rsidRDefault="00E836FB">
            <w:pPr>
              <w:rPr>
                <w:rFonts w:ascii="宋体"/>
                <w:vanish/>
              </w:rPr>
            </w:pPr>
          </w:p>
        </w:tc>
        <w:tc>
          <w:tcPr>
            <w:tcW w:w="0" w:type="auto"/>
            <w:gridSpan w:val="3"/>
            <w:shd w:val="clear" w:color="auto" w:fill="auto"/>
            <w:vAlign w:val="bottom"/>
          </w:tcPr>
          <w:p w14:paraId="5F2D2D18" w14:textId="77777777" w:rsidR="00E836FB" w:rsidRDefault="00E836FB">
            <w:pPr>
              <w:rPr>
                <w:rFonts w:ascii="宋体"/>
                <w:vanish/>
              </w:rPr>
            </w:pPr>
          </w:p>
        </w:tc>
        <w:tc>
          <w:tcPr>
            <w:tcW w:w="0" w:type="auto"/>
            <w:gridSpan w:val="3"/>
            <w:shd w:val="clear" w:color="auto" w:fill="auto"/>
            <w:vAlign w:val="bottom"/>
          </w:tcPr>
          <w:p w14:paraId="5F2D2D19" w14:textId="77777777" w:rsidR="00E836FB" w:rsidRDefault="00E836FB">
            <w:pPr>
              <w:rPr>
                <w:rFonts w:ascii="宋体"/>
                <w:vanish/>
              </w:rPr>
            </w:pPr>
          </w:p>
        </w:tc>
        <w:tc>
          <w:tcPr>
            <w:tcW w:w="0" w:type="auto"/>
            <w:gridSpan w:val="3"/>
            <w:shd w:val="clear" w:color="auto" w:fill="auto"/>
            <w:vAlign w:val="bottom"/>
          </w:tcPr>
          <w:p w14:paraId="5F2D2D1A" w14:textId="77777777" w:rsidR="00E836FB" w:rsidRDefault="00E836FB">
            <w:pPr>
              <w:rPr>
                <w:rFonts w:ascii="宋体"/>
                <w:vanish/>
              </w:rPr>
            </w:pPr>
          </w:p>
        </w:tc>
      </w:tr>
      <w:tr w:rsidR="00E836FB" w14:paraId="5F2D2D2B" w14:textId="77777777">
        <w:tc>
          <w:tcPr>
            <w:tcW w:w="0" w:type="auto"/>
            <w:gridSpan w:val="3"/>
            <w:shd w:val="clear" w:color="auto" w:fill="CCEEFF"/>
            <w:tcMar>
              <w:top w:w="40" w:type="dxa"/>
              <w:left w:w="155" w:type="dxa"/>
              <w:bottom w:w="40" w:type="dxa"/>
              <w:right w:w="20" w:type="dxa"/>
            </w:tcMar>
            <w:vAlign w:val="center"/>
          </w:tcPr>
          <w:p w14:paraId="5F2D2D1C" w14:textId="77777777" w:rsidR="00E836FB" w:rsidRDefault="00994958">
            <w:pPr>
              <w:textAlignment w:val="center"/>
            </w:pPr>
            <w:r>
              <w:rPr>
                <w:rFonts w:ascii="Arial" w:eastAsia="宋体" w:hAnsi="Arial" w:cs="Arial"/>
                <w:color w:val="000000"/>
                <w:sz w:val="14"/>
                <w:szCs w:val="14"/>
              </w:rPr>
              <w:t>May 15, 1998</w:t>
            </w:r>
          </w:p>
        </w:tc>
        <w:tc>
          <w:tcPr>
            <w:tcW w:w="0" w:type="auto"/>
            <w:gridSpan w:val="3"/>
            <w:shd w:val="clear" w:color="auto" w:fill="CCEEFF"/>
            <w:tcMar>
              <w:top w:w="0" w:type="dxa"/>
              <w:left w:w="20" w:type="dxa"/>
              <w:bottom w:w="0" w:type="dxa"/>
              <w:right w:w="20" w:type="dxa"/>
            </w:tcMar>
            <w:vAlign w:val="bottom"/>
          </w:tcPr>
          <w:p w14:paraId="5F2D2D1D"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D1E" w14:textId="77777777" w:rsidR="00E836FB" w:rsidRDefault="00994958">
            <w:pPr>
              <w:textAlignment w:val="center"/>
            </w:pPr>
            <w:r>
              <w:rPr>
                <w:rFonts w:ascii="Arial" w:eastAsia="宋体" w:hAnsi="Arial" w:cs="Arial"/>
                <w:color w:val="000000"/>
                <w:sz w:val="14"/>
                <w:szCs w:val="14"/>
              </w:rPr>
              <w:t>May 15, 2028</w:t>
            </w:r>
          </w:p>
        </w:tc>
        <w:tc>
          <w:tcPr>
            <w:tcW w:w="0" w:type="auto"/>
            <w:gridSpan w:val="3"/>
            <w:shd w:val="clear" w:color="auto" w:fill="CCEEFF"/>
            <w:tcMar>
              <w:top w:w="0" w:type="dxa"/>
              <w:left w:w="20" w:type="dxa"/>
              <w:bottom w:w="0" w:type="dxa"/>
              <w:right w:w="20" w:type="dxa"/>
            </w:tcMar>
            <w:vAlign w:val="bottom"/>
          </w:tcPr>
          <w:p w14:paraId="5F2D2D1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D20" w14:textId="77777777" w:rsidR="00E836FB" w:rsidRDefault="00994958">
            <w:pPr>
              <w:jc w:val="right"/>
              <w:textAlignment w:val="center"/>
            </w:pPr>
            <w:r>
              <w:rPr>
                <w:rFonts w:ascii="Arial" w:eastAsia="宋体" w:hAnsi="Arial" w:cs="Arial"/>
                <w:color w:val="000000"/>
                <w:sz w:val="14"/>
                <w:szCs w:val="14"/>
              </w:rPr>
              <w:t>Floating-rate</w:t>
            </w:r>
          </w:p>
        </w:tc>
        <w:tc>
          <w:tcPr>
            <w:tcW w:w="0" w:type="auto"/>
            <w:gridSpan w:val="3"/>
            <w:shd w:val="clear" w:color="auto" w:fill="CCEEFF"/>
            <w:tcMar>
              <w:top w:w="0" w:type="dxa"/>
              <w:left w:w="20" w:type="dxa"/>
              <w:bottom w:w="0" w:type="dxa"/>
              <w:right w:w="20" w:type="dxa"/>
            </w:tcMar>
            <w:vAlign w:val="bottom"/>
          </w:tcPr>
          <w:p w14:paraId="5F2D2D21"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D22" w14:textId="77777777" w:rsidR="00E836FB" w:rsidRDefault="00994958">
            <w:pPr>
              <w:jc w:val="center"/>
              <w:textAlignment w:val="center"/>
            </w:pPr>
            <w:r>
              <w:rPr>
                <w:rFonts w:ascii="Arial" w:eastAsia="宋体" w:hAnsi="Arial" w:cs="Arial"/>
                <w:color w:val="000000"/>
                <w:sz w:val="14"/>
                <w:szCs w:val="14"/>
              </w:rPr>
              <w:t>Junior subordinated debentures</w:t>
            </w:r>
          </w:p>
        </w:tc>
        <w:tc>
          <w:tcPr>
            <w:tcW w:w="0" w:type="auto"/>
            <w:gridSpan w:val="3"/>
            <w:shd w:val="clear" w:color="auto" w:fill="CCEEFF"/>
            <w:tcMar>
              <w:top w:w="0" w:type="dxa"/>
              <w:left w:w="20" w:type="dxa"/>
              <w:bottom w:w="0" w:type="dxa"/>
              <w:right w:w="20" w:type="dxa"/>
            </w:tcMar>
            <w:vAlign w:val="bottom"/>
          </w:tcPr>
          <w:p w14:paraId="5F2D2D2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D24" w14:textId="77777777" w:rsidR="00E836FB" w:rsidRDefault="00994958">
            <w:pPr>
              <w:textAlignment w:val="center"/>
            </w:pPr>
            <w:r>
              <w:rPr>
                <w:rFonts w:ascii="Arial" w:eastAsia="宋体" w:hAnsi="Arial" w:cs="Arial"/>
                <w:color w:val="000000"/>
                <w:sz w:val="14"/>
                <w:szCs w:val="14"/>
              </w:rPr>
              <w:t>2/15; 5/15; 8/15; 11/15</w:t>
            </w:r>
          </w:p>
        </w:tc>
        <w:tc>
          <w:tcPr>
            <w:tcW w:w="0" w:type="auto"/>
            <w:gridSpan w:val="3"/>
            <w:shd w:val="clear" w:color="auto" w:fill="CCEEFF"/>
            <w:tcMar>
              <w:top w:w="0" w:type="dxa"/>
              <w:left w:w="20" w:type="dxa"/>
              <w:bottom w:w="0" w:type="dxa"/>
              <w:right w:w="20" w:type="dxa"/>
            </w:tcMar>
            <w:vAlign w:val="bottom"/>
          </w:tcPr>
          <w:p w14:paraId="5F2D2D2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D26" w14:textId="77777777" w:rsidR="00E836FB" w:rsidRDefault="00994958">
            <w:pPr>
              <w:jc w:val="right"/>
              <w:textAlignment w:val="center"/>
            </w:pPr>
            <w:r>
              <w:rPr>
                <w:rFonts w:ascii="Arial" w:eastAsia="宋体" w:hAnsi="Arial" w:cs="Arial"/>
                <w:b/>
                <w:bCs/>
                <w:color w:val="000000"/>
                <w:sz w:val="14"/>
                <w:szCs w:val="14"/>
              </w:rPr>
              <w:t>100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D2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D2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D29" w14:textId="77777777" w:rsidR="00E836FB" w:rsidRDefault="00994958">
            <w:pPr>
              <w:jc w:val="right"/>
              <w:textAlignment w:val="center"/>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center"/>
          </w:tcPr>
          <w:p w14:paraId="5F2D2D2A" w14:textId="77777777" w:rsidR="00E836FB" w:rsidRDefault="00E836FB">
            <w:pPr>
              <w:jc w:val="right"/>
              <w:rPr>
                <w:rFonts w:ascii="宋体"/>
              </w:rPr>
            </w:pPr>
          </w:p>
        </w:tc>
      </w:tr>
      <w:tr w:rsidR="00E836FB" w14:paraId="5F2D2D3C" w14:textId="77777777">
        <w:tc>
          <w:tcPr>
            <w:tcW w:w="0" w:type="auto"/>
            <w:gridSpan w:val="3"/>
            <w:shd w:val="clear" w:color="auto" w:fill="FFFFFF"/>
            <w:tcMar>
              <w:top w:w="40" w:type="dxa"/>
              <w:left w:w="155" w:type="dxa"/>
              <w:bottom w:w="40" w:type="dxa"/>
              <w:right w:w="20" w:type="dxa"/>
            </w:tcMar>
            <w:vAlign w:val="center"/>
          </w:tcPr>
          <w:p w14:paraId="5F2D2D2C" w14:textId="77777777" w:rsidR="00E836FB" w:rsidRDefault="00994958">
            <w:pPr>
              <w:textAlignment w:val="center"/>
            </w:pPr>
            <w:r>
              <w:rPr>
                <w:rFonts w:ascii="Arial" w:eastAsia="宋体" w:hAnsi="Arial" w:cs="Arial"/>
                <w:color w:val="000000"/>
                <w:sz w:val="14"/>
                <w:szCs w:val="14"/>
              </w:rPr>
              <w:t>March 7, 2011</w:t>
            </w:r>
          </w:p>
        </w:tc>
        <w:tc>
          <w:tcPr>
            <w:tcW w:w="0" w:type="auto"/>
            <w:gridSpan w:val="3"/>
            <w:shd w:val="clear" w:color="auto" w:fill="FFFFFF"/>
            <w:tcMar>
              <w:top w:w="0" w:type="dxa"/>
              <w:left w:w="20" w:type="dxa"/>
              <w:bottom w:w="0" w:type="dxa"/>
              <w:right w:w="20" w:type="dxa"/>
            </w:tcMar>
            <w:vAlign w:val="bottom"/>
          </w:tcPr>
          <w:p w14:paraId="5F2D2D2D" w14:textId="77777777" w:rsidR="00E836FB" w:rsidRDefault="00E836FB">
            <w:pPr>
              <w:rPr>
                <w:rFonts w:ascii="宋体"/>
              </w:rPr>
            </w:pPr>
          </w:p>
        </w:tc>
        <w:tc>
          <w:tcPr>
            <w:tcW w:w="0" w:type="auto"/>
            <w:gridSpan w:val="3"/>
            <w:shd w:val="clear" w:color="auto" w:fill="FFFFFF"/>
            <w:tcMar>
              <w:top w:w="40" w:type="dxa"/>
              <w:left w:w="155" w:type="dxa"/>
              <w:bottom w:w="40" w:type="dxa"/>
              <w:right w:w="20" w:type="dxa"/>
            </w:tcMar>
            <w:vAlign w:val="center"/>
          </w:tcPr>
          <w:p w14:paraId="5F2D2D2E" w14:textId="77777777" w:rsidR="00E836FB" w:rsidRDefault="00994958">
            <w:pPr>
              <w:textAlignment w:val="center"/>
            </w:pPr>
            <w:r>
              <w:rPr>
                <w:rFonts w:ascii="Arial" w:eastAsia="宋体" w:hAnsi="Arial" w:cs="Arial"/>
                <w:color w:val="000000"/>
                <w:sz w:val="14"/>
                <w:szCs w:val="14"/>
              </w:rPr>
              <w:t>March 7, 2021</w:t>
            </w:r>
          </w:p>
        </w:tc>
        <w:tc>
          <w:tcPr>
            <w:tcW w:w="0" w:type="auto"/>
            <w:gridSpan w:val="3"/>
            <w:shd w:val="clear" w:color="auto" w:fill="FFFFFF"/>
            <w:tcMar>
              <w:top w:w="0" w:type="dxa"/>
              <w:left w:w="20" w:type="dxa"/>
              <w:bottom w:w="0" w:type="dxa"/>
              <w:right w:w="20" w:type="dxa"/>
            </w:tcMar>
            <w:vAlign w:val="bottom"/>
          </w:tcPr>
          <w:p w14:paraId="5F2D2D2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30" w14:textId="77777777" w:rsidR="00E836FB" w:rsidRDefault="00994958">
            <w:pPr>
              <w:jc w:val="right"/>
              <w:textAlignment w:val="center"/>
            </w:pPr>
            <w:r>
              <w:rPr>
                <w:rFonts w:ascii="Arial" w:eastAsia="宋体" w:hAnsi="Arial" w:cs="Arial"/>
                <w:color w:val="000000"/>
                <w:sz w:val="14"/>
                <w:szCs w:val="14"/>
              </w:rPr>
              <w:t>4.375 </w:t>
            </w:r>
          </w:p>
        </w:tc>
        <w:tc>
          <w:tcPr>
            <w:tcW w:w="0" w:type="auto"/>
            <w:shd w:val="clear" w:color="auto" w:fill="FFFFFF"/>
            <w:tcMar>
              <w:top w:w="40" w:type="dxa"/>
              <w:left w:w="0" w:type="dxa"/>
              <w:bottom w:w="40" w:type="dxa"/>
              <w:right w:w="20" w:type="dxa"/>
            </w:tcMar>
            <w:vAlign w:val="center"/>
          </w:tcPr>
          <w:p w14:paraId="5F2D2D31"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2D32"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D33"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vAlign w:val="bottom"/>
          </w:tcPr>
          <w:p w14:paraId="5F2D2D34"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2D35" w14:textId="77777777" w:rsidR="00E836FB" w:rsidRDefault="00994958">
            <w:pPr>
              <w:textAlignment w:val="center"/>
            </w:pPr>
            <w:r>
              <w:rPr>
                <w:rFonts w:ascii="Arial" w:eastAsia="宋体" w:hAnsi="Arial" w:cs="Arial"/>
                <w:color w:val="000000"/>
                <w:sz w:val="14"/>
                <w:szCs w:val="14"/>
              </w:rPr>
              <w:t>3/7; 9/7</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vAlign w:val="bottom"/>
          </w:tcPr>
          <w:p w14:paraId="5F2D2D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37" w14:textId="77777777" w:rsidR="00E836FB" w:rsidRDefault="00994958">
            <w:pPr>
              <w:jc w:val="right"/>
              <w:textAlignment w:val="center"/>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D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D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3A" w14:textId="77777777" w:rsidR="00E836FB" w:rsidRDefault="00994958">
            <w:pPr>
              <w:jc w:val="right"/>
              <w:textAlignment w:val="center"/>
            </w:pPr>
            <w:r>
              <w:rPr>
                <w:rFonts w:ascii="Arial" w:eastAsia="宋体" w:hAnsi="Arial" w:cs="Arial"/>
                <w:color w:val="000000"/>
                <w:sz w:val="14"/>
                <w:szCs w:val="14"/>
              </w:rPr>
              <w:t>752 </w:t>
            </w:r>
          </w:p>
        </w:tc>
        <w:tc>
          <w:tcPr>
            <w:tcW w:w="0" w:type="auto"/>
            <w:shd w:val="clear" w:color="auto" w:fill="FFFFFF"/>
            <w:tcMar>
              <w:top w:w="40" w:type="dxa"/>
              <w:left w:w="0" w:type="dxa"/>
              <w:bottom w:w="40" w:type="dxa"/>
              <w:right w:w="20" w:type="dxa"/>
            </w:tcMar>
            <w:vAlign w:val="center"/>
          </w:tcPr>
          <w:p w14:paraId="5F2D2D3B" w14:textId="77777777" w:rsidR="00E836FB" w:rsidRDefault="00E836FB">
            <w:pPr>
              <w:jc w:val="right"/>
              <w:rPr>
                <w:rFonts w:ascii="宋体"/>
              </w:rPr>
            </w:pPr>
          </w:p>
        </w:tc>
      </w:tr>
      <w:tr w:rsidR="00E836FB" w14:paraId="5F2D2D4D" w14:textId="77777777">
        <w:tc>
          <w:tcPr>
            <w:tcW w:w="0" w:type="auto"/>
            <w:gridSpan w:val="3"/>
            <w:shd w:val="clear" w:color="auto" w:fill="CCEEFF"/>
            <w:tcMar>
              <w:top w:w="40" w:type="dxa"/>
              <w:left w:w="155" w:type="dxa"/>
              <w:bottom w:w="40" w:type="dxa"/>
              <w:right w:w="20" w:type="dxa"/>
            </w:tcMar>
            <w:vAlign w:val="center"/>
          </w:tcPr>
          <w:p w14:paraId="5F2D2D3D" w14:textId="77777777" w:rsidR="00E836FB" w:rsidRDefault="00994958">
            <w:pPr>
              <w:textAlignment w:val="center"/>
            </w:pPr>
            <w:r>
              <w:rPr>
                <w:rFonts w:ascii="Arial" w:eastAsia="宋体" w:hAnsi="Arial" w:cs="Arial"/>
                <w:color w:val="000000"/>
                <w:sz w:val="14"/>
                <w:szCs w:val="14"/>
              </w:rPr>
              <w:t>May 19, 2016</w:t>
            </w:r>
          </w:p>
        </w:tc>
        <w:tc>
          <w:tcPr>
            <w:tcW w:w="0" w:type="auto"/>
            <w:gridSpan w:val="3"/>
            <w:shd w:val="clear" w:color="auto" w:fill="CCEEFF"/>
            <w:tcMar>
              <w:top w:w="0" w:type="dxa"/>
              <w:left w:w="20" w:type="dxa"/>
              <w:bottom w:w="0" w:type="dxa"/>
              <w:right w:w="20" w:type="dxa"/>
            </w:tcMar>
            <w:vAlign w:val="bottom"/>
          </w:tcPr>
          <w:p w14:paraId="5F2D2D3E" w14:textId="77777777" w:rsidR="00E836FB" w:rsidRDefault="00E836FB">
            <w:pPr>
              <w:rPr>
                <w:rFonts w:ascii="宋体"/>
              </w:rPr>
            </w:pPr>
          </w:p>
        </w:tc>
        <w:tc>
          <w:tcPr>
            <w:tcW w:w="0" w:type="auto"/>
            <w:gridSpan w:val="3"/>
            <w:shd w:val="clear" w:color="auto" w:fill="CCEEFF"/>
            <w:tcMar>
              <w:top w:w="40" w:type="dxa"/>
              <w:left w:w="155" w:type="dxa"/>
              <w:bottom w:w="40" w:type="dxa"/>
              <w:right w:w="20" w:type="dxa"/>
            </w:tcMar>
            <w:vAlign w:val="center"/>
          </w:tcPr>
          <w:p w14:paraId="5F2D2D3F" w14:textId="77777777" w:rsidR="00E836FB" w:rsidRDefault="00994958">
            <w:pPr>
              <w:textAlignment w:val="center"/>
            </w:pPr>
            <w:r>
              <w:rPr>
                <w:rFonts w:ascii="Arial" w:eastAsia="宋体" w:hAnsi="Arial" w:cs="Arial"/>
                <w:color w:val="000000"/>
                <w:sz w:val="14"/>
                <w:szCs w:val="14"/>
              </w:rPr>
              <w:t>May 19, 2021</w:t>
            </w:r>
          </w:p>
        </w:tc>
        <w:tc>
          <w:tcPr>
            <w:tcW w:w="0" w:type="auto"/>
            <w:gridSpan w:val="3"/>
            <w:shd w:val="clear" w:color="auto" w:fill="CCEEFF"/>
            <w:tcMar>
              <w:top w:w="0" w:type="dxa"/>
              <w:left w:w="20" w:type="dxa"/>
              <w:bottom w:w="0" w:type="dxa"/>
              <w:right w:w="20" w:type="dxa"/>
            </w:tcMar>
            <w:vAlign w:val="bottom"/>
          </w:tcPr>
          <w:p w14:paraId="5F2D2D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D41" w14:textId="77777777" w:rsidR="00E836FB" w:rsidRDefault="00994958">
            <w:pPr>
              <w:jc w:val="right"/>
              <w:textAlignment w:val="center"/>
            </w:pPr>
            <w:r>
              <w:rPr>
                <w:rFonts w:ascii="Arial" w:eastAsia="宋体" w:hAnsi="Arial" w:cs="Arial"/>
                <w:color w:val="000000"/>
                <w:sz w:val="14"/>
                <w:szCs w:val="14"/>
              </w:rPr>
              <w:t>1.95 </w:t>
            </w:r>
          </w:p>
        </w:tc>
        <w:tc>
          <w:tcPr>
            <w:tcW w:w="0" w:type="auto"/>
            <w:shd w:val="clear" w:color="auto" w:fill="CCEEFF"/>
            <w:tcMar>
              <w:top w:w="40" w:type="dxa"/>
              <w:left w:w="0" w:type="dxa"/>
              <w:bottom w:w="40" w:type="dxa"/>
              <w:right w:w="20" w:type="dxa"/>
            </w:tcMar>
            <w:vAlign w:val="center"/>
          </w:tcPr>
          <w:p w14:paraId="5F2D2D42" w14:textId="77777777" w:rsidR="00E836FB" w:rsidRDefault="00994958">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2D4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D44" w14:textId="77777777" w:rsidR="00E836FB" w:rsidRDefault="00994958">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vAlign w:val="bottom"/>
          </w:tcPr>
          <w:p w14:paraId="5F2D2D4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2D46" w14:textId="77777777" w:rsidR="00E836FB" w:rsidRDefault="00994958">
            <w:pPr>
              <w:textAlignment w:val="center"/>
            </w:pPr>
            <w:r>
              <w:rPr>
                <w:rFonts w:ascii="Arial" w:eastAsia="宋体" w:hAnsi="Arial" w:cs="Arial"/>
                <w:color w:val="000000"/>
                <w:sz w:val="14"/>
                <w:szCs w:val="14"/>
              </w:rPr>
              <w:t>5/19; 11/19</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vAlign w:val="bottom"/>
          </w:tcPr>
          <w:p w14:paraId="5F2D2D4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D48" w14:textId="77777777" w:rsidR="00E836FB" w:rsidRDefault="00994958">
            <w:pPr>
              <w:jc w:val="right"/>
              <w:textAlignment w:val="center"/>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2D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D4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2D4B" w14:textId="77777777" w:rsidR="00E836FB" w:rsidRDefault="00994958">
            <w:pPr>
              <w:jc w:val="right"/>
              <w:textAlignment w:val="center"/>
            </w:pPr>
            <w:r>
              <w:rPr>
                <w:rFonts w:ascii="Arial" w:eastAsia="宋体" w:hAnsi="Arial" w:cs="Arial"/>
                <w:color w:val="000000"/>
                <w:sz w:val="14"/>
                <w:szCs w:val="14"/>
              </w:rPr>
              <w:t>753 </w:t>
            </w:r>
          </w:p>
        </w:tc>
        <w:tc>
          <w:tcPr>
            <w:tcW w:w="0" w:type="auto"/>
            <w:shd w:val="clear" w:color="auto" w:fill="CCEEFF"/>
            <w:tcMar>
              <w:top w:w="40" w:type="dxa"/>
              <w:left w:w="0" w:type="dxa"/>
              <w:bottom w:w="40" w:type="dxa"/>
              <w:right w:w="20" w:type="dxa"/>
            </w:tcMar>
            <w:vAlign w:val="center"/>
          </w:tcPr>
          <w:p w14:paraId="5F2D2D4C" w14:textId="77777777" w:rsidR="00E836FB" w:rsidRDefault="00E836FB">
            <w:pPr>
              <w:jc w:val="right"/>
              <w:rPr>
                <w:rFonts w:ascii="宋体"/>
              </w:rPr>
            </w:pPr>
          </w:p>
        </w:tc>
      </w:tr>
      <w:tr w:rsidR="00E836FB" w14:paraId="5F2D2D5B" w14:textId="77777777">
        <w:trPr>
          <w:trHeight w:val="280"/>
        </w:trPr>
        <w:tc>
          <w:tcPr>
            <w:tcW w:w="0" w:type="auto"/>
            <w:gridSpan w:val="3"/>
            <w:shd w:val="clear" w:color="auto" w:fill="FFFFFF"/>
            <w:tcMar>
              <w:top w:w="0" w:type="dxa"/>
              <w:left w:w="20" w:type="dxa"/>
              <w:bottom w:w="0" w:type="dxa"/>
              <w:right w:w="20" w:type="dxa"/>
            </w:tcMar>
            <w:vAlign w:val="bottom"/>
          </w:tcPr>
          <w:p w14:paraId="5F2D2D4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4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D5A" w14:textId="77777777" w:rsidR="00E836FB" w:rsidRDefault="00E836FB">
            <w:pPr>
              <w:rPr>
                <w:rFonts w:ascii="宋体"/>
              </w:rPr>
            </w:pPr>
          </w:p>
        </w:tc>
      </w:tr>
      <w:tr w:rsidR="00E836FB" w14:paraId="5F2D2D69" w14:textId="77777777">
        <w:trPr>
          <w:hidden/>
        </w:trPr>
        <w:tc>
          <w:tcPr>
            <w:tcW w:w="0" w:type="auto"/>
            <w:gridSpan w:val="3"/>
            <w:shd w:val="clear" w:color="auto" w:fill="auto"/>
            <w:vAlign w:val="bottom"/>
          </w:tcPr>
          <w:p w14:paraId="5F2D2D5C" w14:textId="77777777" w:rsidR="00E836FB" w:rsidRDefault="00E836FB">
            <w:pPr>
              <w:rPr>
                <w:rFonts w:ascii="宋体"/>
                <w:vanish/>
              </w:rPr>
            </w:pPr>
          </w:p>
        </w:tc>
        <w:tc>
          <w:tcPr>
            <w:tcW w:w="0" w:type="auto"/>
            <w:gridSpan w:val="3"/>
            <w:shd w:val="clear" w:color="auto" w:fill="auto"/>
            <w:vAlign w:val="bottom"/>
          </w:tcPr>
          <w:p w14:paraId="5F2D2D5D" w14:textId="77777777" w:rsidR="00E836FB" w:rsidRDefault="00E836FB">
            <w:pPr>
              <w:rPr>
                <w:rFonts w:ascii="宋体"/>
                <w:vanish/>
              </w:rPr>
            </w:pPr>
          </w:p>
        </w:tc>
        <w:tc>
          <w:tcPr>
            <w:tcW w:w="0" w:type="auto"/>
            <w:gridSpan w:val="3"/>
            <w:shd w:val="clear" w:color="auto" w:fill="auto"/>
            <w:vAlign w:val="bottom"/>
          </w:tcPr>
          <w:p w14:paraId="5F2D2D5E" w14:textId="77777777" w:rsidR="00E836FB" w:rsidRDefault="00E836FB">
            <w:pPr>
              <w:rPr>
                <w:rFonts w:ascii="宋体"/>
                <w:vanish/>
              </w:rPr>
            </w:pPr>
          </w:p>
        </w:tc>
        <w:tc>
          <w:tcPr>
            <w:tcW w:w="0" w:type="auto"/>
            <w:gridSpan w:val="3"/>
            <w:shd w:val="clear" w:color="auto" w:fill="auto"/>
            <w:vAlign w:val="bottom"/>
          </w:tcPr>
          <w:p w14:paraId="5F2D2D5F" w14:textId="77777777" w:rsidR="00E836FB" w:rsidRDefault="00E836FB">
            <w:pPr>
              <w:rPr>
                <w:rFonts w:ascii="宋体"/>
                <w:vanish/>
              </w:rPr>
            </w:pPr>
          </w:p>
        </w:tc>
        <w:tc>
          <w:tcPr>
            <w:tcW w:w="0" w:type="auto"/>
            <w:gridSpan w:val="3"/>
            <w:shd w:val="clear" w:color="auto" w:fill="auto"/>
            <w:vAlign w:val="bottom"/>
          </w:tcPr>
          <w:p w14:paraId="5F2D2D60" w14:textId="77777777" w:rsidR="00E836FB" w:rsidRDefault="00E836FB">
            <w:pPr>
              <w:rPr>
                <w:rFonts w:ascii="宋体"/>
                <w:vanish/>
              </w:rPr>
            </w:pPr>
          </w:p>
        </w:tc>
        <w:tc>
          <w:tcPr>
            <w:tcW w:w="0" w:type="auto"/>
            <w:gridSpan w:val="3"/>
            <w:shd w:val="clear" w:color="auto" w:fill="auto"/>
            <w:vAlign w:val="bottom"/>
          </w:tcPr>
          <w:p w14:paraId="5F2D2D61" w14:textId="77777777" w:rsidR="00E836FB" w:rsidRDefault="00E836FB">
            <w:pPr>
              <w:rPr>
                <w:rFonts w:ascii="宋体"/>
                <w:vanish/>
              </w:rPr>
            </w:pPr>
          </w:p>
        </w:tc>
        <w:tc>
          <w:tcPr>
            <w:tcW w:w="0" w:type="auto"/>
            <w:gridSpan w:val="3"/>
            <w:shd w:val="clear" w:color="auto" w:fill="auto"/>
            <w:vAlign w:val="bottom"/>
          </w:tcPr>
          <w:p w14:paraId="5F2D2D62" w14:textId="77777777" w:rsidR="00E836FB" w:rsidRDefault="00E836FB">
            <w:pPr>
              <w:rPr>
                <w:rFonts w:ascii="宋体"/>
                <w:vanish/>
              </w:rPr>
            </w:pPr>
          </w:p>
        </w:tc>
        <w:tc>
          <w:tcPr>
            <w:tcW w:w="0" w:type="auto"/>
            <w:gridSpan w:val="3"/>
            <w:shd w:val="clear" w:color="auto" w:fill="auto"/>
            <w:vAlign w:val="bottom"/>
          </w:tcPr>
          <w:p w14:paraId="5F2D2D63" w14:textId="77777777" w:rsidR="00E836FB" w:rsidRDefault="00E836FB">
            <w:pPr>
              <w:rPr>
                <w:rFonts w:ascii="宋体"/>
                <w:vanish/>
              </w:rPr>
            </w:pPr>
          </w:p>
        </w:tc>
        <w:tc>
          <w:tcPr>
            <w:tcW w:w="0" w:type="auto"/>
            <w:gridSpan w:val="3"/>
            <w:shd w:val="clear" w:color="auto" w:fill="auto"/>
            <w:vAlign w:val="bottom"/>
          </w:tcPr>
          <w:p w14:paraId="5F2D2D64" w14:textId="77777777" w:rsidR="00E836FB" w:rsidRDefault="00E836FB">
            <w:pPr>
              <w:rPr>
                <w:rFonts w:ascii="宋体"/>
                <w:vanish/>
              </w:rPr>
            </w:pPr>
          </w:p>
        </w:tc>
        <w:tc>
          <w:tcPr>
            <w:tcW w:w="0" w:type="auto"/>
            <w:gridSpan w:val="3"/>
            <w:shd w:val="clear" w:color="auto" w:fill="auto"/>
            <w:vAlign w:val="bottom"/>
          </w:tcPr>
          <w:p w14:paraId="5F2D2D65" w14:textId="77777777" w:rsidR="00E836FB" w:rsidRDefault="00E836FB">
            <w:pPr>
              <w:rPr>
                <w:rFonts w:ascii="宋体"/>
                <w:vanish/>
              </w:rPr>
            </w:pPr>
          </w:p>
        </w:tc>
        <w:tc>
          <w:tcPr>
            <w:tcW w:w="0" w:type="auto"/>
            <w:gridSpan w:val="3"/>
            <w:shd w:val="clear" w:color="auto" w:fill="auto"/>
            <w:vAlign w:val="bottom"/>
          </w:tcPr>
          <w:p w14:paraId="5F2D2D66" w14:textId="77777777" w:rsidR="00E836FB" w:rsidRDefault="00E836FB">
            <w:pPr>
              <w:rPr>
                <w:rFonts w:ascii="宋体"/>
                <w:vanish/>
              </w:rPr>
            </w:pPr>
          </w:p>
        </w:tc>
        <w:tc>
          <w:tcPr>
            <w:tcW w:w="0" w:type="auto"/>
            <w:gridSpan w:val="3"/>
            <w:shd w:val="clear" w:color="auto" w:fill="auto"/>
            <w:vAlign w:val="bottom"/>
          </w:tcPr>
          <w:p w14:paraId="5F2D2D67" w14:textId="77777777" w:rsidR="00E836FB" w:rsidRDefault="00E836FB">
            <w:pPr>
              <w:rPr>
                <w:rFonts w:ascii="宋体"/>
                <w:vanish/>
              </w:rPr>
            </w:pPr>
          </w:p>
        </w:tc>
        <w:tc>
          <w:tcPr>
            <w:tcW w:w="0" w:type="auto"/>
            <w:gridSpan w:val="3"/>
            <w:shd w:val="clear" w:color="auto" w:fill="auto"/>
            <w:vAlign w:val="bottom"/>
          </w:tcPr>
          <w:p w14:paraId="5F2D2D68" w14:textId="77777777" w:rsidR="00E836FB" w:rsidRDefault="00E836FB">
            <w:pPr>
              <w:rPr>
                <w:rFonts w:ascii="宋体"/>
                <w:vanish/>
              </w:rPr>
            </w:pPr>
          </w:p>
        </w:tc>
      </w:tr>
      <w:tr w:rsidR="00E836FB" w14:paraId="5F2D2D77" w14:textId="77777777">
        <w:trPr>
          <w:hidden/>
        </w:trPr>
        <w:tc>
          <w:tcPr>
            <w:tcW w:w="0" w:type="auto"/>
            <w:gridSpan w:val="3"/>
            <w:shd w:val="clear" w:color="auto" w:fill="auto"/>
            <w:vAlign w:val="bottom"/>
          </w:tcPr>
          <w:p w14:paraId="5F2D2D6A" w14:textId="77777777" w:rsidR="00E836FB" w:rsidRDefault="00E836FB">
            <w:pPr>
              <w:rPr>
                <w:rFonts w:ascii="宋体"/>
                <w:vanish/>
              </w:rPr>
            </w:pPr>
          </w:p>
        </w:tc>
        <w:tc>
          <w:tcPr>
            <w:tcW w:w="0" w:type="auto"/>
            <w:gridSpan w:val="3"/>
            <w:shd w:val="clear" w:color="auto" w:fill="auto"/>
            <w:vAlign w:val="bottom"/>
          </w:tcPr>
          <w:p w14:paraId="5F2D2D6B" w14:textId="77777777" w:rsidR="00E836FB" w:rsidRDefault="00E836FB">
            <w:pPr>
              <w:rPr>
                <w:rFonts w:ascii="宋体"/>
                <w:vanish/>
              </w:rPr>
            </w:pPr>
          </w:p>
        </w:tc>
        <w:tc>
          <w:tcPr>
            <w:tcW w:w="0" w:type="auto"/>
            <w:gridSpan w:val="3"/>
            <w:shd w:val="clear" w:color="auto" w:fill="auto"/>
            <w:vAlign w:val="bottom"/>
          </w:tcPr>
          <w:p w14:paraId="5F2D2D6C" w14:textId="77777777" w:rsidR="00E836FB" w:rsidRDefault="00E836FB">
            <w:pPr>
              <w:rPr>
                <w:rFonts w:ascii="宋体"/>
                <w:vanish/>
              </w:rPr>
            </w:pPr>
          </w:p>
        </w:tc>
        <w:tc>
          <w:tcPr>
            <w:tcW w:w="0" w:type="auto"/>
            <w:gridSpan w:val="3"/>
            <w:shd w:val="clear" w:color="auto" w:fill="auto"/>
            <w:vAlign w:val="bottom"/>
          </w:tcPr>
          <w:p w14:paraId="5F2D2D6D" w14:textId="77777777" w:rsidR="00E836FB" w:rsidRDefault="00E836FB">
            <w:pPr>
              <w:rPr>
                <w:rFonts w:ascii="宋体"/>
                <w:vanish/>
              </w:rPr>
            </w:pPr>
          </w:p>
        </w:tc>
        <w:tc>
          <w:tcPr>
            <w:tcW w:w="0" w:type="auto"/>
            <w:gridSpan w:val="3"/>
            <w:shd w:val="clear" w:color="auto" w:fill="auto"/>
            <w:vAlign w:val="bottom"/>
          </w:tcPr>
          <w:p w14:paraId="5F2D2D6E" w14:textId="77777777" w:rsidR="00E836FB" w:rsidRDefault="00E836FB">
            <w:pPr>
              <w:rPr>
                <w:rFonts w:ascii="宋体"/>
                <w:vanish/>
              </w:rPr>
            </w:pPr>
          </w:p>
        </w:tc>
        <w:tc>
          <w:tcPr>
            <w:tcW w:w="0" w:type="auto"/>
            <w:gridSpan w:val="3"/>
            <w:shd w:val="clear" w:color="auto" w:fill="auto"/>
            <w:vAlign w:val="bottom"/>
          </w:tcPr>
          <w:p w14:paraId="5F2D2D6F" w14:textId="77777777" w:rsidR="00E836FB" w:rsidRDefault="00E836FB">
            <w:pPr>
              <w:rPr>
                <w:rFonts w:ascii="宋体"/>
                <w:vanish/>
              </w:rPr>
            </w:pPr>
          </w:p>
        </w:tc>
        <w:tc>
          <w:tcPr>
            <w:tcW w:w="0" w:type="auto"/>
            <w:gridSpan w:val="3"/>
            <w:shd w:val="clear" w:color="auto" w:fill="auto"/>
            <w:vAlign w:val="bottom"/>
          </w:tcPr>
          <w:p w14:paraId="5F2D2D70" w14:textId="77777777" w:rsidR="00E836FB" w:rsidRDefault="00E836FB">
            <w:pPr>
              <w:rPr>
                <w:rFonts w:ascii="宋体"/>
                <w:vanish/>
              </w:rPr>
            </w:pPr>
          </w:p>
        </w:tc>
        <w:tc>
          <w:tcPr>
            <w:tcW w:w="0" w:type="auto"/>
            <w:gridSpan w:val="3"/>
            <w:shd w:val="clear" w:color="auto" w:fill="auto"/>
            <w:vAlign w:val="bottom"/>
          </w:tcPr>
          <w:p w14:paraId="5F2D2D71" w14:textId="77777777" w:rsidR="00E836FB" w:rsidRDefault="00E836FB">
            <w:pPr>
              <w:rPr>
                <w:rFonts w:ascii="宋体"/>
                <w:vanish/>
              </w:rPr>
            </w:pPr>
          </w:p>
        </w:tc>
        <w:tc>
          <w:tcPr>
            <w:tcW w:w="0" w:type="auto"/>
            <w:gridSpan w:val="3"/>
            <w:shd w:val="clear" w:color="auto" w:fill="auto"/>
            <w:vAlign w:val="bottom"/>
          </w:tcPr>
          <w:p w14:paraId="5F2D2D72" w14:textId="77777777" w:rsidR="00E836FB" w:rsidRDefault="00E836FB">
            <w:pPr>
              <w:rPr>
                <w:rFonts w:ascii="宋体"/>
                <w:vanish/>
              </w:rPr>
            </w:pPr>
          </w:p>
        </w:tc>
        <w:tc>
          <w:tcPr>
            <w:tcW w:w="0" w:type="auto"/>
            <w:gridSpan w:val="3"/>
            <w:shd w:val="clear" w:color="auto" w:fill="auto"/>
            <w:vAlign w:val="bottom"/>
          </w:tcPr>
          <w:p w14:paraId="5F2D2D73" w14:textId="77777777" w:rsidR="00E836FB" w:rsidRDefault="00E836FB">
            <w:pPr>
              <w:rPr>
                <w:rFonts w:ascii="宋体"/>
                <w:vanish/>
              </w:rPr>
            </w:pPr>
          </w:p>
        </w:tc>
        <w:tc>
          <w:tcPr>
            <w:tcW w:w="0" w:type="auto"/>
            <w:gridSpan w:val="3"/>
            <w:shd w:val="clear" w:color="auto" w:fill="auto"/>
            <w:vAlign w:val="bottom"/>
          </w:tcPr>
          <w:p w14:paraId="5F2D2D74" w14:textId="77777777" w:rsidR="00E836FB" w:rsidRDefault="00E836FB">
            <w:pPr>
              <w:rPr>
                <w:rFonts w:ascii="宋体"/>
                <w:vanish/>
              </w:rPr>
            </w:pPr>
          </w:p>
        </w:tc>
        <w:tc>
          <w:tcPr>
            <w:tcW w:w="0" w:type="auto"/>
            <w:gridSpan w:val="3"/>
            <w:shd w:val="clear" w:color="auto" w:fill="auto"/>
            <w:vAlign w:val="bottom"/>
          </w:tcPr>
          <w:p w14:paraId="5F2D2D75" w14:textId="77777777" w:rsidR="00E836FB" w:rsidRDefault="00E836FB">
            <w:pPr>
              <w:rPr>
                <w:rFonts w:ascii="宋体"/>
                <w:vanish/>
              </w:rPr>
            </w:pPr>
          </w:p>
        </w:tc>
        <w:tc>
          <w:tcPr>
            <w:tcW w:w="0" w:type="auto"/>
            <w:gridSpan w:val="3"/>
            <w:shd w:val="clear" w:color="auto" w:fill="auto"/>
            <w:vAlign w:val="bottom"/>
          </w:tcPr>
          <w:p w14:paraId="5F2D2D76" w14:textId="77777777" w:rsidR="00E836FB" w:rsidRDefault="00E836FB">
            <w:pPr>
              <w:rPr>
                <w:rFonts w:ascii="宋体"/>
                <w:vanish/>
              </w:rPr>
            </w:pPr>
          </w:p>
        </w:tc>
      </w:tr>
      <w:tr w:rsidR="00E836FB" w14:paraId="5F2D2D85" w14:textId="77777777">
        <w:trPr>
          <w:hidden/>
        </w:trPr>
        <w:tc>
          <w:tcPr>
            <w:tcW w:w="0" w:type="auto"/>
            <w:gridSpan w:val="3"/>
            <w:shd w:val="clear" w:color="auto" w:fill="auto"/>
            <w:vAlign w:val="bottom"/>
          </w:tcPr>
          <w:p w14:paraId="5F2D2D78" w14:textId="77777777" w:rsidR="00E836FB" w:rsidRDefault="00E836FB">
            <w:pPr>
              <w:rPr>
                <w:rFonts w:ascii="宋体"/>
                <w:vanish/>
              </w:rPr>
            </w:pPr>
          </w:p>
        </w:tc>
        <w:tc>
          <w:tcPr>
            <w:tcW w:w="0" w:type="auto"/>
            <w:gridSpan w:val="3"/>
            <w:shd w:val="clear" w:color="auto" w:fill="auto"/>
            <w:vAlign w:val="bottom"/>
          </w:tcPr>
          <w:p w14:paraId="5F2D2D79" w14:textId="77777777" w:rsidR="00E836FB" w:rsidRDefault="00E836FB">
            <w:pPr>
              <w:rPr>
                <w:rFonts w:ascii="宋体"/>
                <w:vanish/>
              </w:rPr>
            </w:pPr>
          </w:p>
        </w:tc>
        <w:tc>
          <w:tcPr>
            <w:tcW w:w="0" w:type="auto"/>
            <w:gridSpan w:val="3"/>
            <w:shd w:val="clear" w:color="auto" w:fill="auto"/>
            <w:vAlign w:val="bottom"/>
          </w:tcPr>
          <w:p w14:paraId="5F2D2D7A" w14:textId="77777777" w:rsidR="00E836FB" w:rsidRDefault="00E836FB">
            <w:pPr>
              <w:rPr>
                <w:rFonts w:ascii="宋体"/>
                <w:vanish/>
              </w:rPr>
            </w:pPr>
          </w:p>
        </w:tc>
        <w:tc>
          <w:tcPr>
            <w:tcW w:w="0" w:type="auto"/>
            <w:gridSpan w:val="3"/>
            <w:shd w:val="clear" w:color="auto" w:fill="auto"/>
            <w:vAlign w:val="bottom"/>
          </w:tcPr>
          <w:p w14:paraId="5F2D2D7B" w14:textId="77777777" w:rsidR="00E836FB" w:rsidRDefault="00E836FB">
            <w:pPr>
              <w:rPr>
                <w:rFonts w:ascii="宋体"/>
                <w:vanish/>
              </w:rPr>
            </w:pPr>
          </w:p>
        </w:tc>
        <w:tc>
          <w:tcPr>
            <w:tcW w:w="0" w:type="auto"/>
            <w:gridSpan w:val="3"/>
            <w:shd w:val="clear" w:color="auto" w:fill="auto"/>
            <w:vAlign w:val="bottom"/>
          </w:tcPr>
          <w:p w14:paraId="5F2D2D7C" w14:textId="77777777" w:rsidR="00E836FB" w:rsidRDefault="00E836FB">
            <w:pPr>
              <w:rPr>
                <w:rFonts w:ascii="宋体"/>
                <w:vanish/>
              </w:rPr>
            </w:pPr>
          </w:p>
        </w:tc>
        <w:tc>
          <w:tcPr>
            <w:tcW w:w="0" w:type="auto"/>
            <w:gridSpan w:val="3"/>
            <w:shd w:val="clear" w:color="auto" w:fill="auto"/>
            <w:vAlign w:val="bottom"/>
          </w:tcPr>
          <w:p w14:paraId="5F2D2D7D" w14:textId="77777777" w:rsidR="00E836FB" w:rsidRDefault="00E836FB">
            <w:pPr>
              <w:rPr>
                <w:rFonts w:ascii="宋体"/>
                <w:vanish/>
              </w:rPr>
            </w:pPr>
          </w:p>
        </w:tc>
        <w:tc>
          <w:tcPr>
            <w:tcW w:w="0" w:type="auto"/>
            <w:gridSpan w:val="3"/>
            <w:shd w:val="clear" w:color="auto" w:fill="auto"/>
            <w:vAlign w:val="bottom"/>
          </w:tcPr>
          <w:p w14:paraId="5F2D2D7E" w14:textId="77777777" w:rsidR="00E836FB" w:rsidRDefault="00E836FB">
            <w:pPr>
              <w:rPr>
                <w:rFonts w:ascii="宋体"/>
                <w:vanish/>
              </w:rPr>
            </w:pPr>
          </w:p>
        </w:tc>
        <w:tc>
          <w:tcPr>
            <w:tcW w:w="0" w:type="auto"/>
            <w:gridSpan w:val="3"/>
            <w:shd w:val="clear" w:color="auto" w:fill="auto"/>
            <w:vAlign w:val="bottom"/>
          </w:tcPr>
          <w:p w14:paraId="5F2D2D7F" w14:textId="77777777" w:rsidR="00E836FB" w:rsidRDefault="00E836FB">
            <w:pPr>
              <w:rPr>
                <w:rFonts w:ascii="宋体"/>
                <w:vanish/>
              </w:rPr>
            </w:pPr>
          </w:p>
        </w:tc>
        <w:tc>
          <w:tcPr>
            <w:tcW w:w="0" w:type="auto"/>
            <w:gridSpan w:val="3"/>
            <w:shd w:val="clear" w:color="auto" w:fill="auto"/>
            <w:vAlign w:val="bottom"/>
          </w:tcPr>
          <w:p w14:paraId="5F2D2D80" w14:textId="77777777" w:rsidR="00E836FB" w:rsidRDefault="00E836FB">
            <w:pPr>
              <w:rPr>
                <w:rFonts w:ascii="宋体"/>
                <w:vanish/>
              </w:rPr>
            </w:pPr>
          </w:p>
        </w:tc>
        <w:tc>
          <w:tcPr>
            <w:tcW w:w="0" w:type="auto"/>
            <w:gridSpan w:val="3"/>
            <w:shd w:val="clear" w:color="auto" w:fill="auto"/>
            <w:vAlign w:val="bottom"/>
          </w:tcPr>
          <w:p w14:paraId="5F2D2D81" w14:textId="77777777" w:rsidR="00E836FB" w:rsidRDefault="00E836FB">
            <w:pPr>
              <w:rPr>
                <w:rFonts w:ascii="宋体"/>
                <w:vanish/>
              </w:rPr>
            </w:pPr>
          </w:p>
        </w:tc>
        <w:tc>
          <w:tcPr>
            <w:tcW w:w="0" w:type="auto"/>
            <w:gridSpan w:val="3"/>
            <w:shd w:val="clear" w:color="auto" w:fill="auto"/>
            <w:vAlign w:val="bottom"/>
          </w:tcPr>
          <w:p w14:paraId="5F2D2D82" w14:textId="77777777" w:rsidR="00E836FB" w:rsidRDefault="00E836FB">
            <w:pPr>
              <w:rPr>
                <w:rFonts w:ascii="宋体"/>
                <w:vanish/>
              </w:rPr>
            </w:pPr>
          </w:p>
        </w:tc>
        <w:tc>
          <w:tcPr>
            <w:tcW w:w="0" w:type="auto"/>
            <w:gridSpan w:val="3"/>
            <w:shd w:val="clear" w:color="auto" w:fill="auto"/>
            <w:vAlign w:val="bottom"/>
          </w:tcPr>
          <w:p w14:paraId="5F2D2D83" w14:textId="77777777" w:rsidR="00E836FB" w:rsidRDefault="00E836FB">
            <w:pPr>
              <w:rPr>
                <w:rFonts w:ascii="宋体"/>
                <w:vanish/>
              </w:rPr>
            </w:pPr>
          </w:p>
        </w:tc>
        <w:tc>
          <w:tcPr>
            <w:tcW w:w="0" w:type="auto"/>
            <w:gridSpan w:val="3"/>
            <w:shd w:val="clear" w:color="auto" w:fill="auto"/>
            <w:vAlign w:val="bottom"/>
          </w:tcPr>
          <w:p w14:paraId="5F2D2D84" w14:textId="77777777" w:rsidR="00E836FB" w:rsidRDefault="00E836FB">
            <w:pPr>
              <w:rPr>
                <w:rFonts w:ascii="宋体"/>
                <w:vanish/>
              </w:rPr>
            </w:pPr>
          </w:p>
        </w:tc>
      </w:tr>
      <w:tr w:rsidR="00E836FB" w14:paraId="5F2D2D89" w14:textId="77777777">
        <w:tc>
          <w:tcPr>
            <w:tcW w:w="0" w:type="auto"/>
            <w:gridSpan w:val="33"/>
            <w:shd w:val="clear" w:color="auto" w:fill="CCEEFF"/>
            <w:tcMar>
              <w:top w:w="40" w:type="dxa"/>
              <w:left w:w="20" w:type="dxa"/>
              <w:bottom w:w="40" w:type="dxa"/>
              <w:right w:w="20" w:type="dxa"/>
            </w:tcMar>
            <w:vAlign w:val="center"/>
          </w:tcPr>
          <w:p w14:paraId="5F2D2D86" w14:textId="77777777" w:rsidR="00E836FB" w:rsidRDefault="00994958">
            <w:pPr>
              <w:textAlignment w:val="center"/>
            </w:pPr>
            <w:r>
              <w:rPr>
                <w:rFonts w:ascii="Arial" w:eastAsia="宋体" w:hAnsi="Arial" w:cs="Arial"/>
                <w:b/>
                <w:bCs/>
                <w:color w:val="000000"/>
                <w:sz w:val="14"/>
                <w:szCs w:val="14"/>
              </w:rPr>
              <w:t>Parent Company and Banking Subsidiaries</w:t>
            </w:r>
          </w:p>
        </w:tc>
        <w:tc>
          <w:tcPr>
            <w:tcW w:w="0" w:type="auto"/>
            <w:gridSpan w:val="3"/>
            <w:shd w:val="clear" w:color="auto" w:fill="CCEEFF"/>
            <w:tcMar>
              <w:top w:w="0" w:type="dxa"/>
              <w:left w:w="20" w:type="dxa"/>
              <w:bottom w:w="0" w:type="dxa"/>
              <w:right w:w="20" w:type="dxa"/>
            </w:tcMar>
            <w:vAlign w:val="bottom"/>
          </w:tcPr>
          <w:p w14:paraId="5F2D2D8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88" w14:textId="77777777" w:rsidR="00E836FB" w:rsidRDefault="00E836FB">
            <w:pPr>
              <w:rPr>
                <w:rFonts w:ascii="宋体"/>
              </w:rPr>
            </w:pPr>
          </w:p>
        </w:tc>
      </w:tr>
      <w:tr w:rsidR="00E836FB" w14:paraId="5F2D2D91" w14:textId="77777777">
        <w:tc>
          <w:tcPr>
            <w:tcW w:w="0" w:type="auto"/>
            <w:gridSpan w:val="27"/>
            <w:shd w:val="clear" w:color="auto" w:fill="FFFFFF"/>
            <w:tcMar>
              <w:top w:w="40" w:type="dxa"/>
              <w:left w:w="155" w:type="dxa"/>
              <w:bottom w:w="40" w:type="dxa"/>
              <w:right w:w="20" w:type="dxa"/>
            </w:tcMar>
            <w:vAlign w:val="center"/>
          </w:tcPr>
          <w:p w14:paraId="5F2D2D8A" w14:textId="77777777" w:rsidR="00E836FB" w:rsidRDefault="00994958">
            <w:pPr>
              <w:textAlignment w:val="center"/>
            </w:pPr>
            <w:r>
              <w:rPr>
                <w:rFonts w:ascii="Arial" w:eastAsia="宋体" w:hAnsi="Arial" w:cs="Arial"/>
                <w:color w:val="000000"/>
                <w:sz w:val="14"/>
                <w:szCs w:val="14"/>
              </w:rPr>
              <w:t>Long-term finance leases</w:t>
            </w:r>
          </w:p>
        </w:tc>
        <w:tc>
          <w:tcPr>
            <w:tcW w:w="0" w:type="auto"/>
            <w:gridSpan w:val="3"/>
            <w:shd w:val="clear" w:color="auto" w:fill="FFFFFF"/>
            <w:tcMar>
              <w:top w:w="0" w:type="dxa"/>
              <w:left w:w="20" w:type="dxa"/>
              <w:bottom w:w="0" w:type="dxa"/>
              <w:right w:w="20" w:type="dxa"/>
            </w:tcMar>
            <w:vAlign w:val="bottom"/>
          </w:tcPr>
          <w:p w14:paraId="5F2D2D8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8C" w14:textId="77777777" w:rsidR="00E836FB" w:rsidRDefault="00994958">
            <w:pPr>
              <w:jc w:val="right"/>
              <w:textAlignment w:val="center"/>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2D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D8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2D8F" w14:textId="77777777" w:rsidR="00E836FB" w:rsidRDefault="00994958">
            <w:pPr>
              <w:jc w:val="right"/>
              <w:textAlignment w:val="center"/>
            </w:pPr>
            <w:r>
              <w:rPr>
                <w:rFonts w:ascii="Arial" w:eastAsia="宋体" w:hAnsi="Arial" w:cs="Arial"/>
                <w:color w:val="000000"/>
                <w:sz w:val="14"/>
                <w:szCs w:val="14"/>
              </w:rPr>
              <w:t>103 </w:t>
            </w:r>
          </w:p>
        </w:tc>
        <w:tc>
          <w:tcPr>
            <w:tcW w:w="0" w:type="auto"/>
            <w:shd w:val="clear" w:color="auto" w:fill="FFFFFF"/>
            <w:tcMar>
              <w:top w:w="40" w:type="dxa"/>
              <w:left w:w="0" w:type="dxa"/>
              <w:bottom w:w="40" w:type="dxa"/>
              <w:right w:w="20" w:type="dxa"/>
            </w:tcMar>
            <w:vAlign w:val="center"/>
          </w:tcPr>
          <w:p w14:paraId="5F2D2D90" w14:textId="77777777" w:rsidR="00E836FB" w:rsidRDefault="00E836FB">
            <w:pPr>
              <w:jc w:val="right"/>
              <w:rPr>
                <w:rFonts w:ascii="宋体"/>
              </w:rPr>
            </w:pPr>
          </w:p>
        </w:tc>
      </w:tr>
      <w:tr w:rsidR="00E836FB" w14:paraId="5F2D2DB3" w14:textId="77777777">
        <w:trPr>
          <w:hidden/>
        </w:trPr>
        <w:tc>
          <w:tcPr>
            <w:tcW w:w="0" w:type="auto"/>
            <w:gridSpan w:val="3"/>
            <w:shd w:val="clear" w:color="auto" w:fill="auto"/>
            <w:vAlign w:val="bottom"/>
          </w:tcPr>
          <w:p w14:paraId="5F2D2D92" w14:textId="77777777" w:rsidR="00E836FB" w:rsidRDefault="00E836FB">
            <w:pPr>
              <w:rPr>
                <w:rFonts w:ascii="宋体"/>
                <w:vanish/>
              </w:rPr>
            </w:pPr>
          </w:p>
        </w:tc>
        <w:tc>
          <w:tcPr>
            <w:tcW w:w="0" w:type="auto"/>
            <w:gridSpan w:val="3"/>
            <w:shd w:val="clear" w:color="auto" w:fill="auto"/>
            <w:vAlign w:val="bottom"/>
          </w:tcPr>
          <w:p w14:paraId="5F2D2D93" w14:textId="77777777" w:rsidR="00E836FB" w:rsidRDefault="00E836FB">
            <w:pPr>
              <w:rPr>
                <w:rFonts w:ascii="宋体"/>
                <w:vanish/>
              </w:rPr>
            </w:pPr>
          </w:p>
        </w:tc>
        <w:tc>
          <w:tcPr>
            <w:tcW w:w="0" w:type="auto"/>
            <w:gridSpan w:val="3"/>
            <w:shd w:val="clear" w:color="auto" w:fill="auto"/>
            <w:vAlign w:val="bottom"/>
          </w:tcPr>
          <w:p w14:paraId="5F2D2D94" w14:textId="77777777" w:rsidR="00E836FB" w:rsidRDefault="00E836FB">
            <w:pPr>
              <w:rPr>
                <w:rFonts w:ascii="宋体"/>
                <w:vanish/>
              </w:rPr>
            </w:pPr>
          </w:p>
        </w:tc>
        <w:tc>
          <w:tcPr>
            <w:tcW w:w="0" w:type="auto"/>
            <w:shd w:val="clear" w:color="auto" w:fill="auto"/>
            <w:vAlign w:val="bottom"/>
          </w:tcPr>
          <w:p w14:paraId="5F2D2D95" w14:textId="77777777" w:rsidR="00E836FB" w:rsidRDefault="00E836FB">
            <w:pPr>
              <w:rPr>
                <w:rFonts w:ascii="宋体"/>
              </w:rPr>
            </w:pPr>
          </w:p>
        </w:tc>
        <w:tc>
          <w:tcPr>
            <w:tcW w:w="0" w:type="auto"/>
            <w:shd w:val="clear" w:color="auto" w:fill="auto"/>
            <w:vAlign w:val="bottom"/>
          </w:tcPr>
          <w:p w14:paraId="5F2D2D96" w14:textId="77777777" w:rsidR="00E836FB" w:rsidRDefault="00E836FB">
            <w:pPr>
              <w:rPr>
                <w:rFonts w:ascii="宋体"/>
              </w:rPr>
            </w:pPr>
          </w:p>
        </w:tc>
        <w:tc>
          <w:tcPr>
            <w:tcW w:w="0" w:type="auto"/>
            <w:shd w:val="clear" w:color="auto" w:fill="auto"/>
            <w:vAlign w:val="bottom"/>
          </w:tcPr>
          <w:p w14:paraId="5F2D2D97" w14:textId="77777777" w:rsidR="00E836FB" w:rsidRDefault="00E836FB">
            <w:pPr>
              <w:rPr>
                <w:rFonts w:ascii="宋体"/>
              </w:rPr>
            </w:pPr>
          </w:p>
        </w:tc>
        <w:tc>
          <w:tcPr>
            <w:tcW w:w="0" w:type="auto"/>
            <w:shd w:val="clear" w:color="auto" w:fill="auto"/>
            <w:vAlign w:val="bottom"/>
          </w:tcPr>
          <w:p w14:paraId="5F2D2D98" w14:textId="77777777" w:rsidR="00E836FB" w:rsidRDefault="00E836FB">
            <w:pPr>
              <w:rPr>
                <w:rFonts w:ascii="宋体"/>
              </w:rPr>
            </w:pPr>
          </w:p>
        </w:tc>
        <w:tc>
          <w:tcPr>
            <w:tcW w:w="0" w:type="auto"/>
            <w:shd w:val="clear" w:color="auto" w:fill="auto"/>
            <w:vAlign w:val="bottom"/>
          </w:tcPr>
          <w:p w14:paraId="5F2D2D99" w14:textId="77777777" w:rsidR="00E836FB" w:rsidRDefault="00E836FB">
            <w:pPr>
              <w:rPr>
                <w:rFonts w:ascii="宋体"/>
              </w:rPr>
            </w:pPr>
          </w:p>
        </w:tc>
        <w:tc>
          <w:tcPr>
            <w:tcW w:w="0" w:type="auto"/>
            <w:shd w:val="clear" w:color="auto" w:fill="auto"/>
            <w:vAlign w:val="bottom"/>
          </w:tcPr>
          <w:p w14:paraId="5F2D2D9A" w14:textId="77777777" w:rsidR="00E836FB" w:rsidRDefault="00E836FB">
            <w:pPr>
              <w:rPr>
                <w:rFonts w:ascii="宋体"/>
              </w:rPr>
            </w:pPr>
          </w:p>
        </w:tc>
        <w:tc>
          <w:tcPr>
            <w:tcW w:w="0" w:type="auto"/>
            <w:shd w:val="clear" w:color="auto" w:fill="auto"/>
            <w:vAlign w:val="bottom"/>
          </w:tcPr>
          <w:p w14:paraId="5F2D2D9B" w14:textId="77777777" w:rsidR="00E836FB" w:rsidRDefault="00E836FB">
            <w:pPr>
              <w:rPr>
                <w:rFonts w:ascii="宋体"/>
              </w:rPr>
            </w:pPr>
          </w:p>
        </w:tc>
        <w:tc>
          <w:tcPr>
            <w:tcW w:w="0" w:type="auto"/>
            <w:shd w:val="clear" w:color="auto" w:fill="auto"/>
            <w:vAlign w:val="bottom"/>
          </w:tcPr>
          <w:p w14:paraId="5F2D2D9C" w14:textId="77777777" w:rsidR="00E836FB" w:rsidRDefault="00E836FB">
            <w:pPr>
              <w:rPr>
                <w:rFonts w:ascii="宋体"/>
              </w:rPr>
            </w:pPr>
          </w:p>
        </w:tc>
        <w:tc>
          <w:tcPr>
            <w:tcW w:w="0" w:type="auto"/>
            <w:shd w:val="clear" w:color="auto" w:fill="auto"/>
            <w:vAlign w:val="bottom"/>
          </w:tcPr>
          <w:p w14:paraId="5F2D2D9D" w14:textId="77777777" w:rsidR="00E836FB" w:rsidRDefault="00E836FB">
            <w:pPr>
              <w:rPr>
                <w:rFonts w:ascii="宋体"/>
              </w:rPr>
            </w:pPr>
          </w:p>
        </w:tc>
        <w:tc>
          <w:tcPr>
            <w:tcW w:w="0" w:type="auto"/>
            <w:shd w:val="clear" w:color="auto" w:fill="auto"/>
            <w:vAlign w:val="bottom"/>
          </w:tcPr>
          <w:p w14:paraId="5F2D2D9E" w14:textId="77777777" w:rsidR="00E836FB" w:rsidRDefault="00E836FB">
            <w:pPr>
              <w:rPr>
                <w:rFonts w:ascii="宋体"/>
              </w:rPr>
            </w:pPr>
          </w:p>
        </w:tc>
        <w:tc>
          <w:tcPr>
            <w:tcW w:w="0" w:type="auto"/>
            <w:shd w:val="clear" w:color="auto" w:fill="auto"/>
            <w:vAlign w:val="bottom"/>
          </w:tcPr>
          <w:p w14:paraId="5F2D2D9F" w14:textId="77777777" w:rsidR="00E836FB" w:rsidRDefault="00E836FB">
            <w:pPr>
              <w:rPr>
                <w:rFonts w:ascii="宋体"/>
              </w:rPr>
            </w:pPr>
          </w:p>
        </w:tc>
        <w:tc>
          <w:tcPr>
            <w:tcW w:w="0" w:type="auto"/>
            <w:shd w:val="clear" w:color="auto" w:fill="auto"/>
            <w:vAlign w:val="bottom"/>
          </w:tcPr>
          <w:p w14:paraId="5F2D2DA0" w14:textId="77777777" w:rsidR="00E836FB" w:rsidRDefault="00E836FB">
            <w:pPr>
              <w:rPr>
                <w:rFonts w:ascii="宋体"/>
              </w:rPr>
            </w:pPr>
          </w:p>
        </w:tc>
        <w:tc>
          <w:tcPr>
            <w:tcW w:w="0" w:type="auto"/>
            <w:shd w:val="clear" w:color="auto" w:fill="auto"/>
            <w:vAlign w:val="bottom"/>
          </w:tcPr>
          <w:p w14:paraId="5F2D2DA1" w14:textId="77777777" w:rsidR="00E836FB" w:rsidRDefault="00E836FB">
            <w:pPr>
              <w:rPr>
                <w:rFonts w:ascii="宋体"/>
              </w:rPr>
            </w:pPr>
          </w:p>
        </w:tc>
        <w:tc>
          <w:tcPr>
            <w:tcW w:w="0" w:type="auto"/>
            <w:shd w:val="clear" w:color="auto" w:fill="auto"/>
            <w:vAlign w:val="bottom"/>
          </w:tcPr>
          <w:p w14:paraId="5F2D2DA2" w14:textId="77777777" w:rsidR="00E836FB" w:rsidRDefault="00E836FB">
            <w:pPr>
              <w:rPr>
                <w:rFonts w:ascii="宋体"/>
              </w:rPr>
            </w:pPr>
          </w:p>
        </w:tc>
        <w:tc>
          <w:tcPr>
            <w:tcW w:w="0" w:type="auto"/>
            <w:shd w:val="clear" w:color="auto" w:fill="auto"/>
            <w:vAlign w:val="bottom"/>
          </w:tcPr>
          <w:p w14:paraId="5F2D2DA3" w14:textId="77777777" w:rsidR="00E836FB" w:rsidRDefault="00E836FB">
            <w:pPr>
              <w:rPr>
                <w:rFonts w:ascii="宋体"/>
              </w:rPr>
            </w:pPr>
          </w:p>
        </w:tc>
        <w:tc>
          <w:tcPr>
            <w:tcW w:w="0" w:type="auto"/>
            <w:shd w:val="clear" w:color="auto" w:fill="auto"/>
            <w:vAlign w:val="bottom"/>
          </w:tcPr>
          <w:p w14:paraId="5F2D2DA4" w14:textId="77777777" w:rsidR="00E836FB" w:rsidRDefault="00E836FB">
            <w:pPr>
              <w:rPr>
                <w:rFonts w:ascii="宋体"/>
              </w:rPr>
            </w:pPr>
          </w:p>
        </w:tc>
        <w:tc>
          <w:tcPr>
            <w:tcW w:w="0" w:type="auto"/>
            <w:shd w:val="clear" w:color="auto" w:fill="auto"/>
            <w:vAlign w:val="bottom"/>
          </w:tcPr>
          <w:p w14:paraId="5F2D2DA5" w14:textId="77777777" w:rsidR="00E836FB" w:rsidRDefault="00E836FB">
            <w:pPr>
              <w:rPr>
                <w:rFonts w:ascii="宋体"/>
              </w:rPr>
            </w:pPr>
          </w:p>
        </w:tc>
        <w:tc>
          <w:tcPr>
            <w:tcW w:w="0" w:type="auto"/>
            <w:shd w:val="clear" w:color="auto" w:fill="auto"/>
            <w:vAlign w:val="bottom"/>
          </w:tcPr>
          <w:p w14:paraId="5F2D2DA6" w14:textId="77777777" w:rsidR="00E836FB" w:rsidRDefault="00E836FB">
            <w:pPr>
              <w:rPr>
                <w:rFonts w:ascii="宋体"/>
              </w:rPr>
            </w:pPr>
          </w:p>
        </w:tc>
        <w:tc>
          <w:tcPr>
            <w:tcW w:w="0" w:type="auto"/>
            <w:shd w:val="clear" w:color="auto" w:fill="auto"/>
            <w:vAlign w:val="bottom"/>
          </w:tcPr>
          <w:p w14:paraId="5F2D2DA7" w14:textId="77777777" w:rsidR="00E836FB" w:rsidRDefault="00E836FB">
            <w:pPr>
              <w:rPr>
                <w:rFonts w:ascii="宋体"/>
              </w:rPr>
            </w:pPr>
          </w:p>
        </w:tc>
        <w:tc>
          <w:tcPr>
            <w:tcW w:w="0" w:type="auto"/>
            <w:shd w:val="clear" w:color="auto" w:fill="auto"/>
            <w:vAlign w:val="bottom"/>
          </w:tcPr>
          <w:p w14:paraId="5F2D2DA8" w14:textId="77777777" w:rsidR="00E836FB" w:rsidRDefault="00E836FB">
            <w:pPr>
              <w:rPr>
                <w:rFonts w:ascii="宋体"/>
              </w:rPr>
            </w:pPr>
          </w:p>
        </w:tc>
        <w:tc>
          <w:tcPr>
            <w:tcW w:w="0" w:type="auto"/>
            <w:shd w:val="clear" w:color="auto" w:fill="auto"/>
            <w:vAlign w:val="bottom"/>
          </w:tcPr>
          <w:p w14:paraId="5F2D2DA9" w14:textId="77777777" w:rsidR="00E836FB" w:rsidRDefault="00E836FB">
            <w:pPr>
              <w:rPr>
                <w:rFonts w:ascii="宋体"/>
              </w:rPr>
            </w:pPr>
          </w:p>
        </w:tc>
        <w:tc>
          <w:tcPr>
            <w:tcW w:w="0" w:type="auto"/>
            <w:shd w:val="clear" w:color="auto" w:fill="auto"/>
            <w:vAlign w:val="bottom"/>
          </w:tcPr>
          <w:p w14:paraId="5F2D2DAA" w14:textId="77777777" w:rsidR="00E836FB" w:rsidRDefault="00E836FB">
            <w:pPr>
              <w:rPr>
                <w:rFonts w:ascii="宋体"/>
              </w:rPr>
            </w:pPr>
          </w:p>
        </w:tc>
        <w:tc>
          <w:tcPr>
            <w:tcW w:w="0" w:type="auto"/>
            <w:shd w:val="clear" w:color="auto" w:fill="auto"/>
            <w:vAlign w:val="bottom"/>
          </w:tcPr>
          <w:p w14:paraId="5F2D2DAB" w14:textId="77777777" w:rsidR="00E836FB" w:rsidRDefault="00E836FB">
            <w:pPr>
              <w:rPr>
                <w:rFonts w:ascii="宋体"/>
              </w:rPr>
            </w:pPr>
          </w:p>
        </w:tc>
        <w:tc>
          <w:tcPr>
            <w:tcW w:w="0" w:type="auto"/>
            <w:shd w:val="clear" w:color="auto" w:fill="auto"/>
            <w:vAlign w:val="bottom"/>
          </w:tcPr>
          <w:p w14:paraId="5F2D2DAC" w14:textId="77777777" w:rsidR="00E836FB" w:rsidRDefault="00E836FB">
            <w:pPr>
              <w:rPr>
                <w:rFonts w:ascii="宋体"/>
              </w:rPr>
            </w:pPr>
          </w:p>
        </w:tc>
        <w:tc>
          <w:tcPr>
            <w:tcW w:w="0" w:type="auto"/>
            <w:shd w:val="clear" w:color="auto" w:fill="auto"/>
            <w:vAlign w:val="bottom"/>
          </w:tcPr>
          <w:p w14:paraId="5F2D2DAD" w14:textId="77777777" w:rsidR="00E836FB" w:rsidRDefault="00E836FB">
            <w:pPr>
              <w:rPr>
                <w:rFonts w:ascii="宋体"/>
              </w:rPr>
            </w:pPr>
          </w:p>
        </w:tc>
        <w:tc>
          <w:tcPr>
            <w:tcW w:w="0" w:type="auto"/>
            <w:shd w:val="clear" w:color="auto" w:fill="auto"/>
            <w:vAlign w:val="bottom"/>
          </w:tcPr>
          <w:p w14:paraId="5F2D2DAE" w14:textId="77777777" w:rsidR="00E836FB" w:rsidRDefault="00E836FB">
            <w:pPr>
              <w:rPr>
                <w:rFonts w:ascii="宋体"/>
              </w:rPr>
            </w:pPr>
          </w:p>
        </w:tc>
        <w:tc>
          <w:tcPr>
            <w:tcW w:w="0" w:type="auto"/>
            <w:shd w:val="clear" w:color="auto" w:fill="auto"/>
            <w:vAlign w:val="bottom"/>
          </w:tcPr>
          <w:p w14:paraId="5F2D2DAF" w14:textId="77777777" w:rsidR="00E836FB" w:rsidRDefault="00E836FB">
            <w:pPr>
              <w:rPr>
                <w:rFonts w:ascii="宋体"/>
              </w:rPr>
            </w:pPr>
          </w:p>
        </w:tc>
        <w:tc>
          <w:tcPr>
            <w:tcW w:w="0" w:type="auto"/>
            <w:shd w:val="clear" w:color="auto" w:fill="auto"/>
            <w:vAlign w:val="bottom"/>
          </w:tcPr>
          <w:p w14:paraId="5F2D2DB0" w14:textId="77777777" w:rsidR="00E836FB" w:rsidRDefault="00E836FB">
            <w:pPr>
              <w:rPr>
                <w:rFonts w:ascii="宋体"/>
              </w:rPr>
            </w:pPr>
          </w:p>
        </w:tc>
        <w:tc>
          <w:tcPr>
            <w:tcW w:w="0" w:type="auto"/>
            <w:shd w:val="clear" w:color="auto" w:fill="auto"/>
            <w:vAlign w:val="bottom"/>
          </w:tcPr>
          <w:p w14:paraId="5F2D2DB1" w14:textId="77777777" w:rsidR="00E836FB" w:rsidRDefault="00E836FB">
            <w:pPr>
              <w:rPr>
                <w:rFonts w:ascii="宋体"/>
              </w:rPr>
            </w:pPr>
          </w:p>
        </w:tc>
        <w:tc>
          <w:tcPr>
            <w:tcW w:w="0" w:type="auto"/>
            <w:shd w:val="clear" w:color="auto" w:fill="auto"/>
            <w:vAlign w:val="bottom"/>
          </w:tcPr>
          <w:p w14:paraId="5F2D2DB2" w14:textId="77777777" w:rsidR="00E836FB" w:rsidRDefault="00E836FB">
            <w:pPr>
              <w:rPr>
                <w:rFonts w:ascii="宋体"/>
              </w:rPr>
            </w:pPr>
          </w:p>
        </w:tc>
      </w:tr>
      <w:tr w:rsidR="00E836FB" w14:paraId="5F2D2DD5" w14:textId="77777777">
        <w:trPr>
          <w:hidden/>
        </w:trPr>
        <w:tc>
          <w:tcPr>
            <w:tcW w:w="0" w:type="auto"/>
            <w:gridSpan w:val="3"/>
            <w:shd w:val="clear" w:color="auto" w:fill="auto"/>
            <w:vAlign w:val="bottom"/>
          </w:tcPr>
          <w:p w14:paraId="5F2D2DB4" w14:textId="77777777" w:rsidR="00E836FB" w:rsidRDefault="00E836FB">
            <w:pPr>
              <w:rPr>
                <w:rFonts w:ascii="宋体"/>
                <w:vanish/>
              </w:rPr>
            </w:pPr>
          </w:p>
        </w:tc>
        <w:tc>
          <w:tcPr>
            <w:tcW w:w="0" w:type="auto"/>
            <w:gridSpan w:val="3"/>
            <w:shd w:val="clear" w:color="auto" w:fill="auto"/>
            <w:vAlign w:val="bottom"/>
          </w:tcPr>
          <w:p w14:paraId="5F2D2DB5" w14:textId="77777777" w:rsidR="00E836FB" w:rsidRDefault="00E836FB">
            <w:pPr>
              <w:rPr>
                <w:rFonts w:ascii="宋体"/>
                <w:vanish/>
              </w:rPr>
            </w:pPr>
          </w:p>
        </w:tc>
        <w:tc>
          <w:tcPr>
            <w:tcW w:w="0" w:type="auto"/>
            <w:gridSpan w:val="3"/>
            <w:shd w:val="clear" w:color="auto" w:fill="auto"/>
            <w:vAlign w:val="bottom"/>
          </w:tcPr>
          <w:p w14:paraId="5F2D2DB6" w14:textId="77777777" w:rsidR="00E836FB" w:rsidRDefault="00E836FB">
            <w:pPr>
              <w:rPr>
                <w:rFonts w:ascii="宋体"/>
                <w:vanish/>
              </w:rPr>
            </w:pPr>
          </w:p>
        </w:tc>
        <w:tc>
          <w:tcPr>
            <w:tcW w:w="0" w:type="auto"/>
            <w:shd w:val="clear" w:color="auto" w:fill="auto"/>
            <w:vAlign w:val="bottom"/>
          </w:tcPr>
          <w:p w14:paraId="5F2D2DB7" w14:textId="77777777" w:rsidR="00E836FB" w:rsidRDefault="00E836FB">
            <w:pPr>
              <w:rPr>
                <w:rFonts w:ascii="宋体"/>
              </w:rPr>
            </w:pPr>
          </w:p>
        </w:tc>
        <w:tc>
          <w:tcPr>
            <w:tcW w:w="0" w:type="auto"/>
            <w:shd w:val="clear" w:color="auto" w:fill="auto"/>
            <w:vAlign w:val="bottom"/>
          </w:tcPr>
          <w:p w14:paraId="5F2D2DB8" w14:textId="77777777" w:rsidR="00E836FB" w:rsidRDefault="00E836FB">
            <w:pPr>
              <w:rPr>
                <w:rFonts w:ascii="宋体"/>
              </w:rPr>
            </w:pPr>
          </w:p>
        </w:tc>
        <w:tc>
          <w:tcPr>
            <w:tcW w:w="0" w:type="auto"/>
            <w:shd w:val="clear" w:color="auto" w:fill="auto"/>
            <w:vAlign w:val="bottom"/>
          </w:tcPr>
          <w:p w14:paraId="5F2D2DB9" w14:textId="77777777" w:rsidR="00E836FB" w:rsidRDefault="00E836FB">
            <w:pPr>
              <w:rPr>
                <w:rFonts w:ascii="宋体"/>
              </w:rPr>
            </w:pPr>
          </w:p>
        </w:tc>
        <w:tc>
          <w:tcPr>
            <w:tcW w:w="0" w:type="auto"/>
            <w:shd w:val="clear" w:color="auto" w:fill="auto"/>
            <w:vAlign w:val="bottom"/>
          </w:tcPr>
          <w:p w14:paraId="5F2D2DBA" w14:textId="77777777" w:rsidR="00E836FB" w:rsidRDefault="00E836FB">
            <w:pPr>
              <w:rPr>
                <w:rFonts w:ascii="宋体"/>
              </w:rPr>
            </w:pPr>
          </w:p>
        </w:tc>
        <w:tc>
          <w:tcPr>
            <w:tcW w:w="0" w:type="auto"/>
            <w:shd w:val="clear" w:color="auto" w:fill="auto"/>
            <w:vAlign w:val="bottom"/>
          </w:tcPr>
          <w:p w14:paraId="5F2D2DBB" w14:textId="77777777" w:rsidR="00E836FB" w:rsidRDefault="00E836FB">
            <w:pPr>
              <w:rPr>
                <w:rFonts w:ascii="宋体"/>
              </w:rPr>
            </w:pPr>
          </w:p>
        </w:tc>
        <w:tc>
          <w:tcPr>
            <w:tcW w:w="0" w:type="auto"/>
            <w:shd w:val="clear" w:color="auto" w:fill="auto"/>
            <w:vAlign w:val="bottom"/>
          </w:tcPr>
          <w:p w14:paraId="5F2D2DBC" w14:textId="77777777" w:rsidR="00E836FB" w:rsidRDefault="00E836FB">
            <w:pPr>
              <w:rPr>
                <w:rFonts w:ascii="宋体"/>
              </w:rPr>
            </w:pPr>
          </w:p>
        </w:tc>
        <w:tc>
          <w:tcPr>
            <w:tcW w:w="0" w:type="auto"/>
            <w:shd w:val="clear" w:color="auto" w:fill="auto"/>
            <w:vAlign w:val="bottom"/>
          </w:tcPr>
          <w:p w14:paraId="5F2D2DBD" w14:textId="77777777" w:rsidR="00E836FB" w:rsidRDefault="00E836FB">
            <w:pPr>
              <w:rPr>
                <w:rFonts w:ascii="宋体"/>
              </w:rPr>
            </w:pPr>
          </w:p>
        </w:tc>
        <w:tc>
          <w:tcPr>
            <w:tcW w:w="0" w:type="auto"/>
            <w:shd w:val="clear" w:color="auto" w:fill="auto"/>
            <w:vAlign w:val="bottom"/>
          </w:tcPr>
          <w:p w14:paraId="5F2D2DBE" w14:textId="77777777" w:rsidR="00E836FB" w:rsidRDefault="00E836FB">
            <w:pPr>
              <w:rPr>
                <w:rFonts w:ascii="宋体"/>
              </w:rPr>
            </w:pPr>
          </w:p>
        </w:tc>
        <w:tc>
          <w:tcPr>
            <w:tcW w:w="0" w:type="auto"/>
            <w:shd w:val="clear" w:color="auto" w:fill="auto"/>
            <w:vAlign w:val="bottom"/>
          </w:tcPr>
          <w:p w14:paraId="5F2D2DBF" w14:textId="77777777" w:rsidR="00E836FB" w:rsidRDefault="00E836FB">
            <w:pPr>
              <w:rPr>
                <w:rFonts w:ascii="宋体"/>
              </w:rPr>
            </w:pPr>
          </w:p>
        </w:tc>
        <w:tc>
          <w:tcPr>
            <w:tcW w:w="0" w:type="auto"/>
            <w:shd w:val="clear" w:color="auto" w:fill="auto"/>
            <w:vAlign w:val="bottom"/>
          </w:tcPr>
          <w:p w14:paraId="5F2D2DC0" w14:textId="77777777" w:rsidR="00E836FB" w:rsidRDefault="00E836FB">
            <w:pPr>
              <w:rPr>
                <w:rFonts w:ascii="宋体"/>
              </w:rPr>
            </w:pPr>
          </w:p>
        </w:tc>
        <w:tc>
          <w:tcPr>
            <w:tcW w:w="0" w:type="auto"/>
            <w:shd w:val="clear" w:color="auto" w:fill="auto"/>
            <w:vAlign w:val="bottom"/>
          </w:tcPr>
          <w:p w14:paraId="5F2D2DC1" w14:textId="77777777" w:rsidR="00E836FB" w:rsidRDefault="00E836FB">
            <w:pPr>
              <w:rPr>
                <w:rFonts w:ascii="宋体"/>
              </w:rPr>
            </w:pPr>
          </w:p>
        </w:tc>
        <w:tc>
          <w:tcPr>
            <w:tcW w:w="0" w:type="auto"/>
            <w:shd w:val="clear" w:color="auto" w:fill="auto"/>
            <w:vAlign w:val="bottom"/>
          </w:tcPr>
          <w:p w14:paraId="5F2D2DC2" w14:textId="77777777" w:rsidR="00E836FB" w:rsidRDefault="00E836FB">
            <w:pPr>
              <w:rPr>
                <w:rFonts w:ascii="宋体"/>
              </w:rPr>
            </w:pPr>
          </w:p>
        </w:tc>
        <w:tc>
          <w:tcPr>
            <w:tcW w:w="0" w:type="auto"/>
            <w:shd w:val="clear" w:color="auto" w:fill="auto"/>
            <w:vAlign w:val="bottom"/>
          </w:tcPr>
          <w:p w14:paraId="5F2D2DC3" w14:textId="77777777" w:rsidR="00E836FB" w:rsidRDefault="00E836FB">
            <w:pPr>
              <w:rPr>
                <w:rFonts w:ascii="宋体"/>
              </w:rPr>
            </w:pPr>
          </w:p>
        </w:tc>
        <w:tc>
          <w:tcPr>
            <w:tcW w:w="0" w:type="auto"/>
            <w:shd w:val="clear" w:color="auto" w:fill="auto"/>
            <w:vAlign w:val="bottom"/>
          </w:tcPr>
          <w:p w14:paraId="5F2D2DC4" w14:textId="77777777" w:rsidR="00E836FB" w:rsidRDefault="00E836FB">
            <w:pPr>
              <w:rPr>
                <w:rFonts w:ascii="宋体"/>
              </w:rPr>
            </w:pPr>
          </w:p>
        </w:tc>
        <w:tc>
          <w:tcPr>
            <w:tcW w:w="0" w:type="auto"/>
            <w:shd w:val="clear" w:color="auto" w:fill="auto"/>
            <w:vAlign w:val="bottom"/>
          </w:tcPr>
          <w:p w14:paraId="5F2D2DC5" w14:textId="77777777" w:rsidR="00E836FB" w:rsidRDefault="00E836FB">
            <w:pPr>
              <w:rPr>
                <w:rFonts w:ascii="宋体"/>
              </w:rPr>
            </w:pPr>
          </w:p>
        </w:tc>
        <w:tc>
          <w:tcPr>
            <w:tcW w:w="0" w:type="auto"/>
            <w:shd w:val="clear" w:color="auto" w:fill="auto"/>
            <w:vAlign w:val="bottom"/>
          </w:tcPr>
          <w:p w14:paraId="5F2D2DC6" w14:textId="77777777" w:rsidR="00E836FB" w:rsidRDefault="00E836FB">
            <w:pPr>
              <w:rPr>
                <w:rFonts w:ascii="宋体"/>
              </w:rPr>
            </w:pPr>
          </w:p>
        </w:tc>
        <w:tc>
          <w:tcPr>
            <w:tcW w:w="0" w:type="auto"/>
            <w:shd w:val="clear" w:color="auto" w:fill="auto"/>
            <w:vAlign w:val="bottom"/>
          </w:tcPr>
          <w:p w14:paraId="5F2D2DC7" w14:textId="77777777" w:rsidR="00E836FB" w:rsidRDefault="00E836FB">
            <w:pPr>
              <w:rPr>
                <w:rFonts w:ascii="宋体"/>
              </w:rPr>
            </w:pPr>
          </w:p>
        </w:tc>
        <w:tc>
          <w:tcPr>
            <w:tcW w:w="0" w:type="auto"/>
            <w:shd w:val="clear" w:color="auto" w:fill="auto"/>
            <w:vAlign w:val="bottom"/>
          </w:tcPr>
          <w:p w14:paraId="5F2D2DC8" w14:textId="77777777" w:rsidR="00E836FB" w:rsidRDefault="00E836FB">
            <w:pPr>
              <w:rPr>
                <w:rFonts w:ascii="宋体"/>
              </w:rPr>
            </w:pPr>
          </w:p>
        </w:tc>
        <w:tc>
          <w:tcPr>
            <w:tcW w:w="0" w:type="auto"/>
            <w:shd w:val="clear" w:color="auto" w:fill="auto"/>
            <w:vAlign w:val="bottom"/>
          </w:tcPr>
          <w:p w14:paraId="5F2D2DC9" w14:textId="77777777" w:rsidR="00E836FB" w:rsidRDefault="00E836FB">
            <w:pPr>
              <w:rPr>
                <w:rFonts w:ascii="宋体"/>
              </w:rPr>
            </w:pPr>
          </w:p>
        </w:tc>
        <w:tc>
          <w:tcPr>
            <w:tcW w:w="0" w:type="auto"/>
            <w:shd w:val="clear" w:color="auto" w:fill="auto"/>
            <w:vAlign w:val="bottom"/>
          </w:tcPr>
          <w:p w14:paraId="5F2D2DCA" w14:textId="77777777" w:rsidR="00E836FB" w:rsidRDefault="00E836FB">
            <w:pPr>
              <w:rPr>
                <w:rFonts w:ascii="宋体"/>
              </w:rPr>
            </w:pPr>
          </w:p>
        </w:tc>
        <w:tc>
          <w:tcPr>
            <w:tcW w:w="0" w:type="auto"/>
            <w:shd w:val="clear" w:color="auto" w:fill="auto"/>
            <w:vAlign w:val="bottom"/>
          </w:tcPr>
          <w:p w14:paraId="5F2D2DCB" w14:textId="77777777" w:rsidR="00E836FB" w:rsidRDefault="00E836FB">
            <w:pPr>
              <w:rPr>
                <w:rFonts w:ascii="宋体"/>
              </w:rPr>
            </w:pPr>
          </w:p>
        </w:tc>
        <w:tc>
          <w:tcPr>
            <w:tcW w:w="0" w:type="auto"/>
            <w:shd w:val="clear" w:color="auto" w:fill="auto"/>
            <w:vAlign w:val="bottom"/>
          </w:tcPr>
          <w:p w14:paraId="5F2D2DCC" w14:textId="77777777" w:rsidR="00E836FB" w:rsidRDefault="00E836FB">
            <w:pPr>
              <w:rPr>
                <w:rFonts w:ascii="宋体"/>
              </w:rPr>
            </w:pPr>
          </w:p>
        </w:tc>
        <w:tc>
          <w:tcPr>
            <w:tcW w:w="0" w:type="auto"/>
            <w:shd w:val="clear" w:color="auto" w:fill="auto"/>
            <w:vAlign w:val="bottom"/>
          </w:tcPr>
          <w:p w14:paraId="5F2D2DCD" w14:textId="77777777" w:rsidR="00E836FB" w:rsidRDefault="00E836FB">
            <w:pPr>
              <w:rPr>
                <w:rFonts w:ascii="宋体"/>
              </w:rPr>
            </w:pPr>
          </w:p>
        </w:tc>
        <w:tc>
          <w:tcPr>
            <w:tcW w:w="0" w:type="auto"/>
            <w:shd w:val="clear" w:color="auto" w:fill="auto"/>
            <w:vAlign w:val="bottom"/>
          </w:tcPr>
          <w:p w14:paraId="5F2D2DCE" w14:textId="77777777" w:rsidR="00E836FB" w:rsidRDefault="00E836FB">
            <w:pPr>
              <w:rPr>
                <w:rFonts w:ascii="宋体"/>
              </w:rPr>
            </w:pPr>
          </w:p>
        </w:tc>
        <w:tc>
          <w:tcPr>
            <w:tcW w:w="0" w:type="auto"/>
            <w:shd w:val="clear" w:color="auto" w:fill="auto"/>
            <w:vAlign w:val="bottom"/>
          </w:tcPr>
          <w:p w14:paraId="5F2D2DCF" w14:textId="77777777" w:rsidR="00E836FB" w:rsidRDefault="00E836FB">
            <w:pPr>
              <w:rPr>
                <w:rFonts w:ascii="宋体"/>
              </w:rPr>
            </w:pPr>
          </w:p>
        </w:tc>
        <w:tc>
          <w:tcPr>
            <w:tcW w:w="0" w:type="auto"/>
            <w:shd w:val="clear" w:color="auto" w:fill="auto"/>
            <w:vAlign w:val="bottom"/>
          </w:tcPr>
          <w:p w14:paraId="5F2D2DD0" w14:textId="77777777" w:rsidR="00E836FB" w:rsidRDefault="00E836FB">
            <w:pPr>
              <w:rPr>
                <w:rFonts w:ascii="宋体"/>
              </w:rPr>
            </w:pPr>
          </w:p>
        </w:tc>
        <w:tc>
          <w:tcPr>
            <w:tcW w:w="0" w:type="auto"/>
            <w:shd w:val="clear" w:color="auto" w:fill="auto"/>
            <w:vAlign w:val="bottom"/>
          </w:tcPr>
          <w:p w14:paraId="5F2D2DD1" w14:textId="77777777" w:rsidR="00E836FB" w:rsidRDefault="00E836FB">
            <w:pPr>
              <w:rPr>
                <w:rFonts w:ascii="宋体"/>
              </w:rPr>
            </w:pPr>
          </w:p>
        </w:tc>
        <w:tc>
          <w:tcPr>
            <w:tcW w:w="0" w:type="auto"/>
            <w:shd w:val="clear" w:color="auto" w:fill="auto"/>
            <w:vAlign w:val="bottom"/>
          </w:tcPr>
          <w:p w14:paraId="5F2D2DD2" w14:textId="77777777" w:rsidR="00E836FB" w:rsidRDefault="00E836FB">
            <w:pPr>
              <w:rPr>
                <w:rFonts w:ascii="宋体"/>
              </w:rPr>
            </w:pPr>
          </w:p>
        </w:tc>
        <w:tc>
          <w:tcPr>
            <w:tcW w:w="0" w:type="auto"/>
            <w:shd w:val="clear" w:color="auto" w:fill="auto"/>
            <w:vAlign w:val="bottom"/>
          </w:tcPr>
          <w:p w14:paraId="5F2D2DD3" w14:textId="77777777" w:rsidR="00E836FB" w:rsidRDefault="00E836FB">
            <w:pPr>
              <w:rPr>
                <w:rFonts w:ascii="宋体"/>
              </w:rPr>
            </w:pPr>
          </w:p>
        </w:tc>
        <w:tc>
          <w:tcPr>
            <w:tcW w:w="0" w:type="auto"/>
            <w:shd w:val="clear" w:color="auto" w:fill="auto"/>
            <w:vAlign w:val="bottom"/>
          </w:tcPr>
          <w:p w14:paraId="5F2D2DD4" w14:textId="77777777" w:rsidR="00E836FB" w:rsidRDefault="00E836FB">
            <w:pPr>
              <w:rPr>
                <w:rFonts w:ascii="宋体"/>
              </w:rPr>
            </w:pPr>
          </w:p>
        </w:tc>
      </w:tr>
      <w:tr w:rsidR="00E836FB" w14:paraId="5F2D2DE3" w14:textId="77777777">
        <w:trPr>
          <w:hidden/>
        </w:trPr>
        <w:tc>
          <w:tcPr>
            <w:tcW w:w="0" w:type="auto"/>
            <w:gridSpan w:val="3"/>
            <w:shd w:val="clear" w:color="auto" w:fill="auto"/>
            <w:vAlign w:val="bottom"/>
          </w:tcPr>
          <w:p w14:paraId="5F2D2DD6" w14:textId="77777777" w:rsidR="00E836FB" w:rsidRDefault="00E836FB">
            <w:pPr>
              <w:rPr>
                <w:rFonts w:ascii="宋体"/>
                <w:vanish/>
              </w:rPr>
            </w:pPr>
          </w:p>
        </w:tc>
        <w:tc>
          <w:tcPr>
            <w:tcW w:w="0" w:type="auto"/>
            <w:gridSpan w:val="3"/>
            <w:shd w:val="clear" w:color="auto" w:fill="auto"/>
            <w:vAlign w:val="bottom"/>
          </w:tcPr>
          <w:p w14:paraId="5F2D2DD7" w14:textId="77777777" w:rsidR="00E836FB" w:rsidRDefault="00E836FB">
            <w:pPr>
              <w:rPr>
                <w:rFonts w:ascii="宋体"/>
                <w:vanish/>
              </w:rPr>
            </w:pPr>
          </w:p>
        </w:tc>
        <w:tc>
          <w:tcPr>
            <w:tcW w:w="0" w:type="auto"/>
            <w:gridSpan w:val="3"/>
            <w:shd w:val="clear" w:color="auto" w:fill="auto"/>
            <w:vAlign w:val="bottom"/>
          </w:tcPr>
          <w:p w14:paraId="5F2D2DD8" w14:textId="77777777" w:rsidR="00E836FB" w:rsidRDefault="00E836FB">
            <w:pPr>
              <w:rPr>
                <w:rFonts w:ascii="宋体"/>
                <w:vanish/>
              </w:rPr>
            </w:pPr>
          </w:p>
        </w:tc>
        <w:tc>
          <w:tcPr>
            <w:tcW w:w="0" w:type="auto"/>
            <w:gridSpan w:val="3"/>
            <w:shd w:val="clear" w:color="auto" w:fill="auto"/>
            <w:vAlign w:val="bottom"/>
          </w:tcPr>
          <w:p w14:paraId="5F2D2DD9" w14:textId="77777777" w:rsidR="00E836FB" w:rsidRDefault="00E836FB">
            <w:pPr>
              <w:rPr>
                <w:rFonts w:ascii="宋体"/>
                <w:vanish/>
              </w:rPr>
            </w:pPr>
          </w:p>
        </w:tc>
        <w:tc>
          <w:tcPr>
            <w:tcW w:w="0" w:type="auto"/>
            <w:gridSpan w:val="3"/>
            <w:shd w:val="clear" w:color="auto" w:fill="auto"/>
            <w:vAlign w:val="bottom"/>
          </w:tcPr>
          <w:p w14:paraId="5F2D2DDA" w14:textId="77777777" w:rsidR="00E836FB" w:rsidRDefault="00E836FB">
            <w:pPr>
              <w:rPr>
                <w:rFonts w:ascii="宋体"/>
                <w:vanish/>
              </w:rPr>
            </w:pPr>
          </w:p>
        </w:tc>
        <w:tc>
          <w:tcPr>
            <w:tcW w:w="0" w:type="auto"/>
            <w:gridSpan w:val="3"/>
            <w:shd w:val="clear" w:color="auto" w:fill="auto"/>
            <w:vAlign w:val="bottom"/>
          </w:tcPr>
          <w:p w14:paraId="5F2D2DDB" w14:textId="77777777" w:rsidR="00E836FB" w:rsidRDefault="00E836FB">
            <w:pPr>
              <w:rPr>
                <w:rFonts w:ascii="宋体"/>
                <w:vanish/>
              </w:rPr>
            </w:pPr>
          </w:p>
        </w:tc>
        <w:tc>
          <w:tcPr>
            <w:tcW w:w="0" w:type="auto"/>
            <w:gridSpan w:val="3"/>
            <w:shd w:val="clear" w:color="auto" w:fill="auto"/>
            <w:vAlign w:val="bottom"/>
          </w:tcPr>
          <w:p w14:paraId="5F2D2DDC" w14:textId="77777777" w:rsidR="00E836FB" w:rsidRDefault="00E836FB">
            <w:pPr>
              <w:rPr>
                <w:rFonts w:ascii="宋体"/>
                <w:vanish/>
              </w:rPr>
            </w:pPr>
          </w:p>
        </w:tc>
        <w:tc>
          <w:tcPr>
            <w:tcW w:w="0" w:type="auto"/>
            <w:gridSpan w:val="3"/>
            <w:shd w:val="clear" w:color="auto" w:fill="auto"/>
            <w:vAlign w:val="bottom"/>
          </w:tcPr>
          <w:p w14:paraId="5F2D2DDD" w14:textId="77777777" w:rsidR="00E836FB" w:rsidRDefault="00E836FB">
            <w:pPr>
              <w:rPr>
                <w:rFonts w:ascii="宋体"/>
                <w:vanish/>
              </w:rPr>
            </w:pPr>
          </w:p>
        </w:tc>
        <w:tc>
          <w:tcPr>
            <w:tcW w:w="0" w:type="auto"/>
            <w:gridSpan w:val="3"/>
            <w:shd w:val="clear" w:color="auto" w:fill="auto"/>
            <w:vAlign w:val="bottom"/>
          </w:tcPr>
          <w:p w14:paraId="5F2D2DDE" w14:textId="77777777" w:rsidR="00E836FB" w:rsidRDefault="00E836FB">
            <w:pPr>
              <w:rPr>
                <w:rFonts w:ascii="宋体"/>
                <w:vanish/>
              </w:rPr>
            </w:pPr>
          </w:p>
        </w:tc>
        <w:tc>
          <w:tcPr>
            <w:tcW w:w="0" w:type="auto"/>
            <w:gridSpan w:val="3"/>
            <w:shd w:val="clear" w:color="auto" w:fill="auto"/>
            <w:vAlign w:val="bottom"/>
          </w:tcPr>
          <w:p w14:paraId="5F2D2DDF" w14:textId="77777777" w:rsidR="00E836FB" w:rsidRDefault="00E836FB">
            <w:pPr>
              <w:rPr>
                <w:rFonts w:ascii="宋体"/>
                <w:vanish/>
              </w:rPr>
            </w:pPr>
          </w:p>
        </w:tc>
        <w:tc>
          <w:tcPr>
            <w:tcW w:w="0" w:type="auto"/>
            <w:gridSpan w:val="3"/>
            <w:shd w:val="clear" w:color="auto" w:fill="auto"/>
            <w:vAlign w:val="bottom"/>
          </w:tcPr>
          <w:p w14:paraId="5F2D2DE0" w14:textId="77777777" w:rsidR="00E836FB" w:rsidRDefault="00E836FB">
            <w:pPr>
              <w:rPr>
                <w:rFonts w:ascii="宋体"/>
                <w:vanish/>
              </w:rPr>
            </w:pPr>
          </w:p>
        </w:tc>
        <w:tc>
          <w:tcPr>
            <w:tcW w:w="0" w:type="auto"/>
            <w:gridSpan w:val="3"/>
            <w:shd w:val="clear" w:color="auto" w:fill="auto"/>
            <w:vAlign w:val="bottom"/>
          </w:tcPr>
          <w:p w14:paraId="5F2D2DE1" w14:textId="77777777" w:rsidR="00E836FB" w:rsidRDefault="00E836FB">
            <w:pPr>
              <w:rPr>
                <w:rFonts w:ascii="宋体"/>
                <w:vanish/>
              </w:rPr>
            </w:pPr>
          </w:p>
        </w:tc>
        <w:tc>
          <w:tcPr>
            <w:tcW w:w="0" w:type="auto"/>
            <w:gridSpan w:val="3"/>
            <w:shd w:val="clear" w:color="auto" w:fill="auto"/>
            <w:vAlign w:val="bottom"/>
          </w:tcPr>
          <w:p w14:paraId="5F2D2DE2" w14:textId="77777777" w:rsidR="00E836FB" w:rsidRDefault="00E836FB">
            <w:pPr>
              <w:rPr>
                <w:rFonts w:ascii="宋体"/>
                <w:vanish/>
              </w:rPr>
            </w:pPr>
          </w:p>
        </w:tc>
      </w:tr>
      <w:tr w:rsidR="00E836FB" w14:paraId="5F2D2DF5" w14:textId="77777777">
        <w:tc>
          <w:tcPr>
            <w:tcW w:w="0" w:type="auto"/>
            <w:gridSpan w:val="3"/>
            <w:shd w:val="clear" w:color="auto" w:fill="CCEEFF"/>
            <w:tcMar>
              <w:top w:w="40" w:type="dxa"/>
              <w:left w:w="20" w:type="dxa"/>
              <w:bottom w:w="40" w:type="dxa"/>
              <w:right w:w="20" w:type="dxa"/>
            </w:tcMar>
            <w:vAlign w:val="center"/>
          </w:tcPr>
          <w:p w14:paraId="5F2D2DE4" w14:textId="77777777" w:rsidR="00E836FB" w:rsidRDefault="00994958">
            <w:pPr>
              <w:textAlignment w:val="center"/>
            </w:pPr>
            <w:r>
              <w:rPr>
                <w:rFonts w:ascii="Arial" w:eastAsia="宋体" w:hAnsi="Arial" w:cs="Arial"/>
                <w:color w:val="000000"/>
                <w:sz w:val="14"/>
                <w:szCs w:val="14"/>
              </w:rPr>
              <w:t>Total long-term debt</w:t>
            </w:r>
          </w:p>
        </w:tc>
        <w:tc>
          <w:tcPr>
            <w:tcW w:w="0" w:type="auto"/>
            <w:gridSpan w:val="3"/>
            <w:shd w:val="clear" w:color="auto" w:fill="CCEEFF"/>
            <w:tcMar>
              <w:top w:w="0" w:type="dxa"/>
              <w:left w:w="20" w:type="dxa"/>
              <w:bottom w:w="0" w:type="dxa"/>
              <w:right w:w="20" w:type="dxa"/>
            </w:tcMar>
            <w:vAlign w:val="bottom"/>
          </w:tcPr>
          <w:p w14:paraId="5F2D2DE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DE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2DEE" w14:textId="77777777" w:rsidR="00E836FB" w:rsidRDefault="00994958">
            <w:pPr>
              <w:textAlignment w:val="center"/>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2DEF" w14:textId="77777777" w:rsidR="00E836FB" w:rsidRDefault="00994958">
            <w:pPr>
              <w:jc w:val="right"/>
              <w:textAlignment w:val="center"/>
            </w:pPr>
            <w:r>
              <w:rPr>
                <w:rFonts w:ascii="Arial" w:eastAsia="宋体" w:hAnsi="Arial" w:cs="Arial"/>
                <w:b/>
                <w:bCs/>
                <w:color w:val="000000"/>
                <w:sz w:val="14"/>
                <w:szCs w:val="14"/>
              </w:rPr>
              <w:t>13,475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2D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DF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F2D2DF2" w14:textId="77777777" w:rsidR="00E836FB" w:rsidRDefault="00994958">
            <w:pPr>
              <w:textAlignment w:val="center"/>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F2D2DF3" w14:textId="77777777" w:rsidR="00E836FB" w:rsidRDefault="00994958">
            <w:pPr>
              <w:jc w:val="right"/>
              <w:textAlignment w:val="center"/>
            </w:pPr>
            <w:r>
              <w:rPr>
                <w:rFonts w:ascii="Arial" w:eastAsia="宋体" w:hAnsi="Arial" w:cs="Arial"/>
                <w:color w:val="000000"/>
                <w:sz w:val="14"/>
                <w:szCs w:val="14"/>
              </w:rPr>
              <w:t>13,805 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F2D2DF4" w14:textId="77777777" w:rsidR="00E836FB" w:rsidRDefault="00E836FB">
            <w:pPr>
              <w:jc w:val="right"/>
              <w:rPr>
                <w:rFonts w:ascii="宋体"/>
              </w:rPr>
            </w:pPr>
          </w:p>
        </w:tc>
      </w:tr>
    </w:tbl>
    <w:p w14:paraId="5F2D2DF6" w14:textId="77777777" w:rsidR="00E836FB" w:rsidRDefault="00E836FB">
      <w:pPr>
        <w:rPr>
          <w:vanish/>
        </w:rPr>
      </w:pPr>
    </w:p>
    <w:tbl>
      <w:tblPr>
        <w:tblW w:w="10245" w:type="dxa"/>
        <w:tblCellMar>
          <w:top w:w="15" w:type="dxa"/>
          <w:left w:w="15" w:type="dxa"/>
          <w:bottom w:w="15" w:type="dxa"/>
          <w:right w:w="15" w:type="dxa"/>
        </w:tblCellMar>
        <w:tblLook w:val="04A0" w:firstRow="1" w:lastRow="0" w:firstColumn="1" w:lastColumn="0" w:noHBand="0" w:noVBand="1"/>
      </w:tblPr>
      <w:tblGrid>
        <w:gridCol w:w="36"/>
        <w:gridCol w:w="2804"/>
        <w:gridCol w:w="36"/>
        <w:gridCol w:w="36"/>
        <w:gridCol w:w="1930"/>
        <w:gridCol w:w="36"/>
        <w:gridCol w:w="36"/>
        <w:gridCol w:w="1930"/>
        <w:gridCol w:w="36"/>
        <w:gridCol w:w="36"/>
        <w:gridCol w:w="3293"/>
        <w:gridCol w:w="36"/>
      </w:tblGrid>
      <w:tr w:rsidR="00E836FB" w14:paraId="5F2D2E03" w14:textId="77777777">
        <w:tc>
          <w:tcPr>
            <w:tcW w:w="20" w:type="dxa"/>
            <w:shd w:val="clear" w:color="auto" w:fill="auto"/>
            <w:vAlign w:val="bottom"/>
          </w:tcPr>
          <w:p w14:paraId="5F2D2DF7" w14:textId="77777777" w:rsidR="00E836FB" w:rsidRDefault="00E836FB">
            <w:pPr>
              <w:rPr>
                <w:rFonts w:ascii="宋体"/>
              </w:rPr>
            </w:pPr>
          </w:p>
        </w:tc>
        <w:tc>
          <w:tcPr>
            <w:tcW w:w="2840" w:type="dxa"/>
            <w:shd w:val="clear" w:color="auto" w:fill="auto"/>
            <w:vAlign w:val="bottom"/>
          </w:tcPr>
          <w:p w14:paraId="5F2D2DF8" w14:textId="77777777" w:rsidR="00E836FB" w:rsidRDefault="00E836FB">
            <w:pPr>
              <w:rPr>
                <w:rFonts w:ascii="宋体"/>
              </w:rPr>
            </w:pPr>
          </w:p>
        </w:tc>
        <w:tc>
          <w:tcPr>
            <w:tcW w:w="20" w:type="dxa"/>
            <w:shd w:val="clear" w:color="auto" w:fill="auto"/>
            <w:vAlign w:val="bottom"/>
          </w:tcPr>
          <w:p w14:paraId="5F2D2DF9" w14:textId="77777777" w:rsidR="00E836FB" w:rsidRDefault="00E836FB">
            <w:pPr>
              <w:rPr>
                <w:rFonts w:ascii="宋体"/>
              </w:rPr>
            </w:pPr>
          </w:p>
        </w:tc>
        <w:tc>
          <w:tcPr>
            <w:tcW w:w="20" w:type="dxa"/>
            <w:shd w:val="clear" w:color="auto" w:fill="auto"/>
            <w:vAlign w:val="bottom"/>
          </w:tcPr>
          <w:p w14:paraId="5F2D2DFA" w14:textId="77777777" w:rsidR="00E836FB" w:rsidRDefault="00E836FB">
            <w:pPr>
              <w:rPr>
                <w:rFonts w:ascii="宋体"/>
              </w:rPr>
            </w:pPr>
          </w:p>
        </w:tc>
        <w:tc>
          <w:tcPr>
            <w:tcW w:w="1955" w:type="dxa"/>
            <w:shd w:val="clear" w:color="auto" w:fill="auto"/>
            <w:vAlign w:val="bottom"/>
          </w:tcPr>
          <w:p w14:paraId="5F2D2DFB" w14:textId="77777777" w:rsidR="00E836FB" w:rsidRDefault="00E836FB">
            <w:pPr>
              <w:rPr>
                <w:rFonts w:ascii="宋体"/>
              </w:rPr>
            </w:pPr>
          </w:p>
        </w:tc>
        <w:tc>
          <w:tcPr>
            <w:tcW w:w="20" w:type="dxa"/>
            <w:shd w:val="clear" w:color="auto" w:fill="auto"/>
            <w:vAlign w:val="bottom"/>
          </w:tcPr>
          <w:p w14:paraId="5F2D2DFC" w14:textId="77777777" w:rsidR="00E836FB" w:rsidRDefault="00E836FB">
            <w:pPr>
              <w:rPr>
                <w:rFonts w:ascii="宋体"/>
              </w:rPr>
            </w:pPr>
          </w:p>
        </w:tc>
        <w:tc>
          <w:tcPr>
            <w:tcW w:w="20" w:type="dxa"/>
            <w:shd w:val="clear" w:color="auto" w:fill="auto"/>
            <w:vAlign w:val="bottom"/>
          </w:tcPr>
          <w:p w14:paraId="5F2D2DFD" w14:textId="77777777" w:rsidR="00E836FB" w:rsidRDefault="00E836FB">
            <w:pPr>
              <w:rPr>
                <w:rFonts w:ascii="宋体"/>
              </w:rPr>
            </w:pPr>
          </w:p>
        </w:tc>
        <w:tc>
          <w:tcPr>
            <w:tcW w:w="1955" w:type="dxa"/>
            <w:shd w:val="clear" w:color="auto" w:fill="auto"/>
            <w:vAlign w:val="bottom"/>
          </w:tcPr>
          <w:p w14:paraId="5F2D2DFE" w14:textId="77777777" w:rsidR="00E836FB" w:rsidRDefault="00E836FB">
            <w:pPr>
              <w:rPr>
                <w:rFonts w:ascii="宋体"/>
              </w:rPr>
            </w:pPr>
          </w:p>
        </w:tc>
        <w:tc>
          <w:tcPr>
            <w:tcW w:w="20" w:type="dxa"/>
            <w:shd w:val="clear" w:color="auto" w:fill="auto"/>
            <w:vAlign w:val="bottom"/>
          </w:tcPr>
          <w:p w14:paraId="5F2D2DFF" w14:textId="77777777" w:rsidR="00E836FB" w:rsidRDefault="00E836FB">
            <w:pPr>
              <w:rPr>
                <w:rFonts w:ascii="宋体"/>
              </w:rPr>
            </w:pPr>
          </w:p>
        </w:tc>
        <w:tc>
          <w:tcPr>
            <w:tcW w:w="20" w:type="dxa"/>
            <w:shd w:val="clear" w:color="auto" w:fill="auto"/>
            <w:vAlign w:val="bottom"/>
          </w:tcPr>
          <w:p w14:paraId="5F2D2E00" w14:textId="77777777" w:rsidR="00E836FB" w:rsidRDefault="00E836FB">
            <w:pPr>
              <w:rPr>
                <w:rFonts w:ascii="宋体"/>
              </w:rPr>
            </w:pPr>
          </w:p>
        </w:tc>
        <w:tc>
          <w:tcPr>
            <w:tcW w:w="3335" w:type="dxa"/>
            <w:shd w:val="clear" w:color="auto" w:fill="auto"/>
            <w:vAlign w:val="bottom"/>
          </w:tcPr>
          <w:p w14:paraId="5F2D2E01" w14:textId="77777777" w:rsidR="00E836FB" w:rsidRDefault="00E836FB">
            <w:pPr>
              <w:rPr>
                <w:rFonts w:ascii="宋体"/>
              </w:rPr>
            </w:pPr>
          </w:p>
        </w:tc>
        <w:tc>
          <w:tcPr>
            <w:tcW w:w="20" w:type="dxa"/>
            <w:shd w:val="clear" w:color="auto" w:fill="auto"/>
            <w:vAlign w:val="bottom"/>
          </w:tcPr>
          <w:p w14:paraId="5F2D2E02" w14:textId="77777777" w:rsidR="00E836FB" w:rsidRDefault="00E836FB">
            <w:pPr>
              <w:rPr>
                <w:rFonts w:ascii="宋体"/>
              </w:rPr>
            </w:pPr>
          </w:p>
        </w:tc>
      </w:tr>
      <w:tr w:rsidR="00E836FB" w14:paraId="5F2D2E0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E0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E0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E0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E07" w14:textId="77777777" w:rsidR="00E836FB" w:rsidRDefault="00E836FB">
            <w:pPr>
              <w:rPr>
                <w:rFonts w:ascii="宋体"/>
              </w:rPr>
            </w:pPr>
          </w:p>
        </w:tc>
      </w:tr>
    </w:tbl>
    <w:p w14:paraId="5F2D2E09" w14:textId="77777777" w:rsidR="00E836FB" w:rsidRDefault="00994958">
      <w:pPr>
        <w:jc w:val="both"/>
      </w:pPr>
      <w:r>
        <w:rPr>
          <w:rFonts w:ascii="Arial" w:eastAsia="宋体" w:hAnsi="Arial" w:cs="Arial"/>
          <w:color w:val="000000"/>
          <w:sz w:val="7"/>
          <w:szCs w:val="7"/>
        </w:rPr>
        <w:t>(1)</w:t>
      </w:r>
      <w:r>
        <w:rPr>
          <w:rFonts w:ascii="Arial" w:eastAsia="宋体" w:hAnsi="Arial" w:cs="Arial"/>
          <w:color w:val="000000"/>
          <w:sz w:val="12"/>
          <w:szCs w:val="12"/>
        </w:rPr>
        <w:t xml:space="preserve"> We have entered into interest rate swap agreements, recorded as fair value hedges, to modify our interest expense on these senior and subordinated notes from a fixed rate to a floating rate. As of December 31, 2021 and 2020, the carrying value of long-ter</w:t>
      </w:r>
      <w:r>
        <w:rPr>
          <w:rFonts w:ascii="Arial" w:eastAsia="宋体" w:hAnsi="Arial" w:cs="Arial"/>
          <w:color w:val="000000"/>
          <w:sz w:val="12"/>
          <w:szCs w:val="12"/>
        </w:rPr>
        <w:t>m debt associated with these fair value hedges was $450 million and $691 million, respectively. Refer to Note 10 for additional information about fair value hedges.</w:t>
      </w:r>
    </w:p>
    <w:p w14:paraId="5F2D2E0A" w14:textId="77777777" w:rsidR="00E836FB" w:rsidRDefault="00994958">
      <w:pPr>
        <w:spacing w:before="20"/>
        <w:jc w:val="both"/>
      </w:pPr>
      <w:r>
        <w:rPr>
          <w:rFonts w:ascii="Arial" w:eastAsia="宋体" w:hAnsi="Arial" w:cs="Arial"/>
          <w:color w:val="000000"/>
          <w:sz w:val="7"/>
          <w:szCs w:val="7"/>
        </w:rPr>
        <w:t>(2)</w:t>
      </w:r>
      <w:r>
        <w:rPr>
          <w:rFonts w:ascii="Arial" w:eastAsia="宋体" w:hAnsi="Arial" w:cs="Arial"/>
          <w:color w:val="000000"/>
          <w:sz w:val="12"/>
          <w:szCs w:val="12"/>
        </w:rPr>
        <w:t xml:space="preserve"> The subordinated notes qualify for inclusion in tier 2 regulatory capital under current</w:t>
      </w:r>
      <w:r>
        <w:rPr>
          <w:rFonts w:ascii="Arial" w:eastAsia="宋体" w:hAnsi="Arial" w:cs="Arial"/>
          <w:color w:val="000000"/>
          <w:sz w:val="12"/>
          <w:szCs w:val="12"/>
        </w:rPr>
        <w:t xml:space="preserve"> federal regulatory capital guidelines.</w:t>
      </w:r>
    </w:p>
    <w:p w14:paraId="5F2D2E0B" w14:textId="77777777" w:rsidR="00E836FB" w:rsidRDefault="00994958">
      <w:pPr>
        <w:spacing w:before="20"/>
        <w:jc w:val="both"/>
      </w:pPr>
      <w:r>
        <w:rPr>
          <w:rFonts w:ascii="Arial" w:eastAsia="宋体" w:hAnsi="Arial" w:cs="Arial"/>
          <w:color w:val="000000"/>
          <w:sz w:val="7"/>
          <w:szCs w:val="7"/>
        </w:rPr>
        <w:t xml:space="preserve">(3) </w:t>
      </w:r>
      <w:r>
        <w:rPr>
          <w:rFonts w:ascii="Arial" w:eastAsia="宋体" w:hAnsi="Arial" w:cs="Arial"/>
          <w:color w:val="000000"/>
          <w:sz w:val="12"/>
          <w:szCs w:val="12"/>
        </w:rPr>
        <w:t>We may not redeem notes prior to their maturity.</w:t>
      </w:r>
    </w:p>
    <w:p w14:paraId="5F2D2E0C" w14:textId="77777777" w:rsidR="00E836FB" w:rsidRDefault="00994958">
      <w:pPr>
        <w:ind w:firstLine="450"/>
        <w:jc w:val="right"/>
      </w:pPr>
      <w:r>
        <w:rPr>
          <w:rFonts w:ascii="Arial" w:eastAsia="宋体" w:hAnsi="Arial" w:cs="Arial"/>
          <w:color w:val="000000"/>
          <w:sz w:val="18"/>
          <w:szCs w:val="18"/>
        </w:rPr>
        <w:t>State Street Corporation | 157</w:t>
      </w:r>
    </w:p>
    <w:p w14:paraId="5F2D2E0D" w14:textId="77777777" w:rsidR="00E836FB" w:rsidRDefault="00E836FB">
      <w:pPr>
        <w:ind w:firstLine="450"/>
        <w:jc w:val="center"/>
      </w:pPr>
    </w:p>
    <w:p w14:paraId="5F2D2E0E" w14:textId="77777777" w:rsidR="00E836FB" w:rsidRDefault="00994958">
      <w:r>
        <w:pict w14:anchorId="5F2D6E22">
          <v:rect id="_x0000_i1181" style="width:415.3pt;height:1.5pt" o:hralign="center" o:hrstd="t" o:hr="t" fillcolor="#a0a0a0" stroked="f"/>
        </w:pict>
      </w:r>
    </w:p>
    <w:p w14:paraId="5F2D2E0F" w14:textId="77777777" w:rsidR="00E836FB" w:rsidRDefault="00994958">
      <w:pPr>
        <w:ind w:firstLine="450"/>
        <w:jc w:val="center"/>
      </w:pPr>
      <w:r>
        <w:rPr>
          <w:rFonts w:ascii="Arial" w:eastAsia="宋体" w:hAnsi="Arial" w:cs="Arial"/>
          <w:b/>
          <w:bCs/>
          <w:color w:val="000000"/>
          <w:sz w:val="20"/>
          <w:szCs w:val="20"/>
        </w:rPr>
        <w:t>STATE STREET CORPORATION</w:t>
      </w:r>
    </w:p>
    <w:p w14:paraId="5F2D2E10"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2E11" w14:textId="77777777" w:rsidR="00E836FB" w:rsidRDefault="00994958">
      <w:pPr>
        <w:spacing w:before="60"/>
        <w:jc w:val="both"/>
        <w:textAlignment w:val="top"/>
      </w:pPr>
      <w:r>
        <w:rPr>
          <w:rFonts w:ascii="Arial" w:eastAsia="宋体" w:hAnsi="Arial" w:cs="Arial"/>
          <w:b/>
          <w:bCs/>
          <w:i/>
          <w:iCs/>
          <w:color w:val="000000"/>
          <w:sz w:val="20"/>
          <w:szCs w:val="20"/>
        </w:rPr>
        <w:t>Parent Company and Banking Subsidiaries</w:t>
      </w:r>
    </w:p>
    <w:p w14:paraId="5F2D2E12" w14:textId="77777777" w:rsidR="00E836FB" w:rsidRDefault="00994958">
      <w:pPr>
        <w:spacing w:before="60"/>
        <w:ind w:firstLine="450"/>
        <w:jc w:val="both"/>
        <w:textAlignment w:val="top"/>
      </w:pPr>
      <w:r>
        <w:rPr>
          <w:rFonts w:ascii="Arial" w:eastAsia="宋体" w:hAnsi="Arial" w:cs="Arial"/>
          <w:color w:val="000000"/>
          <w:sz w:val="20"/>
          <w:szCs w:val="20"/>
        </w:rPr>
        <w:t>As of December 31, 20</w:t>
      </w:r>
      <w:r>
        <w:rPr>
          <w:rFonts w:ascii="Arial" w:eastAsia="宋体" w:hAnsi="Arial" w:cs="Arial"/>
          <w:color w:val="000000"/>
          <w:sz w:val="20"/>
          <w:szCs w:val="20"/>
        </w:rPr>
        <w:t>21 and 2020, long-term finance leases included $164 million and $103 million, respectively, related to information technology equipment leases entered into in 2021 and our One Lincoln Street headquarters building and related underground parking garage. Ref</w:t>
      </w:r>
      <w:r>
        <w:rPr>
          <w:rFonts w:ascii="Arial" w:eastAsia="宋体" w:hAnsi="Arial" w:cs="Arial"/>
          <w:color w:val="000000"/>
          <w:sz w:val="20"/>
          <w:szCs w:val="20"/>
        </w:rPr>
        <w:t>er to Note 20 for additional information.</w:t>
      </w:r>
    </w:p>
    <w:p w14:paraId="5F2D2E13" w14:textId="77777777" w:rsidR="00E836FB" w:rsidRDefault="00994958">
      <w:pPr>
        <w:spacing w:before="180"/>
        <w:jc w:val="both"/>
        <w:textAlignment w:val="top"/>
      </w:pPr>
      <w:r>
        <w:rPr>
          <w:rFonts w:ascii="Arial" w:eastAsia="宋体" w:hAnsi="Arial" w:cs="Arial"/>
          <w:b/>
          <w:bCs/>
          <w:color w:val="000000"/>
          <w:sz w:val="20"/>
          <w:szCs w:val="20"/>
        </w:rPr>
        <w:t>Note 10. Derivative Financial Instruments</w:t>
      </w:r>
    </w:p>
    <w:p w14:paraId="5F2D2E14" w14:textId="77777777" w:rsidR="00E836FB" w:rsidRDefault="00994958">
      <w:pPr>
        <w:spacing w:before="60"/>
        <w:ind w:firstLine="450"/>
        <w:jc w:val="both"/>
        <w:textAlignment w:val="top"/>
      </w:pPr>
      <w:r>
        <w:rPr>
          <w:rFonts w:ascii="Arial" w:eastAsia="宋体" w:hAnsi="Arial" w:cs="Arial"/>
          <w:color w:val="000000"/>
          <w:sz w:val="20"/>
          <w:szCs w:val="20"/>
        </w:rPr>
        <w:t xml:space="preserve">We use derivative financial instruments to support our clients' needs and to manage our interest rate and currency risks. These financial instruments consist of FX </w:t>
      </w:r>
      <w:r>
        <w:rPr>
          <w:rFonts w:ascii="Arial" w:eastAsia="宋体" w:hAnsi="Arial" w:cs="Arial"/>
          <w:color w:val="000000"/>
          <w:sz w:val="20"/>
          <w:szCs w:val="20"/>
        </w:rPr>
        <w:t>contracts such as forwards, futures and options contracts; interest rate contracts such as interest rate swaps (cross currency and single currency) and futures; and other derivative contracts. Derivative instruments used for risk management purposes that a</w:t>
      </w:r>
      <w:r>
        <w:rPr>
          <w:rFonts w:ascii="Arial" w:eastAsia="宋体" w:hAnsi="Arial" w:cs="Arial"/>
          <w:color w:val="000000"/>
          <w:sz w:val="20"/>
          <w:szCs w:val="20"/>
        </w:rPr>
        <w:t>re highly effective in offsetting the risk being hedged are generally designated as hedging instruments in hedge accounting relationships, while others are economic hedges and not designated in hedge accounting relationships. Derivatives in hedge accountin</w:t>
      </w:r>
      <w:r>
        <w:rPr>
          <w:rFonts w:ascii="Arial" w:eastAsia="宋体" w:hAnsi="Arial" w:cs="Arial"/>
          <w:color w:val="000000"/>
          <w:sz w:val="20"/>
          <w:szCs w:val="20"/>
        </w:rPr>
        <w:t xml:space="preserve">g relationships are disclosed according to the type of hedge, such as, fair value, cash flow, or net investment. Derivatives designated as hedging instruments in hedge accounting relationships are carried at fair value with change in fair value recognized </w:t>
      </w:r>
      <w:r>
        <w:rPr>
          <w:rFonts w:ascii="Arial" w:eastAsia="宋体" w:hAnsi="Arial" w:cs="Arial"/>
          <w:color w:val="000000"/>
          <w:sz w:val="20"/>
          <w:szCs w:val="20"/>
        </w:rPr>
        <w:t>in the consolidated statement of income or other comprehensive income (OCI), as appropriate. Derivatives not designated in hedge accounting relationships include those derivatives entered into to support client needs and derivatives used to manage interest</w:t>
      </w:r>
      <w:r>
        <w:rPr>
          <w:rFonts w:ascii="Arial" w:eastAsia="宋体" w:hAnsi="Arial" w:cs="Arial"/>
          <w:color w:val="000000"/>
          <w:sz w:val="20"/>
          <w:szCs w:val="20"/>
        </w:rPr>
        <w:t xml:space="preserve"> rate or foreign currency risk associated with certain assets and liabilities. Such derivatives are carried at fair value with changes in fair value recognized in the consolidated statement of income.</w:t>
      </w:r>
    </w:p>
    <w:p w14:paraId="5F2D2E15" w14:textId="77777777" w:rsidR="00E836FB" w:rsidRDefault="00994958">
      <w:pPr>
        <w:spacing w:before="60"/>
        <w:jc w:val="both"/>
        <w:textAlignment w:val="top"/>
      </w:pPr>
      <w:r>
        <w:rPr>
          <w:rFonts w:ascii="Arial" w:eastAsia="宋体" w:hAnsi="Arial" w:cs="Arial"/>
          <w:b/>
          <w:bCs/>
          <w:i/>
          <w:iCs/>
          <w:color w:val="000000"/>
          <w:sz w:val="20"/>
          <w:szCs w:val="20"/>
        </w:rPr>
        <w:t>Derivatives Not Designated as Hedging Instruments</w:t>
      </w:r>
    </w:p>
    <w:p w14:paraId="5F2D2E16" w14:textId="77777777" w:rsidR="00E836FB" w:rsidRDefault="00994958">
      <w:pPr>
        <w:spacing w:before="60"/>
        <w:ind w:firstLine="450"/>
        <w:jc w:val="both"/>
        <w:textAlignment w:val="top"/>
      </w:pPr>
      <w:r>
        <w:rPr>
          <w:rFonts w:ascii="Arial" w:eastAsia="宋体" w:hAnsi="Arial" w:cs="Arial"/>
          <w:color w:val="000000"/>
          <w:sz w:val="20"/>
          <w:szCs w:val="20"/>
        </w:rPr>
        <w:t>We pr</w:t>
      </w:r>
      <w:r>
        <w:rPr>
          <w:rFonts w:ascii="Arial" w:eastAsia="宋体" w:hAnsi="Arial" w:cs="Arial"/>
          <w:color w:val="000000"/>
          <w:sz w:val="20"/>
          <w:szCs w:val="20"/>
        </w:rPr>
        <w:t>ovide foreign exchange forward contracts and options in support of our client needs, and also act as a dealer in the currency markets. As part of our trading activities, we assume positions in both the foreign exchange and interest rate markets by buying a</w:t>
      </w:r>
      <w:r>
        <w:rPr>
          <w:rFonts w:ascii="Arial" w:eastAsia="宋体" w:hAnsi="Arial" w:cs="Arial"/>
          <w:color w:val="000000"/>
          <w:sz w:val="20"/>
          <w:szCs w:val="20"/>
        </w:rPr>
        <w:t>nd selling cash instruments and using derivative financial instruments, including foreign exchange forward contracts, foreign exchange and interest rate options, interest rate forward contracts, and interest rate futures. The entire change in the fair valu</w:t>
      </w:r>
      <w:r>
        <w:rPr>
          <w:rFonts w:ascii="Arial" w:eastAsia="宋体" w:hAnsi="Arial" w:cs="Arial"/>
          <w:color w:val="000000"/>
          <w:sz w:val="20"/>
          <w:szCs w:val="20"/>
        </w:rPr>
        <w:t xml:space="preserve">e of our non-hedging derivatives utilized in our trading activities are recorded in foreign exchange trading services revenue, and the entire change in fair value of our non-hedging derivatives utilized in our asset-and-liability management activities are </w:t>
      </w:r>
      <w:r>
        <w:rPr>
          <w:rFonts w:ascii="Arial" w:eastAsia="宋体" w:hAnsi="Arial" w:cs="Arial"/>
          <w:color w:val="000000"/>
          <w:sz w:val="20"/>
          <w:szCs w:val="20"/>
        </w:rPr>
        <w:t>recorded in net interest income.</w:t>
      </w:r>
    </w:p>
    <w:p w14:paraId="5F2D2E17" w14:textId="77777777" w:rsidR="00E836FB" w:rsidRDefault="00994958">
      <w:pPr>
        <w:spacing w:before="60"/>
        <w:ind w:firstLine="450"/>
        <w:jc w:val="both"/>
        <w:textAlignment w:val="top"/>
      </w:pPr>
      <w:r>
        <w:rPr>
          <w:rFonts w:ascii="Arial" w:eastAsia="宋体" w:hAnsi="Arial" w:cs="Arial"/>
          <w:color w:val="000000"/>
          <w:sz w:val="20"/>
          <w:szCs w:val="20"/>
        </w:rPr>
        <w:t xml:space="preserve">We enter into stable value wrap derivative contracts with unaffiliated stable value funds that allow a stable value fund to provide book value coverage to its participants. These derivatives contracts qualify as guarantees </w:t>
      </w:r>
      <w:r>
        <w:rPr>
          <w:rFonts w:ascii="Arial" w:eastAsia="宋体" w:hAnsi="Arial" w:cs="Arial"/>
          <w:color w:val="000000"/>
          <w:sz w:val="20"/>
          <w:szCs w:val="20"/>
        </w:rPr>
        <w:t>as described in Note 12.</w:t>
      </w:r>
    </w:p>
    <w:p w14:paraId="5F2D2E18" w14:textId="77777777" w:rsidR="00E836FB" w:rsidRDefault="00994958">
      <w:pPr>
        <w:spacing w:before="60"/>
        <w:ind w:firstLine="450"/>
        <w:jc w:val="both"/>
        <w:textAlignment w:val="top"/>
      </w:pPr>
      <w:r>
        <w:rPr>
          <w:rFonts w:ascii="Arial" w:eastAsia="宋体" w:hAnsi="Arial" w:cs="Arial"/>
          <w:color w:val="000000"/>
          <w:sz w:val="20"/>
          <w:szCs w:val="20"/>
        </w:rPr>
        <w:t>We grant deferred cash awards to certain of our employees as part of our employee incentive compensation plans. We account for these awards as derivative financial instruments, as the underlying referenced shares are not equity ins</w:t>
      </w:r>
      <w:r>
        <w:rPr>
          <w:rFonts w:ascii="Arial" w:eastAsia="宋体" w:hAnsi="Arial" w:cs="Arial"/>
          <w:color w:val="000000"/>
          <w:sz w:val="20"/>
          <w:szCs w:val="20"/>
        </w:rPr>
        <w:t>truments of ours. The fair value of these derivatives is referenced to the value of units in State Street-sponsored investment funds or funds sponsored by other unrelated entities. We re-measure these derivatives to fair value quarterly, and record the cha</w:t>
      </w:r>
      <w:r>
        <w:rPr>
          <w:rFonts w:ascii="Arial" w:eastAsia="宋体" w:hAnsi="Arial" w:cs="Arial"/>
          <w:color w:val="000000"/>
          <w:sz w:val="20"/>
          <w:szCs w:val="20"/>
        </w:rPr>
        <w:t>nge in value in compensation and employee benefits expenses in our consolidated statement of income.</w:t>
      </w:r>
    </w:p>
    <w:p w14:paraId="5F2D2E19" w14:textId="77777777" w:rsidR="00E836FB" w:rsidRDefault="00994958">
      <w:pPr>
        <w:spacing w:before="60"/>
        <w:textAlignment w:val="top"/>
      </w:pPr>
      <w:r>
        <w:rPr>
          <w:rFonts w:ascii="Arial" w:eastAsia="宋体" w:hAnsi="Arial" w:cs="Arial"/>
          <w:b/>
          <w:bCs/>
          <w:i/>
          <w:iCs/>
          <w:color w:val="000000"/>
          <w:sz w:val="20"/>
          <w:szCs w:val="20"/>
        </w:rPr>
        <w:t>Derivatives Designated as Hedging Instruments</w:t>
      </w:r>
    </w:p>
    <w:p w14:paraId="5F2D2E1A" w14:textId="77777777" w:rsidR="00E836FB" w:rsidRDefault="00994958">
      <w:pPr>
        <w:spacing w:before="60"/>
        <w:ind w:firstLine="450"/>
        <w:jc w:val="both"/>
        <w:textAlignment w:val="top"/>
      </w:pPr>
      <w:r>
        <w:rPr>
          <w:rFonts w:ascii="Arial" w:eastAsia="宋体" w:hAnsi="Arial" w:cs="Arial"/>
          <w:color w:val="000000"/>
          <w:sz w:val="20"/>
          <w:szCs w:val="20"/>
        </w:rPr>
        <w:t xml:space="preserve">In connection with our asset-and-liability management activities, we use derivative financial instruments to </w:t>
      </w:r>
      <w:r>
        <w:rPr>
          <w:rFonts w:ascii="Arial" w:eastAsia="宋体" w:hAnsi="Arial" w:cs="Arial"/>
          <w:color w:val="000000"/>
          <w:sz w:val="20"/>
          <w:szCs w:val="20"/>
        </w:rPr>
        <w:t>manage our interest rate risk and foreign currency risk for certain assets and liabilities. At both the inception of the hedge and on an ongoing basis, we formally assess and document the effectiveness of a derivative designated in a hedging relationship a</w:t>
      </w:r>
      <w:r>
        <w:rPr>
          <w:rFonts w:ascii="Arial" w:eastAsia="宋体" w:hAnsi="Arial" w:cs="Arial"/>
          <w:color w:val="000000"/>
          <w:sz w:val="20"/>
          <w:szCs w:val="20"/>
        </w:rPr>
        <w:t>nd the likelihood that the derivative will be an effective hedge in future periods. We discontinue hedge accounting prospectively when we determine that the derivative is no longer highly effective in offsetting changes in fair value or cash flows of the u</w:t>
      </w:r>
      <w:r>
        <w:rPr>
          <w:rFonts w:ascii="Arial" w:eastAsia="宋体" w:hAnsi="Arial" w:cs="Arial"/>
          <w:color w:val="000000"/>
          <w:sz w:val="20"/>
          <w:szCs w:val="20"/>
        </w:rPr>
        <w:t>nderlying risk being hedged, the derivative expires, terminates or is sold, or management discontinues the hedge designation.</w:t>
      </w:r>
    </w:p>
    <w:p w14:paraId="5F2D2E1B" w14:textId="77777777" w:rsidR="00E836FB" w:rsidRDefault="00994958">
      <w:pPr>
        <w:spacing w:before="60"/>
        <w:ind w:firstLine="450"/>
        <w:jc w:val="both"/>
        <w:textAlignment w:val="top"/>
      </w:pPr>
      <w:r>
        <w:rPr>
          <w:rFonts w:ascii="Arial" w:eastAsia="宋体" w:hAnsi="Arial" w:cs="Arial"/>
          <w:color w:val="000000"/>
          <w:sz w:val="20"/>
          <w:szCs w:val="20"/>
        </w:rPr>
        <w:t>The risk management objective of a highly effective hedging strategy that qualifies for hedge accounting must be formally document</w:t>
      </w:r>
      <w:r>
        <w:rPr>
          <w:rFonts w:ascii="Arial" w:eastAsia="宋体" w:hAnsi="Arial" w:cs="Arial"/>
          <w:color w:val="000000"/>
          <w:sz w:val="20"/>
          <w:szCs w:val="20"/>
        </w:rPr>
        <w:t>ed. The hedge documentation includes the derivative hedging instrument, the asset or liability or forecasted transaction, type of risk being hedged and method for assessing hedge effectiveness of the derivative prospectively and retrospectively. We use qua</w:t>
      </w:r>
      <w:r>
        <w:rPr>
          <w:rFonts w:ascii="Arial" w:eastAsia="宋体" w:hAnsi="Arial" w:cs="Arial"/>
          <w:color w:val="000000"/>
          <w:sz w:val="20"/>
          <w:szCs w:val="20"/>
        </w:rPr>
        <w:t xml:space="preserve">ntitative methods including regression analysis and cumulative dollar offset method, comparing the change in the fair value of the derivative to the change in fair value or the cash flows of the hedged item. We may also utilize qualitative methods such as </w:t>
      </w:r>
      <w:r>
        <w:rPr>
          <w:rFonts w:ascii="Arial" w:eastAsia="宋体" w:hAnsi="Arial" w:cs="Arial"/>
          <w:color w:val="000000"/>
          <w:sz w:val="20"/>
          <w:szCs w:val="20"/>
        </w:rPr>
        <w:t>matching critical terms and evaluation of any changes in those critical terms. Effectiveness is assessed and documented quarterly and if determined that the derivative is not highly effective at hedging the designated risk hedge accounting is discontinued.</w:t>
      </w:r>
    </w:p>
    <w:p w14:paraId="5F2D2E1C" w14:textId="77777777" w:rsidR="00E836FB" w:rsidRDefault="00994958">
      <w:pPr>
        <w:ind w:firstLine="450"/>
        <w:jc w:val="right"/>
      </w:pPr>
      <w:r>
        <w:rPr>
          <w:rFonts w:ascii="Arial" w:eastAsia="宋体" w:hAnsi="Arial" w:cs="Arial"/>
          <w:color w:val="000000"/>
          <w:sz w:val="18"/>
          <w:szCs w:val="18"/>
        </w:rPr>
        <w:t>State Street Corporation | 158</w:t>
      </w:r>
    </w:p>
    <w:p w14:paraId="5F2D2E1D" w14:textId="77777777" w:rsidR="00E836FB" w:rsidRDefault="00E836FB">
      <w:pPr>
        <w:ind w:firstLine="450"/>
        <w:jc w:val="center"/>
      </w:pPr>
    </w:p>
    <w:p w14:paraId="5F2D2E1E" w14:textId="77777777" w:rsidR="00E836FB" w:rsidRDefault="00994958">
      <w:r>
        <w:pict w14:anchorId="5F2D6E23">
          <v:rect id="_x0000_i1182" style="width:415.3pt;height:1.5pt" o:hralign="center" o:hrstd="t" o:hr="t" fillcolor="#a0a0a0" stroked="f"/>
        </w:pict>
      </w:r>
    </w:p>
    <w:p w14:paraId="5F2D2E1F" w14:textId="77777777" w:rsidR="00E836FB" w:rsidRDefault="00994958">
      <w:pPr>
        <w:ind w:firstLine="450"/>
        <w:jc w:val="center"/>
      </w:pPr>
      <w:r>
        <w:rPr>
          <w:rFonts w:ascii="Arial" w:eastAsia="宋体" w:hAnsi="Arial" w:cs="Arial"/>
          <w:b/>
          <w:bCs/>
          <w:color w:val="000000"/>
          <w:sz w:val="20"/>
          <w:szCs w:val="20"/>
        </w:rPr>
        <w:t>STATE STREET CORPORATION</w:t>
      </w:r>
    </w:p>
    <w:p w14:paraId="5F2D2E20"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2E21" w14:textId="77777777" w:rsidR="00E836FB" w:rsidRDefault="00994958">
      <w:pPr>
        <w:spacing w:before="60"/>
        <w:textAlignment w:val="top"/>
      </w:pPr>
      <w:r>
        <w:rPr>
          <w:rFonts w:ascii="Arial" w:eastAsia="宋体" w:hAnsi="Arial" w:cs="Arial"/>
          <w:i/>
          <w:iCs/>
          <w:color w:val="000000"/>
          <w:sz w:val="20"/>
          <w:szCs w:val="20"/>
        </w:rPr>
        <w:t>Fair Value Hedges</w:t>
      </w:r>
    </w:p>
    <w:p w14:paraId="5F2D2E22" w14:textId="77777777" w:rsidR="00E836FB" w:rsidRDefault="00994958">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of recognized assets and li</w:t>
      </w:r>
      <w:r>
        <w:rPr>
          <w:rFonts w:ascii="Arial" w:eastAsia="宋体" w:hAnsi="Arial" w:cs="Arial"/>
          <w:color w:val="000000"/>
          <w:sz w:val="20"/>
          <w:szCs w:val="20"/>
        </w:rPr>
        <w:t xml:space="preserve">abilities, including long-term debt and AFS securities. We use interest rate contracts in this manner to manage our exposure to changes in the fair value of hedged items caused by changes in interest rates. </w:t>
      </w:r>
    </w:p>
    <w:p w14:paraId="5F2D2E23" w14:textId="77777777" w:rsidR="00E836FB" w:rsidRDefault="00994958">
      <w:pPr>
        <w:spacing w:before="60"/>
        <w:ind w:firstLine="450"/>
        <w:jc w:val="both"/>
        <w:textAlignment w:val="top"/>
      </w:pPr>
      <w:r>
        <w:rPr>
          <w:rFonts w:ascii="Arial" w:eastAsia="宋体" w:hAnsi="Arial" w:cs="Arial"/>
          <w:color w:val="000000"/>
          <w:sz w:val="20"/>
          <w:szCs w:val="20"/>
        </w:rPr>
        <w:t xml:space="preserve">Changes in the fair value of the derivative and </w:t>
      </w:r>
      <w:r>
        <w:rPr>
          <w:rFonts w:ascii="Arial" w:eastAsia="宋体" w:hAnsi="Arial" w:cs="Arial"/>
          <w:color w:val="000000"/>
          <w:sz w:val="20"/>
          <w:szCs w:val="20"/>
        </w:rPr>
        <w:t xml:space="preserve">changes in fair value of the hedged item due to changes in the hedged risk are recognized in earnings in the same line item. If a hedge is terminated, but the hedged item was not derecognized, all remaining adjustments to the carrying amount of the hedged </w:t>
      </w:r>
      <w:r>
        <w:rPr>
          <w:rFonts w:ascii="Arial" w:eastAsia="宋体" w:hAnsi="Arial" w:cs="Arial"/>
          <w:color w:val="000000"/>
          <w:sz w:val="20"/>
          <w:szCs w:val="20"/>
        </w:rPr>
        <w:t>item are amortized over a period that is consistent with the amortization of other discounts or premiums associated with the hedged item</w:t>
      </w:r>
      <w:r>
        <w:rPr>
          <w:rFonts w:ascii="Times New Roman" w:eastAsia="宋体" w:hAnsi="Times New Roman"/>
          <w:color w:val="000000"/>
          <w:sz w:val="20"/>
          <w:szCs w:val="20"/>
        </w:rPr>
        <w:t xml:space="preserve">. </w:t>
      </w:r>
    </w:p>
    <w:p w14:paraId="5F2D2E24" w14:textId="77777777" w:rsidR="00E836FB" w:rsidRDefault="00994958">
      <w:pPr>
        <w:spacing w:before="60"/>
        <w:jc w:val="both"/>
        <w:textAlignment w:val="top"/>
      </w:pPr>
      <w:r>
        <w:rPr>
          <w:rFonts w:ascii="Arial" w:eastAsia="宋体" w:hAnsi="Arial" w:cs="Arial"/>
          <w:i/>
          <w:iCs/>
          <w:color w:val="000000"/>
          <w:sz w:val="20"/>
          <w:szCs w:val="20"/>
        </w:rPr>
        <w:t>Cash Flow Hedges</w:t>
      </w:r>
    </w:p>
    <w:p w14:paraId="5F2D2E25" w14:textId="77777777" w:rsidR="00E836FB" w:rsidRDefault="00994958">
      <w:pPr>
        <w:spacing w:before="60"/>
        <w:ind w:firstLine="450"/>
        <w:jc w:val="both"/>
        <w:textAlignment w:val="top"/>
      </w:pPr>
      <w:r>
        <w:rPr>
          <w:rFonts w:ascii="Arial" w:eastAsia="宋体" w:hAnsi="Arial" w:cs="Arial"/>
          <w:color w:val="000000"/>
          <w:sz w:val="20"/>
          <w:szCs w:val="20"/>
        </w:rPr>
        <w:t>Derivatives designated as cash flow hedges are utilized to offset the variability of cash flows of r</w:t>
      </w:r>
      <w:r>
        <w:rPr>
          <w:rFonts w:ascii="Arial" w:eastAsia="宋体" w:hAnsi="Arial" w:cs="Arial"/>
          <w:color w:val="000000"/>
          <w:sz w:val="20"/>
          <w:szCs w:val="20"/>
        </w:rPr>
        <w:t xml:space="preserve">ecognized assets or liabilities or forecasted transactions. We have entered into FX contracts to hedge the change in cash flows attributable to FX movements in foreign currency denominated investment securities. Additionally, we have entered into interest </w:t>
      </w:r>
      <w:r>
        <w:rPr>
          <w:rFonts w:ascii="Arial" w:eastAsia="宋体" w:hAnsi="Arial" w:cs="Arial"/>
          <w:color w:val="000000"/>
          <w:sz w:val="20"/>
          <w:szCs w:val="20"/>
        </w:rPr>
        <w:t>rate swap agreements to hedge the forecasted cash flows associated with LIBOR indexed floating-rate loans. The interest rate swaps synthetically convert the loan interest receipts from a variable-rate to a fixed-rate, thereby mitigating the risk attributab</w:t>
      </w:r>
      <w:r>
        <w:rPr>
          <w:rFonts w:ascii="Arial" w:eastAsia="宋体" w:hAnsi="Arial" w:cs="Arial"/>
          <w:color w:val="000000"/>
          <w:sz w:val="20"/>
          <w:szCs w:val="20"/>
        </w:rPr>
        <w:t>le to changes in the LIBOR benchmark rate.</w:t>
      </w:r>
    </w:p>
    <w:p w14:paraId="5F2D2E26" w14:textId="77777777" w:rsidR="00E836FB" w:rsidRDefault="00994958">
      <w:pPr>
        <w:spacing w:before="60"/>
        <w:ind w:firstLine="450"/>
        <w:jc w:val="both"/>
        <w:textAlignment w:val="top"/>
      </w:pPr>
      <w:r>
        <w:rPr>
          <w:rFonts w:ascii="Arial" w:eastAsia="宋体" w:hAnsi="Arial" w:cs="Arial"/>
          <w:color w:val="000000"/>
          <w:sz w:val="20"/>
          <w:szCs w:val="20"/>
        </w:rPr>
        <w:t>Changes in fair value of the derivatives designated as cash flow hedges are initially recorded in AOCI and then reclassified into earnings in the same period or periods during which the hedged forecasted transacti</w:t>
      </w:r>
      <w:r>
        <w:rPr>
          <w:rFonts w:ascii="Arial" w:eastAsia="宋体" w:hAnsi="Arial" w:cs="Arial"/>
          <w:color w:val="000000"/>
          <w:sz w:val="20"/>
          <w:szCs w:val="20"/>
        </w:rPr>
        <w:t>on affects earnings and are presented in the same income statement line item as the earnings effect of the hedged item. If the hedge relationship is terminated, the change in fair value on the derivative recorded in AOCI is reclassified into earnings consi</w:t>
      </w:r>
      <w:r>
        <w:rPr>
          <w:rFonts w:ascii="Arial" w:eastAsia="宋体" w:hAnsi="Arial" w:cs="Arial"/>
          <w:color w:val="000000"/>
          <w:sz w:val="20"/>
          <w:szCs w:val="20"/>
        </w:rPr>
        <w:t>stent with the timing of the hedged item. For hedge relationships that are discontinued because a forecasted transaction is not expected to occur according to the original hedge terms, any related derivative values recorded in AOCI are immediately recogniz</w:t>
      </w:r>
      <w:r>
        <w:rPr>
          <w:rFonts w:ascii="Arial" w:eastAsia="宋体" w:hAnsi="Arial" w:cs="Arial"/>
          <w:color w:val="000000"/>
          <w:sz w:val="20"/>
          <w:szCs w:val="20"/>
        </w:rPr>
        <w:t xml:space="preserve">ed in earnings. The net gain associated with cash flow hedges expected to be </w:t>
      </w:r>
    </w:p>
    <w:p w14:paraId="5F2D2E27" w14:textId="77777777" w:rsidR="00E836FB" w:rsidRDefault="00994958">
      <w:pPr>
        <w:spacing w:before="60"/>
        <w:jc w:val="both"/>
        <w:textAlignment w:val="top"/>
      </w:pPr>
      <w:r>
        <w:rPr>
          <w:rFonts w:ascii="Arial" w:eastAsia="宋体" w:hAnsi="Arial" w:cs="Arial"/>
          <w:color w:val="000000"/>
          <w:sz w:val="20"/>
          <w:szCs w:val="20"/>
        </w:rPr>
        <w:t>reclassified from AOCI within 12 months of December 31, 2021 is approximately $60 million. The maximum length of time over which forecasted cash flows are hedged is 5 years.</w:t>
      </w:r>
    </w:p>
    <w:p w14:paraId="5F2D2E28" w14:textId="77777777" w:rsidR="00E836FB" w:rsidRDefault="00994958">
      <w:pPr>
        <w:spacing w:before="90"/>
        <w:jc w:val="both"/>
        <w:textAlignment w:val="top"/>
      </w:pPr>
      <w:r>
        <w:rPr>
          <w:rFonts w:ascii="Arial" w:eastAsia="宋体" w:hAnsi="Arial" w:cs="Arial"/>
          <w:i/>
          <w:iCs/>
          <w:color w:val="000000"/>
          <w:sz w:val="20"/>
          <w:szCs w:val="20"/>
        </w:rPr>
        <w:t xml:space="preserve">Net </w:t>
      </w:r>
      <w:r>
        <w:rPr>
          <w:rFonts w:ascii="Arial" w:eastAsia="宋体" w:hAnsi="Arial" w:cs="Arial"/>
          <w:i/>
          <w:iCs/>
          <w:color w:val="000000"/>
          <w:sz w:val="20"/>
          <w:szCs w:val="20"/>
        </w:rPr>
        <w:t>Investment Hedges</w:t>
      </w:r>
    </w:p>
    <w:p w14:paraId="5F2D2E29" w14:textId="77777777" w:rsidR="00E836FB" w:rsidRDefault="00994958">
      <w:pPr>
        <w:spacing w:before="60"/>
        <w:ind w:firstLine="450"/>
        <w:jc w:val="both"/>
        <w:textAlignment w:val="top"/>
      </w:pPr>
      <w:r>
        <w:rPr>
          <w:rFonts w:ascii="Arial" w:eastAsia="宋体" w:hAnsi="Arial" w:cs="Arial"/>
          <w:color w:val="000000"/>
          <w:sz w:val="20"/>
          <w:szCs w:val="20"/>
        </w:rPr>
        <w:t xml:space="preserve">Derivatives categorized as net investment hedges are entered into to protect the net investment in our foreign operations against adverse changes in exchange rates. We use FX forward contracts to convert the foreign currency risk to U.S. </w:t>
      </w:r>
      <w:r>
        <w:rPr>
          <w:rFonts w:ascii="Arial" w:eastAsia="宋体" w:hAnsi="Arial" w:cs="Arial"/>
          <w:color w:val="000000"/>
          <w:sz w:val="20"/>
          <w:szCs w:val="20"/>
        </w:rPr>
        <w:t>dollars to mitigate our exposure to fluctuations in FX rates. The changes in fair value of the FX forward contracts are recorded, net of taxes, in the foreign currency translation component of OCI.</w:t>
      </w:r>
    </w:p>
    <w:p w14:paraId="5F2D2E2A"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table presents the aggregate </w:t>
      </w:r>
      <w:r>
        <w:rPr>
          <w:rFonts w:ascii="Arial" w:eastAsia="宋体" w:hAnsi="Arial" w:cs="Arial"/>
          <w:color w:val="000000"/>
          <w:sz w:val="20"/>
          <w:szCs w:val="20"/>
        </w:rPr>
        <w:t>contractual, or notional, amounts of derivative financial instruments including those entered into for trading and asset-and-liability management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3909"/>
        <w:gridCol w:w="36"/>
        <w:gridCol w:w="105"/>
        <w:gridCol w:w="1970"/>
        <w:gridCol w:w="36"/>
        <w:gridCol w:w="36"/>
        <w:gridCol w:w="51"/>
        <w:gridCol w:w="36"/>
        <w:gridCol w:w="105"/>
        <w:gridCol w:w="1970"/>
        <w:gridCol w:w="36"/>
      </w:tblGrid>
      <w:tr w:rsidR="00E836FB" w14:paraId="5F2D2E37" w14:textId="77777777">
        <w:tc>
          <w:tcPr>
            <w:tcW w:w="50" w:type="pct"/>
            <w:shd w:val="clear" w:color="auto" w:fill="auto"/>
            <w:vAlign w:val="bottom"/>
          </w:tcPr>
          <w:p w14:paraId="5F2D2E2B" w14:textId="77777777" w:rsidR="00E836FB" w:rsidRDefault="00E836FB">
            <w:pPr>
              <w:rPr>
                <w:rFonts w:ascii="宋体"/>
              </w:rPr>
            </w:pPr>
          </w:p>
        </w:tc>
        <w:tc>
          <w:tcPr>
            <w:tcW w:w="2366" w:type="pct"/>
            <w:shd w:val="clear" w:color="auto" w:fill="auto"/>
            <w:vAlign w:val="bottom"/>
          </w:tcPr>
          <w:p w14:paraId="5F2D2E2C" w14:textId="77777777" w:rsidR="00E836FB" w:rsidRDefault="00E836FB">
            <w:pPr>
              <w:rPr>
                <w:rFonts w:ascii="宋体"/>
              </w:rPr>
            </w:pPr>
          </w:p>
        </w:tc>
        <w:tc>
          <w:tcPr>
            <w:tcW w:w="5" w:type="pct"/>
            <w:shd w:val="clear" w:color="auto" w:fill="auto"/>
            <w:vAlign w:val="bottom"/>
          </w:tcPr>
          <w:p w14:paraId="5F2D2E2D" w14:textId="77777777" w:rsidR="00E836FB" w:rsidRDefault="00E836FB">
            <w:pPr>
              <w:rPr>
                <w:rFonts w:ascii="宋体"/>
              </w:rPr>
            </w:pPr>
          </w:p>
        </w:tc>
        <w:tc>
          <w:tcPr>
            <w:tcW w:w="50" w:type="pct"/>
            <w:shd w:val="clear" w:color="auto" w:fill="auto"/>
            <w:vAlign w:val="bottom"/>
          </w:tcPr>
          <w:p w14:paraId="5F2D2E2E" w14:textId="77777777" w:rsidR="00E836FB" w:rsidRDefault="00E836FB">
            <w:pPr>
              <w:rPr>
                <w:rFonts w:ascii="宋体"/>
              </w:rPr>
            </w:pPr>
          </w:p>
        </w:tc>
        <w:tc>
          <w:tcPr>
            <w:tcW w:w="1202" w:type="pct"/>
            <w:shd w:val="clear" w:color="auto" w:fill="auto"/>
            <w:vAlign w:val="bottom"/>
          </w:tcPr>
          <w:p w14:paraId="5F2D2E2F" w14:textId="77777777" w:rsidR="00E836FB" w:rsidRDefault="00E836FB">
            <w:pPr>
              <w:rPr>
                <w:rFonts w:ascii="宋体"/>
              </w:rPr>
            </w:pPr>
          </w:p>
        </w:tc>
        <w:tc>
          <w:tcPr>
            <w:tcW w:w="5" w:type="pct"/>
            <w:shd w:val="clear" w:color="auto" w:fill="auto"/>
            <w:vAlign w:val="bottom"/>
          </w:tcPr>
          <w:p w14:paraId="5F2D2E30" w14:textId="77777777" w:rsidR="00E836FB" w:rsidRDefault="00E836FB">
            <w:pPr>
              <w:rPr>
                <w:rFonts w:ascii="宋体"/>
              </w:rPr>
            </w:pPr>
          </w:p>
        </w:tc>
        <w:tc>
          <w:tcPr>
            <w:tcW w:w="5" w:type="pct"/>
            <w:shd w:val="clear" w:color="auto" w:fill="auto"/>
            <w:vAlign w:val="bottom"/>
          </w:tcPr>
          <w:p w14:paraId="5F2D2E31" w14:textId="77777777" w:rsidR="00E836FB" w:rsidRDefault="00E836FB">
            <w:pPr>
              <w:rPr>
                <w:rFonts w:ascii="宋体"/>
              </w:rPr>
            </w:pPr>
          </w:p>
        </w:tc>
        <w:tc>
          <w:tcPr>
            <w:tcW w:w="52" w:type="pct"/>
            <w:shd w:val="clear" w:color="auto" w:fill="auto"/>
            <w:vAlign w:val="bottom"/>
          </w:tcPr>
          <w:p w14:paraId="5F2D2E32" w14:textId="77777777" w:rsidR="00E836FB" w:rsidRDefault="00E836FB">
            <w:pPr>
              <w:rPr>
                <w:rFonts w:ascii="宋体"/>
              </w:rPr>
            </w:pPr>
          </w:p>
        </w:tc>
        <w:tc>
          <w:tcPr>
            <w:tcW w:w="5" w:type="pct"/>
            <w:shd w:val="clear" w:color="auto" w:fill="auto"/>
            <w:vAlign w:val="bottom"/>
          </w:tcPr>
          <w:p w14:paraId="5F2D2E33" w14:textId="77777777" w:rsidR="00E836FB" w:rsidRDefault="00E836FB">
            <w:pPr>
              <w:rPr>
                <w:rFonts w:ascii="宋体"/>
              </w:rPr>
            </w:pPr>
          </w:p>
        </w:tc>
        <w:tc>
          <w:tcPr>
            <w:tcW w:w="50" w:type="pct"/>
            <w:shd w:val="clear" w:color="auto" w:fill="auto"/>
            <w:vAlign w:val="bottom"/>
          </w:tcPr>
          <w:p w14:paraId="5F2D2E34" w14:textId="77777777" w:rsidR="00E836FB" w:rsidRDefault="00E836FB">
            <w:pPr>
              <w:rPr>
                <w:rFonts w:ascii="宋体"/>
              </w:rPr>
            </w:pPr>
          </w:p>
        </w:tc>
        <w:tc>
          <w:tcPr>
            <w:tcW w:w="1202" w:type="pct"/>
            <w:shd w:val="clear" w:color="auto" w:fill="auto"/>
            <w:vAlign w:val="bottom"/>
          </w:tcPr>
          <w:p w14:paraId="5F2D2E35" w14:textId="77777777" w:rsidR="00E836FB" w:rsidRDefault="00E836FB">
            <w:pPr>
              <w:rPr>
                <w:rFonts w:ascii="宋体"/>
              </w:rPr>
            </w:pPr>
          </w:p>
        </w:tc>
        <w:tc>
          <w:tcPr>
            <w:tcW w:w="5" w:type="pct"/>
            <w:shd w:val="clear" w:color="auto" w:fill="auto"/>
            <w:vAlign w:val="bottom"/>
          </w:tcPr>
          <w:p w14:paraId="5F2D2E36" w14:textId="77777777" w:rsidR="00E836FB" w:rsidRDefault="00E836FB">
            <w:pPr>
              <w:rPr>
                <w:rFonts w:ascii="宋体"/>
              </w:rPr>
            </w:pPr>
          </w:p>
        </w:tc>
      </w:tr>
      <w:tr w:rsidR="00E836FB" w14:paraId="5F2D2E3C" w14:textId="77777777">
        <w:tc>
          <w:tcPr>
            <w:tcW w:w="0" w:type="auto"/>
            <w:gridSpan w:val="3"/>
            <w:shd w:val="clear" w:color="auto" w:fill="auto"/>
            <w:tcMar>
              <w:top w:w="40" w:type="dxa"/>
              <w:left w:w="20" w:type="dxa"/>
              <w:bottom w:w="40" w:type="dxa"/>
              <w:right w:w="20" w:type="dxa"/>
            </w:tcMar>
            <w:vAlign w:val="bottom"/>
          </w:tcPr>
          <w:p w14:paraId="5F2D2E38"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F2D2E39"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D2E3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2E3B"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D2E41" w14:textId="77777777">
        <w:tc>
          <w:tcPr>
            <w:tcW w:w="0" w:type="auto"/>
            <w:gridSpan w:val="3"/>
            <w:shd w:val="clear" w:color="auto" w:fill="auto"/>
            <w:tcMar>
              <w:top w:w="40" w:type="dxa"/>
              <w:left w:w="20" w:type="dxa"/>
              <w:bottom w:w="40" w:type="dxa"/>
              <w:right w:w="20" w:type="dxa"/>
            </w:tcMar>
            <w:vAlign w:val="bottom"/>
          </w:tcPr>
          <w:p w14:paraId="5F2D2E3D" w14:textId="77777777" w:rsidR="00E836FB" w:rsidRDefault="00994958">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E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E3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E40" w14:textId="77777777" w:rsidR="00E836FB" w:rsidRDefault="00E836FB">
            <w:pPr>
              <w:rPr>
                <w:rFonts w:ascii="宋体"/>
              </w:rPr>
            </w:pPr>
          </w:p>
        </w:tc>
      </w:tr>
      <w:tr w:rsidR="00E836FB" w14:paraId="5F2D2E46" w14:textId="77777777">
        <w:tc>
          <w:tcPr>
            <w:tcW w:w="0" w:type="auto"/>
            <w:gridSpan w:val="3"/>
            <w:shd w:val="clear" w:color="auto" w:fill="auto"/>
            <w:tcMar>
              <w:top w:w="40" w:type="dxa"/>
              <w:left w:w="20" w:type="dxa"/>
              <w:bottom w:w="40" w:type="dxa"/>
              <w:right w:w="20" w:type="dxa"/>
            </w:tcMar>
            <w:vAlign w:val="bottom"/>
          </w:tcPr>
          <w:p w14:paraId="5F2D2E42" w14:textId="77777777" w:rsidR="00E836FB" w:rsidRDefault="00994958">
            <w:pPr>
              <w:textAlignment w:val="bottom"/>
            </w:pPr>
            <w:r>
              <w:rPr>
                <w:rFonts w:ascii="Arial" w:eastAsia="宋体" w:hAnsi="Arial" w:cs="Arial"/>
                <w:color w:val="000000"/>
                <w:sz w:val="15"/>
                <w:szCs w:val="15"/>
              </w:rPr>
              <w:t>Interest rate contracts:</w:t>
            </w:r>
          </w:p>
        </w:tc>
        <w:tc>
          <w:tcPr>
            <w:tcW w:w="0" w:type="auto"/>
            <w:gridSpan w:val="3"/>
            <w:shd w:val="clear" w:color="auto" w:fill="auto"/>
            <w:tcMar>
              <w:top w:w="0" w:type="dxa"/>
              <w:left w:w="20" w:type="dxa"/>
              <w:bottom w:w="0" w:type="dxa"/>
              <w:right w:w="20" w:type="dxa"/>
            </w:tcMar>
            <w:vAlign w:val="bottom"/>
          </w:tcPr>
          <w:p w14:paraId="5F2D2E4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E4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E45" w14:textId="77777777" w:rsidR="00E836FB" w:rsidRDefault="00E836FB">
            <w:pPr>
              <w:rPr>
                <w:rFonts w:ascii="宋体"/>
              </w:rPr>
            </w:pPr>
          </w:p>
        </w:tc>
      </w:tr>
      <w:tr w:rsidR="00E836FB" w14:paraId="5F2D2E4B" w14:textId="77777777">
        <w:trPr>
          <w:hidden/>
        </w:trPr>
        <w:tc>
          <w:tcPr>
            <w:tcW w:w="0" w:type="auto"/>
            <w:gridSpan w:val="3"/>
            <w:shd w:val="clear" w:color="auto" w:fill="auto"/>
            <w:vAlign w:val="bottom"/>
          </w:tcPr>
          <w:p w14:paraId="5F2D2E47" w14:textId="77777777" w:rsidR="00E836FB" w:rsidRDefault="00E836FB">
            <w:pPr>
              <w:rPr>
                <w:rFonts w:ascii="宋体"/>
                <w:vanish/>
              </w:rPr>
            </w:pPr>
          </w:p>
        </w:tc>
        <w:tc>
          <w:tcPr>
            <w:tcW w:w="0" w:type="auto"/>
            <w:gridSpan w:val="3"/>
            <w:shd w:val="clear" w:color="auto" w:fill="auto"/>
            <w:vAlign w:val="bottom"/>
          </w:tcPr>
          <w:p w14:paraId="5F2D2E48" w14:textId="77777777" w:rsidR="00E836FB" w:rsidRDefault="00E836FB">
            <w:pPr>
              <w:rPr>
                <w:rFonts w:ascii="宋体"/>
                <w:vanish/>
              </w:rPr>
            </w:pPr>
          </w:p>
        </w:tc>
        <w:tc>
          <w:tcPr>
            <w:tcW w:w="0" w:type="auto"/>
            <w:gridSpan w:val="3"/>
            <w:shd w:val="clear" w:color="auto" w:fill="auto"/>
            <w:vAlign w:val="bottom"/>
          </w:tcPr>
          <w:p w14:paraId="5F2D2E49" w14:textId="77777777" w:rsidR="00E836FB" w:rsidRDefault="00E836FB">
            <w:pPr>
              <w:rPr>
                <w:rFonts w:ascii="宋体"/>
                <w:vanish/>
              </w:rPr>
            </w:pPr>
          </w:p>
        </w:tc>
        <w:tc>
          <w:tcPr>
            <w:tcW w:w="0" w:type="auto"/>
            <w:gridSpan w:val="3"/>
            <w:shd w:val="clear" w:color="auto" w:fill="auto"/>
            <w:vAlign w:val="bottom"/>
          </w:tcPr>
          <w:p w14:paraId="5F2D2E4A" w14:textId="77777777" w:rsidR="00E836FB" w:rsidRDefault="00E836FB">
            <w:pPr>
              <w:rPr>
                <w:rFonts w:ascii="宋体"/>
                <w:vanish/>
              </w:rPr>
            </w:pPr>
          </w:p>
        </w:tc>
      </w:tr>
      <w:tr w:rsidR="00E836FB" w14:paraId="5F2D2E50" w14:textId="77777777">
        <w:trPr>
          <w:hidden/>
        </w:trPr>
        <w:tc>
          <w:tcPr>
            <w:tcW w:w="0" w:type="auto"/>
            <w:gridSpan w:val="3"/>
            <w:shd w:val="clear" w:color="auto" w:fill="auto"/>
            <w:vAlign w:val="bottom"/>
          </w:tcPr>
          <w:p w14:paraId="5F2D2E4C" w14:textId="77777777" w:rsidR="00E836FB" w:rsidRDefault="00E836FB">
            <w:pPr>
              <w:rPr>
                <w:rFonts w:ascii="宋体"/>
                <w:vanish/>
              </w:rPr>
            </w:pPr>
          </w:p>
        </w:tc>
        <w:tc>
          <w:tcPr>
            <w:tcW w:w="0" w:type="auto"/>
            <w:gridSpan w:val="3"/>
            <w:shd w:val="clear" w:color="auto" w:fill="auto"/>
            <w:vAlign w:val="bottom"/>
          </w:tcPr>
          <w:p w14:paraId="5F2D2E4D" w14:textId="77777777" w:rsidR="00E836FB" w:rsidRDefault="00E836FB">
            <w:pPr>
              <w:rPr>
                <w:rFonts w:ascii="宋体"/>
                <w:vanish/>
              </w:rPr>
            </w:pPr>
          </w:p>
        </w:tc>
        <w:tc>
          <w:tcPr>
            <w:tcW w:w="0" w:type="auto"/>
            <w:gridSpan w:val="3"/>
            <w:shd w:val="clear" w:color="auto" w:fill="auto"/>
            <w:vAlign w:val="bottom"/>
          </w:tcPr>
          <w:p w14:paraId="5F2D2E4E" w14:textId="77777777" w:rsidR="00E836FB" w:rsidRDefault="00E836FB">
            <w:pPr>
              <w:rPr>
                <w:rFonts w:ascii="宋体"/>
                <w:vanish/>
              </w:rPr>
            </w:pPr>
          </w:p>
        </w:tc>
        <w:tc>
          <w:tcPr>
            <w:tcW w:w="0" w:type="auto"/>
            <w:gridSpan w:val="3"/>
            <w:shd w:val="clear" w:color="auto" w:fill="auto"/>
            <w:vAlign w:val="bottom"/>
          </w:tcPr>
          <w:p w14:paraId="5F2D2E4F" w14:textId="77777777" w:rsidR="00E836FB" w:rsidRDefault="00E836FB">
            <w:pPr>
              <w:rPr>
                <w:rFonts w:ascii="宋体"/>
                <w:vanish/>
              </w:rPr>
            </w:pPr>
          </w:p>
        </w:tc>
      </w:tr>
      <w:tr w:rsidR="00E836FB" w14:paraId="5F2D2E55" w14:textId="77777777">
        <w:trPr>
          <w:hidden/>
        </w:trPr>
        <w:tc>
          <w:tcPr>
            <w:tcW w:w="0" w:type="auto"/>
            <w:gridSpan w:val="3"/>
            <w:shd w:val="clear" w:color="auto" w:fill="auto"/>
            <w:vAlign w:val="bottom"/>
          </w:tcPr>
          <w:p w14:paraId="5F2D2E51" w14:textId="77777777" w:rsidR="00E836FB" w:rsidRDefault="00E836FB">
            <w:pPr>
              <w:rPr>
                <w:rFonts w:ascii="宋体"/>
                <w:vanish/>
              </w:rPr>
            </w:pPr>
          </w:p>
        </w:tc>
        <w:tc>
          <w:tcPr>
            <w:tcW w:w="0" w:type="auto"/>
            <w:gridSpan w:val="3"/>
            <w:shd w:val="clear" w:color="auto" w:fill="auto"/>
            <w:vAlign w:val="bottom"/>
          </w:tcPr>
          <w:p w14:paraId="5F2D2E52" w14:textId="77777777" w:rsidR="00E836FB" w:rsidRDefault="00E836FB">
            <w:pPr>
              <w:rPr>
                <w:rFonts w:ascii="宋体"/>
                <w:vanish/>
              </w:rPr>
            </w:pPr>
          </w:p>
        </w:tc>
        <w:tc>
          <w:tcPr>
            <w:tcW w:w="0" w:type="auto"/>
            <w:gridSpan w:val="3"/>
            <w:shd w:val="clear" w:color="auto" w:fill="auto"/>
            <w:vAlign w:val="bottom"/>
          </w:tcPr>
          <w:p w14:paraId="5F2D2E53" w14:textId="77777777" w:rsidR="00E836FB" w:rsidRDefault="00E836FB">
            <w:pPr>
              <w:rPr>
                <w:rFonts w:ascii="宋体"/>
                <w:vanish/>
              </w:rPr>
            </w:pPr>
          </w:p>
        </w:tc>
        <w:tc>
          <w:tcPr>
            <w:tcW w:w="0" w:type="auto"/>
            <w:gridSpan w:val="3"/>
            <w:shd w:val="clear" w:color="auto" w:fill="auto"/>
            <w:vAlign w:val="bottom"/>
          </w:tcPr>
          <w:p w14:paraId="5F2D2E54" w14:textId="77777777" w:rsidR="00E836FB" w:rsidRDefault="00E836FB">
            <w:pPr>
              <w:rPr>
                <w:rFonts w:ascii="宋体"/>
                <w:vanish/>
              </w:rPr>
            </w:pPr>
          </w:p>
        </w:tc>
      </w:tr>
      <w:tr w:rsidR="00E836FB" w14:paraId="5F2D2E5E" w14:textId="77777777">
        <w:tc>
          <w:tcPr>
            <w:tcW w:w="0" w:type="auto"/>
            <w:gridSpan w:val="3"/>
            <w:shd w:val="clear" w:color="auto" w:fill="CCEEFF"/>
            <w:tcMar>
              <w:top w:w="40" w:type="dxa"/>
              <w:left w:w="155" w:type="dxa"/>
              <w:bottom w:w="40" w:type="dxa"/>
              <w:right w:w="20" w:type="dxa"/>
            </w:tcMar>
            <w:vAlign w:val="bottom"/>
          </w:tcPr>
          <w:p w14:paraId="5F2D2E56" w14:textId="77777777" w:rsidR="00E836FB" w:rsidRDefault="00994958">
            <w:pPr>
              <w:textAlignment w:val="bottom"/>
            </w:pPr>
            <w:r>
              <w:rPr>
                <w:rFonts w:ascii="Arial" w:eastAsia="宋体" w:hAnsi="Arial" w:cs="Arial"/>
                <w:color w:val="000000"/>
                <w:sz w:val="15"/>
                <w:szCs w:val="15"/>
              </w:rPr>
              <w:t>Futures</w:t>
            </w:r>
          </w:p>
        </w:tc>
        <w:tc>
          <w:tcPr>
            <w:tcW w:w="0" w:type="auto"/>
            <w:shd w:val="clear" w:color="auto" w:fill="CCEEFF"/>
            <w:tcMar>
              <w:top w:w="40" w:type="dxa"/>
              <w:left w:w="20" w:type="dxa"/>
              <w:bottom w:w="40" w:type="dxa"/>
              <w:right w:w="0" w:type="dxa"/>
            </w:tcMar>
            <w:vAlign w:val="bottom"/>
          </w:tcPr>
          <w:p w14:paraId="5F2D2E57"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E58" w14:textId="77777777" w:rsidR="00E836FB" w:rsidRDefault="00994958">
            <w:pPr>
              <w:jc w:val="right"/>
              <w:textAlignment w:val="bottom"/>
            </w:pPr>
            <w:r>
              <w:rPr>
                <w:rFonts w:ascii="Arial" w:eastAsia="宋体" w:hAnsi="Arial" w:cs="Arial"/>
                <w:b/>
                <w:bCs/>
                <w:color w:val="000000"/>
                <w:sz w:val="15"/>
                <w:szCs w:val="15"/>
              </w:rPr>
              <w:t>9,604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E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E5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E5B"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E5C" w14:textId="77777777" w:rsidR="00E836FB" w:rsidRDefault="00994958">
            <w:pPr>
              <w:jc w:val="right"/>
              <w:textAlignment w:val="bottom"/>
            </w:pPr>
            <w:r>
              <w:rPr>
                <w:rFonts w:ascii="Arial" w:eastAsia="宋体" w:hAnsi="Arial" w:cs="Arial"/>
                <w:color w:val="000000"/>
                <w:sz w:val="15"/>
                <w:szCs w:val="15"/>
              </w:rPr>
              <w:t>2,842 </w:t>
            </w:r>
          </w:p>
        </w:tc>
        <w:tc>
          <w:tcPr>
            <w:tcW w:w="0" w:type="auto"/>
            <w:shd w:val="clear" w:color="auto" w:fill="CCEEFF"/>
            <w:tcMar>
              <w:top w:w="40" w:type="dxa"/>
              <w:left w:w="0" w:type="dxa"/>
              <w:bottom w:w="40" w:type="dxa"/>
              <w:right w:w="20" w:type="dxa"/>
            </w:tcMar>
            <w:vAlign w:val="bottom"/>
          </w:tcPr>
          <w:p w14:paraId="5F2D2E5D" w14:textId="77777777" w:rsidR="00E836FB" w:rsidRDefault="00E836FB">
            <w:pPr>
              <w:jc w:val="right"/>
              <w:rPr>
                <w:rFonts w:ascii="宋体"/>
              </w:rPr>
            </w:pPr>
          </w:p>
        </w:tc>
      </w:tr>
      <w:tr w:rsidR="00E836FB" w14:paraId="5F2D2E63" w14:textId="77777777">
        <w:tc>
          <w:tcPr>
            <w:tcW w:w="0" w:type="auto"/>
            <w:gridSpan w:val="3"/>
            <w:shd w:val="clear" w:color="auto" w:fill="FFFFFF"/>
            <w:tcMar>
              <w:top w:w="40" w:type="dxa"/>
              <w:left w:w="20" w:type="dxa"/>
              <w:bottom w:w="40" w:type="dxa"/>
              <w:right w:w="20" w:type="dxa"/>
            </w:tcMar>
            <w:vAlign w:val="bottom"/>
          </w:tcPr>
          <w:p w14:paraId="5F2D2E5F" w14:textId="77777777" w:rsidR="00E836FB" w:rsidRDefault="00994958">
            <w:pPr>
              <w:textAlignment w:val="bottom"/>
            </w:pPr>
            <w:r>
              <w:rPr>
                <w:rFonts w:ascii="Arial" w:eastAsia="宋体" w:hAnsi="Arial" w:cs="Arial"/>
                <w:color w:val="000000"/>
                <w:sz w:val="15"/>
                <w:szCs w:val="15"/>
              </w:rPr>
              <w:t>Foreign exchange contracts:</w:t>
            </w:r>
          </w:p>
        </w:tc>
        <w:tc>
          <w:tcPr>
            <w:tcW w:w="0" w:type="auto"/>
            <w:gridSpan w:val="3"/>
            <w:shd w:val="clear" w:color="auto" w:fill="FFFFFF"/>
            <w:tcMar>
              <w:top w:w="0" w:type="dxa"/>
              <w:left w:w="20" w:type="dxa"/>
              <w:bottom w:w="0" w:type="dxa"/>
              <w:right w:w="20" w:type="dxa"/>
            </w:tcMar>
            <w:vAlign w:val="bottom"/>
          </w:tcPr>
          <w:p w14:paraId="5F2D2E6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E6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E62" w14:textId="77777777" w:rsidR="00E836FB" w:rsidRDefault="00E836FB">
            <w:pPr>
              <w:rPr>
                <w:rFonts w:ascii="宋体"/>
              </w:rPr>
            </w:pPr>
          </w:p>
        </w:tc>
      </w:tr>
      <w:tr w:rsidR="00E836FB" w14:paraId="5F2D2E6A" w14:textId="77777777">
        <w:tc>
          <w:tcPr>
            <w:tcW w:w="0" w:type="auto"/>
            <w:gridSpan w:val="3"/>
            <w:shd w:val="clear" w:color="auto" w:fill="CCEEFF"/>
            <w:tcMar>
              <w:top w:w="40" w:type="dxa"/>
              <w:left w:w="155" w:type="dxa"/>
              <w:bottom w:w="40" w:type="dxa"/>
              <w:right w:w="20" w:type="dxa"/>
            </w:tcMar>
            <w:vAlign w:val="bottom"/>
          </w:tcPr>
          <w:p w14:paraId="5F2D2E64" w14:textId="77777777" w:rsidR="00E836FB" w:rsidRDefault="00994958">
            <w:pPr>
              <w:textAlignment w:val="bottom"/>
            </w:pPr>
            <w:r>
              <w:rPr>
                <w:rFonts w:ascii="Arial" w:eastAsia="宋体" w:hAnsi="Arial" w:cs="Arial"/>
                <w:color w:val="000000"/>
                <w:sz w:val="15"/>
                <w:szCs w:val="15"/>
              </w:rPr>
              <w:t>Forward, swap and spot</w:t>
            </w:r>
          </w:p>
        </w:tc>
        <w:tc>
          <w:tcPr>
            <w:tcW w:w="0" w:type="auto"/>
            <w:gridSpan w:val="2"/>
            <w:shd w:val="clear" w:color="auto" w:fill="CCEEFF"/>
            <w:tcMar>
              <w:top w:w="40" w:type="dxa"/>
              <w:left w:w="20" w:type="dxa"/>
              <w:bottom w:w="40" w:type="dxa"/>
              <w:right w:w="0" w:type="dxa"/>
            </w:tcMar>
            <w:vAlign w:val="bottom"/>
          </w:tcPr>
          <w:p w14:paraId="5F2D2E65" w14:textId="77777777" w:rsidR="00E836FB" w:rsidRDefault="00994958">
            <w:pPr>
              <w:jc w:val="right"/>
              <w:textAlignment w:val="bottom"/>
            </w:pPr>
            <w:r>
              <w:rPr>
                <w:rFonts w:ascii="Arial" w:eastAsia="宋体" w:hAnsi="Arial" w:cs="Arial"/>
                <w:b/>
                <w:bCs/>
                <w:color w:val="000000"/>
                <w:sz w:val="15"/>
                <w:szCs w:val="15"/>
              </w:rPr>
              <w:t>2,569,449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E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E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E68" w14:textId="77777777" w:rsidR="00E836FB" w:rsidRDefault="00994958">
            <w:pPr>
              <w:jc w:val="right"/>
              <w:textAlignment w:val="bottom"/>
            </w:pPr>
            <w:r>
              <w:rPr>
                <w:rFonts w:ascii="Arial" w:eastAsia="宋体" w:hAnsi="Arial" w:cs="Arial"/>
                <w:color w:val="000000"/>
                <w:sz w:val="15"/>
                <w:szCs w:val="15"/>
              </w:rPr>
              <w:t>2,640,989 </w:t>
            </w:r>
          </w:p>
        </w:tc>
        <w:tc>
          <w:tcPr>
            <w:tcW w:w="0" w:type="auto"/>
            <w:shd w:val="clear" w:color="auto" w:fill="CCEEFF"/>
            <w:tcMar>
              <w:top w:w="40" w:type="dxa"/>
              <w:left w:w="0" w:type="dxa"/>
              <w:bottom w:w="40" w:type="dxa"/>
              <w:right w:w="20" w:type="dxa"/>
            </w:tcMar>
            <w:vAlign w:val="bottom"/>
          </w:tcPr>
          <w:p w14:paraId="5F2D2E69" w14:textId="77777777" w:rsidR="00E836FB" w:rsidRDefault="00E836FB">
            <w:pPr>
              <w:jc w:val="right"/>
              <w:rPr>
                <w:rFonts w:ascii="宋体"/>
              </w:rPr>
            </w:pPr>
          </w:p>
        </w:tc>
      </w:tr>
      <w:tr w:rsidR="00E836FB" w14:paraId="5F2D2E71" w14:textId="77777777">
        <w:tc>
          <w:tcPr>
            <w:tcW w:w="0" w:type="auto"/>
            <w:gridSpan w:val="3"/>
            <w:shd w:val="clear" w:color="auto" w:fill="FFFFFF"/>
            <w:tcMar>
              <w:top w:w="40" w:type="dxa"/>
              <w:left w:w="155" w:type="dxa"/>
              <w:bottom w:w="40" w:type="dxa"/>
              <w:right w:w="20" w:type="dxa"/>
            </w:tcMar>
            <w:vAlign w:val="bottom"/>
          </w:tcPr>
          <w:p w14:paraId="5F2D2E6B" w14:textId="77777777" w:rsidR="00E836FB" w:rsidRDefault="00994958">
            <w:pPr>
              <w:textAlignment w:val="bottom"/>
            </w:pPr>
            <w:r>
              <w:rPr>
                <w:rFonts w:ascii="Arial" w:eastAsia="宋体" w:hAnsi="Arial" w:cs="Arial"/>
                <w:color w:val="000000"/>
                <w:sz w:val="15"/>
                <w:szCs w:val="15"/>
              </w:rPr>
              <w:t>Options purchased</w:t>
            </w:r>
          </w:p>
        </w:tc>
        <w:tc>
          <w:tcPr>
            <w:tcW w:w="0" w:type="auto"/>
            <w:gridSpan w:val="2"/>
            <w:shd w:val="clear" w:color="auto" w:fill="FFFFFF"/>
            <w:tcMar>
              <w:top w:w="40" w:type="dxa"/>
              <w:left w:w="20" w:type="dxa"/>
              <w:bottom w:w="40" w:type="dxa"/>
              <w:right w:w="0" w:type="dxa"/>
            </w:tcMar>
            <w:vAlign w:val="bottom"/>
          </w:tcPr>
          <w:p w14:paraId="5F2D2E6C" w14:textId="77777777" w:rsidR="00E836FB" w:rsidRDefault="00994958">
            <w:pPr>
              <w:jc w:val="right"/>
              <w:textAlignment w:val="bottom"/>
            </w:pPr>
            <w:r>
              <w:rPr>
                <w:rFonts w:ascii="Arial" w:eastAsia="宋体" w:hAnsi="Arial" w:cs="Arial"/>
                <w:b/>
                <w:bCs/>
                <w:color w:val="000000"/>
                <w:sz w:val="15"/>
                <w:szCs w:val="15"/>
              </w:rPr>
              <w:t>328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E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E6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E6F" w14:textId="77777777" w:rsidR="00E836FB" w:rsidRDefault="00994958">
            <w:pPr>
              <w:jc w:val="right"/>
              <w:textAlignment w:val="bottom"/>
            </w:pPr>
            <w:r>
              <w:rPr>
                <w:rFonts w:ascii="Arial" w:eastAsia="宋体" w:hAnsi="Arial" w:cs="Arial"/>
                <w:color w:val="000000"/>
                <w:sz w:val="15"/>
                <w:szCs w:val="15"/>
              </w:rPr>
              <w:t>946 </w:t>
            </w:r>
          </w:p>
        </w:tc>
        <w:tc>
          <w:tcPr>
            <w:tcW w:w="0" w:type="auto"/>
            <w:shd w:val="clear" w:color="auto" w:fill="FFFFFF"/>
            <w:tcMar>
              <w:top w:w="40" w:type="dxa"/>
              <w:left w:w="0" w:type="dxa"/>
              <w:bottom w:w="40" w:type="dxa"/>
              <w:right w:w="20" w:type="dxa"/>
            </w:tcMar>
            <w:vAlign w:val="bottom"/>
          </w:tcPr>
          <w:p w14:paraId="5F2D2E70" w14:textId="77777777" w:rsidR="00E836FB" w:rsidRDefault="00E836FB">
            <w:pPr>
              <w:jc w:val="right"/>
              <w:rPr>
                <w:rFonts w:ascii="宋体"/>
              </w:rPr>
            </w:pPr>
          </w:p>
        </w:tc>
      </w:tr>
      <w:tr w:rsidR="00E836FB" w14:paraId="5F2D2E78" w14:textId="77777777">
        <w:tc>
          <w:tcPr>
            <w:tcW w:w="0" w:type="auto"/>
            <w:gridSpan w:val="3"/>
            <w:shd w:val="clear" w:color="auto" w:fill="CCEEFF"/>
            <w:tcMar>
              <w:top w:w="40" w:type="dxa"/>
              <w:left w:w="155" w:type="dxa"/>
              <w:bottom w:w="40" w:type="dxa"/>
              <w:right w:w="20" w:type="dxa"/>
            </w:tcMar>
            <w:vAlign w:val="bottom"/>
          </w:tcPr>
          <w:p w14:paraId="5F2D2E72" w14:textId="77777777" w:rsidR="00E836FB" w:rsidRDefault="00994958">
            <w:pPr>
              <w:textAlignment w:val="bottom"/>
            </w:pPr>
            <w:r>
              <w:rPr>
                <w:rFonts w:ascii="Arial" w:eastAsia="宋体" w:hAnsi="Arial" w:cs="Arial"/>
                <w:color w:val="000000"/>
                <w:sz w:val="15"/>
                <w:szCs w:val="15"/>
              </w:rPr>
              <w:t xml:space="preserve">Options </w:t>
            </w:r>
            <w:r>
              <w:rPr>
                <w:rFonts w:ascii="Arial" w:eastAsia="宋体" w:hAnsi="Arial" w:cs="Arial"/>
                <w:color w:val="000000"/>
                <w:sz w:val="15"/>
                <w:szCs w:val="15"/>
              </w:rPr>
              <w:t>written</w:t>
            </w:r>
          </w:p>
        </w:tc>
        <w:tc>
          <w:tcPr>
            <w:tcW w:w="0" w:type="auto"/>
            <w:gridSpan w:val="2"/>
            <w:shd w:val="clear" w:color="auto" w:fill="CCEEFF"/>
            <w:tcMar>
              <w:top w:w="40" w:type="dxa"/>
              <w:left w:w="20" w:type="dxa"/>
              <w:bottom w:w="40" w:type="dxa"/>
              <w:right w:w="0" w:type="dxa"/>
            </w:tcMar>
            <w:vAlign w:val="bottom"/>
          </w:tcPr>
          <w:p w14:paraId="5F2D2E73" w14:textId="77777777" w:rsidR="00E836FB" w:rsidRDefault="00994958">
            <w:pPr>
              <w:jc w:val="right"/>
              <w:textAlignment w:val="bottom"/>
            </w:pPr>
            <w:r>
              <w:rPr>
                <w:rFonts w:ascii="Arial" w:eastAsia="宋体" w:hAnsi="Arial" w:cs="Arial"/>
                <w:b/>
                <w:bCs/>
                <w:color w:val="000000"/>
                <w:sz w:val="15"/>
                <w:szCs w:val="15"/>
              </w:rPr>
              <w:t>210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E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E7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E76" w14:textId="77777777" w:rsidR="00E836FB" w:rsidRDefault="00994958">
            <w:pPr>
              <w:jc w:val="right"/>
              <w:textAlignment w:val="bottom"/>
            </w:pPr>
            <w:r>
              <w:rPr>
                <w:rFonts w:ascii="Arial" w:eastAsia="宋体" w:hAnsi="Arial" w:cs="Arial"/>
                <w:color w:val="000000"/>
                <w:sz w:val="15"/>
                <w:szCs w:val="15"/>
              </w:rPr>
              <w:t>661 </w:t>
            </w:r>
          </w:p>
        </w:tc>
        <w:tc>
          <w:tcPr>
            <w:tcW w:w="0" w:type="auto"/>
            <w:shd w:val="clear" w:color="auto" w:fill="CCEEFF"/>
            <w:tcMar>
              <w:top w:w="40" w:type="dxa"/>
              <w:left w:w="0" w:type="dxa"/>
              <w:bottom w:w="40" w:type="dxa"/>
              <w:right w:w="20" w:type="dxa"/>
            </w:tcMar>
            <w:vAlign w:val="bottom"/>
          </w:tcPr>
          <w:p w14:paraId="5F2D2E77" w14:textId="77777777" w:rsidR="00E836FB" w:rsidRDefault="00E836FB">
            <w:pPr>
              <w:jc w:val="right"/>
              <w:rPr>
                <w:rFonts w:ascii="宋体"/>
              </w:rPr>
            </w:pPr>
          </w:p>
        </w:tc>
      </w:tr>
      <w:tr w:rsidR="00E836FB" w14:paraId="5F2D2E7F" w14:textId="77777777">
        <w:tc>
          <w:tcPr>
            <w:tcW w:w="0" w:type="auto"/>
            <w:gridSpan w:val="3"/>
            <w:shd w:val="clear" w:color="auto" w:fill="FFFFFF"/>
            <w:tcMar>
              <w:top w:w="40" w:type="dxa"/>
              <w:left w:w="155" w:type="dxa"/>
              <w:bottom w:w="40" w:type="dxa"/>
              <w:right w:w="20" w:type="dxa"/>
            </w:tcMar>
            <w:vAlign w:val="bottom"/>
          </w:tcPr>
          <w:p w14:paraId="5F2D2E79" w14:textId="77777777" w:rsidR="00E836FB" w:rsidRDefault="00994958">
            <w:pPr>
              <w:textAlignment w:val="bottom"/>
            </w:pPr>
            <w:r>
              <w:rPr>
                <w:rFonts w:ascii="Arial" w:eastAsia="宋体" w:hAnsi="Arial" w:cs="Arial"/>
                <w:color w:val="000000"/>
                <w:sz w:val="15"/>
                <w:szCs w:val="15"/>
              </w:rPr>
              <w:t>Futures</w:t>
            </w:r>
          </w:p>
        </w:tc>
        <w:tc>
          <w:tcPr>
            <w:tcW w:w="0" w:type="auto"/>
            <w:gridSpan w:val="2"/>
            <w:shd w:val="clear" w:color="auto" w:fill="FFFFFF"/>
            <w:tcMar>
              <w:top w:w="40" w:type="dxa"/>
              <w:left w:w="20" w:type="dxa"/>
              <w:bottom w:w="40" w:type="dxa"/>
              <w:right w:w="0" w:type="dxa"/>
            </w:tcMar>
            <w:vAlign w:val="bottom"/>
          </w:tcPr>
          <w:p w14:paraId="5F2D2E7A" w14:textId="77777777" w:rsidR="00E836FB" w:rsidRDefault="00994958">
            <w:pPr>
              <w:jc w:val="right"/>
              <w:textAlignment w:val="bottom"/>
            </w:pPr>
            <w:r>
              <w:rPr>
                <w:rFonts w:ascii="Arial" w:eastAsia="宋体" w:hAnsi="Arial" w:cs="Arial"/>
                <w:b/>
                <w:bCs/>
                <w:color w:val="000000"/>
                <w:sz w:val="15"/>
                <w:szCs w:val="15"/>
              </w:rPr>
              <w:t>2,359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E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E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E7D" w14:textId="77777777" w:rsidR="00E836FB" w:rsidRDefault="00994958">
            <w:pPr>
              <w:jc w:val="right"/>
              <w:textAlignment w:val="bottom"/>
            </w:pPr>
            <w:r>
              <w:rPr>
                <w:rFonts w:ascii="Arial" w:eastAsia="宋体" w:hAnsi="Arial" w:cs="Arial"/>
                <w:color w:val="000000"/>
                <w:sz w:val="15"/>
                <w:szCs w:val="15"/>
              </w:rPr>
              <w:t>1,980 </w:t>
            </w:r>
          </w:p>
        </w:tc>
        <w:tc>
          <w:tcPr>
            <w:tcW w:w="0" w:type="auto"/>
            <w:shd w:val="clear" w:color="auto" w:fill="FFFFFF"/>
            <w:tcMar>
              <w:top w:w="40" w:type="dxa"/>
              <w:left w:w="0" w:type="dxa"/>
              <w:bottom w:w="40" w:type="dxa"/>
              <w:right w:w="20" w:type="dxa"/>
            </w:tcMar>
            <w:vAlign w:val="bottom"/>
          </w:tcPr>
          <w:p w14:paraId="5F2D2E7E" w14:textId="77777777" w:rsidR="00E836FB" w:rsidRDefault="00E836FB">
            <w:pPr>
              <w:jc w:val="right"/>
              <w:rPr>
                <w:rFonts w:ascii="宋体"/>
              </w:rPr>
            </w:pPr>
          </w:p>
        </w:tc>
      </w:tr>
      <w:tr w:rsidR="00E836FB" w14:paraId="5F2D2E84" w14:textId="77777777">
        <w:trPr>
          <w:hidden/>
        </w:trPr>
        <w:tc>
          <w:tcPr>
            <w:tcW w:w="0" w:type="auto"/>
            <w:gridSpan w:val="3"/>
            <w:shd w:val="clear" w:color="auto" w:fill="auto"/>
            <w:vAlign w:val="bottom"/>
          </w:tcPr>
          <w:p w14:paraId="5F2D2E80" w14:textId="77777777" w:rsidR="00E836FB" w:rsidRDefault="00E836FB">
            <w:pPr>
              <w:rPr>
                <w:rFonts w:ascii="宋体"/>
                <w:vanish/>
              </w:rPr>
            </w:pPr>
          </w:p>
        </w:tc>
        <w:tc>
          <w:tcPr>
            <w:tcW w:w="0" w:type="auto"/>
            <w:gridSpan w:val="3"/>
            <w:shd w:val="clear" w:color="auto" w:fill="auto"/>
            <w:vAlign w:val="bottom"/>
          </w:tcPr>
          <w:p w14:paraId="5F2D2E81" w14:textId="77777777" w:rsidR="00E836FB" w:rsidRDefault="00E836FB">
            <w:pPr>
              <w:rPr>
                <w:rFonts w:ascii="宋体"/>
                <w:vanish/>
              </w:rPr>
            </w:pPr>
          </w:p>
        </w:tc>
        <w:tc>
          <w:tcPr>
            <w:tcW w:w="0" w:type="auto"/>
            <w:gridSpan w:val="3"/>
            <w:shd w:val="clear" w:color="auto" w:fill="auto"/>
            <w:vAlign w:val="bottom"/>
          </w:tcPr>
          <w:p w14:paraId="5F2D2E82" w14:textId="77777777" w:rsidR="00E836FB" w:rsidRDefault="00E836FB">
            <w:pPr>
              <w:rPr>
                <w:rFonts w:ascii="宋体"/>
                <w:vanish/>
              </w:rPr>
            </w:pPr>
          </w:p>
        </w:tc>
        <w:tc>
          <w:tcPr>
            <w:tcW w:w="0" w:type="auto"/>
            <w:gridSpan w:val="3"/>
            <w:shd w:val="clear" w:color="auto" w:fill="auto"/>
            <w:vAlign w:val="bottom"/>
          </w:tcPr>
          <w:p w14:paraId="5F2D2E83" w14:textId="77777777" w:rsidR="00E836FB" w:rsidRDefault="00E836FB">
            <w:pPr>
              <w:rPr>
                <w:rFonts w:ascii="宋体"/>
                <w:vanish/>
              </w:rPr>
            </w:pPr>
          </w:p>
        </w:tc>
      </w:tr>
      <w:tr w:rsidR="00E836FB" w14:paraId="5F2D2E89" w14:textId="77777777">
        <w:trPr>
          <w:hidden/>
        </w:trPr>
        <w:tc>
          <w:tcPr>
            <w:tcW w:w="0" w:type="auto"/>
            <w:gridSpan w:val="3"/>
            <w:shd w:val="clear" w:color="auto" w:fill="auto"/>
            <w:vAlign w:val="bottom"/>
          </w:tcPr>
          <w:p w14:paraId="5F2D2E85" w14:textId="77777777" w:rsidR="00E836FB" w:rsidRDefault="00E836FB">
            <w:pPr>
              <w:rPr>
                <w:rFonts w:ascii="宋体"/>
                <w:vanish/>
              </w:rPr>
            </w:pPr>
          </w:p>
        </w:tc>
        <w:tc>
          <w:tcPr>
            <w:tcW w:w="0" w:type="auto"/>
            <w:gridSpan w:val="3"/>
            <w:shd w:val="clear" w:color="auto" w:fill="auto"/>
            <w:vAlign w:val="bottom"/>
          </w:tcPr>
          <w:p w14:paraId="5F2D2E86" w14:textId="77777777" w:rsidR="00E836FB" w:rsidRDefault="00E836FB">
            <w:pPr>
              <w:rPr>
                <w:rFonts w:ascii="宋体"/>
                <w:vanish/>
              </w:rPr>
            </w:pPr>
          </w:p>
        </w:tc>
        <w:tc>
          <w:tcPr>
            <w:tcW w:w="0" w:type="auto"/>
            <w:gridSpan w:val="3"/>
            <w:shd w:val="clear" w:color="auto" w:fill="auto"/>
            <w:vAlign w:val="bottom"/>
          </w:tcPr>
          <w:p w14:paraId="5F2D2E87" w14:textId="77777777" w:rsidR="00E836FB" w:rsidRDefault="00E836FB">
            <w:pPr>
              <w:rPr>
                <w:rFonts w:ascii="宋体"/>
                <w:vanish/>
              </w:rPr>
            </w:pPr>
          </w:p>
        </w:tc>
        <w:tc>
          <w:tcPr>
            <w:tcW w:w="0" w:type="auto"/>
            <w:gridSpan w:val="3"/>
            <w:shd w:val="clear" w:color="auto" w:fill="auto"/>
            <w:vAlign w:val="bottom"/>
          </w:tcPr>
          <w:p w14:paraId="5F2D2E88" w14:textId="77777777" w:rsidR="00E836FB" w:rsidRDefault="00E836FB">
            <w:pPr>
              <w:rPr>
                <w:rFonts w:ascii="宋体"/>
                <w:vanish/>
              </w:rPr>
            </w:pPr>
          </w:p>
        </w:tc>
      </w:tr>
      <w:tr w:rsidR="00E836FB" w14:paraId="5F2D2E8E" w14:textId="77777777">
        <w:trPr>
          <w:hidden/>
        </w:trPr>
        <w:tc>
          <w:tcPr>
            <w:tcW w:w="0" w:type="auto"/>
            <w:gridSpan w:val="3"/>
            <w:shd w:val="clear" w:color="auto" w:fill="auto"/>
            <w:vAlign w:val="bottom"/>
          </w:tcPr>
          <w:p w14:paraId="5F2D2E8A" w14:textId="77777777" w:rsidR="00E836FB" w:rsidRDefault="00E836FB">
            <w:pPr>
              <w:rPr>
                <w:rFonts w:ascii="宋体"/>
                <w:vanish/>
              </w:rPr>
            </w:pPr>
          </w:p>
        </w:tc>
        <w:tc>
          <w:tcPr>
            <w:tcW w:w="0" w:type="auto"/>
            <w:gridSpan w:val="3"/>
            <w:shd w:val="clear" w:color="auto" w:fill="auto"/>
            <w:vAlign w:val="bottom"/>
          </w:tcPr>
          <w:p w14:paraId="5F2D2E8B" w14:textId="77777777" w:rsidR="00E836FB" w:rsidRDefault="00E836FB">
            <w:pPr>
              <w:rPr>
                <w:rFonts w:ascii="宋体"/>
                <w:vanish/>
              </w:rPr>
            </w:pPr>
          </w:p>
        </w:tc>
        <w:tc>
          <w:tcPr>
            <w:tcW w:w="0" w:type="auto"/>
            <w:gridSpan w:val="3"/>
            <w:shd w:val="clear" w:color="auto" w:fill="auto"/>
            <w:vAlign w:val="bottom"/>
          </w:tcPr>
          <w:p w14:paraId="5F2D2E8C" w14:textId="77777777" w:rsidR="00E836FB" w:rsidRDefault="00E836FB">
            <w:pPr>
              <w:rPr>
                <w:rFonts w:ascii="宋体"/>
                <w:vanish/>
              </w:rPr>
            </w:pPr>
          </w:p>
        </w:tc>
        <w:tc>
          <w:tcPr>
            <w:tcW w:w="0" w:type="auto"/>
            <w:gridSpan w:val="3"/>
            <w:shd w:val="clear" w:color="auto" w:fill="auto"/>
            <w:vAlign w:val="bottom"/>
          </w:tcPr>
          <w:p w14:paraId="5F2D2E8D" w14:textId="77777777" w:rsidR="00E836FB" w:rsidRDefault="00E836FB">
            <w:pPr>
              <w:rPr>
                <w:rFonts w:ascii="宋体"/>
                <w:vanish/>
              </w:rPr>
            </w:pPr>
          </w:p>
        </w:tc>
      </w:tr>
      <w:tr w:rsidR="00E836FB" w14:paraId="5F2D2E93" w14:textId="77777777">
        <w:trPr>
          <w:hidden/>
        </w:trPr>
        <w:tc>
          <w:tcPr>
            <w:tcW w:w="0" w:type="auto"/>
            <w:gridSpan w:val="3"/>
            <w:shd w:val="clear" w:color="auto" w:fill="auto"/>
            <w:vAlign w:val="bottom"/>
          </w:tcPr>
          <w:p w14:paraId="5F2D2E8F" w14:textId="77777777" w:rsidR="00E836FB" w:rsidRDefault="00E836FB">
            <w:pPr>
              <w:rPr>
                <w:rFonts w:ascii="宋体"/>
                <w:vanish/>
              </w:rPr>
            </w:pPr>
          </w:p>
        </w:tc>
        <w:tc>
          <w:tcPr>
            <w:tcW w:w="0" w:type="auto"/>
            <w:gridSpan w:val="3"/>
            <w:shd w:val="clear" w:color="auto" w:fill="auto"/>
            <w:vAlign w:val="bottom"/>
          </w:tcPr>
          <w:p w14:paraId="5F2D2E90" w14:textId="77777777" w:rsidR="00E836FB" w:rsidRDefault="00E836FB">
            <w:pPr>
              <w:rPr>
                <w:rFonts w:ascii="宋体"/>
                <w:vanish/>
              </w:rPr>
            </w:pPr>
          </w:p>
        </w:tc>
        <w:tc>
          <w:tcPr>
            <w:tcW w:w="0" w:type="auto"/>
            <w:gridSpan w:val="3"/>
            <w:shd w:val="clear" w:color="auto" w:fill="auto"/>
            <w:vAlign w:val="bottom"/>
          </w:tcPr>
          <w:p w14:paraId="5F2D2E91" w14:textId="77777777" w:rsidR="00E836FB" w:rsidRDefault="00E836FB">
            <w:pPr>
              <w:rPr>
                <w:rFonts w:ascii="宋体"/>
                <w:vanish/>
              </w:rPr>
            </w:pPr>
          </w:p>
        </w:tc>
        <w:tc>
          <w:tcPr>
            <w:tcW w:w="0" w:type="auto"/>
            <w:gridSpan w:val="3"/>
            <w:shd w:val="clear" w:color="auto" w:fill="auto"/>
            <w:vAlign w:val="bottom"/>
          </w:tcPr>
          <w:p w14:paraId="5F2D2E92" w14:textId="77777777" w:rsidR="00E836FB" w:rsidRDefault="00E836FB">
            <w:pPr>
              <w:rPr>
                <w:rFonts w:ascii="宋体"/>
                <w:vanish/>
              </w:rPr>
            </w:pPr>
          </w:p>
        </w:tc>
      </w:tr>
      <w:tr w:rsidR="00E836FB" w14:paraId="5F2D2E98" w14:textId="77777777">
        <w:trPr>
          <w:hidden/>
        </w:trPr>
        <w:tc>
          <w:tcPr>
            <w:tcW w:w="0" w:type="auto"/>
            <w:gridSpan w:val="3"/>
            <w:shd w:val="clear" w:color="auto" w:fill="auto"/>
            <w:vAlign w:val="bottom"/>
          </w:tcPr>
          <w:p w14:paraId="5F2D2E94" w14:textId="77777777" w:rsidR="00E836FB" w:rsidRDefault="00E836FB">
            <w:pPr>
              <w:rPr>
                <w:rFonts w:ascii="宋体"/>
                <w:vanish/>
              </w:rPr>
            </w:pPr>
          </w:p>
        </w:tc>
        <w:tc>
          <w:tcPr>
            <w:tcW w:w="0" w:type="auto"/>
            <w:gridSpan w:val="3"/>
            <w:shd w:val="clear" w:color="auto" w:fill="auto"/>
            <w:vAlign w:val="bottom"/>
          </w:tcPr>
          <w:p w14:paraId="5F2D2E95" w14:textId="77777777" w:rsidR="00E836FB" w:rsidRDefault="00E836FB">
            <w:pPr>
              <w:rPr>
                <w:rFonts w:ascii="宋体"/>
                <w:vanish/>
              </w:rPr>
            </w:pPr>
          </w:p>
        </w:tc>
        <w:tc>
          <w:tcPr>
            <w:tcW w:w="0" w:type="auto"/>
            <w:gridSpan w:val="3"/>
            <w:shd w:val="clear" w:color="auto" w:fill="auto"/>
            <w:vAlign w:val="bottom"/>
          </w:tcPr>
          <w:p w14:paraId="5F2D2E96" w14:textId="77777777" w:rsidR="00E836FB" w:rsidRDefault="00E836FB">
            <w:pPr>
              <w:rPr>
                <w:rFonts w:ascii="宋体"/>
                <w:vanish/>
              </w:rPr>
            </w:pPr>
          </w:p>
        </w:tc>
        <w:tc>
          <w:tcPr>
            <w:tcW w:w="0" w:type="auto"/>
            <w:gridSpan w:val="3"/>
            <w:shd w:val="clear" w:color="auto" w:fill="auto"/>
            <w:vAlign w:val="bottom"/>
          </w:tcPr>
          <w:p w14:paraId="5F2D2E97" w14:textId="77777777" w:rsidR="00E836FB" w:rsidRDefault="00E836FB">
            <w:pPr>
              <w:rPr>
                <w:rFonts w:ascii="宋体"/>
                <w:vanish/>
              </w:rPr>
            </w:pPr>
          </w:p>
        </w:tc>
      </w:tr>
      <w:tr w:rsidR="00E836FB" w14:paraId="5F2D2E9D" w14:textId="77777777">
        <w:trPr>
          <w:hidden/>
        </w:trPr>
        <w:tc>
          <w:tcPr>
            <w:tcW w:w="0" w:type="auto"/>
            <w:gridSpan w:val="3"/>
            <w:shd w:val="clear" w:color="auto" w:fill="auto"/>
            <w:vAlign w:val="bottom"/>
          </w:tcPr>
          <w:p w14:paraId="5F2D2E99" w14:textId="77777777" w:rsidR="00E836FB" w:rsidRDefault="00E836FB">
            <w:pPr>
              <w:rPr>
                <w:rFonts w:ascii="宋体"/>
                <w:vanish/>
              </w:rPr>
            </w:pPr>
          </w:p>
        </w:tc>
        <w:tc>
          <w:tcPr>
            <w:tcW w:w="0" w:type="auto"/>
            <w:gridSpan w:val="3"/>
            <w:shd w:val="clear" w:color="auto" w:fill="auto"/>
            <w:vAlign w:val="bottom"/>
          </w:tcPr>
          <w:p w14:paraId="5F2D2E9A" w14:textId="77777777" w:rsidR="00E836FB" w:rsidRDefault="00E836FB">
            <w:pPr>
              <w:rPr>
                <w:rFonts w:ascii="宋体"/>
                <w:vanish/>
              </w:rPr>
            </w:pPr>
          </w:p>
        </w:tc>
        <w:tc>
          <w:tcPr>
            <w:tcW w:w="0" w:type="auto"/>
            <w:gridSpan w:val="3"/>
            <w:shd w:val="clear" w:color="auto" w:fill="auto"/>
            <w:vAlign w:val="bottom"/>
          </w:tcPr>
          <w:p w14:paraId="5F2D2E9B" w14:textId="77777777" w:rsidR="00E836FB" w:rsidRDefault="00E836FB">
            <w:pPr>
              <w:rPr>
                <w:rFonts w:ascii="宋体"/>
                <w:vanish/>
              </w:rPr>
            </w:pPr>
          </w:p>
        </w:tc>
        <w:tc>
          <w:tcPr>
            <w:tcW w:w="0" w:type="auto"/>
            <w:gridSpan w:val="3"/>
            <w:shd w:val="clear" w:color="auto" w:fill="auto"/>
            <w:vAlign w:val="bottom"/>
          </w:tcPr>
          <w:p w14:paraId="5F2D2E9C" w14:textId="77777777" w:rsidR="00E836FB" w:rsidRDefault="00E836FB">
            <w:pPr>
              <w:rPr>
                <w:rFonts w:ascii="宋体"/>
                <w:vanish/>
              </w:rPr>
            </w:pPr>
          </w:p>
        </w:tc>
      </w:tr>
      <w:tr w:rsidR="00E836FB" w14:paraId="5F2D2EA2" w14:textId="77777777">
        <w:tc>
          <w:tcPr>
            <w:tcW w:w="0" w:type="auto"/>
            <w:gridSpan w:val="3"/>
            <w:shd w:val="clear" w:color="auto" w:fill="CCEEFF"/>
            <w:tcMar>
              <w:top w:w="40" w:type="dxa"/>
              <w:left w:w="20" w:type="dxa"/>
              <w:bottom w:w="40" w:type="dxa"/>
              <w:right w:w="20" w:type="dxa"/>
            </w:tcMar>
            <w:vAlign w:val="bottom"/>
          </w:tcPr>
          <w:p w14:paraId="5F2D2E9E" w14:textId="77777777" w:rsidR="00E836FB" w:rsidRDefault="00994958">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5F2D2E9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EA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EA1" w14:textId="77777777" w:rsidR="00E836FB" w:rsidRDefault="00E836FB">
            <w:pPr>
              <w:rPr>
                <w:rFonts w:ascii="宋体"/>
              </w:rPr>
            </w:pPr>
          </w:p>
        </w:tc>
      </w:tr>
      <w:tr w:rsidR="00E836FB" w14:paraId="5F2D2EA9" w14:textId="77777777">
        <w:tc>
          <w:tcPr>
            <w:tcW w:w="0" w:type="auto"/>
            <w:gridSpan w:val="3"/>
            <w:shd w:val="clear" w:color="auto" w:fill="FFFFFF"/>
            <w:tcMar>
              <w:top w:w="40" w:type="dxa"/>
              <w:left w:w="20" w:type="dxa"/>
              <w:bottom w:w="40" w:type="dxa"/>
              <w:right w:w="20" w:type="dxa"/>
            </w:tcMar>
            <w:vAlign w:val="bottom"/>
          </w:tcPr>
          <w:p w14:paraId="5F2D2EA3" w14:textId="77777777" w:rsidR="00E836FB" w:rsidRDefault="00994958">
            <w:pPr>
              <w:textAlignment w:val="bottom"/>
            </w:pPr>
            <w:r>
              <w:rPr>
                <w:rFonts w:ascii="Arial" w:eastAsia="宋体" w:hAnsi="Arial" w:cs="Arial"/>
                <w:color w:val="000000"/>
                <w:sz w:val="15"/>
                <w:szCs w:val="15"/>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F2D2EA4" w14:textId="77777777" w:rsidR="00E836FB" w:rsidRDefault="00994958">
            <w:pPr>
              <w:jc w:val="right"/>
              <w:textAlignment w:val="bottom"/>
            </w:pPr>
            <w:r>
              <w:rPr>
                <w:rFonts w:ascii="Arial" w:eastAsia="宋体" w:hAnsi="Arial" w:cs="Arial"/>
                <w:b/>
                <w:bCs/>
                <w:color w:val="000000"/>
                <w:sz w:val="15"/>
                <w:szCs w:val="15"/>
              </w:rPr>
              <w:t>32,868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E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EA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EA7" w14:textId="77777777" w:rsidR="00E836FB" w:rsidRDefault="00994958">
            <w:pPr>
              <w:jc w:val="right"/>
              <w:textAlignment w:val="bottom"/>
            </w:pPr>
            <w:r>
              <w:rPr>
                <w:rFonts w:ascii="Arial" w:eastAsia="宋体" w:hAnsi="Arial" w:cs="Arial"/>
                <w:color w:val="000000"/>
                <w:sz w:val="15"/>
                <w:szCs w:val="15"/>
              </w:rPr>
              <w:t>32,359 </w:t>
            </w:r>
          </w:p>
        </w:tc>
        <w:tc>
          <w:tcPr>
            <w:tcW w:w="0" w:type="auto"/>
            <w:shd w:val="clear" w:color="auto" w:fill="FFFFFF"/>
            <w:tcMar>
              <w:top w:w="40" w:type="dxa"/>
              <w:left w:w="0" w:type="dxa"/>
              <w:bottom w:w="40" w:type="dxa"/>
              <w:right w:w="20" w:type="dxa"/>
            </w:tcMar>
            <w:vAlign w:val="bottom"/>
          </w:tcPr>
          <w:p w14:paraId="5F2D2EA8" w14:textId="77777777" w:rsidR="00E836FB" w:rsidRDefault="00E836FB">
            <w:pPr>
              <w:jc w:val="right"/>
              <w:rPr>
                <w:rFonts w:ascii="宋体"/>
              </w:rPr>
            </w:pPr>
          </w:p>
        </w:tc>
      </w:tr>
      <w:tr w:rsidR="00E836FB" w14:paraId="5F2D2EB0" w14:textId="77777777">
        <w:tc>
          <w:tcPr>
            <w:tcW w:w="0" w:type="auto"/>
            <w:gridSpan w:val="3"/>
            <w:shd w:val="clear" w:color="auto" w:fill="CCEEFF"/>
            <w:tcMar>
              <w:top w:w="40" w:type="dxa"/>
              <w:left w:w="20" w:type="dxa"/>
              <w:bottom w:w="40" w:type="dxa"/>
              <w:right w:w="20" w:type="dxa"/>
            </w:tcMar>
            <w:vAlign w:val="bottom"/>
          </w:tcPr>
          <w:p w14:paraId="5F2D2EAA" w14:textId="77777777" w:rsidR="00E836FB" w:rsidRDefault="00994958">
            <w:pPr>
              <w:textAlignment w:val="bottom"/>
            </w:pPr>
            <w:r>
              <w:rPr>
                <w:rFonts w:ascii="Arial" w:eastAsia="宋体" w:hAnsi="Arial" w:cs="Arial"/>
                <w:color w:val="000000"/>
                <w:sz w:val="15"/>
                <w:szCs w:val="15"/>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F2D2EAB" w14:textId="77777777" w:rsidR="00E836FB" w:rsidRDefault="00994958">
            <w:pPr>
              <w:jc w:val="right"/>
              <w:textAlignment w:val="bottom"/>
            </w:pPr>
            <w:r>
              <w:rPr>
                <w:rFonts w:ascii="Arial" w:eastAsia="宋体" w:hAnsi="Arial" w:cs="Arial"/>
                <w:b/>
                <w:bCs/>
                <w:color w:val="000000"/>
                <w:sz w:val="15"/>
                <w:szCs w:val="15"/>
              </w:rPr>
              <w:t>308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E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E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2EAE" w14:textId="77777777" w:rsidR="00E836FB" w:rsidRDefault="00994958">
            <w:pPr>
              <w:jc w:val="right"/>
              <w:textAlignment w:val="bottom"/>
            </w:pPr>
            <w:r>
              <w:rPr>
                <w:rFonts w:ascii="Arial" w:eastAsia="宋体" w:hAnsi="Arial" w:cs="Arial"/>
                <w:color w:val="000000"/>
                <w:sz w:val="15"/>
                <w:szCs w:val="15"/>
              </w:rPr>
              <w:t>332 </w:t>
            </w:r>
          </w:p>
        </w:tc>
        <w:tc>
          <w:tcPr>
            <w:tcW w:w="0" w:type="auto"/>
            <w:shd w:val="clear" w:color="auto" w:fill="CCEEFF"/>
            <w:tcMar>
              <w:top w:w="40" w:type="dxa"/>
              <w:left w:w="0" w:type="dxa"/>
              <w:bottom w:w="40" w:type="dxa"/>
              <w:right w:w="20" w:type="dxa"/>
            </w:tcMar>
            <w:vAlign w:val="bottom"/>
          </w:tcPr>
          <w:p w14:paraId="5F2D2EAF" w14:textId="77777777" w:rsidR="00E836FB" w:rsidRDefault="00E836FB">
            <w:pPr>
              <w:jc w:val="right"/>
              <w:rPr>
                <w:rFonts w:ascii="宋体"/>
              </w:rPr>
            </w:pPr>
          </w:p>
        </w:tc>
      </w:tr>
      <w:tr w:rsidR="00E836FB" w14:paraId="5F2D2EB5" w14:textId="77777777">
        <w:tc>
          <w:tcPr>
            <w:tcW w:w="0" w:type="auto"/>
            <w:gridSpan w:val="3"/>
            <w:shd w:val="clear" w:color="auto" w:fill="FFFFFF"/>
            <w:tcMar>
              <w:top w:w="40" w:type="dxa"/>
              <w:left w:w="20" w:type="dxa"/>
              <w:bottom w:w="40" w:type="dxa"/>
              <w:right w:w="20" w:type="dxa"/>
            </w:tcMar>
            <w:vAlign w:val="bottom"/>
          </w:tcPr>
          <w:p w14:paraId="5F2D2EB1" w14:textId="77777777" w:rsidR="00E836FB" w:rsidRDefault="00994958">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FFFFFF"/>
            <w:tcMar>
              <w:top w:w="0" w:type="dxa"/>
              <w:left w:w="20" w:type="dxa"/>
              <w:bottom w:w="0" w:type="dxa"/>
              <w:right w:w="20" w:type="dxa"/>
            </w:tcMar>
            <w:vAlign w:val="bottom"/>
          </w:tcPr>
          <w:p w14:paraId="5F2D2EB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EB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2EB4" w14:textId="77777777" w:rsidR="00E836FB" w:rsidRDefault="00E836FB">
            <w:pPr>
              <w:rPr>
                <w:rFonts w:ascii="宋体"/>
              </w:rPr>
            </w:pPr>
          </w:p>
        </w:tc>
      </w:tr>
      <w:tr w:rsidR="00E836FB" w14:paraId="5F2D2EBA" w14:textId="77777777">
        <w:tc>
          <w:tcPr>
            <w:tcW w:w="0" w:type="auto"/>
            <w:gridSpan w:val="3"/>
            <w:shd w:val="clear" w:color="auto" w:fill="CCEEFF"/>
            <w:tcMar>
              <w:top w:w="40" w:type="dxa"/>
              <w:left w:w="20" w:type="dxa"/>
              <w:bottom w:w="40" w:type="dxa"/>
              <w:right w:w="20" w:type="dxa"/>
            </w:tcMar>
            <w:vAlign w:val="bottom"/>
          </w:tcPr>
          <w:p w14:paraId="5F2D2EB6" w14:textId="77777777" w:rsidR="00E836FB" w:rsidRDefault="00994958">
            <w:pPr>
              <w:textAlignment w:val="bottom"/>
            </w:pPr>
            <w:r>
              <w:rPr>
                <w:rFonts w:ascii="Arial" w:eastAsia="宋体" w:hAnsi="Arial" w:cs="Arial"/>
                <w:color w:val="000000"/>
                <w:sz w:val="15"/>
                <w:szCs w:val="15"/>
              </w:rPr>
              <w:t xml:space="preserve">Interest rate </w:t>
            </w:r>
            <w:r>
              <w:rPr>
                <w:rFonts w:ascii="Arial" w:eastAsia="宋体" w:hAnsi="Arial" w:cs="Arial"/>
                <w:color w:val="000000"/>
                <w:sz w:val="15"/>
                <w:szCs w:val="15"/>
              </w:rPr>
              <w:t>contracts:</w:t>
            </w:r>
          </w:p>
        </w:tc>
        <w:tc>
          <w:tcPr>
            <w:tcW w:w="0" w:type="auto"/>
            <w:gridSpan w:val="3"/>
            <w:shd w:val="clear" w:color="auto" w:fill="CCEEFF"/>
            <w:tcMar>
              <w:top w:w="0" w:type="dxa"/>
              <w:left w:w="20" w:type="dxa"/>
              <w:bottom w:w="0" w:type="dxa"/>
              <w:right w:w="20" w:type="dxa"/>
            </w:tcMar>
            <w:vAlign w:val="bottom"/>
          </w:tcPr>
          <w:p w14:paraId="5F2D2EB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EB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EB9" w14:textId="77777777" w:rsidR="00E836FB" w:rsidRDefault="00E836FB">
            <w:pPr>
              <w:rPr>
                <w:rFonts w:ascii="宋体"/>
              </w:rPr>
            </w:pPr>
          </w:p>
        </w:tc>
      </w:tr>
      <w:tr w:rsidR="00E836FB" w14:paraId="5F2D2EC1" w14:textId="77777777">
        <w:tc>
          <w:tcPr>
            <w:tcW w:w="0" w:type="auto"/>
            <w:gridSpan w:val="3"/>
            <w:shd w:val="clear" w:color="auto" w:fill="FFFFFF"/>
            <w:tcMar>
              <w:top w:w="40" w:type="dxa"/>
              <w:left w:w="155" w:type="dxa"/>
              <w:bottom w:w="40" w:type="dxa"/>
              <w:right w:w="20" w:type="dxa"/>
            </w:tcMar>
            <w:vAlign w:val="bottom"/>
          </w:tcPr>
          <w:p w14:paraId="5F2D2EBB" w14:textId="77777777" w:rsidR="00E836FB" w:rsidRDefault="00994958">
            <w:pPr>
              <w:textAlignment w:val="bottom"/>
            </w:pPr>
            <w:r>
              <w:rPr>
                <w:rFonts w:ascii="Arial" w:eastAsia="宋体" w:hAnsi="Arial" w:cs="Arial"/>
                <w:color w:val="000000"/>
                <w:sz w:val="15"/>
                <w:szCs w:val="15"/>
              </w:rPr>
              <w:t>Swap agreements</w:t>
            </w:r>
          </w:p>
        </w:tc>
        <w:tc>
          <w:tcPr>
            <w:tcW w:w="0" w:type="auto"/>
            <w:gridSpan w:val="2"/>
            <w:shd w:val="clear" w:color="auto" w:fill="FFFFFF"/>
            <w:tcMar>
              <w:top w:w="40" w:type="dxa"/>
              <w:left w:w="20" w:type="dxa"/>
              <w:bottom w:w="40" w:type="dxa"/>
              <w:right w:w="0" w:type="dxa"/>
            </w:tcMar>
            <w:vAlign w:val="bottom"/>
          </w:tcPr>
          <w:p w14:paraId="5F2D2EBC" w14:textId="77777777" w:rsidR="00E836FB" w:rsidRDefault="00994958">
            <w:pPr>
              <w:jc w:val="right"/>
              <w:textAlignment w:val="bottom"/>
            </w:pPr>
            <w:r>
              <w:rPr>
                <w:rFonts w:ascii="Arial" w:eastAsia="宋体" w:hAnsi="Arial" w:cs="Arial"/>
                <w:b/>
                <w:bCs/>
                <w:color w:val="000000"/>
                <w:sz w:val="15"/>
                <w:szCs w:val="15"/>
              </w:rPr>
              <w:t>15,100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EB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EB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EBF" w14:textId="77777777" w:rsidR="00E836FB" w:rsidRDefault="00994958">
            <w:pPr>
              <w:jc w:val="right"/>
              <w:textAlignment w:val="bottom"/>
            </w:pPr>
            <w:r>
              <w:rPr>
                <w:rFonts w:ascii="Arial" w:eastAsia="宋体" w:hAnsi="Arial" w:cs="Arial"/>
                <w:color w:val="000000"/>
                <w:sz w:val="15"/>
                <w:szCs w:val="15"/>
              </w:rPr>
              <w:t>7,449 </w:t>
            </w:r>
          </w:p>
        </w:tc>
        <w:tc>
          <w:tcPr>
            <w:tcW w:w="0" w:type="auto"/>
            <w:shd w:val="clear" w:color="auto" w:fill="FFFFFF"/>
            <w:tcMar>
              <w:top w:w="40" w:type="dxa"/>
              <w:left w:w="0" w:type="dxa"/>
              <w:bottom w:w="40" w:type="dxa"/>
              <w:right w:w="20" w:type="dxa"/>
            </w:tcMar>
            <w:vAlign w:val="bottom"/>
          </w:tcPr>
          <w:p w14:paraId="5F2D2EC0" w14:textId="77777777" w:rsidR="00E836FB" w:rsidRDefault="00E836FB">
            <w:pPr>
              <w:jc w:val="right"/>
              <w:rPr>
                <w:rFonts w:ascii="宋体"/>
              </w:rPr>
            </w:pPr>
          </w:p>
        </w:tc>
      </w:tr>
      <w:tr w:rsidR="00E836FB" w14:paraId="5F2D2EC6" w14:textId="77777777">
        <w:tc>
          <w:tcPr>
            <w:tcW w:w="0" w:type="auto"/>
            <w:gridSpan w:val="3"/>
            <w:shd w:val="clear" w:color="auto" w:fill="CCEEFF"/>
            <w:tcMar>
              <w:top w:w="40" w:type="dxa"/>
              <w:left w:w="20" w:type="dxa"/>
              <w:bottom w:w="40" w:type="dxa"/>
              <w:right w:w="20" w:type="dxa"/>
            </w:tcMar>
            <w:vAlign w:val="bottom"/>
          </w:tcPr>
          <w:p w14:paraId="5F2D2EC2" w14:textId="77777777" w:rsidR="00E836FB" w:rsidRDefault="00994958">
            <w:pPr>
              <w:textAlignment w:val="bottom"/>
            </w:pPr>
            <w:r>
              <w:rPr>
                <w:rFonts w:ascii="Arial" w:eastAsia="宋体" w:hAnsi="Arial" w:cs="Arial"/>
                <w:color w:val="000000"/>
                <w:sz w:val="15"/>
                <w:szCs w:val="15"/>
              </w:rPr>
              <w:t>Foreign exchange contracts:</w:t>
            </w:r>
          </w:p>
        </w:tc>
        <w:tc>
          <w:tcPr>
            <w:tcW w:w="0" w:type="auto"/>
            <w:gridSpan w:val="3"/>
            <w:shd w:val="clear" w:color="auto" w:fill="CCEEFF"/>
            <w:tcMar>
              <w:top w:w="0" w:type="dxa"/>
              <w:left w:w="20" w:type="dxa"/>
              <w:bottom w:w="0" w:type="dxa"/>
              <w:right w:w="20" w:type="dxa"/>
            </w:tcMar>
            <w:vAlign w:val="bottom"/>
          </w:tcPr>
          <w:p w14:paraId="5F2D2EC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EC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2EC5" w14:textId="77777777" w:rsidR="00E836FB" w:rsidRDefault="00E836FB">
            <w:pPr>
              <w:rPr>
                <w:rFonts w:ascii="宋体"/>
              </w:rPr>
            </w:pPr>
          </w:p>
        </w:tc>
      </w:tr>
      <w:tr w:rsidR="00E836FB" w14:paraId="5F2D2ECD" w14:textId="77777777">
        <w:tc>
          <w:tcPr>
            <w:tcW w:w="0" w:type="auto"/>
            <w:gridSpan w:val="3"/>
            <w:shd w:val="clear" w:color="auto" w:fill="FFFFFF"/>
            <w:tcMar>
              <w:top w:w="40" w:type="dxa"/>
              <w:left w:w="155" w:type="dxa"/>
              <w:bottom w:w="40" w:type="dxa"/>
              <w:right w:w="20" w:type="dxa"/>
            </w:tcMar>
            <w:vAlign w:val="bottom"/>
          </w:tcPr>
          <w:p w14:paraId="5F2D2EC7" w14:textId="77777777" w:rsidR="00E836FB" w:rsidRDefault="00994958">
            <w:pPr>
              <w:textAlignment w:val="bottom"/>
            </w:pPr>
            <w:r>
              <w:rPr>
                <w:rFonts w:ascii="Arial" w:eastAsia="宋体" w:hAnsi="Arial" w:cs="Arial"/>
                <w:color w:val="000000"/>
                <w:sz w:val="15"/>
                <w:szCs w:val="15"/>
              </w:rPr>
              <w:t>Forward and swap</w:t>
            </w:r>
          </w:p>
        </w:tc>
        <w:tc>
          <w:tcPr>
            <w:tcW w:w="0" w:type="auto"/>
            <w:gridSpan w:val="2"/>
            <w:shd w:val="clear" w:color="auto" w:fill="FFFFFF"/>
            <w:tcMar>
              <w:top w:w="40" w:type="dxa"/>
              <w:left w:w="20" w:type="dxa"/>
              <w:bottom w:w="40" w:type="dxa"/>
              <w:right w:w="0" w:type="dxa"/>
            </w:tcMar>
            <w:vAlign w:val="bottom"/>
          </w:tcPr>
          <w:p w14:paraId="5F2D2EC8" w14:textId="77777777" w:rsidR="00E836FB" w:rsidRDefault="00994958">
            <w:pPr>
              <w:jc w:val="right"/>
              <w:textAlignment w:val="bottom"/>
            </w:pPr>
            <w:r>
              <w:rPr>
                <w:rFonts w:ascii="Arial" w:eastAsia="宋体" w:hAnsi="Arial" w:cs="Arial"/>
                <w:b/>
                <w:bCs/>
                <w:color w:val="000000"/>
                <w:sz w:val="15"/>
                <w:szCs w:val="15"/>
              </w:rPr>
              <w:t>6,700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E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EC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ECB" w14:textId="77777777" w:rsidR="00E836FB" w:rsidRDefault="00994958">
            <w:pPr>
              <w:jc w:val="right"/>
              <w:textAlignment w:val="bottom"/>
            </w:pPr>
            <w:r>
              <w:rPr>
                <w:rFonts w:ascii="Arial" w:eastAsia="宋体" w:hAnsi="Arial" w:cs="Arial"/>
                <w:color w:val="000000"/>
                <w:sz w:val="15"/>
                <w:szCs w:val="15"/>
              </w:rPr>
              <w:t>5,221 </w:t>
            </w:r>
          </w:p>
        </w:tc>
        <w:tc>
          <w:tcPr>
            <w:tcW w:w="0" w:type="auto"/>
            <w:shd w:val="clear" w:color="auto" w:fill="FFFFFF"/>
            <w:tcMar>
              <w:top w:w="40" w:type="dxa"/>
              <w:left w:w="0" w:type="dxa"/>
              <w:bottom w:w="40" w:type="dxa"/>
              <w:right w:w="20" w:type="dxa"/>
            </w:tcMar>
            <w:vAlign w:val="bottom"/>
          </w:tcPr>
          <w:p w14:paraId="5F2D2ECC" w14:textId="77777777" w:rsidR="00E836FB" w:rsidRDefault="00E836FB">
            <w:pPr>
              <w:jc w:val="right"/>
              <w:rPr>
                <w:rFonts w:ascii="宋体"/>
              </w:rPr>
            </w:pPr>
          </w:p>
        </w:tc>
      </w:tr>
    </w:tbl>
    <w:p w14:paraId="5F2D2ECE"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24"/>
        <w:gridCol w:w="36"/>
        <w:gridCol w:w="69"/>
        <w:gridCol w:w="4131"/>
        <w:gridCol w:w="36"/>
        <w:gridCol w:w="36"/>
        <w:gridCol w:w="36"/>
      </w:tblGrid>
      <w:tr w:rsidR="00E836FB" w14:paraId="5F2D2ED7" w14:textId="77777777">
        <w:tc>
          <w:tcPr>
            <w:tcW w:w="50" w:type="pct"/>
            <w:shd w:val="clear" w:color="auto" w:fill="auto"/>
            <w:vAlign w:val="bottom"/>
          </w:tcPr>
          <w:p w14:paraId="5F2D2ECF" w14:textId="77777777" w:rsidR="00E836FB" w:rsidRDefault="00E836FB">
            <w:pPr>
              <w:rPr>
                <w:rFonts w:ascii="宋体"/>
              </w:rPr>
            </w:pPr>
          </w:p>
        </w:tc>
        <w:tc>
          <w:tcPr>
            <w:tcW w:w="2382" w:type="pct"/>
            <w:shd w:val="clear" w:color="auto" w:fill="auto"/>
            <w:vAlign w:val="bottom"/>
          </w:tcPr>
          <w:p w14:paraId="5F2D2ED0" w14:textId="77777777" w:rsidR="00E836FB" w:rsidRDefault="00E836FB">
            <w:pPr>
              <w:rPr>
                <w:rFonts w:ascii="宋体"/>
              </w:rPr>
            </w:pPr>
          </w:p>
        </w:tc>
        <w:tc>
          <w:tcPr>
            <w:tcW w:w="5" w:type="pct"/>
            <w:shd w:val="clear" w:color="auto" w:fill="auto"/>
            <w:vAlign w:val="bottom"/>
          </w:tcPr>
          <w:p w14:paraId="5F2D2ED1" w14:textId="77777777" w:rsidR="00E836FB" w:rsidRDefault="00E836FB">
            <w:pPr>
              <w:rPr>
                <w:rFonts w:ascii="宋体"/>
              </w:rPr>
            </w:pPr>
          </w:p>
        </w:tc>
        <w:tc>
          <w:tcPr>
            <w:tcW w:w="50" w:type="pct"/>
            <w:shd w:val="clear" w:color="auto" w:fill="auto"/>
            <w:vAlign w:val="bottom"/>
          </w:tcPr>
          <w:p w14:paraId="5F2D2ED2" w14:textId="77777777" w:rsidR="00E836FB" w:rsidRDefault="00E836FB">
            <w:pPr>
              <w:rPr>
                <w:rFonts w:ascii="宋体"/>
              </w:rPr>
            </w:pPr>
          </w:p>
        </w:tc>
        <w:tc>
          <w:tcPr>
            <w:tcW w:w="2507" w:type="pct"/>
            <w:shd w:val="clear" w:color="auto" w:fill="auto"/>
            <w:vAlign w:val="bottom"/>
          </w:tcPr>
          <w:p w14:paraId="5F2D2ED3" w14:textId="77777777" w:rsidR="00E836FB" w:rsidRDefault="00E836FB">
            <w:pPr>
              <w:rPr>
                <w:rFonts w:ascii="宋体"/>
              </w:rPr>
            </w:pPr>
          </w:p>
        </w:tc>
        <w:tc>
          <w:tcPr>
            <w:tcW w:w="5" w:type="pct"/>
            <w:shd w:val="clear" w:color="auto" w:fill="auto"/>
            <w:vAlign w:val="bottom"/>
          </w:tcPr>
          <w:p w14:paraId="5F2D2ED4" w14:textId="77777777" w:rsidR="00E836FB" w:rsidRDefault="00E836FB">
            <w:pPr>
              <w:rPr>
                <w:rFonts w:ascii="宋体"/>
              </w:rPr>
            </w:pPr>
          </w:p>
        </w:tc>
        <w:tc>
          <w:tcPr>
            <w:tcW w:w="0" w:type="auto"/>
            <w:shd w:val="clear" w:color="auto" w:fill="auto"/>
            <w:vAlign w:val="bottom"/>
          </w:tcPr>
          <w:p w14:paraId="5F2D2ED5" w14:textId="77777777" w:rsidR="00E836FB" w:rsidRDefault="00E836FB">
            <w:pPr>
              <w:rPr>
                <w:rFonts w:ascii="宋体"/>
                <w:vanish/>
              </w:rPr>
            </w:pPr>
          </w:p>
        </w:tc>
        <w:tc>
          <w:tcPr>
            <w:tcW w:w="0" w:type="auto"/>
            <w:shd w:val="clear" w:color="auto" w:fill="auto"/>
            <w:vAlign w:val="bottom"/>
          </w:tcPr>
          <w:p w14:paraId="5F2D2ED6" w14:textId="77777777" w:rsidR="00E836FB" w:rsidRDefault="00E836FB">
            <w:pPr>
              <w:rPr>
                <w:rFonts w:ascii="宋体"/>
                <w:vanish/>
              </w:rPr>
            </w:pPr>
          </w:p>
        </w:tc>
      </w:tr>
      <w:tr w:rsidR="00E836FB" w14:paraId="5F2D2ED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ED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ED9" w14:textId="77777777" w:rsidR="00E836FB" w:rsidRDefault="00E836FB">
            <w:pPr>
              <w:rPr>
                <w:rFonts w:ascii="宋体"/>
              </w:rPr>
            </w:pPr>
          </w:p>
        </w:tc>
        <w:tc>
          <w:tcPr>
            <w:tcW w:w="0" w:type="auto"/>
            <w:shd w:val="clear" w:color="auto" w:fill="auto"/>
            <w:vAlign w:val="bottom"/>
          </w:tcPr>
          <w:p w14:paraId="5F2D2EDA" w14:textId="77777777" w:rsidR="00E836FB" w:rsidRDefault="00E836FB">
            <w:pPr>
              <w:rPr>
                <w:rFonts w:ascii="宋体"/>
                <w:vanish/>
              </w:rPr>
            </w:pPr>
          </w:p>
        </w:tc>
        <w:tc>
          <w:tcPr>
            <w:tcW w:w="0" w:type="auto"/>
            <w:shd w:val="clear" w:color="auto" w:fill="auto"/>
            <w:vAlign w:val="bottom"/>
          </w:tcPr>
          <w:p w14:paraId="5F2D2EDB" w14:textId="77777777" w:rsidR="00E836FB" w:rsidRDefault="00E836FB">
            <w:pPr>
              <w:rPr>
                <w:rFonts w:ascii="宋体"/>
                <w:vanish/>
              </w:rPr>
            </w:pPr>
          </w:p>
        </w:tc>
      </w:tr>
    </w:tbl>
    <w:p w14:paraId="5F2D2EDD" w14:textId="77777777" w:rsidR="00E836FB" w:rsidRDefault="00994958">
      <w:pPr>
        <w:jc w:val="both"/>
        <w:textAlignment w:val="top"/>
      </w:pPr>
      <w:r>
        <w:rPr>
          <w:rFonts w:ascii="Arial" w:eastAsia="宋体" w:hAnsi="Arial" w:cs="Arial"/>
          <w:color w:val="000000"/>
          <w:sz w:val="9"/>
          <w:szCs w:val="9"/>
        </w:rPr>
        <w:t>(1)</w:t>
      </w:r>
      <w:r>
        <w:rPr>
          <w:rFonts w:ascii="Arial" w:eastAsia="宋体" w:hAnsi="Arial" w:cs="Arial"/>
          <w:color w:val="000000"/>
          <w:sz w:val="14"/>
          <w:szCs w:val="14"/>
        </w:rPr>
        <w:t xml:space="preserve"> The notional value of the stable value contracts represents our maximum exposure. However, exposure to various stable value contracts is generally contractually limited to substantially lower amounts than the notional values.</w:t>
      </w:r>
    </w:p>
    <w:p w14:paraId="5F2D2EDE" w14:textId="77777777" w:rsidR="00E836FB" w:rsidRDefault="00994958">
      <w:pPr>
        <w:spacing w:before="90"/>
        <w:jc w:val="both"/>
        <w:textAlignment w:val="top"/>
      </w:pPr>
      <w:r>
        <w:rPr>
          <w:rFonts w:ascii="Arial" w:eastAsia="宋体" w:hAnsi="Arial" w:cs="Arial"/>
          <w:color w:val="000000"/>
          <w:sz w:val="9"/>
          <w:szCs w:val="9"/>
        </w:rPr>
        <w:t>(2)</w:t>
      </w:r>
      <w:r>
        <w:rPr>
          <w:rFonts w:ascii="Arial" w:eastAsia="宋体" w:hAnsi="Arial" w:cs="Arial"/>
          <w:color w:val="000000"/>
          <w:sz w:val="14"/>
          <w:szCs w:val="14"/>
        </w:rPr>
        <w:t xml:space="preserve"> Represents grants of defe</w:t>
      </w:r>
      <w:r>
        <w:rPr>
          <w:rFonts w:ascii="Arial" w:eastAsia="宋体" w:hAnsi="Arial" w:cs="Arial"/>
          <w:color w:val="000000"/>
          <w:sz w:val="14"/>
          <w:szCs w:val="14"/>
        </w:rPr>
        <w:t>rred value awards to employees; refer to discussion in this note under "Derivatives Not Designated as Hedging Instruments."</w:t>
      </w:r>
    </w:p>
    <w:p w14:paraId="5F2D2EDF" w14:textId="77777777" w:rsidR="00E836FB" w:rsidRDefault="00994958">
      <w:pPr>
        <w:spacing w:before="60"/>
        <w:ind w:firstLine="450"/>
        <w:jc w:val="both"/>
        <w:textAlignment w:val="top"/>
      </w:pPr>
      <w:r>
        <w:rPr>
          <w:rFonts w:ascii="Arial" w:eastAsia="宋体" w:hAnsi="Arial" w:cs="Arial"/>
          <w:color w:val="000000"/>
          <w:sz w:val="20"/>
          <w:szCs w:val="20"/>
        </w:rPr>
        <w:t>Notional amounts are provided here as an indication of the volume of our derivative activity and serve as a reference to calculate t</w:t>
      </w:r>
      <w:r>
        <w:rPr>
          <w:rFonts w:ascii="Arial" w:eastAsia="宋体" w:hAnsi="Arial" w:cs="Arial"/>
          <w:color w:val="000000"/>
          <w:sz w:val="20"/>
          <w:szCs w:val="20"/>
        </w:rPr>
        <w:t>he fair values of the derivative.</w:t>
      </w:r>
    </w:p>
    <w:p w14:paraId="5F2D2EE0" w14:textId="77777777" w:rsidR="00E836FB" w:rsidRDefault="00994958">
      <w:pPr>
        <w:ind w:firstLine="450"/>
        <w:jc w:val="right"/>
      </w:pPr>
      <w:r>
        <w:rPr>
          <w:rFonts w:ascii="Arial" w:eastAsia="宋体" w:hAnsi="Arial" w:cs="Arial"/>
          <w:color w:val="000000"/>
          <w:sz w:val="18"/>
          <w:szCs w:val="18"/>
        </w:rPr>
        <w:t>State Street Corporation | 159</w:t>
      </w:r>
    </w:p>
    <w:p w14:paraId="5F2D2EE1" w14:textId="77777777" w:rsidR="00E836FB" w:rsidRDefault="00E836FB">
      <w:pPr>
        <w:ind w:firstLine="450"/>
        <w:jc w:val="center"/>
      </w:pPr>
    </w:p>
    <w:p w14:paraId="5F2D2EE2" w14:textId="77777777" w:rsidR="00E836FB" w:rsidRDefault="00994958">
      <w:r>
        <w:pict w14:anchorId="5F2D6E24">
          <v:rect id="_x0000_i1183" style="width:415.3pt;height:1.5pt" o:hralign="center" o:hrstd="t" o:hr="t" fillcolor="#a0a0a0" stroked="f"/>
        </w:pict>
      </w:r>
    </w:p>
    <w:p w14:paraId="5F2D2EE3" w14:textId="77777777" w:rsidR="00E836FB" w:rsidRDefault="00994958">
      <w:pPr>
        <w:ind w:firstLine="450"/>
        <w:jc w:val="center"/>
      </w:pPr>
      <w:r>
        <w:rPr>
          <w:rFonts w:ascii="Arial" w:eastAsia="宋体" w:hAnsi="Arial" w:cs="Arial"/>
          <w:b/>
          <w:bCs/>
          <w:color w:val="000000"/>
          <w:sz w:val="20"/>
          <w:szCs w:val="20"/>
        </w:rPr>
        <w:t>STATE STREET CORPORATION</w:t>
      </w:r>
    </w:p>
    <w:p w14:paraId="5F2D2EE4"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2EE5" w14:textId="77777777" w:rsidR="00E836FB" w:rsidRDefault="00994958">
      <w:pPr>
        <w:spacing w:before="60"/>
        <w:ind w:firstLine="450"/>
        <w:jc w:val="both"/>
      </w:pPr>
      <w:r>
        <w:rPr>
          <w:rFonts w:ascii="Arial" w:eastAsia="宋体" w:hAnsi="Arial" w:cs="Arial"/>
          <w:color w:val="000000"/>
          <w:sz w:val="20"/>
          <w:szCs w:val="20"/>
        </w:rPr>
        <w:t xml:space="preserve">The following table presents the fair value of derivative financial instruments, excluding the impact of master </w:t>
      </w:r>
      <w:r>
        <w:rPr>
          <w:rFonts w:ascii="Arial" w:eastAsia="宋体" w:hAnsi="Arial" w:cs="Arial"/>
          <w:color w:val="000000"/>
          <w:sz w:val="20"/>
          <w:szCs w:val="20"/>
        </w:rPr>
        <w:t>netting agreements, recorded in our consolidated statement of condition as of the dates indicated. The impact of master netting agreements is provided in Note 11.</w:t>
      </w:r>
    </w:p>
    <w:tbl>
      <w:tblPr>
        <w:tblW w:w="5000" w:type="pct"/>
        <w:tblCellMar>
          <w:top w:w="15" w:type="dxa"/>
          <w:left w:w="15" w:type="dxa"/>
          <w:bottom w:w="15" w:type="dxa"/>
          <w:right w:w="15" w:type="dxa"/>
        </w:tblCellMar>
        <w:tblLook w:val="04A0" w:firstRow="1" w:lastRow="0" w:firstColumn="1" w:lastColumn="0" w:noHBand="0" w:noVBand="1"/>
      </w:tblPr>
      <w:tblGrid>
        <w:gridCol w:w="39"/>
        <w:gridCol w:w="3020"/>
        <w:gridCol w:w="36"/>
        <w:gridCol w:w="105"/>
        <w:gridCol w:w="1115"/>
        <w:gridCol w:w="36"/>
        <w:gridCol w:w="36"/>
        <w:gridCol w:w="36"/>
        <w:gridCol w:w="36"/>
        <w:gridCol w:w="105"/>
        <w:gridCol w:w="1078"/>
        <w:gridCol w:w="36"/>
        <w:gridCol w:w="36"/>
        <w:gridCol w:w="36"/>
        <w:gridCol w:w="36"/>
        <w:gridCol w:w="105"/>
        <w:gridCol w:w="1080"/>
        <w:gridCol w:w="36"/>
        <w:gridCol w:w="36"/>
        <w:gridCol w:w="36"/>
        <w:gridCol w:w="36"/>
        <w:gridCol w:w="105"/>
        <w:gridCol w:w="1080"/>
        <w:gridCol w:w="36"/>
      </w:tblGrid>
      <w:tr w:rsidR="00E836FB" w14:paraId="5F2D2EFE" w14:textId="77777777">
        <w:tc>
          <w:tcPr>
            <w:tcW w:w="50" w:type="pct"/>
            <w:shd w:val="clear" w:color="auto" w:fill="auto"/>
            <w:vAlign w:val="bottom"/>
          </w:tcPr>
          <w:p w14:paraId="5F2D2EE6" w14:textId="77777777" w:rsidR="00E836FB" w:rsidRDefault="00E836FB">
            <w:pPr>
              <w:rPr>
                <w:rFonts w:ascii="宋体"/>
              </w:rPr>
            </w:pPr>
          </w:p>
        </w:tc>
        <w:tc>
          <w:tcPr>
            <w:tcW w:w="1837" w:type="pct"/>
            <w:shd w:val="clear" w:color="auto" w:fill="auto"/>
            <w:vAlign w:val="bottom"/>
          </w:tcPr>
          <w:p w14:paraId="5F2D2EE7" w14:textId="77777777" w:rsidR="00E836FB" w:rsidRDefault="00E836FB">
            <w:pPr>
              <w:rPr>
                <w:rFonts w:ascii="宋体"/>
              </w:rPr>
            </w:pPr>
          </w:p>
        </w:tc>
        <w:tc>
          <w:tcPr>
            <w:tcW w:w="5" w:type="pct"/>
            <w:shd w:val="clear" w:color="auto" w:fill="auto"/>
            <w:vAlign w:val="bottom"/>
          </w:tcPr>
          <w:p w14:paraId="5F2D2EE8" w14:textId="77777777" w:rsidR="00E836FB" w:rsidRDefault="00E836FB">
            <w:pPr>
              <w:rPr>
                <w:rFonts w:ascii="宋体"/>
              </w:rPr>
            </w:pPr>
          </w:p>
        </w:tc>
        <w:tc>
          <w:tcPr>
            <w:tcW w:w="50" w:type="pct"/>
            <w:shd w:val="clear" w:color="auto" w:fill="auto"/>
            <w:vAlign w:val="bottom"/>
          </w:tcPr>
          <w:p w14:paraId="5F2D2EE9" w14:textId="77777777" w:rsidR="00E836FB" w:rsidRDefault="00E836FB">
            <w:pPr>
              <w:rPr>
                <w:rFonts w:ascii="宋体"/>
              </w:rPr>
            </w:pPr>
          </w:p>
        </w:tc>
        <w:tc>
          <w:tcPr>
            <w:tcW w:w="694" w:type="pct"/>
            <w:shd w:val="clear" w:color="auto" w:fill="auto"/>
            <w:vAlign w:val="bottom"/>
          </w:tcPr>
          <w:p w14:paraId="5F2D2EEA" w14:textId="77777777" w:rsidR="00E836FB" w:rsidRDefault="00E836FB">
            <w:pPr>
              <w:rPr>
                <w:rFonts w:ascii="宋体"/>
              </w:rPr>
            </w:pPr>
          </w:p>
        </w:tc>
        <w:tc>
          <w:tcPr>
            <w:tcW w:w="5" w:type="pct"/>
            <w:shd w:val="clear" w:color="auto" w:fill="auto"/>
            <w:vAlign w:val="bottom"/>
          </w:tcPr>
          <w:p w14:paraId="5F2D2EEB" w14:textId="77777777" w:rsidR="00E836FB" w:rsidRDefault="00E836FB">
            <w:pPr>
              <w:rPr>
                <w:rFonts w:ascii="宋体"/>
              </w:rPr>
            </w:pPr>
          </w:p>
        </w:tc>
        <w:tc>
          <w:tcPr>
            <w:tcW w:w="5" w:type="pct"/>
            <w:shd w:val="clear" w:color="auto" w:fill="auto"/>
            <w:vAlign w:val="bottom"/>
          </w:tcPr>
          <w:p w14:paraId="5F2D2EEC" w14:textId="77777777" w:rsidR="00E836FB" w:rsidRDefault="00E836FB">
            <w:pPr>
              <w:rPr>
                <w:rFonts w:ascii="宋体"/>
              </w:rPr>
            </w:pPr>
          </w:p>
        </w:tc>
        <w:tc>
          <w:tcPr>
            <w:tcW w:w="26" w:type="pct"/>
            <w:shd w:val="clear" w:color="auto" w:fill="auto"/>
            <w:vAlign w:val="bottom"/>
          </w:tcPr>
          <w:p w14:paraId="5F2D2EED" w14:textId="77777777" w:rsidR="00E836FB" w:rsidRDefault="00E836FB">
            <w:pPr>
              <w:rPr>
                <w:rFonts w:ascii="宋体"/>
              </w:rPr>
            </w:pPr>
          </w:p>
        </w:tc>
        <w:tc>
          <w:tcPr>
            <w:tcW w:w="5" w:type="pct"/>
            <w:shd w:val="clear" w:color="auto" w:fill="auto"/>
            <w:vAlign w:val="bottom"/>
          </w:tcPr>
          <w:p w14:paraId="5F2D2EEE" w14:textId="77777777" w:rsidR="00E836FB" w:rsidRDefault="00E836FB">
            <w:pPr>
              <w:rPr>
                <w:rFonts w:ascii="宋体"/>
              </w:rPr>
            </w:pPr>
          </w:p>
        </w:tc>
        <w:tc>
          <w:tcPr>
            <w:tcW w:w="50" w:type="pct"/>
            <w:shd w:val="clear" w:color="auto" w:fill="auto"/>
            <w:vAlign w:val="bottom"/>
          </w:tcPr>
          <w:p w14:paraId="5F2D2EEF" w14:textId="77777777" w:rsidR="00E836FB" w:rsidRDefault="00E836FB">
            <w:pPr>
              <w:rPr>
                <w:rFonts w:ascii="宋体"/>
              </w:rPr>
            </w:pPr>
          </w:p>
        </w:tc>
        <w:tc>
          <w:tcPr>
            <w:tcW w:w="694" w:type="pct"/>
            <w:shd w:val="clear" w:color="auto" w:fill="auto"/>
            <w:vAlign w:val="bottom"/>
          </w:tcPr>
          <w:p w14:paraId="5F2D2EF0" w14:textId="77777777" w:rsidR="00E836FB" w:rsidRDefault="00E836FB">
            <w:pPr>
              <w:rPr>
                <w:rFonts w:ascii="宋体"/>
              </w:rPr>
            </w:pPr>
          </w:p>
        </w:tc>
        <w:tc>
          <w:tcPr>
            <w:tcW w:w="5" w:type="pct"/>
            <w:shd w:val="clear" w:color="auto" w:fill="auto"/>
            <w:vAlign w:val="bottom"/>
          </w:tcPr>
          <w:p w14:paraId="5F2D2EF1" w14:textId="77777777" w:rsidR="00E836FB" w:rsidRDefault="00E836FB">
            <w:pPr>
              <w:rPr>
                <w:rFonts w:ascii="宋体"/>
              </w:rPr>
            </w:pPr>
          </w:p>
        </w:tc>
        <w:tc>
          <w:tcPr>
            <w:tcW w:w="5" w:type="pct"/>
            <w:shd w:val="clear" w:color="auto" w:fill="auto"/>
            <w:vAlign w:val="bottom"/>
          </w:tcPr>
          <w:p w14:paraId="5F2D2EF2" w14:textId="77777777" w:rsidR="00E836FB" w:rsidRDefault="00E836FB">
            <w:pPr>
              <w:rPr>
                <w:rFonts w:ascii="宋体"/>
              </w:rPr>
            </w:pPr>
          </w:p>
        </w:tc>
        <w:tc>
          <w:tcPr>
            <w:tcW w:w="26" w:type="pct"/>
            <w:shd w:val="clear" w:color="auto" w:fill="auto"/>
            <w:vAlign w:val="bottom"/>
          </w:tcPr>
          <w:p w14:paraId="5F2D2EF3" w14:textId="77777777" w:rsidR="00E836FB" w:rsidRDefault="00E836FB">
            <w:pPr>
              <w:rPr>
                <w:rFonts w:ascii="宋体"/>
              </w:rPr>
            </w:pPr>
          </w:p>
        </w:tc>
        <w:tc>
          <w:tcPr>
            <w:tcW w:w="5" w:type="pct"/>
            <w:shd w:val="clear" w:color="auto" w:fill="auto"/>
            <w:vAlign w:val="bottom"/>
          </w:tcPr>
          <w:p w14:paraId="5F2D2EF4" w14:textId="77777777" w:rsidR="00E836FB" w:rsidRDefault="00E836FB">
            <w:pPr>
              <w:rPr>
                <w:rFonts w:ascii="宋体"/>
              </w:rPr>
            </w:pPr>
          </w:p>
        </w:tc>
        <w:tc>
          <w:tcPr>
            <w:tcW w:w="50" w:type="pct"/>
            <w:shd w:val="clear" w:color="auto" w:fill="auto"/>
            <w:vAlign w:val="bottom"/>
          </w:tcPr>
          <w:p w14:paraId="5F2D2EF5" w14:textId="77777777" w:rsidR="00E836FB" w:rsidRDefault="00E836FB">
            <w:pPr>
              <w:rPr>
                <w:rFonts w:ascii="宋体"/>
              </w:rPr>
            </w:pPr>
          </w:p>
        </w:tc>
        <w:tc>
          <w:tcPr>
            <w:tcW w:w="694" w:type="pct"/>
            <w:shd w:val="clear" w:color="auto" w:fill="auto"/>
            <w:vAlign w:val="bottom"/>
          </w:tcPr>
          <w:p w14:paraId="5F2D2EF6" w14:textId="77777777" w:rsidR="00E836FB" w:rsidRDefault="00E836FB">
            <w:pPr>
              <w:rPr>
                <w:rFonts w:ascii="宋体"/>
              </w:rPr>
            </w:pPr>
          </w:p>
        </w:tc>
        <w:tc>
          <w:tcPr>
            <w:tcW w:w="5" w:type="pct"/>
            <w:shd w:val="clear" w:color="auto" w:fill="auto"/>
            <w:vAlign w:val="bottom"/>
          </w:tcPr>
          <w:p w14:paraId="5F2D2EF7" w14:textId="77777777" w:rsidR="00E836FB" w:rsidRDefault="00E836FB">
            <w:pPr>
              <w:rPr>
                <w:rFonts w:ascii="宋体"/>
              </w:rPr>
            </w:pPr>
          </w:p>
        </w:tc>
        <w:tc>
          <w:tcPr>
            <w:tcW w:w="5" w:type="pct"/>
            <w:shd w:val="clear" w:color="auto" w:fill="auto"/>
            <w:vAlign w:val="bottom"/>
          </w:tcPr>
          <w:p w14:paraId="5F2D2EF8" w14:textId="77777777" w:rsidR="00E836FB" w:rsidRDefault="00E836FB">
            <w:pPr>
              <w:rPr>
                <w:rFonts w:ascii="宋体"/>
              </w:rPr>
            </w:pPr>
          </w:p>
        </w:tc>
        <w:tc>
          <w:tcPr>
            <w:tcW w:w="26" w:type="pct"/>
            <w:shd w:val="clear" w:color="auto" w:fill="auto"/>
            <w:vAlign w:val="bottom"/>
          </w:tcPr>
          <w:p w14:paraId="5F2D2EF9" w14:textId="77777777" w:rsidR="00E836FB" w:rsidRDefault="00E836FB">
            <w:pPr>
              <w:rPr>
                <w:rFonts w:ascii="宋体"/>
              </w:rPr>
            </w:pPr>
          </w:p>
        </w:tc>
        <w:tc>
          <w:tcPr>
            <w:tcW w:w="5" w:type="pct"/>
            <w:shd w:val="clear" w:color="auto" w:fill="auto"/>
            <w:vAlign w:val="bottom"/>
          </w:tcPr>
          <w:p w14:paraId="5F2D2EFA" w14:textId="77777777" w:rsidR="00E836FB" w:rsidRDefault="00E836FB">
            <w:pPr>
              <w:rPr>
                <w:rFonts w:ascii="宋体"/>
              </w:rPr>
            </w:pPr>
          </w:p>
        </w:tc>
        <w:tc>
          <w:tcPr>
            <w:tcW w:w="50" w:type="pct"/>
            <w:shd w:val="clear" w:color="auto" w:fill="auto"/>
            <w:vAlign w:val="bottom"/>
          </w:tcPr>
          <w:p w14:paraId="5F2D2EFB" w14:textId="77777777" w:rsidR="00E836FB" w:rsidRDefault="00E836FB">
            <w:pPr>
              <w:rPr>
                <w:rFonts w:ascii="宋体"/>
              </w:rPr>
            </w:pPr>
          </w:p>
        </w:tc>
        <w:tc>
          <w:tcPr>
            <w:tcW w:w="694" w:type="pct"/>
            <w:shd w:val="clear" w:color="auto" w:fill="auto"/>
            <w:vAlign w:val="bottom"/>
          </w:tcPr>
          <w:p w14:paraId="5F2D2EFC" w14:textId="77777777" w:rsidR="00E836FB" w:rsidRDefault="00E836FB">
            <w:pPr>
              <w:rPr>
                <w:rFonts w:ascii="宋体"/>
              </w:rPr>
            </w:pPr>
          </w:p>
        </w:tc>
        <w:tc>
          <w:tcPr>
            <w:tcW w:w="5" w:type="pct"/>
            <w:shd w:val="clear" w:color="auto" w:fill="auto"/>
            <w:vAlign w:val="bottom"/>
          </w:tcPr>
          <w:p w14:paraId="5F2D2EFD" w14:textId="77777777" w:rsidR="00E836FB" w:rsidRDefault="00E836FB">
            <w:pPr>
              <w:rPr>
                <w:rFonts w:ascii="宋体"/>
              </w:rPr>
            </w:pPr>
          </w:p>
        </w:tc>
      </w:tr>
      <w:tr w:rsidR="00E836FB" w14:paraId="5F2D2F03" w14:textId="77777777">
        <w:tc>
          <w:tcPr>
            <w:tcW w:w="0" w:type="auto"/>
            <w:gridSpan w:val="3"/>
            <w:shd w:val="clear" w:color="auto" w:fill="auto"/>
            <w:tcMar>
              <w:top w:w="0" w:type="dxa"/>
              <w:left w:w="20" w:type="dxa"/>
              <w:bottom w:w="0" w:type="dxa"/>
              <w:right w:w="20" w:type="dxa"/>
            </w:tcMar>
            <w:vAlign w:val="bottom"/>
          </w:tcPr>
          <w:p w14:paraId="5F2D2EFF"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D2F00" w14:textId="77777777" w:rsidR="00E836FB" w:rsidRDefault="00994958">
            <w:pPr>
              <w:jc w:val="center"/>
              <w:textAlignment w:val="bottom"/>
            </w:pPr>
            <w:r>
              <w:rPr>
                <w:rFonts w:ascii="Arial" w:eastAsia="宋体" w:hAnsi="Arial" w:cs="Arial"/>
                <w:b/>
                <w:bCs/>
                <w:color w:val="000000"/>
                <w:sz w:val="15"/>
                <w:szCs w:val="15"/>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F2D2F01"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D2F02" w14:textId="77777777" w:rsidR="00E836FB" w:rsidRDefault="00994958">
            <w:pPr>
              <w:jc w:val="center"/>
              <w:textAlignment w:val="bottom"/>
            </w:pPr>
            <w:r>
              <w:rPr>
                <w:rFonts w:ascii="Arial" w:eastAsia="宋体" w:hAnsi="Arial" w:cs="Arial"/>
                <w:b/>
                <w:bCs/>
                <w:color w:val="000000"/>
                <w:sz w:val="15"/>
                <w:szCs w:val="15"/>
              </w:rPr>
              <w:t>Derivative Liabilities</w:t>
            </w:r>
            <w:r>
              <w:rPr>
                <w:rFonts w:ascii="Arial" w:eastAsia="宋体" w:hAnsi="Arial" w:cs="Arial"/>
                <w:b/>
                <w:bCs/>
                <w:color w:val="000000"/>
                <w:sz w:val="9"/>
                <w:szCs w:val="9"/>
              </w:rPr>
              <w:t>(2)</w:t>
            </w:r>
          </w:p>
        </w:tc>
      </w:tr>
      <w:tr w:rsidR="00E836FB" w14:paraId="5F2D2F0C" w14:textId="77777777">
        <w:tc>
          <w:tcPr>
            <w:tcW w:w="0" w:type="auto"/>
            <w:gridSpan w:val="3"/>
            <w:shd w:val="clear" w:color="auto" w:fill="auto"/>
            <w:tcMar>
              <w:top w:w="40" w:type="dxa"/>
              <w:left w:w="20" w:type="dxa"/>
              <w:bottom w:w="40" w:type="dxa"/>
              <w:right w:w="20" w:type="dxa"/>
            </w:tcMar>
            <w:vAlign w:val="bottom"/>
          </w:tcPr>
          <w:p w14:paraId="5F2D2F04"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F05"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0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F07" w14:textId="77777777" w:rsidR="00E836FB" w:rsidRDefault="00994958">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F2D2F0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F09"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0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F0B"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D2F15" w14:textId="77777777">
        <w:tc>
          <w:tcPr>
            <w:tcW w:w="0" w:type="auto"/>
            <w:gridSpan w:val="3"/>
            <w:shd w:val="clear" w:color="auto" w:fill="auto"/>
            <w:tcMar>
              <w:top w:w="40" w:type="dxa"/>
              <w:left w:w="20" w:type="dxa"/>
              <w:bottom w:w="40" w:type="dxa"/>
              <w:right w:w="20" w:type="dxa"/>
            </w:tcMar>
            <w:vAlign w:val="bottom"/>
          </w:tcPr>
          <w:p w14:paraId="5F2D2F0D" w14:textId="77777777" w:rsidR="00E836FB" w:rsidRDefault="00994958">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0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0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1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1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1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1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14" w14:textId="77777777" w:rsidR="00E836FB" w:rsidRDefault="00E836FB">
            <w:pPr>
              <w:rPr>
                <w:rFonts w:ascii="宋体"/>
              </w:rPr>
            </w:pPr>
          </w:p>
        </w:tc>
      </w:tr>
      <w:tr w:rsidR="00E836FB" w14:paraId="5F2D2F26" w14:textId="77777777">
        <w:tc>
          <w:tcPr>
            <w:tcW w:w="0" w:type="auto"/>
            <w:gridSpan w:val="3"/>
            <w:shd w:val="clear" w:color="auto" w:fill="CCEEFF"/>
            <w:tcMar>
              <w:top w:w="40" w:type="dxa"/>
              <w:left w:w="20" w:type="dxa"/>
              <w:bottom w:w="40" w:type="dxa"/>
              <w:right w:w="20" w:type="dxa"/>
            </w:tcMar>
            <w:vAlign w:val="bottom"/>
          </w:tcPr>
          <w:p w14:paraId="5F2D2F16" w14:textId="77777777" w:rsidR="00E836FB" w:rsidRDefault="00994958">
            <w:pPr>
              <w:textAlignment w:val="bottom"/>
            </w:pPr>
            <w:r>
              <w:rPr>
                <w:rFonts w:ascii="Arial" w:eastAsia="宋体" w:hAnsi="Arial" w:cs="Arial"/>
                <w:color w:val="000000"/>
                <w:sz w:val="15"/>
                <w:szCs w:val="15"/>
              </w:rPr>
              <w:t xml:space="preserve">Foreign exchange </w:t>
            </w:r>
            <w:r>
              <w:rPr>
                <w:rFonts w:ascii="Arial" w:eastAsia="宋体" w:hAnsi="Arial" w:cs="Arial"/>
                <w:color w:val="000000"/>
                <w:sz w:val="15"/>
                <w:szCs w:val="15"/>
              </w:rPr>
              <w:t>contracts</w:t>
            </w:r>
          </w:p>
        </w:tc>
        <w:tc>
          <w:tcPr>
            <w:tcW w:w="0" w:type="auto"/>
            <w:shd w:val="clear" w:color="auto" w:fill="CCEEFF"/>
            <w:tcMar>
              <w:top w:w="40" w:type="dxa"/>
              <w:left w:w="20" w:type="dxa"/>
              <w:bottom w:w="40" w:type="dxa"/>
              <w:right w:w="0" w:type="dxa"/>
            </w:tcMar>
            <w:vAlign w:val="bottom"/>
          </w:tcPr>
          <w:p w14:paraId="5F2D2F17"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F18" w14:textId="77777777" w:rsidR="00E836FB" w:rsidRDefault="00994958">
            <w:pPr>
              <w:jc w:val="right"/>
              <w:textAlignment w:val="bottom"/>
            </w:pPr>
            <w:r>
              <w:rPr>
                <w:rFonts w:ascii="Arial" w:eastAsia="宋体" w:hAnsi="Arial" w:cs="Arial"/>
                <w:b/>
                <w:bCs/>
                <w:color w:val="000000"/>
                <w:sz w:val="15"/>
                <w:szCs w:val="15"/>
              </w:rPr>
              <w:t>15,126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F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1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1B"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F1C" w14:textId="77777777" w:rsidR="00E836FB" w:rsidRDefault="00994958">
            <w:pPr>
              <w:jc w:val="right"/>
              <w:textAlignment w:val="bottom"/>
            </w:pPr>
            <w:r>
              <w:rPr>
                <w:rFonts w:ascii="Arial" w:eastAsia="宋体" w:hAnsi="Arial" w:cs="Arial"/>
                <w:color w:val="000000"/>
                <w:sz w:val="15"/>
                <w:szCs w:val="15"/>
              </w:rPr>
              <w:t>25,939 </w:t>
            </w:r>
          </w:p>
        </w:tc>
        <w:tc>
          <w:tcPr>
            <w:tcW w:w="0" w:type="auto"/>
            <w:shd w:val="clear" w:color="auto" w:fill="CCEEFF"/>
            <w:tcMar>
              <w:top w:w="40" w:type="dxa"/>
              <w:left w:w="0" w:type="dxa"/>
              <w:bottom w:w="40" w:type="dxa"/>
              <w:right w:w="20" w:type="dxa"/>
            </w:tcMar>
            <w:vAlign w:val="bottom"/>
          </w:tcPr>
          <w:p w14:paraId="5F2D2F1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1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1F"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F20" w14:textId="77777777" w:rsidR="00E836FB" w:rsidRDefault="00994958">
            <w:pPr>
              <w:jc w:val="right"/>
              <w:textAlignment w:val="bottom"/>
            </w:pPr>
            <w:r>
              <w:rPr>
                <w:rFonts w:ascii="Arial" w:eastAsia="宋体" w:hAnsi="Arial" w:cs="Arial"/>
                <w:b/>
                <w:bCs/>
                <w:color w:val="000000"/>
                <w:sz w:val="15"/>
                <w:szCs w:val="15"/>
              </w:rPr>
              <w:t>15,790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F2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2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23"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F24" w14:textId="77777777" w:rsidR="00E836FB" w:rsidRDefault="00994958">
            <w:pPr>
              <w:jc w:val="right"/>
              <w:textAlignment w:val="bottom"/>
            </w:pPr>
            <w:r>
              <w:rPr>
                <w:rFonts w:ascii="Arial" w:eastAsia="宋体" w:hAnsi="Arial" w:cs="Arial"/>
                <w:color w:val="000000"/>
                <w:sz w:val="15"/>
                <w:szCs w:val="15"/>
              </w:rPr>
              <w:t>25,811 </w:t>
            </w:r>
          </w:p>
        </w:tc>
        <w:tc>
          <w:tcPr>
            <w:tcW w:w="0" w:type="auto"/>
            <w:shd w:val="clear" w:color="auto" w:fill="CCEEFF"/>
            <w:tcMar>
              <w:top w:w="40" w:type="dxa"/>
              <w:left w:w="0" w:type="dxa"/>
              <w:bottom w:w="40" w:type="dxa"/>
              <w:right w:w="20" w:type="dxa"/>
            </w:tcMar>
            <w:vAlign w:val="bottom"/>
          </w:tcPr>
          <w:p w14:paraId="5F2D2F25" w14:textId="77777777" w:rsidR="00E836FB" w:rsidRDefault="00E836FB">
            <w:pPr>
              <w:jc w:val="right"/>
              <w:rPr>
                <w:rFonts w:ascii="宋体"/>
              </w:rPr>
            </w:pPr>
          </w:p>
        </w:tc>
      </w:tr>
      <w:tr w:rsidR="00E836FB" w14:paraId="5F2D2F2F" w14:textId="77777777">
        <w:trPr>
          <w:hidden/>
        </w:trPr>
        <w:tc>
          <w:tcPr>
            <w:tcW w:w="0" w:type="auto"/>
            <w:gridSpan w:val="3"/>
            <w:shd w:val="clear" w:color="auto" w:fill="auto"/>
            <w:vAlign w:val="bottom"/>
          </w:tcPr>
          <w:p w14:paraId="5F2D2F27" w14:textId="77777777" w:rsidR="00E836FB" w:rsidRDefault="00E836FB">
            <w:pPr>
              <w:rPr>
                <w:rFonts w:ascii="宋体"/>
                <w:vanish/>
              </w:rPr>
            </w:pPr>
          </w:p>
        </w:tc>
        <w:tc>
          <w:tcPr>
            <w:tcW w:w="0" w:type="auto"/>
            <w:gridSpan w:val="3"/>
            <w:shd w:val="clear" w:color="auto" w:fill="auto"/>
            <w:vAlign w:val="bottom"/>
          </w:tcPr>
          <w:p w14:paraId="5F2D2F28" w14:textId="77777777" w:rsidR="00E836FB" w:rsidRDefault="00E836FB">
            <w:pPr>
              <w:rPr>
                <w:rFonts w:ascii="宋体"/>
                <w:vanish/>
              </w:rPr>
            </w:pPr>
          </w:p>
        </w:tc>
        <w:tc>
          <w:tcPr>
            <w:tcW w:w="0" w:type="auto"/>
            <w:gridSpan w:val="3"/>
            <w:shd w:val="clear" w:color="auto" w:fill="auto"/>
            <w:vAlign w:val="bottom"/>
          </w:tcPr>
          <w:p w14:paraId="5F2D2F29" w14:textId="77777777" w:rsidR="00E836FB" w:rsidRDefault="00E836FB">
            <w:pPr>
              <w:rPr>
                <w:rFonts w:ascii="宋体"/>
                <w:vanish/>
              </w:rPr>
            </w:pPr>
          </w:p>
        </w:tc>
        <w:tc>
          <w:tcPr>
            <w:tcW w:w="0" w:type="auto"/>
            <w:gridSpan w:val="3"/>
            <w:shd w:val="clear" w:color="auto" w:fill="auto"/>
            <w:vAlign w:val="bottom"/>
          </w:tcPr>
          <w:p w14:paraId="5F2D2F2A" w14:textId="77777777" w:rsidR="00E836FB" w:rsidRDefault="00E836FB">
            <w:pPr>
              <w:rPr>
                <w:rFonts w:ascii="宋体"/>
                <w:vanish/>
              </w:rPr>
            </w:pPr>
          </w:p>
        </w:tc>
        <w:tc>
          <w:tcPr>
            <w:tcW w:w="0" w:type="auto"/>
            <w:gridSpan w:val="3"/>
            <w:shd w:val="clear" w:color="auto" w:fill="auto"/>
            <w:vAlign w:val="bottom"/>
          </w:tcPr>
          <w:p w14:paraId="5F2D2F2B" w14:textId="77777777" w:rsidR="00E836FB" w:rsidRDefault="00E836FB">
            <w:pPr>
              <w:rPr>
                <w:rFonts w:ascii="宋体"/>
                <w:vanish/>
              </w:rPr>
            </w:pPr>
          </w:p>
        </w:tc>
        <w:tc>
          <w:tcPr>
            <w:tcW w:w="0" w:type="auto"/>
            <w:gridSpan w:val="3"/>
            <w:shd w:val="clear" w:color="auto" w:fill="auto"/>
            <w:vAlign w:val="bottom"/>
          </w:tcPr>
          <w:p w14:paraId="5F2D2F2C" w14:textId="77777777" w:rsidR="00E836FB" w:rsidRDefault="00E836FB">
            <w:pPr>
              <w:rPr>
                <w:rFonts w:ascii="宋体"/>
                <w:vanish/>
              </w:rPr>
            </w:pPr>
          </w:p>
        </w:tc>
        <w:tc>
          <w:tcPr>
            <w:tcW w:w="0" w:type="auto"/>
            <w:gridSpan w:val="3"/>
            <w:shd w:val="clear" w:color="auto" w:fill="auto"/>
            <w:vAlign w:val="bottom"/>
          </w:tcPr>
          <w:p w14:paraId="5F2D2F2D" w14:textId="77777777" w:rsidR="00E836FB" w:rsidRDefault="00E836FB">
            <w:pPr>
              <w:rPr>
                <w:rFonts w:ascii="宋体"/>
                <w:vanish/>
              </w:rPr>
            </w:pPr>
          </w:p>
        </w:tc>
        <w:tc>
          <w:tcPr>
            <w:tcW w:w="0" w:type="auto"/>
            <w:gridSpan w:val="3"/>
            <w:shd w:val="clear" w:color="auto" w:fill="auto"/>
            <w:vAlign w:val="bottom"/>
          </w:tcPr>
          <w:p w14:paraId="5F2D2F2E" w14:textId="77777777" w:rsidR="00E836FB" w:rsidRDefault="00E836FB">
            <w:pPr>
              <w:rPr>
                <w:rFonts w:ascii="宋体"/>
                <w:vanish/>
              </w:rPr>
            </w:pPr>
          </w:p>
        </w:tc>
      </w:tr>
      <w:tr w:rsidR="00E836FB" w14:paraId="5F2D2F38" w14:textId="77777777">
        <w:trPr>
          <w:hidden/>
        </w:trPr>
        <w:tc>
          <w:tcPr>
            <w:tcW w:w="0" w:type="auto"/>
            <w:gridSpan w:val="3"/>
            <w:shd w:val="clear" w:color="auto" w:fill="auto"/>
            <w:vAlign w:val="bottom"/>
          </w:tcPr>
          <w:p w14:paraId="5F2D2F30" w14:textId="77777777" w:rsidR="00E836FB" w:rsidRDefault="00E836FB">
            <w:pPr>
              <w:rPr>
                <w:rFonts w:ascii="宋体"/>
                <w:vanish/>
              </w:rPr>
            </w:pPr>
          </w:p>
        </w:tc>
        <w:tc>
          <w:tcPr>
            <w:tcW w:w="0" w:type="auto"/>
            <w:gridSpan w:val="3"/>
            <w:shd w:val="clear" w:color="auto" w:fill="auto"/>
            <w:vAlign w:val="bottom"/>
          </w:tcPr>
          <w:p w14:paraId="5F2D2F31" w14:textId="77777777" w:rsidR="00E836FB" w:rsidRDefault="00E836FB">
            <w:pPr>
              <w:rPr>
                <w:rFonts w:ascii="宋体"/>
                <w:vanish/>
              </w:rPr>
            </w:pPr>
          </w:p>
        </w:tc>
        <w:tc>
          <w:tcPr>
            <w:tcW w:w="0" w:type="auto"/>
            <w:gridSpan w:val="3"/>
            <w:shd w:val="clear" w:color="auto" w:fill="auto"/>
            <w:vAlign w:val="bottom"/>
          </w:tcPr>
          <w:p w14:paraId="5F2D2F32" w14:textId="77777777" w:rsidR="00E836FB" w:rsidRDefault="00E836FB">
            <w:pPr>
              <w:rPr>
                <w:rFonts w:ascii="宋体"/>
                <w:vanish/>
              </w:rPr>
            </w:pPr>
          </w:p>
        </w:tc>
        <w:tc>
          <w:tcPr>
            <w:tcW w:w="0" w:type="auto"/>
            <w:gridSpan w:val="3"/>
            <w:shd w:val="clear" w:color="auto" w:fill="auto"/>
            <w:vAlign w:val="bottom"/>
          </w:tcPr>
          <w:p w14:paraId="5F2D2F33" w14:textId="77777777" w:rsidR="00E836FB" w:rsidRDefault="00E836FB">
            <w:pPr>
              <w:rPr>
                <w:rFonts w:ascii="宋体"/>
                <w:vanish/>
              </w:rPr>
            </w:pPr>
          </w:p>
        </w:tc>
        <w:tc>
          <w:tcPr>
            <w:tcW w:w="0" w:type="auto"/>
            <w:gridSpan w:val="3"/>
            <w:shd w:val="clear" w:color="auto" w:fill="auto"/>
            <w:vAlign w:val="bottom"/>
          </w:tcPr>
          <w:p w14:paraId="5F2D2F34" w14:textId="77777777" w:rsidR="00E836FB" w:rsidRDefault="00E836FB">
            <w:pPr>
              <w:rPr>
                <w:rFonts w:ascii="宋体"/>
                <w:vanish/>
              </w:rPr>
            </w:pPr>
          </w:p>
        </w:tc>
        <w:tc>
          <w:tcPr>
            <w:tcW w:w="0" w:type="auto"/>
            <w:gridSpan w:val="3"/>
            <w:shd w:val="clear" w:color="auto" w:fill="auto"/>
            <w:vAlign w:val="bottom"/>
          </w:tcPr>
          <w:p w14:paraId="5F2D2F35" w14:textId="77777777" w:rsidR="00E836FB" w:rsidRDefault="00E836FB">
            <w:pPr>
              <w:rPr>
                <w:rFonts w:ascii="宋体"/>
                <w:vanish/>
              </w:rPr>
            </w:pPr>
          </w:p>
        </w:tc>
        <w:tc>
          <w:tcPr>
            <w:tcW w:w="0" w:type="auto"/>
            <w:gridSpan w:val="3"/>
            <w:shd w:val="clear" w:color="auto" w:fill="auto"/>
            <w:vAlign w:val="bottom"/>
          </w:tcPr>
          <w:p w14:paraId="5F2D2F36" w14:textId="77777777" w:rsidR="00E836FB" w:rsidRDefault="00E836FB">
            <w:pPr>
              <w:rPr>
                <w:rFonts w:ascii="宋体"/>
                <w:vanish/>
              </w:rPr>
            </w:pPr>
          </w:p>
        </w:tc>
        <w:tc>
          <w:tcPr>
            <w:tcW w:w="0" w:type="auto"/>
            <w:gridSpan w:val="3"/>
            <w:shd w:val="clear" w:color="auto" w:fill="auto"/>
            <w:vAlign w:val="bottom"/>
          </w:tcPr>
          <w:p w14:paraId="5F2D2F37" w14:textId="77777777" w:rsidR="00E836FB" w:rsidRDefault="00E836FB">
            <w:pPr>
              <w:rPr>
                <w:rFonts w:ascii="宋体"/>
                <w:vanish/>
              </w:rPr>
            </w:pPr>
          </w:p>
        </w:tc>
      </w:tr>
      <w:tr w:rsidR="00E836FB" w14:paraId="5F2D2F45" w14:textId="77777777">
        <w:tc>
          <w:tcPr>
            <w:tcW w:w="0" w:type="auto"/>
            <w:gridSpan w:val="3"/>
            <w:shd w:val="clear" w:color="auto" w:fill="FFFFFF"/>
            <w:tcMar>
              <w:top w:w="40" w:type="dxa"/>
              <w:left w:w="20" w:type="dxa"/>
              <w:bottom w:w="40" w:type="dxa"/>
              <w:right w:w="20" w:type="dxa"/>
            </w:tcMar>
            <w:vAlign w:val="bottom"/>
          </w:tcPr>
          <w:p w14:paraId="5F2D2F39" w14:textId="77777777" w:rsidR="00E836FB" w:rsidRDefault="00994958">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5F2D2F3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F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3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3D"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F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3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40" w14:textId="77777777" w:rsidR="00E836FB" w:rsidRDefault="00994958">
            <w:pPr>
              <w:jc w:val="right"/>
              <w:textAlignment w:val="bottom"/>
            </w:pPr>
            <w:r>
              <w:rPr>
                <w:rFonts w:ascii="Arial" w:eastAsia="宋体" w:hAnsi="Arial" w:cs="Arial"/>
                <w:b/>
                <w:bCs/>
                <w:color w:val="000000"/>
                <w:sz w:val="15"/>
                <w:szCs w:val="15"/>
              </w:rPr>
              <w:t>301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F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4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43" w14:textId="77777777" w:rsidR="00E836FB" w:rsidRDefault="00994958">
            <w:pPr>
              <w:jc w:val="right"/>
              <w:textAlignment w:val="bottom"/>
            </w:pPr>
            <w:r>
              <w:rPr>
                <w:rFonts w:ascii="Arial" w:eastAsia="宋体" w:hAnsi="Arial" w:cs="Arial"/>
                <w:color w:val="000000"/>
                <w:sz w:val="15"/>
                <w:szCs w:val="15"/>
              </w:rPr>
              <w:t>157 </w:t>
            </w:r>
          </w:p>
        </w:tc>
        <w:tc>
          <w:tcPr>
            <w:tcW w:w="0" w:type="auto"/>
            <w:shd w:val="clear" w:color="auto" w:fill="FFFFFF"/>
            <w:tcMar>
              <w:top w:w="40" w:type="dxa"/>
              <w:left w:w="0" w:type="dxa"/>
              <w:bottom w:w="40" w:type="dxa"/>
              <w:right w:w="20" w:type="dxa"/>
            </w:tcMar>
            <w:vAlign w:val="bottom"/>
          </w:tcPr>
          <w:p w14:paraId="5F2D2F44" w14:textId="77777777" w:rsidR="00E836FB" w:rsidRDefault="00E836FB">
            <w:pPr>
              <w:jc w:val="right"/>
              <w:rPr>
                <w:rFonts w:ascii="宋体"/>
              </w:rPr>
            </w:pPr>
          </w:p>
        </w:tc>
      </w:tr>
      <w:tr w:rsidR="00E836FB" w14:paraId="5F2D2F56" w14:textId="77777777">
        <w:tc>
          <w:tcPr>
            <w:tcW w:w="0" w:type="auto"/>
            <w:gridSpan w:val="3"/>
            <w:shd w:val="clear" w:color="auto" w:fill="CCEEFF"/>
            <w:tcMar>
              <w:top w:w="40" w:type="dxa"/>
              <w:left w:w="20" w:type="dxa"/>
              <w:bottom w:w="40" w:type="dxa"/>
              <w:right w:w="20" w:type="dxa"/>
            </w:tcMar>
            <w:vAlign w:val="bottom"/>
          </w:tcPr>
          <w:p w14:paraId="5F2D2F46"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2F47"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F48" w14:textId="77777777" w:rsidR="00E836FB" w:rsidRDefault="00994958">
            <w:pPr>
              <w:jc w:val="right"/>
              <w:textAlignment w:val="bottom"/>
            </w:pPr>
            <w:r>
              <w:rPr>
                <w:rFonts w:ascii="Arial" w:eastAsia="宋体" w:hAnsi="Arial" w:cs="Arial"/>
                <w:b/>
                <w:bCs/>
                <w:color w:val="000000"/>
                <w:sz w:val="15"/>
                <w:szCs w:val="15"/>
              </w:rPr>
              <w:t>15,126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F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4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F4B"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F4C" w14:textId="77777777" w:rsidR="00E836FB" w:rsidRDefault="00994958">
            <w:pPr>
              <w:jc w:val="right"/>
              <w:textAlignment w:val="bottom"/>
            </w:pPr>
            <w:r>
              <w:rPr>
                <w:rFonts w:ascii="Arial" w:eastAsia="宋体" w:hAnsi="Arial" w:cs="Arial"/>
                <w:color w:val="000000"/>
                <w:sz w:val="15"/>
                <w:szCs w:val="15"/>
              </w:rPr>
              <w:t>25,939 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F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4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F4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F50" w14:textId="77777777" w:rsidR="00E836FB" w:rsidRDefault="00994958">
            <w:pPr>
              <w:jc w:val="right"/>
              <w:textAlignment w:val="bottom"/>
            </w:pPr>
            <w:r>
              <w:rPr>
                <w:rFonts w:ascii="Arial" w:eastAsia="宋体" w:hAnsi="Arial" w:cs="Arial"/>
                <w:b/>
                <w:bCs/>
                <w:color w:val="000000"/>
                <w:sz w:val="15"/>
                <w:szCs w:val="15"/>
              </w:rPr>
              <w:t>16,091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F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5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2F5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2F54" w14:textId="77777777" w:rsidR="00E836FB" w:rsidRDefault="00994958">
            <w:pPr>
              <w:jc w:val="right"/>
              <w:textAlignment w:val="bottom"/>
            </w:pPr>
            <w:r>
              <w:rPr>
                <w:rFonts w:ascii="Arial" w:eastAsia="宋体" w:hAnsi="Arial" w:cs="Arial"/>
                <w:color w:val="000000"/>
                <w:sz w:val="15"/>
                <w:szCs w:val="15"/>
              </w:rPr>
              <w:t>25,968 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2F55" w14:textId="77777777" w:rsidR="00E836FB" w:rsidRDefault="00E836FB">
            <w:pPr>
              <w:jc w:val="right"/>
              <w:rPr>
                <w:rFonts w:ascii="宋体"/>
              </w:rPr>
            </w:pPr>
          </w:p>
        </w:tc>
      </w:tr>
      <w:tr w:rsidR="00E836FB" w14:paraId="5F2D2F5F" w14:textId="77777777">
        <w:trPr>
          <w:trHeight w:val="120"/>
        </w:trPr>
        <w:tc>
          <w:tcPr>
            <w:tcW w:w="0" w:type="auto"/>
            <w:gridSpan w:val="3"/>
            <w:shd w:val="clear" w:color="auto" w:fill="auto"/>
            <w:tcMar>
              <w:top w:w="0" w:type="dxa"/>
              <w:left w:w="20" w:type="dxa"/>
              <w:bottom w:w="0" w:type="dxa"/>
              <w:right w:w="20" w:type="dxa"/>
            </w:tcMar>
            <w:vAlign w:val="bottom"/>
          </w:tcPr>
          <w:p w14:paraId="5F2D2F57"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F5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59"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F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5B"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F5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5D"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2F5E" w14:textId="77777777" w:rsidR="00E836FB" w:rsidRDefault="00E836FB">
            <w:pPr>
              <w:rPr>
                <w:rFonts w:ascii="宋体"/>
              </w:rPr>
            </w:pPr>
          </w:p>
        </w:tc>
      </w:tr>
      <w:tr w:rsidR="00E836FB" w14:paraId="5F2D2F68" w14:textId="77777777">
        <w:tc>
          <w:tcPr>
            <w:tcW w:w="0" w:type="auto"/>
            <w:gridSpan w:val="3"/>
            <w:shd w:val="clear" w:color="auto" w:fill="auto"/>
            <w:tcMar>
              <w:top w:w="40" w:type="dxa"/>
              <w:left w:w="20" w:type="dxa"/>
              <w:bottom w:w="40" w:type="dxa"/>
              <w:right w:w="20" w:type="dxa"/>
            </w:tcMar>
            <w:vAlign w:val="bottom"/>
          </w:tcPr>
          <w:p w14:paraId="5F2D2F60" w14:textId="77777777" w:rsidR="00E836FB" w:rsidRDefault="00994958">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auto"/>
            <w:tcMar>
              <w:top w:w="0" w:type="dxa"/>
              <w:left w:w="20" w:type="dxa"/>
              <w:bottom w:w="0" w:type="dxa"/>
              <w:right w:w="20" w:type="dxa"/>
            </w:tcMar>
            <w:vAlign w:val="bottom"/>
          </w:tcPr>
          <w:p w14:paraId="5F2D2F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6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67" w14:textId="77777777" w:rsidR="00E836FB" w:rsidRDefault="00E836FB">
            <w:pPr>
              <w:rPr>
                <w:rFonts w:ascii="宋体"/>
              </w:rPr>
            </w:pPr>
          </w:p>
        </w:tc>
      </w:tr>
      <w:tr w:rsidR="00E836FB" w14:paraId="5F2D2F79" w14:textId="77777777">
        <w:tc>
          <w:tcPr>
            <w:tcW w:w="0" w:type="auto"/>
            <w:gridSpan w:val="3"/>
            <w:shd w:val="clear" w:color="auto" w:fill="CCEEFF"/>
            <w:tcMar>
              <w:top w:w="40" w:type="dxa"/>
              <w:left w:w="20" w:type="dxa"/>
              <w:bottom w:w="40" w:type="dxa"/>
              <w:right w:w="20" w:type="dxa"/>
            </w:tcMar>
            <w:vAlign w:val="bottom"/>
          </w:tcPr>
          <w:p w14:paraId="5F2D2F69" w14:textId="77777777" w:rsidR="00E836FB" w:rsidRDefault="00994958">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F2D2F6A"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F6B" w14:textId="77777777" w:rsidR="00E836FB" w:rsidRDefault="00994958">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F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6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6E"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F6F" w14:textId="77777777" w:rsidR="00E836FB" w:rsidRDefault="00994958">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F2D2F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7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72"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2F73" w14:textId="77777777" w:rsidR="00E836FB" w:rsidRDefault="00994958">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2F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7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76"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2F77" w14:textId="77777777" w:rsidR="00E836FB" w:rsidRDefault="00994958">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5F2D2F78" w14:textId="77777777" w:rsidR="00E836FB" w:rsidRDefault="00E836FB">
            <w:pPr>
              <w:jc w:val="right"/>
              <w:rPr>
                <w:rFonts w:ascii="宋体"/>
              </w:rPr>
            </w:pPr>
          </w:p>
        </w:tc>
      </w:tr>
      <w:tr w:rsidR="00E836FB" w14:paraId="5F2D2F86" w14:textId="77777777">
        <w:tc>
          <w:tcPr>
            <w:tcW w:w="0" w:type="auto"/>
            <w:gridSpan w:val="3"/>
            <w:shd w:val="clear" w:color="auto" w:fill="FFFFFF"/>
            <w:tcMar>
              <w:top w:w="40" w:type="dxa"/>
              <w:left w:w="20" w:type="dxa"/>
              <w:bottom w:w="40" w:type="dxa"/>
              <w:right w:w="20" w:type="dxa"/>
            </w:tcMar>
            <w:vAlign w:val="bottom"/>
          </w:tcPr>
          <w:p w14:paraId="5F2D2F7A" w14:textId="77777777" w:rsidR="00E836FB" w:rsidRDefault="00994958">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F2D2F7B"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F7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7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7E"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2F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8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81"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2F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8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84" w14:textId="77777777" w:rsidR="00E836FB" w:rsidRDefault="00994958">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F2D2F85" w14:textId="77777777" w:rsidR="00E836FB" w:rsidRDefault="00E836FB">
            <w:pPr>
              <w:jc w:val="right"/>
              <w:rPr>
                <w:rFonts w:ascii="宋体"/>
              </w:rPr>
            </w:pPr>
          </w:p>
        </w:tc>
      </w:tr>
      <w:tr w:rsidR="00E836FB" w14:paraId="5F2D2F97" w14:textId="77777777">
        <w:tc>
          <w:tcPr>
            <w:tcW w:w="0" w:type="auto"/>
            <w:gridSpan w:val="3"/>
            <w:shd w:val="clear" w:color="auto" w:fill="CCEEFF"/>
            <w:tcMar>
              <w:top w:w="40" w:type="dxa"/>
              <w:left w:w="20" w:type="dxa"/>
              <w:bottom w:w="40" w:type="dxa"/>
              <w:right w:w="20" w:type="dxa"/>
            </w:tcMar>
            <w:vAlign w:val="bottom"/>
          </w:tcPr>
          <w:p w14:paraId="5F2D2F87" w14:textId="77777777" w:rsidR="00E836FB" w:rsidRDefault="00994958">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F88"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F89" w14:textId="77777777" w:rsidR="00E836FB" w:rsidRDefault="00994958">
            <w:pPr>
              <w:jc w:val="right"/>
              <w:textAlignment w:val="bottom"/>
            </w:pPr>
            <w:r>
              <w:rPr>
                <w:rFonts w:ascii="Arial" w:eastAsia="宋体" w:hAnsi="Arial" w:cs="Arial"/>
                <w:b/>
                <w:bCs/>
                <w:color w:val="000000"/>
                <w:sz w:val="15"/>
                <w:szCs w:val="15"/>
              </w:rPr>
              <w:t>61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F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8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F8C"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F8D" w14:textId="77777777" w:rsidR="00E836FB" w:rsidRDefault="00994958">
            <w:pPr>
              <w:jc w:val="right"/>
              <w:textAlignment w:val="bottom"/>
            </w:pPr>
            <w:r>
              <w:rPr>
                <w:rFonts w:ascii="Arial" w:eastAsia="宋体" w:hAnsi="Arial" w:cs="Arial"/>
                <w:color w:val="000000"/>
                <w:sz w:val="15"/>
                <w:szCs w:val="15"/>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F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8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F90"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F91" w14:textId="77777777" w:rsidR="00E836FB" w:rsidRDefault="00994958">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F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93"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2F94"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2F95" w14:textId="77777777" w:rsidR="00E836FB" w:rsidRDefault="00994958">
            <w:pPr>
              <w:jc w:val="right"/>
              <w:textAlignment w:val="bottom"/>
            </w:pPr>
            <w:r>
              <w:rPr>
                <w:rFonts w:ascii="Arial" w:eastAsia="宋体" w:hAnsi="Arial" w:cs="Arial"/>
                <w:color w:val="000000"/>
                <w:sz w:val="15"/>
                <w:szCs w:val="15"/>
              </w:rPr>
              <w:t>158 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2F96" w14:textId="77777777" w:rsidR="00E836FB" w:rsidRDefault="00E836FB">
            <w:pPr>
              <w:jc w:val="right"/>
              <w:rPr>
                <w:rFonts w:ascii="宋体"/>
              </w:rPr>
            </w:pPr>
          </w:p>
        </w:tc>
      </w:tr>
    </w:tbl>
    <w:p w14:paraId="5F2D2F98"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E836FB" w14:paraId="5F2D2FA2" w14:textId="77777777">
        <w:tc>
          <w:tcPr>
            <w:tcW w:w="50" w:type="pct"/>
            <w:shd w:val="clear" w:color="auto" w:fill="auto"/>
            <w:vAlign w:val="bottom"/>
          </w:tcPr>
          <w:p w14:paraId="5F2D2F99" w14:textId="77777777" w:rsidR="00E836FB" w:rsidRDefault="00E836FB">
            <w:pPr>
              <w:rPr>
                <w:rFonts w:ascii="宋体"/>
              </w:rPr>
            </w:pPr>
          </w:p>
        </w:tc>
        <w:tc>
          <w:tcPr>
            <w:tcW w:w="1348" w:type="pct"/>
            <w:shd w:val="clear" w:color="auto" w:fill="auto"/>
            <w:vAlign w:val="bottom"/>
          </w:tcPr>
          <w:p w14:paraId="5F2D2F9A" w14:textId="77777777" w:rsidR="00E836FB" w:rsidRDefault="00E836FB">
            <w:pPr>
              <w:rPr>
                <w:rFonts w:ascii="宋体"/>
              </w:rPr>
            </w:pPr>
          </w:p>
        </w:tc>
        <w:tc>
          <w:tcPr>
            <w:tcW w:w="5" w:type="pct"/>
            <w:shd w:val="clear" w:color="auto" w:fill="auto"/>
            <w:vAlign w:val="bottom"/>
          </w:tcPr>
          <w:p w14:paraId="5F2D2F9B" w14:textId="77777777" w:rsidR="00E836FB" w:rsidRDefault="00E836FB">
            <w:pPr>
              <w:rPr>
                <w:rFonts w:ascii="宋体"/>
              </w:rPr>
            </w:pPr>
          </w:p>
        </w:tc>
        <w:tc>
          <w:tcPr>
            <w:tcW w:w="50" w:type="pct"/>
            <w:shd w:val="clear" w:color="auto" w:fill="auto"/>
            <w:vAlign w:val="bottom"/>
          </w:tcPr>
          <w:p w14:paraId="5F2D2F9C" w14:textId="77777777" w:rsidR="00E836FB" w:rsidRDefault="00E836FB">
            <w:pPr>
              <w:rPr>
                <w:rFonts w:ascii="宋体"/>
              </w:rPr>
            </w:pPr>
          </w:p>
        </w:tc>
        <w:tc>
          <w:tcPr>
            <w:tcW w:w="2379" w:type="pct"/>
            <w:shd w:val="clear" w:color="auto" w:fill="auto"/>
            <w:vAlign w:val="bottom"/>
          </w:tcPr>
          <w:p w14:paraId="5F2D2F9D" w14:textId="77777777" w:rsidR="00E836FB" w:rsidRDefault="00E836FB">
            <w:pPr>
              <w:rPr>
                <w:rFonts w:ascii="宋体"/>
              </w:rPr>
            </w:pPr>
          </w:p>
        </w:tc>
        <w:tc>
          <w:tcPr>
            <w:tcW w:w="5" w:type="pct"/>
            <w:shd w:val="clear" w:color="auto" w:fill="auto"/>
            <w:vAlign w:val="bottom"/>
          </w:tcPr>
          <w:p w14:paraId="5F2D2F9E" w14:textId="77777777" w:rsidR="00E836FB" w:rsidRDefault="00E836FB">
            <w:pPr>
              <w:rPr>
                <w:rFonts w:ascii="宋体"/>
              </w:rPr>
            </w:pPr>
          </w:p>
        </w:tc>
        <w:tc>
          <w:tcPr>
            <w:tcW w:w="50" w:type="pct"/>
            <w:shd w:val="clear" w:color="auto" w:fill="auto"/>
            <w:vAlign w:val="bottom"/>
          </w:tcPr>
          <w:p w14:paraId="5F2D2F9F" w14:textId="77777777" w:rsidR="00E836FB" w:rsidRDefault="00E836FB">
            <w:pPr>
              <w:rPr>
                <w:rFonts w:ascii="宋体"/>
              </w:rPr>
            </w:pPr>
          </w:p>
        </w:tc>
        <w:tc>
          <w:tcPr>
            <w:tcW w:w="1107" w:type="pct"/>
            <w:shd w:val="clear" w:color="auto" w:fill="auto"/>
            <w:vAlign w:val="bottom"/>
          </w:tcPr>
          <w:p w14:paraId="5F2D2FA0" w14:textId="77777777" w:rsidR="00E836FB" w:rsidRDefault="00E836FB">
            <w:pPr>
              <w:rPr>
                <w:rFonts w:ascii="宋体"/>
              </w:rPr>
            </w:pPr>
          </w:p>
        </w:tc>
        <w:tc>
          <w:tcPr>
            <w:tcW w:w="5" w:type="pct"/>
            <w:shd w:val="clear" w:color="auto" w:fill="auto"/>
            <w:vAlign w:val="bottom"/>
          </w:tcPr>
          <w:p w14:paraId="5F2D2FA1" w14:textId="77777777" w:rsidR="00E836FB" w:rsidRDefault="00E836FB">
            <w:pPr>
              <w:rPr>
                <w:rFonts w:ascii="宋体"/>
              </w:rPr>
            </w:pPr>
          </w:p>
        </w:tc>
      </w:tr>
      <w:tr w:rsidR="00E836FB" w14:paraId="5F2D2FA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2F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A5" w14:textId="77777777" w:rsidR="00E836FB" w:rsidRDefault="00E836FB">
            <w:pPr>
              <w:rPr>
                <w:rFonts w:ascii="宋体"/>
              </w:rPr>
            </w:pPr>
          </w:p>
        </w:tc>
      </w:tr>
    </w:tbl>
    <w:p w14:paraId="5F2D2FA7" w14:textId="77777777" w:rsidR="00E836FB" w:rsidRDefault="00994958">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Derivative assets are included within other assets in our consolidated statement of condition. </w:t>
      </w:r>
    </w:p>
    <w:p w14:paraId="5F2D2FA8" w14:textId="77777777" w:rsidR="00E836FB" w:rsidRDefault="00994958">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Derivative liabilities are included within other liabilities in our consolidated statement of condition.</w:t>
      </w:r>
    </w:p>
    <w:p w14:paraId="5F2D2FA9" w14:textId="77777777" w:rsidR="00E836FB" w:rsidRDefault="00994958">
      <w:pPr>
        <w:spacing w:before="60"/>
        <w:ind w:firstLine="450"/>
        <w:jc w:val="both"/>
      </w:pPr>
      <w:r>
        <w:rPr>
          <w:rFonts w:ascii="Arial" w:eastAsia="宋体" w:hAnsi="Arial" w:cs="Arial"/>
          <w:color w:val="000000"/>
          <w:sz w:val="20"/>
          <w:szCs w:val="20"/>
        </w:rPr>
        <w:t xml:space="preserve">The following table presents the impact of our use </w:t>
      </w:r>
      <w:r>
        <w:rPr>
          <w:rFonts w:ascii="Arial" w:eastAsia="宋体" w:hAnsi="Arial" w:cs="Arial"/>
          <w:color w:val="000000"/>
          <w:sz w:val="20"/>
          <w:szCs w:val="20"/>
        </w:rPr>
        <w:t>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2456"/>
        <w:gridCol w:w="36"/>
        <w:gridCol w:w="67"/>
        <w:gridCol w:w="2450"/>
        <w:gridCol w:w="36"/>
        <w:gridCol w:w="109"/>
        <w:gridCol w:w="883"/>
        <w:gridCol w:w="36"/>
        <w:gridCol w:w="36"/>
        <w:gridCol w:w="36"/>
        <w:gridCol w:w="36"/>
        <w:gridCol w:w="109"/>
        <w:gridCol w:w="854"/>
        <w:gridCol w:w="36"/>
        <w:gridCol w:w="36"/>
        <w:gridCol w:w="36"/>
        <w:gridCol w:w="36"/>
        <w:gridCol w:w="109"/>
        <w:gridCol w:w="856"/>
        <w:gridCol w:w="36"/>
      </w:tblGrid>
      <w:tr w:rsidR="00E836FB" w14:paraId="5F2D2FBF" w14:textId="77777777">
        <w:tc>
          <w:tcPr>
            <w:tcW w:w="50" w:type="pct"/>
            <w:shd w:val="clear" w:color="auto" w:fill="auto"/>
            <w:vAlign w:val="bottom"/>
          </w:tcPr>
          <w:p w14:paraId="5F2D2FAA" w14:textId="77777777" w:rsidR="00E836FB" w:rsidRDefault="00E836FB">
            <w:pPr>
              <w:rPr>
                <w:rFonts w:ascii="宋体"/>
              </w:rPr>
            </w:pPr>
          </w:p>
        </w:tc>
        <w:tc>
          <w:tcPr>
            <w:tcW w:w="1494" w:type="pct"/>
            <w:shd w:val="clear" w:color="auto" w:fill="auto"/>
            <w:vAlign w:val="bottom"/>
          </w:tcPr>
          <w:p w14:paraId="5F2D2FAB" w14:textId="77777777" w:rsidR="00E836FB" w:rsidRDefault="00E836FB">
            <w:pPr>
              <w:rPr>
                <w:rFonts w:ascii="宋体"/>
              </w:rPr>
            </w:pPr>
          </w:p>
        </w:tc>
        <w:tc>
          <w:tcPr>
            <w:tcW w:w="5" w:type="pct"/>
            <w:shd w:val="clear" w:color="auto" w:fill="auto"/>
            <w:vAlign w:val="bottom"/>
          </w:tcPr>
          <w:p w14:paraId="5F2D2FAC" w14:textId="77777777" w:rsidR="00E836FB" w:rsidRDefault="00E836FB">
            <w:pPr>
              <w:rPr>
                <w:rFonts w:ascii="宋体"/>
              </w:rPr>
            </w:pPr>
          </w:p>
        </w:tc>
        <w:tc>
          <w:tcPr>
            <w:tcW w:w="50" w:type="pct"/>
            <w:shd w:val="clear" w:color="auto" w:fill="auto"/>
            <w:vAlign w:val="bottom"/>
          </w:tcPr>
          <w:p w14:paraId="5F2D2FAD" w14:textId="77777777" w:rsidR="00E836FB" w:rsidRDefault="00E836FB">
            <w:pPr>
              <w:rPr>
                <w:rFonts w:ascii="宋体"/>
              </w:rPr>
            </w:pPr>
          </w:p>
        </w:tc>
        <w:tc>
          <w:tcPr>
            <w:tcW w:w="1502" w:type="pct"/>
            <w:shd w:val="clear" w:color="auto" w:fill="auto"/>
            <w:vAlign w:val="bottom"/>
          </w:tcPr>
          <w:p w14:paraId="5F2D2FAE" w14:textId="77777777" w:rsidR="00E836FB" w:rsidRDefault="00E836FB">
            <w:pPr>
              <w:rPr>
                <w:rFonts w:ascii="宋体"/>
              </w:rPr>
            </w:pPr>
          </w:p>
        </w:tc>
        <w:tc>
          <w:tcPr>
            <w:tcW w:w="5" w:type="pct"/>
            <w:shd w:val="clear" w:color="auto" w:fill="auto"/>
            <w:vAlign w:val="bottom"/>
          </w:tcPr>
          <w:p w14:paraId="5F2D2FAF" w14:textId="77777777" w:rsidR="00E836FB" w:rsidRDefault="00E836FB">
            <w:pPr>
              <w:rPr>
                <w:rFonts w:ascii="宋体"/>
              </w:rPr>
            </w:pPr>
          </w:p>
        </w:tc>
        <w:tc>
          <w:tcPr>
            <w:tcW w:w="50" w:type="pct"/>
            <w:shd w:val="clear" w:color="auto" w:fill="auto"/>
            <w:vAlign w:val="bottom"/>
          </w:tcPr>
          <w:p w14:paraId="5F2D2FB0" w14:textId="77777777" w:rsidR="00E836FB" w:rsidRDefault="00E836FB">
            <w:pPr>
              <w:rPr>
                <w:rFonts w:ascii="宋体"/>
              </w:rPr>
            </w:pPr>
          </w:p>
        </w:tc>
        <w:tc>
          <w:tcPr>
            <w:tcW w:w="551" w:type="pct"/>
            <w:shd w:val="clear" w:color="auto" w:fill="auto"/>
            <w:vAlign w:val="bottom"/>
          </w:tcPr>
          <w:p w14:paraId="5F2D2FB1" w14:textId="77777777" w:rsidR="00E836FB" w:rsidRDefault="00E836FB">
            <w:pPr>
              <w:rPr>
                <w:rFonts w:ascii="宋体"/>
              </w:rPr>
            </w:pPr>
          </w:p>
        </w:tc>
        <w:tc>
          <w:tcPr>
            <w:tcW w:w="5" w:type="pct"/>
            <w:shd w:val="clear" w:color="auto" w:fill="auto"/>
            <w:vAlign w:val="bottom"/>
          </w:tcPr>
          <w:p w14:paraId="5F2D2FB2" w14:textId="77777777" w:rsidR="00E836FB" w:rsidRDefault="00E836FB">
            <w:pPr>
              <w:rPr>
                <w:rFonts w:ascii="宋体"/>
              </w:rPr>
            </w:pPr>
          </w:p>
        </w:tc>
        <w:tc>
          <w:tcPr>
            <w:tcW w:w="5" w:type="pct"/>
            <w:shd w:val="clear" w:color="auto" w:fill="auto"/>
            <w:vAlign w:val="bottom"/>
          </w:tcPr>
          <w:p w14:paraId="5F2D2FB3" w14:textId="77777777" w:rsidR="00E836FB" w:rsidRDefault="00E836FB">
            <w:pPr>
              <w:rPr>
                <w:rFonts w:ascii="宋体"/>
              </w:rPr>
            </w:pPr>
          </w:p>
        </w:tc>
        <w:tc>
          <w:tcPr>
            <w:tcW w:w="26" w:type="pct"/>
            <w:shd w:val="clear" w:color="auto" w:fill="auto"/>
            <w:vAlign w:val="bottom"/>
          </w:tcPr>
          <w:p w14:paraId="5F2D2FB4" w14:textId="77777777" w:rsidR="00E836FB" w:rsidRDefault="00E836FB">
            <w:pPr>
              <w:rPr>
                <w:rFonts w:ascii="宋体"/>
              </w:rPr>
            </w:pPr>
          </w:p>
        </w:tc>
        <w:tc>
          <w:tcPr>
            <w:tcW w:w="5" w:type="pct"/>
            <w:shd w:val="clear" w:color="auto" w:fill="auto"/>
            <w:vAlign w:val="bottom"/>
          </w:tcPr>
          <w:p w14:paraId="5F2D2FB5" w14:textId="77777777" w:rsidR="00E836FB" w:rsidRDefault="00E836FB">
            <w:pPr>
              <w:rPr>
                <w:rFonts w:ascii="宋体"/>
              </w:rPr>
            </w:pPr>
          </w:p>
        </w:tc>
        <w:tc>
          <w:tcPr>
            <w:tcW w:w="50" w:type="pct"/>
            <w:shd w:val="clear" w:color="auto" w:fill="auto"/>
            <w:vAlign w:val="bottom"/>
          </w:tcPr>
          <w:p w14:paraId="5F2D2FB6" w14:textId="77777777" w:rsidR="00E836FB" w:rsidRDefault="00E836FB">
            <w:pPr>
              <w:rPr>
                <w:rFonts w:ascii="宋体"/>
              </w:rPr>
            </w:pPr>
          </w:p>
        </w:tc>
        <w:tc>
          <w:tcPr>
            <w:tcW w:w="551" w:type="pct"/>
            <w:shd w:val="clear" w:color="auto" w:fill="auto"/>
            <w:vAlign w:val="bottom"/>
          </w:tcPr>
          <w:p w14:paraId="5F2D2FB7" w14:textId="77777777" w:rsidR="00E836FB" w:rsidRDefault="00E836FB">
            <w:pPr>
              <w:rPr>
                <w:rFonts w:ascii="宋体"/>
              </w:rPr>
            </w:pPr>
          </w:p>
        </w:tc>
        <w:tc>
          <w:tcPr>
            <w:tcW w:w="5" w:type="pct"/>
            <w:shd w:val="clear" w:color="auto" w:fill="auto"/>
            <w:vAlign w:val="bottom"/>
          </w:tcPr>
          <w:p w14:paraId="5F2D2FB8" w14:textId="77777777" w:rsidR="00E836FB" w:rsidRDefault="00E836FB">
            <w:pPr>
              <w:rPr>
                <w:rFonts w:ascii="宋体"/>
              </w:rPr>
            </w:pPr>
          </w:p>
        </w:tc>
        <w:tc>
          <w:tcPr>
            <w:tcW w:w="5" w:type="pct"/>
            <w:shd w:val="clear" w:color="auto" w:fill="auto"/>
            <w:vAlign w:val="bottom"/>
          </w:tcPr>
          <w:p w14:paraId="5F2D2FB9" w14:textId="77777777" w:rsidR="00E836FB" w:rsidRDefault="00E836FB">
            <w:pPr>
              <w:rPr>
                <w:rFonts w:ascii="宋体"/>
              </w:rPr>
            </w:pPr>
          </w:p>
        </w:tc>
        <w:tc>
          <w:tcPr>
            <w:tcW w:w="26" w:type="pct"/>
            <w:shd w:val="clear" w:color="auto" w:fill="auto"/>
            <w:vAlign w:val="bottom"/>
          </w:tcPr>
          <w:p w14:paraId="5F2D2FBA" w14:textId="77777777" w:rsidR="00E836FB" w:rsidRDefault="00E836FB">
            <w:pPr>
              <w:rPr>
                <w:rFonts w:ascii="宋体"/>
              </w:rPr>
            </w:pPr>
          </w:p>
        </w:tc>
        <w:tc>
          <w:tcPr>
            <w:tcW w:w="5" w:type="pct"/>
            <w:shd w:val="clear" w:color="auto" w:fill="auto"/>
            <w:vAlign w:val="bottom"/>
          </w:tcPr>
          <w:p w14:paraId="5F2D2FBB" w14:textId="77777777" w:rsidR="00E836FB" w:rsidRDefault="00E836FB">
            <w:pPr>
              <w:rPr>
                <w:rFonts w:ascii="宋体"/>
              </w:rPr>
            </w:pPr>
          </w:p>
        </w:tc>
        <w:tc>
          <w:tcPr>
            <w:tcW w:w="50" w:type="pct"/>
            <w:shd w:val="clear" w:color="auto" w:fill="auto"/>
            <w:vAlign w:val="bottom"/>
          </w:tcPr>
          <w:p w14:paraId="5F2D2FBC" w14:textId="77777777" w:rsidR="00E836FB" w:rsidRDefault="00E836FB">
            <w:pPr>
              <w:rPr>
                <w:rFonts w:ascii="宋体"/>
              </w:rPr>
            </w:pPr>
          </w:p>
        </w:tc>
        <w:tc>
          <w:tcPr>
            <w:tcW w:w="551" w:type="pct"/>
            <w:shd w:val="clear" w:color="auto" w:fill="auto"/>
            <w:vAlign w:val="bottom"/>
          </w:tcPr>
          <w:p w14:paraId="5F2D2FBD" w14:textId="77777777" w:rsidR="00E836FB" w:rsidRDefault="00E836FB">
            <w:pPr>
              <w:rPr>
                <w:rFonts w:ascii="宋体"/>
              </w:rPr>
            </w:pPr>
          </w:p>
        </w:tc>
        <w:tc>
          <w:tcPr>
            <w:tcW w:w="5" w:type="pct"/>
            <w:shd w:val="clear" w:color="auto" w:fill="auto"/>
            <w:vAlign w:val="bottom"/>
          </w:tcPr>
          <w:p w14:paraId="5F2D2FBE" w14:textId="77777777" w:rsidR="00E836FB" w:rsidRDefault="00E836FB">
            <w:pPr>
              <w:rPr>
                <w:rFonts w:ascii="宋体"/>
              </w:rPr>
            </w:pPr>
          </w:p>
        </w:tc>
      </w:tr>
      <w:tr w:rsidR="00E836FB" w14:paraId="5F2D2FC3" w14:textId="77777777">
        <w:tc>
          <w:tcPr>
            <w:tcW w:w="0" w:type="auto"/>
            <w:gridSpan w:val="3"/>
            <w:shd w:val="clear" w:color="auto" w:fill="auto"/>
            <w:tcMar>
              <w:top w:w="0" w:type="dxa"/>
              <w:left w:w="20" w:type="dxa"/>
              <w:bottom w:w="0" w:type="dxa"/>
              <w:right w:w="20" w:type="dxa"/>
            </w:tcMar>
            <w:vAlign w:val="bottom"/>
          </w:tcPr>
          <w:p w14:paraId="5F2D2FC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C1"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2FC2" w14:textId="77777777" w:rsidR="00E836FB" w:rsidRDefault="00994958">
            <w:pPr>
              <w:jc w:val="center"/>
              <w:textAlignment w:val="bottom"/>
            </w:pPr>
            <w:r>
              <w:rPr>
                <w:rFonts w:ascii="Arial" w:eastAsia="宋体" w:hAnsi="Arial" w:cs="Arial"/>
                <w:b/>
                <w:bCs/>
                <w:color w:val="000000"/>
                <w:sz w:val="16"/>
                <w:szCs w:val="16"/>
              </w:rPr>
              <w:t>Years Ended December 31,</w:t>
            </w:r>
          </w:p>
        </w:tc>
      </w:tr>
      <w:tr w:rsidR="00E836FB" w14:paraId="5F2D2FCB" w14:textId="77777777">
        <w:tc>
          <w:tcPr>
            <w:tcW w:w="0" w:type="auto"/>
            <w:gridSpan w:val="3"/>
            <w:shd w:val="clear" w:color="auto" w:fill="auto"/>
            <w:tcMar>
              <w:top w:w="0" w:type="dxa"/>
              <w:left w:w="20" w:type="dxa"/>
              <w:bottom w:w="0" w:type="dxa"/>
              <w:right w:w="20" w:type="dxa"/>
            </w:tcMar>
            <w:vAlign w:val="bottom"/>
          </w:tcPr>
          <w:p w14:paraId="5F2D2FC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2FC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2FC6"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C7"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2FC8"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C9"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2FCA" w14:textId="77777777" w:rsidR="00E836FB" w:rsidRDefault="00994958">
            <w:pPr>
              <w:jc w:val="center"/>
              <w:textAlignment w:val="bottom"/>
            </w:pPr>
            <w:r>
              <w:rPr>
                <w:rFonts w:ascii="Arial" w:eastAsia="宋体" w:hAnsi="Arial" w:cs="Arial"/>
                <w:b/>
                <w:bCs/>
                <w:color w:val="000000"/>
                <w:sz w:val="16"/>
                <w:szCs w:val="16"/>
              </w:rPr>
              <w:t>2019</w:t>
            </w:r>
          </w:p>
        </w:tc>
      </w:tr>
      <w:tr w:rsidR="00E836FB" w14:paraId="5F2D2FD1" w14:textId="77777777">
        <w:tc>
          <w:tcPr>
            <w:tcW w:w="0" w:type="auto"/>
            <w:gridSpan w:val="3"/>
            <w:shd w:val="clear" w:color="auto" w:fill="auto"/>
            <w:tcMar>
              <w:top w:w="40" w:type="dxa"/>
              <w:left w:w="20" w:type="dxa"/>
              <w:bottom w:w="40" w:type="dxa"/>
              <w:right w:w="20" w:type="dxa"/>
            </w:tcMar>
            <w:vAlign w:val="bottom"/>
          </w:tcPr>
          <w:p w14:paraId="5F2D2FCC" w14:textId="77777777" w:rsidR="00E836FB" w:rsidRDefault="00994958">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5F2D2FCD" w14:textId="77777777" w:rsidR="00E836FB" w:rsidRDefault="00994958">
            <w:pPr>
              <w:jc w:val="center"/>
              <w:textAlignment w:val="bottom"/>
            </w:pPr>
            <w:r>
              <w:rPr>
                <w:rFonts w:ascii="Arial" w:eastAsia="宋体" w:hAnsi="Arial" w:cs="Arial"/>
                <w:b/>
                <w:bCs/>
                <w:color w:val="000000"/>
                <w:sz w:val="16"/>
                <w:szCs w:val="16"/>
              </w:rPr>
              <w:t>Location of Gain (Loss) on</w:t>
            </w:r>
          </w:p>
          <w:p w14:paraId="5F2D2FCE" w14:textId="77777777" w:rsidR="00E836FB" w:rsidRDefault="00994958">
            <w:pPr>
              <w:jc w:val="center"/>
              <w:textAlignment w:val="bottom"/>
            </w:pPr>
            <w:r>
              <w:rPr>
                <w:rFonts w:ascii="Arial" w:eastAsia="宋体" w:hAnsi="Arial" w:cs="Arial"/>
                <w:b/>
                <w:bCs/>
                <w:color w:val="000000"/>
                <w:sz w:val="16"/>
                <w:szCs w:val="16"/>
              </w:rPr>
              <w:t>Derivative in Consolidated</w:t>
            </w:r>
          </w:p>
          <w:p w14:paraId="5F2D2FCF" w14:textId="77777777" w:rsidR="00E836FB" w:rsidRDefault="00994958">
            <w:pPr>
              <w:jc w:val="center"/>
              <w:textAlignment w:val="bottom"/>
            </w:pPr>
            <w:r>
              <w:rPr>
                <w:rFonts w:ascii="Arial" w:eastAsia="宋体" w:hAnsi="Arial" w:cs="Arial"/>
                <w:b/>
                <w:bCs/>
                <w:color w:val="000000"/>
                <w:sz w:val="16"/>
                <w:szCs w:val="16"/>
              </w:rPr>
              <w:t>Statement of Income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2FD0" w14:textId="77777777" w:rsidR="00E836FB" w:rsidRDefault="00994958">
            <w:pPr>
              <w:jc w:val="center"/>
              <w:textAlignment w:val="bottom"/>
            </w:pPr>
            <w:r>
              <w:rPr>
                <w:rFonts w:ascii="Arial" w:eastAsia="宋体" w:hAnsi="Arial" w:cs="Arial"/>
                <w:b/>
                <w:bCs/>
                <w:color w:val="000000"/>
                <w:sz w:val="16"/>
                <w:szCs w:val="16"/>
              </w:rPr>
              <w:t>Amount of Gain (Loss) on Derivative Recognized in Consolidated Statement of Income</w:t>
            </w:r>
          </w:p>
        </w:tc>
      </w:tr>
      <w:tr w:rsidR="00E836FB" w14:paraId="5F2D2FD9" w14:textId="77777777">
        <w:tc>
          <w:tcPr>
            <w:tcW w:w="0" w:type="auto"/>
            <w:gridSpan w:val="3"/>
            <w:shd w:val="clear" w:color="auto" w:fill="auto"/>
            <w:tcMar>
              <w:top w:w="40" w:type="dxa"/>
              <w:left w:w="20" w:type="dxa"/>
              <w:bottom w:w="40" w:type="dxa"/>
              <w:right w:w="20" w:type="dxa"/>
            </w:tcMar>
            <w:vAlign w:val="bottom"/>
          </w:tcPr>
          <w:p w14:paraId="5F2D2FD2" w14:textId="77777777" w:rsidR="00E836FB" w:rsidRDefault="00994958">
            <w:pPr>
              <w:textAlignment w:val="bottom"/>
            </w:pPr>
            <w:r>
              <w:rPr>
                <w:rFonts w:ascii="Arial" w:eastAsia="宋体" w:hAnsi="Arial" w:cs="Arial"/>
                <w:b/>
                <w:bCs/>
                <w:color w:val="000000"/>
                <w:sz w:val="16"/>
                <w:szCs w:val="16"/>
              </w:rPr>
              <w:t xml:space="preserve">Derivatives not </w:t>
            </w:r>
            <w:r>
              <w:rPr>
                <w:rFonts w:ascii="Arial" w:eastAsia="宋体" w:hAnsi="Arial" w:cs="Arial"/>
                <w:b/>
                <w:bCs/>
                <w:color w:val="000000"/>
                <w:sz w:val="16"/>
                <w:szCs w:val="16"/>
              </w:rPr>
              <w:t>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D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D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D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D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D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2FD8" w14:textId="77777777" w:rsidR="00E836FB" w:rsidRDefault="00E836FB">
            <w:pPr>
              <w:rPr>
                <w:rFonts w:ascii="宋体"/>
              </w:rPr>
            </w:pPr>
          </w:p>
        </w:tc>
      </w:tr>
      <w:tr w:rsidR="00E836FB" w14:paraId="5F2D2FE7" w14:textId="77777777">
        <w:tc>
          <w:tcPr>
            <w:tcW w:w="0" w:type="auto"/>
            <w:gridSpan w:val="3"/>
            <w:shd w:val="clear" w:color="auto" w:fill="CCEEFF"/>
            <w:tcMar>
              <w:top w:w="40" w:type="dxa"/>
              <w:left w:w="20" w:type="dxa"/>
              <w:bottom w:w="40" w:type="dxa"/>
              <w:right w:w="20" w:type="dxa"/>
            </w:tcMar>
            <w:vAlign w:val="bottom"/>
          </w:tcPr>
          <w:p w14:paraId="5F2D2FDA" w14:textId="77777777" w:rsidR="00E836FB" w:rsidRDefault="00994958">
            <w:pPr>
              <w:textAlignment w:val="bottom"/>
            </w:pPr>
            <w:r>
              <w:rPr>
                <w:rFonts w:ascii="Arial" w:eastAsia="宋体" w:hAnsi="Arial" w:cs="Arial"/>
                <w:color w:val="000000"/>
                <w:sz w:val="16"/>
                <w:szCs w:val="16"/>
              </w:rPr>
              <w:t>Foreign exchange contracts</w:t>
            </w:r>
          </w:p>
        </w:tc>
        <w:tc>
          <w:tcPr>
            <w:tcW w:w="0" w:type="auto"/>
            <w:gridSpan w:val="3"/>
            <w:shd w:val="clear" w:color="auto" w:fill="CCEEFF"/>
            <w:tcMar>
              <w:top w:w="40" w:type="dxa"/>
              <w:left w:w="20" w:type="dxa"/>
              <w:bottom w:w="40" w:type="dxa"/>
              <w:right w:w="20" w:type="dxa"/>
            </w:tcMar>
            <w:vAlign w:val="bottom"/>
          </w:tcPr>
          <w:p w14:paraId="5F2D2FDB" w14:textId="77777777" w:rsidR="00E836FB" w:rsidRDefault="00994958">
            <w:pPr>
              <w:textAlignment w:val="bottom"/>
            </w:pPr>
            <w:r>
              <w:rPr>
                <w:rFonts w:ascii="Arial" w:eastAsia="宋体" w:hAnsi="Arial" w:cs="Arial"/>
                <w:color w:val="000000"/>
                <w:sz w:val="16"/>
                <w:szCs w:val="16"/>
              </w:rPr>
              <w:t>Foreign exchange trading services revenue</w:t>
            </w:r>
          </w:p>
        </w:tc>
        <w:tc>
          <w:tcPr>
            <w:tcW w:w="0" w:type="auto"/>
            <w:shd w:val="clear" w:color="auto" w:fill="CCEEFF"/>
            <w:tcMar>
              <w:top w:w="40" w:type="dxa"/>
              <w:left w:w="20" w:type="dxa"/>
              <w:bottom w:w="40" w:type="dxa"/>
              <w:right w:w="0" w:type="dxa"/>
            </w:tcMar>
            <w:vAlign w:val="bottom"/>
          </w:tcPr>
          <w:p w14:paraId="5F2D2FDC"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F2D2FDD" w14:textId="77777777" w:rsidR="00E836FB" w:rsidRDefault="00994958">
            <w:pPr>
              <w:jc w:val="right"/>
              <w:textAlignment w:val="bottom"/>
            </w:pPr>
            <w:r>
              <w:rPr>
                <w:rFonts w:ascii="Arial" w:eastAsia="宋体" w:hAnsi="Arial" w:cs="Arial"/>
                <w:b/>
                <w:bCs/>
                <w:color w:val="000000"/>
                <w:sz w:val="16"/>
                <w:szCs w:val="16"/>
              </w:rPr>
              <w:t>811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2F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D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E0"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D2FE1" w14:textId="77777777" w:rsidR="00E836FB" w:rsidRDefault="00994958">
            <w:pPr>
              <w:jc w:val="right"/>
              <w:textAlignment w:val="bottom"/>
            </w:pPr>
            <w:r>
              <w:rPr>
                <w:rFonts w:ascii="Arial" w:eastAsia="宋体" w:hAnsi="Arial" w:cs="Arial"/>
                <w:color w:val="000000"/>
                <w:sz w:val="16"/>
                <w:szCs w:val="16"/>
              </w:rPr>
              <w:t>922 </w:t>
            </w:r>
          </w:p>
        </w:tc>
        <w:tc>
          <w:tcPr>
            <w:tcW w:w="0" w:type="auto"/>
            <w:shd w:val="clear" w:color="auto" w:fill="CCEEFF"/>
            <w:tcMar>
              <w:top w:w="40" w:type="dxa"/>
              <w:left w:w="0" w:type="dxa"/>
              <w:bottom w:w="40" w:type="dxa"/>
              <w:right w:w="20" w:type="dxa"/>
            </w:tcMar>
            <w:vAlign w:val="bottom"/>
          </w:tcPr>
          <w:p w14:paraId="5F2D2F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E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2FE4"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D2FE5" w14:textId="77777777" w:rsidR="00E836FB" w:rsidRDefault="00994958">
            <w:pPr>
              <w:jc w:val="right"/>
              <w:textAlignment w:val="bottom"/>
            </w:pPr>
            <w:r>
              <w:rPr>
                <w:rFonts w:ascii="Arial" w:eastAsia="宋体" w:hAnsi="Arial" w:cs="Arial"/>
                <w:color w:val="000000"/>
                <w:sz w:val="16"/>
                <w:szCs w:val="16"/>
              </w:rPr>
              <w:t>630 </w:t>
            </w:r>
          </w:p>
        </w:tc>
        <w:tc>
          <w:tcPr>
            <w:tcW w:w="0" w:type="auto"/>
            <w:shd w:val="clear" w:color="auto" w:fill="CCEEFF"/>
            <w:tcMar>
              <w:top w:w="40" w:type="dxa"/>
              <w:left w:w="0" w:type="dxa"/>
              <w:bottom w:w="40" w:type="dxa"/>
              <w:right w:w="20" w:type="dxa"/>
            </w:tcMar>
            <w:vAlign w:val="bottom"/>
          </w:tcPr>
          <w:p w14:paraId="5F2D2FE6" w14:textId="77777777" w:rsidR="00E836FB" w:rsidRDefault="00E836FB">
            <w:pPr>
              <w:jc w:val="right"/>
              <w:rPr>
                <w:rFonts w:ascii="宋体"/>
              </w:rPr>
            </w:pPr>
          </w:p>
        </w:tc>
      </w:tr>
      <w:tr w:rsidR="00E836FB" w14:paraId="5F2D2FEF" w14:textId="77777777">
        <w:trPr>
          <w:hidden/>
        </w:trPr>
        <w:tc>
          <w:tcPr>
            <w:tcW w:w="0" w:type="auto"/>
            <w:gridSpan w:val="3"/>
            <w:shd w:val="clear" w:color="auto" w:fill="auto"/>
            <w:vAlign w:val="bottom"/>
          </w:tcPr>
          <w:p w14:paraId="5F2D2FE8" w14:textId="77777777" w:rsidR="00E836FB" w:rsidRDefault="00E836FB">
            <w:pPr>
              <w:rPr>
                <w:rFonts w:ascii="宋体"/>
                <w:vanish/>
              </w:rPr>
            </w:pPr>
          </w:p>
        </w:tc>
        <w:tc>
          <w:tcPr>
            <w:tcW w:w="0" w:type="auto"/>
            <w:gridSpan w:val="3"/>
            <w:shd w:val="clear" w:color="auto" w:fill="auto"/>
            <w:vAlign w:val="bottom"/>
          </w:tcPr>
          <w:p w14:paraId="5F2D2FE9" w14:textId="77777777" w:rsidR="00E836FB" w:rsidRDefault="00E836FB">
            <w:pPr>
              <w:rPr>
                <w:rFonts w:ascii="宋体"/>
                <w:vanish/>
              </w:rPr>
            </w:pPr>
          </w:p>
        </w:tc>
        <w:tc>
          <w:tcPr>
            <w:tcW w:w="0" w:type="auto"/>
            <w:gridSpan w:val="3"/>
            <w:shd w:val="clear" w:color="auto" w:fill="auto"/>
            <w:vAlign w:val="bottom"/>
          </w:tcPr>
          <w:p w14:paraId="5F2D2FEA" w14:textId="77777777" w:rsidR="00E836FB" w:rsidRDefault="00E836FB">
            <w:pPr>
              <w:rPr>
                <w:rFonts w:ascii="宋体"/>
                <w:vanish/>
              </w:rPr>
            </w:pPr>
          </w:p>
        </w:tc>
        <w:tc>
          <w:tcPr>
            <w:tcW w:w="0" w:type="auto"/>
            <w:gridSpan w:val="3"/>
            <w:shd w:val="clear" w:color="auto" w:fill="auto"/>
            <w:vAlign w:val="bottom"/>
          </w:tcPr>
          <w:p w14:paraId="5F2D2FEB" w14:textId="77777777" w:rsidR="00E836FB" w:rsidRDefault="00E836FB">
            <w:pPr>
              <w:rPr>
                <w:rFonts w:ascii="宋体"/>
                <w:vanish/>
              </w:rPr>
            </w:pPr>
          </w:p>
        </w:tc>
        <w:tc>
          <w:tcPr>
            <w:tcW w:w="0" w:type="auto"/>
            <w:gridSpan w:val="3"/>
            <w:shd w:val="clear" w:color="auto" w:fill="auto"/>
            <w:vAlign w:val="bottom"/>
          </w:tcPr>
          <w:p w14:paraId="5F2D2FEC" w14:textId="77777777" w:rsidR="00E836FB" w:rsidRDefault="00E836FB">
            <w:pPr>
              <w:rPr>
                <w:rFonts w:ascii="宋体"/>
                <w:vanish/>
              </w:rPr>
            </w:pPr>
          </w:p>
        </w:tc>
        <w:tc>
          <w:tcPr>
            <w:tcW w:w="0" w:type="auto"/>
            <w:gridSpan w:val="3"/>
            <w:shd w:val="clear" w:color="auto" w:fill="auto"/>
            <w:vAlign w:val="bottom"/>
          </w:tcPr>
          <w:p w14:paraId="5F2D2FED" w14:textId="77777777" w:rsidR="00E836FB" w:rsidRDefault="00E836FB">
            <w:pPr>
              <w:rPr>
                <w:rFonts w:ascii="宋体"/>
                <w:vanish/>
              </w:rPr>
            </w:pPr>
          </w:p>
        </w:tc>
        <w:tc>
          <w:tcPr>
            <w:tcW w:w="0" w:type="auto"/>
            <w:gridSpan w:val="3"/>
            <w:shd w:val="clear" w:color="auto" w:fill="auto"/>
            <w:vAlign w:val="bottom"/>
          </w:tcPr>
          <w:p w14:paraId="5F2D2FEE" w14:textId="77777777" w:rsidR="00E836FB" w:rsidRDefault="00E836FB">
            <w:pPr>
              <w:rPr>
                <w:rFonts w:ascii="宋体"/>
                <w:vanish/>
              </w:rPr>
            </w:pPr>
          </w:p>
        </w:tc>
      </w:tr>
      <w:tr w:rsidR="00E836FB" w14:paraId="5F2D2FFA" w14:textId="77777777">
        <w:tc>
          <w:tcPr>
            <w:tcW w:w="0" w:type="auto"/>
            <w:gridSpan w:val="3"/>
            <w:shd w:val="clear" w:color="auto" w:fill="FFFFFF"/>
            <w:tcMar>
              <w:top w:w="40" w:type="dxa"/>
              <w:left w:w="20" w:type="dxa"/>
              <w:bottom w:w="40" w:type="dxa"/>
              <w:right w:w="20" w:type="dxa"/>
            </w:tcMar>
            <w:vAlign w:val="bottom"/>
          </w:tcPr>
          <w:p w14:paraId="5F2D2FF0" w14:textId="77777777" w:rsidR="00E836FB" w:rsidRDefault="00994958">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40" w:type="dxa"/>
              <w:left w:w="20" w:type="dxa"/>
              <w:bottom w:w="40" w:type="dxa"/>
              <w:right w:w="20" w:type="dxa"/>
            </w:tcMar>
            <w:vAlign w:val="bottom"/>
          </w:tcPr>
          <w:p w14:paraId="5F2D2FF1" w14:textId="77777777" w:rsidR="00E836FB" w:rsidRDefault="00994958">
            <w:pPr>
              <w:textAlignment w:val="bottom"/>
            </w:pPr>
            <w:r>
              <w:rPr>
                <w:rFonts w:ascii="Arial" w:eastAsia="宋体" w:hAnsi="Arial" w:cs="Arial"/>
                <w:color w:val="000000"/>
                <w:sz w:val="16"/>
                <w:szCs w:val="16"/>
              </w:rPr>
              <w:t>Interest expense</w:t>
            </w:r>
          </w:p>
        </w:tc>
        <w:tc>
          <w:tcPr>
            <w:tcW w:w="0" w:type="auto"/>
            <w:gridSpan w:val="2"/>
            <w:shd w:val="clear" w:color="auto" w:fill="FFFFFF"/>
            <w:tcMar>
              <w:top w:w="40" w:type="dxa"/>
              <w:left w:w="20" w:type="dxa"/>
              <w:bottom w:w="40" w:type="dxa"/>
              <w:right w:w="0" w:type="dxa"/>
            </w:tcMar>
            <w:vAlign w:val="bottom"/>
          </w:tcPr>
          <w:p w14:paraId="5F2D2FF2" w14:textId="77777777" w:rsidR="00E836FB" w:rsidRDefault="00994958">
            <w:pPr>
              <w:jc w:val="right"/>
              <w:textAlignment w:val="bottom"/>
            </w:pPr>
            <w:r>
              <w:rPr>
                <w:rFonts w:ascii="Arial" w:eastAsia="宋体" w:hAnsi="Arial" w:cs="Arial"/>
                <w:b/>
                <w:bCs/>
                <w:color w:val="000000"/>
                <w:sz w:val="16"/>
                <w:szCs w:val="16"/>
              </w:rPr>
              <w:t>68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2FF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F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F5" w14:textId="77777777" w:rsidR="00E836FB" w:rsidRDefault="00994958">
            <w:pPr>
              <w:jc w:val="right"/>
              <w:textAlignment w:val="bottom"/>
            </w:pPr>
            <w:r>
              <w:rPr>
                <w:rFonts w:ascii="Arial" w:eastAsia="宋体" w:hAnsi="Arial" w:cs="Arial"/>
                <w:color w:val="000000"/>
                <w:sz w:val="16"/>
                <w:szCs w:val="16"/>
              </w:rPr>
              <w:t>63 </w:t>
            </w:r>
          </w:p>
        </w:tc>
        <w:tc>
          <w:tcPr>
            <w:tcW w:w="0" w:type="auto"/>
            <w:shd w:val="clear" w:color="auto" w:fill="FFFFFF"/>
            <w:tcMar>
              <w:top w:w="40" w:type="dxa"/>
              <w:left w:w="0" w:type="dxa"/>
              <w:bottom w:w="40" w:type="dxa"/>
              <w:right w:w="20" w:type="dxa"/>
            </w:tcMar>
            <w:vAlign w:val="bottom"/>
          </w:tcPr>
          <w:p w14:paraId="5F2D2F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2F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2FF8" w14:textId="77777777" w:rsidR="00E836FB" w:rsidRDefault="00994958">
            <w:pPr>
              <w:jc w:val="right"/>
              <w:textAlignment w:val="bottom"/>
            </w:pPr>
            <w:r>
              <w:rPr>
                <w:rFonts w:ascii="Arial" w:eastAsia="宋体" w:hAnsi="Arial" w:cs="Arial"/>
                <w:color w:val="000000"/>
                <w:sz w:val="16"/>
                <w:szCs w:val="16"/>
              </w:rPr>
              <w:t>(153)</w:t>
            </w:r>
          </w:p>
        </w:tc>
        <w:tc>
          <w:tcPr>
            <w:tcW w:w="0" w:type="auto"/>
            <w:shd w:val="clear" w:color="auto" w:fill="FFFFFF"/>
            <w:tcMar>
              <w:top w:w="40" w:type="dxa"/>
              <w:left w:w="0" w:type="dxa"/>
              <w:bottom w:w="40" w:type="dxa"/>
              <w:right w:w="20" w:type="dxa"/>
            </w:tcMar>
            <w:vAlign w:val="bottom"/>
          </w:tcPr>
          <w:p w14:paraId="5F2D2FF9" w14:textId="77777777" w:rsidR="00E836FB" w:rsidRDefault="00E836FB">
            <w:pPr>
              <w:jc w:val="right"/>
              <w:rPr>
                <w:rFonts w:ascii="宋体"/>
              </w:rPr>
            </w:pPr>
          </w:p>
        </w:tc>
      </w:tr>
      <w:tr w:rsidR="00E836FB" w14:paraId="5F2D3005" w14:textId="77777777">
        <w:tc>
          <w:tcPr>
            <w:tcW w:w="0" w:type="auto"/>
            <w:gridSpan w:val="3"/>
            <w:shd w:val="clear" w:color="auto" w:fill="CCEEFF"/>
            <w:tcMar>
              <w:top w:w="40" w:type="dxa"/>
              <w:left w:w="20" w:type="dxa"/>
              <w:bottom w:w="40" w:type="dxa"/>
              <w:right w:w="20" w:type="dxa"/>
            </w:tcMar>
            <w:vAlign w:val="bottom"/>
          </w:tcPr>
          <w:p w14:paraId="5F2D2FFB" w14:textId="77777777" w:rsidR="00E836FB" w:rsidRDefault="00994958">
            <w:pPr>
              <w:textAlignment w:val="bottom"/>
            </w:pPr>
            <w:r>
              <w:rPr>
                <w:rFonts w:ascii="Arial" w:eastAsia="宋体" w:hAnsi="Arial" w:cs="Arial"/>
                <w:color w:val="000000"/>
                <w:sz w:val="16"/>
                <w:szCs w:val="16"/>
              </w:rPr>
              <w:t>Interest rate contracts</w:t>
            </w:r>
          </w:p>
        </w:tc>
        <w:tc>
          <w:tcPr>
            <w:tcW w:w="0" w:type="auto"/>
            <w:gridSpan w:val="3"/>
            <w:shd w:val="clear" w:color="auto" w:fill="CCEEFF"/>
            <w:tcMar>
              <w:top w:w="40" w:type="dxa"/>
              <w:left w:w="20" w:type="dxa"/>
              <w:bottom w:w="40" w:type="dxa"/>
              <w:right w:w="20" w:type="dxa"/>
            </w:tcMar>
            <w:vAlign w:val="bottom"/>
          </w:tcPr>
          <w:p w14:paraId="5F2D2FFC" w14:textId="77777777" w:rsidR="00E836FB" w:rsidRDefault="00994958">
            <w:pPr>
              <w:textAlignment w:val="bottom"/>
            </w:pPr>
            <w:r>
              <w:rPr>
                <w:rFonts w:ascii="Arial" w:eastAsia="宋体" w:hAnsi="Arial" w:cs="Arial"/>
                <w:color w:val="000000"/>
                <w:sz w:val="16"/>
                <w:szCs w:val="16"/>
              </w:rPr>
              <w:t>Foreign exchange trading services revenue</w:t>
            </w:r>
          </w:p>
        </w:tc>
        <w:tc>
          <w:tcPr>
            <w:tcW w:w="0" w:type="auto"/>
            <w:gridSpan w:val="2"/>
            <w:shd w:val="clear" w:color="auto" w:fill="CCEEFF"/>
            <w:tcMar>
              <w:top w:w="40" w:type="dxa"/>
              <w:left w:w="20" w:type="dxa"/>
              <w:bottom w:w="40" w:type="dxa"/>
              <w:right w:w="0" w:type="dxa"/>
            </w:tcMar>
            <w:vAlign w:val="bottom"/>
          </w:tcPr>
          <w:p w14:paraId="5F2D2FFD" w14:textId="77777777" w:rsidR="00E836FB" w:rsidRDefault="00994958">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2F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2F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000" w14:textId="77777777" w:rsidR="00E836FB" w:rsidRDefault="00994958">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5F2D300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00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003" w14:textId="77777777" w:rsidR="00E836FB" w:rsidRDefault="00994958">
            <w:pPr>
              <w:jc w:val="right"/>
              <w:textAlignment w:val="bottom"/>
            </w:pPr>
            <w:r>
              <w:rPr>
                <w:rFonts w:ascii="Arial" w:eastAsia="宋体" w:hAnsi="Arial" w:cs="Arial"/>
                <w:color w:val="000000"/>
                <w:sz w:val="16"/>
                <w:szCs w:val="16"/>
              </w:rPr>
              <w:t>(3)</w:t>
            </w:r>
          </w:p>
        </w:tc>
        <w:tc>
          <w:tcPr>
            <w:tcW w:w="0" w:type="auto"/>
            <w:shd w:val="clear" w:color="auto" w:fill="CCEEFF"/>
            <w:tcMar>
              <w:top w:w="40" w:type="dxa"/>
              <w:left w:w="0" w:type="dxa"/>
              <w:bottom w:w="40" w:type="dxa"/>
              <w:right w:w="20" w:type="dxa"/>
            </w:tcMar>
            <w:vAlign w:val="bottom"/>
          </w:tcPr>
          <w:p w14:paraId="5F2D3004" w14:textId="77777777" w:rsidR="00E836FB" w:rsidRDefault="00E836FB">
            <w:pPr>
              <w:jc w:val="right"/>
              <w:rPr>
                <w:rFonts w:ascii="宋体"/>
              </w:rPr>
            </w:pPr>
          </w:p>
        </w:tc>
      </w:tr>
      <w:tr w:rsidR="00E836FB" w14:paraId="5F2D300D" w14:textId="77777777">
        <w:trPr>
          <w:hidden/>
        </w:trPr>
        <w:tc>
          <w:tcPr>
            <w:tcW w:w="0" w:type="auto"/>
            <w:gridSpan w:val="3"/>
            <w:shd w:val="clear" w:color="auto" w:fill="auto"/>
            <w:vAlign w:val="bottom"/>
          </w:tcPr>
          <w:p w14:paraId="5F2D3006" w14:textId="77777777" w:rsidR="00E836FB" w:rsidRDefault="00E836FB">
            <w:pPr>
              <w:rPr>
                <w:rFonts w:ascii="宋体"/>
                <w:vanish/>
              </w:rPr>
            </w:pPr>
          </w:p>
        </w:tc>
        <w:tc>
          <w:tcPr>
            <w:tcW w:w="0" w:type="auto"/>
            <w:gridSpan w:val="3"/>
            <w:shd w:val="clear" w:color="auto" w:fill="auto"/>
            <w:vAlign w:val="bottom"/>
          </w:tcPr>
          <w:p w14:paraId="5F2D3007" w14:textId="77777777" w:rsidR="00E836FB" w:rsidRDefault="00E836FB">
            <w:pPr>
              <w:rPr>
                <w:rFonts w:ascii="宋体"/>
                <w:vanish/>
              </w:rPr>
            </w:pPr>
          </w:p>
        </w:tc>
        <w:tc>
          <w:tcPr>
            <w:tcW w:w="0" w:type="auto"/>
            <w:gridSpan w:val="3"/>
            <w:shd w:val="clear" w:color="auto" w:fill="auto"/>
            <w:vAlign w:val="bottom"/>
          </w:tcPr>
          <w:p w14:paraId="5F2D3008" w14:textId="77777777" w:rsidR="00E836FB" w:rsidRDefault="00E836FB">
            <w:pPr>
              <w:rPr>
                <w:rFonts w:ascii="宋体"/>
                <w:vanish/>
              </w:rPr>
            </w:pPr>
          </w:p>
        </w:tc>
        <w:tc>
          <w:tcPr>
            <w:tcW w:w="0" w:type="auto"/>
            <w:gridSpan w:val="3"/>
            <w:shd w:val="clear" w:color="auto" w:fill="auto"/>
            <w:vAlign w:val="bottom"/>
          </w:tcPr>
          <w:p w14:paraId="5F2D3009" w14:textId="77777777" w:rsidR="00E836FB" w:rsidRDefault="00E836FB">
            <w:pPr>
              <w:rPr>
                <w:rFonts w:ascii="宋体"/>
                <w:vanish/>
              </w:rPr>
            </w:pPr>
          </w:p>
        </w:tc>
        <w:tc>
          <w:tcPr>
            <w:tcW w:w="0" w:type="auto"/>
            <w:gridSpan w:val="3"/>
            <w:shd w:val="clear" w:color="auto" w:fill="auto"/>
            <w:vAlign w:val="bottom"/>
          </w:tcPr>
          <w:p w14:paraId="5F2D300A" w14:textId="77777777" w:rsidR="00E836FB" w:rsidRDefault="00E836FB">
            <w:pPr>
              <w:rPr>
                <w:rFonts w:ascii="宋体"/>
                <w:vanish/>
              </w:rPr>
            </w:pPr>
          </w:p>
        </w:tc>
        <w:tc>
          <w:tcPr>
            <w:tcW w:w="0" w:type="auto"/>
            <w:gridSpan w:val="3"/>
            <w:shd w:val="clear" w:color="auto" w:fill="auto"/>
            <w:vAlign w:val="bottom"/>
          </w:tcPr>
          <w:p w14:paraId="5F2D300B" w14:textId="77777777" w:rsidR="00E836FB" w:rsidRDefault="00E836FB">
            <w:pPr>
              <w:rPr>
                <w:rFonts w:ascii="宋体"/>
                <w:vanish/>
              </w:rPr>
            </w:pPr>
          </w:p>
        </w:tc>
        <w:tc>
          <w:tcPr>
            <w:tcW w:w="0" w:type="auto"/>
            <w:gridSpan w:val="3"/>
            <w:shd w:val="clear" w:color="auto" w:fill="auto"/>
            <w:vAlign w:val="bottom"/>
          </w:tcPr>
          <w:p w14:paraId="5F2D300C" w14:textId="77777777" w:rsidR="00E836FB" w:rsidRDefault="00E836FB">
            <w:pPr>
              <w:rPr>
                <w:rFonts w:ascii="宋体"/>
                <w:vanish/>
              </w:rPr>
            </w:pPr>
          </w:p>
        </w:tc>
      </w:tr>
      <w:tr w:rsidR="00E836FB" w14:paraId="5F2D3015" w14:textId="77777777">
        <w:trPr>
          <w:hidden/>
        </w:trPr>
        <w:tc>
          <w:tcPr>
            <w:tcW w:w="0" w:type="auto"/>
            <w:gridSpan w:val="3"/>
            <w:shd w:val="clear" w:color="auto" w:fill="auto"/>
            <w:vAlign w:val="bottom"/>
          </w:tcPr>
          <w:p w14:paraId="5F2D300E" w14:textId="77777777" w:rsidR="00E836FB" w:rsidRDefault="00E836FB">
            <w:pPr>
              <w:rPr>
                <w:rFonts w:ascii="宋体"/>
                <w:vanish/>
              </w:rPr>
            </w:pPr>
          </w:p>
        </w:tc>
        <w:tc>
          <w:tcPr>
            <w:tcW w:w="0" w:type="auto"/>
            <w:gridSpan w:val="3"/>
            <w:shd w:val="clear" w:color="auto" w:fill="auto"/>
            <w:vAlign w:val="bottom"/>
          </w:tcPr>
          <w:p w14:paraId="5F2D300F" w14:textId="77777777" w:rsidR="00E836FB" w:rsidRDefault="00E836FB">
            <w:pPr>
              <w:rPr>
                <w:rFonts w:ascii="宋体"/>
                <w:vanish/>
              </w:rPr>
            </w:pPr>
          </w:p>
        </w:tc>
        <w:tc>
          <w:tcPr>
            <w:tcW w:w="0" w:type="auto"/>
            <w:gridSpan w:val="3"/>
            <w:shd w:val="clear" w:color="auto" w:fill="auto"/>
            <w:vAlign w:val="bottom"/>
          </w:tcPr>
          <w:p w14:paraId="5F2D3010" w14:textId="77777777" w:rsidR="00E836FB" w:rsidRDefault="00E836FB">
            <w:pPr>
              <w:rPr>
                <w:rFonts w:ascii="宋体"/>
                <w:vanish/>
              </w:rPr>
            </w:pPr>
          </w:p>
        </w:tc>
        <w:tc>
          <w:tcPr>
            <w:tcW w:w="0" w:type="auto"/>
            <w:gridSpan w:val="3"/>
            <w:shd w:val="clear" w:color="auto" w:fill="auto"/>
            <w:vAlign w:val="bottom"/>
          </w:tcPr>
          <w:p w14:paraId="5F2D3011" w14:textId="77777777" w:rsidR="00E836FB" w:rsidRDefault="00E836FB">
            <w:pPr>
              <w:rPr>
                <w:rFonts w:ascii="宋体"/>
                <w:vanish/>
              </w:rPr>
            </w:pPr>
          </w:p>
        </w:tc>
        <w:tc>
          <w:tcPr>
            <w:tcW w:w="0" w:type="auto"/>
            <w:gridSpan w:val="3"/>
            <w:shd w:val="clear" w:color="auto" w:fill="auto"/>
            <w:vAlign w:val="bottom"/>
          </w:tcPr>
          <w:p w14:paraId="5F2D3012" w14:textId="77777777" w:rsidR="00E836FB" w:rsidRDefault="00E836FB">
            <w:pPr>
              <w:rPr>
                <w:rFonts w:ascii="宋体"/>
                <w:vanish/>
              </w:rPr>
            </w:pPr>
          </w:p>
        </w:tc>
        <w:tc>
          <w:tcPr>
            <w:tcW w:w="0" w:type="auto"/>
            <w:gridSpan w:val="3"/>
            <w:shd w:val="clear" w:color="auto" w:fill="auto"/>
            <w:vAlign w:val="bottom"/>
          </w:tcPr>
          <w:p w14:paraId="5F2D3013" w14:textId="77777777" w:rsidR="00E836FB" w:rsidRDefault="00E836FB">
            <w:pPr>
              <w:rPr>
                <w:rFonts w:ascii="宋体"/>
                <w:vanish/>
              </w:rPr>
            </w:pPr>
          </w:p>
        </w:tc>
        <w:tc>
          <w:tcPr>
            <w:tcW w:w="0" w:type="auto"/>
            <w:gridSpan w:val="3"/>
            <w:shd w:val="clear" w:color="auto" w:fill="auto"/>
            <w:vAlign w:val="bottom"/>
          </w:tcPr>
          <w:p w14:paraId="5F2D3014" w14:textId="77777777" w:rsidR="00E836FB" w:rsidRDefault="00E836FB">
            <w:pPr>
              <w:rPr>
                <w:rFonts w:ascii="宋体"/>
                <w:vanish/>
              </w:rPr>
            </w:pPr>
          </w:p>
        </w:tc>
      </w:tr>
      <w:tr w:rsidR="00E836FB" w14:paraId="5F2D301D" w14:textId="77777777">
        <w:trPr>
          <w:hidden/>
        </w:trPr>
        <w:tc>
          <w:tcPr>
            <w:tcW w:w="0" w:type="auto"/>
            <w:gridSpan w:val="3"/>
            <w:shd w:val="clear" w:color="auto" w:fill="auto"/>
            <w:vAlign w:val="bottom"/>
          </w:tcPr>
          <w:p w14:paraId="5F2D3016" w14:textId="77777777" w:rsidR="00E836FB" w:rsidRDefault="00E836FB">
            <w:pPr>
              <w:rPr>
                <w:rFonts w:ascii="宋体"/>
                <w:vanish/>
              </w:rPr>
            </w:pPr>
          </w:p>
        </w:tc>
        <w:tc>
          <w:tcPr>
            <w:tcW w:w="0" w:type="auto"/>
            <w:gridSpan w:val="3"/>
            <w:shd w:val="clear" w:color="auto" w:fill="auto"/>
            <w:vAlign w:val="bottom"/>
          </w:tcPr>
          <w:p w14:paraId="5F2D3017" w14:textId="77777777" w:rsidR="00E836FB" w:rsidRDefault="00E836FB">
            <w:pPr>
              <w:rPr>
                <w:rFonts w:ascii="宋体"/>
                <w:vanish/>
              </w:rPr>
            </w:pPr>
          </w:p>
        </w:tc>
        <w:tc>
          <w:tcPr>
            <w:tcW w:w="0" w:type="auto"/>
            <w:gridSpan w:val="3"/>
            <w:shd w:val="clear" w:color="auto" w:fill="auto"/>
            <w:vAlign w:val="bottom"/>
          </w:tcPr>
          <w:p w14:paraId="5F2D3018" w14:textId="77777777" w:rsidR="00E836FB" w:rsidRDefault="00E836FB">
            <w:pPr>
              <w:rPr>
                <w:rFonts w:ascii="宋体"/>
                <w:vanish/>
              </w:rPr>
            </w:pPr>
          </w:p>
        </w:tc>
        <w:tc>
          <w:tcPr>
            <w:tcW w:w="0" w:type="auto"/>
            <w:gridSpan w:val="3"/>
            <w:shd w:val="clear" w:color="auto" w:fill="auto"/>
            <w:vAlign w:val="bottom"/>
          </w:tcPr>
          <w:p w14:paraId="5F2D3019" w14:textId="77777777" w:rsidR="00E836FB" w:rsidRDefault="00E836FB">
            <w:pPr>
              <w:rPr>
                <w:rFonts w:ascii="宋体"/>
                <w:vanish/>
              </w:rPr>
            </w:pPr>
          </w:p>
        </w:tc>
        <w:tc>
          <w:tcPr>
            <w:tcW w:w="0" w:type="auto"/>
            <w:gridSpan w:val="3"/>
            <w:shd w:val="clear" w:color="auto" w:fill="auto"/>
            <w:vAlign w:val="bottom"/>
          </w:tcPr>
          <w:p w14:paraId="5F2D301A" w14:textId="77777777" w:rsidR="00E836FB" w:rsidRDefault="00E836FB">
            <w:pPr>
              <w:rPr>
                <w:rFonts w:ascii="宋体"/>
                <w:vanish/>
              </w:rPr>
            </w:pPr>
          </w:p>
        </w:tc>
        <w:tc>
          <w:tcPr>
            <w:tcW w:w="0" w:type="auto"/>
            <w:gridSpan w:val="3"/>
            <w:shd w:val="clear" w:color="auto" w:fill="auto"/>
            <w:vAlign w:val="bottom"/>
          </w:tcPr>
          <w:p w14:paraId="5F2D301B" w14:textId="77777777" w:rsidR="00E836FB" w:rsidRDefault="00E836FB">
            <w:pPr>
              <w:rPr>
                <w:rFonts w:ascii="宋体"/>
                <w:vanish/>
              </w:rPr>
            </w:pPr>
          </w:p>
        </w:tc>
        <w:tc>
          <w:tcPr>
            <w:tcW w:w="0" w:type="auto"/>
            <w:gridSpan w:val="3"/>
            <w:shd w:val="clear" w:color="auto" w:fill="auto"/>
            <w:vAlign w:val="bottom"/>
          </w:tcPr>
          <w:p w14:paraId="5F2D301C" w14:textId="77777777" w:rsidR="00E836FB" w:rsidRDefault="00E836FB">
            <w:pPr>
              <w:rPr>
                <w:rFonts w:ascii="宋体"/>
                <w:vanish/>
              </w:rPr>
            </w:pPr>
          </w:p>
        </w:tc>
      </w:tr>
      <w:tr w:rsidR="00E836FB" w14:paraId="5F2D3025" w14:textId="77777777">
        <w:trPr>
          <w:hidden/>
        </w:trPr>
        <w:tc>
          <w:tcPr>
            <w:tcW w:w="0" w:type="auto"/>
            <w:gridSpan w:val="3"/>
            <w:shd w:val="clear" w:color="auto" w:fill="auto"/>
            <w:vAlign w:val="bottom"/>
          </w:tcPr>
          <w:p w14:paraId="5F2D301E" w14:textId="77777777" w:rsidR="00E836FB" w:rsidRDefault="00E836FB">
            <w:pPr>
              <w:rPr>
                <w:rFonts w:ascii="宋体"/>
                <w:vanish/>
              </w:rPr>
            </w:pPr>
          </w:p>
        </w:tc>
        <w:tc>
          <w:tcPr>
            <w:tcW w:w="0" w:type="auto"/>
            <w:gridSpan w:val="3"/>
            <w:shd w:val="clear" w:color="auto" w:fill="auto"/>
            <w:vAlign w:val="bottom"/>
          </w:tcPr>
          <w:p w14:paraId="5F2D301F" w14:textId="77777777" w:rsidR="00E836FB" w:rsidRDefault="00E836FB">
            <w:pPr>
              <w:rPr>
                <w:rFonts w:ascii="宋体"/>
                <w:vanish/>
              </w:rPr>
            </w:pPr>
          </w:p>
        </w:tc>
        <w:tc>
          <w:tcPr>
            <w:tcW w:w="0" w:type="auto"/>
            <w:gridSpan w:val="3"/>
            <w:shd w:val="clear" w:color="auto" w:fill="auto"/>
            <w:vAlign w:val="bottom"/>
          </w:tcPr>
          <w:p w14:paraId="5F2D3020" w14:textId="77777777" w:rsidR="00E836FB" w:rsidRDefault="00E836FB">
            <w:pPr>
              <w:rPr>
                <w:rFonts w:ascii="宋体"/>
                <w:vanish/>
              </w:rPr>
            </w:pPr>
          </w:p>
        </w:tc>
        <w:tc>
          <w:tcPr>
            <w:tcW w:w="0" w:type="auto"/>
            <w:gridSpan w:val="3"/>
            <w:shd w:val="clear" w:color="auto" w:fill="auto"/>
            <w:vAlign w:val="bottom"/>
          </w:tcPr>
          <w:p w14:paraId="5F2D3021" w14:textId="77777777" w:rsidR="00E836FB" w:rsidRDefault="00E836FB">
            <w:pPr>
              <w:rPr>
                <w:rFonts w:ascii="宋体"/>
                <w:vanish/>
              </w:rPr>
            </w:pPr>
          </w:p>
        </w:tc>
        <w:tc>
          <w:tcPr>
            <w:tcW w:w="0" w:type="auto"/>
            <w:gridSpan w:val="3"/>
            <w:shd w:val="clear" w:color="auto" w:fill="auto"/>
            <w:vAlign w:val="bottom"/>
          </w:tcPr>
          <w:p w14:paraId="5F2D3022" w14:textId="77777777" w:rsidR="00E836FB" w:rsidRDefault="00E836FB">
            <w:pPr>
              <w:rPr>
                <w:rFonts w:ascii="宋体"/>
                <w:vanish/>
              </w:rPr>
            </w:pPr>
          </w:p>
        </w:tc>
        <w:tc>
          <w:tcPr>
            <w:tcW w:w="0" w:type="auto"/>
            <w:gridSpan w:val="3"/>
            <w:shd w:val="clear" w:color="auto" w:fill="auto"/>
            <w:vAlign w:val="bottom"/>
          </w:tcPr>
          <w:p w14:paraId="5F2D3023" w14:textId="77777777" w:rsidR="00E836FB" w:rsidRDefault="00E836FB">
            <w:pPr>
              <w:rPr>
                <w:rFonts w:ascii="宋体"/>
                <w:vanish/>
              </w:rPr>
            </w:pPr>
          </w:p>
        </w:tc>
        <w:tc>
          <w:tcPr>
            <w:tcW w:w="0" w:type="auto"/>
            <w:gridSpan w:val="3"/>
            <w:shd w:val="clear" w:color="auto" w:fill="auto"/>
            <w:vAlign w:val="bottom"/>
          </w:tcPr>
          <w:p w14:paraId="5F2D3024" w14:textId="77777777" w:rsidR="00E836FB" w:rsidRDefault="00E836FB">
            <w:pPr>
              <w:rPr>
                <w:rFonts w:ascii="宋体"/>
                <w:vanish/>
              </w:rPr>
            </w:pPr>
          </w:p>
        </w:tc>
      </w:tr>
      <w:tr w:rsidR="00E836FB" w14:paraId="5F2D302D" w14:textId="77777777">
        <w:trPr>
          <w:hidden/>
        </w:trPr>
        <w:tc>
          <w:tcPr>
            <w:tcW w:w="0" w:type="auto"/>
            <w:gridSpan w:val="3"/>
            <w:shd w:val="clear" w:color="auto" w:fill="auto"/>
            <w:vAlign w:val="bottom"/>
          </w:tcPr>
          <w:p w14:paraId="5F2D3026" w14:textId="77777777" w:rsidR="00E836FB" w:rsidRDefault="00E836FB">
            <w:pPr>
              <w:rPr>
                <w:rFonts w:ascii="宋体"/>
                <w:vanish/>
              </w:rPr>
            </w:pPr>
          </w:p>
        </w:tc>
        <w:tc>
          <w:tcPr>
            <w:tcW w:w="0" w:type="auto"/>
            <w:gridSpan w:val="3"/>
            <w:shd w:val="clear" w:color="auto" w:fill="auto"/>
            <w:vAlign w:val="bottom"/>
          </w:tcPr>
          <w:p w14:paraId="5F2D3027" w14:textId="77777777" w:rsidR="00E836FB" w:rsidRDefault="00E836FB">
            <w:pPr>
              <w:rPr>
                <w:rFonts w:ascii="宋体"/>
                <w:vanish/>
              </w:rPr>
            </w:pPr>
          </w:p>
        </w:tc>
        <w:tc>
          <w:tcPr>
            <w:tcW w:w="0" w:type="auto"/>
            <w:gridSpan w:val="3"/>
            <w:shd w:val="clear" w:color="auto" w:fill="auto"/>
            <w:vAlign w:val="bottom"/>
          </w:tcPr>
          <w:p w14:paraId="5F2D3028" w14:textId="77777777" w:rsidR="00E836FB" w:rsidRDefault="00E836FB">
            <w:pPr>
              <w:rPr>
                <w:rFonts w:ascii="宋体"/>
                <w:vanish/>
              </w:rPr>
            </w:pPr>
          </w:p>
        </w:tc>
        <w:tc>
          <w:tcPr>
            <w:tcW w:w="0" w:type="auto"/>
            <w:gridSpan w:val="3"/>
            <w:shd w:val="clear" w:color="auto" w:fill="auto"/>
            <w:vAlign w:val="bottom"/>
          </w:tcPr>
          <w:p w14:paraId="5F2D3029" w14:textId="77777777" w:rsidR="00E836FB" w:rsidRDefault="00E836FB">
            <w:pPr>
              <w:rPr>
                <w:rFonts w:ascii="宋体"/>
                <w:vanish/>
              </w:rPr>
            </w:pPr>
          </w:p>
        </w:tc>
        <w:tc>
          <w:tcPr>
            <w:tcW w:w="0" w:type="auto"/>
            <w:gridSpan w:val="3"/>
            <w:shd w:val="clear" w:color="auto" w:fill="auto"/>
            <w:vAlign w:val="bottom"/>
          </w:tcPr>
          <w:p w14:paraId="5F2D302A" w14:textId="77777777" w:rsidR="00E836FB" w:rsidRDefault="00E836FB">
            <w:pPr>
              <w:rPr>
                <w:rFonts w:ascii="宋体"/>
                <w:vanish/>
              </w:rPr>
            </w:pPr>
          </w:p>
        </w:tc>
        <w:tc>
          <w:tcPr>
            <w:tcW w:w="0" w:type="auto"/>
            <w:gridSpan w:val="3"/>
            <w:shd w:val="clear" w:color="auto" w:fill="auto"/>
            <w:vAlign w:val="bottom"/>
          </w:tcPr>
          <w:p w14:paraId="5F2D302B" w14:textId="77777777" w:rsidR="00E836FB" w:rsidRDefault="00E836FB">
            <w:pPr>
              <w:rPr>
                <w:rFonts w:ascii="宋体"/>
                <w:vanish/>
              </w:rPr>
            </w:pPr>
          </w:p>
        </w:tc>
        <w:tc>
          <w:tcPr>
            <w:tcW w:w="0" w:type="auto"/>
            <w:gridSpan w:val="3"/>
            <w:shd w:val="clear" w:color="auto" w:fill="auto"/>
            <w:vAlign w:val="bottom"/>
          </w:tcPr>
          <w:p w14:paraId="5F2D302C" w14:textId="77777777" w:rsidR="00E836FB" w:rsidRDefault="00E836FB">
            <w:pPr>
              <w:rPr>
                <w:rFonts w:ascii="宋体"/>
                <w:vanish/>
              </w:rPr>
            </w:pPr>
          </w:p>
        </w:tc>
      </w:tr>
      <w:tr w:rsidR="00E836FB" w14:paraId="5F2D3038" w14:textId="77777777">
        <w:tc>
          <w:tcPr>
            <w:tcW w:w="0" w:type="auto"/>
            <w:gridSpan w:val="3"/>
            <w:shd w:val="clear" w:color="auto" w:fill="FFFFFF"/>
            <w:tcMar>
              <w:top w:w="40" w:type="dxa"/>
              <w:left w:w="20" w:type="dxa"/>
              <w:bottom w:w="40" w:type="dxa"/>
              <w:right w:w="20" w:type="dxa"/>
            </w:tcMar>
            <w:vAlign w:val="bottom"/>
          </w:tcPr>
          <w:p w14:paraId="5F2D302E" w14:textId="77777777" w:rsidR="00E836FB" w:rsidRDefault="00994958">
            <w:pPr>
              <w:textAlignment w:val="bottom"/>
            </w:pPr>
            <w:r>
              <w:rPr>
                <w:rFonts w:ascii="Arial" w:eastAsia="宋体" w:hAnsi="Arial" w:cs="Arial"/>
                <w:color w:val="000000"/>
                <w:sz w:val="16"/>
                <w:szCs w:val="16"/>
              </w:rPr>
              <w:t>Other derivative contracts</w:t>
            </w:r>
            <w:r>
              <w:rPr>
                <w:rFonts w:ascii="Arial" w:eastAsia="宋体" w:hAnsi="Arial" w:cs="Arial"/>
                <w:color w:val="000000"/>
                <w:sz w:val="10"/>
                <w:szCs w:val="10"/>
              </w:rPr>
              <w:t>(1)</w:t>
            </w:r>
          </w:p>
        </w:tc>
        <w:tc>
          <w:tcPr>
            <w:tcW w:w="0" w:type="auto"/>
            <w:gridSpan w:val="3"/>
            <w:shd w:val="clear" w:color="auto" w:fill="FFFFFF"/>
            <w:tcMar>
              <w:top w:w="40" w:type="dxa"/>
              <w:left w:w="20" w:type="dxa"/>
              <w:bottom w:w="40" w:type="dxa"/>
              <w:right w:w="20" w:type="dxa"/>
            </w:tcMar>
            <w:vAlign w:val="bottom"/>
          </w:tcPr>
          <w:p w14:paraId="5F2D302F" w14:textId="77777777" w:rsidR="00E836FB" w:rsidRDefault="00994958">
            <w:pPr>
              <w:textAlignment w:val="bottom"/>
            </w:pPr>
            <w:r>
              <w:rPr>
                <w:rFonts w:ascii="Arial" w:eastAsia="宋体" w:hAnsi="Arial" w:cs="Arial"/>
                <w:color w:val="000000"/>
                <w:sz w:val="16"/>
                <w:szCs w:val="16"/>
              </w:rPr>
              <w:t>Compensation and employee benefits</w:t>
            </w:r>
          </w:p>
        </w:tc>
        <w:tc>
          <w:tcPr>
            <w:tcW w:w="0" w:type="auto"/>
            <w:gridSpan w:val="2"/>
            <w:shd w:val="clear" w:color="auto" w:fill="FFFFFF"/>
            <w:tcMar>
              <w:top w:w="40" w:type="dxa"/>
              <w:left w:w="20" w:type="dxa"/>
              <w:bottom w:w="40" w:type="dxa"/>
              <w:right w:w="0" w:type="dxa"/>
            </w:tcMar>
            <w:vAlign w:val="bottom"/>
          </w:tcPr>
          <w:p w14:paraId="5F2D3030" w14:textId="77777777" w:rsidR="00E836FB" w:rsidRDefault="00994958">
            <w:pPr>
              <w:jc w:val="right"/>
              <w:textAlignment w:val="bottom"/>
            </w:pPr>
            <w:r>
              <w:rPr>
                <w:rFonts w:ascii="Arial" w:eastAsia="宋体" w:hAnsi="Arial" w:cs="Arial"/>
                <w:b/>
                <w:bCs/>
                <w:color w:val="000000"/>
                <w:sz w:val="16"/>
                <w:szCs w:val="16"/>
              </w:rPr>
              <w:t>(332)</w:t>
            </w:r>
          </w:p>
        </w:tc>
        <w:tc>
          <w:tcPr>
            <w:tcW w:w="0" w:type="auto"/>
            <w:shd w:val="clear" w:color="auto" w:fill="FFFFFF"/>
            <w:tcMar>
              <w:top w:w="40" w:type="dxa"/>
              <w:left w:w="0" w:type="dxa"/>
              <w:bottom w:w="40" w:type="dxa"/>
              <w:right w:w="20" w:type="dxa"/>
            </w:tcMar>
            <w:vAlign w:val="bottom"/>
          </w:tcPr>
          <w:p w14:paraId="5F2D30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03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033" w14:textId="77777777" w:rsidR="00E836FB" w:rsidRDefault="00994958">
            <w:pPr>
              <w:jc w:val="right"/>
              <w:textAlignment w:val="bottom"/>
            </w:pPr>
            <w:r>
              <w:rPr>
                <w:rFonts w:ascii="Arial" w:eastAsia="宋体" w:hAnsi="Arial" w:cs="Arial"/>
                <w:color w:val="000000"/>
                <w:sz w:val="16"/>
                <w:szCs w:val="16"/>
              </w:rPr>
              <w:t>(189)</w:t>
            </w:r>
          </w:p>
        </w:tc>
        <w:tc>
          <w:tcPr>
            <w:tcW w:w="0" w:type="auto"/>
            <w:shd w:val="clear" w:color="auto" w:fill="FFFFFF"/>
            <w:tcMar>
              <w:top w:w="40" w:type="dxa"/>
              <w:left w:w="0" w:type="dxa"/>
              <w:bottom w:w="40" w:type="dxa"/>
              <w:right w:w="20" w:type="dxa"/>
            </w:tcMar>
            <w:vAlign w:val="bottom"/>
          </w:tcPr>
          <w:p w14:paraId="5F2D30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03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036" w14:textId="77777777" w:rsidR="00E836FB" w:rsidRDefault="00994958">
            <w:pPr>
              <w:jc w:val="right"/>
              <w:textAlignment w:val="bottom"/>
            </w:pPr>
            <w:r>
              <w:rPr>
                <w:rFonts w:ascii="Arial" w:eastAsia="宋体" w:hAnsi="Arial" w:cs="Arial"/>
                <w:color w:val="000000"/>
                <w:sz w:val="16"/>
                <w:szCs w:val="16"/>
              </w:rPr>
              <w:t>(205)</w:t>
            </w:r>
          </w:p>
        </w:tc>
        <w:tc>
          <w:tcPr>
            <w:tcW w:w="0" w:type="auto"/>
            <w:shd w:val="clear" w:color="auto" w:fill="FFFFFF"/>
            <w:tcMar>
              <w:top w:w="40" w:type="dxa"/>
              <w:left w:w="0" w:type="dxa"/>
              <w:bottom w:w="40" w:type="dxa"/>
              <w:right w:w="20" w:type="dxa"/>
            </w:tcMar>
            <w:vAlign w:val="bottom"/>
          </w:tcPr>
          <w:p w14:paraId="5F2D3037" w14:textId="77777777" w:rsidR="00E836FB" w:rsidRDefault="00E836FB">
            <w:pPr>
              <w:jc w:val="right"/>
              <w:rPr>
                <w:rFonts w:ascii="宋体"/>
              </w:rPr>
            </w:pPr>
          </w:p>
        </w:tc>
      </w:tr>
      <w:tr w:rsidR="00E836FB" w14:paraId="5F2D3046" w14:textId="77777777">
        <w:tc>
          <w:tcPr>
            <w:tcW w:w="0" w:type="auto"/>
            <w:gridSpan w:val="3"/>
            <w:shd w:val="clear" w:color="auto" w:fill="CCEEFF"/>
            <w:tcMar>
              <w:top w:w="40" w:type="dxa"/>
              <w:left w:w="20" w:type="dxa"/>
              <w:bottom w:w="40" w:type="dxa"/>
              <w:right w:w="20" w:type="dxa"/>
            </w:tcMar>
            <w:vAlign w:val="bottom"/>
          </w:tcPr>
          <w:p w14:paraId="5F2D3039" w14:textId="77777777" w:rsidR="00E836FB" w:rsidRDefault="00994958">
            <w:pPr>
              <w:textAlignment w:val="bottom"/>
            </w:pPr>
            <w:r>
              <w:rPr>
                <w:rFonts w:ascii="Arial" w:eastAsia="宋体" w:hAnsi="Arial" w:cs="Arial"/>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5F2D303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03B"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3C" w14:textId="77777777" w:rsidR="00E836FB" w:rsidRDefault="00994958">
            <w:pPr>
              <w:jc w:val="right"/>
              <w:textAlignment w:val="bottom"/>
            </w:pPr>
            <w:r>
              <w:rPr>
                <w:rFonts w:ascii="Arial" w:eastAsia="宋体" w:hAnsi="Arial" w:cs="Arial"/>
                <w:b/>
                <w:bCs/>
                <w:color w:val="000000"/>
                <w:sz w:val="16"/>
                <w:szCs w:val="16"/>
              </w:rPr>
              <w:t>550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03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03F"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40" w14:textId="77777777" w:rsidR="00E836FB" w:rsidRDefault="00994958">
            <w:pPr>
              <w:jc w:val="right"/>
              <w:textAlignment w:val="bottom"/>
            </w:pPr>
            <w:r>
              <w:rPr>
                <w:rFonts w:ascii="Arial" w:eastAsia="宋体" w:hAnsi="Arial" w:cs="Arial"/>
                <w:color w:val="000000"/>
                <w:sz w:val="16"/>
                <w:szCs w:val="16"/>
              </w:rPr>
              <w:t>799 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04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043"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44" w14:textId="77777777" w:rsidR="00E836FB" w:rsidRDefault="00994958">
            <w:pPr>
              <w:jc w:val="right"/>
              <w:textAlignment w:val="bottom"/>
            </w:pPr>
            <w:r>
              <w:rPr>
                <w:rFonts w:ascii="Arial" w:eastAsia="宋体" w:hAnsi="Arial" w:cs="Arial"/>
                <w:color w:val="000000"/>
                <w:sz w:val="16"/>
                <w:szCs w:val="16"/>
              </w:rPr>
              <w:t>269 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45" w14:textId="77777777" w:rsidR="00E836FB" w:rsidRDefault="00E836FB">
            <w:pPr>
              <w:jc w:val="right"/>
              <w:rPr>
                <w:rFonts w:ascii="宋体"/>
              </w:rPr>
            </w:pPr>
          </w:p>
        </w:tc>
      </w:tr>
      <w:tr w:rsidR="00E836FB" w14:paraId="5F2D304E" w14:textId="77777777">
        <w:trPr>
          <w:trHeight w:val="60"/>
        </w:trPr>
        <w:tc>
          <w:tcPr>
            <w:tcW w:w="0" w:type="auto"/>
            <w:gridSpan w:val="3"/>
            <w:shd w:val="clear" w:color="auto" w:fill="auto"/>
            <w:tcMar>
              <w:top w:w="0" w:type="dxa"/>
              <w:left w:w="20" w:type="dxa"/>
              <w:bottom w:w="0" w:type="dxa"/>
              <w:right w:w="20" w:type="dxa"/>
            </w:tcMar>
            <w:vAlign w:val="bottom"/>
          </w:tcPr>
          <w:p w14:paraId="5F2D304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4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304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4A"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304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4C"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304D" w14:textId="77777777" w:rsidR="00E836FB" w:rsidRDefault="00E836FB">
            <w:pPr>
              <w:rPr>
                <w:rFonts w:ascii="宋体"/>
              </w:rPr>
            </w:pPr>
          </w:p>
        </w:tc>
      </w:tr>
      <w:tr w:rsidR="00E836FB" w14:paraId="5F2D3062" w14:textId="77777777">
        <w:trPr>
          <w:hidden/>
        </w:trPr>
        <w:tc>
          <w:tcPr>
            <w:tcW w:w="0" w:type="auto"/>
            <w:gridSpan w:val="3"/>
            <w:shd w:val="clear" w:color="auto" w:fill="auto"/>
            <w:vAlign w:val="bottom"/>
          </w:tcPr>
          <w:p w14:paraId="5F2D304F" w14:textId="77777777" w:rsidR="00E836FB" w:rsidRDefault="00E836FB">
            <w:pPr>
              <w:rPr>
                <w:rFonts w:ascii="宋体"/>
                <w:vanish/>
              </w:rPr>
            </w:pPr>
          </w:p>
        </w:tc>
        <w:tc>
          <w:tcPr>
            <w:tcW w:w="0" w:type="auto"/>
            <w:shd w:val="clear" w:color="auto" w:fill="auto"/>
            <w:vAlign w:val="bottom"/>
          </w:tcPr>
          <w:p w14:paraId="5F2D3050" w14:textId="77777777" w:rsidR="00E836FB" w:rsidRDefault="00E836FB">
            <w:pPr>
              <w:rPr>
                <w:rFonts w:ascii="宋体"/>
              </w:rPr>
            </w:pPr>
          </w:p>
        </w:tc>
        <w:tc>
          <w:tcPr>
            <w:tcW w:w="0" w:type="auto"/>
            <w:shd w:val="clear" w:color="auto" w:fill="auto"/>
            <w:vAlign w:val="bottom"/>
          </w:tcPr>
          <w:p w14:paraId="5F2D3051" w14:textId="77777777" w:rsidR="00E836FB" w:rsidRDefault="00E836FB">
            <w:pPr>
              <w:rPr>
                <w:rFonts w:ascii="宋体"/>
              </w:rPr>
            </w:pPr>
          </w:p>
        </w:tc>
        <w:tc>
          <w:tcPr>
            <w:tcW w:w="0" w:type="auto"/>
            <w:shd w:val="clear" w:color="auto" w:fill="auto"/>
            <w:vAlign w:val="bottom"/>
          </w:tcPr>
          <w:p w14:paraId="5F2D3052" w14:textId="77777777" w:rsidR="00E836FB" w:rsidRDefault="00E836FB">
            <w:pPr>
              <w:rPr>
                <w:rFonts w:ascii="宋体"/>
              </w:rPr>
            </w:pPr>
          </w:p>
        </w:tc>
        <w:tc>
          <w:tcPr>
            <w:tcW w:w="0" w:type="auto"/>
            <w:shd w:val="clear" w:color="auto" w:fill="auto"/>
            <w:vAlign w:val="bottom"/>
          </w:tcPr>
          <w:p w14:paraId="5F2D3053" w14:textId="77777777" w:rsidR="00E836FB" w:rsidRDefault="00E836FB">
            <w:pPr>
              <w:rPr>
                <w:rFonts w:ascii="宋体"/>
              </w:rPr>
            </w:pPr>
          </w:p>
        </w:tc>
        <w:tc>
          <w:tcPr>
            <w:tcW w:w="0" w:type="auto"/>
            <w:shd w:val="clear" w:color="auto" w:fill="auto"/>
            <w:vAlign w:val="bottom"/>
          </w:tcPr>
          <w:p w14:paraId="5F2D3054" w14:textId="77777777" w:rsidR="00E836FB" w:rsidRDefault="00E836FB">
            <w:pPr>
              <w:rPr>
                <w:rFonts w:ascii="宋体"/>
              </w:rPr>
            </w:pPr>
          </w:p>
        </w:tc>
        <w:tc>
          <w:tcPr>
            <w:tcW w:w="0" w:type="auto"/>
            <w:shd w:val="clear" w:color="auto" w:fill="auto"/>
            <w:vAlign w:val="bottom"/>
          </w:tcPr>
          <w:p w14:paraId="5F2D3055" w14:textId="77777777" w:rsidR="00E836FB" w:rsidRDefault="00E836FB">
            <w:pPr>
              <w:rPr>
                <w:rFonts w:ascii="宋体"/>
              </w:rPr>
            </w:pPr>
          </w:p>
        </w:tc>
        <w:tc>
          <w:tcPr>
            <w:tcW w:w="0" w:type="auto"/>
            <w:shd w:val="clear" w:color="auto" w:fill="auto"/>
            <w:vAlign w:val="bottom"/>
          </w:tcPr>
          <w:p w14:paraId="5F2D3056" w14:textId="77777777" w:rsidR="00E836FB" w:rsidRDefault="00E836FB">
            <w:pPr>
              <w:rPr>
                <w:rFonts w:ascii="宋体"/>
              </w:rPr>
            </w:pPr>
          </w:p>
        </w:tc>
        <w:tc>
          <w:tcPr>
            <w:tcW w:w="0" w:type="auto"/>
            <w:shd w:val="clear" w:color="auto" w:fill="auto"/>
            <w:vAlign w:val="bottom"/>
          </w:tcPr>
          <w:p w14:paraId="5F2D3057" w14:textId="77777777" w:rsidR="00E836FB" w:rsidRDefault="00E836FB">
            <w:pPr>
              <w:rPr>
                <w:rFonts w:ascii="宋体"/>
              </w:rPr>
            </w:pPr>
          </w:p>
        </w:tc>
        <w:tc>
          <w:tcPr>
            <w:tcW w:w="0" w:type="auto"/>
            <w:shd w:val="clear" w:color="auto" w:fill="auto"/>
            <w:vAlign w:val="bottom"/>
          </w:tcPr>
          <w:p w14:paraId="5F2D3058" w14:textId="77777777" w:rsidR="00E836FB" w:rsidRDefault="00E836FB">
            <w:pPr>
              <w:rPr>
                <w:rFonts w:ascii="宋体"/>
              </w:rPr>
            </w:pPr>
          </w:p>
        </w:tc>
        <w:tc>
          <w:tcPr>
            <w:tcW w:w="0" w:type="auto"/>
            <w:shd w:val="clear" w:color="auto" w:fill="auto"/>
            <w:vAlign w:val="bottom"/>
          </w:tcPr>
          <w:p w14:paraId="5F2D3059" w14:textId="77777777" w:rsidR="00E836FB" w:rsidRDefault="00E836FB">
            <w:pPr>
              <w:rPr>
                <w:rFonts w:ascii="宋体"/>
              </w:rPr>
            </w:pPr>
          </w:p>
        </w:tc>
        <w:tc>
          <w:tcPr>
            <w:tcW w:w="0" w:type="auto"/>
            <w:shd w:val="clear" w:color="auto" w:fill="auto"/>
            <w:vAlign w:val="bottom"/>
          </w:tcPr>
          <w:p w14:paraId="5F2D305A" w14:textId="77777777" w:rsidR="00E836FB" w:rsidRDefault="00E836FB">
            <w:pPr>
              <w:rPr>
                <w:rFonts w:ascii="宋体"/>
              </w:rPr>
            </w:pPr>
          </w:p>
        </w:tc>
        <w:tc>
          <w:tcPr>
            <w:tcW w:w="0" w:type="auto"/>
            <w:shd w:val="clear" w:color="auto" w:fill="auto"/>
            <w:vAlign w:val="bottom"/>
          </w:tcPr>
          <w:p w14:paraId="5F2D305B" w14:textId="77777777" w:rsidR="00E836FB" w:rsidRDefault="00E836FB">
            <w:pPr>
              <w:rPr>
                <w:rFonts w:ascii="宋体"/>
              </w:rPr>
            </w:pPr>
          </w:p>
        </w:tc>
        <w:tc>
          <w:tcPr>
            <w:tcW w:w="0" w:type="auto"/>
            <w:shd w:val="clear" w:color="auto" w:fill="auto"/>
            <w:vAlign w:val="bottom"/>
          </w:tcPr>
          <w:p w14:paraId="5F2D305C" w14:textId="77777777" w:rsidR="00E836FB" w:rsidRDefault="00E836FB">
            <w:pPr>
              <w:rPr>
                <w:rFonts w:ascii="宋体"/>
              </w:rPr>
            </w:pPr>
          </w:p>
        </w:tc>
        <w:tc>
          <w:tcPr>
            <w:tcW w:w="0" w:type="auto"/>
            <w:shd w:val="clear" w:color="auto" w:fill="auto"/>
            <w:vAlign w:val="bottom"/>
          </w:tcPr>
          <w:p w14:paraId="5F2D305D" w14:textId="77777777" w:rsidR="00E836FB" w:rsidRDefault="00E836FB">
            <w:pPr>
              <w:rPr>
                <w:rFonts w:ascii="宋体"/>
              </w:rPr>
            </w:pPr>
          </w:p>
        </w:tc>
        <w:tc>
          <w:tcPr>
            <w:tcW w:w="0" w:type="auto"/>
            <w:shd w:val="clear" w:color="auto" w:fill="auto"/>
            <w:vAlign w:val="bottom"/>
          </w:tcPr>
          <w:p w14:paraId="5F2D305E" w14:textId="77777777" w:rsidR="00E836FB" w:rsidRDefault="00E836FB">
            <w:pPr>
              <w:rPr>
                <w:rFonts w:ascii="宋体"/>
              </w:rPr>
            </w:pPr>
          </w:p>
        </w:tc>
        <w:tc>
          <w:tcPr>
            <w:tcW w:w="0" w:type="auto"/>
            <w:shd w:val="clear" w:color="auto" w:fill="auto"/>
            <w:vAlign w:val="bottom"/>
          </w:tcPr>
          <w:p w14:paraId="5F2D305F" w14:textId="77777777" w:rsidR="00E836FB" w:rsidRDefault="00E836FB">
            <w:pPr>
              <w:rPr>
                <w:rFonts w:ascii="宋体"/>
              </w:rPr>
            </w:pPr>
          </w:p>
        </w:tc>
        <w:tc>
          <w:tcPr>
            <w:tcW w:w="0" w:type="auto"/>
            <w:shd w:val="clear" w:color="auto" w:fill="auto"/>
            <w:vAlign w:val="bottom"/>
          </w:tcPr>
          <w:p w14:paraId="5F2D3060" w14:textId="77777777" w:rsidR="00E836FB" w:rsidRDefault="00E836FB">
            <w:pPr>
              <w:rPr>
                <w:rFonts w:ascii="宋体"/>
              </w:rPr>
            </w:pPr>
          </w:p>
        </w:tc>
        <w:tc>
          <w:tcPr>
            <w:tcW w:w="0" w:type="auto"/>
            <w:shd w:val="clear" w:color="auto" w:fill="auto"/>
            <w:vAlign w:val="bottom"/>
          </w:tcPr>
          <w:p w14:paraId="5F2D3061" w14:textId="77777777" w:rsidR="00E836FB" w:rsidRDefault="00E836FB">
            <w:pPr>
              <w:rPr>
                <w:rFonts w:ascii="宋体"/>
              </w:rPr>
            </w:pPr>
          </w:p>
        </w:tc>
      </w:tr>
    </w:tbl>
    <w:p w14:paraId="5F2D3063"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E836FB" w14:paraId="5F2D306D" w14:textId="77777777">
        <w:tc>
          <w:tcPr>
            <w:tcW w:w="50" w:type="pct"/>
            <w:shd w:val="clear" w:color="auto" w:fill="auto"/>
            <w:vAlign w:val="bottom"/>
          </w:tcPr>
          <w:p w14:paraId="5F2D3064" w14:textId="77777777" w:rsidR="00E836FB" w:rsidRDefault="00E836FB">
            <w:pPr>
              <w:rPr>
                <w:rFonts w:ascii="宋体"/>
              </w:rPr>
            </w:pPr>
          </w:p>
        </w:tc>
        <w:tc>
          <w:tcPr>
            <w:tcW w:w="1348" w:type="pct"/>
            <w:shd w:val="clear" w:color="auto" w:fill="auto"/>
            <w:vAlign w:val="bottom"/>
          </w:tcPr>
          <w:p w14:paraId="5F2D3065" w14:textId="77777777" w:rsidR="00E836FB" w:rsidRDefault="00E836FB">
            <w:pPr>
              <w:rPr>
                <w:rFonts w:ascii="宋体"/>
              </w:rPr>
            </w:pPr>
          </w:p>
        </w:tc>
        <w:tc>
          <w:tcPr>
            <w:tcW w:w="5" w:type="pct"/>
            <w:shd w:val="clear" w:color="auto" w:fill="auto"/>
            <w:vAlign w:val="bottom"/>
          </w:tcPr>
          <w:p w14:paraId="5F2D3066" w14:textId="77777777" w:rsidR="00E836FB" w:rsidRDefault="00E836FB">
            <w:pPr>
              <w:rPr>
                <w:rFonts w:ascii="宋体"/>
              </w:rPr>
            </w:pPr>
          </w:p>
        </w:tc>
        <w:tc>
          <w:tcPr>
            <w:tcW w:w="50" w:type="pct"/>
            <w:shd w:val="clear" w:color="auto" w:fill="auto"/>
            <w:vAlign w:val="bottom"/>
          </w:tcPr>
          <w:p w14:paraId="5F2D3067" w14:textId="77777777" w:rsidR="00E836FB" w:rsidRDefault="00E836FB">
            <w:pPr>
              <w:rPr>
                <w:rFonts w:ascii="宋体"/>
              </w:rPr>
            </w:pPr>
          </w:p>
        </w:tc>
        <w:tc>
          <w:tcPr>
            <w:tcW w:w="2379" w:type="pct"/>
            <w:shd w:val="clear" w:color="auto" w:fill="auto"/>
            <w:vAlign w:val="bottom"/>
          </w:tcPr>
          <w:p w14:paraId="5F2D3068" w14:textId="77777777" w:rsidR="00E836FB" w:rsidRDefault="00E836FB">
            <w:pPr>
              <w:rPr>
                <w:rFonts w:ascii="宋体"/>
              </w:rPr>
            </w:pPr>
          </w:p>
        </w:tc>
        <w:tc>
          <w:tcPr>
            <w:tcW w:w="5" w:type="pct"/>
            <w:shd w:val="clear" w:color="auto" w:fill="auto"/>
            <w:vAlign w:val="bottom"/>
          </w:tcPr>
          <w:p w14:paraId="5F2D3069" w14:textId="77777777" w:rsidR="00E836FB" w:rsidRDefault="00E836FB">
            <w:pPr>
              <w:rPr>
                <w:rFonts w:ascii="宋体"/>
              </w:rPr>
            </w:pPr>
          </w:p>
        </w:tc>
        <w:tc>
          <w:tcPr>
            <w:tcW w:w="50" w:type="pct"/>
            <w:shd w:val="clear" w:color="auto" w:fill="auto"/>
            <w:vAlign w:val="bottom"/>
          </w:tcPr>
          <w:p w14:paraId="5F2D306A" w14:textId="77777777" w:rsidR="00E836FB" w:rsidRDefault="00E836FB">
            <w:pPr>
              <w:rPr>
                <w:rFonts w:ascii="宋体"/>
              </w:rPr>
            </w:pPr>
          </w:p>
        </w:tc>
        <w:tc>
          <w:tcPr>
            <w:tcW w:w="1107" w:type="pct"/>
            <w:shd w:val="clear" w:color="auto" w:fill="auto"/>
            <w:vAlign w:val="bottom"/>
          </w:tcPr>
          <w:p w14:paraId="5F2D306B" w14:textId="77777777" w:rsidR="00E836FB" w:rsidRDefault="00E836FB">
            <w:pPr>
              <w:rPr>
                <w:rFonts w:ascii="宋体"/>
              </w:rPr>
            </w:pPr>
          </w:p>
        </w:tc>
        <w:tc>
          <w:tcPr>
            <w:tcW w:w="5" w:type="pct"/>
            <w:shd w:val="clear" w:color="auto" w:fill="auto"/>
            <w:vAlign w:val="bottom"/>
          </w:tcPr>
          <w:p w14:paraId="5F2D306C" w14:textId="77777777" w:rsidR="00E836FB" w:rsidRDefault="00E836FB">
            <w:pPr>
              <w:rPr>
                <w:rFonts w:ascii="宋体"/>
              </w:rPr>
            </w:pPr>
          </w:p>
        </w:tc>
      </w:tr>
      <w:tr w:rsidR="00E836FB" w14:paraId="5F2D307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06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6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70" w14:textId="77777777" w:rsidR="00E836FB" w:rsidRDefault="00E836FB">
            <w:pPr>
              <w:rPr>
                <w:rFonts w:ascii="宋体"/>
              </w:rPr>
            </w:pPr>
          </w:p>
        </w:tc>
      </w:tr>
    </w:tbl>
    <w:p w14:paraId="5F2D3072" w14:textId="77777777" w:rsidR="00E836FB" w:rsidRDefault="00994958">
      <w:pPr>
        <w:spacing w:before="60"/>
        <w:jc w:val="both"/>
      </w:pPr>
      <w:r>
        <w:rPr>
          <w:rFonts w:ascii="Arial" w:eastAsia="宋体" w:hAnsi="Arial" w:cs="Arial"/>
          <w:color w:val="000000"/>
          <w:sz w:val="9"/>
          <w:szCs w:val="9"/>
        </w:rPr>
        <w:t>(1)</w:t>
      </w:r>
      <w:r>
        <w:rPr>
          <w:rFonts w:ascii="Arial" w:eastAsia="宋体" w:hAnsi="Arial" w:cs="Arial"/>
          <w:color w:val="000000"/>
          <w:sz w:val="20"/>
          <w:szCs w:val="20"/>
        </w:rPr>
        <w:t xml:space="preserve"> </w:t>
      </w:r>
      <w:r>
        <w:rPr>
          <w:rFonts w:ascii="Arial" w:eastAsia="宋体" w:hAnsi="Arial" w:cs="Arial"/>
          <w:color w:val="000000"/>
          <w:sz w:val="14"/>
          <w:szCs w:val="14"/>
        </w:rPr>
        <w:t xml:space="preserve">Amount in 2021 reflects a deferred compensation expense acceleration of $147 million associated with an amendment of certain outstanding cash settled </w:t>
      </w:r>
      <w:r>
        <w:rPr>
          <w:rFonts w:ascii="Arial" w:eastAsia="宋体" w:hAnsi="Arial" w:cs="Arial"/>
          <w:color w:val="000000"/>
          <w:sz w:val="14"/>
          <w:szCs w:val="14"/>
        </w:rPr>
        <w:t>deferred incentive compensation awards.</w:t>
      </w:r>
    </w:p>
    <w:p w14:paraId="5F2D3073" w14:textId="77777777" w:rsidR="00E836FB" w:rsidRDefault="00994958">
      <w:pPr>
        <w:spacing w:before="60"/>
        <w:ind w:firstLine="450"/>
        <w:jc w:val="both"/>
      </w:pPr>
      <w:r>
        <w:rPr>
          <w:rFonts w:ascii="Arial" w:eastAsia="宋体" w:hAnsi="Arial" w:cs="Arial"/>
          <w:color w:val="000000"/>
          <w:sz w:val="20"/>
          <w:szCs w:val="20"/>
        </w:rPr>
        <w:t>The following tables show the carrying amount and associated cumulative basis adjustments related to the application of hedge accounting that is included in the carrying amount of hedged assets and liabilities in fai</w:t>
      </w:r>
      <w:r>
        <w:rPr>
          <w:rFonts w:ascii="Arial" w:eastAsia="宋体" w:hAnsi="Arial" w:cs="Arial"/>
          <w:color w:val="000000"/>
          <w:sz w:val="20"/>
          <w:szCs w:val="20"/>
        </w:rPr>
        <w:t>r value hedging relationships:</w:t>
      </w:r>
    </w:p>
    <w:tbl>
      <w:tblPr>
        <w:tblW w:w="4971" w:type="pct"/>
        <w:jc w:val="center"/>
        <w:tblCellMar>
          <w:top w:w="15" w:type="dxa"/>
          <w:left w:w="15" w:type="dxa"/>
          <w:bottom w:w="15" w:type="dxa"/>
          <w:right w:w="15" w:type="dxa"/>
        </w:tblCellMar>
        <w:tblLook w:val="04A0" w:firstRow="1" w:lastRow="0" w:firstColumn="1" w:lastColumn="0" w:noHBand="0" w:noVBand="1"/>
      </w:tblPr>
      <w:tblGrid>
        <w:gridCol w:w="39"/>
        <w:gridCol w:w="2724"/>
        <w:gridCol w:w="37"/>
        <w:gridCol w:w="110"/>
        <w:gridCol w:w="1565"/>
        <w:gridCol w:w="36"/>
        <w:gridCol w:w="36"/>
        <w:gridCol w:w="36"/>
        <w:gridCol w:w="36"/>
        <w:gridCol w:w="110"/>
        <w:gridCol w:w="1525"/>
        <w:gridCol w:w="37"/>
        <w:gridCol w:w="37"/>
        <w:gridCol w:w="36"/>
        <w:gridCol w:w="36"/>
        <w:gridCol w:w="110"/>
        <w:gridCol w:w="1525"/>
        <w:gridCol w:w="37"/>
        <w:gridCol w:w="36"/>
        <w:gridCol w:w="36"/>
        <w:gridCol w:w="36"/>
        <w:gridCol w:w="36"/>
        <w:gridCol w:w="36"/>
        <w:gridCol w:w="36"/>
      </w:tblGrid>
      <w:tr w:rsidR="00E836FB" w14:paraId="5F2D3088" w14:textId="77777777">
        <w:trPr>
          <w:jc w:val="center"/>
        </w:trPr>
        <w:tc>
          <w:tcPr>
            <w:tcW w:w="50" w:type="pct"/>
            <w:shd w:val="clear" w:color="auto" w:fill="auto"/>
            <w:vAlign w:val="bottom"/>
          </w:tcPr>
          <w:p w14:paraId="5F2D3074" w14:textId="77777777" w:rsidR="00E836FB" w:rsidRDefault="00E836FB">
            <w:pPr>
              <w:rPr>
                <w:rFonts w:ascii="宋体"/>
              </w:rPr>
            </w:pPr>
          </w:p>
        </w:tc>
        <w:tc>
          <w:tcPr>
            <w:tcW w:w="1717" w:type="pct"/>
            <w:shd w:val="clear" w:color="auto" w:fill="auto"/>
            <w:vAlign w:val="bottom"/>
          </w:tcPr>
          <w:p w14:paraId="5F2D3075" w14:textId="77777777" w:rsidR="00E836FB" w:rsidRDefault="00E836FB">
            <w:pPr>
              <w:rPr>
                <w:rFonts w:ascii="宋体"/>
              </w:rPr>
            </w:pPr>
          </w:p>
        </w:tc>
        <w:tc>
          <w:tcPr>
            <w:tcW w:w="5" w:type="pct"/>
            <w:shd w:val="clear" w:color="auto" w:fill="auto"/>
            <w:vAlign w:val="bottom"/>
          </w:tcPr>
          <w:p w14:paraId="5F2D3076" w14:textId="77777777" w:rsidR="00E836FB" w:rsidRDefault="00E836FB">
            <w:pPr>
              <w:rPr>
                <w:rFonts w:ascii="宋体"/>
              </w:rPr>
            </w:pPr>
          </w:p>
        </w:tc>
        <w:tc>
          <w:tcPr>
            <w:tcW w:w="50" w:type="pct"/>
            <w:shd w:val="clear" w:color="auto" w:fill="auto"/>
            <w:vAlign w:val="bottom"/>
          </w:tcPr>
          <w:p w14:paraId="5F2D3077" w14:textId="77777777" w:rsidR="00E836FB" w:rsidRDefault="00E836FB">
            <w:pPr>
              <w:rPr>
                <w:rFonts w:ascii="宋体"/>
              </w:rPr>
            </w:pPr>
          </w:p>
        </w:tc>
        <w:tc>
          <w:tcPr>
            <w:tcW w:w="996" w:type="pct"/>
            <w:shd w:val="clear" w:color="auto" w:fill="auto"/>
            <w:vAlign w:val="bottom"/>
          </w:tcPr>
          <w:p w14:paraId="5F2D3078" w14:textId="77777777" w:rsidR="00E836FB" w:rsidRDefault="00E836FB">
            <w:pPr>
              <w:rPr>
                <w:rFonts w:ascii="宋体"/>
              </w:rPr>
            </w:pPr>
          </w:p>
        </w:tc>
        <w:tc>
          <w:tcPr>
            <w:tcW w:w="5" w:type="pct"/>
            <w:shd w:val="clear" w:color="auto" w:fill="auto"/>
            <w:vAlign w:val="bottom"/>
          </w:tcPr>
          <w:p w14:paraId="5F2D3079" w14:textId="77777777" w:rsidR="00E836FB" w:rsidRDefault="00E836FB">
            <w:pPr>
              <w:rPr>
                <w:rFonts w:ascii="宋体"/>
              </w:rPr>
            </w:pPr>
          </w:p>
        </w:tc>
        <w:tc>
          <w:tcPr>
            <w:tcW w:w="5" w:type="pct"/>
            <w:shd w:val="clear" w:color="auto" w:fill="auto"/>
            <w:vAlign w:val="bottom"/>
          </w:tcPr>
          <w:p w14:paraId="5F2D307A" w14:textId="77777777" w:rsidR="00E836FB" w:rsidRDefault="00E836FB">
            <w:pPr>
              <w:rPr>
                <w:rFonts w:ascii="宋体"/>
              </w:rPr>
            </w:pPr>
          </w:p>
        </w:tc>
        <w:tc>
          <w:tcPr>
            <w:tcW w:w="26" w:type="pct"/>
            <w:shd w:val="clear" w:color="auto" w:fill="auto"/>
            <w:vAlign w:val="bottom"/>
          </w:tcPr>
          <w:p w14:paraId="5F2D307B" w14:textId="77777777" w:rsidR="00E836FB" w:rsidRDefault="00E836FB">
            <w:pPr>
              <w:rPr>
                <w:rFonts w:ascii="宋体"/>
              </w:rPr>
            </w:pPr>
          </w:p>
        </w:tc>
        <w:tc>
          <w:tcPr>
            <w:tcW w:w="5" w:type="pct"/>
            <w:shd w:val="clear" w:color="auto" w:fill="auto"/>
            <w:vAlign w:val="bottom"/>
          </w:tcPr>
          <w:p w14:paraId="5F2D307C" w14:textId="77777777" w:rsidR="00E836FB" w:rsidRDefault="00E836FB">
            <w:pPr>
              <w:rPr>
                <w:rFonts w:ascii="宋体"/>
              </w:rPr>
            </w:pPr>
          </w:p>
        </w:tc>
        <w:tc>
          <w:tcPr>
            <w:tcW w:w="50" w:type="pct"/>
            <w:shd w:val="clear" w:color="auto" w:fill="auto"/>
            <w:vAlign w:val="bottom"/>
          </w:tcPr>
          <w:p w14:paraId="5F2D307D" w14:textId="77777777" w:rsidR="00E836FB" w:rsidRDefault="00E836FB">
            <w:pPr>
              <w:rPr>
                <w:rFonts w:ascii="宋体"/>
              </w:rPr>
            </w:pPr>
          </w:p>
        </w:tc>
        <w:tc>
          <w:tcPr>
            <w:tcW w:w="996" w:type="pct"/>
            <w:shd w:val="clear" w:color="auto" w:fill="auto"/>
            <w:vAlign w:val="bottom"/>
          </w:tcPr>
          <w:p w14:paraId="5F2D307E" w14:textId="77777777" w:rsidR="00E836FB" w:rsidRDefault="00E836FB">
            <w:pPr>
              <w:rPr>
                <w:rFonts w:ascii="宋体"/>
              </w:rPr>
            </w:pPr>
          </w:p>
        </w:tc>
        <w:tc>
          <w:tcPr>
            <w:tcW w:w="5" w:type="pct"/>
            <w:shd w:val="clear" w:color="auto" w:fill="auto"/>
            <w:vAlign w:val="bottom"/>
          </w:tcPr>
          <w:p w14:paraId="5F2D307F" w14:textId="77777777" w:rsidR="00E836FB" w:rsidRDefault="00E836FB">
            <w:pPr>
              <w:rPr>
                <w:rFonts w:ascii="宋体"/>
              </w:rPr>
            </w:pPr>
          </w:p>
        </w:tc>
        <w:tc>
          <w:tcPr>
            <w:tcW w:w="5" w:type="pct"/>
            <w:shd w:val="clear" w:color="auto" w:fill="auto"/>
            <w:vAlign w:val="bottom"/>
          </w:tcPr>
          <w:p w14:paraId="5F2D3080" w14:textId="77777777" w:rsidR="00E836FB" w:rsidRDefault="00E836FB">
            <w:pPr>
              <w:rPr>
                <w:rFonts w:ascii="宋体"/>
              </w:rPr>
            </w:pPr>
          </w:p>
        </w:tc>
        <w:tc>
          <w:tcPr>
            <w:tcW w:w="26" w:type="pct"/>
            <w:shd w:val="clear" w:color="auto" w:fill="auto"/>
            <w:vAlign w:val="bottom"/>
          </w:tcPr>
          <w:p w14:paraId="5F2D3081" w14:textId="77777777" w:rsidR="00E836FB" w:rsidRDefault="00E836FB">
            <w:pPr>
              <w:rPr>
                <w:rFonts w:ascii="宋体"/>
              </w:rPr>
            </w:pPr>
          </w:p>
        </w:tc>
        <w:tc>
          <w:tcPr>
            <w:tcW w:w="5" w:type="pct"/>
            <w:shd w:val="clear" w:color="auto" w:fill="auto"/>
            <w:vAlign w:val="bottom"/>
          </w:tcPr>
          <w:p w14:paraId="5F2D3082" w14:textId="77777777" w:rsidR="00E836FB" w:rsidRDefault="00E836FB">
            <w:pPr>
              <w:rPr>
                <w:rFonts w:ascii="宋体"/>
              </w:rPr>
            </w:pPr>
          </w:p>
        </w:tc>
        <w:tc>
          <w:tcPr>
            <w:tcW w:w="50" w:type="pct"/>
            <w:shd w:val="clear" w:color="auto" w:fill="auto"/>
            <w:vAlign w:val="bottom"/>
          </w:tcPr>
          <w:p w14:paraId="5F2D3083" w14:textId="77777777" w:rsidR="00E836FB" w:rsidRDefault="00E836FB">
            <w:pPr>
              <w:rPr>
                <w:rFonts w:ascii="宋体"/>
              </w:rPr>
            </w:pPr>
          </w:p>
        </w:tc>
        <w:tc>
          <w:tcPr>
            <w:tcW w:w="996" w:type="pct"/>
            <w:shd w:val="clear" w:color="auto" w:fill="auto"/>
            <w:vAlign w:val="bottom"/>
          </w:tcPr>
          <w:p w14:paraId="5F2D3084" w14:textId="77777777" w:rsidR="00E836FB" w:rsidRDefault="00E836FB">
            <w:pPr>
              <w:rPr>
                <w:rFonts w:ascii="宋体"/>
              </w:rPr>
            </w:pPr>
          </w:p>
        </w:tc>
        <w:tc>
          <w:tcPr>
            <w:tcW w:w="5" w:type="pct"/>
            <w:shd w:val="clear" w:color="auto" w:fill="auto"/>
            <w:vAlign w:val="bottom"/>
          </w:tcPr>
          <w:p w14:paraId="5F2D3085" w14:textId="77777777" w:rsidR="00E836FB" w:rsidRDefault="00E836FB">
            <w:pPr>
              <w:rPr>
                <w:rFonts w:ascii="宋体"/>
              </w:rPr>
            </w:pPr>
          </w:p>
        </w:tc>
        <w:tc>
          <w:tcPr>
            <w:tcW w:w="0" w:type="auto"/>
            <w:gridSpan w:val="3"/>
            <w:shd w:val="clear" w:color="auto" w:fill="auto"/>
            <w:vAlign w:val="bottom"/>
          </w:tcPr>
          <w:p w14:paraId="5F2D3086" w14:textId="77777777" w:rsidR="00E836FB" w:rsidRDefault="00E836FB">
            <w:pPr>
              <w:rPr>
                <w:rFonts w:ascii="宋体"/>
                <w:vanish/>
              </w:rPr>
            </w:pPr>
          </w:p>
        </w:tc>
        <w:tc>
          <w:tcPr>
            <w:tcW w:w="0" w:type="auto"/>
            <w:gridSpan w:val="3"/>
            <w:shd w:val="clear" w:color="auto" w:fill="auto"/>
            <w:vAlign w:val="bottom"/>
          </w:tcPr>
          <w:p w14:paraId="5F2D3087" w14:textId="77777777" w:rsidR="00E836FB" w:rsidRDefault="00E836FB">
            <w:pPr>
              <w:rPr>
                <w:rFonts w:ascii="宋体"/>
                <w:vanish/>
              </w:rPr>
            </w:pPr>
          </w:p>
        </w:tc>
      </w:tr>
      <w:tr w:rsidR="00E836FB" w14:paraId="5F2D3091" w14:textId="77777777">
        <w:trPr>
          <w:jc w:val="center"/>
        </w:trPr>
        <w:tc>
          <w:tcPr>
            <w:tcW w:w="0" w:type="auto"/>
            <w:gridSpan w:val="3"/>
            <w:shd w:val="clear" w:color="auto" w:fill="auto"/>
            <w:tcMar>
              <w:top w:w="0" w:type="dxa"/>
              <w:left w:w="20" w:type="dxa"/>
              <w:bottom w:w="0" w:type="dxa"/>
              <w:right w:w="20" w:type="dxa"/>
            </w:tcMar>
            <w:vAlign w:val="bottom"/>
          </w:tcPr>
          <w:p w14:paraId="5F2D3089"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308A" w14:textId="77777777" w:rsidR="00E836FB" w:rsidRDefault="00994958">
            <w:pPr>
              <w:jc w:val="center"/>
              <w:textAlignment w:val="bottom"/>
            </w:pPr>
            <w:r>
              <w:rPr>
                <w:rFonts w:ascii="Arial" w:eastAsia="宋体" w:hAnsi="Arial" w:cs="Arial"/>
                <w:b/>
                <w:bCs/>
                <w:color w:val="000000"/>
                <w:sz w:val="16"/>
                <w:szCs w:val="16"/>
              </w:rPr>
              <w:t>December 31, 2021</w:t>
            </w:r>
          </w:p>
        </w:tc>
        <w:tc>
          <w:tcPr>
            <w:tcW w:w="0" w:type="auto"/>
            <w:shd w:val="clear" w:color="auto" w:fill="auto"/>
            <w:vAlign w:val="bottom"/>
          </w:tcPr>
          <w:p w14:paraId="5F2D308B" w14:textId="77777777" w:rsidR="00E836FB" w:rsidRDefault="00E836FB">
            <w:pPr>
              <w:rPr>
                <w:rFonts w:ascii="宋体"/>
              </w:rPr>
            </w:pPr>
          </w:p>
        </w:tc>
        <w:tc>
          <w:tcPr>
            <w:tcW w:w="0" w:type="auto"/>
            <w:shd w:val="clear" w:color="auto" w:fill="auto"/>
            <w:vAlign w:val="bottom"/>
          </w:tcPr>
          <w:p w14:paraId="5F2D308C" w14:textId="77777777" w:rsidR="00E836FB" w:rsidRDefault="00E836FB">
            <w:pPr>
              <w:rPr>
                <w:rFonts w:ascii="宋体"/>
              </w:rPr>
            </w:pPr>
          </w:p>
        </w:tc>
        <w:tc>
          <w:tcPr>
            <w:tcW w:w="0" w:type="auto"/>
            <w:shd w:val="clear" w:color="auto" w:fill="auto"/>
            <w:vAlign w:val="bottom"/>
          </w:tcPr>
          <w:p w14:paraId="5F2D308D" w14:textId="77777777" w:rsidR="00E836FB" w:rsidRDefault="00E836FB">
            <w:pPr>
              <w:rPr>
                <w:rFonts w:ascii="宋体"/>
              </w:rPr>
            </w:pPr>
          </w:p>
        </w:tc>
        <w:tc>
          <w:tcPr>
            <w:tcW w:w="0" w:type="auto"/>
            <w:shd w:val="clear" w:color="auto" w:fill="auto"/>
            <w:vAlign w:val="bottom"/>
          </w:tcPr>
          <w:p w14:paraId="5F2D308E" w14:textId="77777777" w:rsidR="00E836FB" w:rsidRDefault="00E836FB">
            <w:pPr>
              <w:rPr>
                <w:rFonts w:ascii="宋体"/>
              </w:rPr>
            </w:pPr>
          </w:p>
        </w:tc>
        <w:tc>
          <w:tcPr>
            <w:tcW w:w="0" w:type="auto"/>
            <w:shd w:val="clear" w:color="auto" w:fill="auto"/>
            <w:vAlign w:val="bottom"/>
          </w:tcPr>
          <w:p w14:paraId="5F2D308F" w14:textId="77777777" w:rsidR="00E836FB" w:rsidRDefault="00E836FB">
            <w:pPr>
              <w:rPr>
                <w:rFonts w:ascii="宋体"/>
              </w:rPr>
            </w:pPr>
          </w:p>
        </w:tc>
        <w:tc>
          <w:tcPr>
            <w:tcW w:w="0" w:type="auto"/>
            <w:shd w:val="clear" w:color="auto" w:fill="auto"/>
            <w:vAlign w:val="bottom"/>
          </w:tcPr>
          <w:p w14:paraId="5F2D3090" w14:textId="77777777" w:rsidR="00E836FB" w:rsidRDefault="00E836FB">
            <w:pPr>
              <w:rPr>
                <w:rFonts w:ascii="宋体"/>
              </w:rPr>
            </w:pPr>
          </w:p>
        </w:tc>
      </w:tr>
      <w:tr w:rsidR="00E836FB" w14:paraId="5F2D3098" w14:textId="77777777">
        <w:trPr>
          <w:jc w:val="center"/>
        </w:trPr>
        <w:tc>
          <w:tcPr>
            <w:tcW w:w="0" w:type="auto"/>
            <w:gridSpan w:val="3"/>
            <w:shd w:val="clear" w:color="auto" w:fill="auto"/>
            <w:tcMar>
              <w:top w:w="0" w:type="dxa"/>
              <w:left w:w="20" w:type="dxa"/>
              <w:bottom w:w="0" w:type="dxa"/>
              <w:right w:w="20" w:type="dxa"/>
            </w:tcMar>
            <w:vAlign w:val="bottom"/>
          </w:tcPr>
          <w:p w14:paraId="5F2D309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09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094"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3095" w14:textId="77777777" w:rsidR="00E836FB" w:rsidRDefault="00994958">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5F2D3096" w14:textId="77777777" w:rsidR="00E836FB" w:rsidRDefault="00E836FB">
            <w:pPr>
              <w:rPr>
                <w:rFonts w:ascii="宋体"/>
                <w:vanish/>
              </w:rPr>
            </w:pPr>
          </w:p>
        </w:tc>
        <w:tc>
          <w:tcPr>
            <w:tcW w:w="0" w:type="auto"/>
            <w:gridSpan w:val="3"/>
            <w:shd w:val="clear" w:color="auto" w:fill="auto"/>
            <w:vAlign w:val="bottom"/>
          </w:tcPr>
          <w:p w14:paraId="5F2D3097" w14:textId="77777777" w:rsidR="00E836FB" w:rsidRDefault="00E836FB">
            <w:pPr>
              <w:rPr>
                <w:rFonts w:ascii="宋体"/>
                <w:vanish/>
              </w:rPr>
            </w:pPr>
          </w:p>
        </w:tc>
      </w:tr>
      <w:tr w:rsidR="00E836FB" w14:paraId="5F2D30A1" w14:textId="77777777">
        <w:trPr>
          <w:jc w:val="center"/>
        </w:trPr>
        <w:tc>
          <w:tcPr>
            <w:tcW w:w="0" w:type="auto"/>
            <w:gridSpan w:val="3"/>
            <w:shd w:val="clear" w:color="auto" w:fill="auto"/>
            <w:tcMar>
              <w:top w:w="40" w:type="dxa"/>
              <w:left w:w="20" w:type="dxa"/>
              <w:bottom w:w="40" w:type="dxa"/>
              <w:right w:w="20" w:type="dxa"/>
            </w:tcMar>
            <w:vAlign w:val="bottom"/>
          </w:tcPr>
          <w:p w14:paraId="5F2D3099" w14:textId="77777777" w:rsidR="00E836FB" w:rsidRDefault="00994958">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5F2D309A" w14:textId="77777777" w:rsidR="00E836FB" w:rsidRDefault="00994958">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5F2D309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09C" w14:textId="77777777" w:rsidR="00E836FB" w:rsidRDefault="00994958">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09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09E" w14:textId="77777777" w:rsidR="00E836FB" w:rsidRDefault="00994958">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5F2D309F" w14:textId="77777777" w:rsidR="00E836FB" w:rsidRDefault="00E836FB">
            <w:pPr>
              <w:rPr>
                <w:rFonts w:ascii="宋体"/>
                <w:vanish/>
              </w:rPr>
            </w:pPr>
          </w:p>
        </w:tc>
        <w:tc>
          <w:tcPr>
            <w:tcW w:w="0" w:type="auto"/>
            <w:gridSpan w:val="3"/>
            <w:shd w:val="clear" w:color="auto" w:fill="auto"/>
            <w:vAlign w:val="bottom"/>
          </w:tcPr>
          <w:p w14:paraId="5F2D30A0" w14:textId="77777777" w:rsidR="00E836FB" w:rsidRDefault="00E836FB">
            <w:pPr>
              <w:rPr>
                <w:rFonts w:ascii="宋体"/>
                <w:vanish/>
              </w:rPr>
            </w:pPr>
          </w:p>
        </w:tc>
      </w:tr>
      <w:tr w:rsidR="00E836FB" w14:paraId="5F2D30B0" w14:textId="77777777">
        <w:trPr>
          <w:jc w:val="center"/>
        </w:trPr>
        <w:tc>
          <w:tcPr>
            <w:tcW w:w="0" w:type="auto"/>
            <w:gridSpan w:val="3"/>
            <w:shd w:val="clear" w:color="auto" w:fill="CCEEFF"/>
            <w:tcMar>
              <w:top w:w="40" w:type="dxa"/>
              <w:left w:w="20" w:type="dxa"/>
              <w:bottom w:w="40" w:type="dxa"/>
              <w:right w:w="20" w:type="dxa"/>
            </w:tcMar>
            <w:vAlign w:val="bottom"/>
          </w:tcPr>
          <w:p w14:paraId="5F2D30A2" w14:textId="77777777" w:rsidR="00E836FB" w:rsidRDefault="00994958">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30A3"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A4" w14:textId="77777777" w:rsidR="00E836FB" w:rsidRDefault="00994958">
            <w:pPr>
              <w:jc w:val="right"/>
              <w:textAlignment w:val="bottom"/>
            </w:pPr>
            <w:r>
              <w:rPr>
                <w:rFonts w:ascii="Arial" w:eastAsia="宋体" w:hAnsi="Arial" w:cs="Arial"/>
                <w:b/>
                <w:bCs/>
                <w:color w:val="000000"/>
                <w:sz w:val="16"/>
                <w:szCs w:val="16"/>
              </w:rPr>
              <w:t>9,026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0A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0A7"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A8" w14:textId="77777777" w:rsidR="00E836FB" w:rsidRDefault="00994958">
            <w:pPr>
              <w:jc w:val="right"/>
              <w:textAlignment w:val="bottom"/>
            </w:pPr>
            <w:r>
              <w:rPr>
                <w:rFonts w:ascii="Arial" w:eastAsia="宋体" w:hAnsi="Arial" w:cs="Arial"/>
                <w:b/>
                <w:bCs/>
                <w:color w:val="000000"/>
                <w:sz w:val="16"/>
                <w:szCs w:val="16"/>
              </w:rPr>
              <w:t>(64)</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0A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0AB"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AC" w14:textId="77777777" w:rsidR="00E836FB" w:rsidRDefault="00994958">
            <w:pPr>
              <w:jc w:val="right"/>
              <w:textAlignment w:val="bottom"/>
            </w:pPr>
            <w:r>
              <w:rPr>
                <w:rFonts w:ascii="Arial" w:eastAsia="宋体" w:hAnsi="Arial" w:cs="Arial"/>
                <w:b/>
                <w:bCs/>
                <w:color w:val="000000"/>
                <w:sz w:val="16"/>
                <w:szCs w:val="16"/>
              </w:rPr>
              <w:t>514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AD" w14:textId="77777777" w:rsidR="00E836FB" w:rsidRDefault="00E836FB">
            <w:pPr>
              <w:jc w:val="right"/>
              <w:rPr>
                <w:rFonts w:ascii="宋体"/>
              </w:rPr>
            </w:pPr>
          </w:p>
        </w:tc>
        <w:tc>
          <w:tcPr>
            <w:tcW w:w="0" w:type="auto"/>
            <w:gridSpan w:val="3"/>
            <w:shd w:val="clear" w:color="auto" w:fill="auto"/>
            <w:vAlign w:val="bottom"/>
          </w:tcPr>
          <w:p w14:paraId="5F2D30AE" w14:textId="77777777" w:rsidR="00E836FB" w:rsidRDefault="00E836FB">
            <w:pPr>
              <w:rPr>
                <w:rFonts w:ascii="宋体"/>
                <w:vanish/>
              </w:rPr>
            </w:pPr>
          </w:p>
        </w:tc>
        <w:tc>
          <w:tcPr>
            <w:tcW w:w="0" w:type="auto"/>
            <w:gridSpan w:val="3"/>
            <w:shd w:val="clear" w:color="auto" w:fill="auto"/>
            <w:vAlign w:val="bottom"/>
          </w:tcPr>
          <w:p w14:paraId="5F2D30AF" w14:textId="77777777" w:rsidR="00E836FB" w:rsidRDefault="00E836FB">
            <w:pPr>
              <w:rPr>
                <w:rFonts w:ascii="宋体"/>
                <w:vanish/>
              </w:rPr>
            </w:pPr>
          </w:p>
        </w:tc>
      </w:tr>
      <w:tr w:rsidR="00E836FB" w14:paraId="5F2D30BC" w14:textId="77777777">
        <w:trPr>
          <w:jc w:val="center"/>
        </w:trPr>
        <w:tc>
          <w:tcPr>
            <w:tcW w:w="0" w:type="auto"/>
            <w:gridSpan w:val="3"/>
            <w:shd w:val="clear" w:color="auto" w:fill="FFFFFF"/>
            <w:tcMar>
              <w:top w:w="40" w:type="dxa"/>
              <w:left w:w="20" w:type="dxa"/>
              <w:bottom w:w="40" w:type="dxa"/>
              <w:right w:w="20" w:type="dxa"/>
            </w:tcMar>
            <w:vAlign w:val="bottom"/>
          </w:tcPr>
          <w:p w14:paraId="5F2D30B1" w14:textId="77777777" w:rsidR="00E836FB" w:rsidRDefault="00994958">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5F2D30B2" w14:textId="77777777" w:rsidR="00E836FB" w:rsidRDefault="00994958">
            <w:pPr>
              <w:jc w:val="right"/>
              <w:textAlignment w:val="bottom"/>
            </w:pPr>
            <w:r>
              <w:rPr>
                <w:rFonts w:ascii="Arial" w:eastAsia="宋体" w:hAnsi="Arial" w:cs="Arial"/>
                <w:b/>
                <w:bCs/>
                <w:color w:val="000000"/>
                <w:sz w:val="16"/>
                <w:szCs w:val="16"/>
              </w:rPr>
              <w:t>3,551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30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0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0B5"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30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0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0B8" w14:textId="77777777" w:rsidR="00E836FB" w:rsidRDefault="00994958">
            <w:pPr>
              <w:jc w:val="right"/>
              <w:textAlignment w:val="bottom"/>
            </w:pPr>
            <w:r>
              <w:rPr>
                <w:rFonts w:ascii="Arial" w:eastAsia="宋体" w:hAnsi="Arial" w:cs="Arial"/>
                <w:b/>
                <w:bCs/>
                <w:color w:val="000000"/>
                <w:sz w:val="16"/>
                <w:szCs w:val="16"/>
              </w:rPr>
              <w:t>24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30B9" w14:textId="77777777" w:rsidR="00E836FB" w:rsidRDefault="00E836FB">
            <w:pPr>
              <w:jc w:val="right"/>
              <w:rPr>
                <w:rFonts w:ascii="宋体"/>
              </w:rPr>
            </w:pPr>
          </w:p>
        </w:tc>
        <w:tc>
          <w:tcPr>
            <w:tcW w:w="0" w:type="auto"/>
            <w:gridSpan w:val="3"/>
            <w:shd w:val="clear" w:color="auto" w:fill="auto"/>
            <w:vAlign w:val="bottom"/>
          </w:tcPr>
          <w:p w14:paraId="5F2D30BA" w14:textId="77777777" w:rsidR="00E836FB" w:rsidRDefault="00E836FB">
            <w:pPr>
              <w:rPr>
                <w:rFonts w:ascii="宋体"/>
                <w:vanish/>
              </w:rPr>
            </w:pPr>
          </w:p>
        </w:tc>
        <w:tc>
          <w:tcPr>
            <w:tcW w:w="0" w:type="auto"/>
            <w:gridSpan w:val="3"/>
            <w:shd w:val="clear" w:color="auto" w:fill="auto"/>
            <w:vAlign w:val="bottom"/>
          </w:tcPr>
          <w:p w14:paraId="5F2D30BB" w14:textId="77777777" w:rsidR="00E836FB" w:rsidRDefault="00E836FB">
            <w:pPr>
              <w:rPr>
                <w:rFonts w:ascii="宋体"/>
                <w:vanish/>
              </w:rPr>
            </w:pPr>
          </w:p>
        </w:tc>
      </w:tr>
      <w:tr w:rsidR="00E836FB" w14:paraId="5F2D30C5" w14:textId="77777777">
        <w:trPr>
          <w:jc w:val="center"/>
          <w:hidden/>
        </w:trPr>
        <w:tc>
          <w:tcPr>
            <w:tcW w:w="0" w:type="auto"/>
            <w:gridSpan w:val="3"/>
            <w:shd w:val="clear" w:color="auto" w:fill="auto"/>
            <w:vAlign w:val="bottom"/>
          </w:tcPr>
          <w:p w14:paraId="5F2D30BD" w14:textId="77777777" w:rsidR="00E836FB" w:rsidRDefault="00E836FB">
            <w:pPr>
              <w:rPr>
                <w:rFonts w:ascii="宋体"/>
                <w:vanish/>
              </w:rPr>
            </w:pPr>
          </w:p>
        </w:tc>
        <w:tc>
          <w:tcPr>
            <w:tcW w:w="0" w:type="auto"/>
            <w:gridSpan w:val="3"/>
            <w:shd w:val="clear" w:color="auto" w:fill="auto"/>
            <w:vAlign w:val="bottom"/>
          </w:tcPr>
          <w:p w14:paraId="5F2D30BE" w14:textId="77777777" w:rsidR="00E836FB" w:rsidRDefault="00E836FB">
            <w:pPr>
              <w:rPr>
                <w:rFonts w:ascii="宋体"/>
                <w:vanish/>
              </w:rPr>
            </w:pPr>
          </w:p>
        </w:tc>
        <w:tc>
          <w:tcPr>
            <w:tcW w:w="0" w:type="auto"/>
            <w:gridSpan w:val="3"/>
            <w:shd w:val="clear" w:color="auto" w:fill="auto"/>
            <w:vAlign w:val="bottom"/>
          </w:tcPr>
          <w:p w14:paraId="5F2D30BF" w14:textId="77777777" w:rsidR="00E836FB" w:rsidRDefault="00E836FB">
            <w:pPr>
              <w:rPr>
                <w:rFonts w:ascii="宋体"/>
                <w:vanish/>
              </w:rPr>
            </w:pPr>
          </w:p>
        </w:tc>
        <w:tc>
          <w:tcPr>
            <w:tcW w:w="0" w:type="auto"/>
            <w:gridSpan w:val="3"/>
            <w:shd w:val="clear" w:color="auto" w:fill="auto"/>
            <w:vAlign w:val="bottom"/>
          </w:tcPr>
          <w:p w14:paraId="5F2D30C0" w14:textId="77777777" w:rsidR="00E836FB" w:rsidRDefault="00E836FB">
            <w:pPr>
              <w:rPr>
                <w:rFonts w:ascii="宋体"/>
                <w:vanish/>
              </w:rPr>
            </w:pPr>
          </w:p>
        </w:tc>
        <w:tc>
          <w:tcPr>
            <w:tcW w:w="0" w:type="auto"/>
            <w:gridSpan w:val="3"/>
            <w:shd w:val="clear" w:color="auto" w:fill="auto"/>
            <w:vAlign w:val="bottom"/>
          </w:tcPr>
          <w:p w14:paraId="5F2D30C1" w14:textId="77777777" w:rsidR="00E836FB" w:rsidRDefault="00E836FB">
            <w:pPr>
              <w:rPr>
                <w:rFonts w:ascii="宋体"/>
                <w:vanish/>
              </w:rPr>
            </w:pPr>
          </w:p>
        </w:tc>
        <w:tc>
          <w:tcPr>
            <w:tcW w:w="0" w:type="auto"/>
            <w:gridSpan w:val="3"/>
            <w:shd w:val="clear" w:color="auto" w:fill="auto"/>
            <w:vAlign w:val="bottom"/>
          </w:tcPr>
          <w:p w14:paraId="5F2D30C2" w14:textId="77777777" w:rsidR="00E836FB" w:rsidRDefault="00E836FB">
            <w:pPr>
              <w:rPr>
                <w:rFonts w:ascii="宋体"/>
                <w:vanish/>
              </w:rPr>
            </w:pPr>
          </w:p>
        </w:tc>
        <w:tc>
          <w:tcPr>
            <w:tcW w:w="0" w:type="auto"/>
            <w:gridSpan w:val="3"/>
            <w:shd w:val="clear" w:color="auto" w:fill="auto"/>
            <w:vAlign w:val="bottom"/>
          </w:tcPr>
          <w:p w14:paraId="5F2D30C3" w14:textId="77777777" w:rsidR="00E836FB" w:rsidRDefault="00E836FB">
            <w:pPr>
              <w:rPr>
                <w:rFonts w:ascii="宋体"/>
                <w:vanish/>
              </w:rPr>
            </w:pPr>
          </w:p>
        </w:tc>
        <w:tc>
          <w:tcPr>
            <w:tcW w:w="0" w:type="auto"/>
            <w:gridSpan w:val="3"/>
            <w:shd w:val="clear" w:color="auto" w:fill="auto"/>
            <w:vAlign w:val="bottom"/>
          </w:tcPr>
          <w:p w14:paraId="5F2D30C4" w14:textId="77777777" w:rsidR="00E836FB" w:rsidRDefault="00E836FB">
            <w:pPr>
              <w:rPr>
                <w:rFonts w:ascii="宋体"/>
                <w:vanish/>
              </w:rPr>
            </w:pPr>
          </w:p>
        </w:tc>
      </w:tr>
      <w:tr w:rsidR="00E836FB" w14:paraId="5F2D30CE" w14:textId="77777777">
        <w:trPr>
          <w:trHeight w:val="280"/>
          <w:jc w:val="center"/>
        </w:trPr>
        <w:tc>
          <w:tcPr>
            <w:tcW w:w="0" w:type="auto"/>
            <w:gridSpan w:val="3"/>
            <w:shd w:val="clear" w:color="auto" w:fill="auto"/>
            <w:tcMar>
              <w:top w:w="0" w:type="dxa"/>
              <w:left w:w="20" w:type="dxa"/>
              <w:bottom w:w="0" w:type="dxa"/>
              <w:right w:w="20" w:type="dxa"/>
            </w:tcMar>
            <w:vAlign w:val="bottom"/>
          </w:tcPr>
          <w:p w14:paraId="5F2D30C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C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C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C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C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0CB" w14:textId="77777777" w:rsidR="00E836FB" w:rsidRDefault="00E836FB">
            <w:pPr>
              <w:rPr>
                <w:rFonts w:ascii="宋体"/>
              </w:rPr>
            </w:pPr>
          </w:p>
        </w:tc>
        <w:tc>
          <w:tcPr>
            <w:tcW w:w="0" w:type="auto"/>
            <w:gridSpan w:val="3"/>
            <w:shd w:val="clear" w:color="auto" w:fill="auto"/>
            <w:vAlign w:val="bottom"/>
          </w:tcPr>
          <w:p w14:paraId="5F2D30CC" w14:textId="77777777" w:rsidR="00E836FB" w:rsidRDefault="00E836FB">
            <w:pPr>
              <w:rPr>
                <w:rFonts w:ascii="宋体"/>
                <w:vanish/>
              </w:rPr>
            </w:pPr>
          </w:p>
        </w:tc>
        <w:tc>
          <w:tcPr>
            <w:tcW w:w="0" w:type="auto"/>
            <w:gridSpan w:val="3"/>
            <w:shd w:val="clear" w:color="auto" w:fill="auto"/>
            <w:vAlign w:val="bottom"/>
          </w:tcPr>
          <w:p w14:paraId="5F2D30CD" w14:textId="77777777" w:rsidR="00E836FB" w:rsidRDefault="00E836FB">
            <w:pPr>
              <w:rPr>
                <w:rFonts w:ascii="宋体"/>
                <w:vanish/>
              </w:rPr>
            </w:pPr>
          </w:p>
        </w:tc>
      </w:tr>
      <w:tr w:rsidR="00E836FB" w14:paraId="5F2D30D7" w14:textId="77777777">
        <w:trPr>
          <w:jc w:val="center"/>
        </w:trPr>
        <w:tc>
          <w:tcPr>
            <w:tcW w:w="0" w:type="auto"/>
            <w:gridSpan w:val="3"/>
            <w:shd w:val="clear" w:color="auto" w:fill="auto"/>
            <w:tcMar>
              <w:top w:w="0" w:type="dxa"/>
              <w:left w:w="20" w:type="dxa"/>
              <w:bottom w:w="0" w:type="dxa"/>
              <w:right w:w="20" w:type="dxa"/>
            </w:tcMar>
            <w:vAlign w:val="bottom"/>
          </w:tcPr>
          <w:p w14:paraId="5F2D30CF"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30D0" w14:textId="77777777" w:rsidR="00E836FB" w:rsidRDefault="00994958">
            <w:pPr>
              <w:jc w:val="center"/>
              <w:textAlignment w:val="bottom"/>
            </w:pPr>
            <w:r>
              <w:rPr>
                <w:rFonts w:ascii="Arial" w:eastAsia="宋体" w:hAnsi="Arial" w:cs="Arial"/>
                <w:b/>
                <w:bCs/>
                <w:color w:val="000000"/>
                <w:sz w:val="16"/>
                <w:szCs w:val="16"/>
              </w:rPr>
              <w:t>December 31, 2020</w:t>
            </w:r>
          </w:p>
        </w:tc>
        <w:tc>
          <w:tcPr>
            <w:tcW w:w="0" w:type="auto"/>
            <w:shd w:val="clear" w:color="auto" w:fill="auto"/>
            <w:vAlign w:val="bottom"/>
          </w:tcPr>
          <w:p w14:paraId="5F2D30D1" w14:textId="77777777" w:rsidR="00E836FB" w:rsidRDefault="00E836FB">
            <w:pPr>
              <w:rPr>
                <w:rFonts w:ascii="宋体"/>
              </w:rPr>
            </w:pPr>
          </w:p>
        </w:tc>
        <w:tc>
          <w:tcPr>
            <w:tcW w:w="0" w:type="auto"/>
            <w:shd w:val="clear" w:color="auto" w:fill="auto"/>
            <w:vAlign w:val="bottom"/>
          </w:tcPr>
          <w:p w14:paraId="5F2D30D2" w14:textId="77777777" w:rsidR="00E836FB" w:rsidRDefault="00E836FB">
            <w:pPr>
              <w:rPr>
                <w:rFonts w:ascii="宋体"/>
              </w:rPr>
            </w:pPr>
          </w:p>
        </w:tc>
        <w:tc>
          <w:tcPr>
            <w:tcW w:w="0" w:type="auto"/>
            <w:shd w:val="clear" w:color="auto" w:fill="auto"/>
            <w:vAlign w:val="bottom"/>
          </w:tcPr>
          <w:p w14:paraId="5F2D30D3" w14:textId="77777777" w:rsidR="00E836FB" w:rsidRDefault="00E836FB">
            <w:pPr>
              <w:rPr>
                <w:rFonts w:ascii="宋体"/>
              </w:rPr>
            </w:pPr>
          </w:p>
        </w:tc>
        <w:tc>
          <w:tcPr>
            <w:tcW w:w="0" w:type="auto"/>
            <w:shd w:val="clear" w:color="auto" w:fill="auto"/>
            <w:vAlign w:val="bottom"/>
          </w:tcPr>
          <w:p w14:paraId="5F2D30D4" w14:textId="77777777" w:rsidR="00E836FB" w:rsidRDefault="00E836FB">
            <w:pPr>
              <w:rPr>
                <w:rFonts w:ascii="宋体"/>
              </w:rPr>
            </w:pPr>
          </w:p>
        </w:tc>
        <w:tc>
          <w:tcPr>
            <w:tcW w:w="0" w:type="auto"/>
            <w:shd w:val="clear" w:color="auto" w:fill="auto"/>
            <w:vAlign w:val="bottom"/>
          </w:tcPr>
          <w:p w14:paraId="5F2D30D5" w14:textId="77777777" w:rsidR="00E836FB" w:rsidRDefault="00E836FB">
            <w:pPr>
              <w:rPr>
                <w:rFonts w:ascii="宋体"/>
              </w:rPr>
            </w:pPr>
          </w:p>
        </w:tc>
        <w:tc>
          <w:tcPr>
            <w:tcW w:w="0" w:type="auto"/>
            <w:shd w:val="clear" w:color="auto" w:fill="auto"/>
            <w:vAlign w:val="bottom"/>
          </w:tcPr>
          <w:p w14:paraId="5F2D30D6" w14:textId="77777777" w:rsidR="00E836FB" w:rsidRDefault="00E836FB">
            <w:pPr>
              <w:rPr>
                <w:rFonts w:ascii="宋体"/>
              </w:rPr>
            </w:pPr>
          </w:p>
        </w:tc>
      </w:tr>
      <w:tr w:rsidR="00E836FB" w14:paraId="5F2D30DE" w14:textId="77777777">
        <w:trPr>
          <w:jc w:val="center"/>
        </w:trPr>
        <w:tc>
          <w:tcPr>
            <w:tcW w:w="0" w:type="auto"/>
            <w:gridSpan w:val="3"/>
            <w:shd w:val="clear" w:color="auto" w:fill="auto"/>
            <w:tcMar>
              <w:top w:w="0" w:type="dxa"/>
              <w:left w:w="20" w:type="dxa"/>
              <w:bottom w:w="0" w:type="dxa"/>
              <w:right w:w="20" w:type="dxa"/>
            </w:tcMar>
            <w:vAlign w:val="bottom"/>
          </w:tcPr>
          <w:p w14:paraId="5F2D30D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0D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0DA"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30DB" w14:textId="77777777" w:rsidR="00E836FB" w:rsidRDefault="00994958">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5F2D30DC" w14:textId="77777777" w:rsidR="00E836FB" w:rsidRDefault="00E836FB">
            <w:pPr>
              <w:rPr>
                <w:rFonts w:ascii="宋体"/>
                <w:vanish/>
              </w:rPr>
            </w:pPr>
          </w:p>
        </w:tc>
        <w:tc>
          <w:tcPr>
            <w:tcW w:w="0" w:type="auto"/>
            <w:gridSpan w:val="3"/>
            <w:shd w:val="clear" w:color="auto" w:fill="auto"/>
            <w:vAlign w:val="bottom"/>
          </w:tcPr>
          <w:p w14:paraId="5F2D30DD" w14:textId="77777777" w:rsidR="00E836FB" w:rsidRDefault="00E836FB">
            <w:pPr>
              <w:rPr>
                <w:rFonts w:ascii="宋体"/>
                <w:vanish/>
              </w:rPr>
            </w:pPr>
          </w:p>
        </w:tc>
      </w:tr>
      <w:tr w:rsidR="00E836FB" w14:paraId="5F2D30E7" w14:textId="77777777">
        <w:trPr>
          <w:jc w:val="center"/>
        </w:trPr>
        <w:tc>
          <w:tcPr>
            <w:tcW w:w="0" w:type="auto"/>
            <w:gridSpan w:val="3"/>
            <w:shd w:val="clear" w:color="auto" w:fill="auto"/>
            <w:tcMar>
              <w:top w:w="40" w:type="dxa"/>
              <w:left w:w="20" w:type="dxa"/>
              <w:bottom w:w="40" w:type="dxa"/>
              <w:right w:w="20" w:type="dxa"/>
            </w:tcMar>
            <w:vAlign w:val="bottom"/>
          </w:tcPr>
          <w:p w14:paraId="5F2D30DF" w14:textId="77777777" w:rsidR="00E836FB" w:rsidRDefault="00994958">
            <w:pP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c>
          <w:tcPr>
            <w:tcW w:w="0" w:type="auto"/>
            <w:gridSpan w:val="3"/>
            <w:shd w:val="clear" w:color="auto" w:fill="auto"/>
            <w:tcMar>
              <w:top w:w="40" w:type="dxa"/>
              <w:left w:w="20" w:type="dxa"/>
              <w:bottom w:w="40" w:type="dxa"/>
              <w:right w:w="20" w:type="dxa"/>
            </w:tcMar>
            <w:vAlign w:val="bottom"/>
          </w:tcPr>
          <w:p w14:paraId="5F2D30E0" w14:textId="77777777" w:rsidR="00E836FB" w:rsidRDefault="00994958">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5F2D30E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0E2" w14:textId="77777777" w:rsidR="00E836FB" w:rsidRDefault="00994958">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0E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0E4" w14:textId="77777777" w:rsidR="00E836FB" w:rsidRDefault="00994958">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5F2D30E5" w14:textId="77777777" w:rsidR="00E836FB" w:rsidRDefault="00E836FB">
            <w:pPr>
              <w:rPr>
                <w:rFonts w:ascii="宋体"/>
                <w:vanish/>
              </w:rPr>
            </w:pPr>
          </w:p>
        </w:tc>
        <w:tc>
          <w:tcPr>
            <w:tcW w:w="0" w:type="auto"/>
            <w:gridSpan w:val="3"/>
            <w:shd w:val="clear" w:color="auto" w:fill="auto"/>
            <w:vAlign w:val="bottom"/>
          </w:tcPr>
          <w:p w14:paraId="5F2D30E6" w14:textId="77777777" w:rsidR="00E836FB" w:rsidRDefault="00E836FB">
            <w:pPr>
              <w:rPr>
                <w:rFonts w:ascii="宋体"/>
                <w:vanish/>
              </w:rPr>
            </w:pPr>
          </w:p>
        </w:tc>
      </w:tr>
      <w:tr w:rsidR="00E836FB" w14:paraId="5F2D30F6" w14:textId="77777777">
        <w:trPr>
          <w:jc w:val="center"/>
        </w:trPr>
        <w:tc>
          <w:tcPr>
            <w:tcW w:w="0" w:type="auto"/>
            <w:gridSpan w:val="3"/>
            <w:shd w:val="clear" w:color="auto" w:fill="CCEEFF"/>
            <w:tcMar>
              <w:top w:w="40" w:type="dxa"/>
              <w:left w:w="20" w:type="dxa"/>
              <w:bottom w:w="40" w:type="dxa"/>
              <w:right w:w="20" w:type="dxa"/>
            </w:tcMar>
            <w:vAlign w:val="bottom"/>
          </w:tcPr>
          <w:p w14:paraId="5F2D30E8" w14:textId="77777777" w:rsidR="00E836FB" w:rsidRDefault="00994958">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30E9"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EA" w14:textId="77777777" w:rsidR="00E836FB" w:rsidRDefault="00994958">
            <w:pPr>
              <w:jc w:val="right"/>
              <w:textAlignment w:val="bottom"/>
            </w:pPr>
            <w:r>
              <w:rPr>
                <w:rFonts w:ascii="Arial" w:eastAsia="宋体" w:hAnsi="Arial" w:cs="Arial"/>
                <w:color w:val="000000"/>
                <w:sz w:val="16"/>
                <w:szCs w:val="16"/>
              </w:rPr>
              <w:t>10,519 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E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0E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0ED"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EE" w14:textId="77777777" w:rsidR="00E836FB" w:rsidRDefault="00994958">
            <w:pPr>
              <w:jc w:val="right"/>
              <w:textAlignment w:val="bottom"/>
            </w:pPr>
            <w:r>
              <w:rPr>
                <w:rFonts w:ascii="Arial" w:eastAsia="宋体" w:hAnsi="Arial" w:cs="Arial"/>
                <w:color w:val="000000"/>
                <w:sz w:val="16"/>
                <w:szCs w:val="16"/>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0F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0F1"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0F2" w14:textId="77777777" w:rsidR="00E836FB" w:rsidRDefault="00994958">
            <w:pPr>
              <w:jc w:val="right"/>
              <w:textAlignment w:val="bottom"/>
            </w:pPr>
            <w:r>
              <w:rPr>
                <w:rFonts w:ascii="Arial" w:eastAsia="宋体" w:hAnsi="Arial" w:cs="Arial"/>
                <w:color w:val="000000"/>
                <w:sz w:val="16"/>
                <w:szCs w:val="16"/>
              </w:rPr>
              <w:t>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0F3" w14:textId="77777777" w:rsidR="00E836FB" w:rsidRDefault="00E836FB">
            <w:pPr>
              <w:jc w:val="right"/>
              <w:rPr>
                <w:rFonts w:ascii="宋体"/>
              </w:rPr>
            </w:pPr>
          </w:p>
        </w:tc>
        <w:tc>
          <w:tcPr>
            <w:tcW w:w="0" w:type="auto"/>
            <w:gridSpan w:val="3"/>
            <w:shd w:val="clear" w:color="auto" w:fill="auto"/>
            <w:vAlign w:val="bottom"/>
          </w:tcPr>
          <w:p w14:paraId="5F2D30F4" w14:textId="77777777" w:rsidR="00E836FB" w:rsidRDefault="00E836FB">
            <w:pPr>
              <w:rPr>
                <w:rFonts w:ascii="宋体"/>
                <w:vanish/>
              </w:rPr>
            </w:pPr>
          </w:p>
        </w:tc>
        <w:tc>
          <w:tcPr>
            <w:tcW w:w="0" w:type="auto"/>
            <w:gridSpan w:val="3"/>
            <w:shd w:val="clear" w:color="auto" w:fill="auto"/>
            <w:vAlign w:val="bottom"/>
          </w:tcPr>
          <w:p w14:paraId="5F2D30F5" w14:textId="77777777" w:rsidR="00E836FB" w:rsidRDefault="00E836FB">
            <w:pPr>
              <w:rPr>
                <w:rFonts w:ascii="宋体"/>
                <w:vanish/>
              </w:rPr>
            </w:pPr>
          </w:p>
        </w:tc>
      </w:tr>
      <w:tr w:rsidR="00E836FB" w14:paraId="5F2D3102" w14:textId="77777777">
        <w:trPr>
          <w:jc w:val="center"/>
        </w:trPr>
        <w:tc>
          <w:tcPr>
            <w:tcW w:w="0" w:type="auto"/>
            <w:gridSpan w:val="3"/>
            <w:shd w:val="clear" w:color="auto" w:fill="FFFFFF"/>
            <w:tcMar>
              <w:top w:w="40" w:type="dxa"/>
              <w:left w:w="20" w:type="dxa"/>
              <w:bottom w:w="40" w:type="dxa"/>
              <w:right w:w="20" w:type="dxa"/>
            </w:tcMar>
            <w:vAlign w:val="bottom"/>
          </w:tcPr>
          <w:p w14:paraId="5F2D30F7" w14:textId="77777777" w:rsidR="00E836FB" w:rsidRDefault="00994958">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5F2D30F8" w14:textId="77777777" w:rsidR="00E836FB" w:rsidRDefault="00994958">
            <w:pPr>
              <w:jc w:val="right"/>
              <w:textAlignment w:val="bottom"/>
            </w:pPr>
            <w:r>
              <w:rPr>
                <w:rFonts w:ascii="Arial" w:eastAsia="宋体" w:hAnsi="Arial" w:cs="Arial"/>
                <w:color w:val="000000"/>
                <w:sz w:val="16"/>
                <w:szCs w:val="16"/>
              </w:rPr>
              <w:t>2,330 </w:t>
            </w:r>
          </w:p>
        </w:tc>
        <w:tc>
          <w:tcPr>
            <w:tcW w:w="0" w:type="auto"/>
            <w:shd w:val="clear" w:color="auto" w:fill="FFFFFF"/>
            <w:tcMar>
              <w:top w:w="40" w:type="dxa"/>
              <w:left w:w="0" w:type="dxa"/>
              <w:bottom w:w="40" w:type="dxa"/>
              <w:right w:w="20" w:type="dxa"/>
            </w:tcMar>
            <w:vAlign w:val="bottom"/>
          </w:tcPr>
          <w:p w14:paraId="5F2D30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0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0FB" w14:textId="77777777" w:rsidR="00E836FB" w:rsidRDefault="00994958">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5F2D30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0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0FE" w14:textId="77777777" w:rsidR="00E836FB" w:rsidRDefault="00994958">
            <w:pPr>
              <w:jc w:val="right"/>
              <w:textAlignment w:val="bottom"/>
            </w:pPr>
            <w:r>
              <w:rPr>
                <w:rFonts w:ascii="Arial" w:eastAsia="宋体" w:hAnsi="Arial" w:cs="Arial"/>
                <w:color w:val="000000"/>
                <w:sz w:val="16"/>
                <w:szCs w:val="16"/>
              </w:rPr>
              <w:t>43 </w:t>
            </w:r>
          </w:p>
        </w:tc>
        <w:tc>
          <w:tcPr>
            <w:tcW w:w="0" w:type="auto"/>
            <w:shd w:val="clear" w:color="auto" w:fill="FFFFFF"/>
            <w:tcMar>
              <w:top w:w="40" w:type="dxa"/>
              <w:left w:w="0" w:type="dxa"/>
              <w:bottom w:w="40" w:type="dxa"/>
              <w:right w:w="20" w:type="dxa"/>
            </w:tcMar>
            <w:vAlign w:val="bottom"/>
          </w:tcPr>
          <w:p w14:paraId="5F2D30FF" w14:textId="77777777" w:rsidR="00E836FB" w:rsidRDefault="00E836FB">
            <w:pPr>
              <w:jc w:val="right"/>
              <w:rPr>
                <w:rFonts w:ascii="宋体"/>
              </w:rPr>
            </w:pPr>
          </w:p>
        </w:tc>
        <w:tc>
          <w:tcPr>
            <w:tcW w:w="0" w:type="auto"/>
            <w:gridSpan w:val="3"/>
            <w:shd w:val="clear" w:color="auto" w:fill="auto"/>
            <w:vAlign w:val="bottom"/>
          </w:tcPr>
          <w:p w14:paraId="5F2D3100" w14:textId="77777777" w:rsidR="00E836FB" w:rsidRDefault="00E836FB">
            <w:pPr>
              <w:rPr>
                <w:rFonts w:ascii="宋体"/>
                <w:vanish/>
              </w:rPr>
            </w:pPr>
          </w:p>
        </w:tc>
        <w:tc>
          <w:tcPr>
            <w:tcW w:w="0" w:type="auto"/>
            <w:gridSpan w:val="3"/>
            <w:shd w:val="clear" w:color="auto" w:fill="auto"/>
            <w:vAlign w:val="bottom"/>
          </w:tcPr>
          <w:p w14:paraId="5F2D3101" w14:textId="77777777" w:rsidR="00E836FB" w:rsidRDefault="00E836FB">
            <w:pPr>
              <w:rPr>
                <w:rFonts w:ascii="宋体"/>
                <w:vanish/>
              </w:rPr>
            </w:pPr>
          </w:p>
        </w:tc>
      </w:tr>
      <w:tr w:rsidR="00E836FB" w14:paraId="5F2D310B" w14:textId="77777777">
        <w:trPr>
          <w:jc w:val="center"/>
          <w:hidden/>
        </w:trPr>
        <w:tc>
          <w:tcPr>
            <w:tcW w:w="0" w:type="auto"/>
            <w:gridSpan w:val="3"/>
            <w:shd w:val="clear" w:color="auto" w:fill="auto"/>
            <w:vAlign w:val="bottom"/>
          </w:tcPr>
          <w:p w14:paraId="5F2D3103" w14:textId="77777777" w:rsidR="00E836FB" w:rsidRDefault="00E836FB">
            <w:pPr>
              <w:rPr>
                <w:rFonts w:ascii="宋体"/>
                <w:vanish/>
              </w:rPr>
            </w:pPr>
          </w:p>
        </w:tc>
        <w:tc>
          <w:tcPr>
            <w:tcW w:w="0" w:type="auto"/>
            <w:gridSpan w:val="3"/>
            <w:shd w:val="clear" w:color="auto" w:fill="auto"/>
            <w:vAlign w:val="bottom"/>
          </w:tcPr>
          <w:p w14:paraId="5F2D3104" w14:textId="77777777" w:rsidR="00E836FB" w:rsidRDefault="00E836FB">
            <w:pPr>
              <w:rPr>
                <w:rFonts w:ascii="宋体"/>
                <w:vanish/>
              </w:rPr>
            </w:pPr>
          </w:p>
        </w:tc>
        <w:tc>
          <w:tcPr>
            <w:tcW w:w="0" w:type="auto"/>
            <w:gridSpan w:val="3"/>
            <w:shd w:val="clear" w:color="auto" w:fill="auto"/>
            <w:vAlign w:val="bottom"/>
          </w:tcPr>
          <w:p w14:paraId="5F2D3105" w14:textId="77777777" w:rsidR="00E836FB" w:rsidRDefault="00E836FB">
            <w:pPr>
              <w:rPr>
                <w:rFonts w:ascii="宋体"/>
                <w:vanish/>
              </w:rPr>
            </w:pPr>
          </w:p>
        </w:tc>
        <w:tc>
          <w:tcPr>
            <w:tcW w:w="0" w:type="auto"/>
            <w:gridSpan w:val="3"/>
            <w:shd w:val="clear" w:color="auto" w:fill="auto"/>
            <w:vAlign w:val="bottom"/>
          </w:tcPr>
          <w:p w14:paraId="5F2D3106" w14:textId="77777777" w:rsidR="00E836FB" w:rsidRDefault="00E836FB">
            <w:pPr>
              <w:rPr>
                <w:rFonts w:ascii="宋体"/>
                <w:vanish/>
              </w:rPr>
            </w:pPr>
          </w:p>
        </w:tc>
        <w:tc>
          <w:tcPr>
            <w:tcW w:w="0" w:type="auto"/>
            <w:gridSpan w:val="3"/>
            <w:shd w:val="clear" w:color="auto" w:fill="auto"/>
            <w:vAlign w:val="bottom"/>
          </w:tcPr>
          <w:p w14:paraId="5F2D3107" w14:textId="77777777" w:rsidR="00E836FB" w:rsidRDefault="00E836FB">
            <w:pPr>
              <w:rPr>
                <w:rFonts w:ascii="宋体"/>
                <w:vanish/>
              </w:rPr>
            </w:pPr>
          </w:p>
        </w:tc>
        <w:tc>
          <w:tcPr>
            <w:tcW w:w="0" w:type="auto"/>
            <w:gridSpan w:val="3"/>
            <w:shd w:val="clear" w:color="auto" w:fill="auto"/>
            <w:vAlign w:val="bottom"/>
          </w:tcPr>
          <w:p w14:paraId="5F2D3108" w14:textId="77777777" w:rsidR="00E836FB" w:rsidRDefault="00E836FB">
            <w:pPr>
              <w:rPr>
                <w:rFonts w:ascii="宋体"/>
                <w:vanish/>
              </w:rPr>
            </w:pPr>
          </w:p>
        </w:tc>
        <w:tc>
          <w:tcPr>
            <w:tcW w:w="0" w:type="auto"/>
            <w:gridSpan w:val="3"/>
            <w:shd w:val="clear" w:color="auto" w:fill="auto"/>
            <w:vAlign w:val="bottom"/>
          </w:tcPr>
          <w:p w14:paraId="5F2D3109" w14:textId="77777777" w:rsidR="00E836FB" w:rsidRDefault="00E836FB">
            <w:pPr>
              <w:rPr>
                <w:rFonts w:ascii="宋体"/>
                <w:vanish/>
              </w:rPr>
            </w:pPr>
          </w:p>
        </w:tc>
        <w:tc>
          <w:tcPr>
            <w:tcW w:w="0" w:type="auto"/>
            <w:gridSpan w:val="3"/>
            <w:shd w:val="clear" w:color="auto" w:fill="auto"/>
            <w:vAlign w:val="bottom"/>
          </w:tcPr>
          <w:p w14:paraId="5F2D310A" w14:textId="77777777" w:rsidR="00E836FB" w:rsidRDefault="00E836FB">
            <w:pPr>
              <w:rPr>
                <w:rFonts w:ascii="宋体"/>
                <w:vanish/>
              </w:rPr>
            </w:pPr>
          </w:p>
        </w:tc>
      </w:tr>
    </w:tbl>
    <w:p w14:paraId="5F2D310C" w14:textId="77777777" w:rsidR="00E836FB" w:rsidRDefault="00E836FB">
      <w:pPr>
        <w:rPr>
          <w:vanish/>
        </w:rPr>
      </w:pP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E836FB" w14:paraId="5F2D311C" w14:textId="77777777">
        <w:trPr>
          <w:jc w:val="center"/>
        </w:trPr>
        <w:tc>
          <w:tcPr>
            <w:tcW w:w="20" w:type="dxa"/>
            <w:shd w:val="clear" w:color="auto" w:fill="auto"/>
            <w:vAlign w:val="bottom"/>
          </w:tcPr>
          <w:p w14:paraId="5F2D310D" w14:textId="77777777" w:rsidR="00E836FB" w:rsidRDefault="00E836FB">
            <w:pPr>
              <w:rPr>
                <w:rFonts w:ascii="宋体"/>
              </w:rPr>
            </w:pPr>
          </w:p>
        </w:tc>
        <w:tc>
          <w:tcPr>
            <w:tcW w:w="2840" w:type="dxa"/>
            <w:shd w:val="clear" w:color="auto" w:fill="auto"/>
            <w:vAlign w:val="bottom"/>
          </w:tcPr>
          <w:p w14:paraId="5F2D310E" w14:textId="77777777" w:rsidR="00E836FB" w:rsidRDefault="00E836FB">
            <w:pPr>
              <w:rPr>
                <w:rFonts w:ascii="宋体"/>
              </w:rPr>
            </w:pPr>
          </w:p>
        </w:tc>
        <w:tc>
          <w:tcPr>
            <w:tcW w:w="20" w:type="dxa"/>
            <w:shd w:val="clear" w:color="auto" w:fill="auto"/>
            <w:vAlign w:val="bottom"/>
          </w:tcPr>
          <w:p w14:paraId="5F2D310F" w14:textId="77777777" w:rsidR="00E836FB" w:rsidRDefault="00E836FB">
            <w:pPr>
              <w:rPr>
                <w:rFonts w:ascii="宋体"/>
              </w:rPr>
            </w:pPr>
          </w:p>
        </w:tc>
        <w:tc>
          <w:tcPr>
            <w:tcW w:w="20" w:type="dxa"/>
            <w:shd w:val="clear" w:color="auto" w:fill="auto"/>
            <w:vAlign w:val="bottom"/>
          </w:tcPr>
          <w:p w14:paraId="5F2D3110" w14:textId="77777777" w:rsidR="00E836FB" w:rsidRDefault="00E836FB">
            <w:pPr>
              <w:rPr>
                <w:rFonts w:ascii="宋体"/>
              </w:rPr>
            </w:pPr>
          </w:p>
        </w:tc>
        <w:tc>
          <w:tcPr>
            <w:tcW w:w="1460" w:type="dxa"/>
            <w:shd w:val="clear" w:color="auto" w:fill="auto"/>
            <w:vAlign w:val="bottom"/>
          </w:tcPr>
          <w:p w14:paraId="5F2D3111" w14:textId="77777777" w:rsidR="00E836FB" w:rsidRDefault="00E836FB">
            <w:pPr>
              <w:rPr>
                <w:rFonts w:ascii="宋体"/>
              </w:rPr>
            </w:pPr>
          </w:p>
        </w:tc>
        <w:tc>
          <w:tcPr>
            <w:tcW w:w="20" w:type="dxa"/>
            <w:shd w:val="clear" w:color="auto" w:fill="auto"/>
            <w:vAlign w:val="bottom"/>
          </w:tcPr>
          <w:p w14:paraId="5F2D3112" w14:textId="77777777" w:rsidR="00E836FB" w:rsidRDefault="00E836FB">
            <w:pPr>
              <w:rPr>
                <w:rFonts w:ascii="宋体"/>
              </w:rPr>
            </w:pPr>
          </w:p>
        </w:tc>
        <w:tc>
          <w:tcPr>
            <w:tcW w:w="20" w:type="dxa"/>
            <w:shd w:val="clear" w:color="auto" w:fill="auto"/>
            <w:vAlign w:val="bottom"/>
          </w:tcPr>
          <w:p w14:paraId="5F2D3113" w14:textId="77777777" w:rsidR="00E836FB" w:rsidRDefault="00E836FB">
            <w:pPr>
              <w:rPr>
                <w:rFonts w:ascii="宋体"/>
              </w:rPr>
            </w:pPr>
          </w:p>
        </w:tc>
        <w:tc>
          <w:tcPr>
            <w:tcW w:w="1460" w:type="dxa"/>
            <w:shd w:val="clear" w:color="auto" w:fill="auto"/>
            <w:vAlign w:val="bottom"/>
          </w:tcPr>
          <w:p w14:paraId="5F2D3114" w14:textId="77777777" w:rsidR="00E836FB" w:rsidRDefault="00E836FB">
            <w:pPr>
              <w:rPr>
                <w:rFonts w:ascii="宋体"/>
              </w:rPr>
            </w:pPr>
          </w:p>
        </w:tc>
        <w:tc>
          <w:tcPr>
            <w:tcW w:w="20" w:type="dxa"/>
            <w:shd w:val="clear" w:color="auto" w:fill="auto"/>
            <w:vAlign w:val="bottom"/>
          </w:tcPr>
          <w:p w14:paraId="5F2D3115" w14:textId="77777777" w:rsidR="00E836FB" w:rsidRDefault="00E836FB">
            <w:pPr>
              <w:rPr>
                <w:rFonts w:ascii="宋体"/>
              </w:rPr>
            </w:pPr>
          </w:p>
        </w:tc>
        <w:tc>
          <w:tcPr>
            <w:tcW w:w="20" w:type="dxa"/>
            <w:shd w:val="clear" w:color="auto" w:fill="auto"/>
            <w:vAlign w:val="bottom"/>
          </w:tcPr>
          <w:p w14:paraId="5F2D3116" w14:textId="77777777" w:rsidR="00E836FB" w:rsidRDefault="00E836FB">
            <w:pPr>
              <w:rPr>
                <w:rFonts w:ascii="宋体"/>
              </w:rPr>
            </w:pPr>
          </w:p>
        </w:tc>
        <w:tc>
          <w:tcPr>
            <w:tcW w:w="2555" w:type="dxa"/>
            <w:shd w:val="clear" w:color="auto" w:fill="auto"/>
            <w:vAlign w:val="bottom"/>
          </w:tcPr>
          <w:p w14:paraId="5F2D3117" w14:textId="77777777" w:rsidR="00E836FB" w:rsidRDefault="00E836FB">
            <w:pPr>
              <w:rPr>
                <w:rFonts w:ascii="宋体"/>
              </w:rPr>
            </w:pPr>
          </w:p>
        </w:tc>
        <w:tc>
          <w:tcPr>
            <w:tcW w:w="20" w:type="dxa"/>
            <w:shd w:val="clear" w:color="auto" w:fill="auto"/>
            <w:vAlign w:val="bottom"/>
          </w:tcPr>
          <w:p w14:paraId="5F2D3118" w14:textId="77777777" w:rsidR="00E836FB" w:rsidRDefault="00E836FB">
            <w:pPr>
              <w:rPr>
                <w:rFonts w:ascii="宋体"/>
              </w:rPr>
            </w:pPr>
          </w:p>
        </w:tc>
        <w:tc>
          <w:tcPr>
            <w:tcW w:w="20" w:type="dxa"/>
            <w:shd w:val="clear" w:color="auto" w:fill="auto"/>
            <w:vAlign w:val="bottom"/>
          </w:tcPr>
          <w:p w14:paraId="5F2D3119" w14:textId="77777777" w:rsidR="00E836FB" w:rsidRDefault="00E836FB">
            <w:pPr>
              <w:rPr>
                <w:rFonts w:ascii="宋体"/>
              </w:rPr>
            </w:pPr>
          </w:p>
        </w:tc>
        <w:tc>
          <w:tcPr>
            <w:tcW w:w="1745" w:type="dxa"/>
            <w:shd w:val="clear" w:color="auto" w:fill="auto"/>
            <w:vAlign w:val="bottom"/>
          </w:tcPr>
          <w:p w14:paraId="5F2D311A" w14:textId="77777777" w:rsidR="00E836FB" w:rsidRDefault="00E836FB">
            <w:pPr>
              <w:rPr>
                <w:rFonts w:ascii="宋体"/>
              </w:rPr>
            </w:pPr>
          </w:p>
        </w:tc>
        <w:tc>
          <w:tcPr>
            <w:tcW w:w="20" w:type="dxa"/>
            <w:shd w:val="clear" w:color="auto" w:fill="auto"/>
            <w:vAlign w:val="bottom"/>
          </w:tcPr>
          <w:p w14:paraId="5F2D311B" w14:textId="77777777" w:rsidR="00E836FB" w:rsidRDefault="00E836FB">
            <w:pPr>
              <w:rPr>
                <w:rFonts w:ascii="宋体"/>
              </w:rPr>
            </w:pPr>
          </w:p>
        </w:tc>
      </w:tr>
      <w:tr w:rsidR="00E836FB" w14:paraId="5F2D3122"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1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1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2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21" w14:textId="77777777" w:rsidR="00E836FB" w:rsidRDefault="00E836FB">
            <w:pPr>
              <w:rPr>
                <w:rFonts w:ascii="宋体"/>
              </w:rPr>
            </w:pPr>
          </w:p>
        </w:tc>
      </w:tr>
    </w:tbl>
    <w:p w14:paraId="5F2D3123"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hedged items no longer designated in qualifying fair value hedging relationships for which an </w:t>
      </w:r>
      <w:r>
        <w:rPr>
          <w:rFonts w:ascii="Arial" w:eastAsia="宋体" w:hAnsi="Arial" w:cs="Arial"/>
          <w:color w:val="000000"/>
          <w:sz w:val="14"/>
          <w:szCs w:val="14"/>
        </w:rPr>
        <w:t>associated basis adjustment exists at the balance sheet date.</w:t>
      </w:r>
    </w:p>
    <w:p w14:paraId="5F2D3124" w14:textId="77777777" w:rsidR="00E836FB" w:rsidRDefault="00994958">
      <w:pPr>
        <w:ind w:firstLine="450"/>
        <w:jc w:val="right"/>
      </w:pPr>
      <w:r>
        <w:rPr>
          <w:rFonts w:ascii="Arial" w:eastAsia="宋体" w:hAnsi="Arial" w:cs="Arial"/>
          <w:color w:val="000000"/>
          <w:sz w:val="18"/>
          <w:szCs w:val="18"/>
        </w:rPr>
        <w:t>State Street Corporation | 160</w:t>
      </w:r>
    </w:p>
    <w:p w14:paraId="5F2D3125" w14:textId="77777777" w:rsidR="00E836FB" w:rsidRDefault="00E836FB">
      <w:pPr>
        <w:ind w:firstLine="450"/>
        <w:jc w:val="center"/>
      </w:pPr>
    </w:p>
    <w:p w14:paraId="5F2D3126" w14:textId="77777777" w:rsidR="00E836FB" w:rsidRDefault="00994958">
      <w:r>
        <w:pict w14:anchorId="5F2D6E25">
          <v:rect id="_x0000_i1184" style="width:415.3pt;height:1.5pt" o:hralign="center" o:hrstd="t" o:hr="t" fillcolor="#a0a0a0" stroked="f"/>
        </w:pict>
      </w:r>
    </w:p>
    <w:p w14:paraId="5F2D3127" w14:textId="77777777" w:rsidR="00E836FB" w:rsidRDefault="00994958">
      <w:pPr>
        <w:ind w:firstLine="450"/>
        <w:jc w:val="center"/>
      </w:pPr>
      <w:r>
        <w:rPr>
          <w:rFonts w:ascii="Arial" w:eastAsia="宋体" w:hAnsi="Arial" w:cs="Arial"/>
          <w:b/>
          <w:bCs/>
          <w:color w:val="000000"/>
          <w:sz w:val="20"/>
          <w:szCs w:val="20"/>
        </w:rPr>
        <w:t>STATE STREET CORPORATION</w:t>
      </w:r>
    </w:p>
    <w:p w14:paraId="5F2D3128"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3129" w14:textId="77777777" w:rsidR="00E836FB" w:rsidRDefault="00994958">
      <w:pPr>
        <w:ind w:firstLine="450"/>
        <w:jc w:val="both"/>
      </w:pPr>
      <w:r>
        <w:rPr>
          <w:rFonts w:ascii="Arial" w:eastAsia="宋体" w:hAnsi="Arial" w:cs="Arial"/>
          <w:color w:val="000000"/>
          <w:sz w:val="20"/>
          <w:szCs w:val="20"/>
        </w:rPr>
        <w:t>As of December 31, 2021 and December 31, 2020, the total notional amount of the interest rat</w:t>
      </w:r>
      <w:r>
        <w:rPr>
          <w:rFonts w:ascii="Arial" w:eastAsia="宋体" w:hAnsi="Arial" w:cs="Arial"/>
          <w:color w:val="000000"/>
          <w:sz w:val="20"/>
          <w:szCs w:val="20"/>
        </w:rPr>
        <w:t>e swaps of fair value hedges was $6.95 billion and $2.60 billion, respectively.</w:t>
      </w:r>
    </w:p>
    <w:p w14:paraId="5F2D312A" w14:textId="77777777" w:rsidR="00E836FB" w:rsidRDefault="00994958">
      <w:pPr>
        <w:spacing w:before="60"/>
        <w:ind w:firstLine="450"/>
        <w:jc w:val="both"/>
      </w:pPr>
      <w:r>
        <w:rPr>
          <w:rFonts w:ascii="Arial" w:eastAsia="宋体" w:hAnsi="Arial" w:cs="Arial"/>
          <w:color w:val="000000"/>
          <w:sz w:val="20"/>
          <w:szCs w:val="20"/>
        </w:rPr>
        <w:t>The following tables present the impact of our use of derivative financial instruments on our consolidated statement of income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49"/>
        <w:gridCol w:w="1205"/>
        <w:gridCol w:w="36"/>
        <w:gridCol w:w="69"/>
        <w:gridCol w:w="1014"/>
        <w:gridCol w:w="36"/>
        <w:gridCol w:w="36"/>
        <w:gridCol w:w="36"/>
        <w:gridCol w:w="36"/>
        <w:gridCol w:w="99"/>
        <w:gridCol w:w="357"/>
        <w:gridCol w:w="37"/>
        <w:gridCol w:w="37"/>
        <w:gridCol w:w="38"/>
        <w:gridCol w:w="37"/>
        <w:gridCol w:w="99"/>
        <w:gridCol w:w="357"/>
        <w:gridCol w:w="37"/>
        <w:gridCol w:w="37"/>
        <w:gridCol w:w="38"/>
        <w:gridCol w:w="37"/>
        <w:gridCol w:w="99"/>
        <w:gridCol w:w="357"/>
        <w:gridCol w:w="37"/>
        <w:gridCol w:w="36"/>
        <w:gridCol w:w="36"/>
        <w:gridCol w:w="36"/>
        <w:gridCol w:w="102"/>
        <w:gridCol w:w="1011"/>
        <w:gridCol w:w="37"/>
        <w:gridCol w:w="36"/>
        <w:gridCol w:w="36"/>
        <w:gridCol w:w="36"/>
        <w:gridCol w:w="71"/>
        <w:gridCol w:w="966"/>
        <w:gridCol w:w="36"/>
        <w:gridCol w:w="36"/>
        <w:gridCol w:w="36"/>
        <w:gridCol w:w="36"/>
        <w:gridCol w:w="98"/>
        <w:gridCol w:w="249"/>
        <w:gridCol w:w="36"/>
        <w:gridCol w:w="36"/>
        <w:gridCol w:w="36"/>
        <w:gridCol w:w="36"/>
        <w:gridCol w:w="98"/>
        <w:gridCol w:w="327"/>
        <w:gridCol w:w="36"/>
        <w:gridCol w:w="36"/>
        <w:gridCol w:w="36"/>
        <w:gridCol w:w="36"/>
        <w:gridCol w:w="98"/>
        <w:gridCol w:w="327"/>
        <w:gridCol w:w="36"/>
      </w:tblGrid>
      <w:tr w:rsidR="00E836FB" w14:paraId="5F2D3161" w14:textId="77777777">
        <w:tc>
          <w:tcPr>
            <w:tcW w:w="50" w:type="pct"/>
            <w:shd w:val="clear" w:color="auto" w:fill="auto"/>
            <w:vAlign w:val="bottom"/>
          </w:tcPr>
          <w:p w14:paraId="5F2D312B" w14:textId="77777777" w:rsidR="00E836FB" w:rsidRDefault="00E836FB">
            <w:pPr>
              <w:rPr>
                <w:rFonts w:ascii="宋体"/>
              </w:rPr>
            </w:pPr>
          </w:p>
        </w:tc>
        <w:tc>
          <w:tcPr>
            <w:tcW w:w="790" w:type="pct"/>
            <w:shd w:val="clear" w:color="auto" w:fill="auto"/>
            <w:vAlign w:val="bottom"/>
          </w:tcPr>
          <w:p w14:paraId="5F2D312C" w14:textId="77777777" w:rsidR="00E836FB" w:rsidRDefault="00E836FB">
            <w:pPr>
              <w:rPr>
                <w:rFonts w:ascii="宋体"/>
              </w:rPr>
            </w:pPr>
          </w:p>
        </w:tc>
        <w:tc>
          <w:tcPr>
            <w:tcW w:w="5" w:type="pct"/>
            <w:shd w:val="clear" w:color="auto" w:fill="auto"/>
            <w:vAlign w:val="bottom"/>
          </w:tcPr>
          <w:p w14:paraId="5F2D312D" w14:textId="77777777" w:rsidR="00E836FB" w:rsidRDefault="00E836FB">
            <w:pPr>
              <w:rPr>
                <w:rFonts w:ascii="宋体"/>
              </w:rPr>
            </w:pPr>
          </w:p>
        </w:tc>
        <w:tc>
          <w:tcPr>
            <w:tcW w:w="50" w:type="pct"/>
            <w:shd w:val="clear" w:color="auto" w:fill="auto"/>
            <w:vAlign w:val="bottom"/>
          </w:tcPr>
          <w:p w14:paraId="5F2D312E" w14:textId="77777777" w:rsidR="00E836FB" w:rsidRDefault="00E836FB">
            <w:pPr>
              <w:rPr>
                <w:rFonts w:ascii="宋体"/>
              </w:rPr>
            </w:pPr>
          </w:p>
        </w:tc>
        <w:tc>
          <w:tcPr>
            <w:tcW w:w="687" w:type="pct"/>
            <w:shd w:val="clear" w:color="auto" w:fill="auto"/>
            <w:vAlign w:val="bottom"/>
          </w:tcPr>
          <w:p w14:paraId="5F2D312F" w14:textId="77777777" w:rsidR="00E836FB" w:rsidRDefault="00E836FB">
            <w:pPr>
              <w:rPr>
                <w:rFonts w:ascii="宋体"/>
              </w:rPr>
            </w:pPr>
          </w:p>
        </w:tc>
        <w:tc>
          <w:tcPr>
            <w:tcW w:w="5" w:type="pct"/>
            <w:shd w:val="clear" w:color="auto" w:fill="auto"/>
            <w:vAlign w:val="bottom"/>
          </w:tcPr>
          <w:p w14:paraId="5F2D3130" w14:textId="77777777" w:rsidR="00E836FB" w:rsidRDefault="00E836FB">
            <w:pPr>
              <w:rPr>
                <w:rFonts w:ascii="宋体"/>
              </w:rPr>
            </w:pPr>
          </w:p>
        </w:tc>
        <w:tc>
          <w:tcPr>
            <w:tcW w:w="5" w:type="pct"/>
            <w:shd w:val="clear" w:color="auto" w:fill="auto"/>
            <w:vAlign w:val="bottom"/>
          </w:tcPr>
          <w:p w14:paraId="5F2D3131" w14:textId="77777777" w:rsidR="00E836FB" w:rsidRDefault="00E836FB">
            <w:pPr>
              <w:rPr>
                <w:rFonts w:ascii="宋体"/>
              </w:rPr>
            </w:pPr>
          </w:p>
        </w:tc>
        <w:tc>
          <w:tcPr>
            <w:tcW w:w="26" w:type="pct"/>
            <w:shd w:val="clear" w:color="auto" w:fill="auto"/>
            <w:vAlign w:val="bottom"/>
          </w:tcPr>
          <w:p w14:paraId="5F2D3132" w14:textId="77777777" w:rsidR="00E836FB" w:rsidRDefault="00E836FB">
            <w:pPr>
              <w:rPr>
                <w:rFonts w:ascii="宋体"/>
              </w:rPr>
            </w:pPr>
          </w:p>
        </w:tc>
        <w:tc>
          <w:tcPr>
            <w:tcW w:w="5" w:type="pct"/>
            <w:shd w:val="clear" w:color="auto" w:fill="auto"/>
            <w:vAlign w:val="bottom"/>
          </w:tcPr>
          <w:p w14:paraId="5F2D3133" w14:textId="77777777" w:rsidR="00E836FB" w:rsidRDefault="00E836FB">
            <w:pPr>
              <w:rPr>
                <w:rFonts w:ascii="宋体"/>
              </w:rPr>
            </w:pPr>
          </w:p>
        </w:tc>
        <w:tc>
          <w:tcPr>
            <w:tcW w:w="50" w:type="pct"/>
            <w:shd w:val="clear" w:color="auto" w:fill="auto"/>
            <w:vAlign w:val="bottom"/>
          </w:tcPr>
          <w:p w14:paraId="5F2D3134" w14:textId="77777777" w:rsidR="00E836FB" w:rsidRDefault="00E836FB">
            <w:pPr>
              <w:rPr>
                <w:rFonts w:ascii="宋体"/>
              </w:rPr>
            </w:pPr>
          </w:p>
        </w:tc>
        <w:tc>
          <w:tcPr>
            <w:tcW w:w="246" w:type="pct"/>
            <w:shd w:val="clear" w:color="auto" w:fill="auto"/>
            <w:vAlign w:val="bottom"/>
          </w:tcPr>
          <w:p w14:paraId="5F2D3135" w14:textId="77777777" w:rsidR="00E836FB" w:rsidRDefault="00E836FB">
            <w:pPr>
              <w:rPr>
                <w:rFonts w:ascii="宋体"/>
              </w:rPr>
            </w:pPr>
          </w:p>
        </w:tc>
        <w:tc>
          <w:tcPr>
            <w:tcW w:w="5" w:type="pct"/>
            <w:shd w:val="clear" w:color="auto" w:fill="auto"/>
            <w:vAlign w:val="bottom"/>
          </w:tcPr>
          <w:p w14:paraId="5F2D3136" w14:textId="77777777" w:rsidR="00E836FB" w:rsidRDefault="00E836FB">
            <w:pPr>
              <w:rPr>
                <w:rFonts w:ascii="宋体"/>
              </w:rPr>
            </w:pPr>
          </w:p>
        </w:tc>
        <w:tc>
          <w:tcPr>
            <w:tcW w:w="5" w:type="pct"/>
            <w:shd w:val="clear" w:color="auto" w:fill="auto"/>
            <w:vAlign w:val="bottom"/>
          </w:tcPr>
          <w:p w14:paraId="5F2D3137" w14:textId="77777777" w:rsidR="00E836FB" w:rsidRDefault="00E836FB">
            <w:pPr>
              <w:rPr>
                <w:rFonts w:ascii="宋体"/>
              </w:rPr>
            </w:pPr>
          </w:p>
        </w:tc>
        <w:tc>
          <w:tcPr>
            <w:tcW w:w="26" w:type="pct"/>
            <w:shd w:val="clear" w:color="auto" w:fill="auto"/>
            <w:vAlign w:val="bottom"/>
          </w:tcPr>
          <w:p w14:paraId="5F2D3138" w14:textId="77777777" w:rsidR="00E836FB" w:rsidRDefault="00E836FB">
            <w:pPr>
              <w:rPr>
                <w:rFonts w:ascii="宋体"/>
              </w:rPr>
            </w:pPr>
          </w:p>
        </w:tc>
        <w:tc>
          <w:tcPr>
            <w:tcW w:w="5" w:type="pct"/>
            <w:shd w:val="clear" w:color="auto" w:fill="auto"/>
            <w:vAlign w:val="bottom"/>
          </w:tcPr>
          <w:p w14:paraId="5F2D3139" w14:textId="77777777" w:rsidR="00E836FB" w:rsidRDefault="00E836FB">
            <w:pPr>
              <w:rPr>
                <w:rFonts w:ascii="宋体"/>
              </w:rPr>
            </w:pPr>
          </w:p>
        </w:tc>
        <w:tc>
          <w:tcPr>
            <w:tcW w:w="50" w:type="pct"/>
            <w:shd w:val="clear" w:color="auto" w:fill="auto"/>
            <w:vAlign w:val="bottom"/>
          </w:tcPr>
          <w:p w14:paraId="5F2D313A" w14:textId="77777777" w:rsidR="00E836FB" w:rsidRDefault="00E836FB">
            <w:pPr>
              <w:rPr>
                <w:rFonts w:ascii="宋体"/>
              </w:rPr>
            </w:pPr>
          </w:p>
        </w:tc>
        <w:tc>
          <w:tcPr>
            <w:tcW w:w="246" w:type="pct"/>
            <w:shd w:val="clear" w:color="auto" w:fill="auto"/>
            <w:vAlign w:val="bottom"/>
          </w:tcPr>
          <w:p w14:paraId="5F2D313B" w14:textId="77777777" w:rsidR="00E836FB" w:rsidRDefault="00E836FB">
            <w:pPr>
              <w:rPr>
                <w:rFonts w:ascii="宋体"/>
              </w:rPr>
            </w:pPr>
          </w:p>
        </w:tc>
        <w:tc>
          <w:tcPr>
            <w:tcW w:w="5" w:type="pct"/>
            <w:shd w:val="clear" w:color="auto" w:fill="auto"/>
            <w:vAlign w:val="bottom"/>
          </w:tcPr>
          <w:p w14:paraId="5F2D313C" w14:textId="77777777" w:rsidR="00E836FB" w:rsidRDefault="00E836FB">
            <w:pPr>
              <w:rPr>
                <w:rFonts w:ascii="宋体"/>
              </w:rPr>
            </w:pPr>
          </w:p>
        </w:tc>
        <w:tc>
          <w:tcPr>
            <w:tcW w:w="5" w:type="pct"/>
            <w:shd w:val="clear" w:color="auto" w:fill="auto"/>
            <w:vAlign w:val="bottom"/>
          </w:tcPr>
          <w:p w14:paraId="5F2D313D" w14:textId="77777777" w:rsidR="00E836FB" w:rsidRDefault="00E836FB">
            <w:pPr>
              <w:rPr>
                <w:rFonts w:ascii="宋体"/>
              </w:rPr>
            </w:pPr>
          </w:p>
        </w:tc>
        <w:tc>
          <w:tcPr>
            <w:tcW w:w="26" w:type="pct"/>
            <w:shd w:val="clear" w:color="auto" w:fill="auto"/>
            <w:vAlign w:val="bottom"/>
          </w:tcPr>
          <w:p w14:paraId="5F2D313E" w14:textId="77777777" w:rsidR="00E836FB" w:rsidRDefault="00E836FB">
            <w:pPr>
              <w:rPr>
                <w:rFonts w:ascii="宋体"/>
              </w:rPr>
            </w:pPr>
          </w:p>
        </w:tc>
        <w:tc>
          <w:tcPr>
            <w:tcW w:w="5" w:type="pct"/>
            <w:shd w:val="clear" w:color="auto" w:fill="auto"/>
            <w:vAlign w:val="bottom"/>
          </w:tcPr>
          <w:p w14:paraId="5F2D313F" w14:textId="77777777" w:rsidR="00E836FB" w:rsidRDefault="00E836FB">
            <w:pPr>
              <w:rPr>
                <w:rFonts w:ascii="宋体"/>
              </w:rPr>
            </w:pPr>
          </w:p>
        </w:tc>
        <w:tc>
          <w:tcPr>
            <w:tcW w:w="50" w:type="pct"/>
            <w:shd w:val="clear" w:color="auto" w:fill="auto"/>
            <w:vAlign w:val="bottom"/>
          </w:tcPr>
          <w:p w14:paraId="5F2D3140" w14:textId="77777777" w:rsidR="00E836FB" w:rsidRDefault="00E836FB">
            <w:pPr>
              <w:rPr>
                <w:rFonts w:ascii="宋体"/>
              </w:rPr>
            </w:pPr>
          </w:p>
        </w:tc>
        <w:tc>
          <w:tcPr>
            <w:tcW w:w="246" w:type="pct"/>
            <w:shd w:val="clear" w:color="auto" w:fill="auto"/>
            <w:vAlign w:val="bottom"/>
          </w:tcPr>
          <w:p w14:paraId="5F2D3141" w14:textId="77777777" w:rsidR="00E836FB" w:rsidRDefault="00E836FB">
            <w:pPr>
              <w:rPr>
                <w:rFonts w:ascii="宋体"/>
              </w:rPr>
            </w:pPr>
          </w:p>
        </w:tc>
        <w:tc>
          <w:tcPr>
            <w:tcW w:w="5" w:type="pct"/>
            <w:shd w:val="clear" w:color="auto" w:fill="auto"/>
            <w:vAlign w:val="bottom"/>
          </w:tcPr>
          <w:p w14:paraId="5F2D3142" w14:textId="77777777" w:rsidR="00E836FB" w:rsidRDefault="00E836FB">
            <w:pPr>
              <w:rPr>
                <w:rFonts w:ascii="宋体"/>
              </w:rPr>
            </w:pPr>
          </w:p>
        </w:tc>
        <w:tc>
          <w:tcPr>
            <w:tcW w:w="5" w:type="pct"/>
            <w:shd w:val="clear" w:color="auto" w:fill="auto"/>
            <w:vAlign w:val="bottom"/>
          </w:tcPr>
          <w:p w14:paraId="5F2D3143" w14:textId="77777777" w:rsidR="00E836FB" w:rsidRDefault="00E836FB">
            <w:pPr>
              <w:rPr>
                <w:rFonts w:ascii="宋体"/>
              </w:rPr>
            </w:pPr>
          </w:p>
        </w:tc>
        <w:tc>
          <w:tcPr>
            <w:tcW w:w="26" w:type="pct"/>
            <w:shd w:val="clear" w:color="auto" w:fill="auto"/>
            <w:vAlign w:val="bottom"/>
          </w:tcPr>
          <w:p w14:paraId="5F2D3144" w14:textId="77777777" w:rsidR="00E836FB" w:rsidRDefault="00E836FB">
            <w:pPr>
              <w:rPr>
                <w:rFonts w:ascii="宋体"/>
              </w:rPr>
            </w:pPr>
          </w:p>
        </w:tc>
        <w:tc>
          <w:tcPr>
            <w:tcW w:w="5" w:type="pct"/>
            <w:shd w:val="clear" w:color="auto" w:fill="auto"/>
            <w:vAlign w:val="bottom"/>
          </w:tcPr>
          <w:p w14:paraId="5F2D3145" w14:textId="77777777" w:rsidR="00E836FB" w:rsidRDefault="00E836FB">
            <w:pPr>
              <w:rPr>
                <w:rFonts w:ascii="宋体"/>
              </w:rPr>
            </w:pPr>
          </w:p>
        </w:tc>
        <w:tc>
          <w:tcPr>
            <w:tcW w:w="50" w:type="pct"/>
            <w:shd w:val="clear" w:color="auto" w:fill="auto"/>
            <w:vAlign w:val="bottom"/>
          </w:tcPr>
          <w:p w14:paraId="5F2D3146" w14:textId="77777777" w:rsidR="00E836FB" w:rsidRDefault="00E836FB">
            <w:pPr>
              <w:rPr>
                <w:rFonts w:ascii="宋体"/>
              </w:rPr>
            </w:pPr>
          </w:p>
        </w:tc>
        <w:tc>
          <w:tcPr>
            <w:tcW w:w="496" w:type="pct"/>
            <w:shd w:val="clear" w:color="auto" w:fill="auto"/>
            <w:vAlign w:val="bottom"/>
          </w:tcPr>
          <w:p w14:paraId="5F2D3147" w14:textId="77777777" w:rsidR="00E836FB" w:rsidRDefault="00E836FB">
            <w:pPr>
              <w:rPr>
                <w:rFonts w:ascii="宋体"/>
              </w:rPr>
            </w:pPr>
          </w:p>
        </w:tc>
        <w:tc>
          <w:tcPr>
            <w:tcW w:w="5" w:type="pct"/>
            <w:shd w:val="clear" w:color="auto" w:fill="auto"/>
            <w:vAlign w:val="bottom"/>
          </w:tcPr>
          <w:p w14:paraId="5F2D3148" w14:textId="77777777" w:rsidR="00E836FB" w:rsidRDefault="00E836FB">
            <w:pPr>
              <w:rPr>
                <w:rFonts w:ascii="宋体"/>
              </w:rPr>
            </w:pPr>
          </w:p>
        </w:tc>
        <w:tc>
          <w:tcPr>
            <w:tcW w:w="5" w:type="pct"/>
            <w:shd w:val="clear" w:color="auto" w:fill="auto"/>
            <w:vAlign w:val="bottom"/>
          </w:tcPr>
          <w:p w14:paraId="5F2D3149" w14:textId="77777777" w:rsidR="00E836FB" w:rsidRDefault="00E836FB">
            <w:pPr>
              <w:rPr>
                <w:rFonts w:ascii="宋体"/>
              </w:rPr>
            </w:pPr>
          </w:p>
        </w:tc>
        <w:tc>
          <w:tcPr>
            <w:tcW w:w="26" w:type="pct"/>
            <w:shd w:val="clear" w:color="auto" w:fill="auto"/>
            <w:vAlign w:val="bottom"/>
          </w:tcPr>
          <w:p w14:paraId="5F2D314A" w14:textId="77777777" w:rsidR="00E836FB" w:rsidRDefault="00E836FB">
            <w:pPr>
              <w:rPr>
                <w:rFonts w:ascii="宋体"/>
              </w:rPr>
            </w:pPr>
          </w:p>
        </w:tc>
        <w:tc>
          <w:tcPr>
            <w:tcW w:w="5" w:type="pct"/>
            <w:shd w:val="clear" w:color="auto" w:fill="auto"/>
            <w:vAlign w:val="bottom"/>
          </w:tcPr>
          <w:p w14:paraId="5F2D314B" w14:textId="77777777" w:rsidR="00E836FB" w:rsidRDefault="00E836FB">
            <w:pPr>
              <w:rPr>
                <w:rFonts w:ascii="宋体"/>
              </w:rPr>
            </w:pPr>
          </w:p>
        </w:tc>
        <w:tc>
          <w:tcPr>
            <w:tcW w:w="50" w:type="pct"/>
            <w:shd w:val="clear" w:color="auto" w:fill="auto"/>
            <w:vAlign w:val="bottom"/>
          </w:tcPr>
          <w:p w14:paraId="5F2D314C" w14:textId="77777777" w:rsidR="00E836FB" w:rsidRDefault="00E836FB">
            <w:pPr>
              <w:rPr>
                <w:rFonts w:ascii="宋体"/>
              </w:rPr>
            </w:pPr>
          </w:p>
        </w:tc>
        <w:tc>
          <w:tcPr>
            <w:tcW w:w="687" w:type="pct"/>
            <w:shd w:val="clear" w:color="auto" w:fill="auto"/>
            <w:vAlign w:val="bottom"/>
          </w:tcPr>
          <w:p w14:paraId="5F2D314D" w14:textId="77777777" w:rsidR="00E836FB" w:rsidRDefault="00E836FB">
            <w:pPr>
              <w:rPr>
                <w:rFonts w:ascii="宋体"/>
              </w:rPr>
            </w:pPr>
          </w:p>
        </w:tc>
        <w:tc>
          <w:tcPr>
            <w:tcW w:w="5" w:type="pct"/>
            <w:shd w:val="clear" w:color="auto" w:fill="auto"/>
            <w:vAlign w:val="bottom"/>
          </w:tcPr>
          <w:p w14:paraId="5F2D314E" w14:textId="77777777" w:rsidR="00E836FB" w:rsidRDefault="00E836FB">
            <w:pPr>
              <w:rPr>
                <w:rFonts w:ascii="宋体"/>
              </w:rPr>
            </w:pPr>
          </w:p>
        </w:tc>
        <w:tc>
          <w:tcPr>
            <w:tcW w:w="5" w:type="pct"/>
            <w:shd w:val="clear" w:color="auto" w:fill="auto"/>
            <w:vAlign w:val="bottom"/>
          </w:tcPr>
          <w:p w14:paraId="5F2D314F" w14:textId="77777777" w:rsidR="00E836FB" w:rsidRDefault="00E836FB">
            <w:pPr>
              <w:rPr>
                <w:rFonts w:ascii="宋体"/>
              </w:rPr>
            </w:pPr>
          </w:p>
        </w:tc>
        <w:tc>
          <w:tcPr>
            <w:tcW w:w="26" w:type="pct"/>
            <w:shd w:val="clear" w:color="auto" w:fill="auto"/>
            <w:vAlign w:val="bottom"/>
          </w:tcPr>
          <w:p w14:paraId="5F2D3150" w14:textId="77777777" w:rsidR="00E836FB" w:rsidRDefault="00E836FB">
            <w:pPr>
              <w:rPr>
                <w:rFonts w:ascii="宋体"/>
              </w:rPr>
            </w:pPr>
          </w:p>
        </w:tc>
        <w:tc>
          <w:tcPr>
            <w:tcW w:w="5" w:type="pct"/>
            <w:shd w:val="clear" w:color="auto" w:fill="auto"/>
            <w:vAlign w:val="bottom"/>
          </w:tcPr>
          <w:p w14:paraId="5F2D3151" w14:textId="77777777" w:rsidR="00E836FB" w:rsidRDefault="00E836FB">
            <w:pPr>
              <w:rPr>
                <w:rFonts w:ascii="宋体"/>
              </w:rPr>
            </w:pPr>
          </w:p>
        </w:tc>
        <w:tc>
          <w:tcPr>
            <w:tcW w:w="50" w:type="pct"/>
            <w:shd w:val="clear" w:color="auto" w:fill="auto"/>
            <w:vAlign w:val="bottom"/>
          </w:tcPr>
          <w:p w14:paraId="5F2D3152" w14:textId="77777777" w:rsidR="00E836FB" w:rsidRDefault="00E836FB">
            <w:pPr>
              <w:rPr>
                <w:rFonts w:ascii="宋体"/>
              </w:rPr>
            </w:pPr>
          </w:p>
        </w:tc>
        <w:tc>
          <w:tcPr>
            <w:tcW w:w="246" w:type="pct"/>
            <w:shd w:val="clear" w:color="auto" w:fill="auto"/>
            <w:vAlign w:val="bottom"/>
          </w:tcPr>
          <w:p w14:paraId="5F2D3153" w14:textId="77777777" w:rsidR="00E836FB" w:rsidRDefault="00E836FB">
            <w:pPr>
              <w:rPr>
                <w:rFonts w:ascii="宋体"/>
              </w:rPr>
            </w:pPr>
          </w:p>
        </w:tc>
        <w:tc>
          <w:tcPr>
            <w:tcW w:w="5" w:type="pct"/>
            <w:shd w:val="clear" w:color="auto" w:fill="auto"/>
            <w:vAlign w:val="bottom"/>
          </w:tcPr>
          <w:p w14:paraId="5F2D3154" w14:textId="77777777" w:rsidR="00E836FB" w:rsidRDefault="00E836FB">
            <w:pPr>
              <w:rPr>
                <w:rFonts w:ascii="宋体"/>
              </w:rPr>
            </w:pPr>
          </w:p>
        </w:tc>
        <w:tc>
          <w:tcPr>
            <w:tcW w:w="5" w:type="pct"/>
            <w:shd w:val="clear" w:color="auto" w:fill="auto"/>
            <w:vAlign w:val="bottom"/>
          </w:tcPr>
          <w:p w14:paraId="5F2D3155" w14:textId="77777777" w:rsidR="00E836FB" w:rsidRDefault="00E836FB">
            <w:pPr>
              <w:rPr>
                <w:rFonts w:ascii="宋体"/>
              </w:rPr>
            </w:pPr>
          </w:p>
        </w:tc>
        <w:tc>
          <w:tcPr>
            <w:tcW w:w="26" w:type="pct"/>
            <w:shd w:val="clear" w:color="auto" w:fill="auto"/>
            <w:vAlign w:val="bottom"/>
          </w:tcPr>
          <w:p w14:paraId="5F2D3156" w14:textId="77777777" w:rsidR="00E836FB" w:rsidRDefault="00E836FB">
            <w:pPr>
              <w:rPr>
                <w:rFonts w:ascii="宋体"/>
              </w:rPr>
            </w:pPr>
          </w:p>
        </w:tc>
        <w:tc>
          <w:tcPr>
            <w:tcW w:w="5" w:type="pct"/>
            <w:shd w:val="clear" w:color="auto" w:fill="auto"/>
            <w:vAlign w:val="bottom"/>
          </w:tcPr>
          <w:p w14:paraId="5F2D3157" w14:textId="77777777" w:rsidR="00E836FB" w:rsidRDefault="00E836FB">
            <w:pPr>
              <w:rPr>
                <w:rFonts w:ascii="宋体"/>
              </w:rPr>
            </w:pPr>
          </w:p>
        </w:tc>
        <w:tc>
          <w:tcPr>
            <w:tcW w:w="50" w:type="pct"/>
            <w:shd w:val="clear" w:color="auto" w:fill="auto"/>
            <w:vAlign w:val="bottom"/>
          </w:tcPr>
          <w:p w14:paraId="5F2D3158" w14:textId="77777777" w:rsidR="00E836FB" w:rsidRDefault="00E836FB">
            <w:pPr>
              <w:rPr>
                <w:rFonts w:ascii="宋体"/>
              </w:rPr>
            </w:pPr>
          </w:p>
        </w:tc>
        <w:tc>
          <w:tcPr>
            <w:tcW w:w="246" w:type="pct"/>
            <w:shd w:val="clear" w:color="auto" w:fill="auto"/>
            <w:vAlign w:val="bottom"/>
          </w:tcPr>
          <w:p w14:paraId="5F2D3159" w14:textId="77777777" w:rsidR="00E836FB" w:rsidRDefault="00E836FB">
            <w:pPr>
              <w:rPr>
                <w:rFonts w:ascii="宋体"/>
              </w:rPr>
            </w:pPr>
          </w:p>
        </w:tc>
        <w:tc>
          <w:tcPr>
            <w:tcW w:w="5" w:type="pct"/>
            <w:shd w:val="clear" w:color="auto" w:fill="auto"/>
            <w:vAlign w:val="bottom"/>
          </w:tcPr>
          <w:p w14:paraId="5F2D315A" w14:textId="77777777" w:rsidR="00E836FB" w:rsidRDefault="00E836FB">
            <w:pPr>
              <w:rPr>
                <w:rFonts w:ascii="宋体"/>
              </w:rPr>
            </w:pPr>
          </w:p>
        </w:tc>
        <w:tc>
          <w:tcPr>
            <w:tcW w:w="5" w:type="pct"/>
            <w:shd w:val="clear" w:color="auto" w:fill="auto"/>
            <w:vAlign w:val="bottom"/>
          </w:tcPr>
          <w:p w14:paraId="5F2D315B" w14:textId="77777777" w:rsidR="00E836FB" w:rsidRDefault="00E836FB">
            <w:pPr>
              <w:rPr>
                <w:rFonts w:ascii="宋体"/>
              </w:rPr>
            </w:pPr>
          </w:p>
        </w:tc>
        <w:tc>
          <w:tcPr>
            <w:tcW w:w="26" w:type="pct"/>
            <w:shd w:val="clear" w:color="auto" w:fill="auto"/>
            <w:vAlign w:val="bottom"/>
          </w:tcPr>
          <w:p w14:paraId="5F2D315C" w14:textId="77777777" w:rsidR="00E836FB" w:rsidRDefault="00E836FB">
            <w:pPr>
              <w:rPr>
                <w:rFonts w:ascii="宋体"/>
              </w:rPr>
            </w:pPr>
          </w:p>
        </w:tc>
        <w:tc>
          <w:tcPr>
            <w:tcW w:w="5" w:type="pct"/>
            <w:shd w:val="clear" w:color="auto" w:fill="auto"/>
            <w:vAlign w:val="bottom"/>
          </w:tcPr>
          <w:p w14:paraId="5F2D315D" w14:textId="77777777" w:rsidR="00E836FB" w:rsidRDefault="00E836FB">
            <w:pPr>
              <w:rPr>
                <w:rFonts w:ascii="宋体"/>
              </w:rPr>
            </w:pPr>
          </w:p>
        </w:tc>
        <w:tc>
          <w:tcPr>
            <w:tcW w:w="50" w:type="pct"/>
            <w:shd w:val="clear" w:color="auto" w:fill="auto"/>
            <w:vAlign w:val="bottom"/>
          </w:tcPr>
          <w:p w14:paraId="5F2D315E" w14:textId="77777777" w:rsidR="00E836FB" w:rsidRDefault="00E836FB">
            <w:pPr>
              <w:rPr>
                <w:rFonts w:ascii="宋体"/>
              </w:rPr>
            </w:pPr>
          </w:p>
        </w:tc>
        <w:tc>
          <w:tcPr>
            <w:tcW w:w="261" w:type="pct"/>
            <w:shd w:val="clear" w:color="auto" w:fill="auto"/>
            <w:vAlign w:val="bottom"/>
          </w:tcPr>
          <w:p w14:paraId="5F2D315F" w14:textId="77777777" w:rsidR="00E836FB" w:rsidRDefault="00E836FB">
            <w:pPr>
              <w:rPr>
                <w:rFonts w:ascii="宋体"/>
              </w:rPr>
            </w:pPr>
          </w:p>
        </w:tc>
        <w:tc>
          <w:tcPr>
            <w:tcW w:w="5" w:type="pct"/>
            <w:shd w:val="clear" w:color="auto" w:fill="auto"/>
            <w:vAlign w:val="bottom"/>
          </w:tcPr>
          <w:p w14:paraId="5F2D3160" w14:textId="77777777" w:rsidR="00E836FB" w:rsidRDefault="00E836FB">
            <w:pPr>
              <w:rPr>
                <w:rFonts w:ascii="宋体"/>
              </w:rPr>
            </w:pPr>
          </w:p>
        </w:tc>
      </w:tr>
      <w:tr w:rsidR="00E836FB" w14:paraId="5F2D316C" w14:textId="77777777">
        <w:tc>
          <w:tcPr>
            <w:tcW w:w="0" w:type="auto"/>
            <w:gridSpan w:val="3"/>
            <w:shd w:val="clear" w:color="auto" w:fill="auto"/>
            <w:tcMar>
              <w:top w:w="0" w:type="dxa"/>
              <w:left w:w="20" w:type="dxa"/>
              <w:bottom w:w="0" w:type="dxa"/>
              <w:right w:w="20" w:type="dxa"/>
            </w:tcMar>
            <w:vAlign w:val="bottom"/>
          </w:tcPr>
          <w:p w14:paraId="5F2D31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4"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3165"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vAlign w:val="bottom"/>
          </w:tcPr>
          <w:p w14:paraId="5F2D316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A"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316B" w14:textId="77777777" w:rsidR="00E836FB" w:rsidRDefault="00994958">
            <w:pPr>
              <w:jc w:val="center"/>
              <w:textAlignment w:val="bottom"/>
            </w:pPr>
            <w:r>
              <w:rPr>
                <w:rFonts w:ascii="Arial" w:eastAsia="宋体" w:hAnsi="Arial" w:cs="Arial"/>
                <w:b/>
                <w:bCs/>
                <w:color w:val="000000"/>
                <w:sz w:val="14"/>
                <w:szCs w:val="14"/>
              </w:rPr>
              <w:t>Years Ended December 31,</w:t>
            </w:r>
          </w:p>
        </w:tc>
      </w:tr>
      <w:tr w:rsidR="00E836FB" w14:paraId="5F2D317F" w14:textId="77777777">
        <w:tc>
          <w:tcPr>
            <w:tcW w:w="0" w:type="auto"/>
            <w:gridSpan w:val="3"/>
            <w:shd w:val="clear" w:color="auto" w:fill="auto"/>
            <w:tcMar>
              <w:top w:w="0" w:type="dxa"/>
              <w:left w:w="20" w:type="dxa"/>
              <w:bottom w:w="0" w:type="dxa"/>
              <w:right w:w="20" w:type="dxa"/>
            </w:tcMar>
            <w:vAlign w:val="bottom"/>
          </w:tcPr>
          <w:p w14:paraId="5F2D316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6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170"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71"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172"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73"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174"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5F2D317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7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7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7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7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17A"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7B"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17C"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7D"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17E" w14:textId="77777777" w:rsidR="00E836FB" w:rsidRDefault="00994958">
            <w:pPr>
              <w:jc w:val="center"/>
              <w:textAlignment w:val="bottom"/>
            </w:pPr>
            <w:r>
              <w:rPr>
                <w:rFonts w:ascii="Arial" w:eastAsia="宋体" w:hAnsi="Arial" w:cs="Arial"/>
                <w:b/>
                <w:bCs/>
                <w:color w:val="000000"/>
                <w:sz w:val="14"/>
                <w:szCs w:val="14"/>
              </w:rPr>
              <w:t>2019</w:t>
            </w:r>
          </w:p>
        </w:tc>
      </w:tr>
      <w:tr w:rsidR="00E836FB" w14:paraId="5F2D318A" w14:textId="77777777">
        <w:tc>
          <w:tcPr>
            <w:tcW w:w="0" w:type="auto"/>
            <w:gridSpan w:val="3"/>
            <w:shd w:val="clear" w:color="auto" w:fill="auto"/>
            <w:tcMar>
              <w:top w:w="40" w:type="dxa"/>
              <w:left w:w="20" w:type="dxa"/>
              <w:bottom w:w="40" w:type="dxa"/>
              <w:right w:w="20" w:type="dxa"/>
            </w:tcMar>
            <w:vAlign w:val="bottom"/>
          </w:tcPr>
          <w:p w14:paraId="5F2D3180"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3181" w14:textId="77777777" w:rsidR="00E836FB" w:rsidRDefault="00994958">
            <w:pPr>
              <w:jc w:val="center"/>
              <w:textAlignment w:val="bottom"/>
            </w:pPr>
            <w:r>
              <w:rPr>
                <w:rFonts w:ascii="Arial" w:eastAsia="宋体" w:hAnsi="Arial" w:cs="Arial"/>
                <w:b/>
                <w:bCs/>
                <w:color w:val="000000"/>
                <w:sz w:val="14"/>
                <w:szCs w:val="14"/>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5F2D3182"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3183" w14:textId="77777777" w:rsidR="00E836FB" w:rsidRDefault="00994958">
            <w:pPr>
              <w:jc w:val="center"/>
              <w:textAlignment w:val="bottom"/>
            </w:pPr>
            <w:r>
              <w:rPr>
                <w:rFonts w:ascii="Arial" w:eastAsia="宋体" w:hAnsi="Arial" w:cs="Arial"/>
                <w:b/>
                <w:bCs/>
                <w:color w:val="000000"/>
                <w:sz w:val="14"/>
                <w:szCs w:val="14"/>
              </w:rPr>
              <w:t>Amount of Gain</w:t>
            </w:r>
            <w:r>
              <w:rPr>
                <w:rFonts w:ascii="Arial" w:eastAsia="宋体" w:hAnsi="Arial" w:cs="Arial"/>
                <w:b/>
                <w:bCs/>
                <w:color w:val="000000"/>
                <w:sz w:val="14"/>
                <w:szCs w:val="14"/>
              </w:rPr>
              <w:br/>
              <w:t>(Loss) on Derivative</w:t>
            </w:r>
            <w:r>
              <w:rPr>
                <w:rFonts w:ascii="Arial" w:eastAsia="宋体" w:hAnsi="Arial" w:cs="Arial"/>
                <w:b/>
                <w:bCs/>
                <w:color w:val="000000"/>
                <w:sz w:val="14"/>
                <w:szCs w:val="14"/>
              </w:rPr>
              <w:br/>
              <w:t>Recognized in</w:t>
            </w:r>
            <w:r>
              <w:rPr>
                <w:rFonts w:ascii="Arial" w:eastAsia="宋体" w:hAnsi="Arial" w:cs="Arial"/>
                <w:b/>
                <w:bCs/>
                <w:color w:val="000000"/>
                <w:sz w:val="14"/>
                <w:szCs w:val="14"/>
              </w:rPr>
              <w:br/>
              <w:t>Consolidated</w:t>
            </w:r>
            <w:r>
              <w:rPr>
                <w:rFonts w:ascii="Arial" w:eastAsia="宋体" w:hAnsi="Arial" w:cs="Arial"/>
                <w:b/>
                <w:bCs/>
                <w:color w:val="000000"/>
                <w:sz w:val="14"/>
                <w:szCs w:val="14"/>
              </w:rPr>
              <w:br/>
              <w:t>Statement of In</w:t>
            </w:r>
            <w:r>
              <w:rPr>
                <w:rFonts w:ascii="Arial" w:eastAsia="宋体" w:hAnsi="Arial" w:cs="Arial"/>
                <w:b/>
                <w:bCs/>
                <w:color w:val="000000"/>
                <w:sz w:val="14"/>
                <w:szCs w:val="14"/>
              </w:rPr>
              <w:t>come</w:t>
            </w:r>
          </w:p>
        </w:tc>
        <w:tc>
          <w:tcPr>
            <w:tcW w:w="0" w:type="auto"/>
            <w:gridSpan w:val="3"/>
            <w:shd w:val="clear" w:color="auto" w:fill="auto"/>
            <w:tcMar>
              <w:top w:w="0" w:type="dxa"/>
              <w:left w:w="20" w:type="dxa"/>
              <w:bottom w:w="0" w:type="dxa"/>
              <w:right w:w="20" w:type="dxa"/>
            </w:tcMar>
            <w:vAlign w:val="bottom"/>
          </w:tcPr>
          <w:p w14:paraId="5F2D318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185" w14:textId="77777777" w:rsidR="00E836FB" w:rsidRDefault="00994958">
            <w:pPr>
              <w:jc w:val="center"/>
              <w:textAlignment w:val="bottom"/>
            </w:pPr>
            <w:r>
              <w:rPr>
                <w:rFonts w:ascii="Arial" w:eastAsia="宋体" w:hAnsi="Arial" w:cs="Arial"/>
                <w:b/>
                <w:bCs/>
                <w:color w:val="000000"/>
                <w:sz w:val="14"/>
                <w:szCs w:val="14"/>
              </w:rPr>
              <w:t>Hedged Item in Fair Value Hedging Relationship</w:t>
            </w:r>
          </w:p>
        </w:tc>
        <w:tc>
          <w:tcPr>
            <w:tcW w:w="0" w:type="auto"/>
            <w:gridSpan w:val="3"/>
            <w:shd w:val="clear" w:color="auto" w:fill="auto"/>
            <w:tcMar>
              <w:top w:w="0" w:type="dxa"/>
              <w:left w:w="20" w:type="dxa"/>
              <w:bottom w:w="0" w:type="dxa"/>
              <w:right w:w="20" w:type="dxa"/>
            </w:tcMar>
            <w:vAlign w:val="bottom"/>
          </w:tcPr>
          <w:p w14:paraId="5F2D318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187" w14:textId="77777777" w:rsidR="00E836FB" w:rsidRDefault="00994958">
            <w:pPr>
              <w:jc w:val="center"/>
              <w:textAlignment w:val="bottom"/>
            </w:pPr>
            <w:r>
              <w:rPr>
                <w:rFonts w:ascii="Arial" w:eastAsia="宋体" w:hAnsi="Arial" w:cs="Arial"/>
                <w:b/>
                <w:bCs/>
                <w:color w:val="000000"/>
                <w:sz w:val="14"/>
                <w:szCs w:val="14"/>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5F2D3188"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3189" w14:textId="77777777" w:rsidR="00E836FB" w:rsidRDefault="00994958">
            <w:pPr>
              <w:jc w:val="center"/>
              <w:textAlignment w:val="bottom"/>
            </w:pPr>
            <w:r>
              <w:rPr>
                <w:rFonts w:ascii="Arial" w:eastAsia="宋体" w:hAnsi="Arial" w:cs="Arial"/>
                <w:b/>
                <w:bCs/>
                <w:color w:val="000000"/>
                <w:sz w:val="14"/>
                <w:szCs w:val="14"/>
              </w:rPr>
              <w:t>Amount of Gain</w:t>
            </w:r>
            <w:r>
              <w:rPr>
                <w:rFonts w:ascii="Arial" w:eastAsia="宋体" w:hAnsi="Arial" w:cs="Arial"/>
                <w:b/>
                <w:bCs/>
                <w:color w:val="000000"/>
                <w:sz w:val="14"/>
                <w:szCs w:val="14"/>
              </w:rPr>
              <w:br/>
              <w:t>(Loss) on Hedged</w:t>
            </w:r>
            <w:r>
              <w:rPr>
                <w:rFonts w:ascii="Arial" w:eastAsia="宋体" w:hAnsi="Arial" w:cs="Arial"/>
                <w:b/>
                <w:bCs/>
                <w:color w:val="000000"/>
                <w:sz w:val="14"/>
                <w:szCs w:val="14"/>
              </w:rPr>
              <w:br/>
              <w:t>Item Recognized in</w:t>
            </w:r>
            <w:r>
              <w:rPr>
                <w:rFonts w:ascii="Arial" w:eastAsia="宋体" w:hAnsi="Arial" w:cs="Arial"/>
                <w:b/>
                <w:bCs/>
                <w:color w:val="000000"/>
                <w:sz w:val="14"/>
                <w:szCs w:val="14"/>
              </w:rPr>
              <w:br/>
              <w:t>Consolidated</w:t>
            </w:r>
            <w:r>
              <w:rPr>
                <w:rFonts w:ascii="Arial" w:eastAsia="宋体" w:hAnsi="Arial" w:cs="Arial"/>
                <w:b/>
                <w:bCs/>
                <w:color w:val="000000"/>
                <w:sz w:val="14"/>
                <w:szCs w:val="14"/>
              </w:rPr>
              <w:br/>
              <w:t>Statement of Income</w:t>
            </w:r>
          </w:p>
        </w:tc>
      </w:tr>
      <w:tr w:rsidR="00E836FB" w14:paraId="5F2D319D" w14:textId="77777777">
        <w:tc>
          <w:tcPr>
            <w:tcW w:w="0" w:type="auto"/>
            <w:gridSpan w:val="3"/>
            <w:shd w:val="clear" w:color="auto" w:fill="auto"/>
            <w:tcMar>
              <w:top w:w="40" w:type="dxa"/>
              <w:left w:w="20" w:type="dxa"/>
              <w:bottom w:w="40" w:type="dxa"/>
              <w:right w:w="20" w:type="dxa"/>
            </w:tcMar>
            <w:vAlign w:val="bottom"/>
          </w:tcPr>
          <w:p w14:paraId="5F2D318B" w14:textId="77777777" w:rsidR="00E836FB" w:rsidRDefault="00994958">
            <w:pPr>
              <w:textAlignment w:val="bottom"/>
            </w:pPr>
            <w:r>
              <w:rPr>
                <w:rFonts w:ascii="Arial" w:eastAsia="宋体" w:hAnsi="Arial" w:cs="Arial"/>
                <w:b/>
                <w:bCs/>
                <w:color w:val="000000"/>
                <w:sz w:val="14"/>
                <w:szCs w:val="14"/>
              </w:rPr>
              <w:t xml:space="preserve">Derivatives designated as fair value </w:t>
            </w:r>
            <w:r>
              <w:rPr>
                <w:rFonts w:ascii="Arial" w:eastAsia="宋体" w:hAnsi="Arial" w:cs="Arial"/>
                <w:b/>
                <w:bCs/>
                <w:color w:val="000000"/>
                <w:sz w:val="14"/>
                <w:szCs w:val="14"/>
              </w:rPr>
              <w:t>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8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8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8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8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9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9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19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19C" w14:textId="77777777" w:rsidR="00E836FB" w:rsidRDefault="00E836FB">
            <w:pPr>
              <w:rPr>
                <w:rFonts w:ascii="宋体"/>
              </w:rPr>
            </w:pPr>
          </w:p>
        </w:tc>
      </w:tr>
      <w:tr w:rsidR="00E836FB" w14:paraId="5F2D31B0" w14:textId="77777777">
        <w:trPr>
          <w:hidden/>
        </w:trPr>
        <w:tc>
          <w:tcPr>
            <w:tcW w:w="0" w:type="auto"/>
            <w:gridSpan w:val="3"/>
            <w:shd w:val="clear" w:color="auto" w:fill="auto"/>
            <w:vAlign w:val="bottom"/>
          </w:tcPr>
          <w:p w14:paraId="5F2D319E" w14:textId="77777777" w:rsidR="00E836FB" w:rsidRDefault="00E836FB">
            <w:pPr>
              <w:rPr>
                <w:rFonts w:ascii="宋体"/>
                <w:vanish/>
              </w:rPr>
            </w:pPr>
          </w:p>
        </w:tc>
        <w:tc>
          <w:tcPr>
            <w:tcW w:w="0" w:type="auto"/>
            <w:gridSpan w:val="3"/>
            <w:shd w:val="clear" w:color="auto" w:fill="auto"/>
            <w:vAlign w:val="bottom"/>
          </w:tcPr>
          <w:p w14:paraId="5F2D319F" w14:textId="77777777" w:rsidR="00E836FB" w:rsidRDefault="00E836FB">
            <w:pPr>
              <w:rPr>
                <w:rFonts w:ascii="宋体"/>
                <w:vanish/>
              </w:rPr>
            </w:pPr>
          </w:p>
        </w:tc>
        <w:tc>
          <w:tcPr>
            <w:tcW w:w="0" w:type="auto"/>
            <w:gridSpan w:val="3"/>
            <w:shd w:val="clear" w:color="auto" w:fill="auto"/>
            <w:vAlign w:val="bottom"/>
          </w:tcPr>
          <w:p w14:paraId="5F2D31A0" w14:textId="77777777" w:rsidR="00E836FB" w:rsidRDefault="00E836FB">
            <w:pPr>
              <w:rPr>
                <w:rFonts w:ascii="宋体"/>
                <w:vanish/>
              </w:rPr>
            </w:pPr>
          </w:p>
        </w:tc>
        <w:tc>
          <w:tcPr>
            <w:tcW w:w="0" w:type="auto"/>
            <w:gridSpan w:val="3"/>
            <w:shd w:val="clear" w:color="auto" w:fill="auto"/>
            <w:vAlign w:val="bottom"/>
          </w:tcPr>
          <w:p w14:paraId="5F2D31A1" w14:textId="77777777" w:rsidR="00E836FB" w:rsidRDefault="00E836FB">
            <w:pPr>
              <w:rPr>
                <w:rFonts w:ascii="宋体"/>
                <w:vanish/>
              </w:rPr>
            </w:pPr>
          </w:p>
        </w:tc>
        <w:tc>
          <w:tcPr>
            <w:tcW w:w="0" w:type="auto"/>
            <w:gridSpan w:val="3"/>
            <w:shd w:val="clear" w:color="auto" w:fill="auto"/>
            <w:vAlign w:val="bottom"/>
          </w:tcPr>
          <w:p w14:paraId="5F2D31A2" w14:textId="77777777" w:rsidR="00E836FB" w:rsidRDefault="00E836FB">
            <w:pPr>
              <w:rPr>
                <w:rFonts w:ascii="宋体"/>
                <w:vanish/>
              </w:rPr>
            </w:pPr>
          </w:p>
        </w:tc>
        <w:tc>
          <w:tcPr>
            <w:tcW w:w="0" w:type="auto"/>
            <w:gridSpan w:val="3"/>
            <w:shd w:val="clear" w:color="auto" w:fill="auto"/>
            <w:vAlign w:val="bottom"/>
          </w:tcPr>
          <w:p w14:paraId="5F2D31A3" w14:textId="77777777" w:rsidR="00E836FB" w:rsidRDefault="00E836FB">
            <w:pPr>
              <w:rPr>
                <w:rFonts w:ascii="宋体"/>
                <w:vanish/>
              </w:rPr>
            </w:pPr>
          </w:p>
        </w:tc>
        <w:tc>
          <w:tcPr>
            <w:tcW w:w="0" w:type="auto"/>
            <w:gridSpan w:val="3"/>
            <w:shd w:val="clear" w:color="auto" w:fill="auto"/>
            <w:vAlign w:val="bottom"/>
          </w:tcPr>
          <w:p w14:paraId="5F2D31A4" w14:textId="77777777" w:rsidR="00E836FB" w:rsidRDefault="00E836FB">
            <w:pPr>
              <w:rPr>
                <w:rFonts w:ascii="宋体"/>
                <w:vanish/>
              </w:rPr>
            </w:pPr>
          </w:p>
        </w:tc>
        <w:tc>
          <w:tcPr>
            <w:tcW w:w="0" w:type="auto"/>
            <w:gridSpan w:val="3"/>
            <w:shd w:val="clear" w:color="auto" w:fill="auto"/>
            <w:vAlign w:val="bottom"/>
          </w:tcPr>
          <w:p w14:paraId="5F2D31A5" w14:textId="77777777" w:rsidR="00E836FB" w:rsidRDefault="00E836FB">
            <w:pPr>
              <w:rPr>
                <w:rFonts w:ascii="宋体"/>
                <w:vanish/>
              </w:rPr>
            </w:pPr>
          </w:p>
        </w:tc>
        <w:tc>
          <w:tcPr>
            <w:tcW w:w="0" w:type="auto"/>
            <w:gridSpan w:val="3"/>
            <w:shd w:val="clear" w:color="auto" w:fill="auto"/>
            <w:vAlign w:val="bottom"/>
          </w:tcPr>
          <w:p w14:paraId="5F2D31A6" w14:textId="77777777" w:rsidR="00E836FB" w:rsidRDefault="00E836FB">
            <w:pPr>
              <w:rPr>
                <w:rFonts w:ascii="宋体"/>
                <w:vanish/>
              </w:rPr>
            </w:pPr>
          </w:p>
        </w:tc>
        <w:tc>
          <w:tcPr>
            <w:tcW w:w="0" w:type="auto"/>
            <w:gridSpan w:val="3"/>
            <w:shd w:val="clear" w:color="auto" w:fill="auto"/>
            <w:vAlign w:val="bottom"/>
          </w:tcPr>
          <w:p w14:paraId="5F2D31A7" w14:textId="77777777" w:rsidR="00E836FB" w:rsidRDefault="00E836FB">
            <w:pPr>
              <w:rPr>
                <w:rFonts w:ascii="宋体"/>
                <w:vanish/>
              </w:rPr>
            </w:pPr>
          </w:p>
        </w:tc>
        <w:tc>
          <w:tcPr>
            <w:tcW w:w="0" w:type="auto"/>
            <w:gridSpan w:val="3"/>
            <w:shd w:val="clear" w:color="auto" w:fill="auto"/>
            <w:vAlign w:val="bottom"/>
          </w:tcPr>
          <w:p w14:paraId="5F2D31A8" w14:textId="77777777" w:rsidR="00E836FB" w:rsidRDefault="00E836FB">
            <w:pPr>
              <w:rPr>
                <w:rFonts w:ascii="宋体"/>
                <w:vanish/>
              </w:rPr>
            </w:pPr>
          </w:p>
        </w:tc>
        <w:tc>
          <w:tcPr>
            <w:tcW w:w="0" w:type="auto"/>
            <w:gridSpan w:val="3"/>
            <w:shd w:val="clear" w:color="auto" w:fill="auto"/>
            <w:vAlign w:val="bottom"/>
          </w:tcPr>
          <w:p w14:paraId="5F2D31A9" w14:textId="77777777" w:rsidR="00E836FB" w:rsidRDefault="00E836FB">
            <w:pPr>
              <w:rPr>
                <w:rFonts w:ascii="宋体"/>
                <w:vanish/>
              </w:rPr>
            </w:pPr>
          </w:p>
        </w:tc>
        <w:tc>
          <w:tcPr>
            <w:tcW w:w="0" w:type="auto"/>
            <w:gridSpan w:val="3"/>
            <w:shd w:val="clear" w:color="auto" w:fill="auto"/>
            <w:vAlign w:val="bottom"/>
          </w:tcPr>
          <w:p w14:paraId="5F2D31AA" w14:textId="77777777" w:rsidR="00E836FB" w:rsidRDefault="00E836FB">
            <w:pPr>
              <w:rPr>
                <w:rFonts w:ascii="宋体"/>
                <w:vanish/>
              </w:rPr>
            </w:pPr>
          </w:p>
        </w:tc>
        <w:tc>
          <w:tcPr>
            <w:tcW w:w="0" w:type="auto"/>
            <w:gridSpan w:val="3"/>
            <w:shd w:val="clear" w:color="auto" w:fill="auto"/>
            <w:vAlign w:val="bottom"/>
          </w:tcPr>
          <w:p w14:paraId="5F2D31AB" w14:textId="77777777" w:rsidR="00E836FB" w:rsidRDefault="00E836FB">
            <w:pPr>
              <w:rPr>
                <w:rFonts w:ascii="宋体"/>
                <w:vanish/>
              </w:rPr>
            </w:pPr>
          </w:p>
        </w:tc>
        <w:tc>
          <w:tcPr>
            <w:tcW w:w="0" w:type="auto"/>
            <w:gridSpan w:val="3"/>
            <w:shd w:val="clear" w:color="auto" w:fill="auto"/>
            <w:vAlign w:val="bottom"/>
          </w:tcPr>
          <w:p w14:paraId="5F2D31AC" w14:textId="77777777" w:rsidR="00E836FB" w:rsidRDefault="00E836FB">
            <w:pPr>
              <w:rPr>
                <w:rFonts w:ascii="宋体"/>
                <w:vanish/>
              </w:rPr>
            </w:pPr>
          </w:p>
        </w:tc>
        <w:tc>
          <w:tcPr>
            <w:tcW w:w="0" w:type="auto"/>
            <w:gridSpan w:val="3"/>
            <w:shd w:val="clear" w:color="auto" w:fill="auto"/>
            <w:vAlign w:val="bottom"/>
          </w:tcPr>
          <w:p w14:paraId="5F2D31AD" w14:textId="77777777" w:rsidR="00E836FB" w:rsidRDefault="00E836FB">
            <w:pPr>
              <w:rPr>
                <w:rFonts w:ascii="宋体"/>
                <w:vanish/>
              </w:rPr>
            </w:pPr>
          </w:p>
        </w:tc>
        <w:tc>
          <w:tcPr>
            <w:tcW w:w="0" w:type="auto"/>
            <w:gridSpan w:val="3"/>
            <w:shd w:val="clear" w:color="auto" w:fill="auto"/>
            <w:vAlign w:val="bottom"/>
          </w:tcPr>
          <w:p w14:paraId="5F2D31AE" w14:textId="77777777" w:rsidR="00E836FB" w:rsidRDefault="00E836FB">
            <w:pPr>
              <w:rPr>
                <w:rFonts w:ascii="宋体"/>
                <w:vanish/>
              </w:rPr>
            </w:pPr>
          </w:p>
        </w:tc>
        <w:tc>
          <w:tcPr>
            <w:tcW w:w="0" w:type="auto"/>
            <w:gridSpan w:val="3"/>
            <w:shd w:val="clear" w:color="auto" w:fill="auto"/>
            <w:vAlign w:val="bottom"/>
          </w:tcPr>
          <w:p w14:paraId="5F2D31AF" w14:textId="77777777" w:rsidR="00E836FB" w:rsidRDefault="00E836FB">
            <w:pPr>
              <w:rPr>
                <w:rFonts w:ascii="宋体"/>
                <w:vanish/>
              </w:rPr>
            </w:pPr>
          </w:p>
        </w:tc>
      </w:tr>
      <w:tr w:rsidR="00E836FB" w14:paraId="5F2D31C3" w14:textId="77777777">
        <w:trPr>
          <w:hidden/>
        </w:trPr>
        <w:tc>
          <w:tcPr>
            <w:tcW w:w="0" w:type="auto"/>
            <w:gridSpan w:val="3"/>
            <w:shd w:val="clear" w:color="auto" w:fill="auto"/>
            <w:vAlign w:val="bottom"/>
          </w:tcPr>
          <w:p w14:paraId="5F2D31B1" w14:textId="77777777" w:rsidR="00E836FB" w:rsidRDefault="00E836FB">
            <w:pPr>
              <w:rPr>
                <w:rFonts w:ascii="宋体"/>
                <w:vanish/>
              </w:rPr>
            </w:pPr>
          </w:p>
        </w:tc>
        <w:tc>
          <w:tcPr>
            <w:tcW w:w="0" w:type="auto"/>
            <w:gridSpan w:val="3"/>
            <w:shd w:val="clear" w:color="auto" w:fill="auto"/>
            <w:vAlign w:val="bottom"/>
          </w:tcPr>
          <w:p w14:paraId="5F2D31B2" w14:textId="77777777" w:rsidR="00E836FB" w:rsidRDefault="00E836FB">
            <w:pPr>
              <w:rPr>
                <w:rFonts w:ascii="宋体"/>
                <w:vanish/>
              </w:rPr>
            </w:pPr>
          </w:p>
        </w:tc>
        <w:tc>
          <w:tcPr>
            <w:tcW w:w="0" w:type="auto"/>
            <w:gridSpan w:val="3"/>
            <w:shd w:val="clear" w:color="auto" w:fill="auto"/>
            <w:vAlign w:val="bottom"/>
          </w:tcPr>
          <w:p w14:paraId="5F2D31B3" w14:textId="77777777" w:rsidR="00E836FB" w:rsidRDefault="00E836FB">
            <w:pPr>
              <w:rPr>
                <w:rFonts w:ascii="宋体"/>
                <w:vanish/>
              </w:rPr>
            </w:pPr>
          </w:p>
        </w:tc>
        <w:tc>
          <w:tcPr>
            <w:tcW w:w="0" w:type="auto"/>
            <w:gridSpan w:val="3"/>
            <w:shd w:val="clear" w:color="auto" w:fill="auto"/>
            <w:vAlign w:val="bottom"/>
          </w:tcPr>
          <w:p w14:paraId="5F2D31B4" w14:textId="77777777" w:rsidR="00E836FB" w:rsidRDefault="00E836FB">
            <w:pPr>
              <w:rPr>
                <w:rFonts w:ascii="宋体"/>
                <w:vanish/>
              </w:rPr>
            </w:pPr>
          </w:p>
        </w:tc>
        <w:tc>
          <w:tcPr>
            <w:tcW w:w="0" w:type="auto"/>
            <w:gridSpan w:val="3"/>
            <w:shd w:val="clear" w:color="auto" w:fill="auto"/>
            <w:vAlign w:val="bottom"/>
          </w:tcPr>
          <w:p w14:paraId="5F2D31B5" w14:textId="77777777" w:rsidR="00E836FB" w:rsidRDefault="00E836FB">
            <w:pPr>
              <w:rPr>
                <w:rFonts w:ascii="宋体"/>
                <w:vanish/>
              </w:rPr>
            </w:pPr>
          </w:p>
        </w:tc>
        <w:tc>
          <w:tcPr>
            <w:tcW w:w="0" w:type="auto"/>
            <w:gridSpan w:val="3"/>
            <w:shd w:val="clear" w:color="auto" w:fill="auto"/>
            <w:vAlign w:val="bottom"/>
          </w:tcPr>
          <w:p w14:paraId="5F2D31B6" w14:textId="77777777" w:rsidR="00E836FB" w:rsidRDefault="00E836FB">
            <w:pPr>
              <w:rPr>
                <w:rFonts w:ascii="宋体"/>
                <w:vanish/>
              </w:rPr>
            </w:pPr>
          </w:p>
        </w:tc>
        <w:tc>
          <w:tcPr>
            <w:tcW w:w="0" w:type="auto"/>
            <w:gridSpan w:val="3"/>
            <w:shd w:val="clear" w:color="auto" w:fill="auto"/>
            <w:vAlign w:val="bottom"/>
          </w:tcPr>
          <w:p w14:paraId="5F2D31B7" w14:textId="77777777" w:rsidR="00E836FB" w:rsidRDefault="00E836FB">
            <w:pPr>
              <w:rPr>
                <w:rFonts w:ascii="宋体"/>
                <w:vanish/>
              </w:rPr>
            </w:pPr>
          </w:p>
        </w:tc>
        <w:tc>
          <w:tcPr>
            <w:tcW w:w="0" w:type="auto"/>
            <w:gridSpan w:val="3"/>
            <w:shd w:val="clear" w:color="auto" w:fill="auto"/>
            <w:vAlign w:val="bottom"/>
          </w:tcPr>
          <w:p w14:paraId="5F2D31B8" w14:textId="77777777" w:rsidR="00E836FB" w:rsidRDefault="00E836FB">
            <w:pPr>
              <w:rPr>
                <w:rFonts w:ascii="宋体"/>
                <w:vanish/>
              </w:rPr>
            </w:pPr>
          </w:p>
        </w:tc>
        <w:tc>
          <w:tcPr>
            <w:tcW w:w="0" w:type="auto"/>
            <w:gridSpan w:val="3"/>
            <w:shd w:val="clear" w:color="auto" w:fill="auto"/>
            <w:vAlign w:val="bottom"/>
          </w:tcPr>
          <w:p w14:paraId="5F2D31B9" w14:textId="77777777" w:rsidR="00E836FB" w:rsidRDefault="00E836FB">
            <w:pPr>
              <w:rPr>
                <w:rFonts w:ascii="宋体"/>
                <w:vanish/>
              </w:rPr>
            </w:pPr>
          </w:p>
        </w:tc>
        <w:tc>
          <w:tcPr>
            <w:tcW w:w="0" w:type="auto"/>
            <w:gridSpan w:val="3"/>
            <w:shd w:val="clear" w:color="auto" w:fill="auto"/>
            <w:vAlign w:val="bottom"/>
          </w:tcPr>
          <w:p w14:paraId="5F2D31BA" w14:textId="77777777" w:rsidR="00E836FB" w:rsidRDefault="00E836FB">
            <w:pPr>
              <w:rPr>
                <w:rFonts w:ascii="宋体"/>
                <w:vanish/>
              </w:rPr>
            </w:pPr>
          </w:p>
        </w:tc>
        <w:tc>
          <w:tcPr>
            <w:tcW w:w="0" w:type="auto"/>
            <w:gridSpan w:val="3"/>
            <w:shd w:val="clear" w:color="auto" w:fill="auto"/>
            <w:vAlign w:val="bottom"/>
          </w:tcPr>
          <w:p w14:paraId="5F2D31BB" w14:textId="77777777" w:rsidR="00E836FB" w:rsidRDefault="00E836FB">
            <w:pPr>
              <w:rPr>
                <w:rFonts w:ascii="宋体"/>
                <w:vanish/>
              </w:rPr>
            </w:pPr>
          </w:p>
        </w:tc>
        <w:tc>
          <w:tcPr>
            <w:tcW w:w="0" w:type="auto"/>
            <w:gridSpan w:val="3"/>
            <w:shd w:val="clear" w:color="auto" w:fill="auto"/>
            <w:vAlign w:val="bottom"/>
          </w:tcPr>
          <w:p w14:paraId="5F2D31BC" w14:textId="77777777" w:rsidR="00E836FB" w:rsidRDefault="00E836FB">
            <w:pPr>
              <w:rPr>
                <w:rFonts w:ascii="宋体"/>
                <w:vanish/>
              </w:rPr>
            </w:pPr>
          </w:p>
        </w:tc>
        <w:tc>
          <w:tcPr>
            <w:tcW w:w="0" w:type="auto"/>
            <w:gridSpan w:val="3"/>
            <w:shd w:val="clear" w:color="auto" w:fill="auto"/>
            <w:vAlign w:val="bottom"/>
          </w:tcPr>
          <w:p w14:paraId="5F2D31BD" w14:textId="77777777" w:rsidR="00E836FB" w:rsidRDefault="00E836FB">
            <w:pPr>
              <w:rPr>
                <w:rFonts w:ascii="宋体"/>
                <w:vanish/>
              </w:rPr>
            </w:pPr>
          </w:p>
        </w:tc>
        <w:tc>
          <w:tcPr>
            <w:tcW w:w="0" w:type="auto"/>
            <w:gridSpan w:val="3"/>
            <w:shd w:val="clear" w:color="auto" w:fill="auto"/>
            <w:vAlign w:val="bottom"/>
          </w:tcPr>
          <w:p w14:paraId="5F2D31BE" w14:textId="77777777" w:rsidR="00E836FB" w:rsidRDefault="00E836FB">
            <w:pPr>
              <w:rPr>
                <w:rFonts w:ascii="宋体"/>
                <w:vanish/>
              </w:rPr>
            </w:pPr>
          </w:p>
        </w:tc>
        <w:tc>
          <w:tcPr>
            <w:tcW w:w="0" w:type="auto"/>
            <w:gridSpan w:val="3"/>
            <w:shd w:val="clear" w:color="auto" w:fill="auto"/>
            <w:vAlign w:val="bottom"/>
          </w:tcPr>
          <w:p w14:paraId="5F2D31BF" w14:textId="77777777" w:rsidR="00E836FB" w:rsidRDefault="00E836FB">
            <w:pPr>
              <w:rPr>
                <w:rFonts w:ascii="宋体"/>
                <w:vanish/>
              </w:rPr>
            </w:pPr>
          </w:p>
        </w:tc>
        <w:tc>
          <w:tcPr>
            <w:tcW w:w="0" w:type="auto"/>
            <w:gridSpan w:val="3"/>
            <w:shd w:val="clear" w:color="auto" w:fill="auto"/>
            <w:vAlign w:val="bottom"/>
          </w:tcPr>
          <w:p w14:paraId="5F2D31C0" w14:textId="77777777" w:rsidR="00E836FB" w:rsidRDefault="00E836FB">
            <w:pPr>
              <w:rPr>
                <w:rFonts w:ascii="宋体"/>
                <w:vanish/>
              </w:rPr>
            </w:pPr>
          </w:p>
        </w:tc>
        <w:tc>
          <w:tcPr>
            <w:tcW w:w="0" w:type="auto"/>
            <w:gridSpan w:val="3"/>
            <w:shd w:val="clear" w:color="auto" w:fill="auto"/>
            <w:vAlign w:val="bottom"/>
          </w:tcPr>
          <w:p w14:paraId="5F2D31C1" w14:textId="77777777" w:rsidR="00E836FB" w:rsidRDefault="00E836FB">
            <w:pPr>
              <w:rPr>
                <w:rFonts w:ascii="宋体"/>
                <w:vanish/>
              </w:rPr>
            </w:pPr>
          </w:p>
        </w:tc>
        <w:tc>
          <w:tcPr>
            <w:tcW w:w="0" w:type="auto"/>
            <w:gridSpan w:val="3"/>
            <w:shd w:val="clear" w:color="auto" w:fill="auto"/>
            <w:vAlign w:val="bottom"/>
          </w:tcPr>
          <w:p w14:paraId="5F2D31C2" w14:textId="77777777" w:rsidR="00E836FB" w:rsidRDefault="00E836FB">
            <w:pPr>
              <w:rPr>
                <w:rFonts w:ascii="宋体"/>
                <w:vanish/>
              </w:rPr>
            </w:pPr>
          </w:p>
        </w:tc>
      </w:tr>
      <w:tr w:rsidR="00994958" w14:paraId="5F2D31E2" w14:textId="77777777">
        <w:tc>
          <w:tcPr>
            <w:tcW w:w="0" w:type="auto"/>
            <w:gridSpan w:val="3"/>
            <w:shd w:val="clear" w:color="auto" w:fill="CCEEFF"/>
            <w:tcMar>
              <w:top w:w="40" w:type="dxa"/>
              <w:left w:w="20" w:type="dxa"/>
              <w:bottom w:w="40" w:type="dxa"/>
              <w:right w:w="20" w:type="dxa"/>
            </w:tcMar>
            <w:vAlign w:val="bottom"/>
          </w:tcPr>
          <w:p w14:paraId="5F2D31C4" w14:textId="77777777" w:rsidR="00E836FB" w:rsidRDefault="00994958">
            <w:pPr>
              <w:textAlignment w:val="bottom"/>
            </w:pPr>
            <w:r>
              <w:rPr>
                <w:rFonts w:ascii="Arial" w:eastAsia="宋体" w:hAnsi="Arial" w:cs="Arial"/>
                <w:color w:val="000000"/>
                <w:sz w:val="14"/>
                <w:szCs w:val="14"/>
              </w:rPr>
              <w:t>Interest rate contracts</w:t>
            </w:r>
          </w:p>
        </w:tc>
        <w:tc>
          <w:tcPr>
            <w:tcW w:w="0" w:type="auto"/>
            <w:gridSpan w:val="3"/>
            <w:shd w:val="clear" w:color="auto" w:fill="CCEEFF"/>
            <w:tcMar>
              <w:top w:w="40" w:type="dxa"/>
              <w:left w:w="20" w:type="dxa"/>
              <w:bottom w:w="40" w:type="dxa"/>
              <w:right w:w="20" w:type="dxa"/>
            </w:tcMar>
            <w:vAlign w:val="bottom"/>
          </w:tcPr>
          <w:p w14:paraId="5F2D31C5"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vAlign w:val="bottom"/>
          </w:tcPr>
          <w:p w14:paraId="5F2D31C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1C7"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1C8" w14:textId="77777777" w:rsidR="00E836FB" w:rsidRDefault="00994958">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1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1C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1C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1CC"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F2D31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1C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1C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1D0"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F2D31D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1D2"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31D3" w14:textId="77777777" w:rsidR="00E836FB" w:rsidRDefault="00994958">
            <w:pPr>
              <w:textAlignment w:val="bottom"/>
            </w:pPr>
            <w:r>
              <w:rPr>
                <w:rFonts w:ascii="Arial" w:eastAsia="宋体" w:hAnsi="Arial" w:cs="Arial"/>
                <w:color w:val="000000"/>
                <w:sz w:val="14"/>
                <w:szCs w:val="14"/>
              </w:rPr>
              <w:t>Available-for-sale securities</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vAlign w:val="bottom"/>
          </w:tcPr>
          <w:p w14:paraId="5F2D31D4"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31D5" w14:textId="77777777" w:rsidR="00E836FB" w:rsidRDefault="00994958">
            <w:pPr>
              <w:spacing w:after="40"/>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vAlign w:val="bottom"/>
          </w:tcPr>
          <w:p w14:paraId="5F2D31D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1D7"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1D8" w14:textId="77777777" w:rsidR="00E836FB" w:rsidRDefault="00994958">
            <w:pPr>
              <w:jc w:val="right"/>
              <w:textAlignment w:val="bottom"/>
            </w:pPr>
            <w:r>
              <w:rPr>
                <w:rFonts w:ascii="Arial" w:eastAsia="宋体" w:hAnsi="Arial" w:cs="Arial"/>
                <w:b/>
                <w:bCs/>
                <w:color w:val="000000"/>
                <w:sz w:val="14"/>
                <w:szCs w:val="14"/>
              </w:rPr>
              <w:t>(19)</w:t>
            </w:r>
          </w:p>
        </w:tc>
        <w:tc>
          <w:tcPr>
            <w:tcW w:w="0" w:type="auto"/>
            <w:shd w:val="clear" w:color="auto" w:fill="CCEEFF"/>
            <w:tcMar>
              <w:top w:w="40" w:type="dxa"/>
              <w:left w:w="0" w:type="dxa"/>
              <w:bottom w:w="40" w:type="dxa"/>
              <w:right w:w="20" w:type="dxa"/>
            </w:tcMar>
            <w:vAlign w:val="bottom"/>
          </w:tcPr>
          <w:p w14:paraId="5F2D31D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1D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1D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1DC"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F2D31D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1D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1D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1E0" w14:textId="77777777" w:rsidR="00E836FB" w:rsidRDefault="00994958">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F2D31E1" w14:textId="77777777" w:rsidR="00E836FB" w:rsidRDefault="00E836FB">
            <w:pPr>
              <w:jc w:val="right"/>
              <w:rPr>
                <w:rFonts w:ascii="宋体"/>
              </w:rPr>
            </w:pPr>
          </w:p>
        </w:tc>
      </w:tr>
      <w:tr w:rsidR="00E836FB" w14:paraId="5F2D31FB" w14:textId="77777777">
        <w:tc>
          <w:tcPr>
            <w:tcW w:w="0" w:type="auto"/>
            <w:gridSpan w:val="3"/>
            <w:shd w:val="clear" w:color="auto" w:fill="FFFFFF"/>
            <w:tcMar>
              <w:top w:w="40" w:type="dxa"/>
              <w:left w:w="20" w:type="dxa"/>
              <w:bottom w:w="40" w:type="dxa"/>
              <w:right w:w="20" w:type="dxa"/>
            </w:tcMar>
            <w:vAlign w:val="bottom"/>
          </w:tcPr>
          <w:p w14:paraId="5F2D31E3" w14:textId="77777777" w:rsidR="00E836FB" w:rsidRDefault="00994958">
            <w:pPr>
              <w:textAlignment w:val="bottom"/>
            </w:pPr>
            <w:r>
              <w:rPr>
                <w:rFonts w:ascii="Arial" w:eastAsia="宋体" w:hAnsi="Arial" w:cs="Arial"/>
                <w:color w:val="000000"/>
                <w:sz w:val="14"/>
                <w:szCs w:val="14"/>
              </w:rPr>
              <w:t>Interest rate contracts</w:t>
            </w:r>
          </w:p>
        </w:tc>
        <w:tc>
          <w:tcPr>
            <w:tcW w:w="0" w:type="auto"/>
            <w:gridSpan w:val="3"/>
            <w:shd w:val="clear" w:color="auto" w:fill="FFFFFF"/>
            <w:tcMar>
              <w:top w:w="40" w:type="dxa"/>
              <w:left w:w="20" w:type="dxa"/>
              <w:bottom w:w="40" w:type="dxa"/>
              <w:right w:w="20" w:type="dxa"/>
            </w:tcMar>
            <w:vAlign w:val="bottom"/>
          </w:tcPr>
          <w:p w14:paraId="5F2D31E4"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vAlign w:val="bottom"/>
          </w:tcPr>
          <w:p w14:paraId="5F2D31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1E6" w14:textId="77777777" w:rsidR="00E836FB" w:rsidRDefault="00994958">
            <w:pPr>
              <w:jc w:val="right"/>
              <w:textAlignment w:val="bottom"/>
            </w:pPr>
            <w:r>
              <w:rPr>
                <w:rFonts w:ascii="Arial" w:eastAsia="宋体" w:hAnsi="Arial" w:cs="Arial"/>
                <w:b/>
                <w:bCs/>
                <w:color w:val="000000"/>
                <w:sz w:val="14"/>
                <w:szCs w:val="14"/>
              </w:rPr>
              <w:t>(76)</w:t>
            </w:r>
          </w:p>
        </w:tc>
        <w:tc>
          <w:tcPr>
            <w:tcW w:w="0" w:type="auto"/>
            <w:shd w:val="clear" w:color="auto" w:fill="FFFFFF"/>
            <w:tcMar>
              <w:top w:w="40" w:type="dxa"/>
              <w:left w:w="0" w:type="dxa"/>
              <w:bottom w:w="40" w:type="dxa"/>
              <w:right w:w="20" w:type="dxa"/>
            </w:tcMar>
            <w:vAlign w:val="bottom"/>
          </w:tcPr>
          <w:p w14:paraId="5F2D31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1E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1E9" w14:textId="77777777" w:rsidR="00E836FB" w:rsidRDefault="00994958">
            <w:pPr>
              <w:jc w:val="right"/>
              <w:textAlignment w:val="bottom"/>
            </w:pPr>
            <w:r>
              <w:rPr>
                <w:rFonts w:ascii="Arial" w:eastAsia="宋体" w:hAnsi="Arial" w:cs="Arial"/>
                <w:color w:val="000000"/>
                <w:sz w:val="14"/>
                <w:szCs w:val="14"/>
              </w:rPr>
              <w:t>566 </w:t>
            </w:r>
          </w:p>
        </w:tc>
        <w:tc>
          <w:tcPr>
            <w:tcW w:w="0" w:type="auto"/>
            <w:shd w:val="clear" w:color="auto" w:fill="FFFFFF"/>
            <w:tcMar>
              <w:top w:w="40" w:type="dxa"/>
              <w:left w:w="0" w:type="dxa"/>
              <w:bottom w:w="40" w:type="dxa"/>
              <w:right w:w="20" w:type="dxa"/>
            </w:tcMar>
            <w:vAlign w:val="bottom"/>
          </w:tcPr>
          <w:p w14:paraId="5F2D31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1E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1EC" w14:textId="77777777" w:rsidR="00E836FB" w:rsidRDefault="00994958">
            <w:pPr>
              <w:jc w:val="right"/>
              <w:textAlignment w:val="bottom"/>
            </w:pPr>
            <w:r>
              <w:rPr>
                <w:rFonts w:ascii="Arial" w:eastAsia="宋体" w:hAnsi="Arial" w:cs="Arial"/>
                <w:color w:val="000000"/>
                <w:sz w:val="14"/>
                <w:szCs w:val="14"/>
              </w:rPr>
              <w:t>266 </w:t>
            </w:r>
          </w:p>
        </w:tc>
        <w:tc>
          <w:tcPr>
            <w:tcW w:w="0" w:type="auto"/>
            <w:shd w:val="clear" w:color="auto" w:fill="FFFFFF"/>
            <w:tcMar>
              <w:top w:w="40" w:type="dxa"/>
              <w:left w:w="0" w:type="dxa"/>
              <w:bottom w:w="40" w:type="dxa"/>
              <w:right w:w="20" w:type="dxa"/>
            </w:tcMar>
            <w:vAlign w:val="bottom"/>
          </w:tcPr>
          <w:p w14:paraId="5F2D31E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1E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31EF" w14:textId="77777777" w:rsidR="00E836FB" w:rsidRDefault="00994958">
            <w:pPr>
              <w:textAlignment w:val="bottom"/>
            </w:pPr>
            <w:r>
              <w:rPr>
                <w:rFonts w:ascii="Arial" w:eastAsia="宋体" w:hAnsi="Arial" w:cs="Arial"/>
                <w:color w:val="000000"/>
                <w:sz w:val="14"/>
                <w:szCs w:val="14"/>
              </w:rPr>
              <w:t>Long-term debt</w:t>
            </w:r>
          </w:p>
        </w:tc>
        <w:tc>
          <w:tcPr>
            <w:tcW w:w="0" w:type="auto"/>
            <w:gridSpan w:val="3"/>
            <w:shd w:val="clear" w:color="auto" w:fill="FFFFFF"/>
            <w:tcMar>
              <w:top w:w="0" w:type="dxa"/>
              <w:left w:w="20" w:type="dxa"/>
              <w:bottom w:w="0" w:type="dxa"/>
              <w:right w:w="20" w:type="dxa"/>
            </w:tcMar>
            <w:vAlign w:val="bottom"/>
          </w:tcPr>
          <w:p w14:paraId="5F2D31F0"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31F1"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vAlign w:val="bottom"/>
          </w:tcPr>
          <w:p w14:paraId="5F2D31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1F3" w14:textId="77777777" w:rsidR="00E836FB" w:rsidRDefault="00994958">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1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1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1F6" w14:textId="77777777" w:rsidR="00E836FB" w:rsidRDefault="00994958">
            <w:pPr>
              <w:jc w:val="right"/>
              <w:textAlignment w:val="bottom"/>
            </w:pPr>
            <w:r>
              <w:rPr>
                <w:rFonts w:ascii="Arial" w:eastAsia="宋体" w:hAnsi="Arial" w:cs="Arial"/>
                <w:color w:val="000000"/>
                <w:sz w:val="14"/>
                <w:szCs w:val="14"/>
              </w:rPr>
              <w:t>(559)</w:t>
            </w:r>
          </w:p>
        </w:tc>
        <w:tc>
          <w:tcPr>
            <w:tcW w:w="0" w:type="auto"/>
            <w:shd w:val="clear" w:color="auto" w:fill="FFFFFF"/>
            <w:tcMar>
              <w:top w:w="40" w:type="dxa"/>
              <w:left w:w="0" w:type="dxa"/>
              <w:bottom w:w="40" w:type="dxa"/>
              <w:right w:w="20" w:type="dxa"/>
            </w:tcMar>
            <w:vAlign w:val="bottom"/>
          </w:tcPr>
          <w:p w14:paraId="5F2D31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1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1F9" w14:textId="77777777" w:rsidR="00E836FB" w:rsidRDefault="00994958">
            <w:pPr>
              <w:jc w:val="right"/>
              <w:textAlignment w:val="bottom"/>
            </w:pPr>
            <w:r>
              <w:rPr>
                <w:rFonts w:ascii="Arial" w:eastAsia="宋体" w:hAnsi="Arial" w:cs="Arial"/>
                <w:color w:val="000000"/>
                <w:sz w:val="14"/>
                <w:szCs w:val="14"/>
              </w:rPr>
              <w:t>(255)</w:t>
            </w:r>
          </w:p>
        </w:tc>
        <w:tc>
          <w:tcPr>
            <w:tcW w:w="0" w:type="auto"/>
            <w:shd w:val="clear" w:color="auto" w:fill="FFFFFF"/>
            <w:tcMar>
              <w:top w:w="40" w:type="dxa"/>
              <w:left w:w="0" w:type="dxa"/>
              <w:bottom w:w="40" w:type="dxa"/>
              <w:right w:w="20" w:type="dxa"/>
            </w:tcMar>
            <w:vAlign w:val="bottom"/>
          </w:tcPr>
          <w:p w14:paraId="5F2D31FA" w14:textId="77777777" w:rsidR="00E836FB" w:rsidRDefault="00E836FB">
            <w:pPr>
              <w:jc w:val="right"/>
              <w:rPr>
                <w:rFonts w:ascii="宋体"/>
              </w:rPr>
            </w:pPr>
          </w:p>
        </w:tc>
      </w:tr>
      <w:tr w:rsidR="00E836FB" w14:paraId="5F2D320E" w14:textId="77777777">
        <w:trPr>
          <w:hidden/>
        </w:trPr>
        <w:tc>
          <w:tcPr>
            <w:tcW w:w="0" w:type="auto"/>
            <w:gridSpan w:val="3"/>
            <w:shd w:val="clear" w:color="auto" w:fill="auto"/>
            <w:vAlign w:val="bottom"/>
          </w:tcPr>
          <w:p w14:paraId="5F2D31FC" w14:textId="77777777" w:rsidR="00E836FB" w:rsidRDefault="00E836FB">
            <w:pPr>
              <w:rPr>
                <w:rFonts w:ascii="宋体"/>
                <w:vanish/>
              </w:rPr>
            </w:pPr>
          </w:p>
        </w:tc>
        <w:tc>
          <w:tcPr>
            <w:tcW w:w="0" w:type="auto"/>
            <w:gridSpan w:val="3"/>
            <w:shd w:val="clear" w:color="auto" w:fill="auto"/>
            <w:vAlign w:val="bottom"/>
          </w:tcPr>
          <w:p w14:paraId="5F2D31FD" w14:textId="77777777" w:rsidR="00E836FB" w:rsidRDefault="00E836FB">
            <w:pPr>
              <w:rPr>
                <w:rFonts w:ascii="宋体"/>
                <w:vanish/>
              </w:rPr>
            </w:pPr>
          </w:p>
        </w:tc>
        <w:tc>
          <w:tcPr>
            <w:tcW w:w="0" w:type="auto"/>
            <w:gridSpan w:val="3"/>
            <w:shd w:val="clear" w:color="auto" w:fill="auto"/>
            <w:vAlign w:val="bottom"/>
          </w:tcPr>
          <w:p w14:paraId="5F2D31FE" w14:textId="77777777" w:rsidR="00E836FB" w:rsidRDefault="00E836FB">
            <w:pPr>
              <w:rPr>
                <w:rFonts w:ascii="宋体"/>
                <w:vanish/>
              </w:rPr>
            </w:pPr>
          </w:p>
        </w:tc>
        <w:tc>
          <w:tcPr>
            <w:tcW w:w="0" w:type="auto"/>
            <w:gridSpan w:val="3"/>
            <w:shd w:val="clear" w:color="auto" w:fill="auto"/>
            <w:vAlign w:val="bottom"/>
          </w:tcPr>
          <w:p w14:paraId="5F2D31FF" w14:textId="77777777" w:rsidR="00E836FB" w:rsidRDefault="00E836FB">
            <w:pPr>
              <w:rPr>
                <w:rFonts w:ascii="宋体"/>
                <w:vanish/>
              </w:rPr>
            </w:pPr>
          </w:p>
        </w:tc>
        <w:tc>
          <w:tcPr>
            <w:tcW w:w="0" w:type="auto"/>
            <w:gridSpan w:val="3"/>
            <w:shd w:val="clear" w:color="auto" w:fill="auto"/>
            <w:vAlign w:val="bottom"/>
          </w:tcPr>
          <w:p w14:paraId="5F2D3200" w14:textId="77777777" w:rsidR="00E836FB" w:rsidRDefault="00E836FB">
            <w:pPr>
              <w:rPr>
                <w:rFonts w:ascii="宋体"/>
                <w:vanish/>
              </w:rPr>
            </w:pPr>
          </w:p>
        </w:tc>
        <w:tc>
          <w:tcPr>
            <w:tcW w:w="0" w:type="auto"/>
            <w:gridSpan w:val="3"/>
            <w:shd w:val="clear" w:color="auto" w:fill="auto"/>
            <w:vAlign w:val="bottom"/>
          </w:tcPr>
          <w:p w14:paraId="5F2D3201" w14:textId="77777777" w:rsidR="00E836FB" w:rsidRDefault="00E836FB">
            <w:pPr>
              <w:rPr>
                <w:rFonts w:ascii="宋体"/>
                <w:vanish/>
              </w:rPr>
            </w:pPr>
          </w:p>
        </w:tc>
        <w:tc>
          <w:tcPr>
            <w:tcW w:w="0" w:type="auto"/>
            <w:gridSpan w:val="3"/>
            <w:shd w:val="clear" w:color="auto" w:fill="auto"/>
            <w:vAlign w:val="bottom"/>
          </w:tcPr>
          <w:p w14:paraId="5F2D3202" w14:textId="77777777" w:rsidR="00E836FB" w:rsidRDefault="00E836FB">
            <w:pPr>
              <w:rPr>
                <w:rFonts w:ascii="宋体"/>
                <w:vanish/>
              </w:rPr>
            </w:pPr>
          </w:p>
        </w:tc>
        <w:tc>
          <w:tcPr>
            <w:tcW w:w="0" w:type="auto"/>
            <w:gridSpan w:val="3"/>
            <w:shd w:val="clear" w:color="auto" w:fill="auto"/>
            <w:vAlign w:val="bottom"/>
          </w:tcPr>
          <w:p w14:paraId="5F2D3203" w14:textId="77777777" w:rsidR="00E836FB" w:rsidRDefault="00E836FB">
            <w:pPr>
              <w:rPr>
                <w:rFonts w:ascii="宋体"/>
                <w:vanish/>
              </w:rPr>
            </w:pPr>
          </w:p>
        </w:tc>
        <w:tc>
          <w:tcPr>
            <w:tcW w:w="0" w:type="auto"/>
            <w:gridSpan w:val="3"/>
            <w:shd w:val="clear" w:color="auto" w:fill="auto"/>
            <w:vAlign w:val="bottom"/>
          </w:tcPr>
          <w:p w14:paraId="5F2D3204" w14:textId="77777777" w:rsidR="00E836FB" w:rsidRDefault="00E836FB">
            <w:pPr>
              <w:rPr>
                <w:rFonts w:ascii="宋体"/>
                <w:vanish/>
              </w:rPr>
            </w:pPr>
          </w:p>
        </w:tc>
        <w:tc>
          <w:tcPr>
            <w:tcW w:w="0" w:type="auto"/>
            <w:gridSpan w:val="3"/>
            <w:shd w:val="clear" w:color="auto" w:fill="auto"/>
            <w:vAlign w:val="bottom"/>
          </w:tcPr>
          <w:p w14:paraId="5F2D3205" w14:textId="77777777" w:rsidR="00E836FB" w:rsidRDefault="00E836FB">
            <w:pPr>
              <w:rPr>
                <w:rFonts w:ascii="宋体"/>
                <w:vanish/>
              </w:rPr>
            </w:pPr>
          </w:p>
        </w:tc>
        <w:tc>
          <w:tcPr>
            <w:tcW w:w="0" w:type="auto"/>
            <w:gridSpan w:val="3"/>
            <w:shd w:val="clear" w:color="auto" w:fill="auto"/>
            <w:vAlign w:val="bottom"/>
          </w:tcPr>
          <w:p w14:paraId="5F2D3206" w14:textId="77777777" w:rsidR="00E836FB" w:rsidRDefault="00E836FB">
            <w:pPr>
              <w:rPr>
                <w:rFonts w:ascii="宋体"/>
                <w:vanish/>
              </w:rPr>
            </w:pPr>
          </w:p>
        </w:tc>
        <w:tc>
          <w:tcPr>
            <w:tcW w:w="0" w:type="auto"/>
            <w:gridSpan w:val="3"/>
            <w:shd w:val="clear" w:color="auto" w:fill="auto"/>
            <w:vAlign w:val="bottom"/>
          </w:tcPr>
          <w:p w14:paraId="5F2D3207" w14:textId="77777777" w:rsidR="00E836FB" w:rsidRDefault="00E836FB">
            <w:pPr>
              <w:rPr>
                <w:rFonts w:ascii="宋体"/>
                <w:vanish/>
              </w:rPr>
            </w:pPr>
          </w:p>
        </w:tc>
        <w:tc>
          <w:tcPr>
            <w:tcW w:w="0" w:type="auto"/>
            <w:gridSpan w:val="3"/>
            <w:shd w:val="clear" w:color="auto" w:fill="auto"/>
            <w:vAlign w:val="bottom"/>
          </w:tcPr>
          <w:p w14:paraId="5F2D3208" w14:textId="77777777" w:rsidR="00E836FB" w:rsidRDefault="00E836FB">
            <w:pPr>
              <w:rPr>
                <w:rFonts w:ascii="宋体"/>
                <w:vanish/>
              </w:rPr>
            </w:pPr>
          </w:p>
        </w:tc>
        <w:tc>
          <w:tcPr>
            <w:tcW w:w="0" w:type="auto"/>
            <w:gridSpan w:val="3"/>
            <w:shd w:val="clear" w:color="auto" w:fill="auto"/>
            <w:vAlign w:val="bottom"/>
          </w:tcPr>
          <w:p w14:paraId="5F2D3209" w14:textId="77777777" w:rsidR="00E836FB" w:rsidRDefault="00E836FB">
            <w:pPr>
              <w:rPr>
                <w:rFonts w:ascii="宋体"/>
                <w:vanish/>
              </w:rPr>
            </w:pPr>
          </w:p>
        </w:tc>
        <w:tc>
          <w:tcPr>
            <w:tcW w:w="0" w:type="auto"/>
            <w:gridSpan w:val="3"/>
            <w:shd w:val="clear" w:color="auto" w:fill="auto"/>
            <w:vAlign w:val="bottom"/>
          </w:tcPr>
          <w:p w14:paraId="5F2D320A" w14:textId="77777777" w:rsidR="00E836FB" w:rsidRDefault="00E836FB">
            <w:pPr>
              <w:rPr>
                <w:rFonts w:ascii="宋体"/>
                <w:vanish/>
              </w:rPr>
            </w:pPr>
          </w:p>
        </w:tc>
        <w:tc>
          <w:tcPr>
            <w:tcW w:w="0" w:type="auto"/>
            <w:gridSpan w:val="3"/>
            <w:shd w:val="clear" w:color="auto" w:fill="auto"/>
            <w:vAlign w:val="bottom"/>
          </w:tcPr>
          <w:p w14:paraId="5F2D320B" w14:textId="77777777" w:rsidR="00E836FB" w:rsidRDefault="00E836FB">
            <w:pPr>
              <w:rPr>
                <w:rFonts w:ascii="宋体"/>
                <w:vanish/>
              </w:rPr>
            </w:pPr>
          </w:p>
        </w:tc>
        <w:tc>
          <w:tcPr>
            <w:tcW w:w="0" w:type="auto"/>
            <w:gridSpan w:val="3"/>
            <w:shd w:val="clear" w:color="auto" w:fill="auto"/>
            <w:vAlign w:val="bottom"/>
          </w:tcPr>
          <w:p w14:paraId="5F2D320C" w14:textId="77777777" w:rsidR="00E836FB" w:rsidRDefault="00E836FB">
            <w:pPr>
              <w:rPr>
                <w:rFonts w:ascii="宋体"/>
                <w:vanish/>
              </w:rPr>
            </w:pPr>
          </w:p>
        </w:tc>
        <w:tc>
          <w:tcPr>
            <w:tcW w:w="0" w:type="auto"/>
            <w:gridSpan w:val="3"/>
            <w:shd w:val="clear" w:color="auto" w:fill="auto"/>
            <w:vAlign w:val="bottom"/>
          </w:tcPr>
          <w:p w14:paraId="5F2D320D" w14:textId="77777777" w:rsidR="00E836FB" w:rsidRDefault="00E836FB">
            <w:pPr>
              <w:rPr>
                <w:rFonts w:ascii="宋体"/>
                <w:vanish/>
              </w:rPr>
            </w:pPr>
          </w:p>
        </w:tc>
      </w:tr>
      <w:tr w:rsidR="00E836FB" w14:paraId="5F2D3221" w14:textId="77777777">
        <w:trPr>
          <w:hidden/>
        </w:trPr>
        <w:tc>
          <w:tcPr>
            <w:tcW w:w="0" w:type="auto"/>
            <w:gridSpan w:val="3"/>
            <w:shd w:val="clear" w:color="auto" w:fill="auto"/>
            <w:vAlign w:val="bottom"/>
          </w:tcPr>
          <w:p w14:paraId="5F2D320F" w14:textId="77777777" w:rsidR="00E836FB" w:rsidRDefault="00E836FB">
            <w:pPr>
              <w:rPr>
                <w:rFonts w:ascii="宋体"/>
                <w:vanish/>
              </w:rPr>
            </w:pPr>
          </w:p>
        </w:tc>
        <w:tc>
          <w:tcPr>
            <w:tcW w:w="0" w:type="auto"/>
            <w:gridSpan w:val="3"/>
            <w:shd w:val="clear" w:color="auto" w:fill="auto"/>
            <w:vAlign w:val="bottom"/>
          </w:tcPr>
          <w:p w14:paraId="5F2D3210" w14:textId="77777777" w:rsidR="00E836FB" w:rsidRDefault="00E836FB">
            <w:pPr>
              <w:rPr>
                <w:rFonts w:ascii="宋体"/>
                <w:vanish/>
              </w:rPr>
            </w:pPr>
          </w:p>
        </w:tc>
        <w:tc>
          <w:tcPr>
            <w:tcW w:w="0" w:type="auto"/>
            <w:gridSpan w:val="3"/>
            <w:shd w:val="clear" w:color="auto" w:fill="auto"/>
            <w:vAlign w:val="bottom"/>
          </w:tcPr>
          <w:p w14:paraId="5F2D3211" w14:textId="77777777" w:rsidR="00E836FB" w:rsidRDefault="00E836FB">
            <w:pPr>
              <w:rPr>
                <w:rFonts w:ascii="宋体"/>
                <w:vanish/>
              </w:rPr>
            </w:pPr>
          </w:p>
        </w:tc>
        <w:tc>
          <w:tcPr>
            <w:tcW w:w="0" w:type="auto"/>
            <w:gridSpan w:val="3"/>
            <w:shd w:val="clear" w:color="auto" w:fill="auto"/>
            <w:vAlign w:val="bottom"/>
          </w:tcPr>
          <w:p w14:paraId="5F2D3212" w14:textId="77777777" w:rsidR="00E836FB" w:rsidRDefault="00E836FB">
            <w:pPr>
              <w:rPr>
                <w:rFonts w:ascii="宋体"/>
                <w:vanish/>
              </w:rPr>
            </w:pPr>
          </w:p>
        </w:tc>
        <w:tc>
          <w:tcPr>
            <w:tcW w:w="0" w:type="auto"/>
            <w:gridSpan w:val="3"/>
            <w:shd w:val="clear" w:color="auto" w:fill="auto"/>
            <w:vAlign w:val="bottom"/>
          </w:tcPr>
          <w:p w14:paraId="5F2D3213" w14:textId="77777777" w:rsidR="00E836FB" w:rsidRDefault="00E836FB">
            <w:pPr>
              <w:rPr>
                <w:rFonts w:ascii="宋体"/>
                <w:vanish/>
              </w:rPr>
            </w:pPr>
          </w:p>
        </w:tc>
        <w:tc>
          <w:tcPr>
            <w:tcW w:w="0" w:type="auto"/>
            <w:gridSpan w:val="3"/>
            <w:shd w:val="clear" w:color="auto" w:fill="auto"/>
            <w:vAlign w:val="bottom"/>
          </w:tcPr>
          <w:p w14:paraId="5F2D3214" w14:textId="77777777" w:rsidR="00E836FB" w:rsidRDefault="00E836FB">
            <w:pPr>
              <w:rPr>
                <w:rFonts w:ascii="宋体"/>
                <w:vanish/>
              </w:rPr>
            </w:pPr>
          </w:p>
        </w:tc>
        <w:tc>
          <w:tcPr>
            <w:tcW w:w="0" w:type="auto"/>
            <w:gridSpan w:val="3"/>
            <w:shd w:val="clear" w:color="auto" w:fill="auto"/>
            <w:vAlign w:val="bottom"/>
          </w:tcPr>
          <w:p w14:paraId="5F2D3215" w14:textId="77777777" w:rsidR="00E836FB" w:rsidRDefault="00E836FB">
            <w:pPr>
              <w:rPr>
                <w:rFonts w:ascii="宋体"/>
                <w:vanish/>
              </w:rPr>
            </w:pPr>
          </w:p>
        </w:tc>
        <w:tc>
          <w:tcPr>
            <w:tcW w:w="0" w:type="auto"/>
            <w:gridSpan w:val="3"/>
            <w:shd w:val="clear" w:color="auto" w:fill="auto"/>
            <w:vAlign w:val="bottom"/>
          </w:tcPr>
          <w:p w14:paraId="5F2D3216" w14:textId="77777777" w:rsidR="00E836FB" w:rsidRDefault="00E836FB">
            <w:pPr>
              <w:rPr>
                <w:rFonts w:ascii="宋体"/>
                <w:vanish/>
              </w:rPr>
            </w:pPr>
          </w:p>
        </w:tc>
        <w:tc>
          <w:tcPr>
            <w:tcW w:w="0" w:type="auto"/>
            <w:gridSpan w:val="3"/>
            <w:shd w:val="clear" w:color="auto" w:fill="auto"/>
            <w:vAlign w:val="bottom"/>
          </w:tcPr>
          <w:p w14:paraId="5F2D3217" w14:textId="77777777" w:rsidR="00E836FB" w:rsidRDefault="00E836FB">
            <w:pPr>
              <w:rPr>
                <w:rFonts w:ascii="宋体"/>
                <w:vanish/>
              </w:rPr>
            </w:pPr>
          </w:p>
        </w:tc>
        <w:tc>
          <w:tcPr>
            <w:tcW w:w="0" w:type="auto"/>
            <w:gridSpan w:val="3"/>
            <w:shd w:val="clear" w:color="auto" w:fill="auto"/>
            <w:vAlign w:val="bottom"/>
          </w:tcPr>
          <w:p w14:paraId="5F2D3218" w14:textId="77777777" w:rsidR="00E836FB" w:rsidRDefault="00E836FB">
            <w:pPr>
              <w:rPr>
                <w:rFonts w:ascii="宋体"/>
                <w:vanish/>
              </w:rPr>
            </w:pPr>
          </w:p>
        </w:tc>
        <w:tc>
          <w:tcPr>
            <w:tcW w:w="0" w:type="auto"/>
            <w:gridSpan w:val="3"/>
            <w:shd w:val="clear" w:color="auto" w:fill="auto"/>
            <w:vAlign w:val="bottom"/>
          </w:tcPr>
          <w:p w14:paraId="5F2D3219" w14:textId="77777777" w:rsidR="00E836FB" w:rsidRDefault="00E836FB">
            <w:pPr>
              <w:rPr>
                <w:rFonts w:ascii="宋体"/>
                <w:vanish/>
              </w:rPr>
            </w:pPr>
          </w:p>
        </w:tc>
        <w:tc>
          <w:tcPr>
            <w:tcW w:w="0" w:type="auto"/>
            <w:gridSpan w:val="3"/>
            <w:shd w:val="clear" w:color="auto" w:fill="auto"/>
            <w:vAlign w:val="bottom"/>
          </w:tcPr>
          <w:p w14:paraId="5F2D321A" w14:textId="77777777" w:rsidR="00E836FB" w:rsidRDefault="00E836FB">
            <w:pPr>
              <w:rPr>
                <w:rFonts w:ascii="宋体"/>
                <w:vanish/>
              </w:rPr>
            </w:pPr>
          </w:p>
        </w:tc>
        <w:tc>
          <w:tcPr>
            <w:tcW w:w="0" w:type="auto"/>
            <w:gridSpan w:val="3"/>
            <w:shd w:val="clear" w:color="auto" w:fill="auto"/>
            <w:vAlign w:val="bottom"/>
          </w:tcPr>
          <w:p w14:paraId="5F2D321B" w14:textId="77777777" w:rsidR="00E836FB" w:rsidRDefault="00E836FB">
            <w:pPr>
              <w:rPr>
                <w:rFonts w:ascii="宋体"/>
                <w:vanish/>
              </w:rPr>
            </w:pPr>
          </w:p>
        </w:tc>
        <w:tc>
          <w:tcPr>
            <w:tcW w:w="0" w:type="auto"/>
            <w:gridSpan w:val="3"/>
            <w:shd w:val="clear" w:color="auto" w:fill="auto"/>
            <w:vAlign w:val="bottom"/>
          </w:tcPr>
          <w:p w14:paraId="5F2D321C" w14:textId="77777777" w:rsidR="00E836FB" w:rsidRDefault="00E836FB">
            <w:pPr>
              <w:rPr>
                <w:rFonts w:ascii="宋体"/>
                <w:vanish/>
              </w:rPr>
            </w:pPr>
          </w:p>
        </w:tc>
        <w:tc>
          <w:tcPr>
            <w:tcW w:w="0" w:type="auto"/>
            <w:gridSpan w:val="3"/>
            <w:shd w:val="clear" w:color="auto" w:fill="auto"/>
            <w:vAlign w:val="bottom"/>
          </w:tcPr>
          <w:p w14:paraId="5F2D321D" w14:textId="77777777" w:rsidR="00E836FB" w:rsidRDefault="00E836FB">
            <w:pPr>
              <w:rPr>
                <w:rFonts w:ascii="宋体"/>
                <w:vanish/>
              </w:rPr>
            </w:pPr>
          </w:p>
        </w:tc>
        <w:tc>
          <w:tcPr>
            <w:tcW w:w="0" w:type="auto"/>
            <w:gridSpan w:val="3"/>
            <w:shd w:val="clear" w:color="auto" w:fill="auto"/>
            <w:vAlign w:val="bottom"/>
          </w:tcPr>
          <w:p w14:paraId="5F2D321E" w14:textId="77777777" w:rsidR="00E836FB" w:rsidRDefault="00E836FB">
            <w:pPr>
              <w:rPr>
                <w:rFonts w:ascii="宋体"/>
                <w:vanish/>
              </w:rPr>
            </w:pPr>
          </w:p>
        </w:tc>
        <w:tc>
          <w:tcPr>
            <w:tcW w:w="0" w:type="auto"/>
            <w:gridSpan w:val="3"/>
            <w:shd w:val="clear" w:color="auto" w:fill="auto"/>
            <w:vAlign w:val="bottom"/>
          </w:tcPr>
          <w:p w14:paraId="5F2D321F" w14:textId="77777777" w:rsidR="00E836FB" w:rsidRDefault="00E836FB">
            <w:pPr>
              <w:rPr>
                <w:rFonts w:ascii="宋体"/>
                <w:vanish/>
              </w:rPr>
            </w:pPr>
          </w:p>
        </w:tc>
        <w:tc>
          <w:tcPr>
            <w:tcW w:w="0" w:type="auto"/>
            <w:gridSpan w:val="3"/>
            <w:shd w:val="clear" w:color="auto" w:fill="auto"/>
            <w:vAlign w:val="bottom"/>
          </w:tcPr>
          <w:p w14:paraId="5F2D3220" w14:textId="77777777" w:rsidR="00E836FB" w:rsidRDefault="00E836FB">
            <w:pPr>
              <w:rPr>
                <w:rFonts w:ascii="宋体"/>
                <w:vanish/>
              </w:rPr>
            </w:pPr>
          </w:p>
        </w:tc>
      </w:tr>
      <w:tr w:rsidR="00994958" w14:paraId="5F2D3240" w14:textId="77777777">
        <w:tc>
          <w:tcPr>
            <w:tcW w:w="0" w:type="auto"/>
            <w:gridSpan w:val="3"/>
            <w:shd w:val="clear" w:color="auto" w:fill="CCEEFF"/>
            <w:tcMar>
              <w:top w:w="40" w:type="dxa"/>
              <w:left w:w="20" w:type="dxa"/>
              <w:bottom w:w="40" w:type="dxa"/>
              <w:right w:w="20" w:type="dxa"/>
            </w:tcMar>
            <w:vAlign w:val="bottom"/>
          </w:tcPr>
          <w:p w14:paraId="5F2D3222" w14:textId="77777777" w:rsidR="00E836FB" w:rsidRDefault="00994958">
            <w:pPr>
              <w:textAlignment w:val="bottom"/>
            </w:pPr>
            <w:r>
              <w:rPr>
                <w:rFonts w:ascii="Arial" w:eastAsia="宋体" w:hAnsi="Arial" w:cs="Arial"/>
                <w:color w:val="000000"/>
                <w:sz w:val="14"/>
                <w:szCs w:val="14"/>
              </w:rPr>
              <w:t>Total</w:t>
            </w:r>
          </w:p>
        </w:tc>
        <w:tc>
          <w:tcPr>
            <w:tcW w:w="0" w:type="auto"/>
            <w:gridSpan w:val="3"/>
            <w:shd w:val="clear" w:color="auto" w:fill="CCEEFF"/>
            <w:tcMar>
              <w:top w:w="0" w:type="dxa"/>
              <w:left w:w="20" w:type="dxa"/>
              <w:bottom w:w="0" w:type="dxa"/>
              <w:right w:w="20" w:type="dxa"/>
            </w:tcMar>
            <w:vAlign w:val="bottom"/>
          </w:tcPr>
          <w:p w14:paraId="5F2D322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224"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22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226" w14:textId="77777777" w:rsidR="00E836FB" w:rsidRDefault="00994958">
            <w:pPr>
              <w:jc w:val="right"/>
              <w:textAlignment w:val="bottom"/>
            </w:pPr>
            <w:r>
              <w:rPr>
                <w:rFonts w:ascii="Arial" w:eastAsia="宋体" w:hAnsi="Arial" w:cs="Arial"/>
                <w:b/>
                <w:bCs/>
                <w:color w:val="000000"/>
                <w:sz w:val="14"/>
                <w:szCs w:val="14"/>
              </w:rPr>
              <w:t>(62)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22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22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22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22A" w14:textId="77777777" w:rsidR="00E836FB" w:rsidRDefault="00994958">
            <w:pPr>
              <w:jc w:val="right"/>
              <w:textAlignment w:val="bottom"/>
            </w:pPr>
            <w:r>
              <w:rPr>
                <w:rFonts w:ascii="Arial" w:eastAsia="宋体" w:hAnsi="Arial" w:cs="Arial"/>
                <w:color w:val="000000"/>
                <w:sz w:val="14"/>
                <w:szCs w:val="14"/>
              </w:rPr>
              <w:t>567 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2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22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22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22E" w14:textId="77777777" w:rsidR="00E836FB" w:rsidRDefault="00994958">
            <w:pPr>
              <w:jc w:val="right"/>
              <w:textAlignment w:val="bottom"/>
            </w:pPr>
            <w:r>
              <w:rPr>
                <w:rFonts w:ascii="Arial" w:eastAsia="宋体" w:hAnsi="Arial" w:cs="Arial"/>
                <w:color w:val="000000"/>
                <w:sz w:val="14"/>
                <w:szCs w:val="14"/>
              </w:rPr>
              <w:t>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22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23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23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23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23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234"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23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236" w14:textId="77777777" w:rsidR="00E836FB" w:rsidRDefault="00994958">
            <w:pPr>
              <w:jc w:val="right"/>
              <w:textAlignment w:val="bottom"/>
            </w:pPr>
            <w:r>
              <w:rPr>
                <w:rFonts w:ascii="Arial" w:eastAsia="宋体" w:hAnsi="Arial" w:cs="Arial"/>
                <w:b/>
                <w:bCs/>
                <w:color w:val="000000"/>
                <w:sz w:val="14"/>
                <w:szCs w:val="14"/>
              </w:rPr>
              <w:t>56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23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23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23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23A" w14:textId="77777777" w:rsidR="00E836FB" w:rsidRDefault="00994958">
            <w:pPr>
              <w:jc w:val="right"/>
              <w:textAlignment w:val="bottom"/>
            </w:pPr>
            <w:r>
              <w:rPr>
                <w:rFonts w:ascii="Arial" w:eastAsia="宋体" w:hAnsi="Arial" w:cs="Arial"/>
                <w:color w:val="000000"/>
                <w:sz w:val="14"/>
                <w:szCs w:val="14"/>
              </w:rPr>
              <w:t>(563)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23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23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23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23E" w14:textId="77777777" w:rsidR="00E836FB" w:rsidRDefault="00994958">
            <w:pPr>
              <w:jc w:val="right"/>
              <w:textAlignment w:val="bottom"/>
            </w:pPr>
            <w:r>
              <w:rPr>
                <w:rFonts w:ascii="Arial" w:eastAsia="宋体" w:hAnsi="Arial" w:cs="Arial"/>
                <w:color w:val="000000"/>
                <w:sz w:val="14"/>
                <w:szCs w:val="14"/>
              </w:rPr>
              <w:t>(253)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23F" w14:textId="77777777" w:rsidR="00E836FB" w:rsidRDefault="00E836FB">
            <w:pPr>
              <w:jc w:val="right"/>
              <w:rPr>
                <w:rFonts w:ascii="宋体"/>
              </w:rPr>
            </w:pPr>
          </w:p>
        </w:tc>
      </w:tr>
      <w:tr w:rsidR="00E836FB" w14:paraId="5F2D3253" w14:textId="77777777">
        <w:trPr>
          <w:hidden/>
        </w:trPr>
        <w:tc>
          <w:tcPr>
            <w:tcW w:w="0" w:type="auto"/>
            <w:gridSpan w:val="3"/>
            <w:shd w:val="clear" w:color="auto" w:fill="auto"/>
            <w:vAlign w:val="bottom"/>
          </w:tcPr>
          <w:p w14:paraId="5F2D3241" w14:textId="77777777" w:rsidR="00E836FB" w:rsidRDefault="00E836FB">
            <w:pPr>
              <w:rPr>
                <w:rFonts w:ascii="宋体"/>
                <w:vanish/>
              </w:rPr>
            </w:pPr>
          </w:p>
        </w:tc>
        <w:tc>
          <w:tcPr>
            <w:tcW w:w="0" w:type="auto"/>
            <w:gridSpan w:val="3"/>
            <w:shd w:val="clear" w:color="auto" w:fill="auto"/>
            <w:vAlign w:val="bottom"/>
          </w:tcPr>
          <w:p w14:paraId="5F2D3242" w14:textId="77777777" w:rsidR="00E836FB" w:rsidRDefault="00E836FB">
            <w:pPr>
              <w:rPr>
                <w:rFonts w:ascii="宋体"/>
                <w:vanish/>
              </w:rPr>
            </w:pPr>
          </w:p>
        </w:tc>
        <w:tc>
          <w:tcPr>
            <w:tcW w:w="0" w:type="auto"/>
            <w:gridSpan w:val="3"/>
            <w:shd w:val="clear" w:color="auto" w:fill="auto"/>
            <w:vAlign w:val="bottom"/>
          </w:tcPr>
          <w:p w14:paraId="5F2D3243" w14:textId="77777777" w:rsidR="00E836FB" w:rsidRDefault="00E836FB">
            <w:pPr>
              <w:rPr>
                <w:rFonts w:ascii="宋体"/>
                <w:vanish/>
              </w:rPr>
            </w:pPr>
          </w:p>
        </w:tc>
        <w:tc>
          <w:tcPr>
            <w:tcW w:w="0" w:type="auto"/>
            <w:gridSpan w:val="3"/>
            <w:shd w:val="clear" w:color="auto" w:fill="auto"/>
            <w:vAlign w:val="bottom"/>
          </w:tcPr>
          <w:p w14:paraId="5F2D3244" w14:textId="77777777" w:rsidR="00E836FB" w:rsidRDefault="00E836FB">
            <w:pPr>
              <w:rPr>
                <w:rFonts w:ascii="宋体"/>
                <w:vanish/>
              </w:rPr>
            </w:pPr>
          </w:p>
        </w:tc>
        <w:tc>
          <w:tcPr>
            <w:tcW w:w="0" w:type="auto"/>
            <w:gridSpan w:val="3"/>
            <w:shd w:val="clear" w:color="auto" w:fill="auto"/>
            <w:vAlign w:val="bottom"/>
          </w:tcPr>
          <w:p w14:paraId="5F2D3245" w14:textId="77777777" w:rsidR="00E836FB" w:rsidRDefault="00E836FB">
            <w:pPr>
              <w:rPr>
                <w:rFonts w:ascii="宋体"/>
                <w:vanish/>
              </w:rPr>
            </w:pPr>
          </w:p>
        </w:tc>
        <w:tc>
          <w:tcPr>
            <w:tcW w:w="0" w:type="auto"/>
            <w:gridSpan w:val="3"/>
            <w:shd w:val="clear" w:color="auto" w:fill="auto"/>
            <w:vAlign w:val="bottom"/>
          </w:tcPr>
          <w:p w14:paraId="5F2D3246" w14:textId="77777777" w:rsidR="00E836FB" w:rsidRDefault="00E836FB">
            <w:pPr>
              <w:rPr>
                <w:rFonts w:ascii="宋体"/>
                <w:vanish/>
              </w:rPr>
            </w:pPr>
          </w:p>
        </w:tc>
        <w:tc>
          <w:tcPr>
            <w:tcW w:w="0" w:type="auto"/>
            <w:gridSpan w:val="3"/>
            <w:shd w:val="clear" w:color="auto" w:fill="auto"/>
            <w:vAlign w:val="bottom"/>
          </w:tcPr>
          <w:p w14:paraId="5F2D3247" w14:textId="77777777" w:rsidR="00E836FB" w:rsidRDefault="00E836FB">
            <w:pPr>
              <w:rPr>
                <w:rFonts w:ascii="宋体"/>
                <w:vanish/>
              </w:rPr>
            </w:pPr>
          </w:p>
        </w:tc>
        <w:tc>
          <w:tcPr>
            <w:tcW w:w="0" w:type="auto"/>
            <w:gridSpan w:val="3"/>
            <w:shd w:val="clear" w:color="auto" w:fill="auto"/>
            <w:vAlign w:val="bottom"/>
          </w:tcPr>
          <w:p w14:paraId="5F2D3248" w14:textId="77777777" w:rsidR="00E836FB" w:rsidRDefault="00E836FB">
            <w:pPr>
              <w:rPr>
                <w:rFonts w:ascii="宋体"/>
                <w:vanish/>
              </w:rPr>
            </w:pPr>
          </w:p>
        </w:tc>
        <w:tc>
          <w:tcPr>
            <w:tcW w:w="0" w:type="auto"/>
            <w:gridSpan w:val="3"/>
            <w:shd w:val="clear" w:color="auto" w:fill="auto"/>
            <w:vAlign w:val="bottom"/>
          </w:tcPr>
          <w:p w14:paraId="5F2D3249" w14:textId="77777777" w:rsidR="00E836FB" w:rsidRDefault="00E836FB">
            <w:pPr>
              <w:rPr>
                <w:rFonts w:ascii="宋体"/>
                <w:vanish/>
              </w:rPr>
            </w:pPr>
          </w:p>
        </w:tc>
        <w:tc>
          <w:tcPr>
            <w:tcW w:w="0" w:type="auto"/>
            <w:gridSpan w:val="3"/>
            <w:shd w:val="clear" w:color="auto" w:fill="auto"/>
            <w:vAlign w:val="bottom"/>
          </w:tcPr>
          <w:p w14:paraId="5F2D324A" w14:textId="77777777" w:rsidR="00E836FB" w:rsidRDefault="00E836FB">
            <w:pPr>
              <w:rPr>
                <w:rFonts w:ascii="宋体"/>
                <w:vanish/>
              </w:rPr>
            </w:pPr>
          </w:p>
        </w:tc>
        <w:tc>
          <w:tcPr>
            <w:tcW w:w="0" w:type="auto"/>
            <w:gridSpan w:val="3"/>
            <w:shd w:val="clear" w:color="auto" w:fill="auto"/>
            <w:vAlign w:val="bottom"/>
          </w:tcPr>
          <w:p w14:paraId="5F2D324B" w14:textId="77777777" w:rsidR="00E836FB" w:rsidRDefault="00E836FB">
            <w:pPr>
              <w:rPr>
                <w:rFonts w:ascii="宋体"/>
                <w:vanish/>
              </w:rPr>
            </w:pPr>
          </w:p>
        </w:tc>
        <w:tc>
          <w:tcPr>
            <w:tcW w:w="0" w:type="auto"/>
            <w:gridSpan w:val="3"/>
            <w:shd w:val="clear" w:color="auto" w:fill="auto"/>
            <w:vAlign w:val="bottom"/>
          </w:tcPr>
          <w:p w14:paraId="5F2D324C" w14:textId="77777777" w:rsidR="00E836FB" w:rsidRDefault="00E836FB">
            <w:pPr>
              <w:rPr>
                <w:rFonts w:ascii="宋体"/>
                <w:vanish/>
              </w:rPr>
            </w:pPr>
          </w:p>
        </w:tc>
        <w:tc>
          <w:tcPr>
            <w:tcW w:w="0" w:type="auto"/>
            <w:gridSpan w:val="3"/>
            <w:shd w:val="clear" w:color="auto" w:fill="auto"/>
            <w:vAlign w:val="bottom"/>
          </w:tcPr>
          <w:p w14:paraId="5F2D324D" w14:textId="77777777" w:rsidR="00E836FB" w:rsidRDefault="00E836FB">
            <w:pPr>
              <w:rPr>
                <w:rFonts w:ascii="宋体"/>
                <w:vanish/>
              </w:rPr>
            </w:pPr>
          </w:p>
        </w:tc>
        <w:tc>
          <w:tcPr>
            <w:tcW w:w="0" w:type="auto"/>
            <w:gridSpan w:val="3"/>
            <w:shd w:val="clear" w:color="auto" w:fill="auto"/>
            <w:vAlign w:val="bottom"/>
          </w:tcPr>
          <w:p w14:paraId="5F2D324E" w14:textId="77777777" w:rsidR="00E836FB" w:rsidRDefault="00E836FB">
            <w:pPr>
              <w:rPr>
                <w:rFonts w:ascii="宋体"/>
                <w:vanish/>
              </w:rPr>
            </w:pPr>
          </w:p>
        </w:tc>
        <w:tc>
          <w:tcPr>
            <w:tcW w:w="0" w:type="auto"/>
            <w:gridSpan w:val="3"/>
            <w:shd w:val="clear" w:color="auto" w:fill="auto"/>
            <w:vAlign w:val="bottom"/>
          </w:tcPr>
          <w:p w14:paraId="5F2D324F" w14:textId="77777777" w:rsidR="00E836FB" w:rsidRDefault="00E836FB">
            <w:pPr>
              <w:rPr>
                <w:rFonts w:ascii="宋体"/>
                <w:vanish/>
              </w:rPr>
            </w:pPr>
          </w:p>
        </w:tc>
        <w:tc>
          <w:tcPr>
            <w:tcW w:w="0" w:type="auto"/>
            <w:gridSpan w:val="3"/>
            <w:shd w:val="clear" w:color="auto" w:fill="auto"/>
            <w:vAlign w:val="bottom"/>
          </w:tcPr>
          <w:p w14:paraId="5F2D3250" w14:textId="77777777" w:rsidR="00E836FB" w:rsidRDefault="00E836FB">
            <w:pPr>
              <w:rPr>
                <w:rFonts w:ascii="宋体"/>
                <w:vanish/>
              </w:rPr>
            </w:pPr>
          </w:p>
        </w:tc>
        <w:tc>
          <w:tcPr>
            <w:tcW w:w="0" w:type="auto"/>
            <w:gridSpan w:val="3"/>
            <w:shd w:val="clear" w:color="auto" w:fill="auto"/>
            <w:vAlign w:val="bottom"/>
          </w:tcPr>
          <w:p w14:paraId="5F2D3251" w14:textId="77777777" w:rsidR="00E836FB" w:rsidRDefault="00E836FB">
            <w:pPr>
              <w:rPr>
                <w:rFonts w:ascii="宋体"/>
                <w:vanish/>
              </w:rPr>
            </w:pPr>
          </w:p>
        </w:tc>
        <w:tc>
          <w:tcPr>
            <w:tcW w:w="0" w:type="auto"/>
            <w:gridSpan w:val="3"/>
            <w:shd w:val="clear" w:color="auto" w:fill="auto"/>
            <w:vAlign w:val="bottom"/>
          </w:tcPr>
          <w:p w14:paraId="5F2D3252" w14:textId="77777777" w:rsidR="00E836FB" w:rsidRDefault="00E836FB">
            <w:pPr>
              <w:rPr>
                <w:rFonts w:ascii="宋体"/>
                <w:vanish/>
              </w:rPr>
            </w:pPr>
          </w:p>
        </w:tc>
      </w:tr>
      <w:tr w:rsidR="00E836FB" w14:paraId="5F2D326E" w14:textId="77777777">
        <w:trPr>
          <w:hidden/>
        </w:trPr>
        <w:tc>
          <w:tcPr>
            <w:tcW w:w="0" w:type="auto"/>
            <w:gridSpan w:val="3"/>
            <w:shd w:val="clear" w:color="auto" w:fill="auto"/>
            <w:vAlign w:val="bottom"/>
          </w:tcPr>
          <w:p w14:paraId="5F2D3254" w14:textId="77777777" w:rsidR="00E836FB" w:rsidRDefault="00E836FB">
            <w:pPr>
              <w:rPr>
                <w:rFonts w:ascii="宋体"/>
                <w:vanish/>
              </w:rPr>
            </w:pPr>
          </w:p>
        </w:tc>
        <w:tc>
          <w:tcPr>
            <w:tcW w:w="0" w:type="auto"/>
            <w:gridSpan w:val="3"/>
            <w:shd w:val="clear" w:color="auto" w:fill="auto"/>
            <w:vAlign w:val="bottom"/>
          </w:tcPr>
          <w:p w14:paraId="5F2D3255" w14:textId="77777777" w:rsidR="00E836FB" w:rsidRDefault="00E836FB">
            <w:pPr>
              <w:rPr>
                <w:rFonts w:ascii="宋体"/>
                <w:vanish/>
              </w:rPr>
            </w:pPr>
          </w:p>
        </w:tc>
        <w:tc>
          <w:tcPr>
            <w:tcW w:w="0" w:type="auto"/>
            <w:gridSpan w:val="3"/>
            <w:shd w:val="clear" w:color="auto" w:fill="auto"/>
            <w:vAlign w:val="bottom"/>
          </w:tcPr>
          <w:p w14:paraId="5F2D3256" w14:textId="77777777" w:rsidR="00E836FB" w:rsidRDefault="00E836FB">
            <w:pPr>
              <w:rPr>
                <w:rFonts w:ascii="宋体"/>
                <w:vanish/>
              </w:rPr>
            </w:pPr>
          </w:p>
        </w:tc>
        <w:tc>
          <w:tcPr>
            <w:tcW w:w="0" w:type="auto"/>
            <w:gridSpan w:val="3"/>
            <w:shd w:val="clear" w:color="auto" w:fill="auto"/>
            <w:vAlign w:val="bottom"/>
          </w:tcPr>
          <w:p w14:paraId="5F2D3257" w14:textId="77777777" w:rsidR="00E836FB" w:rsidRDefault="00E836FB">
            <w:pPr>
              <w:rPr>
                <w:rFonts w:ascii="宋体"/>
                <w:vanish/>
              </w:rPr>
            </w:pPr>
          </w:p>
        </w:tc>
        <w:tc>
          <w:tcPr>
            <w:tcW w:w="0" w:type="auto"/>
            <w:gridSpan w:val="3"/>
            <w:shd w:val="clear" w:color="auto" w:fill="auto"/>
            <w:vAlign w:val="bottom"/>
          </w:tcPr>
          <w:p w14:paraId="5F2D3258" w14:textId="77777777" w:rsidR="00E836FB" w:rsidRDefault="00E836FB">
            <w:pPr>
              <w:rPr>
                <w:rFonts w:ascii="宋体"/>
                <w:vanish/>
              </w:rPr>
            </w:pPr>
          </w:p>
        </w:tc>
        <w:tc>
          <w:tcPr>
            <w:tcW w:w="0" w:type="auto"/>
            <w:gridSpan w:val="3"/>
            <w:shd w:val="clear" w:color="auto" w:fill="auto"/>
            <w:vAlign w:val="bottom"/>
          </w:tcPr>
          <w:p w14:paraId="5F2D3259" w14:textId="77777777" w:rsidR="00E836FB" w:rsidRDefault="00E836FB">
            <w:pPr>
              <w:rPr>
                <w:rFonts w:ascii="宋体"/>
                <w:vanish/>
              </w:rPr>
            </w:pPr>
          </w:p>
        </w:tc>
        <w:tc>
          <w:tcPr>
            <w:tcW w:w="0" w:type="auto"/>
            <w:gridSpan w:val="3"/>
            <w:shd w:val="clear" w:color="auto" w:fill="auto"/>
            <w:vAlign w:val="bottom"/>
          </w:tcPr>
          <w:p w14:paraId="5F2D325A" w14:textId="77777777" w:rsidR="00E836FB" w:rsidRDefault="00E836FB">
            <w:pPr>
              <w:rPr>
                <w:rFonts w:ascii="宋体"/>
                <w:vanish/>
              </w:rPr>
            </w:pPr>
          </w:p>
        </w:tc>
        <w:tc>
          <w:tcPr>
            <w:tcW w:w="0" w:type="auto"/>
            <w:gridSpan w:val="3"/>
            <w:shd w:val="clear" w:color="auto" w:fill="auto"/>
            <w:vAlign w:val="bottom"/>
          </w:tcPr>
          <w:p w14:paraId="5F2D325B" w14:textId="77777777" w:rsidR="00E836FB" w:rsidRDefault="00E836FB">
            <w:pPr>
              <w:rPr>
                <w:rFonts w:ascii="宋体"/>
                <w:vanish/>
              </w:rPr>
            </w:pPr>
          </w:p>
        </w:tc>
        <w:tc>
          <w:tcPr>
            <w:tcW w:w="0" w:type="auto"/>
            <w:gridSpan w:val="3"/>
            <w:shd w:val="clear" w:color="auto" w:fill="auto"/>
            <w:vAlign w:val="bottom"/>
          </w:tcPr>
          <w:p w14:paraId="5F2D325C" w14:textId="77777777" w:rsidR="00E836FB" w:rsidRDefault="00E836FB">
            <w:pPr>
              <w:rPr>
                <w:rFonts w:ascii="宋体"/>
                <w:vanish/>
              </w:rPr>
            </w:pPr>
          </w:p>
        </w:tc>
        <w:tc>
          <w:tcPr>
            <w:tcW w:w="0" w:type="auto"/>
            <w:gridSpan w:val="3"/>
            <w:shd w:val="clear" w:color="auto" w:fill="auto"/>
            <w:vAlign w:val="bottom"/>
          </w:tcPr>
          <w:p w14:paraId="5F2D325D" w14:textId="77777777" w:rsidR="00E836FB" w:rsidRDefault="00E836FB">
            <w:pPr>
              <w:rPr>
                <w:rFonts w:ascii="宋体"/>
                <w:vanish/>
              </w:rPr>
            </w:pPr>
          </w:p>
        </w:tc>
        <w:tc>
          <w:tcPr>
            <w:tcW w:w="0" w:type="auto"/>
            <w:gridSpan w:val="3"/>
            <w:shd w:val="clear" w:color="auto" w:fill="auto"/>
            <w:vAlign w:val="bottom"/>
          </w:tcPr>
          <w:p w14:paraId="5F2D325E" w14:textId="77777777" w:rsidR="00E836FB" w:rsidRDefault="00E836FB">
            <w:pPr>
              <w:rPr>
                <w:rFonts w:ascii="宋体"/>
                <w:vanish/>
              </w:rPr>
            </w:pPr>
          </w:p>
        </w:tc>
        <w:tc>
          <w:tcPr>
            <w:tcW w:w="0" w:type="auto"/>
            <w:gridSpan w:val="3"/>
            <w:shd w:val="clear" w:color="auto" w:fill="auto"/>
            <w:vAlign w:val="bottom"/>
          </w:tcPr>
          <w:p w14:paraId="5F2D325F" w14:textId="77777777" w:rsidR="00E836FB" w:rsidRDefault="00E836FB">
            <w:pPr>
              <w:rPr>
                <w:rFonts w:ascii="宋体"/>
                <w:vanish/>
              </w:rPr>
            </w:pPr>
          </w:p>
        </w:tc>
        <w:tc>
          <w:tcPr>
            <w:tcW w:w="0" w:type="auto"/>
            <w:gridSpan w:val="3"/>
            <w:shd w:val="clear" w:color="auto" w:fill="auto"/>
            <w:vAlign w:val="bottom"/>
          </w:tcPr>
          <w:p w14:paraId="5F2D3260" w14:textId="77777777" w:rsidR="00E836FB" w:rsidRDefault="00E836FB">
            <w:pPr>
              <w:rPr>
                <w:rFonts w:ascii="宋体"/>
                <w:vanish/>
              </w:rPr>
            </w:pPr>
          </w:p>
        </w:tc>
        <w:tc>
          <w:tcPr>
            <w:tcW w:w="0" w:type="auto"/>
            <w:gridSpan w:val="3"/>
            <w:shd w:val="clear" w:color="auto" w:fill="auto"/>
            <w:vAlign w:val="bottom"/>
          </w:tcPr>
          <w:p w14:paraId="5F2D3261" w14:textId="77777777" w:rsidR="00E836FB" w:rsidRDefault="00E836FB">
            <w:pPr>
              <w:rPr>
                <w:rFonts w:ascii="宋体"/>
                <w:vanish/>
              </w:rPr>
            </w:pPr>
          </w:p>
        </w:tc>
        <w:tc>
          <w:tcPr>
            <w:tcW w:w="0" w:type="auto"/>
            <w:shd w:val="clear" w:color="auto" w:fill="auto"/>
            <w:vAlign w:val="bottom"/>
          </w:tcPr>
          <w:p w14:paraId="5F2D3262" w14:textId="77777777" w:rsidR="00E836FB" w:rsidRDefault="00E836FB">
            <w:pPr>
              <w:rPr>
                <w:rFonts w:ascii="宋体"/>
              </w:rPr>
            </w:pPr>
          </w:p>
        </w:tc>
        <w:tc>
          <w:tcPr>
            <w:tcW w:w="0" w:type="auto"/>
            <w:shd w:val="clear" w:color="auto" w:fill="auto"/>
            <w:vAlign w:val="bottom"/>
          </w:tcPr>
          <w:p w14:paraId="5F2D3263" w14:textId="77777777" w:rsidR="00E836FB" w:rsidRDefault="00E836FB">
            <w:pPr>
              <w:rPr>
                <w:rFonts w:ascii="宋体"/>
              </w:rPr>
            </w:pPr>
          </w:p>
        </w:tc>
        <w:tc>
          <w:tcPr>
            <w:tcW w:w="0" w:type="auto"/>
            <w:shd w:val="clear" w:color="auto" w:fill="auto"/>
            <w:vAlign w:val="bottom"/>
          </w:tcPr>
          <w:p w14:paraId="5F2D3264" w14:textId="77777777" w:rsidR="00E836FB" w:rsidRDefault="00E836FB">
            <w:pPr>
              <w:rPr>
                <w:rFonts w:ascii="宋体"/>
              </w:rPr>
            </w:pPr>
          </w:p>
        </w:tc>
        <w:tc>
          <w:tcPr>
            <w:tcW w:w="0" w:type="auto"/>
            <w:shd w:val="clear" w:color="auto" w:fill="auto"/>
            <w:vAlign w:val="bottom"/>
          </w:tcPr>
          <w:p w14:paraId="5F2D3265" w14:textId="77777777" w:rsidR="00E836FB" w:rsidRDefault="00E836FB">
            <w:pPr>
              <w:rPr>
                <w:rFonts w:ascii="宋体"/>
              </w:rPr>
            </w:pPr>
          </w:p>
        </w:tc>
        <w:tc>
          <w:tcPr>
            <w:tcW w:w="0" w:type="auto"/>
            <w:shd w:val="clear" w:color="auto" w:fill="auto"/>
            <w:vAlign w:val="bottom"/>
          </w:tcPr>
          <w:p w14:paraId="5F2D3266" w14:textId="77777777" w:rsidR="00E836FB" w:rsidRDefault="00E836FB">
            <w:pPr>
              <w:rPr>
                <w:rFonts w:ascii="宋体"/>
              </w:rPr>
            </w:pPr>
          </w:p>
        </w:tc>
        <w:tc>
          <w:tcPr>
            <w:tcW w:w="0" w:type="auto"/>
            <w:shd w:val="clear" w:color="auto" w:fill="auto"/>
            <w:vAlign w:val="bottom"/>
          </w:tcPr>
          <w:p w14:paraId="5F2D3267" w14:textId="77777777" w:rsidR="00E836FB" w:rsidRDefault="00E836FB">
            <w:pPr>
              <w:rPr>
                <w:rFonts w:ascii="宋体"/>
              </w:rPr>
            </w:pPr>
          </w:p>
        </w:tc>
        <w:tc>
          <w:tcPr>
            <w:tcW w:w="0" w:type="auto"/>
            <w:shd w:val="clear" w:color="auto" w:fill="auto"/>
            <w:vAlign w:val="bottom"/>
          </w:tcPr>
          <w:p w14:paraId="5F2D3268" w14:textId="77777777" w:rsidR="00E836FB" w:rsidRDefault="00E836FB">
            <w:pPr>
              <w:rPr>
                <w:rFonts w:ascii="宋体"/>
              </w:rPr>
            </w:pPr>
          </w:p>
        </w:tc>
        <w:tc>
          <w:tcPr>
            <w:tcW w:w="0" w:type="auto"/>
            <w:shd w:val="clear" w:color="auto" w:fill="auto"/>
            <w:vAlign w:val="bottom"/>
          </w:tcPr>
          <w:p w14:paraId="5F2D3269" w14:textId="77777777" w:rsidR="00E836FB" w:rsidRDefault="00E836FB">
            <w:pPr>
              <w:rPr>
                <w:rFonts w:ascii="宋体"/>
              </w:rPr>
            </w:pPr>
          </w:p>
        </w:tc>
        <w:tc>
          <w:tcPr>
            <w:tcW w:w="0" w:type="auto"/>
            <w:shd w:val="clear" w:color="auto" w:fill="auto"/>
            <w:vAlign w:val="bottom"/>
          </w:tcPr>
          <w:p w14:paraId="5F2D326A" w14:textId="77777777" w:rsidR="00E836FB" w:rsidRDefault="00E836FB">
            <w:pPr>
              <w:rPr>
                <w:rFonts w:ascii="宋体"/>
              </w:rPr>
            </w:pPr>
          </w:p>
        </w:tc>
        <w:tc>
          <w:tcPr>
            <w:tcW w:w="0" w:type="auto"/>
            <w:shd w:val="clear" w:color="auto" w:fill="auto"/>
            <w:vAlign w:val="bottom"/>
          </w:tcPr>
          <w:p w14:paraId="5F2D326B" w14:textId="77777777" w:rsidR="00E836FB" w:rsidRDefault="00E836FB">
            <w:pPr>
              <w:rPr>
                <w:rFonts w:ascii="宋体"/>
              </w:rPr>
            </w:pPr>
          </w:p>
        </w:tc>
        <w:tc>
          <w:tcPr>
            <w:tcW w:w="0" w:type="auto"/>
            <w:shd w:val="clear" w:color="auto" w:fill="auto"/>
            <w:vAlign w:val="bottom"/>
          </w:tcPr>
          <w:p w14:paraId="5F2D326C" w14:textId="77777777" w:rsidR="00E836FB" w:rsidRDefault="00E836FB">
            <w:pPr>
              <w:rPr>
                <w:rFonts w:ascii="宋体"/>
              </w:rPr>
            </w:pPr>
          </w:p>
        </w:tc>
        <w:tc>
          <w:tcPr>
            <w:tcW w:w="0" w:type="auto"/>
            <w:shd w:val="clear" w:color="auto" w:fill="auto"/>
            <w:vAlign w:val="bottom"/>
          </w:tcPr>
          <w:p w14:paraId="5F2D326D" w14:textId="77777777" w:rsidR="00E836FB" w:rsidRDefault="00E836FB">
            <w:pPr>
              <w:rPr>
                <w:rFonts w:ascii="宋体"/>
              </w:rPr>
            </w:pPr>
          </w:p>
        </w:tc>
      </w:tr>
      <w:tr w:rsidR="00E836FB" w14:paraId="5F2D3281" w14:textId="77777777">
        <w:trPr>
          <w:hidden/>
        </w:trPr>
        <w:tc>
          <w:tcPr>
            <w:tcW w:w="0" w:type="auto"/>
            <w:gridSpan w:val="3"/>
            <w:shd w:val="clear" w:color="auto" w:fill="auto"/>
            <w:vAlign w:val="bottom"/>
          </w:tcPr>
          <w:p w14:paraId="5F2D326F" w14:textId="77777777" w:rsidR="00E836FB" w:rsidRDefault="00E836FB">
            <w:pPr>
              <w:rPr>
                <w:rFonts w:ascii="宋体"/>
                <w:vanish/>
              </w:rPr>
            </w:pPr>
          </w:p>
        </w:tc>
        <w:tc>
          <w:tcPr>
            <w:tcW w:w="0" w:type="auto"/>
            <w:gridSpan w:val="3"/>
            <w:shd w:val="clear" w:color="auto" w:fill="auto"/>
            <w:vAlign w:val="bottom"/>
          </w:tcPr>
          <w:p w14:paraId="5F2D3270" w14:textId="77777777" w:rsidR="00E836FB" w:rsidRDefault="00E836FB">
            <w:pPr>
              <w:rPr>
                <w:rFonts w:ascii="宋体"/>
                <w:vanish/>
              </w:rPr>
            </w:pPr>
          </w:p>
        </w:tc>
        <w:tc>
          <w:tcPr>
            <w:tcW w:w="0" w:type="auto"/>
            <w:gridSpan w:val="3"/>
            <w:shd w:val="clear" w:color="auto" w:fill="auto"/>
            <w:vAlign w:val="bottom"/>
          </w:tcPr>
          <w:p w14:paraId="5F2D3271" w14:textId="77777777" w:rsidR="00E836FB" w:rsidRDefault="00E836FB">
            <w:pPr>
              <w:rPr>
                <w:rFonts w:ascii="宋体"/>
                <w:vanish/>
              </w:rPr>
            </w:pPr>
          </w:p>
        </w:tc>
        <w:tc>
          <w:tcPr>
            <w:tcW w:w="0" w:type="auto"/>
            <w:gridSpan w:val="3"/>
            <w:shd w:val="clear" w:color="auto" w:fill="auto"/>
            <w:vAlign w:val="bottom"/>
          </w:tcPr>
          <w:p w14:paraId="5F2D3272" w14:textId="77777777" w:rsidR="00E836FB" w:rsidRDefault="00E836FB">
            <w:pPr>
              <w:rPr>
                <w:rFonts w:ascii="宋体"/>
                <w:vanish/>
              </w:rPr>
            </w:pPr>
          </w:p>
        </w:tc>
        <w:tc>
          <w:tcPr>
            <w:tcW w:w="0" w:type="auto"/>
            <w:gridSpan w:val="3"/>
            <w:shd w:val="clear" w:color="auto" w:fill="auto"/>
            <w:vAlign w:val="bottom"/>
          </w:tcPr>
          <w:p w14:paraId="5F2D3273" w14:textId="77777777" w:rsidR="00E836FB" w:rsidRDefault="00E836FB">
            <w:pPr>
              <w:rPr>
                <w:rFonts w:ascii="宋体"/>
                <w:vanish/>
              </w:rPr>
            </w:pPr>
          </w:p>
        </w:tc>
        <w:tc>
          <w:tcPr>
            <w:tcW w:w="0" w:type="auto"/>
            <w:gridSpan w:val="3"/>
            <w:shd w:val="clear" w:color="auto" w:fill="auto"/>
            <w:vAlign w:val="bottom"/>
          </w:tcPr>
          <w:p w14:paraId="5F2D3274" w14:textId="77777777" w:rsidR="00E836FB" w:rsidRDefault="00E836FB">
            <w:pPr>
              <w:rPr>
                <w:rFonts w:ascii="宋体"/>
                <w:vanish/>
              </w:rPr>
            </w:pPr>
          </w:p>
        </w:tc>
        <w:tc>
          <w:tcPr>
            <w:tcW w:w="0" w:type="auto"/>
            <w:gridSpan w:val="3"/>
            <w:shd w:val="clear" w:color="auto" w:fill="auto"/>
            <w:vAlign w:val="bottom"/>
          </w:tcPr>
          <w:p w14:paraId="5F2D3275" w14:textId="77777777" w:rsidR="00E836FB" w:rsidRDefault="00E836FB">
            <w:pPr>
              <w:rPr>
                <w:rFonts w:ascii="宋体"/>
                <w:vanish/>
              </w:rPr>
            </w:pPr>
          </w:p>
        </w:tc>
        <w:tc>
          <w:tcPr>
            <w:tcW w:w="0" w:type="auto"/>
            <w:gridSpan w:val="3"/>
            <w:shd w:val="clear" w:color="auto" w:fill="auto"/>
            <w:vAlign w:val="bottom"/>
          </w:tcPr>
          <w:p w14:paraId="5F2D3276" w14:textId="77777777" w:rsidR="00E836FB" w:rsidRDefault="00E836FB">
            <w:pPr>
              <w:rPr>
                <w:rFonts w:ascii="宋体"/>
                <w:vanish/>
              </w:rPr>
            </w:pPr>
          </w:p>
        </w:tc>
        <w:tc>
          <w:tcPr>
            <w:tcW w:w="0" w:type="auto"/>
            <w:gridSpan w:val="3"/>
            <w:shd w:val="clear" w:color="auto" w:fill="auto"/>
            <w:vAlign w:val="bottom"/>
          </w:tcPr>
          <w:p w14:paraId="5F2D3277" w14:textId="77777777" w:rsidR="00E836FB" w:rsidRDefault="00E836FB">
            <w:pPr>
              <w:rPr>
                <w:rFonts w:ascii="宋体"/>
                <w:vanish/>
              </w:rPr>
            </w:pPr>
          </w:p>
        </w:tc>
        <w:tc>
          <w:tcPr>
            <w:tcW w:w="0" w:type="auto"/>
            <w:gridSpan w:val="3"/>
            <w:shd w:val="clear" w:color="auto" w:fill="auto"/>
            <w:vAlign w:val="bottom"/>
          </w:tcPr>
          <w:p w14:paraId="5F2D3278" w14:textId="77777777" w:rsidR="00E836FB" w:rsidRDefault="00E836FB">
            <w:pPr>
              <w:rPr>
                <w:rFonts w:ascii="宋体"/>
                <w:vanish/>
              </w:rPr>
            </w:pPr>
          </w:p>
        </w:tc>
        <w:tc>
          <w:tcPr>
            <w:tcW w:w="0" w:type="auto"/>
            <w:gridSpan w:val="3"/>
            <w:shd w:val="clear" w:color="auto" w:fill="auto"/>
            <w:vAlign w:val="bottom"/>
          </w:tcPr>
          <w:p w14:paraId="5F2D3279" w14:textId="77777777" w:rsidR="00E836FB" w:rsidRDefault="00E836FB">
            <w:pPr>
              <w:rPr>
                <w:rFonts w:ascii="宋体"/>
                <w:vanish/>
              </w:rPr>
            </w:pPr>
          </w:p>
        </w:tc>
        <w:tc>
          <w:tcPr>
            <w:tcW w:w="0" w:type="auto"/>
            <w:gridSpan w:val="3"/>
            <w:shd w:val="clear" w:color="auto" w:fill="auto"/>
            <w:vAlign w:val="bottom"/>
          </w:tcPr>
          <w:p w14:paraId="5F2D327A" w14:textId="77777777" w:rsidR="00E836FB" w:rsidRDefault="00E836FB">
            <w:pPr>
              <w:rPr>
                <w:rFonts w:ascii="宋体"/>
                <w:vanish/>
              </w:rPr>
            </w:pPr>
          </w:p>
        </w:tc>
        <w:tc>
          <w:tcPr>
            <w:tcW w:w="0" w:type="auto"/>
            <w:gridSpan w:val="3"/>
            <w:shd w:val="clear" w:color="auto" w:fill="auto"/>
            <w:vAlign w:val="bottom"/>
          </w:tcPr>
          <w:p w14:paraId="5F2D327B" w14:textId="77777777" w:rsidR="00E836FB" w:rsidRDefault="00E836FB">
            <w:pPr>
              <w:rPr>
                <w:rFonts w:ascii="宋体"/>
                <w:vanish/>
              </w:rPr>
            </w:pPr>
          </w:p>
        </w:tc>
        <w:tc>
          <w:tcPr>
            <w:tcW w:w="0" w:type="auto"/>
            <w:gridSpan w:val="3"/>
            <w:shd w:val="clear" w:color="auto" w:fill="auto"/>
            <w:vAlign w:val="bottom"/>
          </w:tcPr>
          <w:p w14:paraId="5F2D327C" w14:textId="77777777" w:rsidR="00E836FB" w:rsidRDefault="00E836FB">
            <w:pPr>
              <w:rPr>
                <w:rFonts w:ascii="宋体"/>
                <w:vanish/>
              </w:rPr>
            </w:pPr>
          </w:p>
        </w:tc>
        <w:tc>
          <w:tcPr>
            <w:tcW w:w="0" w:type="auto"/>
            <w:gridSpan w:val="3"/>
            <w:shd w:val="clear" w:color="auto" w:fill="auto"/>
            <w:vAlign w:val="bottom"/>
          </w:tcPr>
          <w:p w14:paraId="5F2D327D" w14:textId="77777777" w:rsidR="00E836FB" w:rsidRDefault="00E836FB">
            <w:pPr>
              <w:rPr>
                <w:rFonts w:ascii="宋体"/>
                <w:vanish/>
              </w:rPr>
            </w:pPr>
          </w:p>
        </w:tc>
        <w:tc>
          <w:tcPr>
            <w:tcW w:w="0" w:type="auto"/>
            <w:gridSpan w:val="3"/>
            <w:shd w:val="clear" w:color="auto" w:fill="auto"/>
            <w:vAlign w:val="bottom"/>
          </w:tcPr>
          <w:p w14:paraId="5F2D327E" w14:textId="77777777" w:rsidR="00E836FB" w:rsidRDefault="00E836FB">
            <w:pPr>
              <w:rPr>
                <w:rFonts w:ascii="宋体"/>
                <w:vanish/>
              </w:rPr>
            </w:pPr>
          </w:p>
        </w:tc>
        <w:tc>
          <w:tcPr>
            <w:tcW w:w="0" w:type="auto"/>
            <w:gridSpan w:val="3"/>
            <w:shd w:val="clear" w:color="auto" w:fill="auto"/>
            <w:vAlign w:val="bottom"/>
          </w:tcPr>
          <w:p w14:paraId="5F2D327F" w14:textId="77777777" w:rsidR="00E836FB" w:rsidRDefault="00E836FB">
            <w:pPr>
              <w:rPr>
                <w:rFonts w:ascii="宋体"/>
                <w:vanish/>
              </w:rPr>
            </w:pPr>
          </w:p>
        </w:tc>
        <w:tc>
          <w:tcPr>
            <w:tcW w:w="0" w:type="auto"/>
            <w:gridSpan w:val="3"/>
            <w:shd w:val="clear" w:color="auto" w:fill="auto"/>
            <w:vAlign w:val="bottom"/>
          </w:tcPr>
          <w:p w14:paraId="5F2D3280" w14:textId="77777777" w:rsidR="00E836FB" w:rsidRDefault="00E836FB">
            <w:pPr>
              <w:rPr>
                <w:rFonts w:ascii="宋体"/>
                <w:vanish/>
              </w:rPr>
            </w:pPr>
          </w:p>
        </w:tc>
      </w:tr>
      <w:tr w:rsidR="00E836FB" w14:paraId="5F2D329C" w14:textId="77777777">
        <w:trPr>
          <w:hidden/>
        </w:trPr>
        <w:tc>
          <w:tcPr>
            <w:tcW w:w="0" w:type="auto"/>
            <w:gridSpan w:val="3"/>
            <w:shd w:val="clear" w:color="auto" w:fill="auto"/>
            <w:vAlign w:val="bottom"/>
          </w:tcPr>
          <w:p w14:paraId="5F2D3282" w14:textId="77777777" w:rsidR="00E836FB" w:rsidRDefault="00E836FB">
            <w:pPr>
              <w:rPr>
                <w:rFonts w:ascii="宋体"/>
                <w:vanish/>
              </w:rPr>
            </w:pPr>
          </w:p>
        </w:tc>
        <w:tc>
          <w:tcPr>
            <w:tcW w:w="0" w:type="auto"/>
            <w:gridSpan w:val="3"/>
            <w:shd w:val="clear" w:color="auto" w:fill="auto"/>
            <w:vAlign w:val="bottom"/>
          </w:tcPr>
          <w:p w14:paraId="5F2D3283" w14:textId="77777777" w:rsidR="00E836FB" w:rsidRDefault="00E836FB">
            <w:pPr>
              <w:rPr>
                <w:rFonts w:ascii="宋体"/>
                <w:vanish/>
              </w:rPr>
            </w:pPr>
          </w:p>
        </w:tc>
        <w:tc>
          <w:tcPr>
            <w:tcW w:w="0" w:type="auto"/>
            <w:gridSpan w:val="3"/>
            <w:shd w:val="clear" w:color="auto" w:fill="auto"/>
            <w:vAlign w:val="bottom"/>
          </w:tcPr>
          <w:p w14:paraId="5F2D3284" w14:textId="77777777" w:rsidR="00E836FB" w:rsidRDefault="00E836FB">
            <w:pPr>
              <w:rPr>
                <w:rFonts w:ascii="宋体"/>
                <w:vanish/>
              </w:rPr>
            </w:pPr>
          </w:p>
        </w:tc>
        <w:tc>
          <w:tcPr>
            <w:tcW w:w="0" w:type="auto"/>
            <w:gridSpan w:val="3"/>
            <w:shd w:val="clear" w:color="auto" w:fill="auto"/>
            <w:vAlign w:val="bottom"/>
          </w:tcPr>
          <w:p w14:paraId="5F2D3285" w14:textId="77777777" w:rsidR="00E836FB" w:rsidRDefault="00E836FB">
            <w:pPr>
              <w:rPr>
                <w:rFonts w:ascii="宋体"/>
                <w:vanish/>
              </w:rPr>
            </w:pPr>
          </w:p>
        </w:tc>
        <w:tc>
          <w:tcPr>
            <w:tcW w:w="0" w:type="auto"/>
            <w:gridSpan w:val="3"/>
            <w:shd w:val="clear" w:color="auto" w:fill="auto"/>
            <w:vAlign w:val="bottom"/>
          </w:tcPr>
          <w:p w14:paraId="5F2D3286" w14:textId="77777777" w:rsidR="00E836FB" w:rsidRDefault="00E836FB">
            <w:pPr>
              <w:rPr>
                <w:rFonts w:ascii="宋体"/>
                <w:vanish/>
              </w:rPr>
            </w:pPr>
          </w:p>
        </w:tc>
        <w:tc>
          <w:tcPr>
            <w:tcW w:w="0" w:type="auto"/>
            <w:gridSpan w:val="3"/>
            <w:shd w:val="clear" w:color="auto" w:fill="auto"/>
            <w:vAlign w:val="bottom"/>
          </w:tcPr>
          <w:p w14:paraId="5F2D3287" w14:textId="77777777" w:rsidR="00E836FB" w:rsidRDefault="00E836FB">
            <w:pPr>
              <w:rPr>
                <w:rFonts w:ascii="宋体"/>
                <w:vanish/>
              </w:rPr>
            </w:pPr>
          </w:p>
        </w:tc>
        <w:tc>
          <w:tcPr>
            <w:tcW w:w="0" w:type="auto"/>
            <w:gridSpan w:val="3"/>
            <w:shd w:val="clear" w:color="auto" w:fill="auto"/>
            <w:vAlign w:val="bottom"/>
          </w:tcPr>
          <w:p w14:paraId="5F2D3288" w14:textId="77777777" w:rsidR="00E836FB" w:rsidRDefault="00E836FB">
            <w:pPr>
              <w:rPr>
                <w:rFonts w:ascii="宋体"/>
                <w:vanish/>
              </w:rPr>
            </w:pPr>
          </w:p>
        </w:tc>
        <w:tc>
          <w:tcPr>
            <w:tcW w:w="0" w:type="auto"/>
            <w:gridSpan w:val="3"/>
            <w:shd w:val="clear" w:color="auto" w:fill="auto"/>
            <w:vAlign w:val="bottom"/>
          </w:tcPr>
          <w:p w14:paraId="5F2D3289" w14:textId="77777777" w:rsidR="00E836FB" w:rsidRDefault="00E836FB">
            <w:pPr>
              <w:rPr>
                <w:rFonts w:ascii="宋体"/>
                <w:vanish/>
              </w:rPr>
            </w:pPr>
          </w:p>
        </w:tc>
        <w:tc>
          <w:tcPr>
            <w:tcW w:w="0" w:type="auto"/>
            <w:gridSpan w:val="3"/>
            <w:shd w:val="clear" w:color="auto" w:fill="auto"/>
            <w:vAlign w:val="bottom"/>
          </w:tcPr>
          <w:p w14:paraId="5F2D328A" w14:textId="77777777" w:rsidR="00E836FB" w:rsidRDefault="00E836FB">
            <w:pPr>
              <w:rPr>
                <w:rFonts w:ascii="宋体"/>
                <w:vanish/>
              </w:rPr>
            </w:pPr>
          </w:p>
        </w:tc>
        <w:tc>
          <w:tcPr>
            <w:tcW w:w="0" w:type="auto"/>
            <w:gridSpan w:val="3"/>
            <w:shd w:val="clear" w:color="auto" w:fill="auto"/>
            <w:vAlign w:val="bottom"/>
          </w:tcPr>
          <w:p w14:paraId="5F2D328B" w14:textId="77777777" w:rsidR="00E836FB" w:rsidRDefault="00E836FB">
            <w:pPr>
              <w:rPr>
                <w:rFonts w:ascii="宋体"/>
                <w:vanish/>
              </w:rPr>
            </w:pPr>
          </w:p>
        </w:tc>
        <w:tc>
          <w:tcPr>
            <w:tcW w:w="0" w:type="auto"/>
            <w:gridSpan w:val="3"/>
            <w:shd w:val="clear" w:color="auto" w:fill="auto"/>
            <w:vAlign w:val="bottom"/>
          </w:tcPr>
          <w:p w14:paraId="5F2D328C" w14:textId="77777777" w:rsidR="00E836FB" w:rsidRDefault="00E836FB">
            <w:pPr>
              <w:rPr>
                <w:rFonts w:ascii="宋体"/>
                <w:vanish/>
              </w:rPr>
            </w:pPr>
          </w:p>
        </w:tc>
        <w:tc>
          <w:tcPr>
            <w:tcW w:w="0" w:type="auto"/>
            <w:gridSpan w:val="3"/>
            <w:shd w:val="clear" w:color="auto" w:fill="auto"/>
            <w:vAlign w:val="bottom"/>
          </w:tcPr>
          <w:p w14:paraId="5F2D328D" w14:textId="77777777" w:rsidR="00E836FB" w:rsidRDefault="00E836FB">
            <w:pPr>
              <w:rPr>
                <w:rFonts w:ascii="宋体"/>
                <w:vanish/>
              </w:rPr>
            </w:pPr>
          </w:p>
        </w:tc>
        <w:tc>
          <w:tcPr>
            <w:tcW w:w="0" w:type="auto"/>
            <w:gridSpan w:val="3"/>
            <w:shd w:val="clear" w:color="auto" w:fill="auto"/>
            <w:vAlign w:val="bottom"/>
          </w:tcPr>
          <w:p w14:paraId="5F2D328E" w14:textId="77777777" w:rsidR="00E836FB" w:rsidRDefault="00E836FB">
            <w:pPr>
              <w:rPr>
                <w:rFonts w:ascii="宋体"/>
                <w:vanish/>
              </w:rPr>
            </w:pPr>
          </w:p>
        </w:tc>
        <w:tc>
          <w:tcPr>
            <w:tcW w:w="0" w:type="auto"/>
            <w:gridSpan w:val="3"/>
            <w:shd w:val="clear" w:color="auto" w:fill="auto"/>
            <w:vAlign w:val="bottom"/>
          </w:tcPr>
          <w:p w14:paraId="5F2D328F" w14:textId="77777777" w:rsidR="00E836FB" w:rsidRDefault="00E836FB">
            <w:pPr>
              <w:rPr>
                <w:rFonts w:ascii="宋体"/>
                <w:vanish/>
              </w:rPr>
            </w:pPr>
          </w:p>
        </w:tc>
        <w:tc>
          <w:tcPr>
            <w:tcW w:w="0" w:type="auto"/>
            <w:shd w:val="clear" w:color="auto" w:fill="auto"/>
            <w:vAlign w:val="bottom"/>
          </w:tcPr>
          <w:p w14:paraId="5F2D3290" w14:textId="77777777" w:rsidR="00E836FB" w:rsidRDefault="00E836FB">
            <w:pPr>
              <w:rPr>
                <w:rFonts w:ascii="宋体"/>
              </w:rPr>
            </w:pPr>
          </w:p>
        </w:tc>
        <w:tc>
          <w:tcPr>
            <w:tcW w:w="0" w:type="auto"/>
            <w:shd w:val="clear" w:color="auto" w:fill="auto"/>
            <w:vAlign w:val="bottom"/>
          </w:tcPr>
          <w:p w14:paraId="5F2D3291" w14:textId="77777777" w:rsidR="00E836FB" w:rsidRDefault="00E836FB">
            <w:pPr>
              <w:rPr>
                <w:rFonts w:ascii="宋体"/>
              </w:rPr>
            </w:pPr>
          </w:p>
        </w:tc>
        <w:tc>
          <w:tcPr>
            <w:tcW w:w="0" w:type="auto"/>
            <w:shd w:val="clear" w:color="auto" w:fill="auto"/>
            <w:vAlign w:val="bottom"/>
          </w:tcPr>
          <w:p w14:paraId="5F2D3292" w14:textId="77777777" w:rsidR="00E836FB" w:rsidRDefault="00E836FB">
            <w:pPr>
              <w:rPr>
                <w:rFonts w:ascii="宋体"/>
              </w:rPr>
            </w:pPr>
          </w:p>
        </w:tc>
        <w:tc>
          <w:tcPr>
            <w:tcW w:w="0" w:type="auto"/>
            <w:shd w:val="clear" w:color="auto" w:fill="auto"/>
            <w:vAlign w:val="bottom"/>
          </w:tcPr>
          <w:p w14:paraId="5F2D3293" w14:textId="77777777" w:rsidR="00E836FB" w:rsidRDefault="00E836FB">
            <w:pPr>
              <w:rPr>
                <w:rFonts w:ascii="宋体"/>
              </w:rPr>
            </w:pPr>
          </w:p>
        </w:tc>
        <w:tc>
          <w:tcPr>
            <w:tcW w:w="0" w:type="auto"/>
            <w:shd w:val="clear" w:color="auto" w:fill="auto"/>
            <w:vAlign w:val="bottom"/>
          </w:tcPr>
          <w:p w14:paraId="5F2D3294" w14:textId="77777777" w:rsidR="00E836FB" w:rsidRDefault="00E836FB">
            <w:pPr>
              <w:rPr>
                <w:rFonts w:ascii="宋体"/>
              </w:rPr>
            </w:pPr>
          </w:p>
        </w:tc>
        <w:tc>
          <w:tcPr>
            <w:tcW w:w="0" w:type="auto"/>
            <w:shd w:val="clear" w:color="auto" w:fill="auto"/>
            <w:vAlign w:val="bottom"/>
          </w:tcPr>
          <w:p w14:paraId="5F2D3295" w14:textId="77777777" w:rsidR="00E836FB" w:rsidRDefault="00E836FB">
            <w:pPr>
              <w:rPr>
                <w:rFonts w:ascii="宋体"/>
              </w:rPr>
            </w:pPr>
          </w:p>
        </w:tc>
        <w:tc>
          <w:tcPr>
            <w:tcW w:w="0" w:type="auto"/>
            <w:shd w:val="clear" w:color="auto" w:fill="auto"/>
            <w:vAlign w:val="bottom"/>
          </w:tcPr>
          <w:p w14:paraId="5F2D3296" w14:textId="77777777" w:rsidR="00E836FB" w:rsidRDefault="00E836FB">
            <w:pPr>
              <w:rPr>
                <w:rFonts w:ascii="宋体"/>
              </w:rPr>
            </w:pPr>
          </w:p>
        </w:tc>
        <w:tc>
          <w:tcPr>
            <w:tcW w:w="0" w:type="auto"/>
            <w:shd w:val="clear" w:color="auto" w:fill="auto"/>
            <w:vAlign w:val="bottom"/>
          </w:tcPr>
          <w:p w14:paraId="5F2D3297" w14:textId="77777777" w:rsidR="00E836FB" w:rsidRDefault="00E836FB">
            <w:pPr>
              <w:rPr>
                <w:rFonts w:ascii="宋体"/>
              </w:rPr>
            </w:pPr>
          </w:p>
        </w:tc>
        <w:tc>
          <w:tcPr>
            <w:tcW w:w="0" w:type="auto"/>
            <w:shd w:val="clear" w:color="auto" w:fill="auto"/>
            <w:vAlign w:val="bottom"/>
          </w:tcPr>
          <w:p w14:paraId="5F2D3298" w14:textId="77777777" w:rsidR="00E836FB" w:rsidRDefault="00E836FB">
            <w:pPr>
              <w:rPr>
                <w:rFonts w:ascii="宋体"/>
              </w:rPr>
            </w:pPr>
          </w:p>
        </w:tc>
        <w:tc>
          <w:tcPr>
            <w:tcW w:w="0" w:type="auto"/>
            <w:shd w:val="clear" w:color="auto" w:fill="auto"/>
            <w:vAlign w:val="bottom"/>
          </w:tcPr>
          <w:p w14:paraId="5F2D3299" w14:textId="77777777" w:rsidR="00E836FB" w:rsidRDefault="00E836FB">
            <w:pPr>
              <w:rPr>
                <w:rFonts w:ascii="宋体"/>
              </w:rPr>
            </w:pPr>
          </w:p>
        </w:tc>
        <w:tc>
          <w:tcPr>
            <w:tcW w:w="0" w:type="auto"/>
            <w:shd w:val="clear" w:color="auto" w:fill="auto"/>
            <w:vAlign w:val="bottom"/>
          </w:tcPr>
          <w:p w14:paraId="5F2D329A" w14:textId="77777777" w:rsidR="00E836FB" w:rsidRDefault="00E836FB">
            <w:pPr>
              <w:rPr>
                <w:rFonts w:ascii="宋体"/>
              </w:rPr>
            </w:pPr>
          </w:p>
        </w:tc>
        <w:tc>
          <w:tcPr>
            <w:tcW w:w="0" w:type="auto"/>
            <w:shd w:val="clear" w:color="auto" w:fill="auto"/>
            <w:vAlign w:val="bottom"/>
          </w:tcPr>
          <w:p w14:paraId="5F2D329B" w14:textId="77777777" w:rsidR="00E836FB" w:rsidRDefault="00E836FB">
            <w:pPr>
              <w:rPr>
                <w:rFonts w:ascii="宋体"/>
              </w:rPr>
            </w:pPr>
          </w:p>
        </w:tc>
      </w:tr>
      <w:tr w:rsidR="00E836FB" w14:paraId="5F2D32CD" w14:textId="77777777">
        <w:trPr>
          <w:hidden/>
        </w:trPr>
        <w:tc>
          <w:tcPr>
            <w:tcW w:w="0" w:type="auto"/>
            <w:gridSpan w:val="3"/>
            <w:shd w:val="clear" w:color="auto" w:fill="auto"/>
            <w:vAlign w:val="bottom"/>
          </w:tcPr>
          <w:p w14:paraId="5F2D329D" w14:textId="77777777" w:rsidR="00E836FB" w:rsidRDefault="00E836FB">
            <w:pPr>
              <w:rPr>
                <w:rFonts w:ascii="宋体"/>
                <w:vanish/>
              </w:rPr>
            </w:pPr>
          </w:p>
        </w:tc>
        <w:tc>
          <w:tcPr>
            <w:tcW w:w="0" w:type="auto"/>
            <w:gridSpan w:val="3"/>
            <w:shd w:val="clear" w:color="auto" w:fill="auto"/>
            <w:vAlign w:val="bottom"/>
          </w:tcPr>
          <w:p w14:paraId="5F2D329E" w14:textId="77777777" w:rsidR="00E836FB" w:rsidRDefault="00E836FB">
            <w:pPr>
              <w:rPr>
                <w:rFonts w:ascii="宋体"/>
                <w:vanish/>
              </w:rPr>
            </w:pPr>
          </w:p>
        </w:tc>
        <w:tc>
          <w:tcPr>
            <w:tcW w:w="0" w:type="auto"/>
            <w:gridSpan w:val="3"/>
            <w:shd w:val="clear" w:color="auto" w:fill="auto"/>
            <w:vAlign w:val="bottom"/>
          </w:tcPr>
          <w:p w14:paraId="5F2D329F" w14:textId="77777777" w:rsidR="00E836FB" w:rsidRDefault="00E836FB">
            <w:pPr>
              <w:rPr>
                <w:rFonts w:ascii="宋体"/>
                <w:vanish/>
              </w:rPr>
            </w:pPr>
          </w:p>
        </w:tc>
        <w:tc>
          <w:tcPr>
            <w:tcW w:w="0" w:type="auto"/>
            <w:shd w:val="clear" w:color="auto" w:fill="auto"/>
            <w:vAlign w:val="bottom"/>
          </w:tcPr>
          <w:p w14:paraId="5F2D32A0" w14:textId="77777777" w:rsidR="00E836FB" w:rsidRDefault="00E836FB">
            <w:pPr>
              <w:rPr>
                <w:rFonts w:ascii="宋体"/>
              </w:rPr>
            </w:pPr>
          </w:p>
        </w:tc>
        <w:tc>
          <w:tcPr>
            <w:tcW w:w="0" w:type="auto"/>
            <w:shd w:val="clear" w:color="auto" w:fill="auto"/>
            <w:vAlign w:val="bottom"/>
          </w:tcPr>
          <w:p w14:paraId="5F2D32A1" w14:textId="77777777" w:rsidR="00E836FB" w:rsidRDefault="00E836FB">
            <w:pPr>
              <w:rPr>
                <w:rFonts w:ascii="宋体"/>
              </w:rPr>
            </w:pPr>
          </w:p>
        </w:tc>
        <w:tc>
          <w:tcPr>
            <w:tcW w:w="0" w:type="auto"/>
            <w:shd w:val="clear" w:color="auto" w:fill="auto"/>
            <w:vAlign w:val="bottom"/>
          </w:tcPr>
          <w:p w14:paraId="5F2D32A2" w14:textId="77777777" w:rsidR="00E836FB" w:rsidRDefault="00E836FB">
            <w:pPr>
              <w:rPr>
                <w:rFonts w:ascii="宋体"/>
              </w:rPr>
            </w:pPr>
          </w:p>
        </w:tc>
        <w:tc>
          <w:tcPr>
            <w:tcW w:w="0" w:type="auto"/>
            <w:shd w:val="clear" w:color="auto" w:fill="auto"/>
            <w:vAlign w:val="bottom"/>
          </w:tcPr>
          <w:p w14:paraId="5F2D32A3" w14:textId="77777777" w:rsidR="00E836FB" w:rsidRDefault="00E836FB">
            <w:pPr>
              <w:rPr>
                <w:rFonts w:ascii="宋体"/>
              </w:rPr>
            </w:pPr>
          </w:p>
        </w:tc>
        <w:tc>
          <w:tcPr>
            <w:tcW w:w="0" w:type="auto"/>
            <w:shd w:val="clear" w:color="auto" w:fill="auto"/>
            <w:vAlign w:val="bottom"/>
          </w:tcPr>
          <w:p w14:paraId="5F2D32A4" w14:textId="77777777" w:rsidR="00E836FB" w:rsidRDefault="00E836FB">
            <w:pPr>
              <w:rPr>
                <w:rFonts w:ascii="宋体"/>
              </w:rPr>
            </w:pPr>
          </w:p>
        </w:tc>
        <w:tc>
          <w:tcPr>
            <w:tcW w:w="0" w:type="auto"/>
            <w:shd w:val="clear" w:color="auto" w:fill="auto"/>
            <w:vAlign w:val="bottom"/>
          </w:tcPr>
          <w:p w14:paraId="5F2D32A5" w14:textId="77777777" w:rsidR="00E836FB" w:rsidRDefault="00E836FB">
            <w:pPr>
              <w:rPr>
                <w:rFonts w:ascii="宋体"/>
              </w:rPr>
            </w:pPr>
          </w:p>
        </w:tc>
        <w:tc>
          <w:tcPr>
            <w:tcW w:w="0" w:type="auto"/>
            <w:shd w:val="clear" w:color="auto" w:fill="auto"/>
            <w:vAlign w:val="bottom"/>
          </w:tcPr>
          <w:p w14:paraId="5F2D32A6" w14:textId="77777777" w:rsidR="00E836FB" w:rsidRDefault="00E836FB">
            <w:pPr>
              <w:rPr>
                <w:rFonts w:ascii="宋体"/>
              </w:rPr>
            </w:pPr>
          </w:p>
        </w:tc>
        <w:tc>
          <w:tcPr>
            <w:tcW w:w="0" w:type="auto"/>
            <w:shd w:val="clear" w:color="auto" w:fill="auto"/>
            <w:vAlign w:val="bottom"/>
          </w:tcPr>
          <w:p w14:paraId="5F2D32A7" w14:textId="77777777" w:rsidR="00E836FB" w:rsidRDefault="00E836FB">
            <w:pPr>
              <w:rPr>
                <w:rFonts w:ascii="宋体"/>
              </w:rPr>
            </w:pPr>
          </w:p>
        </w:tc>
        <w:tc>
          <w:tcPr>
            <w:tcW w:w="0" w:type="auto"/>
            <w:shd w:val="clear" w:color="auto" w:fill="auto"/>
            <w:vAlign w:val="bottom"/>
          </w:tcPr>
          <w:p w14:paraId="5F2D32A8" w14:textId="77777777" w:rsidR="00E836FB" w:rsidRDefault="00E836FB">
            <w:pPr>
              <w:rPr>
                <w:rFonts w:ascii="宋体"/>
              </w:rPr>
            </w:pPr>
          </w:p>
        </w:tc>
        <w:tc>
          <w:tcPr>
            <w:tcW w:w="0" w:type="auto"/>
            <w:shd w:val="clear" w:color="auto" w:fill="auto"/>
            <w:vAlign w:val="bottom"/>
          </w:tcPr>
          <w:p w14:paraId="5F2D32A9" w14:textId="77777777" w:rsidR="00E836FB" w:rsidRDefault="00E836FB">
            <w:pPr>
              <w:rPr>
                <w:rFonts w:ascii="宋体"/>
              </w:rPr>
            </w:pPr>
          </w:p>
        </w:tc>
        <w:tc>
          <w:tcPr>
            <w:tcW w:w="0" w:type="auto"/>
            <w:shd w:val="clear" w:color="auto" w:fill="auto"/>
            <w:vAlign w:val="bottom"/>
          </w:tcPr>
          <w:p w14:paraId="5F2D32AA" w14:textId="77777777" w:rsidR="00E836FB" w:rsidRDefault="00E836FB">
            <w:pPr>
              <w:rPr>
                <w:rFonts w:ascii="宋体"/>
              </w:rPr>
            </w:pPr>
          </w:p>
        </w:tc>
        <w:tc>
          <w:tcPr>
            <w:tcW w:w="0" w:type="auto"/>
            <w:shd w:val="clear" w:color="auto" w:fill="auto"/>
            <w:vAlign w:val="bottom"/>
          </w:tcPr>
          <w:p w14:paraId="5F2D32AB" w14:textId="77777777" w:rsidR="00E836FB" w:rsidRDefault="00E836FB">
            <w:pPr>
              <w:rPr>
                <w:rFonts w:ascii="宋体"/>
              </w:rPr>
            </w:pPr>
          </w:p>
        </w:tc>
        <w:tc>
          <w:tcPr>
            <w:tcW w:w="0" w:type="auto"/>
            <w:shd w:val="clear" w:color="auto" w:fill="auto"/>
            <w:vAlign w:val="bottom"/>
          </w:tcPr>
          <w:p w14:paraId="5F2D32AC" w14:textId="77777777" w:rsidR="00E836FB" w:rsidRDefault="00E836FB">
            <w:pPr>
              <w:rPr>
                <w:rFonts w:ascii="宋体"/>
              </w:rPr>
            </w:pPr>
          </w:p>
        </w:tc>
        <w:tc>
          <w:tcPr>
            <w:tcW w:w="0" w:type="auto"/>
            <w:shd w:val="clear" w:color="auto" w:fill="auto"/>
            <w:vAlign w:val="bottom"/>
          </w:tcPr>
          <w:p w14:paraId="5F2D32AD" w14:textId="77777777" w:rsidR="00E836FB" w:rsidRDefault="00E836FB">
            <w:pPr>
              <w:rPr>
                <w:rFonts w:ascii="宋体"/>
              </w:rPr>
            </w:pPr>
          </w:p>
        </w:tc>
        <w:tc>
          <w:tcPr>
            <w:tcW w:w="0" w:type="auto"/>
            <w:shd w:val="clear" w:color="auto" w:fill="auto"/>
            <w:vAlign w:val="bottom"/>
          </w:tcPr>
          <w:p w14:paraId="5F2D32AE" w14:textId="77777777" w:rsidR="00E836FB" w:rsidRDefault="00E836FB">
            <w:pPr>
              <w:rPr>
                <w:rFonts w:ascii="宋体"/>
              </w:rPr>
            </w:pPr>
          </w:p>
        </w:tc>
        <w:tc>
          <w:tcPr>
            <w:tcW w:w="0" w:type="auto"/>
            <w:shd w:val="clear" w:color="auto" w:fill="auto"/>
            <w:vAlign w:val="bottom"/>
          </w:tcPr>
          <w:p w14:paraId="5F2D32AF" w14:textId="77777777" w:rsidR="00E836FB" w:rsidRDefault="00E836FB">
            <w:pPr>
              <w:rPr>
                <w:rFonts w:ascii="宋体"/>
              </w:rPr>
            </w:pPr>
          </w:p>
        </w:tc>
        <w:tc>
          <w:tcPr>
            <w:tcW w:w="0" w:type="auto"/>
            <w:shd w:val="clear" w:color="auto" w:fill="auto"/>
            <w:vAlign w:val="bottom"/>
          </w:tcPr>
          <w:p w14:paraId="5F2D32B0" w14:textId="77777777" w:rsidR="00E836FB" w:rsidRDefault="00E836FB">
            <w:pPr>
              <w:rPr>
                <w:rFonts w:ascii="宋体"/>
              </w:rPr>
            </w:pPr>
          </w:p>
        </w:tc>
        <w:tc>
          <w:tcPr>
            <w:tcW w:w="0" w:type="auto"/>
            <w:shd w:val="clear" w:color="auto" w:fill="auto"/>
            <w:vAlign w:val="bottom"/>
          </w:tcPr>
          <w:p w14:paraId="5F2D32B1" w14:textId="77777777" w:rsidR="00E836FB" w:rsidRDefault="00E836FB">
            <w:pPr>
              <w:rPr>
                <w:rFonts w:ascii="宋体"/>
              </w:rPr>
            </w:pPr>
          </w:p>
        </w:tc>
        <w:tc>
          <w:tcPr>
            <w:tcW w:w="0" w:type="auto"/>
            <w:shd w:val="clear" w:color="auto" w:fill="auto"/>
            <w:vAlign w:val="bottom"/>
          </w:tcPr>
          <w:p w14:paraId="5F2D32B2" w14:textId="77777777" w:rsidR="00E836FB" w:rsidRDefault="00E836FB">
            <w:pPr>
              <w:rPr>
                <w:rFonts w:ascii="宋体"/>
              </w:rPr>
            </w:pPr>
          </w:p>
        </w:tc>
        <w:tc>
          <w:tcPr>
            <w:tcW w:w="0" w:type="auto"/>
            <w:shd w:val="clear" w:color="auto" w:fill="auto"/>
            <w:vAlign w:val="bottom"/>
          </w:tcPr>
          <w:p w14:paraId="5F2D32B3" w14:textId="77777777" w:rsidR="00E836FB" w:rsidRDefault="00E836FB">
            <w:pPr>
              <w:rPr>
                <w:rFonts w:ascii="宋体"/>
              </w:rPr>
            </w:pPr>
          </w:p>
        </w:tc>
        <w:tc>
          <w:tcPr>
            <w:tcW w:w="0" w:type="auto"/>
            <w:shd w:val="clear" w:color="auto" w:fill="auto"/>
            <w:vAlign w:val="bottom"/>
          </w:tcPr>
          <w:p w14:paraId="5F2D32B4" w14:textId="77777777" w:rsidR="00E836FB" w:rsidRDefault="00E836FB">
            <w:pPr>
              <w:rPr>
                <w:rFonts w:ascii="宋体"/>
              </w:rPr>
            </w:pPr>
          </w:p>
        </w:tc>
        <w:tc>
          <w:tcPr>
            <w:tcW w:w="0" w:type="auto"/>
            <w:shd w:val="clear" w:color="auto" w:fill="auto"/>
            <w:vAlign w:val="bottom"/>
          </w:tcPr>
          <w:p w14:paraId="5F2D32B5" w14:textId="77777777" w:rsidR="00E836FB" w:rsidRDefault="00E836FB">
            <w:pPr>
              <w:rPr>
                <w:rFonts w:ascii="宋体"/>
              </w:rPr>
            </w:pPr>
          </w:p>
        </w:tc>
        <w:tc>
          <w:tcPr>
            <w:tcW w:w="0" w:type="auto"/>
            <w:shd w:val="clear" w:color="auto" w:fill="auto"/>
            <w:vAlign w:val="bottom"/>
          </w:tcPr>
          <w:p w14:paraId="5F2D32B6" w14:textId="77777777" w:rsidR="00E836FB" w:rsidRDefault="00E836FB">
            <w:pPr>
              <w:rPr>
                <w:rFonts w:ascii="宋体"/>
              </w:rPr>
            </w:pPr>
          </w:p>
        </w:tc>
        <w:tc>
          <w:tcPr>
            <w:tcW w:w="0" w:type="auto"/>
            <w:shd w:val="clear" w:color="auto" w:fill="auto"/>
            <w:vAlign w:val="bottom"/>
          </w:tcPr>
          <w:p w14:paraId="5F2D32B7" w14:textId="77777777" w:rsidR="00E836FB" w:rsidRDefault="00E836FB">
            <w:pPr>
              <w:rPr>
                <w:rFonts w:ascii="宋体"/>
              </w:rPr>
            </w:pPr>
          </w:p>
        </w:tc>
        <w:tc>
          <w:tcPr>
            <w:tcW w:w="0" w:type="auto"/>
            <w:shd w:val="clear" w:color="auto" w:fill="auto"/>
            <w:vAlign w:val="bottom"/>
          </w:tcPr>
          <w:p w14:paraId="5F2D32B8" w14:textId="77777777" w:rsidR="00E836FB" w:rsidRDefault="00E836FB">
            <w:pPr>
              <w:rPr>
                <w:rFonts w:ascii="宋体"/>
              </w:rPr>
            </w:pPr>
          </w:p>
        </w:tc>
        <w:tc>
          <w:tcPr>
            <w:tcW w:w="0" w:type="auto"/>
            <w:shd w:val="clear" w:color="auto" w:fill="auto"/>
            <w:vAlign w:val="bottom"/>
          </w:tcPr>
          <w:p w14:paraId="5F2D32B9" w14:textId="77777777" w:rsidR="00E836FB" w:rsidRDefault="00E836FB">
            <w:pPr>
              <w:rPr>
                <w:rFonts w:ascii="宋体"/>
              </w:rPr>
            </w:pPr>
          </w:p>
        </w:tc>
        <w:tc>
          <w:tcPr>
            <w:tcW w:w="0" w:type="auto"/>
            <w:shd w:val="clear" w:color="auto" w:fill="auto"/>
            <w:vAlign w:val="bottom"/>
          </w:tcPr>
          <w:p w14:paraId="5F2D32BA" w14:textId="77777777" w:rsidR="00E836FB" w:rsidRDefault="00E836FB">
            <w:pPr>
              <w:rPr>
                <w:rFonts w:ascii="宋体"/>
              </w:rPr>
            </w:pPr>
          </w:p>
        </w:tc>
        <w:tc>
          <w:tcPr>
            <w:tcW w:w="0" w:type="auto"/>
            <w:shd w:val="clear" w:color="auto" w:fill="auto"/>
            <w:vAlign w:val="bottom"/>
          </w:tcPr>
          <w:p w14:paraId="5F2D32BB" w14:textId="77777777" w:rsidR="00E836FB" w:rsidRDefault="00E836FB">
            <w:pPr>
              <w:rPr>
                <w:rFonts w:ascii="宋体"/>
              </w:rPr>
            </w:pPr>
          </w:p>
        </w:tc>
        <w:tc>
          <w:tcPr>
            <w:tcW w:w="0" w:type="auto"/>
            <w:shd w:val="clear" w:color="auto" w:fill="auto"/>
            <w:vAlign w:val="bottom"/>
          </w:tcPr>
          <w:p w14:paraId="5F2D32BC" w14:textId="77777777" w:rsidR="00E836FB" w:rsidRDefault="00E836FB">
            <w:pPr>
              <w:rPr>
                <w:rFonts w:ascii="宋体"/>
              </w:rPr>
            </w:pPr>
          </w:p>
        </w:tc>
        <w:tc>
          <w:tcPr>
            <w:tcW w:w="0" w:type="auto"/>
            <w:shd w:val="clear" w:color="auto" w:fill="auto"/>
            <w:vAlign w:val="bottom"/>
          </w:tcPr>
          <w:p w14:paraId="5F2D32BD" w14:textId="77777777" w:rsidR="00E836FB" w:rsidRDefault="00E836FB">
            <w:pPr>
              <w:rPr>
                <w:rFonts w:ascii="宋体"/>
              </w:rPr>
            </w:pPr>
          </w:p>
        </w:tc>
        <w:tc>
          <w:tcPr>
            <w:tcW w:w="0" w:type="auto"/>
            <w:shd w:val="clear" w:color="auto" w:fill="auto"/>
            <w:vAlign w:val="bottom"/>
          </w:tcPr>
          <w:p w14:paraId="5F2D32BE" w14:textId="77777777" w:rsidR="00E836FB" w:rsidRDefault="00E836FB">
            <w:pPr>
              <w:rPr>
                <w:rFonts w:ascii="宋体"/>
              </w:rPr>
            </w:pPr>
          </w:p>
        </w:tc>
        <w:tc>
          <w:tcPr>
            <w:tcW w:w="0" w:type="auto"/>
            <w:shd w:val="clear" w:color="auto" w:fill="auto"/>
            <w:vAlign w:val="bottom"/>
          </w:tcPr>
          <w:p w14:paraId="5F2D32BF" w14:textId="77777777" w:rsidR="00E836FB" w:rsidRDefault="00E836FB">
            <w:pPr>
              <w:rPr>
                <w:rFonts w:ascii="宋体"/>
              </w:rPr>
            </w:pPr>
          </w:p>
        </w:tc>
        <w:tc>
          <w:tcPr>
            <w:tcW w:w="0" w:type="auto"/>
            <w:shd w:val="clear" w:color="auto" w:fill="auto"/>
            <w:vAlign w:val="bottom"/>
          </w:tcPr>
          <w:p w14:paraId="5F2D32C0" w14:textId="77777777" w:rsidR="00E836FB" w:rsidRDefault="00E836FB">
            <w:pPr>
              <w:rPr>
                <w:rFonts w:ascii="宋体"/>
              </w:rPr>
            </w:pPr>
          </w:p>
        </w:tc>
        <w:tc>
          <w:tcPr>
            <w:tcW w:w="0" w:type="auto"/>
            <w:shd w:val="clear" w:color="auto" w:fill="auto"/>
            <w:vAlign w:val="bottom"/>
          </w:tcPr>
          <w:p w14:paraId="5F2D32C1" w14:textId="77777777" w:rsidR="00E836FB" w:rsidRDefault="00E836FB">
            <w:pPr>
              <w:rPr>
                <w:rFonts w:ascii="宋体"/>
              </w:rPr>
            </w:pPr>
          </w:p>
        </w:tc>
        <w:tc>
          <w:tcPr>
            <w:tcW w:w="0" w:type="auto"/>
            <w:shd w:val="clear" w:color="auto" w:fill="auto"/>
            <w:vAlign w:val="bottom"/>
          </w:tcPr>
          <w:p w14:paraId="5F2D32C2" w14:textId="77777777" w:rsidR="00E836FB" w:rsidRDefault="00E836FB">
            <w:pPr>
              <w:rPr>
                <w:rFonts w:ascii="宋体"/>
              </w:rPr>
            </w:pPr>
          </w:p>
        </w:tc>
        <w:tc>
          <w:tcPr>
            <w:tcW w:w="0" w:type="auto"/>
            <w:shd w:val="clear" w:color="auto" w:fill="auto"/>
            <w:vAlign w:val="bottom"/>
          </w:tcPr>
          <w:p w14:paraId="5F2D32C3" w14:textId="77777777" w:rsidR="00E836FB" w:rsidRDefault="00E836FB">
            <w:pPr>
              <w:rPr>
                <w:rFonts w:ascii="宋体"/>
              </w:rPr>
            </w:pPr>
          </w:p>
        </w:tc>
        <w:tc>
          <w:tcPr>
            <w:tcW w:w="0" w:type="auto"/>
            <w:shd w:val="clear" w:color="auto" w:fill="auto"/>
            <w:vAlign w:val="bottom"/>
          </w:tcPr>
          <w:p w14:paraId="5F2D32C4" w14:textId="77777777" w:rsidR="00E836FB" w:rsidRDefault="00E836FB">
            <w:pPr>
              <w:rPr>
                <w:rFonts w:ascii="宋体"/>
              </w:rPr>
            </w:pPr>
          </w:p>
        </w:tc>
        <w:tc>
          <w:tcPr>
            <w:tcW w:w="0" w:type="auto"/>
            <w:shd w:val="clear" w:color="auto" w:fill="auto"/>
            <w:vAlign w:val="bottom"/>
          </w:tcPr>
          <w:p w14:paraId="5F2D32C5" w14:textId="77777777" w:rsidR="00E836FB" w:rsidRDefault="00E836FB">
            <w:pPr>
              <w:rPr>
                <w:rFonts w:ascii="宋体"/>
              </w:rPr>
            </w:pPr>
          </w:p>
        </w:tc>
        <w:tc>
          <w:tcPr>
            <w:tcW w:w="0" w:type="auto"/>
            <w:shd w:val="clear" w:color="auto" w:fill="auto"/>
            <w:vAlign w:val="bottom"/>
          </w:tcPr>
          <w:p w14:paraId="5F2D32C6" w14:textId="77777777" w:rsidR="00E836FB" w:rsidRDefault="00E836FB">
            <w:pPr>
              <w:rPr>
                <w:rFonts w:ascii="宋体"/>
              </w:rPr>
            </w:pPr>
          </w:p>
        </w:tc>
        <w:tc>
          <w:tcPr>
            <w:tcW w:w="0" w:type="auto"/>
            <w:shd w:val="clear" w:color="auto" w:fill="auto"/>
            <w:vAlign w:val="bottom"/>
          </w:tcPr>
          <w:p w14:paraId="5F2D32C7" w14:textId="77777777" w:rsidR="00E836FB" w:rsidRDefault="00E836FB">
            <w:pPr>
              <w:rPr>
                <w:rFonts w:ascii="宋体"/>
              </w:rPr>
            </w:pPr>
          </w:p>
        </w:tc>
        <w:tc>
          <w:tcPr>
            <w:tcW w:w="0" w:type="auto"/>
            <w:shd w:val="clear" w:color="auto" w:fill="auto"/>
            <w:vAlign w:val="bottom"/>
          </w:tcPr>
          <w:p w14:paraId="5F2D32C8" w14:textId="77777777" w:rsidR="00E836FB" w:rsidRDefault="00E836FB">
            <w:pPr>
              <w:rPr>
                <w:rFonts w:ascii="宋体"/>
              </w:rPr>
            </w:pPr>
          </w:p>
        </w:tc>
        <w:tc>
          <w:tcPr>
            <w:tcW w:w="0" w:type="auto"/>
            <w:shd w:val="clear" w:color="auto" w:fill="auto"/>
            <w:vAlign w:val="bottom"/>
          </w:tcPr>
          <w:p w14:paraId="5F2D32C9" w14:textId="77777777" w:rsidR="00E836FB" w:rsidRDefault="00E836FB">
            <w:pPr>
              <w:rPr>
                <w:rFonts w:ascii="宋体"/>
              </w:rPr>
            </w:pPr>
          </w:p>
        </w:tc>
        <w:tc>
          <w:tcPr>
            <w:tcW w:w="0" w:type="auto"/>
            <w:shd w:val="clear" w:color="auto" w:fill="auto"/>
            <w:vAlign w:val="bottom"/>
          </w:tcPr>
          <w:p w14:paraId="5F2D32CA" w14:textId="77777777" w:rsidR="00E836FB" w:rsidRDefault="00E836FB">
            <w:pPr>
              <w:rPr>
                <w:rFonts w:ascii="宋体"/>
              </w:rPr>
            </w:pPr>
          </w:p>
        </w:tc>
        <w:tc>
          <w:tcPr>
            <w:tcW w:w="0" w:type="auto"/>
            <w:shd w:val="clear" w:color="auto" w:fill="auto"/>
            <w:vAlign w:val="bottom"/>
          </w:tcPr>
          <w:p w14:paraId="5F2D32CB" w14:textId="77777777" w:rsidR="00E836FB" w:rsidRDefault="00E836FB">
            <w:pPr>
              <w:rPr>
                <w:rFonts w:ascii="宋体"/>
              </w:rPr>
            </w:pPr>
          </w:p>
        </w:tc>
        <w:tc>
          <w:tcPr>
            <w:tcW w:w="0" w:type="auto"/>
            <w:shd w:val="clear" w:color="auto" w:fill="auto"/>
            <w:vAlign w:val="bottom"/>
          </w:tcPr>
          <w:p w14:paraId="5F2D32CC" w14:textId="77777777" w:rsidR="00E836FB" w:rsidRDefault="00E836FB">
            <w:pPr>
              <w:rPr>
                <w:rFonts w:ascii="宋体"/>
              </w:rPr>
            </w:pPr>
          </w:p>
        </w:tc>
      </w:tr>
      <w:tr w:rsidR="00E836FB" w14:paraId="5F2D32E0" w14:textId="77777777">
        <w:trPr>
          <w:hidden/>
        </w:trPr>
        <w:tc>
          <w:tcPr>
            <w:tcW w:w="0" w:type="auto"/>
            <w:gridSpan w:val="3"/>
            <w:shd w:val="clear" w:color="auto" w:fill="auto"/>
            <w:vAlign w:val="bottom"/>
          </w:tcPr>
          <w:p w14:paraId="5F2D32CE" w14:textId="77777777" w:rsidR="00E836FB" w:rsidRDefault="00E836FB">
            <w:pPr>
              <w:rPr>
                <w:rFonts w:ascii="宋体"/>
                <w:vanish/>
              </w:rPr>
            </w:pPr>
          </w:p>
        </w:tc>
        <w:tc>
          <w:tcPr>
            <w:tcW w:w="0" w:type="auto"/>
            <w:gridSpan w:val="3"/>
            <w:shd w:val="clear" w:color="auto" w:fill="auto"/>
            <w:vAlign w:val="bottom"/>
          </w:tcPr>
          <w:p w14:paraId="5F2D32CF" w14:textId="77777777" w:rsidR="00E836FB" w:rsidRDefault="00E836FB">
            <w:pPr>
              <w:rPr>
                <w:rFonts w:ascii="宋体"/>
                <w:vanish/>
              </w:rPr>
            </w:pPr>
          </w:p>
        </w:tc>
        <w:tc>
          <w:tcPr>
            <w:tcW w:w="0" w:type="auto"/>
            <w:gridSpan w:val="3"/>
            <w:shd w:val="clear" w:color="auto" w:fill="auto"/>
            <w:vAlign w:val="bottom"/>
          </w:tcPr>
          <w:p w14:paraId="5F2D32D0" w14:textId="77777777" w:rsidR="00E836FB" w:rsidRDefault="00E836FB">
            <w:pPr>
              <w:rPr>
                <w:rFonts w:ascii="宋体"/>
                <w:vanish/>
              </w:rPr>
            </w:pPr>
          </w:p>
        </w:tc>
        <w:tc>
          <w:tcPr>
            <w:tcW w:w="0" w:type="auto"/>
            <w:gridSpan w:val="3"/>
            <w:shd w:val="clear" w:color="auto" w:fill="auto"/>
            <w:vAlign w:val="bottom"/>
          </w:tcPr>
          <w:p w14:paraId="5F2D32D1" w14:textId="77777777" w:rsidR="00E836FB" w:rsidRDefault="00E836FB">
            <w:pPr>
              <w:rPr>
                <w:rFonts w:ascii="宋体"/>
                <w:vanish/>
              </w:rPr>
            </w:pPr>
          </w:p>
        </w:tc>
        <w:tc>
          <w:tcPr>
            <w:tcW w:w="0" w:type="auto"/>
            <w:gridSpan w:val="3"/>
            <w:shd w:val="clear" w:color="auto" w:fill="auto"/>
            <w:vAlign w:val="bottom"/>
          </w:tcPr>
          <w:p w14:paraId="5F2D32D2" w14:textId="77777777" w:rsidR="00E836FB" w:rsidRDefault="00E836FB">
            <w:pPr>
              <w:rPr>
                <w:rFonts w:ascii="宋体"/>
                <w:vanish/>
              </w:rPr>
            </w:pPr>
          </w:p>
        </w:tc>
        <w:tc>
          <w:tcPr>
            <w:tcW w:w="0" w:type="auto"/>
            <w:gridSpan w:val="3"/>
            <w:shd w:val="clear" w:color="auto" w:fill="auto"/>
            <w:vAlign w:val="bottom"/>
          </w:tcPr>
          <w:p w14:paraId="5F2D32D3" w14:textId="77777777" w:rsidR="00E836FB" w:rsidRDefault="00E836FB">
            <w:pPr>
              <w:rPr>
                <w:rFonts w:ascii="宋体"/>
                <w:vanish/>
              </w:rPr>
            </w:pPr>
          </w:p>
        </w:tc>
        <w:tc>
          <w:tcPr>
            <w:tcW w:w="0" w:type="auto"/>
            <w:gridSpan w:val="3"/>
            <w:shd w:val="clear" w:color="auto" w:fill="auto"/>
            <w:vAlign w:val="bottom"/>
          </w:tcPr>
          <w:p w14:paraId="5F2D32D4" w14:textId="77777777" w:rsidR="00E836FB" w:rsidRDefault="00E836FB">
            <w:pPr>
              <w:rPr>
                <w:rFonts w:ascii="宋体"/>
                <w:vanish/>
              </w:rPr>
            </w:pPr>
          </w:p>
        </w:tc>
        <w:tc>
          <w:tcPr>
            <w:tcW w:w="0" w:type="auto"/>
            <w:gridSpan w:val="3"/>
            <w:shd w:val="clear" w:color="auto" w:fill="auto"/>
            <w:vAlign w:val="bottom"/>
          </w:tcPr>
          <w:p w14:paraId="5F2D32D5" w14:textId="77777777" w:rsidR="00E836FB" w:rsidRDefault="00E836FB">
            <w:pPr>
              <w:rPr>
                <w:rFonts w:ascii="宋体"/>
                <w:vanish/>
              </w:rPr>
            </w:pPr>
          </w:p>
        </w:tc>
        <w:tc>
          <w:tcPr>
            <w:tcW w:w="0" w:type="auto"/>
            <w:gridSpan w:val="3"/>
            <w:shd w:val="clear" w:color="auto" w:fill="auto"/>
            <w:vAlign w:val="bottom"/>
          </w:tcPr>
          <w:p w14:paraId="5F2D32D6" w14:textId="77777777" w:rsidR="00E836FB" w:rsidRDefault="00E836FB">
            <w:pPr>
              <w:rPr>
                <w:rFonts w:ascii="宋体"/>
                <w:vanish/>
              </w:rPr>
            </w:pPr>
          </w:p>
        </w:tc>
        <w:tc>
          <w:tcPr>
            <w:tcW w:w="0" w:type="auto"/>
            <w:gridSpan w:val="3"/>
            <w:shd w:val="clear" w:color="auto" w:fill="auto"/>
            <w:vAlign w:val="bottom"/>
          </w:tcPr>
          <w:p w14:paraId="5F2D32D7" w14:textId="77777777" w:rsidR="00E836FB" w:rsidRDefault="00E836FB">
            <w:pPr>
              <w:rPr>
                <w:rFonts w:ascii="宋体"/>
                <w:vanish/>
              </w:rPr>
            </w:pPr>
          </w:p>
        </w:tc>
        <w:tc>
          <w:tcPr>
            <w:tcW w:w="0" w:type="auto"/>
            <w:gridSpan w:val="3"/>
            <w:shd w:val="clear" w:color="auto" w:fill="auto"/>
            <w:vAlign w:val="bottom"/>
          </w:tcPr>
          <w:p w14:paraId="5F2D32D8" w14:textId="77777777" w:rsidR="00E836FB" w:rsidRDefault="00E836FB">
            <w:pPr>
              <w:rPr>
                <w:rFonts w:ascii="宋体"/>
                <w:vanish/>
              </w:rPr>
            </w:pPr>
          </w:p>
        </w:tc>
        <w:tc>
          <w:tcPr>
            <w:tcW w:w="0" w:type="auto"/>
            <w:gridSpan w:val="3"/>
            <w:shd w:val="clear" w:color="auto" w:fill="auto"/>
            <w:vAlign w:val="bottom"/>
          </w:tcPr>
          <w:p w14:paraId="5F2D32D9" w14:textId="77777777" w:rsidR="00E836FB" w:rsidRDefault="00E836FB">
            <w:pPr>
              <w:rPr>
                <w:rFonts w:ascii="宋体"/>
                <w:vanish/>
              </w:rPr>
            </w:pPr>
          </w:p>
        </w:tc>
        <w:tc>
          <w:tcPr>
            <w:tcW w:w="0" w:type="auto"/>
            <w:gridSpan w:val="3"/>
            <w:shd w:val="clear" w:color="auto" w:fill="auto"/>
            <w:vAlign w:val="bottom"/>
          </w:tcPr>
          <w:p w14:paraId="5F2D32DA" w14:textId="77777777" w:rsidR="00E836FB" w:rsidRDefault="00E836FB">
            <w:pPr>
              <w:rPr>
                <w:rFonts w:ascii="宋体"/>
                <w:vanish/>
              </w:rPr>
            </w:pPr>
          </w:p>
        </w:tc>
        <w:tc>
          <w:tcPr>
            <w:tcW w:w="0" w:type="auto"/>
            <w:gridSpan w:val="3"/>
            <w:shd w:val="clear" w:color="auto" w:fill="auto"/>
            <w:vAlign w:val="bottom"/>
          </w:tcPr>
          <w:p w14:paraId="5F2D32DB" w14:textId="77777777" w:rsidR="00E836FB" w:rsidRDefault="00E836FB">
            <w:pPr>
              <w:rPr>
                <w:rFonts w:ascii="宋体"/>
                <w:vanish/>
              </w:rPr>
            </w:pPr>
          </w:p>
        </w:tc>
        <w:tc>
          <w:tcPr>
            <w:tcW w:w="0" w:type="auto"/>
            <w:gridSpan w:val="3"/>
            <w:shd w:val="clear" w:color="auto" w:fill="auto"/>
            <w:vAlign w:val="bottom"/>
          </w:tcPr>
          <w:p w14:paraId="5F2D32DC" w14:textId="77777777" w:rsidR="00E836FB" w:rsidRDefault="00E836FB">
            <w:pPr>
              <w:rPr>
                <w:rFonts w:ascii="宋体"/>
                <w:vanish/>
              </w:rPr>
            </w:pPr>
          </w:p>
        </w:tc>
        <w:tc>
          <w:tcPr>
            <w:tcW w:w="0" w:type="auto"/>
            <w:gridSpan w:val="3"/>
            <w:shd w:val="clear" w:color="auto" w:fill="auto"/>
            <w:vAlign w:val="bottom"/>
          </w:tcPr>
          <w:p w14:paraId="5F2D32DD" w14:textId="77777777" w:rsidR="00E836FB" w:rsidRDefault="00E836FB">
            <w:pPr>
              <w:rPr>
                <w:rFonts w:ascii="宋体"/>
                <w:vanish/>
              </w:rPr>
            </w:pPr>
          </w:p>
        </w:tc>
        <w:tc>
          <w:tcPr>
            <w:tcW w:w="0" w:type="auto"/>
            <w:gridSpan w:val="3"/>
            <w:shd w:val="clear" w:color="auto" w:fill="auto"/>
            <w:vAlign w:val="bottom"/>
          </w:tcPr>
          <w:p w14:paraId="5F2D32DE" w14:textId="77777777" w:rsidR="00E836FB" w:rsidRDefault="00E836FB">
            <w:pPr>
              <w:rPr>
                <w:rFonts w:ascii="宋体"/>
                <w:vanish/>
              </w:rPr>
            </w:pPr>
          </w:p>
        </w:tc>
        <w:tc>
          <w:tcPr>
            <w:tcW w:w="0" w:type="auto"/>
            <w:gridSpan w:val="3"/>
            <w:shd w:val="clear" w:color="auto" w:fill="auto"/>
            <w:vAlign w:val="bottom"/>
          </w:tcPr>
          <w:p w14:paraId="5F2D32DF" w14:textId="77777777" w:rsidR="00E836FB" w:rsidRDefault="00E836FB">
            <w:pPr>
              <w:rPr>
                <w:rFonts w:ascii="宋体"/>
                <w:vanish/>
              </w:rPr>
            </w:pPr>
          </w:p>
        </w:tc>
      </w:tr>
      <w:tr w:rsidR="00E836FB" w14:paraId="5F2D32F3" w14:textId="77777777">
        <w:trPr>
          <w:hidden/>
        </w:trPr>
        <w:tc>
          <w:tcPr>
            <w:tcW w:w="0" w:type="auto"/>
            <w:gridSpan w:val="3"/>
            <w:shd w:val="clear" w:color="auto" w:fill="auto"/>
            <w:vAlign w:val="bottom"/>
          </w:tcPr>
          <w:p w14:paraId="5F2D32E1" w14:textId="77777777" w:rsidR="00E836FB" w:rsidRDefault="00E836FB">
            <w:pPr>
              <w:rPr>
                <w:rFonts w:ascii="宋体"/>
                <w:vanish/>
              </w:rPr>
            </w:pPr>
          </w:p>
        </w:tc>
        <w:tc>
          <w:tcPr>
            <w:tcW w:w="0" w:type="auto"/>
            <w:gridSpan w:val="3"/>
            <w:shd w:val="clear" w:color="auto" w:fill="auto"/>
            <w:vAlign w:val="bottom"/>
          </w:tcPr>
          <w:p w14:paraId="5F2D32E2" w14:textId="77777777" w:rsidR="00E836FB" w:rsidRDefault="00E836FB">
            <w:pPr>
              <w:rPr>
                <w:rFonts w:ascii="宋体"/>
                <w:vanish/>
              </w:rPr>
            </w:pPr>
          </w:p>
        </w:tc>
        <w:tc>
          <w:tcPr>
            <w:tcW w:w="0" w:type="auto"/>
            <w:gridSpan w:val="3"/>
            <w:shd w:val="clear" w:color="auto" w:fill="auto"/>
            <w:vAlign w:val="bottom"/>
          </w:tcPr>
          <w:p w14:paraId="5F2D32E3" w14:textId="77777777" w:rsidR="00E836FB" w:rsidRDefault="00E836FB">
            <w:pPr>
              <w:rPr>
                <w:rFonts w:ascii="宋体"/>
                <w:vanish/>
              </w:rPr>
            </w:pPr>
          </w:p>
        </w:tc>
        <w:tc>
          <w:tcPr>
            <w:tcW w:w="0" w:type="auto"/>
            <w:gridSpan w:val="3"/>
            <w:shd w:val="clear" w:color="auto" w:fill="auto"/>
            <w:vAlign w:val="bottom"/>
          </w:tcPr>
          <w:p w14:paraId="5F2D32E4" w14:textId="77777777" w:rsidR="00E836FB" w:rsidRDefault="00E836FB">
            <w:pPr>
              <w:rPr>
                <w:rFonts w:ascii="宋体"/>
                <w:vanish/>
              </w:rPr>
            </w:pPr>
          </w:p>
        </w:tc>
        <w:tc>
          <w:tcPr>
            <w:tcW w:w="0" w:type="auto"/>
            <w:gridSpan w:val="3"/>
            <w:shd w:val="clear" w:color="auto" w:fill="auto"/>
            <w:vAlign w:val="bottom"/>
          </w:tcPr>
          <w:p w14:paraId="5F2D32E5" w14:textId="77777777" w:rsidR="00E836FB" w:rsidRDefault="00E836FB">
            <w:pPr>
              <w:rPr>
                <w:rFonts w:ascii="宋体"/>
                <w:vanish/>
              </w:rPr>
            </w:pPr>
          </w:p>
        </w:tc>
        <w:tc>
          <w:tcPr>
            <w:tcW w:w="0" w:type="auto"/>
            <w:gridSpan w:val="3"/>
            <w:shd w:val="clear" w:color="auto" w:fill="auto"/>
            <w:vAlign w:val="bottom"/>
          </w:tcPr>
          <w:p w14:paraId="5F2D32E6" w14:textId="77777777" w:rsidR="00E836FB" w:rsidRDefault="00E836FB">
            <w:pPr>
              <w:rPr>
                <w:rFonts w:ascii="宋体"/>
                <w:vanish/>
              </w:rPr>
            </w:pPr>
          </w:p>
        </w:tc>
        <w:tc>
          <w:tcPr>
            <w:tcW w:w="0" w:type="auto"/>
            <w:gridSpan w:val="3"/>
            <w:shd w:val="clear" w:color="auto" w:fill="auto"/>
            <w:vAlign w:val="bottom"/>
          </w:tcPr>
          <w:p w14:paraId="5F2D32E7" w14:textId="77777777" w:rsidR="00E836FB" w:rsidRDefault="00E836FB">
            <w:pPr>
              <w:rPr>
                <w:rFonts w:ascii="宋体"/>
                <w:vanish/>
              </w:rPr>
            </w:pPr>
          </w:p>
        </w:tc>
        <w:tc>
          <w:tcPr>
            <w:tcW w:w="0" w:type="auto"/>
            <w:gridSpan w:val="3"/>
            <w:shd w:val="clear" w:color="auto" w:fill="auto"/>
            <w:vAlign w:val="bottom"/>
          </w:tcPr>
          <w:p w14:paraId="5F2D32E8" w14:textId="77777777" w:rsidR="00E836FB" w:rsidRDefault="00E836FB">
            <w:pPr>
              <w:rPr>
                <w:rFonts w:ascii="宋体"/>
                <w:vanish/>
              </w:rPr>
            </w:pPr>
          </w:p>
        </w:tc>
        <w:tc>
          <w:tcPr>
            <w:tcW w:w="0" w:type="auto"/>
            <w:gridSpan w:val="3"/>
            <w:shd w:val="clear" w:color="auto" w:fill="auto"/>
            <w:vAlign w:val="bottom"/>
          </w:tcPr>
          <w:p w14:paraId="5F2D32E9" w14:textId="77777777" w:rsidR="00E836FB" w:rsidRDefault="00E836FB">
            <w:pPr>
              <w:rPr>
                <w:rFonts w:ascii="宋体"/>
                <w:vanish/>
              </w:rPr>
            </w:pPr>
          </w:p>
        </w:tc>
        <w:tc>
          <w:tcPr>
            <w:tcW w:w="0" w:type="auto"/>
            <w:gridSpan w:val="3"/>
            <w:shd w:val="clear" w:color="auto" w:fill="auto"/>
            <w:vAlign w:val="bottom"/>
          </w:tcPr>
          <w:p w14:paraId="5F2D32EA" w14:textId="77777777" w:rsidR="00E836FB" w:rsidRDefault="00E836FB">
            <w:pPr>
              <w:rPr>
                <w:rFonts w:ascii="宋体"/>
                <w:vanish/>
              </w:rPr>
            </w:pPr>
          </w:p>
        </w:tc>
        <w:tc>
          <w:tcPr>
            <w:tcW w:w="0" w:type="auto"/>
            <w:gridSpan w:val="3"/>
            <w:shd w:val="clear" w:color="auto" w:fill="auto"/>
            <w:vAlign w:val="bottom"/>
          </w:tcPr>
          <w:p w14:paraId="5F2D32EB" w14:textId="77777777" w:rsidR="00E836FB" w:rsidRDefault="00E836FB">
            <w:pPr>
              <w:rPr>
                <w:rFonts w:ascii="宋体"/>
                <w:vanish/>
              </w:rPr>
            </w:pPr>
          </w:p>
        </w:tc>
        <w:tc>
          <w:tcPr>
            <w:tcW w:w="0" w:type="auto"/>
            <w:gridSpan w:val="3"/>
            <w:shd w:val="clear" w:color="auto" w:fill="auto"/>
            <w:vAlign w:val="bottom"/>
          </w:tcPr>
          <w:p w14:paraId="5F2D32EC" w14:textId="77777777" w:rsidR="00E836FB" w:rsidRDefault="00E836FB">
            <w:pPr>
              <w:rPr>
                <w:rFonts w:ascii="宋体"/>
                <w:vanish/>
              </w:rPr>
            </w:pPr>
          </w:p>
        </w:tc>
        <w:tc>
          <w:tcPr>
            <w:tcW w:w="0" w:type="auto"/>
            <w:gridSpan w:val="3"/>
            <w:shd w:val="clear" w:color="auto" w:fill="auto"/>
            <w:vAlign w:val="bottom"/>
          </w:tcPr>
          <w:p w14:paraId="5F2D32ED" w14:textId="77777777" w:rsidR="00E836FB" w:rsidRDefault="00E836FB">
            <w:pPr>
              <w:rPr>
                <w:rFonts w:ascii="宋体"/>
                <w:vanish/>
              </w:rPr>
            </w:pPr>
          </w:p>
        </w:tc>
        <w:tc>
          <w:tcPr>
            <w:tcW w:w="0" w:type="auto"/>
            <w:gridSpan w:val="3"/>
            <w:shd w:val="clear" w:color="auto" w:fill="auto"/>
            <w:vAlign w:val="bottom"/>
          </w:tcPr>
          <w:p w14:paraId="5F2D32EE" w14:textId="77777777" w:rsidR="00E836FB" w:rsidRDefault="00E836FB">
            <w:pPr>
              <w:rPr>
                <w:rFonts w:ascii="宋体"/>
                <w:vanish/>
              </w:rPr>
            </w:pPr>
          </w:p>
        </w:tc>
        <w:tc>
          <w:tcPr>
            <w:tcW w:w="0" w:type="auto"/>
            <w:gridSpan w:val="3"/>
            <w:shd w:val="clear" w:color="auto" w:fill="auto"/>
            <w:vAlign w:val="bottom"/>
          </w:tcPr>
          <w:p w14:paraId="5F2D32EF" w14:textId="77777777" w:rsidR="00E836FB" w:rsidRDefault="00E836FB">
            <w:pPr>
              <w:rPr>
                <w:rFonts w:ascii="宋体"/>
                <w:vanish/>
              </w:rPr>
            </w:pPr>
          </w:p>
        </w:tc>
        <w:tc>
          <w:tcPr>
            <w:tcW w:w="0" w:type="auto"/>
            <w:gridSpan w:val="3"/>
            <w:shd w:val="clear" w:color="auto" w:fill="auto"/>
            <w:vAlign w:val="bottom"/>
          </w:tcPr>
          <w:p w14:paraId="5F2D32F0" w14:textId="77777777" w:rsidR="00E836FB" w:rsidRDefault="00E836FB">
            <w:pPr>
              <w:rPr>
                <w:rFonts w:ascii="宋体"/>
                <w:vanish/>
              </w:rPr>
            </w:pPr>
          </w:p>
        </w:tc>
        <w:tc>
          <w:tcPr>
            <w:tcW w:w="0" w:type="auto"/>
            <w:gridSpan w:val="3"/>
            <w:shd w:val="clear" w:color="auto" w:fill="auto"/>
            <w:vAlign w:val="bottom"/>
          </w:tcPr>
          <w:p w14:paraId="5F2D32F1" w14:textId="77777777" w:rsidR="00E836FB" w:rsidRDefault="00E836FB">
            <w:pPr>
              <w:rPr>
                <w:rFonts w:ascii="宋体"/>
                <w:vanish/>
              </w:rPr>
            </w:pPr>
          </w:p>
        </w:tc>
        <w:tc>
          <w:tcPr>
            <w:tcW w:w="0" w:type="auto"/>
            <w:gridSpan w:val="3"/>
            <w:shd w:val="clear" w:color="auto" w:fill="auto"/>
            <w:vAlign w:val="bottom"/>
          </w:tcPr>
          <w:p w14:paraId="5F2D32F2" w14:textId="77777777" w:rsidR="00E836FB" w:rsidRDefault="00E836FB">
            <w:pPr>
              <w:rPr>
                <w:rFonts w:ascii="宋体"/>
                <w:vanish/>
              </w:rPr>
            </w:pPr>
          </w:p>
        </w:tc>
      </w:tr>
      <w:tr w:rsidR="00E836FB" w14:paraId="5F2D3306" w14:textId="77777777">
        <w:trPr>
          <w:hidden/>
        </w:trPr>
        <w:tc>
          <w:tcPr>
            <w:tcW w:w="0" w:type="auto"/>
            <w:gridSpan w:val="3"/>
            <w:shd w:val="clear" w:color="auto" w:fill="auto"/>
            <w:vAlign w:val="bottom"/>
          </w:tcPr>
          <w:p w14:paraId="5F2D32F4" w14:textId="77777777" w:rsidR="00E836FB" w:rsidRDefault="00E836FB">
            <w:pPr>
              <w:rPr>
                <w:rFonts w:ascii="宋体"/>
                <w:vanish/>
              </w:rPr>
            </w:pPr>
          </w:p>
        </w:tc>
        <w:tc>
          <w:tcPr>
            <w:tcW w:w="0" w:type="auto"/>
            <w:gridSpan w:val="3"/>
            <w:shd w:val="clear" w:color="auto" w:fill="auto"/>
            <w:vAlign w:val="bottom"/>
          </w:tcPr>
          <w:p w14:paraId="5F2D32F5" w14:textId="77777777" w:rsidR="00E836FB" w:rsidRDefault="00E836FB">
            <w:pPr>
              <w:rPr>
                <w:rFonts w:ascii="宋体"/>
                <w:vanish/>
              </w:rPr>
            </w:pPr>
          </w:p>
        </w:tc>
        <w:tc>
          <w:tcPr>
            <w:tcW w:w="0" w:type="auto"/>
            <w:gridSpan w:val="3"/>
            <w:shd w:val="clear" w:color="auto" w:fill="auto"/>
            <w:vAlign w:val="bottom"/>
          </w:tcPr>
          <w:p w14:paraId="5F2D32F6" w14:textId="77777777" w:rsidR="00E836FB" w:rsidRDefault="00E836FB">
            <w:pPr>
              <w:rPr>
                <w:rFonts w:ascii="宋体"/>
                <w:vanish/>
              </w:rPr>
            </w:pPr>
          </w:p>
        </w:tc>
        <w:tc>
          <w:tcPr>
            <w:tcW w:w="0" w:type="auto"/>
            <w:gridSpan w:val="3"/>
            <w:shd w:val="clear" w:color="auto" w:fill="auto"/>
            <w:vAlign w:val="bottom"/>
          </w:tcPr>
          <w:p w14:paraId="5F2D32F7" w14:textId="77777777" w:rsidR="00E836FB" w:rsidRDefault="00E836FB">
            <w:pPr>
              <w:rPr>
                <w:rFonts w:ascii="宋体"/>
                <w:vanish/>
              </w:rPr>
            </w:pPr>
          </w:p>
        </w:tc>
        <w:tc>
          <w:tcPr>
            <w:tcW w:w="0" w:type="auto"/>
            <w:gridSpan w:val="3"/>
            <w:shd w:val="clear" w:color="auto" w:fill="auto"/>
            <w:vAlign w:val="bottom"/>
          </w:tcPr>
          <w:p w14:paraId="5F2D32F8" w14:textId="77777777" w:rsidR="00E836FB" w:rsidRDefault="00E836FB">
            <w:pPr>
              <w:rPr>
                <w:rFonts w:ascii="宋体"/>
                <w:vanish/>
              </w:rPr>
            </w:pPr>
          </w:p>
        </w:tc>
        <w:tc>
          <w:tcPr>
            <w:tcW w:w="0" w:type="auto"/>
            <w:gridSpan w:val="3"/>
            <w:shd w:val="clear" w:color="auto" w:fill="auto"/>
            <w:vAlign w:val="bottom"/>
          </w:tcPr>
          <w:p w14:paraId="5F2D32F9" w14:textId="77777777" w:rsidR="00E836FB" w:rsidRDefault="00E836FB">
            <w:pPr>
              <w:rPr>
                <w:rFonts w:ascii="宋体"/>
                <w:vanish/>
              </w:rPr>
            </w:pPr>
          </w:p>
        </w:tc>
        <w:tc>
          <w:tcPr>
            <w:tcW w:w="0" w:type="auto"/>
            <w:gridSpan w:val="3"/>
            <w:shd w:val="clear" w:color="auto" w:fill="auto"/>
            <w:vAlign w:val="bottom"/>
          </w:tcPr>
          <w:p w14:paraId="5F2D32FA" w14:textId="77777777" w:rsidR="00E836FB" w:rsidRDefault="00E836FB">
            <w:pPr>
              <w:rPr>
                <w:rFonts w:ascii="宋体"/>
                <w:vanish/>
              </w:rPr>
            </w:pPr>
          </w:p>
        </w:tc>
        <w:tc>
          <w:tcPr>
            <w:tcW w:w="0" w:type="auto"/>
            <w:gridSpan w:val="3"/>
            <w:shd w:val="clear" w:color="auto" w:fill="auto"/>
            <w:vAlign w:val="bottom"/>
          </w:tcPr>
          <w:p w14:paraId="5F2D32FB" w14:textId="77777777" w:rsidR="00E836FB" w:rsidRDefault="00E836FB">
            <w:pPr>
              <w:rPr>
                <w:rFonts w:ascii="宋体"/>
                <w:vanish/>
              </w:rPr>
            </w:pPr>
          </w:p>
        </w:tc>
        <w:tc>
          <w:tcPr>
            <w:tcW w:w="0" w:type="auto"/>
            <w:gridSpan w:val="3"/>
            <w:shd w:val="clear" w:color="auto" w:fill="auto"/>
            <w:vAlign w:val="bottom"/>
          </w:tcPr>
          <w:p w14:paraId="5F2D32FC" w14:textId="77777777" w:rsidR="00E836FB" w:rsidRDefault="00E836FB">
            <w:pPr>
              <w:rPr>
                <w:rFonts w:ascii="宋体"/>
                <w:vanish/>
              </w:rPr>
            </w:pPr>
          </w:p>
        </w:tc>
        <w:tc>
          <w:tcPr>
            <w:tcW w:w="0" w:type="auto"/>
            <w:gridSpan w:val="3"/>
            <w:shd w:val="clear" w:color="auto" w:fill="auto"/>
            <w:vAlign w:val="bottom"/>
          </w:tcPr>
          <w:p w14:paraId="5F2D32FD" w14:textId="77777777" w:rsidR="00E836FB" w:rsidRDefault="00E836FB">
            <w:pPr>
              <w:rPr>
                <w:rFonts w:ascii="宋体"/>
                <w:vanish/>
              </w:rPr>
            </w:pPr>
          </w:p>
        </w:tc>
        <w:tc>
          <w:tcPr>
            <w:tcW w:w="0" w:type="auto"/>
            <w:gridSpan w:val="3"/>
            <w:shd w:val="clear" w:color="auto" w:fill="auto"/>
            <w:vAlign w:val="bottom"/>
          </w:tcPr>
          <w:p w14:paraId="5F2D32FE" w14:textId="77777777" w:rsidR="00E836FB" w:rsidRDefault="00E836FB">
            <w:pPr>
              <w:rPr>
                <w:rFonts w:ascii="宋体"/>
                <w:vanish/>
              </w:rPr>
            </w:pPr>
          </w:p>
        </w:tc>
        <w:tc>
          <w:tcPr>
            <w:tcW w:w="0" w:type="auto"/>
            <w:gridSpan w:val="3"/>
            <w:shd w:val="clear" w:color="auto" w:fill="auto"/>
            <w:vAlign w:val="bottom"/>
          </w:tcPr>
          <w:p w14:paraId="5F2D32FF" w14:textId="77777777" w:rsidR="00E836FB" w:rsidRDefault="00E836FB">
            <w:pPr>
              <w:rPr>
                <w:rFonts w:ascii="宋体"/>
                <w:vanish/>
              </w:rPr>
            </w:pPr>
          </w:p>
        </w:tc>
        <w:tc>
          <w:tcPr>
            <w:tcW w:w="0" w:type="auto"/>
            <w:gridSpan w:val="3"/>
            <w:shd w:val="clear" w:color="auto" w:fill="auto"/>
            <w:vAlign w:val="bottom"/>
          </w:tcPr>
          <w:p w14:paraId="5F2D3300" w14:textId="77777777" w:rsidR="00E836FB" w:rsidRDefault="00E836FB">
            <w:pPr>
              <w:rPr>
                <w:rFonts w:ascii="宋体"/>
                <w:vanish/>
              </w:rPr>
            </w:pPr>
          </w:p>
        </w:tc>
        <w:tc>
          <w:tcPr>
            <w:tcW w:w="0" w:type="auto"/>
            <w:gridSpan w:val="3"/>
            <w:shd w:val="clear" w:color="auto" w:fill="auto"/>
            <w:vAlign w:val="bottom"/>
          </w:tcPr>
          <w:p w14:paraId="5F2D3301" w14:textId="77777777" w:rsidR="00E836FB" w:rsidRDefault="00E836FB">
            <w:pPr>
              <w:rPr>
                <w:rFonts w:ascii="宋体"/>
                <w:vanish/>
              </w:rPr>
            </w:pPr>
          </w:p>
        </w:tc>
        <w:tc>
          <w:tcPr>
            <w:tcW w:w="0" w:type="auto"/>
            <w:gridSpan w:val="3"/>
            <w:shd w:val="clear" w:color="auto" w:fill="auto"/>
            <w:vAlign w:val="bottom"/>
          </w:tcPr>
          <w:p w14:paraId="5F2D3302" w14:textId="77777777" w:rsidR="00E836FB" w:rsidRDefault="00E836FB">
            <w:pPr>
              <w:rPr>
                <w:rFonts w:ascii="宋体"/>
                <w:vanish/>
              </w:rPr>
            </w:pPr>
          </w:p>
        </w:tc>
        <w:tc>
          <w:tcPr>
            <w:tcW w:w="0" w:type="auto"/>
            <w:gridSpan w:val="3"/>
            <w:shd w:val="clear" w:color="auto" w:fill="auto"/>
            <w:vAlign w:val="bottom"/>
          </w:tcPr>
          <w:p w14:paraId="5F2D3303" w14:textId="77777777" w:rsidR="00E836FB" w:rsidRDefault="00E836FB">
            <w:pPr>
              <w:rPr>
                <w:rFonts w:ascii="宋体"/>
                <w:vanish/>
              </w:rPr>
            </w:pPr>
          </w:p>
        </w:tc>
        <w:tc>
          <w:tcPr>
            <w:tcW w:w="0" w:type="auto"/>
            <w:gridSpan w:val="3"/>
            <w:shd w:val="clear" w:color="auto" w:fill="auto"/>
            <w:vAlign w:val="bottom"/>
          </w:tcPr>
          <w:p w14:paraId="5F2D3304" w14:textId="77777777" w:rsidR="00E836FB" w:rsidRDefault="00E836FB">
            <w:pPr>
              <w:rPr>
                <w:rFonts w:ascii="宋体"/>
                <w:vanish/>
              </w:rPr>
            </w:pPr>
          </w:p>
        </w:tc>
        <w:tc>
          <w:tcPr>
            <w:tcW w:w="0" w:type="auto"/>
            <w:gridSpan w:val="3"/>
            <w:shd w:val="clear" w:color="auto" w:fill="auto"/>
            <w:vAlign w:val="bottom"/>
          </w:tcPr>
          <w:p w14:paraId="5F2D3305" w14:textId="77777777" w:rsidR="00E836FB" w:rsidRDefault="00E836FB">
            <w:pPr>
              <w:rPr>
                <w:rFonts w:ascii="宋体"/>
                <w:vanish/>
              </w:rPr>
            </w:pPr>
          </w:p>
        </w:tc>
      </w:tr>
      <w:tr w:rsidR="00E836FB" w14:paraId="5F2D3319" w14:textId="77777777">
        <w:trPr>
          <w:hidden/>
        </w:trPr>
        <w:tc>
          <w:tcPr>
            <w:tcW w:w="0" w:type="auto"/>
            <w:gridSpan w:val="3"/>
            <w:shd w:val="clear" w:color="auto" w:fill="auto"/>
            <w:vAlign w:val="bottom"/>
          </w:tcPr>
          <w:p w14:paraId="5F2D3307" w14:textId="77777777" w:rsidR="00E836FB" w:rsidRDefault="00E836FB">
            <w:pPr>
              <w:rPr>
                <w:rFonts w:ascii="宋体"/>
                <w:vanish/>
              </w:rPr>
            </w:pPr>
          </w:p>
        </w:tc>
        <w:tc>
          <w:tcPr>
            <w:tcW w:w="0" w:type="auto"/>
            <w:gridSpan w:val="3"/>
            <w:shd w:val="clear" w:color="auto" w:fill="auto"/>
            <w:vAlign w:val="bottom"/>
          </w:tcPr>
          <w:p w14:paraId="5F2D3308" w14:textId="77777777" w:rsidR="00E836FB" w:rsidRDefault="00E836FB">
            <w:pPr>
              <w:rPr>
                <w:rFonts w:ascii="宋体"/>
                <w:vanish/>
              </w:rPr>
            </w:pPr>
          </w:p>
        </w:tc>
        <w:tc>
          <w:tcPr>
            <w:tcW w:w="0" w:type="auto"/>
            <w:gridSpan w:val="3"/>
            <w:shd w:val="clear" w:color="auto" w:fill="auto"/>
            <w:vAlign w:val="bottom"/>
          </w:tcPr>
          <w:p w14:paraId="5F2D3309" w14:textId="77777777" w:rsidR="00E836FB" w:rsidRDefault="00E836FB">
            <w:pPr>
              <w:rPr>
                <w:rFonts w:ascii="宋体"/>
                <w:vanish/>
              </w:rPr>
            </w:pPr>
          </w:p>
        </w:tc>
        <w:tc>
          <w:tcPr>
            <w:tcW w:w="0" w:type="auto"/>
            <w:gridSpan w:val="3"/>
            <w:shd w:val="clear" w:color="auto" w:fill="auto"/>
            <w:vAlign w:val="bottom"/>
          </w:tcPr>
          <w:p w14:paraId="5F2D330A" w14:textId="77777777" w:rsidR="00E836FB" w:rsidRDefault="00E836FB">
            <w:pPr>
              <w:rPr>
                <w:rFonts w:ascii="宋体"/>
                <w:vanish/>
              </w:rPr>
            </w:pPr>
          </w:p>
        </w:tc>
        <w:tc>
          <w:tcPr>
            <w:tcW w:w="0" w:type="auto"/>
            <w:gridSpan w:val="3"/>
            <w:shd w:val="clear" w:color="auto" w:fill="auto"/>
            <w:vAlign w:val="bottom"/>
          </w:tcPr>
          <w:p w14:paraId="5F2D330B" w14:textId="77777777" w:rsidR="00E836FB" w:rsidRDefault="00E836FB">
            <w:pPr>
              <w:rPr>
                <w:rFonts w:ascii="宋体"/>
                <w:vanish/>
              </w:rPr>
            </w:pPr>
          </w:p>
        </w:tc>
        <w:tc>
          <w:tcPr>
            <w:tcW w:w="0" w:type="auto"/>
            <w:gridSpan w:val="3"/>
            <w:shd w:val="clear" w:color="auto" w:fill="auto"/>
            <w:vAlign w:val="bottom"/>
          </w:tcPr>
          <w:p w14:paraId="5F2D330C" w14:textId="77777777" w:rsidR="00E836FB" w:rsidRDefault="00E836FB">
            <w:pPr>
              <w:rPr>
                <w:rFonts w:ascii="宋体"/>
                <w:vanish/>
              </w:rPr>
            </w:pPr>
          </w:p>
        </w:tc>
        <w:tc>
          <w:tcPr>
            <w:tcW w:w="0" w:type="auto"/>
            <w:gridSpan w:val="3"/>
            <w:shd w:val="clear" w:color="auto" w:fill="auto"/>
            <w:vAlign w:val="bottom"/>
          </w:tcPr>
          <w:p w14:paraId="5F2D330D" w14:textId="77777777" w:rsidR="00E836FB" w:rsidRDefault="00E836FB">
            <w:pPr>
              <w:rPr>
                <w:rFonts w:ascii="宋体"/>
                <w:vanish/>
              </w:rPr>
            </w:pPr>
          </w:p>
        </w:tc>
        <w:tc>
          <w:tcPr>
            <w:tcW w:w="0" w:type="auto"/>
            <w:gridSpan w:val="3"/>
            <w:shd w:val="clear" w:color="auto" w:fill="auto"/>
            <w:vAlign w:val="bottom"/>
          </w:tcPr>
          <w:p w14:paraId="5F2D330E" w14:textId="77777777" w:rsidR="00E836FB" w:rsidRDefault="00E836FB">
            <w:pPr>
              <w:rPr>
                <w:rFonts w:ascii="宋体"/>
                <w:vanish/>
              </w:rPr>
            </w:pPr>
          </w:p>
        </w:tc>
        <w:tc>
          <w:tcPr>
            <w:tcW w:w="0" w:type="auto"/>
            <w:gridSpan w:val="3"/>
            <w:shd w:val="clear" w:color="auto" w:fill="auto"/>
            <w:vAlign w:val="bottom"/>
          </w:tcPr>
          <w:p w14:paraId="5F2D330F" w14:textId="77777777" w:rsidR="00E836FB" w:rsidRDefault="00E836FB">
            <w:pPr>
              <w:rPr>
                <w:rFonts w:ascii="宋体"/>
                <w:vanish/>
              </w:rPr>
            </w:pPr>
          </w:p>
        </w:tc>
        <w:tc>
          <w:tcPr>
            <w:tcW w:w="0" w:type="auto"/>
            <w:gridSpan w:val="3"/>
            <w:shd w:val="clear" w:color="auto" w:fill="auto"/>
            <w:vAlign w:val="bottom"/>
          </w:tcPr>
          <w:p w14:paraId="5F2D3310" w14:textId="77777777" w:rsidR="00E836FB" w:rsidRDefault="00E836FB">
            <w:pPr>
              <w:rPr>
                <w:rFonts w:ascii="宋体"/>
                <w:vanish/>
              </w:rPr>
            </w:pPr>
          </w:p>
        </w:tc>
        <w:tc>
          <w:tcPr>
            <w:tcW w:w="0" w:type="auto"/>
            <w:gridSpan w:val="3"/>
            <w:shd w:val="clear" w:color="auto" w:fill="auto"/>
            <w:vAlign w:val="bottom"/>
          </w:tcPr>
          <w:p w14:paraId="5F2D3311" w14:textId="77777777" w:rsidR="00E836FB" w:rsidRDefault="00E836FB">
            <w:pPr>
              <w:rPr>
                <w:rFonts w:ascii="宋体"/>
                <w:vanish/>
              </w:rPr>
            </w:pPr>
          </w:p>
        </w:tc>
        <w:tc>
          <w:tcPr>
            <w:tcW w:w="0" w:type="auto"/>
            <w:gridSpan w:val="3"/>
            <w:shd w:val="clear" w:color="auto" w:fill="auto"/>
            <w:vAlign w:val="bottom"/>
          </w:tcPr>
          <w:p w14:paraId="5F2D3312" w14:textId="77777777" w:rsidR="00E836FB" w:rsidRDefault="00E836FB">
            <w:pPr>
              <w:rPr>
                <w:rFonts w:ascii="宋体"/>
                <w:vanish/>
              </w:rPr>
            </w:pPr>
          </w:p>
        </w:tc>
        <w:tc>
          <w:tcPr>
            <w:tcW w:w="0" w:type="auto"/>
            <w:gridSpan w:val="3"/>
            <w:shd w:val="clear" w:color="auto" w:fill="auto"/>
            <w:vAlign w:val="bottom"/>
          </w:tcPr>
          <w:p w14:paraId="5F2D3313" w14:textId="77777777" w:rsidR="00E836FB" w:rsidRDefault="00E836FB">
            <w:pPr>
              <w:rPr>
                <w:rFonts w:ascii="宋体"/>
                <w:vanish/>
              </w:rPr>
            </w:pPr>
          </w:p>
        </w:tc>
        <w:tc>
          <w:tcPr>
            <w:tcW w:w="0" w:type="auto"/>
            <w:gridSpan w:val="3"/>
            <w:shd w:val="clear" w:color="auto" w:fill="auto"/>
            <w:vAlign w:val="bottom"/>
          </w:tcPr>
          <w:p w14:paraId="5F2D3314" w14:textId="77777777" w:rsidR="00E836FB" w:rsidRDefault="00E836FB">
            <w:pPr>
              <w:rPr>
                <w:rFonts w:ascii="宋体"/>
                <w:vanish/>
              </w:rPr>
            </w:pPr>
          </w:p>
        </w:tc>
        <w:tc>
          <w:tcPr>
            <w:tcW w:w="0" w:type="auto"/>
            <w:gridSpan w:val="3"/>
            <w:shd w:val="clear" w:color="auto" w:fill="auto"/>
            <w:vAlign w:val="bottom"/>
          </w:tcPr>
          <w:p w14:paraId="5F2D3315" w14:textId="77777777" w:rsidR="00E836FB" w:rsidRDefault="00E836FB">
            <w:pPr>
              <w:rPr>
                <w:rFonts w:ascii="宋体"/>
                <w:vanish/>
              </w:rPr>
            </w:pPr>
          </w:p>
        </w:tc>
        <w:tc>
          <w:tcPr>
            <w:tcW w:w="0" w:type="auto"/>
            <w:gridSpan w:val="3"/>
            <w:shd w:val="clear" w:color="auto" w:fill="auto"/>
            <w:vAlign w:val="bottom"/>
          </w:tcPr>
          <w:p w14:paraId="5F2D3316" w14:textId="77777777" w:rsidR="00E836FB" w:rsidRDefault="00E836FB">
            <w:pPr>
              <w:rPr>
                <w:rFonts w:ascii="宋体"/>
                <w:vanish/>
              </w:rPr>
            </w:pPr>
          </w:p>
        </w:tc>
        <w:tc>
          <w:tcPr>
            <w:tcW w:w="0" w:type="auto"/>
            <w:gridSpan w:val="3"/>
            <w:shd w:val="clear" w:color="auto" w:fill="auto"/>
            <w:vAlign w:val="bottom"/>
          </w:tcPr>
          <w:p w14:paraId="5F2D3317" w14:textId="77777777" w:rsidR="00E836FB" w:rsidRDefault="00E836FB">
            <w:pPr>
              <w:rPr>
                <w:rFonts w:ascii="宋体"/>
                <w:vanish/>
              </w:rPr>
            </w:pPr>
          </w:p>
        </w:tc>
        <w:tc>
          <w:tcPr>
            <w:tcW w:w="0" w:type="auto"/>
            <w:gridSpan w:val="3"/>
            <w:shd w:val="clear" w:color="auto" w:fill="auto"/>
            <w:vAlign w:val="bottom"/>
          </w:tcPr>
          <w:p w14:paraId="5F2D3318" w14:textId="77777777" w:rsidR="00E836FB" w:rsidRDefault="00E836FB">
            <w:pPr>
              <w:rPr>
                <w:rFonts w:ascii="宋体"/>
                <w:vanish/>
              </w:rPr>
            </w:pPr>
          </w:p>
        </w:tc>
      </w:tr>
      <w:tr w:rsidR="00E836FB" w14:paraId="5F2D332C" w14:textId="77777777">
        <w:trPr>
          <w:hidden/>
        </w:trPr>
        <w:tc>
          <w:tcPr>
            <w:tcW w:w="0" w:type="auto"/>
            <w:gridSpan w:val="3"/>
            <w:shd w:val="clear" w:color="auto" w:fill="auto"/>
            <w:vAlign w:val="bottom"/>
          </w:tcPr>
          <w:p w14:paraId="5F2D331A" w14:textId="77777777" w:rsidR="00E836FB" w:rsidRDefault="00E836FB">
            <w:pPr>
              <w:rPr>
                <w:rFonts w:ascii="宋体"/>
                <w:vanish/>
              </w:rPr>
            </w:pPr>
          </w:p>
        </w:tc>
        <w:tc>
          <w:tcPr>
            <w:tcW w:w="0" w:type="auto"/>
            <w:gridSpan w:val="3"/>
            <w:shd w:val="clear" w:color="auto" w:fill="auto"/>
            <w:vAlign w:val="bottom"/>
          </w:tcPr>
          <w:p w14:paraId="5F2D331B" w14:textId="77777777" w:rsidR="00E836FB" w:rsidRDefault="00E836FB">
            <w:pPr>
              <w:rPr>
                <w:rFonts w:ascii="宋体"/>
                <w:vanish/>
              </w:rPr>
            </w:pPr>
          </w:p>
        </w:tc>
        <w:tc>
          <w:tcPr>
            <w:tcW w:w="0" w:type="auto"/>
            <w:gridSpan w:val="3"/>
            <w:shd w:val="clear" w:color="auto" w:fill="auto"/>
            <w:vAlign w:val="bottom"/>
          </w:tcPr>
          <w:p w14:paraId="5F2D331C" w14:textId="77777777" w:rsidR="00E836FB" w:rsidRDefault="00E836FB">
            <w:pPr>
              <w:rPr>
                <w:rFonts w:ascii="宋体"/>
                <w:vanish/>
              </w:rPr>
            </w:pPr>
          </w:p>
        </w:tc>
        <w:tc>
          <w:tcPr>
            <w:tcW w:w="0" w:type="auto"/>
            <w:gridSpan w:val="3"/>
            <w:shd w:val="clear" w:color="auto" w:fill="auto"/>
            <w:vAlign w:val="bottom"/>
          </w:tcPr>
          <w:p w14:paraId="5F2D331D" w14:textId="77777777" w:rsidR="00E836FB" w:rsidRDefault="00E836FB">
            <w:pPr>
              <w:rPr>
                <w:rFonts w:ascii="宋体"/>
                <w:vanish/>
              </w:rPr>
            </w:pPr>
          </w:p>
        </w:tc>
        <w:tc>
          <w:tcPr>
            <w:tcW w:w="0" w:type="auto"/>
            <w:gridSpan w:val="3"/>
            <w:shd w:val="clear" w:color="auto" w:fill="auto"/>
            <w:vAlign w:val="bottom"/>
          </w:tcPr>
          <w:p w14:paraId="5F2D331E" w14:textId="77777777" w:rsidR="00E836FB" w:rsidRDefault="00E836FB">
            <w:pPr>
              <w:rPr>
                <w:rFonts w:ascii="宋体"/>
                <w:vanish/>
              </w:rPr>
            </w:pPr>
          </w:p>
        </w:tc>
        <w:tc>
          <w:tcPr>
            <w:tcW w:w="0" w:type="auto"/>
            <w:gridSpan w:val="3"/>
            <w:shd w:val="clear" w:color="auto" w:fill="auto"/>
            <w:vAlign w:val="bottom"/>
          </w:tcPr>
          <w:p w14:paraId="5F2D331F" w14:textId="77777777" w:rsidR="00E836FB" w:rsidRDefault="00E836FB">
            <w:pPr>
              <w:rPr>
                <w:rFonts w:ascii="宋体"/>
                <w:vanish/>
              </w:rPr>
            </w:pPr>
          </w:p>
        </w:tc>
        <w:tc>
          <w:tcPr>
            <w:tcW w:w="0" w:type="auto"/>
            <w:gridSpan w:val="3"/>
            <w:shd w:val="clear" w:color="auto" w:fill="auto"/>
            <w:vAlign w:val="bottom"/>
          </w:tcPr>
          <w:p w14:paraId="5F2D3320" w14:textId="77777777" w:rsidR="00E836FB" w:rsidRDefault="00E836FB">
            <w:pPr>
              <w:rPr>
                <w:rFonts w:ascii="宋体"/>
                <w:vanish/>
              </w:rPr>
            </w:pPr>
          </w:p>
        </w:tc>
        <w:tc>
          <w:tcPr>
            <w:tcW w:w="0" w:type="auto"/>
            <w:gridSpan w:val="3"/>
            <w:shd w:val="clear" w:color="auto" w:fill="auto"/>
            <w:vAlign w:val="bottom"/>
          </w:tcPr>
          <w:p w14:paraId="5F2D3321" w14:textId="77777777" w:rsidR="00E836FB" w:rsidRDefault="00E836FB">
            <w:pPr>
              <w:rPr>
                <w:rFonts w:ascii="宋体"/>
                <w:vanish/>
              </w:rPr>
            </w:pPr>
          </w:p>
        </w:tc>
        <w:tc>
          <w:tcPr>
            <w:tcW w:w="0" w:type="auto"/>
            <w:gridSpan w:val="3"/>
            <w:shd w:val="clear" w:color="auto" w:fill="auto"/>
            <w:vAlign w:val="bottom"/>
          </w:tcPr>
          <w:p w14:paraId="5F2D3322" w14:textId="77777777" w:rsidR="00E836FB" w:rsidRDefault="00E836FB">
            <w:pPr>
              <w:rPr>
                <w:rFonts w:ascii="宋体"/>
                <w:vanish/>
              </w:rPr>
            </w:pPr>
          </w:p>
        </w:tc>
        <w:tc>
          <w:tcPr>
            <w:tcW w:w="0" w:type="auto"/>
            <w:gridSpan w:val="3"/>
            <w:shd w:val="clear" w:color="auto" w:fill="auto"/>
            <w:vAlign w:val="bottom"/>
          </w:tcPr>
          <w:p w14:paraId="5F2D3323" w14:textId="77777777" w:rsidR="00E836FB" w:rsidRDefault="00E836FB">
            <w:pPr>
              <w:rPr>
                <w:rFonts w:ascii="宋体"/>
                <w:vanish/>
              </w:rPr>
            </w:pPr>
          </w:p>
        </w:tc>
        <w:tc>
          <w:tcPr>
            <w:tcW w:w="0" w:type="auto"/>
            <w:gridSpan w:val="3"/>
            <w:shd w:val="clear" w:color="auto" w:fill="auto"/>
            <w:vAlign w:val="bottom"/>
          </w:tcPr>
          <w:p w14:paraId="5F2D3324" w14:textId="77777777" w:rsidR="00E836FB" w:rsidRDefault="00E836FB">
            <w:pPr>
              <w:rPr>
                <w:rFonts w:ascii="宋体"/>
                <w:vanish/>
              </w:rPr>
            </w:pPr>
          </w:p>
        </w:tc>
        <w:tc>
          <w:tcPr>
            <w:tcW w:w="0" w:type="auto"/>
            <w:gridSpan w:val="3"/>
            <w:shd w:val="clear" w:color="auto" w:fill="auto"/>
            <w:vAlign w:val="bottom"/>
          </w:tcPr>
          <w:p w14:paraId="5F2D3325" w14:textId="77777777" w:rsidR="00E836FB" w:rsidRDefault="00E836FB">
            <w:pPr>
              <w:rPr>
                <w:rFonts w:ascii="宋体"/>
                <w:vanish/>
              </w:rPr>
            </w:pPr>
          </w:p>
        </w:tc>
        <w:tc>
          <w:tcPr>
            <w:tcW w:w="0" w:type="auto"/>
            <w:gridSpan w:val="3"/>
            <w:shd w:val="clear" w:color="auto" w:fill="auto"/>
            <w:vAlign w:val="bottom"/>
          </w:tcPr>
          <w:p w14:paraId="5F2D3326" w14:textId="77777777" w:rsidR="00E836FB" w:rsidRDefault="00E836FB">
            <w:pPr>
              <w:rPr>
                <w:rFonts w:ascii="宋体"/>
                <w:vanish/>
              </w:rPr>
            </w:pPr>
          </w:p>
        </w:tc>
        <w:tc>
          <w:tcPr>
            <w:tcW w:w="0" w:type="auto"/>
            <w:gridSpan w:val="3"/>
            <w:shd w:val="clear" w:color="auto" w:fill="auto"/>
            <w:vAlign w:val="bottom"/>
          </w:tcPr>
          <w:p w14:paraId="5F2D3327" w14:textId="77777777" w:rsidR="00E836FB" w:rsidRDefault="00E836FB">
            <w:pPr>
              <w:rPr>
                <w:rFonts w:ascii="宋体"/>
                <w:vanish/>
              </w:rPr>
            </w:pPr>
          </w:p>
        </w:tc>
        <w:tc>
          <w:tcPr>
            <w:tcW w:w="0" w:type="auto"/>
            <w:gridSpan w:val="3"/>
            <w:shd w:val="clear" w:color="auto" w:fill="auto"/>
            <w:vAlign w:val="bottom"/>
          </w:tcPr>
          <w:p w14:paraId="5F2D3328" w14:textId="77777777" w:rsidR="00E836FB" w:rsidRDefault="00E836FB">
            <w:pPr>
              <w:rPr>
                <w:rFonts w:ascii="宋体"/>
                <w:vanish/>
              </w:rPr>
            </w:pPr>
          </w:p>
        </w:tc>
        <w:tc>
          <w:tcPr>
            <w:tcW w:w="0" w:type="auto"/>
            <w:gridSpan w:val="3"/>
            <w:shd w:val="clear" w:color="auto" w:fill="auto"/>
            <w:vAlign w:val="bottom"/>
          </w:tcPr>
          <w:p w14:paraId="5F2D3329" w14:textId="77777777" w:rsidR="00E836FB" w:rsidRDefault="00E836FB">
            <w:pPr>
              <w:rPr>
                <w:rFonts w:ascii="宋体"/>
                <w:vanish/>
              </w:rPr>
            </w:pPr>
          </w:p>
        </w:tc>
        <w:tc>
          <w:tcPr>
            <w:tcW w:w="0" w:type="auto"/>
            <w:gridSpan w:val="3"/>
            <w:shd w:val="clear" w:color="auto" w:fill="auto"/>
            <w:vAlign w:val="bottom"/>
          </w:tcPr>
          <w:p w14:paraId="5F2D332A" w14:textId="77777777" w:rsidR="00E836FB" w:rsidRDefault="00E836FB">
            <w:pPr>
              <w:rPr>
                <w:rFonts w:ascii="宋体"/>
                <w:vanish/>
              </w:rPr>
            </w:pPr>
          </w:p>
        </w:tc>
        <w:tc>
          <w:tcPr>
            <w:tcW w:w="0" w:type="auto"/>
            <w:gridSpan w:val="3"/>
            <w:shd w:val="clear" w:color="auto" w:fill="auto"/>
            <w:vAlign w:val="bottom"/>
          </w:tcPr>
          <w:p w14:paraId="5F2D332B" w14:textId="77777777" w:rsidR="00E836FB" w:rsidRDefault="00E836FB">
            <w:pPr>
              <w:rPr>
                <w:rFonts w:ascii="宋体"/>
                <w:vanish/>
              </w:rPr>
            </w:pPr>
          </w:p>
        </w:tc>
      </w:tr>
      <w:tr w:rsidR="00E836FB" w14:paraId="5F2D333F" w14:textId="77777777">
        <w:trPr>
          <w:hidden/>
        </w:trPr>
        <w:tc>
          <w:tcPr>
            <w:tcW w:w="0" w:type="auto"/>
            <w:gridSpan w:val="3"/>
            <w:shd w:val="clear" w:color="auto" w:fill="auto"/>
            <w:vAlign w:val="bottom"/>
          </w:tcPr>
          <w:p w14:paraId="5F2D332D" w14:textId="77777777" w:rsidR="00E836FB" w:rsidRDefault="00E836FB">
            <w:pPr>
              <w:rPr>
                <w:rFonts w:ascii="宋体"/>
                <w:vanish/>
              </w:rPr>
            </w:pPr>
          </w:p>
        </w:tc>
        <w:tc>
          <w:tcPr>
            <w:tcW w:w="0" w:type="auto"/>
            <w:gridSpan w:val="3"/>
            <w:shd w:val="clear" w:color="auto" w:fill="auto"/>
            <w:vAlign w:val="bottom"/>
          </w:tcPr>
          <w:p w14:paraId="5F2D332E" w14:textId="77777777" w:rsidR="00E836FB" w:rsidRDefault="00E836FB">
            <w:pPr>
              <w:rPr>
                <w:rFonts w:ascii="宋体"/>
                <w:vanish/>
              </w:rPr>
            </w:pPr>
          </w:p>
        </w:tc>
        <w:tc>
          <w:tcPr>
            <w:tcW w:w="0" w:type="auto"/>
            <w:gridSpan w:val="3"/>
            <w:shd w:val="clear" w:color="auto" w:fill="auto"/>
            <w:vAlign w:val="bottom"/>
          </w:tcPr>
          <w:p w14:paraId="5F2D332F" w14:textId="77777777" w:rsidR="00E836FB" w:rsidRDefault="00E836FB">
            <w:pPr>
              <w:rPr>
                <w:rFonts w:ascii="宋体"/>
                <w:vanish/>
              </w:rPr>
            </w:pPr>
          </w:p>
        </w:tc>
        <w:tc>
          <w:tcPr>
            <w:tcW w:w="0" w:type="auto"/>
            <w:gridSpan w:val="3"/>
            <w:shd w:val="clear" w:color="auto" w:fill="auto"/>
            <w:vAlign w:val="bottom"/>
          </w:tcPr>
          <w:p w14:paraId="5F2D3330" w14:textId="77777777" w:rsidR="00E836FB" w:rsidRDefault="00E836FB">
            <w:pPr>
              <w:rPr>
                <w:rFonts w:ascii="宋体"/>
                <w:vanish/>
              </w:rPr>
            </w:pPr>
          </w:p>
        </w:tc>
        <w:tc>
          <w:tcPr>
            <w:tcW w:w="0" w:type="auto"/>
            <w:gridSpan w:val="3"/>
            <w:shd w:val="clear" w:color="auto" w:fill="auto"/>
            <w:vAlign w:val="bottom"/>
          </w:tcPr>
          <w:p w14:paraId="5F2D3331" w14:textId="77777777" w:rsidR="00E836FB" w:rsidRDefault="00E836FB">
            <w:pPr>
              <w:rPr>
                <w:rFonts w:ascii="宋体"/>
                <w:vanish/>
              </w:rPr>
            </w:pPr>
          </w:p>
        </w:tc>
        <w:tc>
          <w:tcPr>
            <w:tcW w:w="0" w:type="auto"/>
            <w:gridSpan w:val="3"/>
            <w:shd w:val="clear" w:color="auto" w:fill="auto"/>
            <w:vAlign w:val="bottom"/>
          </w:tcPr>
          <w:p w14:paraId="5F2D3332" w14:textId="77777777" w:rsidR="00E836FB" w:rsidRDefault="00E836FB">
            <w:pPr>
              <w:rPr>
                <w:rFonts w:ascii="宋体"/>
                <w:vanish/>
              </w:rPr>
            </w:pPr>
          </w:p>
        </w:tc>
        <w:tc>
          <w:tcPr>
            <w:tcW w:w="0" w:type="auto"/>
            <w:gridSpan w:val="3"/>
            <w:shd w:val="clear" w:color="auto" w:fill="auto"/>
            <w:vAlign w:val="bottom"/>
          </w:tcPr>
          <w:p w14:paraId="5F2D3333" w14:textId="77777777" w:rsidR="00E836FB" w:rsidRDefault="00E836FB">
            <w:pPr>
              <w:rPr>
                <w:rFonts w:ascii="宋体"/>
                <w:vanish/>
              </w:rPr>
            </w:pPr>
          </w:p>
        </w:tc>
        <w:tc>
          <w:tcPr>
            <w:tcW w:w="0" w:type="auto"/>
            <w:gridSpan w:val="3"/>
            <w:shd w:val="clear" w:color="auto" w:fill="auto"/>
            <w:vAlign w:val="bottom"/>
          </w:tcPr>
          <w:p w14:paraId="5F2D3334" w14:textId="77777777" w:rsidR="00E836FB" w:rsidRDefault="00E836FB">
            <w:pPr>
              <w:rPr>
                <w:rFonts w:ascii="宋体"/>
                <w:vanish/>
              </w:rPr>
            </w:pPr>
          </w:p>
        </w:tc>
        <w:tc>
          <w:tcPr>
            <w:tcW w:w="0" w:type="auto"/>
            <w:gridSpan w:val="3"/>
            <w:shd w:val="clear" w:color="auto" w:fill="auto"/>
            <w:vAlign w:val="bottom"/>
          </w:tcPr>
          <w:p w14:paraId="5F2D3335" w14:textId="77777777" w:rsidR="00E836FB" w:rsidRDefault="00E836FB">
            <w:pPr>
              <w:rPr>
                <w:rFonts w:ascii="宋体"/>
                <w:vanish/>
              </w:rPr>
            </w:pPr>
          </w:p>
        </w:tc>
        <w:tc>
          <w:tcPr>
            <w:tcW w:w="0" w:type="auto"/>
            <w:gridSpan w:val="3"/>
            <w:shd w:val="clear" w:color="auto" w:fill="auto"/>
            <w:vAlign w:val="bottom"/>
          </w:tcPr>
          <w:p w14:paraId="5F2D3336" w14:textId="77777777" w:rsidR="00E836FB" w:rsidRDefault="00E836FB">
            <w:pPr>
              <w:rPr>
                <w:rFonts w:ascii="宋体"/>
                <w:vanish/>
              </w:rPr>
            </w:pPr>
          </w:p>
        </w:tc>
        <w:tc>
          <w:tcPr>
            <w:tcW w:w="0" w:type="auto"/>
            <w:gridSpan w:val="3"/>
            <w:shd w:val="clear" w:color="auto" w:fill="auto"/>
            <w:vAlign w:val="bottom"/>
          </w:tcPr>
          <w:p w14:paraId="5F2D3337" w14:textId="77777777" w:rsidR="00E836FB" w:rsidRDefault="00E836FB">
            <w:pPr>
              <w:rPr>
                <w:rFonts w:ascii="宋体"/>
                <w:vanish/>
              </w:rPr>
            </w:pPr>
          </w:p>
        </w:tc>
        <w:tc>
          <w:tcPr>
            <w:tcW w:w="0" w:type="auto"/>
            <w:gridSpan w:val="3"/>
            <w:shd w:val="clear" w:color="auto" w:fill="auto"/>
            <w:vAlign w:val="bottom"/>
          </w:tcPr>
          <w:p w14:paraId="5F2D3338" w14:textId="77777777" w:rsidR="00E836FB" w:rsidRDefault="00E836FB">
            <w:pPr>
              <w:rPr>
                <w:rFonts w:ascii="宋体"/>
                <w:vanish/>
              </w:rPr>
            </w:pPr>
          </w:p>
        </w:tc>
        <w:tc>
          <w:tcPr>
            <w:tcW w:w="0" w:type="auto"/>
            <w:gridSpan w:val="3"/>
            <w:shd w:val="clear" w:color="auto" w:fill="auto"/>
            <w:vAlign w:val="bottom"/>
          </w:tcPr>
          <w:p w14:paraId="5F2D3339" w14:textId="77777777" w:rsidR="00E836FB" w:rsidRDefault="00E836FB">
            <w:pPr>
              <w:rPr>
                <w:rFonts w:ascii="宋体"/>
                <w:vanish/>
              </w:rPr>
            </w:pPr>
          </w:p>
        </w:tc>
        <w:tc>
          <w:tcPr>
            <w:tcW w:w="0" w:type="auto"/>
            <w:gridSpan w:val="3"/>
            <w:shd w:val="clear" w:color="auto" w:fill="auto"/>
            <w:vAlign w:val="bottom"/>
          </w:tcPr>
          <w:p w14:paraId="5F2D333A" w14:textId="77777777" w:rsidR="00E836FB" w:rsidRDefault="00E836FB">
            <w:pPr>
              <w:rPr>
                <w:rFonts w:ascii="宋体"/>
                <w:vanish/>
              </w:rPr>
            </w:pPr>
          </w:p>
        </w:tc>
        <w:tc>
          <w:tcPr>
            <w:tcW w:w="0" w:type="auto"/>
            <w:gridSpan w:val="3"/>
            <w:shd w:val="clear" w:color="auto" w:fill="auto"/>
            <w:vAlign w:val="bottom"/>
          </w:tcPr>
          <w:p w14:paraId="5F2D333B" w14:textId="77777777" w:rsidR="00E836FB" w:rsidRDefault="00E836FB">
            <w:pPr>
              <w:rPr>
                <w:rFonts w:ascii="宋体"/>
                <w:vanish/>
              </w:rPr>
            </w:pPr>
          </w:p>
        </w:tc>
        <w:tc>
          <w:tcPr>
            <w:tcW w:w="0" w:type="auto"/>
            <w:gridSpan w:val="3"/>
            <w:shd w:val="clear" w:color="auto" w:fill="auto"/>
            <w:vAlign w:val="bottom"/>
          </w:tcPr>
          <w:p w14:paraId="5F2D333C" w14:textId="77777777" w:rsidR="00E836FB" w:rsidRDefault="00E836FB">
            <w:pPr>
              <w:rPr>
                <w:rFonts w:ascii="宋体"/>
                <w:vanish/>
              </w:rPr>
            </w:pPr>
          </w:p>
        </w:tc>
        <w:tc>
          <w:tcPr>
            <w:tcW w:w="0" w:type="auto"/>
            <w:gridSpan w:val="3"/>
            <w:shd w:val="clear" w:color="auto" w:fill="auto"/>
            <w:vAlign w:val="bottom"/>
          </w:tcPr>
          <w:p w14:paraId="5F2D333D" w14:textId="77777777" w:rsidR="00E836FB" w:rsidRDefault="00E836FB">
            <w:pPr>
              <w:rPr>
                <w:rFonts w:ascii="宋体"/>
                <w:vanish/>
              </w:rPr>
            </w:pPr>
          </w:p>
        </w:tc>
        <w:tc>
          <w:tcPr>
            <w:tcW w:w="0" w:type="auto"/>
            <w:gridSpan w:val="3"/>
            <w:shd w:val="clear" w:color="auto" w:fill="auto"/>
            <w:vAlign w:val="bottom"/>
          </w:tcPr>
          <w:p w14:paraId="5F2D333E" w14:textId="77777777" w:rsidR="00E836FB" w:rsidRDefault="00E836FB">
            <w:pPr>
              <w:rPr>
                <w:rFonts w:ascii="宋体"/>
                <w:vanish/>
              </w:rPr>
            </w:pPr>
          </w:p>
        </w:tc>
      </w:tr>
      <w:tr w:rsidR="00E836FB" w14:paraId="5F2D3352" w14:textId="77777777">
        <w:trPr>
          <w:hidden/>
        </w:trPr>
        <w:tc>
          <w:tcPr>
            <w:tcW w:w="0" w:type="auto"/>
            <w:gridSpan w:val="3"/>
            <w:shd w:val="clear" w:color="auto" w:fill="auto"/>
            <w:vAlign w:val="bottom"/>
          </w:tcPr>
          <w:p w14:paraId="5F2D3340" w14:textId="77777777" w:rsidR="00E836FB" w:rsidRDefault="00E836FB">
            <w:pPr>
              <w:rPr>
                <w:rFonts w:ascii="宋体"/>
                <w:vanish/>
              </w:rPr>
            </w:pPr>
          </w:p>
        </w:tc>
        <w:tc>
          <w:tcPr>
            <w:tcW w:w="0" w:type="auto"/>
            <w:gridSpan w:val="3"/>
            <w:shd w:val="clear" w:color="auto" w:fill="auto"/>
            <w:vAlign w:val="bottom"/>
          </w:tcPr>
          <w:p w14:paraId="5F2D3341" w14:textId="77777777" w:rsidR="00E836FB" w:rsidRDefault="00E836FB">
            <w:pPr>
              <w:rPr>
                <w:rFonts w:ascii="宋体"/>
                <w:vanish/>
              </w:rPr>
            </w:pPr>
          </w:p>
        </w:tc>
        <w:tc>
          <w:tcPr>
            <w:tcW w:w="0" w:type="auto"/>
            <w:gridSpan w:val="3"/>
            <w:shd w:val="clear" w:color="auto" w:fill="auto"/>
            <w:vAlign w:val="bottom"/>
          </w:tcPr>
          <w:p w14:paraId="5F2D3342" w14:textId="77777777" w:rsidR="00E836FB" w:rsidRDefault="00E836FB">
            <w:pPr>
              <w:rPr>
                <w:rFonts w:ascii="宋体"/>
                <w:vanish/>
              </w:rPr>
            </w:pPr>
          </w:p>
        </w:tc>
        <w:tc>
          <w:tcPr>
            <w:tcW w:w="0" w:type="auto"/>
            <w:gridSpan w:val="3"/>
            <w:shd w:val="clear" w:color="auto" w:fill="auto"/>
            <w:vAlign w:val="bottom"/>
          </w:tcPr>
          <w:p w14:paraId="5F2D3343" w14:textId="77777777" w:rsidR="00E836FB" w:rsidRDefault="00E836FB">
            <w:pPr>
              <w:rPr>
                <w:rFonts w:ascii="宋体"/>
                <w:vanish/>
              </w:rPr>
            </w:pPr>
          </w:p>
        </w:tc>
        <w:tc>
          <w:tcPr>
            <w:tcW w:w="0" w:type="auto"/>
            <w:gridSpan w:val="3"/>
            <w:shd w:val="clear" w:color="auto" w:fill="auto"/>
            <w:vAlign w:val="bottom"/>
          </w:tcPr>
          <w:p w14:paraId="5F2D3344" w14:textId="77777777" w:rsidR="00E836FB" w:rsidRDefault="00E836FB">
            <w:pPr>
              <w:rPr>
                <w:rFonts w:ascii="宋体"/>
                <w:vanish/>
              </w:rPr>
            </w:pPr>
          </w:p>
        </w:tc>
        <w:tc>
          <w:tcPr>
            <w:tcW w:w="0" w:type="auto"/>
            <w:gridSpan w:val="3"/>
            <w:shd w:val="clear" w:color="auto" w:fill="auto"/>
            <w:vAlign w:val="bottom"/>
          </w:tcPr>
          <w:p w14:paraId="5F2D3345" w14:textId="77777777" w:rsidR="00E836FB" w:rsidRDefault="00E836FB">
            <w:pPr>
              <w:rPr>
                <w:rFonts w:ascii="宋体"/>
                <w:vanish/>
              </w:rPr>
            </w:pPr>
          </w:p>
        </w:tc>
        <w:tc>
          <w:tcPr>
            <w:tcW w:w="0" w:type="auto"/>
            <w:gridSpan w:val="3"/>
            <w:shd w:val="clear" w:color="auto" w:fill="auto"/>
            <w:vAlign w:val="bottom"/>
          </w:tcPr>
          <w:p w14:paraId="5F2D3346" w14:textId="77777777" w:rsidR="00E836FB" w:rsidRDefault="00E836FB">
            <w:pPr>
              <w:rPr>
                <w:rFonts w:ascii="宋体"/>
                <w:vanish/>
              </w:rPr>
            </w:pPr>
          </w:p>
        </w:tc>
        <w:tc>
          <w:tcPr>
            <w:tcW w:w="0" w:type="auto"/>
            <w:gridSpan w:val="3"/>
            <w:shd w:val="clear" w:color="auto" w:fill="auto"/>
            <w:vAlign w:val="bottom"/>
          </w:tcPr>
          <w:p w14:paraId="5F2D3347" w14:textId="77777777" w:rsidR="00E836FB" w:rsidRDefault="00E836FB">
            <w:pPr>
              <w:rPr>
                <w:rFonts w:ascii="宋体"/>
                <w:vanish/>
              </w:rPr>
            </w:pPr>
          </w:p>
        </w:tc>
        <w:tc>
          <w:tcPr>
            <w:tcW w:w="0" w:type="auto"/>
            <w:gridSpan w:val="3"/>
            <w:shd w:val="clear" w:color="auto" w:fill="auto"/>
            <w:vAlign w:val="bottom"/>
          </w:tcPr>
          <w:p w14:paraId="5F2D3348" w14:textId="77777777" w:rsidR="00E836FB" w:rsidRDefault="00E836FB">
            <w:pPr>
              <w:rPr>
                <w:rFonts w:ascii="宋体"/>
                <w:vanish/>
              </w:rPr>
            </w:pPr>
          </w:p>
        </w:tc>
        <w:tc>
          <w:tcPr>
            <w:tcW w:w="0" w:type="auto"/>
            <w:gridSpan w:val="3"/>
            <w:shd w:val="clear" w:color="auto" w:fill="auto"/>
            <w:vAlign w:val="bottom"/>
          </w:tcPr>
          <w:p w14:paraId="5F2D3349" w14:textId="77777777" w:rsidR="00E836FB" w:rsidRDefault="00E836FB">
            <w:pPr>
              <w:rPr>
                <w:rFonts w:ascii="宋体"/>
                <w:vanish/>
              </w:rPr>
            </w:pPr>
          </w:p>
        </w:tc>
        <w:tc>
          <w:tcPr>
            <w:tcW w:w="0" w:type="auto"/>
            <w:gridSpan w:val="3"/>
            <w:shd w:val="clear" w:color="auto" w:fill="auto"/>
            <w:vAlign w:val="bottom"/>
          </w:tcPr>
          <w:p w14:paraId="5F2D334A" w14:textId="77777777" w:rsidR="00E836FB" w:rsidRDefault="00E836FB">
            <w:pPr>
              <w:rPr>
                <w:rFonts w:ascii="宋体"/>
                <w:vanish/>
              </w:rPr>
            </w:pPr>
          </w:p>
        </w:tc>
        <w:tc>
          <w:tcPr>
            <w:tcW w:w="0" w:type="auto"/>
            <w:gridSpan w:val="3"/>
            <w:shd w:val="clear" w:color="auto" w:fill="auto"/>
            <w:vAlign w:val="bottom"/>
          </w:tcPr>
          <w:p w14:paraId="5F2D334B" w14:textId="77777777" w:rsidR="00E836FB" w:rsidRDefault="00E836FB">
            <w:pPr>
              <w:rPr>
                <w:rFonts w:ascii="宋体"/>
                <w:vanish/>
              </w:rPr>
            </w:pPr>
          </w:p>
        </w:tc>
        <w:tc>
          <w:tcPr>
            <w:tcW w:w="0" w:type="auto"/>
            <w:gridSpan w:val="3"/>
            <w:shd w:val="clear" w:color="auto" w:fill="auto"/>
            <w:vAlign w:val="bottom"/>
          </w:tcPr>
          <w:p w14:paraId="5F2D334C" w14:textId="77777777" w:rsidR="00E836FB" w:rsidRDefault="00E836FB">
            <w:pPr>
              <w:rPr>
                <w:rFonts w:ascii="宋体"/>
                <w:vanish/>
              </w:rPr>
            </w:pPr>
          </w:p>
        </w:tc>
        <w:tc>
          <w:tcPr>
            <w:tcW w:w="0" w:type="auto"/>
            <w:gridSpan w:val="3"/>
            <w:shd w:val="clear" w:color="auto" w:fill="auto"/>
            <w:vAlign w:val="bottom"/>
          </w:tcPr>
          <w:p w14:paraId="5F2D334D" w14:textId="77777777" w:rsidR="00E836FB" w:rsidRDefault="00E836FB">
            <w:pPr>
              <w:rPr>
                <w:rFonts w:ascii="宋体"/>
                <w:vanish/>
              </w:rPr>
            </w:pPr>
          </w:p>
        </w:tc>
        <w:tc>
          <w:tcPr>
            <w:tcW w:w="0" w:type="auto"/>
            <w:gridSpan w:val="3"/>
            <w:shd w:val="clear" w:color="auto" w:fill="auto"/>
            <w:vAlign w:val="bottom"/>
          </w:tcPr>
          <w:p w14:paraId="5F2D334E" w14:textId="77777777" w:rsidR="00E836FB" w:rsidRDefault="00E836FB">
            <w:pPr>
              <w:rPr>
                <w:rFonts w:ascii="宋体"/>
                <w:vanish/>
              </w:rPr>
            </w:pPr>
          </w:p>
        </w:tc>
        <w:tc>
          <w:tcPr>
            <w:tcW w:w="0" w:type="auto"/>
            <w:gridSpan w:val="3"/>
            <w:shd w:val="clear" w:color="auto" w:fill="auto"/>
            <w:vAlign w:val="bottom"/>
          </w:tcPr>
          <w:p w14:paraId="5F2D334F" w14:textId="77777777" w:rsidR="00E836FB" w:rsidRDefault="00E836FB">
            <w:pPr>
              <w:rPr>
                <w:rFonts w:ascii="宋体"/>
                <w:vanish/>
              </w:rPr>
            </w:pPr>
          </w:p>
        </w:tc>
        <w:tc>
          <w:tcPr>
            <w:tcW w:w="0" w:type="auto"/>
            <w:gridSpan w:val="3"/>
            <w:shd w:val="clear" w:color="auto" w:fill="auto"/>
            <w:vAlign w:val="bottom"/>
          </w:tcPr>
          <w:p w14:paraId="5F2D3350" w14:textId="77777777" w:rsidR="00E836FB" w:rsidRDefault="00E836FB">
            <w:pPr>
              <w:rPr>
                <w:rFonts w:ascii="宋体"/>
                <w:vanish/>
              </w:rPr>
            </w:pPr>
          </w:p>
        </w:tc>
        <w:tc>
          <w:tcPr>
            <w:tcW w:w="0" w:type="auto"/>
            <w:gridSpan w:val="3"/>
            <w:shd w:val="clear" w:color="auto" w:fill="auto"/>
            <w:vAlign w:val="bottom"/>
          </w:tcPr>
          <w:p w14:paraId="5F2D3351" w14:textId="77777777" w:rsidR="00E836FB" w:rsidRDefault="00E836FB">
            <w:pPr>
              <w:rPr>
                <w:rFonts w:ascii="宋体"/>
                <w:vanish/>
              </w:rPr>
            </w:pPr>
          </w:p>
        </w:tc>
      </w:tr>
    </w:tbl>
    <w:p w14:paraId="5F2D3353" w14:textId="77777777" w:rsidR="00E836FB" w:rsidRDefault="00E836FB">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E836FB" w14:paraId="5F2D3363" w14:textId="77777777">
        <w:tc>
          <w:tcPr>
            <w:tcW w:w="20" w:type="dxa"/>
            <w:shd w:val="clear" w:color="auto" w:fill="auto"/>
            <w:vAlign w:val="bottom"/>
          </w:tcPr>
          <w:p w14:paraId="5F2D3354" w14:textId="77777777" w:rsidR="00E836FB" w:rsidRDefault="00E836FB">
            <w:pPr>
              <w:rPr>
                <w:rFonts w:ascii="宋体"/>
              </w:rPr>
            </w:pPr>
          </w:p>
        </w:tc>
        <w:tc>
          <w:tcPr>
            <w:tcW w:w="2840" w:type="dxa"/>
            <w:shd w:val="clear" w:color="auto" w:fill="auto"/>
            <w:vAlign w:val="bottom"/>
          </w:tcPr>
          <w:p w14:paraId="5F2D3355" w14:textId="77777777" w:rsidR="00E836FB" w:rsidRDefault="00E836FB">
            <w:pPr>
              <w:rPr>
                <w:rFonts w:ascii="宋体"/>
              </w:rPr>
            </w:pPr>
          </w:p>
        </w:tc>
        <w:tc>
          <w:tcPr>
            <w:tcW w:w="20" w:type="dxa"/>
            <w:shd w:val="clear" w:color="auto" w:fill="auto"/>
            <w:vAlign w:val="bottom"/>
          </w:tcPr>
          <w:p w14:paraId="5F2D3356" w14:textId="77777777" w:rsidR="00E836FB" w:rsidRDefault="00E836FB">
            <w:pPr>
              <w:rPr>
                <w:rFonts w:ascii="宋体"/>
              </w:rPr>
            </w:pPr>
          </w:p>
        </w:tc>
        <w:tc>
          <w:tcPr>
            <w:tcW w:w="20" w:type="dxa"/>
            <w:shd w:val="clear" w:color="auto" w:fill="auto"/>
            <w:vAlign w:val="bottom"/>
          </w:tcPr>
          <w:p w14:paraId="5F2D3357" w14:textId="77777777" w:rsidR="00E836FB" w:rsidRDefault="00E836FB">
            <w:pPr>
              <w:rPr>
                <w:rFonts w:ascii="宋体"/>
              </w:rPr>
            </w:pPr>
          </w:p>
        </w:tc>
        <w:tc>
          <w:tcPr>
            <w:tcW w:w="1475" w:type="dxa"/>
            <w:shd w:val="clear" w:color="auto" w:fill="auto"/>
            <w:vAlign w:val="bottom"/>
          </w:tcPr>
          <w:p w14:paraId="5F2D3358" w14:textId="77777777" w:rsidR="00E836FB" w:rsidRDefault="00E836FB">
            <w:pPr>
              <w:rPr>
                <w:rFonts w:ascii="宋体"/>
              </w:rPr>
            </w:pPr>
          </w:p>
        </w:tc>
        <w:tc>
          <w:tcPr>
            <w:tcW w:w="20" w:type="dxa"/>
            <w:shd w:val="clear" w:color="auto" w:fill="auto"/>
            <w:vAlign w:val="bottom"/>
          </w:tcPr>
          <w:p w14:paraId="5F2D3359" w14:textId="77777777" w:rsidR="00E836FB" w:rsidRDefault="00E836FB">
            <w:pPr>
              <w:rPr>
                <w:rFonts w:ascii="宋体"/>
              </w:rPr>
            </w:pPr>
          </w:p>
        </w:tc>
        <w:tc>
          <w:tcPr>
            <w:tcW w:w="20" w:type="dxa"/>
            <w:shd w:val="clear" w:color="auto" w:fill="auto"/>
            <w:vAlign w:val="bottom"/>
          </w:tcPr>
          <w:p w14:paraId="5F2D335A" w14:textId="77777777" w:rsidR="00E836FB" w:rsidRDefault="00E836FB">
            <w:pPr>
              <w:rPr>
                <w:rFonts w:ascii="宋体"/>
              </w:rPr>
            </w:pPr>
          </w:p>
        </w:tc>
        <w:tc>
          <w:tcPr>
            <w:tcW w:w="1460" w:type="dxa"/>
            <w:shd w:val="clear" w:color="auto" w:fill="auto"/>
            <w:vAlign w:val="bottom"/>
          </w:tcPr>
          <w:p w14:paraId="5F2D335B" w14:textId="77777777" w:rsidR="00E836FB" w:rsidRDefault="00E836FB">
            <w:pPr>
              <w:rPr>
                <w:rFonts w:ascii="宋体"/>
              </w:rPr>
            </w:pPr>
          </w:p>
        </w:tc>
        <w:tc>
          <w:tcPr>
            <w:tcW w:w="20" w:type="dxa"/>
            <w:shd w:val="clear" w:color="auto" w:fill="auto"/>
            <w:vAlign w:val="bottom"/>
          </w:tcPr>
          <w:p w14:paraId="5F2D335C" w14:textId="77777777" w:rsidR="00E836FB" w:rsidRDefault="00E836FB">
            <w:pPr>
              <w:rPr>
                <w:rFonts w:ascii="宋体"/>
              </w:rPr>
            </w:pPr>
          </w:p>
        </w:tc>
        <w:tc>
          <w:tcPr>
            <w:tcW w:w="20" w:type="dxa"/>
            <w:shd w:val="clear" w:color="auto" w:fill="auto"/>
            <w:vAlign w:val="bottom"/>
          </w:tcPr>
          <w:p w14:paraId="5F2D335D" w14:textId="77777777" w:rsidR="00E836FB" w:rsidRDefault="00E836FB">
            <w:pPr>
              <w:rPr>
                <w:rFonts w:ascii="宋体"/>
              </w:rPr>
            </w:pPr>
          </w:p>
        </w:tc>
        <w:tc>
          <w:tcPr>
            <w:tcW w:w="2540" w:type="dxa"/>
            <w:shd w:val="clear" w:color="auto" w:fill="auto"/>
            <w:vAlign w:val="bottom"/>
          </w:tcPr>
          <w:p w14:paraId="5F2D335E" w14:textId="77777777" w:rsidR="00E836FB" w:rsidRDefault="00E836FB">
            <w:pPr>
              <w:rPr>
                <w:rFonts w:ascii="宋体"/>
              </w:rPr>
            </w:pPr>
          </w:p>
        </w:tc>
        <w:tc>
          <w:tcPr>
            <w:tcW w:w="20" w:type="dxa"/>
            <w:shd w:val="clear" w:color="auto" w:fill="auto"/>
            <w:vAlign w:val="bottom"/>
          </w:tcPr>
          <w:p w14:paraId="5F2D335F" w14:textId="77777777" w:rsidR="00E836FB" w:rsidRDefault="00E836FB">
            <w:pPr>
              <w:rPr>
                <w:rFonts w:ascii="宋体"/>
              </w:rPr>
            </w:pPr>
          </w:p>
        </w:tc>
        <w:tc>
          <w:tcPr>
            <w:tcW w:w="20" w:type="dxa"/>
            <w:shd w:val="clear" w:color="auto" w:fill="auto"/>
            <w:vAlign w:val="bottom"/>
          </w:tcPr>
          <w:p w14:paraId="5F2D3360" w14:textId="77777777" w:rsidR="00E836FB" w:rsidRDefault="00E836FB">
            <w:pPr>
              <w:rPr>
                <w:rFonts w:ascii="宋体"/>
              </w:rPr>
            </w:pPr>
          </w:p>
        </w:tc>
        <w:tc>
          <w:tcPr>
            <w:tcW w:w="1745" w:type="dxa"/>
            <w:shd w:val="clear" w:color="auto" w:fill="auto"/>
            <w:vAlign w:val="bottom"/>
          </w:tcPr>
          <w:p w14:paraId="5F2D3361" w14:textId="77777777" w:rsidR="00E836FB" w:rsidRDefault="00E836FB">
            <w:pPr>
              <w:rPr>
                <w:rFonts w:ascii="宋体"/>
              </w:rPr>
            </w:pPr>
          </w:p>
        </w:tc>
        <w:tc>
          <w:tcPr>
            <w:tcW w:w="20" w:type="dxa"/>
            <w:shd w:val="clear" w:color="auto" w:fill="auto"/>
            <w:vAlign w:val="bottom"/>
          </w:tcPr>
          <w:p w14:paraId="5F2D3362" w14:textId="77777777" w:rsidR="00E836FB" w:rsidRDefault="00E836FB">
            <w:pPr>
              <w:rPr>
                <w:rFonts w:ascii="宋体"/>
              </w:rPr>
            </w:pPr>
          </w:p>
        </w:tc>
      </w:tr>
      <w:tr w:rsidR="00E836FB" w14:paraId="5F2D336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3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6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6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68" w14:textId="77777777" w:rsidR="00E836FB" w:rsidRDefault="00E836FB">
            <w:pPr>
              <w:rPr>
                <w:rFonts w:ascii="宋体"/>
              </w:rPr>
            </w:pPr>
          </w:p>
        </w:tc>
      </w:tr>
    </w:tbl>
    <w:p w14:paraId="5F2D336A" w14:textId="77777777" w:rsidR="00E836FB" w:rsidRDefault="00994958">
      <w:r>
        <w:rPr>
          <w:rFonts w:ascii="Arial" w:eastAsia="宋体" w:hAnsi="Arial" w:cs="Arial"/>
          <w:color w:val="000000"/>
          <w:sz w:val="9"/>
          <w:szCs w:val="9"/>
        </w:rPr>
        <w:t xml:space="preserve">(1) </w:t>
      </w:r>
      <w:r>
        <w:rPr>
          <w:rFonts w:ascii="Arial" w:eastAsia="宋体" w:hAnsi="Arial" w:cs="Arial"/>
          <w:color w:val="000000"/>
          <w:sz w:val="14"/>
          <w:szCs w:val="14"/>
        </w:rPr>
        <w:t>In 2021, 2020 and 2019, $16 million, $3 million and $18 million, respectively, of net unrealized gains on AFS investment securities designated in fair value hedges was recognized in OCI.</w:t>
      </w:r>
    </w:p>
    <w:tbl>
      <w:tblPr>
        <w:tblW w:w="5000" w:type="pct"/>
        <w:tblCellMar>
          <w:top w:w="15" w:type="dxa"/>
          <w:left w:w="15" w:type="dxa"/>
          <w:bottom w:w="15" w:type="dxa"/>
          <w:right w:w="15" w:type="dxa"/>
        </w:tblCellMar>
        <w:tblLook w:val="04A0" w:firstRow="1" w:lastRow="0" w:firstColumn="1" w:lastColumn="0" w:noHBand="0" w:noVBand="1"/>
      </w:tblPr>
      <w:tblGrid>
        <w:gridCol w:w="37"/>
        <w:gridCol w:w="1746"/>
        <w:gridCol w:w="36"/>
        <w:gridCol w:w="98"/>
        <w:gridCol w:w="633"/>
        <w:gridCol w:w="36"/>
        <w:gridCol w:w="36"/>
        <w:gridCol w:w="36"/>
        <w:gridCol w:w="36"/>
        <w:gridCol w:w="98"/>
        <w:gridCol w:w="633"/>
        <w:gridCol w:w="36"/>
        <w:gridCol w:w="36"/>
        <w:gridCol w:w="36"/>
        <w:gridCol w:w="36"/>
        <w:gridCol w:w="99"/>
        <w:gridCol w:w="633"/>
        <w:gridCol w:w="37"/>
        <w:gridCol w:w="36"/>
        <w:gridCol w:w="36"/>
        <w:gridCol w:w="36"/>
        <w:gridCol w:w="65"/>
        <w:gridCol w:w="1194"/>
        <w:gridCol w:w="36"/>
        <w:gridCol w:w="36"/>
        <w:gridCol w:w="36"/>
        <w:gridCol w:w="36"/>
        <w:gridCol w:w="99"/>
        <w:gridCol w:w="621"/>
        <w:gridCol w:w="37"/>
        <w:gridCol w:w="36"/>
        <w:gridCol w:w="36"/>
        <w:gridCol w:w="36"/>
        <w:gridCol w:w="99"/>
        <w:gridCol w:w="621"/>
        <w:gridCol w:w="37"/>
        <w:gridCol w:w="36"/>
        <w:gridCol w:w="36"/>
        <w:gridCol w:w="36"/>
        <w:gridCol w:w="98"/>
        <w:gridCol w:w="623"/>
        <w:gridCol w:w="36"/>
      </w:tblGrid>
      <w:tr w:rsidR="00E836FB" w14:paraId="5F2D3395" w14:textId="77777777">
        <w:tc>
          <w:tcPr>
            <w:tcW w:w="50" w:type="pct"/>
            <w:shd w:val="clear" w:color="auto" w:fill="auto"/>
            <w:vAlign w:val="bottom"/>
          </w:tcPr>
          <w:p w14:paraId="5F2D336B" w14:textId="77777777" w:rsidR="00E836FB" w:rsidRDefault="00E836FB">
            <w:pPr>
              <w:rPr>
                <w:rFonts w:ascii="宋体"/>
              </w:rPr>
            </w:pPr>
          </w:p>
        </w:tc>
        <w:tc>
          <w:tcPr>
            <w:tcW w:w="1099" w:type="pct"/>
            <w:shd w:val="clear" w:color="auto" w:fill="auto"/>
            <w:vAlign w:val="bottom"/>
          </w:tcPr>
          <w:p w14:paraId="5F2D336C" w14:textId="77777777" w:rsidR="00E836FB" w:rsidRDefault="00E836FB">
            <w:pPr>
              <w:rPr>
                <w:rFonts w:ascii="宋体"/>
              </w:rPr>
            </w:pPr>
          </w:p>
        </w:tc>
        <w:tc>
          <w:tcPr>
            <w:tcW w:w="5" w:type="pct"/>
            <w:shd w:val="clear" w:color="auto" w:fill="auto"/>
            <w:vAlign w:val="bottom"/>
          </w:tcPr>
          <w:p w14:paraId="5F2D336D" w14:textId="77777777" w:rsidR="00E836FB" w:rsidRDefault="00E836FB">
            <w:pPr>
              <w:rPr>
                <w:rFonts w:ascii="宋体"/>
              </w:rPr>
            </w:pPr>
          </w:p>
        </w:tc>
        <w:tc>
          <w:tcPr>
            <w:tcW w:w="50" w:type="pct"/>
            <w:shd w:val="clear" w:color="auto" w:fill="auto"/>
            <w:vAlign w:val="bottom"/>
          </w:tcPr>
          <w:p w14:paraId="5F2D336E" w14:textId="77777777" w:rsidR="00E836FB" w:rsidRDefault="00E836FB">
            <w:pPr>
              <w:rPr>
                <w:rFonts w:ascii="宋体"/>
              </w:rPr>
            </w:pPr>
          </w:p>
        </w:tc>
        <w:tc>
          <w:tcPr>
            <w:tcW w:w="420" w:type="pct"/>
            <w:shd w:val="clear" w:color="auto" w:fill="auto"/>
            <w:vAlign w:val="bottom"/>
          </w:tcPr>
          <w:p w14:paraId="5F2D336F" w14:textId="77777777" w:rsidR="00E836FB" w:rsidRDefault="00E836FB">
            <w:pPr>
              <w:rPr>
                <w:rFonts w:ascii="宋体"/>
              </w:rPr>
            </w:pPr>
          </w:p>
        </w:tc>
        <w:tc>
          <w:tcPr>
            <w:tcW w:w="5" w:type="pct"/>
            <w:shd w:val="clear" w:color="auto" w:fill="auto"/>
            <w:vAlign w:val="bottom"/>
          </w:tcPr>
          <w:p w14:paraId="5F2D3370" w14:textId="77777777" w:rsidR="00E836FB" w:rsidRDefault="00E836FB">
            <w:pPr>
              <w:rPr>
                <w:rFonts w:ascii="宋体"/>
              </w:rPr>
            </w:pPr>
          </w:p>
        </w:tc>
        <w:tc>
          <w:tcPr>
            <w:tcW w:w="5" w:type="pct"/>
            <w:shd w:val="clear" w:color="auto" w:fill="auto"/>
            <w:vAlign w:val="bottom"/>
          </w:tcPr>
          <w:p w14:paraId="5F2D3371" w14:textId="77777777" w:rsidR="00E836FB" w:rsidRDefault="00E836FB">
            <w:pPr>
              <w:rPr>
                <w:rFonts w:ascii="宋体"/>
              </w:rPr>
            </w:pPr>
          </w:p>
        </w:tc>
        <w:tc>
          <w:tcPr>
            <w:tcW w:w="19" w:type="pct"/>
            <w:shd w:val="clear" w:color="auto" w:fill="auto"/>
            <w:vAlign w:val="bottom"/>
          </w:tcPr>
          <w:p w14:paraId="5F2D3372" w14:textId="77777777" w:rsidR="00E836FB" w:rsidRDefault="00E836FB">
            <w:pPr>
              <w:rPr>
                <w:rFonts w:ascii="宋体"/>
              </w:rPr>
            </w:pPr>
          </w:p>
        </w:tc>
        <w:tc>
          <w:tcPr>
            <w:tcW w:w="5" w:type="pct"/>
            <w:shd w:val="clear" w:color="auto" w:fill="auto"/>
            <w:vAlign w:val="bottom"/>
          </w:tcPr>
          <w:p w14:paraId="5F2D3373" w14:textId="77777777" w:rsidR="00E836FB" w:rsidRDefault="00E836FB">
            <w:pPr>
              <w:rPr>
                <w:rFonts w:ascii="宋体"/>
              </w:rPr>
            </w:pPr>
          </w:p>
        </w:tc>
        <w:tc>
          <w:tcPr>
            <w:tcW w:w="50" w:type="pct"/>
            <w:shd w:val="clear" w:color="auto" w:fill="auto"/>
            <w:vAlign w:val="bottom"/>
          </w:tcPr>
          <w:p w14:paraId="5F2D3374" w14:textId="77777777" w:rsidR="00E836FB" w:rsidRDefault="00E836FB">
            <w:pPr>
              <w:rPr>
                <w:rFonts w:ascii="宋体"/>
              </w:rPr>
            </w:pPr>
          </w:p>
        </w:tc>
        <w:tc>
          <w:tcPr>
            <w:tcW w:w="420" w:type="pct"/>
            <w:shd w:val="clear" w:color="auto" w:fill="auto"/>
            <w:vAlign w:val="bottom"/>
          </w:tcPr>
          <w:p w14:paraId="5F2D3375" w14:textId="77777777" w:rsidR="00E836FB" w:rsidRDefault="00E836FB">
            <w:pPr>
              <w:rPr>
                <w:rFonts w:ascii="宋体"/>
              </w:rPr>
            </w:pPr>
          </w:p>
        </w:tc>
        <w:tc>
          <w:tcPr>
            <w:tcW w:w="5" w:type="pct"/>
            <w:shd w:val="clear" w:color="auto" w:fill="auto"/>
            <w:vAlign w:val="bottom"/>
          </w:tcPr>
          <w:p w14:paraId="5F2D3376" w14:textId="77777777" w:rsidR="00E836FB" w:rsidRDefault="00E836FB">
            <w:pPr>
              <w:rPr>
                <w:rFonts w:ascii="宋体"/>
              </w:rPr>
            </w:pPr>
          </w:p>
        </w:tc>
        <w:tc>
          <w:tcPr>
            <w:tcW w:w="5" w:type="pct"/>
            <w:shd w:val="clear" w:color="auto" w:fill="auto"/>
            <w:vAlign w:val="bottom"/>
          </w:tcPr>
          <w:p w14:paraId="5F2D3377" w14:textId="77777777" w:rsidR="00E836FB" w:rsidRDefault="00E836FB">
            <w:pPr>
              <w:rPr>
                <w:rFonts w:ascii="宋体"/>
              </w:rPr>
            </w:pPr>
          </w:p>
        </w:tc>
        <w:tc>
          <w:tcPr>
            <w:tcW w:w="19" w:type="pct"/>
            <w:shd w:val="clear" w:color="auto" w:fill="auto"/>
            <w:vAlign w:val="bottom"/>
          </w:tcPr>
          <w:p w14:paraId="5F2D3378" w14:textId="77777777" w:rsidR="00E836FB" w:rsidRDefault="00E836FB">
            <w:pPr>
              <w:rPr>
                <w:rFonts w:ascii="宋体"/>
              </w:rPr>
            </w:pPr>
          </w:p>
        </w:tc>
        <w:tc>
          <w:tcPr>
            <w:tcW w:w="5" w:type="pct"/>
            <w:shd w:val="clear" w:color="auto" w:fill="auto"/>
            <w:vAlign w:val="bottom"/>
          </w:tcPr>
          <w:p w14:paraId="5F2D3379" w14:textId="77777777" w:rsidR="00E836FB" w:rsidRDefault="00E836FB">
            <w:pPr>
              <w:rPr>
                <w:rFonts w:ascii="宋体"/>
              </w:rPr>
            </w:pPr>
          </w:p>
        </w:tc>
        <w:tc>
          <w:tcPr>
            <w:tcW w:w="50" w:type="pct"/>
            <w:shd w:val="clear" w:color="auto" w:fill="auto"/>
            <w:vAlign w:val="bottom"/>
          </w:tcPr>
          <w:p w14:paraId="5F2D337A" w14:textId="77777777" w:rsidR="00E836FB" w:rsidRDefault="00E836FB">
            <w:pPr>
              <w:rPr>
                <w:rFonts w:ascii="宋体"/>
              </w:rPr>
            </w:pPr>
          </w:p>
        </w:tc>
        <w:tc>
          <w:tcPr>
            <w:tcW w:w="420" w:type="pct"/>
            <w:shd w:val="clear" w:color="auto" w:fill="auto"/>
            <w:vAlign w:val="bottom"/>
          </w:tcPr>
          <w:p w14:paraId="5F2D337B" w14:textId="77777777" w:rsidR="00E836FB" w:rsidRDefault="00E836FB">
            <w:pPr>
              <w:rPr>
                <w:rFonts w:ascii="宋体"/>
              </w:rPr>
            </w:pPr>
          </w:p>
        </w:tc>
        <w:tc>
          <w:tcPr>
            <w:tcW w:w="5" w:type="pct"/>
            <w:shd w:val="clear" w:color="auto" w:fill="auto"/>
            <w:vAlign w:val="bottom"/>
          </w:tcPr>
          <w:p w14:paraId="5F2D337C" w14:textId="77777777" w:rsidR="00E836FB" w:rsidRDefault="00E836FB">
            <w:pPr>
              <w:rPr>
                <w:rFonts w:ascii="宋体"/>
              </w:rPr>
            </w:pPr>
          </w:p>
        </w:tc>
        <w:tc>
          <w:tcPr>
            <w:tcW w:w="5" w:type="pct"/>
            <w:shd w:val="clear" w:color="auto" w:fill="auto"/>
            <w:vAlign w:val="bottom"/>
          </w:tcPr>
          <w:p w14:paraId="5F2D337D" w14:textId="77777777" w:rsidR="00E836FB" w:rsidRDefault="00E836FB">
            <w:pPr>
              <w:rPr>
                <w:rFonts w:ascii="宋体"/>
              </w:rPr>
            </w:pPr>
          </w:p>
        </w:tc>
        <w:tc>
          <w:tcPr>
            <w:tcW w:w="19" w:type="pct"/>
            <w:shd w:val="clear" w:color="auto" w:fill="auto"/>
            <w:vAlign w:val="bottom"/>
          </w:tcPr>
          <w:p w14:paraId="5F2D337E" w14:textId="77777777" w:rsidR="00E836FB" w:rsidRDefault="00E836FB">
            <w:pPr>
              <w:rPr>
                <w:rFonts w:ascii="宋体"/>
              </w:rPr>
            </w:pPr>
          </w:p>
        </w:tc>
        <w:tc>
          <w:tcPr>
            <w:tcW w:w="5" w:type="pct"/>
            <w:shd w:val="clear" w:color="auto" w:fill="auto"/>
            <w:vAlign w:val="bottom"/>
          </w:tcPr>
          <w:p w14:paraId="5F2D337F" w14:textId="77777777" w:rsidR="00E836FB" w:rsidRDefault="00E836FB">
            <w:pPr>
              <w:rPr>
                <w:rFonts w:ascii="宋体"/>
              </w:rPr>
            </w:pPr>
          </w:p>
        </w:tc>
        <w:tc>
          <w:tcPr>
            <w:tcW w:w="50" w:type="pct"/>
            <w:shd w:val="clear" w:color="auto" w:fill="auto"/>
            <w:vAlign w:val="bottom"/>
          </w:tcPr>
          <w:p w14:paraId="5F2D3380" w14:textId="77777777" w:rsidR="00E836FB" w:rsidRDefault="00E836FB">
            <w:pPr>
              <w:rPr>
                <w:rFonts w:ascii="宋体"/>
              </w:rPr>
            </w:pPr>
          </w:p>
        </w:tc>
        <w:tc>
          <w:tcPr>
            <w:tcW w:w="785" w:type="pct"/>
            <w:shd w:val="clear" w:color="auto" w:fill="auto"/>
            <w:vAlign w:val="bottom"/>
          </w:tcPr>
          <w:p w14:paraId="5F2D3381" w14:textId="77777777" w:rsidR="00E836FB" w:rsidRDefault="00E836FB">
            <w:pPr>
              <w:rPr>
                <w:rFonts w:ascii="宋体"/>
              </w:rPr>
            </w:pPr>
          </w:p>
        </w:tc>
        <w:tc>
          <w:tcPr>
            <w:tcW w:w="5" w:type="pct"/>
            <w:shd w:val="clear" w:color="auto" w:fill="auto"/>
            <w:vAlign w:val="bottom"/>
          </w:tcPr>
          <w:p w14:paraId="5F2D3382" w14:textId="77777777" w:rsidR="00E836FB" w:rsidRDefault="00E836FB">
            <w:pPr>
              <w:rPr>
                <w:rFonts w:ascii="宋体"/>
              </w:rPr>
            </w:pPr>
          </w:p>
        </w:tc>
        <w:tc>
          <w:tcPr>
            <w:tcW w:w="5" w:type="pct"/>
            <w:shd w:val="clear" w:color="auto" w:fill="auto"/>
            <w:vAlign w:val="bottom"/>
          </w:tcPr>
          <w:p w14:paraId="5F2D3383" w14:textId="77777777" w:rsidR="00E836FB" w:rsidRDefault="00E836FB">
            <w:pPr>
              <w:rPr>
                <w:rFonts w:ascii="宋体"/>
              </w:rPr>
            </w:pPr>
          </w:p>
        </w:tc>
        <w:tc>
          <w:tcPr>
            <w:tcW w:w="19" w:type="pct"/>
            <w:shd w:val="clear" w:color="auto" w:fill="auto"/>
            <w:vAlign w:val="bottom"/>
          </w:tcPr>
          <w:p w14:paraId="5F2D3384" w14:textId="77777777" w:rsidR="00E836FB" w:rsidRDefault="00E836FB">
            <w:pPr>
              <w:rPr>
                <w:rFonts w:ascii="宋体"/>
              </w:rPr>
            </w:pPr>
          </w:p>
        </w:tc>
        <w:tc>
          <w:tcPr>
            <w:tcW w:w="5" w:type="pct"/>
            <w:shd w:val="clear" w:color="auto" w:fill="auto"/>
            <w:vAlign w:val="bottom"/>
          </w:tcPr>
          <w:p w14:paraId="5F2D3385" w14:textId="77777777" w:rsidR="00E836FB" w:rsidRDefault="00E836FB">
            <w:pPr>
              <w:rPr>
                <w:rFonts w:ascii="宋体"/>
              </w:rPr>
            </w:pPr>
          </w:p>
        </w:tc>
        <w:tc>
          <w:tcPr>
            <w:tcW w:w="50" w:type="pct"/>
            <w:shd w:val="clear" w:color="auto" w:fill="auto"/>
            <w:vAlign w:val="bottom"/>
          </w:tcPr>
          <w:p w14:paraId="5F2D3386" w14:textId="77777777" w:rsidR="00E836FB" w:rsidRDefault="00E836FB">
            <w:pPr>
              <w:rPr>
                <w:rFonts w:ascii="宋体"/>
              </w:rPr>
            </w:pPr>
          </w:p>
        </w:tc>
        <w:tc>
          <w:tcPr>
            <w:tcW w:w="412" w:type="pct"/>
            <w:shd w:val="clear" w:color="auto" w:fill="auto"/>
            <w:vAlign w:val="bottom"/>
          </w:tcPr>
          <w:p w14:paraId="5F2D3387" w14:textId="77777777" w:rsidR="00E836FB" w:rsidRDefault="00E836FB">
            <w:pPr>
              <w:rPr>
                <w:rFonts w:ascii="宋体"/>
              </w:rPr>
            </w:pPr>
          </w:p>
        </w:tc>
        <w:tc>
          <w:tcPr>
            <w:tcW w:w="5" w:type="pct"/>
            <w:shd w:val="clear" w:color="auto" w:fill="auto"/>
            <w:vAlign w:val="bottom"/>
          </w:tcPr>
          <w:p w14:paraId="5F2D3388" w14:textId="77777777" w:rsidR="00E836FB" w:rsidRDefault="00E836FB">
            <w:pPr>
              <w:rPr>
                <w:rFonts w:ascii="宋体"/>
              </w:rPr>
            </w:pPr>
          </w:p>
        </w:tc>
        <w:tc>
          <w:tcPr>
            <w:tcW w:w="5" w:type="pct"/>
            <w:shd w:val="clear" w:color="auto" w:fill="auto"/>
            <w:vAlign w:val="bottom"/>
          </w:tcPr>
          <w:p w14:paraId="5F2D3389" w14:textId="77777777" w:rsidR="00E836FB" w:rsidRDefault="00E836FB">
            <w:pPr>
              <w:rPr>
                <w:rFonts w:ascii="宋体"/>
              </w:rPr>
            </w:pPr>
          </w:p>
        </w:tc>
        <w:tc>
          <w:tcPr>
            <w:tcW w:w="19" w:type="pct"/>
            <w:shd w:val="clear" w:color="auto" w:fill="auto"/>
            <w:vAlign w:val="bottom"/>
          </w:tcPr>
          <w:p w14:paraId="5F2D338A" w14:textId="77777777" w:rsidR="00E836FB" w:rsidRDefault="00E836FB">
            <w:pPr>
              <w:rPr>
                <w:rFonts w:ascii="宋体"/>
              </w:rPr>
            </w:pPr>
          </w:p>
        </w:tc>
        <w:tc>
          <w:tcPr>
            <w:tcW w:w="5" w:type="pct"/>
            <w:shd w:val="clear" w:color="auto" w:fill="auto"/>
            <w:vAlign w:val="bottom"/>
          </w:tcPr>
          <w:p w14:paraId="5F2D338B" w14:textId="77777777" w:rsidR="00E836FB" w:rsidRDefault="00E836FB">
            <w:pPr>
              <w:rPr>
                <w:rFonts w:ascii="宋体"/>
              </w:rPr>
            </w:pPr>
          </w:p>
        </w:tc>
        <w:tc>
          <w:tcPr>
            <w:tcW w:w="50" w:type="pct"/>
            <w:shd w:val="clear" w:color="auto" w:fill="auto"/>
            <w:vAlign w:val="bottom"/>
          </w:tcPr>
          <w:p w14:paraId="5F2D338C" w14:textId="77777777" w:rsidR="00E836FB" w:rsidRDefault="00E836FB">
            <w:pPr>
              <w:rPr>
                <w:rFonts w:ascii="宋体"/>
              </w:rPr>
            </w:pPr>
          </w:p>
        </w:tc>
        <w:tc>
          <w:tcPr>
            <w:tcW w:w="412" w:type="pct"/>
            <w:shd w:val="clear" w:color="auto" w:fill="auto"/>
            <w:vAlign w:val="bottom"/>
          </w:tcPr>
          <w:p w14:paraId="5F2D338D" w14:textId="77777777" w:rsidR="00E836FB" w:rsidRDefault="00E836FB">
            <w:pPr>
              <w:rPr>
                <w:rFonts w:ascii="宋体"/>
              </w:rPr>
            </w:pPr>
          </w:p>
        </w:tc>
        <w:tc>
          <w:tcPr>
            <w:tcW w:w="5" w:type="pct"/>
            <w:shd w:val="clear" w:color="auto" w:fill="auto"/>
            <w:vAlign w:val="bottom"/>
          </w:tcPr>
          <w:p w14:paraId="5F2D338E" w14:textId="77777777" w:rsidR="00E836FB" w:rsidRDefault="00E836FB">
            <w:pPr>
              <w:rPr>
                <w:rFonts w:ascii="宋体"/>
              </w:rPr>
            </w:pPr>
          </w:p>
        </w:tc>
        <w:tc>
          <w:tcPr>
            <w:tcW w:w="5" w:type="pct"/>
            <w:shd w:val="clear" w:color="auto" w:fill="auto"/>
            <w:vAlign w:val="bottom"/>
          </w:tcPr>
          <w:p w14:paraId="5F2D338F" w14:textId="77777777" w:rsidR="00E836FB" w:rsidRDefault="00E836FB">
            <w:pPr>
              <w:rPr>
                <w:rFonts w:ascii="宋体"/>
              </w:rPr>
            </w:pPr>
          </w:p>
        </w:tc>
        <w:tc>
          <w:tcPr>
            <w:tcW w:w="19" w:type="pct"/>
            <w:shd w:val="clear" w:color="auto" w:fill="auto"/>
            <w:vAlign w:val="bottom"/>
          </w:tcPr>
          <w:p w14:paraId="5F2D3390" w14:textId="77777777" w:rsidR="00E836FB" w:rsidRDefault="00E836FB">
            <w:pPr>
              <w:rPr>
                <w:rFonts w:ascii="宋体"/>
              </w:rPr>
            </w:pPr>
          </w:p>
        </w:tc>
        <w:tc>
          <w:tcPr>
            <w:tcW w:w="5" w:type="pct"/>
            <w:shd w:val="clear" w:color="auto" w:fill="auto"/>
            <w:vAlign w:val="bottom"/>
          </w:tcPr>
          <w:p w14:paraId="5F2D3391" w14:textId="77777777" w:rsidR="00E836FB" w:rsidRDefault="00E836FB">
            <w:pPr>
              <w:rPr>
                <w:rFonts w:ascii="宋体"/>
              </w:rPr>
            </w:pPr>
          </w:p>
        </w:tc>
        <w:tc>
          <w:tcPr>
            <w:tcW w:w="50" w:type="pct"/>
            <w:shd w:val="clear" w:color="auto" w:fill="auto"/>
            <w:vAlign w:val="bottom"/>
          </w:tcPr>
          <w:p w14:paraId="5F2D3392" w14:textId="77777777" w:rsidR="00E836FB" w:rsidRDefault="00E836FB">
            <w:pPr>
              <w:rPr>
                <w:rFonts w:ascii="宋体"/>
              </w:rPr>
            </w:pPr>
          </w:p>
        </w:tc>
        <w:tc>
          <w:tcPr>
            <w:tcW w:w="413" w:type="pct"/>
            <w:shd w:val="clear" w:color="auto" w:fill="auto"/>
            <w:vAlign w:val="bottom"/>
          </w:tcPr>
          <w:p w14:paraId="5F2D3393" w14:textId="77777777" w:rsidR="00E836FB" w:rsidRDefault="00E836FB">
            <w:pPr>
              <w:rPr>
                <w:rFonts w:ascii="宋体"/>
              </w:rPr>
            </w:pPr>
          </w:p>
        </w:tc>
        <w:tc>
          <w:tcPr>
            <w:tcW w:w="5" w:type="pct"/>
            <w:shd w:val="clear" w:color="auto" w:fill="auto"/>
            <w:vAlign w:val="bottom"/>
          </w:tcPr>
          <w:p w14:paraId="5F2D3394" w14:textId="77777777" w:rsidR="00E836FB" w:rsidRDefault="00E836FB">
            <w:pPr>
              <w:rPr>
                <w:rFonts w:ascii="宋体"/>
              </w:rPr>
            </w:pPr>
          </w:p>
        </w:tc>
      </w:tr>
      <w:tr w:rsidR="00E836FB" w14:paraId="5F2D33A4" w14:textId="77777777">
        <w:trPr>
          <w:trHeight w:val="180"/>
        </w:trPr>
        <w:tc>
          <w:tcPr>
            <w:tcW w:w="0" w:type="auto"/>
            <w:gridSpan w:val="3"/>
            <w:shd w:val="clear" w:color="auto" w:fill="auto"/>
            <w:tcMar>
              <w:top w:w="0" w:type="dxa"/>
              <w:left w:w="20" w:type="dxa"/>
              <w:bottom w:w="0" w:type="dxa"/>
              <w:right w:w="20" w:type="dxa"/>
            </w:tcMar>
            <w:vAlign w:val="bottom"/>
          </w:tcPr>
          <w:p w14:paraId="5F2D33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A3" w14:textId="77777777" w:rsidR="00E836FB" w:rsidRDefault="00E836FB">
            <w:pPr>
              <w:rPr>
                <w:rFonts w:ascii="宋体"/>
              </w:rPr>
            </w:pPr>
          </w:p>
        </w:tc>
      </w:tr>
      <w:tr w:rsidR="00E836FB" w14:paraId="5F2D33AB" w14:textId="77777777">
        <w:tc>
          <w:tcPr>
            <w:tcW w:w="0" w:type="auto"/>
            <w:gridSpan w:val="3"/>
            <w:shd w:val="clear" w:color="auto" w:fill="auto"/>
            <w:tcMar>
              <w:top w:w="0" w:type="dxa"/>
              <w:left w:w="20" w:type="dxa"/>
              <w:bottom w:w="0" w:type="dxa"/>
              <w:right w:w="20" w:type="dxa"/>
            </w:tcMar>
            <w:vAlign w:val="bottom"/>
          </w:tcPr>
          <w:p w14:paraId="5F2D33A5"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33A6" w14:textId="77777777" w:rsidR="00E836FB" w:rsidRDefault="00994958">
            <w:pPr>
              <w:jc w:val="center"/>
              <w:textAlignment w:val="bottom"/>
            </w:pPr>
            <w:r>
              <w:rPr>
                <w:rFonts w:ascii="Arial" w:eastAsia="宋体" w:hAnsi="Arial" w:cs="Arial"/>
                <w:b/>
                <w:bCs/>
                <w:color w:val="000000"/>
                <w:sz w:val="14"/>
                <w:szCs w:val="14"/>
              </w:rPr>
              <w:t xml:space="preserve">Years Ended </w:t>
            </w:r>
            <w:r>
              <w:rPr>
                <w:rFonts w:ascii="Arial" w:eastAsia="宋体" w:hAnsi="Arial" w:cs="Arial"/>
                <w:b/>
                <w:bCs/>
                <w:color w:val="000000"/>
                <w:sz w:val="14"/>
                <w:szCs w:val="14"/>
              </w:rPr>
              <w:t>December 31,</w:t>
            </w:r>
          </w:p>
        </w:tc>
        <w:tc>
          <w:tcPr>
            <w:tcW w:w="0" w:type="auto"/>
            <w:gridSpan w:val="3"/>
            <w:shd w:val="clear" w:color="auto" w:fill="auto"/>
            <w:tcMar>
              <w:top w:w="0" w:type="dxa"/>
              <w:left w:w="20" w:type="dxa"/>
              <w:bottom w:w="0" w:type="dxa"/>
              <w:right w:w="20" w:type="dxa"/>
            </w:tcMar>
            <w:vAlign w:val="bottom"/>
          </w:tcPr>
          <w:p w14:paraId="5F2D33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A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A9"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33AA" w14:textId="77777777" w:rsidR="00E836FB" w:rsidRDefault="00994958">
            <w:pPr>
              <w:jc w:val="center"/>
              <w:textAlignment w:val="bottom"/>
            </w:pPr>
            <w:r>
              <w:rPr>
                <w:rFonts w:ascii="Arial" w:eastAsia="宋体" w:hAnsi="Arial" w:cs="Arial"/>
                <w:b/>
                <w:bCs/>
                <w:color w:val="000000"/>
                <w:sz w:val="14"/>
                <w:szCs w:val="14"/>
              </w:rPr>
              <w:t>Years Ended December 31,</w:t>
            </w:r>
          </w:p>
        </w:tc>
      </w:tr>
      <w:tr w:rsidR="00E836FB" w14:paraId="5F2D33BA" w14:textId="77777777">
        <w:trPr>
          <w:trHeight w:val="240"/>
        </w:trPr>
        <w:tc>
          <w:tcPr>
            <w:tcW w:w="0" w:type="auto"/>
            <w:gridSpan w:val="3"/>
            <w:shd w:val="clear" w:color="auto" w:fill="auto"/>
            <w:tcMar>
              <w:top w:w="0" w:type="dxa"/>
              <w:left w:w="20" w:type="dxa"/>
              <w:bottom w:w="0" w:type="dxa"/>
              <w:right w:w="20" w:type="dxa"/>
            </w:tcMar>
            <w:vAlign w:val="bottom"/>
          </w:tcPr>
          <w:p w14:paraId="5F2D33A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3AD"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AE"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3AF"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B0"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3B1" w14:textId="77777777" w:rsidR="00E836FB" w:rsidRDefault="00994958">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5F2D33B2" w14:textId="77777777" w:rsidR="00E836FB" w:rsidRDefault="00E836F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F2D33B3" w14:textId="77777777" w:rsidR="00E836FB" w:rsidRDefault="00994958">
            <w:pPr>
              <w:jc w:val="center"/>
              <w:textAlignment w:val="bottom"/>
            </w:pPr>
            <w:r>
              <w:rPr>
                <w:rFonts w:ascii="Arial" w:eastAsia="宋体" w:hAnsi="Arial" w:cs="Arial"/>
                <w:b/>
                <w:bCs/>
                <w:color w:val="000000"/>
                <w:sz w:val="14"/>
                <w:szCs w:val="14"/>
              </w:rPr>
              <w:t>Location of Gain or (Loss) 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5F2D33B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3B5"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B6"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3B7"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B8"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3B9" w14:textId="77777777" w:rsidR="00E836FB" w:rsidRDefault="00994958">
            <w:pPr>
              <w:jc w:val="center"/>
              <w:textAlignment w:val="bottom"/>
            </w:pPr>
            <w:r>
              <w:rPr>
                <w:rFonts w:ascii="Arial" w:eastAsia="宋体" w:hAnsi="Arial" w:cs="Arial"/>
                <w:b/>
                <w:bCs/>
                <w:color w:val="000000"/>
                <w:sz w:val="14"/>
                <w:szCs w:val="14"/>
              </w:rPr>
              <w:t>2019</w:t>
            </w:r>
          </w:p>
        </w:tc>
      </w:tr>
      <w:tr w:rsidR="00E836FB" w14:paraId="5F2D33C1" w14:textId="77777777">
        <w:trPr>
          <w:trHeight w:val="520"/>
        </w:trPr>
        <w:tc>
          <w:tcPr>
            <w:tcW w:w="0" w:type="auto"/>
            <w:gridSpan w:val="3"/>
            <w:shd w:val="clear" w:color="auto" w:fill="auto"/>
            <w:tcMar>
              <w:top w:w="40" w:type="dxa"/>
              <w:left w:w="20" w:type="dxa"/>
              <w:bottom w:w="40" w:type="dxa"/>
              <w:right w:w="20" w:type="dxa"/>
            </w:tcMar>
            <w:vAlign w:val="bottom"/>
          </w:tcPr>
          <w:p w14:paraId="5F2D33BB"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33BC" w14:textId="77777777" w:rsidR="00E836FB" w:rsidRDefault="00994958">
            <w:pPr>
              <w:jc w:val="center"/>
              <w:textAlignment w:val="bottom"/>
            </w:pPr>
            <w:r>
              <w:rPr>
                <w:rFonts w:ascii="Arial" w:eastAsia="宋体" w:hAnsi="Arial" w:cs="Arial"/>
                <w:b/>
                <w:bCs/>
                <w:color w:val="000000"/>
                <w:sz w:val="14"/>
                <w:szCs w:val="14"/>
              </w:rPr>
              <w:t>Amount of Gain or (Loss) Recognized in Other Comprehensive Income on Derivative</w:t>
            </w:r>
          </w:p>
        </w:tc>
        <w:tc>
          <w:tcPr>
            <w:tcW w:w="0" w:type="auto"/>
            <w:gridSpan w:val="3"/>
            <w:shd w:val="clear" w:color="auto" w:fill="auto"/>
            <w:tcMar>
              <w:top w:w="0" w:type="dxa"/>
              <w:left w:w="20" w:type="dxa"/>
              <w:bottom w:w="0" w:type="dxa"/>
              <w:right w:w="20" w:type="dxa"/>
            </w:tcMar>
            <w:vAlign w:val="bottom"/>
          </w:tcPr>
          <w:p w14:paraId="5F2D33BD" w14:textId="77777777" w:rsidR="00E836FB" w:rsidRDefault="00E836FB">
            <w:pPr>
              <w:rPr>
                <w:rFonts w:ascii="宋体"/>
              </w:rPr>
            </w:pPr>
          </w:p>
        </w:tc>
        <w:tc>
          <w:tcPr>
            <w:tcW w:w="0" w:type="auto"/>
            <w:gridSpan w:val="3"/>
            <w:vMerge/>
            <w:shd w:val="clear" w:color="auto" w:fill="auto"/>
            <w:tcMar>
              <w:top w:w="40" w:type="dxa"/>
              <w:left w:w="20" w:type="dxa"/>
              <w:bottom w:w="40" w:type="dxa"/>
              <w:right w:w="20" w:type="dxa"/>
            </w:tcMar>
            <w:vAlign w:val="bottom"/>
          </w:tcPr>
          <w:p w14:paraId="5F2D33BE"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33BF"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33C0" w14:textId="77777777" w:rsidR="00E836FB" w:rsidRDefault="00994958">
            <w:pPr>
              <w:jc w:val="center"/>
              <w:textAlignment w:val="bottom"/>
            </w:pPr>
            <w:r>
              <w:rPr>
                <w:rFonts w:ascii="Arial" w:eastAsia="宋体" w:hAnsi="Arial" w:cs="Arial"/>
                <w:b/>
                <w:bCs/>
                <w:color w:val="000000"/>
                <w:sz w:val="14"/>
                <w:szCs w:val="14"/>
              </w:rPr>
              <w:t>Amount of Gain or (Loss) Reclassified from Accumulated Other Comprehensive Inc</w:t>
            </w:r>
            <w:r>
              <w:rPr>
                <w:rFonts w:ascii="Arial" w:eastAsia="宋体" w:hAnsi="Arial" w:cs="Arial"/>
                <w:b/>
                <w:bCs/>
                <w:color w:val="000000"/>
                <w:sz w:val="14"/>
                <w:szCs w:val="14"/>
              </w:rPr>
              <w:t>ome into Income</w:t>
            </w:r>
          </w:p>
        </w:tc>
      </w:tr>
      <w:tr w:rsidR="00E836FB" w14:paraId="5F2D33D0" w14:textId="77777777">
        <w:tc>
          <w:tcPr>
            <w:tcW w:w="0" w:type="auto"/>
            <w:gridSpan w:val="3"/>
            <w:shd w:val="clear" w:color="auto" w:fill="auto"/>
            <w:tcMar>
              <w:top w:w="40" w:type="dxa"/>
              <w:left w:w="20" w:type="dxa"/>
              <w:bottom w:w="40" w:type="dxa"/>
              <w:right w:w="20" w:type="dxa"/>
            </w:tcMar>
            <w:vAlign w:val="bottom"/>
          </w:tcPr>
          <w:p w14:paraId="5F2D33C2" w14:textId="77777777" w:rsidR="00E836FB" w:rsidRDefault="00994958">
            <w:pPr>
              <w:textAlignment w:val="bottom"/>
            </w:pPr>
            <w:r>
              <w:rPr>
                <w:rFonts w:ascii="Arial" w:eastAsia="宋体" w:hAnsi="Arial" w:cs="Arial"/>
                <w:b/>
                <w:bCs/>
                <w:color w:val="000000"/>
                <w:sz w:val="14"/>
                <w:szCs w:val="14"/>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C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3C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3CF" w14:textId="77777777" w:rsidR="00E836FB" w:rsidRDefault="00E836FB">
            <w:pPr>
              <w:rPr>
                <w:rFonts w:ascii="宋体"/>
              </w:rPr>
            </w:pPr>
          </w:p>
        </w:tc>
      </w:tr>
      <w:tr w:rsidR="00E836FB" w14:paraId="5F2D33EB" w14:textId="77777777">
        <w:tc>
          <w:tcPr>
            <w:tcW w:w="0" w:type="auto"/>
            <w:gridSpan w:val="3"/>
            <w:shd w:val="clear" w:color="auto" w:fill="CCEEFF"/>
            <w:tcMar>
              <w:top w:w="40" w:type="dxa"/>
              <w:left w:w="20" w:type="dxa"/>
              <w:bottom w:w="40" w:type="dxa"/>
              <w:right w:w="20" w:type="dxa"/>
            </w:tcMar>
            <w:vAlign w:val="bottom"/>
          </w:tcPr>
          <w:p w14:paraId="5F2D33D1" w14:textId="77777777" w:rsidR="00E836FB" w:rsidRDefault="00994958">
            <w:pPr>
              <w:textAlignment w:val="bottom"/>
            </w:pPr>
            <w:r>
              <w:rPr>
                <w:rFonts w:ascii="Arial" w:eastAsia="宋体" w:hAnsi="Arial" w:cs="Arial"/>
                <w:color w:val="000000"/>
                <w:sz w:val="14"/>
                <w:szCs w:val="14"/>
              </w:rPr>
              <w:t>Interest rate contracts</w:t>
            </w:r>
          </w:p>
        </w:tc>
        <w:tc>
          <w:tcPr>
            <w:tcW w:w="0" w:type="auto"/>
            <w:shd w:val="clear" w:color="auto" w:fill="CCEEFF"/>
            <w:tcMar>
              <w:top w:w="40" w:type="dxa"/>
              <w:left w:w="20" w:type="dxa"/>
              <w:bottom w:w="40" w:type="dxa"/>
              <w:right w:w="0" w:type="dxa"/>
            </w:tcMar>
            <w:vAlign w:val="bottom"/>
          </w:tcPr>
          <w:p w14:paraId="5F2D33D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3D3" w14:textId="77777777" w:rsidR="00E836FB" w:rsidRDefault="00994958">
            <w:pPr>
              <w:jc w:val="right"/>
              <w:textAlignment w:val="bottom"/>
            </w:pPr>
            <w:r>
              <w:rPr>
                <w:rFonts w:ascii="Arial" w:eastAsia="宋体" w:hAnsi="Arial" w:cs="Arial"/>
                <w:b/>
                <w:bCs/>
                <w:color w:val="000000"/>
                <w:sz w:val="14"/>
                <w:szCs w:val="14"/>
              </w:rPr>
              <w:t>(78)</w:t>
            </w:r>
          </w:p>
        </w:tc>
        <w:tc>
          <w:tcPr>
            <w:tcW w:w="0" w:type="auto"/>
            <w:shd w:val="clear" w:color="auto" w:fill="CCEEFF"/>
            <w:tcMar>
              <w:top w:w="40" w:type="dxa"/>
              <w:left w:w="0" w:type="dxa"/>
              <w:bottom w:w="40" w:type="dxa"/>
              <w:right w:w="20" w:type="dxa"/>
            </w:tcMar>
            <w:vAlign w:val="bottom"/>
          </w:tcPr>
          <w:p w14:paraId="5F2D33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3D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3D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3D7" w14:textId="77777777" w:rsidR="00E836FB" w:rsidRDefault="00994958">
            <w:pPr>
              <w:jc w:val="right"/>
              <w:textAlignment w:val="bottom"/>
            </w:pPr>
            <w:r>
              <w:rPr>
                <w:rFonts w:ascii="Arial" w:eastAsia="宋体" w:hAnsi="Arial" w:cs="Arial"/>
                <w:color w:val="000000"/>
                <w:sz w:val="14"/>
                <w:szCs w:val="14"/>
              </w:rPr>
              <w:t>176 </w:t>
            </w:r>
          </w:p>
        </w:tc>
        <w:tc>
          <w:tcPr>
            <w:tcW w:w="0" w:type="auto"/>
            <w:shd w:val="clear" w:color="auto" w:fill="CCEEFF"/>
            <w:tcMar>
              <w:top w:w="40" w:type="dxa"/>
              <w:left w:w="0" w:type="dxa"/>
              <w:bottom w:w="40" w:type="dxa"/>
              <w:right w:w="20" w:type="dxa"/>
            </w:tcMar>
            <w:vAlign w:val="bottom"/>
          </w:tcPr>
          <w:p w14:paraId="5F2D33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3D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3D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3DB" w14:textId="77777777" w:rsidR="00E836FB" w:rsidRDefault="00994958">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5F2D33D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3DD"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33DE"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vAlign w:val="bottom"/>
          </w:tcPr>
          <w:p w14:paraId="5F2D33D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3E0"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3E1" w14:textId="77777777" w:rsidR="00E836FB" w:rsidRDefault="00994958">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3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3E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3E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3E5" w14:textId="77777777" w:rsidR="00E836FB" w:rsidRDefault="00994958">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5F2D33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3E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3E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3E9" w14:textId="77777777" w:rsidR="00E836FB" w:rsidRDefault="00994958">
            <w:pPr>
              <w:jc w:val="right"/>
              <w:textAlignment w:val="bottom"/>
            </w:pPr>
            <w:r>
              <w:rPr>
                <w:rFonts w:ascii="Arial" w:eastAsia="宋体" w:hAnsi="Arial" w:cs="Arial"/>
                <w:color w:val="000000"/>
                <w:sz w:val="14"/>
                <w:szCs w:val="14"/>
              </w:rPr>
              <w:t>(10)</w:t>
            </w:r>
          </w:p>
        </w:tc>
        <w:tc>
          <w:tcPr>
            <w:tcW w:w="0" w:type="auto"/>
            <w:shd w:val="clear" w:color="auto" w:fill="CCEEFF"/>
            <w:tcMar>
              <w:top w:w="40" w:type="dxa"/>
              <w:left w:w="0" w:type="dxa"/>
              <w:bottom w:w="40" w:type="dxa"/>
              <w:right w:w="20" w:type="dxa"/>
            </w:tcMar>
            <w:vAlign w:val="bottom"/>
          </w:tcPr>
          <w:p w14:paraId="5F2D33EA" w14:textId="77777777" w:rsidR="00E836FB" w:rsidRDefault="00E836FB">
            <w:pPr>
              <w:jc w:val="right"/>
              <w:rPr>
                <w:rFonts w:ascii="宋体"/>
              </w:rPr>
            </w:pPr>
          </w:p>
        </w:tc>
      </w:tr>
      <w:tr w:rsidR="00E836FB" w14:paraId="5F2D3400" w14:textId="77777777">
        <w:tc>
          <w:tcPr>
            <w:tcW w:w="0" w:type="auto"/>
            <w:gridSpan w:val="3"/>
            <w:shd w:val="clear" w:color="auto" w:fill="FFFFFF"/>
            <w:tcMar>
              <w:top w:w="40" w:type="dxa"/>
              <w:left w:w="20" w:type="dxa"/>
              <w:bottom w:w="40" w:type="dxa"/>
              <w:right w:w="20" w:type="dxa"/>
            </w:tcMar>
            <w:vAlign w:val="bottom"/>
          </w:tcPr>
          <w:p w14:paraId="5F2D33EC" w14:textId="77777777" w:rsidR="00E836FB" w:rsidRDefault="00994958">
            <w:pPr>
              <w:textAlignment w:val="bottom"/>
            </w:pPr>
            <w:r>
              <w:rPr>
                <w:rFonts w:ascii="Arial" w:eastAsia="宋体" w:hAnsi="Arial" w:cs="Arial"/>
                <w:color w:val="000000"/>
                <w:sz w:val="14"/>
                <w:szCs w:val="14"/>
              </w:rPr>
              <w:t>Foreign exchange contracts</w:t>
            </w:r>
          </w:p>
        </w:tc>
        <w:tc>
          <w:tcPr>
            <w:tcW w:w="0" w:type="auto"/>
            <w:gridSpan w:val="2"/>
            <w:shd w:val="clear" w:color="auto" w:fill="FFFFFF"/>
            <w:tcMar>
              <w:top w:w="40" w:type="dxa"/>
              <w:left w:w="20" w:type="dxa"/>
              <w:bottom w:w="40" w:type="dxa"/>
              <w:right w:w="0" w:type="dxa"/>
            </w:tcMar>
            <w:vAlign w:val="bottom"/>
          </w:tcPr>
          <w:p w14:paraId="5F2D33ED" w14:textId="77777777" w:rsidR="00E836FB" w:rsidRDefault="00994958">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3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3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3F0" w14:textId="77777777" w:rsidR="00E836FB" w:rsidRDefault="00994958">
            <w:pPr>
              <w:jc w:val="right"/>
              <w:textAlignment w:val="bottom"/>
            </w:pPr>
            <w:r>
              <w:rPr>
                <w:rFonts w:ascii="Arial" w:eastAsia="宋体" w:hAnsi="Arial" w:cs="Arial"/>
                <w:color w:val="000000"/>
                <w:sz w:val="14"/>
                <w:szCs w:val="14"/>
              </w:rPr>
              <w:t>(22)</w:t>
            </w:r>
          </w:p>
        </w:tc>
        <w:tc>
          <w:tcPr>
            <w:tcW w:w="0" w:type="auto"/>
            <w:shd w:val="clear" w:color="auto" w:fill="FFFFFF"/>
            <w:tcMar>
              <w:top w:w="40" w:type="dxa"/>
              <w:left w:w="0" w:type="dxa"/>
              <w:bottom w:w="40" w:type="dxa"/>
              <w:right w:w="20" w:type="dxa"/>
            </w:tcMar>
            <w:vAlign w:val="bottom"/>
          </w:tcPr>
          <w:p w14:paraId="5F2D33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3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3F3"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F2D33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3F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33F6"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vAlign w:val="bottom"/>
          </w:tcPr>
          <w:p w14:paraId="5F2D33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3F8" w14:textId="77777777" w:rsidR="00E836FB" w:rsidRDefault="00994958">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3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3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3FB" w14:textId="77777777" w:rsidR="00E836FB" w:rsidRDefault="00994958">
            <w:pPr>
              <w:jc w:val="right"/>
              <w:textAlignment w:val="bottom"/>
            </w:pPr>
            <w:r>
              <w:rPr>
                <w:rFonts w:ascii="Arial" w:eastAsia="宋体" w:hAnsi="Arial" w:cs="Arial"/>
                <w:color w:val="000000"/>
                <w:sz w:val="14"/>
                <w:szCs w:val="14"/>
              </w:rPr>
              <w:t>23 </w:t>
            </w:r>
          </w:p>
        </w:tc>
        <w:tc>
          <w:tcPr>
            <w:tcW w:w="0" w:type="auto"/>
            <w:shd w:val="clear" w:color="auto" w:fill="FFFFFF"/>
            <w:tcMar>
              <w:top w:w="40" w:type="dxa"/>
              <w:left w:w="0" w:type="dxa"/>
              <w:bottom w:w="40" w:type="dxa"/>
              <w:right w:w="20" w:type="dxa"/>
            </w:tcMar>
            <w:vAlign w:val="bottom"/>
          </w:tcPr>
          <w:p w14:paraId="5F2D33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3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3FE" w14:textId="77777777" w:rsidR="00E836FB" w:rsidRDefault="00994958">
            <w:pPr>
              <w:jc w:val="right"/>
              <w:textAlignment w:val="bottom"/>
            </w:pPr>
            <w:r>
              <w:rPr>
                <w:rFonts w:ascii="Arial" w:eastAsia="宋体" w:hAnsi="Arial" w:cs="Arial"/>
                <w:color w:val="000000"/>
                <w:sz w:val="14"/>
                <w:szCs w:val="14"/>
              </w:rPr>
              <w:t>27 </w:t>
            </w:r>
          </w:p>
        </w:tc>
        <w:tc>
          <w:tcPr>
            <w:tcW w:w="0" w:type="auto"/>
            <w:shd w:val="clear" w:color="auto" w:fill="FFFFFF"/>
            <w:tcMar>
              <w:top w:w="40" w:type="dxa"/>
              <w:left w:w="0" w:type="dxa"/>
              <w:bottom w:w="40" w:type="dxa"/>
              <w:right w:w="20" w:type="dxa"/>
            </w:tcMar>
            <w:vAlign w:val="bottom"/>
          </w:tcPr>
          <w:p w14:paraId="5F2D33FF" w14:textId="77777777" w:rsidR="00E836FB" w:rsidRDefault="00E836FB">
            <w:pPr>
              <w:jc w:val="right"/>
              <w:rPr>
                <w:rFonts w:ascii="宋体"/>
              </w:rPr>
            </w:pPr>
          </w:p>
        </w:tc>
      </w:tr>
      <w:tr w:rsidR="00E836FB" w14:paraId="5F2D341B" w14:textId="77777777">
        <w:tc>
          <w:tcPr>
            <w:tcW w:w="0" w:type="auto"/>
            <w:gridSpan w:val="3"/>
            <w:shd w:val="clear" w:color="auto" w:fill="CCEEFF"/>
            <w:tcMar>
              <w:top w:w="40" w:type="dxa"/>
              <w:left w:w="20" w:type="dxa"/>
              <w:bottom w:w="40" w:type="dxa"/>
              <w:right w:w="20" w:type="dxa"/>
            </w:tcMar>
            <w:vAlign w:val="bottom"/>
          </w:tcPr>
          <w:p w14:paraId="5F2D3401" w14:textId="77777777" w:rsidR="00E836FB" w:rsidRDefault="00994958">
            <w:pPr>
              <w:textAlignment w:val="bottom"/>
            </w:pPr>
            <w:r>
              <w:rPr>
                <w:rFonts w:ascii="Arial" w:eastAsia="宋体" w:hAnsi="Arial" w:cs="Arial"/>
                <w:color w:val="000000"/>
                <w:sz w:val="14"/>
                <w:szCs w:val="14"/>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340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403" w14:textId="77777777" w:rsidR="00E836FB" w:rsidRDefault="00994958">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4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0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406"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407" w14:textId="77777777" w:rsidR="00E836FB" w:rsidRDefault="00994958">
            <w:pPr>
              <w:jc w:val="right"/>
              <w:textAlignment w:val="bottom"/>
            </w:pPr>
            <w:r>
              <w:rPr>
                <w:rFonts w:ascii="Arial" w:eastAsia="宋体" w:hAnsi="Arial" w:cs="Arial"/>
                <w:color w:val="000000"/>
                <w:sz w:val="14"/>
                <w:szCs w:val="14"/>
              </w:rPr>
              <w:t>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4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0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40A"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40B" w14:textId="77777777" w:rsidR="00E836FB" w:rsidRDefault="00994958">
            <w:pPr>
              <w:jc w:val="right"/>
              <w:textAlignment w:val="bottom"/>
            </w:pPr>
            <w:r>
              <w:rPr>
                <w:rFonts w:ascii="Arial" w:eastAsia="宋体" w:hAnsi="Arial" w:cs="Arial"/>
                <w:color w:val="000000"/>
                <w:sz w:val="14"/>
                <w:szCs w:val="14"/>
              </w:rPr>
              <w:t>51 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4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0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40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40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41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411" w14:textId="77777777" w:rsidR="00E836FB" w:rsidRDefault="00994958">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4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1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41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415" w14:textId="77777777" w:rsidR="00E836FB" w:rsidRDefault="00994958">
            <w:pPr>
              <w:jc w:val="right"/>
              <w:textAlignment w:val="bottom"/>
            </w:pPr>
            <w:r>
              <w:rPr>
                <w:rFonts w:ascii="Arial" w:eastAsia="宋体" w:hAnsi="Arial" w:cs="Arial"/>
                <w:color w:val="000000"/>
                <w:sz w:val="14"/>
                <w:szCs w:val="14"/>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4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1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41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419" w14:textId="77777777" w:rsidR="00E836FB" w:rsidRDefault="00994958">
            <w:pPr>
              <w:jc w:val="right"/>
              <w:textAlignment w:val="bottom"/>
            </w:pPr>
            <w:r>
              <w:rPr>
                <w:rFonts w:ascii="Arial" w:eastAsia="宋体" w:hAnsi="Arial" w:cs="Arial"/>
                <w:color w:val="000000"/>
                <w:sz w:val="14"/>
                <w:szCs w:val="14"/>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41A" w14:textId="77777777" w:rsidR="00E836FB" w:rsidRDefault="00E836FB">
            <w:pPr>
              <w:jc w:val="right"/>
              <w:rPr>
                <w:rFonts w:ascii="宋体"/>
              </w:rPr>
            </w:pPr>
          </w:p>
        </w:tc>
      </w:tr>
      <w:tr w:rsidR="00E836FB" w14:paraId="5F2D342A" w14:textId="77777777">
        <w:trPr>
          <w:trHeight w:val="60"/>
        </w:trPr>
        <w:tc>
          <w:tcPr>
            <w:tcW w:w="0" w:type="auto"/>
            <w:gridSpan w:val="3"/>
            <w:shd w:val="clear" w:color="auto" w:fill="auto"/>
            <w:tcMar>
              <w:top w:w="0" w:type="dxa"/>
              <w:left w:w="20" w:type="dxa"/>
              <w:bottom w:w="0" w:type="dxa"/>
              <w:right w:w="20" w:type="dxa"/>
            </w:tcMar>
            <w:vAlign w:val="bottom"/>
          </w:tcPr>
          <w:p w14:paraId="5F2D341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4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1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41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4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4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42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429" w14:textId="77777777" w:rsidR="00E836FB" w:rsidRDefault="00E836FB">
            <w:pPr>
              <w:rPr>
                <w:rFonts w:ascii="宋体"/>
              </w:rPr>
            </w:pPr>
          </w:p>
        </w:tc>
      </w:tr>
      <w:tr w:rsidR="00E836FB" w14:paraId="5F2D3439" w14:textId="77777777">
        <w:tc>
          <w:tcPr>
            <w:tcW w:w="0" w:type="auto"/>
            <w:gridSpan w:val="3"/>
            <w:shd w:val="clear" w:color="auto" w:fill="auto"/>
            <w:tcMar>
              <w:top w:w="40" w:type="dxa"/>
              <w:left w:w="20" w:type="dxa"/>
              <w:bottom w:w="40" w:type="dxa"/>
              <w:right w:w="20" w:type="dxa"/>
            </w:tcMar>
            <w:vAlign w:val="bottom"/>
          </w:tcPr>
          <w:p w14:paraId="5F2D342B" w14:textId="77777777" w:rsidR="00E836FB" w:rsidRDefault="00994958">
            <w:pPr>
              <w:textAlignment w:val="bottom"/>
            </w:pPr>
            <w:r>
              <w:rPr>
                <w:rFonts w:ascii="Arial" w:eastAsia="宋体" w:hAnsi="Arial" w:cs="Arial"/>
                <w:b/>
                <w:bCs/>
                <w:color w:val="000000"/>
                <w:sz w:val="14"/>
                <w:szCs w:val="14"/>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5F2D34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2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438" w14:textId="77777777" w:rsidR="00E836FB" w:rsidRDefault="00E836FB">
            <w:pPr>
              <w:rPr>
                <w:rFonts w:ascii="宋体"/>
              </w:rPr>
            </w:pPr>
          </w:p>
        </w:tc>
      </w:tr>
      <w:tr w:rsidR="00E836FB" w14:paraId="5F2D3454" w14:textId="77777777">
        <w:tc>
          <w:tcPr>
            <w:tcW w:w="0" w:type="auto"/>
            <w:gridSpan w:val="3"/>
            <w:shd w:val="clear" w:color="auto" w:fill="CCEEFF"/>
            <w:tcMar>
              <w:top w:w="40" w:type="dxa"/>
              <w:left w:w="20" w:type="dxa"/>
              <w:bottom w:w="40" w:type="dxa"/>
              <w:right w:w="20" w:type="dxa"/>
            </w:tcMar>
            <w:vAlign w:val="bottom"/>
          </w:tcPr>
          <w:p w14:paraId="5F2D343A" w14:textId="77777777" w:rsidR="00E836FB" w:rsidRDefault="00994958">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5F2D343B"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43C" w14:textId="77777777" w:rsidR="00E836FB" w:rsidRDefault="00994958">
            <w:pPr>
              <w:jc w:val="right"/>
              <w:textAlignment w:val="bottom"/>
            </w:pPr>
            <w:r>
              <w:rPr>
                <w:rFonts w:ascii="Arial" w:eastAsia="宋体" w:hAnsi="Arial" w:cs="Arial"/>
                <w:b/>
                <w:bCs/>
                <w:color w:val="000000"/>
                <w:sz w:val="14"/>
                <w:szCs w:val="14"/>
              </w:rPr>
              <w:t>272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4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3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43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440" w14:textId="77777777" w:rsidR="00E836FB" w:rsidRDefault="00994958">
            <w:pPr>
              <w:jc w:val="right"/>
              <w:textAlignment w:val="bottom"/>
            </w:pPr>
            <w:r>
              <w:rPr>
                <w:rFonts w:ascii="Arial" w:eastAsia="宋体" w:hAnsi="Arial" w:cs="Arial"/>
                <w:color w:val="000000"/>
                <w:sz w:val="14"/>
                <w:szCs w:val="14"/>
              </w:rPr>
              <w:t>(250)</w:t>
            </w:r>
          </w:p>
        </w:tc>
        <w:tc>
          <w:tcPr>
            <w:tcW w:w="0" w:type="auto"/>
            <w:shd w:val="clear" w:color="auto" w:fill="CCEEFF"/>
            <w:tcMar>
              <w:top w:w="40" w:type="dxa"/>
              <w:left w:w="0" w:type="dxa"/>
              <w:bottom w:w="40" w:type="dxa"/>
              <w:right w:w="20" w:type="dxa"/>
            </w:tcMar>
            <w:vAlign w:val="bottom"/>
          </w:tcPr>
          <w:p w14:paraId="5F2D34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4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44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444" w14:textId="77777777" w:rsidR="00E836FB" w:rsidRDefault="00994958">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5F2D34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46"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3447" w14:textId="77777777" w:rsidR="00E836FB" w:rsidRDefault="00994958">
            <w:pPr>
              <w:textAlignment w:val="bottom"/>
            </w:pPr>
            <w:r>
              <w:rPr>
                <w:rFonts w:ascii="Arial" w:eastAsia="宋体" w:hAnsi="Arial" w:cs="Arial"/>
                <w:color w:val="000000"/>
                <w:sz w:val="14"/>
                <w:szCs w:val="14"/>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5F2D344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449"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44A"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4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4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44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44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4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5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451"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45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453" w14:textId="77777777" w:rsidR="00E836FB" w:rsidRDefault="00E836FB">
            <w:pPr>
              <w:jc w:val="right"/>
              <w:rPr>
                <w:rFonts w:ascii="宋体"/>
              </w:rPr>
            </w:pPr>
          </w:p>
        </w:tc>
      </w:tr>
      <w:tr w:rsidR="00E836FB" w14:paraId="5F2D3469" w14:textId="77777777">
        <w:tc>
          <w:tcPr>
            <w:tcW w:w="0" w:type="auto"/>
            <w:gridSpan w:val="3"/>
            <w:shd w:val="clear" w:color="auto" w:fill="FFFFFF"/>
            <w:tcMar>
              <w:top w:w="40" w:type="dxa"/>
              <w:left w:w="20" w:type="dxa"/>
              <w:bottom w:w="40" w:type="dxa"/>
              <w:right w:w="20" w:type="dxa"/>
            </w:tcMar>
            <w:vAlign w:val="bottom"/>
          </w:tcPr>
          <w:p w14:paraId="5F2D3455" w14:textId="77777777" w:rsidR="00E836FB" w:rsidRDefault="00994958">
            <w:pPr>
              <w:textAlignment w:val="bottom"/>
            </w:pPr>
            <w:r>
              <w:rPr>
                <w:rFonts w:ascii="Arial" w:eastAsia="宋体" w:hAnsi="Arial" w:cs="Arial"/>
                <w:color w:val="000000"/>
                <w:sz w:val="14"/>
                <w:szCs w:val="14"/>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456" w14:textId="77777777" w:rsidR="00E836FB" w:rsidRDefault="00994958">
            <w:pPr>
              <w:jc w:val="right"/>
              <w:textAlignment w:val="bottom"/>
            </w:pPr>
            <w:r>
              <w:rPr>
                <w:rFonts w:ascii="Arial" w:eastAsia="宋体" w:hAnsi="Arial" w:cs="Arial"/>
                <w:b/>
                <w:bCs/>
                <w:color w:val="000000"/>
                <w:sz w:val="14"/>
                <w:szCs w:val="14"/>
              </w:rPr>
              <w:t>272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45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45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459" w14:textId="77777777" w:rsidR="00E836FB" w:rsidRDefault="00994958">
            <w:pPr>
              <w:jc w:val="right"/>
              <w:textAlignment w:val="bottom"/>
            </w:pPr>
            <w:r>
              <w:rPr>
                <w:rFonts w:ascii="Arial" w:eastAsia="宋体" w:hAnsi="Arial" w:cs="Arial"/>
                <w:color w:val="000000"/>
                <w:sz w:val="14"/>
                <w:szCs w:val="14"/>
              </w:rPr>
              <w:t>(250)</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45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45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45C" w14:textId="77777777" w:rsidR="00E836FB" w:rsidRDefault="00994958">
            <w:pPr>
              <w:jc w:val="right"/>
              <w:textAlignment w:val="bottom"/>
            </w:pPr>
            <w:r>
              <w:rPr>
                <w:rFonts w:ascii="Arial" w:eastAsia="宋体" w:hAnsi="Arial" w:cs="Arial"/>
                <w:color w:val="000000"/>
                <w:sz w:val="14"/>
                <w:szCs w:val="14"/>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45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45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45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46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46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4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46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464"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4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46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467"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468" w14:textId="77777777" w:rsidR="00E836FB" w:rsidRDefault="00E836FB">
            <w:pPr>
              <w:jc w:val="right"/>
              <w:rPr>
                <w:rFonts w:ascii="宋体"/>
              </w:rPr>
            </w:pPr>
          </w:p>
        </w:tc>
      </w:tr>
      <w:tr w:rsidR="00E836FB" w14:paraId="5F2D3484" w14:textId="77777777">
        <w:tc>
          <w:tcPr>
            <w:tcW w:w="0" w:type="auto"/>
            <w:gridSpan w:val="3"/>
            <w:shd w:val="clear" w:color="auto" w:fill="CCEEFF"/>
            <w:tcMar>
              <w:top w:w="40" w:type="dxa"/>
              <w:left w:w="20" w:type="dxa"/>
              <w:bottom w:w="40" w:type="dxa"/>
              <w:right w:w="20" w:type="dxa"/>
            </w:tcMar>
            <w:vAlign w:val="bottom"/>
          </w:tcPr>
          <w:p w14:paraId="5F2D346A" w14:textId="77777777" w:rsidR="00E836FB" w:rsidRDefault="00994958">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46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46C" w14:textId="77777777" w:rsidR="00E836FB" w:rsidRDefault="00994958">
            <w:pPr>
              <w:jc w:val="right"/>
              <w:textAlignment w:val="bottom"/>
            </w:pPr>
            <w:r>
              <w:rPr>
                <w:rFonts w:ascii="Arial" w:eastAsia="宋体" w:hAnsi="Arial" w:cs="Arial"/>
                <w:b/>
                <w:bCs/>
                <w:color w:val="000000"/>
                <w:sz w:val="14"/>
                <w:szCs w:val="14"/>
              </w:rPr>
              <w:t>285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4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6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46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470" w14:textId="77777777" w:rsidR="00E836FB" w:rsidRDefault="00994958">
            <w:pPr>
              <w:jc w:val="right"/>
              <w:textAlignment w:val="bottom"/>
            </w:pPr>
            <w:r>
              <w:rPr>
                <w:rFonts w:ascii="Arial" w:eastAsia="宋体" w:hAnsi="Arial" w:cs="Arial"/>
                <w:color w:val="000000"/>
                <w:sz w:val="14"/>
                <w:szCs w:val="14"/>
              </w:rPr>
              <w:t>(96)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47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7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47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474" w14:textId="77777777" w:rsidR="00E836FB" w:rsidRDefault="00994958">
            <w:pPr>
              <w:jc w:val="right"/>
              <w:textAlignment w:val="bottom"/>
            </w:pPr>
            <w:r>
              <w:rPr>
                <w:rFonts w:ascii="Arial" w:eastAsia="宋体" w:hAnsi="Arial" w:cs="Arial"/>
                <w:color w:val="000000"/>
                <w:sz w:val="14"/>
                <w:szCs w:val="14"/>
              </w:rPr>
              <w:t>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4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7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47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47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47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47A" w14:textId="77777777" w:rsidR="00E836FB" w:rsidRDefault="00994958">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47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7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47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47E" w14:textId="77777777" w:rsidR="00E836FB" w:rsidRDefault="00994958">
            <w:pPr>
              <w:jc w:val="right"/>
              <w:textAlignment w:val="bottom"/>
            </w:pPr>
            <w:r>
              <w:rPr>
                <w:rFonts w:ascii="Arial" w:eastAsia="宋体" w:hAnsi="Arial" w:cs="Arial"/>
                <w:color w:val="000000"/>
                <w:sz w:val="14"/>
                <w:szCs w:val="14"/>
              </w:rPr>
              <w:t>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4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480"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48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482" w14:textId="77777777" w:rsidR="00E836FB" w:rsidRDefault="00994958">
            <w:pPr>
              <w:jc w:val="right"/>
              <w:textAlignment w:val="bottom"/>
            </w:pPr>
            <w:r>
              <w:rPr>
                <w:rFonts w:ascii="Arial" w:eastAsia="宋体" w:hAnsi="Arial" w:cs="Arial"/>
                <w:color w:val="000000"/>
                <w:sz w:val="14"/>
                <w:szCs w:val="14"/>
              </w:rPr>
              <w:t>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483" w14:textId="77777777" w:rsidR="00E836FB" w:rsidRDefault="00E836FB">
            <w:pPr>
              <w:jc w:val="right"/>
              <w:rPr>
                <w:rFonts w:ascii="宋体"/>
              </w:rPr>
            </w:pPr>
          </w:p>
        </w:tc>
      </w:tr>
      <w:tr w:rsidR="00E836FB" w14:paraId="5F2D3493" w14:textId="77777777">
        <w:trPr>
          <w:hidden/>
        </w:trPr>
        <w:tc>
          <w:tcPr>
            <w:tcW w:w="0" w:type="auto"/>
            <w:gridSpan w:val="3"/>
            <w:shd w:val="clear" w:color="auto" w:fill="auto"/>
            <w:vAlign w:val="bottom"/>
          </w:tcPr>
          <w:p w14:paraId="5F2D3485" w14:textId="77777777" w:rsidR="00E836FB" w:rsidRDefault="00E836FB">
            <w:pPr>
              <w:rPr>
                <w:rFonts w:ascii="宋体"/>
                <w:vanish/>
              </w:rPr>
            </w:pPr>
          </w:p>
        </w:tc>
        <w:tc>
          <w:tcPr>
            <w:tcW w:w="0" w:type="auto"/>
            <w:gridSpan w:val="3"/>
            <w:shd w:val="clear" w:color="auto" w:fill="auto"/>
            <w:vAlign w:val="bottom"/>
          </w:tcPr>
          <w:p w14:paraId="5F2D3486" w14:textId="77777777" w:rsidR="00E836FB" w:rsidRDefault="00E836FB">
            <w:pPr>
              <w:rPr>
                <w:rFonts w:ascii="宋体"/>
                <w:vanish/>
              </w:rPr>
            </w:pPr>
          </w:p>
        </w:tc>
        <w:tc>
          <w:tcPr>
            <w:tcW w:w="0" w:type="auto"/>
            <w:gridSpan w:val="3"/>
            <w:shd w:val="clear" w:color="auto" w:fill="auto"/>
            <w:vAlign w:val="bottom"/>
          </w:tcPr>
          <w:p w14:paraId="5F2D3487" w14:textId="77777777" w:rsidR="00E836FB" w:rsidRDefault="00E836FB">
            <w:pPr>
              <w:rPr>
                <w:rFonts w:ascii="宋体"/>
                <w:vanish/>
              </w:rPr>
            </w:pPr>
          </w:p>
        </w:tc>
        <w:tc>
          <w:tcPr>
            <w:tcW w:w="0" w:type="auto"/>
            <w:gridSpan w:val="3"/>
            <w:shd w:val="clear" w:color="auto" w:fill="auto"/>
            <w:vAlign w:val="bottom"/>
          </w:tcPr>
          <w:p w14:paraId="5F2D3488" w14:textId="77777777" w:rsidR="00E836FB" w:rsidRDefault="00E836FB">
            <w:pPr>
              <w:rPr>
                <w:rFonts w:ascii="宋体"/>
                <w:vanish/>
              </w:rPr>
            </w:pPr>
          </w:p>
        </w:tc>
        <w:tc>
          <w:tcPr>
            <w:tcW w:w="0" w:type="auto"/>
            <w:gridSpan w:val="3"/>
            <w:shd w:val="clear" w:color="auto" w:fill="auto"/>
            <w:vAlign w:val="bottom"/>
          </w:tcPr>
          <w:p w14:paraId="5F2D3489" w14:textId="77777777" w:rsidR="00E836FB" w:rsidRDefault="00E836FB">
            <w:pPr>
              <w:rPr>
                <w:rFonts w:ascii="宋体"/>
                <w:vanish/>
              </w:rPr>
            </w:pPr>
          </w:p>
        </w:tc>
        <w:tc>
          <w:tcPr>
            <w:tcW w:w="0" w:type="auto"/>
            <w:gridSpan w:val="3"/>
            <w:shd w:val="clear" w:color="auto" w:fill="auto"/>
            <w:vAlign w:val="bottom"/>
          </w:tcPr>
          <w:p w14:paraId="5F2D348A" w14:textId="77777777" w:rsidR="00E836FB" w:rsidRDefault="00E836FB">
            <w:pPr>
              <w:rPr>
                <w:rFonts w:ascii="宋体"/>
                <w:vanish/>
              </w:rPr>
            </w:pPr>
          </w:p>
        </w:tc>
        <w:tc>
          <w:tcPr>
            <w:tcW w:w="0" w:type="auto"/>
            <w:gridSpan w:val="3"/>
            <w:shd w:val="clear" w:color="auto" w:fill="auto"/>
            <w:vAlign w:val="bottom"/>
          </w:tcPr>
          <w:p w14:paraId="5F2D348B" w14:textId="77777777" w:rsidR="00E836FB" w:rsidRDefault="00E836FB">
            <w:pPr>
              <w:rPr>
                <w:rFonts w:ascii="宋体"/>
                <w:vanish/>
              </w:rPr>
            </w:pPr>
          </w:p>
        </w:tc>
        <w:tc>
          <w:tcPr>
            <w:tcW w:w="0" w:type="auto"/>
            <w:gridSpan w:val="3"/>
            <w:shd w:val="clear" w:color="auto" w:fill="auto"/>
            <w:vAlign w:val="bottom"/>
          </w:tcPr>
          <w:p w14:paraId="5F2D348C" w14:textId="77777777" w:rsidR="00E836FB" w:rsidRDefault="00E836FB">
            <w:pPr>
              <w:rPr>
                <w:rFonts w:ascii="宋体"/>
                <w:vanish/>
              </w:rPr>
            </w:pPr>
          </w:p>
        </w:tc>
        <w:tc>
          <w:tcPr>
            <w:tcW w:w="0" w:type="auto"/>
            <w:gridSpan w:val="3"/>
            <w:shd w:val="clear" w:color="auto" w:fill="auto"/>
            <w:vAlign w:val="bottom"/>
          </w:tcPr>
          <w:p w14:paraId="5F2D348D" w14:textId="77777777" w:rsidR="00E836FB" w:rsidRDefault="00E836FB">
            <w:pPr>
              <w:rPr>
                <w:rFonts w:ascii="宋体"/>
                <w:vanish/>
              </w:rPr>
            </w:pPr>
          </w:p>
        </w:tc>
        <w:tc>
          <w:tcPr>
            <w:tcW w:w="0" w:type="auto"/>
            <w:gridSpan w:val="3"/>
            <w:shd w:val="clear" w:color="auto" w:fill="auto"/>
            <w:vAlign w:val="bottom"/>
          </w:tcPr>
          <w:p w14:paraId="5F2D348E" w14:textId="77777777" w:rsidR="00E836FB" w:rsidRDefault="00E836FB">
            <w:pPr>
              <w:rPr>
                <w:rFonts w:ascii="宋体"/>
                <w:vanish/>
              </w:rPr>
            </w:pPr>
          </w:p>
        </w:tc>
        <w:tc>
          <w:tcPr>
            <w:tcW w:w="0" w:type="auto"/>
            <w:gridSpan w:val="3"/>
            <w:shd w:val="clear" w:color="auto" w:fill="auto"/>
            <w:vAlign w:val="bottom"/>
          </w:tcPr>
          <w:p w14:paraId="5F2D348F" w14:textId="77777777" w:rsidR="00E836FB" w:rsidRDefault="00E836FB">
            <w:pPr>
              <w:rPr>
                <w:rFonts w:ascii="宋体"/>
                <w:vanish/>
              </w:rPr>
            </w:pPr>
          </w:p>
        </w:tc>
        <w:tc>
          <w:tcPr>
            <w:tcW w:w="0" w:type="auto"/>
            <w:gridSpan w:val="3"/>
            <w:shd w:val="clear" w:color="auto" w:fill="auto"/>
            <w:vAlign w:val="bottom"/>
          </w:tcPr>
          <w:p w14:paraId="5F2D3490" w14:textId="77777777" w:rsidR="00E836FB" w:rsidRDefault="00E836FB">
            <w:pPr>
              <w:rPr>
                <w:rFonts w:ascii="宋体"/>
                <w:vanish/>
              </w:rPr>
            </w:pPr>
          </w:p>
        </w:tc>
        <w:tc>
          <w:tcPr>
            <w:tcW w:w="0" w:type="auto"/>
            <w:gridSpan w:val="3"/>
            <w:shd w:val="clear" w:color="auto" w:fill="auto"/>
            <w:vAlign w:val="bottom"/>
          </w:tcPr>
          <w:p w14:paraId="5F2D3491" w14:textId="77777777" w:rsidR="00E836FB" w:rsidRDefault="00E836FB">
            <w:pPr>
              <w:rPr>
                <w:rFonts w:ascii="宋体"/>
                <w:vanish/>
              </w:rPr>
            </w:pPr>
          </w:p>
        </w:tc>
        <w:tc>
          <w:tcPr>
            <w:tcW w:w="0" w:type="auto"/>
            <w:gridSpan w:val="3"/>
            <w:shd w:val="clear" w:color="auto" w:fill="auto"/>
            <w:vAlign w:val="bottom"/>
          </w:tcPr>
          <w:p w14:paraId="5F2D3492" w14:textId="77777777" w:rsidR="00E836FB" w:rsidRDefault="00E836FB">
            <w:pPr>
              <w:rPr>
                <w:rFonts w:ascii="宋体"/>
                <w:vanish/>
              </w:rPr>
            </w:pPr>
          </w:p>
        </w:tc>
      </w:tr>
      <w:tr w:rsidR="00E836FB" w14:paraId="5F2D34AA" w14:textId="77777777">
        <w:trPr>
          <w:hidden/>
        </w:trPr>
        <w:tc>
          <w:tcPr>
            <w:tcW w:w="0" w:type="auto"/>
            <w:gridSpan w:val="3"/>
            <w:shd w:val="clear" w:color="auto" w:fill="auto"/>
            <w:vAlign w:val="bottom"/>
          </w:tcPr>
          <w:p w14:paraId="5F2D3494" w14:textId="77777777" w:rsidR="00E836FB" w:rsidRDefault="00E836FB">
            <w:pPr>
              <w:rPr>
                <w:rFonts w:ascii="宋体"/>
                <w:vanish/>
              </w:rPr>
            </w:pPr>
          </w:p>
        </w:tc>
        <w:tc>
          <w:tcPr>
            <w:tcW w:w="0" w:type="auto"/>
            <w:gridSpan w:val="3"/>
            <w:shd w:val="clear" w:color="auto" w:fill="auto"/>
            <w:vAlign w:val="bottom"/>
          </w:tcPr>
          <w:p w14:paraId="5F2D3495" w14:textId="77777777" w:rsidR="00E836FB" w:rsidRDefault="00E836FB">
            <w:pPr>
              <w:rPr>
                <w:rFonts w:ascii="宋体"/>
                <w:vanish/>
              </w:rPr>
            </w:pPr>
          </w:p>
        </w:tc>
        <w:tc>
          <w:tcPr>
            <w:tcW w:w="0" w:type="auto"/>
            <w:gridSpan w:val="3"/>
            <w:shd w:val="clear" w:color="auto" w:fill="auto"/>
            <w:vAlign w:val="bottom"/>
          </w:tcPr>
          <w:p w14:paraId="5F2D3496" w14:textId="77777777" w:rsidR="00E836FB" w:rsidRDefault="00E836FB">
            <w:pPr>
              <w:rPr>
                <w:rFonts w:ascii="宋体"/>
                <w:vanish/>
              </w:rPr>
            </w:pPr>
          </w:p>
        </w:tc>
        <w:tc>
          <w:tcPr>
            <w:tcW w:w="0" w:type="auto"/>
            <w:gridSpan w:val="3"/>
            <w:shd w:val="clear" w:color="auto" w:fill="auto"/>
            <w:vAlign w:val="bottom"/>
          </w:tcPr>
          <w:p w14:paraId="5F2D3497" w14:textId="77777777" w:rsidR="00E836FB" w:rsidRDefault="00E836FB">
            <w:pPr>
              <w:rPr>
                <w:rFonts w:ascii="宋体"/>
                <w:vanish/>
              </w:rPr>
            </w:pPr>
          </w:p>
        </w:tc>
        <w:tc>
          <w:tcPr>
            <w:tcW w:w="0" w:type="auto"/>
            <w:gridSpan w:val="3"/>
            <w:shd w:val="clear" w:color="auto" w:fill="auto"/>
            <w:vAlign w:val="bottom"/>
          </w:tcPr>
          <w:p w14:paraId="5F2D3498" w14:textId="77777777" w:rsidR="00E836FB" w:rsidRDefault="00E836FB">
            <w:pPr>
              <w:rPr>
                <w:rFonts w:ascii="宋体"/>
                <w:vanish/>
              </w:rPr>
            </w:pPr>
          </w:p>
        </w:tc>
        <w:tc>
          <w:tcPr>
            <w:tcW w:w="0" w:type="auto"/>
            <w:gridSpan w:val="3"/>
            <w:shd w:val="clear" w:color="auto" w:fill="auto"/>
            <w:vAlign w:val="bottom"/>
          </w:tcPr>
          <w:p w14:paraId="5F2D3499" w14:textId="77777777" w:rsidR="00E836FB" w:rsidRDefault="00E836FB">
            <w:pPr>
              <w:rPr>
                <w:rFonts w:ascii="宋体"/>
                <w:vanish/>
              </w:rPr>
            </w:pPr>
          </w:p>
        </w:tc>
        <w:tc>
          <w:tcPr>
            <w:tcW w:w="0" w:type="auto"/>
            <w:gridSpan w:val="3"/>
            <w:shd w:val="clear" w:color="auto" w:fill="auto"/>
            <w:vAlign w:val="bottom"/>
          </w:tcPr>
          <w:p w14:paraId="5F2D349A" w14:textId="77777777" w:rsidR="00E836FB" w:rsidRDefault="00E836FB">
            <w:pPr>
              <w:rPr>
                <w:rFonts w:ascii="宋体"/>
                <w:vanish/>
              </w:rPr>
            </w:pPr>
          </w:p>
        </w:tc>
        <w:tc>
          <w:tcPr>
            <w:tcW w:w="0" w:type="auto"/>
            <w:gridSpan w:val="3"/>
            <w:shd w:val="clear" w:color="auto" w:fill="auto"/>
            <w:vAlign w:val="bottom"/>
          </w:tcPr>
          <w:p w14:paraId="5F2D349B" w14:textId="77777777" w:rsidR="00E836FB" w:rsidRDefault="00E836FB">
            <w:pPr>
              <w:rPr>
                <w:rFonts w:ascii="宋体"/>
                <w:vanish/>
              </w:rPr>
            </w:pPr>
          </w:p>
        </w:tc>
        <w:tc>
          <w:tcPr>
            <w:tcW w:w="0" w:type="auto"/>
            <w:gridSpan w:val="3"/>
            <w:shd w:val="clear" w:color="auto" w:fill="auto"/>
            <w:vAlign w:val="bottom"/>
          </w:tcPr>
          <w:p w14:paraId="5F2D349C" w14:textId="77777777" w:rsidR="00E836FB" w:rsidRDefault="00E836FB">
            <w:pPr>
              <w:rPr>
                <w:rFonts w:ascii="宋体"/>
                <w:vanish/>
              </w:rPr>
            </w:pPr>
          </w:p>
        </w:tc>
        <w:tc>
          <w:tcPr>
            <w:tcW w:w="0" w:type="auto"/>
            <w:gridSpan w:val="3"/>
            <w:shd w:val="clear" w:color="auto" w:fill="auto"/>
            <w:vAlign w:val="bottom"/>
          </w:tcPr>
          <w:p w14:paraId="5F2D349D" w14:textId="77777777" w:rsidR="00E836FB" w:rsidRDefault="00E836FB">
            <w:pPr>
              <w:rPr>
                <w:rFonts w:ascii="宋体"/>
                <w:vanish/>
              </w:rPr>
            </w:pPr>
          </w:p>
        </w:tc>
        <w:tc>
          <w:tcPr>
            <w:tcW w:w="0" w:type="auto"/>
            <w:shd w:val="clear" w:color="auto" w:fill="auto"/>
            <w:vAlign w:val="bottom"/>
          </w:tcPr>
          <w:p w14:paraId="5F2D349E" w14:textId="77777777" w:rsidR="00E836FB" w:rsidRDefault="00E836FB">
            <w:pPr>
              <w:rPr>
                <w:rFonts w:ascii="宋体"/>
              </w:rPr>
            </w:pPr>
          </w:p>
        </w:tc>
        <w:tc>
          <w:tcPr>
            <w:tcW w:w="0" w:type="auto"/>
            <w:shd w:val="clear" w:color="auto" w:fill="auto"/>
            <w:vAlign w:val="bottom"/>
          </w:tcPr>
          <w:p w14:paraId="5F2D349F" w14:textId="77777777" w:rsidR="00E836FB" w:rsidRDefault="00E836FB">
            <w:pPr>
              <w:rPr>
                <w:rFonts w:ascii="宋体"/>
              </w:rPr>
            </w:pPr>
          </w:p>
        </w:tc>
        <w:tc>
          <w:tcPr>
            <w:tcW w:w="0" w:type="auto"/>
            <w:shd w:val="clear" w:color="auto" w:fill="auto"/>
            <w:vAlign w:val="bottom"/>
          </w:tcPr>
          <w:p w14:paraId="5F2D34A0" w14:textId="77777777" w:rsidR="00E836FB" w:rsidRDefault="00E836FB">
            <w:pPr>
              <w:rPr>
                <w:rFonts w:ascii="宋体"/>
              </w:rPr>
            </w:pPr>
          </w:p>
        </w:tc>
        <w:tc>
          <w:tcPr>
            <w:tcW w:w="0" w:type="auto"/>
            <w:shd w:val="clear" w:color="auto" w:fill="auto"/>
            <w:vAlign w:val="bottom"/>
          </w:tcPr>
          <w:p w14:paraId="5F2D34A1" w14:textId="77777777" w:rsidR="00E836FB" w:rsidRDefault="00E836FB">
            <w:pPr>
              <w:rPr>
                <w:rFonts w:ascii="宋体"/>
              </w:rPr>
            </w:pPr>
          </w:p>
        </w:tc>
        <w:tc>
          <w:tcPr>
            <w:tcW w:w="0" w:type="auto"/>
            <w:shd w:val="clear" w:color="auto" w:fill="auto"/>
            <w:vAlign w:val="bottom"/>
          </w:tcPr>
          <w:p w14:paraId="5F2D34A2" w14:textId="77777777" w:rsidR="00E836FB" w:rsidRDefault="00E836FB">
            <w:pPr>
              <w:rPr>
                <w:rFonts w:ascii="宋体"/>
              </w:rPr>
            </w:pPr>
          </w:p>
        </w:tc>
        <w:tc>
          <w:tcPr>
            <w:tcW w:w="0" w:type="auto"/>
            <w:shd w:val="clear" w:color="auto" w:fill="auto"/>
            <w:vAlign w:val="bottom"/>
          </w:tcPr>
          <w:p w14:paraId="5F2D34A3" w14:textId="77777777" w:rsidR="00E836FB" w:rsidRDefault="00E836FB">
            <w:pPr>
              <w:rPr>
                <w:rFonts w:ascii="宋体"/>
              </w:rPr>
            </w:pPr>
          </w:p>
        </w:tc>
        <w:tc>
          <w:tcPr>
            <w:tcW w:w="0" w:type="auto"/>
            <w:shd w:val="clear" w:color="auto" w:fill="auto"/>
            <w:vAlign w:val="bottom"/>
          </w:tcPr>
          <w:p w14:paraId="5F2D34A4" w14:textId="77777777" w:rsidR="00E836FB" w:rsidRDefault="00E836FB">
            <w:pPr>
              <w:rPr>
                <w:rFonts w:ascii="宋体"/>
              </w:rPr>
            </w:pPr>
          </w:p>
        </w:tc>
        <w:tc>
          <w:tcPr>
            <w:tcW w:w="0" w:type="auto"/>
            <w:shd w:val="clear" w:color="auto" w:fill="auto"/>
            <w:vAlign w:val="bottom"/>
          </w:tcPr>
          <w:p w14:paraId="5F2D34A5" w14:textId="77777777" w:rsidR="00E836FB" w:rsidRDefault="00E836FB">
            <w:pPr>
              <w:rPr>
                <w:rFonts w:ascii="宋体"/>
              </w:rPr>
            </w:pPr>
          </w:p>
        </w:tc>
        <w:tc>
          <w:tcPr>
            <w:tcW w:w="0" w:type="auto"/>
            <w:shd w:val="clear" w:color="auto" w:fill="auto"/>
            <w:vAlign w:val="bottom"/>
          </w:tcPr>
          <w:p w14:paraId="5F2D34A6" w14:textId="77777777" w:rsidR="00E836FB" w:rsidRDefault="00E836FB">
            <w:pPr>
              <w:rPr>
                <w:rFonts w:ascii="宋体"/>
              </w:rPr>
            </w:pPr>
          </w:p>
        </w:tc>
        <w:tc>
          <w:tcPr>
            <w:tcW w:w="0" w:type="auto"/>
            <w:shd w:val="clear" w:color="auto" w:fill="auto"/>
            <w:vAlign w:val="bottom"/>
          </w:tcPr>
          <w:p w14:paraId="5F2D34A7" w14:textId="77777777" w:rsidR="00E836FB" w:rsidRDefault="00E836FB">
            <w:pPr>
              <w:rPr>
                <w:rFonts w:ascii="宋体"/>
              </w:rPr>
            </w:pPr>
          </w:p>
        </w:tc>
        <w:tc>
          <w:tcPr>
            <w:tcW w:w="0" w:type="auto"/>
            <w:shd w:val="clear" w:color="auto" w:fill="auto"/>
            <w:vAlign w:val="bottom"/>
          </w:tcPr>
          <w:p w14:paraId="5F2D34A8" w14:textId="77777777" w:rsidR="00E836FB" w:rsidRDefault="00E836FB">
            <w:pPr>
              <w:rPr>
                <w:rFonts w:ascii="宋体"/>
              </w:rPr>
            </w:pPr>
          </w:p>
        </w:tc>
        <w:tc>
          <w:tcPr>
            <w:tcW w:w="0" w:type="auto"/>
            <w:shd w:val="clear" w:color="auto" w:fill="auto"/>
            <w:vAlign w:val="bottom"/>
          </w:tcPr>
          <w:p w14:paraId="5F2D34A9" w14:textId="77777777" w:rsidR="00E836FB" w:rsidRDefault="00E836FB">
            <w:pPr>
              <w:rPr>
                <w:rFonts w:ascii="宋体"/>
              </w:rPr>
            </w:pPr>
          </w:p>
        </w:tc>
      </w:tr>
      <w:tr w:rsidR="00E836FB" w14:paraId="5F2D34B9" w14:textId="77777777">
        <w:trPr>
          <w:hidden/>
        </w:trPr>
        <w:tc>
          <w:tcPr>
            <w:tcW w:w="0" w:type="auto"/>
            <w:gridSpan w:val="3"/>
            <w:shd w:val="clear" w:color="auto" w:fill="auto"/>
            <w:vAlign w:val="bottom"/>
          </w:tcPr>
          <w:p w14:paraId="5F2D34AB" w14:textId="77777777" w:rsidR="00E836FB" w:rsidRDefault="00E836FB">
            <w:pPr>
              <w:rPr>
                <w:rFonts w:ascii="宋体"/>
                <w:vanish/>
              </w:rPr>
            </w:pPr>
          </w:p>
        </w:tc>
        <w:tc>
          <w:tcPr>
            <w:tcW w:w="0" w:type="auto"/>
            <w:gridSpan w:val="3"/>
            <w:shd w:val="clear" w:color="auto" w:fill="auto"/>
            <w:vAlign w:val="bottom"/>
          </w:tcPr>
          <w:p w14:paraId="5F2D34AC" w14:textId="77777777" w:rsidR="00E836FB" w:rsidRDefault="00E836FB">
            <w:pPr>
              <w:rPr>
                <w:rFonts w:ascii="宋体"/>
                <w:vanish/>
              </w:rPr>
            </w:pPr>
          </w:p>
        </w:tc>
        <w:tc>
          <w:tcPr>
            <w:tcW w:w="0" w:type="auto"/>
            <w:gridSpan w:val="3"/>
            <w:shd w:val="clear" w:color="auto" w:fill="auto"/>
            <w:vAlign w:val="bottom"/>
          </w:tcPr>
          <w:p w14:paraId="5F2D34AD" w14:textId="77777777" w:rsidR="00E836FB" w:rsidRDefault="00E836FB">
            <w:pPr>
              <w:rPr>
                <w:rFonts w:ascii="宋体"/>
                <w:vanish/>
              </w:rPr>
            </w:pPr>
          </w:p>
        </w:tc>
        <w:tc>
          <w:tcPr>
            <w:tcW w:w="0" w:type="auto"/>
            <w:gridSpan w:val="3"/>
            <w:shd w:val="clear" w:color="auto" w:fill="auto"/>
            <w:vAlign w:val="bottom"/>
          </w:tcPr>
          <w:p w14:paraId="5F2D34AE" w14:textId="77777777" w:rsidR="00E836FB" w:rsidRDefault="00E836FB">
            <w:pPr>
              <w:rPr>
                <w:rFonts w:ascii="宋体"/>
                <w:vanish/>
              </w:rPr>
            </w:pPr>
          </w:p>
        </w:tc>
        <w:tc>
          <w:tcPr>
            <w:tcW w:w="0" w:type="auto"/>
            <w:gridSpan w:val="3"/>
            <w:shd w:val="clear" w:color="auto" w:fill="auto"/>
            <w:vAlign w:val="bottom"/>
          </w:tcPr>
          <w:p w14:paraId="5F2D34AF" w14:textId="77777777" w:rsidR="00E836FB" w:rsidRDefault="00E836FB">
            <w:pPr>
              <w:rPr>
                <w:rFonts w:ascii="宋体"/>
                <w:vanish/>
              </w:rPr>
            </w:pPr>
          </w:p>
        </w:tc>
        <w:tc>
          <w:tcPr>
            <w:tcW w:w="0" w:type="auto"/>
            <w:gridSpan w:val="3"/>
            <w:shd w:val="clear" w:color="auto" w:fill="auto"/>
            <w:vAlign w:val="bottom"/>
          </w:tcPr>
          <w:p w14:paraId="5F2D34B0" w14:textId="77777777" w:rsidR="00E836FB" w:rsidRDefault="00E836FB">
            <w:pPr>
              <w:rPr>
                <w:rFonts w:ascii="宋体"/>
                <w:vanish/>
              </w:rPr>
            </w:pPr>
          </w:p>
        </w:tc>
        <w:tc>
          <w:tcPr>
            <w:tcW w:w="0" w:type="auto"/>
            <w:gridSpan w:val="3"/>
            <w:shd w:val="clear" w:color="auto" w:fill="auto"/>
            <w:vAlign w:val="bottom"/>
          </w:tcPr>
          <w:p w14:paraId="5F2D34B1" w14:textId="77777777" w:rsidR="00E836FB" w:rsidRDefault="00E836FB">
            <w:pPr>
              <w:rPr>
                <w:rFonts w:ascii="宋体"/>
                <w:vanish/>
              </w:rPr>
            </w:pPr>
          </w:p>
        </w:tc>
        <w:tc>
          <w:tcPr>
            <w:tcW w:w="0" w:type="auto"/>
            <w:gridSpan w:val="3"/>
            <w:shd w:val="clear" w:color="auto" w:fill="auto"/>
            <w:vAlign w:val="bottom"/>
          </w:tcPr>
          <w:p w14:paraId="5F2D34B2" w14:textId="77777777" w:rsidR="00E836FB" w:rsidRDefault="00E836FB">
            <w:pPr>
              <w:rPr>
                <w:rFonts w:ascii="宋体"/>
                <w:vanish/>
              </w:rPr>
            </w:pPr>
          </w:p>
        </w:tc>
        <w:tc>
          <w:tcPr>
            <w:tcW w:w="0" w:type="auto"/>
            <w:gridSpan w:val="3"/>
            <w:shd w:val="clear" w:color="auto" w:fill="auto"/>
            <w:vAlign w:val="bottom"/>
          </w:tcPr>
          <w:p w14:paraId="5F2D34B3" w14:textId="77777777" w:rsidR="00E836FB" w:rsidRDefault="00E836FB">
            <w:pPr>
              <w:rPr>
                <w:rFonts w:ascii="宋体"/>
                <w:vanish/>
              </w:rPr>
            </w:pPr>
          </w:p>
        </w:tc>
        <w:tc>
          <w:tcPr>
            <w:tcW w:w="0" w:type="auto"/>
            <w:gridSpan w:val="3"/>
            <w:shd w:val="clear" w:color="auto" w:fill="auto"/>
            <w:vAlign w:val="bottom"/>
          </w:tcPr>
          <w:p w14:paraId="5F2D34B4" w14:textId="77777777" w:rsidR="00E836FB" w:rsidRDefault="00E836FB">
            <w:pPr>
              <w:rPr>
                <w:rFonts w:ascii="宋体"/>
                <w:vanish/>
              </w:rPr>
            </w:pPr>
          </w:p>
        </w:tc>
        <w:tc>
          <w:tcPr>
            <w:tcW w:w="0" w:type="auto"/>
            <w:gridSpan w:val="3"/>
            <w:shd w:val="clear" w:color="auto" w:fill="auto"/>
            <w:vAlign w:val="bottom"/>
          </w:tcPr>
          <w:p w14:paraId="5F2D34B5" w14:textId="77777777" w:rsidR="00E836FB" w:rsidRDefault="00E836FB">
            <w:pPr>
              <w:rPr>
                <w:rFonts w:ascii="宋体"/>
                <w:vanish/>
              </w:rPr>
            </w:pPr>
          </w:p>
        </w:tc>
        <w:tc>
          <w:tcPr>
            <w:tcW w:w="0" w:type="auto"/>
            <w:gridSpan w:val="3"/>
            <w:shd w:val="clear" w:color="auto" w:fill="auto"/>
            <w:vAlign w:val="bottom"/>
          </w:tcPr>
          <w:p w14:paraId="5F2D34B6" w14:textId="77777777" w:rsidR="00E836FB" w:rsidRDefault="00E836FB">
            <w:pPr>
              <w:rPr>
                <w:rFonts w:ascii="宋体"/>
                <w:vanish/>
              </w:rPr>
            </w:pPr>
          </w:p>
        </w:tc>
        <w:tc>
          <w:tcPr>
            <w:tcW w:w="0" w:type="auto"/>
            <w:gridSpan w:val="3"/>
            <w:shd w:val="clear" w:color="auto" w:fill="auto"/>
            <w:vAlign w:val="bottom"/>
          </w:tcPr>
          <w:p w14:paraId="5F2D34B7" w14:textId="77777777" w:rsidR="00E836FB" w:rsidRDefault="00E836FB">
            <w:pPr>
              <w:rPr>
                <w:rFonts w:ascii="宋体"/>
                <w:vanish/>
              </w:rPr>
            </w:pPr>
          </w:p>
        </w:tc>
        <w:tc>
          <w:tcPr>
            <w:tcW w:w="0" w:type="auto"/>
            <w:gridSpan w:val="3"/>
            <w:shd w:val="clear" w:color="auto" w:fill="auto"/>
            <w:vAlign w:val="bottom"/>
          </w:tcPr>
          <w:p w14:paraId="5F2D34B8" w14:textId="77777777" w:rsidR="00E836FB" w:rsidRDefault="00E836FB">
            <w:pPr>
              <w:rPr>
                <w:rFonts w:ascii="宋体"/>
                <w:vanish/>
              </w:rPr>
            </w:pPr>
          </w:p>
        </w:tc>
      </w:tr>
      <w:tr w:rsidR="00E836FB" w14:paraId="5F2D34D0" w14:textId="77777777">
        <w:trPr>
          <w:hidden/>
        </w:trPr>
        <w:tc>
          <w:tcPr>
            <w:tcW w:w="0" w:type="auto"/>
            <w:gridSpan w:val="3"/>
            <w:shd w:val="clear" w:color="auto" w:fill="auto"/>
            <w:vAlign w:val="bottom"/>
          </w:tcPr>
          <w:p w14:paraId="5F2D34BA" w14:textId="77777777" w:rsidR="00E836FB" w:rsidRDefault="00E836FB">
            <w:pPr>
              <w:rPr>
                <w:rFonts w:ascii="宋体"/>
                <w:vanish/>
              </w:rPr>
            </w:pPr>
          </w:p>
        </w:tc>
        <w:tc>
          <w:tcPr>
            <w:tcW w:w="0" w:type="auto"/>
            <w:gridSpan w:val="3"/>
            <w:shd w:val="clear" w:color="auto" w:fill="auto"/>
            <w:vAlign w:val="bottom"/>
          </w:tcPr>
          <w:p w14:paraId="5F2D34BB" w14:textId="77777777" w:rsidR="00E836FB" w:rsidRDefault="00E836FB">
            <w:pPr>
              <w:rPr>
                <w:rFonts w:ascii="宋体"/>
                <w:vanish/>
              </w:rPr>
            </w:pPr>
          </w:p>
        </w:tc>
        <w:tc>
          <w:tcPr>
            <w:tcW w:w="0" w:type="auto"/>
            <w:gridSpan w:val="3"/>
            <w:shd w:val="clear" w:color="auto" w:fill="auto"/>
            <w:vAlign w:val="bottom"/>
          </w:tcPr>
          <w:p w14:paraId="5F2D34BC" w14:textId="77777777" w:rsidR="00E836FB" w:rsidRDefault="00E836FB">
            <w:pPr>
              <w:rPr>
                <w:rFonts w:ascii="宋体"/>
                <w:vanish/>
              </w:rPr>
            </w:pPr>
          </w:p>
        </w:tc>
        <w:tc>
          <w:tcPr>
            <w:tcW w:w="0" w:type="auto"/>
            <w:gridSpan w:val="3"/>
            <w:shd w:val="clear" w:color="auto" w:fill="auto"/>
            <w:vAlign w:val="bottom"/>
          </w:tcPr>
          <w:p w14:paraId="5F2D34BD" w14:textId="77777777" w:rsidR="00E836FB" w:rsidRDefault="00E836FB">
            <w:pPr>
              <w:rPr>
                <w:rFonts w:ascii="宋体"/>
                <w:vanish/>
              </w:rPr>
            </w:pPr>
          </w:p>
        </w:tc>
        <w:tc>
          <w:tcPr>
            <w:tcW w:w="0" w:type="auto"/>
            <w:gridSpan w:val="3"/>
            <w:shd w:val="clear" w:color="auto" w:fill="auto"/>
            <w:vAlign w:val="bottom"/>
          </w:tcPr>
          <w:p w14:paraId="5F2D34BE" w14:textId="77777777" w:rsidR="00E836FB" w:rsidRDefault="00E836FB">
            <w:pPr>
              <w:rPr>
                <w:rFonts w:ascii="宋体"/>
                <w:vanish/>
              </w:rPr>
            </w:pPr>
          </w:p>
        </w:tc>
        <w:tc>
          <w:tcPr>
            <w:tcW w:w="0" w:type="auto"/>
            <w:gridSpan w:val="3"/>
            <w:shd w:val="clear" w:color="auto" w:fill="auto"/>
            <w:vAlign w:val="bottom"/>
          </w:tcPr>
          <w:p w14:paraId="5F2D34BF" w14:textId="77777777" w:rsidR="00E836FB" w:rsidRDefault="00E836FB">
            <w:pPr>
              <w:rPr>
                <w:rFonts w:ascii="宋体"/>
                <w:vanish/>
              </w:rPr>
            </w:pPr>
          </w:p>
        </w:tc>
        <w:tc>
          <w:tcPr>
            <w:tcW w:w="0" w:type="auto"/>
            <w:gridSpan w:val="3"/>
            <w:shd w:val="clear" w:color="auto" w:fill="auto"/>
            <w:vAlign w:val="bottom"/>
          </w:tcPr>
          <w:p w14:paraId="5F2D34C0" w14:textId="77777777" w:rsidR="00E836FB" w:rsidRDefault="00E836FB">
            <w:pPr>
              <w:rPr>
                <w:rFonts w:ascii="宋体"/>
                <w:vanish/>
              </w:rPr>
            </w:pPr>
          </w:p>
        </w:tc>
        <w:tc>
          <w:tcPr>
            <w:tcW w:w="0" w:type="auto"/>
            <w:gridSpan w:val="3"/>
            <w:shd w:val="clear" w:color="auto" w:fill="auto"/>
            <w:vAlign w:val="bottom"/>
          </w:tcPr>
          <w:p w14:paraId="5F2D34C1" w14:textId="77777777" w:rsidR="00E836FB" w:rsidRDefault="00E836FB">
            <w:pPr>
              <w:rPr>
                <w:rFonts w:ascii="宋体"/>
                <w:vanish/>
              </w:rPr>
            </w:pPr>
          </w:p>
        </w:tc>
        <w:tc>
          <w:tcPr>
            <w:tcW w:w="0" w:type="auto"/>
            <w:gridSpan w:val="3"/>
            <w:shd w:val="clear" w:color="auto" w:fill="auto"/>
            <w:vAlign w:val="bottom"/>
          </w:tcPr>
          <w:p w14:paraId="5F2D34C2" w14:textId="77777777" w:rsidR="00E836FB" w:rsidRDefault="00E836FB">
            <w:pPr>
              <w:rPr>
                <w:rFonts w:ascii="宋体"/>
                <w:vanish/>
              </w:rPr>
            </w:pPr>
          </w:p>
        </w:tc>
        <w:tc>
          <w:tcPr>
            <w:tcW w:w="0" w:type="auto"/>
            <w:gridSpan w:val="3"/>
            <w:shd w:val="clear" w:color="auto" w:fill="auto"/>
            <w:vAlign w:val="bottom"/>
          </w:tcPr>
          <w:p w14:paraId="5F2D34C3" w14:textId="77777777" w:rsidR="00E836FB" w:rsidRDefault="00E836FB">
            <w:pPr>
              <w:rPr>
                <w:rFonts w:ascii="宋体"/>
                <w:vanish/>
              </w:rPr>
            </w:pPr>
          </w:p>
        </w:tc>
        <w:tc>
          <w:tcPr>
            <w:tcW w:w="0" w:type="auto"/>
            <w:shd w:val="clear" w:color="auto" w:fill="auto"/>
            <w:vAlign w:val="bottom"/>
          </w:tcPr>
          <w:p w14:paraId="5F2D34C4" w14:textId="77777777" w:rsidR="00E836FB" w:rsidRDefault="00E836FB">
            <w:pPr>
              <w:rPr>
                <w:rFonts w:ascii="宋体"/>
              </w:rPr>
            </w:pPr>
          </w:p>
        </w:tc>
        <w:tc>
          <w:tcPr>
            <w:tcW w:w="0" w:type="auto"/>
            <w:shd w:val="clear" w:color="auto" w:fill="auto"/>
            <w:vAlign w:val="bottom"/>
          </w:tcPr>
          <w:p w14:paraId="5F2D34C5" w14:textId="77777777" w:rsidR="00E836FB" w:rsidRDefault="00E836FB">
            <w:pPr>
              <w:rPr>
                <w:rFonts w:ascii="宋体"/>
              </w:rPr>
            </w:pPr>
          </w:p>
        </w:tc>
        <w:tc>
          <w:tcPr>
            <w:tcW w:w="0" w:type="auto"/>
            <w:shd w:val="clear" w:color="auto" w:fill="auto"/>
            <w:vAlign w:val="bottom"/>
          </w:tcPr>
          <w:p w14:paraId="5F2D34C6" w14:textId="77777777" w:rsidR="00E836FB" w:rsidRDefault="00E836FB">
            <w:pPr>
              <w:rPr>
                <w:rFonts w:ascii="宋体"/>
              </w:rPr>
            </w:pPr>
          </w:p>
        </w:tc>
        <w:tc>
          <w:tcPr>
            <w:tcW w:w="0" w:type="auto"/>
            <w:shd w:val="clear" w:color="auto" w:fill="auto"/>
            <w:vAlign w:val="bottom"/>
          </w:tcPr>
          <w:p w14:paraId="5F2D34C7" w14:textId="77777777" w:rsidR="00E836FB" w:rsidRDefault="00E836FB">
            <w:pPr>
              <w:rPr>
                <w:rFonts w:ascii="宋体"/>
              </w:rPr>
            </w:pPr>
          </w:p>
        </w:tc>
        <w:tc>
          <w:tcPr>
            <w:tcW w:w="0" w:type="auto"/>
            <w:shd w:val="clear" w:color="auto" w:fill="auto"/>
            <w:vAlign w:val="bottom"/>
          </w:tcPr>
          <w:p w14:paraId="5F2D34C8" w14:textId="77777777" w:rsidR="00E836FB" w:rsidRDefault="00E836FB">
            <w:pPr>
              <w:rPr>
                <w:rFonts w:ascii="宋体"/>
              </w:rPr>
            </w:pPr>
          </w:p>
        </w:tc>
        <w:tc>
          <w:tcPr>
            <w:tcW w:w="0" w:type="auto"/>
            <w:shd w:val="clear" w:color="auto" w:fill="auto"/>
            <w:vAlign w:val="bottom"/>
          </w:tcPr>
          <w:p w14:paraId="5F2D34C9" w14:textId="77777777" w:rsidR="00E836FB" w:rsidRDefault="00E836FB">
            <w:pPr>
              <w:rPr>
                <w:rFonts w:ascii="宋体"/>
              </w:rPr>
            </w:pPr>
          </w:p>
        </w:tc>
        <w:tc>
          <w:tcPr>
            <w:tcW w:w="0" w:type="auto"/>
            <w:shd w:val="clear" w:color="auto" w:fill="auto"/>
            <w:vAlign w:val="bottom"/>
          </w:tcPr>
          <w:p w14:paraId="5F2D34CA" w14:textId="77777777" w:rsidR="00E836FB" w:rsidRDefault="00E836FB">
            <w:pPr>
              <w:rPr>
                <w:rFonts w:ascii="宋体"/>
              </w:rPr>
            </w:pPr>
          </w:p>
        </w:tc>
        <w:tc>
          <w:tcPr>
            <w:tcW w:w="0" w:type="auto"/>
            <w:shd w:val="clear" w:color="auto" w:fill="auto"/>
            <w:vAlign w:val="bottom"/>
          </w:tcPr>
          <w:p w14:paraId="5F2D34CB" w14:textId="77777777" w:rsidR="00E836FB" w:rsidRDefault="00E836FB">
            <w:pPr>
              <w:rPr>
                <w:rFonts w:ascii="宋体"/>
              </w:rPr>
            </w:pPr>
          </w:p>
        </w:tc>
        <w:tc>
          <w:tcPr>
            <w:tcW w:w="0" w:type="auto"/>
            <w:shd w:val="clear" w:color="auto" w:fill="auto"/>
            <w:vAlign w:val="bottom"/>
          </w:tcPr>
          <w:p w14:paraId="5F2D34CC" w14:textId="77777777" w:rsidR="00E836FB" w:rsidRDefault="00E836FB">
            <w:pPr>
              <w:rPr>
                <w:rFonts w:ascii="宋体"/>
              </w:rPr>
            </w:pPr>
          </w:p>
        </w:tc>
        <w:tc>
          <w:tcPr>
            <w:tcW w:w="0" w:type="auto"/>
            <w:shd w:val="clear" w:color="auto" w:fill="auto"/>
            <w:vAlign w:val="bottom"/>
          </w:tcPr>
          <w:p w14:paraId="5F2D34CD" w14:textId="77777777" w:rsidR="00E836FB" w:rsidRDefault="00E836FB">
            <w:pPr>
              <w:rPr>
                <w:rFonts w:ascii="宋体"/>
              </w:rPr>
            </w:pPr>
          </w:p>
        </w:tc>
        <w:tc>
          <w:tcPr>
            <w:tcW w:w="0" w:type="auto"/>
            <w:shd w:val="clear" w:color="auto" w:fill="auto"/>
            <w:vAlign w:val="bottom"/>
          </w:tcPr>
          <w:p w14:paraId="5F2D34CE" w14:textId="77777777" w:rsidR="00E836FB" w:rsidRDefault="00E836FB">
            <w:pPr>
              <w:rPr>
                <w:rFonts w:ascii="宋体"/>
              </w:rPr>
            </w:pPr>
          </w:p>
        </w:tc>
        <w:tc>
          <w:tcPr>
            <w:tcW w:w="0" w:type="auto"/>
            <w:shd w:val="clear" w:color="auto" w:fill="auto"/>
            <w:vAlign w:val="bottom"/>
          </w:tcPr>
          <w:p w14:paraId="5F2D34CF" w14:textId="77777777" w:rsidR="00E836FB" w:rsidRDefault="00E836FB">
            <w:pPr>
              <w:rPr>
                <w:rFonts w:ascii="宋体"/>
              </w:rPr>
            </w:pPr>
          </w:p>
        </w:tc>
      </w:tr>
      <w:tr w:rsidR="00E836FB" w14:paraId="5F2D34DF" w14:textId="77777777">
        <w:trPr>
          <w:hidden/>
        </w:trPr>
        <w:tc>
          <w:tcPr>
            <w:tcW w:w="0" w:type="auto"/>
            <w:gridSpan w:val="3"/>
            <w:shd w:val="clear" w:color="auto" w:fill="auto"/>
            <w:vAlign w:val="bottom"/>
          </w:tcPr>
          <w:p w14:paraId="5F2D34D1" w14:textId="77777777" w:rsidR="00E836FB" w:rsidRDefault="00E836FB">
            <w:pPr>
              <w:rPr>
                <w:rFonts w:ascii="宋体"/>
                <w:vanish/>
              </w:rPr>
            </w:pPr>
          </w:p>
        </w:tc>
        <w:tc>
          <w:tcPr>
            <w:tcW w:w="0" w:type="auto"/>
            <w:gridSpan w:val="3"/>
            <w:shd w:val="clear" w:color="auto" w:fill="auto"/>
            <w:vAlign w:val="bottom"/>
          </w:tcPr>
          <w:p w14:paraId="5F2D34D2" w14:textId="77777777" w:rsidR="00E836FB" w:rsidRDefault="00E836FB">
            <w:pPr>
              <w:rPr>
                <w:rFonts w:ascii="宋体"/>
                <w:vanish/>
              </w:rPr>
            </w:pPr>
          </w:p>
        </w:tc>
        <w:tc>
          <w:tcPr>
            <w:tcW w:w="0" w:type="auto"/>
            <w:gridSpan w:val="3"/>
            <w:shd w:val="clear" w:color="auto" w:fill="auto"/>
            <w:vAlign w:val="bottom"/>
          </w:tcPr>
          <w:p w14:paraId="5F2D34D3" w14:textId="77777777" w:rsidR="00E836FB" w:rsidRDefault="00E836FB">
            <w:pPr>
              <w:rPr>
                <w:rFonts w:ascii="宋体"/>
                <w:vanish/>
              </w:rPr>
            </w:pPr>
          </w:p>
        </w:tc>
        <w:tc>
          <w:tcPr>
            <w:tcW w:w="0" w:type="auto"/>
            <w:gridSpan w:val="3"/>
            <w:shd w:val="clear" w:color="auto" w:fill="auto"/>
            <w:vAlign w:val="bottom"/>
          </w:tcPr>
          <w:p w14:paraId="5F2D34D4" w14:textId="77777777" w:rsidR="00E836FB" w:rsidRDefault="00E836FB">
            <w:pPr>
              <w:rPr>
                <w:rFonts w:ascii="宋体"/>
                <w:vanish/>
              </w:rPr>
            </w:pPr>
          </w:p>
        </w:tc>
        <w:tc>
          <w:tcPr>
            <w:tcW w:w="0" w:type="auto"/>
            <w:gridSpan w:val="3"/>
            <w:shd w:val="clear" w:color="auto" w:fill="auto"/>
            <w:vAlign w:val="bottom"/>
          </w:tcPr>
          <w:p w14:paraId="5F2D34D5" w14:textId="77777777" w:rsidR="00E836FB" w:rsidRDefault="00E836FB">
            <w:pPr>
              <w:rPr>
                <w:rFonts w:ascii="宋体"/>
                <w:vanish/>
              </w:rPr>
            </w:pPr>
          </w:p>
        </w:tc>
        <w:tc>
          <w:tcPr>
            <w:tcW w:w="0" w:type="auto"/>
            <w:gridSpan w:val="3"/>
            <w:shd w:val="clear" w:color="auto" w:fill="auto"/>
            <w:vAlign w:val="bottom"/>
          </w:tcPr>
          <w:p w14:paraId="5F2D34D6" w14:textId="77777777" w:rsidR="00E836FB" w:rsidRDefault="00E836FB">
            <w:pPr>
              <w:rPr>
                <w:rFonts w:ascii="宋体"/>
                <w:vanish/>
              </w:rPr>
            </w:pPr>
          </w:p>
        </w:tc>
        <w:tc>
          <w:tcPr>
            <w:tcW w:w="0" w:type="auto"/>
            <w:gridSpan w:val="3"/>
            <w:shd w:val="clear" w:color="auto" w:fill="auto"/>
            <w:vAlign w:val="bottom"/>
          </w:tcPr>
          <w:p w14:paraId="5F2D34D7" w14:textId="77777777" w:rsidR="00E836FB" w:rsidRDefault="00E836FB">
            <w:pPr>
              <w:rPr>
                <w:rFonts w:ascii="宋体"/>
                <w:vanish/>
              </w:rPr>
            </w:pPr>
          </w:p>
        </w:tc>
        <w:tc>
          <w:tcPr>
            <w:tcW w:w="0" w:type="auto"/>
            <w:gridSpan w:val="3"/>
            <w:shd w:val="clear" w:color="auto" w:fill="auto"/>
            <w:vAlign w:val="bottom"/>
          </w:tcPr>
          <w:p w14:paraId="5F2D34D8" w14:textId="77777777" w:rsidR="00E836FB" w:rsidRDefault="00E836FB">
            <w:pPr>
              <w:rPr>
                <w:rFonts w:ascii="宋体"/>
                <w:vanish/>
              </w:rPr>
            </w:pPr>
          </w:p>
        </w:tc>
        <w:tc>
          <w:tcPr>
            <w:tcW w:w="0" w:type="auto"/>
            <w:gridSpan w:val="3"/>
            <w:shd w:val="clear" w:color="auto" w:fill="auto"/>
            <w:vAlign w:val="bottom"/>
          </w:tcPr>
          <w:p w14:paraId="5F2D34D9" w14:textId="77777777" w:rsidR="00E836FB" w:rsidRDefault="00E836FB">
            <w:pPr>
              <w:rPr>
                <w:rFonts w:ascii="宋体"/>
                <w:vanish/>
              </w:rPr>
            </w:pPr>
          </w:p>
        </w:tc>
        <w:tc>
          <w:tcPr>
            <w:tcW w:w="0" w:type="auto"/>
            <w:gridSpan w:val="3"/>
            <w:shd w:val="clear" w:color="auto" w:fill="auto"/>
            <w:vAlign w:val="bottom"/>
          </w:tcPr>
          <w:p w14:paraId="5F2D34DA" w14:textId="77777777" w:rsidR="00E836FB" w:rsidRDefault="00E836FB">
            <w:pPr>
              <w:rPr>
                <w:rFonts w:ascii="宋体"/>
                <w:vanish/>
              </w:rPr>
            </w:pPr>
          </w:p>
        </w:tc>
        <w:tc>
          <w:tcPr>
            <w:tcW w:w="0" w:type="auto"/>
            <w:gridSpan w:val="3"/>
            <w:shd w:val="clear" w:color="auto" w:fill="auto"/>
            <w:vAlign w:val="bottom"/>
          </w:tcPr>
          <w:p w14:paraId="5F2D34DB" w14:textId="77777777" w:rsidR="00E836FB" w:rsidRDefault="00E836FB">
            <w:pPr>
              <w:rPr>
                <w:rFonts w:ascii="宋体"/>
                <w:vanish/>
              </w:rPr>
            </w:pPr>
          </w:p>
        </w:tc>
        <w:tc>
          <w:tcPr>
            <w:tcW w:w="0" w:type="auto"/>
            <w:gridSpan w:val="3"/>
            <w:shd w:val="clear" w:color="auto" w:fill="auto"/>
            <w:vAlign w:val="bottom"/>
          </w:tcPr>
          <w:p w14:paraId="5F2D34DC" w14:textId="77777777" w:rsidR="00E836FB" w:rsidRDefault="00E836FB">
            <w:pPr>
              <w:rPr>
                <w:rFonts w:ascii="宋体"/>
                <w:vanish/>
              </w:rPr>
            </w:pPr>
          </w:p>
        </w:tc>
        <w:tc>
          <w:tcPr>
            <w:tcW w:w="0" w:type="auto"/>
            <w:gridSpan w:val="3"/>
            <w:shd w:val="clear" w:color="auto" w:fill="auto"/>
            <w:vAlign w:val="bottom"/>
          </w:tcPr>
          <w:p w14:paraId="5F2D34DD" w14:textId="77777777" w:rsidR="00E836FB" w:rsidRDefault="00E836FB">
            <w:pPr>
              <w:rPr>
                <w:rFonts w:ascii="宋体"/>
                <w:vanish/>
              </w:rPr>
            </w:pPr>
          </w:p>
        </w:tc>
        <w:tc>
          <w:tcPr>
            <w:tcW w:w="0" w:type="auto"/>
            <w:gridSpan w:val="3"/>
            <w:shd w:val="clear" w:color="auto" w:fill="auto"/>
            <w:vAlign w:val="bottom"/>
          </w:tcPr>
          <w:p w14:paraId="5F2D34DE" w14:textId="77777777" w:rsidR="00E836FB" w:rsidRDefault="00E836FB">
            <w:pPr>
              <w:rPr>
                <w:rFonts w:ascii="宋体"/>
                <w:vanish/>
              </w:rPr>
            </w:pPr>
          </w:p>
        </w:tc>
      </w:tr>
      <w:tr w:rsidR="00E836FB" w14:paraId="5F2D34EE" w14:textId="77777777">
        <w:trPr>
          <w:hidden/>
        </w:trPr>
        <w:tc>
          <w:tcPr>
            <w:tcW w:w="0" w:type="auto"/>
            <w:gridSpan w:val="3"/>
            <w:shd w:val="clear" w:color="auto" w:fill="auto"/>
            <w:vAlign w:val="bottom"/>
          </w:tcPr>
          <w:p w14:paraId="5F2D34E0" w14:textId="77777777" w:rsidR="00E836FB" w:rsidRDefault="00E836FB">
            <w:pPr>
              <w:rPr>
                <w:rFonts w:ascii="宋体"/>
                <w:vanish/>
              </w:rPr>
            </w:pPr>
          </w:p>
        </w:tc>
        <w:tc>
          <w:tcPr>
            <w:tcW w:w="0" w:type="auto"/>
            <w:gridSpan w:val="3"/>
            <w:shd w:val="clear" w:color="auto" w:fill="auto"/>
            <w:vAlign w:val="bottom"/>
          </w:tcPr>
          <w:p w14:paraId="5F2D34E1" w14:textId="77777777" w:rsidR="00E836FB" w:rsidRDefault="00E836FB">
            <w:pPr>
              <w:rPr>
                <w:rFonts w:ascii="宋体"/>
                <w:vanish/>
              </w:rPr>
            </w:pPr>
          </w:p>
        </w:tc>
        <w:tc>
          <w:tcPr>
            <w:tcW w:w="0" w:type="auto"/>
            <w:gridSpan w:val="3"/>
            <w:shd w:val="clear" w:color="auto" w:fill="auto"/>
            <w:vAlign w:val="bottom"/>
          </w:tcPr>
          <w:p w14:paraId="5F2D34E2" w14:textId="77777777" w:rsidR="00E836FB" w:rsidRDefault="00E836FB">
            <w:pPr>
              <w:rPr>
                <w:rFonts w:ascii="宋体"/>
                <w:vanish/>
              </w:rPr>
            </w:pPr>
          </w:p>
        </w:tc>
        <w:tc>
          <w:tcPr>
            <w:tcW w:w="0" w:type="auto"/>
            <w:gridSpan w:val="3"/>
            <w:shd w:val="clear" w:color="auto" w:fill="auto"/>
            <w:vAlign w:val="bottom"/>
          </w:tcPr>
          <w:p w14:paraId="5F2D34E3" w14:textId="77777777" w:rsidR="00E836FB" w:rsidRDefault="00E836FB">
            <w:pPr>
              <w:rPr>
                <w:rFonts w:ascii="宋体"/>
                <w:vanish/>
              </w:rPr>
            </w:pPr>
          </w:p>
        </w:tc>
        <w:tc>
          <w:tcPr>
            <w:tcW w:w="0" w:type="auto"/>
            <w:gridSpan w:val="3"/>
            <w:shd w:val="clear" w:color="auto" w:fill="auto"/>
            <w:vAlign w:val="bottom"/>
          </w:tcPr>
          <w:p w14:paraId="5F2D34E4" w14:textId="77777777" w:rsidR="00E836FB" w:rsidRDefault="00E836FB">
            <w:pPr>
              <w:rPr>
                <w:rFonts w:ascii="宋体"/>
                <w:vanish/>
              </w:rPr>
            </w:pPr>
          </w:p>
        </w:tc>
        <w:tc>
          <w:tcPr>
            <w:tcW w:w="0" w:type="auto"/>
            <w:gridSpan w:val="3"/>
            <w:shd w:val="clear" w:color="auto" w:fill="auto"/>
            <w:vAlign w:val="bottom"/>
          </w:tcPr>
          <w:p w14:paraId="5F2D34E5" w14:textId="77777777" w:rsidR="00E836FB" w:rsidRDefault="00E836FB">
            <w:pPr>
              <w:rPr>
                <w:rFonts w:ascii="宋体"/>
                <w:vanish/>
              </w:rPr>
            </w:pPr>
          </w:p>
        </w:tc>
        <w:tc>
          <w:tcPr>
            <w:tcW w:w="0" w:type="auto"/>
            <w:gridSpan w:val="3"/>
            <w:shd w:val="clear" w:color="auto" w:fill="auto"/>
            <w:vAlign w:val="bottom"/>
          </w:tcPr>
          <w:p w14:paraId="5F2D34E6" w14:textId="77777777" w:rsidR="00E836FB" w:rsidRDefault="00E836FB">
            <w:pPr>
              <w:rPr>
                <w:rFonts w:ascii="宋体"/>
                <w:vanish/>
              </w:rPr>
            </w:pPr>
          </w:p>
        </w:tc>
        <w:tc>
          <w:tcPr>
            <w:tcW w:w="0" w:type="auto"/>
            <w:gridSpan w:val="3"/>
            <w:shd w:val="clear" w:color="auto" w:fill="auto"/>
            <w:vAlign w:val="bottom"/>
          </w:tcPr>
          <w:p w14:paraId="5F2D34E7" w14:textId="77777777" w:rsidR="00E836FB" w:rsidRDefault="00E836FB">
            <w:pPr>
              <w:rPr>
                <w:rFonts w:ascii="宋体"/>
                <w:vanish/>
              </w:rPr>
            </w:pPr>
          </w:p>
        </w:tc>
        <w:tc>
          <w:tcPr>
            <w:tcW w:w="0" w:type="auto"/>
            <w:gridSpan w:val="3"/>
            <w:shd w:val="clear" w:color="auto" w:fill="auto"/>
            <w:vAlign w:val="bottom"/>
          </w:tcPr>
          <w:p w14:paraId="5F2D34E8" w14:textId="77777777" w:rsidR="00E836FB" w:rsidRDefault="00E836FB">
            <w:pPr>
              <w:rPr>
                <w:rFonts w:ascii="宋体"/>
                <w:vanish/>
              </w:rPr>
            </w:pPr>
          </w:p>
        </w:tc>
        <w:tc>
          <w:tcPr>
            <w:tcW w:w="0" w:type="auto"/>
            <w:gridSpan w:val="3"/>
            <w:shd w:val="clear" w:color="auto" w:fill="auto"/>
            <w:vAlign w:val="bottom"/>
          </w:tcPr>
          <w:p w14:paraId="5F2D34E9" w14:textId="77777777" w:rsidR="00E836FB" w:rsidRDefault="00E836FB">
            <w:pPr>
              <w:rPr>
                <w:rFonts w:ascii="宋体"/>
                <w:vanish/>
              </w:rPr>
            </w:pPr>
          </w:p>
        </w:tc>
        <w:tc>
          <w:tcPr>
            <w:tcW w:w="0" w:type="auto"/>
            <w:gridSpan w:val="3"/>
            <w:shd w:val="clear" w:color="auto" w:fill="auto"/>
            <w:vAlign w:val="bottom"/>
          </w:tcPr>
          <w:p w14:paraId="5F2D34EA" w14:textId="77777777" w:rsidR="00E836FB" w:rsidRDefault="00E836FB">
            <w:pPr>
              <w:rPr>
                <w:rFonts w:ascii="宋体"/>
                <w:vanish/>
              </w:rPr>
            </w:pPr>
          </w:p>
        </w:tc>
        <w:tc>
          <w:tcPr>
            <w:tcW w:w="0" w:type="auto"/>
            <w:gridSpan w:val="3"/>
            <w:shd w:val="clear" w:color="auto" w:fill="auto"/>
            <w:vAlign w:val="bottom"/>
          </w:tcPr>
          <w:p w14:paraId="5F2D34EB" w14:textId="77777777" w:rsidR="00E836FB" w:rsidRDefault="00E836FB">
            <w:pPr>
              <w:rPr>
                <w:rFonts w:ascii="宋体"/>
                <w:vanish/>
              </w:rPr>
            </w:pPr>
          </w:p>
        </w:tc>
        <w:tc>
          <w:tcPr>
            <w:tcW w:w="0" w:type="auto"/>
            <w:gridSpan w:val="3"/>
            <w:shd w:val="clear" w:color="auto" w:fill="auto"/>
            <w:vAlign w:val="bottom"/>
          </w:tcPr>
          <w:p w14:paraId="5F2D34EC" w14:textId="77777777" w:rsidR="00E836FB" w:rsidRDefault="00E836FB">
            <w:pPr>
              <w:rPr>
                <w:rFonts w:ascii="宋体"/>
                <w:vanish/>
              </w:rPr>
            </w:pPr>
          </w:p>
        </w:tc>
        <w:tc>
          <w:tcPr>
            <w:tcW w:w="0" w:type="auto"/>
            <w:gridSpan w:val="3"/>
            <w:shd w:val="clear" w:color="auto" w:fill="auto"/>
            <w:vAlign w:val="bottom"/>
          </w:tcPr>
          <w:p w14:paraId="5F2D34ED" w14:textId="77777777" w:rsidR="00E836FB" w:rsidRDefault="00E836FB">
            <w:pPr>
              <w:rPr>
                <w:rFonts w:ascii="宋体"/>
                <w:vanish/>
              </w:rPr>
            </w:pPr>
          </w:p>
        </w:tc>
      </w:tr>
      <w:tr w:rsidR="00E836FB" w14:paraId="5F2D34FD" w14:textId="77777777">
        <w:trPr>
          <w:hidden/>
        </w:trPr>
        <w:tc>
          <w:tcPr>
            <w:tcW w:w="0" w:type="auto"/>
            <w:gridSpan w:val="3"/>
            <w:shd w:val="clear" w:color="auto" w:fill="auto"/>
            <w:vAlign w:val="bottom"/>
          </w:tcPr>
          <w:p w14:paraId="5F2D34EF" w14:textId="77777777" w:rsidR="00E836FB" w:rsidRDefault="00E836FB">
            <w:pPr>
              <w:rPr>
                <w:rFonts w:ascii="宋体"/>
                <w:vanish/>
              </w:rPr>
            </w:pPr>
          </w:p>
        </w:tc>
        <w:tc>
          <w:tcPr>
            <w:tcW w:w="0" w:type="auto"/>
            <w:gridSpan w:val="3"/>
            <w:shd w:val="clear" w:color="auto" w:fill="auto"/>
            <w:vAlign w:val="bottom"/>
          </w:tcPr>
          <w:p w14:paraId="5F2D34F0" w14:textId="77777777" w:rsidR="00E836FB" w:rsidRDefault="00E836FB">
            <w:pPr>
              <w:rPr>
                <w:rFonts w:ascii="宋体"/>
                <w:vanish/>
              </w:rPr>
            </w:pPr>
          </w:p>
        </w:tc>
        <w:tc>
          <w:tcPr>
            <w:tcW w:w="0" w:type="auto"/>
            <w:gridSpan w:val="3"/>
            <w:shd w:val="clear" w:color="auto" w:fill="auto"/>
            <w:vAlign w:val="bottom"/>
          </w:tcPr>
          <w:p w14:paraId="5F2D34F1" w14:textId="77777777" w:rsidR="00E836FB" w:rsidRDefault="00E836FB">
            <w:pPr>
              <w:rPr>
                <w:rFonts w:ascii="宋体"/>
                <w:vanish/>
              </w:rPr>
            </w:pPr>
          </w:p>
        </w:tc>
        <w:tc>
          <w:tcPr>
            <w:tcW w:w="0" w:type="auto"/>
            <w:gridSpan w:val="3"/>
            <w:shd w:val="clear" w:color="auto" w:fill="auto"/>
            <w:vAlign w:val="bottom"/>
          </w:tcPr>
          <w:p w14:paraId="5F2D34F2" w14:textId="77777777" w:rsidR="00E836FB" w:rsidRDefault="00E836FB">
            <w:pPr>
              <w:rPr>
                <w:rFonts w:ascii="宋体"/>
                <w:vanish/>
              </w:rPr>
            </w:pPr>
          </w:p>
        </w:tc>
        <w:tc>
          <w:tcPr>
            <w:tcW w:w="0" w:type="auto"/>
            <w:gridSpan w:val="3"/>
            <w:shd w:val="clear" w:color="auto" w:fill="auto"/>
            <w:vAlign w:val="bottom"/>
          </w:tcPr>
          <w:p w14:paraId="5F2D34F3" w14:textId="77777777" w:rsidR="00E836FB" w:rsidRDefault="00E836FB">
            <w:pPr>
              <w:rPr>
                <w:rFonts w:ascii="宋体"/>
                <w:vanish/>
              </w:rPr>
            </w:pPr>
          </w:p>
        </w:tc>
        <w:tc>
          <w:tcPr>
            <w:tcW w:w="0" w:type="auto"/>
            <w:gridSpan w:val="3"/>
            <w:shd w:val="clear" w:color="auto" w:fill="auto"/>
            <w:vAlign w:val="bottom"/>
          </w:tcPr>
          <w:p w14:paraId="5F2D34F4" w14:textId="77777777" w:rsidR="00E836FB" w:rsidRDefault="00E836FB">
            <w:pPr>
              <w:rPr>
                <w:rFonts w:ascii="宋体"/>
                <w:vanish/>
              </w:rPr>
            </w:pPr>
          </w:p>
        </w:tc>
        <w:tc>
          <w:tcPr>
            <w:tcW w:w="0" w:type="auto"/>
            <w:gridSpan w:val="3"/>
            <w:shd w:val="clear" w:color="auto" w:fill="auto"/>
            <w:vAlign w:val="bottom"/>
          </w:tcPr>
          <w:p w14:paraId="5F2D34F5" w14:textId="77777777" w:rsidR="00E836FB" w:rsidRDefault="00E836FB">
            <w:pPr>
              <w:rPr>
                <w:rFonts w:ascii="宋体"/>
                <w:vanish/>
              </w:rPr>
            </w:pPr>
          </w:p>
        </w:tc>
        <w:tc>
          <w:tcPr>
            <w:tcW w:w="0" w:type="auto"/>
            <w:gridSpan w:val="3"/>
            <w:shd w:val="clear" w:color="auto" w:fill="auto"/>
            <w:vAlign w:val="bottom"/>
          </w:tcPr>
          <w:p w14:paraId="5F2D34F6" w14:textId="77777777" w:rsidR="00E836FB" w:rsidRDefault="00E836FB">
            <w:pPr>
              <w:rPr>
                <w:rFonts w:ascii="宋体"/>
                <w:vanish/>
              </w:rPr>
            </w:pPr>
          </w:p>
        </w:tc>
        <w:tc>
          <w:tcPr>
            <w:tcW w:w="0" w:type="auto"/>
            <w:gridSpan w:val="3"/>
            <w:shd w:val="clear" w:color="auto" w:fill="auto"/>
            <w:vAlign w:val="bottom"/>
          </w:tcPr>
          <w:p w14:paraId="5F2D34F7" w14:textId="77777777" w:rsidR="00E836FB" w:rsidRDefault="00E836FB">
            <w:pPr>
              <w:rPr>
                <w:rFonts w:ascii="宋体"/>
                <w:vanish/>
              </w:rPr>
            </w:pPr>
          </w:p>
        </w:tc>
        <w:tc>
          <w:tcPr>
            <w:tcW w:w="0" w:type="auto"/>
            <w:gridSpan w:val="3"/>
            <w:shd w:val="clear" w:color="auto" w:fill="auto"/>
            <w:vAlign w:val="bottom"/>
          </w:tcPr>
          <w:p w14:paraId="5F2D34F8" w14:textId="77777777" w:rsidR="00E836FB" w:rsidRDefault="00E836FB">
            <w:pPr>
              <w:rPr>
                <w:rFonts w:ascii="宋体"/>
                <w:vanish/>
              </w:rPr>
            </w:pPr>
          </w:p>
        </w:tc>
        <w:tc>
          <w:tcPr>
            <w:tcW w:w="0" w:type="auto"/>
            <w:gridSpan w:val="3"/>
            <w:shd w:val="clear" w:color="auto" w:fill="auto"/>
            <w:vAlign w:val="bottom"/>
          </w:tcPr>
          <w:p w14:paraId="5F2D34F9" w14:textId="77777777" w:rsidR="00E836FB" w:rsidRDefault="00E836FB">
            <w:pPr>
              <w:rPr>
                <w:rFonts w:ascii="宋体"/>
                <w:vanish/>
              </w:rPr>
            </w:pPr>
          </w:p>
        </w:tc>
        <w:tc>
          <w:tcPr>
            <w:tcW w:w="0" w:type="auto"/>
            <w:gridSpan w:val="3"/>
            <w:shd w:val="clear" w:color="auto" w:fill="auto"/>
            <w:vAlign w:val="bottom"/>
          </w:tcPr>
          <w:p w14:paraId="5F2D34FA" w14:textId="77777777" w:rsidR="00E836FB" w:rsidRDefault="00E836FB">
            <w:pPr>
              <w:rPr>
                <w:rFonts w:ascii="宋体"/>
                <w:vanish/>
              </w:rPr>
            </w:pPr>
          </w:p>
        </w:tc>
        <w:tc>
          <w:tcPr>
            <w:tcW w:w="0" w:type="auto"/>
            <w:gridSpan w:val="3"/>
            <w:shd w:val="clear" w:color="auto" w:fill="auto"/>
            <w:vAlign w:val="bottom"/>
          </w:tcPr>
          <w:p w14:paraId="5F2D34FB" w14:textId="77777777" w:rsidR="00E836FB" w:rsidRDefault="00E836FB">
            <w:pPr>
              <w:rPr>
                <w:rFonts w:ascii="宋体"/>
                <w:vanish/>
              </w:rPr>
            </w:pPr>
          </w:p>
        </w:tc>
        <w:tc>
          <w:tcPr>
            <w:tcW w:w="0" w:type="auto"/>
            <w:gridSpan w:val="3"/>
            <w:shd w:val="clear" w:color="auto" w:fill="auto"/>
            <w:vAlign w:val="bottom"/>
          </w:tcPr>
          <w:p w14:paraId="5F2D34FC" w14:textId="77777777" w:rsidR="00E836FB" w:rsidRDefault="00E836FB">
            <w:pPr>
              <w:rPr>
                <w:rFonts w:ascii="宋体"/>
                <w:vanish/>
              </w:rPr>
            </w:pPr>
          </w:p>
        </w:tc>
      </w:tr>
      <w:tr w:rsidR="00E836FB" w14:paraId="5F2D350C" w14:textId="77777777">
        <w:trPr>
          <w:hidden/>
        </w:trPr>
        <w:tc>
          <w:tcPr>
            <w:tcW w:w="0" w:type="auto"/>
            <w:gridSpan w:val="3"/>
            <w:shd w:val="clear" w:color="auto" w:fill="auto"/>
            <w:vAlign w:val="bottom"/>
          </w:tcPr>
          <w:p w14:paraId="5F2D34FE" w14:textId="77777777" w:rsidR="00E836FB" w:rsidRDefault="00E836FB">
            <w:pPr>
              <w:rPr>
                <w:rFonts w:ascii="宋体"/>
                <w:vanish/>
              </w:rPr>
            </w:pPr>
          </w:p>
        </w:tc>
        <w:tc>
          <w:tcPr>
            <w:tcW w:w="0" w:type="auto"/>
            <w:gridSpan w:val="3"/>
            <w:shd w:val="clear" w:color="auto" w:fill="auto"/>
            <w:vAlign w:val="bottom"/>
          </w:tcPr>
          <w:p w14:paraId="5F2D34FF" w14:textId="77777777" w:rsidR="00E836FB" w:rsidRDefault="00E836FB">
            <w:pPr>
              <w:rPr>
                <w:rFonts w:ascii="宋体"/>
                <w:vanish/>
              </w:rPr>
            </w:pPr>
          </w:p>
        </w:tc>
        <w:tc>
          <w:tcPr>
            <w:tcW w:w="0" w:type="auto"/>
            <w:gridSpan w:val="3"/>
            <w:shd w:val="clear" w:color="auto" w:fill="auto"/>
            <w:vAlign w:val="bottom"/>
          </w:tcPr>
          <w:p w14:paraId="5F2D3500" w14:textId="77777777" w:rsidR="00E836FB" w:rsidRDefault="00E836FB">
            <w:pPr>
              <w:rPr>
                <w:rFonts w:ascii="宋体"/>
                <w:vanish/>
              </w:rPr>
            </w:pPr>
          </w:p>
        </w:tc>
        <w:tc>
          <w:tcPr>
            <w:tcW w:w="0" w:type="auto"/>
            <w:gridSpan w:val="3"/>
            <w:shd w:val="clear" w:color="auto" w:fill="auto"/>
            <w:vAlign w:val="bottom"/>
          </w:tcPr>
          <w:p w14:paraId="5F2D3501" w14:textId="77777777" w:rsidR="00E836FB" w:rsidRDefault="00E836FB">
            <w:pPr>
              <w:rPr>
                <w:rFonts w:ascii="宋体"/>
                <w:vanish/>
              </w:rPr>
            </w:pPr>
          </w:p>
        </w:tc>
        <w:tc>
          <w:tcPr>
            <w:tcW w:w="0" w:type="auto"/>
            <w:gridSpan w:val="3"/>
            <w:shd w:val="clear" w:color="auto" w:fill="auto"/>
            <w:vAlign w:val="bottom"/>
          </w:tcPr>
          <w:p w14:paraId="5F2D3502" w14:textId="77777777" w:rsidR="00E836FB" w:rsidRDefault="00E836FB">
            <w:pPr>
              <w:rPr>
                <w:rFonts w:ascii="宋体"/>
                <w:vanish/>
              </w:rPr>
            </w:pPr>
          </w:p>
        </w:tc>
        <w:tc>
          <w:tcPr>
            <w:tcW w:w="0" w:type="auto"/>
            <w:gridSpan w:val="3"/>
            <w:shd w:val="clear" w:color="auto" w:fill="auto"/>
            <w:vAlign w:val="bottom"/>
          </w:tcPr>
          <w:p w14:paraId="5F2D3503" w14:textId="77777777" w:rsidR="00E836FB" w:rsidRDefault="00E836FB">
            <w:pPr>
              <w:rPr>
                <w:rFonts w:ascii="宋体"/>
                <w:vanish/>
              </w:rPr>
            </w:pPr>
          </w:p>
        </w:tc>
        <w:tc>
          <w:tcPr>
            <w:tcW w:w="0" w:type="auto"/>
            <w:gridSpan w:val="3"/>
            <w:shd w:val="clear" w:color="auto" w:fill="auto"/>
            <w:vAlign w:val="bottom"/>
          </w:tcPr>
          <w:p w14:paraId="5F2D3504" w14:textId="77777777" w:rsidR="00E836FB" w:rsidRDefault="00E836FB">
            <w:pPr>
              <w:rPr>
                <w:rFonts w:ascii="宋体"/>
                <w:vanish/>
              </w:rPr>
            </w:pPr>
          </w:p>
        </w:tc>
        <w:tc>
          <w:tcPr>
            <w:tcW w:w="0" w:type="auto"/>
            <w:gridSpan w:val="3"/>
            <w:shd w:val="clear" w:color="auto" w:fill="auto"/>
            <w:vAlign w:val="bottom"/>
          </w:tcPr>
          <w:p w14:paraId="5F2D3505" w14:textId="77777777" w:rsidR="00E836FB" w:rsidRDefault="00E836FB">
            <w:pPr>
              <w:rPr>
                <w:rFonts w:ascii="宋体"/>
                <w:vanish/>
              </w:rPr>
            </w:pPr>
          </w:p>
        </w:tc>
        <w:tc>
          <w:tcPr>
            <w:tcW w:w="0" w:type="auto"/>
            <w:gridSpan w:val="3"/>
            <w:shd w:val="clear" w:color="auto" w:fill="auto"/>
            <w:vAlign w:val="bottom"/>
          </w:tcPr>
          <w:p w14:paraId="5F2D3506" w14:textId="77777777" w:rsidR="00E836FB" w:rsidRDefault="00E836FB">
            <w:pPr>
              <w:rPr>
                <w:rFonts w:ascii="宋体"/>
                <w:vanish/>
              </w:rPr>
            </w:pPr>
          </w:p>
        </w:tc>
        <w:tc>
          <w:tcPr>
            <w:tcW w:w="0" w:type="auto"/>
            <w:gridSpan w:val="3"/>
            <w:shd w:val="clear" w:color="auto" w:fill="auto"/>
            <w:vAlign w:val="bottom"/>
          </w:tcPr>
          <w:p w14:paraId="5F2D3507" w14:textId="77777777" w:rsidR="00E836FB" w:rsidRDefault="00E836FB">
            <w:pPr>
              <w:rPr>
                <w:rFonts w:ascii="宋体"/>
                <w:vanish/>
              </w:rPr>
            </w:pPr>
          </w:p>
        </w:tc>
        <w:tc>
          <w:tcPr>
            <w:tcW w:w="0" w:type="auto"/>
            <w:gridSpan w:val="3"/>
            <w:shd w:val="clear" w:color="auto" w:fill="auto"/>
            <w:vAlign w:val="bottom"/>
          </w:tcPr>
          <w:p w14:paraId="5F2D3508" w14:textId="77777777" w:rsidR="00E836FB" w:rsidRDefault="00E836FB">
            <w:pPr>
              <w:rPr>
                <w:rFonts w:ascii="宋体"/>
                <w:vanish/>
              </w:rPr>
            </w:pPr>
          </w:p>
        </w:tc>
        <w:tc>
          <w:tcPr>
            <w:tcW w:w="0" w:type="auto"/>
            <w:gridSpan w:val="3"/>
            <w:shd w:val="clear" w:color="auto" w:fill="auto"/>
            <w:vAlign w:val="bottom"/>
          </w:tcPr>
          <w:p w14:paraId="5F2D3509" w14:textId="77777777" w:rsidR="00E836FB" w:rsidRDefault="00E836FB">
            <w:pPr>
              <w:rPr>
                <w:rFonts w:ascii="宋体"/>
                <w:vanish/>
              </w:rPr>
            </w:pPr>
          </w:p>
        </w:tc>
        <w:tc>
          <w:tcPr>
            <w:tcW w:w="0" w:type="auto"/>
            <w:gridSpan w:val="3"/>
            <w:shd w:val="clear" w:color="auto" w:fill="auto"/>
            <w:vAlign w:val="bottom"/>
          </w:tcPr>
          <w:p w14:paraId="5F2D350A" w14:textId="77777777" w:rsidR="00E836FB" w:rsidRDefault="00E836FB">
            <w:pPr>
              <w:rPr>
                <w:rFonts w:ascii="宋体"/>
                <w:vanish/>
              </w:rPr>
            </w:pPr>
          </w:p>
        </w:tc>
        <w:tc>
          <w:tcPr>
            <w:tcW w:w="0" w:type="auto"/>
            <w:gridSpan w:val="3"/>
            <w:shd w:val="clear" w:color="auto" w:fill="auto"/>
            <w:vAlign w:val="bottom"/>
          </w:tcPr>
          <w:p w14:paraId="5F2D350B" w14:textId="77777777" w:rsidR="00E836FB" w:rsidRDefault="00E836FB">
            <w:pPr>
              <w:rPr>
                <w:rFonts w:ascii="宋体"/>
                <w:vanish/>
              </w:rPr>
            </w:pPr>
          </w:p>
        </w:tc>
      </w:tr>
      <w:tr w:rsidR="00E836FB" w14:paraId="5F2D351B" w14:textId="77777777">
        <w:trPr>
          <w:hidden/>
        </w:trPr>
        <w:tc>
          <w:tcPr>
            <w:tcW w:w="0" w:type="auto"/>
            <w:gridSpan w:val="3"/>
            <w:shd w:val="clear" w:color="auto" w:fill="auto"/>
            <w:vAlign w:val="bottom"/>
          </w:tcPr>
          <w:p w14:paraId="5F2D350D" w14:textId="77777777" w:rsidR="00E836FB" w:rsidRDefault="00E836FB">
            <w:pPr>
              <w:rPr>
                <w:rFonts w:ascii="宋体"/>
                <w:vanish/>
              </w:rPr>
            </w:pPr>
          </w:p>
        </w:tc>
        <w:tc>
          <w:tcPr>
            <w:tcW w:w="0" w:type="auto"/>
            <w:gridSpan w:val="3"/>
            <w:shd w:val="clear" w:color="auto" w:fill="auto"/>
            <w:vAlign w:val="bottom"/>
          </w:tcPr>
          <w:p w14:paraId="5F2D350E" w14:textId="77777777" w:rsidR="00E836FB" w:rsidRDefault="00E836FB">
            <w:pPr>
              <w:rPr>
                <w:rFonts w:ascii="宋体"/>
                <w:vanish/>
              </w:rPr>
            </w:pPr>
          </w:p>
        </w:tc>
        <w:tc>
          <w:tcPr>
            <w:tcW w:w="0" w:type="auto"/>
            <w:gridSpan w:val="3"/>
            <w:shd w:val="clear" w:color="auto" w:fill="auto"/>
            <w:vAlign w:val="bottom"/>
          </w:tcPr>
          <w:p w14:paraId="5F2D350F" w14:textId="77777777" w:rsidR="00E836FB" w:rsidRDefault="00E836FB">
            <w:pPr>
              <w:rPr>
                <w:rFonts w:ascii="宋体"/>
                <w:vanish/>
              </w:rPr>
            </w:pPr>
          </w:p>
        </w:tc>
        <w:tc>
          <w:tcPr>
            <w:tcW w:w="0" w:type="auto"/>
            <w:gridSpan w:val="3"/>
            <w:shd w:val="clear" w:color="auto" w:fill="auto"/>
            <w:vAlign w:val="bottom"/>
          </w:tcPr>
          <w:p w14:paraId="5F2D3510" w14:textId="77777777" w:rsidR="00E836FB" w:rsidRDefault="00E836FB">
            <w:pPr>
              <w:rPr>
                <w:rFonts w:ascii="宋体"/>
                <w:vanish/>
              </w:rPr>
            </w:pPr>
          </w:p>
        </w:tc>
        <w:tc>
          <w:tcPr>
            <w:tcW w:w="0" w:type="auto"/>
            <w:gridSpan w:val="3"/>
            <w:shd w:val="clear" w:color="auto" w:fill="auto"/>
            <w:vAlign w:val="bottom"/>
          </w:tcPr>
          <w:p w14:paraId="5F2D3511" w14:textId="77777777" w:rsidR="00E836FB" w:rsidRDefault="00E836FB">
            <w:pPr>
              <w:rPr>
                <w:rFonts w:ascii="宋体"/>
                <w:vanish/>
              </w:rPr>
            </w:pPr>
          </w:p>
        </w:tc>
        <w:tc>
          <w:tcPr>
            <w:tcW w:w="0" w:type="auto"/>
            <w:gridSpan w:val="3"/>
            <w:shd w:val="clear" w:color="auto" w:fill="auto"/>
            <w:vAlign w:val="bottom"/>
          </w:tcPr>
          <w:p w14:paraId="5F2D3512" w14:textId="77777777" w:rsidR="00E836FB" w:rsidRDefault="00E836FB">
            <w:pPr>
              <w:rPr>
                <w:rFonts w:ascii="宋体"/>
                <w:vanish/>
              </w:rPr>
            </w:pPr>
          </w:p>
        </w:tc>
        <w:tc>
          <w:tcPr>
            <w:tcW w:w="0" w:type="auto"/>
            <w:gridSpan w:val="3"/>
            <w:shd w:val="clear" w:color="auto" w:fill="auto"/>
            <w:vAlign w:val="bottom"/>
          </w:tcPr>
          <w:p w14:paraId="5F2D3513" w14:textId="77777777" w:rsidR="00E836FB" w:rsidRDefault="00E836FB">
            <w:pPr>
              <w:rPr>
                <w:rFonts w:ascii="宋体"/>
                <w:vanish/>
              </w:rPr>
            </w:pPr>
          </w:p>
        </w:tc>
        <w:tc>
          <w:tcPr>
            <w:tcW w:w="0" w:type="auto"/>
            <w:gridSpan w:val="3"/>
            <w:shd w:val="clear" w:color="auto" w:fill="auto"/>
            <w:vAlign w:val="bottom"/>
          </w:tcPr>
          <w:p w14:paraId="5F2D3514" w14:textId="77777777" w:rsidR="00E836FB" w:rsidRDefault="00E836FB">
            <w:pPr>
              <w:rPr>
                <w:rFonts w:ascii="宋体"/>
                <w:vanish/>
              </w:rPr>
            </w:pPr>
          </w:p>
        </w:tc>
        <w:tc>
          <w:tcPr>
            <w:tcW w:w="0" w:type="auto"/>
            <w:gridSpan w:val="3"/>
            <w:shd w:val="clear" w:color="auto" w:fill="auto"/>
            <w:vAlign w:val="bottom"/>
          </w:tcPr>
          <w:p w14:paraId="5F2D3515" w14:textId="77777777" w:rsidR="00E836FB" w:rsidRDefault="00E836FB">
            <w:pPr>
              <w:rPr>
                <w:rFonts w:ascii="宋体"/>
                <w:vanish/>
              </w:rPr>
            </w:pPr>
          </w:p>
        </w:tc>
        <w:tc>
          <w:tcPr>
            <w:tcW w:w="0" w:type="auto"/>
            <w:gridSpan w:val="3"/>
            <w:shd w:val="clear" w:color="auto" w:fill="auto"/>
            <w:vAlign w:val="bottom"/>
          </w:tcPr>
          <w:p w14:paraId="5F2D3516" w14:textId="77777777" w:rsidR="00E836FB" w:rsidRDefault="00E836FB">
            <w:pPr>
              <w:rPr>
                <w:rFonts w:ascii="宋体"/>
                <w:vanish/>
              </w:rPr>
            </w:pPr>
          </w:p>
        </w:tc>
        <w:tc>
          <w:tcPr>
            <w:tcW w:w="0" w:type="auto"/>
            <w:gridSpan w:val="3"/>
            <w:shd w:val="clear" w:color="auto" w:fill="auto"/>
            <w:vAlign w:val="bottom"/>
          </w:tcPr>
          <w:p w14:paraId="5F2D3517" w14:textId="77777777" w:rsidR="00E836FB" w:rsidRDefault="00E836FB">
            <w:pPr>
              <w:rPr>
                <w:rFonts w:ascii="宋体"/>
                <w:vanish/>
              </w:rPr>
            </w:pPr>
          </w:p>
        </w:tc>
        <w:tc>
          <w:tcPr>
            <w:tcW w:w="0" w:type="auto"/>
            <w:gridSpan w:val="3"/>
            <w:shd w:val="clear" w:color="auto" w:fill="auto"/>
            <w:vAlign w:val="bottom"/>
          </w:tcPr>
          <w:p w14:paraId="5F2D3518" w14:textId="77777777" w:rsidR="00E836FB" w:rsidRDefault="00E836FB">
            <w:pPr>
              <w:rPr>
                <w:rFonts w:ascii="宋体"/>
                <w:vanish/>
              </w:rPr>
            </w:pPr>
          </w:p>
        </w:tc>
        <w:tc>
          <w:tcPr>
            <w:tcW w:w="0" w:type="auto"/>
            <w:gridSpan w:val="3"/>
            <w:shd w:val="clear" w:color="auto" w:fill="auto"/>
            <w:vAlign w:val="bottom"/>
          </w:tcPr>
          <w:p w14:paraId="5F2D3519" w14:textId="77777777" w:rsidR="00E836FB" w:rsidRDefault="00E836FB">
            <w:pPr>
              <w:rPr>
                <w:rFonts w:ascii="宋体"/>
                <w:vanish/>
              </w:rPr>
            </w:pPr>
          </w:p>
        </w:tc>
        <w:tc>
          <w:tcPr>
            <w:tcW w:w="0" w:type="auto"/>
            <w:gridSpan w:val="3"/>
            <w:shd w:val="clear" w:color="auto" w:fill="auto"/>
            <w:vAlign w:val="bottom"/>
          </w:tcPr>
          <w:p w14:paraId="5F2D351A" w14:textId="77777777" w:rsidR="00E836FB" w:rsidRDefault="00E836FB">
            <w:pPr>
              <w:rPr>
                <w:rFonts w:ascii="宋体"/>
                <w:vanish/>
              </w:rPr>
            </w:pPr>
          </w:p>
        </w:tc>
      </w:tr>
      <w:tr w:rsidR="00E836FB" w14:paraId="5F2D352A" w14:textId="77777777">
        <w:trPr>
          <w:hidden/>
        </w:trPr>
        <w:tc>
          <w:tcPr>
            <w:tcW w:w="0" w:type="auto"/>
            <w:gridSpan w:val="3"/>
            <w:shd w:val="clear" w:color="auto" w:fill="auto"/>
            <w:vAlign w:val="bottom"/>
          </w:tcPr>
          <w:p w14:paraId="5F2D351C" w14:textId="77777777" w:rsidR="00E836FB" w:rsidRDefault="00E836FB">
            <w:pPr>
              <w:rPr>
                <w:rFonts w:ascii="宋体"/>
                <w:vanish/>
              </w:rPr>
            </w:pPr>
          </w:p>
        </w:tc>
        <w:tc>
          <w:tcPr>
            <w:tcW w:w="0" w:type="auto"/>
            <w:gridSpan w:val="3"/>
            <w:shd w:val="clear" w:color="auto" w:fill="auto"/>
            <w:vAlign w:val="bottom"/>
          </w:tcPr>
          <w:p w14:paraId="5F2D351D" w14:textId="77777777" w:rsidR="00E836FB" w:rsidRDefault="00E836FB">
            <w:pPr>
              <w:rPr>
                <w:rFonts w:ascii="宋体"/>
                <w:vanish/>
              </w:rPr>
            </w:pPr>
          </w:p>
        </w:tc>
        <w:tc>
          <w:tcPr>
            <w:tcW w:w="0" w:type="auto"/>
            <w:gridSpan w:val="3"/>
            <w:shd w:val="clear" w:color="auto" w:fill="auto"/>
            <w:vAlign w:val="bottom"/>
          </w:tcPr>
          <w:p w14:paraId="5F2D351E" w14:textId="77777777" w:rsidR="00E836FB" w:rsidRDefault="00E836FB">
            <w:pPr>
              <w:rPr>
                <w:rFonts w:ascii="宋体"/>
                <w:vanish/>
              </w:rPr>
            </w:pPr>
          </w:p>
        </w:tc>
        <w:tc>
          <w:tcPr>
            <w:tcW w:w="0" w:type="auto"/>
            <w:gridSpan w:val="3"/>
            <w:shd w:val="clear" w:color="auto" w:fill="auto"/>
            <w:vAlign w:val="bottom"/>
          </w:tcPr>
          <w:p w14:paraId="5F2D351F" w14:textId="77777777" w:rsidR="00E836FB" w:rsidRDefault="00E836FB">
            <w:pPr>
              <w:rPr>
                <w:rFonts w:ascii="宋体"/>
                <w:vanish/>
              </w:rPr>
            </w:pPr>
          </w:p>
        </w:tc>
        <w:tc>
          <w:tcPr>
            <w:tcW w:w="0" w:type="auto"/>
            <w:gridSpan w:val="3"/>
            <w:shd w:val="clear" w:color="auto" w:fill="auto"/>
            <w:vAlign w:val="bottom"/>
          </w:tcPr>
          <w:p w14:paraId="5F2D3520" w14:textId="77777777" w:rsidR="00E836FB" w:rsidRDefault="00E836FB">
            <w:pPr>
              <w:rPr>
                <w:rFonts w:ascii="宋体"/>
                <w:vanish/>
              </w:rPr>
            </w:pPr>
          </w:p>
        </w:tc>
        <w:tc>
          <w:tcPr>
            <w:tcW w:w="0" w:type="auto"/>
            <w:gridSpan w:val="3"/>
            <w:shd w:val="clear" w:color="auto" w:fill="auto"/>
            <w:vAlign w:val="bottom"/>
          </w:tcPr>
          <w:p w14:paraId="5F2D3521" w14:textId="77777777" w:rsidR="00E836FB" w:rsidRDefault="00E836FB">
            <w:pPr>
              <w:rPr>
                <w:rFonts w:ascii="宋体"/>
                <w:vanish/>
              </w:rPr>
            </w:pPr>
          </w:p>
        </w:tc>
        <w:tc>
          <w:tcPr>
            <w:tcW w:w="0" w:type="auto"/>
            <w:gridSpan w:val="3"/>
            <w:shd w:val="clear" w:color="auto" w:fill="auto"/>
            <w:vAlign w:val="bottom"/>
          </w:tcPr>
          <w:p w14:paraId="5F2D3522" w14:textId="77777777" w:rsidR="00E836FB" w:rsidRDefault="00E836FB">
            <w:pPr>
              <w:rPr>
                <w:rFonts w:ascii="宋体"/>
                <w:vanish/>
              </w:rPr>
            </w:pPr>
          </w:p>
        </w:tc>
        <w:tc>
          <w:tcPr>
            <w:tcW w:w="0" w:type="auto"/>
            <w:gridSpan w:val="3"/>
            <w:shd w:val="clear" w:color="auto" w:fill="auto"/>
            <w:vAlign w:val="bottom"/>
          </w:tcPr>
          <w:p w14:paraId="5F2D3523" w14:textId="77777777" w:rsidR="00E836FB" w:rsidRDefault="00E836FB">
            <w:pPr>
              <w:rPr>
                <w:rFonts w:ascii="宋体"/>
                <w:vanish/>
              </w:rPr>
            </w:pPr>
          </w:p>
        </w:tc>
        <w:tc>
          <w:tcPr>
            <w:tcW w:w="0" w:type="auto"/>
            <w:gridSpan w:val="3"/>
            <w:shd w:val="clear" w:color="auto" w:fill="auto"/>
            <w:vAlign w:val="bottom"/>
          </w:tcPr>
          <w:p w14:paraId="5F2D3524" w14:textId="77777777" w:rsidR="00E836FB" w:rsidRDefault="00E836FB">
            <w:pPr>
              <w:rPr>
                <w:rFonts w:ascii="宋体"/>
                <w:vanish/>
              </w:rPr>
            </w:pPr>
          </w:p>
        </w:tc>
        <w:tc>
          <w:tcPr>
            <w:tcW w:w="0" w:type="auto"/>
            <w:gridSpan w:val="3"/>
            <w:shd w:val="clear" w:color="auto" w:fill="auto"/>
            <w:vAlign w:val="bottom"/>
          </w:tcPr>
          <w:p w14:paraId="5F2D3525" w14:textId="77777777" w:rsidR="00E836FB" w:rsidRDefault="00E836FB">
            <w:pPr>
              <w:rPr>
                <w:rFonts w:ascii="宋体"/>
                <w:vanish/>
              </w:rPr>
            </w:pPr>
          </w:p>
        </w:tc>
        <w:tc>
          <w:tcPr>
            <w:tcW w:w="0" w:type="auto"/>
            <w:gridSpan w:val="3"/>
            <w:shd w:val="clear" w:color="auto" w:fill="auto"/>
            <w:vAlign w:val="bottom"/>
          </w:tcPr>
          <w:p w14:paraId="5F2D3526" w14:textId="77777777" w:rsidR="00E836FB" w:rsidRDefault="00E836FB">
            <w:pPr>
              <w:rPr>
                <w:rFonts w:ascii="宋体"/>
                <w:vanish/>
              </w:rPr>
            </w:pPr>
          </w:p>
        </w:tc>
        <w:tc>
          <w:tcPr>
            <w:tcW w:w="0" w:type="auto"/>
            <w:gridSpan w:val="3"/>
            <w:shd w:val="clear" w:color="auto" w:fill="auto"/>
            <w:vAlign w:val="bottom"/>
          </w:tcPr>
          <w:p w14:paraId="5F2D3527" w14:textId="77777777" w:rsidR="00E836FB" w:rsidRDefault="00E836FB">
            <w:pPr>
              <w:rPr>
                <w:rFonts w:ascii="宋体"/>
                <w:vanish/>
              </w:rPr>
            </w:pPr>
          </w:p>
        </w:tc>
        <w:tc>
          <w:tcPr>
            <w:tcW w:w="0" w:type="auto"/>
            <w:gridSpan w:val="3"/>
            <w:shd w:val="clear" w:color="auto" w:fill="auto"/>
            <w:vAlign w:val="bottom"/>
          </w:tcPr>
          <w:p w14:paraId="5F2D3528" w14:textId="77777777" w:rsidR="00E836FB" w:rsidRDefault="00E836FB">
            <w:pPr>
              <w:rPr>
                <w:rFonts w:ascii="宋体"/>
                <w:vanish/>
              </w:rPr>
            </w:pPr>
          </w:p>
        </w:tc>
        <w:tc>
          <w:tcPr>
            <w:tcW w:w="0" w:type="auto"/>
            <w:gridSpan w:val="3"/>
            <w:shd w:val="clear" w:color="auto" w:fill="auto"/>
            <w:vAlign w:val="bottom"/>
          </w:tcPr>
          <w:p w14:paraId="5F2D3529" w14:textId="77777777" w:rsidR="00E836FB" w:rsidRDefault="00E836FB">
            <w:pPr>
              <w:rPr>
                <w:rFonts w:ascii="宋体"/>
                <w:vanish/>
              </w:rPr>
            </w:pPr>
          </w:p>
        </w:tc>
      </w:tr>
      <w:tr w:rsidR="00E836FB" w14:paraId="5F2D3539" w14:textId="77777777">
        <w:trPr>
          <w:hidden/>
        </w:trPr>
        <w:tc>
          <w:tcPr>
            <w:tcW w:w="0" w:type="auto"/>
            <w:gridSpan w:val="3"/>
            <w:shd w:val="clear" w:color="auto" w:fill="auto"/>
            <w:vAlign w:val="bottom"/>
          </w:tcPr>
          <w:p w14:paraId="5F2D352B" w14:textId="77777777" w:rsidR="00E836FB" w:rsidRDefault="00E836FB">
            <w:pPr>
              <w:rPr>
                <w:rFonts w:ascii="宋体"/>
                <w:vanish/>
              </w:rPr>
            </w:pPr>
          </w:p>
        </w:tc>
        <w:tc>
          <w:tcPr>
            <w:tcW w:w="0" w:type="auto"/>
            <w:gridSpan w:val="3"/>
            <w:shd w:val="clear" w:color="auto" w:fill="auto"/>
            <w:vAlign w:val="bottom"/>
          </w:tcPr>
          <w:p w14:paraId="5F2D352C" w14:textId="77777777" w:rsidR="00E836FB" w:rsidRDefault="00E836FB">
            <w:pPr>
              <w:rPr>
                <w:rFonts w:ascii="宋体"/>
                <w:vanish/>
              </w:rPr>
            </w:pPr>
          </w:p>
        </w:tc>
        <w:tc>
          <w:tcPr>
            <w:tcW w:w="0" w:type="auto"/>
            <w:gridSpan w:val="3"/>
            <w:shd w:val="clear" w:color="auto" w:fill="auto"/>
            <w:vAlign w:val="bottom"/>
          </w:tcPr>
          <w:p w14:paraId="5F2D352D" w14:textId="77777777" w:rsidR="00E836FB" w:rsidRDefault="00E836FB">
            <w:pPr>
              <w:rPr>
                <w:rFonts w:ascii="宋体"/>
                <w:vanish/>
              </w:rPr>
            </w:pPr>
          </w:p>
        </w:tc>
        <w:tc>
          <w:tcPr>
            <w:tcW w:w="0" w:type="auto"/>
            <w:gridSpan w:val="3"/>
            <w:shd w:val="clear" w:color="auto" w:fill="auto"/>
            <w:vAlign w:val="bottom"/>
          </w:tcPr>
          <w:p w14:paraId="5F2D352E" w14:textId="77777777" w:rsidR="00E836FB" w:rsidRDefault="00E836FB">
            <w:pPr>
              <w:rPr>
                <w:rFonts w:ascii="宋体"/>
                <w:vanish/>
              </w:rPr>
            </w:pPr>
          </w:p>
        </w:tc>
        <w:tc>
          <w:tcPr>
            <w:tcW w:w="0" w:type="auto"/>
            <w:gridSpan w:val="3"/>
            <w:shd w:val="clear" w:color="auto" w:fill="auto"/>
            <w:vAlign w:val="bottom"/>
          </w:tcPr>
          <w:p w14:paraId="5F2D352F" w14:textId="77777777" w:rsidR="00E836FB" w:rsidRDefault="00E836FB">
            <w:pPr>
              <w:rPr>
                <w:rFonts w:ascii="宋体"/>
                <w:vanish/>
              </w:rPr>
            </w:pPr>
          </w:p>
        </w:tc>
        <w:tc>
          <w:tcPr>
            <w:tcW w:w="0" w:type="auto"/>
            <w:gridSpan w:val="3"/>
            <w:shd w:val="clear" w:color="auto" w:fill="auto"/>
            <w:vAlign w:val="bottom"/>
          </w:tcPr>
          <w:p w14:paraId="5F2D3530" w14:textId="77777777" w:rsidR="00E836FB" w:rsidRDefault="00E836FB">
            <w:pPr>
              <w:rPr>
                <w:rFonts w:ascii="宋体"/>
                <w:vanish/>
              </w:rPr>
            </w:pPr>
          </w:p>
        </w:tc>
        <w:tc>
          <w:tcPr>
            <w:tcW w:w="0" w:type="auto"/>
            <w:gridSpan w:val="3"/>
            <w:shd w:val="clear" w:color="auto" w:fill="auto"/>
            <w:vAlign w:val="bottom"/>
          </w:tcPr>
          <w:p w14:paraId="5F2D3531" w14:textId="77777777" w:rsidR="00E836FB" w:rsidRDefault="00E836FB">
            <w:pPr>
              <w:rPr>
                <w:rFonts w:ascii="宋体"/>
                <w:vanish/>
              </w:rPr>
            </w:pPr>
          </w:p>
        </w:tc>
        <w:tc>
          <w:tcPr>
            <w:tcW w:w="0" w:type="auto"/>
            <w:gridSpan w:val="3"/>
            <w:shd w:val="clear" w:color="auto" w:fill="auto"/>
            <w:vAlign w:val="bottom"/>
          </w:tcPr>
          <w:p w14:paraId="5F2D3532" w14:textId="77777777" w:rsidR="00E836FB" w:rsidRDefault="00E836FB">
            <w:pPr>
              <w:rPr>
                <w:rFonts w:ascii="宋体"/>
                <w:vanish/>
              </w:rPr>
            </w:pPr>
          </w:p>
        </w:tc>
        <w:tc>
          <w:tcPr>
            <w:tcW w:w="0" w:type="auto"/>
            <w:gridSpan w:val="3"/>
            <w:shd w:val="clear" w:color="auto" w:fill="auto"/>
            <w:vAlign w:val="bottom"/>
          </w:tcPr>
          <w:p w14:paraId="5F2D3533" w14:textId="77777777" w:rsidR="00E836FB" w:rsidRDefault="00E836FB">
            <w:pPr>
              <w:rPr>
                <w:rFonts w:ascii="宋体"/>
                <w:vanish/>
              </w:rPr>
            </w:pPr>
          </w:p>
        </w:tc>
        <w:tc>
          <w:tcPr>
            <w:tcW w:w="0" w:type="auto"/>
            <w:gridSpan w:val="3"/>
            <w:shd w:val="clear" w:color="auto" w:fill="auto"/>
            <w:vAlign w:val="bottom"/>
          </w:tcPr>
          <w:p w14:paraId="5F2D3534" w14:textId="77777777" w:rsidR="00E836FB" w:rsidRDefault="00E836FB">
            <w:pPr>
              <w:rPr>
                <w:rFonts w:ascii="宋体"/>
                <w:vanish/>
              </w:rPr>
            </w:pPr>
          </w:p>
        </w:tc>
        <w:tc>
          <w:tcPr>
            <w:tcW w:w="0" w:type="auto"/>
            <w:gridSpan w:val="3"/>
            <w:shd w:val="clear" w:color="auto" w:fill="auto"/>
            <w:vAlign w:val="bottom"/>
          </w:tcPr>
          <w:p w14:paraId="5F2D3535" w14:textId="77777777" w:rsidR="00E836FB" w:rsidRDefault="00E836FB">
            <w:pPr>
              <w:rPr>
                <w:rFonts w:ascii="宋体"/>
                <w:vanish/>
              </w:rPr>
            </w:pPr>
          </w:p>
        </w:tc>
        <w:tc>
          <w:tcPr>
            <w:tcW w:w="0" w:type="auto"/>
            <w:gridSpan w:val="3"/>
            <w:shd w:val="clear" w:color="auto" w:fill="auto"/>
            <w:vAlign w:val="bottom"/>
          </w:tcPr>
          <w:p w14:paraId="5F2D3536" w14:textId="77777777" w:rsidR="00E836FB" w:rsidRDefault="00E836FB">
            <w:pPr>
              <w:rPr>
                <w:rFonts w:ascii="宋体"/>
                <w:vanish/>
              </w:rPr>
            </w:pPr>
          </w:p>
        </w:tc>
        <w:tc>
          <w:tcPr>
            <w:tcW w:w="0" w:type="auto"/>
            <w:gridSpan w:val="3"/>
            <w:shd w:val="clear" w:color="auto" w:fill="auto"/>
            <w:vAlign w:val="bottom"/>
          </w:tcPr>
          <w:p w14:paraId="5F2D3537" w14:textId="77777777" w:rsidR="00E836FB" w:rsidRDefault="00E836FB">
            <w:pPr>
              <w:rPr>
                <w:rFonts w:ascii="宋体"/>
                <w:vanish/>
              </w:rPr>
            </w:pPr>
          </w:p>
        </w:tc>
        <w:tc>
          <w:tcPr>
            <w:tcW w:w="0" w:type="auto"/>
            <w:gridSpan w:val="3"/>
            <w:shd w:val="clear" w:color="auto" w:fill="auto"/>
            <w:vAlign w:val="bottom"/>
          </w:tcPr>
          <w:p w14:paraId="5F2D3538" w14:textId="77777777" w:rsidR="00E836FB" w:rsidRDefault="00E836FB">
            <w:pPr>
              <w:rPr>
                <w:rFonts w:ascii="宋体"/>
                <w:vanish/>
              </w:rPr>
            </w:pPr>
          </w:p>
        </w:tc>
      </w:tr>
      <w:tr w:rsidR="00E836FB" w14:paraId="5F2D3548" w14:textId="77777777">
        <w:trPr>
          <w:hidden/>
        </w:trPr>
        <w:tc>
          <w:tcPr>
            <w:tcW w:w="0" w:type="auto"/>
            <w:gridSpan w:val="3"/>
            <w:shd w:val="clear" w:color="auto" w:fill="auto"/>
            <w:vAlign w:val="bottom"/>
          </w:tcPr>
          <w:p w14:paraId="5F2D353A" w14:textId="77777777" w:rsidR="00E836FB" w:rsidRDefault="00E836FB">
            <w:pPr>
              <w:rPr>
                <w:rFonts w:ascii="宋体"/>
                <w:vanish/>
              </w:rPr>
            </w:pPr>
          </w:p>
        </w:tc>
        <w:tc>
          <w:tcPr>
            <w:tcW w:w="0" w:type="auto"/>
            <w:gridSpan w:val="3"/>
            <w:shd w:val="clear" w:color="auto" w:fill="auto"/>
            <w:vAlign w:val="bottom"/>
          </w:tcPr>
          <w:p w14:paraId="5F2D353B" w14:textId="77777777" w:rsidR="00E836FB" w:rsidRDefault="00E836FB">
            <w:pPr>
              <w:rPr>
                <w:rFonts w:ascii="宋体"/>
                <w:vanish/>
              </w:rPr>
            </w:pPr>
          </w:p>
        </w:tc>
        <w:tc>
          <w:tcPr>
            <w:tcW w:w="0" w:type="auto"/>
            <w:gridSpan w:val="3"/>
            <w:shd w:val="clear" w:color="auto" w:fill="auto"/>
            <w:vAlign w:val="bottom"/>
          </w:tcPr>
          <w:p w14:paraId="5F2D353C" w14:textId="77777777" w:rsidR="00E836FB" w:rsidRDefault="00E836FB">
            <w:pPr>
              <w:rPr>
                <w:rFonts w:ascii="宋体"/>
                <w:vanish/>
              </w:rPr>
            </w:pPr>
          </w:p>
        </w:tc>
        <w:tc>
          <w:tcPr>
            <w:tcW w:w="0" w:type="auto"/>
            <w:gridSpan w:val="3"/>
            <w:shd w:val="clear" w:color="auto" w:fill="auto"/>
            <w:vAlign w:val="bottom"/>
          </w:tcPr>
          <w:p w14:paraId="5F2D353D" w14:textId="77777777" w:rsidR="00E836FB" w:rsidRDefault="00E836FB">
            <w:pPr>
              <w:rPr>
                <w:rFonts w:ascii="宋体"/>
                <w:vanish/>
              </w:rPr>
            </w:pPr>
          </w:p>
        </w:tc>
        <w:tc>
          <w:tcPr>
            <w:tcW w:w="0" w:type="auto"/>
            <w:gridSpan w:val="3"/>
            <w:shd w:val="clear" w:color="auto" w:fill="auto"/>
            <w:vAlign w:val="bottom"/>
          </w:tcPr>
          <w:p w14:paraId="5F2D353E" w14:textId="77777777" w:rsidR="00E836FB" w:rsidRDefault="00E836FB">
            <w:pPr>
              <w:rPr>
                <w:rFonts w:ascii="宋体"/>
                <w:vanish/>
              </w:rPr>
            </w:pPr>
          </w:p>
        </w:tc>
        <w:tc>
          <w:tcPr>
            <w:tcW w:w="0" w:type="auto"/>
            <w:gridSpan w:val="3"/>
            <w:shd w:val="clear" w:color="auto" w:fill="auto"/>
            <w:vAlign w:val="bottom"/>
          </w:tcPr>
          <w:p w14:paraId="5F2D353F" w14:textId="77777777" w:rsidR="00E836FB" w:rsidRDefault="00E836FB">
            <w:pPr>
              <w:rPr>
                <w:rFonts w:ascii="宋体"/>
                <w:vanish/>
              </w:rPr>
            </w:pPr>
          </w:p>
        </w:tc>
        <w:tc>
          <w:tcPr>
            <w:tcW w:w="0" w:type="auto"/>
            <w:gridSpan w:val="3"/>
            <w:shd w:val="clear" w:color="auto" w:fill="auto"/>
            <w:vAlign w:val="bottom"/>
          </w:tcPr>
          <w:p w14:paraId="5F2D3540" w14:textId="77777777" w:rsidR="00E836FB" w:rsidRDefault="00E836FB">
            <w:pPr>
              <w:rPr>
                <w:rFonts w:ascii="宋体"/>
                <w:vanish/>
              </w:rPr>
            </w:pPr>
          </w:p>
        </w:tc>
        <w:tc>
          <w:tcPr>
            <w:tcW w:w="0" w:type="auto"/>
            <w:gridSpan w:val="3"/>
            <w:shd w:val="clear" w:color="auto" w:fill="auto"/>
            <w:vAlign w:val="bottom"/>
          </w:tcPr>
          <w:p w14:paraId="5F2D3541" w14:textId="77777777" w:rsidR="00E836FB" w:rsidRDefault="00E836FB">
            <w:pPr>
              <w:rPr>
                <w:rFonts w:ascii="宋体"/>
                <w:vanish/>
              </w:rPr>
            </w:pPr>
          </w:p>
        </w:tc>
        <w:tc>
          <w:tcPr>
            <w:tcW w:w="0" w:type="auto"/>
            <w:gridSpan w:val="3"/>
            <w:shd w:val="clear" w:color="auto" w:fill="auto"/>
            <w:vAlign w:val="bottom"/>
          </w:tcPr>
          <w:p w14:paraId="5F2D3542" w14:textId="77777777" w:rsidR="00E836FB" w:rsidRDefault="00E836FB">
            <w:pPr>
              <w:rPr>
                <w:rFonts w:ascii="宋体"/>
                <w:vanish/>
              </w:rPr>
            </w:pPr>
          </w:p>
        </w:tc>
        <w:tc>
          <w:tcPr>
            <w:tcW w:w="0" w:type="auto"/>
            <w:gridSpan w:val="3"/>
            <w:shd w:val="clear" w:color="auto" w:fill="auto"/>
            <w:vAlign w:val="bottom"/>
          </w:tcPr>
          <w:p w14:paraId="5F2D3543" w14:textId="77777777" w:rsidR="00E836FB" w:rsidRDefault="00E836FB">
            <w:pPr>
              <w:rPr>
                <w:rFonts w:ascii="宋体"/>
                <w:vanish/>
              </w:rPr>
            </w:pPr>
          </w:p>
        </w:tc>
        <w:tc>
          <w:tcPr>
            <w:tcW w:w="0" w:type="auto"/>
            <w:gridSpan w:val="3"/>
            <w:shd w:val="clear" w:color="auto" w:fill="auto"/>
            <w:vAlign w:val="bottom"/>
          </w:tcPr>
          <w:p w14:paraId="5F2D3544" w14:textId="77777777" w:rsidR="00E836FB" w:rsidRDefault="00E836FB">
            <w:pPr>
              <w:rPr>
                <w:rFonts w:ascii="宋体"/>
                <w:vanish/>
              </w:rPr>
            </w:pPr>
          </w:p>
        </w:tc>
        <w:tc>
          <w:tcPr>
            <w:tcW w:w="0" w:type="auto"/>
            <w:gridSpan w:val="3"/>
            <w:shd w:val="clear" w:color="auto" w:fill="auto"/>
            <w:vAlign w:val="bottom"/>
          </w:tcPr>
          <w:p w14:paraId="5F2D3545" w14:textId="77777777" w:rsidR="00E836FB" w:rsidRDefault="00E836FB">
            <w:pPr>
              <w:rPr>
                <w:rFonts w:ascii="宋体"/>
                <w:vanish/>
              </w:rPr>
            </w:pPr>
          </w:p>
        </w:tc>
        <w:tc>
          <w:tcPr>
            <w:tcW w:w="0" w:type="auto"/>
            <w:gridSpan w:val="3"/>
            <w:shd w:val="clear" w:color="auto" w:fill="auto"/>
            <w:vAlign w:val="bottom"/>
          </w:tcPr>
          <w:p w14:paraId="5F2D3546" w14:textId="77777777" w:rsidR="00E836FB" w:rsidRDefault="00E836FB">
            <w:pPr>
              <w:rPr>
                <w:rFonts w:ascii="宋体"/>
                <w:vanish/>
              </w:rPr>
            </w:pPr>
          </w:p>
        </w:tc>
        <w:tc>
          <w:tcPr>
            <w:tcW w:w="0" w:type="auto"/>
            <w:gridSpan w:val="3"/>
            <w:shd w:val="clear" w:color="auto" w:fill="auto"/>
            <w:vAlign w:val="bottom"/>
          </w:tcPr>
          <w:p w14:paraId="5F2D3547" w14:textId="77777777" w:rsidR="00E836FB" w:rsidRDefault="00E836FB">
            <w:pPr>
              <w:rPr>
                <w:rFonts w:ascii="宋体"/>
                <w:vanish/>
              </w:rPr>
            </w:pPr>
          </w:p>
        </w:tc>
      </w:tr>
      <w:tr w:rsidR="00E836FB" w14:paraId="5F2D3557" w14:textId="77777777">
        <w:trPr>
          <w:hidden/>
        </w:trPr>
        <w:tc>
          <w:tcPr>
            <w:tcW w:w="0" w:type="auto"/>
            <w:gridSpan w:val="3"/>
            <w:shd w:val="clear" w:color="auto" w:fill="auto"/>
            <w:vAlign w:val="bottom"/>
          </w:tcPr>
          <w:p w14:paraId="5F2D3549" w14:textId="77777777" w:rsidR="00E836FB" w:rsidRDefault="00E836FB">
            <w:pPr>
              <w:rPr>
                <w:rFonts w:ascii="宋体"/>
                <w:vanish/>
              </w:rPr>
            </w:pPr>
          </w:p>
        </w:tc>
        <w:tc>
          <w:tcPr>
            <w:tcW w:w="0" w:type="auto"/>
            <w:gridSpan w:val="3"/>
            <w:shd w:val="clear" w:color="auto" w:fill="auto"/>
            <w:vAlign w:val="bottom"/>
          </w:tcPr>
          <w:p w14:paraId="5F2D354A" w14:textId="77777777" w:rsidR="00E836FB" w:rsidRDefault="00E836FB">
            <w:pPr>
              <w:rPr>
                <w:rFonts w:ascii="宋体"/>
                <w:vanish/>
              </w:rPr>
            </w:pPr>
          </w:p>
        </w:tc>
        <w:tc>
          <w:tcPr>
            <w:tcW w:w="0" w:type="auto"/>
            <w:gridSpan w:val="3"/>
            <w:shd w:val="clear" w:color="auto" w:fill="auto"/>
            <w:vAlign w:val="bottom"/>
          </w:tcPr>
          <w:p w14:paraId="5F2D354B" w14:textId="77777777" w:rsidR="00E836FB" w:rsidRDefault="00E836FB">
            <w:pPr>
              <w:rPr>
                <w:rFonts w:ascii="宋体"/>
                <w:vanish/>
              </w:rPr>
            </w:pPr>
          </w:p>
        </w:tc>
        <w:tc>
          <w:tcPr>
            <w:tcW w:w="0" w:type="auto"/>
            <w:gridSpan w:val="3"/>
            <w:shd w:val="clear" w:color="auto" w:fill="auto"/>
            <w:vAlign w:val="bottom"/>
          </w:tcPr>
          <w:p w14:paraId="5F2D354C" w14:textId="77777777" w:rsidR="00E836FB" w:rsidRDefault="00E836FB">
            <w:pPr>
              <w:rPr>
                <w:rFonts w:ascii="宋体"/>
                <w:vanish/>
              </w:rPr>
            </w:pPr>
          </w:p>
        </w:tc>
        <w:tc>
          <w:tcPr>
            <w:tcW w:w="0" w:type="auto"/>
            <w:gridSpan w:val="3"/>
            <w:shd w:val="clear" w:color="auto" w:fill="auto"/>
            <w:vAlign w:val="bottom"/>
          </w:tcPr>
          <w:p w14:paraId="5F2D354D" w14:textId="77777777" w:rsidR="00E836FB" w:rsidRDefault="00E836FB">
            <w:pPr>
              <w:rPr>
                <w:rFonts w:ascii="宋体"/>
                <w:vanish/>
              </w:rPr>
            </w:pPr>
          </w:p>
        </w:tc>
        <w:tc>
          <w:tcPr>
            <w:tcW w:w="0" w:type="auto"/>
            <w:gridSpan w:val="3"/>
            <w:shd w:val="clear" w:color="auto" w:fill="auto"/>
            <w:vAlign w:val="bottom"/>
          </w:tcPr>
          <w:p w14:paraId="5F2D354E" w14:textId="77777777" w:rsidR="00E836FB" w:rsidRDefault="00E836FB">
            <w:pPr>
              <w:rPr>
                <w:rFonts w:ascii="宋体"/>
                <w:vanish/>
              </w:rPr>
            </w:pPr>
          </w:p>
        </w:tc>
        <w:tc>
          <w:tcPr>
            <w:tcW w:w="0" w:type="auto"/>
            <w:gridSpan w:val="3"/>
            <w:shd w:val="clear" w:color="auto" w:fill="auto"/>
            <w:vAlign w:val="bottom"/>
          </w:tcPr>
          <w:p w14:paraId="5F2D354F" w14:textId="77777777" w:rsidR="00E836FB" w:rsidRDefault="00E836FB">
            <w:pPr>
              <w:rPr>
                <w:rFonts w:ascii="宋体"/>
                <w:vanish/>
              </w:rPr>
            </w:pPr>
          </w:p>
        </w:tc>
        <w:tc>
          <w:tcPr>
            <w:tcW w:w="0" w:type="auto"/>
            <w:gridSpan w:val="3"/>
            <w:shd w:val="clear" w:color="auto" w:fill="auto"/>
            <w:vAlign w:val="bottom"/>
          </w:tcPr>
          <w:p w14:paraId="5F2D3550" w14:textId="77777777" w:rsidR="00E836FB" w:rsidRDefault="00E836FB">
            <w:pPr>
              <w:rPr>
                <w:rFonts w:ascii="宋体"/>
                <w:vanish/>
              </w:rPr>
            </w:pPr>
          </w:p>
        </w:tc>
        <w:tc>
          <w:tcPr>
            <w:tcW w:w="0" w:type="auto"/>
            <w:gridSpan w:val="3"/>
            <w:shd w:val="clear" w:color="auto" w:fill="auto"/>
            <w:vAlign w:val="bottom"/>
          </w:tcPr>
          <w:p w14:paraId="5F2D3551" w14:textId="77777777" w:rsidR="00E836FB" w:rsidRDefault="00E836FB">
            <w:pPr>
              <w:rPr>
                <w:rFonts w:ascii="宋体"/>
                <w:vanish/>
              </w:rPr>
            </w:pPr>
          </w:p>
        </w:tc>
        <w:tc>
          <w:tcPr>
            <w:tcW w:w="0" w:type="auto"/>
            <w:gridSpan w:val="3"/>
            <w:shd w:val="clear" w:color="auto" w:fill="auto"/>
            <w:vAlign w:val="bottom"/>
          </w:tcPr>
          <w:p w14:paraId="5F2D3552" w14:textId="77777777" w:rsidR="00E836FB" w:rsidRDefault="00E836FB">
            <w:pPr>
              <w:rPr>
                <w:rFonts w:ascii="宋体"/>
                <w:vanish/>
              </w:rPr>
            </w:pPr>
          </w:p>
        </w:tc>
        <w:tc>
          <w:tcPr>
            <w:tcW w:w="0" w:type="auto"/>
            <w:gridSpan w:val="3"/>
            <w:shd w:val="clear" w:color="auto" w:fill="auto"/>
            <w:vAlign w:val="bottom"/>
          </w:tcPr>
          <w:p w14:paraId="5F2D3553" w14:textId="77777777" w:rsidR="00E836FB" w:rsidRDefault="00E836FB">
            <w:pPr>
              <w:rPr>
                <w:rFonts w:ascii="宋体"/>
                <w:vanish/>
              </w:rPr>
            </w:pPr>
          </w:p>
        </w:tc>
        <w:tc>
          <w:tcPr>
            <w:tcW w:w="0" w:type="auto"/>
            <w:gridSpan w:val="3"/>
            <w:shd w:val="clear" w:color="auto" w:fill="auto"/>
            <w:vAlign w:val="bottom"/>
          </w:tcPr>
          <w:p w14:paraId="5F2D3554" w14:textId="77777777" w:rsidR="00E836FB" w:rsidRDefault="00E836FB">
            <w:pPr>
              <w:rPr>
                <w:rFonts w:ascii="宋体"/>
                <w:vanish/>
              </w:rPr>
            </w:pPr>
          </w:p>
        </w:tc>
        <w:tc>
          <w:tcPr>
            <w:tcW w:w="0" w:type="auto"/>
            <w:gridSpan w:val="3"/>
            <w:shd w:val="clear" w:color="auto" w:fill="auto"/>
            <w:vAlign w:val="bottom"/>
          </w:tcPr>
          <w:p w14:paraId="5F2D3555" w14:textId="77777777" w:rsidR="00E836FB" w:rsidRDefault="00E836FB">
            <w:pPr>
              <w:rPr>
                <w:rFonts w:ascii="宋体"/>
                <w:vanish/>
              </w:rPr>
            </w:pPr>
          </w:p>
        </w:tc>
        <w:tc>
          <w:tcPr>
            <w:tcW w:w="0" w:type="auto"/>
            <w:gridSpan w:val="3"/>
            <w:shd w:val="clear" w:color="auto" w:fill="auto"/>
            <w:vAlign w:val="bottom"/>
          </w:tcPr>
          <w:p w14:paraId="5F2D3556" w14:textId="77777777" w:rsidR="00E836FB" w:rsidRDefault="00E836FB">
            <w:pPr>
              <w:rPr>
                <w:rFonts w:ascii="宋体"/>
                <w:vanish/>
              </w:rPr>
            </w:pPr>
          </w:p>
        </w:tc>
      </w:tr>
      <w:tr w:rsidR="00E836FB" w14:paraId="5F2D3566" w14:textId="77777777">
        <w:trPr>
          <w:hidden/>
        </w:trPr>
        <w:tc>
          <w:tcPr>
            <w:tcW w:w="0" w:type="auto"/>
            <w:gridSpan w:val="3"/>
            <w:shd w:val="clear" w:color="auto" w:fill="auto"/>
            <w:vAlign w:val="bottom"/>
          </w:tcPr>
          <w:p w14:paraId="5F2D3558" w14:textId="77777777" w:rsidR="00E836FB" w:rsidRDefault="00E836FB">
            <w:pPr>
              <w:rPr>
                <w:rFonts w:ascii="宋体"/>
                <w:vanish/>
              </w:rPr>
            </w:pPr>
          </w:p>
        </w:tc>
        <w:tc>
          <w:tcPr>
            <w:tcW w:w="0" w:type="auto"/>
            <w:gridSpan w:val="3"/>
            <w:shd w:val="clear" w:color="auto" w:fill="auto"/>
            <w:vAlign w:val="bottom"/>
          </w:tcPr>
          <w:p w14:paraId="5F2D3559" w14:textId="77777777" w:rsidR="00E836FB" w:rsidRDefault="00E836FB">
            <w:pPr>
              <w:rPr>
                <w:rFonts w:ascii="宋体"/>
                <w:vanish/>
              </w:rPr>
            </w:pPr>
          </w:p>
        </w:tc>
        <w:tc>
          <w:tcPr>
            <w:tcW w:w="0" w:type="auto"/>
            <w:gridSpan w:val="3"/>
            <w:shd w:val="clear" w:color="auto" w:fill="auto"/>
            <w:vAlign w:val="bottom"/>
          </w:tcPr>
          <w:p w14:paraId="5F2D355A" w14:textId="77777777" w:rsidR="00E836FB" w:rsidRDefault="00E836FB">
            <w:pPr>
              <w:rPr>
                <w:rFonts w:ascii="宋体"/>
                <w:vanish/>
              </w:rPr>
            </w:pPr>
          </w:p>
        </w:tc>
        <w:tc>
          <w:tcPr>
            <w:tcW w:w="0" w:type="auto"/>
            <w:gridSpan w:val="3"/>
            <w:shd w:val="clear" w:color="auto" w:fill="auto"/>
            <w:vAlign w:val="bottom"/>
          </w:tcPr>
          <w:p w14:paraId="5F2D355B" w14:textId="77777777" w:rsidR="00E836FB" w:rsidRDefault="00E836FB">
            <w:pPr>
              <w:rPr>
                <w:rFonts w:ascii="宋体"/>
                <w:vanish/>
              </w:rPr>
            </w:pPr>
          </w:p>
        </w:tc>
        <w:tc>
          <w:tcPr>
            <w:tcW w:w="0" w:type="auto"/>
            <w:gridSpan w:val="3"/>
            <w:shd w:val="clear" w:color="auto" w:fill="auto"/>
            <w:vAlign w:val="bottom"/>
          </w:tcPr>
          <w:p w14:paraId="5F2D355C" w14:textId="77777777" w:rsidR="00E836FB" w:rsidRDefault="00E836FB">
            <w:pPr>
              <w:rPr>
                <w:rFonts w:ascii="宋体"/>
                <w:vanish/>
              </w:rPr>
            </w:pPr>
          </w:p>
        </w:tc>
        <w:tc>
          <w:tcPr>
            <w:tcW w:w="0" w:type="auto"/>
            <w:gridSpan w:val="3"/>
            <w:shd w:val="clear" w:color="auto" w:fill="auto"/>
            <w:vAlign w:val="bottom"/>
          </w:tcPr>
          <w:p w14:paraId="5F2D355D" w14:textId="77777777" w:rsidR="00E836FB" w:rsidRDefault="00E836FB">
            <w:pPr>
              <w:rPr>
                <w:rFonts w:ascii="宋体"/>
                <w:vanish/>
              </w:rPr>
            </w:pPr>
          </w:p>
        </w:tc>
        <w:tc>
          <w:tcPr>
            <w:tcW w:w="0" w:type="auto"/>
            <w:gridSpan w:val="3"/>
            <w:shd w:val="clear" w:color="auto" w:fill="auto"/>
            <w:vAlign w:val="bottom"/>
          </w:tcPr>
          <w:p w14:paraId="5F2D355E" w14:textId="77777777" w:rsidR="00E836FB" w:rsidRDefault="00E836FB">
            <w:pPr>
              <w:rPr>
                <w:rFonts w:ascii="宋体"/>
                <w:vanish/>
              </w:rPr>
            </w:pPr>
          </w:p>
        </w:tc>
        <w:tc>
          <w:tcPr>
            <w:tcW w:w="0" w:type="auto"/>
            <w:gridSpan w:val="3"/>
            <w:shd w:val="clear" w:color="auto" w:fill="auto"/>
            <w:vAlign w:val="bottom"/>
          </w:tcPr>
          <w:p w14:paraId="5F2D355F" w14:textId="77777777" w:rsidR="00E836FB" w:rsidRDefault="00E836FB">
            <w:pPr>
              <w:rPr>
                <w:rFonts w:ascii="宋体"/>
                <w:vanish/>
              </w:rPr>
            </w:pPr>
          </w:p>
        </w:tc>
        <w:tc>
          <w:tcPr>
            <w:tcW w:w="0" w:type="auto"/>
            <w:gridSpan w:val="3"/>
            <w:shd w:val="clear" w:color="auto" w:fill="auto"/>
            <w:vAlign w:val="bottom"/>
          </w:tcPr>
          <w:p w14:paraId="5F2D3560" w14:textId="77777777" w:rsidR="00E836FB" w:rsidRDefault="00E836FB">
            <w:pPr>
              <w:rPr>
                <w:rFonts w:ascii="宋体"/>
                <w:vanish/>
              </w:rPr>
            </w:pPr>
          </w:p>
        </w:tc>
        <w:tc>
          <w:tcPr>
            <w:tcW w:w="0" w:type="auto"/>
            <w:gridSpan w:val="3"/>
            <w:shd w:val="clear" w:color="auto" w:fill="auto"/>
            <w:vAlign w:val="bottom"/>
          </w:tcPr>
          <w:p w14:paraId="5F2D3561" w14:textId="77777777" w:rsidR="00E836FB" w:rsidRDefault="00E836FB">
            <w:pPr>
              <w:rPr>
                <w:rFonts w:ascii="宋体"/>
                <w:vanish/>
              </w:rPr>
            </w:pPr>
          </w:p>
        </w:tc>
        <w:tc>
          <w:tcPr>
            <w:tcW w:w="0" w:type="auto"/>
            <w:gridSpan w:val="3"/>
            <w:shd w:val="clear" w:color="auto" w:fill="auto"/>
            <w:vAlign w:val="bottom"/>
          </w:tcPr>
          <w:p w14:paraId="5F2D3562" w14:textId="77777777" w:rsidR="00E836FB" w:rsidRDefault="00E836FB">
            <w:pPr>
              <w:rPr>
                <w:rFonts w:ascii="宋体"/>
                <w:vanish/>
              </w:rPr>
            </w:pPr>
          </w:p>
        </w:tc>
        <w:tc>
          <w:tcPr>
            <w:tcW w:w="0" w:type="auto"/>
            <w:gridSpan w:val="3"/>
            <w:shd w:val="clear" w:color="auto" w:fill="auto"/>
            <w:vAlign w:val="bottom"/>
          </w:tcPr>
          <w:p w14:paraId="5F2D3563" w14:textId="77777777" w:rsidR="00E836FB" w:rsidRDefault="00E836FB">
            <w:pPr>
              <w:rPr>
                <w:rFonts w:ascii="宋体"/>
                <w:vanish/>
              </w:rPr>
            </w:pPr>
          </w:p>
        </w:tc>
        <w:tc>
          <w:tcPr>
            <w:tcW w:w="0" w:type="auto"/>
            <w:gridSpan w:val="3"/>
            <w:shd w:val="clear" w:color="auto" w:fill="auto"/>
            <w:vAlign w:val="bottom"/>
          </w:tcPr>
          <w:p w14:paraId="5F2D3564" w14:textId="77777777" w:rsidR="00E836FB" w:rsidRDefault="00E836FB">
            <w:pPr>
              <w:rPr>
                <w:rFonts w:ascii="宋体"/>
                <w:vanish/>
              </w:rPr>
            </w:pPr>
          </w:p>
        </w:tc>
        <w:tc>
          <w:tcPr>
            <w:tcW w:w="0" w:type="auto"/>
            <w:gridSpan w:val="3"/>
            <w:shd w:val="clear" w:color="auto" w:fill="auto"/>
            <w:vAlign w:val="bottom"/>
          </w:tcPr>
          <w:p w14:paraId="5F2D3565" w14:textId="77777777" w:rsidR="00E836FB" w:rsidRDefault="00E836FB">
            <w:pPr>
              <w:rPr>
                <w:rFonts w:ascii="宋体"/>
                <w:vanish/>
              </w:rPr>
            </w:pPr>
          </w:p>
        </w:tc>
      </w:tr>
    </w:tbl>
    <w:p w14:paraId="5F2D3567" w14:textId="77777777" w:rsidR="00E836FB" w:rsidRDefault="00994958">
      <w:pPr>
        <w:spacing w:before="60"/>
        <w:jc w:val="both"/>
      </w:pPr>
      <w:r>
        <w:rPr>
          <w:rFonts w:ascii="Arial" w:eastAsia="宋体" w:hAnsi="Arial" w:cs="Arial"/>
          <w:b/>
          <w:bCs/>
          <w:i/>
          <w:iCs/>
          <w:color w:val="000000"/>
          <w:sz w:val="20"/>
          <w:szCs w:val="20"/>
        </w:rPr>
        <w:t>Derivatives Netting and Credit Contingencies</w:t>
      </w:r>
    </w:p>
    <w:p w14:paraId="5F2D3568" w14:textId="77777777" w:rsidR="00E836FB" w:rsidRDefault="00994958">
      <w:pPr>
        <w:spacing w:before="60"/>
        <w:jc w:val="both"/>
      </w:pPr>
      <w:r>
        <w:rPr>
          <w:rFonts w:ascii="Arial" w:eastAsia="宋体" w:hAnsi="Arial" w:cs="Arial"/>
          <w:i/>
          <w:iCs/>
          <w:color w:val="000000"/>
          <w:sz w:val="20"/>
          <w:szCs w:val="20"/>
        </w:rPr>
        <w:t>Netting</w:t>
      </w:r>
    </w:p>
    <w:p w14:paraId="5F2D3569" w14:textId="77777777" w:rsidR="00E836FB" w:rsidRDefault="00994958">
      <w:pPr>
        <w:spacing w:before="60"/>
        <w:ind w:firstLine="450"/>
        <w:jc w:val="both"/>
      </w:pPr>
      <w:r>
        <w:rPr>
          <w:rFonts w:ascii="Arial" w:eastAsia="宋体" w:hAnsi="Arial" w:cs="Arial"/>
          <w:color w:val="000000"/>
          <w:sz w:val="20"/>
          <w:szCs w:val="20"/>
        </w:rPr>
        <w:t xml:space="preserve">Derivatives receivable and payable as well as cash collateral from the same counterparty are netted in the consolidated statement of </w:t>
      </w:r>
      <w:r>
        <w:rPr>
          <w:rFonts w:ascii="Arial" w:eastAsia="宋体" w:hAnsi="Arial" w:cs="Arial"/>
          <w:color w:val="000000"/>
          <w:sz w:val="20"/>
          <w:szCs w:val="20"/>
        </w:rPr>
        <w:t>condition for those counterparties with whom we have legally binding master netting agreements in place. In addition to cash collateral received and transferred presented on a net basis, we also receive and transfer collateral in the form of securities, wh</w:t>
      </w:r>
      <w:r>
        <w:rPr>
          <w:rFonts w:ascii="Arial" w:eastAsia="宋体" w:hAnsi="Arial" w:cs="Arial"/>
          <w:color w:val="000000"/>
          <w:sz w:val="20"/>
          <w:szCs w:val="20"/>
        </w:rPr>
        <w:t>ich mitigate credit risk but are not eligible for netting. Additional information on netting is provided in Note 11.</w:t>
      </w:r>
    </w:p>
    <w:p w14:paraId="5F2D356A" w14:textId="77777777" w:rsidR="00E836FB" w:rsidRDefault="00994958">
      <w:pPr>
        <w:spacing w:before="60"/>
        <w:jc w:val="both"/>
      </w:pPr>
      <w:r>
        <w:rPr>
          <w:rFonts w:ascii="Arial" w:eastAsia="宋体" w:hAnsi="Arial" w:cs="Arial"/>
          <w:i/>
          <w:iCs/>
          <w:color w:val="000000"/>
          <w:sz w:val="20"/>
          <w:szCs w:val="20"/>
        </w:rPr>
        <w:t xml:space="preserve">Credit Contingencies </w:t>
      </w:r>
    </w:p>
    <w:p w14:paraId="5F2D356B" w14:textId="77777777" w:rsidR="00E836FB" w:rsidRDefault="00994958">
      <w:pPr>
        <w:spacing w:before="20"/>
        <w:ind w:firstLine="450"/>
        <w:jc w:val="both"/>
      </w:pPr>
      <w:r>
        <w:rPr>
          <w:rFonts w:ascii="Arial" w:eastAsia="宋体" w:hAnsi="Arial" w:cs="Arial"/>
          <w:color w:val="000000"/>
          <w:sz w:val="20"/>
          <w:szCs w:val="20"/>
        </w:rPr>
        <w:t>Certain of our derivatives are subject to master netting agreements with our derivative counterparties containing cre</w:t>
      </w:r>
      <w:r>
        <w:rPr>
          <w:rFonts w:ascii="Arial" w:eastAsia="宋体" w:hAnsi="Arial" w:cs="Arial"/>
          <w:color w:val="000000"/>
          <w:sz w:val="20"/>
          <w:szCs w:val="20"/>
        </w:rPr>
        <w:t>dit risk-related contingent features, which requires us to maintain an investment grade credit rating with the various credit rating agencies. If our rating falls below investment grade, we would be in violation of the provisions, and counterparties to the</w:t>
      </w:r>
      <w:r>
        <w:rPr>
          <w:rFonts w:ascii="Arial" w:eastAsia="宋体" w:hAnsi="Arial" w:cs="Arial"/>
          <w:color w:val="000000"/>
          <w:sz w:val="20"/>
          <w:szCs w:val="20"/>
        </w:rPr>
        <w:t xml:space="preserve"> derivatives could request immediate payment or demand full overnight collateralization on derivatives instruments in net liability positions. The aggregate fair value of all derivatives with credit contingent features and in a net liability position as of</w:t>
      </w:r>
      <w:r>
        <w:rPr>
          <w:rFonts w:ascii="Arial" w:eastAsia="宋体" w:hAnsi="Arial" w:cs="Arial"/>
          <w:color w:val="000000"/>
          <w:sz w:val="20"/>
          <w:szCs w:val="20"/>
        </w:rPr>
        <w:t xml:space="preserve"> December 31, 2021 totaled approximately $3.36 billion, against which we provided $1.71 billion of collateral in the normal course of business. If our credit related contingent features underlying these agreements were triggered as of December 31, 2021, th</w:t>
      </w:r>
      <w:r>
        <w:rPr>
          <w:rFonts w:ascii="Arial" w:eastAsia="宋体" w:hAnsi="Arial" w:cs="Arial"/>
          <w:color w:val="000000"/>
          <w:sz w:val="20"/>
          <w:szCs w:val="20"/>
        </w:rPr>
        <w:t>e maximum additional collateral we would be required to post to our counterparties is approximately $1.65 billion.</w:t>
      </w:r>
    </w:p>
    <w:p w14:paraId="5F2D356C" w14:textId="77777777" w:rsidR="00E836FB" w:rsidRDefault="00994958">
      <w:pPr>
        <w:ind w:firstLine="450"/>
        <w:jc w:val="right"/>
      </w:pPr>
      <w:r>
        <w:rPr>
          <w:rFonts w:ascii="Arial" w:eastAsia="宋体" w:hAnsi="Arial" w:cs="Arial"/>
          <w:color w:val="000000"/>
          <w:sz w:val="18"/>
          <w:szCs w:val="18"/>
        </w:rPr>
        <w:t>State Street Corporation | 161</w:t>
      </w:r>
    </w:p>
    <w:p w14:paraId="5F2D356D" w14:textId="77777777" w:rsidR="00E836FB" w:rsidRDefault="00E836FB">
      <w:pPr>
        <w:ind w:firstLine="450"/>
        <w:jc w:val="center"/>
      </w:pPr>
    </w:p>
    <w:p w14:paraId="5F2D356E" w14:textId="77777777" w:rsidR="00E836FB" w:rsidRDefault="00994958">
      <w:r>
        <w:pict w14:anchorId="5F2D6E26">
          <v:rect id="_x0000_i1185" style="width:415.3pt;height:1.5pt" o:hralign="center" o:hrstd="t" o:hr="t" fillcolor="#a0a0a0" stroked="f"/>
        </w:pict>
      </w:r>
    </w:p>
    <w:p w14:paraId="5F2D356F" w14:textId="77777777" w:rsidR="00E836FB" w:rsidRDefault="00994958">
      <w:pPr>
        <w:ind w:firstLine="450"/>
        <w:jc w:val="center"/>
      </w:pPr>
      <w:r>
        <w:rPr>
          <w:rFonts w:ascii="Arial" w:eastAsia="宋体" w:hAnsi="Arial" w:cs="Arial"/>
          <w:b/>
          <w:bCs/>
          <w:color w:val="000000"/>
          <w:sz w:val="20"/>
          <w:szCs w:val="20"/>
        </w:rPr>
        <w:t>STATE STREET CORPORATION</w:t>
      </w:r>
    </w:p>
    <w:p w14:paraId="5F2D3570"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3571" w14:textId="77777777" w:rsidR="00E836FB" w:rsidRDefault="00994958">
      <w:pPr>
        <w:spacing w:before="180"/>
        <w:jc w:val="both"/>
      </w:pPr>
      <w:r>
        <w:rPr>
          <w:rFonts w:ascii="Arial" w:eastAsia="宋体" w:hAnsi="Arial" w:cs="Arial"/>
          <w:b/>
          <w:bCs/>
          <w:color w:val="000000"/>
          <w:sz w:val="20"/>
          <w:szCs w:val="20"/>
        </w:rPr>
        <w:t>Note 11. Offsetting Arrangements</w:t>
      </w:r>
    </w:p>
    <w:p w14:paraId="5F2D3572" w14:textId="77777777" w:rsidR="00E836FB" w:rsidRDefault="00994958">
      <w:pPr>
        <w:spacing w:before="60"/>
        <w:ind w:firstLine="450"/>
        <w:jc w:val="both"/>
      </w:pPr>
      <w:r>
        <w:rPr>
          <w:rFonts w:ascii="Arial" w:eastAsia="宋体" w:hAnsi="Arial" w:cs="Arial"/>
          <w:color w:val="000000"/>
          <w:sz w:val="20"/>
          <w:szCs w:val="20"/>
        </w:rPr>
        <w:t>Certai</w:t>
      </w:r>
      <w:r>
        <w:rPr>
          <w:rFonts w:ascii="Arial" w:eastAsia="宋体" w:hAnsi="Arial" w:cs="Arial"/>
          <w:color w:val="000000"/>
          <w:sz w:val="20"/>
          <w:szCs w:val="20"/>
        </w:rPr>
        <w:t>n of our transactions are subject to master netting agreements that allow us to net receivables and payables by contract and settlement type. For those legally enforceable contracts, we net receivables and payables with the same counterparty on our stateme</w:t>
      </w:r>
      <w:r>
        <w:rPr>
          <w:rFonts w:ascii="Arial" w:eastAsia="宋体" w:hAnsi="Arial" w:cs="Arial"/>
          <w:color w:val="000000"/>
          <w:sz w:val="20"/>
          <w:szCs w:val="20"/>
        </w:rPr>
        <w:t>nt of condition.</w:t>
      </w:r>
    </w:p>
    <w:p w14:paraId="5F2D3573" w14:textId="77777777" w:rsidR="00E836FB" w:rsidRDefault="00994958">
      <w:pPr>
        <w:spacing w:before="60"/>
        <w:ind w:firstLine="450"/>
        <w:jc w:val="both"/>
      </w:pPr>
      <w:r>
        <w:rPr>
          <w:rFonts w:ascii="Arial" w:eastAsia="宋体" w:hAnsi="Arial" w:cs="Arial"/>
          <w:color w:val="000000"/>
          <w:sz w:val="20"/>
          <w:szCs w:val="20"/>
        </w:rPr>
        <w:t>In addition to netting receivables and payables with our derivatives counterparty where a legal and enforceable netting arrangement exists, we also net related cash collateral received and transferred up to the fair value exposure amount.</w:t>
      </w:r>
    </w:p>
    <w:p w14:paraId="5F2D3574" w14:textId="77777777" w:rsidR="00E836FB" w:rsidRDefault="00994958">
      <w:pPr>
        <w:spacing w:before="60"/>
        <w:ind w:firstLine="450"/>
        <w:jc w:val="both"/>
      </w:pPr>
      <w:r>
        <w:rPr>
          <w:rFonts w:ascii="Arial" w:eastAsia="宋体" w:hAnsi="Arial" w:cs="Arial"/>
          <w:color w:val="000000"/>
          <w:sz w:val="20"/>
          <w:szCs w:val="20"/>
        </w:rPr>
        <w:t xml:space="preserve">With respect to our securities financing arrangements, we net balances outstanding on our consolidated statement of condition for those transactions that met the netting requirements and were transacted under a legally enforceable netting arrangement with </w:t>
      </w:r>
      <w:r>
        <w:rPr>
          <w:rFonts w:ascii="Arial" w:eastAsia="宋体" w:hAnsi="Arial" w:cs="Arial"/>
          <w:color w:val="000000"/>
          <w:sz w:val="20"/>
          <w:szCs w:val="20"/>
        </w:rPr>
        <w:t>the counterparty.</w:t>
      </w:r>
    </w:p>
    <w:p w14:paraId="5F2D3575" w14:textId="77777777" w:rsidR="00E836FB" w:rsidRDefault="00994958">
      <w:pPr>
        <w:spacing w:before="60"/>
        <w:ind w:firstLine="450"/>
        <w:jc w:val="both"/>
      </w:pPr>
      <w:r>
        <w:rPr>
          <w:rFonts w:ascii="Arial" w:eastAsia="宋体" w:hAnsi="Arial" w:cs="Arial"/>
          <w:color w:val="000000"/>
          <w:sz w:val="20"/>
          <w:szCs w:val="20"/>
        </w:rPr>
        <w:t>Securities received as collateral under securities financing or derivatives transactions can be transferred as collateral in many instances. The securities received as proceeds under secured lending transactions are recorded at a value th</w:t>
      </w:r>
      <w:r>
        <w:rPr>
          <w:rFonts w:ascii="Arial" w:eastAsia="宋体" w:hAnsi="Arial" w:cs="Arial"/>
          <w:color w:val="000000"/>
          <w:sz w:val="20"/>
          <w:szCs w:val="20"/>
        </w:rPr>
        <w:t>at approximates fair value in other assets in our consolidated statement of condition with a related liability to return the collateral, if we have the right to transfer or re-pledge the collateral.</w:t>
      </w:r>
    </w:p>
    <w:p w14:paraId="5F2D3576" w14:textId="77777777" w:rsidR="00E836FB" w:rsidRDefault="00994958">
      <w:pPr>
        <w:spacing w:before="60"/>
        <w:ind w:firstLine="450"/>
        <w:jc w:val="both"/>
      </w:pPr>
      <w:r>
        <w:rPr>
          <w:rFonts w:ascii="Arial" w:eastAsia="宋体" w:hAnsi="Arial" w:cs="Arial"/>
          <w:color w:val="000000"/>
          <w:sz w:val="20"/>
          <w:szCs w:val="20"/>
        </w:rPr>
        <w:t xml:space="preserve">As of December 31, 2021 and December 31, 2020, the value </w:t>
      </w:r>
      <w:r>
        <w:rPr>
          <w:rFonts w:ascii="Arial" w:eastAsia="宋体" w:hAnsi="Arial" w:cs="Arial"/>
          <w:color w:val="000000"/>
          <w:sz w:val="20"/>
          <w:szCs w:val="20"/>
        </w:rPr>
        <w:t>of securities received as collateral from third parties where we are permitted to transfer or re-pledge the securities totaled $1.60 billion and $6.48 billion, respectively, and the fair value of the portion that had been transferred or re-pledged as of th</w:t>
      </w:r>
      <w:r>
        <w:rPr>
          <w:rFonts w:ascii="Arial" w:eastAsia="宋体" w:hAnsi="Arial" w:cs="Arial"/>
          <w:color w:val="000000"/>
          <w:sz w:val="20"/>
          <w:szCs w:val="20"/>
        </w:rPr>
        <w:t xml:space="preserve">e same dates was nil and $3.88 billion, respectively. </w:t>
      </w:r>
    </w:p>
    <w:p w14:paraId="5F2D3577" w14:textId="77777777" w:rsidR="00E836FB" w:rsidRDefault="00994958">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40"/>
        <w:gridCol w:w="2063"/>
        <w:gridCol w:w="38"/>
        <w:gridCol w:w="105"/>
        <w:gridCol w:w="888"/>
        <w:gridCol w:w="36"/>
        <w:gridCol w:w="36"/>
        <w:gridCol w:w="36"/>
        <w:gridCol w:w="36"/>
        <w:gridCol w:w="105"/>
        <w:gridCol w:w="960"/>
        <w:gridCol w:w="36"/>
        <w:gridCol w:w="36"/>
        <w:gridCol w:w="36"/>
        <w:gridCol w:w="36"/>
        <w:gridCol w:w="105"/>
        <w:gridCol w:w="1100"/>
        <w:gridCol w:w="36"/>
        <w:gridCol w:w="36"/>
        <w:gridCol w:w="36"/>
        <w:gridCol w:w="36"/>
        <w:gridCol w:w="105"/>
        <w:gridCol w:w="941"/>
        <w:gridCol w:w="37"/>
        <w:gridCol w:w="36"/>
        <w:gridCol w:w="36"/>
        <w:gridCol w:w="36"/>
        <w:gridCol w:w="105"/>
        <w:gridCol w:w="687"/>
        <w:gridCol w:w="37"/>
        <w:gridCol w:w="36"/>
        <w:gridCol w:w="36"/>
        <w:gridCol w:w="36"/>
        <w:gridCol w:w="36"/>
        <w:gridCol w:w="36"/>
        <w:gridCol w:w="36"/>
        <w:gridCol w:w="36"/>
        <w:gridCol w:w="36"/>
        <w:gridCol w:w="36"/>
        <w:gridCol w:w="36"/>
        <w:gridCol w:w="36"/>
        <w:gridCol w:w="36"/>
        <w:gridCol w:w="36"/>
      </w:tblGrid>
      <w:tr w:rsidR="00E836FB" w14:paraId="5F2D359B" w14:textId="77777777">
        <w:tc>
          <w:tcPr>
            <w:tcW w:w="50" w:type="pct"/>
            <w:shd w:val="clear" w:color="auto" w:fill="auto"/>
            <w:vAlign w:val="bottom"/>
          </w:tcPr>
          <w:p w14:paraId="5F2D3578" w14:textId="77777777" w:rsidR="00E836FB" w:rsidRDefault="00E836FB">
            <w:pPr>
              <w:rPr>
                <w:rFonts w:ascii="宋体"/>
              </w:rPr>
            </w:pPr>
          </w:p>
        </w:tc>
        <w:tc>
          <w:tcPr>
            <w:tcW w:w="1350" w:type="pct"/>
            <w:shd w:val="clear" w:color="auto" w:fill="auto"/>
            <w:vAlign w:val="bottom"/>
          </w:tcPr>
          <w:p w14:paraId="5F2D3579" w14:textId="77777777" w:rsidR="00E836FB" w:rsidRDefault="00E836FB">
            <w:pPr>
              <w:rPr>
                <w:rFonts w:ascii="宋体"/>
              </w:rPr>
            </w:pPr>
          </w:p>
        </w:tc>
        <w:tc>
          <w:tcPr>
            <w:tcW w:w="5" w:type="pct"/>
            <w:shd w:val="clear" w:color="auto" w:fill="auto"/>
            <w:vAlign w:val="bottom"/>
          </w:tcPr>
          <w:p w14:paraId="5F2D357A" w14:textId="77777777" w:rsidR="00E836FB" w:rsidRDefault="00E836FB">
            <w:pPr>
              <w:rPr>
                <w:rFonts w:ascii="宋体"/>
              </w:rPr>
            </w:pPr>
          </w:p>
        </w:tc>
        <w:tc>
          <w:tcPr>
            <w:tcW w:w="50" w:type="pct"/>
            <w:shd w:val="clear" w:color="auto" w:fill="auto"/>
            <w:vAlign w:val="bottom"/>
          </w:tcPr>
          <w:p w14:paraId="5F2D357B" w14:textId="77777777" w:rsidR="00E836FB" w:rsidRDefault="00E836FB">
            <w:pPr>
              <w:rPr>
                <w:rFonts w:ascii="宋体"/>
              </w:rPr>
            </w:pPr>
          </w:p>
        </w:tc>
        <w:tc>
          <w:tcPr>
            <w:tcW w:w="596" w:type="pct"/>
            <w:shd w:val="clear" w:color="auto" w:fill="auto"/>
            <w:vAlign w:val="bottom"/>
          </w:tcPr>
          <w:p w14:paraId="5F2D357C" w14:textId="77777777" w:rsidR="00E836FB" w:rsidRDefault="00E836FB">
            <w:pPr>
              <w:rPr>
                <w:rFonts w:ascii="宋体"/>
              </w:rPr>
            </w:pPr>
          </w:p>
        </w:tc>
        <w:tc>
          <w:tcPr>
            <w:tcW w:w="5" w:type="pct"/>
            <w:shd w:val="clear" w:color="auto" w:fill="auto"/>
            <w:vAlign w:val="bottom"/>
          </w:tcPr>
          <w:p w14:paraId="5F2D357D" w14:textId="77777777" w:rsidR="00E836FB" w:rsidRDefault="00E836FB">
            <w:pPr>
              <w:rPr>
                <w:rFonts w:ascii="宋体"/>
              </w:rPr>
            </w:pPr>
          </w:p>
        </w:tc>
        <w:tc>
          <w:tcPr>
            <w:tcW w:w="5" w:type="pct"/>
            <w:shd w:val="clear" w:color="auto" w:fill="auto"/>
            <w:vAlign w:val="bottom"/>
          </w:tcPr>
          <w:p w14:paraId="5F2D357E" w14:textId="77777777" w:rsidR="00E836FB" w:rsidRDefault="00E836FB">
            <w:pPr>
              <w:rPr>
                <w:rFonts w:ascii="宋体"/>
              </w:rPr>
            </w:pPr>
          </w:p>
        </w:tc>
        <w:tc>
          <w:tcPr>
            <w:tcW w:w="26" w:type="pct"/>
            <w:shd w:val="clear" w:color="auto" w:fill="auto"/>
            <w:vAlign w:val="bottom"/>
          </w:tcPr>
          <w:p w14:paraId="5F2D357F" w14:textId="77777777" w:rsidR="00E836FB" w:rsidRDefault="00E836FB">
            <w:pPr>
              <w:rPr>
                <w:rFonts w:ascii="宋体"/>
              </w:rPr>
            </w:pPr>
          </w:p>
        </w:tc>
        <w:tc>
          <w:tcPr>
            <w:tcW w:w="5" w:type="pct"/>
            <w:shd w:val="clear" w:color="auto" w:fill="auto"/>
            <w:vAlign w:val="bottom"/>
          </w:tcPr>
          <w:p w14:paraId="5F2D3580" w14:textId="77777777" w:rsidR="00E836FB" w:rsidRDefault="00E836FB">
            <w:pPr>
              <w:rPr>
                <w:rFonts w:ascii="宋体"/>
              </w:rPr>
            </w:pPr>
          </w:p>
        </w:tc>
        <w:tc>
          <w:tcPr>
            <w:tcW w:w="50" w:type="pct"/>
            <w:shd w:val="clear" w:color="auto" w:fill="auto"/>
            <w:vAlign w:val="bottom"/>
          </w:tcPr>
          <w:p w14:paraId="5F2D3581" w14:textId="77777777" w:rsidR="00E836FB" w:rsidRDefault="00E836FB">
            <w:pPr>
              <w:rPr>
                <w:rFonts w:ascii="宋体"/>
              </w:rPr>
            </w:pPr>
          </w:p>
        </w:tc>
        <w:tc>
          <w:tcPr>
            <w:tcW w:w="669" w:type="pct"/>
            <w:shd w:val="clear" w:color="auto" w:fill="auto"/>
            <w:vAlign w:val="bottom"/>
          </w:tcPr>
          <w:p w14:paraId="5F2D3582" w14:textId="77777777" w:rsidR="00E836FB" w:rsidRDefault="00E836FB">
            <w:pPr>
              <w:rPr>
                <w:rFonts w:ascii="宋体"/>
              </w:rPr>
            </w:pPr>
          </w:p>
        </w:tc>
        <w:tc>
          <w:tcPr>
            <w:tcW w:w="5" w:type="pct"/>
            <w:shd w:val="clear" w:color="auto" w:fill="auto"/>
            <w:vAlign w:val="bottom"/>
          </w:tcPr>
          <w:p w14:paraId="5F2D3583" w14:textId="77777777" w:rsidR="00E836FB" w:rsidRDefault="00E836FB">
            <w:pPr>
              <w:rPr>
                <w:rFonts w:ascii="宋体"/>
              </w:rPr>
            </w:pPr>
          </w:p>
        </w:tc>
        <w:tc>
          <w:tcPr>
            <w:tcW w:w="5" w:type="pct"/>
            <w:shd w:val="clear" w:color="auto" w:fill="auto"/>
            <w:vAlign w:val="bottom"/>
          </w:tcPr>
          <w:p w14:paraId="5F2D3584" w14:textId="77777777" w:rsidR="00E836FB" w:rsidRDefault="00E836FB">
            <w:pPr>
              <w:rPr>
                <w:rFonts w:ascii="宋体"/>
              </w:rPr>
            </w:pPr>
          </w:p>
        </w:tc>
        <w:tc>
          <w:tcPr>
            <w:tcW w:w="26" w:type="pct"/>
            <w:shd w:val="clear" w:color="auto" w:fill="auto"/>
            <w:vAlign w:val="bottom"/>
          </w:tcPr>
          <w:p w14:paraId="5F2D3585" w14:textId="77777777" w:rsidR="00E836FB" w:rsidRDefault="00E836FB">
            <w:pPr>
              <w:rPr>
                <w:rFonts w:ascii="宋体"/>
              </w:rPr>
            </w:pPr>
          </w:p>
        </w:tc>
        <w:tc>
          <w:tcPr>
            <w:tcW w:w="5" w:type="pct"/>
            <w:shd w:val="clear" w:color="auto" w:fill="auto"/>
            <w:vAlign w:val="bottom"/>
          </w:tcPr>
          <w:p w14:paraId="5F2D3586" w14:textId="77777777" w:rsidR="00E836FB" w:rsidRDefault="00E836FB">
            <w:pPr>
              <w:rPr>
                <w:rFonts w:ascii="宋体"/>
              </w:rPr>
            </w:pPr>
          </w:p>
        </w:tc>
        <w:tc>
          <w:tcPr>
            <w:tcW w:w="50" w:type="pct"/>
            <w:shd w:val="clear" w:color="auto" w:fill="auto"/>
            <w:vAlign w:val="bottom"/>
          </w:tcPr>
          <w:p w14:paraId="5F2D3587" w14:textId="77777777" w:rsidR="00E836FB" w:rsidRDefault="00E836FB">
            <w:pPr>
              <w:rPr>
                <w:rFonts w:ascii="宋体"/>
              </w:rPr>
            </w:pPr>
          </w:p>
        </w:tc>
        <w:tc>
          <w:tcPr>
            <w:tcW w:w="757" w:type="pct"/>
            <w:shd w:val="clear" w:color="auto" w:fill="auto"/>
            <w:vAlign w:val="bottom"/>
          </w:tcPr>
          <w:p w14:paraId="5F2D3588" w14:textId="77777777" w:rsidR="00E836FB" w:rsidRDefault="00E836FB">
            <w:pPr>
              <w:rPr>
                <w:rFonts w:ascii="宋体"/>
              </w:rPr>
            </w:pPr>
          </w:p>
        </w:tc>
        <w:tc>
          <w:tcPr>
            <w:tcW w:w="5" w:type="pct"/>
            <w:shd w:val="clear" w:color="auto" w:fill="auto"/>
            <w:vAlign w:val="bottom"/>
          </w:tcPr>
          <w:p w14:paraId="5F2D3589" w14:textId="77777777" w:rsidR="00E836FB" w:rsidRDefault="00E836FB">
            <w:pPr>
              <w:rPr>
                <w:rFonts w:ascii="宋体"/>
              </w:rPr>
            </w:pPr>
          </w:p>
        </w:tc>
        <w:tc>
          <w:tcPr>
            <w:tcW w:w="5" w:type="pct"/>
            <w:shd w:val="clear" w:color="auto" w:fill="auto"/>
            <w:vAlign w:val="bottom"/>
          </w:tcPr>
          <w:p w14:paraId="5F2D358A" w14:textId="77777777" w:rsidR="00E836FB" w:rsidRDefault="00E836FB">
            <w:pPr>
              <w:rPr>
                <w:rFonts w:ascii="宋体"/>
              </w:rPr>
            </w:pPr>
          </w:p>
        </w:tc>
        <w:tc>
          <w:tcPr>
            <w:tcW w:w="26" w:type="pct"/>
            <w:shd w:val="clear" w:color="auto" w:fill="auto"/>
            <w:vAlign w:val="bottom"/>
          </w:tcPr>
          <w:p w14:paraId="5F2D358B" w14:textId="77777777" w:rsidR="00E836FB" w:rsidRDefault="00E836FB">
            <w:pPr>
              <w:rPr>
                <w:rFonts w:ascii="宋体"/>
              </w:rPr>
            </w:pPr>
          </w:p>
        </w:tc>
        <w:tc>
          <w:tcPr>
            <w:tcW w:w="5" w:type="pct"/>
            <w:shd w:val="clear" w:color="auto" w:fill="auto"/>
            <w:vAlign w:val="bottom"/>
          </w:tcPr>
          <w:p w14:paraId="5F2D358C" w14:textId="77777777" w:rsidR="00E836FB" w:rsidRDefault="00E836FB">
            <w:pPr>
              <w:rPr>
                <w:rFonts w:ascii="宋体"/>
              </w:rPr>
            </w:pPr>
          </w:p>
        </w:tc>
        <w:tc>
          <w:tcPr>
            <w:tcW w:w="50" w:type="pct"/>
            <w:shd w:val="clear" w:color="auto" w:fill="auto"/>
            <w:vAlign w:val="bottom"/>
          </w:tcPr>
          <w:p w14:paraId="5F2D358D" w14:textId="77777777" w:rsidR="00E836FB" w:rsidRDefault="00E836FB">
            <w:pPr>
              <w:rPr>
                <w:rFonts w:ascii="宋体"/>
              </w:rPr>
            </w:pPr>
          </w:p>
        </w:tc>
        <w:tc>
          <w:tcPr>
            <w:tcW w:w="655" w:type="pct"/>
            <w:shd w:val="clear" w:color="auto" w:fill="auto"/>
            <w:vAlign w:val="bottom"/>
          </w:tcPr>
          <w:p w14:paraId="5F2D358E" w14:textId="77777777" w:rsidR="00E836FB" w:rsidRDefault="00E836FB">
            <w:pPr>
              <w:rPr>
                <w:rFonts w:ascii="宋体"/>
              </w:rPr>
            </w:pPr>
          </w:p>
        </w:tc>
        <w:tc>
          <w:tcPr>
            <w:tcW w:w="5" w:type="pct"/>
            <w:shd w:val="clear" w:color="auto" w:fill="auto"/>
            <w:vAlign w:val="bottom"/>
          </w:tcPr>
          <w:p w14:paraId="5F2D358F" w14:textId="77777777" w:rsidR="00E836FB" w:rsidRDefault="00E836FB">
            <w:pPr>
              <w:rPr>
                <w:rFonts w:ascii="宋体"/>
              </w:rPr>
            </w:pPr>
          </w:p>
        </w:tc>
        <w:tc>
          <w:tcPr>
            <w:tcW w:w="5" w:type="pct"/>
            <w:shd w:val="clear" w:color="auto" w:fill="auto"/>
            <w:vAlign w:val="bottom"/>
          </w:tcPr>
          <w:p w14:paraId="5F2D3590" w14:textId="77777777" w:rsidR="00E836FB" w:rsidRDefault="00E836FB">
            <w:pPr>
              <w:rPr>
                <w:rFonts w:ascii="宋体"/>
              </w:rPr>
            </w:pPr>
          </w:p>
        </w:tc>
        <w:tc>
          <w:tcPr>
            <w:tcW w:w="26" w:type="pct"/>
            <w:shd w:val="clear" w:color="auto" w:fill="auto"/>
            <w:vAlign w:val="bottom"/>
          </w:tcPr>
          <w:p w14:paraId="5F2D3591" w14:textId="77777777" w:rsidR="00E836FB" w:rsidRDefault="00E836FB">
            <w:pPr>
              <w:rPr>
                <w:rFonts w:ascii="宋体"/>
              </w:rPr>
            </w:pPr>
          </w:p>
        </w:tc>
        <w:tc>
          <w:tcPr>
            <w:tcW w:w="5" w:type="pct"/>
            <w:shd w:val="clear" w:color="auto" w:fill="auto"/>
            <w:vAlign w:val="bottom"/>
          </w:tcPr>
          <w:p w14:paraId="5F2D3592" w14:textId="77777777" w:rsidR="00E836FB" w:rsidRDefault="00E836FB">
            <w:pPr>
              <w:rPr>
                <w:rFonts w:ascii="宋体"/>
              </w:rPr>
            </w:pPr>
          </w:p>
        </w:tc>
        <w:tc>
          <w:tcPr>
            <w:tcW w:w="50" w:type="pct"/>
            <w:shd w:val="clear" w:color="auto" w:fill="auto"/>
            <w:vAlign w:val="bottom"/>
          </w:tcPr>
          <w:p w14:paraId="5F2D3593" w14:textId="77777777" w:rsidR="00E836FB" w:rsidRDefault="00E836FB">
            <w:pPr>
              <w:rPr>
                <w:rFonts w:ascii="宋体"/>
              </w:rPr>
            </w:pPr>
          </w:p>
        </w:tc>
        <w:tc>
          <w:tcPr>
            <w:tcW w:w="494" w:type="pct"/>
            <w:shd w:val="clear" w:color="auto" w:fill="auto"/>
            <w:vAlign w:val="bottom"/>
          </w:tcPr>
          <w:p w14:paraId="5F2D3594" w14:textId="77777777" w:rsidR="00E836FB" w:rsidRDefault="00E836FB">
            <w:pPr>
              <w:rPr>
                <w:rFonts w:ascii="宋体"/>
              </w:rPr>
            </w:pPr>
          </w:p>
        </w:tc>
        <w:tc>
          <w:tcPr>
            <w:tcW w:w="5" w:type="pct"/>
            <w:shd w:val="clear" w:color="auto" w:fill="auto"/>
            <w:vAlign w:val="bottom"/>
          </w:tcPr>
          <w:p w14:paraId="5F2D3595" w14:textId="77777777" w:rsidR="00E836FB" w:rsidRDefault="00E836FB">
            <w:pPr>
              <w:rPr>
                <w:rFonts w:ascii="宋体"/>
              </w:rPr>
            </w:pPr>
          </w:p>
        </w:tc>
        <w:tc>
          <w:tcPr>
            <w:tcW w:w="0" w:type="auto"/>
            <w:shd w:val="clear" w:color="auto" w:fill="auto"/>
            <w:vAlign w:val="bottom"/>
          </w:tcPr>
          <w:p w14:paraId="5F2D3596" w14:textId="77777777" w:rsidR="00E836FB" w:rsidRDefault="00E836FB">
            <w:pPr>
              <w:rPr>
                <w:rFonts w:ascii="宋体"/>
                <w:vanish/>
              </w:rPr>
            </w:pPr>
          </w:p>
        </w:tc>
        <w:tc>
          <w:tcPr>
            <w:tcW w:w="0" w:type="auto"/>
            <w:gridSpan w:val="3"/>
            <w:shd w:val="clear" w:color="auto" w:fill="auto"/>
            <w:vAlign w:val="bottom"/>
          </w:tcPr>
          <w:p w14:paraId="5F2D3597" w14:textId="77777777" w:rsidR="00E836FB" w:rsidRDefault="00E836FB">
            <w:pPr>
              <w:rPr>
                <w:rFonts w:ascii="宋体"/>
                <w:vanish/>
              </w:rPr>
            </w:pPr>
          </w:p>
        </w:tc>
        <w:tc>
          <w:tcPr>
            <w:tcW w:w="0" w:type="auto"/>
            <w:gridSpan w:val="3"/>
            <w:shd w:val="clear" w:color="auto" w:fill="auto"/>
            <w:vAlign w:val="bottom"/>
          </w:tcPr>
          <w:p w14:paraId="5F2D3598" w14:textId="77777777" w:rsidR="00E836FB" w:rsidRDefault="00E836FB">
            <w:pPr>
              <w:rPr>
                <w:rFonts w:ascii="宋体"/>
                <w:vanish/>
              </w:rPr>
            </w:pPr>
          </w:p>
        </w:tc>
        <w:tc>
          <w:tcPr>
            <w:tcW w:w="0" w:type="auto"/>
            <w:gridSpan w:val="3"/>
            <w:shd w:val="clear" w:color="auto" w:fill="auto"/>
            <w:vAlign w:val="bottom"/>
          </w:tcPr>
          <w:p w14:paraId="5F2D3599" w14:textId="77777777" w:rsidR="00E836FB" w:rsidRDefault="00E836FB">
            <w:pPr>
              <w:rPr>
                <w:rFonts w:ascii="宋体"/>
                <w:vanish/>
              </w:rPr>
            </w:pPr>
          </w:p>
        </w:tc>
        <w:tc>
          <w:tcPr>
            <w:tcW w:w="0" w:type="auto"/>
            <w:gridSpan w:val="3"/>
            <w:shd w:val="clear" w:color="auto" w:fill="auto"/>
            <w:vAlign w:val="bottom"/>
          </w:tcPr>
          <w:p w14:paraId="5F2D359A" w14:textId="77777777" w:rsidR="00E836FB" w:rsidRDefault="00E836FB">
            <w:pPr>
              <w:rPr>
                <w:rFonts w:ascii="宋体"/>
                <w:vanish/>
              </w:rPr>
            </w:pPr>
          </w:p>
        </w:tc>
      </w:tr>
      <w:tr w:rsidR="00E836FB" w14:paraId="5F2D35AB" w14:textId="77777777">
        <w:tc>
          <w:tcPr>
            <w:tcW w:w="0" w:type="auto"/>
            <w:gridSpan w:val="3"/>
            <w:shd w:val="clear" w:color="auto" w:fill="auto"/>
            <w:tcMar>
              <w:top w:w="40" w:type="dxa"/>
              <w:left w:w="20" w:type="dxa"/>
              <w:bottom w:w="40" w:type="dxa"/>
              <w:right w:w="20" w:type="dxa"/>
            </w:tcMar>
            <w:vAlign w:val="bottom"/>
          </w:tcPr>
          <w:p w14:paraId="5F2D359C" w14:textId="77777777" w:rsidR="00E836FB" w:rsidRDefault="00994958">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F2D359D"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shd w:val="clear" w:color="auto" w:fill="auto"/>
            <w:vAlign w:val="bottom"/>
          </w:tcPr>
          <w:p w14:paraId="5F2D359E" w14:textId="77777777" w:rsidR="00E836FB" w:rsidRDefault="00E836FB">
            <w:pPr>
              <w:rPr>
                <w:rFonts w:ascii="宋体"/>
                <w:vanish/>
              </w:rPr>
            </w:pPr>
          </w:p>
        </w:tc>
        <w:tc>
          <w:tcPr>
            <w:tcW w:w="0" w:type="auto"/>
            <w:shd w:val="clear" w:color="auto" w:fill="auto"/>
            <w:vAlign w:val="bottom"/>
          </w:tcPr>
          <w:p w14:paraId="5F2D359F" w14:textId="77777777" w:rsidR="00E836FB" w:rsidRDefault="00E836FB">
            <w:pPr>
              <w:rPr>
                <w:rFonts w:ascii="宋体"/>
              </w:rPr>
            </w:pPr>
          </w:p>
        </w:tc>
        <w:tc>
          <w:tcPr>
            <w:tcW w:w="0" w:type="auto"/>
            <w:shd w:val="clear" w:color="auto" w:fill="auto"/>
            <w:vAlign w:val="bottom"/>
          </w:tcPr>
          <w:p w14:paraId="5F2D35A0" w14:textId="77777777" w:rsidR="00E836FB" w:rsidRDefault="00E836FB">
            <w:pPr>
              <w:rPr>
                <w:rFonts w:ascii="宋体"/>
              </w:rPr>
            </w:pPr>
          </w:p>
        </w:tc>
        <w:tc>
          <w:tcPr>
            <w:tcW w:w="0" w:type="auto"/>
            <w:shd w:val="clear" w:color="auto" w:fill="auto"/>
            <w:vAlign w:val="bottom"/>
          </w:tcPr>
          <w:p w14:paraId="5F2D35A1" w14:textId="77777777" w:rsidR="00E836FB" w:rsidRDefault="00E836FB">
            <w:pPr>
              <w:rPr>
                <w:rFonts w:ascii="宋体"/>
              </w:rPr>
            </w:pPr>
          </w:p>
        </w:tc>
        <w:tc>
          <w:tcPr>
            <w:tcW w:w="0" w:type="auto"/>
            <w:shd w:val="clear" w:color="auto" w:fill="auto"/>
            <w:vAlign w:val="bottom"/>
          </w:tcPr>
          <w:p w14:paraId="5F2D35A2" w14:textId="77777777" w:rsidR="00E836FB" w:rsidRDefault="00E836FB">
            <w:pPr>
              <w:rPr>
                <w:rFonts w:ascii="宋体"/>
              </w:rPr>
            </w:pPr>
          </w:p>
        </w:tc>
        <w:tc>
          <w:tcPr>
            <w:tcW w:w="0" w:type="auto"/>
            <w:shd w:val="clear" w:color="auto" w:fill="auto"/>
            <w:vAlign w:val="bottom"/>
          </w:tcPr>
          <w:p w14:paraId="5F2D35A3" w14:textId="77777777" w:rsidR="00E836FB" w:rsidRDefault="00E836FB">
            <w:pPr>
              <w:rPr>
                <w:rFonts w:ascii="宋体"/>
              </w:rPr>
            </w:pPr>
          </w:p>
        </w:tc>
        <w:tc>
          <w:tcPr>
            <w:tcW w:w="0" w:type="auto"/>
            <w:shd w:val="clear" w:color="auto" w:fill="auto"/>
            <w:vAlign w:val="bottom"/>
          </w:tcPr>
          <w:p w14:paraId="5F2D35A4" w14:textId="77777777" w:rsidR="00E836FB" w:rsidRDefault="00E836FB">
            <w:pPr>
              <w:rPr>
                <w:rFonts w:ascii="宋体"/>
              </w:rPr>
            </w:pPr>
          </w:p>
        </w:tc>
        <w:tc>
          <w:tcPr>
            <w:tcW w:w="0" w:type="auto"/>
            <w:shd w:val="clear" w:color="auto" w:fill="auto"/>
            <w:vAlign w:val="bottom"/>
          </w:tcPr>
          <w:p w14:paraId="5F2D35A5" w14:textId="77777777" w:rsidR="00E836FB" w:rsidRDefault="00E836FB">
            <w:pPr>
              <w:rPr>
                <w:rFonts w:ascii="宋体"/>
              </w:rPr>
            </w:pPr>
          </w:p>
        </w:tc>
        <w:tc>
          <w:tcPr>
            <w:tcW w:w="0" w:type="auto"/>
            <w:shd w:val="clear" w:color="auto" w:fill="auto"/>
            <w:vAlign w:val="bottom"/>
          </w:tcPr>
          <w:p w14:paraId="5F2D35A6" w14:textId="77777777" w:rsidR="00E836FB" w:rsidRDefault="00E836FB">
            <w:pPr>
              <w:rPr>
                <w:rFonts w:ascii="宋体"/>
              </w:rPr>
            </w:pPr>
          </w:p>
        </w:tc>
        <w:tc>
          <w:tcPr>
            <w:tcW w:w="0" w:type="auto"/>
            <w:shd w:val="clear" w:color="auto" w:fill="auto"/>
            <w:vAlign w:val="bottom"/>
          </w:tcPr>
          <w:p w14:paraId="5F2D35A7" w14:textId="77777777" w:rsidR="00E836FB" w:rsidRDefault="00E836FB">
            <w:pPr>
              <w:rPr>
                <w:rFonts w:ascii="宋体"/>
              </w:rPr>
            </w:pPr>
          </w:p>
        </w:tc>
        <w:tc>
          <w:tcPr>
            <w:tcW w:w="0" w:type="auto"/>
            <w:shd w:val="clear" w:color="auto" w:fill="auto"/>
            <w:vAlign w:val="bottom"/>
          </w:tcPr>
          <w:p w14:paraId="5F2D35A8" w14:textId="77777777" w:rsidR="00E836FB" w:rsidRDefault="00E836FB">
            <w:pPr>
              <w:rPr>
                <w:rFonts w:ascii="宋体"/>
              </w:rPr>
            </w:pPr>
          </w:p>
        </w:tc>
        <w:tc>
          <w:tcPr>
            <w:tcW w:w="0" w:type="auto"/>
            <w:shd w:val="clear" w:color="auto" w:fill="auto"/>
            <w:vAlign w:val="bottom"/>
          </w:tcPr>
          <w:p w14:paraId="5F2D35A9" w14:textId="77777777" w:rsidR="00E836FB" w:rsidRDefault="00E836FB">
            <w:pPr>
              <w:rPr>
                <w:rFonts w:ascii="宋体"/>
              </w:rPr>
            </w:pPr>
          </w:p>
        </w:tc>
        <w:tc>
          <w:tcPr>
            <w:tcW w:w="0" w:type="auto"/>
            <w:shd w:val="clear" w:color="auto" w:fill="auto"/>
            <w:vAlign w:val="bottom"/>
          </w:tcPr>
          <w:p w14:paraId="5F2D35AA" w14:textId="77777777" w:rsidR="00E836FB" w:rsidRDefault="00E836FB">
            <w:pPr>
              <w:rPr>
                <w:rFonts w:ascii="宋体"/>
              </w:rPr>
            </w:pPr>
          </w:p>
        </w:tc>
      </w:tr>
      <w:tr w:rsidR="00E836FB" w14:paraId="5F2D35BA" w14:textId="77777777">
        <w:trPr>
          <w:trHeight w:val="400"/>
        </w:trPr>
        <w:tc>
          <w:tcPr>
            <w:tcW w:w="0" w:type="auto"/>
            <w:gridSpan w:val="3"/>
            <w:shd w:val="clear" w:color="auto" w:fill="auto"/>
            <w:tcMar>
              <w:top w:w="0" w:type="dxa"/>
              <w:left w:w="20" w:type="dxa"/>
              <w:bottom w:w="0" w:type="dxa"/>
              <w:right w:w="20" w:type="dxa"/>
            </w:tcMar>
            <w:vAlign w:val="bottom"/>
          </w:tcPr>
          <w:p w14:paraId="5F2D35AC" w14:textId="77777777" w:rsidR="00E836FB" w:rsidRDefault="00E836F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5AD" w14:textId="77777777" w:rsidR="00E836FB" w:rsidRDefault="00994958">
            <w:pPr>
              <w:jc w:val="center"/>
              <w:textAlignment w:val="bottom"/>
            </w:pPr>
            <w:r>
              <w:rPr>
                <w:rFonts w:ascii="Arial" w:eastAsia="宋体" w:hAnsi="Arial" w:cs="Arial"/>
                <w:b/>
                <w:bCs/>
                <w:color w:val="000000"/>
                <w:sz w:val="15"/>
                <w:szCs w:val="15"/>
              </w:rPr>
              <w:t xml:space="preserve">Gross Amounts of Recognized </w:t>
            </w:r>
          </w:p>
          <w:p w14:paraId="5F2D35AE" w14:textId="77777777" w:rsidR="00E836FB" w:rsidRDefault="00994958">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5AF" w14:textId="77777777" w:rsidR="00E836FB" w:rsidRDefault="00E836F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5B0" w14:textId="77777777" w:rsidR="00E836FB" w:rsidRDefault="00994958">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5B1"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5B2" w14:textId="77777777" w:rsidR="00E836FB" w:rsidRDefault="00994958">
            <w:pPr>
              <w:jc w:val="center"/>
              <w:textAlignment w:val="bottom"/>
            </w:pPr>
            <w:r>
              <w:rPr>
                <w:rFonts w:ascii="Arial" w:eastAsia="宋体" w:hAnsi="Arial" w:cs="Arial"/>
                <w:b/>
                <w:bCs/>
                <w:color w:val="000000"/>
                <w:sz w:val="15"/>
                <w:szCs w:val="15"/>
              </w:rPr>
              <w:t>Net 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5B3"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35B4" w14:textId="77777777" w:rsidR="00E836FB" w:rsidRDefault="00994958">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5F2D35B5" w14:textId="77777777" w:rsidR="00E836FB" w:rsidRDefault="00E836FB">
            <w:pPr>
              <w:rPr>
                <w:rFonts w:ascii="宋体"/>
                <w:vanish/>
              </w:rPr>
            </w:pPr>
          </w:p>
        </w:tc>
        <w:tc>
          <w:tcPr>
            <w:tcW w:w="0" w:type="auto"/>
            <w:gridSpan w:val="3"/>
            <w:shd w:val="clear" w:color="auto" w:fill="auto"/>
            <w:vAlign w:val="bottom"/>
          </w:tcPr>
          <w:p w14:paraId="5F2D35B6" w14:textId="77777777" w:rsidR="00E836FB" w:rsidRDefault="00E836FB">
            <w:pPr>
              <w:rPr>
                <w:rFonts w:ascii="宋体"/>
                <w:vanish/>
              </w:rPr>
            </w:pPr>
          </w:p>
        </w:tc>
        <w:tc>
          <w:tcPr>
            <w:tcW w:w="0" w:type="auto"/>
            <w:gridSpan w:val="3"/>
            <w:shd w:val="clear" w:color="auto" w:fill="auto"/>
            <w:vAlign w:val="bottom"/>
          </w:tcPr>
          <w:p w14:paraId="5F2D35B7" w14:textId="77777777" w:rsidR="00E836FB" w:rsidRDefault="00E836FB">
            <w:pPr>
              <w:rPr>
                <w:rFonts w:ascii="宋体"/>
                <w:vanish/>
              </w:rPr>
            </w:pPr>
          </w:p>
        </w:tc>
        <w:tc>
          <w:tcPr>
            <w:tcW w:w="0" w:type="auto"/>
            <w:gridSpan w:val="3"/>
            <w:shd w:val="clear" w:color="auto" w:fill="auto"/>
            <w:vAlign w:val="bottom"/>
          </w:tcPr>
          <w:p w14:paraId="5F2D35B8" w14:textId="77777777" w:rsidR="00E836FB" w:rsidRDefault="00E836FB">
            <w:pPr>
              <w:rPr>
                <w:rFonts w:ascii="宋体"/>
                <w:vanish/>
              </w:rPr>
            </w:pPr>
          </w:p>
        </w:tc>
        <w:tc>
          <w:tcPr>
            <w:tcW w:w="0" w:type="auto"/>
            <w:gridSpan w:val="3"/>
            <w:shd w:val="clear" w:color="auto" w:fill="auto"/>
            <w:vAlign w:val="bottom"/>
          </w:tcPr>
          <w:p w14:paraId="5F2D35B9" w14:textId="77777777" w:rsidR="00E836FB" w:rsidRDefault="00E836FB">
            <w:pPr>
              <w:rPr>
                <w:rFonts w:ascii="宋体"/>
                <w:vanish/>
              </w:rPr>
            </w:pPr>
          </w:p>
        </w:tc>
      </w:tr>
      <w:tr w:rsidR="00E836FB" w14:paraId="5F2D35CA" w14:textId="77777777">
        <w:trPr>
          <w:trHeight w:val="540"/>
        </w:trPr>
        <w:tc>
          <w:tcPr>
            <w:tcW w:w="0" w:type="auto"/>
            <w:gridSpan w:val="3"/>
            <w:shd w:val="clear" w:color="auto" w:fill="auto"/>
            <w:tcMar>
              <w:top w:w="40" w:type="dxa"/>
              <w:left w:w="20" w:type="dxa"/>
              <w:bottom w:w="40" w:type="dxa"/>
              <w:right w:w="20" w:type="dxa"/>
            </w:tcMar>
            <w:vAlign w:val="bottom"/>
          </w:tcPr>
          <w:p w14:paraId="5F2D35BB"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5B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5BD" w14:textId="77777777" w:rsidR="00E836FB" w:rsidRDefault="00E836FB">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5B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5BF"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5C0"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35C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5C2" w14:textId="77777777" w:rsidR="00E836FB" w:rsidRDefault="00994958">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5C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5C4" w14:textId="77777777" w:rsidR="00E836FB" w:rsidRDefault="00994958">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5F2D35C5" w14:textId="77777777" w:rsidR="00E836FB" w:rsidRDefault="00E836FB">
            <w:pPr>
              <w:rPr>
                <w:rFonts w:ascii="宋体"/>
                <w:vanish/>
              </w:rPr>
            </w:pPr>
          </w:p>
        </w:tc>
        <w:tc>
          <w:tcPr>
            <w:tcW w:w="0" w:type="auto"/>
            <w:gridSpan w:val="3"/>
            <w:shd w:val="clear" w:color="auto" w:fill="auto"/>
            <w:vAlign w:val="bottom"/>
          </w:tcPr>
          <w:p w14:paraId="5F2D35C6" w14:textId="77777777" w:rsidR="00E836FB" w:rsidRDefault="00E836FB">
            <w:pPr>
              <w:rPr>
                <w:rFonts w:ascii="宋体"/>
                <w:vanish/>
              </w:rPr>
            </w:pPr>
          </w:p>
        </w:tc>
        <w:tc>
          <w:tcPr>
            <w:tcW w:w="0" w:type="auto"/>
            <w:gridSpan w:val="3"/>
            <w:shd w:val="clear" w:color="auto" w:fill="auto"/>
            <w:vAlign w:val="bottom"/>
          </w:tcPr>
          <w:p w14:paraId="5F2D35C7" w14:textId="77777777" w:rsidR="00E836FB" w:rsidRDefault="00E836FB">
            <w:pPr>
              <w:rPr>
                <w:rFonts w:ascii="宋体"/>
                <w:vanish/>
              </w:rPr>
            </w:pPr>
          </w:p>
        </w:tc>
        <w:tc>
          <w:tcPr>
            <w:tcW w:w="0" w:type="auto"/>
            <w:gridSpan w:val="3"/>
            <w:shd w:val="clear" w:color="auto" w:fill="auto"/>
            <w:vAlign w:val="bottom"/>
          </w:tcPr>
          <w:p w14:paraId="5F2D35C8" w14:textId="77777777" w:rsidR="00E836FB" w:rsidRDefault="00E836FB">
            <w:pPr>
              <w:rPr>
                <w:rFonts w:ascii="宋体"/>
                <w:vanish/>
              </w:rPr>
            </w:pPr>
          </w:p>
        </w:tc>
        <w:tc>
          <w:tcPr>
            <w:tcW w:w="0" w:type="auto"/>
            <w:gridSpan w:val="3"/>
            <w:shd w:val="clear" w:color="auto" w:fill="auto"/>
            <w:vAlign w:val="bottom"/>
          </w:tcPr>
          <w:p w14:paraId="5F2D35C9" w14:textId="77777777" w:rsidR="00E836FB" w:rsidRDefault="00E836FB">
            <w:pPr>
              <w:rPr>
                <w:rFonts w:ascii="宋体"/>
                <w:vanish/>
              </w:rPr>
            </w:pPr>
          </w:p>
        </w:tc>
      </w:tr>
      <w:tr w:rsidR="00E836FB" w14:paraId="5F2D35D7" w14:textId="77777777">
        <w:tc>
          <w:tcPr>
            <w:tcW w:w="0" w:type="auto"/>
            <w:gridSpan w:val="12"/>
            <w:shd w:val="clear" w:color="auto" w:fill="auto"/>
            <w:tcMar>
              <w:top w:w="40" w:type="dxa"/>
              <w:left w:w="20" w:type="dxa"/>
              <w:bottom w:w="40" w:type="dxa"/>
              <w:right w:w="20" w:type="dxa"/>
            </w:tcMar>
            <w:vAlign w:val="bottom"/>
          </w:tcPr>
          <w:p w14:paraId="5F2D35CB" w14:textId="77777777" w:rsidR="00E836FB" w:rsidRDefault="00994958">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5F2D35C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5C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5C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5C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5D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5D1" w14:textId="77777777" w:rsidR="00E836FB" w:rsidRDefault="00E836FB">
            <w:pPr>
              <w:rPr>
                <w:rFonts w:ascii="宋体"/>
              </w:rPr>
            </w:pPr>
          </w:p>
        </w:tc>
        <w:tc>
          <w:tcPr>
            <w:tcW w:w="0" w:type="auto"/>
            <w:shd w:val="clear" w:color="auto" w:fill="auto"/>
            <w:vAlign w:val="bottom"/>
          </w:tcPr>
          <w:p w14:paraId="5F2D35D2" w14:textId="77777777" w:rsidR="00E836FB" w:rsidRDefault="00E836FB">
            <w:pPr>
              <w:rPr>
                <w:rFonts w:ascii="宋体"/>
                <w:vanish/>
              </w:rPr>
            </w:pPr>
          </w:p>
        </w:tc>
        <w:tc>
          <w:tcPr>
            <w:tcW w:w="0" w:type="auto"/>
            <w:gridSpan w:val="3"/>
            <w:shd w:val="clear" w:color="auto" w:fill="auto"/>
            <w:vAlign w:val="bottom"/>
          </w:tcPr>
          <w:p w14:paraId="5F2D35D3" w14:textId="77777777" w:rsidR="00E836FB" w:rsidRDefault="00E836FB">
            <w:pPr>
              <w:rPr>
                <w:rFonts w:ascii="宋体"/>
                <w:vanish/>
              </w:rPr>
            </w:pPr>
          </w:p>
        </w:tc>
        <w:tc>
          <w:tcPr>
            <w:tcW w:w="0" w:type="auto"/>
            <w:gridSpan w:val="3"/>
            <w:shd w:val="clear" w:color="auto" w:fill="auto"/>
            <w:vAlign w:val="bottom"/>
          </w:tcPr>
          <w:p w14:paraId="5F2D35D4" w14:textId="77777777" w:rsidR="00E836FB" w:rsidRDefault="00E836FB">
            <w:pPr>
              <w:rPr>
                <w:rFonts w:ascii="宋体"/>
                <w:vanish/>
              </w:rPr>
            </w:pPr>
          </w:p>
        </w:tc>
        <w:tc>
          <w:tcPr>
            <w:tcW w:w="0" w:type="auto"/>
            <w:gridSpan w:val="3"/>
            <w:shd w:val="clear" w:color="auto" w:fill="auto"/>
            <w:vAlign w:val="bottom"/>
          </w:tcPr>
          <w:p w14:paraId="5F2D35D5" w14:textId="77777777" w:rsidR="00E836FB" w:rsidRDefault="00E836FB">
            <w:pPr>
              <w:rPr>
                <w:rFonts w:ascii="宋体"/>
                <w:vanish/>
              </w:rPr>
            </w:pPr>
          </w:p>
        </w:tc>
        <w:tc>
          <w:tcPr>
            <w:tcW w:w="0" w:type="auto"/>
            <w:gridSpan w:val="3"/>
            <w:shd w:val="clear" w:color="auto" w:fill="auto"/>
            <w:vAlign w:val="bottom"/>
          </w:tcPr>
          <w:p w14:paraId="5F2D35D6" w14:textId="77777777" w:rsidR="00E836FB" w:rsidRDefault="00E836FB">
            <w:pPr>
              <w:rPr>
                <w:rFonts w:ascii="宋体"/>
                <w:vanish/>
              </w:rPr>
            </w:pPr>
          </w:p>
        </w:tc>
      </w:tr>
      <w:tr w:rsidR="00E836FB" w14:paraId="5F2D35F1" w14:textId="77777777">
        <w:tc>
          <w:tcPr>
            <w:tcW w:w="0" w:type="auto"/>
            <w:gridSpan w:val="3"/>
            <w:shd w:val="clear" w:color="auto" w:fill="CCEEFF"/>
            <w:tcMar>
              <w:top w:w="40" w:type="dxa"/>
              <w:left w:w="20" w:type="dxa"/>
              <w:bottom w:w="40" w:type="dxa"/>
              <w:right w:w="20" w:type="dxa"/>
            </w:tcMar>
            <w:vAlign w:val="bottom"/>
          </w:tcPr>
          <w:p w14:paraId="5F2D35D8" w14:textId="77777777" w:rsidR="00E836FB" w:rsidRDefault="00994958">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F2D35D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5DA" w14:textId="77777777" w:rsidR="00E836FB" w:rsidRDefault="00994958">
            <w:pPr>
              <w:jc w:val="right"/>
              <w:textAlignment w:val="bottom"/>
            </w:pPr>
            <w:r>
              <w:rPr>
                <w:rFonts w:ascii="Arial" w:eastAsia="宋体" w:hAnsi="Arial" w:cs="Arial"/>
                <w:b/>
                <w:bCs/>
                <w:color w:val="000000"/>
                <w:sz w:val="15"/>
                <w:szCs w:val="15"/>
              </w:rPr>
              <w:t>15,185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5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5D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5DD"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5DE" w14:textId="77777777" w:rsidR="00E836FB" w:rsidRDefault="00994958">
            <w:pPr>
              <w:jc w:val="right"/>
              <w:textAlignment w:val="bottom"/>
            </w:pPr>
            <w:r>
              <w:rPr>
                <w:rFonts w:ascii="Arial" w:eastAsia="宋体" w:hAnsi="Arial" w:cs="Arial"/>
                <w:b/>
                <w:bCs/>
                <w:color w:val="000000"/>
                <w:sz w:val="15"/>
                <w:szCs w:val="15"/>
              </w:rPr>
              <w:t>(9,113)</w:t>
            </w:r>
          </w:p>
        </w:tc>
        <w:tc>
          <w:tcPr>
            <w:tcW w:w="0" w:type="auto"/>
            <w:shd w:val="clear" w:color="auto" w:fill="CCEEFF"/>
            <w:tcMar>
              <w:top w:w="40" w:type="dxa"/>
              <w:left w:w="0" w:type="dxa"/>
              <w:bottom w:w="40" w:type="dxa"/>
              <w:right w:w="20" w:type="dxa"/>
            </w:tcMar>
            <w:vAlign w:val="bottom"/>
          </w:tcPr>
          <w:p w14:paraId="5F2D35D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5E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5E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5E2" w14:textId="77777777" w:rsidR="00E836FB" w:rsidRDefault="00994958">
            <w:pPr>
              <w:jc w:val="right"/>
              <w:textAlignment w:val="bottom"/>
            </w:pPr>
            <w:r>
              <w:rPr>
                <w:rFonts w:ascii="Arial" w:eastAsia="宋体" w:hAnsi="Arial" w:cs="Arial"/>
                <w:b/>
                <w:bCs/>
                <w:color w:val="000000"/>
                <w:sz w:val="15"/>
                <w:szCs w:val="15"/>
              </w:rPr>
              <w:t>6,072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5E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5E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5E5"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5E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5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5E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5E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5EA" w14:textId="77777777" w:rsidR="00E836FB" w:rsidRDefault="00994958">
            <w:pPr>
              <w:jc w:val="right"/>
              <w:textAlignment w:val="bottom"/>
            </w:pPr>
            <w:r>
              <w:rPr>
                <w:rFonts w:ascii="Arial" w:eastAsia="宋体" w:hAnsi="Arial" w:cs="Arial"/>
                <w:b/>
                <w:bCs/>
                <w:color w:val="000000"/>
                <w:sz w:val="15"/>
                <w:szCs w:val="15"/>
              </w:rPr>
              <w:t>6,072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5EB" w14:textId="77777777" w:rsidR="00E836FB" w:rsidRDefault="00E836FB">
            <w:pPr>
              <w:jc w:val="right"/>
              <w:rPr>
                <w:rFonts w:ascii="宋体"/>
              </w:rPr>
            </w:pPr>
          </w:p>
        </w:tc>
        <w:tc>
          <w:tcPr>
            <w:tcW w:w="0" w:type="auto"/>
            <w:shd w:val="clear" w:color="auto" w:fill="auto"/>
            <w:vAlign w:val="bottom"/>
          </w:tcPr>
          <w:p w14:paraId="5F2D35EC" w14:textId="77777777" w:rsidR="00E836FB" w:rsidRDefault="00E836FB">
            <w:pPr>
              <w:rPr>
                <w:rFonts w:ascii="宋体"/>
                <w:vanish/>
              </w:rPr>
            </w:pPr>
          </w:p>
        </w:tc>
        <w:tc>
          <w:tcPr>
            <w:tcW w:w="0" w:type="auto"/>
            <w:gridSpan w:val="3"/>
            <w:shd w:val="clear" w:color="auto" w:fill="auto"/>
            <w:vAlign w:val="bottom"/>
          </w:tcPr>
          <w:p w14:paraId="5F2D35ED" w14:textId="77777777" w:rsidR="00E836FB" w:rsidRDefault="00E836FB">
            <w:pPr>
              <w:rPr>
                <w:rFonts w:ascii="宋体"/>
                <w:vanish/>
              </w:rPr>
            </w:pPr>
          </w:p>
        </w:tc>
        <w:tc>
          <w:tcPr>
            <w:tcW w:w="0" w:type="auto"/>
            <w:gridSpan w:val="3"/>
            <w:shd w:val="clear" w:color="auto" w:fill="auto"/>
            <w:vAlign w:val="bottom"/>
          </w:tcPr>
          <w:p w14:paraId="5F2D35EE" w14:textId="77777777" w:rsidR="00E836FB" w:rsidRDefault="00E836FB">
            <w:pPr>
              <w:rPr>
                <w:rFonts w:ascii="宋体"/>
                <w:vanish/>
              </w:rPr>
            </w:pPr>
          </w:p>
        </w:tc>
        <w:tc>
          <w:tcPr>
            <w:tcW w:w="0" w:type="auto"/>
            <w:gridSpan w:val="3"/>
            <w:shd w:val="clear" w:color="auto" w:fill="auto"/>
            <w:vAlign w:val="bottom"/>
          </w:tcPr>
          <w:p w14:paraId="5F2D35EF" w14:textId="77777777" w:rsidR="00E836FB" w:rsidRDefault="00E836FB">
            <w:pPr>
              <w:rPr>
                <w:rFonts w:ascii="宋体"/>
                <w:vanish/>
              </w:rPr>
            </w:pPr>
          </w:p>
        </w:tc>
        <w:tc>
          <w:tcPr>
            <w:tcW w:w="0" w:type="auto"/>
            <w:gridSpan w:val="3"/>
            <w:shd w:val="clear" w:color="auto" w:fill="auto"/>
            <w:vAlign w:val="bottom"/>
          </w:tcPr>
          <w:p w14:paraId="5F2D35F0" w14:textId="77777777" w:rsidR="00E836FB" w:rsidRDefault="00E836FB">
            <w:pPr>
              <w:rPr>
                <w:rFonts w:ascii="宋体"/>
                <w:vanish/>
              </w:rPr>
            </w:pPr>
          </w:p>
        </w:tc>
      </w:tr>
      <w:tr w:rsidR="00E836FB" w14:paraId="5F2D3606" w14:textId="77777777">
        <w:tc>
          <w:tcPr>
            <w:tcW w:w="0" w:type="auto"/>
            <w:gridSpan w:val="3"/>
            <w:shd w:val="clear" w:color="auto" w:fill="FFFFFF"/>
            <w:tcMar>
              <w:top w:w="40" w:type="dxa"/>
              <w:left w:w="20" w:type="dxa"/>
              <w:bottom w:w="40" w:type="dxa"/>
              <w:right w:w="20" w:type="dxa"/>
            </w:tcMar>
            <w:vAlign w:val="bottom"/>
          </w:tcPr>
          <w:p w14:paraId="5F2D35F2" w14:textId="77777777" w:rsidR="00E836FB" w:rsidRDefault="00994958">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F2D35F3"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5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5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5F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5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5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5F9"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5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5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5F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5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5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5FF" w14:textId="77777777" w:rsidR="00E836FB" w:rsidRDefault="00994958">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600" w14:textId="77777777" w:rsidR="00E836FB" w:rsidRDefault="00E836FB">
            <w:pPr>
              <w:jc w:val="right"/>
              <w:rPr>
                <w:rFonts w:ascii="宋体"/>
              </w:rPr>
            </w:pPr>
          </w:p>
        </w:tc>
        <w:tc>
          <w:tcPr>
            <w:tcW w:w="0" w:type="auto"/>
            <w:shd w:val="clear" w:color="auto" w:fill="auto"/>
            <w:vAlign w:val="bottom"/>
          </w:tcPr>
          <w:p w14:paraId="5F2D3601" w14:textId="77777777" w:rsidR="00E836FB" w:rsidRDefault="00E836FB">
            <w:pPr>
              <w:rPr>
                <w:rFonts w:ascii="宋体"/>
                <w:vanish/>
              </w:rPr>
            </w:pPr>
          </w:p>
        </w:tc>
        <w:tc>
          <w:tcPr>
            <w:tcW w:w="0" w:type="auto"/>
            <w:gridSpan w:val="3"/>
            <w:shd w:val="clear" w:color="auto" w:fill="auto"/>
            <w:vAlign w:val="bottom"/>
          </w:tcPr>
          <w:p w14:paraId="5F2D3602" w14:textId="77777777" w:rsidR="00E836FB" w:rsidRDefault="00E836FB">
            <w:pPr>
              <w:rPr>
                <w:rFonts w:ascii="宋体"/>
                <w:vanish/>
              </w:rPr>
            </w:pPr>
          </w:p>
        </w:tc>
        <w:tc>
          <w:tcPr>
            <w:tcW w:w="0" w:type="auto"/>
            <w:gridSpan w:val="3"/>
            <w:shd w:val="clear" w:color="auto" w:fill="auto"/>
            <w:vAlign w:val="bottom"/>
          </w:tcPr>
          <w:p w14:paraId="5F2D3603" w14:textId="77777777" w:rsidR="00E836FB" w:rsidRDefault="00E836FB">
            <w:pPr>
              <w:rPr>
                <w:rFonts w:ascii="宋体"/>
                <w:vanish/>
              </w:rPr>
            </w:pPr>
          </w:p>
        </w:tc>
        <w:tc>
          <w:tcPr>
            <w:tcW w:w="0" w:type="auto"/>
            <w:gridSpan w:val="3"/>
            <w:shd w:val="clear" w:color="auto" w:fill="auto"/>
            <w:vAlign w:val="bottom"/>
          </w:tcPr>
          <w:p w14:paraId="5F2D3604" w14:textId="77777777" w:rsidR="00E836FB" w:rsidRDefault="00E836FB">
            <w:pPr>
              <w:rPr>
                <w:rFonts w:ascii="宋体"/>
                <w:vanish/>
              </w:rPr>
            </w:pPr>
          </w:p>
        </w:tc>
        <w:tc>
          <w:tcPr>
            <w:tcW w:w="0" w:type="auto"/>
            <w:gridSpan w:val="3"/>
            <w:shd w:val="clear" w:color="auto" w:fill="auto"/>
            <w:vAlign w:val="bottom"/>
          </w:tcPr>
          <w:p w14:paraId="5F2D3605" w14:textId="77777777" w:rsidR="00E836FB" w:rsidRDefault="00E836FB">
            <w:pPr>
              <w:rPr>
                <w:rFonts w:ascii="宋体"/>
                <w:vanish/>
              </w:rPr>
            </w:pPr>
          </w:p>
        </w:tc>
      </w:tr>
      <w:tr w:rsidR="00E836FB" w14:paraId="5F2D3616" w14:textId="77777777">
        <w:trPr>
          <w:hidden/>
        </w:trPr>
        <w:tc>
          <w:tcPr>
            <w:tcW w:w="0" w:type="auto"/>
            <w:gridSpan w:val="3"/>
            <w:shd w:val="clear" w:color="auto" w:fill="auto"/>
            <w:vAlign w:val="bottom"/>
          </w:tcPr>
          <w:p w14:paraId="5F2D3607" w14:textId="77777777" w:rsidR="00E836FB" w:rsidRDefault="00E836FB">
            <w:pPr>
              <w:rPr>
                <w:rFonts w:ascii="宋体"/>
                <w:vanish/>
              </w:rPr>
            </w:pPr>
          </w:p>
        </w:tc>
        <w:tc>
          <w:tcPr>
            <w:tcW w:w="0" w:type="auto"/>
            <w:gridSpan w:val="3"/>
            <w:shd w:val="clear" w:color="auto" w:fill="auto"/>
            <w:vAlign w:val="bottom"/>
          </w:tcPr>
          <w:p w14:paraId="5F2D3608" w14:textId="77777777" w:rsidR="00E836FB" w:rsidRDefault="00E836FB">
            <w:pPr>
              <w:rPr>
                <w:rFonts w:ascii="宋体"/>
                <w:vanish/>
              </w:rPr>
            </w:pPr>
          </w:p>
        </w:tc>
        <w:tc>
          <w:tcPr>
            <w:tcW w:w="0" w:type="auto"/>
            <w:gridSpan w:val="3"/>
            <w:shd w:val="clear" w:color="auto" w:fill="auto"/>
            <w:vAlign w:val="bottom"/>
          </w:tcPr>
          <w:p w14:paraId="5F2D3609" w14:textId="77777777" w:rsidR="00E836FB" w:rsidRDefault="00E836FB">
            <w:pPr>
              <w:rPr>
                <w:rFonts w:ascii="宋体"/>
                <w:vanish/>
              </w:rPr>
            </w:pPr>
          </w:p>
        </w:tc>
        <w:tc>
          <w:tcPr>
            <w:tcW w:w="0" w:type="auto"/>
            <w:gridSpan w:val="3"/>
            <w:shd w:val="clear" w:color="auto" w:fill="auto"/>
            <w:vAlign w:val="bottom"/>
          </w:tcPr>
          <w:p w14:paraId="5F2D360A" w14:textId="77777777" w:rsidR="00E836FB" w:rsidRDefault="00E836FB">
            <w:pPr>
              <w:rPr>
                <w:rFonts w:ascii="宋体"/>
                <w:vanish/>
              </w:rPr>
            </w:pPr>
          </w:p>
        </w:tc>
        <w:tc>
          <w:tcPr>
            <w:tcW w:w="0" w:type="auto"/>
            <w:gridSpan w:val="3"/>
            <w:shd w:val="clear" w:color="auto" w:fill="auto"/>
            <w:vAlign w:val="bottom"/>
          </w:tcPr>
          <w:p w14:paraId="5F2D360B" w14:textId="77777777" w:rsidR="00E836FB" w:rsidRDefault="00E836FB">
            <w:pPr>
              <w:rPr>
                <w:rFonts w:ascii="宋体"/>
                <w:vanish/>
              </w:rPr>
            </w:pPr>
          </w:p>
        </w:tc>
        <w:tc>
          <w:tcPr>
            <w:tcW w:w="0" w:type="auto"/>
            <w:gridSpan w:val="3"/>
            <w:shd w:val="clear" w:color="auto" w:fill="auto"/>
            <w:vAlign w:val="bottom"/>
          </w:tcPr>
          <w:p w14:paraId="5F2D360C" w14:textId="77777777" w:rsidR="00E836FB" w:rsidRDefault="00E836FB">
            <w:pPr>
              <w:rPr>
                <w:rFonts w:ascii="宋体"/>
                <w:vanish/>
              </w:rPr>
            </w:pPr>
          </w:p>
        </w:tc>
        <w:tc>
          <w:tcPr>
            <w:tcW w:w="0" w:type="auto"/>
            <w:gridSpan w:val="3"/>
            <w:shd w:val="clear" w:color="auto" w:fill="auto"/>
            <w:vAlign w:val="bottom"/>
          </w:tcPr>
          <w:p w14:paraId="5F2D360D" w14:textId="77777777" w:rsidR="00E836FB" w:rsidRDefault="00E836FB">
            <w:pPr>
              <w:rPr>
                <w:rFonts w:ascii="宋体"/>
                <w:vanish/>
              </w:rPr>
            </w:pPr>
          </w:p>
        </w:tc>
        <w:tc>
          <w:tcPr>
            <w:tcW w:w="0" w:type="auto"/>
            <w:gridSpan w:val="3"/>
            <w:shd w:val="clear" w:color="auto" w:fill="auto"/>
            <w:vAlign w:val="bottom"/>
          </w:tcPr>
          <w:p w14:paraId="5F2D360E" w14:textId="77777777" w:rsidR="00E836FB" w:rsidRDefault="00E836FB">
            <w:pPr>
              <w:rPr>
                <w:rFonts w:ascii="宋体"/>
                <w:vanish/>
              </w:rPr>
            </w:pPr>
          </w:p>
        </w:tc>
        <w:tc>
          <w:tcPr>
            <w:tcW w:w="0" w:type="auto"/>
            <w:gridSpan w:val="3"/>
            <w:shd w:val="clear" w:color="auto" w:fill="auto"/>
            <w:vAlign w:val="bottom"/>
          </w:tcPr>
          <w:p w14:paraId="5F2D360F" w14:textId="77777777" w:rsidR="00E836FB" w:rsidRDefault="00E836FB">
            <w:pPr>
              <w:rPr>
                <w:rFonts w:ascii="宋体"/>
                <w:vanish/>
              </w:rPr>
            </w:pPr>
          </w:p>
        </w:tc>
        <w:tc>
          <w:tcPr>
            <w:tcW w:w="0" w:type="auto"/>
            <w:gridSpan w:val="3"/>
            <w:shd w:val="clear" w:color="auto" w:fill="auto"/>
            <w:vAlign w:val="bottom"/>
          </w:tcPr>
          <w:p w14:paraId="5F2D3610" w14:textId="77777777" w:rsidR="00E836FB" w:rsidRDefault="00E836FB">
            <w:pPr>
              <w:rPr>
                <w:rFonts w:ascii="宋体"/>
                <w:vanish/>
              </w:rPr>
            </w:pPr>
          </w:p>
        </w:tc>
        <w:tc>
          <w:tcPr>
            <w:tcW w:w="0" w:type="auto"/>
            <w:shd w:val="clear" w:color="auto" w:fill="auto"/>
            <w:vAlign w:val="bottom"/>
          </w:tcPr>
          <w:p w14:paraId="5F2D3611" w14:textId="77777777" w:rsidR="00E836FB" w:rsidRDefault="00E836FB">
            <w:pPr>
              <w:rPr>
                <w:rFonts w:ascii="宋体"/>
                <w:vanish/>
              </w:rPr>
            </w:pPr>
          </w:p>
        </w:tc>
        <w:tc>
          <w:tcPr>
            <w:tcW w:w="0" w:type="auto"/>
            <w:gridSpan w:val="3"/>
            <w:shd w:val="clear" w:color="auto" w:fill="auto"/>
            <w:vAlign w:val="bottom"/>
          </w:tcPr>
          <w:p w14:paraId="5F2D3612" w14:textId="77777777" w:rsidR="00E836FB" w:rsidRDefault="00E836FB">
            <w:pPr>
              <w:rPr>
                <w:rFonts w:ascii="宋体"/>
                <w:vanish/>
              </w:rPr>
            </w:pPr>
          </w:p>
        </w:tc>
        <w:tc>
          <w:tcPr>
            <w:tcW w:w="0" w:type="auto"/>
            <w:gridSpan w:val="3"/>
            <w:shd w:val="clear" w:color="auto" w:fill="auto"/>
            <w:vAlign w:val="bottom"/>
          </w:tcPr>
          <w:p w14:paraId="5F2D3613" w14:textId="77777777" w:rsidR="00E836FB" w:rsidRDefault="00E836FB">
            <w:pPr>
              <w:rPr>
                <w:rFonts w:ascii="宋体"/>
                <w:vanish/>
              </w:rPr>
            </w:pPr>
          </w:p>
        </w:tc>
        <w:tc>
          <w:tcPr>
            <w:tcW w:w="0" w:type="auto"/>
            <w:gridSpan w:val="3"/>
            <w:shd w:val="clear" w:color="auto" w:fill="auto"/>
            <w:vAlign w:val="bottom"/>
          </w:tcPr>
          <w:p w14:paraId="5F2D3614" w14:textId="77777777" w:rsidR="00E836FB" w:rsidRDefault="00E836FB">
            <w:pPr>
              <w:rPr>
                <w:rFonts w:ascii="宋体"/>
                <w:vanish/>
              </w:rPr>
            </w:pPr>
          </w:p>
        </w:tc>
        <w:tc>
          <w:tcPr>
            <w:tcW w:w="0" w:type="auto"/>
            <w:gridSpan w:val="3"/>
            <w:shd w:val="clear" w:color="auto" w:fill="auto"/>
            <w:vAlign w:val="bottom"/>
          </w:tcPr>
          <w:p w14:paraId="5F2D3615" w14:textId="77777777" w:rsidR="00E836FB" w:rsidRDefault="00E836FB">
            <w:pPr>
              <w:rPr>
                <w:rFonts w:ascii="宋体"/>
                <w:vanish/>
              </w:rPr>
            </w:pPr>
          </w:p>
        </w:tc>
      </w:tr>
      <w:tr w:rsidR="00E836FB" w14:paraId="5F2D3626" w14:textId="77777777">
        <w:trPr>
          <w:hidden/>
        </w:trPr>
        <w:tc>
          <w:tcPr>
            <w:tcW w:w="0" w:type="auto"/>
            <w:gridSpan w:val="3"/>
            <w:shd w:val="clear" w:color="auto" w:fill="auto"/>
            <w:vAlign w:val="bottom"/>
          </w:tcPr>
          <w:p w14:paraId="5F2D3617" w14:textId="77777777" w:rsidR="00E836FB" w:rsidRDefault="00E836FB">
            <w:pPr>
              <w:rPr>
                <w:rFonts w:ascii="宋体"/>
                <w:vanish/>
              </w:rPr>
            </w:pPr>
          </w:p>
        </w:tc>
        <w:tc>
          <w:tcPr>
            <w:tcW w:w="0" w:type="auto"/>
            <w:gridSpan w:val="3"/>
            <w:shd w:val="clear" w:color="auto" w:fill="auto"/>
            <w:vAlign w:val="bottom"/>
          </w:tcPr>
          <w:p w14:paraId="5F2D3618" w14:textId="77777777" w:rsidR="00E836FB" w:rsidRDefault="00E836FB">
            <w:pPr>
              <w:rPr>
                <w:rFonts w:ascii="宋体"/>
                <w:vanish/>
              </w:rPr>
            </w:pPr>
          </w:p>
        </w:tc>
        <w:tc>
          <w:tcPr>
            <w:tcW w:w="0" w:type="auto"/>
            <w:gridSpan w:val="3"/>
            <w:shd w:val="clear" w:color="auto" w:fill="auto"/>
            <w:vAlign w:val="bottom"/>
          </w:tcPr>
          <w:p w14:paraId="5F2D3619" w14:textId="77777777" w:rsidR="00E836FB" w:rsidRDefault="00E836FB">
            <w:pPr>
              <w:rPr>
                <w:rFonts w:ascii="宋体"/>
                <w:vanish/>
              </w:rPr>
            </w:pPr>
          </w:p>
        </w:tc>
        <w:tc>
          <w:tcPr>
            <w:tcW w:w="0" w:type="auto"/>
            <w:gridSpan w:val="3"/>
            <w:shd w:val="clear" w:color="auto" w:fill="auto"/>
            <w:vAlign w:val="bottom"/>
          </w:tcPr>
          <w:p w14:paraId="5F2D361A" w14:textId="77777777" w:rsidR="00E836FB" w:rsidRDefault="00E836FB">
            <w:pPr>
              <w:rPr>
                <w:rFonts w:ascii="宋体"/>
                <w:vanish/>
              </w:rPr>
            </w:pPr>
          </w:p>
        </w:tc>
        <w:tc>
          <w:tcPr>
            <w:tcW w:w="0" w:type="auto"/>
            <w:gridSpan w:val="3"/>
            <w:shd w:val="clear" w:color="auto" w:fill="auto"/>
            <w:vAlign w:val="bottom"/>
          </w:tcPr>
          <w:p w14:paraId="5F2D361B" w14:textId="77777777" w:rsidR="00E836FB" w:rsidRDefault="00E836FB">
            <w:pPr>
              <w:rPr>
                <w:rFonts w:ascii="宋体"/>
                <w:vanish/>
              </w:rPr>
            </w:pPr>
          </w:p>
        </w:tc>
        <w:tc>
          <w:tcPr>
            <w:tcW w:w="0" w:type="auto"/>
            <w:gridSpan w:val="3"/>
            <w:shd w:val="clear" w:color="auto" w:fill="auto"/>
            <w:vAlign w:val="bottom"/>
          </w:tcPr>
          <w:p w14:paraId="5F2D361C" w14:textId="77777777" w:rsidR="00E836FB" w:rsidRDefault="00E836FB">
            <w:pPr>
              <w:rPr>
                <w:rFonts w:ascii="宋体"/>
                <w:vanish/>
              </w:rPr>
            </w:pPr>
          </w:p>
        </w:tc>
        <w:tc>
          <w:tcPr>
            <w:tcW w:w="0" w:type="auto"/>
            <w:gridSpan w:val="3"/>
            <w:shd w:val="clear" w:color="auto" w:fill="auto"/>
            <w:vAlign w:val="bottom"/>
          </w:tcPr>
          <w:p w14:paraId="5F2D361D" w14:textId="77777777" w:rsidR="00E836FB" w:rsidRDefault="00E836FB">
            <w:pPr>
              <w:rPr>
                <w:rFonts w:ascii="宋体"/>
                <w:vanish/>
              </w:rPr>
            </w:pPr>
          </w:p>
        </w:tc>
        <w:tc>
          <w:tcPr>
            <w:tcW w:w="0" w:type="auto"/>
            <w:gridSpan w:val="3"/>
            <w:shd w:val="clear" w:color="auto" w:fill="auto"/>
            <w:vAlign w:val="bottom"/>
          </w:tcPr>
          <w:p w14:paraId="5F2D361E" w14:textId="77777777" w:rsidR="00E836FB" w:rsidRDefault="00E836FB">
            <w:pPr>
              <w:rPr>
                <w:rFonts w:ascii="宋体"/>
                <w:vanish/>
              </w:rPr>
            </w:pPr>
          </w:p>
        </w:tc>
        <w:tc>
          <w:tcPr>
            <w:tcW w:w="0" w:type="auto"/>
            <w:gridSpan w:val="3"/>
            <w:shd w:val="clear" w:color="auto" w:fill="auto"/>
            <w:vAlign w:val="bottom"/>
          </w:tcPr>
          <w:p w14:paraId="5F2D361F" w14:textId="77777777" w:rsidR="00E836FB" w:rsidRDefault="00E836FB">
            <w:pPr>
              <w:rPr>
                <w:rFonts w:ascii="宋体"/>
                <w:vanish/>
              </w:rPr>
            </w:pPr>
          </w:p>
        </w:tc>
        <w:tc>
          <w:tcPr>
            <w:tcW w:w="0" w:type="auto"/>
            <w:gridSpan w:val="3"/>
            <w:shd w:val="clear" w:color="auto" w:fill="auto"/>
            <w:vAlign w:val="bottom"/>
          </w:tcPr>
          <w:p w14:paraId="5F2D3620" w14:textId="77777777" w:rsidR="00E836FB" w:rsidRDefault="00E836FB">
            <w:pPr>
              <w:rPr>
                <w:rFonts w:ascii="宋体"/>
                <w:vanish/>
              </w:rPr>
            </w:pPr>
          </w:p>
        </w:tc>
        <w:tc>
          <w:tcPr>
            <w:tcW w:w="0" w:type="auto"/>
            <w:shd w:val="clear" w:color="auto" w:fill="auto"/>
            <w:vAlign w:val="bottom"/>
          </w:tcPr>
          <w:p w14:paraId="5F2D3621" w14:textId="77777777" w:rsidR="00E836FB" w:rsidRDefault="00E836FB">
            <w:pPr>
              <w:rPr>
                <w:rFonts w:ascii="宋体"/>
                <w:vanish/>
              </w:rPr>
            </w:pPr>
          </w:p>
        </w:tc>
        <w:tc>
          <w:tcPr>
            <w:tcW w:w="0" w:type="auto"/>
            <w:gridSpan w:val="3"/>
            <w:shd w:val="clear" w:color="auto" w:fill="auto"/>
            <w:vAlign w:val="bottom"/>
          </w:tcPr>
          <w:p w14:paraId="5F2D3622" w14:textId="77777777" w:rsidR="00E836FB" w:rsidRDefault="00E836FB">
            <w:pPr>
              <w:rPr>
                <w:rFonts w:ascii="宋体"/>
                <w:vanish/>
              </w:rPr>
            </w:pPr>
          </w:p>
        </w:tc>
        <w:tc>
          <w:tcPr>
            <w:tcW w:w="0" w:type="auto"/>
            <w:gridSpan w:val="3"/>
            <w:shd w:val="clear" w:color="auto" w:fill="auto"/>
            <w:vAlign w:val="bottom"/>
          </w:tcPr>
          <w:p w14:paraId="5F2D3623" w14:textId="77777777" w:rsidR="00E836FB" w:rsidRDefault="00E836FB">
            <w:pPr>
              <w:rPr>
                <w:rFonts w:ascii="宋体"/>
                <w:vanish/>
              </w:rPr>
            </w:pPr>
          </w:p>
        </w:tc>
        <w:tc>
          <w:tcPr>
            <w:tcW w:w="0" w:type="auto"/>
            <w:gridSpan w:val="3"/>
            <w:shd w:val="clear" w:color="auto" w:fill="auto"/>
            <w:vAlign w:val="bottom"/>
          </w:tcPr>
          <w:p w14:paraId="5F2D3624" w14:textId="77777777" w:rsidR="00E836FB" w:rsidRDefault="00E836FB">
            <w:pPr>
              <w:rPr>
                <w:rFonts w:ascii="宋体"/>
                <w:vanish/>
              </w:rPr>
            </w:pPr>
          </w:p>
        </w:tc>
        <w:tc>
          <w:tcPr>
            <w:tcW w:w="0" w:type="auto"/>
            <w:gridSpan w:val="3"/>
            <w:shd w:val="clear" w:color="auto" w:fill="auto"/>
            <w:vAlign w:val="bottom"/>
          </w:tcPr>
          <w:p w14:paraId="5F2D3625" w14:textId="77777777" w:rsidR="00E836FB" w:rsidRDefault="00E836FB">
            <w:pPr>
              <w:rPr>
                <w:rFonts w:ascii="宋体"/>
                <w:vanish/>
              </w:rPr>
            </w:pPr>
          </w:p>
        </w:tc>
      </w:tr>
      <w:tr w:rsidR="00E836FB" w14:paraId="5F2D3636" w14:textId="77777777">
        <w:trPr>
          <w:hidden/>
        </w:trPr>
        <w:tc>
          <w:tcPr>
            <w:tcW w:w="0" w:type="auto"/>
            <w:gridSpan w:val="3"/>
            <w:shd w:val="clear" w:color="auto" w:fill="auto"/>
            <w:vAlign w:val="bottom"/>
          </w:tcPr>
          <w:p w14:paraId="5F2D3627" w14:textId="77777777" w:rsidR="00E836FB" w:rsidRDefault="00E836FB">
            <w:pPr>
              <w:rPr>
                <w:rFonts w:ascii="宋体"/>
                <w:vanish/>
              </w:rPr>
            </w:pPr>
          </w:p>
        </w:tc>
        <w:tc>
          <w:tcPr>
            <w:tcW w:w="0" w:type="auto"/>
            <w:gridSpan w:val="3"/>
            <w:shd w:val="clear" w:color="auto" w:fill="auto"/>
            <w:vAlign w:val="bottom"/>
          </w:tcPr>
          <w:p w14:paraId="5F2D3628" w14:textId="77777777" w:rsidR="00E836FB" w:rsidRDefault="00E836FB">
            <w:pPr>
              <w:rPr>
                <w:rFonts w:ascii="宋体"/>
                <w:vanish/>
              </w:rPr>
            </w:pPr>
          </w:p>
        </w:tc>
        <w:tc>
          <w:tcPr>
            <w:tcW w:w="0" w:type="auto"/>
            <w:gridSpan w:val="3"/>
            <w:shd w:val="clear" w:color="auto" w:fill="auto"/>
            <w:vAlign w:val="bottom"/>
          </w:tcPr>
          <w:p w14:paraId="5F2D3629" w14:textId="77777777" w:rsidR="00E836FB" w:rsidRDefault="00E836FB">
            <w:pPr>
              <w:rPr>
                <w:rFonts w:ascii="宋体"/>
                <w:vanish/>
              </w:rPr>
            </w:pPr>
          </w:p>
        </w:tc>
        <w:tc>
          <w:tcPr>
            <w:tcW w:w="0" w:type="auto"/>
            <w:gridSpan w:val="3"/>
            <w:shd w:val="clear" w:color="auto" w:fill="auto"/>
            <w:vAlign w:val="bottom"/>
          </w:tcPr>
          <w:p w14:paraId="5F2D362A" w14:textId="77777777" w:rsidR="00E836FB" w:rsidRDefault="00E836FB">
            <w:pPr>
              <w:rPr>
                <w:rFonts w:ascii="宋体"/>
                <w:vanish/>
              </w:rPr>
            </w:pPr>
          </w:p>
        </w:tc>
        <w:tc>
          <w:tcPr>
            <w:tcW w:w="0" w:type="auto"/>
            <w:gridSpan w:val="3"/>
            <w:shd w:val="clear" w:color="auto" w:fill="auto"/>
            <w:vAlign w:val="bottom"/>
          </w:tcPr>
          <w:p w14:paraId="5F2D362B" w14:textId="77777777" w:rsidR="00E836FB" w:rsidRDefault="00E836FB">
            <w:pPr>
              <w:rPr>
                <w:rFonts w:ascii="宋体"/>
                <w:vanish/>
              </w:rPr>
            </w:pPr>
          </w:p>
        </w:tc>
        <w:tc>
          <w:tcPr>
            <w:tcW w:w="0" w:type="auto"/>
            <w:gridSpan w:val="3"/>
            <w:shd w:val="clear" w:color="auto" w:fill="auto"/>
            <w:vAlign w:val="bottom"/>
          </w:tcPr>
          <w:p w14:paraId="5F2D362C" w14:textId="77777777" w:rsidR="00E836FB" w:rsidRDefault="00E836FB">
            <w:pPr>
              <w:rPr>
                <w:rFonts w:ascii="宋体"/>
                <w:vanish/>
              </w:rPr>
            </w:pPr>
          </w:p>
        </w:tc>
        <w:tc>
          <w:tcPr>
            <w:tcW w:w="0" w:type="auto"/>
            <w:gridSpan w:val="3"/>
            <w:shd w:val="clear" w:color="auto" w:fill="auto"/>
            <w:vAlign w:val="bottom"/>
          </w:tcPr>
          <w:p w14:paraId="5F2D362D" w14:textId="77777777" w:rsidR="00E836FB" w:rsidRDefault="00E836FB">
            <w:pPr>
              <w:rPr>
                <w:rFonts w:ascii="宋体"/>
                <w:vanish/>
              </w:rPr>
            </w:pPr>
          </w:p>
        </w:tc>
        <w:tc>
          <w:tcPr>
            <w:tcW w:w="0" w:type="auto"/>
            <w:gridSpan w:val="3"/>
            <w:shd w:val="clear" w:color="auto" w:fill="auto"/>
            <w:vAlign w:val="bottom"/>
          </w:tcPr>
          <w:p w14:paraId="5F2D362E" w14:textId="77777777" w:rsidR="00E836FB" w:rsidRDefault="00E836FB">
            <w:pPr>
              <w:rPr>
                <w:rFonts w:ascii="宋体"/>
                <w:vanish/>
              </w:rPr>
            </w:pPr>
          </w:p>
        </w:tc>
        <w:tc>
          <w:tcPr>
            <w:tcW w:w="0" w:type="auto"/>
            <w:gridSpan w:val="3"/>
            <w:shd w:val="clear" w:color="auto" w:fill="auto"/>
            <w:vAlign w:val="bottom"/>
          </w:tcPr>
          <w:p w14:paraId="5F2D362F" w14:textId="77777777" w:rsidR="00E836FB" w:rsidRDefault="00E836FB">
            <w:pPr>
              <w:rPr>
                <w:rFonts w:ascii="宋体"/>
                <w:vanish/>
              </w:rPr>
            </w:pPr>
          </w:p>
        </w:tc>
        <w:tc>
          <w:tcPr>
            <w:tcW w:w="0" w:type="auto"/>
            <w:gridSpan w:val="3"/>
            <w:shd w:val="clear" w:color="auto" w:fill="auto"/>
            <w:vAlign w:val="bottom"/>
          </w:tcPr>
          <w:p w14:paraId="5F2D3630" w14:textId="77777777" w:rsidR="00E836FB" w:rsidRDefault="00E836FB">
            <w:pPr>
              <w:rPr>
                <w:rFonts w:ascii="宋体"/>
                <w:vanish/>
              </w:rPr>
            </w:pPr>
          </w:p>
        </w:tc>
        <w:tc>
          <w:tcPr>
            <w:tcW w:w="0" w:type="auto"/>
            <w:shd w:val="clear" w:color="auto" w:fill="auto"/>
            <w:vAlign w:val="bottom"/>
          </w:tcPr>
          <w:p w14:paraId="5F2D3631" w14:textId="77777777" w:rsidR="00E836FB" w:rsidRDefault="00E836FB">
            <w:pPr>
              <w:rPr>
                <w:rFonts w:ascii="宋体"/>
                <w:vanish/>
              </w:rPr>
            </w:pPr>
          </w:p>
        </w:tc>
        <w:tc>
          <w:tcPr>
            <w:tcW w:w="0" w:type="auto"/>
            <w:gridSpan w:val="3"/>
            <w:shd w:val="clear" w:color="auto" w:fill="auto"/>
            <w:vAlign w:val="bottom"/>
          </w:tcPr>
          <w:p w14:paraId="5F2D3632" w14:textId="77777777" w:rsidR="00E836FB" w:rsidRDefault="00E836FB">
            <w:pPr>
              <w:rPr>
                <w:rFonts w:ascii="宋体"/>
                <w:vanish/>
              </w:rPr>
            </w:pPr>
          </w:p>
        </w:tc>
        <w:tc>
          <w:tcPr>
            <w:tcW w:w="0" w:type="auto"/>
            <w:gridSpan w:val="3"/>
            <w:shd w:val="clear" w:color="auto" w:fill="auto"/>
            <w:vAlign w:val="bottom"/>
          </w:tcPr>
          <w:p w14:paraId="5F2D3633" w14:textId="77777777" w:rsidR="00E836FB" w:rsidRDefault="00E836FB">
            <w:pPr>
              <w:rPr>
                <w:rFonts w:ascii="宋体"/>
                <w:vanish/>
              </w:rPr>
            </w:pPr>
          </w:p>
        </w:tc>
        <w:tc>
          <w:tcPr>
            <w:tcW w:w="0" w:type="auto"/>
            <w:gridSpan w:val="3"/>
            <w:shd w:val="clear" w:color="auto" w:fill="auto"/>
            <w:vAlign w:val="bottom"/>
          </w:tcPr>
          <w:p w14:paraId="5F2D3634" w14:textId="77777777" w:rsidR="00E836FB" w:rsidRDefault="00E836FB">
            <w:pPr>
              <w:rPr>
                <w:rFonts w:ascii="宋体"/>
                <w:vanish/>
              </w:rPr>
            </w:pPr>
          </w:p>
        </w:tc>
        <w:tc>
          <w:tcPr>
            <w:tcW w:w="0" w:type="auto"/>
            <w:gridSpan w:val="3"/>
            <w:shd w:val="clear" w:color="auto" w:fill="auto"/>
            <w:vAlign w:val="bottom"/>
          </w:tcPr>
          <w:p w14:paraId="5F2D3635" w14:textId="77777777" w:rsidR="00E836FB" w:rsidRDefault="00E836FB">
            <w:pPr>
              <w:rPr>
                <w:rFonts w:ascii="宋体"/>
                <w:vanish/>
              </w:rPr>
            </w:pPr>
          </w:p>
        </w:tc>
      </w:tr>
      <w:tr w:rsidR="00E836FB" w14:paraId="5F2D364A" w14:textId="77777777">
        <w:tc>
          <w:tcPr>
            <w:tcW w:w="0" w:type="auto"/>
            <w:gridSpan w:val="3"/>
            <w:shd w:val="clear" w:color="auto" w:fill="CCEEFF"/>
            <w:tcMar>
              <w:top w:w="40" w:type="dxa"/>
              <w:left w:w="20" w:type="dxa"/>
              <w:bottom w:w="40" w:type="dxa"/>
              <w:right w:w="20" w:type="dxa"/>
            </w:tcMar>
            <w:vAlign w:val="bottom"/>
          </w:tcPr>
          <w:p w14:paraId="5F2D3637" w14:textId="77777777" w:rsidR="00E836FB" w:rsidRDefault="00994958">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5F2D3638" w14:textId="77777777" w:rsidR="00E836FB" w:rsidRDefault="00994958">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vAlign w:val="bottom"/>
          </w:tcPr>
          <w:p w14:paraId="5F2D363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63A" w14:textId="77777777" w:rsidR="00E836FB" w:rsidRDefault="00994958">
            <w:pPr>
              <w:jc w:val="right"/>
              <w:textAlignment w:val="bottom"/>
            </w:pPr>
            <w:r>
              <w:rPr>
                <w:rFonts w:ascii="Arial" w:eastAsia="宋体" w:hAnsi="Arial" w:cs="Arial"/>
                <w:b/>
                <w:bCs/>
                <w:color w:val="000000"/>
                <w:sz w:val="15"/>
                <w:szCs w:val="15"/>
              </w:rPr>
              <w:t>(1,966)</w:t>
            </w:r>
          </w:p>
        </w:tc>
        <w:tc>
          <w:tcPr>
            <w:tcW w:w="0" w:type="auto"/>
            <w:shd w:val="clear" w:color="auto" w:fill="CCEEFF"/>
            <w:tcMar>
              <w:top w:w="40" w:type="dxa"/>
              <w:left w:w="0" w:type="dxa"/>
              <w:bottom w:w="40" w:type="dxa"/>
              <w:right w:w="20" w:type="dxa"/>
            </w:tcMar>
            <w:vAlign w:val="bottom"/>
          </w:tcPr>
          <w:p w14:paraId="5F2D363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63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63D" w14:textId="77777777" w:rsidR="00E836FB" w:rsidRDefault="00994958">
            <w:pPr>
              <w:jc w:val="right"/>
              <w:textAlignment w:val="bottom"/>
            </w:pPr>
            <w:r>
              <w:rPr>
                <w:rFonts w:ascii="Arial" w:eastAsia="宋体" w:hAnsi="Arial" w:cs="Arial"/>
                <w:b/>
                <w:bCs/>
                <w:color w:val="000000"/>
                <w:sz w:val="15"/>
                <w:szCs w:val="15"/>
              </w:rPr>
              <w:t>(1,966)</w:t>
            </w:r>
          </w:p>
        </w:tc>
        <w:tc>
          <w:tcPr>
            <w:tcW w:w="0" w:type="auto"/>
            <w:shd w:val="clear" w:color="auto" w:fill="CCEEFF"/>
            <w:tcMar>
              <w:top w:w="40" w:type="dxa"/>
              <w:left w:w="0" w:type="dxa"/>
              <w:bottom w:w="40" w:type="dxa"/>
              <w:right w:w="20" w:type="dxa"/>
            </w:tcMar>
            <w:vAlign w:val="bottom"/>
          </w:tcPr>
          <w:p w14:paraId="5F2D36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63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640" w14:textId="77777777" w:rsidR="00E836FB" w:rsidRDefault="00994958">
            <w:pPr>
              <w:jc w:val="right"/>
              <w:textAlignment w:val="bottom"/>
            </w:pPr>
            <w:r>
              <w:rPr>
                <w:rFonts w:ascii="Arial" w:eastAsia="宋体" w:hAnsi="Arial" w:cs="Arial"/>
                <w:b/>
                <w:bCs/>
                <w:color w:val="000000"/>
                <w:sz w:val="15"/>
                <w:szCs w:val="15"/>
              </w:rPr>
              <w:t>(723)</w:t>
            </w:r>
          </w:p>
        </w:tc>
        <w:tc>
          <w:tcPr>
            <w:tcW w:w="0" w:type="auto"/>
            <w:shd w:val="clear" w:color="auto" w:fill="CCEEFF"/>
            <w:tcMar>
              <w:top w:w="40" w:type="dxa"/>
              <w:left w:w="0" w:type="dxa"/>
              <w:bottom w:w="40" w:type="dxa"/>
              <w:right w:w="20" w:type="dxa"/>
            </w:tcMar>
            <w:vAlign w:val="bottom"/>
          </w:tcPr>
          <w:p w14:paraId="5F2D36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64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643" w14:textId="77777777" w:rsidR="00E836FB" w:rsidRDefault="00994958">
            <w:pPr>
              <w:jc w:val="right"/>
              <w:textAlignment w:val="bottom"/>
            </w:pPr>
            <w:r>
              <w:rPr>
                <w:rFonts w:ascii="Arial" w:eastAsia="宋体" w:hAnsi="Arial" w:cs="Arial"/>
                <w:b/>
                <w:bCs/>
                <w:color w:val="000000"/>
                <w:sz w:val="15"/>
                <w:szCs w:val="15"/>
              </w:rPr>
              <w:t>(2,689)</w:t>
            </w:r>
          </w:p>
        </w:tc>
        <w:tc>
          <w:tcPr>
            <w:tcW w:w="0" w:type="auto"/>
            <w:shd w:val="clear" w:color="auto" w:fill="CCEEFF"/>
            <w:tcMar>
              <w:top w:w="40" w:type="dxa"/>
              <w:left w:w="0" w:type="dxa"/>
              <w:bottom w:w="40" w:type="dxa"/>
              <w:right w:w="20" w:type="dxa"/>
            </w:tcMar>
            <w:vAlign w:val="bottom"/>
          </w:tcPr>
          <w:p w14:paraId="5F2D3644" w14:textId="77777777" w:rsidR="00E836FB" w:rsidRDefault="00E836FB">
            <w:pPr>
              <w:jc w:val="right"/>
              <w:rPr>
                <w:rFonts w:ascii="宋体"/>
              </w:rPr>
            </w:pPr>
          </w:p>
        </w:tc>
        <w:tc>
          <w:tcPr>
            <w:tcW w:w="0" w:type="auto"/>
            <w:shd w:val="clear" w:color="auto" w:fill="auto"/>
            <w:vAlign w:val="bottom"/>
          </w:tcPr>
          <w:p w14:paraId="5F2D3645" w14:textId="77777777" w:rsidR="00E836FB" w:rsidRDefault="00E836FB">
            <w:pPr>
              <w:rPr>
                <w:rFonts w:ascii="宋体"/>
                <w:vanish/>
              </w:rPr>
            </w:pPr>
          </w:p>
        </w:tc>
        <w:tc>
          <w:tcPr>
            <w:tcW w:w="0" w:type="auto"/>
            <w:gridSpan w:val="3"/>
            <w:shd w:val="clear" w:color="auto" w:fill="auto"/>
            <w:vAlign w:val="bottom"/>
          </w:tcPr>
          <w:p w14:paraId="5F2D3646" w14:textId="77777777" w:rsidR="00E836FB" w:rsidRDefault="00E836FB">
            <w:pPr>
              <w:rPr>
                <w:rFonts w:ascii="宋体"/>
                <w:vanish/>
              </w:rPr>
            </w:pPr>
          </w:p>
        </w:tc>
        <w:tc>
          <w:tcPr>
            <w:tcW w:w="0" w:type="auto"/>
            <w:gridSpan w:val="3"/>
            <w:shd w:val="clear" w:color="auto" w:fill="auto"/>
            <w:vAlign w:val="bottom"/>
          </w:tcPr>
          <w:p w14:paraId="5F2D3647" w14:textId="77777777" w:rsidR="00E836FB" w:rsidRDefault="00E836FB">
            <w:pPr>
              <w:rPr>
                <w:rFonts w:ascii="宋体"/>
                <w:vanish/>
              </w:rPr>
            </w:pPr>
          </w:p>
        </w:tc>
        <w:tc>
          <w:tcPr>
            <w:tcW w:w="0" w:type="auto"/>
            <w:gridSpan w:val="3"/>
            <w:shd w:val="clear" w:color="auto" w:fill="auto"/>
            <w:vAlign w:val="bottom"/>
          </w:tcPr>
          <w:p w14:paraId="5F2D3648" w14:textId="77777777" w:rsidR="00E836FB" w:rsidRDefault="00E836FB">
            <w:pPr>
              <w:rPr>
                <w:rFonts w:ascii="宋体"/>
                <w:vanish/>
              </w:rPr>
            </w:pPr>
          </w:p>
        </w:tc>
        <w:tc>
          <w:tcPr>
            <w:tcW w:w="0" w:type="auto"/>
            <w:gridSpan w:val="3"/>
            <w:shd w:val="clear" w:color="auto" w:fill="auto"/>
            <w:vAlign w:val="bottom"/>
          </w:tcPr>
          <w:p w14:paraId="5F2D3649" w14:textId="77777777" w:rsidR="00E836FB" w:rsidRDefault="00E836FB">
            <w:pPr>
              <w:rPr>
                <w:rFonts w:ascii="宋体"/>
                <w:vanish/>
              </w:rPr>
            </w:pPr>
          </w:p>
        </w:tc>
      </w:tr>
      <w:tr w:rsidR="00E836FB" w14:paraId="5F2D365F" w14:textId="77777777">
        <w:tc>
          <w:tcPr>
            <w:tcW w:w="0" w:type="auto"/>
            <w:gridSpan w:val="3"/>
            <w:shd w:val="clear" w:color="auto" w:fill="FFFFFF"/>
            <w:tcMar>
              <w:top w:w="40" w:type="dxa"/>
              <w:left w:w="20" w:type="dxa"/>
              <w:bottom w:w="40" w:type="dxa"/>
              <w:right w:w="20" w:type="dxa"/>
            </w:tcMar>
            <w:vAlign w:val="bottom"/>
          </w:tcPr>
          <w:p w14:paraId="5F2D364B" w14:textId="77777777" w:rsidR="00E836FB" w:rsidRDefault="00994958">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64C" w14:textId="77777777" w:rsidR="00E836FB" w:rsidRDefault="00994958">
            <w:pPr>
              <w:jc w:val="right"/>
              <w:textAlignment w:val="bottom"/>
            </w:pPr>
            <w:r>
              <w:rPr>
                <w:rFonts w:ascii="Arial" w:eastAsia="宋体" w:hAnsi="Arial" w:cs="Arial"/>
                <w:b/>
                <w:bCs/>
                <w:color w:val="000000"/>
                <w:sz w:val="15"/>
                <w:szCs w:val="15"/>
              </w:rPr>
              <w:t>15,187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6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4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64F" w14:textId="77777777" w:rsidR="00E836FB" w:rsidRDefault="00994958">
            <w:pPr>
              <w:jc w:val="right"/>
              <w:textAlignment w:val="bottom"/>
            </w:pPr>
            <w:r>
              <w:rPr>
                <w:rFonts w:ascii="Arial" w:eastAsia="宋体" w:hAnsi="Arial" w:cs="Arial"/>
                <w:b/>
                <w:bCs/>
                <w:color w:val="000000"/>
                <w:sz w:val="15"/>
                <w:szCs w:val="15"/>
              </w:rPr>
              <w:t>(11,079)</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6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5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652" w14:textId="77777777" w:rsidR="00E836FB" w:rsidRDefault="00994958">
            <w:pPr>
              <w:jc w:val="right"/>
              <w:textAlignment w:val="bottom"/>
            </w:pPr>
            <w:r>
              <w:rPr>
                <w:rFonts w:ascii="Arial" w:eastAsia="宋体" w:hAnsi="Arial" w:cs="Arial"/>
                <w:b/>
                <w:bCs/>
                <w:color w:val="000000"/>
                <w:sz w:val="15"/>
                <w:szCs w:val="15"/>
              </w:rPr>
              <w:t>4,108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6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5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655" w14:textId="77777777" w:rsidR="00E836FB" w:rsidRDefault="00994958">
            <w:pPr>
              <w:jc w:val="right"/>
              <w:textAlignment w:val="bottom"/>
            </w:pPr>
            <w:r>
              <w:rPr>
                <w:rFonts w:ascii="Arial" w:eastAsia="宋体" w:hAnsi="Arial" w:cs="Arial"/>
                <w:b/>
                <w:bCs/>
                <w:color w:val="000000"/>
                <w:sz w:val="15"/>
                <w:szCs w:val="15"/>
              </w:rPr>
              <w:t>(723)</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6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5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658" w14:textId="77777777" w:rsidR="00E836FB" w:rsidRDefault="00994958">
            <w:pPr>
              <w:jc w:val="right"/>
              <w:textAlignment w:val="bottom"/>
            </w:pPr>
            <w:r>
              <w:rPr>
                <w:rFonts w:ascii="Arial" w:eastAsia="宋体" w:hAnsi="Arial" w:cs="Arial"/>
                <w:b/>
                <w:bCs/>
                <w:color w:val="000000"/>
                <w:sz w:val="15"/>
                <w:szCs w:val="15"/>
              </w:rPr>
              <w:t>3,385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659" w14:textId="77777777" w:rsidR="00E836FB" w:rsidRDefault="00E836FB">
            <w:pPr>
              <w:jc w:val="right"/>
              <w:rPr>
                <w:rFonts w:ascii="宋体"/>
              </w:rPr>
            </w:pPr>
          </w:p>
        </w:tc>
        <w:tc>
          <w:tcPr>
            <w:tcW w:w="0" w:type="auto"/>
            <w:shd w:val="clear" w:color="auto" w:fill="auto"/>
            <w:vAlign w:val="bottom"/>
          </w:tcPr>
          <w:p w14:paraId="5F2D365A" w14:textId="77777777" w:rsidR="00E836FB" w:rsidRDefault="00E836FB">
            <w:pPr>
              <w:rPr>
                <w:rFonts w:ascii="宋体"/>
                <w:vanish/>
              </w:rPr>
            </w:pPr>
          </w:p>
        </w:tc>
        <w:tc>
          <w:tcPr>
            <w:tcW w:w="0" w:type="auto"/>
            <w:gridSpan w:val="3"/>
            <w:shd w:val="clear" w:color="auto" w:fill="auto"/>
            <w:vAlign w:val="bottom"/>
          </w:tcPr>
          <w:p w14:paraId="5F2D365B" w14:textId="77777777" w:rsidR="00E836FB" w:rsidRDefault="00E836FB">
            <w:pPr>
              <w:rPr>
                <w:rFonts w:ascii="宋体"/>
                <w:vanish/>
              </w:rPr>
            </w:pPr>
          </w:p>
        </w:tc>
        <w:tc>
          <w:tcPr>
            <w:tcW w:w="0" w:type="auto"/>
            <w:gridSpan w:val="3"/>
            <w:shd w:val="clear" w:color="auto" w:fill="auto"/>
            <w:vAlign w:val="bottom"/>
          </w:tcPr>
          <w:p w14:paraId="5F2D365C" w14:textId="77777777" w:rsidR="00E836FB" w:rsidRDefault="00E836FB">
            <w:pPr>
              <w:rPr>
                <w:rFonts w:ascii="宋体"/>
                <w:vanish/>
              </w:rPr>
            </w:pPr>
          </w:p>
        </w:tc>
        <w:tc>
          <w:tcPr>
            <w:tcW w:w="0" w:type="auto"/>
            <w:gridSpan w:val="3"/>
            <w:shd w:val="clear" w:color="auto" w:fill="auto"/>
            <w:vAlign w:val="bottom"/>
          </w:tcPr>
          <w:p w14:paraId="5F2D365D" w14:textId="77777777" w:rsidR="00E836FB" w:rsidRDefault="00E836FB">
            <w:pPr>
              <w:rPr>
                <w:rFonts w:ascii="宋体"/>
                <w:vanish/>
              </w:rPr>
            </w:pPr>
          </w:p>
        </w:tc>
        <w:tc>
          <w:tcPr>
            <w:tcW w:w="0" w:type="auto"/>
            <w:gridSpan w:val="3"/>
            <w:shd w:val="clear" w:color="auto" w:fill="auto"/>
            <w:vAlign w:val="bottom"/>
          </w:tcPr>
          <w:p w14:paraId="5F2D365E" w14:textId="77777777" w:rsidR="00E836FB" w:rsidRDefault="00E836FB">
            <w:pPr>
              <w:rPr>
                <w:rFonts w:ascii="宋体"/>
                <w:vanish/>
              </w:rPr>
            </w:pPr>
          </w:p>
        </w:tc>
      </w:tr>
      <w:tr w:rsidR="00E836FB" w14:paraId="5F2D366F" w14:textId="77777777">
        <w:tc>
          <w:tcPr>
            <w:tcW w:w="0" w:type="auto"/>
            <w:gridSpan w:val="3"/>
            <w:shd w:val="clear" w:color="auto" w:fill="CCEEFF"/>
            <w:tcMar>
              <w:top w:w="40" w:type="dxa"/>
              <w:left w:w="20" w:type="dxa"/>
              <w:bottom w:w="40" w:type="dxa"/>
              <w:right w:w="20" w:type="dxa"/>
            </w:tcMar>
            <w:vAlign w:val="bottom"/>
          </w:tcPr>
          <w:p w14:paraId="5F2D3660" w14:textId="77777777" w:rsidR="00E836FB" w:rsidRDefault="00994958">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5F2D366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669" w14:textId="77777777" w:rsidR="00E836FB" w:rsidRDefault="00E836FB">
            <w:pPr>
              <w:rPr>
                <w:rFonts w:ascii="宋体"/>
              </w:rPr>
            </w:pPr>
          </w:p>
        </w:tc>
        <w:tc>
          <w:tcPr>
            <w:tcW w:w="0" w:type="auto"/>
            <w:shd w:val="clear" w:color="auto" w:fill="auto"/>
            <w:vAlign w:val="bottom"/>
          </w:tcPr>
          <w:p w14:paraId="5F2D366A" w14:textId="77777777" w:rsidR="00E836FB" w:rsidRDefault="00E836FB">
            <w:pPr>
              <w:rPr>
                <w:rFonts w:ascii="宋体"/>
                <w:vanish/>
              </w:rPr>
            </w:pPr>
          </w:p>
        </w:tc>
        <w:tc>
          <w:tcPr>
            <w:tcW w:w="0" w:type="auto"/>
            <w:gridSpan w:val="3"/>
            <w:shd w:val="clear" w:color="auto" w:fill="auto"/>
            <w:vAlign w:val="bottom"/>
          </w:tcPr>
          <w:p w14:paraId="5F2D366B" w14:textId="77777777" w:rsidR="00E836FB" w:rsidRDefault="00E836FB">
            <w:pPr>
              <w:rPr>
                <w:rFonts w:ascii="宋体"/>
                <w:vanish/>
              </w:rPr>
            </w:pPr>
          </w:p>
        </w:tc>
        <w:tc>
          <w:tcPr>
            <w:tcW w:w="0" w:type="auto"/>
            <w:gridSpan w:val="3"/>
            <w:shd w:val="clear" w:color="auto" w:fill="auto"/>
            <w:vAlign w:val="bottom"/>
          </w:tcPr>
          <w:p w14:paraId="5F2D366C" w14:textId="77777777" w:rsidR="00E836FB" w:rsidRDefault="00E836FB">
            <w:pPr>
              <w:rPr>
                <w:rFonts w:ascii="宋体"/>
                <w:vanish/>
              </w:rPr>
            </w:pPr>
          </w:p>
        </w:tc>
        <w:tc>
          <w:tcPr>
            <w:tcW w:w="0" w:type="auto"/>
            <w:gridSpan w:val="3"/>
            <w:shd w:val="clear" w:color="auto" w:fill="auto"/>
            <w:vAlign w:val="bottom"/>
          </w:tcPr>
          <w:p w14:paraId="5F2D366D" w14:textId="77777777" w:rsidR="00E836FB" w:rsidRDefault="00E836FB">
            <w:pPr>
              <w:rPr>
                <w:rFonts w:ascii="宋体"/>
                <w:vanish/>
              </w:rPr>
            </w:pPr>
          </w:p>
        </w:tc>
        <w:tc>
          <w:tcPr>
            <w:tcW w:w="0" w:type="auto"/>
            <w:gridSpan w:val="3"/>
            <w:shd w:val="clear" w:color="auto" w:fill="auto"/>
            <w:vAlign w:val="bottom"/>
          </w:tcPr>
          <w:p w14:paraId="5F2D366E" w14:textId="77777777" w:rsidR="00E836FB" w:rsidRDefault="00E836FB">
            <w:pPr>
              <w:rPr>
                <w:rFonts w:ascii="宋体"/>
                <w:vanish/>
              </w:rPr>
            </w:pPr>
          </w:p>
        </w:tc>
      </w:tr>
      <w:tr w:rsidR="00E836FB" w14:paraId="5F2D367F" w14:textId="77777777">
        <w:trPr>
          <w:hidden/>
        </w:trPr>
        <w:tc>
          <w:tcPr>
            <w:tcW w:w="0" w:type="auto"/>
            <w:gridSpan w:val="3"/>
            <w:shd w:val="clear" w:color="auto" w:fill="auto"/>
            <w:vAlign w:val="bottom"/>
          </w:tcPr>
          <w:p w14:paraId="5F2D3670" w14:textId="77777777" w:rsidR="00E836FB" w:rsidRDefault="00E836FB">
            <w:pPr>
              <w:rPr>
                <w:rFonts w:ascii="宋体"/>
                <w:vanish/>
              </w:rPr>
            </w:pPr>
          </w:p>
        </w:tc>
        <w:tc>
          <w:tcPr>
            <w:tcW w:w="0" w:type="auto"/>
            <w:gridSpan w:val="3"/>
            <w:shd w:val="clear" w:color="auto" w:fill="auto"/>
            <w:vAlign w:val="bottom"/>
          </w:tcPr>
          <w:p w14:paraId="5F2D3671" w14:textId="77777777" w:rsidR="00E836FB" w:rsidRDefault="00E836FB">
            <w:pPr>
              <w:rPr>
                <w:rFonts w:ascii="宋体"/>
                <w:vanish/>
              </w:rPr>
            </w:pPr>
          </w:p>
        </w:tc>
        <w:tc>
          <w:tcPr>
            <w:tcW w:w="0" w:type="auto"/>
            <w:gridSpan w:val="3"/>
            <w:shd w:val="clear" w:color="auto" w:fill="auto"/>
            <w:vAlign w:val="bottom"/>
          </w:tcPr>
          <w:p w14:paraId="5F2D3672" w14:textId="77777777" w:rsidR="00E836FB" w:rsidRDefault="00E836FB">
            <w:pPr>
              <w:rPr>
                <w:rFonts w:ascii="宋体"/>
                <w:vanish/>
              </w:rPr>
            </w:pPr>
          </w:p>
        </w:tc>
        <w:tc>
          <w:tcPr>
            <w:tcW w:w="0" w:type="auto"/>
            <w:gridSpan w:val="3"/>
            <w:shd w:val="clear" w:color="auto" w:fill="auto"/>
            <w:vAlign w:val="bottom"/>
          </w:tcPr>
          <w:p w14:paraId="5F2D3673" w14:textId="77777777" w:rsidR="00E836FB" w:rsidRDefault="00E836FB">
            <w:pPr>
              <w:rPr>
                <w:rFonts w:ascii="宋体"/>
                <w:vanish/>
              </w:rPr>
            </w:pPr>
          </w:p>
        </w:tc>
        <w:tc>
          <w:tcPr>
            <w:tcW w:w="0" w:type="auto"/>
            <w:gridSpan w:val="3"/>
            <w:shd w:val="clear" w:color="auto" w:fill="auto"/>
            <w:vAlign w:val="bottom"/>
          </w:tcPr>
          <w:p w14:paraId="5F2D3674" w14:textId="77777777" w:rsidR="00E836FB" w:rsidRDefault="00E836FB">
            <w:pPr>
              <w:rPr>
                <w:rFonts w:ascii="宋体"/>
                <w:vanish/>
              </w:rPr>
            </w:pPr>
          </w:p>
        </w:tc>
        <w:tc>
          <w:tcPr>
            <w:tcW w:w="0" w:type="auto"/>
            <w:gridSpan w:val="3"/>
            <w:shd w:val="clear" w:color="auto" w:fill="auto"/>
            <w:vAlign w:val="bottom"/>
          </w:tcPr>
          <w:p w14:paraId="5F2D3675" w14:textId="77777777" w:rsidR="00E836FB" w:rsidRDefault="00E836FB">
            <w:pPr>
              <w:rPr>
                <w:rFonts w:ascii="宋体"/>
                <w:vanish/>
              </w:rPr>
            </w:pPr>
          </w:p>
        </w:tc>
        <w:tc>
          <w:tcPr>
            <w:tcW w:w="0" w:type="auto"/>
            <w:gridSpan w:val="3"/>
            <w:shd w:val="clear" w:color="auto" w:fill="auto"/>
            <w:vAlign w:val="bottom"/>
          </w:tcPr>
          <w:p w14:paraId="5F2D3676" w14:textId="77777777" w:rsidR="00E836FB" w:rsidRDefault="00E836FB">
            <w:pPr>
              <w:rPr>
                <w:rFonts w:ascii="宋体"/>
                <w:vanish/>
              </w:rPr>
            </w:pPr>
          </w:p>
        </w:tc>
        <w:tc>
          <w:tcPr>
            <w:tcW w:w="0" w:type="auto"/>
            <w:gridSpan w:val="3"/>
            <w:shd w:val="clear" w:color="auto" w:fill="auto"/>
            <w:vAlign w:val="bottom"/>
          </w:tcPr>
          <w:p w14:paraId="5F2D3677" w14:textId="77777777" w:rsidR="00E836FB" w:rsidRDefault="00E836FB">
            <w:pPr>
              <w:rPr>
                <w:rFonts w:ascii="宋体"/>
                <w:vanish/>
              </w:rPr>
            </w:pPr>
          </w:p>
        </w:tc>
        <w:tc>
          <w:tcPr>
            <w:tcW w:w="0" w:type="auto"/>
            <w:gridSpan w:val="3"/>
            <w:shd w:val="clear" w:color="auto" w:fill="auto"/>
            <w:vAlign w:val="bottom"/>
          </w:tcPr>
          <w:p w14:paraId="5F2D3678" w14:textId="77777777" w:rsidR="00E836FB" w:rsidRDefault="00E836FB">
            <w:pPr>
              <w:rPr>
                <w:rFonts w:ascii="宋体"/>
                <w:vanish/>
              </w:rPr>
            </w:pPr>
          </w:p>
        </w:tc>
        <w:tc>
          <w:tcPr>
            <w:tcW w:w="0" w:type="auto"/>
            <w:gridSpan w:val="3"/>
            <w:shd w:val="clear" w:color="auto" w:fill="auto"/>
            <w:vAlign w:val="bottom"/>
          </w:tcPr>
          <w:p w14:paraId="5F2D3679" w14:textId="77777777" w:rsidR="00E836FB" w:rsidRDefault="00E836FB">
            <w:pPr>
              <w:rPr>
                <w:rFonts w:ascii="宋体"/>
                <w:vanish/>
              </w:rPr>
            </w:pPr>
          </w:p>
        </w:tc>
        <w:tc>
          <w:tcPr>
            <w:tcW w:w="0" w:type="auto"/>
            <w:shd w:val="clear" w:color="auto" w:fill="auto"/>
            <w:vAlign w:val="bottom"/>
          </w:tcPr>
          <w:p w14:paraId="5F2D367A" w14:textId="77777777" w:rsidR="00E836FB" w:rsidRDefault="00E836FB">
            <w:pPr>
              <w:rPr>
                <w:rFonts w:ascii="宋体"/>
                <w:vanish/>
              </w:rPr>
            </w:pPr>
          </w:p>
        </w:tc>
        <w:tc>
          <w:tcPr>
            <w:tcW w:w="0" w:type="auto"/>
            <w:gridSpan w:val="3"/>
            <w:shd w:val="clear" w:color="auto" w:fill="auto"/>
            <w:vAlign w:val="bottom"/>
          </w:tcPr>
          <w:p w14:paraId="5F2D367B" w14:textId="77777777" w:rsidR="00E836FB" w:rsidRDefault="00E836FB">
            <w:pPr>
              <w:rPr>
                <w:rFonts w:ascii="宋体"/>
                <w:vanish/>
              </w:rPr>
            </w:pPr>
          </w:p>
        </w:tc>
        <w:tc>
          <w:tcPr>
            <w:tcW w:w="0" w:type="auto"/>
            <w:gridSpan w:val="3"/>
            <w:shd w:val="clear" w:color="auto" w:fill="auto"/>
            <w:vAlign w:val="bottom"/>
          </w:tcPr>
          <w:p w14:paraId="5F2D367C" w14:textId="77777777" w:rsidR="00E836FB" w:rsidRDefault="00E836FB">
            <w:pPr>
              <w:rPr>
                <w:rFonts w:ascii="宋体"/>
                <w:vanish/>
              </w:rPr>
            </w:pPr>
          </w:p>
        </w:tc>
        <w:tc>
          <w:tcPr>
            <w:tcW w:w="0" w:type="auto"/>
            <w:gridSpan w:val="3"/>
            <w:shd w:val="clear" w:color="auto" w:fill="auto"/>
            <w:vAlign w:val="bottom"/>
          </w:tcPr>
          <w:p w14:paraId="5F2D367D" w14:textId="77777777" w:rsidR="00E836FB" w:rsidRDefault="00E836FB">
            <w:pPr>
              <w:rPr>
                <w:rFonts w:ascii="宋体"/>
                <w:vanish/>
              </w:rPr>
            </w:pPr>
          </w:p>
        </w:tc>
        <w:tc>
          <w:tcPr>
            <w:tcW w:w="0" w:type="auto"/>
            <w:gridSpan w:val="3"/>
            <w:shd w:val="clear" w:color="auto" w:fill="auto"/>
            <w:vAlign w:val="bottom"/>
          </w:tcPr>
          <w:p w14:paraId="5F2D367E" w14:textId="77777777" w:rsidR="00E836FB" w:rsidRDefault="00E836FB">
            <w:pPr>
              <w:rPr>
                <w:rFonts w:ascii="宋体"/>
                <w:vanish/>
              </w:rPr>
            </w:pPr>
          </w:p>
        </w:tc>
      </w:tr>
      <w:tr w:rsidR="00E836FB" w14:paraId="5F2D368F" w14:textId="77777777">
        <w:trPr>
          <w:hidden/>
        </w:trPr>
        <w:tc>
          <w:tcPr>
            <w:tcW w:w="0" w:type="auto"/>
            <w:gridSpan w:val="3"/>
            <w:shd w:val="clear" w:color="auto" w:fill="auto"/>
            <w:vAlign w:val="bottom"/>
          </w:tcPr>
          <w:p w14:paraId="5F2D3680" w14:textId="77777777" w:rsidR="00E836FB" w:rsidRDefault="00E836FB">
            <w:pPr>
              <w:rPr>
                <w:rFonts w:ascii="宋体"/>
                <w:vanish/>
              </w:rPr>
            </w:pPr>
          </w:p>
        </w:tc>
        <w:tc>
          <w:tcPr>
            <w:tcW w:w="0" w:type="auto"/>
            <w:gridSpan w:val="3"/>
            <w:shd w:val="clear" w:color="auto" w:fill="auto"/>
            <w:vAlign w:val="bottom"/>
          </w:tcPr>
          <w:p w14:paraId="5F2D3681" w14:textId="77777777" w:rsidR="00E836FB" w:rsidRDefault="00E836FB">
            <w:pPr>
              <w:rPr>
                <w:rFonts w:ascii="宋体"/>
                <w:vanish/>
              </w:rPr>
            </w:pPr>
          </w:p>
        </w:tc>
        <w:tc>
          <w:tcPr>
            <w:tcW w:w="0" w:type="auto"/>
            <w:gridSpan w:val="3"/>
            <w:shd w:val="clear" w:color="auto" w:fill="auto"/>
            <w:vAlign w:val="bottom"/>
          </w:tcPr>
          <w:p w14:paraId="5F2D3682" w14:textId="77777777" w:rsidR="00E836FB" w:rsidRDefault="00E836FB">
            <w:pPr>
              <w:rPr>
                <w:rFonts w:ascii="宋体"/>
                <w:vanish/>
              </w:rPr>
            </w:pPr>
          </w:p>
        </w:tc>
        <w:tc>
          <w:tcPr>
            <w:tcW w:w="0" w:type="auto"/>
            <w:gridSpan w:val="3"/>
            <w:shd w:val="clear" w:color="auto" w:fill="auto"/>
            <w:vAlign w:val="bottom"/>
          </w:tcPr>
          <w:p w14:paraId="5F2D3683" w14:textId="77777777" w:rsidR="00E836FB" w:rsidRDefault="00E836FB">
            <w:pPr>
              <w:rPr>
                <w:rFonts w:ascii="宋体"/>
                <w:vanish/>
              </w:rPr>
            </w:pPr>
          </w:p>
        </w:tc>
        <w:tc>
          <w:tcPr>
            <w:tcW w:w="0" w:type="auto"/>
            <w:gridSpan w:val="3"/>
            <w:shd w:val="clear" w:color="auto" w:fill="auto"/>
            <w:vAlign w:val="bottom"/>
          </w:tcPr>
          <w:p w14:paraId="5F2D3684" w14:textId="77777777" w:rsidR="00E836FB" w:rsidRDefault="00E836FB">
            <w:pPr>
              <w:rPr>
                <w:rFonts w:ascii="宋体"/>
                <w:vanish/>
              </w:rPr>
            </w:pPr>
          </w:p>
        </w:tc>
        <w:tc>
          <w:tcPr>
            <w:tcW w:w="0" w:type="auto"/>
            <w:gridSpan w:val="3"/>
            <w:shd w:val="clear" w:color="auto" w:fill="auto"/>
            <w:vAlign w:val="bottom"/>
          </w:tcPr>
          <w:p w14:paraId="5F2D3685" w14:textId="77777777" w:rsidR="00E836FB" w:rsidRDefault="00E836FB">
            <w:pPr>
              <w:rPr>
                <w:rFonts w:ascii="宋体"/>
                <w:vanish/>
              </w:rPr>
            </w:pPr>
          </w:p>
        </w:tc>
        <w:tc>
          <w:tcPr>
            <w:tcW w:w="0" w:type="auto"/>
            <w:gridSpan w:val="3"/>
            <w:shd w:val="clear" w:color="auto" w:fill="auto"/>
            <w:vAlign w:val="bottom"/>
          </w:tcPr>
          <w:p w14:paraId="5F2D3686" w14:textId="77777777" w:rsidR="00E836FB" w:rsidRDefault="00E836FB">
            <w:pPr>
              <w:rPr>
                <w:rFonts w:ascii="宋体"/>
                <w:vanish/>
              </w:rPr>
            </w:pPr>
          </w:p>
        </w:tc>
        <w:tc>
          <w:tcPr>
            <w:tcW w:w="0" w:type="auto"/>
            <w:gridSpan w:val="3"/>
            <w:shd w:val="clear" w:color="auto" w:fill="auto"/>
            <w:vAlign w:val="bottom"/>
          </w:tcPr>
          <w:p w14:paraId="5F2D3687" w14:textId="77777777" w:rsidR="00E836FB" w:rsidRDefault="00E836FB">
            <w:pPr>
              <w:rPr>
                <w:rFonts w:ascii="宋体"/>
                <w:vanish/>
              </w:rPr>
            </w:pPr>
          </w:p>
        </w:tc>
        <w:tc>
          <w:tcPr>
            <w:tcW w:w="0" w:type="auto"/>
            <w:gridSpan w:val="3"/>
            <w:shd w:val="clear" w:color="auto" w:fill="auto"/>
            <w:vAlign w:val="bottom"/>
          </w:tcPr>
          <w:p w14:paraId="5F2D3688" w14:textId="77777777" w:rsidR="00E836FB" w:rsidRDefault="00E836FB">
            <w:pPr>
              <w:rPr>
                <w:rFonts w:ascii="宋体"/>
                <w:vanish/>
              </w:rPr>
            </w:pPr>
          </w:p>
        </w:tc>
        <w:tc>
          <w:tcPr>
            <w:tcW w:w="0" w:type="auto"/>
            <w:gridSpan w:val="3"/>
            <w:shd w:val="clear" w:color="auto" w:fill="auto"/>
            <w:vAlign w:val="bottom"/>
          </w:tcPr>
          <w:p w14:paraId="5F2D3689" w14:textId="77777777" w:rsidR="00E836FB" w:rsidRDefault="00E836FB">
            <w:pPr>
              <w:rPr>
                <w:rFonts w:ascii="宋体"/>
                <w:vanish/>
              </w:rPr>
            </w:pPr>
          </w:p>
        </w:tc>
        <w:tc>
          <w:tcPr>
            <w:tcW w:w="0" w:type="auto"/>
            <w:shd w:val="clear" w:color="auto" w:fill="auto"/>
            <w:vAlign w:val="bottom"/>
          </w:tcPr>
          <w:p w14:paraId="5F2D368A" w14:textId="77777777" w:rsidR="00E836FB" w:rsidRDefault="00E836FB">
            <w:pPr>
              <w:rPr>
                <w:rFonts w:ascii="宋体"/>
                <w:vanish/>
              </w:rPr>
            </w:pPr>
          </w:p>
        </w:tc>
        <w:tc>
          <w:tcPr>
            <w:tcW w:w="0" w:type="auto"/>
            <w:gridSpan w:val="3"/>
            <w:shd w:val="clear" w:color="auto" w:fill="auto"/>
            <w:vAlign w:val="bottom"/>
          </w:tcPr>
          <w:p w14:paraId="5F2D368B" w14:textId="77777777" w:rsidR="00E836FB" w:rsidRDefault="00E836FB">
            <w:pPr>
              <w:rPr>
                <w:rFonts w:ascii="宋体"/>
                <w:vanish/>
              </w:rPr>
            </w:pPr>
          </w:p>
        </w:tc>
        <w:tc>
          <w:tcPr>
            <w:tcW w:w="0" w:type="auto"/>
            <w:gridSpan w:val="3"/>
            <w:shd w:val="clear" w:color="auto" w:fill="auto"/>
            <w:vAlign w:val="bottom"/>
          </w:tcPr>
          <w:p w14:paraId="5F2D368C" w14:textId="77777777" w:rsidR="00E836FB" w:rsidRDefault="00E836FB">
            <w:pPr>
              <w:rPr>
                <w:rFonts w:ascii="宋体"/>
                <w:vanish/>
              </w:rPr>
            </w:pPr>
          </w:p>
        </w:tc>
        <w:tc>
          <w:tcPr>
            <w:tcW w:w="0" w:type="auto"/>
            <w:gridSpan w:val="3"/>
            <w:shd w:val="clear" w:color="auto" w:fill="auto"/>
            <w:vAlign w:val="bottom"/>
          </w:tcPr>
          <w:p w14:paraId="5F2D368D" w14:textId="77777777" w:rsidR="00E836FB" w:rsidRDefault="00E836FB">
            <w:pPr>
              <w:rPr>
                <w:rFonts w:ascii="宋体"/>
                <w:vanish/>
              </w:rPr>
            </w:pPr>
          </w:p>
        </w:tc>
        <w:tc>
          <w:tcPr>
            <w:tcW w:w="0" w:type="auto"/>
            <w:gridSpan w:val="3"/>
            <w:shd w:val="clear" w:color="auto" w:fill="auto"/>
            <w:vAlign w:val="bottom"/>
          </w:tcPr>
          <w:p w14:paraId="5F2D368E" w14:textId="77777777" w:rsidR="00E836FB" w:rsidRDefault="00E836FB">
            <w:pPr>
              <w:rPr>
                <w:rFonts w:ascii="宋体"/>
                <w:vanish/>
              </w:rPr>
            </w:pPr>
          </w:p>
        </w:tc>
      </w:tr>
      <w:tr w:rsidR="00E836FB" w14:paraId="5F2D36A4" w14:textId="77777777">
        <w:tc>
          <w:tcPr>
            <w:tcW w:w="0" w:type="auto"/>
            <w:gridSpan w:val="3"/>
            <w:shd w:val="clear" w:color="auto" w:fill="FFFFFF"/>
            <w:tcMar>
              <w:top w:w="40" w:type="dxa"/>
              <w:left w:w="20" w:type="dxa"/>
              <w:bottom w:w="40" w:type="dxa"/>
              <w:right w:w="20" w:type="dxa"/>
            </w:tcMar>
            <w:vAlign w:val="bottom"/>
          </w:tcPr>
          <w:p w14:paraId="5F2D3690" w14:textId="77777777" w:rsidR="00E836FB" w:rsidRDefault="00994958">
            <w:pPr>
              <w:textAlignment w:val="bottom"/>
            </w:pPr>
            <w:r>
              <w:rPr>
                <w:rFonts w:ascii="Arial" w:eastAsia="宋体" w:hAnsi="Arial" w:cs="Arial"/>
                <w:color w:val="000000"/>
                <w:sz w:val="15"/>
                <w:szCs w:val="15"/>
              </w:rPr>
              <w:t xml:space="preserve">Resale agreements and </w:t>
            </w:r>
            <w:r>
              <w:rPr>
                <w:rFonts w:ascii="Arial" w:eastAsia="宋体" w:hAnsi="Arial" w:cs="Arial"/>
                <w:color w:val="000000"/>
                <w:sz w:val="15"/>
                <w:szCs w:val="15"/>
              </w:rPr>
              <w:t>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5F2D3691" w14:textId="77777777" w:rsidR="00E836FB" w:rsidRDefault="00994958">
            <w:pPr>
              <w:jc w:val="right"/>
              <w:textAlignment w:val="bottom"/>
            </w:pPr>
            <w:r>
              <w:rPr>
                <w:rFonts w:ascii="Arial" w:eastAsia="宋体" w:hAnsi="Arial" w:cs="Arial"/>
                <w:b/>
                <w:bCs/>
                <w:color w:val="000000"/>
                <w:sz w:val="15"/>
                <w:szCs w:val="15"/>
              </w:rPr>
              <w:t>102,375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69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9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694" w14:textId="77777777" w:rsidR="00E836FB" w:rsidRDefault="00994958">
            <w:pPr>
              <w:jc w:val="right"/>
              <w:textAlignment w:val="bottom"/>
            </w:pPr>
            <w:r>
              <w:rPr>
                <w:rFonts w:ascii="Arial" w:eastAsia="宋体" w:hAnsi="Arial" w:cs="Arial"/>
                <w:b/>
                <w:bCs/>
                <w:color w:val="000000"/>
                <w:sz w:val="15"/>
                <w:szCs w:val="15"/>
              </w:rPr>
              <w:t>(77,063)</w:t>
            </w:r>
          </w:p>
        </w:tc>
        <w:tc>
          <w:tcPr>
            <w:tcW w:w="0" w:type="auto"/>
            <w:shd w:val="clear" w:color="auto" w:fill="FFFFFF"/>
            <w:tcMar>
              <w:top w:w="40" w:type="dxa"/>
              <w:left w:w="0" w:type="dxa"/>
              <w:bottom w:w="40" w:type="dxa"/>
              <w:right w:w="20" w:type="dxa"/>
            </w:tcMar>
            <w:vAlign w:val="bottom"/>
          </w:tcPr>
          <w:p w14:paraId="5F2D36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9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697" w14:textId="77777777" w:rsidR="00E836FB" w:rsidRDefault="00994958">
            <w:pPr>
              <w:jc w:val="right"/>
              <w:textAlignment w:val="bottom"/>
            </w:pPr>
            <w:r>
              <w:rPr>
                <w:rFonts w:ascii="Arial" w:eastAsia="宋体" w:hAnsi="Arial" w:cs="Arial"/>
                <w:b/>
                <w:bCs/>
                <w:color w:val="000000"/>
                <w:sz w:val="15"/>
                <w:szCs w:val="15"/>
              </w:rPr>
              <w:t>25,312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6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9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69A" w14:textId="77777777" w:rsidR="00E836FB" w:rsidRDefault="00994958">
            <w:pPr>
              <w:jc w:val="right"/>
              <w:textAlignment w:val="bottom"/>
            </w:pPr>
            <w:r>
              <w:rPr>
                <w:rFonts w:ascii="Arial" w:eastAsia="宋体" w:hAnsi="Arial" w:cs="Arial"/>
                <w:b/>
                <w:bCs/>
                <w:color w:val="000000"/>
                <w:sz w:val="15"/>
                <w:szCs w:val="15"/>
              </w:rPr>
              <w:t>(25,096)</w:t>
            </w:r>
          </w:p>
        </w:tc>
        <w:tc>
          <w:tcPr>
            <w:tcW w:w="0" w:type="auto"/>
            <w:shd w:val="clear" w:color="auto" w:fill="FFFFFF"/>
            <w:tcMar>
              <w:top w:w="40" w:type="dxa"/>
              <w:left w:w="0" w:type="dxa"/>
              <w:bottom w:w="40" w:type="dxa"/>
              <w:right w:w="20" w:type="dxa"/>
            </w:tcMar>
            <w:vAlign w:val="bottom"/>
          </w:tcPr>
          <w:p w14:paraId="5F2D36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69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69D" w14:textId="77777777" w:rsidR="00E836FB" w:rsidRDefault="00994958">
            <w:pPr>
              <w:jc w:val="right"/>
              <w:textAlignment w:val="bottom"/>
            </w:pPr>
            <w:r>
              <w:rPr>
                <w:rFonts w:ascii="Arial" w:eastAsia="宋体" w:hAnsi="Arial" w:cs="Arial"/>
                <w:b/>
                <w:bCs/>
                <w:color w:val="000000"/>
                <w:sz w:val="15"/>
                <w:szCs w:val="15"/>
              </w:rPr>
              <w:t>216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69E" w14:textId="77777777" w:rsidR="00E836FB" w:rsidRDefault="00E836FB">
            <w:pPr>
              <w:jc w:val="right"/>
              <w:rPr>
                <w:rFonts w:ascii="宋体"/>
              </w:rPr>
            </w:pPr>
          </w:p>
        </w:tc>
        <w:tc>
          <w:tcPr>
            <w:tcW w:w="0" w:type="auto"/>
            <w:shd w:val="clear" w:color="auto" w:fill="auto"/>
            <w:vAlign w:val="bottom"/>
          </w:tcPr>
          <w:p w14:paraId="5F2D369F" w14:textId="77777777" w:rsidR="00E836FB" w:rsidRDefault="00E836FB">
            <w:pPr>
              <w:rPr>
                <w:rFonts w:ascii="宋体"/>
                <w:vanish/>
              </w:rPr>
            </w:pPr>
          </w:p>
        </w:tc>
        <w:tc>
          <w:tcPr>
            <w:tcW w:w="0" w:type="auto"/>
            <w:gridSpan w:val="3"/>
            <w:shd w:val="clear" w:color="auto" w:fill="auto"/>
            <w:vAlign w:val="bottom"/>
          </w:tcPr>
          <w:p w14:paraId="5F2D36A0" w14:textId="77777777" w:rsidR="00E836FB" w:rsidRDefault="00E836FB">
            <w:pPr>
              <w:rPr>
                <w:rFonts w:ascii="宋体"/>
                <w:vanish/>
              </w:rPr>
            </w:pPr>
          </w:p>
        </w:tc>
        <w:tc>
          <w:tcPr>
            <w:tcW w:w="0" w:type="auto"/>
            <w:gridSpan w:val="3"/>
            <w:shd w:val="clear" w:color="auto" w:fill="auto"/>
            <w:vAlign w:val="bottom"/>
          </w:tcPr>
          <w:p w14:paraId="5F2D36A1" w14:textId="77777777" w:rsidR="00E836FB" w:rsidRDefault="00E836FB">
            <w:pPr>
              <w:rPr>
                <w:rFonts w:ascii="宋体"/>
                <w:vanish/>
              </w:rPr>
            </w:pPr>
          </w:p>
        </w:tc>
        <w:tc>
          <w:tcPr>
            <w:tcW w:w="0" w:type="auto"/>
            <w:gridSpan w:val="3"/>
            <w:shd w:val="clear" w:color="auto" w:fill="auto"/>
            <w:vAlign w:val="bottom"/>
          </w:tcPr>
          <w:p w14:paraId="5F2D36A2" w14:textId="77777777" w:rsidR="00E836FB" w:rsidRDefault="00E836FB">
            <w:pPr>
              <w:rPr>
                <w:rFonts w:ascii="宋体"/>
                <w:vanish/>
              </w:rPr>
            </w:pPr>
          </w:p>
        </w:tc>
        <w:tc>
          <w:tcPr>
            <w:tcW w:w="0" w:type="auto"/>
            <w:gridSpan w:val="3"/>
            <w:shd w:val="clear" w:color="auto" w:fill="auto"/>
            <w:vAlign w:val="bottom"/>
          </w:tcPr>
          <w:p w14:paraId="5F2D36A3" w14:textId="77777777" w:rsidR="00E836FB" w:rsidRDefault="00E836FB">
            <w:pPr>
              <w:rPr>
                <w:rFonts w:ascii="宋体"/>
                <w:vanish/>
              </w:rPr>
            </w:pPr>
          </w:p>
        </w:tc>
      </w:tr>
      <w:tr w:rsidR="00E836FB" w14:paraId="5F2D36BE" w14:textId="77777777">
        <w:tc>
          <w:tcPr>
            <w:tcW w:w="0" w:type="auto"/>
            <w:gridSpan w:val="3"/>
            <w:shd w:val="clear" w:color="auto" w:fill="CCEEFF"/>
            <w:tcMar>
              <w:top w:w="40" w:type="dxa"/>
              <w:left w:w="20" w:type="dxa"/>
              <w:bottom w:w="40" w:type="dxa"/>
              <w:right w:w="20" w:type="dxa"/>
            </w:tcMar>
            <w:vAlign w:val="bottom"/>
          </w:tcPr>
          <w:p w14:paraId="5F2D36A5" w14:textId="77777777" w:rsidR="00E836FB" w:rsidRDefault="00994958">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6A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6A7" w14:textId="77777777" w:rsidR="00E836FB" w:rsidRDefault="00994958">
            <w:pPr>
              <w:jc w:val="right"/>
              <w:textAlignment w:val="bottom"/>
            </w:pPr>
            <w:r>
              <w:rPr>
                <w:rFonts w:ascii="Arial" w:eastAsia="宋体" w:hAnsi="Arial" w:cs="Arial"/>
                <w:b/>
                <w:bCs/>
                <w:color w:val="000000"/>
                <w:sz w:val="15"/>
                <w:szCs w:val="15"/>
              </w:rPr>
              <w:t>117,562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6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6A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6A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6AB" w14:textId="77777777" w:rsidR="00E836FB" w:rsidRDefault="00994958">
            <w:pPr>
              <w:jc w:val="right"/>
              <w:textAlignment w:val="bottom"/>
            </w:pPr>
            <w:r>
              <w:rPr>
                <w:rFonts w:ascii="Arial" w:eastAsia="宋体" w:hAnsi="Arial" w:cs="Arial"/>
                <w:b/>
                <w:bCs/>
                <w:color w:val="000000"/>
                <w:sz w:val="15"/>
                <w:szCs w:val="15"/>
              </w:rPr>
              <w:t>(88,142)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6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6A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6A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6AF" w14:textId="77777777" w:rsidR="00E836FB" w:rsidRDefault="00994958">
            <w:pPr>
              <w:jc w:val="right"/>
              <w:textAlignment w:val="bottom"/>
            </w:pPr>
            <w:r>
              <w:rPr>
                <w:rFonts w:ascii="Arial" w:eastAsia="宋体" w:hAnsi="Arial" w:cs="Arial"/>
                <w:b/>
                <w:bCs/>
                <w:color w:val="000000"/>
                <w:sz w:val="15"/>
                <w:szCs w:val="15"/>
              </w:rPr>
              <w:t>29,420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6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6B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6B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6B3" w14:textId="77777777" w:rsidR="00E836FB" w:rsidRDefault="00994958">
            <w:pPr>
              <w:jc w:val="right"/>
              <w:textAlignment w:val="bottom"/>
            </w:pPr>
            <w:r>
              <w:rPr>
                <w:rFonts w:ascii="Arial" w:eastAsia="宋体" w:hAnsi="Arial" w:cs="Arial"/>
                <w:b/>
                <w:bCs/>
                <w:color w:val="000000"/>
                <w:sz w:val="15"/>
                <w:szCs w:val="15"/>
              </w:rPr>
              <w:t>(25,819)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6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6B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6B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6B7" w14:textId="77777777" w:rsidR="00E836FB" w:rsidRDefault="00994958">
            <w:pPr>
              <w:jc w:val="right"/>
              <w:textAlignment w:val="bottom"/>
            </w:pPr>
            <w:r>
              <w:rPr>
                <w:rFonts w:ascii="Arial" w:eastAsia="宋体" w:hAnsi="Arial" w:cs="Arial"/>
                <w:b/>
                <w:bCs/>
                <w:color w:val="000000"/>
                <w:sz w:val="15"/>
                <w:szCs w:val="15"/>
              </w:rPr>
              <w:t>3,601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6B8" w14:textId="77777777" w:rsidR="00E836FB" w:rsidRDefault="00E836FB">
            <w:pPr>
              <w:jc w:val="right"/>
              <w:rPr>
                <w:rFonts w:ascii="宋体"/>
              </w:rPr>
            </w:pPr>
          </w:p>
        </w:tc>
        <w:tc>
          <w:tcPr>
            <w:tcW w:w="0" w:type="auto"/>
            <w:shd w:val="clear" w:color="auto" w:fill="auto"/>
            <w:vAlign w:val="bottom"/>
          </w:tcPr>
          <w:p w14:paraId="5F2D36B9" w14:textId="77777777" w:rsidR="00E836FB" w:rsidRDefault="00E836FB">
            <w:pPr>
              <w:rPr>
                <w:rFonts w:ascii="宋体"/>
                <w:vanish/>
              </w:rPr>
            </w:pPr>
          </w:p>
        </w:tc>
        <w:tc>
          <w:tcPr>
            <w:tcW w:w="0" w:type="auto"/>
            <w:gridSpan w:val="3"/>
            <w:shd w:val="clear" w:color="auto" w:fill="auto"/>
            <w:vAlign w:val="bottom"/>
          </w:tcPr>
          <w:p w14:paraId="5F2D36BA" w14:textId="77777777" w:rsidR="00E836FB" w:rsidRDefault="00E836FB">
            <w:pPr>
              <w:rPr>
                <w:rFonts w:ascii="宋体"/>
                <w:vanish/>
              </w:rPr>
            </w:pPr>
          </w:p>
        </w:tc>
        <w:tc>
          <w:tcPr>
            <w:tcW w:w="0" w:type="auto"/>
            <w:gridSpan w:val="3"/>
            <w:shd w:val="clear" w:color="auto" w:fill="auto"/>
            <w:vAlign w:val="bottom"/>
          </w:tcPr>
          <w:p w14:paraId="5F2D36BB" w14:textId="77777777" w:rsidR="00E836FB" w:rsidRDefault="00E836FB">
            <w:pPr>
              <w:rPr>
                <w:rFonts w:ascii="宋体"/>
                <w:vanish/>
              </w:rPr>
            </w:pPr>
          </w:p>
        </w:tc>
        <w:tc>
          <w:tcPr>
            <w:tcW w:w="0" w:type="auto"/>
            <w:gridSpan w:val="3"/>
            <w:shd w:val="clear" w:color="auto" w:fill="auto"/>
            <w:vAlign w:val="bottom"/>
          </w:tcPr>
          <w:p w14:paraId="5F2D36BC" w14:textId="77777777" w:rsidR="00E836FB" w:rsidRDefault="00E836FB">
            <w:pPr>
              <w:rPr>
                <w:rFonts w:ascii="宋体"/>
                <w:vanish/>
              </w:rPr>
            </w:pPr>
          </w:p>
        </w:tc>
        <w:tc>
          <w:tcPr>
            <w:tcW w:w="0" w:type="auto"/>
            <w:gridSpan w:val="3"/>
            <w:shd w:val="clear" w:color="auto" w:fill="auto"/>
            <w:vAlign w:val="bottom"/>
          </w:tcPr>
          <w:p w14:paraId="5F2D36BD" w14:textId="77777777" w:rsidR="00E836FB" w:rsidRDefault="00E836FB">
            <w:pPr>
              <w:rPr>
                <w:rFonts w:ascii="宋体"/>
                <w:vanish/>
              </w:rPr>
            </w:pPr>
          </w:p>
        </w:tc>
      </w:tr>
    </w:tbl>
    <w:p w14:paraId="5F2D36BF" w14:textId="77777777" w:rsidR="00E836FB" w:rsidRDefault="00994958">
      <w:pPr>
        <w:ind w:firstLine="450"/>
        <w:jc w:val="right"/>
      </w:pPr>
      <w:r>
        <w:rPr>
          <w:rFonts w:ascii="Arial" w:eastAsia="宋体" w:hAnsi="Arial" w:cs="Arial"/>
          <w:color w:val="000000"/>
          <w:sz w:val="18"/>
          <w:szCs w:val="18"/>
        </w:rPr>
        <w:t>State Street Corporation | 162</w:t>
      </w:r>
    </w:p>
    <w:p w14:paraId="5F2D36C0" w14:textId="77777777" w:rsidR="00E836FB" w:rsidRDefault="00E836FB">
      <w:pPr>
        <w:ind w:firstLine="450"/>
        <w:jc w:val="center"/>
      </w:pPr>
    </w:p>
    <w:p w14:paraId="5F2D36C1" w14:textId="77777777" w:rsidR="00E836FB" w:rsidRDefault="00994958">
      <w:r>
        <w:pict w14:anchorId="5F2D6E27">
          <v:rect id="_x0000_i1186" style="width:415.3pt;height:1.5pt" o:hralign="center" o:hrstd="t" o:hr="t" fillcolor="#a0a0a0" stroked="f"/>
        </w:pict>
      </w:r>
    </w:p>
    <w:p w14:paraId="5F2D36C2" w14:textId="77777777" w:rsidR="00E836FB" w:rsidRDefault="00994958">
      <w:pPr>
        <w:ind w:firstLine="450"/>
        <w:jc w:val="center"/>
      </w:pPr>
      <w:r>
        <w:rPr>
          <w:rFonts w:ascii="Arial" w:eastAsia="宋体" w:hAnsi="Arial" w:cs="Arial"/>
          <w:b/>
          <w:bCs/>
          <w:color w:val="000000"/>
          <w:sz w:val="20"/>
          <w:szCs w:val="20"/>
        </w:rPr>
        <w:t>STATE STREET CORPORATION</w:t>
      </w:r>
    </w:p>
    <w:p w14:paraId="5F2D36C3" w14:textId="77777777" w:rsidR="00E836FB" w:rsidRDefault="00994958">
      <w:pPr>
        <w:ind w:firstLine="450"/>
        <w:jc w:val="center"/>
      </w:pPr>
      <w:r>
        <w:rPr>
          <w:rFonts w:ascii="Arial" w:eastAsia="宋体" w:hAnsi="Arial" w:cs="Arial"/>
          <w:b/>
          <w:bCs/>
          <w:color w:val="000000"/>
          <w:sz w:val="20"/>
          <w:szCs w:val="20"/>
        </w:rPr>
        <w:t>NOTES TO CONSOLIDATED FINANCIAL STATEMENTS</w:t>
      </w: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E836FB" w14:paraId="5F2D36E2" w14:textId="77777777">
        <w:tc>
          <w:tcPr>
            <w:tcW w:w="50" w:type="pct"/>
            <w:shd w:val="clear" w:color="auto" w:fill="auto"/>
            <w:vAlign w:val="bottom"/>
          </w:tcPr>
          <w:p w14:paraId="5F2D36C4" w14:textId="77777777" w:rsidR="00E836FB" w:rsidRDefault="00E836FB">
            <w:pPr>
              <w:rPr>
                <w:rFonts w:ascii="宋体"/>
              </w:rPr>
            </w:pPr>
          </w:p>
        </w:tc>
        <w:tc>
          <w:tcPr>
            <w:tcW w:w="1350" w:type="pct"/>
            <w:shd w:val="clear" w:color="auto" w:fill="auto"/>
            <w:vAlign w:val="bottom"/>
          </w:tcPr>
          <w:p w14:paraId="5F2D36C5" w14:textId="77777777" w:rsidR="00E836FB" w:rsidRDefault="00E836FB">
            <w:pPr>
              <w:rPr>
                <w:rFonts w:ascii="宋体"/>
              </w:rPr>
            </w:pPr>
          </w:p>
        </w:tc>
        <w:tc>
          <w:tcPr>
            <w:tcW w:w="5" w:type="pct"/>
            <w:shd w:val="clear" w:color="auto" w:fill="auto"/>
            <w:vAlign w:val="bottom"/>
          </w:tcPr>
          <w:p w14:paraId="5F2D36C6" w14:textId="77777777" w:rsidR="00E836FB" w:rsidRDefault="00E836FB">
            <w:pPr>
              <w:rPr>
                <w:rFonts w:ascii="宋体"/>
              </w:rPr>
            </w:pPr>
          </w:p>
        </w:tc>
        <w:tc>
          <w:tcPr>
            <w:tcW w:w="50" w:type="pct"/>
            <w:shd w:val="clear" w:color="auto" w:fill="auto"/>
            <w:vAlign w:val="bottom"/>
          </w:tcPr>
          <w:p w14:paraId="5F2D36C7" w14:textId="77777777" w:rsidR="00E836FB" w:rsidRDefault="00E836FB">
            <w:pPr>
              <w:rPr>
                <w:rFonts w:ascii="宋体"/>
              </w:rPr>
            </w:pPr>
          </w:p>
        </w:tc>
        <w:tc>
          <w:tcPr>
            <w:tcW w:w="596" w:type="pct"/>
            <w:shd w:val="clear" w:color="auto" w:fill="auto"/>
            <w:vAlign w:val="bottom"/>
          </w:tcPr>
          <w:p w14:paraId="5F2D36C8" w14:textId="77777777" w:rsidR="00E836FB" w:rsidRDefault="00E836FB">
            <w:pPr>
              <w:rPr>
                <w:rFonts w:ascii="宋体"/>
              </w:rPr>
            </w:pPr>
          </w:p>
        </w:tc>
        <w:tc>
          <w:tcPr>
            <w:tcW w:w="5" w:type="pct"/>
            <w:shd w:val="clear" w:color="auto" w:fill="auto"/>
            <w:vAlign w:val="bottom"/>
          </w:tcPr>
          <w:p w14:paraId="5F2D36C9" w14:textId="77777777" w:rsidR="00E836FB" w:rsidRDefault="00E836FB">
            <w:pPr>
              <w:rPr>
                <w:rFonts w:ascii="宋体"/>
              </w:rPr>
            </w:pPr>
          </w:p>
        </w:tc>
        <w:tc>
          <w:tcPr>
            <w:tcW w:w="5" w:type="pct"/>
            <w:shd w:val="clear" w:color="auto" w:fill="auto"/>
            <w:vAlign w:val="bottom"/>
          </w:tcPr>
          <w:p w14:paraId="5F2D36CA" w14:textId="77777777" w:rsidR="00E836FB" w:rsidRDefault="00E836FB">
            <w:pPr>
              <w:rPr>
                <w:rFonts w:ascii="宋体"/>
              </w:rPr>
            </w:pPr>
          </w:p>
        </w:tc>
        <w:tc>
          <w:tcPr>
            <w:tcW w:w="26" w:type="pct"/>
            <w:shd w:val="clear" w:color="auto" w:fill="auto"/>
            <w:vAlign w:val="bottom"/>
          </w:tcPr>
          <w:p w14:paraId="5F2D36CB" w14:textId="77777777" w:rsidR="00E836FB" w:rsidRDefault="00E836FB">
            <w:pPr>
              <w:rPr>
                <w:rFonts w:ascii="宋体"/>
              </w:rPr>
            </w:pPr>
          </w:p>
        </w:tc>
        <w:tc>
          <w:tcPr>
            <w:tcW w:w="5" w:type="pct"/>
            <w:shd w:val="clear" w:color="auto" w:fill="auto"/>
            <w:vAlign w:val="bottom"/>
          </w:tcPr>
          <w:p w14:paraId="5F2D36CC" w14:textId="77777777" w:rsidR="00E836FB" w:rsidRDefault="00E836FB">
            <w:pPr>
              <w:rPr>
                <w:rFonts w:ascii="宋体"/>
              </w:rPr>
            </w:pPr>
          </w:p>
        </w:tc>
        <w:tc>
          <w:tcPr>
            <w:tcW w:w="50" w:type="pct"/>
            <w:shd w:val="clear" w:color="auto" w:fill="auto"/>
            <w:vAlign w:val="bottom"/>
          </w:tcPr>
          <w:p w14:paraId="5F2D36CD" w14:textId="77777777" w:rsidR="00E836FB" w:rsidRDefault="00E836FB">
            <w:pPr>
              <w:rPr>
                <w:rFonts w:ascii="宋体"/>
              </w:rPr>
            </w:pPr>
          </w:p>
        </w:tc>
        <w:tc>
          <w:tcPr>
            <w:tcW w:w="669" w:type="pct"/>
            <w:shd w:val="clear" w:color="auto" w:fill="auto"/>
            <w:vAlign w:val="bottom"/>
          </w:tcPr>
          <w:p w14:paraId="5F2D36CE" w14:textId="77777777" w:rsidR="00E836FB" w:rsidRDefault="00E836FB">
            <w:pPr>
              <w:rPr>
                <w:rFonts w:ascii="宋体"/>
              </w:rPr>
            </w:pPr>
          </w:p>
        </w:tc>
        <w:tc>
          <w:tcPr>
            <w:tcW w:w="5" w:type="pct"/>
            <w:shd w:val="clear" w:color="auto" w:fill="auto"/>
            <w:vAlign w:val="bottom"/>
          </w:tcPr>
          <w:p w14:paraId="5F2D36CF" w14:textId="77777777" w:rsidR="00E836FB" w:rsidRDefault="00E836FB">
            <w:pPr>
              <w:rPr>
                <w:rFonts w:ascii="宋体"/>
              </w:rPr>
            </w:pPr>
          </w:p>
        </w:tc>
        <w:tc>
          <w:tcPr>
            <w:tcW w:w="5" w:type="pct"/>
            <w:shd w:val="clear" w:color="auto" w:fill="auto"/>
            <w:vAlign w:val="bottom"/>
          </w:tcPr>
          <w:p w14:paraId="5F2D36D0" w14:textId="77777777" w:rsidR="00E836FB" w:rsidRDefault="00E836FB">
            <w:pPr>
              <w:rPr>
                <w:rFonts w:ascii="宋体"/>
              </w:rPr>
            </w:pPr>
          </w:p>
        </w:tc>
        <w:tc>
          <w:tcPr>
            <w:tcW w:w="26" w:type="pct"/>
            <w:shd w:val="clear" w:color="auto" w:fill="auto"/>
            <w:vAlign w:val="bottom"/>
          </w:tcPr>
          <w:p w14:paraId="5F2D36D1" w14:textId="77777777" w:rsidR="00E836FB" w:rsidRDefault="00E836FB">
            <w:pPr>
              <w:rPr>
                <w:rFonts w:ascii="宋体"/>
              </w:rPr>
            </w:pPr>
          </w:p>
        </w:tc>
        <w:tc>
          <w:tcPr>
            <w:tcW w:w="5" w:type="pct"/>
            <w:shd w:val="clear" w:color="auto" w:fill="auto"/>
            <w:vAlign w:val="bottom"/>
          </w:tcPr>
          <w:p w14:paraId="5F2D36D2" w14:textId="77777777" w:rsidR="00E836FB" w:rsidRDefault="00E836FB">
            <w:pPr>
              <w:rPr>
                <w:rFonts w:ascii="宋体"/>
              </w:rPr>
            </w:pPr>
          </w:p>
        </w:tc>
        <w:tc>
          <w:tcPr>
            <w:tcW w:w="50" w:type="pct"/>
            <w:shd w:val="clear" w:color="auto" w:fill="auto"/>
            <w:vAlign w:val="bottom"/>
          </w:tcPr>
          <w:p w14:paraId="5F2D36D3" w14:textId="77777777" w:rsidR="00E836FB" w:rsidRDefault="00E836FB">
            <w:pPr>
              <w:rPr>
                <w:rFonts w:ascii="宋体"/>
              </w:rPr>
            </w:pPr>
          </w:p>
        </w:tc>
        <w:tc>
          <w:tcPr>
            <w:tcW w:w="757" w:type="pct"/>
            <w:shd w:val="clear" w:color="auto" w:fill="auto"/>
            <w:vAlign w:val="bottom"/>
          </w:tcPr>
          <w:p w14:paraId="5F2D36D4" w14:textId="77777777" w:rsidR="00E836FB" w:rsidRDefault="00E836FB">
            <w:pPr>
              <w:rPr>
                <w:rFonts w:ascii="宋体"/>
              </w:rPr>
            </w:pPr>
          </w:p>
        </w:tc>
        <w:tc>
          <w:tcPr>
            <w:tcW w:w="5" w:type="pct"/>
            <w:shd w:val="clear" w:color="auto" w:fill="auto"/>
            <w:vAlign w:val="bottom"/>
          </w:tcPr>
          <w:p w14:paraId="5F2D36D5" w14:textId="77777777" w:rsidR="00E836FB" w:rsidRDefault="00E836FB">
            <w:pPr>
              <w:rPr>
                <w:rFonts w:ascii="宋体"/>
              </w:rPr>
            </w:pPr>
          </w:p>
        </w:tc>
        <w:tc>
          <w:tcPr>
            <w:tcW w:w="5" w:type="pct"/>
            <w:shd w:val="clear" w:color="auto" w:fill="auto"/>
            <w:vAlign w:val="bottom"/>
          </w:tcPr>
          <w:p w14:paraId="5F2D36D6" w14:textId="77777777" w:rsidR="00E836FB" w:rsidRDefault="00E836FB">
            <w:pPr>
              <w:rPr>
                <w:rFonts w:ascii="宋体"/>
              </w:rPr>
            </w:pPr>
          </w:p>
        </w:tc>
        <w:tc>
          <w:tcPr>
            <w:tcW w:w="26" w:type="pct"/>
            <w:shd w:val="clear" w:color="auto" w:fill="auto"/>
            <w:vAlign w:val="bottom"/>
          </w:tcPr>
          <w:p w14:paraId="5F2D36D7" w14:textId="77777777" w:rsidR="00E836FB" w:rsidRDefault="00E836FB">
            <w:pPr>
              <w:rPr>
                <w:rFonts w:ascii="宋体"/>
              </w:rPr>
            </w:pPr>
          </w:p>
        </w:tc>
        <w:tc>
          <w:tcPr>
            <w:tcW w:w="5" w:type="pct"/>
            <w:shd w:val="clear" w:color="auto" w:fill="auto"/>
            <w:vAlign w:val="bottom"/>
          </w:tcPr>
          <w:p w14:paraId="5F2D36D8" w14:textId="77777777" w:rsidR="00E836FB" w:rsidRDefault="00E836FB">
            <w:pPr>
              <w:rPr>
                <w:rFonts w:ascii="宋体"/>
              </w:rPr>
            </w:pPr>
          </w:p>
        </w:tc>
        <w:tc>
          <w:tcPr>
            <w:tcW w:w="50" w:type="pct"/>
            <w:shd w:val="clear" w:color="auto" w:fill="auto"/>
            <w:vAlign w:val="bottom"/>
          </w:tcPr>
          <w:p w14:paraId="5F2D36D9" w14:textId="77777777" w:rsidR="00E836FB" w:rsidRDefault="00E836FB">
            <w:pPr>
              <w:rPr>
                <w:rFonts w:ascii="宋体"/>
              </w:rPr>
            </w:pPr>
          </w:p>
        </w:tc>
        <w:tc>
          <w:tcPr>
            <w:tcW w:w="655" w:type="pct"/>
            <w:shd w:val="clear" w:color="auto" w:fill="auto"/>
            <w:vAlign w:val="bottom"/>
          </w:tcPr>
          <w:p w14:paraId="5F2D36DA" w14:textId="77777777" w:rsidR="00E836FB" w:rsidRDefault="00E836FB">
            <w:pPr>
              <w:rPr>
                <w:rFonts w:ascii="宋体"/>
              </w:rPr>
            </w:pPr>
          </w:p>
        </w:tc>
        <w:tc>
          <w:tcPr>
            <w:tcW w:w="5" w:type="pct"/>
            <w:shd w:val="clear" w:color="auto" w:fill="auto"/>
            <w:vAlign w:val="bottom"/>
          </w:tcPr>
          <w:p w14:paraId="5F2D36DB" w14:textId="77777777" w:rsidR="00E836FB" w:rsidRDefault="00E836FB">
            <w:pPr>
              <w:rPr>
                <w:rFonts w:ascii="宋体"/>
              </w:rPr>
            </w:pPr>
          </w:p>
        </w:tc>
        <w:tc>
          <w:tcPr>
            <w:tcW w:w="5" w:type="pct"/>
            <w:shd w:val="clear" w:color="auto" w:fill="auto"/>
            <w:vAlign w:val="bottom"/>
          </w:tcPr>
          <w:p w14:paraId="5F2D36DC" w14:textId="77777777" w:rsidR="00E836FB" w:rsidRDefault="00E836FB">
            <w:pPr>
              <w:rPr>
                <w:rFonts w:ascii="宋体"/>
              </w:rPr>
            </w:pPr>
          </w:p>
        </w:tc>
        <w:tc>
          <w:tcPr>
            <w:tcW w:w="26" w:type="pct"/>
            <w:shd w:val="clear" w:color="auto" w:fill="auto"/>
            <w:vAlign w:val="bottom"/>
          </w:tcPr>
          <w:p w14:paraId="5F2D36DD" w14:textId="77777777" w:rsidR="00E836FB" w:rsidRDefault="00E836FB">
            <w:pPr>
              <w:rPr>
                <w:rFonts w:ascii="宋体"/>
              </w:rPr>
            </w:pPr>
          </w:p>
        </w:tc>
        <w:tc>
          <w:tcPr>
            <w:tcW w:w="5" w:type="pct"/>
            <w:shd w:val="clear" w:color="auto" w:fill="auto"/>
            <w:vAlign w:val="bottom"/>
          </w:tcPr>
          <w:p w14:paraId="5F2D36DE" w14:textId="77777777" w:rsidR="00E836FB" w:rsidRDefault="00E836FB">
            <w:pPr>
              <w:rPr>
                <w:rFonts w:ascii="宋体"/>
              </w:rPr>
            </w:pPr>
          </w:p>
        </w:tc>
        <w:tc>
          <w:tcPr>
            <w:tcW w:w="50" w:type="pct"/>
            <w:shd w:val="clear" w:color="auto" w:fill="auto"/>
            <w:vAlign w:val="bottom"/>
          </w:tcPr>
          <w:p w14:paraId="5F2D36DF" w14:textId="77777777" w:rsidR="00E836FB" w:rsidRDefault="00E836FB">
            <w:pPr>
              <w:rPr>
                <w:rFonts w:ascii="宋体"/>
              </w:rPr>
            </w:pPr>
          </w:p>
        </w:tc>
        <w:tc>
          <w:tcPr>
            <w:tcW w:w="494" w:type="pct"/>
            <w:shd w:val="clear" w:color="auto" w:fill="auto"/>
            <w:vAlign w:val="bottom"/>
          </w:tcPr>
          <w:p w14:paraId="5F2D36E0" w14:textId="77777777" w:rsidR="00E836FB" w:rsidRDefault="00E836FB">
            <w:pPr>
              <w:rPr>
                <w:rFonts w:ascii="宋体"/>
              </w:rPr>
            </w:pPr>
          </w:p>
        </w:tc>
        <w:tc>
          <w:tcPr>
            <w:tcW w:w="5" w:type="pct"/>
            <w:shd w:val="clear" w:color="auto" w:fill="auto"/>
            <w:vAlign w:val="bottom"/>
          </w:tcPr>
          <w:p w14:paraId="5F2D36E1" w14:textId="77777777" w:rsidR="00E836FB" w:rsidRDefault="00E836FB">
            <w:pPr>
              <w:rPr>
                <w:rFonts w:ascii="宋体"/>
              </w:rPr>
            </w:pPr>
          </w:p>
        </w:tc>
      </w:tr>
      <w:tr w:rsidR="00E836FB" w14:paraId="5F2D36E5" w14:textId="77777777">
        <w:tc>
          <w:tcPr>
            <w:tcW w:w="0" w:type="auto"/>
            <w:gridSpan w:val="3"/>
            <w:shd w:val="clear" w:color="auto" w:fill="auto"/>
            <w:tcMar>
              <w:top w:w="40" w:type="dxa"/>
              <w:left w:w="20" w:type="dxa"/>
              <w:bottom w:w="40" w:type="dxa"/>
              <w:right w:w="20" w:type="dxa"/>
            </w:tcMar>
            <w:vAlign w:val="bottom"/>
          </w:tcPr>
          <w:p w14:paraId="5F2D36E3" w14:textId="77777777" w:rsidR="00E836FB" w:rsidRDefault="00994958">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F2D36E4"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D36EF" w14:textId="77777777">
        <w:trPr>
          <w:trHeight w:val="400"/>
        </w:trPr>
        <w:tc>
          <w:tcPr>
            <w:tcW w:w="0" w:type="auto"/>
            <w:gridSpan w:val="3"/>
            <w:shd w:val="clear" w:color="auto" w:fill="auto"/>
            <w:tcMar>
              <w:top w:w="0" w:type="dxa"/>
              <w:left w:w="20" w:type="dxa"/>
              <w:bottom w:w="0" w:type="dxa"/>
              <w:right w:w="20" w:type="dxa"/>
            </w:tcMar>
            <w:vAlign w:val="bottom"/>
          </w:tcPr>
          <w:p w14:paraId="5F2D36E6"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6E7" w14:textId="77777777" w:rsidR="00E836FB" w:rsidRDefault="00994958">
            <w:pPr>
              <w:jc w:val="center"/>
              <w:textAlignment w:val="bottom"/>
            </w:pPr>
            <w:r>
              <w:rPr>
                <w:rFonts w:ascii="Arial" w:eastAsia="宋体" w:hAnsi="Arial" w:cs="Arial"/>
                <w:b/>
                <w:bCs/>
                <w:color w:val="000000"/>
                <w:sz w:val="15"/>
                <w:szCs w:val="15"/>
              </w:rPr>
              <w:t xml:space="preserve">Gross Amounts of Recognized </w:t>
            </w:r>
          </w:p>
          <w:p w14:paraId="5F2D36E8" w14:textId="77777777" w:rsidR="00E836FB" w:rsidRDefault="00994958">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6E9"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6EA" w14:textId="77777777" w:rsidR="00E836FB" w:rsidRDefault="00994958">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6EB"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6EC" w14:textId="77777777" w:rsidR="00E836FB" w:rsidRDefault="00994958">
            <w:pPr>
              <w:jc w:val="center"/>
              <w:textAlignment w:val="bottom"/>
            </w:pPr>
            <w:r>
              <w:rPr>
                <w:rFonts w:ascii="Arial" w:eastAsia="宋体" w:hAnsi="Arial" w:cs="Arial"/>
                <w:b/>
                <w:bCs/>
                <w:color w:val="000000"/>
                <w:sz w:val="15"/>
                <w:szCs w:val="15"/>
              </w:rPr>
              <w:t xml:space="preserve">Net Amounts of Assets Presented in </w:t>
            </w:r>
            <w:r>
              <w:rPr>
                <w:rFonts w:ascii="Arial" w:eastAsia="宋体" w:hAnsi="Arial" w:cs="Arial"/>
                <w:b/>
                <w:bCs/>
                <w:color w:val="000000"/>
                <w:sz w:val="15"/>
                <w:szCs w:val="15"/>
              </w:rPr>
              <w:t>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6ED"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36EE" w14:textId="77777777" w:rsidR="00E836FB" w:rsidRDefault="00994958">
            <w:pPr>
              <w:jc w:val="center"/>
              <w:textAlignment w:val="bottom"/>
            </w:pPr>
            <w:r>
              <w:rPr>
                <w:rFonts w:ascii="Arial" w:eastAsia="宋体" w:hAnsi="Arial" w:cs="Arial"/>
                <w:b/>
                <w:bCs/>
                <w:color w:val="000000"/>
                <w:sz w:val="15"/>
                <w:szCs w:val="15"/>
              </w:rPr>
              <w:t>Gross Amounts Not Offset in Statement of Condition</w:t>
            </w:r>
          </w:p>
        </w:tc>
      </w:tr>
      <w:tr w:rsidR="00E836FB" w14:paraId="5F2D36FA" w14:textId="77777777">
        <w:trPr>
          <w:trHeight w:val="540"/>
        </w:trPr>
        <w:tc>
          <w:tcPr>
            <w:tcW w:w="0" w:type="auto"/>
            <w:gridSpan w:val="3"/>
            <w:shd w:val="clear" w:color="auto" w:fill="auto"/>
            <w:tcMar>
              <w:top w:w="40" w:type="dxa"/>
              <w:left w:w="20" w:type="dxa"/>
              <w:bottom w:w="40" w:type="dxa"/>
              <w:right w:w="20" w:type="dxa"/>
            </w:tcMar>
            <w:vAlign w:val="bottom"/>
          </w:tcPr>
          <w:p w14:paraId="5F2D36F0"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6F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6F2"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6F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6F4"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6F5"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36F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6F7" w14:textId="77777777" w:rsidR="00E836FB" w:rsidRDefault="00994958">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6F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6F9" w14:textId="77777777" w:rsidR="00E836FB" w:rsidRDefault="00994958">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E836FB" w14:paraId="5F2D3705" w14:textId="77777777">
        <w:tc>
          <w:tcPr>
            <w:tcW w:w="0" w:type="auto"/>
            <w:gridSpan w:val="3"/>
            <w:shd w:val="clear" w:color="auto" w:fill="auto"/>
            <w:tcMar>
              <w:top w:w="40" w:type="dxa"/>
              <w:left w:w="20" w:type="dxa"/>
              <w:bottom w:w="40" w:type="dxa"/>
              <w:right w:w="20" w:type="dxa"/>
            </w:tcMar>
            <w:vAlign w:val="bottom"/>
          </w:tcPr>
          <w:p w14:paraId="5F2D36FB" w14:textId="77777777" w:rsidR="00E836FB" w:rsidRDefault="00994958">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6F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6F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6F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6F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70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70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70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70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704" w14:textId="77777777" w:rsidR="00E836FB" w:rsidRDefault="00E836FB">
            <w:pPr>
              <w:rPr>
                <w:rFonts w:ascii="宋体"/>
              </w:rPr>
            </w:pPr>
          </w:p>
        </w:tc>
      </w:tr>
      <w:tr w:rsidR="00E836FB" w14:paraId="5F2D371A" w14:textId="77777777">
        <w:tc>
          <w:tcPr>
            <w:tcW w:w="0" w:type="auto"/>
            <w:gridSpan w:val="3"/>
            <w:shd w:val="clear" w:color="auto" w:fill="CCEEFF"/>
            <w:tcMar>
              <w:top w:w="40" w:type="dxa"/>
              <w:left w:w="20" w:type="dxa"/>
              <w:bottom w:w="40" w:type="dxa"/>
              <w:right w:w="20" w:type="dxa"/>
            </w:tcMar>
            <w:vAlign w:val="bottom"/>
          </w:tcPr>
          <w:p w14:paraId="5F2D3706" w14:textId="77777777" w:rsidR="00E836FB" w:rsidRDefault="00994958">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F2D3707"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708" w14:textId="77777777" w:rsidR="00E836FB" w:rsidRDefault="00994958">
            <w:pPr>
              <w:jc w:val="right"/>
              <w:textAlignment w:val="bottom"/>
            </w:pPr>
            <w:r>
              <w:rPr>
                <w:rFonts w:ascii="Arial" w:eastAsia="宋体" w:hAnsi="Arial" w:cs="Arial"/>
                <w:color w:val="000000"/>
                <w:sz w:val="15"/>
                <w:szCs w:val="15"/>
              </w:rPr>
              <w:t>25,943 </w:t>
            </w:r>
          </w:p>
        </w:tc>
        <w:tc>
          <w:tcPr>
            <w:tcW w:w="0" w:type="auto"/>
            <w:shd w:val="clear" w:color="auto" w:fill="CCEEFF"/>
            <w:tcMar>
              <w:top w:w="40" w:type="dxa"/>
              <w:left w:w="0" w:type="dxa"/>
              <w:bottom w:w="40" w:type="dxa"/>
              <w:right w:w="20" w:type="dxa"/>
            </w:tcMar>
            <w:vAlign w:val="bottom"/>
          </w:tcPr>
          <w:p w14:paraId="5F2D37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0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70B"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70C" w14:textId="77777777" w:rsidR="00E836FB" w:rsidRDefault="00994958">
            <w:pPr>
              <w:jc w:val="right"/>
              <w:textAlignment w:val="bottom"/>
            </w:pPr>
            <w:r>
              <w:rPr>
                <w:rFonts w:ascii="Arial" w:eastAsia="宋体" w:hAnsi="Arial" w:cs="Arial"/>
                <w:color w:val="000000"/>
                <w:sz w:val="15"/>
                <w:szCs w:val="15"/>
              </w:rPr>
              <w:t>(14,271)</w:t>
            </w:r>
          </w:p>
        </w:tc>
        <w:tc>
          <w:tcPr>
            <w:tcW w:w="0" w:type="auto"/>
            <w:shd w:val="clear" w:color="auto" w:fill="CCEEFF"/>
            <w:tcMar>
              <w:top w:w="40" w:type="dxa"/>
              <w:left w:w="0" w:type="dxa"/>
              <w:bottom w:w="40" w:type="dxa"/>
              <w:right w:w="20" w:type="dxa"/>
            </w:tcMar>
            <w:vAlign w:val="bottom"/>
          </w:tcPr>
          <w:p w14:paraId="5F2D37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0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70F"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710" w14:textId="77777777" w:rsidR="00E836FB" w:rsidRDefault="00994958">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5F2D37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1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713"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714"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7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1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717"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718" w14:textId="77777777" w:rsidR="00E836FB" w:rsidRDefault="00994958">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5F2D3719" w14:textId="77777777" w:rsidR="00E836FB" w:rsidRDefault="00E836FB">
            <w:pPr>
              <w:jc w:val="right"/>
              <w:rPr>
                <w:rFonts w:ascii="宋体"/>
              </w:rPr>
            </w:pPr>
          </w:p>
        </w:tc>
      </w:tr>
      <w:tr w:rsidR="00E836FB" w14:paraId="5F2D372A" w14:textId="77777777">
        <w:tc>
          <w:tcPr>
            <w:tcW w:w="0" w:type="auto"/>
            <w:gridSpan w:val="3"/>
            <w:shd w:val="clear" w:color="auto" w:fill="FFFFFF"/>
            <w:tcMar>
              <w:top w:w="40" w:type="dxa"/>
              <w:left w:w="20" w:type="dxa"/>
              <w:bottom w:w="40" w:type="dxa"/>
              <w:right w:w="20" w:type="dxa"/>
            </w:tcMar>
            <w:vAlign w:val="bottom"/>
          </w:tcPr>
          <w:p w14:paraId="5F2D371B" w14:textId="77777777" w:rsidR="00E836FB" w:rsidRDefault="00994958">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F2D371C"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37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1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1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7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2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22"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372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2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25"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7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2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28" w14:textId="77777777" w:rsidR="00E836FB" w:rsidRDefault="00994958">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F2D3729" w14:textId="77777777" w:rsidR="00E836FB" w:rsidRDefault="00E836FB">
            <w:pPr>
              <w:jc w:val="right"/>
              <w:rPr>
                <w:rFonts w:ascii="宋体"/>
              </w:rPr>
            </w:pPr>
          </w:p>
        </w:tc>
      </w:tr>
      <w:tr w:rsidR="00E836FB" w14:paraId="5F2D3735" w14:textId="77777777">
        <w:trPr>
          <w:hidden/>
        </w:trPr>
        <w:tc>
          <w:tcPr>
            <w:tcW w:w="0" w:type="auto"/>
            <w:gridSpan w:val="3"/>
            <w:shd w:val="clear" w:color="auto" w:fill="auto"/>
            <w:vAlign w:val="bottom"/>
          </w:tcPr>
          <w:p w14:paraId="5F2D372B" w14:textId="77777777" w:rsidR="00E836FB" w:rsidRDefault="00E836FB">
            <w:pPr>
              <w:rPr>
                <w:rFonts w:ascii="宋体"/>
                <w:vanish/>
              </w:rPr>
            </w:pPr>
          </w:p>
        </w:tc>
        <w:tc>
          <w:tcPr>
            <w:tcW w:w="0" w:type="auto"/>
            <w:gridSpan w:val="3"/>
            <w:shd w:val="clear" w:color="auto" w:fill="auto"/>
            <w:vAlign w:val="bottom"/>
          </w:tcPr>
          <w:p w14:paraId="5F2D372C" w14:textId="77777777" w:rsidR="00E836FB" w:rsidRDefault="00E836FB">
            <w:pPr>
              <w:rPr>
                <w:rFonts w:ascii="宋体"/>
                <w:vanish/>
              </w:rPr>
            </w:pPr>
          </w:p>
        </w:tc>
        <w:tc>
          <w:tcPr>
            <w:tcW w:w="0" w:type="auto"/>
            <w:gridSpan w:val="3"/>
            <w:shd w:val="clear" w:color="auto" w:fill="auto"/>
            <w:vAlign w:val="bottom"/>
          </w:tcPr>
          <w:p w14:paraId="5F2D372D" w14:textId="77777777" w:rsidR="00E836FB" w:rsidRDefault="00E836FB">
            <w:pPr>
              <w:rPr>
                <w:rFonts w:ascii="宋体"/>
                <w:vanish/>
              </w:rPr>
            </w:pPr>
          </w:p>
        </w:tc>
        <w:tc>
          <w:tcPr>
            <w:tcW w:w="0" w:type="auto"/>
            <w:gridSpan w:val="3"/>
            <w:shd w:val="clear" w:color="auto" w:fill="auto"/>
            <w:vAlign w:val="bottom"/>
          </w:tcPr>
          <w:p w14:paraId="5F2D372E" w14:textId="77777777" w:rsidR="00E836FB" w:rsidRDefault="00E836FB">
            <w:pPr>
              <w:rPr>
                <w:rFonts w:ascii="宋体"/>
                <w:vanish/>
              </w:rPr>
            </w:pPr>
          </w:p>
        </w:tc>
        <w:tc>
          <w:tcPr>
            <w:tcW w:w="0" w:type="auto"/>
            <w:gridSpan w:val="3"/>
            <w:shd w:val="clear" w:color="auto" w:fill="auto"/>
            <w:vAlign w:val="bottom"/>
          </w:tcPr>
          <w:p w14:paraId="5F2D372F" w14:textId="77777777" w:rsidR="00E836FB" w:rsidRDefault="00E836FB">
            <w:pPr>
              <w:rPr>
                <w:rFonts w:ascii="宋体"/>
                <w:vanish/>
              </w:rPr>
            </w:pPr>
          </w:p>
        </w:tc>
        <w:tc>
          <w:tcPr>
            <w:tcW w:w="0" w:type="auto"/>
            <w:gridSpan w:val="3"/>
            <w:shd w:val="clear" w:color="auto" w:fill="auto"/>
            <w:vAlign w:val="bottom"/>
          </w:tcPr>
          <w:p w14:paraId="5F2D3730" w14:textId="77777777" w:rsidR="00E836FB" w:rsidRDefault="00E836FB">
            <w:pPr>
              <w:rPr>
                <w:rFonts w:ascii="宋体"/>
                <w:vanish/>
              </w:rPr>
            </w:pPr>
          </w:p>
        </w:tc>
        <w:tc>
          <w:tcPr>
            <w:tcW w:w="0" w:type="auto"/>
            <w:gridSpan w:val="3"/>
            <w:shd w:val="clear" w:color="auto" w:fill="auto"/>
            <w:vAlign w:val="bottom"/>
          </w:tcPr>
          <w:p w14:paraId="5F2D3731" w14:textId="77777777" w:rsidR="00E836FB" w:rsidRDefault="00E836FB">
            <w:pPr>
              <w:rPr>
                <w:rFonts w:ascii="宋体"/>
                <w:vanish/>
              </w:rPr>
            </w:pPr>
          </w:p>
        </w:tc>
        <w:tc>
          <w:tcPr>
            <w:tcW w:w="0" w:type="auto"/>
            <w:gridSpan w:val="3"/>
            <w:shd w:val="clear" w:color="auto" w:fill="auto"/>
            <w:vAlign w:val="bottom"/>
          </w:tcPr>
          <w:p w14:paraId="5F2D3732" w14:textId="77777777" w:rsidR="00E836FB" w:rsidRDefault="00E836FB">
            <w:pPr>
              <w:rPr>
                <w:rFonts w:ascii="宋体"/>
                <w:vanish/>
              </w:rPr>
            </w:pPr>
          </w:p>
        </w:tc>
        <w:tc>
          <w:tcPr>
            <w:tcW w:w="0" w:type="auto"/>
            <w:gridSpan w:val="3"/>
            <w:shd w:val="clear" w:color="auto" w:fill="auto"/>
            <w:vAlign w:val="bottom"/>
          </w:tcPr>
          <w:p w14:paraId="5F2D3733" w14:textId="77777777" w:rsidR="00E836FB" w:rsidRDefault="00E836FB">
            <w:pPr>
              <w:rPr>
                <w:rFonts w:ascii="宋体"/>
                <w:vanish/>
              </w:rPr>
            </w:pPr>
          </w:p>
        </w:tc>
        <w:tc>
          <w:tcPr>
            <w:tcW w:w="0" w:type="auto"/>
            <w:gridSpan w:val="3"/>
            <w:shd w:val="clear" w:color="auto" w:fill="auto"/>
            <w:vAlign w:val="bottom"/>
          </w:tcPr>
          <w:p w14:paraId="5F2D3734" w14:textId="77777777" w:rsidR="00E836FB" w:rsidRDefault="00E836FB">
            <w:pPr>
              <w:rPr>
                <w:rFonts w:ascii="宋体"/>
                <w:vanish/>
              </w:rPr>
            </w:pPr>
          </w:p>
        </w:tc>
      </w:tr>
      <w:tr w:rsidR="00E836FB" w14:paraId="5F2D3740" w14:textId="77777777">
        <w:trPr>
          <w:hidden/>
        </w:trPr>
        <w:tc>
          <w:tcPr>
            <w:tcW w:w="0" w:type="auto"/>
            <w:gridSpan w:val="3"/>
            <w:shd w:val="clear" w:color="auto" w:fill="auto"/>
            <w:vAlign w:val="bottom"/>
          </w:tcPr>
          <w:p w14:paraId="5F2D3736" w14:textId="77777777" w:rsidR="00E836FB" w:rsidRDefault="00E836FB">
            <w:pPr>
              <w:rPr>
                <w:rFonts w:ascii="宋体"/>
                <w:vanish/>
              </w:rPr>
            </w:pPr>
          </w:p>
        </w:tc>
        <w:tc>
          <w:tcPr>
            <w:tcW w:w="0" w:type="auto"/>
            <w:gridSpan w:val="3"/>
            <w:shd w:val="clear" w:color="auto" w:fill="auto"/>
            <w:vAlign w:val="bottom"/>
          </w:tcPr>
          <w:p w14:paraId="5F2D3737" w14:textId="77777777" w:rsidR="00E836FB" w:rsidRDefault="00E836FB">
            <w:pPr>
              <w:rPr>
                <w:rFonts w:ascii="宋体"/>
                <w:vanish/>
              </w:rPr>
            </w:pPr>
          </w:p>
        </w:tc>
        <w:tc>
          <w:tcPr>
            <w:tcW w:w="0" w:type="auto"/>
            <w:gridSpan w:val="3"/>
            <w:shd w:val="clear" w:color="auto" w:fill="auto"/>
            <w:vAlign w:val="bottom"/>
          </w:tcPr>
          <w:p w14:paraId="5F2D3738" w14:textId="77777777" w:rsidR="00E836FB" w:rsidRDefault="00E836FB">
            <w:pPr>
              <w:rPr>
                <w:rFonts w:ascii="宋体"/>
                <w:vanish/>
              </w:rPr>
            </w:pPr>
          </w:p>
        </w:tc>
        <w:tc>
          <w:tcPr>
            <w:tcW w:w="0" w:type="auto"/>
            <w:gridSpan w:val="3"/>
            <w:shd w:val="clear" w:color="auto" w:fill="auto"/>
            <w:vAlign w:val="bottom"/>
          </w:tcPr>
          <w:p w14:paraId="5F2D3739" w14:textId="77777777" w:rsidR="00E836FB" w:rsidRDefault="00E836FB">
            <w:pPr>
              <w:rPr>
                <w:rFonts w:ascii="宋体"/>
                <w:vanish/>
              </w:rPr>
            </w:pPr>
          </w:p>
        </w:tc>
        <w:tc>
          <w:tcPr>
            <w:tcW w:w="0" w:type="auto"/>
            <w:gridSpan w:val="3"/>
            <w:shd w:val="clear" w:color="auto" w:fill="auto"/>
            <w:vAlign w:val="bottom"/>
          </w:tcPr>
          <w:p w14:paraId="5F2D373A" w14:textId="77777777" w:rsidR="00E836FB" w:rsidRDefault="00E836FB">
            <w:pPr>
              <w:rPr>
                <w:rFonts w:ascii="宋体"/>
                <w:vanish/>
              </w:rPr>
            </w:pPr>
          </w:p>
        </w:tc>
        <w:tc>
          <w:tcPr>
            <w:tcW w:w="0" w:type="auto"/>
            <w:gridSpan w:val="3"/>
            <w:shd w:val="clear" w:color="auto" w:fill="auto"/>
            <w:vAlign w:val="bottom"/>
          </w:tcPr>
          <w:p w14:paraId="5F2D373B" w14:textId="77777777" w:rsidR="00E836FB" w:rsidRDefault="00E836FB">
            <w:pPr>
              <w:rPr>
                <w:rFonts w:ascii="宋体"/>
                <w:vanish/>
              </w:rPr>
            </w:pPr>
          </w:p>
        </w:tc>
        <w:tc>
          <w:tcPr>
            <w:tcW w:w="0" w:type="auto"/>
            <w:gridSpan w:val="3"/>
            <w:shd w:val="clear" w:color="auto" w:fill="auto"/>
            <w:vAlign w:val="bottom"/>
          </w:tcPr>
          <w:p w14:paraId="5F2D373C" w14:textId="77777777" w:rsidR="00E836FB" w:rsidRDefault="00E836FB">
            <w:pPr>
              <w:rPr>
                <w:rFonts w:ascii="宋体"/>
                <w:vanish/>
              </w:rPr>
            </w:pPr>
          </w:p>
        </w:tc>
        <w:tc>
          <w:tcPr>
            <w:tcW w:w="0" w:type="auto"/>
            <w:gridSpan w:val="3"/>
            <w:shd w:val="clear" w:color="auto" w:fill="auto"/>
            <w:vAlign w:val="bottom"/>
          </w:tcPr>
          <w:p w14:paraId="5F2D373D" w14:textId="77777777" w:rsidR="00E836FB" w:rsidRDefault="00E836FB">
            <w:pPr>
              <w:rPr>
                <w:rFonts w:ascii="宋体"/>
                <w:vanish/>
              </w:rPr>
            </w:pPr>
          </w:p>
        </w:tc>
        <w:tc>
          <w:tcPr>
            <w:tcW w:w="0" w:type="auto"/>
            <w:gridSpan w:val="3"/>
            <w:shd w:val="clear" w:color="auto" w:fill="auto"/>
            <w:vAlign w:val="bottom"/>
          </w:tcPr>
          <w:p w14:paraId="5F2D373E" w14:textId="77777777" w:rsidR="00E836FB" w:rsidRDefault="00E836FB">
            <w:pPr>
              <w:rPr>
                <w:rFonts w:ascii="宋体"/>
                <w:vanish/>
              </w:rPr>
            </w:pPr>
          </w:p>
        </w:tc>
        <w:tc>
          <w:tcPr>
            <w:tcW w:w="0" w:type="auto"/>
            <w:gridSpan w:val="3"/>
            <w:shd w:val="clear" w:color="auto" w:fill="auto"/>
            <w:vAlign w:val="bottom"/>
          </w:tcPr>
          <w:p w14:paraId="5F2D373F" w14:textId="77777777" w:rsidR="00E836FB" w:rsidRDefault="00E836FB">
            <w:pPr>
              <w:rPr>
                <w:rFonts w:ascii="宋体"/>
                <w:vanish/>
              </w:rPr>
            </w:pPr>
          </w:p>
        </w:tc>
      </w:tr>
      <w:tr w:rsidR="00E836FB" w14:paraId="5F2D374B" w14:textId="77777777">
        <w:trPr>
          <w:hidden/>
        </w:trPr>
        <w:tc>
          <w:tcPr>
            <w:tcW w:w="0" w:type="auto"/>
            <w:gridSpan w:val="3"/>
            <w:shd w:val="clear" w:color="auto" w:fill="auto"/>
            <w:vAlign w:val="bottom"/>
          </w:tcPr>
          <w:p w14:paraId="5F2D3741" w14:textId="77777777" w:rsidR="00E836FB" w:rsidRDefault="00E836FB">
            <w:pPr>
              <w:rPr>
                <w:rFonts w:ascii="宋体"/>
                <w:vanish/>
              </w:rPr>
            </w:pPr>
          </w:p>
        </w:tc>
        <w:tc>
          <w:tcPr>
            <w:tcW w:w="0" w:type="auto"/>
            <w:gridSpan w:val="3"/>
            <w:shd w:val="clear" w:color="auto" w:fill="auto"/>
            <w:vAlign w:val="bottom"/>
          </w:tcPr>
          <w:p w14:paraId="5F2D3742" w14:textId="77777777" w:rsidR="00E836FB" w:rsidRDefault="00E836FB">
            <w:pPr>
              <w:rPr>
                <w:rFonts w:ascii="宋体"/>
                <w:vanish/>
              </w:rPr>
            </w:pPr>
          </w:p>
        </w:tc>
        <w:tc>
          <w:tcPr>
            <w:tcW w:w="0" w:type="auto"/>
            <w:gridSpan w:val="3"/>
            <w:shd w:val="clear" w:color="auto" w:fill="auto"/>
            <w:vAlign w:val="bottom"/>
          </w:tcPr>
          <w:p w14:paraId="5F2D3743" w14:textId="77777777" w:rsidR="00E836FB" w:rsidRDefault="00E836FB">
            <w:pPr>
              <w:rPr>
                <w:rFonts w:ascii="宋体"/>
                <w:vanish/>
              </w:rPr>
            </w:pPr>
          </w:p>
        </w:tc>
        <w:tc>
          <w:tcPr>
            <w:tcW w:w="0" w:type="auto"/>
            <w:gridSpan w:val="3"/>
            <w:shd w:val="clear" w:color="auto" w:fill="auto"/>
            <w:vAlign w:val="bottom"/>
          </w:tcPr>
          <w:p w14:paraId="5F2D3744" w14:textId="77777777" w:rsidR="00E836FB" w:rsidRDefault="00E836FB">
            <w:pPr>
              <w:rPr>
                <w:rFonts w:ascii="宋体"/>
                <w:vanish/>
              </w:rPr>
            </w:pPr>
          </w:p>
        </w:tc>
        <w:tc>
          <w:tcPr>
            <w:tcW w:w="0" w:type="auto"/>
            <w:gridSpan w:val="3"/>
            <w:shd w:val="clear" w:color="auto" w:fill="auto"/>
            <w:vAlign w:val="bottom"/>
          </w:tcPr>
          <w:p w14:paraId="5F2D3745" w14:textId="77777777" w:rsidR="00E836FB" w:rsidRDefault="00E836FB">
            <w:pPr>
              <w:rPr>
                <w:rFonts w:ascii="宋体"/>
                <w:vanish/>
              </w:rPr>
            </w:pPr>
          </w:p>
        </w:tc>
        <w:tc>
          <w:tcPr>
            <w:tcW w:w="0" w:type="auto"/>
            <w:gridSpan w:val="3"/>
            <w:shd w:val="clear" w:color="auto" w:fill="auto"/>
            <w:vAlign w:val="bottom"/>
          </w:tcPr>
          <w:p w14:paraId="5F2D3746" w14:textId="77777777" w:rsidR="00E836FB" w:rsidRDefault="00E836FB">
            <w:pPr>
              <w:rPr>
                <w:rFonts w:ascii="宋体"/>
                <w:vanish/>
              </w:rPr>
            </w:pPr>
          </w:p>
        </w:tc>
        <w:tc>
          <w:tcPr>
            <w:tcW w:w="0" w:type="auto"/>
            <w:gridSpan w:val="3"/>
            <w:shd w:val="clear" w:color="auto" w:fill="auto"/>
            <w:vAlign w:val="bottom"/>
          </w:tcPr>
          <w:p w14:paraId="5F2D3747" w14:textId="77777777" w:rsidR="00E836FB" w:rsidRDefault="00E836FB">
            <w:pPr>
              <w:rPr>
                <w:rFonts w:ascii="宋体"/>
                <w:vanish/>
              </w:rPr>
            </w:pPr>
          </w:p>
        </w:tc>
        <w:tc>
          <w:tcPr>
            <w:tcW w:w="0" w:type="auto"/>
            <w:gridSpan w:val="3"/>
            <w:shd w:val="clear" w:color="auto" w:fill="auto"/>
            <w:vAlign w:val="bottom"/>
          </w:tcPr>
          <w:p w14:paraId="5F2D3748" w14:textId="77777777" w:rsidR="00E836FB" w:rsidRDefault="00E836FB">
            <w:pPr>
              <w:rPr>
                <w:rFonts w:ascii="宋体"/>
                <w:vanish/>
              </w:rPr>
            </w:pPr>
          </w:p>
        </w:tc>
        <w:tc>
          <w:tcPr>
            <w:tcW w:w="0" w:type="auto"/>
            <w:gridSpan w:val="3"/>
            <w:shd w:val="clear" w:color="auto" w:fill="auto"/>
            <w:vAlign w:val="bottom"/>
          </w:tcPr>
          <w:p w14:paraId="5F2D3749" w14:textId="77777777" w:rsidR="00E836FB" w:rsidRDefault="00E836FB">
            <w:pPr>
              <w:rPr>
                <w:rFonts w:ascii="宋体"/>
                <w:vanish/>
              </w:rPr>
            </w:pPr>
          </w:p>
        </w:tc>
        <w:tc>
          <w:tcPr>
            <w:tcW w:w="0" w:type="auto"/>
            <w:gridSpan w:val="3"/>
            <w:shd w:val="clear" w:color="auto" w:fill="auto"/>
            <w:vAlign w:val="bottom"/>
          </w:tcPr>
          <w:p w14:paraId="5F2D374A" w14:textId="77777777" w:rsidR="00E836FB" w:rsidRDefault="00E836FB">
            <w:pPr>
              <w:rPr>
                <w:rFonts w:ascii="宋体"/>
                <w:vanish/>
              </w:rPr>
            </w:pPr>
          </w:p>
        </w:tc>
      </w:tr>
      <w:tr w:rsidR="00E836FB" w14:paraId="5F2D375A" w14:textId="77777777">
        <w:tc>
          <w:tcPr>
            <w:tcW w:w="0" w:type="auto"/>
            <w:gridSpan w:val="3"/>
            <w:shd w:val="clear" w:color="auto" w:fill="CCEEFF"/>
            <w:tcMar>
              <w:top w:w="40" w:type="dxa"/>
              <w:left w:w="20" w:type="dxa"/>
              <w:bottom w:w="40" w:type="dxa"/>
              <w:right w:w="20" w:type="dxa"/>
            </w:tcMar>
            <w:vAlign w:val="bottom"/>
          </w:tcPr>
          <w:p w14:paraId="5F2D374C" w14:textId="77777777" w:rsidR="00E836FB" w:rsidRDefault="00994958">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5F2D374D" w14:textId="77777777" w:rsidR="00E836FB" w:rsidRDefault="00994958">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vAlign w:val="bottom"/>
          </w:tcPr>
          <w:p w14:paraId="5F2D37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74F" w14:textId="77777777" w:rsidR="00E836FB" w:rsidRDefault="00994958">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5F2D37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752" w14:textId="77777777" w:rsidR="00E836FB" w:rsidRDefault="00994958">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5F2D37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5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755" w14:textId="77777777" w:rsidR="00E836FB" w:rsidRDefault="00994958">
            <w:pPr>
              <w:jc w:val="right"/>
              <w:textAlignment w:val="bottom"/>
            </w:pPr>
            <w:r>
              <w:rPr>
                <w:rFonts w:ascii="Arial" w:eastAsia="宋体" w:hAnsi="Arial" w:cs="Arial"/>
                <w:color w:val="000000"/>
                <w:sz w:val="15"/>
                <w:szCs w:val="15"/>
              </w:rPr>
              <w:t>(1,105)</w:t>
            </w:r>
          </w:p>
        </w:tc>
        <w:tc>
          <w:tcPr>
            <w:tcW w:w="0" w:type="auto"/>
            <w:shd w:val="clear" w:color="auto" w:fill="CCEEFF"/>
            <w:tcMar>
              <w:top w:w="40" w:type="dxa"/>
              <w:left w:w="0" w:type="dxa"/>
              <w:bottom w:w="40" w:type="dxa"/>
              <w:right w:w="20" w:type="dxa"/>
            </w:tcMar>
            <w:vAlign w:val="bottom"/>
          </w:tcPr>
          <w:p w14:paraId="5F2D37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5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758" w14:textId="77777777" w:rsidR="00E836FB" w:rsidRDefault="00994958">
            <w:pPr>
              <w:jc w:val="right"/>
              <w:textAlignment w:val="bottom"/>
            </w:pPr>
            <w:r>
              <w:rPr>
                <w:rFonts w:ascii="Arial" w:eastAsia="宋体" w:hAnsi="Arial" w:cs="Arial"/>
                <w:color w:val="000000"/>
                <w:sz w:val="15"/>
                <w:szCs w:val="15"/>
              </w:rPr>
              <w:t>(6,974)</w:t>
            </w:r>
          </w:p>
        </w:tc>
        <w:tc>
          <w:tcPr>
            <w:tcW w:w="0" w:type="auto"/>
            <w:shd w:val="clear" w:color="auto" w:fill="CCEEFF"/>
            <w:tcMar>
              <w:top w:w="40" w:type="dxa"/>
              <w:left w:w="0" w:type="dxa"/>
              <w:bottom w:w="40" w:type="dxa"/>
              <w:right w:w="20" w:type="dxa"/>
            </w:tcMar>
            <w:vAlign w:val="bottom"/>
          </w:tcPr>
          <w:p w14:paraId="5F2D3759" w14:textId="77777777" w:rsidR="00E836FB" w:rsidRDefault="00E836FB">
            <w:pPr>
              <w:jc w:val="right"/>
              <w:rPr>
                <w:rFonts w:ascii="宋体"/>
              </w:rPr>
            </w:pPr>
          </w:p>
        </w:tc>
      </w:tr>
      <w:tr w:rsidR="00E836FB" w14:paraId="5F2D376A" w14:textId="77777777">
        <w:tc>
          <w:tcPr>
            <w:tcW w:w="0" w:type="auto"/>
            <w:gridSpan w:val="3"/>
            <w:shd w:val="clear" w:color="auto" w:fill="FFFFFF"/>
            <w:tcMar>
              <w:top w:w="40" w:type="dxa"/>
              <w:left w:w="20" w:type="dxa"/>
              <w:bottom w:w="40" w:type="dxa"/>
              <w:right w:w="20" w:type="dxa"/>
            </w:tcMar>
            <w:vAlign w:val="bottom"/>
          </w:tcPr>
          <w:p w14:paraId="5F2D375B" w14:textId="77777777" w:rsidR="00E836FB" w:rsidRDefault="00994958">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75C" w14:textId="77777777" w:rsidR="00E836FB" w:rsidRDefault="00994958">
            <w:pPr>
              <w:jc w:val="right"/>
              <w:textAlignment w:val="bottom"/>
            </w:pPr>
            <w:r>
              <w:rPr>
                <w:rFonts w:ascii="Arial" w:eastAsia="宋体" w:hAnsi="Arial" w:cs="Arial"/>
                <w:color w:val="000000"/>
                <w:sz w:val="15"/>
                <w:szCs w:val="15"/>
              </w:rPr>
              <w:t>25,944 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75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5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75F" w14:textId="77777777" w:rsidR="00E836FB" w:rsidRDefault="00994958">
            <w:pPr>
              <w:jc w:val="right"/>
              <w:textAlignment w:val="bottom"/>
            </w:pPr>
            <w:r>
              <w:rPr>
                <w:rFonts w:ascii="Arial" w:eastAsia="宋体" w:hAnsi="Arial" w:cs="Arial"/>
                <w:color w:val="000000"/>
                <w:sz w:val="15"/>
                <w:szCs w:val="15"/>
              </w:rPr>
              <w:t>(20,140)</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7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6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762" w14:textId="77777777" w:rsidR="00E836FB" w:rsidRDefault="00994958">
            <w:pPr>
              <w:jc w:val="right"/>
              <w:textAlignment w:val="bottom"/>
            </w:pPr>
            <w:r>
              <w:rPr>
                <w:rFonts w:ascii="Arial" w:eastAsia="宋体" w:hAnsi="Arial" w:cs="Arial"/>
                <w:color w:val="000000"/>
                <w:sz w:val="15"/>
                <w:szCs w:val="15"/>
              </w:rPr>
              <w:t>5,804 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7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6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765" w14:textId="77777777" w:rsidR="00E836FB" w:rsidRDefault="00994958">
            <w:pPr>
              <w:jc w:val="right"/>
              <w:textAlignment w:val="bottom"/>
            </w:pPr>
            <w:r>
              <w:rPr>
                <w:rFonts w:ascii="Arial" w:eastAsia="宋体" w:hAnsi="Arial" w:cs="Arial"/>
                <w:color w:val="000000"/>
                <w:sz w:val="15"/>
                <w:szCs w:val="15"/>
              </w:rPr>
              <w:t>(1,105)</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7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6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768" w14:textId="77777777" w:rsidR="00E836FB" w:rsidRDefault="00994958">
            <w:pPr>
              <w:jc w:val="right"/>
              <w:textAlignment w:val="bottom"/>
            </w:pPr>
            <w:r>
              <w:rPr>
                <w:rFonts w:ascii="Arial" w:eastAsia="宋体" w:hAnsi="Arial" w:cs="Arial"/>
                <w:color w:val="000000"/>
                <w:sz w:val="15"/>
                <w:szCs w:val="15"/>
              </w:rPr>
              <w:t>4,699 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769" w14:textId="77777777" w:rsidR="00E836FB" w:rsidRDefault="00E836FB">
            <w:pPr>
              <w:jc w:val="right"/>
              <w:rPr>
                <w:rFonts w:ascii="宋体"/>
              </w:rPr>
            </w:pPr>
          </w:p>
        </w:tc>
      </w:tr>
      <w:tr w:rsidR="00E836FB" w14:paraId="5F2D3775" w14:textId="77777777">
        <w:tc>
          <w:tcPr>
            <w:tcW w:w="0" w:type="auto"/>
            <w:gridSpan w:val="3"/>
            <w:shd w:val="clear" w:color="auto" w:fill="CCEEFF"/>
            <w:tcMar>
              <w:top w:w="40" w:type="dxa"/>
              <w:left w:w="20" w:type="dxa"/>
              <w:bottom w:w="40" w:type="dxa"/>
              <w:right w:w="20" w:type="dxa"/>
            </w:tcMar>
            <w:vAlign w:val="bottom"/>
          </w:tcPr>
          <w:p w14:paraId="5F2D376B" w14:textId="77777777" w:rsidR="00E836FB" w:rsidRDefault="00994958">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5F2D376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6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6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6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7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7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7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7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774" w14:textId="77777777" w:rsidR="00E836FB" w:rsidRDefault="00E836FB">
            <w:pPr>
              <w:rPr>
                <w:rFonts w:ascii="宋体"/>
              </w:rPr>
            </w:pPr>
          </w:p>
        </w:tc>
      </w:tr>
      <w:tr w:rsidR="00E836FB" w14:paraId="5F2D3785" w14:textId="77777777">
        <w:tc>
          <w:tcPr>
            <w:tcW w:w="0" w:type="auto"/>
            <w:gridSpan w:val="3"/>
            <w:shd w:val="clear" w:color="auto" w:fill="FFFFFF"/>
            <w:tcMar>
              <w:top w:w="40" w:type="dxa"/>
              <w:left w:w="20" w:type="dxa"/>
              <w:bottom w:w="40" w:type="dxa"/>
              <w:right w:w="20" w:type="dxa"/>
            </w:tcMar>
            <w:vAlign w:val="bottom"/>
          </w:tcPr>
          <w:p w14:paraId="5F2D3776" w14:textId="77777777" w:rsidR="00E836FB" w:rsidRDefault="00994958">
            <w:pP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5F2D3777" w14:textId="77777777" w:rsidR="00E836FB" w:rsidRDefault="00994958">
            <w:pPr>
              <w:jc w:val="right"/>
              <w:textAlignment w:val="bottom"/>
            </w:pPr>
            <w:r>
              <w:rPr>
                <w:rFonts w:ascii="Arial" w:eastAsia="宋体" w:hAnsi="Arial" w:cs="Arial"/>
                <w:color w:val="000000"/>
                <w:sz w:val="15"/>
                <w:szCs w:val="15"/>
              </w:rPr>
              <w:t>174,461 </w:t>
            </w:r>
          </w:p>
        </w:tc>
        <w:tc>
          <w:tcPr>
            <w:tcW w:w="0" w:type="auto"/>
            <w:shd w:val="clear" w:color="auto" w:fill="FFFFFF"/>
            <w:tcMar>
              <w:top w:w="40" w:type="dxa"/>
              <w:left w:w="0" w:type="dxa"/>
              <w:bottom w:w="40" w:type="dxa"/>
              <w:right w:w="20" w:type="dxa"/>
            </w:tcMar>
            <w:vAlign w:val="bottom"/>
          </w:tcPr>
          <w:p w14:paraId="5F2D37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7A" w14:textId="77777777" w:rsidR="00E836FB" w:rsidRDefault="00994958">
            <w:pPr>
              <w:jc w:val="right"/>
              <w:textAlignment w:val="bottom"/>
            </w:pPr>
            <w:r>
              <w:rPr>
                <w:rFonts w:ascii="Arial" w:eastAsia="宋体" w:hAnsi="Arial" w:cs="Arial"/>
                <w:color w:val="000000"/>
                <w:sz w:val="15"/>
                <w:szCs w:val="15"/>
              </w:rPr>
              <w:t>(153,025)</w:t>
            </w:r>
          </w:p>
        </w:tc>
        <w:tc>
          <w:tcPr>
            <w:tcW w:w="0" w:type="auto"/>
            <w:shd w:val="clear" w:color="auto" w:fill="FFFFFF"/>
            <w:tcMar>
              <w:top w:w="40" w:type="dxa"/>
              <w:left w:w="0" w:type="dxa"/>
              <w:bottom w:w="40" w:type="dxa"/>
              <w:right w:w="20" w:type="dxa"/>
            </w:tcMar>
            <w:vAlign w:val="bottom"/>
          </w:tcPr>
          <w:p w14:paraId="5F2D37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7D" w14:textId="77777777" w:rsidR="00E836FB" w:rsidRDefault="00994958">
            <w:pPr>
              <w:jc w:val="right"/>
              <w:textAlignment w:val="bottom"/>
            </w:pPr>
            <w:r>
              <w:rPr>
                <w:rFonts w:ascii="Arial" w:eastAsia="宋体" w:hAnsi="Arial" w:cs="Arial"/>
                <w:color w:val="000000"/>
                <w:sz w:val="15"/>
                <w:szCs w:val="15"/>
              </w:rPr>
              <w:t>21,436 </w:t>
            </w:r>
          </w:p>
        </w:tc>
        <w:tc>
          <w:tcPr>
            <w:tcW w:w="0" w:type="auto"/>
            <w:shd w:val="clear" w:color="auto" w:fill="FFFFFF"/>
            <w:tcMar>
              <w:top w:w="40" w:type="dxa"/>
              <w:left w:w="0" w:type="dxa"/>
              <w:bottom w:w="40" w:type="dxa"/>
              <w:right w:w="20" w:type="dxa"/>
            </w:tcMar>
            <w:vAlign w:val="bottom"/>
          </w:tcPr>
          <w:p w14:paraId="5F2D377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7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80" w14:textId="77777777" w:rsidR="00E836FB" w:rsidRDefault="00994958">
            <w:pPr>
              <w:jc w:val="right"/>
              <w:textAlignment w:val="bottom"/>
            </w:pPr>
            <w:r>
              <w:rPr>
                <w:rFonts w:ascii="Arial" w:eastAsia="宋体" w:hAnsi="Arial" w:cs="Arial"/>
                <w:color w:val="000000"/>
                <w:sz w:val="15"/>
                <w:szCs w:val="15"/>
              </w:rPr>
              <w:t>(20,568)</w:t>
            </w:r>
          </w:p>
        </w:tc>
        <w:tc>
          <w:tcPr>
            <w:tcW w:w="0" w:type="auto"/>
            <w:shd w:val="clear" w:color="auto" w:fill="FFFFFF"/>
            <w:tcMar>
              <w:top w:w="40" w:type="dxa"/>
              <w:left w:w="0" w:type="dxa"/>
              <w:bottom w:w="40" w:type="dxa"/>
              <w:right w:w="20" w:type="dxa"/>
            </w:tcMar>
            <w:vAlign w:val="bottom"/>
          </w:tcPr>
          <w:p w14:paraId="5F2D378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78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783" w14:textId="77777777" w:rsidR="00E836FB" w:rsidRDefault="00994958">
            <w:pPr>
              <w:jc w:val="right"/>
              <w:textAlignment w:val="bottom"/>
            </w:pPr>
            <w:r>
              <w:rPr>
                <w:rFonts w:ascii="Arial" w:eastAsia="宋体" w:hAnsi="Arial" w:cs="Arial"/>
                <w:color w:val="000000"/>
                <w:sz w:val="15"/>
                <w:szCs w:val="15"/>
              </w:rPr>
              <w:t>868 </w:t>
            </w:r>
          </w:p>
        </w:tc>
        <w:tc>
          <w:tcPr>
            <w:tcW w:w="0" w:type="auto"/>
            <w:shd w:val="clear" w:color="auto" w:fill="FFFFFF"/>
            <w:tcMar>
              <w:top w:w="40" w:type="dxa"/>
              <w:left w:w="0" w:type="dxa"/>
              <w:bottom w:w="40" w:type="dxa"/>
              <w:right w:w="20" w:type="dxa"/>
            </w:tcMar>
            <w:vAlign w:val="bottom"/>
          </w:tcPr>
          <w:p w14:paraId="5F2D3784" w14:textId="77777777" w:rsidR="00E836FB" w:rsidRDefault="00E836FB">
            <w:pPr>
              <w:jc w:val="right"/>
              <w:rPr>
                <w:rFonts w:ascii="宋体"/>
              </w:rPr>
            </w:pPr>
          </w:p>
        </w:tc>
      </w:tr>
      <w:tr w:rsidR="00E836FB" w14:paraId="5F2D379A" w14:textId="77777777">
        <w:tc>
          <w:tcPr>
            <w:tcW w:w="0" w:type="auto"/>
            <w:gridSpan w:val="3"/>
            <w:shd w:val="clear" w:color="auto" w:fill="CCEEFF"/>
            <w:tcMar>
              <w:top w:w="40" w:type="dxa"/>
              <w:left w:w="20" w:type="dxa"/>
              <w:bottom w:w="40" w:type="dxa"/>
              <w:right w:w="20" w:type="dxa"/>
            </w:tcMar>
            <w:vAlign w:val="bottom"/>
          </w:tcPr>
          <w:p w14:paraId="5F2D3786" w14:textId="77777777" w:rsidR="00E836FB" w:rsidRDefault="00994958">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78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788" w14:textId="77777777" w:rsidR="00E836FB" w:rsidRDefault="00994958">
            <w:pPr>
              <w:jc w:val="right"/>
              <w:textAlignment w:val="bottom"/>
            </w:pPr>
            <w:r>
              <w:rPr>
                <w:rFonts w:ascii="Arial" w:eastAsia="宋体" w:hAnsi="Arial" w:cs="Arial"/>
                <w:color w:val="000000"/>
                <w:sz w:val="15"/>
                <w:szCs w:val="15"/>
              </w:rPr>
              <w:t>200,405 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78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8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78B"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78C" w14:textId="77777777" w:rsidR="00E836FB" w:rsidRDefault="00994958">
            <w:pPr>
              <w:jc w:val="right"/>
              <w:textAlignment w:val="bottom"/>
            </w:pPr>
            <w:r>
              <w:rPr>
                <w:rFonts w:ascii="Arial" w:eastAsia="宋体" w:hAnsi="Arial" w:cs="Arial"/>
                <w:color w:val="000000"/>
                <w:sz w:val="15"/>
                <w:szCs w:val="15"/>
              </w:rPr>
              <w:t>(173,165)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7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8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78F"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790" w14:textId="77777777" w:rsidR="00E836FB" w:rsidRDefault="00994958">
            <w:pPr>
              <w:jc w:val="right"/>
              <w:textAlignment w:val="bottom"/>
            </w:pPr>
            <w:r>
              <w:rPr>
                <w:rFonts w:ascii="Arial" w:eastAsia="宋体" w:hAnsi="Arial" w:cs="Arial"/>
                <w:color w:val="000000"/>
                <w:sz w:val="15"/>
                <w:szCs w:val="15"/>
              </w:rPr>
              <w:t>27,240 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7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9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793"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794" w14:textId="77777777" w:rsidR="00E836FB" w:rsidRDefault="00994958">
            <w:pPr>
              <w:jc w:val="right"/>
              <w:textAlignment w:val="bottom"/>
            </w:pPr>
            <w:r>
              <w:rPr>
                <w:rFonts w:ascii="Arial" w:eastAsia="宋体" w:hAnsi="Arial" w:cs="Arial"/>
                <w:color w:val="000000"/>
                <w:sz w:val="15"/>
                <w:szCs w:val="15"/>
              </w:rPr>
              <w:t>(21,673)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7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79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79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798" w14:textId="77777777" w:rsidR="00E836FB" w:rsidRDefault="00994958">
            <w:pPr>
              <w:jc w:val="right"/>
              <w:textAlignment w:val="bottom"/>
            </w:pPr>
            <w:r>
              <w:rPr>
                <w:rFonts w:ascii="Arial" w:eastAsia="宋体" w:hAnsi="Arial" w:cs="Arial"/>
                <w:color w:val="000000"/>
                <w:sz w:val="15"/>
                <w:szCs w:val="15"/>
              </w:rPr>
              <w:t>5,567 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799" w14:textId="77777777" w:rsidR="00E836FB" w:rsidRDefault="00E836FB">
            <w:pPr>
              <w:jc w:val="right"/>
              <w:rPr>
                <w:rFonts w:ascii="宋体"/>
              </w:rPr>
            </w:pPr>
          </w:p>
        </w:tc>
      </w:tr>
    </w:tbl>
    <w:p w14:paraId="5F2D379B"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E836FB" w14:paraId="5F2D37AB" w14:textId="77777777">
        <w:tc>
          <w:tcPr>
            <w:tcW w:w="50" w:type="pct"/>
            <w:shd w:val="clear" w:color="auto" w:fill="auto"/>
            <w:vAlign w:val="bottom"/>
          </w:tcPr>
          <w:p w14:paraId="5F2D379C" w14:textId="77777777" w:rsidR="00E836FB" w:rsidRDefault="00E836FB">
            <w:pPr>
              <w:rPr>
                <w:rFonts w:ascii="宋体"/>
              </w:rPr>
            </w:pPr>
          </w:p>
        </w:tc>
        <w:tc>
          <w:tcPr>
            <w:tcW w:w="1348" w:type="pct"/>
            <w:shd w:val="clear" w:color="auto" w:fill="auto"/>
            <w:vAlign w:val="bottom"/>
          </w:tcPr>
          <w:p w14:paraId="5F2D379D" w14:textId="77777777" w:rsidR="00E836FB" w:rsidRDefault="00E836FB">
            <w:pPr>
              <w:rPr>
                <w:rFonts w:ascii="宋体"/>
              </w:rPr>
            </w:pPr>
          </w:p>
        </w:tc>
        <w:tc>
          <w:tcPr>
            <w:tcW w:w="5" w:type="pct"/>
            <w:shd w:val="clear" w:color="auto" w:fill="auto"/>
            <w:vAlign w:val="bottom"/>
          </w:tcPr>
          <w:p w14:paraId="5F2D379E" w14:textId="77777777" w:rsidR="00E836FB" w:rsidRDefault="00E836FB">
            <w:pPr>
              <w:rPr>
                <w:rFonts w:ascii="宋体"/>
              </w:rPr>
            </w:pPr>
          </w:p>
        </w:tc>
        <w:tc>
          <w:tcPr>
            <w:tcW w:w="50" w:type="pct"/>
            <w:shd w:val="clear" w:color="auto" w:fill="auto"/>
            <w:vAlign w:val="bottom"/>
          </w:tcPr>
          <w:p w14:paraId="5F2D379F" w14:textId="77777777" w:rsidR="00E836FB" w:rsidRDefault="00E836FB">
            <w:pPr>
              <w:rPr>
                <w:rFonts w:ascii="宋体"/>
              </w:rPr>
            </w:pPr>
          </w:p>
        </w:tc>
        <w:tc>
          <w:tcPr>
            <w:tcW w:w="1048" w:type="pct"/>
            <w:shd w:val="clear" w:color="auto" w:fill="auto"/>
            <w:vAlign w:val="bottom"/>
          </w:tcPr>
          <w:p w14:paraId="5F2D37A0" w14:textId="77777777" w:rsidR="00E836FB" w:rsidRDefault="00E836FB">
            <w:pPr>
              <w:rPr>
                <w:rFonts w:ascii="宋体"/>
              </w:rPr>
            </w:pPr>
          </w:p>
        </w:tc>
        <w:tc>
          <w:tcPr>
            <w:tcW w:w="5" w:type="pct"/>
            <w:shd w:val="clear" w:color="auto" w:fill="auto"/>
            <w:vAlign w:val="bottom"/>
          </w:tcPr>
          <w:p w14:paraId="5F2D37A1" w14:textId="77777777" w:rsidR="00E836FB" w:rsidRDefault="00E836FB">
            <w:pPr>
              <w:rPr>
                <w:rFonts w:ascii="宋体"/>
              </w:rPr>
            </w:pPr>
          </w:p>
        </w:tc>
        <w:tc>
          <w:tcPr>
            <w:tcW w:w="50" w:type="pct"/>
            <w:shd w:val="clear" w:color="auto" w:fill="auto"/>
            <w:vAlign w:val="bottom"/>
          </w:tcPr>
          <w:p w14:paraId="5F2D37A2" w14:textId="77777777" w:rsidR="00E836FB" w:rsidRDefault="00E836FB">
            <w:pPr>
              <w:rPr>
                <w:rFonts w:ascii="宋体"/>
              </w:rPr>
            </w:pPr>
          </w:p>
        </w:tc>
        <w:tc>
          <w:tcPr>
            <w:tcW w:w="917" w:type="pct"/>
            <w:shd w:val="clear" w:color="auto" w:fill="auto"/>
            <w:vAlign w:val="bottom"/>
          </w:tcPr>
          <w:p w14:paraId="5F2D37A3" w14:textId="77777777" w:rsidR="00E836FB" w:rsidRDefault="00E836FB">
            <w:pPr>
              <w:rPr>
                <w:rFonts w:ascii="宋体"/>
              </w:rPr>
            </w:pPr>
          </w:p>
        </w:tc>
        <w:tc>
          <w:tcPr>
            <w:tcW w:w="5" w:type="pct"/>
            <w:shd w:val="clear" w:color="auto" w:fill="auto"/>
            <w:vAlign w:val="bottom"/>
          </w:tcPr>
          <w:p w14:paraId="5F2D37A4" w14:textId="77777777" w:rsidR="00E836FB" w:rsidRDefault="00E836FB">
            <w:pPr>
              <w:rPr>
                <w:rFonts w:ascii="宋体"/>
              </w:rPr>
            </w:pPr>
          </w:p>
        </w:tc>
        <w:tc>
          <w:tcPr>
            <w:tcW w:w="50" w:type="pct"/>
            <w:shd w:val="clear" w:color="auto" w:fill="auto"/>
            <w:vAlign w:val="bottom"/>
          </w:tcPr>
          <w:p w14:paraId="5F2D37A5" w14:textId="77777777" w:rsidR="00E836FB" w:rsidRDefault="00E836FB">
            <w:pPr>
              <w:rPr>
                <w:rFonts w:ascii="宋体"/>
              </w:rPr>
            </w:pPr>
          </w:p>
        </w:tc>
        <w:tc>
          <w:tcPr>
            <w:tcW w:w="917" w:type="pct"/>
            <w:shd w:val="clear" w:color="auto" w:fill="auto"/>
            <w:vAlign w:val="bottom"/>
          </w:tcPr>
          <w:p w14:paraId="5F2D37A6" w14:textId="77777777" w:rsidR="00E836FB" w:rsidRDefault="00E836FB">
            <w:pPr>
              <w:rPr>
                <w:rFonts w:ascii="宋体"/>
              </w:rPr>
            </w:pPr>
          </w:p>
        </w:tc>
        <w:tc>
          <w:tcPr>
            <w:tcW w:w="5" w:type="pct"/>
            <w:shd w:val="clear" w:color="auto" w:fill="auto"/>
            <w:vAlign w:val="bottom"/>
          </w:tcPr>
          <w:p w14:paraId="5F2D37A7" w14:textId="77777777" w:rsidR="00E836FB" w:rsidRDefault="00E836FB">
            <w:pPr>
              <w:rPr>
                <w:rFonts w:ascii="宋体"/>
              </w:rPr>
            </w:pPr>
          </w:p>
        </w:tc>
        <w:tc>
          <w:tcPr>
            <w:tcW w:w="50" w:type="pct"/>
            <w:shd w:val="clear" w:color="auto" w:fill="auto"/>
            <w:vAlign w:val="bottom"/>
          </w:tcPr>
          <w:p w14:paraId="5F2D37A8" w14:textId="77777777" w:rsidR="00E836FB" w:rsidRDefault="00E836FB">
            <w:pPr>
              <w:rPr>
                <w:rFonts w:ascii="宋体"/>
              </w:rPr>
            </w:pPr>
          </w:p>
        </w:tc>
        <w:tc>
          <w:tcPr>
            <w:tcW w:w="493" w:type="pct"/>
            <w:shd w:val="clear" w:color="auto" w:fill="auto"/>
            <w:vAlign w:val="bottom"/>
          </w:tcPr>
          <w:p w14:paraId="5F2D37A9" w14:textId="77777777" w:rsidR="00E836FB" w:rsidRDefault="00E836FB">
            <w:pPr>
              <w:rPr>
                <w:rFonts w:ascii="宋体"/>
              </w:rPr>
            </w:pPr>
          </w:p>
        </w:tc>
        <w:tc>
          <w:tcPr>
            <w:tcW w:w="5" w:type="pct"/>
            <w:shd w:val="clear" w:color="auto" w:fill="auto"/>
            <w:vAlign w:val="bottom"/>
          </w:tcPr>
          <w:p w14:paraId="5F2D37AA" w14:textId="77777777" w:rsidR="00E836FB" w:rsidRDefault="00E836FB">
            <w:pPr>
              <w:rPr>
                <w:rFonts w:ascii="宋体"/>
              </w:rPr>
            </w:pPr>
          </w:p>
        </w:tc>
      </w:tr>
      <w:tr w:rsidR="00E836FB" w14:paraId="5F2D37B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7A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7A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7A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7A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7B0" w14:textId="77777777" w:rsidR="00E836FB" w:rsidRDefault="00E836FB">
            <w:pPr>
              <w:rPr>
                <w:rFonts w:ascii="宋体"/>
              </w:rPr>
            </w:pPr>
          </w:p>
        </w:tc>
      </w:tr>
    </w:tbl>
    <w:p w14:paraId="5F2D37B2"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5F2D37B3" w14:textId="77777777" w:rsidR="00E836FB" w:rsidRDefault="00994958">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5F2D37B4" w14:textId="77777777" w:rsidR="00E836FB" w:rsidRDefault="00994958">
      <w:pPr>
        <w:spacing w:before="20"/>
        <w:jc w:val="both"/>
      </w:pPr>
      <w:r>
        <w:rPr>
          <w:rFonts w:ascii="Arial" w:eastAsia="宋体" w:hAnsi="Arial" w:cs="Arial"/>
          <w:color w:val="000000"/>
          <w:sz w:val="9"/>
          <w:szCs w:val="9"/>
        </w:rPr>
        <w:t xml:space="preserve">(3) </w:t>
      </w:r>
      <w:r>
        <w:rPr>
          <w:rFonts w:ascii="Arial" w:eastAsia="宋体" w:hAnsi="Arial" w:cs="Arial"/>
          <w:color w:val="000000"/>
          <w:sz w:val="14"/>
          <w:szCs w:val="14"/>
        </w:rPr>
        <w:t xml:space="preserve">Amounts </w:t>
      </w:r>
      <w:r>
        <w:rPr>
          <w:rFonts w:ascii="Arial" w:eastAsia="宋体" w:hAnsi="Arial" w:cs="Arial"/>
          <w:color w:val="000000"/>
          <w:sz w:val="14"/>
          <w:szCs w:val="14"/>
        </w:rPr>
        <w:t>subject to netting arrangements which have been determined to be legally enforceable and eligible for netting in the consolidated statement of condition.</w:t>
      </w:r>
    </w:p>
    <w:p w14:paraId="5F2D37B5" w14:textId="77777777" w:rsidR="00E836FB" w:rsidRDefault="00994958">
      <w:pPr>
        <w:spacing w:before="2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transactions.</w:t>
      </w:r>
    </w:p>
    <w:p w14:paraId="5F2D37B6" w14:textId="77777777" w:rsidR="00E836FB" w:rsidRDefault="00994958">
      <w:pPr>
        <w:spacing w:before="2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w:t>
      </w:r>
      <w:r>
        <w:rPr>
          <w:rFonts w:ascii="Arial" w:eastAsia="宋体" w:hAnsi="Arial" w:cs="Arial"/>
          <w:color w:val="000000"/>
          <w:sz w:val="14"/>
          <w:szCs w:val="14"/>
        </w:rPr>
        <w:t xml:space="preserve"> secured by collateral not determined to be subject to enforceable netting arrangements.</w:t>
      </w:r>
    </w:p>
    <w:p w14:paraId="5F2D37B7" w14:textId="77777777" w:rsidR="00E836FB" w:rsidRDefault="00994958">
      <w:pPr>
        <w:spacing w:before="2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5F2D37B8" w14:textId="77777777" w:rsidR="00E836FB" w:rsidRDefault="00994958">
      <w:pPr>
        <w:spacing w:before="20"/>
        <w:jc w:val="both"/>
      </w:pPr>
      <w:r>
        <w:rPr>
          <w:rFonts w:ascii="Arial" w:eastAsia="宋体" w:hAnsi="Arial" w:cs="Arial"/>
          <w:color w:val="000000"/>
          <w:sz w:val="9"/>
          <w:szCs w:val="9"/>
        </w:rPr>
        <w:t xml:space="preserve">(7) </w:t>
      </w:r>
      <w:r>
        <w:rPr>
          <w:rFonts w:ascii="Arial" w:eastAsia="宋体" w:hAnsi="Arial" w:cs="Arial"/>
          <w:color w:val="000000"/>
          <w:sz w:val="14"/>
          <w:szCs w:val="14"/>
        </w:rPr>
        <w:t xml:space="preserve">Included in the $25.31 billion as of December 31, 2021 were $3.01 billion of resale </w:t>
      </w:r>
      <w:r>
        <w:rPr>
          <w:rFonts w:ascii="Arial" w:eastAsia="宋体" w:hAnsi="Arial" w:cs="Arial"/>
          <w:color w:val="000000"/>
          <w:sz w:val="14"/>
          <w:szCs w:val="14"/>
        </w:rPr>
        <w:t xml:space="preserve">agreements and $22.30 billion of collateral provided related to securities borrowing. Included in the $21.44 billion as of December 31, 2020 were $3.11 billion of resale agreements and $18.33 billion of collateral provided related to securities borrowing. </w:t>
      </w:r>
      <w:r>
        <w:rPr>
          <w:rFonts w:ascii="Arial" w:eastAsia="宋体" w:hAnsi="Arial" w:cs="Arial"/>
          <w:color w:val="000000"/>
          <w:sz w:val="14"/>
          <w:szCs w:val="14"/>
        </w:rPr>
        <w:t xml:space="preserve">Resale agreements and collateral provided related to securities borrowing were recorded in securities purchased under resale agreements and other assets, respectively, in our consolidated statement of condition. Refer to Note 12 for additional information </w:t>
      </w:r>
      <w:r>
        <w:rPr>
          <w:rFonts w:ascii="Arial" w:eastAsia="宋体" w:hAnsi="Arial" w:cs="Arial"/>
          <w:color w:val="000000"/>
          <w:sz w:val="14"/>
          <w:szCs w:val="14"/>
        </w:rPr>
        <w:t>with respect to principal securities finance transactions.</w:t>
      </w:r>
    </w:p>
    <w:p w14:paraId="5F2D37B9" w14:textId="77777777" w:rsidR="00E836FB" w:rsidRDefault="00994958">
      <w:pPr>
        <w:spacing w:before="2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system.</w:t>
      </w:r>
    </w:p>
    <w:p w14:paraId="5F2D37BA" w14:textId="77777777" w:rsidR="00E836FB" w:rsidRDefault="00994958">
      <w:pPr>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5F2D37BB" w14:textId="77777777" w:rsidR="00E836FB" w:rsidRDefault="00994958">
      <w:pPr>
        <w:spacing w:before="60"/>
        <w:ind w:firstLine="450"/>
        <w:jc w:val="both"/>
      </w:pPr>
      <w:r>
        <w:rPr>
          <w:rFonts w:ascii="Arial" w:eastAsia="宋体" w:hAnsi="Arial" w:cs="Arial"/>
          <w:color w:val="000000"/>
          <w:sz w:val="20"/>
          <w:szCs w:val="20"/>
        </w:rPr>
        <w:t>The following tables present information about the offsetting of liabilities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E836FB" w14:paraId="5F2D37DF" w14:textId="77777777">
        <w:tc>
          <w:tcPr>
            <w:tcW w:w="50" w:type="pct"/>
            <w:shd w:val="clear" w:color="auto" w:fill="auto"/>
            <w:vAlign w:val="bottom"/>
          </w:tcPr>
          <w:p w14:paraId="5F2D37BC" w14:textId="77777777" w:rsidR="00E836FB" w:rsidRDefault="00E836FB">
            <w:pPr>
              <w:rPr>
                <w:rFonts w:ascii="宋体"/>
              </w:rPr>
            </w:pPr>
          </w:p>
        </w:tc>
        <w:tc>
          <w:tcPr>
            <w:tcW w:w="1165" w:type="pct"/>
            <w:shd w:val="clear" w:color="auto" w:fill="auto"/>
            <w:vAlign w:val="bottom"/>
          </w:tcPr>
          <w:p w14:paraId="5F2D37BD" w14:textId="77777777" w:rsidR="00E836FB" w:rsidRDefault="00E836FB">
            <w:pPr>
              <w:rPr>
                <w:rFonts w:ascii="宋体"/>
              </w:rPr>
            </w:pPr>
          </w:p>
        </w:tc>
        <w:tc>
          <w:tcPr>
            <w:tcW w:w="5" w:type="pct"/>
            <w:shd w:val="clear" w:color="auto" w:fill="auto"/>
            <w:vAlign w:val="bottom"/>
          </w:tcPr>
          <w:p w14:paraId="5F2D37BE" w14:textId="77777777" w:rsidR="00E836FB" w:rsidRDefault="00E836FB">
            <w:pPr>
              <w:rPr>
                <w:rFonts w:ascii="宋体"/>
              </w:rPr>
            </w:pPr>
          </w:p>
        </w:tc>
        <w:tc>
          <w:tcPr>
            <w:tcW w:w="50" w:type="pct"/>
            <w:shd w:val="clear" w:color="auto" w:fill="auto"/>
            <w:vAlign w:val="bottom"/>
          </w:tcPr>
          <w:p w14:paraId="5F2D37BF" w14:textId="77777777" w:rsidR="00E836FB" w:rsidRDefault="00E836FB">
            <w:pPr>
              <w:rPr>
                <w:rFonts w:ascii="宋体"/>
              </w:rPr>
            </w:pPr>
          </w:p>
        </w:tc>
        <w:tc>
          <w:tcPr>
            <w:tcW w:w="639" w:type="pct"/>
            <w:shd w:val="clear" w:color="auto" w:fill="auto"/>
            <w:vAlign w:val="bottom"/>
          </w:tcPr>
          <w:p w14:paraId="5F2D37C0" w14:textId="77777777" w:rsidR="00E836FB" w:rsidRDefault="00E836FB">
            <w:pPr>
              <w:rPr>
                <w:rFonts w:ascii="宋体"/>
              </w:rPr>
            </w:pPr>
          </w:p>
        </w:tc>
        <w:tc>
          <w:tcPr>
            <w:tcW w:w="5" w:type="pct"/>
            <w:shd w:val="clear" w:color="auto" w:fill="auto"/>
            <w:vAlign w:val="bottom"/>
          </w:tcPr>
          <w:p w14:paraId="5F2D37C1" w14:textId="77777777" w:rsidR="00E836FB" w:rsidRDefault="00E836FB">
            <w:pPr>
              <w:rPr>
                <w:rFonts w:ascii="宋体"/>
              </w:rPr>
            </w:pPr>
          </w:p>
        </w:tc>
        <w:tc>
          <w:tcPr>
            <w:tcW w:w="5" w:type="pct"/>
            <w:shd w:val="clear" w:color="auto" w:fill="auto"/>
            <w:vAlign w:val="bottom"/>
          </w:tcPr>
          <w:p w14:paraId="5F2D37C2" w14:textId="77777777" w:rsidR="00E836FB" w:rsidRDefault="00E836FB">
            <w:pPr>
              <w:rPr>
                <w:rFonts w:ascii="宋体"/>
              </w:rPr>
            </w:pPr>
          </w:p>
        </w:tc>
        <w:tc>
          <w:tcPr>
            <w:tcW w:w="26" w:type="pct"/>
            <w:shd w:val="clear" w:color="auto" w:fill="auto"/>
            <w:vAlign w:val="bottom"/>
          </w:tcPr>
          <w:p w14:paraId="5F2D37C3" w14:textId="77777777" w:rsidR="00E836FB" w:rsidRDefault="00E836FB">
            <w:pPr>
              <w:rPr>
                <w:rFonts w:ascii="宋体"/>
              </w:rPr>
            </w:pPr>
          </w:p>
        </w:tc>
        <w:tc>
          <w:tcPr>
            <w:tcW w:w="5" w:type="pct"/>
            <w:shd w:val="clear" w:color="auto" w:fill="auto"/>
            <w:vAlign w:val="bottom"/>
          </w:tcPr>
          <w:p w14:paraId="5F2D37C4" w14:textId="77777777" w:rsidR="00E836FB" w:rsidRDefault="00E836FB">
            <w:pPr>
              <w:rPr>
                <w:rFonts w:ascii="宋体"/>
              </w:rPr>
            </w:pPr>
          </w:p>
        </w:tc>
        <w:tc>
          <w:tcPr>
            <w:tcW w:w="50" w:type="pct"/>
            <w:shd w:val="clear" w:color="auto" w:fill="auto"/>
            <w:vAlign w:val="bottom"/>
          </w:tcPr>
          <w:p w14:paraId="5F2D37C5" w14:textId="77777777" w:rsidR="00E836FB" w:rsidRDefault="00E836FB">
            <w:pPr>
              <w:rPr>
                <w:rFonts w:ascii="宋体"/>
              </w:rPr>
            </w:pPr>
          </w:p>
        </w:tc>
        <w:tc>
          <w:tcPr>
            <w:tcW w:w="756" w:type="pct"/>
            <w:shd w:val="clear" w:color="auto" w:fill="auto"/>
            <w:vAlign w:val="bottom"/>
          </w:tcPr>
          <w:p w14:paraId="5F2D37C6" w14:textId="77777777" w:rsidR="00E836FB" w:rsidRDefault="00E836FB">
            <w:pPr>
              <w:rPr>
                <w:rFonts w:ascii="宋体"/>
              </w:rPr>
            </w:pPr>
          </w:p>
        </w:tc>
        <w:tc>
          <w:tcPr>
            <w:tcW w:w="5" w:type="pct"/>
            <w:shd w:val="clear" w:color="auto" w:fill="auto"/>
            <w:vAlign w:val="bottom"/>
          </w:tcPr>
          <w:p w14:paraId="5F2D37C7" w14:textId="77777777" w:rsidR="00E836FB" w:rsidRDefault="00E836FB">
            <w:pPr>
              <w:rPr>
                <w:rFonts w:ascii="宋体"/>
              </w:rPr>
            </w:pPr>
          </w:p>
        </w:tc>
        <w:tc>
          <w:tcPr>
            <w:tcW w:w="5" w:type="pct"/>
            <w:shd w:val="clear" w:color="auto" w:fill="auto"/>
            <w:vAlign w:val="bottom"/>
          </w:tcPr>
          <w:p w14:paraId="5F2D37C8" w14:textId="77777777" w:rsidR="00E836FB" w:rsidRDefault="00E836FB">
            <w:pPr>
              <w:rPr>
                <w:rFonts w:ascii="宋体"/>
              </w:rPr>
            </w:pPr>
          </w:p>
        </w:tc>
        <w:tc>
          <w:tcPr>
            <w:tcW w:w="26" w:type="pct"/>
            <w:shd w:val="clear" w:color="auto" w:fill="auto"/>
            <w:vAlign w:val="bottom"/>
          </w:tcPr>
          <w:p w14:paraId="5F2D37C9" w14:textId="77777777" w:rsidR="00E836FB" w:rsidRDefault="00E836FB">
            <w:pPr>
              <w:rPr>
                <w:rFonts w:ascii="宋体"/>
              </w:rPr>
            </w:pPr>
          </w:p>
        </w:tc>
        <w:tc>
          <w:tcPr>
            <w:tcW w:w="5" w:type="pct"/>
            <w:shd w:val="clear" w:color="auto" w:fill="auto"/>
            <w:vAlign w:val="bottom"/>
          </w:tcPr>
          <w:p w14:paraId="5F2D37CA" w14:textId="77777777" w:rsidR="00E836FB" w:rsidRDefault="00E836FB">
            <w:pPr>
              <w:rPr>
                <w:rFonts w:ascii="宋体"/>
              </w:rPr>
            </w:pPr>
          </w:p>
        </w:tc>
        <w:tc>
          <w:tcPr>
            <w:tcW w:w="50" w:type="pct"/>
            <w:shd w:val="clear" w:color="auto" w:fill="auto"/>
            <w:vAlign w:val="bottom"/>
          </w:tcPr>
          <w:p w14:paraId="5F2D37CB" w14:textId="77777777" w:rsidR="00E836FB" w:rsidRDefault="00E836FB">
            <w:pPr>
              <w:rPr>
                <w:rFonts w:ascii="宋体"/>
              </w:rPr>
            </w:pPr>
          </w:p>
        </w:tc>
        <w:tc>
          <w:tcPr>
            <w:tcW w:w="814" w:type="pct"/>
            <w:shd w:val="clear" w:color="auto" w:fill="auto"/>
            <w:vAlign w:val="bottom"/>
          </w:tcPr>
          <w:p w14:paraId="5F2D37CC" w14:textId="77777777" w:rsidR="00E836FB" w:rsidRDefault="00E836FB">
            <w:pPr>
              <w:rPr>
                <w:rFonts w:ascii="宋体"/>
              </w:rPr>
            </w:pPr>
          </w:p>
        </w:tc>
        <w:tc>
          <w:tcPr>
            <w:tcW w:w="5" w:type="pct"/>
            <w:shd w:val="clear" w:color="auto" w:fill="auto"/>
            <w:vAlign w:val="bottom"/>
          </w:tcPr>
          <w:p w14:paraId="5F2D37CD" w14:textId="77777777" w:rsidR="00E836FB" w:rsidRDefault="00E836FB">
            <w:pPr>
              <w:rPr>
                <w:rFonts w:ascii="宋体"/>
              </w:rPr>
            </w:pPr>
          </w:p>
        </w:tc>
        <w:tc>
          <w:tcPr>
            <w:tcW w:w="5" w:type="pct"/>
            <w:shd w:val="clear" w:color="auto" w:fill="auto"/>
            <w:vAlign w:val="bottom"/>
          </w:tcPr>
          <w:p w14:paraId="5F2D37CE" w14:textId="77777777" w:rsidR="00E836FB" w:rsidRDefault="00E836FB">
            <w:pPr>
              <w:rPr>
                <w:rFonts w:ascii="宋体"/>
              </w:rPr>
            </w:pPr>
          </w:p>
        </w:tc>
        <w:tc>
          <w:tcPr>
            <w:tcW w:w="26" w:type="pct"/>
            <w:shd w:val="clear" w:color="auto" w:fill="auto"/>
            <w:vAlign w:val="bottom"/>
          </w:tcPr>
          <w:p w14:paraId="5F2D37CF" w14:textId="77777777" w:rsidR="00E836FB" w:rsidRDefault="00E836FB">
            <w:pPr>
              <w:rPr>
                <w:rFonts w:ascii="宋体"/>
              </w:rPr>
            </w:pPr>
          </w:p>
        </w:tc>
        <w:tc>
          <w:tcPr>
            <w:tcW w:w="5" w:type="pct"/>
            <w:shd w:val="clear" w:color="auto" w:fill="auto"/>
            <w:vAlign w:val="bottom"/>
          </w:tcPr>
          <w:p w14:paraId="5F2D37D0" w14:textId="77777777" w:rsidR="00E836FB" w:rsidRDefault="00E836FB">
            <w:pPr>
              <w:rPr>
                <w:rFonts w:ascii="宋体"/>
              </w:rPr>
            </w:pPr>
          </w:p>
        </w:tc>
        <w:tc>
          <w:tcPr>
            <w:tcW w:w="50" w:type="pct"/>
            <w:shd w:val="clear" w:color="auto" w:fill="auto"/>
            <w:vAlign w:val="bottom"/>
          </w:tcPr>
          <w:p w14:paraId="5F2D37D1" w14:textId="77777777" w:rsidR="00E836FB" w:rsidRDefault="00E836FB">
            <w:pPr>
              <w:rPr>
                <w:rFonts w:ascii="宋体"/>
              </w:rPr>
            </w:pPr>
          </w:p>
        </w:tc>
        <w:tc>
          <w:tcPr>
            <w:tcW w:w="668" w:type="pct"/>
            <w:shd w:val="clear" w:color="auto" w:fill="auto"/>
            <w:vAlign w:val="bottom"/>
          </w:tcPr>
          <w:p w14:paraId="5F2D37D2" w14:textId="77777777" w:rsidR="00E836FB" w:rsidRDefault="00E836FB">
            <w:pPr>
              <w:rPr>
                <w:rFonts w:ascii="宋体"/>
              </w:rPr>
            </w:pPr>
          </w:p>
        </w:tc>
        <w:tc>
          <w:tcPr>
            <w:tcW w:w="5" w:type="pct"/>
            <w:shd w:val="clear" w:color="auto" w:fill="auto"/>
            <w:vAlign w:val="bottom"/>
          </w:tcPr>
          <w:p w14:paraId="5F2D37D3" w14:textId="77777777" w:rsidR="00E836FB" w:rsidRDefault="00E836FB">
            <w:pPr>
              <w:rPr>
                <w:rFonts w:ascii="宋体"/>
              </w:rPr>
            </w:pPr>
          </w:p>
        </w:tc>
        <w:tc>
          <w:tcPr>
            <w:tcW w:w="5" w:type="pct"/>
            <w:shd w:val="clear" w:color="auto" w:fill="auto"/>
            <w:vAlign w:val="bottom"/>
          </w:tcPr>
          <w:p w14:paraId="5F2D37D4" w14:textId="77777777" w:rsidR="00E836FB" w:rsidRDefault="00E836FB">
            <w:pPr>
              <w:rPr>
                <w:rFonts w:ascii="宋体"/>
              </w:rPr>
            </w:pPr>
          </w:p>
        </w:tc>
        <w:tc>
          <w:tcPr>
            <w:tcW w:w="26" w:type="pct"/>
            <w:shd w:val="clear" w:color="auto" w:fill="auto"/>
            <w:vAlign w:val="bottom"/>
          </w:tcPr>
          <w:p w14:paraId="5F2D37D5" w14:textId="77777777" w:rsidR="00E836FB" w:rsidRDefault="00E836FB">
            <w:pPr>
              <w:rPr>
                <w:rFonts w:ascii="宋体"/>
              </w:rPr>
            </w:pPr>
          </w:p>
        </w:tc>
        <w:tc>
          <w:tcPr>
            <w:tcW w:w="5" w:type="pct"/>
            <w:shd w:val="clear" w:color="auto" w:fill="auto"/>
            <w:vAlign w:val="bottom"/>
          </w:tcPr>
          <w:p w14:paraId="5F2D37D6" w14:textId="77777777" w:rsidR="00E836FB" w:rsidRDefault="00E836FB">
            <w:pPr>
              <w:rPr>
                <w:rFonts w:ascii="宋体"/>
              </w:rPr>
            </w:pPr>
          </w:p>
        </w:tc>
        <w:tc>
          <w:tcPr>
            <w:tcW w:w="50" w:type="pct"/>
            <w:shd w:val="clear" w:color="auto" w:fill="auto"/>
            <w:vAlign w:val="bottom"/>
          </w:tcPr>
          <w:p w14:paraId="5F2D37D7" w14:textId="77777777" w:rsidR="00E836FB" w:rsidRDefault="00E836FB">
            <w:pPr>
              <w:rPr>
                <w:rFonts w:ascii="宋体"/>
              </w:rPr>
            </w:pPr>
          </w:p>
        </w:tc>
        <w:tc>
          <w:tcPr>
            <w:tcW w:w="478" w:type="pct"/>
            <w:shd w:val="clear" w:color="auto" w:fill="auto"/>
            <w:vAlign w:val="bottom"/>
          </w:tcPr>
          <w:p w14:paraId="5F2D37D8" w14:textId="77777777" w:rsidR="00E836FB" w:rsidRDefault="00E836FB">
            <w:pPr>
              <w:rPr>
                <w:rFonts w:ascii="宋体"/>
              </w:rPr>
            </w:pPr>
          </w:p>
        </w:tc>
        <w:tc>
          <w:tcPr>
            <w:tcW w:w="5" w:type="pct"/>
            <w:shd w:val="clear" w:color="auto" w:fill="auto"/>
            <w:vAlign w:val="bottom"/>
          </w:tcPr>
          <w:p w14:paraId="5F2D37D9" w14:textId="77777777" w:rsidR="00E836FB" w:rsidRDefault="00E836FB">
            <w:pPr>
              <w:rPr>
                <w:rFonts w:ascii="宋体"/>
              </w:rPr>
            </w:pPr>
          </w:p>
        </w:tc>
        <w:tc>
          <w:tcPr>
            <w:tcW w:w="0" w:type="auto"/>
            <w:shd w:val="clear" w:color="auto" w:fill="auto"/>
            <w:vAlign w:val="bottom"/>
          </w:tcPr>
          <w:p w14:paraId="5F2D37DA" w14:textId="77777777" w:rsidR="00E836FB" w:rsidRDefault="00E836FB">
            <w:pPr>
              <w:rPr>
                <w:rFonts w:ascii="宋体"/>
                <w:vanish/>
              </w:rPr>
            </w:pPr>
          </w:p>
        </w:tc>
        <w:tc>
          <w:tcPr>
            <w:tcW w:w="0" w:type="auto"/>
            <w:gridSpan w:val="3"/>
            <w:shd w:val="clear" w:color="auto" w:fill="auto"/>
            <w:vAlign w:val="bottom"/>
          </w:tcPr>
          <w:p w14:paraId="5F2D37DB" w14:textId="77777777" w:rsidR="00E836FB" w:rsidRDefault="00E836FB">
            <w:pPr>
              <w:rPr>
                <w:rFonts w:ascii="宋体"/>
                <w:vanish/>
              </w:rPr>
            </w:pPr>
          </w:p>
        </w:tc>
        <w:tc>
          <w:tcPr>
            <w:tcW w:w="0" w:type="auto"/>
            <w:gridSpan w:val="3"/>
            <w:shd w:val="clear" w:color="auto" w:fill="auto"/>
            <w:vAlign w:val="bottom"/>
          </w:tcPr>
          <w:p w14:paraId="5F2D37DC" w14:textId="77777777" w:rsidR="00E836FB" w:rsidRDefault="00E836FB">
            <w:pPr>
              <w:rPr>
                <w:rFonts w:ascii="宋体"/>
                <w:vanish/>
              </w:rPr>
            </w:pPr>
          </w:p>
        </w:tc>
        <w:tc>
          <w:tcPr>
            <w:tcW w:w="0" w:type="auto"/>
            <w:gridSpan w:val="3"/>
            <w:shd w:val="clear" w:color="auto" w:fill="auto"/>
            <w:vAlign w:val="bottom"/>
          </w:tcPr>
          <w:p w14:paraId="5F2D37DD" w14:textId="77777777" w:rsidR="00E836FB" w:rsidRDefault="00E836FB">
            <w:pPr>
              <w:rPr>
                <w:rFonts w:ascii="宋体"/>
                <w:vanish/>
              </w:rPr>
            </w:pPr>
          </w:p>
        </w:tc>
        <w:tc>
          <w:tcPr>
            <w:tcW w:w="0" w:type="auto"/>
            <w:gridSpan w:val="3"/>
            <w:shd w:val="clear" w:color="auto" w:fill="auto"/>
            <w:vAlign w:val="bottom"/>
          </w:tcPr>
          <w:p w14:paraId="5F2D37DE" w14:textId="77777777" w:rsidR="00E836FB" w:rsidRDefault="00E836FB">
            <w:pPr>
              <w:rPr>
                <w:rFonts w:ascii="宋体"/>
                <w:vanish/>
              </w:rPr>
            </w:pPr>
          </w:p>
        </w:tc>
      </w:tr>
      <w:tr w:rsidR="00E836FB" w14:paraId="5F2D37EF" w14:textId="77777777">
        <w:tc>
          <w:tcPr>
            <w:tcW w:w="0" w:type="auto"/>
            <w:gridSpan w:val="3"/>
            <w:shd w:val="clear" w:color="auto" w:fill="auto"/>
            <w:tcMar>
              <w:top w:w="40" w:type="dxa"/>
              <w:left w:w="20" w:type="dxa"/>
              <w:bottom w:w="40" w:type="dxa"/>
              <w:right w:w="20" w:type="dxa"/>
            </w:tcMar>
            <w:vAlign w:val="bottom"/>
          </w:tcPr>
          <w:p w14:paraId="5F2D37E0" w14:textId="77777777" w:rsidR="00E836FB" w:rsidRDefault="00994958">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F2D37E1"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shd w:val="clear" w:color="auto" w:fill="auto"/>
            <w:vAlign w:val="bottom"/>
          </w:tcPr>
          <w:p w14:paraId="5F2D37E2" w14:textId="77777777" w:rsidR="00E836FB" w:rsidRDefault="00E836FB">
            <w:pPr>
              <w:rPr>
                <w:rFonts w:ascii="宋体"/>
                <w:vanish/>
              </w:rPr>
            </w:pPr>
          </w:p>
        </w:tc>
        <w:tc>
          <w:tcPr>
            <w:tcW w:w="0" w:type="auto"/>
            <w:shd w:val="clear" w:color="auto" w:fill="auto"/>
            <w:vAlign w:val="bottom"/>
          </w:tcPr>
          <w:p w14:paraId="5F2D37E3" w14:textId="77777777" w:rsidR="00E836FB" w:rsidRDefault="00E836FB">
            <w:pPr>
              <w:rPr>
                <w:rFonts w:ascii="宋体"/>
              </w:rPr>
            </w:pPr>
          </w:p>
        </w:tc>
        <w:tc>
          <w:tcPr>
            <w:tcW w:w="0" w:type="auto"/>
            <w:shd w:val="clear" w:color="auto" w:fill="auto"/>
            <w:vAlign w:val="bottom"/>
          </w:tcPr>
          <w:p w14:paraId="5F2D37E4" w14:textId="77777777" w:rsidR="00E836FB" w:rsidRDefault="00E836FB">
            <w:pPr>
              <w:rPr>
                <w:rFonts w:ascii="宋体"/>
              </w:rPr>
            </w:pPr>
          </w:p>
        </w:tc>
        <w:tc>
          <w:tcPr>
            <w:tcW w:w="0" w:type="auto"/>
            <w:shd w:val="clear" w:color="auto" w:fill="auto"/>
            <w:vAlign w:val="bottom"/>
          </w:tcPr>
          <w:p w14:paraId="5F2D37E5" w14:textId="77777777" w:rsidR="00E836FB" w:rsidRDefault="00E836FB">
            <w:pPr>
              <w:rPr>
                <w:rFonts w:ascii="宋体"/>
              </w:rPr>
            </w:pPr>
          </w:p>
        </w:tc>
        <w:tc>
          <w:tcPr>
            <w:tcW w:w="0" w:type="auto"/>
            <w:shd w:val="clear" w:color="auto" w:fill="auto"/>
            <w:vAlign w:val="bottom"/>
          </w:tcPr>
          <w:p w14:paraId="5F2D37E6" w14:textId="77777777" w:rsidR="00E836FB" w:rsidRDefault="00E836FB">
            <w:pPr>
              <w:rPr>
                <w:rFonts w:ascii="宋体"/>
              </w:rPr>
            </w:pPr>
          </w:p>
        </w:tc>
        <w:tc>
          <w:tcPr>
            <w:tcW w:w="0" w:type="auto"/>
            <w:shd w:val="clear" w:color="auto" w:fill="auto"/>
            <w:vAlign w:val="bottom"/>
          </w:tcPr>
          <w:p w14:paraId="5F2D37E7" w14:textId="77777777" w:rsidR="00E836FB" w:rsidRDefault="00E836FB">
            <w:pPr>
              <w:rPr>
                <w:rFonts w:ascii="宋体"/>
              </w:rPr>
            </w:pPr>
          </w:p>
        </w:tc>
        <w:tc>
          <w:tcPr>
            <w:tcW w:w="0" w:type="auto"/>
            <w:shd w:val="clear" w:color="auto" w:fill="auto"/>
            <w:vAlign w:val="bottom"/>
          </w:tcPr>
          <w:p w14:paraId="5F2D37E8" w14:textId="77777777" w:rsidR="00E836FB" w:rsidRDefault="00E836FB">
            <w:pPr>
              <w:rPr>
                <w:rFonts w:ascii="宋体"/>
              </w:rPr>
            </w:pPr>
          </w:p>
        </w:tc>
        <w:tc>
          <w:tcPr>
            <w:tcW w:w="0" w:type="auto"/>
            <w:shd w:val="clear" w:color="auto" w:fill="auto"/>
            <w:vAlign w:val="bottom"/>
          </w:tcPr>
          <w:p w14:paraId="5F2D37E9" w14:textId="77777777" w:rsidR="00E836FB" w:rsidRDefault="00E836FB">
            <w:pPr>
              <w:rPr>
                <w:rFonts w:ascii="宋体"/>
              </w:rPr>
            </w:pPr>
          </w:p>
        </w:tc>
        <w:tc>
          <w:tcPr>
            <w:tcW w:w="0" w:type="auto"/>
            <w:shd w:val="clear" w:color="auto" w:fill="auto"/>
            <w:vAlign w:val="bottom"/>
          </w:tcPr>
          <w:p w14:paraId="5F2D37EA" w14:textId="77777777" w:rsidR="00E836FB" w:rsidRDefault="00E836FB">
            <w:pPr>
              <w:rPr>
                <w:rFonts w:ascii="宋体"/>
              </w:rPr>
            </w:pPr>
          </w:p>
        </w:tc>
        <w:tc>
          <w:tcPr>
            <w:tcW w:w="0" w:type="auto"/>
            <w:shd w:val="clear" w:color="auto" w:fill="auto"/>
            <w:vAlign w:val="bottom"/>
          </w:tcPr>
          <w:p w14:paraId="5F2D37EB" w14:textId="77777777" w:rsidR="00E836FB" w:rsidRDefault="00E836FB">
            <w:pPr>
              <w:rPr>
                <w:rFonts w:ascii="宋体"/>
              </w:rPr>
            </w:pPr>
          </w:p>
        </w:tc>
        <w:tc>
          <w:tcPr>
            <w:tcW w:w="0" w:type="auto"/>
            <w:shd w:val="clear" w:color="auto" w:fill="auto"/>
            <w:vAlign w:val="bottom"/>
          </w:tcPr>
          <w:p w14:paraId="5F2D37EC" w14:textId="77777777" w:rsidR="00E836FB" w:rsidRDefault="00E836FB">
            <w:pPr>
              <w:rPr>
                <w:rFonts w:ascii="宋体"/>
              </w:rPr>
            </w:pPr>
          </w:p>
        </w:tc>
        <w:tc>
          <w:tcPr>
            <w:tcW w:w="0" w:type="auto"/>
            <w:shd w:val="clear" w:color="auto" w:fill="auto"/>
            <w:vAlign w:val="bottom"/>
          </w:tcPr>
          <w:p w14:paraId="5F2D37ED" w14:textId="77777777" w:rsidR="00E836FB" w:rsidRDefault="00E836FB">
            <w:pPr>
              <w:rPr>
                <w:rFonts w:ascii="宋体"/>
              </w:rPr>
            </w:pPr>
          </w:p>
        </w:tc>
        <w:tc>
          <w:tcPr>
            <w:tcW w:w="0" w:type="auto"/>
            <w:shd w:val="clear" w:color="auto" w:fill="auto"/>
            <w:vAlign w:val="bottom"/>
          </w:tcPr>
          <w:p w14:paraId="5F2D37EE" w14:textId="77777777" w:rsidR="00E836FB" w:rsidRDefault="00E836FB">
            <w:pPr>
              <w:rPr>
                <w:rFonts w:ascii="宋体"/>
              </w:rPr>
            </w:pPr>
          </w:p>
        </w:tc>
      </w:tr>
      <w:tr w:rsidR="00E836FB" w14:paraId="5F2D37FD" w14:textId="77777777">
        <w:trPr>
          <w:trHeight w:val="400"/>
        </w:trPr>
        <w:tc>
          <w:tcPr>
            <w:tcW w:w="0" w:type="auto"/>
            <w:gridSpan w:val="3"/>
            <w:shd w:val="clear" w:color="auto" w:fill="auto"/>
            <w:tcMar>
              <w:top w:w="0" w:type="dxa"/>
              <w:left w:w="20" w:type="dxa"/>
              <w:bottom w:w="0" w:type="dxa"/>
              <w:right w:w="20" w:type="dxa"/>
            </w:tcMar>
            <w:vAlign w:val="bottom"/>
          </w:tcPr>
          <w:p w14:paraId="5F2D37F0" w14:textId="77777777" w:rsidR="00E836FB" w:rsidRDefault="00E836F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7F1" w14:textId="77777777" w:rsidR="00E836FB" w:rsidRDefault="00994958">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7F2" w14:textId="77777777" w:rsidR="00E836FB" w:rsidRDefault="00E836F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7F3" w14:textId="77777777" w:rsidR="00E836FB" w:rsidRDefault="00994958">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7F4"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7F5" w14:textId="77777777" w:rsidR="00E836FB" w:rsidRDefault="00994958">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7F6"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37F7" w14:textId="77777777" w:rsidR="00E836FB" w:rsidRDefault="00994958">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5F2D37F8" w14:textId="77777777" w:rsidR="00E836FB" w:rsidRDefault="00E836FB">
            <w:pPr>
              <w:rPr>
                <w:rFonts w:ascii="宋体"/>
                <w:vanish/>
              </w:rPr>
            </w:pPr>
          </w:p>
        </w:tc>
        <w:tc>
          <w:tcPr>
            <w:tcW w:w="0" w:type="auto"/>
            <w:gridSpan w:val="3"/>
            <w:shd w:val="clear" w:color="auto" w:fill="auto"/>
            <w:vAlign w:val="bottom"/>
          </w:tcPr>
          <w:p w14:paraId="5F2D37F9" w14:textId="77777777" w:rsidR="00E836FB" w:rsidRDefault="00E836FB">
            <w:pPr>
              <w:rPr>
                <w:rFonts w:ascii="宋体"/>
                <w:vanish/>
              </w:rPr>
            </w:pPr>
          </w:p>
        </w:tc>
        <w:tc>
          <w:tcPr>
            <w:tcW w:w="0" w:type="auto"/>
            <w:gridSpan w:val="3"/>
            <w:shd w:val="clear" w:color="auto" w:fill="auto"/>
            <w:vAlign w:val="bottom"/>
          </w:tcPr>
          <w:p w14:paraId="5F2D37FA" w14:textId="77777777" w:rsidR="00E836FB" w:rsidRDefault="00E836FB">
            <w:pPr>
              <w:rPr>
                <w:rFonts w:ascii="宋体"/>
                <w:vanish/>
              </w:rPr>
            </w:pPr>
          </w:p>
        </w:tc>
        <w:tc>
          <w:tcPr>
            <w:tcW w:w="0" w:type="auto"/>
            <w:gridSpan w:val="3"/>
            <w:shd w:val="clear" w:color="auto" w:fill="auto"/>
            <w:vAlign w:val="bottom"/>
          </w:tcPr>
          <w:p w14:paraId="5F2D37FB" w14:textId="77777777" w:rsidR="00E836FB" w:rsidRDefault="00E836FB">
            <w:pPr>
              <w:rPr>
                <w:rFonts w:ascii="宋体"/>
                <w:vanish/>
              </w:rPr>
            </w:pPr>
          </w:p>
        </w:tc>
        <w:tc>
          <w:tcPr>
            <w:tcW w:w="0" w:type="auto"/>
            <w:gridSpan w:val="3"/>
            <w:shd w:val="clear" w:color="auto" w:fill="auto"/>
            <w:vAlign w:val="bottom"/>
          </w:tcPr>
          <w:p w14:paraId="5F2D37FC" w14:textId="77777777" w:rsidR="00E836FB" w:rsidRDefault="00E836FB">
            <w:pPr>
              <w:rPr>
                <w:rFonts w:ascii="宋体"/>
                <w:vanish/>
              </w:rPr>
            </w:pPr>
          </w:p>
        </w:tc>
      </w:tr>
      <w:tr w:rsidR="00E836FB" w14:paraId="5F2D380D" w14:textId="77777777">
        <w:trPr>
          <w:trHeight w:val="540"/>
        </w:trPr>
        <w:tc>
          <w:tcPr>
            <w:tcW w:w="0" w:type="auto"/>
            <w:gridSpan w:val="3"/>
            <w:shd w:val="clear" w:color="auto" w:fill="auto"/>
            <w:tcMar>
              <w:top w:w="40" w:type="dxa"/>
              <w:left w:w="20" w:type="dxa"/>
              <w:bottom w:w="40" w:type="dxa"/>
              <w:right w:w="20" w:type="dxa"/>
            </w:tcMar>
            <w:vAlign w:val="bottom"/>
          </w:tcPr>
          <w:p w14:paraId="5F2D37FE"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7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800" w14:textId="77777777" w:rsidR="00E836FB" w:rsidRDefault="00E836FB">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380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802"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803"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380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805" w14:textId="77777777" w:rsidR="00E836FB" w:rsidRDefault="00994958">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80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807" w14:textId="77777777" w:rsidR="00E836FB" w:rsidRDefault="00994958">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5F2D3808" w14:textId="77777777" w:rsidR="00E836FB" w:rsidRDefault="00E836FB">
            <w:pPr>
              <w:rPr>
                <w:rFonts w:ascii="宋体"/>
                <w:vanish/>
              </w:rPr>
            </w:pPr>
          </w:p>
        </w:tc>
        <w:tc>
          <w:tcPr>
            <w:tcW w:w="0" w:type="auto"/>
            <w:gridSpan w:val="3"/>
            <w:shd w:val="clear" w:color="auto" w:fill="auto"/>
            <w:vAlign w:val="bottom"/>
          </w:tcPr>
          <w:p w14:paraId="5F2D3809" w14:textId="77777777" w:rsidR="00E836FB" w:rsidRDefault="00E836FB">
            <w:pPr>
              <w:rPr>
                <w:rFonts w:ascii="宋体"/>
                <w:vanish/>
              </w:rPr>
            </w:pPr>
          </w:p>
        </w:tc>
        <w:tc>
          <w:tcPr>
            <w:tcW w:w="0" w:type="auto"/>
            <w:gridSpan w:val="3"/>
            <w:shd w:val="clear" w:color="auto" w:fill="auto"/>
            <w:vAlign w:val="bottom"/>
          </w:tcPr>
          <w:p w14:paraId="5F2D380A" w14:textId="77777777" w:rsidR="00E836FB" w:rsidRDefault="00E836FB">
            <w:pPr>
              <w:rPr>
                <w:rFonts w:ascii="宋体"/>
                <w:vanish/>
              </w:rPr>
            </w:pPr>
          </w:p>
        </w:tc>
        <w:tc>
          <w:tcPr>
            <w:tcW w:w="0" w:type="auto"/>
            <w:gridSpan w:val="3"/>
            <w:shd w:val="clear" w:color="auto" w:fill="auto"/>
            <w:vAlign w:val="bottom"/>
          </w:tcPr>
          <w:p w14:paraId="5F2D380B" w14:textId="77777777" w:rsidR="00E836FB" w:rsidRDefault="00E836FB">
            <w:pPr>
              <w:rPr>
                <w:rFonts w:ascii="宋体"/>
                <w:vanish/>
              </w:rPr>
            </w:pPr>
          </w:p>
        </w:tc>
        <w:tc>
          <w:tcPr>
            <w:tcW w:w="0" w:type="auto"/>
            <w:gridSpan w:val="3"/>
            <w:shd w:val="clear" w:color="auto" w:fill="auto"/>
            <w:vAlign w:val="bottom"/>
          </w:tcPr>
          <w:p w14:paraId="5F2D380C" w14:textId="77777777" w:rsidR="00E836FB" w:rsidRDefault="00E836FB">
            <w:pPr>
              <w:rPr>
                <w:rFonts w:ascii="宋体"/>
                <w:vanish/>
              </w:rPr>
            </w:pPr>
          </w:p>
        </w:tc>
      </w:tr>
      <w:tr w:rsidR="00E836FB" w14:paraId="5F2D381A" w14:textId="77777777">
        <w:tc>
          <w:tcPr>
            <w:tcW w:w="0" w:type="auto"/>
            <w:gridSpan w:val="12"/>
            <w:shd w:val="clear" w:color="auto" w:fill="auto"/>
            <w:tcMar>
              <w:top w:w="40" w:type="dxa"/>
              <w:left w:w="20" w:type="dxa"/>
              <w:bottom w:w="40" w:type="dxa"/>
              <w:right w:w="20" w:type="dxa"/>
            </w:tcMar>
            <w:vAlign w:val="bottom"/>
          </w:tcPr>
          <w:p w14:paraId="5F2D380E" w14:textId="77777777" w:rsidR="00E836FB" w:rsidRDefault="00994958">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5F2D380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81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81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81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81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814" w14:textId="77777777" w:rsidR="00E836FB" w:rsidRDefault="00E836FB">
            <w:pPr>
              <w:rPr>
                <w:rFonts w:ascii="宋体"/>
              </w:rPr>
            </w:pPr>
          </w:p>
        </w:tc>
        <w:tc>
          <w:tcPr>
            <w:tcW w:w="0" w:type="auto"/>
            <w:shd w:val="clear" w:color="auto" w:fill="auto"/>
            <w:vAlign w:val="bottom"/>
          </w:tcPr>
          <w:p w14:paraId="5F2D3815" w14:textId="77777777" w:rsidR="00E836FB" w:rsidRDefault="00E836FB">
            <w:pPr>
              <w:rPr>
                <w:rFonts w:ascii="宋体"/>
                <w:vanish/>
              </w:rPr>
            </w:pPr>
          </w:p>
        </w:tc>
        <w:tc>
          <w:tcPr>
            <w:tcW w:w="0" w:type="auto"/>
            <w:gridSpan w:val="3"/>
            <w:shd w:val="clear" w:color="auto" w:fill="auto"/>
            <w:vAlign w:val="bottom"/>
          </w:tcPr>
          <w:p w14:paraId="5F2D3816" w14:textId="77777777" w:rsidR="00E836FB" w:rsidRDefault="00E836FB">
            <w:pPr>
              <w:rPr>
                <w:rFonts w:ascii="宋体"/>
                <w:vanish/>
              </w:rPr>
            </w:pPr>
          </w:p>
        </w:tc>
        <w:tc>
          <w:tcPr>
            <w:tcW w:w="0" w:type="auto"/>
            <w:gridSpan w:val="3"/>
            <w:shd w:val="clear" w:color="auto" w:fill="auto"/>
            <w:vAlign w:val="bottom"/>
          </w:tcPr>
          <w:p w14:paraId="5F2D3817" w14:textId="77777777" w:rsidR="00E836FB" w:rsidRDefault="00E836FB">
            <w:pPr>
              <w:rPr>
                <w:rFonts w:ascii="宋体"/>
                <w:vanish/>
              </w:rPr>
            </w:pPr>
          </w:p>
        </w:tc>
        <w:tc>
          <w:tcPr>
            <w:tcW w:w="0" w:type="auto"/>
            <w:gridSpan w:val="3"/>
            <w:shd w:val="clear" w:color="auto" w:fill="auto"/>
            <w:vAlign w:val="bottom"/>
          </w:tcPr>
          <w:p w14:paraId="5F2D3818" w14:textId="77777777" w:rsidR="00E836FB" w:rsidRDefault="00E836FB">
            <w:pPr>
              <w:rPr>
                <w:rFonts w:ascii="宋体"/>
                <w:vanish/>
              </w:rPr>
            </w:pPr>
          </w:p>
        </w:tc>
        <w:tc>
          <w:tcPr>
            <w:tcW w:w="0" w:type="auto"/>
            <w:gridSpan w:val="3"/>
            <w:shd w:val="clear" w:color="auto" w:fill="auto"/>
            <w:vAlign w:val="bottom"/>
          </w:tcPr>
          <w:p w14:paraId="5F2D3819" w14:textId="77777777" w:rsidR="00E836FB" w:rsidRDefault="00E836FB">
            <w:pPr>
              <w:rPr>
                <w:rFonts w:ascii="宋体"/>
                <w:vanish/>
              </w:rPr>
            </w:pPr>
          </w:p>
        </w:tc>
      </w:tr>
      <w:tr w:rsidR="00E836FB" w14:paraId="5F2D3834" w14:textId="77777777">
        <w:tc>
          <w:tcPr>
            <w:tcW w:w="0" w:type="auto"/>
            <w:gridSpan w:val="3"/>
            <w:shd w:val="clear" w:color="auto" w:fill="CCEEFF"/>
            <w:tcMar>
              <w:top w:w="40" w:type="dxa"/>
              <w:left w:w="20" w:type="dxa"/>
              <w:bottom w:w="40" w:type="dxa"/>
              <w:right w:w="20" w:type="dxa"/>
            </w:tcMar>
            <w:vAlign w:val="bottom"/>
          </w:tcPr>
          <w:p w14:paraId="5F2D381B" w14:textId="77777777" w:rsidR="00E836FB" w:rsidRDefault="00994958">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F2D381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81D" w14:textId="77777777" w:rsidR="00E836FB" w:rsidRDefault="00994958">
            <w:pPr>
              <w:jc w:val="right"/>
              <w:textAlignment w:val="bottom"/>
            </w:pPr>
            <w:r>
              <w:rPr>
                <w:rFonts w:ascii="Arial" w:eastAsia="宋体" w:hAnsi="Arial" w:cs="Arial"/>
                <w:b/>
                <w:bCs/>
                <w:color w:val="000000"/>
                <w:sz w:val="15"/>
                <w:szCs w:val="15"/>
              </w:rPr>
              <w:t>15,825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1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820"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821" w14:textId="77777777" w:rsidR="00E836FB" w:rsidRDefault="00994958">
            <w:pPr>
              <w:jc w:val="right"/>
              <w:textAlignment w:val="bottom"/>
            </w:pPr>
            <w:r>
              <w:rPr>
                <w:rFonts w:ascii="Arial" w:eastAsia="宋体" w:hAnsi="Arial" w:cs="Arial"/>
                <w:b/>
                <w:bCs/>
                <w:color w:val="000000"/>
                <w:sz w:val="15"/>
                <w:szCs w:val="15"/>
              </w:rPr>
              <w:t>(9,113)</w:t>
            </w:r>
          </w:p>
        </w:tc>
        <w:tc>
          <w:tcPr>
            <w:tcW w:w="0" w:type="auto"/>
            <w:shd w:val="clear" w:color="auto" w:fill="CCEEFF"/>
            <w:tcMar>
              <w:top w:w="40" w:type="dxa"/>
              <w:left w:w="0" w:type="dxa"/>
              <w:bottom w:w="40" w:type="dxa"/>
              <w:right w:w="20" w:type="dxa"/>
            </w:tcMar>
            <w:vAlign w:val="bottom"/>
          </w:tcPr>
          <w:p w14:paraId="5F2D38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2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824"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825" w14:textId="77777777" w:rsidR="00E836FB" w:rsidRDefault="00994958">
            <w:pPr>
              <w:jc w:val="right"/>
              <w:textAlignment w:val="bottom"/>
            </w:pPr>
            <w:r>
              <w:rPr>
                <w:rFonts w:ascii="Arial" w:eastAsia="宋体" w:hAnsi="Arial" w:cs="Arial"/>
                <w:b/>
                <w:bCs/>
                <w:color w:val="000000"/>
                <w:sz w:val="15"/>
                <w:szCs w:val="15"/>
              </w:rPr>
              <w:t>6,712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2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828"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829"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2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82C"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82D" w14:textId="77777777" w:rsidR="00E836FB" w:rsidRDefault="00994958">
            <w:pPr>
              <w:jc w:val="right"/>
              <w:textAlignment w:val="bottom"/>
            </w:pPr>
            <w:r>
              <w:rPr>
                <w:rFonts w:ascii="Arial" w:eastAsia="宋体" w:hAnsi="Arial" w:cs="Arial"/>
                <w:b/>
                <w:bCs/>
                <w:color w:val="000000"/>
                <w:sz w:val="15"/>
                <w:szCs w:val="15"/>
              </w:rPr>
              <w:t>6,712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2E" w14:textId="77777777" w:rsidR="00E836FB" w:rsidRDefault="00E836FB">
            <w:pPr>
              <w:jc w:val="right"/>
              <w:rPr>
                <w:rFonts w:ascii="宋体"/>
              </w:rPr>
            </w:pPr>
          </w:p>
        </w:tc>
        <w:tc>
          <w:tcPr>
            <w:tcW w:w="0" w:type="auto"/>
            <w:shd w:val="clear" w:color="auto" w:fill="auto"/>
            <w:vAlign w:val="bottom"/>
          </w:tcPr>
          <w:p w14:paraId="5F2D382F" w14:textId="77777777" w:rsidR="00E836FB" w:rsidRDefault="00E836FB">
            <w:pPr>
              <w:rPr>
                <w:rFonts w:ascii="宋体"/>
                <w:vanish/>
              </w:rPr>
            </w:pPr>
          </w:p>
        </w:tc>
        <w:tc>
          <w:tcPr>
            <w:tcW w:w="0" w:type="auto"/>
            <w:gridSpan w:val="3"/>
            <w:shd w:val="clear" w:color="auto" w:fill="auto"/>
            <w:vAlign w:val="bottom"/>
          </w:tcPr>
          <w:p w14:paraId="5F2D3830" w14:textId="77777777" w:rsidR="00E836FB" w:rsidRDefault="00E836FB">
            <w:pPr>
              <w:rPr>
                <w:rFonts w:ascii="宋体"/>
                <w:vanish/>
              </w:rPr>
            </w:pPr>
          </w:p>
        </w:tc>
        <w:tc>
          <w:tcPr>
            <w:tcW w:w="0" w:type="auto"/>
            <w:gridSpan w:val="3"/>
            <w:shd w:val="clear" w:color="auto" w:fill="auto"/>
            <w:vAlign w:val="bottom"/>
          </w:tcPr>
          <w:p w14:paraId="5F2D3831" w14:textId="77777777" w:rsidR="00E836FB" w:rsidRDefault="00E836FB">
            <w:pPr>
              <w:rPr>
                <w:rFonts w:ascii="宋体"/>
                <w:vanish/>
              </w:rPr>
            </w:pPr>
          </w:p>
        </w:tc>
        <w:tc>
          <w:tcPr>
            <w:tcW w:w="0" w:type="auto"/>
            <w:gridSpan w:val="3"/>
            <w:shd w:val="clear" w:color="auto" w:fill="auto"/>
            <w:vAlign w:val="bottom"/>
          </w:tcPr>
          <w:p w14:paraId="5F2D3832" w14:textId="77777777" w:rsidR="00E836FB" w:rsidRDefault="00E836FB">
            <w:pPr>
              <w:rPr>
                <w:rFonts w:ascii="宋体"/>
                <w:vanish/>
              </w:rPr>
            </w:pPr>
          </w:p>
        </w:tc>
        <w:tc>
          <w:tcPr>
            <w:tcW w:w="0" w:type="auto"/>
            <w:gridSpan w:val="3"/>
            <w:shd w:val="clear" w:color="auto" w:fill="auto"/>
            <w:vAlign w:val="bottom"/>
          </w:tcPr>
          <w:p w14:paraId="5F2D3833" w14:textId="77777777" w:rsidR="00E836FB" w:rsidRDefault="00E836FB">
            <w:pPr>
              <w:rPr>
                <w:rFonts w:ascii="宋体"/>
                <w:vanish/>
              </w:rPr>
            </w:pPr>
          </w:p>
        </w:tc>
      </w:tr>
      <w:tr w:rsidR="00E836FB" w14:paraId="5F2D3849" w14:textId="77777777">
        <w:tc>
          <w:tcPr>
            <w:tcW w:w="0" w:type="auto"/>
            <w:gridSpan w:val="3"/>
            <w:shd w:val="clear" w:color="auto" w:fill="FFFFFF"/>
            <w:tcMar>
              <w:top w:w="40" w:type="dxa"/>
              <w:left w:w="20" w:type="dxa"/>
              <w:bottom w:w="40" w:type="dxa"/>
              <w:right w:w="20" w:type="dxa"/>
            </w:tcMar>
            <w:vAlign w:val="bottom"/>
          </w:tcPr>
          <w:p w14:paraId="5F2D3835" w14:textId="77777777" w:rsidR="00E836FB" w:rsidRDefault="00994958">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F2D3836"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8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3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39"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8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3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3C"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8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3F"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8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4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843" w14:textId="77777777" w:rsidR="00E836FB" w:rsidRDefault="00E836FB">
            <w:pPr>
              <w:jc w:val="right"/>
              <w:rPr>
                <w:rFonts w:ascii="宋体"/>
              </w:rPr>
            </w:pPr>
          </w:p>
        </w:tc>
        <w:tc>
          <w:tcPr>
            <w:tcW w:w="0" w:type="auto"/>
            <w:shd w:val="clear" w:color="auto" w:fill="auto"/>
            <w:vAlign w:val="bottom"/>
          </w:tcPr>
          <w:p w14:paraId="5F2D3844" w14:textId="77777777" w:rsidR="00E836FB" w:rsidRDefault="00E836FB">
            <w:pPr>
              <w:rPr>
                <w:rFonts w:ascii="宋体"/>
                <w:vanish/>
              </w:rPr>
            </w:pPr>
          </w:p>
        </w:tc>
        <w:tc>
          <w:tcPr>
            <w:tcW w:w="0" w:type="auto"/>
            <w:gridSpan w:val="3"/>
            <w:shd w:val="clear" w:color="auto" w:fill="auto"/>
            <w:vAlign w:val="bottom"/>
          </w:tcPr>
          <w:p w14:paraId="5F2D3845" w14:textId="77777777" w:rsidR="00E836FB" w:rsidRDefault="00E836FB">
            <w:pPr>
              <w:rPr>
                <w:rFonts w:ascii="宋体"/>
                <w:vanish/>
              </w:rPr>
            </w:pPr>
          </w:p>
        </w:tc>
        <w:tc>
          <w:tcPr>
            <w:tcW w:w="0" w:type="auto"/>
            <w:gridSpan w:val="3"/>
            <w:shd w:val="clear" w:color="auto" w:fill="auto"/>
            <w:vAlign w:val="bottom"/>
          </w:tcPr>
          <w:p w14:paraId="5F2D3846" w14:textId="77777777" w:rsidR="00E836FB" w:rsidRDefault="00E836FB">
            <w:pPr>
              <w:rPr>
                <w:rFonts w:ascii="宋体"/>
                <w:vanish/>
              </w:rPr>
            </w:pPr>
          </w:p>
        </w:tc>
        <w:tc>
          <w:tcPr>
            <w:tcW w:w="0" w:type="auto"/>
            <w:gridSpan w:val="3"/>
            <w:shd w:val="clear" w:color="auto" w:fill="auto"/>
            <w:vAlign w:val="bottom"/>
          </w:tcPr>
          <w:p w14:paraId="5F2D3847" w14:textId="77777777" w:rsidR="00E836FB" w:rsidRDefault="00E836FB">
            <w:pPr>
              <w:rPr>
                <w:rFonts w:ascii="宋体"/>
                <w:vanish/>
              </w:rPr>
            </w:pPr>
          </w:p>
        </w:tc>
        <w:tc>
          <w:tcPr>
            <w:tcW w:w="0" w:type="auto"/>
            <w:gridSpan w:val="3"/>
            <w:shd w:val="clear" w:color="auto" w:fill="auto"/>
            <w:vAlign w:val="bottom"/>
          </w:tcPr>
          <w:p w14:paraId="5F2D3848" w14:textId="77777777" w:rsidR="00E836FB" w:rsidRDefault="00E836FB">
            <w:pPr>
              <w:rPr>
                <w:rFonts w:ascii="宋体"/>
                <w:vanish/>
              </w:rPr>
            </w:pPr>
          </w:p>
        </w:tc>
      </w:tr>
      <w:tr w:rsidR="00E836FB" w14:paraId="5F2D385E" w14:textId="77777777">
        <w:tc>
          <w:tcPr>
            <w:tcW w:w="0" w:type="auto"/>
            <w:gridSpan w:val="3"/>
            <w:shd w:val="clear" w:color="auto" w:fill="CCEEFF"/>
            <w:tcMar>
              <w:top w:w="40" w:type="dxa"/>
              <w:left w:w="20" w:type="dxa"/>
              <w:bottom w:w="40" w:type="dxa"/>
              <w:right w:w="20" w:type="dxa"/>
            </w:tcMar>
            <w:vAlign w:val="bottom"/>
          </w:tcPr>
          <w:p w14:paraId="5F2D384A" w14:textId="77777777" w:rsidR="00E836FB" w:rsidRDefault="00994958">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F2D384B" w14:textId="77777777" w:rsidR="00E836FB" w:rsidRDefault="00994958">
            <w:pPr>
              <w:jc w:val="right"/>
              <w:textAlignment w:val="bottom"/>
            </w:pPr>
            <w:r>
              <w:rPr>
                <w:rFonts w:ascii="Arial" w:eastAsia="宋体" w:hAnsi="Arial" w:cs="Arial"/>
                <w:b/>
                <w:bCs/>
                <w:color w:val="000000"/>
                <w:sz w:val="15"/>
                <w:szCs w:val="15"/>
              </w:rPr>
              <w:t>301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4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4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51" w14:textId="77777777" w:rsidR="00E836FB" w:rsidRDefault="00994958">
            <w:pPr>
              <w:jc w:val="right"/>
              <w:textAlignment w:val="bottom"/>
            </w:pPr>
            <w:r>
              <w:rPr>
                <w:rFonts w:ascii="Arial" w:eastAsia="宋体" w:hAnsi="Arial" w:cs="Arial"/>
                <w:b/>
                <w:bCs/>
                <w:color w:val="000000"/>
                <w:sz w:val="15"/>
                <w:szCs w:val="15"/>
              </w:rPr>
              <w:t>301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54" w14:textId="77777777" w:rsidR="00E836FB" w:rsidRDefault="00994958">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57" w14:textId="77777777" w:rsidR="00E836FB" w:rsidRDefault="00994958">
            <w:pPr>
              <w:jc w:val="right"/>
              <w:textAlignment w:val="bottom"/>
            </w:pPr>
            <w:r>
              <w:rPr>
                <w:rFonts w:ascii="Arial" w:eastAsia="宋体" w:hAnsi="Arial" w:cs="Arial"/>
                <w:b/>
                <w:bCs/>
                <w:color w:val="000000"/>
                <w:sz w:val="15"/>
                <w:szCs w:val="15"/>
              </w:rPr>
              <w:t>301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58" w14:textId="77777777" w:rsidR="00E836FB" w:rsidRDefault="00E836FB">
            <w:pPr>
              <w:jc w:val="right"/>
              <w:rPr>
                <w:rFonts w:ascii="宋体"/>
              </w:rPr>
            </w:pPr>
          </w:p>
        </w:tc>
        <w:tc>
          <w:tcPr>
            <w:tcW w:w="0" w:type="auto"/>
            <w:shd w:val="clear" w:color="auto" w:fill="auto"/>
            <w:vAlign w:val="bottom"/>
          </w:tcPr>
          <w:p w14:paraId="5F2D3859" w14:textId="77777777" w:rsidR="00E836FB" w:rsidRDefault="00E836FB">
            <w:pPr>
              <w:rPr>
                <w:rFonts w:ascii="宋体"/>
                <w:vanish/>
              </w:rPr>
            </w:pPr>
          </w:p>
        </w:tc>
        <w:tc>
          <w:tcPr>
            <w:tcW w:w="0" w:type="auto"/>
            <w:gridSpan w:val="3"/>
            <w:shd w:val="clear" w:color="auto" w:fill="auto"/>
            <w:vAlign w:val="bottom"/>
          </w:tcPr>
          <w:p w14:paraId="5F2D385A" w14:textId="77777777" w:rsidR="00E836FB" w:rsidRDefault="00E836FB">
            <w:pPr>
              <w:rPr>
                <w:rFonts w:ascii="宋体"/>
                <w:vanish/>
              </w:rPr>
            </w:pPr>
          </w:p>
        </w:tc>
        <w:tc>
          <w:tcPr>
            <w:tcW w:w="0" w:type="auto"/>
            <w:gridSpan w:val="3"/>
            <w:shd w:val="clear" w:color="auto" w:fill="auto"/>
            <w:vAlign w:val="bottom"/>
          </w:tcPr>
          <w:p w14:paraId="5F2D385B" w14:textId="77777777" w:rsidR="00E836FB" w:rsidRDefault="00E836FB">
            <w:pPr>
              <w:rPr>
                <w:rFonts w:ascii="宋体"/>
                <w:vanish/>
              </w:rPr>
            </w:pPr>
          </w:p>
        </w:tc>
        <w:tc>
          <w:tcPr>
            <w:tcW w:w="0" w:type="auto"/>
            <w:gridSpan w:val="3"/>
            <w:shd w:val="clear" w:color="auto" w:fill="auto"/>
            <w:vAlign w:val="bottom"/>
          </w:tcPr>
          <w:p w14:paraId="5F2D385C" w14:textId="77777777" w:rsidR="00E836FB" w:rsidRDefault="00E836FB">
            <w:pPr>
              <w:rPr>
                <w:rFonts w:ascii="宋体"/>
                <w:vanish/>
              </w:rPr>
            </w:pPr>
          </w:p>
        </w:tc>
        <w:tc>
          <w:tcPr>
            <w:tcW w:w="0" w:type="auto"/>
            <w:gridSpan w:val="3"/>
            <w:shd w:val="clear" w:color="auto" w:fill="auto"/>
            <w:vAlign w:val="bottom"/>
          </w:tcPr>
          <w:p w14:paraId="5F2D385D" w14:textId="77777777" w:rsidR="00E836FB" w:rsidRDefault="00E836FB">
            <w:pPr>
              <w:rPr>
                <w:rFonts w:ascii="宋体"/>
                <w:vanish/>
              </w:rPr>
            </w:pPr>
          </w:p>
        </w:tc>
      </w:tr>
      <w:tr w:rsidR="00E836FB" w14:paraId="5F2D3872" w14:textId="77777777">
        <w:tc>
          <w:tcPr>
            <w:tcW w:w="0" w:type="auto"/>
            <w:gridSpan w:val="3"/>
            <w:shd w:val="clear" w:color="auto" w:fill="FFFFFF"/>
            <w:tcMar>
              <w:top w:w="40" w:type="dxa"/>
              <w:left w:w="20" w:type="dxa"/>
              <w:bottom w:w="40" w:type="dxa"/>
              <w:right w:w="20" w:type="dxa"/>
            </w:tcMar>
            <w:vAlign w:val="bottom"/>
          </w:tcPr>
          <w:p w14:paraId="5F2D385F" w14:textId="77777777" w:rsidR="00E836FB" w:rsidRDefault="00994958">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5F2D3860" w14:textId="77777777" w:rsidR="00E836FB" w:rsidRDefault="00994958">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vAlign w:val="bottom"/>
          </w:tcPr>
          <w:p w14:paraId="5F2D38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62" w14:textId="77777777" w:rsidR="00E836FB" w:rsidRDefault="00994958">
            <w:pPr>
              <w:jc w:val="right"/>
              <w:textAlignment w:val="bottom"/>
            </w:pPr>
            <w:r>
              <w:rPr>
                <w:rFonts w:ascii="Arial" w:eastAsia="宋体" w:hAnsi="Arial" w:cs="Arial"/>
                <w:b/>
                <w:bCs/>
                <w:color w:val="000000"/>
                <w:sz w:val="15"/>
                <w:szCs w:val="15"/>
              </w:rPr>
              <w:t>(1,282)</w:t>
            </w:r>
          </w:p>
        </w:tc>
        <w:tc>
          <w:tcPr>
            <w:tcW w:w="0" w:type="auto"/>
            <w:shd w:val="clear" w:color="auto" w:fill="FFFFFF"/>
            <w:tcMar>
              <w:top w:w="40" w:type="dxa"/>
              <w:left w:w="0" w:type="dxa"/>
              <w:bottom w:w="40" w:type="dxa"/>
              <w:right w:w="20" w:type="dxa"/>
            </w:tcMar>
            <w:vAlign w:val="bottom"/>
          </w:tcPr>
          <w:p w14:paraId="5F2D38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65" w14:textId="77777777" w:rsidR="00E836FB" w:rsidRDefault="00994958">
            <w:pPr>
              <w:jc w:val="right"/>
              <w:textAlignment w:val="bottom"/>
            </w:pPr>
            <w:r>
              <w:rPr>
                <w:rFonts w:ascii="Arial" w:eastAsia="宋体" w:hAnsi="Arial" w:cs="Arial"/>
                <w:b/>
                <w:bCs/>
                <w:color w:val="000000"/>
                <w:sz w:val="15"/>
                <w:szCs w:val="15"/>
              </w:rPr>
              <w:t>(1,282)</w:t>
            </w:r>
          </w:p>
        </w:tc>
        <w:tc>
          <w:tcPr>
            <w:tcW w:w="0" w:type="auto"/>
            <w:shd w:val="clear" w:color="auto" w:fill="FFFFFF"/>
            <w:tcMar>
              <w:top w:w="40" w:type="dxa"/>
              <w:left w:w="0" w:type="dxa"/>
              <w:bottom w:w="40" w:type="dxa"/>
              <w:right w:w="20" w:type="dxa"/>
            </w:tcMar>
            <w:vAlign w:val="bottom"/>
          </w:tcPr>
          <w:p w14:paraId="5F2D38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68" w14:textId="77777777" w:rsidR="00E836FB" w:rsidRDefault="00994958">
            <w:pPr>
              <w:jc w:val="right"/>
              <w:textAlignment w:val="bottom"/>
            </w:pPr>
            <w:r>
              <w:rPr>
                <w:rFonts w:ascii="Arial" w:eastAsia="宋体" w:hAnsi="Arial" w:cs="Arial"/>
                <w:b/>
                <w:bCs/>
                <w:color w:val="000000"/>
                <w:sz w:val="15"/>
                <w:szCs w:val="15"/>
              </w:rPr>
              <w:t>(989)</w:t>
            </w:r>
          </w:p>
        </w:tc>
        <w:tc>
          <w:tcPr>
            <w:tcW w:w="0" w:type="auto"/>
            <w:shd w:val="clear" w:color="auto" w:fill="FFFFFF"/>
            <w:tcMar>
              <w:top w:w="40" w:type="dxa"/>
              <w:left w:w="0" w:type="dxa"/>
              <w:bottom w:w="40" w:type="dxa"/>
              <w:right w:w="20" w:type="dxa"/>
            </w:tcMar>
            <w:vAlign w:val="bottom"/>
          </w:tcPr>
          <w:p w14:paraId="5F2D38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86B" w14:textId="77777777" w:rsidR="00E836FB" w:rsidRDefault="00994958">
            <w:pPr>
              <w:jc w:val="right"/>
              <w:textAlignment w:val="bottom"/>
            </w:pPr>
            <w:r>
              <w:rPr>
                <w:rFonts w:ascii="Arial" w:eastAsia="宋体" w:hAnsi="Arial" w:cs="Arial"/>
                <w:b/>
                <w:bCs/>
                <w:color w:val="000000"/>
                <w:sz w:val="15"/>
                <w:szCs w:val="15"/>
              </w:rPr>
              <w:t>(2,271)</w:t>
            </w:r>
          </w:p>
        </w:tc>
        <w:tc>
          <w:tcPr>
            <w:tcW w:w="0" w:type="auto"/>
            <w:shd w:val="clear" w:color="auto" w:fill="FFFFFF"/>
            <w:tcMar>
              <w:top w:w="40" w:type="dxa"/>
              <w:left w:w="0" w:type="dxa"/>
              <w:bottom w:w="40" w:type="dxa"/>
              <w:right w:w="20" w:type="dxa"/>
            </w:tcMar>
            <w:vAlign w:val="bottom"/>
          </w:tcPr>
          <w:p w14:paraId="5F2D386C" w14:textId="77777777" w:rsidR="00E836FB" w:rsidRDefault="00E836FB">
            <w:pPr>
              <w:jc w:val="right"/>
              <w:rPr>
                <w:rFonts w:ascii="宋体"/>
              </w:rPr>
            </w:pPr>
          </w:p>
        </w:tc>
        <w:tc>
          <w:tcPr>
            <w:tcW w:w="0" w:type="auto"/>
            <w:shd w:val="clear" w:color="auto" w:fill="auto"/>
            <w:vAlign w:val="bottom"/>
          </w:tcPr>
          <w:p w14:paraId="5F2D386D" w14:textId="77777777" w:rsidR="00E836FB" w:rsidRDefault="00E836FB">
            <w:pPr>
              <w:rPr>
                <w:rFonts w:ascii="宋体"/>
                <w:vanish/>
              </w:rPr>
            </w:pPr>
          </w:p>
        </w:tc>
        <w:tc>
          <w:tcPr>
            <w:tcW w:w="0" w:type="auto"/>
            <w:gridSpan w:val="3"/>
            <w:shd w:val="clear" w:color="auto" w:fill="auto"/>
            <w:vAlign w:val="bottom"/>
          </w:tcPr>
          <w:p w14:paraId="5F2D386E" w14:textId="77777777" w:rsidR="00E836FB" w:rsidRDefault="00E836FB">
            <w:pPr>
              <w:rPr>
                <w:rFonts w:ascii="宋体"/>
                <w:vanish/>
              </w:rPr>
            </w:pPr>
          </w:p>
        </w:tc>
        <w:tc>
          <w:tcPr>
            <w:tcW w:w="0" w:type="auto"/>
            <w:gridSpan w:val="3"/>
            <w:shd w:val="clear" w:color="auto" w:fill="auto"/>
            <w:vAlign w:val="bottom"/>
          </w:tcPr>
          <w:p w14:paraId="5F2D386F" w14:textId="77777777" w:rsidR="00E836FB" w:rsidRDefault="00E836FB">
            <w:pPr>
              <w:rPr>
                <w:rFonts w:ascii="宋体"/>
                <w:vanish/>
              </w:rPr>
            </w:pPr>
          </w:p>
        </w:tc>
        <w:tc>
          <w:tcPr>
            <w:tcW w:w="0" w:type="auto"/>
            <w:gridSpan w:val="3"/>
            <w:shd w:val="clear" w:color="auto" w:fill="auto"/>
            <w:vAlign w:val="bottom"/>
          </w:tcPr>
          <w:p w14:paraId="5F2D3870" w14:textId="77777777" w:rsidR="00E836FB" w:rsidRDefault="00E836FB">
            <w:pPr>
              <w:rPr>
                <w:rFonts w:ascii="宋体"/>
                <w:vanish/>
              </w:rPr>
            </w:pPr>
          </w:p>
        </w:tc>
        <w:tc>
          <w:tcPr>
            <w:tcW w:w="0" w:type="auto"/>
            <w:gridSpan w:val="3"/>
            <w:shd w:val="clear" w:color="auto" w:fill="auto"/>
            <w:vAlign w:val="bottom"/>
          </w:tcPr>
          <w:p w14:paraId="5F2D3871" w14:textId="77777777" w:rsidR="00E836FB" w:rsidRDefault="00E836FB">
            <w:pPr>
              <w:rPr>
                <w:rFonts w:ascii="宋体"/>
                <w:vanish/>
              </w:rPr>
            </w:pPr>
          </w:p>
        </w:tc>
      </w:tr>
      <w:tr w:rsidR="00E836FB" w14:paraId="5F2D3887" w14:textId="77777777">
        <w:tc>
          <w:tcPr>
            <w:tcW w:w="0" w:type="auto"/>
            <w:gridSpan w:val="3"/>
            <w:shd w:val="clear" w:color="auto" w:fill="CCEEFF"/>
            <w:tcMar>
              <w:top w:w="40" w:type="dxa"/>
              <w:left w:w="20" w:type="dxa"/>
              <w:bottom w:w="40" w:type="dxa"/>
              <w:right w:w="20" w:type="dxa"/>
            </w:tcMar>
            <w:vAlign w:val="bottom"/>
          </w:tcPr>
          <w:p w14:paraId="5F2D3873" w14:textId="77777777" w:rsidR="00E836FB" w:rsidRDefault="00994958">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874" w14:textId="77777777" w:rsidR="00E836FB" w:rsidRDefault="00994958">
            <w:pPr>
              <w:jc w:val="right"/>
              <w:textAlignment w:val="bottom"/>
            </w:pPr>
            <w:r>
              <w:rPr>
                <w:rFonts w:ascii="Arial" w:eastAsia="宋体" w:hAnsi="Arial" w:cs="Arial"/>
                <w:b/>
                <w:bCs/>
                <w:color w:val="000000"/>
                <w:sz w:val="15"/>
                <w:szCs w:val="15"/>
              </w:rPr>
              <w:t>16,126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8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7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877" w14:textId="77777777" w:rsidR="00E836FB" w:rsidRDefault="00994958">
            <w:pPr>
              <w:jc w:val="right"/>
              <w:textAlignment w:val="bottom"/>
            </w:pPr>
            <w:r>
              <w:rPr>
                <w:rFonts w:ascii="Arial" w:eastAsia="宋体" w:hAnsi="Arial" w:cs="Arial"/>
                <w:b/>
                <w:bCs/>
                <w:color w:val="000000"/>
                <w:sz w:val="15"/>
                <w:szCs w:val="15"/>
              </w:rPr>
              <w:t>(10,395)</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8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7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87A" w14:textId="77777777" w:rsidR="00E836FB" w:rsidRDefault="00994958">
            <w:pPr>
              <w:jc w:val="right"/>
              <w:textAlignment w:val="bottom"/>
            </w:pPr>
            <w:r>
              <w:rPr>
                <w:rFonts w:ascii="Arial" w:eastAsia="宋体" w:hAnsi="Arial" w:cs="Arial"/>
                <w:b/>
                <w:bCs/>
                <w:color w:val="000000"/>
                <w:sz w:val="15"/>
                <w:szCs w:val="15"/>
              </w:rPr>
              <w:t>5,731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87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7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87D" w14:textId="77777777" w:rsidR="00E836FB" w:rsidRDefault="00994958">
            <w:pPr>
              <w:jc w:val="right"/>
              <w:textAlignment w:val="bottom"/>
            </w:pPr>
            <w:r>
              <w:rPr>
                <w:rFonts w:ascii="Arial" w:eastAsia="宋体" w:hAnsi="Arial" w:cs="Arial"/>
                <w:b/>
                <w:bCs/>
                <w:color w:val="000000"/>
                <w:sz w:val="15"/>
                <w:szCs w:val="15"/>
              </w:rPr>
              <w:t>(989)</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8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7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880" w14:textId="77777777" w:rsidR="00E836FB" w:rsidRDefault="00994958">
            <w:pPr>
              <w:jc w:val="right"/>
              <w:textAlignment w:val="bottom"/>
            </w:pPr>
            <w:r>
              <w:rPr>
                <w:rFonts w:ascii="Arial" w:eastAsia="宋体" w:hAnsi="Arial" w:cs="Arial"/>
                <w:b/>
                <w:bCs/>
                <w:color w:val="000000"/>
                <w:sz w:val="15"/>
                <w:szCs w:val="15"/>
              </w:rPr>
              <w:t>4,742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881" w14:textId="77777777" w:rsidR="00E836FB" w:rsidRDefault="00E836FB">
            <w:pPr>
              <w:jc w:val="right"/>
              <w:rPr>
                <w:rFonts w:ascii="宋体"/>
              </w:rPr>
            </w:pPr>
          </w:p>
        </w:tc>
        <w:tc>
          <w:tcPr>
            <w:tcW w:w="0" w:type="auto"/>
            <w:shd w:val="clear" w:color="auto" w:fill="auto"/>
            <w:vAlign w:val="bottom"/>
          </w:tcPr>
          <w:p w14:paraId="5F2D3882" w14:textId="77777777" w:rsidR="00E836FB" w:rsidRDefault="00E836FB">
            <w:pPr>
              <w:rPr>
                <w:rFonts w:ascii="宋体"/>
                <w:vanish/>
              </w:rPr>
            </w:pPr>
          </w:p>
        </w:tc>
        <w:tc>
          <w:tcPr>
            <w:tcW w:w="0" w:type="auto"/>
            <w:gridSpan w:val="3"/>
            <w:shd w:val="clear" w:color="auto" w:fill="auto"/>
            <w:vAlign w:val="bottom"/>
          </w:tcPr>
          <w:p w14:paraId="5F2D3883" w14:textId="77777777" w:rsidR="00E836FB" w:rsidRDefault="00E836FB">
            <w:pPr>
              <w:rPr>
                <w:rFonts w:ascii="宋体"/>
                <w:vanish/>
              </w:rPr>
            </w:pPr>
          </w:p>
        </w:tc>
        <w:tc>
          <w:tcPr>
            <w:tcW w:w="0" w:type="auto"/>
            <w:gridSpan w:val="3"/>
            <w:shd w:val="clear" w:color="auto" w:fill="auto"/>
            <w:vAlign w:val="bottom"/>
          </w:tcPr>
          <w:p w14:paraId="5F2D3884" w14:textId="77777777" w:rsidR="00E836FB" w:rsidRDefault="00E836FB">
            <w:pPr>
              <w:rPr>
                <w:rFonts w:ascii="宋体"/>
                <w:vanish/>
              </w:rPr>
            </w:pPr>
          </w:p>
        </w:tc>
        <w:tc>
          <w:tcPr>
            <w:tcW w:w="0" w:type="auto"/>
            <w:gridSpan w:val="3"/>
            <w:shd w:val="clear" w:color="auto" w:fill="auto"/>
            <w:vAlign w:val="bottom"/>
          </w:tcPr>
          <w:p w14:paraId="5F2D3885" w14:textId="77777777" w:rsidR="00E836FB" w:rsidRDefault="00E836FB">
            <w:pPr>
              <w:rPr>
                <w:rFonts w:ascii="宋体"/>
                <w:vanish/>
              </w:rPr>
            </w:pPr>
          </w:p>
        </w:tc>
        <w:tc>
          <w:tcPr>
            <w:tcW w:w="0" w:type="auto"/>
            <w:gridSpan w:val="3"/>
            <w:shd w:val="clear" w:color="auto" w:fill="auto"/>
            <w:vAlign w:val="bottom"/>
          </w:tcPr>
          <w:p w14:paraId="5F2D3886" w14:textId="77777777" w:rsidR="00E836FB" w:rsidRDefault="00E836FB">
            <w:pPr>
              <w:rPr>
                <w:rFonts w:ascii="宋体"/>
                <w:vanish/>
              </w:rPr>
            </w:pPr>
          </w:p>
        </w:tc>
      </w:tr>
      <w:tr w:rsidR="00E836FB" w14:paraId="5F2D3897" w14:textId="77777777">
        <w:tc>
          <w:tcPr>
            <w:tcW w:w="0" w:type="auto"/>
            <w:gridSpan w:val="3"/>
            <w:shd w:val="clear" w:color="auto" w:fill="FFFFFF"/>
            <w:tcMar>
              <w:top w:w="40" w:type="dxa"/>
              <w:left w:w="20" w:type="dxa"/>
              <w:bottom w:w="40" w:type="dxa"/>
              <w:right w:w="20" w:type="dxa"/>
            </w:tcMar>
            <w:vAlign w:val="bottom"/>
          </w:tcPr>
          <w:p w14:paraId="5F2D3888" w14:textId="77777777" w:rsidR="00E836FB" w:rsidRDefault="00994958">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5F2D388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8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8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8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8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8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8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9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891" w14:textId="77777777" w:rsidR="00E836FB" w:rsidRDefault="00E836FB">
            <w:pPr>
              <w:rPr>
                <w:rFonts w:ascii="宋体"/>
              </w:rPr>
            </w:pPr>
          </w:p>
        </w:tc>
        <w:tc>
          <w:tcPr>
            <w:tcW w:w="0" w:type="auto"/>
            <w:shd w:val="clear" w:color="auto" w:fill="auto"/>
            <w:vAlign w:val="bottom"/>
          </w:tcPr>
          <w:p w14:paraId="5F2D3892" w14:textId="77777777" w:rsidR="00E836FB" w:rsidRDefault="00E836FB">
            <w:pPr>
              <w:rPr>
                <w:rFonts w:ascii="宋体"/>
                <w:vanish/>
              </w:rPr>
            </w:pPr>
          </w:p>
        </w:tc>
        <w:tc>
          <w:tcPr>
            <w:tcW w:w="0" w:type="auto"/>
            <w:gridSpan w:val="3"/>
            <w:shd w:val="clear" w:color="auto" w:fill="auto"/>
            <w:vAlign w:val="bottom"/>
          </w:tcPr>
          <w:p w14:paraId="5F2D3893" w14:textId="77777777" w:rsidR="00E836FB" w:rsidRDefault="00E836FB">
            <w:pPr>
              <w:rPr>
                <w:rFonts w:ascii="宋体"/>
                <w:vanish/>
              </w:rPr>
            </w:pPr>
          </w:p>
        </w:tc>
        <w:tc>
          <w:tcPr>
            <w:tcW w:w="0" w:type="auto"/>
            <w:gridSpan w:val="3"/>
            <w:shd w:val="clear" w:color="auto" w:fill="auto"/>
            <w:vAlign w:val="bottom"/>
          </w:tcPr>
          <w:p w14:paraId="5F2D3894" w14:textId="77777777" w:rsidR="00E836FB" w:rsidRDefault="00E836FB">
            <w:pPr>
              <w:rPr>
                <w:rFonts w:ascii="宋体"/>
                <w:vanish/>
              </w:rPr>
            </w:pPr>
          </w:p>
        </w:tc>
        <w:tc>
          <w:tcPr>
            <w:tcW w:w="0" w:type="auto"/>
            <w:gridSpan w:val="3"/>
            <w:shd w:val="clear" w:color="auto" w:fill="auto"/>
            <w:vAlign w:val="bottom"/>
          </w:tcPr>
          <w:p w14:paraId="5F2D3895" w14:textId="77777777" w:rsidR="00E836FB" w:rsidRDefault="00E836FB">
            <w:pPr>
              <w:rPr>
                <w:rFonts w:ascii="宋体"/>
                <w:vanish/>
              </w:rPr>
            </w:pPr>
          </w:p>
        </w:tc>
        <w:tc>
          <w:tcPr>
            <w:tcW w:w="0" w:type="auto"/>
            <w:gridSpan w:val="3"/>
            <w:shd w:val="clear" w:color="auto" w:fill="auto"/>
            <w:vAlign w:val="bottom"/>
          </w:tcPr>
          <w:p w14:paraId="5F2D3896" w14:textId="77777777" w:rsidR="00E836FB" w:rsidRDefault="00E836FB">
            <w:pPr>
              <w:rPr>
                <w:rFonts w:ascii="宋体"/>
                <w:vanish/>
              </w:rPr>
            </w:pPr>
          </w:p>
        </w:tc>
      </w:tr>
      <w:tr w:rsidR="00E836FB" w14:paraId="5F2D38A7" w14:textId="77777777">
        <w:trPr>
          <w:hidden/>
        </w:trPr>
        <w:tc>
          <w:tcPr>
            <w:tcW w:w="0" w:type="auto"/>
            <w:gridSpan w:val="3"/>
            <w:shd w:val="clear" w:color="auto" w:fill="auto"/>
            <w:vAlign w:val="bottom"/>
          </w:tcPr>
          <w:p w14:paraId="5F2D3898" w14:textId="77777777" w:rsidR="00E836FB" w:rsidRDefault="00E836FB">
            <w:pPr>
              <w:rPr>
                <w:rFonts w:ascii="宋体"/>
                <w:vanish/>
              </w:rPr>
            </w:pPr>
          </w:p>
        </w:tc>
        <w:tc>
          <w:tcPr>
            <w:tcW w:w="0" w:type="auto"/>
            <w:gridSpan w:val="3"/>
            <w:shd w:val="clear" w:color="auto" w:fill="auto"/>
            <w:vAlign w:val="bottom"/>
          </w:tcPr>
          <w:p w14:paraId="5F2D3899" w14:textId="77777777" w:rsidR="00E836FB" w:rsidRDefault="00E836FB">
            <w:pPr>
              <w:rPr>
                <w:rFonts w:ascii="宋体"/>
                <w:vanish/>
              </w:rPr>
            </w:pPr>
          </w:p>
        </w:tc>
        <w:tc>
          <w:tcPr>
            <w:tcW w:w="0" w:type="auto"/>
            <w:gridSpan w:val="3"/>
            <w:shd w:val="clear" w:color="auto" w:fill="auto"/>
            <w:vAlign w:val="bottom"/>
          </w:tcPr>
          <w:p w14:paraId="5F2D389A" w14:textId="77777777" w:rsidR="00E836FB" w:rsidRDefault="00E836FB">
            <w:pPr>
              <w:rPr>
                <w:rFonts w:ascii="宋体"/>
                <w:vanish/>
              </w:rPr>
            </w:pPr>
          </w:p>
        </w:tc>
        <w:tc>
          <w:tcPr>
            <w:tcW w:w="0" w:type="auto"/>
            <w:gridSpan w:val="3"/>
            <w:shd w:val="clear" w:color="auto" w:fill="auto"/>
            <w:vAlign w:val="bottom"/>
          </w:tcPr>
          <w:p w14:paraId="5F2D389B" w14:textId="77777777" w:rsidR="00E836FB" w:rsidRDefault="00E836FB">
            <w:pPr>
              <w:rPr>
                <w:rFonts w:ascii="宋体"/>
                <w:vanish/>
              </w:rPr>
            </w:pPr>
          </w:p>
        </w:tc>
        <w:tc>
          <w:tcPr>
            <w:tcW w:w="0" w:type="auto"/>
            <w:gridSpan w:val="3"/>
            <w:shd w:val="clear" w:color="auto" w:fill="auto"/>
            <w:vAlign w:val="bottom"/>
          </w:tcPr>
          <w:p w14:paraId="5F2D389C" w14:textId="77777777" w:rsidR="00E836FB" w:rsidRDefault="00E836FB">
            <w:pPr>
              <w:rPr>
                <w:rFonts w:ascii="宋体"/>
                <w:vanish/>
              </w:rPr>
            </w:pPr>
          </w:p>
        </w:tc>
        <w:tc>
          <w:tcPr>
            <w:tcW w:w="0" w:type="auto"/>
            <w:gridSpan w:val="3"/>
            <w:shd w:val="clear" w:color="auto" w:fill="auto"/>
            <w:vAlign w:val="bottom"/>
          </w:tcPr>
          <w:p w14:paraId="5F2D389D" w14:textId="77777777" w:rsidR="00E836FB" w:rsidRDefault="00E836FB">
            <w:pPr>
              <w:rPr>
                <w:rFonts w:ascii="宋体"/>
                <w:vanish/>
              </w:rPr>
            </w:pPr>
          </w:p>
        </w:tc>
        <w:tc>
          <w:tcPr>
            <w:tcW w:w="0" w:type="auto"/>
            <w:gridSpan w:val="3"/>
            <w:shd w:val="clear" w:color="auto" w:fill="auto"/>
            <w:vAlign w:val="bottom"/>
          </w:tcPr>
          <w:p w14:paraId="5F2D389E" w14:textId="77777777" w:rsidR="00E836FB" w:rsidRDefault="00E836FB">
            <w:pPr>
              <w:rPr>
                <w:rFonts w:ascii="宋体"/>
                <w:vanish/>
              </w:rPr>
            </w:pPr>
          </w:p>
        </w:tc>
        <w:tc>
          <w:tcPr>
            <w:tcW w:w="0" w:type="auto"/>
            <w:gridSpan w:val="3"/>
            <w:shd w:val="clear" w:color="auto" w:fill="auto"/>
            <w:vAlign w:val="bottom"/>
          </w:tcPr>
          <w:p w14:paraId="5F2D389F" w14:textId="77777777" w:rsidR="00E836FB" w:rsidRDefault="00E836FB">
            <w:pPr>
              <w:rPr>
                <w:rFonts w:ascii="宋体"/>
                <w:vanish/>
              </w:rPr>
            </w:pPr>
          </w:p>
        </w:tc>
        <w:tc>
          <w:tcPr>
            <w:tcW w:w="0" w:type="auto"/>
            <w:gridSpan w:val="3"/>
            <w:shd w:val="clear" w:color="auto" w:fill="auto"/>
            <w:vAlign w:val="bottom"/>
          </w:tcPr>
          <w:p w14:paraId="5F2D38A0" w14:textId="77777777" w:rsidR="00E836FB" w:rsidRDefault="00E836FB">
            <w:pPr>
              <w:rPr>
                <w:rFonts w:ascii="宋体"/>
                <w:vanish/>
              </w:rPr>
            </w:pPr>
          </w:p>
        </w:tc>
        <w:tc>
          <w:tcPr>
            <w:tcW w:w="0" w:type="auto"/>
            <w:gridSpan w:val="3"/>
            <w:shd w:val="clear" w:color="auto" w:fill="auto"/>
            <w:vAlign w:val="bottom"/>
          </w:tcPr>
          <w:p w14:paraId="5F2D38A1" w14:textId="77777777" w:rsidR="00E836FB" w:rsidRDefault="00E836FB">
            <w:pPr>
              <w:rPr>
                <w:rFonts w:ascii="宋体"/>
                <w:vanish/>
              </w:rPr>
            </w:pPr>
          </w:p>
        </w:tc>
        <w:tc>
          <w:tcPr>
            <w:tcW w:w="0" w:type="auto"/>
            <w:shd w:val="clear" w:color="auto" w:fill="auto"/>
            <w:vAlign w:val="bottom"/>
          </w:tcPr>
          <w:p w14:paraId="5F2D38A2" w14:textId="77777777" w:rsidR="00E836FB" w:rsidRDefault="00E836FB">
            <w:pPr>
              <w:rPr>
                <w:rFonts w:ascii="宋体"/>
                <w:vanish/>
              </w:rPr>
            </w:pPr>
          </w:p>
        </w:tc>
        <w:tc>
          <w:tcPr>
            <w:tcW w:w="0" w:type="auto"/>
            <w:gridSpan w:val="3"/>
            <w:shd w:val="clear" w:color="auto" w:fill="auto"/>
            <w:vAlign w:val="bottom"/>
          </w:tcPr>
          <w:p w14:paraId="5F2D38A3" w14:textId="77777777" w:rsidR="00E836FB" w:rsidRDefault="00E836FB">
            <w:pPr>
              <w:rPr>
                <w:rFonts w:ascii="宋体"/>
                <w:vanish/>
              </w:rPr>
            </w:pPr>
          </w:p>
        </w:tc>
        <w:tc>
          <w:tcPr>
            <w:tcW w:w="0" w:type="auto"/>
            <w:gridSpan w:val="3"/>
            <w:shd w:val="clear" w:color="auto" w:fill="auto"/>
            <w:vAlign w:val="bottom"/>
          </w:tcPr>
          <w:p w14:paraId="5F2D38A4" w14:textId="77777777" w:rsidR="00E836FB" w:rsidRDefault="00E836FB">
            <w:pPr>
              <w:rPr>
                <w:rFonts w:ascii="宋体"/>
                <w:vanish/>
              </w:rPr>
            </w:pPr>
          </w:p>
        </w:tc>
        <w:tc>
          <w:tcPr>
            <w:tcW w:w="0" w:type="auto"/>
            <w:gridSpan w:val="3"/>
            <w:shd w:val="clear" w:color="auto" w:fill="auto"/>
            <w:vAlign w:val="bottom"/>
          </w:tcPr>
          <w:p w14:paraId="5F2D38A5" w14:textId="77777777" w:rsidR="00E836FB" w:rsidRDefault="00E836FB">
            <w:pPr>
              <w:rPr>
                <w:rFonts w:ascii="宋体"/>
                <w:vanish/>
              </w:rPr>
            </w:pPr>
          </w:p>
        </w:tc>
        <w:tc>
          <w:tcPr>
            <w:tcW w:w="0" w:type="auto"/>
            <w:gridSpan w:val="3"/>
            <w:shd w:val="clear" w:color="auto" w:fill="auto"/>
            <w:vAlign w:val="bottom"/>
          </w:tcPr>
          <w:p w14:paraId="5F2D38A6" w14:textId="77777777" w:rsidR="00E836FB" w:rsidRDefault="00E836FB">
            <w:pPr>
              <w:rPr>
                <w:rFonts w:ascii="宋体"/>
                <w:vanish/>
              </w:rPr>
            </w:pPr>
          </w:p>
        </w:tc>
      </w:tr>
      <w:tr w:rsidR="00E836FB" w14:paraId="5F2D38B7" w14:textId="77777777">
        <w:trPr>
          <w:hidden/>
        </w:trPr>
        <w:tc>
          <w:tcPr>
            <w:tcW w:w="0" w:type="auto"/>
            <w:gridSpan w:val="3"/>
            <w:shd w:val="clear" w:color="auto" w:fill="auto"/>
            <w:vAlign w:val="bottom"/>
          </w:tcPr>
          <w:p w14:paraId="5F2D38A8" w14:textId="77777777" w:rsidR="00E836FB" w:rsidRDefault="00E836FB">
            <w:pPr>
              <w:rPr>
                <w:rFonts w:ascii="宋体"/>
                <w:vanish/>
              </w:rPr>
            </w:pPr>
          </w:p>
        </w:tc>
        <w:tc>
          <w:tcPr>
            <w:tcW w:w="0" w:type="auto"/>
            <w:gridSpan w:val="3"/>
            <w:shd w:val="clear" w:color="auto" w:fill="auto"/>
            <w:vAlign w:val="bottom"/>
          </w:tcPr>
          <w:p w14:paraId="5F2D38A9" w14:textId="77777777" w:rsidR="00E836FB" w:rsidRDefault="00E836FB">
            <w:pPr>
              <w:rPr>
                <w:rFonts w:ascii="宋体"/>
                <w:vanish/>
              </w:rPr>
            </w:pPr>
          </w:p>
        </w:tc>
        <w:tc>
          <w:tcPr>
            <w:tcW w:w="0" w:type="auto"/>
            <w:gridSpan w:val="3"/>
            <w:shd w:val="clear" w:color="auto" w:fill="auto"/>
            <w:vAlign w:val="bottom"/>
          </w:tcPr>
          <w:p w14:paraId="5F2D38AA" w14:textId="77777777" w:rsidR="00E836FB" w:rsidRDefault="00E836FB">
            <w:pPr>
              <w:rPr>
                <w:rFonts w:ascii="宋体"/>
                <w:vanish/>
              </w:rPr>
            </w:pPr>
          </w:p>
        </w:tc>
        <w:tc>
          <w:tcPr>
            <w:tcW w:w="0" w:type="auto"/>
            <w:gridSpan w:val="3"/>
            <w:shd w:val="clear" w:color="auto" w:fill="auto"/>
            <w:vAlign w:val="bottom"/>
          </w:tcPr>
          <w:p w14:paraId="5F2D38AB" w14:textId="77777777" w:rsidR="00E836FB" w:rsidRDefault="00E836FB">
            <w:pPr>
              <w:rPr>
                <w:rFonts w:ascii="宋体"/>
                <w:vanish/>
              </w:rPr>
            </w:pPr>
          </w:p>
        </w:tc>
        <w:tc>
          <w:tcPr>
            <w:tcW w:w="0" w:type="auto"/>
            <w:gridSpan w:val="3"/>
            <w:shd w:val="clear" w:color="auto" w:fill="auto"/>
            <w:vAlign w:val="bottom"/>
          </w:tcPr>
          <w:p w14:paraId="5F2D38AC" w14:textId="77777777" w:rsidR="00E836FB" w:rsidRDefault="00E836FB">
            <w:pPr>
              <w:rPr>
                <w:rFonts w:ascii="宋体"/>
                <w:vanish/>
              </w:rPr>
            </w:pPr>
          </w:p>
        </w:tc>
        <w:tc>
          <w:tcPr>
            <w:tcW w:w="0" w:type="auto"/>
            <w:gridSpan w:val="3"/>
            <w:shd w:val="clear" w:color="auto" w:fill="auto"/>
            <w:vAlign w:val="bottom"/>
          </w:tcPr>
          <w:p w14:paraId="5F2D38AD" w14:textId="77777777" w:rsidR="00E836FB" w:rsidRDefault="00E836FB">
            <w:pPr>
              <w:rPr>
                <w:rFonts w:ascii="宋体"/>
                <w:vanish/>
              </w:rPr>
            </w:pPr>
          </w:p>
        </w:tc>
        <w:tc>
          <w:tcPr>
            <w:tcW w:w="0" w:type="auto"/>
            <w:gridSpan w:val="3"/>
            <w:shd w:val="clear" w:color="auto" w:fill="auto"/>
            <w:vAlign w:val="bottom"/>
          </w:tcPr>
          <w:p w14:paraId="5F2D38AE" w14:textId="77777777" w:rsidR="00E836FB" w:rsidRDefault="00E836FB">
            <w:pPr>
              <w:rPr>
                <w:rFonts w:ascii="宋体"/>
                <w:vanish/>
              </w:rPr>
            </w:pPr>
          </w:p>
        </w:tc>
        <w:tc>
          <w:tcPr>
            <w:tcW w:w="0" w:type="auto"/>
            <w:gridSpan w:val="3"/>
            <w:shd w:val="clear" w:color="auto" w:fill="auto"/>
            <w:vAlign w:val="bottom"/>
          </w:tcPr>
          <w:p w14:paraId="5F2D38AF" w14:textId="77777777" w:rsidR="00E836FB" w:rsidRDefault="00E836FB">
            <w:pPr>
              <w:rPr>
                <w:rFonts w:ascii="宋体"/>
                <w:vanish/>
              </w:rPr>
            </w:pPr>
          </w:p>
        </w:tc>
        <w:tc>
          <w:tcPr>
            <w:tcW w:w="0" w:type="auto"/>
            <w:gridSpan w:val="3"/>
            <w:shd w:val="clear" w:color="auto" w:fill="auto"/>
            <w:vAlign w:val="bottom"/>
          </w:tcPr>
          <w:p w14:paraId="5F2D38B0" w14:textId="77777777" w:rsidR="00E836FB" w:rsidRDefault="00E836FB">
            <w:pPr>
              <w:rPr>
                <w:rFonts w:ascii="宋体"/>
                <w:vanish/>
              </w:rPr>
            </w:pPr>
          </w:p>
        </w:tc>
        <w:tc>
          <w:tcPr>
            <w:tcW w:w="0" w:type="auto"/>
            <w:gridSpan w:val="3"/>
            <w:shd w:val="clear" w:color="auto" w:fill="auto"/>
            <w:vAlign w:val="bottom"/>
          </w:tcPr>
          <w:p w14:paraId="5F2D38B1" w14:textId="77777777" w:rsidR="00E836FB" w:rsidRDefault="00E836FB">
            <w:pPr>
              <w:rPr>
                <w:rFonts w:ascii="宋体"/>
                <w:vanish/>
              </w:rPr>
            </w:pPr>
          </w:p>
        </w:tc>
        <w:tc>
          <w:tcPr>
            <w:tcW w:w="0" w:type="auto"/>
            <w:shd w:val="clear" w:color="auto" w:fill="auto"/>
            <w:vAlign w:val="bottom"/>
          </w:tcPr>
          <w:p w14:paraId="5F2D38B2" w14:textId="77777777" w:rsidR="00E836FB" w:rsidRDefault="00E836FB">
            <w:pPr>
              <w:rPr>
                <w:rFonts w:ascii="宋体"/>
                <w:vanish/>
              </w:rPr>
            </w:pPr>
          </w:p>
        </w:tc>
        <w:tc>
          <w:tcPr>
            <w:tcW w:w="0" w:type="auto"/>
            <w:gridSpan w:val="3"/>
            <w:shd w:val="clear" w:color="auto" w:fill="auto"/>
            <w:vAlign w:val="bottom"/>
          </w:tcPr>
          <w:p w14:paraId="5F2D38B3" w14:textId="77777777" w:rsidR="00E836FB" w:rsidRDefault="00E836FB">
            <w:pPr>
              <w:rPr>
                <w:rFonts w:ascii="宋体"/>
                <w:vanish/>
              </w:rPr>
            </w:pPr>
          </w:p>
        </w:tc>
        <w:tc>
          <w:tcPr>
            <w:tcW w:w="0" w:type="auto"/>
            <w:gridSpan w:val="3"/>
            <w:shd w:val="clear" w:color="auto" w:fill="auto"/>
            <w:vAlign w:val="bottom"/>
          </w:tcPr>
          <w:p w14:paraId="5F2D38B4" w14:textId="77777777" w:rsidR="00E836FB" w:rsidRDefault="00E836FB">
            <w:pPr>
              <w:rPr>
                <w:rFonts w:ascii="宋体"/>
                <w:vanish/>
              </w:rPr>
            </w:pPr>
          </w:p>
        </w:tc>
        <w:tc>
          <w:tcPr>
            <w:tcW w:w="0" w:type="auto"/>
            <w:gridSpan w:val="3"/>
            <w:shd w:val="clear" w:color="auto" w:fill="auto"/>
            <w:vAlign w:val="bottom"/>
          </w:tcPr>
          <w:p w14:paraId="5F2D38B5" w14:textId="77777777" w:rsidR="00E836FB" w:rsidRDefault="00E836FB">
            <w:pPr>
              <w:rPr>
                <w:rFonts w:ascii="宋体"/>
                <w:vanish/>
              </w:rPr>
            </w:pPr>
          </w:p>
        </w:tc>
        <w:tc>
          <w:tcPr>
            <w:tcW w:w="0" w:type="auto"/>
            <w:gridSpan w:val="3"/>
            <w:shd w:val="clear" w:color="auto" w:fill="auto"/>
            <w:vAlign w:val="bottom"/>
          </w:tcPr>
          <w:p w14:paraId="5F2D38B6" w14:textId="77777777" w:rsidR="00E836FB" w:rsidRDefault="00E836FB">
            <w:pPr>
              <w:rPr>
                <w:rFonts w:ascii="宋体"/>
                <w:vanish/>
              </w:rPr>
            </w:pPr>
          </w:p>
        </w:tc>
      </w:tr>
      <w:tr w:rsidR="00E836FB" w14:paraId="5F2D38CC" w14:textId="77777777">
        <w:tc>
          <w:tcPr>
            <w:tcW w:w="0" w:type="auto"/>
            <w:gridSpan w:val="3"/>
            <w:shd w:val="clear" w:color="auto" w:fill="CCEEFF"/>
            <w:tcMar>
              <w:top w:w="40" w:type="dxa"/>
              <w:left w:w="20" w:type="dxa"/>
              <w:bottom w:w="40" w:type="dxa"/>
              <w:right w:w="20" w:type="dxa"/>
            </w:tcMar>
            <w:vAlign w:val="bottom"/>
          </w:tcPr>
          <w:p w14:paraId="5F2D38B8" w14:textId="77777777" w:rsidR="00E836FB" w:rsidRDefault="00994958">
            <w:pPr>
              <w:textAlignment w:val="bottom"/>
            </w:pPr>
            <w:r>
              <w:rPr>
                <w:rFonts w:ascii="Arial" w:eastAsia="宋体" w:hAnsi="Arial" w:cs="Arial"/>
                <w:color w:val="000000"/>
                <w:sz w:val="15"/>
                <w:szCs w:val="15"/>
              </w:rPr>
              <w:t xml:space="preserve">Repurchase agreements and </w:t>
            </w:r>
            <w:r>
              <w:rPr>
                <w:rFonts w:ascii="Arial" w:eastAsia="宋体" w:hAnsi="Arial" w:cs="Arial"/>
                <w:color w:val="000000"/>
                <w:sz w:val="15"/>
                <w:szCs w:val="15"/>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5F2D38B9" w14:textId="77777777" w:rsidR="00E836FB" w:rsidRDefault="00994958">
            <w:pPr>
              <w:jc w:val="right"/>
              <w:textAlignment w:val="bottom"/>
            </w:pPr>
            <w:r>
              <w:rPr>
                <w:rFonts w:ascii="Arial" w:eastAsia="宋体" w:hAnsi="Arial" w:cs="Arial"/>
                <w:b/>
                <w:bCs/>
                <w:color w:val="000000"/>
                <w:sz w:val="15"/>
                <w:szCs w:val="15"/>
              </w:rPr>
              <w:t>82,674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B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BC" w14:textId="77777777" w:rsidR="00E836FB" w:rsidRDefault="00994958">
            <w:pPr>
              <w:jc w:val="right"/>
              <w:textAlignment w:val="bottom"/>
            </w:pPr>
            <w:r>
              <w:rPr>
                <w:rFonts w:ascii="Arial" w:eastAsia="宋体" w:hAnsi="Arial" w:cs="Arial"/>
                <w:b/>
                <w:bCs/>
                <w:color w:val="000000"/>
                <w:sz w:val="15"/>
                <w:szCs w:val="15"/>
              </w:rPr>
              <w:t>(77,063)</w:t>
            </w:r>
          </w:p>
        </w:tc>
        <w:tc>
          <w:tcPr>
            <w:tcW w:w="0" w:type="auto"/>
            <w:shd w:val="clear" w:color="auto" w:fill="CCEEFF"/>
            <w:tcMar>
              <w:top w:w="40" w:type="dxa"/>
              <w:left w:w="0" w:type="dxa"/>
              <w:bottom w:w="40" w:type="dxa"/>
              <w:right w:w="20" w:type="dxa"/>
            </w:tcMar>
            <w:vAlign w:val="bottom"/>
          </w:tcPr>
          <w:p w14:paraId="5F2D38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BF" w14:textId="77777777" w:rsidR="00E836FB" w:rsidRDefault="00994958">
            <w:pPr>
              <w:jc w:val="right"/>
              <w:textAlignment w:val="bottom"/>
            </w:pPr>
            <w:r>
              <w:rPr>
                <w:rFonts w:ascii="Arial" w:eastAsia="宋体" w:hAnsi="Arial" w:cs="Arial"/>
                <w:b/>
                <w:bCs/>
                <w:color w:val="000000"/>
                <w:sz w:val="15"/>
                <w:szCs w:val="15"/>
              </w:rPr>
              <w:t>5,611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C2" w14:textId="77777777" w:rsidR="00E836FB" w:rsidRDefault="00994958">
            <w:pPr>
              <w:jc w:val="right"/>
              <w:textAlignment w:val="bottom"/>
            </w:pPr>
            <w:r>
              <w:rPr>
                <w:rFonts w:ascii="Arial" w:eastAsia="宋体" w:hAnsi="Arial" w:cs="Arial"/>
                <w:b/>
                <w:bCs/>
                <w:color w:val="000000"/>
                <w:sz w:val="15"/>
                <w:szCs w:val="15"/>
              </w:rPr>
              <w:t>(4,066)</w:t>
            </w:r>
          </w:p>
        </w:tc>
        <w:tc>
          <w:tcPr>
            <w:tcW w:w="0" w:type="auto"/>
            <w:shd w:val="clear" w:color="auto" w:fill="CCEEFF"/>
            <w:tcMar>
              <w:top w:w="40" w:type="dxa"/>
              <w:left w:w="0" w:type="dxa"/>
              <w:bottom w:w="40" w:type="dxa"/>
              <w:right w:w="20" w:type="dxa"/>
            </w:tcMar>
            <w:vAlign w:val="bottom"/>
          </w:tcPr>
          <w:p w14:paraId="5F2D38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8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8C5" w14:textId="77777777" w:rsidR="00E836FB" w:rsidRDefault="00994958">
            <w:pPr>
              <w:jc w:val="right"/>
              <w:textAlignment w:val="bottom"/>
            </w:pPr>
            <w:r>
              <w:rPr>
                <w:rFonts w:ascii="Arial" w:eastAsia="宋体" w:hAnsi="Arial" w:cs="Arial"/>
                <w:b/>
                <w:bCs/>
                <w:color w:val="000000"/>
                <w:sz w:val="15"/>
                <w:szCs w:val="15"/>
              </w:rPr>
              <w:t>1,545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8C6" w14:textId="77777777" w:rsidR="00E836FB" w:rsidRDefault="00E836FB">
            <w:pPr>
              <w:jc w:val="right"/>
              <w:rPr>
                <w:rFonts w:ascii="宋体"/>
              </w:rPr>
            </w:pPr>
          </w:p>
        </w:tc>
        <w:tc>
          <w:tcPr>
            <w:tcW w:w="0" w:type="auto"/>
            <w:shd w:val="clear" w:color="auto" w:fill="auto"/>
            <w:vAlign w:val="bottom"/>
          </w:tcPr>
          <w:p w14:paraId="5F2D38C7" w14:textId="77777777" w:rsidR="00E836FB" w:rsidRDefault="00E836FB">
            <w:pPr>
              <w:rPr>
                <w:rFonts w:ascii="宋体"/>
                <w:vanish/>
              </w:rPr>
            </w:pPr>
          </w:p>
        </w:tc>
        <w:tc>
          <w:tcPr>
            <w:tcW w:w="0" w:type="auto"/>
            <w:gridSpan w:val="3"/>
            <w:shd w:val="clear" w:color="auto" w:fill="auto"/>
            <w:vAlign w:val="bottom"/>
          </w:tcPr>
          <w:p w14:paraId="5F2D38C8" w14:textId="77777777" w:rsidR="00E836FB" w:rsidRDefault="00E836FB">
            <w:pPr>
              <w:rPr>
                <w:rFonts w:ascii="宋体"/>
                <w:vanish/>
              </w:rPr>
            </w:pPr>
          </w:p>
        </w:tc>
        <w:tc>
          <w:tcPr>
            <w:tcW w:w="0" w:type="auto"/>
            <w:gridSpan w:val="3"/>
            <w:shd w:val="clear" w:color="auto" w:fill="auto"/>
            <w:vAlign w:val="bottom"/>
          </w:tcPr>
          <w:p w14:paraId="5F2D38C9" w14:textId="77777777" w:rsidR="00E836FB" w:rsidRDefault="00E836FB">
            <w:pPr>
              <w:rPr>
                <w:rFonts w:ascii="宋体"/>
                <w:vanish/>
              </w:rPr>
            </w:pPr>
          </w:p>
        </w:tc>
        <w:tc>
          <w:tcPr>
            <w:tcW w:w="0" w:type="auto"/>
            <w:gridSpan w:val="3"/>
            <w:shd w:val="clear" w:color="auto" w:fill="auto"/>
            <w:vAlign w:val="bottom"/>
          </w:tcPr>
          <w:p w14:paraId="5F2D38CA" w14:textId="77777777" w:rsidR="00E836FB" w:rsidRDefault="00E836FB">
            <w:pPr>
              <w:rPr>
                <w:rFonts w:ascii="宋体"/>
                <w:vanish/>
              </w:rPr>
            </w:pPr>
          </w:p>
        </w:tc>
        <w:tc>
          <w:tcPr>
            <w:tcW w:w="0" w:type="auto"/>
            <w:gridSpan w:val="3"/>
            <w:shd w:val="clear" w:color="auto" w:fill="auto"/>
            <w:vAlign w:val="bottom"/>
          </w:tcPr>
          <w:p w14:paraId="5F2D38CB" w14:textId="77777777" w:rsidR="00E836FB" w:rsidRDefault="00E836FB">
            <w:pPr>
              <w:rPr>
                <w:rFonts w:ascii="宋体"/>
                <w:vanish/>
              </w:rPr>
            </w:pPr>
          </w:p>
        </w:tc>
      </w:tr>
      <w:tr w:rsidR="00E836FB" w14:paraId="5F2D38E6" w14:textId="77777777">
        <w:tc>
          <w:tcPr>
            <w:tcW w:w="0" w:type="auto"/>
            <w:gridSpan w:val="3"/>
            <w:shd w:val="clear" w:color="auto" w:fill="FFFFFF"/>
            <w:tcMar>
              <w:top w:w="40" w:type="dxa"/>
              <w:left w:w="20" w:type="dxa"/>
              <w:bottom w:w="40" w:type="dxa"/>
              <w:right w:w="20" w:type="dxa"/>
            </w:tcMar>
            <w:vAlign w:val="bottom"/>
          </w:tcPr>
          <w:p w14:paraId="5F2D38CD" w14:textId="77777777" w:rsidR="00E836FB" w:rsidRDefault="00994958">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8C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8CF" w14:textId="77777777" w:rsidR="00E836FB" w:rsidRDefault="00994958">
            <w:pPr>
              <w:jc w:val="right"/>
              <w:textAlignment w:val="bottom"/>
            </w:pPr>
            <w:r>
              <w:rPr>
                <w:rFonts w:ascii="Arial" w:eastAsia="宋体" w:hAnsi="Arial" w:cs="Arial"/>
                <w:b/>
                <w:bCs/>
                <w:color w:val="000000"/>
                <w:sz w:val="15"/>
                <w:szCs w:val="15"/>
              </w:rPr>
              <w:t>98,800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8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D1"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8D2"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8D3" w14:textId="77777777" w:rsidR="00E836FB" w:rsidRDefault="00994958">
            <w:pPr>
              <w:jc w:val="right"/>
              <w:textAlignment w:val="bottom"/>
            </w:pPr>
            <w:r>
              <w:rPr>
                <w:rFonts w:ascii="Arial" w:eastAsia="宋体" w:hAnsi="Arial" w:cs="Arial"/>
                <w:b/>
                <w:bCs/>
                <w:color w:val="000000"/>
                <w:sz w:val="15"/>
                <w:szCs w:val="15"/>
              </w:rPr>
              <w:t>(87,458)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8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D5"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8D6"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8D7" w14:textId="77777777" w:rsidR="00E836FB" w:rsidRDefault="00994958">
            <w:pPr>
              <w:jc w:val="right"/>
              <w:textAlignment w:val="bottom"/>
            </w:pPr>
            <w:r>
              <w:rPr>
                <w:rFonts w:ascii="Arial" w:eastAsia="宋体" w:hAnsi="Arial" w:cs="Arial"/>
                <w:b/>
                <w:bCs/>
                <w:color w:val="000000"/>
                <w:sz w:val="15"/>
                <w:szCs w:val="15"/>
              </w:rPr>
              <w:t>11,342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8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D9"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8DA"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8DB" w14:textId="77777777" w:rsidR="00E836FB" w:rsidRDefault="00994958">
            <w:pPr>
              <w:jc w:val="right"/>
              <w:textAlignment w:val="bottom"/>
            </w:pPr>
            <w:r>
              <w:rPr>
                <w:rFonts w:ascii="Arial" w:eastAsia="宋体" w:hAnsi="Arial" w:cs="Arial"/>
                <w:b/>
                <w:bCs/>
                <w:color w:val="000000"/>
                <w:sz w:val="15"/>
                <w:szCs w:val="15"/>
              </w:rPr>
              <w:t>(5,055)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8D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8DD"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8DE"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8DF" w14:textId="77777777" w:rsidR="00E836FB" w:rsidRDefault="00994958">
            <w:pPr>
              <w:jc w:val="right"/>
              <w:textAlignment w:val="bottom"/>
            </w:pPr>
            <w:r>
              <w:rPr>
                <w:rFonts w:ascii="Arial" w:eastAsia="宋体" w:hAnsi="Arial" w:cs="Arial"/>
                <w:b/>
                <w:bCs/>
                <w:color w:val="000000"/>
                <w:sz w:val="15"/>
                <w:szCs w:val="15"/>
              </w:rPr>
              <w:t>6,287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8E0" w14:textId="77777777" w:rsidR="00E836FB" w:rsidRDefault="00E836FB">
            <w:pPr>
              <w:jc w:val="right"/>
              <w:rPr>
                <w:rFonts w:ascii="宋体"/>
              </w:rPr>
            </w:pPr>
          </w:p>
        </w:tc>
        <w:tc>
          <w:tcPr>
            <w:tcW w:w="0" w:type="auto"/>
            <w:shd w:val="clear" w:color="auto" w:fill="auto"/>
            <w:vAlign w:val="bottom"/>
          </w:tcPr>
          <w:p w14:paraId="5F2D38E1" w14:textId="77777777" w:rsidR="00E836FB" w:rsidRDefault="00E836FB">
            <w:pPr>
              <w:rPr>
                <w:rFonts w:ascii="宋体"/>
                <w:vanish/>
              </w:rPr>
            </w:pPr>
          </w:p>
        </w:tc>
        <w:tc>
          <w:tcPr>
            <w:tcW w:w="0" w:type="auto"/>
            <w:gridSpan w:val="3"/>
            <w:shd w:val="clear" w:color="auto" w:fill="auto"/>
            <w:vAlign w:val="bottom"/>
          </w:tcPr>
          <w:p w14:paraId="5F2D38E2" w14:textId="77777777" w:rsidR="00E836FB" w:rsidRDefault="00E836FB">
            <w:pPr>
              <w:rPr>
                <w:rFonts w:ascii="宋体"/>
                <w:vanish/>
              </w:rPr>
            </w:pPr>
          </w:p>
        </w:tc>
        <w:tc>
          <w:tcPr>
            <w:tcW w:w="0" w:type="auto"/>
            <w:gridSpan w:val="3"/>
            <w:shd w:val="clear" w:color="auto" w:fill="auto"/>
            <w:vAlign w:val="bottom"/>
          </w:tcPr>
          <w:p w14:paraId="5F2D38E3" w14:textId="77777777" w:rsidR="00E836FB" w:rsidRDefault="00E836FB">
            <w:pPr>
              <w:rPr>
                <w:rFonts w:ascii="宋体"/>
                <w:vanish/>
              </w:rPr>
            </w:pPr>
          </w:p>
        </w:tc>
        <w:tc>
          <w:tcPr>
            <w:tcW w:w="0" w:type="auto"/>
            <w:gridSpan w:val="3"/>
            <w:shd w:val="clear" w:color="auto" w:fill="auto"/>
            <w:vAlign w:val="bottom"/>
          </w:tcPr>
          <w:p w14:paraId="5F2D38E4" w14:textId="77777777" w:rsidR="00E836FB" w:rsidRDefault="00E836FB">
            <w:pPr>
              <w:rPr>
                <w:rFonts w:ascii="宋体"/>
                <w:vanish/>
              </w:rPr>
            </w:pPr>
          </w:p>
        </w:tc>
        <w:tc>
          <w:tcPr>
            <w:tcW w:w="0" w:type="auto"/>
            <w:gridSpan w:val="3"/>
            <w:shd w:val="clear" w:color="auto" w:fill="auto"/>
            <w:vAlign w:val="bottom"/>
          </w:tcPr>
          <w:p w14:paraId="5F2D38E5" w14:textId="77777777" w:rsidR="00E836FB" w:rsidRDefault="00E836FB">
            <w:pPr>
              <w:rPr>
                <w:rFonts w:ascii="宋体"/>
                <w:vanish/>
              </w:rPr>
            </w:pPr>
          </w:p>
        </w:tc>
      </w:tr>
    </w:tbl>
    <w:p w14:paraId="5F2D38E7" w14:textId="77777777" w:rsidR="00E836FB" w:rsidRDefault="00994958">
      <w:pPr>
        <w:ind w:firstLine="450"/>
        <w:jc w:val="right"/>
      </w:pPr>
      <w:r>
        <w:rPr>
          <w:rFonts w:ascii="Arial" w:eastAsia="宋体" w:hAnsi="Arial" w:cs="Arial"/>
          <w:color w:val="000000"/>
          <w:sz w:val="18"/>
          <w:szCs w:val="18"/>
        </w:rPr>
        <w:t>State Street Corporation | 163</w:t>
      </w:r>
    </w:p>
    <w:p w14:paraId="5F2D38E8" w14:textId="77777777" w:rsidR="00E836FB" w:rsidRDefault="00E836FB">
      <w:pPr>
        <w:ind w:firstLine="450"/>
        <w:jc w:val="center"/>
      </w:pPr>
    </w:p>
    <w:p w14:paraId="5F2D38E9" w14:textId="77777777" w:rsidR="00E836FB" w:rsidRDefault="00994958">
      <w:r>
        <w:pict w14:anchorId="5F2D6E28">
          <v:rect id="_x0000_i1187" style="width:415.3pt;height:1.5pt" o:hralign="center" o:hrstd="t" o:hr="t" fillcolor="#a0a0a0" stroked="f"/>
        </w:pict>
      </w:r>
    </w:p>
    <w:p w14:paraId="5F2D38EA" w14:textId="77777777" w:rsidR="00E836FB" w:rsidRDefault="00994958">
      <w:pPr>
        <w:ind w:firstLine="450"/>
        <w:jc w:val="center"/>
      </w:pPr>
      <w:r>
        <w:rPr>
          <w:rFonts w:ascii="Arial" w:eastAsia="宋体" w:hAnsi="Arial" w:cs="Arial"/>
          <w:b/>
          <w:bCs/>
          <w:color w:val="000000"/>
          <w:sz w:val="20"/>
          <w:szCs w:val="20"/>
        </w:rPr>
        <w:t>STATE STREET CORPORATION</w:t>
      </w:r>
    </w:p>
    <w:p w14:paraId="5F2D38EB" w14:textId="77777777" w:rsidR="00E836FB" w:rsidRDefault="00994958">
      <w:pPr>
        <w:ind w:firstLine="450"/>
        <w:jc w:val="center"/>
      </w:pPr>
      <w:r>
        <w:rPr>
          <w:rFonts w:ascii="Arial" w:eastAsia="宋体" w:hAnsi="Arial" w:cs="Arial"/>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1901"/>
        <w:gridCol w:w="37"/>
        <w:gridCol w:w="99"/>
        <w:gridCol w:w="1024"/>
        <w:gridCol w:w="36"/>
        <w:gridCol w:w="36"/>
        <w:gridCol w:w="36"/>
        <w:gridCol w:w="36"/>
        <w:gridCol w:w="99"/>
        <w:gridCol w:w="1183"/>
        <w:gridCol w:w="36"/>
        <w:gridCol w:w="36"/>
        <w:gridCol w:w="36"/>
        <w:gridCol w:w="36"/>
        <w:gridCol w:w="99"/>
        <w:gridCol w:w="1282"/>
        <w:gridCol w:w="36"/>
        <w:gridCol w:w="36"/>
        <w:gridCol w:w="36"/>
        <w:gridCol w:w="36"/>
        <w:gridCol w:w="99"/>
        <w:gridCol w:w="1038"/>
        <w:gridCol w:w="37"/>
        <w:gridCol w:w="36"/>
        <w:gridCol w:w="36"/>
        <w:gridCol w:w="36"/>
        <w:gridCol w:w="99"/>
        <w:gridCol w:w="722"/>
        <w:gridCol w:w="37"/>
      </w:tblGrid>
      <w:tr w:rsidR="00E836FB" w14:paraId="5F2D390A" w14:textId="77777777">
        <w:tc>
          <w:tcPr>
            <w:tcW w:w="50" w:type="pct"/>
            <w:shd w:val="clear" w:color="auto" w:fill="auto"/>
            <w:vAlign w:val="bottom"/>
          </w:tcPr>
          <w:p w14:paraId="5F2D38EC" w14:textId="77777777" w:rsidR="00E836FB" w:rsidRDefault="00E836FB">
            <w:pPr>
              <w:rPr>
                <w:rFonts w:ascii="宋体"/>
              </w:rPr>
            </w:pPr>
          </w:p>
        </w:tc>
        <w:tc>
          <w:tcPr>
            <w:tcW w:w="1165" w:type="pct"/>
            <w:shd w:val="clear" w:color="auto" w:fill="auto"/>
            <w:vAlign w:val="bottom"/>
          </w:tcPr>
          <w:p w14:paraId="5F2D38ED" w14:textId="77777777" w:rsidR="00E836FB" w:rsidRDefault="00E836FB">
            <w:pPr>
              <w:rPr>
                <w:rFonts w:ascii="宋体"/>
              </w:rPr>
            </w:pPr>
          </w:p>
        </w:tc>
        <w:tc>
          <w:tcPr>
            <w:tcW w:w="5" w:type="pct"/>
            <w:shd w:val="clear" w:color="auto" w:fill="auto"/>
            <w:vAlign w:val="bottom"/>
          </w:tcPr>
          <w:p w14:paraId="5F2D38EE" w14:textId="77777777" w:rsidR="00E836FB" w:rsidRDefault="00E836FB">
            <w:pPr>
              <w:rPr>
                <w:rFonts w:ascii="宋体"/>
              </w:rPr>
            </w:pPr>
          </w:p>
        </w:tc>
        <w:tc>
          <w:tcPr>
            <w:tcW w:w="50" w:type="pct"/>
            <w:shd w:val="clear" w:color="auto" w:fill="auto"/>
            <w:vAlign w:val="bottom"/>
          </w:tcPr>
          <w:p w14:paraId="5F2D38EF" w14:textId="77777777" w:rsidR="00E836FB" w:rsidRDefault="00E836FB">
            <w:pPr>
              <w:rPr>
                <w:rFonts w:ascii="宋体"/>
              </w:rPr>
            </w:pPr>
          </w:p>
        </w:tc>
        <w:tc>
          <w:tcPr>
            <w:tcW w:w="639" w:type="pct"/>
            <w:shd w:val="clear" w:color="auto" w:fill="auto"/>
            <w:vAlign w:val="bottom"/>
          </w:tcPr>
          <w:p w14:paraId="5F2D38F0" w14:textId="77777777" w:rsidR="00E836FB" w:rsidRDefault="00E836FB">
            <w:pPr>
              <w:rPr>
                <w:rFonts w:ascii="宋体"/>
              </w:rPr>
            </w:pPr>
          </w:p>
        </w:tc>
        <w:tc>
          <w:tcPr>
            <w:tcW w:w="5" w:type="pct"/>
            <w:shd w:val="clear" w:color="auto" w:fill="auto"/>
            <w:vAlign w:val="bottom"/>
          </w:tcPr>
          <w:p w14:paraId="5F2D38F1" w14:textId="77777777" w:rsidR="00E836FB" w:rsidRDefault="00E836FB">
            <w:pPr>
              <w:rPr>
                <w:rFonts w:ascii="宋体"/>
              </w:rPr>
            </w:pPr>
          </w:p>
        </w:tc>
        <w:tc>
          <w:tcPr>
            <w:tcW w:w="5" w:type="pct"/>
            <w:shd w:val="clear" w:color="auto" w:fill="auto"/>
            <w:vAlign w:val="bottom"/>
          </w:tcPr>
          <w:p w14:paraId="5F2D38F2" w14:textId="77777777" w:rsidR="00E836FB" w:rsidRDefault="00E836FB">
            <w:pPr>
              <w:rPr>
                <w:rFonts w:ascii="宋体"/>
              </w:rPr>
            </w:pPr>
          </w:p>
        </w:tc>
        <w:tc>
          <w:tcPr>
            <w:tcW w:w="26" w:type="pct"/>
            <w:shd w:val="clear" w:color="auto" w:fill="auto"/>
            <w:vAlign w:val="bottom"/>
          </w:tcPr>
          <w:p w14:paraId="5F2D38F3" w14:textId="77777777" w:rsidR="00E836FB" w:rsidRDefault="00E836FB">
            <w:pPr>
              <w:rPr>
                <w:rFonts w:ascii="宋体"/>
              </w:rPr>
            </w:pPr>
          </w:p>
        </w:tc>
        <w:tc>
          <w:tcPr>
            <w:tcW w:w="5" w:type="pct"/>
            <w:shd w:val="clear" w:color="auto" w:fill="auto"/>
            <w:vAlign w:val="bottom"/>
          </w:tcPr>
          <w:p w14:paraId="5F2D38F4" w14:textId="77777777" w:rsidR="00E836FB" w:rsidRDefault="00E836FB">
            <w:pPr>
              <w:rPr>
                <w:rFonts w:ascii="宋体"/>
              </w:rPr>
            </w:pPr>
          </w:p>
        </w:tc>
        <w:tc>
          <w:tcPr>
            <w:tcW w:w="50" w:type="pct"/>
            <w:shd w:val="clear" w:color="auto" w:fill="auto"/>
            <w:vAlign w:val="bottom"/>
          </w:tcPr>
          <w:p w14:paraId="5F2D38F5" w14:textId="77777777" w:rsidR="00E836FB" w:rsidRDefault="00E836FB">
            <w:pPr>
              <w:rPr>
                <w:rFonts w:ascii="宋体"/>
              </w:rPr>
            </w:pPr>
          </w:p>
        </w:tc>
        <w:tc>
          <w:tcPr>
            <w:tcW w:w="756" w:type="pct"/>
            <w:shd w:val="clear" w:color="auto" w:fill="auto"/>
            <w:vAlign w:val="bottom"/>
          </w:tcPr>
          <w:p w14:paraId="5F2D38F6" w14:textId="77777777" w:rsidR="00E836FB" w:rsidRDefault="00E836FB">
            <w:pPr>
              <w:rPr>
                <w:rFonts w:ascii="宋体"/>
              </w:rPr>
            </w:pPr>
          </w:p>
        </w:tc>
        <w:tc>
          <w:tcPr>
            <w:tcW w:w="5" w:type="pct"/>
            <w:shd w:val="clear" w:color="auto" w:fill="auto"/>
            <w:vAlign w:val="bottom"/>
          </w:tcPr>
          <w:p w14:paraId="5F2D38F7" w14:textId="77777777" w:rsidR="00E836FB" w:rsidRDefault="00E836FB">
            <w:pPr>
              <w:rPr>
                <w:rFonts w:ascii="宋体"/>
              </w:rPr>
            </w:pPr>
          </w:p>
        </w:tc>
        <w:tc>
          <w:tcPr>
            <w:tcW w:w="5" w:type="pct"/>
            <w:shd w:val="clear" w:color="auto" w:fill="auto"/>
            <w:vAlign w:val="bottom"/>
          </w:tcPr>
          <w:p w14:paraId="5F2D38F8" w14:textId="77777777" w:rsidR="00E836FB" w:rsidRDefault="00E836FB">
            <w:pPr>
              <w:rPr>
                <w:rFonts w:ascii="宋体"/>
              </w:rPr>
            </w:pPr>
          </w:p>
        </w:tc>
        <w:tc>
          <w:tcPr>
            <w:tcW w:w="26" w:type="pct"/>
            <w:shd w:val="clear" w:color="auto" w:fill="auto"/>
            <w:vAlign w:val="bottom"/>
          </w:tcPr>
          <w:p w14:paraId="5F2D38F9" w14:textId="77777777" w:rsidR="00E836FB" w:rsidRDefault="00E836FB">
            <w:pPr>
              <w:rPr>
                <w:rFonts w:ascii="宋体"/>
              </w:rPr>
            </w:pPr>
          </w:p>
        </w:tc>
        <w:tc>
          <w:tcPr>
            <w:tcW w:w="5" w:type="pct"/>
            <w:shd w:val="clear" w:color="auto" w:fill="auto"/>
            <w:vAlign w:val="bottom"/>
          </w:tcPr>
          <w:p w14:paraId="5F2D38FA" w14:textId="77777777" w:rsidR="00E836FB" w:rsidRDefault="00E836FB">
            <w:pPr>
              <w:rPr>
                <w:rFonts w:ascii="宋体"/>
              </w:rPr>
            </w:pPr>
          </w:p>
        </w:tc>
        <w:tc>
          <w:tcPr>
            <w:tcW w:w="50" w:type="pct"/>
            <w:shd w:val="clear" w:color="auto" w:fill="auto"/>
            <w:vAlign w:val="bottom"/>
          </w:tcPr>
          <w:p w14:paraId="5F2D38FB" w14:textId="77777777" w:rsidR="00E836FB" w:rsidRDefault="00E836FB">
            <w:pPr>
              <w:rPr>
                <w:rFonts w:ascii="宋体"/>
              </w:rPr>
            </w:pPr>
          </w:p>
        </w:tc>
        <w:tc>
          <w:tcPr>
            <w:tcW w:w="814" w:type="pct"/>
            <w:shd w:val="clear" w:color="auto" w:fill="auto"/>
            <w:vAlign w:val="bottom"/>
          </w:tcPr>
          <w:p w14:paraId="5F2D38FC" w14:textId="77777777" w:rsidR="00E836FB" w:rsidRDefault="00E836FB">
            <w:pPr>
              <w:rPr>
                <w:rFonts w:ascii="宋体"/>
              </w:rPr>
            </w:pPr>
          </w:p>
        </w:tc>
        <w:tc>
          <w:tcPr>
            <w:tcW w:w="5" w:type="pct"/>
            <w:shd w:val="clear" w:color="auto" w:fill="auto"/>
            <w:vAlign w:val="bottom"/>
          </w:tcPr>
          <w:p w14:paraId="5F2D38FD" w14:textId="77777777" w:rsidR="00E836FB" w:rsidRDefault="00E836FB">
            <w:pPr>
              <w:rPr>
                <w:rFonts w:ascii="宋体"/>
              </w:rPr>
            </w:pPr>
          </w:p>
        </w:tc>
        <w:tc>
          <w:tcPr>
            <w:tcW w:w="5" w:type="pct"/>
            <w:shd w:val="clear" w:color="auto" w:fill="auto"/>
            <w:vAlign w:val="bottom"/>
          </w:tcPr>
          <w:p w14:paraId="5F2D38FE" w14:textId="77777777" w:rsidR="00E836FB" w:rsidRDefault="00E836FB">
            <w:pPr>
              <w:rPr>
                <w:rFonts w:ascii="宋体"/>
              </w:rPr>
            </w:pPr>
          </w:p>
        </w:tc>
        <w:tc>
          <w:tcPr>
            <w:tcW w:w="26" w:type="pct"/>
            <w:shd w:val="clear" w:color="auto" w:fill="auto"/>
            <w:vAlign w:val="bottom"/>
          </w:tcPr>
          <w:p w14:paraId="5F2D38FF" w14:textId="77777777" w:rsidR="00E836FB" w:rsidRDefault="00E836FB">
            <w:pPr>
              <w:rPr>
                <w:rFonts w:ascii="宋体"/>
              </w:rPr>
            </w:pPr>
          </w:p>
        </w:tc>
        <w:tc>
          <w:tcPr>
            <w:tcW w:w="5" w:type="pct"/>
            <w:shd w:val="clear" w:color="auto" w:fill="auto"/>
            <w:vAlign w:val="bottom"/>
          </w:tcPr>
          <w:p w14:paraId="5F2D3900" w14:textId="77777777" w:rsidR="00E836FB" w:rsidRDefault="00E836FB">
            <w:pPr>
              <w:rPr>
                <w:rFonts w:ascii="宋体"/>
              </w:rPr>
            </w:pPr>
          </w:p>
        </w:tc>
        <w:tc>
          <w:tcPr>
            <w:tcW w:w="50" w:type="pct"/>
            <w:shd w:val="clear" w:color="auto" w:fill="auto"/>
            <w:vAlign w:val="bottom"/>
          </w:tcPr>
          <w:p w14:paraId="5F2D3901" w14:textId="77777777" w:rsidR="00E836FB" w:rsidRDefault="00E836FB">
            <w:pPr>
              <w:rPr>
                <w:rFonts w:ascii="宋体"/>
              </w:rPr>
            </w:pPr>
          </w:p>
        </w:tc>
        <w:tc>
          <w:tcPr>
            <w:tcW w:w="668" w:type="pct"/>
            <w:shd w:val="clear" w:color="auto" w:fill="auto"/>
            <w:vAlign w:val="bottom"/>
          </w:tcPr>
          <w:p w14:paraId="5F2D3902" w14:textId="77777777" w:rsidR="00E836FB" w:rsidRDefault="00E836FB">
            <w:pPr>
              <w:rPr>
                <w:rFonts w:ascii="宋体"/>
              </w:rPr>
            </w:pPr>
          </w:p>
        </w:tc>
        <w:tc>
          <w:tcPr>
            <w:tcW w:w="5" w:type="pct"/>
            <w:shd w:val="clear" w:color="auto" w:fill="auto"/>
            <w:vAlign w:val="bottom"/>
          </w:tcPr>
          <w:p w14:paraId="5F2D3903" w14:textId="77777777" w:rsidR="00E836FB" w:rsidRDefault="00E836FB">
            <w:pPr>
              <w:rPr>
                <w:rFonts w:ascii="宋体"/>
              </w:rPr>
            </w:pPr>
          </w:p>
        </w:tc>
        <w:tc>
          <w:tcPr>
            <w:tcW w:w="5" w:type="pct"/>
            <w:shd w:val="clear" w:color="auto" w:fill="auto"/>
            <w:vAlign w:val="bottom"/>
          </w:tcPr>
          <w:p w14:paraId="5F2D3904" w14:textId="77777777" w:rsidR="00E836FB" w:rsidRDefault="00E836FB">
            <w:pPr>
              <w:rPr>
                <w:rFonts w:ascii="宋体"/>
              </w:rPr>
            </w:pPr>
          </w:p>
        </w:tc>
        <w:tc>
          <w:tcPr>
            <w:tcW w:w="26" w:type="pct"/>
            <w:shd w:val="clear" w:color="auto" w:fill="auto"/>
            <w:vAlign w:val="bottom"/>
          </w:tcPr>
          <w:p w14:paraId="5F2D3905" w14:textId="77777777" w:rsidR="00E836FB" w:rsidRDefault="00E836FB">
            <w:pPr>
              <w:rPr>
                <w:rFonts w:ascii="宋体"/>
              </w:rPr>
            </w:pPr>
          </w:p>
        </w:tc>
        <w:tc>
          <w:tcPr>
            <w:tcW w:w="5" w:type="pct"/>
            <w:shd w:val="clear" w:color="auto" w:fill="auto"/>
            <w:vAlign w:val="bottom"/>
          </w:tcPr>
          <w:p w14:paraId="5F2D3906" w14:textId="77777777" w:rsidR="00E836FB" w:rsidRDefault="00E836FB">
            <w:pPr>
              <w:rPr>
                <w:rFonts w:ascii="宋体"/>
              </w:rPr>
            </w:pPr>
          </w:p>
        </w:tc>
        <w:tc>
          <w:tcPr>
            <w:tcW w:w="50" w:type="pct"/>
            <w:shd w:val="clear" w:color="auto" w:fill="auto"/>
            <w:vAlign w:val="bottom"/>
          </w:tcPr>
          <w:p w14:paraId="5F2D3907" w14:textId="77777777" w:rsidR="00E836FB" w:rsidRDefault="00E836FB">
            <w:pPr>
              <w:rPr>
                <w:rFonts w:ascii="宋体"/>
              </w:rPr>
            </w:pPr>
          </w:p>
        </w:tc>
        <w:tc>
          <w:tcPr>
            <w:tcW w:w="478" w:type="pct"/>
            <w:shd w:val="clear" w:color="auto" w:fill="auto"/>
            <w:vAlign w:val="bottom"/>
          </w:tcPr>
          <w:p w14:paraId="5F2D3908" w14:textId="77777777" w:rsidR="00E836FB" w:rsidRDefault="00E836FB">
            <w:pPr>
              <w:rPr>
                <w:rFonts w:ascii="宋体"/>
              </w:rPr>
            </w:pPr>
          </w:p>
        </w:tc>
        <w:tc>
          <w:tcPr>
            <w:tcW w:w="5" w:type="pct"/>
            <w:shd w:val="clear" w:color="auto" w:fill="auto"/>
            <w:vAlign w:val="bottom"/>
          </w:tcPr>
          <w:p w14:paraId="5F2D3909" w14:textId="77777777" w:rsidR="00E836FB" w:rsidRDefault="00E836FB">
            <w:pPr>
              <w:rPr>
                <w:rFonts w:ascii="宋体"/>
              </w:rPr>
            </w:pPr>
          </w:p>
        </w:tc>
      </w:tr>
      <w:tr w:rsidR="00E836FB" w14:paraId="5F2D390D" w14:textId="77777777">
        <w:tc>
          <w:tcPr>
            <w:tcW w:w="0" w:type="auto"/>
            <w:gridSpan w:val="3"/>
            <w:shd w:val="clear" w:color="auto" w:fill="auto"/>
            <w:tcMar>
              <w:top w:w="40" w:type="dxa"/>
              <w:left w:w="20" w:type="dxa"/>
              <w:bottom w:w="40" w:type="dxa"/>
              <w:right w:w="20" w:type="dxa"/>
            </w:tcMar>
            <w:vAlign w:val="bottom"/>
          </w:tcPr>
          <w:p w14:paraId="5F2D390B" w14:textId="77777777" w:rsidR="00E836FB" w:rsidRDefault="00994958">
            <w:pPr>
              <w:textAlignment w:val="bottom"/>
            </w:pPr>
            <w:r>
              <w:rPr>
                <w:rFonts w:ascii="Arial" w:eastAsia="宋体" w:hAnsi="Arial" w:cs="Arial"/>
                <w:b/>
                <w:bCs/>
                <w:color w:val="000000"/>
                <w:sz w:val="14"/>
                <w:szCs w:val="14"/>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F2D390C" w14:textId="77777777" w:rsidR="00E836FB" w:rsidRDefault="00994958">
            <w:pPr>
              <w:jc w:val="center"/>
              <w:textAlignment w:val="bottom"/>
            </w:pPr>
            <w:r>
              <w:rPr>
                <w:rFonts w:ascii="Arial" w:eastAsia="宋体" w:hAnsi="Arial" w:cs="Arial"/>
                <w:b/>
                <w:bCs/>
                <w:color w:val="000000"/>
                <w:sz w:val="14"/>
                <w:szCs w:val="14"/>
              </w:rPr>
              <w:t>December 31, 2020</w:t>
            </w:r>
          </w:p>
        </w:tc>
      </w:tr>
      <w:tr w:rsidR="00E836FB" w14:paraId="5F2D3916" w14:textId="77777777">
        <w:trPr>
          <w:trHeight w:val="360"/>
        </w:trPr>
        <w:tc>
          <w:tcPr>
            <w:tcW w:w="0" w:type="auto"/>
            <w:gridSpan w:val="3"/>
            <w:shd w:val="clear" w:color="auto" w:fill="auto"/>
            <w:tcMar>
              <w:top w:w="0" w:type="dxa"/>
              <w:left w:w="20" w:type="dxa"/>
              <w:bottom w:w="0" w:type="dxa"/>
              <w:right w:w="20" w:type="dxa"/>
            </w:tcMar>
            <w:vAlign w:val="bottom"/>
          </w:tcPr>
          <w:p w14:paraId="5F2D390E"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90F" w14:textId="77777777" w:rsidR="00E836FB" w:rsidRDefault="00994958">
            <w:pPr>
              <w:jc w:val="center"/>
              <w:textAlignment w:val="bottom"/>
            </w:pPr>
            <w:r>
              <w:rPr>
                <w:rFonts w:ascii="Arial" w:eastAsia="宋体" w:hAnsi="Arial" w:cs="Arial"/>
                <w:b/>
                <w:bCs/>
                <w:color w:val="000000"/>
                <w:sz w:val="14"/>
                <w:szCs w:val="14"/>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10"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911" w14:textId="77777777" w:rsidR="00E836FB" w:rsidRDefault="00994958">
            <w:pPr>
              <w:jc w:val="center"/>
              <w:textAlignment w:val="bottom"/>
            </w:pPr>
            <w:r>
              <w:rPr>
                <w:rFonts w:ascii="Arial" w:eastAsia="宋体" w:hAnsi="Arial" w:cs="Arial"/>
                <w:b/>
                <w:bCs/>
                <w:color w:val="000000"/>
                <w:sz w:val="14"/>
                <w:szCs w:val="14"/>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12" w14:textId="77777777" w:rsidR="00E836FB" w:rsidRDefault="00E836F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F2D3913" w14:textId="77777777" w:rsidR="00E836FB" w:rsidRDefault="00994958">
            <w:pPr>
              <w:jc w:val="center"/>
              <w:textAlignment w:val="bottom"/>
            </w:pPr>
            <w:r>
              <w:rPr>
                <w:rFonts w:ascii="Arial" w:eastAsia="宋体" w:hAnsi="Arial" w:cs="Arial"/>
                <w:b/>
                <w:bCs/>
                <w:color w:val="000000"/>
                <w:sz w:val="14"/>
                <w:szCs w:val="14"/>
              </w:rPr>
              <w:t xml:space="preserve">Net Amounts of Liabilities </w:t>
            </w:r>
            <w:r>
              <w:rPr>
                <w:rFonts w:ascii="Arial" w:eastAsia="宋体" w:hAnsi="Arial" w:cs="Arial"/>
                <w:b/>
                <w:bCs/>
                <w:color w:val="000000"/>
                <w:sz w:val="14"/>
                <w:szCs w:val="14"/>
              </w:rPr>
              <w:t>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14"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3915" w14:textId="77777777" w:rsidR="00E836FB" w:rsidRDefault="00994958">
            <w:pPr>
              <w:jc w:val="center"/>
              <w:textAlignment w:val="bottom"/>
            </w:pPr>
            <w:r>
              <w:rPr>
                <w:rFonts w:ascii="Arial" w:eastAsia="宋体" w:hAnsi="Arial" w:cs="Arial"/>
                <w:b/>
                <w:bCs/>
                <w:color w:val="000000"/>
                <w:sz w:val="14"/>
                <w:szCs w:val="14"/>
              </w:rPr>
              <w:t>Gross Amounts Not Offset in Statement of Condition</w:t>
            </w:r>
          </w:p>
        </w:tc>
      </w:tr>
      <w:tr w:rsidR="00E836FB" w14:paraId="5F2D3921" w14:textId="77777777">
        <w:trPr>
          <w:trHeight w:val="360"/>
        </w:trPr>
        <w:tc>
          <w:tcPr>
            <w:tcW w:w="0" w:type="auto"/>
            <w:gridSpan w:val="3"/>
            <w:shd w:val="clear" w:color="auto" w:fill="auto"/>
            <w:tcMar>
              <w:top w:w="40" w:type="dxa"/>
              <w:left w:w="20" w:type="dxa"/>
              <w:bottom w:w="40" w:type="dxa"/>
              <w:right w:w="20" w:type="dxa"/>
            </w:tcMar>
            <w:vAlign w:val="bottom"/>
          </w:tcPr>
          <w:p w14:paraId="5F2D3917"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91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19"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91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1B" w14:textId="77777777" w:rsidR="00E836FB" w:rsidRDefault="00E836F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F2D391C" w14:textId="77777777" w:rsidR="00E836FB" w:rsidRDefault="00E836FB">
            <w:pPr>
              <w:jc w:val="center"/>
              <w:rPr>
                <w:rFonts w:ascii="宋体"/>
              </w:rPr>
            </w:pPr>
          </w:p>
        </w:tc>
        <w:tc>
          <w:tcPr>
            <w:tcW w:w="0" w:type="auto"/>
            <w:gridSpan w:val="3"/>
            <w:shd w:val="clear" w:color="auto" w:fill="auto"/>
            <w:tcMar>
              <w:top w:w="0" w:type="dxa"/>
              <w:left w:w="20" w:type="dxa"/>
              <w:bottom w:w="0" w:type="dxa"/>
              <w:right w:w="20" w:type="dxa"/>
            </w:tcMar>
            <w:vAlign w:val="bottom"/>
          </w:tcPr>
          <w:p w14:paraId="5F2D391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91E" w14:textId="77777777" w:rsidR="00E836FB" w:rsidRDefault="00994958">
            <w:pPr>
              <w:jc w:val="center"/>
              <w:textAlignment w:val="bottom"/>
            </w:pPr>
            <w:r>
              <w:rPr>
                <w:rFonts w:ascii="Arial" w:eastAsia="宋体" w:hAnsi="Arial" w:cs="Arial"/>
                <w:b/>
                <w:bCs/>
                <w:color w:val="000000"/>
                <w:sz w:val="14"/>
                <w:szCs w:val="14"/>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1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920" w14:textId="77777777" w:rsidR="00E836FB" w:rsidRDefault="00994958">
            <w:pPr>
              <w:jc w:val="center"/>
              <w:textAlignment w:val="bottom"/>
            </w:pPr>
            <w:r>
              <w:rPr>
                <w:rFonts w:ascii="Arial" w:eastAsia="宋体" w:hAnsi="Arial" w:cs="Arial"/>
                <w:b/>
                <w:bCs/>
                <w:color w:val="000000"/>
                <w:sz w:val="14"/>
                <w:szCs w:val="14"/>
              </w:rPr>
              <w:t>Net Amount</w:t>
            </w:r>
            <w:r>
              <w:rPr>
                <w:rFonts w:ascii="Arial" w:eastAsia="宋体" w:hAnsi="Arial" w:cs="Arial"/>
                <w:b/>
                <w:bCs/>
                <w:color w:val="000000"/>
                <w:sz w:val="9"/>
                <w:szCs w:val="9"/>
              </w:rPr>
              <w:t>(5)</w:t>
            </w:r>
          </w:p>
        </w:tc>
      </w:tr>
      <w:tr w:rsidR="00E836FB" w14:paraId="5F2D392C" w14:textId="77777777">
        <w:tc>
          <w:tcPr>
            <w:tcW w:w="0" w:type="auto"/>
            <w:gridSpan w:val="3"/>
            <w:shd w:val="clear" w:color="auto" w:fill="auto"/>
            <w:tcMar>
              <w:top w:w="40" w:type="dxa"/>
              <w:left w:w="20" w:type="dxa"/>
              <w:bottom w:w="40" w:type="dxa"/>
              <w:right w:w="20" w:type="dxa"/>
            </w:tcMar>
            <w:vAlign w:val="bottom"/>
          </w:tcPr>
          <w:p w14:paraId="5F2D3922" w14:textId="77777777" w:rsidR="00E836FB" w:rsidRDefault="00994958">
            <w:pPr>
              <w:textAlignment w:val="bottom"/>
            </w:pPr>
            <w:r>
              <w:rPr>
                <w:rFonts w:ascii="Arial" w:eastAsia="宋体" w:hAnsi="Arial" w:cs="Arial"/>
                <w:b/>
                <w:bCs/>
                <w:color w:val="000000"/>
                <w:sz w:val="14"/>
                <w:szCs w:val="14"/>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2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2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2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2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2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2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92B" w14:textId="77777777" w:rsidR="00E836FB" w:rsidRDefault="00E836FB">
            <w:pPr>
              <w:rPr>
                <w:rFonts w:ascii="宋体"/>
              </w:rPr>
            </w:pPr>
          </w:p>
        </w:tc>
      </w:tr>
      <w:tr w:rsidR="00E836FB" w14:paraId="5F2D3941" w14:textId="77777777">
        <w:tc>
          <w:tcPr>
            <w:tcW w:w="0" w:type="auto"/>
            <w:gridSpan w:val="3"/>
            <w:shd w:val="clear" w:color="auto" w:fill="CCEEFF"/>
            <w:tcMar>
              <w:top w:w="40" w:type="dxa"/>
              <w:left w:w="20" w:type="dxa"/>
              <w:bottom w:w="40" w:type="dxa"/>
              <w:right w:w="20" w:type="dxa"/>
            </w:tcMar>
            <w:vAlign w:val="bottom"/>
          </w:tcPr>
          <w:p w14:paraId="5F2D392D" w14:textId="77777777" w:rsidR="00E836FB" w:rsidRDefault="00994958">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5F2D392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92F" w14:textId="77777777" w:rsidR="00E836FB" w:rsidRDefault="00994958">
            <w:pPr>
              <w:jc w:val="right"/>
              <w:textAlignment w:val="bottom"/>
            </w:pPr>
            <w:r>
              <w:rPr>
                <w:rFonts w:ascii="Arial" w:eastAsia="宋体" w:hAnsi="Arial" w:cs="Arial"/>
                <w:color w:val="000000"/>
                <w:sz w:val="14"/>
                <w:szCs w:val="14"/>
              </w:rPr>
              <w:t>25,927 </w:t>
            </w:r>
          </w:p>
        </w:tc>
        <w:tc>
          <w:tcPr>
            <w:tcW w:w="0" w:type="auto"/>
            <w:shd w:val="clear" w:color="auto" w:fill="CCEEFF"/>
            <w:tcMar>
              <w:top w:w="40" w:type="dxa"/>
              <w:left w:w="0" w:type="dxa"/>
              <w:bottom w:w="40" w:type="dxa"/>
              <w:right w:w="20" w:type="dxa"/>
            </w:tcMar>
            <w:vAlign w:val="bottom"/>
          </w:tcPr>
          <w:p w14:paraId="5F2D39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3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93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933" w14:textId="77777777" w:rsidR="00E836FB" w:rsidRDefault="00994958">
            <w:pPr>
              <w:jc w:val="right"/>
              <w:textAlignment w:val="bottom"/>
            </w:pPr>
            <w:r>
              <w:rPr>
                <w:rFonts w:ascii="Arial" w:eastAsia="宋体" w:hAnsi="Arial" w:cs="Arial"/>
                <w:color w:val="000000"/>
                <w:sz w:val="14"/>
                <w:szCs w:val="14"/>
              </w:rPr>
              <w:t>(14,271)</w:t>
            </w:r>
          </w:p>
        </w:tc>
        <w:tc>
          <w:tcPr>
            <w:tcW w:w="0" w:type="auto"/>
            <w:shd w:val="clear" w:color="auto" w:fill="CCEEFF"/>
            <w:tcMar>
              <w:top w:w="40" w:type="dxa"/>
              <w:left w:w="0" w:type="dxa"/>
              <w:bottom w:w="40" w:type="dxa"/>
              <w:right w:w="20" w:type="dxa"/>
            </w:tcMar>
            <w:vAlign w:val="bottom"/>
          </w:tcPr>
          <w:p w14:paraId="5F2D393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3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93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937" w14:textId="77777777" w:rsidR="00E836FB" w:rsidRDefault="00994958">
            <w:pPr>
              <w:jc w:val="right"/>
              <w:textAlignment w:val="bottom"/>
            </w:pPr>
            <w:r>
              <w:rPr>
                <w:rFonts w:ascii="Arial" w:eastAsia="宋体" w:hAnsi="Arial" w:cs="Arial"/>
                <w:color w:val="000000"/>
                <w:sz w:val="14"/>
                <w:szCs w:val="14"/>
              </w:rPr>
              <w:t>11,656 </w:t>
            </w:r>
          </w:p>
        </w:tc>
        <w:tc>
          <w:tcPr>
            <w:tcW w:w="0" w:type="auto"/>
            <w:shd w:val="clear" w:color="auto" w:fill="CCEEFF"/>
            <w:tcMar>
              <w:top w:w="40" w:type="dxa"/>
              <w:left w:w="0" w:type="dxa"/>
              <w:bottom w:w="40" w:type="dxa"/>
              <w:right w:w="20" w:type="dxa"/>
            </w:tcMar>
            <w:vAlign w:val="bottom"/>
          </w:tcPr>
          <w:p w14:paraId="5F2D393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3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93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93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9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3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93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93F" w14:textId="77777777" w:rsidR="00E836FB" w:rsidRDefault="00994958">
            <w:pPr>
              <w:jc w:val="right"/>
              <w:textAlignment w:val="bottom"/>
            </w:pPr>
            <w:r>
              <w:rPr>
                <w:rFonts w:ascii="Arial" w:eastAsia="宋体" w:hAnsi="Arial" w:cs="Arial"/>
                <w:color w:val="000000"/>
                <w:sz w:val="14"/>
                <w:szCs w:val="14"/>
              </w:rPr>
              <w:t>11,656 </w:t>
            </w:r>
          </w:p>
        </w:tc>
        <w:tc>
          <w:tcPr>
            <w:tcW w:w="0" w:type="auto"/>
            <w:shd w:val="clear" w:color="auto" w:fill="CCEEFF"/>
            <w:tcMar>
              <w:top w:w="40" w:type="dxa"/>
              <w:left w:w="0" w:type="dxa"/>
              <w:bottom w:w="40" w:type="dxa"/>
              <w:right w:w="20" w:type="dxa"/>
            </w:tcMar>
            <w:vAlign w:val="bottom"/>
          </w:tcPr>
          <w:p w14:paraId="5F2D3940" w14:textId="77777777" w:rsidR="00E836FB" w:rsidRDefault="00E836FB">
            <w:pPr>
              <w:jc w:val="right"/>
              <w:rPr>
                <w:rFonts w:ascii="宋体"/>
              </w:rPr>
            </w:pPr>
          </w:p>
        </w:tc>
      </w:tr>
      <w:tr w:rsidR="00E836FB" w14:paraId="5F2D3951" w14:textId="77777777">
        <w:tc>
          <w:tcPr>
            <w:tcW w:w="0" w:type="auto"/>
            <w:gridSpan w:val="3"/>
            <w:shd w:val="clear" w:color="auto" w:fill="FFFFFF"/>
            <w:tcMar>
              <w:top w:w="40" w:type="dxa"/>
              <w:left w:w="20" w:type="dxa"/>
              <w:bottom w:w="40" w:type="dxa"/>
              <w:right w:w="20" w:type="dxa"/>
            </w:tcMar>
            <w:vAlign w:val="bottom"/>
          </w:tcPr>
          <w:p w14:paraId="5F2D3942" w14:textId="77777777" w:rsidR="00E836FB" w:rsidRDefault="00994958">
            <w:pPr>
              <w:textAlignment w:val="bottom"/>
            </w:pPr>
            <w:r>
              <w:rPr>
                <w:rFonts w:ascii="Arial" w:eastAsia="宋体" w:hAnsi="Arial" w:cs="Arial"/>
                <w:color w:val="000000"/>
                <w:sz w:val="14"/>
                <w:szCs w:val="14"/>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F2D3943" w14:textId="77777777" w:rsidR="00E836FB" w:rsidRDefault="00994958">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F2D39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4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94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4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49" w14:textId="77777777" w:rsidR="00E836FB" w:rsidRDefault="00994958">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F2D394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4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4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9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4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4F" w14:textId="77777777" w:rsidR="00E836FB" w:rsidRDefault="00994958">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F2D3950" w14:textId="77777777" w:rsidR="00E836FB" w:rsidRDefault="00E836FB">
            <w:pPr>
              <w:jc w:val="right"/>
              <w:rPr>
                <w:rFonts w:ascii="宋体"/>
              </w:rPr>
            </w:pPr>
          </w:p>
        </w:tc>
      </w:tr>
      <w:tr w:rsidR="00E836FB" w14:paraId="5F2D3961" w14:textId="77777777">
        <w:tc>
          <w:tcPr>
            <w:tcW w:w="0" w:type="auto"/>
            <w:gridSpan w:val="3"/>
            <w:shd w:val="clear" w:color="auto" w:fill="CCEEFF"/>
            <w:tcMar>
              <w:top w:w="40" w:type="dxa"/>
              <w:left w:w="20" w:type="dxa"/>
              <w:bottom w:w="40" w:type="dxa"/>
              <w:right w:w="20" w:type="dxa"/>
            </w:tcMar>
            <w:vAlign w:val="bottom"/>
          </w:tcPr>
          <w:p w14:paraId="5F2D3952" w14:textId="77777777" w:rsidR="00E836FB" w:rsidRDefault="00994958">
            <w:pPr>
              <w:textAlignment w:val="bottom"/>
            </w:pPr>
            <w:r>
              <w:rPr>
                <w:rFonts w:ascii="Arial" w:eastAsia="宋体" w:hAnsi="Arial" w:cs="Arial"/>
                <w:color w:val="000000"/>
                <w:sz w:val="14"/>
                <w:szCs w:val="14"/>
              </w:rPr>
              <w:t>Other derivative contracts</w:t>
            </w:r>
          </w:p>
        </w:tc>
        <w:tc>
          <w:tcPr>
            <w:tcW w:w="0" w:type="auto"/>
            <w:gridSpan w:val="2"/>
            <w:shd w:val="clear" w:color="auto" w:fill="CCEEFF"/>
            <w:tcMar>
              <w:top w:w="40" w:type="dxa"/>
              <w:left w:w="20" w:type="dxa"/>
              <w:bottom w:w="40" w:type="dxa"/>
              <w:right w:w="0" w:type="dxa"/>
            </w:tcMar>
            <w:vAlign w:val="bottom"/>
          </w:tcPr>
          <w:p w14:paraId="5F2D3953" w14:textId="77777777" w:rsidR="00E836FB" w:rsidRDefault="00994958">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F2D395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5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5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9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5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59" w14:textId="77777777" w:rsidR="00E836FB" w:rsidRDefault="00994958">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F2D39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5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5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95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5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5F" w14:textId="77777777" w:rsidR="00E836FB" w:rsidRDefault="00994958">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F2D3960" w14:textId="77777777" w:rsidR="00E836FB" w:rsidRDefault="00E836FB">
            <w:pPr>
              <w:jc w:val="right"/>
              <w:rPr>
                <w:rFonts w:ascii="宋体"/>
              </w:rPr>
            </w:pPr>
          </w:p>
        </w:tc>
      </w:tr>
      <w:tr w:rsidR="00E836FB" w14:paraId="5F2D3970" w14:textId="77777777">
        <w:tc>
          <w:tcPr>
            <w:tcW w:w="0" w:type="auto"/>
            <w:gridSpan w:val="3"/>
            <w:shd w:val="clear" w:color="auto" w:fill="FFFFFF"/>
            <w:tcMar>
              <w:top w:w="40" w:type="dxa"/>
              <w:left w:w="20" w:type="dxa"/>
              <w:bottom w:w="40" w:type="dxa"/>
              <w:right w:w="20" w:type="dxa"/>
            </w:tcMar>
            <w:vAlign w:val="bottom"/>
          </w:tcPr>
          <w:p w14:paraId="5F2D3962" w14:textId="77777777" w:rsidR="00E836FB" w:rsidRDefault="00994958">
            <w:pPr>
              <w:textAlignment w:val="bottom"/>
            </w:pPr>
            <w:r>
              <w:rPr>
                <w:rFonts w:ascii="Arial" w:eastAsia="宋体" w:hAnsi="Arial" w:cs="Arial"/>
                <w:color w:val="000000"/>
                <w:sz w:val="14"/>
                <w:szCs w:val="14"/>
              </w:rPr>
              <w:t>Cash collateral and securities netting</w:t>
            </w:r>
          </w:p>
        </w:tc>
        <w:tc>
          <w:tcPr>
            <w:tcW w:w="0" w:type="auto"/>
            <w:gridSpan w:val="3"/>
            <w:shd w:val="clear" w:color="auto" w:fill="FFFFFF"/>
            <w:tcMar>
              <w:top w:w="40" w:type="dxa"/>
              <w:left w:w="20" w:type="dxa"/>
              <w:bottom w:w="40" w:type="dxa"/>
              <w:right w:w="20" w:type="dxa"/>
            </w:tcMar>
            <w:vAlign w:val="bottom"/>
          </w:tcPr>
          <w:p w14:paraId="5F2D3963" w14:textId="77777777" w:rsidR="00E836FB" w:rsidRDefault="00994958">
            <w:pPr>
              <w:jc w:val="right"/>
              <w:textAlignment w:val="bottom"/>
            </w:pPr>
            <w:r>
              <w:rPr>
                <w:rFonts w:ascii="Arial" w:eastAsia="宋体" w:hAnsi="Arial" w:cs="Arial"/>
                <w:color w:val="000000"/>
                <w:sz w:val="14"/>
                <w:szCs w:val="14"/>
              </w:rPr>
              <w:t>NA</w:t>
            </w:r>
          </w:p>
        </w:tc>
        <w:tc>
          <w:tcPr>
            <w:tcW w:w="0" w:type="auto"/>
            <w:gridSpan w:val="3"/>
            <w:shd w:val="clear" w:color="auto" w:fill="FFFFFF"/>
            <w:tcMar>
              <w:top w:w="0" w:type="dxa"/>
              <w:left w:w="20" w:type="dxa"/>
              <w:bottom w:w="0" w:type="dxa"/>
              <w:right w:w="20" w:type="dxa"/>
            </w:tcMar>
            <w:vAlign w:val="bottom"/>
          </w:tcPr>
          <w:p w14:paraId="5F2D39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65" w14:textId="77777777" w:rsidR="00E836FB" w:rsidRDefault="00994958">
            <w:pPr>
              <w:jc w:val="right"/>
              <w:textAlignment w:val="bottom"/>
            </w:pPr>
            <w:r>
              <w:rPr>
                <w:rFonts w:ascii="Arial" w:eastAsia="宋体" w:hAnsi="Arial" w:cs="Arial"/>
                <w:color w:val="000000"/>
                <w:sz w:val="14"/>
                <w:szCs w:val="14"/>
              </w:rPr>
              <w:t>(1,287)</w:t>
            </w:r>
          </w:p>
        </w:tc>
        <w:tc>
          <w:tcPr>
            <w:tcW w:w="0" w:type="auto"/>
            <w:shd w:val="clear" w:color="auto" w:fill="FFFFFF"/>
            <w:tcMar>
              <w:top w:w="40" w:type="dxa"/>
              <w:left w:w="0" w:type="dxa"/>
              <w:bottom w:w="40" w:type="dxa"/>
              <w:right w:w="20" w:type="dxa"/>
            </w:tcMar>
            <w:vAlign w:val="bottom"/>
          </w:tcPr>
          <w:p w14:paraId="5F2D39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68" w14:textId="77777777" w:rsidR="00E836FB" w:rsidRDefault="00994958">
            <w:pPr>
              <w:jc w:val="right"/>
              <w:textAlignment w:val="bottom"/>
            </w:pPr>
            <w:r>
              <w:rPr>
                <w:rFonts w:ascii="Arial" w:eastAsia="宋体" w:hAnsi="Arial" w:cs="Arial"/>
                <w:color w:val="000000"/>
                <w:sz w:val="14"/>
                <w:szCs w:val="14"/>
              </w:rPr>
              <w:t>(1,287)</w:t>
            </w:r>
          </w:p>
        </w:tc>
        <w:tc>
          <w:tcPr>
            <w:tcW w:w="0" w:type="auto"/>
            <w:shd w:val="clear" w:color="auto" w:fill="FFFFFF"/>
            <w:tcMar>
              <w:top w:w="40" w:type="dxa"/>
              <w:left w:w="0" w:type="dxa"/>
              <w:bottom w:w="40" w:type="dxa"/>
              <w:right w:w="20" w:type="dxa"/>
            </w:tcMar>
            <w:vAlign w:val="bottom"/>
          </w:tcPr>
          <w:p w14:paraId="5F2D39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6B" w14:textId="77777777" w:rsidR="00E836FB" w:rsidRDefault="00994958">
            <w:pPr>
              <w:jc w:val="right"/>
              <w:textAlignment w:val="bottom"/>
            </w:pPr>
            <w:r>
              <w:rPr>
                <w:rFonts w:ascii="Arial" w:eastAsia="宋体" w:hAnsi="Arial" w:cs="Arial"/>
                <w:color w:val="000000"/>
                <w:sz w:val="14"/>
                <w:szCs w:val="14"/>
              </w:rPr>
              <w:t>(1,732)</w:t>
            </w:r>
          </w:p>
        </w:tc>
        <w:tc>
          <w:tcPr>
            <w:tcW w:w="0" w:type="auto"/>
            <w:shd w:val="clear" w:color="auto" w:fill="FFFFFF"/>
            <w:tcMar>
              <w:top w:w="40" w:type="dxa"/>
              <w:left w:w="0" w:type="dxa"/>
              <w:bottom w:w="40" w:type="dxa"/>
              <w:right w:w="20" w:type="dxa"/>
            </w:tcMar>
            <w:vAlign w:val="bottom"/>
          </w:tcPr>
          <w:p w14:paraId="5F2D39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96E" w14:textId="77777777" w:rsidR="00E836FB" w:rsidRDefault="00994958">
            <w:pPr>
              <w:jc w:val="right"/>
              <w:textAlignment w:val="bottom"/>
            </w:pPr>
            <w:r>
              <w:rPr>
                <w:rFonts w:ascii="Arial" w:eastAsia="宋体" w:hAnsi="Arial" w:cs="Arial"/>
                <w:color w:val="000000"/>
                <w:sz w:val="14"/>
                <w:szCs w:val="14"/>
              </w:rPr>
              <w:t>(3,019)</w:t>
            </w:r>
          </w:p>
        </w:tc>
        <w:tc>
          <w:tcPr>
            <w:tcW w:w="0" w:type="auto"/>
            <w:shd w:val="clear" w:color="auto" w:fill="FFFFFF"/>
            <w:tcMar>
              <w:top w:w="40" w:type="dxa"/>
              <w:left w:w="0" w:type="dxa"/>
              <w:bottom w:w="40" w:type="dxa"/>
              <w:right w:w="20" w:type="dxa"/>
            </w:tcMar>
            <w:vAlign w:val="bottom"/>
          </w:tcPr>
          <w:p w14:paraId="5F2D396F" w14:textId="77777777" w:rsidR="00E836FB" w:rsidRDefault="00E836FB">
            <w:pPr>
              <w:jc w:val="right"/>
              <w:rPr>
                <w:rFonts w:ascii="宋体"/>
              </w:rPr>
            </w:pPr>
          </w:p>
        </w:tc>
      </w:tr>
      <w:tr w:rsidR="00E836FB" w14:paraId="5F2D3980" w14:textId="77777777">
        <w:tc>
          <w:tcPr>
            <w:tcW w:w="0" w:type="auto"/>
            <w:gridSpan w:val="3"/>
            <w:shd w:val="clear" w:color="auto" w:fill="CCEEFF"/>
            <w:tcMar>
              <w:top w:w="40" w:type="dxa"/>
              <w:left w:w="20" w:type="dxa"/>
              <w:bottom w:w="40" w:type="dxa"/>
              <w:right w:w="20" w:type="dxa"/>
            </w:tcMar>
            <w:vAlign w:val="bottom"/>
          </w:tcPr>
          <w:p w14:paraId="5F2D3971" w14:textId="77777777" w:rsidR="00E836FB" w:rsidRDefault="00994958">
            <w:pPr>
              <w:textAlignment w:val="bottom"/>
            </w:pPr>
            <w:r>
              <w:rPr>
                <w:rFonts w:ascii="Arial" w:eastAsia="宋体" w:hAnsi="Arial" w:cs="Arial"/>
                <w:color w:val="000000"/>
                <w:sz w:val="14"/>
                <w:szCs w:val="14"/>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972" w14:textId="77777777" w:rsidR="00E836FB" w:rsidRDefault="00994958">
            <w:pPr>
              <w:jc w:val="right"/>
              <w:textAlignment w:val="bottom"/>
            </w:pPr>
            <w:r>
              <w:rPr>
                <w:rFonts w:ascii="Arial" w:eastAsia="宋体" w:hAnsi="Arial" w:cs="Arial"/>
                <w:color w:val="000000"/>
                <w:sz w:val="14"/>
                <w:szCs w:val="14"/>
              </w:rPr>
              <w:t>26,126 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9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7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975" w14:textId="77777777" w:rsidR="00E836FB" w:rsidRDefault="00994958">
            <w:pPr>
              <w:jc w:val="right"/>
              <w:textAlignment w:val="bottom"/>
            </w:pPr>
            <w:r>
              <w:rPr>
                <w:rFonts w:ascii="Arial" w:eastAsia="宋体" w:hAnsi="Arial" w:cs="Arial"/>
                <w:color w:val="000000"/>
                <w:sz w:val="14"/>
                <w:szCs w:val="14"/>
              </w:rPr>
              <w:t>(15,558)</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9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7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978" w14:textId="77777777" w:rsidR="00E836FB" w:rsidRDefault="00994958">
            <w:pPr>
              <w:jc w:val="right"/>
              <w:textAlignment w:val="bottom"/>
            </w:pPr>
            <w:r>
              <w:rPr>
                <w:rFonts w:ascii="Arial" w:eastAsia="宋体" w:hAnsi="Arial" w:cs="Arial"/>
                <w:color w:val="000000"/>
                <w:sz w:val="14"/>
                <w:szCs w:val="14"/>
              </w:rPr>
              <w:t>10,568 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9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7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97B" w14:textId="77777777" w:rsidR="00E836FB" w:rsidRDefault="00994958">
            <w:pPr>
              <w:jc w:val="right"/>
              <w:textAlignment w:val="bottom"/>
            </w:pPr>
            <w:r>
              <w:rPr>
                <w:rFonts w:ascii="Arial" w:eastAsia="宋体" w:hAnsi="Arial" w:cs="Arial"/>
                <w:color w:val="000000"/>
                <w:sz w:val="14"/>
                <w:szCs w:val="14"/>
              </w:rPr>
              <w:t>(1,732)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9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7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97E" w14:textId="77777777" w:rsidR="00E836FB" w:rsidRDefault="00994958">
            <w:pPr>
              <w:jc w:val="right"/>
              <w:textAlignment w:val="bottom"/>
            </w:pPr>
            <w:r>
              <w:rPr>
                <w:rFonts w:ascii="Arial" w:eastAsia="宋体" w:hAnsi="Arial" w:cs="Arial"/>
                <w:color w:val="000000"/>
                <w:sz w:val="14"/>
                <w:szCs w:val="14"/>
              </w:rPr>
              <w:t>8,836 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97F" w14:textId="77777777" w:rsidR="00E836FB" w:rsidRDefault="00E836FB">
            <w:pPr>
              <w:jc w:val="right"/>
              <w:rPr>
                <w:rFonts w:ascii="宋体"/>
              </w:rPr>
            </w:pPr>
          </w:p>
        </w:tc>
      </w:tr>
      <w:tr w:rsidR="00E836FB" w14:paraId="5F2D398B" w14:textId="77777777">
        <w:tc>
          <w:tcPr>
            <w:tcW w:w="0" w:type="auto"/>
            <w:gridSpan w:val="3"/>
            <w:shd w:val="clear" w:color="auto" w:fill="FFFFFF"/>
            <w:tcMar>
              <w:top w:w="40" w:type="dxa"/>
              <w:left w:w="20" w:type="dxa"/>
              <w:bottom w:w="40" w:type="dxa"/>
              <w:right w:w="20" w:type="dxa"/>
            </w:tcMar>
            <w:vAlign w:val="bottom"/>
          </w:tcPr>
          <w:p w14:paraId="5F2D3981" w14:textId="77777777" w:rsidR="00E836FB" w:rsidRDefault="00994958">
            <w:pPr>
              <w:textAlignment w:val="bottom"/>
            </w:pPr>
            <w:r>
              <w:rPr>
                <w:rFonts w:ascii="Arial" w:eastAsia="宋体" w:hAnsi="Arial" w:cs="Arial"/>
                <w:b/>
                <w:bCs/>
                <w:color w:val="000000"/>
                <w:sz w:val="14"/>
                <w:szCs w:val="14"/>
              </w:rPr>
              <w:t>Other financial instruments:</w:t>
            </w:r>
          </w:p>
        </w:tc>
        <w:tc>
          <w:tcPr>
            <w:tcW w:w="0" w:type="auto"/>
            <w:gridSpan w:val="3"/>
            <w:shd w:val="clear" w:color="auto" w:fill="FFFFFF"/>
            <w:tcMar>
              <w:top w:w="0" w:type="dxa"/>
              <w:left w:w="20" w:type="dxa"/>
              <w:bottom w:w="0" w:type="dxa"/>
              <w:right w:w="20" w:type="dxa"/>
            </w:tcMar>
            <w:vAlign w:val="bottom"/>
          </w:tcPr>
          <w:p w14:paraId="5F2D398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98A" w14:textId="77777777" w:rsidR="00E836FB" w:rsidRDefault="00E836FB">
            <w:pPr>
              <w:rPr>
                <w:rFonts w:ascii="宋体"/>
              </w:rPr>
            </w:pPr>
          </w:p>
        </w:tc>
      </w:tr>
      <w:tr w:rsidR="00E836FB" w14:paraId="5F2D399B" w14:textId="77777777">
        <w:tc>
          <w:tcPr>
            <w:tcW w:w="0" w:type="auto"/>
            <w:gridSpan w:val="3"/>
            <w:shd w:val="clear" w:color="auto" w:fill="CCEEFF"/>
            <w:tcMar>
              <w:top w:w="40" w:type="dxa"/>
              <w:left w:w="20" w:type="dxa"/>
              <w:bottom w:w="40" w:type="dxa"/>
              <w:right w:w="20" w:type="dxa"/>
            </w:tcMar>
            <w:vAlign w:val="bottom"/>
          </w:tcPr>
          <w:p w14:paraId="5F2D398C" w14:textId="77777777" w:rsidR="00E836FB" w:rsidRDefault="00994958">
            <w:pPr>
              <w:textAlignment w:val="bottom"/>
            </w:pPr>
            <w:r>
              <w:rPr>
                <w:rFonts w:ascii="Arial" w:eastAsia="宋体" w:hAnsi="Arial" w:cs="Arial"/>
                <w:color w:val="000000"/>
                <w:sz w:val="14"/>
                <w:szCs w:val="14"/>
              </w:rPr>
              <w:t>Repurchase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5F2D398D" w14:textId="77777777" w:rsidR="00E836FB" w:rsidRDefault="00994958">
            <w:pPr>
              <w:jc w:val="right"/>
              <w:textAlignment w:val="bottom"/>
            </w:pPr>
            <w:r>
              <w:rPr>
                <w:rFonts w:ascii="Arial" w:eastAsia="宋体" w:hAnsi="Arial" w:cs="Arial"/>
                <w:color w:val="000000"/>
                <w:sz w:val="14"/>
                <w:szCs w:val="14"/>
              </w:rPr>
              <w:t>165,793 </w:t>
            </w:r>
          </w:p>
        </w:tc>
        <w:tc>
          <w:tcPr>
            <w:tcW w:w="0" w:type="auto"/>
            <w:shd w:val="clear" w:color="auto" w:fill="CCEEFF"/>
            <w:tcMar>
              <w:top w:w="40" w:type="dxa"/>
              <w:left w:w="0" w:type="dxa"/>
              <w:bottom w:w="40" w:type="dxa"/>
              <w:right w:w="20" w:type="dxa"/>
            </w:tcMar>
            <w:vAlign w:val="bottom"/>
          </w:tcPr>
          <w:p w14:paraId="5F2D39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90" w14:textId="77777777" w:rsidR="00E836FB" w:rsidRDefault="00994958">
            <w:pPr>
              <w:jc w:val="right"/>
              <w:textAlignment w:val="bottom"/>
            </w:pPr>
            <w:r>
              <w:rPr>
                <w:rFonts w:ascii="Arial" w:eastAsia="宋体" w:hAnsi="Arial" w:cs="Arial"/>
                <w:color w:val="000000"/>
                <w:sz w:val="14"/>
                <w:szCs w:val="14"/>
              </w:rPr>
              <w:t>(153,025)</w:t>
            </w:r>
          </w:p>
        </w:tc>
        <w:tc>
          <w:tcPr>
            <w:tcW w:w="0" w:type="auto"/>
            <w:shd w:val="clear" w:color="auto" w:fill="CCEEFF"/>
            <w:tcMar>
              <w:top w:w="40" w:type="dxa"/>
              <w:left w:w="0" w:type="dxa"/>
              <w:bottom w:w="40" w:type="dxa"/>
              <w:right w:w="20" w:type="dxa"/>
            </w:tcMar>
            <w:vAlign w:val="bottom"/>
          </w:tcPr>
          <w:p w14:paraId="5F2D39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93" w14:textId="77777777" w:rsidR="00E836FB" w:rsidRDefault="00994958">
            <w:pPr>
              <w:jc w:val="right"/>
              <w:textAlignment w:val="bottom"/>
            </w:pPr>
            <w:r>
              <w:rPr>
                <w:rFonts w:ascii="Arial" w:eastAsia="宋体" w:hAnsi="Arial" w:cs="Arial"/>
                <w:color w:val="000000"/>
                <w:sz w:val="14"/>
                <w:szCs w:val="14"/>
              </w:rPr>
              <w:t>12,768 </w:t>
            </w:r>
          </w:p>
        </w:tc>
        <w:tc>
          <w:tcPr>
            <w:tcW w:w="0" w:type="auto"/>
            <w:shd w:val="clear" w:color="auto" w:fill="CCEEFF"/>
            <w:tcMar>
              <w:top w:w="40" w:type="dxa"/>
              <w:left w:w="0" w:type="dxa"/>
              <w:bottom w:w="40" w:type="dxa"/>
              <w:right w:w="20" w:type="dxa"/>
            </w:tcMar>
            <w:vAlign w:val="bottom"/>
          </w:tcPr>
          <w:p w14:paraId="5F2D39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9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96" w14:textId="77777777" w:rsidR="00E836FB" w:rsidRDefault="00994958">
            <w:pPr>
              <w:jc w:val="right"/>
              <w:textAlignment w:val="bottom"/>
            </w:pPr>
            <w:r>
              <w:rPr>
                <w:rFonts w:ascii="Arial" w:eastAsia="宋体" w:hAnsi="Arial" w:cs="Arial"/>
                <w:color w:val="000000"/>
                <w:sz w:val="14"/>
                <w:szCs w:val="14"/>
              </w:rPr>
              <w:t>(12,448)</w:t>
            </w:r>
          </w:p>
        </w:tc>
        <w:tc>
          <w:tcPr>
            <w:tcW w:w="0" w:type="auto"/>
            <w:shd w:val="clear" w:color="auto" w:fill="CCEEFF"/>
            <w:tcMar>
              <w:top w:w="40" w:type="dxa"/>
              <w:left w:w="0" w:type="dxa"/>
              <w:bottom w:w="40" w:type="dxa"/>
              <w:right w:w="20" w:type="dxa"/>
            </w:tcMar>
            <w:vAlign w:val="bottom"/>
          </w:tcPr>
          <w:p w14:paraId="5F2D39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9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999" w14:textId="77777777" w:rsidR="00E836FB" w:rsidRDefault="00994958">
            <w:pPr>
              <w:jc w:val="right"/>
              <w:textAlignment w:val="bottom"/>
            </w:pPr>
            <w:r>
              <w:rPr>
                <w:rFonts w:ascii="Arial" w:eastAsia="宋体" w:hAnsi="Arial" w:cs="Arial"/>
                <w:color w:val="000000"/>
                <w:sz w:val="14"/>
                <w:szCs w:val="14"/>
              </w:rPr>
              <w:t>320 </w:t>
            </w:r>
          </w:p>
        </w:tc>
        <w:tc>
          <w:tcPr>
            <w:tcW w:w="0" w:type="auto"/>
            <w:shd w:val="clear" w:color="auto" w:fill="CCEEFF"/>
            <w:tcMar>
              <w:top w:w="40" w:type="dxa"/>
              <w:left w:w="0" w:type="dxa"/>
              <w:bottom w:w="40" w:type="dxa"/>
              <w:right w:w="20" w:type="dxa"/>
            </w:tcMar>
            <w:vAlign w:val="bottom"/>
          </w:tcPr>
          <w:p w14:paraId="5F2D399A" w14:textId="77777777" w:rsidR="00E836FB" w:rsidRDefault="00E836FB">
            <w:pPr>
              <w:jc w:val="right"/>
              <w:rPr>
                <w:rFonts w:ascii="宋体"/>
              </w:rPr>
            </w:pPr>
          </w:p>
        </w:tc>
      </w:tr>
      <w:tr w:rsidR="00E836FB" w14:paraId="5F2D39B0" w14:textId="77777777">
        <w:tc>
          <w:tcPr>
            <w:tcW w:w="0" w:type="auto"/>
            <w:gridSpan w:val="3"/>
            <w:shd w:val="clear" w:color="auto" w:fill="FFFFFF"/>
            <w:tcMar>
              <w:top w:w="40" w:type="dxa"/>
              <w:left w:w="20" w:type="dxa"/>
              <w:bottom w:w="40" w:type="dxa"/>
              <w:right w:w="20" w:type="dxa"/>
            </w:tcMar>
            <w:vAlign w:val="bottom"/>
          </w:tcPr>
          <w:p w14:paraId="5F2D399C" w14:textId="77777777" w:rsidR="00E836FB" w:rsidRDefault="00994958">
            <w:pPr>
              <w:textAlignment w:val="bottom"/>
            </w:pPr>
            <w:r>
              <w:rPr>
                <w:rFonts w:ascii="Arial" w:eastAsia="宋体" w:hAnsi="Arial" w:cs="Arial"/>
                <w:color w:val="000000"/>
                <w:sz w:val="14"/>
                <w:szCs w:val="14"/>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99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99E" w14:textId="77777777" w:rsidR="00E836FB" w:rsidRDefault="00994958">
            <w:pPr>
              <w:jc w:val="right"/>
              <w:textAlignment w:val="bottom"/>
            </w:pPr>
            <w:r>
              <w:rPr>
                <w:rFonts w:ascii="Arial" w:eastAsia="宋体" w:hAnsi="Arial" w:cs="Arial"/>
                <w:color w:val="000000"/>
                <w:sz w:val="14"/>
                <w:szCs w:val="14"/>
              </w:rPr>
              <w:t>191,919 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9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A0"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9A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9A2" w14:textId="77777777" w:rsidR="00E836FB" w:rsidRDefault="00994958">
            <w:pPr>
              <w:jc w:val="right"/>
              <w:textAlignment w:val="bottom"/>
            </w:pPr>
            <w:r>
              <w:rPr>
                <w:rFonts w:ascii="Arial" w:eastAsia="宋体" w:hAnsi="Arial" w:cs="Arial"/>
                <w:color w:val="000000"/>
                <w:sz w:val="14"/>
                <w:szCs w:val="14"/>
              </w:rPr>
              <w:t>(168,583)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9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A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9A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9A6" w14:textId="77777777" w:rsidR="00E836FB" w:rsidRDefault="00994958">
            <w:pPr>
              <w:jc w:val="right"/>
              <w:textAlignment w:val="bottom"/>
            </w:pPr>
            <w:r>
              <w:rPr>
                <w:rFonts w:ascii="Arial" w:eastAsia="宋体" w:hAnsi="Arial" w:cs="Arial"/>
                <w:color w:val="000000"/>
                <w:sz w:val="14"/>
                <w:szCs w:val="14"/>
              </w:rPr>
              <w:t>23,336 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9A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A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9A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9AA" w14:textId="77777777" w:rsidR="00E836FB" w:rsidRDefault="00994958">
            <w:pPr>
              <w:jc w:val="right"/>
              <w:textAlignment w:val="bottom"/>
            </w:pPr>
            <w:r>
              <w:rPr>
                <w:rFonts w:ascii="Arial" w:eastAsia="宋体" w:hAnsi="Arial" w:cs="Arial"/>
                <w:color w:val="000000"/>
                <w:sz w:val="14"/>
                <w:szCs w:val="14"/>
              </w:rPr>
              <w:t>(14,180)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9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9AC"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39A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39AE" w14:textId="77777777" w:rsidR="00E836FB" w:rsidRDefault="00994958">
            <w:pPr>
              <w:jc w:val="right"/>
              <w:textAlignment w:val="bottom"/>
            </w:pPr>
            <w:r>
              <w:rPr>
                <w:rFonts w:ascii="Arial" w:eastAsia="宋体" w:hAnsi="Arial" w:cs="Arial"/>
                <w:color w:val="000000"/>
                <w:sz w:val="14"/>
                <w:szCs w:val="14"/>
              </w:rPr>
              <w:t>9,156 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39AF" w14:textId="77777777" w:rsidR="00E836FB" w:rsidRDefault="00E836FB">
            <w:pPr>
              <w:jc w:val="right"/>
              <w:rPr>
                <w:rFonts w:ascii="宋体"/>
              </w:rPr>
            </w:pPr>
          </w:p>
        </w:tc>
      </w:tr>
    </w:tbl>
    <w:p w14:paraId="5F2D39B1"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E836FB" w14:paraId="5F2D39C1" w14:textId="77777777">
        <w:tc>
          <w:tcPr>
            <w:tcW w:w="50" w:type="pct"/>
            <w:shd w:val="clear" w:color="auto" w:fill="auto"/>
            <w:vAlign w:val="bottom"/>
          </w:tcPr>
          <w:p w14:paraId="5F2D39B2" w14:textId="77777777" w:rsidR="00E836FB" w:rsidRDefault="00E836FB">
            <w:pPr>
              <w:rPr>
                <w:rFonts w:ascii="宋体"/>
              </w:rPr>
            </w:pPr>
          </w:p>
        </w:tc>
        <w:tc>
          <w:tcPr>
            <w:tcW w:w="1348" w:type="pct"/>
            <w:shd w:val="clear" w:color="auto" w:fill="auto"/>
            <w:vAlign w:val="bottom"/>
          </w:tcPr>
          <w:p w14:paraId="5F2D39B3" w14:textId="77777777" w:rsidR="00E836FB" w:rsidRDefault="00E836FB">
            <w:pPr>
              <w:rPr>
                <w:rFonts w:ascii="宋体"/>
              </w:rPr>
            </w:pPr>
          </w:p>
        </w:tc>
        <w:tc>
          <w:tcPr>
            <w:tcW w:w="5" w:type="pct"/>
            <w:shd w:val="clear" w:color="auto" w:fill="auto"/>
            <w:vAlign w:val="bottom"/>
          </w:tcPr>
          <w:p w14:paraId="5F2D39B4" w14:textId="77777777" w:rsidR="00E836FB" w:rsidRDefault="00E836FB">
            <w:pPr>
              <w:rPr>
                <w:rFonts w:ascii="宋体"/>
              </w:rPr>
            </w:pPr>
          </w:p>
        </w:tc>
        <w:tc>
          <w:tcPr>
            <w:tcW w:w="50" w:type="pct"/>
            <w:shd w:val="clear" w:color="auto" w:fill="auto"/>
            <w:vAlign w:val="bottom"/>
          </w:tcPr>
          <w:p w14:paraId="5F2D39B5" w14:textId="77777777" w:rsidR="00E836FB" w:rsidRDefault="00E836FB">
            <w:pPr>
              <w:rPr>
                <w:rFonts w:ascii="宋体"/>
              </w:rPr>
            </w:pPr>
          </w:p>
        </w:tc>
        <w:tc>
          <w:tcPr>
            <w:tcW w:w="1048" w:type="pct"/>
            <w:shd w:val="clear" w:color="auto" w:fill="auto"/>
            <w:vAlign w:val="bottom"/>
          </w:tcPr>
          <w:p w14:paraId="5F2D39B6" w14:textId="77777777" w:rsidR="00E836FB" w:rsidRDefault="00E836FB">
            <w:pPr>
              <w:rPr>
                <w:rFonts w:ascii="宋体"/>
              </w:rPr>
            </w:pPr>
          </w:p>
        </w:tc>
        <w:tc>
          <w:tcPr>
            <w:tcW w:w="5" w:type="pct"/>
            <w:shd w:val="clear" w:color="auto" w:fill="auto"/>
            <w:vAlign w:val="bottom"/>
          </w:tcPr>
          <w:p w14:paraId="5F2D39B7" w14:textId="77777777" w:rsidR="00E836FB" w:rsidRDefault="00E836FB">
            <w:pPr>
              <w:rPr>
                <w:rFonts w:ascii="宋体"/>
              </w:rPr>
            </w:pPr>
          </w:p>
        </w:tc>
        <w:tc>
          <w:tcPr>
            <w:tcW w:w="50" w:type="pct"/>
            <w:shd w:val="clear" w:color="auto" w:fill="auto"/>
            <w:vAlign w:val="bottom"/>
          </w:tcPr>
          <w:p w14:paraId="5F2D39B8" w14:textId="77777777" w:rsidR="00E836FB" w:rsidRDefault="00E836FB">
            <w:pPr>
              <w:rPr>
                <w:rFonts w:ascii="宋体"/>
              </w:rPr>
            </w:pPr>
          </w:p>
        </w:tc>
        <w:tc>
          <w:tcPr>
            <w:tcW w:w="917" w:type="pct"/>
            <w:shd w:val="clear" w:color="auto" w:fill="auto"/>
            <w:vAlign w:val="bottom"/>
          </w:tcPr>
          <w:p w14:paraId="5F2D39B9" w14:textId="77777777" w:rsidR="00E836FB" w:rsidRDefault="00E836FB">
            <w:pPr>
              <w:rPr>
                <w:rFonts w:ascii="宋体"/>
              </w:rPr>
            </w:pPr>
          </w:p>
        </w:tc>
        <w:tc>
          <w:tcPr>
            <w:tcW w:w="5" w:type="pct"/>
            <w:shd w:val="clear" w:color="auto" w:fill="auto"/>
            <w:vAlign w:val="bottom"/>
          </w:tcPr>
          <w:p w14:paraId="5F2D39BA" w14:textId="77777777" w:rsidR="00E836FB" w:rsidRDefault="00E836FB">
            <w:pPr>
              <w:rPr>
                <w:rFonts w:ascii="宋体"/>
              </w:rPr>
            </w:pPr>
          </w:p>
        </w:tc>
        <w:tc>
          <w:tcPr>
            <w:tcW w:w="50" w:type="pct"/>
            <w:shd w:val="clear" w:color="auto" w:fill="auto"/>
            <w:vAlign w:val="bottom"/>
          </w:tcPr>
          <w:p w14:paraId="5F2D39BB" w14:textId="77777777" w:rsidR="00E836FB" w:rsidRDefault="00E836FB">
            <w:pPr>
              <w:rPr>
                <w:rFonts w:ascii="宋体"/>
              </w:rPr>
            </w:pPr>
          </w:p>
        </w:tc>
        <w:tc>
          <w:tcPr>
            <w:tcW w:w="917" w:type="pct"/>
            <w:shd w:val="clear" w:color="auto" w:fill="auto"/>
            <w:vAlign w:val="bottom"/>
          </w:tcPr>
          <w:p w14:paraId="5F2D39BC" w14:textId="77777777" w:rsidR="00E836FB" w:rsidRDefault="00E836FB">
            <w:pPr>
              <w:rPr>
                <w:rFonts w:ascii="宋体"/>
              </w:rPr>
            </w:pPr>
          </w:p>
        </w:tc>
        <w:tc>
          <w:tcPr>
            <w:tcW w:w="5" w:type="pct"/>
            <w:shd w:val="clear" w:color="auto" w:fill="auto"/>
            <w:vAlign w:val="bottom"/>
          </w:tcPr>
          <w:p w14:paraId="5F2D39BD" w14:textId="77777777" w:rsidR="00E836FB" w:rsidRDefault="00E836FB">
            <w:pPr>
              <w:rPr>
                <w:rFonts w:ascii="宋体"/>
              </w:rPr>
            </w:pPr>
          </w:p>
        </w:tc>
        <w:tc>
          <w:tcPr>
            <w:tcW w:w="50" w:type="pct"/>
            <w:shd w:val="clear" w:color="auto" w:fill="auto"/>
            <w:vAlign w:val="bottom"/>
          </w:tcPr>
          <w:p w14:paraId="5F2D39BE" w14:textId="77777777" w:rsidR="00E836FB" w:rsidRDefault="00E836FB">
            <w:pPr>
              <w:rPr>
                <w:rFonts w:ascii="宋体"/>
              </w:rPr>
            </w:pPr>
          </w:p>
        </w:tc>
        <w:tc>
          <w:tcPr>
            <w:tcW w:w="493" w:type="pct"/>
            <w:shd w:val="clear" w:color="auto" w:fill="auto"/>
            <w:vAlign w:val="bottom"/>
          </w:tcPr>
          <w:p w14:paraId="5F2D39BF" w14:textId="77777777" w:rsidR="00E836FB" w:rsidRDefault="00E836FB">
            <w:pPr>
              <w:rPr>
                <w:rFonts w:ascii="宋体"/>
              </w:rPr>
            </w:pPr>
          </w:p>
        </w:tc>
        <w:tc>
          <w:tcPr>
            <w:tcW w:w="5" w:type="pct"/>
            <w:shd w:val="clear" w:color="auto" w:fill="auto"/>
            <w:vAlign w:val="bottom"/>
          </w:tcPr>
          <w:p w14:paraId="5F2D39C0" w14:textId="77777777" w:rsidR="00E836FB" w:rsidRDefault="00E836FB">
            <w:pPr>
              <w:rPr>
                <w:rFonts w:ascii="宋体"/>
              </w:rPr>
            </w:pPr>
          </w:p>
        </w:tc>
      </w:tr>
      <w:tr w:rsidR="00E836FB" w14:paraId="5F2D39C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9C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C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C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C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9C6" w14:textId="77777777" w:rsidR="00E836FB" w:rsidRDefault="00E836FB">
            <w:pPr>
              <w:rPr>
                <w:rFonts w:ascii="宋体"/>
              </w:rPr>
            </w:pPr>
          </w:p>
        </w:tc>
      </w:tr>
    </w:tbl>
    <w:p w14:paraId="5F2D39C8"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5F2D39C9" w14:textId="77777777" w:rsidR="00E836FB" w:rsidRDefault="00994958">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5F2D39CA" w14:textId="77777777" w:rsidR="00E836FB" w:rsidRDefault="00994958">
      <w:pPr>
        <w:spacing w:before="2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5F2D39CB" w14:textId="77777777" w:rsidR="00E836FB" w:rsidRDefault="00994958">
      <w:pPr>
        <w:spacing w:before="2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transactions.</w:t>
      </w:r>
    </w:p>
    <w:p w14:paraId="5F2D39CC" w14:textId="77777777" w:rsidR="00E836FB" w:rsidRDefault="00994958">
      <w:pPr>
        <w:spacing w:before="2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w:t>
      </w:r>
      <w:r>
        <w:rPr>
          <w:rFonts w:ascii="Arial" w:eastAsia="宋体" w:hAnsi="Arial" w:cs="Arial"/>
          <w:color w:val="000000"/>
          <w:sz w:val="14"/>
          <w:szCs w:val="14"/>
        </w:rPr>
        <w:t>ts secured by collateral not determined to be subject to enforceable netting arrangements.</w:t>
      </w:r>
    </w:p>
    <w:p w14:paraId="5F2D39CD" w14:textId="77777777" w:rsidR="00E836FB" w:rsidRDefault="00994958">
      <w:pPr>
        <w:spacing w:before="2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5F2D39CE" w14:textId="77777777" w:rsidR="00E836FB" w:rsidRDefault="00994958">
      <w:pPr>
        <w:spacing w:before="20"/>
        <w:jc w:val="both"/>
      </w:pPr>
      <w:r>
        <w:rPr>
          <w:rFonts w:ascii="Arial" w:eastAsia="宋体" w:hAnsi="Arial" w:cs="Arial"/>
          <w:color w:val="000000"/>
          <w:sz w:val="9"/>
          <w:szCs w:val="9"/>
        </w:rPr>
        <w:t xml:space="preserve">(7) </w:t>
      </w:r>
      <w:r>
        <w:rPr>
          <w:rFonts w:ascii="Arial" w:eastAsia="宋体" w:hAnsi="Arial" w:cs="Arial"/>
          <w:color w:val="000000"/>
          <w:sz w:val="14"/>
          <w:szCs w:val="14"/>
        </w:rPr>
        <w:t xml:space="preserve">Included in the $5.61 billion as of December 31, 2021 were </w:t>
      </w:r>
      <w:r>
        <w:rPr>
          <w:rFonts w:ascii="Arial" w:eastAsia="宋体" w:hAnsi="Arial" w:cs="Arial"/>
          <w:color w:val="000000"/>
          <w:sz w:val="14"/>
          <w:szCs w:val="14"/>
        </w:rPr>
        <w:t>$1.57 billion of repurchase agreements and $4.04 billion of collateral received related to securities lending transactions. Included in the $12.77 billion as of December 31, 2020 were $3.41 billion of repurchase agreements and $9.36 billion of collateral r</w:t>
      </w:r>
      <w:r>
        <w:rPr>
          <w:rFonts w:ascii="Arial" w:eastAsia="宋体" w:hAnsi="Arial" w:cs="Arial"/>
          <w:color w:val="000000"/>
          <w:sz w:val="14"/>
          <w:szCs w:val="14"/>
        </w:rPr>
        <w:t>eceived related to securities lending transactions. Repurchase agreements and collateral received related to securities lending were recorded in securities sold under repurchase agreements and accrued expenses and other liabilities, respectively, in our co</w:t>
      </w:r>
      <w:r>
        <w:rPr>
          <w:rFonts w:ascii="Arial" w:eastAsia="宋体" w:hAnsi="Arial" w:cs="Arial"/>
          <w:color w:val="000000"/>
          <w:sz w:val="14"/>
          <w:szCs w:val="14"/>
        </w:rPr>
        <w:t>nsolidated statement of condition. Refer to Note 12 for additional information with respect to principal securities finance transactions.</w:t>
      </w:r>
    </w:p>
    <w:p w14:paraId="5F2D39CF" w14:textId="77777777" w:rsidR="00E836FB" w:rsidRDefault="00994958">
      <w:pPr>
        <w:spacing w:before="2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transactions on </w:t>
      </w:r>
      <w:r>
        <w:rPr>
          <w:rFonts w:ascii="Arial" w:eastAsia="宋体" w:hAnsi="Arial" w:cs="Arial"/>
          <w:color w:val="000000"/>
          <w:sz w:val="14"/>
          <w:szCs w:val="14"/>
        </w:rPr>
        <w:t>a net basis for payment and delivery through the Fedwire system.</w:t>
      </w:r>
    </w:p>
    <w:p w14:paraId="5F2D39D0" w14:textId="77777777" w:rsidR="00E836FB" w:rsidRDefault="00994958">
      <w:pPr>
        <w:spacing w:before="2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5F2D39D1" w14:textId="77777777" w:rsidR="00E836FB" w:rsidRDefault="00994958">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lending arran</w:t>
      </w:r>
      <w:r>
        <w:rPr>
          <w:rFonts w:ascii="Arial" w:eastAsia="宋体" w:hAnsi="Arial" w:cs="Arial"/>
          <w:color w:val="000000"/>
          <w:sz w:val="20"/>
          <w:szCs w:val="20"/>
        </w:rPr>
        <w:t>gements, the securities transferred are predominantly equity securities and some corporate debt securities. The fair value of the securities transferred may increase in value to an amount greater than the amount received under our repurchase and securities</w:t>
      </w:r>
      <w:r>
        <w:rPr>
          <w:rFonts w:ascii="Arial" w:eastAsia="宋体" w:hAnsi="Arial" w:cs="Arial"/>
          <w:color w:val="000000"/>
          <w:sz w:val="20"/>
          <w:szCs w:val="20"/>
        </w:rPr>
        <w:t xml:space="preserve"> lending arrangements, which exposes us to counterparty risk. We require the review of the price of the underlying securities in relation to the carrying value of the repurchase agreements and securities lending arrangements on a daily basis and when appro</w:t>
      </w:r>
      <w:r>
        <w:rPr>
          <w:rFonts w:ascii="Arial" w:eastAsia="宋体" w:hAnsi="Arial" w:cs="Arial"/>
          <w:color w:val="000000"/>
          <w:sz w:val="20"/>
          <w:szCs w:val="20"/>
        </w:rPr>
        <w:t xml:space="preserve">priate, adjust the cash or security to be obtained or returned to counterparties that is reflective of the required collateral levels. </w:t>
      </w:r>
    </w:p>
    <w:p w14:paraId="5F2D39D2" w14:textId="77777777" w:rsidR="00E836FB" w:rsidRDefault="00994958">
      <w:pPr>
        <w:spacing w:before="60"/>
        <w:ind w:firstLine="450"/>
        <w:jc w:val="both"/>
      </w:pPr>
      <w:r>
        <w:rPr>
          <w:rFonts w:ascii="Arial" w:eastAsia="宋体" w:hAnsi="Arial" w:cs="Arial"/>
          <w:color w:val="000000"/>
          <w:sz w:val="20"/>
          <w:szCs w:val="20"/>
        </w:rPr>
        <w:t xml:space="preserve">The following table summarizes our repurchase agreements and securities lending transactions by category of </w:t>
      </w:r>
      <w:r>
        <w:rPr>
          <w:rFonts w:ascii="Arial" w:eastAsia="宋体" w:hAnsi="Arial" w:cs="Arial"/>
          <w:color w:val="000000"/>
          <w:sz w:val="20"/>
          <w:szCs w:val="20"/>
        </w:rPr>
        <w:t>collateral pledged and remaining maturity of these agreements as of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904"/>
        <w:gridCol w:w="37"/>
        <w:gridCol w:w="99"/>
        <w:gridCol w:w="750"/>
        <w:gridCol w:w="36"/>
        <w:gridCol w:w="36"/>
        <w:gridCol w:w="36"/>
        <w:gridCol w:w="36"/>
        <w:gridCol w:w="99"/>
        <w:gridCol w:w="480"/>
        <w:gridCol w:w="36"/>
        <w:gridCol w:w="36"/>
        <w:gridCol w:w="36"/>
        <w:gridCol w:w="36"/>
        <w:gridCol w:w="99"/>
        <w:gridCol w:w="329"/>
        <w:gridCol w:w="36"/>
        <w:gridCol w:w="36"/>
        <w:gridCol w:w="36"/>
        <w:gridCol w:w="36"/>
        <w:gridCol w:w="99"/>
        <w:gridCol w:w="463"/>
        <w:gridCol w:w="36"/>
        <w:gridCol w:w="36"/>
        <w:gridCol w:w="36"/>
        <w:gridCol w:w="36"/>
        <w:gridCol w:w="98"/>
        <w:gridCol w:w="468"/>
        <w:gridCol w:w="36"/>
        <w:gridCol w:w="36"/>
        <w:gridCol w:w="36"/>
        <w:gridCol w:w="36"/>
        <w:gridCol w:w="99"/>
        <w:gridCol w:w="736"/>
        <w:gridCol w:w="36"/>
        <w:gridCol w:w="36"/>
        <w:gridCol w:w="36"/>
        <w:gridCol w:w="36"/>
        <w:gridCol w:w="99"/>
        <w:gridCol w:w="394"/>
        <w:gridCol w:w="36"/>
        <w:gridCol w:w="36"/>
        <w:gridCol w:w="36"/>
        <w:gridCol w:w="36"/>
        <w:gridCol w:w="99"/>
        <w:gridCol w:w="359"/>
        <w:gridCol w:w="36"/>
        <w:gridCol w:w="36"/>
        <w:gridCol w:w="36"/>
        <w:gridCol w:w="36"/>
        <w:gridCol w:w="99"/>
        <w:gridCol w:w="482"/>
        <w:gridCol w:w="36"/>
        <w:gridCol w:w="36"/>
        <w:gridCol w:w="36"/>
        <w:gridCol w:w="36"/>
        <w:gridCol w:w="98"/>
        <w:gridCol w:w="545"/>
        <w:gridCol w:w="36"/>
      </w:tblGrid>
      <w:tr w:rsidR="00E836FB" w14:paraId="5F2D3A0F" w14:textId="77777777">
        <w:tc>
          <w:tcPr>
            <w:tcW w:w="50" w:type="pct"/>
            <w:shd w:val="clear" w:color="auto" w:fill="auto"/>
            <w:vAlign w:val="bottom"/>
          </w:tcPr>
          <w:p w14:paraId="5F2D39D3" w14:textId="77777777" w:rsidR="00E836FB" w:rsidRDefault="00E836FB">
            <w:pPr>
              <w:rPr>
                <w:rFonts w:ascii="宋体"/>
              </w:rPr>
            </w:pPr>
          </w:p>
        </w:tc>
        <w:tc>
          <w:tcPr>
            <w:tcW w:w="617" w:type="pct"/>
            <w:shd w:val="clear" w:color="auto" w:fill="auto"/>
            <w:vAlign w:val="bottom"/>
          </w:tcPr>
          <w:p w14:paraId="5F2D39D4" w14:textId="77777777" w:rsidR="00E836FB" w:rsidRDefault="00E836FB">
            <w:pPr>
              <w:rPr>
                <w:rFonts w:ascii="宋体"/>
              </w:rPr>
            </w:pPr>
          </w:p>
        </w:tc>
        <w:tc>
          <w:tcPr>
            <w:tcW w:w="5" w:type="pct"/>
            <w:shd w:val="clear" w:color="auto" w:fill="auto"/>
            <w:vAlign w:val="bottom"/>
          </w:tcPr>
          <w:p w14:paraId="5F2D39D5" w14:textId="77777777" w:rsidR="00E836FB" w:rsidRDefault="00E836FB">
            <w:pPr>
              <w:rPr>
                <w:rFonts w:ascii="宋体"/>
              </w:rPr>
            </w:pPr>
          </w:p>
        </w:tc>
        <w:tc>
          <w:tcPr>
            <w:tcW w:w="50" w:type="pct"/>
            <w:shd w:val="clear" w:color="auto" w:fill="auto"/>
            <w:vAlign w:val="bottom"/>
          </w:tcPr>
          <w:p w14:paraId="5F2D39D6" w14:textId="77777777" w:rsidR="00E836FB" w:rsidRDefault="00E836FB">
            <w:pPr>
              <w:rPr>
                <w:rFonts w:ascii="宋体"/>
              </w:rPr>
            </w:pPr>
          </w:p>
        </w:tc>
        <w:tc>
          <w:tcPr>
            <w:tcW w:w="493" w:type="pct"/>
            <w:shd w:val="clear" w:color="auto" w:fill="auto"/>
            <w:vAlign w:val="bottom"/>
          </w:tcPr>
          <w:p w14:paraId="5F2D39D7" w14:textId="77777777" w:rsidR="00E836FB" w:rsidRDefault="00E836FB">
            <w:pPr>
              <w:rPr>
                <w:rFonts w:ascii="宋体"/>
              </w:rPr>
            </w:pPr>
          </w:p>
        </w:tc>
        <w:tc>
          <w:tcPr>
            <w:tcW w:w="5" w:type="pct"/>
            <w:shd w:val="clear" w:color="auto" w:fill="auto"/>
            <w:vAlign w:val="bottom"/>
          </w:tcPr>
          <w:p w14:paraId="5F2D39D8" w14:textId="77777777" w:rsidR="00E836FB" w:rsidRDefault="00E836FB">
            <w:pPr>
              <w:rPr>
                <w:rFonts w:ascii="宋体"/>
              </w:rPr>
            </w:pPr>
          </w:p>
        </w:tc>
        <w:tc>
          <w:tcPr>
            <w:tcW w:w="5" w:type="pct"/>
            <w:shd w:val="clear" w:color="auto" w:fill="auto"/>
            <w:vAlign w:val="bottom"/>
          </w:tcPr>
          <w:p w14:paraId="5F2D39D9" w14:textId="77777777" w:rsidR="00E836FB" w:rsidRDefault="00E836FB">
            <w:pPr>
              <w:rPr>
                <w:rFonts w:ascii="宋体"/>
              </w:rPr>
            </w:pPr>
          </w:p>
        </w:tc>
        <w:tc>
          <w:tcPr>
            <w:tcW w:w="19" w:type="pct"/>
            <w:shd w:val="clear" w:color="auto" w:fill="auto"/>
            <w:vAlign w:val="bottom"/>
          </w:tcPr>
          <w:p w14:paraId="5F2D39DA" w14:textId="77777777" w:rsidR="00E836FB" w:rsidRDefault="00E836FB">
            <w:pPr>
              <w:rPr>
                <w:rFonts w:ascii="宋体"/>
              </w:rPr>
            </w:pPr>
          </w:p>
        </w:tc>
        <w:tc>
          <w:tcPr>
            <w:tcW w:w="5" w:type="pct"/>
            <w:shd w:val="clear" w:color="auto" w:fill="auto"/>
            <w:vAlign w:val="bottom"/>
          </w:tcPr>
          <w:p w14:paraId="5F2D39DB" w14:textId="77777777" w:rsidR="00E836FB" w:rsidRDefault="00E836FB">
            <w:pPr>
              <w:rPr>
                <w:rFonts w:ascii="宋体"/>
              </w:rPr>
            </w:pPr>
          </w:p>
        </w:tc>
        <w:tc>
          <w:tcPr>
            <w:tcW w:w="50" w:type="pct"/>
            <w:shd w:val="clear" w:color="auto" w:fill="auto"/>
            <w:vAlign w:val="bottom"/>
          </w:tcPr>
          <w:p w14:paraId="5F2D39DC" w14:textId="77777777" w:rsidR="00E836FB" w:rsidRDefault="00E836FB">
            <w:pPr>
              <w:rPr>
                <w:rFonts w:ascii="宋体"/>
              </w:rPr>
            </w:pPr>
          </w:p>
        </w:tc>
        <w:tc>
          <w:tcPr>
            <w:tcW w:w="332" w:type="pct"/>
            <w:shd w:val="clear" w:color="auto" w:fill="auto"/>
            <w:vAlign w:val="bottom"/>
          </w:tcPr>
          <w:p w14:paraId="5F2D39DD" w14:textId="77777777" w:rsidR="00E836FB" w:rsidRDefault="00E836FB">
            <w:pPr>
              <w:rPr>
                <w:rFonts w:ascii="宋体"/>
              </w:rPr>
            </w:pPr>
          </w:p>
        </w:tc>
        <w:tc>
          <w:tcPr>
            <w:tcW w:w="5" w:type="pct"/>
            <w:shd w:val="clear" w:color="auto" w:fill="auto"/>
            <w:vAlign w:val="bottom"/>
          </w:tcPr>
          <w:p w14:paraId="5F2D39DE" w14:textId="77777777" w:rsidR="00E836FB" w:rsidRDefault="00E836FB">
            <w:pPr>
              <w:rPr>
                <w:rFonts w:ascii="宋体"/>
              </w:rPr>
            </w:pPr>
          </w:p>
        </w:tc>
        <w:tc>
          <w:tcPr>
            <w:tcW w:w="5" w:type="pct"/>
            <w:shd w:val="clear" w:color="auto" w:fill="auto"/>
            <w:vAlign w:val="bottom"/>
          </w:tcPr>
          <w:p w14:paraId="5F2D39DF" w14:textId="77777777" w:rsidR="00E836FB" w:rsidRDefault="00E836FB">
            <w:pPr>
              <w:rPr>
                <w:rFonts w:ascii="宋体"/>
              </w:rPr>
            </w:pPr>
          </w:p>
        </w:tc>
        <w:tc>
          <w:tcPr>
            <w:tcW w:w="26" w:type="pct"/>
            <w:shd w:val="clear" w:color="auto" w:fill="auto"/>
            <w:vAlign w:val="bottom"/>
          </w:tcPr>
          <w:p w14:paraId="5F2D39E0" w14:textId="77777777" w:rsidR="00E836FB" w:rsidRDefault="00E836FB">
            <w:pPr>
              <w:rPr>
                <w:rFonts w:ascii="宋体"/>
              </w:rPr>
            </w:pPr>
          </w:p>
        </w:tc>
        <w:tc>
          <w:tcPr>
            <w:tcW w:w="5" w:type="pct"/>
            <w:shd w:val="clear" w:color="auto" w:fill="auto"/>
            <w:vAlign w:val="bottom"/>
          </w:tcPr>
          <w:p w14:paraId="5F2D39E1" w14:textId="77777777" w:rsidR="00E836FB" w:rsidRDefault="00E836FB">
            <w:pPr>
              <w:rPr>
                <w:rFonts w:ascii="宋体"/>
              </w:rPr>
            </w:pPr>
          </w:p>
        </w:tc>
        <w:tc>
          <w:tcPr>
            <w:tcW w:w="50" w:type="pct"/>
            <w:shd w:val="clear" w:color="auto" w:fill="auto"/>
            <w:vAlign w:val="bottom"/>
          </w:tcPr>
          <w:p w14:paraId="5F2D39E2" w14:textId="77777777" w:rsidR="00E836FB" w:rsidRDefault="00E836FB">
            <w:pPr>
              <w:rPr>
                <w:rFonts w:ascii="宋体"/>
              </w:rPr>
            </w:pPr>
          </w:p>
        </w:tc>
        <w:tc>
          <w:tcPr>
            <w:tcW w:w="259" w:type="pct"/>
            <w:shd w:val="clear" w:color="auto" w:fill="auto"/>
            <w:vAlign w:val="bottom"/>
          </w:tcPr>
          <w:p w14:paraId="5F2D39E3" w14:textId="77777777" w:rsidR="00E836FB" w:rsidRDefault="00E836FB">
            <w:pPr>
              <w:rPr>
                <w:rFonts w:ascii="宋体"/>
              </w:rPr>
            </w:pPr>
          </w:p>
        </w:tc>
        <w:tc>
          <w:tcPr>
            <w:tcW w:w="5" w:type="pct"/>
            <w:shd w:val="clear" w:color="auto" w:fill="auto"/>
            <w:vAlign w:val="bottom"/>
          </w:tcPr>
          <w:p w14:paraId="5F2D39E4" w14:textId="77777777" w:rsidR="00E836FB" w:rsidRDefault="00E836FB">
            <w:pPr>
              <w:rPr>
                <w:rFonts w:ascii="宋体"/>
              </w:rPr>
            </w:pPr>
          </w:p>
        </w:tc>
        <w:tc>
          <w:tcPr>
            <w:tcW w:w="5" w:type="pct"/>
            <w:shd w:val="clear" w:color="auto" w:fill="auto"/>
            <w:vAlign w:val="bottom"/>
          </w:tcPr>
          <w:p w14:paraId="5F2D39E5" w14:textId="77777777" w:rsidR="00E836FB" w:rsidRDefault="00E836FB">
            <w:pPr>
              <w:rPr>
                <w:rFonts w:ascii="宋体"/>
              </w:rPr>
            </w:pPr>
          </w:p>
        </w:tc>
        <w:tc>
          <w:tcPr>
            <w:tcW w:w="19" w:type="pct"/>
            <w:shd w:val="clear" w:color="auto" w:fill="auto"/>
            <w:vAlign w:val="bottom"/>
          </w:tcPr>
          <w:p w14:paraId="5F2D39E6" w14:textId="77777777" w:rsidR="00E836FB" w:rsidRDefault="00E836FB">
            <w:pPr>
              <w:rPr>
                <w:rFonts w:ascii="宋体"/>
              </w:rPr>
            </w:pPr>
          </w:p>
        </w:tc>
        <w:tc>
          <w:tcPr>
            <w:tcW w:w="5" w:type="pct"/>
            <w:shd w:val="clear" w:color="auto" w:fill="auto"/>
            <w:vAlign w:val="bottom"/>
          </w:tcPr>
          <w:p w14:paraId="5F2D39E7" w14:textId="77777777" w:rsidR="00E836FB" w:rsidRDefault="00E836FB">
            <w:pPr>
              <w:rPr>
                <w:rFonts w:ascii="宋体"/>
              </w:rPr>
            </w:pPr>
          </w:p>
        </w:tc>
        <w:tc>
          <w:tcPr>
            <w:tcW w:w="50" w:type="pct"/>
            <w:shd w:val="clear" w:color="auto" w:fill="auto"/>
            <w:vAlign w:val="bottom"/>
          </w:tcPr>
          <w:p w14:paraId="5F2D39E8" w14:textId="77777777" w:rsidR="00E836FB" w:rsidRDefault="00E836FB">
            <w:pPr>
              <w:rPr>
                <w:rFonts w:ascii="宋体"/>
              </w:rPr>
            </w:pPr>
          </w:p>
        </w:tc>
        <w:tc>
          <w:tcPr>
            <w:tcW w:w="332" w:type="pct"/>
            <w:shd w:val="clear" w:color="auto" w:fill="auto"/>
            <w:vAlign w:val="bottom"/>
          </w:tcPr>
          <w:p w14:paraId="5F2D39E9" w14:textId="77777777" w:rsidR="00E836FB" w:rsidRDefault="00E836FB">
            <w:pPr>
              <w:rPr>
                <w:rFonts w:ascii="宋体"/>
              </w:rPr>
            </w:pPr>
          </w:p>
        </w:tc>
        <w:tc>
          <w:tcPr>
            <w:tcW w:w="5" w:type="pct"/>
            <w:shd w:val="clear" w:color="auto" w:fill="auto"/>
            <w:vAlign w:val="bottom"/>
          </w:tcPr>
          <w:p w14:paraId="5F2D39EA" w14:textId="77777777" w:rsidR="00E836FB" w:rsidRDefault="00E836FB">
            <w:pPr>
              <w:rPr>
                <w:rFonts w:ascii="宋体"/>
              </w:rPr>
            </w:pPr>
          </w:p>
        </w:tc>
        <w:tc>
          <w:tcPr>
            <w:tcW w:w="5" w:type="pct"/>
            <w:shd w:val="clear" w:color="auto" w:fill="auto"/>
            <w:vAlign w:val="bottom"/>
          </w:tcPr>
          <w:p w14:paraId="5F2D39EB" w14:textId="77777777" w:rsidR="00E836FB" w:rsidRDefault="00E836FB">
            <w:pPr>
              <w:rPr>
                <w:rFonts w:ascii="宋体"/>
              </w:rPr>
            </w:pPr>
          </w:p>
        </w:tc>
        <w:tc>
          <w:tcPr>
            <w:tcW w:w="26" w:type="pct"/>
            <w:shd w:val="clear" w:color="auto" w:fill="auto"/>
            <w:vAlign w:val="bottom"/>
          </w:tcPr>
          <w:p w14:paraId="5F2D39EC" w14:textId="77777777" w:rsidR="00E836FB" w:rsidRDefault="00E836FB">
            <w:pPr>
              <w:rPr>
                <w:rFonts w:ascii="宋体"/>
              </w:rPr>
            </w:pPr>
          </w:p>
        </w:tc>
        <w:tc>
          <w:tcPr>
            <w:tcW w:w="5" w:type="pct"/>
            <w:shd w:val="clear" w:color="auto" w:fill="auto"/>
            <w:vAlign w:val="bottom"/>
          </w:tcPr>
          <w:p w14:paraId="5F2D39ED" w14:textId="77777777" w:rsidR="00E836FB" w:rsidRDefault="00E836FB">
            <w:pPr>
              <w:rPr>
                <w:rFonts w:ascii="宋体"/>
              </w:rPr>
            </w:pPr>
          </w:p>
        </w:tc>
        <w:tc>
          <w:tcPr>
            <w:tcW w:w="50" w:type="pct"/>
            <w:shd w:val="clear" w:color="auto" w:fill="auto"/>
            <w:vAlign w:val="bottom"/>
          </w:tcPr>
          <w:p w14:paraId="5F2D39EE" w14:textId="77777777" w:rsidR="00E836FB" w:rsidRDefault="00E836FB">
            <w:pPr>
              <w:rPr>
                <w:rFonts w:ascii="宋体"/>
              </w:rPr>
            </w:pPr>
          </w:p>
        </w:tc>
        <w:tc>
          <w:tcPr>
            <w:tcW w:w="332" w:type="pct"/>
            <w:shd w:val="clear" w:color="auto" w:fill="auto"/>
            <w:vAlign w:val="bottom"/>
          </w:tcPr>
          <w:p w14:paraId="5F2D39EF" w14:textId="77777777" w:rsidR="00E836FB" w:rsidRDefault="00E836FB">
            <w:pPr>
              <w:rPr>
                <w:rFonts w:ascii="宋体"/>
              </w:rPr>
            </w:pPr>
          </w:p>
        </w:tc>
        <w:tc>
          <w:tcPr>
            <w:tcW w:w="5" w:type="pct"/>
            <w:shd w:val="clear" w:color="auto" w:fill="auto"/>
            <w:vAlign w:val="bottom"/>
          </w:tcPr>
          <w:p w14:paraId="5F2D39F0" w14:textId="77777777" w:rsidR="00E836FB" w:rsidRDefault="00E836FB">
            <w:pPr>
              <w:rPr>
                <w:rFonts w:ascii="宋体"/>
              </w:rPr>
            </w:pPr>
          </w:p>
        </w:tc>
        <w:tc>
          <w:tcPr>
            <w:tcW w:w="5" w:type="pct"/>
            <w:shd w:val="clear" w:color="auto" w:fill="auto"/>
            <w:vAlign w:val="bottom"/>
          </w:tcPr>
          <w:p w14:paraId="5F2D39F1" w14:textId="77777777" w:rsidR="00E836FB" w:rsidRDefault="00E836FB">
            <w:pPr>
              <w:rPr>
                <w:rFonts w:ascii="宋体"/>
              </w:rPr>
            </w:pPr>
          </w:p>
        </w:tc>
        <w:tc>
          <w:tcPr>
            <w:tcW w:w="19" w:type="pct"/>
            <w:shd w:val="clear" w:color="auto" w:fill="auto"/>
            <w:vAlign w:val="bottom"/>
          </w:tcPr>
          <w:p w14:paraId="5F2D39F2" w14:textId="77777777" w:rsidR="00E836FB" w:rsidRDefault="00E836FB">
            <w:pPr>
              <w:rPr>
                <w:rFonts w:ascii="宋体"/>
              </w:rPr>
            </w:pPr>
          </w:p>
        </w:tc>
        <w:tc>
          <w:tcPr>
            <w:tcW w:w="5" w:type="pct"/>
            <w:shd w:val="clear" w:color="auto" w:fill="auto"/>
            <w:vAlign w:val="bottom"/>
          </w:tcPr>
          <w:p w14:paraId="5F2D39F3" w14:textId="77777777" w:rsidR="00E836FB" w:rsidRDefault="00E836FB">
            <w:pPr>
              <w:rPr>
                <w:rFonts w:ascii="宋体"/>
              </w:rPr>
            </w:pPr>
          </w:p>
        </w:tc>
        <w:tc>
          <w:tcPr>
            <w:tcW w:w="50" w:type="pct"/>
            <w:shd w:val="clear" w:color="auto" w:fill="auto"/>
            <w:vAlign w:val="bottom"/>
          </w:tcPr>
          <w:p w14:paraId="5F2D39F4" w14:textId="77777777" w:rsidR="00E836FB" w:rsidRDefault="00E836FB">
            <w:pPr>
              <w:rPr>
                <w:rFonts w:ascii="宋体"/>
              </w:rPr>
            </w:pPr>
          </w:p>
        </w:tc>
        <w:tc>
          <w:tcPr>
            <w:tcW w:w="493" w:type="pct"/>
            <w:shd w:val="clear" w:color="auto" w:fill="auto"/>
            <w:vAlign w:val="bottom"/>
          </w:tcPr>
          <w:p w14:paraId="5F2D39F5" w14:textId="77777777" w:rsidR="00E836FB" w:rsidRDefault="00E836FB">
            <w:pPr>
              <w:rPr>
                <w:rFonts w:ascii="宋体"/>
              </w:rPr>
            </w:pPr>
          </w:p>
        </w:tc>
        <w:tc>
          <w:tcPr>
            <w:tcW w:w="5" w:type="pct"/>
            <w:shd w:val="clear" w:color="auto" w:fill="auto"/>
            <w:vAlign w:val="bottom"/>
          </w:tcPr>
          <w:p w14:paraId="5F2D39F6" w14:textId="77777777" w:rsidR="00E836FB" w:rsidRDefault="00E836FB">
            <w:pPr>
              <w:rPr>
                <w:rFonts w:ascii="宋体"/>
              </w:rPr>
            </w:pPr>
          </w:p>
        </w:tc>
        <w:tc>
          <w:tcPr>
            <w:tcW w:w="5" w:type="pct"/>
            <w:shd w:val="clear" w:color="auto" w:fill="auto"/>
            <w:vAlign w:val="bottom"/>
          </w:tcPr>
          <w:p w14:paraId="5F2D39F7" w14:textId="77777777" w:rsidR="00E836FB" w:rsidRDefault="00E836FB">
            <w:pPr>
              <w:rPr>
                <w:rFonts w:ascii="宋体"/>
              </w:rPr>
            </w:pPr>
          </w:p>
        </w:tc>
        <w:tc>
          <w:tcPr>
            <w:tcW w:w="26" w:type="pct"/>
            <w:shd w:val="clear" w:color="auto" w:fill="auto"/>
            <w:vAlign w:val="bottom"/>
          </w:tcPr>
          <w:p w14:paraId="5F2D39F8" w14:textId="77777777" w:rsidR="00E836FB" w:rsidRDefault="00E836FB">
            <w:pPr>
              <w:rPr>
                <w:rFonts w:ascii="宋体"/>
              </w:rPr>
            </w:pPr>
          </w:p>
        </w:tc>
        <w:tc>
          <w:tcPr>
            <w:tcW w:w="5" w:type="pct"/>
            <w:shd w:val="clear" w:color="auto" w:fill="auto"/>
            <w:vAlign w:val="bottom"/>
          </w:tcPr>
          <w:p w14:paraId="5F2D39F9" w14:textId="77777777" w:rsidR="00E836FB" w:rsidRDefault="00E836FB">
            <w:pPr>
              <w:rPr>
                <w:rFonts w:ascii="宋体"/>
              </w:rPr>
            </w:pPr>
          </w:p>
        </w:tc>
        <w:tc>
          <w:tcPr>
            <w:tcW w:w="50" w:type="pct"/>
            <w:shd w:val="clear" w:color="auto" w:fill="auto"/>
            <w:vAlign w:val="bottom"/>
          </w:tcPr>
          <w:p w14:paraId="5F2D39FA" w14:textId="77777777" w:rsidR="00E836FB" w:rsidRDefault="00E836FB">
            <w:pPr>
              <w:rPr>
                <w:rFonts w:ascii="宋体"/>
              </w:rPr>
            </w:pPr>
          </w:p>
        </w:tc>
        <w:tc>
          <w:tcPr>
            <w:tcW w:w="325" w:type="pct"/>
            <w:shd w:val="clear" w:color="auto" w:fill="auto"/>
            <w:vAlign w:val="bottom"/>
          </w:tcPr>
          <w:p w14:paraId="5F2D39FB" w14:textId="77777777" w:rsidR="00E836FB" w:rsidRDefault="00E836FB">
            <w:pPr>
              <w:rPr>
                <w:rFonts w:ascii="宋体"/>
              </w:rPr>
            </w:pPr>
          </w:p>
        </w:tc>
        <w:tc>
          <w:tcPr>
            <w:tcW w:w="5" w:type="pct"/>
            <w:shd w:val="clear" w:color="auto" w:fill="auto"/>
            <w:vAlign w:val="bottom"/>
          </w:tcPr>
          <w:p w14:paraId="5F2D39FC" w14:textId="77777777" w:rsidR="00E836FB" w:rsidRDefault="00E836FB">
            <w:pPr>
              <w:rPr>
                <w:rFonts w:ascii="宋体"/>
              </w:rPr>
            </w:pPr>
          </w:p>
        </w:tc>
        <w:tc>
          <w:tcPr>
            <w:tcW w:w="5" w:type="pct"/>
            <w:shd w:val="clear" w:color="auto" w:fill="auto"/>
            <w:vAlign w:val="bottom"/>
          </w:tcPr>
          <w:p w14:paraId="5F2D39FD" w14:textId="77777777" w:rsidR="00E836FB" w:rsidRDefault="00E836FB">
            <w:pPr>
              <w:rPr>
                <w:rFonts w:ascii="宋体"/>
              </w:rPr>
            </w:pPr>
          </w:p>
        </w:tc>
        <w:tc>
          <w:tcPr>
            <w:tcW w:w="19" w:type="pct"/>
            <w:shd w:val="clear" w:color="auto" w:fill="auto"/>
            <w:vAlign w:val="bottom"/>
          </w:tcPr>
          <w:p w14:paraId="5F2D39FE" w14:textId="77777777" w:rsidR="00E836FB" w:rsidRDefault="00E836FB">
            <w:pPr>
              <w:rPr>
                <w:rFonts w:ascii="宋体"/>
              </w:rPr>
            </w:pPr>
          </w:p>
        </w:tc>
        <w:tc>
          <w:tcPr>
            <w:tcW w:w="5" w:type="pct"/>
            <w:shd w:val="clear" w:color="auto" w:fill="auto"/>
            <w:vAlign w:val="bottom"/>
          </w:tcPr>
          <w:p w14:paraId="5F2D39FF" w14:textId="77777777" w:rsidR="00E836FB" w:rsidRDefault="00E836FB">
            <w:pPr>
              <w:rPr>
                <w:rFonts w:ascii="宋体"/>
              </w:rPr>
            </w:pPr>
          </w:p>
        </w:tc>
        <w:tc>
          <w:tcPr>
            <w:tcW w:w="50" w:type="pct"/>
            <w:shd w:val="clear" w:color="auto" w:fill="auto"/>
            <w:vAlign w:val="bottom"/>
          </w:tcPr>
          <w:p w14:paraId="5F2D3A00" w14:textId="77777777" w:rsidR="00E836FB" w:rsidRDefault="00E836FB">
            <w:pPr>
              <w:rPr>
                <w:rFonts w:ascii="宋体"/>
              </w:rPr>
            </w:pPr>
          </w:p>
        </w:tc>
        <w:tc>
          <w:tcPr>
            <w:tcW w:w="259" w:type="pct"/>
            <w:shd w:val="clear" w:color="auto" w:fill="auto"/>
            <w:vAlign w:val="bottom"/>
          </w:tcPr>
          <w:p w14:paraId="5F2D3A01" w14:textId="77777777" w:rsidR="00E836FB" w:rsidRDefault="00E836FB">
            <w:pPr>
              <w:rPr>
                <w:rFonts w:ascii="宋体"/>
              </w:rPr>
            </w:pPr>
          </w:p>
        </w:tc>
        <w:tc>
          <w:tcPr>
            <w:tcW w:w="5" w:type="pct"/>
            <w:shd w:val="clear" w:color="auto" w:fill="auto"/>
            <w:vAlign w:val="bottom"/>
          </w:tcPr>
          <w:p w14:paraId="5F2D3A02" w14:textId="77777777" w:rsidR="00E836FB" w:rsidRDefault="00E836FB">
            <w:pPr>
              <w:rPr>
                <w:rFonts w:ascii="宋体"/>
              </w:rPr>
            </w:pPr>
          </w:p>
        </w:tc>
        <w:tc>
          <w:tcPr>
            <w:tcW w:w="5" w:type="pct"/>
            <w:shd w:val="clear" w:color="auto" w:fill="auto"/>
            <w:vAlign w:val="bottom"/>
          </w:tcPr>
          <w:p w14:paraId="5F2D3A03" w14:textId="77777777" w:rsidR="00E836FB" w:rsidRDefault="00E836FB">
            <w:pPr>
              <w:rPr>
                <w:rFonts w:ascii="宋体"/>
              </w:rPr>
            </w:pPr>
          </w:p>
        </w:tc>
        <w:tc>
          <w:tcPr>
            <w:tcW w:w="19" w:type="pct"/>
            <w:shd w:val="clear" w:color="auto" w:fill="auto"/>
            <w:vAlign w:val="bottom"/>
          </w:tcPr>
          <w:p w14:paraId="5F2D3A04" w14:textId="77777777" w:rsidR="00E836FB" w:rsidRDefault="00E836FB">
            <w:pPr>
              <w:rPr>
                <w:rFonts w:ascii="宋体"/>
              </w:rPr>
            </w:pPr>
          </w:p>
        </w:tc>
        <w:tc>
          <w:tcPr>
            <w:tcW w:w="5" w:type="pct"/>
            <w:shd w:val="clear" w:color="auto" w:fill="auto"/>
            <w:vAlign w:val="bottom"/>
          </w:tcPr>
          <w:p w14:paraId="5F2D3A05" w14:textId="77777777" w:rsidR="00E836FB" w:rsidRDefault="00E836FB">
            <w:pPr>
              <w:rPr>
                <w:rFonts w:ascii="宋体"/>
              </w:rPr>
            </w:pPr>
          </w:p>
        </w:tc>
        <w:tc>
          <w:tcPr>
            <w:tcW w:w="50" w:type="pct"/>
            <w:shd w:val="clear" w:color="auto" w:fill="auto"/>
            <w:vAlign w:val="bottom"/>
          </w:tcPr>
          <w:p w14:paraId="5F2D3A06" w14:textId="77777777" w:rsidR="00E836FB" w:rsidRDefault="00E836FB">
            <w:pPr>
              <w:rPr>
                <w:rFonts w:ascii="宋体"/>
              </w:rPr>
            </w:pPr>
          </w:p>
        </w:tc>
        <w:tc>
          <w:tcPr>
            <w:tcW w:w="332" w:type="pct"/>
            <w:shd w:val="clear" w:color="auto" w:fill="auto"/>
            <w:vAlign w:val="bottom"/>
          </w:tcPr>
          <w:p w14:paraId="5F2D3A07" w14:textId="77777777" w:rsidR="00E836FB" w:rsidRDefault="00E836FB">
            <w:pPr>
              <w:rPr>
                <w:rFonts w:ascii="宋体"/>
              </w:rPr>
            </w:pPr>
          </w:p>
        </w:tc>
        <w:tc>
          <w:tcPr>
            <w:tcW w:w="5" w:type="pct"/>
            <w:shd w:val="clear" w:color="auto" w:fill="auto"/>
            <w:vAlign w:val="bottom"/>
          </w:tcPr>
          <w:p w14:paraId="5F2D3A08" w14:textId="77777777" w:rsidR="00E836FB" w:rsidRDefault="00E836FB">
            <w:pPr>
              <w:rPr>
                <w:rFonts w:ascii="宋体"/>
              </w:rPr>
            </w:pPr>
          </w:p>
        </w:tc>
        <w:tc>
          <w:tcPr>
            <w:tcW w:w="5" w:type="pct"/>
            <w:shd w:val="clear" w:color="auto" w:fill="auto"/>
            <w:vAlign w:val="bottom"/>
          </w:tcPr>
          <w:p w14:paraId="5F2D3A09" w14:textId="77777777" w:rsidR="00E836FB" w:rsidRDefault="00E836FB">
            <w:pPr>
              <w:rPr>
                <w:rFonts w:ascii="宋体"/>
              </w:rPr>
            </w:pPr>
          </w:p>
        </w:tc>
        <w:tc>
          <w:tcPr>
            <w:tcW w:w="19" w:type="pct"/>
            <w:shd w:val="clear" w:color="auto" w:fill="auto"/>
            <w:vAlign w:val="bottom"/>
          </w:tcPr>
          <w:p w14:paraId="5F2D3A0A" w14:textId="77777777" w:rsidR="00E836FB" w:rsidRDefault="00E836FB">
            <w:pPr>
              <w:rPr>
                <w:rFonts w:ascii="宋体"/>
              </w:rPr>
            </w:pPr>
          </w:p>
        </w:tc>
        <w:tc>
          <w:tcPr>
            <w:tcW w:w="5" w:type="pct"/>
            <w:shd w:val="clear" w:color="auto" w:fill="auto"/>
            <w:vAlign w:val="bottom"/>
          </w:tcPr>
          <w:p w14:paraId="5F2D3A0B" w14:textId="77777777" w:rsidR="00E836FB" w:rsidRDefault="00E836FB">
            <w:pPr>
              <w:rPr>
                <w:rFonts w:ascii="宋体"/>
              </w:rPr>
            </w:pPr>
          </w:p>
        </w:tc>
        <w:tc>
          <w:tcPr>
            <w:tcW w:w="50" w:type="pct"/>
            <w:shd w:val="clear" w:color="auto" w:fill="auto"/>
            <w:vAlign w:val="bottom"/>
          </w:tcPr>
          <w:p w14:paraId="5F2D3A0C" w14:textId="77777777" w:rsidR="00E836FB" w:rsidRDefault="00E836FB">
            <w:pPr>
              <w:rPr>
                <w:rFonts w:ascii="宋体"/>
              </w:rPr>
            </w:pPr>
          </w:p>
        </w:tc>
        <w:tc>
          <w:tcPr>
            <w:tcW w:w="333" w:type="pct"/>
            <w:shd w:val="clear" w:color="auto" w:fill="auto"/>
            <w:vAlign w:val="bottom"/>
          </w:tcPr>
          <w:p w14:paraId="5F2D3A0D" w14:textId="77777777" w:rsidR="00E836FB" w:rsidRDefault="00E836FB">
            <w:pPr>
              <w:rPr>
                <w:rFonts w:ascii="宋体"/>
              </w:rPr>
            </w:pPr>
          </w:p>
        </w:tc>
        <w:tc>
          <w:tcPr>
            <w:tcW w:w="5" w:type="pct"/>
            <w:shd w:val="clear" w:color="auto" w:fill="auto"/>
            <w:vAlign w:val="bottom"/>
          </w:tcPr>
          <w:p w14:paraId="5F2D3A0E" w14:textId="77777777" w:rsidR="00E836FB" w:rsidRDefault="00E836FB">
            <w:pPr>
              <w:rPr>
                <w:rFonts w:ascii="宋体"/>
              </w:rPr>
            </w:pPr>
          </w:p>
        </w:tc>
      </w:tr>
      <w:tr w:rsidR="00E836FB" w14:paraId="5F2D3A38" w14:textId="77777777">
        <w:trPr>
          <w:hidden/>
        </w:trPr>
        <w:tc>
          <w:tcPr>
            <w:tcW w:w="0" w:type="auto"/>
            <w:gridSpan w:val="3"/>
            <w:shd w:val="clear" w:color="auto" w:fill="auto"/>
            <w:vAlign w:val="bottom"/>
          </w:tcPr>
          <w:p w14:paraId="5F2D3A10" w14:textId="77777777" w:rsidR="00E836FB" w:rsidRDefault="00E836FB">
            <w:pPr>
              <w:rPr>
                <w:rFonts w:ascii="宋体"/>
                <w:vanish/>
              </w:rPr>
            </w:pPr>
          </w:p>
        </w:tc>
        <w:tc>
          <w:tcPr>
            <w:tcW w:w="0" w:type="auto"/>
            <w:gridSpan w:val="3"/>
            <w:shd w:val="clear" w:color="auto" w:fill="auto"/>
            <w:vAlign w:val="bottom"/>
          </w:tcPr>
          <w:p w14:paraId="5F2D3A11" w14:textId="77777777" w:rsidR="00E836FB" w:rsidRDefault="00E836FB">
            <w:pPr>
              <w:rPr>
                <w:rFonts w:ascii="宋体"/>
                <w:vanish/>
              </w:rPr>
            </w:pPr>
          </w:p>
        </w:tc>
        <w:tc>
          <w:tcPr>
            <w:tcW w:w="0" w:type="auto"/>
            <w:gridSpan w:val="3"/>
            <w:shd w:val="clear" w:color="auto" w:fill="auto"/>
            <w:vAlign w:val="bottom"/>
          </w:tcPr>
          <w:p w14:paraId="5F2D3A12" w14:textId="77777777" w:rsidR="00E836FB" w:rsidRDefault="00E836FB">
            <w:pPr>
              <w:rPr>
                <w:rFonts w:ascii="宋体"/>
                <w:vanish/>
              </w:rPr>
            </w:pPr>
          </w:p>
        </w:tc>
        <w:tc>
          <w:tcPr>
            <w:tcW w:w="0" w:type="auto"/>
            <w:gridSpan w:val="3"/>
            <w:shd w:val="clear" w:color="auto" w:fill="auto"/>
            <w:vAlign w:val="bottom"/>
          </w:tcPr>
          <w:p w14:paraId="5F2D3A13" w14:textId="77777777" w:rsidR="00E836FB" w:rsidRDefault="00E836FB">
            <w:pPr>
              <w:rPr>
                <w:rFonts w:ascii="宋体"/>
                <w:vanish/>
              </w:rPr>
            </w:pPr>
          </w:p>
        </w:tc>
        <w:tc>
          <w:tcPr>
            <w:tcW w:w="0" w:type="auto"/>
            <w:gridSpan w:val="3"/>
            <w:shd w:val="clear" w:color="auto" w:fill="auto"/>
            <w:vAlign w:val="bottom"/>
          </w:tcPr>
          <w:p w14:paraId="5F2D3A14" w14:textId="77777777" w:rsidR="00E836FB" w:rsidRDefault="00E836FB">
            <w:pPr>
              <w:rPr>
                <w:rFonts w:ascii="宋体"/>
                <w:vanish/>
              </w:rPr>
            </w:pPr>
          </w:p>
        </w:tc>
        <w:tc>
          <w:tcPr>
            <w:tcW w:w="0" w:type="auto"/>
            <w:gridSpan w:val="3"/>
            <w:shd w:val="clear" w:color="auto" w:fill="auto"/>
            <w:vAlign w:val="bottom"/>
          </w:tcPr>
          <w:p w14:paraId="5F2D3A15" w14:textId="77777777" w:rsidR="00E836FB" w:rsidRDefault="00E836FB">
            <w:pPr>
              <w:rPr>
                <w:rFonts w:ascii="宋体"/>
                <w:vanish/>
              </w:rPr>
            </w:pPr>
          </w:p>
        </w:tc>
        <w:tc>
          <w:tcPr>
            <w:tcW w:w="0" w:type="auto"/>
            <w:gridSpan w:val="3"/>
            <w:shd w:val="clear" w:color="auto" w:fill="auto"/>
            <w:vAlign w:val="bottom"/>
          </w:tcPr>
          <w:p w14:paraId="5F2D3A16" w14:textId="77777777" w:rsidR="00E836FB" w:rsidRDefault="00E836FB">
            <w:pPr>
              <w:rPr>
                <w:rFonts w:ascii="宋体"/>
                <w:vanish/>
              </w:rPr>
            </w:pPr>
          </w:p>
        </w:tc>
        <w:tc>
          <w:tcPr>
            <w:tcW w:w="0" w:type="auto"/>
            <w:gridSpan w:val="3"/>
            <w:shd w:val="clear" w:color="auto" w:fill="auto"/>
            <w:vAlign w:val="bottom"/>
          </w:tcPr>
          <w:p w14:paraId="5F2D3A17" w14:textId="77777777" w:rsidR="00E836FB" w:rsidRDefault="00E836FB">
            <w:pPr>
              <w:rPr>
                <w:rFonts w:ascii="宋体"/>
                <w:vanish/>
              </w:rPr>
            </w:pPr>
          </w:p>
        </w:tc>
        <w:tc>
          <w:tcPr>
            <w:tcW w:w="0" w:type="auto"/>
            <w:gridSpan w:val="3"/>
            <w:shd w:val="clear" w:color="auto" w:fill="auto"/>
            <w:vAlign w:val="bottom"/>
          </w:tcPr>
          <w:p w14:paraId="5F2D3A18" w14:textId="77777777" w:rsidR="00E836FB" w:rsidRDefault="00E836FB">
            <w:pPr>
              <w:rPr>
                <w:rFonts w:ascii="宋体"/>
                <w:vanish/>
              </w:rPr>
            </w:pPr>
          </w:p>
        </w:tc>
        <w:tc>
          <w:tcPr>
            <w:tcW w:w="0" w:type="auto"/>
            <w:gridSpan w:val="3"/>
            <w:shd w:val="clear" w:color="auto" w:fill="auto"/>
            <w:vAlign w:val="bottom"/>
          </w:tcPr>
          <w:p w14:paraId="5F2D3A19" w14:textId="77777777" w:rsidR="00E836FB" w:rsidRDefault="00E836FB">
            <w:pPr>
              <w:rPr>
                <w:rFonts w:ascii="宋体"/>
                <w:vanish/>
              </w:rPr>
            </w:pPr>
          </w:p>
        </w:tc>
        <w:tc>
          <w:tcPr>
            <w:tcW w:w="0" w:type="auto"/>
            <w:shd w:val="clear" w:color="auto" w:fill="auto"/>
            <w:vAlign w:val="bottom"/>
          </w:tcPr>
          <w:p w14:paraId="5F2D3A1A" w14:textId="77777777" w:rsidR="00E836FB" w:rsidRDefault="00E836FB">
            <w:pPr>
              <w:rPr>
                <w:rFonts w:ascii="宋体"/>
              </w:rPr>
            </w:pPr>
          </w:p>
        </w:tc>
        <w:tc>
          <w:tcPr>
            <w:tcW w:w="0" w:type="auto"/>
            <w:shd w:val="clear" w:color="auto" w:fill="auto"/>
            <w:vAlign w:val="bottom"/>
          </w:tcPr>
          <w:p w14:paraId="5F2D3A1B" w14:textId="77777777" w:rsidR="00E836FB" w:rsidRDefault="00E836FB">
            <w:pPr>
              <w:rPr>
                <w:rFonts w:ascii="宋体"/>
              </w:rPr>
            </w:pPr>
          </w:p>
        </w:tc>
        <w:tc>
          <w:tcPr>
            <w:tcW w:w="0" w:type="auto"/>
            <w:shd w:val="clear" w:color="auto" w:fill="auto"/>
            <w:vAlign w:val="bottom"/>
          </w:tcPr>
          <w:p w14:paraId="5F2D3A1C" w14:textId="77777777" w:rsidR="00E836FB" w:rsidRDefault="00E836FB">
            <w:pPr>
              <w:rPr>
                <w:rFonts w:ascii="宋体"/>
              </w:rPr>
            </w:pPr>
          </w:p>
        </w:tc>
        <w:tc>
          <w:tcPr>
            <w:tcW w:w="0" w:type="auto"/>
            <w:shd w:val="clear" w:color="auto" w:fill="auto"/>
            <w:vAlign w:val="bottom"/>
          </w:tcPr>
          <w:p w14:paraId="5F2D3A1D" w14:textId="77777777" w:rsidR="00E836FB" w:rsidRDefault="00E836FB">
            <w:pPr>
              <w:rPr>
                <w:rFonts w:ascii="宋体"/>
              </w:rPr>
            </w:pPr>
          </w:p>
        </w:tc>
        <w:tc>
          <w:tcPr>
            <w:tcW w:w="0" w:type="auto"/>
            <w:shd w:val="clear" w:color="auto" w:fill="auto"/>
            <w:vAlign w:val="bottom"/>
          </w:tcPr>
          <w:p w14:paraId="5F2D3A1E" w14:textId="77777777" w:rsidR="00E836FB" w:rsidRDefault="00E836FB">
            <w:pPr>
              <w:rPr>
                <w:rFonts w:ascii="宋体"/>
              </w:rPr>
            </w:pPr>
          </w:p>
        </w:tc>
        <w:tc>
          <w:tcPr>
            <w:tcW w:w="0" w:type="auto"/>
            <w:shd w:val="clear" w:color="auto" w:fill="auto"/>
            <w:vAlign w:val="bottom"/>
          </w:tcPr>
          <w:p w14:paraId="5F2D3A1F" w14:textId="77777777" w:rsidR="00E836FB" w:rsidRDefault="00E836FB">
            <w:pPr>
              <w:rPr>
                <w:rFonts w:ascii="宋体"/>
              </w:rPr>
            </w:pPr>
          </w:p>
        </w:tc>
        <w:tc>
          <w:tcPr>
            <w:tcW w:w="0" w:type="auto"/>
            <w:shd w:val="clear" w:color="auto" w:fill="auto"/>
            <w:vAlign w:val="bottom"/>
          </w:tcPr>
          <w:p w14:paraId="5F2D3A20" w14:textId="77777777" w:rsidR="00E836FB" w:rsidRDefault="00E836FB">
            <w:pPr>
              <w:rPr>
                <w:rFonts w:ascii="宋体"/>
              </w:rPr>
            </w:pPr>
          </w:p>
        </w:tc>
        <w:tc>
          <w:tcPr>
            <w:tcW w:w="0" w:type="auto"/>
            <w:shd w:val="clear" w:color="auto" w:fill="auto"/>
            <w:vAlign w:val="bottom"/>
          </w:tcPr>
          <w:p w14:paraId="5F2D3A21" w14:textId="77777777" w:rsidR="00E836FB" w:rsidRDefault="00E836FB">
            <w:pPr>
              <w:rPr>
                <w:rFonts w:ascii="宋体"/>
              </w:rPr>
            </w:pPr>
          </w:p>
        </w:tc>
        <w:tc>
          <w:tcPr>
            <w:tcW w:w="0" w:type="auto"/>
            <w:shd w:val="clear" w:color="auto" w:fill="auto"/>
            <w:vAlign w:val="bottom"/>
          </w:tcPr>
          <w:p w14:paraId="5F2D3A22" w14:textId="77777777" w:rsidR="00E836FB" w:rsidRDefault="00E836FB">
            <w:pPr>
              <w:rPr>
                <w:rFonts w:ascii="宋体"/>
              </w:rPr>
            </w:pPr>
          </w:p>
        </w:tc>
        <w:tc>
          <w:tcPr>
            <w:tcW w:w="0" w:type="auto"/>
            <w:shd w:val="clear" w:color="auto" w:fill="auto"/>
            <w:vAlign w:val="bottom"/>
          </w:tcPr>
          <w:p w14:paraId="5F2D3A23" w14:textId="77777777" w:rsidR="00E836FB" w:rsidRDefault="00E836FB">
            <w:pPr>
              <w:rPr>
                <w:rFonts w:ascii="宋体"/>
              </w:rPr>
            </w:pPr>
          </w:p>
        </w:tc>
        <w:tc>
          <w:tcPr>
            <w:tcW w:w="0" w:type="auto"/>
            <w:shd w:val="clear" w:color="auto" w:fill="auto"/>
            <w:vAlign w:val="bottom"/>
          </w:tcPr>
          <w:p w14:paraId="5F2D3A24" w14:textId="77777777" w:rsidR="00E836FB" w:rsidRDefault="00E836FB">
            <w:pPr>
              <w:rPr>
                <w:rFonts w:ascii="宋体"/>
              </w:rPr>
            </w:pPr>
          </w:p>
        </w:tc>
        <w:tc>
          <w:tcPr>
            <w:tcW w:w="0" w:type="auto"/>
            <w:shd w:val="clear" w:color="auto" w:fill="auto"/>
            <w:vAlign w:val="bottom"/>
          </w:tcPr>
          <w:p w14:paraId="5F2D3A25" w14:textId="77777777" w:rsidR="00E836FB" w:rsidRDefault="00E836FB">
            <w:pPr>
              <w:rPr>
                <w:rFonts w:ascii="宋体"/>
              </w:rPr>
            </w:pPr>
          </w:p>
        </w:tc>
        <w:tc>
          <w:tcPr>
            <w:tcW w:w="0" w:type="auto"/>
            <w:shd w:val="clear" w:color="auto" w:fill="auto"/>
            <w:vAlign w:val="bottom"/>
          </w:tcPr>
          <w:p w14:paraId="5F2D3A26" w14:textId="77777777" w:rsidR="00E836FB" w:rsidRDefault="00E836FB">
            <w:pPr>
              <w:rPr>
                <w:rFonts w:ascii="宋体"/>
              </w:rPr>
            </w:pPr>
          </w:p>
        </w:tc>
        <w:tc>
          <w:tcPr>
            <w:tcW w:w="0" w:type="auto"/>
            <w:shd w:val="clear" w:color="auto" w:fill="auto"/>
            <w:vAlign w:val="bottom"/>
          </w:tcPr>
          <w:p w14:paraId="5F2D3A27" w14:textId="77777777" w:rsidR="00E836FB" w:rsidRDefault="00E836FB">
            <w:pPr>
              <w:rPr>
                <w:rFonts w:ascii="宋体"/>
              </w:rPr>
            </w:pPr>
          </w:p>
        </w:tc>
        <w:tc>
          <w:tcPr>
            <w:tcW w:w="0" w:type="auto"/>
            <w:shd w:val="clear" w:color="auto" w:fill="auto"/>
            <w:vAlign w:val="bottom"/>
          </w:tcPr>
          <w:p w14:paraId="5F2D3A28" w14:textId="77777777" w:rsidR="00E836FB" w:rsidRDefault="00E836FB">
            <w:pPr>
              <w:rPr>
                <w:rFonts w:ascii="宋体"/>
              </w:rPr>
            </w:pPr>
          </w:p>
        </w:tc>
        <w:tc>
          <w:tcPr>
            <w:tcW w:w="0" w:type="auto"/>
            <w:shd w:val="clear" w:color="auto" w:fill="auto"/>
            <w:vAlign w:val="bottom"/>
          </w:tcPr>
          <w:p w14:paraId="5F2D3A29" w14:textId="77777777" w:rsidR="00E836FB" w:rsidRDefault="00E836FB">
            <w:pPr>
              <w:rPr>
                <w:rFonts w:ascii="宋体"/>
              </w:rPr>
            </w:pPr>
          </w:p>
        </w:tc>
        <w:tc>
          <w:tcPr>
            <w:tcW w:w="0" w:type="auto"/>
            <w:shd w:val="clear" w:color="auto" w:fill="auto"/>
            <w:vAlign w:val="bottom"/>
          </w:tcPr>
          <w:p w14:paraId="5F2D3A2A" w14:textId="77777777" w:rsidR="00E836FB" w:rsidRDefault="00E836FB">
            <w:pPr>
              <w:rPr>
                <w:rFonts w:ascii="宋体"/>
              </w:rPr>
            </w:pPr>
          </w:p>
        </w:tc>
        <w:tc>
          <w:tcPr>
            <w:tcW w:w="0" w:type="auto"/>
            <w:shd w:val="clear" w:color="auto" w:fill="auto"/>
            <w:vAlign w:val="bottom"/>
          </w:tcPr>
          <w:p w14:paraId="5F2D3A2B" w14:textId="77777777" w:rsidR="00E836FB" w:rsidRDefault="00E836FB">
            <w:pPr>
              <w:rPr>
                <w:rFonts w:ascii="宋体"/>
              </w:rPr>
            </w:pPr>
          </w:p>
        </w:tc>
        <w:tc>
          <w:tcPr>
            <w:tcW w:w="0" w:type="auto"/>
            <w:shd w:val="clear" w:color="auto" w:fill="auto"/>
            <w:vAlign w:val="bottom"/>
          </w:tcPr>
          <w:p w14:paraId="5F2D3A2C" w14:textId="77777777" w:rsidR="00E836FB" w:rsidRDefault="00E836FB">
            <w:pPr>
              <w:rPr>
                <w:rFonts w:ascii="宋体"/>
              </w:rPr>
            </w:pPr>
          </w:p>
        </w:tc>
        <w:tc>
          <w:tcPr>
            <w:tcW w:w="0" w:type="auto"/>
            <w:shd w:val="clear" w:color="auto" w:fill="auto"/>
            <w:vAlign w:val="bottom"/>
          </w:tcPr>
          <w:p w14:paraId="5F2D3A2D" w14:textId="77777777" w:rsidR="00E836FB" w:rsidRDefault="00E836FB">
            <w:pPr>
              <w:rPr>
                <w:rFonts w:ascii="宋体"/>
              </w:rPr>
            </w:pPr>
          </w:p>
        </w:tc>
        <w:tc>
          <w:tcPr>
            <w:tcW w:w="0" w:type="auto"/>
            <w:shd w:val="clear" w:color="auto" w:fill="auto"/>
            <w:vAlign w:val="bottom"/>
          </w:tcPr>
          <w:p w14:paraId="5F2D3A2E" w14:textId="77777777" w:rsidR="00E836FB" w:rsidRDefault="00E836FB">
            <w:pPr>
              <w:rPr>
                <w:rFonts w:ascii="宋体"/>
              </w:rPr>
            </w:pPr>
          </w:p>
        </w:tc>
        <w:tc>
          <w:tcPr>
            <w:tcW w:w="0" w:type="auto"/>
            <w:shd w:val="clear" w:color="auto" w:fill="auto"/>
            <w:vAlign w:val="bottom"/>
          </w:tcPr>
          <w:p w14:paraId="5F2D3A2F" w14:textId="77777777" w:rsidR="00E836FB" w:rsidRDefault="00E836FB">
            <w:pPr>
              <w:rPr>
                <w:rFonts w:ascii="宋体"/>
              </w:rPr>
            </w:pPr>
          </w:p>
        </w:tc>
        <w:tc>
          <w:tcPr>
            <w:tcW w:w="0" w:type="auto"/>
            <w:shd w:val="clear" w:color="auto" w:fill="auto"/>
            <w:vAlign w:val="bottom"/>
          </w:tcPr>
          <w:p w14:paraId="5F2D3A30" w14:textId="77777777" w:rsidR="00E836FB" w:rsidRDefault="00E836FB">
            <w:pPr>
              <w:rPr>
                <w:rFonts w:ascii="宋体"/>
              </w:rPr>
            </w:pPr>
          </w:p>
        </w:tc>
        <w:tc>
          <w:tcPr>
            <w:tcW w:w="0" w:type="auto"/>
            <w:shd w:val="clear" w:color="auto" w:fill="auto"/>
            <w:vAlign w:val="bottom"/>
          </w:tcPr>
          <w:p w14:paraId="5F2D3A31" w14:textId="77777777" w:rsidR="00E836FB" w:rsidRDefault="00E836FB">
            <w:pPr>
              <w:rPr>
                <w:rFonts w:ascii="宋体"/>
              </w:rPr>
            </w:pPr>
          </w:p>
        </w:tc>
        <w:tc>
          <w:tcPr>
            <w:tcW w:w="0" w:type="auto"/>
            <w:shd w:val="clear" w:color="auto" w:fill="auto"/>
            <w:vAlign w:val="bottom"/>
          </w:tcPr>
          <w:p w14:paraId="5F2D3A32" w14:textId="77777777" w:rsidR="00E836FB" w:rsidRDefault="00E836FB">
            <w:pPr>
              <w:rPr>
                <w:rFonts w:ascii="宋体"/>
              </w:rPr>
            </w:pPr>
          </w:p>
        </w:tc>
        <w:tc>
          <w:tcPr>
            <w:tcW w:w="0" w:type="auto"/>
            <w:shd w:val="clear" w:color="auto" w:fill="auto"/>
            <w:vAlign w:val="bottom"/>
          </w:tcPr>
          <w:p w14:paraId="5F2D3A33" w14:textId="77777777" w:rsidR="00E836FB" w:rsidRDefault="00E836FB">
            <w:pPr>
              <w:rPr>
                <w:rFonts w:ascii="宋体"/>
              </w:rPr>
            </w:pPr>
          </w:p>
        </w:tc>
        <w:tc>
          <w:tcPr>
            <w:tcW w:w="0" w:type="auto"/>
            <w:shd w:val="clear" w:color="auto" w:fill="auto"/>
            <w:vAlign w:val="bottom"/>
          </w:tcPr>
          <w:p w14:paraId="5F2D3A34" w14:textId="77777777" w:rsidR="00E836FB" w:rsidRDefault="00E836FB">
            <w:pPr>
              <w:rPr>
                <w:rFonts w:ascii="宋体"/>
              </w:rPr>
            </w:pPr>
          </w:p>
        </w:tc>
        <w:tc>
          <w:tcPr>
            <w:tcW w:w="0" w:type="auto"/>
            <w:shd w:val="clear" w:color="auto" w:fill="auto"/>
            <w:vAlign w:val="bottom"/>
          </w:tcPr>
          <w:p w14:paraId="5F2D3A35" w14:textId="77777777" w:rsidR="00E836FB" w:rsidRDefault="00E836FB">
            <w:pPr>
              <w:rPr>
                <w:rFonts w:ascii="宋体"/>
              </w:rPr>
            </w:pPr>
          </w:p>
        </w:tc>
        <w:tc>
          <w:tcPr>
            <w:tcW w:w="0" w:type="auto"/>
            <w:shd w:val="clear" w:color="auto" w:fill="auto"/>
            <w:vAlign w:val="bottom"/>
          </w:tcPr>
          <w:p w14:paraId="5F2D3A36" w14:textId="77777777" w:rsidR="00E836FB" w:rsidRDefault="00E836FB">
            <w:pPr>
              <w:rPr>
                <w:rFonts w:ascii="宋体"/>
              </w:rPr>
            </w:pPr>
          </w:p>
        </w:tc>
        <w:tc>
          <w:tcPr>
            <w:tcW w:w="0" w:type="auto"/>
            <w:shd w:val="clear" w:color="auto" w:fill="auto"/>
            <w:vAlign w:val="bottom"/>
          </w:tcPr>
          <w:p w14:paraId="5F2D3A37" w14:textId="77777777" w:rsidR="00E836FB" w:rsidRDefault="00E836FB">
            <w:pPr>
              <w:rPr>
                <w:rFonts w:ascii="宋体"/>
              </w:rPr>
            </w:pPr>
          </w:p>
        </w:tc>
      </w:tr>
      <w:tr w:rsidR="00E836FB" w14:paraId="5F2D3A71" w14:textId="77777777">
        <w:trPr>
          <w:hidden/>
        </w:trPr>
        <w:tc>
          <w:tcPr>
            <w:tcW w:w="0" w:type="auto"/>
            <w:gridSpan w:val="3"/>
            <w:shd w:val="clear" w:color="auto" w:fill="auto"/>
            <w:vAlign w:val="bottom"/>
          </w:tcPr>
          <w:p w14:paraId="5F2D3A39" w14:textId="77777777" w:rsidR="00E836FB" w:rsidRDefault="00E836FB">
            <w:pPr>
              <w:rPr>
                <w:rFonts w:ascii="宋体"/>
                <w:vanish/>
              </w:rPr>
            </w:pPr>
          </w:p>
        </w:tc>
        <w:tc>
          <w:tcPr>
            <w:tcW w:w="0" w:type="auto"/>
            <w:gridSpan w:val="3"/>
            <w:shd w:val="clear" w:color="auto" w:fill="auto"/>
            <w:vAlign w:val="bottom"/>
          </w:tcPr>
          <w:p w14:paraId="5F2D3A3A" w14:textId="77777777" w:rsidR="00E836FB" w:rsidRDefault="00E836FB">
            <w:pPr>
              <w:rPr>
                <w:rFonts w:ascii="宋体"/>
                <w:vanish/>
              </w:rPr>
            </w:pPr>
          </w:p>
        </w:tc>
        <w:tc>
          <w:tcPr>
            <w:tcW w:w="0" w:type="auto"/>
            <w:shd w:val="clear" w:color="auto" w:fill="auto"/>
            <w:vAlign w:val="bottom"/>
          </w:tcPr>
          <w:p w14:paraId="5F2D3A3B" w14:textId="77777777" w:rsidR="00E836FB" w:rsidRDefault="00E836FB">
            <w:pPr>
              <w:rPr>
                <w:rFonts w:ascii="宋体"/>
              </w:rPr>
            </w:pPr>
          </w:p>
        </w:tc>
        <w:tc>
          <w:tcPr>
            <w:tcW w:w="0" w:type="auto"/>
            <w:shd w:val="clear" w:color="auto" w:fill="auto"/>
            <w:vAlign w:val="bottom"/>
          </w:tcPr>
          <w:p w14:paraId="5F2D3A3C" w14:textId="77777777" w:rsidR="00E836FB" w:rsidRDefault="00E836FB">
            <w:pPr>
              <w:rPr>
                <w:rFonts w:ascii="宋体"/>
              </w:rPr>
            </w:pPr>
          </w:p>
        </w:tc>
        <w:tc>
          <w:tcPr>
            <w:tcW w:w="0" w:type="auto"/>
            <w:shd w:val="clear" w:color="auto" w:fill="auto"/>
            <w:vAlign w:val="bottom"/>
          </w:tcPr>
          <w:p w14:paraId="5F2D3A3D" w14:textId="77777777" w:rsidR="00E836FB" w:rsidRDefault="00E836FB">
            <w:pPr>
              <w:rPr>
                <w:rFonts w:ascii="宋体"/>
              </w:rPr>
            </w:pPr>
          </w:p>
        </w:tc>
        <w:tc>
          <w:tcPr>
            <w:tcW w:w="0" w:type="auto"/>
            <w:shd w:val="clear" w:color="auto" w:fill="auto"/>
            <w:vAlign w:val="bottom"/>
          </w:tcPr>
          <w:p w14:paraId="5F2D3A3E" w14:textId="77777777" w:rsidR="00E836FB" w:rsidRDefault="00E836FB">
            <w:pPr>
              <w:rPr>
                <w:rFonts w:ascii="宋体"/>
              </w:rPr>
            </w:pPr>
          </w:p>
        </w:tc>
        <w:tc>
          <w:tcPr>
            <w:tcW w:w="0" w:type="auto"/>
            <w:shd w:val="clear" w:color="auto" w:fill="auto"/>
            <w:vAlign w:val="bottom"/>
          </w:tcPr>
          <w:p w14:paraId="5F2D3A3F" w14:textId="77777777" w:rsidR="00E836FB" w:rsidRDefault="00E836FB">
            <w:pPr>
              <w:rPr>
                <w:rFonts w:ascii="宋体"/>
              </w:rPr>
            </w:pPr>
          </w:p>
        </w:tc>
        <w:tc>
          <w:tcPr>
            <w:tcW w:w="0" w:type="auto"/>
            <w:shd w:val="clear" w:color="auto" w:fill="auto"/>
            <w:vAlign w:val="bottom"/>
          </w:tcPr>
          <w:p w14:paraId="5F2D3A40" w14:textId="77777777" w:rsidR="00E836FB" w:rsidRDefault="00E836FB">
            <w:pPr>
              <w:rPr>
                <w:rFonts w:ascii="宋体"/>
              </w:rPr>
            </w:pPr>
          </w:p>
        </w:tc>
        <w:tc>
          <w:tcPr>
            <w:tcW w:w="0" w:type="auto"/>
            <w:shd w:val="clear" w:color="auto" w:fill="auto"/>
            <w:vAlign w:val="bottom"/>
          </w:tcPr>
          <w:p w14:paraId="5F2D3A41" w14:textId="77777777" w:rsidR="00E836FB" w:rsidRDefault="00E836FB">
            <w:pPr>
              <w:rPr>
                <w:rFonts w:ascii="宋体"/>
              </w:rPr>
            </w:pPr>
          </w:p>
        </w:tc>
        <w:tc>
          <w:tcPr>
            <w:tcW w:w="0" w:type="auto"/>
            <w:shd w:val="clear" w:color="auto" w:fill="auto"/>
            <w:vAlign w:val="bottom"/>
          </w:tcPr>
          <w:p w14:paraId="5F2D3A42" w14:textId="77777777" w:rsidR="00E836FB" w:rsidRDefault="00E836FB">
            <w:pPr>
              <w:rPr>
                <w:rFonts w:ascii="宋体"/>
              </w:rPr>
            </w:pPr>
          </w:p>
        </w:tc>
        <w:tc>
          <w:tcPr>
            <w:tcW w:w="0" w:type="auto"/>
            <w:shd w:val="clear" w:color="auto" w:fill="auto"/>
            <w:vAlign w:val="bottom"/>
          </w:tcPr>
          <w:p w14:paraId="5F2D3A43" w14:textId="77777777" w:rsidR="00E836FB" w:rsidRDefault="00E836FB">
            <w:pPr>
              <w:rPr>
                <w:rFonts w:ascii="宋体"/>
              </w:rPr>
            </w:pPr>
          </w:p>
        </w:tc>
        <w:tc>
          <w:tcPr>
            <w:tcW w:w="0" w:type="auto"/>
            <w:shd w:val="clear" w:color="auto" w:fill="auto"/>
            <w:vAlign w:val="bottom"/>
          </w:tcPr>
          <w:p w14:paraId="5F2D3A44" w14:textId="77777777" w:rsidR="00E836FB" w:rsidRDefault="00E836FB">
            <w:pPr>
              <w:rPr>
                <w:rFonts w:ascii="宋体"/>
              </w:rPr>
            </w:pPr>
          </w:p>
        </w:tc>
        <w:tc>
          <w:tcPr>
            <w:tcW w:w="0" w:type="auto"/>
            <w:shd w:val="clear" w:color="auto" w:fill="auto"/>
            <w:vAlign w:val="bottom"/>
          </w:tcPr>
          <w:p w14:paraId="5F2D3A45" w14:textId="77777777" w:rsidR="00E836FB" w:rsidRDefault="00E836FB">
            <w:pPr>
              <w:rPr>
                <w:rFonts w:ascii="宋体"/>
              </w:rPr>
            </w:pPr>
          </w:p>
        </w:tc>
        <w:tc>
          <w:tcPr>
            <w:tcW w:w="0" w:type="auto"/>
            <w:shd w:val="clear" w:color="auto" w:fill="auto"/>
            <w:vAlign w:val="bottom"/>
          </w:tcPr>
          <w:p w14:paraId="5F2D3A46" w14:textId="77777777" w:rsidR="00E836FB" w:rsidRDefault="00E836FB">
            <w:pPr>
              <w:rPr>
                <w:rFonts w:ascii="宋体"/>
              </w:rPr>
            </w:pPr>
          </w:p>
        </w:tc>
        <w:tc>
          <w:tcPr>
            <w:tcW w:w="0" w:type="auto"/>
            <w:shd w:val="clear" w:color="auto" w:fill="auto"/>
            <w:vAlign w:val="bottom"/>
          </w:tcPr>
          <w:p w14:paraId="5F2D3A47" w14:textId="77777777" w:rsidR="00E836FB" w:rsidRDefault="00E836FB">
            <w:pPr>
              <w:rPr>
                <w:rFonts w:ascii="宋体"/>
              </w:rPr>
            </w:pPr>
          </w:p>
        </w:tc>
        <w:tc>
          <w:tcPr>
            <w:tcW w:w="0" w:type="auto"/>
            <w:shd w:val="clear" w:color="auto" w:fill="auto"/>
            <w:vAlign w:val="bottom"/>
          </w:tcPr>
          <w:p w14:paraId="5F2D3A48" w14:textId="77777777" w:rsidR="00E836FB" w:rsidRDefault="00E836FB">
            <w:pPr>
              <w:rPr>
                <w:rFonts w:ascii="宋体"/>
              </w:rPr>
            </w:pPr>
          </w:p>
        </w:tc>
        <w:tc>
          <w:tcPr>
            <w:tcW w:w="0" w:type="auto"/>
            <w:shd w:val="clear" w:color="auto" w:fill="auto"/>
            <w:vAlign w:val="bottom"/>
          </w:tcPr>
          <w:p w14:paraId="5F2D3A49" w14:textId="77777777" w:rsidR="00E836FB" w:rsidRDefault="00E836FB">
            <w:pPr>
              <w:rPr>
                <w:rFonts w:ascii="宋体"/>
              </w:rPr>
            </w:pPr>
          </w:p>
        </w:tc>
        <w:tc>
          <w:tcPr>
            <w:tcW w:w="0" w:type="auto"/>
            <w:shd w:val="clear" w:color="auto" w:fill="auto"/>
            <w:vAlign w:val="bottom"/>
          </w:tcPr>
          <w:p w14:paraId="5F2D3A4A" w14:textId="77777777" w:rsidR="00E836FB" w:rsidRDefault="00E836FB">
            <w:pPr>
              <w:rPr>
                <w:rFonts w:ascii="宋体"/>
              </w:rPr>
            </w:pPr>
          </w:p>
        </w:tc>
        <w:tc>
          <w:tcPr>
            <w:tcW w:w="0" w:type="auto"/>
            <w:shd w:val="clear" w:color="auto" w:fill="auto"/>
            <w:vAlign w:val="bottom"/>
          </w:tcPr>
          <w:p w14:paraId="5F2D3A4B" w14:textId="77777777" w:rsidR="00E836FB" w:rsidRDefault="00E836FB">
            <w:pPr>
              <w:rPr>
                <w:rFonts w:ascii="宋体"/>
              </w:rPr>
            </w:pPr>
          </w:p>
        </w:tc>
        <w:tc>
          <w:tcPr>
            <w:tcW w:w="0" w:type="auto"/>
            <w:shd w:val="clear" w:color="auto" w:fill="auto"/>
            <w:vAlign w:val="bottom"/>
          </w:tcPr>
          <w:p w14:paraId="5F2D3A4C" w14:textId="77777777" w:rsidR="00E836FB" w:rsidRDefault="00E836FB">
            <w:pPr>
              <w:rPr>
                <w:rFonts w:ascii="宋体"/>
              </w:rPr>
            </w:pPr>
          </w:p>
        </w:tc>
        <w:tc>
          <w:tcPr>
            <w:tcW w:w="0" w:type="auto"/>
            <w:shd w:val="clear" w:color="auto" w:fill="auto"/>
            <w:vAlign w:val="bottom"/>
          </w:tcPr>
          <w:p w14:paraId="5F2D3A4D" w14:textId="77777777" w:rsidR="00E836FB" w:rsidRDefault="00E836FB">
            <w:pPr>
              <w:rPr>
                <w:rFonts w:ascii="宋体"/>
              </w:rPr>
            </w:pPr>
          </w:p>
        </w:tc>
        <w:tc>
          <w:tcPr>
            <w:tcW w:w="0" w:type="auto"/>
            <w:shd w:val="clear" w:color="auto" w:fill="auto"/>
            <w:vAlign w:val="bottom"/>
          </w:tcPr>
          <w:p w14:paraId="5F2D3A4E" w14:textId="77777777" w:rsidR="00E836FB" w:rsidRDefault="00E836FB">
            <w:pPr>
              <w:rPr>
                <w:rFonts w:ascii="宋体"/>
              </w:rPr>
            </w:pPr>
          </w:p>
        </w:tc>
        <w:tc>
          <w:tcPr>
            <w:tcW w:w="0" w:type="auto"/>
            <w:shd w:val="clear" w:color="auto" w:fill="auto"/>
            <w:vAlign w:val="bottom"/>
          </w:tcPr>
          <w:p w14:paraId="5F2D3A4F" w14:textId="77777777" w:rsidR="00E836FB" w:rsidRDefault="00E836FB">
            <w:pPr>
              <w:rPr>
                <w:rFonts w:ascii="宋体"/>
              </w:rPr>
            </w:pPr>
          </w:p>
        </w:tc>
        <w:tc>
          <w:tcPr>
            <w:tcW w:w="0" w:type="auto"/>
            <w:shd w:val="clear" w:color="auto" w:fill="auto"/>
            <w:vAlign w:val="bottom"/>
          </w:tcPr>
          <w:p w14:paraId="5F2D3A50" w14:textId="77777777" w:rsidR="00E836FB" w:rsidRDefault="00E836FB">
            <w:pPr>
              <w:rPr>
                <w:rFonts w:ascii="宋体"/>
              </w:rPr>
            </w:pPr>
          </w:p>
        </w:tc>
        <w:tc>
          <w:tcPr>
            <w:tcW w:w="0" w:type="auto"/>
            <w:shd w:val="clear" w:color="auto" w:fill="auto"/>
            <w:vAlign w:val="bottom"/>
          </w:tcPr>
          <w:p w14:paraId="5F2D3A51" w14:textId="77777777" w:rsidR="00E836FB" w:rsidRDefault="00E836FB">
            <w:pPr>
              <w:rPr>
                <w:rFonts w:ascii="宋体"/>
              </w:rPr>
            </w:pPr>
          </w:p>
        </w:tc>
        <w:tc>
          <w:tcPr>
            <w:tcW w:w="0" w:type="auto"/>
            <w:shd w:val="clear" w:color="auto" w:fill="auto"/>
            <w:vAlign w:val="bottom"/>
          </w:tcPr>
          <w:p w14:paraId="5F2D3A52" w14:textId="77777777" w:rsidR="00E836FB" w:rsidRDefault="00E836FB">
            <w:pPr>
              <w:rPr>
                <w:rFonts w:ascii="宋体"/>
              </w:rPr>
            </w:pPr>
          </w:p>
        </w:tc>
        <w:tc>
          <w:tcPr>
            <w:tcW w:w="0" w:type="auto"/>
            <w:shd w:val="clear" w:color="auto" w:fill="auto"/>
            <w:vAlign w:val="bottom"/>
          </w:tcPr>
          <w:p w14:paraId="5F2D3A53" w14:textId="77777777" w:rsidR="00E836FB" w:rsidRDefault="00E836FB">
            <w:pPr>
              <w:rPr>
                <w:rFonts w:ascii="宋体"/>
              </w:rPr>
            </w:pPr>
          </w:p>
        </w:tc>
        <w:tc>
          <w:tcPr>
            <w:tcW w:w="0" w:type="auto"/>
            <w:shd w:val="clear" w:color="auto" w:fill="auto"/>
            <w:vAlign w:val="bottom"/>
          </w:tcPr>
          <w:p w14:paraId="5F2D3A54" w14:textId="77777777" w:rsidR="00E836FB" w:rsidRDefault="00E836FB">
            <w:pPr>
              <w:rPr>
                <w:rFonts w:ascii="宋体"/>
              </w:rPr>
            </w:pPr>
          </w:p>
        </w:tc>
        <w:tc>
          <w:tcPr>
            <w:tcW w:w="0" w:type="auto"/>
            <w:shd w:val="clear" w:color="auto" w:fill="auto"/>
            <w:vAlign w:val="bottom"/>
          </w:tcPr>
          <w:p w14:paraId="5F2D3A55" w14:textId="77777777" w:rsidR="00E836FB" w:rsidRDefault="00E836FB">
            <w:pPr>
              <w:rPr>
                <w:rFonts w:ascii="宋体"/>
              </w:rPr>
            </w:pPr>
          </w:p>
        </w:tc>
        <w:tc>
          <w:tcPr>
            <w:tcW w:w="0" w:type="auto"/>
            <w:shd w:val="clear" w:color="auto" w:fill="auto"/>
            <w:vAlign w:val="bottom"/>
          </w:tcPr>
          <w:p w14:paraId="5F2D3A56" w14:textId="77777777" w:rsidR="00E836FB" w:rsidRDefault="00E836FB">
            <w:pPr>
              <w:rPr>
                <w:rFonts w:ascii="宋体"/>
              </w:rPr>
            </w:pPr>
          </w:p>
        </w:tc>
        <w:tc>
          <w:tcPr>
            <w:tcW w:w="0" w:type="auto"/>
            <w:shd w:val="clear" w:color="auto" w:fill="auto"/>
            <w:vAlign w:val="bottom"/>
          </w:tcPr>
          <w:p w14:paraId="5F2D3A57" w14:textId="77777777" w:rsidR="00E836FB" w:rsidRDefault="00E836FB">
            <w:pPr>
              <w:rPr>
                <w:rFonts w:ascii="宋体"/>
              </w:rPr>
            </w:pPr>
          </w:p>
        </w:tc>
        <w:tc>
          <w:tcPr>
            <w:tcW w:w="0" w:type="auto"/>
            <w:shd w:val="clear" w:color="auto" w:fill="auto"/>
            <w:vAlign w:val="bottom"/>
          </w:tcPr>
          <w:p w14:paraId="5F2D3A58" w14:textId="77777777" w:rsidR="00E836FB" w:rsidRDefault="00E836FB">
            <w:pPr>
              <w:rPr>
                <w:rFonts w:ascii="宋体"/>
              </w:rPr>
            </w:pPr>
          </w:p>
        </w:tc>
        <w:tc>
          <w:tcPr>
            <w:tcW w:w="0" w:type="auto"/>
            <w:shd w:val="clear" w:color="auto" w:fill="auto"/>
            <w:vAlign w:val="bottom"/>
          </w:tcPr>
          <w:p w14:paraId="5F2D3A59" w14:textId="77777777" w:rsidR="00E836FB" w:rsidRDefault="00E836FB">
            <w:pPr>
              <w:rPr>
                <w:rFonts w:ascii="宋体"/>
              </w:rPr>
            </w:pPr>
          </w:p>
        </w:tc>
        <w:tc>
          <w:tcPr>
            <w:tcW w:w="0" w:type="auto"/>
            <w:shd w:val="clear" w:color="auto" w:fill="auto"/>
            <w:vAlign w:val="bottom"/>
          </w:tcPr>
          <w:p w14:paraId="5F2D3A5A" w14:textId="77777777" w:rsidR="00E836FB" w:rsidRDefault="00E836FB">
            <w:pPr>
              <w:rPr>
                <w:rFonts w:ascii="宋体"/>
              </w:rPr>
            </w:pPr>
          </w:p>
        </w:tc>
        <w:tc>
          <w:tcPr>
            <w:tcW w:w="0" w:type="auto"/>
            <w:shd w:val="clear" w:color="auto" w:fill="auto"/>
            <w:vAlign w:val="bottom"/>
          </w:tcPr>
          <w:p w14:paraId="5F2D3A5B" w14:textId="77777777" w:rsidR="00E836FB" w:rsidRDefault="00E836FB">
            <w:pPr>
              <w:rPr>
                <w:rFonts w:ascii="宋体"/>
              </w:rPr>
            </w:pPr>
          </w:p>
        </w:tc>
        <w:tc>
          <w:tcPr>
            <w:tcW w:w="0" w:type="auto"/>
            <w:shd w:val="clear" w:color="auto" w:fill="auto"/>
            <w:vAlign w:val="bottom"/>
          </w:tcPr>
          <w:p w14:paraId="5F2D3A5C" w14:textId="77777777" w:rsidR="00E836FB" w:rsidRDefault="00E836FB">
            <w:pPr>
              <w:rPr>
                <w:rFonts w:ascii="宋体"/>
              </w:rPr>
            </w:pPr>
          </w:p>
        </w:tc>
        <w:tc>
          <w:tcPr>
            <w:tcW w:w="0" w:type="auto"/>
            <w:shd w:val="clear" w:color="auto" w:fill="auto"/>
            <w:vAlign w:val="bottom"/>
          </w:tcPr>
          <w:p w14:paraId="5F2D3A5D" w14:textId="77777777" w:rsidR="00E836FB" w:rsidRDefault="00E836FB">
            <w:pPr>
              <w:rPr>
                <w:rFonts w:ascii="宋体"/>
              </w:rPr>
            </w:pPr>
          </w:p>
        </w:tc>
        <w:tc>
          <w:tcPr>
            <w:tcW w:w="0" w:type="auto"/>
            <w:shd w:val="clear" w:color="auto" w:fill="auto"/>
            <w:vAlign w:val="bottom"/>
          </w:tcPr>
          <w:p w14:paraId="5F2D3A5E" w14:textId="77777777" w:rsidR="00E836FB" w:rsidRDefault="00E836FB">
            <w:pPr>
              <w:rPr>
                <w:rFonts w:ascii="宋体"/>
              </w:rPr>
            </w:pPr>
          </w:p>
        </w:tc>
        <w:tc>
          <w:tcPr>
            <w:tcW w:w="0" w:type="auto"/>
            <w:shd w:val="clear" w:color="auto" w:fill="auto"/>
            <w:vAlign w:val="bottom"/>
          </w:tcPr>
          <w:p w14:paraId="5F2D3A5F" w14:textId="77777777" w:rsidR="00E836FB" w:rsidRDefault="00E836FB">
            <w:pPr>
              <w:rPr>
                <w:rFonts w:ascii="宋体"/>
              </w:rPr>
            </w:pPr>
          </w:p>
        </w:tc>
        <w:tc>
          <w:tcPr>
            <w:tcW w:w="0" w:type="auto"/>
            <w:shd w:val="clear" w:color="auto" w:fill="auto"/>
            <w:vAlign w:val="bottom"/>
          </w:tcPr>
          <w:p w14:paraId="5F2D3A60" w14:textId="77777777" w:rsidR="00E836FB" w:rsidRDefault="00E836FB">
            <w:pPr>
              <w:rPr>
                <w:rFonts w:ascii="宋体"/>
              </w:rPr>
            </w:pPr>
          </w:p>
        </w:tc>
        <w:tc>
          <w:tcPr>
            <w:tcW w:w="0" w:type="auto"/>
            <w:shd w:val="clear" w:color="auto" w:fill="auto"/>
            <w:vAlign w:val="bottom"/>
          </w:tcPr>
          <w:p w14:paraId="5F2D3A61" w14:textId="77777777" w:rsidR="00E836FB" w:rsidRDefault="00E836FB">
            <w:pPr>
              <w:rPr>
                <w:rFonts w:ascii="宋体"/>
              </w:rPr>
            </w:pPr>
          </w:p>
        </w:tc>
        <w:tc>
          <w:tcPr>
            <w:tcW w:w="0" w:type="auto"/>
            <w:shd w:val="clear" w:color="auto" w:fill="auto"/>
            <w:vAlign w:val="bottom"/>
          </w:tcPr>
          <w:p w14:paraId="5F2D3A62" w14:textId="77777777" w:rsidR="00E836FB" w:rsidRDefault="00E836FB">
            <w:pPr>
              <w:rPr>
                <w:rFonts w:ascii="宋体"/>
              </w:rPr>
            </w:pPr>
          </w:p>
        </w:tc>
        <w:tc>
          <w:tcPr>
            <w:tcW w:w="0" w:type="auto"/>
            <w:shd w:val="clear" w:color="auto" w:fill="auto"/>
            <w:vAlign w:val="bottom"/>
          </w:tcPr>
          <w:p w14:paraId="5F2D3A63" w14:textId="77777777" w:rsidR="00E836FB" w:rsidRDefault="00E836FB">
            <w:pPr>
              <w:rPr>
                <w:rFonts w:ascii="宋体"/>
              </w:rPr>
            </w:pPr>
          </w:p>
        </w:tc>
        <w:tc>
          <w:tcPr>
            <w:tcW w:w="0" w:type="auto"/>
            <w:shd w:val="clear" w:color="auto" w:fill="auto"/>
            <w:vAlign w:val="bottom"/>
          </w:tcPr>
          <w:p w14:paraId="5F2D3A64" w14:textId="77777777" w:rsidR="00E836FB" w:rsidRDefault="00E836FB">
            <w:pPr>
              <w:rPr>
                <w:rFonts w:ascii="宋体"/>
              </w:rPr>
            </w:pPr>
          </w:p>
        </w:tc>
        <w:tc>
          <w:tcPr>
            <w:tcW w:w="0" w:type="auto"/>
            <w:shd w:val="clear" w:color="auto" w:fill="auto"/>
            <w:vAlign w:val="bottom"/>
          </w:tcPr>
          <w:p w14:paraId="5F2D3A65" w14:textId="77777777" w:rsidR="00E836FB" w:rsidRDefault="00E836FB">
            <w:pPr>
              <w:rPr>
                <w:rFonts w:ascii="宋体"/>
              </w:rPr>
            </w:pPr>
          </w:p>
        </w:tc>
        <w:tc>
          <w:tcPr>
            <w:tcW w:w="0" w:type="auto"/>
            <w:shd w:val="clear" w:color="auto" w:fill="auto"/>
            <w:vAlign w:val="bottom"/>
          </w:tcPr>
          <w:p w14:paraId="5F2D3A66" w14:textId="77777777" w:rsidR="00E836FB" w:rsidRDefault="00E836FB">
            <w:pPr>
              <w:rPr>
                <w:rFonts w:ascii="宋体"/>
              </w:rPr>
            </w:pPr>
          </w:p>
        </w:tc>
        <w:tc>
          <w:tcPr>
            <w:tcW w:w="0" w:type="auto"/>
            <w:shd w:val="clear" w:color="auto" w:fill="auto"/>
            <w:vAlign w:val="bottom"/>
          </w:tcPr>
          <w:p w14:paraId="5F2D3A67" w14:textId="77777777" w:rsidR="00E836FB" w:rsidRDefault="00E836FB">
            <w:pPr>
              <w:rPr>
                <w:rFonts w:ascii="宋体"/>
              </w:rPr>
            </w:pPr>
          </w:p>
        </w:tc>
        <w:tc>
          <w:tcPr>
            <w:tcW w:w="0" w:type="auto"/>
            <w:shd w:val="clear" w:color="auto" w:fill="auto"/>
            <w:vAlign w:val="bottom"/>
          </w:tcPr>
          <w:p w14:paraId="5F2D3A68" w14:textId="77777777" w:rsidR="00E836FB" w:rsidRDefault="00E836FB">
            <w:pPr>
              <w:rPr>
                <w:rFonts w:ascii="宋体"/>
              </w:rPr>
            </w:pPr>
          </w:p>
        </w:tc>
        <w:tc>
          <w:tcPr>
            <w:tcW w:w="0" w:type="auto"/>
            <w:shd w:val="clear" w:color="auto" w:fill="auto"/>
            <w:vAlign w:val="bottom"/>
          </w:tcPr>
          <w:p w14:paraId="5F2D3A69" w14:textId="77777777" w:rsidR="00E836FB" w:rsidRDefault="00E836FB">
            <w:pPr>
              <w:rPr>
                <w:rFonts w:ascii="宋体"/>
              </w:rPr>
            </w:pPr>
          </w:p>
        </w:tc>
        <w:tc>
          <w:tcPr>
            <w:tcW w:w="0" w:type="auto"/>
            <w:shd w:val="clear" w:color="auto" w:fill="auto"/>
            <w:vAlign w:val="bottom"/>
          </w:tcPr>
          <w:p w14:paraId="5F2D3A6A" w14:textId="77777777" w:rsidR="00E836FB" w:rsidRDefault="00E836FB">
            <w:pPr>
              <w:rPr>
                <w:rFonts w:ascii="宋体"/>
              </w:rPr>
            </w:pPr>
          </w:p>
        </w:tc>
        <w:tc>
          <w:tcPr>
            <w:tcW w:w="0" w:type="auto"/>
            <w:shd w:val="clear" w:color="auto" w:fill="auto"/>
            <w:vAlign w:val="bottom"/>
          </w:tcPr>
          <w:p w14:paraId="5F2D3A6B" w14:textId="77777777" w:rsidR="00E836FB" w:rsidRDefault="00E836FB">
            <w:pPr>
              <w:rPr>
                <w:rFonts w:ascii="宋体"/>
              </w:rPr>
            </w:pPr>
          </w:p>
        </w:tc>
        <w:tc>
          <w:tcPr>
            <w:tcW w:w="0" w:type="auto"/>
            <w:shd w:val="clear" w:color="auto" w:fill="auto"/>
            <w:vAlign w:val="bottom"/>
          </w:tcPr>
          <w:p w14:paraId="5F2D3A6C" w14:textId="77777777" w:rsidR="00E836FB" w:rsidRDefault="00E836FB">
            <w:pPr>
              <w:rPr>
                <w:rFonts w:ascii="宋体"/>
              </w:rPr>
            </w:pPr>
          </w:p>
        </w:tc>
        <w:tc>
          <w:tcPr>
            <w:tcW w:w="0" w:type="auto"/>
            <w:shd w:val="clear" w:color="auto" w:fill="auto"/>
            <w:vAlign w:val="bottom"/>
          </w:tcPr>
          <w:p w14:paraId="5F2D3A6D" w14:textId="77777777" w:rsidR="00E836FB" w:rsidRDefault="00E836FB">
            <w:pPr>
              <w:rPr>
                <w:rFonts w:ascii="宋体"/>
              </w:rPr>
            </w:pPr>
          </w:p>
        </w:tc>
        <w:tc>
          <w:tcPr>
            <w:tcW w:w="0" w:type="auto"/>
            <w:shd w:val="clear" w:color="auto" w:fill="auto"/>
            <w:vAlign w:val="bottom"/>
          </w:tcPr>
          <w:p w14:paraId="5F2D3A6E" w14:textId="77777777" w:rsidR="00E836FB" w:rsidRDefault="00E836FB">
            <w:pPr>
              <w:rPr>
                <w:rFonts w:ascii="宋体"/>
              </w:rPr>
            </w:pPr>
          </w:p>
        </w:tc>
        <w:tc>
          <w:tcPr>
            <w:tcW w:w="0" w:type="auto"/>
            <w:shd w:val="clear" w:color="auto" w:fill="auto"/>
            <w:vAlign w:val="bottom"/>
          </w:tcPr>
          <w:p w14:paraId="5F2D3A6F" w14:textId="77777777" w:rsidR="00E836FB" w:rsidRDefault="00E836FB">
            <w:pPr>
              <w:rPr>
                <w:rFonts w:ascii="宋体"/>
              </w:rPr>
            </w:pPr>
          </w:p>
        </w:tc>
        <w:tc>
          <w:tcPr>
            <w:tcW w:w="0" w:type="auto"/>
            <w:shd w:val="clear" w:color="auto" w:fill="auto"/>
            <w:vAlign w:val="bottom"/>
          </w:tcPr>
          <w:p w14:paraId="5F2D3A70" w14:textId="77777777" w:rsidR="00E836FB" w:rsidRDefault="00E836FB">
            <w:pPr>
              <w:rPr>
                <w:rFonts w:ascii="宋体"/>
              </w:rPr>
            </w:pPr>
          </w:p>
        </w:tc>
      </w:tr>
      <w:tr w:rsidR="00E836FB" w14:paraId="5F2D3A76" w14:textId="77777777">
        <w:tc>
          <w:tcPr>
            <w:tcW w:w="0" w:type="auto"/>
            <w:gridSpan w:val="3"/>
            <w:shd w:val="clear" w:color="auto" w:fill="auto"/>
            <w:tcMar>
              <w:top w:w="0" w:type="dxa"/>
              <w:left w:w="20" w:type="dxa"/>
              <w:bottom w:w="0" w:type="dxa"/>
              <w:right w:w="20" w:type="dxa"/>
            </w:tcMar>
            <w:vAlign w:val="bottom"/>
          </w:tcPr>
          <w:p w14:paraId="5F2D3A72" w14:textId="77777777" w:rsidR="00E836FB" w:rsidRDefault="00E836FB">
            <w:pPr>
              <w:rPr>
                <w:rFonts w:ascii="宋体"/>
              </w:rPr>
            </w:pPr>
          </w:p>
        </w:tc>
        <w:tc>
          <w:tcPr>
            <w:tcW w:w="0" w:type="auto"/>
            <w:gridSpan w:val="27"/>
            <w:shd w:val="clear" w:color="auto" w:fill="auto"/>
            <w:tcMar>
              <w:top w:w="40" w:type="dxa"/>
              <w:left w:w="20" w:type="dxa"/>
              <w:bottom w:w="40" w:type="dxa"/>
              <w:right w:w="20" w:type="dxa"/>
            </w:tcMar>
            <w:vAlign w:val="bottom"/>
          </w:tcPr>
          <w:p w14:paraId="5F2D3A73" w14:textId="77777777" w:rsidR="00E836FB" w:rsidRDefault="00994958">
            <w:pPr>
              <w:jc w:val="center"/>
              <w:textAlignment w:val="bottom"/>
            </w:pPr>
            <w:r>
              <w:rPr>
                <w:rFonts w:ascii="Arial" w:eastAsia="宋体" w:hAnsi="Arial" w:cs="Arial"/>
                <w:b/>
                <w:bCs/>
                <w:color w:val="000000"/>
                <w:sz w:val="14"/>
                <w:szCs w:val="14"/>
              </w:rPr>
              <w:t>As of December 31, 2021</w:t>
            </w:r>
          </w:p>
        </w:tc>
        <w:tc>
          <w:tcPr>
            <w:tcW w:w="0" w:type="auto"/>
            <w:gridSpan w:val="3"/>
            <w:shd w:val="clear" w:color="auto" w:fill="auto"/>
            <w:tcMar>
              <w:top w:w="0" w:type="dxa"/>
              <w:left w:w="20" w:type="dxa"/>
              <w:bottom w:w="0" w:type="dxa"/>
              <w:right w:w="20" w:type="dxa"/>
            </w:tcMar>
            <w:vAlign w:val="bottom"/>
          </w:tcPr>
          <w:p w14:paraId="5F2D3A74" w14:textId="77777777" w:rsidR="00E836FB" w:rsidRDefault="00E836FB">
            <w:pPr>
              <w:rPr>
                <w:rFonts w:ascii="宋体"/>
              </w:rPr>
            </w:pPr>
          </w:p>
        </w:tc>
        <w:tc>
          <w:tcPr>
            <w:tcW w:w="0" w:type="auto"/>
            <w:gridSpan w:val="27"/>
            <w:shd w:val="clear" w:color="auto" w:fill="auto"/>
            <w:tcMar>
              <w:top w:w="40" w:type="dxa"/>
              <w:left w:w="20" w:type="dxa"/>
              <w:bottom w:w="40" w:type="dxa"/>
              <w:right w:w="20" w:type="dxa"/>
            </w:tcMar>
            <w:vAlign w:val="bottom"/>
          </w:tcPr>
          <w:p w14:paraId="5F2D3A75" w14:textId="77777777" w:rsidR="00E836FB" w:rsidRDefault="00994958">
            <w:pPr>
              <w:jc w:val="center"/>
              <w:textAlignment w:val="bottom"/>
            </w:pPr>
            <w:r>
              <w:rPr>
                <w:rFonts w:ascii="Arial" w:eastAsia="宋体" w:hAnsi="Arial" w:cs="Arial"/>
                <w:b/>
                <w:bCs/>
                <w:color w:val="000000"/>
                <w:sz w:val="14"/>
                <w:szCs w:val="14"/>
              </w:rPr>
              <w:t>As of December 31, 2020</w:t>
            </w:r>
          </w:p>
        </w:tc>
      </w:tr>
      <w:tr w:rsidR="00E836FB" w14:paraId="5F2D3A8B" w14:textId="77777777">
        <w:tc>
          <w:tcPr>
            <w:tcW w:w="0" w:type="auto"/>
            <w:gridSpan w:val="3"/>
            <w:shd w:val="clear" w:color="auto" w:fill="auto"/>
            <w:tcMar>
              <w:top w:w="40" w:type="dxa"/>
              <w:left w:w="20" w:type="dxa"/>
              <w:bottom w:w="40" w:type="dxa"/>
              <w:right w:w="20" w:type="dxa"/>
            </w:tcMar>
            <w:vAlign w:val="bottom"/>
          </w:tcPr>
          <w:p w14:paraId="5F2D3A77"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78" w14:textId="77777777" w:rsidR="00E836FB" w:rsidRDefault="00994958">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7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7A" w14:textId="77777777" w:rsidR="00E836FB" w:rsidRDefault="00994958">
            <w:pPr>
              <w:jc w:val="center"/>
              <w:textAlignment w:val="bottom"/>
            </w:pPr>
            <w:r>
              <w:rPr>
                <w:rFonts w:ascii="Arial" w:eastAsia="宋体" w:hAnsi="Arial" w:cs="Arial"/>
                <w:b/>
                <w:bCs/>
                <w:color w:val="000000"/>
                <w:sz w:val="14"/>
                <w:szCs w:val="14"/>
              </w:rPr>
              <w:t xml:space="preserve">Up to 30 </w:t>
            </w:r>
            <w:r>
              <w:rPr>
                <w:rFonts w:ascii="Arial" w:eastAsia="宋体" w:hAnsi="Arial" w:cs="Arial"/>
                <w:b/>
                <w:bCs/>
                <w:color w:val="000000"/>
                <w:sz w:val="14"/>
                <w:szCs w:val="14"/>
              </w:rPr>
              <w:t>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7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7C" w14:textId="77777777" w:rsidR="00E836FB" w:rsidRDefault="00994958">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7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7E" w14:textId="77777777" w:rsidR="00E836FB" w:rsidRDefault="00994958">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7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80"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D3A8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82" w14:textId="77777777" w:rsidR="00E836FB" w:rsidRDefault="00994958">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8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84" w14:textId="77777777" w:rsidR="00E836FB" w:rsidRDefault="00994958">
            <w:pPr>
              <w:jc w:val="center"/>
              <w:textAlignment w:val="bottom"/>
            </w:pPr>
            <w:r>
              <w:rPr>
                <w:rFonts w:ascii="Arial" w:eastAsia="宋体" w:hAnsi="Arial" w:cs="Arial"/>
                <w:b/>
                <w:bCs/>
                <w:color w:val="000000"/>
                <w:sz w:val="14"/>
                <w:szCs w:val="14"/>
              </w:rPr>
              <w:t>Up to 30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8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86" w14:textId="77777777" w:rsidR="00E836FB" w:rsidRDefault="00994958">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8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88" w14:textId="77777777" w:rsidR="00E836FB" w:rsidRDefault="00994958">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8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A8A"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3AA0" w14:textId="77777777">
        <w:tc>
          <w:tcPr>
            <w:tcW w:w="0" w:type="auto"/>
            <w:gridSpan w:val="3"/>
            <w:shd w:val="clear" w:color="auto" w:fill="auto"/>
            <w:tcMar>
              <w:top w:w="40" w:type="dxa"/>
              <w:left w:w="20" w:type="dxa"/>
              <w:bottom w:w="40" w:type="dxa"/>
              <w:right w:w="20" w:type="dxa"/>
            </w:tcMar>
            <w:vAlign w:val="bottom"/>
          </w:tcPr>
          <w:p w14:paraId="5F2D3A8C" w14:textId="77777777" w:rsidR="00E836FB" w:rsidRDefault="00994958">
            <w:pPr>
              <w:textAlignment w:val="bottom"/>
            </w:pPr>
            <w:r>
              <w:rPr>
                <w:rFonts w:ascii="Arial" w:eastAsia="宋体" w:hAnsi="Arial" w:cs="Arial"/>
                <w:b/>
                <w:bCs/>
                <w:color w:val="000000"/>
                <w:sz w:val="14"/>
                <w:szCs w:val="14"/>
              </w:rPr>
              <w:t>Repurchase agreements: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8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8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8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0"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A9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A9F" w14:textId="77777777" w:rsidR="00E836FB" w:rsidRDefault="00E836FB">
            <w:pPr>
              <w:rPr>
                <w:rFonts w:ascii="宋体"/>
              </w:rPr>
            </w:pPr>
          </w:p>
        </w:tc>
      </w:tr>
      <w:tr w:rsidR="00994958" w14:paraId="5F2D3AC9" w14:textId="77777777">
        <w:tc>
          <w:tcPr>
            <w:tcW w:w="0" w:type="auto"/>
            <w:gridSpan w:val="3"/>
            <w:shd w:val="clear" w:color="auto" w:fill="CCEEFF"/>
            <w:tcMar>
              <w:top w:w="40" w:type="dxa"/>
              <w:left w:w="20" w:type="dxa"/>
              <w:bottom w:w="40" w:type="dxa"/>
              <w:right w:w="20" w:type="dxa"/>
            </w:tcMar>
            <w:vAlign w:val="bottom"/>
          </w:tcPr>
          <w:p w14:paraId="5F2D3AA1" w14:textId="77777777" w:rsidR="00E836FB" w:rsidRDefault="00994958">
            <w:pPr>
              <w:textAlignment w:val="bottom"/>
            </w:pPr>
            <w:r>
              <w:rPr>
                <w:rFonts w:ascii="Arial" w:eastAsia="宋体" w:hAnsi="Arial" w:cs="Arial"/>
                <w:color w:val="000000"/>
                <w:sz w:val="14"/>
                <w:szCs w:val="14"/>
              </w:rPr>
              <w:t>U.S. Treasury and agency securities</w:t>
            </w:r>
          </w:p>
        </w:tc>
        <w:tc>
          <w:tcPr>
            <w:tcW w:w="0" w:type="auto"/>
            <w:shd w:val="clear" w:color="auto" w:fill="CCEEFF"/>
            <w:tcMar>
              <w:top w:w="40" w:type="dxa"/>
              <w:left w:w="20" w:type="dxa"/>
              <w:bottom w:w="40" w:type="dxa"/>
              <w:right w:w="0" w:type="dxa"/>
            </w:tcMar>
            <w:vAlign w:val="bottom"/>
          </w:tcPr>
          <w:p w14:paraId="5F2D3AA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AA3" w14:textId="77777777" w:rsidR="00E836FB" w:rsidRDefault="00994958">
            <w:pPr>
              <w:jc w:val="right"/>
              <w:textAlignment w:val="bottom"/>
            </w:pPr>
            <w:r>
              <w:rPr>
                <w:rFonts w:ascii="Arial" w:eastAsia="宋体" w:hAnsi="Arial" w:cs="Arial"/>
                <w:b/>
                <w:bCs/>
                <w:color w:val="000000"/>
                <w:sz w:val="14"/>
                <w:szCs w:val="14"/>
              </w:rPr>
              <w:t>75,266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A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A6"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AA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A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AA"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AA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A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AE"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AA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B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B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3AB3" w14:textId="77777777" w:rsidR="00E836FB" w:rsidRDefault="00994958">
            <w:pPr>
              <w:jc w:val="right"/>
              <w:textAlignment w:val="bottom"/>
            </w:pPr>
            <w:r>
              <w:rPr>
                <w:rFonts w:ascii="Arial" w:eastAsia="宋体" w:hAnsi="Arial" w:cs="Arial"/>
                <w:b/>
                <w:bCs/>
                <w:color w:val="000000"/>
                <w:sz w:val="14"/>
                <w:szCs w:val="14"/>
              </w:rPr>
              <w:t>75,266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B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B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AB7" w14:textId="77777777" w:rsidR="00E836FB" w:rsidRDefault="00994958">
            <w:pPr>
              <w:jc w:val="right"/>
              <w:textAlignment w:val="bottom"/>
            </w:pPr>
            <w:r>
              <w:rPr>
                <w:rFonts w:ascii="Arial" w:eastAsia="宋体" w:hAnsi="Arial" w:cs="Arial"/>
                <w:color w:val="000000"/>
                <w:sz w:val="14"/>
                <w:szCs w:val="14"/>
              </w:rPr>
              <w:t>152,140 </w:t>
            </w:r>
          </w:p>
        </w:tc>
        <w:tc>
          <w:tcPr>
            <w:tcW w:w="0" w:type="auto"/>
            <w:shd w:val="clear" w:color="auto" w:fill="CCEEFF"/>
            <w:tcMar>
              <w:top w:w="40" w:type="dxa"/>
              <w:left w:w="0" w:type="dxa"/>
              <w:bottom w:w="40" w:type="dxa"/>
              <w:right w:w="20" w:type="dxa"/>
            </w:tcMar>
            <w:vAlign w:val="bottom"/>
          </w:tcPr>
          <w:p w14:paraId="5F2D3A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B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B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AB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B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B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AB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C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C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AC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A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AC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AC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3AC7" w14:textId="77777777" w:rsidR="00E836FB" w:rsidRDefault="00994958">
            <w:pPr>
              <w:jc w:val="right"/>
              <w:textAlignment w:val="bottom"/>
            </w:pPr>
            <w:r>
              <w:rPr>
                <w:rFonts w:ascii="Arial" w:eastAsia="宋体" w:hAnsi="Arial" w:cs="Arial"/>
                <w:color w:val="000000"/>
                <w:sz w:val="14"/>
                <w:szCs w:val="14"/>
              </w:rPr>
              <w:t>152,140 </w:t>
            </w:r>
          </w:p>
        </w:tc>
        <w:tc>
          <w:tcPr>
            <w:tcW w:w="0" w:type="auto"/>
            <w:shd w:val="clear" w:color="auto" w:fill="CCEEFF"/>
            <w:tcMar>
              <w:top w:w="40" w:type="dxa"/>
              <w:left w:w="0" w:type="dxa"/>
              <w:bottom w:w="40" w:type="dxa"/>
              <w:right w:w="20" w:type="dxa"/>
            </w:tcMar>
            <w:vAlign w:val="bottom"/>
          </w:tcPr>
          <w:p w14:paraId="5F2D3AC8" w14:textId="77777777" w:rsidR="00E836FB" w:rsidRDefault="00E836FB">
            <w:pPr>
              <w:jc w:val="right"/>
              <w:rPr>
                <w:rFonts w:ascii="宋体"/>
              </w:rPr>
            </w:pPr>
          </w:p>
        </w:tc>
      </w:tr>
      <w:tr w:rsidR="00E836FB" w14:paraId="5F2D3AE8" w14:textId="77777777">
        <w:tc>
          <w:tcPr>
            <w:tcW w:w="0" w:type="auto"/>
            <w:gridSpan w:val="3"/>
            <w:shd w:val="clear" w:color="auto" w:fill="FFFFFF"/>
            <w:tcMar>
              <w:top w:w="40" w:type="dxa"/>
              <w:left w:w="20" w:type="dxa"/>
              <w:bottom w:w="40" w:type="dxa"/>
              <w:right w:w="20" w:type="dxa"/>
            </w:tcMar>
            <w:vAlign w:val="bottom"/>
          </w:tcPr>
          <w:p w14:paraId="5F2D3ACA" w14:textId="77777777" w:rsidR="00E836FB" w:rsidRDefault="00994958">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CB" w14:textId="77777777" w:rsidR="00E836FB" w:rsidRDefault="00994958">
            <w:pPr>
              <w:jc w:val="right"/>
              <w:textAlignment w:val="bottom"/>
            </w:pPr>
            <w:r>
              <w:rPr>
                <w:rFonts w:ascii="Arial" w:eastAsia="宋体" w:hAnsi="Arial" w:cs="Arial"/>
                <w:b/>
                <w:bCs/>
                <w:color w:val="000000"/>
                <w:sz w:val="14"/>
                <w:szCs w:val="14"/>
              </w:rPr>
              <w:t>75,266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C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C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C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D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D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D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D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D4"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D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D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D7" w14:textId="77777777" w:rsidR="00E836FB" w:rsidRDefault="00994958">
            <w:pPr>
              <w:jc w:val="right"/>
              <w:textAlignment w:val="bottom"/>
            </w:pPr>
            <w:r>
              <w:rPr>
                <w:rFonts w:ascii="Arial" w:eastAsia="宋体" w:hAnsi="Arial" w:cs="Arial"/>
                <w:b/>
                <w:bCs/>
                <w:color w:val="000000"/>
                <w:sz w:val="14"/>
                <w:szCs w:val="14"/>
              </w:rPr>
              <w:t>75,266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D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DA" w14:textId="77777777" w:rsidR="00E836FB" w:rsidRDefault="00994958">
            <w:pPr>
              <w:jc w:val="right"/>
              <w:textAlignment w:val="bottom"/>
            </w:pPr>
            <w:r>
              <w:rPr>
                <w:rFonts w:ascii="Arial" w:eastAsia="宋体" w:hAnsi="Arial" w:cs="Arial"/>
                <w:color w:val="000000"/>
                <w:sz w:val="14"/>
                <w:szCs w:val="14"/>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D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DD"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D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E0"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E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E3"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E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AE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AE6" w14:textId="77777777" w:rsidR="00E836FB" w:rsidRDefault="00994958">
            <w:pPr>
              <w:jc w:val="right"/>
              <w:textAlignment w:val="bottom"/>
            </w:pPr>
            <w:r>
              <w:rPr>
                <w:rFonts w:ascii="Arial" w:eastAsia="宋体" w:hAnsi="Arial" w:cs="Arial"/>
                <w:color w:val="000000"/>
                <w:sz w:val="14"/>
                <w:szCs w:val="14"/>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AE7" w14:textId="77777777" w:rsidR="00E836FB" w:rsidRDefault="00E836FB">
            <w:pPr>
              <w:jc w:val="right"/>
              <w:rPr>
                <w:rFonts w:ascii="宋体"/>
              </w:rPr>
            </w:pPr>
          </w:p>
        </w:tc>
      </w:tr>
      <w:tr w:rsidR="00E836FB" w14:paraId="5F2D3AFD" w14:textId="77777777">
        <w:tc>
          <w:tcPr>
            <w:tcW w:w="0" w:type="auto"/>
            <w:gridSpan w:val="3"/>
            <w:shd w:val="clear" w:color="auto" w:fill="CCEEFF"/>
            <w:tcMar>
              <w:top w:w="40" w:type="dxa"/>
              <w:left w:w="20" w:type="dxa"/>
              <w:bottom w:w="40" w:type="dxa"/>
              <w:right w:w="20" w:type="dxa"/>
            </w:tcMar>
            <w:vAlign w:val="bottom"/>
          </w:tcPr>
          <w:p w14:paraId="5F2D3AE9" w14:textId="77777777" w:rsidR="00E836FB" w:rsidRDefault="00994958">
            <w:pPr>
              <w:textAlignment w:val="bottom"/>
            </w:pPr>
            <w:r>
              <w:rPr>
                <w:rFonts w:ascii="Arial" w:eastAsia="宋体" w:hAnsi="Arial" w:cs="Arial"/>
                <w:b/>
                <w:bCs/>
                <w:color w:val="000000"/>
                <w:sz w:val="14"/>
                <w:szCs w:val="14"/>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E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EB"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E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ED"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E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EF"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F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F1"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F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F3"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F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F5"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F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F7"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F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F9"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F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3AFB"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3AFC" w14:textId="77777777" w:rsidR="00E836FB" w:rsidRDefault="00E836FB">
            <w:pPr>
              <w:rPr>
                <w:rFonts w:ascii="宋体"/>
              </w:rPr>
            </w:pPr>
          </w:p>
        </w:tc>
      </w:tr>
      <w:tr w:rsidR="00E836FB" w14:paraId="5F2D3B1C" w14:textId="77777777">
        <w:tc>
          <w:tcPr>
            <w:tcW w:w="0" w:type="auto"/>
            <w:gridSpan w:val="3"/>
            <w:shd w:val="clear" w:color="auto" w:fill="FFFFFF"/>
            <w:tcMar>
              <w:top w:w="40" w:type="dxa"/>
              <w:left w:w="20" w:type="dxa"/>
              <w:bottom w:w="40" w:type="dxa"/>
              <w:right w:w="20" w:type="dxa"/>
            </w:tcMar>
            <w:vAlign w:val="bottom"/>
          </w:tcPr>
          <w:p w14:paraId="5F2D3AFE" w14:textId="77777777" w:rsidR="00E836FB" w:rsidRDefault="00994958">
            <w:pPr>
              <w:textAlignment w:val="bottom"/>
            </w:pPr>
            <w:r>
              <w:rPr>
                <w:rFonts w:ascii="Arial" w:eastAsia="宋体" w:hAnsi="Arial" w:cs="Arial"/>
                <w:color w:val="000000"/>
                <w:sz w:val="14"/>
                <w:szCs w:val="14"/>
              </w:rPr>
              <w:t>US Treasury and agency securities</w:t>
            </w:r>
          </w:p>
        </w:tc>
        <w:tc>
          <w:tcPr>
            <w:tcW w:w="0" w:type="auto"/>
            <w:gridSpan w:val="2"/>
            <w:shd w:val="clear" w:color="auto" w:fill="FFFFFF"/>
            <w:tcMar>
              <w:top w:w="40" w:type="dxa"/>
              <w:left w:w="20" w:type="dxa"/>
              <w:bottom w:w="40" w:type="dxa"/>
              <w:right w:w="0" w:type="dxa"/>
            </w:tcMar>
            <w:vAlign w:val="bottom"/>
          </w:tcPr>
          <w:p w14:paraId="5F2D3AF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0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0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0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0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0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0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0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0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0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0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0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1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1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1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1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1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1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1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1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1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1B" w14:textId="77777777" w:rsidR="00E836FB" w:rsidRDefault="00E836FB">
            <w:pPr>
              <w:jc w:val="right"/>
              <w:rPr>
                <w:rFonts w:ascii="宋体"/>
              </w:rPr>
            </w:pPr>
          </w:p>
        </w:tc>
      </w:tr>
      <w:tr w:rsidR="00E836FB" w14:paraId="5F2D3B3B" w14:textId="77777777">
        <w:tc>
          <w:tcPr>
            <w:tcW w:w="0" w:type="auto"/>
            <w:gridSpan w:val="3"/>
            <w:shd w:val="clear" w:color="auto" w:fill="CCEEFF"/>
            <w:tcMar>
              <w:top w:w="40" w:type="dxa"/>
              <w:left w:w="20" w:type="dxa"/>
              <w:bottom w:w="40" w:type="dxa"/>
              <w:right w:w="20" w:type="dxa"/>
            </w:tcMar>
            <w:vAlign w:val="bottom"/>
          </w:tcPr>
          <w:p w14:paraId="5F2D3B1D" w14:textId="77777777" w:rsidR="00E836FB" w:rsidRDefault="00994958">
            <w:pPr>
              <w:textAlignment w:val="bottom"/>
            </w:pPr>
            <w:r>
              <w:rPr>
                <w:rFonts w:ascii="Arial" w:eastAsia="宋体" w:hAnsi="Arial" w:cs="Arial"/>
                <w:color w:val="000000"/>
                <w:sz w:val="14"/>
                <w:szCs w:val="14"/>
              </w:rPr>
              <w:t>Corporate debt securities</w:t>
            </w:r>
          </w:p>
        </w:tc>
        <w:tc>
          <w:tcPr>
            <w:tcW w:w="0" w:type="auto"/>
            <w:gridSpan w:val="2"/>
            <w:shd w:val="clear" w:color="auto" w:fill="CCEEFF"/>
            <w:tcMar>
              <w:top w:w="40" w:type="dxa"/>
              <w:left w:w="20" w:type="dxa"/>
              <w:bottom w:w="40" w:type="dxa"/>
              <w:right w:w="0" w:type="dxa"/>
            </w:tcMar>
            <w:vAlign w:val="bottom"/>
          </w:tcPr>
          <w:p w14:paraId="5F2D3B1E" w14:textId="77777777" w:rsidR="00E836FB" w:rsidRDefault="00994958">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2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2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2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24"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2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2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2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2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2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2A" w14:textId="77777777" w:rsidR="00E836FB" w:rsidRDefault="00994958">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2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2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2D" w14:textId="77777777" w:rsidR="00E836FB" w:rsidRDefault="00994958">
            <w:pPr>
              <w:jc w:val="right"/>
              <w:textAlignment w:val="bottom"/>
            </w:pPr>
            <w:r>
              <w:rPr>
                <w:rFonts w:ascii="Arial" w:eastAsia="宋体" w:hAnsi="Arial" w:cs="Arial"/>
                <w:color w:val="000000"/>
                <w:sz w:val="14"/>
                <w:szCs w:val="14"/>
              </w:rPr>
              <w:t>110 </w:t>
            </w:r>
          </w:p>
        </w:tc>
        <w:tc>
          <w:tcPr>
            <w:tcW w:w="0" w:type="auto"/>
            <w:shd w:val="clear" w:color="auto" w:fill="CCEEFF"/>
            <w:tcMar>
              <w:top w:w="40" w:type="dxa"/>
              <w:left w:w="0" w:type="dxa"/>
              <w:bottom w:w="40" w:type="dxa"/>
              <w:right w:w="20" w:type="dxa"/>
            </w:tcMar>
            <w:vAlign w:val="bottom"/>
          </w:tcPr>
          <w:p w14:paraId="5F2D3B2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2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3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3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3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3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3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3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3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3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39" w14:textId="77777777" w:rsidR="00E836FB" w:rsidRDefault="00994958">
            <w:pPr>
              <w:jc w:val="right"/>
              <w:textAlignment w:val="bottom"/>
            </w:pPr>
            <w:r>
              <w:rPr>
                <w:rFonts w:ascii="Arial" w:eastAsia="宋体" w:hAnsi="Arial" w:cs="Arial"/>
                <w:color w:val="000000"/>
                <w:sz w:val="14"/>
                <w:szCs w:val="14"/>
              </w:rPr>
              <w:t>110 </w:t>
            </w:r>
          </w:p>
        </w:tc>
        <w:tc>
          <w:tcPr>
            <w:tcW w:w="0" w:type="auto"/>
            <w:shd w:val="clear" w:color="auto" w:fill="CCEEFF"/>
            <w:tcMar>
              <w:top w:w="40" w:type="dxa"/>
              <w:left w:w="0" w:type="dxa"/>
              <w:bottom w:w="40" w:type="dxa"/>
              <w:right w:w="20" w:type="dxa"/>
            </w:tcMar>
            <w:vAlign w:val="bottom"/>
          </w:tcPr>
          <w:p w14:paraId="5F2D3B3A" w14:textId="77777777" w:rsidR="00E836FB" w:rsidRDefault="00E836FB">
            <w:pPr>
              <w:jc w:val="right"/>
              <w:rPr>
                <w:rFonts w:ascii="宋体"/>
              </w:rPr>
            </w:pPr>
          </w:p>
        </w:tc>
      </w:tr>
      <w:tr w:rsidR="00E836FB" w14:paraId="5F2D3B5A" w14:textId="77777777">
        <w:tc>
          <w:tcPr>
            <w:tcW w:w="0" w:type="auto"/>
            <w:gridSpan w:val="3"/>
            <w:shd w:val="clear" w:color="auto" w:fill="FFFFFF"/>
            <w:tcMar>
              <w:top w:w="40" w:type="dxa"/>
              <w:left w:w="20" w:type="dxa"/>
              <w:bottom w:w="40" w:type="dxa"/>
              <w:right w:w="20" w:type="dxa"/>
            </w:tcMar>
            <w:vAlign w:val="bottom"/>
          </w:tcPr>
          <w:p w14:paraId="5F2D3B3C" w14:textId="77777777" w:rsidR="00E836FB" w:rsidRDefault="00994958">
            <w:pPr>
              <w:textAlignment w:val="bottom"/>
            </w:pPr>
            <w:r>
              <w:rPr>
                <w:rFonts w:ascii="Arial" w:eastAsia="宋体" w:hAnsi="Arial" w:cs="Arial"/>
                <w:color w:val="000000"/>
                <w:sz w:val="14"/>
                <w:szCs w:val="14"/>
              </w:rPr>
              <w:t>Equity securities</w:t>
            </w:r>
          </w:p>
        </w:tc>
        <w:tc>
          <w:tcPr>
            <w:tcW w:w="0" w:type="auto"/>
            <w:gridSpan w:val="2"/>
            <w:shd w:val="clear" w:color="auto" w:fill="FFFFFF"/>
            <w:tcMar>
              <w:top w:w="40" w:type="dxa"/>
              <w:left w:w="20" w:type="dxa"/>
              <w:bottom w:w="40" w:type="dxa"/>
              <w:right w:w="0" w:type="dxa"/>
            </w:tcMar>
            <w:vAlign w:val="bottom"/>
          </w:tcPr>
          <w:p w14:paraId="5F2D3B3D" w14:textId="77777777" w:rsidR="00E836FB" w:rsidRDefault="00994958">
            <w:pPr>
              <w:jc w:val="right"/>
              <w:textAlignment w:val="bottom"/>
            </w:pPr>
            <w:r>
              <w:rPr>
                <w:rFonts w:ascii="Arial" w:eastAsia="宋体" w:hAnsi="Arial" w:cs="Arial"/>
                <w:b/>
                <w:bCs/>
                <w:color w:val="000000"/>
                <w:sz w:val="14"/>
                <w:szCs w:val="14"/>
              </w:rPr>
              <w:t>5,964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3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40" w14:textId="77777777" w:rsidR="00E836FB" w:rsidRDefault="00994958">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4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43" w14:textId="77777777" w:rsidR="00E836FB" w:rsidRDefault="00994958">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46" w14:textId="77777777" w:rsidR="00E836FB" w:rsidRDefault="00994958">
            <w:pPr>
              <w:jc w:val="right"/>
              <w:textAlignment w:val="bottom"/>
            </w:pPr>
            <w:r>
              <w:rPr>
                <w:rFonts w:ascii="Arial" w:eastAsia="宋体" w:hAnsi="Arial" w:cs="Arial"/>
                <w:b/>
                <w:bCs/>
                <w:color w:val="000000"/>
                <w:sz w:val="14"/>
                <w:szCs w:val="14"/>
              </w:rPr>
              <w:t>1,316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4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4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49" w14:textId="77777777" w:rsidR="00E836FB" w:rsidRDefault="00994958">
            <w:pPr>
              <w:jc w:val="right"/>
              <w:textAlignment w:val="bottom"/>
            </w:pPr>
            <w:r>
              <w:rPr>
                <w:rFonts w:ascii="Arial" w:eastAsia="宋体" w:hAnsi="Arial" w:cs="Arial"/>
                <w:b/>
                <w:bCs/>
                <w:color w:val="000000"/>
                <w:sz w:val="14"/>
                <w:szCs w:val="14"/>
              </w:rPr>
              <w:t>7,315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4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4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4C" w14:textId="77777777" w:rsidR="00E836FB" w:rsidRDefault="00994958">
            <w:pPr>
              <w:jc w:val="right"/>
              <w:textAlignment w:val="bottom"/>
            </w:pPr>
            <w:r>
              <w:rPr>
                <w:rFonts w:ascii="Arial" w:eastAsia="宋体" w:hAnsi="Arial" w:cs="Arial"/>
                <w:color w:val="000000"/>
                <w:sz w:val="14"/>
                <w:szCs w:val="14"/>
              </w:rPr>
              <w:t>7,578 </w:t>
            </w:r>
          </w:p>
        </w:tc>
        <w:tc>
          <w:tcPr>
            <w:tcW w:w="0" w:type="auto"/>
            <w:shd w:val="clear" w:color="auto" w:fill="FFFFFF"/>
            <w:tcMar>
              <w:top w:w="40" w:type="dxa"/>
              <w:left w:w="0" w:type="dxa"/>
              <w:bottom w:w="40" w:type="dxa"/>
              <w:right w:w="20" w:type="dxa"/>
            </w:tcMar>
            <w:vAlign w:val="bottom"/>
          </w:tcPr>
          <w:p w14:paraId="5F2D3B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4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4F" w14:textId="77777777" w:rsidR="00E836FB" w:rsidRDefault="00994958">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5F2D3B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5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5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3B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5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55" w14:textId="77777777" w:rsidR="00E836FB" w:rsidRDefault="00994958">
            <w:pPr>
              <w:jc w:val="right"/>
              <w:textAlignment w:val="bottom"/>
            </w:pPr>
            <w:r>
              <w:rPr>
                <w:rFonts w:ascii="Arial" w:eastAsia="宋体" w:hAnsi="Arial" w:cs="Arial"/>
                <w:color w:val="000000"/>
                <w:sz w:val="14"/>
                <w:szCs w:val="14"/>
              </w:rPr>
              <w:t>1,156 </w:t>
            </w:r>
          </w:p>
        </w:tc>
        <w:tc>
          <w:tcPr>
            <w:tcW w:w="0" w:type="auto"/>
            <w:shd w:val="clear" w:color="auto" w:fill="FFFFFF"/>
            <w:tcMar>
              <w:top w:w="40" w:type="dxa"/>
              <w:left w:w="0" w:type="dxa"/>
              <w:bottom w:w="40" w:type="dxa"/>
              <w:right w:w="20" w:type="dxa"/>
            </w:tcMar>
            <w:vAlign w:val="bottom"/>
          </w:tcPr>
          <w:p w14:paraId="5F2D3B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5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B58" w14:textId="77777777" w:rsidR="00E836FB" w:rsidRDefault="00994958">
            <w:pPr>
              <w:jc w:val="right"/>
              <w:textAlignment w:val="bottom"/>
            </w:pPr>
            <w:r>
              <w:rPr>
                <w:rFonts w:ascii="Arial" w:eastAsia="宋体" w:hAnsi="Arial" w:cs="Arial"/>
                <w:color w:val="000000"/>
                <w:sz w:val="14"/>
                <w:szCs w:val="14"/>
              </w:rPr>
              <w:t>8,790 </w:t>
            </w:r>
          </w:p>
        </w:tc>
        <w:tc>
          <w:tcPr>
            <w:tcW w:w="0" w:type="auto"/>
            <w:shd w:val="clear" w:color="auto" w:fill="FFFFFF"/>
            <w:tcMar>
              <w:top w:w="40" w:type="dxa"/>
              <w:left w:w="0" w:type="dxa"/>
              <w:bottom w:w="40" w:type="dxa"/>
              <w:right w:w="20" w:type="dxa"/>
            </w:tcMar>
            <w:vAlign w:val="bottom"/>
          </w:tcPr>
          <w:p w14:paraId="5F2D3B59" w14:textId="77777777" w:rsidR="00E836FB" w:rsidRDefault="00E836FB">
            <w:pPr>
              <w:jc w:val="right"/>
              <w:rPr>
                <w:rFonts w:ascii="宋体"/>
              </w:rPr>
            </w:pPr>
          </w:p>
        </w:tc>
      </w:tr>
      <w:tr w:rsidR="00E836FB" w14:paraId="5F2D3B79" w14:textId="77777777">
        <w:tc>
          <w:tcPr>
            <w:tcW w:w="0" w:type="auto"/>
            <w:gridSpan w:val="3"/>
            <w:shd w:val="clear" w:color="auto" w:fill="CCEEFF"/>
            <w:tcMar>
              <w:top w:w="40" w:type="dxa"/>
              <w:left w:w="20" w:type="dxa"/>
              <w:bottom w:w="40" w:type="dxa"/>
              <w:right w:w="20" w:type="dxa"/>
            </w:tcMar>
            <w:vAlign w:val="bottom"/>
          </w:tcPr>
          <w:p w14:paraId="5F2D3B5B" w14:textId="77777777" w:rsidR="00E836FB" w:rsidRDefault="00994958">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D3B5C"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5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5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5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6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6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6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6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6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68"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6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6B"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3B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6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7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7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3B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7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B77" w14:textId="77777777" w:rsidR="00E836FB" w:rsidRDefault="00994958">
            <w:pPr>
              <w:jc w:val="right"/>
              <w:textAlignment w:val="bottom"/>
            </w:pPr>
            <w:r>
              <w:rPr>
                <w:rFonts w:ascii="Arial" w:eastAsia="宋体" w:hAnsi="Arial" w:cs="Arial"/>
                <w:color w:val="000000"/>
                <w:sz w:val="14"/>
                <w:szCs w:val="14"/>
              </w:rPr>
              <w:t>4,753 </w:t>
            </w:r>
          </w:p>
        </w:tc>
        <w:tc>
          <w:tcPr>
            <w:tcW w:w="0" w:type="auto"/>
            <w:shd w:val="clear" w:color="auto" w:fill="CCEEFF"/>
            <w:tcMar>
              <w:top w:w="40" w:type="dxa"/>
              <w:left w:w="0" w:type="dxa"/>
              <w:bottom w:w="40" w:type="dxa"/>
              <w:right w:w="20" w:type="dxa"/>
            </w:tcMar>
            <w:vAlign w:val="bottom"/>
          </w:tcPr>
          <w:p w14:paraId="5F2D3B78" w14:textId="77777777" w:rsidR="00E836FB" w:rsidRDefault="00E836FB">
            <w:pPr>
              <w:jc w:val="right"/>
              <w:rPr>
                <w:rFonts w:ascii="宋体"/>
              </w:rPr>
            </w:pPr>
          </w:p>
        </w:tc>
      </w:tr>
      <w:tr w:rsidR="00E836FB" w14:paraId="5F2D3B98" w14:textId="77777777">
        <w:tc>
          <w:tcPr>
            <w:tcW w:w="0" w:type="auto"/>
            <w:gridSpan w:val="3"/>
            <w:shd w:val="clear" w:color="auto" w:fill="FFFFFF"/>
            <w:tcMar>
              <w:top w:w="40" w:type="dxa"/>
              <w:left w:w="20" w:type="dxa"/>
              <w:bottom w:w="40" w:type="dxa"/>
              <w:right w:w="20" w:type="dxa"/>
            </w:tcMar>
            <w:vAlign w:val="bottom"/>
          </w:tcPr>
          <w:p w14:paraId="5F2D3B7A" w14:textId="77777777" w:rsidR="00E836FB" w:rsidRDefault="00994958">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7B" w14:textId="77777777" w:rsidR="00E836FB" w:rsidRDefault="00994958">
            <w:pPr>
              <w:jc w:val="right"/>
              <w:textAlignment w:val="bottom"/>
            </w:pPr>
            <w:r>
              <w:rPr>
                <w:rFonts w:ascii="Arial" w:eastAsia="宋体" w:hAnsi="Arial" w:cs="Arial"/>
                <w:b/>
                <w:bCs/>
                <w:color w:val="000000"/>
                <w:sz w:val="14"/>
                <w:szCs w:val="14"/>
              </w:rPr>
              <w:t>6,057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7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7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7E" w14:textId="77777777" w:rsidR="00E836FB" w:rsidRDefault="00994958">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8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81" w14:textId="77777777" w:rsidR="00E836FB" w:rsidRDefault="00994958">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8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84" w14:textId="77777777" w:rsidR="00E836FB" w:rsidRDefault="00994958">
            <w:pPr>
              <w:jc w:val="right"/>
              <w:textAlignment w:val="bottom"/>
            </w:pPr>
            <w:r>
              <w:rPr>
                <w:rFonts w:ascii="Arial" w:eastAsia="宋体" w:hAnsi="Arial" w:cs="Arial"/>
                <w:b/>
                <w:bCs/>
                <w:color w:val="000000"/>
                <w:sz w:val="14"/>
                <w:szCs w:val="14"/>
              </w:rPr>
              <w:t>1,316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8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87" w14:textId="77777777" w:rsidR="00E836FB" w:rsidRDefault="00994958">
            <w:pPr>
              <w:jc w:val="right"/>
              <w:textAlignment w:val="bottom"/>
            </w:pPr>
            <w:r>
              <w:rPr>
                <w:rFonts w:ascii="Arial" w:eastAsia="宋体" w:hAnsi="Arial" w:cs="Arial"/>
                <w:b/>
                <w:bCs/>
                <w:color w:val="000000"/>
                <w:sz w:val="14"/>
                <w:szCs w:val="14"/>
              </w:rPr>
              <w:t>7,408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8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8A" w14:textId="77777777" w:rsidR="00E836FB" w:rsidRDefault="00994958">
            <w:pPr>
              <w:jc w:val="right"/>
              <w:textAlignment w:val="bottom"/>
            </w:pPr>
            <w:r>
              <w:rPr>
                <w:rFonts w:ascii="Arial" w:eastAsia="宋体" w:hAnsi="Arial" w:cs="Arial"/>
                <w:color w:val="000000"/>
                <w:sz w:val="14"/>
                <w:szCs w:val="14"/>
              </w:rPr>
              <w:t>12,441 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8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8D" w14:textId="77777777" w:rsidR="00E836FB" w:rsidRDefault="00994958">
            <w:pPr>
              <w:jc w:val="right"/>
              <w:textAlignment w:val="bottom"/>
            </w:pPr>
            <w:r>
              <w:rPr>
                <w:rFonts w:ascii="Arial" w:eastAsia="宋体" w:hAnsi="Arial" w:cs="Arial"/>
                <w:color w:val="000000"/>
                <w:sz w:val="14"/>
                <w:szCs w:val="14"/>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8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90"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9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93" w14:textId="77777777" w:rsidR="00E836FB" w:rsidRDefault="00994958">
            <w:pPr>
              <w:jc w:val="right"/>
              <w:textAlignment w:val="bottom"/>
            </w:pPr>
            <w:r>
              <w:rPr>
                <w:rFonts w:ascii="Arial" w:eastAsia="宋体" w:hAnsi="Arial" w:cs="Arial"/>
                <w:color w:val="000000"/>
                <w:sz w:val="14"/>
                <w:szCs w:val="14"/>
              </w:rPr>
              <w:t>1,156 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B9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3B96" w14:textId="77777777" w:rsidR="00E836FB" w:rsidRDefault="00994958">
            <w:pPr>
              <w:jc w:val="right"/>
              <w:textAlignment w:val="bottom"/>
            </w:pPr>
            <w:r>
              <w:rPr>
                <w:rFonts w:ascii="Arial" w:eastAsia="宋体" w:hAnsi="Arial" w:cs="Arial"/>
                <w:color w:val="000000"/>
                <w:sz w:val="14"/>
                <w:szCs w:val="14"/>
              </w:rPr>
              <w:t>13,653 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3B97" w14:textId="77777777" w:rsidR="00E836FB" w:rsidRDefault="00E836FB">
            <w:pPr>
              <w:jc w:val="right"/>
              <w:rPr>
                <w:rFonts w:ascii="宋体"/>
              </w:rPr>
            </w:pPr>
          </w:p>
        </w:tc>
      </w:tr>
      <w:tr w:rsidR="00994958" w14:paraId="5F2D3BC1" w14:textId="77777777">
        <w:tc>
          <w:tcPr>
            <w:tcW w:w="0" w:type="auto"/>
            <w:gridSpan w:val="3"/>
            <w:shd w:val="clear" w:color="auto" w:fill="CCEEFF"/>
            <w:tcMar>
              <w:top w:w="40" w:type="dxa"/>
              <w:left w:w="20" w:type="dxa"/>
              <w:bottom w:w="40" w:type="dxa"/>
              <w:right w:w="20" w:type="dxa"/>
            </w:tcMar>
            <w:vAlign w:val="bottom"/>
          </w:tcPr>
          <w:p w14:paraId="5F2D3B99" w14:textId="77777777" w:rsidR="00E836FB" w:rsidRDefault="00994958">
            <w:pPr>
              <w:textAlignment w:val="bottom"/>
            </w:pPr>
            <w:r>
              <w:rPr>
                <w:rFonts w:ascii="Arial" w:eastAsia="宋体" w:hAnsi="Arial" w:cs="Arial"/>
                <w:b/>
                <w:bCs/>
                <w:color w:val="000000"/>
                <w:sz w:val="14"/>
                <w:szCs w:val="14"/>
              </w:rPr>
              <w:t>Gross amount of recognized liabilities for repurchase agree</w:t>
            </w:r>
            <w:r>
              <w:rPr>
                <w:rFonts w:ascii="Arial" w:eastAsia="宋体" w:hAnsi="Arial" w:cs="Arial"/>
                <w:b/>
                <w:bCs/>
                <w:color w:val="000000"/>
                <w:sz w:val="14"/>
                <w:szCs w:val="14"/>
              </w:rPr>
              <w:t>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9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9B" w14:textId="77777777" w:rsidR="00E836FB" w:rsidRDefault="00994958">
            <w:pPr>
              <w:jc w:val="right"/>
              <w:textAlignment w:val="bottom"/>
            </w:pPr>
            <w:r>
              <w:rPr>
                <w:rFonts w:ascii="Arial" w:eastAsia="宋体" w:hAnsi="Arial" w:cs="Arial"/>
                <w:b/>
                <w:bCs/>
                <w:color w:val="000000"/>
                <w:sz w:val="14"/>
                <w:szCs w:val="14"/>
              </w:rPr>
              <w:t>81,323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9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9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9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9F" w14:textId="77777777" w:rsidR="00E836FB" w:rsidRDefault="00994958">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A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A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A3" w14:textId="77777777" w:rsidR="00E836FB" w:rsidRDefault="00994958">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A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A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A7" w14:textId="77777777" w:rsidR="00E836FB" w:rsidRDefault="00994958">
            <w:pPr>
              <w:jc w:val="right"/>
              <w:textAlignment w:val="bottom"/>
            </w:pPr>
            <w:r>
              <w:rPr>
                <w:rFonts w:ascii="Arial" w:eastAsia="宋体" w:hAnsi="Arial" w:cs="Arial"/>
                <w:b/>
                <w:bCs/>
                <w:color w:val="000000"/>
                <w:sz w:val="14"/>
                <w:szCs w:val="14"/>
              </w:rPr>
              <w:t>1,316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A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A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AB" w14:textId="77777777" w:rsidR="00E836FB" w:rsidRDefault="00994958">
            <w:pPr>
              <w:jc w:val="right"/>
              <w:textAlignment w:val="bottom"/>
            </w:pPr>
            <w:r>
              <w:rPr>
                <w:rFonts w:ascii="Arial" w:eastAsia="宋体" w:hAnsi="Arial" w:cs="Arial"/>
                <w:b/>
                <w:bCs/>
                <w:color w:val="000000"/>
                <w:sz w:val="14"/>
                <w:szCs w:val="14"/>
              </w:rPr>
              <w:t>82,674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A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AE"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AF" w14:textId="77777777" w:rsidR="00E836FB" w:rsidRDefault="00994958">
            <w:pPr>
              <w:jc w:val="right"/>
              <w:textAlignment w:val="bottom"/>
            </w:pPr>
            <w:r>
              <w:rPr>
                <w:rFonts w:ascii="Arial" w:eastAsia="宋体" w:hAnsi="Arial" w:cs="Arial"/>
                <w:color w:val="000000"/>
                <w:sz w:val="14"/>
                <w:szCs w:val="14"/>
              </w:rPr>
              <w:t>164,581 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B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B2"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B3" w14:textId="77777777" w:rsidR="00E836FB" w:rsidRDefault="00994958">
            <w:pPr>
              <w:jc w:val="right"/>
              <w:textAlignment w:val="bottom"/>
            </w:pPr>
            <w:r>
              <w:rPr>
                <w:rFonts w:ascii="Arial" w:eastAsia="宋体" w:hAnsi="Arial" w:cs="Arial"/>
                <w:color w:val="000000"/>
                <w:sz w:val="14"/>
                <w:szCs w:val="14"/>
              </w:rPr>
              <w:t>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B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B6"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B7"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B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BA"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BB" w14:textId="77777777" w:rsidR="00E836FB" w:rsidRDefault="00994958">
            <w:pPr>
              <w:jc w:val="right"/>
              <w:textAlignment w:val="bottom"/>
            </w:pPr>
            <w:r>
              <w:rPr>
                <w:rFonts w:ascii="Arial" w:eastAsia="宋体" w:hAnsi="Arial" w:cs="Arial"/>
                <w:color w:val="000000"/>
                <w:sz w:val="14"/>
                <w:szCs w:val="14"/>
              </w:rPr>
              <w:t>1,156 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B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3BBE"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3BBF" w14:textId="77777777" w:rsidR="00E836FB" w:rsidRDefault="00994958">
            <w:pPr>
              <w:jc w:val="right"/>
              <w:textAlignment w:val="bottom"/>
            </w:pPr>
            <w:r>
              <w:rPr>
                <w:rFonts w:ascii="Arial" w:eastAsia="宋体" w:hAnsi="Arial" w:cs="Arial"/>
                <w:color w:val="000000"/>
                <w:sz w:val="14"/>
                <w:szCs w:val="14"/>
              </w:rPr>
              <w:t>165,793 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3BC0" w14:textId="77777777" w:rsidR="00E836FB" w:rsidRDefault="00E836FB">
            <w:pPr>
              <w:jc w:val="right"/>
              <w:rPr>
                <w:rFonts w:ascii="宋体"/>
              </w:rPr>
            </w:pPr>
          </w:p>
        </w:tc>
      </w:tr>
    </w:tbl>
    <w:p w14:paraId="5F2D3BC2"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E836FB" w14:paraId="5F2D3BD2" w14:textId="77777777">
        <w:tc>
          <w:tcPr>
            <w:tcW w:w="50" w:type="pct"/>
            <w:shd w:val="clear" w:color="auto" w:fill="auto"/>
            <w:vAlign w:val="bottom"/>
          </w:tcPr>
          <w:p w14:paraId="5F2D3BC3" w14:textId="77777777" w:rsidR="00E836FB" w:rsidRDefault="00E836FB">
            <w:pPr>
              <w:rPr>
                <w:rFonts w:ascii="宋体"/>
              </w:rPr>
            </w:pPr>
          </w:p>
        </w:tc>
        <w:tc>
          <w:tcPr>
            <w:tcW w:w="1348" w:type="pct"/>
            <w:shd w:val="clear" w:color="auto" w:fill="auto"/>
            <w:vAlign w:val="bottom"/>
          </w:tcPr>
          <w:p w14:paraId="5F2D3BC4" w14:textId="77777777" w:rsidR="00E836FB" w:rsidRDefault="00E836FB">
            <w:pPr>
              <w:rPr>
                <w:rFonts w:ascii="宋体"/>
              </w:rPr>
            </w:pPr>
          </w:p>
        </w:tc>
        <w:tc>
          <w:tcPr>
            <w:tcW w:w="5" w:type="pct"/>
            <w:shd w:val="clear" w:color="auto" w:fill="auto"/>
            <w:vAlign w:val="bottom"/>
          </w:tcPr>
          <w:p w14:paraId="5F2D3BC5" w14:textId="77777777" w:rsidR="00E836FB" w:rsidRDefault="00E836FB">
            <w:pPr>
              <w:rPr>
                <w:rFonts w:ascii="宋体"/>
              </w:rPr>
            </w:pPr>
          </w:p>
        </w:tc>
        <w:tc>
          <w:tcPr>
            <w:tcW w:w="50" w:type="pct"/>
            <w:shd w:val="clear" w:color="auto" w:fill="auto"/>
            <w:vAlign w:val="bottom"/>
          </w:tcPr>
          <w:p w14:paraId="5F2D3BC6" w14:textId="77777777" w:rsidR="00E836FB" w:rsidRDefault="00E836FB">
            <w:pPr>
              <w:rPr>
                <w:rFonts w:ascii="宋体"/>
              </w:rPr>
            </w:pPr>
          </w:p>
        </w:tc>
        <w:tc>
          <w:tcPr>
            <w:tcW w:w="1048" w:type="pct"/>
            <w:shd w:val="clear" w:color="auto" w:fill="auto"/>
            <w:vAlign w:val="bottom"/>
          </w:tcPr>
          <w:p w14:paraId="5F2D3BC7" w14:textId="77777777" w:rsidR="00E836FB" w:rsidRDefault="00E836FB">
            <w:pPr>
              <w:rPr>
                <w:rFonts w:ascii="宋体"/>
              </w:rPr>
            </w:pPr>
          </w:p>
        </w:tc>
        <w:tc>
          <w:tcPr>
            <w:tcW w:w="5" w:type="pct"/>
            <w:shd w:val="clear" w:color="auto" w:fill="auto"/>
            <w:vAlign w:val="bottom"/>
          </w:tcPr>
          <w:p w14:paraId="5F2D3BC8" w14:textId="77777777" w:rsidR="00E836FB" w:rsidRDefault="00E836FB">
            <w:pPr>
              <w:rPr>
                <w:rFonts w:ascii="宋体"/>
              </w:rPr>
            </w:pPr>
          </w:p>
        </w:tc>
        <w:tc>
          <w:tcPr>
            <w:tcW w:w="50" w:type="pct"/>
            <w:shd w:val="clear" w:color="auto" w:fill="auto"/>
            <w:vAlign w:val="bottom"/>
          </w:tcPr>
          <w:p w14:paraId="5F2D3BC9" w14:textId="77777777" w:rsidR="00E836FB" w:rsidRDefault="00E836FB">
            <w:pPr>
              <w:rPr>
                <w:rFonts w:ascii="宋体"/>
              </w:rPr>
            </w:pPr>
          </w:p>
        </w:tc>
        <w:tc>
          <w:tcPr>
            <w:tcW w:w="917" w:type="pct"/>
            <w:shd w:val="clear" w:color="auto" w:fill="auto"/>
            <w:vAlign w:val="bottom"/>
          </w:tcPr>
          <w:p w14:paraId="5F2D3BCA" w14:textId="77777777" w:rsidR="00E836FB" w:rsidRDefault="00E836FB">
            <w:pPr>
              <w:rPr>
                <w:rFonts w:ascii="宋体"/>
              </w:rPr>
            </w:pPr>
          </w:p>
        </w:tc>
        <w:tc>
          <w:tcPr>
            <w:tcW w:w="5" w:type="pct"/>
            <w:shd w:val="clear" w:color="auto" w:fill="auto"/>
            <w:vAlign w:val="bottom"/>
          </w:tcPr>
          <w:p w14:paraId="5F2D3BCB" w14:textId="77777777" w:rsidR="00E836FB" w:rsidRDefault="00E836FB">
            <w:pPr>
              <w:rPr>
                <w:rFonts w:ascii="宋体"/>
              </w:rPr>
            </w:pPr>
          </w:p>
        </w:tc>
        <w:tc>
          <w:tcPr>
            <w:tcW w:w="50" w:type="pct"/>
            <w:shd w:val="clear" w:color="auto" w:fill="auto"/>
            <w:vAlign w:val="bottom"/>
          </w:tcPr>
          <w:p w14:paraId="5F2D3BCC" w14:textId="77777777" w:rsidR="00E836FB" w:rsidRDefault="00E836FB">
            <w:pPr>
              <w:rPr>
                <w:rFonts w:ascii="宋体"/>
              </w:rPr>
            </w:pPr>
          </w:p>
        </w:tc>
        <w:tc>
          <w:tcPr>
            <w:tcW w:w="917" w:type="pct"/>
            <w:shd w:val="clear" w:color="auto" w:fill="auto"/>
            <w:vAlign w:val="bottom"/>
          </w:tcPr>
          <w:p w14:paraId="5F2D3BCD" w14:textId="77777777" w:rsidR="00E836FB" w:rsidRDefault="00E836FB">
            <w:pPr>
              <w:rPr>
                <w:rFonts w:ascii="宋体"/>
              </w:rPr>
            </w:pPr>
          </w:p>
        </w:tc>
        <w:tc>
          <w:tcPr>
            <w:tcW w:w="5" w:type="pct"/>
            <w:shd w:val="clear" w:color="auto" w:fill="auto"/>
            <w:vAlign w:val="bottom"/>
          </w:tcPr>
          <w:p w14:paraId="5F2D3BCE" w14:textId="77777777" w:rsidR="00E836FB" w:rsidRDefault="00E836FB">
            <w:pPr>
              <w:rPr>
                <w:rFonts w:ascii="宋体"/>
              </w:rPr>
            </w:pPr>
          </w:p>
        </w:tc>
        <w:tc>
          <w:tcPr>
            <w:tcW w:w="50" w:type="pct"/>
            <w:shd w:val="clear" w:color="auto" w:fill="auto"/>
            <w:vAlign w:val="bottom"/>
          </w:tcPr>
          <w:p w14:paraId="5F2D3BCF" w14:textId="77777777" w:rsidR="00E836FB" w:rsidRDefault="00E836FB">
            <w:pPr>
              <w:rPr>
                <w:rFonts w:ascii="宋体"/>
              </w:rPr>
            </w:pPr>
          </w:p>
        </w:tc>
        <w:tc>
          <w:tcPr>
            <w:tcW w:w="493" w:type="pct"/>
            <w:shd w:val="clear" w:color="auto" w:fill="auto"/>
            <w:vAlign w:val="bottom"/>
          </w:tcPr>
          <w:p w14:paraId="5F2D3BD0" w14:textId="77777777" w:rsidR="00E836FB" w:rsidRDefault="00E836FB">
            <w:pPr>
              <w:rPr>
                <w:rFonts w:ascii="宋体"/>
              </w:rPr>
            </w:pPr>
          </w:p>
        </w:tc>
        <w:tc>
          <w:tcPr>
            <w:tcW w:w="5" w:type="pct"/>
            <w:shd w:val="clear" w:color="auto" w:fill="auto"/>
            <w:vAlign w:val="bottom"/>
          </w:tcPr>
          <w:p w14:paraId="5F2D3BD1" w14:textId="77777777" w:rsidR="00E836FB" w:rsidRDefault="00E836FB">
            <w:pPr>
              <w:rPr>
                <w:rFonts w:ascii="宋体"/>
              </w:rPr>
            </w:pPr>
          </w:p>
        </w:tc>
      </w:tr>
      <w:tr w:rsidR="00E836FB" w14:paraId="5F2D3BD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BD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BD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BD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BD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BD7" w14:textId="77777777" w:rsidR="00E836FB" w:rsidRDefault="00E836FB">
            <w:pPr>
              <w:rPr>
                <w:rFonts w:ascii="宋体"/>
              </w:rPr>
            </w:pPr>
          </w:p>
        </w:tc>
      </w:tr>
    </w:tbl>
    <w:p w14:paraId="5F2D3BD9" w14:textId="77777777" w:rsidR="00E836FB" w:rsidRDefault="00994958">
      <w:pPr>
        <w:jc w:val="both"/>
      </w:pPr>
      <w:r>
        <w:rPr>
          <w:rFonts w:ascii="Arial" w:eastAsia="宋体" w:hAnsi="Arial" w:cs="Arial"/>
          <w:color w:val="000000"/>
          <w:sz w:val="9"/>
          <w:szCs w:val="9"/>
        </w:rPr>
        <w:t>(1)</w:t>
      </w:r>
      <w:r>
        <w:rPr>
          <w:rFonts w:ascii="Arial" w:eastAsia="宋体" w:hAnsi="Arial" w:cs="Arial"/>
          <w:color w:val="000000"/>
          <w:sz w:val="14"/>
          <w:szCs w:val="14"/>
        </w:rPr>
        <w:t xml:space="preserve"> Represents a security interest in underlying client assets related to our enhanced custody business, which assets clients have allowed us to transfer and re-pledge.</w:t>
      </w:r>
    </w:p>
    <w:p w14:paraId="5F2D3BDA" w14:textId="77777777" w:rsidR="00E836FB" w:rsidRDefault="00994958">
      <w:pPr>
        <w:ind w:firstLine="450"/>
        <w:jc w:val="right"/>
      </w:pPr>
      <w:r>
        <w:rPr>
          <w:rFonts w:ascii="Arial" w:eastAsia="宋体" w:hAnsi="Arial" w:cs="Arial"/>
          <w:color w:val="000000"/>
          <w:sz w:val="18"/>
          <w:szCs w:val="18"/>
        </w:rPr>
        <w:t>State Street Corporation | 164</w:t>
      </w:r>
    </w:p>
    <w:p w14:paraId="5F2D3BDB" w14:textId="77777777" w:rsidR="00E836FB" w:rsidRDefault="00E836FB">
      <w:pPr>
        <w:ind w:firstLine="450"/>
        <w:jc w:val="center"/>
      </w:pPr>
    </w:p>
    <w:p w14:paraId="5F2D3BDC" w14:textId="77777777" w:rsidR="00E836FB" w:rsidRDefault="00994958">
      <w:r>
        <w:pict w14:anchorId="5F2D6E29">
          <v:rect id="_x0000_i1188" style="width:415.3pt;height:1.5pt" o:hralign="center" o:hrstd="t" o:hr="t" fillcolor="#a0a0a0" stroked="f"/>
        </w:pict>
      </w:r>
    </w:p>
    <w:p w14:paraId="5F2D3BDD" w14:textId="77777777" w:rsidR="00E836FB" w:rsidRDefault="00994958">
      <w:pPr>
        <w:ind w:firstLine="450"/>
        <w:jc w:val="center"/>
      </w:pPr>
      <w:r>
        <w:rPr>
          <w:rFonts w:ascii="Arial" w:eastAsia="宋体" w:hAnsi="Arial" w:cs="Arial"/>
          <w:b/>
          <w:bCs/>
          <w:color w:val="000000"/>
          <w:sz w:val="20"/>
          <w:szCs w:val="20"/>
        </w:rPr>
        <w:t>STATE STREET CORPORATION</w:t>
      </w:r>
    </w:p>
    <w:p w14:paraId="5F2D3BDE" w14:textId="77777777" w:rsidR="00E836FB" w:rsidRDefault="00994958">
      <w:pPr>
        <w:ind w:firstLine="45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CONSOLIDATED FINANCIAL STATEMENTS</w:t>
      </w:r>
    </w:p>
    <w:p w14:paraId="5F2D3BDF" w14:textId="77777777" w:rsidR="00E836FB" w:rsidRDefault="00994958">
      <w:pPr>
        <w:spacing w:before="180"/>
        <w:jc w:val="both"/>
        <w:textAlignment w:val="top"/>
      </w:pPr>
      <w:r>
        <w:rPr>
          <w:rFonts w:ascii="Arial" w:eastAsia="宋体" w:hAnsi="Arial" w:cs="Arial"/>
          <w:b/>
          <w:bCs/>
          <w:color w:val="000000"/>
          <w:sz w:val="20"/>
          <w:szCs w:val="20"/>
        </w:rPr>
        <w:t>Note 12.    Commitments and Guarantees</w:t>
      </w:r>
    </w:p>
    <w:p w14:paraId="5F2D3BE0"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the aggregate gross contractual amounts of our off-balance sheet commitments and off-balance sheet guarantees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740"/>
        <w:gridCol w:w="36"/>
        <w:gridCol w:w="105"/>
        <w:gridCol w:w="2040"/>
        <w:gridCol w:w="36"/>
        <w:gridCol w:w="36"/>
        <w:gridCol w:w="77"/>
        <w:gridCol w:w="36"/>
        <w:gridCol w:w="105"/>
        <w:gridCol w:w="2042"/>
        <w:gridCol w:w="36"/>
      </w:tblGrid>
      <w:tr w:rsidR="00E836FB" w14:paraId="5F2D3BED" w14:textId="77777777">
        <w:tc>
          <w:tcPr>
            <w:tcW w:w="50" w:type="pct"/>
            <w:shd w:val="clear" w:color="auto" w:fill="auto"/>
            <w:vAlign w:val="bottom"/>
          </w:tcPr>
          <w:p w14:paraId="5F2D3BE1" w14:textId="77777777" w:rsidR="00E836FB" w:rsidRDefault="00E836FB">
            <w:pPr>
              <w:rPr>
                <w:rFonts w:ascii="宋体"/>
              </w:rPr>
            </w:pPr>
          </w:p>
        </w:tc>
        <w:tc>
          <w:tcPr>
            <w:tcW w:w="2264" w:type="pct"/>
            <w:shd w:val="clear" w:color="auto" w:fill="auto"/>
            <w:vAlign w:val="bottom"/>
          </w:tcPr>
          <w:p w14:paraId="5F2D3BE2" w14:textId="77777777" w:rsidR="00E836FB" w:rsidRDefault="00E836FB">
            <w:pPr>
              <w:rPr>
                <w:rFonts w:ascii="宋体"/>
              </w:rPr>
            </w:pPr>
          </w:p>
        </w:tc>
        <w:tc>
          <w:tcPr>
            <w:tcW w:w="5" w:type="pct"/>
            <w:shd w:val="clear" w:color="auto" w:fill="auto"/>
            <w:vAlign w:val="bottom"/>
          </w:tcPr>
          <w:p w14:paraId="5F2D3BE3" w14:textId="77777777" w:rsidR="00E836FB" w:rsidRDefault="00E836FB">
            <w:pPr>
              <w:rPr>
                <w:rFonts w:ascii="宋体"/>
              </w:rPr>
            </w:pPr>
          </w:p>
        </w:tc>
        <w:tc>
          <w:tcPr>
            <w:tcW w:w="50" w:type="pct"/>
            <w:shd w:val="clear" w:color="auto" w:fill="auto"/>
            <w:vAlign w:val="bottom"/>
          </w:tcPr>
          <w:p w14:paraId="5F2D3BE4" w14:textId="77777777" w:rsidR="00E836FB" w:rsidRDefault="00E836FB">
            <w:pPr>
              <w:rPr>
                <w:rFonts w:ascii="宋体"/>
              </w:rPr>
            </w:pPr>
          </w:p>
        </w:tc>
        <w:tc>
          <w:tcPr>
            <w:tcW w:w="1245" w:type="pct"/>
            <w:shd w:val="clear" w:color="auto" w:fill="auto"/>
            <w:vAlign w:val="bottom"/>
          </w:tcPr>
          <w:p w14:paraId="5F2D3BE5" w14:textId="77777777" w:rsidR="00E836FB" w:rsidRDefault="00E836FB">
            <w:pPr>
              <w:rPr>
                <w:rFonts w:ascii="宋体"/>
              </w:rPr>
            </w:pPr>
          </w:p>
        </w:tc>
        <w:tc>
          <w:tcPr>
            <w:tcW w:w="5" w:type="pct"/>
            <w:shd w:val="clear" w:color="auto" w:fill="auto"/>
            <w:vAlign w:val="bottom"/>
          </w:tcPr>
          <w:p w14:paraId="5F2D3BE6" w14:textId="77777777" w:rsidR="00E836FB" w:rsidRDefault="00E836FB">
            <w:pPr>
              <w:rPr>
                <w:rFonts w:ascii="宋体"/>
              </w:rPr>
            </w:pPr>
          </w:p>
        </w:tc>
        <w:tc>
          <w:tcPr>
            <w:tcW w:w="5" w:type="pct"/>
            <w:shd w:val="clear" w:color="auto" w:fill="auto"/>
            <w:vAlign w:val="bottom"/>
          </w:tcPr>
          <w:p w14:paraId="5F2D3BE7" w14:textId="77777777" w:rsidR="00E836FB" w:rsidRDefault="00E836FB">
            <w:pPr>
              <w:rPr>
                <w:rFonts w:ascii="宋体"/>
              </w:rPr>
            </w:pPr>
          </w:p>
        </w:tc>
        <w:tc>
          <w:tcPr>
            <w:tcW w:w="68" w:type="pct"/>
            <w:shd w:val="clear" w:color="auto" w:fill="auto"/>
            <w:vAlign w:val="bottom"/>
          </w:tcPr>
          <w:p w14:paraId="5F2D3BE8" w14:textId="77777777" w:rsidR="00E836FB" w:rsidRDefault="00E836FB">
            <w:pPr>
              <w:rPr>
                <w:rFonts w:ascii="宋体"/>
              </w:rPr>
            </w:pPr>
          </w:p>
        </w:tc>
        <w:tc>
          <w:tcPr>
            <w:tcW w:w="5" w:type="pct"/>
            <w:shd w:val="clear" w:color="auto" w:fill="auto"/>
            <w:vAlign w:val="bottom"/>
          </w:tcPr>
          <w:p w14:paraId="5F2D3BE9" w14:textId="77777777" w:rsidR="00E836FB" w:rsidRDefault="00E836FB">
            <w:pPr>
              <w:rPr>
                <w:rFonts w:ascii="宋体"/>
              </w:rPr>
            </w:pPr>
          </w:p>
        </w:tc>
        <w:tc>
          <w:tcPr>
            <w:tcW w:w="50" w:type="pct"/>
            <w:shd w:val="clear" w:color="auto" w:fill="auto"/>
            <w:vAlign w:val="bottom"/>
          </w:tcPr>
          <w:p w14:paraId="5F2D3BEA" w14:textId="77777777" w:rsidR="00E836FB" w:rsidRDefault="00E836FB">
            <w:pPr>
              <w:rPr>
                <w:rFonts w:ascii="宋体"/>
              </w:rPr>
            </w:pPr>
          </w:p>
        </w:tc>
        <w:tc>
          <w:tcPr>
            <w:tcW w:w="1246" w:type="pct"/>
            <w:shd w:val="clear" w:color="auto" w:fill="auto"/>
            <w:vAlign w:val="bottom"/>
          </w:tcPr>
          <w:p w14:paraId="5F2D3BEB" w14:textId="77777777" w:rsidR="00E836FB" w:rsidRDefault="00E836FB">
            <w:pPr>
              <w:rPr>
                <w:rFonts w:ascii="宋体"/>
              </w:rPr>
            </w:pPr>
          </w:p>
        </w:tc>
        <w:tc>
          <w:tcPr>
            <w:tcW w:w="5" w:type="pct"/>
            <w:shd w:val="clear" w:color="auto" w:fill="auto"/>
            <w:vAlign w:val="bottom"/>
          </w:tcPr>
          <w:p w14:paraId="5F2D3BEC" w14:textId="77777777" w:rsidR="00E836FB" w:rsidRDefault="00E836FB">
            <w:pPr>
              <w:rPr>
                <w:rFonts w:ascii="宋体"/>
              </w:rPr>
            </w:pPr>
          </w:p>
        </w:tc>
      </w:tr>
      <w:tr w:rsidR="00E836FB" w14:paraId="5F2D3BF2" w14:textId="77777777">
        <w:tc>
          <w:tcPr>
            <w:tcW w:w="0" w:type="auto"/>
            <w:gridSpan w:val="3"/>
            <w:shd w:val="clear" w:color="auto" w:fill="auto"/>
            <w:tcMar>
              <w:top w:w="40" w:type="dxa"/>
              <w:left w:w="20" w:type="dxa"/>
              <w:bottom w:w="40" w:type="dxa"/>
              <w:right w:w="20" w:type="dxa"/>
            </w:tcMar>
            <w:vAlign w:val="bottom"/>
          </w:tcPr>
          <w:p w14:paraId="5F2D3BEE" w14:textId="77777777" w:rsidR="00E836FB" w:rsidRDefault="00994958">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F2D3BEF"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D3BF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BF1"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D3BF7" w14:textId="77777777">
        <w:tc>
          <w:tcPr>
            <w:tcW w:w="0" w:type="auto"/>
            <w:gridSpan w:val="3"/>
            <w:shd w:val="clear" w:color="auto" w:fill="auto"/>
            <w:tcMar>
              <w:top w:w="40" w:type="dxa"/>
              <w:left w:w="20" w:type="dxa"/>
              <w:bottom w:w="40" w:type="dxa"/>
              <w:right w:w="20" w:type="dxa"/>
            </w:tcMar>
            <w:vAlign w:val="bottom"/>
          </w:tcPr>
          <w:p w14:paraId="5F2D3BF3" w14:textId="77777777" w:rsidR="00E836FB" w:rsidRDefault="00994958">
            <w:pPr>
              <w:textAlignment w:val="bottom"/>
            </w:pPr>
            <w:r>
              <w:rPr>
                <w:rFonts w:ascii="Arial" w:eastAsia="宋体" w:hAnsi="Arial" w:cs="Arial"/>
                <w:b/>
                <w:bCs/>
                <w:color w:val="000000"/>
                <w:sz w:val="15"/>
                <w:szCs w:val="15"/>
              </w:rPr>
              <w:t>Commitments: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BF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BF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BF6" w14:textId="77777777" w:rsidR="00E836FB" w:rsidRDefault="00E836FB">
            <w:pPr>
              <w:rPr>
                <w:rFonts w:ascii="宋体"/>
              </w:rPr>
            </w:pPr>
          </w:p>
        </w:tc>
      </w:tr>
      <w:tr w:rsidR="00E836FB" w14:paraId="5F2D3C00" w14:textId="77777777">
        <w:tc>
          <w:tcPr>
            <w:tcW w:w="0" w:type="auto"/>
            <w:gridSpan w:val="3"/>
            <w:shd w:val="clear" w:color="auto" w:fill="CCEEFF"/>
            <w:tcMar>
              <w:top w:w="40" w:type="dxa"/>
              <w:left w:w="20" w:type="dxa"/>
              <w:bottom w:w="40" w:type="dxa"/>
              <w:right w:w="20" w:type="dxa"/>
            </w:tcMar>
            <w:vAlign w:val="bottom"/>
          </w:tcPr>
          <w:p w14:paraId="5F2D3BF8" w14:textId="77777777" w:rsidR="00E836FB" w:rsidRDefault="00994958">
            <w:pPr>
              <w:textAlignment w:val="bottom"/>
            </w:pPr>
            <w:r>
              <w:rPr>
                <w:rFonts w:ascii="Arial" w:eastAsia="宋体" w:hAnsi="Arial" w:cs="Arial"/>
                <w:color w:val="000000"/>
                <w:sz w:val="15"/>
                <w:szCs w:val="15"/>
              </w:rPr>
              <w:t>Unfunded credit facilities</w:t>
            </w:r>
          </w:p>
        </w:tc>
        <w:tc>
          <w:tcPr>
            <w:tcW w:w="0" w:type="auto"/>
            <w:shd w:val="clear" w:color="auto" w:fill="CCEEFF"/>
            <w:tcMar>
              <w:top w:w="40" w:type="dxa"/>
              <w:left w:w="20" w:type="dxa"/>
              <w:bottom w:w="40" w:type="dxa"/>
              <w:right w:w="0" w:type="dxa"/>
            </w:tcMar>
            <w:vAlign w:val="bottom"/>
          </w:tcPr>
          <w:p w14:paraId="5F2D3BF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BFA" w14:textId="77777777" w:rsidR="00E836FB" w:rsidRDefault="00994958">
            <w:pPr>
              <w:jc w:val="right"/>
              <w:textAlignment w:val="bottom"/>
            </w:pPr>
            <w:r>
              <w:rPr>
                <w:rFonts w:ascii="Arial" w:eastAsia="宋体" w:hAnsi="Arial" w:cs="Arial"/>
                <w:b/>
                <w:bCs/>
                <w:color w:val="000000"/>
                <w:sz w:val="15"/>
                <w:szCs w:val="15"/>
              </w:rPr>
              <w:t>33,026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B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BF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BFD"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BFE" w14:textId="77777777" w:rsidR="00E836FB" w:rsidRDefault="00994958">
            <w:pPr>
              <w:jc w:val="right"/>
              <w:textAlignment w:val="bottom"/>
            </w:pPr>
            <w:r>
              <w:rPr>
                <w:rFonts w:ascii="Arial" w:eastAsia="宋体" w:hAnsi="Arial" w:cs="Arial"/>
                <w:color w:val="000000"/>
                <w:sz w:val="15"/>
                <w:szCs w:val="15"/>
              </w:rPr>
              <w:t>34,213 </w:t>
            </w:r>
          </w:p>
        </w:tc>
        <w:tc>
          <w:tcPr>
            <w:tcW w:w="0" w:type="auto"/>
            <w:shd w:val="clear" w:color="auto" w:fill="CCEEFF"/>
            <w:tcMar>
              <w:top w:w="40" w:type="dxa"/>
              <w:left w:w="0" w:type="dxa"/>
              <w:bottom w:w="40" w:type="dxa"/>
              <w:right w:w="20" w:type="dxa"/>
            </w:tcMar>
            <w:vAlign w:val="bottom"/>
          </w:tcPr>
          <w:p w14:paraId="5F2D3BFF" w14:textId="77777777" w:rsidR="00E836FB" w:rsidRDefault="00E836FB">
            <w:pPr>
              <w:jc w:val="right"/>
              <w:rPr>
                <w:rFonts w:ascii="宋体"/>
              </w:rPr>
            </w:pPr>
          </w:p>
        </w:tc>
      </w:tr>
      <w:tr w:rsidR="00E836FB" w14:paraId="5F2D3C05" w14:textId="77777777">
        <w:tc>
          <w:tcPr>
            <w:tcW w:w="0" w:type="auto"/>
            <w:gridSpan w:val="3"/>
            <w:shd w:val="clear" w:color="auto" w:fill="FFFFFF"/>
            <w:tcMar>
              <w:top w:w="40" w:type="dxa"/>
              <w:left w:w="20" w:type="dxa"/>
              <w:bottom w:w="40" w:type="dxa"/>
              <w:right w:w="20" w:type="dxa"/>
            </w:tcMar>
            <w:vAlign w:val="bottom"/>
          </w:tcPr>
          <w:p w14:paraId="5F2D3C01" w14:textId="77777777" w:rsidR="00E836FB" w:rsidRDefault="00994958">
            <w:pPr>
              <w:textAlignment w:val="bottom"/>
            </w:pPr>
            <w:r>
              <w:rPr>
                <w:rFonts w:ascii="Arial" w:eastAsia="宋体" w:hAnsi="Arial" w:cs="Arial"/>
                <w:b/>
                <w:bCs/>
                <w:color w:val="000000"/>
                <w:sz w:val="15"/>
                <w:szCs w:val="15"/>
              </w:rPr>
              <w:t>Guarantees</w:t>
            </w:r>
            <w:r>
              <w:rPr>
                <w:rFonts w:ascii="Arial" w:eastAsia="宋体" w:hAnsi="Arial" w:cs="Arial"/>
                <w:color w:val="000000"/>
                <w:sz w:val="9"/>
                <w:szCs w:val="9"/>
              </w:rPr>
              <w:t>(1)</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F2D3C0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C0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C04" w14:textId="77777777" w:rsidR="00E836FB" w:rsidRDefault="00E836FB">
            <w:pPr>
              <w:rPr>
                <w:rFonts w:ascii="宋体"/>
              </w:rPr>
            </w:pPr>
          </w:p>
        </w:tc>
      </w:tr>
      <w:tr w:rsidR="00E836FB" w14:paraId="5F2D3C0E" w14:textId="77777777">
        <w:tc>
          <w:tcPr>
            <w:tcW w:w="0" w:type="auto"/>
            <w:gridSpan w:val="3"/>
            <w:shd w:val="clear" w:color="auto" w:fill="CCEEFF"/>
            <w:tcMar>
              <w:top w:w="40" w:type="dxa"/>
              <w:left w:w="20" w:type="dxa"/>
              <w:bottom w:w="40" w:type="dxa"/>
              <w:right w:w="20" w:type="dxa"/>
            </w:tcMar>
            <w:vAlign w:val="bottom"/>
          </w:tcPr>
          <w:p w14:paraId="5F2D3C06" w14:textId="77777777" w:rsidR="00E836FB" w:rsidRDefault="00994958">
            <w:pPr>
              <w:textAlignment w:val="bottom"/>
            </w:pPr>
            <w:r>
              <w:rPr>
                <w:rFonts w:ascii="Arial" w:eastAsia="宋体" w:hAnsi="Arial" w:cs="Arial"/>
                <w:color w:val="000000"/>
                <w:sz w:val="15"/>
                <w:szCs w:val="15"/>
              </w:rPr>
              <w:t>Indemnified securities financing</w:t>
            </w:r>
          </w:p>
        </w:tc>
        <w:tc>
          <w:tcPr>
            <w:tcW w:w="0" w:type="auto"/>
            <w:shd w:val="clear" w:color="auto" w:fill="CCEEFF"/>
            <w:tcMar>
              <w:top w:w="40" w:type="dxa"/>
              <w:left w:w="20" w:type="dxa"/>
              <w:bottom w:w="40" w:type="dxa"/>
              <w:right w:w="0" w:type="dxa"/>
            </w:tcMar>
            <w:vAlign w:val="bottom"/>
          </w:tcPr>
          <w:p w14:paraId="5F2D3C07"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C08" w14:textId="77777777" w:rsidR="00E836FB" w:rsidRDefault="00994958">
            <w:pPr>
              <w:jc w:val="right"/>
              <w:textAlignment w:val="bottom"/>
            </w:pPr>
            <w:r>
              <w:rPr>
                <w:rFonts w:ascii="Arial" w:eastAsia="宋体" w:hAnsi="Arial" w:cs="Arial"/>
                <w:b/>
                <w:bCs/>
                <w:color w:val="000000"/>
                <w:sz w:val="15"/>
                <w:szCs w:val="15"/>
              </w:rPr>
              <w:t>385,740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C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C0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C0B"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C0C" w14:textId="77777777" w:rsidR="00E836FB" w:rsidRDefault="00994958">
            <w:pPr>
              <w:jc w:val="right"/>
              <w:textAlignment w:val="bottom"/>
            </w:pPr>
            <w:r>
              <w:rPr>
                <w:rFonts w:ascii="Arial" w:eastAsia="宋体" w:hAnsi="Arial" w:cs="Arial"/>
                <w:color w:val="000000"/>
                <w:sz w:val="15"/>
                <w:szCs w:val="15"/>
              </w:rPr>
              <w:t>440,875 </w:t>
            </w:r>
          </w:p>
        </w:tc>
        <w:tc>
          <w:tcPr>
            <w:tcW w:w="0" w:type="auto"/>
            <w:shd w:val="clear" w:color="auto" w:fill="CCEEFF"/>
            <w:tcMar>
              <w:top w:w="40" w:type="dxa"/>
              <w:left w:w="0" w:type="dxa"/>
              <w:bottom w:w="40" w:type="dxa"/>
              <w:right w:w="20" w:type="dxa"/>
            </w:tcMar>
            <w:vAlign w:val="bottom"/>
          </w:tcPr>
          <w:p w14:paraId="5F2D3C0D" w14:textId="77777777" w:rsidR="00E836FB" w:rsidRDefault="00E836FB">
            <w:pPr>
              <w:jc w:val="right"/>
              <w:rPr>
                <w:rFonts w:ascii="宋体"/>
              </w:rPr>
            </w:pPr>
          </w:p>
        </w:tc>
      </w:tr>
      <w:tr w:rsidR="00E836FB" w14:paraId="5F2D3C15" w14:textId="77777777">
        <w:tc>
          <w:tcPr>
            <w:tcW w:w="0" w:type="auto"/>
            <w:gridSpan w:val="3"/>
            <w:shd w:val="clear" w:color="auto" w:fill="FFFFFF"/>
            <w:tcMar>
              <w:top w:w="40" w:type="dxa"/>
              <w:left w:w="20" w:type="dxa"/>
              <w:bottom w:w="40" w:type="dxa"/>
              <w:right w:w="20" w:type="dxa"/>
            </w:tcMar>
            <w:vAlign w:val="bottom"/>
          </w:tcPr>
          <w:p w14:paraId="5F2D3C0F" w14:textId="77777777" w:rsidR="00E836FB" w:rsidRDefault="00994958">
            <w:pPr>
              <w:textAlignment w:val="bottom"/>
            </w:pPr>
            <w:r>
              <w:rPr>
                <w:rFonts w:ascii="Arial" w:eastAsia="宋体" w:hAnsi="Arial" w:cs="Arial"/>
                <w:color w:val="000000"/>
                <w:sz w:val="15"/>
                <w:szCs w:val="15"/>
              </w:rPr>
              <w:t>Standby letters of credit</w:t>
            </w:r>
          </w:p>
        </w:tc>
        <w:tc>
          <w:tcPr>
            <w:tcW w:w="0" w:type="auto"/>
            <w:gridSpan w:val="2"/>
            <w:shd w:val="clear" w:color="auto" w:fill="auto"/>
            <w:tcMar>
              <w:top w:w="40" w:type="dxa"/>
              <w:left w:w="20" w:type="dxa"/>
              <w:bottom w:w="40" w:type="dxa"/>
              <w:right w:w="0" w:type="dxa"/>
            </w:tcMar>
            <w:vAlign w:val="bottom"/>
          </w:tcPr>
          <w:p w14:paraId="5F2D3C10" w14:textId="77777777" w:rsidR="00E836FB" w:rsidRDefault="00994958">
            <w:pPr>
              <w:jc w:val="right"/>
              <w:textAlignment w:val="bottom"/>
            </w:pPr>
            <w:r>
              <w:rPr>
                <w:rFonts w:ascii="Arial" w:eastAsia="宋体" w:hAnsi="Arial" w:cs="Arial"/>
                <w:b/>
                <w:bCs/>
                <w:color w:val="000000"/>
                <w:sz w:val="15"/>
                <w:szCs w:val="15"/>
              </w:rPr>
              <w:t>3,237</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F2D3C1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C1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C13" w14:textId="77777777" w:rsidR="00E836FB" w:rsidRDefault="00994958">
            <w:pPr>
              <w:jc w:val="right"/>
              <w:textAlignment w:val="bottom"/>
            </w:pPr>
            <w:r>
              <w:rPr>
                <w:rFonts w:ascii="Arial" w:eastAsia="宋体" w:hAnsi="Arial" w:cs="Arial"/>
                <w:color w:val="000000"/>
                <w:sz w:val="15"/>
                <w:szCs w:val="15"/>
              </w:rPr>
              <w:t>3,330 </w:t>
            </w:r>
          </w:p>
        </w:tc>
        <w:tc>
          <w:tcPr>
            <w:tcW w:w="0" w:type="auto"/>
            <w:shd w:val="clear" w:color="auto" w:fill="FFFFFF"/>
            <w:tcMar>
              <w:top w:w="40" w:type="dxa"/>
              <w:left w:w="0" w:type="dxa"/>
              <w:bottom w:w="40" w:type="dxa"/>
              <w:right w:w="20" w:type="dxa"/>
            </w:tcMar>
            <w:vAlign w:val="bottom"/>
          </w:tcPr>
          <w:p w14:paraId="5F2D3C14" w14:textId="77777777" w:rsidR="00E836FB" w:rsidRDefault="00E836FB">
            <w:pPr>
              <w:jc w:val="right"/>
              <w:rPr>
                <w:rFonts w:ascii="宋体"/>
              </w:rPr>
            </w:pPr>
          </w:p>
        </w:tc>
      </w:tr>
    </w:tbl>
    <w:p w14:paraId="5F2D3C16"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736"/>
        <w:gridCol w:w="36"/>
        <w:gridCol w:w="69"/>
        <w:gridCol w:w="4390"/>
        <w:gridCol w:w="36"/>
      </w:tblGrid>
      <w:tr w:rsidR="00E836FB" w14:paraId="5F2D3C1D" w14:textId="77777777">
        <w:tc>
          <w:tcPr>
            <w:tcW w:w="50" w:type="pct"/>
            <w:shd w:val="clear" w:color="auto" w:fill="auto"/>
            <w:vAlign w:val="bottom"/>
          </w:tcPr>
          <w:p w14:paraId="5F2D3C17" w14:textId="77777777" w:rsidR="00E836FB" w:rsidRDefault="00E836FB">
            <w:pPr>
              <w:rPr>
                <w:rFonts w:ascii="宋体"/>
              </w:rPr>
            </w:pPr>
          </w:p>
        </w:tc>
        <w:tc>
          <w:tcPr>
            <w:tcW w:w="2249" w:type="pct"/>
            <w:shd w:val="clear" w:color="auto" w:fill="auto"/>
            <w:vAlign w:val="bottom"/>
          </w:tcPr>
          <w:p w14:paraId="5F2D3C18" w14:textId="77777777" w:rsidR="00E836FB" w:rsidRDefault="00E836FB">
            <w:pPr>
              <w:rPr>
                <w:rFonts w:ascii="宋体"/>
              </w:rPr>
            </w:pPr>
          </w:p>
        </w:tc>
        <w:tc>
          <w:tcPr>
            <w:tcW w:w="5" w:type="pct"/>
            <w:shd w:val="clear" w:color="auto" w:fill="auto"/>
            <w:vAlign w:val="bottom"/>
          </w:tcPr>
          <w:p w14:paraId="5F2D3C19" w14:textId="77777777" w:rsidR="00E836FB" w:rsidRDefault="00E836FB">
            <w:pPr>
              <w:rPr>
                <w:rFonts w:ascii="宋体"/>
              </w:rPr>
            </w:pPr>
          </w:p>
        </w:tc>
        <w:tc>
          <w:tcPr>
            <w:tcW w:w="50" w:type="pct"/>
            <w:shd w:val="clear" w:color="auto" w:fill="auto"/>
            <w:vAlign w:val="bottom"/>
          </w:tcPr>
          <w:p w14:paraId="5F2D3C1A" w14:textId="77777777" w:rsidR="00E836FB" w:rsidRDefault="00E836FB">
            <w:pPr>
              <w:rPr>
                <w:rFonts w:ascii="宋体"/>
              </w:rPr>
            </w:pPr>
          </w:p>
        </w:tc>
        <w:tc>
          <w:tcPr>
            <w:tcW w:w="2640" w:type="pct"/>
            <w:shd w:val="clear" w:color="auto" w:fill="auto"/>
            <w:vAlign w:val="bottom"/>
          </w:tcPr>
          <w:p w14:paraId="5F2D3C1B" w14:textId="77777777" w:rsidR="00E836FB" w:rsidRDefault="00E836FB">
            <w:pPr>
              <w:rPr>
                <w:rFonts w:ascii="宋体"/>
              </w:rPr>
            </w:pPr>
          </w:p>
        </w:tc>
        <w:tc>
          <w:tcPr>
            <w:tcW w:w="5" w:type="pct"/>
            <w:shd w:val="clear" w:color="auto" w:fill="auto"/>
            <w:vAlign w:val="bottom"/>
          </w:tcPr>
          <w:p w14:paraId="5F2D3C1C" w14:textId="77777777" w:rsidR="00E836FB" w:rsidRDefault="00E836FB">
            <w:pPr>
              <w:rPr>
                <w:rFonts w:ascii="宋体"/>
              </w:rPr>
            </w:pPr>
          </w:p>
        </w:tc>
      </w:tr>
      <w:tr w:rsidR="00E836FB" w14:paraId="5F2D3C2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C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C1F" w14:textId="77777777" w:rsidR="00E836FB" w:rsidRDefault="00E836FB">
            <w:pPr>
              <w:rPr>
                <w:rFonts w:ascii="宋体"/>
              </w:rPr>
            </w:pPr>
          </w:p>
        </w:tc>
      </w:tr>
    </w:tbl>
    <w:p w14:paraId="5F2D3C21" w14:textId="77777777" w:rsidR="00E836FB" w:rsidRDefault="00994958">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The potential losses associated with these guarantees equal the gross contractual amounts and do not consider the value of any collateral or reflect any participations to independent third parties.</w:t>
      </w:r>
    </w:p>
    <w:p w14:paraId="5F2D3C22" w14:textId="77777777" w:rsidR="00E836FB" w:rsidRDefault="00994958">
      <w:pPr>
        <w:spacing w:before="60"/>
        <w:jc w:val="both"/>
        <w:textAlignment w:val="top"/>
      </w:pPr>
      <w:r>
        <w:rPr>
          <w:rFonts w:ascii="Arial" w:eastAsia="宋体" w:hAnsi="Arial" w:cs="Arial"/>
          <w:i/>
          <w:iCs/>
          <w:color w:val="000000"/>
          <w:sz w:val="20"/>
          <w:szCs w:val="20"/>
        </w:rPr>
        <w:t>Unfunded Credit Facilities</w:t>
      </w:r>
    </w:p>
    <w:p w14:paraId="5F2D3C23" w14:textId="77777777" w:rsidR="00E836FB" w:rsidRDefault="00994958">
      <w:pPr>
        <w:spacing w:before="60"/>
        <w:ind w:firstLine="450"/>
        <w:jc w:val="both"/>
        <w:textAlignment w:val="top"/>
      </w:pPr>
      <w:r>
        <w:rPr>
          <w:rFonts w:ascii="Arial" w:eastAsia="宋体" w:hAnsi="Arial" w:cs="Arial"/>
          <w:color w:val="000000"/>
          <w:sz w:val="20"/>
          <w:szCs w:val="20"/>
        </w:rPr>
        <w:t xml:space="preserve">Unfunded credit facilities </w:t>
      </w:r>
      <w:r>
        <w:rPr>
          <w:rFonts w:ascii="Arial" w:eastAsia="宋体" w:hAnsi="Arial" w:cs="Arial"/>
          <w:color w:val="000000"/>
          <w:sz w:val="20"/>
          <w:szCs w:val="20"/>
        </w:rPr>
        <w:t>consist primarily of liquidity facilities provided to our fund and municipal counterparties, as well as commitments to purchase commercial real estate and leveraged loans that have not yet settled.</w:t>
      </w:r>
    </w:p>
    <w:p w14:paraId="5F2D3C24" w14:textId="77777777" w:rsidR="00E836FB" w:rsidRDefault="00994958">
      <w:pPr>
        <w:spacing w:before="60"/>
        <w:ind w:firstLine="450"/>
        <w:jc w:val="both"/>
        <w:textAlignment w:val="top"/>
      </w:pPr>
      <w:r>
        <w:rPr>
          <w:rFonts w:ascii="Arial" w:eastAsia="宋体" w:hAnsi="Arial" w:cs="Arial"/>
          <w:color w:val="000000"/>
          <w:sz w:val="20"/>
          <w:szCs w:val="20"/>
        </w:rPr>
        <w:t>As of December 31, 2021, approximately 76% of our unfunded</w:t>
      </w:r>
      <w:r>
        <w:rPr>
          <w:rFonts w:ascii="Arial" w:eastAsia="宋体" w:hAnsi="Arial" w:cs="Arial"/>
          <w:color w:val="000000"/>
          <w:sz w:val="20"/>
          <w:szCs w:val="20"/>
        </w:rPr>
        <w:t xml:space="preserve"> commitments to extend credit expire within one year. Since many of these commitments are expected to expire or renew without being drawn upon, the gross contractual amounts do not necessarily represent our future cash requirements.</w:t>
      </w:r>
    </w:p>
    <w:p w14:paraId="5F2D3C25" w14:textId="77777777" w:rsidR="00E836FB" w:rsidRDefault="00994958">
      <w:pPr>
        <w:spacing w:before="60"/>
        <w:jc w:val="both"/>
        <w:textAlignment w:val="top"/>
      </w:pPr>
      <w:r>
        <w:rPr>
          <w:rFonts w:ascii="Arial" w:eastAsia="宋体" w:hAnsi="Arial" w:cs="Arial"/>
          <w:i/>
          <w:iCs/>
          <w:color w:val="000000"/>
          <w:sz w:val="20"/>
          <w:szCs w:val="20"/>
        </w:rPr>
        <w:t xml:space="preserve">Indemnified Securities </w:t>
      </w:r>
      <w:r>
        <w:rPr>
          <w:rFonts w:ascii="Arial" w:eastAsia="宋体" w:hAnsi="Arial" w:cs="Arial"/>
          <w:i/>
          <w:iCs/>
          <w:color w:val="000000"/>
          <w:sz w:val="20"/>
          <w:szCs w:val="20"/>
        </w:rPr>
        <w:t>Financing</w:t>
      </w:r>
    </w:p>
    <w:p w14:paraId="5F2D3C26" w14:textId="77777777" w:rsidR="00E836FB" w:rsidRDefault="00994958">
      <w:pPr>
        <w:spacing w:before="60"/>
        <w:ind w:firstLine="450"/>
        <w:jc w:val="both"/>
        <w:textAlignment w:val="top"/>
      </w:pPr>
      <w:r>
        <w:rPr>
          <w:rFonts w:ascii="Arial" w:eastAsia="宋体" w:hAnsi="Arial" w:cs="Arial"/>
          <w:color w:val="000000"/>
          <w:sz w:val="20"/>
          <w:szCs w:val="20"/>
        </w:rPr>
        <w:t>On behalf of our clients, we lend their securities, as agent, to brokers and other institutions. In most circumstances, we indemnify our clients for the fair market value of those securities against a failure of the borrower to return such securi</w:t>
      </w:r>
      <w:r>
        <w:rPr>
          <w:rFonts w:ascii="Arial" w:eastAsia="宋体" w:hAnsi="Arial" w:cs="Arial"/>
          <w:color w:val="000000"/>
          <w:sz w:val="20"/>
          <w:szCs w:val="20"/>
        </w:rPr>
        <w:t>ties. We require the borrowers to maintain collateral in an amount in excess of 100% of the fair market value of the securities borrowed. Securities on loan and the collateral are revalued daily to determine if additional collateral is necessary or if exce</w:t>
      </w:r>
      <w:r>
        <w:rPr>
          <w:rFonts w:ascii="Arial" w:eastAsia="宋体" w:hAnsi="Arial" w:cs="Arial"/>
          <w:color w:val="000000"/>
          <w:sz w:val="20"/>
          <w:szCs w:val="20"/>
        </w:rPr>
        <w:t>ss collateral is required to be returned to the borrower. Collateral received in connection with our securities lending services is held by us as agent and is not recorded in our consolidated statement of condition.</w:t>
      </w:r>
    </w:p>
    <w:p w14:paraId="5F2D3C27" w14:textId="77777777" w:rsidR="00E836FB" w:rsidRDefault="00994958">
      <w:pPr>
        <w:spacing w:before="60"/>
        <w:ind w:firstLine="450"/>
        <w:jc w:val="both"/>
        <w:textAlignment w:val="top"/>
      </w:pPr>
      <w:r>
        <w:rPr>
          <w:rFonts w:ascii="Arial" w:eastAsia="宋体" w:hAnsi="Arial" w:cs="Arial"/>
          <w:color w:val="000000"/>
          <w:sz w:val="20"/>
          <w:szCs w:val="20"/>
        </w:rPr>
        <w:t xml:space="preserve">The cash collateral held by us as agent </w:t>
      </w:r>
      <w:r>
        <w:rPr>
          <w:rFonts w:ascii="Arial" w:eastAsia="宋体" w:hAnsi="Arial" w:cs="Arial"/>
          <w:color w:val="000000"/>
          <w:sz w:val="20"/>
          <w:szCs w:val="20"/>
        </w:rPr>
        <w:t>is invested on behalf of our clients. In certain cases, the cash collateral is invested in third-party repurchase agreements, for which we indemnify the client against the loss of the principal invested. We require the counterparty to the indemnified repur</w:t>
      </w:r>
      <w:r>
        <w:rPr>
          <w:rFonts w:ascii="Arial" w:eastAsia="宋体" w:hAnsi="Arial" w:cs="Arial"/>
          <w:color w:val="000000"/>
          <w:sz w:val="20"/>
          <w:szCs w:val="20"/>
        </w:rPr>
        <w:t>chase agreement to provide collateral in an amount in excess of 100% of the amount of the repurchase agreement. In our role as agent, the indemnified repurchase agreements and the related collateral held by us are not recorded in our consolidated statement</w:t>
      </w:r>
      <w:r>
        <w:rPr>
          <w:rFonts w:ascii="Arial" w:eastAsia="宋体" w:hAnsi="Arial" w:cs="Arial"/>
          <w:color w:val="000000"/>
          <w:sz w:val="20"/>
          <w:szCs w:val="20"/>
        </w:rPr>
        <w:t xml:space="preserve"> of condition.</w:t>
      </w:r>
    </w:p>
    <w:p w14:paraId="5F2D3C28" w14:textId="77777777" w:rsidR="00E836FB" w:rsidRDefault="00994958">
      <w:pPr>
        <w:spacing w:before="60"/>
        <w:ind w:firstLine="450"/>
        <w:jc w:val="both"/>
        <w:textAlignment w:val="top"/>
      </w:pPr>
      <w:r>
        <w:rPr>
          <w:rFonts w:ascii="Arial" w:eastAsia="宋体" w:hAnsi="Arial" w:cs="Arial"/>
          <w:color w:val="000000"/>
          <w:sz w:val="20"/>
          <w:szCs w:val="20"/>
        </w:rPr>
        <w:t>The following table summarizes the aggregate fair values of indemnified securities financing and related collateral, as well as collateral invested in indemnified repurchase agreements,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935"/>
        <w:gridCol w:w="37"/>
        <w:gridCol w:w="105"/>
        <w:gridCol w:w="1943"/>
        <w:gridCol w:w="36"/>
        <w:gridCol w:w="36"/>
        <w:gridCol w:w="77"/>
        <w:gridCol w:w="36"/>
        <w:gridCol w:w="105"/>
        <w:gridCol w:w="1943"/>
        <w:gridCol w:w="36"/>
      </w:tblGrid>
      <w:tr w:rsidR="00E836FB" w14:paraId="5F2D3C35" w14:textId="77777777">
        <w:tc>
          <w:tcPr>
            <w:tcW w:w="50" w:type="pct"/>
            <w:shd w:val="clear" w:color="auto" w:fill="auto"/>
            <w:vAlign w:val="bottom"/>
          </w:tcPr>
          <w:p w14:paraId="5F2D3C29" w14:textId="77777777" w:rsidR="00E836FB" w:rsidRDefault="00E836FB">
            <w:pPr>
              <w:rPr>
                <w:rFonts w:ascii="宋体"/>
              </w:rPr>
            </w:pPr>
          </w:p>
        </w:tc>
        <w:tc>
          <w:tcPr>
            <w:tcW w:w="2382" w:type="pct"/>
            <w:shd w:val="clear" w:color="auto" w:fill="auto"/>
            <w:vAlign w:val="bottom"/>
          </w:tcPr>
          <w:p w14:paraId="5F2D3C2A" w14:textId="77777777" w:rsidR="00E836FB" w:rsidRDefault="00E836FB">
            <w:pPr>
              <w:rPr>
                <w:rFonts w:ascii="宋体"/>
              </w:rPr>
            </w:pPr>
          </w:p>
        </w:tc>
        <w:tc>
          <w:tcPr>
            <w:tcW w:w="5" w:type="pct"/>
            <w:shd w:val="clear" w:color="auto" w:fill="auto"/>
            <w:vAlign w:val="bottom"/>
          </w:tcPr>
          <w:p w14:paraId="5F2D3C2B" w14:textId="77777777" w:rsidR="00E836FB" w:rsidRDefault="00E836FB">
            <w:pPr>
              <w:rPr>
                <w:rFonts w:ascii="宋体"/>
              </w:rPr>
            </w:pPr>
          </w:p>
        </w:tc>
        <w:tc>
          <w:tcPr>
            <w:tcW w:w="50" w:type="pct"/>
            <w:shd w:val="clear" w:color="auto" w:fill="auto"/>
            <w:vAlign w:val="bottom"/>
          </w:tcPr>
          <w:p w14:paraId="5F2D3C2C" w14:textId="77777777" w:rsidR="00E836FB" w:rsidRDefault="00E836FB">
            <w:pPr>
              <w:rPr>
                <w:rFonts w:ascii="宋体"/>
              </w:rPr>
            </w:pPr>
          </w:p>
        </w:tc>
        <w:tc>
          <w:tcPr>
            <w:tcW w:w="1187" w:type="pct"/>
            <w:shd w:val="clear" w:color="auto" w:fill="auto"/>
            <w:vAlign w:val="bottom"/>
          </w:tcPr>
          <w:p w14:paraId="5F2D3C2D" w14:textId="77777777" w:rsidR="00E836FB" w:rsidRDefault="00E836FB">
            <w:pPr>
              <w:rPr>
                <w:rFonts w:ascii="宋体"/>
              </w:rPr>
            </w:pPr>
          </w:p>
        </w:tc>
        <w:tc>
          <w:tcPr>
            <w:tcW w:w="5" w:type="pct"/>
            <w:shd w:val="clear" w:color="auto" w:fill="auto"/>
            <w:vAlign w:val="bottom"/>
          </w:tcPr>
          <w:p w14:paraId="5F2D3C2E" w14:textId="77777777" w:rsidR="00E836FB" w:rsidRDefault="00E836FB">
            <w:pPr>
              <w:rPr>
                <w:rFonts w:ascii="宋体"/>
              </w:rPr>
            </w:pPr>
          </w:p>
        </w:tc>
        <w:tc>
          <w:tcPr>
            <w:tcW w:w="5" w:type="pct"/>
            <w:shd w:val="clear" w:color="auto" w:fill="auto"/>
            <w:vAlign w:val="bottom"/>
          </w:tcPr>
          <w:p w14:paraId="5F2D3C2F" w14:textId="77777777" w:rsidR="00E836FB" w:rsidRDefault="00E836FB">
            <w:pPr>
              <w:rPr>
                <w:rFonts w:ascii="宋体"/>
              </w:rPr>
            </w:pPr>
          </w:p>
        </w:tc>
        <w:tc>
          <w:tcPr>
            <w:tcW w:w="68" w:type="pct"/>
            <w:shd w:val="clear" w:color="auto" w:fill="auto"/>
            <w:vAlign w:val="bottom"/>
          </w:tcPr>
          <w:p w14:paraId="5F2D3C30" w14:textId="77777777" w:rsidR="00E836FB" w:rsidRDefault="00E836FB">
            <w:pPr>
              <w:rPr>
                <w:rFonts w:ascii="宋体"/>
              </w:rPr>
            </w:pPr>
          </w:p>
        </w:tc>
        <w:tc>
          <w:tcPr>
            <w:tcW w:w="5" w:type="pct"/>
            <w:shd w:val="clear" w:color="auto" w:fill="auto"/>
            <w:vAlign w:val="bottom"/>
          </w:tcPr>
          <w:p w14:paraId="5F2D3C31" w14:textId="77777777" w:rsidR="00E836FB" w:rsidRDefault="00E836FB">
            <w:pPr>
              <w:rPr>
                <w:rFonts w:ascii="宋体"/>
              </w:rPr>
            </w:pPr>
          </w:p>
        </w:tc>
        <w:tc>
          <w:tcPr>
            <w:tcW w:w="50" w:type="pct"/>
            <w:shd w:val="clear" w:color="auto" w:fill="auto"/>
            <w:vAlign w:val="bottom"/>
          </w:tcPr>
          <w:p w14:paraId="5F2D3C32" w14:textId="77777777" w:rsidR="00E836FB" w:rsidRDefault="00E836FB">
            <w:pPr>
              <w:rPr>
                <w:rFonts w:ascii="宋体"/>
              </w:rPr>
            </w:pPr>
          </w:p>
        </w:tc>
        <w:tc>
          <w:tcPr>
            <w:tcW w:w="1187" w:type="pct"/>
            <w:shd w:val="clear" w:color="auto" w:fill="auto"/>
            <w:vAlign w:val="bottom"/>
          </w:tcPr>
          <w:p w14:paraId="5F2D3C33" w14:textId="77777777" w:rsidR="00E836FB" w:rsidRDefault="00E836FB">
            <w:pPr>
              <w:rPr>
                <w:rFonts w:ascii="宋体"/>
              </w:rPr>
            </w:pPr>
          </w:p>
        </w:tc>
        <w:tc>
          <w:tcPr>
            <w:tcW w:w="5" w:type="pct"/>
            <w:shd w:val="clear" w:color="auto" w:fill="auto"/>
            <w:vAlign w:val="bottom"/>
          </w:tcPr>
          <w:p w14:paraId="5F2D3C34" w14:textId="77777777" w:rsidR="00E836FB" w:rsidRDefault="00E836FB">
            <w:pPr>
              <w:rPr>
                <w:rFonts w:ascii="宋体"/>
              </w:rPr>
            </w:pPr>
          </w:p>
        </w:tc>
      </w:tr>
      <w:tr w:rsidR="00E836FB" w14:paraId="5F2D3C3A" w14:textId="77777777">
        <w:tc>
          <w:tcPr>
            <w:tcW w:w="0" w:type="auto"/>
            <w:gridSpan w:val="3"/>
            <w:shd w:val="clear" w:color="auto" w:fill="auto"/>
            <w:tcMar>
              <w:top w:w="40" w:type="dxa"/>
              <w:left w:w="20" w:type="dxa"/>
              <w:bottom w:w="40" w:type="dxa"/>
              <w:right w:w="20" w:type="dxa"/>
            </w:tcMar>
            <w:vAlign w:val="bottom"/>
          </w:tcPr>
          <w:p w14:paraId="5F2D3C36" w14:textId="77777777" w:rsidR="00E836FB" w:rsidRDefault="00994958">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shd w:val="clear" w:color="auto" w:fill="auto"/>
            <w:tcMar>
              <w:top w:w="40" w:type="dxa"/>
              <w:left w:w="20" w:type="dxa"/>
              <w:bottom w:w="40" w:type="dxa"/>
              <w:right w:w="20" w:type="dxa"/>
            </w:tcMar>
            <w:vAlign w:val="bottom"/>
          </w:tcPr>
          <w:p w14:paraId="5F2D3C37" w14:textId="77777777" w:rsidR="00E836FB" w:rsidRDefault="00994958">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5F2D3C3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39" w14:textId="77777777" w:rsidR="00E836FB" w:rsidRDefault="00994958">
            <w:pPr>
              <w:jc w:val="center"/>
              <w:textAlignment w:val="bottom"/>
            </w:pPr>
            <w:r>
              <w:rPr>
                <w:rFonts w:ascii="Arial" w:eastAsia="宋体" w:hAnsi="Arial" w:cs="Arial"/>
                <w:b/>
                <w:bCs/>
                <w:color w:val="000000"/>
                <w:sz w:val="15"/>
                <w:szCs w:val="15"/>
              </w:rPr>
              <w:t>December 31, 2020</w:t>
            </w:r>
          </w:p>
        </w:tc>
      </w:tr>
      <w:tr w:rsidR="00E836FB" w14:paraId="5F2D3C43" w14:textId="77777777">
        <w:tc>
          <w:tcPr>
            <w:tcW w:w="0" w:type="auto"/>
            <w:gridSpan w:val="3"/>
            <w:shd w:val="clear" w:color="auto" w:fill="CCEEFF"/>
            <w:tcMar>
              <w:top w:w="40" w:type="dxa"/>
              <w:left w:w="20" w:type="dxa"/>
              <w:bottom w:w="40" w:type="dxa"/>
              <w:right w:w="20" w:type="dxa"/>
            </w:tcMar>
            <w:vAlign w:val="bottom"/>
          </w:tcPr>
          <w:p w14:paraId="5F2D3C3B" w14:textId="77777777" w:rsidR="00E836FB" w:rsidRDefault="00994958">
            <w:pPr>
              <w:textAlignment w:val="bottom"/>
            </w:pPr>
            <w:r>
              <w:rPr>
                <w:rFonts w:ascii="Arial" w:eastAsia="宋体" w:hAnsi="Arial" w:cs="Arial"/>
                <w:color w:val="000000"/>
                <w:sz w:val="15"/>
                <w:szCs w:val="15"/>
              </w:rPr>
              <w:t>Fair value of 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3C3C"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C3D" w14:textId="77777777" w:rsidR="00E836FB" w:rsidRDefault="00994958">
            <w:pPr>
              <w:jc w:val="right"/>
              <w:textAlignment w:val="bottom"/>
            </w:pPr>
            <w:r>
              <w:rPr>
                <w:rFonts w:ascii="Arial" w:eastAsia="宋体" w:hAnsi="Arial" w:cs="Arial"/>
                <w:b/>
                <w:bCs/>
                <w:color w:val="000000"/>
                <w:sz w:val="15"/>
                <w:szCs w:val="15"/>
              </w:rPr>
              <w:t>385,740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C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C3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C40"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C41" w14:textId="77777777" w:rsidR="00E836FB" w:rsidRDefault="00994958">
            <w:pPr>
              <w:jc w:val="right"/>
              <w:textAlignment w:val="bottom"/>
            </w:pPr>
            <w:r>
              <w:rPr>
                <w:rFonts w:ascii="Arial" w:eastAsia="宋体" w:hAnsi="Arial" w:cs="Arial"/>
                <w:color w:val="000000"/>
                <w:sz w:val="15"/>
                <w:szCs w:val="15"/>
              </w:rPr>
              <w:t>440,875 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C42" w14:textId="77777777" w:rsidR="00E836FB" w:rsidRDefault="00E836FB">
            <w:pPr>
              <w:jc w:val="right"/>
              <w:rPr>
                <w:rFonts w:ascii="宋体"/>
              </w:rPr>
            </w:pPr>
          </w:p>
        </w:tc>
      </w:tr>
      <w:tr w:rsidR="00E836FB" w14:paraId="5F2D3C4A" w14:textId="77777777">
        <w:tc>
          <w:tcPr>
            <w:tcW w:w="0" w:type="auto"/>
            <w:gridSpan w:val="3"/>
            <w:shd w:val="clear" w:color="auto" w:fill="FFFFFF"/>
            <w:tcMar>
              <w:top w:w="40" w:type="dxa"/>
              <w:left w:w="20" w:type="dxa"/>
              <w:bottom w:w="40" w:type="dxa"/>
              <w:right w:w="20" w:type="dxa"/>
            </w:tcMar>
            <w:vAlign w:val="bottom"/>
          </w:tcPr>
          <w:p w14:paraId="5F2D3C44" w14:textId="77777777" w:rsidR="00E836FB" w:rsidRDefault="00994958">
            <w:pPr>
              <w:textAlignment w:val="bottom"/>
            </w:pPr>
            <w:r>
              <w:rPr>
                <w:rFonts w:ascii="Arial" w:eastAsia="宋体" w:hAnsi="Arial" w:cs="Arial"/>
                <w:color w:val="000000"/>
                <w:sz w:val="15"/>
                <w:szCs w:val="15"/>
              </w:rPr>
              <w:t>Fair value of cash and securities held by us, as agent, as collateral for indemnified securities financing</w:t>
            </w:r>
          </w:p>
        </w:tc>
        <w:tc>
          <w:tcPr>
            <w:tcW w:w="0" w:type="auto"/>
            <w:gridSpan w:val="2"/>
            <w:shd w:val="clear" w:color="auto" w:fill="FFFFFF"/>
            <w:tcMar>
              <w:top w:w="40" w:type="dxa"/>
              <w:left w:w="20" w:type="dxa"/>
              <w:bottom w:w="40" w:type="dxa"/>
              <w:right w:w="0" w:type="dxa"/>
            </w:tcMar>
            <w:vAlign w:val="bottom"/>
          </w:tcPr>
          <w:p w14:paraId="5F2D3C45" w14:textId="77777777" w:rsidR="00E836FB" w:rsidRDefault="00994958">
            <w:pPr>
              <w:jc w:val="right"/>
              <w:textAlignment w:val="bottom"/>
            </w:pPr>
            <w:r>
              <w:rPr>
                <w:rFonts w:ascii="Arial" w:eastAsia="宋体" w:hAnsi="Arial" w:cs="Arial"/>
                <w:b/>
                <w:bCs/>
                <w:color w:val="000000"/>
                <w:sz w:val="15"/>
                <w:szCs w:val="15"/>
              </w:rPr>
              <w:t>404,121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C4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C4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C48" w14:textId="77777777" w:rsidR="00E836FB" w:rsidRDefault="00994958">
            <w:pPr>
              <w:jc w:val="right"/>
              <w:textAlignment w:val="bottom"/>
            </w:pPr>
            <w:r>
              <w:rPr>
                <w:rFonts w:ascii="Arial" w:eastAsia="宋体" w:hAnsi="Arial" w:cs="Arial"/>
                <w:color w:val="000000"/>
                <w:sz w:val="15"/>
                <w:szCs w:val="15"/>
              </w:rPr>
              <w:t>463,273 </w:t>
            </w:r>
          </w:p>
        </w:tc>
        <w:tc>
          <w:tcPr>
            <w:tcW w:w="0" w:type="auto"/>
            <w:shd w:val="clear" w:color="auto" w:fill="FFFFFF"/>
            <w:tcMar>
              <w:top w:w="40" w:type="dxa"/>
              <w:left w:w="0" w:type="dxa"/>
              <w:bottom w:w="40" w:type="dxa"/>
              <w:right w:w="20" w:type="dxa"/>
            </w:tcMar>
            <w:vAlign w:val="bottom"/>
          </w:tcPr>
          <w:p w14:paraId="5F2D3C49" w14:textId="77777777" w:rsidR="00E836FB" w:rsidRDefault="00E836FB">
            <w:pPr>
              <w:jc w:val="right"/>
              <w:rPr>
                <w:rFonts w:ascii="宋体"/>
              </w:rPr>
            </w:pPr>
          </w:p>
        </w:tc>
      </w:tr>
      <w:tr w:rsidR="00E836FB" w14:paraId="5F2D3C51" w14:textId="77777777">
        <w:tc>
          <w:tcPr>
            <w:tcW w:w="0" w:type="auto"/>
            <w:gridSpan w:val="3"/>
            <w:shd w:val="clear" w:color="auto" w:fill="CCEEFF"/>
            <w:tcMar>
              <w:top w:w="40" w:type="dxa"/>
              <w:left w:w="20" w:type="dxa"/>
              <w:bottom w:w="40" w:type="dxa"/>
              <w:right w:w="20" w:type="dxa"/>
            </w:tcMar>
            <w:vAlign w:val="bottom"/>
          </w:tcPr>
          <w:p w14:paraId="5F2D3C4B" w14:textId="77777777" w:rsidR="00E836FB" w:rsidRDefault="00994958">
            <w:pPr>
              <w:textAlignment w:val="bottom"/>
            </w:pPr>
            <w:r>
              <w:rPr>
                <w:rFonts w:ascii="Arial" w:eastAsia="宋体" w:hAnsi="Arial" w:cs="Arial"/>
                <w:color w:val="000000"/>
                <w:sz w:val="15"/>
                <w:szCs w:val="15"/>
              </w:rPr>
              <w:t>Fair value of collateral for indemnified securities financing invested in indemnified repurchase agreements</w:t>
            </w:r>
          </w:p>
        </w:tc>
        <w:tc>
          <w:tcPr>
            <w:tcW w:w="0" w:type="auto"/>
            <w:gridSpan w:val="2"/>
            <w:shd w:val="clear" w:color="auto" w:fill="CCEEFF"/>
            <w:tcMar>
              <w:top w:w="40" w:type="dxa"/>
              <w:left w:w="20" w:type="dxa"/>
              <w:bottom w:w="40" w:type="dxa"/>
              <w:right w:w="0" w:type="dxa"/>
            </w:tcMar>
            <w:vAlign w:val="bottom"/>
          </w:tcPr>
          <w:p w14:paraId="5F2D3C4C" w14:textId="77777777" w:rsidR="00E836FB" w:rsidRDefault="00994958">
            <w:pPr>
              <w:jc w:val="right"/>
              <w:textAlignment w:val="bottom"/>
            </w:pPr>
            <w:r>
              <w:rPr>
                <w:rFonts w:ascii="Arial" w:eastAsia="宋体" w:hAnsi="Arial" w:cs="Arial"/>
                <w:b/>
                <w:bCs/>
                <w:color w:val="000000"/>
                <w:sz w:val="15"/>
                <w:szCs w:val="15"/>
              </w:rPr>
              <w:t>61,560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C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C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C4F" w14:textId="77777777" w:rsidR="00E836FB" w:rsidRDefault="00994958">
            <w:pPr>
              <w:jc w:val="right"/>
              <w:textAlignment w:val="bottom"/>
            </w:pPr>
            <w:r>
              <w:rPr>
                <w:rFonts w:ascii="Arial" w:eastAsia="宋体" w:hAnsi="Arial" w:cs="Arial"/>
                <w:color w:val="000000"/>
                <w:sz w:val="15"/>
                <w:szCs w:val="15"/>
              </w:rPr>
              <w:t>54,432 </w:t>
            </w:r>
          </w:p>
        </w:tc>
        <w:tc>
          <w:tcPr>
            <w:tcW w:w="0" w:type="auto"/>
            <w:shd w:val="clear" w:color="auto" w:fill="CCEEFF"/>
            <w:tcMar>
              <w:top w:w="40" w:type="dxa"/>
              <w:left w:w="0" w:type="dxa"/>
              <w:bottom w:w="40" w:type="dxa"/>
              <w:right w:w="20" w:type="dxa"/>
            </w:tcMar>
            <w:vAlign w:val="bottom"/>
          </w:tcPr>
          <w:p w14:paraId="5F2D3C50" w14:textId="77777777" w:rsidR="00E836FB" w:rsidRDefault="00E836FB">
            <w:pPr>
              <w:jc w:val="right"/>
              <w:rPr>
                <w:rFonts w:ascii="宋体"/>
              </w:rPr>
            </w:pPr>
          </w:p>
        </w:tc>
      </w:tr>
      <w:tr w:rsidR="00E836FB" w14:paraId="5F2D3C58" w14:textId="77777777">
        <w:tc>
          <w:tcPr>
            <w:tcW w:w="0" w:type="auto"/>
            <w:gridSpan w:val="3"/>
            <w:shd w:val="clear" w:color="auto" w:fill="FFFFFF"/>
            <w:tcMar>
              <w:top w:w="40" w:type="dxa"/>
              <w:left w:w="20" w:type="dxa"/>
              <w:bottom w:w="40" w:type="dxa"/>
              <w:right w:w="20" w:type="dxa"/>
            </w:tcMar>
            <w:vAlign w:val="bottom"/>
          </w:tcPr>
          <w:p w14:paraId="5F2D3C52" w14:textId="77777777" w:rsidR="00E836FB" w:rsidRDefault="00994958">
            <w:pPr>
              <w:textAlignment w:val="bottom"/>
            </w:pPr>
            <w:r>
              <w:rPr>
                <w:rFonts w:ascii="Arial" w:eastAsia="宋体" w:hAnsi="Arial" w:cs="Arial"/>
                <w:color w:val="000000"/>
                <w:sz w:val="15"/>
                <w:szCs w:val="15"/>
              </w:rPr>
              <w:t xml:space="preserve">Fair value of cash and securities held by us or our agents as collateral for investments in indemnified repurchase </w:t>
            </w:r>
            <w:r>
              <w:rPr>
                <w:rFonts w:ascii="Arial" w:eastAsia="宋体" w:hAnsi="Arial" w:cs="Arial"/>
                <w:color w:val="000000"/>
                <w:sz w:val="15"/>
                <w:szCs w:val="15"/>
              </w:rPr>
              <w:t>agreements</w:t>
            </w:r>
          </w:p>
        </w:tc>
        <w:tc>
          <w:tcPr>
            <w:tcW w:w="0" w:type="auto"/>
            <w:gridSpan w:val="2"/>
            <w:shd w:val="clear" w:color="auto" w:fill="FFFFFF"/>
            <w:tcMar>
              <w:top w:w="40" w:type="dxa"/>
              <w:left w:w="20" w:type="dxa"/>
              <w:bottom w:w="40" w:type="dxa"/>
              <w:right w:w="0" w:type="dxa"/>
            </w:tcMar>
            <w:vAlign w:val="bottom"/>
          </w:tcPr>
          <w:p w14:paraId="5F2D3C53" w14:textId="77777777" w:rsidR="00E836FB" w:rsidRDefault="00994958">
            <w:pPr>
              <w:jc w:val="right"/>
              <w:textAlignment w:val="bottom"/>
            </w:pPr>
            <w:r>
              <w:rPr>
                <w:rFonts w:ascii="Arial" w:eastAsia="宋体" w:hAnsi="Arial" w:cs="Arial"/>
                <w:b/>
                <w:bCs/>
                <w:color w:val="000000"/>
                <w:sz w:val="15"/>
                <w:szCs w:val="15"/>
              </w:rPr>
              <w:t>67,014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C5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C5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C56" w14:textId="77777777" w:rsidR="00E836FB" w:rsidRDefault="00994958">
            <w:pPr>
              <w:jc w:val="right"/>
              <w:textAlignment w:val="bottom"/>
            </w:pPr>
            <w:r>
              <w:rPr>
                <w:rFonts w:ascii="Arial" w:eastAsia="宋体" w:hAnsi="Arial" w:cs="Arial"/>
                <w:color w:val="000000"/>
                <w:sz w:val="15"/>
                <w:szCs w:val="15"/>
              </w:rPr>
              <w:t>58,092 </w:t>
            </w:r>
          </w:p>
        </w:tc>
        <w:tc>
          <w:tcPr>
            <w:tcW w:w="0" w:type="auto"/>
            <w:shd w:val="clear" w:color="auto" w:fill="FFFFFF"/>
            <w:tcMar>
              <w:top w:w="40" w:type="dxa"/>
              <w:left w:w="0" w:type="dxa"/>
              <w:bottom w:w="40" w:type="dxa"/>
              <w:right w:w="20" w:type="dxa"/>
            </w:tcMar>
            <w:vAlign w:val="bottom"/>
          </w:tcPr>
          <w:p w14:paraId="5F2D3C57" w14:textId="77777777" w:rsidR="00E836FB" w:rsidRDefault="00E836FB">
            <w:pPr>
              <w:jc w:val="right"/>
              <w:rPr>
                <w:rFonts w:ascii="宋体"/>
              </w:rPr>
            </w:pPr>
          </w:p>
        </w:tc>
      </w:tr>
    </w:tbl>
    <w:p w14:paraId="5F2D3C59" w14:textId="77777777" w:rsidR="00E836FB" w:rsidRDefault="00994958">
      <w:pPr>
        <w:ind w:firstLine="450"/>
        <w:jc w:val="both"/>
        <w:textAlignment w:val="top"/>
      </w:pPr>
      <w:r>
        <w:rPr>
          <w:rFonts w:ascii="Arial" w:eastAsia="宋体" w:hAnsi="Arial" w:cs="Arial"/>
          <w:color w:val="000000"/>
          <w:sz w:val="20"/>
          <w:szCs w:val="20"/>
        </w:rPr>
        <w:t xml:space="preserve">In certain cases, we participate in securities finance transactions as a principal. As a principal, we borrow securities from the lending client and then lend such securities to the subsequent borrower, either our </w:t>
      </w:r>
      <w:r>
        <w:rPr>
          <w:rFonts w:ascii="Arial" w:eastAsia="宋体" w:hAnsi="Arial" w:cs="Arial"/>
          <w:color w:val="000000"/>
          <w:sz w:val="20"/>
          <w:szCs w:val="20"/>
        </w:rPr>
        <w:t>client or a broker/dealer. Our right to receive and obligation to return collateral in connection with our securities lending transactions are recorded in other assets and other liabilities, respectively, in our consolidated statement of condition. As of D</w:t>
      </w:r>
      <w:r>
        <w:rPr>
          <w:rFonts w:ascii="Arial" w:eastAsia="宋体" w:hAnsi="Arial" w:cs="Arial"/>
          <w:color w:val="000000"/>
          <w:sz w:val="20"/>
          <w:szCs w:val="20"/>
        </w:rPr>
        <w:t>ecember 31, 2021 and December 31, 2020, we had approximately $22.30 billion and $18.33 billion, respectively, of collateral provided and approximately $4.04 billion and $9.36 billion, respectively, of collateral received from clients in connection with our</w:t>
      </w:r>
      <w:r>
        <w:rPr>
          <w:rFonts w:ascii="Arial" w:eastAsia="宋体" w:hAnsi="Arial" w:cs="Arial"/>
          <w:color w:val="000000"/>
          <w:sz w:val="20"/>
          <w:szCs w:val="20"/>
        </w:rPr>
        <w:t xml:space="preserve"> participation in principal securities finance transactions.</w:t>
      </w:r>
    </w:p>
    <w:p w14:paraId="5F2D3C5A" w14:textId="77777777" w:rsidR="00E836FB" w:rsidRDefault="00994958">
      <w:pPr>
        <w:spacing w:before="60"/>
        <w:jc w:val="both"/>
        <w:textAlignment w:val="top"/>
      </w:pPr>
      <w:r>
        <w:rPr>
          <w:rFonts w:ascii="Arial" w:eastAsia="宋体" w:hAnsi="Arial" w:cs="Arial"/>
          <w:i/>
          <w:iCs/>
          <w:color w:val="000000"/>
          <w:sz w:val="20"/>
          <w:szCs w:val="20"/>
        </w:rPr>
        <w:t>Stable Value Protection</w:t>
      </w:r>
    </w:p>
    <w:p w14:paraId="5F2D3C5B" w14:textId="77777777" w:rsidR="00E836FB" w:rsidRDefault="00994958">
      <w:pPr>
        <w:spacing w:before="60"/>
        <w:ind w:firstLine="450"/>
        <w:jc w:val="both"/>
        <w:textAlignment w:val="top"/>
      </w:pPr>
      <w:r>
        <w:rPr>
          <w:rFonts w:ascii="Arial" w:eastAsia="宋体" w:hAnsi="Arial" w:cs="Arial"/>
          <w:color w:val="000000"/>
          <w:sz w:val="20"/>
          <w:szCs w:val="20"/>
        </w:rPr>
        <w:t xml:space="preserve">Stable value funds wrapped by us are high quality diversified portfolios of short intermediate duration fixed-income investments. Stable value contracts are </w:t>
      </w:r>
      <w:r>
        <w:rPr>
          <w:rFonts w:ascii="Arial" w:eastAsia="宋体" w:hAnsi="Arial" w:cs="Arial"/>
          <w:color w:val="000000"/>
          <w:sz w:val="20"/>
          <w:szCs w:val="20"/>
        </w:rPr>
        <w:t>derivative contracts that also qualify as guarantees. The notional amount under non-hedging derivatives, provided in Note 10, generally represents our maximum exposure under these derivatives contracts. However, exposure to various stable value contracts i</w:t>
      </w:r>
      <w:r>
        <w:rPr>
          <w:rFonts w:ascii="Arial" w:eastAsia="宋体" w:hAnsi="Arial" w:cs="Arial"/>
          <w:color w:val="000000"/>
          <w:sz w:val="20"/>
          <w:szCs w:val="20"/>
        </w:rPr>
        <w:t>s contractually limited to substantially lower amounts than the notional values, which represent the total assets of the stable value funds.</w:t>
      </w:r>
    </w:p>
    <w:p w14:paraId="5F2D3C5C" w14:textId="77777777" w:rsidR="00E836FB" w:rsidRDefault="00994958">
      <w:pPr>
        <w:spacing w:before="60"/>
        <w:jc w:val="both"/>
        <w:textAlignment w:val="top"/>
      </w:pPr>
      <w:r>
        <w:rPr>
          <w:rFonts w:ascii="Arial" w:eastAsia="宋体" w:hAnsi="Arial" w:cs="Arial"/>
          <w:i/>
          <w:iCs/>
          <w:color w:val="000000"/>
          <w:sz w:val="20"/>
          <w:szCs w:val="20"/>
        </w:rPr>
        <w:t>Standby Letters of Credit</w:t>
      </w:r>
    </w:p>
    <w:p w14:paraId="5F2D3C5D" w14:textId="77777777" w:rsidR="00E836FB" w:rsidRDefault="00994958">
      <w:pPr>
        <w:spacing w:before="60"/>
        <w:ind w:firstLine="450"/>
        <w:jc w:val="both"/>
        <w:textAlignment w:val="top"/>
      </w:pPr>
      <w:r>
        <w:rPr>
          <w:rFonts w:ascii="Arial" w:eastAsia="宋体" w:hAnsi="Arial" w:cs="Arial"/>
          <w:color w:val="000000"/>
          <w:sz w:val="20"/>
          <w:szCs w:val="20"/>
        </w:rPr>
        <w:t xml:space="preserve">Standby letters of credit provide credit enhancement to our municipal clients to support </w:t>
      </w:r>
      <w:r>
        <w:rPr>
          <w:rFonts w:ascii="Arial" w:eastAsia="宋体" w:hAnsi="Arial" w:cs="Arial"/>
          <w:color w:val="000000"/>
          <w:sz w:val="20"/>
          <w:szCs w:val="20"/>
        </w:rPr>
        <w:t>the issuance of capital markets financing.</w:t>
      </w:r>
    </w:p>
    <w:p w14:paraId="5F2D3C5E" w14:textId="77777777" w:rsidR="00E836FB" w:rsidRDefault="00994958">
      <w:pPr>
        <w:spacing w:before="60"/>
        <w:jc w:val="both"/>
        <w:textAlignment w:val="top"/>
      </w:pPr>
      <w:r>
        <w:rPr>
          <w:rFonts w:ascii="Arial" w:eastAsia="宋体" w:hAnsi="Arial" w:cs="Arial"/>
          <w:i/>
          <w:iCs/>
          <w:color w:val="000000"/>
          <w:sz w:val="20"/>
          <w:szCs w:val="20"/>
        </w:rPr>
        <w:t>FICC Guarantee</w:t>
      </w:r>
    </w:p>
    <w:p w14:paraId="5F2D3C5F" w14:textId="77777777" w:rsidR="00E836FB" w:rsidRDefault="00994958">
      <w:pPr>
        <w:spacing w:before="60"/>
        <w:ind w:firstLine="450"/>
        <w:jc w:val="both"/>
        <w:textAlignment w:val="top"/>
      </w:pPr>
      <w:r>
        <w:rPr>
          <w:rFonts w:ascii="Arial" w:eastAsia="宋体" w:hAnsi="Arial" w:cs="Arial"/>
          <w:color w:val="000000"/>
          <w:sz w:val="20"/>
          <w:szCs w:val="20"/>
        </w:rPr>
        <w:t>As a sponsoring member in the FICC member program, we provide a guarantee to FICC in the event a customer fails to perform its obligations under a transaction. In order to minimize the risk associat</w:t>
      </w:r>
      <w:r>
        <w:rPr>
          <w:rFonts w:ascii="Arial" w:eastAsia="宋体" w:hAnsi="Arial" w:cs="Arial"/>
          <w:color w:val="000000"/>
          <w:sz w:val="20"/>
          <w:szCs w:val="20"/>
        </w:rPr>
        <w:t xml:space="preserve">ed with this guarantee, sponsored members acting as </w:t>
      </w:r>
    </w:p>
    <w:p w14:paraId="5F2D3C60" w14:textId="77777777" w:rsidR="00E836FB" w:rsidRDefault="00994958">
      <w:pPr>
        <w:ind w:firstLine="450"/>
        <w:jc w:val="right"/>
      </w:pPr>
      <w:r>
        <w:rPr>
          <w:rFonts w:ascii="Arial" w:eastAsia="宋体" w:hAnsi="Arial" w:cs="Arial"/>
          <w:color w:val="000000"/>
          <w:sz w:val="18"/>
          <w:szCs w:val="18"/>
        </w:rPr>
        <w:t>State Street Corporation | 165</w:t>
      </w:r>
    </w:p>
    <w:p w14:paraId="5F2D3C61" w14:textId="77777777" w:rsidR="00E836FB" w:rsidRDefault="00E836FB">
      <w:pPr>
        <w:ind w:firstLine="450"/>
        <w:jc w:val="center"/>
      </w:pPr>
    </w:p>
    <w:p w14:paraId="5F2D3C62" w14:textId="77777777" w:rsidR="00E836FB" w:rsidRDefault="00994958">
      <w:r>
        <w:pict w14:anchorId="5F2D6E2A">
          <v:rect id="_x0000_i1189" style="width:415.3pt;height:1.5pt" o:hralign="center" o:hrstd="t" o:hr="t" fillcolor="#a0a0a0" stroked="f"/>
        </w:pict>
      </w:r>
    </w:p>
    <w:p w14:paraId="5F2D3C63" w14:textId="77777777" w:rsidR="00E836FB" w:rsidRDefault="00994958">
      <w:pPr>
        <w:ind w:firstLine="450"/>
        <w:jc w:val="center"/>
      </w:pPr>
      <w:r>
        <w:rPr>
          <w:rFonts w:ascii="Arial" w:eastAsia="宋体" w:hAnsi="Arial" w:cs="Arial"/>
          <w:b/>
          <w:bCs/>
          <w:color w:val="000000"/>
          <w:sz w:val="20"/>
          <w:szCs w:val="20"/>
        </w:rPr>
        <w:t>STATE STREET CORPORATION</w:t>
      </w:r>
    </w:p>
    <w:p w14:paraId="5F2D3C64"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3C65" w14:textId="77777777" w:rsidR="00E836FB" w:rsidRDefault="00994958">
      <w:pPr>
        <w:spacing w:before="60"/>
        <w:jc w:val="both"/>
        <w:textAlignment w:val="top"/>
      </w:pPr>
      <w:r>
        <w:rPr>
          <w:rFonts w:ascii="Arial" w:eastAsia="宋体" w:hAnsi="Arial" w:cs="Arial"/>
          <w:color w:val="000000"/>
          <w:sz w:val="20"/>
          <w:szCs w:val="20"/>
        </w:rPr>
        <w:t xml:space="preserve">buyers generally grant a security interest in the subject securities received under and held on </w:t>
      </w:r>
      <w:r>
        <w:rPr>
          <w:rFonts w:ascii="Arial" w:eastAsia="宋体" w:hAnsi="Arial" w:cs="Arial"/>
          <w:color w:val="000000"/>
          <w:sz w:val="20"/>
          <w:szCs w:val="20"/>
        </w:rPr>
        <w:t>their behalf by State Street. For additional information on our repurchase and reverse repurchase agreements, please refer to Note 11 to the consolidated financial statements in this Form 10-K.</w:t>
      </w:r>
    </w:p>
    <w:p w14:paraId="5F2D3C66" w14:textId="77777777" w:rsidR="00E836FB" w:rsidRDefault="00994958">
      <w:pPr>
        <w:spacing w:before="180"/>
        <w:textAlignment w:val="top"/>
      </w:pPr>
      <w:r>
        <w:rPr>
          <w:rFonts w:ascii="Arial" w:eastAsia="宋体" w:hAnsi="Arial" w:cs="Arial"/>
          <w:b/>
          <w:bCs/>
          <w:color w:val="000000"/>
          <w:sz w:val="20"/>
          <w:szCs w:val="20"/>
        </w:rPr>
        <w:t>Note 13.    Contingencies</w:t>
      </w:r>
    </w:p>
    <w:p w14:paraId="5F2D3C67" w14:textId="77777777" w:rsidR="00E836FB" w:rsidRDefault="00994958">
      <w:pPr>
        <w:spacing w:before="60"/>
        <w:textAlignment w:val="top"/>
      </w:pPr>
      <w:r>
        <w:rPr>
          <w:rFonts w:ascii="Arial" w:eastAsia="宋体" w:hAnsi="Arial" w:cs="Arial"/>
          <w:b/>
          <w:bCs/>
          <w:i/>
          <w:iCs/>
          <w:color w:val="000000"/>
          <w:sz w:val="20"/>
          <w:szCs w:val="20"/>
        </w:rPr>
        <w:t>Legal and Regulatory Matters</w:t>
      </w:r>
    </w:p>
    <w:p w14:paraId="5F2D3C68" w14:textId="77777777" w:rsidR="00E836FB" w:rsidRDefault="00994958">
      <w:pPr>
        <w:spacing w:before="60"/>
        <w:ind w:firstLine="450"/>
        <w:jc w:val="both"/>
        <w:textAlignment w:val="top"/>
      </w:pPr>
      <w:r>
        <w:rPr>
          <w:rFonts w:ascii="Arial" w:eastAsia="宋体" w:hAnsi="Arial" w:cs="Arial"/>
          <w:color w:val="000000"/>
          <w:sz w:val="20"/>
          <w:szCs w:val="20"/>
        </w:rPr>
        <w:t xml:space="preserve">In the </w:t>
      </w:r>
      <w:r>
        <w:rPr>
          <w:rFonts w:ascii="Arial" w:eastAsia="宋体" w:hAnsi="Arial" w:cs="Arial"/>
          <w:color w:val="000000"/>
          <w:sz w:val="20"/>
          <w:szCs w:val="20"/>
        </w:rPr>
        <w:t>ordinary course of business, we and our subsidiaries are involved in disputes, litigation, and governmental or regulatory inquiries and investigations, both pending and threatened. These matters, if resolved adversely against us or settled, may result in m</w:t>
      </w:r>
      <w:r>
        <w:rPr>
          <w:rFonts w:ascii="Arial" w:eastAsia="宋体" w:hAnsi="Arial" w:cs="Arial"/>
          <w:color w:val="000000"/>
          <w:sz w:val="20"/>
          <w:szCs w:val="20"/>
        </w:rPr>
        <w:t>onetary awards or payments, fines and penalties or require changes in our business practices. The resolution or settlement of these matters is inherently difficult to predict. Based on our assessment of these pending matters, we do not believe that the amo</w:t>
      </w:r>
      <w:r>
        <w:rPr>
          <w:rFonts w:ascii="Arial" w:eastAsia="宋体" w:hAnsi="Arial" w:cs="Arial"/>
          <w:color w:val="000000"/>
          <w:sz w:val="20"/>
          <w:szCs w:val="20"/>
        </w:rPr>
        <w:t xml:space="preserve">unt of any judgment, settlement or other action arising from any pending matter is likely to have a material adverse effect on our consolidated financial condition. However, an adverse outcome or development in certain of the matters described below could </w:t>
      </w:r>
      <w:r>
        <w:rPr>
          <w:rFonts w:ascii="Arial" w:eastAsia="宋体" w:hAnsi="Arial" w:cs="Arial"/>
          <w:color w:val="000000"/>
          <w:sz w:val="20"/>
          <w:szCs w:val="20"/>
        </w:rPr>
        <w:t xml:space="preserve">have a material adverse effect on our consolidated results of operations for the period in which such matter is resolved, or an accrual is determined to be required, on our consolidated financial condition, or on our reputation. </w:t>
      </w:r>
    </w:p>
    <w:p w14:paraId="5F2D3C69" w14:textId="77777777" w:rsidR="00E836FB" w:rsidRDefault="00994958">
      <w:pPr>
        <w:spacing w:before="60"/>
        <w:ind w:firstLine="450"/>
        <w:jc w:val="both"/>
        <w:textAlignment w:val="top"/>
      </w:pPr>
      <w:r>
        <w:rPr>
          <w:rFonts w:ascii="Arial" w:eastAsia="宋体" w:hAnsi="Arial" w:cs="Arial"/>
          <w:color w:val="000000"/>
          <w:sz w:val="20"/>
          <w:szCs w:val="20"/>
        </w:rPr>
        <w:t xml:space="preserve">We evaluate our needs for </w:t>
      </w:r>
      <w:r>
        <w:rPr>
          <w:rFonts w:ascii="Arial" w:eastAsia="宋体" w:hAnsi="Arial" w:cs="Arial"/>
          <w:color w:val="000000"/>
          <w:sz w:val="20"/>
          <w:szCs w:val="20"/>
        </w:rPr>
        <w:t>accruals of loss contingencies related to legal and regulatory proceedings on a case-by-case basis. When we have a liability that we deem probable, and we deem the amount of such liability can be reasonably estimated as of the date of our consolidated fina</w:t>
      </w:r>
      <w:r>
        <w:rPr>
          <w:rFonts w:ascii="Arial" w:eastAsia="宋体" w:hAnsi="Arial" w:cs="Arial"/>
          <w:color w:val="000000"/>
          <w:sz w:val="20"/>
          <w:szCs w:val="20"/>
        </w:rPr>
        <w:t xml:space="preserve">ncial statements, we accrue our estimate of the amount of loss. We also consider a loss probable and establish an accrual when we make, or intend to make, an offer of settlement. Once established, an accrual is subject to subsequent adjustment as a result </w:t>
      </w:r>
      <w:r>
        <w:rPr>
          <w:rFonts w:ascii="Arial" w:eastAsia="宋体" w:hAnsi="Arial" w:cs="Arial"/>
          <w:color w:val="000000"/>
          <w:sz w:val="20"/>
          <w:szCs w:val="20"/>
        </w:rPr>
        <w:t xml:space="preserve">of additional information. The resolution of legal and regulatory proceedings and the amount of reasonably estimable loss (or range thereof) are inherently difficult to predict, especially in the early stages of proceedings. Even if a loss is probable, an </w:t>
      </w:r>
      <w:r>
        <w:rPr>
          <w:rFonts w:ascii="Arial" w:eastAsia="宋体" w:hAnsi="Arial" w:cs="Arial"/>
          <w:color w:val="000000"/>
          <w:sz w:val="20"/>
          <w:szCs w:val="20"/>
        </w:rPr>
        <w:t>amount (or range) of loss might not be reasonably estimated until the later stages of the proceeding due to many factors such as the presence of complex or novel legal theories, the discretion of governmental authorities in seeking sanctions or negotiating</w:t>
      </w:r>
      <w:r>
        <w:rPr>
          <w:rFonts w:ascii="Arial" w:eastAsia="宋体" w:hAnsi="Arial" w:cs="Arial"/>
          <w:color w:val="000000"/>
          <w:sz w:val="20"/>
          <w:szCs w:val="20"/>
        </w:rPr>
        <w:t xml:space="preserve"> resolutions in civil and criminal matters, the pace and timing of discovery and other assessments of facts and the procedural posture of the matter (collectively, "factors influencing reasonable estimates"). </w:t>
      </w:r>
    </w:p>
    <w:p w14:paraId="5F2D3C6A" w14:textId="77777777" w:rsidR="00E836FB" w:rsidRDefault="00994958">
      <w:pPr>
        <w:spacing w:before="60"/>
        <w:ind w:firstLine="450"/>
        <w:jc w:val="both"/>
        <w:textAlignment w:val="top"/>
      </w:pPr>
      <w:r>
        <w:rPr>
          <w:rFonts w:ascii="Arial" w:eastAsia="宋体" w:hAnsi="Arial" w:cs="Arial"/>
          <w:color w:val="000000"/>
          <w:sz w:val="20"/>
          <w:szCs w:val="20"/>
        </w:rPr>
        <w:t>As of December 31, 2021, our aggregate accrual</w:t>
      </w:r>
      <w:r>
        <w:rPr>
          <w:rFonts w:ascii="Arial" w:eastAsia="宋体" w:hAnsi="Arial" w:cs="Arial"/>
          <w:color w:val="000000"/>
          <w:sz w:val="20"/>
          <w:szCs w:val="20"/>
        </w:rPr>
        <w:t xml:space="preserve">s for loss contingencies for legal, regulatory and related matters totaled approximately $15 million, </w:t>
      </w:r>
    </w:p>
    <w:p w14:paraId="5F2D3C6B" w14:textId="77777777" w:rsidR="00E836FB" w:rsidRDefault="00994958">
      <w:pPr>
        <w:spacing w:before="60"/>
        <w:jc w:val="both"/>
        <w:textAlignment w:val="top"/>
      </w:pPr>
      <w:r>
        <w:rPr>
          <w:rFonts w:ascii="Arial" w:eastAsia="宋体" w:hAnsi="Arial" w:cs="Arial"/>
          <w:color w:val="000000"/>
          <w:sz w:val="20"/>
          <w:szCs w:val="20"/>
        </w:rPr>
        <w:t>including potential fines by government agencies and civil litigation with respect to the matters specifically discussed below. To the extent that we hav</w:t>
      </w:r>
      <w:r>
        <w:rPr>
          <w:rFonts w:ascii="Arial" w:eastAsia="宋体" w:hAnsi="Arial" w:cs="Arial"/>
          <w:color w:val="000000"/>
          <w:sz w:val="20"/>
          <w:szCs w:val="20"/>
        </w:rPr>
        <w:t>e established accruals in our consolidated statement of condition for probable loss contingencies, such accruals may not be sufficient to cover our ultimate financial exposure associated with any settlements or judgments. Any such ultimate financial exposu</w:t>
      </w:r>
      <w:r>
        <w:rPr>
          <w:rFonts w:ascii="Arial" w:eastAsia="宋体" w:hAnsi="Arial" w:cs="Arial"/>
          <w:color w:val="000000"/>
          <w:sz w:val="20"/>
          <w:szCs w:val="20"/>
        </w:rPr>
        <w:t xml:space="preserve">re, or proceedings to which we may become subject in the future, could have a material adverse effect on our businesses, on our future consolidated financial statements or on our reputation. </w:t>
      </w:r>
    </w:p>
    <w:p w14:paraId="5F2D3C6C" w14:textId="77777777" w:rsidR="00E836FB" w:rsidRDefault="00994958">
      <w:pPr>
        <w:spacing w:before="60"/>
        <w:ind w:firstLine="450"/>
        <w:jc w:val="both"/>
        <w:textAlignment w:val="top"/>
      </w:pPr>
      <w:r>
        <w:rPr>
          <w:rFonts w:ascii="Arial" w:eastAsia="宋体" w:hAnsi="Arial" w:cs="Arial"/>
          <w:color w:val="000000"/>
          <w:sz w:val="20"/>
          <w:szCs w:val="20"/>
        </w:rPr>
        <w:t>As of December 31, 2021, for those matters for which we have acc</w:t>
      </w:r>
      <w:r>
        <w:rPr>
          <w:rFonts w:ascii="Arial" w:eastAsia="宋体" w:hAnsi="Arial" w:cs="Arial"/>
          <w:color w:val="000000"/>
          <w:sz w:val="20"/>
          <w:szCs w:val="20"/>
        </w:rPr>
        <w:t>rued probable loss contingencies (including the Invoicing Matter described below) and for other matters for which loss is reasonably possible (but not probable) in future periods, and for which we are able to estimate a range of reasonably possible loss, o</w:t>
      </w:r>
      <w:r>
        <w:rPr>
          <w:rFonts w:ascii="Arial" w:eastAsia="宋体" w:hAnsi="Arial" w:cs="Arial"/>
          <w:color w:val="000000"/>
          <w:sz w:val="20"/>
          <w:szCs w:val="20"/>
        </w:rPr>
        <w:t>ur estimate of the aggregate reasonably possible loss (in excess of any accrued amounts) ranges up to approximately $45 million. Our estimate with respect to the aggregate reasonably possible loss is based upon currently available information and is subjec</w:t>
      </w:r>
      <w:r>
        <w:rPr>
          <w:rFonts w:ascii="Arial" w:eastAsia="宋体" w:hAnsi="Arial" w:cs="Arial"/>
          <w:color w:val="000000"/>
          <w:sz w:val="20"/>
          <w:szCs w:val="20"/>
        </w:rPr>
        <w:t>t to significant judgment and a variety of assumptions and known and unknown uncertainties, which may change quickly and significantly from time to time, particularly if and as we engage with applicable governmental agencies or plaintiffs in connection wit</w:t>
      </w:r>
      <w:r>
        <w:rPr>
          <w:rFonts w:ascii="Arial" w:eastAsia="宋体" w:hAnsi="Arial" w:cs="Arial"/>
          <w:color w:val="000000"/>
          <w:sz w:val="20"/>
          <w:szCs w:val="20"/>
        </w:rPr>
        <w:t>h a proceeding. Also, the matters underlying the reasonably possible loss will change from time to time. As a result, actual results may vary significantly from the current estimate.</w:t>
      </w:r>
    </w:p>
    <w:p w14:paraId="5F2D3C6D" w14:textId="77777777" w:rsidR="00E836FB" w:rsidRDefault="00994958">
      <w:pPr>
        <w:spacing w:before="60"/>
        <w:ind w:firstLine="450"/>
        <w:jc w:val="both"/>
        <w:textAlignment w:val="top"/>
      </w:pPr>
      <w:r>
        <w:rPr>
          <w:rFonts w:ascii="Arial" w:eastAsia="宋体" w:hAnsi="Arial" w:cs="Arial"/>
          <w:color w:val="000000"/>
          <w:sz w:val="20"/>
          <w:szCs w:val="20"/>
        </w:rPr>
        <w:t>In certain pending matters, it is not currently feasible to reasonably es</w:t>
      </w:r>
      <w:r>
        <w:rPr>
          <w:rFonts w:ascii="Arial" w:eastAsia="宋体" w:hAnsi="Arial" w:cs="Arial"/>
          <w:color w:val="000000"/>
          <w:sz w:val="20"/>
          <w:szCs w:val="20"/>
        </w:rPr>
        <w:t>timate the amount or a range of reasonably possible loss, and such losses, which may be significant, are not included in the estimate of reasonably possible loss discussed above. This is due to, among other factors, the factors influencing reasonable estim</w:t>
      </w:r>
      <w:r>
        <w:rPr>
          <w:rFonts w:ascii="Arial" w:eastAsia="宋体" w:hAnsi="Arial" w:cs="Arial"/>
          <w:color w:val="000000"/>
          <w:sz w:val="20"/>
          <w:szCs w:val="20"/>
        </w:rPr>
        <w:t>ates described above. An adverse outcome in one or more of the matters for which we have not estimated the amount or a range of reasonably possible loss, individually or in the aggregate, could have a material adverse effect on our businesses, on our futur</w:t>
      </w:r>
      <w:r>
        <w:rPr>
          <w:rFonts w:ascii="Arial" w:eastAsia="宋体" w:hAnsi="Arial" w:cs="Arial"/>
          <w:color w:val="000000"/>
          <w:sz w:val="20"/>
          <w:szCs w:val="20"/>
        </w:rPr>
        <w:t>e consolidated financial statements or on our reputation. Given that our actual losses from any legal or regulatory proceeding for which we have provided an estimate of the reasonably possible loss could significantly exceed such estimate, and given that w</w:t>
      </w:r>
      <w:r>
        <w:rPr>
          <w:rFonts w:ascii="Arial" w:eastAsia="宋体" w:hAnsi="Arial" w:cs="Arial"/>
          <w:color w:val="000000"/>
          <w:sz w:val="20"/>
          <w:szCs w:val="20"/>
        </w:rPr>
        <w:t>e cannot estimate reasonably possible loss for all legal and regulatory proceedings as to which we may be subject now or in the future, no conclusion as to our ultimate exposure from current pending or potential legal or regulatory proceedings should be dr</w:t>
      </w:r>
      <w:r>
        <w:rPr>
          <w:rFonts w:ascii="Arial" w:eastAsia="宋体" w:hAnsi="Arial" w:cs="Arial"/>
          <w:color w:val="000000"/>
          <w:sz w:val="20"/>
          <w:szCs w:val="20"/>
        </w:rPr>
        <w:t xml:space="preserve">awn from the current estimate of reasonably possible loss. </w:t>
      </w:r>
    </w:p>
    <w:p w14:paraId="5F2D3C6E" w14:textId="77777777" w:rsidR="00E836FB" w:rsidRDefault="00994958">
      <w:pPr>
        <w:ind w:firstLine="450"/>
        <w:jc w:val="right"/>
      </w:pPr>
      <w:r>
        <w:rPr>
          <w:rFonts w:ascii="Arial" w:eastAsia="宋体" w:hAnsi="Arial" w:cs="Arial"/>
          <w:color w:val="000000"/>
          <w:sz w:val="18"/>
          <w:szCs w:val="18"/>
        </w:rPr>
        <w:t>State Street Corporation | 166</w:t>
      </w:r>
    </w:p>
    <w:p w14:paraId="5F2D3C6F" w14:textId="77777777" w:rsidR="00E836FB" w:rsidRDefault="00E836FB">
      <w:pPr>
        <w:ind w:firstLine="450"/>
        <w:jc w:val="center"/>
      </w:pPr>
    </w:p>
    <w:p w14:paraId="5F2D3C70" w14:textId="77777777" w:rsidR="00E836FB" w:rsidRDefault="00994958">
      <w:r>
        <w:pict w14:anchorId="5F2D6E2B">
          <v:rect id="_x0000_i1190" style="width:415.3pt;height:1.5pt" o:hralign="center" o:hrstd="t" o:hr="t" fillcolor="#a0a0a0" stroked="f"/>
        </w:pict>
      </w:r>
    </w:p>
    <w:p w14:paraId="5F2D3C71" w14:textId="77777777" w:rsidR="00E836FB" w:rsidRDefault="00994958">
      <w:pPr>
        <w:ind w:firstLine="450"/>
        <w:jc w:val="center"/>
      </w:pPr>
      <w:r>
        <w:rPr>
          <w:rFonts w:ascii="Arial" w:eastAsia="宋体" w:hAnsi="Arial" w:cs="Arial"/>
          <w:b/>
          <w:bCs/>
          <w:color w:val="000000"/>
          <w:sz w:val="20"/>
          <w:szCs w:val="20"/>
        </w:rPr>
        <w:t>STATE STREET CORPORATION</w:t>
      </w:r>
    </w:p>
    <w:p w14:paraId="5F2D3C72"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3C73"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discussion provides information with respect to significant legal, governmental and regulatory matters. </w:t>
      </w:r>
    </w:p>
    <w:p w14:paraId="5F2D3C74" w14:textId="77777777" w:rsidR="00E836FB" w:rsidRDefault="00994958">
      <w:pPr>
        <w:spacing w:before="60"/>
        <w:jc w:val="both"/>
        <w:textAlignment w:val="top"/>
      </w:pPr>
      <w:r>
        <w:rPr>
          <w:rFonts w:ascii="Arial" w:eastAsia="宋体" w:hAnsi="Arial" w:cs="Arial"/>
          <w:i/>
          <w:iCs/>
          <w:color w:val="000000"/>
          <w:sz w:val="20"/>
          <w:szCs w:val="20"/>
        </w:rPr>
        <w:t>Invoicing Matter</w:t>
      </w:r>
    </w:p>
    <w:p w14:paraId="5F2D3C75" w14:textId="77777777" w:rsidR="00E836FB" w:rsidRDefault="00994958">
      <w:pPr>
        <w:spacing w:before="60"/>
        <w:ind w:firstLine="450"/>
        <w:jc w:val="both"/>
        <w:textAlignment w:val="top"/>
      </w:pPr>
      <w:r>
        <w:rPr>
          <w:rFonts w:ascii="Arial" w:eastAsia="宋体" w:hAnsi="Arial" w:cs="Arial"/>
          <w:color w:val="000000"/>
          <w:sz w:val="20"/>
          <w:szCs w:val="20"/>
        </w:rPr>
        <w:t>In 2015, we determined that we had incorrectly invoiced clients for certain expenses. We have reimbursed most of our aff</w:t>
      </w:r>
      <w:r>
        <w:rPr>
          <w:rFonts w:ascii="Arial" w:eastAsia="宋体" w:hAnsi="Arial" w:cs="Arial"/>
          <w:color w:val="000000"/>
          <w:sz w:val="20"/>
          <w:szCs w:val="20"/>
        </w:rPr>
        <w:t>ected customers for those expenses, and we have implemented enhancements to our billing processes. In connection with our enhancements to our billing processes, we continue to review historical billing practices and may from time to time identify additiona</w:t>
      </w:r>
      <w:r>
        <w:rPr>
          <w:rFonts w:ascii="Arial" w:eastAsia="宋体" w:hAnsi="Arial" w:cs="Arial"/>
          <w:color w:val="000000"/>
          <w:sz w:val="20"/>
          <w:szCs w:val="20"/>
        </w:rPr>
        <w:t>l remediation. In 2017, we identified an additional area of incorrect expense billing associated with mailing services in our retirement services business. We currently expect the cumulative total of our payments to customers for these invoicing errors, in</w:t>
      </w:r>
      <w:r>
        <w:rPr>
          <w:rFonts w:ascii="Arial" w:eastAsia="宋体" w:hAnsi="Arial" w:cs="Arial"/>
          <w:color w:val="000000"/>
          <w:sz w:val="20"/>
          <w:szCs w:val="20"/>
        </w:rPr>
        <w:t>cluding the error in the retirement services business, to be at least $355 million, all of which has been paid or is accrued. However, we may identify additional remediation costs.</w:t>
      </w:r>
    </w:p>
    <w:p w14:paraId="5F2D3C76" w14:textId="77777777" w:rsidR="00E836FB" w:rsidRDefault="00994958">
      <w:pPr>
        <w:spacing w:before="60"/>
        <w:ind w:firstLine="450"/>
        <w:jc w:val="both"/>
        <w:textAlignment w:val="top"/>
      </w:pPr>
      <w:r>
        <w:rPr>
          <w:rFonts w:ascii="Arial" w:eastAsia="宋体" w:hAnsi="Arial" w:cs="Arial"/>
          <w:color w:val="000000"/>
          <w:sz w:val="20"/>
          <w:szCs w:val="20"/>
        </w:rPr>
        <w:t>In March 2017, a purported class action was commenced against us alleging t</w:t>
      </w:r>
      <w:r>
        <w:rPr>
          <w:rFonts w:ascii="Arial" w:eastAsia="宋体" w:hAnsi="Arial" w:cs="Arial"/>
          <w:color w:val="000000"/>
          <w:sz w:val="20"/>
          <w:szCs w:val="20"/>
        </w:rPr>
        <w:t>hat our invoicing practices violated duties owed to retirement plan customers under the Employee Retirement Income Security Act. In September 2021, the parties agreed to resolve the matter and filed a stipulation of dismissal. In addition, we have received</w:t>
      </w:r>
      <w:r>
        <w:rPr>
          <w:rFonts w:ascii="Arial" w:eastAsia="宋体" w:hAnsi="Arial" w:cs="Arial"/>
          <w:color w:val="000000"/>
          <w:sz w:val="20"/>
          <w:szCs w:val="20"/>
        </w:rPr>
        <w:t xml:space="preserve"> a purported class action demand letter alleging that our invoicing practices were unfair and deceptive under Massachusetts law. A class of customers, or particular customers, may assert that we have not paid to them all amounts incorrectly invoiced, and m</w:t>
      </w:r>
      <w:r>
        <w:rPr>
          <w:rFonts w:ascii="Arial" w:eastAsia="宋体" w:hAnsi="Arial" w:cs="Arial"/>
          <w:color w:val="000000"/>
          <w:sz w:val="20"/>
          <w:szCs w:val="20"/>
        </w:rPr>
        <w:t xml:space="preserve">ay seek double or treble damages under Massachusetts law. </w:t>
      </w:r>
    </w:p>
    <w:p w14:paraId="5F2D3C77" w14:textId="77777777" w:rsidR="00E836FB" w:rsidRDefault="00994958">
      <w:pPr>
        <w:spacing w:before="60"/>
        <w:ind w:firstLine="450"/>
        <w:jc w:val="both"/>
        <w:textAlignment w:val="top"/>
      </w:pPr>
      <w:r>
        <w:rPr>
          <w:rFonts w:ascii="Arial" w:eastAsia="宋体" w:hAnsi="Arial" w:cs="Arial"/>
          <w:color w:val="000000"/>
          <w:sz w:val="20"/>
          <w:szCs w:val="20"/>
        </w:rPr>
        <w:t>We resolved potential criminal claims that arose from these matters by entering into a deferred prosecution agreement with the office of the United States Attorney for the District of Massachusetts</w:t>
      </w:r>
      <w:r>
        <w:rPr>
          <w:rFonts w:ascii="Arial" w:eastAsia="宋体" w:hAnsi="Arial" w:cs="Arial"/>
          <w:color w:val="000000"/>
          <w:sz w:val="20"/>
          <w:szCs w:val="20"/>
        </w:rPr>
        <w:t xml:space="preserve"> and paying a $115 million penalty in May 2021. In June 2019, we reached an agreement with the SEC to settle its claims that we violated the recordkeeping provisions of Section 34(b) of the Investment Company Act of 1940 and caused violations of Section 31</w:t>
      </w:r>
      <w:r>
        <w:rPr>
          <w:rFonts w:ascii="Arial" w:eastAsia="宋体" w:hAnsi="Arial" w:cs="Arial"/>
          <w:color w:val="000000"/>
          <w:sz w:val="20"/>
          <w:szCs w:val="20"/>
        </w:rPr>
        <w:t xml:space="preserve">(a) of the Investment Company Act and Rules 31a-1(a) and 31a-1(b) thereunder in connection with our overcharges of customers which are registered investment companies. In reaching this settlement, we neither admitted nor denied the claims contained in the </w:t>
      </w:r>
      <w:r>
        <w:rPr>
          <w:rFonts w:ascii="Arial" w:eastAsia="宋体" w:hAnsi="Arial" w:cs="Arial"/>
          <w:color w:val="000000"/>
          <w:sz w:val="20"/>
          <w:szCs w:val="20"/>
        </w:rPr>
        <w:t>SEC’s order, and agreed to pay a civil monetary penalty of $40 million. Also in June 2019, we reached an agreement with the Massachusetts Attorney General’s office to resolve its claims related to this matter. In reaching this settlement, we neither admitt</w:t>
      </w:r>
      <w:r>
        <w:rPr>
          <w:rFonts w:ascii="Arial" w:eastAsia="宋体" w:hAnsi="Arial" w:cs="Arial"/>
          <w:color w:val="000000"/>
          <w:sz w:val="20"/>
          <w:szCs w:val="20"/>
        </w:rPr>
        <w:t xml:space="preserve">ed nor denied the claims in the order, and agreed to pay a civil monetary </w:t>
      </w:r>
    </w:p>
    <w:p w14:paraId="5F2D3C78" w14:textId="77777777" w:rsidR="00E836FB" w:rsidRDefault="00994958">
      <w:pPr>
        <w:spacing w:before="60"/>
        <w:jc w:val="both"/>
        <w:textAlignment w:val="top"/>
      </w:pPr>
      <w:r>
        <w:rPr>
          <w:rFonts w:ascii="Arial" w:eastAsia="宋体" w:hAnsi="Arial" w:cs="Arial"/>
          <w:color w:val="000000"/>
          <w:sz w:val="20"/>
          <w:szCs w:val="20"/>
        </w:rPr>
        <w:t>penalty of $5.5 million. The SEC and Massachusetts Attorney General’s office settlements both recognize that the payment of $48.8 million in disgorgement and interest is satisfied b</w:t>
      </w:r>
      <w:r>
        <w:rPr>
          <w:rFonts w:ascii="Arial" w:eastAsia="宋体" w:hAnsi="Arial" w:cs="Arial"/>
          <w:color w:val="000000"/>
          <w:sz w:val="20"/>
          <w:szCs w:val="20"/>
        </w:rPr>
        <w:t>y our direct reimbursements of our customers. We paid fines to resolve claims of the Securities Divisions of the Secretaries of the State of Massachusetts and New Hampshire. The costs associated with the settlements discussed above were included in our rel</w:t>
      </w:r>
      <w:r>
        <w:rPr>
          <w:rFonts w:ascii="Arial" w:eastAsia="宋体" w:hAnsi="Arial" w:cs="Arial"/>
          <w:color w:val="000000"/>
          <w:sz w:val="20"/>
          <w:szCs w:val="20"/>
        </w:rPr>
        <w:t>ated previously established accruals for loss contingencies.</w:t>
      </w:r>
    </w:p>
    <w:p w14:paraId="5F2D3C79" w14:textId="77777777" w:rsidR="00E836FB" w:rsidRDefault="00994958">
      <w:pPr>
        <w:spacing w:before="60" w:after="60"/>
        <w:ind w:firstLine="450"/>
        <w:jc w:val="both"/>
        <w:textAlignment w:val="top"/>
      </w:pPr>
      <w:r>
        <w:rPr>
          <w:rFonts w:ascii="Arial" w:eastAsia="宋体" w:hAnsi="Arial" w:cs="Arial"/>
          <w:color w:val="000000"/>
          <w:sz w:val="20"/>
          <w:szCs w:val="20"/>
        </w:rPr>
        <w:t xml:space="preserve">We have not resolved certain claims that may be made by the U.S. Department of Labor. We do not know whether any such claims will be brought, and there can be no assurance that any settlement of </w:t>
      </w:r>
      <w:r>
        <w:rPr>
          <w:rFonts w:ascii="Arial" w:eastAsia="宋体" w:hAnsi="Arial" w:cs="Arial"/>
          <w:color w:val="000000"/>
          <w:sz w:val="20"/>
          <w:szCs w:val="20"/>
        </w:rPr>
        <w:t>any such claims will be reached on financial terms acceptable to us or at all. The aggregate amount of penalties that may potentially be imposed upon us in connection with the resolution of any such matters is not currently known.</w:t>
      </w:r>
    </w:p>
    <w:p w14:paraId="5F2D3C7A" w14:textId="77777777" w:rsidR="00E836FB" w:rsidRDefault="00994958">
      <w:pPr>
        <w:spacing w:before="60" w:after="60"/>
        <w:jc w:val="both"/>
        <w:textAlignment w:val="top"/>
      </w:pPr>
      <w:r>
        <w:rPr>
          <w:rFonts w:ascii="Arial" w:eastAsia="宋体" w:hAnsi="Arial" w:cs="Arial"/>
          <w:i/>
          <w:iCs/>
          <w:color w:val="000000"/>
          <w:sz w:val="20"/>
          <w:szCs w:val="20"/>
        </w:rPr>
        <w:t>Shareholder Litigation</w:t>
      </w:r>
    </w:p>
    <w:p w14:paraId="5F2D3C7B" w14:textId="77777777" w:rsidR="00E836FB" w:rsidRDefault="00994958">
      <w:pPr>
        <w:ind w:firstLine="450"/>
        <w:jc w:val="both"/>
        <w:textAlignment w:val="top"/>
      </w:pPr>
      <w:r>
        <w:rPr>
          <w:rFonts w:ascii="Arial" w:eastAsia="宋体" w:hAnsi="Arial" w:cs="Arial"/>
          <w:color w:val="000000"/>
          <w:sz w:val="20"/>
          <w:szCs w:val="20"/>
        </w:rPr>
        <w:t xml:space="preserve">A </w:t>
      </w:r>
      <w:r>
        <w:rPr>
          <w:rFonts w:ascii="Arial" w:eastAsia="宋体" w:hAnsi="Arial" w:cs="Arial"/>
          <w:color w:val="000000"/>
          <w:sz w:val="20"/>
          <w:szCs w:val="20"/>
        </w:rPr>
        <w:t>shareholder of ours filed a derivative complaint against certain of the Company’s past and present officers and directors to recover alleged losses incurred by the Company relating to the invoicing matter and to the Ohio public retirement plans matter. The</w:t>
      </w:r>
      <w:r>
        <w:rPr>
          <w:rFonts w:ascii="Arial" w:eastAsia="宋体" w:hAnsi="Arial" w:cs="Arial"/>
          <w:color w:val="000000"/>
          <w:sz w:val="20"/>
          <w:szCs w:val="20"/>
        </w:rPr>
        <w:t xml:space="preserve"> Suffolk Superior Court Department of the Trial Court of the Commonwealth of Massachusetts, without objection, approved a settlement of the claim in which we agreed to take, or to continue to take, specified steps to improve our ongoing governance and comp</w:t>
      </w:r>
      <w:r>
        <w:rPr>
          <w:rFonts w:ascii="Arial" w:eastAsia="宋体" w:hAnsi="Arial" w:cs="Arial"/>
          <w:color w:val="000000"/>
          <w:sz w:val="20"/>
          <w:szCs w:val="20"/>
        </w:rPr>
        <w:t>liance policies, and to pay a fee to plaintiff's counsel.</w:t>
      </w:r>
    </w:p>
    <w:p w14:paraId="5F2D3C7C" w14:textId="77777777" w:rsidR="00E836FB" w:rsidRDefault="00994958">
      <w:pPr>
        <w:spacing w:before="60"/>
        <w:jc w:val="both"/>
        <w:textAlignment w:val="top"/>
      </w:pPr>
      <w:r>
        <w:rPr>
          <w:rFonts w:ascii="Arial" w:eastAsia="宋体" w:hAnsi="Arial" w:cs="Arial"/>
          <w:i/>
          <w:iCs/>
          <w:color w:val="000000"/>
          <w:sz w:val="20"/>
          <w:szCs w:val="20"/>
        </w:rPr>
        <w:t>Gomes, et al. v. State Street Corp.</w:t>
      </w:r>
    </w:p>
    <w:p w14:paraId="5F2D3C7D" w14:textId="77777777" w:rsidR="00E836FB" w:rsidRDefault="00994958">
      <w:pPr>
        <w:spacing w:before="60"/>
        <w:ind w:firstLine="450"/>
        <w:jc w:val="both"/>
        <w:textAlignment w:val="top"/>
      </w:pPr>
      <w:r>
        <w:rPr>
          <w:rFonts w:ascii="Arial" w:eastAsia="宋体" w:hAnsi="Arial" w:cs="Arial"/>
          <w:color w:val="000000"/>
          <w:sz w:val="20"/>
          <w:szCs w:val="20"/>
        </w:rPr>
        <w:t>Eight participants in our Salary Savings Program filed a purported class action complaint in May 2021 on behalf of participants and beneficiaries who participated</w:t>
      </w:r>
      <w:r>
        <w:rPr>
          <w:rFonts w:ascii="Arial" w:eastAsia="宋体" w:hAnsi="Arial" w:cs="Arial"/>
          <w:color w:val="000000"/>
          <w:sz w:val="20"/>
          <w:szCs w:val="20"/>
        </w:rPr>
        <w:t xml:space="preserve"> in the Program and invested in our proprietary investment fund options between May 2015 and the present. The complaint names the Plan Sponsor as well as the committees overseeing the Plan and their respective members as defendants, and alleges breach of f</w:t>
      </w:r>
      <w:r>
        <w:rPr>
          <w:rFonts w:ascii="Arial" w:eastAsia="宋体" w:hAnsi="Arial" w:cs="Arial"/>
          <w:color w:val="000000"/>
          <w:sz w:val="20"/>
          <w:szCs w:val="20"/>
        </w:rPr>
        <w:t>iduciary duty and violations of other duties owed to retirement plan participants under the Employee Retirement Income and Security Act. We and the other named defendants deny the alleged claims and are proceeding with a defense of the matter.</w:t>
      </w:r>
    </w:p>
    <w:p w14:paraId="5F2D3C7E" w14:textId="77777777" w:rsidR="00E836FB" w:rsidRDefault="00994958">
      <w:pPr>
        <w:spacing w:before="60"/>
        <w:jc w:val="both"/>
        <w:textAlignment w:val="top"/>
      </w:pPr>
      <w:r>
        <w:rPr>
          <w:rFonts w:ascii="Arial" w:eastAsia="宋体" w:hAnsi="Arial" w:cs="Arial"/>
          <w:i/>
          <w:iCs/>
          <w:color w:val="000000"/>
          <w:sz w:val="20"/>
          <w:szCs w:val="20"/>
        </w:rPr>
        <w:t>Edmar Financ</w:t>
      </w:r>
      <w:r>
        <w:rPr>
          <w:rFonts w:ascii="Arial" w:eastAsia="宋体" w:hAnsi="Arial" w:cs="Arial"/>
          <w:i/>
          <w:iCs/>
          <w:color w:val="000000"/>
          <w:sz w:val="20"/>
          <w:szCs w:val="20"/>
        </w:rPr>
        <w:t>ial Company, LLC et al v. Currenex, Inc. et al</w:t>
      </w:r>
    </w:p>
    <w:p w14:paraId="5F2D3C7F" w14:textId="77777777" w:rsidR="00E836FB" w:rsidRDefault="00994958">
      <w:pPr>
        <w:spacing w:before="60"/>
        <w:ind w:firstLine="450"/>
        <w:jc w:val="both"/>
        <w:textAlignment w:val="top"/>
      </w:pPr>
      <w:r>
        <w:rPr>
          <w:rFonts w:ascii="Arial" w:eastAsia="宋体" w:hAnsi="Arial" w:cs="Arial"/>
          <w:color w:val="000000"/>
          <w:sz w:val="20"/>
          <w:szCs w:val="20"/>
        </w:rPr>
        <w:t xml:space="preserve">In August 2021, two former Currenex clients filed a putative civil class action lawsuit in the Southern District of New York alleging antitrust violations, fraud and a civil Racketeer Influenced and </w:t>
      </w:r>
      <w:r>
        <w:rPr>
          <w:rFonts w:ascii="Arial" w:eastAsia="宋体" w:hAnsi="Arial" w:cs="Arial"/>
          <w:color w:val="000000"/>
          <w:sz w:val="20"/>
          <w:szCs w:val="20"/>
        </w:rPr>
        <w:t>Corrupt Organization Act violation against Currenex, State Street and others.</w:t>
      </w:r>
    </w:p>
    <w:p w14:paraId="5F2D3C80" w14:textId="77777777" w:rsidR="00E836FB" w:rsidRDefault="00E836FB">
      <w:pPr>
        <w:ind w:firstLine="450"/>
        <w:jc w:val="both"/>
        <w:textAlignment w:val="top"/>
      </w:pPr>
    </w:p>
    <w:p w14:paraId="5F2D3C81" w14:textId="77777777" w:rsidR="00E836FB" w:rsidRDefault="00994958">
      <w:pPr>
        <w:ind w:firstLine="450"/>
        <w:jc w:val="right"/>
      </w:pPr>
      <w:r>
        <w:rPr>
          <w:rFonts w:ascii="Arial" w:eastAsia="宋体" w:hAnsi="Arial" w:cs="Arial"/>
          <w:color w:val="000000"/>
          <w:sz w:val="18"/>
          <w:szCs w:val="18"/>
        </w:rPr>
        <w:t>State Street Corporation | 167</w:t>
      </w:r>
    </w:p>
    <w:p w14:paraId="5F2D3C82" w14:textId="77777777" w:rsidR="00E836FB" w:rsidRDefault="00E836FB">
      <w:pPr>
        <w:ind w:firstLine="450"/>
        <w:jc w:val="center"/>
      </w:pPr>
    </w:p>
    <w:p w14:paraId="5F2D3C83" w14:textId="77777777" w:rsidR="00E836FB" w:rsidRDefault="00994958">
      <w:r>
        <w:pict w14:anchorId="5F2D6E2C">
          <v:rect id="_x0000_i1191" style="width:415.3pt;height:1.5pt" o:hralign="center" o:hrstd="t" o:hr="t" fillcolor="#a0a0a0" stroked="f"/>
        </w:pict>
      </w:r>
    </w:p>
    <w:p w14:paraId="5F2D3C84" w14:textId="77777777" w:rsidR="00E836FB" w:rsidRDefault="00994958">
      <w:pPr>
        <w:ind w:firstLine="450"/>
        <w:jc w:val="center"/>
      </w:pPr>
      <w:r>
        <w:rPr>
          <w:rFonts w:ascii="Arial" w:eastAsia="宋体" w:hAnsi="Arial" w:cs="Arial"/>
          <w:b/>
          <w:bCs/>
          <w:color w:val="000000"/>
          <w:sz w:val="20"/>
          <w:szCs w:val="20"/>
        </w:rPr>
        <w:t>STATE STREET CORPORATION</w:t>
      </w:r>
    </w:p>
    <w:p w14:paraId="5F2D3C85"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3C86" w14:textId="77777777" w:rsidR="00E836FB" w:rsidRDefault="00994958">
      <w:pPr>
        <w:spacing w:before="60"/>
        <w:textAlignment w:val="top"/>
      </w:pPr>
      <w:r>
        <w:rPr>
          <w:rFonts w:ascii="Arial" w:eastAsia="宋体" w:hAnsi="Arial" w:cs="Arial"/>
          <w:b/>
          <w:bCs/>
          <w:i/>
          <w:iCs/>
          <w:color w:val="000000"/>
          <w:sz w:val="20"/>
          <w:szCs w:val="20"/>
        </w:rPr>
        <w:t>Income Taxes</w:t>
      </w:r>
    </w:p>
    <w:p w14:paraId="5F2D3C87" w14:textId="77777777" w:rsidR="00E836FB" w:rsidRDefault="00994958">
      <w:pPr>
        <w:spacing w:before="60"/>
        <w:ind w:firstLine="450"/>
        <w:jc w:val="both"/>
        <w:textAlignment w:val="top"/>
      </w:pPr>
      <w:r>
        <w:rPr>
          <w:rFonts w:ascii="Arial" w:eastAsia="宋体" w:hAnsi="Arial" w:cs="Arial"/>
          <w:color w:val="000000"/>
          <w:sz w:val="20"/>
          <w:szCs w:val="20"/>
        </w:rPr>
        <w:t xml:space="preserve">In determining our provision for income taxes, we make certain judgments and interpretations with respect to tax laws in jurisdictions in which we have business operations. Because of the complex nature of these laws, in the normal course of our business, </w:t>
      </w:r>
      <w:r>
        <w:rPr>
          <w:rFonts w:ascii="Arial" w:eastAsia="宋体" w:hAnsi="Arial" w:cs="Arial"/>
          <w:color w:val="000000"/>
          <w:sz w:val="20"/>
          <w:szCs w:val="20"/>
        </w:rPr>
        <w:t>we are subject to challenges from U.S. and non-U.S. income tax authorities regarding the amount of income taxes due. These challenges may result in adjustments to the timing or amount of taxable income or deductions or the allocation of taxable income amon</w:t>
      </w:r>
      <w:r>
        <w:rPr>
          <w:rFonts w:ascii="Arial" w:eastAsia="宋体" w:hAnsi="Arial" w:cs="Arial"/>
          <w:color w:val="000000"/>
          <w:sz w:val="20"/>
          <w:szCs w:val="20"/>
        </w:rPr>
        <w:t>g tax jurisdictions. We recognize a tax benefit when it is more likely than not that our position will result in a tax deduction or credit. Unrecognized tax benefits of approximately $252 million as of December 31, 2021 decreased from $308 million as of De</w:t>
      </w:r>
      <w:r>
        <w:rPr>
          <w:rFonts w:ascii="Arial" w:eastAsia="宋体" w:hAnsi="Arial" w:cs="Arial"/>
          <w:color w:val="000000"/>
          <w:sz w:val="20"/>
          <w:szCs w:val="20"/>
        </w:rPr>
        <w:t xml:space="preserve">cember 31, 2020. </w:t>
      </w:r>
    </w:p>
    <w:p w14:paraId="5F2D3C88" w14:textId="77777777" w:rsidR="00E836FB" w:rsidRDefault="00994958">
      <w:pPr>
        <w:ind w:firstLine="450"/>
        <w:jc w:val="both"/>
        <w:textAlignment w:val="top"/>
      </w:pPr>
      <w:r>
        <w:rPr>
          <w:rFonts w:ascii="Arial" w:eastAsia="宋体" w:hAnsi="Arial" w:cs="Arial"/>
          <w:color w:val="000000"/>
          <w:sz w:val="20"/>
          <w:szCs w:val="20"/>
        </w:rPr>
        <w:t>We are presently under audit by a number of tax authorities. The earliest tax year open to examination in jurisdictions where we have material operations is 2013. Management believes that we have sufficiently accrued liabilities as of Dec</w:t>
      </w:r>
      <w:r>
        <w:rPr>
          <w:rFonts w:ascii="Arial" w:eastAsia="宋体" w:hAnsi="Arial" w:cs="Arial"/>
          <w:color w:val="000000"/>
          <w:sz w:val="20"/>
          <w:szCs w:val="20"/>
        </w:rPr>
        <w:t>ember 31, 2021 for potential tax exposures.</w:t>
      </w:r>
    </w:p>
    <w:p w14:paraId="5F2D3C89" w14:textId="77777777" w:rsidR="00E836FB" w:rsidRDefault="00994958">
      <w:pPr>
        <w:spacing w:before="90"/>
        <w:textAlignment w:val="top"/>
      </w:pPr>
      <w:r>
        <w:rPr>
          <w:rFonts w:ascii="Arial" w:eastAsia="宋体" w:hAnsi="Arial" w:cs="Arial"/>
          <w:b/>
          <w:bCs/>
          <w:color w:val="000000"/>
          <w:sz w:val="20"/>
          <w:szCs w:val="20"/>
        </w:rPr>
        <w:t>Note 14.    Variable Interest Entities</w:t>
      </w:r>
    </w:p>
    <w:p w14:paraId="5F2D3C8A" w14:textId="77777777" w:rsidR="00E836FB" w:rsidRDefault="00994958">
      <w:pPr>
        <w:spacing w:before="20"/>
        <w:ind w:firstLine="450"/>
        <w:jc w:val="both"/>
        <w:textAlignment w:val="top"/>
      </w:pPr>
      <w:r>
        <w:rPr>
          <w:rFonts w:ascii="Arial" w:eastAsia="宋体" w:hAnsi="Arial" w:cs="Arial"/>
          <w:color w:val="000000"/>
          <w:sz w:val="20"/>
          <w:szCs w:val="20"/>
        </w:rPr>
        <w:t>We are involved, in the normal course of our business, with various types of special purpose entities, some of which meet the definition of VIEs. When evaluating a VIE for c</w:t>
      </w:r>
      <w:r>
        <w:rPr>
          <w:rFonts w:ascii="Arial" w:eastAsia="宋体" w:hAnsi="Arial" w:cs="Arial"/>
          <w:color w:val="000000"/>
          <w:sz w:val="20"/>
          <w:szCs w:val="20"/>
        </w:rPr>
        <w:t xml:space="preserve">onsolidation, we must determine whether or not we have a variable interest in the entity. Variable interests are investments or other interests that absorb portions of an entity’s expected losses or receive portions of the entity’s expected returns. If it </w:t>
      </w:r>
      <w:r>
        <w:rPr>
          <w:rFonts w:ascii="Arial" w:eastAsia="宋体" w:hAnsi="Arial" w:cs="Arial"/>
          <w:color w:val="000000"/>
          <w:sz w:val="20"/>
          <w:szCs w:val="20"/>
        </w:rPr>
        <w:t>is determined that we do not have a variable interest in the VIE, no further analysis is required and we do not consolidate the VIE. If we hold a variable interest in a VIE, we are required by U.S. GAAP to consolidate that VIE when we have a controlling fi</w:t>
      </w:r>
      <w:r>
        <w:rPr>
          <w:rFonts w:ascii="Arial" w:eastAsia="宋体" w:hAnsi="Arial" w:cs="Arial"/>
          <w:color w:val="000000"/>
          <w:sz w:val="20"/>
          <w:szCs w:val="20"/>
        </w:rPr>
        <w:t xml:space="preserve">nancial interest in the VIE and therefore are deemed to be the primary beneficiary. We are determined to have a controlling financial interest in a VIE when it has both the power to direct the activities of the VIE that most significantly impact the VIE’s </w:t>
      </w:r>
      <w:r>
        <w:rPr>
          <w:rFonts w:ascii="Arial" w:eastAsia="宋体" w:hAnsi="Arial" w:cs="Arial"/>
          <w:color w:val="000000"/>
          <w:sz w:val="20"/>
          <w:szCs w:val="20"/>
        </w:rPr>
        <w:t>economic performance and the obligation to absorb losses or the right to receive benefits of the VIE that could potentially be significant to that VIE. This determination is evaluated periodically as facts and circumstances change.</w:t>
      </w:r>
    </w:p>
    <w:p w14:paraId="5F2D3C8B" w14:textId="77777777" w:rsidR="00E836FB" w:rsidRDefault="00994958">
      <w:pPr>
        <w:spacing w:before="60"/>
        <w:jc w:val="both"/>
        <w:textAlignment w:val="top"/>
      </w:pPr>
      <w:r>
        <w:rPr>
          <w:rFonts w:ascii="Arial" w:eastAsia="宋体" w:hAnsi="Arial" w:cs="Arial"/>
          <w:b/>
          <w:bCs/>
          <w:i/>
          <w:iCs/>
          <w:color w:val="000000"/>
          <w:sz w:val="20"/>
          <w:szCs w:val="20"/>
        </w:rPr>
        <w:t xml:space="preserve">Asset-Backed Investment </w:t>
      </w:r>
      <w:r>
        <w:rPr>
          <w:rFonts w:ascii="Arial" w:eastAsia="宋体" w:hAnsi="Arial" w:cs="Arial"/>
          <w:b/>
          <w:bCs/>
          <w:i/>
          <w:iCs/>
          <w:color w:val="000000"/>
          <w:sz w:val="20"/>
          <w:szCs w:val="20"/>
        </w:rPr>
        <w:t>Securities</w:t>
      </w:r>
    </w:p>
    <w:p w14:paraId="5F2D3C8C" w14:textId="77777777" w:rsidR="00E836FB" w:rsidRDefault="00994958">
      <w:pPr>
        <w:spacing w:before="20"/>
        <w:ind w:firstLine="450"/>
        <w:jc w:val="both"/>
        <w:textAlignment w:val="top"/>
      </w:pPr>
      <w:r>
        <w:rPr>
          <w:rFonts w:ascii="Arial" w:eastAsia="宋体" w:hAnsi="Arial" w:cs="Arial"/>
          <w:color w:val="000000"/>
          <w:sz w:val="20"/>
          <w:szCs w:val="20"/>
        </w:rPr>
        <w:t>We invest in various forms of ABS, which we carry in our investment securities portfolio. These ABS meet the U.S. GAAP definition of asset securitization entities, which are considered to be VIEs. We are not considered to be the primary benefici</w:t>
      </w:r>
      <w:r>
        <w:rPr>
          <w:rFonts w:ascii="Arial" w:eastAsia="宋体" w:hAnsi="Arial" w:cs="Arial"/>
          <w:color w:val="000000"/>
          <w:sz w:val="20"/>
          <w:szCs w:val="20"/>
        </w:rPr>
        <w:t>ary of these VIEs since we do not have control over their activities. Additional information about our ABS is provided in Note 3.</w:t>
      </w:r>
    </w:p>
    <w:p w14:paraId="5F2D3C8D" w14:textId="77777777" w:rsidR="00E836FB" w:rsidRDefault="00994958">
      <w:pPr>
        <w:spacing w:before="60"/>
        <w:jc w:val="both"/>
        <w:textAlignment w:val="top"/>
      </w:pPr>
      <w:r>
        <w:rPr>
          <w:rFonts w:ascii="Arial" w:eastAsia="宋体" w:hAnsi="Arial" w:cs="Arial"/>
          <w:b/>
          <w:bCs/>
          <w:i/>
          <w:iCs/>
          <w:color w:val="000000"/>
          <w:sz w:val="20"/>
          <w:szCs w:val="20"/>
        </w:rPr>
        <w:t>Tax-Exempt Investment Program</w:t>
      </w:r>
    </w:p>
    <w:p w14:paraId="5F2D3C8E" w14:textId="77777777" w:rsidR="00E836FB" w:rsidRDefault="00994958">
      <w:pPr>
        <w:spacing w:before="20"/>
        <w:ind w:firstLine="450"/>
        <w:jc w:val="both"/>
        <w:textAlignment w:val="top"/>
      </w:pPr>
      <w:r>
        <w:rPr>
          <w:rFonts w:ascii="Arial" w:eastAsia="宋体" w:hAnsi="Arial" w:cs="Arial"/>
          <w:color w:val="000000"/>
          <w:sz w:val="20"/>
          <w:szCs w:val="20"/>
        </w:rPr>
        <w:t>In the normal course of our business, we structure and sell certificated interests in pools of t</w:t>
      </w:r>
      <w:r>
        <w:rPr>
          <w:rFonts w:ascii="Arial" w:eastAsia="宋体" w:hAnsi="Arial" w:cs="Arial"/>
          <w:color w:val="000000"/>
          <w:sz w:val="20"/>
          <w:szCs w:val="20"/>
        </w:rPr>
        <w:t>ax-exempt investment grade assets, principally to our mutual fund clients. We structure these pools as partnership trusts, and the assets and liabilities of the trusts are recorded in our consolidated statement of condition as AFS investment securities and</w:t>
      </w:r>
      <w:r>
        <w:rPr>
          <w:rFonts w:ascii="Arial" w:eastAsia="宋体" w:hAnsi="Arial" w:cs="Arial"/>
          <w:color w:val="000000"/>
          <w:sz w:val="20"/>
          <w:szCs w:val="20"/>
        </w:rPr>
        <w:t xml:space="preserve"> other short-term borrowings.</w:t>
      </w:r>
    </w:p>
    <w:p w14:paraId="5F2D3C8F" w14:textId="77777777" w:rsidR="00E836FB" w:rsidRDefault="00994958">
      <w:pPr>
        <w:spacing w:before="20"/>
        <w:ind w:firstLine="450"/>
        <w:jc w:val="both"/>
        <w:textAlignment w:val="top"/>
      </w:pPr>
      <w:r>
        <w:rPr>
          <w:rFonts w:ascii="Arial" w:eastAsia="宋体" w:hAnsi="Arial" w:cs="Arial"/>
          <w:color w:val="000000"/>
          <w:sz w:val="20"/>
          <w:szCs w:val="20"/>
        </w:rPr>
        <w:t>We transfer assets to the trusts from our investment securities portfolio at adjusted book value, and the trusts finance the acquisition of these assets by selling certificated interests issued by the trust to third-party inve</w:t>
      </w:r>
      <w:r>
        <w:rPr>
          <w:rFonts w:ascii="Arial" w:eastAsia="宋体" w:hAnsi="Arial" w:cs="Arial"/>
          <w:color w:val="000000"/>
          <w:sz w:val="20"/>
          <w:szCs w:val="20"/>
        </w:rPr>
        <w:t>stors and to us as residual holder. These transfers do not meet the de-recognition criteria defined by U.S. GAAP, and therefore, the assets continue to be recorded in our consolidated financial statements. As of December 31, 2020, we carried AFS investment</w:t>
      </w:r>
      <w:r>
        <w:rPr>
          <w:rFonts w:ascii="Arial" w:eastAsia="宋体" w:hAnsi="Arial" w:cs="Arial"/>
          <w:color w:val="000000"/>
          <w:sz w:val="20"/>
          <w:szCs w:val="20"/>
        </w:rPr>
        <w:t xml:space="preserve"> securities, composed of securities related to state and political subdivisions, with a fair value of $0.70 billion, and other short-term borrowings of $0.62 billion in our consolidated statement of condition in connection with these trusts. </w:t>
      </w:r>
    </w:p>
    <w:p w14:paraId="5F2D3C90" w14:textId="77777777" w:rsidR="00E836FB" w:rsidRDefault="00994958">
      <w:pPr>
        <w:spacing w:before="20"/>
        <w:ind w:firstLine="450"/>
        <w:jc w:val="both"/>
        <w:textAlignment w:val="top"/>
      </w:pPr>
      <w:r>
        <w:rPr>
          <w:rFonts w:ascii="Arial" w:eastAsia="宋体" w:hAnsi="Arial" w:cs="Arial"/>
          <w:color w:val="000000"/>
          <w:sz w:val="20"/>
          <w:szCs w:val="20"/>
        </w:rPr>
        <w:t>In November 2</w:t>
      </w:r>
      <w:r>
        <w:rPr>
          <w:rFonts w:ascii="Arial" w:eastAsia="宋体" w:hAnsi="Arial" w:cs="Arial"/>
          <w:color w:val="000000"/>
          <w:sz w:val="20"/>
          <w:szCs w:val="20"/>
        </w:rPr>
        <w:t>021, all certificated interests issued by the trusts were repaid. As of December 31, 2021, we carried $0.52 billion of AFS investment securities related to state and political subdivisions previously held by these trusts.</w:t>
      </w:r>
    </w:p>
    <w:p w14:paraId="5F2D3C91" w14:textId="77777777" w:rsidR="00E836FB" w:rsidRDefault="00994958">
      <w:pPr>
        <w:spacing w:before="20"/>
        <w:ind w:firstLine="450"/>
        <w:jc w:val="both"/>
        <w:textAlignment w:val="top"/>
      </w:pPr>
      <w:r>
        <w:rPr>
          <w:rFonts w:ascii="Arial" w:eastAsia="宋体" w:hAnsi="Arial" w:cs="Arial"/>
          <w:color w:val="000000"/>
          <w:sz w:val="20"/>
          <w:szCs w:val="20"/>
        </w:rPr>
        <w:t>Under separate legal agreements, w</w:t>
      </w:r>
      <w:r>
        <w:rPr>
          <w:rFonts w:ascii="Arial" w:eastAsia="宋体" w:hAnsi="Arial" w:cs="Arial"/>
          <w:color w:val="000000"/>
          <w:sz w:val="20"/>
          <w:szCs w:val="20"/>
        </w:rPr>
        <w:t>e provide liquidity facilities to these trusts and, with respect to certain securities, letters of credit. As of December 31, 2021, our commitments related to the trusts have been reduced to zero.</w:t>
      </w:r>
    </w:p>
    <w:p w14:paraId="5F2D3C92" w14:textId="77777777" w:rsidR="00E836FB" w:rsidRDefault="00994958">
      <w:pPr>
        <w:spacing w:before="60"/>
        <w:jc w:val="both"/>
        <w:textAlignment w:val="top"/>
      </w:pPr>
      <w:r>
        <w:rPr>
          <w:rFonts w:ascii="Arial" w:eastAsia="宋体" w:hAnsi="Arial" w:cs="Arial"/>
          <w:b/>
          <w:bCs/>
          <w:i/>
          <w:iCs/>
          <w:color w:val="000000"/>
          <w:sz w:val="20"/>
          <w:szCs w:val="20"/>
        </w:rPr>
        <w:t>Interests in Investment Funds</w:t>
      </w:r>
    </w:p>
    <w:p w14:paraId="5F2D3C93" w14:textId="77777777" w:rsidR="00E836FB" w:rsidRDefault="00994958">
      <w:pPr>
        <w:spacing w:before="20"/>
        <w:ind w:firstLine="450"/>
        <w:jc w:val="both"/>
        <w:textAlignment w:val="top"/>
      </w:pPr>
      <w:r>
        <w:rPr>
          <w:rFonts w:ascii="Arial" w:eastAsia="宋体" w:hAnsi="Arial" w:cs="Arial"/>
          <w:color w:val="000000"/>
          <w:sz w:val="20"/>
          <w:szCs w:val="20"/>
        </w:rPr>
        <w:t>In the normal course of busin</w:t>
      </w:r>
      <w:r>
        <w:rPr>
          <w:rFonts w:ascii="Arial" w:eastAsia="宋体" w:hAnsi="Arial" w:cs="Arial"/>
          <w:color w:val="000000"/>
          <w:sz w:val="20"/>
          <w:szCs w:val="20"/>
        </w:rPr>
        <w:t>ess, we manage various types of investment funds through State Street Global Advisors in which</w:t>
      </w:r>
      <w:r>
        <w:rPr>
          <w:rFonts w:ascii="Times New Roman" w:eastAsia="宋体" w:hAnsi="Times New Roman"/>
          <w:color w:val="000000"/>
          <w:sz w:val="22"/>
          <w:szCs w:val="22"/>
        </w:rPr>
        <w:t xml:space="preserve"> </w:t>
      </w:r>
      <w:r>
        <w:rPr>
          <w:rFonts w:ascii="Arial" w:eastAsia="宋体" w:hAnsi="Arial" w:cs="Arial"/>
          <w:color w:val="000000"/>
          <w:sz w:val="20"/>
          <w:szCs w:val="20"/>
        </w:rPr>
        <w:t>our clients are investors, including State Street Global Advisors commingled investment vehicles and other similar investment structures. The majority of our AUM</w:t>
      </w:r>
      <w:r>
        <w:rPr>
          <w:rFonts w:ascii="Arial" w:eastAsia="宋体" w:hAnsi="Arial" w:cs="Arial"/>
          <w:color w:val="000000"/>
          <w:sz w:val="20"/>
          <w:szCs w:val="20"/>
        </w:rPr>
        <w:t xml:space="preserve"> are contained within such funds. The services we provide to these funds generate management fee revenue. From time to time, we may invest cash in the funds in order for the funds to establish a performance history for newly-launched strategies, referred t</w:t>
      </w:r>
      <w:r>
        <w:rPr>
          <w:rFonts w:ascii="Arial" w:eastAsia="宋体" w:hAnsi="Arial" w:cs="Arial"/>
          <w:color w:val="000000"/>
          <w:sz w:val="20"/>
          <w:szCs w:val="20"/>
        </w:rPr>
        <w:t xml:space="preserve">o as seed capital, or for other purposes. </w:t>
      </w:r>
    </w:p>
    <w:p w14:paraId="5F2D3C94" w14:textId="77777777" w:rsidR="00E836FB" w:rsidRDefault="00994958">
      <w:pPr>
        <w:spacing w:before="20"/>
        <w:ind w:firstLine="450"/>
        <w:jc w:val="both"/>
        <w:textAlignment w:val="top"/>
      </w:pPr>
      <w:r>
        <w:rPr>
          <w:rFonts w:ascii="Arial" w:eastAsia="宋体" w:hAnsi="Arial" w:cs="Arial"/>
          <w:color w:val="000000"/>
          <w:sz w:val="20"/>
          <w:szCs w:val="20"/>
        </w:rPr>
        <w:t>With respect to our interests in funds that meet the definition of a VIE, a primary beneficiary assessment is performed to determine if we have a controlling financial interest. As part of our assessment, we consi</w:t>
      </w:r>
      <w:r>
        <w:rPr>
          <w:rFonts w:ascii="Arial" w:eastAsia="宋体" w:hAnsi="Arial" w:cs="Arial"/>
          <w:color w:val="000000"/>
          <w:sz w:val="20"/>
          <w:szCs w:val="20"/>
        </w:rPr>
        <w:t>der all the facts and circumstances regarding the terms and characteristics of the variable interest(s), the design and characteristics of the fund and the other involvements of the enterprise with the fund. Upon consolidation of certain funds, we retain t</w:t>
      </w:r>
      <w:r>
        <w:rPr>
          <w:rFonts w:ascii="Arial" w:eastAsia="宋体" w:hAnsi="Arial" w:cs="Arial"/>
          <w:color w:val="000000"/>
          <w:sz w:val="20"/>
          <w:szCs w:val="20"/>
        </w:rPr>
        <w:t xml:space="preserve">he specialized investment company accounting rules followed by the underlying funds. </w:t>
      </w:r>
    </w:p>
    <w:p w14:paraId="5F2D3C95" w14:textId="77777777" w:rsidR="00E836FB" w:rsidRDefault="00994958">
      <w:pPr>
        <w:ind w:firstLine="450"/>
        <w:jc w:val="right"/>
      </w:pPr>
      <w:r>
        <w:rPr>
          <w:rFonts w:ascii="Arial" w:eastAsia="宋体" w:hAnsi="Arial" w:cs="Arial"/>
          <w:color w:val="000000"/>
          <w:sz w:val="18"/>
          <w:szCs w:val="18"/>
        </w:rPr>
        <w:t>State Street Corporation | 168</w:t>
      </w:r>
    </w:p>
    <w:p w14:paraId="5F2D3C96" w14:textId="77777777" w:rsidR="00E836FB" w:rsidRDefault="00E836FB">
      <w:pPr>
        <w:ind w:firstLine="450"/>
        <w:jc w:val="center"/>
      </w:pPr>
    </w:p>
    <w:p w14:paraId="5F2D3C97" w14:textId="77777777" w:rsidR="00E836FB" w:rsidRDefault="00994958">
      <w:r>
        <w:pict w14:anchorId="5F2D6E2D">
          <v:rect id="_x0000_i1192" style="width:415.3pt;height:1.5pt" o:hralign="center" o:hrstd="t" o:hr="t" fillcolor="#a0a0a0" stroked="f"/>
        </w:pict>
      </w:r>
    </w:p>
    <w:p w14:paraId="5F2D3C98" w14:textId="77777777" w:rsidR="00E836FB" w:rsidRDefault="00994958">
      <w:pPr>
        <w:ind w:firstLine="450"/>
        <w:jc w:val="center"/>
      </w:pPr>
      <w:r>
        <w:rPr>
          <w:rFonts w:ascii="Arial" w:eastAsia="宋体" w:hAnsi="Arial" w:cs="Arial"/>
          <w:b/>
          <w:bCs/>
          <w:color w:val="000000"/>
          <w:sz w:val="20"/>
          <w:szCs w:val="20"/>
        </w:rPr>
        <w:t>STATE STREET CORPORATION</w:t>
      </w:r>
    </w:p>
    <w:p w14:paraId="5F2D3C99"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3C9A" w14:textId="77777777" w:rsidR="00E836FB" w:rsidRDefault="00994958">
      <w:pPr>
        <w:spacing w:before="60"/>
        <w:ind w:firstLine="450"/>
        <w:jc w:val="both"/>
      </w:pPr>
      <w:r>
        <w:rPr>
          <w:rFonts w:ascii="Arial" w:eastAsia="宋体" w:hAnsi="Arial" w:cs="Arial"/>
          <w:color w:val="000000"/>
          <w:sz w:val="20"/>
          <w:szCs w:val="20"/>
        </w:rPr>
        <w:t xml:space="preserve">All of the underlying investments held by such consolidated funds are carried at fair value, with corresponding changes in the investments’ fair values reflected in foreign exchange trading services revenue in our consolidated statement of income. When we </w:t>
      </w:r>
      <w:r>
        <w:rPr>
          <w:rFonts w:ascii="Arial" w:eastAsia="宋体" w:hAnsi="Arial" w:cs="Arial"/>
          <w:color w:val="000000"/>
          <w:sz w:val="20"/>
          <w:szCs w:val="20"/>
        </w:rPr>
        <w:t xml:space="preserve">no longer control these funds due to a reduced ownership interest or other reasons, the funds are de-consolidated and accounted for under another accounting method if we continue to maintain investments in the funds. </w:t>
      </w:r>
    </w:p>
    <w:p w14:paraId="5F2D3C9B" w14:textId="77777777" w:rsidR="00E836FB" w:rsidRDefault="00994958">
      <w:pPr>
        <w:spacing w:before="60"/>
        <w:ind w:firstLine="450"/>
        <w:jc w:val="both"/>
      </w:pPr>
      <w:r>
        <w:rPr>
          <w:rFonts w:ascii="Arial" w:eastAsia="宋体" w:hAnsi="Arial" w:cs="Arial"/>
          <w:color w:val="000000"/>
          <w:sz w:val="20"/>
          <w:szCs w:val="20"/>
        </w:rPr>
        <w:t>As of December 31, 2021, we had no con</w:t>
      </w:r>
      <w:r>
        <w:rPr>
          <w:rFonts w:ascii="Arial" w:eastAsia="宋体" w:hAnsi="Arial" w:cs="Arial"/>
          <w:color w:val="000000"/>
          <w:sz w:val="20"/>
          <w:szCs w:val="20"/>
        </w:rPr>
        <w:t>solidated funds. As of December 31, 2020, the aggregate assets and liabilities of our consolidated sponsored investment funds totaled $17 million and $4 million, respectively. As of December 31, 2020, our maximum total exposure associated with the consolid</w:t>
      </w:r>
      <w:r>
        <w:rPr>
          <w:rFonts w:ascii="Arial" w:eastAsia="宋体" w:hAnsi="Arial" w:cs="Arial"/>
          <w:color w:val="000000"/>
          <w:sz w:val="20"/>
          <w:szCs w:val="20"/>
        </w:rPr>
        <w:t xml:space="preserve">ated sponsored investment funds totaled $13 million and represented the value of our economic ownership interest in the funds. </w:t>
      </w:r>
    </w:p>
    <w:p w14:paraId="5F2D3C9C" w14:textId="77777777" w:rsidR="00E836FB" w:rsidRDefault="00994958">
      <w:pPr>
        <w:spacing w:before="60"/>
        <w:ind w:firstLine="450"/>
        <w:jc w:val="both"/>
      </w:pPr>
      <w:r>
        <w:rPr>
          <w:rFonts w:ascii="Arial" w:eastAsia="宋体" w:hAnsi="Arial" w:cs="Arial"/>
          <w:color w:val="000000"/>
          <w:sz w:val="20"/>
          <w:szCs w:val="20"/>
        </w:rPr>
        <w:t>Our conclusion to consolidate a fund may vary from period to period, most commonly as a result of fluctuation in our ownership i</w:t>
      </w:r>
      <w:r>
        <w:rPr>
          <w:rFonts w:ascii="Arial" w:eastAsia="宋体" w:hAnsi="Arial" w:cs="Arial"/>
          <w:color w:val="000000"/>
          <w:sz w:val="20"/>
          <w:szCs w:val="20"/>
        </w:rPr>
        <w:t>nterest as a result of changes in the number of fund shares held by either us or by third parties. Given that the funds follow specialized investment company accounting rules which prescribe fair value, a de-consolidation generally would not result in gain</w:t>
      </w:r>
      <w:r>
        <w:rPr>
          <w:rFonts w:ascii="Arial" w:eastAsia="宋体" w:hAnsi="Arial" w:cs="Arial"/>
          <w:color w:val="000000"/>
          <w:sz w:val="20"/>
          <w:szCs w:val="20"/>
        </w:rPr>
        <w:t xml:space="preserve">s or losses for us. </w:t>
      </w:r>
    </w:p>
    <w:p w14:paraId="5F2D3C9D" w14:textId="77777777" w:rsidR="00E836FB" w:rsidRDefault="00994958">
      <w:pPr>
        <w:spacing w:before="60"/>
        <w:ind w:firstLine="450"/>
        <w:jc w:val="both"/>
      </w:pPr>
      <w:r>
        <w:rPr>
          <w:rFonts w:ascii="Arial" w:eastAsia="宋体" w:hAnsi="Arial" w:cs="Arial"/>
          <w:color w:val="000000"/>
          <w:sz w:val="20"/>
          <w:szCs w:val="20"/>
        </w:rPr>
        <w:t>The net assets of any consolidated fund are solely available to settle the liabilities of the fund and to settle any investors’ ownership redemption requests, including any seed capital invested in the fund by us. We are not contractua</w:t>
      </w:r>
      <w:r>
        <w:rPr>
          <w:rFonts w:ascii="Arial" w:eastAsia="宋体" w:hAnsi="Arial" w:cs="Arial"/>
          <w:color w:val="000000"/>
          <w:sz w:val="20"/>
          <w:szCs w:val="20"/>
        </w:rPr>
        <w:t>lly required to provide financial or any other support to any of our funds. In addition, neither creditors nor equity investors in the funds have any recourse to our general credit.</w:t>
      </w:r>
    </w:p>
    <w:p w14:paraId="5F2D3C9E" w14:textId="77777777" w:rsidR="00E836FB" w:rsidRDefault="00994958">
      <w:pPr>
        <w:spacing w:before="60"/>
        <w:ind w:firstLine="450"/>
        <w:jc w:val="both"/>
      </w:pPr>
      <w:r>
        <w:rPr>
          <w:rFonts w:ascii="Arial" w:eastAsia="宋体" w:hAnsi="Arial" w:cs="Arial"/>
          <w:color w:val="000000"/>
          <w:sz w:val="20"/>
          <w:szCs w:val="20"/>
        </w:rPr>
        <w:t>As of December 31, 2021 and December 31, 2020, we managed certain funds, c</w:t>
      </w:r>
      <w:r>
        <w:rPr>
          <w:rFonts w:ascii="Arial" w:eastAsia="宋体" w:hAnsi="Arial" w:cs="Arial"/>
          <w:color w:val="000000"/>
          <w:sz w:val="20"/>
          <w:szCs w:val="20"/>
        </w:rPr>
        <w:t>onsidered VIEs, in which we held a variable interest but for which we were not deemed to be the primary beneficiary. Our potential maximum loss exposure related to these unconsolidated funds totaled $17 million and $22 million as of December 31, 2021 and D</w:t>
      </w:r>
      <w:r>
        <w:rPr>
          <w:rFonts w:ascii="Arial" w:eastAsia="宋体" w:hAnsi="Arial" w:cs="Arial"/>
          <w:color w:val="000000"/>
          <w:sz w:val="20"/>
          <w:szCs w:val="20"/>
        </w:rPr>
        <w:t>ecember 31, 2020, respectively, and represented the carrying value of our investments, which are recorded in other assets in our consolidated statement of condition. The amount of loss we may recognize during any period is limited to the carrying amount of</w:t>
      </w:r>
      <w:r>
        <w:rPr>
          <w:rFonts w:ascii="Arial" w:eastAsia="宋体" w:hAnsi="Arial" w:cs="Arial"/>
          <w:color w:val="000000"/>
          <w:sz w:val="20"/>
          <w:szCs w:val="20"/>
        </w:rPr>
        <w:t xml:space="preserve"> our investments in the unconsolidated funds.</w:t>
      </w:r>
    </w:p>
    <w:p w14:paraId="5F2D3C9F" w14:textId="77777777" w:rsidR="00E836FB" w:rsidRDefault="00994958">
      <w:pPr>
        <w:spacing w:before="180"/>
      </w:pPr>
      <w:r>
        <w:rPr>
          <w:rFonts w:ascii="Arial" w:eastAsia="宋体" w:hAnsi="Arial" w:cs="Arial"/>
          <w:b/>
          <w:bCs/>
          <w:color w:val="000000"/>
          <w:sz w:val="20"/>
          <w:szCs w:val="20"/>
        </w:rPr>
        <w:t>Note 15.    Shareholders' Equity</w:t>
      </w:r>
    </w:p>
    <w:p w14:paraId="5F2D3CA0" w14:textId="77777777" w:rsidR="00E836FB" w:rsidRDefault="00994958">
      <w:pPr>
        <w:spacing w:before="60"/>
      </w:pPr>
      <w:r>
        <w:rPr>
          <w:rFonts w:ascii="Arial" w:eastAsia="宋体" w:hAnsi="Arial" w:cs="Arial"/>
          <w:b/>
          <w:bCs/>
          <w:i/>
          <w:iCs/>
          <w:color w:val="000000"/>
          <w:sz w:val="20"/>
          <w:szCs w:val="20"/>
        </w:rPr>
        <w:t xml:space="preserve">Preferred Stock </w:t>
      </w:r>
    </w:p>
    <w:p w14:paraId="5F2D3CA1" w14:textId="77777777" w:rsidR="00E836FB" w:rsidRDefault="00994958">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The following table summarizes selected terms of each of the series of the preferred stock issued and outstanding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90"/>
        <w:gridCol w:w="476"/>
        <w:gridCol w:w="36"/>
        <w:gridCol w:w="36"/>
        <w:gridCol w:w="36"/>
        <w:gridCol w:w="36"/>
        <w:gridCol w:w="61"/>
        <w:gridCol w:w="622"/>
        <w:gridCol w:w="37"/>
        <w:gridCol w:w="36"/>
        <w:gridCol w:w="36"/>
        <w:gridCol w:w="36"/>
        <w:gridCol w:w="86"/>
        <w:gridCol w:w="567"/>
        <w:gridCol w:w="36"/>
        <w:gridCol w:w="36"/>
        <w:gridCol w:w="36"/>
        <w:gridCol w:w="36"/>
        <w:gridCol w:w="86"/>
        <w:gridCol w:w="567"/>
        <w:gridCol w:w="36"/>
        <w:gridCol w:w="36"/>
        <w:gridCol w:w="36"/>
        <w:gridCol w:w="36"/>
        <w:gridCol w:w="89"/>
        <w:gridCol w:w="590"/>
        <w:gridCol w:w="36"/>
        <w:gridCol w:w="36"/>
        <w:gridCol w:w="36"/>
        <w:gridCol w:w="36"/>
        <w:gridCol w:w="89"/>
        <w:gridCol w:w="590"/>
        <w:gridCol w:w="36"/>
        <w:gridCol w:w="36"/>
        <w:gridCol w:w="36"/>
        <w:gridCol w:w="36"/>
        <w:gridCol w:w="40"/>
        <w:gridCol w:w="900"/>
        <w:gridCol w:w="37"/>
        <w:gridCol w:w="36"/>
        <w:gridCol w:w="36"/>
        <w:gridCol w:w="36"/>
        <w:gridCol w:w="106"/>
        <w:gridCol w:w="686"/>
        <w:gridCol w:w="37"/>
        <w:gridCol w:w="36"/>
        <w:gridCol w:w="36"/>
        <w:gridCol w:w="36"/>
        <w:gridCol w:w="88"/>
        <w:gridCol w:w="539"/>
        <w:gridCol w:w="36"/>
        <w:gridCol w:w="36"/>
        <w:gridCol w:w="36"/>
        <w:gridCol w:w="36"/>
        <w:gridCol w:w="60"/>
        <w:gridCol w:w="669"/>
        <w:gridCol w:w="36"/>
      </w:tblGrid>
      <w:tr w:rsidR="00E836FB" w14:paraId="5F2D3CDB" w14:textId="77777777">
        <w:tc>
          <w:tcPr>
            <w:tcW w:w="50" w:type="pct"/>
            <w:shd w:val="clear" w:color="auto" w:fill="auto"/>
            <w:vAlign w:val="bottom"/>
          </w:tcPr>
          <w:p w14:paraId="5F2D3CA2" w14:textId="77777777" w:rsidR="00E836FB" w:rsidRDefault="00E836FB">
            <w:pPr>
              <w:rPr>
                <w:rFonts w:ascii="宋体"/>
              </w:rPr>
            </w:pPr>
          </w:p>
        </w:tc>
        <w:tc>
          <w:tcPr>
            <w:tcW w:w="266" w:type="pct"/>
            <w:shd w:val="clear" w:color="auto" w:fill="auto"/>
            <w:vAlign w:val="bottom"/>
          </w:tcPr>
          <w:p w14:paraId="5F2D3CA3" w14:textId="77777777" w:rsidR="00E836FB" w:rsidRDefault="00E836FB">
            <w:pPr>
              <w:rPr>
                <w:rFonts w:ascii="宋体"/>
              </w:rPr>
            </w:pPr>
          </w:p>
        </w:tc>
        <w:tc>
          <w:tcPr>
            <w:tcW w:w="5" w:type="pct"/>
            <w:shd w:val="clear" w:color="auto" w:fill="auto"/>
            <w:vAlign w:val="bottom"/>
          </w:tcPr>
          <w:p w14:paraId="5F2D3CA4" w14:textId="77777777" w:rsidR="00E836FB" w:rsidRDefault="00E836FB">
            <w:pPr>
              <w:rPr>
                <w:rFonts w:ascii="宋体"/>
              </w:rPr>
            </w:pPr>
          </w:p>
        </w:tc>
        <w:tc>
          <w:tcPr>
            <w:tcW w:w="5" w:type="pct"/>
            <w:shd w:val="clear" w:color="auto" w:fill="auto"/>
            <w:vAlign w:val="bottom"/>
          </w:tcPr>
          <w:p w14:paraId="5F2D3CA5" w14:textId="77777777" w:rsidR="00E836FB" w:rsidRDefault="00E836FB">
            <w:pPr>
              <w:rPr>
                <w:rFonts w:ascii="宋体"/>
              </w:rPr>
            </w:pPr>
          </w:p>
        </w:tc>
        <w:tc>
          <w:tcPr>
            <w:tcW w:w="19" w:type="pct"/>
            <w:shd w:val="clear" w:color="auto" w:fill="auto"/>
            <w:vAlign w:val="bottom"/>
          </w:tcPr>
          <w:p w14:paraId="5F2D3CA6" w14:textId="77777777" w:rsidR="00E836FB" w:rsidRDefault="00E836FB">
            <w:pPr>
              <w:rPr>
                <w:rFonts w:ascii="宋体"/>
              </w:rPr>
            </w:pPr>
          </w:p>
        </w:tc>
        <w:tc>
          <w:tcPr>
            <w:tcW w:w="5" w:type="pct"/>
            <w:shd w:val="clear" w:color="auto" w:fill="auto"/>
            <w:vAlign w:val="bottom"/>
          </w:tcPr>
          <w:p w14:paraId="5F2D3CA7" w14:textId="77777777" w:rsidR="00E836FB" w:rsidRDefault="00E836FB">
            <w:pPr>
              <w:rPr>
                <w:rFonts w:ascii="宋体"/>
              </w:rPr>
            </w:pPr>
          </w:p>
        </w:tc>
        <w:tc>
          <w:tcPr>
            <w:tcW w:w="50" w:type="pct"/>
            <w:shd w:val="clear" w:color="auto" w:fill="auto"/>
            <w:vAlign w:val="bottom"/>
          </w:tcPr>
          <w:p w14:paraId="5F2D3CA8" w14:textId="77777777" w:rsidR="00E836FB" w:rsidRDefault="00E836FB">
            <w:pPr>
              <w:rPr>
                <w:rFonts w:ascii="宋体"/>
              </w:rPr>
            </w:pPr>
          </w:p>
        </w:tc>
        <w:tc>
          <w:tcPr>
            <w:tcW w:w="463" w:type="pct"/>
            <w:shd w:val="clear" w:color="auto" w:fill="auto"/>
            <w:vAlign w:val="bottom"/>
          </w:tcPr>
          <w:p w14:paraId="5F2D3CA9" w14:textId="77777777" w:rsidR="00E836FB" w:rsidRDefault="00E836FB">
            <w:pPr>
              <w:rPr>
                <w:rFonts w:ascii="宋体"/>
              </w:rPr>
            </w:pPr>
          </w:p>
        </w:tc>
        <w:tc>
          <w:tcPr>
            <w:tcW w:w="5" w:type="pct"/>
            <w:shd w:val="clear" w:color="auto" w:fill="auto"/>
            <w:vAlign w:val="bottom"/>
          </w:tcPr>
          <w:p w14:paraId="5F2D3CAA" w14:textId="77777777" w:rsidR="00E836FB" w:rsidRDefault="00E836FB">
            <w:pPr>
              <w:rPr>
                <w:rFonts w:ascii="宋体"/>
              </w:rPr>
            </w:pPr>
          </w:p>
        </w:tc>
        <w:tc>
          <w:tcPr>
            <w:tcW w:w="5" w:type="pct"/>
            <w:shd w:val="clear" w:color="auto" w:fill="auto"/>
            <w:vAlign w:val="bottom"/>
          </w:tcPr>
          <w:p w14:paraId="5F2D3CAB" w14:textId="77777777" w:rsidR="00E836FB" w:rsidRDefault="00E836FB">
            <w:pPr>
              <w:rPr>
                <w:rFonts w:ascii="宋体"/>
              </w:rPr>
            </w:pPr>
          </w:p>
        </w:tc>
        <w:tc>
          <w:tcPr>
            <w:tcW w:w="26" w:type="pct"/>
            <w:shd w:val="clear" w:color="auto" w:fill="auto"/>
            <w:vAlign w:val="bottom"/>
          </w:tcPr>
          <w:p w14:paraId="5F2D3CAC" w14:textId="77777777" w:rsidR="00E836FB" w:rsidRDefault="00E836FB">
            <w:pPr>
              <w:rPr>
                <w:rFonts w:ascii="宋体"/>
              </w:rPr>
            </w:pPr>
          </w:p>
        </w:tc>
        <w:tc>
          <w:tcPr>
            <w:tcW w:w="5" w:type="pct"/>
            <w:shd w:val="clear" w:color="auto" w:fill="auto"/>
            <w:vAlign w:val="bottom"/>
          </w:tcPr>
          <w:p w14:paraId="5F2D3CAD" w14:textId="77777777" w:rsidR="00E836FB" w:rsidRDefault="00E836FB">
            <w:pPr>
              <w:rPr>
                <w:rFonts w:ascii="宋体"/>
              </w:rPr>
            </w:pPr>
          </w:p>
        </w:tc>
        <w:tc>
          <w:tcPr>
            <w:tcW w:w="50" w:type="pct"/>
            <w:shd w:val="clear" w:color="auto" w:fill="auto"/>
            <w:vAlign w:val="bottom"/>
          </w:tcPr>
          <w:p w14:paraId="5F2D3CAE" w14:textId="77777777" w:rsidR="00E836FB" w:rsidRDefault="00E836FB">
            <w:pPr>
              <w:rPr>
                <w:rFonts w:ascii="宋体"/>
              </w:rPr>
            </w:pPr>
          </w:p>
        </w:tc>
        <w:tc>
          <w:tcPr>
            <w:tcW w:w="332" w:type="pct"/>
            <w:shd w:val="clear" w:color="auto" w:fill="auto"/>
            <w:vAlign w:val="bottom"/>
          </w:tcPr>
          <w:p w14:paraId="5F2D3CAF" w14:textId="77777777" w:rsidR="00E836FB" w:rsidRDefault="00E836FB">
            <w:pPr>
              <w:rPr>
                <w:rFonts w:ascii="宋体"/>
              </w:rPr>
            </w:pPr>
          </w:p>
        </w:tc>
        <w:tc>
          <w:tcPr>
            <w:tcW w:w="5" w:type="pct"/>
            <w:shd w:val="clear" w:color="auto" w:fill="auto"/>
            <w:vAlign w:val="bottom"/>
          </w:tcPr>
          <w:p w14:paraId="5F2D3CB0" w14:textId="77777777" w:rsidR="00E836FB" w:rsidRDefault="00E836FB">
            <w:pPr>
              <w:rPr>
                <w:rFonts w:ascii="宋体"/>
              </w:rPr>
            </w:pPr>
          </w:p>
        </w:tc>
        <w:tc>
          <w:tcPr>
            <w:tcW w:w="5" w:type="pct"/>
            <w:shd w:val="clear" w:color="auto" w:fill="auto"/>
            <w:vAlign w:val="bottom"/>
          </w:tcPr>
          <w:p w14:paraId="5F2D3CB1" w14:textId="77777777" w:rsidR="00E836FB" w:rsidRDefault="00E836FB">
            <w:pPr>
              <w:rPr>
                <w:rFonts w:ascii="宋体"/>
              </w:rPr>
            </w:pPr>
          </w:p>
        </w:tc>
        <w:tc>
          <w:tcPr>
            <w:tcW w:w="26" w:type="pct"/>
            <w:shd w:val="clear" w:color="auto" w:fill="auto"/>
            <w:vAlign w:val="bottom"/>
          </w:tcPr>
          <w:p w14:paraId="5F2D3CB2" w14:textId="77777777" w:rsidR="00E836FB" w:rsidRDefault="00E836FB">
            <w:pPr>
              <w:rPr>
                <w:rFonts w:ascii="宋体"/>
              </w:rPr>
            </w:pPr>
          </w:p>
        </w:tc>
        <w:tc>
          <w:tcPr>
            <w:tcW w:w="5" w:type="pct"/>
            <w:shd w:val="clear" w:color="auto" w:fill="auto"/>
            <w:vAlign w:val="bottom"/>
          </w:tcPr>
          <w:p w14:paraId="5F2D3CB3" w14:textId="77777777" w:rsidR="00E836FB" w:rsidRDefault="00E836FB">
            <w:pPr>
              <w:rPr>
                <w:rFonts w:ascii="宋体"/>
              </w:rPr>
            </w:pPr>
          </w:p>
        </w:tc>
        <w:tc>
          <w:tcPr>
            <w:tcW w:w="50" w:type="pct"/>
            <w:shd w:val="clear" w:color="auto" w:fill="auto"/>
            <w:vAlign w:val="bottom"/>
          </w:tcPr>
          <w:p w14:paraId="5F2D3CB4" w14:textId="77777777" w:rsidR="00E836FB" w:rsidRDefault="00E836FB">
            <w:pPr>
              <w:rPr>
                <w:rFonts w:ascii="宋体"/>
              </w:rPr>
            </w:pPr>
          </w:p>
        </w:tc>
        <w:tc>
          <w:tcPr>
            <w:tcW w:w="332" w:type="pct"/>
            <w:shd w:val="clear" w:color="auto" w:fill="auto"/>
            <w:vAlign w:val="bottom"/>
          </w:tcPr>
          <w:p w14:paraId="5F2D3CB5" w14:textId="77777777" w:rsidR="00E836FB" w:rsidRDefault="00E836FB">
            <w:pPr>
              <w:rPr>
                <w:rFonts w:ascii="宋体"/>
              </w:rPr>
            </w:pPr>
          </w:p>
        </w:tc>
        <w:tc>
          <w:tcPr>
            <w:tcW w:w="5" w:type="pct"/>
            <w:shd w:val="clear" w:color="auto" w:fill="auto"/>
            <w:vAlign w:val="bottom"/>
          </w:tcPr>
          <w:p w14:paraId="5F2D3CB6" w14:textId="77777777" w:rsidR="00E836FB" w:rsidRDefault="00E836FB">
            <w:pPr>
              <w:rPr>
                <w:rFonts w:ascii="宋体"/>
              </w:rPr>
            </w:pPr>
          </w:p>
        </w:tc>
        <w:tc>
          <w:tcPr>
            <w:tcW w:w="5" w:type="pct"/>
            <w:shd w:val="clear" w:color="auto" w:fill="auto"/>
            <w:vAlign w:val="bottom"/>
          </w:tcPr>
          <w:p w14:paraId="5F2D3CB7" w14:textId="77777777" w:rsidR="00E836FB" w:rsidRDefault="00E836FB">
            <w:pPr>
              <w:rPr>
                <w:rFonts w:ascii="宋体"/>
              </w:rPr>
            </w:pPr>
          </w:p>
        </w:tc>
        <w:tc>
          <w:tcPr>
            <w:tcW w:w="26" w:type="pct"/>
            <w:shd w:val="clear" w:color="auto" w:fill="auto"/>
            <w:vAlign w:val="bottom"/>
          </w:tcPr>
          <w:p w14:paraId="5F2D3CB8" w14:textId="77777777" w:rsidR="00E836FB" w:rsidRDefault="00E836FB">
            <w:pPr>
              <w:rPr>
                <w:rFonts w:ascii="宋体"/>
              </w:rPr>
            </w:pPr>
          </w:p>
        </w:tc>
        <w:tc>
          <w:tcPr>
            <w:tcW w:w="5" w:type="pct"/>
            <w:shd w:val="clear" w:color="auto" w:fill="auto"/>
            <w:vAlign w:val="bottom"/>
          </w:tcPr>
          <w:p w14:paraId="5F2D3CB9" w14:textId="77777777" w:rsidR="00E836FB" w:rsidRDefault="00E836FB">
            <w:pPr>
              <w:rPr>
                <w:rFonts w:ascii="宋体"/>
              </w:rPr>
            </w:pPr>
          </w:p>
        </w:tc>
        <w:tc>
          <w:tcPr>
            <w:tcW w:w="50" w:type="pct"/>
            <w:shd w:val="clear" w:color="auto" w:fill="auto"/>
            <w:vAlign w:val="bottom"/>
          </w:tcPr>
          <w:p w14:paraId="5F2D3CBA" w14:textId="77777777" w:rsidR="00E836FB" w:rsidRDefault="00E836FB">
            <w:pPr>
              <w:rPr>
                <w:rFonts w:ascii="宋体"/>
              </w:rPr>
            </w:pPr>
          </w:p>
        </w:tc>
        <w:tc>
          <w:tcPr>
            <w:tcW w:w="332" w:type="pct"/>
            <w:shd w:val="clear" w:color="auto" w:fill="auto"/>
            <w:vAlign w:val="bottom"/>
          </w:tcPr>
          <w:p w14:paraId="5F2D3CBB" w14:textId="77777777" w:rsidR="00E836FB" w:rsidRDefault="00E836FB">
            <w:pPr>
              <w:rPr>
                <w:rFonts w:ascii="宋体"/>
              </w:rPr>
            </w:pPr>
          </w:p>
        </w:tc>
        <w:tc>
          <w:tcPr>
            <w:tcW w:w="5" w:type="pct"/>
            <w:shd w:val="clear" w:color="auto" w:fill="auto"/>
            <w:vAlign w:val="bottom"/>
          </w:tcPr>
          <w:p w14:paraId="5F2D3CBC" w14:textId="77777777" w:rsidR="00E836FB" w:rsidRDefault="00E836FB">
            <w:pPr>
              <w:rPr>
                <w:rFonts w:ascii="宋体"/>
              </w:rPr>
            </w:pPr>
          </w:p>
        </w:tc>
        <w:tc>
          <w:tcPr>
            <w:tcW w:w="5" w:type="pct"/>
            <w:shd w:val="clear" w:color="auto" w:fill="auto"/>
            <w:vAlign w:val="bottom"/>
          </w:tcPr>
          <w:p w14:paraId="5F2D3CBD" w14:textId="77777777" w:rsidR="00E836FB" w:rsidRDefault="00E836FB">
            <w:pPr>
              <w:rPr>
                <w:rFonts w:ascii="宋体"/>
              </w:rPr>
            </w:pPr>
          </w:p>
        </w:tc>
        <w:tc>
          <w:tcPr>
            <w:tcW w:w="26" w:type="pct"/>
            <w:shd w:val="clear" w:color="auto" w:fill="auto"/>
            <w:vAlign w:val="bottom"/>
          </w:tcPr>
          <w:p w14:paraId="5F2D3CBE" w14:textId="77777777" w:rsidR="00E836FB" w:rsidRDefault="00E836FB">
            <w:pPr>
              <w:rPr>
                <w:rFonts w:ascii="宋体"/>
              </w:rPr>
            </w:pPr>
          </w:p>
        </w:tc>
        <w:tc>
          <w:tcPr>
            <w:tcW w:w="5" w:type="pct"/>
            <w:shd w:val="clear" w:color="auto" w:fill="auto"/>
            <w:vAlign w:val="bottom"/>
          </w:tcPr>
          <w:p w14:paraId="5F2D3CBF" w14:textId="77777777" w:rsidR="00E836FB" w:rsidRDefault="00E836FB">
            <w:pPr>
              <w:rPr>
                <w:rFonts w:ascii="宋体"/>
              </w:rPr>
            </w:pPr>
          </w:p>
        </w:tc>
        <w:tc>
          <w:tcPr>
            <w:tcW w:w="50" w:type="pct"/>
            <w:shd w:val="clear" w:color="auto" w:fill="auto"/>
            <w:vAlign w:val="bottom"/>
          </w:tcPr>
          <w:p w14:paraId="5F2D3CC0" w14:textId="77777777" w:rsidR="00E836FB" w:rsidRDefault="00E836FB">
            <w:pPr>
              <w:rPr>
                <w:rFonts w:ascii="宋体"/>
              </w:rPr>
            </w:pPr>
          </w:p>
        </w:tc>
        <w:tc>
          <w:tcPr>
            <w:tcW w:w="332" w:type="pct"/>
            <w:shd w:val="clear" w:color="auto" w:fill="auto"/>
            <w:vAlign w:val="bottom"/>
          </w:tcPr>
          <w:p w14:paraId="5F2D3CC1" w14:textId="77777777" w:rsidR="00E836FB" w:rsidRDefault="00E836FB">
            <w:pPr>
              <w:rPr>
                <w:rFonts w:ascii="宋体"/>
              </w:rPr>
            </w:pPr>
          </w:p>
        </w:tc>
        <w:tc>
          <w:tcPr>
            <w:tcW w:w="5" w:type="pct"/>
            <w:shd w:val="clear" w:color="auto" w:fill="auto"/>
            <w:vAlign w:val="bottom"/>
          </w:tcPr>
          <w:p w14:paraId="5F2D3CC2" w14:textId="77777777" w:rsidR="00E836FB" w:rsidRDefault="00E836FB">
            <w:pPr>
              <w:rPr>
                <w:rFonts w:ascii="宋体"/>
              </w:rPr>
            </w:pPr>
          </w:p>
        </w:tc>
        <w:tc>
          <w:tcPr>
            <w:tcW w:w="5" w:type="pct"/>
            <w:shd w:val="clear" w:color="auto" w:fill="auto"/>
            <w:vAlign w:val="bottom"/>
          </w:tcPr>
          <w:p w14:paraId="5F2D3CC3" w14:textId="77777777" w:rsidR="00E836FB" w:rsidRDefault="00E836FB">
            <w:pPr>
              <w:rPr>
                <w:rFonts w:ascii="宋体"/>
              </w:rPr>
            </w:pPr>
          </w:p>
        </w:tc>
        <w:tc>
          <w:tcPr>
            <w:tcW w:w="26" w:type="pct"/>
            <w:shd w:val="clear" w:color="auto" w:fill="auto"/>
            <w:vAlign w:val="bottom"/>
          </w:tcPr>
          <w:p w14:paraId="5F2D3CC4" w14:textId="77777777" w:rsidR="00E836FB" w:rsidRDefault="00E836FB">
            <w:pPr>
              <w:rPr>
                <w:rFonts w:ascii="宋体"/>
              </w:rPr>
            </w:pPr>
          </w:p>
        </w:tc>
        <w:tc>
          <w:tcPr>
            <w:tcW w:w="5" w:type="pct"/>
            <w:shd w:val="clear" w:color="auto" w:fill="auto"/>
            <w:vAlign w:val="bottom"/>
          </w:tcPr>
          <w:p w14:paraId="5F2D3CC5" w14:textId="77777777" w:rsidR="00E836FB" w:rsidRDefault="00E836FB">
            <w:pPr>
              <w:rPr>
                <w:rFonts w:ascii="宋体"/>
              </w:rPr>
            </w:pPr>
          </w:p>
        </w:tc>
        <w:tc>
          <w:tcPr>
            <w:tcW w:w="50" w:type="pct"/>
            <w:shd w:val="clear" w:color="auto" w:fill="auto"/>
            <w:vAlign w:val="bottom"/>
          </w:tcPr>
          <w:p w14:paraId="5F2D3CC6" w14:textId="77777777" w:rsidR="00E836FB" w:rsidRDefault="00E836FB">
            <w:pPr>
              <w:rPr>
                <w:rFonts w:ascii="宋体"/>
              </w:rPr>
            </w:pPr>
          </w:p>
        </w:tc>
        <w:tc>
          <w:tcPr>
            <w:tcW w:w="814" w:type="pct"/>
            <w:shd w:val="clear" w:color="auto" w:fill="auto"/>
            <w:vAlign w:val="bottom"/>
          </w:tcPr>
          <w:p w14:paraId="5F2D3CC7" w14:textId="77777777" w:rsidR="00E836FB" w:rsidRDefault="00E836FB">
            <w:pPr>
              <w:rPr>
                <w:rFonts w:ascii="宋体"/>
              </w:rPr>
            </w:pPr>
          </w:p>
        </w:tc>
        <w:tc>
          <w:tcPr>
            <w:tcW w:w="5" w:type="pct"/>
            <w:shd w:val="clear" w:color="auto" w:fill="auto"/>
            <w:vAlign w:val="bottom"/>
          </w:tcPr>
          <w:p w14:paraId="5F2D3CC8" w14:textId="77777777" w:rsidR="00E836FB" w:rsidRDefault="00E836FB">
            <w:pPr>
              <w:rPr>
                <w:rFonts w:ascii="宋体"/>
              </w:rPr>
            </w:pPr>
          </w:p>
        </w:tc>
        <w:tc>
          <w:tcPr>
            <w:tcW w:w="5" w:type="pct"/>
            <w:shd w:val="clear" w:color="auto" w:fill="auto"/>
            <w:vAlign w:val="bottom"/>
          </w:tcPr>
          <w:p w14:paraId="5F2D3CC9" w14:textId="77777777" w:rsidR="00E836FB" w:rsidRDefault="00E836FB">
            <w:pPr>
              <w:rPr>
                <w:rFonts w:ascii="宋体"/>
              </w:rPr>
            </w:pPr>
          </w:p>
        </w:tc>
        <w:tc>
          <w:tcPr>
            <w:tcW w:w="26" w:type="pct"/>
            <w:shd w:val="clear" w:color="auto" w:fill="auto"/>
            <w:vAlign w:val="bottom"/>
          </w:tcPr>
          <w:p w14:paraId="5F2D3CCA" w14:textId="77777777" w:rsidR="00E836FB" w:rsidRDefault="00E836FB">
            <w:pPr>
              <w:rPr>
                <w:rFonts w:ascii="宋体"/>
              </w:rPr>
            </w:pPr>
          </w:p>
        </w:tc>
        <w:tc>
          <w:tcPr>
            <w:tcW w:w="5" w:type="pct"/>
            <w:shd w:val="clear" w:color="auto" w:fill="auto"/>
            <w:vAlign w:val="bottom"/>
          </w:tcPr>
          <w:p w14:paraId="5F2D3CCB" w14:textId="77777777" w:rsidR="00E836FB" w:rsidRDefault="00E836FB">
            <w:pPr>
              <w:rPr>
                <w:rFonts w:ascii="宋体"/>
              </w:rPr>
            </w:pPr>
          </w:p>
        </w:tc>
        <w:tc>
          <w:tcPr>
            <w:tcW w:w="50" w:type="pct"/>
            <w:shd w:val="clear" w:color="auto" w:fill="auto"/>
            <w:vAlign w:val="bottom"/>
          </w:tcPr>
          <w:p w14:paraId="5F2D3CCC" w14:textId="77777777" w:rsidR="00E836FB" w:rsidRDefault="00E836FB">
            <w:pPr>
              <w:rPr>
                <w:rFonts w:ascii="宋体"/>
              </w:rPr>
            </w:pPr>
          </w:p>
        </w:tc>
        <w:tc>
          <w:tcPr>
            <w:tcW w:w="325" w:type="pct"/>
            <w:shd w:val="clear" w:color="auto" w:fill="auto"/>
            <w:vAlign w:val="bottom"/>
          </w:tcPr>
          <w:p w14:paraId="5F2D3CCD" w14:textId="77777777" w:rsidR="00E836FB" w:rsidRDefault="00E836FB">
            <w:pPr>
              <w:rPr>
                <w:rFonts w:ascii="宋体"/>
              </w:rPr>
            </w:pPr>
          </w:p>
        </w:tc>
        <w:tc>
          <w:tcPr>
            <w:tcW w:w="5" w:type="pct"/>
            <w:shd w:val="clear" w:color="auto" w:fill="auto"/>
            <w:vAlign w:val="bottom"/>
          </w:tcPr>
          <w:p w14:paraId="5F2D3CCE" w14:textId="77777777" w:rsidR="00E836FB" w:rsidRDefault="00E836FB">
            <w:pPr>
              <w:rPr>
                <w:rFonts w:ascii="宋体"/>
              </w:rPr>
            </w:pPr>
          </w:p>
        </w:tc>
        <w:tc>
          <w:tcPr>
            <w:tcW w:w="5" w:type="pct"/>
            <w:shd w:val="clear" w:color="auto" w:fill="auto"/>
            <w:vAlign w:val="bottom"/>
          </w:tcPr>
          <w:p w14:paraId="5F2D3CCF" w14:textId="77777777" w:rsidR="00E836FB" w:rsidRDefault="00E836FB">
            <w:pPr>
              <w:rPr>
                <w:rFonts w:ascii="宋体"/>
              </w:rPr>
            </w:pPr>
          </w:p>
        </w:tc>
        <w:tc>
          <w:tcPr>
            <w:tcW w:w="26" w:type="pct"/>
            <w:shd w:val="clear" w:color="auto" w:fill="auto"/>
            <w:vAlign w:val="bottom"/>
          </w:tcPr>
          <w:p w14:paraId="5F2D3CD0" w14:textId="77777777" w:rsidR="00E836FB" w:rsidRDefault="00E836FB">
            <w:pPr>
              <w:rPr>
                <w:rFonts w:ascii="宋体"/>
              </w:rPr>
            </w:pPr>
          </w:p>
        </w:tc>
        <w:tc>
          <w:tcPr>
            <w:tcW w:w="5" w:type="pct"/>
            <w:shd w:val="clear" w:color="auto" w:fill="auto"/>
            <w:vAlign w:val="bottom"/>
          </w:tcPr>
          <w:p w14:paraId="5F2D3CD1" w14:textId="77777777" w:rsidR="00E836FB" w:rsidRDefault="00E836FB">
            <w:pPr>
              <w:rPr>
                <w:rFonts w:ascii="宋体"/>
              </w:rPr>
            </w:pPr>
          </w:p>
        </w:tc>
        <w:tc>
          <w:tcPr>
            <w:tcW w:w="50" w:type="pct"/>
            <w:shd w:val="clear" w:color="auto" w:fill="auto"/>
            <w:vAlign w:val="bottom"/>
          </w:tcPr>
          <w:p w14:paraId="5F2D3CD2" w14:textId="77777777" w:rsidR="00E836FB" w:rsidRDefault="00E836FB">
            <w:pPr>
              <w:rPr>
                <w:rFonts w:ascii="宋体"/>
              </w:rPr>
            </w:pPr>
          </w:p>
        </w:tc>
        <w:tc>
          <w:tcPr>
            <w:tcW w:w="361" w:type="pct"/>
            <w:shd w:val="clear" w:color="auto" w:fill="auto"/>
            <w:vAlign w:val="bottom"/>
          </w:tcPr>
          <w:p w14:paraId="5F2D3CD3" w14:textId="77777777" w:rsidR="00E836FB" w:rsidRDefault="00E836FB">
            <w:pPr>
              <w:rPr>
                <w:rFonts w:ascii="宋体"/>
              </w:rPr>
            </w:pPr>
          </w:p>
        </w:tc>
        <w:tc>
          <w:tcPr>
            <w:tcW w:w="5" w:type="pct"/>
            <w:shd w:val="clear" w:color="auto" w:fill="auto"/>
            <w:vAlign w:val="bottom"/>
          </w:tcPr>
          <w:p w14:paraId="5F2D3CD4" w14:textId="77777777" w:rsidR="00E836FB" w:rsidRDefault="00E836FB">
            <w:pPr>
              <w:rPr>
                <w:rFonts w:ascii="宋体"/>
              </w:rPr>
            </w:pPr>
          </w:p>
        </w:tc>
        <w:tc>
          <w:tcPr>
            <w:tcW w:w="5" w:type="pct"/>
            <w:shd w:val="clear" w:color="auto" w:fill="auto"/>
            <w:vAlign w:val="bottom"/>
          </w:tcPr>
          <w:p w14:paraId="5F2D3CD5" w14:textId="77777777" w:rsidR="00E836FB" w:rsidRDefault="00E836FB">
            <w:pPr>
              <w:rPr>
                <w:rFonts w:ascii="宋体"/>
              </w:rPr>
            </w:pPr>
          </w:p>
        </w:tc>
        <w:tc>
          <w:tcPr>
            <w:tcW w:w="26" w:type="pct"/>
            <w:shd w:val="clear" w:color="auto" w:fill="auto"/>
            <w:vAlign w:val="bottom"/>
          </w:tcPr>
          <w:p w14:paraId="5F2D3CD6" w14:textId="77777777" w:rsidR="00E836FB" w:rsidRDefault="00E836FB">
            <w:pPr>
              <w:rPr>
                <w:rFonts w:ascii="宋体"/>
              </w:rPr>
            </w:pPr>
          </w:p>
        </w:tc>
        <w:tc>
          <w:tcPr>
            <w:tcW w:w="5" w:type="pct"/>
            <w:shd w:val="clear" w:color="auto" w:fill="auto"/>
            <w:vAlign w:val="bottom"/>
          </w:tcPr>
          <w:p w14:paraId="5F2D3CD7" w14:textId="77777777" w:rsidR="00E836FB" w:rsidRDefault="00E836FB">
            <w:pPr>
              <w:rPr>
                <w:rFonts w:ascii="宋体"/>
              </w:rPr>
            </w:pPr>
          </w:p>
        </w:tc>
        <w:tc>
          <w:tcPr>
            <w:tcW w:w="50" w:type="pct"/>
            <w:shd w:val="clear" w:color="auto" w:fill="auto"/>
            <w:vAlign w:val="bottom"/>
          </w:tcPr>
          <w:p w14:paraId="5F2D3CD8" w14:textId="77777777" w:rsidR="00E836FB" w:rsidRDefault="00E836FB">
            <w:pPr>
              <w:rPr>
                <w:rFonts w:ascii="宋体"/>
              </w:rPr>
            </w:pPr>
          </w:p>
        </w:tc>
        <w:tc>
          <w:tcPr>
            <w:tcW w:w="567" w:type="pct"/>
            <w:shd w:val="clear" w:color="auto" w:fill="auto"/>
            <w:vAlign w:val="bottom"/>
          </w:tcPr>
          <w:p w14:paraId="5F2D3CD9" w14:textId="77777777" w:rsidR="00E836FB" w:rsidRDefault="00E836FB">
            <w:pPr>
              <w:rPr>
                <w:rFonts w:ascii="宋体"/>
              </w:rPr>
            </w:pPr>
          </w:p>
        </w:tc>
        <w:tc>
          <w:tcPr>
            <w:tcW w:w="5" w:type="pct"/>
            <w:shd w:val="clear" w:color="auto" w:fill="auto"/>
            <w:vAlign w:val="bottom"/>
          </w:tcPr>
          <w:p w14:paraId="5F2D3CDA" w14:textId="77777777" w:rsidR="00E836FB" w:rsidRDefault="00E836FB">
            <w:pPr>
              <w:rPr>
                <w:rFonts w:ascii="宋体"/>
              </w:rPr>
            </w:pPr>
          </w:p>
        </w:tc>
      </w:tr>
      <w:tr w:rsidR="00E836FB" w14:paraId="5F2D3CEF" w14:textId="77777777">
        <w:tc>
          <w:tcPr>
            <w:tcW w:w="0" w:type="auto"/>
            <w:gridSpan w:val="3"/>
            <w:shd w:val="clear" w:color="auto" w:fill="auto"/>
            <w:tcMar>
              <w:top w:w="40" w:type="dxa"/>
              <w:left w:w="20" w:type="dxa"/>
              <w:bottom w:w="40" w:type="dxa"/>
              <w:right w:w="20" w:type="dxa"/>
            </w:tcMar>
            <w:vAlign w:val="bottom"/>
          </w:tcPr>
          <w:p w14:paraId="5F2D3CDC" w14:textId="77777777" w:rsidR="00E836FB" w:rsidRDefault="00994958">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5F2D3CD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DE" w14:textId="77777777" w:rsidR="00E836FB" w:rsidRDefault="00994958">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5F2D3CD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0" w14:textId="77777777" w:rsidR="00E836FB" w:rsidRDefault="00994958">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5F2D3CE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2" w14:textId="77777777" w:rsidR="00E836FB" w:rsidRDefault="00994958">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5F2D3CE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4" w14:textId="77777777" w:rsidR="00E836FB" w:rsidRDefault="00994958">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5F2D3CE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6" w14:textId="77777777" w:rsidR="00E836FB" w:rsidRDefault="00994958">
            <w:pPr>
              <w:jc w:val="center"/>
              <w:textAlignment w:val="bottom"/>
            </w:pPr>
            <w:r>
              <w:rPr>
                <w:rFonts w:ascii="Arial" w:eastAsia="宋体" w:hAnsi="Arial" w:cs="Arial"/>
                <w:b/>
                <w:bCs/>
                <w:color w:val="000000"/>
                <w:sz w:val="12"/>
                <w:szCs w:val="12"/>
              </w:rPr>
              <w:t xml:space="preserve">Liquidation </w:t>
            </w:r>
            <w:r>
              <w:rPr>
                <w:rFonts w:ascii="Arial" w:eastAsia="宋体" w:hAnsi="Arial" w:cs="Arial"/>
                <w:b/>
                <w:bCs/>
                <w:color w:val="000000"/>
                <w:sz w:val="12"/>
                <w:szCs w:val="12"/>
              </w:rPr>
              <w:t>Preference Per Depositary Share</w:t>
            </w:r>
          </w:p>
        </w:tc>
        <w:tc>
          <w:tcPr>
            <w:tcW w:w="0" w:type="auto"/>
            <w:gridSpan w:val="3"/>
            <w:shd w:val="clear" w:color="auto" w:fill="auto"/>
            <w:tcMar>
              <w:top w:w="0" w:type="dxa"/>
              <w:left w:w="20" w:type="dxa"/>
              <w:bottom w:w="0" w:type="dxa"/>
              <w:right w:w="20" w:type="dxa"/>
            </w:tcMar>
            <w:vAlign w:val="bottom"/>
          </w:tcPr>
          <w:p w14:paraId="5F2D3CE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8" w14:textId="77777777" w:rsidR="00E836FB" w:rsidRDefault="00994958">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5F2D3CE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A" w14:textId="77777777" w:rsidR="00E836FB" w:rsidRDefault="00994958">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5F2D3CE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C" w14:textId="77777777" w:rsidR="00E836FB" w:rsidRDefault="00994958">
            <w:pPr>
              <w:jc w:val="center"/>
              <w:textAlignment w:val="bottom"/>
            </w:pPr>
            <w:r>
              <w:rPr>
                <w:rFonts w:ascii="Arial" w:eastAsia="宋体" w:hAnsi="Arial" w:cs="Arial"/>
                <w:b/>
                <w:bCs/>
                <w:color w:val="000000"/>
                <w:sz w:val="12"/>
                <w:szCs w:val="12"/>
              </w:rPr>
              <w:t>Carrying Value as of December 31, 2021</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5F2D3CE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3CEE" w14:textId="77777777" w:rsidR="00E836FB" w:rsidRDefault="00994958">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E836FB" w14:paraId="5F2D3D03" w14:textId="77777777">
        <w:trPr>
          <w:hidden/>
        </w:trPr>
        <w:tc>
          <w:tcPr>
            <w:tcW w:w="0" w:type="auto"/>
            <w:gridSpan w:val="3"/>
            <w:shd w:val="clear" w:color="auto" w:fill="auto"/>
            <w:vAlign w:val="bottom"/>
          </w:tcPr>
          <w:p w14:paraId="5F2D3CF0" w14:textId="77777777" w:rsidR="00E836FB" w:rsidRDefault="00E836FB">
            <w:pPr>
              <w:rPr>
                <w:rFonts w:ascii="宋体"/>
                <w:vanish/>
              </w:rPr>
            </w:pPr>
          </w:p>
        </w:tc>
        <w:tc>
          <w:tcPr>
            <w:tcW w:w="0" w:type="auto"/>
            <w:gridSpan w:val="3"/>
            <w:shd w:val="clear" w:color="auto" w:fill="auto"/>
            <w:vAlign w:val="bottom"/>
          </w:tcPr>
          <w:p w14:paraId="5F2D3CF1" w14:textId="77777777" w:rsidR="00E836FB" w:rsidRDefault="00E836FB">
            <w:pPr>
              <w:rPr>
                <w:rFonts w:ascii="宋体"/>
                <w:vanish/>
              </w:rPr>
            </w:pPr>
          </w:p>
        </w:tc>
        <w:tc>
          <w:tcPr>
            <w:tcW w:w="0" w:type="auto"/>
            <w:gridSpan w:val="3"/>
            <w:shd w:val="clear" w:color="auto" w:fill="auto"/>
            <w:vAlign w:val="bottom"/>
          </w:tcPr>
          <w:p w14:paraId="5F2D3CF2" w14:textId="77777777" w:rsidR="00E836FB" w:rsidRDefault="00E836FB">
            <w:pPr>
              <w:rPr>
                <w:rFonts w:ascii="宋体"/>
                <w:vanish/>
              </w:rPr>
            </w:pPr>
          </w:p>
        </w:tc>
        <w:tc>
          <w:tcPr>
            <w:tcW w:w="0" w:type="auto"/>
            <w:gridSpan w:val="3"/>
            <w:shd w:val="clear" w:color="auto" w:fill="auto"/>
            <w:vAlign w:val="bottom"/>
          </w:tcPr>
          <w:p w14:paraId="5F2D3CF3" w14:textId="77777777" w:rsidR="00E836FB" w:rsidRDefault="00E836FB">
            <w:pPr>
              <w:rPr>
                <w:rFonts w:ascii="宋体"/>
                <w:vanish/>
              </w:rPr>
            </w:pPr>
          </w:p>
        </w:tc>
        <w:tc>
          <w:tcPr>
            <w:tcW w:w="0" w:type="auto"/>
            <w:gridSpan w:val="3"/>
            <w:shd w:val="clear" w:color="auto" w:fill="auto"/>
            <w:vAlign w:val="bottom"/>
          </w:tcPr>
          <w:p w14:paraId="5F2D3CF4" w14:textId="77777777" w:rsidR="00E836FB" w:rsidRDefault="00E836FB">
            <w:pPr>
              <w:rPr>
                <w:rFonts w:ascii="宋体"/>
                <w:vanish/>
              </w:rPr>
            </w:pPr>
          </w:p>
        </w:tc>
        <w:tc>
          <w:tcPr>
            <w:tcW w:w="0" w:type="auto"/>
            <w:gridSpan w:val="3"/>
            <w:shd w:val="clear" w:color="auto" w:fill="auto"/>
            <w:vAlign w:val="bottom"/>
          </w:tcPr>
          <w:p w14:paraId="5F2D3CF5" w14:textId="77777777" w:rsidR="00E836FB" w:rsidRDefault="00E836FB">
            <w:pPr>
              <w:rPr>
                <w:rFonts w:ascii="宋体"/>
                <w:vanish/>
              </w:rPr>
            </w:pPr>
          </w:p>
        </w:tc>
        <w:tc>
          <w:tcPr>
            <w:tcW w:w="0" w:type="auto"/>
            <w:gridSpan w:val="3"/>
            <w:shd w:val="clear" w:color="auto" w:fill="auto"/>
            <w:vAlign w:val="bottom"/>
          </w:tcPr>
          <w:p w14:paraId="5F2D3CF6" w14:textId="77777777" w:rsidR="00E836FB" w:rsidRDefault="00E836FB">
            <w:pPr>
              <w:rPr>
                <w:rFonts w:ascii="宋体"/>
                <w:vanish/>
              </w:rPr>
            </w:pPr>
          </w:p>
        </w:tc>
        <w:tc>
          <w:tcPr>
            <w:tcW w:w="0" w:type="auto"/>
            <w:gridSpan w:val="3"/>
            <w:shd w:val="clear" w:color="auto" w:fill="auto"/>
            <w:vAlign w:val="bottom"/>
          </w:tcPr>
          <w:p w14:paraId="5F2D3CF7" w14:textId="77777777" w:rsidR="00E836FB" w:rsidRDefault="00E836FB">
            <w:pPr>
              <w:rPr>
                <w:rFonts w:ascii="宋体"/>
                <w:vanish/>
              </w:rPr>
            </w:pPr>
          </w:p>
        </w:tc>
        <w:tc>
          <w:tcPr>
            <w:tcW w:w="0" w:type="auto"/>
            <w:gridSpan w:val="3"/>
            <w:shd w:val="clear" w:color="auto" w:fill="auto"/>
            <w:vAlign w:val="bottom"/>
          </w:tcPr>
          <w:p w14:paraId="5F2D3CF8" w14:textId="77777777" w:rsidR="00E836FB" w:rsidRDefault="00E836FB">
            <w:pPr>
              <w:rPr>
                <w:rFonts w:ascii="宋体"/>
                <w:vanish/>
              </w:rPr>
            </w:pPr>
          </w:p>
        </w:tc>
        <w:tc>
          <w:tcPr>
            <w:tcW w:w="0" w:type="auto"/>
            <w:gridSpan w:val="3"/>
            <w:shd w:val="clear" w:color="auto" w:fill="auto"/>
            <w:vAlign w:val="bottom"/>
          </w:tcPr>
          <w:p w14:paraId="5F2D3CF9" w14:textId="77777777" w:rsidR="00E836FB" w:rsidRDefault="00E836FB">
            <w:pPr>
              <w:rPr>
                <w:rFonts w:ascii="宋体"/>
                <w:vanish/>
              </w:rPr>
            </w:pPr>
          </w:p>
        </w:tc>
        <w:tc>
          <w:tcPr>
            <w:tcW w:w="0" w:type="auto"/>
            <w:gridSpan w:val="3"/>
            <w:shd w:val="clear" w:color="auto" w:fill="auto"/>
            <w:vAlign w:val="bottom"/>
          </w:tcPr>
          <w:p w14:paraId="5F2D3CFA" w14:textId="77777777" w:rsidR="00E836FB" w:rsidRDefault="00E836FB">
            <w:pPr>
              <w:rPr>
                <w:rFonts w:ascii="宋体"/>
                <w:vanish/>
              </w:rPr>
            </w:pPr>
          </w:p>
        </w:tc>
        <w:tc>
          <w:tcPr>
            <w:tcW w:w="0" w:type="auto"/>
            <w:gridSpan w:val="3"/>
            <w:shd w:val="clear" w:color="auto" w:fill="auto"/>
            <w:vAlign w:val="bottom"/>
          </w:tcPr>
          <w:p w14:paraId="5F2D3CFB" w14:textId="77777777" w:rsidR="00E836FB" w:rsidRDefault="00E836FB">
            <w:pPr>
              <w:rPr>
                <w:rFonts w:ascii="宋体"/>
                <w:vanish/>
              </w:rPr>
            </w:pPr>
          </w:p>
        </w:tc>
        <w:tc>
          <w:tcPr>
            <w:tcW w:w="0" w:type="auto"/>
            <w:gridSpan w:val="3"/>
            <w:shd w:val="clear" w:color="auto" w:fill="auto"/>
            <w:vAlign w:val="bottom"/>
          </w:tcPr>
          <w:p w14:paraId="5F2D3CFC" w14:textId="77777777" w:rsidR="00E836FB" w:rsidRDefault="00E836FB">
            <w:pPr>
              <w:rPr>
                <w:rFonts w:ascii="宋体"/>
                <w:vanish/>
              </w:rPr>
            </w:pPr>
          </w:p>
        </w:tc>
        <w:tc>
          <w:tcPr>
            <w:tcW w:w="0" w:type="auto"/>
            <w:gridSpan w:val="3"/>
            <w:shd w:val="clear" w:color="auto" w:fill="auto"/>
            <w:vAlign w:val="bottom"/>
          </w:tcPr>
          <w:p w14:paraId="5F2D3CFD" w14:textId="77777777" w:rsidR="00E836FB" w:rsidRDefault="00E836FB">
            <w:pPr>
              <w:rPr>
                <w:rFonts w:ascii="宋体"/>
                <w:vanish/>
              </w:rPr>
            </w:pPr>
          </w:p>
        </w:tc>
        <w:tc>
          <w:tcPr>
            <w:tcW w:w="0" w:type="auto"/>
            <w:gridSpan w:val="3"/>
            <w:shd w:val="clear" w:color="auto" w:fill="auto"/>
            <w:vAlign w:val="bottom"/>
          </w:tcPr>
          <w:p w14:paraId="5F2D3CFE" w14:textId="77777777" w:rsidR="00E836FB" w:rsidRDefault="00E836FB">
            <w:pPr>
              <w:rPr>
                <w:rFonts w:ascii="宋体"/>
                <w:vanish/>
              </w:rPr>
            </w:pPr>
          </w:p>
        </w:tc>
        <w:tc>
          <w:tcPr>
            <w:tcW w:w="0" w:type="auto"/>
            <w:gridSpan w:val="3"/>
            <w:shd w:val="clear" w:color="auto" w:fill="auto"/>
            <w:vAlign w:val="bottom"/>
          </w:tcPr>
          <w:p w14:paraId="5F2D3CFF" w14:textId="77777777" w:rsidR="00E836FB" w:rsidRDefault="00E836FB">
            <w:pPr>
              <w:rPr>
                <w:rFonts w:ascii="宋体"/>
                <w:vanish/>
              </w:rPr>
            </w:pPr>
          </w:p>
        </w:tc>
        <w:tc>
          <w:tcPr>
            <w:tcW w:w="0" w:type="auto"/>
            <w:gridSpan w:val="3"/>
            <w:shd w:val="clear" w:color="auto" w:fill="auto"/>
            <w:vAlign w:val="bottom"/>
          </w:tcPr>
          <w:p w14:paraId="5F2D3D00" w14:textId="77777777" w:rsidR="00E836FB" w:rsidRDefault="00E836FB">
            <w:pPr>
              <w:rPr>
                <w:rFonts w:ascii="宋体"/>
                <w:vanish/>
              </w:rPr>
            </w:pPr>
          </w:p>
        </w:tc>
        <w:tc>
          <w:tcPr>
            <w:tcW w:w="0" w:type="auto"/>
            <w:gridSpan w:val="3"/>
            <w:shd w:val="clear" w:color="auto" w:fill="auto"/>
            <w:vAlign w:val="bottom"/>
          </w:tcPr>
          <w:p w14:paraId="5F2D3D01" w14:textId="77777777" w:rsidR="00E836FB" w:rsidRDefault="00E836FB">
            <w:pPr>
              <w:rPr>
                <w:rFonts w:ascii="宋体"/>
                <w:vanish/>
              </w:rPr>
            </w:pPr>
          </w:p>
        </w:tc>
        <w:tc>
          <w:tcPr>
            <w:tcW w:w="0" w:type="auto"/>
            <w:gridSpan w:val="3"/>
            <w:shd w:val="clear" w:color="auto" w:fill="auto"/>
            <w:vAlign w:val="bottom"/>
          </w:tcPr>
          <w:p w14:paraId="5F2D3D02" w14:textId="77777777" w:rsidR="00E836FB" w:rsidRDefault="00E836FB">
            <w:pPr>
              <w:rPr>
                <w:rFonts w:ascii="宋体"/>
                <w:vanish/>
              </w:rPr>
            </w:pPr>
          </w:p>
        </w:tc>
      </w:tr>
      <w:tr w:rsidR="00E836FB" w14:paraId="5F2D3D1B"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D3D04" w14:textId="77777777" w:rsidR="00E836FB" w:rsidRDefault="00994958">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5F2D3D05"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D3D06" w14:textId="77777777" w:rsidR="00E836FB" w:rsidRDefault="00994958">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5F2D3D07"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D3D08" w14:textId="77777777" w:rsidR="00E836FB" w:rsidRDefault="00994958">
            <w:pPr>
              <w:textAlignment w:val="center"/>
            </w:pPr>
            <w:r>
              <w:rPr>
                <w:rFonts w:ascii="Arial" w:eastAsia="宋体" w:hAnsi="Arial" w:cs="Arial"/>
                <w:color w:val="000000"/>
                <w:sz w:val="12"/>
                <w:szCs w:val="12"/>
              </w:rPr>
              <w:t>30,000,000</w:t>
            </w:r>
          </w:p>
        </w:tc>
        <w:tc>
          <w:tcPr>
            <w:tcW w:w="0" w:type="auto"/>
            <w:gridSpan w:val="3"/>
            <w:shd w:val="clear" w:color="auto" w:fill="CCEEFF"/>
            <w:tcMar>
              <w:top w:w="0" w:type="dxa"/>
              <w:left w:w="20" w:type="dxa"/>
              <w:bottom w:w="0" w:type="dxa"/>
              <w:right w:w="20" w:type="dxa"/>
            </w:tcMar>
            <w:vAlign w:val="bottom"/>
          </w:tcPr>
          <w:p w14:paraId="5F2D3D09"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D3D0A" w14:textId="77777777" w:rsidR="00E836FB" w:rsidRDefault="00994958">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F2D3D0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3D0C" w14:textId="77777777" w:rsidR="00E836FB" w:rsidRDefault="00994958">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3D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D0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F2D3D0F" w14:textId="77777777" w:rsidR="00E836FB" w:rsidRDefault="00994958">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3D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D11"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D3D12" w14:textId="77777777" w:rsidR="00E836FB" w:rsidRDefault="00994958">
            <w:pPr>
              <w:textAlignment w:val="center"/>
            </w:pPr>
            <w:r>
              <w:rPr>
                <w:rFonts w:ascii="Arial" w:eastAsia="宋体" w:hAnsi="Arial" w:cs="Arial"/>
                <w:color w:val="000000"/>
                <w:sz w:val="12"/>
                <w:szCs w:val="12"/>
              </w:rPr>
              <w:t xml:space="preserve">5.90% to but excluding March 15, 2024, then a floating rate </w:t>
            </w:r>
            <w:r>
              <w:rPr>
                <w:rFonts w:ascii="Arial" w:eastAsia="宋体" w:hAnsi="Arial" w:cs="Arial"/>
                <w:color w:val="000000"/>
                <w:sz w:val="12"/>
                <w:szCs w:val="12"/>
              </w:rPr>
              <w:t>equal to the three-month LIBOR plus 3.108%</w:t>
            </w:r>
          </w:p>
        </w:tc>
        <w:tc>
          <w:tcPr>
            <w:tcW w:w="0" w:type="auto"/>
            <w:gridSpan w:val="3"/>
            <w:shd w:val="clear" w:color="auto" w:fill="CCEEFF"/>
            <w:tcMar>
              <w:top w:w="0" w:type="dxa"/>
              <w:left w:w="20" w:type="dxa"/>
              <w:bottom w:w="0" w:type="dxa"/>
              <w:right w:w="20" w:type="dxa"/>
            </w:tcMar>
            <w:vAlign w:val="bottom"/>
          </w:tcPr>
          <w:p w14:paraId="5F2D3D13"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D3D14" w14:textId="77777777" w:rsidR="00E836FB" w:rsidRDefault="00994958">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5F2D3D1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F2D3D16" w14:textId="77777777" w:rsidR="00E836FB" w:rsidRDefault="00994958">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F2D3D17" w14:textId="77777777" w:rsidR="00E836FB" w:rsidRDefault="00994958">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3D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D19" w14:textId="77777777" w:rsidR="00E836FB" w:rsidRDefault="00E83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F2D3D1A" w14:textId="77777777" w:rsidR="00E836FB" w:rsidRDefault="00994958">
            <w:pPr>
              <w:textAlignment w:val="center"/>
            </w:pPr>
            <w:r>
              <w:rPr>
                <w:rFonts w:ascii="Arial" w:eastAsia="宋体" w:hAnsi="Arial" w:cs="Arial"/>
                <w:color w:val="000000"/>
                <w:sz w:val="12"/>
                <w:szCs w:val="12"/>
              </w:rPr>
              <w:t>March 15, 2024</w:t>
            </w:r>
          </w:p>
        </w:tc>
      </w:tr>
      <w:tr w:rsidR="00E836FB" w14:paraId="5F2D3D32" w14:textId="77777777">
        <w:tc>
          <w:tcPr>
            <w:tcW w:w="0" w:type="auto"/>
            <w:gridSpan w:val="3"/>
            <w:shd w:val="clear" w:color="auto" w:fill="FFFFFF"/>
            <w:tcMar>
              <w:top w:w="40" w:type="dxa"/>
              <w:left w:w="20" w:type="dxa"/>
              <w:bottom w:w="40" w:type="dxa"/>
              <w:right w:w="20" w:type="dxa"/>
            </w:tcMar>
            <w:vAlign w:val="center"/>
          </w:tcPr>
          <w:p w14:paraId="5F2D3D1C" w14:textId="77777777" w:rsidR="00E836FB" w:rsidRDefault="00994958">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5F2D3D1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1E" w14:textId="77777777" w:rsidR="00E836FB" w:rsidRDefault="00994958">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5F2D3D1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20" w14:textId="77777777" w:rsidR="00E836FB" w:rsidRDefault="00994958">
            <w:pPr>
              <w:textAlignment w:val="center"/>
            </w:pPr>
            <w:r>
              <w:rPr>
                <w:rFonts w:ascii="Arial" w:eastAsia="宋体" w:hAnsi="Arial" w:cs="Arial"/>
                <w:color w:val="000000"/>
                <w:sz w:val="12"/>
                <w:szCs w:val="12"/>
              </w:rPr>
              <w:t>250,000</w:t>
            </w:r>
          </w:p>
        </w:tc>
        <w:tc>
          <w:tcPr>
            <w:tcW w:w="0" w:type="auto"/>
            <w:gridSpan w:val="3"/>
            <w:shd w:val="clear" w:color="auto" w:fill="FFFFFF"/>
            <w:tcMar>
              <w:top w:w="0" w:type="dxa"/>
              <w:left w:w="20" w:type="dxa"/>
              <w:bottom w:w="0" w:type="dxa"/>
              <w:right w:w="20" w:type="dxa"/>
            </w:tcMar>
            <w:vAlign w:val="bottom"/>
          </w:tcPr>
          <w:p w14:paraId="5F2D3D2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22" w14:textId="77777777" w:rsidR="00E836FB" w:rsidRDefault="00994958">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5F2D3D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3D24" w14:textId="77777777" w:rsidR="00E836FB" w:rsidRDefault="00994958">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F2D3D2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D2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3D27" w14:textId="77777777" w:rsidR="00E836FB" w:rsidRDefault="00994958">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F2D3D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D29"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2A" w14:textId="77777777" w:rsidR="00E836FB" w:rsidRDefault="00994958">
            <w:pPr>
              <w:textAlignment w:val="center"/>
            </w:pPr>
            <w:r>
              <w:rPr>
                <w:rFonts w:ascii="Arial" w:eastAsia="宋体" w:hAnsi="Arial" w:cs="Arial"/>
                <w:color w:val="000000"/>
                <w:sz w:val="12"/>
                <w:szCs w:val="12"/>
              </w:rPr>
              <w:t xml:space="preserve">5.25% to but excluding September 15, 2020, </w:t>
            </w:r>
            <w:r>
              <w:rPr>
                <w:rFonts w:ascii="Arial" w:eastAsia="宋体" w:hAnsi="Arial" w:cs="Arial"/>
                <w:color w:val="000000"/>
                <w:sz w:val="12"/>
                <w:szCs w:val="12"/>
              </w:rPr>
              <w:t>then a floating rate equal to the three-month LIBOR plus 3.597%, or 3.7998% effective December 15, 2021</w:t>
            </w:r>
          </w:p>
        </w:tc>
        <w:tc>
          <w:tcPr>
            <w:tcW w:w="0" w:type="auto"/>
            <w:gridSpan w:val="3"/>
            <w:shd w:val="clear" w:color="auto" w:fill="FFFFFF"/>
            <w:tcMar>
              <w:top w:w="0" w:type="dxa"/>
              <w:left w:w="20" w:type="dxa"/>
              <w:bottom w:w="0" w:type="dxa"/>
              <w:right w:w="20" w:type="dxa"/>
            </w:tcMar>
            <w:vAlign w:val="bottom"/>
          </w:tcPr>
          <w:p w14:paraId="5F2D3D2B"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2C" w14:textId="77777777" w:rsidR="00E836FB" w:rsidRDefault="00994958">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vAlign w:val="bottom"/>
          </w:tcPr>
          <w:p w14:paraId="5F2D3D2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3D2E" w14:textId="77777777" w:rsidR="00E836FB" w:rsidRDefault="00994958">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5F2D3D2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D30"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31" w14:textId="77777777" w:rsidR="00E836FB" w:rsidRDefault="00994958">
            <w:pPr>
              <w:textAlignment w:val="center"/>
            </w:pPr>
            <w:r>
              <w:rPr>
                <w:rFonts w:ascii="Arial" w:eastAsia="宋体" w:hAnsi="Arial" w:cs="Arial"/>
                <w:color w:val="000000"/>
                <w:sz w:val="12"/>
                <w:szCs w:val="12"/>
              </w:rPr>
              <w:t>September 15, 2020</w:t>
            </w:r>
          </w:p>
        </w:tc>
      </w:tr>
      <w:tr w:rsidR="00E836FB" w14:paraId="5F2D3D49" w14:textId="77777777">
        <w:tc>
          <w:tcPr>
            <w:tcW w:w="0" w:type="auto"/>
            <w:gridSpan w:val="3"/>
            <w:shd w:val="clear" w:color="auto" w:fill="CCEEFF"/>
            <w:tcMar>
              <w:top w:w="40" w:type="dxa"/>
              <w:left w:w="20" w:type="dxa"/>
              <w:bottom w:w="40" w:type="dxa"/>
              <w:right w:w="20" w:type="dxa"/>
            </w:tcMar>
            <w:vAlign w:val="center"/>
          </w:tcPr>
          <w:p w14:paraId="5F2D3D33" w14:textId="77777777" w:rsidR="00E836FB" w:rsidRDefault="00994958">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5F2D3D34"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3D35" w14:textId="77777777" w:rsidR="00E836FB" w:rsidRDefault="00994958">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5F2D3D36"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3D37" w14:textId="77777777" w:rsidR="00E836FB" w:rsidRDefault="00994958">
            <w:pPr>
              <w:textAlignment w:val="center"/>
            </w:pPr>
            <w:r>
              <w:rPr>
                <w:rFonts w:ascii="Arial" w:eastAsia="宋体" w:hAnsi="Arial" w:cs="Arial"/>
                <w:color w:val="000000"/>
                <w:sz w:val="12"/>
                <w:szCs w:val="12"/>
              </w:rPr>
              <w:t>20,000,000</w:t>
            </w:r>
          </w:p>
        </w:tc>
        <w:tc>
          <w:tcPr>
            <w:tcW w:w="0" w:type="auto"/>
            <w:gridSpan w:val="3"/>
            <w:shd w:val="clear" w:color="auto" w:fill="CCEEFF"/>
            <w:tcMar>
              <w:top w:w="0" w:type="dxa"/>
              <w:left w:w="20" w:type="dxa"/>
              <w:bottom w:w="0" w:type="dxa"/>
              <w:right w:w="20" w:type="dxa"/>
            </w:tcMar>
            <w:vAlign w:val="bottom"/>
          </w:tcPr>
          <w:p w14:paraId="5F2D3D38"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3D39" w14:textId="77777777" w:rsidR="00E836FB" w:rsidRDefault="00994958">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F2D3D3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3D3B" w14:textId="77777777" w:rsidR="00E836FB" w:rsidRDefault="00994958">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5F2D3D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D3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3D3E" w14:textId="77777777" w:rsidR="00E836FB" w:rsidRDefault="00994958">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5F2D3D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D40"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3D41" w14:textId="77777777" w:rsidR="00E836FB" w:rsidRDefault="00994958">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5F2D3D42"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3D43" w14:textId="77777777" w:rsidR="00E836FB" w:rsidRDefault="00994958">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5F2D3D4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3D45" w14:textId="77777777" w:rsidR="00E836FB" w:rsidRDefault="00994958">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5F2D3D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D4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3D48" w14:textId="77777777" w:rsidR="00E836FB" w:rsidRDefault="00994958">
            <w:pPr>
              <w:textAlignment w:val="center"/>
            </w:pPr>
            <w:r>
              <w:rPr>
                <w:rFonts w:ascii="Arial" w:eastAsia="宋体" w:hAnsi="Arial" w:cs="Arial"/>
                <w:color w:val="000000"/>
                <w:sz w:val="12"/>
                <w:szCs w:val="12"/>
              </w:rPr>
              <w:t>March 15, 2026</w:t>
            </w:r>
          </w:p>
        </w:tc>
      </w:tr>
      <w:tr w:rsidR="00E836FB" w14:paraId="5F2D3D60" w14:textId="77777777">
        <w:tc>
          <w:tcPr>
            <w:tcW w:w="0" w:type="auto"/>
            <w:gridSpan w:val="3"/>
            <w:shd w:val="clear" w:color="auto" w:fill="FFFFFF"/>
            <w:tcMar>
              <w:top w:w="40" w:type="dxa"/>
              <w:left w:w="20" w:type="dxa"/>
              <w:bottom w:w="40" w:type="dxa"/>
              <w:right w:w="20" w:type="dxa"/>
            </w:tcMar>
            <w:vAlign w:val="center"/>
          </w:tcPr>
          <w:p w14:paraId="5F2D3D4A" w14:textId="77777777" w:rsidR="00E836FB" w:rsidRDefault="00994958">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5F2D3D4B"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4C" w14:textId="77777777" w:rsidR="00E836FB" w:rsidRDefault="00994958">
            <w:pPr>
              <w:textAlignment w:val="center"/>
            </w:pPr>
            <w:r>
              <w:rPr>
                <w:rFonts w:ascii="Arial" w:eastAsia="宋体" w:hAnsi="Arial" w:cs="Arial"/>
                <w:color w:val="000000"/>
                <w:sz w:val="12"/>
                <w:szCs w:val="12"/>
              </w:rPr>
              <w:t xml:space="preserve">September </w:t>
            </w:r>
            <w:r>
              <w:rPr>
                <w:rFonts w:ascii="Arial" w:eastAsia="宋体" w:hAnsi="Arial" w:cs="Arial"/>
                <w:color w:val="000000"/>
                <w:sz w:val="12"/>
                <w:szCs w:val="12"/>
              </w:rPr>
              <w:t>2018</w:t>
            </w:r>
          </w:p>
        </w:tc>
        <w:tc>
          <w:tcPr>
            <w:tcW w:w="0" w:type="auto"/>
            <w:gridSpan w:val="3"/>
            <w:shd w:val="clear" w:color="auto" w:fill="FFFFFF"/>
            <w:tcMar>
              <w:top w:w="0" w:type="dxa"/>
              <w:left w:w="20" w:type="dxa"/>
              <w:bottom w:w="0" w:type="dxa"/>
              <w:right w:w="20" w:type="dxa"/>
            </w:tcMar>
            <w:vAlign w:val="bottom"/>
          </w:tcPr>
          <w:p w14:paraId="5F2D3D4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4E" w14:textId="77777777" w:rsidR="00E836FB" w:rsidRDefault="00994958">
            <w:pPr>
              <w:textAlignment w:val="center"/>
            </w:pPr>
            <w:r>
              <w:rPr>
                <w:rFonts w:ascii="Arial" w:eastAsia="宋体" w:hAnsi="Arial" w:cs="Arial"/>
                <w:color w:val="000000"/>
                <w:sz w:val="12"/>
                <w:szCs w:val="12"/>
              </w:rPr>
              <w:t>500,000</w:t>
            </w:r>
          </w:p>
        </w:tc>
        <w:tc>
          <w:tcPr>
            <w:tcW w:w="0" w:type="auto"/>
            <w:gridSpan w:val="3"/>
            <w:shd w:val="clear" w:color="auto" w:fill="FFFFFF"/>
            <w:tcMar>
              <w:top w:w="0" w:type="dxa"/>
              <w:left w:w="20" w:type="dxa"/>
              <w:bottom w:w="0" w:type="dxa"/>
              <w:right w:w="20" w:type="dxa"/>
            </w:tcMar>
            <w:vAlign w:val="bottom"/>
          </w:tcPr>
          <w:p w14:paraId="5F2D3D4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50" w14:textId="77777777" w:rsidR="00E836FB" w:rsidRDefault="00994958">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5F2D3D5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3D52" w14:textId="77777777" w:rsidR="00E836FB" w:rsidRDefault="00994958">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F2D3D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D5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3D55" w14:textId="77777777" w:rsidR="00E836FB" w:rsidRDefault="00994958">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F2D3D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D57"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58" w14:textId="77777777" w:rsidR="00E836FB" w:rsidRDefault="00994958">
            <w:pPr>
              <w:textAlignment w:val="center"/>
            </w:pPr>
            <w:r>
              <w:rPr>
                <w:rFonts w:ascii="Arial" w:eastAsia="宋体" w:hAnsi="Arial" w:cs="Arial"/>
                <w:color w:val="000000"/>
                <w:sz w:val="12"/>
                <w:szCs w:val="12"/>
              </w:rPr>
              <w:t>5.625% to but excluding December 15, 2023, then a floating rate equal to the three-month LIBOR plus 2.539%</w:t>
            </w:r>
          </w:p>
        </w:tc>
        <w:tc>
          <w:tcPr>
            <w:tcW w:w="0" w:type="auto"/>
            <w:gridSpan w:val="3"/>
            <w:shd w:val="clear" w:color="auto" w:fill="FFFFFF"/>
            <w:tcMar>
              <w:top w:w="0" w:type="dxa"/>
              <w:left w:w="20" w:type="dxa"/>
              <w:bottom w:w="0" w:type="dxa"/>
              <w:right w:w="20" w:type="dxa"/>
            </w:tcMar>
            <w:vAlign w:val="bottom"/>
          </w:tcPr>
          <w:p w14:paraId="5F2D3D59"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5A" w14:textId="77777777" w:rsidR="00E836FB" w:rsidRDefault="00994958">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vAlign w:val="bottom"/>
          </w:tcPr>
          <w:p w14:paraId="5F2D3D5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3D5C" w14:textId="77777777" w:rsidR="00E836FB" w:rsidRDefault="00994958">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5F2D3D5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D5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3D5F" w14:textId="77777777" w:rsidR="00E836FB" w:rsidRDefault="00994958">
            <w:pPr>
              <w:textAlignment w:val="center"/>
            </w:pPr>
            <w:r>
              <w:rPr>
                <w:rFonts w:ascii="Arial" w:eastAsia="宋体" w:hAnsi="Arial" w:cs="Arial"/>
                <w:color w:val="000000"/>
                <w:sz w:val="12"/>
                <w:szCs w:val="12"/>
              </w:rPr>
              <w:t>December 15, 2023</w:t>
            </w:r>
          </w:p>
        </w:tc>
      </w:tr>
    </w:tbl>
    <w:p w14:paraId="5F2D3D61" w14:textId="77777777" w:rsidR="00E836FB" w:rsidRDefault="00E836FB">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E836FB" w14:paraId="5F2D3D6E" w14:textId="77777777">
        <w:trPr>
          <w:jc w:val="center"/>
        </w:trPr>
        <w:tc>
          <w:tcPr>
            <w:tcW w:w="50" w:type="pct"/>
            <w:shd w:val="clear" w:color="auto" w:fill="auto"/>
            <w:vAlign w:val="bottom"/>
          </w:tcPr>
          <w:p w14:paraId="5F2D3D62" w14:textId="77777777" w:rsidR="00E836FB" w:rsidRDefault="00E836FB">
            <w:pPr>
              <w:rPr>
                <w:rFonts w:ascii="宋体"/>
              </w:rPr>
            </w:pPr>
          </w:p>
        </w:tc>
        <w:tc>
          <w:tcPr>
            <w:tcW w:w="1349" w:type="pct"/>
            <w:shd w:val="clear" w:color="auto" w:fill="auto"/>
            <w:vAlign w:val="bottom"/>
          </w:tcPr>
          <w:p w14:paraId="5F2D3D63" w14:textId="77777777" w:rsidR="00E836FB" w:rsidRDefault="00E836FB">
            <w:pPr>
              <w:rPr>
                <w:rFonts w:ascii="宋体"/>
              </w:rPr>
            </w:pPr>
          </w:p>
        </w:tc>
        <w:tc>
          <w:tcPr>
            <w:tcW w:w="5" w:type="pct"/>
            <w:shd w:val="clear" w:color="auto" w:fill="auto"/>
            <w:vAlign w:val="bottom"/>
          </w:tcPr>
          <w:p w14:paraId="5F2D3D64" w14:textId="77777777" w:rsidR="00E836FB" w:rsidRDefault="00E836FB">
            <w:pPr>
              <w:rPr>
                <w:rFonts w:ascii="宋体"/>
              </w:rPr>
            </w:pPr>
          </w:p>
        </w:tc>
        <w:tc>
          <w:tcPr>
            <w:tcW w:w="50" w:type="pct"/>
            <w:shd w:val="clear" w:color="auto" w:fill="auto"/>
            <w:vAlign w:val="bottom"/>
          </w:tcPr>
          <w:p w14:paraId="5F2D3D65" w14:textId="77777777" w:rsidR="00E836FB" w:rsidRDefault="00E836FB">
            <w:pPr>
              <w:rPr>
                <w:rFonts w:ascii="宋体"/>
              </w:rPr>
            </w:pPr>
          </w:p>
        </w:tc>
        <w:tc>
          <w:tcPr>
            <w:tcW w:w="915" w:type="pct"/>
            <w:shd w:val="clear" w:color="auto" w:fill="auto"/>
            <w:vAlign w:val="bottom"/>
          </w:tcPr>
          <w:p w14:paraId="5F2D3D66" w14:textId="77777777" w:rsidR="00E836FB" w:rsidRDefault="00E836FB">
            <w:pPr>
              <w:rPr>
                <w:rFonts w:ascii="宋体"/>
              </w:rPr>
            </w:pPr>
          </w:p>
        </w:tc>
        <w:tc>
          <w:tcPr>
            <w:tcW w:w="5" w:type="pct"/>
            <w:shd w:val="clear" w:color="auto" w:fill="auto"/>
            <w:vAlign w:val="bottom"/>
          </w:tcPr>
          <w:p w14:paraId="5F2D3D67" w14:textId="77777777" w:rsidR="00E836FB" w:rsidRDefault="00E836FB">
            <w:pPr>
              <w:rPr>
                <w:rFonts w:ascii="宋体"/>
              </w:rPr>
            </w:pPr>
          </w:p>
        </w:tc>
        <w:tc>
          <w:tcPr>
            <w:tcW w:w="50" w:type="pct"/>
            <w:shd w:val="clear" w:color="auto" w:fill="auto"/>
            <w:vAlign w:val="bottom"/>
          </w:tcPr>
          <w:p w14:paraId="5F2D3D68" w14:textId="77777777" w:rsidR="00E836FB" w:rsidRDefault="00E836FB">
            <w:pPr>
              <w:rPr>
                <w:rFonts w:ascii="宋体"/>
              </w:rPr>
            </w:pPr>
          </w:p>
        </w:tc>
        <w:tc>
          <w:tcPr>
            <w:tcW w:w="915" w:type="pct"/>
            <w:shd w:val="clear" w:color="auto" w:fill="auto"/>
            <w:vAlign w:val="bottom"/>
          </w:tcPr>
          <w:p w14:paraId="5F2D3D69" w14:textId="77777777" w:rsidR="00E836FB" w:rsidRDefault="00E836FB">
            <w:pPr>
              <w:rPr>
                <w:rFonts w:ascii="宋体"/>
              </w:rPr>
            </w:pPr>
          </w:p>
        </w:tc>
        <w:tc>
          <w:tcPr>
            <w:tcW w:w="5" w:type="pct"/>
            <w:shd w:val="clear" w:color="auto" w:fill="auto"/>
            <w:vAlign w:val="bottom"/>
          </w:tcPr>
          <w:p w14:paraId="5F2D3D6A" w14:textId="77777777" w:rsidR="00E836FB" w:rsidRDefault="00E836FB">
            <w:pPr>
              <w:rPr>
                <w:rFonts w:ascii="宋体"/>
              </w:rPr>
            </w:pPr>
          </w:p>
        </w:tc>
        <w:tc>
          <w:tcPr>
            <w:tcW w:w="50" w:type="pct"/>
            <w:shd w:val="clear" w:color="auto" w:fill="auto"/>
            <w:vAlign w:val="bottom"/>
          </w:tcPr>
          <w:p w14:paraId="5F2D3D6B" w14:textId="77777777" w:rsidR="00E836FB" w:rsidRDefault="00E836FB">
            <w:pPr>
              <w:rPr>
                <w:rFonts w:ascii="宋体"/>
              </w:rPr>
            </w:pPr>
          </w:p>
        </w:tc>
        <w:tc>
          <w:tcPr>
            <w:tcW w:w="1599" w:type="pct"/>
            <w:shd w:val="clear" w:color="auto" w:fill="auto"/>
            <w:vAlign w:val="bottom"/>
          </w:tcPr>
          <w:p w14:paraId="5F2D3D6C" w14:textId="77777777" w:rsidR="00E836FB" w:rsidRDefault="00E836FB">
            <w:pPr>
              <w:rPr>
                <w:rFonts w:ascii="宋体"/>
              </w:rPr>
            </w:pPr>
          </w:p>
        </w:tc>
        <w:tc>
          <w:tcPr>
            <w:tcW w:w="5" w:type="pct"/>
            <w:shd w:val="clear" w:color="auto" w:fill="auto"/>
            <w:vAlign w:val="bottom"/>
          </w:tcPr>
          <w:p w14:paraId="5F2D3D6D" w14:textId="77777777" w:rsidR="00E836FB" w:rsidRDefault="00E836FB">
            <w:pPr>
              <w:rPr>
                <w:rFonts w:ascii="宋体"/>
              </w:rPr>
            </w:pPr>
          </w:p>
        </w:tc>
      </w:tr>
      <w:tr w:rsidR="00E836FB" w14:paraId="5F2D3D73"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3D6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D7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D7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D72" w14:textId="77777777" w:rsidR="00E836FB" w:rsidRDefault="00E836FB">
            <w:pPr>
              <w:rPr>
                <w:rFonts w:ascii="宋体"/>
              </w:rPr>
            </w:pPr>
          </w:p>
        </w:tc>
      </w:tr>
    </w:tbl>
    <w:p w14:paraId="5F2D3D74" w14:textId="77777777" w:rsidR="00E836FB" w:rsidRDefault="00994958">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whole, but not in part, prior to the redemption date upon the occurrence of a regulatory capital treatment event, as defined in the certificate of designation, at </w:t>
      </w:r>
      <w:r>
        <w:rPr>
          <w:rFonts w:ascii="Arial" w:eastAsia="宋体" w:hAnsi="Arial" w:cs="Arial"/>
          <w:color w:val="000000"/>
          <w:sz w:val="12"/>
          <w:szCs w:val="12"/>
        </w:rPr>
        <w:t>a redemption price equal to the liquidation price per share and liquidation price per depositary share plus any declared and unpaid dividends, without accumulation of any undeclared dividends.</w:t>
      </w:r>
    </w:p>
    <w:p w14:paraId="5F2D3D75" w14:textId="77777777" w:rsidR="00E836FB" w:rsidRDefault="00994958">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On the redemption date, or any dividend payment date </w:t>
      </w:r>
      <w:r>
        <w:rPr>
          <w:rFonts w:ascii="Arial" w:eastAsia="宋体" w:hAnsi="Arial" w:cs="Arial"/>
          <w:color w:val="000000"/>
          <w:sz w:val="12"/>
          <w:szCs w:val="12"/>
        </w:rPr>
        <w:t>thereafter, the preferred stock and corresponding depositary shares may be redeemed by us, in whole or in part, at the liquidation price per share and liquidation price per depositary share plus any declared and unpaid dividends, without accumulation of an</w:t>
      </w:r>
      <w:r>
        <w:rPr>
          <w:rFonts w:ascii="Arial" w:eastAsia="宋体" w:hAnsi="Arial" w:cs="Arial"/>
          <w:color w:val="000000"/>
          <w:sz w:val="12"/>
          <w:szCs w:val="12"/>
        </w:rPr>
        <w:t>y undeclared dividends.</w:t>
      </w:r>
    </w:p>
    <w:p w14:paraId="5F2D3D76" w14:textId="77777777" w:rsidR="00E836FB" w:rsidRDefault="00994958">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t>
      </w:r>
    </w:p>
    <w:p w14:paraId="5F2D3D77" w14:textId="77777777" w:rsidR="00E836FB" w:rsidRDefault="00994958">
      <w:pPr>
        <w:ind w:firstLine="450"/>
        <w:jc w:val="right"/>
      </w:pPr>
      <w:r>
        <w:rPr>
          <w:rFonts w:ascii="Arial" w:eastAsia="宋体" w:hAnsi="Arial" w:cs="Arial"/>
          <w:color w:val="000000"/>
          <w:sz w:val="18"/>
          <w:szCs w:val="18"/>
        </w:rPr>
        <w:t>State Street Corporation | 169</w:t>
      </w:r>
    </w:p>
    <w:p w14:paraId="5F2D3D78" w14:textId="77777777" w:rsidR="00E836FB" w:rsidRDefault="00E836FB">
      <w:pPr>
        <w:ind w:firstLine="450"/>
        <w:jc w:val="center"/>
      </w:pPr>
    </w:p>
    <w:p w14:paraId="5F2D3D79" w14:textId="77777777" w:rsidR="00E836FB" w:rsidRDefault="00994958">
      <w:r>
        <w:pict w14:anchorId="5F2D6E2E">
          <v:rect id="_x0000_i1193" style="width:415.3pt;height:1.5pt" o:hralign="center" o:hrstd="t" o:hr="t" fillcolor="#a0a0a0" stroked="f"/>
        </w:pict>
      </w:r>
    </w:p>
    <w:p w14:paraId="5F2D3D7A" w14:textId="77777777" w:rsidR="00E836FB" w:rsidRDefault="00994958">
      <w:pPr>
        <w:ind w:firstLine="450"/>
        <w:jc w:val="center"/>
      </w:pPr>
      <w:r>
        <w:rPr>
          <w:rFonts w:ascii="Arial" w:eastAsia="宋体" w:hAnsi="Arial" w:cs="Arial"/>
          <w:b/>
          <w:bCs/>
          <w:color w:val="000000"/>
          <w:sz w:val="20"/>
          <w:szCs w:val="20"/>
        </w:rPr>
        <w:t>STATE STREET CORPORATION</w:t>
      </w:r>
    </w:p>
    <w:p w14:paraId="5F2D3D7B"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3D7C" w14:textId="77777777" w:rsidR="00E836FB" w:rsidRDefault="00994958">
      <w:pPr>
        <w:spacing w:before="60"/>
        <w:ind w:firstLine="450"/>
        <w:jc w:val="both"/>
      </w:pPr>
      <w:r>
        <w:rPr>
          <w:rFonts w:ascii="Arial" w:eastAsia="宋体" w:hAnsi="Arial" w:cs="Arial"/>
          <w:color w:val="000000"/>
          <w:sz w:val="20"/>
          <w:szCs w:val="20"/>
        </w:rPr>
        <w:t>On March 15, 2021,</w:t>
      </w:r>
      <w:r>
        <w:rPr>
          <w:rFonts w:ascii="Arial" w:eastAsia="宋体" w:hAnsi="Arial" w:cs="Arial"/>
          <w:color w:val="000000"/>
          <w:sz w:val="20"/>
          <w:szCs w:val="20"/>
        </w:rPr>
        <w:t xml:space="preserve"> we redeemed an aggregate of $500 million, or 5,000 of the 7,500 outstanding shares of our non-cumulative perpetual preferred stock, Series F, for cash at a redemption price of $100,000 per share (equivalent to $1,000 per depositary share) plus all declare</w:t>
      </w:r>
      <w:r>
        <w:rPr>
          <w:rFonts w:ascii="Arial" w:eastAsia="宋体" w:hAnsi="Arial" w:cs="Arial"/>
          <w:color w:val="000000"/>
          <w:sz w:val="20"/>
          <w:szCs w:val="20"/>
        </w:rPr>
        <w:t xml:space="preserve">d and unpaid dividends. </w:t>
      </w:r>
    </w:p>
    <w:p w14:paraId="5F2D3D7D" w14:textId="77777777" w:rsidR="00E836FB" w:rsidRDefault="00994958">
      <w:pPr>
        <w:spacing w:before="60"/>
        <w:ind w:firstLine="450"/>
        <w:jc w:val="both"/>
      </w:pPr>
      <w:r>
        <w:rPr>
          <w:rFonts w:ascii="Arial" w:eastAsia="宋体" w:hAnsi="Arial" w:cs="Arial"/>
          <w:color w:val="000000"/>
          <w:sz w:val="20"/>
          <w:szCs w:val="20"/>
        </w:rPr>
        <w:t>The following table presents the dividends declared for each of the series of 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60"/>
        <w:gridCol w:w="36"/>
        <w:gridCol w:w="36"/>
        <w:gridCol w:w="36"/>
        <w:gridCol w:w="36"/>
        <w:gridCol w:w="104"/>
        <w:gridCol w:w="861"/>
        <w:gridCol w:w="36"/>
        <w:gridCol w:w="36"/>
        <w:gridCol w:w="36"/>
        <w:gridCol w:w="36"/>
        <w:gridCol w:w="105"/>
        <w:gridCol w:w="848"/>
        <w:gridCol w:w="36"/>
        <w:gridCol w:w="36"/>
        <w:gridCol w:w="36"/>
        <w:gridCol w:w="36"/>
        <w:gridCol w:w="105"/>
        <w:gridCol w:w="861"/>
        <w:gridCol w:w="36"/>
        <w:gridCol w:w="36"/>
        <w:gridCol w:w="36"/>
        <w:gridCol w:w="36"/>
        <w:gridCol w:w="104"/>
        <w:gridCol w:w="861"/>
        <w:gridCol w:w="36"/>
      </w:tblGrid>
      <w:tr w:rsidR="00E836FB" w14:paraId="5F2D3DA2" w14:textId="77777777">
        <w:tc>
          <w:tcPr>
            <w:tcW w:w="50" w:type="pct"/>
            <w:shd w:val="clear" w:color="auto" w:fill="auto"/>
            <w:vAlign w:val="bottom"/>
          </w:tcPr>
          <w:p w14:paraId="5F2D3D7E" w14:textId="77777777" w:rsidR="00E836FB" w:rsidRDefault="00E836FB">
            <w:pPr>
              <w:rPr>
                <w:rFonts w:ascii="宋体"/>
              </w:rPr>
            </w:pPr>
          </w:p>
        </w:tc>
        <w:tc>
          <w:tcPr>
            <w:tcW w:w="1031" w:type="pct"/>
            <w:shd w:val="clear" w:color="auto" w:fill="auto"/>
            <w:vAlign w:val="bottom"/>
          </w:tcPr>
          <w:p w14:paraId="5F2D3D7F" w14:textId="77777777" w:rsidR="00E836FB" w:rsidRDefault="00E836FB">
            <w:pPr>
              <w:rPr>
                <w:rFonts w:ascii="宋体"/>
              </w:rPr>
            </w:pPr>
          </w:p>
        </w:tc>
        <w:tc>
          <w:tcPr>
            <w:tcW w:w="5" w:type="pct"/>
            <w:shd w:val="clear" w:color="auto" w:fill="auto"/>
            <w:vAlign w:val="bottom"/>
          </w:tcPr>
          <w:p w14:paraId="5F2D3D80" w14:textId="77777777" w:rsidR="00E836FB" w:rsidRDefault="00E836FB">
            <w:pPr>
              <w:rPr>
                <w:rFonts w:ascii="宋体"/>
              </w:rPr>
            </w:pPr>
          </w:p>
        </w:tc>
        <w:tc>
          <w:tcPr>
            <w:tcW w:w="50" w:type="pct"/>
            <w:shd w:val="clear" w:color="auto" w:fill="auto"/>
            <w:vAlign w:val="bottom"/>
          </w:tcPr>
          <w:p w14:paraId="5F2D3D81" w14:textId="77777777" w:rsidR="00E836FB" w:rsidRDefault="00E836FB">
            <w:pPr>
              <w:rPr>
                <w:rFonts w:ascii="宋体"/>
              </w:rPr>
            </w:pPr>
          </w:p>
        </w:tc>
        <w:tc>
          <w:tcPr>
            <w:tcW w:w="561" w:type="pct"/>
            <w:shd w:val="clear" w:color="auto" w:fill="auto"/>
            <w:vAlign w:val="bottom"/>
          </w:tcPr>
          <w:p w14:paraId="5F2D3D82" w14:textId="77777777" w:rsidR="00E836FB" w:rsidRDefault="00E836FB">
            <w:pPr>
              <w:rPr>
                <w:rFonts w:ascii="宋体"/>
              </w:rPr>
            </w:pPr>
          </w:p>
        </w:tc>
        <w:tc>
          <w:tcPr>
            <w:tcW w:w="5" w:type="pct"/>
            <w:shd w:val="clear" w:color="auto" w:fill="auto"/>
            <w:vAlign w:val="bottom"/>
          </w:tcPr>
          <w:p w14:paraId="5F2D3D83" w14:textId="77777777" w:rsidR="00E836FB" w:rsidRDefault="00E836FB">
            <w:pPr>
              <w:rPr>
                <w:rFonts w:ascii="宋体"/>
              </w:rPr>
            </w:pPr>
          </w:p>
        </w:tc>
        <w:tc>
          <w:tcPr>
            <w:tcW w:w="5" w:type="pct"/>
            <w:shd w:val="clear" w:color="auto" w:fill="auto"/>
            <w:vAlign w:val="bottom"/>
          </w:tcPr>
          <w:p w14:paraId="5F2D3D84" w14:textId="77777777" w:rsidR="00E836FB" w:rsidRDefault="00E836FB">
            <w:pPr>
              <w:rPr>
                <w:rFonts w:ascii="宋体"/>
              </w:rPr>
            </w:pPr>
          </w:p>
        </w:tc>
        <w:tc>
          <w:tcPr>
            <w:tcW w:w="26" w:type="pct"/>
            <w:shd w:val="clear" w:color="auto" w:fill="auto"/>
            <w:vAlign w:val="bottom"/>
          </w:tcPr>
          <w:p w14:paraId="5F2D3D85" w14:textId="77777777" w:rsidR="00E836FB" w:rsidRDefault="00E836FB">
            <w:pPr>
              <w:rPr>
                <w:rFonts w:ascii="宋体"/>
              </w:rPr>
            </w:pPr>
          </w:p>
        </w:tc>
        <w:tc>
          <w:tcPr>
            <w:tcW w:w="5" w:type="pct"/>
            <w:shd w:val="clear" w:color="auto" w:fill="auto"/>
            <w:vAlign w:val="bottom"/>
          </w:tcPr>
          <w:p w14:paraId="5F2D3D86" w14:textId="77777777" w:rsidR="00E836FB" w:rsidRDefault="00E836FB">
            <w:pPr>
              <w:rPr>
                <w:rFonts w:ascii="宋体"/>
              </w:rPr>
            </w:pPr>
          </w:p>
        </w:tc>
        <w:tc>
          <w:tcPr>
            <w:tcW w:w="50" w:type="pct"/>
            <w:shd w:val="clear" w:color="auto" w:fill="auto"/>
            <w:vAlign w:val="bottom"/>
          </w:tcPr>
          <w:p w14:paraId="5F2D3D87" w14:textId="77777777" w:rsidR="00E836FB" w:rsidRDefault="00E836FB">
            <w:pPr>
              <w:rPr>
                <w:rFonts w:ascii="宋体"/>
              </w:rPr>
            </w:pPr>
          </w:p>
        </w:tc>
        <w:tc>
          <w:tcPr>
            <w:tcW w:w="569" w:type="pct"/>
            <w:shd w:val="clear" w:color="auto" w:fill="auto"/>
            <w:vAlign w:val="bottom"/>
          </w:tcPr>
          <w:p w14:paraId="5F2D3D88" w14:textId="77777777" w:rsidR="00E836FB" w:rsidRDefault="00E836FB">
            <w:pPr>
              <w:rPr>
                <w:rFonts w:ascii="宋体"/>
              </w:rPr>
            </w:pPr>
          </w:p>
        </w:tc>
        <w:tc>
          <w:tcPr>
            <w:tcW w:w="5" w:type="pct"/>
            <w:shd w:val="clear" w:color="auto" w:fill="auto"/>
            <w:vAlign w:val="bottom"/>
          </w:tcPr>
          <w:p w14:paraId="5F2D3D89" w14:textId="77777777" w:rsidR="00E836FB" w:rsidRDefault="00E836FB">
            <w:pPr>
              <w:rPr>
                <w:rFonts w:ascii="宋体"/>
              </w:rPr>
            </w:pPr>
          </w:p>
        </w:tc>
        <w:tc>
          <w:tcPr>
            <w:tcW w:w="5" w:type="pct"/>
            <w:shd w:val="clear" w:color="auto" w:fill="auto"/>
            <w:vAlign w:val="bottom"/>
          </w:tcPr>
          <w:p w14:paraId="5F2D3D8A" w14:textId="77777777" w:rsidR="00E836FB" w:rsidRDefault="00E836FB">
            <w:pPr>
              <w:rPr>
                <w:rFonts w:ascii="宋体"/>
              </w:rPr>
            </w:pPr>
          </w:p>
        </w:tc>
        <w:tc>
          <w:tcPr>
            <w:tcW w:w="26" w:type="pct"/>
            <w:shd w:val="clear" w:color="auto" w:fill="auto"/>
            <w:vAlign w:val="bottom"/>
          </w:tcPr>
          <w:p w14:paraId="5F2D3D8B" w14:textId="77777777" w:rsidR="00E836FB" w:rsidRDefault="00E836FB">
            <w:pPr>
              <w:rPr>
                <w:rFonts w:ascii="宋体"/>
              </w:rPr>
            </w:pPr>
          </w:p>
        </w:tc>
        <w:tc>
          <w:tcPr>
            <w:tcW w:w="5" w:type="pct"/>
            <w:shd w:val="clear" w:color="auto" w:fill="auto"/>
            <w:vAlign w:val="bottom"/>
          </w:tcPr>
          <w:p w14:paraId="5F2D3D8C" w14:textId="77777777" w:rsidR="00E836FB" w:rsidRDefault="00E836FB">
            <w:pPr>
              <w:rPr>
                <w:rFonts w:ascii="宋体"/>
              </w:rPr>
            </w:pPr>
          </w:p>
        </w:tc>
        <w:tc>
          <w:tcPr>
            <w:tcW w:w="50" w:type="pct"/>
            <w:shd w:val="clear" w:color="auto" w:fill="auto"/>
            <w:vAlign w:val="bottom"/>
          </w:tcPr>
          <w:p w14:paraId="5F2D3D8D" w14:textId="77777777" w:rsidR="00E836FB" w:rsidRDefault="00E836FB">
            <w:pPr>
              <w:rPr>
                <w:rFonts w:ascii="宋体"/>
              </w:rPr>
            </w:pPr>
          </w:p>
        </w:tc>
        <w:tc>
          <w:tcPr>
            <w:tcW w:w="569" w:type="pct"/>
            <w:shd w:val="clear" w:color="auto" w:fill="auto"/>
            <w:vAlign w:val="bottom"/>
          </w:tcPr>
          <w:p w14:paraId="5F2D3D8E" w14:textId="77777777" w:rsidR="00E836FB" w:rsidRDefault="00E836FB">
            <w:pPr>
              <w:rPr>
                <w:rFonts w:ascii="宋体"/>
              </w:rPr>
            </w:pPr>
          </w:p>
        </w:tc>
        <w:tc>
          <w:tcPr>
            <w:tcW w:w="5" w:type="pct"/>
            <w:shd w:val="clear" w:color="auto" w:fill="auto"/>
            <w:vAlign w:val="bottom"/>
          </w:tcPr>
          <w:p w14:paraId="5F2D3D8F" w14:textId="77777777" w:rsidR="00E836FB" w:rsidRDefault="00E836FB">
            <w:pPr>
              <w:rPr>
                <w:rFonts w:ascii="宋体"/>
              </w:rPr>
            </w:pPr>
          </w:p>
        </w:tc>
        <w:tc>
          <w:tcPr>
            <w:tcW w:w="5" w:type="pct"/>
            <w:shd w:val="clear" w:color="auto" w:fill="auto"/>
            <w:vAlign w:val="bottom"/>
          </w:tcPr>
          <w:p w14:paraId="5F2D3D90" w14:textId="77777777" w:rsidR="00E836FB" w:rsidRDefault="00E836FB">
            <w:pPr>
              <w:rPr>
                <w:rFonts w:ascii="宋体"/>
              </w:rPr>
            </w:pPr>
          </w:p>
        </w:tc>
        <w:tc>
          <w:tcPr>
            <w:tcW w:w="26" w:type="pct"/>
            <w:shd w:val="clear" w:color="auto" w:fill="auto"/>
            <w:vAlign w:val="bottom"/>
          </w:tcPr>
          <w:p w14:paraId="5F2D3D91" w14:textId="77777777" w:rsidR="00E836FB" w:rsidRDefault="00E836FB">
            <w:pPr>
              <w:rPr>
                <w:rFonts w:ascii="宋体"/>
              </w:rPr>
            </w:pPr>
          </w:p>
        </w:tc>
        <w:tc>
          <w:tcPr>
            <w:tcW w:w="5" w:type="pct"/>
            <w:shd w:val="clear" w:color="auto" w:fill="auto"/>
            <w:vAlign w:val="bottom"/>
          </w:tcPr>
          <w:p w14:paraId="5F2D3D92" w14:textId="77777777" w:rsidR="00E836FB" w:rsidRDefault="00E836FB">
            <w:pPr>
              <w:rPr>
                <w:rFonts w:ascii="宋体"/>
              </w:rPr>
            </w:pPr>
          </w:p>
        </w:tc>
        <w:tc>
          <w:tcPr>
            <w:tcW w:w="50" w:type="pct"/>
            <w:shd w:val="clear" w:color="auto" w:fill="auto"/>
            <w:vAlign w:val="bottom"/>
          </w:tcPr>
          <w:p w14:paraId="5F2D3D93" w14:textId="77777777" w:rsidR="00E836FB" w:rsidRDefault="00E836FB">
            <w:pPr>
              <w:rPr>
                <w:rFonts w:ascii="宋体"/>
              </w:rPr>
            </w:pPr>
          </w:p>
        </w:tc>
        <w:tc>
          <w:tcPr>
            <w:tcW w:w="561" w:type="pct"/>
            <w:shd w:val="clear" w:color="auto" w:fill="auto"/>
            <w:vAlign w:val="bottom"/>
          </w:tcPr>
          <w:p w14:paraId="5F2D3D94" w14:textId="77777777" w:rsidR="00E836FB" w:rsidRDefault="00E836FB">
            <w:pPr>
              <w:rPr>
                <w:rFonts w:ascii="宋体"/>
              </w:rPr>
            </w:pPr>
          </w:p>
        </w:tc>
        <w:tc>
          <w:tcPr>
            <w:tcW w:w="5" w:type="pct"/>
            <w:shd w:val="clear" w:color="auto" w:fill="auto"/>
            <w:vAlign w:val="bottom"/>
          </w:tcPr>
          <w:p w14:paraId="5F2D3D95" w14:textId="77777777" w:rsidR="00E836FB" w:rsidRDefault="00E836FB">
            <w:pPr>
              <w:rPr>
                <w:rFonts w:ascii="宋体"/>
              </w:rPr>
            </w:pPr>
          </w:p>
        </w:tc>
        <w:tc>
          <w:tcPr>
            <w:tcW w:w="5" w:type="pct"/>
            <w:shd w:val="clear" w:color="auto" w:fill="auto"/>
            <w:vAlign w:val="bottom"/>
          </w:tcPr>
          <w:p w14:paraId="5F2D3D96" w14:textId="77777777" w:rsidR="00E836FB" w:rsidRDefault="00E836FB">
            <w:pPr>
              <w:rPr>
                <w:rFonts w:ascii="宋体"/>
              </w:rPr>
            </w:pPr>
          </w:p>
        </w:tc>
        <w:tc>
          <w:tcPr>
            <w:tcW w:w="26" w:type="pct"/>
            <w:shd w:val="clear" w:color="auto" w:fill="auto"/>
            <w:vAlign w:val="bottom"/>
          </w:tcPr>
          <w:p w14:paraId="5F2D3D97" w14:textId="77777777" w:rsidR="00E836FB" w:rsidRDefault="00E836FB">
            <w:pPr>
              <w:rPr>
                <w:rFonts w:ascii="宋体"/>
              </w:rPr>
            </w:pPr>
          </w:p>
        </w:tc>
        <w:tc>
          <w:tcPr>
            <w:tcW w:w="5" w:type="pct"/>
            <w:shd w:val="clear" w:color="auto" w:fill="auto"/>
            <w:vAlign w:val="bottom"/>
          </w:tcPr>
          <w:p w14:paraId="5F2D3D98" w14:textId="77777777" w:rsidR="00E836FB" w:rsidRDefault="00E836FB">
            <w:pPr>
              <w:rPr>
                <w:rFonts w:ascii="宋体"/>
              </w:rPr>
            </w:pPr>
          </w:p>
        </w:tc>
        <w:tc>
          <w:tcPr>
            <w:tcW w:w="50" w:type="pct"/>
            <w:shd w:val="clear" w:color="auto" w:fill="auto"/>
            <w:vAlign w:val="bottom"/>
          </w:tcPr>
          <w:p w14:paraId="5F2D3D99" w14:textId="77777777" w:rsidR="00E836FB" w:rsidRDefault="00E836FB">
            <w:pPr>
              <w:rPr>
                <w:rFonts w:ascii="宋体"/>
              </w:rPr>
            </w:pPr>
          </w:p>
        </w:tc>
        <w:tc>
          <w:tcPr>
            <w:tcW w:w="569" w:type="pct"/>
            <w:shd w:val="clear" w:color="auto" w:fill="auto"/>
            <w:vAlign w:val="bottom"/>
          </w:tcPr>
          <w:p w14:paraId="5F2D3D9A" w14:textId="77777777" w:rsidR="00E836FB" w:rsidRDefault="00E836FB">
            <w:pPr>
              <w:rPr>
                <w:rFonts w:ascii="宋体"/>
              </w:rPr>
            </w:pPr>
          </w:p>
        </w:tc>
        <w:tc>
          <w:tcPr>
            <w:tcW w:w="5" w:type="pct"/>
            <w:shd w:val="clear" w:color="auto" w:fill="auto"/>
            <w:vAlign w:val="bottom"/>
          </w:tcPr>
          <w:p w14:paraId="5F2D3D9B" w14:textId="77777777" w:rsidR="00E836FB" w:rsidRDefault="00E836FB">
            <w:pPr>
              <w:rPr>
                <w:rFonts w:ascii="宋体"/>
              </w:rPr>
            </w:pPr>
          </w:p>
        </w:tc>
        <w:tc>
          <w:tcPr>
            <w:tcW w:w="5" w:type="pct"/>
            <w:shd w:val="clear" w:color="auto" w:fill="auto"/>
            <w:vAlign w:val="bottom"/>
          </w:tcPr>
          <w:p w14:paraId="5F2D3D9C" w14:textId="77777777" w:rsidR="00E836FB" w:rsidRDefault="00E836FB">
            <w:pPr>
              <w:rPr>
                <w:rFonts w:ascii="宋体"/>
              </w:rPr>
            </w:pPr>
          </w:p>
        </w:tc>
        <w:tc>
          <w:tcPr>
            <w:tcW w:w="26" w:type="pct"/>
            <w:shd w:val="clear" w:color="auto" w:fill="auto"/>
            <w:vAlign w:val="bottom"/>
          </w:tcPr>
          <w:p w14:paraId="5F2D3D9D" w14:textId="77777777" w:rsidR="00E836FB" w:rsidRDefault="00E836FB">
            <w:pPr>
              <w:rPr>
                <w:rFonts w:ascii="宋体"/>
              </w:rPr>
            </w:pPr>
          </w:p>
        </w:tc>
        <w:tc>
          <w:tcPr>
            <w:tcW w:w="5" w:type="pct"/>
            <w:shd w:val="clear" w:color="auto" w:fill="auto"/>
            <w:vAlign w:val="bottom"/>
          </w:tcPr>
          <w:p w14:paraId="5F2D3D9E" w14:textId="77777777" w:rsidR="00E836FB" w:rsidRDefault="00E836FB">
            <w:pPr>
              <w:rPr>
                <w:rFonts w:ascii="宋体"/>
              </w:rPr>
            </w:pPr>
          </w:p>
        </w:tc>
        <w:tc>
          <w:tcPr>
            <w:tcW w:w="50" w:type="pct"/>
            <w:shd w:val="clear" w:color="auto" w:fill="auto"/>
            <w:vAlign w:val="bottom"/>
          </w:tcPr>
          <w:p w14:paraId="5F2D3D9F" w14:textId="77777777" w:rsidR="00E836FB" w:rsidRDefault="00E836FB">
            <w:pPr>
              <w:rPr>
                <w:rFonts w:ascii="宋体"/>
              </w:rPr>
            </w:pPr>
          </w:p>
        </w:tc>
        <w:tc>
          <w:tcPr>
            <w:tcW w:w="569" w:type="pct"/>
            <w:shd w:val="clear" w:color="auto" w:fill="auto"/>
            <w:vAlign w:val="bottom"/>
          </w:tcPr>
          <w:p w14:paraId="5F2D3DA0" w14:textId="77777777" w:rsidR="00E836FB" w:rsidRDefault="00E836FB">
            <w:pPr>
              <w:rPr>
                <w:rFonts w:ascii="宋体"/>
              </w:rPr>
            </w:pPr>
          </w:p>
        </w:tc>
        <w:tc>
          <w:tcPr>
            <w:tcW w:w="5" w:type="pct"/>
            <w:shd w:val="clear" w:color="auto" w:fill="auto"/>
            <w:vAlign w:val="bottom"/>
          </w:tcPr>
          <w:p w14:paraId="5F2D3DA1" w14:textId="77777777" w:rsidR="00E836FB" w:rsidRDefault="00E836FB">
            <w:pPr>
              <w:rPr>
                <w:rFonts w:ascii="宋体"/>
              </w:rPr>
            </w:pPr>
          </w:p>
        </w:tc>
      </w:tr>
      <w:tr w:rsidR="00E836FB" w14:paraId="5F2D3DC5" w14:textId="77777777">
        <w:trPr>
          <w:hidden/>
        </w:trPr>
        <w:tc>
          <w:tcPr>
            <w:tcW w:w="0" w:type="auto"/>
            <w:gridSpan w:val="3"/>
            <w:shd w:val="clear" w:color="auto" w:fill="auto"/>
            <w:vAlign w:val="bottom"/>
          </w:tcPr>
          <w:p w14:paraId="5F2D3DA3" w14:textId="77777777" w:rsidR="00E836FB" w:rsidRDefault="00E836FB">
            <w:pPr>
              <w:rPr>
                <w:rFonts w:ascii="宋体"/>
                <w:vanish/>
              </w:rPr>
            </w:pPr>
          </w:p>
        </w:tc>
        <w:tc>
          <w:tcPr>
            <w:tcW w:w="0" w:type="auto"/>
            <w:shd w:val="clear" w:color="auto" w:fill="auto"/>
            <w:vAlign w:val="bottom"/>
          </w:tcPr>
          <w:p w14:paraId="5F2D3DA4" w14:textId="77777777" w:rsidR="00E836FB" w:rsidRDefault="00E836FB">
            <w:pPr>
              <w:rPr>
                <w:rFonts w:ascii="宋体"/>
              </w:rPr>
            </w:pPr>
          </w:p>
        </w:tc>
        <w:tc>
          <w:tcPr>
            <w:tcW w:w="0" w:type="auto"/>
            <w:shd w:val="clear" w:color="auto" w:fill="auto"/>
            <w:vAlign w:val="bottom"/>
          </w:tcPr>
          <w:p w14:paraId="5F2D3DA5" w14:textId="77777777" w:rsidR="00E836FB" w:rsidRDefault="00E836FB">
            <w:pPr>
              <w:rPr>
                <w:rFonts w:ascii="宋体"/>
              </w:rPr>
            </w:pPr>
          </w:p>
        </w:tc>
        <w:tc>
          <w:tcPr>
            <w:tcW w:w="0" w:type="auto"/>
            <w:shd w:val="clear" w:color="auto" w:fill="auto"/>
            <w:vAlign w:val="bottom"/>
          </w:tcPr>
          <w:p w14:paraId="5F2D3DA6" w14:textId="77777777" w:rsidR="00E836FB" w:rsidRDefault="00E836FB">
            <w:pPr>
              <w:rPr>
                <w:rFonts w:ascii="宋体"/>
              </w:rPr>
            </w:pPr>
          </w:p>
        </w:tc>
        <w:tc>
          <w:tcPr>
            <w:tcW w:w="0" w:type="auto"/>
            <w:shd w:val="clear" w:color="auto" w:fill="auto"/>
            <w:vAlign w:val="bottom"/>
          </w:tcPr>
          <w:p w14:paraId="5F2D3DA7" w14:textId="77777777" w:rsidR="00E836FB" w:rsidRDefault="00E836FB">
            <w:pPr>
              <w:rPr>
                <w:rFonts w:ascii="宋体"/>
              </w:rPr>
            </w:pPr>
          </w:p>
        </w:tc>
        <w:tc>
          <w:tcPr>
            <w:tcW w:w="0" w:type="auto"/>
            <w:shd w:val="clear" w:color="auto" w:fill="auto"/>
            <w:vAlign w:val="bottom"/>
          </w:tcPr>
          <w:p w14:paraId="5F2D3DA8" w14:textId="77777777" w:rsidR="00E836FB" w:rsidRDefault="00E836FB">
            <w:pPr>
              <w:rPr>
                <w:rFonts w:ascii="宋体"/>
              </w:rPr>
            </w:pPr>
          </w:p>
        </w:tc>
        <w:tc>
          <w:tcPr>
            <w:tcW w:w="0" w:type="auto"/>
            <w:shd w:val="clear" w:color="auto" w:fill="auto"/>
            <w:vAlign w:val="bottom"/>
          </w:tcPr>
          <w:p w14:paraId="5F2D3DA9" w14:textId="77777777" w:rsidR="00E836FB" w:rsidRDefault="00E836FB">
            <w:pPr>
              <w:rPr>
                <w:rFonts w:ascii="宋体"/>
              </w:rPr>
            </w:pPr>
          </w:p>
        </w:tc>
        <w:tc>
          <w:tcPr>
            <w:tcW w:w="0" w:type="auto"/>
            <w:shd w:val="clear" w:color="auto" w:fill="auto"/>
            <w:vAlign w:val="bottom"/>
          </w:tcPr>
          <w:p w14:paraId="5F2D3DAA" w14:textId="77777777" w:rsidR="00E836FB" w:rsidRDefault="00E836FB">
            <w:pPr>
              <w:rPr>
                <w:rFonts w:ascii="宋体"/>
              </w:rPr>
            </w:pPr>
          </w:p>
        </w:tc>
        <w:tc>
          <w:tcPr>
            <w:tcW w:w="0" w:type="auto"/>
            <w:shd w:val="clear" w:color="auto" w:fill="auto"/>
            <w:vAlign w:val="bottom"/>
          </w:tcPr>
          <w:p w14:paraId="5F2D3DAB" w14:textId="77777777" w:rsidR="00E836FB" w:rsidRDefault="00E836FB">
            <w:pPr>
              <w:rPr>
                <w:rFonts w:ascii="宋体"/>
              </w:rPr>
            </w:pPr>
          </w:p>
        </w:tc>
        <w:tc>
          <w:tcPr>
            <w:tcW w:w="0" w:type="auto"/>
            <w:shd w:val="clear" w:color="auto" w:fill="auto"/>
            <w:vAlign w:val="bottom"/>
          </w:tcPr>
          <w:p w14:paraId="5F2D3DAC" w14:textId="77777777" w:rsidR="00E836FB" w:rsidRDefault="00E836FB">
            <w:pPr>
              <w:rPr>
                <w:rFonts w:ascii="宋体"/>
              </w:rPr>
            </w:pPr>
          </w:p>
        </w:tc>
        <w:tc>
          <w:tcPr>
            <w:tcW w:w="0" w:type="auto"/>
            <w:shd w:val="clear" w:color="auto" w:fill="auto"/>
            <w:vAlign w:val="bottom"/>
          </w:tcPr>
          <w:p w14:paraId="5F2D3DAD" w14:textId="77777777" w:rsidR="00E836FB" w:rsidRDefault="00E836FB">
            <w:pPr>
              <w:rPr>
                <w:rFonts w:ascii="宋体"/>
              </w:rPr>
            </w:pPr>
          </w:p>
        </w:tc>
        <w:tc>
          <w:tcPr>
            <w:tcW w:w="0" w:type="auto"/>
            <w:shd w:val="clear" w:color="auto" w:fill="auto"/>
            <w:vAlign w:val="bottom"/>
          </w:tcPr>
          <w:p w14:paraId="5F2D3DAE" w14:textId="77777777" w:rsidR="00E836FB" w:rsidRDefault="00E836FB">
            <w:pPr>
              <w:rPr>
                <w:rFonts w:ascii="宋体"/>
              </w:rPr>
            </w:pPr>
          </w:p>
        </w:tc>
        <w:tc>
          <w:tcPr>
            <w:tcW w:w="0" w:type="auto"/>
            <w:shd w:val="clear" w:color="auto" w:fill="auto"/>
            <w:vAlign w:val="bottom"/>
          </w:tcPr>
          <w:p w14:paraId="5F2D3DAF" w14:textId="77777777" w:rsidR="00E836FB" w:rsidRDefault="00E836FB">
            <w:pPr>
              <w:rPr>
                <w:rFonts w:ascii="宋体"/>
              </w:rPr>
            </w:pPr>
          </w:p>
        </w:tc>
        <w:tc>
          <w:tcPr>
            <w:tcW w:w="0" w:type="auto"/>
            <w:shd w:val="clear" w:color="auto" w:fill="auto"/>
            <w:vAlign w:val="bottom"/>
          </w:tcPr>
          <w:p w14:paraId="5F2D3DB0" w14:textId="77777777" w:rsidR="00E836FB" w:rsidRDefault="00E836FB">
            <w:pPr>
              <w:rPr>
                <w:rFonts w:ascii="宋体"/>
              </w:rPr>
            </w:pPr>
          </w:p>
        </w:tc>
        <w:tc>
          <w:tcPr>
            <w:tcW w:w="0" w:type="auto"/>
            <w:shd w:val="clear" w:color="auto" w:fill="auto"/>
            <w:vAlign w:val="bottom"/>
          </w:tcPr>
          <w:p w14:paraId="5F2D3DB1" w14:textId="77777777" w:rsidR="00E836FB" w:rsidRDefault="00E836FB">
            <w:pPr>
              <w:rPr>
                <w:rFonts w:ascii="宋体"/>
              </w:rPr>
            </w:pPr>
          </w:p>
        </w:tc>
        <w:tc>
          <w:tcPr>
            <w:tcW w:w="0" w:type="auto"/>
            <w:shd w:val="clear" w:color="auto" w:fill="auto"/>
            <w:vAlign w:val="bottom"/>
          </w:tcPr>
          <w:p w14:paraId="5F2D3DB2" w14:textId="77777777" w:rsidR="00E836FB" w:rsidRDefault="00E836FB">
            <w:pPr>
              <w:rPr>
                <w:rFonts w:ascii="宋体"/>
              </w:rPr>
            </w:pPr>
          </w:p>
        </w:tc>
        <w:tc>
          <w:tcPr>
            <w:tcW w:w="0" w:type="auto"/>
            <w:shd w:val="clear" w:color="auto" w:fill="auto"/>
            <w:vAlign w:val="bottom"/>
          </w:tcPr>
          <w:p w14:paraId="5F2D3DB3" w14:textId="77777777" w:rsidR="00E836FB" w:rsidRDefault="00E836FB">
            <w:pPr>
              <w:rPr>
                <w:rFonts w:ascii="宋体"/>
              </w:rPr>
            </w:pPr>
          </w:p>
        </w:tc>
        <w:tc>
          <w:tcPr>
            <w:tcW w:w="0" w:type="auto"/>
            <w:shd w:val="clear" w:color="auto" w:fill="auto"/>
            <w:vAlign w:val="bottom"/>
          </w:tcPr>
          <w:p w14:paraId="5F2D3DB4" w14:textId="77777777" w:rsidR="00E836FB" w:rsidRDefault="00E836FB">
            <w:pPr>
              <w:rPr>
                <w:rFonts w:ascii="宋体"/>
              </w:rPr>
            </w:pPr>
          </w:p>
        </w:tc>
        <w:tc>
          <w:tcPr>
            <w:tcW w:w="0" w:type="auto"/>
            <w:shd w:val="clear" w:color="auto" w:fill="auto"/>
            <w:vAlign w:val="bottom"/>
          </w:tcPr>
          <w:p w14:paraId="5F2D3DB5" w14:textId="77777777" w:rsidR="00E836FB" w:rsidRDefault="00E836FB">
            <w:pPr>
              <w:rPr>
                <w:rFonts w:ascii="宋体"/>
              </w:rPr>
            </w:pPr>
          </w:p>
        </w:tc>
        <w:tc>
          <w:tcPr>
            <w:tcW w:w="0" w:type="auto"/>
            <w:shd w:val="clear" w:color="auto" w:fill="auto"/>
            <w:vAlign w:val="bottom"/>
          </w:tcPr>
          <w:p w14:paraId="5F2D3DB6" w14:textId="77777777" w:rsidR="00E836FB" w:rsidRDefault="00E836FB">
            <w:pPr>
              <w:rPr>
                <w:rFonts w:ascii="宋体"/>
              </w:rPr>
            </w:pPr>
          </w:p>
        </w:tc>
        <w:tc>
          <w:tcPr>
            <w:tcW w:w="0" w:type="auto"/>
            <w:shd w:val="clear" w:color="auto" w:fill="auto"/>
            <w:vAlign w:val="bottom"/>
          </w:tcPr>
          <w:p w14:paraId="5F2D3DB7" w14:textId="77777777" w:rsidR="00E836FB" w:rsidRDefault="00E836FB">
            <w:pPr>
              <w:rPr>
                <w:rFonts w:ascii="宋体"/>
              </w:rPr>
            </w:pPr>
          </w:p>
        </w:tc>
        <w:tc>
          <w:tcPr>
            <w:tcW w:w="0" w:type="auto"/>
            <w:shd w:val="clear" w:color="auto" w:fill="auto"/>
            <w:vAlign w:val="bottom"/>
          </w:tcPr>
          <w:p w14:paraId="5F2D3DB8" w14:textId="77777777" w:rsidR="00E836FB" w:rsidRDefault="00E836FB">
            <w:pPr>
              <w:rPr>
                <w:rFonts w:ascii="宋体"/>
              </w:rPr>
            </w:pPr>
          </w:p>
        </w:tc>
        <w:tc>
          <w:tcPr>
            <w:tcW w:w="0" w:type="auto"/>
            <w:shd w:val="clear" w:color="auto" w:fill="auto"/>
            <w:vAlign w:val="bottom"/>
          </w:tcPr>
          <w:p w14:paraId="5F2D3DB9" w14:textId="77777777" w:rsidR="00E836FB" w:rsidRDefault="00E836FB">
            <w:pPr>
              <w:rPr>
                <w:rFonts w:ascii="宋体"/>
              </w:rPr>
            </w:pPr>
          </w:p>
        </w:tc>
        <w:tc>
          <w:tcPr>
            <w:tcW w:w="0" w:type="auto"/>
            <w:shd w:val="clear" w:color="auto" w:fill="auto"/>
            <w:vAlign w:val="bottom"/>
          </w:tcPr>
          <w:p w14:paraId="5F2D3DBA" w14:textId="77777777" w:rsidR="00E836FB" w:rsidRDefault="00E836FB">
            <w:pPr>
              <w:rPr>
                <w:rFonts w:ascii="宋体"/>
              </w:rPr>
            </w:pPr>
          </w:p>
        </w:tc>
        <w:tc>
          <w:tcPr>
            <w:tcW w:w="0" w:type="auto"/>
            <w:shd w:val="clear" w:color="auto" w:fill="auto"/>
            <w:vAlign w:val="bottom"/>
          </w:tcPr>
          <w:p w14:paraId="5F2D3DBB" w14:textId="77777777" w:rsidR="00E836FB" w:rsidRDefault="00E836FB">
            <w:pPr>
              <w:rPr>
                <w:rFonts w:ascii="宋体"/>
              </w:rPr>
            </w:pPr>
          </w:p>
        </w:tc>
        <w:tc>
          <w:tcPr>
            <w:tcW w:w="0" w:type="auto"/>
            <w:shd w:val="clear" w:color="auto" w:fill="auto"/>
            <w:vAlign w:val="bottom"/>
          </w:tcPr>
          <w:p w14:paraId="5F2D3DBC" w14:textId="77777777" w:rsidR="00E836FB" w:rsidRDefault="00E836FB">
            <w:pPr>
              <w:rPr>
                <w:rFonts w:ascii="宋体"/>
              </w:rPr>
            </w:pPr>
          </w:p>
        </w:tc>
        <w:tc>
          <w:tcPr>
            <w:tcW w:w="0" w:type="auto"/>
            <w:shd w:val="clear" w:color="auto" w:fill="auto"/>
            <w:vAlign w:val="bottom"/>
          </w:tcPr>
          <w:p w14:paraId="5F2D3DBD" w14:textId="77777777" w:rsidR="00E836FB" w:rsidRDefault="00E836FB">
            <w:pPr>
              <w:rPr>
                <w:rFonts w:ascii="宋体"/>
              </w:rPr>
            </w:pPr>
          </w:p>
        </w:tc>
        <w:tc>
          <w:tcPr>
            <w:tcW w:w="0" w:type="auto"/>
            <w:shd w:val="clear" w:color="auto" w:fill="auto"/>
            <w:vAlign w:val="bottom"/>
          </w:tcPr>
          <w:p w14:paraId="5F2D3DBE" w14:textId="77777777" w:rsidR="00E836FB" w:rsidRDefault="00E836FB">
            <w:pPr>
              <w:rPr>
                <w:rFonts w:ascii="宋体"/>
              </w:rPr>
            </w:pPr>
          </w:p>
        </w:tc>
        <w:tc>
          <w:tcPr>
            <w:tcW w:w="0" w:type="auto"/>
            <w:shd w:val="clear" w:color="auto" w:fill="auto"/>
            <w:vAlign w:val="bottom"/>
          </w:tcPr>
          <w:p w14:paraId="5F2D3DBF" w14:textId="77777777" w:rsidR="00E836FB" w:rsidRDefault="00E836FB">
            <w:pPr>
              <w:rPr>
                <w:rFonts w:ascii="宋体"/>
              </w:rPr>
            </w:pPr>
          </w:p>
        </w:tc>
        <w:tc>
          <w:tcPr>
            <w:tcW w:w="0" w:type="auto"/>
            <w:shd w:val="clear" w:color="auto" w:fill="auto"/>
            <w:vAlign w:val="bottom"/>
          </w:tcPr>
          <w:p w14:paraId="5F2D3DC0" w14:textId="77777777" w:rsidR="00E836FB" w:rsidRDefault="00E836FB">
            <w:pPr>
              <w:rPr>
                <w:rFonts w:ascii="宋体"/>
              </w:rPr>
            </w:pPr>
          </w:p>
        </w:tc>
        <w:tc>
          <w:tcPr>
            <w:tcW w:w="0" w:type="auto"/>
            <w:shd w:val="clear" w:color="auto" w:fill="auto"/>
            <w:vAlign w:val="bottom"/>
          </w:tcPr>
          <w:p w14:paraId="5F2D3DC1" w14:textId="77777777" w:rsidR="00E836FB" w:rsidRDefault="00E836FB">
            <w:pPr>
              <w:rPr>
                <w:rFonts w:ascii="宋体"/>
              </w:rPr>
            </w:pPr>
          </w:p>
        </w:tc>
        <w:tc>
          <w:tcPr>
            <w:tcW w:w="0" w:type="auto"/>
            <w:shd w:val="clear" w:color="auto" w:fill="auto"/>
            <w:vAlign w:val="bottom"/>
          </w:tcPr>
          <w:p w14:paraId="5F2D3DC2" w14:textId="77777777" w:rsidR="00E836FB" w:rsidRDefault="00E836FB">
            <w:pPr>
              <w:rPr>
                <w:rFonts w:ascii="宋体"/>
              </w:rPr>
            </w:pPr>
          </w:p>
        </w:tc>
        <w:tc>
          <w:tcPr>
            <w:tcW w:w="0" w:type="auto"/>
            <w:shd w:val="clear" w:color="auto" w:fill="auto"/>
            <w:vAlign w:val="bottom"/>
          </w:tcPr>
          <w:p w14:paraId="5F2D3DC3" w14:textId="77777777" w:rsidR="00E836FB" w:rsidRDefault="00E836FB">
            <w:pPr>
              <w:rPr>
                <w:rFonts w:ascii="宋体"/>
              </w:rPr>
            </w:pPr>
          </w:p>
        </w:tc>
        <w:tc>
          <w:tcPr>
            <w:tcW w:w="0" w:type="auto"/>
            <w:shd w:val="clear" w:color="auto" w:fill="auto"/>
            <w:vAlign w:val="bottom"/>
          </w:tcPr>
          <w:p w14:paraId="5F2D3DC4" w14:textId="77777777" w:rsidR="00E836FB" w:rsidRDefault="00E836FB">
            <w:pPr>
              <w:rPr>
                <w:rFonts w:ascii="宋体"/>
              </w:rPr>
            </w:pPr>
          </w:p>
        </w:tc>
      </w:tr>
      <w:tr w:rsidR="00E836FB" w14:paraId="5F2D3DE6" w14:textId="77777777">
        <w:trPr>
          <w:hidden/>
        </w:trPr>
        <w:tc>
          <w:tcPr>
            <w:tcW w:w="0" w:type="auto"/>
            <w:gridSpan w:val="3"/>
            <w:shd w:val="clear" w:color="auto" w:fill="auto"/>
            <w:vAlign w:val="bottom"/>
          </w:tcPr>
          <w:p w14:paraId="5F2D3DC6" w14:textId="77777777" w:rsidR="00E836FB" w:rsidRDefault="00E836FB">
            <w:pPr>
              <w:rPr>
                <w:rFonts w:ascii="宋体"/>
                <w:vanish/>
              </w:rPr>
            </w:pPr>
          </w:p>
        </w:tc>
        <w:tc>
          <w:tcPr>
            <w:tcW w:w="0" w:type="auto"/>
            <w:gridSpan w:val="3"/>
            <w:shd w:val="clear" w:color="auto" w:fill="auto"/>
            <w:vAlign w:val="bottom"/>
          </w:tcPr>
          <w:p w14:paraId="5F2D3DC7" w14:textId="77777777" w:rsidR="00E836FB" w:rsidRDefault="00E836FB">
            <w:pPr>
              <w:rPr>
                <w:rFonts w:ascii="宋体"/>
                <w:vanish/>
              </w:rPr>
            </w:pPr>
          </w:p>
        </w:tc>
        <w:tc>
          <w:tcPr>
            <w:tcW w:w="0" w:type="auto"/>
            <w:shd w:val="clear" w:color="auto" w:fill="auto"/>
            <w:vAlign w:val="bottom"/>
          </w:tcPr>
          <w:p w14:paraId="5F2D3DC8" w14:textId="77777777" w:rsidR="00E836FB" w:rsidRDefault="00E836FB">
            <w:pPr>
              <w:rPr>
                <w:rFonts w:ascii="宋体"/>
              </w:rPr>
            </w:pPr>
          </w:p>
        </w:tc>
        <w:tc>
          <w:tcPr>
            <w:tcW w:w="0" w:type="auto"/>
            <w:shd w:val="clear" w:color="auto" w:fill="auto"/>
            <w:vAlign w:val="bottom"/>
          </w:tcPr>
          <w:p w14:paraId="5F2D3DC9" w14:textId="77777777" w:rsidR="00E836FB" w:rsidRDefault="00E836FB">
            <w:pPr>
              <w:rPr>
                <w:rFonts w:ascii="宋体"/>
              </w:rPr>
            </w:pPr>
          </w:p>
        </w:tc>
        <w:tc>
          <w:tcPr>
            <w:tcW w:w="0" w:type="auto"/>
            <w:shd w:val="clear" w:color="auto" w:fill="auto"/>
            <w:vAlign w:val="bottom"/>
          </w:tcPr>
          <w:p w14:paraId="5F2D3DCA" w14:textId="77777777" w:rsidR="00E836FB" w:rsidRDefault="00E836FB">
            <w:pPr>
              <w:rPr>
                <w:rFonts w:ascii="宋体"/>
              </w:rPr>
            </w:pPr>
          </w:p>
        </w:tc>
        <w:tc>
          <w:tcPr>
            <w:tcW w:w="0" w:type="auto"/>
            <w:shd w:val="clear" w:color="auto" w:fill="auto"/>
            <w:vAlign w:val="bottom"/>
          </w:tcPr>
          <w:p w14:paraId="5F2D3DCB" w14:textId="77777777" w:rsidR="00E836FB" w:rsidRDefault="00E836FB">
            <w:pPr>
              <w:rPr>
                <w:rFonts w:ascii="宋体"/>
              </w:rPr>
            </w:pPr>
          </w:p>
        </w:tc>
        <w:tc>
          <w:tcPr>
            <w:tcW w:w="0" w:type="auto"/>
            <w:shd w:val="clear" w:color="auto" w:fill="auto"/>
            <w:vAlign w:val="bottom"/>
          </w:tcPr>
          <w:p w14:paraId="5F2D3DCC" w14:textId="77777777" w:rsidR="00E836FB" w:rsidRDefault="00E836FB">
            <w:pPr>
              <w:rPr>
                <w:rFonts w:ascii="宋体"/>
              </w:rPr>
            </w:pPr>
          </w:p>
        </w:tc>
        <w:tc>
          <w:tcPr>
            <w:tcW w:w="0" w:type="auto"/>
            <w:shd w:val="clear" w:color="auto" w:fill="auto"/>
            <w:vAlign w:val="bottom"/>
          </w:tcPr>
          <w:p w14:paraId="5F2D3DCD" w14:textId="77777777" w:rsidR="00E836FB" w:rsidRDefault="00E836FB">
            <w:pPr>
              <w:rPr>
                <w:rFonts w:ascii="宋体"/>
              </w:rPr>
            </w:pPr>
          </w:p>
        </w:tc>
        <w:tc>
          <w:tcPr>
            <w:tcW w:w="0" w:type="auto"/>
            <w:shd w:val="clear" w:color="auto" w:fill="auto"/>
            <w:vAlign w:val="bottom"/>
          </w:tcPr>
          <w:p w14:paraId="5F2D3DCE" w14:textId="77777777" w:rsidR="00E836FB" w:rsidRDefault="00E836FB">
            <w:pPr>
              <w:rPr>
                <w:rFonts w:ascii="宋体"/>
              </w:rPr>
            </w:pPr>
          </w:p>
        </w:tc>
        <w:tc>
          <w:tcPr>
            <w:tcW w:w="0" w:type="auto"/>
            <w:shd w:val="clear" w:color="auto" w:fill="auto"/>
            <w:vAlign w:val="bottom"/>
          </w:tcPr>
          <w:p w14:paraId="5F2D3DCF" w14:textId="77777777" w:rsidR="00E836FB" w:rsidRDefault="00E836FB">
            <w:pPr>
              <w:rPr>
                <w:rFonts w:ascii="宋体"/>
              </w:rPr>
            </w:pPr>
          </w:p>
        </w:tc>
        <w:tc>
          <w:tcPr>
            <w:tcW w:w="0" w:type="auto"/>
            <w:shd w:val="clear" w:color="auto" w:fill="auto"/>
            <w:vAlign w:val="bottom"/>
          </w:tcPr>
          <w:p w14:paraId="5F2D3DD0" w14:textId="77777777" w:rsidR="00E836FB" w:rsidRDefault="00E836FB">
            <w:pPr>
              <w:rPr>
                <w:rFonts w:ascii="宋体"/>
              </w:rPr>
            </w:pPr>
          </w:p>
        </w:tc>
        <w:tc>
          <w:tcPr>
            <w:tcW w:w="0" w:type="auto"/>
            <w:shd w:val="clear" w:color="auto" w:fill="auto"/>
            <w:vAlign w:val="bottom"/>
          </w:tcPr>
          <w:p w14:paraId="5F2D3DD1" w14:textId="77777777" w:rsidR="00E836FB" w:rsidRDefault="00E836FB">
            <w:pPr>
              <w:rPr>
                <w:rFonts w:ascii="宋体"/>
              </w:rPr>
            </w:pPr>
          </w:p>
        </w:tc>
        <w:tc>
          <w:tcPr>
            <w:tcW w:w="0" w:type="auto"/>
            <w:shd w:val="clear" w:color="auto" w:fill="auto"/>
            <w:vAlign w:val="bottom"/>
          </w:tcPr>
          <w:p w14:paraId="5F2D3DD2" w14:textId="77777777" w:rsidR="00E836FB" w:rsidRDefault="00E836FB">
            <w:pPr>
              <w:rPr>
                <w:rFonts w:ascii="宋体"/>
              </w:rPr>
            </w:pPr>
          </w:p>
        </w:tc>
        <w:tc>
          <w:tcPr>
            <w:tcW w:w="0" w:type="auto"/>
            <w:shd w:val="clear" w:color="auto" w:fill="auto"/>
            <w:vAlign w:val="bottom"/>
          </w:tcPr>
          <w:p w14:paraId="5F2D3DD3" w14:textId="77777777" w:rsidR="00E836FB" w:rsidRDefault="00E836FB">
            <w:pPr>
              <w:rPr>
                <w:rFonts w:ascii="宋体"/>
              </w:rPr>
            </w:pPr>
          </w:p>
        </w:tc>
        <w:tc>
          <w:tcPr>
            <w:tcW w:w="0" w:type="auto"/>
            <w:shd w:val="clear" w:color="auto" w:fill="auto"/>
            <w:vAlign w:val="bottom"/>
          </w:tcPr>
          <w:p w14:paraId="5F2D3DD4" w14:textId="77777777" w:rsidR="00E836FB" w:rsidRDefault="00E836FB">
            <w:pPr>
              <w:rPr>
                <w:rFonts w:ascii="宋体"/>
              </w:rPr>
            </w:pPr>
          </w:p>
        </w:tc>
        <w:tc>
          <w:tcPr>
            <w:tcW w:w="0" w:type="auto"/>
            <w:shd w:val="clear" w:color="auto" w:fill="auto"/>
            <w:vAlign w:val="bottom"/>
          </w:tcPr>
          <w:p w14:paraId="5F2D3DD5" w14:textId="77777777" w:rsidR="00E836FB" w:rsidRDefault="00E836FB">
            <w:pPr>
              <w:rPr>
                <w:rFonts w:ascii="宋体"/>
              </w:rPr>
            </w:pPr>
          </w:p>
        </w:tc>
        <w:tc>
          <w:tcPr>
            <w:tcW w:w="0" w:type="auto"/>
            <w:shd w:val="clear" w:color="auto" w:fill="auto"/>
            <w:vAlign w:val="bottom"/>
          </w:tcPr>
          <w:p w14:paraId="5F2D3DD6" w14:textId="77777777" w:rsidR="00E836FB" w:rsidRDefault="00E836FB">
            <w:pPr>
              <w:rPr>
                <w:rFonts w:ascii="宋体"/>
              </w:rPr>
            </w:pPr>
          </w:p>
        </w:tc>
        <w:tc>
          <w:tcPr>
            <w:tcW w:w="0" w:type="auto"/>
            <w:shd w:val="clear" w:color="auto" w:fill="auto"/>
            <w:vAlign w:val="bottom"/>
          </w:tcPr>
          <w:p w14:paraId="5F2D3DD7" w14:textId="77777777" w:rsidR="00E836FB" w:rsidRDefault="00E836FB">
            <w:pPr>
              <w:rPr>
                <w:rFonts w:ascii="宋体"/>
              </w:rPr>
            </w:pPr>
          </w:p>
        </w:tc>
        <w:tc>
          <w:tcPr>
            <w:tcW w:w="0" w:type="auto"/>
            <w:shd w:val="clear" w:color="auto" w:fill="auto"/>
            <w:vAlign w:val="bottom"/>
          </w:tcPr>
          <w:p w14:paraId="5F2D3DD8" w14:textId="77777777" w:rsidR="00E836FB" w:rsidRDefault="00E836FB">
            <w:pPr>
              <w:rPr>
                <w:rFonts w:ascii="宋体"/>
              </w:rPr>
            </w:pPr>
          </w:p>
        </w:tc>
        <w:tc>
          <w:tcPr>
            <w:tcW w:w="0" w:type="auto"/>
            <w:shd w:val="clear" w:color="auto" w:fill="auto"/>
            <w:vAlign w:val="bottom"/>
          </w:tcPr>
          <w:p w14:paraId="5F2D3DD9" w14:textId="77777777" w:rsidR="00E836FB" w:rsidRDefault="00E836FB">
            <w:pPr>
              <w:rPr>
                <w:rFonts w:ascii="宋体"/>
              </w:rPr>
            </w:pPr>
          </w:p>
        </w:tc>
        <w:tc>
          <w:tcPr>
            <w:tcW w:w="0" w:type="auto"/>
            <w:shd w:val="clear" w:color="auto" w:fill="auto"/>
            <w:vAlign w:val="bottom"/>
          </w:tcPr>
          <w:p w14:paraId="5F2D3DDA" w14:textId="77777777" w:rsidR="00E836FB" w:rsidRDefault="00E836FB">
            <w:pPr>
              <w:rPr>
                <w:rFonts w:ascii="宋体"/>
              </w:rPr>
            </w:pPr>
          </w:p>
        </w:tc>
        <w:tc>
          <w:tcPr>
            <w:tcW w:w="0" w:type="auto"/>
            <w:shd w:val="clear" w:color="auto" w:fill="auto"/>
            <w:vAlign w:val="bottom"/>
          </w:tcPr>
          <w:p w14:paraId="5F2D3DDB" w14:textId="77777777" w:rsidR="00E836FB" w:rsidRDefault="00E836FB">
            <w:pPr>
              <w:rPr>
                <w:rFonts w:ascii="宋体"/>
              </w:rPr>
            </w:pPr>
          </w:p>
        </w:tc>
        <w:tc>
          <w:tcPr>
            <w:tcW w:w="0" w:type="auto"/>
            <w:shd w:val="clear" w:color="auto" w:fill="auto"/>
            <w:vAlign w:val="bottom"/>
          </w:tcPr>
          <w:p w14:paraId="5F2D3DDC" w14:textId="77777777" w:rsidR="00E836FB" w:rsidRDefault="00E836FB">
            <w:pPr>
              <w:rPr>
                <w:rFonts w:ascii="宋体"/>
              </w:rPr>
            </w:pPr>
          </w:p>
        </w:tc>
        <w:tc>
          <w:tcPr>
            <w:tcW w:w="0" w:type="auto"/>
            <w:shd w:val="clear" w:color="auto" w:fill="auto"/>
            <w:vAlign w:val="bottom"/>
          </w:tcPr>
          <w:p w14:paraId="5F2D3DDD" w14:textId="77777777" w:rsidR="00E836FB" w:rsidRDefault="00E836FB">
            <w:pPr>
              <w:rPr>
                <w:rFonts w:ascii="宋体"/>
              </w:rPr>
            </w:pPr>
          </w:p>
        </w:tc>
        <w:tc>
          <w:tcPr>
            <w:tcW w:w="0" w:type="auto"/>
            <w:shd w:val="clear" w:color="auto" w:fill="auto"/>
            <w:vAlign w:val="bottom"/>
          </w:tcPr>
          <w:p w14:paraId="5F2D3DDE" w14:textId="77777777" w:rsidR="00E836FB" w:rsidRDefault="00E836FB">
            <w:pPr>
              <w:rPr>
                <w:rFonts w:ascii="宋体"/>
              </w:rPr>
            </w:pPr>
          </w:p>
        </w:tc>
        <w:tc>
          <w:tcPr>
            <w:tcW w:w="0" w:type="auto"/>
            <w:shd w:val="clear" w:color="auto" w:fill="auto"/>
            <w:vAlign w:val="bottom"/>
          </w:tcPr>
          <w:p w14:paraId="5F2D3DDF" w14:textId="77777777" w:rsidR="00E836FB" w:rsidRDefault="00E836FB">
            <w:pPr>
              <w:rPr>
                <w:rFonts w:ascii="宋体"/>
              </w:rPr>
            </w:pPr>
          </w:p>
        </w:tc>
        <w:tc>
          <w:tcPr>
            <w:tcW w:w="0" w:type="auto"/>
            <w:shd w:val="clear" w:color="auto" w:fill="auto"/>
            <w:vAlign w:val="bottom"/>
          </w:tcPr>
          <w:p w14:paraId="5F2D3DE0" w14:textId="77777777" w:rsidR="00E836FB" w:rsidRDefault="00E836FB">
            <w:pPr>
              <w:rPr>
                <w:rFonts w:ascii="宋体"/>
              </w:rPr>
            </w:pPr>
          </w:p>
        </w:tc>
        <w:tc>
          <w:tcPr>
            <w:tcW w:w="0" w:type="auto"/>
            <w:shd w:val="clear" w:color="auto" w:fill="auto"/>
            <w:vAlign w:val="bottom"/>
          </w:tcPr>
          <w:p w14:paraId="5F2D3DE1" w14:textId="77777777" w:rsidR="00E836FB" w:rsidRDefault="00E836FB">
            <w:pPr>
              <w:rPr>
                <w:rFonts w:ascii="宋体"/>
              </w:rPr>
            </w:pPr>
          </w:p>
        </w:tc>
        <w:tc>
          <w:tcPr>
            <w:tcW w:w="0" w:type="auto"/>
            <w:shd w:val="clear" w:color="auto" w:fill="auto"/>
            <w:vAlign w:val="bottom"/>
          </w:tcPr>
          <w:p w14:paraId="5F2D3DE2" w14:textId="77777777" w:rsidR="00E836FB" w:rsidRDefault="00E836FB">
            <w:pPr>
              <w:rPr>
                <w:rFonts w:ascii="宋体"/>
              </w:rPr>
            </w:pPr>
          </w:p>
        </w:tc>
        <w:tc>
          <w:tcPr>
            <w:tcW w:w="0" w:type="auto"/>
            <w:shd w:val="clear" w:color="auto" w:fill="auto"/>
            <w:vAlign w:val="bottom"/>
          </w:tcPr>
          <w:p w14:paraId="5F2D3DE3" w14:textId="77777777" w:rsidR="00E836FB" w:rsidRDefault="00E836FB">
            <w:pPr>
              <w:rPr>
                <w:rFonts w:ascii="宋体"/>
              </w:rPr>
            </w:pPr>
          </w:p>
        </w:tc>
        <w:tc>
          <w:tcPr>
            <w:tcW w:w="0" w:type="auto"/>
            <w:shd w:val="clear" w:color="auto" w:fill="auto"/>
            <w:vAlign w:val="bottom"/>
          </w:tcPr>
          <w:p w14:paraId="5F2D3DE4" w14:textId="77777777" w:rsidR="00E836FB" w:rsidRDefault="00E836FB">
            <w:pPr>
              <w:rPr>
                <w:rFonts w:ascii="宋体"/>
              </w:rPr>
            </w:pPr>
          </w:p>
        </w:tc>
        <w:tc>
          <w:tcPr>
            <w:tcW w:w="0" w:type="auto"/>
            <w:shd w:val="clear" w:color="auto" w:fill="auto"/>
            <w:vAlign w:val="bottom"/>
          </w:tcPr>
          <w:p w14:paraId="5F2D3DE5" w14:textId="77777777" w:rsidR="00E836FB" w:rsidRDefault="00E836FB">
            <w:pPr>
              <w:rPr>
                <w:rFonts w:ascii="宋体"/>
              </w:rPr>
            </w:pPr>
          </w:p>
        </w:tc>
      </w:tr>
      <w:tr w:rsidR="00E836FB" w14:paraId="5F2D3E03" w14:textId="77777777">
        <w:trPr>
          <w:hidden/>
        </w:trPr>
        <w:tc>
          <w:tcPr>
            <w:tcW w:w="0" w:type="auto"/>
            <w:gridSpan w:val="3"/>
            <w:shd w:val="clear" w:color="auto" w:fill="auto"/>
            <w:vAlign w:val="bottom"/>
          </w:tcPr>
          <w:p w14:paraId="5F2D3DE7" w14:textId="77777777" w:rsidR="00E836FB" w:rsidRDefault="00E836FB">
            <w:pPr>
              <w:rPr>
                <w:rFonts w:ascii="宋体"/>
                <w:vanish/>
              </w:rPr>
            </w:pPr>
          </w:p>
        </w:tc>
        <w:tc>
          <w:tcPr>
            <w:tcW w:w="0" w:type="auto"/>
            <w:gridSpan w:val="3"/>
            <w:shd w:val="clear" w:color="auto" w:fill="auto"/>
            <w:vAlign w:val="bottom"/>
          </w:tcPr>
          <w:p w14:paraId="5F2D3DE8" w14:textId="77777777" w:rsidR="00E836FB" w:rsidRDefault="00E836FB">
            <w:pPr>
              <w:rPr>
                <w:rFonts w:ascii="宋体"/>
                <w:vanish/>
              </w:rPr>
            </w:pPr>
          </w:p>
        </w:tc>
        <w:tc>
          <w:tcPr>
            <w:tcW w:w="0" w:type="auto"/>
            <w:gridSpan w:val="3"/>
            <w:shd w:val="clear" w:color="auto" w:fill="auto"/>
            <w:vAlign w:val="bottom"/>
          </w:tcPr>
          <w:p w14:paraId="5F2D3DE9" w14:textId="77777777" w:rsidR="00E836FB" w:rsidRDefault="00E836FB">
            <w:pPr>
              <w:rPr>
                <w:rFonts w:ascii="宋体"/>
                <w:vanish/>
              </w:rPr>
            </w:pPr>
          </w:p>
        </w:tc>
        <w:tc>
          <w:tcPr>
            <w:tcW w:w="0" w:type="auto"/>
            <w:gridSpan w:val="3"/>
            <w:shd w:val="clear" w:color="auto" w:fill="auto"/>
            <w:vAlign w:val="bottom"/>
          </w:tcPr>
          <w:p w14:paraId="5F2D3DEA" w14:textId="77777777" w:rsidR="00E836FB" w:rsidRDefault="00E836FB">
            <w:pPr>
              <w:rPr>
                <w:rFonts w:ascii="宋体"/>
                <w:vanish/>
              </w:rPr>
            </w:pPr>
          </w:p>
        </w:tc>
        <w:tc>
          <w:tcPr>
            <w:tcW w:w="0" w:type="auto"/>
            <w:shd w:val="clear" w:color="auto" w:fill="auto"/>
            <w:vAlign w:val="bottom"/>
          </w:tcPr>
          <w:p w14:paraId="5F2D3DEB" w14:textId="77777777" w:rsidR="00E836FB" w:rsidRDefault="00E836FB">
            <w:pPr>
              <w:rPr>
                <w:rFonts w:ascii="宋体"/>
              </w:rPr>
            </w:pPr>
          </w:p>
        </w:tc>
        <w:tc>
          <w:tcPr>
            <w:tcW w:w="0" w:type="auto"/>
            <w:shd w:val="clear" w:color="auto" w:fill="auto"/>
            <w:vAlign w:val="bottom"/>
          </w:tcPr>
          <w:p w14:paraId="5F2D3DEC" w14:textId="77777777" w:rsidR="00E836FB" w:rsidRDefault="00E836FB">
            <w:pPr>
              <w:rPr>
                <w:rFonts w:ascii="宋体"/>
              </w:rPr>
            </w:pPr>
          </w:p>
        </w:tc>
        <w:tc>
          <w:tcPr>
            <w:tcW w:w="0" w:type="auto"/>
            <w:shd w:val="clear" w:color="auto" w:fill="auto"/>
            <w:vAlign w:val="bottom"/>
          </w:tcPr>
          <w:p w14:paraId="5F2D3DED" w14:textId="77777777" w:rsidR="00E836FB" w:rsidRDefault="00E836FB">
            <w:pPr>
              <w:rPr>
                <w:rFonts w:ascii="宋体"/>
              </w:rPr>
            </w:pPr>
          </w:p>
        </w:tc>
        <w:tc>
          <w:tcPr>
            <w:tcW w:w="0" w:type="auto"/>
            <w:shd w:val="clear" w:color="auto" w:fill="auto"/>
            <w:vAlign w:val="bottom"/>
          </w:tcPr>
          <w:p w14:paraId="5F2D3DEE" w14:textId="77777777" w:rsidR="00E836FB" w:rsidRDefault="00E836FB">
            <w:pPr>
              <w:rPr>
                <w:rFonts w:ascii="宋体"/>
              </w:rPr>
            </w:pPr>
          </w:p>
        </w:tc>
        <w:tc>
          <w:tcPr>
            <w:tcW w:w="0" w:type="auto"/>
            <w:shd w:val="clear" w:color="auto" w:fill="auto"/>
            <w:vAlign w:val="bottom"/>
          </w:tcPr>
          <w:p w14:paraId="5F2D3DEF" w14:textId="77777777" w:rsidR="00E836FB" w:rsidRDefault="00E836FB">
            <w:pPr>
              <w:rPr>
                <w:rFonts w:ascii="宋体"/>
              </w:rPr>
            </w:pPr>
          </w:p>
        </w:tc>
        <w:tc>
          <w:tcPr>
            <w:tcW w:w="0" w:type="auto"/>
            <w:shd w:val="clear" w:color="auto" w:fill="auto"/>
            <w:vAlign w:val="bottom"/>
          </w:tcPr>
          <w:p w14:paraId="5F2D3DF0" w14:textId="77777777" w:rsidR="00E836FB" w:rsidRDefault="00E836FB">
            <w:pPr>
              <w:rPr>
                <w:rFonts w:ascii="宋体"/>
              </w:rPr>
            </w:pPr>
          </w:p>
        </w:tc>
        <w:tc>
          <w:tcPr>
            <w:tcW w:w="0" w:type="auto"/>
            <w:shd w:val="clear" w:color="auto" w:fill="auto"/>
            <w:vAlign w:val="bottom"/>
          </w:tcPr>
          <w:p w14:paraId="5F2D3DF1" w14:textId="77777777" w:rsidR="00E836FB" w:rsidRDefault="00E836FB">
            <w:pPr>
              <w:rPr>
                <w:rFonts w:ascii="宋体"/>
              </w:rPr>
            </w:pPr>
          </w:p>
        </w:tc>
        <w:tc>
          <w:tcPr>
            <w:tcW w:w="0" w:type="auto"/>
            <w:shd w:val="clear" w:color="auto" w:fill="auto"/>
            <w:vAlign w:val="bottom"/>
          </w:tcPr>
          <w:p w14:paraId="5F2D3DF2" w14:textId="77777777" w:rsidR="00E836FB" w:rsidRDefault="00E836FB">
            <w:pPr>
              <w:rPr>
                <w:rFonts w:ascii="宋体"/>
              </w:rPr>
            </w:pPr>
          </w:p>
        </w:tc>
        <w:tc>
          <w:tcPr>
            <w:tcW w:w="0" w:type="auto"/>
            <w:shd w:val="clear" w:color="auto" w:fill="auto"/>
            <w:vAlign w:val="bottom"/>
          </w:tcPr>
          <w:p w14:paraId="5F2D3DF3" w14:textId="77777777" w:rsidR="00E836FB" w:rsidRDefault="00E836FB">
            <w:pPr>
              <w:rPr>
                <w:rFonts w:ascii="宋体"/>
              </w:rPr>
            </w:pPr>
          </w:p>
        </w:tc>
        <w:tc>
          <w:tcPr>
            <w:tcW w:w="0" w:type="auto"/>
            <w:shd w:val="clear" w:color="auto" w:fill="auto"/>
            <w:vAlign w:val="bottom"/>
          </w:tcPr>
          <w:p w14:paraId="5F2D3DF4" w14:textId="77777777" w:rsidR="00E836FB" w:rsidRDefault="00E836FB">
            <w:pPr>
              <w:rPr>
                <w:rFonts w:ascii="宋体"/>
              </w:rPr>
            </w:pPr>
          </w:p>
        </w:tc>
        <w:tc>
          <w:tcPr>
            <w:tcW w:w="0" w:type="auto"/>
            <w:shd w:val="clear" w:color="auto" w:fill="auto"/>
            <w:vAlign w:val="bottom"/>
          </w:tcPr>
          <w:p w14:paraId="5F2D3DF5" w14:textId="77777777" w:rsidR="00E836FB" w:rsidRDefault="00E836FB">
            <w:pPr>
              <w:rPr>
                <w:rFonts w:ascii="宋体"/>
              </w:rPr>
            </w:pPr>
          </w:p>
        </w:tc>
        <w:tc>
          <w:tcPr>
            <w:tcW w:w="0" w:type="auto"/>
            <w:shd w:val="clear" w:color="auto" w:fill="auto"/>
            <w:vAlign w:val="bottom"/>
          </w:tcPr>
          <w:p w14:paraId="5F2D3DF6" w14:textId="77777777" w:rsidR="00E836FB" w:rsidRDefault="00E836FB">
            <w:pPr>
              <w:rPr>
                <w:rFonts w:ascii="宋体"/>
              </w:rPr>
            </w:pPr>
          </w:p>
        </w:tc>
        <w:tc>
          <w:tcPr>
            <w:tcW w:w="0" w:type="auto"/>
            <w:shd w:val="clear" w:color="auto" w:fill="auto"/>
            <w:vAlign w:val="bottom"/>
          </w:tcPr>
          <w:p w14:paraId="5F2D3DF7" w14:textId="77777777" w:rsidR="00E836FB" w:rsidRDefault="00E836FB">
            <w:pPr>
              <w:rPr>
                <w:rFonts w:ascii="宋体"/>
              </w:rPr>
            </w:pPr>
          </w:p>
        </w:tc>
        <w:tc>
          <w:tcPr>
            <w:tcW w:w="0" w:type="auto"/>
            <w:shd w:val="clear" w:color="auto" w:fill="auto"/>
            <w:vAlign w:val="bottom"/>
          </w:tcPr>
          <w:p w14:paraId="5F2D3DF8" w14:textId="77777777" w:rsidR="00E836FB" w:rsidRDefault="00E836FB">
            <w:pPr>
              <w:rPr>
                <w:rFonts w:ascii="宋体"/>
              </w:rPr>
            </w:pPr>
          </w:p>
        </w:tc>
        <w:tc>
          <w:tcPr>
            <w:tcW w:w="0" w:type="auto"/>
            <w:shd w:val="clear" w:color="auto" w:fill="auto"/>
            <w:vAlign w:val="bottom"/>
          </w:tcPr>
          <w:p w14:paraId="5F2D3DF9" w14:textId="77777777" w:rsidR="00E836FB" w:rsidRDefault="00E836FB">
            <w:pPr>
              <w:rPr>
                <w:rFonts w:ascii="宋体"/>
              </w:rPr>
            </w:pPr>
          </w:p>
        </w:tc>
        <w:tc>
          <w:tcPr>
            <w:tcW w:w="0" w:type="auto"/>
            <w:shd w:val="clear" w:color="auto" w:fill="auto"/>
            <w:vAlign w:val="bottom"/>
          </w:tcPr>
          <w:p w14:paraId="5F2D3DFA" w14:textId="77777777" w:rsidR="00E836FB" w:rsidRDefault="00E836FB">
            <w:pPr>
              <w:rPr>
                <w:rFonts w:ascii="宋体"/>
              </w:rPr>
            </w:pPr>
          </w:p>
        </w:tc>
        <w:tc>
          <w:tcPr>
            <w:tcW w:w="0" w:type="auto"/>
            <w:shd w:val="clear" w:color="auto" w:fill="auto"/>
            <w:vAlign w:val="bottom"/>
          </w:tcPr>
          <w:p w14:paraId="5F2D3DFB" w14:textId="77777777" w:rsidR="00E836FB" w:rsidRDefault="00E836FB">
            <w:pPr>
              <w:rPr>
                <w:rFonts w:ascii="宋体"/>
              </w:rPr>
            </w:pPr>
          </w:p>
        </w:tc>
        <w:tc>
          <w:tcPr>
            <w:tcW w:w="0" w:type="auto"/>
            <w:shd w:val="clear" w:color="auto" w:fill="auto"/>
            <w:vAlign w:val="bottom"/>
          </w:tcPr>
          <w:p w14:paraId="5F2D3DFC" w14:textId="77777777" w:rsidR="00E836FB" w:rsidRDefault="00E836FB">
            <w:pPr>
              <w:rPr>
                <w:rFonts w:ascii="宋体"/>
              </w:rPr>
            </w:pPr>
          </w:p>
        </w:tc>
        <w:tc>
          <w:tcPr>
            <w:tcW w:w="0" w:type="auto"/>
            <w:shd w:val="clear" w:color="auto" w:fill="auto"/>
            <w:vAlign w:val="bottom"/>
          </w:tcPr>
          <w:p w14:paraId="5F2D3DFD" w14:textId="77777777" w:rsidR="00E836FB" w:rsidRDefault="00E836FB">
            <w:pPr>
              <w:rPr>
                <w:rFonts w:ascii="宋体"/>
              </w:rPr>
            </w:pPr>
          </w:p>
        </w:tc>
        <w:tc>
          <w:tcPr>
            <w:tcW w:w="0" w:type="auto"/>
            <w:shd w:val="clear" w:color="auto" w:fill="auto"/>
            <w:vAlign w:val="bottom"/>
          </w:tcPr>
          <w:p w14:paraId="5F2D3DFE" w14:textId="77777777" w:rsidR="00E836FB" w:rsidRDefault="00E836FB">
            <w:pPr>
              <w:rPr>
                <w:rFonts w:ascii="宋体"/>
              </w:rPr>
            </w:pPr>
          </w:p>
        </w:tc>
        <w:tc>
          <w:tcPr>
            <w:tcW w:w="0" w:type="auto"/>
            <w:shd w:val="clear" w:color="auto" w:fill="auto"/>
            <w:vAlign w:val="bottom"/>
          </w:tcPr>
          <w:p w14:paraId="5F2D3DFF" w14:textId="77777777" w:rsidR="00E836FB" w:rsidRDefault="00E836FB">
            <w:pPr>
              <w:rPr>
                <w:rFonts w:ascii="宋体"/>
              </w:rPr>
            </w:pPr>
          </w:p>
        </w:tc>
        <w:tc>
          <w:tcPr>
            <w:tcW w:w="0" w:type="auto"/>
            <w:shd w:val="clear" w:color="auto" w:fill="auto"/>
            <w:vAlign w:val="bottom"/>
          </w:tcPr>
          <w:p w14:paraId="5F2D3E00" w14:textId="77777777" w:rsidR="00E836FB" w:rsidRDefault="00E836FB">
            <w:pPr>
              <w:rPr>
                <w:rFonts w:ascii="宋体"/>
              </w:rPr>
            </w:pPr>
          </w:p>
        </w:tc>
        <w:tc>
          <w:tcPr>
            <w:tcW w:w="0" w:type="auto"/>
            <w:shd w:val="clear" w:color="auto" w:fill="auto"/>
            <w:vAlign w:val="bottom"/>
          </w:tcPr>
          <w:p w14:paraId="5F2D3E01" w14:textId="77777777" w:rsidR="00E836FB" w:rsidRDefault="00E836FB">
            <w:pPr>
              <w:rPr>
                <w:rFonts w:ascii="宋体"/>
              </w:rPr>
            </w:pPr>
          </w:p>
        </w:tc>
        <w:tc>
          <w:tcPr>
            <w:tcW w:w="0" w:type="auto"/>
            <w:shd w:val="clear" w:color="auto" w:fill="auto"/>
            <w:vAlign w:val="bottom"/>
          </w:tcPr>
          <w:p w14:paraId="5F2D3E02" w14:textId="77777777" w:rsidR="00E836FB" w:rsidRDefault="00E836FB">
            <w:pPr>
              <w:rPr>
                <w:rFonts w:ascii="宋体"/>
              </w:rPr>
            </w:pPr>
          </w:p>
        </w:tc>
      </w:tr>
      <w:tr w:rsidR="00E836FB" w14:paraId="5F2D3E10" w14:textId="77777777">
        <w:trPr>
          <w:hidden/>
        </w:trPr>
        <w:tc>
          <w:tcPr>
            <w:tcW w:w="0" w:type="auto"/>
            <w:gridSpan w:val="3"/>
            <w:shd w:val="clear" w:color="auto" w:fill="auto"/>
            <w:vAlign w:val="bottom"/>
          </w:tcPr>
          <w:p w14:paraId="5F2D3E04" w14:textId="77777777" w:rsidR="00E836FB" w:rsidRDefault="00E836FB">
            <w:pPr>
              <w:rPr>
                <w:rFonts w:ascii="宋体"/>
                <w:vanish/>
              </w:rPr>
            </w:pPr>
          </w:p>
        </w:tc>
        <w:tc>
          <w:tcPr>
            <w:tcW w:w="0" w:type="auto"/>
            <w:gridSpan w:val="3"/>
            <w:shd w:val="clear" w:color="auto" w:fill="auto"/>
            <w:vAlign w:val="bottom"/>
          </w:tcPr>
          <w:p w14:paraId="5F2D3E05" w14:textId="77777777" w:rsidR="00E836FB" w:rsidRDefault="00E836FB">
            <w:pPr>
              <w:rPr>
                <w:rFonts w:ascii="宋体"/>
                <w:vanish/>
              </w:rPr>
            </w:pPr>
          </w:p>
        </w:tc>
        <w:tc>
          <w:tcPr>
            <w:tcW w:w="0" w:type="auto"/>
            <w:gridSpan w:val="3"/>
            <w:shd w:val="clear" w:color="auto" w:fill="auto"/>
            <w:vAlign w:val="bottom"/>
          </w:tcPr>
          <w:p w14:paraId="5F2D3E06" w14:textId="77777777" w:rsidR="00E836FB" w:rsidRDefault="00E836FB">
            <w:pPr>
              <w:rPr>
                <w:rFonts w:ascii="宋体"/>
                <w:vanish/>
              </w:rPr>
            </w:pPr>
          </w:p>
        </w:tc>
        <w:tc>
          <w:tcPr>
            <w:tcW w:w="0" w:type="auto"/>
            <w:gridSpan w:val="3"/>
            <w:shd w:val="clear" w:color="auto" w:fill="auto"/>
            <w:vAlign w:val="bottom"/>
          </w:tcPr>
          <w:p w14:paraId="5F2D3E07" w14:textId="77777777" w:rsidR="00E836FB" w:rsidRDefault="00E836FB">
            <w:pPr>
              <w:rPr>
                <w:rFonts w:ascii="宋体"/>
                <w:vanish/>
              </w:rPr>
            </w:pPr>
          </w:p>
        </w:tc>
        <w:tc>
          <w:tcPr>
            <w:tcW w:w="0" w:type="auto"/>
            <w:gridSpan w:val="3"/>
            <w:shd w:val="clear" w:color="auto" w:fill="auto"/>
            <w:vAlign w:val="bottom"/>
          </w:tcPr>
          <w:p w14:paraId="5F2D3E08" w14:textId="77777777" w:rsidR="00E836FB" w:rsidRDefault="00E836FB">
            <w:pPr>
              <w:rPr>
                <w:rFonts w:ascii="宋体"/>
                <w:vanish/>
              </w:rPr>
            </w:pPr>
          </w:p>
        </w:tc>
        <w:tc>
          <w:tcPr>
            <w:tcW w:w="0" w:type="auto"/>
            <w:gridSpan w:val="3"/>
            <w:shd w:val="clear" w:color="auto" w:fill="auto"/>
            <w:vAlign w:val="bottom"/>
          </w:tcPr>
          <w:p w14:paraId="5F2D3E09" w14:textId="77777777" w:rsidR="00E836FB" w:rsidRDefault="00E836FB">
            <w:pPr>
              <w:rPr>
                <w:rFonts w:ascii="宋体"/>
                <w:vanish/>
              </w:rPr>
            </w:pPr>
          </w:p>
        </w:tc>
        <w:tc>
          <w:tcPr>
            <w:tcW w:w="0" w:type="auto"/>
            <w:gridSpan w:val="3"/>
            <w:shd w:val="clear" w:color="auto" w:fill="auto"/>
            <w:vAlign w:val="bottom"/>
          </w:tcPr>
          <w:p w14:paraId="5F2D3E0A" w14:textId="77777777" w:rsidR="00E836FB" w:rsidRDefault="00E836FB">
            <w:pPr>
              <w:rPr>
                <w:rFonts w:ascii="宋体"/>
                <w:vanish/>
              </w:rPr>
            </w:pPr>
          </w:p>
        </w:tc>
        <w:tc>
          <w:tcPr>
            <w:tcW w:w="0" w:type="auto"/>
            <w:gridSpan w:val="3"/>
            <w:shd w:val="clear" w:color="auto" w:fill="auto"/>
            <w:vAlign w:val="bottom"/>
          </w:tcPr>
          <w:p w14:paraId="5F2D3E0B" w14:textId="77777777" w:rsidR="00E836FB" w:rsidRDefault="00E836FB">
            <w:pPr>
              <w:rPr>
                <w:rFonts w:ascii="宋体"/>
                <w:vanish/>
              </w:rPr>
            </w:pPr>
          </w:p>
        </w:tc>
        <w:tc>
          <w:tcPr>
            <w:tcW w:w="0" w:type="auto"/>
            <w:gridSpan w:val="3"/>
            <w:shd w:val="clear" w:color="auto" w:fill="auto"/>
            <w:vAlign w:val="bottom"/>
          </w:tcPr>
          <w:p w14:paraId="5F2D3E0C" w14:textId="77777777" w:rsidR="00E836FB" w:rsidRDefault="00E836FB">
            <w:pPr>
              <w:rPr>
                <w:rFonts w:ascii="宋体"/>
                <w:vanish/>
              </w:rPr>
            </w:pPr>
          </w:p>
        </w:tc>
        <w:tc>
          <w:tcPr>
            <w:tcW w:w="0" w:type="auto"/>
            <w:gridSpan w:val="3"/>
            <w:shd w:val="clear" w:color="auto" w:fill="auto"/>
            <w:vAlign w:val="bottom"/>
          </w:tcPr>
          <w:p w14:paraId="5F2D3E0D" w14:textId="77777777" w:rsidR="00E836FB" w:rsidRDefault="00E836FB">
            <w:pPr>
              <w:rPr>
                <w:rFonts w:ascii="宋体"/>
                <w:vanish/>
              </w:rPr>
            </w:pPr>
          </w:p>
        </w:tc>
        <w:tc>
          <w:tcPr>
            <w:tcW w:w="0" w:type="auto"/>
            <w:gridSpan w:val="3"/>
            <w:shd w:val="clear" w:color="auto" w:fill="auto"/>
            <w:vAlign w:val="bottom"/>
          </w:tcPr>
          <w:p w14:paraId="5F2D3E0E" w14:textId="77777777" w:rsidR="00E836FB" w:rsidRDefault="00E836FB">
            <w:pPr>
              <w:rPr>
                <w:rFonts w:ascii="宋体"/>
                <w:vanish/>
              </w:rPr>
            </w:pPr>
          </w:p>
        </w:tc>
        <w:tc>
          <w:tcPr>
            <w:tcW w:w="0" w:type="auto"/>
            <w:gridSpan w:val="3"/>
            <w:shd w:val="clear" w:color="auto" w:fill="auto"/>
            <w:vAlign w:val="bottom"/>
          </w:tcPr>
          <w:p w14:paraId="5F2D3E0F" w14:textId="77777777" w:rsidR="00E836FB" w:rsidRDefault="00E836FB">
            <w:pPr>
              <w:rPr>
                <w:rFonts w:ascii="宋体"/>
                <w:vanish/>
              </w:rPr>
            </w:pPr>
          </w:p>
        </w:tc>
      </w:tr>
      <w:tr w:rsidR="00E836FB" w14:paraId="5F2D3E1D" w14:textId="77777777">
        <w:trPr>
          <w:hidden/>
        </w:trPr>
        <w:tc>
          <w:tcPr>
            <w:tcW w:w="0" w:type="auto"/>
            <w:gridSpan w:val="3"/>
            <w:shd w:val="clear" w:color="auto" w:fill="auto"/>
            <w:vAlign w:val="bottom"/>
          </w:tcPr>
          <w:p w14:paraId="5F2D3E11" w14:textId="77777777" w:rsidR="00E836FB" w:rsidRDefault="00E836FB">
            <w:pPr>
              <w:rPr>
                <w:rFonts w:ascii="宋体"/>
                <w:vanish/>
              </w:rPr>
            </w:pPr>
          </w:p>
        </w:tc>
        <w:tc>
          <w:tcPr>
            <w:tcW w:w="0" w:type="auto"/>
            <w:gridSpan w:val="3"/>
            <w:shd w:val="clear" w:color="auto" w:fill="auto"/>
            <w:vAlign w:val="bottom"/>
          </w:tcPr>
          <w:p w14:paraId="5F2D3E12" w14:textId="77777777" w:rsidR="00E836FB" w:rsidRDefault="00E836FB">
            <w:pPr>
              <w:rPr>
                <w:rFonts w:ascii="宋体"/>
                <w:vanish/>
              </w:rPr>
            </w:pPr>
          </w:p>
        </w:tc>
        <w:tc>
          <w:tcPr>
            <w:tcW w:w="0" w:type="auto"/>
            <w:gridSpan w:val="3"/>
            <w:shd w:val="clear" w:color="auto" w:fill="auto"/>
            <w:vAlign w:val="bottom"/>
          </w:tcPr>
          <w:p w14:paraId="5F2D3E13" w14:textId="77777777" w:rsidR="00E836FB" w:rsidRDefault="00E836FB">
            <w:pPr>
              <w:rPr>
                <w:rFonts w:ascii="宋体"/>
                <w:vanish/>
              </w:rPr>
            </w:pPr>
          </w:p>
        </w:tc>
        <w:tc>
          <w:tcPr>
            <w:tcW w:w="0" w:type="auto"/>
            <w:gridSpan w:val="3"/>
            <w:shd w:val="clear" w:color="auto" w:fill="auto"/>
            <w:vAlign w:val="bottom"/>
          </w:tcPr>
          <w:p w14:paraId="5F2D3E14" w14:textId="77777777" w:rsidR="00E836FB" w:rsidRDefault="00E836FB">
            <w:pPr>
              <w:rPr>
                <w:rFonts w:ascii="宋体"/>
                <w:vanish/>
              </w:rPr>
            </w:pPr>
          </w:p>
        </w:tc>
        <w:tc>
          <w:tcPr>
            <w:tcW w:w="0" w:type="auto"/>
            <w:gridSpan w:val="3"/>
            <w:shd w:val="clear" w:color="auto" w:fill="auto"/>
            <w:vAlign w:val="bottom"/>
          </w:tcPr>
          <w:p w14:paraId="5F2D3E15" w14:textId="77777777" w:rsidR="00E836FB" w:rsidRDefault="00E836FB">
            <w:pPr>
              <w:rPr>
                <w:rFonts w:ascii="宋体"/>
                <w:vanish/>
              </w:rPr>
            </w:pPr>
          </w:p>
        </w:tc>
        <w:tc>
          <w:tcPr>
            <w:tcW w:w="0" w:type="auto"/>
            <w:gridSpan w:val="3"/>
            <w:shd w:val="clear" w:color="auto" w:fill="auto"/>
            <w:vAlign w:val="bottom"/>
          </w:tcPr>
          <w:p w14:paraId="5F2D3E16" w14:textId="77777777" w:rsidR="00E836FB" w:rsidRDefault="00E836FB">
            <w:pPr>
              <w:rPr>
                <w:rFonts w:ascii="宋体"/>
                <w:vanish/>
              </w:rPr>
            </w:pPr>
          </w:p>
        </w:tc>
        <w:tc>
          <w:tcPr>
            <w:tcW w:w="0" w:type="auto"/>
            <w:gridSpan w:val="3"/>
            <w:shd w:val="clear" w:color="auto" w:fill="auto"/>
            <w:vAlign w:val="bottom"/>
          </w:tcPr>
          <w:p w14:paraId="5F2D3E17" w14:textId="77777777" w:rsidR="00E836FB" w:rsidRDefault="00E836FB">
            <w:pPr>
              <w:rPr>
                <w:rFonts w:ascii="宋体"/>
                <w:vanish/>
              </w:rPr>
            </w:pPr>
          </w:p>
        </w:tc>
        <w:tc>
          <w:tcPr>
            <w:tcW w:w="0" w:type="auto"/>
            <w:gridSpan w:val="3"/>
            <w:shd w:val="clear" w:color="auto" w:fill="auto"/>
            <w:vAlign w:val="bottom"/>
          </w:tcPr>
          <w:p w14:paraId="5F2D3E18" w14:textId="77777777" w:rsidR="00E836FB" w:rsidRDefault="00E836FB">
            <w:pPr>
              <w:rPr>
                <w:rFonts w:ascii="宋体"/>
                <w:vanish/>
              </w:rPr>
            </w:pPr>
          </w:p>
        </w:tc>
        <w:tc>
          <w:tcPr>
            <w:tcW w:w="0" w:type="auto"/>
            <w:gridSpan w:val="3"/>
            <w:shd w:val="clear" w:color="auto" w:fill="auto"/>
            <w:vAlign w:val="bottom"/>
          </w:tcPr>
          <w:p w14:paraId="5F2D3E19" w14:textId="77777777" w:rsidR="00E836FB" w:rsidRDefault="00E836FB">
            <w:pPr>
              <w:rPr>
                <w:rFonts w:ascii="宋体"/>
                <w:vanish/>
              </w:rPr>
            </w:pPr>
          </w:p>
        </w:tc>
        <w:tc>
          <w:tcPr>
            <w:tcW w:w="0" w:type="auto"/>
            <w:gridSpan w:val="3"/>
            <w:shd w:val="clear" w:color="auto" w:fill="auto"/>
            <w:vAlign w:val="bottom"/>
          </w:tcPr>
          <w:p w14:paraId="5F2D3E1A" w14:textId="77777777" w:rsidR="00E836FB" w:rsidRDefault="00E836FB">
            <w:pPr>
              <w:rPr>
                <w:rFonts w:ascii="宋体"/>
                <w:vanish/>
              </w:rPr>
            </w:pPr>
          </w:p>
        </w:tc>
        <w:tc>
          <w:tcPr>
            <w:tcW w:w="0" w:type="auto"/>
            <w:gridSpan w:val="3"/>
            <w:shd w:val="clear" w:color="auto" w:fill="auto"/>
            <w:vAlign w:val="bottom"/>
          </w:tcPr>
          <w:p w14:paraId="5F2D3E1B" w14:textId="77777777" w:rsidR="00E836FB" w:rsidRDefault="00E836FB">
            <w:pPr>
              <w:rPr>
                <w:rFonts w:ascii="宋体"/>
                <w:vanish/>
              </w:rPr>
            </w:pPr>
          </w:p>
        </w:tc>
        <w:tc>
          <w:tcPr>
            <w:tcW w:w="0" w:type="auto"/>
            <w:gridSpan w:val="3"/>
            <w:shd w:val="clear" w:color="auto" w:fill="auto"/>
            <w:vAlign w:val="bottom"/>
          </w:tcPr>
          <w:p w14:paraId="5F2D3E1C" w14:textId="77777777" w:rsidR="00E836FB" w:rsidRDefault="00E836FB">
            <w:pPr>
              <w:rPr>
                <w:rFonts w:ascii="宋体"/>
                <w:vanish/>
              </w:rPr>
            </w:pPr>
          </w:p>
        </w:tc>
      </w:tr>
      <w:tr w:rsidR="00E836FB" w14:paraId="5F2D3E2A" w14:textId="77777777">
        <w:trPr>
          <w:hidden/>
        </w:trPr>
        <w:tc>
          <w:tcPr>
            <w:tcW w:w="0" w:type="auto"/>
            <w:gridSpan w:val="3"/>
            <w:shd w:val="clear" w:color="auto" w:fill="auto"/>
            <w:vAlign w:val="bottom"/>
          </w:tcPr>
          <w:p w14:paraId="5F2D3E1E" w14:textId="77777777" w:rsidR="00E836FB" w:rsidRDefault="00E836FB">
            <w:pPr>
              <w:rPr>
                <w:rFonts w:ascii="宋体"/>
                <w:vanish/>
              </w:rPr>
            </w:pPr>
          </w:p>
        </w:tc>
        <w:tc>
          <w:tcPr>
            <w:tcW w:w="0" w:type="auto"/>
            <w:gridSpan w:val="3"/>
            <w:shd w:val="clear" w:color="auto" w:fill="auto"/>
            <w:vAlign w:val="bottom"/>
          </w:tcPr>
          <w:p w14:paraId="5F2D3E1F" w14:textId="77777777" w:rsidR="00E836FB" w:rsidRDefault="00E836FB">
            <w:pPr>
              <w:rPr>
                <w:rFonts w:ascii="宋体"/>
                <w:vanish/>
              </w:rPr>
            </w:pPr>
          </w:p>
        </w:tc>
        <w:tc>
          <w:tcPr>
            <w:tcW w:w="0" w:type="auto"/>
            <w:gridSpan w:val="3"/>
            <w:shd w:val="clear" w:color="auto" w:fill="auto"/>
            <w:vAlign w:val="bottom"/>
          </w:tcPr>
          <w:p w14:paraId="5F2D3E20" w14:textId="77777777" w:rsidR="00E836FB" w:rsidRDefault="00E836FB">
            <w:pPr>
              <w:rPr>
                <w:rFonts w:ascii="宋体"/>
                <w:vanish/>
              </w:rPr>
            </w:pPr>
          </w:p>
        </w:tc>
        <w:tc>
          <w:tcPr>
            <w:tcW w:w="0" w:type="auto"/>
            <w:gridSpan w:val="3"/>
            <w:shd w:val="clear" w:color="auto" w:fill="auto"/>
            <w:vAlign w:val="bottom"/>
          </w:tcPr>
          <w:p w14:paraId="5F2D3E21" w14:textId="77777777" w:rsidR="00E836FB" w:rsidRDefault="00E836FB">
            <w:pPr>
              <w:rPr>
                <w:rFonts w:ascii="宋体"/>
                <w:vanish/>
              </w:rPr>
            </w:pPr>
          </w:p>
        </w:tc>
        <w:tc>
          <w:tcPr>
            <w:tcW w:w="0" w:type="auto"/>
            <w:gridSpan w:val="3"/>
            <w:shd w:val="clear" w:color="auto" w:fill="auto"/>
            <w:vAlign w:val="bottom"/>
          </w:tcPr>
          <w:p w14:paraId="5F2D3E22" w14:textId="77777777" w:rsidR="00E836FB" w:rsidRDefault="00E836FB">
            <w:pPr>
              <w:rPr>
                <w:rFonts w:ascii="宋体"/>
                <w:vanish/>
              </w:rPr>
            </w:pPr>
          </w:p>
        </w:tc>
        <w:tc>
          <w:tcPr>
            <w:tcW w:w="0" w:type="auto"/>
            <w:gridSpan w:val="3"/>
            <w:shd w:val="clear" w:color="auto" w:fill="auto"/>
            <w:vAlign w:val="bottom"/>
          </w:tcPr>
          <w:p w14:paraId="5F2D3E23" w14:textId="77777777" w:rsidR="00E836FB" w:rsidRDefault="00E836FB">
            <w:pPr>
              <w:rPr>
                <w:rFonts w:ascii="宋体"/>
                <w:vanish/>
              </w:rPr>
            </w:pPr>
          </w:p>
        </w:tc>
        <w:tc>
          <w:tcPr>
            <w:tcW w:w="0" w:type="auto"/>
            <w:gridSpan w:val="3"/>
            <w:shd w:val="clear" w:color="auto" w:fill="auto"/>
            <w:vAlign w:val="bottom"/>
          </w:tcPr>
          <w:p w14:paraId="5F2D3E24" w14:textId="77777777" w:rsidR="00E836FB" w:rsidRDefault="00E836FB">
            <w:pPr>
              <w:rPr>
                <w:rFonts w:ascii="宋体"/>
                <w:vanish/>
              </w:rPr>
            </w:pPr>
          </w:p>
        </w:tc>
        <w:tc>
          <w:tcPr>
            <w:tcW w:w="0" w:type="auto"/>
            <w:gridSpan w:val="3"/>
            <w:shd w:val="clear" w:color="auto" w:fill="auto"/>
            <w:vAlign w:val="bottom"/>
          </w:tcPr>
          <w:p w14:paraId="5F2D3E25" w14:textId="77777777" w:rsidR="00E836FB" w:rsidRDefault="00E836FB">
            <w:pPr>
              <w:rPr>
                <w:rFonts w:ascii="宋体"/>
                <w:vanish/>
              </w:rPr>
            </w:pPr>
          </w:p>
        </w:tc>
        <w:tc>
          <w:tcPr>
            <w:tcW w:w="0" w:type="auto"/>
            <w:gridSpan w:val="3"/>
            <w:shd w:val="clear" w:color="auto" w:fill="auto"/>
            <w:vAlign w:val="bottom"/>
          </w:tcPr>
          <w:p w14:paraId="5F2D3E26" w14:textId="77777777" w:rsidR="00E836FB" w:rsidRDefault="00E836FB">
            <w:pPr>
              <w:rPr>
                <w:rFonts w:ascii="宋体"/>
                <w:vanish/>
              </w:rPr>
            </w:pPr>
          </w:p>
        </w:tc>
        <w:tc>
          <w:tcPr>
            <w:tcW w:w="0" w:type="auto"/>
            <w:gridSpan w:val="3"/>
            <w:shd w:val="clear" w:color="auto" w:fill="auto"/>
            <w:vAlign w:val="bottom"/>
          </w:tcPr>
          <w:p w14:paraId="5F2D3E27" w14:textId="77777777" w:rsidR="00E836FB" w:rsidRDefault="00E836FB">
            <w:pPr>
              <w:rPr>
                <w:rFonts w:ascii="宋体"/>
                <w:vanish/>
              </w:rPr>
            </w:pPr>
          </w:p>
        </w:tc>
        <w:tc>
          <w:tcPr>
            <w:tcW w:w="0" w:type="auto"/>
            <w:gridSpan w:val="3"/>
            <w:shd w:val="clear" w:color="auto" w:fill="auto"/>
            <w:vAlign w:val="bottom"/>
          </w:tcPr>
          <w:p w14:paraId="5F2D3E28" w14:textId="77777777" w:rsidR="00E836FB" w:rsidRDefault="00E836FB">
            <w:pPr>
              <w:rPr>
                <w:rFonts w:ascii="宋体"/>
                <w:vanish/>
              </w:rPr>
            </w:pPr>
          </w:p>
        </w:tc>
        <w:tc>
          <w:tcPr>
            <w:tcW w:w="0" w:type="auto"/>
            <w:gridSpan w:val="3"/>
            <w:shd w:val="clear" w:color="auto" w:fill="auto"/>
            <w:vAlign w:val="bottom"/>
          </w:tcPr>
          <w:p w14:paraId="5F2D3E29" w14:textId="77777777" w:rsidR="00E836FB" w:rsidRDefault="00E836FB">
            <w:pPr>
              <w:rPr>
                <w:rFonts w:ascii="宋体"/>
                <w:vanish/>
              </w:rPr>
            </w:pPr>
          </w:p>
        </w:tc>
      </w:tr>
      <w:tr w:rsidR="00E836FB" w14:paraId="5F2D3E37" w14:textId="77777777">
        <w:trPr>
          <w:hidden/>
        </w:trPr>
        <w:tc>
          <w:tcPr>
            <w:tcW w:w="0" w:type="auto"/>
            <w:gridSpan w:val="3"/>
            <w:shd w:val="clear" w:color="auto" w:fill="auto"/>
            <w:vAlign w:val="bottom"/>
          </w:tcPr>
          <w:p w14:paraId="5F2D3E2B" w14:textId="77777777" w:rsidR="00E836FB" w:rsidRDefault="00E836FB">
            <w:pPr>
              <w:rPr>
                <w:rFonts w:ascii="宋体"/>
                <w:vanish/>
              </w:rPr>
            </w:pPr>
          </w:p>
        </w:tc>
        <w:tc>
          <w:tcPr>
            <w:tcW w:w="0" w:type="auto"/>
            <w:gridSpan w:val="3"/>
            <w:shd w:val="clear" w:color="auto" w:fill="auto"/>
            <w:vAlign w:val="bottom"/>
          </w:tcPr>
          <w:p w14:paraId="5F2D3E2C" w14:textId="77777777" w:rsidR="00E836FB" w:rsidRDefault="00E836FB">
            <w:pPr>
              <w:rPr>
                <w:rFonts w:ascii="宋体"/>
                <w:vanish/>
              </w:rPr>
            </w:pPr>
          </w:p>
        </w:tc>
        <w:tc>
          <w:tcPr>
            <w:tcW w:w="0" w:type="auto"/>
            <w:gridSpan w:val="3"/>
            <w:shd w:val="clear" w:color="auto" w:fill="auto"/>
            <w:vAlign w:val="bottom"/>
          </w:tcPr>
          <w:p w14:paraId="5F2D3E2D" w14:textId="77777777" w:rsidR="00E836FB" w:rsidRDefault="00E836FB">
            <w:pPr>
              <w:rPr>
                <w:rFonts w:ascii="宋体"/>
                <w:vanish/>
              </w:rPr>
            </w:pPr>
          </w:p>
        </w:tc>
        <w:tc>
          <w:tcPr>
            <w:tcW w:w="0" w:type="auto"/>
            <w:gridSpan w:val="3"/>
            <w:shd w:val="clear" w:color="auto" w:fill="auto"/>
            <w:vAlign w:val="bottom"/>
          </w:tcPr>
          <w:p w14:paraId="5F2D3E2E" w14:textId="77777777" w:rsidR="00E836FB" w:rsidRDefault="00E836FB">
            <w:pPr>
              <w:rPr>
                <w:rFonts w:ascii="宋体"/>
                <w:vanish/>
              </w:rPr>
            </w:pPr>
          </w:p>
        </w:tc>
        <w:tc>
          <w:tcPr>
            <w:tcW w:w="0" w:type="auto"/>
            <w:gridSpan w:val="3"/>
            <w:shd w:val="clear" w:color="auto" w:fill="auto"/>
            <w:vAlign w:val="bottom"/>
          </w:tcPr>
          <w:p w14:paraId="5F2D3E2F" w14:textId="77777777" w:rsidR="00E836FB" w:rsidRDefault="00E836FB">
            <w:pPr>
              <w:rPr>
                <w:rFonts w:ascii="宋体"/>
                <w:vanish/>
              </w:rPr>
            </w:pPr>
          </w:p>
        </w:tc>
        <w:tc>
          <w:tcPr>
            <w:tcW w:w="0" w:type="auto"/>
            <w:gridSpan w:val="3"/>
            <w:shd w:val="clear" w:color="auto" w:fill="auto"/>
            <w:vAlign w:val="bottom"/>
          </w:tcPr>
          <w:p w14:paraId="5F2D3E30" w14:textId="77777777" w:rsidR="00E836FB" w:rsidRDefault="00E836FB">
            <w:pPr>
              <w:rPr>
                <w:rFonts w:ascii="宋体"/>
                <w:vanish/>
              </w:rPr>
            </w:pPr>
          </w:p>
        </w:tc>
        <w:tc>
          <w:tcPr>
            <w:tcW w:w="0" w:type="auto"/>
            <w:gridSpan w:val="3"/>
            <w:shd w:val="clear" w:color="auto" w:fill="auto"/>
            <w:vAlign w:val="bottom"/>
          </w:tcPr>
          <w:p w14:paraId="5F2D3E31" w14:textId="77777777" w:rsidR="00E836FB" w:rsidRDefault="00E836FB">
            <w:pPr>
              <w:rPr>
                <w:rFonts w:ascii="宋体"/>
                <w:vanish/>
              </w:rPr>
            </w:pPr>
          </w:p>
        </w:tc>
        <w:tc>
          <w:tcPr>
            <w:tcW w:w="0" w:type="auto"/>
            <w:gridSpan w:val="3"/>
            <w:shd w:val="clear" w:color="auto" w:fill="auto"/>
            <w:vAlign w:val="bottom"/>
          </w:tcPr>
          <w:p w14:paraId="5F2D3E32" w14:textId="77777777" w:rsidR="00E836FB" w:rsidRDefault="00E836FB">
            <w:pPr>
              <w:rPr>
                <w:rFonts w:ascii="宋体"/>
                <w:vanish/>
              </w:rPr>
            </w:pPr>
          </w:p>
        </w:tc>
        <w:tc>
          <w:tcPr>
            <w:tcW w:w="0" w:type="auto"/>
            <w:gridSpan w:val="3"/>
            <w:shd w:val="clear" w:color="auto" w:fill="auto"/>
            <w:vAlign w:val="bottom"/>
          </w:tcPr>
          <w:p w14:paraId="5F2D3E33" w14:textId="77777777" w:rsidR="00E836FB" w:rsidRDefault="00E836FB">
            <w:pPr>
              <w:rPr>
                <w:rFonts w:ascii="宋体"/>
                <w:vanish/>
              </w:rPr>
            </w:pPr>
          </w:p>
        </w:tc>
        <w:tc>
          <w:tcPr>
            <w:tcW w:w="0" w:type="auto"/>
            <w:gridSpan w:val="3"/>
            <w:shd w:val="clear" w:color="auto" w:fill="auto"/>
            <w:vAlign w:val="bottom"/>
          </w:tcPr>
          <w:p w14:paraId="5F2D3E34" w14:textId="77777777" w:rsidR="00E836FB" w:rsidRDefault="00E836FB">
            <w:pPr>
              <w:rPr>
                <w:rFonts w:ascii="宋体"/>
                <w:vanish/>
              </w:rPr>
            </w:pPr>
          </w:p>
        </w:tc>
        <w:tc>
          <w:tcPr>
            <w:tcW w:w="0" w:type="auto"/>
            <w:gridSpan w:val="3"/>
            <w:shd w:val="clear" w:color="auto" w:fill="auto"/>
            <w:vAlign w:val="bottom"/>
          </w:tcPr>
          <w:p w14:paraId="5F2D3E35" w14:textId="77777777" w:rsidR="00E836FB" w:rsidRDefault="00E836FB">
            <w:pPr>
              <w:rPr>
                <w:rFonts w:ascii="宋体"/>
                <w:vanish/>
              </w:rPr>
            </w:pPr>
          </w:p>
        </w:tc>
        <w:tc>
          <w:tcPr>
            <w:tcW w:w="0" w:type="auto"/>
            <w:gridSpan w:val="3"/>
            <w:shd w:val="clear" w:color="auto" w:fill="auto"/>
            <w:vAlign w:val="bottom"/>
          </w:tcPr>
          <w:p w14:paraId="5F2D3E36" w14:textId="77777777" w:rsidR="00E836FB" w:rsidRDefault="00E836FB">
            <w:pPr>
              <w:rPr>
                <w:rFonts w:ascii="宋体"/>
                <w:vanish/>
              </w:rPr>
            </w:pPr>
          </w:p>
        </w:tc>
      </w:tr>
      <w:tr w:rsidR="00E836FB" w14:paraId="5F2D3E44" w14:textId="77777777">
        <w:trPr>
          <w:hidden/>
        </w:trPr>
        <w:tc>
          <w:tcPr>
            <w:tcW w:w="0" w:type="auto"/>
            <w:gridSpan w:val="3"/>
            <w:shd w:val="clear" w:color="auto" w:fill="auto"/>
            <w:vAlign w:val="bottom"/>
          </w:tcPr>
          <w:p w14:paraId="5F2D3E38" w14:textId="77777777" w:rsidR="00E836FB" w:rsidRDefault="00E836FB">
            <w:pPr>
              <w:rPr>
                <w:rFonts w:ascii="宋体"/>
                <w:vanish/>
              </w:rPr>
            </w:pPr>
          </w:p>
        </w:tc>
        <w:tc>
          <w:tcPr>
            <w:tcW w:w="0" w:type="auto"/>
            <w:gridSpan w:val="3"/>
            <w:shd w:val="clear" w:color="auto" w:fill="auto"/>
            <w:vAlign w:val="bottom"/>
          </w:tcPr>
          <w:p w14:paraId="5F2D3E39" w14:textId="77777777" w:rsidR="00E836FB" w:rsidRDefault="00E836FB">
            <w:pPr>
              <w:rPr>
                <w:rFonts w:ascii="宋体"/>
                <w:vanish/>
              </w:rPr>
            </w:pPr>
          </w:p>
        </w:tc>
        <w:tc>
          <w:tcPr>
            <w:tcW w:w="0" w:type="auto"/>
            <w:gridSpan w:val="3"/>
            <w:shd w:val="clear" w:color="auto" w:fill="auto"/>
            <w:vAlign w:val="bottom"/>
          </w:tcPr>
          <w:p w14:paraId="5F2D3E3A" w14:textId="77777777" w:rsidR="00E836FB" w:rsidRDefault="00E836FB">
            <w:pPr>
              <w:rPr>
                <w:rFonts w:ascii="宋体"/>
                <w:vanish/>
              </w:rPr>
            </w:pPr>
          </w:p>
        </w:tc>
        <w:tc>
          <w:tcPr>
            <w:tcW w:w="0" w:type="auto"/>
            <w:gridSpan w:val="3"/>
            <w:shd w:val="clear" w:color="auto" w:fill="auto"/>
            <w:vAlign w:val="bottom"/>
          </w:tcPr>
          <w:p w14:paraId="5F2D3E3B" w14:textId="77777777" w:rsidR="00E836FB" w:rsidRDefault="00E836FB">
            <w:pPr>
              <w:rPr>
                <w:rFonts w:ascii="宋体"/>
                <w:vanish/>
              </w:rPr>
            </w:pPr>
          </w:p>
        </w:tc>
        <w:tc>
          <w:tcPr>
            <w:tcW w:w="0" w:type="auto"/>
            <w:gridSpan w:val="3"/>
            <w:shd w:val="clear" w:color="auto" w:fill="auto"/>
            <w:vAlign w:val="bottom"/>
          </w:tcPr>
          <w:p w14:paraId="5F2D3E3C" w14:textId="77777777" w:rsidR="00E836FB" w:rsidRDefault="00E836FB">
            <w:pPr>
              <w:rPr>
                <w:rFonts w:ascii="宋体"/>
                <w:vanish/>
              </w:rPr>
            </w:pPr>
          </w:p>
        </w:tc>
        <w:tc>
          <w:tcPr>
            <w:tcW w:w="0" w:type="auto"/>
            <w:gridSpan w:val="3"/>
            <w:shd w:val="clear" w:color="auto" w:fill="auto"/>
            <w:vAlign w:val="bottom"/>
          </w:tcPr>
          <w:p w14:paraId="5F2D3E3D" w14:textId="77777777" w:rsidR="00E836FB" w:rsidRDefault="00E836FB">
            <w:pPr>
              <w:rPr>
                <w:rFonts w:ascii="宋体"/>
                <w:vanish/>
              </w:rPr>
            </w:pPr>
          </w:p>
        </w:tc>
        <w:tc>
          <w:tcPr>
            <w:tcW w:w="0" w:type="auto"/>
            <w:gridSpan w:val="3"/>
            <w:shd w:val="clear" w:color="auto" w:fill="auto"/>
            <w:vAlign w:val="bottom"/>
          </w:tcPr>
          <w:p w14:paraId="5F2D3E3E" w14:textId="77777777" w:rsidR="00E836FB" w:rsidRDefault="00E836FB">
            <w:pPr>
              <w:rPr>
                <w:rFonts w:ascii="宋体"/>
                <w:vanish/>
              </w:rPr>
            </w:pPr>
          </w:p>
        </w:tc>
        <w:tc>
          <w:tcPr>
            <w:tcW w:w="0" w:type="auto"/>
            <w:gridSpan w:val="3"/>
            <w:shd w:val="clear" w:color="auto" w:fill="auto"/>
            <w:vAlign w:val="bottom"/>
          </w:tcPr>
          <w:p w14:paraId="5F2D3E3F" w14:textId="77777777" w:rsidR="00E836FB" w:rsidRDefault="00E836FB">
            <w:pPr>
              <w:rPr>
                <w:rFonts w:ascii="宋体"/>
                <w:vanish/>
              </w:rPr>
            </w:pPr>
          </w:p>
        </w:tc>
        <w:tc>
          <w:tcPr>
            <w:tcW w:w="0" w:type="auto"/>
            <w:gridSpan w:val="3"/>
            <w:shd w:val="clear" w:color="auto" w:fill="auto"/>
            <w:vAlign w:val="bottom"/>
          </w:tcPr>
          <w:p w14:paraId="5F2D3E40" w14:textId="77777777" w:rsidR="00E836FB" w:rsidRDefault="00E836FB">
            <w:pPr>
              <w:rPr>
                <w:rFonts w:ascii="宋体"/>
                <w:vanish/>
              </w:rPr>
            </w:pPr>
          </w:p>
        </w:tc>
        <w:tc>
          <w:tcPr>
            <w:tcW w:w="0" w:type="auto"/>
            <w:gridSpan w:val="3"/>
            <w:shd w:val="clear" w:color="auto" w:fill="auto"/>
            <w:vAlign w:val="bottom"/>
          </w:tcPr>
          <w:p w14:paraId="5F2D3E41" w14:textId="77777777" w:rsidR="00E836FB" w:rsidRDefault="00E836FB">
            <w:pPr>
              <w:rPr>
                <w:rFonts w:ascii="宋体"/>
                <w:vanish/>
              </w:rPr>
            </w:pPr>
          </w:p>
        </w:tc>
        <w:tc>
          <w:tcPr>
            <w:tcW w:w="0" w:type="auto"/>
            <w:gridSpan w:val="3"/>
            <w:shd w:val="clear" w:color="auto" w:fill="auto"/>
            <w:vAlign w:val="bottom"/>
          </w:tcPr>
          <w:p w14:paraId="5F2D3E42" w14:textId="77777777" w:rsidR="00E836FB" w:rsidRDefault="00E836FB">
            <w:pPr>
              <w:rPr>
                <w:rFonts w:ascii="宋体"/>
                <w:vanish/>
              </w:rPr>
            </w:pPr>
          </w:p>
        </w:tc>
        <w:tc>
          <w:tcPr>
            <w:tcW w:w="0" w:type="auto"/>
            <w:gridSpan w:val="3"/>
            <w:shd w:val="clear" w:color="auto" w:fill="auto"/>
            <w:vAlign w:val="bottom"/>
          </w:tcPr>
          <w:p w14:paraId="5F2D3E43" w14:textId="77777777" w:rsidR="00E836FB" w:rsidRDefault="00E836FB">
            <w:pPr>
              <w:rPr>
                <w:rFonts w:ascii="宋体"/>
                <w:vanish/>
              </w:rPr>
            </w:pPr>
          </w:p>
        </w:tc>
      </w:tr>
      <w:tr w:rsidR="00E836FB" w14:paraId="5F2D3E51" w14:textId="77777777">
        <w:trPr>
          <w:hidden/>
        </w:trPr>
        <w:tc>
          <w:tcPr>
            <w:tcW w:w="0" w:type="auto"/>
            <w:gridSpan w:val="3"/>
            <w:shd w:val="clear" w:color="auto" w:fill="auto"/>
            <w:vAlign w:val="bottom"/>
          </w:tcPr>
          <w:p w14:paraId="5F2D3E45" w14:textId="77777777" w:rsidR="00E836FB" w:rsidRDefault="00E836FB">
            <w:pPr>
              <w:rPr>
                <w:rFonts w:ascii="宋体"/>
                <w:vanish/>
              </w:rPr>
            </w:pPr>
          </w:p>
        </w:tc>
        <w:tc>
          <w:tcPr>
            <w:tcW w:w="0" w:type="auto"/>
            <w:gridSpan w:val="3"/>
            <w:shd w:val="clear" w:color="auto" w:fill="auto"/>
            <w:vAlign w:val="bottom"/>
          </w:tcPr>
          <w:p w14:paraId="5F2D3E46" w14:textId="77777777" w:rsidR="00E836FB" w:rsidRDefault="00E836FB">
            <w:pPr>
              <w:rPr>
                <w:rFonts w:ascii="宋体"/>
                <w:vanish/>
              </w:rPr>
            </w:pPr>
          </w:p>
        </w:tc>
        <w:tc>
          <w:tcPr>
            <w:tcW w:w="0" w:type="auto"/>
            <w:gridSpan w:val="3"/>
            <w:shd w:val="clear" w:color="auto" w:fill="auto"/>
            <w:vAlign w:val="bottom"/>
          </w:tcPr>
          <w:p w14:paraId="5F2D3E47" w14:textId="77777777" w:rsidR="00E836FB" w:rsidRDefault="00E836FB">
            <w:pPr>
              <w:rPr>
                <w:rFonts w:ascii="宋体"/>
                <w:vanish/>
              </w:rPr>
            </w:pPr>
          </w:p>
        </w:tc>
        <w:tc>
          <w:tcPr>
            <w:tcW w:w="0" w:type="auto"/>
            <w:gridSpan w:val="3"/>
            <w:shd w:val="clear" w:color="auto" w:fill="auto"/>
            <w:vAlign w:val="bottom"/>
          </w:tcPr>
          <w:p w14:paraId="5F2D3E48" w14:textId="77777777" w:rsidR="00E836FB" w:rsidRDefault="00E836FB">
            <w:pPr>
              <w:rPr>
                <w:rFonts w:ascii="宋体"/>
                <w:vanish/>
              </w:rPr>
            </w:pPr>
          </w:p>
        </w:tc>
        <w:tc>
          <w:tcPr>
            <w:tcW w:w="0" w:type="auto"/>
            <w:gridSpan w:val="3"/>
            <w:shd w:val="clear" w:color="auto" w:fill="auto"/>
            <w:vAlign w:val="bottom"/>
          </w:tcPr>
          <w:p w14:paraId="5F2D3E49" w14:textId="77777777" w:rsidR="00E836FB" w:rsidRDefault="00E836FB">
            <w:pPr>
              <w:rPr>
                <w:rFonts w:ascii="宋体"/>
                <w:vanish/>
              </w:rPr>
            </w:pPr>
          </w:p>
        </w:tc>
        <w:tc>
          <w:tcPr>
            <w:tcW w:w="0" w:type="auto"/>
            <w:gridSpan w:val="3"/>
            <w:shd w:val="clear" w:color="auto" w:fill="auto"/>
            <w:vAlign w:val="bottom"/>
          </w:tcPr>
          <w:p w14:paraId="5F2D3E4A" w14:textId="77777777" w:rsidR="00E836FB" w:rsidRDefault="00E836FB">
            <w:pPr>
              <w:rPr>
                <w:rFonts w:ascii="宋体"/>
                <w:vanish/>
              </w:rPr>
            </w:pPr>
          </w:p>
        </w:tc>
        <w:tc>
          <w:tcPr>
            <w:tcW w:w="0" w:type="auto"/>
            <w:gridSpan w:val="3"/>
            <w:shd w:val="clear" w:color="auto" w:fill="auto"/>
            <w:vAlign w:val="bottom"/>
          </w:tcPr>
          <w:p w14:paraId="5F2D3E4B" w14:textId="77777777" w:rsidR="00E836FB" w:rsidRDefault="00E836FB">
            <w:pPr>
              <w:rPr>
                <w:rFonts w:ascii="宋体"/>
                <w:vanish/>
              </w:rPr>
            </w:pPr>
          </w:p>
        </w:tc>
        <w:tc>
          <w:tcPr>
            <w:tcW w:w="0" w:type="auto"/>
            <w:gridSpan w:val="3"/>
            <w:shd w:val="clear" w:color="auto" w:fill="auto"/>
            <w:vAlign w:val="bottom"/>
          </w:tcPr>
          <w:p w14:paraId="5F2D3E4C" w14:textId="77777777" w:rsidR="00E836FB" w:rsidRDefault="00E836FB">
            <w:pPr>
              <w:rPr>
                <w:rFonts w:ascii="宋体"/>
                <w:vanish/>
              </w:rPr>
            </w:pPr>
          </w:p>
        </w:tc>
        <w:tc>
          <w:tcPr>
            <w:tcW w:w="0" w:type="auto"/>
            <w:gridSpan w:val="3"/>
            <w:shd w:val="clear" w:color="auto" w:fill="auto"/>
            <w:vAlign w:val="bottom"/>
          </w:tcPr>
          <w:p w14:paraId="5F2D3E4D" w14:textId="77777777" w:rsidR="00E836FB" w:rsidRDefault="00E836FB">
            <w:pPr>
              <w:rPr>
                <w:rFonts w:ascii="宋体"/>
                <w:vanish/>
              </w:rPr>
            </w:pPr>
          </w:p>
        </w:tc>
        <w:tc>
          <w:tcPr>
            <w:tcW w:w="0" w:type="auto"/>
            <w:gridSpan w:val="3"/>
            <w:shd w:val="clear" w:color="auto" w:fill="auto"/>
            <w:vAlign w:val="bottom"/>
          </w:tcPr>
          <w:p w14:paraId="5F2D3E4E" w14:textId="77777777" w:rsidR="00E836FB" w:rsidRDefault="00E836FB">
            <w:pPr>
              <w:rPr>
                <w:rFonts w:ascii="宋体"/>
                <w:vanish/>
              </w:rPr>
            </w:pPr>
          </w:p>
        </w:tc>
        <w:tc>
          <w:tcPr>
            <w:tcW w:w="0" w:type="auto"/>
            <w:gridSpan w:val="3"/>
            <w:shd w:val="clear" w:color="auto" w:fill="auto"/>
            <w:vAlign w:val="bottom"/>
          </w:tcPr>
          <w:p w14:paraId="5F2D3E4F" w14:textId="77777777" w:rsidR="00E836FB" w:rsidRDefault="00E836FB">
            <w:pPr>
              <w:rPr>
                <w:rFonts w:ascii="宋体"/>
                <w:vanish/>
              </w:rPr>
            </w:pPr>
          </w:p>
        </w:tc>
        <w:tc>
          <w:tcPr>
            <w:tcW w:w="0" w:type="auto"/>
            <w:gridSpan w:val="3"/>
            <w:shd w:val="clear" w:color="auto" w:fill="auto"/>
            <w:vAlign w:val="bottom"/>
          </w:tcPr>
          <w:p w14:paraId="5F2D3E50" w14:textId="77777777" w:rsidR="00E836FB" w:rsidRDefault="00E836FB">
            <w:pPr>
              <w:rPr>
                <w:rFonts w:ascii="宋体"/>
                <w:vanish/>
              </w:rPr>
            </w:pPr>
          </w:p>
        </w:tc>
      </w:tr>
      <w:tr w:rsidR="00E836FB" w14:paraId="5F2D3E5E" w14:textId="77777777">
        <w:trPr>
          <w:hidden/>
        </w:trPr>
        <w:tc>
          <w:tcPr>
            <w:tcW w:w="0" w:type="auto"/>
            <w:gridSpan w:val="3"/>
            <w:shd w:val="clear" w:color="auto" w:fill="auto"/>
            <w:vAlign w:val="bottom"/>
          </w:tcPr>
          <w:p w14:paraId="5F2D3E52" w14:textId="77777777" w:rsidR="00E836FB" w:rsidRDefault="00E836FB">
            <w:pPr>
              <w:rPr>
                <w:rFonts w:ascii="宋体"/>
                <w:vanish/>
              </w:rPr>
            </w:pPr>
          </w:p>
        </w:tc>
        <w:tc>
          <w:tcPr>
            <w:tcW w:w="0" w:type="auto"/>
            <w:gridSpan w:val="3"/>
            <w:shd w:val="clear" w:color="auto" w:fill="auto"/>
            <w:vAlign w:val="bottom"/>
          </w:tcPr>
          <w:p w14:paraId="5F2D3E53" w14:textId="77777777" w:rsidR="00E836FB" w:rsidRDefault="00E836FB">
            <w:pPr>
              <w:rPr>
                <w:rFonts w:ascii="宋体"/>
                <w:vanish/>
              </w:rPr>
            </w:pPr>
          </w:p>
        </w:tc>
        <w:tc>
          <w:tcPr>
            <w:tcW w:w="0" w:type="auto"/>
            <w:gridSpan w:val="3"/>
            <w:shd w:val="clear" w:color="auto" w:fill="auto"/>
            <w:vAlign w:val="bottom"/>
          </w:tcPr>
          <w:p w14:paraId="5F2D3E54" w14:textId="77777777" w:rsidR="00E836FB" w:rsidRDefault="00E836FB">
            <w:pPr>
              <w:rPr>
                <w:rFonts w:ascii="宋体"/>
                <w:vanish/>
              </w:rPr>
            </w:pPr>
          </w:p>
        </w:tc>
        <w:tc>
          <w:tcPr>
            <w:tcW w:w="0" w:type="auto"/>
            <w:gridSpan w:val="3"/>
            <w:shd w:val="clear" w:color="auto" w:fill="auto"/>
            <w:vAlign w:val="bottom"/>
          </w:tcPr>
          <w:p w14:paraId="5F2D3E55" w14:textId="77777777" w:rsidR="00E836FB" w:rsidRDefault="00E836FB">
            <w:pPr>
              <w:rPr>
                <w:rFonts w:ascii="宋体"/>
                <w:vanish/>
              </w:rPr>
            </w:pPr>
          </w:p>
        </w:tc>
        <w:tc>
          <w:tcPr>
            <w:tcW w:w="0" w:type="auto"/>
            <w:gridSpan w:val="3"/>
            <w:shd w:val="clear" w:color="auto" w:fill="auto"/>
            <w:vAlign w:val="bottom"/>
          </w:tcPr>
          <w:p w14:paraId="5F2D3E56" w14:textId="77777777" w:rsidR="00E836FB" w:rsidRDefault="00E836FB">
            <w:pPr>
              <w:rPr>
                <w:rFonts w:ascii="宋体"/>
                <w:vanish/>
              </w:rPr>
            </w:pPr>
          </w:p>
        </w:tc>
        <w:tc>
          <w:tcPr>
            <w:tcW w:w="0" w:type="auto"/>
            <w:gridSpan w:val="3"/>
            <w:shd w:val="clear" w:color="auto" w:fill="auto"/>
            <w:vAlign w:val="bottom"/>
          </w:tcPr>
          <w:p w14:paraId="5F2D3E57" w14:textId="77777777" w:rsidR="00E836FB" w:rsidRDefault="00E836FB">
            <w:pPr>
              <w:rPr>
                <w:rFonts w:ascii="宋体"/>
                <w:vanish/>
              </w:rPr>
            </w:pPr>
          </w:p>
        </w:tc>
        <w:tc>
          <w:tcPr>
            <w:tcW w:w="0" w:type="auto"/>
            <w:gridSpan w:val="3"/>
            <w:shd w:val="clear" w:color="auto" w:fill="auto"/>
            <w:vAlign w:val="bottom"/>
          </w:tcPr>
          <w:p w14:paraId="5F2D3E58" w14:textId="77777777" w:rsidR="00E836FB" w:rsidRDefault="00E836FB">
            <w:pPr>
              <w:rPr>
                <w:rFonts w:ascii="宋体"/>
                <w:vanish/>
              </w:rPr>
            </w:pPr>
          </w:p>
        </w:tc>
        <w:tc>
          <w:tcPr>
            <w:tcW w:w="0" w:type="auto"/>
            <w:gridSpan w:val="3"/>
            <w:shd w:val="clear" w:color="auto" w:fill="auto"/>
            <w:vAlign w:val="bottom"/>
          </w:tcPr>
          <w:p w14:paraId="5F2D3E59" w14:textId="77777777" w:rsidR="00E836FB" w:rsidRDefault="00E836FB">
            <w:pPr>
              <w:rPr>
                <w:rFonts w:ascii="宋体"/>
                <w:vanish/>
              </w:rPr>
            </w:pPr>
          </w:p>
        </w:tc>
        <w:tc>
          <w:tcPr>
            <w:tcW w:w="0" w:type="auto"/>
            <w:gridSpan w:val="3"/>
            <w:shd w:val="clear" w:color="auto" w:fill="auto"/>
            <w:vAlign w:val="bottom"/>
          </w:tcPr>
          <w:p w14:paraId="5F2D3E5A" w14:textId="77777777" w:rsidR="00E836FB" w:rsidRDefault="00E836FB">
            <w:pPr>
              <w:rPr>
                <w:rFonts w:ascii="宋体"/>
                <w:vanish/>
              </w:rPr>
            </w:pPr>
          </w:p>
        </w:tc>
        <w:tc>
          <w:tcPr>
            <w:tcW w:w="0" w:type="auto"/>
            <w:gridSpan w:val="3"/>
            <w:shd w:val="clear" w:color="auto" w:fill="auto"/>
            <w:vAlign w:val="bottom"/>
          </w:tcPr>
          <w:p w14:paraId="5F2D3E5B" w14:textId="77777777" w:rsidR="00E836FB" w:rsidRDefault="00E836FB">
            <w:pPr>
              <w:rPr>
                <w:rFonts w:ascii="宋体"/>
                <w:vanish/>
              </w:rPr>
            </w:pPr>
          </w:p>
        </w:tc>
        <w:tc>
          <w:tcPr>
            <w:tcW w:w="0" w:type="auto"/>
            <w:gridSpan w:val="3"/>
            <w:shd w:val="clear" w:color="auto" w:fill="auto"/>
            <w:vAlign w:val="bottom"/>
          </w:tcPr>
          <w:p w14:paraId="5F2D3E5C" w14:textId="77777777" w:rsidR="00E836FB" w:rsidRDefault="00E836FB">
            <w:pPr>
              <w:rPr>
                <w:rFonts w:ascii="宋体"/>
                <w:vanish/>
              </w:rPr>
            </w:pPr>
          </w:p>
        </w:tc>
        <w:tc>
          <w:tcPr>
            <w:tcW w:w="0" w:type="auto"/>
            <w:gridSpan w:val="3"/>
            <w:shd w:val="clear" w:color="auto" w:fill="auto"/>
            <w:vAlign w:val="bottom"/>
          </w:tcPr>
          <w:p w14:paraId="5F2D3E5D" w14:textId="77777777" w:rsidR="00E836FB" w:rsidRDefault="00E836FB">
            <w:pPr>
              <w:rPr>
                <w:rFonts w:ascii="宋体"/>
                <w:vanish/>
              </w:rPr>
            </w:pPr>
          </w:p>
        </w:tc>
      </w:tr>
      <w:tr w:rsidR="00E836FB" w14:paraId="5F2D3E6B" w14:textId="77777777">
        <w:trPr>
          <w:hidden/>
        </w:trPr>
        <w:tc>
          <w:tcPr>
            <w:tcW w:w="0" w:type="auto"/>
            <w:gridSpan w:val="3"/>
            <w:shd w:val="clear" w:color="auto" w:fill="auto"/>
            <w:vAlign w:val="bottom"/>
          </w:tcPr>
          <w:p w14:paraId="5F2D3E5F" w14:textId="77777777" w:rsidR="00E836FB" w:rsidRDefault="00E836FB">
            <w:pPr>
              <w:rPr>
                <w:rFonts w:ascii="宋体"/>
                <w:vanish/>
              </w:rPr>
            </w:pPr>
          </w:p>
        </w:tc>
        <w:tc>
          <w:tcPr>
            <w:tcW w:w="0" w:type="auto"/>
            <w:gridSpan w:val="3"/>
            <w:shd w:val="clear" w:color="auto" w:fill="auto"/>
            <w:vAlign w:val="bottom"/>
          </w:tcPr>
          <w:p w14:paraId="5F2D3E60" w14:textId="77777777" w:rsidR="00E836FB" w:rsidRDefault="00E836FB">
            <w:pPr>
              <w:rPr>
                <w:rFonts w:ascii="宋体"/>
                <w:vanish/>
              </w:rPr>
            </w:pPr>
          </w:p>
        </w:tc>
        <w:tc>
          <w:tcPr>
            <w:tcW w:w="0" w:type="auto"/>
            <w:gridSpan w:val="3"/>
            <w:shd w:val="clear" w:color="auto" w:fill="auto"/>
            <w:vAlign w:val="bottom"/>
          </w:tcPr>
          <w:p w14:paraId="5F2D3E61" w14:textId="77777777" w:rsidR="00E836FB" w:rsidRDefault="00E836FB">
            <w:pPr>
              <w:rPr>
                <w:rFonts w:ascii="宋体"/>
                <w:vanish/>
              </w:rPr>
            </w:pPr>
          </w:p>
        </w:tc>
        <w:tc>
          <w:tcPr>
            <w:tcW w:w="0" w:type="auto"/>
            <w:gridSpan w:val="3"/>
            <w:shd w:val="clear" w:color="auto" w:fill="auto"/>
            <w:vAlign w:val="bottom"/>
          </w:tcPr>
          <w:p w14:paraId="5F2D3E62" w14:textId="77777777" w:rsidR="00E836FB" w:rsidRDefault="00E836FB">
            <w:pPr>
              <w:rPr>
                <w:rFonts w:ascii="宋体"/>
                <w:vanish/>
              </w:rPr>
            </w:pPr>
          </w:p>
        </w:tc>
        <w:tc>
          <w:tcPr>
            <w:tcW w:w="0" w:type="auto"/>
            <w:gridSpan w:val="3"/>
            <w:shd w:val="clear" w:color="auto" w:fill="auto"/>
            <w:vAlign w:val="bottom"/>
          </w:tcPr>
          <w:p w14:paraId="5F2D3E63" w14:textId="77777777" w:rsidR="00E836FB" w:rsidRDefault="00E836FB">
            <w:pPr>
              <w:rPr>
                <w:rFonts w:ascii="宋体"/>
                <w:vanish/>
              </w:rPr>
            </w:pPr>
          </w:p>
        </w:tc>
        <w:tc>
          <w:tcPr>
            <w:tcW w:w="0" w:type="auto"/>
            <w:gridSpan w:val="3"/>
            <w:shd w:val="clear" w:color="auto" w:fill="auto"/>
            <w:vAlign w:val="bottom"/>
          </w:tcPr>
          <w:p w14:paraId="5F2D3E64" w14:textId="77777777" w:rsidR="00E836FB" w:rsidRDefault="00E836FB">
            <w:pPr>
              <w:rPr>
                <w:rFonts w:ascii="宋体"/>
                <w:vanish/>
              </w:rPr>
            </w:pPr>
          </w:p>
        </w:tc>
        <w:tc>
          <w:tcPr>
            <w:tcW w:w="0" w:type="auto"/>
            <w:gridSpan w:val="3"/>
            <w:shd w:val="clear" w:color="auto" w:fill="auto"/>
            <w:vAlign w:val="bottom"/>
          </w:tcPr>
          <w:p w14:paraId="5F2D3E65" w14:textId="77777777" w:rsidR="00E836FB" w:rsidRDefault="00E836FB">
            <w:pPr>
              <w:rPr>
                <w:rFonts w:ascii="宋体"/>
                <w:vanish/>
              </w:rPr>
            </w:pPr>
          </w:p>
        </w:tc>
        <w:tc>
          <w:tcPr>
            <w:tcW w:w="0" w:type="auto"/>
            <w:gridSpan w:val="3"/>
            <w:shd w:val="clear" w:color="auto" w:fill="auto"/>
            <w:vAlign w:val="bottom"/>
          </w:tcPr>
          <w:p w14:paraId="5F2D3E66" w14:textId="77777777" w:rsidR="00E836FB" w:rsidRDefault="00E836FB">
            <w:pPr>
              <w:rPr>
                <w:rFonts w:ascii="宋体"/>
                <w:vanish/>
              </w:rPr>
            </w:pPr>
          </w:p>
        </w:tc>
        <w:tc>
          <w:tcPr>
            <w:tcW w:w="0" w:type="auto"/>
            <w:gridSpan w:val="3"/>
            <w:shd w:val="clear" w:color="auto" w:fill="auto"/>
            <w:vAlign w:val="bottom"/>
          </w:tcPr>
          <w:p w14:paraId="5F2D3E67" w14:textId="77777777" w:rsidR="00E836FB" w:rsidRDefault="00E836FB">
            <w:pPr>
              <w:rPr>
                <w:rFonts w:ascii="宋体"/>
                <w:vanish/>
              </w:rPr>
            </w:pPr>
          </w:p>
        </w:tc>
        <w:tc>
          <w:tcPr>
            <w:tcW w:w="0" w:type="auto"/>
            <w:gridSpan w:val="3"/>
            <w:shd w:val="clear" w:color="auto" w:fill="auto"/>
            <w:vAlign w:val="bottom"/>
          </w:tcPr>
          <w:p w14:paraId="5F2D3E68" w14:textId="77777777" w:rsidR="00E836FB" w:rsidRDefault="00E836FB">
            <w:pPr>
              <w:rPr>
                <w:rFonts w:ascii="宋体"/>
                <w:vanish/>
              </w:rPr>
            </w:pPr>
          </w:p>
        </w:tc>
        <w:tc>
          <w:tcPr>
            <w:tcW w:w="0" w:type="auto"/>
            <w:gridSpan w:val="3"/>
            <w:shd w:val="clear" w:color="auto" w:fill="auto"/>
            <w:vAlign w:val="bottom"/>
          </w:tcPr>
          <w:p w14:paraId="5F2D3E69" w14:textId="77777777" w:rsidR="00E836FB" w:rsidRDefault="00E836FB">
            <w:pPr>
              <w:rPr>
                <w:rFonts w:ascii="宋体"/>
                <w:vanish/>
              </w:rPr>
            </w:pPr>
          </w:p>
        </w:tc>
        <w:tc>
          <w:tcPr>
            <w:tcW w:w="0" w:type="auto"/>
            <w:gridSpan w:val="3"/>
            <w:shd w:val="clear" w:color="auto" w:fill="auto"/>
            <w:vAlign w:val="bottom"/>
          </w:tcPr>
          <w:p w14:paraId="5F2D3E6A" w14:textId="77777777" w:rsidR="00E836FB" w:rsidRDefault="00E836FB">
            <w:pPr>
              <w:rPr>
                <w:rFonts w:ascii="宋体"/>
                <w:vanish/>
              </w:rPr>
            </w:pPr>
          </w:p>
        </w:tc>
      </w:tr>
      <w:tr w:rsidR="00E836FB" w14:paraId="5F2D3E78" w14:textId="77777777">
        <w:trPr>
          <w:hidden/>
        </w:trPr>
        <w:tc>
          <w:tcPr>
            <w:tcW w:w="0" w:type="auto"/>
            <w:gridSpan w:val="3"/>
            <w:shd w:val="clear" w:color="auto" w:fill="auto"/>
            <w:vAlign w:val="bottom"/>
          </w:tcPr>
          <w:p w14:paraId="5F2D3E6C" w14:textId="77777777" w:rsidR="00E836FB" w:rsidRDefault="00E836FB">
            <w:pPr>
              <w:rPr>
                <w:rFonts w:ascii="宋体"/>
                <w:vanish/>
              </w:rPr>
            </w:pPr>
          </w:p>
        </w:tc>
        <w:tc>
          <w:tcPr>
            <w:tcW w:w="0" w:type="auto"/>
            <w:gridSpan w:val="3"/>
            <w:shd w:val="clear" w:color="auto" w:fill="auto"/>
            <w:vAlign w:val="bottom"/>
          </w:tcPr>
          <w:p w14:paraId="5F2D3E6D" w14:textId="77777777" w:rsidR="00E836FB" w:rsidRDefault="00E836FB">
            <w:pPr>
              <w:rPr>
                <w:rFonts w:ascii="宋体"/>
                <w:vanish/>
              </w:rPr>
            </w:pPr>
          </w:p>
        </w:tc>
        <w:tc>
          <w:tcPr>
            <w:tcW w:w="0" w:type="auto"/>
            <w:gridSpan w:val="3"/>
            <w:shd w:val="clear" w:color="auto" w:fill="auto"/>
            <w:vAlign w:val="bottom"/>
          </w:tcPr>
          <w:p w14:paraId="5F2D3E6E" w14:textId="77777777" w:rsidR="00E836FB" w:rsidRDefault="00E836FB">
            <w:pPr>
              <w:rPr>
                <w:rFonts w:ascii="宋体"/>
                <w:vanish/>
              </w:rPr>
            </w:pPr>
          </w:p>
        </w:tc>
        <w:tc>
          <w:tcPr>
            <w:tcW w:w="0" w:type="auto"/>
            <w:gridSpan w:val="3"/>
            <w:shd w:val="clear" w:color="auto" w:fill="auto"/>
            <w:vAlign w:val="bottom"/>
          </w:tcPr>
          <w:p w14:paraId="5F2D3E6F" w14:textId="77777777" w:rsidR="00E836FB" w:rsidRDefault="00E836FB">
            <w:pPr>
              <w:rPr>
                <w:rFonts w:ascii="宋体"/>
                <w:vanish/>
              </w:rPr>
            </w:pPr>
          </w:p>
        </w:tc>
        <w:tc>
          <w:tcPr>
            <w:tcW w:w="0" w:type="auto"/>
            <w:gridSpan w:val="3"/>
            <w:shd w:val="clear" w:color="auto" w:fill="auto"/>
            <w:vAlign w:val="bottom"/>
          </w:tcPr>
          <w:p w14:paraId="5F2D3E70" w14:textId="77777777" w:rsidR="00E836FB" w:rsidRDefault="00E836FB">
            <w:pPr>
              <w:rPr>
                <w:rFonts w:ascii="宋体"/>
                <w:vanish/>
              </w:rPr>
            </w:pPr>
          </w:p>
        </w:tc>
        <w:tc>
          <w:tcPr>
            <w:tcW w:w="0" w:type="auto"/>
            <w:gridSpan w:val="3"/>
            <w:shd w:val="clear" w:color="auto" w:fill="auto"/>
            <w:vAlign w:val="bottom"/>
          </w:tcPr>
          <w:p w14:paraId="5F2D3E71" w14:textId="77777777" w:rsidR="00E836FB" w:rsidRDefault="00E836FB">
            <w:pPr>
              <w:rPr>
                <w:rFonts w:ascii="宋体"/>
                <w:vanish/>
              </w:rPr>
            </w:pPr>
          </w:p>
        </w:tc>
        <w:tc>
          <w:tcPr>
            <w:tcW w:w="0" w:type="auto"/>
            <w:gridSpan w:val="3"/>
            <w:shd w:val="clear" w:color="auto" w:fill="auto"/>
            <w:vAlign w:val="bottom"/>
          </w:tcPr>
          <w:p w14:paraId="5F2D3E72" w14:textId="77777777" w:rsidR="00E836FB" w:rsidRDefault="00E836FB">
            <w:pPr>
              <w:rPr>
                <w:rFonts w:ascii="宋体"/>
                <w:vanish/>
              </w:rPr>
            </w:pPr>
          </w:p>
        </w:tc>
        <w:tc>
          <w:tcPr>
            <w:tcW w:w="0" w:type="auto"/>
            <w:gridSpan w:val="3"/>
            <w:shd w:val="clear" w:color="auto" w:fill="auto"/>
            <w:vAlign w:val="bottom"/>
          </w:tcPr>
          <w:p w14:paraId="5F2D3E73" w14:textId="77777777" w:rsidR="00E836FB" w:rsidRDefault="00E836FB">
            <w:pPr>
              <w:rPr>
                <w:rFonts w:ascii="宋体"/>
                <w:vanish/>
              </w:rPr>
            </w:pPr>
          </w:p>
        </w:tc>
        <w:tc>
          <w:tcPr>
            <w:tcW w:w="0" w:type="auto"/>
            <w:gridSpan w:val="3"/>
            <w:shd w:val="clear" w:color="auto" w:fill="auto"/>
            <w:vAlign w:val="bottom"/>
          </w:tcPr>
          <w:p w14:paraId="5F2D3E74" w14:textId="77777777" w:rsidR="00E836FB" w:rsidRDefault="00E836FB">
            <w:pPr>
              <w:rPr>
                <w:rFonts w:ascii="宋体"/>
                <w:vanish/>
              </w:rPr>
            </w:pPr>
          </w:p>
        </w:tc>
        <w:tc>
          <w:tcPr>
            <w:tcW w:w="0" w:type="auto"/>
            <w:gridSpan w:val="3"/>
            <w:shd w:val="clear" w:color="auto" w:fill="auto"/>
            <w:vAlign w:val="bottom"/>
          </w:tcPr>
          <w:p w14:paraId="5F2D3E75" w14:textId="77777777" w:rsidR="00E836FB" w:rsidRDefault="00E836FB">
            <w:pPr>
              <w:rPr>
                <w:rFonts w:ascii="宋体"/>
                <w:vanish/>
              </w:rPr>
            </w:pPr>
          </w:p>
        </w:tc>
        <w:tc>
          <w:tcPr>
            <w:tcW w:w="0" w:type="auto"/>
            <w:gridSpan w:val="3"/>
            <w:shd w:val="clear" w:color="auto" w:fill="auto"/>
            <w:vAlign w:val="bottom"/>
          </w:tcPr>
          <w:p w14:paraId="5F2D3E76" w14:textId="77777777" w:rsidR="00E836FB" w:rsidRDefault="00E836FB">
            <w:pPr>
              <w:rPr>
                <w:rFonts w:ascii="宋体"/>
                <w:vanish/>
              </w:rPr>
            </w:pPr>
          </w:p>
        </w:tc>
        <w:tc>
          <w:tcPr>
            <w:tcW w:w="0" w:type="auto"/>
            <w:gridSpan w:val="3"/>
            <w:shd w:val="clear" w:color="auto" w:fill="auto"/>
            <w:vAlign w:val="bottom"/>
          </w:tcPr>
          <w:p w14:paraId="5F2D3E77" w14:textId="77777777" w:rsidR="00E836FB" w:rsidRDefault="00E836FB">
            <w:pPr>
              <w:rPr>
                <w:rFonts w:ascii="宋体"/>
                <w:vanish/>
              </w:rPr>
            </w:pPr>
          </w:p>
        </w:tc>
      </w:tr>
      <w:tr w:rsidR="00E836FB" w14:paraId="5F2D3E85" w14:textId="77777777">
        <w:trPr>
          <w:hidden/>
        </w:trPr>
        <w:tc>
          <w:tcPr>
            <w:tcW w:w="0" w:type="auto"/>
            <w:gridSpan w:val="3"/>
            <w:shd w:val="clear" w:color="auto" w:fill="auto"/>
            <w:vAlign w:val="bottom"/>
          </w:tcPr>
          <w:p w14:paraId="5F2D3E79" w14:textId="77777777" w:rsidR="00E836FB" w:rsidRDefault="00E836FB">
            <w:pPr>
              <w:rPr>
                <w:rFonts w:ascii="宋体"/>
                <w:vanish/>
              </w:rPr>
            </w:pPr>
          </w:p>
        </w:tc>
        <w:tc>
          <w:tcPr>
            <w:tcW w:w="0" w:type="auto"/>
            <w:gridSpan w:val="3"/>
            <w:shd w:val="clear" w:color="auto" w:fill="auto"/>
            <w:vAlign w:val="bottom"/>
          </w:tcPr>
          <w:p w14:paraId="5F2D3E7A" w14:textId="77777777" w:rsidR="00E836FB" w:rsidRDefault="00E836FB">
            <w:pPr>
              <w:rPr>
                <w:rFonts w:ascii="宋体"/>
                <w:vanish/>
              </w:rPr>
            </w:pPr>
          </w:p>
        </w:tc>
        <w:tc>
          <w:tcPr>
            <w:tcW w:w="0" w:type="auto"/>
            <w:gridSpan w:val="3"/>
            <w:shd w:val="clear" w:color="auto" w:fill="auto"/>
            <w:vAlign w:val="bottom"/>
          </w:tcPr>
          <w:p w14:paraId="5F2D3E7B" w14:textId="77777777" w:rsidR="00E836FB" w:rsidRDefault="00E836FB">
            <w:pPr>
              <w:rPr>
                <w:rFonts w:ascii="宋体"/>
                <w:vanish/>
              </w:rPr>
            </w:pPr>
          </w:p>
        </w:tc>
        <w:tc>
          <w:tcPr>
            <w:tcW w:w="0" w:type="auto"/>
            <w:gridSpan w:val="3"/>
            <w:shd w:val="clear" w:color="auto" w:fill="auto"/>
            <w:vAlign w:val="bottom"/>
          </w:tcPr>
          <w:p w14:paraId="5F2D3E7C" w14:textId="77777777" w:rsidR="00E836FB" w:rsidRDefault="00E836FB">
            <w:pPr>
              <w:rPr>
                <w:rFonts w:ascii="宋体"/>
                <w:vanish/>
              </w:rPr>
            </w:pPr>
          </w:p>
        </w:tc>
        <w:tc>
          <w:tcPr>
            <w:tcW w:w="0" w:type="auto"/>
            <w:gridSpan w:val="3"/>
            <w:shd w:val="clear" w:color="auto" w:fill="auto"/>
            <w:vAlign w:val="bottom"/>
          </w:tcPr>
          <w:p w14:paraId="5F2D3E7D" w14:textId="77777777" w:rsidR="00E836FB" w:rsidRDefault="00E836FB">
            <w:pPr>
              <w:rPr>
                <w:rFonts w:ascii="宋体"/>
                <w:vanish/>
              </w:rPr>
            </w:pPr>
          </w:p>
        </w:tc>
        <w:tc>
          <w:tcPr>
            <w:tcW w:w="0" w:type="auto"/>
            <w:gridSpan w:val="3"/>
            <w:shd w:val="clear" w:color="auto" w:fill="auto"/>
            <w:vAlign w:val="bottom"/>
          </w:tcPr>
          <w:p w14:paraId="5F2D3E7E" w14:textId="77777777" w:rsidR="00E836FB" w:rsidRDefault="00E836FB">
            <w:pPr>
              <w:rPr>
                <w:rFonts w:ascii="宋体"/>
                <w:vanish/>
              </w:rPr>
            </w:pPr>
          </w:p>
        </w:tc>
        <w:tc>
          <w:tcPr>
            <w:tcW w:w="0" w:type="auto"/>
            <w:gridSpan w:val="3"/>
            <w:shd w:val="clear" w:color="auto" w:fill="auto"/>
            <w:vAlign w:val="bottom"/>
          </w:tcPr>
          <w:p w14:paraId="5F2D3E7F" w14:textId="77777777" w:rsidR="00E836FB" w:rsidRDefault="00E836FB">
            <w:pPr>
              <w:rPr>
                <w:rFonts w:ascii="宋体"/>
                <w:vanish/>
              </w:rPr>
            </w:pPr>
          </w:p>
        </w:tc>
        <w:tc>
          <w:tcPr>
            <w:tcW w:w="0" w:type="auto"/>
            <w:gridSpan w:val="3"/>
            <w:shd w:val="clear" w:color="auto" w:fill="auto"/>
            <w:vAlign w:val="bottom"/>
          </w:tcPr>
          <w:p w14:paraId="5F2D3E80" w14:textId="77777777" w:rsidR="00E836FB" w:rsidRDefault="00E836FB">
            <w:pPr>
              <w:rPr>
                <w:rFonts w:ascii="宋体"/>
                <w:vanish/>
              </w:rPr>
            </w:pPr>
          </w:p>
        </w:tc>
        <w:tc>
          <w:tcPr>
            <w:tcW w:w="0" w:type="auto"/>
            <w:gridSpan w:val="3"/>
            <w:shd w:val="clear" w:color="auto" w:fill="auto"/>
            <w:vAlign w:val="bottom"/>
          </w:tcPr>
          <w:p w14:paraId="5F2D3E81" w14:textId="77777777" w:rsidR="00E836FB" w:rsidRDefault="00E836FB">
            <w:pPr>
              <w:rPr>
                <w:rFonts w:ascii="宋体"/>
                <w:vanish/>
              </w:rPr>
            </w:pPr>
          </w:p>
        </w:tc>
        <w:tc>
          <w:tcPr>
            <w:tcW w:w="0" w:type="auto"/>
            <w:gridSpan w:val="3"/>
            <w:shd w:val="clear" w:color="auto" w:fill="auto"/>
            <w:vAlign w:val="bottom"/>
          </w:tcPr>
          <w:p w14:paraId="5F2D3E82" w14:textId="77777777" w:rsidR="00E836FB" w:rsidRDefault="00E836FB">
            <w:pPr>
              <w:rPr>
                <w:rFonts w:ascii="宋体"/>
                <w:vanish/>
              </w:rPr>
            </w:pPr>
          </w:p>
        </w:tc>
        <w:tc>
          <w:tcPr>
            <w:tcW w:w="0" w:type="auto"/>
            <w:gridSpan w:val="3"/>
            <w:shd w:val="clear" w:color="auto" w:fill="auto"/>
            <w:vAlign w:val="bottom"/>
          </w:tcPr>
          <w:p w14:paraId="5F2D3E83" w14:textId="77777777" w:rsidR="00E836FB" w:rsidRDefault="00E836FB">
            <w:pPr>
              <w:rPr>
                <w:rFonts w:ascii="宋体"/>
                <w:vanish/>
              </w:rPr>
            </w:pPr>
          </w:p>
        </w:tc>
        <w:tc>
          <w:tcPr>
            <w:tcW w:w="0" w:type="auto"/>
            <w:gridSpan w:val="3"/>
            <w:shd w:val="clear" w:color="auto" w:fill="auto"/>
            <w:vAlign w:val="bottom"/>
          </w:tcPr>
          <w:p w14:paraId="5F2D3E84" w14:textId="77777777" w:rsidR="00E836FB" w:rsidRDefault="00E836FB">
            <w:pPr>
              <w:rPr>
                <w:rFonts w:ascii="宋体"/>
                <w:vanish/>
              </w:rPr>
            </w:pPr>
          </w:p>
        </w:tc>
      </w:tr>
      <w:tr w:rsidR="00E836FB" w14:paraId="5F2D3E88" w14:textId="77777777">
        <w:tc>
          <w:tcPr>
            <w:tcW w:w="0" w:type="auto"/>
            <w:gridSpan w:val="3"/>
            <w:shd w:val="clear" w:color="auto" w:fill="auto"/>
            <w:tcMar>
              <w:top w:w="0" w:type="dxa"/>
              <w:left w:w="20" w:type="dxa"/>
              <w:bottom w:w="0" w:type="dxa"/>
              <w:right w:w="20" w:type="dxa"/>
            </w:tcMar>
            <w:vAlign w:val="bottom"/>
          </w:tcPr>
          <w:p w14:paraId="5F2D3E86" w14:textId="77777777" w:rsidR="00E836FB" w:rsidRDefault="00E836F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F2D3E87" w14:textId="77777777" w:rsidR="00E836FB" w:rsidRDefault="00994958">
            <w:pPr>
              <w:jc w:val="center"/>
              <w:textAlignment w:val="bottom"/>
            </w:pPr>
            <w:r>
              <w:rPr>
                <w:rFonts w:ascii="Arial" w:eastAsia="宋体" w:hAnsi="Arial" w:cs="Arial"/>
                <w:b/>
                <w:bCs/>
                <w:color w:val="000000"/>
                <w:sz w:val="15"/>
                <w:szCs w:val="15"/>
              </w:rPr>
              <w:t>Years Ended December 31,</w:t>
            </w:r>
          </w:p>
        </w:tc>
      </w:tr>
      <w:tr w:rsidR="00E836FB" w14:paraId="5F2D3E8D" w14:textId="77777777">
        <w:tc>
          <w:tcPr>
            <w:tcW w:w="0" w:type="auto"/>
            <w:gridSpan w:val="3"/>
            <w:shd w:val="clear" w:color="auto" w:fill="auto"/>
            <w:tcMar>
              <w:top w:w="0" w:type="dxa"/>
              <w:left w:w="20" w:type="dxa"/>
              <w:bottom w:w="0" w:type="dxa"/>
              <w:right w:w="20" w:type="dxa"/>
            </w:tcMar>
            <w:vAlign w:val="bottom"/>
          </w:tcPr>
          <w:p w14:paraId="5F2D3E89"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3E8A" w14:textId="77777777" w:rsidR="00E836FB" w:rsidRDefault="00994958">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8B"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3E8C" w14:textId="77777777" w:rsidR="00E836FB" w:rsidRDefault="00994958">
            <w:pPr>
              <w:jc w:val="center"/>
              <w:textAlignment w:val="bottom"/>
            </w:pPr>
            <w:r>
              <w:rPr>
                <w:rFonts w:ascii="Arial" w:eastAsia="宋体" w:hAnsi="Arial" w:cs="Arial"/>
                <w:b/>
                <w:bCs/>
                <w:color w:val="000000"/>
                <w:sz w:val="15"/>
                <w:szCs w:val="15"/>
              </w:rPr>
              <w:t>2020</w:t>
            </w:r>
          </w:p>
        </w:tc>
      </w:tr>
      <w:tr w:rsidR="00E836FB" w14:paraId="5F2D3E9A" w14:textId="77777777">
        <w:tc>
          <w:tcPr>
            <w:tcW w:w="0" w:type="auto"/>
            <w:gridSpan w:val="3"/>
            <w:shd w:val="clear" w:color="auto" w:fill="auto"/>
            <w:tcMar>
              <w:top w:w="40" w:type="dxa"/>
              <w:left w:w="20" w:type="dxa"/>
              <w:bottom w:w="40" w:type="dxa"/>
              <w:right w:w="20" w:type="dxa"/>
            </w:tcMar>
            <w:vAlign w:val="bottom"/>
          </w:tcPr>
          <w:p w14:paraId="5F2D3E8E" w14:textId="77777777" w:rsidR="00E836FB" w:rsidRDefault="00994958">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E8F" w14:textId="77777777" w:rsidR="00E836FB" w:rsidRDefault="00994958">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9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E91" w14:textId="77777777" w:rsidR="00E836FB" w:rsidRDefault="00994958">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9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E93" w14:textId="77777777" w:rsidR="00E836FB" w:rsidRDefault="00994958">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5F2D3E9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E95" w14:textId="77777777" w:rsidR="00E836FB" w:rsidRDefault="00994958">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9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E97" w14:textId="77777777" w:rsidR="00E836FB" w:rsidRDefault="00994958">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9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E99" w14:textId="77777777" w:rsidR="00E836FB" w:rsidRDefault="00994958">
            <w:pPr>
              <w:jc w:val="center"/>
              <w:textAlignment w:val="bottom"/>
            </w:pPr>
            <w:r>
              <w:rPr>
                <w:rFonts w:ascii="Arial" w:eastAsia="宋体" w:hAnsi="Arial" w:cs="Arial"/>
                <w:b/>
                <w:bCs/>
                <w:color w:val="000000"/>
                <w:sz w:val="15"/>
                <w:szCs w:val="15"/>
              </w:rPr>
              <w:t>Total</w:t>
            </w:r>
          </w:p>
        </w:tc>
      </w:tr>
      <w:tr w:rsidR="00E836FB" w14:paraId="5F2D3EA7" w14:textId="77777777">
        <w:tc>
          <w:tcPr>
            <w:tcW w:w="0" w:type="auto"/>
            <w:gridSpan w:val="3"/>
            <w:shd w:val="clear" w:color="auto" w:fill="auto"/>
            <w:tcMar>
              <w:top w:w="40" w:type="dxa"/>
              <w:left w:w="20" w:type="dxa"/>
              <w:bottom w:w="40" w:type="dxa"/>
              <w:right w:w="20" w:type="dxa"/>
            </w:tcMar>
            <w:vAlign w:val="bottom"/>
          </w:tcPr>
          <w:p w14:paraId="5F2D3E9B" w14:textId="77777777" w:rsidR="00E836FB" w:rsidRDefault="00994958">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9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E9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9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3E9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EA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EA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EA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EA6" w14:textId="77777777" w:rsidR="00E836FB" w:rsidRDefault="00E836FB">
            <w:pPr>
              <w:rPr>
                <w:rFonts w:ascii="宋体"/>
              </w:rPr>
            </w:pPr>
          </w:p>
        </w:tc>
      </w:tr>
      <w:tr w:rsidR="00E836FB" w14:paraId="5F2D3EC0" w14:textId="77777777">
        <w:tc>
          <w:tcPr>
            <w:tcW w:w="0" w:type="auto"/>
            <w:gridSpan w:val="3"/>
            <w:shd w:val="clear" w:color="auto" w:fill="CCEEFF"/>
            <w:tcMar>
              <w:top w:w="40" w:type="dxa"/>
              <w:left w:w="20" w:type="dxa"/>
              <w:bottom w:w="40" w:type="dxa"/>
              <w:right w:w="20" w:type="dxa"/>
            </w:tcMar>
            <w:vAlign w:val="bottom"/>
          </w:tcPr>
          <w:p w14:paraId="5F2D3EA8" w14:textId="77777777" w:rsidR="00E836FB" w:rsidRDefault="00994958">
            <w:pPr>
              <w:textAlignment w:val="bottom"/>
            </w:pPr>
            <w:r>
              <w:rPr>
                <w:rFonts w:ascii="Arial" w:eastAsia="宋体" w:hAnsi="Arial" w:cs="Arial"/>
                <w:color w:val="000000"/>
                <w:sz w:val="15"/>
                <w:szCs w:val="15"/>
              </w:rPr>
              <w:t>Series C</w:t>
            </w:r>
          </w:p>
        </w:tc>
        <w:tc>
          <w:tcPr>
            <w:tcW w:w="0" w:type="auto"/>
            <w:shd w:val="clear" w:color="auto" w:fill="CCEEFF"/>
            <w:tcMar>
              <w:top w:w="40" w:type="dxa"/>
              <w:left w:w="20" w:type="dxa"/>
              <w:bottom w:w="40" w:type="dxa"/>
              <w:right w:w="0" w:type="dxa"/>
            </w:tcMar>
            <w:vAlign w:val="bottom"/>
          </w:tcPr>
          <w:p w14:paraId="5F2D3EA9"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EAA"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E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A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EAD"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EAE"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EA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B0"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EB1" w14:textId="77777777" w:rsidR="00E836FB" w:rsidRDefault="00994958">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F2D3EB2" w14:textId="77777777" w:rsidR="00E836FB" w:rsidRDefault="00994958">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E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B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EB5"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EB6" w14:textId="77777777" w:rsidR="00E836FB" w:rsidRDefault="00994958">
            <w:pPr>
              <w:jc w:val="right"/>
              <w:textAlignment w:val="bottom"/>
            </w:pPr>
            <w:r>
              <w:rPr>
                <w:rFonts w:ascii="Arial" w:eastAsia="宋体" w:hAnsi="Arial" w:cs="Arial"/>
                <w:color w:val="000000"/>
                <w:sz w:val="15"/>
                <w:szCs w:val="15"/>
              </w:rPr>
              <w:t>1,313 </w:t>
            </w:r>
          </w:p>
        </w:tc>
        <w:tc>
          <w:tcPr>
            <w:tcW w:w="0" w:type="auto"/>
            <w:shd w:val="clear" w:color="auto" w:fill="CCEEFF"/>
            <w:tcMar>
              <w:top w:w="40" w:type="dxa"/>
              <w:left w:w="0" w:type="dxa"/>
              <w:bottom w:w="40" w:type="dxa"/>
              <w:right w:w="20" w:type="dxa"/>
            </w:tcMar>
            <w:vAlign w:val="bottom"/>
          </w:tcPr>
          <w:p w14:paraId="5F2D3E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B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EB9"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EBA" w14:textId="77777777" w:rsidR="00E836FB" w:rsidRDefault="00994958">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5F2D3E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B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3EBD" w14:textId="77777777" w:rsidR="00E836FB" w:rsidRDefault="00994958">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F2D3EBE" w14:textId="77777777" w:rsidR="00E836FB" w:rsidRDefault="00994958">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5F2D3EBF" w14:textId="77777777" w:rsidR="00E836FB" w:rsidRDefault="00E836FB">
            <w:pPr>
              <w:jc w:val="right"/>
              <w:rPr>
                <w:rFonts w:ascii="宋体"/>
              </w:rPr>
            </w:pPr>
          </w:p>
        </w:tc>
      </w:tr>
      <w:tr w:rsidR="00E836FB" w14:paraId="5F2D3ED3" w14:textId="77777777">
        <w:tc>
          <w:tcPr>
            <w:tcW w:w="0" w:type="auto"/>
            <w:gridSpan w:val="3"/>
            <w:shd w:val="clear" w:color="auto" w:fill="FFFFFF"/>
            <w:tcMar>
              <w:top w:w="40" w:type="dxa"/>
              <w:left w:w="20" w:type="dxa"/>
              <w:bottom w:w="40" w:type="dxa"/>
              <w:right w:w="20" w:type="dxa"/>
            </w:tcMar>
            <w:vAlign w:val="bottom"/>
          </w:tcPr>
          <w:p w14:paraId="5F2D3EC1" w14:textId="77777777" w:rsidR="00E836FB" w:rsidRDefault="00994958">
            <w:pPr>
              <w:textAlignment w:val="bottom"/>
            </w:pPr>
            <w:r>
              <w:rPr>
                <w:rFonts w:ascii="Arial" w:eastAsia="宋体" w:hAnsi="Arial" w:cs="Arial"/>
                <w:color w:val="000000"/>
                <w:sz w:val="15"/>
                <w:szCs w:val="15"/>
              </w:rPr>
              <w:t>Series D</w:t>
            </w:r>
          </w:p>
        </w:tc>
        <w:tc>
          <w:tcPr>
            <w:tcW w:w="0" w:type="auto"/>
            <w:gridSpan w:val="2"/>
            <w:shd w:val="clear" w:color="auto" w:fill="FFFFFF"/>
            <w:tcMar>
              <w:top w:w="40" w:type="dxa"/>
              <w:left w:w="20" w:type="dxa"/>
              <w:bottom w:w="40" w:type="dxa"/>
              <w:right w:w="0" w:type="dxa"/>
            </w:tcMar>
            <w:vAlign w:val="bottom"/>
          </w:tcPr>
          <w:p w14:paraId="5F2D3EC2" w14:textId="77777777" w:rsidR="00E836FB" w:rsidRDefault="00994958">
            <w:pPr>
              <w:jc w:val="right"/>
              <w:textAlignment w:val="bottom"/>
            </w:pPr>
            <w:r>
              <w:rPr>
                <w:rFonts w:ascii="Arial" w:eastAsia="宋体" w:hAnsi="Arial" w:cs="Arial"/>
                <w:b/>
                <w:bCs/>
                <w:color w:val="000000"/>
                <w:sz w:val="15"/>
                <w:szCs w:val="15"/>
              </w:rPr>
              <w:t>5,900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E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EC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EC5" w14:textId="77777777" w:rsidR="00E836FB" w:rsidRDefault="00994958">
            <w:pPr>
              <w:jc w:val="right"/>
              <w:textAlignment w:val="bottom"/>
            </w:pPr>
            <w:r>
              <w:rPr>
                <w:rFonts w:ascii="Arial" w:eastAsia="宋体" w:hAnsi="Arial" w:cs="Arial"/>
                <w:b/>
                <w:bCs/>
                <w:color w:val="000000"/>
                <w:sz w:val="15"/>
                <w:szCs w:val="15"/>
              </w:rPr>
              <w:t>1.48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E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E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EC8" w14:textId="77777777" w:rsidR="00E836FB" w:rsidRDefault="00994958">
            <w:pPr>
              <w:jc w:val="right"/>
              <w:textAlignment w:val="bottom"/>
            </w:pPr>
            <w:r>
              <w:rPr>
                <w:rFonts w:ascii="Arial" w:eastAsia="宋体" w:hAnsi="Arial" w:cs="Arial"/>
                <w:b/>
                <w:bCs/>
                <w:color w:val="000000"/>
                <w:sz w:val="15"/>
                <w:szCs w:val="15"/>
              </w:rPr>
              <w:t>44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EC9"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3ECA"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3ECB" w14:textId="77777777" w:rsidR="00E836FB" w:rsidRDefault="00994958">
            <w:pPr>
              <w:jc w:val="right"/>
              <w:textAlignment w:val="bottom"/>
            </w:pPr>
            <w:r>
              <w:rPr>
                <w:rFonts w:ascii="Arial" w:eastAsia="宋体" w:hAnsi="Arial" w:cs="Arial"/>
                <w:color w:val="000000"/>
                <w:sz w:val="15"/>
                <w:szCs w:val="15"/>
              </w:rPr>
              <w:t>5,900 </w:t>
            </w:r>
          </w:p>
        </w:tc>
        <w:tc>
          <w:tcPr>
            <w:tcW w:w="0" w:type="auto"/>
            <w:shd w:val="clear" w:color="auto" w:fill="auto"/>
            <w:tcMar>
              <w:top w:w="40" w:type="dxa"/>
              <w:left w:w="0" w:type="dxa"/>
              <w:bottom w:w="40" w:type="dxa"/>
              <w:right w:w="20" w:type="dxa"/>
            </w:tcMar>
            <w:vAlign w:val="bottom"/>
          </w:tcPr>
          <w:p w14:paraId="5F2D3ECC"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3ECD"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3ECE" w14:textId="77777777" w:rsidR="00E836FB" w:rsidRDefault="00994958">
            <w:pPr>
              <w:jc w:val="right"/>
              <w:textAlignment w:val="bottom"/>
            </w:pPr>
            <w:r>
              <w:rPr>
                <w:rFonts w:ascii="Arial" w:eastAsia="宋体" w:hAnsi="Arial" w:cs="Arial"/>
                <w:color w:val="000000"/>
                <w:sz w:val="15"/>
                <w:szCs w:val="15"/>
              </w:rPr>
              <w:t>1.48 </w:t>
            </w:r>
          </w:p>
        </w:tc>
        <w:tc>
          <w:tcPr>
            <w:tcW w:w="0" w:type="auto"/>
            <w:shd w:val="clear" w:color="auto" w:fill="auto"/>
            <w:tcMar>
              <w:top w:w="40" w:type="dxa"/>
              <w:left w:w="0" w:type="dxa"/>
              <w:bottom w:w="40" w:type="dxa"/>
              <w:right w:w="20" w:type="dxa"/>
            </w:tcMar>
            <w:vAlign w:val="bottom"/>
          </w:tcPr>
          <w:p w14:paraId="5F2D3ECF"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3ED0"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3ED1" w14:textId="77777777" w:rsidR="00E836FB" w:rsidRDefault="00994958">
            <w:pPr>
              <w:jc w:val="right"/>
              <w:textAlignment w:val="bottom"/>
            </w:pPr>
            <w:r>
              <w:rPr>
                <w:rFonts w:ascii="Arial" w:eastAsia="宋体" w:hAnsi="Arial" w:cs="Arial"/>
                <w:color w:val="000000"/>
                <w:sz w:val="15"/>
                <w:szCs w:val="15"/>
              </w:rPr>
              <w:t>44 </w:t>
            </w:r>
          </w:p>
        </w:tc>
        <w:tc>
          <w:tcPr>
            <w:tcW w:w="0" w:type="auto"/>
            <w:shd w:val="clear" w:color="auto" w:fill="auto"/>
            <w:tcMar>
              <w:top w:w="40" w:type="dxa"/>
              <w:left w:w="0" w:type="dxa"/>
              <w:bottom w:w="40" w:type="dxa"/>
              <w:right w:w="20" w:type="dxa"/>
            </w:tcMar>
            <w:vAlign w:val="bottom"/>
          </w:tcPr>
          <w:p w14:paraId="5F2D3ED2" w14:textId="77777777" w:rsidR="00E836FB" w:rsidRDefault="00E836FB">
            <w:pPr>
              <w:jc w:val="right"/>
              <w:rPr>
                <w:rFonts w:ascii="宋体"/>
              </w:rPr>
            </w:pPr>
          </w:p>
        </w:tc>
      </w:tr>
      <w:tr w:rsidR="00E836FB" w14:paraId="5F2D3EE0" w14:textId="77777777">
        <w:trPr>
          <w:hidden/>
        </w:trPr>
        <w:tc>
          <w:tcPr>
            <w:tcW w:w="0" w:type="auto"/>
            <w:gridSpan w:val="3"/>
            <w:shd w:val="clear" w:color="auto" w:fill="auto"/>
            <w:vAlign w:val="bottom"/>
          </w:tcPr>
          <w:p w14:paraId="5F2D3ED4" w14:textId="77777777" w:rsidR="00E836FB" w:rsidRDefault="00E836FB">
            <w:pPr>
              <w:rPr>
                <w:rFonts w:ascii="宋体"/>
                <w:vanish/>
              </w:rPr>
            </w:pPr>
          </w:p>
        </w:tc>
        <w:tc>
          <w:tcPr>
            <w:tcW w:w="0" w:type="auto"/>
            <w:gridSpan w:val="3"/>
            <w:shd w:val="clear" w:color="auto" w:fill="auto"/>
            <w:vAlign w:val="bottom"/>
          </w:tcPr>
          <w:p w14:paraId="5F2D3ED5" w14:textId="77777777" w:rsidR="00E836FB" w:rsidRDefault="00E836FB">
            <w:pPr>
              <w:rPr>
                <w:rFonts w:ascii="宋体"/>
                <w:vanish/>
              </w:rPr>
            </w:pPr>
          </w:p>
        </w:tc>
        <w:tc>
          <w:tcPr>
            <w:tcW w:w="0" w:type="auto"/>
            <w:gridSpan w:val="3"/>
            <w:shd w:val="clear" w:color="auto" w:fill="auto"/>
            <w:vAlign w:val="bottom"/>
          </w:tcPr>
          <w:p w14:paraId="5F2D3ED6" w14:textId="77777777" w:rsidR="00E836FB" w:rsidRDefault="00E836FB">
            <w:pPr>
              <w:rPr>
                <w:rFonts w:ascii="宋体"/>
                <w:vanish/>
              </w:rPr>
            </w:pPr>
          </w:p>
        </w:tc>
        <w:tc>
          <w:tcPr>
            <w:tcW w:w="0" w:type="auto"/>
            <w:gridSpan w:val="3"/>
            <w:shd w:val="clear" w:color="auto" w:fill="auto"/>
            <w:vAlign w:val="bottom"/>
          </w:tcPr>
          <w:p w14:paraId="5F2D3ED7" w14:textId="77777777" w:rsidR="00E836FB" w:rsidRDefault="00E836FB">
            <w:pPr>
              <w:rPr>
                <w:rFonts w:ascii="宋体"/>
                <w:vanish/>
              </w:rPr>
            </w:pPr>
          </w:p>
        </w:tc>
        <w:tc>
          <w:tcPr>
            <w:tcW w:w="0" w:type="auto"/>
            <w:gridSpan w:val="3"/>
            <w:shd w:val="clear" w:color="auto" w:fill="auto"/>
            <w:vAlign w:val="bottom"/>
          </w:tcPr>
          <w:p w14:paraId="5F2D3ED8" w14:textId="77777777" w:rsidR="00E836FB" w:rsidRDefault="00E836FB">
            <w:pPr>
              <w:rPr>
                <w:rFonts w:ascii="宋体"/>
                <w:vanish/>
              </w:rPr>
            </w:pPr>
          </w:p>
        </w:tc>
        <w:tc>
          <w:tcPr>
            <w:tcW w:w="0" w:type="auto"/>
            <w:gridSpan w:val="3"/>
            <w:shd w:val="clear" w:color="auto" w:fill="auto"/>
            <w:vAlign w:val="bottom"/>
          </w:tcPr>
          <w:p w14:paraId="5F2D3ED9" w14:textId="77777777" w:rsidR="00E836FB" w:rsidRDefault="00E836FB">
            <w:pPr>
              <w:rPr>
                <w:rFonts w:ascii="宋体"/>
                <w:vanish/>
              </w:rPr>
            </w:pPr>
          </w:p>
        </w:tc>
        <w:tc>
          <w:tcPr>
            <w:tcW w:w="0" w:type="auto"/>
            <w:gridSpan w:val="3"/>
            <w:shd w:val="clear" w:color="auto" w:fill="auto"/>
            <w:vAlign w:val="bottom"/>
          </w:tcPr>
          <w:p w14:paraId="5F2D3EDA" w14:textId="77777777" w:rsidR="00E836FB" w:rsidRDefault="00E836FB">
            <w:pPr>
              <w:rPr>
                <w:rFonts w:ascii="宋体"/>
                <w:vanish/>
              </w:rPr>
            </w:pPr>
          </w:p>
        </w:tc>
        <w:tc>
          <w:tcPr>
            <w:tcW w:w="0" w:type="auto"/>
            <w:gridSpan w:val="3"/>
            <w:shd w:val="clear" w:color="auto" w:fill="auto"/>
            <w:vAlign w:val="bottom"/>
          </w:tcPr>
          <w:p w14:paraId="5F2D3EDB" w14:textId="77777777" w:rsidR="00E836FB" w:rsidRDefault="00E836FB">
            <w:pPr>
              <w:rPr>
                <w:rFonts w:ascii="宋体"/>
                <w:vanish/>
              </w:rPr>
            </w:pPr>
          </w:p>
        </w:tc>
        <w:tc>
          <w:tcPr>
            <w:tcW w:w="0" w:type="auto"/>
            <w:gridSpan w:val="3"/>
            <w:shd w:val="clear" w:color="auto" w:fill="auto"/>
            <w:vAlign w:val="bottom"/>
          </w:tcPr>
          <w:p w14:paraId="5F2D3EDC" w14:textId="77777777" w:rsidR="00E836FB" w:rsidRDefault="00E836FB">
            <w:pPr>
              <w:rPr>
                <w:rFonts w:ascii="宋体"/>
                <w:vanish/>
              </w:rPr>
            </w:pPr>
          </w:p>
        </w:tc>
        <w:tc>
          <w:tcPr>
            <w:tcW w:w="0" w:type="auto"/>
            <w:gridSpan w:val="3"/>
            <w:shd w:val="clear" w:color="auto" w:fill="auto"/>
            <w:vAlign w:val="bottom"/>
          </w:tcPr>
          <w:p w14:paraId="5F2D3EDD" w14:textId="77777777" w:rsidR="00E836FB" w:rsidRDefault="00E836FB">
            <w:pPr>
              <w:rPr>
                <w:rFonts w:ascii="宋体"/>
                <w:vanish/>
              </w:rPr>
            </w:pPr>
          </w:p>
        </w:tc>
        <w:tc>
          <w:tcPr>
            <w:tcW w:w="0" w:type="auto"/>
            <w:gridSpan w:val="3"/>
            <w:shd w:val="clear" w:color="auto" w:fill="auto"/>
            <w:vAlign w:val="bottom"/>
          </w:tcPr>
          <w:p w14:paraId="5F2D3EDE" w14:textId="77777777" w:rsidR="00E836FB" w:rsidRDefault="00E836FB">
            <w:pPr>
              <w:rPr>
                <w:rFonts w:ascii="宋体"/>
                <w:vanish/>
              </w:rPr>
            </w:pPr>
          </w:p>
        </w:tc>
        <w:tc>
          <w:tcPr>
            <w:tcW w:w="0" w:type="auto"/>
            <w:gridSpan w:val="3"/>
            <w:shd w:val="clear" w:color="auto" w:fill="auto"/>
            <w:vAlign w:val="bottom"/>
          </w:tcPr>
          <w:p w14:paraId="5F2D3EDF" w14:textId="77777777" w:rsidR="00E836FB" w:rsidRDefault="00E836FB">
            <w:pPr>
              <w:rPr>
                <w:rFonts w:ascii="宋体"/>
                <w:vanish/>
              </w:rPr>
            </w:pPr>
          </w:p>
        </w:tc>
      </w:tr>
      <w:tr w:rsidR="00E836FB" w14:paraId="5F2D3EF3" w14:textId="77777777">
        <w:tc>
          <w:tcPr>
            <w:tcW w:w="0" w:type="auto"/>
            <w:gridSpan w:val="3"/>
            <w:shd w:val="clear" w:color="auto" w:fill="CCEEFF"/>
            <w:tcMar>
              <w:top w:w="40" w:type="dxa"/>
              <w:left w:w="20" w:type="dxa"/>
              <w:bottom w:w="40" w:type="dxa"/>
              <w:right w:w="20" w:type="dxa"/>
            </w:tcMar>
            <w:vAlign w:val="bottom"/>
          </w:tcPr>
          <w:p w14:paraId="5F2D3EE1" w14:textId="77777777" w:rsidR="00E836FB" w:rsidRDefault="00994958">
            <w:pPr>
              <w:textAlignment w:val="bottom"/>
            </w:pPr>
            <w:r>
              <w:rPr>
                <w:rFonts w:ascii="Arial" w:eastAsia="宋体" w:hAnsi="Arial" w:cs="Arial"/>
                <w:color w:val="000000"/>
                <w:sz w:val="15"/>
                <w:szCs w:val="15"/>
              </w:rPr>
              <w:t>Series F</w:t>
            </w:r>
          </w:p>
        </w:tc>
        <w:tc>
          <w:tcPr>
            <w:tcW w:w="0" w:type="auto"/>
            <w:gridSpan w:val="2"/>
            <w:shd w:val="clear" w:color="auto" w:fill="CCEEFF"/>
            <w:tcMar>
              <w:top w:w="40" w:type="dxa"/>
              <w:left w:w="20" w:type="dxa"/>
              <w:bottom w:w="40" w:type="dxa"/>
              <w:right w:w="0" w:type="dxa"/>
            </w:tcMar>
            <w:vAlign w:val="bottom"/>
          </w:tcPr>
          <w:p w14:paraId="5F2D3EE2" w14:textId="77777777" w:rsidR="00E836FB" w:rsidRDefault="00994958">
            <w:pPr>
              <w:jc w:val="right"/>
              <w:textAlignment w:val="bottom"/>
            </w:pPr>
            <w:r>
              <w:rPr>
                <w:rFonts w:ascii="Arial" w:eastAsia="宋体" w:hAnsi="Arial" w:cs="Arial"/>
                <w:b/>
                <w:bCs/>
                <w:color w:val="000000"/>
                <w:sz w:val="15"/>
                <w:szCs w:val="15"/>
              </w:rPr>
              <w:t>3,808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EE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E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EE5" w14:textId="77777777" w:rsidR="00E836FB" w:rsidRDefault="00994958">
            <w:pPr>
              <w:jc w:val="right"/>
              <w:textAlignment w:val="bottom"/>
            </w:pPr>
            <w:r>
              <w:rPr>
                <w:rFonts w:ascii="Arial" w:eastAsia="宋体" w:hAnsi="Arial" w:cs="Arial"/>
                <w:b/>
                <w:bCs/>
                <w:color w:val="000000"/>
                <w:sz w:val="15"/>
                <w:szCs w:val="15"/>
              </w:rPr>
              <w:t>38.08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EE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E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EE8" w14:textId="77777777" w:rsidR="00E836FB" w:rsidRDefault="00994958">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E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E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EEB" w14:textId="77777777" w:rsidR="00E836FB" w:rsidRDefault="00994958">
            <w:pPr>
              <w:jc w:val="right"/>
              <w:textAlignment w:val="bottom"/>
            </w:pPr>
            <w:r>
              <w:rPr>
                <w:rFonts w:ascii="Arial" w:eastAsia="宋体" w:hAnsi="Arial" w:cs="Arial"/>
                <w:color w:val="000000"/>
                <w:sz w:val="15"/>
                <w:szCs w:val="15"/>
              </w:rPr>
              <w:t>6,223 </w:t>
            </w:r>
          </w:p>
        </w:tc>
        <w:tc>
          <w:tcPr>
            <w:tcW w:w="0" w:type="auto"/>
            <w:shd w:val="clear" w:color="auto" w:fill="CCEEFF"/>
            <w:tcMar>
              <w:top w:w="40" w:type="dxa"/>
              <w:left w:w="0" w:type="dxa"/>
              <w:bottom w:w="40" w:type="dxa"/>
              <w:right w:w="20" w:type="dxa"/>
            </w:tcMar>
            <w:vAlign w:val="bottom"/>
          </w:tcPr>
          <w:p w14:paraId="5F2D3E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EEE" w14:textId="77777777" w:rsidR="00E836FB" w:rsidRDefault="00994958">
            <w:pPr>
              <w:jc w:val="right"/>
              <w:textAlignment w:val="bottom"/>
            </w:pPr>
            <w:r>
              <w:rPr>
                <w:rFonts w:ascii="Arial" w:eastAsia="宋体" w:hAnsi="Arial" w:cs="Arial"/>
                <w:color w:val="000000"/>
                <w:sz w:val="15"/>
                <w:szCs w:val="15"/>
              </w:rPr>
              <w:t>62.23 </w:t>
            </w:r>
          </w:p>
        </w:tc>
        <w:tc>
          <w:tcPr>
            <w:tcW w:w="0" w:type="auto"/>
            <w:shd w:val="clear" w:color="auto" w:fill="CCEEFF"/>
            <w:tcMar>
              <w:top w:w="40" w:type="dxa"/>
              <w:left w:w="0" w:type="dxa"/>
              <w:bottom w:w="40" w:type="dxa"/>
              <w:right w:w="20" w:type="dxa"/>
            </w:tcMar>
            <w:vAlign w:val="bottom"/>
          </w:tcPr>
          <w:p w14:paraId="5F2D3E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E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EF1" w14:textId="77777777" w:rsidR="00E836FB" w:rsidRDefault="00994958">
            <w:pPr>
              <w:jc w:val="right"/>
              <w:textAlignment w:val="bottom"/>
            </w:pPr>
            <w:r>
              <w:rPr>
                <w:rFonts w:ascii="Arial" w:eastAsia="宋体" w:hAnsi="Arial" w:cs="Arial"/>
                <w:color w:val="000000"/>
                <w:sz w:val="15"/>
                <w:szCs w:val="15"/>
              </w:rPr>
              <w:t>47 </w:t>
            </w:r>
          </w:p>
        </w:tc>
        <w:tc>
          <w:tcPr>
            <w:tcW w:w="0" w:type="auto"/>
            <w:shd w:val="clear" w:color="auto" w:fill="CCEEFF"/>
            <w:tcMar>
              <w:top w:w="40" w:type="dxa"/>
              <w:left w:w="0" w:type="dxa"/>
              <w:bottom w:w="40" w:type="dxa"/>
              <w:right w:w="20" w:type="dxa"/>
            </w:tcMar>
            <w:vAlign w:val="bottom"/>
          </w:tcPr>
          <w:p w14:paraId="5F2D3EF2" w14:textId="77777777" w:rsidR="00E836FB" w:rsidRDefault="00E836FB">
            <w:pPr>
              <w:jc w:val="right"/>
              <w:rPr>
                <w:rFonts w:ascii="宋体"/>
              </w:rPr>
            </w:pPr>
          </w:p>
        </w:tc>
      </w:tr>
      <w:tr w:rsidR="00E836FB" w14:paraId="5F2D3F06" w14:textId="77777777">
        <w:tc>
          <w:tcPr>
            <w:tcW w:w="0" w:type="auto"/>
            <w:gridSpan w:val="3"/>
            <w:shd w:val="clear" w:color="auto" w:fill="FFFFFF"/>
            <w:tcMar>
              <w:top w:w="40" w:type="dxa"/>
              <w:left w:w="20" w:type="dxa"/>
              <w:bottom w:w="40" w:type="dxa"/>
              <w:right w:w="20" w:type="dxa"/>
            </w:tcMar>
            <w:vAlign w:val="bottom"/>
          </w:tcPr>
          <w:p w14:paraId="5F2D3EF4" w14:textId="77777777" w:rsidR="00E836FB" w:rsidRDefault="00994958">
            <w:pPr>
              <w:textAlignment w:val="bottom"/>
            </w:pPr>
            <w:r>
              <w:rPr>
                <w:rFonts w:ascii="Arial" w:eastAsia="宋体" w:hAnsi="Arial" w:cs="Arial"/>
                <w:color w:val="000000"/>
                <w:sz w:val="15"/>
                <w:szCs w:val="15"/>
              </w:rPr>
              <w:t>Series G</w:t>
            </w:r>
          </w:p>
        </w:tc>
        <w:tc>
          <w:tcPr>
            <w:tcW w:w="0" w:type="auto"/>
            <w:gridSpan w:val="2"/>
            <w:shd w:val="clear" w:color="auto" w:fill="FFFFFF"/>
            <w:tcMar>
              <w:top w:w="40" w:type="dxa"/>
              <w:left w:w="20" w:type="dxa"/>
              <w:bottom w:w="40" w:type="dxa"/>
              <w:right w:w="0" w:type="dxa"/>
            </w:tcMar>
            <w:vAlign w:val="bottom"/>
          </w:tcPr>
          <w:p w14:paraId="5F2D3EF5" w14:textId="77777777" w:rsidR="00E836FB" w:rsidRDefault="00994958">
            <w:pPr>
              <w:jc w:val="right"/>
              <w:textAlignment w:val="bottom"/>
            </w:pPr>
            <w:r>
              <w:rPr>
                <w:rFonts w:ascii="Arial" w:eastAsia="宋体" w:hAnsi="Arial" w:cs="Arial"/>
                <w:b/>
                <w:bCs/>
                <w:color w:val="000000"/>
                <w:sz w:val="15"/>
                <w:szCs w:val="15"/>
              </w:rPr>
              <w:t>5,352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E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E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EF8" w14:textId="77777777" w:rsidR="00E836FB" w:rsidRDefault="00994958">
            <w:pPr>
              <w:jc w:val="right"/>
              <w:textAlignment w:val="bottom"/>
            </w:pPr>
            <w:r>
              <w:rPr>
                <w:rFonts w:ascii="Arial" w:eastAsia="宋体" w:hAnsi="Arial" w:cs="Arial"/>
                <w:b/>
                <w:bCs/>
                <w:color w:val="000000"/>
                <w:sz w:val="15"/>
                <w:szCs w:val="15"/>
              </w:rPr>
              <w:t>1.32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E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3E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3EFB" w14:textId="77777777" w:rsidR="00E836FB" w:rsidRDefault="00994958">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F2D3EFC"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3EFD"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3EFE" w14:textId="77777777" w:rsidR="00E836FB" w:rsidRDefault="00994958">
            <w:pPr>
              <w:jc w:val="right"/>
              <w:textAlignment w:val="bottom"/>
            </w:pPr>
            <w:r>
              <w:rPr>
                <w:rFonts w:ascii="Arial" w:eastAsia="宋体" w:hAnsi="Arial" w:cs="Arial"/>
                <w:color w:val="000000"/>
                <w:sz w:val="15"/>
                <w:szCs w:val="15"/>
              </w:rPr>
              <w:t>5,352 </w:t>
            </w:r>
          </w:p>
        </w:tc>
        <w:tc>
          <w:tcPr>
            <w:tcW w:w="0" w:type="auto"/>
            <w:shd w:val="clear" w:color="auto" w:fill="auto"/>
            <w:tcMar>
              <w:top w:w="40" w:type="dxa"/>
              <w:left w:w="0" w:type="dxa"/>
              <w:bottom w:w="40" w:type="dxa"/>
              <w:right w:w="20" w:type="dxa"/>
            </w:tcMar>
            <w:vAlign w:val="bottom"/>
          </w:tcPr>
          <w:p w14:paraId="5F2D3EFF"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3F00"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3F01" w14:textId="77777777" w:rsidR="00E836FB" w:rsidRDefault="00994958">
            <w:pPr>
              <w:jc w:val="right"/>
              <w:textAlignment w:val="bottom"/>
            </w:pPr>
            <w:r>
              <w:rPr>
                <w:rFonts w:ascii="Arial" w:eastAsia="宋体" w:hAnsi="Arial" w:cs="Arial"/>
                <w:color w:val="000000"/>
                <w:sz w:val="15"/>
                <w:szCs w:val="15"/>
              </w:rPr>
              <w:t>1.32 </w:t>
            </w:r>
          </w:p>
        </w:tc>
        <w:tc>
          <w:tcPr>
            <w:tcW w:w="0" w:type="auto"/>
            <w:shd w:val="clear" w:color="auto" w:fill="auto"/>
            <w:tcMar>
              <w:top w:w="40" w:type="dxa"/>
              <w:left w:w="0" w:type="dxa"/>
              <w:bottom w:w="40" w:type="dxa"/>
              <w:right w:w="20" w:type="dxa"/>
            </w:tcMar>
            <w:vAlign w:val="bottom"/>
          </w:tcPr>
          <w:p w14:paraId="5F2D3F02"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3F03"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3F04" w14:textId="77777777" w:rsidR="00E836FB" w:rsidRDefault="00994958">
            <w:pPr>
              <w:jc w:val="right"/>
              <w:textAlignment w:val="bottom"/>
            </w:pPr>
            <w:r>
              <w:rPr>
                <w:rFonts w:ascii="Arial" w:eastAsia="宋体" w:hAnsi="Arial" w:cs="Arial"/>
                <w:color w:val="000000"/>
                <w:sz w:val="15"/>
                <w:szCs w:val="15"/>
              </w:rPr>
              <w:t>27 </w:t>
            </w:r>
          </w:p>
        </w:tc>
        <w:tc>
          <w:tcPr>
            <w:tcW w:w="0" w:type="auto"/>
            <w:shd w:val="clear" w:color="auto" w:fill="auto"/>
            <w:tcMar>
              <w:top w:w="40" w:type="dxa"/>
              <w:left w:w="0" w:type="dxa"/>
              <w:bottom w:w="40" w:type="dxa"/>
              <w:right w:w="20" w:type="dxa"/>
            </w:tcMar>
            <w:vAlign w:val="bottom"/>
          </w:tcPr>
          <w:p w14:paraId="5F2D3F05" w14:textId="77777777" w:rsidR="00E836FB" w:rsidRDefault="00E836FB">
            <w:pPr>
              <w:jc w:val="right"/>
              <w:rPr>
                <w:rFonts w:ascii="宋体"/>
              </w:rPr>
            </w:pPr>
          </w:p>
        </w:tc>
      </w:tr>
      <w:tr w:rsidR="00E836FB" w14:paraId="5F2D3F19" w14:textId="77777777">
        <w:tc>
          <w:tcPr>
            <w:tcW w:w="0" w:type="auto"/>
            <w:gridSpan w:val="3"/>
            <w:shd w:val="clear" w:color="auto" w:fill="CCEEFF"/>
            <w:tcMar>
              <w:top w:w="40" w:type="dxa"/>
              <w:left w:w="20" w:type="dxa"/>
              <w:bottom w:w="40" w:type="dxa"/>
              <w:right w:w="20" w:type="dxa"/>
            </w:tcMar>
            <w:vAlign w:val="bottom"/>
          </w:tcPr>
          <w:p w14:paraId="5F2D3F07" w14:textId="77777777" w:rsidR="00E836FB" w:rsidRDefault="00994958">
            <w:pPr>
              <w:textAlignment w:val="bottom"/>
            </w:pPr>
            <w:r>
              <w:rPr>
                <w:rFonts w:ascii="Arial" w:eastAsia="宋体" w:hAnsi="Arial" w:cs="Arial"/>
                <w:color w:val="000000"/>
                <w:sz w:val="15"/>
                <w:szCs w:val="15"/>
              </w:rPr>
              <w:t>Series H</w:t>
            </w:r>
          </w:p>
        </w:tc>
        <w:tc>
          <w:tcPr>
            <w:tcW w:w="0" w:type="auto"/>
            <w:gridSpan w:val="2"/>
            <w:shd w:val="clear" w:color="auto" w:fill="CCEEFF"/>
            <w:tcMar>
              <w:top w:w="40" w:type="dxa"/>
              <w:left w:w="20" w:type="dxa"/>
              <w:bottom w:w="40" w:type="dxa"/>
              <w:right w:w="0" w:type="dxa"/>
            </w:tcMar>
            <w:vAlign w:val="bottom"/>
          </w:tcPr>
          <w:p w14:paraId="5F2D3F08" w14:textId="77777777" w:rsidR="00E836FB" w:rsidRDefault="00994958">
            <w:pPr>
              <w:jc w:val="right"/>
              <w:textAlignment w:val="bottom"/>
            </w:pPr>
            <w:r>
              <w:rPr>
                <w:rFonts w:ascii="Arial" w:eastAsia="宋体" w:hAnsi="Arial" w:cs="Arial"/>
                <w:b/>
                <w:bCs/>
                <w:color w:val="000000"/>
                <w:sz w:val="15"/>
                <w:szCs w:val="15"/>
              </w:rPr>
              <w:t>5,625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F0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F0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F0B" w14:textId="77777777" w:rsidR="00E836FB" w:rsidRDefault="00994958">
            <w:pPr>
              <w:jc w:val="right"/>
              <w:textAlignment w:val="bottom"/>
            </w:pPr>
            <w:r>
              <w:rPr>
                <w:rFonts w:ascii="Arial" w:eastAsia="宋体" w:hAnsi="Arial" w:cs="Arial"/>
                <w:b/>
                <w:bCs/>
                <w:color w:val="000000"/>
                <w:sz w:val="15"/>
                <w:szCs w:val="15"/>
              </w:rPr>
              <w:t>56.25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F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F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F0E" w14:textId="77777777" w:rsidR="00E836FB" w:rsidRDefault="00994958">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F2D3F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F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F11" w14:textId="77777777" w:rsidR="00E836FB" w:rsidRDefault="00994958">
            <w:pPr>
              <w:jc w:val="right"/>
              <w:textAlignment w:val="bottom"/>
            </w:pPr>
            <w:r>
              <w:rPr>
                <w:rFonts w:ascii="Arial" w:eastAsia="宋体" w:hAnsi="Arial" w:cs="Arial"/>
                <w:color w:val="000000"/>
                <w:sz w:val="15"/>
                <w:szCs w:val="15"/>
              </w:rPr>
              <w:t>5,625 </w:t>
            </w:r>
          </w:p>
        </w:tc>
        <w:tc>
          <w:tcPr>
            <w:tcW w:w="0" w:type="auto"/>
            <w:shd w:val="clear" w:color="auto" w:fill="CCEEFF"/>
            <w:tcMar>
              <w:top w:w="40" w:type="dxa"/>
              <w:left w:w="0" w:type="dxa"/>
              <w:bottom w:w="40" w:type="dxa"/>
              <w:right w:w="20" w:type="dxa"/>
            </w:tcMar>
            <w:vAlign w:val="bottom"/>
          </w:tcPr>
          <w:p w14:paraId="5F2D3F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F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F14" w14:textId="77777777" w:rsidR="00E836FB" w:rsidRDefault="00994958">
            <w:pPr>
              <w:jc w:val="right"/>
              <w:textAlignment w:val="bottom"/>
            </w:pPr>
            <w:r>
              <w:rPr>
                <w:rFonts w:ascii="Arial" w:eastAsia="宋体" w:hAnsi="Arial" w:cs="Arial"/>
                <w:color w:val="000000"/>
                <w:sz w:val="15"/>
                <w:szCs w:val="15"/>
              </w:rPr>
              <w:t>56.25 </w:t>
            </w:r>
          </w:p>
        </w:tc>
        <w:tc>
          <w:tcPr>
            <w:tcW w:w="0" w:type="auto"/>
            <w:shd w:val="clear" w:color="auto" w:fill="CCEEFF"/>
            <w:tcMar>
              <w:top w:w="40" w:type="dxa"/>
              <w:left w:w="0" w:type="dxa"/>
              <w:bottom w:w="40" w:type="dxa"/>
              <w:right w:w="20" w:type="dxa"/>
            </w:tcMar>
            <w:vAlign w:val="bottom"/>
          </w:tcPr>
          <w:p w14:paraId="5F2D3F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F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3F17" w14:textId="77777777" w:rsidR="00E836FB" w:rsidRDefault="00994958">
            <w:pPr>
              <w:jc w:val="right"/>
              <w:textAlignment w:val="bottom"/>
            </w:pPr>
            <w:r>
              <w:rPr>
                <w:rFonts w:ascii="Arial" w:eastAsia="宋体" w:hAnsi="Arial" w:cs="Arial"/>
                <w:color w:val="000000"/>
                <w:sz w:val="15"/>
                <w:szCs w:val="15"/>
              </w:rPr>
              <w:t>28 </w:t>
            </w:r>
          </w:p>
        </w:tc>
        <w:tc>
          <w:tcPr>
            <w:tcW w:w="0" w:type="auto"/>
            <w:shd w:val="clear" w:color="auto" w:fill="CCEEFF"/>
            <w:tcMar>
              <w:top w:w="40" w:type="dxa"/>
              <w:left w:w="0" w:type="dxa"/>
              <w:bottom w:w="40" w:type="dxa"/>
              <w:right w:w="20" w:type="dxa"/>
            </w:tcMar>
            <w:vAlign w:val="bottom"/>
          </w:tcPr>
          <w:p w14:paraId="5F2D3F18" w14:textId="77777777" w:rsidR="00E836FB" w:rsidRDefault="00E836FB">
            <w:pPr>
              <w:jc w:val="right"/>
              <w:rPr>
                <w:rFonts w:ascii="宋体"/>
              </w:rPr>
            </w:pPr>
          </w:p>
        </w:tc>
      </w:tr>
      <w:tr w:rsidR="00E836FB" w14:paraId="5F2D3F2A" w14:textId="77777777">
        <w:tc>
          <w:tcPr>
            <w:tcW w:w="0" w:type="auto"/>
            <w:gridSpan w:val="3"/>
            <w:shd w:val="clear" w:color="auto" w:fill="auto"/>
            <w:tcMar>
              <w:top w:w="40" w:type="dxa"/>
              <w:left w:w="20" w:type="dxa"/>
              <w:bottom w:w="40" w:type="dxa"/>
              <w:right w:w="20" w:type="dxa"/>
            </w:tcMar>
            <w:vAlign w:val="bottom"/>
          </w:tcPr>
          <w:p w14:paraId="5F2D3F1A" w14:textId="77777777" w:rsidR="00E836FB" w:rsidRDefault="00994958">
            <w:pPr>
              <w:textAlignment w:val="bottom"/>
            </w:pPr>
            <w:r>
              <w:rPr>
                <w:rFonts w:ascii="Arial" w:eastAsia="宋体" w:hAnsi="Arial" w:cs="Arial"/>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5F2D3F1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F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F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F1E" w14:textId="77777777" w:rsidR="00E836FB" w:rsidRDefault="00E836F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F2D3F1F" w14:textId="77777777" w:rsidR="00E836FB" w:rsidRDefault="00994958">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F2D3F20" w14:textId="77777777" w:rsidR="00E836FB" w:rsidRDefault="00994958">
            <w:pPr>
              <w:jc w:val="right"/>
              <w:textAlignment w:val="bottom"/>
            </w:pPr>
            <w:r>
              <w:rPr>
                <w:rFonts w:ascii="Arial" w:eastAsia="宋体" w:hAnsi="Arial" w:cs="Arial"/>
                <w:b/>
                <w:bCs/>
                <w:color w:val="000000"/>
                <w:sz w:val="15"/>
                <w:szCs w:val="15"/>
              </w:rPr>
              <w:t>114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F2D3F21"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3F2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F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F2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F2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3F26" w14:textId="77777777" w:rsidR="00E836FB" w:rsidRDefault="00E836F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F2D3F27" w14:textId="77777777" w:rsidR="00E836FB" w:rsidRDefault="00994958">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F2D3F28" w14:textId="77777777" w:rsidR="00E836FB" w:rsidRDefault="00994958">
            <w:pPr>
              <w:jc w:val="right"/>
              <w:textAlignment w:val="bottom"/>
            </w:pPr>
            <w:r>
              <w:rPr>
                <w:rFonts w:ascii="Arial" w:eastAsia="宋体" w:hAnsi="Arial" w:cs="Arial"/>
                <w:color w:val="000000"/>
                <w:sz w:val="15"/>
                <w:szCs w:val="15"/>
              </w:rPr>
              <w:t>152 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F2D3F29" w14:textId="77777777" w:rsidR="00E836FB" w:rsidRDefault="00E836FB">
            <w:pPr>
              <w:jc w:val="right"/>
              <w:rPr>
                <w:rFonts w:ascii="宋体"/>
              </w:rPr>
            </w:pPr>
          </w:p>
        </w:tc>
      </w:tr>
    </w:tbl>
    <w:p w14:paraId="5F2D3F2B" w14:textId="77777777" w:rsidR="00E836FB" w:rsidRDefault="00994958">
      <w:pPr>
        <w:spacing w:after="60"/>
        <w:ind w:firstLine="450"/>
        <w:jc w:val="both"/>
      </w:pPr>
      <w:r>
        <w:rPr>
          <w:rFonts w:ascii="Arial" w:eastAsia="宋体" w:hAnsi="Arial" w:cs="Arial"/>
          <w:color w:val="000000"/>
          <w:sz w:val="20"/>
          <w:szCs w:val="20"/>
        </w:rPr>
        <w:t>In February 2022, we declared dividends on our series D, F, and G preferred stock of approximately $1,475, $950, and $1,338, respectively, per share, or approximately $0.37, $9.50, and $0.33, respectively, per depositary</w:t>
      </w:r>
      <w:r>
        <w:rPr>
          <w:rFonts w:ascii="Arial" w:eastAsia="宋体" w:hAnsi="Arial" w:cs="Arial"/>
          <w:color w:val="000000"/>
          <w:sz w:val="20"/>
          <w:szCs w:val="20"/>
        </w:rPr>
        <w:t xml:space="preserve"> share. These dividends total approximately $11 million, $2 million, and $7 million on our series D, F, and G preferred stock, respectively, which will be paid in March 2022.</w:t>
      </w:r>
    </w:p>
    <w:p w14:paraId="5F2D3F2C" w14:textId="77777777" w:rsidR="00E836FB" w:rsidRDefault="00994958">
      <w:pPr>
        <w:spacing w:before="60"/>
        <w:jc w:val="both"/>
      </w:pPr>
      <w:r>
        <w:rPr>
          <w:rFonts w:ascii="Arial" w:eastAsia="宋体" w:hAnsi="Arial" w:cs="Arial"/>
          <w:b/>
          <w:bCs/>
          <w:i/>
          <w:iCs/>
          <w:color w:val="000000"/>
          <w:sz w:val="20"/>
          <w:szCs w:val="20"/>
        </w:rPr>
        <w:t>Common Stock</w:t>
      </w:r>
    </w:p>
    <w:p w14:paraId="5F2D3F2D" w14:textId="77777777" w:rsidR="00E836FB" w:rsidRDefault="00994958">
      <w:pPr>
        <w:spacing w:before="60"/>
        <w:ind w:firstLine="450"/>
        <w:jc w:val="both"/>
      </w:pPr>
      <w:r>
        <w:rPr>
          <w:rFonts w:ascii="Arial" w:eastAsia="宋体" w:hAnsi="Arial" w:cs="Arial"/>
          <w:color w:val="000000"/>
          <w:sz w:val="20"/>
          <w:szCs w:val="20"/>
        </w:rPr>
        <w:t>In September 2021, we completed a public offering of approximately 2</w:t>
      </w:r>
      <w:r>
        <w:rPr>
          <w:rFonts w:ascii="Arial" w:eastAsia="宋体" w:hAnsi="Arial" w:cs="Arial"/>
          <w:color w:val="000000"/>
          <w:sz w:val="20"/>
          <w:szCs w:val="20"/>
        </w:rPr>
        <w:t>1.7 million shares of our common stock. The offering price was $87.60 per share and net proceeds totaled approximately $1.9 billion. We expect to use these net proceeds to finance our planned acquisition of the BBH Investor Services business.</w:t>
      </w:r>
    </w:p>
    <w:p w14:paraId="5F2D3F2E" w14:textId="77777777" w:rsidR="00E836FB" w:rsidRDefault="00994958">
      <w:pPr>
        <w:spacing w:before="60"/>
        <w:ind w:firstLine="450"/>
        <w:jc w:val="both"/>
      </w:pPr>
      <w:r>
        <w:rPr>
          <w:rFonts w:ascii="Arial" w:eastAsia="宋体" w:hAnsi="Arial" w:cs="Arial"/>
          <w:color w:val="000000"/>
          <w:sz w:val="20"/>
          <w:szCs w:val="20"/>
        </w:rPr>
        <w:t>In June 2019,</w:t>
      </w:r>
      <w:r>
        <w:rPr>
          <w:rFonts w:ascii="Arial" w:eastAsia="宋体" w:hAnsi="Arial" w:cs="Arial"/>
          <w:color w:val="000000"/>
          <w:sz w:val="20"/>
          <w:szCs w:val="20"/>
        </w:rPr>
        <w:t xml:space="preserve"> our Board approved a common share repurchase program authorizing the purchase of up to $2.0 billion of our common stock from July 1, 2019 through June 30, 2020 (the 2019 Program). We repurchased $500 million of our common stock in each of the third and fo</w:t>
      </w:r>
      <w:r>
        <w:rPr>
          <w:rFonts w:ascii="Arial" w:eastAsia="宋体" w:hAnsi="Arial" w:cs="Arial"/>
          <w:color w:val="000000"/>
          <w:sz w:val="20"/>
          <w:szCs w:val="20"/>
        </w:rPr>
        <w:t>urth quarters of 2019 and the first quarter of 2020 under the 2019 Program.</w:t>
      </w:r>
    </w:p>
    <w:p w14:paraId="5F2D3F2F" w14:textId="77777777" w:rsidR="00E836FB" w:rsidRDefault="00994958">
      <w:pPr>
        <w:spacing w:before="60"/>
        <w:ind w:firstLine="450"/>
        <w:jc w:val="both"/>
      </w:pPr>
      <w:r>
        <w:rPr>
          <w:rFonts w:ascii="Arial" w:eastAsia="宋体" w:hAnsi="Arial" w:cs="Arial"/>
          <w:color w:val="000000"/>
          <w:sz w:val="20"/>
          <w:szCs w:val="20"/>
        </w:rPr>
        <w:t>On March 16, 2020, we, along with the other U.S. G-SIBs, suspended common share repurchases and maintained this suspension through the fourth quarter of 2020 in response to the COV</w:t>
      </w:r>
      <w:r>
        <w:rPr>
          <w:rFonts w:ascii="Arial" w:eastAsia="宋体" w:hAnsi="Arial" w:cs="Arial"/>
          <w:color w:val="000000"/>
          <w:sz w:val="20"/>
          <w:szCs w:val="20"/>
        </w:rPr>
        <w:t>ID-19 pandemic. This suspension was consistent with limitations imposed by the Federal Reserve beginning in the second quarter of 2020. As a result, we had no repurchases of our common stock in the second, third or fourth quarters of 2020.</w:t>
      </w:r>
    </w:p>
    <w:p w14:paraId="5F2D3F30" w14:textId="77777777" w:rsidR="00E836FB" w:rsidRDefault="00994958">
      <w:pPr>
        <w:spacing w:before="60"/>
        <w:ind w:firstLine="450"/>
        <w:jc w:val="both"/>
      </w:pPr>
      <w:r>
        <w:rPr>
          <w:rFonts w:ascii="Arial" w:eastAsia="宋体" w:hAnsi="Arial" w:cs="Arial"/>
          <w:color w:val="000000"/>
          <w:sz w:val="20"/>
          <w:szCs w:val="20"/>
          <w:shd w:val="clear" w:color="auto" w:fill="FFFFFF"/>
        </w:rPr>
        <w:t>In December 2020</w:t>
      </w:r>
      <w:r>
        <w:rPr>
          <w:rFonts w:ascii="Arial" w:eastAsia="宋体" w:hAnsi="Arial" w:cs="Arial"/>
          <w:color w:val="000000"/>
          <w:sz w:val="20"/>
          <w:szCs w:val="20"/>
          <w:shd w:val="clear" w:color="auto" w:fill="FFFFFF"/>
        </w:rPr>
        <w:t xml:space="preserve">, the Federal Reserve issued results of 2020 resubmission stress tests and authorized us to continue to pay common stock dividends at current levels and to resume repurchasing common shares in the first quarter of 2021. </w:t>
      </w:r>
      <w:r>
        <w:rPr>
          <w:rFonts w:ascii="Arial" w:eastAsia="宋体" w:hAnsi="Arial" w:cs="Arial"/>
          <w:color w:val="000000"/>
          <w:sz w:val="20"/>
          <w:szCs w:val="20"/>
        </w:rPr>
        <w:t xml:space="preserve">In January 2021, our Board </w:t>
      </w:r>
      <w:r>
        <w:rPr>
          <w:rFonts w:ascii="Arial" w:eastAsia="宋体" w:hAnsi="Arial" w:cs="Arial"/>
          <w:color w:val="000000"/>
          <w:sz w:val="20"/>
          <w:szCs w:val="20"/>
        </w:rPr>
        <w:t>authorized a share repurchase program for the purchase of up to $475 million of our common stock through March 31, 2021. In April 2021, our Board authorized a share repurchase program for the repurchase of up to $425 million of our common stock through Jun</w:t>
      </w:r>
      <w:r>
        <w:rPr>
          <w:rFonts w:ascii="Arial" w:eastAsia="宋体" w:hAnsi="Arial" w:cs="Arial"/>
          <w:color w:val="000000"/>
          <w:sz w:val="20"/>
          <w:szCs w:val="20"/>
        </w:rPr>
        <w:t>e 30, 2021, consistent with the limit set by the Federal Reserve. In July 2021, our Board authorized a share repurchase program for the repurchase of up to $3.0 billion of our common stock through the end of 2022.</w:t>
      </w:r>
    </w:p>
    <w:p w14:paraId="5F2D3F31" w14:textId="77777777" w:rsidR="00E836FB" w:rsidRDefault="00994958">
      <w:pPr>
        <w:spacing w:before="60"/>
        <w:ind w:firstLine="450"/>
        <w:jc w:val="both"/>
      </w:pPr>
      <w:r>
        <w:rPr>
          <w:rFonts w:ascii="Arial" w:eastAsia="宋体" w:hAnsi="Arial" w:cs="Arial"/>
          <w:color w:val="000000"/>
          <w:sz w:val="20"/>
          <w:szCs w:val="20"/>
        </w:rPr>
        <w:t>In connection with our planned acquisition</w:t>
      </w:r>
      <w:r>
        <w:rPr>
          <w:rFonts w:ascii="Arial" w:eastAsia="宋体" w:hAnsi="Arial" w:cs="Arial"/>
          <w:color w:val="000000"/>
          <w:sz w:val="20"/>
          <w:szCs w:val="20"/>
        </w:rPr>
        <w:t xml:space="preserve"> of the BBH Investor Services business, we did not repurchase any common stock during the third and fourth quarters of 2021 under the common share repurchase plan approved by our Board in July 2021, and we do not intend to repurchase any common stock durin</w:t>
      </w:r>
      <w:r>
        <w:rPr>
          <w:rFonts w:ascii="Arial" w:eastAsia="宋体" w:hAnsi="Arial" w:cs="Arial"/>
          <w:color w:val="000000"/>
          <w:sz w:val="20"/>
          <w:szCs w:val="20"/>
        </w:rPr>
        <w:t>g the first quarter of 2022. We intend to resume our common share repurchases during the second quarter of 2022.</w:t>
      </w:r>
    </w:p>
    <w:p w14:paraId="5F2D3F32" w14:textId="77777777" w:rsidR="00E836FB" w:rsidRDefault="00994958">
      <w:pPr>
        <w:spacing w:before="60"/>
        <w:ind w:firstLine="450"/>
        <w:jc w:val="both"/>
      </w:pPr>
      <w:r>
        <w:rPr>
          <w:rFonts w:ascii="Arial" w:eastAsia="宋体" w:hAnsi="Arial" w:cs="Arial"/>
          <w:color w:val="000000"/>
          <w:sz w:val="20"/>
          <w:szCs w:val="20"/>
        </w:rPr>
        <w:t>The table below presents the activity under our common share repurchase program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36"/>
        <w:gridCol w:w="1004"/>
        <w:gridCol w:w="36"/>
        <w:gridCol w:w="36"/>
        <w:gridCol w:w="36"/>
        <w:gridCol w:w="36"/>
        <w:gridCol w:w="36"/>
        <w:gridCol w:w="144"/>
        <w:gridCol w:w="144"/>
        <w:gridCol w:w="144"/>
        <w:gridCol w:w="144"/>
        <w:gridCol w:w="144"/>
        <w:gridCol w:w="36"/>
        <w:gridCol w:w="36"/>
        <w:gridCol w:w="36"/>
        <w:gridCol w:w="36"/>
        <w:gridCol w:w="36"/>
        <w:gridCol w:w="36"/>
        <w:gridCol w:w="36"/>
        <w:gridCol w:w="36"/>
        <w:gridCol w:w="36"/>
        <w:gridCol w:w="37"/>
        <w:gridCol w:w="1860"/>
        <w:gridCol w:w="36"/>
        <w:gridCol w:w="36"/>
        <w:gridCol w:w="36"/>
        <w:gridCol w:w="36"/>
        <w:gridCol w:w="99"/>
        <w:gridCol w:w="1826"/>
        <w:gridCol w:w="36"/>
        <w:gridCol w:w="36"/>
        <w:gridCol w:w="36"/>
        <w:gridCol w:w="36"/>
        <w:gridCol w:w="99"/>
        <w:gridCol w:w="1827"/>
        <w:gridCol w:w="36"/>
      </w:tblGrid>
      <w:tr w:rsidR="00E836FB" w14:paraId="5F2D3F51" w14:textId="77777777">
        <w:tc>
          <w:tcPr>
            <w:tcW w:w="50" w:type="pct"/>
            <w:shd w:val="clear" w:color="auto" w:fill="auto"/>
            <w:vAlign w:val="bottom"/>
          </w:tcPr>
          <w:p w14:paraId="5F2D3F33" w14:textId="77777777" w:rsidR="00E836FB" w:rsidRDefault="00E836FB">
            <w:pPr>
              <w:rPr>
                <w:rFonts w:ascii="宋体"/>
              </w:rPr>
            </w:pPr>
          </w:p>
        </w:tc>
        <w:tc>
          <w:tcPr>
            <w:tcW w:w="727" w:type="pct"/>
            <w:shd w:val="clear" w:color="auto" w:fill="auto"/>
            <w:vAlign w:val="bottom"/>
          </w:tcPr>
          <w:p w14:paraId="5F2D3F34" w14:textId="77777777" w:rsidR="00E836FB" w:rsidRDefault="00E836FB">
            <w:pPr>
              <w:rPr>
                <w:rFonts w:ascii="宋体"/>
              </w:rPr>
            </w:pPr>
          </w:p>
        </w:tc>
        <w:tc>
          <w:tcPr>
            <w:tcW w:w="5" w:type="pct"/>
            <w:shd w:val="clear" w:color="auto" w:fill="auto"/>
            <w:vAlign w:val="bottom"/>
          </w:tcPr>
          <w:p w14:paraId="5F2D3F35" w14:textId="77777777" w:rsidR="00E836FB" w:rsidRDefault="00E836FB">
            <w:pPr>
              <w:rPr>
                <w:rFonts w:ascii="宋体"/>
              </w:rPr>
            </w:pPr>
          </w:p>
        </w:tc>
        <w:tc>
          <w:tcPr>
            <w:tcW w:w="0" w:type="auto"/>
            <w:shd w:val="clear" w:color="auto" w:fill="auto"/>
            <w:vAlign w:val="bottom"/>
          </w:tcPr>
          <w:p w14:paraId="5F2D3F36" w14:textId="77777777" w:rsidR="00E836FB" w:rsidRDefault="00E836FB">
            <w:pPr>
              <w:rPr>
                <w:rFonts w:ascii="宋体"/>
                <w:vanish/>
              </w:rPr>
            </w:pPr>
          </w:p>
        </w:tc>
        <w:tc>
          <w:tcPr>
            <w:tcW w:w="0" w:type="auto"/>
            <w:shd w:val="clear" w:color="auto" w:fill="auto"/>
            <w:vAlign w:val="bottom"/>
          </w:tcPr>
          <w:p w14:paraId="5F2D3F37" w14:textId="77777777" w:rsidR="00E836FB" w:rsidRDefault="00E836FB">
            <w:pPr>
              <w:rPr>
                <w:rFonts w:ascii="宋体"/>
                <w:vanish/>
              </w:rPr>
            </w:pPr>
          </w:p>
        </w:tc>
        <w:tc>
          <w:tcPr>
            <w:tcW w:w="0" w:type="auto"/>
            <w:shd w:val="clear" w:color="auto" w:fill="auto"/>
            <w:vAlign w:val="bottom"/>
          </w:tcPr>
          <w:p w14:paraId="5F2D3F38" w14:textId="77777777" w:rsidR="00E836FB" w:rsidRDefault="00E836FB">
            <w:pPr>
              <w:rPr>
                <w:rFonts w:ascii="宋体"/>
                <w:vanish/>
              </w:rPr>
            </w:pPr>
          </w:p>
        </w:tc>
        <w:tc>
          <w:tcPr>
            <w:tcW w:w="0" w:type="auto"/>
            <w:shd w:val="clear" w:color="auto" w:fill="auto"/>
            <w:vAlign w:val="bottom"/>
          </w:tcPr>
          <w:p w14:paraId="5F2D3F39" w14:textId="77777777" w:rsidR="00E836FB" w:rsidRDefault="00E836FB">
            <w:pPr>
              <w:rPr>
                <w:rFonts w:ascii="宋体"/>
                <w:vanish/>
              </w:rPr>
            </w:pPr>
          </w:p>
        </w:tc>
        <w:tc>
          <w:tcPr>
            <w:tcW w:w="0" w:type="auto"/>
            <w:shd w:val="clear" w:color="auto" w:fill="auto"/>
            <w:vAlign w:val="bottom"/>
          </w:tcPr>
          <w:p w14:paraId="5F2D3F3A" w14:textId="77777777" w:rsidR="00E836FB" w:rsidRDefault="00E836FB">
            <w:pPr>
              <w:rPr>
                <w:rFonts w:ascii="宋体"/>
                <w:vanish/>
              </w:rPr>
            </w:pPr>
          </w:p>
        </w:tc>
        <w:tc>
          <w:tcPr>
            <w:tcW w:w="0" w:type="auto"/>
            <w:shd w:val="clear" w:color="auto" w:fill="auto"/>
            <w:vAlign w:val="bottom"/>
          </w:tcPr>
          <w:p w14:paraId="5F2D3F3B" w14:textId="77777777" w:rsidR="00E836FB" w:rsidRDefault="00E836FB">
            <w:pPr>
              <w:rPr>
                <w:rFonts w:ascii="宋体"/>
                <w:vanish/>
              </w:rPr>
            </w:pPr>
          </w:p>
        </w:tc>
        <w:tc>
          <w:tcPr>
            <w:tcW w:w="0" w:type="auto"/>
            <w:shd w:val="clear" w:color="auto" w:fill="auto"/>
            <w:vAlign w:val="bottom"/>
          </w:tcPr>
          <w:p w14:paraId="5F2D3F3C" w14:textId="77777777" w:rsidR="00E836FB" w:rsidRDefault="00E836FB">
            <w:pPr>
              <w:rPr>
                <w:rFonts w:ascii="宋体"/>
                <w:vanish/>
              </w:rPr>
            </w:pPr>
          </w:p>
        </w:tc>
        <w:tc>
          <w:tcPr>
            <w:tcW w:w="0" w:type="auto"/>
            <w:shd w:val="clear" w:color="auto" w:fill="auto"/>
            <w:vAlign w:val="bottom"/>
          </w:tcPr>
          <w:p w14:paraId="5F2D3F3D" w14:textId="77777777" w:rsidR="00E836FB" w:rsidRDefault="00E836FB">
            <w:pPr>
              <w:rPr>
                <w:rFonts w:ascii="宋体"/>
                <w:vanish/>
              </w:rPr>
            </w:pPr>
          </w:p>
        </w:tc>
        <w:tc>
          <w:tcPr>
            <w:tcW w:w="0" w:type="auto"/>
            <w:shd w:val="clear" w:color="auto" w:fill="auto"/>
            <w:vAlign w:val="bottom"/>
          </w:tcPr>
          <w:p w14:paraId="5F2D3F3E" w14:textId="77777777" w:rsidR="00E836FB" w:rsidRDefault="00E836FB">
            <w:pPr>
              <w:rPr>
                <w:rFonts w:ascii="宋体"/>
                <w:vanish/>
              </w:rPr>
            </w:pPr>
          </w:p>
        </w:tc>
        <w:tc>
          <w:tcPr>
            <w:tcW w:w="0" w:type="auto"/>
            <w:gridSpan w:val="3"/>
            <w:shd w:val="clear" w:color="auto" w:fill="auto"/>
            <w:vAlign w:val="bottom"/>
          </w:tcPr>
          <w:p w14:paraId="5F2D3F3F" w14:textId="77777777" w:rsidR="00E836FB" w:rsidRDefault="00E836FB">
            <w:pPr>
              <w:rPr>
                <w:rFonts w:ascii="宋体"/>
                <w:vanish/>
              </w:rPr>
            </w:pPr>
          </w:p>
        </w:tc>
        <w:tc>
          <w:tcPr>
            <w:tcW w:w="0" w:type="auto"/>
            <w:gridSpan w:val="3"/>
            <w:shd w:val="clear" w:color="auto" w:fill="auto"/>
            <w:vAlign w:val="bottom"/>
          </w:tcPr>
          <w:p w14:paraId="5F2D3F40" w14:textId="77777777" w:rsidR="00E836FB" w:rsidRDefault="00E836FB">
            <w:pPr>
              <w:rPr>
                <w:rFonts w:ascii="宋体"/>
                <w:vanish/>
              </w:rPr>
            </w:pPr>
          </w:p>
        </w:tc>
        <w:tc>
          <w:tcPr>
            <w:tcW w:w="0" w:type="auto"/>
            <w:gridSpan w:val="3"/>
            <w:shd w:val="clear" w:color="auto" w:fill="auto"/>
            <w:vAlign w:val="bottom"/>
          </w:tcPr>
          <w:p w14:paraId="5F2D3F41" w14:textId="77777777" w:rsidR="00E836FB" w:rsidRDefault="00E836FB">
            <w:pPr>
              <w:rPr>
                <w:rFonts w:ascii="宋体"/>
                <w:vanish/>
              </w:rPr>
            </w:pPr>
          </w:p>
        </w:tc>
        <w:tc>
          <w:tcPr>
            <w:tcW w:w="50" w:type="pct"/>
            <w:shd w:val="clear" w:color="auto" w:fill="auto"/>
            <w:vAlign w:val="bottom"/>
          </w:tcPr>
          <w:p w14:paraId="5F2D3F42" w14:textId="77777777" w:rsidR="00E836FB" w:rsidRDefault="00E836FB">
            <w:pPr>
              <w:rPr>
                <w:rFonts w:ascii="宋体"/>
              </w:rPr>
            </w:pPr>
          </w:p>
        </w:tc>
        <w:tc>
          <w:tcPr>
            <w:tcW w:w="1326" w:type="pct"/>
            <w:shd w:val="clear" w:color="auto" w:fill="auto"/>
            <w:vAlign w:val="bottom"/>
          </w:tcPr>
          <w:p w14:paraId="5F2D3F43" w14:textId="77777777" w:rsidR="00E836FB" w:rsidRDefault="00E836FB">
            <w:pPr>
              <w:rPr>
                <w:rFonts w:ascii="宋体"/>
              </w:rPr>
            </w:pPr>
          </w:p>
        </w:tc>
        <w:tc>
          <w:tcPr>
            <w:tcW w:w="5" w:type="pct"/>
            <w:shd w:val="clear" w:color="auto" w:fill="auto"/>
            <w:vAlign w:val="bottom"/>
          </w:tcPr>
          <w:p w14:paraId="5F2D3F44" w14:textId="77777777" w:rsidR="00E836FB" w:rsidRDefault="00E836FB">
            <w:pPr>
              <w:rPr>
                <w:rFonts w:ascii="宋体"/>
              </w:rPr>
            </w:pPr>
          </w:p>
        </w:tc>
        <w:tc>
          <w:tcPr>
            <w:tcW w:w="5" w:type="pct"/>
            <w:shd w:val="clear" w:color="auto" w:fill="auto"/>
            <w:vAlign w:val="bottom"/>
          </w:tcPr>
          <w:p w14:paraId="5F2D3F45" w14:textId="77777777" w:rsidR="00E836FB" w:rsidRDefault="00E836FB">
            <w:pPr>
              <w:rPr>
                <w:rFonts w:ascii="宋体"/>
              </w:rPr>
            </w:pPr>
          </w:p>
        </w:tc>
        <w:tc>
          <w:tcPr>
            <w:tcW w:w="26" w:type="pct"/>
            <w:shd w:val="clear" w:color="auto" w:fill="auto"/>
            <w:vAlign w:val="bottom"/>
          </w:tcPr>
          <w:p w14:paraId="5F2D3F46" w14:textId="77777777" w:rsidR="00E836FB" w:rsidRDefault="00E836FB">
            <w:pPr>
              <w:rPr>
                <w:rFonts w:ascii="宋体"/>
              </w:rPr>
            </w:pPr>
          </w:p>
        </w:tc>
        <w:tc>
          <w:tcPr>
            <w:tcW w:w="5" w:type="pct"/>
            <w:shd w:val="clear" w:color="auto" w:fill="auto"/>
            <w:vAlign w:val="bottom"/>
          </w:tcPr>
          <w:p w14:paraId="5F2D3F47" w14:textId="77777777" w:rsidR="00E836FB" w:rsidRDefault="00E836FB">
            <w:pPr>
              <w:rPr>
                <w:rFonts w:ascii="宋体"/>
              </w:rPr>
            </w:pPr>
          </w:p>
        </w:tc>
        <w:tc>
          <w:tcPr>
            <w:tcW w:w="50" w:type="pct"/>
            <w:shd w:val="clear" w:color="auto" w:fill="auto"/>
            <w:vAlign w:val="bottom"/>
          </w:tcPr>
          <w:p w14:paraId="5F2D3F48" w14:textId="77777777" w:rsidR="00E836FB" w:rsidRDefault="00E836FB">
            <w:pPr>
              <w:rPr>
                <w:rFonts w:ascii="宋体"/>
              </w:rPr>
            </w:pPr>
          </w:p>
        </w:tc>
        <w:tc>
          <w:tcPr>
            <w:tcW w:w="1326" w:type="pct"/>
            <w:shd w:val="clear" w:color="auto" w:fill="auto"/>
            <w:vAlign w:val="bottom"/>
          </w:tcPr>
          <w:p w14:paraId="5F2D3F49" w14:textId="77777777" w:rsidR="00E836FB" w:rsidRDefault="00E836FB">
            <w:pPr>
              <w:rPr>
                <w:rFonts w:ascii="宋体"/>
              </w:rPr>
            </w:pPr>
          </w:p>
        </w:tc>
        <w:tc>
          <w:tcPr>
            <w:tcW w:w="5" w:type="pct"/>
            <w:shd w:val="clear" w:color="auto" w:fill="auto"/>
            <w:vAlign w:val="bottom"/>
          </w:tcPr>
          <w:p w14:paraId="5F2D3F4A" w14:textId="77777777" w:rsidR="00E836FB" w:rsidRDefault="00E836FB">
            <w:pPr>
              <w:rPr>
                <w:rFonts w:ascii="宋体"/>
              </w:rPr>
            </w:pPr>
          </w:p>
        </w:tc>
        <w:tc>
          <w:tcPr>
            <w:tcW w:w="5" w:type="pct"/>
            <w:shd w:val="clear" w:color="auto" w:fill="auto"/>
            <w:vAlign w:val="bottom"/>
          </w:tcPr>
          <w:p w14:paraId="5F2D3F4B" w14:textId="77777777" w:rsidR="00E836FB" w:rsidRDefault="00E836FB">
            <w:pPr>
              <w:rPr>
                <w:rFonts w:ascii="宋体"/>
              </w:rPr>
            </w:pPr>
          </w:p>
        </w:tc>
        <w:tc>
          <w:tcPr>
            <w:tcW w:w="26" w:type="pct"/>
            <w:shd w:val="clear" w:color="auto" w:fill="auto"/>
            <w:vAlign w:val="bottom"/>
          </w:tcPr>
          <w:p w14:paraId="5F2D3F4C" w14:textId="77777777" w:rsidR="00E836FB" w:rsidRDefault="00E836FB">
            <w:pPr>
              <w:rPr>
                <w:rFonts w:ascii="宋体"/>
              </w:rPr>
            </w:pPr>
          </w:p>
        </w:tc>
        <w:tc>
          <w:tcPr>
            <w:tcW w:w="5" w:type="pct"/>
            <w:shd w:val="clear" w:color="auto" w:fill="auto"/>
            <w:vAlign w:val="bottom"/>
          </w:tcPr>
          <w:p w14:paraId="5F2D3F4D" w14:textId="77777777" w:rsidR="00E836FB" w:rsidRDefault="00E836FB">
            <w:pPr>
              <w:rPr>
                <w:rFonts w:ascii="宋体"/>
              </w:rPr>
            </w:pPr>
          </w:p>
        </w:tc>
        <w:tc>
          <w:tcPr>
            <w:tcW w:w="50" w:type="pct"/>
            <w:shd w:val="clear" w:color="auto" w:fill="auto"/>
            <w:vAlign w:val="bottom"/>
          </w:tcPr>
          <w:p w14:paraId="5F2D3F4E" w14:textId="77777777" w:rsidR="00E836FB" w:rsidRDefault="00E836FB">
            <w:pPr>
              <w:rPr>
                <w:rFonts w:ascii="宋体"/>
              </w:rPr>
            </w:pPr>
          </w:p>
        </w:tc>
        <w:tc>
          <w:tcPr>
            <w:tcW w:w="1326" w:type="pct"/>
            <w:shd w:val="clear" w:color="auto" w:fill="auto"/>
            <w:vAlign w:val="bottom"/>
          </w:tcPr>
          <w:p w14:paraId="5F2D3F4F" w14:textId="77777777" w:rsidR="00E836FB" w:rsidRDefault="00E836FB">
            <w:pPr>
              <w:rPr>
                <w:rFonts w:ascii="宋体"/>
              </w:rPr>
            </w:pPr>
          </w:p>
        </w:tc>
        <w:tc>
          <w:tcPr>
            <w:tcW w:w="5" w:type="pct"/>
            <w:shd w:val="clear" w:color="auto" w:fill="auto"/>
            <w:vAlign w:val="bottom"/>
          </w:tcPr>
          <w:p w14:paraId="5F2D3F50" w14:textId="77777777" w:rsidR="00E836FB" w:rsidRDefault="00E836FB">
            <w:pPr>
              <w:rPr>
                <w:rFonts w:ascii="宋体"/>
              </w:rPr>
            </w:pPr>
          </w:p>
        </w:tc>
      </w:tr>
      <w:tr w:rsidR="00E836FB" w14:paraId="5F2D3F70" w14:textId="77777777">
        <w:tc>
          <w:tcPr>
            <w:tcW w:w="0" w:type="auto"/>
            <w:gridSpan w:val="3"/>
            <w:shd w:val="clear" w:color="auto" w:fill="auto"/>
            <w:tcMar>
              <w:top w:w="0" w:type="dxa"/>
              <w:left w:w="20" w:type="dxa"/>
              <w:bottom w:w="0" w:type="dxa"/>
              <w:right w:w="20" w:type="dxa"/>
            </w:tcMar>
            <w:vAlign w:val="bottom"/>
          </w:tcPr>
          <w:p w14:paraId="5F2D3F52" w14:textId="77777777" w:rsidR="00E836FB" w:rsidRDefault="00E836FB">
            <w:pPr>
              <w:rPr>
                <w:rFonts w:ascii="宋体"/>
              </w:rPr>
            </w:pPr>
          </w:p>
        </w:tc>
        <w:tc>
          <w:tcPr>
            <w:tcW w:w="0" w:type="auto"/>
            <w:shd w:val="clear" w:color="auto" w:fill="auto"/>
            <w:vAlign w:val="bottom"/>
          </w:tcPr>
          <w:p w14:paraId="5F2D3F53" w14:textId="77777777" w:rsidR="00E836FB" w:rsidRDefault="00E836FB">
            <w:pPr>
              <w:rPr>
                <w:rFonts w:ascii="宋体"/>
                <w:vanish/>
              </w:rPr>
            </w:pPr>
          </w:p>
        </w:tc>
        <w:tc>
          <w:tcPr>
            <w:tcW w:w="0" w:type="auto"/>
            <w:shd w:val="clear" w:color="auto" w:fill="auto"/>
            <w:vAlign w:val="bottom"/>
          </w:tcPr>
          <w:p w14:paraId="5F2D3F54" w14:textId="77777777" w:rsidR="00E836FB" w:rsidRDefault="00E836FB">
            <w:pPr>
              <w:rPr>
                <w:rFonts w:ascii="宋体"/>
                <w:vanish/>
              </w:rPr>
            </w:pPr>
          </w:p>
        </w:tc>
        <w:tc>
          <w:tcPr>
            <w:tcW w:w="0" w:type="auto"/>
            <w:shd w:val="clear" w:color="auto" w:fill="auto"/>
            <w:vAlign w:val="bottom"/>
          </w:tcPr>
          <w:p w14:paraId="5F2D3F55" w14:textId="77777777" w:rsidR="00E836FB" w:rsidRDefault="00E836FB">
            <w:pPr>
              <w:rPr>
                <w:rFonts w:ascii="宋体"/>
                <w:vanish/>
              </w:rPr>
            </w:pPr>
          </w:p>
        </w:tc>
        <w:tc>
          <w:tcPr>
            <w:tcW w:w="0" w:type="auto"/>
            <w:shd w:val="clear" w:color="auto" w:fill="auto"/>
            <w:vAlign w:val="bottom"/>
          </w:tcPr>
          <w:p w14:paraId="5F2D3F56" w14:textId="77777777" w:rsidR="00E836FB" w:rsidRDefault="00E836FB">
            <w:pPr>
              <w:rPr>
                <w:rFonts w:ascii="宋体"/>
                <w:vanish/>
              </w:rPr>
            </w:pPr>
          </w:p>
        </w:tc>
        <w:tc>
          <w:tcPr>
            <w:tcW w:w="0" w:type="auto"/>
            <w:gridSpan w:val="5"/>
            <w:shd w:val="clear" w:color="auto" w:fill="auto"/>
            <w:tcMar>
              <w:top w:w="40" w:type="dxa"/>
              <w:left w:w="20" w:type="dxa"/>
              <w:bottom w:w="40" w:type="dxa"/>
              <w:right w:w="20" w:type="dxa"/>
            </w:tcMar>
            <w:vAlign w:val="bottom"/>
          </w:tcPr>
          <w:p w14:paraId="5F2D3F57" w14:textId="77777777" w:rsidR="00E836FB" w:rsidRDefault="00994958">
            <w:pPr>
              <w:jc w:val="center"/>
              <w:textAlignment w:val="bottom"/>
            </w:pPr>
            <w:r>
              <w:rPr>
                <w:rFonts w:ascii="Arial" w:eastAsia="宋体" w:hAnsi="Arial" w:cs="Arial"/>
                <w:b/>
                <w:bCs/>
                <w:color w:val="000000"/>
                <w:sz w:val="14"/>
                <w:szCs w:val="14"/>
              </w:rPr>
              <w:t>Year Ended December 31, 2021</w:t>
            </w:r>
          </w:p>
        </w:tc>
        <w:tc>
          <w:tcPr>
            <w:tcW w:w="0" w:type="auto"/>
            <w:shd w:val="clear" w:color="auto" w:fill="auto"/>
            <w:vAlign w:val="bottom"/>
          </w:tcPr>
          <w:p w14:paraId="5F2D3F58" w14:textId="77777777" w:rsidR="00E836FB" w:rsidRDefault="00E836FB">
            <w:pPr>
              <w:rPr>
                <w:rFonts w:ascii="宋体"/>
              </w:rPr>
            </w:pPr>
          </w:p>
        </w:tc>
        <w:tc>
          <w:tcPr>
            <w:tcW w:w="0" w:type="auto"/>
            <w:shd w:val="clear" w:color="auto" w:fill="auto"/>
            <w:vAlign w:val="bottom"/>
          </w:tcPr>
          <w:p w14:paraId="5F2D3F59" w14:textId="77777777" w:rsidR="00E836FB" w:rsidRDefault="00E836FB">
            <w:pPr>
              <w:rPr>
                <w:rFonts w:ascii="宋体"/>
              </w:rPr>
            </w:pPr>
          </w:p>
        </w:tc>
        <w:tc>
          <w:tcPr>
            <w:tcW w:w="0" w:type="auto"/>
            <w:shd w:val="clear" w:color="auto" w:fill="auto"/>
            <w:vAlign w:val="bottom"/>
          </w:tcPr>
          <w:p w14:paraId="5F2D3F5A" w14:textId="77777777" w:rsidR="00E836FB" w:rsidRDefault="00E836FB">
            <w:pPr>
              <w:rPr>
                <w:rFonts w:ascii="宋体"/>
              </w:rPr>
            </w:pPr>
          </w:p>
        </w:tc>
        <w:tc>
          <w:tcPr>
            <w:tcW w:w="0" w:type="auto"/>
            <w:shd w:val="clear" w:color="auto" w:fill="auto"/>
            <w:vAlign w:val="bottom"/>
          </w:tcPr>
          <w:p w14:paraId="5F2D3F5B" w14:textId="77777777" w:rsidR="00E836FB" w:rsidRDefault="00E836FB">
            <w:pPr>
              <w:rPr>
                <w:rFonts w:ascii="宋体"/>
              </w:rPr>
            </w:pPr>
          </w:p>
        </w:tc>
        <w:tc>
          <w:tcPr>
            <w:tcW w:w="0" w:type="auto"/>
            <w:shd w:val="clear" w:color="auto" w:fill="auto"/>
            <w:vAlign w:val="bottom"/>
          </w:tcPr>
          <w:p w14:paraId="5F2D3F5C" w14:textId="77777777" w:rsidR="00E836FB" w:rsidRDefault="00E836FB">
            <w:pPr>
              <w:rPr>
                <w:rFonts w:ascii="宋体"/>
              </w:rPr>
            </w:pPr>
          </w:p>
        </w:tc>
        <w:tc>
          <w:tcPr>
            <w:tcW w:w="0" w:type="auto"/>
            <w:shd w:val="clear" w:color="auto" w:fill="auto"/>
            <w:vAlign w:val="bottom"/>
          </w:tcPr>
          <w:p w14:paraId="5F2D3F5D" w14:textId="77777777" w:rsidR="00E836FB" w:rsidRDefault="00E836FB">
            <w:pPr>
              <w:rPr>
                <w:rFonts w:ascii="宋体"/>
              </w:rPr>
            </w:pPr>
          </w:p>
        </w:tc>
        <w:tc>
          <w:tcPr>
            <w:tcW w:w="0" w:type="auto"/>
            <w:shd w:val="clear" w:color="auto" w:fill="auto"/>
            <w:vAlign w:val="bottom"/>
          </w:tcPr>
          <w:p w14:paraId="5F2D3F5E" w14:textId="77777777" w:rsidR="00E836FB" w:rsidRDefault="00E836FB">
            <w:pPr>
              <w:rPr>
                <w:rFonts w:ascii="宋体"/>
              </w:rPr>
            </w:pPr>
          </w:p>
        </w:tc>
        <w:tc>
          <w:tcPr>
            <w:tcW w:w="0" w:type="auto"/>
            <w:shd w:val="clear" w:color="auto" w:fill="auto"/>
            <w:vAlign w:val="bottom"/>
          </w:tcPr>
          <w:p w14:paraId="5F2D3F5F" w14:textId="77777777" w:rsidR="00E836FB" w:rsidRDefault="00E836FB">
            <w:pPr>
              <w:rPr>
                <w:rFonts w:ascii="宋体"/>
              </w:rPr>
            </w:pPr>
          </w:p>
        </w:tc>
        <w:tc>
          <w:tcPr>
            <w:tcW w:w="0" w:type="auto"/>
            <w:shd w:val="clear" w:color="auto" w:fill="auto"/>
            <w:vAlign w:val="bottom"/>
          </w:tcPr>
          <w:p w14:paraId="5F2D3F60" w14:textId="77777777" w:rsidR="00E836FB" w:rsidRDefault="00E836FB">
            <w:pPr>
              <w:rPr>
                <w:rFonts w:ascii="宋体"/>
              </w:rPr>
            </w:pPr>
          </w:p>
        </w:tc>
        <w:tc>
          <w:tcPr>
            <w:tcW w:w="0" w:type="auto"/>
            <w:shd w:val="clear" w:color="auto" w:fill="auto"/>
            <w:vAlign w:val="bottom"/>
          </w:tcPr>
          <w:p w14:paraId="5F2D3F61" w14:textId="77777777" w:rsidR="00E836FB" w:rsidRDefault="00E836FB">
            <w:pPr>
              <w:rPr>
                <w:rFonts w:ascii="宋体"/>
              </w:rPr>
            </w:pPr>
          </w:p>
        </w:tc>
        <w:tc>
          <w:tcPr>
            <w:tcW w:w="0" w:type="auto"/>
            <w:shd w:val="clear" w:color="auto" w:fill="auto"/>
            <w:vAlign w:val="bottom"/>
          </w:tcPr>
          <w:p w14:paraId="5F2D3F62" w14:textId="77777777" w:rsidR="00E836FB" w:rsidRDefault="00E836FB">
            <w:pPr>
              <w:rPr>
                <w:rFonts w:ascii="宋体"/>
              </w:rPr>
            </w:pPr>
          </w:p>
        </w:tc>
        <w:tc>
          <w:tcPr>
            <w:tcW w:w="0" w:type="auto"/>
            <w:shd w:val="clear" w:color="auto" w:fill="auto"/>
            <w:vAlign w:val="bottom"/>
          </w:tcPr>
          <w:p w14:paraId="5F2D3F63" w14:textId="77777777" w:rsidR="00E836FB" w:rsidRDefault="00E836FB">
            <w:pPr>
              <w:rPr>
                <w:rFonts w:ascii="宋体"/>
              </w:rPr>
            </w:pPr>
          </w:p>
        </w:tc>
        <w:tc>
          <w:tcPr>
            <w:tcW w:w="0" w:type="auto"/>
            <w:shd w:val="clear" w:color="auto" w:fill="auto"/>
            <w:vAlign w:val="bottom"/>
          </w:tcPr>
          <w:p w14:paraId="5F2D3F64" w14:textId="77777777" w:rsidR="00E836FB" w:rsidRDefault="00E836FB">
            <w:pPr>
              <w:rPr>
                <w:rFonts w:ascii="宋体"/>
              </w:rPr>
            </w:pPr>
          </w:p>
        </w:tc>
        <w:tc>
          <w:tcPr>
            <w:tcW w:w="0" w:type="auto"/>
            <w:shd w:val="clear" w:color="auto" w:fill="auto"/>
            <w:vAlign w:val="bottom"/>
          </w:tcPr>
          <w:p w14:paraId="5F2D3F65" w14:textId="77777777" w:rsidR="00E836FB" w:rsidRDefault="00E836FB">
            <w:pPr>
              <w:rPr>
                <w:rFonts w:ascii="宋体"/>
              </w:rPr>
            </w:pPr>
          </w:p>
        </w:tc>
        <w:tc>
          <w:tcPr>
            <w:tcW w:w="0" w:type="auto"/>
            <w:shd w:val="clear" w:color="auto" w:fill="auto"/>
            <w:vAlign w:val="bottom"/>
          </w:tcPr>
          <w:p w14:paraId="5F2D3F66" w14:textId="77777777" w:rsidR="00E836FB" w:rsidRDefault="00E836FB">
            <w:pPr>
              <w:rPr>
                <w:rFonts w:ascii="宋体"/>
              </w:rPr>
            </w:pPr>
          </w:p>
        </w:tc>
        <w:tc>
          <w:tcPr>
            <w:tcW w:w="0" w:type="auto"/>
            <w:shd w:val="clear" w:color="auto" w:fill="auto"/>
            <w:vAlign w:val="bottom"/>
          </w:tcPr>
          <w:p w14:paraId="5F2D3F67" w14:textId="77777777" w:rsidR="00E836FB" w:rsidRDefault="00E836FB">
            <w:pPr>
              <w:rPr>
                <w:rFonts w:ascii="宋体"/>
              </w:rPr>
            </w:pPr>
          </w:p>
        </w:tc>
        <w:tc>
          <w:tcPr>
            <w:tcW w:w="0" w:type="auto"/>
            <w:shd w:val="clear" w:color="auto" w:fill="auto"/>
            <w:vAlign w:val="bottom"/>
          </w:tcPr>
          <w:p w14:paraId="5F2D3F68" w14:textId="77777777" w:rsidR="00E836FB" w:rsidRDefault="00E836FB">
            <w:pPr>
              <w:rPr>
                <w:rFonts w:ascii="宋体"/>
              </w:rPr>
            </w:pPr>
          </w:p>
        </w:tc>
        <w:tc>
          <w:tcPr>
            <w:tcW w:w="0" w:type="auto"/>
            <w:shd w:val="clear" w:color="auto" w:fill="auto"/>
            <w:vAlign w:val="bottom"/>
          </w:tcPr>
          <w:p w14:paraId="5F2D3F69" w14:textId="77777777" w:rsidR="00E836FB" w:rsidRDefault="00E836FB">
            <w:pPr>
              <w:rPr>
                <w:rFonts w:ascii="宋体"/>
              </w:rPr>
            </w:pPr>
          </w:p>
        </w:tc>
        <w:tc>
          <w:tcPr>
            <w:tcW w:w="0" w:type="auto"/>
            <w:shd w:val="clear" w:color="auto" w:fill="auto"/>
            <w:vAlign w:val="bottom"/>
          </w:tcPr>
          <w:p w14:paraId="5F2D3F6A" w14:textId="77777777" w:rsidR="00E836FB" w:rsidRDefault="00E836FB">
            <w:pPr>
              <w:rPr>
                <w:rFonts w:ascii="宋体"/>
              </w:rPr>
            </w:pPr>
          </w:p>
        </w:tc>
        <w:tc>
          <w:tcPr>
            <w:tcW w:w="0" w:type="auto"/>
            <w:shd w:val="clear" w:color="auto" w:fill="auto"/>
            <w:vAlign w:val="bottom"/>
          </w:tcPr>
          <w:p w14:paraId="5F2D3F6B" w14:textId="77777777" w:rsidR="00E836FB" w:rsidRDefault="00E836FB">
            <w:pPr>
              <w:rPr>
                <w:rFonts w:ascii="宋体"/>
              </w:rPr>
            </w:pPr>
          </w:p>
        </w:tc>
        <w:tc>
          <w:tcPr>
            <w:tcW w:w="0" w:type="auto"/>
            <w:shd w:val="clear" w:color="auto" w:fill="auto"/>
            <w:vAlign w:val="bottom"/>
          </w:tcPr>
          <w:p w14:paraId="5F2D3F6C" w14:textId="77777777" w:rsidR="00E836FB" w:rsidRDefault="00E836FB">
            <w:pPr>
              <w:rPr>
                <w:rFonts w:ascii="宋体"/>
              </w:rPr>
            </w:pPr>
          </w:p>
        </w:tc>
        <w:tc>
          <w:tcPr>
            <w:tcW w:w="0" w:type="auto"/>
            <w:shd w:val="clear" w:color="auto" w:fill="auto"/>
            <w:vAlign w:val="bottom"/>
          </w:tcPr>
          <w:p w14:paraId="5F2D3F6D" w14:textId="77777777" w:rsidR="00E836FB" w:rsidRDefault="00E836FB">
            <w:pPr>
              <w:rPr>
                <w:rFonts w:ascii="宋体"/>
              </w:rPr>
            </w:pPr>
          </w:p>
        </w:tc>
        <w:tc>
          <w:tcPr>
            <w:tcW w:w="0" w:type="auto"/>
            <w:shd w:val="clear" w:color="auto" w:fill="auto"/>
            <w:vAlign w:val="bottom"/>
          </w:tcPr>
          <w:p w14:paraId="5F2D3F6E" w14:textId="77777777" w:rsidR="00E836FB" w:rsidRDefault="00E836FB">
            <w:pPr>
              <w:rPr>
                <w:rFonts w:ascii="宋体"/>
              </w:rPr>
            </w:pPr>
          </w:p>
        </w:tc>
        <w:tc>
          <w:tcPr>
            <w:tcW w:w="0" w:type="auto"/>
            <w:shd w:val="clear" w:color="auto" w:fill="auto"/>
            <w:vAlign w:val="bottom"/>
          </w:tcPr>
          <w:p w14:paraId="5F2D3F6F" w14:textId="77777777" w:rsidR="00E836FB" w:rsidRDefault="00E836FB">
            <w:pPr>
              <w:rPr>
                <w:rFonts w:ascii="宋体"/>
              </w:rPr>
            </w:pPr>
          </w:p>
        </w:tc>
      </w:tr>
      <w:tr w:rsidR="00E836FB" w14:paraId="5F2D3F83" w14:textId="77777777">
        <w:tc>
          <w:tcPr>
            <w:tcW w:w="0" w:type="auto"/>
            <w:gridSpan w:val="3"/>
            <w:shd w:val="clear" w:color="auto" w:fill="auto"/>
            <w:tcMar>
              <w:top w:w="0" w:type="dxa"/>
              <w:left w:w="20" w:type="dxa"/>
              <w:bottom w:w="0" w:type="dxa"/>
              <w:right w:w="20" w:type="dxa"/>
            </w:tcMar>
            <w:vAlign w:val="bottom"/>
          </w:tcPr>
          <w:p w14:paraId="5F2D3F71" w14:textId="77777777" w:rsidR="00E836FB" w:rsidRDefault="00E836FB">
            <w:pPr>
              <w:rPr>
                <w:rFonts w:ascii="宋体"/>
              </w:rPr>
            </w:pPr>
          </w:p>
        </w:tc>
        <w:tc>
          <w:tcPr>
            <w:tcW w:w="0" w:type="auto"/>
            <w:shd w:val="clear" w:color="auto" w:fill="auto"/>
            <w:vAlign w:val="bottom"/>
          </w:tcPr>
          <w:p w14:paraId="5F2D3F72" w14:textId="77777777" w:rsidR="00E836FB" w:rsidRDefault="00E836FB">
            <w:pPr>
              <w:rPr>
                <w:rFonts w:ascii="宋体"/>
                <w:vanish/>
              </w:rPr>
            </w:pPr>
          </w:p>
        </w:tc>
        <w:tc>
          <w:tcPr>
            <w:tcW w:w="0" w:type="auto"/>
            <w:shd w:val="clear" w:color="auto" w:fill="auto"/>
            <w:vAlign w:val="bottom"/>
          </w:tcPr>
          <w:p w14:paraId="5F2D3F73" w14:textId="77777777" w:rsidR="00E836FB" w:rsidRDefault="00E836FB">
            <w:pPr>
              <w:rPr>
                <w:rFonts w:ascii="宋体"/>
                <w:vanish/>
              </w:rPr>
            </w:pPr>
          </w:p>
        </w:tc>
        <w:tc>
          <w:tcPr>
            <w:tcW w:w="0" w:type="auto"/>
            <w:shd w:val="clear" w:color="auto" w:fill="auto"/>
            <w:vAlign w:val="bottom"/>
          </w:tcPr>
          <w:p w14:paraId="5F2D3F74" w14:textId="77777777" w:rsidR="00E836FB" w:rsidRDefault="00E836FB">
            <w:pPr>
              <w:rPr>
                <w:rFonts w:ascii="宋体"/>
                <w:vanish/>
              </w:rPr>
            </w:pPr>
          </w:p>
        </w:tc>
        <w:tc>
          <w:tcPr>
            <w:tcW w:w="0" w:type="auto"/>
            <w:shd w:val="clear" w:color="auto" w:fill="auto"/>
            <w:vAlign w:val="bottom"/>
          </w:tcPr>
          <w:p w14:paraId="5F2D3F75" w14:textId="77777777" w:rsidR="00E836FB" w:rsidRDefault="00E836FB">
            <w:pPr>
              <w:rPr>
                <w:rFonts w:ascii="宋体"/>
                <w:vanish/>
              </w:rPr>
            </w:pPr>
          </w:p>
        </w:tc>
        <w:tc>
          <w:tcPr>
            <w:tcW w:w="0" w:type="auto"/>
            <w:shd w:val="clear" w:color="auto" w:fill="auto"/>
            <w:vAlign w:val="bottom"/>
          </w:tcPr>
          <w:p w14:paraId="5F2D3F76" w14:textId="77777777" w:rsidR="00E836FB" w:rsidRDefault="00E836FB">
            <w:pPr>
              <w:rPr>
                <w:rFonts w:ascii="宋体"/>
                <w:vanish/>
              </w:rPr>
            </w:pPr>
          </w:p>
        </w:tc>
        <w:tc>
          <w:tcPr>
            <w:tcW w:w="0" w:type="auto"/>
            <w:shd w:val="clear" w:color="auto" w:fill="auto"/>
            <w:vAlign w:val="bottom"/>
          </w:tcPr>
          <w:p w14:paraId="5F2D3F77" w14:textId="77777777" w:rsidR="00E836FB" w:rsidRDefault="00E836FB">
            <w:pPr>
              <w:rPr>
                <w:rFonts w:ascii="宋体"/>
                <w:vanish/>
              </w:rPr>
            </w:pPr>
          </w:p>
        </w:tc>
        <w:tc>
          <w:tcPr>
            <w:tcW w:w="0" w:type="auto"/>
            <w:shd w:val="clear" w:color="auto" w:fill="auto"/>
            <w:vAlign w:val="bottom"/>
          </w:tcPr>
          <w:p w14:paraId="5F2D3F78" w14:textId="77777777" w:rsidR="00E836FB" w:rsidRDefault="00E836FB">
            <w:pPr>
              <w:rPr>
                <w:rFonts w:ascii="宋体"/>
                <w:vanish/>
              </w:rPr>
            </w:pPr>
          </w:p>
        </w:tc>
        <w:tc>
          <w:tcPr>
            <w:tcW w:w="0" w:type="auto"/>
            <w:shd w:val="clear" w:color="auto" w:fill="auto"/>
            <w:vAlign w:val="bottom"/>
          </w:tcPr>
          <w:p w14:paraId="5F2D3F79" w14:textId="77777777" w:rsidR="00E836FB" w:rsidRDefault="00E836FB">
            <w:pPr>
              <w:rPr>
                <w:rFonts w:ascii="宋体"/>
                <w:vanish/>
              </w:rPr>
            </w:pPr>
          </w:p>
        </w:tc>
        <w:tc>
          <w:tcPr>
            <w:tcW w:w="0" w:type="auto"/>
            <w:shd w:val="clear" w:color="auto" w:fill="auto"/>
            <w:vAlign w:val="bottom"/>
          </w:tcPr>
          <w:p w14:paraId="5F2D3F7A" w14:textId="77777777" w:rsidR="00E836FB" w:rsidRDefault="00E836FB">
            <w:pPr>
              <w:rPr>
                <w:rFonts w:ascii="宋体"/>
                <w:vanish/>
              </w:rPr>
            </w:pPr>
          </w:p>
        </w:tc>
        <w:tc>
          <w:tcPr>
            <w:tcW w:w="0" w:type="auto"/>
            <w:gridSpan w:val="3"/>
            <w:shd w:val="clear" w:color="auto" w:fill="auto"/>
            <w:vAlign w:val="bottom"/>
          </w:tcPr>
          <w:p w14:paraId="5F2D3F7B" w14:textId="77777777" w:rsidR="00E836FB" w:rsidRDefault="00E836FB">
            <w:pPr>
              <w:rPr>
                <w:rFonts w:ascii="宋体"/>
                <w:vanish/>
              </w:rPr>
            </w:pPr>
          </w:p>
        </w:tc>
        <w:tc>
          <w:tcPr>
            <w:tcW w:w="0" w:type="auto"/>
            <w:gridSpan w:val="3"/>
            <w:shd w:val="clear" w:color="auto" w:fill="auto"/>
            <w:vAlign w:val="bottom"/>
          </w:tcPr>
          <w:p w14:paraId="5F2D3F7C" w14:textId="77777777" w:rsidR="00E836FB" w:rsidRDefault="00E836FB">
            <w:pPr>
              <w:rPr>
                <w:rFonts w:ascii="宋体"/>
                <w:vanish/>
              </w:rPr>
            </w:pPr>
          </w:p>
        </w:tc>
        <w:tc>
          <w:tcPr>
            <w:tcW w:w="0" w:type="auto"/>
            <w:gridSpan w:val="3"/>
            <w:shd w:val="clear" w:color="auto" w:fill="auto"/>
            <w:vAlign w:val="bottom"/>
          </w:tcPr>
          <w:p w14:paraId="5F2D3F7D"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F7E" w14:textId="77777777" w:rsidR="00E836FB" w:rsidRDefault="00994958">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F7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F80" w14:textId="77777777" w:rsidR="00E836FB" w:rsidRDefault="00994958">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3F8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3F82" w14:textId="77777777" w:rsidR="00E836FB" w:rsidRDefault="00994958">
            <w:pPr>
              <w:jc w:val="center"/>
              <w:textAlignment w:val="bottom"/>
            </w:pPr>
            <w:r>
              <w:rPr>
                <w:rFonts w:ascii="Arial" w:eastAsia="宋体" w:hAnsi="Arial" w:cs="Arial"/>
                <w:b/>
                <w:bCs/>
                <w:color w:val="000000"/>
                <w:sz w:val="14"/>
                <w:szCs w:val="14"/>
              </w:rPr>
              <w:t>Total Acquired (In millions)</w:t>
            </w:r>
          </w:p>
        </w:tc>
      </w:tr>
      <w:tr w:rsidR="00E836FB" w14:paraId="5F2D3F96" w14:textId="77777777">
        <w:trPr>
          <w:hidden/>
        </w:trPr>
        <w:tc>
          <w:tcPr>
            <w:tcW w:w="0" w:type="auto"/>
            <w:gridSpan w:val="3"/>
            <w:shd w:val="clear" w:color="auto" w:fill="auto"/>
            <w:vAlign w:val="bottom"/>
          </w:tcPr>
          <w:p w14:paraId="5F2D3F84" w14:textId="77777777" w:rsidR="00E836FB" w:rsidRDefault="00E836FB">
            <w:pPr>
              <w:rPr>
                <w:rFonts w:ascii="宋体"/>
                <w:vanish/>
              </w:rPr>
            </w:pPr>
          </w:p>
        </w:tc>
        <w:tc>
          <w:tcPr>
            <w:tcW w:w="0" w:type="auto"/>
            <w:shd w:val="clear" w:color="auto" w:fill="auto"/>
            <w:vAlign w:val="bottom"/>
          </w:tcPr>
          <w:p w14:paraId="5F2D3F85" w14:textId="77777777" w:rsidR="00E836FB" w:rsidRDefault="00E836FB">
            <w:pPr>
              <w:rPr>
                <w:rFonts w:ascii="宋体"/>
                <w:vanish/>
              </w:rPr>
            </w:pPr>
          </w:p>
        </w:tc>
        <w:tc>
          <w:tcPr>
            <w:tcW w:w="0" w:type="auto"/>
            <w:shd w:val="clear" w:color="auto" w:fill="auto"/>
            <w:vAlign w:val="bottom"/>
          </w:tcPr>
          <w:p w14:paraId="5F2D3F86" w14:textId="77777777" w:rsidR="00E836FB" w:rsidRDefault="00E836FB">
            <w:pPr>
              <w:rPr>
                <w:rFonts w:ascii="宋体"/>
                <w:vanish/>
              </w:rPr>
            </w:pPr>
          </w:p>
        </w:tc>
        <w:tc>
          <w:tcPr>
            <w:tcW w:w="0" w:type="auto"/>
            <w:shd w:val="clear" w:color="auto" w:fill="auto"/>
            <w:vAlign w:val="bottom"/>
          </w:tcPr>
          <w:p w14:paraId="5F2D3F87" w14:textId="77777777" w:rsidR="00E836FB" w:rsidRDefault="00E836FB">
            <w:pPr>
              <w:rPr>
                <w:rFonts w:ascii="宋体"/>
                <w:vanish/>
              </w:rPr>
            </w:pPr>
          </w:p>
        </w:tc>
        <w:tc>
          <w:tcPr>
            <w:tcW w:w="0" w:type="auto"/>
            <w:shd w:val="clear" w:color="auto" w:fill="auto"/>
            <w:vAlign w:val="bottom"/>
          </w:tcPr>
          <w:p w14:paraId="5F2D3F88" w14:textId="77777777" w:rsidR="00E836FB" w:rsidRDefault="00E836FB">
            <w:pPr>
              <w:rPr>
                <w:rFonts w:ascii="宋体"/>
                <w:vanish/>
              </w:rPr>
            </w:pPr>
          </w:p>
        </w:tc>
        <w:tc>
          <w:tcPr>
            <w:tcW w:w="0" w:type="auto"/>
            <w:shd w:val="clear" w:color="auto" w:fill="auto"/>
            <w:vAlign w:val="bottom"/>
          </w:tcPr>
          <w:p w14:paraId="5F2D3F89" w14:textId="77777777" w:rsidR="00E836FB" w:rsidRDefault="00E836FB">
            <w:pPr>
              <w:rPr>
                <w:rFonts w:ascii="宋体"/>
                <w:vanish/>
              </w:rPr>
            </w:pPr>
          </w:p>
        </w:tc>
        <w:tc>
          <w:tcPr>
            <w:tcW w:w="0" w:type="auto"/>
            <w:shd w:val="clear" w:color="auto" w:fill="auto"/>
            <w:vAlign w:val="bottom"/>
          </w:tcPr>
          <w:p w14:paraId="5F2D3F8A" w14:textId="77777777" w:rsidR="00E836FB" w:rsidRDefault="00E836FB">
            <w:pPr>
              <w:rPr>
                <w:rFonts w:ascii="宋体"/>
                <w:vanish/>
              </w:rPr>
            </w:pPr>
          </w:p>
        </w:tc>
        <w:tc>
          <w:tcPr>
            <w:tcW w:w="0" w:type="auto"/>
            <w:shd w:val="clear" w:color="auto" w:fill="auto"/>
            <w:vAlign w:val="bottom"/>
          </w:tcPr>
          <w:p w14:paraId="5F2D3F8B" w14:textId="77777777" w:rsidR="00E836FB" w:rsidRDefault="00E836FB">
            <w:pPr>
              <w:rPr>
                <w:rFonts w:ascii="宋体"/>
                <w:vanish/>
              </w:rPr>
            </w:pPr>
          </w:p>
        </w:tc>
        <w:tc>
          <w:tcPr>
            <w:tcW w:w="0" w:type="auto"/>
            <w:shd w:val="clear" w:color="auto" w:fill="auto"/>
            <w:vAlign w:val="bottom"/>
          </w:tcPr>
          <w:p w14:paraId="5F2D3F8C" w14:textId="77777777" w:rsidR="00E836FB" w:rsidRDefault="00E836FB">
            <w:pPr>
              <w:rPr>
                <w:rFonts w:ascii="宋体"/>
                <w:vanish/>
              </w:rPr>
            </w:pPr>
          </w:p>
        </w:tc>
        <w:tc>
          <w:tcPr>
            <w:tcW w:w="0" w:type="auto"/>
            <w:shd w:val="clear" w:color="auto" w:fill="auto"/>
            <w:vAlign w:val="bottom"/>
          </w:tcPr>
          <w:p w14:paraId="5F2D3F8D" w14:textId="77777777" w:rsidR="00E836FB" w:rsidRDefault="00E836FB">
            <w:pPr>
              <w:rPr>
                <w:rFonts w:ascii="宋体"/>
                <w:vanish/>
              </w:rPr>
            </w:pPr>
          </w:p>
        </w:tc>
        <w:tc>
          <w:tcPr>
            <w:tcW w:w="0" w:type="auto"/>
            <w:gridSpan w:val="3"/>
            <w:shd w:val="clear" w:color="auto" w:fill="auto"/>
            <w:vAlign w:val="bottom"/>
          </w:tcPr>
          <w:p w14:paraId="5F2D3F8E" w14:textId="77777777" w:rsidR="00E836FB" w:rsidRDefault="00E836FB">
            <w:pPr>
              <w:rPr>
                <w:rFonts w:ascii="宋体"/>
                <w:vanish/>
              </w:rPr>
            </w:pPr>
          </w:p>
        </w:tc>
        <w:tc>
          <w:tcPr>
            <w:tcW w:w="0" w:type="auto"/>
            <w:gridSpan w:val="3"/>
            <w:shd w:val="clear" w:color="auto" w:fill="auto"/>
            <w:vAlign w:val="bottom"/>
          </w:tcPr>
          <w:p w14:paraId="5F2D3F8F" w14:textId="77777777" w:rsidR="00E836FB" w:rsidRDefault="00E836FB">
            <w:pPr>
              <w:rPr>
                <w:rFonts w:ascii="宋体"/>
                <w:vanish/>
              </w:rPr>
            </w:pPr>
          </w:p>
        </w:tc>
        <w:tc>
          <w:tcPr>
            <w:tcW w:w="0" w:type="auto"/>
            <w:gridSpan w:val="3"/>
            <w:shd w:val="clear" w:color="auto" w:fill="auto"/>
            <w:vAlign w:val="bottom"/>
          </w:tcPr>
          <w:p w14:paraId="5F2D3F90" w14:textId="77777777" w:rsidR="00E836FB" w:rsidRDefault="00E836FB">
            <w:pPr>
              <w:rPr>
                <w:rFonts w:ascii="宋体"/>
                <w:vanish/>
              </w:rPr>
            </w:pPr>
          </w:p>
        </w:tc>
        <w:tc>
          <w:tcPr>
            <w:tcW w:w="0" w:type="auto"/>
            <w:gridSpan w:val="3"/>
            <w:shd w:val="clear" w:color="auto" w:fill="auto"/>
            <w:vAlign w:val="bottom"/>
          </w:tcPr>
          <w:p w14:paraId="5F2D3F91" w14:textId="77777777" w:rsidR="00E836FB" w:rsidRDefault="00E836FB">
            <w:pPr>
              <w:rPr>
                <w:rFonts w:ascii="宋体"/>
                <w:vanish/>
              </w:rPr>
            </w:pPr>
          </w:p>
        </w:tc>
        <w:tc>
          <w:tcPr>
            <w:tcW w:w="0" w:type="auto"/>
            <w:gridSpan w:val="3"/>
            <w:shd w:val="clear" w:color="auto" w:fill="auto"/>
            <w:vAlign w:val="bottom"/>
          </w:tcPr>
          <w:p w14:paraId="5F2D3F92" w14:textId="77777777" w:rsidR="00E836FB" w:rsidRDefault="00E836FB">
            <w:pPr>
              <w:rPr>
                <w:rFonts w:ascii="宋体"/>
                <w:vanish/>
              </w:rPr>
            </w:pPr>
          </w:p>
        </w:tc>
        <w:tc>
          <w:tcPr>
            <w:tcW w:w="0" w:type="auto"/>
            <w:gridSpan w:val="3"/>
            <w:shd w:val="clear" w:color="auto" w:fill="auto"/>
            <w:vAlign w:val="bottom"/>
          </w:tcPr>
          <w:p w14:paraId="5F2D3F93" w14:textId="77777777" w:rsidR="00E836FB" w:rsidRDefault="00E836FB">
            <w:pPr>
              <w:rPr>
                <w:rFonts w:ascii="宋体"/>
                <w:vanish/>
              </w:rPr>
            </w:pPr>
          </w:p>
        </w:tc>
        <w:tc>
          <w:tcPr>
            <w:tcW w:w="0" w:type="auto"/>
            <w:gridSpan w:val="3"/>
            <w:shd w:val="clear" w:color="auto" w:fill="auto"/>
            <w:vAlign w:val="bottom"/>
          </w:tcPr>
          <w:p w14:paraId="5F2D3F94" w14:textId="77777777" w:rsidR="00E836FB" w:rsidRDefault="00E836FB">
            <w:pPr>
              <w:rPr>
                <w:rFonts w:ascii="宋体"/>
                <w:vanish/>
              </w:rPr>
            </w:pPr>
          </w:p>
        </w:tc>
        <w:tc>
          <w:tcPr>
            <w:tcW w:w="0" w:type="auto"/>
            <w:gridSpan w:val="3"/>
            <w:shd w:val="clear" w:color="auto" w:fill="auto"/>
            <w:vAlign w:val="bottom"/>
          </w:tcPr>
          <w:p w14:paraId="5F2D3F95" w14:textId="77777777" w:rsidR="00E836FB" w:rsidRDefault="00E836FB">
            <w:pPr>
              <w:rPr>
                <w:rFonts w:ascii="宋体"/>
                <w:vanish/>
              </w:rPr>
            </w:pPr>
          </w:p>
        </w:tc>
      </w:tr>
      <w:tr w:rsidR="00E836FB" w14:paraId="5F2D3FAE" w14:textId="77777777">
        <w:tc>
          <w:tcPr>
            <w:tcW w:w="0" w:type="auto"/>
            <w:gridSpan w:val="3"/>
            <w:shd w:val="clear" w:color="auto" w:fill="CCEEFF"/>
            <w:tcMar>
              <w:top w:w="0" w:type="dxa"/>
              <w:left w:w="20" w:type="dxa"/>
              <w:bottom w:w="0" w:type="dxa"/>
              <w:right w:w="20" w:type="dxa"/>
            </w:tcMar>
            <w:vAlign w:val="bottom"/>
          </w:tcPr>
          <w:p w14:paraId="5F2D3F97" w14:textId="77777777" w:rsidR="00E836FB" w:rsidRDefault="00E836FB">
            <w:pPr>
              <w:rPr>
                <w:rFonts w:ascii="宋体"/>
              </w:rPr>
            </w:pPr>
          </w:p>
        </w:tc>
        <w:tc>
          <w:tcPr>
            <w:tcW w:w="0" w:type="auto"/>
            <w:shd w:val="clear" w:color="auto" w:fill="auto"/>
            <w:vAlign w:val="bottom"/>
          </w:tcPr>
          <w:p w14:paraId="5F2D3F98" w14:textId="77777777" w:rsidR="00E836FB" w:rsidRDefault="00E836FB">
            <w:pPr>
              <w:rPr>
                <w:rFonts w:ascii="宋体"/>
                <w:vanish/>
              </w:rPr>
            </w:pPr>
          </w:p>
        </w:tc>
        <w:tc>
          <w:tcPr>
            <w:tcW w:w="0" w:type="auto"/>
            <w:shd w:val="clear" w:color="auto" w:fill="auto"/>
            <w:vAlign w:val="bottom"/>
          </w:tcPr>
          <w:p w14:paraId="5F2D3F99" w14:textId="77777777" w:rsidR="00E836FB" w:rsidRDefault="00E836FB">
            <w:pPr>
              <w:rPr>
                <w:rFonts w:ascii="宋体"/>
                <w:vanish/>
              </w:rPr>
            </w:pPr>
          </w:p>
        </w:tc>
        <w:tc>
          <w:tcPr>
            <w:tcW w:w="0" w:type="auto"/>
            <w:shd w:val="clear" w:color="auto" w:fill="auto"/>
            <w:vAlign w:val="bottom"/>
          </w:tcPr>
          <w:p w14:paraId="5F2D3F9A" w14:textId="77777777" w:rsidR="00E836FB" w:rsidRDefault="00E836FB">
            <w:pPr>
              <w:rPr>
                <w:rFonts w:ascii="宋体"/>
                <w:vanish/>
              </w:rPr>
            </w:pPr>
          </w:p>
        </w:tc>
        <w:tc>
          <w:tcPr>
            <w:tcW w:w="0" w:type="auto"/>
            <w:shd w:val="clear" w:color="auto" w:fill="auto"/>
            <w:vAlign w:val="bottom"/>
          </w:tcPr>
          <w:p w14:paraId="5F2D3F9B" w14:textId="77777777" w:rsidR="00E836FB" w:rsidRDefault="00E836FB">
            <w:pPr>
              <w:rPr>
                <w:rFonts w:ascii="宋体"/>
                <w:vanish/>
              </w:rPr>
            </w:pPr>
          </w:p>
        </w:tc>
        <w:tc>
          <w:tcPr>
            <w:tcW w:w="0" w:type="auto"/>
            <w:shd w:val="clear" w:color="auto" w:fill="auto"/>
            <w:vAlign w:val="bottom"/>
          </w:tcPr>
          <w:p w14:paraId="5F2D3F9C" w14:textId="77777777" w:rsidR="00E836FB" w:rsidRDefault="00E836FB">
            <w:pPr>
              <w:rPr>
                <w:rFonts w:ascii="宋体"/>
                <w:vanish/>
              </w:rPr>
            </w:pPr>
          </w:p>
        </w:tc>
        <w:tc>
          <w:tcPr>
            <w:tcW w:w="0" w:type="auto"/>
            <w:shd w:val="clear" w:color="auto" w:fill="auto"/>
            <w:vAlign w:val="bottom"/>
          </w:tcPr>
          <w:p w14:paraId="5F2D3F9D" w14:textId="77777777" w:rsidR="00E836FB" w:rsidRDefault="00E836FB">
            <w:pPr>
              <w:rPr>
                <w:rFonts w:ascii="宋体"/>
                <w:vanish/>
              </w:rPr>
            </w:pPr>
          </w:p>
        </w:tc>
        <w:tc>
          <w:tcPr>
            <w:tcW w:w="0" w:type="auto"/>
            <w:shd w:val="clear" w:color="auto" w:fill="auto"/>
            <w:vAlign w:val="bottom"/>
          </w:tcPr>
          <w:p w14:paraId="5F2D3F9E" w14:textId="77777777" w:rsidR="00E836FB" w:rsidRDefault="00E836FB">
            <w:pPr>
              <w:rPr>
                <w:rFonts w:ascii="宋体"/>
                <w:vanish/>
              </w:rPr>
            </w:pPr>
          </w:p>
        </w:tc>
        <w:tc>
          <w:tcPr>
            <w:tcW w:w="0" w:type="auto"/>
            <w:shd w:val="clear" w:color="auto" w:fill="auto"/>
            <w:vAlign w:val="bottom"/>
          </w:tcPr>
          <w:p w14:paraId="5F2D3F9F" w14:textId="77777777" w:rsidR="00E836FB" w:rsidRDefault="00E836FB">
            <w:pPr>
              <w:rPr>
                <w:rFonts w:ascii="宋体"/>
                <w:vanish/>
              </w:rPr>
            </w:pPr>
          </w:p>
        </w:tc>
        <w:tc>
          <w:tcPr>
            <w:tcW w:w="0" w:type="auto"/>
            <w:shd w:val="clear" w:color="auto" w:fill="auto"/>
            <w:vAlign w:val="bottom"/>
          </w:tcPr>
          <w:p w14:paraId="5F2D3FA0" w14:textId="77777777" w:rsidR="00E836FB" w:rsidRDefault="00E836FB">
            <w:pPr>
              <w:rPr>
                <w:rFonts w:ascii="宋体"/>
                <w:vanish/>
              </w:rPr>
            </w:pPr>
          </w:p>
        </w:tc>
        <w:tc>
          <w:tcPr>
            <w:tcW w:w="0" w:type="auto"/>
            <w:gridSpan w:val="3"/>
            <w:shd w:val="clear" w:color="auto" w:fill="auto"/>
            <w:vAlign w:val="bottom"/>
          </w:tcPr>
          <w:p w14:paraId="5F2D3FA1" w14:textId="77777777" w:rsidR="00E836FB" w:rsidRDefault="00E836FB">
            <w:pPr>
              <w:rPr>
                <w:rFonts w:ascii="宋体"/>
                <w:vanish/>
              </w:rPr>
            </w:pPr>
          </w:p>
        </w:tc>
        <w:tc>
          <w:tcPr>
            <w:tcW w:w="0" w:type="auto"/>
            <w:gridSpan w:val="3"/>
            <w:shd w:val="clear" w:color="auto" w:fill="auto"/>
            <w:vAlign w:val="bottom"/>
          </w:tcPr>
          <w:p w14:paraId="5F2D3FA2" w14:textId="77777777" w:rsidR="00E836FB" w:rsidRDefault="00E836FB">
            <w:pPr>
              <w:rPr>
                <w:rFonts w:ascii="宋体"/>
                <w:vanish/>
              </w:rPr>
            </w:pPr>
          </w:p>
        </w:tc>
        <w:tc>
          <w:tcPr>
            <w:tcW w:w="0" w:type="auto"/>
            <w:gridSpan w:val="3"/>
            <w:shd w:val="clear" w:color="auto" w:fill="auto"/>
            <w:vAlign w:val="bottom"/>
          </w:tcPr>
          <w:p w14:paraId="5F2D3FA3"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3FA4" w14:textId="77777777" w:rsidR="00E836FB" w:rsidRDefault="00994958">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FA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FA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FA7"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FA8" w14:textId="77777777" w:rsidR="00E836FB" w:rsidRDefault="00994958">
            <w:pPr>
              <w:jc w:val="right"/>
              <w:textAlignment w:val="bottom"/>
            </w:pPr>
            <w:r>
              <w:rPr>
                <w:rFonts w:ascii="Arial" w:eastAsia="宋体" w:hAnsi="Arial" w:cs="Arial"/>
                <w:b/>
                <w:bCs/>
                <w:color w:val="000000"/>
                <w:sz w:val="14"/>
                <w:szCs w:val="14"/>
              </w:rPr>
              <w:t>80.00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F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3FA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3FA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3FAC" w14:textId="77777777" w:rsidR="00E836FB" w:rsidRDefault="00994958">
            <w:pPr>
              <w:jc w:val="right"/>
              <w:textAlignment w:val="bottom"/>
            </w:pPr>
            <w:r>
              <w:rPr>
                <w:rFonts w:ascii="Arial" w:eastAsia="宋体" w:hAnsi="Arial" w:cs="Arial"/>
                <w:b/>
                <w:bCs/>
                <w:color w:val="000000"/>
                <w:sz w:val="14"/>
                <w:szCs w:val="14"/>
              </w:rPr>
              <w:t>900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3FAD" w14:textId="77777777" w:rsidR="00E836FB" w:rsidRDefault="00E836FB">
            <w:pPr>
              <w:jc w:val="right"/>
              <w:rPr>
                <w:rFonts w:ascii="宋体"/>
              </w:rPr>
            </w:pPr>
          </w:p>
        </w:tc>
      </w:tr>
      <w:tr w:rsidR="00E836FB" w14:paraId="5F2D3FC1" w14:textId="77777777">
        <w:trPr>
          <w:hidden/>
        </w:trPr>
        <w:tc>
          <w:tcPr>
            <w:tcW w:w="0" w:type="auto"/>
            <w:gridSpan w:val="3"/>
            <w:shd w:val="clear" w:color="auto" w:fill="auto"/>
            <w:vAlign w:val="bottom"/>
          </w:tcPr>
          <w:p w14:paraId="5F2D3FAF" w14:textId="77777777" w:rsidR="00E836FB" w:rsidRDefault="00E836FB">
            <w:pPr>
              <w:rPr>
                <w:rFonts w:ascii="宋体"/>
                <w:vanish/>
              </w:rPr>
            </w:pPr>
          </w:p>
        </w:tc>
        <w:tc>
          <w:tcPr>
            <w:tcW w:w="0" w:type="auto"/>
            <w:shd w:val="clear" w:color="auto" w:fill="auto"/>
            <w:vAlign w:val="bottom"/>
          </w:tcPr>
          <w:p w14:paraId="5F2D3FB0" w14:textId="77777777" w:rsidR="00E836FB" w:rsidRDefault="00E836FB">
            <w:pPr>
              <w:rPr>
                <w:rFonts w:ascii="宋体"/>
                <w:vanish/>
              </w:rPr>
            </w:pPr>
          </w:p>
        </w:tc>
        <w:tc>
          <w:tcPr>
            <w:tcW w:w="0" w:type="auto"/>
            <w:shd w:val="clear" w:color="auto" w:fill="auto"/>
            <w:vAlign w:val="bottom"/>
          </w:tcPr>
          <w:p w14:paraId="5F2D3FB1" w14:textId="77777777" w:rsidR="00E836FB" w:rsidRDefault="00E836FB">
            <w:pPr>
              <w:rPr>
                <w:rFonts w:ascii="宋体"/>
                <w:vanish/>
              </w:rPr>
            </w:pPr>
          </w:p>
        </w:tc>
        <w:tc>
          <w:tcPr>
            <w:tcW w:w="0" w:type="auto"/>
            <w:shd w:val="clear" w:color="auto" w:fill="auto"/>
            <w:vAlign w:val="bottom"/>
          </w:tcPr>
          <w:p w14:paraId="5F2D3FB2" w14:textId="77777777" w:rsidR="00E836FB" w:rsidRDefault="00E836FB">
            <w:pPr>
              <w:rPr>
                <w:rFonts w:ascii="宋体"/>
                <w:vanish/>
              </w:rPr>
            </w:pPr>
          </w:p>
        </w:tc>
        <w:tc>
          <w:tcPr>
            <w:tcW w:w="0" w:type="auto"/>
            <w:shd w:val="clear" w:color="auto" w:fill="auto"/>
            <w:vAlign w:val="bottom"/>
          </w:tcPr>
          <w:p w14:paraId="5F2D3FB3" w14:textId="77777777" w:rsidR="00E836FB" w:rsidRDefault="00E836FB">
            <w:pPr>
              <w:rPr>
                <w:rFonts w:ascii="宋体"/>
                <w:vanish/>
              </w:rPr>
            </w:pPr>
          </w:p>
        </w:tc>
        <w:tc>
          <w:tcPr>
            <w:tcW w:w="0" w:type="auto"/>
            <w:shd w:val="clear" w:color="auto" w:fill="auto"/>
            <w:vAlign w:val="bottom"/>
          </w:tcPr>
          <w:p w14:paraId="5F2D3FB4" w14:textId="77777777" w:rsidR="00E836FB" w:rsidRDefault="00E836FB">
            <w:pPr>
              <w:rPr>
                <w:rFonts w:ascii="宋体"/>
                <w:vanish/>
              </w:rPr>
            </w:pPr>
          </w:p>
        </w:tc>
        <w:tc>
          <w:tcPr>
            <w:tcW w:w="0" w:type="auto"/>
            <w:shd w:val="clear" w:color="auto" w:fill="auto"/>
            <w:vAlign w:val="bottom"/>
          </w:tcPr>
          <w:p w14:paraId="5F2D3FB5" w14:textId="77777777" w:rsidR="00E836FB" w:rsidRDefault="00E836FB">
            <w:pPr>
              <w:rPr>
                <w:rFonts w:ascii="宋体"/>
                <w:vanish/>
              </w:rPr>
            </w:pPr>
          </w:p>
        </w:tc>
        <w:tc>
          <w:tcPr>
            <w:tcW w:w="0" w:type="auto"/>
            <w:shd w:val="clear" w:color="auto" w:fill="auto"/>
            <w:vAlign w:val="bottom"/>
          </w:tcPr>
          <w:p w14:paraId="5F2D3FB6" w14:textId="77777777" w:rsidR="00E836FB" w:rsidRDefault="00E836FB">
            <w:pPr>
              <w:rPr>
                <w:rFonts w:ascii="宋体"/>
                <w:vanish/>
              </w:rPr>
            </w:pPr>
          </w:p>
        </w:tc>
        <w:tc>
          <w:tcPr>
            <w:tcW w:w="0" w:type="auto"/>
            <w:shd w:val="clear" w:color="auto" w:fill="auto"/>
            <w:vAlign w:val="bottom"/>
          </w:tcPr>
          <w:p w14:paraId="5F2D3FB7" w14:textId="77777777" w:rsidR="00E836FB" w:rsidRDefault="00E836FB">
            <w:pPr>
              <w:rPr>
                <w:rFonts w:ascii="宋体"/>
                <w:vanish/>
              </w:rPr>
            </w:pPr>
          </w:p>
        </w:tc>
        <w:tc>
          <w:tcPr>
            <w:tcW w:w="0" w:type="auto"/>
            <w:shd w:val="clear" w:color="auto" w:fill="auto"/>
            <w:vAlign w:val="bottom"/>
          </w:tcPr>
          <w:p w14:paraId="5F2D3FB8" w14:textId="77777777" w:rsidR="00E836FB" w:rsidRDefault="00E836FB">
            <w:pPr>
              <w:rPr>
                <w:rFonts w:ascii="宋体"/>
                <w:vanish/>
              </w:rPr>
            </w:pPr>
          </w:p>
        </w:tc>
        <w:tc>
          <w:tcPr>
            <w:tcW w:w="0" w:type="auto"/>
            <w:gridSpan w:val="3"/>
            <w:shd w:val="clear" w:color="auto" w:fill="auto"/>
            <w:vAlign w:val="bottom"/>
          </w:tcPr>
          <w:p w14:paraId="5F2D3FB9" w14:textId="77777777" w:rsidR="00E836FB" w:rsidRDefault="00E836FB">
            <w:pPr>
              <w:rPr>
                <w:rFonts w:ascii="宋体"/>
                <w:vanish/>
              </w:rPr>
            </w:pPr>
          </w:p>
        </w:tc>
        <w:tc>
          <w:tcPr>
            <w:tcW w:w="0" w:type="auto"/>
            <w:gridSpan w:val="3"/>
            <w:shd w:val="clear" w:color="auto" w:fill="auto"/>
            <w:vAlign w:val="bottom"/>
          </w:tcPr>
          <w:p w14:paraId="5F2D3FBA" w14:textId="77777777" w:rsidR="00E836FB" w:rsidRDefault="00E836FB">
            <w:pPr>
              <w:rPr>
                <w:rFonts w:ascii="宋体"/>
                <w:vanish/>
              </w:rPr>
            </w:pPr>
          </w:p>
        </w:tc>
        <w:tc>
          <w:tcPr>
            <w:tcW w:w="0" w:type="auto"/>
            <w:gridSpan w:val="3"/>
            <w:shd w:val="clear" w:color="auto" w:fill="auto"/>
            <w:vAlign w:val="bottom"/>
          </w:tcPr>
          <w:p w14:paraId="5F2D3FBB" w14:textId="77777777" w:rsidR="00E836FB" w:rsidRDefault="00E836FB">
            <w:pPr>
              <w:rPr>
                <w:rFonts w:ascii="宋体"/>
                <w:vanish/>
              </w:rPr>
            </w:pPr>
          </w:p>
        </w:tc>
        <w:tc>
          <w:tcPr>
            <w:tcW w:w="0" w:type="auto"/>
            <w:gridSpan w:val="3"/>
            <w:shd w:val="clear" w:color="auto" w:fill="auto"/>
            <w:vAlign w:val="bottom"/>
          </w:tcPr>
          <w:p w14:paraId="5F2D3FBC" w14:textId="77777777" w:rsidR="00E836FB" w:rsidRDefault="00E836FB">
            <w:pPr>
              <w:rPr>
                <w:rFonts w:ascii="宋体"/>
                <w:vanish/>
              </w:rPr>
            </w:pPr>
          </w:p>
        </w:tc>
        <w:tc>
          <w:tcPr>
            <w:tcW w:w="0" w:type="auto"/>
            <w:gridSpan w:val="3"/>
            <w:shd w:val="clear" w:color="auto" w:fill="auto"/>
            <w:vAlign w:val="bottom"/>
          </w:tcPr>
          <w:p w14:paraId="5F2D3FBD" w14:textId="77777777" w:rsidR="00E836FB" w:rsidRDefault="00E836FB">
            <w:pPr>
              <w:rPr>
                <w:rFonts w:ascii="宋体"/>
                <w:vanish/>
              </w:rPr>
            </w:pPr>
          </w:p>
        </w:tc>
        <w:tc>
          <w:tcPr>
            <w:tcW w:w="0" w:type="auto"/>
            <w:gridSpan w:val="3"/>
            <w:shd w:val="clear" w:color="auto" w:fill="auto"/>
            <w:vAlign w:val="bottom"/>
          </w:tcPr>
          <w:p w14:paraId="5F2D3FBE" w14:textId="77777777" w:rsidR="00E836FB" w:rsidRDefault="00E836FB">
            <w:pPr>
              <w:rPr>
                <w:rFonts w:ascii="宋体"/>
                <w:vanish/>
              </w:rPr>
            </w:pPr>
          </w:p>
        </w:tc>
        <w:tc>
          <w:tcPr>
            <w:tcW w:w="0" w:type="auto"/>
            <w:gridSpan w:val="3"/>
            <w:shd w:val="clear" w:color="auto" w:fill="auto"/>
            <w:vAlign w:val="bottom"/>
          </w:tcPr>
          <w:p w14:paraId="5F2D3FBF" w14:textId="77777777" w:rsidR="00E836FB" w:rsidRDefault="00E836FB">
            <w:pPr>
              <w:rPr>
                <w:rFonts w:ascii="宋体"/>
                <w:vanish/>
              </w:rPr>
            </w:pPr>
          </w:p>
        </w:tc>
        <w:tc>
          <w:tcPr>
            <w:tcW w:w="0" w:type="auto"/>
            <w:gridSpan w:val="3"/>
            <w:shd w:val="clear" w:color="auto" w:fill="auto"/>
            <w:vAlign w:val="bottom"/>
          </w:tcPr>
          <w:p w14:paraId="5F2D3FC0" w14:textId="77777777" w:rsidR="00E836FB" w:rsidRDefault="00E836FB">
            <w:pPr>
              <w:rPr>
                <w:rFonts w:ascii="宋体"/>
                <w:vanish/>
              </w:rPr>
            </w:pPr>
          </w:p>
        </w:tc>
      </w:tr>
    </w:tbl>
    <w:p w14:paraId="5F2D3FC2"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003"/>
        <w:gridCol w:w="36"/>
        <w:gridCol w:w="36"/>
        <w:gridCol w:w="36"/>
        <w:gridCol w:w="36"/>
        <w:gridCol w:w="36"/>
        <w:gridCol w:w="144"/>
        <w:gridCol w:w="144"/>
        <w:gridCol w:w="144"/>
        <w:gridCol w:w="144"/>
        <w:gridCol w:w="144"/>
        <w:gridCol w:w="36"/>
        <w:gridCol w:w="36"/>
        <w:gridCol w:w="36"/>
        <w:gridCol w:w="36"/>
        <w:gridCol w:w="36"/>
        <w:gridCol w:w="36"/>
        <w:gridCol w:w="36"/>
        <w:gridCol w:w="36"/>
        <w:gridCol w:w="36"/>
        <w:gridCol w:w="37"/>
        <w:gridCol w:w="1860"/>
        <w:gridCol w:w="36"/>
        <w:gridCol w:w="36"/>
        <w:gridCol w:w="36"/>
        <w:gridCol w:w="36"/>
        <w:gridCol w:w="99"/>
        <w:gridCol w:w="1826"/>
        <w:gridCol w:w="36"/>
        <w:gridCol w:w="36"/>
        <w:gridCol w:w="36"/>
        <w:gridCol w:w="36"/>
        <w:gridCol w:w="99"/>
        <w:gridCol w:w="1827"/>
        <w:gridCol w:w="36"/>
      </w:tblGrid>
      <w:tr w:rsidR="00E836FB" w14:paraId="5F2D3FE1" w14:textId="77777777">
        <w:tc>
          <w:tcPr>
            <w:tcW w:w="50" w:type="pct"/>
            <w:shd w:val="clear" w:color="auto" w:fill="auto"/>
            <w:vAlign w:val="bottom"/>
          </w:tcPr>
          <w:p w14:paraId="5F2D3FC3" w14:textId="77777777" w:rsidR="00E836FB" w:rsidRDefault="00E836FB">
            <w:pPr>
              <w:rPr>
                <w:rFonts w:ascii="宋体"/>
              </w:rPr>
            </w:pPr>
          </w:p>
        </w:tc>
        <w:tc>
          <w:tcPr>
            <w:tcW w:w="727" w:type="pct"/>
            <w:shd w:val="clear" w:color="auto" w:fill="auto"/>
            <w:vAlign w:val="bottom"/>
          </w:tcPr>
          <w:p w14:paraId="5F2D3FC4" w14:textId="77777777" w:rsidR="00E836FB" w:rsidRDefault="00E836FB">
            <w:pPr>
              <w:rPr>
                <w:rFonts w:ascii="宋体"/>
              </w:rPr>
            </w:pPr>
          </w:p>
        </w:tc>
        <w:tc>
          <w:tcPr>
            <w:tcW w:w="5" w:type="pct"/>
            <w:shd w:val="clear" w:color="auto" w:fill="auto"/>
            <w:vAlign w:val="bottom"/>
          </w:tcPr>
          <w:p w14:paraId="5F2D3FC5" w14:textId="77777777" w:rsidR="00E836FB" w:rsidRDefault="00E836FB">
            <w:pPr>
              <w:rPr>
                <w:rFonts w:ascii="宋体"/>
              </w:rPr>
            </w:pPr>
          </w:p>
        </w:tc>
        <w:tc>
          <w:tcPr>
            <w:tcW w:w="0" w:type="auto"/>
            <w:shd w:val="clear" w:color="auto" w:fill="auto"/>
            <w:vAlign w:val="bottom"/>
          </w:tcPr>
          <w:p w14:paraId="5F2D3FC6" w14:textId="77777777" w:rsidR="00E836FB" w:rsidRDefault="00E836FB">
            <w:pPr>
              <w:rPr>
                <w:rFonts w:ascii="宋体"/>
                <w:vanish/>
              </w:rPr>
            </w:pPr>
          </w:p>
        </w:tc>
        <w:tc>
          <w:tcPr>
            <w:tcW w:w="0" w:type="auto"/>
            <w:shd w:val="clear" w:color="auto" w:fill="auto"/>
            <w:vAlign w:val="bottom"/>
          </w:tcPr>
          <w:p w14:paraId="5F2D3FC7" w14:textId="77777777" w:rsidR="00E836FB" w:rsidRDefault="00E836FB">
            <w:pPr>
              <w:rPr>
                <w:rFonts w:ascii="宋体"/>
                <w:vanish/>
              </w:rPr>
            </w:pPr>
          </w:p>
        </w:tc>
        <w:tc>
          <w:tcPr>
            <w:tcW w:w="0" w:type="auto"/>
            <w:shd w:val="clear" w:color="auto" w:fill="auto"/>
            <w:vAlign w:val="bottom"/>
          </w:tcPr>
          <w:p w14:paraId="5F2D3FC8" w14:textId="77777777" w:rsidR="00E836FB" w:rsidRDefault="00E836FB">
            <w:pPr>
              <w:rPr>
                <w:rFonts w:ascii="宋体"/>
                <w:vanish/>
              </w:rPr>
            </w:pPr>
          </w:p>
        </w:tc>
        <w:tc>
          <w:tcPr>
            <w:tcW w:w="0" w:type="auto"/>
            <w:shd w:val="clear" w:color="auto" w:fill="auto"/>
            <w:vAlign w:val="bottom"/>
          </w:tcPr>
          <w:p w14:paraId="5F2D3FC9" w14:textId="77777777" w:rsidR="00E836FB" w:rsidRDefault="00E836FB">
            <w:pPr>
              <w:rPr>
                <w:rFonts w:ascii="宋体"/>
                <w:vanish/>
              </w:rPr>
            </w:pPr>
          </w:p>
        </w:tc>
        <w:tc>
          <w:tcPr>
            <w:tcW w:w="0" w:type="auto"/>
            <w:shd w:val="clear" w:color="auto" w:fill="auto"/>
            <w:vAlign w:val="bottom"/>
          </w:tcPr>
          <w:p w14:paraId="5F2D3FCA" w14:textId="77777777" w:rsidR="00E836FB" w:rsidRDefault="00E836FB">
            <w:pPr>
              <w:rPr>
                <w:rFonts w:ascii="宋体"/>
                <w:vanish/>
              </w:rPr>
            </w:pPr>
          </w:p>
        </w:tc>
        <w:tc>
          <w:tcPr>
            <w:tcW w:w="0" w:type="auto"/>
            <w:shd w:val="clear" w:color="auto" w:fill="auto"/>
            <w:vAlign w:val="bottom"/>
          </w:tcPr>
          <w:p w14:paraId="5F2D3FCB" w14:textId="77777777" w:rsidR="00E836FB" w:rsidRDefault="00E836FB">
            <w:pPr>
              <w:rPr>
                <w:rFonts w:ascii="宋体"/>
                <w:vanish/>
              </w:rPr>
            </w:pPr>
          </w:p>
        </w:tc>
        <w:tc>
          <w:tcPr>
            <w:tcW w:w="0" w:type="auto"/>
            <w:shd w:val="clear" w:color="auto" w:fill="auto"/>
            <w:vAlign w:val="bottom"/>
          </w:tcPr>
          <w:p w14:paraId="5F2D3FCC" w14:textId="77777777" w:rsidR="00E836FB" w:rsidRDefault="00E836FB">
            <w:pPr>
              <w:rPr>
                <w:rFonts w:ascii="宋体"/>
                <w:vanish/>
              </w:rPr>
            </w:pPr>
          </w:p>
        </w:tc>
        <w:tc>
          <w:tcPr>
            <w:tcW w:w="0" w:type="auto"/>
            <w:shd w:val="clear" w:color="auto" w:fill="auto"/>
            <w:vAlign w:val="bottom"/>
          </w:tcPr>
          <w:p w14:paraId="5F2D3FCD" w14:textId="77777777" w:rsidR="00E836FB" w:rsidRDefault="00E836FB">
            <w:pPr>
              <w:rPr>
                <w:rFonts w:ascii="宋体"/>
                <w:vanish/>
              </w:rPr>
            </w:pPr>
          </w:p>
        </w:tc>
        <w:tc>
          <w:tcPr>
            <w:tcW w:w="0" w:type="auto"/>
            <w:shd w:val="clear" w:color="auto" w:fill="auto"/>
            <w:vAlign w:val="bottom"/>
          </w:tcPr>
          <w:p w14:paraId="5F2D3FCE" w14:textId="77777777" w:rsidR="00E836FB" w:rsidRDefault="00E836FB">
            <w:pPr>
              <w:rPr>
                <w:rFonts w:ascii="宋体"/>
                <w:vanish/>
              </w:rPr>
            </w:pPr>
          </w:p>
        </w:tc>
        <w:tc>
          <w:tcPr>
            <w:tcW w:w="0" w:type="auto"/>
            <w:gridSpan w:val="3"/>
            <w:shd w:val="clear" w:color="auto" w:fill="auto"/>
            <w:vAlign w:val="bottom"/>
          </w:tcPr>
          <w:p w14:paraId="5F2D3FCF" w14:textId="77777777" w:rsidR="00E836FB" w:rsidRDefault="00E836FB">
            <w:pPr>
              <w:rPr>
                <w:rFonts w:ascii="宋体"/>
                <w:vanish/>
              </w:rPr>
            </w:pPr>
          </w:p>
        </w:tc>
        <w:tc>
          <w:tcPr>
            <w:tcW w:w="0" w:type="auto"/>
            <w:gridSpan w:val="3"/>
            <w:shd w:val="clear" w:color="auto" w:fill="auto"/>
            <w:vAlign w:val="bottom"/>
          </w:tcPr>
          <w:p w14:paraId="5F2D3FD0" w14:textId="77777777" w:rsidR="00E836FB" w:rsidRDefault="00E836FB">
            <w:pPr>
              <w:rPr>
                <w:rFonts w:ascii="宋体"/>
                <w:vanish/>
              </w:rPr>
            </w:pPr>
          </w:p>
        </w:tc>
        <w:tc>
          <w:tcPr>
            <w:tcW w:w="0" w:type="auto"/>
            <w:gridSpan w:val="3"/>
            <w:shd w:val="clear" w:color="auto" w:fill="auto"/>
            <w:vAlign w:val="bottom"/>
          </w:tcPr>
          <w:p w14:paraId="5F2D3FD1" w14:textId="77777777" w:rsidR="00E836FB" w:rsidRDefault="00E836FB">
            <w:pPr>
              <w:rPr>
                <w:rFonts w:ascii="宋体"/>
                <w:vanish/>
              </w:rPr>
            </w:pPr>
          </w:p>
        </w:tc>
        <w:tc>
          <w:tcPr>
            <w:tcW w:w="50" w:type="pct"/>
            <w:shd w:val="clear" w:color="auto" w:fill="auto"/>
            <w:vAlign w:val="bottom"/>
          </w:tcPr>
          <w:p w14:paraId="5F2D3FD2" w14:textId="77777777" w:rsidR="00E836FB" w:rsidRDefault="00E836FB">
            <w:pPr>
              <w:rPr>
                <w:rFonts w:ascii="宋体"/>
              </w:rPr>
            </w:pPr>
          </w:p>
        </w:tc>
        <w:tc>
          <w:tcPr>
            <w:tcW w:w="1326" w:type="pct"/>
            <w:shd w:val="clear" w:color="auto" w:fill="auto"/>
            <w:vAlign w:val="bottom"/>
          </w:tcPr>
          <w:p w14:paraId="5F2D3FD3" w14:textId="77777777" w:rsidR="00E836FB" w:rsidRDefault="00E836FB">
            <w:pPr>
              <w:rPr>
                <w:rFonts w:ascii="宋体"/>
              </w:rPr>
            </w:pPr>
          </w:p>
        </w:tc>
        <w:tc>
          <w:tcPr>
            <w:tcW w:w="5" w:type="pct"/>
            <w:shd w:val="clear" w:color="auto" w:fill="auto"/>
            <w:vAlign w:val="bottom"/>
          </w:tcPr>
          <w:p w14:paraId="5F2D3FD4" w14:textId="77777777" w:rsidR="00E836FB" w:rsidRDefault="00E836FB">
            <w:pPr>
              <w:rPr>
                <w:rFonts w:ascii="宋体"/>
              </w:rPr>
            </w:pPr>
          </w:p>
        </w:tc>
        <w:tc>
          <w:tcPr>
            <w:tcW w:w="5" w:type="pct"/>
            <w:shd w:val="clear" w:color="auto" w:fill="auto"/>
            <w:vAlign w:val="bottom"/>
          </w:tcPr>
          <w:p w14:paraId="5F2D3FD5" w14:textId="77777777" w:rsidR="00E836FB" w:rsidRDefault="00E836FB">
            <w:pPr>
              <w:rPr>
                <w:rFonts w:ascii="宋体"/>
              </w:rPr>
            </w:pPr>
          </w:p>
        </w:tc>
        <w:tc>
          <w:tcPr>
            <w:tcW w:w="26" w:type="pct"/>
            <w:shd w:val="clear" w:color="auto" w:fill="auto"/>
            <w:vAlign w:val="bottom"/>
          </w:tcPr>
          <w:p w14:paraId="5F2D3FD6" w14:textId="77777777" w:rsidR="00E836FB" w:rsidRDefault="00E836FB">
            <w:pPr>
              <w:rPr>
                <w:rFonts w:ascii="宋体"/>
              </w:rPr>
            </w:pPr>
          </w:p>
        </w:tc>
        <w:tc>
          <w:tcPr>
            <w:tcW w:w="5" w:type="pct"/>
            <w:shd w:val="clear" w:color="auto" w:fill="auto"/>
            <w:vAlign w:val="bottom"/>
          </w:tcPr>
          <w:p w14:paraId="5F2D3FD7" w14:textId="77777777" w:rsidR="00E836FB" w:rsidRDefault="00E836FB">
            <w:pPr>
              <w:rPr>
                <w:rFonts w:ascii="宋体"/>
              </w:rPr>
            </w:pPr>
          </w:p>
        </w:tc>
        <w:tc>
          <w:tcPr>
            <w:tcW w:w="50" w:type="pct"/>
            <w:shd w:val="clear" w:color="auto" w:fill="auto"/>
            <w:vAlign w:val="bottom"/>
          </w:tcPr>
          <w:p w14:paraId="5F2D3FD8" w14:textId="77777777" w:rsidR="00E836FB" w:rsidRDefault="00E836FB">
            <w:pPr>
              <w:rPr>
                <w:rFonts w:ascii="宋体"/>
              </w:rPr>
            </w:pPr>
          </w:p>
        </w:tc>
        <w:tc>
          <w:tcPr>
            <w:tcW w:w="1326" w:type="pct"/>
            <w:shd w:val="clear" w:color="auto" w:fill="auto"/>
            <w:vAlign w:val="bottom"/>
          </w:tcPr>
          <w:p w14:paraId="5F2D3FD9" w14:textId="77777777" w:rsidR="00E836FB" w:rsidRDefault="00E836FB">
            <w:pPr>
              <w:rPr>
                <w:rFonts w:ascii="宋体"/>
              </w:rPr>
            </w:pPr>
          </w:p>
        </w:tc>
        <w:tc>
          <w:tcPr>
            <w:tcW w:w="5" w:type="pct"/>
            <w:shd w:val="clear" w:color="auto" w:fill="auto"/>
            <w:vAlign w:val="bottom"/>
          </w:tcPr>
          <w:p w14:paraId="5F2D3FDA" w14:textId="77777777" w:rsidR="00E836FB" w:rsidRDefault="00E836FB">
            <w:pPr>
              <w:rPr>
                <w:rFonts w:ascii="宋体"/>
              </w:rPr>
            </w:pPr>
          </w:p>
        </w:tc>
        <w:tc>
          <w:tcPr>
            <w:tcW w:w="5" w:type="pct"/>
            <w:shd w:val="clear" w:color="auto" w:fill="auto"/>
            <w:vAlign w:val="bottom"/>
          </w:tcPr>
          <w:p w14:paraId="5F2D3FDB" w14:textId="77777777" w:rsidR="00E836FB" w:rsidRDefault="00E836FB">
            <w:pPr>
              <w:rPr>
                <w:rFonts w:ascii="宋体"/>
              </w:rPr>
            </w:pPr>
          </w:p>
        </w:tc>
        <w:tc>
          <w:tcPr>
            <w:tcW w:w="26" w:type="pct"/>
            <w:shd w:val="clear" w:color="auto" w:fill="auto"/>
            <w:vAlign w:val="bottom"/>
          </w:tcPr>
          <w:p w14:paraId="5F2D3FDC" w14:textId="77777777" w:rsidR="00E836FB" w:rsidRDefault="00E836FB">
            <w:pPr>
              <w:rPr>
                <w:rFonts w:ascii="宋体"/>
              </w:rPr>
            </w:pPr>
          </w:p>
        </w:tc>
        <w:tc>
          <w:tcPr>
            <w:tcW w:w="5" w:type="pct"/>
            <w:shd w:val="clear" w:color="auto" w:fill="auto"/>
            <w:vAlign w:val="bottom"/>
          </w:tcPr>
          <w:p w14:paraId="5F2D3FDD" w14:textId="77777777" w:rsidR="00E836FB" w:rsidRDefault="00E836FB">
            <w:pPr>
              <w:rPr>
                <w:rFonts w:ascii="宋体"/>
              </w:rPr>
            </w:pPr>
          </w:p>
        </w:tc>
        <w:tc>
          <w:tcPr>
            <w:tcW w:w="50" w:type="pct"/>
            <w:shd w:val="clear" w:color="auto" w:fill="auto"/>
            <w:vAlign w:val="bottom"/>
          </w:tcPr>
          <w:p w14:paraId="5F2D3FDE" w14:textId="77777777" w:rsidR="00E836FB" w:rsidRDefault="00E836FB">
            <w:pPr>
              <w:rPr>
                <w:rFonts w:ascii="宋体"/>
              </w:rPr>
            </w:pPr>
          </w:p>
        </w:tc>
        <w:tc>
          <w:tcPr>
            <w:tcW w:w="1326" w:type="pct"/>
            <w:shd w:val="clear" w:color="auto" w:fill="auto"/>
            <w:vAlign w:val="bottom"/>
          </w:tcPr>
          <w:p w14:paraId="5F2D3FDF" w14:textId="77777777" w:rsidR="00E836FB" w:rsidRDefault="00E836FB">
            <w:pPr>
              <w:rPr>
                <w:rFonts w:ascii="宋体"/>
              </w:rPr>
            </w:pPr>
          </w:p>
        </w:tc>
        <w:tc>
          <w:tcPr>
            <w:tcW w:w="5" w:type="pct"/>
            <w:shd w:val="clear" w:color="auto" w:fill="auto"/>
            <w:vAlign w:val="bottom"/>
          </w:tcPr>
          <w:p w14:paraId="5F2D3FE0" w14:textId="77777777" w:rsidR="00E836FB" w:rsidRDefault="00E836FB">
            <w:pPr>
              <w:rPr>
                <w:rFonts w:ascii="宋体"/>
              </w:rPr>
            </w:pPr>
          </w:p>
        </w:tc>
      </w:tr>
      <w:tr w:rsidR="00E836FB" w14:paraId="5F2D4000" w14:textId="77777777">
        <w:tc>
          <w:tcPr>
            <w:tcW w:w="0" w:type="auto"/>
            <w:gridSpan w:val="3"/>
            <w:shd w:val="clear" w:color="auto" w:fill="auto"/>
            <w:tcMar>
              <w:top w:w="0" w:type="dxa"/>
              <w:left w:w="20" w:type="dxa"/>
              <w:bottom w:w="0" w:type="dxa"/>
              <w:right w:w="20" w:type="dxa"/>
            </w:tcMar>
            <w:vAlign w:val="bottom"/>
          </w:tcPr>
          <w:p w14:paraId="5F2D3FE2" w14:textId="77777777" w:rsidR="00E836FB" w:rsidRDefault="00E836FB">
            <w:pPr>
              <w:rPr>
                <w:rFonts w:ascii="宋体"/>
              </w:rPr>
            </w:pPr>
          </w:p>
        </w:tc>
        <w:tc>
          <w:tcPr>
            <w:tcW w:w="0" w:type="auto"/>
            <w:shd w:val="clear" w:color="auto" w:fill="auto"/>
            <w:vAlign w:val="bottom"/>
          </w:tcPr>
          <w:p w14:paraId="5F2D3FE3" w14:textId="77777777" w:rsidR="00E836FB" w:rsidRDefault="00E836FB">
            <w:pPr>
              <w:rPr>
                <w:rFonts w:ascii="宋体"/>
                <w:vanish/>
              </w:rPr>
            </w:pPr>
          </w:p>
        </w:tc>
        <w:tc>
          <w:tcPr>
            <w:tcW w:w="0" w:type="auto"/>
            <w:shd w:val="clear" w:color="auto" w:fill="auto"/>
            <w:vAlign w:val="bottom"/>
          </w:tcPr>
          <w:p w14:paraId="5F2D3FE4" w14:textId="77777777" w:rsidR="00E836FB" w:rsidRDefault="00E836FB">
            <w:pPr>
              <w:rPr>
                <w:rFonts w:ascii="宋体"/>
                <w:vanish/>
              </w:rPr>
            </w:pPr>
          </w:p>
        </w:tc>
        <w:tc>
          <w:tcPr>
            <w:tcW w:w="0" w:type="auto"/>
            <w:shd w:val="clear" w:color="auto" w:fill="auto"/>
            <w:vAlign w:val="bottom"/>
          </w:tcPr>
          <w:p w14:paraId="5F2D3FE5" w14:textId="77777777" w:rsidR="00E836FB" w:rsidRDefault="00E836FB">
            <w:pPr>
              <w:rPr>
                <w:rFonts w:ascii="宋体"/>
                <w:vanish/>
              </w:rPr>
            </w:pPr>
          </w:p>
        </w:tc>
        <w:tc>
          <w:tcPr>
            <w:tcW w:w="0" w:type="auto"/>
            <w:shd w:val="clear" w:color="auto" w:fill="auto"/>
            <w:vAlign w:val="bottom"/>
          </w:tcPr>
          <w:p w14:paraId="5F2D3FE6" w14:textId="77777777" w:rsidR="00E836FB" w:rsidRDefault="00E836FB">
            <w:pPr>
              <w:rPr>
                <w:rFonts w:ascii="宋体"/>
                <w:vanish/>
              </w:rPr>
            </w:pPr>
          </w:p>
        </w:tc>
        <w:tc>
          <w:tcPr>
            <w:tcW w:w="0" w:type="auto"/>
            <w:gridSpan w:val="5"/>
            <w:shd w:val="clear" w:color="auto" w:fill="auto"/>
            <w:tcMar>
              <w:top w:w="40" w:type="dxa"/>
              <w:left w:w="20" w:type="dxa"/>
              <w:bottom w:w="40" w:type="dxa"/>
              <w:right w:w="20" w:type="dxa"/>
            </w:tcMar>
            <w:vAlign w:val="bottom"/>
          </w:tcPr>
          <w:p w14:paraId="5F2D3FE7" w14:textId="77777777" w:rsidR="00E836FB" w:rsidRDefault="00994958">
            <w:pPr>
              <w:jc w:val="center"/>
              <w:textAlignment w:val="bottom"/>
            </w:pPr>
            <w:r>
              <w:rPr>
                <w:rFonts w:ascii="Arial" w:eastAsia="宋体" w:hAnsi="Arial" w:cs="Arial"/>
                <w:b/>
                <w:bCs/>
                <w:color w:val="000000"/>
                <w:sz w:val="14"/>
                <w:szCs w:val="14"/>
              </w:rPr>
              <w:t>Year Ended December 31, 2020</w:t>
            </w:r>
          </w:p>
        </w:tc>
        <w:tc>
          <w:tcPr>
            <w:tcW w:w="0" w:type="auto"/>
            <w:shd w:val="clear" w:color="auto" w:fill="auto"/>
            <w:vAlign w:val="bottom"/>
          </w:tcPr>
          <w:p w14:paraId="5F2D3FE8" w14:textId="77777777" w:rsidR="00E836FB" w:rsidRDefault="00E836FB">
            <w:pPr>
              <w:rPr>
                <w:rFonts w:ascii="宋体"/>
              </w:rPr>
            </w:pPr>
          </w:p>
        </w:tc>
        <w:tc>
          <w:tcPr>
            <w:tcW w:w="0" w:type="auto"/>
            <w:shd w:val="clear" w:color="auto" w:fill="auto"/>
            <w:vAlign w:val="bottom"/>
          </w:tcPr>
          <w:p w14:paraId="5F2D3FE9" w14:textId="77777777" w:rsidR="00E836FB" w:rsidRDefault="00E836FB">
            <w:pPr>
              <w:rPr>
                <w:rFonts w:ascii="宋体"/>
              </w:rPr>
            </w:pPr>
          </w:p>
        </w:tc>
        <w:tc>
          <w:tcPr>
            <w:tcW w:w="0" w:type="auto"/>
            <w:shd w:val="clear" w:color="auto" w:fill="auto"/>
            <w:vAlign w:val="bottom"/>
          </w:tcPr>
          <w:p w14:paraId="5F2D3FEA" w14:textId="77777777" w:rsidR="00E836FB" w:rsidRDefault="00E836FB">
            <w:pPr>
              <w:rPr>
                <w:rFonts w:ascii="宋体"/>
              </w:rPr>
            </w:pPr>
          </w:p>
        </w:tc>
        <w:tc>
          <w:tcPr>
            <w:tcW w:w="0" w:type="auto"/>
            <w:shd w:val="clear" w:color="auto" w:fill="auto"/>
            <w:vAlign w:val="bottom"/>
          </w:tcPr>
          <w:p w14:paraId="5F2D3FEB" w14:textId="77777777" w:rsidR="00E836FB" w:rsidRDefault="00E836FB">
            <w:pPr>
              <w:rPr>
                <w:rFonts w:ascii="宋体"/>
              </w:rPr>
            </w:pPr>
          </w:p>
        </w:tc>
        <w:tc>
          <w:tcPr>
            <w:tcW w:w="0" w:type="auto"/>
            <w:shd w:val="clear" w:color="auto" w:fill="auto"/>
            <w:vAlign w:val="bottom"/>
          </w:tcPr>
          <w:p w14:paraId="5F2D3FEC" w14:textId="77777777" w:rsidR="00E836FB" w:rsidRDefault="00E836FB">
            <w:pPr>
              <w:rPr>
                <w:rFonts w:ascii="宋体"/>
              </w:rPr>
            </w:pPr>
          </w:p>
        </w:tc>
        <w:tc>
          <w:tcPr>
            <w:tcW w:w="0" w:type="auto"/>
            <w:shd w:val="clear" w:color="auto" w:fill="auto"/>
            <w:vAlign w:val="bottom"/>
          </w:tcPr>
          <w:p w14:paraId="5F2D3FED" w14:textId="77777777" w:rsidR="00E836FB" w:rsidRDefault="00E836FB">
            <w:pPr>
              <w:rPr>
                <w:rFonts w:ascii="宋体"/>
              </w:rPr>
            </w:pPr>
          </w:p>
        </w:tc>
        <w:tc>
          <w:tcPr>
            <w:tcW w:w="0" w:type="auto"/>
            <w:shd w:val="clear" w:color="auto" w:fill="auto"/>
            <w:vAlign w:val="bottom"/>
          </w:tcPr>
          <w:p w14:paraId="5F2D3FEE" w14:textId="77777777" w:rsidR="00E836FB" w:rsidRDefault="00E836FB">
            <w:pPr>
              <w:rPr>
                <w:rFonts w:ascii="宋体"/>
              </w:rPr>
            </w:pPr>
          </w:p>
        </w:tc>
        <w:tc>
          <w:tcPr>
            <w:tcW w:w="0" w:type="auto"/>
            <w:shd w:val="clear" w:color="auto" w:fill="auto"/>
            <w:vAlign w:val="bottom"/>
          </w:tcPr>
          <w:p w14:paraId="5F2D3FEF" w14:textId="77777777" w:rsidR="00E836FB" w:rsidRDefault="00E836FB">
            <w:pPr>
              <w:rPr>
                <w:rFonts w:ascii="宋体"/>
              </w:rPr>
            </w:pPr>
          </w:p>
        </w:tc>
        <w:tc>
          <w:tcPr>
            <w:tcW w:w="0" w:type="auto"/>
            <w:shd w:val="clear" w:color="auto" w:fill="auto"/>
            <w:vAlign w:val="bottom"/>
          </w:tcPr>
          <w:p w14:paraId="5F2D3FF0" w14:textId="77777777" w:rsidR="00E836FB" w:rsidRDefault="00E836FB">
            <w:pPr>
              <w:rPr>
                <w:rFonts w:ascii="宋体"/>
              </w:rPr>
            </w:pPr>
          </w:p>
        </w:tc>
        <w:tc>
          <w:tcPr>
            <w:tcW w:w="0" w:type="auto"/>
            <w:shd w:val="clear" w:color="auto" w:fill="auto"/>
            <w:vAlign w:val="bottom"/>
          </w:tcPr>
          <w:p w14:paraId="5F2D3FF1" w14:textId="77777777" w:rsidR="00E836FB" w:rsidRDefault="00E836FB">
            <w:pPr>
              <w:rPr>
                <w:rFonts w:ascii="宋体"/>
              </w:rPr>
            </w:pPr>
          </w:p>
        </w:tc>
        <w:tc>
          <w:tcPr>
            <w:tcW w:w="0" w:type="auto"/>
            <w:shd w:val="clear" w:color="auto" w:fill="auto"/>
            <w:vAlign w:val="bottom"/>
          </w:tcPr>
          <w:p w14:paraId="5F2D3FF2" w14:textId="77777777" w:rsidR="00E836FB" w:rsidRDefault="00E836FB">
            <w:pPr>
              <w:rPr>
                <w:rFonts w:ascii="宋体"/>
              </w:rPr>
            </w:pPr>
          </w:p>
        </w:tc>
        <w:tc>
          <w:tcPr>
            <w:tcW w:w="0" w:type="auto"/>
            <w:shd w:val="clear" w:color="auto" w:fill="auto"/>
            <w:vAlign w:val="bottom"/>
          </w:tcPr>
          <w:p w14:paraId="5F2D3FF3" w14:textId="77777777" w:rsidR="00E836FB" w:rsidRDefault="00E836FB">
            <w:pPr>
              <w:rPr>
                <w:rFonts w:ascii="宋体"/>
              </w:rPr>
            </w:pPr>
          </w:p>
        </w:tc>
        <w:tc>
          <w:tcPr>
            <w:tcW w:w="0" w:type="auto"/>
            <w:shd w:val="clear" w:color="auto" w:fill="auto"/>
            <w:vAlign w:val="bottom"/>
          </w:tcPr>
          <w:p w14:paraId="5F2D3FF4" w14:textId="77777777" w:rsidR="00E836FB" w:rsidRDefault="00E836FB">
            <w:pPr>
              <w:rPr>
                <w:rFonts w:ascii="宋体"/>
              </w:rPr>
            </w:pPr>
          </w:p>
        </w:tc>
        <w:tc>
          <w:tcPr>
            <w:tcW w:w="0" w:type="auto"/>
            <w:shd w:val="clear" w:color="auto" w:fill="auto"/>
            <w:vAlign w:val="bottom"/>
          </w:tcPr>
          <w:p w14:paraId="5F2D3FF5" w14:textId="77777777" w:rsidR="00E836FB" w:rsidRDefault="00E836FB">
            <w:pPr>
              <w:rPr>
                <w:rFonts w:ascii="宋体"/>
              </w:rPr>
            </w:pPr>
          </w:p>
        </w:tc>
        <w:tc>
          <w:tcPr>
            <w:tcW w:w="0" w:type="auto"/>
            <w:shd w:val="clear" w:color="auto" w:fill="auto"/>
            <w:vAlign w:val="bottom"/>
          </w:tcPr>
          <w:p w14:paraId="5F2D3FF6" w14:textId="77777777" w:rsidR="00E836FB" w:rsidRDefault="00E836FB">
            <w:pPr>
              <w:rPr>
                <w:rFonts w:ascii="宋体"/>
              </w:rPr>
            </w:pPr>
          </w:p>
        </w:tc>
        <w:tc>
          <w:tcPr>
            <w:tcW w:w="0" w:type="auto"/>
            <w:shd w:val="clear" w:color="auto" w:fill="auto"/>
            <w:vAlign w:val="bottom"/>
          </w:tcPr>
          <w:p w14:paraId="5F2D3FF7" w14:textId="77777777" w:rsidR="00E836FB" w:rsidRDefault="00E836FB">
            <w:pPr>
              <w:rPr>
                <w:rFonts w:ascii="宋体"/>
              </w:rPr>
            </w:pPr>
          </w:p>
        </w:tc>
        <w:tc>
          <w:tcPr>
            <w:tcW w:w="0" w:type="auto"/>
            <w:shd w:val="clear" w:color="auto" w:fill="auto"/>
            <w:vAlign w:val="bottom"/>
          </w:tcPr>
          <w:p w14:paraId="5F2D3FF8" w14:textId="77777777" w:rsidR="00E836FB" w:rsidRDefault="00E836FB">
            <w:pPr>
              <w:rPr>
                <w:rFonts w:ascii="宋体"/>
              </w:rPr>
            </w:pPr>
          </w:p>
        </w:tc>
        <w:tc>
          <w:tcPr>
            <w:tcW w:w="0" w:type="auto"/>
            <w:shd w:val="clear" w:color="auto" w:fill="auto"/>
            <w:vAlign w:val="bottom"/>
          </w:tcPr>
          <w:p w14:paraId="5F2D3FF9" w14:textId="77777777" w:rsidR="00E836FB" w:rsidRDefault="00E836FB">
            <w:pPr>
              <w:rPr>
                <w:rFonts w:ascii="宋体"/>
              </w:rPr>
            </w:pPr>
          </w:p>
        </w:tc>
        <w:tc>
          <w:tcPr>
            <w:tcW w:w="0" w:type="auto"/>
            <w:shd w:val="clear" w:color="auto" w:fill="auto"/>
            <w:vAlign w:val="bottom"/>
          </w:tcPr>
          <w:p w14:paraId="5F2D3FFA" w14:textId="77777777" w:rsidR="00E836FB" w:rsidRDefault="00E836FB">
            <w:pPr>
              <w:rPr>
                <w:rFonts w:ascii="宋体"/>
              </w:rPr>
            </w:pPr>
          </w:p>
        </w:tc>
        <w:tc>
          <w:tcPr>
            <w:tcW w:w="0" w:type="auto"/>
            <w:shd w:val="clear" w:color="auto" w:fill="auto"/>
            <w:vAlign w:val="bottom"/>
          </w:tcPr>
          <w:p w14:paraId="5F2D3FFB" w14:textId="77777777" w:rsidR="00E836FB" w:rsidRDefault="00E836FB">
            <w:pPr>
              <w:rPr>
                <w:rFonts w:ascii="宋体"/>
              </w:rPr>
            </w:pPr>
          </w:p>
        </w:tc>
        <w:tc>
          <w:tcPr>
            <w:tcW w:w="0" w:type="auto"/>
            <w:shd w:val="clear" w:color="auto" w:fill="auto"/>
            <w:vAlign w:val="bottom"/>
          </w:tcPr>
          <w:p w14:paraId="5F2D3FFC" w14:textId="77777777" w:rsidR="00E836FB" w:rsidRDefault="00E836FB">
            <w:pPr>
              <w:rPr>
                <w:rFonts w:ascii="宋体"/>
              </w:rPr>
            </w:pPr>
          </w:p>
        </w:tc>
        <w:tc>
          <w:tcPr>
            <w:tcW w:w="0" w:type="auto"/>
            <w:shd w:val="clear" w:color="auto" w:fill="auto"/>
            <w:vAlign w:val="bottom"/>
          </w:tcPr>
          <w:p w14:paraId="5F2D3FFD" w14:textId="77777777" w:rsidR="00E836FB" w:rsidRDefault="00E836FB">
            <w:pPr>
              <w:rPr>
                <w:rFonts w:ascii="宋体"/>
              </w:rPr>
            </w:pPr>
          </w:p>
        </w:tc>
        <w:tc>
          <w:tcPr>
            <w:tcW w:w="0" w:type="auto"/>
            <w:shd w:val="clear" w:color="auto" w:fill="auto"/>
            <w:vAlign w:val="bottom"/>
          </w:tcPr>
          <w:p w14:paraId="5F2D3FFE" w14:textId="77777777" w:rsidR="00E836FB" w:rsidRDefault="00E836FB">
            <w:pPr>
              <w:rPr>
                <w:rFonts w:ascii="宋体"/>
              </w:rPr>
            </w:pPr>
          </w:p>
        </w:tc>
        <w:tc>
          <w:tcPr>
            <w:tcW w:w="0" w:type="auto"/>
            <w:shd w:val="clear" w:color="auto" w:fill="auto"/>
            <w:vAlign w:val="bottom"/>
          </w:tcPr>
          <w:p w14:paraId="5F2D3FFF" w14:textId="77777777" w:rsidR="00E836FB" w:rsidRDefault="00E836FB">
            <w:pPr>
              <w:rPr>
                <w:rFonts w:ascii="宋体"/>
              </w:rPr>
            </w:pPr>
          </w:p>
        </w:tc>
      </w:tr>
      <w:tr w:rsidR="00E836FB" w14:paraId="5F2D4013" w14:textId="77777777">
        <w:tc>
          <w:tcPr>
            <w:tcW w:w="0" w:type="auto"/>
            <w:gridSpan w:val="3"/>
            <w:shd w:val="clear" w:color="auto" w:fill="auto"/>
            <w:tcMar>
              <w:top w:w="0" w:type="dxa"/>
              <w:left w:w="20" w:type="dxa"/>
              <w:bottom w:w="0" w:type="dxa"/>
              <w:right w:w="20" w:type="dxa"/>
            </w:tcMar>
            <w:vAlign w:val="bottom"/>
          </w:tcPr>
          <w:p w14:paraId="5F2D4001" w14:textId="77777777" w:rsidR="00E836FB" w:rsidRDefault="00E836FB">
            <w:pPr>
              <w:rPr>
                <w:rFonts w:ascii="宋体"/>
              </w:rPr>
            </w:pPr>
          </w:p>
        </w:tc>
        <w:tc>
          <w:tcPr>
            <w:tcW w:w="0" w:type="auto"/>
            <w:shd w:val="clear" w:color="auto" w:fill="auto"/>
            <w:vAlign w:val="bottom"/>
          </w:tcPr>
          <w:p w14:paraId="5F2D4002" w14:textId="77777777" w:rsidR="00E836FB" w:rsidRDefault="00E836FB">
            <w:pPr>
              <w:rPr>
                <w:rFonts w:ascii="宋体"/>
                <w:vanish/>
              </w:rPr>
            </w:pPr>
          </w:p>
        </w:tc>
        <w:tc>
          <w:tcPr>
            <w:tcW w:w="0" w:type="auto"/>
            <w:shd w:val="clear" w:color="auto" w:fill="auto"/>
            <w:vAlign w:val="bottom"/>
          </w:tcPr>
          <w:p w14:paraId="5F2D4003" w14:textId="77777777" w:rsidR="00E836FB" w:rsidRDefault="00E836FB">
            <w:pPr>
              <w:rPr>
                <w:rFonts w:ascii="宋体"/>
                <w:vanish/>
              </w:rPr>
            </w:pPr>
          </w:p>
        </w:tc>
        <w:tc>
          <w:tcPr>
            <w:tcW w:w="0" w:type="auto"/>
            <w:shd w:val="clear" w:color="auto" w:fill="auto"/>
            <w:vAlign w:val="bottom"/>
          </w:tcPr>
          <w:p w14:paraId="5F2D4004" w14:textId="77777777" w:rsidR="00E836FB" w:rsidRDefault="00E836FB">
            <w:pPr>
              <w:rPr>
                <w:rFonts w:ascii="宋体"/>
                <w:vanish/>
              </w:rPr>
            </w:pPr>
          </w:p>
        </w:tc>
        <w:tc>
          <w:tcPr>
            <w:tcW w:w="0" w:type="auto"/>
            <w:shd w:val="clear" w:color="auto" w:fill="auto"/>
            <w:vAlign w:val="bottom"/>
          </w:tcPr>
          <w:p w14:paraId="5F2D4005" w14:textId="77777777" w:rsidR="00E836FB" w:rsidRDefault="00E836FB">
            <w:pPr>
              <w:rPr>
                <w:rFonts w:ascii="宋体"/>
                <w:vanish/>
              </w:rPr>
            </w:pPr>
          </w:p>
        </w:tc>
        <w:tc>
          <w:tcPr>
            <w:tcW w:w="0" w:type="auto"/>
            <w:shd w:val="clear" w:color="auto" w:fill="auto"/>
            <w:vAlign w:val="bottom"/>
          </w:tcPr>
          <w:p w14:paraId="5F2D4006" w14:textId="77777777" w:rsidR="00E836FB" w:rsidRDefault="00E836FB">
            <w:pPr>
              <w:rPr>
                <w:rFonts w:ascii="宋体"/>
                <w:vanish/>
              </w:rPr>
            </w:pPr>
          </w:p>
        </w:tc>
        <w:tc>
          <w:tcPr>
            <w:tcW w:w="0" w:type="auto"/>
            <w:shd w:val="clear" w:color="auto" w:fill="auto"/>
            <w:vAlign w:val="bottom"/>
          </w:tcPr>
          <w:p w14:paraId="5F2D4007" w14:textId="77777777" w:rsidR="00E836FB" w:rsidRDefault="00E836FB">
            <w:pPr>
              <w:rPr>
                <w:rFonts w:ascii="宋体"/>
                <w:vanish/>
              </w:rPr>
            </w:pPr>
          </w:p>
        </w:tc>
        <w:tc>
          <w:tcPr>
            <w:tcW w:w="0" w:type="auto"/>
            <w:shd w:val="clear" w:color="auto" w:fill="auto"/>
            <w:vAlign w:val="bottom"/>
          </w:tcPr>
          <w:p w14:paraId="5F2D4008" w14:textId="77777777" w:rsidR="00E836FB" w:rsidRDefault="00E836FB">
            <w:pPr>
              <w:rPr>
                <w:rFonts w:ascii="宋体"/>
                <w:vanish/>
              </w:rPr>
            </w:pPr>
          </w:p>
        </w:tc>
        <w:tc>
          <w:tcPr>
            <w:tcW w:w="0" w:type="auto"/>
            <w:shd w:val="clear" w:color="auto" w:fill="auto"/>
            <w:vAlign w:val="bottom"/>
          </w:tcPr>
          <w:p w14:paraId="5F2D4009" w14:textId="77777777" w:rsidR="00E836FB" w:rsidRDefault="00E836FB">
            <w:pPr>
              <w:rPr>
                <w:rFonts w:ascii="宋体"/>
                <w:vanish/>
              </w:rPr>
            </w:pPr>
          </w:p>
        </w:tc>
        <w:tc>
          <w:tcPr>
            <w:tcW w:w="0" w:type="auto"/>
            <w:shd w:val="clear" w:color="auto" w:fill="auto"/>
            <w:vAlign w:val="bottom"/>
          </w:tcPr>
          <w:p w14:paraId="5F2D400A" w14:textId="77777777" w:rsidR="00E836FB" w:rsidRDefault="00E836FB">
            <w:pPr>
              <w:rPr>
                <w:rFonts w:ascii="宋体"/>
                <w:vanish/>
              </w:rPr>
            </w:pPr>
          </w:p>
        </w:tc>
        <w:tc>
          <w:tcPr>
            <w:tcW w:w="0" w:type="auto"/>
            <w:gridSpan w:val="3"/>
            <w:shd w:val="clear" w:color="auto" w:fill="auto"/>
            <w:vAlign w:val="bottom"/>
          </w:tcPr>
          <w:p w14:paraId="5F2D400B" w14:textId="77777777" w:rsidR="00E836FB" w:rsidRDefault="00E836FB">
            <w:pPr>
              <w:rPr>
                <w:rFonts w:ascii="宋体"/>
                <w:vanish/>
              </w:rPr>
            </w:pPr>
          </w:p>
        </w:tc>
        <w:tc>
          <w:tcPr>
            <w:tcW w:w="0" w:type="auto"/>
            <w:gridSpan w:val="3"/>
            <w:shd w:val="clear" w:color="auto" w:fill="auto"/>
            <w:vAlign w:val="bottom"/>
          </w:tcPr>
          <w:p w14:paraId="5F2D400C" w14:textId="77777777" w:rsidR="00E836FB" w:rsidRDefault="00E836FB">
            <w:pPr>
              <w:rPr>
                <w:rFonts w:ascii="宋体"/>
                <w:vanish/>
              </w:rPr>
            </w:pPr>
          </w:p>
        </w:tc>
        <w:tc>
          <w:tcPr>
            <w:tcW w:w="0" w:type="auto"/>
            <w:gridSpan w:val="3"/>
            <w:shd w:val="clear" w:color="auto" w:fill="auto"/>
            <w:vAlign w:val="bottom"/>
          </w:tcPr>
          <w:p w14:paraId="5F2D400D"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0E" w14:textId="77777777" w:rsidR="00E836FB" w:rsidRDefault="00994958">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00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10" w14:textId="77777777" w:rsidR="00E836FB" w:rsidRDefault="00994958">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01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12" w14:textId="77777777" w:rsidR="00E836FB" w:rsidRDefault="00994958">
            <w:pPr>
              <w:jc w:val="center"/>
              <w:textAlignment w:val="bottom"/>
            </w:pPr>
            <w:r>
              <w:rPr>
                <w:rFonts w:ascii="Arial" w:eastAsia="宋体" w:hAnsi="Arial" w:cs="Arial"/>
                <w:b/>
                <w:bCs/>
                <w:color w:val="000000"/>
                <w:sz w:val="14"/>
                <w:szCs w:val="14"/>
              </w:rPr>
              <w:t>Total Acquired (In millions)</w:t>
            </w:r>
          </w:p>
        </w:tc>
      </w:tr>
      <w:tr w:rsidR="00E836FB" w14:paraId="5F2D4026" w14:textId="77777777">
        <w:trPr>
          <w:hidden/>
        </w:trPr>
        <w:tc>
          <w:tcPr>
            <w:tcW w:w="0" w:type="auto"/>
            <w:gridSpan w:val="3"/>
            <w:shd w:val="clear" w:color="auto" w:fill="auto"/>
            <w:vAlign w:val="bottom"/>
          </w:tcPr>
          <w:p w14:paraId="5F2D4014" w14:textId="77777777" w:rsidR="00E836FB" w:rsidRDefault="00E836FB">
            <w:pPr>
              <w:rPr>
                <w:rFonts w:ascii="宋体"/>
                <w:vanish/>
              </w:rPr>
            </w:pPr>
          </w:p>
        </w:tc>
        <w:tc>
          <w:tcPr>
            <w:tcW w:w="0" w:type="auto"/>
            <w:shd w:val="clear" w:color="auto" w:fill="auto"/>
            <w:vAlign w:val="bottom"/>
          </w:tcPr>
          <w:p w14:paraId="5F2D4015" w14:textId="77777777" w:rsidR="00E836FB" w:rsidRDefault="00E836FB">
            <w:pPr>
              <w:rPr>
                <w:rFonts w:ascii="宋体"/>
                <w:vanish/>
              </w:rPr>
            </w:pPr>
          </w:p>
        </w:tc>
        <w:tc>
          <w:tcPr>
            <w:tcW w:w="0" w:type="auto"/>
            <w:shd w:val="clear" w:color="auto" w:fill="auto"/>
            <w:vAlign w:val="bottom"/>
          </w:tcPr>
          <w:p w14:paraId="5F2D4016" w14:textId="77777777" w:rsidR="00E836FB" w:rsidRDefault="00E836FB">
            <w:pPr>
              <w:rPr>
                <w:rFonts w:ascii="宋体"/>
                <w:vanish/>
              </w:rPr>
            </w:pPr>
          </w:p>
        </w:tc>
        <w:tc>
          <w:tcPr>
            <w:tcW w:w="0" w:type="auto"/>
            <w:shd w:val="clear" w:color="auto" w:fill="auto"/>
            <w:vAlign w:val="bottom"/>
          </w:tcPr>
          <w:p w14:paraId="5F2D4017" w14:textId="77777777" w:rsidR="00E836FB" w:rsidRDefault="00E836FB">
            <w:pPr>
              <w:rPr>
                <w:rFonts w:ascii="宋体"/>
                <w:vanish/>
              </w:rPr>
            </w:pPr>
          </w:p>
        </w:tc>
        <w:tc>
          <w:tcPr>
            <w:tcW w:w="0" w:type="auto"/>
            <w:shd w:val="clear" w:color="auto" w:fill="auto"/>
            <w:vAlign w:val="bottom"/>
          </w:tcPr>
          <w:p w14:paraId="5F2D4018" w14:textId="77777777" w:rsidR="00E836FB" w:rsidRDefault="00E836FB">
            <w:pPr>
              <w:rPr>
                <w:rFonts w:ascii="宋体"/>
                <w:vanish/>
              </w:rPr>
            </w:pPr>
          </w:p>
        </w:tc>
        <w:tc>
          <w:tcPr>
            <w:tcW w:w="0" w:type="auto"/>
            <w:shd w:val="clear" w:color="auto" w:fill="auto"/>
            <w:vAlign w:val="bottom"/>
          </w:tcPr>
          <w:p w14:paraId="5F2D4019" w14:textId="77777777" w:rsidR="00E836FB" w:rsidRDefault="00E836FB">
            <w:pPr>
              <w:rPr>
                <w:rFonts w:ascii="宋体"/>
                <w:vanish/>
              </w:rPr>
            </w:pPr>
          </w:p>
        </w:tc>
        <w:tc>
          <w:tcPr>
            <w:tcW w:w="0" w:type="auto"/>
            <w:shd w:val="clear" w:color="auto" w:fill="auto"/>
            <w:vAlign w:val="bottom"/>
          </w:tcPr>
          <w:p w14:paraId="5F2D401A" w14:textId="77777777" w:rsidR="00E836FB" w:rsidRDefault="00E836FB">
            <w:pPr>
              <w:rPr>
                <w:rFonts w:ascii="宋体"/>
                <w:vanish/>
              </w:rPr>
            </w:pPr>
          </w:p>
        </w:tc>
        <w:tc>
          <w:tcPr>
            <w:tcW w:w="0" w:type="auto"/>
            <w:shd w:val="clear" w:color="auto" w:fill="auto"/>
            <w:vAlign w:val="bottom"/>
          </w:tcPr>
          <w:p w14:paraId="5F2D401B" w14:textId="77777777" w:rsidR="00E836FB" w:rsidRDefault="00E836FB">
            <w:pPr>
              <w:rPr>
                <w:rFonts w:ascii="宋体"/>
                <w:vanish/>
              </w:rPr>
            </w:pPr>
          </w:p>
        </w:tc>
        <w:tc>
          <w:tcPr>
            <w:tcW w:w="0" w:type="auto"/>
            <w:shd w:val="clear" w:color="auto" w:fill="auto"/>
            <w:vAlign w:val="bottom"/>
          </w:tcPr>
          <w:p w14:paraId="5F2D401C" w14:textId="77777777" w:rsidR="00E836FB" w:rsidRDefault="00E836FB">
            <w:pPr>
              <w:rPr>
                <w:rFonts w:ascii="宋体"/>
                <w:vanish/>
              </w:rPr>
            </w:pPr>
          </w:p>
        </w:tc>
        <w:tc>
          <w:tcPr>
            <w:tcW w:w="0" w:type="auto"/>
            <w:shd w:val="clear" w:color="auto" w:fill="auto"/>
            <w:vAlign w:val="bottom"/>
          </w:tcPr>
          <w:p w14:paraId="5F2D401D" w14:textId="77777777" w:rsidR="00E836FB" w:rsidRDefault="00E836FB">
            <w:pPr>
              <w:rPr>
                <w:rFonts w:ascii="宋体"/>
                <w:vanish/>
              </w:rPr>
            </w:pPr>
          </w:p>
        </w:tc>
        <w:tc>
          <w:tcPr>
            <w:tcW w:w="0" w:type="auto"/>
            <w:gridSpan w:val="3"/>
            <w:shd w:val="clear" w:color="auto" w:fill="auto"/>
            <w:vAlign w:val="bottom"/>
          </w:tcPr>
          <w:p w14:paraId="5F2D401E" w14:textId="77777777" w:rsidR="00E836FB" w:rsidRDefault="00E836FB">
            <w:pPr>
              <w:rPr>
                <w:rFonts w:ascii="宋体"/>
                <w:vanish/>
              </w:rPr>
            </w:pPr>
          </w:p>
        </w:tc>
        <w:tc>
          <w:tcPr>
            <w:tcW w:w="0" w:type="auto"/>
            <w:gridSpan w:val="3"/>
            <w:shd w:val="clear" w:color="auto" w:fill="auto"/>
            <w:vAlign w:val="bottom"/>
          </w:tcPr>
          <w:p w14:paraId="5F2D401F" w14:textId="77777777" w:rsidR="00E836FB" w:rsidRDefault="00E836FB">
            <w:pPr>
              <w:rPr>
                <w:rFonts w:ascii="宋体"/>
                <w:vanish/>
              </w:rPr>
            </w:pPr>
          </w:p>
        </w:tc>
        <w:tc>
          <w:tcPr>
            <w:tcW w:w="0" w:type="auto"/>
            <w:gridSpan w:val="3"/>
            <w:shd w:val="clear" w:color="auto" w:fill="auto"/>
            <w:vAlign w:val="bottom"/>
          </w:tcPr>
          <w:p w14:paraId="5F2D4020" w14:textId="77777777" w:rsidR="00E836FB" w:rsidRDefault="00E836FB">
            <w:pPr>
              <w:rPr>
                <w:rFonts w:ascii="宋体"/>
                <w:vanish/>
              </w:rPr>
            </w:pPr>
          </w:p>
        </w:tc>
        <w:tc>
          <w:tcPr>
            <w:tcW w:w="0" w:type="auto"/>
            <w:gridSpan w:val="3"/>
            <w:shd w:val="clear" w:color="auto" w:fill="auto"/>
            <w:vAlign w:val="bottom"/>
          </w:tcPr>
          <w:p w14:paraId="5F2D4021" w14:textId="77777777" w:rsidR="00E836FB" w:rsidRDefault="00E836FB">
            <w:pPr>
              <w:rPr>
                <w:rFonts w:ascii="宋体"/>
                <w:vanish/>
              </w:rPr>
            </w:pPr>
          </w:p>
        </w:tc>
        <w:tc>
          <w:tcPr>
            <w:tcW w:w="0" w:type="auto"/>
            <w:gridSpan w:val="3"/>
            <w:shd w:val="clear" w:color="auto" w:fill="auto"/>
            <w:vAlign w:val="bottom"/>
          </w:tcPr>
          <w:p w14:paraId="5F2D4022" w14:textId="77777777" w:rsidR="00E836FB" w:rsidRDefault="00E836FB">
            <w:pPr>
              <w:rPr>
                <w:rFonts w:ascii="宋体"/>
                <w:vanish/>
              </w:rPr>
            </w:pPr>
          </w:p>
        </w:tc>
        <w:tc>
          <w:tcPr>
            <w:tcW w:w="0" w:type="auto"/>
            <w:gridSpan w:val="3"/>
            <w:shd w:val="clear" w:color="auto" w:fill="auto"/>
            <w:vAlign w:val="bottom"/>
          </w:tcPr>
          <w:p w14:paraId="5F2D4023" w14:textId="77777777" w:rsidR="00E836FB" w:rsidRDefault="00E836FB">
            <w:pPr>
              <w:rPr>
                <w:rFonts w:ascii="宋体"/>
                <w:vanish/>
              </w:rPr>
            </w:pPr>
          </w:p>
        </w:tc>
        <w:tc>
          <w:tcPr>
            <w:tcW w:w="0" w:type="auto"/>
            <w:gridSpan w:val="3"/>
            <w:shd w:val="clear" w:color="auto" w:fill="auto"/>
            <w:vAlign w:val="bottom"/>
          </w:tcPr>
          <w:p w14:paraId="5F2D4024" w14:textId="77777777" w:rsidR="00E836FB" w:rsidRDefault="00E836FB">
            <w:pPr>
              <w:rPr>
                <w:rFonts w:ascii="宋体"/>
                <w:vanish/>
              </w:rPr>
            </w:pPr>
          </w:p>
        </w:tc>
        <w:tc>
          <w:tcPr>
            <w:tcW w:w="0" w:type="auto"/>
            <w:gridSpan w:val="3"/>
            <w:shd w:val="clear" w:color="auto" w:fill="auto"/>
            <w:vAlign w:val="bottom"/>
          </w:tcPr>
          <w:p w14:paraId="5F2D4025" w14:textId="77777777" w:rsidR="00E836FB" w:rsidRDefault="00E836FB">
            <w:pPr>
              <w:rPr>
                <w:rFonts w:ascii="宋体"/>
                <w:vanish/>
              </w:rPr>
            </w:pPr>
          </w:p>
        </w:tc>
      </w:tr>
      <w:tr w:rsidR="00E836FB" w14:paraId="5F2D403E" w14:textId="77777777">
        <w:tc>
          <w:tcPr>
            <w:tcW w:w="0" w:type="auto"/>
            <w:gridSpan w:val="3"/>
            <w:shd w:val="clear" w:color="auto" w:fill="CCEEFF"/>
            <w:tcMar>
              <w:top w:w="40" w:type="dxa"/>
              <w:left w:w="20" w:type="dxa"/>
              <w:bottom w:w="40" w:type="dxa"/>
              <w:right w:w="20" w:type="dxa"/>
            </w:tcMar>
            <w:vAlign w:val="bottom"/>
          </w:tcPr>
          <w:p w14:paraId="5F2D4027" w14:textId="77777777" w:rsidR="00E836FB" w:rsidRDefault="00994958">
            <w:pPr>
              <w:textAlignment w:val="bottom"/>
            </w:pPr>
            <w:r>
              <w:rPr>
                <w:rFonts w:ascii="Arial" w:eastAsia="宋体" w:hAnsi="Arial" w:cs="Arial"/>
                <w:color w:val="000000"/>
                <w:sz w:val="14"/>
                <w:szCs w:val="14"/>
              </w:rPr>
              <w:t>2019 Program</w:t>
            </w:r>
          </w:p>
        </w:tc>
        <w:tc>
          <w:tcPr>
            <w:tcW w:w="0" w:type="auto"/>
            <w:shd w:val="clear" w:color="auto" w:fill="auto"/>
            <w:vAlign w:val="bottom"/>
          </w:tcPr>
          <w:p w14:paraId="5F2D4028" w14:textId="77777777" w:rsidR="00E836FB" w:rsidRDefault="00E836FB">
            <w:pPr>
              <w:rPr>
                <w:rFonts w:ascii="宋体"/>
                <w:vanish/>
              </w:rPr>
            </w:pPr>
          </w:p>
        </w:tc>
        <w:tc>
          <w:tcPr>
            <w:tcW w:w="0" w:type="auto"/>
            <w:shd w:val="clear" w:color="auto" w:fill="auto"/>
            <w:vAlign w:val="bottom"/>
          </w:tcPr>
          <w:p w14:paraId="5F2D4029" w14:textId="77777777" w:rsidR="00E836FB" w:rsidRDefault="00E836FB">
            <w:pPr>
              <w:rPr>
                <w:rFonts w:ascii="宋体"/>
                <w:vanish/>
              </w:rPr>
            </w:pPr>
          </w:p>
        </w:tc>
        <w:tc>
          <w:tcPr>
            <w:tcW w:w="0" w:type="auto"/>
            <w:shd w:val="clear" w:color="auto" w:fill="auto"/>
            <w:vAlign w:val="bottom"/>
          </w:tcPr>
          <w:p w14:paraId="5F2D402A" w14:textId="77777777" w:rsidR="00E836FB" w:rsidRDefault="00E836FB">
            <w:pPr>
              <w:rPr>
                <w:rFonts w:ascii="宋体"/>
                <w:vanish/>
              </w:rPr>
            </w:pPr>
          </w:p>
        </w:tc>
        <w:tc>
          <w:tcPr>
            <w:tcW w:w="0" w:type="auto"/>
            <w:shd w:val="clear" w:color="auto" w:fill="auto"/>
            <w:vAlign w:val="bottom"/>
          </w:tcPr>
          <w:p w14:paraId="5F2D402B" w14:textId="77777777" w:rsidR="00E836FB" w:rsidRDefault="00E836FB">
            <w:pPr>
              <w:rPr>
                <w:rFonts w:ascii="宋体"/>
                <w:vanish/>
              </w:rPr>
            </w:pPr>
          </w:p>
        </w:tc>
        <w:tc>
          <w:tcPr>
            <w:tcW w:w="0" w:type="auto"/>
            <w:shd w:val="clear" w:color="auto" w:fill="auto"/>
            <w:vAlign w:val="bottom"/>
          </w:tcPr>
          <w:p w14:paraId="5F2D402C" w14:textId="77777777" w:rsidR="00E836FB" w:rsidRDefault="00E836FB">
            <w:pPr>
              <w:rPr>
                <w:rFonts w:ascii="宋体"/>
                <w:vanish/>
              </w:rPr>
            </w:pPr>
          </w:p>
        </w:tc>
        <w:tc>
          <w:tcPr>
            <w:tcW w:w="0" w:type="auto"/>
            <w:shd w:val="clear" w:color="auto" w:fill="auto"/>
            <w:vAlign w:val="bottom"/>
          </w:tcPr>
          <w:p w14:paraId="5F2D402D" w14:textId="77777777" w:rsidR="00E836FB" w:rsidRDefault="00E836FB">
            <w:pPr>
              <w:rPr>
                <w:rFonts w:ascii="宋体"/>
                <w:vanish/>
              </w:rPr>
            </w:pPr>
          </w:p>
        </w:tc>
        <w:tc>
          <w:tcPr>
            <w:tcW w:w="0" w:type="auto"/>
            <w:shd w:val="clear" w:color="auto" w:fill="auto"/>
            <w:vAlign w:val="bottom"/>
          </w:tcPr>
          <w:p w14:paraId="5F2D402E" w14:textId="77777777" w:rsidR="00E836FB" w:rsidRDefault="00E836FB">
            <w:pPr>
              <w:rPr>
                <w:rFonts w:ascii="宋体"/>
                <w:vanish/>
              </w:rPr>
            </w:pPr>
          </w:p>
        </w:tc>
        <w:tc>
          <w:tcPr>
            <w:tcW w:w="0" w:type="auto"/>
            <w:shd w:val="clear" w:color="auto" w:fill="auto"/>
            <w:vAlign w:val="bottom"/>
          </w:tcPr>
          <w:p w14:paraId="5F2D402F" w14:textId="77777777" w:rsidR="00E836FB" w:rsidRDefault="00E836FB">
            <w:pPr>
              <w:rPr>
                <w:rFonts w:ascii="宋体"/>
                <w:vanish/>
              </w:rPr>
            </w:pPr>
          </w:p>
        </w:tc>
        <w:tc>
          <w:tcPr>
            <w:tcW w:w="0" w:type="auto"/>
            <w:shd w:val="clear" w:color="auto" w:fill="auto"/>
            <w:vAlign w:val="bottom"/>
          </w:tcPr>
          <w:p w14:paraId="5F2D4030" w14:textId="77777777" w:rsidR="00E836FB" w:rsidRDefault="00E836FB">
            <w:pPr>
              <w:rPr>
                <w:rFonts w:ascii="宋体"/>
                <w:vanish/>
              </w:rPr>
            </w:pPr>
          </w:p>
        </w:tc>
        <w:tc>
          <w:tcPr>
            <w:tcW w:w="0" w:type="auto"/>
            <w:gridSpan w:val="3"/>
            <w:shd w:val="clear" w:color="auto" w:fill="auto"/>
            <w:vAlign w:val="bottom"/>
          </w:tcPr>
          <w:p w14:paraId="5F2D4031" w14:textId="77777777" w:rsidR="00E836FB" w:rsidRDefault="00E836FB">
            <w:pPr>
              <w:rPr>
                <w:rFonts w:ascii="宋体"/>
                <w:vanish/>
              </w:rPr>
            </w:pPr>
          </w:p>
        </w:tc>
        <w:tc>
          <w:tcPr>
            <w:tcW w:w="0" w:type="auto"/>
            <w:gridSpan w:val="3"/>
            <w:shd w:val="clear" w:color="auto" w:fill="auto"/>
            <w:vAlign w:val="bottom"/>
          </w:tcPr>
          <w:p w14:paraId="5F2D4032" w14:textId="77777777" w:rsidR="00E836FB" w:rsidRDefault="00E836FB">
            <w:pPr>
              <w:rPr>
                <w:rFonts w:ascii="宋体"/>
                <w:vanish/>
              </w:rPr>
            </w:pPr>
          </w:p>
        </w:tc>
        <w:tc>
          <w:tcPr>
            <w:tcW w:w="0" w:type="auto"/>
            <w:gridSpan w:val="3"/>
            <w:shd w:val="clear" w:color="auto" w:fill="auto"/>
            <w:vAlign w:val="bottom"/>
          </w:tcPr>
          <w:p w14:paraId="5F2D4033"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034" w14:textId="77777777" w:rsidR="00E836FB" w:rsidRDefault="00994958">
            <w:pPr>
              <w:jc w:val="right"/>
              <w:textAlignment w:val="bottom"/>
            </w:pPr>
            <w:r>
              <w:rPr>
                <w:rFonts w:ascii="Arial" w:eastAsia="宋体" w:hAnsi="Arial" w:cs="Arial"/>
                <w:color w:val="000000"/>
                <w:sz w:val="14"/>
                <w:szCs w:val="14"/>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03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3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38" w14:textId="77777777" w:rsidR="00E836FB" w:rsidRDefault="00994958">
            <w:pPr>
              <w:jc w:val="right"/>
              <w:textAlignment w:val="bottom"/>
            </w:pPr>
            <w:r>
              <w:rPr>
                <w:rFonts w:ascii="Arial" w:eastAsia="宋体" w:hAnsi="Arial" w:cs="Arial"/>
                <w:color w:val="000000"/>
                <w:sz w:val="14"/>
                <w:szCs w:val="14"/>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3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03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3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3C" w14:textId="77777777" w:rsidR="00E836FB" w:rsidRDefault="00994958">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3D" w14:textId="77777777" w:rsidR="00E836FB" w:rsidRDefault="00E836FB">
            <w:pPr>
              <w:jc w:val="right"/>
              <w:rPr>
                <w:rFonts w:ascii="宋体"/>
              </w:rPr>
            </w:pPr>
          </w:p>
        </w:tc>
      </w:tr>
      <w:tr w:rsidR="00E836FB" w14:paraId="5F2D4051" w14:textId="77777777">
        <w:trPr>
          <w:hidden/>
        </w:trPr>
        <w:tc>
          <w:tcPr>
            <w:tcW w:w="0" w:type="auto"/>
            <w:gridSpan w:val="3"/>
            <w:shd w:val="clear" w:color="auto" w:fill="auto"/>
            <w:vAlign w:val="bottom"/>
          </w:tcPr>
          <w:p w14:paraId="5F2D403F" w14:textId="77777777" w:rsidR="00E836FB" w:rsidRDefault="00E836FB">
            <w:pPr>
              <w:rPr>
                <w:rFonts w:ascii="宋体"/>
                <w:vanish/>
              </w:rPr>
            </w:pPr>
          </w:p>
        </w:tc>
        <w:tc>
          <w:tcPr>
            <w:tcW w:w="0" w:type="auto"/>
            <w:shd w:val="clear" w:color="auto" w:fill="auto"/>
            <w:vAlign w:val="bottom"/>
          </w:tcPr>
          <w:p w14:paraId="5F2D4040" w14:textId="77777777" w:rsidR="00E836FB" w:rsidRDefault="00E836FB">
            <w:pPr>
              <w:rPr>
                <w:rFonts w:ascii="宋体"/>
                <w:vanish/>
              </w:rPr>
            </w:pPr>
          </w:p>
        </w:tc>
        <w:tc>
          <w:tcPr>
            <w:tcW w:w="0" w:type="auto"/>
            <w:shd w:val="clear" w:color="auto" w:fill="auto"/>
            <w:vAlign w:val="bottom"/>
          </w:tcPr>
          <w:p w14:paraId="5F2D4041" w14:textId="77777777" w:rsidR="00E836FB" w:rsidRDefault="00E836FB">
            <w:pPr>
              <w:rPr>
                <w:rFonts w:ascii="宋体"/>
                <w:vanish/>
              </w:rPr>
            </w:pPr>
          </w:p>
        </w:tc>
        <w:tc>
          <w:tcPr>
            <w:tcW w:w="0" w:type="auto"/>
            <w:shd w:val="clear" w:color="auto" w:fill="auto"/>
            <w:vAlign w:val="bottom"/>
          </w:tcPr>
          <w:p w14:paraId="5F2D4042" w14:textId="77777777" w:rsidR="00E836FB" w:rsidRDefault="00E836FB">
            <w:pPr>
              <w:rPr>
                <w:rFonts w:ascii="宋体"/>
                <w:vanish/>
              </w:rPr>
            </w:pPr>
          </w:p>
        </w:tc>
        <w:tc>
          <w:tcPr>
            <w:tcW w:w="0" w:type="auto"/>
            <w:shd w:val="clear" w:color="auto" w:fill="auto"/>
            <w:vAlign w:val="bottom"/>
          </w:tcPr>
          <w:p w14:paraId="5F2D4043" w14:textId="77777777" w:rsidR="00E836FB" w:rsidRDefault="00E836FB">
            <w:pPr>
              <w:rPr>
                <w:rFonts w:ascii="宋体"/>
                <w:vanish/>
              </w:rPr>
            </w:pPr>
          </w:p>
        </w:tc>
        <w:tc>
          <w:tcPr>
            <w:tcW w:w="0" w:type="auto"/>
            <w:shd w:val="clear" w:color="auto" w:fill="auto"/>
            <w:vAlign w:val="bottom"/>
          </w:tcPr>
          <w:p w14:paraId="5F2D4044" w14:textId="77777777" w:rsidR="00E836FB" w:rsidRDefault="00E836FB">
            <w:pPr>
              <w:rPr>
                <w:rFonts w:ascii="宋体"/>
                <w:vanish/>
              </w:rPr>
            </w:pPr>
          </w:p>
        </w:tc>
        <w:tc>
          <w:tcPr>
            <w:tcW w:w="0" w:type="auto"/>
            <w:shd w:val="clear" w:color="auto" w:fill="auto"/>
            <w:vAlign w:val="bottom"/>
          </w:tcPr>
          <w:p w14:paraId="5F2D4045" w14:textId="77777777" w:rsidR="00E836FB" w:rsidRDefault="00E836FB">
            <w:pPr>
              <w:rPr>
                <w:rFonts w:ascii="宋体"/>
                <w:vanish/>
              </w:rPr>
            </w:pPr>
          </w:p>
        </w:tc>
        <w:tc>
          <w:tcPr>
            <w:tcW w:w="0" w:type="auto"/>
            <w:shd w:val="clear" w:color="auto" w:fill="auto"/>
            <w:vAlign w:val="bottom"/>
          </w:tcPr>
          <w:p w14:paraId="5F2D4046" w14:textId="77777777" w:rsidR="00E836FB" w:rsidRDefault="00E836FB">
            <w:pPr>
              <w:rPr>
                <w:rFonts w:ascii="宋体"/>
                <w:vanish/>
              </w:rPr>
            </w:pPr>
          </w:p>
        </w:tc>
        <w:tc>
          <w:tcPr>
            <w:tcW w:w="0" w:type="auto"/>
            <w:shd w:val="clear" w:color="auto" w:fill="auto"/>
            <w:vAlign w:val="bottom"/>
          </w:tcPr>
          <w:p w14:paraId="5F2D4047" w14:textId="77777777" w:rsidR="00E836FB" w:rsidRDefault="00E836FB">
            <w:pPr>
              <w:rPr>
                <w:rFonts w:ascii="宋体"/>
                <w:vanish/>
              </w:rPr>
            </w:pPr>
          </w:p>
        </w:tc>
        <w:tc>
          <w:tcPr>
            <w:tcW w:w="0" w:type="auto"/>
            <w:shd w:val="clear" w:color="auto" w:fill="auto"/>
            <w:vAlign w:val="bottom"/>
          </w:tcPr>
          <w:p w14:paraId="5F2D4048" w14:textId="77777777" w:rsidR="00E836FB" w:rsidRDefault="00E836FB">
            <w:pPr>
              <w:rPr>
                <w:rFonts w:ascii="宋体"/>
                <w:vanish/>
              </w:rPr>
            </w:pPr>
          </w:p>
        </w:tc>
        <w:tc>
          <w:tcPr>
            <w:tcW w:w="0" w:type="auto"/>
            <w:gridSpan w:val="3"/>
            <w:shd w:val="clear" w:color="auto" w:fill="auto"/>
            <w:vAlign w:val="bottom"/>
          </w:tcPr>
          <w:p w14:paraId="5F2D4049" w14:textId="77777777" w:rsidR="00E836FB" w:rsidRDefault="00E836FB">
            <w:pPr>
              <w:rPr>
                <w:rFonts w:ascii="宋体"/>
                <w:vanish/>
              </w:rPr>
            </w:pPr>
          </w:p>
        </w:tc>
        <w:tc>
          <w:tcPr>
            <w:tcW w:w="0" w:type="auto"/>
            <w:gridSpan w:val="3"/>
            <w:shd w:val="clear" w:color="auto" w:fill="auto"/>
            <w:vAlign w:val="bottom"/>
          </w:tcPr>
          <w:p w14:paraId="5F2D404A" w14:textId="77777777" w:rsidR="00E836FB" w:rsidRDefault="00E836FB">
            <w:pPr>
              <w:rPr>
                <w:rFonts w:ascii="宋体"/>
                <w:vanish/>
              </w:rPr>
            </w:pPr>
          </w:p>
        </w:tc>
        <w:tc>
          <w:tcPr>
            <w:tcW w:w="0" w:type="auto"/>
            <w:gridSpan w:val="3"/>
            <w:shd w:val="clear" w:color="auto" w:fill="auto"/>
            <w:vAlign w:val="bottom"/>
          </w:tcPr>
          <w:p w14:paraId="5F2D404B" w14:textId="77777777" w:rsidR="00E836FB" w:rsidRDefault="00E836FB">
            <w:pPr>
              <w:rPr>
                <w:rFonts w:ascii="宋体"/>
                <w:vanish/>
              </w:rPr>
            </w:pPr>
          </w:p>
        </w:tc>
        <w:tc>
          <w:tcPr>
            <w:tcW w:w="0" w:type="auto"/>
            <w:gridSpan w:val="3"/>
            <w:shd w:val="clear" w:color="auto" w:fill="auto"/>
            <w:vAlign w:val="bottom"/>
          </w:tcPr>
          <w:p w14:paraId="5F2D404C" w14:textId="77777777" w:rsidR="00E836FB" w:rsidRDefault="00E836FB">
            <w:pPr>
              <w:rPr>
                <w:rFonts w:ascii="宋体"/>
                <w:vanish/>
              </w:rPr>
            </w:pPr>
          </w:p>
        </w:tc>
        <w:tc>
          <w:tcPr>
            <w:tcW w:w="0" w:type="auto"/>
            <w:gridSpan w:val="3"/>
            <w:shd w:val="clear" w:color="auto" w:fill="auto"/>
            <w:vAlign w:val="bottom"/>
          </w:tcPr>
          <w:p w14:paraId="5F2D404D" w14:textId="77777777" w:rsidR="00E836FB" w:rsidRDefault="00E836FB">
            <w:pPr>
              <w:rPr>
                <w:rFonts w:ascii="宋体"/>
                <w:vanish/>
              </w:rPr>
            </w:pPr>
          </w:p>
        </w:tc>
        <w:tc>
          <w:tcPr>
            <w:tcW w:w="0" w:type="auto"/>
            <w:gridSpan w:val="3"/>
            <w:shd w:val="clear" w:color="auto" w:fill="auto"/>
            <w:vAlign w:val="bottom"/>
          </w:tcPr>
          <w:p w14:paraId="5F2D404E" w14:textId="77777777" w:rsidR="00E836FB" w:rsidRDefault="00E836FB">
            <w:pPr>
              <w:rPr>
                <w:rFonts w:ascii="宋体"/>
                <w:vanish/>
              </w:rPr>
            </w:pPr>
          </w:p>
        </w:tc>
        <w:tc>
          <w:tcPr>
            <w:tcW w:w="0" w:type="auto"/>
            <w:gridSpan w:val="3"/>
            <w:shd w:val="clear" w:color="auto" w:fill="auto"/>
            <w:vAlign w:val="bottom"/>
          </w:tcPr>
          <w:p w14:paraId="5F2D404F" w14:textId="77777777" w:rsidR="00E836FB" w:rsidRDefault="00E836FB">
            <w:pPr>
              <w:rPr>
                <w:rFonts w:ascii="宋体"/>
                <w:vanish/>
              </w:rPr>
            </w:pPr>
          </w:p>
        </w:tc>
        <w:tc>
          <w:tcPr>
            <w:tcW w:w="0" w:type="auto"/>
            <w:gridSpan w:val="3"/>
            <w:shd w:val="clear" w:color="auto" w:fill="auto"/>
            <w:vAlign w:val="bottom"/>
          </w:tcPr>
          <w:p w14:paraId="5F2D4050" w14:textId="77777777" w:rsidR="00E836FB" w:rsidRDefault="00E836FB">
            <w:pPr>
              <w:rPr>
                <w:rFonts w:ascii="宋体"/>
                <w:vanish/>
              </w:rPr>
            </w:pPr>
          </w:p>
        </w:tc>
      </w:tr>
    </w:tbl>
    <w:p w14:paraId="5F2D4052" w14:textId="77777777" w:rsidR="00E836FB" w:rsidRDefault="00E836FB">
      <w:pPr>
        <w:ind w:firstLine="450"/>
      </w:pPr>
    </w:p>
    <w:p w14:paraId="5F2D4053" w14:textId="77777777" w:rsidR="00E836FB" w:rsidRDefault="00994958">
      <w:pPr>
        <w:ind w:firstLine="450"/>
        <w:jc w:val="right"/>
      </w:pPr>
      <w:r>
        <w:rPr>
          <w:rFonts w:ascii="Arial" w:eastAsia="宋体" w:hAnsi="Arial" w:cs="Arial"/>
          <w:color w:val="000000"/>
          <w:sz w:val="18"/>
          <w:szCs w:val="18"/>
        </w:rPr>
        <w:t>State Street Corporation | 170</w:t>
      </w:r>
    </w:p>
    <w:p w14:paraId="5F2D4054" w14:textId="77777777" w:rsidR="00E836FB" w:rsidRDefault="00E836FB">
      <w:pPr>
        <w:ind w:firstLine="450"/>
        <w:jc w:val="center"/>
      </w:pPr>
    </w:p>
    <w:p w14:paraId="5F2D4055" w14:textId="77777777" w:rsidR="00E836FB" w:rsidRDefault="00994958">
      <w:r>
        <w:pict w14:anchorId="5F2D6E2F">
          <v:rect id="_x0000_i1194" style="width:415.3pt;height:1.5pt" o:hralign="center" o:hrstd="t" o:hr="t" fillcolor="#a0a0a0" stroked="f"/>
        </w:pict>
      </w:r>
    </w:p>
    <w:p w14:paraId="5F2D4056" w14:textId="77777777" w:rsidR="00E836FB" w:rsidRDefault="00994958">
      <w:pPr>
        <w:ind w:firstLine="450"/>
        <w:jc w:val="center"/>
      </w:pPr>
      <w:r>
        <w:rPr>
          <w:rFonts w:ascii="Arial" w:eastAsia="宋体" w:hAnsi="Arial" w:cs="Arial"/>
          <w:b/>
          <w:bCs/>
          <w:color w:val="000000"/>
          <w:sz w:val="20"/>
          <w:szCs w:val="20"/>
        </w:rPr>
        <w:t>STATE STREET CORPORATION</w:t>
      </w:r>
    </w:p>
    <w:p w14:paraId="5F2D4057"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058" w14:textId="77777777" w:rsidR="00E836FB" w:rsidRDefault="00994958">
      <w:pPr>
        <w:ind w:firstLine="450"/>
      </w:pPr>
      <w:r>
        <w:rPr>
          <w:rFonts w:ascii="Arial" w:eastAsia="宋体" w:hAnsi="Arial" w:cs="Arial"/>
          <w:color w:val="000000"/>
          <w:sz w:val="20"/>
          <w:szCs w:val="20"/>
        </w:rPr>
        <w:t xml:space="preserve">The table below presents the </w:t>
      </w:r>
      <w:r>
        <w:rPr>
          <w:rFonts w:ascii="Arial" w:eastAsia="宋体" w:hAnsi="Arial" w:cs="Arial"/>
          <w:color w:val="000000"/>
          <w:sz w:val="20"/>
          <w:szCs w:val="20"/>
        </w:rPr>
        <w:t>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057"/>
        <w:gridCol w:w="36"/>
        <w:gridCol w:w="36"/>
        <w:gridCol w:w="36"/>
        <w:gridCol w:w="91"/>
        <w:gridCol w:w="91"/>
        <w:gridCol w:w="125"/>
        <w:gridCol w:w="116"/>
        <w:gridCol w:w="111"/>
        <w:gridCol w:w="116"/>
        <w:gridCol w:w="99"/>
        <w:gridCol w:w="1440"/>
        <w:gridCol w:w="37"/>
        <w:gridCol w:w="36"/>
        <w:gridCol w:w="36"/>
        <w:gridCol w:w="36"/>
        <w:gridCol w:w="99"/>
        <w:gridCol w:w="1389"/>
        <w:gridCol w:w="36"/>
        <w:gridCol w:w="36"/>
        <w:gridCol w:w="36"/>
        <w:gridCol w:w="36"/>
        <w:gridCol w:w="99"/>
        <w:gridCol w:w="1399"/>
        <w:gridCol w:w="36"/>
        <w:gridCol w:w="36"/>
        <w:gridCol w:w="36"/>
        <w:gridCol w:w="36"/>
        <w:gridCol w:w="99"/>
        <w:gridCol w:w="1389"/>
        <w:gridCol w:w="36"/>
      </w:tblGrid>
      <w:tr w:rsidR="00E836FB" w14:paraId="5F2D4079" w14:textId="77777777">
        <w:tc>
          <w:tcPr>
            <w:tcW w:w="50" w:type="pct"/>
            <w:shd w:val="clear" w:color="auto" w:fill="auto"/>
            <w:vAlign w:val="bottom"/>
          </w:tcPr>
          <w:p w14:paraId="5F2D4059" w14:textId="77777777" w:rsidR="00E836FB" w:rsidRDefault="00E836FB">
            <w:pPr>
              <w:rPr>
                <w:rFonts w:ascii="宋体"/>
              </w:rPr>
            </w:pPr>
          </w:p>
        </w:tc>
        <w:tc>
          <w:tcPr>
            <w:tcW w:w="727" w:type="pct"/>
            <w:shd w:val="clear" w:color="auto" w:fill="auto"/>
            <w:vAlign w:val="bottom"/>
          </w:tcPr>
          <w:p w14:paraId="5F2D405A" w14:textId="77777777" w:rsidR="00E836FB" w:rsidRDefault="00E836FB">
            <w:pPr>
              <w:rPr>
                <w:rFonts w:ascii="宋体"/>
              </w:rPr>
            </w:pPr>
          </w:p>
        </w:tc>
        <w:tc>
          <w:tcPr>
            <w:tcW w:w="5" w:type="pct"/>
            <w:shd w:val="clear" w:color="auto" w:fill="auto"/>
            <w:vAlign w:val="bottom"/>
          </w:tcPr>
          <w:p w14:paraId="5F2D405B" w14:textId="77777777" w:rsidR="00E836FB" w:rsidRDefault="00E836FB">
            <w:pPr>
              <w:rPr>
                <w:rFonts w:ascii="宋体"/>
              </w:rPr>
            </w:pPr>
          </w:p>
        </w:tc>
        <w:tc>
          <w:tcPr>
            <w:tcW w:w="0" w:type="auto"/>
            <w:shd w:val="clear" w:color="auto" w:fill="auto"/>
            <w:vAlign w:val="bottom"/>
          </w:tcPr>
          <w:p w14:paraId="5F2D405C" w14:textId="77777777" w:rsidR="00E836FB" w:rsidRDefault="00E836FB">
            <w:pPr>
              <w:rPr>
                <w:rFonts w:ascii="宋体"/>
                <w:vanish/>
              </w:rPr>
            </w:pPr>
          </w:p>
        </w:tc>
        <w:tc>
          <w:tcPr>
            <w:tcW w:w="0" w:type="auto"/>
            <w:shd w:val="clear" w:color="auto" w:fill="auto"/>
            <w:vAlign w:val="bottom"/>
          </w:tcPr>
          <w:p w14:paraId="5F2D405D" w14:textId="77777777" w:rsidR="00E836FB" w:rsidRDefault="00E836FB">
            <w:pPr>
              <w:rPr>
                <w:rFonts w:ascii="宋体"/>
                <w:vanish/>
              </w:rPr>
            </w:pPr>
          </w:p>
        </w:tc>
        <w:tc>
          <w:tcPr>
            <w:tcW w:w="0" w:type="auto"/>
            <w:shd w:val="clear" w:color="auto" w:fill="auto"/>
            <w:vAlign w:val="bottom"/>
          </w:tcPr>
          <w:p w14:paraId="5F2D405E" w14:textId="77777777" w:rsidR="00E836FB" w:rsidRDefault="00E836FB">
            <w:pPr>
              <w:rPr>
                <w:rFonts w:ascii="宋体"/>
                <w:vanish/>
              </w:rPr>
            </w:pPr>
          </w:p>
        </w:tc>
        <w:tc>
          <w:tcPr>
            <w:tcW w:w="0" w:type="auto"/>
            <w:shd w:val="clear" w:color="auto" w:fill="auto"/>
            <w:vAlign w:val="bottom"/>
          </w:tcPr>
          <w:p w14:paraId="5F2D405F" w14:textId="77777777" w:rsidR="00E836FB" w:rsidRDefault="00E836FB">
            <w:pPr>
              <w:rPr>
                <w:rFonts w:ascii="宋体"/>
                <w:vanish/>
              </w:rPr>
            </w:pPr>
          </w:p>
        </w:tc>
        <w:tc>
          <w:tcPr>
            <w:tcW w:w="0" w:type="auto"/>
            <w:shd w:val="clear" w:color="auto" w:fill="auto"/>
            <w:vAlign w:val="bottom"/>
          </w:tcPr>
          <w:p w14:paraId="5F2D4060" w14:textId="77777777" w:rsidR="00E836FB" w:rsidRDefault="00E836FB">
            <w:pPr>
              <w:rPr>
                <w:rFonts w:ascii="宋体"/>
                <w:vanish/>
              </w:rPr>
            </w:pPr>
          </w:p>
        </w:tc>
        <w:tc>
          <w:tcPr>
            <w:tcW w:w="0" w:type="auto"/>
            <w:shd w:val="clear" w:color="auto" w:fill="auto"/>
            <w:vAlign w:val="bottom"/>
          </w:tcPr>
          <w:p w14:paraId="5F2D4061" w14:textId="77777777" w:rsidR="00E836FB" w:rsidRDefault="00E836FB">
            <w:pPr>
              <w:rPr>
                <w:rFonts w:ascii="宋体"/>
                <w:vanish/>
              </w:rPr>
            </w:pPr>
          </w:p>
        </w:tc>
        <w:tc>
          <w:tcPr>
            <w:tcW w:w="0" w:type="auto"/>
            <w:shd w:val="clear" w:color="auto" w:fill="auto"/>
            <w:vAlign w:val="bottom"/>
          </w:tcPr>
          <w:p w14:paraId="5F2D4062" w14:textId="77777777" w:rsidR="00E836FB" w:rsidRDefault="00E836FB">
            <w:pPr>
              <w:rPr>
                <w:rFonts w:ascii="宋体"/>
                <w:vanish/>
              </w:rPr>
            </w:pPr>
          </w:p>
        </w:tc>
        <w:tc>
          <w:tcPr>
            <w:tcW w:w="0" w:type="auto"/>
            <w:shd w:val="clear" w:color="auto" w:fill="auto"/>
            <w:vAlign w:val="bottom"/>
          </w:tcPr>
          <w:p w14:paraId="5F2D4063" w14:textId="77777777" w:rsidR="00E836FB" w:rsidRDefault="00E836FB">
            <w:pPr>
              <w:rPr>
                <w:rFonts w:ascii="宋体"/>
                <w:vanish/>
              </w:rPr>
            </w:pPr>
          </w:p>
        </w:tc>
        <w:tc>
          <w:tcPr>
            <w:tcW w:w="50" w:type="pct"/>
            <w:shd w:val="clear" w:color="auto" w:fill="auto"/>
            <w:vAlign w:val="bottom"/>
          </w:tcPr>
          <w:p w14:paraId="5F2D4064" w14:textId="77777777" w:rsidR="00E836FB" w:rsidRDefault="00E836FB">
            <w:pPr>
              <w:rPr>
                <w:rFonts w:ascii="宋体"/>
              </w:rPr>
            </w:pPr>
          </w:p>
        </w:tc>
        <w:tc>
          <w:tcPr>
            <w:tcW w:w="975" w:type="pct"/>
            <w:shd w:val="clear" w:color="auto" w:fill="auto"/>
            <w:vAlign w:val="bottom"/>
          </w:tcPr>
          <w:p w14:paraId="5F2D4065" w14:textId="77777777" w:rsidR="00E836FB" w:rsidRDefault="00E836FB">
            <w:pPr>
              <w:rPr>
                <w:rFonts w:ascii="宋体"/>
              </w:rPr>
            </w:pPr>
          </w:p>
        </w:tc>
        <w:tc>
          <w:tcPr>
            <w:tcW w:w="5" w:type="pct"/>
            <w:shd w:val="clear" w:color="auto" w:fill="auto"/>
            <w:vAlign w:val="bottom"/>
          </w:tcPr>
          <w:p w14:paraId="5F2D4066" w14:textId="77777777" w:rsidR="00E836FB" w:rsidRDefault="00E836FB">
            <w:pPr>
              <w:rPr>
                <w:rFonts w:ascii="宋体"/>
              </w:rPr>
            </w:pPr>
          </w:p>
        </w:tc>
        <w:tc>
          <w:tcPr>
            <w:tcW w:w="5" w:type="pct"/>
            <w:shd w:val="clear" w:color="auto" w:fill="auto"/>
            <w:vAlign w:val="bottom"/>
          </w:tcPr>
          <w:p w14:paraId="5F2D4067" w14:textId="77777777" w:rsidR="00E836FB" w:rsidRDefault="00E836FB">
            <w:pPr>
              <w:rPr>
                <w:rFonts w:ascii="宋体"/>
              </w:rPr>
            </w:pPr>
          </w:p>
        </w:tc>
        <w:tc>
          <w:tcPr>
            <w:tcW w:w="26" w:type="pct"/>
            <w:shd w:val="clear" w:color="auto" w:fill="auto"/>
            <w:vAlign w:val="bottom"/>
          </w:tcPr>
          <w:p w14:paraId="5F2D4068" w14:textId="77777777" w:rsidR="00E836FB" w:rsidRDefault="00E836FB">
            <w:pPr>
              <w:rPr>
                <w:rFonts w:ascii="宋体"/>
              </w:rPr>
            </w:pPr>
          </w:p>
        </w:tc>
        <w:tc>
          <w:tcPr>
            <w:tcW w:w="5" w:type="pct"/>
            <w:shd w:val="clear" w:color="auto" w:fill="auto"/>
            <w:vAlign w:val="bottom"/>
          </w:tcPr>
          <w:p w14:paraId="5F2D4069" w14:textId="77777777" w:rsidR="00E836FB" w:rsidRDefault="00E836FB">
            <w:pPr>
              <w:rPr>
                <w:rFonts w:ascii="宋体"/>
              </w:rPr>
            </w:pPr>
          </w:p>
        </w:tc>
        <w:tc>
          <w:tcPr>
            <w:tcW w:w="50" w:type="pct"/>
            <w:shd w:val="clear" w:color="auto" w:fill="auto"/>
            <w:vAlign w:val="bottom"/>
          </w:tcPr>
          <w:p w14:paraId="5F2D406A" w14:textId="77777777" w:rsidR="00E836FB" w:rsidRDefault="00E836FB">
            <w:pPr>
              <w:rPr>
                <w:rFonts w:ascii="宋体"/>
              </w:rPr>
            </w:pPr>
          </w:p>
        </w:tc>
        <w:tc>
          <w:tcPr>
            <w:tcW w:w="968" w:type="pct"/>
            <w:shd w:val="clear" w:color="auto" w:fill="auto"/>
            <w:vAlign w:val="bottom"/>
          </w:tcPr>
          <w:p w14:paraId="5F2D406B" w14:textId="77777777" w:rsidR="00E836FB" w:rsidRDefault="00E836FB">
            <w:pPr>
              <w:rPr>
                <w:rFonts w:ascii="宋体"/>
              </w:rPr>
            </w:pPr>
          </w:p>
        </w:tc>
        <w:tc>
          <w:tcPr>
            <w:tcW w:w="5" w:type="pct"/>
            <w:shd w:val="clear" w:color="auto" w:fill="auto"/>
            <w:vAlign w:val="bottom"/>
          </w:tcPr>
          <w:p w14:paraId="5F2D406C" w14:textId="77777777" w:rsidR="00E836FB" w:rsidRDefault="00E836FB">
            <w:pPr>
              <w:rPr>
                <w:rFonts w:ascii="宋体"/>
              </w:rPr>
            </w:pPr>
          </w:p>
        </w:tc>
        <w:tc>
          <w:tcPr>
            <w:tcW w:w="5" w:type="pct"/>
            <w:shd w:val="clear" w:color="auto" w:fill="auto"/>
            <w:vAlign w:val="bottom"/>
          </w:tcPr>
          <w:p w14:paraId="5F2D406D" w14:textId="77777777" w:rsidR="00E836FB" w:rsidRDefault="00E836FB">
            <w:pPr>
              <w:rPr>
                <w:rFonts w:ascii="宋体"/>
              </w:rPr>
            </w:pPr>
          </w:p>
        </w:tc>
        <w:tc>
          <w:tcPr>
            <w:tcW w:w="26" w:type="pct"/>
            <w:shd w:val="clear" w:color="auto" w:fill="auto"/>
            <w:vAlign w:val="bottom"/>
          </w:tcPr>
          <w:p w14:paraId="5F2D406E" w14:textId="77777777" w:rsidR="00E836FB" w:rsidRDefault="00E836FB">
            <w:pPr>
              <w:rPr>
                <w:rFonts w:ascii="宋体"/>
              </w:rPr>
            </w:pPr>
          </w:p>
        </w:tc>
        <w:tc>
          <w:tcPr>
            <w:tcW w:w="5" w:type="pct"/>
            <w:shd w:val="clear" w:color="auto" w:fill="auto"/>
            <w:vAlign w:val="bottom"/>
          </w:tcPr>
          <w:p w14:paraId="5F2D406F" w14:textId="77777777" w:rsidR="00E836FB" w:rsidRDefault="00E836FB">
            <w:pPr>
              <w:rPr>
                <w:rFonts w:ascii="宋体"/>
              </w:rPr>
            </w:pPr>
          </w:p>
        </w:tc>
        <w:tc>
          <w:tcPr>
            <w:tcW w:w="50" w:type="pct"/>
            <w:shd w:val="clear" w:color="auto" w:fill="auto"/>
            <w:vAlign w:val="bottom"/>
          </w:tcPr>
          <w:p w14:paraId="5F2D4070" w14:textId="77777777" w:rsidR="00E836FB" w:rsidRDefault="00E836FB">
            <w:pPr>
              <w:rPr>
                <w:rFonts w:ascii="宋体"/>
              </w:rPr>
            </w:pPr>
          </w:p>
        </w:tc>
        <w:tc>
          <w:tcPr>
            <w:tcW w:w="975" w:type="pct"/>
            <w:shd w:val="clear" w:color="auto" w:fill="auto"/>
            <w:vAlign w:val="bottom"/>
          </w:tcPr>
          <w:p w14:paraId="5F2D4071" w14:textId="77777777" w:rsidR="00E836FB" w:rsidRDefault="00E836FB">
            <w:pPr>
              <w:rPr>
                <w:rFonts w:ascii="宋体"/>
              </w:rPr>
            </w:pPr>
          </w:p>
        </w:tc>
        <w:tc>
          <w:tcPr>
            <w:tcW w:w="5" w:type="pct"/>
            <w:shd w:val="clear" w:color="auto" w:fill="auto"/>
            <w:vAlign w:val="bottom"/>
          </w:tcPr>
          <w:p w14:paraId="5F2D4072" w14:textId="77777777" w:rsidR="00E836FB" w:rsidRDefault="00E836FB">
            <w:pPr>
              <w:rPr>
                <w:rFonts w:ascii="宋体"/>
              </w:rPr>
            </w:pPr>
          </w:p>
        </w:tc>
        <w:tc>
          <w:tcPr>
            <w:tcW w:w="5" w:type="pct"/>
            <w:shd w:val="clear" w:color="auto" w:fill="auto"/>
            <w:vAlign w:val="bottom"/>
          </w:tcPr>
          <w:p w14:paraId="5F2D4073" w14:textId="77777777" w:rsidR="00E836FB" w:rsidRDefault="00E836FB">
            <w:pPr>
              <w:rPr>
                <w:rFonts w:ascii="宋体"/>
              </w:rPr>
            </w:pPr>
          </w:p>
        </w:tc>
        <w:tc>
          <w:tcPr>
            <w:tcW w:w="26" w:type="pct"/>
            <w:shd w:val="clear" w:color="auto" w:fill="auto"/>
            <w:vAlign w:val="bottom"/>
          </w:tcPr>
          <w:p w14:paraId="5F2D4074" w14:textId="77777777" w:rsidR="00E836FB" w:rsidRDefault="00E836FB">
            <w:pPr>
              <w:rPr>
                <w:rFonts w:ascii="宋体"/>
              </w:rPr>
            </w:pPr>
          </w:p>
        </w:tc>
        <w:tc>
          <w:tcPr>
            <w:tcW w:w="5" w:type="pct"/>
            <w:shd w:val="clear" w:color="auto" w:fill="auto"/>
            <w:vAlign w:val="bottom"/>
          </w:tcPr>
          <w:p w14:paraId="5F2D4075" w14:textId="77777777" w:rsidR="00E836FB" w:rsidRDefault="00E836FB">
            <w:pPr>
              <w:rPr>
                <w:rFonts w:ascii="宋体"/>
              </w:rPr>
            </w:pPr>
          </w:p>
        </w:tc>
        <w:tc>
          <w:tcPr>
            <w:tcW w:w="50" w:type="pct"/>
            <w:shd w:val="clear" w:color="auto" w:fill="auto"/>
            <w:vAlign w:val="bottom"/>
          </w:tcPr>
          <w:p w14:paraId="5F2D4076" w14:textId="77777777" w:rsidR="00E836FB" w:rsidRDefault="00E836FB">
            <w:pPr>
              <w:rPr>
                <w:rFonts w:ascii="宋体"/>
              </w:rPr>
            </w:pPr>
          </w:p>
        </w:tc>
        <w:tc>
          <w:tcPr>
            <w:tcW w:w="968" w:type="pct"/>
            <w:shd w:val="clear" w:color="auto" w:fill="auto"/>
            <w:vAlign w:val="bottom"/>
          </w:tcPr>
          <w:p w14:paraId="5F2D4077" w14:textId="77777777" w:rsidR="00E836FB" w:rsidRDefault="00E836FB">
            <w:pPr>
              <w:rPr>
                <w:rFonts w:ascii="宋体"/>
              </w:rPr>
            </w:pPr>
          </w:p>
        </w:tc>
        <w:tc>
          <w:tcPr>
            <w:tcW w:w="5" w:type="pct"/>
            <w:shd w:val="clear" w:color="auto" w:fill="auto"/>
            <w:vAlign w:val="bottom"/>
          </w:tcPr>
          <w:p w14:paraId="5F2D4078" w14:textId="77777777" w:rsidR="00E836FB" w:rsidRDefault="00E836FB">
            <w:pPr>
              <w:rPr>
                <w:rFonts w:ascii="宋体"/>
              </w:rPr>
            </w:pPr>
          </w:p>
        </w:tc>
      </w:tr>
      <w:tr w:rsidR="00E836FB" w14:paraId="5F2D4090" w14:textId="77777777">
        <w:tc>
          <w:tcPr>
            <w:tcW w:w="0" w:type="auto"/>
            <w:gridSpan w:val="3"/>
            <w:shd w:val="clear" w:color="auto" w:fill="auto"/>
            <w:tcMar>
              <w:top w:w="0" w:type="dxa"/>
              <w:left w:w="20" w:type="dxa"/>
              <w:bottom w:w="0" w:type="dxa"/>
              <w:right w:w="20" w:type="dxa"/>
            </w:tcMar>
            <w:vAlign w:val="bottom"/>
          </w:tcPr>
          <w:p w14:paraId="5F2D407A" w14:textId="77777777" w:rsidR="00E836FB" w:rsidRDefault="00E836FB">
            <w:pPr>
              <w:rPr>
                <w:rFonts w:ascii="宋体"/>
              </w:rPr>
            </w:pPr>
          </w:p>
        </w:tc>
        <w:tc>
          <w:tcPr>
            <w:tcW w:w="0" w:type="auto"/>
            <w:shd w:val="clear" w:color="auto" w:fill="auto"/>
            <w:vAlign w:val="bottom"/>
          </w:tcPr>
          <w:p w14:paraId="5F2D407B" w14:textId="77777777" w:rsidR="00E836FB" w:rsidRDefault="00E836FB">
            <w:pPr>
              <w:rPr>
                <w:rFonts w:ascii="宋体"/>
                <w:vanish/>
              </w:rPr>
            </w:pPr>
          </w:p>
        </w:tc>
        <w:tc>
          <w:tcPr>
            <w:tcW w:w="0" w:type="auto"/>
            <w:shd w:val="clear" w:color="auto" w:fill="auto"/>
            <w:vAlign w:val="bottom"/>
          </w:tcPr>
          <w:p w14:paraId="5F2D407C" w14:textId="77777777" w:rsidR="00E836FB" w:rsidRDefault="00E836FB">
            <w:pPr>
              <w:rPr>
                <w:rFonts w:ascii="宋体"/>
                <w:vanish/>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5F2D407D"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shd w:val="clear" w:color="auto" w:fill="auto"/>
            <w:vAlign w:val="bottom"/>
          </w:tcPr>
          <w:p w14:paraId="5F2D407E" w14:textId="77777777" w:rsidR="00E836FB" w:rsidRDefault="00E836FB">
            <w:pPr>
              <w:rPr>
                <w:rFonts w:ascii="宋体"/>
              </w:rPr>
            </w:pPr>
          </w:p>
        </w:tc>
        <w:tc>
          <w:tcPr>
            <w:tcW w:w="0" w:type="auto"/>
            <w:shd w:val="clear" w:color="auto" w:fill="auto"/>
            <w:vAlign w:val="bottom"/>
          </w:tcPr>
          <w:p w14:paraId="5F2D407F" w14:textId="77777777" w:rsidR="00E836FB" w:rsidRDefault="00E836FB">
            <w:pPr>
              <w:rPr>
                <w:rFonts w:ascii="宋体"/>
              </w:rPr>
            </w:pPr>
          </w:p>
        </w:tc>
        <w:tc>
          <w:tcPr>
            <w:tcW w:w="0" w:type="auto"/>
            <w:shd w:val="clear" w:color="auto" w:fill="auto"/>
            <w:vAlign w:val="bottom"/>
          </w:tcPr>
          <w:p w14:paraId="5F2D4080" w14:textId="77777777" w:rsidR="00E836FB" w:rsidRDefault="00E836FB">
            <w:pPr>
              <w:rPr>
                <w:rFonts w:ascii="宋体"/>
              </w:rPr>
            </w:pPr>
          </w:p>
        </w:tc>
        <w:tc>
          <w:tcPr>
            <w:tcW w:w="0" w:type="auto"/>
            <w:shd w:val="clear" w:color="auto" w:fill="auto"/>
            <w:vAlign w:val="bottom"/>
          </w:tcPr>
          <w:p w14:paraId="5F2D4081" w14:textId="77777777" w:rsidR="00E836FB" w:rsidRDefault="00E836FB">
            <w:pPr>
              <w:rPr>
                <w:rFonts w:ascii="宋体"/>
              </w:rPr>
            </w:pPr>
          </w:p>
        </w:tc>
        <w:tc>
          <w:tcPr>
            <w:tcW w:w="0" w:type="auto"/>
            <w:shd w:val="clear" w:color="auto" w:fill="auto"/>
            <w:vAlign w:val="bottom"/>
          </w:tcPr>
          <w:p w14:paraId="5F2D4082" w14:textId="77777777" w:rsidR="00E836FB" w:rsidRDefault="00E836FB">
            <w:pPr>
              <w:rPr>
                <w:rFonts w:ascii="宋体"/>
              </w:rPr>
            </w:pPr>
          </w:p>
        </w:tc>
        <w:tc>
          <w:tcPr>
            <w:tcW w:w="0" w:type="auto"/>
            <w:shd w:val="clear" w:color="auto" w:fill="auto"/>
            <w:vAlign w:val="bottom"/>
          </w:tcPr>
          <w:p w14:paraId="5F2D4083" w14:textId="77777777" w:rsidR="00E836FB" w:rsidRDefault="00E836FB">
            <w:pPr>
              <w:rPr>
                <w:rFonts w:ascii="宋体"/>
              </w:rPr>
            </w:pPr>
          </w:p>
        </w:tc>
        <w:tc>
          <w:tcPr>
            <w:tcW w:w="0" w:type="auto"/>
            <w:shd w:val="clear" w:color="auto" w:fill="auto"/>
            <w:vAlign w:val="bottom"/>
          </w:tcPr>
          <w:p w14:paraId="5F2D4084" w14:textId="77777777" w:rsidR="00E836FB" w:rsidRDefault="00E836FB">
            <w:pPr>
              <w:rPr>
                <w:rFonts w:ascii="宋体"/>
              </w:rPr>
            </w:pPr>
          </w:p>
        </w:tc>
        <w:tc>
          <w:tcPr>
            <w:tcW w:w="0" w:type="auto"/>
            <w:shd w:val="clear" w:color="auto" w:fill="auto"/>
            <w:vAlign w:val="bottom"/>
          </w:tcPr>
          <w:p w14:paraId="5F2D4085" w14:textId="77777777" w:rsidR="00E836FB" w:rsidRDefault="00E836FB">
            <w:pPr>
              <w:rPr>
                <w:rFonts w:ascii="宋体"/>
              </w:rPr>
            </w:pPr>
          </w:p>
        </w:tc>
        <w:tc>
          <w:tcPr>
            <w:tcW w:w="0" w:type="auto"/>
            <w:shd w:val="clear" w:color="auto" w:fill="auto"/>
            <w:vAlign w:val="bottom"/>
          </w:tcPr>
          <w:p w14:paraId="5F2D4086" w14:textId="77777777" w:rsidR="00E836FB" w:rsidRDefault="00E836FB">
            <w:pPr>
              <w:rPr>
                <w:rFonts w:ascii="宋体"/>
              </w:rPr>
            </w:pPr>
          </w:p>
        </w:tc>
        <w:tc>
          <w:tcPr>
            <w:tcW w:w="0" w:type="auto"/>
            <w:shd w:val="clear" w:color="auto" w:fill="auto"/>
            <w:vAlign w:val="bottom"/>
          </w:tcPr>
          <w:p w14:paraId="5F2D4087" w14:textId="77777777" w:rsidR="00E836FB" w:rsidRDefault="00E836FB">
            <w:pPr>
              <w:rPr>
                <w:rFonts w:ascii="宋体"/>
              </w:rPr>
            </w:pPr>
          </w:p>
        </w:tc>
        <w:tc>
          <w:tcPr>
            <w:tcW w:w="0" w:type="auto"/>
            <w:shd w:val="clear" w:color="auto" w:fill="auto"/>
            <w:vAlign w:val="bottom"/>
          </w:tcPr>
          <w:p w14:paraId="5F2D4088" w14:textId="77777777" w:rsidR="00E836FB" w:rsidRDefault="00E836FB">
            <w:pPr>
              <w:rPr>
                <w:rFonts w:ascii="宋体"/>
              </w:rPr>
            </w:pPr>
          </w:p>
        </w:tc>
        <w:tc>
          <w:tcPr>
            <w:tcW w:w="0" w:type="auto"/>
            <w:shd w:val="clear" w:color="auto" w:fill="auto"/>
            <w:vAlign w:val="bottom"/>
          </w:tcPr>
          <w:p w14:paraId="5F2D4089" w14:textId="77777777" w:rsidR="00E836FB" w:rsidRDefault="00E836FB">
            <w:pPr>
              <w:rPr>
                <w:rFonts w:ascii="宋体"/>
              </w:rPr>
            </w:pPr>
          </w:p>
        </w:tc>
        <w:tc>
          <w:tcPr>
            <w:tcW w:w="0" w:type="auto"/>
            <w:shd w:val="clear" w:color="auto" w:fill="auto"/>
            <w:vAlign w:val="bottom"/>
          </w:tcPr>
          <w:p w14:paraId="5F2D408A" w14:textId="77777777" w:rsidR="00E836FB" w:rsidRDefault="00E836FB">
            <w:pPr>
              <w:rPr>
                <w:rFonts w:ascii="宋体"/>
              </w:rPr>
            </w:pPr>
          </w:p>
        </w:tc>
        <w:tc>
          <w:tcPr>
            <w:tcW w:w="0" w:type="auto"/>
            <w:shd w:val="clear" w:color="auto" w:fill="auto"/>
            <w:vAlign w:val="bottom"/>
          </w:tcPr>
          <w:p w14:paraId="5F2D408B" w14:textId="77777777" w:rsidR="00E836FB" w:rsidRDefault="00E836FB">
            <w:pPr>
              <w:rPr>
                <w:rFonts w:ascii="宋体"/>
              </w:rPr>
            </w:pPr>
          </w:p>
        </w:tc>
        <w:tc>
          <w:tcPr>
            <w:tcW w:w="0" w:type="auto"/>
            <w:shd w:val="clear" w:color="auto" w:fill="auto"/>
            <w:vAlign w:val="bottom"/>
          </w:tcPr>
          <w:p w14:paraId="5F2D408C" w14:textId="77777777" w:rsidR="00E836FB" w:rsidRDefault="00E836FB">
            <w:pPr>
              <w:rPr>
                <w:rFonts w:ascii="宋体"/>
              </w:rPr>
            </w:pPr>
          </w:p>
        </w:tc>
        <w:tc>
          <w:tcPr>
            <w:tcW w:w="0" w:type="auto"/>
            <w:shd w:val="clear" w:color="auto" w:fill="auto"/>
            <w:vAlign w:val="bottom"/>
          </w:tcPr>
          <w:p w14:paraId="5F2D408D" w14:textId="77777777" w:rsidR="00E836FB" w:rsidRDefault="00E836FB">
            <w:pPr>
              <w:rPr>
                <w:rFonts w:ascii="宋体"/>
              </w:rPr>
            </w:pPr>
          </w:p>
        </w:tc>
        <w:tc>
          <w:tcPr>
            <w:tcW w:w="0" w:type="auto"/>
            <w:shd w:val="clear" w:color="auto" w:fill="auto"/>
            <w:vAlign w:val="bottom"/>
          </w:tcPr>
          <w:p w14:paraId="5F2D408E" w14:textId="77777777" w:rsidR="00E836FB" w:rsidRDefault="00E836FB">
            <w:pPr>
              <w:rPr>
                <w:rFonts w:ascii="宋体"/>
              </w:rPr>
            </w:pPr>
          </w:p>
        </w:tc>
        <w:tc>
          <w:tcPr>
            <w:tcW w:w="0" w:type="auto"/>
            <w:shd w:val="clear" w:color="auto" w:fill="auto"/>
            <w:vAlign w:val="bottom"/>
          </w:tcPr>
          <w:p w14:paraId="5F2D408F" w14:textId="77777777" w:rsidR="00E836FB" w:rsidRDefault="00E836FB">
            <w:pPr>
              <w:rPr>
                <w:rFonts w:ascii="宋体"/>
              </w:rPr>
            </w:pPr>
          </w:p>
        </w:tc>
      </w:tr>
      <w:tr w:rsidR="00E836FB" w14:paraId="5F2D40A5" w14:textId="77777777">
        <w:tc>
          <w:tcPr>
            <w:tcW w:w="0" w:type="auto"/>
            <w:gridSpan w:val="3"/>
            <w:shd w:val="clear" w:color="auto" w:fill="auto"/>
            <w:tcMar>
              <w:top w:w="0" w:type="dxa"/>
              <w:left w:w="20" w:type="dxa"/>
              <w:bottom w:w="0" w:type="dxa"/>
              <w:right w:w="20" w:type="dxa"/>
            </w:tcMar>
            <w:vAlign w:val="bottom"/>
          </w:tcPr>
          <w:p w14:paraId="5F2D4091" w14:textId="77777777" w:rsidR="00E836FB" w:rsidRDefault="00E836FB">
            <w:pPr>
              <w:rPr>
                <w:rFonts w:ascii="宋体"/>
              </w:rPr>
            </w:pPr>
          </w:p>
        </w:tc>
        <w:tc>
          <w:tcPr>
            <w:tcW w:w="0" w:type="auto"/>
            <w:shd w:val="clear" w:color="auto" w:fill="auto"/>
            <w:vAlign w:val="bottom"/>
          </w:tcPr>
          <w:p w14:paraId="5F2D4092" w14:textId="77777777" w:rsidR="00E836FB" w:rsidRDefault="00E836FB">
            <w:pPr>
              <w:rPr>
                <w:rFonts w:ascii="宋体"/>
                <w:vanish/>
              </w:rPr>
            </w:pPr>
          </w:p>
        </w:tc>
        <w:tc>
          <w:tcPr>
            <w:tcW w:w="0" w:type="auto"/>
            <w:shd w:val="clear" w:color="auto" w:fill="auto"/>
            <w:vAlign w:val="bottom"/>
          </w:tcPr>
          <w:p w14:paraId="5F2D4093" w14:textId="77777777" w:rsidR="00E836FB" w:rsidRDefault="00E836FB">
            <w:pPr>
              <w:rPr>
                <w:rFonts w:ascii="宋体"/>
                <w:vanish/>
              </w:rPr>
            </w:pPr>
          </w:p>
        </w:tc>
        <w:tc>
          <w:tcPr>
            <w:tcW w:w="0" w:type="auto"/>
            <w:shd w:val="clear" w:color="auto" w:fill="auto"/>
            <w:vAlign w:val="bottom"/>
          </w:tcPr>
          <w:p w14:paraId="5F2D4094" w14:textId="77777777" w:rsidR="00E836FB" w:rsidRDefault="00E836FB">
            <w:pPr>
              <w:rPr>
                <w:rFonts w:ascii="宋体"/>
                <w:vanish/>
              </w:rPr>
            </w:pPr>
          </w:p>
        </w:tc>
        <w:tc>
          <w:tcPr>
            <w:tcW w:w="0" w:type="auto"/>
            <w:shd w:val="clear" w:color="auto" w:fill="auto"/>
            <w:vAlign w:val="bottom"/>
          </w:tcPr>
          <w:p w14:paraId="5F2D4095"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96" w14:textId="77777777" w:rsidR="00E836FB" w:rsidRDefault="00994958">
            <w:pPr>
              <w:jc w:val="center"/>
              <w:textAlignment w:val="bottom"/>
            </w:pPr>
            <w:r>
              <w:rPr>
                <w:rFonts w:ascii="Arial" w:eastAsia="宋体" w:hAnsi="Arial" w:cs="Arial"/>
                <w:b/>
                <w:bCs/>
                <w:color w:val="000000"/>
                <w:sz w:val="14"/>
                <w:szCs w:val="14"/>
              </w:rPr>
              <w:t>2021</w:t>
            </w:r>
          </w:p>
        </w:tc>
        <w:tc>
          <w:tcPr>
            <w:tcW w:w="0" w:type="auto"/>
            <w:tcBorders>
              <w:top w:val="single" w:sz="8" w:space="0" w:color="000000"/>
            </w:tcBorders>
            <w:shd w:val="clear" w:color="auto" w:fill="auto"/>
            <w:tcMar>
              <w:top w:w="0" w:type="dxa"/>
              <w:left w:w="20" w:type="dxa"/>
              <w:bottom w:w="0" w:type="dxa"/>
              <w:right w:w="20" w:type="dxa"/>
            </w:tcMar>
            <w:vAlign w:val="bottom"/>
          </w:tcPr>
          <w:p w14:paraId="5F2D4097" w14:textId="77777777" w:rsidR="00E836FB" w:rsidRDefault="00E836F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4098" w14:textId="77777777" w:rsidR="00E836FB" w:rsidRDefault="00994958">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5F2D4099" w14:textId="77777777" w:rsidR="00E836FB" w:rsidRDefault="00E836FB">
            <w:pPr>
              <w:rPr>
                <w:rFonts w:ascii="宋体"/>
              </w:rPr>
            </w:pPr>
          </w:p>
        </w:tc>
        <w:tc>
          <w:tcPr>
            <w:tcW w:w="0" w:type="auto"/>
            <w:shd w:val="clear" w:color="auto" w:fill="auto"/>
            <w:vAlign w:val="bottom"/>
          </w:tcPr>
          <w:p w14:paraId="5F2D409A" w14:textId="77777777" w:rsidR="00E836FB" w:rsidRDefault="00E836FB">
            <w:pPr>
              <w:rPr>
                <w:rFonts w:ascii="宋体"/>
              </w:rPr>
            </w:pPr>
          </w:p>
        </w:tc>
        <w:tc>
          <w:tcPr>
            <w:tcW w:w="0" w:type="auto"/>
            <w:shd w:val="clear" w:color="auto" w:fill="auto"/>
            <w:vAlign w:val="bottom"/>
          </w:tcPr>
          <w:p w14:paraId="5F2D409B" w14:textId="77777777" w:rsidR="00E836FB" w:rsidRDefault="00E836FB">
            <w:pPr>
              <w:rPr>
                <w:rFonts w:ascii="宋体"/>
              </w:rPr>
            </w:pPr>
          </w:p>
        </w:tc>
        <w:tc>
          <w:tcPr>
            <w:tcW w:w="0" w:type="auto"/>
            <w:shd w:val="clear" w:color="auto" w:fill="auto"/>
            <w:vAlign w:val="bottom"/>
          </w:tcPr>
          <w:p w14:paraId="5F2D409C" w14:textId="77777777" w:rsidR="00E836FB" w:rsidRDefault="00E836FB">
            <w:pPr>
              <w:rPr>
                <w:rFonts w:ascii="宋体"/>
              </w:rPr>
            </w:pPr>
          </w:p>
        </w:tc>
        <w:tc>
          <w:tcPr>
            <w:tcW w:w="0" w:type="auto"/>
            <w:shd w:val="clear" w:color="auto" w:fill="auto"/>
            <w:vAlign w:val="bottom"/>
          </w:tcPr>
          <w:p w14:paraId="5F2D409D" w14:textId="77777777" w:rsidR="00E836FB" w:rsidRDefault="00E836FB">
            <w:pPr>
              <w:rPr>
                <w:rFonts w:ascii="宋体"/>
              </w:rPr>
            </w:pPr>
          </w:p>
        </w:tc>
        <w:tc>
          <w:tcPr>
            <w:tcW w:w="0" w:type="auto"/>
            <w:shd w:val="clear" w:color="auto" w:fill="auto"/>
            <w:vAlign w:val="bottom"/>
          </w:tcPr>
          <w:p w14:paraId="5F2D409E" w14:textId="77777777" w:rsidR="00E836FB" w:rsidRDefault="00E836FB">
            <w:pPr>
              <w:rPr>
                <w:rFonts w:ascii="宋体"/>
              </w:rPr>
            </w:pPr>
          </w:p>
        </w:tc>
        <w:tc>
          <w:tcPr>
            <w:tcW w:w="0" w:type="auto"/>
            <w:shd w:val="clear" w:color="auto" w:fill="auto"/>
            <w:vAlign w:val="bottom"/>
          </w:tcPr>
          <w:p w14:paraId="5F2D409F" w14:textId="77777777" w:rsidR="00E836FB" w:rsidRDefault="00E836FB">
            <w:pPr>
              <w:rPr>
                <w:rFonts w:ascii="宋体"/>
              </w:rPr>
            </w:pPr>
          </w:p>
        </w:tc>
        <w:tc>
          <w:tcPr>
            <w:tcW w:w="0" w:type="auto"/>
            <w:shd w:val="clear" w:color="auto" w:fill="auto"/>
            <w:vAlign w:val="bottom"/>
          </w:tcPr>
          <w:p w14:paraId="5F2D40A0" w14:textId="77777777" w:rsidR="00E836FB" w:rsidRDefault="00E836FB">
            <w:pPr>
              <w:rPr>
                <w:rFonts w:ascii="宋体"/>
              </w:rPr>
            </w:pPr>
          </w:p>
        </w:tc>
        <w:tc>
          <w:tcPr>
            <w:tcW w:w="0" w:type="auto"/>
            <w:shd w:val="clear" w:color="auto" w:fill="auto"/>
            <w:vAlign w:val="bottom"/>
          </w:tcPr>
          <w:p w14:paraId="5F2D40A1" w14:textId="77777777" w:rsidR="00E836FB" w:rsidRDefault="00E836FB">
            <w:pPr>
              <w:rPr>
                <w:rFonts w:ascii="宋体"/>
              </w:rPr>
            </w:pPr>
          </w:p>
        </w:tc>
        <w:tc>
          <w:tcPr>
            <w:tcW w:w="0" w:type="auto"/>
            <w:shd w:val="clear" w:color="auto" w:fill="auto"/>
            <w:vAlign w:val="bottom"/>
          </w:tcPr>
          <w:p w14:paraId="5F2D40A2" w14:textId="77777777" w:rsidR="00E836FB" w:rsidRDefault="00E836FB">
            <w:pPr>
              <w:rPr>
                <w:rFonts w:ascii="宋体"/>
              </w:rPr>
            </w:pPr>
          </w:p>
        </w:tc>
        <w:tc>
          <w:tcPr>
            <w:tcW w:w="0" w:type="auto"/>
            <w:shd w:val="clear" w:color="auto" w:fill="auto"/>
            <w:vAlign w:val="bottom"/>
          </w:tcPr>
          <w:p w14:paraId="5F2D40A3" w14:textId="77777777" w:rsidR="00E836FB" w:rsidRDefault="00E836FB">
            <w:pPr>
              <w:rPr>
                <w:rFonts w:ascii="宋体"/>
              </w:rPr>
            </w:pPr>
          </w:p>
        </w:tc>
        <w:tc>
          <w:tcPr>
            <w:tcW w:w="0" w:type="auto"/>
            <w:shd w:val="clear" w:color="auto" w:fill="auto"/>
            <w:vAlign w:val="bottom"/>
          </w:tcPr>
          <w:p w14:paraId="5F2D40A4" w14:textId="77777777" w:rsidR="00E836FB" w:rsidRDefault="00E836FB">
            <w:pPr>
              <w:rPr>
                <w:rFonts w:ascii="宋体"/>
              </w:rPr>
            </w:pPr>
          </w:p>
        </w:tc>
      </w:tr>
      <w:tr w:rsidR="00E836FB" w14:paraId="5F2D40B6" w14:textId="77777777">
        <w:tc>
          <w:tcPr>
            <w:tcW w:w="0" w:type="auto"/>
            <w:gridSpan w:val="3"/>
            <w:shd w:val="clear" w:color="auto" w:fill="FFFFFF"/>
            <w:tcMar>
              <w:top w:w="0" w:type="dxa"/>
              <w:left w:w="20" w:type="dxa"/>
              <w:bottom w:w="0" w:type="dxa"/>
              <w:right w:w="20" w:type="dxa"/>
            </w:tcMar>
            <w:vAlign w:val="bottom"/>
          </w:tcPr>
          <w:p w14:paraId="5F2D40A6" w14:textId="77777777" w:rsidR="00E836FB" w:rsidRDefault="00E836FB">
            <w:pPr>
              <w:rPr>
                <w:rFonts w:ascii="宋体"/>
              </w:rPr>
            </w:pPr>
          </w:p>
        </w:tc>
        <w:tc>
          <w:tcPr>
            <w:tcW w:w="0" w:type="auto"/>
            <w:shd w:val="clear" w:color="auto" w:fill="auto"/>
            <w:vAlign w:val="bottom"/>
          </w:tcPr>
          <w:p w14:paraId="5F2D40A7" w14:textId="77777777" w:rsidR="00E836FB" w:rsidRDefault="00E836FB">
            <w:pPr>
              <w:rPr>
                <w:rFonts w:ascii="宋体"/>
                <w:vanish/>
              </w:rPr>
            </w:pPr>
          </w:p>
        </w:tc>
        <w:tc>
          <w:tcPr>
            <w:tcW w:w="0" w:type="auto"/>
            <w:shd w:val="clear" w:color="auto" w:fill="auto"/>
            <w:vAlign w:val="bottom"/>
          </w:tcPr>
          <w:p w14:paraId="5F2D40A8" w14:textId="77777777" w:rsidR="00E836FB" w:rsidRDefault="00E836FB">
            <w:pPr>
              <w:rPr>
                <w:rFonts w:ascii="宋体"/>
                <w:vanish/>
              </w:rPr>
            </w:pPr>
          </w:p>
        </w:tc>
        <w:tc>
          <w:tcPr>
            <w:tcW w:w="0" w:type="auto"/>
            <w:shd w:val="clear" w:color="auto" w:fill="auto"/>
            <w:vAlign w:val="bottom"/>
          </w:tcPr>
          <w:p w14:paraId="5F2D40A9" w14:textId="77777777" w:rsidR="00E836FB" w:rsidRDefault="00E836FB">
            <w:pPr>
              <w:rPr>
                <w:rFonts w:ascii="宋体"/>
                <w:vanish/>
              </w:rPr>
            </w:pPr>
          </w:p>
        </w:tc>
        <w:tc>
          <w:tcPr>
            <w:tcW w:w="0" w:type="auto"/>
            <w:shd w:val="clear" w:color="auto" w:fill="auto"/>
            <w:vAlign w:val="bottom"/>
          </w:tcPr>
          <w:p w14:paraId="5F2D40AA" w14:textId="77777777" w:rsidR="00E836FB" w:rsidRDefault="00E836FB">
            <w:pPr>
              <w:rPr>
                <w:rFonts w:ascii="宋体"/>
                <w:vanish/>
              </w:rPr>
            </w:pPr>
          </w:p>
        </w:tc>
        <w:tc>
          <w:tcPr>
            <w:tcW w:w="0" w:type="auto"/>
            <w:shd w:val="clear" w:color="auto" w:fill="auto"/>
            <w:vAlign w:val="bottom"/>
          </w:tcPr>
          <w:p w14:paraId="5F2D40AB" w14:textId="77777777" w:rsidR="00E836FB" w:rsidRDefault="00E836FB">
            <w:pPr>
              <w:rPr>
                <w:rFonts w:ascii="宋体"/>
                <w:vanish/>
              </w:rPr>
            </w:pPr>
          </w:p>
        </w:tc>
        <w:tc>
          <w:tcPr>
            <w:tcW w:w="0" w:type="auto"/>
            <w:shd w:val="clear" w:color="auto" w:fill="auto"/>
            <w:vAlign w:val="bottom"/>
          </w:tcPr>
          <w:p w14:paraId="5F2D40AC" w14:textId="77777777" w:rsidR="00E836FB" w:rsidRDefault="00E836FB">
            <w:pPr>
              <w:rPr>
                <w:rFonts w:ascii="宋体"/>
                <w:vanish/>
              </w:rPr>
            </w:pPr>
          </w:p>
        </w:tc>
        <w:tc>
          <w:tcPr>
            <w:tcW w:w="0" w:type="auto"/>
            <w:shd w:val="clear" w:color="auto" w:fill="auto"/>
            <w:vAlign w:val="bottom"/>
          </w:tcPr>
          <w:p w14:paraId="5F2D40AD" w14:textId="77777777" w:rsidR="00E836FB" w:rsidRDefault="00E836FB">
            <w:pPr>
              <w:rPr>
                <w:rFonts w:ascii="宋体"/>
                <w:vanish/>
              </w:rPr>
            </w:pPr>
          </w:p>
        </w:tc>
        <w:tc>
          <w:tcPr>
            <w:tcW w:w="0" w:type="auto"/>
            <w:shd w:val="clear" w:color="auto" w:fill="auto"/>
            <w:vAlign w:val="bottom"/>
          </w:tcPr>
          <w:p w14:paraId="5F2D40AE"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AF" w14:textId="77777777" w:rsidR="00E836FB" w:rsidRDefault="00994958">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0B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B1" w14:textId="77777777" w:rsidR="00E836FB" w:rsidRDefault="00994958">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5F2D40B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B3" w14:textId="77777777" w:rsidR="00E836FB" w:rsidRDefault="00994958">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0B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B5" w14:textId="77777777" w:rsidR="00E836FB" w:rsidRDefault="00994958">
            <w:pPr>
              <w:jc w:val="center"/>
              <w:textAlignment w:val="bottom"/>
            </w:pPr>
            <w:r>
              <w:rPr>
                <w:rFonts w:ascii="Arial" w:eastAsia="宋体" w:hAnsi="Arial" w:cs="Arial"/>
                <w:b/>
                <w:bCs/>
                <w:color w:val="000000"/>
                <w:sz w:val="14"/>
                <w:szCs w:val="14"/>
              </w:rPr>
              <w:t>Total (In millions)</w:t>
            </w:r>
          </w:p>
        </w:tc>
      </w:tr>
      <w:tr w:rsidR="00E836FB" w14:paraId="5F2D40CF" w14:textId="77777777">
        <w:tc>
          <w:tcPr>
            <w:tcW w:w="0" w:type="auto"/>
            <w:gridSpan w:val="3"/>
            <w:shd w:val="clear" w:color="auto" w:fill="CCEEFF"/>
            <w:tcMar>
              <w:top w:w="40" w:type="dxa"/>
              <w:left w:w="20" w:type="dxa"/>
              <w:bottom w:w="40" w:type="dxa"/>
              <w:right w:w="20" w:type="dxa"/>
            </w:tcMar>
            <w:vAlign w:val="bottom"/>
          </w:tcPr>
          <w:p w14:paraId="5F2D40B7" w14:textId="77777777" w:rsidR="00E836FB" w:rsidRDefault="00994958">
            <w:pPr>
              <w:textAlignment w:val="bottom"/>
            </w:pPr>
            <w:r>
              <w:rPr>
                <w:rFonts w:ascii="Arial" w:eastAsia="宋体" w:hAnsi="Arial" w:cs="Arial"/>
                <w:color w:val="000000"/>
                <w:sz w:val="14"/>
                <w:szCs w:val="14"/>
              </w:rPr>
              <w:t>Common Stock</w:t>
            </w:r>
          </w:p>
        </w:tc>
        <w:tc>
          <w:tcPr>
            <w:tcW w:w="0" w:type="auto"/>
            <w:shd w:val="clear" w:color="auto" w:fill="auto"/>
            <w:vAlign w:val="bottom"/>
          </w:tcPr>
          <w:p w14:paraId="5F2D40B8" w14:textId="77777777" w:rsidR="00E836FB" w:rsidRDefault="00E836FB">
            <w:pPr>
              <w:rPr>
                <w:rFonts w:ascii="宋体"/>
                <w:vanish/>
              </w:rPr>
            </w:pPr>
          </w:p>
        </w:tc>
        <w:tc>
          <w:tcPr>
            <w:tcW w:w="0" w:type="auto"/>
            <w:shd w:val="clear" w:color="auto" w:fill="auto"/>
            <w:vAlign w:val="bottom"/>
          </w:tcPr>
          <w:p w14:paraId="5F2D40B9" w14:textId="77777777" w:rsidR="00E836FB" w:rsidRDefault="00E836FB">
            <w:pPr>
              <w:rPr>
                <w:rFonts w:ascii="宋体"/>
                <w:vanish/>
              </w:rPr>
            </w:pPr>
          </w:p>
        </w:tc>
        <w:tc>
          <w:tcPr>
            <w:tcW w:w="0" w:type="auto"/>
            <w:shd w:val="clear" w:color="auto" w:fill="auto"/>
            <w:vAlign w:val="bottom"/>
          </w:tcPr>
          <w:p w14:paraId="5F2D40BA" w14:textId="77777777" w:rsidR="00E836FB" w:rsidRDefault="00E836FB">
            <w:pPr>
              <w:rPr>
                <w:rFonts w:ascii="宋体"/>
                <w:vanish/>
              </w:rPr>
            </w:pPr>
          </w:p>
        </w:tc>
        <w:tc>
          <w:tcPr>
            <w:tcW w:w="0" w:type="auto"/>
            <w:shd w:val="clear" w:color="auto" w:fill="auto"/>
            <w:vAlign w:val="bottom"/>
          </w:tcPr>
          <w:p w14:paraId="5F2D40BB" w14:textId="77777777" w:rsidR="00E836FB" w:rsidRDefault="00E836FB">
            <w:pPr>
              <w:rPr>
                <w:rFonts w:ascii="宋体"/>
                <w:vanish/>
              </w:rPr>
            </w:pPr>
          </w:p>
        </w:tc>
        <w:tc>
          <w:tcPr>
            <w:tcW w:w="0" w:type="auto"/>
            <w:shd w:val="clear" w:color="auto" w:fill="auto"/>
            <w:vAlign w:val="bottom"/>
          </w:tcPr>
          <w:p w14:paraId="5F2D40BC" w14:textId="77777777" w:rsidR="00E836FB" w:rsidRDefault="00E836FB">
            <w:pPr>
              <w:rPr>
                <w:rFonts w:ascii="宋体"/>
                <w:vanish/>
              </w:rPr>
            </w:pPr>
          </w:p>
        </w:tc>
        <w:tc>
          <w:tcPr>
            <w:tcW w:w="0" w:type="auto"/>
            <w:shd w:val="clear" w:color="auto" w:fill="auto"/>
            <w:vAlign w:val="bottom"/>
          </w:tcPr>
          <w:p w14:paraId="5F2D40BD" w14:textId="77777777" w:rsidR="00E836FB" w:rsidRDefault="00E836FB">
            <w:pPr>
              <w:rPr>
                <w:rFonts w:ascii="宋体"/>
                <w:vanish/>
              </w:rPr>
            </w:pPr>
          </w:p>
        </w:tc>
        <w:tc>
          <w:tcPr>
            <w:tcW w:w="0" w:type="auto"/>
            <w:shd w:val="clear" w:color="auto" w:fill="auto"/>
            <w:vAlign w:val="bottom"/>
          </w:tcPr>
          <w:p w14:paraId="5F2D40BE" w14:textId="77777777" w:rsidR="00E836FB" w:rsidRDefault="00E836FB">
            <w:pPr>
              <w:rPr>
                <w:rFonts w:ascii="宋体"/>
                <w:vanish/>
              </w:rPr>
            </w:pPr>
          </w:p>
        </w:tc>
        <w:tc>
          <w:tcPr>
            <w:tcW w:w="0" w:type="auto"/>
            <w:shd w:val="clear" w:color="auto" w:fill="auto"/>
            <w:vAlign w:val="bottom"/>
          </w:tcPr>
          <w:p w14:paraId="5F2D40BF"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C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C1" w14:textId="77777777" w:rsidR="00E836FB" w:rsidRDefault="00994958">
            <w:pPr>
              <w:jc w:val="right"/>
              <w:textAlignment w:val="bottom"/>
            </w:pPr>
            <w:r>
              <w:rPr>
                <w:rFonts w:ascii="Arial" w:eastAsia="宋体" w:hAnsi="Arial" w:cs="Arial"/>
                <w:b/>
                <w:bCs/>
                <w:color w:val="000000"/>
                <w:sz w:val="14"/>
                <w:szCs w:val="14"/>
              </w:rPr>
              <w:t>2.18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0C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C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C5" w14:textId="77777777" w:rsidR="00E836FB" w:rsidRDefault="00994958">
            <w:pPr>
              <w:jc w:val="right"/>
              <w:textAlignment w:val="bottom"/>
            </w:pPr>
            <w:r>
              <w:rPr>
                <w:rFonts w:ascii="Arial" w:eastAsia="宋体" w:hAnsi="Arial" w:cs="Arial"/>
                <w:b/>
                <w:bCs/>
                <w:color w:val="000000"/>
                <w:sz w:val="14"/>
                <w:szCs w:val="14"/>
              </w:rPr>
              <w:t>779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0C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C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C9" w14:textId="77777777" w:rsidR="00E836FB" w:rsidRDefault="00994958">
            <w:pPr>
              <w:jc w:val="right"/>
              <w:textAlignment w:val="bottom"/>
            </w:pPr>
            <w:r>
              <w:rPr>
                <w:rFonts w:ascii="Arial" w:eastAsia="宋体" w:hAnsi="Arial" w:cs="Arial"/>
                <w:color w:val="000000"/>
                <w:sz w:val="14"/>
                <w:szCs w:val="14"/>
              </w:rPr>
              <w:t>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0C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C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CD" w14:textId="77777777" w:rsidR="00E836FB" w:rsidRDefault="00994958">
            <w:pPr>
              <w:jc w:val="right"/>
              <w:textAlignment w:val="bottom"/>
            </w:pPr>
            <w:r>
              <w:rPr>
                <w:rFonts w:ascii="Arial" w:eastAsia="宋体" w:hAnsi="Arial" w:cs="Arial"/>
                <w:color w:val="000000"/>
                <w:sz w:val="14"/>
                <w:szCs w:val="14"/>
              </w:rPr>
              <w:t>734 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CE" w14:textId="77777777" w:rsidR="00E836FB" w:rsidRDefault="00E836FB">
            <w:pPr>
              <w:jc w:val="right"/>
              <w:rPr>
                <w:rFonts w:ascii="宋体"/>
              </w:rPr>
            </w:pPr>
          </w:p>
        </w:tc>
      </w:tr>
    </w:tbl>
    <w:p w14:paraId="5F2D40D0" w14:textId="77777777" w:rsidR="00E836FB" w:rsidRDefault="00994958">
      <w:pPr>
        <w:spacing w:before="60"/>
      </w:pPr>
      <w:r>
        <w:rPr>
          <w:rFonts w:ascii="Arial" w:eastAsia="宋体" w:hAnsi="Arial" w:cs="Arial"/>
          <w:b/>
          <w:bCs/>
          <w:i/>
          <w:iCs/>
          <w:color w:val="000000"/>
          <w:sz w:val="20"/>
          <w:szCs w:val="20"/>
        </w:rPr>
        <w:t>Accumulated Other Comprehensive Income (Loss)</w:t>
      </w:r>
    </w:p>
    <w:p w14:paraId="5F2D40D1" w14:textId="77777777" w:rsidR="00E836FB" w:rsidRDefault="00994958">
      <w:pPr>
        <w:spacing w:before="60"/>
        <w:ind w:firstLine="450"/>
      </w:pPr>
      <w:r>
        <w:rPr>
          <w:rFonts w:ascii="Arial" w:eastAsia="宋体" w:hAnsi="Arial" w:cs="Arial"/>
          <w:color w:val="000000"/>
          <w:sz w:val="20"/>
          <w:szCs w:val="20"/>
        </w:rPr>
        <w:t>The following table presents the after-</w:t>
      </w:r>
      <w:r>
        <w:rPr>
          <w:rFonts w:ascii="Arial" w:eastAsia="宋体" w:hAnsi="Arial" w:cs="Arial"/>
          <w:color w:val="000000"/>
          <w:sz w:val="20"/>
          <w:szCs w:val="20"/>
        </w:rPr>
        <w:t>tax components of AOCI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5349"/>
        <w:gridCol w:w="39"/>
        <w:gridCol w:w="93"/>
        <w:gridCol w:w="736"/>
        <w:gridCol w:w="36"/>
        <w:gridCol w:w="36"/>
        <w:gridCol w:w="36"/>
        <w:gridCol w:w="36"/>
        <w:gridCol w:w="93"/>
        <w:gridCol w:w="707"/>
        <w:gridCol w:w="36"/>
        <w:gridCol w:w="36"/>
        <w:gridCol w:w="36"/>
        <w:gridCol w:w="36"/>
        <w:gridCol w:w="94"/>
        <w:gridCol w:w="854"/>
        <w:gridCol w:w="36"/>
      </w:tblGrid>
      <w:tr w:rsidR="00E836FB" w14:paraId="5F2D40E4" w14:textId="77777777">
        <w:tc>
          <w:tcPr>
            <w:tcW w:w="50" w:type="pct"/>
            <w:shd w:val="clear" w:color="auto" w:fill="auto"/>
            <w:vAlign w:val="bottom"/>
          </w:tcPr>
          <w:p w14:paraId="5F2D40D2" w14:textId="77777777" w:rsidR="00E836FB" w:rsidRDefault="00E836FB">
            <w:pPr>
              <w:rPr>
                <w:rFonts w:ascii="宋体"/>
              </w:rPr>
            </w:pPr>
          </w:p>
        </w:tc>
        <w:tc>
          <w:tcPr>
            <w:tcW w:w="3227" w:type="pct"/>
            <w:shd w:val="clear" w:color="auto" w:fill="auto"/>
            <w:vAlign w:val="bottom"/>
          </w:tcPr>
          <w:p w14:paraId="5F2D40D3" w14:textId="77777777" w:rsidR="00E836FB" w:rsidRDefault="00E836FB">
            <w:pPr>
              <w:rPr>
                <w:rFonts w:ascii="宋体"/>
              </w:rPr>
            </w:pPr>
          </w:p>
        </w:tc>
        <w:tc>
          <w:tcPr>
            <w:tcW w:w="5" w:type="pct"/>
            <w:shd w:val="clear" w:color="auto" w:fill="auto"/>
            <w:vAlign w:val="bottom"/>
          </w:tcPr>
          <w:p w14:paraId="5F2D40D4" w14:textId="77777777" w:rsidR="00E836FB" w:rsidRDefault="00E836FB">
            <w:pPr>
              <w:rPr>
                <w:rFonts w:ascii="宋体"/>
              </w:rPr>
            </w:pPr>
          </w:p>
        </w:tc>
        <w:tc>
          <w:tcPr>
            <w:tcW w:w="50" w:type="pct"/>
            <w:shd w:val="clear" w:color="auto" w:fill="auto"/>
            <w:vAlign w:val="bottom"/>
          </w:tcPr>
          <w:p w14:paraId="5F2D40D5" w14:textId="77777777" w:rsidR="00E836FB" w:rsidRDefault="00E836FB">
            <w:pPr>
              <w:rPr>
                <w:rFonts w:ascii="宋体"/>
              </w:rPr>
            </w:pPr>
          </w:p>
        </w:tc>
        <w:tc>
          <w:tcPr>
            <w:tcW w:w="463" w:type="pct"/>
            <w:shd w:val="clear" w:color="auto" w:fill="auto"/>
            <w:vAlign w:val="bottom"/>
          </w:tcPr>
          <w:p w14:paraId="5F2D40D6" w14:textId="77777777" w:rsidR="00E836FB" w:rsidRDefault="00E836FB">
            <w:pPr>
              <w:rPr>
                <w:rFonts w:ascii="宋体"/>
              </w:rPr>
            </w:pPr>
          </w:p>
        </w:tc>
        <w:tc>
          <w:tcPr>
            <w:tcW w:w="5" w:type="pct"/>
            <w:shd w:val="clear" w:color="auto" w:fill="auto"/>
            <w:vAlign w:val="bottom"/>
          </w:tcPr>
          <w:p w14:paraId="5F2D40D7" w14:textId="77777777" w:rsidR="00E836FB" w:rsidRDefault="00E836FB">
            <w:pPr>
              <w:rPr>
                <w:rFonts w:ascii="宋体"/>
              </w:rPr>
            </w:pPr>
          </w:p>
        </w:tc>
        <w:tc>
          <w:tcPr>
            <w:tcW w:w="5" w:type="pct"/>
            <w:shd w:val="clear" w:color="auto" w:fill="auto"/>
            <w:vAlign w:val="bottom"/>
          </w:tcPr>
          <w:p w14:paraId="5F2D40D8" w14:textId="77777777" w:rsidR="00E836FB" w:rsidRDefault="00E836FB">
            <w:pPr>
              <w:rPr>
                <w:rFonts w:ascii="宋体"/>
              </w:rPr>
            </w:pPr>
          </w:p>
        </w:tc>
        <w:tc>
          <w:tcPr>
            <w:tcW w:w="26" w:type="pct"/>
            <w:shd w:val="clear" w:color="auto" w:fill="auto"/>
            <w:vAlign w:val="bottom"/>
          </w:tcPr>
          <w:p w14:paraId="5F2D40D9" w14:textId="77777777" w:rsidR="00E836FB" w:rsidRDefault="00E836FB">
            <w:pPr>
              <w:rPr>
                <w:rFonts w:ascii="宋体"/>
              </w:rPr>
            </w:pPr>
          </w:p>
        </w:tc>
        <w:tc>
          <w:tcPr>
            <w:tcW w:w="5" w:type="pct"/>
            <w:shd w:val="clear" w:color="auto" w:fill="auto"/>
            <w:vAlign w:val="bottom"/>
          </w:tcPr>
          <w:p w14:paraId="5F2D40DA" w14:textId="77777777" w:rsidR="00E836FB" w:rsidRDefault="00E836FB">
            <w:pPr>
              <w:rPr>
                <w:rFonts w:ascii="宋体"/>
              </w:rPr>
            </w:pPr>
          </w:p>
        </w:tc>
        <w:tc>
          <w:tcPr>
            <w:tcW w:w="50" w:type="pct"/>
            <w:shd w:val="clear" w:color="auto" w:fill="auto"/>
            <w:vAlign w:val="bottom"/>
          </w:tcPr>
          <w:p w14:paraId="5F2D40DB" w14:textId="77777777" w:rsidR="00E836FB" w:rsidRDefault="00E836FB">
            <w:pPr>
              <w:rPr>
                <w:rFonts w:ascii="宋体"/>
              </w:rPr>
            </w:pPr>
          </w:p>
        </w:tc>
        <w:tc>
          <w:tcPr>
            <w:tcW w:w="463" w:type="pct"/>
            <w:shd w:val="clear" w:color="auto" w:fill="auto"/>
            <w:vAlign w:val="bottom"/>
          </w:tcPr>
          <w:p w14:paraId="5F2D40DC" w14:textId="77777777" w:rsidR="00E836FB" w:rsidRDefault="00E836FB">
            <w:pPr>
              <w:rPr>
                <w:rFonts w:ascii="宋体"/>
              </w:rPr>
            </w:pPr>
          </w:p>
        </w:tc>
        <w:tc>
          <w:tcPr>
            <w:tcW w:w="5" w:type="pct"/>
            <w:shd w:val="clear" w:color="auto" w:fill="auto"/>
            <w:vAlign w:val="bottom"/>
          </w:tcPr>
          <w:p w14:paraId="5F2D40DD" w14:textId="77777777" w:rsidR="00E836FB" w:rsidRDefault="00E836FB">
            <w:pPr>
              <w:rPr>
                <w:rFonts w:ascii="宋体"/>
              </w:rPr>
            </w:pPr>
          </w:p>
        </w:tc>
        <w:tc>
          <w:tcPr>
            <w:tcW w:w="5" w:type="pct"/>
            <w:shd w:val="clear" w:color="auto" w:fill="auto"/>
            <w:vAlign w:val="bottom"/>
          </w:tcPr>
          <w:p w14:paraId="5F2D40DE" w14:textId="77777777" w:rsidR="00E836FB" w:rsidRDefault="00E836FB">
            <w:pPr>
              <w:rPr>
                <w:rFonts w:ascii="宋体"/>
              </w:rPr>
            </w:pPr>
          </w:p>
        </w:tc>
        <w:tc>
          <w:tcPr>
            <w:tcW w:w="26" w:type="pct"/>
            <w:shd w:val="clear" w:color="auto" w:fill="auto"/>
            <w:vAlign w:val="bottom"/>
          </w:tcPr>
          <w:p w14:paraId="5F2D40DF" w14:textId="77777777" w:rsidR="00E836FB" w:rsidRDefault="00E836FB">
            <w:pPr>
              <w:rPr>
                <w:rFonts w:ascii="宋体"/>
              </w:rPr>
            </w:pPr>
          </w:p>
        </w:tc>
        <w:tc>
          <w:tcPr>
            <w:tcW w:w="5" w:type="pct"/>
            <w:shd w:val="clear" w:color="auto" w:fill="auto"/>
            <w:vAlign w:val="bottom"/>
          </w:tcPr>
          <w:p w14:paraId="5F2D40E0" w14:textId="77777777" w:rsidR="00E836FB" w:rsidRDefault="00E836FB">
            <w:pPr>
              <w:rPr>
                <w:rFonts w:ascii="宋体"/>
              </w:rPr>
            </w:pPr>
          </w:p>
        </w:tc>
        <w:tc>
          <w:tcPr>
            <w:tcW w:w="50" w:type="pct"/>
            <w:shd w:val="clear" w:color="auto" w:fill="auto"/>
            <w:vAlign w:val="bottom"/>
          </w:tcPr>
          <w:p w14:paraId="5F2D40E1" w14:textId="77777777" w:rsidR="00E836FB" w:rsidRDefault="00E836FB">
            <w:pPr>
              <w:rPr>
                <w:rFonts w:ascii="宋体"/>
              </w:rPr>
            </w:pPr>
          </w:p>
        </w:tc>
        <w:tc>
          <w:tcPr>
            <w:tcW w:w="551" w:type="pct"/>
            <w:shd w:val="clear" w:color="auto" w:fill="auto"/>
            <w:vAlign w:val="bottom"/>
          </w:tcPr>
          <w:p w14:paraId="5F2D40E2" w14:textId="77777777" w:rsidR="00E836FB" w:rsidRDefault="00E836FB">
            <w:pPr>
              <w:rPr>
                <w:rFonts w:ascii="宋体"/>
              </w:rPr>
            </w:pPr>
          </w:p>
        </w:tc>
        <w:tc>
          <w:tcPr>
            <w:tcW w:w="5" w:type="pct"/>
            <w:shd w:val="clear" w:color="auto" w:fill="auto"/>
            <w:vAlign w:val="bottom"/>
          </w:tcPr>
          <w:p w14:paraId="5F2D40E3" w14:textId="77777777" w:rsidR="00E836FB" w:rsidRDefault="00E836FB">
            <w:pPr>
              <w:rPr>
                <w:rFonts w:ascii="宋体"/>
              </w:rPr>
            </w:pPr>
          </w:p>
        </w:tc>
      </w:tr>
      <w:tr w:rsidR="00E836FB" w14:paraId="5F2D40E7" w14:textId="77777777">
        <w:tc>
          <w:tcPr>
            <w:tcW w:w="0" w:type="auto"/>
            <w:gridSpan w:val="3"/>
            <w:shd w:val="clear" w:color="auto" w:fill="auto"/>
            <w:tcMar>
              <w:top w:w="0" w:type="dxa"/>
              <w:left w:w="20" w:type="dxa"/>
              <w:bottom w:w="0" w:type="dxa"/>
              <w:right w:w="20" w:type="dxa"/>
            </w:tcMar>
            <w:vAlign w:val="bottom"/>
          </w:tcPr>
          <w:p w14:paraId="5F2D40E5"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40E6" w14:textId="77777777" w:rsidR="00E836FB" w:rsidRDefault="00994958">
            <w:pPr>
              <w:jc w:val="center"/>
              <w:textAlignment w:val="bottom"/>
            </w:pPr>
            <w:r>
              <w:rPr>
                <w:rFonts w:ascii="Arial" w:eastAsia="宋体" w:hAnsi="Arial" w:cs="Arial"/>
                <w:b/>
                <w:bCs/>
                <w:color w:val="000000"/>
                <w:sz w:val="13"/>
                <w:szCs w:val="13"/>
              </w:rPr>
              <w:t>Years Ended December 31,</w:t>
            </w:r>
          </w:p>
        </w:tc>
      </w:tr>
      <w:tr w:rsidR="00E836FB" w14:paraId="5F2D40EE" w14:textId="77777777">
        <w:tc>
          <w:tcPr>
            <w:tcW w:w="0" w:type="auto"/>
            <w:gridSpan w:val="3"/>
            <w:shd w:val="clear" w:color="auto" w:fill="auto"/>
            <w:tcMar>
              <w:top w:w="40" w:type="dxa"/>
              <w:left w:w="20" w:type="dxa"/>
              <w:bottom w:w="40" w:type="dxa"/>
              <w:right w:w="20" w:type="dxa"/>
            </w:tcMar>
            <w:vAlign w:val="bottom"/>
          </w:tcPr>
          <w:p w14:paraId="5F2D40E8" w14:textId="77777777" w:rsidR="00E836FB" w:rsidRDefault="00994958">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E9"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0E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EB" w14:textId="77777777" w:rsidR="00E836FB" w:rsidRDefault="00994958">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0E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0ED" w14:textId="77777777" w:rsidR="00E836FB" w:rsidRDefault="00994958">
            <w:pPr>
              <w:jc w:val="center"/>
              <w:textAlignment w:val="bottom"/>
            </w:pPr>
            <w:r>
              <w:rPr>
                <w:rFonts w:ascii="Arial" w:eastAsia="宋体" w:hAnsi="Arial" w:cs="Arial"/>
                <w:b/>
                <w:bCs/>
                <w:color w:val="000000"/>
                <w:sz w:val="13"/>
                <w:szCs w:val="13"/>
              </w:rPr>
              <w:t>2019</w:t>
            </w:r>
          </w:p>
        </w:tc>
      </w:tr>
      <w:tr w:rsidR="00E836FB" w14:paraId="5F2D40FB" w14:textId="77777777">
        <w:tc>
          <w:tcPr>
            <w:tcW w:w="0" w:type="auto"/>
            <w:gridSpan w:val="3"/>
            <w:shd w:val="clear" w:color="auto" w:fill="CCEEFF"/>
            <w:tcMar>
              <w:top w:w="40" w:type="dxa"/>
              <w:left w:w="20" w:type="dxa"/>
              <w:bottom w:w="40" w:type="dxa"/>
              <w:right w:w="20" w:type="dxa"/>
            </w:tcMar>
            <w:vAlign w:val="bottom"/>
          </w:tcPr>
          <w:p w14:paraId="5F2D40EF" w14:textId="77777777" w:rsidR="00E836FB" w:rsidRDefault="00994958">
            <w:pPr>
              <w:textAlignment w:val="bottom"/>
            </w:pPr>
            <w:r>
              <w:rPr>
                <w:rFonts w:ascii="Arial" w:eastAsia="宋体" w:hAnsi="Arial" w:cs="Arial"/>
                <w:color w:val="000000"/>
                <w:sz w:val="13"/>
                <w:szCs w:val="13"/>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40F0"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F1" w14:textId="77777777" w:rsidR="00E836FB" w:rsidRDefault="00994958">
            <w:pPr>
              <w:jc w:val="right"/>
              <w:textAlignment w:val="bottom"/>
            </w:pPr>
            <w:r>
              <w:rPr>
                <w:rFonts w:ascii="Arial" w:eastAsia="宋体" w:hAnsi="Arial" w:cs="Arial"/>
                <w:b/>
                <w:bCs/>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0F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F4"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F5" w14:textId="77777777" w:rsidR="00E836FB" w:rsidRDefault="00994958">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0F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0F8"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0F9" w14:textId="77777777" w:rsidR="00E836FB" w:rsidRDefault="00994958">
            <w:pPr>
              <w:jc w:val="right"/>
              <w:textAlignment w:val="bottom"/>
            </w:pPr>
            <w:r>
              <w:rPr>
                <w:rFonts w:ascii="Arial" w:eastAsia="宋体" w:hAnsi="Arial" w:cs="Arial"/>
                <w:color w:val="000000"/>
                <w:sz w:val="13"/>
                <w:szCs w:val="13"/>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0FA" w14:textId="77777777" w:rsidR="00E836FB" w:rsidRDefault="00E836FB">
            <w:pPr>
              <w:jc w:val="right"/>
              <w:rPr>
                <w:rFonts w:ascii="宋体"/>
              </w:rPr>
            </w:pPr>
          </w:p>
        </w:tc>
      </w:tr>
      <w:tr w:rsidR="00E836FB" w14:paraId="5F2D4105" w14:textId="77777777">
        <w:tc>
          <w:tcPr>
            <w:tcW w:w="0" w:type="auto"/>
            <w:gridSpan w:val="3"/>
            <w:shd w:val="clear" w:color="auto" w:fill="auto"/>
            <w:tcMar>
              <w:top w:w="40" w:type="dxa"/>
              <w:left w:w="155" w:type="dxa"/>
              <w:bottom w:w="40" w:type="dxa"/>
              <w:right w:w="20" w:type="dxa"/>
            </w:tcMar>
            <w:vAlign w:val="bottom"/>
          </w:tcPr>
          <w:p w14:paraId="5F2D40FC" w14:textId="77777777" w:rsidR="00E836FB" w:rsidRDefault="00994958">
            <w:pPr>
              <w:textAlignment w:val="bottom"/>
            </w:pPr>
            <w:r>
              <w:rPr>
                <w:rFonts w:ascii="Arial" w:eastAsia="宋体" w:hAnsi="Arial" w:cs="Arial"/>
                <w:color w:val="000000"/>
                <w:sz w:val="13"/>
                <w:szCs w:val="13"/>
              </w:rPr>
              <w:t>Net unrealized gains (losses) on available-for-sale securities portfolio</w:t>
            </w:r>
          </w:p>
        </w:tc>
        <w:tc>
          <w:tcPr>
            <w:tcW w:w="0" w:type="auto"/>
            <w:gridSpan w:val="2"/>
            <w:shd w:val="clear" w:color="auto" w:fill="auto"/>
            <w:tcMar>
              <w:top w:w="40" w:type="dxa"/>
              <w:left w:w="20" w:type="dxa"/>
              <w:bottom w:w="40" w:type="dxa"/>
              <w:right w:w="0" w:type="dxa"/>
            </w:tcMar>
            <w:vAlign w:val="bottom"/>
          </w:tcPr>
          <w:p w14:paraId="5F2D40FD"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F2D40FE"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40FF"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4100" w14:textId="77777777" w:rsidR="00E836FB" w:rsidRDefault="00994958">
            <w:pPr>
              <w:jc w:val="right"/>
              <w:textAlignment w:val="bottom"/>
            </w:pPr>
            <w:r>
              <w:rPr>
                <w:rFonts w:ascii="Arial" w:eastAsia="宋体" w:hAnsi="Arial" w:cs="Arial"/>
                <w:color w:val="000000"/>
                <w:sz w:val="13"/>
                <w:szCs w:val="13"/>
              </w:rPr>
              <w:t>936 </w:t>
            </w:r>
          </w:p>
        </w:tc>
        <w:tc>
          <w:tcPr>
            <w:tcW w:w="0" w:type="auto"/>
            <w:shd w:val="clear" w:color="auto" w:fill="auto"/>
            <w:tcMar>
              <w:top w:w="40" w:type="dxa"/>
              <w:left w:w="0" w:type="dxa"/>
              <w:bottom w:w="40" w:type="dxa"/>
              <w:right w:w="20" w:type="dxa"/>
            </w:tcMar>
            <w:vAlign w:val="bottom"/>
          </w:tcPr>
          <w:p w14:paraId="5F2D410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0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03" w14:textId="77777777" w:rsidR="00E836FB" w:rsidRDefault="00994958">
            <w:pPr>
              <w:jc w:val="right"/>
              <w:textAlignment w:val="bottom"/>
            </w:pPr>
            <w:r>
              <w:rPr>
                <w:rFonts w:ascii="Arial" w:eastAsia="宋体" w:hAnsi="Arial" w:cs="Arial"/>
                <w:color w:val="000000"/>
                <w:sz w:val="13"/>
                <w:szCs w:val="13"/>
              </w:rPr>
              <w:t>426 </w:t>
            </w:r>
          </w:p>
        </w:tc>
        <w:tc>
          <w:tcPr>
            <w:tcW w:w="0" w:type="auto"/>
            <w:shd w:val="clear" w:color="auto" w:fill="FFFFFF"/>
            <w:tcMar>
              <w:top w:w="40" w:type="dxa"/>
              <w:left w:w="0" w:type="dxa"/>
              <w:bottom w:w="40" w:type="dxa"/>
              <w:right w:w="20" w:type="dxa"/>
            </w:tcMar>
            <w:vAlign w:val="bottom"/>
          </w:tcPr>
          <w:p w14:paraId="5F2D4104" w14:textId="77777777" w:rsidR="00E836FB" w:rsidRDefault="00E836FB">
            <w:pPr>
              <w:jc w:val="right"/>
              <w:rPr>
                <w:rFonts w:ascii="宋体"/>
              </w:rPr>
            </w:pPr>
          </w:p>
        </w:tc>
      </w:tr>
      <w:tr w:rsidR="00E836FB" w14:paraId="5F2D410F" w14:textId="77777777">
        <w:tc>
          <w:tcPr>
            <w:tcW w:w="0" w:type="auto"/>
            <w:gridSpan w:val="3"/>
            <w:shd w:val="clear" w:color="auto" w:fill="CCEEFF"/>
            <w:tcMar>
              <w:top w:w="40" w:type="dxa"/>
              <w:left w:w="155" w:type="dxa"/>
              <w:bottom w:w="40" w:type="dxa"/>
              <w:right w:w="20" w:type="dxa"/>
            </w:tcMar>
            <w:vAlign w:val="bottom"/>
          </w:tcPr>
          <w:p w14:paraId="5F2D4106" w14:textId="77777777" w:rsidR="00E836FB" w:rsidRDefault="00994958">
            <w:pPr>
              <w:textAlignment w:val="bottom"/>
            </w:pPr>
            <w:r>
              <w:rPr>
                <w:rFonts w:ascii="Arial" w:eastAsia="宋体" w:hAnsi="Arial" w:cs="Arial"/>
                <w:color w:val="000000"/>
                <w:sz w:val="13"/>
                <w:szCs w:val="13"/>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5F2D4107" w14:textId="77777777" w:rsidR="00E836FB" w:rsidRDefault="00994958">
            <w:pPr>
              <w:jc w:val="right"/>
              <w:textAlignment w:val="bottom"/>
            </w:pPr>
            <w:r>
              <w:rPr>
                <w:rFonts w:ascii="Arial" w:eastAsia="宋体" w:hAnsi="Arial" w:cs="Arial"/>
                <w:b/>
                <w:bCs/>
                <w:color w:val="000000"/>
                <w:sz w:val="13"/>
                <w:szCs w:val="13"/>
              </w:rPr>
              <w:t>(31)</w:t>
            </w:r>
          </w:p>
        </w:tc>
        <w:tc>
          <w:tcPr>
            <w:tcW w:w="0" w:type="auto"/>
            <w:shd w:val="clear" w:color="auto" w:fill="CCEEFF"/>
            <w:tcMar>
              <w:top w:w="40" w:type="dxa"/>
              <w:left w:w="0" w:type="dxa"/>
              <w:bottom w:w="40" w:type="dxa"/>
              <w:right w:w="20" w:type="dxa"/>
            </w:tcMar>
            <w:vAlign w:val="bottom"/>
          </w:tcPr>
          <w:p w14:paraId="5F2D41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0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0A" w14:textId="77777777" w:rsidR="00E836FB" w:rsidRDefault="00994958">
            <w:pPr>
              <w:jc w:val="right"/>
              <w:textAlignment w:val="bottom"/>
            </w:pPr>
            <w:r>
              <w:rPr>
                <w:rFonts w:ascii="Arial" w:eastAsia="宋体" w:hAnsi="Arial" w:cs="Arial"/>
                <w:color w:val="000000"/>
                <w:sz w:val="13"/>
                <w:szCs w:val="13"/>
              </w:rPr>
              <w:t>(55)</w:t>
            </w:r>
          </w:p>
        </w:tc>
        <w:tc>
          <w:tcPr>
            <w:tcW w:w="0" w:type="auto"/>
            <w:shd w:val="clear" w:color="auto" w:fill="CCEEFF"/>
            <w:tcMar>
              <w:top w:w="40" w:type="dxa"/>
              <w:left w:w="0" w:type="dxa"/>
              <w:bottom w:w="40" w:type="dxa"/>
              <w:right w:w="20" w:type="dxa"/>
            </w:tcMar>
            <w:vAlign w:val="bottom"/>
          </w:tcPr>
          <w:p w14:paraId="5F2D410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0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0D" w14:textId="77777777" w:rsidR="00E836FB" w:rsidRDefault="00994958">
            <w:pPr>
              <w:jc w:val="right"/>
              <w:textAlignment w:val="bottom"/>
            </w:pPr>
            <w:r>
              <w:rPr>
                <w:rFonts w:ascii="Arial" w:eastAsia="宋体" w:hAnsi="Arial" w:cs="Arial"/>
                <w:color w:val="000000"/>
                <w:sz w:val="13"/>
                <w:szCs w:val="13"/>
              </w:rPr>
              <w:t>19 </w:t>
            </w:r>
          </w:p>
        </w:tc>
        <w:tc>
          <w:tcPr>
            <w:tcW w:w="0" w:type="auto"/>
            <w:shd w:val="clear" w:color="auto" w:fill="CCEEFF"/>
            <w:tcMar>
              <w:top w:w="40" w:type="dxa"/>
              <w:left w:w="0" w:type="dxa"/>
              <w:bottom w:w="40" w:type="dxa"/>
              <w:right w:w="20" w:type="dxa"/>
            </w:tcMar>
            <w:vAlign w:val="bottom"/>
          </w:tcPr>
          <w:p w14:paraId="5F2D410E" w14:textId="77777777" w:rsidR="00E836FB" w:rsidRDefault="00E836FB">
            <w:pPr>
              <w:jc w:val="right"/>
              <w:rPr>
                <w:rFonts w:ascii="宋体"/>
              </w:rPr>
            </w:pPr>
          </w:p>
        </w:tc>
      </w:tr>
      <w:tr w:rsidR="00E836FB" w14:paraId="5F2D4119" w14:textId="77777777">
        <w:tc>
          <w:tcPr>
            <w:tcW w:w="0" w:type="auto"/>
            <w:gridSpan w:val="3"/>
            <w:shd w:val="clear" w:color="auto" w:fill="auto"/>
            <w:tcMar>
              <w:top w:w="40" w:type="dxa"/>
              <w:left w:w="20" w:type="dxa"/>
              <w:bottom w:w="40" w:type="dxa"/>
              <w:right w:w="20" w:type="dxa"/>
            </w:tcMar>
            <w:vAlign w:val="bottom"/>
          </w:tcPr>
          <w:p w14:paraId="5F2D4110" w14:textId="77777777" w:rsidR="00E836FB" w:rsidRDefault="00994958">
            <w:pPr>
              <w:textAlignment w:val="bottom"/>
            </w:pPr>
            <w:r>
              <w:rPr>
                <w:rFonts w:ascii="Arial" w:eastAsia="宋体" w:hAnsi="Arial" w:cs="Arial"/>
                <w:color w:val="000000"/>
                <w:sz w:val="13"/>
                <w:szCs w:val="13"/>
              </w:rPr>
              <w:t xml:space="preserve">Net unrealized gains </w:t>
            </w:r>
            <w:r>
              <w:rPr>
                <w:rFonts w:ascii="Arial" w:eastAsia="宋体" w:hAnsi="Arial" w:cs="Arial"/>
                <w:color w:val="000000"/>
                <w:sz w:val="13"/>
                <w:szCs w:val="13"/>
              </w:rPr>
              <w:t>(losses) on available-for-sale securities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5F2D4111" w14:textId="77777777" w:rsidR="00E836FB" w:rsidRDefault="00994958">
            <w:pPr>
              <w:jc w:val="right"/>
              <w:textAlignment w:val="bottom"/>
            </w:pPr>
            <w:r>
              <w:rPr>
                <w:rFonts w:ascii="Arial" w:eastAsia="宋体" w:hAnsi="Arial" w:cs="Arial"/>
                <w:b/>
                <w:bCs/>
                <w:color w:val="000000"/>
                <w:sz w:val="13"/>
                <w:szCs w:val="13"/>
              </w:rPr>
              <w:t>(31)</w:t>
            </w:r>
          </w:p>
        </w:tc>
        <w:tc>
          <w:tcPr>
            <w:tcW w:w="0" w:type="auto"/>
            <w:tcBorders>
              <w:top w:val="single" w:sz="8" w:space="0" w:color="000000"/>
            </w:tcBorders>
            <w:shd w:val="clear" w:color="auto" w:fill="auto"/>
            <w:tcMar>
              <w:top w:w="40" w:type="dxa"/>
              <w:left w:w="0" w:type="dxa"/>
              <w:bottom w:w="40" w:type="dxa"/>
              <w:right w:w="20" w:type="dxa"/>
            </w:tcMar>
            <w:vAlign w:val="bottom"/>
          </w:tcPr>
          <w:p w14:paraId="5F2D4112"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4113" w14:textId="77777777" w:rsidR="00E836FB" w:rsidRDefault="00E836F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5F2D4114" w14:textId="77777777" w:rsidR="00E836FB" w:rsidRDefault="00994958">
            <w:pPr>
              <w:jc w:val="right"/>
              <w:textAlignment w:val="bottom"/>
            </w:pPr>
            <w:r>
              <w:rPr>
                <w:rFonts w:ascii="Arial" w:eastAsia="宋体" w:hAnsi="Arial" w:cs="Arial"/>
                <w:color w:val="000000"/>
                <w:sz w:val="13"/>
                <w:szCs w:val="13"/>
              </w:rPr>
              <w:t>881 </w:t>
            </w:r>
          </w:p>
        </w:tc>
        <w:tc>
          <w:tcPr>
            <w:tcW w:w="0" w:type="auto"/>
            <w:tcBorders>
              <w:top w:val="single" w:sz="8" w:space="0" w:color="000000"/>
            </w:tcBorders>
            <w:shd w:val="clear" w:color="auto" w:fill="auto"/>
            <w:tcMar>
              <w:top w:w="40" w:type="dxa"/>
              <w:left w:w="0" w:type="dxa"/>
              <w:bottom w:w="40" w:type="dxa"/>
              <w:right w:w="20" w:type="dxa"/>
            </w:tcMar>
            <w:vAlign w:val="bottom"/>
          </w:tcPr>
          <w:p w14:paraId="5F2D411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1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117" w14:textId="77777777" w:rsidR="00E836FB" w:rsidRDefault="00994958">
            <w:pPr>
              <w:jc w:val="right"/>
              <w:textAlignment w:val="bottom"/>
            </w:pPr>
            <w:r>
              <w:rPr>
                <w:rFonts w:ascii="Arial" w:eastAsia="宋体" w:hAnsi="Arial" w:cs="Arial"/>
                <w:color w:val="000000"/>
                <w:sz w:val="13"/>
                <w:szCs w:val="13"/>
              </w:rPr>
              <w:t>445 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118" w14:textId="77777777" w:rsidR="00E836FB" w:rsidRDefault="00E836FB">
            <w:pPr>
              <w:jc w:val="right"/>
              <w:rPr>
                <w:rFonts w:ascii="宋体"/>
              </w:rPr>
            </w:pPr>
          </w:p>
        </w:tc>
      </w:tr>
      <w:tr w:rsidR="00E836FB" w14:paraId="5F2D4123" w14:textId="77777777">
        <w:tc>
          <w:tcPr>
            <w:tcW w:w="0" w:type="auto"/>
            <w:gridSpan w:val="3"/>
            <w:shd w:val="clear" w:color="auto" w:fill="CCEEFF"/>
            <w:tcMar>
              <w:top w:w="40" w:type="dxa"/>
              <w:left w:w="20" w:type="dxa"/>
              <w:bottom w:w="40" w:type="dxa"/>
              <w:right w:w="20" w:type="dxa"/>
            </w:tcMar>
            <w:vAlign w:val="bottom"/>
          </w:tcPr>
          <w:p w14:paraId="5F2D411A" w14:textId="77777777" w:rsidR="00E836FB" w:rsidRDefault="00994958">
            <w:pPr>
              <w:textAlignment w:val="bottom"/>
            </w:pPr>
            <w:r>
              <w:rPr>
                <w:rFonts w:ascii="Arial" w:eastAsia="宋体" w:hAnsi="Arial" w:cs="Arial"/>
                <w:color w:val="000000"/>
                <w:sz w:val="13"/>
                <w:szCs w:val="13"/>
              </w:rPr>
              <w:t>Net unrealized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5F2D411B" w14:textId="77777777" w:rsidR="00E836FB" w:rsidRDefault="00994958">
            <w:pPr>
              <w:jc w:val="right"/>
              <w:textAlignment w:val="bottom"/>
            </w:pPr>
            <w:r>
              <w:rPr>
                <w:rFonts w:ascii="Arial" w:eastAsia="宋体" w:hAnsi="Arial" w:cs="Arial"/>
                <w:b/>
                <w:bCs/>
                <w:color w:val="000000"/>
                <w:sz w:val="13"/>
                <w:szCs w:val="13"/>
              </w:rPr>
              <w:t>(17)</w:t>
            </w:r>
          </w:p>
        </w:tc>
        <w:tc>
          <w:tcPr>
            <w:tcW w:w="0" w:type="auto"/>
            <w:shd w:val="clear" w:color="auto" w:fill="CCEEFF"/>
            <w:tcMar>
              <w:top w:w="40" w:type="dxa"/>
              <w:left w:w="0" w:type="dxa"/>
              <w:bottom w:w="40" w:type="dxa"/>
              <w:right w:w="20" w:type="dxa"/>
            </w:tcMar>
            <w:vAlign w:val="bottom"/>
          </w:tcPr>
          <w:p w14:paraId="5F2D41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1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1E" w14:textId="77777777" w:rsidR="00E836FB" w:rsidRDefault="00994958">
            <w:pPr>
              <w:jc w:val="right"/>
              <w:textAlignment w:val="bottom"/>
            </w:pPr>
            <w:r>
              <w:rPr>
                <w:rFonts w:ascii="Arial" w:eastAsia="宋体" w:hAnsi="Arial" w:cs="Arial"/>
                <w:color w:val="000000"/>
                <w:sz w:val="13"/>
                <w:szCs w:val="13"/>
              </w:rPr>
              <w:t>(33)</w:t>
            </w:r>
          </w:p>
        </w:tc>
        <w:tc>
          <w:tcPr>
            <w:tcW w:w="0" w:type="auto"/>
            <w:shd w:val="clear" w:color="auto" w:fill="CCEEFF"/>
            <w:tcMar>
              <w:top w:w="40" w:type="dxa"/>
              <w:left w:w="0" w:type="dxa"/>
              <w:bottom w:w="40" w:type="dxa"/>
              <w:right w:w="20" w:type="dxa"/>
            </w:tcMar>
            <w:vAlign w:val="bottom"/>
          </w:tcPr>
          <w:p w14:paraId="5F2D41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2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21" w14:textId="77777777" w:rsidR="00E836FB" w:rsidRDefault="00994958">
            <w:pPr>
              <w:jc w:val="right"/>
              <w:textAlignment w:val="bottom"/>
            </w:pPr>
            <w:r>
              <w:rPr>
                <w:rFonts w:ascii="Arial" w:eastAsia="宋体" w:hAnsi="Arial" w:cs="Arial"/>
                <w:color w:val="000000"/>
                <w:sz w:val="13"/>
                <w:szCs w:val="13"/>
              </w:rPr>
              <w:t>(36)</w:t>
            </w:r>
          </w:p>
        </w:tc>
        <w:tc>
          <w:tcPr>
            <w:tcW w:w="0" w:type="auto"/>
            <w:shd w:val="clear" w:color="auto" w:fill="CCEEFF"/>
            <w:tcMar>
              <w:top w:w="40" w:type="dxa"/>
              <w:left w:w="0" w:type="dxa"/>
              <w:bottom w:w="40" w:type="dxa"/>
              <w:right w:w="20" w:type="dxa"/>
            </w:tcMar>
            <w:vAlign w:val="bottom"/>
          </w:tcPr>
          <w:p w14:paraId="5F2D4122" w14:textId="77777777" w:rsidR="00E836FB" w:rsidRDefault="00E836FB">
            <w:pPr>
              <w:jc w:val="right"/>
              <w:rPr>
                <w:rFonts w:ascii="宋体"/>
              </w:rPr>
            </w:pPr>
          </w:p>
        </w:tc>
      </w:tr>
      <w:tr w:rsidR="00E836FB" w14:paraId="5F2D412A" w14:textId="77777777">
        <w:trPr>
          <w:hidden/>
        </w:trPr>
        <w:tc>
          <w:tcPr>
            <w:tcW w:w="0" w:type="auto"/>
            <w:gridSpan w:val="3"/>
            <w:shd w:val="clear" w:color="auto" w:fill="auto"/>
            <w:vAlign w:val="bottom"/>
          </w:tcPr>
          <w:p w14:paraId="5F2D4124" w14:textId="77777777" w:rsidR="00E836FB" w:rsidRDefault="00E836FB">
            <w:pPr>
              <w:rPr>
                <w:rFonts w:ascii="宋体"/>
                <w:vanish/>
              </w:rPr>
            </w:pPr>
          </w:p>
        </w:tc>
        <w:tc>
          <w:tcPr>
            <w:tcW w:w="0" w:type="auto"/>
            <w:gridSpan w:val="3"/>
            <w:shd w:val="clear" w:color="auto" w:fill="auto"/>
            <w:vAlign w:val="bottom"/>
          </w:tcPr>
          <w:p w14:paraId="5F2D4125" w14:textId="77777777" w:rsidR="00E836FB" w:rsidRDefault="00E836FB">
            <w:pPr>
              <w:rPr>
                <w:rFonts w:ascii="宋体"/>
                <w:vanish/>
              </w:rPr>
            </w:pPr>
          </w:p>
        </w:tc>
        <w:tc>
          <w:tcPr>
            <w:tcW w:w="0" w:type="auto"/>
            <w:gridSpan w:val="3"/>
            <w:shd w:val="clear" w:color="auto" w:fill="auto"/>
            <w:vAlign w:val="bottom"/>
          </w:tcPr>
          <w:p w14:paraId="5F2D4126" w14:textId="77777777" w:rsidR="00E836FB" w:rsidRDefault="00E836FB">
            <w:pPr>
              <w:rPr>
                <w:rFonts w:ascii="宋体"/>
                <w:vanish/>
              </w:rPr>
            </w:pPr>
          </w:p>
        </w:tc>
        <w:tc>
          <w:tcPr>
            <w:tcW w:w="0" w:type="auto"/>
            <w:gridSpan w:val="3"/>
            <w:shd w:val="clear" w:color="auto" w:fill="auto"/>
            <w:vAlign w:val="bottom"/>
          </w:tcPr>
          <w:p w14:paraId="5F2D4127" w14:textId="77777777" w:rsidR="00E836FB" w:rsidRDefault="00E836FB">
            <w:pPr>
              <w:rPr>
                <w:rFonts w:ascii="宋体"/>
                <w:vanish/>
              </w:rPr>
            </w:pPr>
          </w:p>
        </w:tc>
        <w:tc>
          <w:tcPr>
            <w:tcW w:w="0" w:type="auto"/>
            <w:gridSpan w:val="3"/>
            <w:shd w:val="clear" w:color="auto" w:fill="auto"/>
            <w:vAlign w:val="bottom"/>
          </w:tcPr>
          <w:p w14:paraId="5F2D4128" w14:textId="77777777" w:rsidR="00E836FB" w:rsidRDefault="00E836FB">
            <w:pPr>
              <w:rPr>
                <w:rFonts w:ascii="宋体"/>
                <w:vanish/>
              </w:rPr>
            </w:pPr>
          </w:p>
        </w:tc>
        <w:tc>
          <w:tcPr>
            <w:tcW w:w="0" w:type="auto"/>
            <w:gridSpan w:val="3"/>
            <w:shd w:val="clear" w:color="auto" w:fill="auto"/>
            <w:vAlign w:val="bottom"/>
          </w:tcPr>
          <w:p w14:paraId="5F2D4129" w14:textId="77777777" w:rsidR="00E836FB" w:rsidRDefault="00E836FB">
            <w:pPr>
              <w:rPr>
                <w:rFonts w:ascii="宋体"/>
                <w:vanish/>
              </w:rPr>
            </w:pPr>
          </w:p>
        </w:tc>
      </w:tr>
      <w:tr w:rsidR="00E836FB" w14:paraId="5F2D4134" w14:textId="77777777">
        <w:tc>
          <w:tcPr>
            <w:tcW w:w="0" w:type="auto"/>
            <w:gridSpan w:val="3"/>
            <w:shd w:val="clear" w:color="auto" w:fill="auto"/>
            <w:tcMar>
              <w:top w:w="40" w:type="dxa"/>
              <w:left w:w="20" w:type="dxa"/>
              <w:bottom w:w="40" w:type="dxa"/>
              <w:right w:w="20" w:type="dxa"/>
            </w:tcMar>
            <w:vAlign w:val="bottom"/>
          </w:tcPr>
          <w:p w14:paraId="5F2D412B" w14:textId="77777777" w:rsidR="00E836FB" w:rsidRDefault="00994958">
            <w:pPr>
              <w:textAlignment w:val="bottom"/>
            </w:pPr>
            <w:r>
              <w:rPr>
                <w:rFonts w:ascii="Arial" w:eastAsia="宋体" w:hAnsi="Arial" w:cs="Arial"/>
                <w:color w:val="000000"/>
                <w:sz w:val="13"/>
                <w:szCs w:val="13"/>
              </w:rPr>
              <w:t xml:space="preserve">Net unrealized gains (losses) on hedges of net investments in </w:t>
            </w:r>
            <w:r>
              <w:rPr>
                <w:rFonts w:ascii="Arial" w:eastAsia="宋体" w:hAnsi="Arial" w:cs="Arial"/>
                <w:color w:val="000000"/>
                <w:sz w:val="13"/>
                <w:szCs w:val="13"/>
              </w:rPr>
              <w:t>non-U.S. subsidiaries</w:t>
            </w:r>
          </w:p>
        </w:tc>
        <w:tc>
          <w:tcPr>
            <w:tcW w:w="0" w:type="auto"/>
            <w:gridSpan w:val="2"/>
            <w:shd w:val="clear" w:color="auto" w:fill="auto"/>
            <w:tcMar>
              <w:top w:w="40" w:type="dxa"/>
              <w:left w:w="20" w:type="dxa"/>
              <w:bottom w:w="40" w:type="dxa"/>
              <w:right w:w="0" w:type="dxa"/>
            </w:tcMar>
            <w:vAlign w:val="bottom"/>
          </w:tcPr>
          <w:p w14:paraId="5F2D412C" w14:textId="77777777" w:rsidR="00E836FB" w:rsidRDefault="00994958">
            <w:pPr>
              <w:jc w:val="right"/>
              <w:textAlignment w:val="bottom"/>
            </w:pPr>
            <w:r>
              <w:rPr>
                <w:rFonts w:ascii="Arial" w:eastAsia="宋体" w:hAnsi="Arial" w:cs="Arial"/>
                <w:b/>
                <w:bCs/>
                <w:color w:val="000000"/>
                <w:sz w:val="13"/>
                <w:szCs w:val="13"/>
              </w:rPr>
              <w:t>68</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F2D412D"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412E"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412F" w14:textId="77777777" w:rsidR="00E836FB" w:rsidRDefault="00994958">
            <w:pPr>
              <w:jc w:val="right"/>
              <w:textAlignment w:val="bottom"/>
            </w:pPr>
            <w:r>
              <w:rPr>
                <w:rFonts w:ascii="Arial" w:eastAsia="宋体" w:hAnsi="Arial" w:cs="Arial"/>
                <w:color w:val="000000"/>
                <w:sz w:val="13"/>
                <w:szCs w:val="13"/>
              </w:rPr>
              <w:t>(204)</w:t>
            </w:r>
          </w:p>
        </w:tc>
        <w:tc>
          <w:tcPr>
            <w:tcW w:w="0" w:type="auto"/>
            <w:shd w:val="clear" w:color="auto" w:fill="auto"/>
            <w:tcMar>
              <w:top w:w="40" w:type="dxa"/>
              <w:left w:w="0" w:type="dxa"/>
              <w:bottom w:w="40" w:type="dxa"/>
              <w:right w:w="20" w:type="dxa"/>
            </w:tcMar>
            <w:vAlign w:val="bottom"/>
          </w:tcPr>
          <w:p w14:paraId="5F2D41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32" w14:textId="77777777" w:rsidR="00E836FB" w:rsidRDefault="00994958">
            <w:pPr>
              <w:jc w:val="right"/>
              <w:textAlignment w:val="bottom"/>
            </w:pPr>
            <w:r>
              <w:rPr>
                <w:rFonts w:ascii="Arial" w:eastAsia="宋体" w:hAnsi="Arial" w:cs="Arial"/>
                <w:color w:val="000000"/>
                <w:sz w:val="13"/>
                <w:szCs w:val="13"/>
              </w:rPr>
              <w:t>46 </w:t>
            </w:r>
          </w:p>
        </w:tc>
        <w:tc>
          <w:tcPr>
            <w:tcW w:w="0" w:type="auto"/>
            <w:shd w:val="clear" w:color="auto" w:fill="FFFFFF"/>
            <w:tcMar>
              <w:top w:w="40" w:type="dxa"/>
              <w:left w:w="0" w:type="dxa"/>
              <w:bottom w:w="40" w:type="dxa"/>
              <w:right w:w="20" w:type="dxa"/>
            </w:tcMar>
            <w:vAlign w:val="bottom"/>
          </w:tcPr>
          <w:p w14:paraId="5F2D4133" w14:textId="77777777" w:rsidR="00E836FB" w:rsidRDefault="00E836FB">
            <w:pPr>
              <w:jc w:val="right"/>
              <w:rPr>
                <w:rFonts w:ascii="宋体"/>
              </w:rPr>
            </w:pPr>
          </w:p>
        </w:tc>
      </w:tr>
      <w:tr w:rsidR="00E836FB" w14:paraId="5F2D413E" w14:textId="77777777">
        <w:tc>
          <w:tcPr>
            <w:tcW w:w="0" w:type="auto"/>
            <w:gridSpan w:val="3"/>
            <w:shd w:val="clear" w:color="auto" w:fill="CCEEFF"/>
            <w:tcMar>
              <w:top w:w="40" w:type="dxa"/>
              <w:left w:w="20" w:type="dxa"/>
              <w:bottom w:w="40" w:type="dxa"/>
              <w:right w:w="20" w:type="dxa"/>
            </w:tcMar>
            <w:vAlign w:val="bottom"/>
          </w:tcPr>
          <w:p w14:paraId="5F2D4135" w14:textId="77777777" w:rsidR="00E836FB" w:rsidRDefault="00994958">
            <w:pPr>
              <w:textAlignment w:val="bottom"/>
            </w:pPr>
            <w:r>
              <w:rPr>
                <w:rFonts w:ascii="Arial" w:eastAsia="宋体" w:hAnsi="Arial" w:cs="Arial"/>
                <w:color w:val="000000"/>
                <w:sz w:val="13"/>
                <w:szCs w:val="13"/>
              </w:rPr>
              <w:t>Other-than-temporary impairment on 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5F2D4136" w14:textId="77777777" w:rsidR="00E836FB" w:rsidRDefault="00994958">
            <w:pPr>
              <w:jc w:val="right"/>
              <w:textAlignment w:val="bottom"/>
            </w:pPr>
            <w:r>
              <w:rPr>
                <w:rFonts w:ascii="Arial" w:eastAsia="宋体" w:hAnsi="Arial" w:cs="Arial"/>
                <w:b/>
                <w:bCs/>
                <w:color w:val="000000"/>
                <w:sz w:val="13"/>
                <w:szCs w:val="13"/>
              </w:rPr>
              <w:t>(2)</w:t>
            </w:r>
          </w:p>
        </w:tc>
        <w:tc>
          <w:tcPr>
            <w:tcW w:w="0" w:type="auto"/>
            <w:shd w:val="clear" w:color="auto" w:fill="CCEEFF"/>
            <w:tcMar>
              <w:top w:w="40" w:type="dxa"/>
              <w:left w:w="0" w:type="dxa"/>
              <w:bottom w:w="40" w:type="dxa"/>
              <w:right w:w="20" w:type="dxa"/>
            </w:tcMar>
            <w:vAlign w:val="bottom"/>
          </w:tcPr>
          <w:p w14:paraId="5F2D413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3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39" w14:textId="77777777" w:rsidR="00E836FB" w:rsidRDefault="00994958">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F2D41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3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3C" w14:textId="77777777" w:rsidR="00E836FB" w:rsidRDefault="00994958">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F2D413D" w14:textId="77777777" w:rsidR="00E836FB" w:rsidRDefault="00E836FB">
            <w:pPr>
              <w:jc w:val="right"/>
              <w:rPr>
                <w:rFonts w:ascii="宋体"/>
              </w:rPr>
            </w:pPr>
          </w:p>
        </w:tc>
      </w:tr>
      <w:tr w:rsidR="00E836FB" w14:paraId="5F2D4148" w14:textId="77777777">
        <w:tc>
          <w:tcPr>
            <w:tcW w:w="0" w:type="auto"/>
            <w:gridSpan w:val="3"/>
            <w:shd w:val="clear" w:color="auto" w:fill="auto"/>
            <w:tcMar>
              <w:top w:w="40" w:type="dxa"/>
              <w:left w:w="20" w:type="dxa"/>
              <w:bottom w:w="40" w:type="dxa"/>
              <w:right w:w="20" w:type="dxa"/>
            </w:tcMar>
            <w:vAlign w:val="bottom"/>
          </w:tcPr>
          <w:p w14:paraId="5F2D413F" w14:textId="77777777" w:rsidR="00E836FB" w:rsidRDefault="00994958">
            <w:pPr>
              <w:textAlignment w:val="bottom"/>
            </w:pPr>
            <w:r>
              <w:rPr>
                <w:rFonts w:ascii="Arial" w:eastAsia="宋体" w:hAnsi="Arial" w:cs="Arial"/>
                <w:color w:val="000000"/>
                <w:sz w:val="13"/>
                <w:szCs w:val="13"/>
              </w:rPr>
              <w:t>Net unrealized (losses) on retirement plans</w:t>
            </w:r>
          </w:p>
        </w:tc>
        <w:tc>
          <w:tcPr>
            <w:tcW w:w="0" w:type="auto"/>
            <w:gridSpan w:val="2"/>
            <w:shd w:val="clear" w:color="auto" w:fill="auto"/>
            <w:tcMar>
              <w:top w:w="40" w:type="dxa"/>
              <w:left w:w="20" w:type="dxa"/>
              <w:bottom w:w="40" w:type="dxa"/>
              <w:right w:w="0" w:type="dxa"/>
            </w:tcMar>
            <w:vAlign w:val="bottom"/>
          </w:tcPr>
          <w:p w14:paraId="5F2D4140" w14:textId="77777777" w:rsidR="00E836FB" w:rsidRDefault="00994958">
            <w:pPr>
              <w:jc w:val="right"/>
              <w:textAlignment w:val="bottom"/>
            </w:pPr>
            <w:r>
              <w:rPr>
                <w:rFonts w:ascii="Arial" w:eastAsia="宋体" w:hAnsi="Arial" w:cs="Arial"/>
                <w:b/>
                <w:bCs/>
                <w:color w:val="000000"/>
                <w:sz w:val="13"/>
                <w:szCs w:val="13"/>
              </w:rPr>
              <w:t>(130)</w:t>
            </w:r>
          </w:p>
        </w:tc>
        <w:tc>
          <w:tcPr>
            <w:tcW w:w="0" w:type="auto"/>
            <w:shd w:val="clear" w:color="auto" w:fill="auto"/>
            <w:tcMar>
              <w:top w:w="40" w:type="dxa"/>
              <w:left w:w="0" w:type="dxa"/>
              <w:bottom w:w="40" w:type="dxa"/>
              <w:right w:w="20" w:type="dxa"/>
            </w:tcMar>
            <w:vAlign w:val="bottom"/>
          </w:tcPr>
          <w:p w14:paraId="5F2D4141"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4142"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4143" w14:textId="77777777" w:rsidR="00E836FB" w:rsidRDefault="00994958">
            <w:pPr>
              <w:jc w:val="right"/>
              <w:textAlignment w:val="bottom"/>
            </w:pPr>
            <w:r>
              <w:rPr>
                <w:rFonts w:ascii="Arial" w:eastAsia="宋体" w:hAnsi="Arial" w:cs="Arial"/>
                <w:color w:val="000000"/>
                <w:sz w:val="13"/>
                <w:szCs w:val="13"/>
              </w:rPr>
              <w:t>(178)</w:t>
            </w:r>
          </w:p>
        </w:tc>
        <w:tc>
          <w:tcPr>
            <w:tcW w:w="0" w:type="auto"/>
            <w:shd w:val="clear" w:color="auto" w:fill="auto"/>
            <w:tcMar>
              <w:top w:w="40" w:type="dxa"/>
              <w:left w:w="0" w:type="dxa"/>
              <w:bottom w:w="40" w:type="dxa"/>
              <w:right w:w="20" w:type="dxa"/>
            </w:tcMar>
            <w:vAlign w:val="bottom"/>
          </w:tcPr>
          <w:p w14:paraId="5F2D41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46" w14:textId="77777777" w:rsidR="00E836FB" w:rsidRDefault="00994958">
            <w:pPr>
              <w:jc w:val="right"/>
              <w:textAlignment w:val="bottom"/>
            </w:pPr>
            <w:r>
              <w:rPr>
                <w:rFonts w:ascii="Arial" w:eastAsia="宋体" w:hAnsi="Arial" w:cs="Arial"/>
                <w:color w:val="000000"/>
                <w:sz w:val="13"/>
                <w:szCs w:val="13"/>
              </w:rPr>
              <w:t>(187)</w:t>
            </w:r>
          </w:p>
        </w:tc>
        <w:tc>
          <w:tcPr>
            <w:tcW w:w="0" w:type="auto"/>
            <w:shd w:val="clear" w:color="auto" w:fill="FFFFFF"/>
            <w:tcMar>
              <w:top w:w="40" w:type="dxa"/>
              <w:left w:w="0" w:type="dxa"/>
              <w:bottom w:w="40" w:type="dxa"/>
              <w:right w:w="20" w:type="dxa"/>
            </w:tcMar>
            <w:vAlign w:val="bottom"/>
          </w:tcPr>
          <w:p w14:paraId="5F2D4147" w14:textId="77777777" w:rsidR="00E836FB" w:rsidRDefault="00E836FB">
            <w:pPr>
              <w:jc w:val="right"/>
              <w:rPr>
                <w:rFonts w:ascii="宋体"/>
              </w:rPr>
            </w:pPr>
          </w:p>
        </w:tc>
      </w:tr>
      <w:tr w:rsidR="00E836FB" w14:paraId="5F2D4152" w14:textId="77777777">
        <w:tc>
          <w:tcPr>
            <w:tcW w:w="0" w:type="auto"/>
            <w:gridSpan w:val="3"/>
            <w:shd w:val="clear" w:color="auto" w:fill="CCEEFF"/>
            <w:tcMar>
              <w:top w:w="40" w:type="dxa"/>
              <w:left w:w="20" w:type="dxa"/>
              <w:bottom w:w="40" w:type="dxa"/>
              <w:right w:w="20" w:type="dxa"/>
            </w:tcMar>
            <w:vAlign w:val="bottom"/>
          </w:tcPr>
          <w:p w14:paraId="5F2D4149" w14:textId="77777777" w:rsidR="00E836FB" w:rsidRDefault="00994958">
            <w:pPr>
              <w:textAlignment w:val="bottom"/>
            </w:pPr>
            <w:r>
              <w:rPr>
                <w:rFonts w:ascii="Arial" w:eastAsia="宋体" w:hAnsi="Arial" w:cs="Arial"/>
                <w:color w:val="000000"/>
                <w:sz w:val="13"/>
                <w:szCs w:val="13"/>
              </w:rPr>
              <w:t xml:space="preserve">Foreign currency </w:t>
            </w:r>
            <w:r>
              <w:rPr>
                <w:rFonts w:ascii="Arial" w:eastAsia="宋体" w:hAnsi="Arial" w:cs="Arial"/>
                <w:color w:val="000000"/>
                <w:sz w:val="13"/>
                <w:szCs w:val="13"/>
              </w:rPr>
              <w:t>translation</w:t>
            </w:r>
          </w:p>
        </w:tc>
        <w:tc>
          <w:tcPr>
            <w:tcW w:w="0" w:type="auto"/>
            <w:gridSpan w:val="2"/>
            <w:shd w:val="clear" w:color="auto" w:fill="CCEEFF"/>
            <w:tcMar>
              <w:top w:w="40" w:type="dxa"/>
              <w:left w:w="20" w:type="dxa"/>
              <w:bottom w:w="40" w:type="dxa"/>
              <w:right w:w="0" w:type="dxa"/>
            </w:tcMar>
            <w:vAlign w:val="bottom"/>
          </w:tcPr>
          <w:p w14:paraId="5F2D414A" w14:textId="77777777" w:rsidR="00E836FB" w:rsidRDefault="00994958">
            <w:pPr>
              <w:jc w:val="right"/>
              <w:textAlignment w:val="bottom"/>
            </w:pPr>
            <w:r>
              <w:rPr>
                <w:rFonts w:ascii="Arial" w:eastAsia="宋体" w:hAnsi="Arial" w:cs="Arial"/>
                <w:b/>
                <w:bCs/>
                <w:color w:val="000000"/>
                <w:sz w:val="13"/>
                <w:szCs w:val="13"/>
              </w:rPr>
              <w:t>(1,019)</w:t>
            </w:r>
          </w:p>
        </w:tc>
        <w:tc>
          <w:tcPr>
            <w:tcW w:w="0" w:type="auto"/>
            <w:shd w:val="clear" w:color="auto" w:fill="CCEEFF"/>
            <w:tcMar>
              <w:top w:w="40" w:type="dxa"/>
              <w:left w:w="0" w:type="dxa"/>
              <w:bottom w:w="40" w:type="dxa"/>
              <w:right w:w="20" w:type="dxa"/>
            </w:tcMar>
            <w:vAlign w:val="bottom"/>
          </w:tcPr>
          <w:p w14:paraId="5F2D41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4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4D" w14:textId="77777777" w:rsidR="00E836FB" w:rsidRDefault="00994958">
            <w:pPr>
              <w:jc w:val="right"/>
              <w:textAlignment w:val="bottom"/>
            </w:pPr>
            <w:r>
              <w:rPr>
                <w:rFonts w:ascii="Arial" w:eastAsia="宋体" w:hAnsi="Arial" w:cs="Arial"/>
                <w:color w:val="000000"/>
                <w:sz w:val="13"/>
                <w:szCs w:val="13"/>
              </w:rPr>
              <w:t>(334)</w:t>
            </w:r>
          </w:p>
        </w:tc>
        <w:tc>
          <w:tcPr>
            <w:tcW w:w="0" w:type="auto"/>
            <w:shd w:val="clear" w:color="auto" w:fill="CCEEFF"/>
            <w:tcMar>
              <w:top w:w="40" w:type="dxa"/>
              <w:left w:w="0" w:type="dxa"/>
              <w:bottom w:w="40" w:type="dxa"/>
              <w:right w:w="20" w:type="dxa"/>
            </w:tcMar>
            <w:vAlign w:val="bottom"/>
          </w:tcPr>
          <w:p w14:paraId="5F2D414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4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50" w14:textId="77777777" w:rsidR="00E836FB" w:rsidRDefault="00994958">
            <w:pPr>
              <w:jc w:val="right"/>
              <w:textAlignment w:val="bottom"/>
            </w:pPr>
            <w:r>
              <w:rPr>
                <w:rFonts w:ascii="Arial" w:eastAsia="宋体" w:hAnsi="Arial" w:cs="Arial"/>
                <w:color w:val="000000"/>
                <w:sz w:val="13"/>
                <w:szCs w:val="13"/>
              </w:rPr>
              <w:t>(1,072)</w:t>
            </w:r>
          </w:p>
        </w:tc>
        <w:tc>
          <w:tcPr>
            <w:tcW w:w="0" w:type="auto"/>
            <w:shd w:val="clear" w:color="auto" w:fill="CCEEFF"/>
            <w:tcMar>
              <w:top w:w="40" w:type="dxa"/>
              <w:left w:w="0" w:type="dxa"/>
              <w:bottom w:w="40" w:type="dxa"/>
              <w:right w:w="20" w:type="dxa"/>
            </w:tcMar>
            <w:vAlign w:val="bottom"/>
          </w:tcPr>
          <w:p w14:paraId="5F2D4151" w14:textId="77777777" w:rsidR="00E836FB" w:rsidRDefault="00E836FB">
            <w:pPr>
              <w:jc w:val="right"/>
              <w:rPr>
                <w:rFonts w:ascii="宋体"/>
              </w:rPr>
            </w:pPr>
          </w:p>
        </w:tc>
      </w:tr>
      <w:tr w:rsidR="00E836FB" w14:paraId="5F2D415F" w14:textId="77777777">
        <w:tc>
          <w:tcPr>
            <w:tcW w:w="0" w:type="auto"/>
            <w:gridSpan w:val="3"/>
            <w:shd w:val="clear" w:color="auto" w:fill="auto"/>
            <w:tcMar>
              <w:top w:w="40" w:type="dxa"/>
              <w:left w:w="20" w:type="dxa"/>
              <w:bottom w:w="40" w:type="dxa"/>
              <w:right w:w="20" w:type="dxa"/>
            </w:tcMar>
            <w:vAlign w:val="bottom"/>
          </w:tcPr>
          <w:p w14:paraId="5F2D4153" w14:textId="77777777" w:rsidR="00E836FB" w:rsidRDefault="00994958">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5F2D4154"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F2D4155" w14:textId="77777777" w:rsidR="00E836FB" w:rsidRDefault="00994958">
            <w:pPr>
              <w:jc w:val="right"/>
              <w:textAlignment w:val="bottom"/>
            </w:pPr>
            <w:r>
              <w:rPr>
                <w:rFonts w:ascii="Arial" w:eastAsia="宋体" w:hAnsi="Arial" w:cs="Arial"/>
                <w:b/>
                <w:bCs/>
                <w:color w:val="000000"/>
                <w:sz w:val="13"/>
                <w:szCs w:val="13"/>
              </w:rPr>
              <w:t>(1,133)</w:t>
            </w:r>
          </w:p>
        </w:tc>
        <w:tc>
          <w:tcPr>
            <w:tcW w:w="0" w:type="auto"/>
            <w:tcBorders>
              <w:top w:val="single" w:sz="8" w:space="0" w:color="000000"/>
            </w:tcBorders>
            <w:shd w:val="clear" w:color="auto" w:fill="auto"/>
            <w:tcMar>
              <w:top w:w="40" w:type="dxa"/>
              <w:left w:w="0" w:type="dxa"/>
              <w:bottom w:w="40" w:type="dxa"/>
              <w:right w:w="20" w:type="dxa"/>
            </w:tcMar>
            <w:vAlign w:val="bottom"/>
          </w:tcPr>
          <w:p w14:paraId="5F2D4156"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4157" w14:textId="77777777" w:rsidR="00E836FB" w:rsidRDefault="00E836F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F2D4158"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F2D4159" w14:textId="77777777" w:rsidR="00E836FB" w:rsidRDefault="00994958">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auto"/>
            <w:tcMar>
              <w:top w:w="40" w:type="dxa"/>
              <w:left w:w="0" w:type="dxa"/>
              <w:bottom w:w="40" w:type="dxa"/>
              <w:right w:w="20" w:type="dxa"/>
            </w:tcMar>
            <w:vAlign w:val="bottom"/>
          </w:tcPr>
          <w:p w14:paraId="5F2D415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5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15C"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15D" w14:textId="77777777" w:rsidR="00E836FB" w:rsidRDefault="00994958">
            <w:pPr>
              <w:jc w:val="right"/>
              <w:textAlignment w:val="bottom"/>
            </w:pPr>
            <w:r>
              <w:rPr>
                <w:rFonts w:ascii="Arial" w:eastAsia="宋体" w:hAnsi="Arial" w:cs="Arial"/>
                <w:color w:val="000000"/>
                <w:sz w:val="13"/>
                <w:szCs w:val="13"/>
              </w:rPr>
              <w:t>(876)</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15E" w14:textId="77777777" w:rsidR="00E836FB" w:rsidRDefault="00E836FB">
            <w:pPr>
              <w:jc w:val="right"/>
              <w:rPr>
                <w:rFonts w:ascii="宋体"/>
              </w:rPr>
            </w:pPr>
          </w:p>
        </w:tc>
      </w:tr>
      <w:tr w:rsidR="00E836FB" w14:paraId="5F2D4166" w14:textId="77777777">
        <w:trPr>
          <w:trHeight w:val="60"/>
        </w:trPr>
        <w:tc>
          <w:tcPr>
            <w:tcW w:w="0" w:type="auto"/>
            <w:gridSpan w:val="3"/>
            <w:shd w:val="clear" w:color="auto" w:fill="auto"/>
            <w:tcMar>
              <w:top w:w="0" w:type="dxa"/>
              <w:left w:w="20" w:type="dxa"/>
              <w:bottom w:w="0" w:type="dxa"/>
              <w:right w:w="20" w:type="dxa"/>
            </w:tcMar>
            <w:vAlign w:val="bottom"/>
          </w:tcPr>
          <w:p w14:paraId="5F2D4160"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1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62"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1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64"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165" w14:textId="77777777" w:rsidR="00E836FB" w:rsidRDefault="00E836FB">
            <w:pPr>
              <w:rPr>
                <w:rFonts w:ascii="宋体"/>
              </w:rPr>
            </w:pPr>
          </w:p>
        </w:tc>
      </w:tr>
    </w:tbl>
    <w:p w14:paraId="5F2D4167" w14:textId="77777777" w:rsidR="00E836FB" w:rsidRDefault="00994958">
      <w:pPr>
        <w:spacing w:before="20"/>
        <w:ind w:firstLine="450"/>
      </w:pPr>
      <w:r>
        <w:rPr>
          <w:rFonts w:ascii="Arial" w:eastAsia="宋体" w:hAnsi="Arial" w:cs="Arial"/>
          <w:color w:val="000000"/>
          <w:sz w:val="20"/>
          <w:szCs w:val="20"/>
        </w:rPr>
        <w:t>The following table presents changes in AOCI by component, net of related taxes,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1231"/>
        <w:gridCol w:w="38"/>
        <w:gridCol w:w="94"/>
        <w:gridCol w:w="628"/>
        <w:gridCol w:w="36"/>
        <w:gridCol w:w="36"/>
        <w:gridCol w:w="36"/>
        <w:gridCol w:w="36"/>
        <w:gridCol w:w="113"/>
        <w:gridCol w:w="1015"/>
        <w:gridCol w:w="36"/>
        <w:gridCol w:w="36"/>
        <w:gridCol w:w="36"/>
        <w:gridCol w:w="36"/>
        <w:gridCol w:w="94"/>
        <w:gridCol w:w="747"/>
        <w:gridCol w:w="36"/>
        <w:gridCol w:w="36"/>
        <w:gridCol w:w="36"/>
        <w:gridCol w:w="36"/>
        <w:gridCol w:w="133"/>
        <w:gridCol w:w="1310"/>
        <w:gridCol w:w="36"/>
        <w:gridCol w:w="36"/>
        <w:gridCol w:w="36"/>
        <w:gridCol w:w="36"/>
        <w:gridCol w:w="94"/>
        <w:gridCol w:w="624"/>
        <w:gridCol w:w="36"/>
        <w:gridCol w:w="36"/>
        <w:gridCol w:w="36"/>
        <w:gridCol w:w="36"/>
        <w:gridCol w:w="94"/>
        <w:gridCol w:w="640"/>
        <w:gridCol w:w="36"/>
        <w:gridCol w:w="36"/>
        <w:gridCol w:w="36"/>
        <w:gridCol w:w="36"/>
        <w:gridCol w:w="93"/>
        <w:gridCol w:w="412"/>
        <w:gridCol w:w="36"/>
      </w:tblGrid>
      <w:tr w:rsidR="00E836FB" w14:paraId="5F2D4192" w14:textId="77777777">
        <w:tc>
          <w:tcPr>
            <w:tcW w:w="50" w:type="pct"/>
            <w:shd w:val="clear" w:color="auto" w:fill="auto"/>
            <w:vAlign w:val="bottom"/>
          </w:tcPr>
          <w:p w14:paraId="5F2D4168" w14:textId="77777777" w:rsidR="00E836FB" w:rsidRDefault="00E836FB">
            <w:pPr>
              <w:rPr>
                <w:rFonts w:ascii="宋体"/>
              </w:rPr>
            </w:pPr>
          </w:p>
        </w:tc>
        <w:tc>
          <w:tcPr>
            <w:tcW w:w="1303" w:type="pct"/>
            <w:shd w:val="clear" w:color="auto" w:fill="auto"/>
            <w:vAlign w:val="bottom"/>
          </w:tcPr>
          <w:p w14:paraId="5F2D4169" w14:textId="77777777" w:rsidR="00E836FB" w:rsidRDefault="00E836FB">
            <w:pPr>
              <w:rPr>
                <w:rFonts w:ascii="宋体"/>
              </w:rPr>
            </w:pPr>
          </w:p>
        </w:tc>
        <w:tc>
          <w:tcPr>
            <w:tcW w:w="5" w:type="pct"/>
            <w:shd w:val="clear" w:color="auto" w:fill="auto"/>
            <w:vAlign w:val="bottom"/>
          </w:tcPr>
          <w:p w14:paraId="5F2D416A" w14:textId="77777777" w:rsidR="00E836FB" w:rsidRDefault="00E836FB">
            <w:pPr>
              <w:rPr>
                <w:rFonts w:ascii="宋体"/>
              </w:rPr>
            </w:pPr>
          </w:p>
        </w:tc>
        <w:tc>
          <w:tcPr>
            <w:tcW w:w="50" w:type="pct"/>
            <w:shd w:val="clear" w:color="auto" w:fill="auto"/>
            <w:vAlign w:val="bottom"/>
          </w:tcPr>
          <w:p w14:paraId="5F2D416B" w14:textId="77777777" w:rsidR="00E836FB" w:rsidRDefault="00E836FB">
            <w:pPr>
              <w:rPr>
                <w:rFonts w:ascii="宋体"/>
              </w:rPr>
            </w:pPr>
          </w:p>
        </w:tc>
        <w:tc>
          <w:tcPr>
            <w:tcW w:w="495" w:type="pct"/>
            <w:shd w:val="clear" w:color="auto" w:fill="auto"/>
            <w:vAlign w:val="bottom"/>
          </w:tcPr>
          <w:p w14:paraId="5F2D416C" w14:textId="77777777" w:rsidR="00E836FB" w:rsidRDefault="00E836FB">
            <w:pPr>
              <w:rPr>
                <w:rFonts w:ascii="宋体"/>
              </w:rPr>
            </w:pPr>
          </w:p>
        </w:tc>
        <w:tc>
          <w:tcPr>
            <w:tcW w:w="5" w:type="pct"/>
            <w:shd w:val="clear" w:color="auto" w:fill="auto"/>
            <w:vAlign w:val="bottom"/>
          </w:tcPr>
          <w:p w14:paraId="5F2D416D" w14:textId="77777777" w:rsidR="00E836FB" w:rsidRDefault="00E836FB">
            <w:pPr>
              <w:rPr>
                <w:rFonts w:ascii="宋体"/>
              </w:rPr>
            </w:pPr>
          </w:p>
        </w:tc>
        <w:tc>
          <w:tcPr>
            <w:tcW w:w="5" w:type="pct"/>
            <w:shd w:val="clear" w:color="auto" w:fill="auto"/>
            <w:vAlign w:val="bottom"/>
          </w:tcPr>
          <w:p w14:paraId="5F2D416E" w14:textId="77777777" w:rsidR="00E836FB" w:rsidRDefault="00E836FB">
            <w:pPr>
              <w:rPr>
                <w:rFonts w:ascii="宋体"/>
              </w:rPr>
            </w:pPr>
          </w:p>
        </w:tc>
        <w:tc>
          <w:tcPr>
            <w:tcW w:w="19" w:type="pct"/>
            <w:shd w:val="clear" w:color="auto" w:fill="auto"/>
            <w:vAlign w:val="bottom"/>
          </w:tcPr>
          <w:p w14:paraId="5F2D416F" w14:textId="77777777" w:rsidR="00E836FB" w:rsidRDefault="00E836FB">
            <w:pPr>
              <w:rPr>
                <w:rFonts w:ascii="宋体"/>
              </w:rPr>
            </w:pPr>
          </w:p>
        </w:tc>
        <w:tc>
          <w:tcPr>
            <w:tcW w:w="5" w:type="pct"/>
            <w:shd w:val="clear" w:color="auto" w:fill="auto"/>
            <w:vAlign w:val="bottom"/>
          </w:tcPr>
          <w:p w14:paraId="5F2D4170" w14:textId="77777777" w:rsidR="00E836FB" w:rsidRDefault="00E836FB">
            <w:pPr>
              <w:rPr>
                <w:rFonts w:ascii="宋体"/>
              </w:rPr>
            </w:pPr>
          </w:p>
        </w:tc>
        <w:tc>
          <w:tcPr>
            <w:tcW w:w="50" w:type="pct"/>
            <w:shd w:val="clear" w:color="auto" w:fill="auto"/>
            <w:vAlign w:val="bottom"/>
          </w:tcPr>
          <w:p w14:paraId="5F2D4171" w14:textId="77777777" w:rsidR="00E836FB" w:rsidRDefault="00E836FB">
            <w:pPr>
              <w:rPr>
                <w:rFonts w:ascii="宋体"/>
              </w:rPr>
            </w:pPr>
          </w:p>
        </w:tc>
        <w:tc>
          <w:tcPr>
            <w:tcW w:w="451" w:type="pct"/>
            <w:shd w:val="clear" w:color="auto" w:fill="auto"/>
            <w:vAlign w:val="bottom"/>
          </w:tcPr>
          <w:p w14:paraId="5F2D4172" w14:textId="77777777" w:rsidR="00E836FB" w:rsidRDefault="00E836FB">
            <w:pPr>
              <w:rPr>
                <w:rFonts w:ascii="宋体"/>
              </w:rPr>
            </w:pPr>
          </w:p>
        </w:tc>
        <w:tc>
          <w:tcPr>
            <w:tcW w:w="5" w:type="pct"/>
            <w:shd w:val="clear" w:color="auto" w:fill="auto"/>
            <w:vAlign w:val="bottom"/>
          </w:tcPr>
          <w:p w14:paraId="5F2D4173" w14:textId="77777777" w:rsidR="00E836FB" w:rsidRDefault="00E836FB">
            <w:pPr>
              <w:rPr>
                <w:rFonts w:ascii="宋体"/>
              </w:rPr>
            </w:pPr>
          </w:p>
        </w:tc>
        <w:tc>
          <w:tcPr>
            <w:tcW w:w="5" w:type="pct"/>
            <w:shd w:val="clear" w:color="auto" w:fill="auto"/>
            <w:vAlign w:val="bottom"/>
          </w:tcPr>
          <w:p w14:paraId="5F2D4174" w14:textId="77777777" w:rsidR="00E836FB" w:rsidRDefault="00E836FB">
            <w:pPr>
              <w:rPr>
                <w:rFonts w:ascii="宋体"/>
              </w:rPr>
            </w:pPr>
          </w:p>
        </w:tc>
        <w:tc>
          <w:tcPr>
            <w:tcW w:w="19" w:type="pct"/>
            <w:shd w:val="clear" w:color="auto" w:fill="auto"/>
            <w:vAlign w:val="bottom"/>
          </w:tcPr>
          <w:p w14:paraId="5F2D4175" w14:textId="77777777" w:rsidR="00E836FB" w:rsidRDefault="00E836FB">
            <w:pPr>
              <w:rPr>
                <w:rFonts w:ascii="宋体"/>
              </w:rPr>
            </w:pPr>
          </w:p>
        </w:tc>
        <w:tc>
          <w:tcPr>
            <w:tcW w:w="5" w:type="pct"/>
            <w:shd w:val="clear" w:color="auto" w:fill="auto"/>
            <w:vAlign w:val="bottom"/>
          </w:tcPr>
          <w:p w14:paraId="5F2D4176" w14:textId="77777777" w:rsidR="00E836FB" w:rsidRDefault="00E836FB">
            <w:pPr>
              <w:rPr>
                <w:rFonts w:ascii="宋体"/>
              </w:rPr>
            </w:pPr>
          </w:p>
        </w:tc>
        <w:tc>
          <w:tcPr>
            <w:tcW w:w="50" w:type="pct"/>
            <w:shd w:val="clear" w:color="auto" w:fill="auto"/>
            <w:vAlign w:val="bottom"/>
          </w:tcPr>
          <w:p w14:paraId="5F2D4177" w14:textId="77777777" w:rsidR="00E836FB" w:rsidRDefault="00E836FB">
            <w:pPr>
              <w:rPr>
                <w:rFonts w:ascii="宋体"/>
              </w:rPr>
            </w:pPr>
          </w:p>
        </w:tc>
        <w:tc>
          <w:tcPr>
            <w:tcW w:w="613" w:type="pct"/>
            <w:shd w:val="clear" w:color="auto" w:fill="auto"/>
            <w:vAlign w:val="bottom"/>
          </w:tcPr>
          <w:p w14:paraId="5F2D4178" w14:textId="77777777" w:rsidR="00E836FB" w:rsidRDefault="00E836FB">
            <w:pPr>
              <w:rPr>
                <w:rFonts w:ascii="宋体"/>
              </w:rPr>
            </w:pPr>
          </w:p>
        </w:tc>
        <w:tc>
          <w:tcPr>
            <w:tcW w:w="5" w:type="pct"/>
            <w:shd w:val="clear" w:color="auto" w:fill="auto"/>
            <w:vAlign w:val="bottom"/>
          </w:tcPr>
          <w:p w14:paraId="5F2D4179" w14:textId="77777777" w:rsidR="00E836FB" w:rsidRDefault="00E836FB">
            <w:pPr>
              <w:rPr>
                <w:rFonts w:ascii="宋体"/>
              </w:rPr>
            </w:pPr>
          </w:p>
        </w:tc>
        <w:tc>
          <w:tcPr>
            <w:tcW w:w="5" w:type="pct"/>
            <w:shd w:val="clear" w:color="auto" w:fill="auto"/>
            <w:vAlign w:val="bottom"/>
          </w:tcPr>
          <w:p w14:paraId="5F2D417A" w14:textId="77777777" w:rsidR="00E836FB" w:rsidRDefault="00E836FB">
            <w:pPr>
              <w:rPr>
                <w:rFonts w:ascii="宋体"/>
              </w:rPr>
            </w:pPr>
          </w:p>
        </w:tc>
        <w:tc>
          <w:tcPr>
            <w:tcW w:w="19" w:type="pct"/>
            <w:shd w:val="clear" w:color="auto" w:fill="auto"/>
            <w:vAlign w:val="bottom"/>
          </w:tcPr>
          <w:p w14:paraId="5F2D417B" w14:textId="77777777" w:rsidR="00E836FB" w:rsidRDefault="00E836FB">
            <w:pPr>
              <w:rPr>
                <w:rFonts w:ascii="宋体"/>
              </w:rPr>
            </w:pPr>
          </w:p>
        </w:tc>
        <w:tc>
          <w:tcPr>
            <w:tcW w:w="5" w:type="pct"/>
            <w:shd w:val="clear" w:color="auto" w:fill="auto"/>
            <w:vAlign w:val="bottom"/>
          </w:tcPr>
          <w:p w14:paraId="5F2D417C" w14:textId="77777777" w:rsidR="00E836FB" w:rsidRDefault="00E836FB">
            <w:pPr>
              <w:rPr>
                <w:rFonts w:ascii="宋体"/>
              </w:rPr>
            </w:pPr>
          </w:p>
        </w:tc>
        <w:tc>
          <w:tcPr>
            <w:tcW w:w="50" w:type="pct"/>
            <w:shd w:val="clear" w:color="auto" w:fill="auto"/>
            <w:vAlign w:val="bottom"/>
          </w:tcPr>
          <w:p w14:paraId="5F2D417D" w14:textId="77777777" w:rsidR="00E836FB" w:rsidRDefault="00E836FB">
            <w:pPr>
              <w:rPr>
                <w:rFonts w:ascii="宋体"/>
              </w:rPr>
            </w:pPr>
          </w:p>
        </w:tc>
        <w:tc>
          <w:tcPr>
            <w:tcW w:w="495" w:type="pct"/>
            <w:shd w:val="clear" w:color="auto" w:fill="auto"/>
            <w:vAlign w:val="bottom"/>
          </w:tcPr>
          <w:p w14:paraId="5F2D417E" w14:textId="77777777" w:rsidR="00E836FB" w:rsidRDefault="00E836FB">
            <w:pPr>
              <w:rPr>
                <w:rFonts w:ascii="宋体"/>
              </w:rPr>
            </w:pPr>
          </w:p>
        </w:tc>
        <w:tc>
          <w:tcPr>
            <w:tcW w:w="5" w:type="pct"/>
            <w:shd w:val="clear" w:color="auto" w:fill="auto"/>
            <w:vAlign w:val="bottom"/>
          </w:tcPr>
          <w:p w14:paraId="5F2D417F" w14:textId="77777777" w:rsidR="00E836FB" w:rsidRDefault="00E836FB">
            <w:pPr>
              <w:rPr>
                <w:rFonts w:ascii="宋体"/>
              </w:rPr>
            </w:pPr>
          </w:p>
        </w:tc>
        <w:tc>
          <w:tcPr>
            <w:tcW w:w="5" w:type="pct"/>
            <w:shd w:val="clear" w:color="auto" w:fill="auto"/>
            <w:vAlign w:val="bottom"/>
          </w:tcPr>
          <w:p w14:paraId="5F2D4180" w14:textId="77777777" w:rsidR="00E836FB" w:rsidRDefault="00E836FB">
            <w:pPr>
              <w:rPr>
                <w:rFonts w:ascii="宋体"/>
              </w:rPr>
            </w:pPr>
          </w:p>
        </w:tc>
        <w:tc>
          <w:tcPr>
            <w:tcW w:w="19" w:type="pct"/>
            <w:shd w:val="clear" w:color="auto" w:fill="auto"/>
            <w:vAlign w:val="bottom"/>
          </w:tcPr>
          <w:p w14:paraId="5F2D4181" w14:textId="77777777" w:rsidR="00E836FB" w:rsidRDefault="00E836FB">
            <w:pPr>
              <w:rPr>
                <w:rFonts w:ascii="宋体"/>
              </w:rPr>
            </w:pPr>
          </w:p>
        </w:tc>
        <w:tc>
          <w:tcPr>
            <w:tcW w:w="5" w:type="pct"/>
            <w:shd w:val="clear" w:color="auto" w:fill="auto"/>
            <w:vAlign w:val="bottom"/>
          </w:tcPr>
          <w:p w14:paraId="5F2D4182" w14:textId="77777777" w:rsidR="00E836FB" w:rsidRDefault="00E836FB">
            <w:pPr>
              <w:rPr>
                <w:rFonts w:ascii="宋体"/>
              </w:rPr>
            </w:pPr>
          </w:p>
        </w:tc>
        <w:tc>
          <w:tcPr>
            <w:tcW w:w="50" w:type="pct"/>
            <w:shd w:val="clear" w:color="auto" w:fill="auto"/>
            <w:vAlign w:val="bottom"/>
          </w:tcPr>
          <w:p w14:paraId="5F2D4183" w14:textId="77777777" w:rsidR="00E836FB" w:rsidRDefault="00E836FB">
            <w:pPr>
              <w:rPr>
                <w:rFonts w:ascii="宋体"/>
              </w:rPr>
            </w:pPr>
          </w:p>
        </w:tc>
        <w:tc>
          <w:tcPr>
            <w:tcW w:w="356" w:type="pct"/>
            <w:shd w:val="clear" w:color="auto" w:fill="auto"/>
            <w:vAlign w:val="bottom"/>
          </w:tcPr>
          <w:p w14:paraId="5F2D4184" w14:textId="77777777" w:rsidR="00E836FB" w:rsidRDefault="00E836FB">
            <w:pPr>
              <w:rPr>
                <w:rFonts w:ascii="宋体"/>
              </w:rPr>
            </w:pPr>
          </w:p>
        </w:tc>
        <w:tc>
          <w:tcPr>
            <w:tcW w:w="5" w:type="pct"/>
            <w:shd w:val="clear" w:color="auto" w:fill="auto"/>
            <w:vAlign w:val="bottom"/>
          </w:tcPr>
          <w:p w14:paraId="5F2D4185" w14:textId="77777777" w:rsidR="00E836FB" w:rsidRDefault="00E836FB">
            <w:pPr>
              <w:rPr>
                <w:rFonts w:ascii="宋体"/>
              </w:rPr>
            </w:pPr>
          </w:p>
        </w:tc>
        <w:tc>
          <w:tcPr>
            <w:tcW w:w="5" w:type="pct"/>
            <w:shd w:val="clear" w:color="auto" w:fill="auto"/>
            <w:vAlign w:val="bottom"/>
          </w:tcPr>
          <w:p w14:paraId="5F2D4186" w14:textId="77777777" w:rsidR="00E836FB" w:rsidRDefault="00E836FB">
            <w:pPr>
              <w:rPr>
                <w:rFonts w:ascii="宋体"/>
              </w:rPr>
            </w:pPr>
          </w:p>
        </w:tc>
        <w:tc>
          <w:tcPr>
            <w:tcW w:w="19" w:type="pct"/>
            <w:shd w:val="clear" w:color="auto" w:fill="auto"/>
            <w:vAlign w:val="bottom"/>
          </w:tcPr>
          <w:p w14:paraId="5F2D4187" w14:textId="77777777" w:rsidR="00E836FB" w:rsidRDefault="00E836FB">
            <w:pPr>
              <w:rPr>
                <w:rFonts w:ascii="宋体"/>
              </w:rPr>
            </w:pPr>
          </w:p>
        </w:tc>
        <w:tc>
          <w:tcPr>
            <w:tcW w:w="5" w:type="pct"/>
            <w:shd w:val="clear" w:color="auto" w:fill="auto"/>
            <w:vAlign w:val="bottom"/>
          </w:tcPr>
          <w:p w14:paraId="5F2D4188" w14:textId="77777777" w:rsidR="00E836FB" w:rsidRDefault="00E836FB">
            <w:pPr>
              <w:rPr>
                <w:rFonts w:ascii="宋体"/>
              </w:rPr>
            </w:pPr>
          </w:p>
        </w:tc>
        <w:tc>
          <w:tcPr>
            <w:tcW w:w="50" w:type="pct"/>
            <w:shd w:val="clear" w:color="auto" w:fill="auto"/>
            <w:vAlign w:val="bottom"/>
          </w:tcPr>
          <w:p w14:paraId="5F2D4189" w14:textId="77777777" w:rsidR="00E836FB" w:rsidRDefault="00E836FB">
            <w:pPr>
              <w:rPr>
                <w:rFonts w:ascii="宋体"/>
              </w:rPr>
            </w:pPr>
          </w:p>
        </w:tc>
        <w:tc>
          <w:tcPr>
            <w:tcW w:w="348" w:type="pct"/>
            <w:shd w:val="clear" w:color="auto" w:fill="auto"/>
            <w:vAlign w:val="bottom"/>
          </w:tcPr>
          <w:p w14:paraId="5F2D418A" w14:textId="77777777" w:rsidR="00E836FB" w:rsidRDefault="00E836FB">
            <w:pPr>
              <w:rPr>
                <w:rFonts w:ascii="宋体"/>
              </w:rPr>
            </w:pPr>
          </w:p>
        </w:tc>
        <w:tc>
          <w:tcPr>
            <w:tcW w:w="5" w:type="pct"/>
            <w:shd w:val="clear" w:color="auto" w:fill="auto"/>
            <w:vAlign w:val="bottom"/>
          </w:tcPr>
          <w:p w14:paraId="5F2D418B" w14:textId="77777777" w:rsidR="00E836FB" w:rsidRDefault="00E836FB">
            <w:pPr>
              <w:rPr>
                <w:rFonts w:ascii="宋体"/>
              </w:rPr>
            </w:pPr>
          </w:p>
        </w:tc>
        <w:tc>
          <w:tcPr>
            <w:tcW w:w="5" w:type="pct"/>
            <w:shd w:val="clear" w:color="auto" w:fill="auto"/>
            <w:vAlign w:val="bottom"/>
          </w:tcPr>
          <w:p w14:paraId="5F2D418C" w14:textId="77777777" w:rsidR="00E836FB" w:rsidRDefault="00E836FB">
            <w:pPr>
              <w:rPr>
                <w:rFonts w:ascii="宋体"/>
              </w:rPr>
            </w:pPr>
          </w:p>
        </w:tc>
        <w:tc>
          <w:tcPr>
            <w:tcW w:w="19" w:type="pct"/>
            <w:shd w:val="clear" w:color="auto" w:fill="auto"/>
            <w:vAlign w:val="bottom"/>
          </w:tcPr>
          <w:p w14:paraId="5F2D418D" w14:textId="77777777" w:rsidR="00E836FB" w:rsidRDefault="00E836FB">
            <w:pPr>
              <w:rPr>
                <w:rFonts w:ascii="宋体"/>
              </w:rPr>
            </w:pPr>
          </w:p>
        </w:tc>
        <w:tc>
          <w:tcPr>
            <w:tcW w:w="5" w:type="pct"/>
            <w:shd w:val="clear" w:color="auto" w:fill="auto"/>
            <w:vAlign w:val="bottom"/>
          </w:tcPr>
          <w:p w14:paraId="5F2D418E" w14:textId="77777777" w:rsidR="00E836FB" w:rsidRDefault="00E836FB">
            <w:pPr>
              <w:rPr>
                <w:rFonts w:ascii="宋体"/>
              </w:rPr>
            </w:pPr>
          </w:p>
        </w:tc>
        <w:tc>
          <w:tcPr>
            <w:tcW w:w="50" w:type="pct"/>
            <w:shd w:val="clear" w:color="auto" w:fill="auto"/>
            <w:vAlign w:val="bottom"/>
          </w:tcPr>
          <w:p w14:paraId="5F2D418F" w14:textId="77777777" w:rsidR="00E836FB" w:rsidRDefault="00E836FB">
            <w:pPr>
              <w:rPr>
                <w:rFonts w:ascii="宋体"/>
              </w:rPr>
            </w:pPr>
          </w:p>
        </w:tc>
        <w:tc>
          <w:tcPr>
            <w:tcW w:w="319" w:type="pct"/>
            <w:shd w:val="clear" w:color="auto" w:fill="auto"/>
            <w:vAlign w:val="bottom"/>
          </w:tcPr>
          <w:p w14:paraId="5F2D4190" w14:textId="77777777" w:rsidR="00E836FB" w:rsidRDefault="00E836FB">
            <w:pPr>
              <w:rPr>
                <w:rFonts w:ascii="宋体"/>
              </w:rPr>
            </w:pPr>
          </w:p>
        </w:tc>
        <w:tc>
          <w:tcPr>
            <w:tcW w:w="5" w:type="pct"/>
            <w:shd w:val="clear" w:color="auto" w:fill="auto"/>
            <w:vAlign w:val="bottom"/>
          </w:tcPr>
          <w:p w14:paraId="5F2D4191" w14:textId="77777777" w:rsidR="00E836FB" w:rsidRDefault="00E836FB">
            <w:pPr>
              <w:rPr>
                <w:rFonts w:ascii="宋体"/>
              </w:rPr>
            </w:pPr>
          </w:p>
        </w:tc>
      </w:tr>
      <w:tr w:rsidR="00E836FB" w14:paraId="5F2D41A1" w14:textId="77777777">
        <w:trPr>
          <w:trHeight w:val="60"/>
        </w:trPr>
        <w:tc>
          <w:tcPr>
            <w:tcW w:w="0" w:type="auto"/>
            <w:gridSpan w:val="3"/>
            <w:shd w:val="clear" w:color="auto" w:fill="auto"/>
            <w:tcMar>
              <w:top w:w="0" w:type="dxa"/>
              <w:left w:w="20" w:type="dxa"/>
              <w:bottom w:w="0" w:type="dxa"/>
              <w:right w:w="20" w:type="dxa"/>
            </w:tcMar>
            <w:vAlign w:val="bottom"/>
          </w:tcPr>
          <w:p w14:paraId="5F2D41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1A0" w14:textId="77777777" w:rsidR="00E836FB" w:rsidRDefault="00E836FB">
            <w:pPr>
              <w:rPr>
                <w:rFonts w:ascii="宋体"/>
              </w:rPr>
            </w:pPr>
          </w:p>
        </w:tc>
      </w:tr>
      <w:tr w:rsidR="00E836FB" w14:paraId="5F2D41B0" w14:textId="77777777">
        <w:tc>
          <w:tcPr>
            <w:tcW w:w="0" w:type="auto"/>
            <w:gridSpan w:val="3"/>
            <w:shd w:val="clear" w:color="auto" w:fill="auto"/>
            <w:tcMar>
              <w:top w:w="40" w:type="dxa"/>
              <w:left w:w="20" w:type="dxa"/>
              <w:bottom w:w="40" w:type="dxa"/>
              <w:right w:w="20" w:type="dxa"/>
            </w:tcMar>
            <w:vAlign w:val="bottom"/>
          </w:tcPr>
          <w:p w14:paraId="5F2D41A2" w14:textId="77777777" w:rsidR="00E836FB" w:rsidRDefault="00994958">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F2D41A3" w14:textId="77777777" w:rsidR="00E836FB" w:rsidRDefault="00994958">
            <w:pPr>
              <w:jc w:val="center"/>
              <w:textAlignment w:val="bottom"/>
            </w:pPr>
            <w:r>
              <w:rPr>
                <w:rFonts w:ascii="Arial" w:eastAsia="宋体" w:hAnsi="Arial" w:cs="Arial"/>
                <w:b/>
                <w:bCs/>
                <w:color w:val="000000"/>
                <w:sz w:val="13"/>
                <w:szCs w:val="13"/>
              </w:rPr>
              <w:t xml:space="preserve">Net </w:t>
            </w:r>
            <w:r>
              <w:rPr>
                <w:rFonts w:ascii="Arial" w:eastAsia="宋体" w:hAnsi="Arial" w:cs="Arial"/>
                <w:b/>
                <w:bCs/>
                <w:color w:val="000000"/>
                <w:sz w:val="13"/>
                <w:szCs w:val="13"/>
              </w:rPr>
              <w:t>Unrealized Gains (Losses) on Cash Flow Hedges</w:t>
            </w:r>
          </w:p>
        </w:tc>
        <w:tc>
          <w:tcPr>
            <w:tcW w:w="0" w:type="auto"/>
            <w:gridSpan w:val="3"/>
            <w:shd w:val="clear" w:color="auto" w:fill="auto"/>
            <w:tcMar>
              <w:top w:w="0" w:type="dxa"/>
              <w:left w:w="20" w:type="dxa"/>
              <w:bottom w:w="0" w:type="dxa"/>
              <w:right w:w="20" w:type="dxa"/>
            </w:tcMar>
            <w:vAlign w:val="bottom"/>
          </w:tcPr>
          <w:p w14:paraId="5F2D41A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1A5" w14:textId="77777777" w:rsidR="00E836FB" w:rsidRDefault="00994958">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5F2D41A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1A7" w14:textId="77777777" w:rsidR="00E836FB" w:rsidRDefault="00994958">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5F2D41A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1A9" w14:textId="77777777" w:rsidR="00E836FB" w:rsidRDefault="00994958">
            <w:pPr>
              <w:jc w:val="center"/>
              <w:textAlignment w:val="bottom"/>
            </w:pPr>
            <w:r>
              <w:rPr>
                <w:rFonts w:ascii="Arial" w:eastAsia="宋体" w:hAnsi="Arial" w:cs="Arial"/>
                <w:b/>
                <w:bCs/>
                <w:color w:val="000000"/>
                <w:sz w:val="13"/>
                <w:szCs w:val="13"/>
              </w:rPr>
              <w:t xml:space="preserve">Other-Than-Temporary Impairment on </w:t>
            </w:r>
            <w:r>
              <w:rPr>
                <w:rFonts w:ascii="Arial" w:eastAsia="宋体" w:hAnsi="Arial" w:cs="Arial"/>
                <w:b/>
                <w:bCs/>
                <w:color w:val="000000"/>
                <w:sz w:val="13"/>
                <w:szCs w:val="13"/>
              </w:rPr>
              <w:t>Held-to-Maturity Securities</w:t>
            </w:r>
          </w:p>
        </w:tc>
        <w:tc>
          <w:tcPr>
            <w:tcW w:w="0" w:type="auto"/>
            <w:gridSpan w:val="3"/>
            <w:shd w:val="clear" w:color="auto" w:fill="auto"/>
            <w:tcMar>
              <w:top w:w="0" w:type="dxa"/>
              <w:left w:w="20" w:type="dxa"/>
              <w:bottom w:w="0" w:type="dxa"/>
              <w:right w:w="20" w:type="dxa"/>
            </w:tcMar>
            <w:vAlign w:val="bottom"/>
          </w:tcPr>
          <w:p w14:paraId="5F2D41A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1AB" w14:textId="77777777" w:rsidR="00E836FB" w:rsidRDefault="00994958">
            <w:pPr>
              <w:jc w:val="center"/>
              <w:textAlignment w:val="bottom"/>
            </w:pPr>
            <w:r>
              <w:rPr>
                <w:rFonts w:ascii="Arial" w:eastAsia="宋体" w:hAnsi="Arial" w:cs="Arial"/>
                <w:b/>
                <w:bCs/>
                <w:color w:val="000000"/>
                <w:sz w:val="13"/>
                <w:szCs w:val="13"/>
              </w:rPr>
              <w:t>Net Unrealized Losses on Retirement Plans</w:t>
            </w:r>
          </w:p>
        </w:tc>
        <w:tc>
          <w:tcPr>
            <w:tcW w:w="0" w:type="auto"/>
            <w:gridSpan w:val="3"/>
            <w:shd w:val="clear" w:color="auto" w:fill="auto"/>
            <w:tcMar>
              <w:top w:w="0" w:type="dxa"/>
              <w:left w:w="20" w:type="dxa"/>
              <w:bottom w:w="0" w:type="dxa"/>
              <w:right w:w="20" w:type="dxa"/>
            </w:tcMar>
            <w:vAlign w:val="bottom"/>
          </w:tcPr>
          <w:p w14:paraId="5F2D41A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1AD" w14:textId="77777777" w:rsidR="00E836FB" w:rsidRDefault="00994958">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5F2D41A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1AF" w14:textId="77777777" w:rsidR="00E836FB" w:rsidRDefault="00994958">
            <w:pPr>
              <w:jc w:val="center"/>
              <w:textAlignment w:val="bottom"/>
            </w:pPr>
            <w:r>
              <w:rPr>
                <w:rFonts w:ascii="Arial" w:eastAsia="宋体" w:hAnsi="Arial" w:cs="Arial"/>
                <w:b/>
                <w:bCs/>
                <w:color w:val="000000"/>
                <w:sz w:val="13"/>
                <w:szCs w:val="13"/>
              </w:rPr>
              <w:t>Total</w:t>
            </w:r>
          </w:p>
        </w:tc>
      </w:tr>
      <w:tr w:rsidR="00E836FB" w14:paraId="5F2D41CD" w14:textId="77777777">
        <w:tc>
          <w:tcPr>
            <w:tcW w:w="0" w:type="auto"/>
            <w:gridSpan w:val="3"/>
            <w:shd w:val="clear" w:color="auto" w:fill="CCEEFF"/>
            <w:tcMar>
              <w:top w:w="40" w:type="dxa"/>
              <w:left w:w="20" w:type="dxa"/>
              <w:bottom w:w="40" w:type="dxa"/>
              <w:right w:w="20" w:type="dxa"/>
            </w:tcMar>
            <w:vAlign w:val="bottom"/>
          </w:tcPr>
          <w:p w14:paraId="5F2D41B1" w14:textId="77777777" w:rsidR="00E836FB" w:rsidRDefault="00994958">
            <w:pPr>
              <w:textAlignment w:val="bottom"/>
            </w:pPr>
            <w:r>
              <w:rPr>
                <w:rFonts w:ascii="Arial" w:eastAsia="宋体" w:hAnsi="Arial" w:cs="Arial"/>
                <w:b/>
                <w:bCs/>
                <w:color w:val="000000"/>
                <w:sz w:val="13"/>
                <w:szCs w:val="13"/>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41B2"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1B3" w14:textId="77777777" w:rsidR="00E836FB" w:rsidRDefault="00994958">
            <w:pPr>
              <w:jc w:val="right"/>
              <w:textAlignment w:val="bottom"/>
            </w:pPr>
            <w:r>
              <w:rPr>
                <w:rFonts w:ascii="Arial" w:eastAsia="宋体" w:hAnsi="Arial" w:cs="Arial"/>
                <w:color w:val="000000"/>
                <w:sz w:val="13"/>
                <w:szCs w:val="13"/>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1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B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1B6"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1B7" w14:textId="77777777" w:rsidR="00E836FB" w:rsidRDefault="00994958">
            <w:pPr>
              <w:jc w:val="right"/>
              <w:textAlignment w:val="bottom"/>
            </w:pPr>
            <w:r>
              <w:rPr>
                <w:rFonts w:ascii="Arial" w:eastAsia="宋体" w:hAnsi="Arial" w:cs="Arial"/>
                <w:color w:val="000000"/>
                <w:sz w:val="13"/>
                <w:szCs w:val="13"/>
              </w:rPr>
              <w:t>409 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1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B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1BA"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1BB" w14:textId="77777777" w:rsidR="00E836FB" w:rsidRDefault="00994958">
            <w:pPr>
              <w:jc w:val="right"/>
              <w:textAlignment w:val="bottom"/>
            </w:pPr>
            <w:r>
              <w:rPr>
                <w:rFonts w:ascii="Arial" w:eastAsia="宋体" w:hAnsi="Arial" w:cs="Arial"/>
                <w:color w:val="000000"/>
                <w:sz w:val="13"/>
                <w:szCs w:val="13"/>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1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B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1BE"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1BF" w14:textId="77777777" w:rsidR="00E836FB" w:rsidRDefault="00994958">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1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C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1C2"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1C3" w14:textId="77777777" w:rsidR="00E836FB" w:rsidRDefault="00994958">
            <w:pPr>
              <w:jc w:val="right"/>
              <w:textAlignment w:val="bottom"/>
            </w:pPr>
            <w:r>
              <w:rPr>
                <w:rFonts w:ascii="Arial" w:eastAsia="宋体" w:hAnsi="Arial" w:cs="Arial"/>
                <w:color w:val="000000"/>
                <w:sz w:val="13"/>
                <w:szCs w:val="13"/>
              </w:rPr>
              <w:t>(187)</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1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C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1C6"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1C7" w14:textId="77777777" w:rsidR="00E836FB" w:rsidRDefault="00994958">
            <w:pPr>
              <w:jc w:val="right"/>
              <w:textAlignment w:val="bottom"/>
            </w:pPr>
            <w:r>
              <w:rPr>
                <w:rFonts w:ascii="Arial" w:eastAsia="宋体" w:hAnsi="Arial" w:cs="Arial"/>
                <w:color w:val="000000"/>
                <w:sz w:val="13"/>
                <w:szCs w:val="13"/>
              </w:rPr>
              <w:t>(1,072)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1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C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1CA"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1CB" w14:textId="77777777" w:rsidR="00E836FB" w:rsidRDefault="00994958">
            <w:pPr>
              <w:jc w:val="right"/>
              <w:textAlignment w:val="bottom"/>
            </w:pPr>
            <w:r>
              <w:rPr>
                <w:rFonts w:ascii="Arial" w:eastAsia="宋体" w:hAnsi="Arial" w:cs="Arial"/>
                <w:color w:val="000000"/>
                <w:sz w:val="13"/>
                <w:szCs w:val="13"/>
              </w:rPr>
              <w:t>(876)</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1CC" w14:textId="77777777" w:rsidR="00E836FB" w:rsidRDefault="00E836FB">
            <w:pPr>
              <w:jc w:val="right"/>
              <w:rPr>
                <w:rFonts w:ascii="宋体"/>
              </w:rPr>
            </w:pPr>
          </w:p>
        </w:tc>
      </w:tr>
      <w:tr w:rsidR="00E836FB" w14:paraId="5F2D41E3" w14:textId="77777777">
        <w:tc>
          <w:tcPr>
            <w:tcW w:w="0" w:type="auto"/>
            <w:gridSpan w:val="3"/>
            <w:shd w:val="clear" w:color="auto" w:fill="FFFFFF"/>
            <w:tcMar>
              <w:top w:w="40" w:type="dxa"/>
              <w:left w:w="20" w:type="dxa"/>
              <w:bottom w:w="40" w:type="dxa"/>
              <w:right w:w="20" w:type="dxa"/>
            </w:tcMar>
            <w:vAlign w:val="bottom"/>
          </w:tcPr>
          <w:p w14:paraId="5F2D41CE" w14:textId="77777777" w:rsidR="00E836FB" w:rsidRDefault="00994958">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F2D41CF" w14:textId="77777777" w:rsidR="00E836FB" w:rsidRDefault="00994958">
            <w:pPr>
              <w:jc w:val="right"/>
              <w:textAlignment w:val="bottom"/>
            </w:pPr>
            <w:r>
              <w:rPr>
                <w:rFonts w:ascii="Arial" w:eastAsia="宋体" w:hAnsi="Arial" w:cs="Arial"/>
                <w:color w:val="000000"/>
                <w:sz w:val="13"/>
                <w:szCs w:val="13"/>
              </w:rPr>
              <w:t>179 </w:t>
            </w:r>
          </w:p>
        </w:tc>
        <w:tc>
          <w:tcPr>
            <w:tcW w:w="0" w:type="auto"/>
            <w:shd w:val="clear" w:color="auto" w:fill="FFFFFF"/>
            <w:tcMar>
              <w:top w:w="40" w:type="dxa"/>
              <w:left w:w="0" w:type="dxa"/>
              <w:bottom w:w="40" w:type="dxa"/>
              <w:right w:w="20" w:type="dxa"/>
            </w:tcMar>
            <w:vAlign w:val="bottom"/>
          </w:tcPr>
          <w:p w14:paraId="5F2D41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D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D2" w14:textId="77777777" w:rsidR="00E836FB" w:rsidRDefault="00994958">
            <w:pPr>
              <w:jc w:val="right"/>
              <w:textAlignment w:val="bottom"/>
            </w:pPr>
            <w:r>
              <w:rPr>
                <w:rFonts w:ascii="Arial" w:eastAsia="宋体" w:hAnsi="Arial" w:cs="Arial"/>
                <w:color w:val="000000"/>
                <w:sz w:val="13"/>
                <w:szCs w:val="13"/>
              </w:rPr>
              <w:t>439 </w:t>
            </w:r>
          </w:p>
        </w:tc>
        <w:tc>
          <w:tcPr>
            <w:tcW w:w="0" w:type="auto"/>
            <w:shd w:val="clear" w:color="auto" w:fill="FFFFFF"/>
            <w:tcMar>
              <w:top w:w="40" w:type="dxa"/>
              <w:left w:w="0" w:type="dxa"/>
              <w:bottom w:w="40" w:type="dxa"/>
              <w:right w:w="20" w:type="dxa"/>
            </w:tcMar>
            <w:vAlign w:val="bottom"/>
          </w:tcPr>
          <w:p w14:paraId="5F2D41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D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D5" w14:textId="77777777" w:rsidR="00E836FB" w:rsidRDefault="00994958">
            <w:pPr>
              <w:jc w:val="right"/>
              <w:textAlignment w:val="bottom"/>
            </w:pPr>
            <w:r>
              <w:rPr>
                <w:rFonts w:ascii="Arial" w:eastAsia="宋体" w:hAnsi="Arial" w:cs="Arial"/>
                <w:color w:val="000000"/>
                <w:sz w:val="13"/>
                <w:szCs w:val="13"/>
              </w:rPr>
              <w:t>(250)</w:t>
            </w:r>
          </w:p>
        </w:tc>
        <w:tc>
          <w:tcPr>
            <w:tcW w:w="0" w:type="auto"/>
            <w:shd w:val="clear" w:color="auto" w:fill="FFFFFF"/>
            <w:tcMar>
              <w:top w:w="40" w:type="dxa"/>
              <w:left w:w="0" w:type="dxa"/>
              <w:bottom w:w="40" w:type="dxa"/>
              <w:right w:w="20" w:type="dxa"/>
            </w:tcMar>
            <w:vAlign w:val="bottom"/>
          </w:tcPr>
          <w:p w14:paraId="5F2D41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D8"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1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D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DB"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1D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D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DE" w14:textId="77777777" w:rsidR="00E836FB" w:rsidRDefault="00994958">
            <w:pPr>
              <w:jc w:val="right"/>
              <w:textAlignment w:val="bottom"/>
            </w:pPr>
            <w:r>
              <w:rPr>
                <w:rFonts w:ascii="Arial" w:eastAsia="宋体" w:hAnsi="Arial" w:cs="Arial"/>
                <w:color w:val="000000"/>
                <w:sz w:val="13"/>
                <w:szCs w:val="13"/>
              </w:rPr>
              <w:t>738 </w:t>
            </w:r>
          </w:p>
        </w:tc>
        <w:tc>
          <w:tcPr>
            <w:tcW w:w="0" w:type="auto"/>
            <w:shd w:val="clear" w:color="auto" w:fill="FFFFFF"/>
            <w:tcMar>
              <w:top w:w="40" w:type="dxa"/>
              <w:left w:w="0" w:type="dxa"/>
              <w:bottom w:w="40" w:type="dxa"/>
              <w:right w:w="20" w:type="dxa"/>
            </w:tcMar>
            <w:vAlign w:val="bottom"/>
          </w:tcPr>
          <w:p w14:paraId="5F2D41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1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1E1" w14:textId="77777777" w:rsidR="00E836FB" w:rsidRDefault="00994958">
            <w:pPr>
              <w:jc w:val="right"/>
              <w:textAlignment w:val="bottom"/>
            </w:pPr>
            <w:r>
              <w:rPr>
                <w:rFonts w:ascii="Arial" w:eastAsia="宋体" w:hAnsi="Arial" w:cs="Arial"/>
                <w:color w:val="000000"/>
                <w:sz w:val="13"/>
                <w:szCs w:val="13"/>
              </w:rPr>
              <w:t>1,106 </w:t>
            </w:r>
          </w:p>
        </w:tc>
        <w:tc>
          <w:tcPr>
            <w:tcW w:w="0" w:type="auto"/>
            <w:shd w:val="clear" w:color="auto" w:fill="FFFFFF"/>
            <w:tcMar>
              <w:top w:w="40" w:type="dxa"/>
              <w:left w:w="0" w:type="dxa"/>
              <w:bottom w:w="40" w:type="dxa"/>
              <w:right w:w="20" w:type="dxa"/>
            </w:tcMar>
            <w:vAlign w:val="bottom"/>
          </w:tcPr>
          <w:p w14:paraId="5F2D41E2" w14:textId="77777777" w:rsidR="00E836FB" w:rsidRDefault="00E836FB">
            <w:pPr>
              <w:jc w:val="right"/>
              <w:rPr>
                <w:rFonts w:ascii="宋体"/>
              </w:rPr>
            </w:pPr>
          </w:p>
        </w:tc>
      </w:tr>
      <w:tr w:rsidR="00E836FB" w14:paraId="5F2D41F2" w14:textId="77777777">
        <w:trPr>
          <w:hidden/>
        </w:trPr>
        <w:tc>
          <w:tcPr>
            <w:tcW w:w="0" w:type="auto"/>
            <w:gridSpan w:val="3"/>
            <w:shd w:val="clear" w:color="auto" w:fill="auto"/>
            <w:vAlign w:val="bottom"/>
          </w:tcPr>
          <w:p w14:paraId="5F2D41E4" w14:textId="77777777" w:rsidR="00E836FB" w:rsidRDefault="00E836FB">
            <w:pPr>
              <w:rPr>
                <w:rFonts w:ascii="宋体"/>
                <w:vanish/>
              </w:rPr>
            </w:pPr>
          </w:p>
        </w:tc>
        <w:tc>
          <w:tcPr>
            <w:tcW w:w="0" w:type="auto"/>
            <w:gridSpan w:val="3"/>
            <w:shd w:val="clear" w:color="auto" w:fill="auto"/>
            <w:vAlign w:val="bottom"/>
          </w:tcPr>
          <w:p w14:paraId="5F2D41E5" w14:textId="77777777" w:rsidR="00E836FB" w:rsidRDefault="00E836FB">
            <w:pPr>
              <w:rPr>
                <w:rFonts w:ascii="宋体"/>
                <w:vanish/>
              </w:rPr>
            </w:pPr>
          </w:p>
        </w:tc>
        <w:tc>
          <w:tcPr>
            <w:tcW w:w="0" w:type="auto"/>
            <w:gridSpan w:val="3"/>
            <w:shd w:val="clear" w:color="auto" w:fill="auto"/>
            <w:vAlign w:val="bottom"/>
          </w:tcPr>
          <w:p w14:paraId="5F2D41E6" w14:textId="77777777" w:rsidR="00E836FB" w:rsidRDefault="00E836FB">
            <w:pPr>
              <w:rPr>
                <w:rFonts w:ascii="宋体"/>
                <w:vanish/>
              </w:rPr>
            </w:pPr>
          </w:p>
        </w:tc>
        <w:tc>
          <w:tcPr>
            <w:tcW w:w="0" w:type="auto"/>
            <w:gridSpan w:val="3"/>
            <w:shd w:val="clear" w:color="auto" w:fill="auto"/>
            <w:vAlign w:val="bottom"/>
          </w:tcPr>
          <w:p w14:paraId="5F2D41E7" w14:textId="77777777" w:rsidR="00E836FB" w:rsidRDefault="00E836FB">
            <w:pPr>
              <w:rPr>
                <w:rFonts w:ascii="宋体"/>
                <w:vanish/>
              </w:rPr>
            </w:pPr>
          </w:p>
        </w:tc>
        <w:tc>
          <w:tcPr>
            <w:tcW w:w="0" w:type="auto"/>
            <w:gridSpan w:val="3"/>
            <w:shd w:val="clear" w:color="auto" w:fill="auto"/>
            <w:vAlign w:val="bottom"/>
          </w:tcPr>
          <w:p w14:paraId="5F2D41E8" w14:textId="77777777" w:rsidR="00E836FB" w:rsidRDefault="00E836FB">
            <w:pPr>
              <w:rPr>
                <w:rFonts w:ascii="宋体"/>
                <w:vanish/>
              </w:rPr>
            </w:pPr>
          </w:p>
        </w:tc>
        <w:tc>
          <w:tcPr>
            <w:tcW w:w="0" w:type="auto"/>
            <w:gridSpan w:val="3"/>
            <w:shd w:val="clear" w:color="auto" w:fill="auto"/>
            <w:vAlign w:val="bottom"/>
          </w:tcPr>
          <w:p w14:paraId="5F2D41E9" w14:textId="77777777" w:rsidR="00E836FB" w:rsidRDefault="00E836FB">
            <w:pPr>
              <w:rPr>
                <w:rFonts w:ascii="宋体"/>
                <w:vanish/>
              </w:rPr>
            </w:pPr>
          </w:p>
        </w:tc>
        <w:tc>
          <w:tcPr>
            <w:tcW w:w="0" w:type="auto"/>
            <w:gridSpan w:val="3"/>
            <w:shd w:val="clear" w:color="auto" w:fill="auto"/>
            <w:vAlign w:val="bottom"/>
          </w:tcPr>
          <w:p w14:paraId="5F2D41EA" w14:textId="77777777" w:rsidR="00E836FB" w:rsidRDefault="00E836FB">
            <w:pPr>
              <w:rPr>
                <w:rFonts w:ascii="宋体"/>
                <w:vanish/>
              </w:rPr>
            </w:pPr>
          </w:p>
        </w:tc>
        <w:tc>
          <w:tcPr>
            <w:tcW w:w="0" w:type="auto"/>
            <w:gridSpan w:val="3"/>
            <w:shd w:val="clear" w:color="auto" w:fill="auto"/>
            <w:vAlign w:val="bottom"/>
          </w:tcPr>
          <w:p w14:paraId="5F2D41EB" w14:textId="77777777" w:rsidR="00E836FB" w:rsidRDefault="00E836FB">
            <w:pPr>
              <w:rPr>
                <w:rFonts w:ascii="宋体"/>
                <w:vanish/>
              </w:rPr>
            </w:pPr>
          </w:p>
        </w:tc>
        <w:tc>
          <w:tcPr>
            <w:tcW w:w="0" w:type="auto"/>
            <w:gridSpan w:val="3"/>
            <w:shd w:val="clear" w:color="auto" w:fill="auto"/>
            <w:vAlign w:val="bottom"/>
          </w:tcPr>
          <w:p w14:paraId="5F2D41EC" w14:textId="77777777" w:rsidR="00E836FB" w:rsidRDefault="00E836FB">
            <w:pPr>
              <w:rPr>
                <w:rFonts w:ascii="宋体"/>
                <w:vanish/>
              </w:rPr>
            </w:pPr>
          </w:p>
        </w:tc>
        <w:tc>
          <w:tcPr>
            <w:tcW w:w="0" w:type="auto"/>
            <w:gridSpan w:val="3"/>
            <w:shd w:val="clear" w:color="auto" w:fill="auto"/>
            <w:vAlign w:val="bottom"/>
          </w:tcPr>
          <w:p w14:paraId="5F2D41ED" w14:textId="77777777" w:rsidR="00E836FB" w:rsidRDefault="00E836FB">
            <w:pPr>
              <w:rPr>
                <w:rFonts w:ascii="宋体"/>
                <w:vanish/>
              </w:rPr>
            </w:pPr>
          </w:p>
        </w:tc>
        <w:tc>
          <w:tcPr>
            <w:tcW w:w="0" w:type="auto"/>
            <w:gridSpan w:val="3"/>
            <w:shd w:val="clear" w:color="auto" w:fill="auto"/>
            <w:vAlign w:val="bottom"/>
          </w:tcPr>
          <w:p w14:paraId="5F2D41EE" w14:textId="77777777" w:rsidR="00E836FB" w:rsidRDefault="00E836FB">
            <w:pPr>
              <w:rPr>
                <w:rFonts w:ascii="宋体"/>
                <w:vanish/>
              </w:rPr>
            </w:pPr>
          </w:p>
        </w:tc>
        <w:tc>
          <w:tcPr>
            <w:tcW w:w="0" w:type="auto"/>
            <w:gridSpan w:val="3"/>
            <w:shd w:val="clear" w:color="auto" w:fill="auto"/>
            <w:vAlign w:val="bottom"/>
          </w:tcPr>
          <w:p w14:paraId="5F2D41EF" w14:textId="77777777" w:rsidR="00E836FB" w:rsidRDefault="00E836FB">
            <w:pPr>
              <w:rPr>
                <w:rFonts w:ascii="宋体"/>
                <w:vanish/>
              </w:rPr>
            </w:pPr>
          </w:p>
        </w:tc>
        <w:tc>
          <w:tcPr>
            <w:tcW w:w="0" w:type="auto"/>
            <w:gridSpan w:val="3"/>
            <w:shd w:val="clear" w:color="auto" w:fill="auto"/>
            <w:vAlign w:val="bottom"/>
          </w:tcPr>
          <w:p w14:paraId="5F2D41F0" w14:textId="77777777" w:rsidR="00E836FB" w:rsidRDefault="00E836FB">
            <w:pPr>
              <w:rPr>
                <w:rFonts w:ascii="宋体"/>
                <w:vanish/>
              </w:rPr>
            </w:pPr>
          </w:p>
        </w:tc>
        <w:tc>
          <w:tcPr>
            <w:tcW w:w="0" w:type="auto"/>
            <w:gridSpan w:val="3"/>
            <w:shd w:val="clear" w:color="auto" w:fill="auto"/>
            <w:vAlign w:val="bottom"/>
          </w:tcPr>
          <w:p w14:paraId="5F2D41F1" w14:textId="77777777" w:rsidR="00E836FB" w:rsidRDefault="00E836FB">
            <w:pPr>
              <w:rPr>
                <w:rFonts w:ascii="宋体"/>
                <w:vanish/>
              </w:rPr>
            </w:pPr>
          </w:p>
        </w:tc>
      </w:tr>
      <w:tr w:rsidR="00E836FB" w14:paraId="5F2D4208" w14:textId="77777777">
        <w:tc>
          <w:tcPr>
            <w:tcW w:w="0" w:type="auto"/>
            <w:gridSpan w:val="3"/>
            <w:shd w:val="clear" w:color="auto" w:fill="CCEEFF"/>
            <w:tcMar>
              <w:top w:w="40" w:type="dxa"/>
              <w:left w:w="20" w:type="dxa"/>
              <w:bottom w:w="40" w:type="dxa"/>
              <w:right w:w="20" w:type="dxa"/>
            </w:tcMar>
            <w:vAlign w:val="bottom"/>
          </w:tcPr>
          <w:p w14:paraId="5F2D41F3" w14:textId="77777777" w:rsidR="00E836FB" w:rsidRDefault="00994958">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5F2D41F4" w14:textId="77777777" w:rsidR="00E836FB" w:rsidRDefault="00994958">
            <w:pPr>
              <w:jc w:val="right"/>
              <w:textAlignment w:val="bottom"/>
            </w:pPr>
            <w:r>
              <w:rPr>
                <w:rFonts w:ascii="Arial" w:eastAsia="宋体" w:hAnsi="Arial" w:cs="Arial"/>
                <w:color w:val="000000"/>
                <w:sz w:val="13"/>
                <w:szCs w:val="13"/>
              </w:rPr>
              <w:t>(52)</w:t>
            </w:r>
          </w:p>
        </w:tc>
        <w:tc>
          <w:tcPr>
            <w:tcW w:w="0" w:type="auto"/>
            <w:shd w:val="clear" w:color="auto" w:fill="CCEEFF"/>
            <w:tcMar>
              <w:top w:w="40" w:type="dxa"/>
              <w:left w:w="0" w:type="dxa"/>
              <w:bottom w:w="40" w:type="dxa"/>
              <w:right w:w="20" w:type="dxa"/>
            </w:tcMar>
            <w:vAlign w:val="bottom"/>
          </w:tcPr>
          <w:p w14:paraId="5F2D41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F7"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1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FA"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1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F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1FD"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1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1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00" w14:textId="77777777" w:rsidR="00E836FB" w:rsidRDefault="00994958">
            <w:pPr>
              <w:jc w:val="right"/>
              <w:textAlignment w:val="bottom"/>
            </w:pPr>
            <w:r>
              <w:rPr>
                <w:rFonts w:ascii="Arial" w:eastAsia="宋体" w:hAnsi="Arial" w:cs="Arial"/>
                <w:color w:val="000000"/>
                <w:sz w:val="13"/>
                <w:szCs w:val="13"/>
              </w:rPr>
              <w:t>9 </w:t>
            </w:r>
          </w:p>
        </w:tc>
        <w:tc>
          <w:tcPr>
            <w:tcW w:w="0" w:type="auto"/>
            <w:shd w:val="clear" w:color="auto" w:fill="CCEEFF"/>
            <w:tcMar>
              <w:top w:w="40" w:type="dxa"/>
              <w:left w:w="0" w:type="dxa"/>
              <w:bottom w:w="40" w:type="dxa"/>
              <w:right w:w="20" w:type="dxa"/>
            </w:tcMar>
            <w:vAlign w:val="bottom"/>
          </w:tcPr>
          <w:p w14:paraId="5F2D420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0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03"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2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0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06" w14:textId="77777777" w:rsidR="00E836FB" w:rsidRDefault="00994958">
            <w:pPr>
              <w:jc w:val="right"/>
              <w:textAlignment w:val="bottom"/>
            </w:pPr>
            <w:r>
              <w:rPr>
                <w:rFonts w:ascii="Arial" w:eastAsia="宋体" w:hAnsi="Arial" w:cs="Arial"/>
                <w:color w:val="000000"/>
                <w:sz w:val="13"/>
                <w:szCs w:val="13"/>
              </w:rPr>
              <w:t>(43)</w:t>
            </w:r>
          </w:p>
        </w:tc>
        <w:tc>
          <w:tcPr>
            <w:tcW w:w="0" w:type="auto"/>
            <w:shd w:val="clear" w:color="auto" w:fill="CCEEFF"/>
            <w:tcMar>
              <w:top w:w="40" w:type="dxa"/>
              <w:left w:w="0" w:type="dxa"/>
              <w:bottom w:w="40" w:type="dxa"/>
              <w:right w:w="20" w:type="dxa"/>
            </w:tcMar>
            <w:vAlign w:val="bottom"/>
          </w:tcPr>
          <w:p w14:paraId="5F2D4207" w14:textId="77777777" w:rsidR="00E836FB" w:rsidRDefault="00E836FB">
            <w:pPr>
              <w:jc w:val="right"/>
              <w:rPr>
                <w:rFonts w:ascii="宋体"/>
              </w:rPr>
            </w:pPr>
          </w:p>
        </w:tc>
      </w:tr>
      <w:tr w:rsidR="00E836FB" w14:paraId="5F2D421E" w14:textId="77777777">
        <w:tc>
          <w:tcPr>
            <w:tcW w:w="0" w:type="auto"/>
            <w:gridSpan w:val="3"/>
            <w:shd w:val="clear" w:color="auto" w:fill="FFFFFF"/>
            <w:tcMar>
              <w:top w:w="40" w:type="dxa"/>
              <w:left w:w="20" w:type="dxa"/>
              <w:bottom w:w="40" w:type="dxa"/>
              <w:right w:w="20" w:type="dxa"/>
            </w:tcMar>
            <w:vAlign w:val="bottom"/>
          </w:tcPr>
          <w:p w14:paraId="5F2D4209" w14:textId="77777777" w:rsidR="00E836FB" w:rsidRDefault="00994958">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0A" w14:textId="77777777" w:rsidR="00E836FB" w:rsidRDefault="00994958">
            <w:pPr>
              <w:jc w:val="right"/>
              <w:textAlignment w:val="bottom"/>
            </w:pPr>
            <w:r>
              <w:rPr>
                <w:rFonts w:ascii="Arial" w:eastAsia="宋体" w:hAnsi="Arial" w:cs="Arial"/>
                <w:color w:val="000000"/>
                <w:sz w:val="13"/>
                <w:szCs w:val="13"/>
              </w:rPr>
              <w:t>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0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0D" w14:textId="77777777" w:rsidR="00E836FB" w:rsidRDefault="00994958">
            <w:pPr>
              <w:jc w:val="right"/>
              <w:textAlignment w:val="bottom"/>
            </w:pPr>
            <w:r>
              <w:rPr>
                <w:rFonts w:ascii="Arial" w:eastAsia="宋体" w:hAnsi="Arial" w:cs="Arial"/>
                <w:color w:val="000000"/>
                <w:sz w:val="13"/>
                <w:szCs w:val="13"/>
              </w:rPr>
              <w:t>439 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0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0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10" w14:textId="77777777" w:rsidR="00E836FB" w:rsidRDefault="00994958">
            <w:pPr>
              <w:jc w:val="right"/>
              <w:textAlignment w:val="bottom"/>
            </w:pPr>
            <w:r>
              <w:rPr>
                <w:rFonts w:ascii="Arial" w:eastAsia="宋体" w:hAnsi="Arial" w:cs="Arial"/>
                <w:color w:val="000000"/>
                <w:sz w:val="13"/>
                <w:szCs w:val="13"/>
              </w:rPr>
              <w:t>(250)</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1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1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13"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1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1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16" w14:textId="77777777" w:rsidR="00E836FB" w:rsidRDefault="00994958">
            <w:pPr>
              <w:jc w:val="right"/>
              <w:textAlignment w:val="bottom"/>
            </w:pPr>
            <w:r>
              <w:rPr>
                <w:rFonts w:ascii="Arial" w:eastAsia="宋体" w:hAnsi="Arial" w:cs="Arial"/>
                <w:color w:val="000000"/>
                <w:sz w:val="13"/>
                <w:szCs w:val="13"/>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1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1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19" w14:textId="77777777" w:rsidR="00E836FB" w:rsidRDefault="00994958">
            <w:pPr>
              <w:jc w:val="right"/>
              <w:textAlignment w:val="bottom"/>
            </w:pPr>
            <w:r>
              <w:rPr>
                <w:rFonts w:ascii="Arial" w:eastAsia="宋体" w:hAnsi="Arial" w:cs="Arial"/>
                <w:color w:val="000000"/>
                <w:sz w:val="13"/>
                <w:szCs w:val="13"/>
              </w:rPr>
              <w:t>738 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1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1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1C" w14:textId="77777777" w:rsidR="00E836FB" w:rsidRDefault="00994958">
            <w:pPr>
              <w:jc w:val="right"/>
              <w:textAlignment w:val="bottom"/>
            </w:pPr>
            <w:r>
              <w:rPr>
                <w:rFonts w:ascii="Arial" w:eastAsia="宋体" w:hAnsi="Arial" w:cs="Arial"/>
                <w:color w:val="000000"/>
                <w:sz w:val="13"/>
                <w:szCs w:val="13"/>
              </w:rPr>
              <w:t>1,063 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1D" w14:textId="77777777" w:rsidR="00E836FB" w:rsidRDefault="00E836FB">
            <w:pPr>
              <w:jc w:val="right"/>
              <w:rPr>
                <w:rFonts w:ascii="宋体"/>
              </w:rPr>
            </w:pPr>
          </w:p>
        </w:tc>
      </w:tr>
      <w:tr w:rsidR="00E836FB" w14:paraId="5F2D423B" w14:textId="77777777">
        <w:tc>
          <w:tcPr>
            <w:tcW w:w="0" w:type="auto"/>
            <w:gridSpan w:val="3"/>
            <w:shd w:val="clear" w:color="auto" w:fill="CCEEFF"/>
            <w:tcMar>
              <w:top w:w="40" w:type="dxa"/>
              <w:left w:w="20" w:type="dxa"/>
              <w:bottom w:w="40" w:type="dxa"/>
              <w:right w:w="20" w:type="dxa"/>
            </w:tcMar>
            <w:vAlign w:val="bottom"/>
          </w:tcPr>
          <w:p w14:paraId="5F2D421F" w14:textId="77777777" w:rsidR="00E836FB" w:rsidRDefault="00994958">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4220"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221" w14:textId="77777777" w:rsidR="00E836FB" w:rsidRDefault="00994958">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2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2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224"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225" w14:textId="77777777" w:rsidR="00E836FB" w:rsidRDefault="00994958">
            <w:pPr>
              <w:jc w:val="right"/>
              <w:textAlignment w:val="bottom"/>
            </w:pPr>
            <w:r>
              <w:rPr>
                <w:rFonts w:ascii="Arial" w:eastAsia="宋体" w:hAnsi="Arial" w:cs="Arial"/>
                <w:color w:val="000000"/>
                <w:sz w:val="13"/>
                <w:szCs w:val="13"/>
              </w:rPr>
              <w:t>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2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2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228"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229" w14:textId="77777777" w:rsidR="00E836FB" w:rsidRDefault="00994958">
            <w:pPr>
              <w:jc w:val="right"/>
              <w:textAlignment w:val="bottom"/>
            </w:pPr>
            <w:r>
              <w:rPr>
                <w:rFonts w:ascii="Arial" w:eastAsia="宋体" w:hAnsi="Arial" w:cs="Arial"/>
                <w:color w:val="000000"/>
                <w:sz w:val="13"/>
                <w:szCs w:val="13"/>
              </w:rPr>
              <w:t>(204)</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2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2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22C"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22D" w14:textId="77777777" w:rsidR="00E836FB" w:rsidRDefault="00994958">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22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2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230"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231" w14:textId="77777777" w:rsidR="00E836FB" w:rsidRDefault="00994958">
            <w:pPr>
              <w:jc w:val="right"/>
              <w:textAlignment w:val="bottom"/>
            </w:pPr>
            <w:r>
              <w:rPr>
                <w:rFonts w:ascii="Arial" w:eastAsia="宋体" w:hAnsi="Arial" w:cs="Arial"/>
                <w:color w:val="000000"/>
                <w:sz w:val="13"/>
                <w:szCs w:val="13"/>
              </w:rPr>
              <w:t>(178)</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23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3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234"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235" w14:textId="77777777" w:rsidR="00E836FB" w:rsidRDefault="00994958">
            <w:pPr>
              <w:jc w:val="right"/>
              <w:textAlignment w:val="bottom"/>
            </w:pPr>
            <w:r>
              <w:rPr>
                <w:rFonts w:ascii="Arial" w:eastAsia="宋体" w:hAnsi="Arial" w:cs="Arial"/>
                <w:color w:val="000000"/>
                <w:sz w:val="13"/>
                <w:szCs w:val="13"/>
              </w:rPr>
              <w:t>(334)</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2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3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238"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239" w14:textId="77777777" w:rsidR="00E836FB" w:rsidRDefault="00994958">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23A" w14:textId="77777777" w:rsidR="00E836FB" w:rsidRDefault="00E836FB">
            <w:pPr>
              <w:jc w:val="right"/>
              <w:rPr>
                <w:rFonts w:ascii="宋体"/>
              </w:rPr>
            </w:pPr>
          </w:p>
        </w:tc>
      </w:tr>
      <w:tr w:rsidR="00E836FB" w14:paraId="5F2D4251" w14:textId="77777777">
        <w:tc>
          <w:tcPr>
            <w:tcW w:w="0" w:type="auto"/>
            <w:gridSpan w:val="3"/>
            <w:shd w:val="clear" w:color="auto" w:fill="FFFFFF"/>
            <w:tcMar>
              <w:top w:w="40" w:type="dxa"/>
              <w:left w:w="20" w:type="dxa"/>
              <w:bottom w:w="40" w:type="dxa"/>
              <w:right w:w="20" w:type="dxa"/>
            </w:tcMar>
            <w:vAlign w:val="bottom"/>
          </w:tcPr>
          <w:p w14:paraId="5F2D423C" w14:textId="77777777" w:rsidR="00E836FB" w:rsidRDefault="00994958">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F2D423D" w14:textId="77777777" w:rsidR="00E836FB" w:rsidRDefault="00994958">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23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3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240" w14:textId="77777777" w:rsidR="00E836FB" w:rsidRDefault="00994958">
            <w:pPr>
              <w:jc w:val="right"/>
              <w:textAlignment w:val="bottom"/>
            </w:pPr>
            <w:r>
              <w:rPr>
                <w:rFonts w:ascii="Arial" w:eastAsia="宋体" w:hAnsi="Arial" w:cs="Arial"/>
                <w:b/>
                <w:bCs/>
                <w:color w:val="000000"/>
                <w:sz w:val="13"/>
                <w:szCs w:val="13"/>
              </w:rPr>
              <w:t>(854)</w:t>
            </w:r>
          </w:p>
        </w:tc>
        <w:tc>
          <w:tcPr>
            <w:tcW w:w="0" w:type="auto"/>
            <w:shd w:val="clear" w:color="auto" w:fill="FFFFFF"/>
            <w:tcMar>
              <w:top w:w="40" w:type="dxa"/>
              <w:left w:w="0" w:type="dxa"/>
              <w:bottom w:w="40" w:type="dxa"/>
              <w:right w:w="20" w:type="dxa"/>
            </w:tcMar>
            <w:vAlign w:val="bottom"/>
          </w:tcPr>
          <w:p w14:paraId="5F2D424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4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243" w14:textId="77777777" w:rsidR="00E836FB" w:rsidRDefault="00994958">
            <w:pPr>
              <w:jc w:val="right"/>
              <w:textAlignment w:val="bottom"/>
            </w:pPr>
            <w:r>
              <w:rPr>
                <w:rFonts w:ascii="Arial" w:eastAsia="宋体" w:hAnsi="Arial" w:cs="Arial"/>
                <w:b/>
                <w:bCs/>
                <w:color w:val="000000"/>
                <w:sz w:val="13"/>
                <w:szCs w:val="13"/>
              </w:rPr>
              <w:t>272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2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246"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24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4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249" w14:textId="77777777" w:rsidR="00E836FB" w:rsidRDefault="00994958">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24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4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24C" w14:textId="77777777" w:rsidR="00E836FB" w:rsidRDefault="00994958">
            <w:pPr>
              <w:jc w:val="right"/>
              <w:textAlignment w:val="bottom"/>
            </w:pPr>
            <w:r>
              <w:rPr>
                <w:rFonts w:ascii="Arial" w:eastAsia="宋体" w:hAnsi="Arial" w:cs="Arial"/>
                <w:b/>
                <w:bCs/>
                <w:color w:val="000000"/>
                <w:sz w:val="13"/>
                <w:szCs w:val="13"/>
              </w:rPr>
              <w:t>(685)</w:t>
            </w:r>
          </w:p>
        </w:tc>
        <w:tc>
          <w:tcPr>
            <w:tcW w:w="0" w:type="auto"/>
            <w:shd w:val="clear" w:color="auto" w:fill="FFFFFF"/>
            <w:tcMar>
              <w:top w:w="40" w:type="dxa"/>
              <w:left w:w="0" w:type="dxa"/>
              <w:bottom w:w="40" w:type="dxa"/>
              <w:right w:w="20" w:type="dxa"/>
            </w:tcMar>
            <w:vAlign w:val="bottom"/>
          </w:tcPr>
          <w:p w14:paraId="5F2D42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4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24F" w14:textId="77777777" w:rsidR="00E836FB" w:rsidRDefault="00994958">
            <w:pPr>
              <w:jc w:val="right"/>
              <w:textAlignment w:val="bottom"/>
            </w:pPr>
            <w:r>
              <w:rPr>
                <w:rFonts w:ascii="Arial" w:eastAsia="宋体" w:hAnsi="Arial" w:cs="Arial"/>
                <w:b/>
                <w:bCs/>
                <w:color w:val="000000"/>
                <w:sz w:val="13"/>
                <w:szCs w:val="13"/>
              </w:rPr>
              <w:t>(1,255)</w:t>
            </w:r>
          </w:p>
        </w:tc>
        <w:tc>
          <w:tcPr>
            <w:tcW w:w="0" w:type="auto"/>
            <w:shd w:val="clear" w:color="auto" w:fill="FFFFFF"/>
            <w:tcMar>
              <w:top w:w="40" w:type="dxa"/>
              <w:left w:w="0" w:type="dxa"/>
              <w:bottom w:w="40" w:type="dxa"/>
              <w:right w:w="20" w:type="dxa"/>
            </w:tcMar>
            <w:vAlign w:val="bottom"/>
          </w:tcPr>
          <w:p w14:paraId="5F2D4250" w14:textId="77777777" w:rsidR="00E836FB" w:rsidRDefault="00E836FB">
            <w:pPr>
              <w:jc w:val="right"/>
              <w:rPr>
                <w:rFonts w:ascii="宋体"/>
              </w:rPr>
            </w:pPr>
          </w:p>
        </w:tc>
      </w:tr>
      <w:tr w:rsidR="00E836FB" w14:paraId="5F2D4260" w14:textId="77777777">
        <w:trPr>
          <w:hidden/>
        </w:trPr>
        <w:tc>
          <w:tcPr>
            <w:tcW w:w="0" w:type="auto"/>
            <w:gridSpan w:val="3"/>
            <w:shd w:val="clear" w:color="auto" w:fill="auto"/>
            <w:vAlign w:val="bottom"/>
          </w:tcPr>
          <w:p w14:paraId="5F2D4252" w14:textId="77777777" w:rsidR="00E836FB" w:rsidRDefault="00E836FB">
            <w:pPr>
              <w:rPr>
                <w:rFonts w:ascii="宋体"/>
                <w:vanish/>
              </w:rPr>
            </w:pPr>
          </w:p>
        </w:tc>
        <w:tc>
          <w:tcPr>
            <w:tcW w:w="0" w:type="auto"/>
            <w:gridSpan w:val="3"/>
            <w:shd w:val="clear" w:color="auto" w:fill="auto"/>
            <w:vAlign w:val="bottom"/>
          </w:tcPr>
          <w:p w14:paraId="5F2D4253" w14:textId="77777777" w:rsidR="00E836FB" w:rsidRDefault="00E836FB">
            <w:pPr>
              <w:rPr>
                <w:rFonts w:ascii="宋体"/>
                <w:vanish/>
              </w:rPr>
            </w:pPr>
          </w:p>
        </w:tc>
        <w:tc>
          <w:tcPr>
            <w:tcW w:w="0" w:type="auto"/>
            <w:gridSpan w:val="3"/>
            <w:shd w:val="clear" w:color="auto" w:fill="auto"/>
            <w:vAlign w:val="bottom"/>
          </w:tcPr>
          <w:p w14:paraId="5F2D4254" w14:textId="77777777" w:rsidR="00E836FB" w:rsidRDefault="00E836FB">
            <w:pPr>
              <w:rPr>
                <w:rFonts w:ascii="宋体"/>
                <w:vanish/>
              </w:rPr>
            </w:pPr>
          </w:p>
        </w:tc>
        <w:tc>
          <w:tcPr>
            <w:tcW w:w="0" w:type="auto"/>
            <w:gridSpan w:val="3"/>
            <w:shd w:val="clear" w:color="auto" w:fill="auto"/>
            <w:vAlign w:val="bottom"/>
          </w:tcPr>
          <w:p w14:paraId="5F2D4255" w14:textId="77777777" w:rsidR="00E836FB" w:rsidRDefault="00E836FB">
            <w:pPr>
              <w:rPr>
                <w:rFonts w:ascii="宋体"/>
                <w:vanish/>
              </w:rPr>
            </w:pPr>
          </w:p>
        </w:tc>
        <w:tc>
          <w:tcPr>
            <w:tcW w:w="0" w:type="auto"/>
            <w:gridSpan w:val="3"/>
            <w:shd w:val="clear" w:color="auto" w:fill="auto"/>
            <w:vAlign w:val="bottom"/>
          </w:tcPr>
          <w:p w14:paraId="5F2D4256" w14:textId="77777777" w:rsidR="00E836FB" w:rsidRDefault="00E836FB">
            <w:pPr>
              <w:rPr>
                <w:rFonts w:ascii="宋体"/>
                <w:vanish/>
              </w:rPr>
            </w:pPr>
          </w:p>
        </w:tc>
        <w:tc>
          <w:tcPr>
            <w:tcW w:w="0" w:type="auto"/>
            <w:gridSpan w:val="3"/>
            <w:shd w:val="clear" w:color="auto" w:fill="auto"/>
            <w:vAlign w:val="bottom"/>
          </w:tcPr>
          <w:p w14:paraId="5F2D4257" w14:textId="77777777" w:rsidR="00E836FB" w:rsidRDefault="00E836FB">
            <w:pPr>
              <w:rPr>
                <w:rFonts w:ascii="宋体"/>
                <w:vanish/>
              </w:rPr>
            </w:pPr>
          </w:p>
        </w:tc>
        <w:tc>
          <w:tcPr>
            <w:tcW w:w="0" w:type="auto"/>
            <w:gridSpan w:val="3"/>
            <w:shd w:val="clear" w:color="auto" w:fill="auto"/>
            <w:vAlign w:val="bottom"/>
          </w:tcPr>
          <w:p w14:paraId="5F2D4258" w14:textId="77777777" w:rsidR="00E836FB" w:rsidRDefault="00E836FB">
            <w:pPr>
              <w:rPr>
                <w:rFonts w:ascii="宋体"/>
                <w:vanish/>
              </w:rPr>
            </w:pPr>
          </w:p>
        </w:tc>
        <w:tc>
          <w:tcPr>
            <w:tcW w:w="0" w:type="auto"/>
            <w:gridSpan w:val="3"/>
            <w:shd w:val="clear" w:color="auto" w:fill="auto"/>
            <w:vAlign w:val="bottom"/>
          </w:tcPr>
          <w:p w14:paraId="5F2D4259" w14:textId="77777777" w:rsidR="00E836FB" w:rsidRDefault="00E836FB">
            <w:pPr>
              <w:rPr>
                <w:rFonts w:ascii="宋体"/>
                <w:vanish/>
              </w:rPr>
            </w:pPr>
          </w:p>
        </w:tc>
        <w:tc>
          <w:tcPr>
            <w:tcW w:w="0" w:type="auto"/>
            <w:gridSpan w:val="3"/>
            <w:shd w:val="clear" w:color="auto" w:fill="auto"/>
            <w:vAlign w:val="bottom"/>
          </w:tcPr>
          <w:p w14:paraId="5F2D425A" w14:textId="77777777" w:rsidR="00E836FB" w:rsidRDefault="00E836FB">
            <w:pPr>
              <w:rPr>
                <w:rFonts w:ascii="宋体"/>
                <w:vanish/>
              </w:rPr>
            </w:pPr>
          </w:p>
        </w:tc>
        <w:tc>
          <w:tcPr>
            <w:tcW w:w="0" w:type="auto"/>
            <w:gridSpan w:val="3"/>
            <w:shd w:val="clear" w:color="auto" w:fill="auto"/>
            <w:vAlign w:val="bottom"/>
          </w:tcPr>
          <w:p w14:paraId="5F2D425B" w14:textId="77777777" w:rsidR="00E836FB" w:rsidRDefault="00E836FB">
            <w:pPr>
              <w:rPr>
                <w:rFonts w:ascii="宋体"/>
                <w:vanish/>
              </w:rPr>
            </w:pPr>
          </w:p>
        </w:tc>
        <w:tc>
          <w:tcPr>
            <w:tcW w:w="0" w:type="auto"/>
            <w:gridSpan w:val="3"/>
            <w:shd w:val="clear" w:color="auto" w:fill="auto"/>
            <w:vAlign w:val="bottom"/>
          </w:tcPr>
          <w:p w14:paraId="5F2D425C" w14:textId="77777777" w:rsidR="00E836FB" w:rsidRDefault="00E836FB">
            <w:pPr>
              <w:rPr>
                <w:rFonts w:ascii="宋体"/>
                <w:vanish/>
              </w:rPr>
            </w:pPr>
          </w:p>
        </w:tc>
        <w:tc>
          <w:tcPr>
            <w:tcW w:w="0" w:type="auto"/>
            <w:gridSpan w:val="3"/>
            <w:shd w:val="clear" w:color="auto" w:fill="auto"/>
            <w:vAlign w:val="bottom"/>
          </w:tcPr>
          <w:p w14:paraId="5F2D425D" w14:textId="77777777" w:rsidR="00E836FB" w:rsidRDefault="00E836FB">
            <w:pPr>
              <w:rPr>
                <w:rFonts w:ascii="宋体"/>
                <w:vanish/>
              </w:rPr>
            </w:pPr>
          </w:p>
        </w:tc>
        <w:tc>
          <w:tcPr>
            <w:tcW w:w="0" w:type="auto"/>
            <w:gridSpan w:val="3"/>
            <w:shd w:val="clear" w:color="auto" w:fill="auto"/>
            <w:vAlign w:val="bottom"/>
          </w:tcPr>
          <w:p w14:paraId="5F2D425E" w14:textId="77777777" w:rsidR="00E836FB" w:rsidRDefault="00E836FB">
            <w:pPr>
              <w:rPr>
                <w:rFonts w:ascii="宋体"/>
                <w:vanish/>
              </w:rPr>
            </w:pPr>
          </w:p>
        </w:tc>
        <w:tc>
          <w:tcPr>
            <w:tcW w:w="0" w:type="auto"/>
            <w:gridSpan w:val="3"/>
            <w:shd w:val="clear" w:color="auto" w:fill="auto"/>
            <w:vAlign w:val="bottom"/>
          </w:tcPr>
          <w:p w14:paraId="5F2D425F" w14:textId="77777777" w:rsidR="00E836FB" w:rsidRDefault="00E836FB">
            <w:pPr>
              <w:rPr>
                <w:rFonts w:ascii="宋体"/>
                <w:vanish/>
              </w:rPr>
            </w:pPr>
          </w:p>
        </w:tc>
      </w:tr>
      <w:tr w:rsidR="00E836FB" w14:paraId="5F2D4276" w14:textId="77777777">
        <w:tc>
          <w:tcPr>
            <w:tcW w:w="0" w:type="auto"/>
            <w:gridSpan w:val="3"/>
            <w:shd w:val="clear" w:color="auto" w:fill="CCEEFF"/>
            <w:tcMar>
              <w:top w:w="40" w:type="dxa"/>
              <w:left w:w="20" w:type="dxa"/>
              <w:bottom w:w="40" w:type="dxa"/>
              <w:right w:w="20" w:type="dxa"/>
            </w:tcMar>
            <w:vAlign w:val="bottom"/>
          </w:tcPr>
          <w:p w14:paraId="5F2D4261" w14:textId="77777777" w:rsidR="00E836FB" w:rsidRDefault="00994958">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5F2D4262" w14:textId="77777777" w:rsidR="00E836FB" w:rsidRDefault="00994958">
            <w:pPr>
              <w:jc w:val="right"/>
              <w:textAlignment w:val="bottom"/>
            </w:pPr>
            <w:r>
              <w:rPr>
                <w:rFonts w:ascii="Arial" w:eastAsia="宋体" w:hAnsi="Arial" w:cs="Arial"/>
                <w:b/>
                <w:bCs/>
                <w:color w:val="000000"/>
                <w:sz w:val="13"/>
                <w:szCs w:val="13"/>
              </w:rPr>
              <w:t>(70)</w:t>
            </w:r>
          </w:p>
        </w:tc>
        <w:tc>
          <w:tcPr>
            <w:tcW w:w="0" w:type="auto"/>
            <w:shd w:val="clear" w:color="auto" w:fill="CCEEFF"/>
            <w:tcMar>
              <w:top w:w="40" w:type="dxa"/>
              <w:left w:w="0" w:type="dxa"/>
              <w:bottom w:w="40" w:type="dxa"/>
              <w:right w:w="20" w:type="dxa"/>
            </w:tcMar>
            <w:vAlign w:val="bottom"/>
          </w:tcPr>
          <w:p w14:paraId="5F2D42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6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65" w14:textId="77777777" w:rsidR="00E836FB" w:rsidRDefault="00994958">
            <w:pPr>
              <w:jc w:val="right"/>
              <w:textAlignment w:val="bottom"/>
            </w:pPr>
            <w:r>
              <w:rPr>
                <w:rFonts w:ascii="Arial" w:eastAsia="宋体" w:hAnsi="Arial" w:cs="Arial"/>
                <w:b/>
                <w:bCs/>
                <w:color w:val="000000"/>
                <w:sz w:val="13"/>
                <w:szCs w:val="13"/>
              </w:rPr>
              <w:t>(42)</w:t>
            </w:r>
          </w:p>
        </w:tc>
        <w:tc>
          <w:tcPr>
            <w:tcW w:w="0" w:type="auto"/>
            <w:shd w:val="clear" w:color="auto" w:fill="CCEEFF"/>
            <w:tcMar>
              <w:top w:w="40" w:type="dxa"/>
              <w:left w:w="0" w:type="dxa"/>
              <w:bottom w:w="40" w:type="dxa"/>
              <w:right w:w="20" w:type="dxa"/>
            </w:tcMar>
            <w:vAlign w:val="bottom"/>
          </w:tcPr>
          <w:p w14:paraId="5F2D42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68"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2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6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6B"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2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6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6E" w14:textId="77777777" w:rsidR="00E836FB" w:rsidRDefault="00994958">
            <w:pPr>
              <w:jc w:val="right"/>
              <w:textAlignment w:val="bottom"/>
            </w:pPr>
            <w:r>
              <w:rPr>
                <w:rFonts w:ascii="Arial" w:eastAsia="宋体" w:hAnsi="Arial" w:cs="Arial"/>
                <w:b/>
                <w:bCs/>
                <w:color w:val="000000"/>
                <w:sz w:val="13"/>
                <w:szCs w:val="13"/>
              </w:rPr>
              <w:t>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2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7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71"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2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7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274" w14:textId="77777777" w:rsidR="00E836FB" w:rsidRDefault="00994958">
            <w:pPr>
              <w:jc w:val="right"/>
              <w:textAlignment w:val="bottom"/>
            </w:pPr>
            <w:r>
              <w:rPr>
                <w:rFonts w:ascii="Arial" w:eastAsia="宋体" w:hAnsi="Arial" w:cs="Arial"/>
                <w:b/>
                <w:bCs/>
                <w:color w:val="000000"/>
                <w:sz w:val="13"/>
                <w:szCs w:val="13"/>
              </w:rPr>
              <w:t>(65)</w:t>
            </w:r>
          </w:p>
        </w:tc>
        <w:tc>
          <w:tcPr>
            <w:tcW w:w="0" w:type="auto"/>
            <w:shd w:val="clear" w:color="auto" w:fill="CCEEFF"/>
            <w:tcMar>
              <w:top w:w="40" w:type="dxa"/>
              <w:left w:w="0" w:type="dxa"/>
              <w:bottom w:w="40" w:type="dxa"/>
              <w:right w:w="20" w:type="dxa"/>
            </w:tcMar>
            <w:vAlign w:val="bottom"/>
          </w:tcPr>
          <w:p w14:paraId="5F2D4275" w14:textId="77777777" w:rsidR="00E836FB" w:rsidRDefault="00E836FB">
            <w:pPr>
              <w:jc w:val="right"/>
              <w:rPr>
                <w:rFonts w:ascii="宋体"/>
              </w:rPr>
            </w:pPr>
          </w:p>
        </w:tc>
      </w:tr>
      <w:tr w:rsidR="00E836FB" w14:paraId="5F2D428C" w14:textId="77777777">
        <w:tc>
          <w:tcPr>
            <w:tcW w:w="0" w:type="auto"/>
            <w:gridSpan w:val="3"/>
            <w:shd w:val="clear" w:color="auto" w:fill="FFFFFF"/>
            <w:tcMar>
              <w:top w:w="40" w:type="dxa"/>
              <w:left w:w="20" w:type="dxa"/>
              <w:bottom w:w="40" w:type="dxa"/>
              <w:right w:w="20" w:type="dxa"/>
            </w:tcMar>
            <w:vAlign w:val="bottom"/>
          </w:tcPr>
          <w:p w14:paraId="5F2D4277" w14:textId="77777777" w:rsidR="00E836FB" w:rsidRDefault="00994958">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78" w14:textId="77777777" w:rsidR="00E836FB" w:rsidRDefault="00994958">
            <w:pPr>
              <w:jc w:val="right"/>
              <w:textAlignment w:val="bottom"/>
            </w:pPr>
            <w:r>
              <w:rPr>
                <w:rFonts w:ascii="Arial" w:eastAsia="宋体" w:hAnsi="Arial" w:cs="Arial"/>
                <w:b/>
                <w:bCs/>
                <w:color w:val="000000"/>
                <w:sz w:val="13"/>
                <w:szCs w:val="13"/>
              </w:rPr>
              <w:t>(59)</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7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7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7B" w14:textId="77777777" w:rsidR="00E836FB" w:rsidRDefault="00994958">
            <w:pPr>
              <w:jc w:val="right"/>
              <w:textAlignment w:val="bottom"/>
            </w:pPr>
            <w:r>
              <w:rPr>
                <w:rFonts w:ascii="Arial" w:eastAsia="宋体" w:hAnsi="Arial" w:cs="Arial"/>
                <w:b/>
                <w:bCs/>
                <w:color w:val="000000"/>
                <w:sz w:val="13"/>
                <w:szCs w:val="13"/>
              </w:rPr>
              <w:t>(896)</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7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7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7E" w14:textId="77777777" w:rsidR="00E836FB" w:rsidRDefault="00994958">
            <w:pPr>
              <w:jc w:val="right"/>
              <w:textAlignment w:val="bottom"/>
            </w:pPr>
            <w:r>
              <w:rPr>
                <w:rFonts w:ascii="Arial" w:eastAsia="宋体" w:hAnsi="Arial" w:cs="Arial"/>
                <w:b/>
                <w:bCs/>
                <w:color w:val="000000"/>
                <w:sz w:val="13"/>
                <w:szCs w:val="13"/>
              </w:rPr>
              <w:t>272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7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8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81"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8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8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84" w14:textId="77777777" w:rsidR="00E836FB" w:rsidRDefault="00994958">
            <w:pPr>
              <w:jc w:val="right"/>
              <w:textAlignment w:val="bottom"/>
            </w:pPr>
            <w:r>
              <w:rPr>
                <w:rFonts w:ascii="Arial" w:eastAsia="宋体" w:hAnsi="Arial" w:cs="Arial"/>
                <w:b/>
                <w:bCs/>
                <w:color w:val="000000"/>
                <w:sz w:val="13"/>
                <w:szCs w:val="13"/>
              </w:rPr>
              <w:t>48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8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8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87" w14:textId="77777777" w:rsidR="00E836FB" w:rsidRDefault="00994958">
            <w:pPr>
              <w:jc w:val="right"/>
              <w:textAlignment w:val="bottom"/>
            </w:pPr>
            <w:r>
              <w:rPr>
                <w:rFonts w:ascii="Arial" w:eastAsia="宋体" w:hAnsi="Arial" w:cs="Arial"/>
                <w:b/>
                <w:bCs/>
                <w:color w:val="000000"/>
                <w:sz w:val="13"/>
                <w:szCs w:val="13"/>
              </w:rPr>
              <w:t>(685)</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28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28A" w14:textId="77777777" w:rsidR="00E836FB" w:rsidRDefault="00994958">
            <w:pPr>
              <w:jc w:val="right"/>
              <w:textAlignment w:val="bottom"/>
            </w:pPr>
            <w:r>
              <w:rPr>
                <w:rFonts w:ascii="Arial" w:eastAsia="宋体" w:hAnsi="Arial" w:cs="Arial"/>
                <w:b/>
                <w:bCs/>
                <w:color w:val="000000"/>
                <w:sz w:val="13"/>
                <w:szCs w:val="13"/>
              </w:rPr>
              <w:t>(1,320)</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28B" w14:textId="77777777" w:rsidR="00E836FB" w:rsidRDefault="00E836FB">
            <w:pPr>
              <w:jc w:val="right"/>
              <w:rPr>
                <w:rFonts w:ascii="宋体"/>
              </w:rPr>
            </w:pPr>
          </w:p>
        </w:tc>
      </w:tr>
      <w:tr w:rsidR="00E836FB" w14:paraId="5F2D42A9" w14:textId="77777777">
        <w:tc>
          <w:tcPr>
            <w:tcW w:w="0" w:type="auto"/>
            <w:gridSpan w:val="3"/>
            <w:shd w:val="clear" w:color="auto" w:fill="CCEEFF"/>
            <w:tcMar>
              <w:top w:w="40" w:type="dxa"/>
              <w:left w:w="20" w:type="dxa"/>
              <w:bottom w:w="40" w:type="dxa"/>
              <w:right w:w="20" w:type="dxa"/>
            </w:tcMar>
            <w:vAlign w:val="bottom"/>
          </w:tcPr>
          <w:p w14:paraId="5F2D428D" w14:textId="77777777" w:rsidR="00E836FB" w:rsidRDefault="00994958">
            <w:pPr>
              <w:textAlignment w:val="bottom"/>
            </w:pPr>
            <w:r>
              <w:rPr>
                <w:rFonts w:ascii="Arial" w:eastAsia="宋体" w:hAnsi="Arial" w:cs="Arial"/>
                <w:b/>
                <w:bCs/>
                <w:color w:val="000000"/>
                <w:sz w:val="13"/>
                <w:szCs w:val="13"/>
              </w:rPr>
              <w:t>Balance as of December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28E"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28F" w14:textId="77777777" w:rsidR="00E836FB" w:rsidRDefault="00994958">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2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9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292"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293" w14:textId="77777777" w:rsidR="00E836FB" w:rsidRDefault="00994958">
            <w:pPr>
              <w:jc w:val="right"/>
              <w:textAlignment w:val="bottom"/>
            </w:pPr>
            <w:r>
              <w:rPr>
                <w:rFonts w:ascii="Arial" w:eastAsia="宋体" w:hAnsi="Arial" w:cs="Arial"/>
                <w:b/>
                <w:bCs/>
                <w:color w:val="000000"/>
                <w:sz w:val="13"/>
                <w:szCs w:val="13"/>
              </w:rPr>
              <w:t>(48)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2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9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296"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297" w14:textId="77777777" w:rsidR="00E836FB" w:rsidRDefault="00994958">
            <w:pPr>
              <w:jc w:val="right"/>
              <w:textAlignment w:val="bottom"/>
            </w:pPr>
            <w:r>
              <w:rPr>
                <w:rFonts w:ascii="Arial" w:eastAsia="宋体" w:hAnsi="Arial" w:cs="Arial"/>
                <w:b/>
                <w:bCs/>
                <w:color w:val="000000"/>
                <w:sz w:val="13"/>
                <w:szCs w:val="13"/>
              </w:rPr>
              <w:t>68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2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99"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29A"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29B" w14:textId="77777777" w:rsidR="00E836FB" w:rsidRDefault="00994958">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29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9D"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29E"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29F" w14:textId="77777777" w:rsidR="00E836FB" w:rsidRDefault="00994958">
            <w:pPr>
              <w:jc w:val="right"/>
              <w:textAlignment w:val="bottom"/>
            </w:pPr>
            <w:r>
              <w:rPr>
                <w:rFonts w:ascii="Arial" w:eastAsia="宋体" w:hAnsi="Arial" w:cs="Arial"/>
                <w:b/>
                <w:bCs/>
                <w:color w:val="000000"/>
                <w:sz w:val="13"/>
                <w:szCs w:val="13"/>
              </w:rPr>
              <w:t>(130)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2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A1"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2A2"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2A3" w14:textId="77777777" w:rsidR="00E836FB" w:rsidRDefault="00994958">
            <w:pPr>
              <w:jc w:val="right"/>
              <w:textAlignment w:val="bottom"/>
            </w:pPr>
            <w:r>
              <w:rPr>
                <w:rFonts w:ascii="Arial" w:eastAsia="宋体" w:hAnsi="Arial" w:cs="Arial"/>
                <w:b/>
                <w:bCs/>
                <w:color w:val="000000"/>
                <w:sz w:val="13"/>
                <w:szCs w:val="13"/>
              </w:rPr>
              <w:t>(1,019)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2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2A5"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2A6"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2A7" w14:textId="77777777" w:rsidR="00E836FB" w:rsidRDefault="00994958">
            <w:pPr>
              <w:jc w:val="right"/>
              <w:textAlignment w:val="bottom"/>
            </w:pPr>
            <w:r>
              <w:rPr>
                <w:rFonts w:ascii="Arial" w:eastAsia="宋体" w:hAnsi="Arial" w:cs="Arial"/>
                <w:b/>
                <w:bCs/>
                <w:color w:val="000000"/>
                <w:sz w:val="13"/>
                <w:szCs w:val="13"/>
              </w:rPr>
              <w:t>(1,133)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2A8" w14:textId="77777777" w:rsidR="00E836FB" w:rsidRDefault="00E836FB">
            <w:pPr>
              <w:jc w:val="right"/>
              <w:rPr>
                <w:rFonts w:ascii="宋体"/>
              </w:rPr>
            </w:pPr>
          </w:p>
        </w:tc>
      </w:tr>
    </w:tbl>
    <w:p w14:paraId="5F2D42AA" w14:textId="77777777" w:rsidR="00E836FB" w:rsidRDefault="00E836FB">
      <w:pPr>
        <w:ind w:firstLine="450"/>
      </w:pPr>
    </w:p>
    <w:p w14:paraId="5F2D42AB" w14:textId="77777777" w:rsidR="00E836FB" w:rsidRDefault="00994958">
      <w:pPr>
        <w:spacing w:before="60"/>
        <w:ind w:firstLine="450"/>
      </w:pPr>
      <w:r>
        <w:rPr>
          <w:rFonts w:ascii="Arial" w:eastAsia="宋体" w:hAnsi="Arial" w:cs="Arial"/>
          <w:color w:val="000000"/>
          <w:sz w:val="20"/>
          <w:szCs w:val="20"/>
        </w:rPr>
        <w:t>The following table presents after-tax reclassifications into earnings for the periods indi</w:t>
      </w:r>
      <w:r>
        <w:rPr>
          <w:rFonts w:ascii="Arial" w:eastAsia="宋体" w:hAnsi="Arial" w:cs="Arial"/>
          <w:color w:val="000000"/>
          <w:sz w:val="20"/>
          <w:szCs w:val="20"/>
        </w:rPr>
        <w:t>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948"/>
        <w:gridCol w:w="36"/>
        <w:gridCol w:w="98"/>
        <w:gridCol w:w="681"/>
        <w:gridCol w:w="36"/>
        <w:gridCol w:w="36"/>
        <w:gridCol w:w="36"/>
        <w:gridCol w:w="36"/>
        <w:gridCol w:w="98"/>
        <w:gridCol w:w="681"/>
        <w:gridCol w:w="36"/>
        <w:gridCol w:w="36"/>
        <w:gridCol w:w="36"/>
        <w:gridCol w:w="36"/>
        <w:gridCol w:w="40"/>
        <w:gridCol w:w="2389"/>
        <w:gridCol w:w="37"/>
      </w:tblGrid>
      <w:tr w:rsidR="00E836FB" w14:paraId="5F2D42BE" w14:textId="77777777">
        <w:tc>
          <w:tcPr>
            <w:tcW w:w="50" w:type="pct"/>
            <w:shd w:val="clear" w:color="auto" w:fill="auto"/>
            <w:vAlign w:val="bottom"/>
          </w:tcPr>
          <w:p w14:paraId="5F2D42AC" w14:textId="77777777" w:rsidR="00E836FB" w:rsidRDefault="00E836FB">
            <w:pPr>
              <w:rPr>
                <w:rFonts w:ascii="宋体"/>
              </w:rPr>
            </w:pPr>
          </w:p>
        </w:tc>
        <w:tc>
          <w:tcPr>
            <w:tcW w:w="2393" w:type="pct"/>
            <w:shd w:val="clear" w:color="auto" w:fill="auto"/>
            <w:vAlign w:val="bottom"/>
          </w:tcPr>
          <w:p w14:paraId="5F2D42AD" w14:textId="77777777" w:rsidR="00E836FB" w:rsidRDefault="00E836FB">
            <w:pPr>
              <w:rPr>
                <w:rFonts w:ascii="宋体"/>
              </w:rPr>
            </w:pPr>
          </w:p>
        </w:tc>
        <w:tc>
          <w:tcPr>
            <w:tcW w:w="5" w:type="pct"/>
            <w:shd w:val="clear" w:color="auto" w:fill="auto"/>
            <w:vAlign w:val="bottom"/>
          </w:tcPr>
          <w:p w14:paraId="5F2D42AE" w14:textId="77777777" w:rsidR="00E836FB" w:rsidRDefault="00E836FB">
            <w:pPr>
              <w:rPr>
                <w:rFonts w:ascii="宋体"/>
              </w:rPr>
            </w:pPr>
          </w:p>
        </w:tc>
        <w:tc>
          <w:tcPr>
            <w:tcW w:w="50" w:type="pct"/>
            <w:shd w:val="clear" w:color="auto" w:fill="auto"/>
            <w:vAlign w:val="bottom"/>
          </w:tcPr>
          <w:p w14:paraId="5F2D42AF" w14:textId="77777777" w:rsidR="00E836FB" w:rsidRDefault="00E836FB">
            <w:pPr>
              <w:rPr>
                <w:rFonts w:ascii="宋体"/>
              </w:rPr>
            </w:pPr>
          </w:p>
        </w:tc>
        <w:tc>
          <w:tcPr>
            <w:tcW w:w="434" w:type="pct"/>
            <w:shd w:val="clear" w:color="auto" w:fill="auto"/>
            <w:vAlign w:val="bottom"/>
          </w:tcPr>
          <w:p w14:paraId="5F2D42B0" w14:textId="77777777" w:rsidR="00E836FB" w:rsidRDefault="00E836FB">
            <w:pPr>
              <w:rPr>
                <w:rFonts w:ascii="宋体"/>
              </w:rPr>
            </w:pPr>
          </w:p>
        </w:tc>
        <w:tc>
          <w:tcPr>
            <w:tcW w:w="5" w:type="pct"/>
            <w:shd w:val="clear" w:color="auto" w:fill="auto"/>
            <w:vAlign w:val="bottom"/>
          </w:tcPr>
          <w:p w14:paraId="5F2D42B1" w14:textId="77777777" w:rsidR="00E836FB" w:rsidRDefault="00E836FB">
            <w:pPr>
              <w:rPr>
                <w:rFonts w:ascii="宋体"/>
              </w:rPr>
            </w:pPr>
          </w:p>
        </w:tc>
        <w:tc>
          <w:tcPr>
            <w:tcW w:w="5" w:type="pct"/>
            <w:shd w:val="clear" w:color="auto" w:fill="auto"/>
            <w:vAlign w:val="bottom"/>
          </w:tcPr>
          <w:p w14:paraId="5F2D42B2" w14:textId="77777777" w:rsidR="00E836FB" w:rsidRDefault="00E836FB">
            <w:pPr>
              <w:rPr>
                <w:rFonts w:ascii="宋体"/>
              </w:rPr>
            </w:pPr>
          </w:p>
        </w:tc>
        <w:tc>
          <w:tcPr>
            <w:tcW w:w="19" w:type="pct"/>
            <w:shd w:val="clear" w:color="auto" w:fill="auto"/>
            <w:vAlign w:val="bottom"/>
          </w:tcPr>
          <w:p w14:paraId="5F2D42B3" w14:textId="77777777" w:rsidR="00E836FB" w:rsidRDefault="00E836FB">
            <w:pPr>
              <w:rPr>
                <w:rFonts w:ascii="宋体"/>
              </w:rPr>
            </w:pPr>
          </w:p>
        </w:tc>
        <w:tc>
          <w:tcPr>
            <w:tcW w:w="5" w:type="pct"/>
            <w:shd w:val="clear" w:color="auto" w:fill="auto"/>
            <w:vAlign w:val="bottom"/>
          </w:tcPr>
          <w:p w14:paraId="5F2D42B4" w14:textId="77777777" w:rsidR="00E836FB" w:rsidRDefault="00E836FB">
            <w:pPr>
              <w:rPr>
                <w:rFonts w:ascii="宋体"/>
              </w:rPr>
            </w:pPr>
          </w:p>
        </w:tc>
        <w:tc>
          <w:tcPr>
            <w:tcW w:w="50" w:type="pct"/>
            <w:shd w:val="clear" w:color="auto" w:fill="auto"/>
            <w:vAlign w:val="bottom"/>
          </w:tcPr>
          <w:p w14:paraId="5F2D42B5" w14:textId="77777777" w:rsidR="00E836FB" w:rsidRDefault="00E836FB">
            <w:pPr>
              <w:rPr>
                <w:rFonts w:ascii="宋体"/>
              </w:rPr>
            </w:pPr>
          </w:p>
        </w:tc>
        <w:tc>
          <w:tcPr>
            <w:tcW w:w="434" w:type="pct"/>
            <w:shd w:val="clear" w:color="auto" w:fill="auto"/>
            <w:vAlign w:val="bottom"/>
          </w:tcPr>
          <w:p w14:paraId="5F2D42B6" w14:textId="77777777" w:rsidR="00E836FB" w:rsidRDefault="00E836FB">
            <w:pPr>
              <w:rPr>
                <w:rFonts w:ascii="宋体"/>
              </w:rPr>
            </w:pPr>
          </w:p>
        </w:tc>
        <w:tc>
          <w:tcPr>
            <w:tcW w:w="5" w:type="pct"/>
            <w:shd w:val="clear" w:color="auto" w:fill="auto"/>
            <w:vAlign w:val="bottom"/>
          </w:tcPr>
          <w:p w14:paraId="5F2D42B7" w14:textId="77777777" w:rsidR="00E836FB" w:rsidRDefault="00E836FB">
            <w:pPr>
              <w:rPr>
                <w:rFonts w:ascii="宋体"/>
              </w:rPr>
            </w:pPr>
          </w:p>
        </w:tc>
        <w:tc>
          <w:tcPr>
            <w:tcW w:w="5" w:type="pct"/>
            <w:shd w:val="clear" w:color="auto" w:fill="auto"/>
            <w:vAlign w:val="bottom"/>
          </w:tcPr>
          <w:p w14:paraId="5F2D42B8" w14:textId="77777777" w:rsidR="00E836FB" w:rsidRDefault="00E836FB">
            <w:pPr>
              <w:rPr>
                <w:rFonts w:ascii="宋体"/>
              </w:rPr>
            </w:pPr>
          </w:p>
        </w:tc>
        <w:tc>
          <w:tcPr>
            <w:tcW w:w="19" w:type="pct"/>
            <w:shd w:val="clear" w:color="auto" w:fill="auto"/>
            <w:vAlign w:val="bottom"/>
          </w:tcPr>
          <w:p w14:paraId="5F2D42B9" w14:textId="77777777" w:rsidR="00E836FB" w:rsidRDefault="00E836FB">
            <w:pPr>
              <w:rPr>
                <w:rFonts w:ascii="宋体"/>
              </w:rPr>
            </w:pPr>
          </w:p>
        </w:tc>
        <w:tc>
          <w:tcPr>
            <w:tcW w:w="5" w:type="pct"/>
            <w:shd w:val="clear" w:color="auto" w:fill="auto"/>
            <w:vAlign w:val="bottom"/>
          </w:tcPr>
          <w:p w14:paraId="5F2D42BA" w14:textId="77777777" w:rsidR="00E836FB" w:rsidRDefault="00E836FB">
            <w:pPr>
              <w:rPr>
                <w:rFonts w:ascii="宋体"/>
              </w:rPr>
            </w:pPr>
          </w:p>
        </w:tc>
        <w:tc>
          <w:tcPr>
            <w:tcW w:w="50" w:type="pct"/>
            <w:shd w:val="clear" w:color="auto" w:fill="auto"/>
            <w:vAlign w:val="bottom"/>
          </w:tcPr>
          <w:p w14:paraId="5F2D42BB" w14:textId="77777777" w:rsidR="00E836FB" w:rsidRDefault="00E836FB">
            <w:pPr>
              <w:rPr>
                <w:rFonts w:ascii="宋体"/>
              </w:rPr>
            </w:pPr>
          </w:p>
        </w:tc>
        <w:tc>
          <w:tcPr>
            <w:tcW w:w="1458" w:type="pct"/>
            <w:shd w:val="clear" w:color="auto" w:fill="auto"/>
            <w:vAlign w:val="bottom"/>
          </w:tcPr>
          <w:p w14:paraId="5F2D42BC" w14:textId="77777777" w:rsidR="00E836FB" w:rsidRDefault="00E836FB">
            <w:pPr>
              <w:rPr>
                <w:rFonts w:ascii="宋体"/>
              </w:rPr>
            </w:pPr>
          </w:p>
        </w:tc>
        <w:tc>
          <w:tcPr>
            <w:tcW w:w="5" w:type="pct"/>
            <w:shd w:val="clear" w:color="auto" w:fill="auto"/>
            <w:vAlign w:val="bottom"/>
          </w:tcPr>
          <w:p w14:paraId="5F2D42BD" w14:textId="77777777" w:rsidR="00E836FB" w:rsidRDefault="00E836FB">
            <w:pPr>
              <w:rPr>
                <w:rFonts w:ascii="宋体"/>
              </w:rPr>
            </w:pPr>
          </w:p>
        </w:tc>
      </w:tr>
      <w:tr w:rsidR="00E836FB" w14:paraId="5F2D42C9" w14:textId="77777777">
        <w:trPr>
          <w:hidden/>
        </w:trPr>
        <w:tc>
          <w:tcPr>
            <w:tcW w:w="0" w:type="auto"/>
            <w:gridSpan w:val="3"/>
            <w:shd w:val="clear" w:color="auto" w:fill="auto"/>
            <w:vAlign w:val="bottom"/>
          </w:tcPr>
          <w:p w14:paraId="5F2D42BF" w14:textId="77777777" w:rsidR="00E836FB" w:rsidRDefault="00E836FB">
            <w:pPr>
              <w:rPr>
                <w:rFonts w:ascii="宋体"/>
                <w:vanish/>
              </w:rPr>
            </w:pPr>
          </w:p>
        </w:tc>
        <w:tc>
          <w:tcPr>
            <w:tcW w:w="0" w:type="auto"/>
            <w:gridSpan w:val="3"/>
            <w:shd w:val="clear" w:color="auto" w:fill="auto"/>
            <w:vAlign w:val="bottom"/>
          </w:tcPr>
          <w:p w14:paraId="5F2D42C0" w14:textId="77777777" w:rsidR="00E836FB" w:rsidRDefault="00E836FB">
            <w:pPr>
              <w:rPr>
                <w:rFonts w:ascii="宋体"/>
                <w:vanish/>
              </w:rPr>
            </w:pPr>
          </w:p>
        </w:tc>
        <w:tc>
          <w:tcPr>
            <w:tcW w:w="0" w:type="auto"/>
            <w:gridSpan w:val="3"/>
            <w:shd w:val="clear" w:color="auto" w:fill="auto"/>
            <w:vAlign w:val="bottom"/>
          </w:tcPr>
          <w:p w14:paraId="5F2D42C1" w14:textId="77777777" w:rsidR="00E836FB" w:rsidRDefault="00E836FB">
            <w:pPr>
              <w:rPr>
                <w:rFonts w:ascii="宋体"/>
                <w:vanish/>
              </w:rPr>
            </w:pPr>
          </w:p>
        </w:tc>
        <w:tc>
          <w:tcPr>
            <w:tcW w:w="0" w:type="auto"/>
            <w:gridSpan w:val="3"/>
            <w:shd w:val="clear" w:color="auto" w:fill="auto"/>
            <w:vAlign w:val="bottom"/>
          </w:tcPr>
          <w:p w14:paraId="5F2D42C2" w14:textId="77777777" w:rsidR="00E836FB" w:rsidRDefault="00E836FB">
            <w:pPr>
              <w:rPr>
                <w:rFonts w:ascii="宋体"/>
                <w:vanish/>
              </w:rPr>
            </w:pPr>
          </w:p>
        </w:tc>
        <w:tc>
          <w:tcPr>
            <w:tcW w:w="0" w:type="auto"/>
            <w:shd w:val="clear" w:color="auto" w:fill="auto"/>
            <w:vAlign w:val="bottom"/>
          </w:tcPr>
          <w:p w14:paraId="5F2D42C3" w14:textId="77777777" w:rsidR="00E836FB" w:rsidRDefault="00E836FB">
            <w:pPr>
              <w:rPr>
                <w:rFonts w:ascii="宋体"/>
              </w:rPr>
            </w:pPr>
          </w:p>
        </w:tc>
        <w:tc>
          <w:tcPr>
            <w:tcW w:w="0" w:type="auto"/>
            <w:shd w:val="clear" w:color="auto" w:fill="auto"/>
            <w:vAlign w:val="bottom"/>
          </w:tcPr>
          <w:p w14:paraId="5F2D42C4" w14:textId="77777777" w:rsidR="00E836FB" w:rsidRDefault="00E836FB">
            <w:pPr>
              <w:rPr>
                <w:rFonts w:ascii="宋体"/>
              </w:rPr>
            </w:pPr>
          </w:p>
        </w:tc>
        <w:tc>
          <w:tcPr>
            <w:tcW w:w="0" w:type="auto"/>
            <w:shd w:val="clear" w:color="auto" w:fill="auto"/>
            <w:vAlign w:val="bottom"/>
          </w:tcPr>
          <w:p w14:paraId="5F2D42C5" w14:textId="77777777" w:rsidR="00E836FB" w:rsidRDefault="00E836FB">
            <w:pPr>
              <w:rPr>
                <w:rFonts w:ascii="宋体"/>
              </w:rPr>
            </w:pPr>
          </w:p>
        </w:tc>
        <w:tc>
          <w:tcPr>
            <w:tcW w:w="0" w:type="auto"/>
            <w:shd w:val="clear" w:color="auto" w:fill="auto"/>
            <w:vAlign w:val="bottom"/>
          </w:tcPr>
          <w:p w14:paraId="5F2D42C6" w14:textId="77777777" w:rsidR="00E836FB" w:rsidRDefault="00E836FB">
            <w:pPr>
              <w:rPr>
                <w:rFonts w:ascii="宋体"/>
              </w:rPr>
            </w:pPr>
          </w:p>
        </w:tc>
        <w:tc>
          <w:tcPr>
            <w:tcW w:w="0" w:type="auto"/>
            <w:shd w:val="clear" w:color="auto" w:fill="auto"/>
            <w:vAlign w:val="bottom"/>
          </w:tcPr>
          <w:p w14:paraId="5F2D42C7" w14:textId="77777777" w:rsidR="00E836FB" w:rsidRDefault="00E836FB">
            <w:pPr>
              <w:rPr>
                <w:rFonts w:ascii="宋体"/>
              </w:rPr>
            </w:pPr>
          </w:p>
        </w:tc>
        <w:tc>
          <w:tcPr>
            <w:tcW w:w="0" w:type="auto"/>
            <w:shd w:val="clear" w:color="auto" w:fill="auto"/>
            <w:vAlign w:val="bottom"/>
          </w:tcPr>
          <w:p w14:paraId="5F2D42C8" w14:textId="77777777" w:rsidR="00E836FB" w:rsidRDefault="00E836FB">
            <w:pPr>
              <w:rPr>
                <w:rFonts w:ascii="宋体"/>
              </w:rPr>
            </w:pPr>
          </w:p>
        </w:tc>
      </w:tr>
      <w:tr w:rsidR="00E836FB" w14:paraId="5F2D42D0" w14:textId="77777777">
        <w:trPr>
          <w:hidden/>
        </w:trPr>
        <w:tc>
          <w:tcPr>
            <w:tcW w:w="0" w:type="auto"/>
            <w:gridSpan w:val="3"/>
            <w:shd w:val="clear" w:color="auto" w:fill="auto"/>
            <w:vAlign w:val="bottom"/>
          </w:tcPr>
          <w:p w14:paraId="5F2D42CA" w14:textId="77777777" w:rsidR="00E836FB" w:rsidRDefault="00E836FB">
            <w:pPr>
              <w:rPr>
                <w:rFonts w:ascii="宋体"/>
                <w:vanish/>
              </w:rPr>
            </w:pPr>
          </w:p>
        </w:tc>
        <w:tc>
          <w:tcPr>
            <w:tcW w:w="0" w:type="auto"/>
            <w:gridSpan w:val="3"/>
            <w:shd w:val="clear" w:color="auto" w:fill="auto"/>
            <w:vAlign w:val="bottom"/>
          </w:tcPr>
          <w:p w14:paraId="5F2D42CB" w14:textId="77777777" w:rsidR="00E836FB" w:rsidRDefault="00E836FB">
            <w:pPr>
              <w:rPr>
                <w:rFonts w:ascii="宋体"/>
                <w:vanish/>
              </w:rPr>
            </w:pPr>
          </w:p>
        </w:tc>
        <w:tc>
          <w:tcPr>
            <w:tcW w:w="0" w:type="auto"/>
            <w:gridSpan w:val="3"/>
            <w:shd w:val="clear" w:color="auto" w:fill="auto"/>
            <w:vAlign w:val="bottom"/>
          </w:tcPr>
          <w:p w14:paraId="5F2D42CC" w14:textId="77777777" w:rsidR="00E836FB" w:rsidRDefault="00E836FB">
            <w:pPr>
              <w:rPr>
                <w:rFonts w:ascii="宋体"/>
                <w:vanish/>
              </w:rPr>
            </w:pPr>
          </w:p>
        </w:tc>
        <w:tc>
          <w:tcPr>
            <w:tcW w:w="0" w:type="auto"/>
            <w:gridSpan w:val="3"/>
            <w:shd w:val="clear" w:color="auto" w:fill="auto"/>
            <w:vAlign w:val="bottom"/>
          </w:tcPr>
          <w:p w14:paraId="5F2D42CD" w14:textId="77777777" w:rsidR="00E836FB" w:rsidRDefault="00E836FB">
            <w:pPr>
              <w:rPr>
                <w:rFonts w:ascii="宋体"/>
                <w:vanish/>
              </w:rPr>
            </w:pPr>
          </w:p>
        </w:tc>
        <w:tc>
          <w:tcPr>
            <w:tcW w:w="0" w:type="auto"/>
            <w:gridSpan w:val="3"/>
            <w:shd w:val="clear" w:color="auto" w:fill="auto"/>
            <w:vAlign w:val="bottom"/>
          </w:tcPr>
          <w:p w14:paraId="5F2D42CE" w14:textId="77777777" w:rsidR="00E836FB" w:rsidRDefault="00E836FB">
            <w:pPr>
              <w:rPr>
                <w:rFonts w:ascii="宋体"/>
                <w:vanish/>
              </w:rPr>
            </w:pPr>
          </w:p>
        </w:tc>
        <w:tc>
          <w:tcPr>
            <w:tcW w:w="0" w:type="auto"/>
            <w:gridSpan w:val="3"/>
            <w:shd w:val="clear" w:color="auto" w:fill="auto"/>
            <w:vAlign w:val="bottom"/>
          </w:tcPr>
          <w:p w14:paraId="5F2D42CF" w14:textId="77777777" w:rsidR="00E836FB" w:rsidRDefault="00E836FB">
            <w:pPr>
              <w:rPr>
                <w:rFonts w:ascii="宋体"/>
                <w:vanish/>
              </w:rPr>
            </w:pPr>
          </w:p>
        </w:tc>
      </w:tr>
      <w:tr w:rsidR="00E836FB" w14:paraId="5F2D42DB" w14:textId="77777777">
        <w:trPr>
          <w:hidden/>
        </w:trPr>
        <w:tc>
          <w:tcPr>
            <w:tcW w:w="0" w:type="auto"/>
            <w:gridSpan w:val="3"/>
            <w:shd w:val="clear" w:color="auto" w:fill="auto"/>
            <w:vAlign w:val="bottom"/>
          </w:tcPr>
          <w:p w14:paraId="5F2D42D1" w14:textId="77777777" w:rsidR="00E836FB" w:rsidRDefault="00E836FB">
            <w:pPr>
              <w:rPr>
                <w:rFonts w:ascii="宋体"/>
                <w:vanish/>
              </w:rPr>
            </w:pPr>
          </w:p>
        </w:tc>
        <w:tc>
          <w:tcPr>
            <w:tcW w:w="0" w:type="auto"/>
            <w:gridSpan w:val="3"/>
            <w:shd w:val="clear" w:color="auto" w:fill="auto"/>
            <w:vAlign w:val="bottom"/>
          </w:tcPr>
          <w:p w14:paraId="5F2D42D2" w14:textId="77777777" w:rsidR="00E836FB" w:rsidRDefault="00E836FB">
            <w:pPr>
              <w:rPr>
                <w:rFonts w:ascii="宋体"/>
                <w:vanish/>
              </w:rPr>
            </w:pPr>
          </w:p>
        </w:tc>
        <w:tc>
          <w:tcPr>
            <w:tcW w:w="0" w:type="auto"/>
            <w:gridSpan w:val="3"/>
            <w:shd w:val="clear" w:color="auto" w:fill="auto"/>
            <w:vAlign w:val="bottom"/>
          </w:tcPr>
          <w:p w14:paraId="5F2D42D3" w14:textId="77777777" w:rsidR="00E836FB" w:rsidRDefault="00E836FB">
            <w:pPr>
              <w:rPr>
                <w:rFonts w:ascii="宋体"/>
                <w:vanish/>
              </w:rPr>
            </w:pPr>
          </w:p>
        </w:tc>
        <w:tc>
          <w:tcPr>
            <w:tcW w:w="0" w:type="auto"/>
            <w:gridSpan w:val="3"/>
            <w:shd w:val="clear" w:color="auto" w:fill="auto"/>
            <w:vAlign w:val="bottom"/>
          </w:tcPr>
          <w:p w14:paraId="5F2D42D4" w14:textId="77777777" w:rsidR="00E836FB" w:rsidRDefault="00E836FB">
            <w:pPr>
              <w:rPr>
                <w:rFonts w:ascii="宋体"/>
                <w:vanish/>
              </w:rPr>
            </w:pPr>
          </w:p>
        </w:tc>
        <w:tc>
          <w:tcPr>
            <w:tcW w:w="0" w:type="auto"/>
            <w:shd w:val="clear" w:color="auto" w:fill="auto"/>
            <w:vAlign w:val="bottom"/>
          </w:tcPr>
          <w:p w14:paraId="5F2D42D5" w14:textId="77777777" w:rsidR="00E836FB" w:rsidRDefault="00E836FB">
            <w:pPr>
              <w:rPr>
                <w:rFonts w:ascii="宋体"/>
              </w:rPr>
            </w:pPr>
          </w:p>
        </w:tc>
        <w:tc>
          <w:tcPr>
            <w:tcW w:w="0" w:type="auto"/>
            <w:shd w:val="clear" w:color="auto" w:fill="auto"/>
            <w:vAlign w:val="bottom"/>
          </w:tcPr>
          <w:p w14:paraId="5F2D42D6" w14:textId="77777777" w:rsidR="00E836FB" w:rsidRDefault="00E836FB">
            <w:pPr>
              <w:rPr>
                <w:rFonts w:ascii="宋体"/>
              </w:rPr>
            </w:pPr>
          </w:p>
        </w:tc>
        <w:tc>
          <w:tcPr>
            <w:tcW w:w="0" w:type="auto"/>
            <w:shd w:val="clear" w:color="auto" w:fill="auto"/>
            <w:vAlign w:val="bottom"/>
          </w:tcPr>
          <w:p w14:paraId="5F2D42D7" w14:textId="77777777" w:rsidR="00E836FB" w:rsidRDefault="00E836FB">
            <w:pPr>
              <w:rPr>
                <w:rFonts w:ascii="宋体"/>
              </w:rPr>
            </w:pPr>
          </w:p>
        </w:tc>
        <w:tc>
          <w:tcPr>
            <w:tcW w:w="0" w:type="auto"/>
            <w:shd w:val="clear" w:color="auto" w:fill="auto"/>
            <w:vAlign w:val="bottom"/>
          </w:tcPr>
          <w:p w14:paraId="5F2D42D8" w14:textId="77777777" w:rsidR="00E836FB" w:rsidRDefault="00E836FB">
            <w:pPr>
              <w:rPr>
                <w:rFonts w:ascii="宋体"/>
              </w:rPr>
            </w:pPr>
          </w:p>
        </w:tc>
        <w:tc>
          <w:tcPr>
            <w:tcW w:w="0" w:type="auto"/>
            <w:shd w:val="clear" w:color="auto" w:fill="auto"/>
            <w:vAlign w:val="bottom"/>
          </w:tcPr>
          <w:p w14:paraId="5F2D42D9" w14:textId="77777777" w:rsidR="00E836FB" w:rsidRDefault="00E836FB">
            <w:pPr>
              <w:rPr>
                <w:rFonts w:ascii="宋体"/>
              </w:rPr>
            </w:pPr>
          </w:p>
        </w:tc>
        <w:tc>
          <w:tcPr>
            <w:tcW w:w="0" w:type="auto"/>
            <w:shd w:val="clear" w:color="auto" w:fill="auto"/>
            <w:vAlign w:val="bottom"/>
          </w:tcPr>
          <w:p w14:paraId="5F2D42DA" w14:textId="77777777" w:rsidR="00E836FB" w:rsidRDefault="00E836FB">
            <w:pPr>
              <w:rPr>
                <w:rFonts w:ascii="宋体"/>
              </w:rPr>
            </w:pPr>
          </w:p>
        </w:tc>
      </w:tr>
      <w:tr w:rsidR="00E836FB" w14:paraId="5F2D42E2" w14:textId="77777777">
        <w:trPr>
          <w:hidden/>
        </w:trPr>
        <w:tc>
          <w:tcPr>
            <w:tcW w:w="0" w:type="auto"/>
            <w:gridSpan w:val="3"/>
            <w:shd w:val="clear" w:color="auto" w:fill="auto"/>
            <w:vAlign w:val="bottom"/>
          </w:tcPr>
          <w:p w14:paraId="5F2D42DC" w14:textId="77777777" w:rsidR="00E836FB" w:rsidRDefault="00E836FB">
            <w:pPr>
              <w:rPr>
                <w:rFonts w:ascii="宋体"/>
                <w:vanish/>
              </w:rPr>
            </w:pPr>
          </w:p>
        </w:tc>
        <w:tc>
          <w:tcPr>
            <w:tcW w:w="0" w:type="auto"/>
            <w:gridSpan w:val="3"/>
            <w:shd w:val="clear" w:color="auto" w:fill="auto"/>
            <w:vAlign w:val="bottom"/>
          </w:tcPr>
          <w:p w14:paraId="5F2D42DD" w14:textId="77777777" w:rsidR="00E836FB" w:rsidRDefault="00E836FB">
            <w:pPr>
              <w:rPr>
                <w:rFonts w:ascii="宋体"/>
                <w:vanish/>
              </w:rPr>
            </w:pPr>
          </w:p>
        </w:tc>
        <w:tc>
          <w:tcPr>
            <w:tcW w:w="0" w:type="auto"/>
            <w:gridSpan w:val="3"/>
            <w:shd w:val="clear" w:color="auto" w:fill="auto"/>
            <w:vAlign w:val="bottom"/>
          </w:tcPr>
          <w:p w14:paraId="5F2D42DE" w14:textId="77777777" w:rsidR="00E836FB" w:rsidRDefault="00E836FB">
            <w:pPr>
              <w:rPr>
                <w:rFonts w:ascii="宋体"/>
                <w:vanish/>
              </w:rPr>
            </w:pPr>
          </w:p>
        </w:tc>
        <w:tc>
          <w:tcPr>
            <w:tcW w:w="0" w:type="auto"/>
            <w:gridSpan w:val="3"/>
            <w:shd w:val="clear" w:color="auto" w:fill="auto"/>
            <w:vAlign w:val="bottom"/>
          </w:tcPr>
          <w:p w14:paraId="5F2D42DF" w14:textId="77777777" w:rsidR="00E836FB" w:rsidRDefault="00E836FB">
            <w:pPr>
              <w:rPr>
                <w:rFonts w:ascii="宋体"/>
                <w:vanish/>
              </w:rPr>
            </w:pPr>
          </w:p>
        </w:tc>
        <w:tc>
          <w:tcPr>
            <w:tcW w:w="0" w:type="auto"/>
            <w:gridSpan w:val="3"/>
            <w:shd w:val="clear" w:color="auto" w:fill="auto"/>
            <w:vAlign w:val="bottom"/>
          </w:tcPr>
          <w:p w14:paraId="5F2D42E0" w14:textId="77777777" w:rsidR="00E836FB" w:rsidRDefault="00E836FB">
            <w:pPr>
              <w:rPr>
                <w:rFonts w:ascii="宋体"/>
                <w:vanish/>
              </w:rPr>
            </w:pPr>
          </w:p>
        </w:tc>
        <w:tc>
          <w:tcPr>
            <w:tcW w:w="0" w:type="auto"/>
            <w:gridSpan w:val="3"/>
            <w:shd w:val="clear" w:color="auto" w:fill="auto"/>
            <w:vAlign w:val="bottom"/>
          </w:tcPr>
          <w:p w14:paraId="5F2D42E1" w14:textId="77777777" w:rsidR="00E836FB" w:rsidRDefault="00E836FB">
            <w:pPr>
              <w:rPr>
                <w:rFonts w:ascii="宋体"/>
                <w:vanish/>
              </w:rPr>
            </w:pPr>
          </w:p>
        </w:tc>
      </w:tr>
      <w:tr w:rsidR="00E836FB" w14:paraId="5F2D42E9" w14:textId="77777777">
        <w:trPr>
          <w:hidden/>
        </w:trPr>
        <w:tc>
          <w:tcPr>
            <w:tcW w:w="0" w:type="auto"/>
            <w:gridSpan w:val="3"/>
            <w:shd w:val="clear" w:color="auto" w:fill="auto"/>
            <w:vAlign w:val="bottom"/>
          </w:tcPr>
          <w:p w14:paraId="5F2D42E3" w14:textId="77777777" w:rsidR="00E836FB" w:rsidRDefault="00E836FB">
            <w:pPr>
              <w:rPr>
                <w:rFonts w:ascii="宋体"/>
                <w:vanish/>
              </w:rPr>
            </w:pPr>
          </w:p>
        </w:tc>
        <w:tc>
          <w:tcPr>
            <w:tcW w:w="0" w:type="auto"/>
            <w:gridSpan w:val="3"/>
            <w:shd w:val="clear" w:color="auto" w:fill="auto"/>
            <w:vAlign w:val="bottom"/>
          </w:tcPr>
          <w:p w14:paraId="5F2D42E4" w14:textId="77777777" w:rsidR="00E836FB" w:rsidRDefault="00E836FB">
            <w:pPr>
              <w:rPr>
                <w:rFonts w:ascii="宋体"/>
                <w:vanish/>
              </w:rPr>
            </w:pPr>
          </w:p>
        </w:tc>
        <w:tc>
          <w:tcPr>
            <w:tcW w:w="0" w:type="auto"/>
            <w:gridSpan w:val="3"/>
            <w:shd w:val="clear" w:color="auto" w:fill="auto"/>
            <w:vAlign w:val="bottom"/>
          </w:tcPr>
          <w:p w14:paraId="5F2D42E5" w14:textId="77777777" w:rsidR="00E836FB" w:rsidRDefault="00E836FB">
            <w:pPr>
              <w:rPr>
                <w:rFonts w:ascii="宋体"/>
                <w:vanish/>
              </w:rPr>
            </w:pPr>
          </w:p>
        </w:tc>
        <w:tc>
          <w:tcPr>
            <w:tcW w:w="0" w:type="auto"/>
            <w:gridSpan w:val="3"/>
            <w:shd w:val="clear" w:color="auto" w:fill="auto"/>
            <w:vAlign w:val="bottom"/>
          </w:tcPr>
          <w:p w14:paraId="5F2D42E6" w14:textId="77777777" w:rsidR="00E836FB" w:rsidRDefault="00E836FB">
            <w:pPr>
              <w:rPr>
                <w:rFonts w:ascii="宋体"/>
                <w:vanish/>
              </w:rPr>
            </w:pPr>
          </w:p>
        </w:tc>
        <w:tc>
          <w:tcPr>
            <w:tcW w:w="0" w:type="auto"/>
            <w:gridSpan w:val="3"/>
            <w:shd w:val="clear" w:color="auto" w:fill="auto"/>
            <w:vAlign w:val="bottom"/>
          </w:tcPr>
          <w:p w14:paraId="5F2D42E7" w14:textId="77777777" w:rsidR="00E836FB" w:rsidRDefault="00E836FB">
            <w:pPr>
              <w:rPr>
                <w:rFonts w:ascii="宋体"/>
                <w:vanish/>
              </w:rPr>
            </w:pPr>
          </w:p>
        </w:tc>
        <w:tc>
          <w:tcPr>
            <w:tcW w:w="0" w:type="auto"/>
            <w:gridSpan w:val="3"/>
            <w:shd w:val="clear" w:color="auto" w:fill="auto"/>
            <w:vAlign w:val="bottom"/>
          </w:tcPr>
          <w:p w14:paraId="5F2D42E8" w14:textId="77777777" w:rsidR="00E836FB" w:rsidRDefault="00E836FB">
            <w:pPr>
              <w:rPr>
                <w:rFonts w:ascii="宋体"/>
                <w:vanish/>
              </w:rPr>
            </w:pPr>
          </w:p>
        </w:tc>
      </w:tr>
      <w:tr w:rsidR="00E836FB" w14:paraId="5F2D42F0" w14:textId="77777777">
        <w:trPr>
          <w:hidden/>
        </w:trPr>
        <w:tc>
          <w:tcPr>
            <w:tcW w:w="0" w:type="auto"/>
            <w:gridSpan w:val="3"/>
            <w:shd w:val="clear" w:color="auto" w:fill="auto"/>
            <w:vAlign w:val="bottom"/>
          </w:tcPr>
          <w:p w14:paraId="5F2D42EA" w14:textId="77777777" w:rsidR="00E836FB" w:rsidRDefault="00E836FB">
            <w:pPr>
              <w:rPr>
                <w:rFonts w:ascii="宋体"/>
                <w:vanish/>
              </w:rPr>
            </w:pPr>
          </w:p>
        </w:tc>
        <w:tc>
          <w:tcPr>
            <w:tcW w:w="0" w:type="auto"/>
            <w:gridSpan w:val="3"/>
            <w:shd w:val="clear" w:color="auto" w:fill="auto"/>
            <w:vAlign w:val="bottom"/>
          </w:tcPr>
          <w:p w14:paraId="5F2D42EB" w14:textId="77777777" w:rsidR="00E836FB" w:rsidRDefault="00E836FB">
            <w:pPr>
              <w:rPr>
                <w:rFonts w:ascii="宋体"/>
                <w:vanish/>
              </w:rPr>
            </w:pPr>
          </w:p>
        </w:tc>
        <w:tc>
          <w:tcPr>
            <w:tcW w:w="0" w:type="auto"/>
            <w:gridSpan w:val="3"/>
            <w:shd w:val="clear" w:color="auto" w:fill="auto"/>
            <w:vAlign w:val="bottom"/>
          </w:tcPr>
          <w:p w14:paraId="5F2D42EC" w14:textId="77777777" w:rsidR="00E836FB" w:rsidRDefault="00E836FB">
            <w:pPr>
              <w:rPr>
                <w:rFonts w:ascii="宋体"/>
                <w:vanish/>
              </w:rPr>
            </w:pPr>
          </w:p>
        </w:tc>
        <w:tc>
          <w:tcPr>
            <w:tcW w:w="0" w:type="auto"/>
            <w:gridSpan w:val="3"/>
            <w:shd w:val="clear" w:color="auto" w:fill="auto"/>
            <w:vAlign w:val="bottom"/>
          </w:tcPr>
          <w:p w14:paraId="5F2D42ED" w14:textId="77777777" w:rsidR="00E836FB" w:rsidRDefault="00E836FB">
            <w:pPr>
              <w:rPr>
                <w:rFonts w:ascii="宋体"/>
                <w:vanish/>
              </w:rPr>
            </w:pPr>
          </w:p>
        </w:tc>
        <w:tc>
          <w:tcPr>
            <w:tcW w:w="0" w:type="auto"/>
            <w:gridSpan w:val="3"/>
            <w:shd w:val="clear" w:color="auto" w:fill="auto"/>
            <w:vAlign w:val="bottom"/>
          </w:tcPr>
          <w:p w14:paraId="5F2D42EE" w14:textId="77777777" w:rsidR="00E836FB" w:rsidRDefault="00E836FB">
            <w:pPr>
              <w:rPr>
                <w:rFonts w:ascii="宋体"/>
                <w:vanish/>
              </w:rPr>
            </w:pPr>
          </w:p>
        </w:tc>
        <w:tc>
          <w:tcPr>
            <w:tcW w:w="0" w:type="auto"/>
            <w:gridSpan w:val="3"/>
            <w:shd w:val="clear" w:color="auto" w:fill="auto"/>
            <w:vAlign w:val="bottom"/>
          </w:tcPr>
          <w:p w14:paraId="5F2D42EF" w14:textId="77777777" w:rsidR="00E836FB" w:rsidRDefault="00E836FB">
            <w:pPr>
              <w:rPr>
                <w:rFonts w:ascii="宋体"/>
                <w:vanish/>
              </w:rPr>
            </w:pPr>
          </w:p>
        </w:tc>
      </w:tr>
      <w:tr w:rsidR="00E836FB" w14:paraId="5F2D42F7" w14:textId="77777777">
        <w:trPr>
          <w:hidden/>
        </w:trPr>
        <w:tc>
          <w:tcPr>
            <w:tcW w:w="0" w:type="auto"/>
            <w:gridSpan w:val="3"/>
            <w:shd w:val="clear" w:color="auto" w:fill="auto"/>
            <w:vAlign w:val="bottom"/>
          </w:tcPr>
          <w:p w14:paraId="5F2D42F1" w14:textId="77777777" w:rsidR="00E836FB" w:rsidRDefault="00E836FB">
            <w:pPr>
              <w:rPr>
                <w:rFonts w:ascii="宋体"/>
                <w:vanish/>
              </w:rPr>
            </w:pPr>
          </w:p>
        </w:tc>
        <w:tc>
          <w:tcPr>
            <w:tcW w:w="0" w:type="auto"/>
            <w:gridSpan w:val="3"/>
            <w:shd w:val="clear" w:color="auto" w:fill="auto"/>
            <w:vAlign w:val="bottom"/>
          </w:tcPr>
          <w:p w14:paraId="5F2D42F2" w14:textId="77777777" w:rsidR="00E836FB" w:rsidRDefault="00E836FB">
            <w:pPr>
              <w:rPr>
                <w:rFonts w:ascii="宋体"/>
                <w:vanish/>
              </w:rPr>
            </w:pPr>
          </w:p>
        </w:tc>
        <w:tc>
          <w:tcPr>
            <w:tcW w:w="0" w:type="auto"/>
            <w:gridSpan w:val="3"/>
            <w:shd w:val="clear" w:color="auto" w:fill="auto"/>
            <w:vAlign w:val="bottom"/>
          </w:tcPr>
          <w:p w14:paraId="5F2D42F3" w14:textId="77777777" w:rsidR="00E836FB" w:rsidRDefault="00E836FB">
            <w:pPr>
              <w:rPr>
                <w:rFonts w:ascii="宋体"/>
                <w:vanish/>
              </w:rPr>
            </w:pPr>
          </w:p>
        </w:tc>
        <w:tc>
          <w:tcPr>
            <w:tcW w:w="0" w:type="auto"/>
            <w:gridSpan w:val="3"/>
            <w:shd w:val="clear" w:color="auto" w:fill="auto"/>
            <w:vAlign w:val="bottom"/>
          </w:tcPr>
          <w:p w14:paraId="5F2D42F4" w14:textId="77777777" w:rsidR="00E836FB" w:rsidRDefault="00E836FB">
            <w:pPr>
              <w:rPr>
                <w:rFonts w:ascii="宋体"/>
                <w:vanish/>
              </w:rPr>
            </w:pPr>
          </w:p>
        </w:tc>
        <w:tc>
          <w:tcPr>
            <w:tcW w:w="0" w:type="auto"/>
            <w:gridSpan w:val="3"/>
            <w:shd w:val="clear" w:color="auto" w:fill="auto"/>
            <w:vAlign w:val="bottom"/>
          </w:tcPr>
          <w:p w14:paraId="5F2D42F5" w14:textId="77777777" w:rsidR="00E836FB" w:rsidRDefault="00E836FB">
            <w:pPr>
              <w:rPr>
                <w:rFonts w:ascii="宋体"/>
                <w:vanish/>
              </w:rPr>
            </w:pPr>
          </w:p>
        </w:tc>
        <w:tc>
          <w:tcPr>
            <w:tcW w:w="0" w:type="auto"/>
            <w:gridSpan w:val="3"/>
            <w:shd w:val="clear" w:color="auto" w:fill="auto"/>
            <w:vAlign w:val="bottom"/>
          </w:tcPr>
          <w:p w14:paraId="5F2D42F6" w14:textId="77777777" w:rsidR="00E836FB" w:rsidRDefault="00E836FB">
            <w:pPr>
              <w:rPr>
                <w:rFonts w:ascii="宋体"/>
                <w:vanish/>
              </w:rPr>
            </w:pPr>
          </w:p>
        </w:tc>
      </w:tr>
      <w:tr w:rsidR="00E836FB" w14:paraId="5F2D42FE" w14:textId="77777777">
        <w:trPr>
          <w:hidden/>
        </w:trPr>
        <w:tc>
          <w:tcPr>
            <w:tcW w:w="0" w:type="auto"/>
            <w:gridSpan w:val="3"/>
            <w:shd w:val="clear" w:color="auto" w:fill="auto"/>
            <w:vAlign w:val="bottom"/>
          </w:tcPr>
          <w:p w14:paraId="5F2D42F8" w14:textId="77777777" w:rsidR="00E836FB" w:rsidRDefault="00E836FB">
            <w:pPr>
              <w:rPr>
                <w:rFonts w:ascii="宋体"/>
                <w:vanish/>
              </w:rPr>
            </w:pPr>
          </w:p>
        </w:tc>
        <w:tc>
          <w:tcPr>
            <w:tcW w:w="0" w:type="auto"/>
            <w:gridSpan w:val="3"/>
            <w:shd w:val="clear" w:color="auto" w:fill="auto"/>
            <w:vAlign w:val="bottom"/>
          </w:tcPr>
          <w:p w14:paraId="5F2D42F9" w14:textId="77777777" w:rsidR="00E836FB" w:rsidRDefault="00E836FB">
            <w:pPr>
              <w:rPr>
                <w:rFonts w:ascii="宋体"/>
                <w:vanish/>
              </w:rPr>
            </w:pPr>
          </w:p>
        </w:tc>
        <w:tc>
          <w:tcPr>
            <w:tcW w:w="0" w:type="auto"/>
            <w:gridSpan w:val="3"/>
            <w:shd w:val="clear" w:color="auto" w:fill="auto"/>
            <w:vAlign w:val="bottom"/>
          </w:tcPr>
          <w:p w14:paraId="5F2D42FA" w14:textId="77777777" w:rsidR="00E836FB" w:rsidRDefault="00E836FB">
            <w:pPr>
              <w:rPr>
                <w:rFonts w:ascii="宋体"/>
                <w:vanish/>
              </w:rPr>
            </w:pPr>
          </w:p>
        </w:tc>
        <w:tc>
          <w:tcPr>
            <w:tcW w:w="0" w:type="auto"/>
            <w:gridSpan w:val="3"/>
            <w:shd w:val="clear" w:color="auto" w:fill="auto"/>
            <w:vAlign w:val="bottom"/>
          </w:tcPr>
          <w:p w14:paraId="5F2D42FB" w14:textId="77777777" w:rsidR="00E836FB" w:rsidRDefault="00E836FB">
            <w:pPr>
              <w:rPr>
                <w:rFonts w:ascii="宋体"/>
                <w:vanish/>
              </w:rPr>
            </w:pPr>
          </w:p>
        </w:tc>
        <w:tc>
          <w:tcPr>
            <w:tcW w:w="0" w:type="auto"/>
            <w:gridSpan w:val="3"/>
            <w:shd w:val="clear" w:color="auto" w:fill="auto"/>
            <w:vAlign w:val="bottom"/>
          </w:tcPr>
          <w:p w14:paraId="5F2D42FC" w14:textId="77777777" w:rsidR="00E836FB" w:rsidRDefault="00E836FB">
            <w:pPr>
              <w:rPr>
                <w:rFonts w:ascii="宋体"/>
                <w:vanish/>
              </w:rPr>
            </w:pPr>
          </w:p>
        </w:tc>
        <w:tc>
          <w:tcPr>
            <w:tcW w:w="0" w:type="auto"/>
            <w:gridSpan w:val="3"/>
            <w:shd w:val="clear" w:color="auto" w:fill="auto"/>
            <w:vAlign w:val="bottom"/>
          </w:tcPr>
          <w:p w14:paraId="5F2D42FD" w14:textId="77777777" w:rsidR="00E836FB" w:rsidRDefault="00E836FB">
            <w:pPr>
              <w:rPr>
                <w:rFonts w:ascii="宋体"/>
                <w:vanish/>
              </w:rPr>
            </w:pPr>
          </w:p>
        </w:tc>
      </w:tr>
      <w:tr w:rsidR="00E836FB" w14:paraId="5F2D4305" w14:textId="77777777">
        <w:trPr>
          <w:hidden/>
        </w:trPr>
        <w:tc>
          <w:tcPr>
            <w:tcW w:w="0" w:type="auto"/>
            <w:gridSpan w:val="3"/>
            <w:shd w:val="clear" w:color="auto" w:fill="auto"/>
            <w:vAlign w:val="bottom"/>
          </w:tcPr>
          <w:p w14:paraId="5F2D42FF" w14:textId="77777777" w:rsidR="00E836FB" w:rsidRDefault="00E836FB">
            <w:pPr>
              <w:rPr>
                <w:rFonts w:ascii="宋体"/>
                <w:vanish/>
              </w:rPr>
            </w:pPr>
          </w:p>
        </w:tc>
        <w:tc>
          <w:tcPr>
            <w:tcW w:w="0" w:type="auto"/>
            <w:gridSpan w:val="3"/>
            <w:shd w:val="clear" w:color="auto" w:fill="auto"/>
            <w:vAlign w:val="bottom"/>
          </w:tcPr>
          <w:p w14:paraId="5F2D4300" w14:textId="77777777" w:rsidR="00E836FB" w:rsidRDefault="00E836FB">
            <w:pPr>
              <w:rPr>
                <w:rFonts w:ascii="宋体"/>
                <w:vanish/>
              </w:rPr>
            </w:pPr>
          </w:p>
        </w:tc>
        <w:tc>
          <w:tcPr>
            <w:tcW w:w="0" w:type="auto"/>
            <w:gridSpan w:val="3"/>
            <w:shd w:val="clear" w:color="auto" w:fill="auto"/>
            <w:vAlign w:val="bottom"/>
          </w:tcPr>
          <w:p w14:paraId="5F2D4301" w14:textId="77777777" w:rsidR="00E836FB" w:rsidRDefault="00E836FB">
            <w:pPr>
              <w:rPr>
                <w:rFonts w:ascii="宋体"/>
                <w:vanish/>
              </w:rPr>
            </w:pPr>
          </w:p>
        </w:tc>
        <w:tc>
          <w:tcPr>
            <w:tcW w:w="0" w:type="auto"/>
            <w:gridSpan w:val="3"/>
            <w:shd w:val="clear" w:color="auto" w:fill="auto"/>
            <w:vAlign w:val="bottom"/>
          </w:tcPr>
          <w:p w14:paraId="5F2D4302" w14:textId="77777777" w:rsidR="00E836FB" w:rsidRDefault="00E836FB">
            <w:pPr>
              <w:rPr>
                <w:rFonts w:ascii="宋体"/>
                <w:vanish/>
              </w:rPr>
            </w:pPr>
          </w:p>
        </w:tc>
        <w:tc>
          <w:tcPr>
            <w:tcW w:w="0" w:type="auto"/>
            <w:gridSpan w:val="3"/>
            <w:shd w:val="clear" w:color="auto" w:fill="auto"/>
            <w:vAlign w:val="bottom"/>
          </w:tcPr>
          <w:p w14:paraId="5F2D4303" w14:textId="77777777" w:rsidR="00E836FB" w:rsidRDefault="00E836FB">
            <w:pPr>
              <w:rPr>
                <w:rFonts w:ascii="宋体"/>
                <w:vanish/>
              </w:rPr>
            </w:pPr>
          </w:p>
        </w:tc>
        <w:tc>
          <w:tcPr>
            <w:tcW w:w="0" w:type="auto"/>
            <w:gridSpan w:val="3"/>
            <w:shd w:val="clear" w:color="auto" w:fill="auto"/>
            <w:vAlign w:val="bottom"/>
          </w:tcPr>
          <w:p w14:paraId="5F2D4304" w14:textId="77777777" w:rsidR="00E836FB" w:rsidRDefault="00E836FB">
            <w:pPr>
              <w:rPr>
                <w:rFonts w:ascii="宋体"/>
                <w:vanish/>
              </w:rPr>
            </w:pPr>
          </w:p>
        </w:tc>
      </w:tr>
      <w:tr w:rsidR="00E836FB" w14:paraId="5F2D430C" w14:textId="77777777">
        <w:trPr>
          <w:hidden/>
        </w:trPr>
        <w:tc>
          <w:tcPr>
            <w:tcW w:w="0" w:type="auto"/>
            <w:gridSpan w:val="3"/>
            <w:shd w:val="clear" w:color="auto" w:fill="auto"/>
            <w:vAlign w:val="bottom"/>
          </w:tcPr>
          <w:p w14:paraId="5F2D4306" w14:textId="77777777" w:rsidR="00E836FB" w:rsidRDefault="00E836FB">
            <w:pPr>
              <w:rPr>
                <w:rFonts w:ascii="宋体"/>
                <w:vanish/>
              </w:rPr>
            </w:pPr>
          </w:p>
        </w:tc>
        <w:tc>
          <w:tcPr>
            <w:tcW w:w="0" w:type="auto"/>
            <w:gridSpan w:val="3"/>
            <w:shd w:val="clear" w:color="auto" w:fill="auto"/>
            <w:vAlign w:val="bottom"/>
          </w:tcPr>
          <w:p w14:paraId="5F2D4307" w14:textId="77777777" w:rsidR="00E836FB" w:rsidRDefault="00E836FB">
            <w:pPr>
              <w:rPr>
                <w:rFonts w:ascii="宋体"/>
                <w:vanish/>
              </w:rPr>
            </w:pPr>
          </w:p>
        </w:tc>
        <w:tc>
          <w:tcPr>
            <w:tcW w:w="0" w:type="auto"/>
            <w:gridSpan w:val="3"/>
            <w:shd w:val="clear" w:color="auto" w:fill="auto"/>
            <w:vAlign w:val="bottom"/>
          </w:tcPr>
          <w:p w14:paraId="5F2D4308" w14:textId="77777777" w:rsidR="00E836FB" w:rsidRDefault="00E836FB">
            <w:pPr>
              <w:rPr>
                <w:rFonts w:ascii="宋体"/>
                <w:vanish/>
              </w:rPr>
            </w:pPr>
          </w:p>
        </w:tc>
        <w:tc>
          <w:tcPr>
            <w:tcW w:w="0" w:type="auto"/>
            <w:gridSpan w:val="3"/>
            <w:shd w:val="clear" w:color="auto" w:fill="auto"/>
            <w:vAlign w:val="bottom"/>
          </w:tcPr>
          <w:p w14:paraId="5F2D4309" w14:textId="77777777" w:rsidR="00E836FB" w:rsidRDefault="00E836FB">
            <w:pPr>
              <w:rPr>
                <w:rFonts w:ascii="宋体"/>
                <w:vanish/>
              </w:rPr>
            </w:pPr>
          </w:p>
        </w:tc>
        <w:tc>
          <w:tcPr>
            <w:tcW w:w="0" w:type="auto"/>
            <w:gridSpan w:val="3"/>
            <w:shd w:val="clear" w:color="auto" w:fill="auto"/>
            <w:vAlign w:val="bottom"/>
          </w:tcPr>
          <w:p w14:paraId="5F2D430A" w14:textId="77777777" w:rsidR="00E836FB" w:rsidRDefault="00E836FB">
            <w:pPr>
              <w:rPr>
                <w:rFonts w:ascii="宋体"/>
                <w:vanish/>
              </w:rPr>
            </w:pPr>
          </w:p>
        </w:tc>
        <w:tc>
          <w:tcPr>
            <w:tcW w:w="0" w:type="auto"/>
            <w:gridSpan w:val="3"/>
            <w:shd w:val="clear" w:color="auto" w:fill="auto"/>
            <w:vAlign w:val="bottom"/>
          </w:tcPr>
          <w:p w14:paraId="5F2D430B" w14:textId="77777777" w:rsidR="00E836FB" w:rsidRDefault="00E836FB">
            <w:pPr>
              <w:rPr>
                <w:rFonts w:ascii="宋体"/>
                <w:vanish/>
              </w:rPr>
            </w:pPr>
          </w:p>
        </w:tc>
      </w:tr>
      <w:tr w:rsidR="00E836FB" w14:paraId="5F2D4313" w14:textId="77777777">
        <w:trPr>
          <w:hidden/>
        </w:trPr>
        <w:tc>
          <w:tcPr>
            <w:tcW w:w="0" w:type="auto"/>
            <w:gridSpan w:val="3"/>
            <w:shd w:val="clear" w:color="auto" w:fill="auto"/>
            <w:vAlign w:val="bottom"/>
          </w:tcPr>
          <w:p w14:paraId="5F2D430D" w14:textId="77777777" w:rsidR="00E836FB" w:rsidRDefault="00E836FB">
            <w:pPr>
              <w:rPr>
                <w:rFonts w:ascii="宋体"/>
                <w:vanish/>
              </w:rPr>
            </w:pPr>
          </w:p>
        </w:tc>
        <w:tc>
          <w:tcPr>
            <w:tcW w:w="0" w:type="auto"/>
            <w:gridSpan w:val="3"/>
            <w:shd w:val="clear" w:color="auto" w:fill="auto"/>
            <w:vAlign w:val="bottom"/>
          </w:tcPr>
          <w:p w14:paraId="5F2D430E" w14:textId="77777777" w:rsidR="00E836FB" w:rsidRDefault="00E836FB">
            <w:pPr>
              <w:rPr>
                <w:rFonts w:ascii="宋体"/>
                <w:vanish/>
              </w:rPr>
            </w:pPr>
          </w:p>
        </w:tc>
        <w:tc>
          <w:tcPr>
            <w:tcW w:w="0" w:type="auto"/>
            <w:gridSpan w:val="3"/>
            <w:shd w:val="clear" w:color="auto" w:fill="auto"/>
            <w:vAlign w:val="bottom"/>
          </w:tcPr>
          <w:p w14:paraId="5F2D430F" w14:textId="77777777" w:rsidR="00E836FB" w:rsidRDefault="00E836FB">
            <w:pPr>
              <w:rPr>
                <w:rFonts w:ascii="宋体"/>
                <w:vanish/>
              </w:rPr>
            </w:pPr>
          </w:p>
        </w:tc>
        <w:tc>
          <w:tcPr>
            <w:tcW w:w="0" w:type="auto"/>
            <w:gridSpan w:val="3"/>
            <w:shd w:val="clear" w:color="auto" w:fill="auto"/>
            <w:vAlign w:val="bottom"/>
          </w:tcPr>
          <w:p w14:paraId="5F2D4310" w14:textId="77777777" w:rsidR="00E836FB" w:rsidRDefault="00E836FB">
            <w:pPr>
              <w:rPr>
                <w:rFonts w:ascii="宋体"/>
                <w:vanish/>
              </w:rPr>
            </w:pPr>
          </w:p>
        </w:tc>
        <w:tc>
          <w:tcPr>
            <w:tcW w:w="0" w:type="auto"/>
            <w:gridSpan w:val="3"/>
            <w:shd w:val="clear" w:color="auto" w:fill="auto"/>
            <w:vAlign w:val="bottom"/>
          </w:tcPr>
          <w:p w14:paraId="5F2D4311" w14:textId="77777777" w:rsidR="00E836FB" w:rsidRDefault="00E836FB">
            <w:pPr>
              <w:rPr>
                <w:rFonts w:ascii="宋体"/>
                <w:vanish/>
              </w:rPr>
            </w:pPr>
          </w:p>
        </w:tc>
        <w:tc>
          <w:tcPr>
            <w:tcW w:w="0" w:type="auto"/>
            <w:gridSpan w:val="3"/>
            <w:shd w:val="clear" w:color="auto" w:fill="auto"/>
            <w:vAlign w:val="bottom"/>
          </w:tcPr>
          <w:p w14:paraId="5F2D4312" w14:textId="77777777" w:rsidR="00E836FB" w:rsidRDefault="00E836FB">
            <w:pPr>
              <w:rPr>
                <w:rFonts w:ascii="宋体"/>
                <w:vanish/>
              </w:rPr>
            </w:pPr>
          </w:p>
        </w:tc>
      </w:tr>
      <w:tr w:rsidR="00E836FB" w14:paraId="5F2D431A" w14:textId="77777777">
        <w:trPr>
          <w:hidden/>
        </w:trPr>
        <w:tc>
          <w:tcPr>
            <w:tcW w:w="0" w:type="auto"/>
            <w:gridSpan w:val="3"/>
            <w:shd w:val="clear" w:color="auto" w:fill="auto"/>
            <w:vAlign w:val="bottom"/>
          </w:tcPr>
          <w:p w14:paraId="5F2D4314" w14:textId="77777777" w:rsidR="00E836FB" w:rsidRDefault="00E836FB">
            <w:pPr>
              <w:rPr>
                <w:rFonts w:ascii="宋体"/>
                <w:vanish/>
              </w:rPr>
            </w:pPr>
          </w:p>
        </w:tc>
        <w:tc>
          <w:tcPr>
            <w:tcW w:w="0" w:type="auto"/>
            <w:gridSpan w:val="3"/>
            <w:shd w:val="clear" w:color="auto" w:fill="auto"/>
            <w:vAlign w:val="bottom"/>
          </w:tcPr>
          <w:p w14:paraId="5F2D4315" w14:textId="77777777" w:rsidR="00E836FB" w:rsidRDefault="00E836FB">
            <w:pPr>
              <w:rPr>
                <w:rFonts w:ascii="宋体"/>
                <w:vanish/>
              </w:rPr>
            </w:pPr>
          </w:p>
        </w:tc>
        <w:tc>
          <w:tcPr>
            <w:tcW w:w="0" w:type="auto"/>
            <w:gridSpan w:val="3"/>
            <w:shd w:val="clear" w:color="auto" w:fill="auto"/>
            <w:vAlign w:val="bottom"/>
          </w:tcPr>
          <w:p w14:paraId="5F2D4316" w14:textId="77777777" w:rsidR="00E836FB" w:rsidRDefault="00E836FB">
            <w:pPr>
              <w:rPr>
                <w:rFonts w:ascii="宋体"/>
                <w:vanish/>
              </w:rPr>
            </w:pPr>
          </w:p>
        </w:tc>
        <w:tc>
          <w:tcPr>
            <w:tcW w:w="0" w:type="auto"/>
            <w:gridSpan w:val="3"/>
            <w:shd w:val="clear" w:color="auto" w:fill="auto"/>
            <w:vAlign w:val="bottom"/>
          </w:tcPr>
          <w:p w14:paraId="5F2D4317" w14:textId="77777777" w:rsidR="00E836FB" w:rsidRDefault="00E836FB">
            <w:pPr>
              <w:rPr>
                <w:rFonts w:ascii="宋体"/>
                <w:vanish/>
              </w:rPr>
            </w:pPr>
          </w:p>
        </w:tc>
        <w:tc>
          <w:tcPr>
            <w:tcW w:w="0" w:type="auto"/>
            <w:gridSpan w:val="3"/>
            <w:shd w:val="clear" w:color="auto" w:fill="auto"/>
            <w:vAlign w:val="bottom"/>
          </w:tcPr>
          <w:p w14:paraId="5F2D4318" w14:textId="77777777" w:rsidR="00E836FB" w:rsidRDefault="00E836FB">
            <w:pPr>
              <w:rPr>
                <w:rFonts w:ascii="宋体"/>
                <w:vanish/>
              </w:rPr>
            </w:pPr>
          </w:p>
        </w:tc>
        <w:tc>
          <w:tcPr>
            <w:tcW w:w="0" w:type="auto"/>
            <w:gridSpan w:val="3"/>
            <w:shd w:val="clear" w:color="auto" w:fill="auto"/>
            <w:vAlign w:val="bottom"/>
          </w:tcPr>
          <w:p w14:paraId="5F2D4319" w14:textId="77777777" w:rsidR="00E836FB" w:rsidRDefault="00E836FB">
            <w:pPr>
              <w:rPr>
                <w:rFonts w:ascii="宋体"/>
                <w:vanish/>
              </w:rPr>
            </w:pPr>
          </w:p>
        </w:tc>
      </w:tr>
      <w:tr w:rsidR="00E836FB" w14:paraId="5F2D4321" w14:textId="77777777">
        <w:trPr>
          <w:hidden/>
        </w:trPr>
        <w:tc>
          <w:tcPr>
            <w:tcW w:w="0" w:type="auto"/>
            <w:gridSpan w:val="3"/>
            <w:shd w:val="clear" w:color="auto" w:fill="auto"/>
            <w:vAlign w:val="bottom"/>
          </w:tcPr>
          <w:p w14:paraId="5F2D431B" w14:textId="77777777" w:rsidR="00E836FB" w:rsidRDefault="00E836FB">
            <w:pPr>
              <w:rPr>
                <w:rFonts w:ascii="宋体"/>
                <w:vanish/>
              </w:rPr>
            </w:pPr>
          </w:p>
        </w:tc>
        <w:tc>
          <w:tcPr>
            <w:tcW w:w="0" w:type="auto"/>
            <w:gridSpan w:val="3"/>
            <w:shd w:val="clear" w:color="auto" w:fill="auto"/>
            <w:vAlign w:val="bottom"/>
          </w:tcPr>
          <w:p w14:paraId="5F2D431C" w14:textId="77777777" w:rsidR="00E836FB" w:rsidRDefault="00E836FB">
            <w:pPr>
              <w:rPr>
                <w:rFonts w:ascii="宋体"/>
                <w:vanish/>
              </w:rPr>
            </w:pPr>
          </w:p>
        </w:tc>
        <w:tc>
          <w:tcPr>
            <w:tcW w:w="0" w:type="auto"/>
            <w:gridSpan w:val="3"/>
            <w:shd w:val="clear" w:color="auto" w:fill="auto"/>
            <w:vAlign w:val="bottom"/>
          </w:tcPr>
          <w:p w14:paraId="5F2D431D" w14:textId="77777777" w:rsidR="00E836FB" w:rsidRDefault="00E836FB">
            <w:pPr>
              <w:rPr>
                <w:rFonts w:ascii="宋体"/>
                <w:vanish/>
              </w:rPr>
            </w:pPr>
          </w:p>
        </w:tc>
        <w:tc>
          <w:tcPr>
            <w:tcW w:w="0" w:type="auto"/>
            <w:gridSpan w:val="3"/>
            <w:shd w:val="clear" w:color="auto" w:fill="auto"/>
            <w:vAlign w:val="bottom"/>
          </w:tcPr>
          <w:p w14:paraId="5F2D431E" w14:textId="77777777" w:rsidR="00E836FB" w:rsidRDefault="00E836FB">
            <w:pPr>
              <w:rPr>
                <w:rFonts w:ascii="宋体"/>
                <w:vanish/>
              </w:rPr>
            </w:pPr>
          </w:p>
        </w:tc>
        <w:tc>
          <w:tcPr>
            <w:tcW w:w="0" w:type="auto"/>
            <w:gridSpan w:val="3"/>
            <w:shd w:val="clear" w:color="auto" w:fill="auto"/>
            <w:vAlign w:val="bottom"/>
          </w:tcPr>
          <w:p w14:paraId="5F2D431F" w14:textId="77777777" w:rsidR="00E836FB" w:rsidRDefault="00E836FB">
            <w:pPr>
              <w:rPr>
                <w:rFonts w:ascii="宋体"/>
                <w:vanish/>
              </w:rPr>
            </w:pPr>
          </w:p>
        </w:tc>
        <w:tc>
          <w:tcPr>
            <w:tcW w:w="0" w:type="auto"/>
            <w:gridSpan w:val="3"/>
            <w:shd w:val="clear" w:color="auto" w:fill="auto"/>
            <w:vAlign w:val="bottom"/>
          </w:tcPr>
          <w:p w14:paraId="5F2D4320" w14:textId="77777777" w:rsidR="00E836FB" w:rsidRDefault="00E836FB">
            <w:pPr>
              <w:rPr>
                <w:rFonts w:ascii="宋体"/>
                <w:vanish/>
              </w:rPr>
            </w:pPr>
          </w:p>
        </w:tc>
      </w:tr>
      <w:tr w:rsidR="00E836FB" w14:paraId="5F2D4328" w14:textId="77777777">
        <w:trPr>
          <w:hidden/>
        </w:trPr>
        <w:tc>
          <w:tcPr>
            <w:tcW w:w="0" w:type="auto"/>
            <w:gridSpan w:val="3"/>
            <w:shd w:val="clear" w:color="auto" w:fill="auto"/>
            <w:vAlign w:val="bottom"/>
          </w:tcPr>
          <w:p w14:paraId="5F2D4322" w14:textId="77777777" w:rsidR="00E836FB" w:rsidRDefault="00E836FB">
            <w:pPr>
              <w:rPr>
                <w:rFonts w:ascii="宋体"/>
                <w:vanish/>
              </w:rPr>
            </w:pPr>
          </w:p>
        </w:tc>
        <w:tc>
          <w:tcPr>
            <w:tcW w:w="0" w:type="auto"/>
            <w:gridSpan w:val="3"/>
            <w:shd w:val="clear" w:color="auto" w:fill="auto"/>
            <w:vAlign w:val="bottom"/>
          </w:tcPr>
          <w:p w14:paraId="5F2D4323" w14:textId="77777777" w:rsidR="00E836FB" w:rsidRDefault="00E836FB">
            <w:pPr>
              <w:rPr>
                <w:rFonts w:ascii="宋体"/>
                <w:vanish/>
              </w:rPr>
            </w:pPr>
          </w:p>
        </w:tc>
        <w:tc>
          <w:tcPr>
            <w:tcW w:w="0" w:type="auto"/>
            <w:gridSpan w:val="3"/>
            <w:shd w:val="clear" w:color="auto" w:fill="auto"/>
            <w:vAlign w:val="bottom"/>
          </w:tcPr>
          <w:p w14:paraId="5F2D4324" w14:textId="77777777" w:rsidR="00E836FB" w:rsidRDefault="00E836FB">
            <w:pPr>
              <w:rPr>
                <w:rFonts w:ascii="宋体"/>
                <w:vanish/>
              </w:rPr>
            </w:pPr>
          </w:p>
        </w:tc>
        <w:tc>
          <w:tcPr>
            <w:tcW w:w="0" w:type="auto"/>
            <w:gridSpan w:val="3"/>
            <w:shd w:val="clear" w:color="auto" w:fill="auto"/>
            <w:vAlign w:val="bottom"/>
          </w:tcPr>
          <w:p w14:paraId="5F2D4325" w14:textId="77777777" w:rsidR="00E836FB" w:rsidRDefault="00E836FB">
            <w:pPr>
              <w:rPr>
                <w:rFonts w:ascii="宋体"/>
                <w:vanish/>
              </w:rPr>
            </w:pPr>
          </w:p>
        </w:tc>
        <w:tc>
          <w:tcPr>
            <w:tcW w:w="0" w:type="auto"/>
            <w:gridSpan w:val="3"/>
            <w:shd w:val="clear" w:color="auto" w:fill="auto"/>
            <w:vAlign w:val="bottom"/>
          </w:tcPr>
          <w:p w14:paraId="5F2D4326" w14:textId="77777777" w:rsidR="00E836FB" w:rsidRDefault="00E836FB">
            <w:pPr>
              <w:rPr>
                <w:rFonts w:ascii="宋体"/>
                <w:vanish/>
              </w:rPr>
            </w:pPr>
          </w:p>
        </w:tc>
        <w:tc>
          <w:tcPr>
            <w:tcW w:w="0" w:type="auto"/>
            <w:gridSpan w:val="3"/>
            <w:shd w:val="clear" w:color="auto" w:fill="auto"/>
            <w:vAlign w:val="bottom"/>
          </w:tcPr>
          <w:p w14:paraId="5F2D4327" w14:textId="77777777" w:rsidR="00E836FB" w:rsidRDefault="00E836FB">
            <w:pPr>
              <w:rPr>
                <w:rFonts w:ascii="宋体"/>
                <w:vanish/>
              </w:rPr>
            </w:pPr>
          </w:p>
        </w:tc>
      </w:tr>
      <w:tr w:rsidR="00E836FB" w14:paraId="5F2D432F" w14:textId="77777777">
        <w:trPr>
          <w:hidden/>
        </w:trPr>
        <w:tc>
          <w:tcPr>
            <w:tcW w:w="0" w:type="auto"/>
            <w:gridSpan w:val="3"/>
            <w:shd w:val="clear" w:color="auto" w:fill="auto"/>
            <w:vAlign w:val="bottom"/>
          </w:tcPr>
          <w:p w14:paraId="5F2D4329" w14:textId="77777777" w:rsidR="00E836FB" w:rsidRDefault="00E836FB">
            <w:pPr>
              <w:rPr>
                <w:rFonts w:ascii="宋体"/>
                <w:vanish/>
              </w:rPr>
            </w:pPr>
          </w:p>
        </w:tc>
        <w:tc>
          <w:tcPr>
            <w:tcW w:w="0" w:type="auto"/>
            <w:gridSpan w:val="3"/>
            <w:shd w:val="clear" w:color="auto" w:fill="auto"/>
            <w:vAlign w:val="bottom"/>
          </w:tcPr>
          <w:p w14:paraId="5F2D432A" w14:textId="77777777" w:rsidR="00E836FB" w:rsidRDefault="00E836FB">
            <w:pPr>
              <w:rPr>
                <w:rFonts w:ascii="宋体"/>
                <w:vanish/>
              </w:rPr>
            </w:pPr>
          </w:p>
        </w:tc>
        <w:tc>
          <w:tcPr>
            <w:tcW w:w="0" w:type="auto"/>
            <w:gridSpan w:val="3"/>
            <w:shd w:val="clear" w:color="auto" w:fill="auto"/>
            <w:vAlign w:val="bottom"/>
          </w:tcPr>
          <w:p w14:paraId="5F2D432B" w14:textId="77777777" w:rsidR="00E836FB" w:rsidRDefault="00E836FB">
            <w:pPr>
              <w:rPr>
                <w:rFonts w:ascii="宋体"/>
                <w:vanish/>
              </w:rPr>
            </w:pPr>
          </w:p>
        </w:tc>
        <w:tc>
          <w:tcPr>
            <w:tcW w:w="0" w:type="auto"/>
            <w:gridSpan w:val="3"/>
            <w:shd w:val="clear" w:color="auto" w:fill="auto"/>
            <w:vAlign w:val="bottom"/>
          </w:tcPr>
          <w:p w14:paraId="5F2D432C" w14:textId="77777777" w:rsidR="00E836FB" w:rsidRDefault="00E836FB">
            <w:pPr>
              <w:rPr>
                <w:rFonts w:ascii="宋体"/>
                <w:vanish/>
              </w:rPr>
            </w:pPr>
          </w:p>
        </w:tc>
        <w:tc>
          <w:tcPr>
            <w:tcW w:w="0" w:type="auto"/>
            <w:gridSpan w:val="3"/>
            <w:shd w:val="clear" w:color="auto" w:fill="auto"/>
            <w:vAlign w:val="bottom"/>
          </w:tcPr>
          <w:p w14:paraId="5F2D432D" w14:textId="77777777" w:rsidR="00E836FB" w:rsidRDefault="00E836FB">
            <w:pPr>
              <w:rPr>
                <w:rFonts w:ascii="宋体"/>
                <w:vanish/>
              </w:rPr>
            </w:pPr>
          </w:p>
        </w:tc>
        <w:tc>
          <w:tcPr>
            <w:tcW w:w="0" w:type="auto"/>
            <w:gridSpan w:val="3"/>
            <w:shd w:val="clear" w:color="auto" w:fill="auto"/>
            <w:vAlign w:val="bottom"/>
          </w:tcPr>
          <w:p w14:paraId="5F2D432E" w14:textId="77777777" w:rsidR="00E836FB" w:rsidRDefault="00E836FB">
            <w:pPr>
              <w:rPr>
                <w:rFonts w:ascii="宋体"/>
                <w:vanish/>
              </w:rPr>
            </w:pPr>
          </w:p>
        </w:tc>
      </w:tr>
      <w:tr w:rsidR="00E836FB" w14:paraId="5F2D4336" w14:textId="77777777">
        <w:trPr>
          <w:hidden/>
        </w:trPr>
        <w:tc>
          <w:tcPr>
            <w:tcW w:w="0" w:type="auto"/>
            <w:gridSpan w:val="3"/>
            <w:shd w:val="clear" w:color="auto" w:fill="auto"/>
            <w:vAlign w:val="bottom"/>
          </w:tcPr>
          <w:p w14:paraId="5F2D4330" w14:textId="77777777" w:rsidR="00E836FB" w:rsidRDefault="00E836FB">
            <w:pPr>
              <w:rPr>
                <w:rFonts w:ascii="宋体"/>
                <w:vanish/>
              </w:rPr>
            </w:pPr>
          </w:p>
        </w:tc>
        <w:tc>
          <w:tcPr>
            <w:tcW w:w="0" w:type="auto"/>
            <w:gridSpan w:val="3"/>
            <w:shd w:val="clear" w:color="auto" w:fill="auto"/>
            <w:vAlign w:val="bottom"/>
          </w:tcPr>
          <w:p w14:paraId="5F2D4331" w14:textId="77777777" w:rsidR="00E836FB" w:rsidRDefault="00E836FB">
            <w:pPr>
              <w:rPr>
                <w:rFonts w:ascii="宋体"/>
                <w:vanish/>
              </w:rPr>
            </w:pPr>
          </w:p>
        </w:tc>
        <w:tc>
          <w:tcPr>
            <w:tcW w:w="0" w:type="auto"/>
            <w:gridSpan w:val="3"/>
            <w:shd w:val="clear" w:color="auto" w:fill="auto"/>
            <w:vAlign w:val="bottom"/>
          </w:tcPr>
          <w:p w14:paraId="5F2D4332" w14:textId="77777777" w:rsidR="00E836FB" w:rsidRDefault="00E836FB">
            <w:pPr>
              <w:rPr>
                <w:rFonts w:ascii="宋体"/>
                <w:vanish/>
              </w:rPr>
            </w:pPr>
          </w:p>
        </w:tc>
        <w:tc>
          <w:tcPr>
            <w:tcW w:w="0" w:type="auto"/>
            <w:gridSpan w:val="3"/>
            <w:shd w:val="clear" w:color="auto" w:fill="auto"/>
            <w:vAlign w:val="bottom"/>
          </w:tcPr>
          <w:p w14:paraId="5F2D4333" w14:textId="77777777" w:rsidR="00E836FB" w:rsidRDefault="00E836FB">
            <w:pPr>
              <w:rPr>
                <w:rFonts w:ascii="宋体"/>
                <w:vanish/>
              </w:rPr>
            </w:pPr>
          </w:p>
        </w:tc>
        <w:tc>
          <w:tcPr>
            <w:tcW w:w="0" w:type="auto"/>
            <w:gridSpan w:val="3"/>
            <w:shd w:val="clear" w:color="auto" w:fill="auto"/>
            <w:vAlign w:val="bottom"/>
          </w:tcPr>
          <w:p w14:paraId="5F2D4334" w14:textId="77777777" w:rsidR="00E836FB" w:rsidRDefault="00E836FB">
            <w:pPr>
              <w:rPr>
                <w:rFonts w:ascii="宋体"/>
                <w:vanish/>
              </w:rPr>
            </w:pPr>
          </w:p>
        </w:tc>
        <w:tc>
          <w:tcPr>
            <w:tcW w:w="0" w:type="auto"/>
            <w:gridSpan w:val="3"/>
            <w:shd w:val="clear" w:color="auto" w:fill="auto"/>
            <w:vAlign w:val="bottom"/>
          </w:tcPr>
          <w:p w14:paraId="5F2D4335" w14:textId="77777777" w:rsidR="00E836FB" w:rsidRDefault="00E836FB">
            <w:pPr>
              <w:rPr>
                <w:rFonts w:ascii="宋体"/>
                <w:vanish/>
              </w:rPr>
            </w:pPr>
          </w:p>
        </w:tc>
      </w:tr>
      <w:tr w:rsidR="00E836FB" w14:paraId="5F2D433D" w14:textId="77777777">
        <w:trPr>
          <w:hidden/>
        </w:trPr>
        <w:tc>
          <w:tcPr>
            <w:tcW w:w="0" w:type="auto"/>
            <w:gridSpan w:val="3"/>
            <w:shd w:val="clear" w:color="auto" w:fill="auto"/>
            <w:vAlign w:val="bottom"/>
          </w:tcPr>
          <w:p w14:paraId="5F2D4337" w14:textId="77777777" w:rsidR="00E836FB" w:rsidRDefault="00E836FB">
            <w:pPr>
              <w:rPr>
                <w:rFonts w:ascii="宋体"/>
                <w:vanish/>
              </w:rPr>
            </w:pPr>
          </w:p>
        </w:tc>
        <w:tc>
          <w:tcPr>
            <w:tcW w:w="0" w:type="auto"/>
            <w:gridSpan w:val="3"/>
            <w:shd w:val="clear" w:color="auto" w:fill="auto"/>
            <w:vAlign w:val="bottom"/>
          </w:tcPr>
          <w:p w14:paraId="5F2D4338" w14:textId="77777777" w:rsidR="00E836FB" w:rsidRDefault="00E836FB">
            <w:pPr>
              <w:rPr>
                <w:rFonts w:ascii="宋体"/>
                <w:vanish/>
              </w:rPr>
            </w:pPr>
          </w:p>
        </w:tc>
        <w:tc>
          <w:tcPr>
            <w:tcW w:w="0" w:type="auto"/>
            <w:gridSpan w:val="3"/>
            <w:shd w:val="clear" w:color="auto" w:fill="auto"/>
            <w:vAlign w:val="bottom"/>
          </w:tcPr>
          <w:p w14:paraId="5F2D4339" w14:textId="77777777" w:rsidR="00E836FB" w:rsidRDefault="00E836FB">
            <w:pPr>
              <w:rPr>
                <w:rFonts w:ascii="宋体"/>
                <w:vanish/>
              </w:rPr>
            </w:pPr>
          </w:p>
        </w:tc>
        <w:tc>
          <w:tcPr>
            <w:tcW w:w="0" w:type="auto"/>
            <w:gridSpan w:val="3"/>
            <w:shd w:val="clear" w:color="auto" w:fill="auto"/>
            <w:vAlign w:val="bottom"/>
          </w:tcPr>
          <w:p w14:paraId="5F2D433A" w14:textId="77777777" w:rsidR="00E836FB" w:rsidRDefault="00E836FB">
            <w:pPr>
              <w:rPr>
                <w:rFonts w:ascii="宋体"/>
                <w:vanish/>
              </w:rPr>
            </w:pPr>
          </w:p>
        </w:tc>
        <w:tc>
          <w:tcPr>
            <w:tcW w:w="0" w:type="auto"/>
            <w:gridSpan w:val="3"/>
            <w:shd w:val="clear" w:color="auto" w:fill="auto"/>
            <w:vAlign w:val="bottom"/>
          </w:tcPr>
          <w:p w14:paraId="5F2D433B" w14:textId="77777777" w:rsidR="00E836FB" w:rsidRDefault="00E836FB">
            <w:pPr>
              <w:rPr>
                <w:rFonts w:ascii="宋体"/>
                <w:vanish/>
              </w:rPr>
            </w:pPr>
          </w:p>
        </w:tc>
        <w:tc>
          <w:tcPr>
            <w:tcW w:w="0" w:type="auto"/>
            <w:gridSpan w:val="3"/>
            <w:shd w:val="clear" w:color="auto" w:fill="auto"/>
            <w:vAlign w:val="bottom"/>
          </w:tcPr>
          <w:p w14:paraId="5F2D433C" w14:textId="77777777" w:rsidR="00E836FB" w:rsidRDefault="00E836FB">
            <w:pPr>
              <w:rPr>
                <w:rFonts w:ascii="宋体"/>
                <w:vanish/>
              </w:rPr>
            </w:pPr>
          </w:p>
        </w:tc>
      </w:tr>
      <w:tr w:rsidR="00E836FB" w14:paraId="5F2D4344" w14:textId="77777777">
        <w:trPr>
          <w:trHeight w:val="100"/>
        </w:trPr>
        <w:tc>
          <w:tcPr>
            <w:tcW w:w="0" w:type="auto"/>
            <w:gridSpan w:val="3"/>
            <w:shd w:val="clear" w:color="auto" w:fill="auto"/>
            <w:tcMar>
              <w:top w:w="0" w:type="dxa"/>
              <w:left w:w="20" w:type="dxa"/>
              <w:bottom w:w="0" w:type="dxa"/>
              <w:right w:w="20" w:type="dxa"/>
            </w:tcMar>
            <w:vAlign w:val="bottom"/>
          </w:tcPr>
          <w:p w14:paraId="5F2D433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33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3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3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34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343" w14:textId="77777777" w:rsidR="00E836FB" w:rsidRDefault="00E836FB">
            <w:pPr>
              <w:rPr>
                <w:rFonts w:ascii="宋体"/>
              </w:rPr>
            </w:pPr>
          </w:p>
        </w:tc>
      </w:tr>
      <w:tr w:rsidR="00E836FB" w14:paraId="5F2D4349" w14:textId="77777777">
        <w:tc>
          <w:tcPr>
            <w:tcW w:w="0" w:type="auto"/>
            <w:gridSpan w:val="3"/>
            <w:shd w:val="clear" w:color="auto" w:fill="auto"/>
            <w:tcMar>
              <w:top w:w="0" w:type="dxa"/>
              <w:left w:w="20" w:type="dxa"/>
              <w:bottom w:w="0" w:type="dxa"/>
              <w:right w:w="20" w:type="dxa"/>
            </w:tcMar>
            <w:vAlign w:val="bottom"/>
          </w:tcPr>
          <w:p w14:paraId="5F2D4345"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D4346"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vAlign w:val="bottom"/>
          </w:tcPr>
          <w:p w14:paraId="5F2D434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348" w14:textId="77777777" w:rsidR="00E836FB" w:rsidRDefault="00E836FB">
            <w:pPr>
              <w:rPr>
                <w:rFonts w:ascii="宋体"/>
              </w:rPr>
            </w:pPr>
          </w:p>
        </w:tc>
      </w:tr>
      <w:tr w:rsidR="00E836FB" w14:paraId="5F2D4350" w14:textId="77777777">
        <w:tc>
          <w:tcPr>
            <w:tcW w:w="0" w:type="auto"/>
            <w:gridSpan w:val="3"/>
            <w:shd w:val="clear" w:color="auto" w:fill="auto"/>
            <w:tcMar>
              <w:top w:w="0" w:type="dxa"/>
              <w:left w:w="20" w:type="dxa"/>
              <w:bottom w:w="0" w:type="dxa"/>
              <w:right w:w="20" w:type="dxa"/>
            </w:tcMar>
            <w:vAlign w:val="bottom"/>
          </w:tcPr>
          <w:p w14:paraId="5F2D434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34B"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34C" w14:textId="77777777" w:rsidR="00E836FB" w:rsidRDefault="00E836F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F2D434D"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F2D43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34F" w14:textId="77777777" w:rsidR="00E836FB" w:rsidRDefault="00E836FB">
            <w:pPr>
              <w:rPr>
                <w:rFonts w:ascii="宋体"/>
              </w:rPr>
            </w:pPr>
          </w:p>
        </w:tc>
      </w:tr>
      <w:tr w:rsidR="00E836FB" w14:paraId="5F2D4355" w14:textId="77777777">
        <w:tc>
          <w:tcPr>
            <w:tcW w:w="0" w:type="auto"/>
            <w:gridSpan w:val="3"/>
            <w:shd w:val="clear" w:color="auto" w:fill="auto"/>
            <w:tcMar>
              <w:top w:w="40" w:type="dxa"/>
              <w:left w:w="20" w:type="dxa"/>
              <w:bottom w:w="40" w:type="dxa"/>
              <w:right w:w="20" w:type="dxa"/>
            </w:tcMar>
            <w:vAlign w:val="bottom"/>
          </w:tcPr>
          <w:p w14:paraId="5F2D4351"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F2D4352" w14:textId="77777777" w:rsidR="00E836FB" w:rsidRDefault="00994958">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 xml:space="preserve">out of </w:t>
            </w: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14:paraId="5F2D435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354" w14:textId="77777777" w:rsidR="00E836FB" w:rsidRDefault="00994958">
            <w:pPr>
              <w:jc w:val="center"/>
              <w:textAlignment w:val="bottom"/>
            </w:pPr>
            <w:r>
              <w:rPr>
                <w:rFonts w:ascii="Arial" w:eastAsia="宋体" w:hAnsi="Arial" w:cs="Arial"/>
                <w:b/>
                <w:bCs/>
                <w:color w:val="000000"/>
                <w:sz w:val="14"/>
                <w:szCs w:val="14"/>
              </w:rPr>
              <w:t>Affected Line Item in Consolidated Statement of Income</w:t>
            </w:r>
          </w:p>
        </w:tc>
      </w:tr>
      <w:tr w:rsidR="00E836FB" w14:paraId="5F2D435C" w14:textId="77777777">
        <w:trPr>
          <w:hidden/>
        </w:trPr>
        <w:tc>
          <w:tcPr>
            <w:tcW w:w="0" w:type="auto"/>
            <w:gridSpan w:val="3"/>
            <w:shd w:val="clear" w:color="auto" w:fill="auto"/>
            <w:vAlign w:val="bottom"/>
          </w:tcPr>
          <w:p w14:paraId="5F2D4356" w14:textId="77777777" w:rsidR="00E836FB" w:rsidRDefault="00E836FB">
            <w:pPr>
              <w:rPr>
                <w:rFonts w:ascii="宋体"/>
                <w:vanish/>
              </w:rPr>
            </w:pPr>
          </w:p>
        </w:tc>
        <w:tc>
          <w:tcPr>
            <w:tcW w:w="0" w:type="auto"/>
            <w:gridSpan w:val="3"/>
            <w:shd w:val="clear" w:color="auto" w:fill="auto"/>
            <w:vAlign w:val="bottom"/>
          </w:tcPr>
          <w:p w14:paraId="5F2D4357" w14:textId="77777777" w:rsidR="00E836FB" w:rsidRDefault="00E836FB">
            <w:pPr>
              <w:rPr>
                <w:rFonts w:ascii="宋体"/>
                <w:vanish/>
              </w:rPr>
            </w:pPr>
          </w:p>
        </w:tc>
        <w:tc>
          <w:tcPr>
            <w:tcW w:w="0" w:type="auto"/>
            <w:gridSpan w:val="3"/>
            <w:shd w:val="clear" w:color="auto" w:fill="auto"/>
            <w:vAlign w:val="bottom"/>
          </w:tcPr>
          <w:p w14:paraId="5F2D4358" w14:textId="77777777" w:rsidR="00E836FB" w:rsidRDefault="00E836FB">
            <w:pPr>
              <w:rPr>
                <w:rFonts w:ascii="宋体"/>
                <w:vanish/>
              </w:rPr>
            </w:pPr>
          </w:p>
        </w:tc>
        <w:tc>
          <w:tcPr>
            <w:tcW w:w="0" w:type="auto"/>
            <w:gridSpan w:val="3"/>
            <w:shd w:val="clear" w:color="auto" w:fill="auto"/>
            <w:vAlign w:val="bottom"/>
          </w:tcPr>
          <w:p w14:paraId="5F2D4359" w14:textId="77777777" w:rsidR="00E836FB" w:rsidRDefault="00E836FB">
            <w:pPr>
              <w:rPr>
                <w:rFonts w:ascii="宋体"/>
                <w:vanish/>
              </w:rPr>
            </w:pPr>
          </w:p>
        </w:tc>
        <w:tc>
          <w:tcPr>
            <w:tcW w:w="0" w:type="auto"/>
            <w:gridSpan w:val="3"/>
            <w:shd w:val="clear" w:color="auto" w:fill="auto"/>
            <w:vAlign w:val="bottom"/>
          </w:tcPr>
          <w:p w14:paraId="5F2D435A" w14:textId="77777777" w:rsidR="00E836FB" w:rsidRDefault="00E836FB">
            <w:pPr>
              <w:rPr>
                <w:rFonts w:ascii="宋体"/>
                <w:vanish/>
              </w:rPr>
            </w:pPr>
          </w:p>
        </w:tc>
        <w:tc>
          <w:tcPr>
            <w:tcW w:w="0" w:type="auto"/>
            <w:gridSpan w:val="3"/>
            <w:shd w:val="clear" w:color="auto" w:fill="auto"/>
            <w:vAlign w:val="bottom"/>
          </w:tcPr>
          <w:p w14:paraId="5F2D435B" w14:textId="77777777" w:rsidR="00E836FB" w:rsidRDefault="00E836FB">
            <w:pPr>
              <w:rPr>
                <w:rFonts w:ascii="宋体"/>
                <w:vanish/>
              </w:rPr>
            </w:pPr>
          </w:p>
        </w:tc>
      </w:tr>
      <w:tr w:rsidR="00E836FB" w14:paraId="5F2D4363" w14:textId="77777777">
        <w:trPr>
          <w:hidden/>
        </w:trPr>
        <w:tc>
          <w:tcPr>
            <w:tcW w:w="0" w:type="auto"/>
            <w:gridSpan w:val="3"/>
            <w:shd w:val="clear" w:color="auto" w:fill="auto"/>
            <w:vAlign w:val="bottom"/>
          </w:tcPr>
          <w:p w14:paraId="5F2D435D" w14:textId="77777777" w:rsidR="00E836FB" w:rsidRDefault="00E836FB">
            <w:pPr>
              <w:rPr>
                <w:rFonts w:ascii="宋体"/>
                <w:vanish/>
              </w:rPr>
            </w:pPr>
          </w:p>
        </w:tc>
        <w:tc>
          <w:tcPr>
            <w:tcW w:w="0" w:type="auto"/>
            <w:gridSpan w:val="3"/>
            <w:shd w:val="clear" w:color="auto" w:fill="auto"/>
            <w:vAlign w:val="bottom"/>
          </w:tcPr>
          <w:p w14:paraId="5F2D435E" w14:textId="77777777" w:rsidR="00E836FB" w:rsidRDefault="00E836FB">
            <w:pPr>
              <w:rPr>
                <w:rFonts w:ascii="宋体"/>
                <w:vanish/>
              </w:rPr>
            </w:pPr>
          </w:p>
        </w:tc>
        <w:tc>
          <w:tcPr>
            <w:tcW w:w="0" w:type="auto"/>
            <w:gridSpan w:val="3"/>
            <w:shd w:val="clear" w:color="auto" w:fill="auto"/>
            <w:vAlign w:val="bottom"/>
          </w:tcPr>
          <w:p w14:paraId="5F2D435F" w14:textId="77777777" w:rsidR="00E836FB" w:rsidRDefault="00E836FB">
            <w:pPr>
              <w:rPr>
                <w:rFonts w:ascii="宋体"/>
                <w:vanish/>
              </w:rPr>
            </w:pPr>
          </w:p>
        </w:tc>
        <w:tc>
          <w:tcPr>
            <w:tcW w:w="0" w:type="auto"/>
            <w:gridSpan w:val="3"/>
            <w:shd w:val="clear" w:color="auto" w:fill="auto"/>
            <w:vAlign w:val="bottom"/>
          </w:tcPr>
          <w:p w14:paraId="5F2D4360" w14:textId="77777777" w:rsidR="00E836FB" w:rsidRDefault="00E836FB">
            <w:pPr>
              <w:rPr>
                <w:rFonts w:ascii="宋体"/>
                <w:vanish/>
              </w:rPr>
            </w:pPr>
          </w:p>
        </w:tc>
        <w:tc>
          <w:tcPr>
            <w:tcW w:w="0" w:type="auto"/>
            <w:gridSpan w:val="3"/>
            <w:shd w:val="clear" w:color="auto" w:fill="auto"/>
            <w:vAlign w:val="bottom"/>
          </w:tcPr>
          <w:p w14:paraId="5F2D4361" w14:textId="77777777" w:rsidR="00E836FB" w:rsidRDefault="00E836FB">
            <w:pPr>
              <w:rPr>
                <w:rFonts w:ascii="宋体"/>
                <w:vanish/>
              </w:rPr>
            </w:pPr>
          </w:p>
        </w:tc>
        <w:tc>
          <w:tcPr>
            <w:tcW w:w="0" w:type="auto"/>
            <w:gridSpan w:val="3"/>
            <w:shd w:val="clear" w:color="auto" w:fill="auto"/>
            <w:vAlign w:val="bottom"/>
          </w:tcPr>
          <w:p w14:paraId="5F2D4362" w14:textId="77777777" w:rsidR="00E836FB" w:rsidRDefault="00E836FB">
            <w:pPr>
              <w:rPr>
                <w:rFonts w:ascii="宋体"/>
                <w:vanish/>
              </w:rPr>
            </w:pPr>
          </w:p>
        </w:tc>
      </w:tr>
      <w:tr w:rsidR="00E836FB" w14:paraId="5F2D436A" w14:textId="77777777">
        <w:trPr>
          <w:hidden/>
        </w:trPr>
        <w:tc>
          <w:tcPr>
            <w:tcW w:w="0" w:type="auto"/>
            <w:gridSpan w:val="3"/>
            <w:shd w:val="clear" w:color="auto" w:fill="auto"/>
            <w:vAlign w:val="bottom"/>
          </w:tcPr>
          <w:p w14:paraId="5F2D4364" w14:textId="77777777" w:rsidR="00E836FB" w:rsidRDefault="00E836FB">
            <w:pPr>
              <w:rPr>
                <w:rFonts w:ascii="宋体"/>
                <w:vanish/>
              </w:rPr>
            </w:pPr>
          </w:p>
        </w:tc>
        <w:tc>
          <w:tcPr>
            <w:tcW w:w="0" w:type="auto"/>
            <w:gridSpan w:val="3"/>
            <w:shd w:val="clear" w:color="auto" w:fill="auto"/>
            <w:vAlign w:val="bottom"/>
          </w:tcPr>
          <w:p w14:paraId="5F2D4365" w14:textId="77777777" w:rsidR="00E836FB" w:rsidRDefault="00E836FB">
            <w:pPr>
              <w:rPr>
                <w:rFonts w:ascii="宋体"/>
                <w:vanish/>
              </w:rPr>
            </w:pPr>
          </w:p>
        </w:tc>
        <w:tc>
          <w:tcPr>
            <w:tcW w:w="0" w:type="auto"/>
            <w:gridSpan w:val="3"/>
            <w:shd w:val="clear" w:color="auto" w:fill="auto"/>
            <w:vAlign w:val="bottom"/>
          </w:tcPr>
          <w:p w14:paraId="5F2D4366" w14:textId="77777777" w:rsidR="00E836FB" w:rsidRDefault="00E836FB">
            <w:pPr>
              <w:rPr>
                <w:rFonts w:ascii="宋体"/>
                <w:vanish/>
              </w:rPr>
            </w:pPr>
          </w:p>
        </w:tc>
        <w:tc>
          <w:tcPr>
            <w:tcW w:w="0" w:type="auto"/>
            <w:gridSpan w:val="3"/>
            <w:shd w:val="clear" w:color="auto" w:fill="auto"/>
            <w:vAlign w:val="bottom"/>
          </w:tcPr>
          <w:p w14:paraId="5F2D4367" w14:textId="77777777" w:rsidR="00E836FB" w:rsidRDefault="00E836FB">
            <w:pPr>
              <w:rPr>
                <w:rFonts w:ascii="宋体"/>
                <w:vanish/>
              </w:rPr>
            </w:pPr>
          </w:p>
        </w:tc>
        <w:tc>
          <w:tcPr>
            <w:tcW w:w="0" w:type="auto"/>
            <w:gridSpan w:val="3"/>
            <w:shd w:val="clear" w:color="auto" w:fill="auto"/>
            <w:vAlign w:val="bottom"/>
          </w:tcPr>
          <w:p w14:paraId="5F2D4368" w14:textId="77777777" w:rsidR="00E836FB" w:rsidRDefault="00E836FB">
            <w:pPr>
              <w:rPr>
                <w:rFonts w:ascii="宋体"/>
                <w:vanish/>
              </w:rPr>
            </w:pPr>
          </w:p>
        </w:tc>
        <w:tc>
          <w:tcPr>
            <w:tcW w:w="0" w:type="auto"/>
            <w:gridSpan w:val="3"/>
            <w:shd w:val="clear" w:color="auto" w:fill="auto"/>
            <w:vAlign w:val="bottom"/>
          </w:tcPr>
          <w:p w14:paraId="5F2D4369" w14:textId="77777777" w:rsidR="00E836FB" w:rsidRDefault="00E836FB">
            <w:pPr>
              <w:rPr>
                <w:rFonts w:ascii="宋体"/>
                <w:vanish/>
              </w:rPr>
            </w:pPr>
          </w:p>
        </w:tc>
      </w:tr>
      <w:tr w:rsidR="00E836FB" w14:paraId="5F2D4371" w14:textId="77777777">
        <w:tc>
          <w:tcPr>
            <w:tcW w:w="0" w:type="auto"/>
            <w:gridSpan w:val="3"/>
            <w:shd w:val="clear" w:color="auto" w:fill="FFFFFF"/>
            <w:tcMar>
              <w:top w:w="40" w:type="dxa"/>
              <w:left w:w="20" w:type="dxa"/>
              <w:bottom w:w="40" w:type="dxa"/>
              <w:right w:w="20" w:type="dxa"/>
            </w:tcMar>
            <w:vAlign w:val="bottom"/>
          </w:tcPr>
          <w:p w14:paraId="5F2D436B" w14:textId="77777777" w:rsidR="00E836FB" w:rsidRDefault="00994958">
            <w:pPr>
              <w:textAlignment w:val="bottom"/>
            </w:pPr>
            <w:r>
              <w:rPr>
                <w:rFonts w:ascii="Arial" w:eastAsia="宋体" w:hAnsi="Arial" w:cs="Arial"/>
                <w:b/>
                <w:bCs/>
                <w:color w:val="000000"/>
                <w:sz w:val="14"/>
                <w:szCs w:val="14"/>
              </w:rPr>
              <w:t>Available-for-sale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436C"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436D"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436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6F"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4370" w14:textId="77777777" w:rsidR="00E836FB" w:rsidRDefault="00E836FB">
            <w:pPr>
              <w:rPr>
                <w:rFonts w:ascii="宋体"/>
              </w:rPr>
            </w:pPr>
          </w:p>
        </w:tc>
      </w:tr>
      <w:tr w:rsidR="00E836FB" w14:paraId="5F2D437C" w14:textId="77777777">
        <w:tc>
          <w:tcPr>
            <w:tcW w:w="0" w:type="auto"/>
            <w:gridSpan w:val="3"/>
            <w:shd w:val="clear" w:color="auto" w:fill="CCEEFF"/>
            <w:tcMar>
              <w:top w:w="40" w:type="dxa"/>
              <w:left w:w="20" w:type="dxa"/>
              <w:bottom w:w="40" w:type="dxa"/>
              <w:right w:w="20" w:type="dxa"/>
            </w:tcMar>
            <w:vAlign w:val="bottom"/>
          </w:tcPr>
          <w:p w14:paraId="5F2D4372" w14:textId="77777777" w:rsidR="00E836FB" w:rsidRDefault="00994958">
            <w:pPr>
              <w:textAlignment w:val="bottom"/>
            </w:pPr>
            <w:r>
              <w:rPr>
                <w:rFonts w:ascii="Arial" w:eastAsia="宋体" w:hAnsi="Arial" w:cs="Arial"/>
                <w:color w:val="000000"/>
                <w:sz w:val="14"/>
                <w:szCs w:val="14"/>
              </w:rPr>
              <w:t xml:space="preserve">Net realized (gains) losses from sales of available-for-sale securities, net of related taxes of $(15) and $0, </w:t>
            </w:r>
            <w:r>
              <w:rPr>
                <w:rFonts w:ascii="Arial" w:eastAsia="宋体" w:hAnsi="Arial" w:cs="Arial"/>
                <w:color w:val="000000"/>
                <w:sz w:val="14"/>
                <w:szCs w:val="14"/>
              </w:rPr>
              <w:t>respectively</w:t>
            </w:r>
          </w:p>
        </w:tc>
        <w:tc>
          <w:tcPr>
            <w:tcW w:w="0" w:type="auto"/>
            <w:shd w:val="clear" w:color="auto" w:fill="CCEEFF"/>
            <w:tcMar>
              <w:top w:w="40" w:type="dxa"/>
              <w:left w:w="20" w:type="dxa"/>
              <w:bottom w:w="40" w:type="dxa"/>
              <w:right w:w="0" w:type="dxa"/>
            </w:tcMar>
            <w:vAlign w:val="bottom"/>
          </w:tcPr>
          <w:p w14:paraId="5F2D4373"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4374" w14:textId="77777777" w:rsidR="00E836FB" w:rsidRDefault="00994958">
            <w:pPr>
              <w:jc w:val="right"/>
              <w:textAlignment w:val="bottom"/>
            </w:pPr>
            <w:r>
              <w:rPr>
                <w:rFonts w:ascii="Arial" w:eastAsia="宋体" w:hAnsi="Arial" w:cs="Arial"/>
                <w:b/>
                <w:bCs/>
                <w:color w:val="000000"/>
                <w:sz w:val="14"/>
                <w:szCs w:val="14"/>
              </w:rPr>
              <w:t>(42)</w:t>
            </w:r>
          </w:p>
        </w:tc>
        <w:tc>
          <w:tcPr>
            <w:tcW w:w="0" w:type="auto"/>
            <w:shd w:val="clear" w:color="auto" w:fill="CCEEFF"/>
            <w:tcMar>
              <w:top w:w="40" w:type="dxa"/>
              <w:left w:w="0" w:type="dxa"/>
              <w:bottom w:w="40" w:type="dxa"/>
              <w:right w:w="20" w:type="dxa"/>
            </w:tcMar>
            <w:vAlign w:val="bottom"/>
          </w:tcPr>
          <w:p w14:paraId="5F2D437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37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37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37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3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37A"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437B" w14:textId="77777777" w:rsidR="00E836FB" w:rsidRDefault="00994958">
            <w:pPr>
              <w:textAlignment w:val="bottom"/>
            </w:pPr>
            <w:r>
              <w:rPr>
                <w:rFonts w:ascii="Arial" w:eastAsia="宋体" w:hAnsi="Arial" w:cs="Arial"/>
                <w:color w:val="000000"/>
                <w:sz w:val="14"/>
                <w:szCs w:val="14"/>
              </w:rPr>
              <w:t>Net gains (losses) from sales of available-for-sale securities</w:t>
            </w:r>
          </w:p>
        </w:tc>
      </w:tr>
      <w:tr w:rsidR="00E836FB" w14:paraId="5F2D4383" w14:textId="77777777">
        <w:trPr>
          <w:hidden/>
        </w:trPr>
        <w:tc>
          <w:tcPr>
            <w:tcW w:w="0" w:type="auto"/>
            <w:gridSpan w:val="3"/>
            <w:shd w:val="clear" w:color="auto" w:fill="auto"/>
            <w:vAlign w:val="bottom"/>
          </w:tcPr>
          <w:p w14:paraId="5F2D437D" w14:textId="77777777" w:rsidR="00E836FB" w:rsidRDefault="00E836FB">
            <w:pPr>
              <w:rPr>
                <w:rFonts w:ascii="宋体"/>
                <w:vanish/>
              </w:rPr>
            </w:pPr>
          </w:p>
        </w:tc>
        <w:tc>
          <w:tcPr>
            <w:tcW w:w="0" w:type="auto"/>
            <w:gridSpan w:val="3"/>
            <w:shd w:val="clear" w:color="auto" w:fill="auto"/>
            <w:vAlign w:val="bottom"/>
          </w:tcPr>
          <w:p w14:paraId="5F2D437E" w14:textId="77777777" w:rsidR="00E836FB" w:rsidRDefault="00E836FB">
            <w:pPr>
              <w:rPr>
                <w:rFonts w:ascii="宋体"/>
                <w:vanish/>
              </w:rPr>
            </w:pPr>
          </w:p>
        </w:tc>
        <w:tc>
          <w:tcPr>
            <w:tcW w:w="0" w:type="auto"/>
            <w:gridSpan w:val="3"/>
            <w:shd w:val="clear" w:color="auto" w:fill="auto"/>
            <w:vAlign w:val="bottom"/>
          </w:tcPr>
          <w:p w14:paraId="5F2D437F" w14:textId="77777777" w:rsidR="00E836FB" w:rsidRDefault="00E836FB">
            <w:pPr>
              <w:rPr>
                <w:rFonts w:ascii="宋体"/>
                <w:vanish/>
              </w:rPr>
            </w:pPr>
          </w:p>
        </w:tc>
        <w:tc>
          <w:tcPr>
            <w:tcW w:w="0" w:type="auto"/>
            <w:gridSpan w:val="3"/>
            <w:shd w:val="clear" w:color="auto" w:fill="auto"/>
            <w:vAlign w:val="bottom"/>
          </w:tcPr>
          <w:p w14:paraId="5F2D4380" w14:textId="77777777" w:rsidR="00E836FB" w:rsidRDefault="00E836FB">
            <w:pPr>
              <w:rPr>
                <w:rFonts w:ascii="宋体"/>
                <w:vanish/>
              </w:rPr>
            </w:pPr>
          </w:p>
        </w:tc>
        <w:tc>
          <w:tcPr>
            <w:tcW w:w="0" w:type="auto"/>
            <w:gridSpan w:val="3"/>
            <w:shd w:val="clear" w:color="auto" w:fill="auto"/>
            <w:vAlign w:val="bottom"/>
          </w:tcPr>
          <w:p w14:paraId="5F2D4381" w14:textId="77777777" w:rsidR="00E836FB" w:rsidRDefault="00E836FB">
            <w:pPr>
              <w:rPr>
                <w:rFonts w:ascii="宋体"/>
                <w:vanish/>
              </w:rPr>
            </w:pPr>
          </w:p>
        </w:tc>
        <w:tc>
          <w:tcPr>
            <w:tcW w:w="0" w:type="auto"/>
            <w:gridSpan w:val="3"/>
            <w:shd w:val="clear" w:color="auto" w:fill="auto"/>
            <w:vAlign w:val="bottom"/>
          </w:tcPr>
          <w:p w14:paraId="5F2D4382" w14:textId="77777777" w:rsidR="00E836FB" w:rsidRDefault="00E836FB">
            <w:pPr>
              <w:rPr>
                <w:rFonts w:ascii="宋体"/>
                <w:vanish/>
              </w:rPr>
            </w:pPr>
          </w:p>
        </w:tc>
      </w:tr>
      <w:tr w:rsidR="00E836FB" w14:paraId="5F2D438A" w14:textId="77777777">
        <w:trPr>
          <w:hidden/>
        </w:trPr>
        <w:tc>
          <w:tcPr>
            <w:tcW w:w="0" w:type="auto"/>
            <w:gridSpan w:val="3"/>
            <w:shd w:val="clear" w:color="auto" w:fill="auto"/>
            <w:vAlign w:val="bottom"/>
          </w:tcPr>
          <w:p w14:paraId="5F2D4384" w14:textId="77777777" w:rsidR="00E836FB" w:rsidRDefault="00E836FB">
            <w:pPr>
              <w:rPr>
                <w:rFonts w:ascii="宋体"/>
                <w:vanish/>
              </w:rPr>
            </w:pPr>
          </w:p>
        </w:tc>
        <w:tc>
          <w:tcPr>
            <w:tcW w:w="0" w:type="auto"/>
            <w:gridSpan w:val="3"/>
            <w:shd w:val="clear" w:color="auto" w:fill="auto"/>
            <w:vAlign w:val="bottom"/>
          </w:tcPr>
          <w:p w14:paraId="5F2D4385" w14:textId="77777777" w:rsidR="00E836FB" w:rsidRDefault="00E836FB">
            <w:pPr>
              <w:rPr>
                <w:rFonts w:ascii="宋体"/>
                <w:vanish/>
              </w:rPr>
            </w:pPr>
          </w:p>
        </w:tc>
        <w:tc>
          <w:tcPr>
            <w:tcW w:w="0" w:type="auto"/>
            <w:gridSpan w:val="3"/>
            <w:shd w:val="clear" w:color="auto" w:fill="auto"/>
            <w:vAlign w:val="bottom"/>
          </w:tcPr>
          <w:p w14:paraId="5F2D4386" w14:textId="77777777" w:rsidR="00E836FB" w:rsidRDefault="00E836FB">
            <w:pPr>
              <w:rPr>
                <w:rFonts w:ascii="宋体"/>
                <w:vanish/>
              </w:rPr>
            </w:pPr>
          </w:p>
        </w:tc>
        <w:tc>
          <w:tcPr>
            <w:tcW w:w="0" w:type="auto"/>
            <w:gridSpan w:val="3"/>
            <w:shd w:val="clear" w:color="auto" w:fill="auto"/>
            <w:vAlign w:val="bottom"/>
          </w:tcPr>
          <w:p w14:paraId="5F2D4387" w14:textId="77777777" w:rsidR="00E836FB" w:rsidRDefault="00E836FB">
            <w:pPr>
              <w:rPr>
                <w:rFonts w:ascii="宋体"/>
                <w:vanish/>
              </w:rPr>
            </w:pPr>
          </w:p>
        </w:tc>
        <w:tc>
          <w:tcPr>
            <w:tcW w:w="0" w:type="auto"/>
            <w:gridSpan w:val="3"/>
            <w:shd w:val="clear" w:color="auto" w:fill="auto"/>
            <w:vAlign w:val="bottom"/>
          </w:tcPr>
          <w:p w14:paraId="5F2D4388" w14:textId="77777777" w:rsidR="00E836FB" w:rsidRDefault="00E836FB">
            <w:pPr>
              <w:rPr>
                <w:rFonts w:ascii="宋体"/>
                <w:vanish/>
              </w:rPr>
            </w:pPr>
          </w:p>
        </w:tc>
        <w:tc>
          <w:tcPr>
            <w:tcW w:w="0" w:type="auto"/>
            <w:gridSpan w:val="3"/>
            <w:shd w:val="clear" w:color="auto" w:fill="auto"/>
            <w:vAlign w:val="bottom"/>
          </w:tcPr>
          <w:p w14:paraId="5F2D4389" w14:textId="77777777" w:rsidR="00E836FB" w:rsidRDefault="00E836FB">
            <w:pPr>
              <w:rPr>
                <w:rFonts w:ascii="宋体"/>
                <w:vanish/>
              </w:rPr>
            </w:pPr>
          </w:p>
        </w:tc>
      </w:tr>
      <w:tr w:rsidR="00E836FB" w14:paraId="5F2D4391" w14:textId="77777777">
        <w:trPr>
          <w:hidden/>
        </w:trPr>
        <w:tc>
          <w:tcPr>
            <w:tcW w:w="0" w:type="auto"/>
            <w:gridSpan w:val="3"/>
            <w:shd w:val="clear" w:color="auto" w:fill="auto"/>
            <w:vAlign w:val="bottom"/>
          </w:tcPr>
          <w:p w14:paraId="5F2D438B" w14:textId="77777777" w:rsidR="00E836FB" w:rsidRDefault="00E836FB">
            <w:pPr>
              <w:rPr>
                <w:rFonts w:ascii="宋体"/>
                <w:vanish/>
              </w:rPr>
            </w:pPr>
          </w:p>
        </w:tc>
        <w:tc>
          <w:tcPr>
            <w:tcW w:w="0" w:type="auto"/>
            <w:gridSpan w:val="3"/>
            <w:shd w:val="clear" w:color="auto" w:fill="auto"/>
            <w:vAlign w:val="bottom"/>
          </w:tcPr>
          <w:p w14:paraId="5F2D438C" w14:textId="77777777" w:rsidR="00E836FB" w:rsidRDefault="00E836FB">
            <w:pPr>
              <w:rPr>
                <w:rFonts w:ascii="宋体"/>
                <w:vanish/>
              </w:rPr>
            </w:pPr>
          </w:p>
        </w:tc>
        <w:tc>
          <w:tcPr>
            <w:tcW w:w="0" w:type="auto"/>
            <w:gridSpan w:val="3"/>
            <w:shd w:val="clear" w:color="auto" w:fill="auto"/>
            <w:vAlign w:val="bottom"/>
          </w:tcPr>
          <w:p w14:paraId="5F2D438D" w14:textId="77777777" w:rsidR="00E836FB" w:rsidRDefault="00E836FB">
            <w:pPr>
              <w:rPr>
                <w:rFonts w:ascii="宋体"/>
                <w:vanish/>
              </w:rPr>
            </w:pPr>
          </w:p>
        </w:tc>
        <w:tc>
          <w:tcPr>
            <w:tcW w:w="0" w:type="auto"/>
            <w:gridSpan w:val="3"/>
            <w:shd w:val="clear" w:color="auto" w:fill="auto"/>
            <w:vAlign w:val="bottom"/>
          </w:tcPr>
          <w:p w14:paraId="5F2D438E" w14:textId="77777777" w:rsidR="00E836FB" w:rsidRDefault="00E836FB">
            <w:pPr>
              <w:rPr>
                <w:rFonts w:ascii="宋体"/>
                <w:vanish/>
              </w:rPr>
            </w:pPr>
          </w:p>
        </w:tc>
        <w:tc>
          <w:tcPr>
            <w:tcW w:w="0" w:type="auto"/>
            <w:gridSpan w:val="3"/>
            <w:shd w:val="clear" w:color="auto" w:fill="auto"/>
            <w:vAlign w:val="bottom"/>
          </w:tcPr>
          <w:p w14:paraId="5F2D438F" w14:textId="77777777" w:rsidR="00E836FB" w:rsidRDefault="00E836FB">
            <w:pPr>
              <w:rPr>
                <w:rFonts w:ascii="宋体"/>
                <w:vanish/>
              </w:rPr>
            </w:pPr>
          </w:p>
        </w:tc>
        <w:tc>
          <w:tcPr>
            <w:tcW w:w="0" w:type="auto"/>
            <w:gridSpan w:val="3"/>
            <w:shd w:val="clear" w:color="auto" w:fill="auto"/>
            <w:vAlign w:val="bottom"/>
          </w:tcPr>
          <w:p w14:paraId="5F2D4390" w14:textId="77777777" w:rsidR="00E836FB" w:rsidRDefault="00E836FB">
            <w:pPr>
              <w:rPr>
                <w:rFonts w:ascii="宋体"/>
                <w:vanish/>
              </w:rPr>
            </w:pPr>
          </w:p>
        </w:tc>
      </w:tr>
      <w:tr w:rsidR="00E836FB" w14:paraId="5F2D4398" w14:textId="77777777">
        <w:tc>
          <w:tcPr>
            <w:tcW w:w="0" w:type="auto"/>
            <w:gridSpan w:val="3"/>
            <w:shd w:val="clear" w:color="auto" w:fill="FFFFFF"/>
            <w:tcMar>
              <w:top w:w="40" w:type="dxa"/>
              <w:left w:w="20" w:type="dxa"/>
              <w:bottom w:w="40" w:type="dxa"/>
              <w:right w:w="20" w:type="dxa"/>
            </w:tcMar>
            <w:vAlign w:val="bottom"/>
          </w:tcPr>
          <w:p w14:paraId="5F2D4392" w14:textId="77777777" w:rsidR="00E836FB" w:rsidRDefault="00994958">
            <w:pPr>
              <w:textAlignment w:val="bottom"/>
            </w:pPr>
            <w:r>
              <w:rPr>
                <w:rFonts w:ascii="Arial" w:eastAsia="宋体" w:hAnsi="Arial" w:cs="Arial"/>
                <w:b/>
                <w:bCs/>
                <w:color w:val="000000"/>
                <w:sz w:val="14"/>
                <w:szCs w:val="14"/>
              </w:rPr>
              <w:t>Cash flow hedges:</w:t>
            </w:r>
          </w:p>
        </w:tc>
        <w:tc>
          <w:tcPr>
            <w:tcW w:w="0" w:type="auto"/>
            <w:gridSpan w:val="3"/>
            <w:shd w:val="clear" w:color="auto" w:fill="FFFFFF"/>
            <w:tcMar>
              <w:top w:w="0" w:type="dxa"/>
              <w:left w:w="20" w:type="dxa"/>
              <w:bottom w:w="0" w:type="dxa"/>
              <w:right w:w="20" w:type="dxa"/>
            </w:tcMar>
            <w:vAlign w:val="bottom"/>
          </w:tcPr>
          <w:p w14:paraId="5F2D439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9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9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9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97" w14:textId="77777777" w:rsidR="00E836FB" w:rsidRDefault="00E836FB">
            <w:pPr>
              <w:rPr>
                <w:rFonts w:ascii="宋体"/>
              </w:rPr>
            </w:pPr>
          </w:p>
        </w:tc>
      </w:tr>
      <w:tr w:rsidR="00E836FB" w14:paraId="5F2D43A1" w14:textId="77777777">
        <w:tc>
          <w:tcPr>
            <w:tcW w:w="0" w:type="auto"/>
            <w:gridSpan w:val="3"/>
            <w:shd w:val="clear" w:color="auto" w:fill="CCEEFF"/>
            <w:tcMar>
              <w:top w:w="40" w:type="dxa"/>
              <w:left w:w="20" w:type="dxa"/>
              <w:bottom w:w="40" w:type="dxa"/>
              <w:right w:w="20" w:type="dxa"/>
            </w:tcMar>
            <w:vAlign w:val="bottom"/>
          </w:tcPr>
          <w:p w14:paraId="5F2D4399" w14:textId="77777777" w:rsidR="00E836FB" w:rsidRDefault="00994958">
            <w:pPr>
              <w:textAlignment w:val="bottom"/>
            </w:pPr>
            <w:r>
              <w:rPr>
                <w:rFonts w:ascii="Arial" w:eastAsia="宋体" w:hAnsi="Arial" w:cs="Arial"/>
                <w:color w:val="000000"/>
                <w:sz w:val="14"/>
                <w:szCs w:val="14"/>
              </w:rPr>
              <w:t xml:space="preserve">(Gain) reclassified from accumulated other comprehensive income into income, net of related taxes of $25 and $20, </w:t>
            </w:r>
            <w:r>
              <w:rPr>
                <w:rFonts w:ascii="Arial" w:eastAsia="宋体" w:hAnsi="Arial" w:cs="Arial"/>
                <w:color w:val="000000"/>
                <w:sz w:val="14"/>
                <w:szCs w:val="14"/>
              </w:rPr>
              <w:t>respectively</w:t>
            </w:r>
          </w:p>
        </w:tc>
        <w:tc>
          <w:tcPr>
            <w:tcW w:w="0" w:type="auto"/>
            <w:gridSpan w:val="2"/>
            <w:shd w:val="clear" w:color="auto" w:fill="CCEEFF"/>
            <w:tcMar>
              <w:top w:w="40" w:type="dxa"/>
              <w:left w:w="20" w:type="dxa"/>
              <w:bottom w:w="40" w:type="dxa"/>
              <w:right w:w="0" w:type="dxa"/>
            </w:tcMar>
            <w:vAlign w:val="bottom"/>
          </w:tcPr>
          <w:p w14:paraId="5F2D439A" w14:textId="77777777" w:rsidR="00E836FB" w:rsidRDefault="00994958">
            <w:pPr>
              <w:jc w:val="right"/>
              <w:textAlignment w:val="bottom"/>
            </w:pPr>
            <w:r>
              <w:rPr>
                <w:rFonts w:ascii="Arial" w:eastAsia="宋体" w:hAnsi="Arial" w:cs="Arial"/>
                <w:b/>
                <w:bCs/>
                <w:color w:val="000000"/>
                <w:sz w:val="14"/>
                <w:szCs w:val="14"/>
              </w:rPr>
              <w:t>(70)</w:t>
            </w:r>
          </w:p>
        </w:tc>
        <w:tc>
          <w:tcPr>
            <w:tcW w:w="0" w:type="auto"/>
            <w:shd w:val="clear" w:color="auto" w:fill="CCEEFF"/>
            <w:tcMar>
              <w:top w:w="40" w:type="dxa"/>
              <w:left w:w="0" w:type="dxa"/>
              <w:bottom w:w="40" w:type="dxa"/>
              <w:right w:w="20" w:type="dxa"/>
            </w:tcMar>
            <w:vAlign w:val="bottom"/>
          </w:tcPr>
          <w:p w14:paraId="5F2D43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39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39D" w14:textId="77777777" w:rsidR="00E836FB" w:rsidRDefault="00994958">
            <w:pPr>
              <w:jc w:val="right"/>
              <w:textAlignment w:val="bottom"/>
            </w:pPr>
            <w:r>
              <w:rPr>
                <w:rFonts w:ascii="Arial" w:eastAsia="宋体" w:hAnsi="Arial" w:cs="Arial"/>
                <w:color w:val="000000"/>
                <w:sz w:val="14"/>
                <w:szCs w:val="14"/>
              </w:rPr>
              <w:t>(52)</w:t>
            </w:r>
          </w:p>
        </w:tc>
        <w:tc>
          <w:tcPr>
            <w:tcW w:w="0" w:type="auto"/>
            <w:shd w:val="clear" w:color="auto" w:fill="CCEEFF"/>
            <w:tcMar>
              <w:top w:w="40" w:type="dxa"/>
              <w:left w:w="0" w:type="dxa"/>
              <w:bottom w:w="40" w:type="dxa"/>
              <w:right w:w="20" w:type="dxa"/>
            </w:tcMar>
            <w:vAlign w:val="bottom"/>
          </w:tcPr>
          <w:p w14:paraId="5F2D43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39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43A0" w14:textId="77777777" w:rsidR="00E836FB" w:rsidRDefault="00994958">
            <w:pPr>
              <w:textAlignment w:val="bottom"/>
            </w:pPr>
            <w:r>
              <w:rPr>
                <w:rFonts w:ascii="Arial" w:eastAsia="宋体" w:hAnsi="Arial" w:cs="Arial"/>
                <w:color w:val="000000"/>
                <w:sz w:val="14"/>
                <w:szCs w:val="14"/>
              </w:rPr>
              <w:t>Net interest income reclassified from other comprehensive income</w:t>
            </w:r>
          </w:p>
        </w:tc>
      </w:tr>
      <w:tr w:rsidR="00E836FB" w14:paraId="5F2D43A8" w14:textId="77777777">
        <w:tc>
          <w:tcPr>
            <w:tcW w:w="0" w:type="auto"/>
            <w:gridSpan w:val="3"/>
            <w:shd w:val="clear" w:color="auto" w:fill="FFFFFF"/>
            <w:tcMar>
              <w:top w:w="40" w:type="dxa"/>
              <w:left w:w="20" w:type="dxa"/>
              <w:bottom w:w="40" w:type="dxa"/>
              <w:right w:w="20" w:type="dxa"/>
            </w:tcMar>
            <w:vAlign w:val="bottom"/>
          </w:tcPr>
          <w:p w14:paraId="5F2D43A2" w14:textId="77777777" w:rsidR="00E836FB" w:rsidRDefault="00994958">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5F2D43A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A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A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A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A7" w14:textId="77777777" w:rsidR="00E836FB" w:rsidRDefault="00E836FB">
            <w:pPr>
              <w:rPr>
                <w:rFonts w:ascii="宋体"/>
              </w:rPr>
            </w:pPr>
          </w:p>
        </w:tc>
      </w:tr>
      <w:tr w:rsidR="00E836FB" w14:paraId="5F2D43B1" w14:textId="77777777">
        <w:tc>
          <w:tcPr>
            <w:tcW w:w="0" w:type="auto"/>
            <w:gridSpan w:val="3"/>
            <w:shd w:val="clear" w:color="auto" w:fill="CCEEFF"/>
            <w:tcMar>
              <w:top w:w="40" w:type="dxa"/>
              <w:left w:w="20" w:type="dxa"/>
              <w:bottom w:w="40" w:type="dxa"/>
              <w:right w:w="20" w:type="dxa"/>
            </w:tcMar>
            <w:vAlign w:val="bottom"/>
          </w:tcPr>
          <w:p w14:paraId="5F2D43A9" w14:textId="77777777" w:rsidR="00E836FB" w:rsidRDefault="00994958">
            <w:pPr>
              <w:textAlignment w:val="bottom"/>
            </w:pPr>
            <w:r>
              <w:rPr>
                <w:rFonts w:ascii="Arial" w:eastAsia="宋体" w:hAnsi="Arial" w:cs="Arial"/>
                <w:color w:val="000000"/>
                <w:sz w:val="14"/>
                <w:szCs w:val="14"/>
              </w:rPr>
              <w:t>Amortization of actuarial losses, net of related taxes of $16 and $3, respectively</w:t>
            </w:r>
          </w:p>
        </w:tc>
        <w:tc>
          <w:tcPr>
            <w:tcW w:w="0" w:type="auto"/>
            <w:gridSpan w:val="2"/>
            <w:shd w:val="clear" w:color="auto" w:fill="CCEEFF"/>
            <w:tcMar>
              <w:top w:w="40" w:type="dxa"/>
              <w:left w:w="20" w:type="dxa"/>
              <w:bottom w:w="40" w:type="dxa"/>
              <w:right w:w="0" w:type="dxa"/>
            </w:tcMar>
            <w:vAlign w:val="bottom"/>
          </w:tcPr>
          <w:p w14:paraId="5F2D43AA" w14:textId="77777777" w:rsidR="00E836FB" w:rsidRDefault="00994958">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3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3A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3AD" w14:textId="77777777" w:rsidR="00E836FB" w:rsidRDefault="00994958">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5F2D43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3AF"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43B0" w14:textId="77777777" w:rsidR="00E836FB" w:rsidRDefault="00994958">
            <w:pPr>
              <w:textAlignment w:val="bottom"/>
            </w:pPr>
            <w:r>
              <w:rPr>
                <w:rFonts w:ascii="Arial" w:eastAsia="宋体" w:hAnsi="Arial" w:cs="Arial"/>
                <w:color w:val="000000"/>
                <w:sz w:val="14"/>
                <w:szCs w:val="14"/>
              </w:rPr>
              <w:t xml:space="preserve">Compensation and employee benefits </w:t>
            </w:r>
            <w:r>
              <w:rPr>
                <w:rFonts w:ascii="Arial" w:eastAsia="宋体" w:hAnsi="Arial" w:cs="Arial"/>
                <w:color w:val="000000"/>
                <w:sz w:val="14"/>
                <w:szCs w:val="14"/>
              </w:rPr>
              <w:t>expenses</w:t>
            </w:r>
          </w:p>
        </w:tc>
      </w:tr>
      <w:tr w:rsidR="00E836FB" w14:paraId="5F2D43B8" w14:textId="77777777">
        <w:trPr>
          <w:hidden/>
        </w:trPr>
        <w:tc>
          <w:tcPr>
            <w:tcW w:w="0" w:type="auto"/>
            <w:gridSpan w:val="3"/>
            <w:shd w:val="clear" w:color="auto" w:fill="auto"/>
            <w:vAlign w:val="bottom"/>
          </w:tcPr>
          <w:p w14:paraId="5F2D43B2" w14:textId="77777777" w:rsidR="00E836FB" w:rsidRDefault="00E836FB">
            <w:pPr>
              <w:rPr>
                <w:rFonts w:ascii="宋体"/>
                <w:vanish/>
              </w:rPr>
            </w:pPr>
          </w:p>
        </w:tc>
        <w:tc>
          <w:tcPr>
            <w:tcW w:w="0" w:type="auto"/>
            <w:gridSpan w:val="3"/>
            <w:shd w:val="clear" w:color="auto" w:fill="auto"/>
            <w:vAlign w:val="bottom"/>
          </w:tcPr>
          <w:p w14:paraId="5F2D43B3" w14:textId="77777777" w:rsidR="00E836FB" w:rsidRDefault="00E836FB">
            <w:pPr>
              <w:rPr>
                <w:rFonts w:ascii="宋体"/>
                <w:vanish/>
              </w:rPr>
            </w:pPr>
          </w:p>
        </w:tc>
        <w:tc>
          <w:tcPr>
            <w:tcW w:w="0" w:type="auto"/>
            <w:gridSpan w:val="3"/>
            <w:shd w:val="clear" w:color="auto" w:fill="auto"/>
            <w:vAlign w:val="bottom"/>
          </w:tcPr>
          <w:p w14:paraId="5F2D43B4" w14:textId="77777777" w:rsidR="00E836FB" w:rsidRDefault="00E836FB">
            <w:pPr>
              <w:rPr>
                <w:rFonts w:ascii="宋体"/>
                <w:vanish/>
              </w:rPr>
            </w:pPr>
          </w:p>
        </w:tc>
        <w:tc>
          <w:tcPr>
            <w:tcW w:w="0" w:type="auto"/>
            <w:gridSpan w:val="3"/>
            <w:shd w:val="clear" w:color="auto" w:fill="auto"/>
            <w:vAlign w:val="bottom"/>
          </w:tcPr>
          <w:p w14:paraId="5F2D43B5" w14:textId="77777777" w:rsidR="00E836FB" w:rsidRDefault="00E836FB">
            <w:pPr>
              <w:rPr>
                <w:rFonts w:ascii="宋体"/>
                <w:vanish/>
              </w:rPr>
            </w:pPr>
          </w:p>
        </w:tc>
        <w:tc>
          <w:tcPr>
            <w:tcW w:w="0" w:type="auto"/>
            <w:gridSpan w:val="3"/>
            <w:shd w:val="clear" w:color="auto" w:fill="auto"/>
            <w:vAlign w:val="bottom"/>
          </w:tcPr>
          <w:p w14:paraId="5F2D43B6" w14:textId="77777777" w:rsidR="00E836FB" w:rsidRDefault="00E836FB">
            <w:pPr>
              <w:rPr>
                <w:rFonts w:ascii="宋体"/>
                <w:vanish/>
              </w:rPr>
            </w:pPr>
          </w:p>
        </w:tc>
        <w:tc>
          <w:tcPr>
            <w:tcW w:w="0" w:type="auto"/>
            <w:gridSpan w:val="3"/>
            <w:shd w:val="clear" w:color="auto" w:fill="auto"/>
            <w:vAlign w:val="bottom"/>
          </w:tcPr>
          <w:p w14:paraId="5F2D43B7" w14:textId="77777777" w:rsidR="00E836FB" w:rsidRDefault="00E836FB">
            <w:pPr>
              <w:rPr>
                <w:rFonts w:ascii="宋体"/>
                <w:vanish/>
              </w:rPr>
            </w:pPr>
          </w:p>
        </w:tc>
      </w:tr>
      <w:tr w:rsidR="00E836FB" w14:paraId="5F2D43BF" w14:textId="77777777">
        <w:trPr>
          <w:hidden/>
        </w:trPr>
        <w:tc>
          <w:tcPr>
            <w:tcW w:w="0" w:type="auto"/>
            <w:gridSpan w:val="3"/>
            <w:shd w:val="clear" w:color="auto" w:fill="auto"/>
            <w:vAlign w:val="bottom"/>
          </w:tcPr>
          <w:p w14:paraId="5F2D43B9" w14:textId="77777777" w:rsidR="00E836FB" w:rsidRDefault="00E836FB">
            <w:pPr>
              <w:rPr>
                <w:rFonts w:ascii="宋体"/>
                <w:vanish/>
              </w:rPr>
            </w:pPr>
          </w:p>
        </w:tc>
        <w:tc>
          <w:tcPr>
            <w:tcW w:w="0" w:type="auto"/>
            <w:gridSpan w:val="3"/>
            <w:shd w:val="clear" w:color="auto" w:fill="auto"/>
            <w:vAlign w:val="bottom"/>
          </w:tcPr>
          <w:p w14:paraId="5F2D43BA" w14:textId="77777777" w:rsidR="00E836FB" w:rsidRDefault="00E836FB">
            <w:pPr>
              <w:rPr>
                <w:rFonts w:ascii="宋体"/>
                <w:vanish/>
              </w:rPr>
            </w:pPr>
          </w:p>
        </w:tc>
        <w:tc>
          <w:tcPr>
            <w:tcW w:w="0" w:type="auto"/>
            <w:gridSpan w:val="3"/>
            <w:shd w:val="clear" w:color="auto" w:fill="auto"/>
            <w:vAlign w:val="bottom"/>
          </w:tcPr>
          <w:p w14:paraId="5F2D43BB" w14:textId="77777777" w:rsidR="00E836FB" w:rsidRDefault="00E836FB">
            <w:pPr>
              <w:rPr>
                <w:rFonts w:ascii="宋体"/>
                <w:vanish/>
              </w:rPr>
            </w:pPr>
          </w:p>
        </w:tc>
        <w:tc>
          <w:tcPr>
            <w:tcW w:w="0" w:type="auto"/>
            <w:gridSpan w:val="3"/>
            <w:shd w:val="clear" w:color="auto" w:fill="auto"/>
            <w:vAlign w:val="bottom"/>
          </w:tcPr>
          <w:p w14:paraId="5F2D43BC" w14:textId="77777777" w:rsidR="00E836FB" w:rsidRDefault="00E836FB">
            <w:pPr>
              <w:rPr>
                <w:rFonts w:ascii="宋体"/>
                <w:vanish/>
              </w:rPr>
            </w:pPr>
          </w:p>
        </w:tc>
        <w:tc>
          <w:tcPr>
            <w:tcW w:w="0" w:type="auto"/>
            <w:gridSpan w:val="3"/>
            <w:shd w:val="clear" w:color="auto" w:fill="auto"/>
            <w:vAlign w:val="bottom"/>
          </w:tcPr>
          <w:p w14:paraId="5F2D43BD" w14:textId="77777777" w:rsidR="00E836FB" w:rsidRDefault="00E836FB">
            <w:pPr>
              <w:rPr>
                <w:rFonts w:ascii="宋体"/>
                <w:vanish/>
              </w:rPr>
            </w:pPr>
          </w:p>
        </w:tc>
        <w:tc>
          <w:tcPr>
            <w:tcW w:w="0" w:type="auto"/>
            <w:gridSpan w:val="3"/>
            <w:shd w:val="clear" w:color="auto" w:fill="auto"/>
            <w:vAlign w:val="bottom"/>
          </w:tcPr>
          <w:p w14:paraId="5F2D43BE" w14:textId="77777777" w:rsidR="00E836FB" w:rsidRDefault="00E836FB">
            <w:pPr>
              <w:rPr>
                <w:rFonts w:ascii="宋体"/>
                <w:vanish/>
              </w:rPr>
            </w:pPr>
          </w:p>
        </w:tc>
      </w:tr>
      <w:tr w:rsidR="00E836FB" w14:paraId="5F2D43C6" w14:textId="77777777">
        <w:trPr>
          <w:hidden/>
        </w:trPr>
        <w:tc>
          <w:tcPr>
            <w:tcW w:w="0" w:type="auto"/>
            <w:gridSpan w:val="3"/>
            <w:shd w:val="clear" w:color="auto" w:fill="auto"/>
            <w:vAlign w:val="bottom"/>
          </w:tcPr>
          <w:p w14:paraId="5F2D43C0" w14:textId="77777777" w:rsidR="00E836FB" w:rsidRDefault="00E836FB">
            <w:pPr>
              <w:rPr>
                <w:rFonts w:ascii="宋体"/>
                <w:vanish/>
              </w:rPr>
            </w:pPr>
          </w:p>
        </w:tc>
        <w:tc>
          <w:tcPr>
            <w:tcW w:w="0" w:type="auto"/>
            <w:gridSpan w:val="3"/>
            <w:shd w:val="clear" w:color="auto" w:fill="auto"/>
            <w:vAlign w:val="bottom"/>
          </w:tcPr>
          <w:p w14:paraId="5F2D43C1" w14:textId="77777777" w:rsidR="00E836FB" w:rsidRDefault="00E836FB">
            <w:pPr>
              <w:rPr>
                <w:rFonts w:ascii="宋体"/>
                <w:vanish/>
              </w:rPr>
            </w:pPr>
          </w:p>
        </w:tc>
        <w:tc>
          <w:tcPr>
            <w:tcW w:w="0" w:type="auto"/>
            <w:gridSpan w:val="3"/>
            <w:shd w:val="clear" w:color="auto" w:fill="auto"/>
            <w:vAlign w:val="bottom"/>
          </w:tcPr>
          <w:p w14:paraId="5F2D43C2" w14:textId="77777777" w:rsidR="00E836FB" w:rsidRDefault="00E836FB">
            <w:pPr>
              <w:rPr>
                <w:rFonts w:ascii="宋体"/>
                <w:vanish/>
              </w:rPr>
            </w:pPr>
          </w:p>
        </w:tc>
        <w:tc>
          <w:tcPr>
            <w:tcW w:w="0" w:type="auto"/>
            <w:gridSpan w:val="3"/>
            <w:shd w:val="clear" w:color="auto" w:fill="auto"/>
            <w:vAlign w:val="bottom"/>
          </w:tcPr>
          <w:p w14:paraId="5F2D43C3" w14:textId="77777777" w:rsidR="00E836FB" w:rsidRDefault="00E836FB">
            <w:pPr>
              <w:rPr>
                <w:rFonts w:ascii="宋体"/>
                <w:vanish/>
              </w:rPr>
            </w:pPr>
          </w:p>
        </w:tc>
        <w:tc>
          <w:tcPr>
            <w:tcW w:w="0" w:type="auto"/>
            <w:gridSpan w:val="3"/>
            <w:shd w:val="clear" w:color="auto" w:fill="auto"/>
            <w:vAlign w:val="bottom"/>
          </w:tcPr>
          <w:p w14:paraId="5F2D43C4" w14:textId="77777777" w:rsidR="00E836FB" w:rsidRDefault="00E836FB">
            <w:pPr>
              <w:rPr>
                <w:rFonts w:ascii="宋体"/>
                <w:vanish/>
              </w:rPr>
            </w:pPr>
          </w:p>
        </w:tc>
        <w:tc>
          <w:tcPr>
            <w:tcW w:w="0" w:type="auto"/>
            <w:gridSpan w:val="3"/>
            <w:shd w:val="clear" w:color="auto" w:fill="auto"/>
            <w:vAlign w:val="bottom"/>
          </w:tcPr>
          <w:p w14:paraId="5F2D43C5" w14:textId="77777777" w:rsidR="00E836FB" w:rsidRDefault="00E836FB">
            <w:pPr>
              <w:rPr>
                <w:rFonts w:ascii="宋体"/>
                <w:vanish/>
              </w:rPr>
            </w:pPr>
          </w:p>
        </w:tc>
      </w:tr>
      <w:tr w:rsidR="00E836FB" w14:paraId="5F2D43D1" w14:textId="77777777">
        <w:tc>
          <w:tcPr>
            <w:tcW w:w="0" w:type="auto"/>
            <w:gridSpan w:val="3"/>
            <w:shd w:val="clear" w:color="auto" w:fill="FFFFFF"/>
            <w:tcMar>
              <w:top w:w="40" w:type="dxa"/>
              <w:left w:w="20" w:type="dxa"/>
              <w:bottom w:w="40" w:type="dxa"/>
              <w:right w:w="20" w:type="dxa"/>
            </w:tcMar>
            <w:vAlign w:val="bottom"/>
          </w:tcPr>
          <w:p w14:paraId="5F2D43C7" w14:textId="77777777" w:rsidR="00E836FB" w:rsidRDefault="00994958">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43C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43C9" w14:textId="77777777" w:rsidR="00E836FB" w:rsidRDefault="00994958">
            <w:pPr>
              <w:jc w:val="right"/>
              <w:textAlignment w:val="bottom"/>
            </w:pPr>
            <w:r>
              <w:rPr>
                <w:rFonts w:ascii="Arial" w:eastAsia="宋体" w:hAnsi="Arial" w:cs="Arial"/>
                <w:b/>
                <w:bCs/>
                <w:color w:val="000000"/>
                <w:sz w:val="14"/>
                <w:szCs w:val="14"/>
              </w:rPr>
              <w:t>(65)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43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3CB"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43C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43CD" w14:textId="77777777" w:rsidR="00E836FB" w:rsidRDefault="00994958">
            <w:pPr>
              <w:jc w:val="right"/>
              <w:textAlignment w:val="bottom"/>
            </w:pPr>
            <w:r>
              <w:rPr>
                <w:rFonts w:ascii="Arial" w:eastAsia="宋体" w:hAnsi="Arial" w:cs="Arial"/>
                <w:color w:val="000000"/>
                <w:sz w:val="14"/>
                <w:szCs w:val="14"/>
              </w:rPr>
              <w:t>(43)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43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3C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3D0" w14:textId="77777777" w:rsidR="00E836FB" w:rsidRDefault="00E836FB">
            <w:pPr>
              <w:rPr>
                <w:rFonts w:ascii="宋体"/>
              </w:rPr>
            </w:pPr>
          </w:p>
        </w:tc>
      </w:tr>
    </w:tbl>
    <w:p w14:paraId="5F2D43D2" w14:textId="77777777" w:rsidR="00E836FB" w:rsidRDefault="00994958">
      <w:pPr>
        <w:spacing w:before="60"/>
        <w:jc w:val="both"/>
      </w:pPr>
      <w:r>
        <w:rPr>
          <w:rFonts w:ascii="Arial" w:eastAsia="宋体" w:hAnsi="Arial" w:cs="Arial"/>
          <w:b/>
          <w:bCs/>
          <w:color w:val="000000"/>
          <w:sz w:val="20"/>
          <w:szCs w:val="20"/>
        </w:rPr>
        <w:t>Note 16.    Regulatory Capital</w:t>
      </w:r>
    </w:p>
    <w:p w14:paraId="5F2D43D3" w14:textId="77777777" w:rsidR="00E836FB" w:rsidRDefault="00994958">
      <w:pPr>
        <w:spacing w:before="60"/>
        <w:ind w:firstLine="450"/>
        <w:jc w:val="both"/>
      </w:pPr>
      <w:r>
        <w:rPr>
          <w:rFonts w:ascii="Arial" w:eastAsia="宋体" w:hAnsi="Arial" w:cs="Arial"/>
          <w:color w:val="000000"/>
          <w:sz w:val="20"/>
          <w:szCs w:val="20"/>
        </w:rPr>
        <w:t xml:space="preserve">We are subject to various regulatory capital requirements administered by federal banking </w:t>
      </w:r>
      <w:r>
        <w:rPr>
          <w:rFonts w:ascii="Arial" w:eastAsia="宋体" w:hAnsi="Arial" w:cs="Arial"/>
          <w:color w:val="000000"/>
          <w:sz w:val="20"/>
          <w:szCs w:val="20"/>
        </w:rPr>
        <w:t>agencies. Failure to meet minimum regulatory capital requirements can initiate certain mandatory and discretionary actions by regulators that, if undertaken, could have a direct material effect on our consolidated financial condition. Under current regulat</w:t>
      </w:r>
      <w:r>
        <w:rPr>
          <w:rFonts w:ascii="Arial" w:eastAsia="宋体" w:hAnsi="Arial" w:cs="Arial"/>
          <w:color w:val="000000"/>
          <w:sz w:val="20"/>
          <w:szCs w:val="20"/>
        </w:rPr>
        <w:t>ory capital adequacy guidelines, we must meet specified capital requirements that involve quantitative measures of our consolidated assets, liabilities and off-balance sheet exposures calculated in conformity with regulatory accounting practices. Our capit</w:t>
      </w:r>
      <w:r>
        <w:rPr>
          <w:rFonts w:ascii="Arial" w:eastAsia="宋体" w:hAnsi="Arial" w:cs="Arial"/>
          <w:color w:val="000000"/>
          <w:sz w:val="20"/>
          <w:szCs w:val="20"/>
        </w:rPr>
        <w:t>al components and their classifications are subject to qualitative judgments by regulators about components, risk weightings and other factors.</w:t>
      </w:r>
    </w:p>
    <w:p w14:paraId="5F2D43D4" w14:textId="77777777" w:rsidR="00E836FB" w:rsidRDefault="00994958">
      <w:pPr>
        <w:ind w:firstLine="450"/>
        <w:jc w:val="right"/>
      </w:pPr>
      <w:r>
        <w:rPr>
          <w:rFonts w:ascii="Arial" w:eastAsia="宋体" w:hAnsi="Arial" w:cs="Arial"/>
          <w:color w:val="000000"/>
          <w:sz w:val="18"/>
          <w:szCs w:val="18"/>
        </w:rPr>
        <w:t>State Street Corporation | 171</w:t>
      </w:r>
    </w:p>
    <w:p w14:paraId="5F2D43D5" w14:textId="77777777" w:rsidR="00E836FB" w:rsidRDefault="00E836FB">
      <w:pPr>
        <w:ind w:firstLine="450"/>
        <w:jc w:val="center"/>
      </w:pPr>
    </w:p>
    <w:p w14:paraId="5F2D43D6" w14:textId="77777777" w:rsidR="00E836FB" w:rsidRDefault="00994958">
      <w:r>
        <w:pict w14:anchorId="5F2D6E30">
          <v:rect id="_x0000_i1195" style="width:415.3pt;height:1.5pt" o:hralign="center" o:hrstd="t" o:hr="t" fillcolor="#a0a0a0" stroked="f"/>
        </w:pict>
      </w:r>
    </w:p>
    <w:p w14:paraId="5F2D43D7" w14:textId="77777777" w:rsidR="00E836FB" w:rsidRDefault="00994958">
      <w:pPr>
        <w:ind w:firstLine="450"/>
        <w:jc w:val="center"/>
      </w:pPr>
      <w:r>
        <w:rPr>
          <w:rFonts w:ascii="Arial" w:eastAsia="宋体" w:hAnsi="Arial" w:cs="Arial"/>
          <w:b/>
          <w:bCs/>
          <w:color w:val="000000"/>
          <w:sz w:val="20"/>
          <w:szCs w:val="20"/>
        </w:rPr>
        <w:t>STATE STREET CORPORATION</w:t>
      </w:r>
    </w:p>
    <w:p w14:paraId="5F2D43D8"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3D9" w14:textId="77777777" w:rsidR="00E836FB" w:rsidRDefault="00994958">
      <w:pPr>
        <w:spacing w:before="60"/>
        <w:ind w:firstLine="450"/>
        <w:jc w:val="both"/>
      </w:pPr>
      <w:r>
        <w:rPr>
          <w:rFonts w:ascii="Arial" w:eastAsia="宋体" w:hAnsi="Arial" w:cs="Arial"/>
          <w:color w:val="000000"/>
          <w:sz w:val="20"/>
          <w:szCs w:val="20"/>
        </w:rPr>
        <w:t>As require</w:t>
      </w:r>
      <w:r>
        <w:rPr>
          <w:rFonts w:ascii="Arial" w:eastAsia="宋体" w:hAnsi="Arial" w:cs="Arial"/>
          <w:color w:val="000000"/>
          <w:sz w:val="20"/>
          <w:szCs w:val="20"/>
        </w:rPr>
        <w:t xml:space="preserve">d by the Dodd-Frank Act, we and State Street Bank, as advanced approaches banking organizations, are subject to a "capital floor" in the calculation and assessment of regulatory capital adequacy by U.S. banking regulators. Beginning on January 1, 2015, we </w:t>
      </w:r>
      <w:r>
        <w:rPr>
          <w:rFonts w:ascii="Arial" w:eastAsia="宋体" w:hAnsi="Arial" w:cs="Arial"/>
          <w:color w:val="000000"/>
          <w:sz w:val="20"/>
          <w:szCs w:val="20"/>
        </w:rPr>
        <w:t>were required to calculate our risk- based capital ratios using both the advanced approaches and the standardized approach. As a result, from January 1, 2015 going forward, our risk-based capital ratios for regulatory assessment purposes are the lower of e</w:t>
      </w:r>
      <w:r>
        <w:rPr>
          <w:rFonts w:ascii="Arial" w:eastAsia="宋体" w:hAnsi="Arial" w:cs="Arial"/>
          <w:color w:val="000000"/>
          <w:sz w:val="20"/>
          <w:szCs w:val="20"/>
        </w:rPr>
        <w:t>ach ratio calculated under the standardized approach and the advanced approaches.</w:t>
      </w:r>
    </w:p>
    <w:p w14:paraId="5F2D43DA" w14:textId="77777777" w:rsidR="00E836FB" w:rsidRDefault="00994958">
      <w:pPr>
        <w:spacing w:before="60"/>
        <w:ind w:firstLine="450"/>
        <w:jc w:val="both"/>
      </w:pPr>
      <w:r>
        <w:rPr>
          <w:rFonts w:ascii="Arial" w:eastAsia="宋体" w:hAnsi="Arial" w:cs="Arial"/>
          <w:color w:val="000000"/>
          <w:sz w:val="20"/>
          <w:szCs w:val="20"/>
        </w:rPr>
        <w:t>As of December 31, 2021, we and State Street Bank exceeded all regulatory capital adequacy requirements to which we were subject. As of December 31, 2021, State Street Bank w</w:t>
      </w:r>
      <w:r>
        <w:rPr>
          <w:rFonts w:ascii="Arial" w:eastAsia="宋体" w:hAnsi="Arial" w:cs="Arial"/>
          <w:color w:val="000000"/>
          <w:sz w:val="20"/>
          <w:szCs w:val="20"/>
        </w:rPr>
        <w:t>as categorized as “well capitalized” under the applicable regulatory capital adequacy framework, and exceeded all “well capitalized” ratio guidelines to which it was subject. Management believes that no conditions or events have occurred since December 31,</w:t>
      </w:r>
      <w:r>
        <w:rPr>
          <w:rFonts w:ascii="Arial" w:eastAsia="宋体" w:hAnsi="Arial" w:cs="Arial"/>
          <w:color w:val="000000"/>
          <w:sz w:val="20"/>
          <w:szCs w:val="20"/>
        </w:rPr>
        <w:t xml:space="preserve"> 2021 that have changed the capital categorization of State Street Bank.</w:t>
      </w:r>
    </w:p>
    <w:p w14:paraId="5F2D43DB" w14:textId="77777777" w:rsidR="00E836FB" w:rsidRDefault="00994958">
      <w:pPr>
        <w:spacing w:before="40"/>
        <w:ind w:firstLine="450"/>
        <w:jc w:val="both"/>
      </w:pPr>
      <w:r>
        <w:rPr>
          <w:rFonts w:ascii="Arial" w:eastAsia="宋体" w:hAnsi="Arial" w:cs="Arial"/>
          <w:color w:val="000000"/>
          <w:sz w:val="20"/>
          <w:szCs w:val="20"/>
        </w:rPr>
        <w:t xml:space="preserve">The following table presents the regulatory capital structure, total RWA, related regulatory capital ratios and the minimum required regulatory capital ratios for us and State Street </w:t>
      </w:r>
      <w:r>
        <w:rPr>
          <w:rFonts w:ascii="Arial" w:eastAsia="宋体" w:hAnsi="Arial" w:cs="Arial"/>
          <w:color w:val="000000"/>
          <w:sz w:val="20"/>
          <w:szCs w:val="20"/>
        </w:rPr>
        <w:t>Bank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95"/>
        <w:gridCol w:w="438"/>
        <w:gridCol w:w="38"/>
        <w:gridCol w:w="79"/>
        <w:gridCol w:w="653"/>
        <w:gridCol w:w="113"/>
        <w:gridCol w:w="82"/>
        <w:gridCol w:w="652"/>
        <w:gridCol w:w="113"/>
        <w:gridCol w:w="79"/>
        <w:gridCol w:w="395"/>
        <w:gridCol w:w="111"/>
        <w:gridCol w:w="37"/>
        <w:gridCol w:w="35"/>
        <w:gridCol w:w="35"/>
        <w:gridCol w:w="102"/>
        <w:gridCol w:w="533"/>
        <w:gridCol w:w="111"/>
        <w:gridCol w:w="37"/>
        <w:gridCol w:w="35"/>
        <w:gridCol w:w="35"/>
        <w:gridCol w:w="79"/>
        <w:gridCol w:w="395"/>
        <w:gridCol w:w="111"/>
        <w:gridCol w:w="37"/>
        <w:gridCol w:w="35"/>
        <w:gridCol w:w="35"/>
        <w:gridCol w:w="102"/>
        <w:gridCol w:w="533"/>
        <w:gridCol w:w="111"/>
        <w:gridCol w:w="37"/>
        <w:gridCol w:w="35"/>
        <w:gridCol w:w="35"/>
        <w:gridCol w:w="79"/>
        <w:gridCol w:w="395"/>
        <w:gridCol w:w="111"/>
        <w:gridCol w:w="37"/>
        <w:gridCol w:w="35"/>
        <w:gridCol w:w="35"/>
        <w:gridCol w:w="102"/>
        <w:gridCol w:w="533"/>
        <w:gridCol w:w="111"/>
        <w:gridCol w:w="37"/>
        <w:gridCol w:w="35"/>
        <w:gridCol w:w="35"/>
        <w:gridCol w:w="79"/>
        <w:gridCol w:w="395"/>
        <w:gridCol w:w="111"/>
        <w:gridCol w:w="37"/>
        <w:gridCol w:w="35"/>
        <w:gridCol w:w="35"/>
        <w:gridCol w:w="102"/>
        <w:gridCol w:w="533"/>
        <w:gridCol w:w="111"/>
      </w:tblGrid>
      <w:tr w:rsidR="00E836FB" w14:paraId="5F2D4412" w14:textId="77777777">
        <w:tc>
          <w:tcPr>
            <w:tcW w:w="50" w:type="pct"/>
            <w:shd w:val="clear" w:color="auto" w:fill="auto"/>
            <w:vAlign w:val="bottom"/>
          </w:tcPr>
          <w:p w14:paraId="5F2D43DC" w14:textId="77777777" w:rsidR="00E836FB" w:rsidRDefault="00E836FB">
            <w:pPr>
              <w:rPr>
                <w:rFonts w:ascii="宋体"/>
              </w:rPr>
            </w:pPr>
          </w:p>
        </w:tc>
        <w:tc>
          <w:tcPr>
            <w:tcW w:w="427" w:type="pct"/>
            <w:shd w:val="clear" w:color="auto" w:fill="auto"/>
            <w:vAlign w:val="bottom"/>
          </w:tcPr>
          <w:p w14:paraId="5F2D43DD" w14:textId="77777777" w:rsidR="00E836FB" w:rsidRDefault="00E836FB">
            <w:pPr>
              <w:rPr>
                <w:rFonts w:ascii="宋体"/>
              </w:rPr>
            </w:pPr>
          </w:p>
        </w:tc>
        <w:tc>
          <w:tcPr>
            <w:tcW w:w="5" w:type="pct"/>
            <w:shd w:val="clear" w:color="auto" w:fill="auto"/>
            <w:vAlign w:val="bottom"/>
          </w:tcPr>
          <w:p w14:paraId="5F2D43DE" w14:textId="77777777" w:rsidR="00E836FB" w:rsidRDefault="00E836FB">
            <w:pPr>
              <w:rPr>
                <w:rFonts w:ascii="宋体"/>
              </w:rPr>
            </w:pPr>
          </w:p>
        </w:tc>
        <w:tc>
          <w:tcPr>
            <w:tcW w:w="50" w:type="pct"/>
            <w:shd w:val="clear" w:color="auto" w:fill="auto"/>
            <w:vAlign w:val="bottom"/>
          </w:tcPr>
          <w:p w14:paraId="5F2D43DF" w14:textId="77777777" w:rsidR="00E836FB" w:rsidRDefault="00E836FB">
            <w:pPr>
              <w:rPr>
                <w:rFonts w:ascii="宋体"/>
              </w:rPr>
            </w:pPr>
          </w:p>
        </w:tc>
        <w:tc>
          <w:tcPr>
            <w:tcW w:w="442" w:type="pct"/>
            <w:shd w:val="clear" w:color="auto" w:fill="auto"/>
            <w:vAlign w:val="bottom"/>
          </w:tcPr>
          <w:p w14:paraId="5F2D43E0" w14:textId="77777777" w:rsidR="00E836FB" w:rsidRDefault="00E836FB">
            <w:pPr>
              <w:rPr>
                <w:rFonts w:ascii="宋体"/>
              </w:rPr>
            </w:pPr>
          </w:p>
        </w:tc>
        <w:tc>
          <w:tcPr>
            <w:tcW w:w="5" w:type="pct"/>
            <w:shd w:val="clear" w:color="auto" w:fill="auto"/>
            <w:vAlign w:val="bottom"/>
          </w:tcPr>
          <w:p w14:paraId="5F2D43E1" w14:textId="77777777" w:rsidR="00E836FB" w:rsidRDefault="00E836FB">
            <w:pPr>
              <w:rPr>
                <w:rFonts w:ascii="宋体"/>
              </w:rPr>
            </w:pPr>
          </w:p>
        </w:tc>
        <w:tc>
          <w:tcPr>
            <w:tcW w:w="50" w:type="pct"/>
            <w:shd w:val="clear" w:color="auto" w:fill="auto"/>
            <w:vAlign w:val="bottom"/>
          </w:tcPr>
          <w:p w14:paraId="5F2D43E2" w14:textId="77777777" w:rsidR="00E836FB" w:rsidRDefault="00E836FB">
            <w:pPr>
              <w:rPr>
                <w:rFonts w:ascii="宋体"/>
              </w:rPr>
            </w:pPr>
          </w:p>
        </w:tc>
        <w:tc>
          <w:tcPr>
            <w:tcW w:w="434" w:type="pct"/>
            <w:shd w:val="clear" w:color="auto" w:fill="auto"/>
            <w:vAlign w:val="bottom"/>
          </w:tcPr>
          <w:p w14:paraId="5F2D43E3" w14:textId="77777777" w:rsidR="00E836FB" w:rsidRDefault="00E836FB">
            <w:pPr>
              <w:rPr>
                <w:rFonts w:ascii="宋体"/>
              </w:rPr>
            </w:pPr>
          </w:p>
        </w:tc>
        <w:tc>
          <w:tcPr>
            <w:tcW w:w="5" w:type="pct"/>
            <w:shd w:val="clear" w:color="auto" w:fill="auto"/>
            <w:vAlign w:val="bottom"/>
          </w:tcPr>
          <w:p w14:paraId="5F2D43E4" w14:textId="77777777" w:rsidR="00E836FB" w:rsidRDefault="00E836FB">
            <w:pPr>
              <w:rPr>
                <w:rFonts w:ascii="宋体"/>
              </w:rPr>
            </w:pPr>
          </w:p>
        </w:tc>
        <w:tc>
          <w:tcPr>
            <w:tcW w:w="50" w:type="pct"/>
            <w:shd w:val="clear" w:color="auto" w:fill="auto"/>
            <w:vAlign w:val="bottom"/>
          </w:tcPr>
          <w:p w14:paraId="5F2D43E5" w14:textId="77777777" w:rsidR="00E836FB" w:rsidRDefault="00E836FB">
            <w:pPr>
              <w:rPr>
                <w:rFonts w:ascii="宋体"/>
              </w:rPr>
            </w:pPr>
          </w:p>
        </w:tc>
        <w:tc>
          <w:tcPr>
            <w:tcW w:w="354" w:type="pct"/>
            <w:shd w:val="clear" w:color="auto" w:fill="auto"/>
            <w:vAlign w:val="bottom"/>
          </w:tcPr>
          <w:p w14:paraId="5F2D43E6" w14:textId="77777777" w:rsidR="00E836FB" w:rsidRDefault="00E836FB">
            <w:pPr>
              <w:rPr>
                <w:rFonts w:ascii="宋体"/>
              </w:rPr>
            </w:pPr>
          </w:p>
        </w:tc>
        <w:tc>
          <w:tcPr>
            <w:tcW w:w="5" w:type="pct"/>
            <w:shd w:val="clear" w:color="auto" w:fill="auto"/>
            <w:vAlign w:val="bottom"/>
          </w:tcPr>
          <w:p w14:paraId="5F2D43E7" w14:textId="77777777" w:rsidR="00E836FB" w:rsidRDefault="00E836FB">
            <w:pPr>
              <w:rPr>
                <w:rFonts w:ascii="宋体"/>
              </w:rPr>
            </w:pPr>
          </w:p>
        </w:tc>
        <w:tc>
          <w:tcPr>
            <w:tcW w:w="5" w:type="pct"/>
            <w:shd w:val="clear" w:color="auto" w:fill="auto"/>
            <w:vAlign w:val="bottom"/>
          </w:tcPr>
          <w:p w14:paraId="5F2D43E8" w14:textId="77777777" w:rsidR="00E836FB" w:rsidRDefault="00E836FB">
            <w:pPr>
              <w:rPr>
                <w:rFonts w:ascii="宋体"/>
              </w:rPr>
            </w:pPr>
          </w:p>
        </w:tc>
        <w:tc>
          <w:tcPr>
            <w:tcW w:w="26" w:type="pct"/>
            <w:shd w:val="clear" w:color="auto" w:fill="auto"/>
            <w:vAlign w:val="bottom"/>
          </w:tcPr>
          <w:p w14:paraId="5F2D43E9" w14:textId="77777777" w:rsidR="00E836FB" w:rsidRDefault="00E836FB">
            <w:pPr>
              <w:rPr>
                <w:rFonts w:ascii="宋体"/>
              </w:rPr>
            </w:pPr>
          </w:p>
        </w:tc>
        <w:tc>
          <w:tcPr>
            <w:tcW w:w="5" w:type="pct"/>
            <w:shd w:val="clear" w:color="auto" w:fill="auto"/>
            <w:vAlign w:val="bottom"/>
          </w:tcPr>
          <w:p w14:paraId="5F2D43EA" w14:textId="77777777" w:rsidR="00E836FB" w:rsidRDefault="00E836FB">
            <w:pPr>
              <w:rPr>
                <w:rFonts w:ascii="宋体"/>
              </w:rPr>
            </w:pPr>
          </w:p>
        </w:tc>
        <w:tc>
          <w:tcPr>
            <w:tcW w:w="50" w:type="pct"/>
            <w:shd w:val="clear" w:color="auto" w:fill="auto"/>
            <w:vAlign w:val="bottom"/>
          </w:tcPr>
          <w:p w14:paraId="5F2D43EB" w14:textId="77777777" w:rsidR="00E836FB" w:rsidRDefault="00E836FB">
            <w:pPr>
              <w:rPr>
                <w:rFonts w:ascii="宋体"/>
              </w:rPr>
            </w:pPr>
          </w:p>
        </w:tc>
        <w:tc>
          <w:tcPr>
            <w:tcW w:w="354" w:type="pct"/>
            <w:shd w:val="clear" w:color="auto" w:fill="auto"/>
            <w:vAlign w:val="bottom"/>
          </w:tcPr>
          <w:p w14:paraId="5F2D43EC" w14:textId="77777777" w:rsidR="00E836FB" w:rsidRDefault="00E836FB">
            <w:pPr>
              <w:rPr>
                <w:rFonts w:ascii="宋体"/>
              </w:rPr>
            </w:pPr>
          </w:p>
        </w:tc>
        <w:tc>
          <w:tcPr>
            <w:tcW w:w="5" w:type="pct"/>
            <w:shd w:val="clear" w:color="auto" w:fill="auto"/>
            <w:vAlign w:val="bottom"/>
          </w:tcPr>
          <w:p w14:paraId="5F2D43ED" w14:textId="77777777" w:rsidR="00E836FB" w:rsidRDefault="00E836FB">
            <w:pPr>
              <w:rPr>
                <w:rFonts w:ascii="宋体"/>
              </w:rPr>
            </w:pPr>
          </w:p>
        </w:tc>
        <w:tc>
          <w:tcPr>
            <w:tcW w:w="5" w:type="pct"/>
            <w:shd w:val="clear" w:color="auto" w:fill="auto"/>
            <w:vAlign w:val="bottom"/>
          </w:tcPr>
          <w:p w14:paraId="5F2D43EE" w14:textId="77777777" w:rsidR="00E836FB" w:rsidRDefault="00E836FB">
            <w:pPr>
              <w:rPr>
                <w:rFonts w:ascii="宋体"/>
              </w:rPr>
            </w:pPr>
          </w:p>
        </w:tc>
        <w:tc>
          <w:tcPr>
            <w:tcW w:w="26" w:type="pct"/>
            <w:shd w:val="clear" w:color="auto" w:fill="auto"/>
            <w:vAlign w:val="bottom"/>
          </w:tcPr>
          <w:p w14:paraId="5F2D43EF" w14:textId="77777777" w:rsidR="00E836FB" w:rsidRDefault="00E836FB">
            <w:pPr>
              <w:rPr>
                <w:rFonts w:ascii="宋体"/>
              </w:rPr>
            </w:pPr>
          </w:p>
        </w:tc>
        <w:tc>
          <w:tcPr>
            <w:tcW w:w="5" w:type="pct"/>
            <w:shd w:val="clear" w:color="auto" w:fill="auto"/>
            <w:vAlign w:val="bottom"/>
          </w:tcPr>
          <w:p w14:paraId="5F2D43F0" w14:textId="77777777" w:rsidR="00E836FB" w:rsidRDefault="00E836FB">
            <w:pPr>
              <w:rPr>
                <w:rFonts w:ascii="宋体"/>
              </w:rPr>
            </w:pPr>
          </w:p>
        </w:tc>
        <w:tc>
          <w:tcPr>
            <w:tcW w:w="50" w:type="pct"/>
            <w:shd w:val="clear" w:color="auto" w:fill="auto"/>
            <w:vAlign w:val="bottom"/>
          </w:tcPr>
          <w:p w14:paraId="5F2D43F1" w14:textId="77777777" w:rsidR="00E836FB" w:rsidRDefault="00E836FB">
            <w:pPr>
              <w:rPr>
                <w:rFonts w:ascii="宋体"/>
              </w:rPr>
            </w:pPr>
          </w:p>
        </w:tc>
        <w:tc>
          <w:tcPr>
            <w:tcW w:w="354" w:type="pct"/>
            <w:shd w:val="clear" w:color="auto" w:fill="auto"/>
            <w:vAlign w:val="bottom"/>
          </w:tcPr>
          <w:p w14:paraId="5F2D43F2" w14:textId="77777777" w:rsidR="00E836FB" w:rsidRDefault="00E836FB">
            <w:pPr>
              <w:rPr>
                <w:rFonts w:ascii="宋体"/>
              </w:rPr>
            </w:pPr>
          </w:p>
        </w:tc>
        <w:tc>
          <w:tcPr>
            <w:tcW w:w="5" w:type="pct"/>
            <w:shd w:val="clear" w:color="auto" w:fill="auto"/>
            <w:vAlign w:val="bottom"/>
          </w:tcPr>
          <w:p w14:paraId="5F2D43F3" w14:textId="77777777" w:rsidR="00E836FB" w:rsidRDefault="00E836FB">
            <w:pPr>
              <w:rPr>
                <w:rFonts w:ascii="宋体"/>
              </w:rPr>
            </w:pPr>
          </w:p>
        </w:tc>
        <w:tc>
          <w:tcPr>
            <w:tcW w:w="5" w:type="pct"/>
            <w:shd w:val="clear" w:color="auto" w:fill="auto"/>
            <w:vAlign w:val="bottom"/>
          </w:tcPr>
          <w:p w14:paraId="5F2D43F4" w14:textId="77777777" w:rsidR="00E836FB" w:rsidRDefault="00E836FB">
            <w:pPr>
              <w:rPr>
                <w:rFonts w:ascii="宋体"/>
              </w:rPr>
            </w:pPr>
          </w:p>
        </w:tc>
        <w:tc>
          <w:tcPr>
            <w:tcW w:w="26" w:type="pct"/>
            <w:shd w:val="clear" w:color="auto" w:fill="auto"/>
            <w:vAlign w:val="bottom"/>
          </w:tcPr>
          <w:p w14:paraId="5F2D43F5" w14:textId="77777777" w:rsidR="00E836FB" w:rsidRDefault="00E836FB">
            <w:pPr>
              <w:rPr>
                <w:rFonts w:ascii="宋体"/>
              </w:rPr>
            </w:pPr>
          </w:p>
        </w:tc>
        <w:tc>
          <w:tcPr>
            <w:tcW w:w="5" w:type="pct"/>
            <w:shd w:val="clear" w:color="auto" w:fill="auto"/>
            <w:vAlign w:val="bottom"/>
          </w:tcPr>
          <w:p w14:paraId="5F2D43F6" w14:textId="77777777" w:rsidR="00E836FB" w:rsidRDefault="00E836FB">
            <w:pPr>
              <w:rPr>
                <w:rFonts w:ascii="宋体"/>
              </w:rPr>
            </w:pPr>
          </w:p>
        </w:tc>
        <w:tc>
          <w:tcPr>
            <w:tcW w:w="50" w:type="pct"/>
            <w:shd w:val="clear" w:color="auto" w:fill="auto"/>
            <w:vAlign w:val="bottom"/>
          </w:tcPr>
          <w:p w14:paraId="5F2D43F7" w14:textId="77777777" w:rsidR="00E836FB" w:rsidRDefault="00E836FB">
            <w:pPr>
              <w:rPr>
                <w:rFonts w:ascii="宋体"/>
              </w:rPr>
            </w:pPr>
          </w:p>
        </w:tc>
        <w:tc>
          <w:tcPr>
            <w:tcW w:w="354" w:type="pct"/>
            <w:shd w:val="clear" w:color="auto" w:fill="auto"/>
            <w:vAlign w:val="bottom"/>
          </w:tcPr>
          <w:p w14:paraId="5F2D43F8" w14:textId="77777777" w:rsidR="00E836FB" w:rsidRDefault="00E836FB">
            <w:pPr>
              <w:rPr>
                <w:rFonts w:ascii="宋体"/>
              </w:rPr>
            </w:pPr>
          </w:p>
        </w:tc>
        <w:tc>
          <w:tcPr>
            <w:tcW w:w="5" w:type="pct"/>
            <w:shd w:val="clear" w:color="auto" w:fill="auto"/>
            <w:vAlign w:val="bottom"/>
          </w:tcPr>
          <w:p w14:paraId="5F2D43F9" w14:textId="77777777" w:rsidR="00E836FB" w:rsidRDefault="00E836FB">
            <w:pPr>
              <w:rPr>
                <w:rFonts w:ascii="宋体"/>
              </w:rPr>
            </w:pPr>
          </w:p>
        </w:tc>
        <w:tc>
          <w:tcPr>
            <w:tcW w:w="5" w:type="pct"/>
            <w:shd w:val="clear" w:color="auto" w:fill="auto"/>
            <w:vAlign w:val="bottom"/>
          </w:tcPr>
          <w:p w14:paraId="5F2D43FA" w14:textId="77777777" w:rsidR="00E836FB" w:rsidRDefault="00E836FB">
            <w:pPr>
              <w:rPr>
                <w:rFonts w:ascii="宋体"/>
              </w:rPr>
            </w:pPr>
          </w:p>
        </w:tc>
        <w:tc>
          <w:tcPr>
            <w:tcW w:w="26" w:type="pct"/>
            <w:shd w:val="clear" w:color="auto" w:fill="auto"/>
            <w:vAlign w:val="bottom"/>
          </w:tcPr>
          <w:p w14:paraId="5F2D43FB" w14:textId="77777777" w:rsidR="00E836FB" w:rsidRDefault="00E836FB">
            <w:pPr>
              <w:rPr>
                <w:rFonts w:ascii="宋体"/>
              </w:rPr>
            </w:pPr>
          </w:p>
        </w:tc>
        <w:tc>
          <w:tcPr>
            <w:tcW w:w="5" w:type="pct"/>
            <w:shd w:val="clear" w:color="auto" w:fill="auto"/>
            <w:vAlign w:val="bottom"/>
          </w:tcPr>
          <w:p w14:paraId="5F2D43FC" w14:textId="77777777" w:rsidR="00E836FB" w:rsidRDefault="00E836FB">
            <w:pPr>
              <w:rPr>
                <w:rFonts w:ascii="宋体"/>
              </w:rPr>
            </w:pPr>
          </w:p>
        </w:tc>
        <w:tc>
          <w:tcPr>
            <w:tcW w:w="50" w:type="pct"/>
            <w:shd w:val="clear" w:color="auto" w:fill="auto"/>
            <w:vAlign w:val="bottom"/>
          </w:tcPr>
          <w:p w14:paraId="5F2D43FD" w14:textId="77777777" w:rsidR="00E836FB" w:rsidRDefault="00E836FB">
            <w:pPr>
              <w:rPr>
                <w:rFonts w:ascii="宋体"/>
              </w:rPr>
            </w:pPr>
          </w:p>
        </w:tc>
        <w:tc>
          <w:tcPr>
            <w:tcW w:w="354" w:type="pct"/>
            <w:shd w:val="clear" w:color="auto" w:fill="auto"/>
            <w:vAlign w:val="bottom"/>
          </w:tcPr>
          <w:p w14:paraId="5F2D43FE" w14:textId="77777777" w:rsidR="00E836FB" w:rsidRDefault="00E836FB">
            <w:pPr>
              <w:rPr>
                <w:rFonts w:ascii="宋体"/>
              </w:rPr>
            </w:pPr>
          </w:p>
        </w:tc>
        <w:tc>
          <w:tcPr>
            <w:tcW w:w="5" w:type="pct"/>
            <w:shd w:val="clear" w:color="auto" w:fill="auto"/>
            <w:vAlign w:val="bottom"/>
          </w:tcPr>
          <w:p w14:paraId="5F2D43FF" w14:textId="77777777" w:rsidR="00E836FB" w:rsidRDefault="00E836FB">
            <w:pPr>
              <w:rPr>
                <w:rFonts w:ascii="宋体"/>
              </w:rPr>
            </w:pPr>
          </w:p>
        </w:tc>
        <w:tc>
          <w:tcPr>
            <w:tcW w:w="5" w:type="pct"/>
            <w:shd w:val="clear" w:color="auto" w:fill="auto"/>
            <w:vAlign w:val="bottom"/>
          </w:tcPr>
          <w:p w14:paraId="5F2D4400" w14:textId="77777777" w:rsidR="00E836FB" w:rsidRDefault="00E836FB">
            <w:pPr>
              <w:rPr>
                <w:rFonts w:ascii="宋体"/>
              </w:rPr>
            </w:pPr>
          </w:p>
        </w:tc>
        <w:tc>
          <w:tcPr>
            <w:tcW w:w="26" w:type="pct"/>
            <w:shd w:val="clear" w:color="auto" w:fill="auto"/>
            <w:vAlign w:val="bottom"/>
          </w:tcPr>
          <w:p w14:paraId="5F2D4401" w14:textId="77777777" w:rsidR="00E836FB" w:rsidRDefault="00E836FB">
            <w:pPr>
              <w:rPr>
                <w:rFonts w:ascii="宋体"/>
              </w:rPr>
            </w:pPr>
          </w:p>
        </w:tc>
        <w:tc>
          <w:tcPr>
            <w:tcW w:w="5" w:type="pct"/>
            <w:shd w:val="clear" w:color="auto" w:fill="auto"/>
            <w:vAlign w:val="bottom"/>
          </w:tcPr>
          <w:p w14:paraId="5F2D4402" w14:textId="77777777" w:rsidR="00E836FB" w:rsidRDefault="00E836FB">
            <w:pPr>
              <w:rPr>
                <w:rFonts w:ascii="宋体"/>
              </w:rPr>
            </w:pPr>
          </w:p>
        </w:tc>
        <w:tc>
          <w:tcPr>
            <w:tcW w:w="50" w:type="pct"/>
            <w:shd w:val="clear" w:color="auto" w:fill="auto"/>
            <w:vAlign w:val="bottom"/>
          </w:tcPr>
          <w:p w14:paraId="5F2D4403" w14:textId="77777777" w:rsidR="00E836FB" w:rsidRDefault="00E836FB">
            <w:pPr>
              <w:rPr>
                <w:rFonts w:ascii="宋体"/>
              </w:rPr>
            </w:pPr>
          </w:p>
        </w:tc>
        <w:tc>
          <w:tcPr>
            <w:tcW w:w="354" w:type="pct"/>
            <w:shd w:val="clear" w:color="auto" w:fill="auto"/>
            <w:vAlign w:val="bottom"/>
          </w:tcPr>
          <w:p w14:paraId="5F2D4404" w14:textId="77777777" w:rsidR="00E836FB" w:rsidRDefault="00E836FB">
            <w:pPr>
              <w:rPr>
                <w:rFonts w:ascii="宋体"/>
              </w:rPr>
            </w:pPr>
          </w:p>
        </w:tc>
        <w:tc>
          <w:tcPr>
            <w:tcW w:w="5" w:type="pct"/>
            <w:shd w:val="clear" w:color="auto" w:fill="auto"/>
            <w:vAlign w:val="bottom"/>
          </w:tcPr>
          <w:p w14:paraId="5F2D4405" w14:textId="77777777" w:rsidR="00E836FB" w:rsidRDefault="00E836FB">
            <w:pPr>
              <w:rPr>
                <w:rFonts w:ascii="宋体"/>
              </w:rPr>
            </w:pPr>
          </w:p>
        </w:tc>
        <w:tc>
          <w:tcPr>
            <w:tcW w:w="5" w:type="pct"/>
            <w:shd w:val="clear" w:color="auto" w:fill="auto"/>
            <w:vAlign w:val="bottom"/>
          </w:tcPr>
          <w:p w14:paraId="5F2D4406" w14:textId="77777777" w:rsidR="00E836FB" w:rsidRDefault="00E836FB">
            <w:pPr>
              <w:rPr>
                <w:rFonts w:ascii="宋体"/>
              </w:rPr>
            </w:pPr>
          </w:p>
        </w:tc>
        <w:tc>
          <w:tcPr>
            <w:tcW w:w="26" w:type="pct"/>
            <w:shd w:val="clear" w:color="auto" w:fill="auto"/>
            <w:vAlign w:val="bottom"/>
          </w:tcPr>
          <w:p w14:paraId="5F2D4407" w14:textId="77777777" w:rsidR="00E836FB" w:rsidRDefault="00E836FB">
            <w:pPr>
              <w:rPr>
                <w:rFonts w:ascii="宋体"/>
              </w:rPr>
            </w:pPr>
          </w:p>
        </w:tc>
        <w:tc>
          <w:tcPr>
            <w:tcW w:w="5" w:type="pct"/>
            <w:shd w:val="clear" w:color="auto" w:fill="auto"/>
            <w:vAlign w:val="bottom"/>
          </w:tcPr>
          <w:p w14:paraId="5F2D4408" w14:textId="77777777" w:rsidR="00E836FB" w:rsidRDefault="00E836FB">
            <w:pPr>
              <w:rPr>
                <w:rFonts w:ascii="宋体"/>
              </w:rPr>
            </w:pPr>
          </w:p>
        </w:tc>
        <w:tc>
          <w:tcPr>
            <w:tcW w:w="50" w:type="pct"/>
            <w:shd w:val="clear" w:color="auto" w:fill="auto"/>
            <w:vAlign w:val="bottom"/>
          </w:tcPr>
          <w:p w14:paraId="5F2D4409" w14:textId="77777777" w:rsidR="00E836FB" w:rsidRDefault="00E836FB">
            <w:pPr>
              <w:rPr>
                <w:rFonts w:ascii="宋体"/>
              </w:rPr>
            </w:pPr>
          </w:p>
        </w:tc>
        <w:tc>
          <w:tcPr>
            <w:tcW w:w="354" w:type="pct"/>
            <w:shd w:val="clear" w:color="auto" w:fill="auto"/>
            <w:vAlign w:val="bottom"/>
          </w:tcPr>
          <w:p w14:paraId="5F2D440A" w14:textId="77777777" w:rsidR="00E836FB" w:rsidRDefault="00E836FB">
            <w:pPr>
              <w:rPr>
                <w:rFonts w:ascii="宋体"/>
              </w:rPr>
            </w:pPr>
          </w:p>
        </w:tc>
        <w:tc>
          <w:tcPr>
            <w:tcW w:w="5" w:type="pct"/>
            <w:shd w:val="clear" w:color="auto" w:fill="auto"/>
            <w:vAlign w:val="bottom"/>
          </w:tcPr>
          <w:p w14:paraId="5F2D440B" w14:textId="77777777" w:rsidR="00E836FB" w:rsidRDefault="00E836FB">
            <w:pPr>
              <w:rPr>
                <w:rFonts w:ascii="宋体"/>
              </w:rPr>
            </w:pPr>
          </w:p>
        </w:tc>
        <w:tc>
          <w:tcPr>
            <w:tcW w:w="5" w:type="pct"/>
            <w:shd w:val="clear" w:color="auto" w:fill="auto"/>
            <w:vAlign w:val="bottom"/>
          </w:tcPr>
          <w:p w14:paraId="5F2D440C" w14:textId="77777777" w:rsidR="00E836FB" w:rsidRDefault="00E836FB">
            <w:pPr>
              <w:rPr>
                <w:rFonts w:ascii="宋体"/>
              </w:rPr>
            </w:pPr>
          </w:p>
        </w:tc>
        <w:tc>
          <w:tcPr>
            <w:tcW w:w="26" w:type="pct"/>
            <w:shd w:val="clear" w:color="auto" w:fill="auto"/>
            <w:vAlign w:val="bottom"/>
          </w:tcPr>
          <w:p w14:paraId="5F2D440D" w14:textId="77777777" w:rsidR="00E836FB" w:rsidRDefault="00E836FB">
            <w:pPr>
              <w:rPr>
                <w:rFonts w:ascii="宋体"/>
              </w:rPr>
            </w:pPr>
          </w:p>
        </w:tc>
        <w:tc>
          <w:tcPr>
            <w:tcW w:w="5" w:type="pct"/>
            <w:shd w:val="clear" w:color="auto" w:fill="auto"/>
            <w:vAlign w:val="bottom"/>
          </w:tcPr>
          <w:p w14:paraId="5F2D440E" w14:textId="77777777" w:rsidR="00E836FB" w:rsidRDefault="00E836FB">
            <w:pPr>
              <w:rPr>
                <w:rFonts w:ascii="宋体"/>
              </w:rPr>
            </w:pPr>
          </w:p>
        </w:tc>
        <w:tc>
          <w:tcPr>
            <w:tcW w:w="50" w:type="pct"/>
            <w:shd w:val="clear" w:color="auto" w:fill="auto"/>
            <w:vAlign w:val="bottom"/>
          </w:tcPr>
          <w:p w14:paraId="5F2D440F" w14:textId="77777777" w:rsidR="00E836FB" w:rsidRDefault="00E836FB">
            <w:pPr>
              <w:rPr>
                <w:rFonts w:ascii="宋体"/>
              </w:rPr>
            </w:pPr>
          </w:p>
        </w:tc>
        <w:tc>
          <w:tcPr>
            <w:tcW w:w="354" w:type="pct"/>
            <w:shd w:val="clear" w:color="auto" w:fill="auto"/>
            <w:vAlign w:val="bottom"/>
          </w:tcPr>
          <w:p w14:paraId="5F2D4410" w14:textId="77777777" w:rsidR="00E836FB" w:rsidRDefault="00E836FB">
            <w:pPr>
              <w:rPr>
                <w:rFonts w:ascii="宋体"/>
              </w:rPr>
            </w:pPr>
          </w:p>
        </w:tc>
        <w:tc>
          <w:tcPr>
            <w:tcW w:w="5" w:type="pct"/>
            <w:shd w:val="clear" w:color="auto" w:fill="auto"/>
            <w:vAlign w:val="bottom"/>
          </w:tcPr>
          <w:p w14:paraId="5F2D4411" w14:textId="77777777" w:rsidR="00E836FB" w:rsidRDefault="00E836FB">
            <w:pPr>
              <w:rPr>
                <w:rFonts w:ascii="宋体"/>
              </w:rPr>
            </w:pPr>
          </w:p>
        </w:tc>
      </w:tr>
      <w:tr w:rsidR="00E836FB" w14:paraId="5F2D4417" w14:textId="77777777">
        <w:tc>
          <w:tcPr>
            <w:tcW w:w="0" w:type="auto"/>
            <w:gridSpan w:val="9"/>
            <w:shd w:val="clear" w:color="auto" w:fill="auto"/>
            <w:tcMar>
              <w:top w:w="0" w:type="dxa"/>
              <w:left w:w="20" w:type="dxa"/>
              <w:bottom w:w="0" w:type="dxa"/>
              <w:right w:w="20" w:type="dxa"/>
            </w:tcMar>
            <w:vAlign w:val="bottom"/>
          </w:tcPr>
          <w:p w14:paraId="5F2D4413" w14:textId="77777777" w:rsidR="00E836FB" w:rsidRDefault="00E836FB">
            <w:pPr>
              <w:rPr>
                <w:rFonts w:ascii="宋体"/>
              </w:rPr>
            </w:pPr>
          </w:p>
        </w:tc>
        <w:tc>
          <w:tcPr>
            <w:tcW w:w="0" w:type="auto"/>
            <w:gridSpan w:val="21"/>
            <w:shd w:val="clear" w:color="auto" w:fill="FFFFFF"/>
            <w:tcMar>
              <w:top w:w="40" w:type="dxa"/>
              <w:left w:w="20" w:type="dxa"/>
              <w:bottom w:w="40" w:type="dxa"/>
              <w:right w:w="20" w:type="dxa"/>
            </w:tcMar>
            <w:vAlign w:val="bottom"/>
          </w:tcPr>
          <w:p w14:paraId="5F2D4414" w14:textId="77777777" w:rsidR="00E836FB" w:rsidRDefault="00994958">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vAlign w:val="bottom"/>
          </w:tcPr>
          <w:p w14:paraId="5F2D4415" w14:textId="77777777" w:rsidR="00E836FB" w:rsidRDefault="00E836FB">
            <w:pPr>
              <w:rPr>
                <w:rFonts w:ascii="宋体"/>
              </w:rPr>
            </w:pPr>
          </w:p>
        </w:tc>
        <w:tc>
          <w:tcPr>
            <w:tcW w:w="0" w:type="auto"/>
            <w:gridSpan w:val="21"/>
            <w:shd w:val="clear" w:color="auto" w:fill="FFFFFF"/>
            <w:tcMar>
              <w:top w:w="40" w:type="dxa"/>
              <w:left w:w="20" w:type="dxa"/>
              <w:bottom w:w="40" w:type="dxa"/>
              <w:right w:w="20" w:type="dxa"/>
            </w:tcMar>
            <w:vAlign w:val="bottom"/>
          </w:tcPr>
          <w:p w14:paraId="5F2D4416" w14:textId="77777777" w:rsidR="00E836FB" w:rsidRDefault="00994958">
            <w:pPr>
              <w:jc w:val="center"/>
              <w:textAlignment w:val="bottom"/>
            </w:pPr>
            <w:r>
              <w:rPr>
                <w:rFonts w:ascii="Arial" w:eastAsia="宋体" w:hAnsi="Arial" w:cs="Arial"/>
                <w:b/>
                <w:bCs/>
                <w:color w:val="000000"/>
                <w:sz w:val="12"/>
                <w:szCs w:val="12"/>
              </w:rPr>
              <w:t>State Street Bank</w:t>
            </w:r>
          </w:p>
        </w:tc>
      </w:tr>
      <w:tr w:rsidR="00E836FB" w14:paraId="5F2D4428" w14:textId="77777777">
        <w:tc>
          <w:tcPr>
            <w:tcW w:w="0" w:type="auto"/>
            <w:gridSpan w:val="9"/>
            <w:shd w:val="clear" w:color="auto" w:fill="auto"/>
            <w:tcMar>
              <w:top w:w="40" w:type="dxa"/>
              <w:left w:w="20" w:type="dxa"/>
              <w:bottom w:w="40" w:type="dxa"/>
              <w:right w:w="20" w:type="dxa"/>
            </w:tcMar>
            <w:vAlign w:val="bottom"/>
          </w:tcPr>
          <w:p w14:paraId="5F2D4418" w14:textId="77777777" w:rsidR="00E836FB" w:rsidRDefault="00994958">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19" w14:textId="77777777" w:rsidR="00E836FB" w:rsidRDefault="00994958">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1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1B" w14:textId="77777777" w:rsidR="00E836FB" w:rsidRDefault="00994958">
            <w:pPr>
              <w:jc w:val="center"/>
              <w:textAlignment w:val="bottom"/>
            </w:pPr>
            <w:r>
              <w:rPr>
                <w:rFonts w:ascii="Arial" w:eastAsia="宋体" w:hAnsi="Arial" w:cs="Arial"/>
                <w:b/>
                <w:bCs/>
                <w:color w:val="000000"/>
                <w:sz w:val="11"/>
                <w:szCs w:val="11"/>
              </w:rPr>
              <w:t xml:space="preserve">Basel III Standardized </w:t>
            </w:r>
            <w:r>
              <w:rPr>
                <w:rFonts w:ascii="Arial" w:eastAsia="宋体" w:hAnsi="Arial" w:cs="Arial"/>
                <w:b/>
                <w:bCs/>
                <w:color w:val="000000"/>
                <w:sz w:val="11"/>
                <w:szCs w:val="11"/>
              </w:rPr>
              <w:t>Approach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1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1D" w14:textId="77777777" w:rsidR="00E836FB" w:rsidRDefault="00994958">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1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1F" w14:textId="77777777" w:rsidR="00E836FB" w:rsidRDefault="00994958">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vAlign w:val="bottom"/>
          </w:tcPr>
          <w:p w14:paraId="5F2D442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21" w14:textId="77777777" w:rsidR="00E836FB" w:rsidRDefault="00994958">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2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23" w14:textId="77777777" w:rsidR="00E836FB" w:rsidRDefault="00994958">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2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25" w14:textId="77777777" w:rsidR="00E836FB" w:rsidRDefault="00994958">
            <w:pPr>
              <w:jc w:val="center"/>
              <w:textAlignment w:val="bottom"/>
            </w:pPr>
            <w:r>
              <w:rPr>
                <w:rFonts w:ascii="Arial" w:eastAsia="宋体" w:hAnsi="Arial" w:cs="Arial"/>
                <w:b/>
                <w:bCs/>
                <w:color w:val="000000"/>
                <w:sz w:val="11"/>
                <w:szCs w:val="11"/>
              </w:rPr>
              <w:t xml:space="preserve">Basel III Advanced </w:t>
            </w:r>
            <w:r>
              <w:rPr>
                <w:rFonts w:ascii="Arial" w:eastAsia="宋体" w:hAnsi="Arial" w:cs="Arial"/>
                <w:b/>
                <w:bCs/>
                <w:color w:val="000000"/>
                <w:sz w:val="11"/>
                <w:szCs w:val="11"/>
              </w:rPr>
              <w:t>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2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427" w14:textId="77777777" w:rsidR="00E836FB" w:rsidRDefault="00994958">
            <w:pPr>
              <w:jc w:val="center"/>
              <w:textAlignment w:val="bottom"/>
            </w:pPr>
            <w:r>
              <w:rPr>
                <w:rFonts w:ascii="Arial" w:eastAsia="宋体" w:hAnsi="Arial" w:cs="Arial"/>
                <w:b/>
                <w:bCs/>
                <w:color w:val="000000"/>
                <w:sz w:val="11"/>
                <w:szCs w:val="11"/>
              </w:rPr>
              <w:t>Basel III Standardized Approach December 31, 2020</w:t>
            </w:r>
          </w:p>
        </w:tc>
      </w:tr>
      <w:tr w:rsidR="00E836FB" w14:paraId="5F2D4439" w14:textId="77777777">
        <w:tc>
          <w:tcPr>
            <w:tcW w:w="0" w:type="auto"/>
            <w:gridSpan w:val="9"/>
            <w:shd w:val="clear" w:color="auto" w:fill="auto"/>
            <w:tcMar>
              <w:top w:w="40" w:type="dxa"/>
              <w:left w:w="20" w:type="dxa"/>
              <w:bottom w:w="40" w:type="dxa"/>
              <w:right w:w="20" w:type="dxa"/>
            </w:tcMar>
            <w:vAlign w:val="bottom"/>
          </w:tcPr>
          <w:p w14:paraId="5F2D4429" w14:textId="77777777" w:rsidR="00E836FB" w:rsidRDefault="00994958">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2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42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42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2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42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3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43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3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43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3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43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43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438" w14:textId="77777777" w:rsidR="00E836FB" w:rsidRDefault="00E836FB">
            <w:pPr>
              <w:rPr>
                <w:rFonts w:ascii="宋体"/>
              </w:rPr>
            </w:pPr>
          </w:p>
        </w:tc>
      </w:tr>
      <w:tr w:rsidR="00994958" w14:paraId="5F2D445A" w14:textId="77777777">
        <w:tc>
          <w:tcPr>
            <w:tcW w:w="0" w:type="auto"/>
            <w:gridSpan w:val="9"/>
            <w:shd w:val="clear" w:color="auto" w:fill="CCEEFF"/>
            <w:tcMar>
              <w:top w:w="40" w:type="dxa"/>
              <w:left w:w="245" w:type="dxa"/>
              <w:bottom w:w="40" w:type="dxa"/>
              <w:right w:w="20" w:type="dxa"/>
            </w:tcMar>
            <w:vAlign w:val="bottom"/>
          </w:tcPr>
          <w:p w14:paraId="5F2D443A" w14:textId="77777777" w:rsidR="00E836FB" w:rsidRDefault="00994958">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5F2D443B"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443C" w14:textId="77777777" w:rsidR="00E836FB" w:rsidRDefault="00994958">
            <w:pPr>
              <w:jc w:val="right"/>
              <w:textAlignment w:val="bottom"/>
            </w:pPr>
            <w:r>
              <w:rPr>
                <w:rFonts w:ascii="Arial" w:eastAsia="宋体" w:hAnsi="Arial" w:cs="Arial"/>
                <w:b/>
                <w:bCs/>
                <w:color w:val="000000"/>
                <w:sz w:val="12"/>
                <w:szCs w:val="12"/>
              </w:rPr>
              <w:t>11,291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4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3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43F"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4440" w14:textId="77777777" w:rsidR="00E836FB" w:rsidRDefault="00994958">
            <w:pPr>
              <w:jc w:val="right"/>
              <w:textAlignment w:val="bottom"/>
            </w:pPr>
            <w:r>
              <w:rPr>
                <w:rFonts w:ascii="Arial" w:eastAsia="宋体" w:hAnsi="Arial" w:cs="Arial"/>
                <w:b/>
                <w:bCs/>
                <w:color w:val="000000"/>
                <w:sz w:val="12"/>
                <w:szCs w:val="12"/>
              </w:rPr>
              <w:t>11,291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4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4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443"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D4444" w14:textId="77777777" w:rsidR="00E836FB" w:rsidRDefault="00994958">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F2D44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4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447"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D4448" w14:textId="77777777" w:rsidR="00E836FB" w:rsidRDefault="00994958">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F2D44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4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44B"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444C" w14:textId="77777777" w:rsidR="00E836FB" w:rsidRDefault="00994958">
            <w:pPr>
              <w:jc w:val="right"/>
              <w:textAlignment w:val="bottom"/>
            </w:pPr>
            <w:r>
              <w:rPr>
                <w:rFonts w:ascii="Arial" w:eastAsia="宋体" w:hAnsi="Arial" w:cs="Arial"/>
                <w:b/>
                <w:bCs/>
                <w:color w:val="000000"/>
                <w:sz w:val="12"/>
                <w:szCs w:val="12"/>
              </w:rPr>
              <w:t>13,047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4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4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44F"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F2D4450" w14:textId="77777777" w:rsidR="00E836FB" w:rsidRDefault="00994958">
            <w:pPr>
              <w:jc w:val="right"/>
              <w:textAlignment w:val="bottom"/>
            </w:pPr>
            <w:r>
              <w:rPr>
                <w:rFonts w:ascii="Arial" w:eastAsia="宋体" w:hAnsi="Arial" w:cs="Arial"/>
                <w:b/>
                <w:bCs/>
                <w:color w:val="000000"/>
                <w:sz w:val="12"/>
                <w:szCs w:val="12"/>
              </w:rPr>
              <w:t>13,047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4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5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453"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D4454" w14:textId="77777777" w:rsidR="00E836FB" w:rsidRDefault="00994958">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F2D44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5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457" w14:textId="77777777" w:rsidR="00E836FB" w:rsidRDefault="00994958">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F2D4458" w14:textId="77777777" w:rsidR="00E836FB" w:rsidRDefault="00994958">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F2D4459" w14:textId="77777777" w:rsidR="00E836FB" w:rsidRDefault="00E836FB">
            <w:pPr>
              <w:jc w:val="right"/>
              <w:rPr>
                <w:rFonts w:ascii="宋体"/>
              </w:rPr>
            </w:pPr>
          </w:p>
        </w:tc>
      </w:tr>
      <w:tr w:rsidR="00E836FB" w14:paraId="5F2D4473" w14:textId="77777777">
        <w:tc>
          <w:tcPr>
            <w:tcW w:w="0" w:type="auto"/>
            <w:gridSpan w:val="9"/>
            <w:shd w:val="clear" w:color="auto" w:fill="FFFFFF"/>
            <w:tcMar>
              <w:top w:w="40" w:type="dxa"/>
              <w:left w:w="245" w:type="dxa"/>
              <w:bottom w:w="40" w:type="dxa"/>
              <w:right w:w="20" w:type="dxa"/>
            </w:tcMar>
            <w:vAlign w:val="bottom"/>
          </w:tcPr>
          <w:p w14:paraId="5F2D445B" w14:textId="77777777" w:rsidR="00E836FB" w:rsidRDefault="00994958">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5F2D445C" w14:textId="77777777" w:rsidR="00E836FB" w:rsidRDefault="00994958">
            <w:pPr>
              <w:jc w:val="right"/>
              <w:textAlignment w:val="bottom"/>
            </w:pPr>
            <w:r>
              <w:rPr>
                <w:rFonts w:ascii="Arial" w:eastAsia="宋体" w:hAnsi="Arial" w:cs="Arial"/>
                <w:b/>
                <w:bCs/>
                <w:color w:val="000000"/>
                <w:sz w:val="12"/>
                <w:szCs w:val="12"/>
              </w:rPr>
              <w:t>25,238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5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5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5F" w14:textId="77777777" w:rsidR="00E836FB" w:rsidRDefault="00994958">
            <w:pPr>
              <w:jc w:val="right"/>
              <w:textAlignment w:val="bottom"/>
            </w:pPr>
            <w:r>
              <w:rPr>
                <w:rFonts w:ascii="Arial" w:eastAsia="宋体" w:hAnsi="Arial" w:cs="Arial"/>
                <w:b/>
                <w:bCs/>
                <w:color w:val="000000"/>
                <w:sz w:val="12"/>
                <w:szCs w:val="12"/>
              </w:rPr>
              <w:t>25,238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6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6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62" w14:textId="77777777" w:rsidR="00E836FB" w:rsidRDefault="00994958">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F2D44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65" w14:textId="77777777" w:rsidR="00E836FB" w:rsidRDefault="00994958">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F2D44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68" w14:textId="77777777" w:rsidR="00E836FB" w:rsidRDefault="00994958">
            <w:pPr>
              <w:jc w:val="right"/>
              <w:textAlignment w:val="bottom"/>
            </w:pPr>
            <w:r>
              <w:rPr>
                <w:rFonts w:ascii="Arial" w:eastAsia="宋体" w:hAnsi="Arial" w:cs="Arial"/>
                <w:b/>
                <w:bCs/>
                <w:color w:val="000000"/>
                <w:sz w:val="12"/>
                <w:szCs w:val="12"/>
              </w:rPr>
              <w:t>15,700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6B" w14:textId="77777777" w:rsidR="00E836FB" w:rsidRDefault="00994958">
            <w:pPr>
              <w:jc w:val="right"/>
              <w:textAlignment w:val="bottom"/>
            </w:pPr>
            <w:r>
              <w:rPr>
                <w:rFonts w:ascii="Arial" w:eastAsia="宋体" w:hAnsi="Arial" w:cs="Arial"/>
                <w:b/>
                <w:bCs/>
                <w:color w:val="000000"/>
                <w:sz w:val="12"/>
                <w:szCs w:val="12"/>
              </w:rPr>
              <w:t>15,700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6E" w14:textId="77777777" w:rsidR="00E836FB" w:rsidRDefault="00994958">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F2D44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71" w14:textId="77777777" w:rsidR="00E836FB" w:rsidRDefault="00994958">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F2D4472" w14:textId="77777777" w:rsidR="00E836FB" w:rsidRDefault="00E836FB">
            <w:pPr>
              <w:jc w:val="right"/>
              <w:rPr>
                <w:rFonts w:ascii="宋体"/>
              </w:rPr>
            </w:pPr>
          </w:p>
        </w:tc>
      </w:tr>
      <w:tr w:rsidR="00E836FB" w14:paraId="5F2D448C" w14:textId="77777777">
        <w:tc>
          <w:tcPr>
            <w:tcW w:w="0" w:type="auto"/>
            <w:gridSpan w:val="9"/>
            <w:shd w:val="clear" w:color="auto" w:fill="CCEEFF"/>
            <w:tcMar>
              <w:top w:w="40" w:type="dxa"/>
              <w:left w:w="245" w:type="dxa"/>
              <w:bottom w:w="40" w:type="dxa"/>
              <w:right w:w="20" w:type="dxa"/>
            </w:tcMar>
            <w:vAlign w:val="bottom"/>
          </w:tcPr>
          <w:p w14:paraId="5F2D4474" w14:textId="77777777" w:rsidR="00E836FB" w:rsidRDefault="00994958">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5F2D4475" w14:textId="77777777" w:rsidR="00E836FB" w:rsidRDefault="00994958">
            <w:pPr>
              <w:jc w:val="right"/>
              <w:textAlignment w:val="bottom"/>
            </w:pPr>
            <w:r>
              <w:rPr>
                <w:rFonts w:ascii="Arial" w:eastAsia="宋体" w:hAnsi="Arial" w:cs="Arial"/>
                <w:b/>
                <w:bCs/>
                <w:color w:val="000000"/>
                <w:sz w:val="12"/>
                <w:szCs w:val="12"/>
              </w:rPr>
              <w:t>(1,133)</w:t>
            </w:r>
          </w:p>
        </w:tc>
        <w:tc>
          <w:tcPr>
            <w:tcW w:w="0" w:type="auto"/>
            <w:shd w:val="clear" w:color="auto" w:fill="CCEEFF"/>
            <w:tcMar>
              <w:top w:w="40" w:type="dxa"/>
              <w:left w:w="0" w:type="dxa"/>
              <w:bottom w:w="40" w:type="dxa"/>
              <w:right w:w="20" w:type="dxa"/>
            </w:tcMar>
            <w:vAlign w:val="bottom"/>
          </w:tcPr>
          <w:p w14:paraId="5F2D44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7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78" w14:textId="77777777" w:rsidR="00E836FB" w:rsidRDefault="00994958">
            <w:pPr>
              <w:jc w:val="right"/>
              <w:textAlignment w:val="bottom"/>
            </w:pPr>
            <w:r>
              <w:rPr>
                <w:rFonts w:ascii="Arial" w:eastAsia="宋体" w:hAnsi="Arial" w:cs="Arial"/>
                <w:b/>
                <w:bCs/>
                <w:color w:val="000000"/>
                <w:sz w:val="12"/>
                <w:szCs w:val="12"/>
              </w:rPr>
              <w:t>(1,133)</w:t>
            </w:r>
          </w:p>
        </w:tc>
        <w:tc>
          <w:tcPr>
            <w:tcW w:w="0" w:type="auto"/>
            <w:shd w:val="clear" w:color="auto" w:fill="CCEEFF"/>
            <w:tcMar>
              <w:top w:w="40" w:type="dxa"/>
              <w:left w:w="0" w:type="dxa"/>
              <w:bottom w:w="40" w:type="dxa"/>
              <w:right w:w="20" w:type="dxa"/>
            </w:tcMar>
            <w:vAlign w:val="bottom"/>
          </w:tcPr>
          <w:p w14:paraId="5F2D447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7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7B" w14:textId="77777777" w:rsidR="00E836FB" w:rsidRDefault="00994958">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F2D44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7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7E" w14:textId="77777777" w:rsidR="00E836FB" w:rsidRDefault="00994958">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F2D44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8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81" w14:textId="77777777" w:rsidR="00E836FB" w:rsidRDefault="00994958">
            <w:pPr>
              <w:jc w:val="right"/>
              <w:textAlignment w:val="bottom"/>
            </w:pPr>
            <w:r>
              <w:rPr>
                <w:rFonts w:ascii="Arial" w:eastAsia="宋体" w:hAnsi="Arial" w:cs="Arial"/>
                <w:b/>
                <w:bCs/>
                <w:color w:val="000000"/>
                <w:sz w:val="12"/>
                <w:szCs w:val="12"/>
              </w:rPr>
              <w:t>(926)</w:t>
            </w:r>
          </w:p>
        </w:tc>
        <w:tc>
          <w:tcPr>
            <w:tcW w:w="0" w:type="auto"/>
            <w:shd w:val="clear" w:color="auto" w:fill="CCEEFF"/>
            <w:tcMar>
              <w:top w:w="40" w:type="dxa"/>
              <w:left w:w="0" w:type="dxa"/>
              <w:bottom w:w="40" w:type="dxa"/>
              <w:right w:w="20" w:type="dxa"/>
            </w:tcMar>
            <w:vAlign w:val="bottom"/>
          </w:tcPr>
          <w:p w14:paraId="5F2D44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8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84" w14:textId="77777777" w:rsidR="00E836FB" w:rsidRDefault="00994958">
            <w:pPr>
              <w:jc w:val="right"/>
              <w:textAlignment w:val="bottom"/>
            </w:pPr>
            <w:r>
              <w:rPr>
                <w:rFonts w:ascii="Arial" w:eastAsia="宋体" w:hAnsi="Arial" w:cs="Arial"/>
                <w:b/>
                <w:bCs/>
                <w:color w:val="000000"/>
                <w:sz w:val="12"/>
                <w:szCs w:val="12"/>
              </w:rPr>
              <w:t>(926)</w:t>
            </w:r>
          </w:p>
        </w:tc>
        <w:tc>
          <w:tcPr>
            <w:tcW w:w="0" w:type="auto"/>
            <w:shd w:val="clear" w:color="auto" w:fill="CCEEFF"/>
            <w:tcMar>
              <w:top w:w="40" w:type="dxa"/>
              <w:left w:w="0" w:type="dxa"/>
              <w:bottom w:w="40" w:type="dxa"/>
              <w:right w:w="20" w:type="dxa"/>
            </w:tcMar>
            <w:vAlign w:val="bottom"/>
          </w:tcPr>
          <w:p w14:paraId="5F2D44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8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87" w14:textId="77777777" w:rsidR="00E836FB" w:rsidRDefault="00994958">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F2D44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8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8A" w14:textId="77777777" w:rsidR="00E836FB" w:rsidRDefault="00994958">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F2D448B" w14:textId="77777777" w:rsidR="00E836FB" w:rsidRDefault="00E836FB">
            <w:pPr>
              <w:jc w:val="right"/>
              <w:rPr>
                <w:rFonts w:ascii="宋体"/>
              </w:rPr>
            </w:pPr>
          </w:p>
        </w:tc>
      </w:tr>
      <w:tr w:rsidR="00E836FB" w14:paraId="5F2D44A5" w14:textId="77777777">
        <w:tc>
          <w:tcPr>
            <w:tcW w:w="0" w:type="auto"/>
            <w:gridSpan w:val="9"/>
            <w:shd w:val="clear" w:color="auto" w:fill="FFFFFF"/>
            <w:tcMar>
              <w:top w:w="40" w:type="dxa"/>
              <w:left w:w="245" w:type="dxa"/>
              <w:bottom w:w="40" w:type="dxa"/>
              <w:right w:w="20" w:type="dxa"/>
            </w:tcMar>
            <w:vAlign w:val="bottom"/>
          </w:tcPr>
          <w:p w14:paraId="5F2D448D" w14:textId="77777777" w:rsidR="00E836FB" w:rsidRDefault="00994958">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5F2D448E" w14:textId="77777777" w:rsidR="00E836FB" w:rsidRDefault="00994958">
            <w:pPr>
              <w:jc w:val="right"/>
              <w:textAlignment w:val="bottom"/>
            </w:pPr>
            <w:r>
              <w:rPr>
                <w:rFonts w:ascii="Arial" w:eastAsia="宋体" w:hAnsi="Arial" w:cs="Arial"/>
                <w:b/>
                <w:bCs/>
                <w:color w:val="000000"/>
                <w:sz w:val="12"/>
                <w:szCs w:val="12"/>
              </w:rPr>
              <w:t>(10,009)</w:t>
            </w:r>
          </w:p>
        </w:tc>
        <w:tc>
          <w:tcPr>
            <w:tcW w:w="0" w:type="auto"/>
            <w:shd w:val="clear" w:color="auto" w:fill="FFFFFF"/>
            <w:tcMar>
              <w:top w:w="40" w:type="dxa"/>
              <w:left w:w="0" w:type="dxa"/>
              <w:bottom w:w="40" w:type="dxa"/>
              <w:right w:w="20" w:type="dxa"/>
            </w:tcMar>
            <w:vAlign w:val="bottom"/>
          </w:tcPr>
          <w:p w14:paraId="5F2D44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9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91" w14:textId="77777777" w:rsidR="00E836FB" w:rsidRDefault="00994958">
            <w:pPr>
              <w:jc w:val="right"/>
              <w:textAlignment w:val="bottom"/>
            </w:pPr>
            <w:r>
              <w:rPr>
                <w:rFonts w:ascii="Arial" w:eastAsia="宋体" w:hAnsi="Arial" w:cs="Arial"/>
                <w:b/>
                <w:bCs/>
                <w:color w:val="000000"/>
                <w:sz w:val="12"/>
                <w:szCs w:val="12"/>
              </w:rPr>
              <w:t>(10,009)</w:t>
            </w:r>
          </w:p>
        </w:tc>
        <w:tc>
          <w:tcPr>
            <w:tcW w:w="0" w:type="auto"/>
            <w:shd w:val="clear" w:color="auto" w:fill="FFFFFF"/>
            <w:tcMar>
              <w:top w:w="40" w:type="dxa"/>
              <w:left w:w="0" w:type="dxa"/>
              <w:bottom w:w="40" w:type="dxa"/>
              <w:right w:w="20" w:type="dxa"/>
            </w:tcMar>
            <w:vAlign w:val="bottom"/>
          </w:tcPr>
          <w:p w14:paraId="5F2D449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9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94" w14:textId="77777777" w:rsidR="00E836FB" w:rsidRDefault="00994958">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F2D44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9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97" w14:textId="77777777" w:rsidR="00E836FB" w:rsidRDefault="00994958">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F2D44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9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9A"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9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9D"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9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A0" w14:textId="77777777" w:rsidR="00E836FB" w:rsidRDefault="00994958">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A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A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A3" w14:textId="77777777" w:rsidR="00E836FB" w:rsidRDefault="00994958">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4A4" w14:textId="77777777" w:rsidR="00E836FB" w:rsidRDefault="00E836FB">
            <w:pPr>
              <w:jc w:val="right"/>
              <w:rPr>
                <w:rFonts w:ascii="宋体"/>
              </w:rPr>
            </w:pPr>
          </w:p>
        </w:tc>
      </w:tr>
      <w:tr w:rsidR="00E836FB" w14:paraId="5F2D44BE" w14:textId="77777777">
        <w:tc>
          <w:tcPr>
            <w:tcW w:w="0" w:type="auto"/>
            <w:gridSpan w:val="9"/>
            <w:shd w:val="clear" w:color="auto" w:fill="CCEEFF"/>
            <w:tcMar>
              <w:top w:w="40" w:type="dxa"/>
              <w:left w:w="155" w:type="dxa"/>
              <w:bottom w:w="40" w:type="dxa"/>
              <w:right w:w="20" w:type="dxa"/>
            </w:tcMar>
            <w:vAlign w:val="bottom"/>
          </w:tcPr>
          <w:p w14:paraId="5F2D44A6" w14:textId="77777777" w:rsidR="00E836FB" w:rsidRDefault="00994958">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A7" w14:textId="77777777" w:rsidR="00E836FB" w:rsidRDefault="00994958">
            <w:pPr>
              <w:jc w:val="right"/>
              <w:textAlignment w:val="bottom"/>
            </w:pPr>
            <w:r>
              <w:rPr>
                <w:rFonts w:ascii="Arial" w:eastAsia="宋体" w:hAnsi="Arial" w:cs="Arial"/>
                <w:b/>
                <w:bCs/>
                <w:color w:val="000000"/>
                <w:sz w:val="12"/>
                <w:szCs w:val="12"/>
              </w:rPr>
              <w:t>25,387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A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A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AA" w14:textId="77777777" w:rsidR="00E836FB" w:rsidRDefault="00994958">
            <w:pPr>
              <w:jc w:val="right"/>
              <w:textAlignment w:val="bottom"/>
            </w:pPr>
            <w:r>
              <w:rPr>
                <w:rFonts w:ascii="Arial" w:eastAsia="宋体" w:hAnsi="Arial" w:cs="Arial"/>
                <w:b/>
                <w:bCs/>
                <w:color w:val="000000"/>
                <w:sz w:val="12"/>
                <w:szCs w:val="12"/>
              </w:rPr>
              <w:t>25,387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A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AD" w14:textId="77777777" w:rsidR="00E836FB" w:rsidRDefault="00994958">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A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B0" w14:textId="77777777" w:rsidR="00E836FB" w:rsidRDefault="00994958">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B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B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B3" w14:textId="77777777" w:rsidR="00E836FB" w:rsidRDefault="00994958">
            <w:pPr>
              <w:jc w:val="right"/>
              <w:textAlignment w:val="bottom"/>
            </w:pPr>
            <w:r>
              <w:rPr>
                <w:rFonts w:ascii="Arial" w:eastAsia="宋体" w:hAnsi="Arial" w:cs="Arial"/>
                <w:b/>
                <w:bCs/>
                <w:color w:val="000000"/>
                <w:sz w:val="12"/>
                <w:szCs w:val="12"/>
              </w:rPr>
              <w:t>27,821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B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B6" w14:textId="77777777" w:rsidR="00E836FB" w:rsidRDefault="00994958">
            <w:pPr>
              <w:jc w:val="right"/>
              <w:textAlignment w:val="bottom"/>
            </w:pPr>
            <w:r>
              <w:rPr>
                <w:rFonts w:ascii="Arial" w:eastAsia="宋体" w:hAnsi="Arial" w:cs="Arial"/>
                <w:b/>
                <w:bCs/>
                <w:color w:val="000000"/>
                <w:sz w:val="12"/>
                <w:szCs w:val="12"/>
              </w:rPr>
              <w:t>27,821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B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B9" w14:textId="77777777" w:rsidR="00E836FB" w:rsidRDefault="00994958">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B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4BC" w14:textId="77777777" w:rsidR="00E836FB" w:rsidRDefault="00994958">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4BD" w14:textId="77777777" w:rsidR="00E836FB" w:rsidRDefault="00E836FB">
            <w:pPr>
              <w:jc w:val="right"/>
              <w:rPr>
                <w:rFonts w:ascii="宋体"/>
              </w:rPr>
            </w:pPr>
          </w:p>
        </w:tc>
      </w:tr>
      <w:tr w:rsidR="00E836FB" w14:paraId="5F2D44CF" w14:textId="77777777">
        <w:tc>
          <w:tcPr>
            <w:tcW w:w="0" w:type="auto"/>
            <w:gridSpan w:val="9"/>
            <w:shd w:val="clear" w:color="auto" w:fill="FFFFFF"/>
            <w:tcMar>
              <w:top w:w="40" w:type="dxa"/>
              <w:left w:w="155" w:type="dxa"/>
              <w:bottom w:w="40" w:type="dxa"/>
              <w:right w:w="20" w:type="dxa"/>
            </w:tcMar>
            <w:vAlign w:val="bottom"/>
          </w:tcPr>
          <w:p w14:paraId="5F2D44BF" w14:textId="77777777" w:rsidR="00E836FB" w:rsidRDefault="00994958">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5F2D44C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4CE" w14:textId="77777777" w:rsidR="00E836FB" w:rsidRDefault="00E836FB">
            <w:pPr>
              <w:rPr>
                <w:rFonts w:ascii="宋体"/>
              </w:rPr>
            </w:pPr>
          </w:p>
        </w:tc>
      </w:tr>
      <w:tr w:rsidR="00E836FB" w14:paraId="5F2D44E8" w14:textId="77777777">
        <w:tc>
          <w:tcPr>
            <w:tcW w:w="0" w:type="auto"/>
            <w:gridSpan w:val="9"/>
            <w:shd w:val="clear" w:color="auto" w:fill="CCEEFF"/>
            <w:tcMar>
              <w:top w:w="40" w:type="dxa"/>
              <w:left w:w="245" w:type="dxa"/>
              <w:bottom w:w="40" w:type="dxa"/>
              <w:right w:w="20" w:type="dxa"/>
            </w:tcMar>
            <w:vAlign w:val="bottom"/>
          </w:tcPr>
          <w:p w14:paraId="5F2D44D0" w14:textId="77777777" w:rsidR="00E836FB" w:rsidRDefault="00994958">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5F2D44D1" w14:textId="77777777" w:rsidR="00E836FB" w:rsidRDefault="00994958">
            <w:pPr>
              <w:jc w:val="right"/>
              <w:textAlignment w:val="bottom"/>
            </w:pPr>
            <w:r>
              <w:rPr>
                <w:rFonts w:ascii="Arial" w:eastAsia="宋体" w:hAnsi="Arial" w:cs="Arial"/>
                <w:b/>
                <w:bCs/>
                <w:color w:val="000000"/>
                <w:sz w:val="12"/>
                <w:szCs w:val="12"/>
              </w:rPr>
              <w:t>(8,935)</w:t>
            </w:r>
          </w:p>
        </w:tc>
        <w:tc>
          <w:tcPr>
            <w:tcW w:w="0" w:type="auto"/>
            <w:shd w:val="clear" w:color="auto" w:fill="CCEEFF"/>
            <w:tcMar>
              <w:top w:w="40" w:type="dxa"/>
              <w:left w:w="0" w:type="dxa"/>
              <w:bottom w:w="40" w:type="dxa"/>
              <w:right w:w="20" w:type="dxa"/>
            </w:tcMar>
            <w:vAlign w:val="bottom"/>
          </w:tcPr>
          <w:p w14:paraId="5F2D44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D4" w14:textId="77777777" w:rsidR="00E836FB" w:rsidRDefault="00994958">
            <w:pPr>
              <w:jc w:val="right"/>
              <w:textAlignment w:val="bottom"/>
            </w:pPr>
            <w:r>
              <w:rPr>
                <w:rFonts w:ascii="Arial" w:eastAsia="宋体" w:hAnsi="Arial" w:cs="Arial"/>
                <w:b/>
                <w:bCs/>
                <w:color w:val="000000"/>
                <w:sz w:val="12"/>
                <w:szCs w:val="12"/>
              </w:rPr>
              <w:t>(8,935)</w:t>
            </w:r>
          </w:p>
        </w:tc>
        <w:tc>
          <w:tcPr>
            <w:tcW w:w="0" w:type="auto"/>
            <w:shd w:val="clear" w:color="auto" w:fill="CCEEFF"/>
            <w:tcMar>
              <w:top w:w="40" w:type="dxa"/>
              <w:left w:w="0" w:type="dxa"/>
              <w:bottom w:w="40" w:type="dxa"/>
              <w:right w:w="20" w:type="dxa"/>
            </w:tcMar>
            <w:vAlign w:val="bottom"/>
          </w:tcPr>
          <w:p w14:paraId="5F2D44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D7" w14:textId="77777777" w:rsidR="00E836FB" w:rsidRDefault="00994958">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F2D44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DA" w14:textId="77777777" w:rsidR="00E836FB" w:rsidRDefault="00994958">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F2D44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D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DD" w14:textId="77777777" w:rsidR="00E836FB" w:rsidRDefault="00994958">
            <w:pPr>
              <w:jc w:val="right"/>
              <w:textAlignment w:val="bottom"/>
            </w:pPr>
            <w:r>
              <w:rPr>
                <w:rFonts w:ascii="Arial" w:eastAsia="宋体" w:hAnsi="Arial" w:cs="Arial"/>
                <w:b/>
                <w:bCs/>
                <w:color w:val="000000"/>
                <w:sz w:val="12"/>
                <w:szCs w:val="12"/>
              </w:rPr>
              <w:t>(8,667)</w:t>
            </w:r>
          </w:p>
        </w:tc>
        <w:tc>
          <w:tcPr>
            <w:tcW w:w="0" w:type="auto"/>
            <w:shd w:val="clear" w:color="auto" w:fill="CCEEFF"/>
            <w:tcMar>
              <w:top w:w="40" w:type="dxa"/>
              <w:left w:w="0" w:type="dxa"/>
              <w:bottom w:w="40" w:type="dxa"/>
              <w:right w:w="20" w:type="dxa"/>
            </w:tcMar>
            <w:vAlign w:val="bottom"/>
          </w:tcPr>
          <w:p w14:paraId="5F2D44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D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E0" w14:textId="77777777" w:rsidR="00E836FB" w:rsidRDefault="00994958">
            <w:pPr>
              <w:jc w:val="right"/>
              <w:textAlignment w:val="bottom"/>
            </w:pPr>
            <w:r>
              <w:rPr>
                <w:rFonts w:ascii="Arial" w:eastAsia="宋体" w:hAnsi="Arial" w:cs="Arial"/>
                <w:b/>
                <w:bCs/>
                <w:color w:val="000000"/>
                <w:sz w:val="12"/>
                <w:szCs w:val="12"/>
              </w:rPr>
              <w:t>(8,667)</w:t>
            </w:r>
          </w:p>
        </w:tc>
        <w:tc>
          <w:tcPr>
            <w:tcW w:w="0" w:type="auto"/>
            <w:shd w:val="clear" w:color="auto" w:fill="CCEEFF"/>
            <w:tcMar>
              <w:top w:w="40" w:type="dxa"/>
              <w:left w:w="0" w:type="dxa"/>
              <w:bottom w:w="40" w:type="dxa"/>
              <w:right w:w="20" w:type="dxa"/>
            </w:tcMar>
            <w:vAlign w:val="bottom"/>
          </w:tcPr>
          <w:p w14:paraId="5F2D44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E3" w14:textId="77777777" w:rsidR="00E836FB" w:rsidRDefault="00994958">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F2D44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4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4E6" w14:textId="77777777" w:rsidR="00E836FB" w:rsidRDefault="00994958">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F2D44E7" w14:textId="77777777" w:rsidR="00E836FB" w:rsidRDefault="00E836FB">
            <w:pPr>
              <w:jc w:val="right"/>
              <w:rPr>
                <w:rFonts w:ascii="宋体"/>
              </w:rPr>
            </w:pPr>
          </w:p>
        </w:tc>
      </w:tr>
      <w:tr w:rsidR="00E836FB" w14:paraId="5F2D4501" w14:textId="77777777">
        <w:tc>
          <w:tcPr>
            <w:tcW w:w="0" w:type="auto"/>
            <w:gridSpan w:val="9"/>
            <w:shd w:val="clear" w:color="auto" w:fill="FFFFFF"/>
            <w:tcMar>
              <w:top w:w="40" w:type="dxa"/>
              <w:left w:w="20" w:type="dxa"/>
              <w:bottom w:w="40" w:type="dxa"/>
              <w:right w:w="20" w:type="dxa"/>
            </w:tcMar>
            <w:vAlign w:val="bottom"/>
          </w:tcPr>
          <w:p w14:paraId="5F2D44E9" w14:textId="77777777" w:rsidR="00E836FB" w:rsidRDefault="00994958">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5F2D44EA" w14:textId="77777777" w:rsidR="00E836FB" w:rsidRDefault="00994958">
            <w:pPr>
              <w:jc w:val="right"/>
              <w:textAlignment w:val="bottom"/>
            </w:pPr>
            <w:r>
              <w:rPr>
                <w:rFonts w:ascii="Arial" w:eastAsia="宋体" w:hAnsi="Arial" w:cs="Arial"/>
                <w:b/>
                <w:bCs/>
                <w:color w:val="000000"/>
                <w:sz w:val="12"/>
                <w:szCs w:val="12"/>
              </w:rPr>
              <w:t>(505)</w:t>
            </w:r>
          </w:p>
        </w:tc>
        <w:tc>
          <w:tcPr>
            <w:tcW w:w="0" w:type="auto"/>
            <w:shd w:val="clear" w:color="auto" w:fill="FFFFFF"/>
            <w:tcMar>
              <w:top w:w="40" w:type="dxa"/>
              <w:left w:w="0" w:type="dxa"/>
              <w:bottom w:w="40" w:type="dxa"/>
              <w:right w:w="20" w:type="dxa"/>
            </w:tcMar>
            <w:vAlign w:val="bottom"/>
          </w:tcPr>
          <w:p w14:paraId="5F2D44E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E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ED" w14:textId="77777777" w:rsidR="00E836FB" w:rsidRDefault="00994958">
            <w:pPr>
              <w:jc w:val="right"/>
              <w:textAlignment w:val="bottom"/>
            </w:pPr>
            <w:r>
              <w:rPr>
                <w:rFonts w:ascii="Arial" w:eastAsia="宋体" w:hAnsi="Arial" w:cs="Arial"/>
                <w:b/>
                <w:bCs/>
                <w:color w:val="000000"/>
                <w:sz w:val="12"/>
                <w:szCs w:val="12"/>
              </w:rPr>
              <w:t>(505)</w:t>
            </w:r>
          </w:p>
        </w:tc>
        <w:tc>
          <w:tcPr>
            <w:tcW w:w="0" w:type="auto"/>
            <w:shd w:val="clear" w:color="auto" w:fill="FFFFFF"/>
            <w:tcMar>
              <w:top w:w="40" w:type="dxa"/>
              <w:left w:w="0" w:type="dxa"/>
              <w:bottom w:w="40" w:type="dxa"/>
              <w:right w:w="20" w:type="dxa"/>
            </w:tcMar>
            <w:vAlign w:val="bottom"/>
          </w:tcPr>
          <w:p w14:paraId="5F2D44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F0" w14:textId="77777777" w:rsidR="00E836FB" w:rsidRDefault="00994958">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F2D44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F3" w14:textId="77777777" w:rsidR="00E836FB" w:rsidRDefault="00994958">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F2D44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F6" w14:textId="77777777" w:rsidR="00E836FB" w:rsidRDefault="00994958">
            <w:pPr>
              <w:jc w:val="right"/>
              <w:textAlignment w:val="bottom"/>
            </w:pPr>
            <w:r>
              <w:rPr>
                <w:rFonts w:ascii="Arial" w:eastAsia="宋体" w:hAnsi="Arial" w:cs="Arial"/>
                <w:b/>
                <w:bCs/>
                <w:color w:val="000000"/>
                <w:sz w:val="12"/>
                <w:szCs w:val="12"/>
              </w:rPr>
              <w:t>(309)</w:t>
            </w:r>
          </w:p>
        </w:tc>
        <w:tc>
          <w:tcPr>
            <w:tcW w:w="0" w:type="auto"/>
            <w:shd w:val="clear" w:color="auto" w:fill="FFFFFF"/>
            <w:tcMar>
              <w:top w:w="40" w:type="dxa"/>
              <w:left w:w="0" w:type="dxa"/>
              <w:bottom w:w="40" w:type="dxa"/>
              <w:right w:w="20" w:type="dxa"/>
            </w:tcMar>
            <w:vAlign w:val="bottom"/>
          </w:tcPr>
          <w:p w14:paraId="5F2D44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F9" w14:textId="77777777" w:rsidR="00E836FB" w:rsidRDefault="00994958">
            <w:pPr>
              <w:jc w:val="right"/>
              <w:textAlignment w:val="bottom"/>
            </w:pPr>
            <w:r>
              <w:rPr>
                <w:rFonts w:ascii="Arial" w:eastAsia="宋体" w:hAnsi="Arial" w:cs="Arial"/>
                <w:b/>
                <w:bCs/>
                <w:color w:val="000000"/>
                <w:sz w:val="12"/>
                <w:szCs w:val="12"/>
              </w:rPr>
              <w:t>(309)</w:t>
            </w:r>
          </w:p>
        </w:tc>
        <w:tc>
          <w:tcPr>
            <w:tcW w:w="0" w:type="auto"/>
            <w:shd w:val="clear" w:color="auto" w:fill="FFFFFF"/>
            <w:tcMar>
              <w:top w:w="40" w:type="dxa"/>
              <w:left w:w="0" w:type="dxa"/>
              <w:bottom w:w="40" w:type="dxa"/>
              <w:right w:w="20" w:type="dxa"/>
            </w:tcMar>
            <w:vAlign w:val="bottom"/>
          </w:tcPr>
          <w:p w14:paraId="5F2D44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FC" w14:textId="77777777" w:rsidR="00E836FB" w:rsidRDefault="00994958">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F2D44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4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4FF" w14:textId="77777777" w:rsidR="00E836FB" w:rsidRDefault="00994958">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F2D4500" w14:textId="77777777" w:rsidR="00E836FB" w:rsidRDefault="00E836FB">
            <w:pPr>
              <w:jc w:val="right"/>
              <w:rPr>
                <w:rFonts w:ascii="宋体"/>
              </w:rPr>
            </w:pPr>
          </w:p>
        </w:tc>
      </w:tr>
      <w:tr w:rsidR="00E836FB" w14:paraId="5F2D451A" w14:textId="77777777">
        <w:tc>
          <w:tcPr>
            <w:tcW w:w="0" w:type="auto"/>
            <w:gridSpan w:val="9"/>
            <w:shd w:val="clear" w:color="auto" w:fill="CCEEFF"/>
            <w:tcMar>
              <w:top w:w="40" w:type="dxa"/>
              <w:left w:w="20" w:type="dxa"/>
              <w:bottom w:w="40" w:type="dxa"/>
              <w:right w:w="20" w:type="dxa"/>
            </w:tcMar>
            <w:vAlign w:val="bottom"/>
          </w:tcPr>
          <w:p w14:paraId="5F2D4502" w14:textId="77777777" w:rsidR="00E836FB" w:rsidRDefault="00994958">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03" w14:textId="77777777" w:rsidR="00E836FB" w:rsidRDefault="00994958">
            <w:pPr>
              <w:jc w:val="right"/>
              <w:textAlignment w:val="bottom"/>
            </w:pPr>
            <w:r>
              <w:rPr>
                <w:rFonts w:ascii="Arial" w:eastAsia="宋体" w:hAnsi="Arial" w:cs="Arial"/>
                <w:b/>
                <w:bCs/>
                <w:color w:val="000000"/>
                <w:sz w:val="12"/>
                <w:szCs w:val="12"/>
              </w:rPr>
              <w:t>15,947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0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06" w14:textId="77777777" w:rsidR="00E836FB" w:rsidRDefault="00994958">
            <w:pPr>
              <w:jc w:val="right"/>
              <w:textAlignment w:val="bottom"/>
            </w:pPr>
            <w:r>
              <w:rPr>
                <w:rFonts w:ascii="Arial" w:eastAsia="宋体" w:hAnsi="Arial" w:cs="Arial"/>
                <w:b/>
                <w:bCs/>
                <w:color w:val="000000"/>
                <w:sz w:val="12"/>
                <w:szCs w:val="12"/>
              </w:rPr>
              <w:t>15,947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0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0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09" w14:textId="77777777" w:rsidR="00E836FB" w:rsidRDefault="00994958">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0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0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0C" w14:textId="77777777" w:rsidR="00E836FB" w:rsidRDefault="00994958">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0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0F"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1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12"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1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15"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1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18"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19" w14:textId="77777777" w:rsidR="00E836FB" w:rsidRDefault="00E836FB">
            <w:pPr>
              <w:jc w:val="right"/>
              <w:rPr>
                <w:rFonts w:ascii="宋体"/>
              </w:rPr>
            </w:pPr>
          </w:p>
        </w:tc>
      </w:tr>
      <w:tr w:rsidR="00E836FB" w14:paraId="5F2D4533" w14:textId="77777777">
        <w:tc>
          <w:tcPr>
            <w:tcW w:w="0" w:type="auto"/>
            <w:gridSpan w:val="9"/>
            <w:shd w:val="clear" w:color="auto" w:fill="FFFFFF"/>
            <w:tcMar>
              <w:top w:w="40" w:type="dxa"/>
              <w:left w:w="245" w:type="dxa"/>
              <w:bottom w:w="40" w:type="dxa"/>
              <w:right w:w="20" w:type="dxa"/>
            </w:tcMar>
            <w:vAlign w:val="bottom"/>
          </w:tcPr>
          <w:p w14:paraId="5F2D451B" w14:textId="77777777" w:rsidR="00E836FB" w:rsidRDefault="00994958">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1C" w14:textId="77777777" w:rsidR="00E836FB" w:rsidRDefault="00994958">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1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1F" w14:textId="77777777" w:rsidR="00E836FB" w:rsidRDefault="00994958">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2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22" w14:textId="77777777" w:rsidR="00E836FB" w:rsidRDefault="00994958">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2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2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25" w14:textId="77777777" w:rsidR="00E836FB" w:rsidRDefault="00994958">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2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28"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2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2B"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2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2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2E" w14:textId="77777777" w:rsidR="00E836FB" w:rsidRDefault="00994958">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2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3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31" w14:textId="77777777" w:rsidR="00E836FB" w:rsidRDefault="00994958">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32" w14:textId="77777777" w:rsidR="00E836FB" w:rsidRDefault="00E836FB">
            <w:pPr>
              <w:jc w:val="right"/>
              <w:rPr>
                <w:rFonts w:ascii="宋体"/>
              </w:rPr>
            </w:pPr>
          </w:p>
        </w:tc>
      </w:tr>
      <w:tr w:rsidR="00E836FB" w14:paraId="5F2D454A" w14:textId="77777777">
        <w:trPr>
          <w:hidden/>
        </w:trPr>
        <w:tc>
          <w:tcPr>
            <w:tcW w:w="0" w:type="auto"/>
            <w:gridSpan w:val="3"/>
            <w:shd w:val="clear" w:color="auto" w:fill="auto"/>
            <w:vAlign w:val="bottom"/>
          </w:tcPr>
          <w:p w14:paraId="5F2D4534" w14:textId="77777777" w:rsidR="00E836FB" w:rsidRDefault="00E836FB">
            <w:pPr>
              <w:rPr>
                <w:rFonts w:ascii="宋体"/>
                <w:vanish/>
              </w:rPr>
            </w:pPr>
          </w:p>
        </w:tc>
        <w:tc>
          <w:tcPr>
            <w:tcW w:w="0" w:type="auto"/>
            <w:gridSpan w:val="3"/>
            <w:shd w:val="clear" w:color="auto" w:fill="auto"/>
            <w:vAlign w:val="bottom"/>
          </w:tcPr>
          <w:p w14:paraId="5F2D4535" w14:textId="77777777" w:rsidR="00E836FB" w:rsidRDefault="00E836FB">
            <w:pPr>
              <w:rPr>
                <w:rFonts w:ascii="宋体"/>
                <w:vanish/>
              </w:rPr>
            </w:pPr>
          </w:p>
        </w:tc>
        <w:tc>
          <w:tcPr>
            <w:tcW w:w="0" w:type="auto"/>
            <w:gridSpan w:val="3"/>
            <w:shd w:val="clear" w:color="auto" w:fill="auto"/>
            <w:vAlign w:val="bottom"/>
          </w:tcPr>
          <w:p w14:paraId="5F2D4536" w14:textId="77777777" w:rsidR="00E836FB" w:rsidRDefault="00E836FB">
            <w:pPr>
              <w:rPr>
                <w:rFonts w:ascii="宋体"/>
                <w:vanish/>
              </w:rPr>
            </w:pPr>
          </w:p>
        </w:tc>
        <w:tc>
          <w:tcPr>
            <w:tcW w:w="0" w:type="auto"/>
            <w:gridSpan w:val="3"/>
            <w:shd w:val="clear" w:color="auto" w:fill="auto"/>
            <w:vAlign w:val="bottom"/>
          </w:tcPr>
          <w:p w14:paraId="5F2D4537" w14:textId="77777777" w:rsidR="00E836FB" w:rsidRDefault="00E836FB">
            <w:pPr>
              <w:rPr>
                <w:rFonts w:ascii="宋体"/>
                <w:vanish/>
              </w:rPr>
            </w:pPr>
          </w:p>
        </w:tc>
        <w:tc>
          <w:tcPr>
            <w:tcW w:w="0" w:type="auto"/>
            <w:gridSpan w:val="3"/>
            <w:shd w:val="clear" w:color="auto" w:fill="auto"/>
            <w:vAlign w:val="bottom"/>
          </w:tcPr>
          <w:p w14:paraId="5F2D4538" w14:textId="77777777" w:rsidR="00E836FB" w:rsidRDefault="00E836FB">
            <w:pPr>
              <w:rPr>
                <w:rFonts w:ascii="宋体"/>
                <w:vanish/>
              </w:rPr>
            </w:pPr>
          </w:p>
        </w:tc>
        <w:tc>
          <w:tcPr>
            <w:tcW w:w="0" w:type="auto"/>
            <w:gridSpan w:val="3"/>
            <w:shd w:val="clear" w:color="auto" w:fill="auto"/>
            <w:vAlign w:val="bottom"/>
          </w:tcPr>
          <w:p w14:paraId="5F2D4539" w14:textId="77777777" w:rsidR="00E836FB" w:rsidRDefault="00E836FB">
            <w:pPr>
              <w:rPr>
                <w:rFonts w:ascii="宋体"/>
                <w:vanish/>
              </w:rPr>
            </w:pPr>
          </w:p>
        </w:tc>
        <w:tc>
          <w:tcPr>
            <w:tcW w:w="0" w:type="auto"/>
            <w:gridSpan w:val="3"/>
            <w:shd w:val="clear" w:color="auto" w:fill="auto"/>
            <w:vAlign w:val="bottom"/>
          </w:tcPr>
          <w:p w14:paraId="5F2D453A" w14:textId="77777777" w:rsidR="00E836FB" w:rsidRDefault="00E836FB">
            <w:pPr>
              <w:rPr>
                <w:rFonts w:ascii="宋体"/>
                <w:vanish/>
              </w:rPr>
            </w:pPr>
          </w:p>
        </w:tc>
        <w:tc>
          <w:tcPr>
            <w:tcW w:w="0" w:type="auto"/>
            <w:gridSpan w:val="3"/>
            <w:shd w:val="clear" w:color="auto" w:fill="auto"/>
            <w:vAlign w:val="bottom"/>
          </w:tcPr>
          <w:p w14:paraId="5F2D453B" w14:textId="77777777" w:rsidR="00E836FB" w:rsidRDefault="00E836FB">
            <w:pPr>
              <w:rPr>
                <w:rFonts w:ascii="宋体"/>
                <w:vanish/>
              </w:rPr>
            </w:pPr>
          </w:p>
        </w:tc>
        <w:tc>
          <w:tcPr>
            <w:tcW w:w="0" w:type="auto"/>
            <w:gridSpan w:val="3"/>
            <w:shd w:val="clear" w:color="auto" w:fill="auto"/>
            <w:vAlign w:val="bottom"/>
          </w:tcPr>
          <w:p w14:paraId="5F2D453C" w14:textId="77777777" w:rsidR="00E836FB" w:rsidRDefault="00E836FB">
            <w:pPr>
              <w:rPr>
                <w:rFonts w:ascii="宋体"/>
                <w:vanish/>
              </w:rPr>
            </w:pPr>
          </w:p>
        </w:tc>
        <w:tc>
          <w:tcPr>
            <w:tcW w:w="0" w:type="auto"/>
            <w:gridSpan w:val="3"/>
            <w:shd w:val="clear" w:color="auto" w:fill="auto"/>
            <w:vAlign w:val="bottom"/>
          </w:tcPr>
          <w:p w14:paraId="5F2D453D" w14:textId="77777777" w:rsidR="00E836FB" w:rsidRDefault="00E836FB">
            <w:pPr>
              <w:rPr>
                <w:rFonts w:ascii="宋体"/>
                <w:vanish/>
              </w:rPr>
            </w:pPr>
          </w:p>
        </w:tc>
        <w:tc>
          <w:tcPr>
            <w:tcW w:w="0" w:type="auto"/>
            <w:gridSpan w:val="3"/>
            <w:shd w:val="clear" w:color="auto" w:fill="auto"/>
            <w:vAlign w:val="bottom"/>
          </w:tcPr>
          <w:p w14:paraId="5F2D453E" w14:textId="77777777" w:rsidR="00E836FB" w:rsidRDefault="00E836FB">
            <w:pPr>
              <w:rPr>
                <w:rFonts w:ascii="宋体"/>
                <w:vanish/>
              </w:rPr>
            </w:pPr>
          </w:p>
        </w:tc>
        <w:tc>
          <w:tcPr>
            <w:tcW w:w="0" w:type="auto"/>
            <w:gridSpan w:val="3"/>
            <w:shd w:val="clear" w:color="auto" w:fill="auto"/>
            <w:vAlign w:val="bottom"/>
          </w:tcPr>
          <w:p w14:paraId="5F2D453F" w14:textId="77777777" w:rsidR="00E836FB" w:rsidRDefault="00E836FB">
            <w:pPr>
              <w:rPr>
                <w:rFonts w:ascii="宋体"/>
                <w:vanish/>
              </w:rPr>
            </w:pPr>
          </w:p>
        </w:tc>
        <w:tc>
          <w:tcPr>
            <w:tcW w:w="0" w:type="auto"/>
            <w:gridSpan w:val="3"/>
            <w:shd w:val="clear" w:color="auto" w:fill="auto"/>
            <w:vAlign w:val="bottom"/>
          </w:tcPr>
          <w:p w14:paraId="5F2D4540" w14:textId="77777777" w:rsidR="00E836FB" w:rsidRDefault="00E836FB">
            <w:pPr>
              <w:rPr>
                <w:rFonts w:ascii="宋体"/>
                <w:vanish/>
              </w:rPr>
            </w:pPr>
          </w:p>
        </w:tc>
        <w:tc>
          <w:tcPr>
            <w:tcW w:w="0" w:type="auto"/>
            <w:gridSpan w:val="3"/>
            <w:shd w:val="clear" w:color="auto" w:fill="auto"/>
            <w:vAlign w:val="bottom"/>
          </w:tcPr>
          <w:p w14:paraId="5F2D4541" w14:textId="77777777" w:rsidR="00E836FB" w:rsidRDefault="00E836FB">
            <w:pPr>
              <w:rPr>
                <w:rFonts w:ascii="宋体"/>
                <w:vanish/>
              </w:rPr>
            </w:pPr>
          </w:p>
        </w:tc>
        <w:tc>
          <w:tcPr>
            <w:tcW w:w="0" w:type="auto"/>
            <w:gridSpan w:val="3"/>
            <w:shd w:val="clear" w:color="auto" w:fill="auto"/>
            <w:vAlign w:val="bottom"/>
          </w:tcPr>
          <w:p w14:paraId="5F2D4542" w14:textId="77777777" w:rsidR="00E836FB" w:rsidRDefault="00E836FB">
            <w:pPr>
              <w:rPr>
                <w:rFonts w:ascii="宋体"/>
                <w:vanish/>
              </w:rPr>
            </w:pPr>
          </w:p>
        </w:tc>
        <w:tc>
          <w:tcPr>
            <w:tcW w:w="0" w:type="auto"/>
            <w:gridSpan w:val="3"/>
            <w:shd w:val="clear" w:color="auto" w:fill="auto"/>
            <w:vAlign w:val="bottom"/>
          </w:tcPr>
          <w:p w14:paraId="5F2D4543" w14:textId="77777777" w:rsidR="00E836FB" w:rsidRDefault="00E836FB">
            <w:pPr>
              <w:rPr>
                <w:rFonts w:ascii="宋体"/>
                <w:vanish/>
              </w:rPr>
            </w:pPr>
          </w:p>
        </w:tc>
        <w:tc>
          <w:tcPr>
            <w:tcW w:w="0" w:type="auto"/>
            <w:shd w:val="clear" w:color="auto" w:fill="auto"/>
            <w:vAlign w:val="bottom"/>
          </w:tcPr>
          <w:p w14:paraId="5F2D4544" w14:textId="77777777" w:rsidR="00E836FB" w:rsidRDefault="00E836FB">
            <w:pPr>
              <w:rPr>
                <w:rFonts w:ascii="宋体"/>
              </w:rPr>
            </w:pPr>
          </w:p>
        </w:tc>
        <w:tc>
          <w:tcPr>
            <w:tcW w:w="0" w:type="auto"/>
            <w:shd w:val="clear" w:color="auto" w:fill="auto"/>
            <w:vAlign w:val="bottom"/>
          </w:tcPr>
          <w:p w14:paraId="5F2D4545" w14:textId="77777777" w:rsidR="00E836FB" w:rsidRDefault="00E836FB">
            <w:pPr>
              <w:rPr>
                <w:rFonts w:ascii="宋体"/>
              </w:rPr>
            </w:pPr>
          </w:p>
        </w:tc>
        <w:tc>
          <w:tcPr>
            <w:tcW w:w="0" w:type="auto"/>
            <w:shd w:val="clear" w:color="auto" w:fill="auto"/>
            <w:vAlign w:val="bottom"/>
          </w:tcPr>
          <w:p w14:paraId="5F2D4546" w14:textId="77777777" w:rsidR="00E836FB" w:rsidRDefault="00E836FB">
            <w:pPr>
              <w:rPr>
                <w:rFonts w:ascii="宋体"/>
              </w:rPr>
            </w:pPr>
          </w:p>
        </w:tc>
        <w:tc>
          <w:tcPr>
            <w:tcW w:w="0" w:type="auto"/>
            <w:shd w:val="clear" w:color="auto" w:fill="auto"/>
            <w:vAlign w:val="bottom"/>
          </w:tcPr>
          <w:p w14:paraId="5F2D4547" w14:textId="77777777" w:rsidR="00E836FB" w:rsidRDefault="00E836FB">
            <w:pPr>
              <w:rPr>
                <w:rFonts w:ascii="宋体"/>
              </w:rPr>
            </w:pPr>
          </w:p>
        </w:tc>
        <w:tc>
          <w:tcPr>
            <w:tcW w:w="0" w:type="auto"/>
            <w:shd w:val="clear" w:color="auto" w:fill="auto"/>
            <w:vAlign w:val="bottom"/>
          </w:tcPr>
          <w:p w14:paraId="5F2D4548" w14:textId="77777777" w:rsidR="00E836FB" w:rsidRDefault="00E836FB">
            <w:pPr>
              <w:rPr>
                <w:rFonts w:ascii="宋体"/>
              </w:rPr>
            </w:pPr>
          </w:p>
        </w:tc>
        <w:tc>
          <w:tcPr>
            <w:tcW w:w="0" w:type="auto"/>
            <w:shd w:val="clear" w:color="auto" w:fill="auto"/>
            <w:vAlign w:val="bottom"/>
          </w:tcPr>
          <w:p w14:paraId="5F2D4549" w14:textId="77777777" w:rsidR="00E836FB" w:rsidRDefault="00E836FB">
            <w:pPr>
              <w:rPr>
                <w:rFonts w:ascii="宋体"/>
              </w:rPr>
            </w:pPr>
          </w:p>
        </w:tc>
      </w:tr>
      <w:tr w:rsidR="00E836FB" w14:paraId="5F2D4561" w14:textId="77777777">
        <w:trPr>
          <w:hidden/>
        </w:trPr>
        <w:tc>
          <w:tcPr>
            <w:tcW w:w="0" w:type="auto"/>
            <w:gridSpan w:val="3"/>
            <w:shd w:val="clear" w:color="auto" w:fill="auto"/>
            <w:vAlign w:val="bottom"/>
          </w:tcPr>
          <w:p w14:paraId="5F2D454B" w14:textId="77777777" w:rsidR="00E836FB" w:rsidRDefault="00E836FB">
            <w:pPr>
              <w:rPr>
                <w:rFonts w:ascii="宋体"/>
                <w:vanish/>
              </w:rPr>
            </w:pPr>
          </w:p>
        </w:tc>
        <w:tc>
          <w:tcPr>
            <w:tcW w:w="0" w:type="auto"/>
            <w:gridSpan w:val="3"/>
            <w:shd w:val="clear" w:color="auto" w:fill="auto"/>
            <w:vAlign w:val="bottom"/>
          </w:tcPr>
          <w:p w14:paraId="5F2D454C" w14:textId="77777777" w:rsidR="00E836FB" w:rsidRDefault="00E836FB">
            <w:pPr>
              <w:rPr>
                <w:rFonts w:ascii="宋体"/>
                <w:vanish/>
              </w:rPr>
            </w:pPr>
          </w:p>
        </w:tc>
        <w:tc>
          <w:tcPr>
            <w:tcW w:w="0" w:type="auto"/>
            <w:gridSpan w:val="3"/>
            <w:shd w:val="clear" w:color="auto" w:fill="auto"/>
            <w:vAlign w:val="bottom"/>
          </w:tcPr>
          <w:p w14:paraId="5F2D454D" w14:textId="77777777" w:rsidR="00E836FB" w:rsidRDefault="00E836FB">
            <w:pPr>
              <w:rPr>
                <w:rFonts w:ascii="宋体"/>
                <w:vanish/>
              </w:rPr>
            </w:pPr>
          </w:p>
        </w:tc>
        <w:tc>
          <w:tcPr>
            <w:tcW w:w="0" w:type="auto"/>
            <w:gridSpan w:val="3"/>
            <w:shd w:val="clear" w:color="auto" w:fill="auto"/>
            <w:vAlign w:val="bottom"/>
          </w:tcPr>
          <w:p w14:paraId="5F2D454E" w14:textId="77777777" w:rsidR="00E836FB" w:rsidRDefault="00E836FB">
            <w:pPr>
              <w:rPr>
                <w:rFonts w:ascii="宋体"/>
                <w:vanish/>
              </w:rPr>
            </w:pPr>
          </w:p>
        </w:tc>
        <w:tc>
          <w:tcPr>
            <w:tcW w:w="0" w:type="auto"/>
            <w:gridSpan w:val="3"/>
            <w:shd w:val="clear" w:color="auto" w:fill="auto"/>
            <w:vAlign w:val="bottom"/>
          </w:tcPr>
          <w:p w14:paraId="5F2D454F" w14:textId="77777777" w:rsidR="00E836FB" w:rsidRDefault="00E836FB">
            <w:pPr>
              <w:rPr>
                <w:rFonts w:ascii="宋体"/>
                <w:vanish/>
              </w:rPr>
            </w:pPr>
          </w:p>
        </w:tc>
        <w:tc>
          <w:tcPr>
            <w:tcW w:w="0" w:type="auto"/>
            <w:gridSpan w:val="3"/>
            <w:shd w:val="clear" w:color="auto" w:fill="auto"/>
            <w:vAlign w:val="bottom"/>
          </w:tcPr>
          <w:p w14:paraId="5F2D4550" w14:textId="77777777" w:rsidR="00E836FB" w:rsidRDefault="00E836FB">
            <w:pPr>
              <w:rPr>
                <w:rFonts w:ascii="宋体"/>
                <w:vanish/>
              </w:rPr>
            </w:pPr>
          </w:p>
        </w:tc>
        <w:tc>
          <w:tcPr>
            <w:tcW w:w="0" w:type="auto"/>
            <w:gridSpan w:val="3"/>
            <w:shd w:val="clear" w:color="auto" w:fill="auto"/>
            <w:vAlign w:val="bottom"/>
          </w:tcPr>
          <w:p w14:paraId="5F2D4551" w14:textId="77777777" w:rsidR="00E836FB" w:rsidRDefault="00E836FB">
            <w:pPr>
              <w:rPr>
                <w:rFonts w:ascii="宋体"/>
                <w:vanish/>
              </w:rPr>
            </w:pPr>
          </w:p>
        </w:tc>
        <w:tc>
          <w:tcPr>
            <w:tcW w:w="0" w:type="auto"/>
            <w:gridSpan w:val="3"/>
            <w:shd w:val="clear" w:color="auto" w:fill="auto"/>
            <w:vAlign w:val="bottom"/>
          </w:tcPr>
          <w:p w14:paraId="5F2D4552" w14:textId="77777777" w:rsidR="00E836FB" w:rsidRDefault="00E836FB">
            <w:pPr>
              <w:rPr>
                <w:rFonts w:ascii="宋体"/>
                <w:vanish/>
              </w:rPr>
            </w:pPr>
          </w:p>
        </w:tc>
        <w:tc>
          <w:tcPr>
            <w:tcW w:w="0" w:type="auto"/>
            <w:gridSpan w:val="3"/>
            <w:shd w:val="clear" w:color="auto" w:fill="auto"/>
            <w:vAlign w:val="bottom"/>
          </w:tcPr>
          <w:p w14:paraId="5F2D4553" w14:textId="77777777" w:rsidR="00E836FB" w:rsidRDefault="00E836FB">
            <w:pPr>
              <w:rPr>
                <w:rFonts w:ascii="宋体"/>
                <w:vanish/>
              </w:rPr>
            </w:pPr>
          </w:p>
        </w:tc>
        <w:tc>
          <w:tcPr>
            <w:tcW w:w="0" w:type="auto"/>
            <w:gridSpan w:val="3"/>
            <w:shd w:val="clear" w:color="auto" w:fill="auto"/>
            <w:vAlign w:val="bottom"/>
          </w:tcPr>
          <w:p w14:paraId="5F2D4554" w14:textId="77777777" w:rsidR="00E836FB" w:rsidRDefault="00E836FB">
            <w:pPr>
              <w:rPr>
                <w:rFonts w:ascii="宋体"/>
                <w:vanish/>
              </w:rPr>
            </w:pPr>
          </w:p>
        </w:tc>
        <w:tc>
          <w:tcPr>
            <w:tcW w:w="0" w:type="auto"/>
            <w:gridSpan w:val="3"/>
            <w:shd w:val="clear" w:color="auto" w:fill="auto"/>
            <w:vAlign w:val="bottom"/>
          </w:tcPr>
          <w:p w14:paraId="5F2D4555" w14:textId="77777777" w:rsidR="00E836FB" w:rsidRDefault="00E836FB">
            <w:pPr>
              <w:rPr>
                <w:rFonts w:ascii="宋体"/>
                <w:vanish/>
              </w:rPr>
            </w:pPr>
          </w:p>
        </w:tc>
        <w:tc>
          <w:tcPr>
            <w:tcW w:w="0" w:type="auto"/>
            <w:gridSpan w:val="3"/>
            <w:shd w:val="clear" w:color="auto" w:fill="auto"/>
            <w:vAlign w:val="bottom"/>
          </w:tcPr>
          <w:p w14:paraId="5F2D4556" w14:textId="77777777" w:rsidR="00E836FB" w:rsidRDefault="00E836FB">
            <w:pPr>
              <w:rPr>
                <w:rFonts w:ascii="宋体"/>
                <w:vanish/>
              </w:rPr>
            </w:pPr>
          </w:p>
        </w:tc>
        <w:tc>
          <w:tcPr>
            <w:tcW w:w="0" w:type="auto"/>
            <w:gridSpan w:val="3"/>
            <w:shd w:val="clear" w:color="auto" w:fill="auto"/>
            <w:vAlign w:val="bottom"/>
          </w:tcPr>
          <w:p w14:paraId="5F2D4557" w14:textId="77777777" w:rsidR="00E836FB" w:rsidRDefault="00E836FB">
            <w:pPr>
              <w:rPr>
                <w:rFonts w:ascii="宋体"/>
                <w:vanish/>
              </w:rPr>
            </w:pPr>
          </w:p>
        </w:tc>
        <w:tc>
          <w:tcPr>
            <w:tcW w:w="0" w:type="auto"/>
            <w:gridSpan w:val="3"/>
            <w:shd w:val="clear" w:color="auto" w:fill="auto"/>
            <w:vAlign w:val="bottom"/>
          </w:tcPr>
          <w:p w14:paraId="5F2D4558" w14:textId="77777777" w:rsidR="00E836FB" w:rsidRDefault="00E836FB">
            <w:pPr>
              <w:rPr>
                <w:rFonts w:ascii="宋体"/>
                <w:vanish/>
              </w:rPr>
            </w:pPr>
          </w:p>
        </w:tc>
        <w:tc>
          <w:tcPr>
            <w:tcW w:w="0" w:type="auto"/>
            <w:gridSpan w:val="3"/>
            <w:shd w:val="clear" w:color="auto" w:fill="auto"/>
            <w:vAlign w:val="bottom"/>
          </w:tcPr>
          <w:p w14:paraId="5F2D4559" w14:textId="77777777" w:rsidR="00E836FB" w:rsidRDefault="00E836FB">
            <w:pPr>
              <w:rPr>
                <w:rFonts w:ascii="宋体"/>
                <w:vanish/>
              </w:rPr>
            </w:pPr>
          </w:p>
        </w:tc>
        <w:tc>
          <w:tcPr>
            <w:tcW w:w="0" w:type="auto"/>
            <w:gridSpan w:val="3"/>
            <w:shd w:val="clear" w:color="auto" w:fill="auto"/>
            <w:vAlign w:val="bottom"/>
          </w:tcPr>
          <w:p w14:paraId="5F2D455A" w14:textId="77777777" w:rsidR="00E836FB" w:rsidRDefault="00E836FB">
            <w:pPr>
              <w:rPr>
                <w:rFonts w:ascii="宋体"/>
                <w:vanish/>
              </w:rPr>
            </w:pPr>
          </w:p>
        </w:tc>
        <w:tc>
          <w:tcPr>
            <w:tcW w:w="0" w:type="auto"/>
            <w:shd w:val="clear" w:color="auto" w:fill="auto"/>
            <w:vAlign w:val="bottom"/>
          </w:tcPr>
          <w:p w14:paraId="5F2D455B" w14:textId="77777777" w:rsidR="00E836FB" w:rsidRDefault="00E836FB">
            <w:pPr>
              <w:rPr>
                <w:rFonts w:ascii="宋体"/>
              </w:rPr>
            </w:pPr>
          </w:p>
        </w:tc>
        <w:tc>
          <w:tcPr>
            <w:tcW w:w="0" w:type="auto"/>
            <w:shd w:val="clear" w:color="auto" w:fill="auto"/>
            <w:vAlign w:val="bottom"/>
          </w:tcPr>
          <w:p w14:paraId="5F2D455C" w14:textId="77777777" w:rsidR="00E836FB" w:rsidRDefault="00E836FB">
            <w:pPr>
              <w:rPr>
                <w:rFonts w:ascii="宋体"/>
              </w:rPr>
            </w:pPr>
          </w:p>
        </w:tc>
        <w:tc>
          <w:tcPr>
            <w:tcW w:w="0" w:type="auto"/>
            <w:shd w:val="clear" w:color="auto" w:fill="auto"/>
            <w:vAlign w:val="bottom"/>
          </w:tcPr>
          <w:p w14:paraId="5F2D455D" w14:textId="77777777" w:rsidR="00E836FB" w:rsidRDefault="00E836FB">
            <w:pPr>
              <w:rPr>
                <w:rFonts w:ascii="宋体"/>
              </w:rPr>
            </w:pPr>
          </w:p>
        </w:tc>
        <w:tc>
          <w:tcPr>
            <w:tcW w:w="0" w:type="auto"/>
            <w:shd w:val="clear" w:color="auto" w:fill="auto"/>
            <w:vAlign w:val="bottom"/>
          </w:tcPr>
          <w:p w14:paraId="5F2D455E" w14:textId="77777777" w:rsidR="00E836FB" w:rsidRDefault="00E836FB">
            <w:pPr>
              <w:rPr>
                <w:rFonts w:ascii="宋体"/>
              </w:rPr>
            </w:pPr>
          </w:p>
        </w:tc>
        <w:tc>
          <w:tcPr>
            <w:tcW w:w="0" w:type="auto"/>
            <w:shd w:val="clear" w:color="auto" w:fill="auto"/>
            <w:vAlign w:val="bottom"/>
          </w:tcPr>
          <w:p w14:paraId="5F2D455F" w14:textId="77777777" w:rsidR="00E836FB" w:rsidRDefault="00E836FB">
            <w:pPr>
              <w:rPr>
                <w:rFonts w:ascii="宋体"/>
              </w:rPr>
            </w:pPr>
          </w:p>
        </w:tc>
        <w:tc>
          <w:tcPr>
            <w:tcW w:w="0" w:type="auto"/>
            <w:shd w:val="clear" w:color="auto" w:fill="auto"/>
            <w:vAlign w:val="bottom"/>
          </w:tcPr>
          <w:p w14:paraId="5F2D4560" w14:textId="77777777" w:rsidR="00E836FB" w:rsidRDefault="00E836FB">
            <w:pPr>
              <w:rPr>
                <w:rFonts w:ascii="宋体"/>
              </w:rPr>
            </w:pPr>
          </w:p>
        </w:tc>
      </w:tr>
      <w:tr w:rsidR="00E836FB" w14:paraId="5F2D457A" w14:textId="77777777">
        <w:tc>
          <w:tcPr>
            <w:tcW w:w="0" w:type="auto"/>
            <w:gridSpan w:val="9"/>
            <w:shd w:val="clear" w:color="auto" w:fill="CCEEFF"/>
            <w:tcMar>
              <w:top w:w="40" w:type="dxa"/>
              <w:left w:w="20" w:type="dxa"/>
              <w:bottom w:w="40" w:type="dxa"/>
              <w:right w:w="20" w:type="dxa"/>
            </w:tcMar>
            <w:vAlign w:val="bottom"/>
          </w:tcPr>
          <w:p w14:paraId="5F2D4562" w14:textId="77777777" w:rsidR="00E836FB" w:rsidRDefault="00994958">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63" w14:textId="77777777" w:rsidR="00E836FB" w:rsidRDefault="00994958">
            <w:pPr>
              <w:jc w:val="right"/>
              <w:textAlignment w:val="bottom"/>
            </w:pPr>
            <w:r>
              <w:rPr>
                <w:rFonts w:ascii="Arial" w:eastAsia="宋体" w:hAnsi="Arial" w:cs="Arial"/>
                <w:b/>
                <w:bCs/>
                <w:color w:val="000000"/>
                <w:sz w:val="12"/>
                <w:szCs w:val="12"/>
              </w:rPr>
              <w:t>17,923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65"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66" w14:textId="77777777" w:rsidR="00E836FB" w:rsidRDefault="00994958">
            <w:pPr>
              <w:jc w:val="right"/>
              <w:textAlignment w:val="bottom"/>
            </w:pPr>
            <w:r>
              <w:rPr>
                <w:rFonts w:ascii="Arial" w:eastAsia="宋体" w:hAnsi="Arial" w:cs="Arial"/>
                <w:b/>
                <w:bCs/>
                <w:color w:val="000000"/>
                <w:sz w:val="12"/>
                <w:szCs w:val="12"/>
              </w:rPr>
              <w:t>17,923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6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69" w14:textId="77777777" w:rsidR="00E836FB" w:rsidRDefault="00994958">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6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6C" w14:textId="77777777" w:rsidR="00E836FB" w:rsidRDefault="00994958">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6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6F"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7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72" w14:textId="77777777" w:rsidR="00E836FB" w:rsidRDefault="00994958">
            <w:pPr>
              <w:jc w:val="right"/>
              <w:textAlignment w:val="bottom"/>
            </w:pPr>
            <w:r>
              <w:rPr>
                <w:rFonts w:ascii="Arial" w:eastAsia="宋体" w:hAnsi="Arial" w:cs="Arial"/>
                <w:b/>
                <w:bCs/>
                <w:color w:val="000000"/>
                <w:sz w:val="12"/>
                <w:szCs w:val="12"/>
              </w:rPr>
              <w:t>18,845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7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75"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7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578" w14:textId="77777777" w:rsidR="00E836FB" w:rsidRDefault="00994958">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579" w14:textId="77777777" w:rsidR="00E836FB" w:rsidRDefault="00E836FB">
            <w:pPr>
              <w:jc w:val="right"/>
              <w:rPr>
                <w:rFonts w:ascii="宋体"/>
              </w:rPr>
            </w:pPr>
          </w:p>
        </w:tc>
      </w:tr>
      <w:tr w:rsidR="00E836FB" w14:paraId="5F2D4593" w14:textId="77777777">
        <w:tc>
          <w:tcPr>
            <w:tcW w:w="0" w:type="auto"/>
            <w:gridSpan w:val="9"/>
            <w:shd w:val="clear" w:color="auto" w:fill="FFFFFF"/>
            <w:tcMar>
              <w:top w:w="40" w:type="dxa"/>
              <w:left w:w="245" w:type="dxa"/>
              <w:bottom w:w="40" w:type="dxa"/>
              <w:right w:w="20" w:type="dxa"/>
            </w:tcMar>
            <w:vAlign w:val="bottom"/>
          </w:tcPr>
          <w:p w14:paraId="5F2D457B" w14:textId="77777777" w:rsidR="00E836FB" w:rsidRDefault="00994958">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7C" w14:textId="77777777" w:rsidR="00E836FB" w:rsidRDefault="00994958">
            <w:pPr>
              <w:jc w:val="right"/>
              <w:textAlignment w:val="bottom"/>
            </w:pPr>
            <w:r>
              <w:rPr>
                <w:rFonts w:ascii="Arial" w:eastAsia="宋体" w:hAnsi="Arial" w:cs="Arial"/>
                <w:b/>
                <w:bCs/>
                <w:color w:val="000000"/>
                <w:sz w:val="12"/>
                <w:szCs w:val="12"/>
              </w:rPr>
              <w:t>1,588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7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7F" w14:textId="77777777" w:rsidR="00E836FB" w:rsidRDefault="00994958">
            <w:pPr>
              <w:jc w:val="right"/>
              <w:textAlignment w:val="bottom"/>
            </w:pPr>
            <w:r>
              <w:rPr>
                <w:rFonts w:ascii="Arial" w:eastAsia="宋体" w:hAnsi="Arial" w:cs="Arial"/>
                <w:b/>
                <w:bCs/>
                <w:color w:val="000000"/>
                <w:sz w:val="12"/>
                <w:szCs w:val="12"/>
              </w:rPr>
              <w:t>1,588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8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82" w14:textId="77777777" w:rsidR="00E836FB" w:rsidRDefault="00994958">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8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85" w14:textId="77777777" w:rsidR="00E836FB" w:rsidRDefault="00994958">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8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88" w14:textId="77777777" w:rsidR="00E836FB" w:rsidRDefault="00994958">
            <w:pPr>
              <w:jc w:val="right"/>
              <w:textAlignment w:val="bottom"/>
            </w:pPr>
            <w:r>
              <w:rPr>
                <w:rFonts w:ascii="Arial" w:eastAsia="宋体" w:hAnsi="Arial" w:cs="Arial"/>
                <w:b/>
                <w:bCs/>
                <w:color w:val="000000"/>
                <w:sz w:val="12"/>
                <w:szCs w:val="12"/>
              </w:rPr>
              <w:t>752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8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8B" w14:textId="77777777" w:rsidR="00E836FB" w:rsidRDefault="00994958">
            <w:pPr>
              <w:jc w:val="right"/>
              <w:textAlignment w:val="bottom"/>
            </w:pPr>
            <w:r>
              <w:rPr>
                <w:rFonts w:ascii="Arial" w:eastAsia="宋体" w:hAnsi="Arial" w:cs="Arial"/>
                <w:b/>
                <w:bCs/>
                <w:color w:val="000000"/>
                <w:sz w:val="12"/>
                <w:szCs w:val="12"/>
              </w:rPr>
              <w:t>752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8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8E" w14:textId="77777777" w:rsidR="00E836FB" w:rsidRDefault="00994958">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9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591" w14:textId="77777777" w:rsidR="00E836FB" w:rsidRDefault="00994958">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92" w14:textId="77777777" w:rsidR="00E836FB" w:rsidRDefault="00E836FB">
            <w:pPr>
              <w:jc w:val="right"/>
              <w:rPr>
                <w:rFonts w:ascii="宋体"/>
              </w:rPr>
            </w:pPr>
          </w:p>
        </w:tc>
      </w:tr>
      <w:tr w:rsidR="00E836FB" w14:paraId="5F2D45AA" w14:textId="77777777">
        <w:trPr>
          <w:hidden/>
        </w:trPr>
        <w:tc>
          <w:tcPr>
            <w:tcW w:w="0" w:type="auto"/>
            <w:gridSpan w:val="3"/>
            <w:shd w:val="clear" w:color="auto" w:fill="auto"/>
            <w:vAlign w:val="bottom"/>
          </w:tcPr>
          <w:p w14:paraId="5F2D4594" w14:textId="77777777" w:rsidR="00E836FB" w:rsidRDefault="00E836FB">
            <w:pPr>
              <w:rPr>
                <w:rFonts w:ascii="宋体"/>
                <w:vanish/>
              </w:rPr>
            </w:pPr>
          </w:p>
        </w:tc>
        <w:tc>
          <w:tcPr>
            <w:tcW w:w="0" w:type="auto"/>
            <w:gridSpan w:val="3"/>
            <w:shd w:val="clear" w:color="auto" w:fill="auto"/>
            <w:vAlign w:val="bottom"/>
          </w:tcPr>
          <w:p w14:paraId="5F2D4595" w14:textId="77777777" w:rsidR="00E836FB" w:rsidRDefault="00E836FB">
            <w:pPr>
              <w:rPr>
                <w:rFonts w:ascii="宋体"/>
                <w:vanish/>
              </w:rPr>
            </w:pPr>
          </w:p>
        </w:tc>
        <w:tc>
          <w:tcPr>
            <w:tcW w:w="0" w:type="auto"/>
            <w:gridSpan w:val="3"/>
            <w:shd w:val="clear" w:color="auto" w:fill="auto"/>
            <w:vAlign w:val="bottom"/>
          </w:tcPr>
          <w:p w14:paraId="5F2D4596" w14:textId="77777777" w:rsidR="00E836FB" w:rsidRDefault="00E836FB">
            <w:pPr>
              <w:rPr>
                <w:rFonts w:ascii="宋体"/>
                <w:vanish/>
              </w:rPr>
            </w:pPr>
          </w:p>
        </w:tc>
        <w:tc>
          <w:tcPr>
            <w:tcW w:w="0" w:type="auto"/>
            <w:gridSpan w:val="3"/>
            <w:shd w:val="clear" w:color="auto" w:fill="auto"/>
            <w:vAlign w:val="bottom"/>
          </w:tcPr>
          <w:p w14:paraId="5F2D4597" w14:textId="77777777" w:rsidR="00E836FB" w:rsidRDefault="00E836FB">
            <w:pPr>
              <w:rPr>
                <w:rFonts w:ascii="宋体"/>
                <w:vanish/>
              </w:rPr>
            </w:pPr>
          </w:p>
        </w:tc>
        <w:tc>
          <w:tcPr>
            <w:tcW w:w="0" w:type="auto"/>
            <w:gridSpan w:val="3"/>
            <w:shd w:val="clear" w:color="auto" w:fill="auto"/>
            <w:vAlign w:val="bottom"/>
          </w:tcPr>
          <w:p w14:paraId="5F2D4598" w14:textId="77777777" w:rsidR="00E836FB" w:rsidRDefault="00E836FB">
            <w:pPr>
              <w:rPr>
                <w:rFonts w:ascii="宋体"/>
                <w:vanish/>
              </w:rPr>
            </w:pPr>
          </w:p>
        </w:tc>
        <w:tc>
          <w:tcPr>
            <w:tcW w:w="0" w:type="auto"/>
            <w:gridSpan w:val="3"/>
            <w:shd w:val="clear" w:color="auto" w:fill="auto"/>
            <w:vAlign w:val="bottom"/>
          </w:tcPr>
          <w:p w14:paraId="5F2D4599" w14:textId="77777777" w:rsidR="00E836FB" w:rsidRDefault="00E836FB">
            <w:pPr>
              <w:rPr>
                <w:rFonts w:ascii="宋体"/>
                <w:vanish/>
              </w:rPr>
            </w:pPr>
          </w:p>
        </w:tc>
        <w:tc>
          <w:tcPr>
            <w:tcW w:w="0" w:type="auto"/>
            <w:gridSpan w:val="3"/>
            <w:shd w:val="clear" w:color="auto" w:fill="auto"/>
            <w:vAlign w:val="bottom"/>
          </w:tcPr>
          <w:p w14:paraId="5F2D459A" w14:textId="77777777" w:rsidR="00E836FB" w:rsidRDefault="00E836FB">
            <w:pPr>
              <w:rPr>
                <w:rFonts w:ascii="宋体"/>
                <w:vanish/>
              </w:rPr>
            </w:pPr>
          </w:p>
        </w:tc>
        <w:tc>
          <w:tcPr>
            <w:tcW w:w="0" w:type="auto"/>
            <w:gridSpan w:val="3"/>
            <w:shd w:val="clear" w:color="auto" w:fill="auto"/>
            <w:vAlign w:val="bottom"/>
          </w:tcPr>
          <w:p w14:paraId="5F2D459B" w14:textId="77777777" w:rsidR="00E836FB" w:rsidRDefault="00E836FB">
            <w:pPr>
              <w:rPr>
                <w:rFonts w:ascii="宋体"/>
                <w:vanish/>
              </w:rPr>
            </w:pPr>
          </w:p>
        </w:tc>
        <w:tc>
          <w:tcPr>
            <w:tcW w:w="0" w:type="auto"/>
            <w:gridSpan w:val="3"/>
            <w:shd w:val="clear" w:color="auto" w:fill="auto"/>
            <w:vAlign w:val="bottom"/>
          </w:tcPr>
          <w:p w14:paraId="5F2D459C" w14:textId="77777777" w:rsidR="00E836FB" w:rsidRDefault="00E836FB">
            <w:pPr>
              <w:rPr>
                <w:rFonts w:ascii="宋体"/>
                <w:vanish/>
              </w:rPr>
            </w:pPr>
          </w:p>
        </w:tc>
        <w:tc>
          <w:tcPr>
            <w:tcW w:w="0" w:type="auto"/>
            <w:gridSpan w:val="3"/>
            <w:shd w:val="clear" w:color="auto" w:fill="auto"/>
            <w:vAlign w:val="bottom"/>
          </w:tcPr>
          <w:p w14:paraId="5F2D459D" w14:textId="77777777" w:rsidR="00E836FB" w:rsidRDefault="00E836FB">
            <w:pPr>
              <w:rPr>
                <w:rFonts w:ascii="宋体"/>
                <w:vanish/>
              </w:rPr>
            </w:pPr>
          </w:p>
        </w:tc>
        <w:tc>
          <w:tcPr>
            <w:tcW w:w="0" w:type="auto"/>
            <w:gridSpan w:val="3"/>
            <w:shd w:val="clear" w:color="auto" w:fill="auto"/>
            <w:vAlign w:val="bottom"/>
          </w:tcPr>
          <w:p w14:paraId="5F2D459E" w14:textId="77777777" w:rsidR="00E836FB" w:rsidRDefault="00E836FB">
            <w:pPr>
              <w:rPr>
                <w:rFonts w:ascii="宋体"/>
                <w:vanish/>
              </w:rPr>
            </w:pPr>
          </w:p>
        </w:tc>
        <w:tc>
          <w:tcPr>
            <w:tcW w:w="0" w:type="auto"/>
            <w:gridSpan w:val="3"/>
            <w:shd w:val="clear" w:color="auto" w:fill="auto"/>
            <w:vAlign w:val="bottom"/>
          </w:tcPr>
          <w:p w14:paraId="5F2D459F" w14:textId="77777777" w:rsidR="00E836FB" w:rsidRDefault="00E836FB">
            <w:pPr>
              <w:rPr>
                <w:rFonts w:ascii="宋体"/>
                <w:vanish/>
              </w:rPr>
            </w:pPr>
          </w:p>
        </w:tc>
        <w:tc>
          <w:tcPr>
            <w:tcW w:w="0" w:type="auto"/>
            <w:gridSpan w:val="3"/>
            <w:shd w:val="clear" w:color="auto" w:fill="auto"/>
            <w:vAlign w:val="bottom"/>
          </w:tcPr>
          <w:p w14:paraId="5F2D45A0" w14:textId="77777777" w:rsidR="00E836FB" w:rsidRDefault="00E836FB">
            <w:pPr>
              <w:rPr>
                <w:rFonts w:ascii="宋体"/>
                <w:vanish/>
              </w:rPr>
            </w:pPr>
          </w:p>
        </w:tc>
        <w:tc>
          <w:tcPr>
            <w:tcW w:w="0" w:type="auto"/>
            <w:gridSpan w:val="3"/>
            <w:shd w:val="clear" w:color="auto" w:fill="auto"/>
            <w:vAlign w:val="bottom"/>
          </w:tcPr>
          <w:p w14:paraId="5F2D45A1" w14:textId="77777777" w:rsidR="00E836FB" w:rsidRDefault="00E836FB">
            <w:pPr>
              <w:rPr>
                <w:rFonts w:ascii="宋体"/>
                <w:vanish/>
              </w:rPr>
            </w:pPr>
          </w:p>
        </w:tc>
        <w:tc>
          <w:tcPr>
            <w:tcW w:w="0" w:type="auto"/>
            <w:gridSpan w:val="3"/>
            <w:shd w:val="clear" w:color="auto" w:fill="auto"/>
            <w:vAlign w:val="bottom"/>
          </w:tcPr>
          <w:p w14:paraId="5F2D45A2" w14:textId="77777777" w:rsidR="00E836FB" w:rsidRDefault="00E836FB">
            <w:pPr>
              <w:rPr>
                <w:rFonts w:ascii="宋体"/>
                <w:vanish/>
              </w:rPr>
            </w:pPr>
          </w:p>
        </w:tc>
        <w:tc>
          <w:tcPr>
            <w:tcW w:w="0" w:type="auto"/>
            <w:gridSpan w:val="3"/>
            <w:shd w:val="clear" w:color="auto" w:fill="auto"/>
            <w:vAlign w:val="bottom"/>
          </w:tcPr>
          <w:p w14:paraId="5F2D45A3" w14:textId="77777777" w:rsidR="00E836FB" w:rsidRDefault="00E836FB">
            <w:pPr>
              <w:rPr>
                <w:rFonts w:ascii="宋体"/>
                <w:vanish/>
              </w:rPr>
            </w:pPr>
          </w:p>
        </w:tc>
        <w:tc>
          <w:tcPr>
            <w:tcW w:w="0" w:type="auto"/>
            <w:shd w:val="clear" w:color="auto" w:fill="auto"/>
            <w:vAlign w:val="bottom"/>
          </w:tcPr>
          <w:p w14:paraId="5F2D45A4" w14:textId="77777777" w:rsidR="00E836FB" w:rsidRDefault="00E836FB">
            <w:pPr>
              <w:rPr>
                <w:rFonts w:ascii="宋体"/>
              </w:rPr>
            </w:pPr>
          </w:p>
        </w:tc>
        <w:tc>
          <w:tcPr>
            <w:tcW w:w="0" w:type="auto"/>
            <w:shd w:val="clear" w:color="auto" w:fill="auto"/>
            <w:vAlign w:val="bottom"/>
          </w:tcPr>
          <w:p w14:paraId="5F2D45A5" w14:textId="77777777" w:rsidR="00E836FB" w:rsidRDefault="00E836FB">
            <w:pPr>
              <w:rPr>
                <w:rFonts w:ascii="宋体"/>
              </w:rPr>
            </w:pPr>
          </w:p>
        </w:tc>
        <w:tc>
          <w:tcPr>
            <w:tcW w:w="0" w:type="auto"/>
            <w:shd w:val="clear" w:color="auto" w:fill="auto"/>
            <w:vAlign w:val="bottom"/>
          </w:tcPr>
          <w:p w14:paraId="5F2D45A6" w14:textId="77777777" w:rsidR="00E836FB" w:rsidRDefault="00E836FB">
            <w:pPr>
              <w:rPr>
                <w:rFonts w:ascii="宋体"/>
              </w:rPr>
            </w:pPr>
          </w:p>
        </w:tc>
        <w:tc>
          <w:tcPr>
            <w:tcW w:w="0" w:type="auto"/>
            <w:shd w:val="clear" w:color="auto" w:fill="auto"/>
            <w:vAlign w:val="bottom"/>
          </w:tcPr>
          <w:p w14:paraId="5F2D45A7" w14:textId="77777777" w:rsidR="00E836FB" w:rsidRDefault="00E836FB">
            <w:pPr>
              <w:rPr>
                <w:rFonts w:ascii="宋体"/>
              </w:rPr>
            </w:pPr>
          </w:p>
        </w:tc>
        <w:tc>
          <w:tcPr>
            <w:tcW w:w="0" w:type="auto"/>
            <w:shd w:val="clear" w:color="auto" w:fill="auto"/>
            <w:vAlign w:val="bottom"/>
          </w:tcPr>
          <w:p w14:paraId="5F2D45A8" w14:textId="77777777" w:rsidR="00E836FB" w:rsidRDefault="00E836FB">
            <w:pPr>
              <w:rPr>
                <w:rFonts w:ascii="宋体"/>
              </w:rPr>
            </w:pPr>
          </w:p>
        </w:tc>
        <w:tc>
          <w:tcPr>
            <w:tcW w:w="0" w:type="auto"/>
            <w:shd w:val="clear" w:color="auto" w:fill="auto"/>
            <w:vAlign w:val="bottom"/>
          </w:tcPr>
          <w:p w14:paraId="5F2D45A9" w14:textId="77777777" w:rsidR="00E836FB" w:rsidRDefault="00E836FB">
            <w:pPr>
              <w:rPr>
                <w:rFonts w:ascii="宋体"/>
              </w:rPr>
            </w:pPr>
          </w:p>
        </w:tc>
      </w:tr>
      <w:tr w:rsidR="00E836FB" w14:paraId="5F2D45C3" w14:textId="77777777">
        <w:tc>
          <w:tcPr>
            <w:tcW w:w="0" w:type="auto"/>
            <w:gridSpan w:val="9"/>
            <w:shd w:val="clear" w:color="auto" w:fill="CCEEFF"/>
            <w:tcMar>
              <w:top w:w="40" w:type="dxa"/>
              <w:left w:w="245" w:type="dxa"/>
              <w:bottom w:w="40" w:type="dxa"/>
              <w:right w:w="20" w:type="dxa"/>
            </w:tcMar>
            <w:vAlign w:val="bottom"/>
          </w:tcPr>
          <w:p w14:paraId="5F2D45AB" w14:textId="77777777" w:rsidR="00E836FB" w:rsidRDefault="00994958">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5F2D45AC"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5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A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5AF" w14:textId="77777777" w:rsidR="00E836FB" w:rsidRDefault="00994958">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5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B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5B2" w14:textId="77777777" w:rsidR="00E836FB" w:rsidRDefault="00994958">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5F2D45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B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5B5" w14:textId="77777777" w:rsidR="00E836FB" w:rsidRDefault="00994958">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F2D45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5B8" w14:textId="77777777" w:rsidR="00E836FB" w:rsidRDefault="00994958">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5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B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5BB" w14:textId="77777777" w:rsidR="00E836FB" w:rsidRDefault="00994958">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5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5BE" w14:textId="77777777" w:rsidR="00E836FB" w:rsidRDefault="00994958">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5F2D45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5C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5C1" w14:textId="77777777" w:rsidR="00E836FB" w:rsidRDefault="00994958">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F2D45C2" w14:textId="77777777" w:rsidR="00E836FB" w:rsidRDefault="00E836FB">
            <w:pPr>
              <w:jc w:val="right"/>
              <w:rPr>
                <w:rFonts w:ascii="宋体"/>
              </w:rPr>
            </w:pPr>
          </w:p>
        </w:tc>
      </w:tr>
      <w:tr w:rsidR="00E836FB" w14:paraId="5F2D45DA" w14:textId="77777777">
        <w:trPr>
          <w:hidden/>
        </w:trPr>
        <w:tc>
          <w:tcPr>
            <w:tcW w:w="0" w:type="auto"/>
            <w:gridSpan w:val="3"/>
            <w:shd w:val="clear" w:color="auto" w:fill="auto"/>
            <w:vAlign w:val="bottom"/>
          </w:tcPr>
          <w:p w14:paraId="5F2D45C4" w14:textId="77777777" w:rsidR="00E836FB" w:rsidRDefault="00E836FB">
            <w:pPr>
              <w:rPr>
                <w:rFonts w:ascii="宋体"/>
                <w:vanish/>
              </w:rPr>
            </w:pPr>
          </w:p>
        </w:tc>
        <w:tc>
          <w:tcPr>
            <w:tcW w:w="0" w:type="auto"/>
            <w:gridSpan w:val="3"/>
            <w:shd w:val="clear" w:color="auto" w:fill="auto"/>
            <w:vAlign w:val="bottom"/>
          </w:tcPr>
          <w:p w14:paraId="5F2D45C5" w14:textId="77777777" w:rsidR="00E836FB" w:rsidRDefault="00E836FB">
            <w:pPr>
              <w:rPr>
                <w:rFonts w:ascii="宋体"/>
                <w:vanish/>
              </w:rPr>
            </w:pPr>
          </w:p>
        </w:tc>
        <w:tc>
          <w:tcPr>
            <w:tcW w:w="0" w:type="auto"/>
            <w:gridSpan w:val="3"/>
            <w:shd w:val="clear" w:color="auto" w:fill="auto"/>
            <w:vAlign w:val="bottom"/>
          </w:tcPr>
          <w:p w14:paraId="5F2D45C6" w14:textId="77777777" w:rsidR="00E836FB" w:rsidRDefault="00E836FB">
            <w:pPr>
              <w:rPr>
                <w:rFonts w:ascii="宋体"/>
                <w:vanish/>
              </w:rPr>
            </w:pPr>
          </w:p>
        </w:tc>
        <w:tc>
          <w:tcPr>
            <w:tcW w:w="0" w:type="auto"/>
            <w:gridSpan w:val="3"/>
            <w:shd w:val="clear" w:color="auto" w:fill="auto"/>
            <w:vAlign w:val="bottom"/>
          </w:tcPr>
          <w:p w14:paraId="5F2D45C7" w14:textId="77777777" w:rsidR="00E836FB" w:rsidRDefault="00E836FB">
            <w:pPr>
              <w:rPr>
                <w:rFonts w:ascii="宋体"/>
                <w:vanish/>
              </w:rPr>
            </w:pPr>
          </w:p>
        </w:tc>
        <w:tc>
          <w:tcPr>
            <w:tcW w:w="0" w:type="auto"/>
            <w:gridSpan w:val="3"/>
            <w:shd w:val="clear" w:color="auto" w:fill="auto"/>
            <w:vAlign w:val="bottom"/>
          </w:tcPr>
          <w:p w14:paraId="5F2D45C8" w14:textId="77777777" w:rsidR="00E836FB" w:rsidRDefault="00E836FB">
            <w:pPr>
              <w:rPr>
                <w:rFonts w:ascii="宋体"/>
                <w:vanish/>
              </w:rPr>
            </w:pPr>
          </w:p>
        </w:tc>
        <w:tc>
          <w:tcPr>
            <w:tcW w:w="0" w:type="auto"/>
            <w:gridSpan w:val="3"/>
            <w:shd w:val="clear" w:color="auto" w:fill="auto"/>
            <w:vAlign w:val="bottom"/>
          </w:tcPr>
          <w:p w14:paraId="5F2D45C9" w14:textId="77777777" w:rsidR="00E836FB" w:rsidRDefault="00E836FB">
            <w:pPr>
              <w:rPr>
                <w:rFonts w:ascii="宋体"/>
                <w:vanish/>
              </w:rPr>
            </w:pPr>
          </w:p>
        </w:tc>
        <w:tc>
          <w:tcPr>
            <w:tcW w:w="0" w:type="auto"/>
            <w:gridSpan w:val="3"/>
            <w:shd w:val="clear" w:color="auto" w:fill="auto"/>
            <w:vAlign w:val="bottom"/>
          </w:tcPr>
          <w:p w14:paraId="5F2D45CA" w14:textId="77777777" w:rsidR="00E836FB" w:rsidRDefault="00E836FB">
            <w:pPr>
              <w:rPr>
                <w:rFonts w:ascii="宋体"/>
                <w:vanish/>
              </w:rPr>
            </w:pPr>
          </w:p>
        </w:tc>
        <w:tc>
          <w:tcPr>
            <w:tcW w:w="0" w:type="auto"/>
            <w:gridSpan w:val="3"/>
            <w:shd w:val="clear" w:color="auto" w:fill="auto"/>
            <w:vAlign w:val="bottom"/>
          </w:tcPr>
          <w:p w14:paraId="5F2D45CB" w14:textId="77777777" w:rsidR="00E836FB" w:rsidRDefault="00E836FB">
            <w:pPr>
              <w:rPr>
                <w:rFonts w:ascii="宋体"/>
                <w:vanish/>
              </w:rPr>
            </w:pPr>
          </w:p>
        </w:tc>
        <w:tc>
          <w:tcPr>
            <w:tcW w:w="0" w:type="auto"/>
            <w:gridSpan w:val="3"/>
            <w:shd w:val="clear" w:color="auto" w:fill="auto"/>
            <w:vAlign w:val="bottom"/>
          </w:tcPr>
          <w:p w14:paraId="5F2D45CC" w14:textId="77777777" w:rsidR="00E836FB" w:rsidRDefault="00E836FB">
            <w:pPr>
              <w:rPr>
                <w:rFonts w:ascii="宋体"/>
                <w:vanish/>
              </w:rPr>
            </w:pPr>
          </w:p>
        </w:tc>
        <w:tc>
          <w:tcPr>
            <w:tcW w:w="0" w:type="auto"/>
            <w:gridSpan w:val="3"/>
            <w:shd w:val="clear" w:color="auto" w:fill="auto"/>
            <w:vAlign w:val="bottom"/>
          </w:tcPr>
          <w:p w14:paraId="5F2D45CD" w14:textId="77777777" w:rsidR="00E836FB" w:rsidRDefault="00E836FB">
            <w:pPr>
              <w:rPr>
                <w:rFonts w:ascii="宋体"/>
                <w:vanish/>
              </w:rPr>
            </w:pPr>
          </w:p>
        </w:tc>
        <w:tc>
          <w:tcPr>
            <w:tcW w:w="0" w:type="auto"/>
            <w:gridSpan w:val="3"/>
            <w:shd w:val="clear" w:color="auto" w:fill="auto"/>
            <w:vAlign w:val="bottom"/>
          </w:tcPr>
          <w:p w14:paraId="5F2D45CE" w14:textId="77777777" w:rsidR="00E836FB" w:rsidRDefault="00E836FB">
            <w:pPr>
              <w:rPr>
                <w:rFonts w:ascii="宋体"/>
                <w:vanish/>
              </w:rPr>
            </w:pPr>
          </w:p>
        </w:tc>
        <w:tc>
          <w:tcPr>
            <w:tcW w:w="0" w:type="auto"/>
            <w:gridSpan w:val="3"/>
            <w:shd w:val="clear" w:color="auto" w:fill="auto"/>
            <w:vAlign w:val="bottom"/>
          </w:tcPr>
          <w:p w14:paraId="5F2D45CF" w14:textId="77777777" w:rsidR="00E836FB" w:rsidRDefault="00E836FB">
            <w:pPr>
              <w:rPr>
                <w:rFonts w:ascii="宋体"/>
                <w:vanish/>
              </w:rPr>
            </w:pPr>
          </w:p>
        </w:tc>
        <w:tc>
          <w:tcPr>
            <w:tcW w:w="0" w:type="auto"/>
            <w:gridSpan w:val="3"/>
            <w:shd w:val="clear" w:color="auto" w:fill="auto"/>
            <w:vAlign w:val="bottom"/>
          </w:tcPr>
          <w:p w14:paraId="5F2D45D0" w14:textId="77777777" w:rsidR="00E836FB" w:rsidRDefault="00E836FB">
            <w:pPr>
              <w:rPr>
                <w:rFonts w:ascii="宋体"/>
                <w:vanish/>
              </w:rPr>
            </w:pPr>
          </w:p>
        </w:tc>
        <w:tc>
          <w:tcPr>
            <w:tcW w:w="0" w:type="auto"/>
            <w:gridSpan w:val="3"/>
            <w:shd w:val="clear" w:color="auto" w:fill="auto"/>
            <w:vAlign w:val="bottom"/>
          </w:tcPr>
          <w:p w14:paraId="5F2D45D1" w14:textId="77777777" w:rsidR="00E836FB" w:rsidRDefault="00E836FB">
            <w:pPr>
              <w:rPr>
                <w:rFonts w:ascii="宋体"/>
                <w:vanish/>
              </w:rPr>
            </w:pPr>
          </w:p>
        </w:tc>
        <w:tc>
          <w:tcPr>
            <w:tcW w:w="0" w:type="auto"/>
            <w:gridSpan w:val="3"/>
            <w:shd w:val="clear" w:color="auto" w:fill="auto"/>
            <w:vAlign w:val="bottom"/>
          </w:tcPr>
          <w:p w14:paraId="5F2D45D2" w14:textId="77777777" w:rsidR="00E836FB" w:rsidRDefault="00E836FB">
            <w:pPr>
              <w:rPr>
                <w:rFonts w:ascii="宋体"/>
                <w:vanish/>
              </w:rPr>
            </w:pPr>
          </w:p>
        </w:tc>
        <w:tc>
          <w:tcPr>
            <w:tcW w:w="0" w:type="auto"/>
            <w:gridSpan w:val="3"/>
            <w:shd w:val="clear" w:color="auto" w:fill="auto"/>
            <w:vAlign w:val="bottom"/>
          </w:tcPr>
          <w:p w14:paraId="5F2D45D3" w14:textId="77777777" w:rsidR="00E836FB" w:rsidRDefault="00E836FB">
            <w:pPr>
              <w:rPr>
                <w:rFonts w:ascii="宋体"/>
                <w:vanish/>
              </w:rPr>
            </w:pPr>
          </w:p>
        </w:tc>
        <w:tc>
          <w:tcPr>
            <w:tcW w:w="0" w:type="auto"/>
            <w:shd w:val="clear" w:color="auto" w:fill="auto"/>
            <w:vAlign w:val="bottom"/>
          </w:tcPr>
          <w:p w14:paraId="5F2D45D4" w14:textId="77777777" w:rsidR="00E836FB" w:rsidRDefault="00E836FB">
            <w:pPr>
              <w:rPr>
                <w:rFonts w:ascii="宋体"/>
              </w:rPr>
            </w:pPr>
          </w:p>
        </w:tc>
        <w:tc>
          <w:tcPr>
            <w:tcW w:w="0" w:type="auto"/>
            <w:shd w:val="clear" w:color="auto" w:fill="auto"/>
            <w:vAlign w:val="bottom"/>
          </w:tcPr>
          <w:p w14:paraId="5F2D45D5" w14:textId="77777777" w:rsidR="00E836FB" w:rsidRDefault="00E836FB">
            <w:pPr>
              <w:rPr>
                <w:rFonts w:ascii="宋体"/>
              </w:rPr>
            </w:pPr>
          </w:p>
        </w:tc>
        <w:tc>
          <w:tcPr>
            <w:tcW w:w="0" w:type="auto"/>
            <w:shd w:val="clear" w:color="auto" w:fill="auto"/>
            <w:vAlign w:val="bottom"/>
          </w:tcPr>
          <w:p w14:paraId="5F2D45D6" w14:textId="77777777" w:rsidR="00E836FB" w:rsidRDefault="00E836FB">
            <w:pPr>
              <w:rPr>
                <w:rFonts w:ascii="宋体"/>
              </w:rPr>
            </w:pPr>
          </w:p>
        </w:tc>
        <w:tc>
          <w:tcPr>
            <w:tcW w:w="0" w:type="auto"/>
            <w:shd w:val="clear" w:color="auto" w:fill="auto"/>
            <w:vAlign w:val="bottom"/>
          </w:tcPr>
          <w:p w14:paraId="5F2D45D7" w14:textId="77777777" w:rsidR="00E836FB" w:rsidRDefault="00E836FB">
            <w:pPr>
              <w:rPr>
                <w:rFonts w:ascii="宋体"/>
              </w:rPr>
            </w:pPr>
          </w:p>
        </w:tc>
        <w:tc>
          <w:tcPr>
            <w:tcW w:w="0" w:type="auto"/>
            <w:shd w:val="clear" w:color="auto" w:fill="auto"/>
            <w:vAlign w:val="bottom"/>
          </w:tcPr>
          <w:p w14:paraId="5F2D45D8" w14:textId="77777777" w:rsidR="00E836FB" w:rsidRDefault="00E836FB">
            <w:pPr>
              <w:rPr>
                <w:rFonts w:ascii="宋体"/>
              </w:rPr>
            </w:pPr>
          </w:p>
        </w:tc>
        <w:tc>
          <w:tcPr>
            <w:tcW w:w="0" w:type="auto"/>
            <w:shd w:val="clear" w:color="auto" w:fill="auto"/>
            <w:vAlign w:val="bottom"/>
          </w:tcPr>
          <w:p w14:paraId="5F2D45D9" w14:textId="77777777" w:rsidR="00E836FB" w:rsidRDefault="00E836FB">
            <w:pPr>
              <w:rPr>
                <w:rFonts w:ascii="宋体"/>
              </w:rPr>
            </w:pPr>
          </w:p>
        </w:tc>
      </w:tr>
      <w:tr w:rsidR="00994958" w14:paraId="5F2D45FB" w14:textId="77777777">
        <w:tc>
          <w:tcPr>
            <w:tcW w:w="0" w:type="auto"/>
            <w:gridSpan w:val="9"/>
            <w:shd w:val="clear" w:color="auto" w:fill="FFFFFF"/>
            <w:tcMar>
              <w:top w:w="40" w:type="dxa"/>
              <w:left w:w="20" w:type="dxa"/>
              <w:bottom w:w="40" w:type="dxa"/>
              <w:right w:w="20" w:type="dxa"/>
            </w:tcMar>
            <w:vAlign w:val="bottom"/>
          </w:tcPr>
          <w:p w14:paraId="5F2D45DB" w14:textId="77777777" w:rsidR="00E836FB" w:rsidRDefault="00994958">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45DC"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DD" w14:textId="77777777" w:rsidR="00E836FB" w:rsidRDefault="00994958">
            <w:pPr>
              <w:jc w:val="right"/>
              <w:textAlignment w:val="bottom"/>
            </w:pPr>
            <w:r>
              <w:rPr>
                <w:rFonts w:ascii="Arial" w:eastAsia="宋体" w:hAnsi="Arial" w:cs="Arial"/>
                <w:b/>
                <w:bCs/>
                <w:color w:val="000000"/>
                <w:sz w:val="12"/>
                <w:szCs w:val="12"/>
              </w:rPr>
              <w:t>19,511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D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5E0"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E1" w14:textId="77777777" w:rsidR="00E836FB" w:rsidRDefault="00994958">
            <w:pPr>
              <w:jc w:val="right"/>
              <w:textAlignment w:val="bottom"/>
            </w:pPr>
            <w:r>
              <w:rPr>
                <w:rFonts w:ascii="Arial" w:eastAsia="宋体" w:hAnsi="Arial" w:cs="Arial"/>
                <w:b/>
                <w:bCs/>
                <w:color w:val="000000"/>
                <w:sz w:val="12"/>
                <w:szCs w:val="12"/>
              </w:rPr>
              <w:t>19,619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E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5E4"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E5" w14:textId="77777777" w:rsidR="00E836FB" w:rsidRDefault="00994958">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E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5E8"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E9" w14:textId="77777777" w:rsidR="00E836FB" w:rsidRDefault="00994958">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E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5EC"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ED" w14:textId="77777777" w:rsidR="00E836FB" w:rsidRDefault="00994958">
            <w:pPr>
              <w:jc w:val="right"/>
              <w:textAlignment w:val="bottom"/>
            </w:pPr>
            <w:r>
              <w:rPr>
                <w:rFonts w:ascii="Arial" w:eastAsia="宋体" w:hAnsi="Arial" w:cs="Arial"/>
                <w:b/>
                <w:bCs/>
                <w:color w:val="000000"/>
                <w:sz w:val="12"/>
                <w:szCs w:val="12"/>
              </w:rPr>
              <w:t>19,597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E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5F0"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F1" w14:textId="77777777" w:rsidR="00E836FB" w:rsidRDefault="00994958">
            <w:pPr>
              <w:jc w:val="right"/>
              <w:textAlignment w:val="bottom"/>
            </w:pPr>
            <w:r>
              <w:rPr>
                <w:rFonts w:ascii="Arial" w:eastAsia="宋体" w:hAnsi="Arial" w:cs="Arial"/>
                <w:b/>
                <w:bCs/>
                <w:color w:val="000000"/>
                <w:sz w:val="12"/>
                <w:szCs w:val="12"/>
              </w:rPr>
              <w:t>19,705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F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5F4"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F5" w14:textId="77777777" w:rsidR="00E836FB" w:rsidRDefault="00994958">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5F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5F8"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5F9" w14:textId="77777777" w:rsidR="00E836FB" w:rsidRDefault="00994958">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5FA" w14:textId="77777777" w:rsidR="00E836FB" w:rsidRDefault="00E836FB">
            <w:pPr>
              <w:jc w:val="right"/>
              <w:rPr>
                <w:rFonts w:ascii="宋体"/>
              </w:rPr>
            </w:pPr>
          </w:p>
        </w:tc>
      </w:tr>
      <w:tr w:rsidR="00E836FB" w14:paraId="5F2D460C" w14:textId="77777777">
        <w:tc>
          <w:tcPr>
            <w:tcW w:w="0" w:type="auto"/>
            <w:gridSpan w:val="9"/>
            <w:shd w:val="clear" w:color="auto" w:fill="CCEEFF"/>
            <w:tcMar>
              <w:top w:w="40" w:type="dxa"/>
              <w:left w:w="20" w:type="dxa"/>
              <w:bottom w:w="40" w:type="dxa"/>
              <w:right w:w="20" w:type="dxa"/>
            </w:tcMar>
            <w:vAlign w:val="bottom"/>
          </w:tcPr>
          <w:p w14:paraId="5F2D45FC" w14:textId="77777777" w:rsidR="00E836FB" w:rsidRDefault="00994958">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5F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5FE"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5F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600"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60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602"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60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604"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60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606"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60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608"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60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60A"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60B" w14:textId="77777777" w:rsidR="00E836FB" w:rsidRDefault="00E836FB">
            <w:pPr>
              <w:rPr>
                <w:rFonts w:ascii="宋体"/>
              </w:rPr>
            </w:pPr>
          </w:p>
        </w:tc>
      </w:tr>
      <w:tr w:rsidR="00994958" w14:paraId="5F2D462D" w14:textId="77777777">
        <w:tc>
          <w:tcPr>
            <w:tcW w:w="0" w:type="auto"/>
            <w:gridSpan w:val="9"/>
            <w:shd w:val="clear" w:color="auto" w:fill="FFFFFF"/>
            <w:tcMar>
              <w:top w:w="40" w:type="dxa"/>
              <w:left w:w="20" w:type="dxa"/>
              <w:bottom w:w="40" w:type="dxa"/>
              <w:right w:w="20" w:type="dxa"/>
            </w:tcMar>
            <w:vAlign w:val="bottom"/>
          </w:tcPr>
          <w:p w14:paraId="5F2D460D" w14:textId="77777777" w:rsidR="00E836FB" w:rsidRDefault="00994958">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5F2D460E"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D460F" w14:textId="77777777" w:rsidR="00E836FB" w:rsidRDefault="00994958">
            <w:pPr>
              <w:jc w:val="right"/>
              <w:textAlignment w:val="bottom"/>
            </w:pPr>
            <w:r>
              <w:rPr>
                <w:rFonts w:ascii="Arial" w:eastAsia="宋体" w:hAnsi="Arial" w:cs="Arial"/>
                <w:b/>
                <w:bCs/>
                <w:color w:val="000000"/>
                <w:sz w:val="12"/>
                <w:szCs w:val="12"/>
              </w:rPr>
              <w:t>63,735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11"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612"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D4613" w14:textId="77777777" w:rsidR="00E836FB" w:rsidRDefault="00994958">
            <w:pPr>
              <w:jc w:val="right"/>
              <w:textAlignment w:val="bottom"/>
            </w:pPr>
            <w:r>
              <w:rPr>
                <w:rFonts w:ascii="Arial" w:eastAsia="宋体" w:hAnsi="Arial" w:cs="Arial"/>
                <w:b/>
                <w:bCs/>
                <w:color w:val="000000"/>
                <w:sz w:val="12"/>
                <w:szCs w:val="12"/>
              </w:rPr>
              <w:t>109,554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1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15"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616"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D4617" w14:textId="77777777" w:rsidR="00E836FB" w:rsidRDefault="00994958">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5F2D46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19"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61A"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D461B" w14:textId="77777777" w:rsidR="00E836FB" w:rsidRDefault="00994958">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5F2D46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1D"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61E"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D461F" w14:textId="77777777" w:rsidR="00E836FB" w:rsidRDefault="00994958">
            <w:pPr>
              <w:jc w:val="right"/>
              <w:textAlignment w:val="bottom"/>
            </w:pPr>
            <w:r>
              <w:rPr>
                <w:rFonts w:ascii="Arial" w:eastAsia="宋体" w:hAnsi="Arial" w:cs="Arial"/>
                <w:b/>
                <w:bCs/>
                <w:color w:val="000000"/>
                <w:sz w:val="12"/>
                <w:szCs w:val="12"/>
              </w:rPr>
              <w:t>57,405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21"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622" w14:textId="77777777" w:rsidR="00E836FB" w:rsidRDefault="00994958">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F2D4623" w14:textId="77777777" w:rsidR="00E836FB" w:rsidRDefault="00994958">
            <w:pPr>
              <w:jc w:val="right"/>
              <w:textAlignment w:val="bottom"/>
            </w:pPr>
            <w:r>
              <w:rPr>
                <w:rFonts w:ascii="Arial" w:eastAsia="宋体" w:hAnsi="Arial" w:cs="Arial"/>
                <w:b/>
                <w:bCs/>
                <w:color w:val="000000"/>
                <w:sz w:val="12"/>
                <w:szCs w:val="12"/>
              </w:rPr>
              <w:t>106,405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25"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626"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D4627" w14:textId="77777777" w:rsidR="00E836FB" w:rsidRDefault="00994958">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5F2D462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29"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62A" w14:textId="77777777" w:rsidR="00E836FB" w:rsidRDefault="00994958">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F2D462B" w14:textId="77777777" w:rsidR="00E836FB" w:rsidRDefault="00994958">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5F2D462C" w14:textId="77777777" w:rsidR="00E836FB" w:rsidRDefault="00E836FB">
            <w:pPr>
              <w:jc w:val="right"/>
              <w:rPr>
                <w:rFonts w:ascii="宋体"/>
              </w:rPr>
            </w:pPr>
          </w:p>
        </w:tc>
      </w:tr>
      <w:tr w:rsidR="00E836FB" w14:paraId="5F2D4642" w14:textId="77777777">
        <w:tc>
          <w:tcPr>
            <w:tcW w:w="0" w:type="auto"/>
            <w:gridSpan w:val="9"/>
            <w:shd w:val="clear" w:color="auto" w:fill="CCEEFF"/>
            <w:tcMar>
              <w:top w:w="40" w:type="dxa"/>
              <w:left w:w="20" w:type="dxa"/>
              <w:bottom w:w="40" w:type="dxa"/>
              <w:right w:w="20" w:type="dxa"/>
            </w:tcMar>
            <w:vAlign w:val="bottom"/>
          </w:tcPr>
          <w:p w14:paraId="5F2D462E" w14:textId="77777777" w:rsidR="00E836FB" w:rsidRDefault="00994958">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5F2D462F" w14:textId="77777777" w:rsidR="00E836FB" w:rsidRDefault="00994958">
            <w:pPr>
              <w:jc w:val="right"/>
              <w:textAlignment w:val="bottom"/>
            </w:pPr>
            <w:r>
              <w:rPr>
                <w:rFonts w:ascii="Arial" w:eastAsia="宋体" w:hAnsi="Arial" w:cs="Arial"/>
                <w:b/>
                <w:bCs/>
                <w:color w:val="000000"/>
                <w:sz w:val="12"/>
                <w:szCs w:val="12"/>
              </w:rPr>
              <w:t>45,550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6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31"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D4632" w14:textId="77777777" w:rsidR="00E836FB" w:rsidRDefault="00994958">
            <w:pPr>
              <w:jc w:val="right"/>
              <w:textAlignment w:val="bottom"/>
            </w:pPr>
            <w:r>
              <w:rPr>
                <w:rFonts w:ascii="Arial" w:eastAsia="宋体" w:hAnsi="Arial" w:cs="Arial"/>
                <w:b/>
                <w:bCs/>
                <w:color w:val="000000"/>
                <w:sz w:val="12"/>
                <w:szCs w:val="12"/>
              </w:rPr>
              <w:t> NA</w:t>
            </w:r>
          </w:p>
        </w:tc>
        <w:tc>
          <w:tcPr>
            <w:tcW w:w="0" w:type="auto"/>
            <w:gridSpan w:val="3"/>
            <w:shd w:val="clear" w:color="auto" w:fill="CCEEFF"/>
            <w:tcMar>
              <w:top w:w="0" w:type="dxa"/>
              <w:left w:w="20" w:type="dxa"/>
              <w:bottom w:w="0" w:type="dxa"/>
              <w:right w:w="20" w:type="dxa"/>
            </w:tcMar>
            <w:vAlign w:val="bottom"/>
          </w:tcPr>
          <w:p w14:paraId="5F2D463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34" w14:textId="77777777" w:rsidR="00E836FB" w:rsidRDefault="00994958">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5F2D46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36"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D4637" w14:textId="77777777" w:rsidR="00E836FB" w:rsidRDefault="00994958">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F2D463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39" w14:textId="77777777" w:rsidR="00E836FB" w:rsidRDefault="00994958">
            <w:pPr>
              <w:jc w:val="right"/>
              <w:textAlignment w:val="bottom"/>
            </w:pPr>
            <w:r>
              <w:rPr>
                <w:rFonts w:ascii="Arial" w:eastAsia="宋体" w:hAnsi="Arial" w:cs="Arial"/>
                <w:b/>
                <w:bCs/>
                <w:color w:val="000000"/>
                <w:sz w:val="12"/>
                <w:szCs w:val="12"/>
              </w:rPr>
              <w:t>42,813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6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3B"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D463C" w14:textId="77777777" w:rsidR="00E836FB" w:rsidRDefault="00994958">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F2D463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3E" w14:textId="77777777" w:rsidR="00E836FB" w:rsidRDefault="00994958">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5F2D46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40" w14:textId="77777777" w:rsidR="00E836FB" w:rsidRDefault="00E836FB">
            <w:pPr>
              <w:rPr>
                <w:rFonts w:ascii="宋体"/>
              </w:rPr>
            </w:pPr>
          </w:p>
        </w:tc>
        <w:tc>
          <w:tcPr>
            <w:tcW w:w="0" w:type="auto"/>
            <w:gridSpan w:val="3"/>
            <w:shd w:val="clear" w:color="auto" w:fill="CCEEFF"/>
            <w:tcMar>
              <w:top w:w="40" w:type="dxa"/>
              <w:left w:w="20" w:type="dxa"/>
              <w:bottom w:w="40" w:type="dxa"/>
              <w:right w:w="140" w:type="dxa"/>
            </w:tcMar>
            <w:vAlign w:val="bottom"/>
          </w:tcPr>
          <w:p w14:paraId="5F2D4641" w14:textId="77777777" w:rsidR="00E836FB" w:rsidRDefault="00994958">
            <w:pPr>
              <w:jc w:val="right"/>
              <w:textAlignment w:val="bottom"/>
            </w:pPr>
            <w:r>
              <w:rPr>
                <w:rFonts w:ascii="Arial" w:eastAsia="宋体" w:hAnsi="Arial" w:cs="Arial"/>
                <w:color w:val="000000"/>
                <w:sz w:val="12"/>
                <w:szCs w:val="12"/>
              </w:rPr>
              <w:t>NA</w:t>
            </w:r>
          </w:p>
        </w:tc>
      </w:tr>
      <w:tr w:rsidR="00E836FB" w14:paraId="5F2D465B" w14:textId="77777777">
        <w:tc>
          <w:tcPr>
            <w:tcW w:w="0" w:type="auto"/>
            <w:gridSpan w:val="9"/>
            <w:shd w:val="clear" w:color="auto" w:fill="FFFFFF"/>
            <w:tcMar>
              <w:top w:w="40" w:type="dxa"/>
              <w:left w:w="155" w:type="dxa"/>
              <w:bottom w:w="40" w:type="dxa"/>
              <w:right w:w="20" w:type="dxa"/>
            </w:tcMar>
            <w:vAlign w:val="bottom"/>
          </w:tcPr>
          <w:p w14:paraId="5F2D4643" w14:textId="77777777" w:rsidR="00E836FB" w:rsidRDefault="00994958">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5F2D4644"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4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47"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4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4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4A"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D46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4D"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D46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50"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5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5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53" w14:textId="77777777" w:rsidR="00E836FB" w:rsidRDefault="00994958">
            <w:pPr>
              <w:jc w:val="right"/>
              <w:textAlignment w:val="bottom"/>
            </w:pPr>
            <w:r>
              <w:rPr>
                <w:rFonts w:ascii="Arial" w:eastAsia="宋体" w:hAnsi="Arial" w:cs="Arial"/>
                <w:b/>
                <w:bCs/>
                <w:color w:val="000000"/>
                <w:sz w:val="12"/>
                <w:szCs w:val="12"/>
              </w:rPr>
              <w:t>2,113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5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5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56"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D465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5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59" w14:textId="77777777" w:rsidR="00E836FB" w:rsidRDefault="00994958">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F2D465A" w14:textId="77777777" w:rsidR="00E836FB" w:rsidRDefault="00E836FB">
            <w:pPr>
              <w:jc w:val="right"/>
              <w:rPr>
                <w:rFonts w:ascii="宋体"/>
              </w:rPr>
            </w:pPr>
          </w:p>
        </w:tc>
      </w:tr>
      <w:tr w:rsidR="00994958" w14:paraId="5F2D467C" w14:textId="77777777">
        <w:tc>
          <w:tcPr>
            <w:tcW w:w="0" w:type="auto"/>
            <w:gridSpan w:val="9"/>
            <w:shd w:val="clear" w:color="auto" w:fill="CCEEFF"/>
            <w:tcMar>
              <w:top w:w="40" w:type="dxa"/>
              <w:left w:w="20" w:type="dxa"/>
              <w:bottom w:w="40" w:type="dxa"/>
              <w:right w:w="20" w:type="dxa"/>
            </w:tcMar>
            <w:vAlign w:val="bottom"/>
          </w:tcPr>
          <w:p w14:paraId="5F2D465C" w14:textId="77777777" w:rsidR="00E836FB" w:rsidRDefault="00994958">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465D"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5E" w14:textId="77777777" w:rsidR="00E836FB" w:rsidRDefault="00994958">
            <w:pPr>
              <w:jc w:val="right"/>
              <w:textAlignment w:val="bottom"/>
            </w:pPr>
            <w:r>
              <w:rPr>
                <w:rFonts w:ascii="Arial" w:eastAsia="宋体" w:hAnsi="Arial" w:cs="Arial"/>
                <w:b/>
                <w:bCs/>
                <w:color w:val="000000"/>
                <w:sz w:val="12"/>
                <w:szCs w:val="12"/>
              </w:rPr>
              <w:t>111,398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6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661"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62" w14:textId="77777777" w:rsidR="00E836FB" w:rsidRDefault="00994958">
            <w:pPr>
              <w:jc w:val="right"/>
              <w:textAlignment w:val="bottom"/>
            </w:pPr>
            <w:r>
              <w:rPr>
                <w:rFonts w:ascii="Arial" w:eastAsia="宋体" w:hAnsi="Arial" w:cs="Arial"/>
                <w:b/>
                <w:bCs/>
                <w:color w:val="000000"/>
                <w:sz w:val="12"/>
                <w:szCs w:val="12"/>
              </w:rPr>
              <w:t>111,667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6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665"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66" w14:textId="77777777" w:rsidR="00E836FB" w:rsidRDefault="00994958">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6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669"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6A" w14:textId="77777777" w:rsidR="00E836FB" w:rsidRDefault="00994958">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6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66D"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6E" w14:textId="77777777" w:rsidR="00E836FB" w:rsidRDefault="00994958">
            <w:pPr>
              <w:jc w:val="right"/>
              <w:textAlignment w:val="bottom"/>
            </w:pPr>
            <w:r>
              <w:rPr>
                <w:rFonts w:ascii="Arial" w:eastAsia="宋体" w:hAnsi="Arial" w:cs="Arial"/>
                <w:b/>
                <w:bCs/>
                <w:color w:val="000000"/>
                <w:sz w:val="12"/>
                <w:szCs w:val="12"/>
              </w:rPr>
              <w:t>102,331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7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671" w14:textId="77777777" w:rsidR="00E836FB" w:rsidRDefault="00994958">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72" w14:textId="77777777" w:rsidR="00E836FB" w:rsidRDefault="00994958">
            <w:pPr>
              <w:jc w:val="right"/>
              <w:textAlignment w:val="bottom"/>
            </w:pPr>
            <w:r>
              <w:rPr>
                <w:rFonts w:ascii="Arial" w:eastAsia="宋体" w:hAnsi="Arial" w:cs="Arial"/>
                <w:b/>
                <w:bCs/>
                <w:color w:val="000000"/>
                <w:sz w:val="12"/>
                <w:szCs w:val="12"/>
              </w:rPr>
              <w:t>108,518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7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7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675"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76" w14:textId="77777777" w:rsidR="00E836FB" w:rsidRDefault="00994958">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7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67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679" w14:textId="77777777" w:rsidR="00E836FB" w:rsidRDefault="00994958">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67A" w14:textId="77777777" w:rsidR="00E836FB" w:rsidRDefault="00994958">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7B" w14:textId="77777777" w:rsidR="00E836FB" w:rsidRDefault="00E836FB">
            <w:pPr>
              <w:jc w:val="right"/>
              <w:rPr>
                <w:rFonts w:ascii="宋体"/>
              </w:rPr>
            </w:pPr>
          </w:p>
        </w:tc>
      </w:tr>
      <w:tr w:rsidR="00994958" w14:paraId="5F2D469D" w14:textId="77777777">
        <w:tc>
          <w:tcPr>
            <w:tcW w:w="0" w:type="auto"/>
            <w:gridSpan w:val="9"/>
            <w:shd w:val="clear" w:color="auto" w:fill="FFFFFF"/>
            <w:tcMar>
              <w:top w:w="40" w:type="dxa"/>
              <w:left w:w="20" w:type="dxa"/>
              <w:bottom w:w="40" w:type="dxa"/>
              <w:right w:w="20" w:type="dxa"/>
            </w:tcMar>
            <w:vAlign w:val="bottom"/>
          </w:tcPr>
          <w:p w14:paraId="5F2D467D" w14:textId="77777777" w:rsidR="00E836FB" w:rsidRDefault="00994958">
            <w:pPr>
              <w:textAlignment w:val="bottom"/>
            </w:pPr>
            <w:r>
              <w:rPr>
                <w:rFonts w:ascii="Arial" w:eastAsia="宋体" w:hAnsi="Arial" w:cs="Arial"/>
                <w:b/>
                <w:bCs/>
                <w:color w:val="000000"/>
                <w:sz w:val="12"/>
                <w:szCs w:val="12"/>
              </w:rPr>
              <w:t>Adjusted quarterly average assets</w:t>
            </w:r>
          </w:p>
        </w:tc>
        <w:tc>
          <w:tcPr>
            <w:tcW w:w="0" w:type="auto"/>
            <w:tcBorders>
              <w:top w:val="double" w:sz="6" w:space="0" w:color="000000"/>
            </w:tcBorders>
            <w:shd w:val="clear" w:color="auto" w:fill="FFFFFF"/>
            <w:tcMar>
              <w:top w:w="40" w:type="dxa"/>
              <w:left w:w="20" w:type="dxa"/>
              <w:bottom w:w="40" w:type="dxa"/>
              <w:right w:w="0" w:type="dxa"/>
            </w:tcMar>
            <w:vAlign w:val="bottom"/>
          </w:tcPr>
          <w:p w14:paraId="5F2D467E"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7F" w14:textId="77777777" w:rsidR="00E836FB" w:rsidRDefault="00994958">
            <w:pPr>
              <w:jc w:val="right"/>
              <w:textAlignment w:val="bottom"/>
            </w:pPr>
            <w:r>
              <w:rPr>
                <w:rFonts w:ascii="Arial" w:eastAsia="宋体" w:hAnsi="Arial" w:cs="Arial"/>
                <w:b/>
                <w:bCs/>
                <w:color w:val="000000"/>
                <w:sz w:val="12"/>
                <w:szCs w:val="12"/>
              </w:rPr>
              <w:t>293,567</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81"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D4682"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83" w14:textId="77777777" w:rsidR="00E836FB" w:rsidRDefault="00994958">
            <w:pPr>
              <w:jc w:val="right"/>
              <w:textAlignment w:val="bottom"/>
            </w:pPr>
            <w:r>
              <w:rPr>
                <w:rFonts w:ascii="Arial" w:eastAsia="宋体" w:hAnsi="Arial" w:cs="Arial"/>
                <w:b/>
                <w:bCs/>
                <w:color w:val="000000"/>
                <w:sz w:val="12"/>
                <w:szCs w:val="12"/>
              </w:rPr>
              <w:t>293,567</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8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85"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D4686"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87" w14:textId="77777777" w:rsidR="00E836FB" w:rsidRDefault="00994958">
            <w:pPr>
              <w:jc w:val="right"/>
              <w:textAlignment w:val="bottom"/>
            </w:pPr>
            <w:r>
              <w:rPr>
                <w:rFonts w:ascii="Arial" w:eastAsia="宋体" w:hAnsi="Arial" w:cs="Arial"/>
                <w:color w:val="000000"/>
                <w:sz w:val="12"/>
                <w:szCs w:val="12"/>
              </w:rPr>
              <w:t>263,490 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89"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D468A"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8B" w14:textId="77777777" w:rsidR="00E836FB" w:rsidRDefault="00994958">
            <w:pPr>
              <w:jc w:val="right"/>
              <w:textAlignment w:val="bottom"/>
            </w:pPr>
            <w:r>
              <w:rPr>
                <w:rFonts w:ascii="Arial" w:eastAsia="宋体" w:hAnsi="Arial" w:cs="Arial"/>
                <w:color w:val="000000"/>
                <w:sz w:val="12"/>
                <w:szCs w:val="12"/>
              </w:rPr>
              <w:t>263,490 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8D"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D468E"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8F" w14:textId="77777777" w:rsidR="00E836FB" w:rsidRDefault="00994958">
            <w:pPr>
              <w:jc w:val="right"/>
              <w:textAlignment w:val="bottom"/>
            </w:pPr>
            <w:r>
              <w:rPr>
                <w:rFonts w:ascii="Arial" w:eastAsia="宋体" w:hAnsi="Arial" w:cs="Arial"/>
                <w:b/>
                <w:bCs/>
                <w:color w:val="000000"/>
                <w:sz w:val="12"/>
                <w:szCs w:val="12"/>
              </w:rPr>
              <w:t>290,403</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9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91"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D4692" w14:textId="77777777" w:rsidR="00E836FB" w:rsidRDefault="00994958">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93" w14:textId="77777777" w:rsidR="00E836FB" w:rsidRDefault="00994958">
            <w:pPr>
              <w:jc w:val="right"/>
              <w:textAlignment w:val="bottom"/>
            </w:pPr>
            <w:r>
              <w:rPr>
                <w:rFonts w:ascii="Arial" w:eastAsia="宋体" w:hAnsi="Arial" w:cs="Arial"/>
                <w:b/>
                <w:bCs/>
                <w:color w:val="000000"/>
                <w:sz w:val="12"/>
                <w:szCs w:val="12"/>
              </w:rPr>
              <w:t>290,403</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95"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D4696"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97" w14:textId="77777777" w:rsidR="00E836FB" w:rsidRDefault="00994958">
            <w:pPr>
              <w:jc w:val="right"/>
              <w:textAlignment w:val="bottom"/>
            </w:pPr>
            <w:r>
              <w:rPr>
                <w:rFonts w:ascii="Arial" w:eastAsia="宋体" w:hAnsi="Arial" w:cs="Arial"/>
                <w:color w:val="000000"/>
                <w:sz w:val="12"/>
                <w:szCs w:val="12"/>
              </w:rPr>
              <w:t>260,489 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99" w14:textId="77777777" w:rsidR="00E836FB" w:rsidRDefault="00E836F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F2D469A" w14:textId="77777777" w:rsidR="00E836FB" w:rsidRDefault="00994958">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F2D469B" w14:textId="77777777" w:rsidR="00E836FB" w:rsidRDefault="00994958">
            <w:pPr>
              <w:jc w:val="right"/>
              <w:textAlignment w:val="bottom"/>
            </w:pPr>
            <w:r>
              <w:rPr>
                <w:rFonts w:ascii="Arial" w:eastAsia="宋体" w:hAnsi="Arial" w:cs="Arial"/>
                <w:color w:val="000000"/>
                <w:sz w:val="12"/>
                <w:szCs w:val="12"/>
              </w:rPr>
              <w:t>260,489 </w:t>
            </w:r>
          </w:p>
        </w:tc>
        <w:tc>
          <w:tcPr>
            <w:tcW w:w="0" w:type="auto"/>
            <w:tcBorders>
              <w:top w:val="double" w:sz="6" w:space="0" w:color="000000"/>
            </w:tcBorders>
            <w:shd w:val="clear" w:color="auto" w:fill="FFFFFF"/>
            <w:tcMar>
              <w:top w:w="40" w:type="dxa"/>
              <w:left w:w="0" w:type="dxa"/>
              <w:bottom w:w="40" w:type="dxa"/>
              <w:right w:w="20" w:type="dxa"/>
            </w:tcMar>
            <w:vAlign w:val="bottom"/>
          </w:tcPr>
          <w:p w14:paraId="5F2D469C" w14:textId="77777777" w:rsidR="00E836FB" w:rsidRDefault="00E836FB">
            <w:pPr>
              <w:jc w:val="right"/>
              <w:rPr>
                <w:rFonts w:ascii="宋体"/>
              </w:rPr>
            </w:pPr>
          </w:p>
        </w:tc>
      </w:tr>
      <w:tr w:rsidR="00E836FB" w14:paraId="5F2D46B0" w14:textId="77777777">
        <w:trPr>
          <w:trHeight w:val="60"/>
        </w:trPr>
        <w:tc>
          <w:tcPr>
            <w:tcW w:w="0" w:type="auto"/>
            <w:gridSpan w:val="3"/>
            <w:shd w:val="clear" w:color="auto" w:fill="auto"/>
            <w:tcMar>
              <w:top w:w="0" w:type="dxa"/>
              <w:left w:w="20" w:type="dxa"/>
              <w:bottom w:w="0" w:type="dxa"/>
              <w:right w:w="20" w:type="dxa"/>
            </w:tcMar>
            <w:vAlign w:val="bottom"/>
          </w:tcPr>
          <w:p w14:paraId="5F2D469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0"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2"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4"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6"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A"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C"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AE"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6AF" w14:textId="77777777" w:rsidR="00E836FB" w:rsidRDefault="00E836FB">
            <w:pPr>
              <w:rPr>
                <w:rFonts w:ascii="宋体"/>
              </w:rPr>
            </w:pPr>
          </w:p>
        </w:tc>
      </w:tr>
      <w:tr w:rsidR="00E836FB" w14:paraId="5F2D46C3" w14:textId="77777777">
        <w:tc>
          <w:tcPr>
            <w:tcW w:w="0" w:type="auto"/>
            <w:gridSpan w:val="3"/>
            <w:shd w:val="clear" w:color="auto" w:fill="auto"/>
            <w:tcMar>
              <w:top w:w="40" w:type="dxa"/>
              <w:left w:w="20" w:type="dxa"/>
              <w:bottom w:w="40" w:type="dxa"/>
              <w:right w:w="20" w:type="dxa"/>
            </w:tcMar>
            <w:vAlign w:val="bottom"/>
          </w:tcPr>
          <w:p w14:paraId="5F2D46B1" w14:textId="77777777" w:rsidR="00E836FB" w:rsidRDefault="00994958">
            <w:pPr>
              <w:textAlignment w:val="bottom"/>
            </w:pPr>
            <w:r>
              <w:rPr>
                <w:rFonts w:ascii="Arial" w:eastAsia="宋体" w:hAnsi="Arial" w:cs="Arial"/>
                <w:b/>
                <w:bCs/>
                <w:color w:val="000000"/>
                <w:sz w:val="12"/>
                <w:szCs w:val="12"/>
              </w:rPr>
              <w:t>Capital Rat</w:t>
            </w:r>
            <w:r>
              <w:rPr>
                <w:rFonts w:ascii="Arial" w:eastAsia="宋体" w:hAnsi="Arial" w:cs="Arial"/>
                <w:b/>
                <w:bCs/>
                <w:color w:val="000000"/>
                <w:sz w:val="12"/>
                <w:szCs w:val="12"/>
              </w:rPr>
              <w:t>ios:</w:t>
            </w:r>
          </w:p>
        </w:tc>
        <w:tc>
          <w:tcPr>
            <w:tcW w:w="0" w:type="auto"/>
            <w:gridSpan w:val="3"/>
            <w:shd w:val="clear" w:color="auto" w:fill="auto"/>
            <w:tcMar>
              <w:top w:w="40" w:type="dxa"/>
              <w:left w:w="20" w:type="dxa"/>
              <w:bottom w:w="40" w:type="dxa"/>
              <w:right w:w="20" w:type="dxa"/>
            </w:tcMar>
            <w:vAlign w:val="bottom"/>
          </w:tcPr>
          <w:p w14:paraId="5F2D46B2" w14:textId="77777777" w:rsidR="00E836FB" w:rsidRDefault="00994958">
            <w:pPr>
              <w:jc w:val="center"/>
              <w:textAlignment w:val="bottom"/>
            </w:pPr>
            <w:r>
              <w:rPr>
                <w:rFonts w:ascii="Arial" w:eastAsia="宋体" w:hAnsi="Arial" w:cs="Arial"/>
                <w:color w:val="000000"/>
                <w:sz w:val="12"/>
                <w:szCs w:val="12"/>
              </w:rPr>
              <w:t>2021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5F2D46B3" w14:textId="77777777" w:rsidR="00E836FB" w:rsidRDefault="00994958">
            <w:pPr>
              <w:jc w:val="center"/>
              <w:textAlignment w:val="bottom"/>
            </w:pPr>
            <w:r>
              <w:rPr>
                <w:rFonts w:ascii="Arial" w:eastAsia="宋体" w:hAnsi="Arial" w:cs="Arial"/>
                <w:color w:val="000000"/>
                <w:sz w:val="12"/>
                <w:szCs w:val="12"/>
              </w:rPr>
              <w:t>2020 Minimum Requirements</w:t>
            </w:r>
            <w:r>
              <w:rPr>
                <w:rFonts w:ascii="Arial" w:eastAsia="宋体" w:hAnsi="Arial" w:cs="Arial"/>
                <w:color w:val="000000"/>
                <w:sz w:val="7"/>
                <w:szCs w:val="7"/>
              </w:rPr>
              <w:t>(4)</w:t>
            </w:r>
          </w:p>
        </w:tc>
        <w:tc>
          <w:tcPr>
            <w:tcW w:w="0" w:type="auto"/>
            <w:gridSpan w:val="3"/>
            <w:shd w:val="clear" w:color="auto" w:fill="auto"/>
            <w:tcMar>
              <w:top w:w="0" w:type="dxa"/>
              <w:left w:w="20" w:type="dxa"/>
              <w:bottom w:w="0" w:type="dxa"/>
              <w:right w:w="20" w:type="dxa"/>
            </w:tcMar>
            <w:vAlign w:val="bottom"/>
          </w:tcPr>
          <w:p w14:paraId="5F2D46B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6B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B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C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C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6C2" w14:textId="77777777" w:rsidR="00E836FB" w:rsidRDefault="00E836FB">
            <w:pPr>
              <w:rPr>
                <w:rFonts w:ascii="宋体"/>
              </w:rPr>
            </w:pPr>
          </w:p>
        </w:tc>
      </w:tr>
      <w:tr w:rsidR="00994958" w14:paraId="5F2D46E0" w14:textId="77777777">
        <w:tc>
          <w:tcPr>
            <w:tcW w:w="0" w:type="auto"/>
            <w:gridSpan w:val="3"/>
            <w:shd w:val="clear" w:color="auto" w:fill="CCEEFF"/>
            <w:tcMar>
              <w:top w:w="40" w:type="dxa"/>
              <w:left w:w="20" w:type="dxa"/>
              <w:bottom w:w="40" w:type="dxa"/>
              <w:right w:w="20" w:type="dxa"/>
            </w:tcMar>
            <w:vAlign w:val="bottom"/>
          </w:tcPr>
          <w:p w14:paraId="5F2D46C4" w14:textId="77777777" w:rsidR="00E836FB" w:rsidRDefault="00994958">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6C5" w14:textId="77777777" w:rsidR="00E836FB" w:rsidRDefault="00994958">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C6"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6C7" w14:textId="77777777" w:rsidR="00E836FB" w:rsidRDefault="00994958">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6C8" w14:textId="77777777" w:rsidR="00E836FB" w:rsidRDefault="00994958">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5F2D46C9" w14:textId="77777777" w:rsidR="00E836FB" w:rsidRDefault="00994958">
            <w:pPr>
              <w:jc w:val="right"/>
              <w:textAlignment w:val="bottom"/>
            </w:pPr>
            <w:r>
              <w:rPr>
                <w:rFonts w:ascii="Arial" w:eastAsia="宋体" w:hAnsi="Arial" w:cs="Arial"/>
                <w:b/>
                <w:bCs/>
                <w:color w:val="000000"/>
                <w:sz w:val="12"/>
                <w:szCs w:val="12"/>
              </w:rPr>
              <w:t>14.3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6CA"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D46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CC" w14:textId="77777777" w:rsidR="00E836FB" w:rsidRDefault="00994958">
            <w:pPr>
              <w:jc w:val="right"/>
              <w:textAlignment w:val="bottom"/>
            </w:pPr>
            <w:r>
              <w:rPr>
                <w:rFonts w:ascii="Arial" w:eastAsia="宋体" w:hAnsi="Arial" w:cs="Arial"/>
                <w:b/>
                <w:bCs/>
                <w:color w:val="000000"/>
                <w:sz w:val="12"/>
                <w:szCs w:val="12"/>
              </w:rPr>
              <w:t>14.3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6CD"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D46C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CF" w14:textId="77777777" w:rsidR="00E836FB" w:rsidRDefault="00994958">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5F2D46D0" w14:textId="77777777" w:rsidR="00E836FB" w:rsidRDefault="00994958">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D46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D2" w14:textId="77777777" w:rsidR="00E836FB" w:rsidRDefault="00994958">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5F2D46D3" w14:textId="77777777" w:rsidR="00E836FB" w:rsidRDefault="00994958">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D46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D5" w14:textId="77777777" w:rsidR="00E836FB" w:rsidRDefault="00994958">
            <w:pPr>
              <w:jc w:val="right"/>
              <w:textAlignment w:val="bottom"/>
            </w:pPr>
            <w:r>
              <w:rPr>
                <w:rFonts w:ascii="Arial" w:eastAsia="宋体" w:hAnsi="Arial" w:cs="Arial"/>
                <w:b/>
                <w:bCs/>
                <w:color w:val="000000"/>
                <w:sz w:val="12"/>
                <w:szCs w:val="12"/>
              </w:rPr>
              <w:t>18.4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6D6"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D46D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D8" w14:textId="77777777" w:rsidR="00E836FB" w:rsidRDefault="00994958">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6D9" w14:textId="77777777" w:rsidR="00E836FB" w:rsidRDefault="00994958">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D46D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DB" w14:textId="77777777" w:rsidR="00E836FB" w:rsidRDefault="00994958">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5F2D46DC" w14:textId="77777777" w:rsidR="00E836FB" w:rsidRDefault="00994958">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F2D46D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6DE" w14:textId="77777777" w:rsidR="00E836FB" w:rsidRDefault="00994958">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F2D46DF" w14:textId="77777777" w:rsidR="00E836FB" w:rsidRDefault="00994958">
            <w:pPr>
              <w:jc w:val="right"/>
              <w:textAlignment w:val="bottom"/>
            </w:pPr>
            <w:r>
              <w:rPr>
                <w:rFonts w:ascii="Arial" w:eastAsia="宋体" w:hAnsi="Arial" w:cs="Arial"/>
                <w:color w:val="000000"/>
                <w:sz w:val="12"/>
                <w:szCs w:val="12"/>
              </w:rPr>
              <w:t>%</w:t>
            </w:r>
          </w:p>
        </w:tc>
      </w:tr>
      <w:tr w:rsidR="00994958" w14:paraId="5F2D46FD" w14:textId="77777777">
        <w:tc>
          <w:tcPr>
            <w:tcW w:w="0" w:type="auto"/>
            <w:gridSpan w:val="3"/>
            <w:shd w:val="clear" w:color="auto" w:fill="FFFFFF"/>
            <w:tcMar>
              <w:top w:w="40" w:type="dxa"/>
              <w:left w:w="20" w:type="dxa"/>
              <w:bottom w:w="40" w:type="dxa"/>
              <w:right w:w="20" w:type="dxa"/>
            </w:tcMar>
            <w:vAlign w:val="bottom"/>
          </w:tcPr>
          <w:p w14:paraId="5F2D46E1" w14:textId="77777777" w:rsidR="00E836FB" w:rsidRDefault="00994958">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5F2D46E2" w14:textId="77777777" w:rsidR="00E836FB" w:rsidRDefault="00994958">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E3" w14:textId="77777777" w:rsidR="00E836FB" w:rsidRDefault="00E83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F2D46E4" w14:textId="77777777" w:rsidR="00E836FB" w:rsidRDefault="00994958">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5F2D46E5" w14:textId="77777777" w:rsidR="00E836FB" w:rsidRDefault="00E83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F2D46E6" w14:textId="77777777" w:rsidR="00E836FB" w:rsidRDefault="00994958">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E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E9" w14:textId="77777777" w:rsidR="00E836FB" w:rsidRDefault="00994958">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E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EC" w14:textId="77777777" w:rsidR="00E836FB" w:rsidRDefault="00994958">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5F2D46E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E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EF" w14:textId="77777777" w:rsidR="00E836FB" w:rsidRDefault="00994958">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5F2D46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F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F2" w14:textId="77777777" w:rsidR="00E836FB" w:rsidRDefault="00994958">
            <w:pPr>
              <w:jc w:val="right"/>
              <w:textAlignment w:val="bottom"/>
            </w:pPr>
            <w:r>
              <w:rPr>
                <w:rFonts w:ascii="Arial" w:eastAsia="宋体" w:hAnsi="Arial" w:cs="Arial"/>
                <w:b/>
                <w:bCs/>
                <w:color w:val="000000"/>
                <w:sz w:val="12"/>
                <w:szCs w:val="12"/>
              </w:rPr>
              <w:t>18.4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F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F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F5" w14:textId="77777777" w:rsidR="00E836FB" w:rsidRDefault="00994958">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6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F8" w14:textId="77777777" w:rsidR="00E836FB" w:rsidRDefault="00994958">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5F2D46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6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6FB" w14:textId="77777777" w:rsidR="00E836FB" w:rsidRDefault="00994958">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5F2D46FC" w14:textId="77777777" w:rsidR="00E836FB" w:rsidRDefault="00E836FB">
            <w:pPr>
              <w:jc w:val="right"/>
              <w:rPr>
                <w:rFonts w:ascii="宋体"/>
              </w:rPr>
            </w:pPr>
          </w:p>
        </w:tc>
      </w:tr>
      <w:tr w:rsidR="00994958" w14:paraId="5F2D471A" w14:textId="77777777">
        <w:tc>
          <w:tcPr>
            <w:tcW w:w="0" w:type="auto"/>
            <w:gridSpan w:val="3"/>
            <w:shd w:val="clear" w:color="auto" w:fill="CCEEFF"/>
            <w:tcMar>
              <w:top w:w="40" w:type="dxa"/>
              <w:left w:w="20" w:type="dxa"/>
              <w:bottom w:w="40" w:type="dxa"/>
              <w:right w:w="20" w:type="dxa"/>
            </w:tcMar>
            <w:vAlign w:val="bottom"/>
          </w:tcPr>
          <w:p w14:paraId="5F2D46FE" w14:textId="77777777" w:rsidR="00E836FB" w:rsidRDefault="00994958">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5F2D46FF" w14:textId="77777777" w:rsidR="00E836FB" w:rsidRDefault="00994958">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700" w14:textId="77777777" w:rsidR="00E836FB" w:rsidRDefault="00E83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F2D4701" w14:textId="77777777" w:rsidR="00E836FB" w:rsidRDefault="00994958">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5F2D4702" w14:textId="77777777" w:rsidR="00E836FB" w:rsidRDefault="00E83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F2D4703" w14:textId="77777777" w:rsidR="00E836FB" w:rsidRDefault="00994958">
            <w:pPr>
              <w:jc w:val="right"/>
              <w:textAlignment w:val="bottom"/>
            </w:pPr>
            <w:r>
              <w:rPr>
                <w:rFonts w:ascii="Arial" w:eastAsia="宋体" w:hAnsi="Arial" w:cs="Arial"/>
                <w:b/>
                <w:bCs/>
                <w:color w:val="000000"/>
                <w:sz w:val="12"/>
                <w:szCs w:val="12"/>
              </w:rPr>
              <w:t>17.5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7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0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06" w14:textId="77777777" w:rsidR="00E836FB" w:rsidRDefault="00994958">
            <w:pPr>
              <w:jc w:val="right"/>
              <w:textAlignment w:val="bottom"/>
            </w:pPr>
            <w:r>
              <w:rPr>
                <w:rFonts w:ascii="Arial" w:eastAsia="宋体" w:hAnsi="Arial" w:cs="Arial"/>
                <w:b/>
                <w:bCs/>
                <w:color w:val="000000"/>
                <w:sz w:val="12"/>
                <w:szCs w:val="12"/>
              </w:rPr>
              <w:t>17.6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70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0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09" w14:textId="77777777" w:rsidR="00E836FB" w:rsidRDefault="00994958">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5F2D470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0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0C" w14:textId="77777777" w:rsidR="00E836FB" w:rsidRDefault="00994958">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F2D47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0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0F" w14:textId="77777777" w:rsidR="00E836FB" w:rsidRDefault="00994958">
            <w:pPr>
              <w:jc w:val="right"/>
              <w:textAlignment w:val="bottom"/>
            </w:pPr>
            <w:r>
              <w:rPr>
                <w:rFonts w:ascii="Arial" w:eastAsia="宋体" w:hAnsi="Arial" w:cs="Arial"/>
                <w:b/>
                <w:bCs/>
                <w:color w:val="000000"/>
                <w:sz w:val="12"/>
                <w:szCs w:val="12"/>
              </w:rPr>
              <w:t>19.2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7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12" w14:textId="77777777" w:rsidR="00E836FB" w:rsidRDefault="00994958">
            <w:pPr>
              <w:jc w:val="right"/>
              <w:textAlignment w:val="bottom"/>
            </w:pPr>
            <w:r>
              <w:rPr>
                <w:rFonts w:ascii="Arial" w:eastAsia="宋体" w:hAnsi="Arial" w:cs="Arial"/>
                <w:b/>
                <w:bCs/>
                <w:color w:val="000000"/>
                <w:sz w:val="12"/>
                <w:szCs w:val="12"/>
              </w:rPr>
              <w:t>18.2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F2D47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15" w14:textId="77777777" w:rsidR="00E836FB" w:rsidRDefault="00994958">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5F2D47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1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18" w14:textId="77777777" w:rsidR="00E836FB" w:rsidRDefault="00994958">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5F2D4719" w14:textId="77777777" w:rsidR="00E836FB" w:rsidRDefault="00E836FB">
            <w:pPr>
              <w:jc w:val="right"/>
              <w:rPr>
                <w:rFonts w:ascii="宋体"/>
              </w:rPr>
            </w:pPr>
          </w:p>
        </w:tc>
      </w:tr>
      <w:tr w:rsidR="00994958" w14:paraId="5F2D4737" w14:textId="77777777">
        <w:tc>
          <w:tcPr>
            <w:tcW w:w="0" w:type="auto"/>
            <w:gridSpan w:val="3"/>
            <w:shd w:val="clear" w:color="auto" w:fill="FFFFFF"/>
            <w:tcMar>
              <w:top w:w="40" w:type="dxa"/>
              <w:left w:w="20" w:type="dxa"/>
              <w:bottom w:w="40" w:type="dxa"/>
              <w:right w:w="20" w:type="dxa"/>
            </w:tcMar>
            <w:vAlign w:val="bottom"/>
          </w:tcPr>
          <w:p w14:paraId="5F2D471B" w14:textId="77777777" w:rsidR="00E836FB" w:rsidRDefault="00994958">
            <w:pPr>
              <w:textAlignment w:val="bottom"/>
            </w:pPr>
            <w:r>
              <w:rPr>
                <w:rFonts w:ascii="Arial" w:eastAsia="宋体" w:hAnsi="Arial" w:cs="Arial"/>
                <w:color w:val="000000"/>
                <w:sz w:val="12"/>
                <w:szCs w:val="12"/>
              </w:rPr>
              <w:t>Tier 1 leverage</w:t>
            </w:r>
            <w:r>
              <w:rPr>
                <w:rFonts w:ascii="Arial" w:eastAsia="宋体" w:hAnsi="Arial" w:cs="Arial"/>
                <w:color w:val="000000"/>
                <w:sz w:val="7"/>
                <w:szCs w:val="7"/>
              </w:rPr>
              <w:t>(5)</w:t>
            </w:r>
          </w:p>
        </w:tc>
        <w:tc>
          <w:tcPr>
            <w:tcW w:w="0" w:type="auto"/>
            <w:gridSpan w:val="2"/>
            <w:shd w:val="clear" w:color="auto" w:fill="FFFFFF"/>
            <w:tcMar>
              <w:top w:w="40" w:type="dxa"/>
              <w:left w:w="20" w:type="dxa"/>
              <w:bottom w:w="40" w:type="dxa"/>
              <w:right w:w="0" w:type="dxa"/>
            </w:tcMar>
            <w:vAlign w:val="bottom"/>
          </w:tcPr>
          <w:p w14:paraId="5F2D471C" w14:textId="77777777" w:rsidR="00E836FB" w:rsidRDefault="00994958">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71D" w14:textId="77777777" w:rsidR="00E836FB" w:rsidRDefault="00E83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F2D471E" w14:textId="77777777" w:rsidR="00E836FB" w:rsidRDefault="00994958">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5F2D471F" w14:textId="77777777" w:rsidR="00E836FB" w:rsidRDefault="00E83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F2D4720" w14:textId="77777777" w:rsidR="00E836FB" w:rsidRDefault="00994958">
            <w:pPr>
              <w:jc w:val="right"/>
              <w:textAlignment w:val="bottom"/>
            </w:pPr>
            <w:r>
              <w:rPr>
                <w:rFonts w:ascii="Arial" w:eastAsia="宋体" w:hAnsi="Arial" w:cs="Arial"/>
                <w:b/>
                <w:bCs/>
                <w:color w:val="000000"/>
                <w:sz w:val="12"/>
                <w:szCs w:val="12"/>
              </w:rPr>
              <w:t>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7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2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23" w14:textId="77777777" w:rsidR="00E836FB" w:rsidRDefault="00994958">
            <w:pPr>
              <w:jc w:val="right"/>
              <w:textAlignment w:val="bottom"/>
            </w:pPr>
            <w:r>
              <w:rPr>
                <w:rFonts w:ascii="Arial" w:eastAsia="宋体" w:hAnsi="Arial" w:cs="Arial"/>
                <w:b/>
                <w:bCs/>
                <w:color w:val="000000"/>
                <w:sz w:val="12"/>
                <w:szCs w:val="12"/>
              </w:rPr>
              <w:t>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7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2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26" w14:textId="77777777" w:rsidR="00E836FB" w:rsidRDefault="00994958">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5F2D47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2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29" w14:textId="77777777" w:rsidR="00E836FB" w:rsidRDefault="00994958">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5F2D47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2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2C" w14:textId="77777777" w:rsidR="00E836FB" w:rsidRDefault="00994958">
            <w:pPr>
              <w:jc w:val="right"/>
              <w:textAlignment w:val="bottom"/>
            </w:pPr>
            <w:r>
              <w:rPr>
                <w:rFonts w:ascii="Arial" w:eastAsia="宋体" w:hAnsi="Arial" w:cs="Arial"/>
                <w:b/>
                <w:bCs/>
                <w:color w:val="000000"/>
                <w:sz w:val="12"/>
                <w:szCs w:val="12"/>
              </w:rPr>
              <w:t>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7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2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2F" w14:textId="77777777" w:rsidR="00E836FB" w:rsidRDefault="00994958">
            <w:pPr>
              <w:jc w:val="right"/>
              <w:textAlignment w:val="bottom"/>
            </w:pPr>
            <w:r>
              <w:rPr>
                <w:rFonts w:ascii="Arial" w:eastAsia="宋体" w:hAnsi="Arial" w:cs="Arial"/>
                <w:b/>
                <w:bCs/>
                <w:color w:val="000000"/>
                <w:sz w:val="12"/>
                <w:szCs w:val="12"/>
              </w:rPr>
              <w:t>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F2D47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32" w14:textId="77777777" w:rsidR="00E836FB" w:rsidRDefault="00994958">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5F2D47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3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35" w14:textId="77777777" w:rsidR="00E836FB" w:rsidRDefault="00994958">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5F2D4736" w14:textId="77777777" w:rsidR="00E836FB" w:rsidRDefault="00E836FB">
            <w:pPr>
              <w:jc w:val="right"/>
              <w:rPr>
                <w:rFonts w:ascii="宋体"/>
              </w:rPr>
            </w:pPr>
          </w:p>
        </w:tc>
      </w:tr>
    </w:tbl>
    <w:p w14:paraId="5F2D4738"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E836FB" w14:paraId="5F2D473F" w14:textId="77777777">
        <w:tc>
          <w:tcPr>
            <w:tcW w:w="50" w:type="pct"/>
            <w:shd w:val="clear" w:color="auto" w:fill="auto"/>
            <w:vAlign w:val="bottom"/>
          </w:tcPr>
          <w:p w14:paraId="5F2D4739" w14:textId="77777777" w:rsidR="00E836FB" w:rsidRDefault="00E836FB">
            <w:pPr>
              <w:rPr>
                <w:rFonts w:ascii="宋体"/>
              </w:rPr>
            </w:pPr>
          </w:p>
        </w:tc>
        <w:tc>
          <w:tcPr>
            <w:tcW w:w="1348" w:type="pct"/>
            <w:shd w:val="clear" w:color="auto" w:fill="auto"/>
            <w:vAlign w:val="bottom"/>
          </w:tcPr>
          <w:p w14:paraId="5F2D473A" w14:textId="77777777" w:rsidR="00E836FB" w:rsidRDefault="00E836FB">
            <w:pPr>
              <w:rPr>
                <w:rFonts w:ascii="宋体"/>
              </w:rPr>
            </w:pPr>
          </w:p>
        </w:tc>
        <w:tc>
          <w:tcPr>
            <w:tcW w:w="5" w:type="pct"/>
            <w:shd w:val="clear" w:color="auto" w:fill="auto"/>
            <w:vAlign w:val="bottom"/>
          </w:tcPr>
          <w:p w14:paraId="5F2D473B" w14:textId="77777777" w:rsidR="00E836FB" w:rsidRDefault="00E836FB">
            <w:pPr>
              <w:rPr>
                <w:rFonts w:ascii="宋体"/>
              </w:rPr>
            </w:pPr>
          </w:p>
        </w:tc>
        <w:tc>
          <w:tcPr>
            <w:tcW w:w="50" w:type="pct"/>
            <w:shd w:val="clear" w:color="auto" w:fill="auto"/>
            <w:vAlign w:val="bottom"/>
          </w:tcPr>
          <w:p w14:paraId="5F2D473C" w14:textId="77777777" w:rsidR="00E836FB" w:rsidRDefault="00E836FB">
            <w:pPr>
              <w:rPr>
                <w:rFonts w:ascii="宋体"/>
              </w:rPr>
            </w:pPr>
          </w:p>
        </w:tc>
        <w:tc>
          <w:tcPr>
            <w:tcW w:w="3541" w:type="pct"/>
            <w:shd w:val="clear" w:color="auto" w:fill="auto"/>
            <w:vAlign w:val="bottom"/>
          </w:tcPr>
          <w:p w14:paraId="5F2D473D" w14:textId="77777777" w:rsidR="00E836FB" w:rsidRDefault="00E836FB">
            <w:pPr>
              <w:rPr>
                <w:rFonts w:ascii="宋体"/>
              </w:rPr>
            </w:pPr>
          </w:p>
        </w:tc>
        <w:tc>
          <w:tcPr>
            <w:tcW w:w="5" w:type="pct"/>
            <w:shd w:val="clear" w:color="auto" w:fill="auto"/>
            <w:vAlign w:val="bottom"/>
          </w:tcPr>
          <w:p w14:paraId="5F2D473E" w14:textId="77777777" w:rsidR="00E836FB" w:rsidRDefault="00E836FB">
            <w:pPr>
              <w:rPr>
                <w:rFonts w:ascii="宋体"/>
              </w:rPr>
            </w:pPr>
          </w:p>
        </w:tc>
      </w:tr>
      <w:tr w:rsidR="00E836FB" w14:paraId="5F2D474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47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741" w14:textId="77777777" w:rsidR="00E836FB" w:rsidRDefault="00E836FB">
            <w:pPr>
              <w:rPr>
                <w:rFonts w:ascii="宋体"/>
              </w:rPr>
            </w:pPr>
          </w:p>
        </w:tc>
      </w:tr>
    </w:tbl>
    <w:p w14:paraId="5F2D4743" w14:textId="77777777" w:rsidR="00E836FB" w:rsidRDefault="00994958">
      <w:pPr>
        <w:spacing w:before="40"/>
        <w:jc w:val="both"/>
      </w:pPr>
      <w:r>
        <w:rPr>
          <w:rFonts w:ascii="Arial" w:eastAsia="宋体" w:hAnsi="Arial" w:cs="Arial"/>
          <w:color w:val="000000"/>
          <w:sz w:val="8"/>
          <w:szCs w:val="8"/>
        </w:rPr>
        <w:t>(1)</w:t>
      </w:r>
      <w:r>
        <w:rPr>
          <w:rFonts w:ascii="Arial" w:eastAsia="宋体" w:hAnsi="Arial" w:cs="Arial"/>
          <w:color w:val="000000"/>
          <w:sz w:val="13"/>
          <w:szCs w:val="13"/>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5F2D4744" w14:textId="77777777" w:rsidR="00E836FB" w:rsidRDefault="00994958">
      <w:pPr>
        <w:spacing w:before="40"/>
        <w:jc w:val="both"/>
      </w:pPr>
      <w:r>
        <w:rPr>
          <w:rFonts w:ascii="Arial" w:eastAsia="宋体" w:hAnsi="Arial" w:cs="Arial"/>
          <w:color w:val="000000"/>
          <w:sz w:val="8"/>
          <w:szCs w:val="8"/>
        </w:rPr>
        <w:t xml:space="preserve">(2) </w:t>
      </w:r>
      <w:r>
        <w:rPr>
          <w:rFonts w:ascii="Arial" w:eastAsia="宋体" w:hAnsi="Arial" w:cs="Arial"/>
          <w:color w:val="000000"/>
          <w:sz w:val="13"/>
          <w:szCs w:val="13"/>
        </w:rPr>
        <w:t>Under the advanced approaches, credit risk RWA includes a CVA which reflects the risk of potential fair value adjustments for credit risk reflected in our valuation of over-the-counter (OTC) derivative contracts. We used a simple CVA approach in conformity</w:t>
      </w:r>
      <w:r>
        <w:rPr>
          <w:rFonts w:ascii="Arial" w:eastAsia="宋体" w:hAnsi="Arial" w:cs="Arial"/>
          <w:color w:val="000000"/>
          <w:sz w:val="13"/>
          <w:szCs w:val="13"/>
        </w:rPr>
        <w:t xml:space="preserve"> with the Basel III advanced approaches.</w:t>
      </w:r>
    </w:p>
    <w:p w14:paraId="5F2D4745" w14:textId="77777777" w:rsidR="00E836FB" w:rsidRDefault="00994958">
      <w:pPr>
        <w:spacing w:before="40"/>
        <w:jc w:val="both"/>
      </w:pPr>
      <w:r>
        <w:rPr>
          <w:rFonts w:ascii="Arial" w:eastAsia="宋体" w:hAnsi="Arial" w:cs="Arial"/>
          <w:color w:val="000000"/>
          <w:sz w:val="8"/>
          <w:szCs w:val="8"/>
        </w:rPr>
        <w:t xml:space="preserve">(3) </w:t>
      </w:r>
      <w:r>
        <w:rPr>
          <w:rFonts w:ascii="Arial" w:eastAsia="宋体" w:hAnsi="Arial" w:cs="Arial"/>
          <w:color w:val="000000"/>
          <w:sz w:val="13"/>
          <w:szCs w:val="13"/>
        </w:rPr>
        <w:t>Under the current advanced approaches rules and regulatory guidance concerning operational risk models, RWA attributable to operational risk can vary substantially from period-to-period, without direct correlati</w:t>
      </w:r>
      <w:r>
        <w:rPr>
          <w:rFonts w:ascii="Arial" w:eastAsia="宋体" w:hAnsi="Arial" w:cs="Arial"/>
          <w:color w:val="000000"/>
          <w:sz w:val="13"/>
          <w:szCs w:val="13"/>
        </w:rPr>
        <w:t>on to the effects of a particular loss event on our results of operations and financial condition and impacting dates and periods that may differ from the dates and periods as of and during which the loss event is reflected in our financial statements, wit</w:t>
      </w:r>
      <w:r>
        <w:rPr>
          <w:rFonts w:ascii="Arial" w:eastAsia="宋体" w:hAnsi="Arial" w:cs="Arial"/>
          <w:color w:val="000000"/>
          <w:sz w:val="13"/>
          <w:szCs w:val="13"/>
        </w:rPr>
        <w:t>h the timing and categorization dependent on the processes for model updates and, if applicable, model revalidation and regulatory review and related supervisory processes. An individual loss event can have a significant effect on the output of our operati</w:t>
      </w:r>
      <w:r>
        <w:rPr>
          <w:rFonts w:ascii="Arial" w:eastAsia="宋体" w:hAnsi="Arial" w:cs="Arial"/>
          <w:color w:val="000000"/>
          <w:sz w:val="13"/>
          <w:szCs w:val="13"/>
        </w:rPr>
        <w:t>onal RWA under the advanced approaches depending on the severity of the loss event and its categorization among the seven Basel-defined UOMs.</w:t>
      </w:r>
    </w:p>
    <w:p w14:paraId="5F2D4746" w14:textId="77777777" w:rsidR="00E836FB" w:rsidRDefault="00994958">
      <w:pPr>
        <w:spacing w:before="40"/>
        <w:jc w:val="both"/>
      </w:pPr>
      <w:r>
        <w:rPr>
          <w:rFonts w:ascii="Arial" w:eastAsia="宋体" w:hAnsi="Arial" w:cs="Arial"/>
          <w:color w:val="000000"/>
          <w:sz w:val="8"/>
          <w:szCs w:val="8"/>
        </w:rPr>
        <w:t xml:space="preserve">(4) </w:t>
      </w:r>
      <w:r>
        <w:rPr>
          <w:rFonts w:ascii="Arial" w:eastAsia="宋体" w:hAnsi="Arial" w:cs="Arial"/>
          <w:color w:val="000000"/>
          <w:sz w:val="13"/>
          <w:szCs w:val="13"/>
        </w:rPr>
        <w:t xml:space="preserve">Minimum requirements include a CCB of 2.5% and a SCB of 2.5% for the advanced approaches and the standardized </w:t>
      </w:r>
      <w:r>
        <w:rPr>
          <w:rFonts w:ascii="Arial" w:eastAsia="宋体" w:hAnsi="Arial" w:cs="Arial"/>
          <w:color w:val="000000"/>
          <w:sz w:val="13"/>
          <w:szCs w:val="13"/>
        </w:rPr>
        <w:t>approach, respectively, a G-SIB surcharge of 1.0% and a countercyclical buffer of 0%.</w:t>
      </w:r>
    </w:p>
    <w:p w14:paraId="5F2D4747" w14:textId="77777777" w:rsidR="00E836FB" w:rsidRDefault="00994958">
      <w:pPr>
        <w:spacing w:before="40"/>
        <w:jc w:val="both"/>
      </w:pPr>
      <w:r>
        <w:rPr>
          <w:rFonts w:ascii="Arial" w:eastAsia="宋体" w:hAnsi="Arial" w:cs="Arial"/>
          <w:color w:val="000000"/>
          <w:sz w:val="8"/>
          <w:szCs w:val="8"/>
        </w:rPr>
        <w:t xml:space="preserve">(5) </w:t>
      </w:r>
      <w:r>
        <w:rPr>
          <w:rFonts w:ascii="Arial" w:eastAsia="宋体" w:hAnsi="Arial" w:cs="Arial"/>
          <w:color w:val="000000"/>
          <w:sz w:val="13"/>
          <w:szCs w:val="13"/>
        </w:rPr>
        <w:t xml:space="preserve">State Street Bank is required to maintain a minimum Tier 1 leverage ratio of 5% as it is the insured depository institution subsidiary of State Street Corporation, a </w:t>
      </w:r>
      <w:r>
        <w:rPr>
          <w:rFonts w:ascii="Arial" w:eastAsia="宋体" w:hAnsi="Arial" w:cs="Arial"/>
          <w:color w:val="000000"/>
          <w:sz w:val="13"/>
          <w:szCs w:val="13"/>
        </w:rPr>
        <w:t>U.S. G-SIB.</w:t>
      </w:r>
    </w:p>
    <w:p w14:paraId="5F2D4748" w14:textId="77777777" w:rsidR="00E836FB" w:rsidRDefault="00994958">
      <w:pPr>
        <w:spacing w:before="40"/>
        <w:jc w:val="both"/>
      </w:pPr>
      <w:r>
        <w:rPr>
          <w:rFonts w:ascii="Arial" w:eastAsia="宋体" w:hAnsi="Arial" w:cs="Arial"/>
          <w:color w:val="000000"/>
          <w:sz w:val="8"/>
          <w:szCs w:val="8"/>
        </w:rPr>
        <w:t>NA</w:t>
      </w:r>
      <w:r>
        <w:rPr>
          <w:rFonts w:ascii="Arial" w:eastAsia="宋体" w:hAnsi="Arial" w:cs="Arial"/>
          <w:color w:val="000000"/>
          <w:sz w:val="13"/>
          <w:szCs w:val="13"/>
        </w:rPr>
        <w:t xml:space="preserve"> Not applicable</w:t>
      </w:r>
    </w:p>
    <w:p w14:paraId="5F2D4749" w14:textId="77777777" w:rsidR="00E836FB" w:rsidRDefault="00994958">
      <w:pPr>
        <w:ind w:firstLine="450"/>
        <w:jc w:val="right"/>
      </w:pPr>
      <w:r>
        <w:rPr>
          <w:rFonts w:ascii="Arial" w:eastAsia="宋体" w:hAnsi="Arial" w:cs="Arial"/>
          <w:color w:val="000000"/>
          <w:sz w:val="18"/>
          <w:szCs w:val="18"/>
        </w:rPr>
        <w:t>State Street Corporation | 172</w:t>
      </w:r>
    </w:p>
    <w:p w14:paraId="5F2D474A" w14:textId="77777777" w:rsidR="00E836FB" w:rsidRDefault="00E836FB">
      <w:pPr>
        <w:ind w:firstLine="450"/>
        <w:jc w:val="center"/>
      </w:pPr>
    </w:p>
    <w:p w14:paraId="5F2D474B" w14:textId="77777777" w:rsidR="00E836FB" w:rsidRDefault="00994958">
      <w:r>
        <w:pict w14:anchorId="5F2D6E31">
          <v:rect id="_x0000_i1196" style="width:415.3pt;height:1.5pt" o:hralign="center" o:hrstd="t" o:hr="t" fillcolor="#a0a0a0" stroked="f"/>
        </w:pict>
      </w:r>
    </w:p>
    <w:p w14:paraId="5F2D474C" w14:textId="77777777" w:rsidR="00E836FB" w:rsidRDefault="00994958">
      <w:pPr>
        <w:ind w:firstLine="450"/>
        <w:jc w:val="center"/>
      </w:pPr>
      <w:r>
        <w:rPr>
          <w:rFonts w:ascii="Arial" w:eastAsia="宋体" w:hAnsi="Arial" w:cs="Arial"/>
          <w:b/>
          <w:bCs/>
          <w:color w:val="000000"/>
          <w:sz w:val="20"/>
          <w:szCs w:val="20"/>
        </w:rPr>
        <w:t>STATE STREET CORPORATION</w:t>
      </w:r>
    </w:p>
    <w:p w14:paraId="5F2D474D"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74E" w14:textId="77777777" w:rsidR="00E836FB" w:rsidRDefault="00994958">
      <w:pPr>
        <w:spacing w:before="180"/>
        <w:jc w:val="both"/>
        <w:textAlignment w:val="top"/>
      </w:pPr>
      <w:r>
        <w:rPr>
          <w:rFonts w:ascii="Arial" w:eastAsia="宋体" w:hAnsi="Arial" w:cs="Arial"/>
          <w:b/>
          <w:bCs/>
          <w:color w:val="000000"/>
          <w:sz w:val="20"/>
          <w:szCs w:val="20"/>
        </w:rPr>
        <w:t>Note 17.    Net Interest Income</w:t>
      </w:r>
    </w:p>
    <w:p w14:paraId="5F2D474F"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the components of interest income and interest expense, and rel</w:t>
      </w:r>
      <w:r>
        <w:rPr>
          <w:rFonts w:ascii="Arial" w:eastAsia="宋体" w:hAnsi="Arial" w:cs="Arial"/>
          <w:color w:val="000000"/>
          <w:sz w:val="20"/>
          <w:szCs w:val="20"/>
        </w:rPr>
        <w:t>ated NII,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4119"/>
        <w:gridCol w:w="38"/>
        <w:gridCol w:w="36"/>
        <w:gridCol w:w="36"/>
        <w:gridCol w:w="36"/>
        <w:gridCol w:w="93"/>
        <w:gridCol w:w="1114"/>
        <w:gridCol w:w="36"/>
        <w:gridCol w:w="36"/>
        <w:gridCol w:w="76"/>
        <w:gridCol w:w="36"/>
        <w:gridCol w:w="93"/>
        <w:gridCol w:w="1114"/>
        <w:gridCol w:w="36"/>
        <w:gridCol w:w="36"/>
        <w:gridCol w:w="76"/>
        <w:gridCol w:w="36"/>
        <w:gridCol w:w="93"/>
        <w:gridCol w:w="1114"/>
        <w:gridCol w:w="36"/>
      </w:tblGrid>
      <w:tr w:rsidR="00E836FB" w14:paraId="5F2D4765" w14:textId="77777777">
        <w:tc>
          <w:tcPr>
            <w:tcW w:w="50" w:type="pct"/>
            <w:shd w:val="clear" w:color="auto" w:fill="auto"/>
            <w:vAlign w:val="bottom"/>
          </w:tcPr>
          <w:p w14:paraId="5F2D4750" w14:textId="77777777" w:rsidR="00E836FB" w:rsidRDefault="00E836FB">
            <w:pPr>
              <w:rPr>
                <w:rFonts w:ascii="宋体"/>
              </w:rPr>
            </w:pPr>
          </w:p>
        </w:tc>
        <w:tc>
          <w:tcPr>
            <w:tcW w:w="2523" w:type="pct"/>
            <w:shd w:val="clear" w:color="auto" w:fill="auto"/>
            <w:vAlign w:val="bottom"/>
          </w:tcPr>
          <w:p w14:paraId="5F2D4751" w14:textId="77777777" w:rsidR="00E836FB" w:rsidRDefault="00E836FB">
            <w:pPr>
              <w:rPr>
                <w:rFonts w:ascii="宋体"/>
              </w:rPr>
            </w:pPr>
          </w:p>
        </w:tc>
        <w:tc>
          <w:tcPr>
            <w:tcW w:w="5" w:type="pct"/>
            <w:shd w:val="clear" w:color="auto" w:fill="auto"/>
            <w:vAlign w:val="bottom"/>
          </w:tcPr>
          <w:p w14:paraId="5F2D4752" w14:textId="77777777" w:rsidR="00E836FB" w:rsidRDefault="00E836FB">
            <w:pPr>
              <w:rPr>
                <w:rFonts w:ascii="宋体"/>
              </w:rPr>
            </w:pPr>
          </w:p>
        </w:tc>
        <w:tc>
          <w:tcPr>
            <w:tcW w:w="0" w:type="auto"/>
            <w:shd w:val="clear" w:color="auto" w:fill="auto"/>
            <w:vAlign w:val="bottom"/>
          </w:tcPr>
          <w:p w14:paraId="5F2D4753" w14:textId="77777777" w:rsidR="00E836FB" w:rsidRDefault="00E836FB">
            <w:pPr>
              <w:rPr>
                <w:rFonts w:ascii="宋体"/>
                <w:vanish/>
              </w:rPr>
            </w:pPr>
          </w:p>
        </w:tc>
        <w:tc>
          <w:tcPr>
            <w:tcW w:w="0" w:type="auto"/>
            <w:shd w:val="clear" w:color="auto" w:fill="auto"/>
            <w:vAlign w:val="bottom"/>
          </w:tcPr>
          <w:p w14:paraId="5F2D4754" w14:textId="77777777" w:rsidR="00E836FB" w:rsidRDefault="00E836FB">
            <w:pPr>
              <w:rPr>
                <w:rFonts w:ascii="宋体"/>
                <w:vanish/>
              </w:rPr>
            </w:pPr>
          </w:p>
        </w:tc>
        <w:tc>
          <w:tcPr>
            <w:tcW w:w="0" w:type="auto"/>
            <w:shd w:val="clear" w:color="auto" w:fill="auto"/>
            <w:vAlign w:val="bottom"/>
          </w:tcPr>
          <w:p w14:paraId="5F2D4755" w14:textId="77777777" w:rsidR="00E836FB" w:rsidRDefault="00E836FB">
            <w:pPr>
              <w:rPr>
                <w:rFonts w:ascii="宋体"/>
                <w:vanish/>
              </w:rPr>
            </w:pPr>
          </w:p>
        </w:tc>
        <w:tc>
          <w:tcPr>
            <w:tcW w:w="50" w:type="pct"/>
            <w:shd w:val="clear" w:color="auto" w:fill="auto"/>
            <w:vAlign w:val="bottom"/>
          </w:tcPr>
          <w:p w14:paraId="5F2D4756" w14:textId="77777777" w:rsidR="00E836FB" w:rsidRDefault="00E836FB">
            <w:pPr>
              <w:rPr>
                <w:rFonts w:ascii="宋体"/>
              </w:rPr>
            </w:pPr>
          </w:p>
        </w:tc>
        <w:tc>
          <w:tcPr>
            <w:tcW w:w="699" w:type="pct"/>
            <w:shd w:val="clear" w:color="auto" w:fill="auto"/>
            <w:vAlign w:val="bottom"/>
          </w:tcPr>
          <w:p w14:paraId="5F2D4757" w14:textId="77777777" w:rsidR="00E836FB" w:rsidRDefault="00E836FB">
            <w:pPr>
              <w:rPr>
                <w:rFonts w:ascii="宋体"/>
              </w:rPr>
            </w:pPr>
          </w:p>
        </w:tc>
        <w:tc>
          <w:tcPr>
            <w:tcW w:w="5" w:type="pct"/>
            <w:shd w:val="clear" w:color="auto" w:fill="auto"/>
            <w:vAlign w:val="bottom"/>
          </w:tcPr>
          <w:p w14:paraId="5F2D4758" w14:textId="77777777" w:rsidR="00E836FB" w:rsidRDefault="00E836FB">
            <w:pPr>
              <w:rPr>
                <w:rFonts w:ascii="宋体"/>
              </w:rPr>
            </w:pPr>
          </w:p>
        </w:tc>
        <w:tc>
          <w:tcPr>
            <w:tcW w:w="5" w:type="pct"/>
            <w:shd w:val="clear" w:color="auto" w:fill="auto"/>
            <w:vAlign w:val="bottom"/>
          </w:tcPr>
          <w:p w14:paraId="5F2D4759" w14:textId="77777777" w:rsidR="00E836FB" w:rsidRDefault="00E836FB">
            <w:pPr>
              <w:rPr>
                <w:rFonts w:ascii="宋体"/>
              </w:rPr>
            </w:pPr>
          </w:p>
        </w:tc>
        <w:tc>
          <w:tcPr>
            <w:tcW w:w="68" w:type="pct"/>
            <w:shd w:val="clear" w:color="auto" w:fill="auto"/>
            <w:vAlign w:val="bottom"/>
          </w:tcPr>
          <w:p w14:paraId="5F2D475A" w14:textId="77777777" w:rsidR="00E836FB" w:rsidRDefault="00E836FB">
            <w:pPr>
              <w:rPr>
                <w:rFonts w:ascii="宋体"/>
              </w:rPr>
            </w:pPr>
          </w:p>
        </w:tc>
        <w:tc>
          <w:tcPr>
            <w:tcW w:w="5" w:type="pct"/>
            <w:shd w:val="clear" w:color="auto" w:fill="auto"/>
            <w:vAlign w:val="bottom"/>
          </w:tcPr>
          <w:p w14:paraId="5F2D475B" w14:textId="77777777" w:rsidR="00E836FB" w:rsidRDefault="00E836FB">
            <w:pPr>
              <w:rPr>
                <w:rFonts w:ascii="宋体"/>
              </w:rPr>
            </w:pPr>
          </w:p>
        </w:tc>
        <w:tc>
          <w:tcPr>
            <w:tcW w:w="50" w:type="pct"/>
            <w:shd w:val="clear" w:color="auto" w:fill="auto"/>
            <w:vAlign w:val="bottom"/>
          </w:tcPr>
          <w:p w14:paraId="5F2D475C" w14:textId="77777777" w:rsidR="00E836FB" w:rsidRDefault="00E836FB">
            <w:pPr>
              <w:rPr>
                <w:rFonts w:ascii="宋体"/>
              </w:rPr>
            </w:pPr>
          </w:p>
        </w:tc>
        <w:tc>
          <w:tcPr>
            <w:tcW w:w="699" w:type="pct"/>
            <w:shd w:val="clear" w:color="auto" w:fill="auto"/>
            <w:vAlign w:val="bottom"/>
          </w:tcPr>
          <w:p w14:paraId="5F2D475D" w14:textId="77777777" w:rsidR="00E836FB" w:rsidRDefault="00E836FB">
            <w:pPr>
              <w:rPr>
                <w:rFonts w:ascii="宋体"/>
              </w:rPr>
            </w:pPr>
          </w:p>
        </w:tc>
        <w:tc>
          <w:tcPr>
            <w:tcW w:w="5" w:type="pct"/>
            <w:shd w:val="clear" w:color="auto" w:fill="auto"/>
            <w:vAlign w:val="bottom"/>
          </w:tcPr>
          <w:p w14:paraId="5F2D475E" w14:textId="77777777" w:rsidR="00E836FB" w:rsidRDefault="00E836FB">
            <w:pPr>
              <w:rPr>
                <w:rFonts w:ascii="宋体"/>
              </w:rPr>
            </w:pPr>
          </w:p>
        </w:tc>
        <w:tc>
          <w:tcPr>
            <w:tcW w:w="5" w:type="pct"/>
            <w:shd w:val="clear" w:color="auto" w:fill="auto"/>
            <w:vAlign w:val="bottom"/>
          </w:tcPr>
          <w:p w14:paraId="5F2D475F" w14:textId="77777777" w:rsidR="00E836FB" w:rsidRDefault="00E836FB">
            <w:pPr>
              <w:rPr>
                <w:rFonts w:ascii="宋体"/>
              </w:rPr>
            </w:pPr>
          </w:p>
        </w:tc>
        <w:tc>
          <w:tcPr>
            <w:tcW w:w="68" w:type="pct"/>
            <w:shd w:val="clear" w:color="auto" w:fill="auto"/>
            <w:vAlign w:val="bottom"/>
          </w:tcPr>
          <w:p w14:paraId="5F2D4760" w14:textId="77777777" w:rsidR="00E836FB" w:rsidRDefault="00E836FB">
            <w:pPr>
              <w:rPr>
                <w:rFonts w:ascii="宋体"/>
              </w:rPr>
            </w:pPr>
          </w:p>
        </w:tc>
        <w:tc>
          <w:tcPr>
            <w:tcW w:w="5" w:type="pct"/>
            <w:shd w:val="clear" w:color="auto" w:fill="auto"/>
            <w:vAlign w:val="bottom"/>
          </w:tcPr>
          <w:p w14:paraId="5F2D4761" w14:textId="77777777" w:rsidR="00E836FB" w:rsidRDefault="00E836FB">
            <w:pPr>
              <w:rPr>
                <w:rFonts w:ascii="宋体"/>
              </w:rPr>
            </w:pPr>
          </w:p>
        </w:tc>
        <w:tc>
          <w:tcPr>
            <w:tcW w:w="50" w:type="pct"/>
            <w:shd w:val="clear" w:color="auto" w:fill="auto"/>
            <w:vAlign w:val="bottom"/>
          </w:tcPr>
          <w:p w14:paraId="5F2D4762" w14:textId="77777777" w:rsidR="00E836FB" w:rsidRDefault="00E836FB">
            <w:pPr>
              <w:rPr>
                <w:rFonts w:ascii="宋体"/>
              </w:rPr>
            </w:pPr>
          </w:p>
        </w:tc>
        <w:tc>
          <w:tcPr>
            <w:tcW w:w="699" w:type="pct"/>
            <w:shd w:val="clear" w:color="auto" w:fill="auto"/>
            <w:vAlign w:val="bottom"/>
          </w:tcPr>
          <w:p w14:paraId="5F2D4763" w14:textId="77777777" w:rsidR="00E836FB" w:rsidRDefault="00E836FB">
            <w:pPr>
              <w:rPr>
                <w:rFonts w:ascii="宋体"/>
              </w:rPr>
            </w:pPr>
          </w:p>
        </w:tc>
        <w:tc>
          <w:tcPr>
            <w:tcW w:w="5" w:type="pct"/>
            <w:shd w:val="clear" w:color="auto" w:fill="auto"/>
            <w:vAlign w:val="bottom"/>
          </w:tcPr>
          <w:p w14:paraId="5F2D4764" w14:textId="77777777" w:rsidR="00E836FB" w:rsidRDefault="00E836FB">
            <w:pPr>
              <w:rPr>
                <w:rFonts w:ascii="宋体"/>
              </w:rPr>
            </w:pPr>
          </w:p>
        </w:tc>
      </w:tr>
      <w:tr w:rsidR="00E836FB" w14:paraId="5F2D476F" w14:textId="77777777">
        <w:tc>
          <w:tcPr>
            <w:tcW w:w="0" w:type="auto"/>
            <w:gridSpan w:val="3"/>
            <w:shd w:val="clear" w:color="auto" w:fill="auto"/>
            <w:tcMar>
              <w:top w:w="0" w:type="dxa"/>
              <w:left w:w="20" w:type="dxa"/>
              <w:bottom w:w="0" w:type="dxa"/>
              <w:right w:w="20" w:type="dxa"/>
            </w:tcMar>
            <w:vAlign w:val="bottom"/>
          </w:tcPr>
          <w:p w14:paraId="5F2D4766" w14:textId="77777777" w:rsidR="00E836FB" w:rsidRDefault="00E836FB">
            <w:pPr>
              <w:rPr>
                <w:rFonts w:ascii="宋体"/>
              </w:rPr>
            </w:pPr>
          </w:p>
        </w:tc>
        <w:tc>
          <w:tcPr>
            <w:tcW w:w="0" w:type="auto"/>
            <w:shd w:val="clear" w:color="auto" w:fill="auto"/>
            <w:vAlign w:val="bottom"/>
          </w:tcPr>
          <w:p w14:paraId="5F2D4767" w14:textId="77777777" w:rsidR="00E836FB" w:rsidRDefault="00E836FB">
            <w:pPr>
              <w:rPr>
                <w:rFonts w:ascii="宋体"/>
                <w:vanish/>
              </w:rPr>
            </w:pPr>
          </w:p>
        </w:tc>
        <w:tc>
          <w:tcPr>
            <w:tcW w:w="0" w:type="auto"/>
            <w:gridSpan w:val="11"/>
            <w:shd w:val="clear" w:color="auto" w:fill="auto"/>
            <w:tcMar>
              <w:top w:w="40" w:type="dxa"/>
              <w:left w:w="20" w:type="dxa"/>
              <w:bottom w:w="40" w:type="dxa"/>
              <w:right w:w="20" w:type="dxa"/>
            </w:tcMar>
            <w:vAlign w:val="bottom"/>
          </w:tcPr>
          <w:p w14:paraId="5F2D4768" w14:textId="77777777" w:rsidR="00E836FB" w:rsidRDefault="00994958">
            <w:pPr>
              <w:jc w:val="center"/>
              <w:textAlignment w:val="bottom"/>
            </w:pPr>
            <w:r>
              <w:rPr>
                <w:rFonts w:ascii="Arial" w:eastAsia="宋体" w:hAnsi="Arial" w:cs="Arial"/>
                <w:b/>
                <w:bCs/>
                <w:color w:val="000000"/>
                <w:sz w:val="13"/>
                <w:szCs w:val="13"/>
              </w:rPr>
              <w:t>Years Ended December 31,</w:t>
            </w:r>
          </w:p>
        </w:tc>
        <w:tc>
          <w:tcPr>
            <w:tcW w:w="0" w:type="auto"/>
            <w:shd w:val="clear" w:color="auto" w:fill="auto"/>
            <w:vAlign w:val="bottom"/>
          </w:tcPr>
          <w:p w14:paraId="5F2D4769" w14:textId="77777777" w:rsidR="00E836FB" w:rsidRDefault="00E836FB">
            <w:pPr>
              <w:rPr>
                <w:rFonts w:ascii="宋体"/>
              </w:rPr>
            </w:pPr>
          </w:p>
        </w:tc>
        <w:tc>
          <w:tcPr>
            <w:tcW w:w="0" w:type="auto"/>
            <w:shd w:val="clear" w:color="auto" w:fill="auto"/>
            <w:vAlign w:val="bottom"/>
          </w:tcPr>
          <w:p w14:paraId="5F2D476A" w14:textId="77777777" w:rsidR="00E836FB" w:rsidRDefault="00E836FB">
            <w:pPr>
              <w:rPr>
                <w:rFonts w:ascii="宋体"/>
              </w:rPr>
            </w:pPr>
          </w:p>
        </w:tc>
        <w:tc>
          <w:tcPr>
            <w:tcW w:w="0" w:type="auto"/>
            <w:shd w:val="clear" w:color="auto" w:fill="auto"/>
            <w:vAlign w:val="bottom"/>
          </w:tcPr>
          <w:p w14:paraId="5F2D476B" w14:textId="77777777" w:rsidR="00E836FB" w:rsidRDefault="00E836FB">
            <w:pPr>
              <w:rPr>
                <w:rFonts w:ascii="宋体"/>
              </w:rPr>
            </w:pPr>
          </w:p>
        </w:tc>
        <w:tc>
          <w:tcPr>
            <w:tcW w:w="0" w:type="auto"/>
            <w:shd w:val="clear" w:color="auto" w:fill="auto"/>
            <w:vAlign w:val="bottom"/>
          </w:tcPr>
          <w:p w14:paraId="5F2D476C" w14:textId="77777777" w:rsidR="00E836FB" w:rsidRDefault="00E836FB">
            <w:pPr>
              <w:rPr>
                <w:rFonts w:ascii="宋体"/>
              </w:rPr>
            </w:pPr>
          </w:p>
        </w:tc>
        <w:tc>
          <w:tcPr>
            <w:tcW w:w="0" w:type="auto"/>
            <w:shd w:val="clear" w:color="auto" w:fill="auto"/>
            <w:vAlign w:val="bottom"/>
          </w:tcPr>
          <w:p w14:paraId="5F2D476D" w14:textId="77777777" w:rsidR="00E836FB" w:rsidRDefault="00E836FB">
            <w:pPr>
              <w:rPr>
                <w:rFonts w:ascii="宋体"/>
              </w:rPr>
            </w:pPr>
          </w:p>
        </w:tc>
        <w:tc>
          <w:tcPr>
            <w:tcW w:w="0" w:type="auto"/>
            <w:shd w:val="clear" w:color="auto" w:fill="auto"/>
            <w:vAlign w:val="bottom"/>
          </w:tcPr>
          <w:p w14:paraId="5F2D476E" w14:textId="77777777" w:rsidR="00E836FB" w:rsidRDefault="00E836FB">
            <w:pPr>
              <w:rPr>
                <w:rFonts w:ascii="宋体"/>
              </w:rPr>
            </w:pPr>
          </w:p>
        </w:tc>
      </w:tr>
      <w:tr w:rsidR="00E836FB" w14:paraId="5F2D4779" w14:textId="77777777">
        <w:tc>
          <w:tcPr>
            <w:tcW w:w="0" w:type="auto"/>
            <w:gridSpan w:val="3"/>
            <w:shd w:val="clear" w:color="auto" w:fill="auto"/>
            <w:tcMar>
              <w:top w:w="40" w:type="dxa"/>
              <w:left w:w="20" w:type="dxa"/>
              <w:bottom w:w="40" w:type="dxa"/>
              <w:right w:w="20" w:type="dxa"/>
            </w:tcMar>
            <w:vAlign w:val="bottom"/>
          </w:tcPr>
          <w:p w14:paraId="5F2D4770" w14:textId="77777777" w:rsidR="00E836FB" w:rsidRDefault="00994958">
            <w:pPr>
              <w:textAlignment w:val="bottom"/>
            </w:pPr>
            <w:r>
              <w:rPr>
                <w:rFonts w:ascii="Arial" w:eastAsia="宋体" w:hAnsi="Arial" w:cs="Arial"/>
                <w:b/>
                <w:bCs/>
                <w:color w:val="000000"/>
                <w:sz w:val="13"/>
                <w:szCs w:val="13"/>
              </w:rPr>
              <w:t>(In millions)</w:t>
            </w:r>
          </w:p>
        </w:tc>
        <w:tc>
          <w:tcPr>
            <w:tcW w:w="0" w:type="auto"/>
            <w:shd w:val="clear" w:color="auto" w:fill="auto"/>
            <w:vAlign w:val="bottom"/>
          </w:tcPr>
          <w:p w14:paraId="5F2D4771" w14:textId="77777777" w:rsidR="00E836FB" w:rsidRDefault="00E836FB">
            <w:pPr>
              <w:rPr>
                <w:rFonts w:ascii="宋体"/>
                <w:vanish/>
              </w:rPr>
            </w:pPr>
          </w:p>
        </w:tc>
        <w:tc>
          <w:tcPr>
            <w:tcW w:w="0" w:type="auto"/>
            <w:shd w:val="clear" w:color="auto" w:fill="auto"/>
            <w:vAlign w:val="bottom"/>
          </w:tcPr>
          <w:p w14:paraId="5F2D4772" w14:textId="77777777" w:rsidR="00E836FB" w:rsidRDefault="00E836FB">
            <w:pPr>
              <w:rPr>
                <w:rFonts w:ascii="宋体"/>
                <w:vanish/>
              </w:rPr>
            </w:pPr>
          </w:p>
        </w:tc>
        <w:tc>
          <w:tcPr>
            <w:tcW w:w="0" w:type="auto"/>
            <w:shd w:val="clear" w:color="auto" w:fill="auto"/>
            <w:vAlign w:val="bottom"/>
          </w:tcPr>
          <w:p w14:paraId="5F2D4773"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774"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77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776"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77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778" w14:textId="77777777" w:rsidR="00E836FB" w:rsidRDefault="00994958">
            <w:pPr>
              <w:jc w:val="center"/>
              <w:textAlignment w:val="bottom"/>
            </w:pPr>
            <w:r>
              <w:rPr>
                <w:rFonts w:ascii="Arial" w:eastAsia="宋体" w:hAnsi="Arial" w:cs="Arial"/>
                <w:b/>
                <w:bCs/>
                <w:color w:val="000000"/>
                <w:sz w:val="13"/>
                <w:szCs w:val="13"/>
              </w:rPr>
              <w:t>2019</w:t>
            </w:r>
          </w:p>
        </w:tc>
      </w:tr>
      <w:tr w:rsidR="00E836FB" w14:paraId="5F2D4783" w14:textId="77777777">
        <w:tc>
          <w:tcPr>
            <w:tcW w:w="0" w:type="auto"/>
            <w:gridSpan w:val="3"/>
            <w:shd w:val="clear" w:color="auto" w:fill="auto"/>
            <w:tcMar>
              <w:top w:w="40" w:type="dxa"/>
              <w:left w:w="20" w:type="dxa"/>
              <w:bottom w:w="40" w:type="dxa"/>
              <w:right w:w="20" w:type="dxa"/>
            </w:tcMar>
            <w:vAlign w:val="bottom"/>
          </w:tcPr>
          <w:p w14:paraId="5F2D477A" w14:textId="77777777" w:rsidR="00E836FB" w:rsidRDefault="00994958">
            <w:pPr>
              <w:textAlignment w:val="bottom"/>
            </w:pPr>
            <w:r>
              <w:rPr>
                <w:rFonts w:ascii="Arial" w:eastAsia="宋体" w:hAnsi="Arial" w:cs="Arial"/>
                <w:b/>
                <w:bCs/>
                <w:color w:val="000000"/>
                <w:sz w:val="13"/>
                <w:szCs w:val="13"/>
              </w:rPr>
              <w:t>Interest income:</w:t>
            </w:r>
          </w:p>
        </w:tc>
        <w:tc>
          <w:tcPr>
            <w:tcW w:w="0" w:type="auto"/>
            <w:shd w:val="clear" w:color="auto" w:fill="auto"/>
            <w:vAlign w:val="bottom"/>
          </w:tcPr>
          <w:p w14:paraId="5F2D477B" w14:textId="77777777" w:rsidR="00E836FB" w:rsidRDefault="00E836FB">
            <w:pPr>
              <w:rPr>
                <w:rFonts w:ascii="宋体"/>
                <w:vanish/>
              </w:rPr>
            </w:pPr>
          </w:p>
        </w:tc>
        <w:tc>
          <w:tcPr>
            <w:tcW w:w="0" w:type="auto"/>
            <w:shd w:val="clear" w:color="auto" w:fill="auto"/>
            <w:vAlign w:val="bottom"/>
          </w:tcPr>
          <w:p w14:paraId="5F2D477C" w14:textId="77777777" w:rsidR="00E836FB" w:rsidRDefault="00E836FB">
            <w:pPr>
              <w:rPr>
                <w:rFonts w:ascii="宋体"/>
                <w:vanish/>
              </w:rPr>
            </w:pPr>
          </w:p>
        </w:tc>
        <w:tc>
          <w:tcPr>
            <w:tcW w:w="0" w:type="auto"/>
            <w:shd w:val="clear" w:color="auto" w:fill="auto"/>
            <w:vAlign w:val="bottom"/>
          </w:tcPr>
          <w:p w14:paraId="5F2D477D" w14:textId="77777777" w:rsidR="00E836FB" w:rsidRDefault="00E836F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77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77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78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78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782" w14:textId="77777777" w:rsidR="00E836FB" w:rsidRDefault="00E836FB">
            <w:pPr>
              <w:rPr>
                <w:rFonts w:ascii="宋体"/>
              </w:rPr>
            </w:pPr>
          </w:p>
        </w:tc>
      </w:tr>
      <w:tr w:rsidR="00E836FB" w14:paraId="5F2D4793" w14:textId="77777777">
        <w:tc>
          <w:tcPr>
            <w:tcW w:w="0" w:type="auto"/>
            <w:gridSpan w:val="3"/>
            <w:shd w:val="clear" w:color="auto" w:fill="CCEEFF"/>
            <w:tcMar>
              <w:top w:w="40" w:type="dxa"/>
              <w:left w:w="20" w:type="dxa"/>
              <w:bottom w:w="40" w:type="dxa"/>
              <w:right w:w="20" w:type="dxa"/>
            </w:tcMar>
            <w:vAlign w:val="bottom"/>
          </w:tcPr>
          <w:p w14:paraId="5F2D4784" w14:textId="77777777" w:rsidR="00E836FB" w:rsidRDefault="00994958">
            <w:pPr>
              <w:textAlignment w:val="bottom"/>
            </w:pPr>
            <w:r>
              <w:rPr>
                <w:rFonts w:ascii="Arial" w:eastAsia="宋体" w:hAnsi="Arial" w:cs="Arial"/>
                <w:color w:val="000000"/>
                <w:sz w:val="13"/>
                <w:szCs w:val="13"/>
              </w:rPr>
              <w:t>Interest-bearing deposits with banks</w:t>
            </w:r>
          </w:p>
        </w:tc>
        <w:tc>
          <w:tcPr>
            <w:tcW w:w="0" w:type="auto"/>
            <w:shd w:val="clear" w:color="auto" w:fill="auto"/>
            <w:vAlign w:val="bottom"/>
          </w:tcPr>
          <w:p w14:paraId="5F2D4785" w14:textId="77777777" w:rsidR="00E836FB" w:rsidRDefault="00E836FB">
            <w:pPr>
              <w:rPr>
                <w:rFonts w:ascii="宋体"/>
                <w:vanish/>
              </w:rPr>
            </w:pPr>
          </w:p>
        </w:tc>
        <w:tc>
          <w:tcPr>
            <w:tcW w:w="0" w:type="auto"/>
            <w:shd w:val="clear" w:color="auto" w:fill="auto"/>
            <w:vAlign w:val="bottom"/>
          </w:tcPr>
          <w:p w14:paraId="5F2D4786" w14:textId="77777777" w:rsidR="00E836FB" w:rsidRDefault="00E836FB">
            <w:pPr>
              <w:rPr>
                <w:rFonts w:ascii="宋体"/>
                <w:vanish/>
              </w:rPr>
            </w:pPr>
          </w:p>
        </w:tc>
        <w:tc>
          <w:tcPr>
            <w:tcW w:w="0" w:type="auto"/>
            <w:shd w:val="clear" w:color="auto" w:fill="auto"/>
            <w:vAlign w:val="bottom"/>
          </w:tcPr>
          <w:p w14:paraId="5F2D4787" w14:textId="77777777" w:rsidR="00E836FB" w:rsidRDefault="00E836FB">
            <w:pPr>
              <w:rPr>
                <w:rFonts w:ascii="宋体"/>
                <w:vanish/>
              </w:rPr>
            </w:pPr>
          </w:p>
        </w:tc>
        <w:tc>
          <w:tcPr>
            <w:tcW w:w="0" w:type="auto"/>
            <w:shd w:val="clear" w:color="auto" w:fill="CCEEFF"/>
            <w:tcMar>
              <w:top w:w="40" w:type="dxa"/>
              <w:left w:w="20" w:type="dxa"/>
              <w:bottom w:w="40" w:type="dxa"/>
              <w:right w:w="0" w:type="dxa"/>
            </w:tcMar>
            <w:vAlign w:val="bottom"/>
          </w:tcPr>
          <w:p w14:paraId="5F2D4788"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D4789" w14:textId="77777777" w:rsidR="00E836FB" w:rsidRDefault="00994958">
            <w:pPr>
              <w:jc w:val="right"/>
              <w:textAlignment w:val="bottom"/>
            </w:pPr>
            <w:r>
              <w:rPr>
                <w:rFonts w:ascii="Arial" w:eastAsia="宋体" w:hAnsi="Arial" w:cs="Arial"/>
                <w:b/>
                <w:bCs/>
                <w:color w:val="000000"/>
                <w:sz w:val="13"/>
                <w:szCs w:val="13"/>
              </w:rPr>
              <w:t>(15)</w:t>
            </w:r>
          </w:p>
        </w:tc>
        <w:tc>
          <w:tcPr>
            <w:tcW w:w="0" w:type="auto"/>
            <w:shd w:val="clear" w:color="auto" w:fill="CCEEFF"/>
            <w:tcMar>
              <w:top w:w="40" w:type="dxa"/>
              <w:left w:w="0" w:type="dxa"/>
              <w:bottom w:w="40" w:type="dxa"/>
              <w:right w:w="20" w:type="dxa"/>
            </w:tcMar>
            <w:vAlign w:val="bottom"/>
          </w:tcPr>
          <w:p w14:paraId="5F2D47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8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78C"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D478D" w14:textId="77777777" w:rsidR="00E836FB" w:rsidRDefault="00994958">
            <w:pPr>
              <w:jc w:val="right"/>
              <w:textAlignment w:val="bottom"/>
            </w:pPr>
            <w:r>
              <w:rPr>
                <w:rFonts w:ascii="Arial" w:eastAsia="宋体" w:hAnsi="Arial" w:cs="Arial"/>
                <w:color w:val="000000"/>
                <w:sz w:val="13"/>
                <w:szCs w:val="13"/>
              </w:rPr>
              <w:t>76 </w:t>
            </w:r>
          </w:p>
        </w:tc>
        <w:tc>
          <w:tcPr>
            <w:tcW w:w="0" w:type="auto"/>
            <w:shd w:val="clear" w:color="auto" w:fill="CCEEFF"/>
            <w:tcMar>
              <w:top w:w="40" w:type="dxa"/>
              <w:left w:w="0" w:type="dxa"/>
              <w:bottom w:w="40" w:type="dxa"/>
              <w:right w:w="20" w:type="dxa"/>
            </w:tcMar>
            <w:vAlign w:val="bottom"/>
          </w:tcPr>
          <w:p w14:paraId="5F2D47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8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790"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D4791" w14:textId="77777777" w:rsidR="00E836FB" w:rsidRDefault="00994958">
            <w:pPr>
              <w:jc w:val="right"/>
              <w:textAlignment w:val="bottom"/>
            </w:pPr>
            <w:r>
              <w:rPr>
                <w:rFonts w:ascii="Arial" w:eastAsia="宋体" w:hAnsi="Arial" w:cs="Arial"/>
                <w:color w:val="000000"/>
                <w:sz w:val="13"/>
                <w:szCs w:val="13"/>
              </w:rPr>
              <w:t>416 </w:t>
            </w:r>
          </w:p>
        </w:tc>
        <w:tc>
          <w:tcPr>
            <w:tcW w:w="0" w:type="auto"/>
            <w:shd w:val="clear" w:color="auto" w:fill="CCEEFF"/>
            <w:tcMar>
              <w:top w:w="40" w:type="dxa"/>
              <w:left w:w="0" w:type="dxa"/>
              <w:bottom w:w="40" w:type="dxa"/>
              <w:right w:w="20" w:type="dxa"/>
            </w:tcMar>
            <w:vAlign w:val="bottom"/>
          </w:tcPr>
          <w:p w14:paraId="5F2D4792" w14:textId="77777777" w:rsidR="00E836FB" w:rsidRDefault="00E836FB">
            <w:pPr>
              <w:jc w:val="right"/>
              <w:rPr>
                <w:rFonts w:ascii="宋体"/>
              </w:rPr>
            </w:pPr>
          </w:p>
        </w:tc>
      </w:tr>
      <w:tr w:rsidR="00E836FB" w14:paraId="5F2D479D" w14:textId="77777777">
        <w:tc>
          <w:tcPr>
            <w:tcW w:w="0" w:type="auto"/>
            <w:gridSpan w:val="3"/>
            <w:shd w:val="clear" w:color="auto" w:fill="FFFFFF"/>
            <w:tcMar>
              <w:top w:w="40" w:type="dxa"/>
              <w:left w:w="20" w:type="dxa"/>
              <w:bottom w:w="40" w:type="dxa"/>
              <w:right w:w="20" w:type="dxa"/>
            </w:tcMar>
            <w:vAlign w:val="bottom"/>
          </w:tcPr>
          <w:p w14:paraId="5F2D4794" w14:textId="77777777" w:rsidR="00E836FB" w:rsidRDefault="00994958">
            <w:pPr>
              <w:textAlignment w:val="bottom"/>
            </w:pPr>
            <w:r>
              <w:rPr>
                <w:rFonts w:ascii="Arial" w:eastAsia="宋体" w:hAnsi="Arial" w:cs="Arial"/>
                <w:color w:val="000000"/>
                <w:sz w:val="13"/>
                <w:szCs w:val="13"/>
              </w:rPr>
              <w:t>Investment securities:</w:t>
            </w:r>
          </w:p>
        </w:tc>
        <w:tc>
          <w:tcPr>
            <w:tcW w:w="0" w:type="auto"/>
            <w:shd w:val="clear" w:color="auto" w:fill="auto"/>
            <w:vAlign w:val="bottom"/>
          </w:tcPr>
          <w:p w14:paraId="5F2D4795" w14:textId="77777777" w:rsidR="00E836FB" w:rsidRDefault="00E836FB">
            <w:pPr>
              <w:rPr>
                <w:rFonts w:ascii="宋体"/>
                <w:vanish/>
              </w:rPr>
            </w:pPr>
          </w:p>
        </w:tc>
        <w:tc>
          <w:tcPr>
            <w:tcW w:w="0" w:type="auto"/>
            <w:shd w:val="clear" w:color="auto" w:fill="auto"/>
            <w:vAlign w:val="bottom"/>
          </w:tcPr>
          <w:p w14:paraId="5F2D4796" w14:textId="77777777" w:rsidR="00E836FB" w:rsidRDefault="00E836FB">
            <w:pPr>
              <w:rPr>
                <w:rFonts w:ascii="宋体"/>
                <w:vanish/>
              </w:rPr>
            </w:pPr>
          </w:p>
        </w:tc>
        <w:tc>
          <w:tcPr>
            <w:tcW w:w="0" w:type="auto"/>
            <w:shd w:val="clear" w:color="auto" w:fill="auto"/>
            <w:vAlign w:val="bottom"/>
          </w:tcPr>
          <w:p w14:paraId="5F2D4797" w14:textId="77777777" w:rsidR="00E836FB" w:rsidRDefault="00E836FB">
            <w:pPr>
              <w:rPr>
                <w:rFonts w:ascii="宋体"/>
                <w:vanish/>
              </w:rPr>
            </w:pPr>
          </w:p>
        </w:tc>
        <w:tc>
          <w:tcPr>
            <w:tcW w:w="0" w:type="auto"/>
            <w:gridSpan w:val="3"/>
            <w:shd w:val="clear" w:color="auto" w:fill="FFFFFF"/>
            <w:tcMar>
              <w:top w:w="0" w:type="dxa"/>
              <w:left w:w="20" w:type="dxa"/>
              <w:bottom w:w="0" w:type="dxa"/>
              <w:right w:w="20" w:type="dxa"/>
            </w:tcMar>
            <w:vAlign w:val="bottom"/>
          </w:tcPr>
          <w:p w14:paraId="5F2D479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79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79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79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79C" w14:textId="77777777" w:rsidR="00E836FB" w:rsidRDefault="00E836FB">
            <w:pPr>
              <w:rPr>
                <w:rFonts w:ascii="宋体"/>
              </w:rPr>
            </w:pPr>
          </w:p>
        </w:tc>
      </w:tr>
      <w:tr w:rsidR="00E836FB" w14:paraId="5F2D47AA" w14:textId="77777777">
        <w:tc>
          <w:tcPr>
            <w:tcW w:w="0" w:type="auto"/>
            <w:gridSpan w:val="3"/>
            <w:shd w:val="clear" w:color="auto" w:fill="CCEEFF"/>
            <w:tcMar>
              <w:top w:w="40" w:type="dxa"/>
              <w:left w:w="155" w:type="dxa"/>
              <w:bottom w:w="40" w:type="dxa"/>
              <w:right w:w="20" w:type="dxa"/>
            </w:tcMar>
            <w:vAlign w:val="bottom"/>
          </w:tcPr>
          <w:p w14:paraId="5F2D479E" w14:textId="77777777" w:rsidR="00E836FB" w:rsidRDefault="00994958">
            <w:pPr>
              <w:textAlignment w:val="bottom"/>
            </w:pPr>
            <w:r>
              <w:rPr>
                <w:rFonts w:ascii="Arial" w:eastAsia="宋体" w:hAnsi="Arial" w:cs="Arial"/>
                <w:color w:val="000000"/>
                <w:sz w:val="13"/>
                <w:szCs w:val="13"/>
              </w:rPr>
              <w:t>Investment securities available-for-sale</w:t>
            </w:r>
          </w:p>
        </w:tc>
        <w:tc>
          <w:tcPr>
            <w:tcW w:w="0" w:type="auto"/>
            <w:shd w:val="clear" w:color="auto" w:fill="auto"/>
            <w:vAlign w:val="bottom"/>
          </w:tcPr>
          <w:p w14:paraId="5F2D479F" w14:textId="77777777" w:rsidR="00E836FB" w:rsidRDefault="00E836FB">
            <w:pPr>
              <w:rPr>
                <w:rFonts w:ascii="宋体"/>
                <w:vanish/>
              </w:rPr>
            </w:pPr>
          </w:p>
        </w:tc>
        <w:tc>
          <w:tcPr>
            <w:tcW w:w="0" w:type="auto"/>
            <w:shd w:val="clear" w:color="auto" w:fill="auto"/>
            <w:vAlign w:val="bottom"/>
          </w:tcPr>
          <w:p w14:paraId="5F2D47A0" w14:textId="77777777" w:rsidR="00E836FB" w:rsidRDefault="00E836FB">
            <w:pPr>
              <w:rPr>
                <w:rFonts w:ascii="宋体"/>
                <w:vanish/>
              </w:rPr>
            </w:pPr>
          </w:p>
        </w:tc>
        <w:tc>
          <w:tcPr>
            <w:tcW w:w="0" w:type="auto"/>
            <w:shd w:val="clear" w:color="auto" w:fill="auto"/>
            <w:vAlign w:val="bottom"/>
          </w:tcPr>
          <w:p w14:paraId="5F2D47A1"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7A2" w14:textId="77777777" w:rsidR="00E836FB" w:rsidRDefault="00994958">
            <w:pPr>
              <w:jc w:val="right"/>
              <w:textAlignment w:val="bottom"/>
            </w:pPr>
            <w:r>
              <w:rPr>
                <w:rFonts w:ascii="Arial" w:eastAsia="宋体" w:hAnsi="Arial" w:cs="Arial"/>
                <w:b/>
                <w:bCs/>
                <w:color w:val="000000"/>
                <w:sz w:val="13"/>
                <w:szCs w:val="13"/>
              </w:rPr>
              <w:t>572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7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A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A5" w14:textId="77777777" w:rsidR="00E836FB" w:rsidRDefault="00994958">
            <w:pPr>
              <w:jc w:val="right"/>
              <w:textAlignment w:val="bottom"/>
            </w:pPr>
            <w:r>
              <w:rPr>
                <w:rFonts w:ascii="Arial" w:eastAsia="宋体" w:hAnsi="Arial" w:cs="Arial"/>
                <w:color w:val="000000"/>
                <w:sz w:val="13"/>
                <w:szCs w:val="13"/>
              </w:rPr>
              <w:t>748 </w:t>
            </w:r>
          </w:p>
        </w:tc>
        <w:tc>
          <w:tcPr>
            <w:tcW w:w="0" w:type="auto"/>
            <w:shd w:val="clear" w:color="auto" w:fill="CCEEFF"/>
            <w:tcMar>
              <w:top w:w="40" w:type="dxa"/>
              <w:left w:w="0" w:type="dxa"/>
              <w:bottom w:w="40" w:type="dxa"/>
              <w:right w:w="20" w:type="dxa"/>
            </w:tcMar>
            <w:vAlign w:val="bottom"/>
          </w:tcPr>
          <w:p w14:paraId="5F2D47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A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A8" w14:textId="77777777" w:rsidR="00E836FB" w:rsidRDefault="00994958">
            <w:pPr>
              <w:jc w:val="right"/>
              <w:textAlignment w:val="bottom"/>
            </w:pPr>
            <w:r>
              <w:rPr>
                <w:rFonts w:ascii="Arial" w:eastAsia="宋体" w:hAnsi="Arial" w:cs="Arial"/>
                <w:color w:val="000000"/>
                <w:sz w:val="13"/>
                <w:szCs w:val="13"/>
              </w:rPr>
              <w:t>1,023 </w:t>
            </w:r>
          </w:p>
        </w:tc>
        <w:tc>
          <w:tcPr>
            <w:tcW w:w="0" w:type="auto"/>
            <w:shd w:val="clear" w:color="auto" w:fill="CCEEFF"/>
            <w:tcMar>
              <w:top w:w="40" w:type="dxa"/>
              <w:left w:w="0" w:type="dxa"/>
              <w:bottom w:w="40" w:type="dxa"/>
              <w:right w:w="20" w:type="dxa"/>
            </w:tcMar>
            <w:vAlign w:val="bottom"/>
          </w:tcPr>
          <w:p w14:paraId="5F2D47A9" w14:textId="77777777" w:rsidR="00E836FB" w:rsidRDefault="00E836FB">
            <w:pPr>
              <w:jc w:val="right"/>
              <w:rPr>
                <w:rFonts w:ascii="宋体"/>
              </w:rPr>
            </w:pPr>
          </w:p>
        </w:tc>
      </w:tr>
      <w:tr w:rsidR="00E836FB" w14:paraId="5F2D47B7" w14:textId="77777777">
        <w:tc>
          <w:tcPr>
            <w:tcW w:w="0" w:type="auto"/>
            <w:gridSpan w:val="3"/>
            <w:shd w:val="clear" w:color="auto" w:fill="FFFFFF"/>
            <w:tcMar>
              <w:top w:w="40" w:type="dxa"/>
              <w:left w:w="155" w:type="dxa"/>
              <w:bottom w:w="40" w:type="dxa"/>
              <w:right w:w="20" w:type="dxa"/>
            </w:tcMar>
            <w:vAlign w:val="bottom"/>
          </w:tcPr>
          <w:p w14:paraId="5F2D47AB" w14:textId="77777777" w:rsidR="00E836FB" w:rsidRDefault="00994958">
            <w:pPr>
              <w:textAlignment w:val="bottom"/>
            </w:pPr>
            <w:r>
              <w:rPr>
                <w:rFonts w:ascii="Arial" w:eastAsia="宋体" w:hAnsi="Arial" w:cs="Arial"/>
                <w:color w:val="000000"/>
                <w:sz w:val="13"/>
                <w:szCs w:val="13"/>
              </w:rPr>
              <w:t>Investment securities held-to-maturity</w:t>
            </w:r>
          </w:p>
        </w:tc>
        <w:tc>
          <w:tcPr>
            <w:tcW w:w="0" w:type="auto"/>
            <w:shd w:val="clear" w:color="auto" w:fill="auto"/>
            <w:vAlign w:val="bottom"/>
          </w:tcPr>
          <w:p w14:paraId="5F2D47AC" w14:textId="77777777" w:rsidR="00E836FB" w:rsidRDefault="00E836FB">
            <w:pPr>
              <w:rPr>
                <w:rFonts w:ascii="宋体"/>
                <w:vanish/>
              </w:rPr>
            </w:pPr>
          </w:p>
        </w:tc>
        <w:tc>
          <w:tcPr>
            <w:tcW w:w="0" w:type="auto"/>
            <w:shd w:val="clear" w:color="auto" w:fill="auto"/>
            <w:vAlign w:val="bottom"/>
          </w:tcPr>
          <w:p w14:paraId="5F2D47AD" w14:textId="77777777" w:rsidR="00E836FB" w:rsidRDefault="00E836FB">
            <w:pPr>
              <w:rPr>
                <w:rFonts w:ascii="宋体"/>
                <w:vanish/>
              </w:rPr>
            </w:pPr>
          </w:p>
        </w:tc>
        <w:tc>
          <w:tcPr>
            <w:tcW w:w="0" w:type="auto"/>
            <w:shd w:val="clear" w:color="auto" w:fill="auto"/>
            <w:vAlign w:val="bottom"/>
          </w:tcPr>
          <w:p w14:paraId="5F2D47AE"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7AF" w14:textId="77777777" w:rsidR="00E836FB" w:rsidRDefault="00994958">
            <w:pPr>
              <w:jc w:val="right"/>
              <w:textAlignment w:val="bottom"/>
            </w:pPr>
            <w:r>
              <w:rPr>
                <w:rFonts w:ascii="Arial" w:eastAsia="宋体" w:hAnsi="Arial" w:cs="Arial"/>
                <w:b/>
                <w:bCs/>
                <w:color w:val="000000"/>
                <w:sz w:val="13"/>
                <w:szCs w:val="13"/>
              </w:rPr>
              <w:t>665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7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B2" w14:textId="77777777" w:rsidR="00E836FB" w:rsidRDefault="00994958">
            <w:pPr>
              <w:jc w:val="right"/>
              <w:textAlignment w:val="bottom"/>
            </w:pPr>
            <w:r>
              <w:rPr>
                <w:rFonts w:ascii="Arial" w:eastAsia="宋体" w:hAnsi="Arial" w:cs="Arial"/>
                <w:color w:val="000000"/>
                <w:sz w:val="13"/>
                <w:szCs w:val="13"/>
              </w:rPr>
              <w:t>829 </w:t>
            </w:r>
          </w:p>
        </w:tc>
        <w:tc>
          <w:tcPr>
            <w:tcW w:w="0" w:type="auto"/>
            <w:shd w:val="clear" w:color="auto" w:fill="FFFFFF"/>
            <w:tcMar>
              <w:top w:w="40" w:type="dxa"/>
              <w:left w:w="0" w:type="dxa"/>
              <w:bottom w:w="40" w:type="dxa"/>
              <w:right w:w="20" w:type="dxa"/>
            </w:tcMar>
            <w:vAlign w:val="bottom"/>
          </w:tcPr>
          <w:p w14:paraId="5F2D47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B5" w14:textId="77777777" w:rsidR="00E836FB" w:rsidRDefault="00994958">
            <w:pPr>
              <w:jc w:val="right"/>
              <w:textAlignment w:val="bottom"/>
            </w:pPr>
            <w:r>
              <w:rPr>
                <w:rFonts w:ascii="Arial" w:eastAsia="宋体" w:hAnsi="Arial" w:cs="Arial"/>
                <w:color w:val="000000"/>
                <w:sz w:val="13"/>
                <w:szCs w:val="13"/>
              </w:rPr>
              <w:t>974 </w:t>
            </w:r>
          </w:p>
        </w:tc>
        <w:tc>
          <w:tcPr>
            <w:tcW w:w="0" w:type="auto"/>
            <w:shd w:val="clear" w:color="auto" w:fill="FFFFFF"/>
            <w:tcMar>
              <w:top w:w="40" w:type="dxa"/>
              <w:left w:w="0" w:type="dxa"/>
              <w:bottom w:w="40" w:type="dxa"/>
              <w:right w:w="20" w:type="dxa"/>
            </w:tcMar>
            <w:vAlign w:val="bottom"/>
          </w:tcPr>
          <w:p w14:paraId="5F2D47B6" w14:textId="77777777" w:rsidR="00E836FB" w:rsidRDefault="00E836FB">
            <w:pPr>
              <w:jc w:val="right"/>
              <w:rPr>
                <w:rFonts w:ascii="宋体"/>
              </w:rPr>
            </w:pPr>
          </w:p>
        </w:tc>
      </w:tr>
      <w:tr w:rsidR="00E836FB" w14:paraId="5F2D47C1" w14:textId="77777777">
        <w:trPr>
          <w:hidden/>
        </w:trPr>
        <w:tc>
          <w:tcPr>
            <w:tcW w:w="0" w:type="auto"/>
            <w:gridSpan w:val="3"/>
            <w:shd w:val="clear" w:color="auto" w:fill="auto"/>
            <w:vAlign w:val="bottom"/>
          </w:tcPr>
          <w:p w14:paraId="5F2D47B8" w14:textId="77777777" w:rsidR="00E836FB" w:rsidRDefault="00E836FB">
            <w:pPr>
              <w:rPr>
                <w:rFonts w:ascii="宋体"/>
                <w:vanish/>
              </w:rPr>
            </w:pPr>
          </w:p>
        </w:tc>
        <w:tc>
          <w:tcPr>
            <w:tcW w:w="0" w:type="auto"/>
            <w:shd w:val="clear" w:color="auto" w:fill="auto"/>
            <w:vAlign w:val="bottom"/>
          </w:tcPr>
          <w:p w14:paraId="5F2D47B9" w14:textId="77777777" w:rsidR="00E836FB" w:rsidRDefault="00E836FB">
            <w:pPr>
              <w:rPr>
                <w:rFonts w:ascii="宋体"/>
                <w:vanish/>
              </w:rPr>
            </w:pPr>
          </w:p>
        </w:tc>
        <w:tc>
          <w:tcPr>
            <w:tcW w:w="0" w:type="auto"/>
            <w:shd w:val="clear" w:color="auto" w:fill="auto"/>
            <w:vAlign w:val="bottom"/>
          </w:tcPr>
          <w:p w14:paraId="5F2D47BA" w14:textId="77777777" w:rsidR="00E836FB" w:rsidRDefault="00E836FB">
            <w:pPr>
              <w:rPr>
                <w:rFonts w:ascii="宋体"/>
                <w:vanish/>
              </w:rPr>
            </w:pPr>
          </w:p>
        </w:tc>
        <w:tc>
          <w:tcPr>
            <w:tcW w:w="0" w:type="auto"/>
            <w:shd w:val="clear" w:color="auto" w:fill="auto"/>
            <w:vAlign w:val="bottom"/>
          </w:tcPr>
          <w:p w14:paraId="5F2D47BB" w14:textId="77777777" w:rsidR="00E836FB" w:rsidRDefault="00E836FB">
            <w:pPr>
              <w:rPr>
                <w:rFonts w:ascii="宋体"/>
                <w:vanish/>
              </w:rPr>
            </w:pPr>
          </w:p>
        </w:tc>
        <w:tc>
          <w:tcPr>
            <w:tcW w:w="0" w:type="auto"/>
            <w:gridSpan w:val="3"/>
            <w:shd w:val="clear" w:color="auto" w:fill="auto"/>
            <w:vAlign w:val="bottom"/>
          </w:tcPr>
          <w:p w14:paraId="5F2D47BC" w14:textId="77777777" w:rsidR="00E836FB" w:rsidRDefault="00E836FB">
            <w:pPr>
              <w:rPr>
                <w:rFonts w:ascii="宋体"/>
                <w:vanish/>
              </w:rPr>
            </w:pPr>
          </w:p>
        </w:tc>
        <w:tc>
          <w:tcPr>
            <w:tcW w:w="0" w:type="auto"/>
            <w:gridSpan w:val="3"/>
            <w:shd w:val="clear" w:color="auto" w:fill="auto"/>
            <w:vAlign w:val="bottom"/>
          </w:tcPr>
          <w:p w14:paraId="5F2D47BD" w14:textId="77777777" w:rsidR="00E836FB" w:rsidRDefault="00E836FB">
            <w:pPr>
              <w:rPr>
                <w:rFonts w:ascii="宋体"/>
                <w:vanish/>
              </w:rPr>
            </w:pPr>
          </w:p>
        </w:tc>
        <w:tc>
          <w:tcPr>
            <w:tcW w:w="0" w:type="auto"/>
            <w:gridSpan w:val="3"/>
            <w:shd w:val="clear" w:color="auto" w:fill="auto"/>
            <w:vAlign w:val="bottom"/>
          </w:tcPr>
          <w:p w14:paraId="5F2D47BE" w14:textId="77777777" w:rsidR="00E836FB" w:rsidRDefault="00E836FB">
            <w:pPr>
              <w:rPr>
                <w:rFonts w:ascii="宋体"/>
                <w:vanish/>
              </w:rPr>
            </w:pPr>
          </w:p>
        </w:tc>
        <w:tc>
          <w:tcPr>
            <w:tcW w:w="0" w:type="auto"/>
            <w:gridSpan w:val="3"/>
            <w:shd w:val="clear" w:color="auto" w:fill="auto"/>
            <w:vAlign w:val="bottom"/>
          </w:tcPr>
          <w:p w14:paraId="5F2D47BF" w14:textId="77777777" w:rsidR="00E836FB" w:rsidRDefault="00E836FB">
            <w:pPr>
              <w:rPr>
                <w:rFonts w:ascii="宋体"/>
                <w:vanish/>
              </w:rPr>
            </w:pPr>
          </w:p>
        </w:tc>
        <w:tc>
          <w:tcPr>
            <w:tcW w:w="0" w:type="auto"/>
            <w:gridSpan w:val="3"/>
            <w:shd w:val="clear" w:color="auto" w:fill="auto"/>
            <w:vAlign w:val="bottom"/>
          </w:tcPr>
          <w:p w14:paraId="5F2D47C0" w14:textId="77777777" w:rsidR="00E836FB" w:rsidRDefault="00E836FB">
            <w:pPr>
              <w:rPr>
                <w:rFonts w:ascii="宋体"/>
                <w:vanish/>
              </w:rPr>
            </w:pPr>
          </w:p>
        </w:tc>
      </w:tr>
      <w:tr w:rsidR="00E836FB" w14:paraId="5F2D47CE" w14:textId="77777777">
        <w:tc>
          <w:tcPr>
            <w:tcW w:w="0" w:type="auto"/>
            <w:gridSpan w:val="3"/>
            <w:shd w:val="clear" w:color="auto" w:fill="CCEEFF"/>
            <w:tcMar>
              <w:top w:w="40" w:type="dxa"/>
              <w:left w:w="155" w:type="dxa"/>
              <w:bottom w:w="40" w:type="dxa"/>
              <w:right w:w="20" w:type="dxa"/>
            </w:tcMar>
            <w:vAlign w:val="bottom"/>
          </w:tcPr>
          <w:p w14:paraId="5F2D47C2" w14:textId="77777777" w:rsidR="00E836FB" w:rsidRDefault="00994958">
            <w:pPr>
              <w:textAlignment w:val="bottom"/>
            </w:pPr>
            <w:r>
              <w:rPr>
                <w:rFonts w:ascii="Arial" w:eastAsia="宋体" w:hAnsi="Arial" w:cs="Arial"/>
                <w:color w:val="000000"/>
                <w:sz w:val="13"/>
                <w:szCs w:val="13"/>
              </w:rPr>
              <w:t xml:space="preserve">Investment securities purchased under money </w:t>
            </w:r>
            <w:r>
              <w:rPr>
                <w:rFonts w:ascii="Arial" w:eastAsia="宋体" w:hAnsi="Arial" w:cs="Arial"/>
                <w:color w:val="000000"/>
                <w:sz w:val="13"/>
                <w:szCs w:val="13"/>
              </w:rPr>
              <w:t>market liquidity facility</w:t>
            </w:r>
          </w:p>
        </w:tc>
        <w:tc>
          <w:tcPr>
            <w:tcW w:w="0" w:type="auto"/>
            <w:shd w:val="clear" w:color="auto" w:fill="auto"/>
            <w:vAlign w:val="bottom"/>
          </w:tcPr>
          <w:p w14:paraId="5F2D47C3" w14:textId="77777777" w:rsidR="00E836FB" w:rsidRDefault="00E836FB">
            <w:pPr>
              <w:rPr>
                <w:rFonts w:ascii="宋体"/>
                <w:vanish/>
              </w:rPr>
            </w:pPr>
          </w:p>
        </w:tc>
        <w:tc>
          <w:tcPr>
            <w:tcW w:w="0" w:type="auto"/>
            <w:shd w:val="clear" w:color="auto" w:fill="auto"/>
            <w:vAlign w:val="bottom"/>
          </w:tcPr>
          <w:p w14:paraId="5F2D47C4" w14:textId="77777777" w:rsidR="00E836FB" w:rsidRDefault="00E836FB">
            <w:pPr>
              <w:rPr>
                <w:rFonts w:ascii="宋体"/>
                <w:vanish/>
              </w:rPr>
            </w:pPr>
          </w:p>
        </w:tc>
        <w:tc>
          <w:tcPr>
            <w:tcW w:w="0" w:type="auto"/>
            <w:shd w:val="clear" w:color="auto" w:fill="auto"/>
            <w:vAlign w:val="bottom"/>
          </w:tcPr>
          <w:p w14:paraId="5F2D47C5"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7C6" w14:textId="77777777" w:rsidR="00E836FB" w:rsidRDefault="00994958">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7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C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C9" w14:textId="77777777" w:rsidR="00E836FB" w:rsidRDefault="00994958">
            <w:pPr>
              <w:jc w:val="right"/>
              <w:textAlignment w:val="bottom"/>
            </w:pPr>
            <w:r>
              <w:rPr>
                <w:rFonts w:ascii="Arial" w:eastAsia="宋体" w:hAnsi="Arial" w:cs="Arial"/>
                <w:color w:val="000000"/>
                <w:sz w:val="13"/>
                <w:szCs w:val="13"/>
              </w:rPr>
              <w:t>117 </w:t>
            </w:r>
          </w:p>
        </w:tc>
        <w:tc>
          <w:tcPr>
            <w:tcW w:w="0" w:type="auto"/>
            <w:shd w:val="clear" w:color="auto" w:fill="CCEEFF"/>
            <w:tcMar>
              <w:top w:w="40" w:type="dxa"/>
              <w:left w:w="0" w:type="dxa"/>
              <w:bottom w:w="40" w:type="dxa"/>
              <w:right w:w="20" w:type="dxa"/>
            </w:tcMar>
            <w:vAlign w:val="bottom"/>
          </w:tcPr>
          <w:p w14:paraId="5F2D47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CC"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7CD" w14:textId="77777777" w:rsidR="00E836FB" w:rsidRDefault="00E836FB">
            <w:pPr>
              <w:jc w:val="right"/>
              <w:rPr>
                <w:rFonts w:ascii="宋体"/>
              </w:rPr>
            </w:pPr>
          </w:p>
        </w:tc>
      </w:tr>
      <w:tr w:rsidR="00E836FB" w14:paraId="5F2D47DB" w14:textId="77777777">
        <w:tc>
          <w:tcPr>
            <w:tcW w:w="0" w:type="auto"/>
            <w:gridSpan w:val="3"/>
            <w:shd w:val="clear" w:color="auto" w:fill="FFFFFF"/>
            <w:tcMar>
              <w:top w:w="40" w:type="dxa"/>
              <w:left w:w="20" w:type="dxa"/>
              <w:bottom w:w="40" w:type="dxa"/>
              <w:right w:w="20" w:type="dxa"/>
            </w:tcMar>
            <w:vAlign w:val="bottom"/>
          </w:tcPr>
          <w:p w14:paraId="5F2D47CF" w14:textId="77777777" w:rsidR="00E836FB" w:rsidRDefault="00994958">
            <w:pPr>
              <w:textAlignment w:val="bottom"/>
            </w:pPr>
            <w:r>
              <w:rPr>
                <w:rFonts w:ascii="Arial" w:eastAsia="宋体" w:hAnsi="Arial" w:cs="Arial"/>
                <w:color w:val="000000"/>
                <w:sz w:val="13"/>
                <w:szCs w:val="13"/>
              </w:rPr>
              <w:t>Total Investment securities</w:t>
            </w:r>
          </w:p>
        </w:tc>
        <w:tc>
          <w:tcPr>
            <w:tcW w:w="0" w:type="auto"/>
            <w:shd w:val="clear" w:color="auto" w:fill="auto"/>
            <w:vAlign w:val="bottom"/>
          </w:tcPr>
          <w:p w14:paraId="5F2D47D0" w14:textId="77777777" w:rsidR="00E836FB" w:rsidRDefault="00E836FB">
            <w:pPr>
              <w:rPr>
                <w:rFonts w:ascii="宋体"/>
                <w:vanish/>
              </w:rPr>
            </w:pPr>
          </w:p>
        </w:tc>
        <w:tc>
          <w:tcPr>
            <w:tcW w:w="0" w:type="auto"/>
            <w:shd w:val="clear" w:color="auto" w:fill="auto"/>
            <w:vAlign w:val="bottom"/>
          </w:tcPr>
          <w:p w14:paraId="5F2D47D1" w14:textId="77777777" w:rsidR="00E836FB" w:rsidRDefault="00E836FB">
            <w:pPr>
              <w:rPr>
                <w:rFonts w:ascii="宋体"/>
                <w:vanish/>
              </w:rPr>
            </w:pPr>
          </w:p>
        </w:tc>
        <w:tc>
          <w:tcPr>
            <w:tcW w:w="0" w:type="auto"/>
            <w:shd w:val="clear" w:color="auto" w:fill="auto"/>
            <w:vAlign w:val="bottom"/>
          </w:tcPr>
          <w:p w14:paraId="5F2D47D2"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7D3" w14:textId="77777777" w:rsidR="00E836FB" w:rsidRDefault="00994958">
            <w:pPr>
              <w:jc w:val="right"/>
              <w:textAlignment w:val="bottom"/>
            </w:pPr>
            <w:r>
              <w:rPr>
                <w:rFonts w:ascii="Arial" w:eastAsia="宋体" w:hAnsi="Arial" w:cs="Arial"/>
                <w:b/>
                <w:bCs/>
                <w:color w:val="000000"/>
                <w:sz w:val="13"/>
                <w:szCs w:val="13"/>
              </w:rPr>
              <w:t>1,241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7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D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7D6" w14:textId="77777777" w:rsidR="00E836FB" w:rsidRDefault="00994958">
            <w:pPr>
              <w:jc w:val="right"/>
              <w:textAlignment w:val="bottom"/>
            </w:pPr>
            <w:r>
              <w:rPr>
                <w:rFonts w:ascii="Arial" w:eastAsia="宋体" w:hAnsi="Arial" w:cs="Arial"/>
                <w:color w:val="000000"/>
                <w:sz w:val="13"/>
                <w:szCs w:val="13"/>
              </w:rPr>
              <w:t>1,694 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7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D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7D9" w14:textId="77777777" w:rsidR="00E836FB" w:rsidRDefault="00994958">
            <w:pPr>
              <w:jc w:val="right"/>
              <w:textAlignment w:val="bottom"/>
            </w:pPr>
            <w:r>
              <w:rPr>
                <w:rFonts w:ascii="Arial" w:eastAsia="宋体" w:hAnsi="Arial" w:cs="Arial"/>
                <w:color w:val="000000"/>
                <w:sz w:val="13"/>
                <w:szCs w:val="13"/>
              </w:rPr>
              <w:t>1,997 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7DA" w14:textId="77777777" w:rsidR="00E836FB" w:rsidRDefault="00E836FB">
            <w:pPr>
              <w:jc w:val="right"/>
              <w:rPr>
                <w:rFonts w:ascii="宋体"/>
              </w:rPr>
            </w:pPr>
          </w:p>
        </w:tc>
      </w:tr>
      <w:tr w:rsidR="00E836FB" w14:paraId="5F2D47E8" w14:textId="77777777">
        <w:tc>
          <w:tcPr>
            <w:tcW w:w="0" w:type="auto"/>
            <w:gridSpan w:val="3"/>
            <w:shd w:val="clear" w:color="auto" w:fill="CCEEFF"/>
            <w:tcMar>
              <w:top w:w="40" w:type="dxa"/>
              <w:left w:w="20" w:type="dxa"/>
              <w:bottom w:w="40" w:type="dxa"/>
              <w:right w:w="20" w:type="dxa"/>
            </w:tcMar>
            <w:vAlign w:val="bottom"/>
          </w:tcPr>
          <w:p w14:paraId="5F2D47DC" w14:textId="77777777" w:rsidR="00E836FB" w:rsidRDefault="00994958">
            <w:pPr>
              <w:textAlignment w:val="bottom"/>
            </w:pPr>
            <w:r>
              <w:rPr>
                <w:rFonts w:ascii="Arial" w:eastAsia="宋体" w:hAnsi="Arial" w:cs="Arial"/>
                <w:color w:val="000000"/>
                <w:sz w:val="13"/>
                <w:szCs w:val="13"/>
              </w:rPr>
              <w:t>Securities purchased under resale agreements</w:t>
            </w:r>
          </w:p>
        </w:tc>
        <w:tc>
          <w:tcPr>
            <w:tcW w:w="0" w:type="auto"/>
            <w:shd w:val="clear" w:color="auto" w:fill="auto"/>
            <w:vAlign w:val="bottom"/>
          </w:tcPr>
          <w:p w14:paraId="5F2D47DD" w14:textId="77777777" w:rsidR="00E836FB" w:rsidRDefault="00E836FB">
            <w:pPr>
              <w:rPr>
                <w:rFonts w:ascii="宋体"/>
                <w:vanish/>
              </w:rPr>
            </w:pPr>
          </w:p>
        </w:tc>
        <w:tc>
          <w:tcPr>
            <w:tcW w:w="0" w:type="auto"/>
            <w:shd w:val="clear" w:color="auto" w:fill="auto"/>
            <w:vAlign w:val="bottom"/>
          </w:tcPr>
          <w:p w14:paraId="5F2D47DE" w14:textId="77777777" w:rsidR="00E836FB" w:rsidRDefault="00E836FB">
            <w:pPr>
              <w:rPr>
                <w:rFonts w:ascii="宋体"/>
                <w:vanish/>
              </w:rPr>
            </w:pPr>
          </w:p>
        </w:tc>
        <w:tc>
          <w:tcPr>
            <w:tcW w:w="0" w:type="auto"/>
            <w:shd w:val="clear" w:color="auto" w:fill="auto"/>
            <w:vAlign w:val="bottom"/>
          </w:tcPr>
          <w:p w14:paraId="5F2D47DF"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7E0" w14:textId="77777777" w:rsidR="00E836FB" w:rsidRDefault="00994958">
            <w:pPr>
              <w:jc w:val="right"/>
              <w:textAlignment w:val="bottom"/>
            </w:pPr>
            <w:r>
              <w:rPr>
                <w:rFonts w:ascii="Arial" w:eastAsia="宋体" w:hAnsi="Arial" w:cs="Arial"/>
                <w:b/>
                <w:bCs/>
                <w:color w:val="000000"/>
                <w:sz w:val="13"/>
                <w:szCs w:val="13"/>
              </w:rPr>
              <w:t>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7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E3" w14:textId="77777777" w:rsidR="00E836FB" w:rsidRDefault="00994958">
            <w:pPr>
              <w:jc w:val="right"/>
              <w:textAlignment w:val="bottom"/>
            </w:pPr>
            <w:r>
              <w:rPr>
                <w:rFonts w:ascii="Arial" w:eastAsia="宋体" w:hAnsi="Arial" w:cs="Arial"/>
                <w:color w:val="000000"/>
                <w:sz w:val="13"/>
                <w:szCs w:val="13"/>
              </w:rPr>
              <w:t>126 </w:t>
            </w:r>
          </w:p>
        </w:tc>
        <w:tc>
          <w:tcPr>
            <w:tcW w:w="0" w:type="auto"/>
            <w:shd w:val="clear" w:color="auto" w:fill="CCEEFF"/>
            <w:tcMar>
              <w:top w:w="40" w:type="dxa"/>
              <w:left w:w="0" w:type="dxa"/>
              <w:bottom w:w="40" w:type="dxa"/>
              <w:right w:w="20" w:type="dxa"/>
            </w:tcMar>
            <w:vAlign w:val="bottom"/>
          </w:tcPr>
          <w:p w14:paraId="5F2D47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E6" w14:textId="77777777" w:rsidR="00E836FB" w:rsidRDefault="00994958">
            <w:pPr>
              <w:jc w:val="right"/>
              <w:textAlignment w:val="bottom"/>
            </w:pPr>
            <w:r>
              <w:rPr>
                <w:rFonts w:ascii="Arial" w:eastAsia="宋体" w:hAnsi="Arial" w:cs="Arial"/>
                <w:color w:val="000000"/>
                <w:sz w:val="13"/>
                <w:szCs w:val="13"/>
              </w:rPr>
              <w:t>364 </w:t>
            </w:r>
          </w:p>
        </w:tc>
        <w:tc>
          <w:tcPr>
            <w:tcW w:w="0" w:type="auto"/>
            <w:shd w:val="clear" w:color="auto" w:fill="CCEEFF"/>
            <w:tcMar>
              <w:top w:w="40" w:type="dxa"/>
              <w:left w:w="0" w:type="dxa"/>
              <w:bottom w:w="40" w:type="dxa"/>
              <w:right w:w="20" w:type="dxa"/>
            </w:tcMar>
            <w:vAlign w:val="bottom"/>
          </w:tcPr>
          <w:p w14:paraId="5F2D47E7" w14:textId="77777777" w:rsidR="00E836FB" w:rsidRDefault="00E836FB">
            <w:pPr>
              <w:jc w:val="right"/>
              <w:rPr>
                <w:rFonts w:ascii="宋体"/>
              </w:rPr>
            </w:pPr>
          </w:p>
        </w:tc>
      </w:tr>
      <w:tr w:rsidR="00E836FB" w14:paraId="5F2D47F5" w14:textId="77777777">
        <w:tc>
          <w:tcPr>
            <w:tcW w:w="0" w:type="auto"/>
            <w:gridSpan w:val="3"/>
            <w:shd w:val="clear" w:color="auto" w:fill="FFFFFF"/>
            <w:tcMar>
              <w:top w:w="40" w:type="dxa"/>
              <w:left w:w="20" w:type="dxa"/>
              <w:bottom w:w="40" w:type="dxa"/>
              <w:right w:w="20" w:type="dxa"/>
            </w:tcMar>
            <w:vAlign w:val="bottom"/>
          </w:tcPr>
          <w:p w14:paraId="5F2D47E9" w14:textId="77777777" w:rsidR="00E836FB" w:rsidRDefault="00994958">
            <w:pPr>
              <w:textAlignment w:val="bottom"/>
            </w:pPr>
            <w:r>
              <w:rPr>
                <w:rFonts w:ascii="Arial" w:eastAsia="宋体" w:hAnsi="Arial" w:cs="Arial"/>
                <w:color w:val="000000"/>
                <w:sz w:val="13"/>
                <w:szCs w:val="13"/>
              </w:rPr>
              <w:t xml:space="preserve">Loans </w:t>
            </w:r>
          </w:p>
        </w:tc>
        <w:tc>
          <w:tcPr>
            <w:tcW w:w="0" w:type="auto"/>
            <w:shd w:val="clear" w:color="auto" w:fill="auto"/>
            <w:vAlign w:val="bottom"/>
          </w:tcPr>
          <w:p w14:paraId="5F2D47EA" w14:textId="77777777" w:rsidR="00E836FB" w:rsidRDefault="00E836FB">
            <w:pPr>
              <w:rPr>
                <w:rFonts w:ascii="宋体"/>
                <w:vanish/>
              </w:rPr>
            </w:pPr>
          </w:p>
        </w:tc>
        <w:tc>
          <w:tcPr>
            <w:tcW w:w="0" w:type="auto"/>
            <w:shd w:val="clear" w:color="auto" w:fill="auto"/>
            <w:vAlign w:val="bottom"/>
          </w:tcPr>
          <w:p w14:paraId="5F2D47EB" w14:textId="77777777" w:rsidR="00E836FB" w:rsidRDefault="00E836FB">
            <w:pPr>
              <w:rPr>
                <w:rFonts w:ascii="宋体"/>
                <w:vanish/>
              </w:rPr>
            </w:pPr>
          </w:p>
        </w:tc>
        <w:tc>
          <w:tcPr>
            <w:tcW w:w="0" w:type="auto"/>
            <w:shd w:val="clear" w:color="auto" w:fill="auto"/>
            <w:vAlign w:val="bottom"/>
          </w:tcPr>
          <w:p w14:paraId="5F2D47EC"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7ED" w14:textId="77777777" w:rsidR="00E836FB" w:rsidRDefault="00994958">
            <w:pPr>
              <w:jc w:val="right"/>
              <w:textAlignment w:val="bottom"/>
            </w:pPr>
            <w:r>
              <w:rPr>
                <w:rFonts w:ascii="Arial" w:eastAsia="宋体" w:hAnsi="Arial" w:cs="Arial"/>
                <w:b/>
                <w:bCs/>
                <w:color w:val="000000"/>
                <w:sz w:val="13"/>
                <w:szCs w:val="13"/>
              </w:rPr>
              <w:t>638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7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F0" w14:textId="77777777" w:rsidR="00E836FB" w:rsidRDefault="00994958">
            <w:pPr>
              <w:jc w:val="right"/>
              <w:textAlignment w:val="bottom"/>
            </w:pPr>
            <w:r>
              <w:rPr>
                <w:rFonts w:ascii="Arial" w:eastAsia="宋体" w:hAnsi="Arial" w:cs="Arial"/>
                <w:color w:val="000000"/>
                <w:sz w:val="13"/>
                <w:szCs w:val="13"/>
              </w:rPr>
              <w:t>624 </w:t>
            </w:r>
          </w:p>
        </w:tc>
        <w:tc>
          <w:tcPr>
            <w:tcW w:w="0" w:type="auto"/>
            <w:shd w:val="clear" w:color="auto" w:fill="FFFFFF"/>
            <w:tcMar>
              <w:top w:w="40" w:type="dxa"/>
              <w:left w:w="0" w:type="dxa"/>
              <w:bottom w:w="40" w:type="dxa"/>
              <w:right w:w="20" w:type="dxa"/>
            </w:tcMar>
            <w:vAlign w:val="bottom"/>
          </w:tcPr>
          <w:p w14:paraId="5F2D47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7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7F3" w14:textId="77777777" w:rsidR="00E836FB" w:rsidRDefault="00994958">
            <w:pPr>
              <w:jc w:val="right"/>
              <w:textAlignment w:val="bottom"/>
            </w:pPr>
            <w:r>
              <w:rPr>
                <w:rFonts w:ascii="Arial" w:eastAsia="宋体" w:hAnsi="Arial" w:cs="Arial"/>
                <w:color w:val="000000"/>
                <w:sz w:val="13"/>
                <w:szCs w:val="13"/>
              </w:rPr>
              <w:t>769 </w:t>
            </w:r>
          </w:p>
        </w:tc>
        <w:tc>
          <w:tcPr>
            <w:tcW w:w="0" w:type="auto"/>
            <w:shd w:val="clear" w:color="auto" w:fill="FFFFFF"/>
            <w:tcMar>
              <w:top w:w="40" w:type="dxa"/>
              <w:left w:w="0" w:type="dxa"/>
              <w:bottom w:w="40" w:type="dxa"/>
              <w:right w:w="20" w:type="dxa"/>
            </w:tcMar>
            <w:vAlign w:val="bottom"/>
          </w:tcPr>
          <w:p w14:paraId="5F2D47F4" w14:textId="77777777" w:rsidR="00E836FB" w:rsidRDefault="00E836FB">
            <w:pPr>
              <w:jc w:val="right"/>
              <w:rPr>
                <w:rFonts w:ascii="宋体"/>
              </w:rPr>
            </w:pPr>
          </w:p>
        </w:tc>
      </w:tr>
      <w:tr w:rsidR="00E836FB" w14:paraId="5F2D4802" w14:textId="77777777">
        <w:tc>
          <w:tcPr>
            <w:tcW w:w="0" w:type="auto"/>
            <w:gridSpan w:val="3"/>
            <w:shd w:val="clear" w:color="auto" w:fill="CCEEFF"/>
            <w:tcMar>
              <w:top w:w="40" w:type="dxa"/>
              <w:left w:w="20" w:type="dxa"/>
              <w:bottom w:w="40" w:type="dxa"/>
              <w:right w:w="20" w:type="dxa"/>
            </w:tcMar>
            <w:vAlign w:val="bottom"/>
          </w:tcPr>
          <w:p w14:paraId="5F2D47F6" w14:textId="77777777" w:rsidR="00E836FB" w:rsidRDefault="00994958">
            <w:pPr>
              <w:textAlignment w:val="bottom"/>
            </w:pPr>
            <w:r>
              <w:rPr>
                <w:rFonts w:ascii="Arial" w:eastAsia="宋体" w:hAnsi="Arial" w:cs="Arial"/>
                <w:color w:val="000000"/>
                <w:sz w:val="13"/>
                <w:szCs w:val="13"/>
              </w:rPr>
              <w:t>Other interest-earning assets</w:t>
            </w:r>
          </w:p>
        </w:tc>
        <w:tc>
          <w:tcPr>
            <w:tcW w:w="0" w:type="auto"/>
            <w:shd w:val="clear" w:color="auto" w:fill="auto"/>
            <w:vAlign w:val="bottom"/>
          </w:tcPr>
          <w:p w14:paraId="5F2D47F7" w14:textId="77777777" w:rsidR="00E836FB" w:rsidRDefault="00E836FB">
            <w:pPr>
              <w:rPr>
                <w:rFonts w:ascii="宋体"/>
                <w:vanish/>
              </w:rPr>
            </w:pPr>
          </w:p>
        </w:tc>
        <w:tc>
          <w:tcPr>
            <w:tcW w:w="0" w:type="auto"/>
            <w:shd w:val="clear" w:color="auto" w:fill="auto"/>
            <w:vAlign w:val="bottom"/>
          </w:tcPr>
          <w:p w14:paraId="5F2D47F8" w14:textId="77777777" w:rsidR="00E836FB" w:rsidRDefault="00E836FB">
            <w:pPr>
              <w:rPr>
                <w:rFonts w:ascii="宋体"/>
                <w:vanish/>
              </w:rPr>
            </w:pPr>
          </w:p>
        </w:tc>
        <w:tc>
          <w:tcPr>
            <w:tcW w:w="0" w:type="auto"/>
            <w:shd w:val="clear" w:color="auto" w:fill="auto"/>
            <w:vAlign w:val="bottom"/>
          </w:tcPr>
          <w:p w14:paraId="5F2D47F9"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7FA" w14:textId="77777777" w:rsidR="00E836FB" w:rsidRDefault="00994958">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7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F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7FD" w14:textId="77777777" w:rsidR="00E836FB" w:rsidRDefault="00994958">
            <w:pPr>
              <w:jc w:val="right"/>
              <w:textAlignment w:val="bottom"/>
            </w:pPr>
            <w:r>
              <w:rPr>
                <w:rFonts w:ascii="Arial" w:eastAsia="宋体" w:hAnsi="Arial" w:cs="Arial"/>
                <w:color w:val="000000"/>
                <w:sz w:val="13"/>
                <w:szCs w:val="13"/>
              </w:rPr>
              <w:t>55 </w:t>
            </w:r>
          </w:p>
        </w:tc>
        <w:tc>
          <w:tcPr>
            <w:tcW w:w="0" w:type="auto"/>
            <w:shd w:val="clear" w:color="auto" w:fill="CCEEFF"/>
            <w:tcMar>
              <w:top w:w="40" w:type="dxa"/>
              <w:left w:w="0" w:type="dxa"/>
              <w:bottom w:w="40" w:type="dxa"/>
              <w:right w:w="20" w:type="dxa"/>
            </w:tcMar>
            <w:vAlign w:val="bottom"/>
          </w:tcPr>
          <w:p w14:paraId="5F2D47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7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00" w14:textId="77777777" w:rsidR="00E836FB" w:rsidRDefault="00994958">
            <w:pPr>
              <w:jc w:val="right"/>
              <w:textAlignment w:val="bottom"/>
            </w:pPr>
            <w:r>
              <w:rPr>
                <w:rFonts w:ascii="Arial" w:eastAsia="宋体" w:hAnsi="Arial" w:cs="Arial"/>
                <w:color w:val="000000"/>
                <w:sz w:val="13"/>
                <w:szCs w:val="13"/>
              </w:rPr>
              <w:t>395 </w:t>
            </w:r>
          </w:p>
        </w:tc>
        <w:tc>
          <w:tcPr>
            <w:tcW w:w="0" w:type="auto"/>
            <w:shd w:val="clear" w:color="auto" w:fill="CCEEFF"/>
            <w:tcMar>
              <w:top w:w="40" w:type="dxa"/>
              <w:left w:w="0" w:type="dxa"/>
              <w:bottom w:w="40" w:type="dxa"/>
              <w:right w:w="20" w:type="dxa"/>
            </w:tcMar>
            <w:vAlign w:val="bottom"/>
          </w:tcPr>
          <w:p w14:paraId="5F2D4801" w14:textId="77777777" w:rsidR="00E836FB" w:rsidRDefault="00E836FB">
            <w:pPr>
              <w:jc w:val="right"/>
              <w:rPr>
                <w:rFonts w:ascii="宋体"/>
              </w:rPr>
            </w:pPr>
          </w:p>
        </w:tc>
      </w:tr>
      <w:tr w:rsidR="00E836FB" w14:paraId="5F2D480F" w14:textId="77777777">
        <w:tc>
          <w:tcPr>
            <w:tcW w:w="0" w:type="auto"/>
            <w:gridSpan w:val="3"/>
            <w:shd w:val="clear" w:color="auto" w:fill="FFFFFF"/>
            <w:tcMar>
              <w:top w:w="40" w:type="dxa"/>
              <w:left w:w="20" w:type="dxa"/>
              <w:bottom w:w="40" w:type="dxa"/>
              <w:right w:w="20" w:type="dxa"/>
            </w:tcMar>
            <w:vAlign w:val="bottom"/>
          </w:tcPr>
          <w:p w14:paraId="5F2D4803" w14:textId="77777777" w:rsidR="00E836FB" w:rsidRDefault="00994958">
            <w:pPr>
              <w:textAlignment w:val="bottom"/>
            </w:pPr>
            <w:r>
              <w:rPr>
                <w:rFonts w:ascii="Arial" w:eastAsia="宋体" w:hAnsi="Arial" w:cs="Arial"/>
                <w:color w:val="000000"/>
                <w:sz w:val="13"/>
                <w:szCs w:val="13"/>
              </w:rPr>
              <w:t>Total interest income</w:t>
            </w:r>
          </w:p>
        </w:tc>
        <w:tc>
          <w:tcPr>
            <w:tcW w:w="0" w:type="auto"/>
            <w:shd w:val="clear" w:color="auto" w:fill="auto"/>
            <w:vAlign w:val="bottom"/>
          </w:tcPr>
          <w:p w14:paraId="5F2D4804" w14:textId="77777777" w:rsidR="00E836FB" w:rsidRDefault="00E836FB">
            <w:pPr>
              <w:rPr>
                <w:rFonts w:ascii="宋体"/>
                <w:vanish/>
              </w:rPr>
            </w:pPr>
          </w:p>
        </w:tc>
        <w:tc>
          <w:tcPr>
            <w:tcW w:w="0" w:type="auto"/>
            <w:shd w:val="clear" w:color="auto" w:fill="auto"/>
            <w:vAlign w:val="bottom"/>
          </w:tcPr>
          <w:p w14:paraId="5F2D4805" w14:textId="77777777" w:rsidR="00E836FB" w:rsidRDefault="00E836FB">
            <w:pPr>
              <w:rPr>
                <w:rFonts w:ascii="宋体"/>
                <w:vanish/>
              </w:rPr>
            </w:pPr>
          </w:p>
        </w:tc>
        <w:tc>
          <w:tcPr>
            <w:tcW w:w="0" w:type="auto"/>
            <w:shd w:val="clear" w:color="auto" w:fill="auto"/>
            <w:vAlign w:val="bottom"/>
          </w:tcPr>
          <w:p w14:paraId="5F2D4806"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807" w14:textId="77777777" w:rsidR="00E836FB" w:rsidRDefault="00994958">
            <w:pPr>
              <w:jc w:val="right"/>
              <w:textAlignment w:val="bottom"/>
            </w:pPr>
            <w:r>
              <w:rPr>
                <w:rFonts w:ascii="Arial" w:eastAsia="宋体" w:hAnsi="Arial" w:cs="Arial"/>
                <w:b/>
                <w:bCs/>
                <w:color w:val="000000"/>
                <w:sz w:val="13"/>
                <w:szCs w:val="13"/>
              </w:rPr>
              <w:t>1,908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8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0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80A" w14:textId="77777777" w:rsidR="00E836FB" w:rsidRDefault="00994958">
            <w:pPr>
              <w:jc w:val="right"/>
              <w:textAlignment w:val="bottom"/>
            </w:pPr>
            <w:r>
              <w:rPr>
                <w:rFonts w:ascii="Arial" w:eastAsia="宋体" w:hAnsi="Arial" w:cs="Arial"/>
                <w:color w:val="000000"/>
                <w:sz w:val="13"/>
                <w:szCs w:val="13"/>
              </w:rPr>
              <w:t>2,575 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8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0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80D" w14:textId="77777777" w:rsidR="00E836FB" w:rsidRDefault="00994958">
            <w:pPr>
              <w:jc w:val="right"/>
              <w:textAlignment w:val="bottom"/>
            </w:pPr>
            <w:r>
              <w:rPr>
                <w:rFonts w:ascii="Arial" w:eastAsia="宋体" w:hAnsi="Arial" w:cs="Arial"/>
                <w:color w:val="000000"/>
                <w:sz w:val="13"/>
                <w:szCs w:val="13"/>
              </w:rPr>
              <w:t>3,941 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80E" w14:textId="77777777" w:rsidR="00E836FB" w:rsidRDefault="00E836FB">
            <w:pPr>
              <w:jc w:val="right"/>
              <w:rPr>
                <w:rFonts w:ascii="宋体"/>
              </w:rPr>
            </w:pPr>
          </w:p>
        </w:tc>
      </w:tr>
      <w:tr w:rsidR="00E836FB" w14:paraId="5F2D4819" w14:textId="77777777">
        <w:tc>
          <w:tcPr>
            <w:tcW w:w="0" w:type="auto"/>
            <w:gridSpan w:val="3"/>
            <w:shd w:val="clear" w:color="auto" w:fill="CCEEFF"/>
            <w:tcMar>
              <w:top w:w="40" w:type="dxa"/>
              <w:left w:w="20" w:type="dxa"/>
              <w:bottom w:w="40" w:type="dxa"/>
              <w:right w:w="20" w:type="dxa"/>
            </w:tcMar>
            <w:vAlign w:val="bottom"/>
          </w:tcPr>
          <w:p w14:paraId="5F2D4810" w14:textId="77777777" w:rsidR="00E836FB" w:rsidRDefault="00994958">
            <w:pPr>
              <w:textAlignment w:val="bottom"/>
            </w:pPr>
            <w:r>
              <w:rPr>
                <w:rFonts w:ascii="Arial" w:eastAsia="宋体" w:hAnsi="Arial" w:cs="Arial"/>
                <w:b/>
                <w:bCs/>
                <w:color w:val="000000"/>
                <w:sz w:val="13"/>
                <w:szCs w:val="13"/>
              </w:rPr>
              <w:t>Interest expense:</w:t>
            </w:r>
          </w:p>
        </w:tc>
        <w:tc>
          <w:tcPr>
            <w:tcW w:w="0" w:type="auto"/>
            <w:shd w:val="clear" w:color="auto" w:fill="auto"/>
            <w:vAlign w:val="bottom"/>
          </w:tcPr>
          <w:p w14:paraId="5F2D4811" w14:textId="77777777" w:rsidR="00E836FB" w:rsidRDefault="00E836FB">
            <w:pPr>
              <w:rPr>
                <w:rFonts w:ascii="宋体"/>
                <w:vanish/>
              </w:rPr>
            </w:pPr>
          </w:p>
        </w:tc>
        <w:tc>
          <w:tcPr>
            <w:tcW w:w="0" w:type="auto"/>
            <w:shd w:val="clear" w:color="auto" w:fill="auto"/>
            <w:vAlign w:val="bottom"/>
          </w:tcPr>
          <w:p w14:paraId="5F2D4812" w14:textId="77777777" w:rsidR="00E836FB" w:rsidRDefault="00E836FB">
            <w:pPr>
              <w:rPr>
                <w:rFonts w:ascii="宋体"/>
                <w:vanish/>
              </w:rPr>
            </w:pPr>
          </w:p>
        </w:tc>
        <w:tc>
          <w:tcPr>
            <w:tcW w:w="0" w:type="auto"/>
            <w:shd w:val="clear" w:color="auto" w:fill="auto"/>
            <w:vAlign w:val="bottom"/>
          </w:tcPr>
          <w:p w14:paraId="5F2D4813" w14:textId="77777777" w:rsidR="00E836FB" w:rsidRDefault="00E836FB">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481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815"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481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817"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4818" w14:textId="77777777" w:rsidR="00E836FB" w:rsidRDefault="00E836FB">
            <w:pPr>
              <w:rPr>
                <w:rFonts w:ascii="宋体"/>
              </w:rPr>
            </w:pPr>
          </w:p>
        </w:tc>
      </w:tr>
      <w:tr w:rsidR="00E836FB" w14:paraId="5F2D4826" w14:textId="77777777">
        <w:tc>
          <w:tcPr>
            <w:tcW w:w="0" w:type="auto"/>
            <w:gridSpan w:val="3"/>
            <w:shd w:val="clear" w:color="auto" w:fill="FFFFFF"/>
            <w:tcMar>
              <w:top w:w="40" w:type="dxa"/>
              <w:left w:w="20" w:type="dxa"/>
              <w:bottom w:w="40" w:type="dxa"/>
              <w:right w:w="20" w:type="dxa"/>
            </w:tcMar>
            <w:vAlign w:val="bottom"/>
          </w:tcPr>
          <w:p w14:paraId="5F2D481A" w14:textId="77777777" w:rsidR="00E836FB" w:rsidRDefault="00994958">
            <w:pPr>
              <w:textAlignment w:val="bottom"/>
            </w:pPr>
            <w:r>
              <w:rPr>
                <w:rFonts w:ascii="Arial" w:eastAsia="宋体" w:hAnsi="Arial" w:cs="Arial"/>
                <w:color w:val="000000"/>
                <w:sz w:val="13"/>
                <w:szCs w:val="13"/>
              </w:rPr>
              <w:t>Interest-bearing deposits</w:t>
            </w:r>
          </w:p>
        </w:tc>
        <w:tc>
          <w:tcPr>
            <w:tcW w:w="0" w:type="auto"/>
            <w:shd w:val="clear" w:color="auto" w:fill="auto"/>
            <w:vAlign w:val="bottom"/>
          </w:tcPr>
          <w:p w14:paraId="5F2D481B" w14:textId="77777777" w:rsidR="00E836FB" w:rsidRDefault="00E836FB">
            <w:pPr>
              <w:rPr>
                <w:rFonts w:ascii="宋体"/>
                <w:vanish/>
              </w:rPr>
            </w:pPr>
          </w:p>
        </w:tc>
        <w:tc>
          <w:tcPr>
            <w:tcW w:w="0" w:type="auto"/>
            <w:shd w:val="clear" w:color="auto" w:fill="auto"/>
            <w:vAlign w:val="bottom"/>
          </w:tcPr>
          <w:p w14:paraId="5F2D481C" w14:textId="77777777" w:rsidR="00E836FB" w:rsidRDefault="00E836FB">
            <w:pPr>
              <w:rPr>
                <w:rFonts w:ascii="宋体"/>
                <w:vanish/>
              </w:rPr>
            </w:pPr>
          </w:p>
        </w:tc>
        <w:tc>
          <w:tcPr>
            <w:tcW w:w="0" w:type="auto"/>
            <w:shd w:val="clear" w:color="auto" w:fill="auto"/>
            <w:vAlign w:val="bottom"/>
          </w:tcPr>
          <w:p w14:paraId="5F2D481D"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81E" w14:textId="77777777" w:rsidR="00E836FB" w:rsidRDefault="00994958">
            <w:pPr>
              <w:jc w:val="right"/>
              <w:textAlignment w:val="bottom"/>
            </w:pPr>
            <w:r>
              <w:rPr>
                <w:rFonts w:ascii="Arial" w:eastAsia="宋体" w:hAnsi="Arial" w:cs="Arial"/>
                <w:b/>
                <w:bCs/>
                <w:color w:val="000000"/>
                <w:sz w:val="13"/>
                <w:szCs w:val="13"/>
              </w:rPr>
              <w:t>(263)</w:t>
            </w:r>
          </w:p>
        </w:tc>
        <w:tc>
          <w:tcPr>
            <w:tcW w:w="0" w:type="auto"/>
            <w:shd w:val="clear" w:color="auto" w:fill="FFFFFF"/>
            <w:tcMar>
              <w:top w:w="40" w:type="dxa"/>
              <w:left w:w="0" w:type="dxa"/>
              <w:bottom w:w="40" w:type="dxa"/>
              <w:right w:w="20" w:type="dxa"/>
            </w:tcMar>
            <w:vAlign w:val="bottom"/>
          </w:tcPr>
          <w:p w14:paraId="5F2D48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2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21" w14:textId="77777777" w:rsidR="00E836FB" w:rsidRDefault="00994958">
            <w:pPr>
              <w:jc w:val="right"/>
              <w:textAlignment w:val="bottom"/>
            </w:pPr>
            <w:r>
              <w:rPr>
                <w:rFonts w:ascii="Arial" w:eastAsia="宋体" w:hAnsi="Arial" w:cs="Arial"/>
                <w:color w:val="000000"/>
                <w:sz w:val="13"/>
                <w:szCs w:val="13"/>
              </w:rPr>
              <w:t>(117)</w:t>
            </w:r>
          </w:p>
        </w:tc>
        <w:tc>
          <w:tcPr>
            <w:tcW w:w="0" w:type="auto"/>
            <w:shd w:val="clear" w:color="auto" w:fill="FFFFFF"/>
            <w:tcMar>
              <w:top w:w="40" w:type="dxa"/>
              <w:left w:w="0" w:type="dxa"/>
              <w:bottom w:w="40" w:type="dxa"/>
              <w:right w:w="20" w:type="dxa"/>
            </w:tcMar>
            <w:vAlign w:val="bottom"/>
          </w:tcPr>
          <w:p w14:paraId="5F2D48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24" w14:textId="77777777" w:rsidR="00E836FB" w:rsidRDefault="00994958">
            <w:pPr>
              <w:jc w:val="right"/>
              <w:textAlignment w:val="bottom"/>
            </w:pPr>
            <w:r>
              <w:rPr>
                <w:rFonts w:ascii="Arial" w:eastAsia="宋体" w:hAnsi="Arial" w:cs="Arial"/>
                <w:color w:val="000000"/>
                <w:sz w:val="13"/>
                <w:szCs w:val="13"/>
              </w:rPr>
              <w:t>663 </w:t>
            </w:r>
          </w:p>
        </w:tc>
        <w:tc>
          <w:tcPr>
            <w:tcW w:w="0" w:type="auto"/>
            <w:shd w:val="clear" w:color="auto" w:fill="FFFFFF"/>
            <w:tcMar>
              <w:top w:w="40" w:type="dxa"/>
              <w:left w:w="0" w:type="dxa"/>
              <w:bottom w:w="40" w:type="dxa"/>
              <w:right w:w="20" w:type="dxa"/>
            </w:tcMar>
            <w:vAlign w:val="bottom"/>
          </w:tcPr>
          <w:p w14:paraId="5F2D4825" w14:textId="77777777" w:rsidR="00E836FB" w:rsidRDefault="00E836FB">
            <w:pPr>
              <w:jc w:val="right"/>
              <w:rPr>
                <w:rFonts w:ascii="宋体"/>
              </w:rPr>
            </w:pPr>
          </w:p>
        </w:tc>
      </w:tr>
      <w:tr w:rsidR="00E836FB" w14:paraId="5F2D4833" w14:textId="77777777">
        <w:tc>
          <w:tcPr>
            <w:tcW w:w="0" w:type="auto"/>
            <w:gridSpan w:val="3"/>
            <w:shd w:val="clear" w:color="auto" w:fill="CCEEFF"/>
            <w:tcMar>
              <w:top w:w="40" w:type="dxa"/>
              <w:left w:w="20" w:type="dxa"/>
              <w:bottom w:w="40" w:type="dxa"/>
              <w:right w:w="20" w:type="dxa"/>
            </w:tcMar>
            <w:vAlign w:val="bottom"/>
          </w:tcPr>
          <w:p w14:paraId="5F2D4827" w14:textId="77777777" w:rsidR="00E836FB" w:rsidRDefault="00994958">
            <w:pPr>
              <w:textAlignment w:val="bottom"/>
            </w:pPr>
            <w:r>
              <w:rPr>
                <w:rFonts w:ascii="Arial" w:eastAsia="宋体" w:hAnsi="Arial" w:cs="Arial"/>
                <w:color w:val="000000"/>
                <w:sz w:val="13"/>
                <w:szCs w:val="13"/>
              </w:rPr>
              <w:t>Short term borrowings under money market liquidity facility</w:t>
            </w:r>
          </w:p>
        </w:tc>
        <w:tc>
          <w:tcPr>
            <w:tcW w:w="0" w:type="auto"/>
            <w:shd w:val="clear" w:color="auto" w:fill="auto"/>
            <w:vAlign w:val="bottom"/>
          </w:tcPr>
          <w:p w14:paraId="5F2D4828" w14:textId="77777777" w:rsidR="00E836FB" w:rsidRDefault="00E836FB">
            <w:pPr>
              <w:rPr>
                <w:rFonts w:ascii="宋体"/>
                <w:vanish/>
              </w:rPr>
            </w:pPr>
          </w:p>
        </w:tc>
        <w:tc>
          <w:tcPr>
            <w:tcW w:w="0" w:type="auto"/>
            <w:shd w:val="clear" w:color="auto" w:fill="auto"/>
            <w:vAlign w:val="bottom"/>
          </w:tcPr>
          <w:p w14:paraId="5F2D4829" w14:textId="77777777" w:rsidR="00E836FB" w:rsidRDefault="00E836FB">
            <w:pPr>
              <w:rPr>
                <w:rFonts w:ascii="宋体"/>
                <w:vanish/>
              </w:rPr>
            </w:pPr>
          </w:p>
        </w:tc>
        <w:tc>
          <w:tcPr>
            <w:tcW w:w="0" w:type="auto"/>
            <w:shd w:val="clear" w:color="auto" w:fill="auto"/>
            <w:vAlign w:val="bottom"/>
          </w:tcPr>
          <w:p w14:paraId="5F2D482A"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82B" w14:textId="77777777" w:rsidR="00E836FB" w:rsidRDefault="00994958">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82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2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2E" w14:textId="77777777" w:rsidR="00E836FB" w:rsidRDefault="00994958">
            <w:pPr>
              <w:jc w:val="right"/>
              <w:textAlignment w:val="bottom"/>
            </w:pPr>
            <w:r>
              <w:rPr>
                <w:rFonts w:ascii="Arial" w:eastAsia="宋体" w:hAnsi="Arial" w:cs="Arial"/>
                <w:color w:val="000000"/>
                <w:sz w:val="13"/>
                <w:szCs w:val="13"/>
              </w:rPr>
              <w:t>101 </w:t>
            </w:r>
          </w:p>
        </w:tc>
        <w:tc>
          <w:tcPr>
            <w:tcW w:w="0" w:type="auto"/>
            <w:shd w:val="clear" w:color="auto" w:fill="CCEEFF"/>
            <w:tcMar>
              <w:top w:w="40" w:type="dxa"/>
              <w:left w:w="0" w:type="dxa"/>
              <w:bottom w:w="40" w:type="dxa"/>
              <w:right w:w="20" w:type="dxa"/>
            </w:tcMar>
            <w:vAlign w:val="bottom"/>
          </w:tcPr>
          <w:p w14:paraId="5F2D482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3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31"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832" w14:textId="77777777" w:rsidR="00E836FB" w:rsidRDefault="00E836FB">
            <w:pPr>
              <w:jc w:val="right"/>
              <w:rPr>
                <w:rFonts w:ascii="宋体"/>
              </w:rPr>
            </w:pPr>
          </w:p>
        </w:tc>
      </w:tr>
      <w:tr w:rsidR="00E836FB" w14:paraId="5F2D4840" w14:textId="77777777">
        <w:tc>
          <w:tcPr>
            <w:tcW w:w="0" w:type="auto"/>
            <w:gridSpan w:val="3"/>
            <w:shd w:val="clear" w:color="auto" w:fill="FFFFFF"/>
            <w:tcMar>
              <w:top w:w="40" w:type="dxa"/>
              <w:left w:w="20" w:type="dxa"/>
              <w:bottom w:w="40" w:type="dxa"/>
              <w:right w:w="20" w:type="dxa"/>
            </w:tcMar>
            <w:vAlign w:val="bottom"/>
          </w:tcPr>
          <w:p w14:paraId="5F2D4834" w14:textId="77777777" w:rsidR="00E836FB" w:rsidRDefault="00994958">
            <w:pPr>
              <w:textAlignment w:val="bottom"/>
            </w:pPr>
            <w:r>
              <w:rPr>
                <w:rFonts w:ascii="Arial" w:eastAsia="宋体" w:hAnsi="Arial" w:cs="Arial"/>
                <w:color w:val="000000"/>
                <w:sz w:val="13"/>
                <w:szCs w:val="13"/>
              </w:rPr>
              <w:t>Securities sold under repurchase agreements</w:t>
            </w:r>
          </w:p>
        </w:tc>
        <w:tc>
          <w:tcPr>
            <w:tcW w:w="0" w:type="auto"/>
            <w:shd w:val="clear" w:color="auto" w:fill="auto"/>
            <w:vAlign w:val="bottom"/>
          </w:tcPr>
          <w:p w14:paraId="5F2D4835" w14:textId="77777777" w:rsidR="00E836FB" w:rsidRDefault="00E836FB">
            <w:pPr>
              <w:rPr>
                <w:rFonts w:ascii="宋体"/>
                <w:vanish/>
              </w:rPr>
            </w:pPr>
          </w:p>
        </w:tc>
        <w:tc>
          <w:tcPr>
            <w:tcW w:w="0" w:type="auto"/>
            <w:shd w:val="clear" w:color="auto" w:fill="auto"/>
            <w:vAlign w:val="bottom"/>
          </w:tcPr>
          <w:p w14:paraId="5F2D4836" w14:textId="77777777" w:rsidR="00E836FB" w:rsidRDefault="00E836FB">
            <w:pPr>
              <w:rPr>
                <w:rFonts w:ascii="宋体"/>
                <w:vanish/>
              </w:rPr>
            </w:pPr>
          </w:p>
        </w:tc>
        <w:tc>
          <w:tcPr>
            <w:tcW w:w="0" w:type="auto"/>
            <w:shd w:val="clear" w:color="auto" w:fill="auto"/>
            <w:vAlign w:val="bottom"/>
          </w:tcPr>
          <w:p w14:paraId="5F2D4837"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838"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8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3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3B" w14:textId="77777777" w:rsidR="00E836FB" w:rsidRDefault="00994958">
            <w:pPr>
              <w:jc w:val="right"/>
              <w:textAlignment w:val="bottom"/>
            </w:pPr>
            <w:r>
              <w:rPr>
                <w:rFonts w:ascii="Arial" w:eastAsia="宋体" w:hAnsi="Arial" w:cs="Arial"/>
                <w:color w:val="000000"/>
                <w:sz w:val="13"/>
                <w:szCs w:val="13"/>
              </w:rPr>
              <w:t>4 </w:t>
            </w:r>
          </w:p>
        </w:tc>
        <w:tc>
          <w:tcPr>
            <w:tcW w:w="0" w:type="auto"/>
            <w:shd w:val="clear" w:color="auto" w:fill="FFFFFF"/>
            <w:tcMar>
              <w:top w:w="40" w:type="dxa"/>
              <w:left w:w="0" w:type="dxa"/>
              <w:bottom w:w="40" w:type="dxa"/>
              <w:right w:w="20" w:type="dxa"/>
            </w:tcMar>
            <w:vAlign w:val="bottom"/>
          </w:tcPr>
          <w:p w14:paraId="5F2D483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3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3E" w14:textId="77777777" w:rsidR="00E836FB" w:rsidRDefault="00994958">
            <w:pPr>
              <w:jc w:val="right"/>
              <w:textAlignment w:val="bottom"/>
            </w:pPr>
            <w:r>
              <w:rPr>
                <w:rFonts w:ascii="Arial" w:eastAsia="宋体" w:hAnsi="Arial" w:cs="Arial"/>
                <w:color w:val="000000"/>
                <w:sz w:val="13"/>
                <w:szCs w:val="13"/>
              </w:rPr>
              <w:t>31 </w:t>
            </w:r>
          </w:p>
        </w:tc>
        <w:tc>
          <w:tcPr>
            <w:tcW w:w="0" w:type="auto"/>
            <w:shd w:val="clear" w:color="auto" w:fill="FFFFFF"/>
            <w:tcMar>
              <w:top w:w="40" w:type="dxa"/>
              <w:left w:w="0" w:type="dxa"/>
              <w:bottom w:w="40" w:type="dxa"/>
              <w:right w:w="20" w:type="dxa"/>
            </w:tcMar>
            <w:vAlign w:val="bottom"/>
          </w:tcPr>
          <w:p w14:paraId="5F2D483F" w14:textId="77777777" w:rsidR="00E836FB" w:rsidRDefault="00E836FB">
            <w:pPr>
              <w:jc w:val="right"/>
              <w:rPr>
                <w:rFonts w:ascii="宋体"/>
              </w:rPr>
            </w:pPr>
          </w:p>
        </w:tc>
      </w:tr>
      <w:tr w:rsidR="00E836FB" w14:paraId="5F2D484D" w14:textId="77777777">
        <w:tc>
          <w:tcPr>
            <w:tcW w:w="0" w:type="auto"/>
            <w:gridSpan w:val="3"/>
            <w:shd w:val="clear" w:color="auto" w:fill="CCEEFF"/>
            <w:tcMar>
              <w:top w:w="40" w:type="dxa"/>
              <w:left w:w="20" w:type="dxa"/>
              <w:bottom w:w="40" w:type="dxa"/>
              <w:right w:w="20" w:type="dxa"/>
            </w:tcMar>
            <w:vAlign w:val="bottom"/>
          </w:tcPr>
          <w:p w14:paraId="5F2D4841" w14:textId="77777777" w:rsidR="00E836FB" w:rsidRDefault="00994958">
            <w:pPr>
              <w:textAlignment w:val="bottom"/>
            </w:pPr>
            <w:r>
              <w:rPr>
                <w:rFonts w:ascii="Arial" w:eastAsia="宋体" w:hAnsi="Arial" w:cs="Arial"/>
                <w:color w:val="000000"/>
                <w:sz w:val="13"/>
                <w:szCs w:val="13"/>
              </w:rPr>
              <w:t xml:space="preserve">Other short-term </w:t>
            </w:r>
            <w:r>
              <w:rPr>
                <w:rFonts w:ascii="Arial" w:eastAsia="宋体" w:hAnsi="Arial" w:cs="Arial"/>
                <w:color w:val="000000"/>
                <w:sz w:val="13"/>
                <w:szCs w:val="13"/>
              </w:rPr>
              <w:t>borrowings</w:t>
            </w:r>
          </w:p>
        </w:tc>
        <w:tc>
          <w:tcPr>
            <w:tcW w:w="0" w:type="auto"/>
            <w:shd w:val="clear" w:color="auto" w:fill="auto"/>
            <w:vAlign w:val="bottom"/>
          </w:tcPr>
          <w:p w14:paraId="5F2D4842" w14:textId="77777777" w:rsidR="00E836FB" w:rsidRDefault="00E836FB">
            <w:pPr>
              <w:rPr>
                <w:rFonts w:ascii="宋体"/>
                <w:vanish/>
              </w:rPr>
            </w:pPr>
          </w:p>
        </w:tc>
        <w:tc>
          <w:tcPr>
            <w:tcW w:w="0" w:type="auto"/>
            <w:shd w:val="clear" w:color="auto" w:fill="auto"/>
            <w:vAlign w:val="bottom"/>
          </w:tcPr>
          <w:p w14:paraId="5F2D4843" w14:textId="77777777" w:rsidR="00E836FB" w:rsidRDefault="00E836FB">
            <w:pPr>
              <w:rPr>
                <w:rFonts w:ascii="宋体"/>
                <w:vanish/>
              </w:rPr>
            </w:pPr>
          </w:p>
        </w:tc>
        <w:tc>
          <w:tcPr>
            <w:tcW w:w="0" w:type="auto"/>
            <w:shd w:val="clear" w:color="auto" w:fill="auto"/>
            <w:vAlign w:val="bottom"/>
          </w:tcPr>
          <w:p w14:paraId="5F2D4844"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845" w14:textId="77777777" w:rsidR="00E836FB" w:rsidRDefault="00994958">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8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4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48" w14:textId="77777777" w:rsidR="00E836FB" w:rsidRDefault="00994958">
            <w:pPr>
              <w:jc w:val="right"/>
              <w:textAlignment w:val="bottom"/>
            </w:pPr>
            <w:r>
              <w:rPr>
                <w:rFonts w:ascii="Arial" w:eastAsia="宋体" w:hAnsi="Arial" w:cs="Arial"/>
                <w:color w:val="000000"/>
                <w:sz w:val="13"/>
                <w:szCs w:val="13"/>
              </w:rPr>
              <w:t>17 </w:t>
            </w:r>
          </w:p>
        </w:tc>
        <w:tc>
          <w:tcPr>
            <w:tcW w:w="0" w:type="auto"/>
            <w:shd w:val="clear" w:color="auto" w:fill="CCEEFF"/>
            <w:tcMar>
              <w:top w:w="40" w:type="dxa"/>
              <w:left w:w="0" w:type="dxa"/>
              <w:bottom w:w="40" w:type="dxa"/>
              <w:right w:w="20" w:type="dxa"/>
            </w:tcMar>
            <w:vAlign w:val="bottom"/>
          </w:tcPr>
          <w:p w14:paraId="5F2D48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4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4B" w14:textId="77777777" w:rsidR="00E836FB" w:rsidRDefault="00994958">
            <w:pPr>
              <w:jc w:val="right"/>
              <w:textAlignment w:val="bottom"/>
            </w:pPr>
            <w:r>
              <w:rPr>
                <w:rFonts w:ascii="Arial" w:eastAsia="宋体" w:hAnsi="Arial" w:cs="Arial"/>
                <w:color w:val="000000"/>
                <w:sz w:val="13"/>
                <w:szCs w:val="13"/>
              </w:rPr>
              <w:t>21 </w:t>
            </w:r>
          </w:p>
        </w:tc>
        <w:tc>
          <w:tcPr>
            <w:tcW w:w="0" w:type="auto"/>
            <w:shd w:val="clear" w:color="auto" w:fill="CCEEFF"/>
            <w:tcMar>
              <w:top w:w="40" w:type="dxa"/>
              <w:left w:w="0" w:type="dxa"/>
              <w:bottom w:w="40" w:type="dxa"/>
              <w:right w:w="20" w:type="dxa"/>
            </w:tcMar>
            <w:vAlign w:val="bottom"/>
          </w:tcPr>
          <w:p w14:paraId="5F2D484C" w14:textId="77777777" w:rsidR="00E836FB" w:rsidRDefault="00E836FB">
            <w:pPr>
              <w:jc w:val="right"/>
              <w:rPr>
                <w:rFonts w:ascii="宋体"/>
              </w:rPr>
            </w:pPr>
          </w:p>
        </w:tc>
      </w:tr>
      <w:tr w:rsidR="00E836FB" w14:paraId="5F2D485A" w14:textId="77777777">
        <w:tc>
          <w:tcPr>
            <w:tcW w:w="0" w:type="auto"/>
            <w:gridSpan w:val="3"/>
            <w:shd w:val="clear" w:color="auto" w:fill="FFFFFF"/>
            <w:tcMar>
              <w:top w:w="40" w:type="dxa"/>
              <w:left w:w="20" w:type="dxa"/>
              <w:bottom w:w="40" w:type="dxa"/>
              <w:right w:w="20" w:type="dxa"/>
            </w:tcMar>
            <w:vAlign w:val="bottom"/>
          </w:tcPr>
          <w:p w14:paraId="5F2D484E" w14:textId="77777777" w:rsidR="00E836FB" w:rsidRDefault="00994958">
            <w:pPr>
              <w:textAlignment w:val="bottom"/>
            </w:pPr>
            <w:r>
              <w:rPr>
                <w:rFonts w:ascii="Arial" w:eastAsia="宋体" w:hAnsi="Arial" w:cs="Arial"/>
                <w:color w:val="000000"/>
                <w:sz w:val="13"/>
                <w:szCs w:val="13"/>
              </w:rPr>
              <w:t>Long-term debt</w:t>
            </w:r>
          </w:p>
        </w:tc>
        <w:tc>
          <w:tcPr>
            <w:tcW w:w="0" w:type="auto"/>
            <w:shd w:val="clear" w:color="auto" w:fill="auto"/>
            <w:vAlign w:val="bottom"/>
          </w:tcPr>
          <w:p w14:paraId="5F2D484F" w14:textId="77777777" w:rsidR="00E836FB" w:rsidRDefault="00E836FB">
            <w:pPr>
              <w:rPr>
                <w:rFonts w:ascii="宋体"/>
                <w:vanish/>
              </w:rPr>
            </w:pPr>
          </w:p>
        </w:tc>
        <w:tc>
          <w:tcPr>
            <w:tcW w:w="0" w:type="auto"/>
            <w:shd w:val="clear" w:color="auto" w:fill="auto"/>
            <w:vAlign w:val="bottom"/>
          </w:tcPr>
          <w:p w14:paraId="5F2D4850" w14:textId="77777777" w:rsidR="00E836FB" w:rsidRDefault="00E836FB">
            <w:pPr>
              <w:rPr>
                <w:rFonts w:ascii="宋体"/>
                <w:vanish/>
              </w:rPr>
            </w:pPr>
          </w:p>
        </w:tc>
        <w:tc>
          <w:tcPr>
            <w:tcW w:w="0" w:type="auto"/>
            <w:shd w:val="clear" w:color="auto" w:fill="auto"/>
            <w:vAlign w:val="bottom"/>
          </w:tcPr>
          <w:p w14:paraId="5F2D4851"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852" w14:textId="77777777" w:rsidR="00E836FB" w:rsidRDefault="00994958">
            <w:pPr>
              <w:jc w:val="right"/>
              <w:textAlignment w:val="bottom"/>
            </w:pPr>
            <w:r>
              <w:rPr>
                <w:rFonts w:ascii="Arial" w:eastAsia="宋体" w:hAnsi="Arial" w:cs="Arial"/>
                <w:b/>
                <w:bCs/>
                <w:color w:val="000000"/>
                <w:sz w:val="13"/>
                <w:szCs w:val="13"/>
              </w:rPr>
              <w:t>219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48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5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55" w14:textId="77777777" w:rsidR="00E836FB" w:rsidRDefault="00994958">
            <w:pPr>
              <w:jc w:val="right"/>
              <w:textAlignment w:val="bottom"/>
            </w:pPr>
            <w:r>
              <w:rPr>
                <w:rFonts w:ascii="Arial" w:eastAsia="宋体" w:hAnsi="Arial" w:cs="Arial"/>
                <w:color w:val="000000"/>
                <w:sz w:val="13"/>
                <w:szCs w:val="13"/>
              </w:rPr>
              <w:t>312 </w:t>
            </w:r>
          </w:p>
        </w:tc>
        <w:tc>
          <w:tcPr>
            <w:tcW w:w="0" w:type="auto"/>
            <w:shd w:val="clear" w:color="auto" w:fill="FFFFFF"/>
            <w:tcMar>
              <w:top w:w="40" w:type="dxa"/>
              <w:left w:w="0" w:type="dxa"/>
              <w:bottom w:w="40" w:type="dxa"/>
              <w:right w:w="20" w:type="dxa"/>
            </w:tcMar>
            <w:vAlign w:val="bottom"/>
          </w:tcPr>
          <w:p w14:paraId="5F2D48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5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58" w14:textId="77777777" w:rsidR="00E836FB" w:rsidRDefault="00994958">
            <w:pPr>
              <w:jc w:val="right"/>
              <w:textAlignment w:val="bottom"/>
            </w:pPr>
            <w:r>
              <w:rPr>
                <w:rFonts w:ascii="Arial" w:eastAsia="宋体" w:hAnsi="Arial" w:cs="Arial"/>
                <w:color w:val="000000"/>
                <w:sz w:val="13"/>
                <w:szCs w:val="13"/>
              </w:rPr>
              <w:t>414 </w:t>
            </w:r>
          </w:p>
        </w:tc>
        <w:tc>
          <w:tcPr>
            <w:tcW w:w="0" w:type="auto"/>
            <w:shd w:val="clear" w:color="auto" w:fill="FFFFFF"/>
            <w:tcMar>
              <w:top w:w="40" w:type="dxa"/>
              <w:left w:w="0" w:type="dxa"/>
              <w:bottom w:w="40" w:type="dxa"/>
              <w:right w:w="20" w:type="dxa"/>
            </w:tcMar>
            <w:vAlign w:val="bottom"/>
          </w:tcPr>
          <w:p w14:paraId="5F2D4859" w14:textId="77777777" w:rsidR="00E836FB" w:rsidRDefault="00E836FB">
            <w:pPr>
              <w:jc w:val="right"/>
              <w:rPr>
                <w:rFonts w:ascii="宋体"/>
              </w:rPr>
            </w:pPr>
          </w:p>
        </w:tc>
      </w:tr>
      <w:tr w:rsidR="00E836FB" w14:paraId="5F2D4867" w14:textId="77777777">
        <w:tc>
          <w:tcPr>
            <w:tcW w:w="0" w:type="auto"/>
            <w:gridSpan w:val="3"/>
            <w:shd w:val="clear" w:color="auto" w:fill="CCEEFF"/>
            <w:tcMar>
              <w:top w:w="40" w:type="dxa"/>
              <w:left w:w="20" w:type="dxa"/>
              <w:bottom w:w="40" w:type="dxa"/>
              <w:right w:w="20" w:type="dxa"/>
            </w:tcMar>
            <w:vAlign w:val="bottom"/>
          </w:tcPr>
          <w:p w14:paraId="5F2D485B" w14:textId="77777777" w:rsidR="00E836FB" w:rsidRDefault="00994958">
            <w:pPr>
              <w:textAlignment w:val="bottom"/>
            </w:pPr>
            <w:r>
              <w:rPr>
                <w:rFonts w:ascii="Arial" w:eastAsia="宋体" w:hAnsi="Arial" w:cs="Arial"/>
                <w:color w:val="000000"/>
                <w:sz w:val="13"/>
                <w:szCs w:val="13"/>
              </w:rPr>
              <w:t>Other interest-bearing liabilities</w:t>
            </w:r>
          </w:p>
        </w:tc>
        <w:tc>
          <w:tcPr>
            <w:tcW w:w="0" w:type="auto"/>
            <w:shd w:val="clear" w:color="auto" w:fill="auto"/>
            <w:vAlign w:val="bottom"/>
          </w:tcPr>
          <w:p w14:paraId="5F2D485C" w14:textId="77777777" w:rsidR="00E836FB" w:rsidRDefault="00E836FB">
            <w:pPr>
              <w:rPr>
                <w:rFonts w:ascii="宋体"/>
                <w:vanish/>
              </w:rPr>
            </w:pPr>
          </w:p>
        </w:tc>
        <w:tc>
          <w:tcPr>
            <w:tcW w:w="0" w:type="auto"/>
            <w:shd w:val="clear" w:color="auto" w:fill="auto"/>
            <w:vAlign w:val="bottom"/>
          </w:tcPr>
          <w:p w14:paraId="5F2D485D" w14:textId="77777777" w:rsidR="00E836FB" w:rsidRDefault="00E836FB">
            <w:pPr>
              <w:rPr>
                <w:rFonts w:ascii="宋体"/>
                <w:vanish/>
              </w:rPr>
            </w:pPr>
          </w:p>
        </w:tc>
        <w:tc>
          <w:tcPr>
            <w:tcW w:w="0" w:type="auto"/>
            <w:shd w:val="clear" w:color="auto" w:fill="auto"/>
            <w:vAlign w:val="bottom"/>
          </w:tcPr>
          <w:p w14:paraId="5F2D485E"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85F" w14:textId="77777777" w:rsidR="00E836FB" w:rsidRDefault="00994958">
            <w:pPr>
              <w:jc w:val="right"/>
              <w:textAlignment w:val="bottom"/>
            </w:pPr>
            <w:r>
              <w:rPr>
                <w:rFonts w:ascii="Arial" w:eastAsia="宋体" w:hAnsi="Arial" w:cs="Arial"/>
                <w:b/>
                <w:bCs/>
                <w:color w:val="000000"/>
                <w:sz w:val="13"/>
                <w:szCs w:val="13"/>
              </w:rPr>
              <w:t>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486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6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62" w14:textId="77777777" w:rsidR="00E836FB" w:rsidRDefault="00994958">
            <w:pPr>
              <w:jc w:val="right"/>
              <w:textAlignment w:val="bottom"/>
            </w:pPr>
            <w:r>
              <w:rPr>
                <w:rFonts w:ascii="Arial" w:eastAsia="宋体" w:hAnsi="Arial" w:cs="Arial"/>
                <w:color w:val="000000"/>
                <w:sz w:val="13"/>
                <w:szCs w:val="13"/>
              </w:rPr>
              <w:t>58 </w:t>
            </w:r>
          </w:p>
        </w:tc>
        <w:tc>
          <w:tcPr>
            <w:tcW w:w="0" w:type="auto"/>
            <w:shd w:val="clear" w:color="auto" w:fill="CCEEFF"/>
            <w:tcMar>
              <w:top w:w="40" w:type="dxa"/>
              <w:left w:w="0" w:type="dxa"/>
              <w:bottom w:w="40" w:type="dxa"/>
              <w:right w:w="20" w:type="dxa"/>
            </w:tcMar>
            <w:vAlign w:val="bottom"/>
          </w:tcPr>
          <w:p w14:paraId="5F2D486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6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65" w14:textId="77777777" w:rsidR="00E836FB" w:rsidRDefault="00994958">
            <w:pPr>
              <w:jc w:val="right"/>
              <w:textAlignment w:val="bottom"/>
            </w:pPr>
            <w:r>
              <w:rPr>
                <w:rFonts w:ascii="Arial" w:eastAsia="宋体" w:hAnsi="Arial" w:cs="Arial"/>
                <w:color w:val="000000"/>
                <w:sz w:val="13"/>
                <w:szCs w:val="13"/>
              </w:rPr>
              <w:t>246 </w:t>
            </w:r>
          </w:p>
        </w:tc>
        <w:tc>
          <w:tcPr>
            <w:tcW w:w="0" w:type="auto"/>
            <w:shd w:val="clear" w:color="auto" w:fill="CCEEFF"/>
            <w:tcMar>
              <w:top w:w="40" w:type="dxa"/>
              <w:left w:w="0" w:type="dxa"/>
              <w:bottom w:w="40" w:type="dxa"/>
              <w:right w:w="20" w:type="dxa"/>
            </w:tcMar>
            <w:vAlign w:val="bottom"/>
          </w:tcPr>
          <w:p w14:paraId="5F2D4866" w14:textId="77777777" w:rsidR="00E836FB" w:rsidRDefault="00E836FB">
            <w:pPr>
              <w:jc w:val="right"/>
              <w:rPr>
                <w:rFonts w:ascii="宋体"/>
              </w:rPr>
            </w:pPr>
          </w:p>
        </w:tc>
      </w:tr>
      <w:tr w:rsidR="00E836FB" w14:paraId="5F2D4874" w14:textId="77777777">
        <w:tc>
          <w:tcPr>
            <w:tcW w:w="0" w:type="auto"/>
            <w:gridSpan w:val="3"/>
            <w:shd w:val="clear" w:color="auto" w:fill="FFFFFF"/>
            <w:tcMar>
              <w:top w:w="40" w:type="dxa"/>
              <w:left w:w="20" w:type="dxa"/>
              <w:bottom w:w="40" w:type="dxa"/>
              <w:right w:w="20" w:type="dxa"/>
            </w:tcMar>
            <w:vAlign w:val="bottom"/>
          </w:tcPr>
          <w:p w14:paraId="5F2D4868" w14:textId="77777777" w:rsidR="00E836FB" w:rsidRDefault="00994958">
            <w:pPr>
              <w:textAlignment w:val="bottom"/>
            </w:pPr>
            <w:r>
              <w:rPr>
                <w:rFonts w:ascii="Arial" w:eastAsia="宋体" w:hAnsi="Arial" w:cs="Arial"/>
                <w:color w:val="000000"/>
                <w:sz w:val="13"/>
                <w:szCs w:val="13"/>
              </w:rPr>
              <w:t>Total interest expense</w:t>
            </w:r>
          </w:p>
        </w:tc>
        <w:tc>
          <w:tcPr>
            <w:tcW w:w="0" w:type="auto"/>
            <w:shd w:val="clear" w:color="auto" w:fill="auto"/>
            <w:vAlign w:val="bottom"/>
          </w:tcPr>
          <w:p w14:paraId="5F2D4869" w14:textId="77777777" w:rsidR="00E836FB" w:rsidRDefault="00E836FB">
            <w:pPr>
              <w:rPr>
                <w:rFonts w:ascii="宋体"/>
                <w:vanish/>
              </w:rPr>
            </w:pPr>
          </w:p>
        </w:tc>
        <w:tc>
          <w:tcPr>
            <w:tcW w:w="0" w:type="auto"/>
            <w:shd w:val="clear" w:color="auto" w:fill="auto"/>
            <w:vAlign w:val="bottom"/>
          </w:tcPr>
          <w:p w14:paraId="5F2D486A" w14:textId="77777777" w:rsidR="00E836FB" w:rsidRDefault="00E836FB">
            <w:pPr>
              <w:rPr>
                <w:rFonts w:ascii="宋体"/>
                <w:vanish/>
              </w:rPr>
            </w:pPr>
          </w:p>
        </w:tc>
        <w:tc>
          <w:tcPr>
            <w:tcW w:w="0" w:type="auto"/>
            <w:shd w:val="clear" w:color="auto" w:fill="auto"/>
            <w:vAlign w:val="bottom"/>
          </w:tcPr>
          <w:p w14:paraId="5F2D486B" w14:textId="77777777" w:rsidR="00E836FB" w:rsidRDefault="00E83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86C" w14:textId="77777777" w:rsidR="00E836FB" w:rsidRDefault="00994958">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86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6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86F" w14:textId="77777777" w:rsidR="00E836FB" w:rsidRDefault="00994958">
            <w:pPr>
              <w:jc w:val="right"/>
              <w:textAlignment w:val="bottom"/>
            </w:pPr>
            <w:r>
              <w:rPr>
                <w:rFonts w:ascii="Arial" w:eastAsia="宋体" w:hAnsi="Arial" w:cs="Arial"/>
                <w:color w:val="000000"/>
                <w:sz w:val="13"/>
                <w:szCs w:val="13"/>
              </w:rPr>
              <w:t>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8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7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872" w14:textId="77777777" w:rsidR="00E836FB" w:rsidRDefault="00994958">
            <w:pPr>
              <w:jc w:val="right"/>
              <w:textAlignment w:val="bottom"/>
            </w:pPr>
            <w:r>
              <w:rPr>
                <w:rFonts w:ascii="Arial" w:eastAsia="宋体" w:hAnsi="Arial" w:cs="Arial"/>
                <w:color w:val="000000"/>
                <w:sz w:val="13"/>
                <w:szCs w:val="13"/>
              </w:rPr>
              <w:t>1,375 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873" w14:textId="77777777" w:rsidR="00E836FB" w:rsidRDefault="00E836FB">
            <w:pPr>
              <w:jc w:val="right"/>
              <w:rPr>
                <w:rFonts w:ascii="宋体"/>
              </w:rPr>
            </w:pPr>
          </w:p>
        </w:tc>
      </w:tr>
      <w:tr w:rsidR="00E836FB" w14:paraId="5F2D4884" w14:textId="77777777">
        <w:tc>
          <w:tcPr>
            <w:tcW w:w="0" w:type="auto"/>
            <w:gridSpan w:val="3"/>
            <w:shd w:val="clear" w:color="auto" w:fill="CCEEFF"/>
            <w:tcMar>
              <w:top w:w="40" w:type="dxa"/>
              <w:left w:w="20" w:type="dxa"/>
              <w:bottom w:w="40" w:type="dxa"/>
              <w:right w:w="20" w:type="dxa"/>
            </w:tcMar>
            <w:vAlign w:val="bottom"/>
          </w:tcPr>
          <w:p w14:paraId="5F2D4875" w14:textId="77777777" w:rsidR="00E836FB" w:rsidRDefault="00994958">
            <w:pPr>
              <w:textAlignment w:val="bottom"/>
            </w:pPr>
            <w:r>
              <w:rPr>
                <w:rFonts w:ascii="Arial" w:eastAsia="宋体" w:hAnsi="Arial" w:cs="Arial"/>
                <w:b/>
                <w:bCs/>
                <w:color w:val="000000"/>
                <w:sz w:val="13"/>
                <w:szCs w:val="13"/>
              </w:rPr>
              <w:t>Net interest income</w:t>
            </w:r>
          </w:p>
        </w:tc>
        <w:tc>
          <w:tcPr>
            <w:tcW w:w="0" w:type="auto"/>
            <w:shd w:val="clear" w:color="auto" w:fill="auto"/>
            <w:vAlign w:val="bottom"/>
          </w:tcPr>
          <w:p w14:paraId="5F2D4876" w14:textId="77777777" w:rsidR="00E836FB" w:rsidRDefault="00E836FB">
            <w:pPr>
              <w:rPr>
                <w:rFonts w:ascii="宋体"/>
                <w:vanish/>
              </w:rPr>
            </w:pPr>
          </w:p>
        </w:tc>
        <w:tc>
          <w:tcPr>
            <w:tcW w:w="0" w:type="auto"/>
            <w:shd w:val="clear" w:color="auto" w:fill="auto"/>
            <w:vAlign w:val="bottom"/>
          </w:tcPr>
          <w:p w14:paraId="5F2D4877" w14:textId="77777777" w:rsidR="00E836FB" w:rsidRDefault="00E836FB">
            <w:pPr>
              <w:rPr>
                <w:rFonts w:ascii="宋体"/>
                <w:vanish/>
              </w:rPr>
            </w:pPr>
          </w:p>
        </w:tc>
        <w:tc>
          <w:tcPr>
            <w:tcW w:w="0" w:type="auto"/>
            <w:shd w:val="clear" w:color="auto" w:fill="auto"/>
            <w:vAlign w:val="bottom"/>
          </w:tcPr>
          <w:p w14:paraId="5F2D4878" w14:textId="77777777" w:rsidR="00E836FB" w:rsidRDefault="00E836FB">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879"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87A" w14:textId="77777777" w:rsidR="00E836FB" w:rsidRDefault="00994958">
            <w:pPr>
              <w:jc w:val="right"/>
              <w:textAlignment w:val="bottom"/>
            </w:pPr>
            <w:r>
              <w:rPr>
                <w:rFonts w:ascii="Arial" w:eastAsia="宋体" w:hAnsi="Arial" w:cs="Arial"/>
                <w:b/>
                <w:bCs/>
                <w:color w:val="000000"/>
                <w:sz w:val="13"/>
                <w:szCs w:val="13"/>
              </w:rPr>
              <w:t>1,905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87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7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87D"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87E" w14:textId="77777777" w:rsidR="00E836FB" w:rsidRDefault="00994958">
            <w:pPr>
              <w:jc w:val="right"/>
              <w:textAlignment w:val="bottom"/>
            </w:pPr>
            <w:r>
              <w:rPr>
                <w:rFonts w:ascii="Arial" w:eastAsia="宋体" w:hAnsi="Arial" w:cs="Arial"/>
                <w:color w:val="000000"/>
                <w:sz w:val="13"/>
                <w:szCs w:val="13"/>
              </w:rPr>
              <w:t>2,200 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8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80"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881"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882" w14:textId="77777777" w:rsidR="00E836FB" w:rsidRDefault="00994958">
            <w:pPr>
              <w:jc w:val="right"/>
              <w:textAlignment w:val="bottom"/>
            </w:pPr>
            <w:r>
              <w:rPr>
                <w:rFonts w:ascii="Arial" w:eastAsia="宋体" w:hAnsi="Arial" w:cs="Arial"/>
                <w:color w:val="000000"/>
                <w:sz w:val="13"/>
                <w:szCs w:val="13"/>
              </w:rPr>
              <w:t>2,566 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883" w14:textId="77777777" w:rsidR="00E836FB" w:rsidRDefault="00E836FB">
            <w:pPr>
              <w:jc w:val="right"/>
              <w:rPr>
                <w:rFonts w:ascii="宋体"/>
              </w:rPr>
            </w:pPr>
          </w:p>
        </w:tc>
      </w:tr>
    </w:tbl>
    <w:p w14:paraId="5F2D4885" w14:textId="77777777" w:rsidR="00E836FB" w:rsidRDefault="00994958">
      <w:pPr>
        <w:spacing w:before="90"/>
        <w:textAlignment w:val="top"/>
      </w:pPr>
      <w:r>
        <w:rPr>
          <w:rFonts w:ascii="Arial" w:eastAsia="宋体" w:hAnsi="Arial" w:cs="Arial"/>
          <w:b/>
          <w:bCs/>
          <w:color w:val="000000"/>
          <w:sz w:val="20"/>
          <w:szCs w:val="20"/>
        </w:rPr>
        <w:t>Note 18. Equity-Based Compensation</w:t>
      </w:r>
    </w:p>
    <w:p w14:paraId="5F2D4886" w14:textId="77777777" w:rsidR="00E836FB" w:rsidRDefault="00994958">
      <w:pPr>
        <w:spacing w:before="60"/>
        <w:ind w:firstLine="450"/>
        <w:jc w:val="both"/>
        <w:textAlignment w:val="top"/>
      </w:pPr>
      <w:r>
        <w:rPr>
          <w:rFonts w:ascii="Arial" w:eastAsia="宋体" w:hAnsi="Arial" w:cs="Arial"/>
          <w:color w:val="000000"/>
          <w:sz w:val="20"/>
          <w:szCs w:val="20"/>
        </w:rPr>
        <w:t>We record compensation expense for equity-based awards, such as deferred stock and performance awards, based on the closing price of our common stock</w:t>
      </w:r>
      <w:r>
        <w:rPr>
          <w:rFonts w:ascii="Arial" w:eastAsia="宋体" w:hAnsi="Arial" w:cs="Arial"/>
          <w:color w:val="000000"/>
          <w:sz w:val="20"/>
          <w:szCs w:val="20"/>
        </w:rPr>
        <w:t xml:space="preserve"> on the date of grant, adjusted if appropriate, based on the eligibility of the award to receive dividends. </w:t>
      </w:r>
    </w:p>
    <w:p w14:paraId="5F2D4887" w14:textId="77777777" w:rsidR="00E836FB" w:rsidRDefault="00994958">
      <w:pPr>
        <w:spacing w:before="60"/>
        <w:ind w:firstLine="450"/>
        <w:jc w:val="both"/>
        <w:textAlignment w:val="top"/>
      </w:pPr>
      <w:r>
        <w:rPr>
          <w:rFonts w:ascii="Arial" w:eastAsia="宋体" w:hAnsi="Arial" w:cs="Arial"/>
          <w:color w:val="000000"/>
          <w:sz w:val="20"/>
          <w:szCs w:val="20"/>
        </w:rPr>
        <w:t>Compensation expense related to equity-based and cash settled stock awards with service-only conditions and terms that provide for a graded vesting</w:t>
      </w:r>
      <w:r>
        <w:rPr>
          <w:rFonts w:ascii="Arial" w:eastAsia="宋体" w:hAnsi="Arial" w:cs="Arial"/>
          <w:color w:val="000000"/>
          <w:sz w:val="20"/>
          <w:szCs w:val="20"/>
        </w:rPr>
        <w:t xml:space="preserve"> schedule is recognized on a straight-line basis over the required service period for the entire award. Compensation expense related to equity-based awards with performance conditions and terms that provide for a graded vesting schedule is recognized over </w:t>
      </w:r>
      <w:r>
        <w:rPr>
          <w:rFonts w:ascii="Arial" w:eastAsia="宋体" w:hAnsi="Arial" w:cs="Arial"/>
          <w:color w:val="000000"/>
          <w:sz w:val="20"/>
          <w:szCs w:val="20"/>
        </w:rPr>
        <w:t xml:space="preserve">the requisite service period for each separately vesting tranche of the award, and is based on the probable outcome of the performance conditions at each reporting date. Compensation expense is adjusted for assumptions with respect to the estimated amount </w:t>
      </w:r>
      <w:r>
        <w:rPr>
          <w:rFonts w:ascii="Arial" w:eastAsia="宋体" w:hAnsi="Arial" w:cs="Arial"/>
          <w:color w:val="000000"/>
          <w:sz w:val="20"/>
          <w:szCs w:val="20"/>
        </w:rPr>
        <w:t xml:space="preserve">of awards that will be forfeited prior to vesting, and for employees who have met certain retirement eligibility criteria. Compensation expense for common stock awards granted to employees meeting early retirement eligibility criteria is fully expensed on </w:t>
      </w:r>
      <w:r>
        <w:rPr>
          <w:rFonts w:ascii="Arial" w:eastAsia="宋体" w:hAnsi="Arial" w:cs="Arial"/>
          <w:color w:val="000000"/>
          <w:sz w:val="20"/>
          <w:szCs w:val="20"/>
        </w:rPr>
        <w:t xml:space="preserve">the grant date. </w:t>
      </w:r>
    </w:p>
    <w:p w14:paraId="5F2D4888" w14:textId="77777777" w:rsidR="00E836FB" w:rsidRDefault="00994958">
      <w:pPr>
        <w:spacing w:before="60"/>
        <w:ind w:firstLine="450"/>
        <w:jc w:val="both"/>
        <w:textAlignment w:val="top"/>
      </w:pPr>
      <w:r>
        <w:rPr>
          <w:rFonts w:ascii="Arial" w:eastAsia="宋体" w:hAnsi="Arial" w:cs="Arial"/>
          <w:color w:val="000000"/>
          <w:sz w:val="20"/>
          <w:szCs w:val="20"/>
        </w:rPr>
        <w:t>Dividend equivalents for certain equity-based awards are paid on stock units on a current basis prior to vesting and distribution.</w:t>
      </w:r>
    </w:p>
    <w:p w14:paraId="5F2D4889" w14:textId="77777777" w:rsidR="00E836FB" w:rsidRDefault="00994958">
      <w:pPr>
        <w:spacing w:before="60"/>
        <w:ind w:firstLine="450"/>
        <w:jc w:val="both"/>
        <w:textAlignment w:val="top"/>
      </w:pPr>
      <w:r>
        <w:rPr>
          <w:rFonts w:ascii="Arial" w:eastAsia="宋体" w:hAnsi="Arial" w:cs="Arial"/>
          <w:color w:val="000000"/>
          <w:sz w:val="20"/>
          <w:szCs w:val="20"/>
        </w:rPr>
        <w:t xml:space="preserve">The 2017 Stock Incentive Plan, or 2017 Plan, was approved by shareholders in May 2017 for issuance of stock </w:t>
      </w:r>
      <w:r>
        <w:rPr>
          <w:rFonts w:ascii="Arial" w:eastAsia="宋体" w:hAnsi="Arial" w:cs="Arial"/>
          <w:color w:val="000000"/>
          <w:sz w:val="20"/>
          <w:szCs w:val="20"/>
        </w:rPr>
        <w:t>and stock based awards. Awards may be made under the 2017 Plan for (i) up to 8.3 million shares of common stock plus (ii) up to an additional 28.5 million shares that were available to be issued under the 2006 Equity Incentive Plan, or 2006 Plan, or may be</w:t>
      </w:r>
      <w:r>
        <w:rPr>
          <w:rFonts w:ascii="Arial" w:eastAsia="宋体" w:hAnsi="Arial" w:cs="Arial"/>
          <w:color w:val="000000"/>
          <w:sz w:val="20"/>
          <w:szCs w:val="20"/>
        </w:rPr>
        <w:t xml:space="preserve">come available for issuance under the 2006 Plan due to expiration, termination, cancellation, forfeiture or repurchase of awards granted under the 2006 Plan. As of December 31, 2021, a total of 20.8 million shares from the 2006 Plan have been added to and </w:t>
      </w:r>
      <w:r>
        <w:rPr>
          <w:rFonts w:ascii="Arial" w:eastAsia="宋体" w:hAnsi="Arial" w:cs="Arial"/>
          <w:color w:val="000000"/>
          <w:sz w:val="20"/>
          <w:szCs w:val="20"/>
        </w:rPr>
        <w:t>may be issued from the 2017 Plan. As of December 31, 2021, a cumulative total of 15.2 million shares have been awarded under the 2017 Plan, compared to cumulative totals of 11.3 million shares and 7.6 million shares as of December 31, 2020 and 2019, respec</w:t>
      </w:r>
      <w:r>
        <w:rPr>
          <w:rFonts w:ascii="Arial" w:eastAsia="宋体" w:hAnsi="Arial" w:cs="Arial"/>
          <w:color w:val="000000"/>
          <w:sz w:val="20"/>
          <w:szCs w:val="20"/>
        </w:rPr>
        <w:t>tively.</w:t>
      </w:r>
    </w:p>
    <w:p w14:paraId="5F2D488A" w14:textId="77777777" w:rsidR="00E836FB" w:rsidRDefault="00994958">
      <w:pPr>
        <w:spacing w:before="60"/>
        <w:ind w:firstLine="450"/>
        <w:jc w:val="both"/>
        <w:textAlignment w:val="top"/>
      </w:pPr>
      <w:r>
        <w:rPr>
          <w:rFonts w:ascii="Arial" w:eastAsia="宋体" w:hAnsi="Arial" w:cs="Arial"/>
          <w:color w:val="000000"/>
          <w:sz w:val="20"/>
          <w:szCs w:val="20"/>
        </w:rPr>
        <w:t xml:space="preserve">The 2017 Plan allows for shares withheld in payment of the exercise price of an award or in satisfaction of tax withholding requirements, shares forfeited due to employee termination, shares expired under option awards, or shares not </w:t>
      </w:r>
      <w:r>
        <w:rPr>
          <w:rFonts w:ascii="Arial" w:eastAsia="宋体" w:hAnsi="Arial" w:cs="Arial"/>
          <w:color w:val="000000"/>
          <w:sz w:val="20"/>
          <w:szCs w:val="20"/>
        </w:rPr>
        <w:t>delivered when performance conditions have not been met, to be added back to the pool of shares available for issuance under the 2017 Plan. From inception to December 31, 2021, 3 million shares had been awarded under the 2017 Plan but not delivered, and ha</w:t>
      </w:r>
      <w:r>
        <w:rPr>
          <w:rFonts w:ascii="Arial" w:eastAsia="宋体" w:hAnsi="Arial" w:cs="Arial"/>
          <w:color w:val="000000"/>
          <w:sz w:val="20"/>
          <w:szCs w:val="20"/>
        </w:rPr>
        <w:t>ve become available for re-issue. As of December 31, 2021, a total of 16.9 million shares were available for future issuance under the 2017 Plan.</w:t>
      </w:r>
    </w:p>
    <w:p w14:paraId="5F2D488B" w14:textId="77777777" w:rsidR="00E836FB" w:rsidRDefault="00994958">
      <w:pPr>
        <w:spacing w:before="60"/>
        <w:ind w:firstLine="450"/>
        <w:jc w:val="both"/>
        <w:textAlignment w:val="top"/>
      </w:pPr>
      <w:r>
        <w:rPr>
          <w:rFonts w:ascii="Arial" w:eastAsia="宋体" w:hAnsi="Arial" w:cs="Arial"/>
          <w:color w:val="000000"/>
          <w:sz w:val="20"/>
          <w:szCs w:val="20"/>
        </w:rPr>
        <w:t>For deferred stock awards granted under the Plans, no common stock is issued at the time of grant and the awar</w:t>
      </w:r>
      <w:r>
        <w:rPr>
          <w:rFonts w:ascii="Arial" w:eastAsia="宋体" w:hAnsi="Arial" w:cs="Arial"/>
          <w:color w:val="000000"/>
          <w:sz w:val="20"/>
          <w:szCs w:val="20"/>
        </w:rPr>
        <w:t>d does not possess dividend and voting rights. Generally, these grants vest over one to four years. Performance awards granted are earned over a performance period based on the achievement of defined goals, generally over three years. Payment for performan</w:t>
      </w:r>
      <w:r>
        <w:rPr>
          <w:rFonts w:ascii="Arial" w:eastAsia="宋体" w:hAnsi="Arial" w:cs="Arial"/>
          <w:color w:val="000000"/>
          <w:sz w:val="20"/>
          <w:szCs w:val="20"/>
        </w:rPr>
        <w:t>ce awards is made in shares of our common stock equal to its fair market value per share, based on the performance of certain financial ratios, after the conclusion of each performance period.</w:t>
      </w:r>
    </w:p>
    <w:p w14:paraId="5F2D488C" w14:textId="77777777" w:rsidR="00E836FB" w:rsidRDefault="00994958">
      <w:pPr>
        <w:spacing w:before="60"/>
        <w:ind w:firstLine="450"/>
        <w:jc w:val="both"/>
        <w:textAlignment w:val="top"/>
      </w:pPr>
      <w:r>
        <w:rPr>
          <w:rFonts w:ascii="Arial" w:eastAsia="宋体" w:hAnsi="Arial" w:cs="Arial"/>
          <w:color w:val="000000"/>
          <w:sz w:val="20"/>
          <w:szCs w:val="20"/>
        </w:rPr>
        <w:t>Beginning with 2012, malus-based forfeiture provisions were inc</w:t>
      </w:r>
      <w:r>
        <w:rPr>
          <w:rFonts w:ascii="Arial" w:eastAsia="宋体" w:hAnsi="Arial" w:cs="Arial"/>
          <w:color w:val="000000"/>
          <w:sz w:val="20"/>
          <w:szCs w:val="20"/>
        </w:rPr>
        <w:t xml:space="preserve">luded in deferred stock awards granted to employees identified as “material risk-takers,” as defined by management. These malus-based forfeiture provisions provide for the reduction or cancellation of unvested deferred compensation, such as deferred stock </w:t>
      </w:r>
      <w:r>
        <w:rPr>
          <w:rFonts w:ascii="Arial" w:eastAsia="宋体" w:hAnsi="Arial" w:cs="Arial"/>
          <w:color w:val="000000"/>
          <w:sz w:val="20"/>
          <w:szCs w:val="20"/>
        </w:rPr>
        <w:t xml:space="preserve">awards and performance based awards, if it is determined that a material risk-taker made risk-based decisions that exposed us to </w:t>
      </w:r>
    </w:p>
    <w:p w14:paraId="5F2D488D" w14:textId="77777777" w:rsidR="00E836FB" w:rsidRDefault="00994958">
      <w:pPr>
        <w:ind w:firstLine="450"/>
        <w:jc w:val="right"/>
      </w:pPr>
      <w:r>
        <w:rPr>
          <w:rFonts w:ascii="Arial" w:eastAsia="宋体" w:hAnsi="Arial" w:cs="Arial"/>
          <w:color w:val="000000"/>
          <w:sz w:val="18"/>
          <w:szCs w:val="18"/>
        </w:rPr>
        <w:t>State Street Corporation | 173</w:t>
      </w:r>
    </w:p>
    <w:p w14:paraId="5F2D488E" w14:textId="77777777" w:rsidR="00E836FB" w:rsidRDefault="00E836FB">
      <w:pPr>
        <w:ind w:firstLine="450"/>
        <w:jc w:val="center"/>
      </w:pPr>
    </w:p>
    <w:p w14:paraId="5F2D488F" w14:textId="77777777" w:rsidR="00E836FB" w:rsidRDefault="00994958">
      <w:r>
        <w:pict w14:anchorId="5F2D6E32">
          <v:rect id="_x0000_i1197" style="width:415.3pt;height:1.5pt" o:hralign="center" o:hrstd="t" o:hr="t" fillcolor="#a0a0a0" stroked="f"/>
        </w:pict>
      </w:r>
    </w:p>
    <w:p w14:paraId="5F2D4890" w14:textId="77777777" w:rsidR="00E836FB" w:rsidRDefault="00994958">
      <w:pPr>
        <w:ind w:firstLine="450"/>
        <w:jc w:val="center"/>
      </w:pPr>
      <w:r>
        <w:rPr>
          <w:rFonts w:ascii="Arial" w:eastAsia="宋体" w:hAnsi="Arial" w:cs="Arial"/>
          <w:b/>
          <w:bCs/>
          <w:color w:val="000000"/>
          <w:sz w:val="20"/>
          <w:szCs w:val="20"/>
        </w:rPr>
        <w:t>STATE STREET CORPORATION</w:t>
      </w:r>
    </w:p>
    <w:p w14:paraId="5F2D4891"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892" w14:textId="77777777" w:rsidR="00E836FB" w:rsidRDefault="00994958">
      <w:pPr>
        <w:spacing w:before="60"/>
        <w:jc w:val="both"/>
        <w:textAlignment w:val="top"/>
      </w:pPr>
      <w:r>
        <w:rPr>
          <w:rFonts w:ascii="Arial" w:eastAsia="宋体" w:hAnsi="Arial" w:cs="Arial"/>
          <w:color w:val="000000"/>
          <w:sz w:val="20"/>
          <w:szCs w:val="20"/>
        </w:rPr>
        <w:t>inappropriate risks that resulted in a material unexpected loss at the business-unit, line-of-business or corporate level. In addition, awards granted to certain of our senior executives, as well as awards granted to individuals in certain jurisdictions, m</w:t>
      </w:r>
      <w:r>
        <w:rPr>
          <w:rFonts w:ascii="Arial" w:eastAsia="宋体" w:hAnsi="Arial" w:cs="Arial"/>
          <w:color w:val="000000"/>
          <w:sz w:val="20"/>
          <w:szCs w:val="20"/>
        </w:rPr>
        <w:t>ay be subject to recoupment after vesting (if applicable) and delivery to the individual in specified circumstances generally relating to fraud or willful misconduct by the individual that results in material harm to us or a material financial restatement.</w:t>
      </w:r>
    </w:p>
    <w:p w14:paraId="5F2D4893" w14:textId="77777777" w:rsidR="00E836FB" w:rsidRDefault="00994958">
      <w:pPr>
        <w:spacing w:before="60"/>
        <w:ind w:firstLine="450"/>
        <w:jc w:val="both"/>
        <w:textAlignment w:val="top"/>
      </w:pPr>
      <w:r>
        <w:rPr>
          <w:rFonts w:ascii="Arial" w:eastAsia="宋体" w:hAnsi="Arial" w:cs="Arial"/>
          <w:color w:val="000000"/>
          <w:sz w:val="20"/>
          <w:szCs w:val="20"/>
        </w:rPr>
        <w:t>Compensation expense related to deferred stock awards and performance awards, which we record as a component of compensation and employee benefits expense in our consolidated statement of income, was $259 million, $240 million and $235 million for the yea</w:t>
      </w:r>
      <w:r>
        <w:rPr>
          <w:rFonts w:ascii="Arial" w:eastAsia="宋体" w:hAnsi="Arial" w:cs="Arial"/>
          <w:color w:val="000000"/>
          <w:sz w:val="20"/>
          <w:szCs w:val="20"/>
        </w:rPr>
        <w:t xml:space="preserve">rs ended December 31, 2021, 2020 and 2019, respectively. Such expense for 2021, 2020 and 2019 excluded a release of $5 million, an expense of $29 million and a release of $4 million, respectively, associated with acceleration of expense in connection with </w:t>
      </w:r>
      <w:r>
        <w:rPr>
          <w:rFonts w:ascii="Arial" w:eastAsia="宋体" w:hAnsi="Arial" w:cs="Arial"/>
          <w:color w:val="000000"/>
          <w:sz w:val="20"/>
          <w:szCs w:val="20"/>
        </w:rPr>
        <w:t xml:space="preserve">targeted staff reductions. This expense was included in the severance-related portion of the associated restructuring or repositioning charges recorded in each respective year. </w:t>
      </w:r>
    </w:p>
    <w:p w14:paraId="5F2D4894" w14:textId="77777777" w:rsidR="00E836FB" w:rsidRDefault="00994958">
      <w:pPr>
        <w:spacing w:before="60"/>
        <w:ind w:firstLine="450"/>
        <w:jc w:val="both"/>
        <w:textAlignment w:val="top"/>
      </w:pPr>
      <w:r>
        <w:rPr>
          <w:rFonts w:ascii="Arial" w:eastAsia="宋体" w:hAnsi="Arial" w:cs="Arial"/>
          <w:color w:val="000000"/>
          <w:sz w:val="20"/>
          <w:szCs w:val="20"/>
        </w:rPr>
        <w:t>For the years ended December 31, 2021, 2020 and 2019, no stock appreciation ri</w:t>
      </w:r>
      <w:r>
        <w:rPr>
          <w:rFonts w:ascii="Arial" w:eastAsia="宋体" w:hAnsi="Arial" w:cs="Arial"/>
          <w:color w:val="000000"/>
          <w:sz w:val="20"/>
          <w:szCs w:val="20"/>
        </w:rPr>
        <w:t>ghts were exercised. As of December 31, 2021, there was no unrecognized compensation cost related to stock appreciation rights.</w:t>
      </w:r>
    </w:p>
    <w:tbl>
      <w:tblPr>
        <w:tblW w:w="5000" w:type="pct"/>
        <w:tblCellMar>
          <w:top w:w="15" w:type="dxa"/>
          <w:left w:w="15" w:type="dxa"/>
          <w:bottom w:w="15" w:type="dxa"/>
          <w:right w:w="15" w:type="dxa"/>
        </w:tblCellMar>
        <w:tblLook w:val="04A0" w:firstRow="1" w:lastRow="0" w:firstColumn="1" w:lastColumn="0" w:noHBand="0" w:noVBand="1"/>
      </w:tblPr>
      <w:tblGrid>
        <w:gridCol w:w="57"/>
        <w:gridCol w:w="2818"/>
        <w:gridCol w:w="37"/>
        <w:gridCol w:w="57"/>
        <w:gridCol w:w="2531"/>
        <w:gridCol w:w="36"/>
        <w:gridCol w:w="36"/>
        <w:gridCol w:w="61"/>
        <w:gridCol w:w="36"/>
        <w:gridCol w:w="99"/>
        <w:gridCol w:w="2532"/>
        <w:gridCol w:w="36"/>
      </w:tblGrid>
      <w:tr w:rsidR="00E836FB" w14:paraId="5F2D48A1" w14:textId="77777777">
        <w:tc>
          <w:tcPr>
            <w:tcW w:w="50" w:type="pct"/>
            <w:shd w:val="clear" w:color="auto" w:fill="auto"/>
            <w:vAlign w:val="bottom"/>
          </w:tcPr>
          <w:p w14:paraId="5F2D4895" w14:textId="77777777" w:rsidR="00E836FB" w:rsidRDefault="00E836FB">
            <w:pPr>
              <w:rPr>
                <w:rFonts w:ascii="宋体"/>
              </w:rPr>
            </w:pPr>
          </w:p>
        </w:tc>
        <w:tc>
          <w:tcPr>
            <w:tcW w:w="1705" w:type="pct"/>
            <w:shd w:val="clear" w:color="auto" w:fill="auto"/>
            <w:vAlign w:val="bottom"/>
          </w:tcPr>
          <w:p w14:paraId="5F2D4896" w14:textId="77777777" w:rsidR="00E836FB" w:rsidRDefault="00E836FB">
            <w:pPr>
              <w:rPr>
                <w:rFonts w:ascii="宋体"/>
              </w:rPr>
            </w:pPr>
          </w:p>
        </w:tc>
        <w:tc>
          <w:tcPr>
            <w:tcW w:w="5" w:type="pct"/>
            <w:shd w:val="clear" w:color="auto" w:fill="auto"/>
            <w:vAlign w:val="bottom"/>
          </w:tcPr>
          <w:p w14:paraId="5F2D4897" w14:textId="77777777" w:rsidR="00E836FB" w:rsidRDefault="00E836FB">
            <w:pPr>
              <w:rPr>
                <w:rFonts w:ascii="宋体"/>
              </w:rPr>
            </w:pPr>
          </w:p>
        </w:tc>
        <w:tc>
          <w:tcPr>
            <w:tcW w:w="50" w:type="pct"/>
            <w:shd w:val="clear" w:color="auto" w:fill="auto"/>
            <w:vAlign w:val="bottom"/>
          </w:tcPr>
          <w:p w14:paraId="5F2D4898" w14:textId="77777777" w:rsidR="00E836FB" w:rsidRDefault="00E836FB">
            <w:pPr>
              <w:rPr>
                <w:rFonts w:ascii="宋体"/>
              </w:rPr>
            </w:pPr>
          </w:p>
        </w:tc>
        <w:tc>
          <w:tcPr>
            <w:tcW w:w="1533" w:type="pct"/>
            <w:shd w:val="clear" w:color="auto" w:fill="auto"/>
            <w:vAlign w:val="bottom"/>
          </w:tcPr>
          <w:p w14:paraId="5F2D4899" w14:textId="77777777" w:rsidR="00E836FB" w:rsidRDefault="00E836FB">
            <w:pPr>
              <w:rPr>
                <w:rFonts w:ascii="宋体"/>
              </w:rPr>
            </w:pPr>
          </w:p>
        </w:tc>
        <w:tc>
          <w:tcPr>
            <w:tcW w:w="5" w:type="pct"/>
            <w:shd w:val="clear" w:color="auto" w:fill="auto"/>
            <w:vAlign w:val="bottom"/>
          </w:tcPr>
          <w:p w14:paraId="5F2D489A" w14:textId="77777777" w:rsidR="00E836FB" w:rsidRDefault="00E836FB">
            <w:pPr>
              <w:rPr>
                <w:rFonts w:ascii="宋体"/>
              </w:rPr>
            </w:pPr>
          </w:p>
        </w:tc>
        <w:tc>
          <w:tcPr>
            <w:tcW w:w="5" w:type="pct"/>
            <w:shd w:val="clear" w:color="auto" w:fill="auto"/>
            <w:vAlign w:val="bottom"/>
          </w:tcPr>
          <w:p w14:paraId="5F2D489B" w14:textId="77777777" w:rsidR="00E836FB" w:rsidRDefault="00E836FB">
            <w:pPr>
              <w:rPr>
                <w:rFonts w:ascii="宋体"/>
              </w:rPr>
            </w:pPr>
          </w:p>
        </w:tc>
        <w:tc>
          <w:tcPr>
            <w:tcW w:w="52" w:type="pct"/>
            <w:shd w:val="clear" w:color="auto" w:fill="auto"/>
            <w:vAlign w:val="bottom"/>
          </w:tcPr>
          <w:p w14:paraId="5F2D489C" w14:textId="77777777" w:rsidR="00E836FB" w:rsidRDefault="00E836FB">
            <w:pPr>
              <w:rPr>
                <w:rFonts w:ascii="宋体"/>
              </w:rPr>
            </w:pPr>
          </w:p>
        </w:tc>
        <w:tc>
          <w:tcPr>
            <w:tcW w:w="5" w:type="pct"/>
            <w:shd w:val="clear" w:color="auto" w:fill="auto"/>
            <w:vAlign w:val="bottom"/>
          </w:tcPr>
          <w:p w14:paraId="5F2D489D" w14:textId="77777777" w:rsidR="00E836FB" w:rsidRDefault="00E836FB">
            <w:pPr>
              <w:rPr>
                <w:rFonts w:ascii="宋体"/>
              </w:rPr>
            </w:pPr>
          </w:p>
        </w:tc>
        <w:tc>
          <w:tcPr>
            <w:tcW w:w="50" w:type="pct"/>
            <w:shd w:val="clear" w:color="auto" w:fill="auto"/>
            <w:vAlign w:val="bottom"/>
          </w:tcPr>
          <w:p w14:paraId="5F2D489E" w14:textId="77777777" w:rsidR="00E836FB" w:rsidRDefault="00E836FB">
            <w:pPr>
              <w:rPr>
                <w:rFonts w:ascii="宋体"/>
              </w:rPr>
            </w:pPr>
          </w:p>
        </w:tc>
        <w:tc>
          <w:tcPr>
            <w:tcW w:w="1533" w:type="pct"/>
            <w:shd w:val="clear" w:color="auto" w:fill="auto"/>
            <w:vAlign w:val="bottom"/>
          </w:tcPr>
          <w:p w14:paraId="5F2D489F" w14:textId="77777777" w:rsidR="00E836FB" w:rsidRDefault="00E836FB">
            <w:pPr>
              <w:rPr>
                <w:rFonts w:ascii="宋体"/>
              </w:rPr>
            </w:pPr>
          </w:p>
        </w:tc>
        <w:tc>
          <w:tcPr>
            <w:tcW w:w="5" w:type="pct"/>
            <w:shd w:val="clear" w:color="auto" w:fill="auto"/>
            <w:vAlign w:val="bottom"/>
          </w:tcPr>
          <w:p w14:paraId="5F2D48A0" w14:textId="77777777" w:rsidR="00E836FB" w:rsidRDefault="00E836FB">
            <w:pPr>
              <w:rPr>
                <w:rFonts w:ascii="宋体"/>
              </w:rPr>
            </w:pPr>
          </w:p>
        </w:tc>
      </w:tr>
      <w:tr w:rsidR="00E836FB" w14:paraId="5F2D48A9" w14:textId="77777777">
        <w:tc>
          <w:tcPr>
            <w:tcW w:w="0" w:type="auto"/>
            <w:gridSpan w:val="3"/>
            <w:shd w:val="clear" w:color="auto" w:fill="auto"/>
            <w:tcMar>
              <w:top w:w="0" w:type="dxa"/>
              <w:left w:w="20" w:type="dxa"/>
              <w:bottom w:w="0" w:type="dxa"/>
              <w:right w:w="20" w:type="dxa"/>
            </w:tcMar>
            <w:vAlign w:val="bottom"/>
          </w:tcPr>
          <w:p w14:paraId="5F2D48A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8A3" w14:textId="77777777" w:rsidR="00E836FB" w:rsidRDefault="00994958">
            <w:pPr>
              <w:jc w:val="center"/>
              <w:textAlignment w:val="bottom"/>
            </w:pPr>
            <w:r>
              <w:rPr>
                <w:rFonts w:ascii="Arial" w:eastAsia="宋体" w:hAnsi="Arial" w:cs="Arial"/>
                <w:b/>
                <w:bCs/>
                <w:color w:val="000000"/>
                <w:sz w:val="14"/>
                <w:szCs w:val="14"/>
              </w:rPr>
              <w:t>Shares</w:t>
            </w:r>
          </w:p>
          <w:p w14:paraId="5F2D48A4" w14:textId="77777777" w:rsidR="00E836FB" w:rsidRDefault="00994958">
            <w:pPr>
              <w:jc w:val="center"/>
              <w:textAlignment w:val="bottom"/>
            </w:pPr>
            <w:r>
              <w:rPr>
                <w:rFonts w:ascii="Arial" w:eastAsia="宋体" w:hAnsi="Arial" w:cs="Arial"/>
                <w:b/>
                <w:bCs/>
                <w:color w:val="000000"/>
                <w:sz w:val="14"/>
                <w:szCs w:val="14"/>
              </w:rPr>
              <w:t>(In thousands)</w:t>
            </w:r>
          </w:p>
        </w:tc>
        <w:tc>
          <w:tcPr>
            <w:tcW w:w="0" w:type="auto"/>
            <w:gridSpan w:val="3"/>
            <w:shd w:val="clear" w:color="auto" w:fill="auto"/>
            <w:tcMar>
              <w:top w:w="0" w:type="dxa"/>
              <w:left w:w="20" w:type="dxa"/>
              <w:bottom w:w="0" w:type="dxa"/>
              <w:right w:w="20" w:type="dxa"/>
            </w:tcMar>
            <w:vAlign w:val="bottom"/>
          </w:tcPr>
          <w:p w14:paraId="5F2D48A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8A6" w14:textId="77777777" w:rsidR="00E836FB" w:rsidRDefault="00994958">
            <w:pPr>
              <w:jc w:val="center"/>
              <w:textAlignment w:val="bottom"/>
            </w:pPr>
            <w:r>
              <w:rPr>
                <w:rFonts w:ascii="Arial" w:eastAsia="宋体" w:hAnsi="Arial" w:cs="Arial"/>
                <w:b/>
                <w:bCs/>
                <w:color w:val="000000"/>
                <w:sz w:val="14"/>
                <w:szCs w:val="14"/>
              </w:rPr>
              <w:t>Weighted-Average</w:t>
            </w:r>
          </w:p>
          <w:p w14:paraId="5F2D48A7" w14:textId="77777777" w:rsidR="00E836FB" w:rsidRDefault="00994958">
            <w:pPr>
              <w:jc w:val="center"/>
              <w:textAlignment w:val="bottom"/>
            </w:pPr>
            <w:r>
              <w:rPr>
                <w:rFonts w:ascii="Arial" w:eastAsia="宋体" w:hAnsi="Arial" w:cs="Arial"/>
                <w:b/>
                <w:bCs/>
                <w:color w:val="000000"/>
                <w:sz w:val="14"/>
                <w:szCs w:val="14"/>
              </w:rPr>
              <w:t>Grant Date Fair</w:t>
            </w:r>
          </w:p>
          <w:p w14:paraId="5F2D48A8" w14:textId="77777777" w:rsidR="00E836FB" w:rsidRDefault="00994958">
            <w:pPr>
              <w:jc w:val="center"/>
              <w:textAlignment w:val="bottom"/>
            </w:pPr>
            <w:r>
              <w:rPr>
                <w:rFonts w:ascii="Arial" w:eastAsia="宋体" w:hAnsi="Arial" w:cs="Arial"/>
                <w:b/>
                <w:bCs/>
                <w:color w:val="000000"/>
                <w:sz w:val="14"/>
                <w:szCs w:val="14"/>
              </w:rPr>
              <w:t>Value</w:t>
            </w:r>
          </w:p>
        </w:tc>
      </w:tr>
      <w:tr w:rsidR="00E836FB" w14:paraId="5F2D48AE" w14:textId="77777777">
        <w:tc>
          <w:tcPr>
            <w:tcW w:w="0" w:type="auto"/>
            <w:gridSpan w:val="3"/>
            <w:shd w:val="clear" w:color="auto" w:fill="auto"/>
            <w:tcMar>
              <w:top w:w="40" w:type="dxa"/>
              <w:left w:w="20" w:type="dxa"/>
              <w:bottom w:w="40" w:type="dxa"/>
              <w:right w:w="20" w:type="dxa"/>
            </w:tcMar>
            <w:vAlign w:val="bottom"/>
          </w:tcPr>
          <w:p w14:paraId="5F2D48AA" w14:textId="77777777" w:rsidR="00E836FB" w:rsidRDefault="00994958">
            <w:pPr>
              <w:textAlignment w:val="bottom"/>
            </w:pPr>
            <w:r>
              <w:rPr>
                <w:rFonts w:ascii="Arial" w:eastAsia="宋体" w:hAnsi="Arial" w:cs="Arial"/>
                <w:b/>
                <w:bCs/>
                <w:color w:val="000000"/>
                <w:sz w:val="14"/>
                <w:szCs w:val="14"/>
              </w:rPr>
              <w:t>Deferred Stock Awards: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8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8A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8AD" w14:textId="77777777" w:rsidR="00E836FB" w:rsidRDefault="00E836FB">
            <w:pPr>
              <w:rPr>
                <w:rFonts w:ascii="宋体"/>
              </w:rPr>
            </w:pPr>
          </w:p>
        </w:tc>
      </w:tr>
      <w:tr w:rsidR="00E836FB" w14:paraId="5F2D48B3" w14:textId="77777777">
        <w:trPr>
          <w:hidden/>
        </w:trPr>
        <w:tc>
          <w:tcPr>
            <w:tcW w:w="0" w:type="auto"/>
            <w:gridSpan w:val="3"/>
            <w:shd w:val="clear" w:color="auto" w:fill="auto"/>
            <w:vAlign w:val="bottom"/>
          </w:tcPr>
          <w:p w14:paraId="5F2D48AF" w14:textId="77777777" w:rsidR="00E836FB" w:rsidRDefault="00E836FB">
            <w:pPr>
              <w:rPr>
                <w:rFonts w:ascii="宋体"/>
                <w:vanish/>
              </w:rPr>
            </w:pPr>
          </w:p>
        </w:tc>
        <w:tc>
          <w:tcPr>
            <w:tcW w:w="0" w:type="auto"/>
            <w:gridSpan w:val="3"/>
            <w:shd w:val="clear" w:color="auto" w:fill="auto"/>
            <w:vAlign w:val="bottom"/>
          </w:tcPr>
          <w:p w14:paraId="5F2D48B0" w14:textId="77777777" w:rsidR="00E836FB" w:rsidRDefault="00E836FB">
            <w:pPr>
              <w:rPr>
                <w:rFonts w:ascii="宋体"/>
                <w:vanish/>
              </w:rPr>
            </w:pPr>
          </w:p>
        </w:tc>
        <w:tc>
          <w:tcPr>
            <w:tcW w:w="0" w:type="auto"/>
            <w:gridSpan w:val="3"/>
            <w:shd w:val="clear" w:color="auto" w:fill="auto"/>
            <w:vAlign w:val="bottom"/>
          </w:tcPr>
          <w:p w14:paraId="5F2D48B1" w14:textId="77777777" w:rsidR="00E836FB" w:rsidRDefault="00E836FB">
            <w:pPr>
              <w:rPr>
                <w:rFonts w:ascii="宋体"/>
                <w:vanish/>
              </w:rPr>
            </w:pPr>
          </w:p>
        </w:tc>
        <w:tc>
          <w:tcPr>
            <w:tcW w:w="0" w:type="auto"/>
            <w:gridSpan w:val="3"/>
            <w:shd w:val="clear" w:color="auto" w:fill="auto"/>
            <w:vAlign w:val="bottom"/>
          </w:tcPr>
          <w:p w14:paraId="5F2D48B2" w14:textId="77777777" w:rsidR="00E836FB" w:rsidRDefault="00E836FB">
            <w:pPr>
              <w:rPr>
                <w:rFonts w:ascii="宋体"/>
                <w:vanish/>
              </w:rPr>
            </w:pPr>
          </w:p>
        </w:tc>
      </w:tr>
      <w:tr w:rsidR="00E836FB" w14:paraId="5F2D48B8" w14:textId="77777777">
        <w:trPr>
          <w:hidden/>
        </w:trPr>
        <w:tc>
          <w:tcPr>
            <w:tcW w:w="0" w:type="auto"/>
            <w:gridSpan w:val="3"/>
            <w:shd w:val="clear" w:color="auto" w:fill="auto"/>
            <w:vAlign w:val="bottom"/>
          </w:tcPr>
          <w:p w14:paraId="5F2D48B4" w14:textId="77777777" w:rsidR="00E836FB" w:rsidRDefault="00E836FB">
            <w:pPr>
              <w:rPr>
                <w:rFonts w:ascii="宋体"/>
                <w:vanish/>
              </w:rPr>
            </w:pPr>
          </w:p>
        </w:tc>
        <w:tc>
          <w:tcPr>
            <w:tcW w:w="0" w:type="auto"/>
            <w:gridSpan w:val="3"/>
            <w:shd w:val="clear" w:color="auto" w:fill="auto"/>
            <w:vAlign w:val="bottom"/>
          </w:tcPr>
          <w:p w14:paraId="5F2D48B5" w14:textId="77777777" w:rsidR="00E836FB" w:rsidRDefault="00E836FB">
            <w:pPr>
              <w:rPr>
                <w:rFonts w:ascii="宋体"/>
                <w:vanish/>
              </w:rPr>
            </w:pPr>
          </w:p>
        </w:tc>
        <w:tc>
          <w:tcPr>
            <w:tcW w:w="0" w:type="auto"/>
            <w:gridSpan w:val="3"/>
            <w:shd w:val="clear" w:color="auto" w:fill="auto"/>
            <w:vAlign w:val="bottom"/>
          </w:tcPr>
          <w:p w14:paraId="5F2D48B6" w14:textId="77777777" w:rsidR="00E836FB" w:rsidRDefault="00E836FB">
            <w:pPr>
              <w:rPr>
                <w:rFonts w:ascii="宋体"/>
                <w:vanish/>
              </w:rPr>
            </w:pPr>
          </w:p>
        </w:tc>
        <w:tc>
          <w:tcPr>
            <w:tcW w:w="0" w:type="auto"/>
            <w:gridSpan w:val="3"/>
            <w:shd w:val="clear" w:color="auto" w:fill="auto"/>
            <w:vAlign w:val="bottom"/>
          </w:tcPr>
          <w:p w14:paraId="5F2D48B7" w14:textId="77777777" w:rsidR="00E836FB" w:rsidRDefault="00E836FB">
            <w:pPr>
              <w:rPr>
                <w:rFonts w:ascii="宋体"/>
                <w:vanish/>
              </w:rPr>
            </w:pPr>
          </w:p>
        </w:tc>
      </w:tr>
      <w:tr w:rsidR="00E836FB" w14:paraId="5F2D48BD" w14:textId="77777777">
        <w:trPr>
          <w:hidden/>
        </w:trPr>
        <w:tc>
          <w:tcPr>
            <w:tcW w:w="0" w:type="auto"/>
            <w:gridSpan w:val="3"/>
            <w:shd w:val="clear" w:color="auto" w:fill="auto"/>
            <w:vAlign w:val="bottom"/>
          </w:tcPr>
          <w:p w14:paraId="5F2D48B9" w14:textId="77777777" w:rsidR="00E836FB" w:rsidRDefault="00E836FB">
            <w:pPr>
              <w:rPr>
                <w:rFonts w:ascii="宋体"/>
                <w:vanish/>
              </w:rPr>
            </w:pPr>
          </w:p>
        </w:tc>
        <w:tc>
          <w:tcPr>
            <w:tcW w:w="0" w:type="auto"/>
            <w:gridSpan w:val="3"/>
            <w:shd w:val="clear" w:color="auto" w:fill="auto"/>
            <w:vAlign w:val="bottom"/>
          </w:tcPr>
          <w:p w14:paraId="5F2D48BA" w14:textId="77777777" w:rsidR="00E836FB" w:rsidRDefault="00E836FB">
            <w:pPr>
              <w:rPr>
                <w:rFonts w:ascii="宋体"/>
                <w:vanish/>
              </w:rPr>
            </w:pPr>
          </w:p>
        </w:tc>
        <w:tc>
          <w:tcPr>
            <w:tcW w:w="0" w:type="auto"/>
            <w:gridSpan w:val="3"/>
            <w:shd w:val="clear" w:color="auto" w:fill="auto"/>
            <w:vAlign w:val="bottom"/>
          </w:tcPr>
          <w:p w14:paraId="5F2D48BB" w14:textId="77777777" w:rsidR="00E836FB" w:rsidRDefault="00E836FB">
            <w:pPr>
              <w:rPr>
                <w:rFonts w:ascii="宋体"/>
                <w:vanish/>
              </w:rPr>
            </w:pPr>
          </w:p>
        </w:tc>
        <w:tc>
          <w:tcPr>
            <w:tcW w:w="0" w:type="auto"/>
            <w:gridSpan w:val="3"/>
            <w:shd w:val="clear" w:color="auto" w:fill="auto"/>
            <w:vAlign w:val="bottom"/>
          </w:tcPr>
          <w:p w14:paraId="5F2D48BC" w14:textId="77777777" w:rsidR="00E836FB" w:rsidRDefault="00E836FB">
            <w:pPr>
              <w:rPr>
                <w:rFonts w:ascii="宋体"/>
                <w:vanish/>
              </w:rPr>
            </w:pPr>
          </w:p>
        </w:tc>
      </w:tr>
      <w:tr w:rsidR="00E836FB" w14:paraId="5F2D48C2" w14:textId="77777777">
        <w:trPr>
          <w:hidden/>
        </w:trPr>
        <w:tc>
          <w:tcPr>
            <w:tcW w:w="0" w:type="auto"/>
            <w:gridSpan w:val="3"/>
            <w:shd w:val="clear" w:color="auto" w:fill="auto"/>
            <w:vAlign w:val="bottom"/>
          </w:tcPr>
          <w:p w14:paraId="5F2D48BE" w14:textId="77777777" w:rsidR="00E836FB" w:rsidRDefault="00E836FB">
            <w:pPr>
              <w:rPr>
                <w:rFonts w:ascii="宋体"/>
                <w:vanish/>
              </w:rPr>
            </w:pPr>
          </w:p>
        </w:tc>
        <w:tc>
          <w:tcPr>
            <w:tcW w:w="0" w:type="auto"/>
            <w:gridSpan w:val="3"/>
            <w:shd w:val="clear" w:color="auto" w:fill="auto"/>
            <w:vAlign w:val="bottom"/>
          </w:tcPr>
          <w:p w14:paraId="5F2D48BF" w14:textId="77777777" w:rsidR="00E836FB" w:rsidRDefault="00E836FB">
            <w:pPr>
              <w:rPr>
                <w:rFonts w:ascii="宋体"/>
                <w:vanish/>
              </w:rPr>
            </w:pPr>
          </w:p>
        </w:tc>
        <w:tc>
          <w:tcPr>
            <w:tcW w:w="0" w:type="auto"/>
            <w:gridSpan w:val="3"/>
            <w:shd w:val="clear" w:color="auto" w:fill="auto"/>
            <w:vAlign w:val="bottom"/>
          </w:tcPr>
          <w:p w14:paraId="5F2D48C0" w14:textId="77777777" w:rsidR="00E836FB" w:rsidRDefault="00E836FB">
            <w:pPr>
              <w:rPr>
                <w:rFonts w:ascii="宋体"/>
                <w:vanish/>
              </w:rPr>
            </w:pPr>
          </w:p>
        </w:tc>
        <w:tc>
          <w:tcPr>
            <w:tcW w:w="0" w:type="auto"/>
            <w:gridSpan w:val="3"/>
            <w:shd w:val="clear" w:color="auto" w:fill="auto"/>
            <w:vAlign w:val="bottom"/>
          </w:tcPr>
          <w:p w14:paraId="5F2D48C1" w14:textId="77777777" w:rsidR="00E836FB" w:rsidRDefault="00E836FB">
            <w:pPr>
              <w:rPr>
                <w:rFonts w:ascii="宋体"/>
                <w:vanish/>
              </w:rPr>
            </w:pPr>
          </w:p>
        </w:tc>
      </w:tr>
      <w:tr w:rsidR="00E836FB" w14:paraId="5F2D48CA" w14:textId="77777777">
        <w:tc>
          <w:tcPr>
            <w:tcW w:w="0" w:type="auto"/>
            <w:gridSpan w:val="3"/>
            <w:shd w:val="clear" w:color="auto" w:fill="CCEEFF"/>
            <w:tcMar>
              <w:top w:w="40" w:type="dxa"/>
              <w:left w:w="20" w:type="dxa"/>
              <w:bottom w:w="40" w:type="dxa"/>
              <w:right w:w="20" w:type="dxa"/>
            </w:tcMar>
            <w:vAlign w:val="bottom"/>
          </w:tcPr>
          <w:p w14:paraId="5F2D48C3" w14:textId="77777777" w:rsidR="00E836FB" w:rsidRDefault="00994958">
            <w:pPr>
              <w:textAlignment w:val="bottom"/>
            </w:pPr>
            <w:r>
              <w:rPr>
                <w:rFonts w:ascii="Arial" w:eastAsia="宋体" w:hAnsi="Arial" w:cs="Arial"/>
                <w:b/>
                <w:bCs/>
                <w:color w:val="000000"/>
                <w:sz w:val="14"/>
                <w:szCs w:val="14"/>
              </w:rPr>
              <w:t>Outstanding as of December 31, 2019</w:t>
            </w:r>
          </w:p>
        </w:tc>
        <w:tc>
          <w:tcPr>
            <w:tcW w:w="0" w:type="auto"/>
            <w:gridSpan w:val="2"/>
            <w:shd w:val="clear" w:color="auto" w:fill="CCEEFF"/>
            <w:tcMar>
              <w:top w:w="40" w:type="dxa"/>
              <w:left w:w="20" w:type="dxa"/>
              <w:bottom w:w="40" w:type="dxa"/>
              <w:right w:w="0" w:type="dxa"/>
            </w:tcMar>
            <w:vAlign w:val="bottom"/>
          </w:tcPr>
          <w:p w14:paraId="5F2D48C4" w14:textId="77777777" w:rsidR="00E836FB" w:rsidRDefault="00994958">
            <w:pPr>
              <w:jc w:val="right"/>
              <w:textAlignment w:val="bottom"/>
            </w:pPr>
            <w:r>
              <w:rPr>
                <w:rFonts w:ascii="Arial" w:eastAsia="宋体" w:hAnsi="Arial" w:cs="Arial"/>
                <w:color w:val="000000"/>
                <w:sz w:val="14"/>
                <w:szCs w:val="14"/>
              </w:rPr>
              <w:t>5,834 </w:t>
            </w:r>
          </w:p>
        </w:tc>
        <w:tc>
          <w:tcPr>
            <w:tcW w:w="0" w:type="auto"/>
            <w:shd w:val="clear" w:color="auto" w:fill="CCEEFF"/>
            <w:tcMar>
              <w:top w:w="40" w:type="dxa"/>
              <w:left w:w="0" w:type="dxa"/>
              <w:bottom w:w="40" w:type="dxa"/>
              <w:right w:w="20" w:type="dxa"/>
            </w:tcMar>
            <w:vAlign w:val="bottom"/>
          </w:tcPr>
          <w:p w14:paraId="5F2D48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C6"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8C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8C8" w14:textId="77777777" w:rsidR="00E836FB" w:rsidRDefault="00994958">
            <w:pPr>
              <w:jc w:val="right"/>
              <w:textAlignment w:val="bottom"/>
            </w:pPr>
            <w:r>
              <w:rPr>
                <w:rFonts w:ascii="Arial" w:eastAsia="宋体" w:hAnsi="Arial" w:cs="Arial"/>
                <w:color w:val="000000"/>
                <w:sz w:val="14"/>
                <w:szCs w:val="14"/>
              </w:rPr>
              <w:t>74.33 </w:t>
            </w:r>
          </w:p>
        </w:tc>
        <w:tc>
          <w:tcPr>
            <w:tcW w:w="0" w:type="auto"/>
            <w:shd w:val="clear" w:color="auto" w:fill="CCEEFF"/>
            <w:tcMar>
              <w:top w:w="40" w:type="dxa"/>
              <w:left w:w="0" w:type="dxa"/>
              <w:bottom w:w="40" w:type="dxa"/>
              <w:right w:w="20" w:type="dxa"/>
            </w:tcMar>
            <w:vAlign w:val="bottom"/>
          </w:tcPr>
          <w:p w14:paraId="5F2D48C9" w14:textId="77777777" w:rsidR="00E836FB" w:rsidRDefault="00E836FB">
            <w:pPr>
              <w:jc w:val="right"/>
              <w:rPr>
                <w:rFonts w:ascii="宋体"/>
              </w:rPr>
            </w:pPr>
          </w:p>
        </w:tc>
      </w:tr>
      <w:tr w:rsidR="00E836FB" w14:paraId="5F2D48D1" w14:textId="77777777">
        <w:tc>
          <w:tcPr>
            <w:tcW w:w="0" w:type="auto"/>
            <w:gridSpan w:val="3"/>
            <w:shd w:val="clear" w:color="auto" w:fill="FFFFFF"/>
            <w:tcMar>
              <w:top w:w="40" w:type="dxa"/>
              <w:left w:w="20" w:type="dxa"/>
              <w:bottom w:w="40" w:type="dxa"/>
              <w:right w:w="20" w:type="dxa"/>
            </w:tcMar>
            <w:vAlign w:val="bottom"/>
          </w:tcPr>
          <w:p w14:paraId="5F2D48CB" w14:textId="77777777" w:rsidR="00E836FB" w:rsidRDefault="00994958">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5F2D48CC" w14:textId="77777777" w:rsidR="00E836FB" w:rsidRDefault="00994958">
            <w:pPr>
              <w:jc w:val="right"/>
              <w:textAlignment w:val="bottom"/>
            </w:pPr>
            <w:r>
              <w:rPr>
                <w:rFonts w:ascii="Arial" w:eastAsia="宋体" w:hAnsi="Arial" w:cs="Arial"/>
                <w:color w:val="000000"/>
                <w:sz w:val="14"/>
                <w:szCs w:val="14"/>
              </w:rPr>
              <w:t>2,926 </w:t>
            </w:r>
          </w:p>
        </w:tc>
        <w:tc>
          <w:tcPr>
            <w:tcW w:w="0" w:type="auto"/>
            <w:shd w:val="clear" w:color="auto" w:fill="FFFFFF"/>
            <w:tcMar>
              <w:top w:w="40" w:type="dxa"/>
              <w:left w:w="0" w:type="dxa"/>
              <w:bottom w:w="40" w:type="dxa"/>
              <w:right w:w="20" w:type="dxa"/>
            </w:tcMar>
            <w:vAlign w:val="bottom"/>
          </w:tcPr>
          <w:p w14:paraId="5F2D48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CF" w14:textId="77777777" w:rsidR="00E836FB" w:rsidRDefault="00994958">
            <w:pPr>
              <w:jc w:val="right"/>
              <w:textAlignment w:val="bottom"/>
            </w:pPr>
            <w:r>
              <w:rPr>
                <w:rFonts w:ascii="Arial" w:eastAsia="宋体" w:hAnsi="Arial" w:cs="Arial"/>
                <w:color w:val="000000"/>
                <w:sz w:val="14"/>
                <w:szCs w:val="14"/>
              </w:rPr>
              <w:t>63.56 </w:t>
            </w:r>
          </w:p>
        </w:tc>
        <w:tc>
          <w:tcPr>
            <w:tcW w:w="0" w:type="auto"/>
            <w:shd w:val="clear" w:color="auto" w:fill="FFFFFF"/>
            <w:tcMar>
              <w:top w:w="40" w:type="dxa"/>
              <w:left w:w="0" w:type="dxa"/>
              <w:bottom w:w="40" w:type="dxa"/>
              <w:right w:w="20" w:type="dxa"/>
            </w:tcMar>
            <w:vAlign w:val="bottom"/>
          </w:tcPr>
          <w:p w14:paraId="5F2D48D0" w14:textId="77777777" w:rsidR="00E836FB" w:rsidRDefault="00E836FB">
            <w:pPr>
              <w:jc w:val="right"/>
              <w:rPr>
                <w:rFonts w:ascii="宋体"/>
              </w:rPr>
            </w:pPr>
          </w:p>
        </w:tc>
      </w:tr>
      <w:tr w:rsidR="00E836FB" w14:paraId="5F2D48D8" w14:textId="77777777">
        <w:tc>
          <w:tcPr>
            <w:tcW w:w="0" w:type="auto"/>
            <w:gridSpan w:val="3"/>
            <w:shd w:val="clear" w:color="auto" w:fill="CCEEFF"/>
            <w:tcMar>
              <w:top w:w="40" w:type="dxa"/>
              <w:left w:w="20" w:type="dxa"/>
              <w:bottom w:w="40" w:type="dxa"/>
              <w:right w:w="20" w:type="dxa"/>
            </w:tcMar>
            <w:vAlign w:val="bottom"/>
          </w:tcPr>
          <w:p w14:paraId="5F2D48D2" w14:textId="77777777" w:rsidR="00E836FB" w:rsidRDefault="00994958">
            <w:pPr>
              <w:textAlignment w:val="bottom"/>
            </w:pPr>
            <w:r>
              <w:rPr>
                <w:rFonts w:ascii="Arial" w:eastAsia="宋体" w:hAnsi="Arial" w:cs="Arial"/>
                <w:color w:val="000000"/>
                <w:sz w:val="14"/>
                <w:szCs w:val="14"/>
              </w:rPr>
              <w:t>Vested</w:t>
            </w:r>
          </w:p>
        </w:tc>
        <w:tc>
          <w:tcPr>
            <w:tcW w:w="0" w:type="auto"/>
            <w:gridSpan w:val="2"/>
            <w:shd w:val="clear" w:color="auto" w:fill="CCEEFF"/>
            <w:tcMar>
              <w:top w:w="40" w:type="dxa"/>
              <w:left w:w="20" w:type="dxa"/>
              <w:bottom w:w="40" w:type="dxa"/>
              <w:right w:w="0" w:type="dxa"/>
            </w:tcMar>
            <w:vAlign w:val="bottom"/>
          </w:tcPr>
          <w:p w14:paraId="5F2D48D3" w14:textId="77777777" w:rsidR="00E836FB" w:rsidRDefault="00994958">
            <w:pPr>
              <w:jc w:val="right"/>
              <w:textAlignment w:val="bottom"/>
            </w:pPr>
            <w:r>
              <w:rPr>
                <w:rFonts w:ascii="Arial" w:eastAsia="宋体" w:hAnsi="Arial" w:cs="Arial"/>
                <w:color w:val="000000"/>
                <w:sz w:val="14"/>
                <w:szCs w:val="14"/>
              </w:rPr>
              <w:t>(2,938)</w:t>
            </w:r>
          </w:p>
        </w:tc>
        <w:tc>
          <w:tcPr>
            <w:tcW w:w="0" w:type="auto"/>
            <w:shd w:val="clear" w:color="auto" w:fill="CCEEFF"/>
            <w:tcMar>
              <w:top w:w="40" w:type="dxa"/>
              <w:left w:w="0" w:type="dxa"/>
              <w:bottom w:w="40" w:type="dxa"/>
              <w:right w:w="20" w:type="dxa"/>
            </w:tcMar>
            <w:vAlign w:val="bottom"/>
          </w:tcPr>
          <w:p w14:paraId="5F2D48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D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D6" w14:textId="77777777" w:rsidR="00E836FB" w:rsidRDefault="00994958">
            <w:pPr>
              <w:jc w:val="right"/>
              <w:textAlignment w:val="bottom"/>
            </w:pPr>
            <w:r>
              <w:rPr>
                <w:rFonts w:ascii="Arial" w:eastAsia="宋体" w:hAnsi="Arial" w:cs="Arial"/>
                <w:color w:val="000000"/>
                <w:sz w:val="14"/>
                <w:szCs w:val="14"/>
              </w:rPr>
              <w:t>71.33 </w:t>
            </w:r>
          </w:p>
        </w:tc>
        <w:tc>
          <w:tcPr>
            <w:tcW w:w="0" w:type="auto"/>
            <w:shd w:val="clear" w:color="auto" w:fill="CCEEFF"/>
            <w:tcMar>
              <w:top w:w="40" w:type="dxa"/>
              <w:left w:w="0" w:type="dxa"/>
              <w:bottom w:w="40" w:type="dxa"/>
              <w:right w:w="20" w:type="dxa"/>
            </w:tcMar>
            <w:vAlign w:val="bottom"/>
          </w:tcPr>
          <w:p w14:paraId="5F2D48D7" w14:textId="77777777" w:rsidR="00E836FB" w:rsidRDefault="00E836FB">
            <w:pPr>
              <w:jc w:val="right"/>
              <w:rPr>
                <w:rFonts w:ascii="宋体"/>
              </w:rPr>
            </w:pPr>
          </w:p>
        </w:tc>
      </w:tr>
      <w:tr w:rsidR="00E836FB" w14:paraId="5F2D48DF" w14:textId="77777777">
        <w:tc>
          <w:tcPr>
            <w:tcW w:w="0" w:type="auto"/>
            <w:gridSpan w:val="3"/>
            <w:shd w:val="clear" w:color="auto" w:fill="FFFFFF"/>
            <w:tcMar>
              <w:top w:w="40" w:type="dxa"/>
              <w:left w:w="20" w:type="dxa"/>
              <w:bottom w:w="40" w:type="dxa"/>
              <w:right w:w="20" w:type="dxa"/>
            </w:tcMar>
            <w:vAlign w:val="bottom"/>
          </w:tcPr>
          <w:p w14:paraId="5F2D48D9" w14:textId="77777777" w:rsidR="00E836FB" w:rsidRDefault="00994958">
            <w:pPr>
              <w:textAlignment w:val="bottom"/>
            </w:pPr>
            <w:r>
              <w:rPr>
                <w:rFonts w:ascii="Arial" w:eastAsia="宋体" w:hAnsi="Arial" w:cs="Arial"/>
                <w:color w:val="000000"/>
                <w:sz w:val="14"/>
                <w:szCs w:val="14"/>
              </w:rPr>
              <w:t>Forfeited</w:t>
            </w:r>
          </w:p>
        </w:tc>
        <w:tc>
          <w:tcPr>
            <w:tcW w:w="0" w:type="auto"/>
            <w:gridSpan w:val="2"/>
            <w:shd w:val="clear" w:color="auto" w:fill="FFFFFF"/>
            <w:tcMar>
              <w:top w:w="40" w:type="dxa"/>
              <w:left w:w="20" w:type="dxa"/>
              <w:bottom w:w="40" w:type="dxa"/>
              <w:right w:w="0" w:type="dxa"/>
            </w:tcMar>
            <w:vAlign w:val="bottom"/>
          </w:tcPr>
          <w:p w14:paraId="5F2D48DA" w14:textId="77777777" w:rsidR="00E836FB" w:rsidRDefault="00994958">
            <w:pPr>
              <w:jc w:val="right"/>
              <w:textAlignment w:val="bottom"/>
            </w:pPr>
            <w:r>
              <w:rPr>
                <w:rFonts w:ascii="Arial" w:eastAsia="宋体" w:hAnsi="Arial" w:cs="Arial"/>
                <w:color w:val="000000"/>
                <w:sz w:val="14"/>
                <w:szCs w:val="14"/>
              </w:rPr>
              <w:t>(136)</w:t>
            </w:r>
          </w:p>
        </w:tc>
        <w:tc>
          <w:tcPr>
            <w:tcW w:w="0" w:type="auto"/>
            <w:shd w:val="clear" w:color="auto" w:fill="FFFFFF"/>
            <w:tcMar>
              <w:top w:w="40" w:type="dxa"/>
              <w:left w:w="0" w:type="dxa"/>
              <w:bottom w:w="40" w:type="dxa"/>
              <w:right w:w="20" w:type="dxa"/>
            </w:tcMar>
            <w:vAlign w:val="bottom"/>
          </w:tcPr>
          <w:p w14:paraId="5F2D48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D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DD" w14:textId="77777777" w:rsidR="00E836FB" w:rsidRDefault="00994958">
            <w:pPr>
              <w:jc w:val="right"/>
              <w:textAlignment w:val="bottom"/>
            </w:pPr>
            <w:r>
              <w:rPr>
                <w:rFonts w:ascii="Arial" w:eastAsia="宋体" w:hAnsi="Arial" w:cs="Arial"/>
                <w:color w:val="000000"/>
                <w:sz w:val="14"/>
                <w:szCs w:val="14"/>
              </w:rPr>
              <w:t>71.79 </w:t>
            </w:r>
          </w:p>
        </w:tc>
        <w:tc>
          <w:tcPr>
            <w:tcW w:w="0" w:type="auto"/>
            <w:shd w:val="clear" w:color="auto" w:fill="FFFFFF"/>
            <w:tcMar>
              <w:top w:w="40" w:type="dxa"/>
              <w:left w:w="0" w:type="dxa"/>
              <w:bottom w:w="40" w:type="dxa"/>
              <w:right w:w="20" w:type="dxa"/>
            </w:tcMar>
            <w:vAlign w:val="bottom"/>
          </w:tcPr>
          <w:p w14:paraId="5F2D48DE" w14:textId="77777777" w:rsidR="00E836FB" w:rsidRDefault="00E836FB">
            <w:pPr>
              <w:jc w:val="right"/>
              <w:rPr>
                <w:rFonts w:ascii="宋体"/>
              </w:rPr>
            </w:pPr>
          </w:p>
        </w:tc>
      </w:tr>
      <w:tr w:rsidR="00E836FB" w14:paraId="5F2D48E6" w14:textId="77777777">
        <w:tc>
          <w:tcPr>
            <w:tcW w:w="0" w:type="auto"/>
            <w:gridSpan w:val="3"/>
            <w:shd w:val="clear" w:color="auto" w:fill="CCEEFF"/>
            <w:tcMar>
              <w:top w:w="40" w:type="dxa"/>
              <w:left w:w="20" w:type="dxa"/>
              <w:bottom w:w="40" w:type="dxa"/>
              <w:right w:w="20" w:type="dxa"/>
            </w:tcMar>
            <w:vAlign w:val="bottom"/>
          </w:tcPr>
          <w:p w14:paraId="5F2D48E0" w14:textId="77777777" w:rsidR="00E836FB" w:rsidRDefault="00994958">
            <w:pPr>
              <w:textAlignment w:val="bottom"/>
            </w:pPr>
            <w:r>
              <w:rPr>
                <w:rFonts w:ascii="Arial" w:eastAsia="宋体" w:hAnsi="Arial" w:cs="Arial"/>
                <w:b/>
                <w:bCs/>
                <w:color w:val="000000"/>
                <w:sz w:val="14"/>
                <w:szCs w:val="14"/>
              </w:rPr>
              <w:t>Outstanding as of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8E1" w14:textId="77777777" w:rsidR="00E836FB" w:rsidRDefault="00994958">
            <w:pPr>
              <w:jc w:val="right"/>
              <w:textAlignment w:val="bottom"/>
            </w:pPr>
            <w:r>
              <w:rPr>
                <w:rFonts w:ascii="Arial" w:eastAsia="宋体" w:hAnsi="Arial" w:cs="Arial"/>
                <w:color w:val="000000"/>
                <w:sz w:val="14"/>
                <w:szCs w:val="14"/>
              </w:rPr>
              <w:t>5,686 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8E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E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E4" w14:textId="77777777" w:rsidR="00E836FB" w:rsidRDefault="00994958">
            <w:pPr>
              <w:jc w:val="right"/>
              <w:textAlignment w:val="bottom"/>
            </w:pPr>
            <w:r>
              <w:rPr>
                <w:rFonts w:ascii="Arial" w:eastAsia="宋体" w:hAnsi="Arial" w:cs="Arial"/>
                <w:color w:val="000000"/>
                <w:sz w:val="14"/>
                <w:szCs w:val="14"/>
              </w:rPr>
              <w:t>69.70 </w:t>
            </w:r>
          </w:p>
        </w:tc>
        <w:tc>
          <w:tcPr>
            <w:tcW w:w="0" w:type="auto"/>
            <w:shd w:val="clear" w:color="auto" w:fill="CCEEFF"/>
            <w:tcMar>
              <w:top w:w="40" w:type="dxa"/>
              <w:left w:w="0" w:type="dxa"/>
              <w:bottom w:w="40" w:type="dxa"/>
              <w:right w:w="20" w:type="dxa"/>
            </w:tcMar>
            <w:vAlign w:val="bottom"/>
          </w:tcPr>
          <w:p w14:paraId="5F2D48E5" w14:textId="77777777" w:rsidR="00E836FB" w:rsidRDefault="00E836FB">
            <w:pPr>
              <w:jc w:val="right"/>
              <w:rPr>
                <w:rFonts w:ascii="宋体"/>
              </w:rPr>
            </w:pPr>
          </w:p>
        </w:tc>
      </w:tr>
      <w:tr w:rsidR="00E836FB" w14:paraId="5F2D48ED" w14:textId="77777777">
        <w:tc>
          <w:tcPr>
            <w:tcW w:w="0" w:type="auto"/>
            <w:gridSpan w:val="3"/>
            <w:shd w:val="clear" w:color="auto" w:fill="FFFFFF"/>
            <w:tcMar>
              <w:top w:w="40" w:type="dxa"/>
              <w:left w:w="20" w:type="dxa"/>
              <w:bottom w:w="40" w:type="dxa"/>
              <w:right w:w="20" w:type="dxa"/>
            </w:tcMar>
            <w:vAlign w:val="bottom"/>
          </w:tcPr>
          <w:p w14:paraId="5F2D48E7" w14:textId="77777777" w:rsidR="00E836FB" w:rsidRDefault="00994958">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5F2D48E8" w14:textId="77777777" w:rsidR="00E836FB" w:rsidRDefault="00994958">
            <w:pPr>
              <w:jc w:val="right"/>
              <w:textAlignment w:val="bottom"/>
            </w:pPr>
            <w:r>
              <w:rPr>
                <w:rFonts w:ascii="Arial" w:eastAsia="宋体" w:hAnsi="Arial" w:cs="Arial"/>
                <w:b/>
                <w:bCs/>
                <w:color w:val="000000"/>
                <w:sz w:val="14"/>
                <w:szCs w:val="14"/>
              </w:rPr>
              <w:t>3,136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8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E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EB" w14:textId="77777777" w:rsidR="00E836FB" w:rsidRDefault="00994958">
            <w:pPr>
              <w:jc w:val="right"/>
              <w:textAlignment w:val="bottom"/>
            </w:pPr>
            <w:r>
              <w:rPr>
                <w:rFonts w:ascii="Arial" w:eastAsia="宋体" w:hAnsi="Arial" w:cs="Arial"/>
                <w:b/>
                <w:bCs/>
                <w:color w:val="000000"/>
                <w:sz w:val="14"/>
                <w:szCs w:val="14"/>
              </w:rPr>
              <w:t>69.48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8EC" w14:textId="77777777" w:rsidR="00E836FB" w:rsidRDefault="00E836FB">
            <w:pPr>
              <w:jc w:val="right"/>
              <w:rPr>
                <w:rFonts w:ascii="宋体"/>
              </w:rPr>
            </w:pPr>
          </w:p>
        </w:tc>
      </w:tr>
      <w:tr w:rsidR="00E836FB" w14:paraId="5F2D48F4" w14:textId="77777777">
        <w:tc>
          <w:tcPr>
            <w:tcW w:w="0" w:type="auto"/>
            <w:gridSpan w:val="3"/>
            <w:shd w:val="clear" w:color="auto" w:fill="CCEEFF"/>
            <w:tcMar>
              <w:top w:w="40" w:type="dxa"/>
              <w:left w:w="20" w:type="dxa"/>
              <w:bottom w:w="40" w:type="dxa"/>
              <w:right w:w="20" w:type="dxa"/>
            </w:tcMar>
            <w:vAlign w:val="bottom"/>
          </w:tcPr>
          <w:p w14:paraId="5F2D48EE" w14:textId="77777777" w:rsidR="00E836FB" w:rsidRDefault="00994958">
            <w:pPr>
              <w:textAlignment w:val="bottom"/>
            </w:pPr>
            <w:r>
              <w:rPr>
                <w:rFonts w:ascii="Arial" w:eastAsia="宋体" w:hAnsi="Arial" w:cs="Arial"/>
                <w:color w:val="000000"/>
                <w:sz w:val="14"/>
                <w:szCs w:val="14"/>
              </w:rPr>
              <w:t>Vested</w:t>
            </w:r>
          </w:p>
        </w:tc>
        <w:tc>
          <w:tcPr>
            <w:tcW w:w="0" w:type="auto"/>
            <w:gridSpan w:val="2"/>
            <w:shd w:val="clear" w:color="auto" w:fill="CCEEFF"/>
            <w:tcMar>
              <w:top w:w="40" w:type="dxa"/>
              <w:left w:w="20" w:type="dxa"/>
              <w:bottom w:w="40" w:type="dxa"/>
              <w:right w:w="0" w:type="dxa"/>
            </w:tcMar>
            <w:vAlign w:val="bottom"/>
          </w:tcPr>
          <w:p w14:paraId="5F2D48EF" w14:textId="77777777" w:rsidR="00E836FB" w:rsidRDefault="00994958">
            <w:pPr>
              <w:jc w:val="right"/>
              <w:textAlignment w:val="bottom"/>
            </w:pPr>
            <w:r>
              <w:rPr>
                <w:rFonts w:ascii="Arial" w:eastAsia="宋体" w:hAnsi="Arial" w:cs="Arial"/>
                <w:b/>
                <w:bCs/>
                <w:color w:val="000000"/>
                <w:sz w:val="14"/>
                <w:szCs w:val="14"/>
              </w:rPr>
              <w:t>(2,801)</w:t>
            </w:r>
          </w:p>
        </w:tc>
        <w:tc>
          <w:tcPr>
            <w:tcW w:w="0" w:type="auto"/>
            <w:shd w:val="clear" w:color="auto" w:fill="CCEEFF"/>
            <w:tcMar>
              <w:top w:w="40" w:type="dxa"/>
              <w:left w:w="0" w:type="dxa"/>
              <w:bottom w:w="40" w:type="dxa"/>
              <w:right w:w="20" w:type="dxa"/>
            </w:tcMar>
            <w:vAlign w:val="bottom"/>
          </w:tcPr>
          <w:p w14:paraId="5F2D48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F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8F2" w14:textId="77777777" w:rsidR="00E836FB" w:rsidRDefault="00994958">
            <w:pPr>
              <w:jc w:val="right"/>
              <w:textAlignment w:val="bottom"/>
            </w:pPr>
            <w:r>
              <w:rPr>
                <w:rFonts w:ascii="Arial" w:eastAsia="宋体" w:hAnsi="Arial" w:cs="Arial"/>
                <w:b/>
                <w:bCs/>
                <w:color w:val="000000"/>
                <w:sz w:val="14"/>
                <w:szCs w:val="14"/>
              </w:rPr>
              <w:t>73.70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8F3" w14:textId="77777777" w:rsidR="00E836FB" w:rsidRDefault="00E836FB">
            <w:pPr>
              <w:jc w:val="right"/>
              <w:rPr>
                <w:rFonts w:ascii="宋体"/>
              </w:rPr>
            </w:pPr>
          </w:p>
        </w:tc>
      </w:tr>
      <w:tr w:rsidR="00E836FB" w14:paraId="5F2D48FB" w14:textId="77777777">
        <w:tc>
          <w:tcPr>
            <w:tcW w:w="0" w:type="auto"/>
            <w:gridSpan w:val="3"/>
            <w:shd w:val="clear" w:color="auto" w:fill="FFFFFF"/>
            <w:tcMar>
              <w:top w:w="40" w:type="dxa"/>
              <w:left w:w="20" w:type="dxa"/>
              <w:bottom w:w="40" w:type="dxa"/>
              <w:right w:w="20" w:type="dxa"/>
            </w:tcMar>
            <w:vAlign w:val="bottom"/>
          </w:tcPr>
          <w:p w14:paraId="5F2D48F5" w14:textId="77777777" w:rsidR="00E836FB" w:rsidRDefault="00994958">
            <w:pPr>
              <w:textAlignment w:val="bottom"/>
            </w:pPr>
            <w:r>
              <w:rPr>
                <w:rFonts w:ascii="Arial" w:eastAsia="宋体" w:hAnsi="Arial" w:cs="Arial"/>
                <w:color w:val="000000"/>
                <w:sz w:val="14"/>
                <w:szCs w:val="14"/>
              </w:rPr>
              <w:t>Forfeited</w:t>
            </w:r>
          </w:p>
        </w:tc>
        <w:tc>
          <w:tcPr>
            <w:tcW w:w="0" w:type="auto"/>
            <w:gridSpan w:val="2"/>
            <w:shd w:val="clear" w:color="auto" w:fill="FFFFFF"/>
            <w:tcMar>
              <w:top w:w="40" w:type="dxa"/>
              <w:left w:w="20" w:type="dxa"/>
              <w:bottom w:w="40" w:type="dxa"/>
              <w:right w:w="0" w:type="dxa"/>
            </w:tcMar>
            <w:vAlign w:val="bottom"/>
          </w:tcPr>
          <w:p w14:paraId="5F2D48F6" w14:textId="77777777" w:rsidR="00E836FB" w:rsidRDefault="00994958">
            <w:pPr>
              <w:jc w:val="right"/>
              <w:textAlignment w:val="bottom"/>
            </w:pPr>
            <w:r>
              <w:rPr>
                <w:rFonts w:ascii="Arial" w:eastAsia="宋体" w:hAnsi="Arial" w:cs="Arial"/>
                <w:b/>
                <w:bCs/>
                <w:color w:val="000000"/>
                <w:sz w:val="14"/>
                <w:szCs w:val="14"/>
              </w:rPr>
              <w:t>(244)</w:t>
            </w:r>
          </w:p>
        </w:tc>
        <w:tc>
          <w:tcPr>
            <w:tcW w:w="0" w:type="auto"/>
            <w:shd w:val="clear" w:color="auto" w:fill="FFFFFF"/>
            <w:tcMar>
              <w:top w:w="40" w:type="dxa"/>
              <w:left w:w="0" w:type="dxa"/>
              <w:bottom w:w="40" w:type="dxa"/>
              <w:right w:w="20" w:type="dxa"/>
            </w:tcMar>
            <w:vAlign w:val="bottom"/>
          </w:tcPr>
          <w:p w14:paraId="5F2D48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8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8F9" w14:textId="77777777" w:rsidR="00E836FB" w:rsidRDefault="00994958">
            <w:pPr>
              <w:jc w:val="right"/>
              <w:textAlignment w:val="bottom"/>
            </w:pPr>
            <w:r>
              <w:rPr>
                <w:rFonts w:ascii="Arial" w:eastAsia="宋体" w:hAnsi="Arial" w:cs="Arial"/>
                <w:b/>
                <w:bCs/>
                <w:color w:val="000000"/>
                <w:sz w:val="14"/>
                <w:szCs w:val="14"/>
              </w:rPr>
              <w:t>68.77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8FA" w14:textId="77777777" w:rsidR="00E836FB" w:rsidRDefault="00E836FB">
            <w:pPr>
              <w:jc w:val="right"/>
              <w:rPr>
                <w:rFonts w:ascii="宋体"/>
              </w:rPr>
            </w:pPr>
          </w:p>
        </w:tc>
      </w:tr>
      <w:tr w:rsidR="00E836FB" w14:paraId="5F2D4902" w14:textId="77777777">
        <w:tc>
          <w:tcPr>
            <w:tcW w:w="0" w:type="auto"/>
            <w:gridSpan w:val="3"/>
            <w:shd w:val="clear" w:color="auto" w:fill="CCEEFF"/>
            <w:tcMar>
              <w:top w:w="40" w:type="dxa"/>
              <w:left w:w="20" w:type="dxa"/>
              <w:bottom w:w="40" w:type="dxa"/>
              <w:right w:w="20" w:type="dxa"/>
            </w:tcMar>
            <w:vAlign w:val="bottom"/>
          </w:tcPr>
          <w:p w14:paraId="5F2D48FC" w14:textId="77777777" w:rsidR="00E836FB" w:rsidRDefault="00994958">
            <w:pPr>
              <w:textAlignment w:val="bottom"/>
            </w:pPr>
            <w:r>
              <w:rPr>
                <w:rFonts w:ascii="Arial" w:eastAsia="宋体" w:hAnsi="Arial" w:cs="Arial"/>
                <w:b/>
                <w:bCs/>
                <w:color w:val="000000"/>
                <w:sz w:val="14"/>
                <w:szCs w:val="14"/>
              </w:rPr>
              <w:t>Outstanding as of December 31,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8FD" w14:textId="77777777" w:rsidR="00E836FB" w:rsidRDefault="00994958">
            <w:pPr>
              <w:jc w:val="right"/>
              <w:textAlignment w:val="bottom"/>
            </w:pPr>
            <w:r>
              <w:rPr>
                <w:rFonts w:ascii="Arial" w:eastAsia="宋体" w:hAnsi="Arial" w:cs="Arial"/>
                <w:b/>
                <w:bCs/>
                <w:color w:val="000000"/>
                <w:sz w:val="14"/>
                <w:szCs w:val="14"/>
              </w:rPr>
              <w:t>5,777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8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8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00" w14:textId="77777777" w:rsidR="00E836FB" w:rsidRDefault="00994958">
            <w:pPr>
              <w:jc w:val="right"/>
              <w:textAlignment w:val="bottom"/>
            </w:pPr>
            <w:r>
              <w:rPr>
                <w:rFonts w:ascii="Arial" w:eastAsia="宋体" w:hAnsi="Arial" w:cs="Arial"/>
                <w:b/>
                <w:bCs/>
                <w:color w:val="000000"/>
                <w:sz w:val="14"/>
                <w:szCs w:val="14"/>
              </w:rPr>
              <w:t>67.55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01" w14:textId="77777777" w:rsidR="00E836FB" w:rsidRDefault="00E836FB">
            <w:pPr>
              <w:jc w:val="right"/>
              <w:rPr>
                <w:rFonts w:ascii="宋体"/>
              </w:rPr>
            </w:pPr>
          </w:p>
        </w:tc>
      </w:tr>
    </w:tbl>
    <w:p w14:paraId="5F2D4903" w14:textId="77777777" w:rsidR="00E836FB" w:rsidRDefault="00994958">
      <w:pPr>
        <w:spacing w:before="60"/>
        <w:ind w:firstLine="450"/>
        <w:jc w:val="both"/>
        <w:textAlignment w:val="top"/>
      </w:pPr>
      <w:r>
        <w:rPr>
          <w:rFonts w:ascii="Arial" w:eastAsia="宋体" w:hAnsi="Arial" w:cs="Arial"/>
          <w:color w:val="000000"/>
          <w:sz w:val="20"/>
          <w:szCs w:val="20"/>
        </w:rPr>
        <w:t xml:space="preserve">The total fair value of deferred stock awards vested for the years ended December 31, 2021, 2020 and 2019, based on the weighted average grant date fair value in each </w:t>
      </w:r>
      <w:r>
        <w:rPr>
          <w:rFonts w:ascii="Arial" w:eastAsia="宋体" w:hAnsi="Arial" w:cs="Arial"/>
          <w:color w:val="000000"/>
          <w:sz w:val="20"/>
          <w:szCs w:val="20"/>
        </w:rPr>
        <w:t>respective year, was $206 million, $210 million and $220 million, respectively. As of December 31, 2021, total unrecognized compensation cost related to deferred stock awards, net of estimated forfeitures, was $192 million, which is expected to be recogniz</w:t>
      </w:r>
      <w:r>
        <w:rPr>
          <w:rFonts w:ascii="Arial" w:eastAsia="宋体" w:hAnsi="Arial" w:cs="Arial"/>
          <w:color w:val="000000"/>
          <w:sz w:val="20"/>
          <w:szCs w:val="20"/>
        </w:rPr>
        <w:t>ed over a weighted-average period of 2.5 years.</w:t>
      </w:r>
    </w:p>
    <w:tbl>
      <w:tblPr>
        <w:tblW w:w="4984" w:type="pct"/>
        <w:tblCellMar>
          <w:top w:w="15" w:type="dxa"/>
          <w:left w:w="15" w:type="dxa"/>
          <w:bottom w:w="15" w:type="dxa"/>
          <w:right w:w="15" w:type="dxa"/>
        </w:tblCellMar>
        <w:tblLook w:val="04A0" w:firstRow="1" w:lastRow="0" w:firstColumn="1" w:lastColumn="0" w:noHBand="0" w:noVBand="1"/>
      </w:tblPr>
      <w:tblGrid>
        <w:gridCol w:w="56"/>
        <w:gridCol w:w="2610"/>
        <w:gridCol w:w="36"/>
        <w:gridCol w:w="57"/>
        <w:gridCol w:w="2610"/>
        <w:gridCol w:w="36"/>
        <w:gridCol w:w="36"/>
        <w:gridCol w:w="87"/>
        <w:gridCol w:w="36"/>
        <w:gridCol w:w="99"/>
        <w:gridCol w:w="2610"/>
        <w:gridCol w:w="36"/>
      </w:tblGrid>
      <w:tr w:rsidR="00E836FB" w14:paraId="5F2D4910" w14:textId="77777777">
        <w:tc>
          <w:tcPr>
            <w:tcW w:w="50" w:type="pct"/>
            <w:shd w:val="clear" w:color="auto" w:fill="auto"/>
            <w:vAlign w:val="bottom"/>
          </w:tcPr>
          <w:p w14:paraId="5F2D4904" w14:textId="77777777" w:rsidR="00E836FB" w:rsidRDefault="00E836FB">
            <w:pPr>
              <w:rPr>
                <w:rFonts w:ascii="宋体"/>
              </w:rPr>
            </w:pPr>
          </w:p>
        </w:tc>
        <w:tc>
          <w:tcPr>
            <w:tcW w:w="1585" w:type="pct"/>
            <w:shd w:val="clear" w:color="auto" w:fill="auto"/>
            <w:vAlign w:val="bottom"/>
          </w:tcPr>
          <w:p w14:paraId="5F2D4905" w14:textId="77777777" w:rsidR="00E836FB" w:rsidRDefault="00E836FB">
            <w:pPr>
              <w:rPr>
                <w:rFonts w:ascii="宋体"/>
              </w:rPr>
            </w:pPr>
          </w:p>
        </w:tc>
        <w:tc>
          <w:tcPr>
            <w:tcW w:w="5" w:type="pct"/>
            <w:shd w:val="clear" w:color="auto" w:fill="auto"/>
            <w:vAlign w:val="bottom"/>
          </w:tcPr>
          <w:p w14:paraId="5F2D4906" w14:textId="77777777" w:rsidR="00E836FB" w:rsidRDefault="00E836FB">
            <w:pPr>
              <w:rPr>
                <w:rFonts w:ascii="宋体"/>
              </w:rPr>
            </w:pPr>
          </w:p>
        </w:tc>
        <w:tc>
          <w:tcPr>
            <w:tcW w:w="50" w:type="pct"/>
            <w:shd w:val="clear" w:color="auto" w:fill="auto"/>
            <w:vAlign w:val="bottom"/>
          </w:tcPr>
          <w:p w14:paraId="5F2D4907" w14:textId="77777777" w:rsidR="00E836FB" w:rsidRDefault="00E836FB">
            <w:pPr>
              <w:rPr>
                <w:rFonts w:ascii="宋体"/>
              </w:rPr>
            </w:pPr>
          </w:p>
        </w:tc>
        <w:tc>
          <w:tcPr>
            <w:tcW w:w="1585" w:type="pct"/>
            <w:shd w:val="clear" w:color="auto" w:fill="auto"/>
            <w:vAlign w:val="bottom"/>
          </w:tcPr>
          <w:p w14:paraId="5F2D4908" w14:textId="77777777" w:rsidR="00E836FB" w:rsidRDefault="00E836FB">
            <w:pPr>
              <w:rPr>
                <w:rFonts w:ascii="宋体"/>
              </w:rPr>
            </w:pPr>
          </w:p>
        </w:tc>
        <w:tc>
          <w:tcPr>
            <w:tcW w:w="5" w:type="pct"/>
            <w:shd w:val="clear" w:color="auto" w:fill="auto"/>
            <w:vAlign w:val="bottom"/>
          </w:tcPr>
          <w:p w14:paraId="5F2D4909" w14:textId="77777777" w:rsidR="00E836FB" w:rsidRDefault="00E836FB">
            <w:pPr>
              <w:rPr>
                <w:rFonts w:ascii="宋体"/>
              </w:rPr>
            </w:pPr>
          </w:p>
        </w:tc>
        <w:tc>
          <w:tcPr>
            <w:tcW w:w="5" w:type="pct"/>
            <w:shd w:val="clear" w:color="auto" w:fill="auto"/>
            <w:vAlign w:val="bottom"/>
          </w:tcPr>
          <w:p w14:paraId="5F2D490A" w14:textId="77777777" w:rsidR="00E836FB" w:rsidRDefault="00E836FB">
            <w:pPr>
              <w:rPr>
                <w:rFonts w:ascii="宋体"/>
              </w:rPr>
            </w:pPr>
          </w:p>
        </w:tc>
        <w:tc>
          <w:tcPr>
            <w:tcW w:w="68" w:type="pct"/>
            <w:shd w:val="clear" w:color="auto" w:fill="auto"/>
            <w:vAlign w:val="bottom"/>
          </w:tcPr>
          <w:p w14:paraId="5F2D490B" w14:textId="77777777" w:rsidR="00E836FB" w:rsidRDefault="00E836FB">
            <w:pPr>
              <w:rPr>
                <w:rFonts w:ascii="宋体"/>
              </w:rPr>
            </w:pPr>
          </w:p>
        </w:tc>
        <w:tc>
          <w:tcPr>
            <w:tcW w:w="5" w:type="pct"/>
            <w:shd w:val="clear" w:color="auto" w:fill="auto"/>
            <w:vAlign w:val="bottom"/>
          </w:tcPr>
          <w:p w14:paraId="5F2D490C" w14:textId="77777777" w:rsidR="00E836FB" w:rsidRDefault="00E836FB">
            <w:pPr>
              <w:rPr>
                <w:rFonts w:ascii="宋体"/>
              </w:rPr>
            </w:pPr>
          </w:p>
        </w:tc>
        <w:tc>
          <w:tcPr>
            <w:tcW w:w="50" w:type="pct"/>
            <w:shd w:val="clear" w:color="auto" w:fill="auto"/>
            <w:vAlign w:val="bottom"/>
          </w:tcPr>
          <w:p w14:paraId="5F2D490D" w14:textId="77777777" w:rsidR="00E836FB" w:rsidRDefault="00E836FB">
            <w:pPr>
              <w:rPr>
                <w:rFonts w:ascii="宋体"/>
              </w:rPr>
            </w:pPr>
          </w:p>
        </w:tc>
        <w:tc>
          <w:tcPr>
            <w:tcW w:w="1585" w:type="pct"/>
            <w:shd w:val="clear" w:color="auto" w:fill="auto"/>
            <w:vAlign w:val="bottom"/>
          </w:tcPr>
          <w:p w14:paraId="5F2D490E" w14:textId="77777777" w:rsidR="00E836FB" w:rsidRDefault="00E836FB">
            <w:pPr>
              <w:rPr>
                <w:rFonts w:ascii="宋体"/>
              </w:rPr>
            </w:pPr>
          </w:p>
        </w:tc>
        <w:tc>
          <w:tcPr>
            <w:tcW w:w="5" w:type="pct"/>
            <w:shd w:val="clear" w:color="auto" w:fill="auto"/>
            <w:vAlign w:val="bottom"/>
          </w:tcPr>
          <w:p w14:paraId="5F2D490F" w14:textId="77777777" w:rsidR="00E836FB" w:rsidRDefault="00E836FB">
            <w:pPr>
              <w:rPr>
                <w:rFonts w:ascii="宋体"/>
              </w:rPr>
            </w:pPr>
          </w:p>
        </w:tc>
      </w:tr>
      <w:tr w:rsidR="00E836FB" w14:paraId="5F2D4917" w14:textId="77777777">
        <w:tc>
          <w:tcPr>
            <w:tcW w:w="0" w:type="auto"/>
            <w:gridSpan w:val="3"/>
            <w:shd w:val="clear" w:color="auto" w:fill="auto"/>
            <w:tcMar>
              <w:top w:w="0" w:type="dxa"/>
              <w:left w:w="20" w:type="dxa"/>
              <w:bottom w:w="0" w:type="dxa"/>
              <w:right w:w="20" w:type="dxa"/>
            </w:tcMar>
            <w:vAlign w:val="bottom"/>
          </w:tcPr>
          <w:p w14:paraId="5F2D4911" w14:textId="77777777" w:rsidR="00E836FB" w:rsidRDefault="00E83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D4912" w14:textId="77777777" w:rsidR="00E836FB" w:rsidRDefault="00994958">
            <w:pPr>
              <w:jc w:val="center"/>
              <w:textAlignment w:val="bottom"/>
            </w:pPr>
            <w:r>
              <w:rPr>
                <w:rFonts w:ascii="Arial" w:eastAsia="宋体" w:hAnsi="Arial" w:cs="Arial"/>
                <w:b/>
                <w:bCs/>
                <w:color w:val="000000"/>
                <w:sz w:val="14"/>
                <w:szCs w:val="14"/>
              </w:rPr>
              <w:t>Shares</w:t>
            </w:r>
          </w:p>
          <w:p w14:paraId="5F2D4913" w14:textId="77777777" w:rsidR="00E836FB" w:rsidRDefault="00994958">
            <w:pPr>
              <w:jc w:val="center"/>
              <w:textAlignment w:val="bottom"/>
            </w:pPr>
            <w:r>
              <w:rPr>
                <w:rFonts w:ascii="Arial" w:eastAsia="宋体" w:hAnsi="Arial" w:cs="Arial"/>
                <w:b/>
                <w:bCs/>
                <w:color w:val="000000"/>
                <w:sz w:val="14"/>
                <w:szCs w:val="14"/>
              </w:rPr>
              <w:t>(In thousands)</w:t>
            </w:r>
          </w:p>
        </w:tc>
        <w:tc>
          <w:tcPr>
            <w:tcW w:w="0" w:type="auto"/>
            <w:gridSpan w:val="3"/>
            <w:shd w:val="clear" w:color="auto" w:fill="auto"/>
            <w:tcMar>
              <w:top w:w="0" w:type="dxa"/>
              <w:left w:w="20" w:type="dxa"/>
              <w:bottom w:w="0" w:type="dxa"/>
              <w:right w:w="20" w:type="dxa"/>
            </w:tcMar>
            <w:vAlign w:val="bottom"/>
          </w:tcPr>
          <w:p w14:paraId="5F2D4914" w14:textId="77777777" w:rsidR="00E836FB" w:rsidRDefault="00E83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D4915" w14:textId="77777777" w:rsidR="00E836FB" w:rsidRDefault="00994958">
            <w:pPr>
              <w:jc w:val="center"/>
              <w:textAlignment w:val="bottom"/>
            </w:pPr>
            <w:r>
              <w:rPr>
                <w:rFonts w:ascii="Arial" w:eastAsia="宋体" w:hAnsi="Arial" w:cs="Arial"/>
                <w:b/>
                <w:bCs/>
                <w:color w:val="000000"/>
                <w:sz w:val="14"/>
                <w:szCs w:val="14"/>
              </w:rPr>
              <w:t>Weighted-Average</w:t>
            </w:r>
          </w:p>
          <w:p w14:paraId="5F2D4916" w14:textId="77777777" w:rsidR="00E836FB" w:rsidRDefault="00994958">
            <w:pPr>
              <w:jc w:val="center"/>
              <w:textAlignment w:val="bottom"/>
            </w:pPr>
            <w:r>
              <w:rPr>
                <w:rFonts w:ascii="Arial" w:eastAsia="宋体" w:hAnsi="Arial" w:cs="Arial"/>
                <w:b/>
                <w:bCs/>
                <w:color w:val="000000"/>
                <w:sz w:val="14"/>
                <w:szCs w:val="14"/>
              </w:rPr>
              <w:t>Grant Date Fair Value</w:t>
            </w:r>
          </w:p>
        </w:tc>
      </w:tr>
      <w:tr w:rsidR="00E836FB" w14:paraId="5F2D4919" w14:textId="77777777">
        <w:tc>
          <w:tcPr>
            <w:tcW w:w="0" w:type="auto"/>
            <w:gridSpan w:val="12"/>
            <w:shd w:val="clear" w:color="auto" w:fill="auto"/>
            <w:tcMar>
              <w:top w:w="40" w:type="dxa"/>
              <w:left w:w="20" w:type="dxa"/>
              <w:bottom w:w="40" w:type="dxa"/>
              <w:right w:w="20" w:type="dxa"/>
            </w:tcMar>
            <w:vAlign w:val="bottom"/>
          </w:tcPr>
          <w:p w14:paraId="5F2D4918" w14:textId="77777777" w:rsidR="00E836FB" w:rsidRDefault="00994958">
            <w:pPr>
              <w:textAlignment w:val="bottom"/>
            </w:pPr>
            <w:r>
              <w:rPr>
                <w:rFonts w:ascii="Arial" w:eastAsia="宋体" w:hAnsi="Arial" w:cs="Arial"/>
                <w:b/>
                <w:bCs/>
                <w:color w:val="000000"/>
                <w:sz w:val="14"/>
                <w:szCs w:val="14"/>
              </w:rPr>
              <w:t>Performance Awards:</w:t>
            </w:r>
          </w:p>
        </w:tc>
      </w:tr>
      <w:tr w:rsidR="00E836FB" w14:paraId="5F2D491E" w14:textId="77777777">
        <w:trPr>
          <w:hidden/>
        </w:trPr>
        <w:tc>
          <w:tcPr>
            <w:tcW w:w="0" w:type="auto"/>
            <w:gridSpan w:val="3"/>
            <w:shd w:val="clear" w:color="auto" w:fill="auto"/>
            <w:vAlign w:val="bottom"/>
          </w:tcPr>
          <w:p w14:paraId="5F2D491A" w14:textId="77777777" w:rsidR="00E836FB" w:rsidRDefault="00E836FB">
            <w:pPr>
              <w:rPr>
                <w:rFonts w:ascii="宋体"/>
                <w:vanish/>
              </w:rPr>
            </w:pPr>
          </w:p>
        </w:tc>
        <w:tc>
          <w:tcPr>
            <w:tcW w:w="0" w:type="auto"/>
            <w:gridSpan w:val="3"/>
            <w:shd w:val="clear" w:color="auto" w:fill="auto"/>
            <w:vAlign w:val="bottom"/>
          </w:tcPr>
          <w:p w14:paraId="5F2D491B" w14:textId="77777777" w:rsidR="00E836FB" w:rsidRDefault="00E836FB">
            <w:pPr>
              <w:rPr>
                <w:rFonts w:ascii="宋体"/>
                <w:vanish/>
              </w:rPr>
            </w:pPr>
          </w:p>
        </w:tc>
        <w:tc>
          <w:tcPr>
            <w:tcW w:w="0" w:type="auto"/>
            <w:gridSpan w:val="3"/>
            <w:shd w:val="clear" w:color="auto" w:fill="auto"/>
            <w:vAlign w:val="bottom"/>
          </w:tcPr>
          <w:p w14:paraId="5F2D491C" w14:textId="77777777" w:rsidR="00E836FB" w:rsidRDefault="00E836FB">
            <w:pPr>
              <w:rPr>
                <w:rFonts w:ascii="宋体"/>
                <w:vanish/>
              </w:rPr>
            </w:pPr>
          </w:p>
        </w:tc>
        <w:tc>
          <w:tcPr>
            <w:tcW w:w="0" w:type="auto"/>
            <w:gridSpan w:val="3"/>
            <w:shd w:val="clear" w:color="auto" w:fill="auto"/>
            <w:vAlign w:val="bottom"/>
          </w:tcPr>
          <w:p w14:paraId="5F2D491D" w14:textId="77777777" w:rsidR="00E836FB" w:rsidRDefault="00E836FB">
            <w:pPr>
              <w:rPr>
                <w:rFonts w:ascii="宋体"/>
                <w:vanish/>
              </w:rPr>
            </w:pPr>
          </w:p>
        </w:tc>
      </w:tr>
      <w:tr w:rsidR="00E836FB" w14:paraId="5F2D4923" w14:textId="77777777">
        <w:trPr>
          <w:hidden/>
        </w:trPr>
        <w:tc>
          <w:tcPr>
            <w:tcW w:w="0" w:type="auto"/>
            <w:gridSpan w:val="3"/>
            <w:shd w:val="clear" w:color="auto" w:fill="auto"/>
            <w:vAlign w:val="bottom"/>
          </w:tcPr>
          <w:p w14:paraId="5F2D491F" w14:textId="77777777" w:rsidR="00E836FB" w:rsidRDefault="00E836FB">
            <w:pPr>
              <w:rPr>
                <w:rFonts w:ascii="宋体"/>
                <w:vanish/>
              </w:rPr>
            </w:pPr>
          </w:p>
        </w:tc>
        <w:tc>
          <w:tcPr>
            <w:tcW w:w="0" w:type="auto"/>
            <w:gridSpan w:val="3"/>
            <w:shd w:val="clear" w:color="auto" w:fill="auto"/>
            <w:vAlign w:val="bottom"/>
          </w:tcPr>
          <w:p w14:paraId="5F2D4920" w14:textId="77777777" w:rsidR="00E836FB" w:rsidRDefault="00E836FB">
            <w:pPr>
              <w:rPr>
                <w:rFonts w:ascii="宋体"/>
                <w:vanish/>
              </w:rPr>
            </w:pPr>
          </w:p>
        </w:tc>
        <w:tc>
          <w:tcPr>
            <w:tcW w:w="0" w:type="auto"/>
            <w:gridSpan w:val="3"/>
            <w:shd w:val="clear" w:color="auto" w:fill="auto"/>
            <w:vAlign w:val="bottom"/>
          </w:tcPr>
          <w:p w14:paraId="5F2D4921" w14:textId="77777777" w:rsidR="00E836FB" w:rsidRDefault="00E836FB">
            <w:pPr>
              <w:rPr>
                <w:rFonts w:ascii="宋体"/>
                <w:vanish/>
              </w:rPr>
            </w:pPr>
          </w:p>
        </w:tc>
        <w:tc>
          <w:tcPr>
            <w:tcW w:w="0" w:type="auto"/>
            <w:gridSpan w:val="3"/>
            <w:shd w:val="clear" w:color="auto" w:fill="auto"/>
            <w:vAlign w:val="bottom"/>
          </w:tcPr>
          <w:p w14:paraId="5F2D4922" w14:textId="77777777" w:rsidR="00E836FB" w:rsidRDefault="00E836FB">
            <w:pPr>
              <w:rPr>
                <w:rFonts w:ascii="宋体"/>
                <w:vanish/>
              </w:rPr>
            </w:pPr>
          </w:p>
        </w:tc>
      </w:tr>
      <w:tr w:rsidR="00E836FB" w14:paraId="5F2D4928" w14:textId="77777777">
        <w:trPr>
          <w:hidden/>
        </w:trPr>
        <w:tc>
          <w:tcPr>
            <w:tcW w:w="0" w:type="auto"/>
            <w:gridSpan w:val="3"/>
            <w:shd w:val="clear" w:color="auto" w:fill="auto"/>
            <w:vAlign w:val="bottom"/>
          </w:tcPr>
          <w:p w14:paraId="5F2D4924" w14:textId="77777777" w:rsidR="00E836FB" w:rsidRDefault="00E836FB">
            <w:pPr>
              <w:rPr>
                <w:rFonts w:ascii="宋体"/>
                <w:vanish/>
              </w:rPr>
            </w:pPr>
          </w:p>
        </w:tc>
        <w:tc>
          <w:tcPr>
            <w:tcW w:w="0" w:type="auto"/>
            <w:gridSpan w:val="3"/>
            <w:shd w:val="clear" w:color="auto" w:fill="auto"/>
            <w:vAlign w:val="bottom"/>
          </w:tcPr>
          <w:p w14:paraId="5F2D4925" w14:textId="77777777" w:rsidR="00E836FB" w:rsidRDefault="00E836FB">
            <w:pPr>
              <w:rPr>
                <w:rFonts w:ascii="宋体"/>
                <w:vanish/>
              </w:rPr>
            </w:pPr>
          </w:p>
        </w:tc>
        <w:tc>
          <w:tcPr>
            <w:tcW w:w="0" w:type="auto"/>
            <w:gridSpan w:val="3"/>
            <w:shd w:val="clear" w:color="auto" w:fill="auto"/>
            <w:vAlign w:val="bottom"/>
          </w:tcPr>
          <w:p w14:paraId="5F2D4926" w14:textId="77777777" w:rsidR="00E836FB" w:rsidRDefault="00E836FB">
            <w:pPr>
              <w:rPr>
                <w:rFonts w:ascii="宋体"/>
                <w:vanish/>
              </w:rPr>
            </w:pPr>
          </w:p>
        </w:tc>
        <w:tc>
          <w:tcPr>
            <w:tcW w:w="0" w:type="auto"/>
            <w:gridSpan w:val="3"/>
            <w:shd w:val="clear" w:color="auto" w:fill="auto"/>
            <w:vAlign w:val="bottom"/>
          </w:tcPr>
          <w:p w14:paraId="5F2D4927" w14:textId="77777777" w:rsidR="00E836FB" w:rsidRDefault="00E836FB">
            <w:pPr>
              <w:rPr>
                <w:rFonts w:ascii="宋体"/>
                <w:vanish/>
              </w:rPr>
            </w:pPr>
          </w:p>
        </w:tc>
      </w:tr>
      <w:tr w:rsidR="00E836FB" w14:paraId="5F2D492D" w14:textId="77777777">
        <w:trPr>
          <w:hidden/>
        </w:trPr>
        <w:tc>
          <w:tcPr>
            <w:tcW w:w="0" w:type="auto"/>
            <w:gridSpan w:val="3"/>
            <w:shd w:val="clear" w:color="auto" w:fill="auto"/>
            <w:vAlign w:val="bottom"/>
          </w:tcPr>
          <w:p w14:paraId="5F2D4929" w14:textId="77777777" w:rsidR="00E836FB" w:rsidRDefault="00E836FB">
            <w:pPr>
              <w:rPr>
                <w:rFonts w:ascii="宋体"/>
                <w:vanish/>
              </w:rPr>
            </w:pPr>
          </w:p>
        </w:tc>
        <w:tc>
          <w:tcPr>
            <w:tcW w:w="0" w:type="auto"/>
            <w:gridSpan w:val="3"/>
            <w:shd w:val="clear" w:color="auto" w:fill="auto"/>
            <w:vAlign w:val="bottom"/>
          </w:tcPr>
          <w:p w14:paraId="5F2D492A" w14:textId="77777777" w:rsidR="00E836FB" w:rsidRDefault="00E836FB">
            <w:pPr>
              <w:rPr>
                <w:rFonts w:ascii="宋体"/>
                <w:vanish/>
              </w:rPr>
            </w:pPr>
          </w:p>
        </w:tc>
        <w:tc>
          <w:tcPr>
            <w:tcW w:w="0" w:type="auto"/>
            <w:gridSpan w:val="3"/>
            <w:shd w:val="clear" w:color="auto" w:fill="auto"/>
            <w:vAlign w:val="bottom"/>
          </w:tcPr>
          <w:p w14:paraId="5F2D492B" w14:textId="77777777" w:rsidR="00E836FB" w:rsidRDefault="00E836FB">
            <w:pPr>
              <w:rPr>
                <w:rFonts w:ascii="宋体"/>
                <w:vanish/>
              </w:rPr>
            </w:pPr>
          </w:p>
        </w:tc>
        <w:tc>
          <w:tcPr>
            <w:tcW w:w="0" w:type="auto"/>
            <w:gridSpan w:val="3"/>
            <w:shd w:val="clear" w:color="auto" w:fill="auto"/>
            <w:vAlign w:val="bottom"/>
          </w:tcPr>
          <w:p w14:paraId="5F2D492C" w14:textId="77777777" w:rsidR="00E836FB" w:rsidRDefault="00E836FB">
            <w:pPr>
              <w:rPr>
                <w:rFonts w:ascii="宋体"/>
                <w:vanish/>
              </w:rPr>
            </w:pPr>
          </w:p>
        </w:tc>
      </w:tr>
      <w:tr w:rsidR="00E836FB" w14:paraId="5F2D4935" w14:textId="77777777">
        <w:tc>
          <w:tcPr>
            <w:tcW w:w="0" w:type="auto"/>
            <w:gridSpan w:val="3"/>
            <w:shd w:val="clear" w:color="auto" w:fill="CCEEFF"/>
            <w:tcMar>
              <w:top w:w="40" w:type="dxa"/>
              <w:left w:w="20" w:type="dxa"/>
              <w:bottom w:w="40" w:type="dxa"/>
              <w:right w:w="20" w:type="dxa"/>
            </w:tcMar>
            <w:vAlign w:val="bottom"/>
          </w:tcPr>
          <w:p w14:paraId="5F2D492E" w14:textId="77777777" w:rsidR="00E836FB" w:rsidRDefault="00994958">
            <w:pPr>
              <w:textAlignment w:val="bottom"/>
            </w:pPr>
            <w:r>
              <w:rPr>
                <w:rFonts w:ascii="Arial" w:eastAsia="宋体" w:hAnsi="Arial" w:cs="Arial"/>
                <w:b/>
                <w:bCs/>
                <w:color w:val="000000"/>
                <w:sz w:val="14"/>
                <w:szCs w:val="14"/>
              </w:rPr>
              <w:t>Outstanding as of December 31, 2019</w:t>
            </w:r>
          </w:p>
        </w:tc>
        <w:tc>
          <w:tcPr>
            <w:tcW w:w="0" w:type="auto"/>
            <w:gridSpan w:val="2"/>
            <w:shd w:val="clear" w:color="auto" w:fill="CCEEFF"/>
            <w:tcMar>
              <w:top w:w="40" w:type="dxa"/>
              <w:left w:w="20" w:type="dxa"/>
              <w:bottom w:w="40" w:type="dxa"/>
              <w:right w:w="0" w:type="dxa"/>
            </w:tcMar>
            <w:vAlign w:val="bottom"/>
          </w:tcPr>
          <w:p w14:paraId="5F2D492F" w14:textId="77777777" w:rsidR="00E836FB" w:rsidRDefault="00994958">
            <w:pPr>
              <w:jc w:val="right"/>
              <w:textAlignment w:val="bottom"/>
            </w:pPr>
            <w:r>
              <w:rPr>
                <w:rFonts w:ascii="Arial" w:eastAsia="宋体" w:hAnsi="Arial" w:cs="Arial"/>
                <w:color w:val="000000"/>
                <w:sz w:val="14"/>
                <w:szCs w:val="14"/>
              </w:rPr>
              <w:t>2,139 </w:t>
            </w:r>
          </w:p>
        </w:tc>
        <w:tc>
          <w:tcPr>
            <w:tcW w:w="0" w:type="auto"/>
            <w:shd w:val="clear" w:color="auto" w:fill="CCEEFF"/>
            <w:tcMar>
              <w:top w:w="40" w:type="dxa"/>
              <w:left w:w="0" w:type="dxa"/>
              <w:bottom w:w="40" w:type="dxa"/>
              <w:right w:w="20" w:type="dxa"/>
            </w:tcMar>
            <w:vAlign w:val="bottom"/>
          </w:tcPr>
          <w:p w14:paraId="5F2D49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3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93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933" w14:textId="77777777" w:rsidR="00E836FB" w:rsidRDefault="00994958">
            <w:pPr>
              <w:jc w:val="right"/>
              <w:textAlignment w:val="bottom"/>
            </w:pPr>
            <w:r>
              <w:rPr>
                <w:rFonts w:ascii="Arial" w:eastAsia="宋体" w:hAnsi="Arial" w:cs="Arial"/>
                <w:color w:val="000000"/>
                <w:sz w:val="14"/>
                <w:szCs w:val="14"/>
              </w:rPr>
              <w:t>71.82 </w:t>
            </w:r>
          </w:p>
        </w:tc>
        <w:tc>
          <w:tcPr>
            <w:tcW w:w="0" w:type="auto"/>
            <w:shd w:val="clear" w:color="auto" w:fill="CCEEFF"/>
            <w:tcMar>
              <w:top w:w="40" w:type="dxa"/>
              <w:left w:w="0" w:type="dxa"/>
              <w:bottom w:w="40" w:type="dxa"/>
              <w:right w:w="20" w:type="dxa"/>
            </w:tcMar>
            <w:vAlign w:val="bottom"/>
          </w:tcPr>
          <w:p w14:paraId="5F2D4934" w14:textId="77777777" w:rsidR="00E836FB" w:rsidRDefault="00E836FB">
            <w:pPr>
              <w:jc w:val="right"/>
              <w:rPr>
                <w:rFonts w:ascii="宋体"/>
              </w:rPr>
            </w:pPr>
          </w:p>
        </w:tc>
      </w:tr>
      <w:tr w:rsidR="00E836FB" w14:paraId="5F2D493C" w14:textId="77777777">
        <w:tc>
          <w:tcPr>
            <w:tcW w:w="0" w:type="auto"/>
            <w:gridSpan w:val="3"/>
            <w:shd w:val="clear" w:color="auto" w:fill="FFFFFF"/>
            <w:tcMar>
              <w:top w:w="40" w:type="dxa"/>
              <w:left w:w="20" w:type="dxa"/>
              <w:bottom w:w="40" w:type="dxa"/>
              <w:right w:w="20" w:type="dxa"/>
            </w:tcMar>
            <w:vAlign w:val="bottom"/>
          </w:tcPr>
          <w:p w14:paraId="5F2D4936" w14:textId="77777777" w:rsidR="00E836FB" w:rsidRDefault="00994958">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5F2D4937" w14:textId="77777777" w:rsidR="00E836FB" w:rsidRDefault="00994958">
            <w:pPr>
              <w:jc w:val="right"/>
              <w:textAlignment w:val="bottom"/>
            </w:pPr>
            <w:r>
              <w:rPr>
                <w:rFonts w:ascii="Arial" w:eastAsia="宋体" w:hAnsi="Arial" w:cs="Arial"/>
                <w:color w:val="000000"/>
                <w:sz w:val="14"/>
                <w:szCs w:val="14"/>
              </w:rPr>
              <w:t>811 </w:t>
            </w:r>
          </w:p>
        </w:tc>
        <w:tc>
          <w:tcPr>
            <w:tcW w:w="0" w:type="auto"/>
            <w:shd w:val="clear" w:color="auto" w:fill="FFFFFF"/>
            <w:tcMar>
              <w:top w:w="40" w:type="dxa"/>
              <w:left w:w="0" w:type="dxa"/>
              <w:bottom w:w="40" w:type="dxa"/>
              <w:right w:w="20" w:type="dxa"/>
            </w:tcMar>
            <w:vAlign w:val="bottom"/>
          </w:tcPr>
          <w:p w14:paraId="5F2D49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3A" w14:textId="77777777" w:rsidR="00E836FB" w:rsidRDefault="00994958">
            <w:pPr>
              <w:jc w:val="right"/>
              <w:textAlignment w:val="bottom"/>
            </w:pPr>
            <w:r>
              <w:rPr>
                <w:rFonts w:ascii="Arial" w:eastAsia="宋体" w:hAnsi="Arial" w:cs="Arial"/>
                <w:color w:val="000000"/>
                <w:sz w:val="14"/>
                <w:szCs w:val="14"/>
              </w:rPr>
              <w:t>62.58 </w:t>
            </w:r>
          </w:p>
        </w:tc>
        <w:tc>
          <w:tcPr>
            <w:tcW w:w="0" w:type="auto"/>
            <w:shd w:val="clear" w:color="auto" w:fill="FFFFFF"/>
            <w:tcMar>
              <w:top w:w="40" w:type="dxa"/>
              <w:left w:w="0" w:type="dxa"/>
              <w:bottom w:w="40" w:type="dxa"/>
              <w:right w:w="20" w:type="dxa"/>
            </w:tcMar>
            <w:vAlign w:val="bottom"/>
          </w:tcPr>
          <w:p w14:paraId="5F2D493B" w14:textId="77777777" w:rsidR="00E836FB" w:rsidRDefault="00E836FB">
            <w:pPr>
              <w:jc w:val="right"/>
              <w:rPr>
                <w:rFonts w:ascii="宋体"/>
              </w:rPr>
            </w:pPr>
          </w:p>
        </w:tc>
      </w:tr>
      <w:tr w:rsidR="00E836FB" w14:paraId="5F2D4943" w14:textId="77777777">
        <w:tc>
          <w:tcPr>
            <w:tcW w:w="0" w:type="auto"/>
            <w:gridSpan w:val="3"/>
            <w:shd w:val="clear" w:color="auto" w:fill="CCEEFF"/>
            <w:tcMar>
              <w:top w:w="40" w:type="dxa"/>
              <w:left w:w="20" w:type="dxa"/>
              <w:bottom w:w="40" w:type="dxa"/>
              <w:right w:w="20" w:type="dxa"/>
            </w:tcMar>
            <w:vAlign w:val="bottom"/>
          </w:tcPr>
          <w:p w14:paraId="5F2D493D" w14:textId="77777777" w:rsidR="00E836FB" w:rsidRDefault="00994958">
            <w:pPr>
              <w:textAlignment w:val="bottom"/>
            </w:pPr>
            <w:r>
              <w:rPr>
                <w:rFonts w:ascii="Arial" w:eastAsia="宋体" w:hAnsi="Arial" w:cs="Arial"/>
                <w:color w:val="000000"/>
                <w:sz w:val="14"/>
                <w:szCs w:val="14"/>
              </w:rPr>
              <w:t>Forfeited</w:t>
            </w:r>
          </w:p>
        </w:tc>
        <w:tc>
          <w:tcPr>
            <w:tcW w:w="0" w:type="auto"/>
            <w:gridSpan w:val="2"/>
            <w:shd w:val="clear" w:color="auto" w:fill="CCEEFF"/>
            <w:tcMar>
              <w:top w:w="40" w:type="dxa"/>
              <w:left w:w="20" w:type="dxa"/>
              <w:bottom w:w="40" w:type="dxa"/>
              <w:right w:w="0" w:type="dxa"/>
            </w:tcMar>
            <w:vAlign w:val="bottom"/>
          </w:tcPr>
          <w:p w14:paraId="5F2D493E" w14:textId="77777777" w:rsidR="00E836FB" w:rsidRDefault="00994958">
            <w:pPr>
              <w:jc w:val="right"/>
              <w:textAlignment w:val="bottom"/>
            </w:pPr>
            <w:r>
              <w:rPr>
                <w:rFonts w:ascii="Arial" w:eastAsia="宋体" w:hAnsi="Arial" w:cs="Arial"/>
                <w:color w:val="000000"/>
                <w:sz w:val="14"/>
                <w:szCs w:val="14"/>
              </w:rPr>
              <w:t>(23)</w:t>
            </w:r>
          </w:p>
        </w:tc>
        <w:tc>
          <w:tcPr>
            <w:tcW w:w="0" w:type="auto"/>
            <w:shd w:val="clear" w:color="auto" w:fill="CCEEFF"/>
            <w:tcMar>
              <w:top w:w="40" w:type="dxa"/>
              <w:left w:w="0" w:type="dxa"/>
              <w:bottom w:w="40" w:type="dxa"/>
              <w:right w:w="20" w:type="dxa"/>
            </w:tcMar>
            <w:vAlign w:val="bottom"/>
          </w:tcPr>
          <w:p w14:paraId="5F2D49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41" w14:textId="77777777" w:rsidR="00E836FB" w:rsidRDefault="00994958">
            <w:pPr>
              <w:jc w:val="right"/>
              <w:textAlignment w:val="bottom"/>
            </w:pPr>
            <w:r>
              <w:rPr>
                <w:rFonts w:ascii="Arial" w:eastAsia="宋体" w:hAnsi="Arial" w:cs="Arial"/>
                <w:color w:val="000000"/>
                <w:sz w:val="14"/>
                <w:szCs w:val="14"/>
              </w:rPr>
              <w:t>94.91 </w:t>
            </w:r>
          </w:p>
        </w:tc>
        <w:tc>
          <w:tcPr>
            <w:tcW w:w="0" w:type="auto"/>
            <w:shd w:val="clear" w:color="auto" w:fill="CCEEFF"/>
            <w:tcMar>
              <w:top w:w="40" w:type="dxa"/>
              <w:left w:w="0" w:type="dxa"/>
              <w:bottom w:w="40" w:type="dxa"/>
              <w:right w:w="20" w:type="dxa"/>
            </w:tcMar>
            <w:vAlign w:val="bottom"/>
          </w:tcPr>
          <w:p w14:paraId="5F2D4942" w14:textId="77777777" w:rsidR="00E836FB" w:rsidRDefault="00E836FB">
            <w:pPr>
              <w:jc w:val="right"/>
              <w:rPr>
                <w:rFonts w:ascii="宋体"/>
              </w:rPr>
            </w:pPr>
          </w:p>
        </w:tc>
      </w:tr>
      <w:tr w:rsidR="00E836FB" w14:paraId="5F2D494A" w14:textId="77777777">
        <w:tc>
          <w:tcPr>
            <w:tcW w:w="0" w:type="auto"/>
            <w:gridSpan w:val="3"/>
            <w:shd w:val="clear" w:color="auto" w:fill="FFFFFF"/>
            <w:tcMar>
              <w:top w:w="40" w:type="dxa"/>
              <w:left w:w="20" w:type="dxa"/>
              <w:bottom w:w="40" w:type="dxa"/>
              <w:right w:w="20" w:type="dxa"/>
            </w:tcMar>
            <w:vAlign w:val="bottom"/>
          </w:tcPr>
          <w:p w14:paraId="5F2D4944" w14:textId="77777777" w:rsidR="00E836FB" w:rsidRDefault="00994958">
            <w:pPr>
              <w:textAlignment w:val="bottom"/>
            </w:pPr>
            <w:r>
              <w:rPr>
                <w:rFonts w:ascii="Arial" w:eastAsia="宋体" w:hAnsi="Arial" w:cs="Arial"/>
                <w:color w:val="000000"/>
                <w:sz w:val="14"/>
                <w:szCs w:val="14"/>
              </w:rPr>
              <w:t>Paid out</w:t>
            </w:r>
          </w:p>
        </w:tc>
        <w:tc>
          <w:tcPr>
            <w:tcW w:w="0" w:type="auto"/>
            <w:gridSpan w:val="2"/>
            <w:shd w:val="clear" w:color="auto" w:fill="FFFFFF"/>
            <w:tcMar>
              <w:top w:w="40" w:type="dxa"/>
              <w:left w:w="20" w:type="dxa"/>
              <w:bottom w:w="40" w:type="dxa"/>
              <w:right w:w="0" w:type="dxa"/>
            </w:tcMar>
            <w:vAlign w:val="bottom"/>
          </w:tcPr>
          <w:p w14:paraId="5F2D4945" w14:textId="77777777" w:rsidR="00E836FB" w:rsidRDefault="00994958">
            <w:pPr>
              <w:jc w:val="right"/>
              <w:textAlignment w:val="bottom"/>
            </w:pPr>
            <w:r>
              <w:rPr>
                <w:rFonts w:ascii="Arial" w:eastAsia="宋体" w:hAnsi="Arial" w:cs="Arial"/>
                <w:color w:val="000000"/>
                <w:sz w:val="14"/>
                <w:szCs w:val="14"/>
              </w:rPr>
              <w:t>(410)</w:t>
            </w:r>
          </w:p>
        </w:tc>
        <w:tc>
          <w:tcPr>
            <w:tcW w:w="0" w:type="auto"/>
            <w:shd w:val="clear" w:color="auto" w:fill="FFFFFF"/>
            <w:tcMar>
              <w:top w:w="40" w:type="dxa"/>
              <w:left w:w="0" w:type="dxa"/>
              <w:bottom w:w="40" w:type="dxa"/>
              <w:right w:w="20" w:type="dxa"/>
            </w:tcMar>
            <w:vAlign w:val="bottom"/>
          </w:tcPr>
          <w:p w14:paraId="5F2D494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4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48" w14:textId="77777777" w:rsidR="00E836FB" w:rsidRDefault="00994958">
            <w:pPr>
              <w:jc w:val="right"/>
              <w:textAlignment w:val="bottom"/>
            </w:pPr>
            <w:r>
              <w:rPr>
                <w:rFonts w:ascii="Arial" w:eastAsia="宋体" w:hAnsi="Arial" w:cs="Arial"/>
                <w:color w:val="000000"/>
                <w:sz w:val="14"/>
                <w:szCs w:val="14"/>
              </w:rPr>
              <w:t>73.10 </w:t>
            </w:r>
          </w:p>
        </w:tc>
        <w:tc>
          <w:tcPr>
            <w:tcW w:w="0" w:type="auto"/>
            <w:shd w:val="clear" w:color="auto" w:fill="FFFFFF"/>
            <w:tcMar>
              <w:top w:w="40" w:type="dxa"/>
              <w:left w:w="0" w:type="dxa"/>
              <w:bottom w:w="40" w:type="dxa"/>
              <w:right w:w="20" w:type="dxa"/>
            </w:tcMar>
            <w:vAlign w:val="bottom"/>
          </w:tcPr>
          <w:p w14:paraId="5F2D4949" w14:textId="77777777" w:rsidR="00E836FB" w:rsidRDefault="00E836FB">
            <w:pPr>
              <w:jc w:val="right"/>
              <w:rPr>
                <w:rFonts w:ascii="宋体"/>
              </w:rPr>
            </w:pPr>
          </w:p>
        </w:tc>
      </w:tr>
      <w:tr w:rsidR="00E836FB" w14:paraId="5F2D4951" w14:textId="77777777">
        <w:tc>
          <w:tcPr>
            <w:tcW w:w="0" w:type="auto"/>
            <w:gridSpan w:val="3"/>
            <w:shd w:val="clear" w:color="auto" w:fill="CCEEFF"/>
            <w:tcMar>
              <w:top w:w="40" w:type="dxa"/>
              <w:left w:w="20" w:type="dxa"/>
              <w:bottom w:w="40" w:type="dxa"/>
              <w:right w:w="20" w:type="dxa"/>
            </w:tcMar>
            <w:vAlign w:val="bottom"/>
          </w:tcPr>
          <w:p w14:paraId="5F2D494B" w14:textId="77777777" w:rsidR="00E836FB" w:rsidRDefault="00994958">
            <w:pPr>
              <w:textAlignment w:val="bottom"/>
            </w:pPr>
            <w:r>
              <w:rPr>
                <w:rFonts w:ascii="Arial" w:eastAsia="宋体" w:hAnsi="Arial" w:cs="Arial"/>
                <w:b/>
                <w:bCs/>
                <w:color w:val="000000"/>
                <w:sz w:val="14"/>
                <w:szCs w:val="14"/>
              </w:rPr>
              <w:t>Outstanding as of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94C" w14:textId="77777777" w:rsidR="00E836FB" w:rsidRDefault="00994958">
            <w:pPr>
              <w:jc w:val="right"/>
              <w:textAlignment w:val="bottom"/>
            </w:pPr>
            <w:r>
              <w:rPr>
                <w:rFonts w:ascii="Arial" w:eastAsia="宋体" w:hAnsi="Arial" w:cs="Arial"/>
                <w:color w:val="000000"/>
                <w:sz w:val="14"/>
                <w:szCs w:val="14"/>
              </w:rPr>
              <w:t>2,517 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9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4F" w14:textId="77777777" w:rsidR="00E836FB" w:rsidRDefault="00994958">
            <w:pPr>
              <w:jc w:val="right"/>
              <w:textAlignment w:val="bottom"/>
            </w:pPr>
            <w:r>
              <w:rPr>
                <w:rFonts w:ascii="Arial" w:eastAsia="宋体" w:hAnsi="Arial" w:cs="Arial"/>
                <w:color w:val="000000"/>
                <w:sz w:val="14"/>
                <w:szCs w:val="14"/>
              </w:rPr>
              <w:t>68.42 </w:t>
            </w:r>
          </w:p>
        </w:tc>
        <w:tc>
          <w:tcPr>
            <w:tcW w:w="0" w:type="auto"/>
            <w:shd w:val="clear" w:color="auto" w:fill="CCEEFF"/>
            <w:tcMar>
              <w:top w:w="40" w:type="dxa"/>
              <w:left w:w="0" w:type="dxa"/>
              <w:bottom w:w="40" w:type="dxa"/>
              <w:right w:w="20" w:type="dxa"/>
            </w:tcMar>
            <w:vAlign w:val="bottom"/>
          </w:tcPr>
          <w:p w14:paraId="5F2D4950" w14:textId="77777777" w:rsidR="00E836FB" w:rsidRDefault="00E836FB">
            <w:pPr>
              <w:jc w:val="right"/>
              <w:rPr>
                <w:rFonts w:ascii="宋体"/>
              </w:rPr>
            </w:pPr>
          </w:p>
        </w:tc>
      </w:tr>
      <w:tr w:rsidR="00E836FB" w14:paraId="5F2D4958" w14:textId="77777777">
        <w:tc>
          <w:tcPr>
            <w:tcW w:w="0" w:type="auto"/>
            <w:gridSpan w:val="3"/>
            <w:shd w:val="clear" w:color="auto" w:fill="FFFFFF"/>
            <w:tcMar>
              <w:top w:w="40" w:type="dxa"/>
              <w:left w:w="20" w:type="dxa"/>
              <w:bottom w:w="40" w:type="dxa"/>
              <w:right w:w="20" w:type="dxa"/>
            </w:tcMar>
            <w:vAlign w:val="bottom"/>
          </w:tcPr>
          <w:p w14:paraId="5F2D4952" w14:textId="77777777" w:rsidR="00E836FB" w:rsidRDefault="00994958">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5F2D4953" w14:textId="77777777" w:rsidR="00E836FB" w:rsidRDefault="00994958">
            <w:pPr>
              <w:jc w:val="right"/>
              <w:textAlignment w:val="bottom"/>
            </w:pPr>
            <w:r>
              <w:rPr>
                <w:rFonts w:ascii="Arial" w:eastAsia="宋体" w:hAnsi="Arial" w:cs="Arial"/>
                <w:b/>
                <w:bCs/>
                <w:color w:val="000000"/>
                <w:sz w:val="14"/>
                <w:szCs w:val="14"/>
              </w:rPr>
              <w:t>802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5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5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56" w14:textId="77777777" w:rsidR="00E836FB" w:rsidRDefault="00994958">
            <w:pPr>
              <w:jc w:val="right"/>
              <w:textAlignment w:val="bottom"/>
            </w:pPr>
            <w:r>
              <w:rPr>
                <w:rFonts w:ascii="Arial" w:eastAsia="宋体" w:hAnsi="Arial" w:cs="Arial"/>
                <w:b/>
                <w:bCs/>
                <w:color w:val="000000"/>
                <w:sz w:val="14"/>
                <w:szCs w:val="14"/>
              </w:rPr>
              <w:t>61.87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57" w14:textId="77777777" w:rsidR="00E836FB" w:rsidRDefault="00E836FB">
            <w:pPr>
              <w:jc w:val="right"/>
              <w:rPr>
                <w:rFonts w:ascii="宋体"/>
              </w:rPr>
            </w:pPr>
          </w:p>
        </w:tc>
      </w:tr>
      <w:tr w:rsidR="00E836FB" w14:paraId="5F2D495F" w14:textId="77777777">
        <w:tc>
          <w:tcPr>
            <w:tcW w:w="0" w:type="auto"/>
            <w:gridSpan w:val="3"/>
            <w:shd w:val="clear" w:color="auto" w:fill="CCEEFF"/>
            <w:tcMar>
              <w:top w:w="40" w:type="dxa"/>
              <w:left w:w="20" w:type="dxa"/>
              <w:bottom w:w="40" w:type="dxa"/>
              <w:right w:w="20" w:type="dxa"/>
            </w:tcMar>
            <w:vAlign w:val="bottom"/>
          </w:tcPr>
          <w:p w14:paraId="5F2D4959" w14:textId="77777777" w:rsidR="00E836FB" w:rsidRDefault="00994958">
            <w:pPr>
              <w:textAlignment w:val="bottom"/>
            </w:pPr>
            <w:r>
              <w:rPr>
                <w:rFonts w:ascii="Arial" w:eastAsia="宋体" w:hAnsi="Arial" w:cs="Arial"/>
                <w:color w:val="000000"/>
                <w:sz w:val="14"/>
                <w:szCs w:val="14"/>
              </w:rPr>
              <w:t>Forfeited</w:t>
            </w:r>
          </w:p>
        </w:tc>
        <w:tc>
          <w:tcPr>
            <w:tcW w:w="0" w:type="auto"/>
            <w:gridSpan w:val="2"/>
            <w:shd w:val="clear" w:color="auto" w:fill="CCEEFF"/>
            <w:tcMar>
              <w:top w:w="40" w:type="dxa"/>
              <w:left w:w="20" w:type="dxa"/>
              <w:bottom w:w="40" w:type="dxa"/>
              <w:right w:w="0" w:type="dxa"/>
            </w:tcMar>
            <w:vAlign w:val="bottom"/>
          </w:tcPr>
          <w:p w14:paraId="5F2D495A" w14:textId="77777777" w:rsidR="00E836FB" w:rsidRDefault="00994958">
            <w:pPr>
              <w:jc w:val="right"/>
              <w:textAlignment w:val="bottom"/>
            </w:pPr>
            <w:r>
              <w:rPr>
                <w:rFonts w:ascii="Arial" w:eastAsia="宋体" w:hAnsi="Arial" w:cs="Arial"/>
                <w:b/>
                <w:bCs/>
                <w:color w:val="000000"/>
                <w:sz w:val="14"/>
                <w:szCs w:val="14"/>
              </w:rPr>
              <w:t>(14)</w:t>
            </w:r>
          </w:p>
        </w:tc>
        <w:tc>
          <w:tcPr>
            <w:tcW w:w="0" w:type="auto"/>
            <w:shd w:val="clear" w:color="auto" w:fill="CCEEFF"/>
            <w:tcMar>
              <w:top w:w="40" w:type="dxa"/>
              <w:left w:w="0" w:type="dxa"/>
              <w:bottom w:w="40" w:type="dxa"/>
              <w:right w:w="20" w:type="dxa"/>
            </w:tcMar>
            <w:vAlign w:val="bottom"/>
          </w:tcPr>
          <w:p w14:paraId="5F2D49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5D" w14:textId="77777777" w:rsidR="00E836FB" w:rsidRDefault="00994958">
            <w:pPr>
              <w:jc w:val="right"/>
              <w:textAlignment w:val="bottom"/>
            </w:pPr>
            <w:r>
              <w:rPr>
                <w:rFonts w:ascii="Arial" w:eastAsia="宋体" w:hAnsi="Arial" w:cs="Arial"/>
                <w:b/>
                <w:bCs/>
                <w:color w:val="000000"/>
                <w:sz w:val="14"/>
                <w:szCs w:val="14"/>
              </w:rPr>
              <w:t>57.66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5E" w14:textId="77777777" w:rsidR="00E836FB" w:rsidRDefault="00E836FB">
            <w:pPr>
              <w:jc w:val="right"/>
              <w:rPr>
                <w:rFonts w:ascii="宋体"/>
              </w:rPr>
            </w:pPr>
          </w:p>
        </w:tc>
      </w:tr>
      <w:tr w:rsidR="00E836FB" w14:paraId="5F2D4966" w14:textId="77777777">
        <w:tc>
          <w:tcPr>
            <w:tcW w:w="0" w:type="auto"/>
            <w:gridSpan w:val="3"/>
            <w:shd w:val="clear" w:color="auto" w:fill="FFFFFF"/>
            <w:tcMar>
              <w:top w:w="40" w:type="dxa"/>
              <w:left w:w="20" w:type="dxa"/>
              <w:bottom w:w="40" w:type="dxa"/>
              <w:right w:w="20" w:type="dxa"/>
            </w:tcMar>
            <w:vAlign w:val="bottom"/>
          </w:tcPr>
          <w:p w14:paraId="5F2D4960" w14:textId="77777777" w:rsidR="00E836FB" w:rsidRDefault="00994958">
            <w:pPr>
              <w:textAlignment w:val="bottom"/>
            </w:pPr>
            <w:r>
              <w:rPr>
                <w:rFonts w:ascii="Arial" w:eastAsia="宋体" w:hAnsi="Arial" w:cs="Arial"/>
                <w:color w:val="000000"/>
                <w:sz w:val="14"/>
                <w:szCs w:val="14"/>
              </w:rPr>
              <w:t>Paid out</w:t>
            </w:r>
          </w:p>
        </w:tc>
        <w:tc>
          <w:tcPr>
            <w:tcW w:w="0" w:type="auto"/>
            <w:gridSpan w:val="2"/>
            <w:shd w:val="clear" w:color="auto" w:fill="FFFFFF"/>
            <w:tcMar>
              <w:top w:w="40" w:type="dxa"/>
              <w:left w:w="20" w:type="dxa"/>
              <w:bottom w:w="40" w:type="dxa"/>
              <w:right w:w="0" w:type="dxa"/>
            </w:tcMar>
            <w:vAlign w:val="bottom"/>
          </w:tcPr>
          <w:p w14:paraId="5F2D4961" w14:textId="77777777" w:rsidR="00E836FB" w:rsidRDefault="00994958">
            <w:pPr>
              <w:jc w:val="right"/>
              <w:textAlignment w:val="bottom"/>
            </w:pPr>
            <w:r>
              <w:rPr>
                <w:rFonts w:ascii="Arial" w:eastAsia="宋体" w:hAnsi="Arial" w:cs="Arial"/>
                <w:b/>
                <w:bCs/>
                <w:color w:val="000000"/>
                <w:sz w:val="14"/>
                <w:szCs w:val="14"/>
              </w:rPr>
              <w:t>(716)</w:t>
            </w:r>
          </w:p>
        </w:tc>
        <w:tc>
          <w:tcPr>
            <w:tcW w:w="0" w:type="auto"/>
            <w:shd w:val="clear" w:color="auto" w:fill="FFFFFF"/>
            <w:tcMar>
              <w:top w:w="40" w:type="dxa"/>
              <w:left w:w="0" w:type="dxa"/>
              <w:bottom w:w="40" w:type="dxa"/>
              <w:right w:w="20" w:type="dxa"/>
            </w:tcMar>
            <w:vAlign w:val="bottom"/>
          </w:tcPr>
          <w:p w14:paraId="5F2D49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6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64" w14:textId="77777777" w:rsidR="00E836FB" w:rsidRDefault="00994958">
            <w:pPr>
              <w:jc w:val="right"/>
              <w:textAlignment w:val="bottom"/>
            </w:pPr>
            <w:r>
              <w:rPr>
                <w:rFonts w:ascii="Arial" w:eastAsia="宋体" w:hAnsi="Arial" w:cs="Arial"/>
                <w:b/>
                <w:bCs/>
                <w:color w:val="000000"/>
                <w:sz w:val="14"/>
                <w:szCs w:val="14"/>
              </w:rPr>
              <w:t>78.94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65" w14:textId="77777777" w:rsidR="00E836FB" w:rsidRDefault="00E836FB">
            <w:pPr>
              <w:jc w:val="right"/>
              <w:rPr>
                <w:rFonts w:ascii="宋体"/>
              </w:rPr>
            </w:pPr>
          </w:p>
        </w:tc>
      </w:tr>
      <w:tr w:rsidR="00E836FB" w14:paraId="5F2D496D" w14:textId="77777777">
        <w:tc>
          <w:tcPr>
            <w:tcW w:w="0" w:type="auto"/>
            <w:gridSpan w:val="3"/>
            <w:shd w:val="clear" w:color="auto" w:fill="CCEEFF"/>
            <w:tcMar>
              <w:top w:w="40" w:type="dxa"/>
              <w:left w:w="20" w:type="dxa"/>
              <w:bottom w:w="40" w:type="dxa"/>
              <w:right w:w="20" w:type="dxa"/>
            </w:tcMar>
            <w:vAlign w:val="bottom"/>
          </w:tcPr>
          <w:p w14:paraId="5F2D4967" w14:textId="77777777" w:rsidR="00E836FB" w:rsidRDefault="00994958">
            <w:pPr>
              <w:textAlignment w:val="bottom"/>
            </w:pPr>
            <w:r>
              <w:rPr>
                <w:rFonts w:ascii="Arial" w:eastAsia="宋体" w:hAnsi="Arial" w:cs="Arial"/>
                <w:b/>
                <w:bCs/>
                <w:color w:val="000000"/>
                <w:sz w:val="14"/>
                <w:szCs w:val="14"/>
              </w:rPr>
              <w:t>Outstanding as of December 31,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968" w14:textId="77777777" w:rsidR="00E836FB" w:rsidRDefault="00994958">
            <w:pPr>
              <w:jc w:val="right"/>
              <w:textAlignment w:val="bottom"/>
            </w:pPr>
            <w:r>
              <w:rPr>
                <w:rFonts w:ascii="Arial" w:eastAsia="宋体" w:hAnsi="Arial" w:cs="Arial"/>
                <w:b/>
                <w:bCs/>
                <w:color w:val="000000"/>
                <w:sz w:val="14"/>
                <w:szCs w:val="14"/>
              </w:rPr>
              <w:t>2,589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9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6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6B" w14:textId="77777777" w:rsidR="00E836FB" w:rsidRDefault="00994958">
            <w:pPr>
              <w:jc w:val="right"/>
              <w:textAlignment w:val="bottom"/>
            </w:pPr>
            <w:r>
              <w:rPr>
                <w:rFonts w:ascii="Arial" w:eastAsia="宋体" w:hAnsi="Arial" w:cs="Arial"/>
                <w:b/>
                <w:bCs/>
                <w:color w:val="000000"/>
                <w:sz w:val="14"/>
                <w:szCs w:val="14"/>
              </w:rPr>
              <w:t>63.54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6C" w14:textId="77777777" w:rsidR="00E836FB" w:rsidRDefault="00E836FB">
            <w:pPr>
              <w:jc w:val="right"/>
              <w:rPr>
                <w:rFonts w:ascii="宋体"/>
              </w:rPr>
            </w:pPr>
          </w:p>
        </w:tc>
      </w:tr>
    </w:tbl>
    <w:p w14:paraId="5F2D496E" w14:textId="77777777" w:rsidR="00E836FB" w:rsidRDefault="00994958">
      <w:pPr>
        <w:spacing w:before="60"/>
        <w:ind w:firstLine="450"/>
        <w:jc w:val="both"/>
        <w:textAlignment w:val="top"/>
      </w:pPr>
      <w:r>
        <w:rPr>
          <w:rFonts w:ascii="Arial" w:eastAsia="宋体" w:hAnsi="Arial" w:cs="Arial"/>
          <w:color w:val="000000"/>
          <w:sz w:val="20"/>
          <w:szCs w:val="20"/>
        </w:rPr>
        <w:t xml:space="preserve">The total fair </w:t>
      </w:r>
      <w:r>
        <w:rPr>
          <w:rFonts w:ascii="Arial" w:eastAsia="宋体" w:hAnsi="Arial" w:cs="Arial"/>
          <w:color w:val="000000"/>
          <w:sz w:val="20"/>
          <w:szCs w:val="20"/>
        </w:rPr>
        <w:t>value of performance awards vested for the years ended December 31, 2021, 2020 and 2019, based on the weighted average grant date fair value in each respective year, was $57 million, $30 million and $22 million, respectively. As of December 31, 2021, total</w:t>
      </w:r>
      <w:r>
        <w:rPr>
          <w:rFonts w:ascii="Arial" w:eastAsia="宋体" w:hAnsi="Arial" w:cs="Arial"/>
          <w:color w:val="000000"/>
          <w:sz w:val="20"/>
          <w:szCs w:val="20"/>
        </w:rPr>
        <w:t xml:space="preserve"> unrecognized compensation cost related to performance awards, net of estimated forfeitures, was $22 million, which is expected to be recognized over a weighted-average period of 1.9 years.</w:t>
      </w:r>
    </w:p>
    <w:tbl>
      <w:tblPr>
        <w:tblW w:w="4984" w:type="pct"/>
        <w:tblCellMar>
          <w:top w:w="15" w:type="dxa"/>
          <w:left w:w="15" w:type="dxa"/>
          <w:bottom w:w="15" w:type="dxa"/>
          <w:right w:w="15" w:type="dxa"/>
        </w:tblCellMar>
        <w:tblLook w:val="04A0" w:firstRow="1" w:lastRow="0" w:firstColumn="1" w:lastColumn="0" w:noHBand="0" w:noVBand="1"/>
      </w:tblPr>
      <w:tblGrid>
        <w:gridCol w:w="56"/>
        <w:gridCol w:w="2610"/>
        <w:gridCol w:w="36"/>
        <w:gridCol w:w="57"/>
        <w:gridCol w:w="2610"/>
        <w:gridCol w:w="36"/>
        <w:gridCol w:w="36"/>
        <w:gridCol w:w="87"/>
        <w:gridCol w:w="36"/>
        <w:gridCol w:w="99"/>
        <w:gridCol w:w="2610"/>
        <w:gridCol w:w="36"/>
      </w:tblGrid>
      <w:tr w:rsidR="00E836FB" w14:paraId="5F2D497B" w14:textId="77777777">
        <w:tc>
          <w:tcPr>
            <w:tcW w:w="50" w:type="pct"/>
            <w:shd w:val="clear" w:color="auto" w:fill="auto"/>
            <w:vAlign w:val="bottom"/>
          </w:tcPr>
          <w:p w14:paraId="5F2D496F" w14:textId="77777777" w:rsidR="00E836FB" w:rsidRDefault="00E836FB">
            <w:pPr>
              <w:rPr>
                <w:rFonts w:ascii="宋体"/>
              </w:rPr>
            </w:pPr>
          </w:p>
        </w:tc>
        <w:tc>
          <w:tcPr>
            <w:tcW w:w="1585" w:type="pct"/>
            <w:shd w:val="clear" w:color="auto" w:fill="auto"/>
            <w:vAlign w:val="bottom"/>
          </w:tcPr>
          <w:p w14:paraId="5F2D4970" w14:textId="77777777" w:rsidR="00E836FB" w:rsidRDefault="00E836FB">
            <w:pPr>
              <w:rPr>
                <w:rFonts w:ascii="宋体"/>
              </w:rPr>
            </w:pPr>
          </w:p>
        </w:tc>
        <w:tc>
          <w:tcPr>
            <w:tcW w:w="5" w:type="pct"/>
            <w:shd w:val="clear" w:color="auto" w:fill="auto"/>
            <w:vAlign w:val="bottom"/>
          </w:tcPr>
          <w:p w14:paraId="5F2D4971" w14:textId="77777777" w:rsidR="00E836FB" w:rsidRDefault="00E836FB">
            <w:pPr>
              <w:rPr>
                <w:rFonts w:ascii="宋体"/>
              </w:rPr>
            </w:pPr>
          </w:p>
        </w:tc>
        <w:tc>
          <w:tcPr>
            <w:tcW w:w="50" w:type="pct"/>
            <w:shd w:val="clear" w:color="auto" w:fill="auto"/>
            <w:vAlign w:val="bottom"/>
          </w:tcPr>
          <w:p w14:paraId="5F2D4972" w14:textId="77777777" w:rsidR="00E836FB" w:rsidRDefault="00E836FB">
            <w:pPr>
              <w:rPr>
                <w:rFonts w:ascii="宋体"/>
              </w:rPr>
            </w:pPr>
          </w:p>
        </w:tc>
        <w:tc>
          <w:tcPr>
            <w:tcW w:w="1585" w:type="pct"/>
            <w:shd w:val="clear" w:color="auto" w:fill="auto"/>
            <w:vAlign w:val="bottom"/>
          </w:tcPr>
          <w:p w14:paraId="5F2D4973" w14:textId="77777777" w:rsidR="00E836FB" w:rsidRDefault="00E836FB">
            <w:pPr>
              <w:rPr>
                <w:rFonts w:ascii="宋体"/>
              </w:rPr>
            </w:pPr>
          </w:p>
        </w:tc>
        <w:tc>
          <w:tcPr>
            <w:tcW w:w="5" w:type="pct"/>
            <w:shd w:val="clear" w:color="auto" w:fill="auto"/>
            <w:vAlign w:val="bottom"/>
          </w:tcPr>
          <w:p w14:paraId="5F2D4974" w14:textId="77777777" w:rsidR="00E836FB" w:rsidRDefault="00E836FB">
            <w:pPr>
              <w:rPr>
                <w:rFonts w:ascii="宋体"/>
              </w:rPr>
            </w:pPr>
          </w:p>
        </w:tc>
        <w:tc>
          <w:tcPr>
            <w:tcW w:w="5" w:type="pct"/>
            <w:shd w:val="clear" w:color="auto" w:fill="auto"/>
            <w:vAlign w:val="bottom"/>
          </w:tcPr>
          <w:p w14:paraId="5F2D4975" w14:textId="77777777" w:rsidR="00E836FB" w:rsidRDefault="00E836FB">
            <w:pPr>
              <w:rPr>
                <w:rFonts w:ascii="宋体"/>
              </w:rPr>
            </w:pPr>
          </w:p>
        </w:tc>
        <w:tc>
          <w:tcPr>
            <w:tcW w:w="68" w:type="pct"/>
            <w:shd w:val="clear" w:color="auto" w:fill="auto"/>
            <w:vAlign w:val="bottom"/>
          </w:tcPr>
          <w:p w14:paraId="5F2D4976" w14:textId="77777777" w:rsidR="00E836FB" w:rsidRDefault="00E836FB">
            <w:pPr>
              <w:rPr>
                <w:rFonts w:ascii="宋体"/>
              </w:rPr>
            </w:pPr>
          </w:p>
        </w:tc>
        <w:tc>
          <w:tcPr>
            <w:tcW w:w="5" w:type="pct"/>
            <w:shd w:val="clear" w:color="auto" w:fill="auto"/>
            <w:vAlign w:val="bottom"/>
          </w:tcPr>
          <w:p w14:paraId="5F2D4977" w14:textId="77777777" w:rsidR="00E836FB" w:rsidRDefault="00E836FB">
            <w:pPr>
              <w:rPr>
                <w:rFonts w:ascii="宋体"/>
              </w:rPr>
            </w:pPr>
          </w:p>
        </w:tc>
        <w:tc>
          <w:tcPr>
            <w:tcW w:w="50" w:type="pct"/>
            <w:shd w:val="clear" w:color="auto" w:fill="auto"/>
            <w:vAlign w:val="bottom"/>
          </w:tcPr>
          <w:p w14:paraId="5F2D4978" w14:textId="77777777" w:rsidR="00E836FB" w:rsidRDefault="00E836FB">
            <w:pPr>
              <w:rPr>
                <w:rFonts w:ascii="宋体"/>
              </w:rPr>
            </w:pPr>
          </w:p>
        </w:tc>
        <w:tc>
          <w:tcPr>
            <w:tcW w:w="1585" w:type="pct"/>
            <w:shd w:val="clear" w:color="auto" w:fill="auto"/>
            <w:vAlign w:val="bottom"/>
          </w:tcPr>
          <w:p w14:paraId="5F2D4979" w14:textId="77777777" w:rsidR="00E836FB" w:rsidRDefault="00E836FB">
            <w:pPr>
              <w:rPr>
                <w:rFonts w:ascii="宋体"/>
              </w:rPr>
            </w:pPr>
          </w:p>
        </w:tc>
        <w:tc>
          <w:tcPr>
            <w:tcW w:w="5" w:type="pct"/>
            <w:shd w:val="clear" w:color="auto" w:fill="auto"/>
            <w:vAlign w:val="bottom"/>
          </w:tcPr>
          <w:p w14:paraId="5F2D497A" w14:textId="77777777" w:rsidR="00E836FB" w:rsidRDefault="00E836FB">
            <w:pPr>
              <w:rPr>
                <w:rFonts w:ascii="宋体"/>
              </w:rPr>
            </w:pPr>
          </w:p>
        </w:tc>
      </w:tr>
      <w:tr w:rsidR="00E836FB" w14:paraId="5F2D4982" w14:textId="77777777">
        <w:tc>
          <w:tcPr>
            <w:tcW w:w="0" w:type="auto"/>
            <w:gridSpan w:val="3"/>
            <w:shd w:val="clear" w:color="auto" w:fill="auto"/>
            <w:tcMar>
              <w:top w:w="0" w:type="dxa"/>
              <w:left w:w="20" w:type="dxa"/>
              <w:bottom w:w="0" w:type="dxa"/>
              <w:right w:w="20" w:type="dxa"/>
            </w:tcMar>
            <w:vAlign w:val="bottom"/>
          </w:tcPr>
          <w:p w14:paraId="5F2D497C" w14:textId="77777777" w:rsidR="00E836FB" w:rsidRDefault="00E83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D497D" w14:textId="77777777" w:rsidR="00E836FB" w:rsidRDefault="00994958">
            <w:pPr>
              <w:jc w:val="center"/>
              <w:textAlignment w:val="bottom"/>
            </w:pPr>
            <w:r>
              <w:rPr>
                <w:rFonts w:ascii="Arial" w:eastAsia="宋体" w:hAnsi="Arial" w:cs="Arial"/>
                <w:b/>
                <w:bCs/>
                <w:color w:val="000000"/>
                <w:sz w:val="14"/>
                <w:szCs w:val="14"/>
              </w:rPr>
              <w:t>Shares</w:t>
            </w:r>
          </w:p>
          <w:p w14:paraId="5F2D497E" w14:textId="77777777" w:rsidR="00E836FB" w:rsidRDefault="00994958">
            <w:pPr>
              <w:jc w:val="center"/>
              <w:textAlignment w:val="bottom"/>
            </w:pPr>
            <w:r>
              <w:rPr>
                <w:rFonts w:ascii="Arial" w:eastAsia="宋体" w:hAnsi="Arial" w:cs="Arial"/>
                <w:b/>
                <w:bCs/>
                <w:color w:val="000000"/>
                <w:sz w:val="14"/>
                <w:szCs w:val="14"/>
              </w:rPr>
              <w:t>(In thousands)</w:t>
            </w:r>
          </w:p>
        </w:tc>
        <w:tc>
          <w:tcPr>
            <w:tcW w:w="0" w:type="auto"/>
            <w:gridSpan w:val="3"/>
            <w:shd w:val="clear" w:color="auto" w:fill="auto"/>
            <w:tcMar>
              <w:top w:w="0" w:type="dxa"/>
              <w:left w:w="20" w:type="dxa"/>
              <w:bottom w:w="0" w:type="dxa"/>
              <w:right w:w="20" w:type="dxa"/>
            </w:tcMar>
            <w:vAlign w:val="bottom"/>
          </w:tcPr>
          <w:p w14:paraId="5F2D497F" w14:textId="77777777" w:rsidR="00E836FB" w:rsidRDefault="00E83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F2D4980" w14:textId="77777777" w:rsidR="00E836FB" w:rsidRDefault="00994958">
            <w:pPr>
              <w:jc w:val="center"/>
              <w:textAlignment w:val="bottom"/>
            </w:pPr>
            <w:r>
              <w:rPr>
                <w:rFonts w:ascii="Arial" w:eastAsia="宋体" w:hAnsi="Arial" w:cs="Arial"/>
                <w:b/>
                <w:bCs/>
                <w:color w:val="000000"/>
                <w:sz w:val="14"/>
                <w:szCs w:val="14"/>
              </w:rPr>
              <w:t>Weighted-Average</w:t>
            </w:r>
          </w:p>
          <w:p w14:paraId="5F2D4981" w14:textId="77777777" w:rsidR="00E836FB" w:rsidRDefault="00994958">
            <w:pPr>
              <w:jc w:val="center"/>
              <w:textAlignment w:val="bottom"/>
            </w:pPr>
            <w:r>
              <w:rPr>
                <w:rFonts w:ascii="Arial" w:eastAsia="宋体" w:hAnsi="Arial" w:cs="Arial"/>
                <w:b/>
                <w:bCs/>
                <w:color w:val="000000"/>
                <w:sz w:val="14"/>
                <w:szCs w:val="14"/>
              </w:rPr>
              <w:t>Grant Date Fair Value</w:t>
            </w:r>
          </w:p>
        </w:tc>
      </w:tr>
      <w:tr w:rsidR="00E836FB" w14:paraId="5F2D4984" w14:textId="77777777">
        <w:tc>
          <w:tcPr>
            <w:tcW w:w="0" w:type="auto"/>
            <w:gridSpan w:val="12"/>
            <w:shd w:val="clear" w:color="auto" w:fill="auto"/>
            <w:tcMar>
              <w:top w:w="40" w:type="dxa"/>
              <w:left w:w="20" w:type="dxa"/>
              <w:bottom w:w="40" w:type="dxa"/>
              <w:right w:w="20" w:type="dxa"/>
            </w:tcMar>
            <w:vAlign w:val="bottom"/>
          </w:tcPr>
          <w:p w14:paraId="5F2D4983" w14:textId="77777777" w:rsidR="00E836FB" w:rsidRDefault="00994958">
            <w:pPr>
              <w:textAlignment w:val="bottom"/>
            </w:pPr>
            <w:r>
              <w:rPr>
                <w:rFonts w:ascii="Arial" w:eastAsia="宋体" w:hAnsi="Arial" w:cs="Arial"/>
                <w:b/>
                <w:bCs/>
                <w:color w:val="000000"/>
                <w:sz w:val="14"/>
                <w:szCs w:val="14"/>
              </w:rPr>
              <w:t>Cash Settled Restricted Stock Awards:</w:t>
            </w:r>
          </w:p>
        </w:tc>
      </w:tr>
      <w:tr w:rsidR="00E836FB" w14:paraId="5F2D4989" w14:textId="77777777">
        <w:trPr>
          <w:hidden/>
        </w:trPr>
        <w:tc>
          <w:tcPr>
            <w:tcW w:w="0" w:type="auto"/>
            <w:gridSpan w:val="3"/>
            <w:shd w:val="clear" w:color="auto" w:fill="auto"/>
            <w:vAlign w:val="bottom"/>
          </w:tcPr>
          <w:p w14:paraId="5F2D4985" w14:textId="77777777" w:rsidR="00E836FB" w:rsidRDefault="00E836FB">
            <w:pPr>
              <w:rPr>
                <w:rFonts w:ascii="宋体"/>
                <w:vanish/>
              </w:rPr>
            </w:pPr>
          </w:p>
        </w:tc>
        <w:tc>
          <w:tcPr>
            <w:tcW w:w="0" w:type="auto"/>
            <w:gridSpan w:val="3"/>
            <w:shd w:val="clear" w:color="auto" w:fill="auto"/>
            <w:vAlign w:val="bottom"/>
          </w:tcPr>
          <w:p w14:paraId="5F2D4986" w14:textId="77777777" w:rsidR="00E836FB" w:rsidRDefault="00E836FB">
            <w:pPr>
              <w:rPr>
                <w:rFonts w:ascii="宋体"/>
                <w:vanish/>
              </w:rPr>
            </w:pPr>
          </w:p>
        </w:tc>
        <w:tc>
          <w:tcPr>
            <w:tcW w:w="0" w:type="auto"/>
            <w:gridSpan w:val="3"/>
            <w:shd w:val="clear" w:color="auto" w:fill="auto"/>
            <w:vAlign w:val="bottom"/>
          </w:tcPr>
          <w:p w14:paraId="5F2D4987" w14:textId="77777777" w:rsidR="00E836FB" w:rsidRDefault="00E836FB">
            <w:pPr>
              <w:rPr>
                <w:rFonts w:ascii="宋体"/>
                <w:vanish/>
              </w:rPr>
            </w:pPr>
          </w:p>
        </w:tc>
        <w:tc>
          <w:tcPr>
            <w:tcW w:w="0" w:type="auto"/>
            <w:gridSpan w:val="3"/>
            <w:shd w:val="clear" w:color="auto" w:fill="auto"/>
            <w:vAlign w:val="bottom"/>
          </w:tcPr>
          <w:p w14:paraId="5F2D4988" w14:textId="77777777" w:rsidR="00E836FB" w:rsidRDefault="00E836FB">
            <w:pPr>
              <w:rPr>
                <w:rFonts w:ascii="宋体"/>
                <w:vanish/>
              </w:rPr>
            </w:pPr>
          </w:p>
        </w:tc>
      </w:tr>
      <w:tr w:rsidR="00E836FB" w14:paraId="5F2D498E" w14:textId="77777777">
        <w:trPr>
          <w:hidden/>
        </w:trPr>
        <w:tc>
          <w:tcPr>
            <w:tcW w:w="0" w:type="auto"/>
            <w:gridSpan w:val="3"/>
            <w:shd w:val="clear" w:color="auto" w:fill="auto"/>
            <w:vAlign w:val="bottom"/>
          </w:tcPr>
          <w:p w14:paraId="5F2D498A" w14:textId="77777777" w:rsidR="00E836FB" w:rsidRDefault="00E836FB">
            <w:pPr>
              <w:rPr>
                <w:rFonts w:ascii="宋体"/>
                <w:vanish/>
              </w:rPr>
            </w:pPr>
          </w:p>
        </w:tc>
        <w:tc>
          <w:tcPr>
            <w:tcW w:w="0" w:type="auto"/>
            <w:gridSpan w:val="3"/>
            <w:shd w:val="clear" w:color="auto" w:fill="auto"/>
            <w:vAlign w:val="bottom"/>
          </w:tcPr>
          <w:p w14:paraId="5F2D498B" w14:textId="77777777" w:rsidR="00E836FB" w:rsidRDefault="00E836FB">
            <w:pPr>
              <w:rPr>
                <w:rFonts w:ascii="宋体"/>
                <w:vanish/>
              </w:rPr>
            </w:pPr>
          </w:p>
        </w:tc>
        <w:tc>
          <w:tcPr>
            <w:tcW w:w="0" w:type="auto"/>
            <w:gridSpan w:val="3"/>
            <w:shd w:val="clear" w:color="auto" w:fill="auto"/>
            <w:vAlign w:val="bottom"/>
          </w:tcPr>
          <w:p w14:paraId="5F2D498C" w14:textId="77777777" w:rsidR="00E836FB" w:rsidRDefault="00E836FB">
            <w:pPr>
              <w:rPr>
                <w:rFonts w:ascii="宋体"/>
                <w:vanish/>
              </w:rPr>
            </w:pPr>
          </w:p>
        </w:tc>
        <w:tc>
          <w:tcPr>
            <w:tcW w:w="0" w:type="auto"/>
            <w:gridSpan w:val="3"/>
            <w:shd w:val="clear" w:color="auto" w:fill="auto"/>
            <w:vAlign w:val="bottom"/>
          </w:tcPr>
          <w:p w14:paraId="5F2D498D" w14:textId="77777777" w:rsidR="00E836FB" w:rsidRDefault="00E836FB">
            <w:pPr>
              <w:rPr>
                <w:rFonts w:ascii="宋体"/>
                <w:vanish/>
              </w:rPr>
            </w:pPr>
          </w:p>
        </w:tc>
      </w:tr>
      <w:tr w:rsidR="00E836FB" w14:paraId="5F2D4993" w14:textId="77777777">
        <w:trPr>
          <w:hidden/>
        </w:trPr>
        <w:tc>
          <w:tcPr>
            <w:tcW w:w="0" w:type="auto"/>
            <w:gridSpan w:val="3"/>
            <w:shd w:val="clear" w:color="auto" w:fill="auto"/>
            <w:vAlign w:val="bottom"/>
          </w:tcPr>
          <w:p w14:paraId="5F2D498F" w14:textId="77777777" w:rsidR="00E836FB" w:rsidRDefault="00E836FB">
            <w:pPr>
              <w:rPr>
                <w:rFonts w:ascii="宋体"/>
                <w:vanish/>
              </w:rPr>
            </w:pPr>
          </w:p>
        </w:tc>
        <w:tc>
          <w:tcPr>
            <w:tcW w:w="0" w:type="auto"/>
            <w:gridSpan w:val="3"/>
            <w:shd w:val="clear" w:color="auto" w:fill="auto"/>
            <w:vAlign w:val="bottom"/>
          </w:tcPr>
          <w:p w14:paraId="5F2D4990" w14:textId="77777777" w:rsidR="00E836FB" w:rsidRDefault="00E836FB">
            <w:pPr>
              <w:rPr>
                <w:rFonts w:ascii="宋体"/>
                <w:vanish/>
              </w:rPr>
            </w:pPr>
          </w:p>
        </w:tc>
        <w:tc>
          <w:tcPr>
            <w:tcW w:w="0" w:type="auto"/>
            <w:gridSpan w:val="3"/>
            <w:shd w:val="clear" w:color="auto" w:fill="auto"/>
            <w:vAlign w:val="bottom"/>
          </w:tcPr>
          <w:p w14:paraId="5F2D4991" w14:textId="77777777" w:rsidR="00E836FB" w:rsidRDefault="00E836FB">
            <w:pPr>
              <w:rPr>
                <w:rFonts w:ascii="宋体"/>
                <w:vanish/>
              </w:rPr>
            </w:pPr>
          </w:p>
        </w:tc>
        <w:tc>
          <w:tcPr>
            <w:tcW w:w="0" w:type="auto"/>
            <w:gridSpan w:val="3"/>
            <w:shd w:val="clear" w:color="auto" w:fill="auto"/>
            <w:vAlign w:val="bottom"/>
          </w:tcPr>
          <w:p w14:paraId="5F2D4992" w14:textId="77777777" w:rsidR="00E836FB" w:rsidRDefault="00E836FB">
            <w:pPr>
              <w:rPr>
                <w:rFonts w:ascii="宋体"/>
                <w:vanish/>
              </w:rPr>
            </w:pPr>
          </w:p>
        </w:tc>
      </w:tr>
      <w:tr w:rsidR="00E836FB" w14:paraId="5F2D4998" w14:textId="77777777">
        <w:trPr>
          <w:hidden/>
        </w:trPr>
        <w:tc>
          <w:tcPr>
            <w:tcW w:w="0" w:type="auto"/>
            <w:gridSpan w:val="3"/>
            <w:shd w:val="clear" w:color="auto" w:fill="auto"/>
            <w:vAlign w:val="bottom"/>
          </w:tcPr>
          <w:p w14:paraId="5F2D4994" w14:textId="77777777" w:rsidR="00E836FB" w:rsidRDefault="00E836FB">
            <w:pPr>
              <w:rPr>
                <w:rFonts w:ascii="宋体"/>
                <w:vanish/>
              </w:rPr>
            </w:pPr>
          </w:p>
        </w:tc>
        <w:tc>
          <w:tcPr>
            <w:tcW w:w="0" w:type="auto"/>
            <w:gridSpan w:val="3"/>
            <w:shd w:val="clear" w:color="auto" w:fill="auto"/>
            <w:vAlign w:val="bottom"/>
          </w:tcPr>
          <w:p w14:paraId="5F2D4995" w14:textId="77777777" w:rsidR="00E836FB" w:rsidRDefault="00E836FB">
            <w:pPr>
              <w:rPr>
                <w:rFonts w:ascii="宋体"/>
                <w:vanish/>
              </w:rPr>
            </w:pPr>
          </w:p>
        </w:tc>
        <w:tc>
          <w:tcPr>
            <w:tcW w:w="0" w:type="auto"/>
            <w:gridSpan w:val="3"/>
            <w:shd w:val="clear" w:color="auto" w:fill="auto"/>
            <w:vAlign w:val="bottom"/>
          </w:tcPr>
          <w:p w14:paraId="5F2D4996" w14:textId="77777777" w:rsidR="00E836FB" w:rsidRDefault="00E836FB">
            <w:pPr>
              <w:rPr>
                <w:rFonts w:ascii="宋体"/>
                <w:vanish/>
              </w:rPr>
            </w:pPr>
          </w:p>
        </w:tc>
        <w:tc>
          <w:tcPr>
            <w:tcW w:w="0" w:type="auto"/>
            <w:gridSpan w:val="3"/>
            <w:shd w:val="clear" w:color="auto" w:fill="auto"/>
            <w:vAlign w:val="bottom"/>
          </w:tcPr>
          <w:p w14:paraId="5F2D4997" w14:textId="77777777" w:rsidR="00E836FB" w:rsidRDefault="00E836FB">
            <w:pPr>
              <w:rPr>
                <w:rFonts w:ascii="宋体"/>
                <w:vanish/>
              </w:rPr>
            </w:pPr>
          </w:p>
        </w:tc>
      </w:tr>
      <w:tr w:rsidR="00E836FB" w14:paraId="5F2D49A0" w14:textId="77777777">
        <w:tc>
          <w:tcPr>
            <w:tcW w:w="0" w:type="auto"/>
            <w:gridSpan w:val="3"/>
            <w:shd w:val="clear" w:color="auto" w:fill="CCEEFF"/>
            <w:tcMar>
              <w:top w:w="40" w:type="dxa"/>
              <w:left w:w="20" w:type="dxa"/>
              <w:bottom w:w="40" w:type="dxa"/>
              <w:right w:w="20" w:type="dxa"/>
            </w:tcMar>
            <w:vAlign w:val="bottom"/>
          </w:tcPr>
          <w:p w14:paraId="5F2D4999" w14:textId="77777777" w:rsidR="00E836FB" w:rsidRDefault="00994958">
            <w:pPr>
              <w:textAlignment w:val="bottom"/>
            </w:pPr>
            <w:r>
              <w:rPr>
                <w:rFonts w:ascii="Arial" w:eastAsia="宋体" w:hAnsi="Arial" w:cs="Arial"/>
                <w:b/>
                <w:bCs/>
                <w:color w:val="000000"/>
                <w:sz w:val="14"/>
                <w:szCs w:val="14"/>
              </w:rPr>
              <w:t>Outstanding as of December 31, 2019</w:t>
            </w:r>
          </w:p>
        </w:tc>
        <w:tc>
          <w:tcPr>
            <w:tcW w:w="0" w:type="auto"/>
            <w:gridSpan w:val="2"/>
            <w:shd w:val="clear" w:color="auto" w:fill="CCEEFF"/>
            <w:tcMar>
              <w:top w:w="40" w:type="dxa"/>
              <w:left w:w="20" w:type="dxa"/>
              <w:bottom w:w="40" w:type="dxa"/>
              <w:right w:w="0" w:type="dxa"/>
            </w:tcMar>
            <w:vAlign w:val="bottom"/>
          </w:tcPr>
          <w:p w14:paraId="5F2D499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9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99D"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99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9F" w14:textId="77777777" w:rsidR="00E836FB" w:rsidRDefault="00E836FB">
            <w:pPr>
              <w:jc w:val="right"/>
              <w:rPr>
                <w:rFonts w:ascii="宋体"/>
              </w:rPr>
            </w:pPr>
          </w:p>
        </w:tc>
      </w:tr>
      <w:tr w:rsidR="00E836FB" w14:paraId="5F2D49A7" w14:textId="77777777">
        <w:tc>
          <w:tcPr>
            <w:tcW w:w="0" w:type="auto"/>
            <w:gridSpan w:val="3"/>
            <w:shd w:val="clear" w:color="auto" w:fill="FFFFFF"/>
            <w:tcMar>
              <w:top w:w="40" w:type="dxa"/>
              <w:left w:w="20" w:type="dxa"/>
              <w:bottom w:w="40" w:type="dxa"/>
              <w:right w:w="20" w:type="dxa"/>
            </w:tcMar>
            <w:vAlign w:val="bottom"/>
          </w:tcPr>
          <w:p w14:paraId="5F2D49A1" w14:textId="77777777" w:rsidR="00E836FB" w:rsidRDefault="00994958">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5F2D49A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A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A6" w14:textId="77777777" w:rsidR="00E836FB" w:rsidRDefault="00E836FB">
            <w:pPr>
              <w:jc w:val="right"/>
              <w:rPr>
                <w:rFonts w:ascii="宋体"/>
              </w:rPr>
            </w:pPr>
          </w:p>
        </w:tc>
      </w:tr>
      <w:tr w:rsidR="00E836FB" w14:paraId="5F2D49AE" w14:textId="77777777">
        <w:tc>
          <w:tcPr>
            <w:tcW w:w="0" w:type="auto"/>
            <w:gridSpan w:val="3"/>
            <w:shd w:val="clear" w:color="auto" w:fill="CCEEFF"/>
            <w:tcMar>
              <w:top w:w="40" w:type="dxa"/>
              <w:left w:w="20" w:type="dxa"/>
              <w:bottom w:w="40" w:type="dxa"/>
              <w:right w:w="20" w:type="dxa"/>
            </w:tcMar>
            <w:vAlign w:val="bottom"/>
          </w:tcPr>
          <w:p w14:paraId="5F2D49A8" w14:textId="77777777" w:rsidR="00E836FB" w:rsidRDefault="00994958">
            <w:pPr>
              <w:textAlignment w:val="bottom"/>
            </w:pPr>
            <w:r>
              <w:rPr>
                <w:rFonts w:ascii="Arial" w:eastAsia="宋体" w:hAnsi="Arial" w:cs="Arial"/>
                <w:color w:val="000000"/>
                <w:sz w:val="14"/>
                <w:szCs w:val="14"/>
              </w:rPr>
              <w:t>Forfeited</w:t>
            </w:r>
          </w:p>
        </w:tc>
        <w:tc>
          <w:tcPr>
            <w:tcW w:w="0" w:type="auto"/>
            <w:gridSpan w:val="2"/>
            <w:shd w:val="clear" w:color="auto" w:fill="CCEEFF"/>
            <w:tcMar>
              <w:top w:w="40" w:type="dxa"/>
              <w:left w:w="20" w:type="dxa"/>
              <w:bottom w:w="40" w:type="dxa"/>
              <w:right w:w="0" w:type="dxa"/>
            </w:tcMar>
            <w:vAlign w:val="bottom"/>
          </w:tcPr>
          <w:p w14:paraId="5F2D49A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A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A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AD" w14:textId="77777777" w:rsidR="00E836FB" w:rsidRDefault="00E836FB">
            <w:pPr>
              <w:jc w:val="right"/>
              <w:rPr>
                <w:rFonts w:ascii="宋体"/>
              </w:rPr>
            </w:pPr>
          </w:p>
        </w:tc>
      </w:tr>
      <w:tr w:rsidR="00E836FB" w14:paraId="5F2D49B5" w14:textId="77777777">
        <w:tc>
          <w:tcPr>
            <w:tcW w:w="0" w:type="auto"/>
            <w:gridSpan w:val="3"/>
            <w:shd w:val="clear" w:color="auto" w:fill="FFFFFF"/>
            <w:tcMar>
              <w:top w:w="40" w:type="dxa"/>
              <w:left w:w="20" w:type="dxa"/>
              <w:bottom w:w="40" w:type="dxa"/>
              <w:right w:w="20" w:type="dxa"/>
            </w:tcMar>
            <w:vAlign w:val="bottom"/>
          </w:tcPr>
          <w:p w14:paraId="5F2D49AF" w14:textId="77777777" w:rsidR="00E836FB" w:rsidRDefault="00994958">
            <w:pPr>
              <w:textAlignment w:val="bottom"/>
            </w:pPr>
            <w:r>
              <w:rPr>
                <w:rFonts w:ascii="Arial" w:eastAsia="宋体" w:hAnsi="Arial" w:cs="Arial"/>
                <w:color w:val="000000"/>
                <w:sz w:val="14"/>
                <w:szCs w:val="14"/>
              </w:rPr>
              <w:t>Paid out</w:t>
            </w:r>
          </w:p>
        </w:tc>
        <w:tc>
          <w:tcPr>
            <w:tcW w:w="0" w:type="auto"/>
            <w:gridSpan w:val="2"/>
            <w:shd w:val="clear" w:color="auto" w:fill="FFFFFF"/>
            <w:tcMar>
              <w:top w:w="40" w:type="dxa"/>
              <w:left w:w="20" w:type="dxa"/>
              <w:bottom w:w="40" w:type="dxa"/>
              <w:right w:w="0" w:type="dxa"/>
            </w:tcMar>
            <w:vAlign w:val="bottom"/>
          </w:tcPr>
          <w:p w14:paraId="5F2D49B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B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B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B4" w14:textId="77777777" w:rsidR="00E836FB" w:rsidRDefault="00E836FB">
            <w:pPr>
              <w:jc w:val="right"/>
              <w:rPr>
                <w:rFonts w:ascii="宋体"/>
              </w:rPr>
            </w:pPr>
          </w:p>
        </w:tc>
      </w:tr>
      <w:tr w:rsidR="00E836FB" w14:paraId="5F2D49BC" w14:textId="77777777">
        <w:tc>
          <w:tcPr>
            <w:tcW w:w="0" w:type="auto"/>
            <w:gridSpan w:val="3"/>
            <w:shd w:val="clear" w:color="auto" w:fill="CCEEFF"/>
            <w:tcMar>
              <w:top w:w="40" w:type="dxa"/>
              <w:left w:w="20" w:type="dxa"/>
              <w:bottom w:w="40" w:type="dxa"/>
              <w:right w:w="20" w:type="dxa"/>
            </w:tcMar>
            <w:vAlign w:val="bottom"/>
          </w:tcPr>
          <w:p w14:paraId="5F2D49B6" w14:textId="77777777" w:rsidR="00E836FB" w:rsidRDefault="00994958">
            <w:pPr>
              <w:textAlignment w:val="bottom"/>
            </w:pPr>
            <w:r>
              <w:rPr>
                <w:rFonts w:ascii="Arial" w:eastAsia="宋体" w:hAnsi="Arial" w:cs="Arial"/>
                <w:b/>
                <w:bCs/>
                <w:color w:val="000000"/>
                <w:sz w:val="14"/>
                <w:szCs w:val="14"/>
              </w:rPr>
              <w:t>Outstanding as of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9B7"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9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B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B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BB" w14:textId="77777777" w:rsidR="00E836FB" w:rsidRDefault="00E836FB">
            <w:pPr>
              <w:jc w:val="right"/>
              <w:rPr>
                <w:rFonts w:ascii="宋体"/>
              </w:rPr>
            </w:pPr>
          </w:p>
        </w:tc>
      </w:tr>
      <w:tr w:rsidR="00E836FB" w14:paraId="5F2D49C3" w14:textId="77777777">
        <w:tc>
          <w:tcPr>
            <w:tcW w:w="0" w:type="auto"/>
            <w:gridSpan w:val="3"/>
            <w:shd w:val="clear" w:color="auto" w:fill="FFFFFF"/>
            <w:tcMar>
              <w:top w:w="40" w:type="dxa"/>
              <w:left w:w="20" w:type="dxa"/>
              <w:bottom w:w="40" w:type="dxa"/>
              <w:right w:w="20" w:type="dxa"/>
            </w:tcMar>
            <w:vAlign w:val="bottom"/>
          </w:tcPr>
          <w:p w14:paraId="5F2D49BD" w14:textId="77777777" w:rsidR="00E836FB" w:rsidRDefault="00994958">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5F2D49BE" w14:textId="77777777" w:rsidR="00E836FB" w:rsidRDefault="00994958">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C1" w14:textId="77777777" w:rsidR="00E836FB" w:rsidRDefault="00994958">
            <w:pPr>
              <w:jc w:val="right"/>
              <w:textAlignment w:val="bottom"/>
            </w:pPr>
            <w:r>
              <w:rPr>
                <w:rFonts w:ascii="Arial" w:eastAsia="宋体" w:hAnsi="Arial" w:cs="Arial"/>
                <w:b/>
                <w:bCs/>
                <w:color w:val="000000"/>
                <w:sz w:val="14"/>
                <w:szCs w:val="14"/>
              </w:rPr>
              <w:t>69.95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C2" w14:textId="77777777" w:rsidR="00E836FB" w:rsidRDefault="00E836FB">
            <w:pPr>
              <w:jc w:val="right"/>
              <w:rPr>
                <w:rFonts w:ascii="宋体"/>
              </w:rPr>
            </w:pPr>
          </w:p>
        </w:tc>
      </w:tr>
      <w:tr w:rsidR="00E836FB" w14:paraId="5F2D49CA" w14:textId="77777777">
        <w:tc>
          <w:tcPr>
            <w:tcW w:w="0" w:type="auto"/>
            <w:gridSpan w:val="3"/>
            <w:shd w:val="clear" w:color="auto" w:fill="CCEEFF"/>
            <w:tcMar>
              <w:top w:w="40" w:type="dxa"/>
              <w:left w:w="20" w:type="dxa"/>
              <w:bottom w:w="40" w:type="dxa"/>
              <w:right w:w="20" w:type="dxa"/>
            </w:tcMar>
            <w:vAlign w:val="bottom"/>
          </w:tcPr>
          <w:p w14:paraId="5F2D49C4" w14:textId="77777777" w:rsidR="00E836FB" w:rsidRDefault="00994958">
            <w:pPr>
              <w:textAlignment w:val="bottom"/>
            </w:pPr>
            <w:r>
              <w:rPr>
                <w:rFonts w:ascii="Arial" w:eastAsia="宋体" w:hAnsi="Arial" w:cs="Arial"/>
                <w:color w:val="000000"/>
                <w:sz w:val="14"/>
                <w:szCs w:val="14"/>
              </w:rPr>
              <w:t>Forfeited</w:t>
            </w:r>
          </w:p>
        </w:tc>
        <w:tc>
          <w:tcPr>
            <w:tcW w:w="0" w:type="auto"/>
            <w:gridSpan w:val="2"/>
            <w:shd w:val="clear" w:color="auto" w:fill="CCEEFF"/>
            <w:tcMar>
              <w:top w:w="40" w:type="dxa"/>
              <w:left w:w="20" w:type="dxa"/>
              <w:bottom w:w="40" w:type="dxa"/>
              <w:right w:w="0" w:type="dxa"/>
            </w:tcMar>
            <w:vAlign w:val="bottom"/>
          </w:tcPr>
          <w:p w14:paraId="5F2D49C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C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C9" w14:textId="77777777" w:rsidR="00E836FB" w:rsidRDefault="00E836FB">
            <w:pPr>
              <w:jc w:val="right"/>
              <w:rPr>
                <w:rFonts w:ascii="宋体"/>
              </w:rPr>
            </w:pPr>
          </w:p>
        </w:tc>
      </w:tr>
      <w:tr w:rsidR="00E836FB" w14:paraId="5F2D49D1" w14:textId="77777777">
        <w:tc>
          <w:tcPr>
            <w:tcW w:w="0" w:type="auto"/>
            <w:gridSpan w:val="3"/>
            <w:shd w:val="clear" w:color="auto" w:fill="FFFFFF"/>
            <w:tcMar>
              <w:top w:w="40" w:type="dxa"/>
              <w:left w:w="20" w:type="dxa"/>
              <w:bottom w:w="40" w:type="dxa"/>
              <w:right w:w="20" w:type="dxa"/>
            </w:tcMar>
            <w:vAlign w:val="bottom"/>
          </w:tcPr>
          <w:p w14:paraId="5F2D49CB" w14:textId="77777777" w:rsidR="00E836FB" w:rsidRDefault="00994958">
            <w:pPr>
              <w:textAlignment w:val="bottom"/>
            </w:pPr>
            <w:r>
              <w:rPr>
                <w:rFonts w:ascii="Arial" w:eastAsia="宋体" w:hAnsi="Arial" w:cs="Arial"/>
                <w:color w:val="000000"/>
                <w:sz w:val="14"/>
                <w:szCs w:val="14"/>
              </w:rPr>
              <w:t>Paid out</w:t>
            </w:r>
          </w:p>
        </w:tc>
        <w:tc>
          <w:tcPr>
            <w:tcW w:w="0" w:type="auto"/>
            <w:gridSpan w:val="2"/>
            <w:shd w:val="clear" w:color="auto" w:fill="FFFFFF"/>
            <w:tcMar>
              <w:top w:w="40" w:type="dxa"/>
              <w:left w:w="20" w:type="dxa"/>
              <w:bottom w:w="40" w:type="dxa"/>
              <w:right w:w="0" w:type="dxa"/>
            </w:tcMar>
            <w:vAlign w:val="bottom"/>
          </w:tcPr>
          <w:p w14:paraId="5F2D49CC" w14:textId="77777777" w:rsidR="00E836FB" w:rsidRDefault="00994958">
            <w:pPr>
              <w:jc w:val="right"/>
              <w:textAlignment w:val="bottom"/>
            </w:pPr>
            <w:r>
              <w:rPr>
                <w:rFonts w:ascii="Arial" w:eastAsia="宋体" w:hAnsi="Arial" w:cs="Arial"/>
                <w:b/>
                <w:bCs/>
                <w:color w:val="000000"/>
                <w:sz w:val="14"/>
                <w:szCs w:val="14"/>
              </w:rPr>
              <w:t>(23)</w:t>
            </w:r>
          </w:p>
        </w:tc>
        <w:tc>
          <w:tcPr>
            <w:tcW w:w="0" w:type="auto"/>
            <w:shd w:val="clear" w:color="auto" w:fill="FFFFFF"/>
            <w:tcMar>
              <w:top w:w="40" w:type="dxa"/>
              <w:left w:w="0" w:type="dxa"/>
              <w:bottom w:w="40" w:type="dxa"/>
              <w:right w:w="20" w:type="dxa"/>
            </w:tcMar>
            <w:vAlign w:val="bottom"/>
          </w:tcPr>
          <w:p w14:paraId="5F2D49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9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9CF" w14:textId="77777777" w:rsidR="00E836FB" w:rsidRDefault="00994958">
            <w:pPr>
              <w:jc w:val="right"/>
              <w:textAlignment w:val="bottom"/>
            </w:pPr>
            <w:r>
              <w:rPr>
                <w:rFonts w:ascii="Arial" w:eastAsia="宋体" w:hAnsi="Arial" w:cs="Arial"/>
                <w:b/>
                <w:bCs/>
                <w:color w:val="000000"/>
                <w:sz w:val="14"/>
                <w:szCs w:val="14"/>
              </w:rPr>
              <w:t>69.95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9D0" w14:textId="77777777" w:rsidR="00E836FB" w:rsidRDefault="00E836FB">
            <w:pPr>
              <w:jc w:val="right"/>
              <w:rPr>
                <w:rFonts w:ascii="宋体"/>
              </w:rPr>
            </w:pPr>
          </w:p>
        </w:tc>
      </w:tr>
      <w:tr w:rsidR="00E836FB" w14:paraId="5F2D49D8" w14:textId="77777777">
        <w:tc>
          <w:tcPr>
            <w:tcW w:w="0" w:type="auto"/>
            <w:gridSpan w:val="3"/>
            <w:shd w:val="clear" w:color="auto" w:fill="CCEEFF"/>
            <w:tcMar>
              <w:top w:w="40" w:type="dxa"/>
              <w:left w:w="20" w:type="dxa"/>
              <w:bottom w:w="40" w:type="dxa"/>
              <w:right w:w="20" w:type="dxa"/>
            </w:tcMar>
            <w:vAlign w:val="bottom"/>
          </w:tcPr>
          <w:p w14:paraId="5F2D49D2" w14:textId="77777777" w:rsidR="00E836FB" w:rsidRDefault="00994958">
            <w:pPr>
              <w:textAlignment w:val="bottom"/>
            </w:pPr>
            <w:r>
              <w:rPr>
                <w:rFonts w:ascii="Arial" w:eastAsia="宋体" w:hAnsi="Arial" w:cs="Arial"/>
                <w:b/>
                <w:bCs/>
                <w:color w:val="000000"/>
                <w:sz w:val="14"/>
                <w:szCs w:val="14"/>
              </w:rPr>
              <w:t>Outstanding as of December 31,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9D3" w14:textId="77777777" w:rsidR="00E836FB" w:rsidRDefault="00994958">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9D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9D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9D6" w14:textId="77777777" w:rsidR="00E836FB" w:rsidRDefault="00994958">
            <w:pPr>
              <w:jc w:val="right"/>
              <w:textAlignment w:val="bottom"/>
            </w:pPr>
            <w:r>
              <w:rPr>
                <w:rFonts w:ascii="Arial" w:eastAsia="宋体" w:hAnsi="Arial" w:cs="Arial"/>
                <w:b/>
                <w:bCs/>
                <w:color w:val="000000"/>
                <w:sz w:val="14"/>
                <w:szCs w:val="14"/>
              </w:rPr>
              <w:t>69.95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9D7" w14:textId="77777777" w:rsidR="00E836FB" w:rsidRDefault="00E836FB">
            <w:pPr>
              <w:jc w:val="right"/>
              <w:rPr>
                <w:rFonts w:ascii="宋体"/>
              </w:rPr>
            </w:pPr>
          </w:p>
        </w:tc>
      </w:tr>
    </w:tbl>
    <w:p w14:paraId="5F2D49D9" w14:textId="77777777" w:rsidR="00E836FB" w:rsidRDefault="00994958">
      <w:pPr>
        <w:ind w:firstLine="450"/>
        <w:jc w:val="right"/>
      </w:pPr>
      <w:r>
        <w:rPr>
          <w:rFonts w:ascii="Arial" w:eastAsia="宋体" w:hAnsi="Arial" w:cs="Arial"/>
          <w:color w:val="000000"/>
          <w:sz w:val="18"/>
          <w:szCs w:val="18"/>
        </w:rPr>
        <w:t>State Street Corporation | 174</w:t>
      </w:r>
    </w:p>
    <w:p w14:paraId="5F2D49DA" w14:textId="77777777" w:rsidR="00E836FB" w:rsidRDefault="00E836FB">
      <w:pPr>
        <w:ind w:firstLine="450"/>
        <w:jc w:val="center"/>
      </w:pPr>
    </w:p>
    <w:p w14:paraId="5F2D49DB" w14:textId="77777777" w:rsidR="00E836FB" w:rsidRDefault="00994958">
      <w:r>
        <w:pict w14:anchorId="5F2D6E33">
          <v:rect id="_x0000_i1198" style="width:415.3pt;height:1.5pt" o:hralign="center" o:hrstd="t" o:hr="t" fillcolor="#a0a0a0" stroked="f"/>
        </w:pict>
      </w:r>
    </w:p>
    <w:p w14:paraId="5F2D49DC" w14:textId="77777777" w:rsidR="00E836FB" w:rsidRDefault="00994958">
      <w:pPr>
        <w:ind w:firstLine="450"/>
        <w:jc w:val="center"/>
      </w:pPr>
      <w:r>
        <w:rPr>
          <w:rFonts w:ascii="Arial" w:eastAsia="宋体" w:hAnsi="Arial" w:cs="Arial"/>
          <w:b/>
          <w:bCs/>
          <w:color w:val="000000"/>
          <w:sz w:val="20"/>
          <w:szCs w:val="20"/>
        </w:rPr>
        <w:t>STATE STREET CORPORATION</w:t>
      </w:r>
    </w:p>
    <w:p w14:paraId="5F2D49DD"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9DE" w14:textId="77777777" w:rsidR="00E836FB" w:rsidRDefault="00994958">
      <w:pPr>
        <w:spacing w:before="60"/>
        <w:ind w:firstLine="450"/>
        <w:jc w:val="both"/>
        <w:textAlignment w:val="top"/>
      </w:pPr>
      <w:r>
        <w:rPr>
          <w:rFonts w:ascii="Arial" w:eastAsia="宋体" w:hAnsi="Arial" w:cs="Arial"/>
          <w:color w:val="000000"/>
          <w:sz w:val="20"/>
          <w:szCs w:val="20"/>
        </w:rPr>
        <w:t>The total fair value of cash settled restricted stock awards vested during the year ended December 31, 2021, based on the weighted average grant date fair value, was $2 million. As of December 31, 2021, there was no unrecognized compensation cost related t</w:t>
      </w:r>
      <w:r>
        <w:rPr>
          <w:rFonts w:ascii="Arial" w:eastAsia="宋体" w:hAnsi="Arial" w:cs="Arial"/>
          <w:color w:val="000000"/>
          <w:sz w:val="20"/>
          <w:szCs w:val="20"/>
        </w:rPr>
        <w:t xml:space="preserve">o cash settled restricted stock awards. </w:t>
      </w:r>
    </w:p>
    <w:p w14:paraId="5F2D49DF" w14:textId="77777777" w:rsidR="00E836FB" w:rsidRDefault="00994958">
      <w:pPr>
        <w:spacing w:before="60"/>
        <w:ind w:firstLine="450"/>
        <w:jc w:val="both"/>
        <w:textAlignment w:val="top"/>
      </w:pPr>
      <w:r>
        <w:rPr>
          <w:rFonts w:ascii="Arial" w:eastAsia="宋体" w:hAnsi="Arial" w:cs="Arial"/>
          <w:color w:val="000000"/>
          <w:sz w:val="20"/>
          <w:szCs w:val="20"/>
        </w:rPr>
        <w:t>We utilize either treasury shares or authorized but unissued shares to satisfy the issuance of common stock under our equity incentive plans. We do not have a specific policy concerning purchases of our common stock</w:t>
      </w:r>
      <w:r>
        <w:rPr>
          <w:rFonts w:ascii="Arial" w:eastAsia="宋体" w:hAnsi="Arial" w:cs="Arial"/>
          <w:color w:val="000000"/>
          <w:sz w:val="20"/>
          <w:szCs w:val="20"/>
        </w:rPr>
        <w:t xml:space="preserve"> to satisfy stock issuances. We have a general policy concerning purchases of our common stock to meet issuances under our employee benefit plans, including other corporate purposes. Various factors determine the amount and timing of our purchases of our c</w:t>
      </w:r>
      <w:r>
        <w:rPr>
          <w:rFonts w:ascii="Arial" w:eastAsia="宋体" w:hAnsi="Arial" w:cs="Arial"/>
          <w:color w:val="000000"/>
          <w:sz w:val="20"/>
          <w:szCs w:val="20"/>
        </w:rPr>
        <w:t>ommon stock, including regulatory reviews and approvals or non-objections, our regulatory capital requirements, the number of shares we expect to issue under employee benefit plans, market conditions (including the trading price of our common stock), and l</w:t>
      </w:r>
      <w:r>
        <w:rPr>
          <w:rFonts w:ascii="Arial" w:eastAsia="宋体" w:hAnsi="Arial" w:cs="Arial"/>
          <w:color w:val="000000"/>
          <w:sz w:val="20"/>
          <w:szCs w:val="20"/>
        </w:rPr>
        <w:t>egal considerations. These factors can change at any time, and the number of shares of common stock we will purchase or when we will purchase them cannot be assured. Additional information on our common stock purchase program is provided in Note 15.</w:t>
      </w:r>
    </w:p>
    <w:p w14:paraId="5F2D49E0" w14:textId="77777777" w:rsidR="00E836FB" w:rsidRDefault="00994958">
      <w:pPr>
        <w:spacing w:before="90"/>
        <w:jc w:val="both"/>
        <w:textAlignment w:val="top"/>
      </w:pPr>
      <w:r>
        <w:rPr>
          <w:rFonts w:ascii="Arial" w:eastAsia="宋体" w:hAnsi="Arial" w:cs="Arial"/>
          <w:b/>
          <w:bCs/>
          <w:color w:val="000000"/>
          <w:sz w:val="20"/>
          <w:szCs w:val="20"/>
        </w:rPr>
        <w:t>Note 1</w:t>
      </w:r>
      <w:r>
        <w:rPr>
          <w:rFonts w:ascii="Arial" w:eastAsia="宋体" w:hAnsi="Arial" w:cs="Arial"/>
          <w:b/>
          <w:bCs/>
          <w:color w:val="000000"/>
          <w:sz w:val="20"/>
          <w:szCs w:val="20"/>
        </w:rPr>
        <w:t>9.     Employee Benefits</w:t>
      </w:r>
    </w:p>
    <w:p w14:paraId="5F2D49E1" w14:textId="77777777" w:rsidR="00E836FB" w:rsidRDefault="00994958">
      <w:pPr>
        <w:spacing w:before="60"/>
        <w:jc w:val="both"/>
        <w:textAlignment w:val="top"/>
      </w:pPr>
      <w:r>
        <w:rPr>
          <w:rFonts w:ascii="Arial" w:eastAsia="宋体" w:hAnsi="Arial" w:cs="Arial"/>
          <w:b/>
          <w:bCs/>
          <w:i/>
          <w:iCs/>
          <w:color w:val="000000"/>
          <w:sz w:val="20"/>
          <w:szCs w:val="20"/>
        </w:rPr>
        <w:t>Defined Benefit Pension and Other Post-Retirement Benefit Plans</w:t>
      </w:r>
    </w:p>
    <w:p w14:paraId="5F2D49E2" w14:textId="77777777" w:rsidR="00E836FB" w:rsidRDefault="00994958">
      <w:pPr>
        <w:spacing w:before="60"/>
        <w:ind w:firstLine="450"/>
        <w:jc w:val="both"/>
        <w:textAlignment w:val="top"/>
      </w:pPr>
      <w:r>
        <w:rPr>
          <w:rFonts w:ascii="Arial" w:eastAsia="宋体" w:hAnsi="Arial" w:cs="Arial"/>
          <w:color w:val="000000"/>
          <w:sz w:val="20"/>
          <w:szCs w:val="20"/>
        </w:rPr>
        <w:t xml:space="preserve">State Street Bank and certain of its U.S. subsidiaries participate in a non-contributory, tax-qualified defined benefit pension plan. The U.S. defined benefit pension </w:t>
      </w:r>
      <w:r>
        <w:rPr>
          <w:rFonts w:ascii="Arial" w:eastAsia="宋体" w:hAnsi="Arial" w:cs="Arial"/>
          <w:color w:val="000000"/>
          <w:sz w:val="20"/>
          <w:szCs w:val="20"/>
        </w:rPr>
        <w:t>plan was frozen as of December 31, 2007 and no new employees were eligible to participate after that date. We have agreed to contribute sufficient amounts as necessary to meet the benefits paid to plan participants and to fund the plan’s service cost, plus</w:t>
      </w:r>
      <w:r>
        <w:rPr>
          <w:rFonts w:ascii="Arial" w:eastAsia="宋体" w:hAnsi="Arial" w:cs="Arial"/>
          <w:color w:val="000000"/>
          <w:sz w:val="20"/>
          <w:szCs w:val="20"/>
        </w:rPr>
        <w:t xml:space="preserve"> interest. U.S. employee account balances earn annual interest credits until the employee begins receiving benefits. Non-U.S. employees participate in local defined benefit plans which are funded as required in each local jurisdiction. In addition to the d</w:t>
      </w:r>
      <w:r>
        <w:rPr>
          <w:rFonts w:ascii="Arial" w:eastAsia="宋体" w:hAnsi="Arial" w:cs="Arial"/>
          <w:color w:val="000000"/>
          <w:sz w:val="20"/>
          <w:szCs w:val="20"/>
        </w:rPr>
        <w:t>efined benefit pension plans, we have non-qualified unfunded SERPs that provide certain officers with defined pension benefits in excess of allowable qualified plan limits. State Street Bank and certain of its U.S. subsidiaries also participate in a post-r</w:t>
      </w:r>
      <w:r>
        <w:rPr>
          <w:rFonts w:ascii="Arial" w:eastAsia="宋体" w:hAnsi="Arial" w:cs="Arial"/>
          <w:color w:val="000000"/>
          <w:sz w:val="20"/>
          <w:szCs w:val="20"/>
        </w:rPr>
        <w:t>etirement plan that provides health care benefits for certain retired employees. The total expense for these tax-qualified and non-qualified plans was $27 million, $25 million and $8 million in 2021, 2020 and 2019, respectively.</w:t>
      </w:r>
    </w:p>
    <w:p w14:paraId="5F2D49E3" w14:textId="77777777" w:rsidR="00E836FB" w:rsidRDefault="00994958">
      <w:pPr>
        <w:spacing w:before="60"/>
        <w:ind w:firstLine="450"/>
        <w:jc w:val="both"/>
        <w:textAlignment w:val="top"/>
      </w:pPr>
      <w:r>
        <w:rPr>
          <w:rFonts w:ascii="Arial" w:eastAsia="宋体" w:hAnsi="Arial" w:cs="Arial"/>
          <w:color w:val="000000"/>
          <w:sz w:val="20"/>
          <w:szCs w:val="20"/>
        </w:rPr>
        <w:t xml:space="preserve">We recognize the funded status of our defined benefit pension plans and other post-retirement benefit plans, measured as the difference between the fair value of the plan assets and the projected </w:t>
      </w:r>
    </w:p>
    <w:p w14:paraId="5F2D49E4" w14:textId="77777777" w:rsidR="00E836FB" w:rsidRDefault="00994958">
      <w:pPr>
        <w:spacing w:before="60"/>
        <w:jc w:val="both"/>
        <w:textAlignment w:val="top"/>
      </w:pPr>
      <w:r>
        <w:rPr>
          <w:rFonts w:ascii="Arial" w:eastAsia="宋体" w:hAnsi="Arial" w:cs="Arial"/>
          <w:color w:val="000000"/>
          <w:sz w:val="20"/>
          <w:szCs w:val="20"/>
        </w:rPr>
        <w:t>benefit obligation, in the consolidated statement of positi</w:t>
      </w:r>
      <w:r>
        <w:rPr>
          <w:rFonts w:ascii="Arial" w:eastAsia="宋体" w:hAnsi="Arial" w:cs="Arial"/>
          <w:color w:val="000000"/>
          <w:sz w:val="20"/>
          <w:szCs w:val="20"/>
        </w:rPr>
        <w:t xml:space="preserve">on. The assets held by the defined benefit pension plans are largely made up of common, collective funds that are liquid and invest principally in U.S. equities and high-quality fixed-income investments. The majority of these assets fall within Level 2 of </w:t>
      </w:r>
      <w:r>
        <w:rPr>
          <w:rFonts w:ascii="Arial" w:eastAsia="宋体" w:hAnsi="Arial" w:cs="Arial"/>
          <w:color w:val="000000"/>
          <w:sz w:val="20"/>
          <w:szCs w:val="20"/>
        </w:rPr>
        <w:t>the fair value hierarchy. The benefit obligations associated with our primary U.S. and non-U.S. defined benefit plans, non-qualified unfunded supplemental retirement plans and post-retirement plans were $1.47 billion, $42 million and $3 million, respective</w:t>
      </w:r>
      <w:r>
        <w:rPr>
          <w:rFonts w:ascii="Arial" w:eastAsia="宋体" w:hAnsi="Arial" w:cs="Arial"/>
          <w:color w:val="000000"/>
          <w:sz w:val="20"/>
          <w:szCs w:val="20"/>
        </w:rPr>
        <w:t>ly, as of December 31, 2021 and $1.53 billion, $69 million and $4 million, respectively, as of December 31, 2020. As the primary defined benefit plans are frozen, the benefit obligation will only vary over time as a result of changes in market interest rat</w:t>
      </w:r>
      <w:r>
        <w:rPr>
          <w:rFonts w:ascii="Arial" w:eastAsia="宋体" w:hAnsi="Arial" w:cs="Arial"/>
          <w:color w:val="000000"/>
          <w:sz w:val="20"/>
          <w:szCs w:val="20"/>
        </w:rPr>
        <w:t>es, the life expectancy of the plan participants and payments made from the plans. The primary U.S. and non-U.S. defined benefit pension plans were overfunded by $49 million and underfunded by $15 million as of December 31, 2021 and 2020, respectively. The</w:t>
      </w:r>
      <w:r>
        <w:rPr>
          <w:rFonts w:ascii="Arial" w:eastAsia="宋体" w:hAnsi="Arial" w:cs="Arial"/>
          <w:color w:val="000000"/>
          <w:sz w:val="20"/>
          <w:szCs w:val="20"/>
        </w:rPr>
        <w:t xml:space="preserve"> non-qualified supplemental retirement plans were underfunded by $42 million and $69 million as of December 31, 2021 and 2020, respectively. The other post-retirement benefit plans were underfunded by $3 million and $4 million as of December 31, 2021 and 2</w:t>
      </w:r>
      <w:r>
        <w:rPr>
          <w:rFonts w:ascii="Arial" w:eastAsia="宋体" w:hAnsi="Arial" w:cs="Arial"/>
          <w:color w:val="000000"/>
          <w:sz w:val="20"/>
          <w:szCs w:val="20"/>
        </w:rPr>
        <w:t>020, respectively. The underfunded status is included in other liabilities.</w:t>
      </w:r>
    </w:p>
    <w:p w14:paraId="5F2D49E5" w14:textId="77777777" w:rsidR="00E836FB" w:rsidRDefault="00994958">
      <w:pPr>
        <w:spacing w:before="60"/>
        <w:jc w:val="both"/>
        <w:textAlignment w:val="top"/>
      </w:pPr>
      <w:r>
        <w:rPr>
          <w:rFonts w:ascii="Arial" w:eastAsia="宋体" w:hAnsi="Arial" w:cs="Arial"/>
          <w:b/>
          <w:bCs/>
          <w:i/>
          <w:iCs/>
          <w:color w:val="000000"/>
          <w:sz w:val="20"/>
          <w:szCs w:val="20"/>
        </w:rPr>
        <w:t>Defined Contribution Retirement Plans</w:t>
      </w:r>
    </w:p>
    <w:p w14:paraId="5F2D49E6" w14:textId="77777777" w:rsidR="00E836FB" w:rsidRDefault="00994958">
      <w:pPr>
        <w:spacing w:before="60"/>
        <w:ind w:firstLine="450"/>
        <w:jc w:val="both"/>
        <w:textAlignment w:val="top"/>
      </w:pPr>
      <w:r>
        <w:rPr>
          <w:rFonts w:ascii="Arial" w:eastAsia="宋体" w:hAnsi="Arial" w:cs="Arial"/>
          <w:color w:val="000000"/>
          <w:sz w:val="20"/>
          <w:szCs w:val="20"/>
        </w:rPr>
        <w:t>We contribute to employer-sponsored U.S. and non-U.S. defined contribution plans. Our contribution to these plans was $171 million, $168 milli</w:t>
      </w:r>
      <w:r>
        <w:rPr>
          <w:rFonts w:ascii="Arial" w:eastAsia="宋体" w:hAnsi="Arial" w:cs="Arial"/>
          <w:color w:val="000000"/>
          <w:sz w:val="20"/>
          <w:szCs w:val="20"/>
        </w:rPr>
        <w:t>on and $167 million in 2021, 2020 and 2019, respectively.</w:t>
      </w:r>
    </w:p>
    <w:p w14:paraId="5F2D49E7" w14:textId="77777777" w:rsidR="00E836FB" w:rsidRDefault="00994958">
      <w:pPr>
        <w:spacing w:before="90"/>
        <w:jc w:val="both"/>
        <w:textAlignment w:val="top"/>
      </w:pPr>
      <w:r>
        <w:rPr>
          <w:rFonts w:ascii="Arial" w:eastAsia="宋体" w:hAnsi="Arial" w:cs="Arial"/>
          <w:b/>
          <w:bCs/>
          <w:color w:val="000000"/>
          <w:sz w:val="20"/>
          <w:szCs w:val="20"/>
        </w:rPr>
        <w:t>Note 20. Occupancy Expense and Information Systems and Communications Expense</w:t>
      </w:r>
    </w:p>
    <w:p w14:paraId="5F2D49E8" w14:textId="77777777" w:rsidR="00E836FB" w:rsidRDefault="00994958">
      <w:pPr>
        <w:spacing w:before="60"/>
        <w:ind w:firstLine="450"/>
        <w:jc w:val="both"/>
        <w:textAlignment w:val="top"/>
      </w:pPr>
      <w:r>
        <w:rPr>
          <w:rFonts w:ascii="Arial" w:eastAsia="宋体" w:hAnsi="Arial" w:cs="Arial"/>
          <w:color w:val="000000"/>
          <w:sz w:val="20"/>
          <w:szCs w:val="20"/>
        </w:rPr>
        <w:t>Occupancy expense and information systems and communications expense include depreciation of buildings, leasehold improv</w:t>
      </w:r>
      <w:r>
        <w:rPr>
          <w:rFonts w:ascii="Arial" w:eastAsia="宋体" w:hAnsi="Arial" w:cs="Arial"/>
          <w:color w:val="000000"/>
          <w:sz w:val="20"/>
          <w:szCs w:val="20"/>
        </w:rPr>
        <w:t xml:space="preserve">ements, computer hardware and software, equipment, furniture and fixtures, and amortization of lease right-of-use assets. Total depreciation and amortization expense in 2021, 2020 and 2019 was $859 million, $858 million and $842 million, respectively. </w:t>
      </w:r>
    </w:p>
    <w:p w14:paraId="5F2D49E9" w14:textId="77777777" w:rsidR="00E836FB" w:rsidRDefault="00994958">
      <w:pPr>
        <w:spacing w:before="60"/>
        <w:ind w:firstLine="450"/>
        <w:jc w:val="both"/>
        <w:textAlignment w:val="top"/>
      </w:pPr>
      <w:r>
        <w:rPr>
          <w:rFonts w:ascii="Arial" w:eastAsia="宋体" w:hAnsi="Arial" w:cs="Arial"/>
          <w:color w:val="000000"/>
          <w:sz w:val="20"/>
          <w:szCs w:val="20"/>
        </w:rPr>
        <w:t xml:space="preserve">We </w:t>
      </w:r>
      <w:r>
        <w:rPr>
          <w:rFonts w:ascii="Arial" w:eastAsia="宋体" w:hAnsi="Arial" w:cs="Arial"/>
          <w:color w:val="000000"/>
          <w:sz w:val="20"/>
          <w:szCs w:val="20"/>
        </w:rPr>
        <w:t>use our incremental borrowing rate to determine the present value of the lease payments for finance and operating leases described below. Additionally, we do not separate nonlease components such as real estate taxes and common area maintenance from base l</w:t>
      </w:r>
      <w:r>
        <w:rPr>
          <w:rFonts w:ascii="Arial" w:eastAsia="宋体" w:hAnsi="Arial" w:cs="Arial"/>
          <w:color w:val="000000"/>
          <w:sz w:val="20"/>
          <w:szCs w:val="20"/>
        </w:rPr>
        <w:t>ease payments.</w:t>
      </w:r>
    </w:p>
    <w:p w14:paraId="5F2D49EA" w14:textId="77777777" w:rsidR="00E836FB" w:rsidRDefault="00994958">
      <w:pPr>
        <w:spacing w:before="60"/>
        <w:ind w:firstLine="450"/>
        <w:jc w:val="both"/>
        <w:textAlignment w:val="top"/>
      </w:pPr>
      <w:r>
        <w:rPr>
          <w:rFonts w:ascii="Arial" w:eastAsia="宋体" w:hAnsi="Arial" w:cs="Arial"/>
          <w:color w:val="000000"/>
          <w:sz w:val="20"/>
          <w:szCs w:val="20"/>
        </w:rPr>
        <w:t>As of December 31, 2021 and 2020, an aggregate net book value of $135 million and $55 million, respectively, for the finance lease related to our One Lincoln Street Boston headquarters was recorded in premises and equipment, with the related</w:t>
      </w:r>
      <w:r>
        <w:rPr>
          <w:rFonts w:ascii="Arial" w:eastAsia="宋体" w:hAnsi="Arial" w:cs="Arial"/>
          <w:color w:val="000000"/>
          <w:sz w:val="20"/>
          <w:szCs w:val="20"/>
        </w:rPr>
        <w:t xml:space="preserve"> liability of $164 million and $103 million, respectively, </w:t>
      </w:r>
    </w:p>
    <w:p w14:paraId="5F2D49EB" w14:textId="77777777" w:rsidR="00E836FB" w:rsidRDefault="00994958">
      <w:pPr>
        <w:ind w:firstLine="450"/>
        <w:jc w:val="right"/>
      </w:pPr>
      <w:r>
        <w:rPr>
          <w:rFonts w:ascii="Arial" w:eastAsia="宋体" w:hAnsi="Arial" w:cs="Arial"/>
          <w:color w:val="000000"/>
          <w:sz w:val="18"/>
          <w:szCs w:val="18"/>
        </w:rPr>
        <w:t>State Street Corporation | 175</w:t>
      </w:r>
    </w:p>
    <w:p w14:paraId="5F2D49EC" w14:textId="77777777" w:rsidR="00E836FB" w:rsidRDefault="00E836FB">
      <w:pPr>
        <w:ind w:firstLine="450"/>
        <w:jc w:val="center"/>
      </w:pPr>
    </w:p>
    <w:p w14:paraId="5F2D49ED" w14:textId="77777777" w:rsidR="00E836FB" w:rsidRDefault="00994958">
      <w:r>
        <w:pict w14:anchorId="5F2D6E34">
          <v:rect id="_x0000_i1199" style="width:415.3pt;height:1.5pt" o:hralign="center" o:hrstd="t" o:hr="t" fillcolor="#a0a0a0" stroked="f"/>
        </w:pict>
      </w:r>
    </w:p>
    <w:p w14:paraId="5F2D49EE" w14:textId="77777777" w:rsidR="00E836FB" w:rsidRDefault="00994958">
      <w:pPr>
        <w:ind w:firstLine="450"/>
        <w:jc w:val="center"/>
      </w:pPr>
      <w:r>
        <w:rPr>
          <w:rFonts w:ascii="Arial" w:eastAsia="宋体" w:hAnsi="Arial" w:cs="Arial"/>
          <w:b/>
          <w:bCs/>
          <w:color w:val="000000"/>
          <w:sz w:val="20"/>
          <w:szCs w:val="20"/>
        </w:rPr>
        <w:t>STATE STREET CORPORATION</w:t>
      </w:r>
    </w:p>
    <w:p w14:paraId="5F2D49EF"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9F0" w14:textId="77777777" w:rsidR="00E836FB" w:rsidRDefault="00994958">
      <w:pPr>
        <w:spacing w:before="60"/>
        <w:jc w:val="both"/>
        <w:textAlignment w:val="top"/>
      </w:pPr>
      <w:r>
        <w:rPr>
          <w:rFonts w:ascii="Arial" w:eastAsia="宋体" w:hAnsi="Arial" w:cs="Arial"/>
          <w:color w:val="000000"/>
          <w:sz w:val="20"/>
          <w:szCs w:val="20"/>
        </w:rPr>
        <w:t>recorded in long-term debt, in our consolidated statement of condition.</w:t>
      </w:r>
    </w:p>
    <w:p w14:paraId="5F2D49F1" w14:textId="77777777" w:rsidR="00E836FB" w:rsidRDefault="00994958">
      <w:pPr>
        <w:spacing w:before="60"/>
        <w:ind w:firstLine="450"/>
        <w:jc w:val="both"/>
        <w:textAlignment w:val="top"/>
      </w:pPr>
      <w:r>
        <w:rPr>
          <w:rFonts w:ascii="Arial" w:eastAsia="宋体" w:hAnsi="Arial" w:cs="Arial"/>
          <w:color w:val="000000"/>
          <w:sz w:val="20"/>
          <w:szCs w:val="20"/>
        </w:rPr>
        <w:t>Finance lease right-of</w:t>
      </w:r>
      <w:r>
        <w:rPr>
          <w:rFonts w:ascii="Arial" w:eastAsia="宋体" w:hAnsi="Arial" w:cs="Arial"/>
          <w:color w:val="000000"/>
          <w:sz w:val="20"/>
          <w:szCs w:val="20"/>
        </w:rPr>
        <w:t>-use asset amortization is recorded in occupancy expense on a straight-line basis in our consolidated statement of income over the respective lease term. As of December 31, 2021, accumulated amortization of the finance lease right-of-use asset was $101 mil</w:t>
      </w:r>
      <w:r>
        <w:rPr>
          <w:rFonts w:ascii="Arial" w:eastAsia="宋体" w:hAnsi="Arial" w:cs="Arial"/>
          <w:color w:val="000000"/>
          <w:sz w:val="20"/>
          <w:szCs w:val="20"/>
        </w:rPr>
        <w:t>lion. Lease payments are recorded as a reduction of the liability, with a portion recorded as imputed interest expense. In 2021 and 2020, interest expense related to the finance lease obligation reflected in NII was $6 million and $9 million, respectively.</w:t>
      </w:r>
      <w:r>
        <w:rPr>
          <w:rFonts w:ascii="Arial" w:eastAsia="宋体" w:hAnsi="Arial" w:cs="Arial"/>
          <w:color w:val="000000"/>
          <w:sz w:val="20"/>
          <w:szCs w:val="20"/>
        </w:rPr>
        <w:t xml:space="preserve"> </w:t>
      </w:r>
    </w:p>
    <w:p w14:paraId="5F2D49F2" w14:textId="77777777" w:rsidR="00E836FB" w:rsidRDefault="00994958">
      <w:pPr>
        <w:spacing w:before="60"/>
        <w:ind w:firstLine="450"/>
        <w:jc w:val="both"/>
        <w:textAlignment w:val="top"/>
      </w:pPr>
      <w:r>
        <w:rPr>
          <w:rFonts w:ascii="Arial" w:eastAsia="宋体" w:hAnsi="Arial" w:cs="Arial"/>
          <w:color w:val="000000"/>
          <w:sz w:val="20"/>
          <w:szCs w:val="20"/>
        </w:rPr>
        <w:t>As of December 31, 2021, an aggregate net book value of $542 million for the operating lease right-of-use assets is recorded in other assets, with the related lease liability of $689 million recorded in accrued expenses and other liabilities in our conso</w:t>
      </w:r>
      <w:r>
        <w:rPr>
          <w:rFonts w:ascii="Arial" w:eastAsia="宋体" w:hAnsi="Arial" w:cs="Arial"/>
          <w:color w:val="000000"/>
          <w:sz w:val="20"/>
          <w:szCs w:val="20"/>
        </w:rPr>
        <w:t>lidated statement of condition.</w:t>
      </w:r>
    </w:p>
    <w:p w14:paraId="5F2D49F3" w14:textId="77777777" w:rsidR="00E836FB" w:rsidRDefault="00994958">
      <w:pPr>
        <w:spacing w:before="60"/>
        <w:ind w:firstLine="450"/>
        <w:jc w:val="both"/>
        <w:textAlignment w:val="top"/>
      </w:pPr>
      <w:r>
        <w:rPr>
          <w:rFonts w:ascii="Arial" w:eastAsia="宋体" w:hAnsi="Arial" w:cs="Arial"/>
          <w:color w:val="000000"/>
          <w:sz w:val="20"/>
          <w:szCs w:val="20"/>
        </w:rPr>
        <w:t>We have entered into non-cancellable operating leases for premises and equipment. Nearly all of these leases include renewal options, and only those reasonably certain of being exercised are included in the term of the lease</w:t>
      </w:r>
      <w:r>
        <w:rPr>
          <w:rFonts w:ascii="Arial" w:eastAsia="宋体" w:hAnsi="Arial" w:cs="Arial"/>
          <w:color w:val="000000"/>
          <w:sz w:val="20"/>
          <w:szCs w:val="20"/>
        </w:rPr>
        <w:t>. Costs for operating leases are recorded on a straight-line basis which includes both interest expense and right-of-use asset amortization. Operating lease costs for office space are recorded in occupancy expense. Costs related to operating leases for equ</w:t>
      </w:r>
      <w:r>
        <w:rPr>
          <w:rFonts w:ascii="Arial" w:eastAsia="宋体" w:hAnsi="Arial" w:cs="Arial"/>
          <w:color w:val="000000"/>
          <w:sz w:val="20"/>
          <w:szCs w:val="20"/>
        </w:rPr>
        <w:t>ipment are recorded in information systems and communications expense.</w:t>
      </w:r>
    </w:p>
    <w:p w14:paraId="5F2D49F4" w14:textId="77777777" w:rsidR="00E836FB" w:rsidRDefault="00994958">
      <w:pPr>
        <w:spacing w:before="60"/>
        <w:ind w:firstLine="450"/>
        <w:jc w:val="both"/>
        <w:textAlignment w:val="top"/>
      </w:pPr>
      <w:r>
        <w:rPr>
          <w:rFonts w:ascii="Arial" w:eastAsia="宋体" w:hAnsi="Arial" w:cs="Arial"/>
          <w:color w:val="000000"/>
          <w:sz w:val="20"/>
          <w:szCs w:val="20"/>
        </w:rPr>
        <w:t>As of December 31, 2021, we have an additional operating lease, primarily for office space, that has not yet commenced with approximately $455 million of undiscounted future minimum lea</w:t>
      </w:r>
      <w:r>
        <w:rPr>
          <w:rFonts w:ascii="Arial" w:eastAsia="宋体" w:hAnsi="Arial" w:cs="Arial"/>
          <w:color w:val="000000"/>
          <w:sz w:val="20"/>
          <w:szCs w:val="20"/>
        </w:rPr>
        <w:t>se payments. This lease will commence in fiscal year 2023 with 15 year lease term. These future payments relate to the new Boston headquarters lease executed in the first quarter of 2019, replacing the One Lincoln Street Boston property.</w:t>
      </w:r>
    </w:p>
    <w:p w14:paraId="5F2D49F5" w14:textId="77777777" w:rsidR="00E836FB" w:rsidRDefault="00994958">
      <w:pPr>
        <w:spacing w:before="60"/>
        <w:ind w:firstLine="450"/>
        <w:jc w:val="both"/>
        <w:textAlignment w:val="top"/>
      </w:pPr>
      <w:r>
        <w:rPr>
          <w:rFonts w:ascii="Arial" w:eastAsia="宋体" w:hAnsi="Arial" w:cs="Arial"/>
          <w:color w:val="000000"/>
          <w:sz w:val="20"/>
          <w:szCs w:val="20"/>
        </w:rPr>
        <w:t xml:space="preserve">None of our </w:t>
      </w:r>
      <w:r>
        <w:rPr>
          <w:rFonts w:ascii="Arial" w:eastAsia="宋体" w:hAnsi="Arial" w:cs="Arial"/>
          <w:color w:val="000000"/>
          <w:sz w:val="20"/>
          <w:szCs w:val="20"/>
        </w:rPr>
        <w:t>leases contain residual value guarantees.</w:t>
      </w:r>
    </w:p>
    <w:p w14:paraId="5F2D49F6"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lease costs, sublease rental income, cash flows and new leases arising from lease transactions for 2021:</w:t>
      </w:r>
    </w:p>
    <w:tbl>
      <w:tblPr>
        <w:tblW w:w="5000" w:type="pct"/>
        <w:tblCellMar>
          <w:top w:w="15" w:type="dxa"/>
          <w:left w:w="15" w:type="dxa"/>
          <w:bottom w:w="15" w:type="dxa"/>
          <w:right w:w="15" w:type="dxa"/>
        </w:tblCellMar>
        <w:tblLook w:val="04A0" w:firstRow="1" w:lastRow="0" w:firstColumn="1" w:lastColumn="0" w:noHBand="0" w:noVBand="1"/>
      </w:tblPr>
      <w:tblGrid>
        <w:gridCol w:w="49"/>
        <w:gridCol w:w="4594"/>
        <w:gridCol w:w="37"/>
        <w:gridCol w:w="98"/>
        <w:gridCol w:w="1631"/>
        <w:gridCol w:w="36"/>
        <w:gridCol w:w="36"/>
        <w:gridCol w:w="54"/>
        <w:gridCol w:w="36"/>
        <w:gridCol w:w="98"/>
        <w:gridCol w:w="1631"/>
        <w:gridCol w:w="36"/>
      </w:tblGrid>
      <w:tr w:rsidR="00E836FB" w14:paraId="5F2D4A03" w14:textId="77777777">
        <w:tc>
          <w:tcPr>
            <w:tcW w:w="50" w:type="pct"/>
            <w:shd w:val="clear" w:color="auto" w:fill="auto"/>
            <w:vAlign w:val="bottom"/>
          </w:tcPr>
          <w:p w14:paraId="5F2D49F7" w14:textId="77777777" w:rsidR="00E836FB" w:rsidRDefault="00E836FB">
            <w:pPr>
              <w:rPr>
                <w:rFonts w:ascii="宋体"/>
              </w:rPr>
            </w:pPr>
          </w:p>
        </w:tc>
        <w:tc>
          <w:tcPr>
            <w:tcW w:w="2775" w:type="pct"/>
            <w:shd w:val="clear" w:color="auto" w:fill="auto"/>
            <w:vAlign w:val="bottom"/>
          </w:tcPr>
          <w:p w14:paraId="5F2D49F8" w14:textId="77777777" w:rsidR="00E836FB" w:rsidRDefault="00E836FB">
            <w:pPr>
              <w:rPr>
                <w:rFonts w:ascii="宋体"/>
              </w:rPr>
            </w:pPr>
          </w:p>
        </w:tc>
        <w:tc>
          <w:tcPr>
            <w:tcW w:w="5" w:type="pct"/>
            <w:shd w:val="clear" w:color="auto" w:fill="auto"/>
            <w:vAlign w:val="bottom"/>
          </w:tcPr>
          <w:p w14:paraId="5F2D49F9" w14:textId="77777777" w:rsidR="00E836FB" w:rsidRDefault="00E836FB">
            <w:pPr>
              <w:rPr>
                <w:rFonts w:ascii="宋体"/>
              </w:rPr>
            </w:pPr>
          </w:p>
        </w:tc>
        <w:tc>
          <w:tcPr>
            <w:tcW w:w="50" w:type="pct"/>
            <w:shd w:val="clear" w:color="auto" w:fill="auto"/>
            <w:vAlign w:val="bottom"/>
          </w:tcPr>
          <w:p w14:paraId="5F2D49FA" w14:textId="77777777" w:rsidR="00E836FB" w:rsidRDefault="00E836FB">
            <w:pPr>
              <w:rPr>
                <w:rFonts w:ascii="宋体"/>
              </w:rPr>
            </w:pPr>
          </w:p>
        </w:tc>
        <w:tc>
          <w:tcPr>
            <w:tcW w:w="998" w:type="pct"/>
            <w:shd w:val="clear" w:color="auto" w:fill="auto"/>
            <w:vAlign w:val="bottom"/>
          </w:tcPr>
          <w:p w14:paraId="5F2D49FB" w14:textId="77777777" w:rsidR="00E836FB" w:rsidRDefault="00E836FB">
            <w:pPr>
              <w:rPr>
                <w:rFonts w:ascii="宋体"/>
              </w:rPr>
            </w:pPr>
          </w:p>
        </w:tc>
        <w:tc>
          <w:tcPr>
            <w:tcW w:w="5" w:type="pct"/>
            <w:shd w:val="clear" w:color="auto" w:fill="auto"/>
            <w:vAlign w:val="bottom"/>
          </w:tcPr>
          <w:p w14:paraId="5F2D49FC" w14:textId="77777777" w:rsidR="00E836FB" w:rsidRDefault="00E836FB">
            <w:pPr>
              <w:rPr>
                <w:rFonts w:ascii="宋体"/>
              </w:rPr>
            </w:pPr>
          </w:p>
        </w:tc>
        <w:tc>
          <w:tcPr>
            <w:tcW w:w="5" w:type="pct"/>
            <w:shd w:val="clear" w:color="auto" w:fill="auto"/>
            <w:vAlign w:val="bottom"/>
          </w:tcPr>
          <w:p w14:paraId="5F2D49FD" w14:textId="77777777" w:rsidR="00E836FB" w:rsidRDefault="00E836FB">
            <w:pPr>
              <w:rPr>
                <w:rFonts w:ascii="宋体"/>
              </w:rPr>
            </w:pPr>
          </w:p>
        </w:tc>
        <w:tc>
          <w:tcPr>
            <w:tcW w:w="52" w:type="pct"/>
            <w:shd w:val="clear" w:color="auto" w:fill="auto"/>
            <w:vAlign w:val="bottom"/>
          </w:tcPr>
          <w:p w14:paraId="5F2D49FE" w14:textId="77777777" w:rsidR="00E836FB" w:rsidRDefault="00E836FB">
            <w:pPr>
              <w:rPr>
                <w:rFonts w:ascii="宋体"/>
              </w:rPr>
            </w:pPr>
          </w:p>
        </w:tc>
        <w:tc>
          <w:tcPr>
            <w:tcW w:w="5" w:type="pct"/>
            <w:shd w:val="clear" w:color="auto" w:fill="auto"/>
            <w:vAlign w:val="bottom"/>
          </w:tcPr>
          <w:p w14:paraId="5F2D49FF" w14:textId="77777777" w:rsidR="00E836FB" w:rsidRDefault="00E836FB">
            <w:pPr>
              <w:rPr>
                <w:rFonts w:ascii="宋体"/>
              </w:rPr>
            </w:pPr>
          </w:p>
        </w:tc>
        <w:tc>
          <w:tcPr>
            <w:tcW w:w="50" w:type="pct"/>
            <w:shd w:val="clear" w:color="auto" w:fill="auto"/>
            <w:vAlign w:val="bottom"/>
          </w:tcPr>
          <w:p w14:paraId="5F2D4A00" w14:textId="77777777" w:rsidR="00E836FB" w:rsidRDefault="00E836FB">
            <w:pPr>
              <w:rPr>
                <w:rFonts w:ascii="宋体"/>
              </w:rPr>
            </w:pPr>
          </w:p>
        </w:tc>
        <w:tc>
          <w:tcPr>
            <w:tcW w:w="998" w:type="pct"/>
            <w:shd w:val="clear" w:color="auto" w:fill="auto"/>
            <w:vAlign w:val="bottom"/>
          </w:tcPr>
          <w:p w14:paraId="5F2D4A01" w14:textId="77777777" w:rsidR="00E836FB" w:rsidRDefault="00E836FB">
            <w:pPr>
              <w:rPr>
                <w:rFonts w:ascii="宋体"/>
              </w:rPr>
            </w:pPr>
          </w:p>
        </w:tc>
        <w:tc>
          <w:tcPr>
            <w:tcW w:w="5" w:type="pct"/>
            <w:shd w:val="clear" w:color="auto" w:fill="auto"/>
            <w:vAlign w:val="bottom"/>
          </w:tcPr>
          <w:p w14:paraId="5F2D4A02" w14:textId="77777777" w:rsidR="00E836FB" w:rsidRDefault="00E836FB">
            <w:pPr>
              <w:rPr>
                <w:rFonts w:ascii="宋体"/>
              </w:rPr>
            </w:pPr>
          </w:p>
        </w:tc>
      </w:tr>
      <w:tr w:rsidR="00E836FB" w14:paraId="5F2D4A06" w14:textId="77777777">
        <w:tc>
          <w:tcPr>
            <w:tcW w:w="0" w:type="auto"/>
            <w:gridSpan w:val="3"/>
            <w:shd w:val="clear" w:color="auto" w:fill="auto"/>
            <w:tcMar>
              <w:top w:w="0" w:type="dxa"/>
              <w:left w:w="20" w:type="dxa"/>
              <w:bottom w:w="0" w:type="dxa"/>
              <w:right w:w="20" w:type="dxa"/>
            </w:tcMar>
            <w:vAlign w:val="bottom"/>
          </w:tcPr>
          <w:p w14:paraId="5F2D4A04"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D4A05" w14:textId="77777777" w:rsidR="00E836FB" w:rsidRDefault="00994958">
            <w:pPr>
              <w:jc w:val="center"/>
              <w:textAlignment w:val="bottom"/>
            </w:pPr>
            <w:r>
              <w:rPr>
                <w:rFonts w:ascii="Arial" w:eastAsia="宋体" w:hAnsi="Arial" w:cs="Arial"/>
                <w:b/>
                <w:bCs/>
                <w:color w:val="000000"/>
                <w:sz w:val="14"/>
                <w:szCs w:val="14"/>
              </w:rPr>
              <w:t>Years Ended December 31,</w:t>
            </w:r>
          </w:p>
        </w:tc>
      </w:tr>
      <w:tr w:rsidR="00E836FB" w14:paraId="5F2D4A0B" w14:textId="77777777">
        <w:tc>
          <w:tcPr>
            <w:tcW w:w="0" w:type="auto"/>
            <w:gridSpan w:val="3"/>
            <w:shd w:val="clear" w:color="auto" w:fill="auto"/>
            <w:tcMar>
              <w:top w:w="40" w:type="dxa"/>
              <w:left w:w="20" w:type="dxa"/>
              <w:bottom w:w="40" w:type="dxa"/>
              <w:right w:w="20" w:type="dxa"/>
            </w:tcMar>
            <w:vAlign w:val="bottom"/>
          </w:tcPr>
          <w:p w14:paraId="5F2D4A07"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A08"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A0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A0A" w14:textId="77777777" w:rsidR="00E836FB" w:rsidRDefault="00994958">
            <w:pPr>
              <w:jc w:val="center"/>
              <w:textAlignment w:val="bottom"/>
            </w:pPr>
            <w:r>
              <w:rPr>
                <w:rFonts w:ascii="Arial" w:eastAsia="宋体" w:hAnsi="Arial" w:cs="Arial"/>
                <w:b/>
                <w:bCs/>
                <w:color w:val="000000"/>
                <w:sz w:val="14"/>
                <w:szCs w:val="14"/>
              </w:rPr>
              <w:t>2020</w:t>
            </w:r>
          </w:p>
        </w:tc>
      </w:tr>
      <w:tr w:rsidR="00E836FB" w14:paraId="5F2D4A10" w14:textId="77777777">
        <w:tc>
          <w:tcPr>
            <w:tcW w:w="0" w:type="auto"/>
            <w:gridSpan w:val="3"/>
            <w:shd w:val="clear" w:color="auto" w:fill="auto"/>
            <w:tcMar>
              <w:top w:w="40" w:type="dxa"/>
              <w:left w:w="20" w:type="dxa"/>
              <w:bottom w:w="40" w:type="dxa"/>
              <w:right w:w="20" w:type="dxa"/>
            </w:tcMar>
            <w:vAlign w:val="bottom"/>
          </w:tcPr>
          <w:p w14:paraId="5F2D4A0C" w14:textId="77777777" w:rsidR="00E836FB" w:rsidRDefault="00994958">
            <w:pPr>
              <w:textAlignment w:val="bottom"/>
            </w:pPr>
            <w:r>
              <w:rPr>
                <w:rFonts w:ascii="Arial" w:eastAsia="宋体" w:hAnsi="Arial" w:cs="Arial"/>
                <w:b/>
                <w:bCs/>
                <w:color w:val="000000"/>
                <w:sz w:val="14"/>
                <w:szCs w:val="14"/>
              </w:rPr>
              <w:t xml:space="preserve">Finance </w:t>
            </w:r>
            <w:r>
              <w:rPr>
                <w:rFonts w:ascii="Arial" w:eastAsia="宋体" w:hAnsi="Arial" w:cs="Arial"/>
                <w:b/>
                <w:bCs/>
                <w:color w:val="000000"/>
                <w:sz w:val="14"/>
                <w:szCs w:val="14"/>
              </w:rPr>
              <w:t>lease: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A0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A0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A0F" w14:textId="77777777" w:rsidR="00E836FB" w:rsidRDefault="00E836FB">
            <w:pPr>
              <w:rPr>
                <w:rFonts w:ascii="宋体"/>
              </w:rPr>
            </w:pPr>
          </w:p>
        </w:tc>
      </w:tr>
      <w:tr w:rsidR="00E836FB" w14:paraId="5F2D4A19" w14:textId="77777777">
        <w:tc>
          <w:tcPr>
            <w:tcW w:w="0" w:type="auto"/>
            <w:gridSpan w:val="3"/>
            <w:shd w:val="clear" w:color="auto" w:fill="CCEEFF"/>
            <w:tcMar>
              <w:top w:w="40" w:type="dxa"/>
              <w:left w:w="155" w:type="dxa"/>
              <w:bottom w:w="40" w:type="dxa"/>
              <w:right w:w="20" w:type="dxa"/>
            </w:tcMar>
            <w:vAlign w:val="bottom"/>
          </w:tcPr>
          <w:p w14:paraId="5F2D4A11" w14:textId="77777777" w:rsidR="00E836FB" w:rsidRDefault="00994958">
            <w:pPr>
              <w:textAlignment w:val="bottom"/>
            </w:pPr>
            <w:r>
              <w:rPr>
                <w:rFonts w:ascii="Arial" w:eastAsia="宋体" w:hAnsi="Arial" w:cs="Arial"/>
                <w:color w:val="000000"/>
                <w:sz w:val="14"/>
                <w:szCs w:val="14"/>
              </w:rPr>
              <w:t>Amortization of right-of-use assets</w:t>
            </w:r>
          </w:p>
        </w:tc>
        <w:tc>
          <w:tcPr>
            <w:tcW w:w="0" w:type="auto"/>
            <w:shd w:val="clear" w:color="auto" w:fill="CCEEFF"/>
            <w:tcMar>
              <w:top w:w="40" w:type="dxa"/>
              <w:left w:w="20" w:type="dxa"/>
              <w:bottom w:w="40" w:type="dxa"/>
              <w:right w:w="0" w:type="dxa"/>
            </w:tcMar>
            <w:vAlign w:val="bottom"/>
          </w:tcPr>
          <w:p w14:paraId="5F2D4A1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4A13" w14:textId="77777777" w:rsidR="00E836FB" w:rsidRDefault="00994958">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1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A16"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A17"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5F2D4A18" w14:textId="77777777" w:rsidR="00E836FB" w:rsidRDefault="00E836FB">
            <w:pPr>
              <w:jc w:val="right"/>
              <w:rPr>
                <w:rFonts w:ascii="宋体"/>
              </w:rPr>
            </w:pPr>
          </w:p>
        </w:tc>
      </w:tr>
      <w:tr w:rsidR="00E836FB" w14:paraId="5F2D4A20" w14:textId="77777777">
        <w:tc>
          <w:tcPr>
            <w:tcW w:w="0" w:type="auto"/>
            <w:gridSpan w:val="3"/>
            <w:shd w:val="clear" w:color="auto" w:fill="FFFFFF"/>
            <w:tcMar>
              <w:top w:w="40" w:type="dxa"/>
              <w:left w:w="155" w:type="dxa"/>
              <w:bottom w:w="40" w:type="dxa"/>
              <w:right w:w="20" w:type="dxa"/>
            </w:tcMar>
            <w:vAlign w:val="bottom"/>
          </w:tcPr>
          <w:p w14:paraId="5F2D4A1A" w14:textId="77777777" w:rsidR="00E836FB" w:rsidRDefault="00994958">
            <w:pPr>
              <w:textAlignment w:val="bottom"/>
            </w:pPr>
            <w:r>
              <w:rPr>
                <w:rFonts w:ascii="Arial" w:eastAsia="宋体" w:hAnsi="Arial" w:cs="Arial"/>
                <w:color w:val="000000"/>
                <w:sz w:val="14"/>
                <w:szCs w:val="14"/>
              </w:rPr>
              <w:t>Interest on lease liabilities</w:t>
            </w:r>
          </w:p>
        </w:tc>
        <w:tc>
          <w:tcPr>
            <w:tcW w:w="0" w:type="auto"/>
            <w:gridSpan w:val="2"/>
            <w:shd w:val="clear" w:color="auto" w:fill="FFFFFF"/>
            <w:tcMar>
              <w:top w:w="40" w:type="dxa"/>
              <w:left w:w="20" w:type="dxa"/>
              <w:bottom w:w="40" w:type="dxa"/>
              <w:right w:w="0" w:type="dxa"/>
            </w:tcMar>
            <w:vAlign w:val="bottom"/>
          </w:tcPr>
          <w:p w14:paraId="5F2D4A1B" w14:textId="77777777" w:rsidR="00E836FB" w:rsidRDefault="00994958">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1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1E" w14:textId="77777777" w:rsidR="00E836FB" w:rsidRDefault="00994958">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5F2D4A1F" w14:textId="77777777" w:rsidR="00E836FB" w:rsidRDefault="00E836FB">
            <w:pPr>
              <w:jc w:val="right"/>
              <w:rPr>
                <w:rFonts w:ascii="宋体"/>
              </w:rPr>
            </w:pPr>
          </w:p>
        </w:tc>
      </w:tr>
      <w:tr w:rsidR="00E836FB" w14:paraId="5F2D4A27" w14:textId="77777777">
        <w:tc>
          <w:tcPr>
            <w:tcW w:w="0" w:type="auto"/>
            <w:gridSpan w:val="3"/>
            <w:shd w:val="clear" w:color="auto" w:fill="CCEEFF"/>
            <w:tcMar>
              <w:top w:w="40" w:type="dxa"/>
              <w:left w:w="20" w:type="dxa"/>
              <w:bottom w:w="40" w:type="dxa"/>
              <w:right w:w="20" w:type="dxa"/>
            </w:tcMar>
            <w:vAlign w:val="bottom"/>
          </w:tcPr>
          <w:p w14:paraId="5F2D4A21" w14:textId="77777777" w:rsidR="00E836FB" w:rsidRDefault="00994958">
            <w:pPr>
              <w:textAlignment w:val="bottom"/>
            </w:pPr>
            <w:r>
              <w:rPr>
                <w:rFonts w:ascii="Arial" w:eastAsia="宋体" w:hAnsi="Arial" w:cs="Arial"/>
                <w:color w:val="000000"/>
                <w:sz w:val="14"/>
                <w:szCs w:val="14"/>
              </w:rPr>
              <w:t>Total finance lease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22" w14:textId="77777777" w:rsidR="00E836FB" w:rsidRDefault="00994958">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2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2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25" w14:textId="77777777" w:rsidR="00E836FB" w:rsidRDefault="00994958">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26" w14:textId="77777777" w:rsidR="00E836FB" w:rsidRDefault="00E836FB">
            <w:pPr>
              <w:jc w:val="right"/>
              <w:rPr>
                <w:rFonts w:ascii="宋体"/>
              </w:rPr>
            </w:pPr>
          </w:p>
        </w:tc>
      </w:tr>
      <w:tr w:rsidR="00E836FB" w14:paraId="5F2D4A2E" w14:textId="77777777">
        <w:tc>
          <w:tcPr>
            <w:tcW w:w="0" w:type="auto"/>
            <w:gridSpan w:val="3"/>
            <w:shd w:val="clear" w:color="auto" w:fill="FFFFFF"/>
            <w:tcMar>
              <w:top w:w="40" w:type="dxa"/>
              <w:left w:w="155" w:type="dxa"/>
              <w:bottom w:w="40" w:type="dxa"/>
              <w:right w:w="20" w:type="dxa"/>
            </w:tcMar>
            <w:vAlign w:val="bottom"/>
          </w:tcPr>
          <w:p w14:paraId="5F2D4A28" w14:textId="77777777" w:rsidR="00E836FB" w:rsidRDefault="00994958">
            <w:pPr>
              <w:textAlignment w:val="bottom"/>
            </w:pPr>
            <w:r>
              <w:rPr>
                <w:rFonts w:ascii="Arial" w:eastAsia="宋体" w:hAnsi="Arial" w:cs="Arial"/>
                <w:color w:val="000000"/>
                <w:sz w:val="14"/>
                <w:szCs w:val="14"/>
              </w:rPr>
              <w:t xml:space="preserve">Sublease income </w:t>
            </w:r>
          </w:p>
        </w:tc>
        <w:tc>
          <w:tcPr>
            <w:tcW w:w="0" w:type="auto"/>
            <w:gridSpan w:val="2"/>
            <w:shd w:val="clear" w:color="auto" w:fill="FFFFFF"/>
            <w:tcMar>
              <w:top w:w="40" w:type="dxa"/>
              <w:left w:w="20" w:type="dxa"/>
              <w:bottom w:w="40" w:type="dxa"/>
              <w:right w:w="0" w:type="dxa"/>
            </w:tcMar>
            <w:vAlign w:val="bottom"/>
          </w:tcPr>
          <w:p w14:paraId="5F2D4A29" w14:textId="77777777" w:rsidR="00E836FB" w:rsidRDefault="00994958">
            <w:pPr>
              <w:jc w:val="right"/>
              <w:textAlignment w:val="bottom"/>
            </w:pPr>
            <w:r>
              <w:rPr>
                <w:rFonts w:ascii="Arial" w:eastAsia="宋体" w:hAnsi="Arial" w:cs="Arial"/>
                <w:b/>
                <w:bCs/>
                <w:color w:val="000000"/>
                <w:sz w:val="14"/>
                <w:szCs w:val="14"/>
              </w:rPr>
              <w:t>(11)</w:t>
            </w:r>
          </w:p>
        </w:tc>
        <w:tc>
          <w:tcPr>
            <w:tcW w:w="0" w:type="auto"/>
            <w:shd w:val="clear" w:color="auto" w:fill="FFFFFF"/>
            <w:tcMar>
              <w:top w:w="40" w:type="dxa"/>
              <w:left w:w="0" w:type="dxa"/>
              <w:bottom w:w="40" w:type="dxa"/>
              <w:right w:w="20" w:type="dxa"/>
            </w:tcMar>
            <w:vAlign w:val="bottom"/>
          </w:tcPr>
          <w:p w14:paraId="5F2D4A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2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2C" w14:textId="77777777" w:rsidR="00E836FB" w:rsidRDefault="00994958">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5F2D4A2D" w14:textId="77777777" w:rsidR="00E836FB" w:rsidRDefault="00E836FB">
            <w:pPr>
              <w:jc w:val="right"/>
              <w:rPr>
                <w:rFonts w:ascii="宋体"/>
              </w:rPr>
            </w:pPr>
          </w:p>
        </w:tc>
      </w:tr>
      <w:tr w:rsidR="00E836FB" w14:paraId="5F2D4A35" w14:textId="77777777">
        <w:tc>
          <w:tcPr>
            <w:tcW w:w="0" w:type="auto"/>
            <w:gridSpan w:val="3"/>
            <w:shd w:val="clear" w:color="auto" w:fill="CCEEFF"/>
            <w:tcMar>
              <w:top w:w="40" w:type="dxa"/>
              <w:left w:w="20" w:type="dxa"/>
              <w:bottom w:w="40" w:type="dxa"/>
              <w:right w:w="20" w:type="dxa"/>
            </w:tcMar>
            <w:vAlign w:val="bottom"/>
          </w:tcPr>
          <w:p w14:paraId="5F2D4A2F" w14:textId="77777777" w:rsidR="00E836FB" w:rsidRDefault="00994958">
            <w:pPr>
              <w:textAlignment w:val="bottom"/>
            </w:pPr>
            <w:r>
              <w:rPr>
                <w:rFonts w:ascii="Arial" w:eastAsia="宋体" w:hAnsi="Arial" w:cs="Arial"/>
                <w:color w:val="000000"/>
                <w:sz w:val="14"/>
                <w:szCs w:val="14"/>
              </w:rPr>
              <w:t>Net finance lease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30" w14:textId="77777777" w:rsidR="00E836FB" w:rsidRDefault="00994958">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3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33" w14:textId="77777777" w:rsidR="00E836FB" w:rsidRDefault="00994958">
            <w:pPr>
              <w:jc w:val="right"/>
              <w:textAlignment w:val="bottom"/>
            </w:pPr>
            <w:r>
              <w:rPr>
                <w:rFonts w:ascii="Arial" w:eastAsia="宋体" w:hAnsi="Arial" w:cs="Arial"/>
                <w:color w:val="000000"/>
                <w:sz w:val="14"/>
                <w:szCs w:val="14"/>
              </w:rPr>
              <w:t>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34" w14:textId="77777777" w:rsidR="00E836FB" w:rsidRDefault="00E836FB">
            <w:pPr>
              <w:jc w:val="right"/>
              <w:rPr>
                <w:rFonts w:ascii="宋体"/>
              </w:rPr>
            </w:pPr>
          </w:p>
        </w:tc>
      </w:tr>
      <w:tr w:rsidR="00E836FB" w14:paraId="5F2D4A3A" w14:textId="77777777">
        <w:tc>
          <w:tcPr>
            <w:tcW w:w="0" w:type="auto"/>
            <w:gridSpan w:val="3"/>
            <w:shd w:val="clear" w:color="auto" w:fill="FFFFFF"/>
            <w:tcMar>
              <w:top w:w="40" w:type="dxa"/>
              <w:left w:w="20" w:type="dxa"/>
              <w:bottom w:w="40" w:type="dxa"/>
              <w:right w:w="20" w:type="dxa"/>
            </w:tcMar>
            <w:vAlign w:val="bottom"/>
          </w:tcPr>
          <w:p w14:paraId="5F2D4A36" w14:textId="77777777" w:rsidR="00E836FB" w:rsidRDefault="00994958">
            <w:pPr>
              <w:textAlignment w:val="bottom"/>
            </w:pPr>
            <w:r>
              <w:rPr>
                <w:rFonts w:ascii="Arial" w:eastAsia="宋体" w:hAnsi="Arial" w:cs="Arial"/>
                <w:b/>
                <w:bCs/>
                <w:color w:val="000000"/>
                <w:sz w:val="14"/>
                <w:szCs w:val="14"/>
              </w:rPr>
              <w:t>Operating lease: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4A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A38" w14:textId="77777777" w:rsidR="00E836FB" w:rsidRDefault="00E83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4A39" w14:textId="77777777" w:rsidR="00E836FB" w:rsidRDefault="00E836FB">
            <w:pPr>
              <w:rPr>
                <w:rFonts w:ascii="宋体"/>
              </w:rPr>
            </w:pPr>
          </w:p>
        </w:tc>
      </w:tr>
      <w:tr w:rsidR="00E836FB" w14:paraId="5F2D4A41" w14:textId="77777777">
        <w:tc>
          <w:tcPr>
            <w:tcW w:w="0" w:type="auto"/>
            <w:gridSpan w:val="3"/>
            <w:shd w:val="clear" w:color="auto" w:fill="CCEEFF"/>
            <w:tcMar>
              <w:top w:w="40" w:type="dxa"/>
              <w:left w:w="155" w:type="dxa"/>
              <w:bottom w:w="40" w:type="dxa"/>
              <w:right w:w="20" w:type="dxa"/>
            </w:tcMar>
            <w:vAlign w:val="bottom"/>
          </w:tcPr>
          <w:p w14:paraId="5F2D4A3B" w14:textId="77777777" w:rsidR="00E836FB" w:rsidRDefault="00994958">
            <w:pPr>
              <w:textAlignment w:val="bottom"/>
            </w:pPr>
            <w:r>
              <w:rPr>
                <w:rFonts w:ascii="Arial" w:eastAsia="宋体" w:hAnsi="Arial" w:cs="Arial"/>
                <w:color w:val="000000"/>
                <w:sz w:val="14"/>
                <w:szCs w:val="14"/>
              </w:rPr>
              <w:t xml:space="preserve">Operating lease </w:t>
            </w:r>
            <w:r>
              <w:rPr>
                <w:rFonts w:ascii="Arial" w:eastAsia="宋体" w:hAnsi="Arial" w:cs="Arial"/>
                <w:color w:val="000000"/>
                <w:sz w:val="14"/>
                <w:szCs w:val="14"/>
              </w:rPr>
              <w:t>expense</w:t>
            </w:r>
          </w:p>
        </w:tc>
        <w:tc>
          <w:tcPr>
            <w:tcW w:w="0" w:type="auto"/>
            <w:gridSpan w:val="2"/>
            <w:shd w:val="clear" w:color="auto" w:fill="CCEEFF"/>
            <w:tcMar>
              <w:top w:w="40" w:type="dxa"/>
              <w:left w:w="20" w:type="dxa"/>
              <w:bottom w:w="40" w:type="dxa"/>
              <w:right w:w="0" w:type="dxa"/>
            </w:tcMar>
            <w:vAlign w:val="bottom"/>
          </w:tcPr>
          <w:p w14:paraId="5F2D4A3C" w14:textId="77777777" w:rsidR="00E836FB" w:rsidRDefault="00994958">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3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A3F" w14:textId="77777777" w:rsidR="00E836FB" w:rsidRDefault="00994958">
            <w:pPr>
              <w:jc w:val="right"/>
              <w:textAlignment w:val="bottom"/>
            </w:pPr>
            <w:r>
              <w:rPr>
                <w:rFonts w:ascii="Arial" w:eastAsia="宋体" w:hAnsi="Arial" w:cs="Arial"/>
                <w:color w:val="000000"/>
                <w:sz w:val="14"/>
                <w:szCs w:val="14"/>
              </w:rPr>
              <w:t>169 </w:t>
            </w:r>
          </w:p>
        </w:tc>
        <w:tc>
          <w:tcPr>
            <w:tcW w:w="0" w:type="auto"/>
            <w:shd w:val="clear" w:color="auto" w:fill="CCEEFF"/>
            <w:tcMar>
              <w:top w:w="40" w:type="dxa"/>
              <w:left w:w="0" w:type="dxa"/>
              <w:bottom w:w="40" w:type="dxa"/>
              <w:right w:w="20" w:type="dxa"/>
            </w:tcMar>
            <w:vAlign w:val="bottom"/>
          </w:tcPr>
          <w:p w14:paraId="5F2D4A40" w14:textId="77777777" w:rsidR="00E836FB" w:rsidRDefault="00E836FB">
            <w:pPr>
              <w:jc w:val="right"/>
              <w:rPr>
                <w:rFonts w:ascii="宋体"/>
              </w:rPr>
            </w:pPr>
          </w:p>
        </w:tc>
      </w:tr>
      <w:tr w:rsidR="00E836FB" w14:paraId="5F2D4A46" w14:textId="77777777">
        <w:trPr>
          <w:hidden/>
        </w:trPr>
        <w:tc>
          <w:tcPr>
            <w:tcW w:w="0" w:type="auto"/>
            <w:gridSpan w:val="3"/>
            <w:shd w:val="clear" w:color="auto" w:fill="auto"/>
            <w:vAlign w:val="bottom"/>
          </w:tcPr>
          <w:p w14:paraId="5F2D4A42" w14:textId="77777777" w:rsidR="00E836FB" w:rsidRDefault="00E836FB">
            <w:pPr>
              <w:rPr>
                <w:rFonts w:ascii="宋体"/>
                <w:vanish/>
              </w:rPr>
            </w:pPr>
          </w:p>
        </w:tc>
        <w:tc>
          <w:tcPr>
            <w:tcW w:w="0" w:type="auto"/>
            <w:gridSpan w:val="3"/>
            <w:shd w:val="clear" w:color="auto" w:fill="auto"/>
            <w:vAlign w:val="bottom"/>
          </w:tcPr>
          <w:p w14:paraId="5F2D4A43" w14:textId="77777777" w:rsidR="00E836FB" w:rsidRDefault="00E836FB">
            <w:pPr>
              <w:rPr>
                <w:rFonts w:ascii="宋体"/>
                <w:vanish/>
              </w:rPr>
            </w:pPr>
          </w:p>
        </w:tc>
        <w:tc>
          <w:tcPr>
            <w:tcW w:w="0" w:type="auto"/>
            <w:gridSpan w:val="3"/>
            <w:shd w:val="clear" w:color="auto" w:fill="auto"/>
            <w:vAlign w:val="bottom"/>
          </w:tcPr>
          <w:p w14:paraId="5F2D4A44" w14:textId="77777777" w:rsidR="00E836FB" w:rsidRDefault="00E836FB">
            <w:pPr>
              <w:rPr>
                <w:rFonts w:ascii="宋体"/>
                <w:vanish/>
              </w:rPr>
            </w:pPr>
          </w:p>
        </w:tc>
        <w:tc>
          <w:tcPr>
            <w:tcW w:w="0" w:type="auto"/>
            <w:gridSpan w:val="3"/>
            <w:shd w:val="clear" w:color="auto" w:fill="auto"/>
            <w:vAlign w:val="bottom"/>
          </w:tcPr>
          <w:p w14:paraId="5F2D4A45" w14:textId="77777777" w:rsidR="00E836FB" w:rsidRDefault="00E836FB">
            <w:pPr>
              <w:rPr>
                <w:rFonts w:ascii="宋体"/>
                <w:vanish/>
              </w:rPr>
            </w:pPr>
          </w:p>
        </w:tc>
      </w:tr>
      <w:tr w:rsidR="00E836FB" w14:paraId="5F2D4A4B" w14:textId="77777777">
        <w:trPr>
          <w:hidden/>
        </w:trPr>
        <w:tc>
          <w:tcPr>
            <w:tcW w:w="0" w:type="auto"/>
            <w:gridSpan w:val="3"/>
            <w:shd w:val="clear" w:color="auto" w:fill="auto"/>
            <w:vAlign w:val="bottom"/>
          </w:tcPr>
          <w:p w14:paraId="5F2D4A47" w14:textId="77777777" w:rsidR="00E836FB" w:rsidRDefault="00E836FB">
            <w:pPr>
              <w:rPr>
                <w:rFonts w:ascii="宋体"/>
                <w:vanish/>
              </w:rPr>
            </w:pPr>
          </w:p>
        </w:tc>
        <w:tc>
          <w:tcPr>
            <w:tcW w:w="0" w:type="auto"/>
            <w:gridSpan w:val="3"/>
            <w:shd w:val="clear" w:color="auto" w:fill="auto"/>
            <w:vAlign w:val="bottom"/>
          </w:tcPr>
          <w:p w14:paraId="5F2D4A48" w14:textId="77777777" w:rsidR="00E836FB" w:rsidRDefault="00E836FB">
            <w:pPr>
              <w:rPr>
                <w:rFonts w:ascii="宋体"/>
                <w:vanish/>
              </w:rPr>
            </w:pPr>
          </w:p>
        </w:tc>
        <w:tc>
          <w:tcPr>
            <w:tcW w:w="0" w:type="auto"/>
            <w:gridSpan w:val="3"/>
            <w:shd w:val="clear" w:color="auto" w:fill="auto"/>
            <w:vAlign w:val="bottom"/>
          </w:tcPr>
          <w:p w14:paraId="5F2D4A49" w14:textId="77777777" w:rsidR="00E836FB" w:rsidRDefault="00E836FB">
            <w:pPr>
              <w:rPr>
                <w:rFonts w:ascii="宋体"/>
                <w:vanish/>
              </w:rPr>
            </w:pPr>
          </w:p>
        </w:tc>
        <w:tc>
          <w:tcPr>
            <w:tcW w:w="0" w:type="auto"/>
            <w:gridSpan w:val="3"/>
            <w:shd w:val="clear" w:color="auto" w:fill="auto"/>
            <w:vAlign w:val="bottom"/>
          </w:tcPr>
          <w:p w14:paraId="5F2D4A4A" w14:textId="77777777" w:rsidR="00E836FB" w:rsidRDefault="00E836FB">
            <w:pPr>
              <w:rPr>
                <w:rFonts w:ascii="宋体"/>
                <w:vanish/>
              </w:rPr>
            </w:pPr>
          </w:p>
        </w:tc>
      </w:tr>
      <w:tr w:rsidR="00E836FB" w14:paraId="5F2D4A52" w14:textId="77777777">
        <w:tc>
          <w:tcPr>
            <w:tcW w:w="0" w:type="auto"/>
            <w:gridSpan w:val="3"/>
            <w:shd w:val="clear" w:color="auto" w:fill="FFFFFF"/>
            <w:tcMar>
              <w:top w:w="40" w:type="dxa"/>
              <w:left w:w="155" w:type="dxa"/>
              <w:bottom w:w="40" w:type="dxa"/>
              <w:right w:w="20" w:type="dxa"/>
            </w:tcMar>
            <w:vAlign w:val="bottom"/>
          </w:tcPr>
          <w:p w14:paraId="5F2D4A4C" w14:textId="77777777" w:rsidR="00E836FB" w:rsidRDefault="00994958">
            <w:pPr>
              <w:textAlignment w:val="bottom"/>
            </w:pPr>
            <w:r>
              <w:rPr>
                <w:rFonts w:ascii="Arial" w:eastAsia="宋体" w:hAnsi="Arial" w:cs="Arial"/>
                <w:color w:val="000000"/>
                <w:sz w:val="14"/>
                <w:szCs w:val="14"/>
              </w:rPr>
              <w:t xml:space="preserve">Sublease income </w:t>
            </w:r>
          </w:p>
        </w:tc>
        <w:tc>
          <w:tcPr>
            <w:tcW w:w="0" w:type="auto"/>
            <w:gridSpan w:val="2"/>
            <w:shd w:val="clear" w:color="auto" w:fill="FFFFFF"/>
            <w:tcMar>
              <w:top w:w="40" w:type="dxa"/>
              <w:left w:w="20" w:type="dxa"/>
              <w:bottom w:w="40" w:type="dxa"/>
              <w:right w:w="0" w:type="dxa"/>
            </w:tcMar>
            <w:vAlign w:val="bottom"/>
          </w:tcPr>
          <w:p w14:paraId="5F2D4A4D" w14:textId="77777777" w:rsidR="00E836FB" w:rsidRDefault="00994958">
            <w:pPr>
              <w:jc w:val="right"/>
              <w:textAlignment w:val="bottom"/>
            </w:pPr>
            <w:r>
              <w:rPr>
                <w:rFonts w:ascii="Arial" w:eastAsia="宋体" w:hAnsi="Arial" w:cs="Arial"/>
                <w:b/>
                <w:bCs/>
                <w:color w:val="000000"/>
                <w:sz w:val="14"/>
                <w:szCs w:val="14"/>
              </w:rPr>
              <w:t>(18)</w:t>
            </w:r>
          </w:p>
        </w:tc>
        <w:tc>
          <w:tcPr>
            <w:tcW w:w="0" w:type="auto"/>
            <w:shd w:val="clear" w:color="auto" w:fill="FFFFFF"/>
            <w:tcMar>
              <w:top w:w="40" w:type="dxa"/>
              <w:left w:w="0" w:type="dxa"/>
              <w:bottom w:w="40" w:type="dxa"/>
              <w:right w:w="20" w:type="dxa"/>
            </w:tcMar>
            <w:vAlign w:val="bottom"/>
          </w:tcPr>
          <w:p w14:paraId="5F2D4A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50" w14:textId="77777777" w:rsidR="00E836FB" w:rsidRDefault="00994958">
            <w:pPr>
              <w:jc w:val="right"/>
              <w:textAlignment w:val="bottom"/>
            </w:pPr>
            <w:r>
              <w:rPr>
                <w:rFonts w:ascii="Arial" w:eastAsia="宋体" w:hAnsi="Arial" w:cs="Arial"/>
                <w:color w:val="000000"/>
                <w:sz w:val="14"/>
                <w:szCs w:val="14"/>
              </w:rPr>
              <w:t>(16)</w:t>
            </w:r>
          </w:p>
        </w:tc>
        <w:tc>
          <w:tcPr>
            <w:tcW w:w="0" w:type="auto"/>
            <w:shd w:val="clear" w:color="auto" w:fill="FFFFFF"/>
            <w:tcMar>
              <w:top w:w="40" w:type="dxa"/>
              <w:left w:w="0" w:type="dxa"/>
              <w:bottom w:w="40" w:type="dxa"/>
              <w:right w:w="20" w:type="dxa"/>
            </w:tcMar>
            <w:vAlign w:val="bottom"/>
          </w:tcPr>
          <w:p w14:paraId="5F2D4A51" w14:textId="77777777" w:rsidR="00E836FB" w:rsidRDefault="00E836FB">
            <w:pPr>
              <w:jc w:val="right"/>
              <w:rPr>
                <w:rFonts w:ascii="宋体"/>
              </w:rPr>
            </w:pPr>
          </w:p>
        </w:tc>
      </w:tr>
      <w:tr w:rsidR="00E836FB" w14:paraId="5F2D4A59" w14:textId="77777777">
        <w:tc>
          <w:tcPr>
            <w:tcW w:w="0" w:type="auto"/>
            <w:gridSpan w:val="3"/>
            <w:shd w:val="clear" w:color="auto" w:fill="CCEEFF"/>
            <w:tcMar>
              <w:top w:w="40" w:type="dxa"/>
              <w:left w:w="20" w:type="dxa"/>
              <w:bottom w:w="40" w:type="dxa"/>
              <w:right w:w="20" w:type="dxa"/>
            </w:tcMar>
            <w:vAlign w:val="bottom"/>
          </w:tcPr>
          <w:p w14:paraId="5F2D4A53" w14:textId="77777777" w:rsidR="00E836FB" w:rsidRDefault="00994958">
            <w:pPr>
              <w:textAlignment w:val="bottom"/>
            </w:pPr>
            <w:r>
              <w:rPr>
                <w:rFonts w:ascii="Arial" w:eastAsia="宋体" w:hAnsi="Arial" w:cs="Arial"/>
                <w:color w:val="000000"/>
                <w:sz w:val="14"/>
                <w:szCs w:val="14"/>
              </w:rPr>
              <w:t>Net operating lease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54" w14:textId="77777777" w:rsidR="00E836FB" w:rsidRDefault="00994958">
            <w:pPr>
              <w:jc w:val="right"/>
              <w:textAlignment w:val="bottom"/>
            </w:pPr>
            <w:r>
              <w:rPr>
                <w:rFonts w:ascii="Arial" w:eastAsia="宋体" w:hAnsi="Arial" w:cs="Arial"/>
                <w:b/>
                <w:bCs/>
                <w:color w:val="000000"/>
                <w:sz w:val="14"/>
                <w:szCs w:val="14"/>
              </w:rPr>
              <w:t>129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5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57" w14:textId="77777777" w:rsidR="00E836FB" w:rsidRDefault="00994958">
            <w:pPr>
              <w:jc w:val="right"/>
              <w:textAlignment w:val="bottom"/>
            </w:pPr>
            <w:r>
              <w:rPr>
                <w:rFonts w:ascii="Arial" w:eastAsia="宋体" w:hAnsi="Arial" w:cs="Arial"/>
                <w:color w:val="000000"/>
                <w:sz w:val="14"/>
                <w:szCs w:val="14"/>
              </w:rPr>
              <w:t>153 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58" w14:textId="77777777" w:rsidR="00E836FB" w:rsidRDefault="00E836FB">
            <w:pPr>
              <w:jc w:val="right"/>
              <w:rPr>
                <w:rFonts w:ascii="宋体"/>
              </w:rPr>
            </w:pPr>
          </w:p>
        </w:tc>
      </w:tr>
      <w:tr w:rsidR="00E836FB" w14:paraId="5F2D4A62" w14:textId="77777777">
        <w:tc>
          <w:tcPr>
            <w:tcW w:w="0" w:type="auto"/>
            <w:gridSpan w:val="3"/>
            <w:shd w:val="clear" w:color="auto" w:fill="FFFFFF"/>
            <w:tcMar>
              <w:top w:w="40" w:type="dxa"/>
              <w:left w:w="20" w:type="dxa"/>
              <w:bottom w:w="40" w:type="dxa"/>
              <w:right w:w="20" w:type="dxa"/>
            </w:tcMar>
            <w:vAlign w:val="bottom"/>
          </w:tcPr>
          <w:p w14:paraId="5F2D4A5A" w14:textId="77777777" w:rsidR="00E836FB" w:rsidRDefault="00994958">
            <w:pPr>
              <w:textAlignment w:val="bottom"/>
            </w:pPr>
            <w:r>
              <w:rPr>
                <w:rFonts w:ascii="Arial" w:eastAsia="宋体" w:hAnsi="Arial" w:cs="Arial"/>
                <w:b/>
                <w:bCs/>
                <w:color w:val="000000"/>
                <w:sz w:val="14"/>
                <w:szCs w:val="14"/>
              </w:rPr>
              <w:t>Net lease expense</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4A5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A5C" w14:textId="77777777" w:rsidR="00E836FB" w:rsidRDefault="00994958">
            <w:pPr>
              <w:jc w:val="right"/>
              <w:textAlignment w:val="bottom"/>
            </w:pPr>
            <w:r>
              <w:rPr>
                <w:rFonts w:ascii="Arial" w:eastAsia="宋体" w:hAnsi="Arial" w:cs="Arial"/>
                <w:b/>
                <w:bCs/>
                <w:color w:val="000000"/>
                <w:sz w:val="14"/>
                <w:szCs w:val="14"/>
              </w:rPr>
              <w:t>151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A5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5E"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A5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A60" w14:textId="77777777" w:rsidR="00E836FB" w:rsidRDefault="00994958">
            <w:pPr>
              <w:jc w:val="right"/>
              <w:textAlignment w:val="bottom"/>
            </w:pPr>
            <w:r>
              <w:rPr>
                <w:rFonts w:ascii="Arial" w:eastAsia="宋体" w:hAnsi="Arial" w:cs="Arial"/>
                <w:color w:val="000000"/>
                <w:sz w:val="14"/>
                <w:szCs w:val="14"/>
              </w:rPr>
              <w:t>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A61" w14:textId="77777777" w:rsidR="00E836FB" w:rsidRDefault="00E836FB">
            <w:pPr>
              <w:jc w:val="right"/>
              <w:rPr>
                <w:rFonts w:ascii="宋体"/>
              </w:rPr>
            </w:pPr>
          </w:p>
        </w:tc>
      </w:tr>
      <w:tr w:rsidR="00E836FB" w14:paraId="5F2D4A67" w14:textId="77777777">
        <w:trPr>
          <w:trHeight w:val="60"/>
        </w:trPr>
        <w:tc>
          <w:tcPr>
            <w:tcW w:w="0" w:type="auto"/>
            <w:gridSpan w:val="3"/>
            <w:shd w:val="clear" w:color="auto" w:fill="auto"/>
            <w:tcMar>
              <w:top w:w="0" w:type="dxa"/>
              <w:left w:w="20" w:type="dxa"/>
              <w:bottom w:w="0" w:type="dxa"/>
              <w:right w:w="20" w:type="dxa"/>
            </w:tcMar>
            <w:vAlign w:val="bottom"/>
          </w:tcPr>
          <w:p w14:paraId="5F2D4A6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A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A6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4A66" w14:textId="77777777" w:rsidR="00E836FB" w:rsidRDefault="00E836FB">
            <w:pPr>
              <w:rPr>
                <w:rFonts w:ascii="宋体"/>
              </w:rPr>
            </w:pPr>
          </w:p>
        </w:tc>
      </w:tr>
      <w:tr w:rsidR="00E836FB" w14:paraId="5F2D4A6C" w14:textId="77777777">
        <w:tc>
          <w:tcPr>
            <w:tcW w:w="0" w:type="auto"/>
            <w:gridSpan w:val="3"/>
            <w:shd w:val="clear" w:color="auto" w:fill="auto"/>
            <w:tcMar>
              <w:top w:w="40" w:type="dxa"/>
              <w:left w:w="20" w:type="dxa"/>
              <w:bottom w:w="40" w:type="dxa"/>
              <w:right w:w="20" w:type="dxa"/>
            </w:tcMar>
          </w:tcPr>
          <w:p w14:paraId="5F2D4A68" w14:textId="77777777" w:rsidR="00E836FB" w:rsidRDefault="00994958">
            <w:pPr>
              <w:textAlignment w:val="top"/>
            </w:pPr>
            <w:r>
              <w:rPr>
                <w:rFonts w:ascii="Arial" w:eastAsia="宋体" w:hAnsi="Arial" w:cs="Arial"/>
                <w:b/>
                <w:bCs/>
                <w:color w:val="000000"/>
                <w:sz w:val="14"/>
                <w:szCs w:val="14"/>
              </w:rPr>
              <w:t>Cash paid for amounts included in the measurement of lease liabilities:</w:t>
            </w:r>
          </w:p>
        </w:tc>
        <w:tc>
          <w:tcPr>
            <w:tcW w:w="0" w:type="auto"/>
            <w:gridSpan w:val="3"/>
            <w:shd w:val="clear" w:color="auto" w:fill="FFFFFF"/>
            <w:tcMar>
              <w:top w:w="0" w:type="dxa"/>
              <w:left w:w="20" w:type="dxa"/>
              <w:bottom w:w="0" w:type="dxa"/>
              <w:right w:w="20" w:type="dxa"/>
            </w:tcMar>
            <w:vAlign w:val="bottom"/>
          </w:tcPr>
          <w:p w14:paraId="5F2D4A6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A6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A6B" w14:textId="77777777" w:rsidR="00E836FB" w:rsidRDefault="00E836FB">
            <w:pPr>
              <w:rPr>
                <w:rFonts w:ascii="宋体"/>
              </w:rPr>
            </w:pPr>
          </w:p>
        </w:tc>
      </w:tr>
      <w:tr w:rsidR="00E836FB" w14:paraId="5F2D4A75" w14:textId="77777777">
        <w:tc>
          <w:tcPr>
            <w:tcW w:w="0" w:type="auto"/>
            <w:gridSpan w:val="3"/>
            <w:shd w:val="clear" w:color="auto" w:fill="CCEEFF"/>
            <w:tcMar>
              <w:top w:w="40" w:type="dxa"/>
              <w:left w:w="155" w:type="dxa"/>
              <w:bottom w:w="40" w:type="dxa"/>
              <w:right w:w="20" w:type="dxa"/>
            </w:tcMar>
            <w:vAlign w:val="bottom"/>
          </w:tcPr>
          <w:p w14:paraId="5F2D4A6D" w14:textId="77777777" w:rsidR="00E836FB" w:rsidRDefault="00994958">
            <w:pPr>
              <w:textAlignment w:val="bottom"/>
            </w:pPr>
            <w:r>
              <w:rPr>
                <w:rFonts w:ascii="Arial" w:eastAsia="宋体" w:hAnsi="Arial" w:cs="Arial"/>
                <w:color w:val="000000"/>
                <w:sz w:val="14"/>
                <w:szCs w:val="14"/>
              </w:rPr>
              <w:t xml:space="preserve">Operating cash flows from </w:t>
            </w:r>
            <w:r>
              <w:rPr>
                <w:rFonts w:ascii="Arial" w:eastAsia="宋体" w:hAnsi="Arial" w:cs="Arial"/>
                <w:color w:val="000000"/>
                <w:sz w:val="14"/>
                <w:szCs w:val="14"/>
              </w:rPr>
              <w:t>finance leases</w:t>
            </w:r>
          </w:p>
        </w:tc>
        <w:tc>
          <w:tcPr>
            <w:tcW w:w="0" w:type="auto"/>
            <w:shd w:val="clear" w:color="auto" w:fill="CCEEFF"/>
            <w:tcMar>
              <w:top w:w="40" w:type="dxa"/>
              <w:left w:w="20" w:type="dxa"/>
              <w:bottom w:w="40" w:type="dxa"/>
              <w:right w:w="0" w:type="dxa"/>
            </w:tcMar>
            <w:vAlign w:val="bottom"/>
          </w:tcPr>
          <w:p w14:paraId="5F2D4A6E"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4A6F" w14:textId="77777777" w:rsidR="00E836FB" w:rsidRDefault="00994958">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7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A7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A73" w14:textId="77777777" w:rsidR="00E836FB" w:rsidRDefault="00994958">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5F2D4A74" w14:textId="77777777" w:rsidR="00E836FB" w:rsidRDefault="00E836FB">
            <w:pPr>
              <w:jc w:val="right"/>
              <w:rPr>
                <w:rFonts w:ascii="宋体"/>
              </w:rPr>
            </w:pPr>
          </w:p>
        </w:tc>
      </w:tr>
      <w:tr w:rsidR="00E836FB" w14:paraId="5F2D4A7C" w14:textId="77777777">
        <w:tc>
          <w:tcPr>
            <w:tcW w:w="0" w:type="auto"/>
            <w:gridSpan w:val="3"/>
            <w:shd w:val="clear" w:color="auto" w:fill="FFFFFF"/>
            <w:tcMar>
              <w:top w:w="40" w:type="dxa"/>
              <w:left w:w="155" w:type="dxa"/>
              <w:bottom w:w="40" w:type="dxa"/>
              <w:right w:w="20" w:type="dxa"/>
            </w:tcMar>
            <w:vAlign w:val="bottom"/>
          </w:tcPr>
          <w:p w14:paraId="5F2D4A76" w14:textId="77777777" w:rsidR="00E836FB" w:rsidRDefault="00994958">
            <w:pPr>
              <w:textAlignment w:val="bottom"/>
            </w:pPr>
            <w:r>
              <w:rPr>
                <w:rFonts w:ascii="Arial" w:eastAsia="宋体" w:hAnsi="Arial" w:cs="Arial"/>
                <w:color w:val="000000"/>
                <w:sz w:val="14"/>
                <w:szCs w:val="14"/>
              </w:rPr>
              <w:t>Operating cash flows from operating leases</w:t>
            </w:r>
          </w:p>
        </w:tc>
        <w:tc>
          <w:tcPr>
            <w:tcW w:w="0" w:type="auto"/>
            <w:gridSpan w:val="2"/>
            <w:shd w:val="clear" w:color="auto" w:fill="FFFFFF"/>
            <w:tcMar>
              <w:top w:w="40" w:type="dxa"/>
              <w:left w:w="20" w:type="dxa"/>
              <w:bottom w:w="40" w:type="dxa"/>
              <w:right w:w="0" w:type="dxa"/>
            </w:tcMar>
            <w:vAlign w:val="bottom"/>
          </w:tcPr>
          <w:p w14:paraId="5F2D4A77" w14:textId="77777777" w:rsidR="00E836FB" w:rsidRDefault="00994958">
            <w:pPr>
              <w:jc w:val="right"/>
              <w:textAlignment w:val="bottom"/>
            </w:pPr>
            <w:r>
              <w:rPr>
                <w:rFonts w:ascii="Arial" w:eastAsia="宋体" w:hAnsi="Arial" w:cs="Arial"/>
                <w:b/>
                <w:bCs/>
                <w:color w:val="000000"/>
                <w:sz w:val="14"/>
                <w:szCs w:val="14"/>
              </w:rPr>
              <w:t>198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7A" w14:textId="77777777" w:rsidR="00E836FB" w:rsidRDefault="00994958">
            <w:pPr>
              <w:jc w:val="right"/>
              <w:textAlignment w:val="bottom"/>
            </w:pPr>
            <w:r>
              <w:rPr>
                <w:rFonts w:ascii="Arial" w:eastAsia="宋体" w:hAnsi="Arial" w:cs="Arial"/>
                <w:color w:val="000000"/>
                <w:sz w:val="14"/>
                <w:szCs w:val="14"/>
              </w:rPr>
              <w:t>192 </w:t>
            </w:r>
          </w:p>
        </w:tc>
        <w:tc>
          <w:tcPr>
            <w:tcW w:w="0" w:type="auto"/>
            <w:shd w:val="clear" w:color="auto" w:fill="FFFFFF"/>
            <w:tcMar>
              <w:top w:w="40" w:type="dxa"/>
              <w:left w:w="0" w:type="dxa"/>
              <w:bottom w:w="40" w:type="dxa"/>
              <w:right w:w="20" w:type="dxa"/>
            </w:tcMar>
            <w:vAlign w:val="bottom"/>
          </w:tcPr>
          <w:p w14:paraId="5F2D4A7B" w14:textId="77777777" w:rsidR="00E836FB" w:rsidRDefault="00E836FB">
            <w:pPr>
              <w:jc w:val="right"/>
              <w:rPr>
                <w:rFonts w:ascii="宋体"/>
              </w:rPr>
            </w:pPr>
          </w:p>
        </w:tc>
      </w:tr>
      <w:tr w:rsidR="00E836FB" w14:paraId="5F2D4A83" w14:textId="77777777">
        <w:tc>
          <w:tcPr>
            <w:tcW w:w="0" w:type="auto"/>
            <w:gridSpan w:val="3"/>
            <w:shd w:val="clear" w:color="auto" w:fill="CCEEFF"/>
            <w:tcMar>
              <w:top w:w="40" w:type="dxa"/>
              <w:left w:w="155" w:type="dxa"/>
              <w:bottom w:w="40" w:type="dxa"/>
              <w:right w:w="20" w:type="dxa"/>
            </w:tcMar>
            <w:vAlign w:val="bottom"/>
          </w:tcPr>
          <w:p w14:paraId="5F2D4A7D" w14:textId="77777777" w:rsidR="00E836FB" w:rsidRDefault="00994958">
            <w:pPr>
              <w:textAlignment w:val="bottom"/>
            </w:pPr>
            <w:r>
              <w:rPr>
                <w:rFonts w:ascii="Arial" w:eastAsia="宋体" w:hAnsi="Arial" w:cs="Arial"/>
                <w:color w:val="000000"/>
                <w:sz w:val="14"/>
                <w:szCs w:val="14"/>
              </w:rPr>
              <w:t>Financing cash flows from finance leases</w:t>
            </w:r>
          </w:p>
        </w:tc>
        <w:tc>
          <w:tcPr>
            <w:tcW w:w="0" w:type="auto"/>
            <w:gridSpan w:val="2"/>
            <w:shd w:val="clear" w:color="auto" w:fill="CCEEFF"/>
            <w:tcMar>
              <w:top w:w="40" w:type="dxa"/>
              <w:left w:w="20" w:type="dxa"/>
              <w:bottom w:w="40" w:type="dxa"/>
              <w:right w:w="0" w:type="dxa"/>
            </w:tcMar>
            <w:vAlign w:val="bottom"/>
          </w:tcPr>
          <w:p w14:paraId="5F2D4A7E" w14:textId="77777777" w:rsidR="00E836FB" w:rsidRDefault="00994958">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8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A81" w14:textId="77777777" w:rsidR="00E836FB" w:rsidRDefault="00994958">
            <w:pPr>
              <w:jc w:val="right"/>
              <w:textAlignment w:val="bottom"/>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bottom"/>
          </w:tcPr>
          <w:p w14:paraId="5F2D4A82" w14:textId="77777777" w:rsidR="00E836FB" w:rsidRDefault="00E836FB">
            <w:pPr>
              <w:jc w:val="right"/>
              <w:rPr>
                <w:rFonts w:ascii="宋体"/>
              </w:rPr>
            </w:pPr>
          </w:p>
        </w:tc>
      </w:tr>
      <w:tr w:rsidR="00E836FB" w14:paraId="5F2D4A88" w14:textId="77777777">
        <w:tc>
          <w:tcPr>
            <w:tcW w:w="0" w:type="auto"/>
            <w:gridSpan w:val="3"/>
            <w:shd w:val="clear" w:color="auto" w:fill="FFFFFF"/>
            <w:tcMar>
              <w:top w:w="40" w:type="dxa"/>
              <w:left w:w="20" w:type="dxa"/>
              <w:bottom w:w="40" w:type="dxa"/>
              <w:right w:w="20" w:type="dxa"/>
            </w:tcMar>
            <w:vAlign w:val="bottom"/>
          </w:tcPr>
          <w:p w14:paraId="5F2D4A84" w14:textId="77777777" w:rsidR="00E836FB" w:rsidRDefault="00994958">
            <w:pPr>
              <w:textAlignment w:val="bottom"/>
            </w:pPr>
            <w:r>
              <w:rPr>
                <w:rFonts w:ascii="Arial" w:eastAsia="宋体" w:hAnsi="Arial" w:cs="Arial"/>
                <w:b/>
                <w:bCs/>
                <w:color w:val="000000"/>
                <w:sz w:val="14"/>
                <w:szCs w:val="14"/>
              </w:rPr>
              <w:t>Right-of-use assets obtained in exchange for new lease obligations:</w:t>
            </w:r>
          </w:p>
        </w:tc>
        <w:tc>
          <w:tcPr>
            <w:tcW w:w="0" w:type="auto"/>
            <w:gridSpan w:val="3"/>
            <w:shd w:val="clear" w:color="auto" w:fill="FFFFFF"/>
            <w:tcMar>
              <w:top w:w="0" w:type="dxa"/>
              <w:left w:w="20" w:type="dxa"/>
              <w:bottom w:w="0" w:type="dxa"/>
              <w:right w:w="20" w:type="dxa"/>
            </w:tcMar>
            <w:vAlign w:val="bottom"/>
          </w:tcPr>
          <w:p w14:paraId="5F2D4A8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A8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A87" w14:textId="77777777" w:rsidR="00E836FB" w:rsidRDefault="00E836FB">
            <w:pPr>
              <w:rPr>
                <w:rFonts w:ascii="宋体"/>
              </w:rPr>
            </w:pPr>
          </w:p>
        </w:tc>
      </w:tr>
      <w:tr w:rsidR="00E836FB" w14:paraId="5F2D4A91" w14:textId="77777777">
        <w:tc>
          <w:tcPr>
            <w:tcW w:w="0" w:type="auto"/>
            <w:gridSpan w:val="3"/>
            <w:shd w:val="clear" w:color="auto" w:fill="CCEEFF"/>
            <w:tcMar>
              <w:top w:w="40" w:type="dxa"/>
              <w:left w:w="155" w:type="dxa"/>
              <w:bottom w:w="40" w:type="dxa"/>
              <w:right w:w="20" w:type="dxa"/>
            </w:tcMar>
            <w:vAlign w:val="bottom"/>
          </w:tcPr>
          <w:p w14:paraId="5F2D4A89" w14:textId="77777777" w:rsidR="00E836FB" w:rsidRDefault="00994958">
            <w:pPr>
              <w:textAlignment w:val="bottom"/>
            </w:pPr>
            <w:r>
              <w:rPr>
                <w:rFonts w:ascii="Arial" w:eastAsia="宋体" w:hAnsi="Arial" w:cs="Arial"/>
                <w:color w:val="000000"/>
                <w:sz w:val="14"/>
                <w:szCs w:val="14"/>
              </w:rPr>
              <w:t>Operating leases</w:t>
            </w:r>
          </w:p>
        </w:tc>
        <w:tc>
          <w:tcPr>
            <w:tcW w:w="0" w:type="auto"/>
            <w:shd w:val="clear" w:color="auto" w:fill="CCEEFF"/>
            <w:tcMar>
              <w:top w:w="40" w:type="dxa"/>
              <w:left w:w="20" w:type="dxa"/>
              <w:bottom w:w="40" w:type="dxa"/>
              <w:right w:w="0" w:type="dxa"/>
            </w:tcMar>
            <w:vAlign w:val="bottom"/>
          </w:tcPr>
          <w:p w14:paraId="5F2D4A8A"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4A8B" w14:textId="77777777" w:rsidR="00E836FB" w:rsidRDefault="00994958">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8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A8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A8F" w14:textId="77777777" w:rsidR="00E836FB" w:rsidRDefault="00994958">
            <w:pPr>
              <w:jc w:val="right"/>
              <w:textAlignment w:val="bottom"/>
            </w:pPr>
            <w:r>
              <w:rPr>
                <w:rFonts w:ascii="Arial" w:eastAsia="宋体" w:hAnsi="Arial" w:cs="Arial"/>
                <w:color w:val="000000"/>
                <w:sz w:val="14"/>
                <w:szCs w:val="14"/>
              </w:rPr>
              <w:t>38 </w:t>
            </w:r>
          </w:p>
        </w:tc>
        <w:tc>
          <w:tcPr>
            <w:tcW w:w="0" w:type="auto"/>
            <w:shd w:val="clear" w:color="auto" w:fill="CCEEFF"/>
            <w:tcMar>
              <w:top w:w="40" w:type="dxa"/>
              <w:left w:w="0" w:type="dxa"/>
              <w:bottom w:w="40" w:type="dxa"/>
              <w:right w:w="20" w:type="dxa"/>
            </w:tcMar>
            <w:vAlign w:val="bottom"/>
          </w:tcPr>
          <w:p w14:paraId="5F2D4A90" w14:textId="77777777" w:rsidR="00E836FB" w:rsidRDefault="00E836FB">
            <w:pPr>
              <w:jc w:val="right"/>
              <w:rPr>
                <w:rFonts w:ascii="宋体"/>
              </w:rPr>
            </w:pPr>
          </w:p>
        </w:tc>
      </w:tr>
      <w:tr w:rsidR="00E836FB" w14:paraId="5F2D4A98" w14:textId="77777777">
        <w:tc>
          <w:tcPr>
            <w:tcW w:w="0" w:type="auto"/>
            <w:gridSpan w:val="3"/>
            <w:shd w:val="clear" w:color="auto" w:fill="FFFFFF"/>
            <w:tcMar>
              <w:top w:w="40" w:type="dxa"/>
              <w:left w:w="155" w:type="dxa"/>
              <w:bottom w:w="40" w:type="dxa"/>
              <w:right w:w="20" w:type="dxa"/>
            </w:tcMar>
            <w:vAlign w:val="bottom"/>
          </w:tcPr>
          <w:p w14:paraId="5F2D4A92" w14:textId="77777777" w:rsidR="00E836FB" w:rsidRDefault="00994958">
            <w:pPr>
              <w:textAlignment w:val="bottom"/>
            </w:pPr>
            <w:r>
              <w:rPr>
                <w:rFonts w:ascii="Arial" w:eastAsia="宋体" w:hAnsi="Arial" w:cs="Arial"/>
                <w:color w:val="000000"/>
                <w:sz w:val="14"/>
                <w:szCs w:val="14"/>
              </w:rPr>
              <w:t>Finance leases</w:t>
            </w:r>
          </w:p>
        </w:tc>
        <w:tc>
          <w:tcPr>
            <w:tcW w:w="0" w:type="auto"/>
            <w:gridSpan w:val="2"/>
            <w:shd w:val="clear" w:color="auto" w:fill="FFFFFF"/>
            <w:tcMar>
              <w:top w:w="40" w:type="dxa"/>
              <w:left w:w="20" w:type="dxa"/>
              <w:bottom w:w="40" w:type="dxa"/>
              <w:right w:w="0" w:type="dxa"/>
            </w:tcMar>
            <w:vAlign w:val="bottom"/>
          </w:tcPr>
          <w:p w14:paraId="5F2D4A93" w14:textId="77777777" w:rsidR="00E836FB" w:rsidRDefault="00994958">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9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9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97" w14:textId="77777777" w:rsidR="00E836FB" w:rsidRDefault="00E836FB">
            <w:pPr>
              <w:jc w:val="right"/>
              <w:rPr>
                <w:rFonts w:ascii="宋体"/>
              </w:rPr>
            </w:pPr>
          </w:p>
        </w:tc>
      </w:tr>
    </w:tbl>
    <w:p w14:paraId="5F2D4A99"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future minimum lease payments under non-cancellable leases as of December 31, 2021:</w:t>
      </w:r>
    </w:p>
    <w:tbl>
      <w:tblPr>
        <w:tblW w:w="4969" w:type="pct"/>
        <w:tblCellMar>
          <w:top w:w="15" w:type="dxa"/>
          <w:left w:w="15" w:type="dxa"/>
          <w:bottom w:w="15" w:type="dxa"/>
          <w:right w:w="15" w:type="dxa"/>
        </w:tblCellMar>
        <w:tblLook w:val="04A0" w:firstRow="1" w:lastRow="0" w:firstColumn="1" w:lastColumn="0" w:noHBand="0" w:noVBand="1"/>
      </w:tblPr>
      <w:tblGrid>
        <w:gridCol w:w="44"/>
        <w:gridCol w:w="3043"/>
        <w:gridCol w:w="37"/>
        <w:gridCol w:w="99"/>
        <w:gridCol w:w="1520"/>
        <w:gridCol w:w="36"/>
        <w:gridCol w:w="36"/>
        <w:gridCol w:w="76"/>
        <w:gridCol w:w="36"/>
        <w:gridCol w:w="99"/>
        <w:gridCol w:w="1470"/>
        <w:gridCol w:w="36"/>
        <w:gridCol w:w="36"/>
        <w:gridCol w:w="76"/>
        <w:gridCol w:w="36"/>
        <w:gridCol w:w="98"/>
        <w:gridCol w:w="1470"/>
        <w:gridCol w:w="36"/>
      </w:tblGrid>
      <w:tr w:rsidR="00E836FB" w14:paraId="5F2D4AAC" w14:textId="77777777">
        <w:tc>
          <w:tcPr>
            <w:tcW w:w="50" w:type="pct"/>
            <w:shd w:val="clear" w:color="auto" w:fill="auto"/>
            <w:vAlign w:val="bottom"/>
          </w:tcPr>
          <w:p w14:paraId="5F2D4A9A" w14:textId="77777777" w:rsidR="00E836FB" w:rsidRDefault="00E836FB">
            <w:pPr>
              <w:rPr>
                <w:rFonts w:ascii="宋体"/>
              </w:rPr>
            </w:pPr>
          </w:p>
        </w:tc>
        <w:tc>
          <w:tcPr>
            <w:tcW w:w="1859" w:type="pct"/>
            <w:shd w:val="clear" w:color="auto" w:fill="auto"/>
            <w:vAlign w:val="bottom"/>
          </w:tcPr>
          <w:p w14:paraId="5F2D4A9B" w14:textId="77777777" w:rsidR="00E836FB" w:rsidRDefault="00E836FB">
            <w:pPr>
              <w:rPr>
                <w:rFonts w:ascii="宋体"/>
              </w:rPr>
            </w:pPr>
          </w:p>
        </w:tc>
        <w:tc>
          <w:tcPr>
            <w:tcW w:w="5" w:type="pct"/>
            <w:shd w:val="clear" w:color="auto" w:fill="auto"/>
            <w:vAlign w:val="bottom"/>
          </w:tcPr>
          <w:p w14:paraId="5F2D4A9C" w14:textId="77777777" w:rsidR="00E836FB" w:rsidRDefault="00E836FB">
            <w:pPr>
              <w:rPr>
                <w:rFonts w:ascii="宋体"/>
              </w:rPr>
            </w:pPr>
          </w:p>
        </w:tc>
        <w:tc>
          <w:tcPr>
            <w:tcW w:w="50" w:type="pct"/>
            <w:shd w:val="clear" w:color="auto" w:fill="auto"/>
            <w:vAlign w:val="bottom"/>
          </w:tcPr>
          <w:p w14:paraId="5F2D4A9D" w14:textId="77777777" w:rsidR="00E836FB" w:rsidRDefault="00E836FB">
            <w:pPr>
              <w:rPr>
                <w:rFonts w:ascii="宋体"/>
              </w:rPr>
            </w:pPr>
          </w:p>
        </w:tc>
        <w:tc>
          <w:tcPr>
            <w:tcW w:w="941" w:type="pct"/>
            <w:shd w:val="clear" w:color="auto" w:fill="auto"/>
            <w:vAlign w:val="bottom"/>
          </w:tcPr>
          <w:p w14:paraId="5F2D4A9E" w14:textId="77777777" w:rsidR="00E836FB" w:rsidRDefault="00E836FB">
            <w:pPr>
              <w:rPr>
                <w:rFonts w:ascii="宋体"/>
              </w:rPr>
            </w:pPr>
          </w:p>
        </w:tc>
        <w:tc>
          <w:tcPr>
            <w:tcW w:w="5" w:type="pct"/>
            <w:shd w:val="clear" w:color="auto" w:fill="auto"/>
            <w:vAlign w:val="bottom"/>
          </w:tcPr>
          <w:p w14:paraId="5F2D4A9F" w14:textId="77777777" w:rsidR="00E836FB" w:rsidRDefault="00E836FB">
            <w:pPr>
              <w:rPr>
                <w:rFonts w:ascii="宋体"/>
              </w:rPr>
            </w:pPr>
          </w:p>
        </w:tc>
        <w:tc>
          <w:tcPr>
            <w:tcW w:w="5" w:type="pct"/>
            <w:shd w:val="clear" w:color="auto" w:fill="auto"/>
            <w:vAlign w:val="bottom"/>
          </w:tcPr>
          <w:p w14:paraId="5F2D4AA0" w14:textId="77777777" w:rsidR="00E836FB" w:rsidRDefault="00E836FB">
            <w:pPr>
              <w:rPr>
                <w:rFonts w:ascii="宋体"/>
              </w:rPr>
            </w:pPr>
          </w:p>
        </w:tc>
        <w:tc>
          <w:tcPr>
            <w:tcW w:w="69" w:type="pct"/>
            <w:shd w:val="clear" w:color="auto" w:fill="auto"/>
            <w:vAlign w:val="bottom"/>
          </w:tcPr>
          <w:p w14:paraId="5F2D4AA1" w14:textId="77777777" w:rsidR="00E836FB" w:rsidRDefault="00E836FB">
            <w:pPr>
              <w:rPr>
                <w:rFonts w:ascii="宋体"/>
              </w:rPr>
            </w:pPr>
          </w:p>
        </w:tc>
        <w:tc>
          <w:tcPr>
            <w:tcW w:w="5" w:type="pct"/>
            <w:shd w:val="clear" w:color="auto" w:fill="auto"/>
            <w:vAlign w:val="bottom"/>
          </w:tcPr>
          <w:p w14:paraId="5F2D4AA2" w14:textId="77777777" w:rsidR="00E836FB" w:rsidRDefault="00E836FB">
            <w:pPr>
              <w:rPr>
                <w:rFonts w:ascii="宋体"/>
              </w:rPr>
            </w:pPr>
          </w:p>
        </w:tc>
        <w:tc>
          <w:tcPr>
            <w:tcW w:w="50" w:type="pct"/>
            <w:shd w:val="clear" w:color="auto" w:fill="auto"/>
            <w:vAlign w:val="bottom"/>
          </w:tcPr>
          <w:p w14:paraId="5F2D4AA3" w14:textId="77777777" w:rsidR="00E836FB" w:rsidRDefault="00E836FB">
            <w:pPr>
              <w:rPr>
                <w:rFonts w:ascii="宋体"/>
              </w:rPr>
            </w:pPr>
          </w:p>
        </w:tc>
        <w:tc>
          <w:tcPr>
            <w:tcW w:w="910" w:type="pct"/>
            <w:shd w:val="clear" w:color="auto" w:fill="auto"/>
            <w:vAlign w:val="bottom"/>
          </w:tcPr>
          <w:p w14:paraId="5F2D4AA4" w14:textId="77777777" w:rsidR="00E836FB" w:rsidRDefault="00E836FB">
            <w:pPr>
              <w:rPr>
                <w:rFonts w:ascii="宋体"/>
              </w:rPr>
            </w:pPr>
          </w:p>
        </w:tc>
        <w:tc>
          <w:tcPr>
            <w:tcW w:w="5" w:type="pct"/>
            <w:shd w:val="clear" w:color="auto" w:fill="auto"/>
            <w:vAlign w:val="bottom"/>
          </w:tcPr>
          <w:p w14:paraId="5F2D4AA5" w14:textId="77777777" w:rsidR="00E836FB" w:rsidRDefault="00E836FB">
            <w:pPr>
              <w:rPr>
                <w:rFonts w:ascii="宋体"/>
              </w:rPr>
            </w:pPr>
          </w:p>
        </w:tc>
        <w:tc>
          <w:tcPr>
            <w:tcW w:w="5" w:type="pct"/>
            <w:shd w:val="clear" w:color="auto" w:fill="auto"/>
            <w:vAlign w:val="bottom"/>
          </w:tcPr>
          <w:p w14:paraId="5F2D4AA6" w14:textId="77777777" w:rsidR="00E836FB" w:rsidRDefault="00E836FB">
            <w:pPr>
              <w:rPr>
                <w:rFonts w:ascii="宋体"/>
              </w:rPr>
            </w:pPr>
          </w:p>
        </w:tc>
        <w:tc>
          <w:tcPr>
            <w:tcW w:w="69" w:type="pct"/>
            <w:shd w:val="clear" w:color="auto" w:fill="auto"/>
            <w:vAlign w:val="bottom"/>
          </w:tcPr>
          <w:p w14:paraId="5F2D4AA7" w14:textId="77777777" w:rsidR="00E836FB" w:rsidRDefault="00E836FB">
            <w:pPr>
              <w:rPr>
                <w:rFonts w:ascii="宋体"/>
              </w:rPr>
            </w:pPr>
          </w:p>
        </w:tc>
        <w:tc>
          <w:tcPr>
            <w:tcW w:w="5" w:type="pct"/>
            <w:shd w:val="clear" w:color="auto" w:fill="auto"/>
            <w:vAlign w:val="bottom"/>
          </w:tcPr>
          <w:p w14:paraId="5F2D4AA8" w14:textId="77777777" w:rsidR="00E836FB" w:rsidRDefault="00E836FB">
            <w:pPr>
              <w:rPr>
                <w:rFonts w:ascii="宋体"/>
              </w:rPr>
            </w:pPr>
          </w:p>
        </w:tc>
        <w:tc>
          <w:tcPr>
            <w:tcW w:w="50" w:type="pct"/>
            <w:shd w:val="clear" w:color="auto" w:fill="auto"/>
            <w:vAlign w:val="bottom"/>
          </w:tcPr>
          <w:p w14:paraId="5F2D4AA9" w14:textId="77777777" w:rsidR="00E836FB" w:rsidRDefault="00E836FB">
            <w:pPr>
              <w:rPr>
                <w:rFonts w:ascii="宋体"/>
              </w:rPr>
            </w:pPr>
          </w:p>
        </w:tc>
        <w:tc>
          <w:tcPr>
            <w:tcW w:w="910" w:type="pct"/>
            <w:shd w:val="clear" w:color="auto" w:fill="auto"/>
            <w:vAlign w:val="bottom"/>
          </w:tcPr>
          <w:p w14:paraId="5F2D4AAA" w14:textId="77777777" w:rsidR="00E836FB" w:rsidRDefault="00E836FB">
            <w:pPr>
              <w:rPr>
                <w:rFonts w:ascii="宋体"/>
              </w:rPr>
            </w:pPr>
          </w:p>
        </w:tc>
        <w:tc>
          <w:tcPr>
            <w:tcW w:w="5" w:type="pct"/>
            <w:shd w:val="clear" w:color="auto" w:fill="auto"/>
            <w:vAlign w:val="bottom"/>
          </w:tcPr>
          <w:p w14:paraId="5F2D4AAB" w14:textId="77777777" w:rsidR="00E836FB" w:rsidRDefault="00E836FB">
            <w:pPr>
              <w:rPr>
                <w:rFonts w:ascii="宋体"/>
              </w:rPr>
            </w:pPr>
          </w:p>
        </w:tc>
      </w:tr>
      <w:tr w:rsidR="00E836FB" w14:paraId="5F2D4AB3" w14:textId="77777777">
        <w:tc>
          <w:tcPr>
            <w:tcW w:w="0" w:type="auto"/>
            <w:gridSpan w:val="3"/>
            <w:shd w:val="clear" w:color="auto" w:fill="auto"/>
            <w:tcMar>
              <w:top w:w="40" w:type="dxa"/>
              <w:left w:w="20" w:type="dxa"/>
              <w:bottom w:w="40" w:type="dxa"/>
              <w:right w:w="20" w:type="dxa"/>
            </w:tcMar>
            <w:vAlign w:val="bottom"/>
          </w:tcPr>
          <w:p w14:paraId="5F2D4AAD"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4AAE" w14:textId="77777777" w:rsidR="00E836FB" w:rsidRDefault="00994958">
            <w:pPr>
              <w:jc w:val="center"/>
              <w:textAlignment w:val="bottom"/>
            </w:pPr>
            <w:r>
              <w:rPr>
                <w:rFonts w:ascii="Arial" w:eastAsia="宋体" w:hAnsi="Arial" w:cs="Arial"/>
                <w:b/>
                <w:bCs/>
                <w:color w:val="000000"/>
                <w:sz w:val="14"/>
                <w:szCs w:val="14"/>
              </w:rPr>
              <w:t>Operating Leases</w:t>
            </w:r>
          </w:p>
        </w:tc>
        <w:tc>
          <w:tcPr>
            <w:tcW w:w="0" w:type="auto"/>
            <w:gridSpan w:val="3"/>
            <w:shd w:val="clear" w:color="auto" w:fill="auto"/>
            <w:tcMar>
              <w:top w:w="0" w:type="dxa"/>
              <w:left w:w="20" w:type="dxa"/>
              <w:bottom w:w="0" w:type="dxa"/>
              <w:right w:w="20" w:type="dxa"/>
            </w:tcMar>
            <w:vAlign w:val="bottom"/>
          </w:tcPr>
          <w:p w14:paraId="5F2D4AA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AB0" w14:textId="77777777" w:rsidR="00E836FB" w:rsidRDefault="00994958">
            <w:pPr>
              <w:jc w:val="center"/>
              <w:textAlignment w:val="bottom"/>
            </w:pPr>
            <w:r>
              <w:rPr>
                <w:rFonts w:ascii="Arial" w:eastAsia="宋体" w:hAnsi="Arial" w:cs="Arial"/>
                <w:b/>
                <w:bCs/>
                <w:color w:val="000000"/>
                <w:sz w:val="14"/>
                <w:szCs w:val="14"/>
              </w:rPr>
              <w:t>Finance Leases</w:t>
            </w:r>
          </w:p>
        </w:tc>
        <w:tc>
          <w:tcPr>
            <w:tcW w:w="0" w:type="auto"/>
            <w:gridSpan w:val="3"/>
            <w:shd w:val="clear" w:color="auto" w:fill="auto"/>
            <w:tcMar>
              <w:top w:w="0" w:type="dxa"/>
              <w:left w:w="20" w:type="dxa"/>
              <w:bottom w:w="0" w:type="dxa"/>
              <w:right w:w="20" w:type="dxa"/>
            </w:tcMar>
            <w:vAlign w:val="bottom"/>
          </w:tcPr>
          <w:p w14:paraId="5F2D4AB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AB2"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4AC0" w14:textId="77777777">
        <w:tc>
          <w:tcPr>
            <w:tcW w:w="0" w:type="auto"/>
            <w:gridSpan w:val="3"/>
            <w:shd w:val="clear" w:color="auto" w:fill="CCEEFF"/>
            <w:tcMar>
              <w:top w:w="40" w:type="dxa"/>
              <w:left w:w="20" w:type="dxa"/>
              <w:bottom w:w="40" w:type="dxa"/>
              <w:right w:w="20" w:type="dxa"/>
            </w:tcMar>
            <w:vAlign w:val="bottom"/>
          </w:tcPr>
          <w:p w14:paraId="5F2D4AB4" w14:textId="77777777" w:rsidR="00E836FB" w:rsidRDefault="00994958">
            <w:pPr>
              <w:textAlignment w:val="bottom"/>
            </w:pPr>
            <w:r>
              <w:rPr>
                <w:rFonts w:ascii="Arial" w:eastAsia="宋体" w:hAnsi="Arial" w:cs="Arial"/>
                <w:color w:val="000000"/>
                <w:sz w:val="14"/>
                <w:szCs w:val="14"/>
              </w:rPr>
              <w:t>2022</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4AB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AB6" w14:textId="77777777" w:rsidR="00E836FB" w:rsidRDefault="00994958">
            <w:pPr>
              <w:jc w:val="right"/>
              <w:textAlignment w:val="bottom"/>
            </w:pPr>
            <w:r>
              <w:rPr>
                <w:rFonts w:ascii="Arial" w:eastAsia="宋体" w:hAnsi="Arial" w:cs="Arial"/>
                <w:b/>
                <w:bCs/>
                <w:color w:val="000000"/>
                <w:sz w:val="14"/>
                <w:szCs w:val="14"/>
              </w:rPr>
              <w:t>158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B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AB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ABA" w14:textId="77777777" w:rsidR="00E836FB" w:rsidRDefault="00994958">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B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ABD"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ABE" w14:textId="77777777" w:rsidR="00E836FB" w:rsidRDefault="00994958">
            <w:pPr>
              <w:jc w:val="right"/>
              <w:textAlignment w:val="bottom"/>
            </w:pPr>
            <w:r>
              <w:rPr>
                <w:rFonts w:ascii="Arial" w:eastAsia="宋体" w:hAnsi="Arial" w:cs="Arial"/>
                <w:b/>
                <w:bCs/>
                <w:color w:val="000000"/>
                <w:sz w:val="14"/>
                <w:szCs w:val="14"/>
              </w:rPr>
              <w:t>229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BF" w14:textId="77777777" w:rsidR="00E836FB" w:rsidRDefault="00E836FB">
            <w:pPr>
              <w:jc w:val="right"/>
              <w:rPr>
                <w:rFonts w:ascii="宋体"/>
              </w:rPr>
            </w:pPr>
          </w:p>
        </w:tc>
      </w:tr>
      <w:tr w:rsidR="00E836FB" w14:paraId="5F2D4ACA" w14:textId="77777777">
        <w:tc>
          <w:tcPr>
            <w:tcW w:w="0" w:type="auto"/>
            <w:gridSpan w:val="3"/>
            <w:shd w:val="clear" w:color="auto" w:fill="FFFFFF"/>
            <w:tcMar>
              <w:top w:w="40" w:type="dxa"/>
              <w:left w:w="20" w:type="dxa"/>
              <w:bottom w:w="40" w:type="dxa"/>
              <w:right w:w="20" w:type="dxa"/>
            </w:tcMar>
            <w:vAlign w:val="bottom"/>
          </w:tcPr>
          <w:p w14:paraId="5F2D4AC1" w14:textId="77777777" w:rsidR="00E836FB" w:rsidRDefault="00994958">
            <w:pPr>
              <w:textAlignment w:val="bottom"/>
            </w:pPr>
            <w:r>
              <w:rPr>
                <w:rFonts w:ascii="Arial" w:eastAsia="宋体" w:hAnsi="Arial" w:cs="Arial"/>
                <w:color w:val="000000"/>
                <w:sz w:val="14"/>
                <w:szCs w:val="14"/>
              </w:rPr>
              <w:t>2023</w:t>
            </w:r>
          </w:p>
        </w:tc>
        <w:tc>
          <w:tcPr>
            <w:tcW w:w="0" w:type="auto"/>
            <w:gridSpan w:val="2"/>
            <w:shd w:val="clear" w:color="auto" w:fill="FFFFFF"/>
            <w:tcMar>
              <w:top w:w="40" w:type="dxa"/>
              <w:left w:w="20" w:type="dxa"/>
              <w:bottom w:w="40" w:type="dxa"/>
              <w:right w:w="0" w:type="dxa"/>
            </w:tcMar>
            <w:vAlign w:val="bottom"/>
          </w:tcPr>
          <w:p w14:paraId="5F2D4AC2" w14:textId="77777777" w:rsidR="00E836FB" w:rsidRDefault="00994958">
            <w:pPr>
              <w:jc w:val="right"/>
              <w:textAlignment w:val="bottom"/>
            </w:pPr>
            <w:r>
              <w:rPr>
                <w:rFonts w:ascii="Arial" w:eastAsia="宋体" w:hAnsi="Arial" w:cs="Arial"/>
                <w:b/>
                <w:bCs/>
                <w:color w:val="000000"/>
                <w:sz w:val="14"/>
                <w:szCs w:val="14"/>
              </w:rPr>
              <w:t>140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C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C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C5" w14:textId="77777777" w:rsidR="00E836FB" w:rsidRDefault="00994958">
            <w:pPr>
              <w:jc w:val="right"/>
              <w:textAlignment w:val="bottom"/>
            </w:pPr>
            <w:r>
              <w:rPr>
                <w:rFonts w:ascii="Arial" w:eastAsia="宋体" w:hAnsi="Arial" w:cs="Arial"/>
                <w:b/>
                <w:bCs/>
                <w:color w:val="000000"/>
                <w:sz w:val="14"/>
                <w:szCs w:val="14"/>
              </w:rPr>
              <w:t>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C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C8" w14:textId="77777777" w:rsidR="00E836FB" w:rsidRDefault="00994958">
            <w:pPr>
              <w:jc w:val="right"/>
              <w:textAlignment w:val="bottom"/>
            </w:pPr>
            <w:r>
              <w:rPr>
                <w:rFonts w:ascii="Arial" w:eastAsia="宋体" w:hAnsi="Arial" w:cs="Arial"/>
                <w:b/>
                <w:bCs/>
                <w:color w:val="000000"/>
                <w:sz w:val="14"/>
                <w:szCs w:val="14"/>
              </w:rPr>
              <w:t>200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C9" w14:textId="77777777" w:rsidR="00E836FB" w:rsidRDefault="00E836FB">
            <w:pPr>
              <w:jc w:val="right"/>
              <w:rPr>
                <w:rFonts w:ascii="宋体"/>
              </w:rPr>
            </w:pPr>
          </w:p>
        </w:tc>
      </w:tr>
      <w:tr w:rsidR="00E836FB" w14:paraId="5F2D4AD4" w14:textId="77777777">
        <w:tc>
          <w:tcPr>
            <w:tcW w:w="0" w:type="auto"/>
            <w:gridSpan w:val="3"/>
            <w:shd w:val="clear" w:color="auto" w:fill="CCEEFF"/>
            <w:tcMar>
              <w:top w:w="40" w:type="dxa"/>
              <w:left w:w="20" w:type="dxa"/>
              <w:bottom w:w="40" w:type="dxa"/>
              <w:right w:w="20" w:type="dxa"/>
            </w:tcMar>
            <w:vAlign w:val="bottom"/>
          </w:tcPr>
          <w:p w14:paraId="5F2D4ACB" w14:textId="77777777" w:rsidR="00E836FB" w:rsidRDefault="00994958">
            <w:pPr>
              <w:textAlignment w:val="bottom"/>
            </w:pPr>
            <w:r>
              <w:rPr>
                <w:rFonts w:ascii="Arial" w:eastAsia="宋体" w:hAnsi="Arial" w:cs="Arial"/>
                <w:color w:val="000000"/>
                <w:sz w:val="14"/>
                <w:szCs w:val="14"/>
              </w:rPr>
              <w:t>2024</w:t>
            </w:r>
          </w:p>
        </w:tc>
        <w:tc>
          <w:tcPr>
            <w:tcW w:w="0" w:type="auto"/>
            <w:gridSpan w:val="2"/>
            <w:shd w:val="clear" w:color="auto" w:fill="CCEEFF"/>
            <w:tcMar>
              <w:top w:w="40" w:type="dxa"/>
              <w:left w:w="20" w:type="dxa"/>
              <w:bottom w:w="40" w:type="dxa"/>
              <w:right w:w="0" w:type="dxa"/>
            </w:tcMar>
            <w:vAlign w:val="bottom"/>
          </w:tcPr>
          <w:p w14:paraId="5F2D4ACC" w14:textId="77777777" w:rsidR="00E836FB" w:rsidRDefault="00994958">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C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ACF" w14:textId="77777777" w:rsidR="00E836FB" w:rsidRDefault="00994958">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AD2" w14:textId="77777777" w:rsidR="00E836FB" w:rsidRDefault="00994958">
            <w:pPr>
              <w:jc w:val="right"/>
              <w:textAlignment w:val="bottom"/>
            </w:pPr>
            <w:r>
              <w:rPr>
                <w:rFonts w:ascii="Arial" w:eastAsia="宋体" w:hAnsi="Arial" w:cs="Arial"/>
                <w:b/>
                <w:bCs/>
                <w:color w:val="000000"/>
                <w:sz w:val="14"/>
                <w:szCs w:val="14"/>
              </w:rPr>
              <w:t>146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D3" w14:textId="77777777" w:rsidR="00E836FB" w:rsidRDefault="00E836FB">
            <w:pPr>
              <w:jc w:val="right"/>
              <w:rPr>
                <w:rFonts w:ascii="宋体"/>
              </w:rPr>
            </w:pPr>
          </w:p>
        </w:tc>
      </w:tr>
      <w:tr w:rsidR="00E836FB" w14:paraId="5F2D4ADE" w14:textId="77777777">
        <w:tc>
          <w:tcPr>
            <w:tcW w:w="0" w:type="auto"/>
            <w:gridSpan w:val="3"/>
            <w:shd w:val="clear" w:color="auto" w:fill="FFFFFF"/>
            <w:tcMar>
              <w:top w:w="40" w:type="dxa"/>
              <w:left w:w="20" w:type="dxa"/>
              <w:bottom w:w="40" w:type="dxa"/>
              <w:right w:w="20" w:type="dxa"/>
            </w:tcMar>
            <w:vAlign w:val="bottom"/>
          </w:tcPr>
          <w:p w14:paraId="5F2D4AD5" w14:textId="77777777" w:rsidR="00E836FB" w:rsidRDefault="00994958">
            <w:pPr>
              <w:textAlignment w:val="bottom"/>
            </w:pPr>
            <w:r>
              <w:rPr>
                <w:rFonts w:ascii="Arial" w:eastAsia="宋体" w:hAnsi="Arial" w:cs="Arial"/>
                <w:color w:val="000000"/>
                <w:sz w:val="14"/>
                <w:szCs w:val="14"/>
              </w:rPr>
              <w:t>2025</w:t>
            </w:r>
          </w:p>
        </w:tc>
        <w:tc>
          <w:tcPr>
            <w:tcW w:w="0" w:type="auto"/>
            <w:gridSpan w:val="2"/>
            <w:shd w:val="clear" w:color="auto" w:fill="FFFFFF"/>
            <w:tcMar>
              <w:top w:w="40" w:type="dxa"/>
              <w:left w:w="20" w:type="dxa"/>
              <w:bottom w:w="40" w:type="dxa"/>
              <w:right w:w="0" w:type="dxa"/>
            </w:tcMar>
            <w:vAlign w:val="bottom"/>
          </w:tcPr>
          <w:p w14:paraId="5F2D4AD6" w14:textId="77777777" w:rsidR="00E836FB" w:rsidRDefault="00994958">
            <w:pPr>
              <w:jc w:val="right"/>
              <w:textAlignment w:val="bottom"/>
            </w:pPr>
            <w:r>
              <w:rPr>
                <w:rFonts w:ascii="Arial" w:eastAsia="宋体" w:hAnsi="Arial" w:cs="Arial"/>
                <w:b/>
                <w:bCs/>
                <w:color w:val="000000"/>
                <w:sz w:val="14"/>
                <w:szCs w:val="14"/>
              </w:rPr>
              <w:t>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D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D9" w14:textId="77777777" w:rsidR="00E836FB" w:rsidRDefault="00994958">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DC" w14:textId="77777777" w:rsidR="00E836FB" w:rsidRDefault="00994958">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DD" w14:textId="77777777" w:rsidR="00E836FB" w:rsidRDefault="00E836FB">
            <w:pPr>
              <w:jc w:val="right"/>
              <w:rPr>
                <w:rFonts w:ascii="宋体"/>
              </w:rPr>
            </w:pPr>
          </w:p>
        </w:tc>
      </w:tr>
      <w:tr w:rsidR="00E836FB" w14:paraId="5F2D4AE8" w14:textId="77777777">
        <w:tc>
          <w:tcPr>
            <w:tcW w:w="0" w:type="auto"/>
            <w:gridSpan w:val="3"/>
            <w:shd w:val="clear" w:color="auto" w:fill="CCEEFF"/>
            <w:tcMar>
              <w:top w:w="40" w:type="dxa"/>
              <w:left w:w="20" w:type="dxa"/>
              <w:bottom w:w="40" w:type="dxa"/>
              <w:right w:w="20" w:type="dxa"/>
            </w:tcMar>
            <w:vAlign w:val="bottom"/>
          </w:tcPr>
          <w:p w14:paraId="5F2D4ADF" w14:textId="77777777" w:rsidR="00E836FB" w:rsidRDefault="00994958">
            <w:pPr>
              <w:textAlignment w:val="bottom"/>
            </w:pPr>
            <w:r>
              <w:rPr>
                <w:rFonts w:ascii="Arial" w:eastAsia="宋体" w:hAnsi="Arial" w:cs="Arial"/>
                <w:color w:val="000000"/>
                <w:sz w:val="14"/>
                <w:szCs w:val="14"/>
              </w:rPr>
              <w:t>2026</w:t>
            </w:r>
          </w:p>
        </w:tc>
        <w:tc>
          <w:tcPr>
            <w:tcW w:w="0" w:type="auto"/>
            <w:gridSpan w:val="2"/>
            <w:shd w:val="clear" w:color="auto" w:fill="CCEEFF"/>
            <w:tcMar>
              <w:top w:w="40" w:type="dxa"/>
              <w:left w:w="20" w:type="dxa"/>
              <w:bottom w:w="40" w:type="dxa"/>
              <w:right w:w="0" w:type="dxa"/>
            </w:tcMar>
            <w:vAlign w:val="bottom"/>
          </w:tcPr>
          <w:p w14:paraId="5F2D4AE0"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AE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AE6"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AE7" w14:textId="77777777" w:rsidR="00E836FB" w:rsidRDefault="00E836FB">
            <w:pPr>
              <w:jc w:val="right"/>
              <w:rPr>
                <w:rFonts w:ascii="宋体"/>
              </w:rPr>
            </w:pPr>
          </w:p>
        </w:tc>
      </w:tr>
      <w:tr w:rsidR="00E836FB" w14:paraId="5F2D4AF2" w14:textId="77777777">
        <w:tc>
          <w:tcPr>
            <w:tcW w:w="0" w:type="auto"/>
            <w:gridSpan w:val="3"/>
            <w:shd w:val="clear" w:color="auto" w:fill="FFFFFF"/>
            <w:tcMar>
              <w:top w:w="40" w:type="dxa"/>
              <w:left w:w="20" w:type="dxa"/>
              <w:bottom w:w="40" w:type="dxa"/>
              <w:right w:w="20" w:type="dxa"/>
            </w:tcMar>
            <w:vAlign w:val="bottom"/>
          </w:tcPr>
          <w:p w14:paraId="5F2D4AE9" w14:textId="77777777" w:rsidR="00E836FB" w:rsidRDefault="00994958">
            <w:pPr>
              <w:textAlignment w:val="bottom"/>
            </w:pPr>
            <w:r>
              <w:rPr>
                <w:rFonts w:ascii="Arial" w:eastAsia="宋体" w:hAnsi="Arial" w:cs="Arial"/>
                <w:color w:val="000000"/>
                <w:sz w:val="14"/>
                <w:szCs w:val="14"/>
              </w:rPr>
              <w:t>Thereafter</w:t>
            </w:r>
          </w:p>
        </w:tc>
        <w:tc>
          <w:tcPr>
            <w:tcW w:w="0" w:type="auto"/>
            <w:gridSpan w:val="2"/>
            <w:shd w:val="clear" w:color="auto" w:fill="FFFFFF"/>
            <w:tcMar>
              <w:top w:w="40" w:type="dxa"/>
              <w:left w:w="20" w:type="dxa"/>
              <w:bottom w:w="40" w:type="dxa"/>
              <w:right w:w="0" w:type="dxa"/>
            </w:tcMar>
            <w:vAlign w:val="bottom"/>
          </w:tcPr>
          <w:p w14:paraId="5F2D4AEA" w14:textId="77777777" w:rsidR="00E836FB" w:rsidRDefault="00994958">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E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E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E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A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AF0" w14:textId="77777777" w:rsidR="00E836FB" w:rsidRDefault="00994958">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AF1" w14:textId="77777777" w:rsidR="00E836FB" w:rsidRDefault="00E836FB">
            <w:pPr>
              <w:jc w:val="right"/>
              <w:rPr>
                <w:rFonts w:ascii="宋体"/>
              </w:rPr>
            </w:pPr>
          </w:p>
        </w:tc>
      </w:tr>
      <w:tr w:rsidR="00E836FB" w14:paraId="5F2D4AFC" w14:textId="77777777">
        <w:tc>
          <w:tcPr>
            <w:tcW w:w="0" w:type="auto"/>
            <w:gridSpan w:val="3"/>
            <w:shd w:val="clear" w:color="auto" w:fill="CCEEFF"/>
            <w:tcMar>
              <w:top w:w="40" w:type="dxa"/>
              <w:left w:w="20" w:type="dxa"/>
              <w:bottom w:w="40" w:type="dxa"/>
              <w:right w:w="20" w:type="dxa"/>
            </w:tcMar>
            <w:vAlign w:val="bottom"/>
          </w:tcPr>
          <w:p w14:paraId="5F2D4AF3" w14:textId="77777777" w:rsidR="00E836FB" w:rsidRDefault="00994958">
            <w:pPr>
              <w:textAlignment w:val="bottom"/>
            </w:pPr>
            <w:r>
              <w:rPr>
                <w:rFonts w:ascii="Arial" w:eastAsia="宋体" w:hAnsi="Arial" w:cs="Arial"/>
                <w:color w:val="000000"/>
                <w:sz w:val="14"/>
                <w:szCs w:val="14"/>
              </w:rPr>
              <w:t>Total future minimum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F4" w14:textId="77777777" w:rsidR="00E836FB" w:rsidRDefault="00994958">
            <w:pPr>
              <w:jc w:val="right"/>
              <w:textAlignment w:val="bottom"/>
            </w:pPr>
            <w:r>
              <w:rPr>
                <w:rFonts w:ascii="Arial" w:eastAsia="宋体" w:hAnsi="Arial" w:cs="Arial"/>
                <w:b/>
                <w:bCs/>
                <w:color w:val="000000"/>
                <w:sz w:val="14"/>
                <w:szCs w:val="14"/>
              </w:rPr>
              <w:t>749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F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F7" w14:textId="77777777" w:rsidR="00E836FB" w:rsidRDefault="00994958">
            <w:pPr>
              <w:jc w:val="right"/>
              <w:textAlignment w:val="bottom"/>
            </w:pPr>
            <w:r>
              <w:rPr>
                <w:rFonts w:ascii="Arial" w:eastAsia="宋体" w:hAnsi="Arial" w:cs="Arial"/>
                <w:b/>
                <w:bCs/>
                <w:color w:val="000000"/>
                <w:sz w:val="14"/>
                <w:szCs w:val="14"/>
              </w:rPr>
              <w:t>170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AF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AFA" w14:textId="77777777" w:rsidR="00E836FB" w:rsidRDefault="00994958">
            <w:pPr>
              <w:jc w:val="right"/>
              <w:textAlignment w:val="bottom"/>
            </w:pPr>
            <w:r>
              <w:rPr>
                <w:rFonts w:ascii="Arial" w:eastAsia="宋体" w:hAnsi="Arial" w:cs="Arial"/>
                <w:b/>
                <w:bCs/>
                <w:color w:val="000000"/>
                <w:sz w:val="14"/>
                <w:szCs w:val="14"/>
              </w:rPr>
              <w:t>919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AFB" w14:textId="77777777" w:rsidR="00E836FB" w:rsidRDefault="00E836FB">
            <w:pPr>
              <w:jc w:val="right"/>
              <w:rPr>
                <w:rFonts w:ascii="宋体"/>
              </w:rPr>
            </w:pPr>
          </w:p>
        </w:tc>
      </w:tr>
      <w:tr w:rsidR="00E836FB" w14:paraId="5F2D4B06" w14:textId="77777777">
        <w:tc>
          <w:tcPr>
            <w:tcW w:w="0" w:type="auto"/>
            <w:gridSpan w:val="3"/>
            <w:shd w:val="clear" w:color="auto" w:fill="FFFFFF"/>
            <w:tcMar>
              <w:top w:w="40" w:type="dxa"/>
              <w:left w:w="20" w:type="dxa"/>
              <w:bottom w:w="40" w:type="dxa"/>
              <w:right w:w="20" w:type="dxa"/>
            </w:tcMar>
            <w:vAlign w:val="bottom"/>
          </w:tcPr>
          <w:p w14:paraId="5F2D4AFD" w14:textId="77777777" w:rsidR="00E836FB" w:rsidRDefault="00994958">
            <w:pPr>
              <w:textAlignment w:val="bottom"/>
            </w:pPr>
            <w:r>
              <w:rPr>
                <w:rFonts w:ascii="Arial" w:eastAsia="宋体" w:hAnsi="Arial" w:cs="Arial"/>
                <w:color w:val="000000"/>
                <w:sz w:val="14"/>
                <w:szCs w:val="14"/>
              </w:rPr>
              <w:t>Less imputed interest</w:t>
            </w:r>
          </w:p>
        </w:tc>
        <w:tc>
          <w:tcPr>
            <w:tcW w:w="0" w:type="auto"/>
            <w:gridSpan w:val="2"/>
            <w:shd w:val="clear" w:color="auto" w:fill="FFFFFF"/>
            <w:tcMar>
              <w:top w:w="40" w:type="dxa"/>
              <w:left w:w="20" w:type="dxa"/>
              <w:bottom w:w="40" w:type="dxa"/>
              <w:right w:w="0" w:type="dxa"/>
            </w:tcMar>
            <w:vAlign w:val="bottom"/>
          </w:tcPr>
          <w:p w14:paraId="5F2D4AFE" w14:textId="77777777" w:rsidR="00E836FB" w:rsidRDefault="00994958">
            <w:pPr>
              <w:jc w:val="right"/>
              <w:textAlignment w:val="bottom"/>
            </w:pPr>
            <w:r>
              <w:rPr>
                <w:rFonts w:ascii="Arial" w:eastAsia="宋体" w:hAnsi="Arial" w:cs="Arial"/>
                <w:b/>
                <w:bCs/>
                <w:color w:val="000000"/>
                <w:sz w:val="14"/>
                <w:szCs w:val="14"/>
              </w:rPr>
              <w:t>(60)</w:t>
            </w:r>
          </w:p>
        </w:tc>
        <w:tc>
          <w:tcPr>
            <w:tcW w:w="0" w:type="auto"/>
            <w:shd w:val="clear" w:color="auto" w:fill="FFFFFF"/>
            <w:tcMar>
              <w:top w:w="40" w:type="dxa"/>
              <w:left w:w="0" w:type="dxa"/>
              <w:bottom w:w="40" w:type="dxa"/>
              <w:right w:w="20" w:type="dxa"/>
            </w:tcMar>
            <w:vAlign w:val="bottom"/>
          </w:tcPr>
          <w:p w14:paraId="5F2D4A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01" w14:textId="77777777" w:rsidR="00E836FB" w:rsidRDefault="00994958">
            <w:pPr>
              <w:jc w:val="right"/>
              <w:textAlignment w:val="bottom"/>
            </w:pPr>
            <w:r>
              <w:rPr>
                <w:rFonts w:ascii="Arial" w:eastAsia="宋体" w:hAnsi="Arial" w:cs="Arial"/>
                <w:b/>
                <w:bCs/>
                <w:color w:val="000000"/>
                <w:sz w:val="14"/>
                <w:szCs w:val="14"/>
              </w:rPr>
              <w:t>(6)</w:t>
            </w:r>
          </w:p>
        </w:tc>
        <w:tc>
          <w:tcPr>
            <w:tcW w:w="0" w:type="auto"/>
            <w:shd w:val="clear" w:color="auto" w:fill="FFFFFF"/>
            <w:tcMar>
              <w:top w:w="40" w:type="dxa"/>
              <w:left w:w="0" w:type="dxa"/>
              <w:bottom w:w="40" w:type="dxa"/>
              <w:right w:w="20" w:type="dxa"/>
            </w:tcMar>
            <w:vAlign w:val="bottom"/>
          </w:tcPr>
          <w:p w14:paraId="5F2D4B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04" w14:textId="77777777" w:rsidR="00E836FB" w:rsidRDefault="00994958">
            <w:pPr>
              <w:jc w:val="right"/>
              <w:textAlignment w:val="bottom"/>
            </w:pPr>
            <w:r>
              <w:rPr>
                <w:rFonts w:ascii="Arial" w:eastAsia="宋体" w:hAnsi="Arial" w:cs="Arial"/>
                <w:b/>
                <w:bCs/>
                <w:color w:val="000000"/>
                <w:sz w:val="14"/>
                <w:szCs w:val="14"/>
              </w:rPr>
              <w:t>(66)</w:t>
            </w:r>
          </w:p>
        </w:tc>
        <w:tc>
          <w:tcPr>
            <w:tcW w:w="0" w:type="auto"/>
            <w:shd w:val="clear" w:color="auto" w:fill="FFFFFF"/>
            <w:tcMar>
              <w:top w:w="40" w:type="dxa"/>
              <w:left w:w="0" w:type="dxa"/>
              <w:bottom w:w="40" w:type="dxa"/>
              <w:right w:w="20" w:type="dxa"/>
            </w:tcMar>
            <w:vAlign w:val="bottom"/>
          </w:tcPr>
          <w:p w14:paraId="5F2D4B05" w14:textId="77777777" w:rsidR="00E836FB" w:rsidRDefault="00E836FB">
            <w:pPr>
              <w:jc w:val="right"/>
              <w:rPr>
                <w:rFonts w:ascii="宋体"/>
              </w:rPr>
            </w:pPr>
          </w:p>
        </w:tc>
      </w:tr>
      <w:tr w:rsidR="00E836FB" w14:paraId="5F2D4B13" w14:textId="77777777">
        <w:tc>
          <w:tcPr>
            <w:tcW w:w="0" w:type="auto"/>
            <w:gridSpan w:val="3"/>
            <w:shd w:val="clear" w:color="auto" w:fill="CCEEFF"/>
            <w:tcMar>
              <w:top w:w="40" w:type="dxa"/>
              <w:left w:w="20" w:type="dxa"/>
              <w:bottom w:w="40" w:type="dxa"/>
              <w:right w:w="20" w:type="dxa"/>
            </w:tcMar>
            <w:vAlign w:val="bottom"/>
          </w:tcPr>
          <w:p w14:paraId="5F2D4B07" w14:textId="77777777" w:rsidR="00E836FB" w:rsidRDefault="00994958">
            <w:pPr>
              <w:textAlignment w:val="bottom"/>
            </w:pPr>
            <w:r>
              <w:rPr>
                <w:rFonts w:ascii="Arial" w:eastAsia="宋体" w:hAnsi="Arial" w:cs="Arial"/>
                <w:color w:val="000000"/>
                <w:sz w:val="14"/>
                <w:szCs w:val="14"/>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B0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B09" w14:textId="77777777" w:rsidR="00E836FB" w:rsidRDefault="00994958">
            <w:pPr>
              <w:jc w:val="right"/>
              <w:textAlignment w:val="bottom"/>
            </w:pPr>
            <w:r>
              <w:rPr>
                <w:rFonts w:ascii="Arial" w:eastAsia="宋体" w:hAnsi="Arial" w:cs="Arial"/>
                <w:b/>
                <w:bCs/>
                <w:color w:val="000000"/>
                <w:sz w:val="14"/>
                <w:szCs w:val="14"/>
              </w:rPr>
              <w:t>689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B0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0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B0C"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B0D" w14:textId="77777777" w:rsidR="00E836FB" w:rsidRDefault="00994958">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B0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0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B1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B11" w14:textId="77777777" w:rsidR="00E836FB" w:rsidRDefault="00994958">
            <w:pPr>
              <w:jc w:val="right"/>
              <w:textAlignment w:val="bottom"/>
            </w:pPr>
            <w:r>
              <w:rPr>
                <w:rFonts w:ascii="Arial" w:eastAsia="宋体" w:hAnsi="Arial" w:cs="Arial"/>
                <w:b/>
                <w:bCs/>
                <w:color w:val="000000"/>
                <w:sz w:val="14"/>
                <w:szCs w:val="14"/>
              </w:rPr>
              <w:t>853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B12" w14:textId="77777777" w:rsidR="00E836FB" w:rsidRDefault="00E836FB">
            <w:pPr>
              <w:jc w:val="right"/>
              <w:rPr>
                <w:rFonts w:ascii="宋体"/>
              </w:rPr>
            </w:pPr>
          </w:p>
        </w:tc>
      </w:tr>
    </w:tbl>
    <w:p w14:paraId="5F2D4B14"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details related to remaining lease terms and discount rate as of December 31, 2021 and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890"/>
        <w:gridCol w:w="36"/>
        <w:gridCol w:w="37"/>
        <w:gridCol w:w="1950"/>
        <w:gridCol w:w="145"/>
        <w:gridCol w:w="36"/>
        <w:gridCol w:w="36"/>
        <w:gridCol w:w="36"/>
        <w:gridCol w:w="37"/>
        <w:gridCol w:w="1951"/>
        <w:gridCol w:w="145"/>
      </w:tblGrid>
      <w:tr w:rsidR="00E836FB" w14:paraId="5F2D4B21" w14:textId="77777777">
        <w:trPr>
          <w:jc w:val="center"/>
        </w:trPr>
        <w:tc>
          <w:tcPr>
            <w:tcW w:w="50" w:type="pct"/>
            <w:shd w:val="clear" w:color="auto" w:fill="auto"/>
            <w:vAlign w:val="bottom"/>
          </w:tcPr>
          <w:p w14:paraId="5F2D4B15" w14:textId="77777777" w:rsidR="00E836FB" w:rsidRDefault="00E836FB">
            <w:pPr>
              <w:rPr>
                <w:rFonts w:ascii="宋体"/>
              </w:rPr>
            </w:pPr>
          </w:p>
        </w:tc>
        <w:tc>
          <w:tcPr>
            <w:tcW w:w="2366" w:type="pct"/>
            <w:shd w:val="clear" w:color="auto" w:fill="auto"/>
            <w:vAlign w:val="bottom"/>
          </w:tcPr>
          <w:p w14:paraId="5F2D4B16" w14:textId="77777777" w:rsidR="00E836FB" w:rsidRDefault="00E836FB">
            <w:pPr>
              <w:rPr>
                <w:rFonts w:ascii="宋体"/>
              </w:rPr>
            </w:pPr>
          </w:p>
        </w:tc>
        <w:tc>
          <w:tcPr>
            <w:tcW w:w="5" w:type="pct"/>
            <w:shd w:val="clear" w:color="auto" w:fill="auto"/>
            <w:vAlign w:val="bottom"/>
          </w:tcPr>
          <w:p w14:paraId="5F2D4B17" w14:textId="77777777" w:rsidR="00E836FB" w:rsidRDefault="00E836FB">
            <w:pPr>
              <w:rPr>
                <w:rFonts w:ascii="宋体"/>
              </w:rPr>
            </w:pPr>
          </w:p>
        </w:tc>
        <w:tc>
          <w:tcPr>
            <w:tcW w:w="50" w:type="pct"/>
            <w:shd w:val="clear" w:color="auto" w:fill="auto"/>
            <w:vAlign w:val="bottom"/>
          </w:tcPr>
          <w:p w14:paraId="5F2D4B18" w14:textId="77777777" w:rsidR="00E836FB" w:rsidRDefault="00E836FB">
            <w:pPr>
              <w:rPr>
                <w:rFonts w:ascii="宋体"/>
              </w:rPr>
            </w:pPr>
          </w:p>
        </w:tc>
        <w:tc>
          <w:tcPr>
            <w:tcW w:w="1202" w:type="pct"/>
            <w:shd w:val="clear" w:color="auto" w:fill="auto"/>
            <w:vAlign w:val="bottom"/>
          </w:tcPr>
          <w:p w14:paraId="5F2D4B19" w14:textId="77777777" w:rsidR="00E836FB" w:rsidRDefault="00E836FB">
            <w:pPr>
              <w:rPr>
                <w:rFonts w:ascii="宋体"/>
              </w:rPr>
            </w:pPr>
          </w:p>
        </w:tc>
        <w:tc>
          <w:tcPr>
            <w:tcW w:w="5" w:type="pct"/>
            <w:shd w:val="clear" w:color="auto" w:fill="auto"/>
            <w:vAlign w:val="bottom"/>
          </w:tcPr>
          <w:p w14:paraId="5F2D4B1A" w14:textId="77777777" w:rsidR="00E836FB" w:rsidRDefault="00E836FB">
            <w:pPr>
              <w:rPr>
                <w:rFonts w:ascii="宋体"/>
              </w:rPr>
            </w:pPr>
          </w:p>
        </w:tc>
        <w:tc>
          <w:tcPr>
            <w:tcW w:w="5" w:type="pct"/>
            <w:shd w:val="clear" w:color="auto" w:fill="auto"/>
            <w:vAlign w:val="bottom"/>
          </w:tcPr>
          <w:p w14:paraId="5F2D4B1B" w14:textId="77777777" w:rsidR="00E836FB" w:rsidRDefault="00E836FB">
            <w:pPr>
              <w:rPr>
                <w:rFonts w:ascii="宋体"/>
              </w:rPr>
            </w:pPr>
          </w:p>
        </w:tc>
        <w:tc>
          <w:tcPr>
            <w:tcW w:w="52" w:type="pct"/>
            <w:shd w:val="clear" w:color="auto" w:fill="auto"/>
            <w:vAlign w:val="bottom"/>
          </w:tcPr>
          <w:p w14:paraId="5F2D4B1C" w14:textId="77777777" w:rsidR="00E836FB" w:rsidRDefault="00E836FB">
            <w:pPr>
              <w:rPr>
                <w:rFonts w:ascii="宋体"/>
              </w:rPr>
            </w:pPr>
          </w:p>
        </w:tc>
        <w:tc>
          <w:tcPr>
            <w:tcW w:w="5" w:type="pct"/>
            <w:shd w:val="clear" w:color="auto" w:fill="auto"/>
            <w:vAlign w:val="bottom"/>
          </w:tcPr>
          <w:p w14:paraId="5F2D4B1D" w14:textId="77777777" w:rsidR="00E836FB" w:rsidRDefault="00E836FB">
            <w:pPr>
              <w:rPr>
                <w:rFonts w:ascii="宋体"/>
              </w:rPr>
            </w:pPr>
          </w:p>
        </w:tc>
        <w:tc>
          <w:tcPr>
            <w:tcW w:w="50" w:type="pct"/>
            <w:shd w:val="clear" w:color="auto" w:fill="auto"/>
            <w:vAlign w:val="bottom"/>
          </w:tcPr>
          <w:p w14:paraId="5F2D4B1E" w14:textId="77777777" w:rsidR="00E836FB" w:rsidRDefault="00E836FB">
            <w:pPr>
              <w:rPr>
                <w:rFonts w:ascii="宋体"/>
              </w:rPr>
            </w:pPr>
          </w:p>
        </w:tc>
        <w:tc>
          <w:tcPr>
            <w:tcW w:w="1202" w:type="pct"/>
            <w:shd w:val="clear" w:color="auto" w:fill="auto"/>
            <w:vAlign w:val="bottom"/>
          </w:tcPr>
          <w:p w14:paraId="5F2D4B1F" w14:textId="77777777" w:rsidR="00E836FB" w:rsidRDefault="00E836FB">
            <w:pPr>
              <w:rPr>
                <w:rFonts w:ascii="宋体"/>
              </w:rPr>
            </w:pPr>
          </w:p>
        </w:tc>
        <w:tc>
          <w:tcPr>
            <w:tcW w:w="5" w:type="pct"/>
            <w:shd w:val="clear" w:color="auto" w:fill="auto"/>
            <w:vAlign w:val="bottom"/>
          </w:tcPr>
          <w:p w14:paraId="5F2D4B20" w14:textId="77777777" w:rsidR="00E836FB" w:rsidRDefault="00E836FB">
            <w:pPr>
              <w:rPr>
                <w:rFonts w:ascii="宋体"/>
              </w:rPr>
            </w:pPr>
          </w:p>
        </w:tc>
      </w:tr>
      <w:tr w:rsidR="00E836FB" w14:paraId="5F2D4B26" w14:textId="77777777">
        <w:trPr>
          <w:jc w:val="center"/>
        </w:trPr>
        <w:tc>
          <w:tcPr>
            <w:tcW w:w="0" w:type="auto"/>
            <w:gridSpan w:val="3"/>
            <w:shd w:val="clear" w:color="auto" w:fill="auto"/>
            <w:tcMar>
              <w:top w:w="0" w:type="dxa"/>
              <w:left w:w="20" w:type="dxa"/>
              <w:bottom w:w="0" w:type="dxa"/>
              <w:right w:w="20" w:type="dxa"/>
            </w:tcMar>
            <w:vAlign w:val="bottom"/>
          </w:tcPr>
          <w:p w14:paraId="5F2D4B2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B23" w14:textId="77777777" w:rsidR="00E836FB" w:rsidRDefault="00994958">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5F2D4B2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B25" w14:textId="77777777" w:rsidR="00E836FB" w:rsidRDefault="00994958">
            <w:pPr>
              <w:jc w:val="center"/>
              <w:textAlignment w:val="bottom"/>
            </w:pPr>
            <w:r>
              <w:rPr>
                <w:rFonts w:ascii="Arial" w:eastAsia="宋体" w:hAnsi="Arial" w:cs="Arial"/>
                <w:b/>
                <w:bCs/>
                <w:color w:val="000000"/>
                <w:sz w:val="14"/>
                <w:szCs w:val="14"/>
              </w:rPr>
              <w:t>December 31, 2020</w:t>
            </w:r>
          </w:p>
        </w:tc>
      </w:tr>
      <w:tr w:rsidR="00E836FB" w14:paraId="5F2D4B2B" w14:textId="77777777">
        <w:trPr>
          <w:jc w:val="center"/>
        </w:trPr>
        <w:tc>
          <w:tcPr>
            <w:tcW w:w="0" w:type="auto"/>
            <w:gridSpan w:val="3"/>
            <w:shd w:val="clear" w:color="auto" w:fill="auto"/>
            <w:tcMar>
              <w:top w:w="40" w:type="dxa"/>
              <w:left w:w="20" w:type="dxa"/>
              <w:bottom w:w="40" w:type="dxa"/>
              <w:right w:w="20" w:type="dxa"/>
            </w:tcMar>
            <w:vAlign w:val="bottom"/>
          </w:tcPr>
          <w:p w14:paraId="5F2D4B27" w14:textId="77777777" w:rsidR="00E836FB" w:rsidRDefault="00994958">
            <w:pPr>
              <w:textAlignment w:val="bottom"/>
            </w:pPr>
            <w:r>
              <w:rPr>
                <w:rFonts w:ascii="Arial" w:eastAsia="宋体" w:hAnsi="Arial" w:cs="Arial"/>
                <w:b/>
                <w:bCs/>
                <w:color w:val="000000"/>
                <w:sz w:val="14"/>
                <w:szCs w:val="14"/>
              </w:rPr>
              <w:t>Weighted-average remaining lease term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B2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B2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B2A" w14:textId="77777777" w:rsidR="00E836FB" w:rsidRDefault="00E836FB">
            <w:pPr>
              <w:rPr>
                <w:rFonts w:ascii="宋体"/>
              </w:rPr>
            </w:pPr>
          </w:p>
        </w:tc>
      </w:tr>
      <w:tr w:rsidR="00E836FB" w14:paraId="5F2D4B30" w14:textId="77777777">
        <w:trPr>
          <w:jc w:val="center"/>
        </w:trPr>
        <w:tc>
          <w:tcPr>
            <w:tcW w:w="0" w:type="auto"/>
            <w:gridSpan w:val="3"/>
            <w:shd w:val="clear" w:color="auto" w:fill="CCEEFF"/>
            <w:tcMar>
              <w:top w:w="40" w:type="dxa"/>
              <w:left w:w="20" w:type="dxa"/>
              <w:bottom w:w="40" w:type="dxa"/>
              <w:right w:w="20" w:type="dxa"/>
            </w:tcMar>
            <w:vAlign w:val="bottom"/>
          </w:tcPr>
          <w:p w14:paraId="5F2D4B2C" w14:textId="77777777" w:rsidR="00E836FB" w:rsidRDefault="00994958">
            <w:pPr>
              <w:textAlignment w:val="bottom"/>
            </w:pPr>
            <w:r>
              <w:rPr>
                <w:rFonts w:ascii="Arial" w:eastAsia="宋体" w:hAnsi="Arial" w:cs="Arial"/>
                <w:color w:val="000000"/>
                <w:sz w:val="14"/>
                <w:szCs w:val="14"/>
              </w:rPr>
              <w:t>     Finance leases</w:t>
            </w:r>
          </w:p>
        </w:tc>
        <w:tc>
          <w:tcPr>
            <w:tcW w:w="0" w:type="auto"/>
            <w:gridSpan w:val="3"/>
            <w:shd w:val="clear" w:color="auto" w:fill="CCEEFF"/>
            <w:tcMar>
              <w:top w:w="40" w:type="dxa"/>
              <w:left w:w="20" w:type="dxa"/>
              <w:bottom w:w="40" w:type="dxa"/>
              <w:right w:w="20" w:type="dxa"/>
            </w:tcMar>
            <w:vAlign w:val="bottom"/>
          </w:tcPr>
          <w:p w14:paraId="5F2D4B2D" w14:textId="77777777" w:rsidR="00E836FB" w:rsidRDefault="00994958">
            <w:pPr>
              <w:jc w:val="right"/>
              <w:textAlignment w:val="bottom"/>
            </w:pPr>
            <w:r>
              <w:rPr>
                <w:rFonts w:ascii="Arial" w:eastAsia="宋体" w:hAnsi="Arial" w:cs="Arial"/>
                <w:b/>
                <w:bCs/>
                <w:color w:val="000000"/>
                <w:sz w:val="14"/>
                <w:szCs w:val="14"/>
              </w:rPr>
              <w:t>2.6</w:t>
            </w:r>
          </w:p>
        </w:tc>
        <w:tc>
          <w:tcPr>
            <w:tcW w:w="0" w:type="auto"/>
            <w:gridSpan w:val="3"/>
            <w:shd w:val="clear" w:color="auto" w:fill="CCEEFF"/>
            <w:tcMar>
              <w:top w:w="0" w:type="dxa"/>
              <w:left w:w="20" w:type="dxa"/>
              <w:bottom w:w="0" w:type="dxa"/>
              <w:right w:w="20" w:type="dxa"/>
            </w:tcMar>
            <w:vAlign w:val="bottom"/>
          </w:tcPr>
          <w:p w14:paraId="5F2D4B2E"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bottom"/>
          </w:tcPr>
          <w:p w14:paraId="5F2D4B2F" w14:textId="77777777" w:rsidR="00E836FB" w:rsidRDefault="00994958">
            <w:pPr>
              <w:jc w:val="right"/>
              <w:textAlignment w:val="bottom"/>
            </w:pPr>
            <w:r>
              <w:rPr>
                <w:rFonts w:ascii="Arial" w:eastAsia="宋体" w:hAnsi="Arial" w:cs="Arial"/>
                <w:color w:val="000000"/>
                <w:sz w:val="14"/>
                <w:szCs w:val="14"/>
              </w:rPr>
              <w:t>2.7</w:t>
            </w:r>
          </w:p>
        </w:tc>
      </w:tr>
      <w:tr w:rsidR="00E836FB" w14:paraId="5F2D4B35" w14:textId="77777777">
        <w:trPr>
          <w:jc w:val="center"/>
        </w:trPr>
        <w:tc>
          <w:tcPr>
            <w:tcW w:w="0" w:type="auto"/>
            <w:gridSpan w:val="3"/>
            <w:shd w:val="clear" w:color="auto" w:fill="FFFFFF"/>
            <w:tcMar>
              <w:top w:w="40" w:type="dxa"/>
              <w:left w:w="20" w:type="dxa"/>
              <w:bottom w:w="40" w:type="dxa"/>
              <w:right w:w="20" w:type="dxa"/>
            </w:tcMar>
            <w:vAlign w:val="bottom"/>
          </w:tcPr>
          <w:p w14:paraId="5F2D4B31" w14:textId="77777777" w:rsidR="00E836FB" w:rsidRDefault="00994958">
            <w:pPr>
              <w:textAlignment w:val="bottom"/>
            </w:pPr>
            <w:r>
              <w:rPr>
                <w:rFonts w:ascii="Arial" w:eastAsia="宋体" w:hAnsi="Arial" w:cs="Arial"/>
                <w:color w:val="000000"/>
                <w:sz w:val="14"/>
                <w:szCs w:val="14"/>
              </w:rPr>
              <w:t>     Operating leases</w:t>
            </w:r>
          </w:p>
        </w:tc>
        <w:tc>
          <w:tcPr>
            <w:tcW w:w="0" w:type="auto"/>
            <w:gridSpan w:val="3"/>
            <w:shd w:val="clear" w:color="auto" w:fill="FFFFFF"/>
            <w:tcMar>
              <w:top w:w="40" w:type="dxa"/>
              <w:left w:w="20" w:type="dxa"/>
              <w:bottom w:w="40" w:type="dxa"/>
              <w:right w:w="20" w:type="dxa"/>
            </w:tcMar>
            <w:vAlign w:val="bottom"/>
          </w:tcPr>
          <w:p w14:paraId="5F2D4B32" w14:textId="77777777" w:rsidR="00E836FB" w:rsidRDefault="00994958">
            <w:pPr>
              <w:jc w:val="right"/>
              <w:textAlignment w:val="bottom"/>
            </w:pPr>
            <w:r>
              <w:rPr>
                <w:rFonts w:ascii="Arial" w:eastAsia="宋体" w:hAnsi="Arial" w:cs="Arial"/>
                <w:b/>
                <w:bCs/>
                <w:color w:val="000000"/>
                <w:sz w:val="14"/>
                <w:szCs w:val="14"/>
              </w:rPr>
              <w:t>5.8</w:t>
            </w:r>
          </w:p>
        </w:tc>
        <w:tc>
          <w:tcPr>
            <w:tcW w:w="0" w:type="auto"/>
            <w:gridSpan w:val="3"/>
            <w:shd w:val="clear" w:color="auto" w:fill="FFFFFF"/>
            <w:tcMar>
              <w:top w:w="0" w:type="dxa"/>
              <w:left w:w="20" w:type="dxa"/>
              <w:bottom w:w="0" w:type="dxa"/>
              <w:right w:w="20" w:type="dxa"/>
            </w:tcMar>
            <w:vAlign w:val="bottom"/>
          </w:tcPr>
          <w:p w14:paraId="5F2D4B3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4B34" w14:textId="77777777" w:rsidR="00E836FB" w:rsidRDefault="00994958">
            <w:pPr>
              <w:jc w:val="right"/>
              <w:textAlignment w:val="bottom"/>
            </w:pPr>
            <w:r>
              <w:rPr>
                <w:rFonts w:ascii="Arial" w:eastAsia="宋体" w:hAnsi="Arial" w:cs="Arial"/>
                <w:color w:val="000000"/>
                <w:sz w:val="14"/>
                <w:szCs w:val="14"/>
              </w:rPr>
              <w:t>7.1</w:t>
            </w:r>
          </w:p>
        </w:tc>
      </w:tr>
      <w:tr w:rsidR="00E836FB" w14:paraId="5F2D4B39" w14:textId="77777777">
        <w:trPr>
          <w:jc w:val="center"/>
        </w:trPr>
        <w:tc>
          <w:tcPr>
            <w:tcW w:w="0" w:type="auto"/>
            <w:gridSpan w:val="6"/>
            <w:shd w:val="clear" w:color="auto" w:fill="CCEEFF"/>
            <w:tcMar>
              <w:top w:w="40" w:type="dxa"/>
              <w:left w:w="20" w:type="dxa"/>
              <w:bottom w:w="40" w:type="dxa"/>
              <w:right w:w="20" w:type="dxa"/>
            </w:tcMar>
            <w:vAlign w:val="bottom"/>
          </w:tcPr>
          <w:p w14:paraId="5F2D4B36" w14:textId="77777777" w:rsidR="00E836FB" w:rsidRDefault="00994958">
            <w:pPr>
              <w:textAlignment w:val="bottom"/>
            </w:pPr>
            <w:r>
              <w:rPr>
                <w:rFonts w:ascii="Arial" w:eastAsia="宋体" w:hAnsi="Arial" w:cs="Arial"/>
                <w:b/>
                <w:bCs/>
                <w:color w:val="000000"/>
                <w:sz w:val="14"/>
                <w:szCs w:val="14"/>
              </w:rPr>
              <w:t>Weighted-average discount rate:</w:t>
            </w:r>
          </w:p>
        </w:tc>
        <w:tc>
          <w:tcPr>
            <w:tcW w:w="0" w:type="auto"/>
            <w:gridSpan w:val="3"/>
            <w:shd w:val="clear" w:color="auto" w:fill="CCEEFF"/>
            <w:tcMar>
              <w:top w:w="0" w:type="dxa"/>
              <w:left w:w="20" w:type="dxa"/>
              <w:bottom w:w="0" w:type="dxa"/>
              <w:right w:w="20" w:type="dxa"/>
            </w:tcMar>
            <w:vAlign w:val="bottom"/>
          </w:tcPr>
          <w:p w14:paraId="5F2D4B3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B38" w14:textId="77777777" w:rsidR="00E836FB" w:rsidRDefault="00E836FB">
            <w:pPr>
              <w:rPr>
                <w:rFonts w:ascii="宋体"/>
              </w:rPr>
            </w:pPr>
          </w:p>
        </w:tc>
      </w:tr>
      <w:tr w:rsidR="00E836FB" w14:paraId="5F2D4B40" w14:textId="77777777">
        <w:trPr>
          <w:jc w:val="center"/>
        </w:trPr>
        <w:tc>
          <w:tcPr>
            <w:tcW w:w="0" w:type="auto"/>
            <w:gridSpan w:val="3"/>
            <w:shd w:val="clear" w:color="auto" w:fill="FFFFFF"/>
            <w:tcMar>
              <w:top w:w="40" w:type="dxa"/>
              <w:left w:w="20" w:type="dxa"/>
              <w:bottom w:w="40" w:type="dxa"/>
              <w:right w:w="20" w:type="dxa"/>
            </w:tcMar>
            <w:vAlign w:val="bottom"/>
          </w:tcPr>
          <w:p w14:paraId="5F2D4B3A" w14:textId="77777777" w:rsidR="00E836FB" w:rsidRDefault="00994958">
            <w:pPr>
              <w:textAlignment w:val="bottom"/>
            </w:pPr>
            <w:r>
              <w:rPr>
                <w:rFonts w:ascii="Arial" w:eastAsia="宋体" w:hAnsi="Arial" w:cs="Arial"/>
                <w:color w:val="000000"/>
                <w:sz w:val="14"/>
                <w:szCs w:val="14"/>
              </w:rPr>
              <w:t>     Finance leases</w:t>
            </w:r>
          </w:p>
        </w:tc>
        <w:tc>
          <w:tcPr>
            <w:tcW w:w="0" w:type="auto"/>
            <w:gridSpan w:val="2"/>
            <w:shd w:val="clear" w:color="auto" w:fill="FFFFFF"/>
            <w:tcMar>
              <w:top w:w="40" w:type="dxa"/>
              <w:left w:w="20" w:type="dxa"/>
              <w:bottom w:w="40" w:type="dxa"/>
              <w:right w:w="0" w:type="dxa"/>
            </w:tcMar>
            <w:vAlign w:val="bottom"/>
          </w:tcPr>
          <w:p w14:paraId="5F2D4B3B"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B3C"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F2D4B3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3E" w14:textId="77777777" w:rsidR="00E836FB" w:rsidRDefault="00994958">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F2D4B3F" w14:textId="77777777" w:rsidR="00E836FB" w:rsidRDefault="00994958">
            <w:pPr>
              <w:jc w:val="right"/>
              <w:textAlignment w:val="bottom"/>
            </w:pPr>
            <w:r>
              <w:rPr>
                <w:rFonts w:ascii="Arial" w:eastAsia="宋体" w:hAnsi="Arial" w:cs="Arial"/>
                <w:color w:val="000000"/>
                <w:sz w:val="14"/>
                <w:szCs w:val="14"/>
              </w:rPr>
              <w:t>%</w:t>
            </w:r>
          </w:p>
        </w:tc>
      </w:tr>
      <w:tr w:rsidR="00E836FB" w14:paraId="5F2D4B47" w14:textId="77777777">
        <w:trPr>
          <w:jc w:val="center"/>
        </w:trPr>
        <w:tc>
          <w:tcPr>
            <w:tcW w:w="0" w:type="auto"/>
            <w:gridSpan w:val="3"/>
            <w:shd w:val="clear" w:color="auto" w:fill="CCEEFF"/>
            <w:tcMar>
              <w:top w:w="40" w:type="dxa"/>
              <w:left w:w="20" w:type="dxa"/>
              <w:bottom w:w="40" w:type="dxa"/>
              <w:right w:w="20" w:type="dxa"/>
            </w:tcMar>
            <w:vAlign w:val="bottom"/>
          </w:tcPr>
          <w:p w14:paraId="5F2D4B41" w14:textId="77777777" w:rsidR="00E836FB" w:rsidRDefault="00994958">
            <w:pPr>
              <w:textAlignment w:val="bottom"/>
            </w:pPr>
            <w:r>
              <w:rPr>
                <w:rFonts w:ascii="Arial" w:eastAsia="宋体" w:hAnsi="Arial" w:cs="Arial"/>
                <w:color w:val="000000"/>
                <w:sz w:val="14"/>
                <w:szCs w:val="14"/>
              </w:rPr>
              <w:t>     Operating leases</w:t>
            </w:r>
          </w:p>
        </w:tc>
        <w:tc>
          <w:tcPr>
            <w:tcW w:w="0" w:type="auto"/>
            <w:gridSpan w:val="2"/>
            <w:shd w:val="clear" w:color="auto" w:fill="CCEEFF"/>
            <w:tcMar>
              <w:top w:w="40" w:type="dxa"/>
              <w:left w:w="20" w:type="dxa"/>
              <w:bottom w:w="40" w:type="dxa"/>
              <w:right w:w="0" w:type="dxa"/>
            </w:tcMar>
            <w:vAlign w:val="bottom"/>
          </w:tcPr>
          <w:p w14:paraId="5F2D4B42"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B43"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4B4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B45"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F2D4B46" w14:textId="77777777" w:rsidR="00E836FB" w:rsidRDefault="00994958">
            <w:pPr>
              <w:jc w:val="right"/>
              <w:textAlignment w:val="bottom"/>
            </w:pPr>
            <w:r>
              <w:rPr>
                <w:rFonts w:ascii="Arial" w:eastAsia="宋体" w:hAnsi="Arial" w:cs="Arial"/>
                <w:color w:val="000000"/>
                <w:sz w:val="14"/>
                <w:szCs w:val="14"/>
              </w:rPr>
              <w:t>%</w:t>
            </w:r>
          </w:p>
        </w:tc>
      </w:tr>
    </w:tbl>
    <w:p w14:paraId="5F2D4B48" w14:textId="77777777" w:rsidR="00E836FB" w:rsidRDefault="00994958">
      <w:pPr>
        <w:ind w:firstLine="450"/>
        <w:jc w:val="right"/>
      </w:pPr>
      <w:r>
        <w:rPr>
          <w:rFonts w:ascii="Arial" w:eastAsia="宋体" w:hAnsi="Arial" w:cs="Arial"/>
          <w:color w:val="000000"/>
          <w:sz w:val="18"/>
          <w:szCs w:val="18"/>
        </w:rPr>
        <w:t>State Street Corporation | 176</w:t>
      </w:r>
    </w:p>
    <w:p w14:paraId="5F2D4B49" w14:textId="77777777" w:rsidR="00E836FB" w:rsidRDefault="00E836FB">
      <w:pPr>
        <w:ind w:firstLine="450"/>
        <w:jc w:val="center"/>
      </w:pPr>
    </w:p>
    <w:p w14:paraId="5F2D4B4A" w14:textId="77777777" w:rsidR="00E836FB" w:rsidRDefault="00994958">
      <w:r>
        <w:pict w14:anchorId="5F2D6E35">
          <v:rect id="_x0000_i1200" style="width:415.3pt;height:1.5pt" o:hralign="center" o:hrstd="t" o:hr="t" fillcolor="#a0a0a0" stroked="f"/>
        </w:pict>
      </w:r>
    </w:p>
    <w:p w14:paraId="5F2D4B4B" w14:textId="77777777" w:rsidR="00E836FB" w:rsidRDefault="00994958">
      <w:pPr>
        <w:ind w:firstLine="450"/>
        <w:jc w:val="center"/>
      </w:pPr>
      <w:r>
        <w:rPr>
          <w:rFonts w:ascii="Arial" w:eastAsia="宋体" w:hAnsi="Arial" w:cs="Arial"/>
          <w:b/>
          <w:bCs/>
          <w:color w:val="000000"/>
          <w:sz w:val="20"/>
          <w:szCs w:val="20"/>
        </w:rPr>
        <w:t>STATE STREET CORPORATION</w:t>
      </w:r>
    </w:p>
    <w:p w14:paraId="5F2D4B4C"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B4D" w14:textId="77777777" w:rsidR="00E836FB" w:rsidRDefault="00994958">
      <w:pPr>
        <w:spacing w:before="180"/>
        <w:jc w:val="both"/>
        <w:textAlignment w:val="top"/>
      </w:pPr>
      <w:r>
        <w:rPr>
          <w:rFonts w:ascii="Arial" w:eastAsia="宋体" w:hAnsi="Arial" w:cs="Arial"/>
          <w:b/>
          <w:bCs/>
          <w:color w:val="000000"/>
          <w:sz w:val="20"/>
          <w:szCs w:val="20"/>
        </w:rPr>
        <w:t>Note 21.    Expenses</w:t>
      </w:r>
    </w:p>
    <w:p w14:paraId="5F2D4B4E" w14:textId="77777777" w:rsidR="00E836FB" w:rsidRDefault="00994958">
      <w:pPr>
        <w:spacing w:before="60" w:after="120"/>
        <w:ind w:firstLine="450"/>
        <w:jc w:val="both"/>
        <w:textAlignment w:val="top"/>
      </w:pPr>
      <w:r>
        <w:rPr>
          <w:rFonts w:ascii="Arial" w:eastAsia="宋体" w:hAnsi="Arial" w:cs="Arial"/>
          <w:color w:val="000000"/>
          <w:sz w:val="20"/>
          <w:szCs w:val="20"/>
        </w:rPr>
        <w:t xml:space="preserve">The following table presents the components of other expenses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43"/>
        <w:gridCol w:w="3728"/>
        <w:gridCol w:w="37"/>
        <w:gridCol w:w="36"/>
        <w:gridCol w:w="36"/>
        <w:gridCol w:w="36"/>
        <w:gridCol w:w="98"/>
        <w:gridCol w:w="1242"/>
        <w:gridCol w:w="36"/>
        <w:gridCol w:w="36"/>
        <w:gridCol w:w="74"/>
        <w:gridCol w:w="36"/>
        <w:gridCol w:w="98"/>
        <w:gridCol w:w="1242"/>
        <w:gridCol w:w="36"/>
        <w:gridCol w:w="36"/>
        <w:gridCol w:w="74"/>
        <w:gridCol w:w="36"/>
        <w:gridCol w:w="98"/>
        <w:gridCol w:w="1242"/>
        <w:gridCol w:w="36"/>
      </w:tblGrid>
      <w:tr w:rsidR="00E836FB" w14:paraId="5F2D4B64" w14:textId="77777777">
        <w:tc>
          <w:tcPr>
            <w:tcW w:w="50" w:type="pct"/>
            <w:shd w:val="clear" w:color="auto" w:fill="auto"/>
            <w:vAlign w:val="bottom"/>
          </w:tcPr>
          <w:p w14:paraId="5F2D4B4F" w14:textId="77777777" w:rsidR="00E836FB" w:rsidRDefault="00E836FB">
            <w:pPr>
              <w:rPr>
                <w:rFonts w:ascii="宋体"/>
              </w:rPr>
            </w:pPr>
          </w:p>
        </w:tc>
        <w:tc>
          <w:tcPr>
            <w:tcW w:w="2287" w:type="pct"/>
            <w:shd w:val="clear" w:color="auto" w:fill="auto"/>
            <w:vAlign w:val="bottom"/>
          </w:tcPr>
          <w:p w14:paraId="5F2D4B50" w14:textId="77777777" w:rsidR="00E836FB" w:rsidRDefault="00E836FB">
            <w:pPr>
              <w:rPr>
                <w:rFonts w:ascii="宋体"/>
              </w:rPr>
            </w:pPr>
          </w:p>
        </w:tc>
        <w:tc>
          <w:tcPr>
            <w:tcW w:w="5" w:type="pct"/>
            <w:shd w:val="clear" w:color="auto" w:fill="auto"/>
            <w:vAlign w:val="bottom"/>
          </w:tcPr>
          <w:p w14:paraId="5F2D4B51" w14:textId="77777777" w:rsidR="00E836FB" w:rsidRDefault="00E836FB">
            <w:pPr>
              <w:rPr>
                <w:rFonts w:ascii="宋体"/>
              </w:rPr>
            </w:pPr>
          </w:p>
        </w:tc>
        <w:tc>
          <w:tcPr>
            <w:tcW w:w="0" w:type="auto"/>
            <w:shd w:val="clear" w:color="auto" w:fill="auto"/>
            <w:vAlign w:val="bottom"/>
          </w:tcPr>
          <w:p w14:paraId="5F2D4B52" w14:textId="77777777" w:rsidR="00E836FB" w:rsidRDefault="00E836FB">
            <w:pPr>
              <w:rPr>
                <w:rFonts w:ascii="宋体"/>
                <w:vanish/>
              </w:rPr>
            </w:pPr>
          </w:p>
        </w:tc>
        <w:tc>
          <w:tcPr>
            <w:tcW w:w="0" w:type="auto"/>
            <w:shd w:val="clear" w:color="auto" w:fill="auto"/>
            <w:vAlign w:val="bottom"/>
          </w:tcPr>
          <w:p w14:paraId="5F2D4B53" w14:textId="77777777" w:rsidR="00E836FB" w:rsidRDefault="00E836FB">
            <w:pPr>
              <w:rPr>
                <w:rFonts w:ascii="宋体"/>
                <w:vanish/>
              </w:rPr>
            </w:pPr>
          </w:p>
        </w:tc>
        <w:tc>
          <w:tcPr>
            <w:tcW w:w="0" w:type="auto"/>
            <w:shd w:val="clear" w:color="auto" w:fill="auto"/>
            <w:vAlign w:val="bottom"/>
          </w:tcPr>
          <w:p w14:paraId="5F2D4B54" w14:textId="77777777" w:rsidR="00E836FB" w:rsidRDefault="00E836FB">
            <w:pPr>
              <w:rPr>
                <w:rFonts w:ascii="宋体"/>
                <w:vanish/>
              </w:rPr>
            </w:pPr>
          </w:p>
        </w:tc>
        <w:tc>
          <w:tcPr>
            <w:tcW w:w="50" w:type="pct"/>
            <w:shd w:val="clear" w:color="auto" w:fill="auto"/>
            <w:vAlign w:val="bottom"/>
          </w:tcPr>
          <w:p w14:paraId="5F2D4B55" w14:textId="77777777" w:rsidR="00E836FB" w:rsidRDefault="00E836FB">
            <w:pPr>
              <w:rPr>
                <w:rFonts w:ascii="宋体"/>
              </w:rPr>
            </w:pPr>
          </w:p>
        </w:tc>
        <w:tc>
          <w:tcPr>
            <w:tcW w:w="778" w:type="pct"/>
            <w:shd w:val="clear" w:color="auto" w:fill="auto"/>
            <w:vAlign w:val="bottom"/>
          </w:tcPr>
          <w:p w14:paraId="5F2D4B56" w14:textId="77777777" w:rsidR="00E836FB" w:rsidRDefault="00E836FB">
            <w:pPr>
              <w:rPr>
                <w:rFonts w:ascii="宋体"/>
              </w:rPr>
            </w:pPr>
          </w:p>
        </w:tc>
        <w:tc>
          <w:tcPr>
            <w:tcW w:w="5" w:type="pct"/>
            <w:shd w:val="clear" w:color="auto" w:fill="auto"/>
            <w:vAlign w:val="bottom"/>
          </w:tcPr>
          <w:p w14:paraId="5F2D4B57" w14:textId="77777777" w:rsidR="00E836FB" w:rsidRDefault="00E836FB">
            <w:pPr>
              <w:rPr>
                <w:rFonts w:ascii="宋体"/>
              </w:rPr>
            </w:pPr>
          </w:p>
        </w:tc>
        <w:tc>
          <w:tcPr>
            <w:tcW w:w="5" w:type="pct"/>
            <w:shd w:val="clear" w:color="auto" w:fill="auto"/>
            <w:vAlign w:val="bottom"/>
          </w:tcPr>
          <w:p w14:paraId="5F2D4B58" w14:textId="77777777" w:rsidR="00E836FB" w:rsidRDefault="00E836FB">
            <w:pPr>
              <w:rPr>
                <w:rFonts w:ascii="宋体"/>
              </w:rPr>
            </w:pPr>
          </w:p>
        </w:tc>
        <w:tc>
          <w:tcPr>
            <w:tcW w:w="68" w:type="pct"/>
            <w:shd w:val="clear" w:color="auto" w:fill="auto"/>
            <w:vAlign w:val="bottom"/>
          </w:tcPr>
          <w:p w14:paraId="5F2D4B59" w14:textId="77777777" w:rsidR="00E836FB" w:rsidRDefault="00E836FB">
            <w:pPr>
              <w:rPr>
                <w:rFonts w:ascii="宋体"/>
              </w:rPr>
            </w:pPr>
          </w:p>
        </w:tc>
        <w:tc>
          <w:tcPr>
            <w:tcW w:w="5" w:type="pct"/>
            <w:shd w:val="clear" w:color="auto" w:fill="auto"/>
            <w:vAlign w:val="bottom"/>
          </w:tcPr>
          <w:p w14:paraId="5F2D4B5A" w14:textId="77777777" w:rsidR="00E836FB" w:rsidRDefault="00E836FB">
            <w:pPr>
              <w:rPr>
                <w:rFonts w:ascii="宋体"/>
              </w:rPr>
            </w:pPr>
          </w:p>
        </w:tc>
        <w:tc>
          <w:tcPr>
            <w:tcW w:w="50" w:type="pct"/>
            <w:shd w:val="clear" w:color="auto" w:fill="auto"/>
            <w:vAlign w:val="bottom"/>
          </w:tcPr>
          <w:p w14:paraId="5F2D4B5B" w14:textId="77777777" w:rsidR="00E836FB" w:rsidRDefault="00E836FB">
            <w:pPr>
              <w:rPr>
                <w:rFonts w:ascii="宋体"/>
              </w:rPr>
            </w:pPr>
          </w:p>
        </w:tc>
        <w:tc>
          <w:tcPr>
            <w:tcW w:w="778" w:type="pct"/>
            <w:shd w:val="clear" w:color="auto" w:fill="auto"/>
            <w:vAlign w:val="bottom"/>
          </w:tcPr>
          <w:p w14:paraId="5F2D4B5C" w14:textId="77777777" w:rsidR="00E836FB" w:rsidRDefault="00E836FB">
            <w:pPr>
              <w:rPr>
                <w:rFonts w:ascii="宋体"/>
              </w:rPr>
            </w:pPr>
          </w:p>
        </w:tc>
        <w:tc>
          <w:tcPr>
            <w:tcW w:w="5" w:type="pct"/>
            <w:shd w:val="clear" w:color="auto" w:fill="auto"/>
            <w:vAlign w:val="bottom"/>
          </w:tcPr>
          <w:p w14:paraId="5F2D4B5D" w14:textId="77777777" w:rsidR="00E836FB" w:rsidRDefault="00E836FB">
            <w:pPr>
              <w:rPr>
                <w:rFonts w:ascii="宋体"/>
              </w:rPr>
            </w:pPr>
          </w:p>
        </w:tc>
        <w:tc>
          <w:tcPr>
            <w:tcW w:w="5" w:type="pct"/>
            <w:shd w:val="clear" w:color="auto" w:fill="auto"/>
            <w:vAlign w:val="bottom"/>
          </w:tcPr>
          <w:p w14:paraId="5F2D4B5E" w14:textId="77777777" w:rsidR="00E836FB" w:rsidRDefault="00E836FB">
            <w:pPr>
              <w:rPr>
                <w:rFonts w:ascii="宋体"/>
              </w:rPr>
            </w:pPr>
          </w:p>
        </w:tc>
        <w:tc>
          <w:tcPr>
            <w:tcW w:w="68" w:type="pct"/>
            <w:shd w:val="clear" w:color="auto" w:fill="auto"/>
            <w:vAlign w:val="bottom"/>
          </w:tcPr>
          <w:p w14:paraId="5F2D4B5F" w14:textId="77777777" w:rsidR="00E836FB" w:rsidRDefault="00E836FB">
            <w:pPr>
              <w:rPr>
                <w:rFonts w:ascii="宋体"/>
              </w:rPr>
            </w:pPr>
          </w:p>
        </w:tc>
        <w:tc>
          <w:tcPr>
            <w:tcW w:w="5" w:type="pct"/>
            <w:shd w:val="clear" w:color="auto" w:fill="auto"/>
            <w:vAlign w:val="bottom"/>
          </w:tcPr>
          <w:p w14:paraId="5F2D4B60" w14:textId="77777777" w:rsidR="00E836FB" w:rsidRDefault="00E836FB">
            <w:pPr>
              <w:rPr>
                <w:rFonts w:ascii="宋体"/>
              </w:rPr>
            </w:pPr>
          </w:p>
        </w:tc>
        <w:tc>
          <w:tcPr>
            <w:tcW w:w="50" w:type="pct"/>
            <w:shd w:val="clear" w:color="auto" w:fill="auto"/>
            <w:vAlign w:val="bottom"/>
          </w:tcPr>
          <w:p w14:paraId="5F2D4B61" w14:textId="77777777" w:rsidR="00E836FB" w:rsidRDefault="00E836FB">
            <w:pPr>
              <w:rPr>
                <w:rFonts w:ascii="宋体"/>
              </w:rPr>
            </w:pPr>
          </w:p>
        </w:tc>
        <w:tc>
          <w:tcPr>
            <w:tcW w:w="778" w:type="pct"/>
            <w:shd w:val="clear" w:color="auto" w:fill="auto"/>
            <w:vAlign w:val="bottom"/>
          </w:tcPr>
          <w:p w14:paraId="5F2D4B62" w14:textId="77777777" w:rsidR="00E836FB" w:rsidRDefault="00E836FB">
            <w:pPr>
              <w:rPr>
                <w:rFonts w:ascii="宋体"/>
              </w:rPr>
            </w:pPr>
          </w:p>
        </w:tc>
        <w:tc>
          <w:tcPr>
            <w:tcW w:w="5" w:type="pct"/>
            <w:shd w:val="clear" w:color="auto" w:fill="auto"/>
            <w:vAlign w:val="bottom"/>
          </w:tcPr>
          <w:p w14:paraId="5F2D4B63" w14:textId="77777777" w:rsidR="00E836FB" w:rsidRDefault="00E836FB">
            <w:pPr>
              <w:rPr>
                <w:rFonts w:ascii="宋体"/>
              </w:rPr>
            </w:pPr>
          </w:p>
        </w:tc>
      </w:tr>
      <w:tr w:rsidR="00E836FB" w14:paraId="5F2D4B6C" w14:textId="77777777">
        <w:tc>
          <w:tcPr>
            <w:tcW w:w="0" w:type="auto"/>
            <w:gridSpan w:val="3"/>
            <w:shd w:val="clear" w:color="auto" w:fill="auto"/>
            <w:tcMar>
              <w:top w:w="0" w:type="dxa"/>
              <w:left w:w="20" w:type="dxa"/>
              <w:bottom w:w="0" w:type="dxa"/>
              <w:right w:w="20" w:type="dxa"/>
            </w:tcMar>
            <w:vAlign w:val="bottom"/>
          </w:tcPr>
          <w:p w14:paraId="5F2D4B65" w14:textId="77777777" w:rsidR="00E836FB" w:rsidRDefault="00E836FB">
            <w:pPr>
              <w:rPr>
                <w:rFonts w:ascii="宋体"/>
              </w:rPr>
            </w:pPr>
          </w:p>
        </w:tc>
        <w:tc>
          <w:tcPr>
            <w:tcW w:w="0" w:type="auto"/>
            <w:shd w:val="clear" w:color="auto" w:fill="auto"/>
            <w:vAlign w:val="bottom"/>
          </w:tcPr>
          <w:p w14:paraId="5F2D4B66" w14:textId="77777777" w:rsidR="00E836FB" w:rsidRDefault="00E836FB">
            <w:pPr>
              <w:rPr>
                <w:rFonts w:ascii="宋体"/>
                <w:vanish/>
              </w:rPr>
            </w:pPr>
          </w:p>
        </w:tc>
        <w:tc>
          <w:tcPr>
            <w:tcW w:w="0" w:type="auto"/>
            <w:shd w:val="clear" w:color="auto" w:fill="auto"/>
            <w:vAlign w:val="bottom"/>
          </w:tcPr>
          <w:p w14:paraId="5F2D4B67" w14:textId="77777777" w:rsidR="00E836FB" w:rsidRDefault="00E836FB">
            <w:pPr>
              <w:rPr>
                <w:rFonts w:ascii="宋体"/>
                <w:vanish/>
              </w:rPr>
            </w:pPr>
          </w:p>
        </w:tc>
        <w:tc>
          <w:tcPr>
            <w:tcW w:w="0" w:type="auto"/>
            <w:gridSpan w:val="13"/>
            <w:shd w:val="clear" w:color="auto" w:fill="auto"/>
            <w:tcMar>
              <w:top w:w="40" w:type="dxa"/>
              <w:left w:w="20" w:type="dxa"/>
              <w:bottom w:w="40" w:type="dxa"/>
              <w:right w:w="20" w:type="dxa"/>
            </w:tcMar>
            <w:vAlign w:val="bottom"/>
          </w:tcPr>
          <w:p w14:paraId="5F2D4B68" w14:textId="77777777" w:rsidR="00E836FB" w:rsidRDefault="00994958">
            <w:pPr>
              <w:jc w:val="center"/>
              <w:textAlignment w:val="bottom"/>
            </w:pPr>
            <w:r>
              <w:rPr>
                <w:rFonts w:ascii="Arial" w:eastAsia="宋体" w:hAnsi="Arial" w:cs="Arial"/>
                <w:b/>
                <w:bCs/>
                <w:color w:val="000000"/>
                <w:sz w:val="14"/>
                <w:szCs w:val="14"/>
              </w:rPr>
              <w:t>Years Ended December 31,</w:t>
            </w:r>
          </w:p>
        </w:tc>
        <w:tc>
          <w:tcPr>
            <w:tcW w:w="0" w:type="auto"/>
            <w:shd w:val="clear" w:color="auto" w:fill="auto"/>
            <w:vAlign w:val="bottom"/>
          </w:tcPr>
          <w:p w14:paraId="5F2D4B69" w14:textId="77777777" w:rsidR="00E836FB" w:rsidRDefault="00E836FB">
            <w:pPr>
              <w:rPr>
                <w:rFonts w:ascii="宋体"/>
              </w:rPr>
            </w:pPr>
          </w:p>
        </w:tc>
        <w:tc>
          <w:tcPr>
            <w:tcW w:w="0" w:type="auto"/>
            <w:shd w:val="clear" w:color="auto" w:fill="auto"/>
            <w:vAlign w:val="bottom"/>
          </w:tcPr>
          <w:p w14:paraId="5F2D4B6A" w14:textId="77777777" w:rsidR="00E836FB" w:rsidRDefault="00E836FB">
            <w:pPr>
              <w:rPr>
                <w:rFonts w:ascii="宋体"/>
              </w:rPr>
            </w:pPr>
          </w:p>
        </w:tc>
        <w:tc>
          <w:tcPr>
            <w:tcW w:w="0" w:type="auto"/>
            <w:shd w:val="clear" w:color="auto" w:fill="auto"/>
            <w:vAlign w:val="bottom"/>
          </w:tcPr>
          <w:p w14:paraId="5F2D4B6B" w14:textId="77777777" w:rsidR="00E836FB" w:rsidRDefault="00E836FB">
            <w:pPr>
              <w:rPr>
                <w:rFonts w:ascii="宋体"/>
              </w:rPr>
            </w:pPr>
          </w:p>
        </w:tc>
      </w:tr>
      <w:tr w:rsidR="00E836FB" w14:paraId="5F2D4B76" w14:textId="77777777">
        <w:tc>
          <w:tcPr>
            <w:tcW w:w="0" w:type="auto"/>
            <w:gridSpan w:val="3"/>
            <w:shd w:val="clear" w:color="auto" w:fill="auto"/>
            <w:tcMar>
              <w:top w:w="40" w:type="dxa"/>
              <w:left w:w="20" w:type="dxa"/>
              <w:bottom w:w="40" w:type="dxa"/>
              <w:right w:w="20" w:type="dxa"/>
            </w:tcMar>
            <w:vAlign w:val="bottom"/>
          </w:tcPr>
          <w:p w14:paraId="5F2D4B6D" w14:textId="77777777" w:rsidR="00E836FB" w:rsidRDefault="00994958">
            <w:pPr>
              <w:textAlignment w:val="bottom"/>
            </w:pPr>
            <w:r>
              <w:rPr>
                <w:rFonts w:ascii="Arial" w:eastAsia="宋体" w:hAnsi="Arial" w:cs="Arial"/>
                <w:b/>
                <w:bCs/>
                <w:color w:val="000000"/>
                <w:sz w:val="14"/>
                <w:szCs w:val="14"/>
              </w:rPr>
              <w:t>(In millions)</w:t>
            </w:r>
          </w:p>
        </w:tc>
        <w:tc>
          <w:tcPr>
            <w:tcW w:w="0" w:type="auto"/>
            <w:shd w:val="clear" w:color="auto" w:fill="auto"/>
            <w:vAlign w:val="bottom"/>
          </w:tcPr>
          <w:p w14:paraId="5F2D4B6E" w14:textId="77777777" w:rsidR="00E836FB" w:rsidRDefault="00E836FB">
            <w:pPr>
              <w:rPr>
                <w:rFonts w:ascii="宋体"/>
                <w:vanish/>
              </w:rPr>
            </w:pPr>
          </w:p>
        </w:tc>
        <w:tc>
          <w:tcPr>
            <w:tcW w:w="0" w:type="auto"/>
            <w:shd w:val="clear" w:color="auto" w:fill="auto"/>
            <w:vAlign w:val="bottom"/>
          </w:tcPr>
          <w:p w14:paraId="5F2D4B6F" w14:textId="77777777" w:rsidR="00E836FB" w:rsidRDefault="00E836FB">
            <w:pPr>
              <w:rPr>
                <w:rFonts w:ascii="宋体"/>
                <w:vanish/>
              </w:rPr>
            </w:pPr>
          </w:p>
        </w:tc>
        <w:tc>
          <w:tcPr>
            <w:tcW w:w="0" w:type="auto"/>
            <w:shd w:val="clear" w:color="auto" w:fill="auto"/>
            <w:vAlign w:val="bottom"/>
          </w:tcPr>
          <w:p w14:paraId="5F2D4B70" w14:textId="77777777" w:rsidR="00E836FB" w:rsidRDefault="00E83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B71"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B7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B73"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B7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B75" w14:textId="77777777" w:rsidR="00E836FB" w:rsidRDefault="00994958">
            <w:pPr>
              <w:jc w:val="center"/>
              <w:textAlignment w:val="bottom"/>
            </w:pPr>
            <w:r>
              <w:rPr>
                <w:rFonts w:ascii="Arial" w:eastAsia="宋体" w:hAnsi="Arial" w:cs="Arial"/>
                <w:b/>
                <w:bCs/>
                <w:color w:val="000000"/>
                <w:sz w:val="14"/>
                <w:szCs w:val="14"/>
              </w:rPr>
              <w:t>2019</w:t>
            </w:r>
          </w:p>
        </w:tc>
      </w:tr>
      <w:tr w:rsidR="00E836FB" w14:paraId="5F2D4B86" w14:textId="77777777">
        <w:tc>
          <w:tcPr>
            <w:tcW w:w="0" w:type="auto"/>
            <w:gridSpan w:val="3"/>
            <w:shd w:val="clear" w:color="auto" w:fill="CCEEFF"/>
            <w:tcMar>
              <w:top w:w="40" w:type="dxa"/>
              <w:left w:w="20" w:type="dxa"/>
              <w:bottom w:w="40" w:type="dxa"/>
              <w:right w:w="20" w:type="dxa"/>
            </w:tcMar>
            <w:vAlign w:val="bottom"/>
          </w:tcPr>
          <w:p w14:paraId="5F2D4B77" w14:textId="77777777" w:rsidR="00E836FB" w:rsidRDefault="00994958">
            <w:pPr>
              <w:textAlignment w:val="bottom"/>
            </w:pPr>
            <w:r>
              <w:rPr>
                <w:rFonts w:ascii="Arial" w:eastAsia="宋体" w:hAnsi="Arial" w:cs="Arial"/>
                <w:color w:val="000000"/>
                <w:sz w:val="14"/>
                <w:szCs w:val="14"/>
              </w:rPr>
              <w:t>Professional services</w:t>
            </w:r>
          </w:p>
        </w:tc>
        <w:tc>
          <w:tcPr>
            <w:tcW w:w="0" w:type="auto"/>
            <w:shd w:val="clear" w:color="auto" w:fill="auto"/>
            <w:vAlign w:val="bottom"/>
          </w:tcPr>
          <w:p w14:paraId="5F2D4B78" w14:textId="77777777" w:rsidR="00E836FB" w:rsidRDefault="00E836FB">
            <w:pPr>
              <w:rPr>
                <w:rFonts w:ascii="宋体"/>
                <w:vanish/>
              </w:rPr>
            </w:pPr>
          </w:p>
        </w:tc>
        <w:tc>
          <w:tcPr>
            <w:tcW w:w="0" w:type="auto"/>
            <w:shd w:val="clear" w:color="auto" w:fill="auto"/>
            <w:vAlign w:val="bottom"/>
          </w:tcPr>
          <w:p w14:paraId="5F2D4B79" w14:textId="77777777" w:rsidR="00E836FB" w:rsidRDefault="00E836FB">
            <w:pPr>
              <w:rPr>
                <w:rFonts w:ascii="宋体"/>
                <w:vanish/>
              </w:rPr>
            </w:pPr>
          </w:p>
        </w:tc>
        <w:tc>
          <w:tcPr>
            <w:tcW w:w="0" w:type="auto"/>
            <w:shd w:val="clear" w:color="auto" w:fill="auto"/>
            <w:vAlign w:val="bottom"/>
          </w:tcPr>
          <w:p w14:paraId="5F2D4B7A"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B7B"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B7C" w14:textId="77777777" w:rsidR="00E836FB" w:rsidRDefault="00994958">
            <w:pPr>
              <w:jc w:val="right"/>
              <w:textAlignment w:val="bottom"/>
            </w:pPr>
            <w:r>
              <w:rPr>
                <w:rFonts w:ascii="Arial" w:eastAsia="宋体" w:hAnsi="Arial" w:cs="Arial"/>
                <w:b/>
                <w:bCs/>
                <w:color w:val="000000"/>
                <w:sz w:val="14"/>
                <w:szCs w:val="14"/>
              </w:rPr>
              <w:t>334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B7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7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B7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B80" w14:textId="77777777" w:rsidR="00E836FB" w:rsidRDefault="00994958">
            <w:pPr>
              <w:jc w:val="right"/>
              <w:textAlignment w:val="bottom"/>
            </w:pPr>
            <w:r>
              <w:rPr>
                <w:rFonts w:ascii="Arial" w:eastAsia="宋体" w:hAnsi="Arial" w:cs="Arial"/>
                <w:color w:val="000000"/>
                <w:sz w:val="14"/>
                <w:szCs w:val="14"/>
              </w:rPr>
              <w:t>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B8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8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B8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B84" w14:textId="77777777" w:rsidR="00E836FB" w:rsidRDefault="00994958">
            <w:pPr>
              <w:jc w:val="right"/>
              <w:textAlignment w:val="bottom"/>
            </w:pPr>
            <w:r>
              <w:rPr>
                <w:rFonts w:ascii="Arial" w:eastAsia="宋体" w:hAnsi="Arial" w:cs="Arial"/>
                <w:color w:val="000000"/>
                <w:sz w:val="14"/>
                <w:szCs w:val="14"/>
              </w:rPr>
              <w:t>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B85" w14:textId="77777777" w:rsidR="00E836FB" w:rsidRDefault="00E836FB">
            <w:pPr>
              <w:jc w:val="right"/>
              <w:rPr>
                <w:rFonts w:ascii="宋体"/>
              </w:rPr>
            </w:pPr>
          </w:p>
        </w:tc>
      </w:tr>
      <w:tr w:rsidR="00E836FB" w14:paraId="5F2D4B93" w14:textId="77777777">
        <w:tc>
          <w:tcPr>
            <w:tcW w:w="0" w:type="auto"/>
            <w:gridSpan w:val="3"/>
            <w:shd w:val="clear" w:color="auto" w:fill="FFFFFF"/>
            <w:tcMar>
              <w:top w:w="40" w:type="dxa"/>
              <w:left w:w="20" w:type="dxa"/>
              <w:bottom w:w="40" w:type="dxa"/>
              <w:right w:w="20" w:type="dxa"/>
            </w:tcMar>
            <w:vAlign w:val="bottom"/>
          </w:tcPr>
          <w:p w14:paraId="5F2D4B87" w14:textId="77777777" w:rsidR="00E836FB" w:rsidRDefault="00994958">
            <w:pPr>
              <w:textAlignment w:val="bottom"/>
            </w:pPr>
            <w:r>
              <w:rPr>
                <w:rFonts w:ascii="Arial" w:eastAsia="宋体" w:hAnsi="Arial" w:cs="Arial"/>
                <w:color w:val="000000"/>
                <w:sz w:val="14"/>
                <w:szCs w:val="14"/>
              </w:rPr>
              <w:t>Sales advertising public relations</w:t>
            </w:r>
          </w:p>
        </w:tc>
        <w:tc>
          <w:tcPr>
            <w:tcW w:w="0" w:type="auto"/>
            <w:shd w:val="clear" w:color="auto" w:fill="auto"/>
            <w:vAlign w:val="bottom"/>
          </w:tcPr>
          <w:p w14:paraId="5F2D4B88" w14:textId="77777777" w:rsidR="00E836FB" w:rsidRDefault="00E836FB">
            <w:pPr>
              <w:rPr>
                <w:rFonts w:ascii="宋体"/>
                <w:vanish/>
              </w:rPr>
            </w:pPr>
          </w:p>
        </w:tc>
        <w:tc>
          <w:tcPr>
            <w:tcW w:w="0" w:type="auto"/>
            <w:shd w:val="clear" w:color="auto" w:fill="auto"/>
            <w:vAlign w:val="bottom"/>
          </w:tcPr>
          <w:p w14:paraId="5F2D4B89" w14:textId="77777777" w:rsidR="00E836FB" w:rsidRDefault="00E836FB">
            <w:pPr>
              <w:rPr>
                <w:rFonts w:ascii="宋体"/>
                <w:vanish/>
              </w:rPr>
            </w:pPr>
          </w:p>
        </w:tc>
        <w:tc>
          <w:tcPr>
            <w:tcW w:w="0" w:type="auto"/>
            <w:shd w:val="clear" w:color="auto" w:fill="auto"/>
            <w:vAlign w:val="bottom"/>
          </w:tcPr>
          <w:p w14:paraId="5F2D4B8A"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B8B" w14:textId="77777777" w:rsidR="00E836FB" w:rsidRDefault="00994958">
            <w:pPr>
              <w:jc w:val="right"/>
              <w:textAlignment w:val="bottom"/>
            </w:pPr>
            <w:r>
              <w:rPr>
                <w:rFonts w:ascii="Arial" w:eastAsia="宋体" w:hAnsi="Arial" w:cs="Arial"/>
                <w:b/>
                <w:bCs/>
                <w:color w:val="000000"/>
                <w:sz w:val="14"/>
                <w:szCs w:val="14"/>
              </w:rPr>
              <w:t>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B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8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8E" w14:textId="77777777" w:rsidR="00E836FB" w:rsidRDefault="00994958">
            <w:pPr>
              <w:jc w:val="right"/>
              <w:textAlignment w:val="bottom"/>
            </w:pPr>
            <w:r>
              <w:rPr>
                <w:rFonts w:ascii="Arial" w:eastAsia="宋体" w:hAnsi="Arial" w:cs="Arial"/>
                <w:color w:val="000000"/>
                <w:sz w:val="14"/>
                <w:szCs w:val="14"/>
              </w:rPr>
              <w:t>77 </w:t>
            </w:r>
          </w:p>
        </w:tc>
        <w:tc>
          <w:tcPr>
            <w:tcW w:w="0" w:type="auto"/>
            <w:shd w:val="clear" w:color="auto" w:fill="FFFFFF"/>
            <w:tcMar>
              <w:top w:w="40" w:type="dxa"/>
              <w:left w:w="0" w:type="dxa"/>
              <w:bottom w:w="40" w:type="dxa"/>
              <w:right w:w="20" w:type="dxa"/>
            </w:tcMar>
            <w:vAlign w:val="bottom"/>
          </w:tcPr>
          <w:p w14:paraId="5F2D4B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9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91" w14:textId="77777777" w:rsidR="00E836FB" w:rsidRDefault="00994958">
            <w:pPr>
              <w:jc w:val="right"/>
              <w:textAlignment w:val="bottom"/>
            </w:pPr>
            <w:r>
              <w:rPr>
                <w:rFonts w:ascii="Arial" w:eastAsia="宋体" w:hAnsi="Arial" w:cs="Arial"/>
                <w:color w:val="000000"/>
                <w:sz w:val="14"/>
                <w:szCs w:val="14"/>
              </w:rPr>
              <w:t>114 </w:t>
            </w:r>
          </w:p>
        </w:tc>
        <w:tc>
          <w:tcPr>
            <w:tcW w:w="0" w:type="auto"/>
            <w:shd w:val="clear" w:color="auto" w:fill="FFFFFF"/>
            <w:tcMar>
              <w:top w:w="40" w:type="dxa"/>
              <w:left w:w="0" w:type="dxa"/>
              <w:bottom w:w="40" w:type="dxa"/>
              <w:right w:w="20" w:type="dxa"/>
            </w:tcMar>
            <w:vAlign w:val="bottom"/>
          </w:tcPr>
          <w:p w14:paraId="5F2D4B92" w14:textId="77777777" w:rsidR="00E836FB" w:rsidRDefault="00E836FB">
            <w:pPr>
              <w:jc w:val="right"/>
              <w:rPr>
                <w:rFonts w:ascii="宋体"/>
              </w:rPr>
            </w:pPr>
          </w:p>
        </w:tc>
      </w:tr>
      <w:tr w:rsidR="00E836FB" w14:paraId="5F2D4BA0" w14:textId="77777777">
        <w:tc>
          <w:tcPr>
            <w:tcW w:w="0" w:type="auto"/>
            <w:gridSpan w:val="3"/>
            <w:shd w:val="clear" w:color="auto" w:fill="CCEEFF"/>
            <w:tcMar>
              <w:top w:w="40" w:type="dxa"/>
              <w:left w:w="20" w:type="dxa"/>
              <w:bottom w:w="40" w:type="dxa"/>
              <w:right w:w="20" w:type="dxa"/>
            </w:tcMar>
            <w:vAlign w:val="bottom"/>
          </w:tcPr>
          <w:p w14:paraId="5F2D4B94" w14:textId="77777777" w:rsidR="00E836FB" w:rsidRDefault="00994958">
            <w:pPr>
              <w:textAlignment w:val="bottom"/>
            </w:pPr>
            <w:r>
              <w:rPr>
                <w:rFonts w:ascii="Arial" w:eastAsia="宋体" w:hAnsi="Arial" w:cs="Arial"/>
                <w:color w:val="000000"/>
                <w:sz w:val="14"/>
                <w:szCs w:val="14"/>
              </w:rPr>
              <w:t>Regulatory fees and assessments</w:t>
            </w:r>
          </w:p>
        </w:tc>
        <w:tc>
          <w:tcPr>
            <w:tcW w:w="0" w:type="auto"/>
            <w:shd w:val="clear" w:color="auto" w:fill="auto"/>
            <w:vAlign w:val="bottom"/>
          </w:tcPr>
          <w:p w14:paraId="5F2D4B95" w14:textId="77777777" w:rsidR="00E836FB" w:rsidRDefault="00E836FB">
            <w:pPr>
              <w:rPr>
                <w:rFonts w:ascii="宋体"/>
                <w:vanish/>
              </w:rPr>
            </w:pPr>
          </w:p>
        </w:tc>
        <w:tc>
          <w:tcPr>
            <w:tcW w:w="0" w:type="auto"/>
            <w:shd w:val="clear" w:color="auto" w:fill="auto"/>
            <w:vAlign w:val="bottom"/>
          </w:tcPr>
          <w:p w14:paraId="5F2D4B96" w14:textId="77777777" w:rsidR="00E836FB" w:rsidRDefault="00E836FB">
            <w:pPr>
              <w:rPr>
                <w:rFonts w:ascii="宋体"/>
                <w:vanish/>
              </w:rPr>
            </w:pPr>
          </w:p>
        </w:tc>
        <w:tc>
          <w:tcPr>
            <w:tcW w:w="0" w:type="auto"/>
            <w:shd w:val="clear" w:color="auto" w:fill="auto"/>
            <w:vAlign w:val="bottom"/>
          </w:tcPr>
          <w:p w14:paraId="5F2D4B97"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B98" w14:textId="77777777" w:rsidR="00E836FB" w:rsidRDefault="00994958">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B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9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B9B" w14:textId="77777777" w:rsidR="00E836FB" w:rsidRDefault="00994958">
            <w:pPr>
              <w:jc w:val="right"/>
              <w:textAlignment w:val="bottom"/>
            </w:pPr>
            <w:r>
              <w:rPr>
                <w:rFonts w:ascii="Arial" w:eastAsia="宋体" w:hAnsi="Arial" w:cs="Arial"/>
                <w:color w:val="000000"/>
                <w:sz w:val="14"/>
                <w:szCs w:val="14"/>
              </w:rPr>
              <w:t>61 </w:t>
            </w:r>
          </w:p>
        </w:tc>
        <w:tc>
          <w:tcPr>
            <w:tcW w:w="0" w:type="auto"/>
            <w:shd w:val="clear" w:color="auto" w:fill="CCEEFF"/>
            <w:tcMar>
              <w:top w:w="40" w:type="dxa"/>
              <w:left w:w="0" w:type="dxa"/>
              <w:bottom w:w="40" w:type="dxa"/>
              <w:right w:w="20" w:type="dxa"/>
            </w:tcMar>
            <w:vAlign w:val="bottom"/>
          </w:tcPr>
          <w:p w14:paraId="5F2D4B9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9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B9E" w14:textId="77777777" w:rsidR="00E836FB" w:rsidRDefault="00994958">
            <w:pPr>
              <w:jc w:val="right"/>
              <w:textAlignment w:val="bottom"/>
            </w:pPr>
            <w:r>
              <w:rPr>
                <w:rFonts w:ascii="Arial" w:eastAsia="宋体" w:hAnsi="Arial" w:cs="Arial"/>
                <w:color w:val="000000"/>
                <w:sz w:val="14"/>
                <w:szCs w:val="14"/>
              </w:rPr>
              <w:t>73 </w:t>
            </w:r>
          </w:p>
        </w:tc>
        <w:tc>
          <w:tcPr>
            <w:tcW w:w="0" w:type="auto"/>
            <w:shd w:val="clear" w:color="auto" w:fill="CCEEFF"/>
            <w:tcMar>
              <w:top w:w="40" w:type="dxa"/>
              <w:left w:w="0" w:type="dxa"/>
              <w:bottom w:w="40" w:type="dxa"/>
              <w:right w:w="20" w:type="dxa"/>
            </w:tcMar>
            <w:vAlign w:val="bottom"/>
          </w:tcPr>
          <w:p w14:paraId="5F2D4B9F" w14:textId="77777777" w:rsidR="00E836FB" w:rsidRDefault="00E836FB">
            <w:pPr>
              <w:jc w:val="right"/>
              <w:rPr>
                <w:rFonts w:ascii="宋体"/>
              </w:rPr>
            </w:pPr>
          </w:p>
        </w:tc>
      </w:tr>
      <w:tr w:rsidR="00E836FB" w14:paraId="5F2D4BAD" w14:textId="77777777">
        <w:tc>
          <w:tcPr>
            <w:tcW w:w="0" w:type="auto"/>
            <w:gridSpan w:val="3"/>
            <w:shd w:val="clear" w:color="auto" w:fill="auto"/>
            <w:tcMar>
              <w:top w:w="40" w:type="dxa"/>
              <w:left w:w="20" w:type="dxa"/>
              <w:bottom w:w="40" w:type="dxa"/>
              <w:right w:w="20" w:type="dxa"/>
            </w:tcMar>
            <w:vAlign w:val="bottom"/>
          </w:tcPr>
          <w:p w14:paraId="5F2D4BA1" w14:textId="77777777" w:rsidR="00E836FB" w:rsidRDefault="00994958">
            <w:pPr>
              <w:textAlignment w:val="bottom"/>
            </w:pPr>
            <w:r>
              <w:rPr>
                <w:rFonts w:ascii="Arial" w:eastAsia="宋体" w:hAnsi="Arial" w:cs="Arial"/>
                <w:color w:val="000000"/>
                <w:sz w:val="14"/>
                <w:szCs w:val="14"/>
              </w:rPr>
              <w:t>Securities processing</w:t>
            </w:r>
          </w:p>
        </w:tc>
        <w:tc>
          <w:tcPr>
            <w:tcW w:w="0" w:type="auto"/>
            <w:shd w:val="clear" w:color="auto" w:fill="auto"/>
            <w:vAlign w:val="bottom"/>
          </w:tcPr>
          <w:p w14:paraId="5F2D4BA2" w14:textId="77777777" w:rsidR="00E836FB" w:rsidRDefault="00E836FB">
            <w:pPr>
              <w:rPr>
                <w:rFonts w:ascii="宋体"/>
                <w:vanish/>
              </w:rPr>
            </w:pPr>
          </w:p>
        </w:tc>
        <w:tc>
          <w:tcPr>
            <w:tcW w:w="0" w:type="auto"/>
            <w:shd w:val="clear" w:color="auto" w:fill="auto"/>
            <w:vAlign w:val="bottom"/>
          </w:tcPr>
          <w:p w14:paraId="5F2D4BA3" w14:textId="77777777" w:rsidR="00E836FB" w:rsidRDefault="00E836FB">
            <w:pPr>
              <w:rPr>
                <w:rFonts w:ascii="宋体"/>
                <w:vanish/>
              </w:rPr>
            </w:pPr>
          </w:p>
        </w:tc>
        <w:tc>
          <w:tcPr>
            <w:tcW w:w="0" w:type="auto"/>
            <w:shd w:val="clear" w:color="auto" w:fill="auto"/>
            <w:vAlign w:val="bottom"/>
          </w:tcPr>
          <w:p w14:paraId="5F2D4BA4" w14:textId="77777777" w:rsidR="00E836FB" w:rsidRDefault="00E836FB">
            <w:pPr>
              <w:rPr>
                <w:rFonts w:ascii="宋体"/>
                <w:vanish/>
              </w:rPr>
            </w:pPr>
          </w:p>
        </w:tc>
        <w:tc>
          <w:tcPr>
            <w:tcW w:w="0" w:type="auto"/>
            <w:gridSpan w:val="2"/>
            <w:shd w:val="clear" w:color="auto" w:fill="auto"/>
            <w:tcMar>
              <w:top w:w="40" w:type="dxa"/>
              <w:left w:w="20" w:type="dxa"/>
              <w:bottom w:w="40" w:type="dxa"/>
              <w:right w:w="0" w:type="dxa"/>
            </w:tcMar>
            <w:vAlign w:val="bottom"/>
          </w:tcPr>
          <w:p w14:paraId="5F2D4BA5" w14:textId="77777777" w:rsidR="00E836FB" w:rsidRDefault="00994958">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5F2D4BA6"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4BA7"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4BA8" w14:textId="77777777" w:rsidR="00E836FB" w:rsidRDefault="00994958">
            <w:pPr>
              <w:jc w:val="right"/>
              <w:textAlignment w:val="bottom"/>
            </w:pPr>
            <w:r>
              <w:rPr>
                <w:rFonts w:ascii="Arial" w:eastAsia="宋体" w:hAnsi="Arial" w:cs="Arial"/>
                <w:color w:val="000000"/>
                <w:sz w:val="14"/>
                <w:szCs w:val="14"/>
              </w:rPr>
              <w:t>41 </w:t>
            </w:r>
          </w:p>
        </w:tc>
        <w:tc>
          <w:tcPr>
            <w:tcW w:w="0" w:type="auto"/>
            <w:shd w:val="clear" w:color="auto" w:fill="auto"/>
            <w:tcMar>
              <w:top w:w="40" w:type="dxa"/>
              <w:left w:w="0" w:type="dxa"/>
              <w:bottom w:w="40" w:type="dxa"/>
              <w:right w:w="20" w:type="dxa"/>
            </w:tcMar>
            <w:vAlign w:val="bottom"/>
          </w:tcPr>
          <w:p w14:paraId="5F2D4BA9"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4BAA"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4BAB" w14:textId="77777777" w:rsidR="00E836FB" w:rsidRDefault="00994958">
            <w:pPr>
              <w:jc w:val="right"/>
              <w:textAlignment w:val="bottom"/>
            </w:pPr>
            <w:r>
              <w:rPr>
                <w:rFonts w:ascii="Arial" w:eastAsia="宋体" w:hAnsi="Arial" w:cs="Arial"/>
                <w:color w:val="000000"/>
                <w:sz w:val="14"/>
                <w:szCs w:val="14"/>
              </w:rPr>
              <w:t>75 </w:t>
            </w:r>
          </w:p>
        </w:tc>
        <w:tc>
          <w:tcPr>
            <w:tcW w:w="0" w:type="auto"/>
            <w:shd w:val="clear" w:color="auto" w:fill="auto"/>
            <w:tcMar>
              <w:top w:w="40" w:type="dxa"/>
              <w:left w:w="0" w:type="dxa"/>
              <w:bottom w:w="40" w:type="dxa"/>
              <w:right w:w="20" w:type="dxa"/>
            </w:tcMar>
            <w:vAlign w:val="bottom"/>
          </w:tcPr>
          <w:p w14:paraId="5F2D4BAC" w14:textId="77777777" w:rsidR="00E836FB" w:rsidRDefault="00E836FB">
            <w:pPr>
              <w:jc w:val="right"/>
              <w:rPr>
                <w:rFonts w:ascii="宋体"/>
              </w:rPr>
            </w:pPr>
          </w:p>
        </w:tc>
      </w:tr>
      <w:tr w:rsidR="00E836FB" w14:paraId="5F2D4BB7" w14:textId="77777777">
        <w:trPr>
          <w:hidden/>
        </w:trPr>
        <w:tc>
          <w:tcPr>
            <w:tcW w:w="0" w:type="auto"/>
            <w:gridSpan w:val="3"/>
            <w:shd w:val="clear" w:color="auto" w:fill="auto"/>
            <w:vAlign w:val="bottom"/>
          </w:tcPr>
          <w:p w14:paraId="5F2D4BAE" w14:textId="77777777" w:rsidR="00E836FB" w:rsidRDefault="00E836FB">
            <w:pPr>
              <w:rPr>
                <w:rFonts w:ascii="宋体"/>
                <w:vanish/>
              </w:rPr>
            </w:pPr>
          </w:p>
        </w:tc>
        <w:tc>
          <w:tcPr>
            <w:tcW w:w="0" w:type="auto"/>
            <w:shd w:val="clear" w:color="auto" w:fill="auto"/>
            <w:vAlign w:val="bottom"/>
          </w:tcPr>
          <w:p w14:paraId="5F2D4BAF" w14:textId="77777777" w:rsidR="00E836FB" w:rsidRDefault="00E836FB">
            <w:pPr>
              <w:rPr>
                <w:rFonts w:ascii="宋体"/>
                <w:vanish/>
              </w:rPr>
            </w:pPr>
          </w:p>
        </w:tc>
        <w:tc>
          <w:tcPr>
            <w:tcW w:w="0" w:type="auto"/>
            <w:shd w:val="clear" w:color="auto" w:fill="auto"/>
            <w:vAlign w:val="bottom"/>
          </w:tcPr>
          <w:p w14:paraId="5F2D4BB0" w14:textId="77777777" w:rsidR="00E836FB" w:rsidRDefault="00E836FB">
            <w:pPr>
              <w:rPr>
                <w:rFonts w:ascii="宋体"/>
                <w:vanish/>
              </w:rPr>
            </w:pPr>
          </w:p>
        </w:tc>
        <w:tc>
          <w:tcPr>
            <w:tcW w:w="0" w:type="auto"/>
            <w:shd w:val="clear" w:color="auto" w:fill="auto"/>
            <w:vAlign w:val="bottom"/>
          </w:tcPr>
          <w:p w14:paraId="5F2D4BB1" w14:textId="77777777" w:rsidR="00E836FB" w:rsidRDefault="00E836FB">
            <w:pPr>
              <w:rPr>
                <w:rFonts w:ascii="宋体"/>
                <w:vanish/>
              </w:rPr>
            </w:pPr>
          </w:p>
        </w:tc>
        <w:tc>
          <w:tcPr>
            <w:tcW w:w="0" w:type="auto"/>
            <w:gridSpan w:val="3"/>
            <w:shd w:val="clear" w:color="auto" w:fill="auto"/>
            <w:vAlign w:val="bottom"/>
          </w:tcPr>
          <w:p w14:paraId="5F2D4BB2" w14:textId="77777777" w:rsidR="00E836FB" w:rsidRDefault="00E836FB">
            <w:pPr>
              <w:rPr>
                <w:rFonts w:ascii="宋体"/>
                <w:vanish/>
              </w:rPr>
            </w:pPr>
          </w:p>
        </w:tc>
        <w:tc>
          <w:tcPr>
            <w:tcW w:w="0" w:type="auto"/>
            <w:gridSpan w:val="3"/>
            <w:shd w:val="clear" w:color="auto" w:fill="auto"/>
            <w:vAlign w:val="bottom"/>
          </w:tcPr>
          <w:p w14:paraId="5F2D4BB3" w14:textId="77777777" w:rsidR="00E836FB" w:rsidRDefault="00E836FB">
            <w:pPr>
              <w:rPr>
                <w:rFonts w:ascii="宋体"/>
                <w:vanish/>
              </w:rPr>
            </w:pPr>
          </w:p>
        </w:tc>
        <w:tc>
          <w:tcPr>
            <w:tcW w:w="0" w:type="auto"/>
            <w:gridSpan w:val="3"/>
            <w:shd w:val="clear" w:color="auto" w:fill="auto"/>
            <w:vAlign w:val="bottom"/>
          </w:tcPr>
          <w:p w14:paraId="5F2D4BB4" w14:textId="77777777" w:rsidR="00E836FB" w:rsidRDefault="00E836FB">
            <w:pPr>
              <w:rPr>
                <w:rFonts w:ascii="宋体"/>
                <w:vanish/>
              </w:rPr>
            </w:pPr>
          </w:p>
        </w:tc>
        <w:tc>
          <w:tcPr>
            <w:tcW w:w="0" w:type="auto"/>
            <w:gridSpan w:val="3"/>
            <w:shd w:val="clear" w:color="auto" w:fill="auto"/>
            <w:vAlign w:val="bottom"/>
          </w:tcPr>
          <w:p w14:paraId="5F2D4BB5" w14:textId="77777777" w:rsidR="00E836FB" w:rsidRDefault="00E836FB">
            <w:pPr>
              <w:rPr>
                <w:rFonts w:ascii="宋体"/>
                <w:vanish/>
              </w:rPr>
            </w:pPr>
          </w:p>
        </w:tc>
        <w:tc>
          <w:tcPr>
            <w:tcW w:w="0" w:type="auto"/>
            <w:gridSpan w:val="3"/>
            <w:shd w:val="clear" w:color="auto" w:fill="auto"/>
            <w:vAlign w:val="bottom"/>
          </w:tcPr>
          <w:p w14:paraId="5F2D4BB6" w14:textId="77777777" w:rsidR="00E836FB" w:rsidRDefault="00E836FB">
            <w:pPr>
              <w:rPr>
                <w:rFonts w:ascii="宋体"/>
                <w:vanish/>
              </w:rPr>
            </w:pPr>
          </w:p>
        </w:tc>
      </w:tr>
      <w:tr w:rsidR="00E836FB" w14:paraId="5F2D4BC4" w14:textId="77777777">
        <w:tc>
          <w:tcPr>
            <w:tcW w:w="0" w:type="auto"/>
            <w:gridSpan w:val="3"/>
            <w:shd w:val="clear" w:color="auto" w:fill="CCEEFF"/>
            <w:tcMar>
              <w:top w:w="40" w:type="dxa"/>
              <w:left w:w="20" w:type="dxa"/>
              <w:bottom w:w="40" w:type="dxa"/>
              <w:right w:w="20" w:type="dxa"/>
            </w:tcMar>
            <w:vAlign w:val="bottom"/>
          </w:tcPr>
          <w:p w14:paraId="5F2D4BB8" w14:textId="77777777" w:rsidR="00E836FB" w:rsidRDefault="00994958">
            <w:pPr>
              <w:textAlignment w:val="bottom"/>
            </w:pPr>
            <w:r>
              <w:rPr>
                <w:rFonts w:ascii="Arial" w:eastAsia="宋体" w:hAnsi="Arial" w:cs="Arial"/>
                <w:color w:val="000000"/>
                <w:sz w:val="14"/>
                <w:szCs w:val="14"/>
              </w:rPr>
              <w:t>Bank operations</w:t>
            </w:r>
          </w:p>
        </w:tc>
        <w:tc>
          <w:tcPr>
            <w:tcW w:w="0" w:type="auto"/>
            <w:shd w:val="clear" w:color="auto" w:fill="auto"/>
            <w:vAlign w:val="bottom"/>
          </w:tcPr>
          <w:p w14:paraId="5F2D4BB9" w14:textId="77777777" w:rsidR="00E836FB" w:rsidRDefault="00E836FB">
            <w:pPr>
              <w:rPr>
                <w:rFonts w:ascii="宋体"/>
                <w:vanish/>
              </w:rPr>
            </w:pPr>
          </w:p>
        </w:tc>
        <w:tc>
          <w:tcPr>
            <w:tcW w:w="0" w:type="auto"/>
            <w:shd w:val="clear" w:color="auto" w:fill="auto"/>
            <w:vAlign w:val="bottom"/>
          </w:tcPr>
          <w:p w14:paraId="5F2D4BBA" w14:textId="77777777" w:rsidR="00E836FB" w:rsidRDefault="00E836FB">
            <w:pPr>
              <w:rPr>
                <w:rFonts w:ascii="宋体"/>
                <w:vanish/>
              </w:rPr>
            </w:pPr>
          </w:p>
        </w:tc>
        <w:tc>
          <w:tcPr>
            <w:tcW w:w="0" w:type="auto"/>
            <w:shd w:val="clear" w:color="auto" w:fill="auto"/>
            <w:vAlign w:val="bottom"/>
          </w:tcPr>
          <w:p w14:paraId="5F2D4BBB"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BBC" w14:textId="77777777" w:rsidR="00E836FB" w:rsidRDefault="00994958">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B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BBF"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5F2D4B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BC2"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CCEEFF"/>
            <w:tcMar>
              <w:top w:w="40" w:type="dxa"/>
              <w:left w:w="0" w:type="dxa"/>
              <w:bottom w:w="40" w:type="dxa"/>
              <w:right w:w="20" w:type="dxa"/>
            </w:tcMar>
            <w:vAlign w:val="bottom"/>
          </w:tcPr>
          <w:p w14:paraId="5F2D4BC3" w14:textId="77777777" w:rsidR="00E836FB" w:rsidRDefault="00E836FB">
            <w:pPr>
              <w:jc w:val="right"/>
              <w:rPr>
                <w:rFonts w:ascii="宋体"/>
              </w:rPr>
            </w:pPr>
          </w:p>
        </w:tc>
      </w:tr>
      <w:tr w:rsidR="00E836FB" w14:paraId="5F2D4BD1" w14:textId="77777777">
        <w:tc>
          <w:tcPr>
            <w:tcW w:w="0" w:type="auto"/>
            <w:gridSpan w:val="3"/>
            <w:shd w:val="clear" w:color="auto" w:fill="FFFFFF"/>
            <w:tcMar>
              <w:top w:w="40" w:type="dxa"/>
              <w:left w:w="20" w:type="dxa"/>
              <w:bottom w:w="40" w:type="dxa"/>
              <w:right w:w="20" w:type="dxa"/>
            </w:tcMar>
            <w:vAlign w:val="bottom"/>
          </w:tcPr>
          <w:p w14:paraId="5F2D4BC5" w14:textId="77777777" w:rsidR="00E836FB" w:rsidRDefault="00994958">
            <w:pPr>
              <w:textAlignment w:val="bottom"/>
            </w:pPr>
            <w:r>
              <w:rPr>
                <w:rFonts w:ascii="Arial" w:eastAsia="宋体" w:hAnsi="Arial" w:cs="Arial"/>
                <w:color w:val="000000"/>
                <w:sz w:val="14"/>
                <w:szCs w:val="14"/>
              </w:rPr>
              <w:t>Insurance</w:t>
            </w:r>
          </w:p>
        </w:tc>
        <w:tc>
          <w:tcPr>
            <w:tcW w:w="0" w:type="auto"/>
            <w:shd w:val="clear" w:color="auto" w:fill="auto"/>
            <w:vAlign w:val="bottom"/>
          </w:tcPr>
          <w:p w14:paraId="5F2D4BC6" w14:textId="77777777" w:rsidR="00E836FB" w:rsidRDefault="00E836FB">
            <w:pPr>
              <w:rPr>
                <w:rFonts w:ascii="宋体"/>
                <w:vanish/>
              </w:rPr>
            </w:pPr>
          </w:p>
        </w:tc>
        <w:tc>
          <w:tcPr>
            <w:tcW w:w="0" w:type="auto"/>
            <w:shd w:val="clear" w:color="auto" w:fill="auto"/>
            <w:vAlign w:val="bottom"/>
          </w:tcPr>
          <w:p w14:paraId="5F2D4BC7" w14:textId="77777777" w:rsidR="00E836FB" w:rsidRDefault="00E836FB">
            <w:pPr>
              <w:rPr>
                <w:rFonts w:ascii="宋体"/>
                <w:vanish/>
              </w:rPr>
            </w:pPr>
          </w:p>
        </w:tc>
        <w:tc>
          <w:tcPr>
            <w:tcW w:w="0" w:type="auto"/>
            <w:shd w:val="clear" w:color="auto" w:fill="auto"/>
            <w:vAlign w:val="bottom"/>
          </w:tcPr>
          <w:p w14:paraId="5F2D4BC8"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BC9" w14:textId="77777777" w:rsidR="00E836FB" w:rsidRDefault="00994958">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B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C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CC" w14:textId="77777777" w:rsidR="00E836FB" w:rsidRDefault="00994958">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F2D4B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CF" w14:textId="77777777" w:rsidR="00E836FB" w:rsidRDefault="00994958">
            <w:pPr>
              <w:jc w:val="right"/>
              <w:textAlignment w:val="bottom"/>
            </w:pPr>
            <w:r>
              <w:rPr>
                <w:rFonts w:ascii="Arial" w:eastAsia="宋体" w:hAnsi="Arial" w:cs="Arial"/>
                <w:color w:val="000000"/>
                <w:sz w:val="14"/>
                <w:szCs w:val="14"/>
              </w:rPr>
              <w:t>19 </w:t>
            </w:r>
          </w:p>
        </w:tc>
        <w:tc>
          <w:tcPr>
            <w:tcW w:w="0" w:type="auto"/>
            <w:shd w:val="clear" w:color="auto" w:fill="FFFFFF"/>
            <w:tcMar>
              <w:top w:w="40" w:type="dxa"/>
              <w:left w:w="0" w:type="dxa"/>
              <w:bottom w:w="40" w:type="dxa"/>
              <w:right w:w="20" w:type="dxa"/>
            </w:tcMar>
            <w:vAlign w:val="bottom"/>
          </w:tcPr>
          <w:p w14:paraId="5F2D4BD0" w14:textId="77777777" w:rsidR="00E836FB" w:rsidRDefault="00E836FB">
            <w:pPr>
              <w:jc w:val="right"/>
              <w:rPr>
                <w:rFonts w:ascii="宋体"/>
              </w:rPr>
            </w:pPr>
          </w:p>
        </w:tc>
      </w:tr>
      <w:tr w:rsidR="00E836FB" w14:paraId="5F2D4BDE" w14:textId="77777777">
        <w:tc>
          <w:tcPr>
            <w:tcW w:w="0" w:type="auto"/>
            <w:gridSpan w:val="3"/>
            <w:shd w:val="clear" w:color="auto" w:fill="CCEEFF"/>
            <w:tcMar>
              <w:top w:w="40" w:type="dxa"/>
              <w:left w:w="20" w:type="dxa"/>
              <w:bottom w:w="40" w:type="dxa"/>
              <w:right w:w="20" w:type="dxa"/>
            </w:tcMar>
            <w:vAlign w:val="bottom"/>
          </w:tcPr>
          <w:p w14:paraId="5F2D4BD2" w14:textId="77777777" w:rsidR="00E836FB" w:rsidRDefault="00994958">
            <w:pPr>
              <w:textAlignment w:val="bottom"/>
            </w:pPr>
            <w:r>
              <w:rPr>
                <w:rFonts w:ascii="Arial" w:eastAsia="宋体" w:hAnsi="Arial" w:cs="Arial"/>
                <w:color w:val="000000"/>
                <w:sz w:val="14"/>
                <w:szCs w:val="14"/>
              </w:rPr>
              <w:t>Donations</w:t>
            </w:r>
          </w:p>
        </w:tc>
        <w:tc>
          <w:tcPr>
            <w:tcW w:w="0" w:type="auto"/>
            <w:shd w:val="clear" w:color="auto" w:fill="auto"/>
            <w:vAlign w:val="bottom"/>
          </w:tcPr>
          <w:p w14:paraId="5F2D4BD3" w14:textId="77777777" w:rsidR="00E836FB" w:rsidRDefault="00E836FB">
            <w:pPr>
              <w:rPr>
                <w:rFonts w:ascii="宋体"/>
                <w:vanish/>
              </w:rPr>
            </w:pPr>
          </w:p>
        </w:tc>
        <w:tc>
          <w:tcPr>
            <w:tcW w:w="0" w:type="auto"/>
            <w:shd w:val="clear" w:color="auto" w:fill="auto"/>
            <w:vAlign w:val="bottom"/>
          </w:tcPr>
          <w:p w14:paraId="5F2D4BD4" w14:textId="77777777" w:rsidR="00E836FB" w:rsidRDefault="00E836FB">
            <w:pPr>
              <w:rPr>
                <w:rFonts w:ascii="宋体"/>
                <w:vanish/>
              </w:rPr>
            </w:pPr>
          </w:p>
        </w:tc>
        <w:tc>
          <w:tcPr>
            <w:tcW w:w="0" w:type="auto"/>
            <w:shd w:val="clear" w:color="auto" w:fill="auto"/>
            <w:vAlign w:val="bottom"/>
          </w:tcPr>
          <w:p w14:paraId="5F2D4BD5"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BD6" w14:textId="77777777" w:rsidR="00E836FB" w:rsidRDefault="00994958">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BD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D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BD9"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5F2D4B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D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BDC" w14:textId="77777777" w:rsidR="00E836FB" w:rsidRDefault="00994958">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5F2D4BDD" w14:textId="77777777" w:rsidR="00E836FB" w:rsidRDefault="00E836FB">
            <w:pPr>
              <w:jc w:val="right"/>
              <w:rPr>
                <w:rFonts w:ascii="宋体"/>
              </w:rPr>
            </w:pPr>
          </w:p>
        </w:tc>
      </w:tr>
      <w:tr w:rsidR="00E836FB" w14:paraId="5F2D4BEB" w14:textId="77777777">
        <w:tc>
          <w:tcPr>
            <w:tcW w:w="0" w:type="auto"/>
            <w:gridSpan w:val="3"/>
            <w:shd w:val="clear" w:color="auto" w:fill="FFFFFF"/>
            <w:tcMar>
              <w:top w:w="40" w:type="dxa"/>
              <w:left w:w="20" w:type="dxa"/>
              <w:bottom w:w="40" w:type="dxa"/>
              <w:right w:w="20" w:type="dxa"/>
            </w:tcMar>
            <w:vAlign w:val="bottom"/>
          </w:tcPr>
          <w:p w14:paraId="5F2D4BDF" w14:textId="77777777" w:rsidR="00E836FB" w:rsidRDefault="00994958">
            <w:pPr>
              <w:textAlignment w:val="bottom"/>
            </w:pPr>
            <w:r>
              <w:rPr>
                <w:rFonts w:ascii="Arial" w:eastAsia="宋体" w:hAnsi="Arial" w:cs="Arial"/>
                <w:color w:val="000000"/>
                <w:sz w:val="14"/>
                <w:szCs w:val="14"/>
              </w:rPr>
              <w:t>Other</w:t>
            </w:r>
          </w:p>
        </w:tc>
        <w:tc>
          <w:tcPr>
            <w:tcW w:w="0" w:type="auto"/>
            <w:shd w:val="clear" w:color="auto" w:fill="auto"/>
            <w:vAlign w:val="bottom"/>
          </w:tcPr>
          <w:p w14:paraId="5F2D4BE0" w14:textId="77777777" w:rsidR="00E836FB" w:rsidRDefault="00E836FB">
            <w:pPr>
              <w:rPr>
                <w:rFonts w:ascii="宋体"/>
                <w:vanish/>
              </w:rPr>
            </w:pPr>
          </w:p>
        </w:tc>
        <w:tc>
          <w:tcPr>
            <w:tcW w:w="0" w:type="auto"/>
            <w:shd w:val="clear" w:color="auto" w:fill="auto"/>
            <w:vAlign w:val="bottom"/>
          </w:tcPr>
          <w:p w14:paraId="5F2D4BE1" w14:textId="77777777" w:rsidR="00E836FB" w:rsidRDefault="00E836FB">
            <w:pPr>
              <w:rPr>
                <w:rFonts w:ascii="宋体"/>
                <w:vanish/>
              </w:rPr>
            </w:pPr>
          </w:p>
        </w:tc>
        <w:tc>
          <w:tcPr>
            <w:tcW w:w="0" w:type="auto"/>
            <w:shd w:val="clear" w:color="auto" w:fill="auto"/>
            <w:vAlign w:val="bottom"/>
          </w:tcPr>
          <w:p w14:paraId="5F2D4BE2"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BE3" w14:textId="77777777" w:rsidR="00E836FB" w:rsidRDefault="00994958">
            <w:pPr>
              <w:jc w:val="right"/>
              <w:textAlignment w:val="bottom"/>
            </w:pPr>
            <w:r>
              <w:rPr>
                <w:rFonts w:ascii="Arial" w:eastAsia="宋体" w:hAnsi="Arial" w:cs="Arial"/>
                <w:b/>
                <w:bCs/>
                <w:color w:val="000000"/>
                <w:sz w:val="14"/>
                <w:szCs w:val="14"/>
              </w:rPr>
              <w:t>360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BE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E6" w14:textId="77777777" w:rsidR="00E836FB" w:rsidRDefault="00994958">
            <w:pPr>
              <w:jc w:val="right"/>
              <w:textAlignment w:val="bottom"/>
            </w:pPr>
            <w:r>
              <w:rPr>
                <w:rFonts w:ascii="Arial" w:eastAsia="宋体" w:hAnsi="Arial" w:cs="Arial"/>
                <w:color w:val="000000"/>
                <w:sz w:val="14"/>
                <w:szCs w:val="14"/>
              </w:rPr>
              <w:t>370 </w:t>
            </w:r>
          </w:p>
        </w:tc>
        <w:tc>
          <w:tcPr>
            <w:tcW w:w="0" w:type="auto"/>
            <w:shd w:val="clear" w:color="auto" w:fill="FFFFFF"/>
            <w:tcMar>
              <w:top w:w="40" w:type="dxa"/>
              <w:left w:w="0" w:type="dxa"/>
              <w:bottom w:w="40" w:type="dxa"/>
              <w:right w:w="20" w:type="dxa"/>
            </w:tcMar>
            <w:vAlign w:val="bottom"/>
          </w:tcPr>
          <w:p w14:paraId="5F2D4B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BE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BE9" w14:textId="77777777" w:rsidR="00E836FB" w:rsidRDefault="00994958">
            <w:pPr>
              <w:jc w:val="right"/>
              <w:textAlignment w:val="bottom"/>
            </w:pPr>
            <w:r>
              <w:rPr>
                <w:rFonts w:ascii="Arial" w:eastAsia="宋体" w:hAnsi="Arial" w:cs="Arial"/>
                <w:color w:val="000000"/>
                <w:sz w:val="14"/>
                <w:szCs w:val="14"/>
              </w:rPr>
              <w:t>566 </w:t>
            </w:r>
          </w:p>
        </w:tc>
        <w:tc>
          <w:tcPr>
            <w:tcW w:w="0" w:type="auto"/>
            <w:shd w:val="clear" w:color="auto" w:fill="FFFFFF"/>
            <w:tcMar>
              <w:top w:w="40" w:type="dxa"/>
              <w:left w:w="0" w:type="dxa"/>
              <w:bottom w:w="40" w:type="dxa"/>
              <w:right w:w="20" w:type="dxa"/>
            </w:tcMar>
            <w:vAlign w:val="bottom"/>
          </w:tcPr>
          <w:p w14:paraId="5F2D4BEA" w14:textId="77777777" w:rsidR="00E836FB" w:rsidRDefault="00E836FB">
            <w:pPr>
              <w:jc w:val="right"/>
              <w:rPr>
                <w:rFonts w:ascii="宋体"/>
              </w:rPr>
            </w:pPr>
          </w:p>
        </w:tc>
      </w:tr>
      <w:tr w:rsidR="00E836FB" w14:paraId="5F2D4BFB" w14:textId="77777777">
        <w:tc>
          <w:tcPr>
            <w:tcW w:w="0" w:type="auto"/>
            <w:gridSpan w:val="3"/>
            <w:shd w:val="clear" w:color="auto" w:fill="CCEEFF"/>
            <w:tcMar>
              <w:top w:w="40" w:type="dxa"/>
              <w:left w:w="20" w:type="dxa"/>
              <w:bottom w:w="40" w:type="dxa"/>
              <w:right w:w="20" w:type="dxa"/>
            </w:tcMar>
            <w:vAlign w:val="bottom"/>
          </w:tcPr>
          <w:p w14:paraId="5F2D4BEC" w14:textId="77777777" w:rsidR="00E836FB" w:rsidRDefault="00994958">
            <w:pPr>
              <w:textAlignment w:val="bottom"/>
            </w:pPr>
            <w:r>
              <w:rPr>
                <w:rFonts w:ascii="Arial" w:eastAsia="宋体" w:hAnsi="Arial" w:cs="Arial"/>
                <w:color w:val="000000"/>
                <w:sz w:val="14"/>
                <w:szCs w:val="14"/>
              </w:rPr>
              <w:t>Total other expenses</w:t>
            </w:r>
          </w:p>
        </w:tc>
        <w:tc>
          <w:tcPr>
            <w:tcW w:w="0" w:type="auto"/>
            <w:shd w:val="clear" w:color="auto" w:fill="auto"/>
            <w:vAlign w:val="bottom"/>
          </w:tcPr>
          <w:p w14:paraId="5F2D4BED" w14:textId="77777777" w:rsidR="00E836FB" w:rsidRDefault="00E836FB">
            <w:pPr>
              <w:rPr>
                <w:rFonts w:ascii="宋体"/>
                <w:vanish/>
              </w:rPr>
            </w:pPr>
          </w:p>
        </w:tc>
        <w:tc>
          <w:tcPr>
            <w:tcW w:w="0" w:type="auto"/>
            <w:shd w:val="clear" w:color="auto" w:fill="auto"/>
            <w:vAlign w:val="bottom"/>
          </w:tcPr>
          <w:p w14:paraId="5F2D4BEE" w14:textId="77777777" w:rsidR="00E836FB" w:rsidRDefault="00E836FB">
            <w:pPr>
              <w:rPr>
                <w:rFonts w:ascii="宋体"/>
                <w:vanish/>
              </w:rPr>
            </w:pPr>
          </w:p>
        </w:tc>
        <w:tc>
          <w:tcPr>
            <w:tcW w:w="0" w:type="auto"/>
            <w:shd w:val="clear" w:color="auto" w:fill="auto"/>
            <w:vAlign w:val="bottom"/>
          </w:tcPr>
          <w:p w14:paraId="5F2D4BEF" w14:textId="77777777" w:rsidR="00E836FB" w:rsidRDefault="00E836FB">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BF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BF1" w14:textId="77777777" w:rsidR="00E836FB" w:rsidRDefault="00994958">
            <w:pPr>
              <w:jc w:val="right"/>
              <w:textAlignment w:val="bottom"/>
            </w:pPr>
            <w:r>
              <w:rPr>
                <w:rFonts w:ascii="Arial" w:eastAsia="宋体" w:hAnsi="Arial" w:cs="Arial"/>
                <w:b/>
                <w:bCs/>
                <w:color w:val="000000"/>
                <w:sz w:val="14"/>
                <w:szCs w:val="14"/>
              </w:rPr>
              <w:t>896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B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F3"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BF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BF5" w14:textId="77777777" w:rsidR="00E836FB" w:rsidRDefault="00994958">
            <w:pPr>
              <w:jc w:val="right"/>
              <w:textAlignment w:val="bottom"/>
            </w:pPr>
            <w:r>
              <w:rPr>
                <w:rFonts w:ascii="Arial" w:eastAsia="宋体" w:hAnsi="Arial" w:cs="Arial"/>
                <w:color w:val="000000"/>
                <w:sz w:val="14"/>
                <w:szCs w:val="14"/>
              </w:rPr>
              <w:t>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BF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BF7"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BF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BF9" w14:textId="77777777" w:rsidR="00E836FB" w:rsidRDefault="00994958">
            <w:pPr>
              <w:jc w:val="right"/>
              <w:textAlignment w:val="bottom"/>
            </w:pPr>
            <w:r>
              <w:rPr>
                <w:rFonts w:ascii="Arial" w:eastAsia="宋体" w:hAnsi="Arial" w:cs="Arial"/>
                <w:color w:val="000000"/>
                <w:sz w:val="14"/>
                <w:szCs w:val="14"/>
              </w:rPr>
              <w:t>1,262 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BFA" w14:textId="77777777" w:rsidR="00E836FB" w:rsidRDefault="00E836FB">
            <w:pPr>
              <w:jc w:val="right"/>
              <w:rPr>
                <w:rFonts w:ascii="宋体"/>
              </w:rPr>
            </w:pPr>
          </w:p>
        </w:tc>
      </w:tr>
    </w:tbl>
    <w:p w14:paraId="5F2D4BFC" w14:textId="77777777" w:rsidR="00E836FB" w:rsidRDefault="00994958">
      <w:pPr>
        <w:spacing w:before="60"/>
        <w:jc w:val="both"/>
        <w:textAlignment w:val="top"/>
      </w:pPr>
      <w:r>
        <w:rPr>
          <w:rFonts w:ascii="Arial" w:eastAsia="宋体" w:hAnsi="Arial" w:cs="Arial"/>
          <w:b/>
          <w:bCs/>
          <w:i/>
          <w:iCs/>
          <w:color w:val="000000"/>
          <w:sz w:val="20"/>
          <w:szCs w:val="20"/>
        </w:rPr>
        <w:t>Acquisition Costs</w:t>
      </w:r>
    </w:p>
    <w:p w14:paraId="5F2D4BFD" w14:textId="77777777" w:rsidR="00E836FB" w:rsidRDefault="00994958">
      <w:pPr>
        <w:spacing w:before="60"/>
        <w:ind w:firstLine="450"/>
        <w:jc w:val="both"/>
        <w:textAlignment w:val="top"/>
      </w:pPr>
      <w:r>
        <w:rPr>
          <w:rFonts w:ascii="Arial" w:eastAsia="宋体" w:hAnsi="Arial" w:cs="Arial"/>
          <w:color w:val="000000"/>
          <w:sz w:val="20"/>
          <w:szCs w:val="20"/>
        </w:rPr>
        <w:t>We recorded approximately $53 million of acquisition costs in 2021 compared to $54 million in 2020 and $79 million in 2019, related to our acquisition of CRD. In addi</w:t>
      </w:r>
      <w:r>
        <w:rPr>
          <w:rFonts w:ascii="Arial" w:eastAsia="宋体" w:hAnsi="Arial" w:cs="Arial"/>
          <w:color w:val="000000"/>
          <w:sz w:val="20"/>
          <w:szCs w:val="20"/>
        </w:rPr>
        <w:t>tion, we recorded approximately $13 million of acquisition costs in 2021 related to our planned acquisition of the BBH Investor Services business.</w:t>
      </w:r>
    </w:p>
    <w:p w14:paraId="5F2D4BFE" w14:textId="77777777" w:rsidR="00E836FB" w:rsidRDefault="00994958">
      <w:pPr>
        <w:spacing w:before="60"/>
        <w:jc w:val="both"/>
        <w:textAlignment w:val="top"/>
      </w:pPr>
      <w:r>
        <w:rPr>
          <w:rFonts w:ascii="Arial" w:eastAsia="宋体" w:hAnsi="Arial" w:cs="Arial"/>
          <w:b/>
          <w:bCs/>
          <w:i/>
          <w:iCs/>
          <w:color w:val="000000"/>
          <w:sz w:val="20"/>
          <w:szCs w:val="20"/>
        </w:rPr>
        <w:t>Restructuring and Repositioning Charges</w:t>
      </w:r>
    </w:p>
    <w:p w14:paraId="5F2D4BFF" w14:textId="77777777" w:rsidR="00E836FB" w:rsidRDefault="00994958">
      <w:pPr>
        <w:spacing w:before="90"/>
        <w:jc w:val="both"/>
        <w:textAlignment w:val="top"/>
      </w:pPr>
      <w:r>
        <w:rPr>
          <w:rFonts w:ascii="Arial" w:eastAsia="宋体" w:hAnsi="Arial" w:cs="Arial"/>
          <w:i/>
          <w:iCs/>
          <w:color w:val="000000"/>
          <w:sz w:val="20"/>
          <w:szCs w:val="20"/>
        </w:rPr>
        <w:t>Repositioning Charges</w:t>
      </w:r>
    </w:p>
    <w:p w14:paraId="5F2D4C00" w14:textId="77777777" w:rsidR="00E836FB" w:rsidRDefault="00994958">
      <w:pPr>
        <w:spacing w:before="60"/>
        <w:ind w:firstLine="450"/>
        <w:jc w:val="both"/>
        <w:textAlignment w:val="top"/>
      </w:pPr>
      <w:r>
        <w:rPr>
          <w:rFonts w:ascii="Arial" w:eastAsia="宋体" w:hAnsi="Arial" w:cs="Arial"/>
          <w:color w:val="000000"/>
          <w:sz w:val="20"/>
          <w:szCs w:val="20"/>
        </w:rPr>
        <w:t xml:space="preserve">In 2021, we recorded a net </w:t>
      </w:r>
      <w:r>
        <w:rPr>
          <w:rFonts w:ascii="Arial" w:eastAsia="宋体" w:hAnsi="Arial" w:cs="Arial"/>
          <w:color w:val="000000"/>
          <w:sz w:val="20"/>
          <w:szCs w:val="20"/>
        </w:rPr>
        <w:t>repositioning benefit of $3 million, consisting of $32 million release of previously accrued severance charges, primarily due to higher attrition and redeployment rates during the COVID-19 pandemic, partially offset by $29 million of occupancy charges rela</w:t>
      </w:r>
      <w:r>
        <w:rPr>
          <w:rFonts w:ascii="Arial" w:eastAsia="宋体" w:hAnsi="Arial" w:cs="Arial"/>
          <w:color w:val="000000"/>
          <w:sz w:val="20"/>
          <w:szCs w:val="20"/>
        </w:rPr>
        <w:t>ted to footprint optimization.</w:t>
      </w:r>
    </w:p>
    <w:p w14:paraId="5F2D4C01" w14:textId="77777777" w:rsidR="00E836FB" w:rsidRDefault="00994958">
      <w:pPr>
        <w:spacing w:before="60"/>
        <w:ind w:firstLine="450"/>
        <w:jc w:val="both"/>
        <w:textAlignment w:val="top"/>
      </w:pPr>
      <w:r>
        <w:rPr>
          <w:rFonts w:ascii="Arial" w:eastAsia="宋体" w:hAnsi="Arial" w:cs="Arial"/>
          <w:color w:val="000000"/>
          <w:sz w:val="20"/>
          <w:szCs w:val="20"/>
        </w:rPr>
        <w:t xml:space="preserve">In 2020, we recorded $133 million of repositioning charges, including $82 million of compensation and employee benefits expenses and $51 million of occupancy costs, to further drive automation of processes and organizational </w:t>
      </w:r>
      <w:r>
        <w:rPr>
          <w:rFonts w:ascii="Arial" w:eastAsia="宋体" w:hAnsi="Arial" w:cs="Arial"/>
          <w:color w:val="000000"/>
          <w:sz w:val="20"/>
          <w:szCs w:val="20"/>
        </w:rPr>
        <w:t>simplification enabling workforce rationalization and to reduce our real estate footprint by approximately 13% of our total square footage.</w:t>
      </w:r>
    </w:p>
    <w:p w14:paraId="5F2D4C02"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aggregate activity for repositioning charges and activity related to previous Beacon re</w:t>
      </w:r>
      <w:r>
        <w:rPr>
          <w:rFonts w:ascii="Arial" w:eastAsia="宋体" w:hAnsi="Arial" w:cs="Arial"/>
          <w:color w:val="000000"/>
          <w:sz w:val="20"/>
          <w:szCs w:val="20"/>
        </w:rPr>
        <w:t>structuring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290"/>
        <w:gridCol w:w="38"/>
        <w:gridCol w:w="99"/>
        <w:gridCol w:w="1233"/>
        <w:gridCol w:w="36"/>
        <w:gridCol w:w="36"/>
        <w:gridCol w:w="70"/>
        <w:gridCol w:w="36"/>
        <w:gridCol w:w="99"/>
        <w:gridCol w:w="1207"/>
        <w:gridCol w:w="36"/>
        <w:gridCol w:w="36"/>
        <w:gridCol w:w="70"/>
        <w:gridCol w:w="36"/>
        <w:gridCol w:w="36"/>
        <w:gridCol w:w="36"/>
        <w:gridCol w:w="36"/>
        <w:gridCol w:w="36"/>
        <w:gridCol w:w="99"/>
        <w:gridCol w:w="1234"/>
        <w:gridCol w:w="36"/>
        <w:gridCol w:w="36"/>
        <w:gridCol w:w="71"/>
        <w:gridCol w:w="36"/>
        <w:gridCol w:w="98"/>
        <w:gridCol w:w="1184"/>
        <w:gridCol w:w="36"/>
      </w:tblGrid>
      <w:tr w:rsidR="00E836FB" w14:paraId="5F2D4C1F" w14:textId="77777777">
        <w:tc>
          <w:tcPr>
            <w:tcW w:w="50" w:type="pct"/>
            <w:shd w:val="clear" w:color="auto" w:fill="auto"/>
            <w:vAlign w:val="bottom"/>
          </w:tcPr>
          <w:p w14:paraId="5F2D4C03" w14:textId="77777777" w:rsidR="00E836FB" w:rsidRDefault="00E836FB">
            <w:pPr>
              <w:rPr>
                <w:rFonts w:ascii="宋体"/>
              </w:rPr>
            </w:pPr>
          </w:p>
        </w:tc>
        <w:tc>
          <w:tcPr>
            <w:tcW w:w="1422" w:type="pct"/>
            <w:shd w:val="clear" w:color="auto" w:fill="auto"/>
            <w:vAlign w:val="bottom"/>
          </w:tcPr>
          <w:p w14:paraId="5F2D4C04" w14:textId="77777777" w:rsidR="00E836FB" w:rsidRDefault="00E836FB">
            <w:pPr>
              <w:rPr>
                <w:rFonts w:ascii="宋体"/>
              </w:rPr>
            </w:pPr>
          </w:p>
        </w:tc>
        <w:tc>
          <w:tcPr>
            <w:tcW w:w="5" w:type="pct"/>
            <w:shd w:val="clear" w:color="auto" w:fill="auto"/>
            <w:vAlign w:val="bottom"/>
          </w:tcPr>
          <w:p w14:paraId="5F2D4C05" w14:textId="77777777" w:rsidR="00E836FB" w:rsidRDefault="00E836FB">
            <w:pPr>
              <w:rPr>
                <w:rFonts w:ascii="宋体"/>
              </w:rPr>
            </w:pPr>
          </w:p>
        </w:tc>
        <w:tc>
          <w:tcPr>
            <w:tcW w:w="50" w:type="pct"/>
            <w:shd w:val="clear" w:color="auto" w:fill="auto"/>
            <w:vAlign w:val="bottom"/>
          </w:tcPr>
          <w:p w14:paraId="5F2D4C06" w14:textId="77777777" w:rsidR="00E836FB" w:rsidRDefault="00E836FB">
            <w:pPr>
              <w:rPr>
                <w:rFonts w:ascii="宋体"/>
              </w:rPr>
            </w:pPr>
          </w:p>
        </w:tc>
        <w:tc>
          <w:tcPr>
            <w:tcW w:w="778" w:type="pct"/>
            <w:shd w:val="clear" w:color="auto" w:fill="auto"/>
            <w:vAlign w:val="bottom"/>
          </w:tcPr>
          <w:p w14:paraId="5F2D4C07" w14:textId="77777777" w:rsidR="00E836FB" w:rsidRDefault="00E836FB">
            <w:pPr>
              <w:rPr>
                <w:rFonts w:ascii="宋体"/>
              </w:rPr>
            </w:pPr>
          </w:p>
        </w:tc>
        <w:tc>
          <w:tcPr>
            <w:tcW w:w="5" w:type="pct"/>
            <w:shd w:val="clear" w:color="auto" w:fill="auto"/>
            <w:vAlign w:val="bottom"/>
          </w:tcPr>
          <w:p w14:paraId="5F2D4C08" w14:textId="77777777" w:rsidR="00E836FB" w:rsidRDefault="00E836FB">
            <w:pPr>
              <w:rPr>
                <w:rFonts w:ascii="宋体"/>
              </w:rPr>
            </w:pPr>
          </w:p>
        </w:tc>
        <w:tc>
          <w:tcPr>
            <w:tcW w:w="5" w:type="pct"/>
            <w:shd w:val="clear" w:color="auto" w:fill="auto"/>
            <w:vAlign w:val="bottom"/>
          </w:tcPr>
          <w:p w14:paraId="5F2D4C09" w14:textId="77777777" w:rsidR="00E836FB" w:rsidRDefault="00E836FB">
            <w:pPr>
              <w:rPr>
                <w:rFonts w:ascii="宋体"/>
              </w:rPr>
            </w:pPr>
          </w:p>
        </w:tc>
        <w:tc>
          <w:tcPr>
            <w:tcW w:w="68" w:type="pct"/>
            <w:shd w:val="clear" w:color="auto" w:fill="auto"/>
            <w:vAlign w:val="bottom"/>
          </w:tcPr>
          <w:p w14:paraId="5F2D4C0A" w14:textId="77777777" w:rsidR="00E836FB" w:rsidRDefault="00E836FB">
            <w:pPr>
              <w:rPr>
                <w:rFonts w:ascii="宋体"/>
              </w:rPr>
            </w:pPr>
          </w:p>
        </w:tc>
        <w:tc>
          <w:tcPr>
            <w:tcW w:w="5" w:type="pct"/>
            <w:shd w:val="clear" w:color="auto" w:fill="auto"/>
            <w:vAlign w:val="bottom"/>
          </w:tcPr>
          <w:p w14:paraId="5F2D4C0B" w14:textId="77777777" w:rsidR="00E836FB" w:rsidRDefault="00E836FB">
            <w:pPr>
              <w:rPr>
                <w:rFonts w:ascii="宋体"/>
              </w:rPr>
            </w:pPr>
          </w:p>
        </w:tc>
        <w:tc>
          <w:tcPr>
            <w:tcW w:w="50" w:type="pct"/>
            <w:shd w:val="clear" w:color="auto" w:fill="auto"/>
            <w:vAlign w:val="bottom"/>
          </w:tcPr>
          <w:p w14:paraId="5F2D4C0C" w14:textId="77777777" w:rsidR="00E836FB" w:rsidRDefault="00E836FB">
            <w:pPr>
              <w:rPr>
                <w:rFonts w:ascii="宋体"/>
              </w:rPr>
            </w:pPr>
          </w:p>
        </w:tc>
        <w:tc>
          <w:tcPr>
            <w:tcW w:w="762" w:type="pct"/>
            <w:shd w:val="clear" w:color="auto" w:fill="auto"/>
            <w:vAlign w:val="bottom"/>
          </w:tcPr>
          <w:p w14:paraId="5F2D4C0D" w14:textId="77777777" w:rsidR="00E836FB" w:rsidRDefault="00E836FB">
            <w:pPr>
              <w:rPr>
                <w:rFonts w:ascii="宋体"/>
              </w:rPr>
            </w:pPr>
          </w:p>
        </w:tc>
        <w:tc>
          <w:tcPr>
            <w:tcW w:w="5" w:type="pct"/>
            <w:shd w:val="clear" w:color="auto" w:fill="auto"/>
            <w:vAlign w:val="bottom"/>
          </w:tcPr>
          <w:p w14:paraId="5F2D4C0E" w14:textId="77777777" w:rsidR="00E836FB" w:rsidRDefault="00E836FB">
            <w:pPr>
              <w:rPr>
                <w:rFonts w:ascii="宋体"/>
              </w:rPr>
            </w:pPr>
          </w:p>
        </w:tc>
        <w:tc>
          <w:tcPr>
            <w:tcW w:w="5" w:type="pct"/>
            <w:shd w:val="clear" w:color="auto" w:fill="auto"/>
            <w:vAlign w:val="bottom"/>
          </w:tcPr>
          <w:p w14:paraId="5F2D4C0F" w14:textId="77777777" w:rsidR="00E836FB" w:rsidRDefault="00E836FB">
            <w:pPr>
              <w:rPr>
                <w:rFonts w:ascii="宋体"/>
              </w:rPr>
            </w:pPr>
          </w:p>
        </w:tc>
        <w:tc>
          <w:tcPr>
            <w:tcW w:w="68" w:type="pct"/>
            <w:shd w:val="clear" w:color="auto" w:fill="auto"/>
            <w:vAlign w:val="bottom"/>
          </w:tcPr>
          <w:p w14:paraId="5F2D4C10" w14:textId="77777777" w:rsidR="00E836FB" w:rsidRDefault="00E836FB">
            <w:pPr>
              <w:rPr>
                <w:rFonts w:ascii="宋体"/>
              </w:rPr>
            </w:pPr>
          </w:p>
        </w:tc>
        <w:tc>
          <w:tcPr>
            <w:tcW w:w="5" w:type="pct"/>
            <w:shd w:val="clear" w:color="auto" w:fill="auto"/>
            <w:vAlign w:val="bottom"/>
          </w:tcPr>
          <w:p w14:paraId="5F2D4C11" w14:textId="77777777" w:rsidR="00E836FB" w:rsidRDefault="00E836FB">
            <w:pPr>
              <w:rPr>
                <w:rFonts w:ascii="宋体"/>
              </w:rPr>
            </w:pPr>
          </w:p>
        </w:tc>
        <w:tc>
          <w:tcPr>
            <w:tcW w:w="0" w:type="auto"/>
            <w:shd w:val="clear" w:color="auto" w:fill="auto"/>
            <w:vAlign w:val="bottom"/>
          </w:tcPr>
          <w:p w14:paraId="5F2D4C12" w14:textId="77777777" w:rsidR="00E836FB" w:rsidRDefault="00E836FB">
            <w:pPr>
              <w:rPr>
                <w:rFonts w:ascii="宋体"/>
                <w:vanish/>
              </w:rPr>
            </w:pPr>
          </w:p>
        </w:tc>
        <w:tc>
          <w:tcPr>
            <w:tcW w:w="0" w:type="auto"/>
            <w:shd w:val="clear" w:color="auto" w:fill="auto"/>
            <w:vAlign w:val="bottom"/>
          </w:tcPr>
          <w:p w14:paraId="5F2D4C13" w14:textId="77777777" w:rsidR="00E836FB" w:rsidRDefault="00E836FB">
            <w:pPr>
              <w:rPr>
                <w:rFonts w:ascii="宋体"/>
                <w:vanish/>
              </w:rPr>
            </w:pPr>
          </w:p>
        </w:tc>
        <w:tc>
          <w:tcPr>
            <w:tcW w:w="0" w:type="auto"/>
            <w:shd w:val="clear" w:color="auto" w:fill="auto"/>
            <w:vAlign w:val="bottom"/>
          </w:tcPr>
          <w:p w14:paraId="5F2D4C14" w14:textId="77777777" w:rsidR="00E836FB" w:rsidRDefault="00E836FB">
            <w:pPr>
              <w:rPr>
                <w:rFonts w:ascii="宋体"/>
                <w:vanish/>
              </w:rPr>
            </w:pPr>
          </w:p>
        </w:tc>
        <w:tc>
          <w:tcPr>
            <w:tcW w:w="0" w:type="auto"/>
            <w:shd w:val="clear" w:color="auto" w:fill="auto"/>
            <w:vAlign w:val="bottom"/>
          </w:tcPr>
          <w:p w14:paraId="5F2D4C15" w14:textId="77777777" w:rsidR="00E836FB" w:rsidRDefault="00E836FB">
            <w:pPr>
              <w:rPr>
                <w:rFonts w:ascii="宋体"/>
                <w:vanish/>
              </w:rPr>
            </w:pPr>
          </w:p>
        </w:tc>
        <w:tc>
          <w:tcPr>
            <w:tcW w:w="50" w:type="pct"/>
            <w:shd w:val="clear" w:color="auto" w:fill="auto"/>
            <w:vAlign w:val="bottom"/>
          </w:tcPr>
          <w:p w14:paraId="5F2D4C16" w14:textId="77777777" w:rsidR="00E836FB" w:rsidRDefault="00E836FB">
            <w:pPr>
              <w:rPr>
                <w:rFonts w:ascii="宋体"/>
              </w:rPr>
            </w:pPr>
          </w:p>
        </w:tc>
        <w:tc>
          <w:tcPr>
            <w:tcW w:w="778" w:type="pct"/>
            <w:shd w:val="clear" w:color="auto" w:fill="auto"/>
            <w:vAlign w:val="bottom"/>
          </w:tcPr>
          <w:p w14:paraId="5F2D4C17" w14:textId="77777777" w:rsidR="00E836FB" w:rsidRDefault="00E836FB">
            <w:pPr>
              <w:rPr>
                <w:rFonts w:ascii="宋体"/>
              </w:rPr>
            </w:pPr>
          </w:p>
        </w:tc>
        <w:tc>
          <w:tcPr>
            <w:tcW w:w="5" w:type="pct"/>
            <w:shd w:val="clear" w:color="auto" w:fill="auto"/>
            <w:vAlign w:val="bottom"/>
          </w:tcPr>
          <w:p w14:paraId="5F2D4C18" w14:textId="77777777" w:rsidR="00E836FB" w:rsidRDefault="00E836FB">
            <w:pPr>
              <w:rPr>
                <w:rFonts w:ascii="宋体"/>
              </w:rPr>
            </w:pPr>
          </w:p>
        </w:tc>
        <w:tc>
          <w:tcPr>
            <w:tcW w:w="5" w:type="pct"/>
            <w:shd w:val="clear" w:color="auto" w:fill="auto"/>
            <w:vAlign w:val="bottom"/>
          </w:tcPr>
          <w:p w14:paraId="5F2D4C19" w14:textId="77777777" w:rsidR="00E836FB" w:rsidRDefault="00E836FB">
            <w:pPr>
              <w:rPr>
                <w:rFonts w:ascii="宋体"/>
              </w:rPr>
            </w:pPr>
          </w:p>
        </w:tc>
        <w:tc>
          <w:tcPr>
            <w:tcW w:w="68" w:type="pct"/>
            <w:shd w:val="clear" w:color="auto" w:fill="auto"/>
            <w:vAlign w:val="bottom"/>
          </w:tcPr>
          <w:p w14:paraId="5F2D4C1A" w14:textId="77777777" w:rsidR="00E836FB" w:rsidRDefault="00E836FB">
            <w:pPr>
              <w:rPr>
                <w:rFonts w:ascii="宋体"/>
              </w:rPr>
            </w:pPr>
          </w:p>
        </w:tc>
        <w:tc>
          <w:tcPr>
            <w:tcW w:w="5" w:type="pct"/>
            <w:shd w:val="clear" w:color="auto" w:fill="auto"/>
            <w:vAlign w:val="bottom"/>
          </w:tcPr>
          <w:p w14:paraId="5F2D4C1B" w14:textId="77777777" w:rsidR="00E836FB" w:rsidRDefault="00E836FB">
            <w:pPr>
              <w:rPr>
                <w:rFonts w:ascii="宋体"/>
              </w:rPr>
            </w:pPr>
          </w:p>
        </w:tc>
        <w:tc>
          <w:tcPr>
            <w:tcW w:w="50" w:type="pct"/>
            <w:shd w:val="clear" w:color="auto" w:fill="auto"/>
            <w:vAlign w:val="bottom"/>
          </w:tcPr>
          <w:p w14:paraId="5F2D4C1C" w14:textId="77777777" w:rsidR="00E836FB" w:rsidRDefault="00E836FB">
            <w:pPr>
              <w:rPr>
                <w:rFonts w:ascii="宋体"/>
              </w:rPr>
            </w:pPr>
          </w:p>
        </w:tc>
        <w:tc>
          <w:tcPr>
            <w:tcW w:w="747" w:type="pct"/>
            <w:shd w:val="clear" w:color="auto" w:fill="auto"/>
            <w:vAlign w:val="bottom"/>
          </w:tcPr>
          <w:p w14:paraId="5F2D4C1D" w14:textId="77777777" w:rsidR="00E836FB" w:rsidRDefault="00E836FB">
            <w:pPr>
              <w:rPr>
                <w:rFonts w:ascii="宋体"/>
              </w:rPr>
            </w:pPr>
          </w:p>
        </w:tc>
        <w:tc>
          <w:tcPr>
            <w:tcW w:w="5" w:type="pct"/>
            <w:shd w:val="clear" w:color="auto" w:fill="auto"/>
            <w:vAlign w:val="bottom"/>
          </w:tcPr>
          <w:p w14:paraId="5F2D4C1E" w14:textId="77777777" w:rsidR="00E836FB" w:rsidRDefault="00E836FB">
            <w:pPr>
              <w:rPr>
                <w:rFonts w:ascii="宋体"/>
              </w:rPr>
            </w:pPr>
          </w:p>
        </w:tc>
      </w:tr>
      <w:tr w:rsidR="00E836FB" w14:paraId="5F2D4C2C" w14:textId="77777777">
        <w:tc>
          <w:tcPr>
            <w:tcW w:w="0" w:type="auto"/>
            <w:gridSpan w:val="3"/>
            <w:shd w:val="clear" w:color="auto" w:fill="auto"/>
            <w:tcMar>
              <w:top w:w="40" w:type="dxa"/>
              <w:left w:w="20" w:type="dxa"/>
              <w:bottom w:w="40" w:type="dxa"/>
              <w:right w:w="20" w:type="dxa"/>
            </w:tcMar>
            <w:vAlign w:val="bottom"/>
          </w:tcPr>
          <w:p w14:paraId="5F2D4C20"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4C21" w14:textId="77777777" w:rsidR="00E836FB" w:rsidRDefault="00994958">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5F2D4C2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C23" w14:textId="77777777" w:rsidR="00E836FB" w:rsidRDefault="00994958">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vAlign w:val="bottom"/>
          </w:tcPr>
          <w:p w14:paraId="5F2D4C24" w14:textId="77777777" w:rsidR="00E836FB" w:rsidRDefault="00E836FB">
            <w:pPr>
              <w:rPr>
                <w:rFonts w:ascii="宋体"/>
              </w:rPr>
            </w:pPr>
          </w:p>
        </w:tc>
        <w:tc>
          <w:tcPr>
            <w:tcW w:w="0" w:type="auto"/>
            <w:shd w:val="clear" w:color="auto" w:fill="auto"/>
            <w:vAlign w:val="bottom"/>
          </w:tcPr>
          <w:p w14:paraId="5F2D4C25" w14:textId="77777777" w:rsidR="00E836FB" w:rsidRDefault="00E836FB">
            <w:pPr>
              <w:rPr>
                <w:rFonts w:ascii="宋体"/>
                <w:vanish/>
              </w:rPr>
            </w:pPr>
          </w:p>
        </w:tc>
        <w:tc>
          <w:tcPr>
            <w:tcW w:w="0" w:type="auto"/>
            <w:shd w:val="clear" w:color="auto" w:fill="auto"/>
            <w:vAlign w:val="bottom"/>
          </w:tcPr>
          <w:p w14:paraId="5F2D4C26" w14:textId="77777777" w:rsidR="00E836FB" w:rsidRDefault="00E836FB">
            <w:pPr>
              <w:rPr>
                <w:rFonts w:ascii="宋体"/>
                <w:vanish/>
              </w:rPr>
            </w:pPr>
          </w:p>
        </w:tc>
        <w:tc>
          <w:tcPr>
            <w:tcW w:w="0" w:type="auto"/>
            <w:shd w:val="clear" w:color="auto" w:fill="auto"/>
            <w:vAlign w:val="bottom"/>
          </w:tcPr>
          <w:p w14:paraId="5F2D4C27" w14:textId="77777777" w:rsidR="00E836FB" w:rsidRDefault="00E836FB">
            <w:pPr>
              <w:rPr>
                <w:rFonts w:ascii="宋体"/>
                <w:vanish/>
              </w:rPr>
            </w:pPr>
          </w:p>
        </w:tc>
        <w:tc>
          <w:tcPr>
            <w:tcW w:w="0" w:type="auto"/>
            <w:shd w:val="clear" w:color="auto" w:fill="auto"/>
            <w:vAlign w:val="bottom"/>
          </w:tcPr>
          <w:p w14:paraId="5F2D4C28" w14:textId="77777777" w:rsidR="00E836FB" w:rsidRDefault="00E836FB">
            <w:pPr>
              <w:rPr>
                <w:rFonts w:ascii="宋体"/>
                <w:vanish/>
              </w:rPr>
            </w:pPr>
          </w:p>
        </w:tc>
        <w:tc>
          <w:tcPr>
            <w:tcW w:w="0" w:type="auto"/>
            <w:gridSpan w:val="3"/>
            <w:shd w:val="clear" w:color="auto" w:fill="auto"/>
            <w:tcMar>
              <w:top w:w="40" w:type="dxa"/>
              <w:left w:w="20" w:type="dxa"/>
              <w:bottom w:w="40" w:type="dxa"/>
              <w:right w:w="20" w:type="dxa"/>
            </w:tcMar>
            <w:vAlign w:val="bottom"/>
          </w:tcPr>
          <w:p w14:paraId="5F2D4C29" w14:textId="77777777" w:rsidR="00E836FB" w:rsidRDefault="00994958">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top w:w="0" w:type="dxa"/>
              <w:left w:w="20" w:type="dxa"/>
              <w:bottom w:w="0" w:type="dxa"/>
              <w:right w:w="20" w:type="dxa"/>
            </w:tcMar>
            <w:vAlign w:val="bottom"/>
          </w:tcPr>
          <w:p w14:paraId="5F2D4C2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C2B"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4C39" w14:textId="77777777">
        <w:trPr>
          <w:hidden/>
        </w:trPr>
        <w:tc>
          <w:tcPr>
            <w:tcW w:w="0" w:type="auto"/>
            <w:gridSpan w:val="3"/>
            <w:shd w:val="clear" w:color="auto" w:fill="auto"/>
            <w:vAlign w:val="bottom"/>
          </w:tcPr>
          <w:p w14:paraId="5F2D4C2D" w14:textId="77777777" w:rsidR="00E836FB" w:rsidRDefault="00E836FB">
            <w:pPr>
              <w:rPr>
                <w:rFonts w:ascii="宋体"/>
                <w:vanish/>
              </w:rPr>
            </w:pPr>
          </w:p>
        </w:tc>
        <w:tc>
          <w:tcPr>
            <w:tcW w:w="0" w:type="auto"/>
            <w:gridSpan w:val="3"/>
            <w:shd w:val="clear" w:color="auto" w:fill="auto"/>
            <w:vAlign w:val="bottom"/>
          </w:tcPr>
          <w:p w14:paraId="5F2D4C2E" w14:textId="77777777" w:rsidR="00E836FB" w:rsidRDefault="00E836FB">
            <w:pPr>
              <w:rPr>
                <w:rFonts w:ascii="宋体"/>
                <w:vanish/>
              </w:rPr>
            </w:pPr>
          </w:p>
        </w:tc>
        <w:tc>
          <w:tcPr>
            <w:tcW w:w="0" w:type="auto"/>
            <w:gridSpan w:val="3"/>
            <w:shd w:val="clear" w:color="auto" w:fill="auto"/>
            <w:vAlign w:val="bottom"/>
          </w:tcPr>
          <w:p w14:paraId="5F2D4C2F" w14:textId="77777777" w:rsidR="00E836FB" w:rsidRDefault="00E836FB">
            <w:pPr>
              <w:rPr>
                <w:rFonts w:ascii="宋体"/>
                <w:vanish/>
              </w:rPr>
            </w:pPr>
          </w:p>
        </w:tc>
        <w:tc>
          <w:tcPr>
            <w:tcW w:w="0" w:type="auto"/>
            <w:gridSpan w:val="3"/>
            <w:shd w:val="clear" w:color="auto" w:fill="auto"/>
            <w:vAlign w:val="bottom"/>
          </w:tcPr>
          <w:p w14:paraId="5F2D4C30" w14:textId="77777777" w:rsidR="00E836FB" w:rsidRDefault="00E836FB">
            <w:pPr>
              <w:rPr>
                <w:rFonts w:ascii="宋体"/>
                <w:vanish/>
              </w:rPr>
            </w:pPr>
          </w:p>
        </w:tc>
        <w:tc>
          <w:tcPr>
            <w:tcW w:w="0" w:type="auto"/>
            <w:gridSpan w:val="3"/>
            <w:shd w:val="clear" w:color="auto" w:fill="auto"/>
            <w:vAlign w:val="bottom"/>
          </w:tcPr>
          <w:p w14:paraId="5F2D4C31" w14:textId="77777777" w:rsidR="00E836FB" w:rsidRDefault="00E836FB">
            <w:pPr>
              <w:rPr>
                <w:rFonts w:ascii="宋体"/>
                <w:vanish/>
              </w:rPr>
            </w:pPr>
          </w:p>
        </w:tc>
        <w:tc>
          <w:tcPr>
            <w:tcW w:w="0" w:type="auto"/>
            <w:shd w:val="clear" w:color="auto" w:fill="auto"/>
            <w:vAlign w:val="bottom"/>
          </w:tcPr>
          <w:p w14:paraId="5F2D4C32" w14:textId="77777777" w:rsidR="00E836FB" w:rsidRDefault="00E836FB">
            <w:pPr>
              <w:rPr>
                <w:rFonts w:ascii="宋体"/>
                <w:vanish/>
              </w:rPr>
            </w:pPr>
          </w:p>
        </w:tc>
        <w:tc>
          <w:tcPr>
            <w:tcW w:w="0" w:type="auto"/>
            <w:shd w:val="clear" w:color="auto" w:fill="auto"/>
            <w:vAlign w:val="bottom"/>
          </w:tcPr>
          <w:p w14:paraId="5F2D4C33" w14:textId="77777777" w:rsidR="00E836FB" w:rsidRDefault="00E836FB">
            <w:pPr>
              <w:rPr>
                <w:rFonts w:ascii="宋体"/>
                <w:vanish/>
              </w:rPr>
            </w:pPr>
          </w:p>
        </w:tc>
        <w:tc>
          <w:tcPr>
            <w:tcW w:w="0" w:type="auto"/>
            <w:shd w:val="clear" w:color="auto" w:fill="auto"/>
            <w:vAlign w:val="bottom"/>
          </w:tcPr>
          <w:p w14:paraId="5F2D4C34" w14:textId="77777777" w:rsidR="00E836FB" w:rsidRDefault="00E836FB">
            <w:pPr>
              <w:rPr>
                <w:rFonts w:ascii="宋体"/>
                <w:vanish/>
              </w:rPr>
            </w:pPr>
          </w:p>
        </w:tc>
        <w:tc>
          <w:tcPr>
            <w:tcW w:w="0" w:type="auto"/>
            <w:shd w:val="clear" w:color="auto" w:fill="auto"/>
            <w:vAlign w:val="bottom"/>
          </w:tcPr>
          <w:p w14:paraId="5F2D4C35" w14:textId="77777777" w:rsidR="00E836FB" w:rsidRDefault="00E836FB">
            <w:pPr>
              <w:rPr>
                <w:rFonts w:ascii="宋体"/>
                <w:vanish/>
              </w:rPr>
            </w:pPr>
          </w:p>
        </w:tc>
        <w:tc>
          <w:tcPr>
            <w:tcW w:w="0" w:type="auto"/>
            <w:gridSpan w:val="3"/>
            <w:shd w:val="clear" w:color="auto" w:fill="auto"/>
            <w:vAlign w:val="bottom"/>
          </w:tcPr>
          <w:p w14:paraId="5F2D4C36" w14:textId="77777777" w:rsidR="00E836FB" w:rsidRDefault="00E836FB">
            <w:pPr>
              <w:rPr>
                <w:rFonts w:ascii="宋体"/>
                <w:vanish/>
              </w:rPr>
            </w:pPr>
          </w:p>
        </w:tc>
        <w:tc>
          <w:tcPr>
            <w:tcW w:w="0" w:type="auto"/>
            <w:gridSpan w:val="3"/>
            <w:shd w:val="clear" w:color="auto" w:fill="auto"/>
            <w:vAlign w:val="bottom"/>
          </w:tcPr>
          <w:p w14:paraId="5F2D4C37" w14:textId="77777777" w:rsidR="00E836FB" w:rsidRDefault="00E836FB">
            <w:pPr>
              <w:rPr>
                <w:rFonts w:ascii="宋体"/>
                <w:vanish/>
              </w:rPr>
            </w:pPr>
          </w:p>
        </w:tc>
        <w:tc>
          <w:tcPr>
            <w:tcW w:w="0" w:type="auto"/>
            <w:gridSpan w:val="3"/>
            <w:shd w:val="clear" w:color="auto" w:fill="auto"/>
            <w:vAlign w:val="bottom"/>
          </w:tcPr>
          <w:p w14:paraId="5F2D4C38" w14:textId="77777777" w:rsidR="00E836FB" w:rsidRDefault="00E836FB">
            <w:pPr>
              <w:rPr>
                <w:rFonts w:ascii="宋体"/>
                <w:vanish/>
              </w:rPr>
            </w:pPr>
          </w:p>
        </w:tc>
      </w:tr>
      <w:tr w:rsidR="00E836FB" w14:paraId="5F2D4C46" w14:textId="77777777">
        <w:trPr>
          <w:hidden/>
        </w:trPr>
        <w:tc>
          <w:tcPr>
            <w:tcW w:w="0" w:type="auto"/>
            <w:gridSpan w:val="3"/>
            <w:shd w:val="clear" w:color="auto" w:fill="auto"/>
            <w:vAlign w:val="bottom"/>
          </w:tcPr>
          <w:p w14:paraId="5F2D4C3A" w14:textId="77777777" w:rsidR="00E836FB" w:rsidRDefault="00E836FB">
            <w:pPr>
              <w:rPr>
                <w:rFonts w:ascii="宋体"/>
                <w:vanish/>
              </w:rPr>
            </w:pPr>
          </w:p>
        </w:tc>
        <w:tc>
          <w:tcPr>
            <w:tcW w:w="0" w:type="auto"/>
            <w:gridSpan w:val="3"/>
            <w:shd w:val="clear" w:color="auto" w:fill="auto"/>
            <w:vAlign w:val="bottom"/>
          </w:tcPr>
          <w:p w14:paraId="5F2D4C3B" w14:textId="77777777" w:rsidR="00E836FB" w:rsidRDefault="00E836FB">
            <w:pPr>
              <w:rPr>
                <w:rFonts w:ascii="宋体"/>
                <w:vanish/>
              </w:rPr>
            </w:pPr>
          </w:p>
        </w:tc>
        <w:tc>
          <w:tcPr>
            <w:tcW w:w="0" w:type="auto"/>
            <w:gridSpan w:val="3"/>
            <w:shd w:val="clear" w:color="auto" w:fill="auto"/>
            <w:vAlign w:val="bottom"/>
          </w:tcPr>
          <w:p w14:paraId="5F2D4C3C" w14:textId="77777777" w:rsidR="00E836FB" w:rsidRDefault="00E836FB">
            <w:pPr>
              <w:rPr>
                <w:rFonts w:ascii="宋体"/>
                <w:vanish/>
              </w:rPr>
            </w:pPr>
          </w:p>
        </w:tc>
        <w:tc>
          <w:tcPr>
            <w:tcW w:w="0" w:type="auto"/>
            <w:gridSpan w:val="3"/>
            <w:shd w:val="clear" w:color="auto" w:fill="auto"/>
            <w:vAlign w:val="bottom"/>
          </w:tcPr>
          <w:p w14:paraId="5F2D4C3D" w14:textId="77777777" w:rsidR="00E836FB" w:rsidRDefault="00E836FB">
            <w:pPr>
              <w:rPr>
                <w:rFonts w:ascii="宋体"/>
                <w:vanish/>
              </w:rPr>
            </w:pPr>
          </w:p>
        </w:tc>
        <w:tc>
          <w:tcPr>
            <w:tcW w:w="0" w:type="auto"/>
            <w:gridSpan w:val="3"/>
            <w:shd w:val="clear" w:color="auto" w:fill="auto"/>
            <w:vAlign w:val="bottom"/>
          </w:tcPr>
          <w:p w14:paraId="5F2D4C3E" w14:textId="77777777" w:rsidR="00E836FB" w:rsidRDefault="00E836FB">
            <w:pPr>
              <w:rPr>
                <w:rFonts w:ascii="宋体"/>
                <w:vanish/>
              </w:rPr>
            </w:pPr>
          </w:p>
        </w:tc>
        <w:tc>
          <w:tcPr>
            <w:tcW w:w="0" w:type="auto"/>
            <w:shd w:val="clear" w:color="auto" w:fill="auto"/>
            <w:vAlign w:val="bottom"/>
          </w:tcPr>
          <w:p w14:paraId="5F2D4C3F" w14:textId="77777777" w:rsidR="00E836FB" w:rsidRDefault="00E836FB">
            <w:pPr>
              <w:rPr>
                <w:rFonts w:ascii="宋体"/>
                <w:vanish/>
              </w:rPr>
            </w:pPr>
          </w:p>
        </w:tc>
        <w:tc>
          <w:tcPr>
            <w:tcW w:w="0" w:type="auto"/>
            <w:shd w:val="clear" w:color="auto" w:fill="auto"/>
            <w:vAlign w:val="bottom"/>
          </w:tcPr>
          <w:p w14:paraId="5F2D4C40" w14:textId="77777777" w:rsidR="00E836FB" w:rsidRDefault="00E836FB">
            <w:pPr>
              <w:rPr>
                <w:rFonts w:ascii="宋体"/>
                <w:vanish/>
              </w:rPr>
            </w:pPr>
          </w:p>
        </w:tc>
        <w:tc>
          <w:tcPr>
            <w:tcW w:w="0" w:type="auto"/>
            <w:shd w:val="clear" w:color="auto" w:fill="auto"/>
            <w:vAlign w:val="bottom"/>
          </w:tcPr>
          <w:p w14:paraId="5F2D4C41" w14:textId="77777777" w:rsidR="00E836FB" w:rsidRDefault="00E836FB">
            <w:pPr>
              <w:rPr>
                <w:rFonts w:ascii="宋体"/>
                <w:vanish/>
              </w:rPr>
            </w:pPr>
          </w:p>
        </w:tc>
        <w:tc>
          <w:tcPr>
            <w:tcW w:w="0" w:type="auto"/>
            <w:shd w:val="clear" w:color="auto" w:fill="auto"/>
            <w:vAlign w:val="bottom"/>
          </w:tcPr>
          <w:p w14:paraId="5F2D4C42" w14:textId="77777777" w:rsidR="00E836FB" w:rsidRDefault="00E836FB">
            <w:pPr>
              <w:rPr>
                <w:rFonts w:ascii="宋体"/>
                <w:vanish/>
              </w:rPr>
            </w:pPr>
          </w:p>
        </w:tc>
        <w:tc>
          <w:tcPr>
            <w:tcW w:w="0" w:type="auto"/>
            <w:gridSpan w:val="3"/>
            <w:shd w:val="clear" w:color="auto" w:fill="auto"/>
            <w:vAlign w:val="bottom"/>
          </w:tcPr>
          <w:p w14:paraId="5F2D4C43" w14:textId="77777777" w:rsidR="00E836FB" w:rsidRDefault="00E836FB">
            <w:pPr>
              <w:rPr>
                <w:rFonts w:ascii="宋体"/>
                <w:vanish/>
              </w:rPr>
            </w:pPr>
          </w:p>
        </w:tc>
        <w:tc>
          <w:tcPr>
            <w:tcW w:w="0" w:type="auto"/>
            <w:gridSpan w:val="3"/>
            <w:shd w:val="clear" w:color="auto" w:fill="auto"/>
            <w:vAlign w:val="bottom"/>
          </w:tcPr>
          <w:p w14:paraId="5F2D4C44" w14:textId="77777777" w:rsidR="00E836FB" w:rsidRDefault="00E836FB">
            <w:pPr>
              <w:rPr>
                <w:rFonts w:ascii="宋体"/>
                <w:vanish/>
              </w:rPr>
            </w:pPr>
          </w:p>
        </w:tc>
        <w:tc>
          <w:tcPr>
            <w:tcW w:w="0" w:type="auto"/>
            <w:gridSpan w:val="3"/>
            <w:shd w:val="clear" w:color="auto" w:fill="auto"/>
            <w:vAlign w:val="bottom"/>
          </w:tcPr>
          <w:p w14:paraId="5F2D4C45" w14:textId="77777777" w:rsidR="00E836FB" w:rsidRDefault="00E836FB">
            <w:pPr>
              <w:rPr>
                <w:rFonts w:ascii="宋体"/>
                <w:vanish/>
              </w:rPr>
            </w:pPr>
          </w:p>
        </w:tc>
      </w:tr>
      <w:tr w:rsidR="00E836FB" w14:paraId="5F2D4C53" w14:textId="77777777">
        <w:trPr>
          <w:hidden/>
        </w:trPr>
        <w:tc>
          <w:tcPr>
            <w:tcW w:w="0" w:type="auto"/>
            <w:gridSpan w:val="3"/>
            <w:shd w:val="clear" w:color="auto" w:fill="auto"/>
            <w:vAlign w:val="bottom"/>
          </w:tcPr>
          <w:p w14:paraId="5F2D4C47" w14:textId="77777777" w:rsidR="00E836FB" w:rsidRDefault="00E836FB">
            <w:pPr>
              <w:rPr>
                <w:rFonts w:ascii="宋体"/>
                <w:vanish/>
              </w:rPr>
            </w:pPr>
          </w:p>
        </w:tc>
        <w:tc>
          <w:tcPr>
            <w:tcW w:w="0" w:type="auto"/>
            <w:gridSpan w:val="3"/>
            <w:shd w:val="clear" w:color="auto" w:fill="auto"/>
            <w:vAlign w:val="bottom"/>
          </w:tcPr>
          <w:p w14:paraId="5F2D4C48" w14:textId="77777777" w:rsidR="00E836FB" w:rsidRDefault="00E836FB">
            <w:pPr>
              <w:rPr>
                <w:rFonts w:ascii="宋体"/>
                <w:vanish/>
              </w:rPr>
            </w:pPr>
          </w:p>
        </w:tc>
        <w:tc>
          <w:tcPr>
            <w:tcW w:w="0" w:type="auto"/>
            <w:gridSpan w:val="3"/>
            <w:shd w:val="clear" w:color="auto" w:fill="auto"/>
            <w:vAlign w:val="bottom"/>
          </w:tcPr>
          <w:p w14:paraId="5F2D4C49" w14:textId="77777777" w:rsidR="00E836FB" w:rsidRDefault="00E836FB">
            <w:pPr>
              <w:rPr>
                <w:rFonts w:ascii="宋体"/>
                <w:vanish/>
              </w:rPr>
            </w:pPr>
          </w:p>
        </w:tc>
        <w:tc>
          <w:tcPr>
            <w:tcW w:w="0" w:type="auto"/>
            <w:gridSpan w:val="3"/>
            <w:shd w:val="clear" w:color="auto" w:fill="auto"/>
            <w:vAlign w:val="bottom"/>
          </w:tcPr>
          <w:p w14:paraId="5F2D4C4A" w14:textId="77777777" w:rsidR="00E836FB" w:rsidRDefault="00E836FB">
            <w:pPr>
              <w:rPr>
                <w:rFonts w:ascii="宋体"/>
                <w:vanish/>
              </w:rPr>
            </w:pPr>
          </w:p>
        </w:tc>
        <w:tc>
          <w:tcPr>
            <w:tcW w:w="0" w:type="auto"/>
            <w:gridSpan w:val="3"/>
            <w:shd w:val="clear" w:color="auto" w:fill="auto"/>
            <w:vAlign w:val="bottom"/>
          </w:tcPr>
          <w:p w14:paraId="5F2D4C4B" w14:textId="77777777" w:rsidR="00E836FB" w:rsidRDefault="00E836FB">
            <w:pPr>
              <w:rPr>
                <w:rFonts w:ascii="宋体"/>
                <w:vanish/>
              </w:rPr>
            </w:pPr>
          </w:p>
        </w:tc>
        <w:tc>
          <w:tcPr>
            <w:tcW w:w="0" w:type="auto"/>
            <w:shd w:val="clear" w:color="auto" w:fill="auto"/>
            <w:vAlign w:val="bottom"/>
          </w:tcPr>
          <w:p w14:paraId="5F2D4C4C" w14:textId="77777777" w:rsidR="00E836FB" w:rsidRDefault="00E836FB">
            <w:pPr>
              <w:rPr>
                <w:rFonts w:ascii="宋体"/>
                <w:vanish/>
              </w:rPr>
            </w:pPr>
          </w:p>
        </w:tc>
        <w:tc>
          <w:tcPr>
            <w:tcW w:w="0" w:type="auto"/>
            <w:shd w:val="clear" w:color="auto" w:fill="auto"/>
            <w:vAlign w:val="bottom"/>
          </w:tcPr>
          <w:p w14:paraId="5F2D4C4D" w14:textId="77777777" w:rsidR="00E836FB" w:rsidRDefault="00E836FB">
            <w:pPr>
              <w:rPr>
                <w:rFonts w:ascii="宋体"/>
                <w:vanish/>
              </w:rPr>
            </w:pPr>
          </w:p>
        </w:tc>
        <w:tc>
          <w:tcPr>
            <w:tcW w:w="0" w:type="auto"/>
            <w:shd w:val="clear" w:color="auto" w:fill="auto"/>
            <w:vAlign w:val="bottom"/>
          </w:tcPr>
          <w:p w14:paraId="5F2D4C4E" w14:textId="77777777" w:rsidR="00E836FB" w:rsidRDefault="00E836FB">
            <w:pPr>
              <w:rPr>
                <w:rFonts w:ascii="宋体"/>
                <w:vanish/>
              </w:rPr>
            </w:pPr>
          </w:p>
        </w:tc>
        <w:tc>
          <w:tcPr>
            <w:tcW w:w="0" w:type="auto"/>
            <w:shd w:val="clear" w:color="auto" w:fill="auto"/>
            <w:vAlign w:val="bottom"/>
          </w:tcPr>
          <w:p w14:paraId="5F2D4C4F" w14:textId="77777777" w:rsidR="00E836FB" w:rsidRDefault="00E836FB">
            <w:pPr>
              <w:rPr>
                <w:rFonts w:ascii="宋体"/>
                <w:vanish/>
              </w:rPr>
            </w:pPr>
          </w:p>
        </w:tc>
        <w:tc>
          <w:tcPr>
            <w:tcW w:w="0" w:type="auto"/>
            <w:gridSpan w:val="3"/>
            <w:shd w:val="clear" w:color="auto" w:fill="auto"/>
            <w:vAlign w:val="bottom"/>
          </w:tcPr>
          <w:p w14:paraId="5F2D4C50" w14:textId="77777777" w:rsidR="00E836FB" w:rsidRDefault="00E836FB">
            <w:pPr>
              <w:rPr>
                <w:rFonts w:ascii="宋体"/>
                <w:vanish/>
              </w:rPr>
            </w:pPr>
          </w:p>
        </w:tc>
        <w:tc>
          <w:tcPr>
            <w:tcW w:w="0" w:type="auto"/>
            <w:gridSpan w:val="3"/>
            <w:shd w:val="clear" w:color="auto" w:fill="auto"/>
            <w:vAlign w:val="bottom"/>
          </w:tcPr>
          <w:p w14:paraId="5F2D4C51" w14:textId="77777777" w:rsidR="00E836FB" w:rsidRDefault="00E836FB">
            <w:pPr>
              <w:rPr>
                <w:rFonts w:ascii="宋体"/>
                <w:vanish/>
              </w:rPr>
            </w:pPr>
          </w:p>
        </w:tc>
        <w:tc>
          <w:tcPr>
            <w:tcW w:w="0" w:type="auto"/>
            <w:gridSpan w:val="3"/>
            <w:shd w:val="clear" w:color="auto" w:fill="auto"/>
            <w:vAlign w:val="bottom"/>
          </w:tcPr>
          <w:p w14:paraId="5F2D4C52" w14:textId="77777777" w:rsidR="00E836FB" w:rsidRDefault="00E836FB">
            <w:pPr>
              <w:rPr>
                <w:rFonts w:ascii="宋体"/>
                <w:vanish/>
              </w:rPr>
            </w:pPr>
          </w:p>
        </w:tc>
      </w:tr>
      <w:tr w:rsidR="00E836FB" w14:paraId="5F2D4C60" w14:textId="77777777">
        <w:trPr>
          <w:hidden/>
        </w:trPr>
        <w:tc>
          <w:tcPr>
            <w:tcW w:w="0" w:type="auto"/>
            <w:gridSpan w:val="3"/>
            <w:shd w:val="clear" w:color="auto" w:fill="auto"/>
            <w:vAlign w:val="bottom"/>
          </w:tcPr>
          <w:p w14:paraId="5F2D4C54" w14:textId="77777777" w:rsidR="00E836FB" w:rsidRDefault="00E836FB">
            <w:pPr>
              <w:rPr>
                <w:rFonts w:ascii="宋体"/>
                <w:vanish/>
              </w:rPr>
            </w:pPr>
          </w:p>
        </w:tc>
        <w:tc>
          <w:tcPr>
            <w:tcW w:w="0" w:type="auto"/>
            <w:gridSpan w:val="3"/>
            <w:shd w:val="clear" w:color="auto" w:fill="auto"/>
            <w:vAlign w:val="bottom"/>
          </w:tcPr>
          <w:p w14:paraId="5F2D4C55" w14:textId="77777777" w:rsidR="00E836FB" w:rsidRDefault="00E836FB">
            <w:pPr>
              <w:rPr>
                <w:rFonts w:ascii="宋体"/>
                <w:vanish/>
              </w:rPr>
            </w:pPr>
          </w:p>
        </w:tc>
        <w:tc>
          <w:tcPr>
            <w:tcW w:w="0" w:type="auto"/>
            <w:gridSpan w:val="3"/>
            <w:shd w:val="clear" w:color="auto" w:fill="auto"/>
            <w:vAlign w:val="bottom"/>
          </w:tcPr>
          <w:p w14:paraId="5F2D4C56" w14:textId="77777777" w:rsidR="00E836FB" w:rsidRDefault="00E836FB">
            <w:pPr>
              <w:rPr>
                <w:rFonts w:ascii="宋体"/>
                <w:vanish/>
              </w:rPr>
            </w:pPr>
          </w:p>
        </w:tc>
        <w:tc>
          <w:tcPr>
            <w:tcW w:w="0" w:type="auto"/>
            <w:gridSpan w:val="3"/>
            <w:shd w:val="clear" w:color="auto" w:fill="auto"/>
            <w:vAlign w:val="bottom"/>
          </w:tcPr>
          <w:p w14:paraId="5F2D4C57" w14:textId="77777777" w:rsidR="00E836FB" w:rsidRDefault="00E836FB">
            <w:pPr>
              <w:rPr>
                <w:rFonts w:ascii="宋体"/>
                <w:vanish/>
              </w:rPr>
            </w:pPr>
          </w:p>
        </w:tc>
        <w:tc>
          <w:tcPr>
            <w:tcW w:w="0" w:type="auto"/>
            <w:gridSpan w:val="3"/>
            <w:shd w:val="clear" w:color="auto" w:fill="auto"/>
            <w:vAlign w:val="bottom"/>
          </w:tcPr>
          <w:p w14:paraId="5F2D4C58" w14:textId="77777777" w:rsidR="00E836FB" w:rsidRDefault="00E836FB">
            <w:pPr>
              <w:rPr>
                <w:rFonts w:ascii="宋体"/>
                <w:vanish/>
              </w:rPr>
            </w:pPr>
          </w:p>
        </w:tc>
        <w:tc>
          <w:tcPr>
            <w:tcW w:w="0" w:type="auto"/>
            <w:shd w:val="clear" w:color="auto" w:fill="auto"/>
            <w:vAlign w:val="bottom"/>
          </w:tcPr>
          <w:p w14:paraId="5F2D4C59" w14:textId="77777777" w:rsidR="00E836FB" w:rsidRDefault="00E836FB">
            <w:pPr>
              <w:rPr>
                <w:rFonts w:ascii="宋体"/>
                <w:vanish/>
              </w:rPr>
            </w:pPr>
          </w:p>
        </w:tc>
        <w:tc>
          <w:tcPr>
            <w:tcW w:w="0" w:type="auto"/>
            <w:shd w:val="clear" w:color="auto" w:fill="auto"/>
            <w:vAlign w:val="bottom"/>
          </w:tcPr>
          <w:p w14:paraId="5F2D4C5A" w14:textId="77777777" w:rsidR="00E836FB" w:rsidRDefault="00E836FB">
            <w:pPr>
              <w:rPr>
                <w:rFonts w:ascii="宋体"/>
                <w:vanish/>
              </w:rPr>
            </w:pPr>
          </w:p>
        </w:tc>
        <w:tc>
          <w:tcPr>
            <w:tcW w:w="0" w:type="auto"/>
            <w:shd w:val="clear" w:color="auto" w:fill="auto"/>
            <w:vAlign w:val="bottom"/>
          </w:tcPr>
          <w:p w14:paraId="5F2D4C5B" w14:textId="77777777" w:rsidR="00E836FB" w:rsidRDefault="00E836FB">
            <w:pPr>
              <w:rPr>
                <w:rFonts w:ascii="宋体"/>
                <w:vanish/>
              </w:rPr>
            </w:pPr>
          </w:p>
        </w:tc>
        <w:tc>
          <w:tcPr>
            <w:tcW w:w="0" w:type="auto"/>
            <w:shd w:val="clear" w:color="auto" w:fill="auto"/>
            <w:vAlign w:val="bottom"/>
          </w:tcPr>
          <w:p w14:paraId="5F2D4C5C" w14:textId="77777777" w:rsidR="00E836FB" w:rsidRDefault="00E836FB">
            <w:pPr>
              <w:rPr>
                <w:rFonts w:ascii="宋体"/>
                <w:vanish/>
              </w:rPr>
            </w:pPr>
          </w:p>
        </w:tc>
        <w:tc>
          <w:tcPr>
            <w:tcW w:w="0" w:type="auto"/>
            <w:gridSpan w:val="3"/>
            <w:shd w:val="clear" w:color="auto" w:fill="auto"/>
            <w:vAlign w:val="bottom"/>
          </w:tcPr>
          <w:p w14:paraId="5F2D4C5D" w14:textId="77777777" w:rsidR="00E836FB" w:rsidRDefault="00E836FB">
            <w:pPr>
              <w:rPr>
                <w:rFonts w:ascii="宋体"/>
                <w:vanish/>
              </w:rPr>
            </w:pPr>
          </w:p>
        </w:tc>
        <w:tc>
          <w:tcPr>
            <w:tcW w:w="0" w:type="auto"/>
            <w:gridSpan w:val="3"/>
            <w:shd w:val="clear" w:color="auto" w:fill="auto"/>
            <w:vAlign w:val="bottom"/>
          </w:tcPr>
          <w:p w14:paraId="5F2D4C5E" w14:textId="77777777" w:rsidR="00E836FB" w:rsidRDefault="00E836FB">
            <w:pPr>
              <w:rPr>
                <w:rFonts w:ascii="宋体"/>
                <w:vanish/>
              </w:rPr>
            </w:pPr>
          </w:p>
        </w:tc>
        <w:tc>
          <w:tcPr>
            <w:tcW w:w="0" w:type="auto"/>
            <w:gridSpan w:val="3"/>
            <w:shd w:val="clear" w:color="auto" w:fill="auto"/>
            <w:vAlign w:val="bottom"/>
          </w:tcPr>
          <w:p w14:paraId="5F2D4C5F" w14:textId="77777777" w:rsidR="00E836FB" w:rsidRDefault="00E836FB">
            <w:pPr>
              <w:rPr>
                <w:rFonts w:ascii="宋体"/>
                <w:vanish/>
              </w:rPr>
            </w:pPr>
          </w:p>
        </w:tc>
      </w:tr>
      <w:tr w:rsidR="00E836FB" w14:paraId="5F2D4C6D" w14:textId="77777777">
        <w:trPr>
          <w:hidden/>
        </w:trPr>
        <w:tc>
          <w:tcPr>
            <w:tcW w:w="0" w:type="auto"/>
            <w:gridSpan w:val="3"/>
            <w:shd w:val="clear" w:color="auto" w:fill="auto"/>
            <w:vAlign w:val="bottom"/>
          </w:tcPr>
          <w:p w14:paraId="5F2D4C61" w14:textId="77777777" w:rsidR="00E836FB" w:rsidRDefault="00E836FB">
            <w:pPr>
              <w:rPr>
                <w:rFonts w:ascii="宋体"/>
                <w:vanish/>
              </w:rPr>
            </w:pPr>
          </w:p>
        </w:tc>
        <w:tc>
          <w:tcPr>
            <w:tcW w:w="0" w:type="auto"/>
            <w:gridSpan w:val="3"/>
            <w:shd w:val="clear" w:color="auto" w:fill="auto"/>
            <w:vAlign w:val="bottom"/>
          </w:tcPr>
          <w:p w14:paraId="5F2D4C62" w14:textId="77777777" w:rsidR="00E836FB" w:rsidRDefault="00E836FB">
            <w:pPr>
              <w:rPr>
                <w:rFonts w:ascii="宋体"/>
                <w:vanish/>
              </w:rPr>
            </w:pPr>
          </w:p>
        </w:tc>
        <w:tc>
          <w:tcPr>
            <w:tcW w:w="0" w:type="auto"/>
            <w:gridSpan w:val="3"/>
            <w:shd w:val="clear" w:color="auto" w:fill="auto"/>
            <w:vAlign w:val="bottom"/>
          </w:tcPr>
          <w:p w14:paraId="5F2D4C63" w14:textId="77777777" w:rsidR="00E836FB" w:rsidRDefault="00E836FB">
            <w:pPr>
              <w:rPr>
                <w:rFonts w:ascii="宋体"/>
                <w:vanish/>
              </w:rPr>
            </w:pPr>
          </w:p>
        </w:tc>
        <w:tc>
          <w:tcPr>
            <w:tcW w:w="0" w:type="auto"/>
            <w:gridSpan w:val="3"/>
            <w:shd w:val="clear" w:color="auto" w:fill="auto"/>
            <w:vAlign w:val="bottom"/>
          </w:tcPr>
          <w:p w14:paraId="5F2D4C64" w14:textId="77777777" w:rsidR="00E836FB" w:rsidRDefault="00E836FB">
            <w:pPr>
              <w:rPr>
                <w:rFonts w:ascii="宋体"/>
                <w:vanish/>
              </w:rPr>
            </w:pPr>
          </w:p>
        </w:tc>
        <w:tc>
          <w:tcPr>
            <w:tcW w:w="0" w:type="auto"/>
            <w:gridSpan w:val="3"/>
            <w:shd w:val="clear" w:color="auto" w:fill="auto"/>
            <w:vAlign w:val="bottom"/>
          </w:tcPr>
          <w:p w14:paraId="5F2D4C65" w14:textId="77777777" w:rsidR="00E836FB" w:rsidRDefault="00E836FB">
            <w:pPr>
              <w:rPr>
                <w:rFonts w:ascii="宋体"/>
                <w:vanish/>
              </w:rPr>
            </w:pPr>
          </w:p>
        </w:tc>
        <w:tc>
          <w:tcPr>
            <w:tcW w:w="0" w:type="auto"/>
            <w:shd w:val="clear" w:color="auto" w:fill="auto"/>
            <w:vAlign w:val="bottom"/>
          </w:tcPr>
          <w:p w14:paraId="5F2D4C66" w14:textId="77777777" w:rsidR="00E836FB" w:rsidRDefault="00E836FB">
            <w:pPr>
              <w:rPr>
                <w:rFonts w:ascii="宋体"/>
                <w:vanish/>
              </w:rPr>
            </w:pPr>
          </w:p>
        </w:tc>
        <w:tc>
          <w:tcPr>
            <w:tcW w:w="0" w:type="auto"/>
            <w:shd w:val="clear" w:color="auto" w:fill="auto"/>
            <w:vAlign w:val="bottom"/>
          </w:tcPr>
          <w:p w14:paraId="5F2D4C67" w14:textId="77777777" w:rsidR="00E836FB" w:rsidRDefault="00E836FB">
            <w:pPr>
              <w:rPr>
                <w:rFonts w:ascii="宋体"/>
                <w:vanish/>
              </w:rPr>
            </w:pPr>
          </w:p>
        </w:tc>
        <w:tc>
          <w:tcPr>
            <w:tcW w:w="0" w:type="auto"/>
            <w:shd w:val="clear" w:color="auto" w:fill="auto"/>
            <w:vAlign w:val="bottom"/>
          </w:tcPr>
          <w:p w14:paraId="5F2D4C68" w14:textId="77777777" w:rsidR="00E836FB" w:rsidRDefault="00E836FB">
            <w:pPr>
              <w:rPr>
                <w:rFonts w:ascii="宋体"/>
                <w:vanish/>
              </w:rPr>
            </w:pPr>
          </w:p>
        </w:tc>
        <w:tc>
          <w:tcPr>
            <w:tcW w:w="0" w:type="auto"/>
            <w:shd w:val="clear" w:color="auto" w:fill="auto"/>
            <w:vAlign w:val="bottom"/>
          </w:tcPr>
          <w:p w14:paraId="5F2D4C69" w14:textId="77777777" w:rsidR="00E836FB" w:rsidRDefault="00E836FB">
            <w:pPr>
              <w:rPr>
                <w:rFonts w:ascii="宋体"/>
                <w:vanish/>
              </w:rPr>
            </w:pPr>
          </w:p>
        </w:tc>
        <w:tc>
          <w:tcPr>
            <w:tcW w:w="0" w:type="auto"/>
            <w:gridSpan w:val="3"/>
            <w:shd w:val="clear" w:color="auto" w:fill="auto"/>
            <w:vAlign w:val="bottom"/>
          </w:tcPr>
          <w:p w14:paraId="5F2D4C6A" w14:textId="77777777" w:rsidR="00E836FB" w:rsidRDefault="00E836FB">
            <w:pPr>
              <w:rPr>
                <w:rFonts w:ascii="宋体"/>
                <w:vanish/>
              </w:rPr>
            </w:pPr>
          </w:p>
        </w:tc>
        <w:tc>
          <w:tcPr>
            <w:tcW w:w="0" w:type="auto"/>
            <w:gridSpan w:val="3"/>
            <w:shd w:val="clear" w:color="auto" w:fill="auto"/>
            <w:vAlign w:val="bottom"/>
          </w:tcPr>
          <w:p w14:paraId="5F2D4C6B" w14:textId="77777777" w:rsidR="00E836FB" w:rsidRDefault="00E836FB">
            <w:pPr>
              <w:rPr>
                <w:rFonts w:ascii="宋体"/>
                <w:vanish/>
              </w:rPr>
            </w:pPr>
          </w:p>
        </w:tc>
        <w:tc>
          <w:tcPr>
            <w:tcW w:w="0" w:type="auto"/>
            <w:gridSpan w:val="3"/>
            <w:shd w:val="clear" w:color="auto" w:fill="auto"/>
            <w:vAlign w:val="bottom"/>
          </w:tcPr>
          <w:p w14:paraId="5F2D4C6C" w14:textId="77777777" w:rsidR="00E836FB" w:rsidRDefault="00E836FB">
            <w:pPr>
              <w:rPr>
                <w:rFonts w:ascii="宋体"/>
                <w:vanish/>
              </w:rPr>
            </w:pPr>
          </w:p>
        </w:tc>
      </w:tr>
      <w:tr w:rsidR="00E836FB" w14:paraId="5F2D4C7A" w14:textId="77777777">
        <w:trPr>
          <w:hidden/>
        </w:trPr>
        <w:tc>
          <w:tcPr>
            <w:tcW w:w="0" w:type="auto"/>
            <w:gridSpan w:val="3"/>
            <w:shd w:val="clear" w:color="auto" w:fill="auto"/>
            <w:vAlign w:val="bottom"/>
          </w:tcPr>
          <w:p w14:paraId="5F2D4C6E" w14:textId="77777777" w:rsidR="00E836FB" w:rsidRDefault="00E836FB">
            <w:pPr>
              <w:rPr>
                <w:rFonts w:ascii="宋体"/>
                <w:vanish/>
              </w:rPr>
            </w:pPr>
          </w:p>
        </w:tc>
        <w:tc>
          <w:tcPr>
            <w:tcW w:w="0" w:type="auto"/>
            <w:gridSpan w:val="3"/>
            <w:shd w:val="clear" w:color="auto" w:fill="auto"/>
            <w:vAlign w:val="bottom"/>
          </w:tcPr>
          <w:p w14:paraId="5F2D4C6F" w14:textId="77777777" w:rsidR="00E836FB" w:rsidRDefault="00E836FB">
            <w:pPr>
              <w:rPr>
                <w:rFonts w:ascii="宋体"/>
                <w:vanish/>
              </w:rPr>
            </w:pPr>
          </w:p>
        </w:tc>
        <w:tc>
          <w:tcPr>
            <w:tcW w:w="0" w:type="auto"/>
            <w:gridSpan w:val="3"/>
            <w:shd w:val="clear" w:color="auto" w:fill="auto"/>
            <w:vAlign w:val="bottom"/>
          </w:tcPr>
          <w:p w14:paraId="5F2D4C70" w14:textId="77777777" w:rsidR="00E836FB" w:rsidRDefault="00E836FB">
            <w:pPr>
              <w:rPr>
                <w:rFonts w:ascii="宋体"/>
                <w:vanish/>
              </w:rPr>
            </w:pPr>
          </w:p>
        </w:tc>
        <w:tc>
          <w:tcPr>
            <w:tcW w:w="0" w:type="auto"/>
            <w:gridSpan w:val="3"/>
            <w:shd w:val="clear" w:color="auto" w:fill="auto"/>
            <w:vAlign w:val="bottom"/>
          </w:tcPr>
          <w:p w14:paraId="5F2D4C71" w14:textId="77777777" w:rsidR="00E836FB" w:rsidRDefault="00E836FB">
            <w:pPr>
              <w:rPr>
                <w:rFonts w:ascii="宋体"/>
                <w:vanish/>
              </w:rPr>
            </w:pPr>
          </w:p>
        </w:tc>
        <w:tc>
          <w:tcPr>
            <w:tcW w:w="0" w:type="auto"/>
            <w:gridSpan w:val="3"/>
            <w:shd w:val="clear" w:color="auto" w:fill="auto"/>
            <w:vAlign w:val="bottom"/>
          </w:tcPr>
          <w:p w14:paraId="5F2D4C72" w14:textId="77777777" w:rsidR="00E836FB" w:rsidRDefault="00E836FB">
            <w:pPr>
              <w:rPr>
                <w:rFonts w:ascii="宋体"/>
                <w:vanish/>
              </w:rPr>
            </w:pPr>
          </w:p>
        </w:tc>
        <w:tc>
          <w:tcPr>
            <w:tcW w:w="0" w:type="auto"/>
            <w:shd w:val="clear" w:color="auto" w:fill="auto"/>
            <w:vAlign w:val="bottom"/>
          </w:tcPr>
          <w:p w14:paraId="5F2D4C73" w14:textId="77777777" w:rsidR="00E836FB" w:rsidRDefault="00E836FB">
            <w:pPr>
              <w:rPr>
                <w:rFonts w:ascii="宋体"/>
                <w:vanish/>
              </w:rPr>
            </w:pPr>
          </w:p>
        </w:tc>
        <w:tc>
          <w:tcPr>
            <w:tcW w:w="0" w:type="auto"/>
            <w:shd w:val="clear" w:color="auto" w:fill="auto"/>
            <w:vAlign w:val="bottom"/>
          </w:tcPr>
          <w:p w14:paraId="5F2D4C74" w14:textId="77777777" w:rsidR="00E836FB" w:rsidRDefault="00E836FB">
            <w:pPr>
              <w:rPr>
                <w:rFonts w:ascii="宋体"/>
                <w:vanish/>
              </w:rPr>
            </w:pPr>
          </w:p>
        </w:tc>
        <w:tc>
          <w:tcPr>
            <w:tcW w:w="0" w:type="auto"/>
            <w:shd w:val="clear" w:color="auto" w:fill="auto"/>
            <w:vAlign w:val="bottom"/>
          </w:tcPr>
          <w:p w14:paraId="5F2D4C75" w14:textId="77777777" w:rsidR="00E836FB" w:rsidRDefault="00E836FB">
            <w:pPr>
              <w:rPr>
                <w:rFonts w:ascii="宋体"/>
                <w:vanish/>
              </w:rPr>
            </w:pPr>
          </w:p>
        </w:tc>
        <w:tc>
          <w:tcPr>
            <w:tcW w:w="0" w:type="auto"/>
            <w:shd w:val="clear" w:color="auto" w:fill="auto"/>
            <w:vAlign w:val="bottom"/>
          </w:tcPr>
          <w:p w14:paraId="5F2D4C76" w14:textId="77777777" w:rsidR="00E836FB" w:rsidRDefault="00E836FB">
            <w:pPr>
              <w:rPr>
                <w:rFonts w:ascii="宋体"/>
                <w:vanish/>
              </w:rPr>
            </w:pPr>
          </w:p>
        </w:tc>
        <w:tc>
          <w:tcPr>
            <w:tcW w:w="0" w:type="auto"/>
            <w:gridSpan w:val="3"/>
            <w:shd w:val="clear" w:color="auto" w:fill="auto"/>
            <w:vAlign w:val="bottom"/>
          </w:tcPr>
          <w:p w14:paraId="5F2D4C77" w14:textId="77777777" w:rsidR="00E836FB" w:rsidRDefault="00E836FB">
            <w:pPr>
              <w:rPr>
                <w:rFonts w:ascii="宋体"/>
                <w:vanish/>
              </w:rPr>
            </w:pPr>
          </w:p>
        </w:tc>
        <w:tc>
          <w:tcPr>
            <w:tcW w:w="0" w:type="auto"/>
            <w:gridSpan w:val="3"/>
            <w:shd w:val="clear" w:color="auto" w:fill="auto"/>
            <w:vAlign w:val="bottom"/>
          </w:tcPr>
          <w:p w14:paraId="5F2D4C78" w14:textId="77777777" w:rsidR="00E836FB" w:rsidRDefault="00E836FB">
            <w:pPr>
              <w:rPr>
                <w:rFonts w:ascii="宋体"/>
                <w:vanish/>
              </w:rPr>
            </w:pPr>
          </w:p>
        </w:tc>
        <w:tc>
          <w:tcPr>
            <w:tcW w:w="0" w:type="auto"/>
            <w:gridSpan w:val="3"/>
            <w:shd w:val="clear" w:color="auto" w:fill="auto"/>
            <w:vAlign w:val="bottom"/>
          </w:tcPr>
          <w:p w14:paraId="5F2D4C79" w14:textId="77777777" w:rsidR="00E836FB" w:rsidRDefault="00E836FB">
            <w:pPr>
              <w:rPr>
                <w:rFonts w:ascii="宋体"/>
                <w:vanish/>
              </w:rPr>
            </w:pPr>
          </w:p>
        </w:tc>
      </w:tr>
      <w:tr w:rsidR="00E836FB" w14:paraId="5F2D4C87" w14:textId="77777777">
        <w:trPr>
          <w:hidden/>
        </w:trPr>
        <w:tc>
          <w:tcPr>
            <w:tcW w:w="0" w:type="auto"/>
            <w:gridSpan w:val="3"/>
            <w:shd w:val="clear" w:color="auto" w:fill="auto"/>
            <w:vAlign w:val="bottom"/>
          </w:tcPr>
          <w:p w14:paraId="5F2D4C7B" w14:textId="77777777" w:rsidR="00E836FB" w:rsidRDefault="00E836FB">
            <w:pPr>
              <w:rPr>
                <w:rFonts w:ascii="宋体"/>
                <w:vanish/>
              </w:rPr>
            </w:pPr>
          </w:p>
        </w:tc>
        <w:tc>
          <w:tcPr>
            <w:tcW w:w="0" w:type="auto"/>
            <w:gridSpan w:val="3"/>
            <w:shd w:val="clear" w:color="auto" w:fill="auto"/>
            <w:vAlign w:val="bottom"/>
          </w:tcPr>
          <w:p w14:paraId="5F2D4C7C" w14:textId="77777777" w:rsidR="00E836FB" w:rsidRDefault="00E836FB">
            <w:pPr>
              <w:rPr>
                <w:rFonts w:ascii="宋体"/>
                <w:vanish/>
              </w:rPr>
            </w:pPr>
          </w:p>
        </w:tc>
        <w:tc>
          <w:tcPr>
            <w:tcW w:w="0" w:type="auto"/>
            <w:gridSpan w:val="3"/>
            <w:shd w:val="clear" w:color="auto" w:fill="auto"/>
            <w:vAlign w:val="bottom"/>
          </w:tcPr>
          <w:p w14:paraId="5F2D4C7D" w14:textId="77777777" w:rsidR="00E836FB" w:rsidRDefault="00E836FB">
            <w:pPr>
              <w:rPr>
                <w:rFonts w:ascii="宋体"/>
                <w:vanish/>
              </w:rPr>
            </w:pPr>
          </w:p>
        </w:tc>
        <w:tc>
          <w:tcPr>
            <w:tcW w:w="0" w:type="auto"/>
            <w:gridSpan w:val="3"/>
            <w:shd w:val="clear" w:color="auto" w:fill="auto"/>
            <w:vAlign w:val="bottom"/>
          </w:tcPr>
          <w:p w14:paraId="5F2D4C7E" w14:textId="77777777" w:rsidR="00E836FB" w:rsidRDefault="00E836FB">
            <w:pPr>
              <w:rPr>
                <w:rFonts w:ascii="宋体"/>
                <w:vanish/>
              </w:rPr>
            </w:pPr>
          </w:p>
        </w:tc>
        <w:tc>
          <w:tcPr>
            <w:tcW w:w="0" w:type="auto"/>
            <w:gridSpan w:val="3"/>
            <w:shd w:val="clear" w:color="auto" w:fill="auto"/>
            <w:vAlign w:val="bottom"/>
          </w:tcPr>
          <w:p w14:paraId="5F2D4C7F" w14:textId="77777777" w:rsidR="00E836FB" w:rsidRDefault="00E836FB">
            <w:pPr>
              <w:rPr>
                <w:rFonts w:ascii="宋体"/>
                <w:vanish/>
              </w:rPr>
            </w:pPr>
          </w:p>
        </w:tc>
        <w:tc>
          <w:tcPr>
            <w:tcW w:w="0" w:type="auto"/>
            <w:shd w:val="clear" w:color="auto" w:fill="auto"/>
            <w:vAlign w:val="bottom"/>
          </w:tcPr>
          <w:p w14:paraId="5F2D4C80" w14:textId="77777777" w:rsidR="00E836FB" w:rsidRDefault="00E836FB">
            <w:pPr>
              <w:rPr>
                <w:rFonts w:ascii="宋体"/>
                <w:vanish/>
              </w:rPr>
            </w:pPr>
          </w:p>
        </w:tc>
        <w:tc>
          <w:tcPr>
            <w:tcW w:w="0" w:type="auto"/>
            <w:shd w:val="clear" w:color="auto" w:fill="auto"/>
            <w:vAlign w:val="bottom"/>
          </w:tcPr>
          <w:p w14:paraId="5F2D4C81" w14:textId="77777777" w:rsidR="00E836FB" w:rsidRDefault="00E836FB">
            <w:pPr>
              <w:rPr>
                <w:rFonts w:ascii="宋体"/>
                <w:vanish/>
              </w:rPr>
            </w:pPr>
          </w:p>
        </w:tc>
        <w:tc>
          <w:tcPr>
            <w:tcW w:w="0" w:type="auto"/>
            <w:shd w:val="clear" w:color="auto" w:fill="auto"/>
            <w:vAlign w:val="bottom"/>
          </w:tcPr>
          <w:p w14:paraId="5F2D4C82" w14:textId="77777777" w:rsidR="00E836FB" w:rsidRDefault="00E836FB">
            <w:pPr>
              <w:rPr>
                <w:rFonts w:ascii="宋体"/>
                <w:vanish/>
              </w:rPr>
            </w:pPr>
          </w:p>
        </w:tc>
        <w:tc>
          <w:tcPr>
            <w:tcW w:w="0" w:type="auto"/>
            <w:shd w:val="clear" w:color="auto" w:fill="auto"/>
            <w:vAlign w:val="bottom"/>
          </w:tcPr>
          <w:p w14:paraId="5F2D4C83" w14:textId="77777777" w:rsidR="00E836FB" w:rsidRDefault="00E836FB">
            <w:pPr>
              <w:rPr>
                <w:rFonts w:ascii="宋体"/>
                <w:vanish/>
              </w:rPr>
            </w:pPr>
          </w:p>
        </w:tc>
        <w:tc>
          <w:tcPr>
            <w:tcW w:w="0" w:type="auto"/>
            <w:gridSpan w:val="3"/>
            <w:shd w:val="clear" w:color="auto" w:fill="auto"/>
            <w:vAlign w:val="bottom"/>
          </w:tcPr>
          <w:p w14:paraId="5F2D4C84" w14:textId="77777777" w:rsidR="00E836FB" w:rsidRDefault="00E836FB">
            <w:pPr>
              <w:rPr>
                <w:rFonts w:ascii="宋体"/>
                <w:vanish/>
              </w:rPr>
            </w:pPr>
          </w:p>
        </w:tc>
        <w:tc>
          <w:tcPr>
            <w:tcW w:w="0" w:type="auto"/>
            <w:gridSpan w:val="3"/>
            <w:shd w:val="clear" w:color="auto" w:fill="auto"/>
            <w:vAlign w:val="bottom"/>
          </w:tcPr>
          <w:p w14:paraId="5F2D4C85" w14:textId="77777777" w:rsidR="00E836FB" w:rsidRDefault="00E836FB">
            <w:pPr>
              <w:rPr>
                <w:rFonts w:ascii="宋体"/>
                <w:vanish/>
              </w:rPr>
            </w:pPr>
          </w:p>
        </w:tc>
        <w:tc>
          <w:tcPr>
            <w:tcW w:w="0" w:type="auto"/>
            <w:gridSpan w:val="3"/>
            <w:shd w:val="clear" w:color="auto" w:fill="auto"/>
            <w:vAlign w:val="bottom"/>
          </w:tcPr>
          <w:p w14:paraId="5F2D4C86" w14:textId="77777777" w:rsidR="00E836FB" w:rsidRDefault="00E836FB">
            <w:pPr>
              <w:rPr>
                <w:rFonts w:ascii="宋体"/>
                <w:vanish/>
              </w:rPr>
            </w:pPr>
          </w:p>
        </w:tc>
      </w:tr>
      <w:tr w:rsidR="00E836FB" w14:paraId="5F2D4C9C" w14:textId="77777777">
        <w:tc>
          <w:tcPr>
            <w:tcW w:w="0" w:type="auto"/>
            <w:gridSpan w:val="3"/>
            <w:shd w:val="clear" w:color="auto" w:fill="CCEEFF"/>
            <w:tcMar>
              <w:top w:w="40" w:type="dxa"/>
              <w:left w:w="20" w:type="dxa"/>
              <w:bottom w:w="40" w:type="dxa"/>
              <w:right w:w="20" w:type="dxa"/>
            </w:tcMar>
            <w:vAlign w:val="bottom"/>
          </w:tcPr>
          <w:p w14:paraId="5F2D4C88" w14:textId="77777777" w:rsidR="00E836FB" w:rsidRDefault="00994958">
            <w:pPr>
              <w:textAlignment w:val="bottom"/>
            </w:pPr>
            <w:r>
              <w:rPr>
                <w:rFonts w:ascii="Arial" w:eastAsia="宋体" w:hAnsi="Arial" w:cs="Arial"/>
                <w:b/>
                <w:bCs/>
                <w:color w:val="000000"/>
                <w:sz w:val="14"/>
                <w:szCs w:val="14"/>
              </w:rPr>
              <w:t>Accrual Balance at December 31, 2018</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4C8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C8A" w14:textId="77777777" w:rsidR="00E836FB" w:rsidRDefault="00994958">
            <w:pPr>
              <w:jc w:val="right"/>
              <w:textAlignment w:val="bottom"/>
            </w:pPr>
            <w:r>
              <w:rPr>
                <w:rFonts w:ascii="Arial" w:eastAsia="宋体" w:hAnsi="Arial" w:cs="Arial"/>
                <w:color w:val="000000"/>
                <w:sz w:val="14"/>
                <w:szCs w:val="14"/>
              </w:rPr>
              <w:t>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8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C8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C8E" w14:textId="77777777" w:rsidR="00E836FB" w:rsidRDefault="00994958">
            <w:pPr>
              <w:jc w:val="right"/>
              <w:textAlignment w:val="bottom"/>
            </w:pPr>
            <w:r>
              <w:rPr>
                <w:rFonts w:ascii="Arial" w:eastAsia="宋体" w:hAnsi="Arial" w:cs="Arial"/>
                <w:color w:val="000000"/>
                <w:sz w:val="14"/>
                <w:szCs w:val="14"/>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90" w14:textId="77777777" w:rsidR="00E836FB" w:rsidRDefault="00E836FB">
            <w:pPr>
              <w:rPr>
                <w:rFonts w:ascii="宋体"/>
              </w:rPr>
            </w:pPr>
          </w:p>
        </w:tc>
        <w:tc>
          <w:tcPr>
            <w:tcW w:w="0" w:type="auto"/>
            <w:shd w:val="clear" w:color="auto" w:fill="auto"/>
            <w:vAlign w:val="bottom"/>
          </w:tcPr>
          <w:p w14:paraId="5F2D4C91" w14:textId="77777777" w:rsidR="00E836FB" w:rsidRDefault="00E836FB">
            <w:pPr>
              <w:rPr>
                <w:rFonts w:ascii="宋体"/>
                <w:vanish/>
              </w:rPr>
            </w:pPr>
          </w:p>
        </w:tc>
        <w:tc>
          <w:tcPr>
            <w:tcW w:w="0" w:type="auto"/>
            <w:shd w:val="clear" w:color="auto" w:fill="auto"/>
            <w:vAlign w:val="bottom"/>
          </w:tcPr>
          <w:p w14:paraId="5F2D4C92" w14:textId="77777777" w:rsidR="00E836FB" w:rsidRDefault="00E836FB">
            <w:pPr>
              <w:rPr>
                <w:rFonts w:ascii="宋体"/>
                <w:vanish/>
              </w:rPr>
            </w:pPr>
          </w:p>
        </w:tc>
        <w:tc>
          <w:tcPr>
            <w:tcW w:w="0" w:type="auto"/>
            <w:shd w:val="clear" w:color="auto" w:fill="auto"/>
            <w:vAlign w:val="bottom"/>
          </w:tcPr>
          <w:p w14:paraId="5F2D4C93" w14:textId="77777777" w:rsidR="00E836FB" w:rsidRDefault="00E836FB">
            <w:pPr>
              <w:rPr>
                <w:rFonts w:ascii="宋体"/>
                <w:vanish/>
              </w:rPr>
            </w:pPr>
          </w:p>
        </w:tc>
        <w:tc>
          <w:tcPr>
            <w:tcW w:w="0" w:type="auto"/>
            <w:shd w:val="clear" w:color="auto" w:fill="auto"/>
            <w:vAlign w:val="bottom"/>
          </w:tcPr>
          <w:p w14:paraId="5F2D4C94" w14:textId="77777777" w:rsidR="00E836FB" w:rsidRDefault="00E836F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C9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C96" w14:textId="77777777" w:rsidR="00E836FB" w:rsidRDefault="00994958">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9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C9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C9A" w14:textId="77777777" w:rsidR="00E836FB" w:rsidRDefault="00994958">
            <w:pPr>
              <w:jc w:val="right"/>
              <w:textAlignment w:val="bottom"/>
            </w:pPr>
            <w:r>
              <w:rPr>
                <w:rFonts w:ascii="Arial" w:eastAsia="宋体" w:hAnsi="Arial" w:cs="Arial"/>
                <w:color w:val="000000"/>
                <w:sz w:val="14"/>
                <w:szCs w:val="14"/>
              </w:rPr>
              <w:t>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9B" w14:textId="77777777" w:rsidR="00E836FB" w:rsidRDefault="00E836FB">
            <w:pPr>
              <w:jc w:val="right"/>
              <w:rPr>
                <w:rFonts w:ascii="宋体"/>
              </w:rPr>
            </w:pPr>
          </w:p>
        </w:tc>
      </w:tr>
      <w:tr w:rsidR="00E836FB" w14:paraId="5F2D4CAD" w14:textId="77777777">
        <w:tc>
          <w:tcPr>
            <w:tcW w:w="0" w:type="auto"/>
            <w:gridSpan w:val="3"/>
            <w:shd w:val="clear" w:color="auto" w:fill="FFFFFF"/>
            <w:tcMar>
              <w:top w:w="40" w:type="dxa"/>
              <w:left w:w="20" w:type="dxa"/>
              <w:bottom w:w="40" w:type="dxa"/>
              <w:right w:w="20" w:type="dxa"/>
            </w:tcMar>
            <w:vAlign w:val="bottom"/>
          </w:tcPr>
          <w:p w14:paraId="5F2D4C9D" w14:textId="77777777" w:rsidR="00E836FB" w:rsidRDefault="00994958">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5F2D4C9E" w14:textId="77777777" w:rsidR="00E836FB" w:rsidRDefault="00994958">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5F2D4C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CA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C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A3" w14:textId="77777777" w:rsidR="00E836FB" w:rsidRDefault="00E836FB">
            <w:pPr>
              <w:rPr>
                <w:rFonts w:ascii="宋体"/>
              </w:rPr>
            </w:pPr>
          </w:p>
        </w:tc>
        <w:tc>
          <w:tcPr>
            <w:tcW w:w="0" w:type="auto"/>
            <w:shd w:val="clear" w:color="auto" w:fill="auto"/>
            <w:vAlign w:val="bottom"/>
          </w:tcPr>
          <w:p w14:paraId="5F2D4CA4" w14:textId="77777777" w:rsidR="00E836FB" w:rsidRDefault="00E836FB">
            <w:pPr>
              <w:rPr>
                <w:rFonts w:ascii="宋体"/>
                <w:vanish/>
              </w:rPr>
            </w:pPr>
          </w:p>
        </w:tc>
        <w:tc>
          <w:tcPr>
            <w:tcW w:w="0" w:type="auto"/>
            <w:shd w:val="clear" w:color="auto" w:fill="auto"/>
            <w:vAlign w:val="bottom"/>
          </w:tcPr>
          <w:p w14:paraId="5F2D4CA5" w14:textId="77777777" w:rsidR="00E836FB" w:rsidRDefault="00E836FB">
            <w:pPr>
              <w:rPr>
                <w:rFonts w:ascii="宋体"/>
                <w:vanish/>
              </w:rPr>
            </w:pPr>
          </w:p>
        </w:tc>
        <w:tc>
          <w:tcPr>
            <w:tcW w:w="0" w:type="auto"/>
            <w:shd w:val="clear" w:color="auto" w:fill="auto"/>
            <w:vAlign w:val="bottom"/>
          </w:tcPr>
          <w:p w14:paraId="5F2D4CA6" w14:textId="77777777" w:rsidR="00E836FB" w:rsidRDefault="00E836FB">
            <w:pPr>
              <w:rPr>
                <w:rFonts w:ascii="宋体"/>
                <w:vanish/>
              </w:rPr>
            </w:pPr>
          </w:p>
        </w:tc>
        <w:tc>
          <w:tcPr>
            <w:tcW w:w="0" w:type="auto"/>
            <w:shd w:val="clear" w:color="auto" w:fill="auto"/>
            <w:vAlign w:val="bottom"/>
          </w:tcPr>
          <w:p w14:paraId="5F2D4CA7"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CA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C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CAB" w14:textId="77777777" w:rsidR="00E836FB" w:rsidRDefault="00994958">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5F2D4CAC" w14:textId="77777777" w:rsidR="00E836FB" w:rsidRDefault="00E836FB">
            <w:pPr>
              <w:jc w:val="right"/>
              <w:rPr>
                <w:rFonts w:ascii="宋体"/>
              </w:rPr>
            </w:pPr>
          </w:p>
        </w:tc>
      </w:tr>
      <w:tr w:rsidR="00E836FB" w14:paraId="5F2D4CBE" w14:textId="77777777">
        <w:tc>
          <w:tcPr>
            <w:tcW w:w="0" w:type="auto"/>
            <w:gridSpan w:val="3"/>
            <w:shd w:val="clear" w:color="auto" w:fill="CCEEFF"/>
            <w:tcMar>
              <w:top w:w="40" w:type="dxa"/>
              <w:left w:w="20" w:type="dxa"/>
              <w:bottom w:w="40" w:type="dxa"/>
              <w:right w:w="20" w:type="dxa"/>
            </w:tcMar>
            <w:vAlign w:val="bottom"/>
          </w:tcPr>
          <w:p w14:paraId="5F2D4CAE" w14:textId="77777777" w:rsidR="00E836FB" w:rsidRDefault="00994958">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5F2D4CAF" w14:textId="77777777" w:rsidR="00E836FB" w:rsidRDefault="00994958">
            <w:pPr>
              <w:jc w:val="right"/>
              <w:textAlignment w:val="bottom"/>
            </w:pPr>
            <w:r>
              <w:rPr>
                <w:rFonts w:ascii="Arial" w:eastAsia="宋体" w:hAnsi="Arial" w:cs="Arial"/>
                <w:color w:val="000000"/>
                <w:sz w:val="14"/>
                <w:szCs w:val="14"/>
              </w:rPr>
              <w:t>98 </w:t>
            </w:r>
          </w:p>
        </w:tc>
        <w:tc>
          <w:tcPr>
            <w:tcW w:w="0" w:type="auto"/>
            <w:shd w:val="clear" w:color="auto" w:fill="CCEEFF"/>
            <w:tcMar>
              <w:top w:w="40" w:type="dxa"/>
              <w:left w:w="0" w:type="dxa"/>
              <w:bottom w:w="40" w:type="dxa"/>
              <w:right w:w="20" w:type="dxa"/>
            </w:tcMar>
            <w:vAlign w:val="bottom"/>
          </w:tcPr>
          <w:p w14:paraId="5F2D4C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B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CB2" w14:textId="77777777" w:rsidR="00E836FB" w:rsidRDefault="00994958">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F2D4C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B4" w14:textId="77777777" w:rsidR="00E836FB" w:rsidRDefault="00E836FB">
            <w:pPr>
              <w:rPr>
                <w:rFonts w:ascii="宋体"/>
              </w:rPr>
            </w:pPr>
          </w:p>
        </w:tc>
        <w:tc>
          <w:tcPr>
            <w:tcW w:w="0" w:type="auto"/>
            <w:shd w:val="clear" w:color="auto" w:fill="auto"/>
            <w:vAlign w:val="bottom"/>
          </w:tcPr>
          <w:p w14:paraId="5F2D4CB5" w14:textId="77777777" w:rsidR="00E836FB" w:rsidRDefault="00E836FB">
            <w:pPr>
              <w:rPr>
                <w:rFonts w:ascii="宋体"/>
                <w:vanish/>
              </w:rPr>
            </w:pPr>
          </w:p>
        </w:tc>
        <w:tc>
          <w:tcPr>
            <w:tcW w:w="0" w:type="auto"/>
            <w:shd w:val="clear" w:color="auto" w:fill="auto"/>
            <w:vAlign w:val="bottom"/>
          </w:tcPr>
          <w:p w14:paraId="5F2D4CB6" w14:textId="77777777" w:rsidR="00E836FB" w:rsidRDefault="00E836FB">
            <w:pPr>
              <w:rPr>
                <w:rFonts w:ascii="宋体"/>
                <w:vanish/>
              </w:rPr>
            </w:pPr>
          </w:p>
        </w:tc>
        <w:tc>
          <w:tcPr>
            <w:tcW w:w="0" w:type="auto"/>
            <w:shd w:val="clear" w:color="auto" w:fill="auto"/>
            <w:vAlign w:val="bottom"/>
          </w:tcPr>
          <w:p w14:paraId="5F2D4CB7" w14:textId="77777777" w:rsidR="00E836FB" w:rsidRDefault="00E836FB">
            <w:pPr>
              <w:rPr>
                <w:rFonts w:ascii="宋体"/>
                <w:vanish/>
              </w:rPr>
            </w:pPr>
          </w:p>
        </w:tc>
        <w:tc>
          <w:tcPr>
            <w:tcW w:w="0" w:type="auto"/>
            <w:shd w:val="clear" w:color="auto" w:fill="auto"/>
            <w:vAlign w:val="bottom"/>
          </w:tcPr>
          <w:p w14:paraId="5F2D4CB8"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CB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C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B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CBC" w14:textId="77777777" w:rsidR="00E836FB" w:rsidRDefault="00994958">
            <w:pPr>
              <w:jc w:val="right"/>
              <w:textAlignment w:val="bottom"/>
            </w:pPr>
            <w:r>
              <w:rPr>
                <w:rFonts w:ascii="Arial" w:eastAsia="宋体" w:hAnsi="Arial" w:cs="Arial"/>
                <w:color w:val="000000"/>
                <w:sz w:val="14"/>
                <w:szCs w:val="14"/>
              </w:rPr>
              <w:t>110 </w:t>
            </w:r>
          </w:p>
        </w:tc>
        <w:tc>
          <w:tcPr>
            <w:tcW w:w="0" w:type="auto"/>
            <w:shd w:val="clear" w:color="auto" w:fill="CCEEFF"/>
            <w:tcMar>
              <w:top w:w="40" w:type="dxa"/>
              <w:left w:w="0" w:type="dxa"/>
              <w:bottom w:w="40" w:type="dxa"/>
              <w:right w:w="20" w:type="dxa"/>
            </w:tcMar>
            <w:vAlign w:val="bottom"/>
          </w:tcPr>
          <w:p w14:paraId="5F2D4CBD" w14:textId="77777777" w:rsidR="00E836FB" w:rsidRDefault="00E836FB">
            <w:pPr>
              <w:jc w:val="right"/>
              <w:rPr>
                <w:rFonts w:ascii="宋体"/>
              </w:rPr>
            </w:pPr>
          </w:p>
        </w:tc>
      </w:tr>
      <w:tr w:rsidR="00E836FB" w14:paraId="5F2D4CCF" w14:textId="77777777">
        <w:tc>
          <w:tcPr>
            <w:tcW w:w="0" w:type="auto"/>
            <w:gridSpan w:val="3"/>
            <w:shd w:val="clear" w:color="auto" w:fill="FFFFFF"/>
            <w:tcMar>
              <w:top w:w="40" w:type="dxa"/>
              <w:left w:w="20" w:type="dxa"/>
              <w:bottom w:w="40" w:type="dxa"/>
              <w:right w:w="20" w:type="dxa"/>
            </w:tcMar>
            <w:vAlign w:val="bottom"/>
          </w:tcPr>
          <w:p w14:paraId="5F2D4CBF" w14:textId="77777777" w:rsidR="00E836FB" w:rsidRDefault="00994958">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5F2D4CC0" w14:textId="77777777" w:rsidR="00E836FB" w:rsidRDefault="00994958">
            <w:pPr>
              <w:jc w:val="right"/>
              <w:textAlignment w:val="bottom"/>
            </w:pPr>
            <w:r>
              <w:rPr>
                <w:rFonts w:ascii="Arial" w:eastAsia="宋体" w:hAnsi="Arial" w:cs="Arial"/>
                <w:color w:val="000000"/>
                <w:sz w:val="14"/>
                <w:szCs w:val="14"/>
              </w:rPr>
              <w:t>(209)</w:t>
            </w:r>
          </w:p>
        </w:tc>
        <w:tc>
          <w:tcPr>
            <w:tcW w:w="0" w:type="auto"/>
            <w:shd w:val="clear" w:color="auto" w:fill="FFFFFF"/>
            <w:tcMar>
              <w:top w:w="40" w:type="dxa"/>
              <w:left w:w="0" w:type="dxa"/>
              <w:bottom w:w="40" w:type="dxa"/>
              <w:right w:w="20" w:type="dxa"/>
            </w:tcMar>
            <w:vAlign w:val="bottom"/>
          </w:tcPr>
          <w:p w14:paraId="5F2D4CC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C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CC3" w14:textId="77777777" w:rsidR="00E836FB" w:rsidRDefault="00994958">
            <w:pPr>
              <w:jc w:val="right"/>
              <w:textAlignment w:val="bottom"/>
            </w:pPr>
            <w:r>
              <w:rPr>
                <w:rFonts w:ascii="Arial" w:eastAsia="宋体" w:hAnsi="Arial" w:cs="Arial"/>
                <w:color w:val="000000"/>
                <w:sz w:val="14"/>
                <w:szCs w:val="14"/>
              </w:rPr>
              <w:t>(42)</w:t>
            </w:r>
          </w:p>
        </w:tc>
        <w:tc>
          <w:tcPr>
            <w:tcW w:w="0" w:type="auto"/>
            <w:shd w:val="clear" w:color="auto" w:fill="FFFFFF"/>
            <w:tcMar>
              <w:top w:w="40" w:type="dxa"/>
              <w:left w:w="0" w:type="dxa"/>
              <w:bottom w:w="40" w:type="dxa"/>
              <w:right w:w="20" w:type="dxa"/>
            </w:tcMar>
            <w:vAlign w:val="bottom"/>
          </w:tcPr>
          <w:p w14:paraId="5F2D4CC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C5" w14:textId="77777777" w:rsidR="00E836FB" w:rsidRDefault="00E836FB">
            <w:pPr>
              <w:rPr>
                <w:rFonts w:ascii="宋体"/>
              </w:rPr>
            </w:pPr>
          </w:p>
        </w:tc>
        <w:tc>
          <w:tcPr>
            <w:tcW w:w="0" w:type="auto"/>
            <w:shd w:val="clear" w:color="auto" w:fill="auto"/>
            <w:vAlign w:val="bottom"/>
          </w:tcPr>
          <w:p w14:paraId="5F2D4CC6" w14:textId="77777777" w:rsidR="00E836FB" w:rsidRDefault="00E836FB">
            <w:pPr>
              <w:rPr>
                <w:rFonts w:ascii="宋体"/>
                <w:vanish/>
              </w:rPr>
            </w:pPr>
          </w:p>
        </w:tc>
        <w:tc>
          <w:tcPr>
            <w:tcW w:w="0" w:type="auto"/>
            <w:shd w:val="clear" w:color="auto" w:fill="auto"/>
            <w:vAlign w:val="bottom"/>
          </w:tcPr>
          <w:p w14:paraId="5F2D4CC7" w14:textId="77777777" w:rsidR="00E836FB" w:rsidRDefault="00E836FB">
            <w:pPr>
              <w:rPr>
                <w:rFonts w:ascii="宋体"/>
                <w:vanish/>
              </w:rPr>
            </w:pPr>
          </w:p>
        </w:tc>
        <w:tc>
          <w:tcPr>
            <w:tcW w:w="0" w:type="auto"/>
            <w:shd w:val="clear" w:color="auto" w:fill="auto"/>
            <w:vAlign w:val="bottom"/>
          </w:tcPr>
          <w:p w14:paraId="5F2D4CC8" w14:textId="77777777" w:rsidR="00E836FB" w:rsidRDefault="00E836FB">
            <w:pPr>
              <w:rPr>
                <w:rFonts w:ascii="宋体"/>
                <w:vanish/>
              </w:rPr>
            </w:pPr>
          </w:p>
        </w:tc>
        <w:tc>
          <w:tcPr>
            <w:tcW w:w="0" w:type="auto"/>
            <w:shd w:val="clear" w:color="auto" w:fill="auto"/>
            <w:vAlign w:val="bottom"/>
          </w:tcPr>
          <w:p w14:paraId="5F2D4CC9"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CC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CC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C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CCD" w14:textId="77777777" w:rsidR="00E836FB" w:rsidRDefault="00994958">
            <w:pPr>
              <w:jc w:val="right"/>
              <w:textAlignment w:val="bottom"/>
            </w:pPr>
            <w:r>
              <w:rPr>
                <w:rFonts w:ascii="Arial" w:eastAsia="宋体" w:hAnsi="Arial" w:cs="Arial"/>
                <w:color w:val="000000"/>
                <w:sz w:val="14"/>
                <w:szCs w:val="14"/>
              </w:rPr>
              <w:t>(251)</w:t>
            </w:r>
          </w:p>
        </w:tc>
        <w:tc>
          <w:tcPr>
            <w:tcW w:w="0" w:type="auto"/>
            <w:shd w:val="clear" w:color="auto" w:fill="FFFFFF"/>
            <w:tcMar>
              <w:top w:w="40" w:type="dxa"/>
              <w:left w:w="0" w:type="dxa"/>
              <w:bottom w:w="40" w:type="dxa"/>
              <w:right w:w="20" w:type="dxa"/>
            </w:tcMar>
            <w:vAlign w:val="bottom"/>
          </w:tcPr>
          <w:p w14:paraId="5F2D4CCE" w14:textId="77777777" w:rsidR="00E836FB" w:rsidRDefault="00E836FB">
            <w:pPr>
              <w:jc w:val="right"/>
              <w:rPr>
                <w:rFonts w:ascii="宋体"/>
              </w:rPr>
            </w:pPr>
          </w:p>
        </w:tc>
      </w:tr>
      <w:tr w:rsidR="00E836FB" w14:paraId="5F2D4CE0" w14:textId="77777777">
        <w:tc>
          <w:tcPr>
            <w:tcW w:w="0" w:type="auto"/>
            <w:gridSpan w:val="3"/>
            <w:shd w:val="clear" w:color="auto" w:fill="CCEEFF"/>
            <w:tcMar>
              <w:top w:w="40" w:type="dxa"/>
              <w:left w:w="20" w:type="dxa"/>
              <w:bottom w:w="40" w:type="dxa"/>
              <w:right w:w="20" w:type="dxa"/>
            </w:tcMar>
            <w:vAlign w:val="bottom"/>
          </w:tcPr>
          <w:p w14:paraId="5F2D4CD0" w14:textId="77777777" w:rsidR="00E836FB" w:rsidRDefault="00994958">
            <w:pPr>
              <w:textAlignment w:val="bottom"/>
            </w:pPr>
            <w:r>
              <w:rPr>
                <w:rFonts w:ascii="Arial" w:eastAsia="宋体" w:hAnsi="Arial" w:cs="Arial"/>
                <w:b/>
                <w:bCs/>
                <w:color w:val="000000"/>
                <w:sz w:val="14"/>
                <w:szCs w:val="14"/>
              </w:rPr>
              <w:t>Accrual Balance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CD1" w14:textId="77777777" w:rsidR="00E836FB" w:rsidRDefault="00994958">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D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CD4" w14:textId="77777777" w:rsidR="00E836FB" w:rsidRDefault="00994958">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D6" w14:textId="77777777" w:rsidR="00E836FB" w:rsidRDefault="00E836FB">
            <w:pPr>
              <w:rPr>
                <w:rFonts w:ascii="宋体"/>
              </w:rPr>
            </w:pPr>
          </w:p>
        </w:tc>
        <w:tc>
          <w:tcPr>
            <w:tcW w:w="0" w:type="auto"/>
            <w:shd w:val="clear" w:color="auto" w:fill="auto"/>
            <w:vAlign w:val="bottom"/>
          </w:tcPr>
          <w:p w14:paraId="5F2D4CD7" w14:textId="77777777" w:rsidR="00E836FB" w:rsidRDefault="00E836FB">
            <w:pPr>
              <w:rPr>
                <w:rFonts w:ascii="宋体"/>
                <w:vanish/>
              </w:rPr>
            </w:pPr>
          </w:p>
        </w:tc>
        <w:tc>
          <w:tcPr>
            <w:tcW w:w="0" w:type="auto"/>
            <w:shd w:val="clear" w:color="auto" w:fill="auto"/>
            <w:vAlign w:val="bottom"/>
          </w:tcPr>
          <w:p w14:paraId="5F2D4CD8" w14:textId="77777777" w:rsidR="00E836FB" w:rsidRDefault="00E836FB">
            <w:pPr>
              <w:rPr>
                <w:rFonts w:ascii="宋体"/>
                <w:vanish/>
              </w:rPr>
            </w:pPr>
          </w:p>
        </w:tc>
        <w:tc>
          <w:tcPr>
            <w:tcW w:w="0" w:type="auto"/>
            <w:shd w:val="clear" w:color="auto" w:fill="auto"/>
            <w:vAlign w:val="bottom"/>
          </w:tcPr>
          <w:p w14:paraId="5F2D4CD9" w14:textId="77777777" w:rsidR="00E836FB" w:rsidRDefault="00E836FB">
            <w:pPr>
              <w:rPr>
                <w:rFonts w:ascii="宋体"/>
                <w:vanish/>
              </w:rPr>
            </w:pPr>
          </w:p>
        </w:tc>
        <w:tc>
          <w:tcPr>
            <w:tcW w:w="0" w:type="auto"/>
            <w:shd w:val="clear" w:color="auto" w:fill="auto"/>
            <w:vAlign w:val="bottom"/>
          </w:tcPr>
          <w:p w14:paraId="5F2D4CDA"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CDB" w14:textId="77777777" w:rsidR="00E836FB" w:rsidRDefault="00994958">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D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D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CDE" w14:textId="77777777" w:rsidR="00E836FB" w:rsidRDefault="00994958">
            <w:pPr>
              <w:jc w:val="right"/>
              <w:textAlignment w:val="bottom"/>
            </w:pPr>
            <w:r>
              <w:rPr>
                <w:rFonts w:ascii="Arial" w:eastAsia="宋体" w:hAnsi="Arial" w:cs="Arial"/>
                <w:color w:val="000000"/>
                <w:sz w:val="14"/>
                <w:szCs w:val="14"/>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CDF" w14:textId="77777777" w:rsidR="00E836FB" w:rsidRDefault="00E836FB">
            <w:pPr>
              <w:jc w:val="right"/>
              <w:rPr>
                <w:rFonts w:ascii="宋体"/>
              </w:rPr>
            </w:pPr>
          </w:p>
        </w:tc>
      </w:tr>
      <w:tr w:rsidR="00E836FB" w14:paraId="5F2D4CF1" w14:textId="77777777">
        <w:tc>
          <w:tcPr>
            <w:tcW w:w="0" w:type="auto"/>
            <w:gridSpan w:val="3"/>
            <w:shd w:val="clear" w:color="auto" w:fill="FFFFFF"/>
            <w:tcMar>
              <w:top w:w="40" w:type="dxa"/>
              <w:left w:w="20" w:type="dxa"/>
              <w:bottom w:w="40" w:type="dxa"/>
              <w:right w:w="20" w:type="dxa"/>
            </w:tcMar>
            <w:vAlign w:val="bottom"/>
          </w:tcPr>
          <w:p w14:paraId="5F2D4CE1" w14:textId="77777777" w:rsidR="00E836FB" w:rsidRDefault="00994958">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5F2D4CE2"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5F2D4C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CE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C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E7" w14:textId="77777777" w:rsidR="00E836FB" w:rsidRDefault="00E836FB">
            <w:pPr>
              <w:rPr>
                <w:rFonts w:ascii="宋体"/>
              </w:rPr>
            </w:pPr>
          </w:p>
        </w:tc>
        <w:tc>
          <w:tcPr>
            <w:tcW w:w="0" w:type="auto"/>
            <w:shd w:val="clear" w:color="auto" w:fill="auto"/>
            <w:vAlign w:val="bottom"/>
          </w:tcPr>
          <w:p w14:paraId="5F2D4CE8" w14:textId="77777777" w:rsidR="00E836FB" w:rsidRDefault="00E836FB">
            <w:pPr>
              <w:rPr>
                <w:rFonts w:ascii="宋体"/>
                <w:vanish/>
              </w:rPr>
            </w:pPr>
          </w:p>
        </w:tc>
        <w:tc>
          <w:tcPr>
            <w:tcW w:w="0" w:type="auto"/>
            <w:shd w:val="clear" w:color="auto" w:fill="auto"/>
            <w:vAlign w:val="bottom"/>
          </w:tcPr>
          <w:p w14:paraId="5F2D4CE9" w14:textId="77777777" w:rsidR="00E836FB" w:rsidRDefault="00E836FB">
            <w:pPr>
              <w:rPr>
                <w:rFonts w:ascii="宋体"/>
                <w:vanish/>
              </w:rPr>
            </w:pPr>
          </w:p>
        </w:tc>
        <w:tc>
          <w:tcPr>
            <w:tcW w:w="0" w:type="auto"/>
            <w:shd w:val="clear" w:color="auto" w:fill="auto"/>
            <w:vAlign w:val="bottom"/>
          </w:tcPr>
          <w:p w14:paraId="5F2D4CEA" w14:textId="77777777" w:rsidR="00E836FB" w:rsidRDefault="00E836FB">
            <w:pPr>
              <w:rPr>
                <w:rFonts w:ascii="宋体"/>
                <w:vanish/>
              </w:rPr>
            </w:pPr>
          </w:p>
        </w:tc>
        <w:tc>
          <w:tcPr>
            <w:tcW w:w="0" w:type="auto"/>
            <w:shd w:val="clear" w:color="auto" w:fill="auto"/>
            <w:vAlign w:val="bottom"/>
          </w:tcPr>
          <w:p w14:paraId="5F2D4CEB"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CE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CE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CE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CEF"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5F2D4CF0" w14:textId="77777777" w:rsidR="00E836FB" w:rsidRDefault="00E836FB">
            <w:pPr>
              <w:jc w:val="right"/>
              <w:rPr>
                <w:rFonts w:ascii="宋体"/>
              </w:rPr>
            </w:pPr>
          </w:p>
        </w:tc>
      </w:tr>
      <w:tr w:rsidR="00E836FB" w14:paraId="5F2D4D02" w14:textId="77777777">
        <w:tc>
          <w:tcPr>
            <w:tcW w:w="0" w:type="auto"/>
            <w:gridSpan w:val="3"/>
            <w:shd w:val="clear" w:color="auto" w:fill="CCEEFF"/>
            <w:tcMar>
              <w:top w:w="40" w:type="dxa"/>
              <w:left w:w="20" w:type="dxa"/>
              <w:bottom w:w="40" w:type="dxa"/>
              <w:right w:w="20" w:type="dxa"/>
            </w:tcMar>
            <w:vAlign w:val="bottom"/>
          </w:tcPr>
          <w:p w14:paraId="5F2D4CF2" w14:textId="77777777" w:rsidR="00E836FB" w:rsidRDefault="00994958">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5F2D4CF3" w14:textId="77777777" w:rsidR="00E836FB" w:rsidRDefault="00994958">
            <w:pPr>
              <w:jc w:val="right"/>
              <w:textAlignment w:val="bottom"/>
            </w:pPr>
            <w:r>
              <w:rPr>
                <w:rFonts w:ascii="Arial" w:eastAsia="宋体" w:hAnsi="Arial" w:cs="Arial"/>
                <w:color w:val="000000"/>
                <w:sz w:val="14"/>
                <w:szCs w:val="14"/>
              </w:rPr>
              <w:t>82 </w:t>
            </w:r>
          </w:p>
        </w:tc>
        <w:tc>
          <w:tcPr>
            <w:tcW w:w="0" w:type="auto"/>
            <w:shd w:val="clear" w:color="auto" w:fill="CCEEFF"/>
            <w:tcMar>
              <w:top w:w="40" w:type="dxa"/>
              <w:left w:w="0" w:type="dxa"/>
              <w:bottom w:w="40" w:type="dxa"/>
              <w:right w:w="20" w:type="dxa"/>
            </w:tcMar>
            <w:vAlign w:val="bottom"/>
          </w:tcPr>
          <w:p w14:paraId="5F2D4C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F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CF6" w14:textId="77777777" w:rsidR="00E836FB" w:rsidRDefault="00994958">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5F2D4C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F8" w14:textId="77777777" w:rsidR="00E836FB" w:rsidRDefault="00E836FB">
            <w:pPr>
              <w:rPr>
                <w:rFonts w:ascii="宋体"/>
              </w:rPr>
            </w:pPr>
          </w:p>
        </w:tc>
        <w:tc>
          <w:tcPr>
            <w:tcW w:w="0" w:type="auto"/>
            <w:shd w:val="clear" w:color="auto" w:fill="auto"/>
            <w:vAlign w:val="bottom"/>
          </w:tcPr>
          <w:p w14:paraId="5F2D4CF9" w14:textId="77777777" w:rsidR="00E836FB" w:rsidRDefault="00E836FB">
            <w:pPr>
              <w:rPr>
                <w:rFonts w:ascii="宋体"/>
                <w:vanish/>
              </w:rPr>
            </w:pPr>
          </w:p>
        </w:tc>
        <w:tc>
          <w:tcPr>
            <w:tcW w:w="0" w:type="auto"/>
            <w:shd w:val="clear" w:color="auto" w:fill="auto"/>
            <w:vAlign w:val="bottom"/>
          </w:tcPr>
          <w:p w14:paraId="5F2D4CFA" w14:textId="77777777" w:rsidR="00E836FB" w:rsidRDefault="00E836FB">
            <w:pPr>
              <w:rPr>
                <w:rFonts w:ascii="宋体"/>
                <w:vanish/>
              </w:rPr>
            </w:pPr>
          </w:p>
        </w:tc>
        <w:tc>
          <w:tcPr>
            <w:tcW w:w="0" w:type="auto"/>
            <w:shd w:val="clear" w:color="auto" w:fill="auto"/>
            <w:vAlign w:val="bottom"/>
          </w:tcPr>
          <w:p w14:paraId="5F2D4CFB" w14:textId="77777777" w:rsidR="00E836FB" w:rsidRDefault="00E836FB">
            <w:pPr>
              <w:rPr>
                <w:rFonts w:ascii="宋体"/>
                <w:vanish/>
              </w:rPr>
            </w:pPr>
          </w:p>
        </w:tc>
        <w:tc>
          <w:tcPr>
            <w:tcW w:w="0" w:type="auto"/>
            <w:shd w:val="clear" w:color="auto" w:fill="auto"/>
            <w:vAlign w:val="bottom"/>
          </w:tcPr>
          <w:p w14:paraId="5F2D4CFC"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CF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C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C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D00" w14:textId="77777777" w:rsidR="00E836FB" w:rsidRDefault="00994958">
            <w:pPr>
              <w:jc w:val="right"/>
              <w:textAlignment w:val="bottom"/>
            </w:pPr>
            <w:r>
              <w:rPr>
                <w:rFonts w:ascii="Arial" w:eastAsia="宋体" w:hAnsi="Arial" w:cs="Arial"/>
                <w:color w:val="000000"/>
                <w:sz w:val="14"/>
                <w:szCs w:val="14"/>
              </w:rPr>
              <w:t>133 </w:t>
            </w:r>
          </w:p>
        </w:tc>
        <w:tc>
          <w:tcPr>
            <w:tcW w:w="0" w:type="auto"/>
            <w:shd w:val="clear" w:color="auto" w:fill="CCEEFF"/>
            <w:tcMar>
              <w:top w:w="40" w:type="dxa"/>
              <w:left w:w="0" w:type="dxa"/>
              <w:bottom w:w="40" w:type="dxa"/>
              <w:right w:w="20" w:type="dxa"/>
            </w:tcMar>
            <w:vAlign w:val="bottom"/>
          </w:tcPr>
          <w:p w14:paraId="5F2D4D01" w14:textId="77777777" w:rsidR="00E836FB" w:rsidRDefault="00E836FB">
            <w:pPr>
              <w:jc w:val="right"/>
              <w:rPr>
                <w:rFonts w:ascii="宋体"/>
              </w:rPr>
            </w:pPr>
          </w:p>
        </w:tc>
      </w:tr>
      <w:tr w:rsidR="00E836FB" w14:paraId="5F2D4D13" w14:textId="77777777">
        <w:tc>
          <w:tcPr>
            <w:tcW w:w="0" w:type="auto"/>
            <w:gridSpan w:val="3"/>
            <w:shd w:val="clear" w:color="auto" w:fill="FFFFFF"/>
            <w:tcMar>
              <w:top w:w="40" w:type="dxa"/>
              <w:left w:w="20" w:type="dxa"/>
              <w:bottom w:w="40" w:type="dxa"/>
              <w:right w:w="20" w:type="dxa"/>
            </w:tcMar>
            <w:vAlign w:val="bottom"/>
          </w:tcPr>
          <w:p w14:paraId="5F2D4D03" w14:textId="77777777" w:rsidR="00E836FB" w:rsidRDefault="00994958">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5F2D4D04" w14:textId="77777777" w:rsidR="00E836FB" w:rsidRDefault="00994958">
            <w:pPr>
              <w:jc w:val="right"/>
              <w:textAlignment w:val="bottom"/>
            </w:pPr>
            <w:r>
              <w:rPr>
                <w:rFonts w:ascii="Arial" w:eastAsia="宋体" w:hAnsi="Arial" w:cs="Arial"/>
                <w:color w:val="000000"/>
                <w:sz w:val="14"/>
                <w:szCs w:val="14"/>
              </w:rPr>
              <w:t>(78)</w:t>
            </w:r>
          </w:p>
        </w:tc>
        <w:tc>
          <w:tcPr>
            <w:tcW w:w="0" w:type="auto"/>
            <w:shd w:val="clear" w:color="auto" w:fill="FFFFFF"/>
            <w:tcMar>
              <w:top w:w="40" w:type="dxa"/>
              <w:left w:w="0" w:type="dxa"/>
              <w:bottom w:w="40" w:type="dxa"/>
              <w:right w:w="20" w:type="dxa"/>
            </w:tcMar>
            <w:vAlign w:val="bottom"/>
          </w:tcPr>
          <w:p w14:paraId="5F2D4D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07" w14:textId="77777777" w:rsidR="00E836FB" w:rsidRDefault="00994958">
            <w:pPr>
              <w:jc w:val="right"/>
              <w:textAlignment w:val="bottom"/>
            </w:pPr>
            <w:r>
              <w:rPr>
                <w:rFonts w:ascii="Arial" w:eastAsia="宋体" w:hAnsi="Arial" w:cs="Arial"/>
                <w:color w:val="000000"/>
                <w:sz w:val="14"/>
                <w:szCs w:val="14"/>
              </w:rPr>
              <w:t>(52)</w:t>
            </w:r>
          </w:p>
        </w:tc>
        <w:tc>
          <w:tcPr>
            <w:tcW w:w="0" w:type="auto"/>
            <w:shd w:val="clear" w:color="auto" w:fill="FFFFFF"/>
            <w:tcMar>
              <w:top w:w="40" w:type="dxa"/>
              <w:left w:w="0" w:type="dxa"/>
              <w:bottom w:w="40" w:type="dxa"/>
              <w:right w:w="20" w:type="dxa"/>
            </w:tcMar>
            <w:vAlign w:val="bottom"/>
          </w:tcPr>
          <w:p w14:paraId="5F2D4D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09" w14:textId="77777777" w:rsidR="00E836FB" w:rsidRDefault="00E836FB">
            <w:pPr>
              <w:rPr>
                <w:rFonts w:ascii="宋体"/>
              </w:rPr>
            </w:pPr>
          </w:p>
        </w:tc>
        <w:tc>
          <w:tcPr>
            <w:tcW w:w="0" w:type="auto"/>
            <w:shd w:val="clear" w:color="auto" w:fill="auto"/>
            <w:vAlign w:val="bottom"/>
          </w:tcPr>
          <w:p w14:paraId="5F2D4D0A" w14:textId="77777777" w:rsidR="00E836FB" w:rsidRDefault="00E836FB">
            <w:pPr>
              <w:rPr>
                <w:rFonts w:ascii="宋体"/>
                <w:vanish/>
              </w:rPr>
            </w:pPr>
          </w:p>
        </w:tc>
        <w:tc>
          <w:tcPr>
            <w:tcW w:w="0" w:type="auto"/>
            <w:shd w:val="clear" w:color="auto" w:fill="auto"/>
            <w:vAlign w:val="bottom"/>
          </w:tcPr>
          <w:p w14:paraId="5F2D4D0B" w14:textId="77777777" w:rsidR="00E836FB" w:rsidRDefault="00E836FB">
            <w:pPr>
              <w:rPr>
                <w:rFonts w:ascii="宋体"/>
                <w:vanish/>
              </w:rPr>
            </w:pPr>
          </w:p>
        </w:tc>
        <w:tc>
          <w:tcPr>
            <w:tcW w:w="0" w:type="auto"/>
            <w:shd w:val="clear" w:color="auto" w:fill="auto"/>
            <w:vAlign w:val="bottom"/>
          </w:tcPr>
          <w:p w14:paraId="5F2D4D0C" w14:textId="77777777" w:rsidR="00E836FB" w:rsidRDefault="00E836FB">
            <w:pPr>
              <w:rPr>
                <w:rFonts w:ascii="宋体"/>
                <w:vanish/>
              </w:rPr>
            </w:pPr>
          </w:p>
        </w:tc>
        <w:tc>
          <w:tcPr>
            <w:tcW w:w="0" w:type="auto"/>
            <w:shd w:val="clear" w:color="auto" w:fill="auto"/>
            <w:vAlign w:val="bottom"/>
          </w:tcPr>
          <w:p w14:paraId="5F2D4D0D"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D0E"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D4D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1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11" w14:textId="77777777" w:rsidR="00E836FB" w:rsidRDefault="00994958">
            <w:pPr>
              <w:jc w:val="right"/>
              <w:textAlignment w:val="bottom"/>
            </w:pPr>
            <w:r>
              <w:rPr>
                <w:rFonts w:ascii="Arial" w:eastAsia="宋体" w:hAnsi="Arial" w:cs="Arial"/>
                <w:color w:val="000000"/>
                <w:sz w:val="14"/>
                <w:szCs w:val="14"/>
              </w:rPr>
              <w:t>(131)</w:t>
            </w:r>
          </w:p>
        </w:tc>
        <w:tc>
          <w:tcPr>
            <w:tcW w:w="0" w:type="auto"/>
            <w:shd w:val="clear" w:color="auto" w:fill="FFFFFF"/>
            <w:tcMar>
              <w:top w:w="40" w:type="dxa"/>
              <w:left w:w="0" w:type="dxa"/>
              <w:bottom w:w="40" w:type="dxa"/>
              <w:right w:w="20" w:type="dxa"/>
            </w:tcMar>
            <w:vAlign w:val="bottom"/>
          </w:tcPr>
          <w:p w14:paraId="5F2D4D12" w14:textId="77777777" w:rsidR="00E836FB" w:rsidRDefault="00E836FB">
            <w:pPr>
              <w:jc w:val="right"/>
              <w:rPr>
                <w:rFonts w:ascii="宋体"/>
              </w:rPr>
            </w:pPr>
          </w:p>
        </w:tc>
      </w:tr>
      <w:tr w:rsidR="00E836FB" w14:paraId="5F2D4D24" w14:textId="77777777">
        <w:tc>
          <w:tcPr>
            <w:tcW w:w="0" w:type="auto"/>
            <w:gridSpan w:val="3"/>
            <w:shd w:val="clear" w:color="auto" w:fill="CCEEFF"/>
            <w:tcMar>
              <w:top w:w="40" w:type="dxa"/>
              <w:left w:w="20" w:type="dxa"/>
              <w:bottom w:w="40" w:type="dxa"/>
              <w:right w:w="20" w:type="dxa"/>
            </w:tcMar>
            <w:vAlign w:val="bottom"/>
          </w:tcPr>
          <w:p w14:paraId="5F2D4D14" w14:textId="77777777" w:rsidR="00E836FB" w:rsidRDefault="00994958">
            <w:pPr>
              <w:textAlignment w:val="bottom"/>
            </w:pPr>
            <w:r>
              <w:rPr>
                <w:rFonts w:ascii="Arial" w:eastAsia="宋体" w:hAnsi="Arial" w:cs="Arial"/>
                <w:b/>
                <w:bCs/>
                <w:color w:val="000000"/>
                <w:sz w:val="14"/>
                <w:szCs w:val="14"/>
              </w:rPr>
              <w:t>Accrual Balance at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D15" w14:textId="77777777" w:rsidR="00E836FB" w:rsidRDefault="00994958">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D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1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D18" w14:textId="77777777" w:rsidR="00E836FB" w:rsidRDefault="00994958">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D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1A" w14:textId="77777777" w:rsidR="00E836FB" w:rsidRDefault="00E836FB">
            <w:pPr>
              <w:rPr>
                <w:rFonts w:ascii="宋体"/>
              </w:rPr>
            </w:pPr>
          </w:p>
        </w:tc>
        <w:tc>
          <w:tcPr>
            <w:tcW w:w="0" w:type="auto"/>
            <w:shd w:val="clear" w:color="auto" w:fill="auto"/>
            <w:vAlign w:val="bottom"/>
          </w:tcPr>
          <w:p w14:paraId="5F2D4D1B" w14:textId="77777777" w:rsidR="00E836FB" w:rsidRDefault="00E836FB">
            <w:pPr>
              <w:rPr>
                <w:rFonts w:ascii="宋体"/>
                <w:vanish/>
              </w:rPr>
            </w:pPr>
          </w:p>
        </w:tc>
        <w:tc>
          <w:tcPr>
            <w:tcW w:w="0" w:type="auto"/>
            <w:shd w:val="clear" w:color="auto" w:fill="auto"/>
            <w:vAlign w:val="bottom"/>
          </w:tcPr>
          <w:p w14:paraId="5F2D4D1C" w14:textId="77777777" w:rsidR="00E836FB" w:rsidRDefault="00E836FB">
            <w:pPr>
              <w:rPr>
                <w:rFonts w:ascii="宋体"/>
                <w:vanish/>
              </w:rPr>
            </w:pPr>
          </w:p>
        </w:tc>
        <w:tc>
          <w:tcPr>
            <w:tcW w:w="0" w:type="auto"/>
            <w:shd w:val="clear" w:color="auto" w:fill="auto"/>
            <w:vAlign w:val="bottom"/>
          </w:tcPr>
          <w:p w14:paraId="5F2D4D1D" w14:textId="77777777" w:rsidR="00E836FB" w:rsidRDefault="00E836FB">
            <w:pPr>
              <w:rPr>
                <w:rFonts w:ascii="宋体"/>
                <w:vanish/>
              </w:rPr>
            </w:pPr>
          </w:p>
        </w:tc>
        <w:tc>
          <w:tcPr>
            <w:tcW w:w="0" w:type="auto"/>
            <w:shd w:val="clear" w:color="auto" w:fill="auto"/>
            <w:vAlign w:val="bottom"/>
          </w:tcPr>
          <w:p w14:paraId="5F2D4D1E" w14:textId="77777777" w:rsidR="00E836FB" w:rsidRDefault="00E83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D1F"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D2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2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D22" w14:textId="77777777" w:rsidR="00E836FB" w:rsidRDefault="00994958">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D23" w14:textId="77777777" w:rsidR="00E836FB" w:rsidRDefault="00E836FB">
            <w:pPr>
              <w:jc w:val="right"/>
              <w:rPr>
                <w:rFonts w:ascii="宋体"/>
              </w:rPr>
            </w:pPr>
          </w:p>
        </w:tc>
      </w:tr>
      <w:tr w:rsidR="00E836FB" w14:paraId="5F2D4D35" w14:textId="77777777">
        <w:tc>
          <w:tcPr>
            <w:tcW w:w="0" w:type="auto"/>
            <w:gridSpan w:val="3"/>
            <w:shd w:val="clear" w:color="auto" w:fill="FFFFFF"/>
            <w:tcMar>
              <w:top w:w="40" w:type="dxa"/>
              <w:left w:w="20" w:type="dxa"/>
              <w:bottom w:w="40" w:type="dxa"/>
              <w:right w:w="20" w:type="dxa"/>
            </w:tcMar>
            <w:vAlign w:val="bottom"/>
          </w:tcPr>
          <w:p w14:paraId="5F2D4D25" w14:textId="77777777" w:rsidR="00E836FB" w:rsidRDefault="00994958">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5F2D4D26"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D4D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2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2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D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2B" w14:textId="77777777" w:rsidR="00E836FB" w:rsidRDefault="00E836FB">
            <w:pPr>
              <w:rPr>
                <w:rFonts w:ascii="宋体"/>
              </w:rPr>
            </w:pPr>
          </w:p>
        </w:tc>
        <w:tc>
          <w:tcPr>
            <w:tcW w:w="0" w:type="auto"/>
            <w:shd w:val="clear" w:color="auto" w:fill="auto"/>
            <w:vAlign w:val="bottom"/>
          </w:tcPr>
          <w:p w14:paraId="5F2D4D2C" w14:textId="77777777" w:rsidR="00E836FB" w:rsidRDefault="00E836FB">
            <w:pPr>
              <w:rPr>
                <w:rFonts w:ascii="宋体"/>
                <w:vanish/>
              </w:rPr>
            </w:pPr>
          </w:p>
        </w:tc>
        <w:tc>
          <w:tcPr>
            <w:tcW w:w="0" w:type="auto"/>
            <w:shd w:val="clear" w:color="auto" w:fill="auto"/>
            <w:vAlign w:val="bottom"/>
          </w:tcPr>
          <w:p w14:paraId="5F2D4D2D" w14:textId="77777777" w:rsidR="00E836FB" w:rsidRDefault="00E836FB">
            <w:pPr>
              <w:rPr>
                <w:rFonts w:ascii="宋体"/>
                <w:vanish/>
              </w:rPr>
            </w:pPr>
          </w:p>
        </w:tc>
        <w:tc>
          <w:tcPr>
            <w:tcW w:w="0" w:type="auto"/>
            <w:shd w:val="clear" w:color="auto" w:fill="auto"/>
            <w:vAlign w:val="bottom"/>
          </w:tcPr>
          <w:p w14:paraId="5F2D4D2E" w14:textId="77777777" w:rsidR="00E836FB" w:rsidRDefault="00E836FB">
            <w:pPr>
              <w:rPr>
                <w:rFonts w:ascii="宋体"/>
                <w:vanish/>
              </w:rPr>
            </w:pPr>
          </w:p>
        </w:tc>
        <w:tc>
          <w:tcPr>
            <w:tcW w:w="0" w:type="auto"/>
            <w:shd w:val="clear" w:color="auto" w:fill="auto"/>
            <w:vAlign w:val="bottom"/>
          </w:tcPr>
          <w:p w14:paraId="5F2D4D2F"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D3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D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3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33"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D4D34" w14:textId="77777777" w:rsidR="00E836FB" w:rsidRDefault="00E836FB">
            <w:pPr>
              <w:jc w:val="right"/>
              <w:rPr>
                <w:rFonts w:ascii="宋体"/>
              </w:rPr>
            </w:pPr>
          </w:p>
        </w:tc>
      </w:tr>
      <w:tr w:rsidR="00E836FB" w14:paraId="5F2D4D46" w14:textId="77777777">
        <w:tc>
          <w:tcPr>
            <w:tcW w:w="0" w:type="auto"/>
            <w:gridSpan w:val="3"/>
            <w:shd w:val="clear" w:color="auto" w:fill="CCEEFF"/>
            <w:tcMar>
              <w:top w:w="40" w:type="dxa"/>
              <w:left w:w="20" w:type="dxa"/>
              <w:bottom w:w="40" w:type="dxa"/>
              <w:right w:w="20" w:type="dxa"/>
            </w:tcMar>
            <w:vAlign w:val="bottom"/>
          </w:tcPr>
          <w:p w14:paraId="5F2D4D36" w14:textId="77777777" w:rsidR="00E836FB" w:rsidRDefault="00994958">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5F2D4D37" w14:textId="77777777" w:rsidR="00E836FB" w:rsidRDefault="00994958">
            <w:pPr>
              <w:jc w:val="right"/>
              <w:textAlignment w:val="bottom"/>
            </w:pPr>
            <w:r>
              <w:rPr>
                <w:rFonts w:ascii="Arial" w:eastAsia="宋体" w:hAnsi="Arial" w:cs="Arial"/>
                <w:b/>
                <w:bCs/>
                <w:color w:val="000000"/>
                <w:sz w:val="14"/>
                <w:szCs w:val="14"/>
              </w:rPr>
              <w:t>(32)</w:t>
            </w:r>
          </w:p>
        </w:tc>
        <w:tc>
          <w:tcPr>
            <w:tcW w:w="0" w:type="auto"/>
            <w:shd w:val="clear" w:color="auto" w:fill="CCEEFF"/>
            <w:tcMar>
              <w:top w:w="40" w:type="dxa"/>
              <w:left w:w="0" w:type="dxa"/>
              <w:bottom w:w="40" w:type="dxa"/>
              <w:right w:w="20" w:type="dxa"/>
            </w:tcMar>
            <w:vAlign w:val="bottom"/>
          </w:tcPr>
          <w:p w14:paraId="5F2D4D3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3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D3A" w14:textId="77777777" w:rsidR="00E836FB" w:rsidRDefault="00994958">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D3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3C" w14:textId="77777777" w:rsidR="00E836FB" w:rsidRDefault="00E836FB">
            <w:pPr>
              <w:rPr>
                <w:rFonts w:ascii="宋体"/>
              </w:rPr>
            </w:pPr>
          </w:p>
        </w:tc>
        <w:tc>
          <w:tcPr>
            <w:tcW w:w="0" w:type="auto"/>
            <w:shd w:val="clear" w:color="auto" w:fill="auto"/>
            <w:vAlign w:val="bottom"/>
          </w:tcPr>
          <w:p w14:paraId="5F2D4D3D" w14:textId="77777777" w:rsidR="00E836FB" w:rsidRDefault="00E836FB">
            <w:pPr>
              <w:rPr>
                <w:rFonts w:ascii="宋体"/>
                <w:vanish/>
              </w:rPr>
            </w:pPr>
          </w:p>
        </w:tc>
        <w:tc>
          <w:tcPr>
            <w:tcW w:w="0" w:type="auto"/>
            <w:shd w:val="clear" w:color="auto" w:fill="auto"/>
            <w:vAlign w:val="bottom"/>
          </w:tcPr>
          <w:p w14:paraId="5F2D4D3E" w14:textId="77777777" w:rsidR="00E836FB" w:rsidRDefault="00E836FB">
            <w:pPr>
              <w:rPr>
                <w:rFonts w:ascii="宋体"/>
                <w:vanish/>
              </w:rPr>
            </w:pPr>
          </w:p>
        </w:tc>
        <w:tc>
          <w:tcPr>
            <w:tcW w:w="0" w:type="auto"/>
            <w:shd w:val="clear" w:color="auto" w:fill="auto"/>
            <w:vAlign w:val="bottom"/>
          </w:tcPr>
          <w:p w14:paraId="5F2D4D3F" w14:textId="77777777" w:rsidR="00E836FB" w:rsidRDefault="00E836FB">
            <w:pPr>
              <w:rPr>
                <w:rFonts w:ascii="宋体"/>
                <w:vanish/>
              </w:rPr>
            </w:pPr>
          </w:p>
        </w:tc>
        <w:tc>
          <w:tcPr>
            <w:tcW w:w="0" w:type="auto"/>
            <w:shd w:val="clear" w:color="auto" w:fill="auto"/>
            <w:vAlign w:val="bottom"/>
          </w:tcPr>
          <w:p w14:paraId="5F2D4D40" w14:textId="77777777" w:rsidR="00E836FB" w:rsidRDefault="00E836FB">
            <w:pPr>
              <w:rPr>
                <w:rFonts w:ascii="宋体"/>
                <w:vanish/>
              </w:rPr>
            </w:pPr>
          </w:p>
        </w:tc>
        <w:tc>
          <w:tcPr>
            <w:tcW w:w="0" w:type="auto"/>
            <w:gridSpan w:val="2"/>
            <w:shd w:val="clear" w:color="auto" w:fill="CCEEFF"/>
            <w:tcMar>
              <w:top w:w="40" w:type="dxa"/>
              <w:left w:w="20" w:type="dxa"/>
              <w:bottom w:w="40" w:type="dxa"/>
              <w:right w:w="0" w:type="dxa"/>
            </w:tcMar>
            <w:vAlign w:val="bottom"/>
          </w:tcPr>
          <w:p w14:paraId="5F2D4D4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D4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4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D44" w14:textId="77777777" w:rsidR="00E836FB" w:rsidRDefault="00994958">
            <w:pPr>
              <w:jc w:val="right"/>
              <w:textAlignment w:val="bottom"/>
            </w:pPr>
            <w:r>
              <w:rPr>
                <w:rFonts w:ascii="Arial" w:eastAsia="宋体" w:hAnsi="Arial" w:cs="Arial"/>
                <w:b/>
                <w:bCs/>
                <w:color w:val="000000"/>
                <w:sz w:val="14"/>
                <w:szCs w:val="14"/>
              </w:rPr>
              <w:t>(3)</w:t>
            </w:r>
          </w:p>
        </w:tc>
        <w:tc>
          <w:tcPr>
            <w:tcW w:w="0" w:type="auto"/>
            <w:shd w:val="clear" w:color="auto" w:fill="CCEEFF"/>
            <w:tcMar>
              <w:top w:w="40" w:type="dxa"/>
              <w:left w:w="0" w:type="dxa"/>
              <w:bottom w:w="40" w:type="dxa"/>
              <w:right w:w="20" w:type="dxa"/>
            </w:tcMar>
            <w:vAlign w:val="bottom"/>
          </w:tcPr>
          <w:p w14:paraId="5F2D4D45" w14:textId="77777777" w:rsidR="00E836FB" w:rsidRDefault="00E836FB">
            <w:pPr>
              <w:jc w:val="right"/>
              <w:rPr>
                <w:rFonts w:ascii="宋体"/>
              </w:rPr>
            </w:pPr>
          </w:p>
        </w:tc>
      </w:tr>
      <w:tr w:rsidR="00E836FB" w14:paraId="5F2D4D57" w14:textId="77777777">
        <w:tc>
          <w:tcPr>
            <w:tcW w:w="0" w:type="auto"/>
            <w:gridSpan w:val="3"/>
            <w:shd w:val="clear" w:color="auto" w:fill="FFFFFF"/>
            <w:tcMar>
              <w:top w:w="40" w:type="dxa"/>
              <w:left w:w="20" w:type="dxa"/>
              <w:bottom w:w="40" w:type="dxa"/>
              <w:right w:w="20" w:type="dxa"/>
            </w:tcMar>
            <w:vAlign w:val="bottom"/>
          </w:tcPr>
          <w:p w14:paraId="5F2D4D47" w14:textId="77777777" w:rsidR="00E836FB" w:rsidRDefault="00994958">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5F2D4D48" w14:textId="77777777" w:rsidR="00E836FB" w:rsidRDefault="00994958">
            <w:pPr>
              <w:jc w:val="right"/>
              <w:textAlignment w:val="bottom"/>
            </w:pPr>
            <w:r>
              <w:rPr>
                <w:rFonts w:ascii="Arial" w:eastAsia="宋体" w:hAnsi="Arial" w:cs="Arial"/>
                <w:b/>
                <w:bCs/>
                <w:color w:val="000000"/>
                <w:sz w:val="14"/>
                <w:szCs w:val="14"/>
              </w:rPr>
              <w:t>(89)</w:t>
            </w:r>
          </w:p>
        </w:tc>
        <w:tc>
          <w:tcPr>
            <w:tcW w:w="0" w:type="auto"/>
            <w:shd w:val="clear" w:color="auto" w:fill="FFFFFF"/>
            <w:tcMar>
              <w:top w:w="40" w:type="dxa"/>
              <w:left w:w="0" w:type="dxa"/>
              <w:bottom w:w="40" w:type="dxa"/>
              <w:right w:w="20" w:type="dxa"/>
            </w:tcMar>
            <w:vAlign w:val="bottom"/>
          </w:tcPr>
          <w:p w14:paraId="5F2D4D4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4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4B" w14:textId="77777777" w:rsidR="00E836FB" w:rsidRDefault="00994958">
            <w:pPr>
              <w:jc w:val="right"/>
              <w:textAlignment w:val="bottom"/>
            </w:pPr>
            <w:r>
              <w:rPr>
                <w:rFonts w:ascii="Arial" w:eastAsia="宋体" w:hAnsi="Arial" w:cs="Arial"/>
                <w:b/>
                <w:bCs/>
                <w:color w:val="000000"/>
                <w:sz w:val="14"/>
                <w:szCs w:val="14"/>
              </w:rPr>
              <w:t>(29)</w:t>
            </w:r>
          </w:p>
        </w:tc>
        <w:tc>
          <w:tcPr>
            <w:tcW w:w="0" w:type="auto"/>
            <w:shd w:val="clear" w:color="auto" w:fill="FFFFFF"/>
            <w:tcMar>
              <w:top w:w="40" w:type="dxa"/>
              <w:left w:w="0" w:type="dxa"/>
              <w:bottom w:w="40" w:type="dxa"/>
              <w:right w:w="20" w:type="dxa"/>
            </w:tcMar>
            <w:vAlign w:val="bottom"/>
          </w:tcPr>
          <w:p w14:paraId="5F2D4D4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4D" w14:textId="77777777" w:rsidR="00E836FB" w:rsidRDefault="00E836FB">
            <w:pPr>
              <w:rPr>
                <w:rFonts w:ascii="宋体"/>
              </w:rPr>
            </w:pPr>
          </w:p>
        </w:tc>
        <w:tc>
          <w:tcPr>
            <w:tcW w:w="0" w:type="auto"/>
            <w:shd w:val="clear" w:color="auto" w:fill="auto"/>
            <w:vAlign w:val="bottom"/>
          </w:tcPr>
          <w:p w14:paraId="5F2D4D4E" w14:textId="77777777" w:rsidR="00E836FB" w:rsidRDefault="00E836FB">
            <w:pPr>
              <w:rPr>
                <w:rFonts w:ascii="宋体"/>
                <w:vanish/>
              </w:rPr>
            </w:pPr>
          </w:p>
        </w:tc>
        <w:tc>
          <w:tcPr>
            <w:tcW w:w="0" w:type="auto"/>
            <w:shd w:val="clear" w:color="auto" w:fill="auto"/>
            <w:vAlign w:val="bottom"/>
          </w:tcPr>
          <w:p w14:paraId="5F2D4D4F" w14:textId="77777777" w:rsidR="00E836FB" w:rsidRDefault="00E836FB">
            <w:pPr>
              <w:rPr>
                <w:rFonts w:ascii="宋体"/>
                <w:vanish/>
              </w:rPr>
            </w:pPr>
          </w:p>
        </w:tc>
        <w:tc>
          <w:tcPr>
            <w:tcW w:w="0" w:type="auto"/>
            <w:shd w:val="clear" w:color="auto" w:fill="auto"/>
            <w:vAlign w:val="bottom"/>
          </w:tcPr>
          <w:p w14:paraId="5F2D4D50" w14:textId="77777777" w:rsidR="00E836FB" w:rsidRDefault="00E836FB">
            <w:pPr>
              <w:rPr>
                <w:rFonts w:ascii="宋体"/>
                <w:vanish/>
              </w:rPr>
            </w:pPr>
          </w:p>
        </w:tc>
        <w:tc>
          <w:tcPr>
            <w:tcW w:w="0" w:type="auto"/>
            <w:shd w:val="clear" w:color="auto" w:fill="auto"/>
            <w:vAlign w:val="bottom"/>
          </w:tcPr>
          <w:p w14:paraId="5F2D4D51" w14:textId="77777777" w:rsidR="00E836FB" w:rsidRDefault="00E836FB">
            <w:pPr>
              <w:rPr>
                <w:rFonts w:ascii="宋体"/>
                <w:vanish/>
              </w:rPr>
            </w:pPr>
          </w:p>
        </w:tc>
        <w:tc>
          <w:tcPr>
            <w:tcW w:w="0" w:type="auto"/>
            <w:gridSpan w:val="2"/>
            <w:shd w:val="clear" w:color="auto" w:fill="FFFFFF"/>
            <w:tcMar>
              <w:top w:w="40" w:type="dxa"/>
              <w:left w:w="20" w:type="dxa"/>
              <w:bottom w:w="40" w:type="dxa"/>
              <w:right w:w="0" w:type="dxa"/>
            </w:tcMar>
            <w:vAlign w:val="bottom"/>
          </w:tcPr>
          <w:p w14:paraId="5F2D4D5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D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5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55" w14:textId="77777777" w:rsidR="00E836FB" w:rsidRDefault="00994958">
            <w:pPr>
              <w:jc w:val="right"/>
              <w:textAlignment w:val="bottom"/>
            </w:pPr>
            <w:r>
              <w:rPr>
                <w:rFonts w:ascii="Arial" w:eastAsia="宋体" w:hAnsi="Arial" w:cs="Arial"/>
                <w:b/>
                <w:bCs/>
                <w:color w:val="000000"/>
                <w:sz w:val="14"/>
                <w:szCs w:val="14"/>
              </w:rPr>
              <w:t>(118)</w:t>
            </w:r>
          </w:p>
        </w:tc>
        <w:tc>
          <w:tcPr>
            <w:tcW w:w="0" w:type="auto"/>
            <w:shd w:val="clear" w:color="auto" w:fill="FFFFFF"/>
            <w:tcMar>
              <w:top w:w="40" w:type="dxa"/>
              <w:left w:w="0" w:type="dxa"/>
              <w:bottom w:w="40" w:type="dxa"/>
              <w:right w:w="20" w:type="dxa"/>
            </w:tcMar>
            <w:vAlign w:val="bottom"/>
          </w:tcPr>
          <w:p w14:paraId="5F2D4D56" w14:textId="77777777" w:rsidR="00E836FB" w:rsidRDefault="00E836FB">
            <w:pPr>
              <w:jc w:val="right"/>
              <w:rPr>
                <w:rFonts w:ascii="宋体"/>
              </w:rPr>
            </w:pPr>
          </w:p>
        </w:tc>
      </w:tr>
      <w:tr w:rsidR="00E836FB" w14:paraId="5F2D4D6C" w14:textId="77777777">
        <w:tc>
          <w:tcPr>
            <w:tcW w:w="0" w:type="auto"/>
            <w:gridSpan w:val="3"/>
            <w:shd w:val="clear" w:color="auto" w:fill="CCEEFF"/>
            <w:tcMar>
              <w:top w:w="40" w:type="dxa"/>
              <w:left w:w="20" w:type="dxa"/>
              <w:bottom w:w="40" w:type="dxa"/>
              <w:right w:w="20" w:type="dxa"/>
            </w:tcMar>
            <w:vAlign w:val="bottom"/>
          </w:tcPr>
          <w:p w14:paraId="5F2D4D58" w14:textId="77777777" w:rsidR="00E836FB" w:rsidRDefault="00994958">
            <w:pPr>
              <w:textAlignment w:val="bottom"/>
            </w:pPr>
            <w:r>
              <w:rPr>
                <w:rFonts w:ascii="Arial" w:eastAsia="宋体" w:hAnsi="Arial" w:cs="Arial"/>
                <w:b/>
                <w:bCs/>
                <w:color w:val="000000"/>
                <w:sz w:val="14"/>
                <w:szCs w:val="14"/>
              </w:rPr>
              <w:t>Accrual Balance at December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D5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D5A" w14:textId="77777777" w:rsidR="00E836FB" w:rsidRDefault="00994958">
            <w:pPr>
              <w:jc w:val="right"/>
              <w:textAlignment w:val="bottom"/>
            </w:pPr>
            <w:r>
              <w:rPr>
                <w:rFonts w:ascii="Arial" w:eastAsia="宋体" w:hAnsi="Arial" w:cs="Arial"/>
                <w:b/>
                <w:bCs/>
                <w:color w:val="000000"/>
                <w:sz w:val="14"/>
                <w:szCs w:val="14"/>
              </w:rPr>
              <w:t>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D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5C"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D5D"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D5E" w14:textId="77777777" w:rsidR="00E836FB" w:rsidRDefault="00994958">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D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60" w14:textId="77777777" w:rsidR="00E836FB" w:rsidRDefault="00E836FB">
            <w:pPr>
              <w:rPr>
                <w:rFonts w:ascii="宋体"/>
              </w:rPr>
            </w:pPr>
          </w:p>
        </w:tc>
        <w:tc>
          <w:tcPr>
            <w:tcW w:w="0" w:type="auto"/>
            <w:shd w:val="clear" w:color="auto" w:fill="auto"/>
            <w:vAlign w:val="bottom"/>
          </w:tcPr>
          <w:p w14:paraId="5F2D4D61" w14:textId="77777777" w:rsidR="00E836FB" w:rsidRDefault="00E836FB">
            <w:pPr>
              <w:rPr>
                <w:rFonts w:ascii="宋体"/>
                <w:vanish/>
              </w:rPr>
            </w:pPr>
          </w:p>
        </w:tc>
        <w:tc>
          <w:tcPr>
            <w:tcW w:w="0" w:type="auto"/>
            <w:shd w:val="clear" w:color="auto" w:fill="auto"/>
            <w:vAlign w:val="bottom"/>
          </w:tcPr>
          <w:p w14:paraId="5F2D4D62" w14:textId="77777777" w:rsidR="00E836FB" w:rsidRDefault="00E836FB">
            <w:pPr>
              <w:rPr>
                <w:rFonts w:ascii="宋体"/>
                <w:vanish/>
              </w:rPr>
            </w:pPr>
          </w:p>
        </w:tc>
        <w:tc>
          <w:tcPr>
            <w:tcW w:w="0" w:type="auto"/>
            <w:shd w:val="clear" w:color="auto" w:fill="auto"/>
            <w:vAlign w:val="bottom"/>
          </w:tcPr>
          <w:p w14:paraId="5F2D4D63" w14:textId="77777777" w:rsidR="00E836FB" w:rsidRDefault="00E836FB">
            <w:pPr>
              <w:rPr>
                <w:rFonts w:ascii="宋体"/>
                <w:vanish/>
              </w:rPr>
            </w:pPr>
          </w:p>
        </w:tc>
        <w:tc>
          <w:tcPr>
            <w:tcW w:w="0" w:type="auto"/>
            <w:shd w:val="clear" w:color="auto" w:fill="auto"/>
            <w:vAlign w:val="bottom"/>
          </w:tcPr>
          <w:p w14:paraId="5F2D4D64" w14:textId="77777777" w:rsidR="00E836FB" w:rsidRDefault="00E836FB">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D6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D6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D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68"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D6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D6A"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D6B" w14:textId="77777777" w:rsidR="00E836FB" w:rsidRDefault="00E836FB">
            <w:pPr>
              <w:jc w:val="right"/>
              <w:rPr>
                <w:rFonts w:ascii="宋体"/>
              </w:rPr>
            </w:pPr>
          </w:p>
        </w:tc>
      </w:tr>
      <w:tr w:rsidR="00E836FB" w14:paraId="5F2D4D79" w14:textId="77777777">
        <w:trPr>
          <w:hidden/>
        </w:trPr>
        <w:tc>
          <w:tcPr>
            <w:tcW w:w="0" w:type="auto"/>
            <w:gridSpan w:val="3"/>
            <w:shd w:val="clear" w:color="auto" w:fill="auto"/>
            <w:vAlign w:val="bottom"/>
          </w:tcPr>
          <w:p w14:paraId="5F2D4D6D" w14:textId="77777777" w:rsidR="00E836FB" w:rsidRDefault="00E836FB">
            <w:pPr>
              <w:rPr>
                <w:rFonts w:ascii="宋体"/>
                <w:vanish/>
              </w:rPr>
            </w:pPr>
          </w:p>
        </w:tc>
        <w:tc>
          <w:tcPr>
            <w:tcW w:w="0" w:type="auto"/>
            <w:gridSpan w:val="3"/>
            <w:shd w:val="clear" w:color="auto" w:fill="auto"/>
            <w:vAlign w:val="bottom"/>
          </w:tcPr>
          <w:p w14:paraId="5F2D4D6E" w14:textId="77777777" w:rsidR="00E836FB" w:rsidRDefault="00E836FB">
            <w:pPr>
              <w:rPr>
                <w:rFonts w:ascii="宋体"/>
                <w:vanish/>
              </w:rPr>
            </w:pPr>
          </w:p>
        </w:tc>
        <w:tc>
          <w:tcPr>
            <w:tcW w:w="0" w:type="auto"/>
            <w:gridSpan w:val="3"/>
            <w:shd w:val="clear" w:color="auto" w:fill="auto"/>
            <w:vAlign w:val="bottom"/>
          </w:tcPr>
          <w:p w14:paraId="5F2D4D6F" w14:textId="77777777" w:rsidR="00E836FB" w:rsidRDefault="00E836FB">
            <w:pPr>
              <w:rPr>
                <w:rFonts w:ascii="宋体"/>
                <w:vanish/>
              </w:rPr>
            </w:pPr>
          </w:p>
        </w:tc>
        <w:tc>
          <w:tcPr>
            <w:tcW w:w="0" w:type="auto"/>
            <w:gridSpan w:val="3"/>
            <w:shd w:val="clear" w:color="auto" w:fill="auto"/>
            <w:vAlign w:val="bottom"/>
          </w:tcPr>
          <w:p w14:paraId="5F2D4D70" w14:textId="77777777" w:rsidR="00E836FB" w:rsidRDefault="00E836FB">
            <w:pPr>
              <w:rPr>
                <w:rFonts w:ascii="宋体"/>
                <w:vanish/>
              </w:rPr>
            </w:pPr>
          </w:p>
        </w:tc>
        <w:tc>
          <w:tcPr>
            <w:tcW w:w="0" w:type="auto"/>
            <w:gridSpan w:val="3"/>
            <w:shd w:val="clear" w:color="auto" w:fill="auto"/>
            <w:vAlign w:val="bottom"/>
          </w:tcPr>
          <w:p w14:paraId="5F2D4D71" w14:textId="77777777" w:rsidR="00E836FB" w:rsidRDefault="00E836FB">
            <w:pPr>
              <w:rPr>
                <w:rFonts w:ascii="宋体"/>
                <w:vanish/>
              </w:rPr>
            </w:pPr>
          </w:p>
        </w:tc>
        <w:tc>
          <w:tcPr>
            <w:tcW w:w="0" w:type="auto"/>
            <w:shd w:val="clear" w:color="auto" w:fill="auto"/>
            <w:vAlign w:val="bottom"/>
          </w:tcPr>
          <w:p w14:paraId="5F2D4D72" w14:textId="77777777" w:rsidR="00E836FB" w:rsidRDefault="00E836FB">
            <w:pPr>
              <w:rPr>
                <w:rFonts w:ascii="宋体"/>
                <w:vanish/>
              </w:rPr>
            </w:pPr>
          </w:p>
        </w:tc>
        <w:tc>
          <w:tcPr>
            <w:tcW w:w="0" w:type="auto"/>
            <w:shd w:val="clear" w:color="auto" w:fill="auto"/>
            <w:vAlign w:val="bottom"/>
          </w:tcPr>
          <w:p w14:paraId="5F2D4D73" w14:textId="77777777" w:rsidR="00E836FB" w:rsidRDefault="00E836FB">
            <w:pPr>
              <w:rPr>
                <w:rFonts w:ascii="宋体"/>
                <w:vanish/>
              </w:rPr>
            </w:pPr>
          </w:p>
        </w:tc>
        <w:tc>
          <w:tcPr>
            <w:tcW w:w="0" w:type="auto"/>
            <w:shd w:val="clear" w:color="auto" w:fill="auto"/>
            <w:vAlign w:val="bottom"/>
          </w:tcPr>
          <w:p w14:paraId="5F2D4D74" w14:textId="77777777" w:rsidR="00E836FB" w:rsidRDefault="00E836FB">
            <w:pPr>
              <w:rPr>
                <w:rFonts w:ascii="宋体"/>
                <w:vanish/>
              </w:rPr>
            </w:pPr>
          </w:p>
        </w:tc>
        <w:tc>
          <w:tcPr>
            <w:tcW w:w="0" w:type="auto"/>
            <w:shd w:val="clear" w:color="auto" w:fill="auto"/>
            <w:vAlign w:val="bottom"/>
          </w:tcPr>
          <w:p w14:paraId="5F2D4D75" w14:textId="77777777" w:rsidR="00E836FB" w:rsidRDefault="00E836FB">
            <w:pPr>
              <w:rPr>
                <w:rFonts w:ascii="宋体"/>
                <w:vanish/>
              </w:rPr>
            </w:pPr>
          </w:p>
        </w:tc>
        <w:tc>
          <w:tcPr>
            <w:tcW w:w="0" w:type="auto"/>
            <w:gridSpan w:val="3"/>
            <w:shd w:val="clear" w:color="auto" w:fill="auto"/>
            <w:vAlign w:val="bottom"/>
          </w:tcPr>
          <w:p w14:paraId="5F2D4D76" w14:textId="77777777" w:rsidR="00E836FB" w:rsidRDefault="00E836FB">
            <w:pPr>
              <w:rPr>
                <w:rFonts w:ascii="宋体"/>
                <w:vanish/>
              </w:rPr>
            </w:pPr>
          </w:p>
        </w:tc>
        <w:tc>
          <w:tcPr>
            <w:tcW w:w="0" w:type="auto"/>
            <w:gridSpan w:val="3"/>
            <w:shd w:val="clear" w:color="auto" w:fill="auto"/>
            <w:vAlign w:val="bottom"/>
          </w:tcPr>
          <w:p w14:paraId="5F2D4D77" w14:textId="77777777" w:rsidR="00E836FB" w:rsidRDefault="00E836FB">
            <w:pPr>
              <w:rPr>
                <w:rFonts w:ascii="宋体"/>
                <w:vanish/>
              </w:rPr>
            </w:pPr>
          </w:p>
        </w:tc>
        <w:tc>
          <w:tcPr>
            <w:tcW w:w="0" w:type="auto"/>
            <w:gridSpan w:val="3"/>
            <w:shd w:val="clear" w:color="auto" w:fill="auto"/>
            <w:vAlign w:val="bottom"/>
          </w:tcPr>
          <w:p w14:paraId="5F2D4D78" w14:textId="77777777" w:rsidR="00E836FB" w:rsidRDefault="00E836FB">
            <w:pPr>
              <w:rPr>
                <w:rFonts w:ascii="宋体"/>
                <w:vanish/>
              </w:rPr>
            </w:pPr>
          </w:p>
        </w:tc>
      </w:tr>
    </w:tbl>
    <w:p w14:paraId="5F2D4D7A" w14:textId="77777777" w:rsidR="00E836FB" w:rsidRDefault="00994958">
      <w:pPr>
        <w:spacing w:before="90"/>
        <w:jc w:val="both"/>
        <w:textAlignment w:val="top"/>
      </w:pPr>
      <w:r>
        <w:rPr>
          <w:rFonts w:ascii="Arial" w:eastAsia="宋体" w:hAnsi="Arial" w:cs="Arial"/>
          <w:b/>
          <w:bCs/>
          <w:color w:val="000000"/>
          <w:sz w:val="20"/>
          <w:szCs w:val="20"/>
        </w:rPr>
        <w:t>Note 22.     Income Taxes</w:t>
      </w:r>
    </w:p>
    <w:p w14:paraId="5F2D4D7B" w14:textId="77777777" w:rsidR="00E836FB" w:rsidRDefault="00994958">
      <w:pPr>
        <w:spacing w:before="60"/>
        <w:ind w:firstLine="450"/>
        <w:jc w:val="both"/>
        <w:textAlignment w:val="top"/>
      </w:pPr>
      <w:r>
        <w:rPr>
          <w:rFonts w:ascii="Arial" w:eastAsia="宋体" w:hAnsi="Arial" w:cs="Arial"/>
          <w:color w:val="000000"/>
          <w:sz w:val="20"/>
          <w:szCs w:val="20"/>
        </w:rPr>
        <w:t xml:space="preserve">We use an asset-and-liability approach to </w:t>
      </w:r>
      <w:r>
        <w:rPr>
          <w:rFonts w:ascii="Arial" w:eastAsia="宋体" w:hAnsi="Arial" w:cs="Arial"/>
          <w:color w:val="000000"/>
          <w:sz w:val="20"/>
          <w:szCs w:val="20"/>
        </w:rPr>
        <w:t>account for income taxes. Our objective is to recognize the amount of taxes payable or refundable for the current year through charges or credits to the current tax provision, and to recognize deferred tax assets and liabilities for future tax consequences</w:t>
      </w:r>
      <w:r>
        <w:rPr>
          <w:rFonts w:ascii="Arial" w:eastAsia="宋体" w:hAnsi="Arial" w:cs="Arial"/>
          <w:color w:val="000000"/>
          <w:sz w:val="20"/>
          <w:szCs w:val="20"/>
        </w:rPr>
        <w:t xml:space="preserve"> of temporary differences between amounts reported in our consolidated financial statements and their respective tax bases. The measurement of tax assets and liabilities is based on enacted tax laws and applicable tax rates. The effects of a tax position o</w:t>
      </w:r>
      <w:r>
        <w:rPr>
          <w:rFonts w:ascii="Arial" w:eastAsia="宋体" w:hAnsi="Arial" w:cs="Arial"/>
          <w:color w:val="000000"/>
          <w:sz w:val="20"/>
          <w:szCs w:val="20"/>
        </w:rPr>
        <w:t>n our consolidated financial statements are recognized when we believe it is more likely than not that the position will be sustained. A valuation allowance is established if it is considered more likely than not that all or a portion of the deferred tax a</w:t>
      </w:r>
      <w:r>
        <w:rPr>
          <w:rFonts w:ascii="Arial" w:eastAsia="宋体" w:hAnsi="Arial" w:cs="Arial"/>
          <w:color w:val="000000"/>
          <w:sz w:val="20"/>
          <w:szCs w:val="20"/>
        </w:rPr>
        <w:t>ssets will not be realized. Deferred tax assets and liabilities recorded in our consolidated statement of condition are netted within the same tax jurisdiction.</w:t>
      </w:r>
    </w:p>
    <w:p w14:paraId="5F2D4D7C" w14:textId="77777777" w:rsidR="00E836FB" w:rsidRDefault="00994958">
      <w:pPr>
        <w:ind w:firstLine="450"/>
        <w:jc w:val="right"/>
      </w:pPr>
      <w:r>
        <w:rPr>
          <w:rFonts w:ascii="Arial" w:eastAsia="宋体" w:hAnsi="Arial" w:cs="Arial"/>
          <w:color w:val="000000"/>
          <w:sz w:val="18"/>
          <w:szCs w:val="18"/>
        </w:rPr>
        <w:t>State Street Corporation | 177</w:t>
      </w:r>
    </w:p>
    <w:p w14:paraId="5F2D4D7D" w14:textId="77777777" w:rsidR="00E836FB" w:rsidRDefault="00E836FB">
      <w:pPr>
        <w:ind w:firstLine="450"/>
        <w:jc w:val="center"/>
      </w:pPr>
    </w:p>
    <w:p w14:paraId="5F2D4D7E" w14:textId="77777777" w:rsidR="00E836FB" w:rsidRDefault="00994958">
      <w:r>
        <w:pict w14:anchorId="5F2D6E36">
          <v:rect id="_x0000_i1201" style="width:415.3pt;height:1.5pt" o:hralign="center" o:hrstd="t" o:hr="t" fillcolor="#a0a0a0" stroked="f"/>
        </w:pict>
      </w:r>
    </w:p>
    <w:p w14:paraId="5F2D4D7F" w14:textId="77777777" w:rsidR="00E836FB" w:rsidRDefault="00994958">
      <w:pPr>
        <w:ind w:firstLine="450"/>
        <w:jc w:val="center"/>
      </w:pPr>
      <w:r>
        <w:rPr>
          <w:rFonts w:ascii="Arial" w:eastAsia="宋体" w:hAnsi="Arial" w:cs="Arial"/>
          <w:b/>
          <w:bCs/>
          <w:color w:val="000000"/>
          <w:sz w:val="20"/>
          <w:szCs w:val="20"/>
        </w:rPr>
        <w:t>STATE STREET CORPORATION</w:t>
      </w:r>
    </w:p>
    <w:p w14:paraId="5F2D4D80" w14:textId="77777777" w:rsidR="00E836FB" w:rsidRDefault="00994958">
      <w:pPr>
        <w:ind w:firstLine="450"/>
        <w:jc w:val="center"/>
      </w:pPr>
      <w:r>
        <w:rPr>
          <w:rFonts w:ascii="Arial" w:eastAsia="宋体" w:hAnsi="Arial" w:cs="Arial"/>
          <w:b/>
          <w:bCs/>
          <w:color w:val="000000"/>
          <w:sz w:val="20"/>
          <w:szCs w:val="20"/>
        </w:rPr>
        <w:t xml:space="preserve">NOTES TO CONSOLIDATED </w:t>
      </w:r>
      <w:r>
        <w:rPr>
          <w:rFonts w:ascii="Arial" w:eastAsia="宋体" w:hAnsi="Arial" w:cs="Arial"/>
          <w:b/>
          <w:bCs/>
          <w:color w:val="000000"/>
          <w:sz w:val="20"/>
          <w:szCs w:val="20"/>
        </w:rPr>
        <w:t>FINANCIAL STATEMENTS</w:t>
      </w:r>
    </w:p>
    <w:p w14:paraId="5F2D4D81"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the components of income tax expense (benefit) for the periods indicated:</w:t>
      </w:r>
      <w:r>
        <w:rPr>
          <w:rFonts w:ascii="Arial" w:eastAsia="宋体" w:hAnsi="Arial" w:cs="Arial"/>
          <w:color w:val="000000"/>
          <w:sz w:val="18"/>
          <w:szCs w:val="18"/>
        </w:rPr>
        <w:t> </w:t>
      </w:r>
    </w:p>
    <w:tbl>
      <w:tblPr>
        <w:tblW w:w="4969" w:type="pct"/>
        <w:tblCellMar>
          <w:top w:w="15" w:type="dxa"/>
          <w:left w:w="15" w:type="dxa"/>
          <w:bottom w:w="15" w:type="dxa"/>
          <w:right w:w="15" w:type="dxa"/>
        </w:tblCellMar>
        <w:tblLook w:val="04A0" w:firstRow="1" w:lastRow="0" w:firstColumn="1" w:lastColumn="0" w:noHBand="0" w:noVBand="1"/>
      </w:tblPr>
      <w:tblGrid>
        <w:gridCol w:w="45"/>
        <w:gridCol w:w="3751"/>
        <w:gridCol w:w="37"/>
        <w:gridCol w:w="98"/>
        <w:gridCol w:w="1259"/>
        <w:gridCol w:w="36"/>
        <w:gridCol w:w="36"/>
        <w:gridCol w:w="76"/>
        <w:gridCol w:w="36"/>
        <w:gridCol w:w="98"/>
        <w:gridCol w:w="1259"/>
        <w:gridCol w:w="36"/>
        <w:gridCol w:w="36"/>
        <w:gridCol w:w="77"/>
        <w:gridCol w:w="36"/>
        <w:gridCol w:w="98"/>
        <w:gridCol w:w="1234"/>
        <w:gridCol w:w="36"/>
      </w:tblGrid>
      <w:tr w:rsidR="00E836FB" w14:paraId="5F2D4D94" w14:textId="77777777">
        <w:tc>
          <w:tcPr>
            <w:tcW w:w="50" w:type="pct"/>
            <w:shd w:val="clear" w:color="auto" w:fill="auto"/>
            <w:vAlign w:val="bottom"/>
          </w:tcPr>
          <w:p w14:paraId="5F2D4D82" w14:textId="77777777" w:rsidR="00E836FB" w:rsidRDefault="00E836FB">
            <w:pPr>
              <w:rPr>
                <w:rFonts w:ascii="宋体"/>
              </w:rPr>
            </w:pPr>
          </w:p>
        </w:tc>
        <w:tc>
          <w:tcPr>
            <w:tcW w:w="2286" w:type="pct"/>
            <w:shd w:val="clear" w:color="auto" w:fill="auto"/>
            <w:vAlign w:val="bottom"/>
          </w:tcPr>
          <w:p w14:paraId="5F2D4D83" w14:textId="77777777" w:rsidR="00E836FB" w:rsidRDefault="00E836FB">
            <w:pPr>
              <w:rPr>
                <w:rFonts w:ascii="宋体"/>
              </w:rPr>
            </w:pPr>
          </w:p>
        </w:tc>
        <w:tc>
          <w:tcPr>
            <w:tcW w:w="5" w:type="pct"/>
            <w:shd w:val="clear" w:color="auto" w:fill="auto"/>
            <w:vAlign w:val="bottom"/>
          </w:tcPr>
          <w:p w14:paraId="5F2D4D84" w14:textId="77777777" w:rsidR="00E836FB" w:rsidRDefault="00E836FB">
            <w:pPr>
              <w:rPr>
                <w:rFonts w:ascii="宋体"/>
              </w:rPr>
            </w:pPr>
          </w:p>
        </w:tc>
        <w:tc>
          <w:tcPr>
            <w:tcW w:w="50" w:type="pct"/>
            <w:shd w:val="clear" w:color="auto" w:fill="auto"/>
            <w:vAlign w:val="bottom"/>
          </w:tcPr>
          <w:p w14:paraId="5F2D4D85" w14:textId="77777777" w:rsidR="00E836FB" w:rsidRDefault="00E836FB">
            <w:pPr>
              <w:rPr>
                <w:rFonts w:ascii="宋体"/>
              </w:rPr>
            </w:pPr>
          </w:p>
        </w:tc>
        <w:tc>
          <w:tcPr>
            <w:tcW w:w="783" w:type="pct"/>
            <w:shd w:val="clear" w:color="auto" w:fill="auto"/>
            <w:vAlign w:val="bottom"/>
          </w:tcPr>
          <w:p w14:paraId="5F2D4D86" w14:textId="77777777" w:rsidR="00E836FB" w:rsidRDefault="00E836FB">
            <w:pPr>
              <w:rPr>
                <w:rFonts w:ascii="宋体"/>
              </w:rPr>
            </w:pPr>
          </w:p>
        </w:tc>
        <w:tc>
          <w:tcPr>
            <w:tcW w:w="5" w:type="pct"/>
            <w:shd w:val="clear" w:color="auto" w:fill="auto"/>
            <w:vAlign w:val="bottom"/>
          </w:tcPr>
          <w:p w14:paraId="5F2D4D87" w14:textId="77777777" w:rsidR="00E836FB" w:rsidRDefault="00E836FB">
            <w:pPr>
              <w:rPr>
                <w:rFonts w:ascii="宋体"/>
              </w:rPr>
            </w:pPr>
          </w:p>
        </w:tc>
        <w:tc>
          <w:tcPr>
            <w:tcW w:w="5" w:type="pct"/>
            <w:shd w:val="clear" w:color="auto" w:fill="auto"/>
            <w:vAlign w:val="bottom"/>
          </w:tcPr>
          <w:p w14:paraId="5F2D4D88" w14:textId="77777777" w:rsidR="00E836FB" w:rsidRDefault="00E836FB">
            <w:pPr>
              <w:rPr>
                <w:rFonts w:ascii="宋体"/>
              </w:rPr>
            </w:pPr>
          </w:p>
        </w:tc>
        <w:tc>
          <w:tcPr>
            <w:tcW w:w="69" w:type="pct"/>
            <w:shd w:val="clear" w:color="auto" w:fill="auto"/>
            <w:vAlign w:val="bottom"/>
          </w:tcPr>
          <w:p w14:paraId="5F2D4D89" w14:textId="77777777" w:rsidR="00E836FB" w:rsidRDefault="00E836FB">
            <w:pPr>
              <w:rPr>
                <w:rFonts w:ascii="宋体"/>
              </w:rPr>
            </w:pPr>
          </w:p>
        </w:tc>
        <w:tc>
          <w:tcPr>
            <w:tcW w:w="5" w:type="pct"/>
            <w:shd w:val="clear" w:color="auto" w:fill="auto"/>
            <w:vAlign w:val="bottom"/>
          </w:tcPr>
          <w:p w14:paraId="5F2D4D8A" w14:textId="77777777" w:rsidR="00E836FB" w:rsidRDefault="00E836FB">
            <w:pPr>
              <w:rPr>
                <w:rFonts w:ascii="宋体"/>
              </w:rPr>
            </w:pPr>
          </w:p>
        </w:tc>
        <w:tc>
          <w:tcPr>
            <w:tcW w:w="50" w:type="pct"/>
            <w:shd w:val="clear" w:color="auto" w:fill="auto"/>
            <w:vAlign w:val="bottom"/>
          </w:tcPr>
          <w:p w14:paraId="5F2D4D8B" w14:textId="77777777" w:rsidR="00E836FB" w:rsidRDefault="00E836FB">
            <w:pPr>
              <w:rPr>
                <w:rFonts w:ascii="宋体"/>
              </w:rPr>
            </w:pPr>
          </w:p>
        </w:tc>
        <w:tc>
          <w:tcPr>
            <w:tcW w:w="783" w:type="pct"/>
            <w:shd w:val="clear" w:color="auto" w:fill="auto"/>
            <w:vAlign w:val="bottom"/>
          </w:tcPr>
          <w:p w14:paraId="5F2D4D8C" w14:textId="77777777" w:rsidR="00E836FB" w:rsidRDefault="00E836FB">
            <w:pPr>
              <w:rPr>
                <w:rFonts w:ascii="宋体"/>
              </w:rPr>
            </w:pPr>
          </w:p>
        </w:tc>
        <w:tc>
          <w:tcPr>
            <w:tcW w:w="5" w:type="pct"/>
            <w:shd w:val="clear" w:color="auto" w:fill="auto"/>
            <w:vAlign w:val="bottom"/>
          </w:tcPr>
          <w:p w14:paraId="5F2D4D8D" w14:textId="77777777" w:rsidR="00E836FB" w:rsidRDefault="00E836FB">
            <w:pPr>
              <w:rPr>
                <w:rFonts w:ascii="宋体"/>
              </w:rPr>
            </w:pPr>
          </w:p>
        </w:tc>
        <w:tc>
          <w:tcPr>
            <w:tcW w:w="5" w:type="pct"/>
            <w:shd w:val="clear" w:color="auto" w:fill="auto"/>
            <w:vAlign w:val="bottom"/>
          </w:tcPr>
          <w:p w14:paraId="5F2D4D8E" w14:textId="77777777" w:rsidR="00E836FB" w:rsidRDefault="00E836FB">
            <w:pPr>
              <w:rPr>
                <w:rFonts w:ascii="宋体"/>
              </w:rPr>
            </w:pPr>
          </w:p>
        </w:tc>
        <w:tc>
          <w:tcPr>
            <w:tcW w:w="69" w:type="pct"/>
            <w:shd w:val="clear" w:color="auto" w:fill="auto"/>
            <w:vAlign w:val="bottom"/>
          </w:tcPr>
          <w:p w14:paraId="5F2D4D8F" w14:textId="77777777" w:rsidR="00E836FB" w:rsidRDefault="00E836FB">
            <w:pPr>
              <w:rPr>
                <w:rFonts w:ascii="宋体"/>
              </w:rPr>
            </w:pPr>
          </w:p>
        </w:tc>
        <w:tc>
          <w:tcPr>
            <w:tcW w:w="5" w:type="pct"/>
            <w:shd w:val="clear" w:color="auto" w:fill="auto"/>
            <w:vAlign w:val="bottom"/>
          </w:tcPr>
          <w:p w14:paraId="5F2D4D90" w14:textId="77777777" w:rsidR="00E836FB" w:rsidRDefault="00E836FB">
            <w:pPr>
              <w:rPr>
                <w:rFonts w:ascii="宋体"/>
              </w:rPr>
            </w:pPr>
          </w:p>
        </w:tc>
        <w:tc>
          <w:tcPr>
            <w:tcW w:w="50" w:type="pct"/>
            <w:shd w:val="clear" w:color="auto" w:fill="auto"/>
            <w:vAlign w:val="bottom"/>
          </w:tcPr>
          <w:p w14:paraId="5F2D4D91" w14:textId="77777777" w:rsidR="00E836FB" w:rsidRDefault="00E836FB">
            <w:pPr>
              <w:rPr>
                <w:rFonts w:ascii="宋体"/>
              </w:rPr>
            </w:pPr>
          </w:p>
        </w:tc>
        <w:tc>
          <w:tcPr>
            <w:tcW w:w="767" w:type="pct"/>
            <w:shd w:val="clear" w:color="auto" w:fill="auto"/>
            <w:vAlign w:val="bottom"/>
          </w:tcPr>
          <w:p w14:paraId="5F2D4D92" w14:textId="77777777" w:rsidR="00E836FB" w:rsidRDefault="00E836FB">
            <w:pPr>
              <w:rPr>
                <w:rFonts w:ascii="宋体"/>
              </w:rPr>
            </w:pPr>
          </w:p>
        </w:tc>
        <w:tc>
          <w:tcPr>
            <w:tcW w:w="5" w:type="pct"/>
            <w:shd w:val="clear" w:color="auto" w:fill="auto"/>
            <w:vAlign w:val="bottom"/>
          </w:tcPr>
          <w:p w14:paraId="5F2D4D93" w14:textId="77777777" w:rsidR="00E836FB" w:rsidRDefault="00E836FB">
            <w:pPr>
              <w:rPr>
                <w:rFonts w:ascii="宋体"/>
              </w:rPr>
            </w:pPr>
          </w:p>
        </w:tc>
      </w:tr>
      <w:tr w:rsidR="00E836FB" w14:paraId="5F2D4D97" w14:textId="77777777">
        <w:tc>
          <w:tcPr>
            <w:tcW w:w="0" w:type="auto"/>
            <w:gridSpan w:val="3"/>
            <w:shd w:val="clear" w:color="auto" w:fill="auto"/>
            <w:tcMar>
              <w:top w:w="0" w:type="dxa"/>
              <w:left w:w="20" w:type="dxa"/>
              <w:bottom w:w="0" w:type="dxa"/>
              <w:right w:w="20" w:type="dxa"/>
            </w:tcMar>
            <w:vAlign w:val="bottom"/>
          </w:tcPr>
          <w:p w14:paraId="5F2D4D95"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4D96" w14:textId="77777777" w:rsidR="00E836FB" w:rsidRDefault="00994958">
            <w:pPr>
              <w:jc w:val="center"/>
              <w:textAlignment w:val="bottom"/>
            </w:pPr>
            <w:r>
              <w:rPr>
                <w:rFonts w:ascii="Arial" w:eastAsia="宋体" w:hAnsi="Arial" w:cs="Arial"/>
                <w:b/>
                <w:bCs/>
                <w:color w:val="000000"/>
                <w:sz w:val="14"/>
                <w:szCs w:val="14"/>
              </w:rPr>
              <w:t>Years Ended December 31,</w:t>
            </w:r>
          </w:p>
        </w:tc>
      </w:tr>
      <w:tr w:rsidR="00E836FB" w14:paraId="5F2D4D9E" w14:textId="77777777">
        <w:tc>
          <w:tcPr>
            <w:tcW w:w="0" w:type="auto"/>
            <w:gridSpan w:val="3"/>
            <w:shd w:val="clear" w:color="auto" w:fill="auto"/>
            <w:tcMar>
              <w:top w:w="40" w:type="dxa"/>
              <w:left w:w="20" w:type="dxa"/>
              <w:bottom w:w="40" w:type="dxa"/>
              <w:right w:w="20" w:type="dxa"/>
            </w:tcMar>
            <w:vAlign w:val="bottom"/>
          </w:tcPr>
          <w:p w14:paraId="5F2D4D98"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D99"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D9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D9B"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D9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D9D" w14:textId="77777777" w:rsidR="00E836FB" w:rsidRDefault="00994958">
            <w:pPr>
              <w:jc w:val="center"/>
              <w:textAlignment w:val="bottom"/>
            </w:pPr>
            <w:r>
              <w:rPr>
                <w:rFonts w:ascii="Arial" w:eastAsia="宋体" w:hAnsi="Arial" w:cs="Arial"/>
                <w:b/>
                <w:bCs/>
                <w:color w:val="000000"/>
                <w:sz w:val="14"/>
                <w:szCs w:val="14"/>
              </w:rPr>
              <w:t>2019</w:t>
            </w:r>
          </w:p>
        </w:tc>
      </w:tr>
      <w:tr w:rsidR="00E836FB" w14:paraId="5F2D4DA5" w14:textId="77777777">
        <w:tc>
          <w:tcPr>
            <w:tcW w:w="0" w:type="auto"/>
            <w:gridSpan w:val="3"/>
            <w:shd w:val="clear" w:color="auto" w:fill="auto"/>
            <w:tcMar>
              <w:top w:w="40" w:type="dxa"/>
              <w:left w:w="20" w:type="dxa"/>
              <w:bottom w:w="40" w:type="dxa"/>
              <w:right w:w="20" w:type="dxa"/>
            </w:tcMar>
            <w:vAlign w:val="bottom"/>
          </w:tcPr>
          <w:p w14:paraId="5F2D4D9F" w14:textId="77777777" w:rsidR="00E836FB" w:rsidRDefault="00994958">
            <w:pPr>
              <w:textAlignment w:val="bottom"/>
            </w:pPr>
            <w:r>
              <w:rPr>
                <w:rFonts w:ascii="Arial" w:eastAsia="宋体" w:hAnsi="Arial" w:cs="Arial"/>
                <w:b/>
                <w:bCs/>
                <w:color w:val="000000"/>
                <w:sz w:val="14"/>
                <w:szCs w:val="14"/>
              </w:rPr>
              <w:t>Current: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D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DA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D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DA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DA4" w14:textId="77777777" w:rsidR="00E836FB" w:rsidRDefault="00E836FB">
            <w:pPr>
              <w:rPr>
                <w:rFonts w:ascii="宋体"/>
              </w:rPr>
            </w:pPr>
          </w:p>
        </w:tc>
      </w:tr>
      <w:tr w:rsidR="00E836FB" w14:paraId="5F2D4DB2" w14:textId="77777777">
        <w:tc>
          <w:tcPr>
            <w:tcW w:w="0" w:type="auto"/>
            <w:gridSpan w:val="3"/>
            <w:shd w:val="clear" w:color="auto" w:fill="CCEEFF"/>
            <w:tcMar>
              <w:top w:w="40" w:type="dxa"/>
              <w:left w:w="20" w:type="dxa"/>
              <w:bottom w:w="40" w:type="dxa"/>
              <w:right w:w="20" w:type="dxa"/>
            </w:tcMar>
            <w:vAlign w:val="bottom"/>
          </w:tcPr>
          <w:p w14:paraId="5F2D4DA6" w14:textId="77777777" w:rsidR="00E836FB" w:rsidRDefault="00994958">
            <w:pPr>
              <w:textAlignment w:val="bottom"/>
            </w:pPr>
            <w:r>
              <w:rPr>
                <w:rFonts w:ascii="Arial" w:eastAsia="宋体" w:hAnsi="Arial" w:cs="Arial"/>
                <w:color w:val="000000"/>
                <w:sz w:val="14"/>
                <w:szCs w:val="14"/>
              </w:rPr>
              <w:t>Federal</w:t>
            </w:r>
          </w:p>
        </w:tc>
        <w:tc>
          <w:tcPr>
            <w:tcW w:w="0" w:type="auto"/>
            <w:shd w:val="clear" w:color="auto" w:fill="CCEEFF"/>
            <w:tcMar>
              <w:top w:w="40" w:type="dxa"/>
              <w:left w:w="20" w:type="dxa"/>
              <w:bottom w:w="40" w:type="dxa"/>
              <w:right w:w="0" w:type="dxa"/>
            </w:tcMar>
            <w:vAlign w:val="bottom"/>
          </w:tcPr>
          <w:p w14:paraId="5F2D4DA7"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4DA8" w14:textId="77777777" w:rsidR="00E836FB" w:rsidRDefault="00994958">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D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AA"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DAB"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DAC" w14:textId="77777777" w:rsidR="00E836FB" w:rsidRDefault="00994958">
            <w:pPr>
              <w:jc w:val="right"/>
              <w:textAlignment w:val="bottom"/>
            </w:pPr>
            <w:r>
              <w:rPr>
                <w:rFonts w:ascii="Arial" w:eastAsia="宋体" w:hAnsi="Arial" w:cs="Arial"/>
                <w:color w:val="000000"/>
                <w:sz w:val="14"/>
                <w:szCs w:val="14"/>
              </w:rPr>
              <w:t>241 </w:t>
            </w:r>
          </w:p>
        </w:tc>
        <w:tc>
          <w:tcPr>
            <w:tcW w:w="0" w:type="auto"/>
            <w:shd w:val="clear" w:color="auto" w:fill="CCEEFF"/>
            <w:tcMar>
              <w:top w:w="40" w:type="dxa"/>
              <w:left w:w="0" w:type="dxa"/>
              <w:bottom w:w="40" w:type="dxa"/>
              <w:right w:w="20" w:type="dxa"/>
            </w:tcMar>
            <w:vAlign w:val="bottom"/>
          </w:tcPr>
          <w:p w14:paraId="5F2D4DA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A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DA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DB0" w14:textId="77777777" w:rsidR="00E836FB" w:rsidRDefault="00994958">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F2D4DB1" w14:textId="77777777" w:rsidR="00E836FB" w:rsidRDefault="00E836FB">
            <w:pPr>
              <w:jc w:val="right"/>
              <w:rPr>
                <w:rFonts w:ascii="宋体"/>
              </w:rPr>
            </w:pPr>
          </w:p>
        </w:tc>
      </w:tr>
      <w:tr w:rsidR="00E836FB" w14:paraId="5F2D4DBC" w14:textId="77777777">
        <w:tc>
          <w:tcPr>
            <w:tcW w:w="0" w:type="auto"/>
            <w:gridSpan w:val="3"/>
            <w:shd w:val="clear" w:color="auto" w:fill="FFFFFF"/>
            <w:tcMar>
              <w:top w:w="40" w:type="dxa"/>
              <w:left w:w="20" w:type="dxa"/>
              <w:bottom w:w="40" w:type="dxa"/>
              <w:right w:w="20" w:type="dxa"/>
            </w:tcMar>
            <w:vAlign w:val="bottom"/>
          </w:tcPr>
          <w:p w14:paraId="5F2D4DB3" w14:textId="77777777" w:rsidR="00E836FB" w:rsidRDefault="00994958">
            <w:pPr>
              <w:textAlignment w:val="bottom"/>
            </w:pPr>
            <w:r>
              <w:rPr>
                <w:rFonts w:ascii="Arial" w:eastAsia="宋体" w:hAnsi="Arial" w:cs="Arial"/>
                <w:color w:val="000000"/>
                <w:sz w:val="14"/>
                <w:szCs w:val="14"/>
              </w:rPr>
              <w:t>State</w:t>
            </w:r>
          </w:p>
        </w:tc>
        <w:tc>
          <w:tcPr>
            <w:tcW w:w="0" w:type="auto"/>
            <w:gridSpan w:val="2"/>
            <w:shd w:val="clear" w:color="auto" w:fill="FFFFFF"/>
            <w:tcMar>
              <w:top w:w="40" w:type="dxa"/>
              <w:left w:w="20" w:type="dxa"/>
              <w:bottom w:w="40" w:type="dxa"/>
              <w:right w:w="0" w:type="dxa"/>
            </w:tcMar>
            <w:vAlign w:val="bottom"/>
          </w:tcPr>
          <w:p w14:paraId="5F2D4DB4" w14:textId="77777777" w:rsidR="00E836FB" w:rsidRDefault="00994958">
            <w:pPr>
              <w:jc w:val="right"/>
              <w:textAlignment w:val="bottom"/>
            </w:pPr>
            <w:r>
              <w:rPr>
                <w:rFonts w:ascii="Arial" w:eastAsia="宋体" w:hAnsi="Arial" w:cs="Arial"/>
                <w:b/>
                <w:bCs/>
                <w:color w:val="000000"/>
                <w:sz w:val="14"/>
                <w:szCs w:val="14"/>
              </w:rPr>
              <w:t>142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D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B7" w14:textId="77777777" w:rsidR="00E836FB" w:rsidRDefault="00994958">
            <w:pPr>
              <w:jc w:val="right"/>
              <w:textAlignment w:val="bottom"/>
            </w:pPr>
            <w:r>
              <w:rPr>
                <w:rFonts w:ascii="Arial" w:eastAsia="宋体" w:hAnsi="Arial" w:cs="Arial"/>
                <w:color w:val="000000"/>
                <w:sz w:val="14"/>
                <w:szCs w:val="14"/>
              </w:rPr>
              <w:t>122 </w:t>
            </w:r>
          </w:p>
        </w:tc>
        <w:tc>
          <w:tcPr>
            <w:tcW w:w="0" w:type="auto"/>
            <w:shd w:val="clear" w:color="auto" w:fill="FFFFFF"/>
            <w:tcMar>
              <w:top w:w="40" w:type="dxa"/>
              <w:left w:w="0" w:type="dxa"/>
              <w:bottom w:w="40" w:type="dxa"/>
              <w:right w:w="20" w:type="dxa"/>
            </w:tcMar>
            <w:vAlign w:val="bottom"/>
          </w:tcPr>
          <w:p w14:paraId="5F2D4D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BA" w14:textId="77777777" w:rsidR="00E836FB" w:rsidRDefault="00994958">
            <w:pPr>
              <w:jc w:val="right"/>
              <w:textAlignment w:val="bottom"/>
            </w:pPr>
            <w:r>
              <w:rPr>
                <w:rFonts w:ascii="Arial" w:eastAsia="宋体" w:hAnsi="Arial" w:cs="Arial"/>
                <w:color w:val="000000"/>
                <w:sz w:val="14"/>
                <w:szCs w:val="14"/>
              </w:rPr>
              <w:t>86 </w:t>
            </w:r>
          </w:p>
        </w:tc>
        <w:tc>
          <w:tcPr>
            <w:tcW w:w="0" w:type="auto"/>
            <w:shd w:val="clear" w:color="auto" w:fill="FFFFFF"/>
            <w:tcMar>
              <w:top w:w="40" w:type="dxa"/>
              <w:left w:w="0" w:type="dxa"/>
              <w:bottom w:w="40" w:type="dxa"/>
              <w:right w:w="20" w:type="dxa"/>
            </w:tcMar>
            <w:vAlign w:val="bottom"/>
          </w:tcPr>
          <w:p w14:paraId="5F2D4DBB" w14:textId="77777777" w:rsidR="00E836FB" w:rsidRDefault="00E836FB">
            <w:pPr>
              <w:jc w:val="right"/>
              <w:rPr>
                <w:rFonts w:ascii="宋体"/>
              </w:rPr>
            </w:pPr>
          </w:p>
        </w:tc>
      </w:tr>
      <w:tr w:rsidR="00E836FB" w14:paraId="5F2D4DC6" w14:textId="77777777">
        <w:tc>
          <w:tcPr>
            <w:tcW w:w="0" w:type="auto"/>
            <w:gridSpan w:val="3"/>
            <w:shd w:val="clear" w:color="auto" w:fill="CCEEFF"/>
            <w:tcMar>
              <w:top w:w="40" w:type="dxa"/>
              <w:left w:w="20" w:type="dxa"/>
              <w:bottom w:w="40" w:type="dxa"/>
              <w:right w:w="20" w:type="dxa"/>
            </w:tcMar>
            <w:vAlign w:val="bottom"/>
          </w:tcPr>
          <w:p w14:paraId="5F2D4DBD" w14:textId="77777777" w:rsidR="00E836FB" w:rsidRDefault="00994958">
            <w:pPr>
              <w:textAlignment w:val="bottom"/>
            </w:pPr>
            <w:r>
              <w:rPr>
                <w:rFonts w:ascii="Arial" w:eastAsia="宋体" w:hAnsi="Arial" w:cs="Arial"/>
                <w:color w:val="000000"/>
                <w:sz w:val="14"/>
                <w:szCs w:val="14"/>
              </w:rPr>
              <w:t>Non-U.S.</w:t>
            </w:r>
          </w:p>
        </w:tc>
        <w:tc>
          <w:tcPr>
            <w:tcW w:w="0" w:type="auto"/>
            <w:gridSpan w:val="2"/>
            <w:shd w:val="clear" w:color="auto" w:fill="CCEEFF"/>
            <w:tcMar>
              <w:top w:w="40" w:type="dxa"/>
              <w:left w:w="20" w:type="dxa"/>
              <w:bottom w:w="40" w:type="dxa"/>
              <w:right w:w="0" w:type="dxa"/>
            </w:tcMar>
            <w:vAlign w:val="bottom"/>
          </w:tcPr>
          <w:p w14:paraId="5F2D4DBE" w14:textId="77777777" w:rsidR="00E836FB" w:rsidRDefault="00994958">
            <w:pPr>
              <w:jc w:val="right"/>
              <w:textAlignment w:val="bottom"/>
            </w:pPr>
            <w:r>
              <w:rPr>
                <w:rFonts w:ascii="Arial" w:eastAsia="宋体" w:hAnsi="Arial" w:cs="Arial"/>
                <w:b/>
                <w:bCs/>
                <w:color w:val="000000"/>
                <w:sz w:val="14"/>
                <w:szCs w:val="14"/>
              </w:rPr>
              <w:t>326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D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C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DC1" w14:textId="77777777" w:rsidR="00E836FB" w:rsidRDefault="00994958">
            <w:pPr>
              <w:jc w:val="right"/>
              <w:textAlignment w:val="bottom"/>
            </w:pPr>
            <w:r>
              <w:rPr>
                <w:rFonts w:ascii="Arial" w:eastAsia="宋体" w:hAnsi="Arial" w:cs="Arial"/>
                <w:color w:val="000000"/>
                <w:sz w:val="14"/>
                <w:szCs w:val="14"/>
              </w:rPr>
              <w:t>310 </w:t>
            </w:r>
          </w:p>
        </w:tc>
        <w:tc>
          <w:tcPr>
            <w:tcW w:w="0" w:type="auto"/>
            <w:shd w:val="clear" w:color="auto" w:fill="CCEEFF"/>
            <w:tcMar>
              <w:top w:w="40" w:type="dxa"/>
              <w:left w:w="0" w:type="dxa"/>
              <w:bottom w:w="40" w:type="dxa"/>
              <w:right w:w="20" w:type="dxa"/>
            </w:tcMar>
            <w:vAlign w:val="bottom"/>
          </w:tcPr>
          <w:p w14:paraId="5F2D4D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C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DC4" w14:textId="77777777" w:rsidR="00E836FB" w:rsidRDefault="00994958">
            <w:pPr>
              <w:jc w:val="right"/>
              <w:textAlignment w:val="bottom"/>
            </w:pPr>
            <w:r>
              <w:rPr>
                <w:rFonts w:ascii="Arial" w:eastAsia="宋体" w:hAnsi="Arial" w:cs="Arial"/>
                <w:color w:val="000000"/>
                <w:sz w:val="14"/>
                <w:szCs w:val="14"/>
              </w:rPr>
              <w:t>357 </w:t>
            </w:r>
          </w:p>
        </w:tc>
        <w:tc>
          <w:tcPr>
            <w:tcW w:w="0" w:type="auto"/>
            <w:shd w:val="clear" w:color="auto" w:fill="CCEEFF"/>
            <w:tcMar>
              <w:top w:w="40" w:type="dxa"/>
              <w:left w:w="0" w:type="dxa"/>
              <w:bottom w:w="40" w:type="dxa"/>
              <w:right w:w="20" w:type="dxa"/>
            </w:tcMar>
            <w:vAlign w:val="bottom"/>
          </w:tcPr>
          <w:p w14:paraId="5F2D4DC5" w14:textId="77777777" w:rsidR="00E836FB" w:rsidRDefault="00E836FB">
            <w:pPr>
              <w:jc w:val="right"/>
              <w:rPr>
                <w:rFonts w:ascii="宋体"/>
              </w:rPr>
            </w:pPr>
          </w:p>
        </w:tc>
      </w:tr>
      <w:tr w:rsidR="00E836FB" w14:paraId="5F2D4DD0" w14:textId="77777777">
        <w:tc>
          <w:tcPr>
            <w:tcW w:w="0" w:type="auto"/>
            <w:gridSpan w:val="3"/>
            <w:shd w:val="clear" w:color="auto" w:fill="FFFFFF"/>
            <w:tcMar>
              <w:top w:w="40" w:type="dxa"/>
              <w:left w:w="155" w:type="dxa"/>
              <w:bottom w:w="40" w:type="dxa"/>
              <w:right w:w="20" w:type="dxa"/>
            </w:tcMar>
            <w:vAlign w:val="bottom"/>
          </w:tcPr>
          <w:p w14:paraId="5F2D4DC7" w14:textId="77777777" w:rsidR="00E836FB" w:rsidRDefault="00994958">
            <w:pPr>
              <w:textAlignment w:val="bottom"/>
            </w:pPr>
            <w:r>
              <w:rPr>
                <w:rFonts w:ascii="Arial" w:eastAsia="宋体" w:hAnsi="Arial" w:cs="Arial"/>
                <w:color w:val="000000"/>
                <w:sz w:val="14"/>
                <w:szCs w:val="14"/>
              </w:rPr>
              <w:t>Total current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DC8" w14:textId="77777777" w:rsidR="00E836FB" w:rsidRDefault="00994958">
            <w:pPr>
              <w:jc w:val="right"/>
              <w:textAlignment w:val="bottom"/>
            </w:pPr>
            <w:r>
              <w:rPr>
                <w:rFonts w:ascii="Arial" w:eastAsia="宋体" w:hAnsi="Arial" w:cs="Arial"/>
                <w:b/>
                <w:bCs/>
                <w:color w:val="000000"/>
                <w:sz w:val="14"/>
                <w:szCs w:val="14"/>
              </w:rPr>
              <w:t>640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DC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C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DCB" w14:textId="77777777" w:rsidR="00E836FB" w:rsidRDefault="00994958">
            <w:pPr>
              <w:jc w:val="right"/>
              <w:textAlignment w:val="bottom"/>
            </w:pPr>
            <w:r>
              <w:rPr>
                <w:rFonts w:ascii="Arial" w:eastAsia="宋体" w:hAnsi="Arial" w:cs="Arial"/>
                <w:color w:val="000000"/>
                <w:sz w:val="14"/>
                <w:szCs w:val="14"/>
              </w:rPr>
              <w:t>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DC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C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DCE" w14:textId="77777777" w:rsidR="00E836FB" w:rsidRDefault="00994958">
            <w:pPr>
              <w:jc w:val="right"/>
              <w:textAlignment w:val="bottom"/>
            </w:pPr>
            <w:r>
              <w:rPr>
                <w:rFonts w:ascii="Arial" w:eastAsia="宋体" w:hAnsi="Arial" w:cs="Arial"/>
                <w:color w:val="000000"/>
                <w:sz w:val="14"/>
                <w:szCs w:val="14"/>
              </w:rPr>
              <w:t>600 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DCF" w14:textId="77777777" w:rsidR="00E836FB" w:rsidRDefault="00E836FB">
            <w:pPr>
              <w:jc w:val="right"/>
              <w:rPr>
                <w:rFonts w:ascii="宋体"/>
              </w:rPr>
            </w:pPr>
          </w:p>
        </w:tc>
      </w:tr>
      <w:tr w:rsidR="00E836FB" w14:paraId="5F2D4DD7" w14:textId="77777777">
        <w:tc>
          <w:tcPr>
            <w:tcW w:w="0" w:type="auto"/>
            <w:gridSpan w:val="3"/>
            <w:shd w:val="clear" w:color="auto" w:fill="CCEEFF"/>
            <w:tcMar>
              <w:top w:w="40" w:type="dxa"/>
              <w:left w:w="20" w:type="dxa"/>
              <w:bottom w:w="40" w:type="dxa"/>
              <w:right w:w="20" w:type="dxa"/>
            </w:tcMar>
            <w:vAlign w:val="bottom"/>
          </w:tcPr>
          <w:p w14:paraId="5F2D4DD1" w14:textId="77777777" w:rsidR="00E836FB" w:rsidRDefault="00994958">
            <w:pPr>
              <w:textAlignment w:val="bottom"/>
            </w:pPr>
            <w:r>
              <w:rPr>
                <w:rFonts w:ascii="Arial" w:eastAsia="宋体" w:hAnsi="Arial" w:cs="Arial"/>
                <w:b/>
                <w:bCs/>
                <w:color w:val="000000"/>
                <w:sz w:val="14"/>
                <w:szCs w:val="14"/>
              </w:rPr>
              <w:t>Deferred:</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4DD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DD3"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4DD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DD5" w14:textId="77777777" w:rsidR="00E836FB" w:rsidRDefault="00E83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F2D4DD6" w14:textId="77777777" w:rsidR="00E836FB" w:rsidRDefault="00E836FB">
            <w:pPr>
              <w:rPr>
                <w:rFonts w:ascii="宋体"/>
              </w:rPr>
            </w:pPr>
          </w:p>
        </w:tc>
      </w:tr>
      <w:tr w:rsidR="00E836FB" w14:paraId="5F2D4DE1" w14:textId="77777777">
        <w:tc>
          <w:tcPr>
            <w:tcW w:w="0" w:type="auto"/>
            <w:gridSpan w:val="3"/>
            <w:shd w:val="clear" w:color="auto" w:fill="FFFFFF"/>
            <w:tcMar>
              <w:top w:w="40" w:type="dxa"/>
              <w:left w:w="20" w:type="dxa"/>
              <w:bottom w:w="40" w:type="dxa"/>
              <w:right w:w="20" w:type="dxa"/>
            </w:tcMar>
            <w:vAlign w:val="bottom"/>
          </w:tcPr>
          <w:p w14:paraId="5F2D4DD8" w14:textId="77777777" w:rsidR="00E836FB" w:rsidRDefault="00994958">
            <w:pPr>
              <w:textAlignment w:val="bottom"/>
            </w:pPr>
            <w:r>
              <w:rPr>
                <w:rFonts w:ascii="Arial" w:eastAsia="宋体" w:hAnsi="Arial" w:cs="Arial"/>
                <w:color w:val="000000"/>
                <w:sz w:val="14"/>
                <w:szCs w:val="14"/>
              </w:rPr>
              <w:t>Federal</w:t>
            </w:r>
          </w:p>
        </w:tc>
        <w:tc>
          <w:tcPr>
            <w:tcW w:w="0" w:type="auto"/>
            <w:gridSpan w:val="2"/>
            <w:shd w:val="clear" w:color="auto" w:fill="FFFFFF"/>
            <w:tcMar>
              <w:top w:w="40" w:type="dxa"/>
              <w:left w:w="20" w:type="dxa"/>
              <w:bottom w:w="40" w:type="dxa"/>
              <w:right w:w="0" w:type="dxa"/>
            </w:tcMar>
            <w:vAlign w:val="bottom"/>
          </w:tcPr>
          <w:p w14:paraId="5F2D4DD9" w14:textId="77777777" w:rsidR="00E836FB" w:rsidRDefault="00994958">
            <w:pPr>
              <w:jc w:val="right"/>
              <w:textAlignment w:val="bottom"/>
            </w:pPr>
            <w:r>
              <w:rPr>
                <w:rFonts w:ascii="Arial" w:eastAsia="宋体" w:hAnsi="Arial" w:cs="Arial"/>
                <w:b/>
                <w:bCs/>
                <w:color w:val="000000"/>
                <w:sz w:val="14"/>
                <w:szCs w:val="14"/>
              </w:rPr>
              <w:t>(98)</w:t>
            </w:r>
          </w:p>
        </w:tc>
        <w:tc>
          <w:tcPr>
            <w:tcW w:w="0" w:type="auto"/>
            <w:shd w:val="clear" w:color="auto" w:fill="FFFFFF"/>
            <w:tcMar>
              <w:top w:w="40" w:type="dxa"/>
              <w:left w:w="0" w:type="dxa"/>
              <w:bottom w:w="40" w:type="dxa"/>
              <w:right w:w="20" w:type="dxa"/>
            </w:tcMar>
            <w:vAlign w:val="bottom"/>
          </w:tcPr>
          <w:p w14:paraId="5F2D4D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DC" w14:textId="77777777" w:rsidR="00E836FB" w:rsidRDefault="00994958">
            <w:pPr>
              <w:jc w:val="right"/>
              <w:textAlignment w:val="bottom"/>
            </w:pPr>
            <w:r>
              <w:rPr>
                <w:rFonts w:ascii="Arial" w:eastAsia="宋体" w:hAnsi="Arial" w:cs="Arial"/>
                <w:color w:val="000000"/>
                <w:sz w:val="14"/>
                <w:szCs w:val="14"/>
              </w:rPr>
              <w:t>(168)</w:t>
            </w:r>
          </w:p>
        </w:tc>
        <w:tc>
          <w:tcPr>
            <w:tcW w:w="0" w:type="auto"/>
            <w:shd w:val="clear" w:color="auto" w:fill="FFFFFF"/>
            <w:tcMar>
              <w:top w:w="40" w:type="dxa"/>
              <w:left w:w="0" w:type="dxa"/>
              <w:bottom w:w="40" w:type="dxa"/>
              <w:right w:w="20" w:type="dxa"/>
            </w:tcMar>
            <w:vAlign w:val="bottom"/>
          </w:tcPr>
          <w:p w14:paraId="5F2D4D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DF" w14:textId="77777777" w:rsidR="00E836FB" w:rsidRDefault="00994958">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5F2D4DE0" w14:textId="77777777" w:rsidR="00E836FB" w:rsidRDefault="00E836FB">
            <w:pPr>
              <w:jc w:val="right"/>
              <w:rPr>
                <w:rFonts w:ascii="宋体"/>
              </w:rPr>
            </w:pPr>
          </w:p>
        </w:tc>
      </w:tr>
      <w:tr w:rsidR="00E836FB" w14:paraId="5F2D4DEB" w14:textId="77777777">
        <w:tc>
          <w:tcPr>
            <w:tcW w:w="0" w:type="auto"/>
            <w:gridSpan w:val="3"/>
            <w:shd w:val="clear" w:color="auto" w:fill="CCEEFF"/>
            <w:tcMar>
              <w:top w:w="40" w:type="dxa"/>
              <w:left w:w="20" w:type="dxa"/>
              <w:bottom w:w="40" w:type="dxa"/>
              <w:right w:w="20" w:type="dxa"/>
            </w:tcMar>
            <w:vAlign w:val="bottom"/>
          </w:tcPr>
          <w:p w14:paraId="5F2D4DE2" w14:textId="77777777" w:rsidR="00E836FB" w:rsidRDefault="00994958">
            <w:pPr>
              <w:textAlignment w:val="bottom"/>
            </w:pPr>
            <w:r>
              <w:rPr>
                <w:rFonts w:ascii="Arial" w:eastAsia="宋体" w:hAnsi="Arial" w:cs="Arial"/>
                <w:color w:val="000000"/>
                <w:sz w:val="14"/>
                <w:szCs w:val="14"/>
              </w:rPr>
              <w:t>State</w:t>
            </w:r>
          </w:p>
        </w:tc>
        <w:tc>
          <w:tcPr>
            <w:tcW w:w="0" w:type="auto"/>
            <w:gridSpan w:val="2"/>
            <w:shd w:val="clear" w:color="auto" w:fill="CCEEFF"/>
            <w:tcMar>
              <w:top w:w="40" w:type="dxa"/>
              <w:left w:w="20" w:type="dxa"/>
              <w:bottom w:w="40" w:type="dxa"/>
              <w:right w:w="0" w:type="dxa"/>
            </w:tcMar>
            <w:vAlign w:val="bottom"/>
          </w:tcPr>
          <w:p w14:paraId="5F2D4DE3" w14:textId="77777777" w:rsidR="00E836FB" w:rsidRDefault="00994958">
            <w:pPr>
              <w:jc w:val="right"/>
              <w:textAlignment w:val="bottom"/>
            </w:pPr>
            <w:r>
              <w:rPr>
                <w:rFonts w:ascii="Arial" w:eastAsia="宋体" w:hAnsi="Arial" w:cs="Arial"/>
                <w:b/>
                <w:bCs/>
                <w:color w:val="000000"/>
                <w:sz w:val="14"/>
                <w:szCs w:val="14"/>
              </w:rPr>
              <w:t>(61)</w:t>
            </w:r>
          </w:p>
        </w:tc>
        <w:tc>
          <w:tcPr>
            <w:tcW w:w="0" w:type="auto"/>
            <w:shd w:val="clear" w:color="auto" w:fill="CCEEFF"/>
            <w:tcMar>
              <w:top w:w="40" w:type="dxa"/>
              <w:left w:w="0" w:type="dxa"/>
              <w:bottom w:w="40" w:type="dxa"/>
              <w:right w:w="20" w:type="dxa"/>
            </w:tcMar>
            <w:vAlign w:val="bottom"/>
          </w:tcPr>
          <w:p w14:paraId="5F2D4D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DE6" w14:textId="77777777" w:rsidR="00E836FB" w:rsidRDefault="00994958">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5F2D4D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DE9" w14:textId="77777777" w:rsidR="00E836FB" w:rsidRDefault="00994958">
            <w:pPr>
              <w:jc w:val="right"/>
              <w:textAlignment w:val="bottom"/>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bottom"/>
          </w:tcPr>
          <w:p w14:paraId="5F2D4DEA" w14:textId="77777777" w:rsidR="00E836FB" w:rsidRDefault="00E836FB">
            <w:pPr>
              <w:jc w:val="right"/>
              <w:rPr>
                <w:rFonts w:ascii="宋体"/>
              </w:rPr>
            </w:pPr>
          </w:p>
        </w:tc>
      </w:tr>
      <w:tr w:rsidR="00E836FB" w14:paraId="5F2D4DF5" w14:textId="77777777">
        <w:tc>
          <w:tcPr>
            <w:tcW w:w="0" w:type="auto"/>
            <w:gridSpan w:val="3"/>
            <w:shd w:val="clear" w:color="auto" w:fill="FFFFFF"/>
            <w:tcMar>
              <w:top w:w="40" w:type="dxa"/>
              <w:left w:w="20" w:type="dxa"/>
              <w:bottom w:w="40" w:type="dxa"/>
              <w:right w:w="20" w:type="dxa"/>
            </w:tcMar>
            <w:vAlign w:val="bottom"/>
          </w:tcPr>
          <w:p w14:paraId="5F2D4DEC" w14:textId="77777777" w:rsidR="00E836FB" w:rsidRDefault="00994958">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5F2D4DED" w14:textId="77777777" w:rsidR="00E836FB" w:rsidRDefault="00994958">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5F2D4D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F0" w14:textId="77777777" w:rsidR="00E836FB" w:rsidRDefault="00994958">
            <w:pPr>
              <w:jc w:val="right"/>
              <w:textAlignment w:val="bottom"/>
            </w:pPr>
            <w:r>
              <w:rPr>
                <w:rFonts w:ascii="Arial" w:eastAsia="宋体" w:hAnsi="Arial" w:cs="Arial"/>
                <w:color w:val="000000"/>
                <w:sz w:val="14"/>
                <w:szCs w:val="14"/>
              </w:rPr>
              <w:t>(31)</w:t>
            </w:r>
          </w:p>
        </w:tc>
        <w:tc>
          <w:tcPr>
            <w:tcW w:w="0" w:type="auto"/>
            <w:shd w:val="clear" w:color="auto" w:fill="FFFFFF"/>
            <w:tcMar>
              <w:top w:w="40" w:type="dxa"/>
              <w:left w:w="0" w:type="dxa"/>
              <w:bottom w:w="40" w:type="dxa"/>
              <w:right w:w="20" w:type="dxa"/>
            </w:tcMar>
            <w:vAlign w:val="bottom"/>
          </w:tcPr>
          <w:p w14:paraId="5F2D4D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D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DF3" w14:textId="77777777" w:rsidR="00E836FB" w:rsidRDefault="00994958">
            <w:pPr>
              <w:jc w:val="right"/>
              <w:textAlignment w:val="bottom"/>
            </w:pPr>
            <w:r>
              <w:rPr>
                <w:rFonts w:ascii="Arial" w:eastAsia="宋体" w:hAnsi="Arial" w:cs="Arial"/>
                <w:color w:val="000000"/>
                <w:sz w:val="14"/>
                <w:szCs w:val="14"/>
              </w:rPr>
              <w:t>(157)</w:t>
            </w:r>
          </w:p>
        </w:tc>
        <w:tc>
          <w:tcPr>
            <w:tcW w:w="0" w:type="auto"/>
            <w:shd w:val="clear" w:color="auto" w:fill="FFFFFF"/>
            <w:tcMar>
              <w:top w:w="40" w:type="dxa"/>
              <w:left w:w="0" w:type="dxa"/>
              <w:bottom w:w="40" w:type="dxa"/>
              <w:right w:w="20" w:type="dxa"/>
            </w:tcMar>
            <w:vAlign w:val="bottom"/>
          </w:tcPr>
          <w:p w14:paraId="5F2D4DF4" w14:textId="77777777" w:rsidR="00E836FB" w:rsidRDefault="00E836FB">
            <w:pPr>
              <w:jc w:val="right"/>
              <w:rPr>
                <w:rFonts w:ascii="宋体"/>
              </w:rPr>
            </w:pPr>
          </w:p>
        </w:tc>
      </w:tr>
      <w:tr w:rsidR="00E836FB" w14:paraId="5F2D4DFF" w14:textId="77777777">
        <w:tc>
          <w:tcPr>
            <w:tcW w:w="0" w:type="auto"/>
            <w:gridSpan w:val="3"/>
            <w:shd w:val="clear" w:color="auto" w:fill="CCEEFF"/>
            <w:tcMar>
              <w:top w:w="40" w:type="dxa"/>
              <w:left w:w="20" w:type="dxa"/>
              <w:bottom w:w="40" w:type="dxa"/>
              <w:right w:w="20" w:type="dxa"/>
            </w:tcMar>
            <w:vAlign w:val="bottom"/>
          </w:tcPr>
          <w:p w14:paraId="5F2D4DF6" w14:textId="77777777" w:rsidR="00E836FB" w:rsidRDefault="00994958">
            <w:pPr>
              <w:textAlignment w:val="bottom"/>
            </w:pPr>
            <w:r>
              <w:rPr>
                <w:rFonts w:ascii="Arial" w:eastAsia="宋体" w:hAnsi="Arial" w:cs="Arial"/>
                <w:color w:val="000000"/>
                <w:sz w:val="14"/>
                <w:szCs w:val="14"/>
              </w:rPr>
              <w:t>Total deferred expense (benefit)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DF7" w14:textId="77777777" w:rsidR="00E836FB" w:rsidRDefault="00994958">
            <w:pPr>
              <w:jc w:val="right"/>
              <w:textAlignment w:val="bottom"/>
            </w:pPr>
            <w:r>
              <w:rPr>
                <w:rFonts w:ascii="Arial" w:eastAsia="宋体" w:hAnsi="Arial" w:cs="Arial"/>
                <w:b/>
                <w:bCs/>
                <w:color w:val="000000"/>
                <w:sz w:val="14"/>
                <w:szCs w:val="14"/>
              </w:rPr>
              <w:t>(162)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D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F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DFA" w14:textId="77777777" w:rsidR="00E836FB" w:rsidRDefault="00994958">
            <w:pPr>
              <w:jc w:val="right"/>
              <w:textAlignment w:val="bottom"/>
            </w:pPr>
            <w:r>
              <w:rPr>
                <w:rFonts w:ascii="Arial" w:eastAsia="宋体" w:hAnsi="Arial" w:cs="Arial"/>
                <w:color w:val="000000"/>
                <w:sz w:val="14"/>
                <w:szCs w:val="14"/>
              </w:rPr>
              <w:t>(194)</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D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DF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DFD" w14:textId="77777777" w:rsidR="00E836FB" w:rsidRDefault="00994958">
            <w:pPr>
              <w:jc w:val="right"/>
              <w:textAlignment w:val="bottom"/>
            </w:pPr>
            <w:r>
              <w:rPr>
                <w:rFonts w:ascii="Arial" w:eastAsia="宋体" w:hAnsi="Arial" w:cs="Arial"/>
                <w:color w:val="000000"/>
                <w:sz w:val="14"/>
                <w:szCs w:val="14"/>
              </w:rPr>
              <w:t>(130)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DFE" w14:textId="77777777" w:rsidR="00E836FB" w:rsidRDefault="00E836FB">
            <w:pPr>
              <w:jc w:val="right"/>
              <w:rPr>
                <w:rFonts w:ascii="宋体"/>
              </w:rPr>
            </w:pPr>
          </w:p>
        </w:tc>
      </w:tr>
      <w:tr w:rsidR="00E836FB" w14:paraId="5F2D4E0C" w14:textId="77777777">
        <w:tc>
          <w:tcPr>
            <w:tcW w:w="0" w:type="auto"/>
            <w:gridSpan w:val="3"/>
            <w:shd w:val="clear" w:color="auto" w:fill="FFFFFF"/>
            <w:tcMar>
              <w:top w:w="40" w:type="dxa"/>
              <w:left w:w="155" w:type="dxa"/>
              <w:bottom w:w="40" w:type="dxa"/>
              <w:right w:w="20" w:type="dxa"/>
            </w:tcMar>
            <w:vAlign w:val="bottom"/>
          </w:tcPr>
          <w:p w14:paraId="5F2D4E00" w14:textId="77777777" w:rsidR="00E836FB" w:rsidRDefault="00994958">
            <w:pPr>
              <w:textAlignment w:val="bottom"/>
            </w:pPr>
            <w:r>
              <w:rPr>
                <w:rFonts w:ascii="Arial" w:eastAsia="宋体" w:hAnsi="Arial" w:cs="Arial"/>
                <w:color w:val="000000"/>
                <w:sz w:val="14"/>
                <w:szCs w:val="14"/>
              </w:rPr>
              <w:t>Total income tax expense (benefit)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4E01"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4E02" w14:textId="77777777" w:rsidR="00E836FB" w:rsidRDefault="00994958">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4E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0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4E0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4E06" w14:textId="77777777" w:rsidR="00E836FB" w:rsidRDefault="00994958">
            <w:pPr>
              <w:jc w:val="right"/>
              <w:textAlignment w:val="bottom"/>
            </w:pPr>
            <w:r>
              <w:rPr>
                <w:rFonts w:ascii="Arial" w:eastAsia="宋体" w:hAnsi="Arial" w:cs="Arial"/>
                <w:color w:val="000000"/>
                <w:sz w:val="14"/>
                <w:szCs w:val="14"/>
              </w:rPr>
              <w:t>479 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4E0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08"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4E0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4E0A" w14:textId="77777777" w:rsidR="00E836FB" w:rsidRDefault="00994958">
            <w:pPr>
              <w:jc w:val="right"/>
              <w:textAlignment w:val="bottom"/>
            </w:pPr>
            <w:r>
              <w:rPr>
                <w:rFonts w:ascii="Arial" w:eastAsia="宋体" w:hAnsi="Arial" w:cs="Arial"/>
                <w:color w:val="000000"/>
                <w:sz w:val="14"/>
                <w:szCs w:val="14"/>
              </w:rPr>
              <w:t>470 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4E0B" w14:textId="77777777" w:rsidR="00E836FB" w:rsidRDefault="00E836FB">
            <w:pPr>
              <w:jc w:val="right"/>
              <w:rPr>
                <w:rFonts w:ascii="宋体"/>
              </w:rPr>
            </w:pPr>
          </w:p>
        </w:tc>
      </w:tr>
    </w:tbl>
    <w:p w14:paraId="5F2D4E0D"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a reconciliation of the U.S. statutory income tax rate to our effective tax rate based on income before income tax expense for the periods indicated:</w:t>
      </w:r>
    </w:p>
    <w:tbl>
      <w:tblPr>
        <w:tblW w:w="4969" w:type="pct"/>
        <w:tblCellMar>
          <w:top w:w="15" w:type="dxa"/>
          <w:left w:w="15" w:type="dxa"/>
          <w:bottom w:w="15" w:type="dxa"/>
          <w:right w:w="15" w:type="dxa"/>
        </w:tblCellMar>
        <w:tblLook w:val="04A0" w:firstRow="1" w:lastRow="0" w:firstColumn="1" w:lastColumn="0" w:noHBand="0" w:noVBand="1"/>
      </w:tblPr>
      <w:tblGrid>
        <w:gridCol w:w="39"/>
        <w:gridCol w:w="4324"/>
        <w:gridCol w:w="38"/>
        <w:gridCol w:w="37"/>
        <w:gridCol w:w="1023"/>
        <w:gridCol w:w="146"/>
        <w:gridCol w:w="36"/>
        <w:gridCol w:w="58"/>
        <w:gridCol w:w="36"/>
        <w:gridCol w:w="37"/>
        <w:gridCol w:w="1025"/>
        <w:gridCol w:w="146"/>
        <w:gridCol w:w="36"/>
        <w:gridCol w:w="59"/>
        <w:gridCol w:w="36"/>
        <w:gridCol w:w="37"/>
        <w:gridCol w:w="1025"/>
        <w:gridCol w:w="146"/>
      </w:tblGrid>
      <w:tr w:rsidR="00E836FB" w14:paraId="5F2D4E20" w14:textId="77777777">
        <w:tc>
          <w:tcPr>
            <w:tcW w:w="50" w:type="pct"/>
            <w:shd w:val="clear" w:color="auto" w:fill="auto"/>
            <w:vAlign w:val="bottom"/>
          </w:tcPr>
          <w:p w14:paraId="5F2D4E0E" w14:textId="77777777" w:rsidR="00E836FB" w:rsidRDefault="00E836FB">
            <w:pPr>
              <w:rPr>
                <w:rFonts w:ascii="宋体"/>
              </w:rPr>
            </w:pPr>
          </w:p>
        </w:tc>
        <w:tc>
          <w:tcPr>
            <w:tcW w:w="2650" w:type="pct"/>
            <w:shd w:val="clear" w:color="auto" w:fill="auto"/>
            <w:vAlign w:val="bottom"/>
          </w:tcPr>
          <w:p w14:paraId="5F2D4E0F" w14:textId="77777777" w:rsidR="00E836FB" w:rsidRDefault="00E836FB">
            <w:pPr>
              <w:rPr>
                <w:rFonts w:ascii="宋体"/>
              </w:rPr>
            </w:pPr>
          </w:p>
        </w:tc>
        <w:tc>
          <w:tcPr>
            <w:tcW w:w="5" w:type="pct"/>
            <w:shd w:val="clear" w:color="auto" w:fill="auto"/>
            <w:vAlign w:val="bottom"/>
          </w:tcPr>
          <w:p w14:paraId="5F2D4E10" w14:textId="77777777" w:rsidR="00E836FB" w:rsidRDefault="00E836FB">
            <w:pPr>
              <w:rPr>
                <w:rFonts w:ascii="宋体"/>
              </w:rPr>
            </w:pPr>
          </w:p>
        </w:tc>
        <w:tc>
          <w:tcPr>
            <w:tcW w:w="50" w:type="pct"/>
            <w:shd w:val="clear" w:color="auto" w:fill="auto"/>
            <w:vAlign w:val="bottom"/>
          </w:tcPr>
          <w:p w14:paraId="5F2D4E11" w14:textId="77777777" w:rsidR="00E836FB" w:rsidRDefault="00E836FB">
            <w:pPr>
              <w:rPr>
                <w:rFonts w:ascii="宋体"/>
              </w:rPr>
            </w:pPr>
          </w:p>
        </w:tc>
        <w:tc>
          <w:tcPr>
            <w:tcW w:w="657" w:type="pct"/>
            <w:shd w:val="clear" w:color="auto" w:fill="auto"/>
            <w:vAlign w:val="bottom"/>
          </w:tcPr>
          <w:p w14:paraId="5F2D4E12" w14:textId="77777777" w:rsidR="00E836FB" w:rsidRDefault="00E836FB">
            <w:pPr>
              <w:rPr>
                <w:rFonts w:ascii="宋体"/>
              </w:rPr>
            </w:pPr>
          </w:p>
        </w:tc>
        <w:tc>
          <w:tcPr>
            <w:tcW w:w="5" w:type="pct"/>
            <w:shd w:val="clear" w:color="auto" w:fill="auto"/>
            <w:vAlign w:val="bottom"/>
          </w:tcPr>
          <w:p w14:paraId="5F2D4E13" w14:textId="77777777" w:rsidR="00E836FB" w:rsidRDefault="00E836FB">
            <w:pPr>
              <w:rPr>
                <w:rFonts w:ascii="宋体"/>
              </w:rPr>
            </w:pPr>
          </w:p>
        </w:tc>
        <w:tc>
          <w:tcPr>
            <w:tcW w:w="5" w:type="pct"/>
            <w:shd w:val="clear" w:color="auto" w:fill="auto"/>
            <w:vAlign w:val="bottom"/>
          </w:tcPr>
          <w:p w14:paraId="5F2D4E14" w14:textId="77777777" w:rsidR="00E836FB" w:rsidRDefault="00E836FB">
            <w:pPr>
              <w:rPr>
                <w:rFonts w:ascii="宋体"/>
              </w:rPr>
            </w:pPr>
          </w:p>
        </w:tc>
        <w:tc>
          <w:tcPr>
            <w:tcW w:w="69" w:type="pct"/>
            <w:shd w:val="clear" w:color="auto" w:fill="auto"/>
            <w:vAlign w:val="bottom"/>
          </w:tcPr>
          <w:p w14:paraId="5F2D4E15" w14:textId="77777777" w:rsidR="00E836FB" w:rsidRDefault="00E836FB">
            <w:pPr>
              <w:rPr>
                <w:rFonts w:ascii="宋体"/>
              </w:rPr>
            </w:pPr>
          </w:p>
        </w:tc>
        <w:tc>
          <w:tcPr>
            <w:tcW w:w="5" w:type="pct"/>
            <w:shd w:val="clear" w:color="auto" w:fill="auto"/>
            <w:vAlign w:val="bottom"/>
          </w:tcPr>
          <w:p w14:paraId="5F2D4E16" w14:textId="77777777" w:rsidR="00E836FB" w:rsidRDefault="00E836FB">
            <w:pPr>
              <w:rPr>
                <w:rFonts w:ascii="宋体"/>
              </w:rPr>
            </w:pPr>
          </w:p>
        </w:tc>
        <w:tc>
          <w:tcPr>
            <w:tcW w:w="50" w:type="pct"/>
            <w:shd w:val="clear" w:color="auto" w:fill="auto"/>
            <w:vAlign w:val="bottom"/>
          </w:tcPr>
          <w:p w14:paraId="5F2D4E17" w14:textId="77777777" w:rsidR="00E836FB" w:rsidRDefault="00E836FB">
            <w:pPr>
              <w:rPr>
                <w:rFonts w:ascii="宋体"/>
              </w:rPr>
            </w:pPr>
          </w:p>
        </w:tc>
        <w:tc>
          <w:tcPr>
            <w:tcW w:w="657" w:type="pct"/>
            <w:shd w:val="clear" w:color="auto" w:fill="auto"/>
            <w:vAlign w:val="bottom"/>
          </w:tcPr>
          <w:p w14:paraId="5F2D4E18" w14:textId="77777777" w:rsidR="00E836FB" w:rsidRDefault="00E836FB">
            <w:pPr>
              <w:rPr>
                <w:rFonts w:ascii="宋体"/>
              </w:rPr>
            </w:pPr>
          </w:p>
        </w:tc>
        <w:tc>
          <w:tcPr>
            <w:tcW w:w="5" w:type="pct"/>
            <w:shd w:val="clear" w:color="auto" w:fill="auto"/>
            <w:vAlign w:val="bottom"/>
          </w:tcPr>
          <w:p w14:paraId="5F2D4E19" w14:textId="77777777" w:rsidR="00E836FB" w:rsidRDefault="00E836FB">
            <w:pPr>
              <w:rPr>
                <w:rFonts w:ascii="宋体"/>
              </w:rPr>
            </w:pPr>
          </w:p>
        </w:tc>
        <w:tc>
          <w:tcPr>
            <w:tcW w:w="5" w:type="pct"/>
            <w:shd w:val="clear" w:color="auto" w:fill="auto"/>
            <w:vAlign w:val="bottom"/>
          </w:tcPr>
          <w:p w14:paraId="5F2D4E1A" w14:textId="77777777" w:rsidR="00E836FB" w:rsidRDefault="00E836FB">
            <w:pPr>
              <w:rPr>
                <w:rFonts w:ascii="宋体"/>
              </w:rPr>
            </w:pPr>
          </w:p>
        </w:tc>
        <w:tc>
          <w:tcPr>
            <w:tcW w:w="69" w:type="pct"/>
            <w:shd w:val="clear" w:color="auto" w:fill="auto"/>
            <w:vAlign w:val="bottom"/>
          </w:tcPr>
          <w:p w14:paraId="5F2D4E1B" w14:textId="77777777" w:rsidR="00E836FB" w:rsidRDefault="00E836FB">
            <w:pPr>
              <w:rPr>
                <w:rFonts w:ascii="宋体"/>
              </w:rPr>
            </w:pPr>
          </w:p>
        </w:tc>
        <w:tc>
          <w:tcPr>
            <w:tcW w:w="5" w:type="pct"/>
            <w:shd w:val="clear" w:color="auto" w:fill="auto"/>
            <w:vAlign w:val="bottom"/>
          </w:tcPr>
          <w:p w14:paraId="5F2D4E1C" w14:textId="77777777" w:rsidR="00E836FB" w:rsidRDefault="00E836FB">
            <w:pPr>
              <w:rPr>
                <w:rFonts w:ascii="宋体"/>
              </w:rPr>
            </w:pPr>
          </w:p>
        </w:tc>
        <w:tc>
          <w:tcPr>
            <w:tcW w:w="50" w:type="pct"/>
            <w:shd w:val="clear" w:color="auto" w:fill="auto"/>
            <w:vAlign w:val="bottom"/>
          </w:tcPr>
          <w:p w14:paraId="5F2D4E1D" w14:textId="77777777" w:rsidR="00E836FB" w:rsidRDefault="00E836FB">
            <w:pPr>
              <w:rPr>
                <w:rFonts w:ascii="宋体"/>
              </w:rPr>
            </w:pPr>
          </w:p>
        </w:tc>
        <w:tc>
          <w:tcPr>
            <w:tcW w:w="657" w:type="pct"/>
            <w:shd w:val="clear" w:color="auto" w:fill="auto"/>
            <w:vAlign w:val="bottom"/>
          </w:tcPr>
          <w:p w14:paraId="5F2D4E1E" w14:textId="77777777" w:rsidR="00E836FB" w:rsidRDefault="00E836FB">
            <w:pPr>
              <w:rPr>
                <w:rFonts w:ascii="宋体"/>
              </w:rPr>
            </w:pPr>
          </w:p>
        </w:tc>
        <w:tc>
          <w:tcPr>
            <w:tcW w:w="5" w:type="pct"/>
            <w:shd w:val="clear" w:color="auto" w:fill="auto"/>
            <w:vAlign w:val="bottom"/>
          </w:tcPr>
          <w:p w14:paraId="5F2D4E1F" w14:textId="77777777" w:rsidR="00E836FB" w:rsidRDefault="00E836FB">
            <w:pPr>
              <w:rPr>
                <w:rFonts w:ascii="宋体"/>
              </w:rPr>
            </w:pPr>
          </w:p>
        </w:tc>
      </w:tr>
      <w:tr w:rsidR="00E836FB" w14:paraId="5F2D4E23" w14:textId="77777777">
        <w:tc>
          <w:tcPr>
            <w:tcW w:w="0" w:type="auto"/>
            <w:gridSpan w:val="3"/>
            <w:shd w:val="clear" w:color="auto" w:fill="auto"/>
            <w:tcMar>
              <w:top w:w="0" w:type="dxa"/>
              <w:left w:w="20" w:type="dxa"/>
              <w:bottom w:w="0" w:type="dxa"/>
              <w:right w:w="20" w:type="dxa"/>
            </w:tcMar>
            <w:vAlign w:val="bottom"/>
          </w:tcPr>
          <w:p w14:paraId="5F2D4E21"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4E22" w14:textId="77777777" w:rsidR="00E836FB" w:rsidRDefault="00994958">
            <w:pPr>
              <w:jc w:val="center"/>
              <w:textAlignment w:val="bottom"/>
            </w:pPr>
            <w:r>
              <w:rPr>
                <w:rFonts w:ascii="Arial" w:eastAsia="宋体" w:hAnsi="Arial" w:cs="Arial"/>
                <w:b/>
                <w:bCs/>
                <w:color w:val="000000"/>
                <w:sz w:val="14"/>
                <w:szCs w:val="14"/>
              </w:rPr>
              <w:t>Years Ended December 31,</w:t>
            </w:r>
          </w:p>
        </w:tc>
      </w:tr>
      <w:tr w:rsidR="00E836FB" w14:paraId="5F2D4E2A" w14:textId="77777777">
        <w:tc>
          <w:tcPr>
            <w:tcW w:w="0" w:type="auto"/>
            <w:gridSpan w:val="3"/>
            <w:shd w:val="clear" w:color="auto" w:fill="auto"/>
            <w:tcMar>
              <w:top w:w="0" w:type="dxa"/>
              <w:left w:w="20" w:type="dxa"/>
              <w:bottom w:w="0" w:type="dxa"/>
              <w:right w:w="20" w:type="dxa"/>
            </w:tcMar>
            <w:vAlign w:val="bottom"/>
          </w:tcPr>
          <w:p w14:paraId="5F2D4E2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E25"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E2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E27"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E2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E29" w14:textId="77777777" w:rsidR="00E836FB" w:rsidRDefault="00994958">
            <w:pPr>
              <w:jc w:val="center"/>
              <w:textAlignment w:val="bottom"/>
            </w:pPr>
            <w:r>
              <w:rPr>
                <w:rFonts w:ascii="Arial" w:eastAsia="宋体" w:hAnsi="Arial" w:cs="Arial"/>
                <w:b/>
                <w:bCs/>
                <w:color w:val="000000"/>
                <w:sz w:val="14"/>
                <w:szCs w:val="14"/>
              </w:rPr>
              <w:t>2019</w:t>
            </w:r>
          </w:p>
        </w:tc>
      </w:tr>
      <w:tr w:rsidR="00E836FB" w14:paraId="5F2D4E34" w14:textId="77777777">
        <w:tc>
          <w:tcPr>
            <w:tcW w:w="0" w:type="auto"/>
            <w:gridSpan w:val="3"/>
            <w:shd w:val="clear" w:color="auto" w:fill="CCEEFF"/>
            <w:tcMar>
              <w:top w:w="40" w:type="dxa"/>
              <w:left w:w="20" w:type="dxa"/>
              <w:bottom w:w="40" w:type="dxa"/>
              <w:right w:w="20" w:type="dxa"/>
            </w:tcMar>
            <w:vAlign w:val="bottom"/>
          </w:tcPr>
          <w:p w14:paraId="5F2D4E2B" w14:textId="77777777" w:rsidR="00E836FB" w:rsidRDefault="00994958">
            <w:pPr>
              <w:textAlignment w:val="bottom"/>
            </w:pPr>
            <w:r>
              <w:rPr>
                <w:rFonts w:ascii="Arial" w:eastAsia="宋体" w:hAnsi="Arial" w:cs="Arial"/>
                <w:color w:val="000000"/>
                <w:sz w:val="14"/>
                <w:szCs w:val="14"/>
              </w:rPr>
              <w:t>U.S. federal income tax rate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E2C" w14:textId="77777777" w:rsidR="00E836FB" w:rsidRDefault="00994958">
            <w:pPr>
              <w:jc w:val="right"/>
              <w:textAlignment w:val="bottom"/>
            </w:pPr>
            <w:r>
              <w:rPr>
                <w:rFonts w:ascii="Arial" w:eastAsia="宋体" w:hAnsi="Arial" w:cs="Arial"/>
                <w:b/>
                <w:bCs/>
                <w:color w:val="000000"/>
                <w:sz w:val="14"/>
                <w:szCs w:val="14"/>
              </w:rPr>
              <w:t>21.0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E2D"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4E2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E2F" w14:textId="77777777" w:rsidR="00E836FB" w:rsidRDefault="00994958">
            <w:pPr>
              <w:jc w:val="right"/>
              <w:textAlignment w:val="bottom"/>
            </w:pPr>
            <w:r>
              <w:rPr>
                <w:rFonts w:ascii="Arial" w:eastAsia="宋体" w:hAnsi="Arial" w:cs="Arial"/>
                <w:color w:val="000000"/>
                <w:sz w:val="14"/>
                <w:szCs w:val="14"/>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E30"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4E3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4E32" w14:textId="77777777" w:rsidR="00E836FB" w:rsidRDefault="00994958">
            <w:pPr>
              <w:jc w:val="right"/>
              <w:textAlignment w:val="bottom"/>
            </w:pPr>
            <w:r>
              <w:rPr>
                <w:rFonts w:ascii="Arial" w:eastAsia="宋体" w:hAnsi="Arial" w:cs="Arial"/>
                <w:color w:val="000000"/>
                <w:sz w:val="14"/>
                <w:szCs w:val="14"/>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E33" w14:textId="77777777" w:rsidR="00E836FB" w:rsidRDefault="00994958">
            <w:pPr>
              <w:jc w:val="right"/>
              <w:textAlignment w:val="bottom"/>
            </w:pPr>
            <w:r>
              <w:rPr>
                <w:rFonts w:ascii="Arial" w:eastAsia="宋体" w:hAnsi="Arial" w:cs="Arial"/>
                <w:color w:val="000000"/>
                <w:sz w:val="14"/>
                <w:szCs w:val="14"/>
              </w:rPr>
              <w:t>%</w:t>
            </w:r>
          </w:p>
        </w:tc>
      </w:tr>
      <w:tr w:rsidR="00E836FB" w14:paraId="5F2D4E3B" w14:textId="77777777">
        <w:tc>
          <w:tcPr>
            <w:tcW w:w="0" w:type="auto"/>
            <w:gridSpan w:val="3"/>
            <w:shd w:val="clear" w:color="auto" w:fill="FFFFFF"/>
            <w:tcMar>
              <w:top w:w="40" w:type="dxa"/>
              <w:left w:w="20" w:type="dxa"/>
              <w:bottom w:w="40" w:type="dxa"/>
              <w:right w:w="20" w:type="dxa"/>
            </w:tcMar>
            <w:vAlign w:val="bottom"/>
          </w:tcPr>
          <w:p w14:paraId="5F2D4E35" w14:textId="77777777" w:rsidR="00E836FB" w:rsidRDefault="00994958">
            <w:pPr>
              <w:textAlignment w:val="bottom"/>
            </w:pPr>
            <w:r>
              <w:rPr>
                <w:rFonts w:ascii="Arial" w:eastAsia="宋体" w:hAnsi="Arial" w:cs="Arial"/>
                <w:color w:val="000000"/>
                <w:sz w:val="14"/>
                <w:szCs w:val="14"/>
              </w:rPr>
              <w:t>Changes from statutory rate:</w:t>
            </w:r>
          </w:p>
        </w:tc>
        <w:tc>
          <w:tcPr>
            <w:tcW w:w="0" w:type="auto"/>
            <w:gridSpan w:val="3"/>
            <w:shd w:val="clear" w:color="auto" w:fill="FFFFFF"/>
            <w:tcMar>
              <w:top w:w="0" w:type="dxa"/>
              <w:left w:w="20" w:type="dxa"/>
              <w:bottom w:w="0" w:type="dxa"/>
              <w:right w:w="20" w:type="dxa"/>
            </w:tcMar>
            <w:vAlign w:val="bottom"/>
          </w:tcPr>
          <w:p w14:paraId="5F2D4E3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E3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E3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E3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4E3A" w14:textId="77777777" w:rsidR="00E836FB" w:rsidRDefault="00E836FB">
            <w:pPr>
              <w:rPr>
                <w:rFonts w:ascii="宋体"/>
              </w:rPr>
            </w:pPr>
          </w:p>
        </w:tc>
      </w:tr>
      <w:tr w:rsidR="00E836FB" w14:paraId="5F2D4E45" w14:textId="77777777">
        <w:tc>
          <w:tcPr>
            <w:tcW w:w="0" w:type="auto"/>
            <w:gridSpan w:val="3"/>
            <w:shd w:val="clear" w:color="auto" w:fill="CCEEFF"/>
            <w:tcMar>
              <w:top w:w="40" w:type="dxa"/>
              <w:left w:w="20" w:type="dxa"/>
              <w:bottom w:w="40" w:type="dxa"/>
              <w:right w:w="20" w:type="dxa"/>
            </w:tcMar>
            <w:vAlign w:val="bottom"/>
          </w:tcPr>
          <w:p w14:paraId="5F2D4E3C" w14:textId="77777777" w:rsidR="00E836FB" w:rsidRDefault="00994958">
            <w:pPr>
              <w:textAlignment w:val="bottom"/>
            </w:pPr>
            <w:r>
              <w:rPr>
                <w:rFonts w:ascii="Arial" w:eastAsia="宋体" w:hAnsi="Arial" w:cs="Arial"/>
                <w:color w:val="000000"/>
                <w:sz w:val="14"/>
                <w:szCs w:val="14"/>
              </w:rPr>
              <w:t>State taxes, net of federal benefit</w:t>
            </w:r>
          </w:p>
        </w:tc>
        <w:tc>
          <w:tcPr>
            <w:tcW w:w="0" w:type="auto"/>
            <w:gridSpan w:val="2"/>
            <w:shd w:val="clear" w:color="auto" w:fill="CCEEFF"/>
            <w:tcMar>
              <w:top w:w="40" w:type="dxa"/>
              <w:left w:w="20" w:type="dxa"/>
              <w:bottom w:w="40" w:type="dxa"/>
              <w:right w:w="0" w:type="dxa"/>
            </w:tcMar>
            <w:vAlign w:val="bottom"/>
          </w:tcPr>
          <w:p w14:paraId="5F2D4E3D" w14:textId="77777777" w:rsidR="00E836FB" w:rsidRDefault="00994958">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3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3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40" w14:textId="77777777" w:rsidR="00E836FB" w:rsidRDefault="00994958">
            <w:pPr>
              <w:jc w:val="right"/>
              <w:textAlignment w:val="bottom"/>
            </w:pPr>
            <w:r>
              <w:rPr>
                <w:rFonts w:ascii="Arial" w:eastAsia="宋体" w:hAnsi="Arial" w:cs="Arial"/>
                <w:color w:val="000000"/>
                <w:sz w:val="14"/>
                <w:szCs w:val="14"/>
              </w:rPr>
              <w:t>3.8 </w:t>
            </w:r>
          </w:p>
        </w:tc>
        <w:tc>
          <w:tcPr>
            <w:tcW w:w="0" w:type="auto"/>
            <w:shd w:val="clear" w:color="auto" w:fill="CCEEFF"/>
            <w:tcMar>
              <w:top w:w="40" w:type="dxa"/>
              <w:left w:w="0" w:type="dxa"/>
              <w:bottom w:w="40" w:type="dxa"/>
              <w:right w:w="20" w:type="dxa"/>
            </w:tcMar>
            <w:vAlign w:val="bottom"/>
          </w:tcPr>
          <w:p w14:paraId="5F2D4E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4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43" w14:textId="77777777" w:rsidR="00E836FB" w:rsidRDefault="00994958">
            <w:pPr>
              <w:jc w:val="right"/>
              <w:textAlignment w:val="bottom"/>
            </w:pPr>
            <w:r>
              <w:rPr>
                <w:rFonts w:ascii="Arial" w:eastAsia="宋体" w:hAnsi="Arial" w:cs="Arial"/>
                <w:color w:val="000000"/>
                <w:sz w:val="14"/>
                <w:szCs w:val="14"/>
              </w:rPr>
              <w:t>3.4 </w:t>
            </w:r>
          </w:p>
        </w:tc>
        <w:tc>
          <w:tcPr>
            <w:tcW w:w="0" w:type="auto"/>
            <w:shd w:val="clear" w:color="auto" w:fill="CCEEFF"/>
            <w:tcMar>
              <w:top w:w="40" w:type="dxa"/>
              <w:left w:w="0" w:type="dxa"/>
              <w:bottom w:w="40" w:type="dxa"/>
              <w:right w:w="20" w:type="dxa"/>
            </w:tcMar>
            <w:vAlign w:val="bottom"/>
          </w:tcPr>
          <w:p w14:paraId="5F2D4E44" w14:textId="77777777" w:rsidR="00E836FB" w:rsidRDefault="00E836FB">
            <w:pPr>
              <w:jc w:val="right"/>
              <w:rPr>
                <w:rFonts w:ascii="宋体"/>
              </w:rPr>
            </w:pPr>
          </w:p>
        </w:tc>
      </w:tr>
      <w:tr w:rsidR="00E836FB" w14:paraId="5F2D4E4F" w14:textId="77777777">
        <w:tc>
          <w:tcPr>
            <w:tcW w:w="0" w:type="auto"/>
            <w:gridSpan w:val="3"/>
            <w:shd w:val="clear" w:color="auto" w:fill="FFFFFF"/>
            <w:tcMar>
              <w:top w:w="40" w:type="dxa"/>
              <w:left w:w="20" w:type="dxa"/>
              <w:bottom w:w="40" w:type="dxa"/>
              <w:right w:w="20" w:type="dxa"/>
            </w:tcMar>
            <w:vAlign w:val="bottom"/>
          </w:tcPr>
          <w:p w14:paraId="5F2D4E46" w14:textId="77777777" w:rsidR="00E836FB" w:rsidRDefault="00994958">
            <w:pPr>
              <w:textAlignment w:val="bottom"/>
            </w:pPr>
            <w:r>
              <w:rPr>
                <w:rFonts w:ascii="Arial" w:eastAsia="宋体" w:hAnsi="Arial" w:cs="Arial"/>
                <w:color w:val="000000"/>
                <w:sz w:val="14"/>
                <w:szCs w:val="14"/>
              </w:rPr>
              <w:t>Tax-exempt income</w:t>
            </w:r>
          </w:p>
        </w:tc>
        <w:tc>
          <w:tcPr>
            <w:tcW w:w="0" w:type="auto"/>
            <w:gridSpan w:val="2"/>
            <w:shd w:val="clear" w:color="auto" w:fill="FFFFFF"/>
            <w:tcMar>
              <w:top w:w="40" w:type="dxa"/>
              <w:left w:w="20" w:type="dxa"/>
              <w:bottom w:w="40" w:type="dxa"/>
              <w:right w:w="0" w:type="dxa"/>
            </w:tcMar>
            <w:vAlign w:val="bottom"/>
          </w:tcPr>
          <w:p w14:paraId="5F2D4E47" w14:textId="77777777" w:rsidR="00E836FB" w:rsidRDefault="00994958">
            <w:pPr>
              <w:jc w:val="right"/>
              <w:textAlignment w:val="bottom"/>
            </w:pPr>
            <w:r>
              <w:rPr>
                <w:rFonts w:ascii="Arial" w:eastAsia="宋体" w:hAnsi="Arial" w:cs="Arial"/>
                <w:b/>
                <w:bCs/>
                <w:color w:val="000000"/>
                <w:sz w:val="14"/>
                <w:szCs w:val="14"/>
              </w:rPr>
              <w:t>(1.1)</w:t>
            </w:r>
          </w:p>
        </w:tc>
        <w:tc>
          <w:tcPr>
            <w:tcW w:w="0" w:type="auto"/>
            <w:shd w:val="clear" w:color="auto" w:fill="FFFFFF"/>
            <w:tcMar>
              <w:top w:w="40" w:type="dxa"/>
              <w:left w:w="0" w:type="dxa"/>
              <w:bottom w:w="40" w:type="dxa"/>
              <w:right w:w="20" w:type="dxa"/>
            </w:tcMar>
            <w:vAlign w:val="bottom"/>
          </w:tcPr>
          <w:p w14:paraId="5F2D4E4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4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4A" w14:textId="77777777" w:rsidR="00E836FB" w:rsidRDefault="00994958">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5F2D4E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4D" w14:textId="77777777" w:rsidR="00E836FB" w:rsidRDefault="00994958">
            <w:pPr>
              <w:jc w:val="right"/>
              <w:textAlignment w:val="bottom"/>
            </w:pPr>
            <w:r>
              <w:rPr>
                <w:rFonts w:ascii="Arial" w:eastAsia="宋体" w:hAnsi="Arial" w:cs="Arial"/>
                <w:color w:val="000000"/>
                <w:sz w:val="14"/>
                <w:szCs w:val="14"/>
              </w:rPr>
              <w:t>(1.5)</w:t>
            </w:r>
          </w:p>
        </w:tc>
        <w:tc>
          <w:tcPr>
            <w:tcW w:w="0" w:type="auto"/>
            <w:shd w:val="clear" w:color="auto" w:fill="FFFFFF"/>
            <w:tcMar>
              <w:top w:w="40" w:type="dxa"/>
              <w:left w:w="0" w:type="dxa"/>
              <w:bottom w:w="40" w:type="dxa"/>
              <w:right w:w="20" w:type="dxa"/>
            </w:tcMar>
            <w:vAlign w:val="bottom"/>
          </w:tcPr>
          <w:p w14:paraId="5F2D4E4E" w14:textId="77777777" w:rsidR="00E836FB" w:rsidRDefault="00E836FB">
            <w:pPr>
              <w:jc w:val="right"/>
              <w:rPr>
                <w:rFonts w:ascii="宋体"/>
              </w:rPr>
            </w:pPr>
          </w:p>
        </w:tc>
      </w:tr>
      <w:tr w:rsidR="00E836FB" w14:paraId="5F2D4E59" w14:textId="77777777">
        <w:tc>
          <w:tcPr>
            <w:tcW w:w="0" w:type="auto"/>
            <w:gridSpan w:val="3"/>
            <w:shd w:val="clear" w:color="auto" w:fill="CCEEFF"/>
            <w:tcMar>
              <w:top w:w="40" w:type="dxa"/>
              <w:left w:w="20" w:type="dxa"/>
              <w:bottom w:w="40" w:type="dxa"/>
              <w:right w:w="20" w:type="dxa"/>
            </w:tcMar>
            <w:vAlign w:val="bottom"/>
          </w:tcPr>
          <w:p w14:paraId="5F2D4E50" w14:textId="77777777" w:rsidR="00E836FB" w:rsidRDefault="00994958">
            <w:pPr>
              <w:textAlignment w:val="bottom"/>
            </w:pPr>
            <w:r>
              <w:rPr>
                <w:rFonts w:ascii="Arial" w:eastAsia="宋体" w:hAnsi="Arial" w:cs="Arial"/>
                <w:color w:val="000000"/>
                <w:sz w:val="14"/>
                <w:szCs w:val="14"/>
              </w:rPr>
              <w:t xml:space="preserve">Business tax </w:t>
            </w:r>
            <w:r>
              <w:rPr>
                <w:rFonts w:ascii="Arial" w:eastAsia="宋体" w:hAnsi="Arial" w:cs="Arial"/>
                <w:color w:val="000000"/>
                <w:sz w:val="14"/>
                <w:szCs w:val="14"/>
              </w:rPr>
              <w:t>credits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D4E51" w14:textId="77777777" w:rsidR="00E836FB" w:rsidRDefault="00994958">
            <w:pPr>
              <w:jc w:val="right"/>
              <w:textAlignment w:val="bottom"/>
            </w:pPr>
            <w:r>
              <w:rPr>
                <w:rFonts w:ascii="Arial" w:eastAsia="宋体" w:hAnsi="Arial" w:cs="Arial"/>
                <w:b/>
                <w:bCs/>
                <w:color w:val="000000"/>
                <w:sz w:val="14"/>
                <w:szCs w:val="14"/>
              </w:rPr>
              <w:t>(4.1)</w:t>
            </w:r>
          </w:p>
        </w:tc>
        <w:tc>
          <w:tcPr>
            <w:tcW w:w="0" w:type="auto"/>
            <w:shd w:val="clear" w:color="auto" w:fill="CCEEFF"/>
            <w:tcMar>
              <w:top w:w="40" w:type="dxa"/>
              <w:left w:w="0" w:type="dxa"/>
              <w:bottom w:w="40" w:type="dxa"/>
              <w:right w:w="20" w:type="dxa"/>
            </w:tcMar>
            <w:vAlign w:val="bottom"/>
          </w:tcPr>
          <w:p w14:paraId="5F2D4E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54" w14:textId="77777777" w:rsidR="00E836FB" w:rsidRDefault="00994958">
            <w:pPr>
              <w:jc w:val="right"/>
              <w:textAlignment w:val="bottom"/>
            </w:pPr>
            <w:r>
              <w:rPr>
                <w:rFonts w:ascii="Arial" w:eastAsia="宋体" w:hAnsi="Arial" w:cs="Arial"/>
                <w:color w:val="000000"/>
                <w:sz w:val="14"/>
                <w:szCs w:val="14"/>
              </w:rPr>
              <w:t>(5.1)</w:t>
            </w:r>
          </w:p>
        </w:tc>
        <w:tc>
          <w:tcPr>
            <w:tcW w:w="0" w:type="auto"/>
            <w:shd w:val="clear" w:color="auto" w:fill="CCEEFF"/>
            <w:tcMar>
              <w:top w:w="40" w:type="dxa"/>
              <w:left w:w="0" w:type="dxa"/>
              <w:bottom w:w="40" w:type="dxa"/>
              <w:right w:w="20" w:type="dxa"/>
            </w:tcMar>
            <w:vAlign w:val="bottom"/>
          </w:tcPr>
          <w:p w14:paraId="5F2D4E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57" w14:textId="77777777" w:rsidR="00E836FB" w:rsidRDefault="00994958">
            <w:pPr>
              <w:jc w:val="right"/>
              <w:textAlignment w:val="bottom"/>
            </w:pPr>
            <w:r>
              <w:rPr>
                <w:rFonts w:ascii="Arial" w:eastAsia="宋体" w:hAnsi="Arial" w:cs="Arial"/>
                <w:color w:val="000000"/>
                <w:sz w:val="14"/>
                <w:szCs w:val="14"/>
              </w:rPr>
              <w:t>(5.4)</w:t>
            </w:r>
          </w:p>
        </w:tc>
        <w:tc>
          <w:tcPr>
            <w:tcW w:w="0" w:type="auto"/>
            <w:shd w:val="clear" w:color="auto" w:fill="CCEEFF"/>
            <w:tcMar>
              <w:top w:w="40" w:type="dxa"/>
              <w:left w:w="0" w:type="dxa"/>
              <w:bottom w:w="40" w:type="dxa"/>
              <w:right w:w="20" w:type="dxa"/>
            </w:tcMar>
            <w:vAlign w:val="bottom"/>
          </w:tcPr>
          <w:p w14:paraId="5F2D4E58" w14:textId="77777777" w:rsidR="00E836FB" w:rsidRDefault="00E836FB">
            <w:pPr>
              <w:jc w:val="right"/>
              <w:rPr>
                <w:rFonts w:ascii="宋体"/>
              </w:rPr>
            </w:pPr>
          </w:p>
        </w:tc>
      </w:tr>
      <w:tr w:rsidR="00E836FB" w14:paraId="5F2D4E63" w14:textId="77777777">
        <w:tc>
          <w:tcPr>
            <w:tcW w:w="0" w:type="auto"/>
            <w:gridSpan w:val="3"/>
            <w:shd w:val="clear" w:color="auto" w:fill="FFFFFF"/>
            <w:tcMar>
              <w:top w:w="40" w:type="dxa"/>
              <w:left w:w="20" w:type="dxa"/>
              <w:bottom w:w="40" w:type="dxa"/>
              <w:right w:w="20" w:type="dxa"/>
            </w:tcMar>
            <w:vAlign w:val="bottom"/>
          </w:tcPr>
          <w:p w14:paraId="5F2D4E5A" w14:textId="77777777" w:rsidR="00E836FB" w:rsidRDefault="00994958">
            <w:pPr>
              <w:textAlignment w:val="bottom"/>
            </w:pPr>
            <w:r>
              <w:rPr>
                <w:rFonts w:ascii="Arial" w:eastAsia="宋体" w:hAnsi="Arial" w:cs="Arial"/>
                <w:color w:val="000000"/>
                <w:sz w:val="14"/>
                <w:szCs w:val="14"/>
              </w:rPr>
              <w:t>Foreign tax differential</w:t>
            </w:r>
          </w:p>
        </w:tc>
        <w:tc>
          <w:tcPr>
            <w:tcW w:w="0" w:type="auto"/>
            <w:gridSpan w:val="2"/>
            <w:shd w:val="clear" w:color="auto" w:fill="FFFFFF"/>
            <w:tcMar>
              <w:top w:w="40" w:type="dxa"/>
              <w:left w:w="20" w:type="dxa"/>
              <w:bottom w:w="40" w:type="dxa"/>
              <w:right w:w="0" w:type="dxa"/>
            </w:tcMar>
            <w:vAlign w:val="bottom"/>
          </w:tcPr>
          <w:p w14:paraId="5F2D4E5B" w14:textId="77777777" w:rsidR="00E836FB" w:rsidRDefault="00994958">
            <w:pPr>
              <w:jc w:val="right"/>
              <w:textAlignment w:val="bottom"/>
            </w:pPr>
            <w:r>
              <w:rPr>
                <w:rFonts w:ascii="Arial" w:eastAsia="宋体" w:hAnsi="Arial" w:cs="Arial"/>
                <w:b/>
                <w:bCs/>
                <w:color w:val="000000"/>
                <w:sz w:val="14"/>
                <w:szCs w:val="14"/>
              </w:rPr>
              <w:t>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E5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5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5E" w14:textId="77777777" w:rsidR="00E836FB" w:rsidRDefault="00994958">
            <w:pPr>
              <w:jc w:val="right"/>
              <w:textAlignment w:val="bottom"/>
            </w:pPr>
            <w:r>
              <w:rPr>
                <w:rFonts w:ascii="Arial" w:eastAsia="宋体" w:hAnsi="Arial" w:cs="Arial"/>
                <w:color w:val="000000"/>
                <w:sz w:val="14"/>
                <w:szCs w:val="14"/>
              </w:rPr>
              <w:t>(0.8)</w:t>
            </w:r>
          </w:p>
        </w:tc>
        <w:tc>
          <w:tcPr>
            <w:tcW w:w="0" w:type="auto"/>
            <w:shd w:val="clear" w:color="auto" w:fill="FFFFFF"/>
            <w:tcMar>
              <w:top w:w="40" w:type="dxa"/>
              <w:left w:w="0" w:type="dxa"/>
              <w:bottom w:w="40" w:type="dxa"/>
              <w:right w:w="20" w:type="dxa"/>
            </w:tcMar>
            <w:vAlign w:val="bottom"/>
          </w:tcPr>
          <w:p w14:paraId="5F2D4E5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6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61" w14:textId="77777777" w:rsidR="00E836FB" w:rsidRDefault="00994958">
            <w:pPr>
              <w:jc w:val="right"/>
              <w:textAlignment w:val="bottom"/>
            </w:pPr>
            <w:r>
              <w:rPr>
                <w:rFonts w:ascii="Arial" w:eastAsia="宋体" w:hAnsi="Arial" w:cs="Arial"/>
                <w:color w:val="000000"/>
                <w:sz w:val="14"/>
                <w:szCs w:val="14"/>
              </w:rPr>
              <w:t>(0.1)</w:t>
            </w:r>
          </w:p>
        </w:tc>
        <w:tc>
          <w:tcPr>
            <w:tcW w:w="0" w:type="auto"/>
            <w:shd w:val="clear" w:color="auto" w:fill="FFFFFF"/>
            <w:tcMar>
              <w:top w:w="40" w:type="dxa"/>
              <w:left w:w="0" w:type="dxa"/>
              <w:bottom w:w="40" w:type="dxa"/>
              <w:right w:w="20" w:type="dxa"/>
            </w:tcMar>
            <w:vAlign w:val="bottom"/>
          </w:tcPr>
          <w:p w14:paraId="5F2D4E62" w14:textId="77777777" w:rsidR="00E836FB" w:rsidRDefault="00E836FB">
            <w:pPr>
              <w:jc w:val="right"/>
              <w:rPr>
                <w:rFonts w:ascii="宋体"/>
              </w:rPr>
            </w:pPr>
          </w:p>
        </w:tc>
      </w:tr>
      <w:tr w:rsidR="00E836FB" w14:paraId="5F2D4E6D" w14:textId="77777777">
        <w:tc>
          <w:tcPr>
            <w:tcW w:w="0" w:type="auto"/>
            <w:gridSpan w:val="3"/>
            <w:shd w:val="clear" w:color="auto" w:fill="CCEEFF"/>
            <w:tcMar>
              <w:top w:w="40" w:type="dxa"/>
              <w:left w:w="20" w:type="dxa"/>
              <w:bottom w:w="40" w:type="dxa"/>
              <w:right w:w="20" w:type="dxa"/>
            </w:tcMar>
            <w:vAlign w:val="bottom"/>
          </w:tcPr>
          <w:p w14:paraId="5F2D4E64" w14:textId="77777777" w:rsidR="00E836FB" w:rsidRDefault="00994958">
            <w:pPr>
              <w:textAlignment w:val="bottom"/>
            </w:pPr>
            <w:r>
              <w:rPr>
                <w:rFonts w:ascii="Arial" w:eastAsia="宋体" w:hAnsi="Arial" w:cs="Arial"/>
                <w:color w:val="000000"/>
                <w:sz w:val="14"/>
                <w:szCs w:val="14"/>
              </w:rPr>
              <w:t>Foreign legal entity restructuring</w:t>
            </w:r>
          </w:p>
        </w:tc>
        <w:tc>
          <w:tcPr>
            <w:tcW w:w="0" w:type="auto"/>
            <w:gridSpan w:val="2"/>
            <w:shd w:val="clear" w:color="auto" w:fill="CCEEFF"/>
            <w:tcMar>
              <w:top w:w="40" w:type="dxa"/>
              <w:left w:w="20" w:type="dxa"/>
              <w:bottom w:w="40" w:type="dxa"/>
              <w:right w:w="0" w:type="dxa"/>
            </w:tcMar>
            <w:vAlign w:val="bottom"/>
          </w:tcPr>
          <w:p w14:paraId="5F2D4E6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6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6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6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6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6B" w14:textId="77777777" w:rsidR="00E836FB" w:rsidRDefault="00994958">
            <w:pPr>
              <w:jc w:val="right"/>
              <w:textAlignment w:val="bottom"/>
            </w:pPr>
            <w:r>
              <w:rPr>
                <w:rFonts w:ascii="Arial" w:eastAsia="宋体" w:hAnsi="Arial" w:cs="Arial"/>
                <w:color w:val="000000"/>
                <w:sz w:val="14"/>
                <w:szCs w:val="14"/>
              </w:rPr>
              <w:t>(4.3)</w:t>
            </w:r>
          </w:p>
        </w:tc>
        <w:tc>
          <w:tcPr>
            <w:tcW w:w="0" w:type="auto"/>
            <w:shd w:val="clear" w:color="auto" w:fill="CCEEFF"/>
            <w:tcMar>
              <w:top w:w="40" w:type="dxa"/>
              <w:left w:w="0" w:type="dxa"/>
              <w:bottom w:w="40" w:type="dxa"/>
              <w:right w:w="20" w:type="dxa"/>
            </w:tcMar>
            <w:vAlign w:val="bottom"/>
          </w:tcPr>
          <w:p w14:paraId="5F2D4E6C" w14:textId="77777777" w:rsidR="00E836FB" w:rsidRDefault="00E836FB">
            <w:pPr>
              <w:jc w:val="right"/>
              <w:rPr>
                <w:rFonts w:ascii="宋体"/>
              </w:rPr>
            </w:pPr>
          </w:p>
        </w:tc>
      </w:tr>
      <w:tr w:rsidR="00E836FB" w14:paraId="5F2D4E77" w14:textId="77777777">
        <w:tc>
          <w:tcPr>
            <w:tcW w:w="0" w:type="auto"/>
            <w:gridSpan w:val="3"/>
            <w:shd w:val="clear" w:color="auto" w:fill="FFFFFF"/>
            <w:tcMar>
              <w:top w:w="40" w:type="dxa"/>
              <w:left w:w="20" w:type="dxa"/>
              <w:bottom w:w="40" w:type="dxa"/>
              <w:right w:w="20" w:type="dxa"/>
            </w:tcMar>
            <w:vAlign w:val="bottom"/>
          </w:tcPr>
          <w:p w14:paraId="5F2D4E6E" w14:textId="77777777" w:rsidR="00E836FB" w:rsidRDefault="00994958">
            <w:pPr>
              <w:textAlignment w:val="bottom"/>
            </w:pPr>
            <w:r>
              <w:rPr>
                <w:rFonts w:ascii="Arial" w:eastAsia="宋体" w:hAnsi="Arial" w:cs="Arial"/>
                <w:color w:val="000000"/>
                <w:sz w:val="14"/>
                <w:szCs w:val="14"/>
              </w:rPr>
              <w:t>Foreign tax credit (benefits)/ limitations</w:t>
            </w:r>
          </w:p>
        </w:tc>
        <w:tc>
          <w:tcPr>
            <w:tcW w:w="0" w:type="auto"/>
            <w:gridSpan w:val="2"/>
            <w:shd w:val="clear" w:color="auto" w:fill="FFFFFF"/>
            <w:tcMar>
              <w:top w:w="40" w:type="dxa"/>
              <w:left w:w="20" w:type="dxa"/>
              <w:bottom w:w="40" w:type="dxa"/>
              <w:right w:w="0" w:type="dxa"/>
            </w:tcMar>
            <w:vAlign w:val="bottom"/>
          </w:tcPr>
          <w:p w14:paraId="5F2D4E6F" w14:textId="77777777" w:rsidR="00E836FB" w:rsidRDefault="00994958">
            <w:pPr>
              <w:jc w:val="right"/>
              <w:textAlignment w:val="bottom"/>
            </w:pPr>
            <w:r>
              <w:rPr>
                <w:rFonts w:ascii="Arial" w:eastAsia="宋体" w:hAnsi="Arial" w:cs="Arial"/>
                <w:b/>
                <w:bCs/>
                <w:color w:val="000000"/>
                <w:sz w:val="14"/>
                <w:szCs w:val="14"/>
              </w:rPr>
              <w:t>(1.9)</w:t>
            </w:r>
          </w:p>
        </w:tc>
        <w:tc>
          <w:tcPr>
            <w:tcW w:w="0" w:type="auto"/>
            <w:shd w:val="clear" w:color="auto" w:fill="FFFFFF"/>
            <w:tcMar>
              <w:top w:w="40" w:type="dxa"/>
              <w:left w:w="0" w:type="dxa"/>
              <w:bottom w:w="40" w:type="dxa"/>
              <w:right w:w="20" w:type="dxa"/>
            </w:tcMar>
            <w:vAlign w:val="bottom"/>
          </w:tcPr>
          <w:p w14:paraId="5F2D4E7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7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72" w14:textId="77777777" w:rsidR="00E836FB" w:rsidRDefault="00994958">
            <w:pPr>
              <w:jc w:val="right"/>
              <w:textAlignment w:val="bottom"/>
            </w:pPr>
            <w:r>
              <w:rPr>
                <w:rFonts w:ascii="Arial" w:eastAsia="宋体" w:hAnsi="Arial" w:cs="Arial"/>
                <w:color w:val="000000"/>
                <w:sz w:val="14"/>
                <w:szCs w:val="14"/>
              </w:rPr>
              <w:t>(0.9)</w:t>
            </w:r>
          </w:p>
        </w:tc>
        <w:tc>
          <w:tcPr>
            <w:tcW w:w="0" w:type="auto"/>
            <w:shd w:val="clear" w:color="auto" w:fill="FFFFFF"/>
            <w:tcMar>
              <w:top w:w="40" w:type="dxa"/>
              <w:left w:w="0" w:type="dxa"/>
              <w:bottom w:w="40" w:type="dxa"/>
              <w:right w:w="20" w:type="dxa"/>
            </w:tcMar>
            <w:vAlign w:val="bottom"/>
          </w:tcPr>
          <w:p w14:paraId="5F2D4E7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75" w14:textId="77777777" w:rsidR="00E836FB" w:rsidRDefault="00994958">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5F2D4E76" w14:textId="77777777" w:rsidR="00E836FB" w:rsidRDefault="00E836FB">
            <w:pPr>
              <w:jc w:val="right"/>
              <w:rPr>
                <w:rFonts w:ascii="宋体"/>
              </w:rPr>
            </w:pPr>
          </w:p>
        </w:tc>
      </w:tr>
      <w:tr w:rsidR="00E836FB" w14:paraId="5F2D4E7E" w14:textId="77777777">
        <w:trPr>
          <w:hidden/>
        </w:trPr>
        <w:tc>
          <w:tcPr>
            <w:tcW w:w="0" w:type="auto"/>
            <w:gridSpan w:val="3"/>
            <w:shd w:val="clear" w:color="auto" w:fill="auto"/>
            <w:vAlign w:val="bottom"/>
          </w:tcPr>
          <w:p w14:paraId="5F2D4E78" w14:textId="77777777" w:rsidR="00E836FB" w:rsidRDefault="00E836FB">
            <w:pPr>
              <w:rPr>
                <w:rFonts w:ascii="宋体"/>
                <w:vanish/>
              </w:rPr>
            </w:pPr>
          </w:p>
        </w:tc>
        <w:tc>
          <w:tcPr>
            <w:tcW w:w="0" w:type="auto"/>
            <w:gridSpan w:val="3"/>
            <w:shd w:val="clear" w:color="auto" w:fill="auto"/>
            <w:vAlign w:val="bottom"/>
          </w:tcPr>
          <w:p w14:paraId="5F2D4E79" w14:textId="77777777" w:rsidR="00E836FB" w:rsidRDefault="00E836FB">
            <w:pPr>
              <w:rPr>
                <w:rFonts w:ascii="宋体"/>
                <w:vanish/>
              </w:rPr>
            </w:pPr>
          </w:p>
        </w:tc>
        <w:tc>
          <w:tcPr>
            <w:tcW w:w="0" w:type="auto"/>
            <w:gridSpan w:val="3"/>
            <w:shd w:val="clear" w:color="auto" w:fill="auto"/>
            <w:vAlign w:val="bottom"/>
          </w:tcPr>
          <w:p w14:paraId="5F2D4E7A" w14:textId="77777777" w:rsidR="00E836FB" w:rsidRDefault="00E836FB">
            <w:pPr>
              <w:rPr>
                <w:rFonts w:ascii="宋体"/>
                <w:vanish/>
              </w:rPr>
            </w:pPr>
          </w:p>
        </w:tc>
        <w:tc>
          <w:tcPr>
            <w:tcW w:w="0" w:type="auto"/>
            <w:gridSpan w:val="3"/>
            <w:shd w:val="clear" w:color="auto" w:fill="auto"/>
            <w:vAlign w:val="bottom"/>
          </w:tcPr>
          <w:p w14:paraId="5F2D4E7B" w14:textId="77777777" w:rsidR="00E836FB" w:rsidRDefault="00E836FB">
            <w:pPr>
              <w:rPr>
                <w:rFonts w:ascii="宋体"/>
                <w:vanish/>
              </w:rPr>
            </w:pPr>
          </w:p>
        </w:tc>
        <w:tc>
          <w:tcPr>
            <w:tcW w:w="0" w:type="auto"/>
            <w:gridSpan w:val="3"/>
            <w:shd w:val="clear" w:color="auto" w:fill="auto"/>
            <w:vAlign w:val="bottom"/>
          </w:tcPr>
          <w:p w14:paraId="5F2D4E7C" w14:textId="77777777" w:rsidR="00E836FB" w:rsidRDefault="00E836FB">
            <w:pPr>
              <w:rPr>
                <w:rFonts w:ascii="宋体"/>
                <w:vanish/>
              </w:rPr>
            </w:pPr>
          </w:p>
        </w:tc>
        <w:tc>
          <w:tcPr>
            <w:tcW w:w="0" w:type="auto"/>
            <w:gridSpan w:val="3"/>
            <w:shd w:val="clear" w:color="auto" w:fill="auto"/>
            <w:vAlign w:val="bottom"/>
          </w:tcPr>
          <w:p w14:paraId="5F2D4E7D" w14:textId="77777777" w:rsidR="00E836FB" w:rsidRDefault="00E836FB">
            <w:pPr>
              <w:rPr>
                <w:rFonts w:ascii="宋体"/>
                <w:vanish/>
              </w:rPr>
            </w:pPr>
          </w:p>
        </w:tc>
      </w:tr>
      <w:tr w:rsidR="00E836FB" w14:paraId="5F2D4E85" w14:textId="77777777">
        <w:trPr>
          <w:hidden/>
        </w:trPr>
        <w:tc>
          <w:tcPr>
            <w:tcW w:w="0" w:type="auto"/>
            <w:gridSpan w:val="3"/>
            <w:shd w:val="clear" w:color="auto" w:fill="auto"/>
            <w:vAlign w:val="bottom"/>
          </w:tcPr>
          <w:p w14:paraId="5F2D4E7F" w14:textId="77777777" w:rsidR="00E836FB" w:rsidRDefault="00E836FB">
            <w:pPr>
              <w:rPr>
                <w:rFonts w:ascii="宋体"/>
                <w:vanish/>
              </w:rPr>
            </w:pPr>
          </w:p>
        </w:tc>
        <w:tc>
          <w:tcPr>
            <w:tcW w:w="0" w:type="auto"/>
            <w:gridSpan w:val="3"/>
            <w:shd w:val="clear" w:color="auto" w:fill="auto"/>
            <w:vAlign w:val="bottom"/>
          </w:tcPr>
          <w:p w14:paraId="5F2D4E80" w14:textId="77777777" w:rsidR="00E836FB" w:rsidRDefault="00E836FB">
            <w:pPr>
              <w:rPr>
                <w:rFonts w:ascii="宋体"/>
                <w:vanish/>
              </w:rPr>
            </w:pPr>
          </w:p>
        </w:tc>
        <w:tc>
          <w:tcPr>
            <w:tcW w:w="0" w:type="auto"/>
            <w:gridSpan w:val="3"/>
            <w:shd w:val="clear" w:color="auto" w:fill="auto"/>
            <w:vAlign w:val="bottom"/>
          </w:tcPr>
          <w:p w14:paraId="5F2D4E81" w14:textId="77777777" w:rsidR="00E836FB" w:rsidRDefault="00E836FB">
            <w:pPr>
              <w:rPr>
                <w:rFonts w:ascii="宋体"/>
                <w:vanish/>
              </w:rPr>
            </w:pPr>
          </w:p>
        </w:tc>
        <w:tc>
          <w:tcPr>
            <w:tcW w:w="0" w:type="auto"/>
            <w:gridSpan w:val="3"/>
            <w:shd w:val="clear" w:color="auto" w:fill="auto"/>
            <w:vAlign w:val="bottom"/>
          </w:tcPr>
          <w:p w14:paraId="5F2D4E82" w14:textId="77777777" w:rsidR="00E836FB" w:rsidRDefault="00E836FB">
            <w:pPr>
              <w:rPr>
                <w:rFonts w:ascii="宋体"/>
                <w:vanish/>
              </w:rPr>
            </w:pPr>
          </w:p>
        </w:tc>
        <w:tc>
          <w:tcPr>
            <w:tcW w:w="0" w:type="auto"/>
            <w:gridSpan w:val="3"/>
            <w:shd w:val="clear" w:color="auto" w:fill="auto"/>
            <w:vAlign w:val="bottom"/>
          </w:tcPr>
          <w:p w14:paraId="5F2D4E83" w14:textId="77777777" w:rsidR="00E836FB" w:rsidRDefault="00E836FB">
            <w:pPr>
              <w:rPr>
                <w:rFonts w:ascii="宋体"/>
                <w:vanish/>
              </w:rPr>
            </w:pPr>
          </w:p>
        </w:tc>
        <w:tc>
          <w:tcPr>
            <w:tcW w:w="0" w:type="auto"/>
            <w:gridSpan w:val="3"/>
            <w:shd w:val="clear" w:color="auto" w:fill="auto"/>
            <w:vAlign w:val="bottom"/>
          </w:tcPr>
          <w:p w14:paraId="5F2D4E84" w14:textId="77777777" w:rsidR="00E836FB" w:rsidRDefault="00E836FB">
            <w:pPr>
              <w:rPr>
                <w:rFonts w:ascii="宋体"/>
                <w:vanish/>
              </w:rPr>
            </w:pPr>
          </w:p>
        </w:tc>
      </w:tr>
      <w:tr w:rsidR="00E836FB" w14:paraId="5F2D4E8C" w14:textId="77777777">
        <w:trPr>
          <w:hidden/>
        </w:trPr>
        <w:tc>
          <w:tcPr>
            <w:tcW w:w="0" w:type="auto"/>
            <w:gridSpan w:val="3"/>
            <w:shd w:val="clear" w:color="auto" w:fill="auto"/>
            <w:vAlign w:val="bottom"/>
          </w:tcPr>
          <w:p w14:paraId="5F2D4E86" w14:textId="77777777" w:rsidR="00E836FB" w:rsidRDefault="00E836FB">
            <w:pPr>
              <w:rPr>
                <w:rFonts w:ascii="宋体"/>
                <w:vanish/>
              </w:rPr>
            </w:pPr>
          </w:p>
        </w:tc>
        <w:tc>
          <w:tcPr>
            <w:tcW w:w="0" w:type="auto"/>
            <w:gridSpan w:val="3"/>
            <w:shd w:val="clear" w:color="auto" w:fill="auto"/>
            <w:vAlign w:val="bottom"/>
          </w:tcPr>
          <w:p w14:paraId="5F2D4E87" w14:textId="77777777" w:rsidR="00E836FB" w:rsidRDefault="00E836FB">
            <w:pPr>
              <w:rPr>
                <w:rFonts w:ascii="宋体"/>
                <w:vanish/>
              </w:rPr>
            </w:pPr>
          </w:p>
        </w:tc>
        <w:tc>
          <w:tcPr>
            <w:tcW w:w="0" w:type="auto"/>
            <w:gridSpan w:val="3"/>
            <w:shd w:val="clear" w:color="auto" w:fill="auto"/>
            <w:vAlign w:val="bottom"/>
          </w:tcPr>
          <w:p w14:paraId="5F2D4E88" w14:textId="77777777" w:rsidR="00E836FB" w:rsidRDefault="00E836FB">
            <w:pPr>
              <w:rPr>
                <w:rFonts w:ascii="宋体"/>
                <w:vanish/>
              </w:rPr>
            </w:pPr>
          </w:p>
        </w:tc>
        <w:tc>
          <w:tcPr>
            <w:tcW w:w="0" w:type="auto"/>
            <w:gridSpan w:val="3"/>
            <w:shd w:val="clear" w:color="auto" w:fill="auto"/>
            <w:vAlign w:val="bottom"/>
          </w:tcPr>
          <w:p w14:paraId="5F2D4E89" w14:textId="77777777" w:rsidR="00E836FB" w:rsidRDefault="00E836FB">
            <w:pPr>
              <w:rPr>
                <w:rFonts w:ascii="宋体"/>
                <w:vanish/>
              </w:rPr>
            </w:pPr>
          </w:p>
        </w:tc>
        <w:tc>
          <w:tcPr>
            <w:tcW w:w="0" w:type="auto"/>
            <w:gridSpan w:val="3"/>
            <w:shd w:val="clear" w:color="auto" w:fill="auto"/>
            <w:vAlign w:val="bottom"/>
          </w:tcPr>
          <w:p w14:paraId="5F2D4E8A" w14:textId="77777777" w:rsidR="00E836FB" w:rsidRDefault="00E836FB">
            <w:pPr>
              <w:rPr>
                <w:rFonts w:ascii="宋体"/>
                <w:vanish/>
              </w:rPr>
            </w:pPr>
          </w:p>
        </w:tc>
        <w:tc>
          <w:tcPr>
            <w:tcW w:w="0" w:type="auto"/>
            <w:gridSpan w:val="3"/>
            <w:shd w:val="clear" w:color="auto" w:fill="auto"/>
            <w:vAlign w:val="bottom"/>
          </w:tcPr>
          <w:p w14:paraId="5F2D4E8B" w14:textId="77777777" w:rsidR="00E836FB" w:rsidRDefault="00E836FB">
            <w:pPr>
              <w:rPr>
                <w:rFonts w:ascii="宋体"/>
                <w:vanish/>
              </w:rPr>
            </w:pPr>
          </w:p>
        </w:tc>
      </w:tr>
      <w:tr w:rsidR="00E836FB" w14:paraId="5F2D4E96" w14:textId="77777777">
        <w:tc>
          <w:tcPr>
            <w:tcW w:w="0" w:type="auto"/>
            <w:gridSpan w:val="3"/>
            <w:shd w:val="clear" w:color="auto" w:fill="CCEEFF"/>
            <w:tcMar>
              <w:top w:w="40" w:type="dxa"/>
              <w:left w:w="20" w:type="dxa"/>
              <w:bottom w:w="40" w:type="dxa"/>
              <w:right w:w="20" w:type="dxa"/>
            </w:tcMar>
            <w:vAlign w:val="bottom"/>
          </w:tcPr>
          <w:p w14:paraId="5F2D4E8D" w14:textId="77777777" w:rsidR="00E836FB" w:rsidRDefault="00994958">
            <w:pPr>
              <w:textAlignment w:val="bottom"/>
            </w:pPr>
            <w:r>
              <w:rPr>
                <w:rFonts w:ascii="Arial" w:eastAsia="宋体" w:hAnsi="Arial" w:cs="Arial"/>
                <w:color w:val="000000"/>
                <w:sz w:val="14"/>
                <w:szCs w:val="14"/>
              </w:rPr>
              <w:t>Litigation expense</w:t>
            </w:r>
          </w:p>
        </w:tc>
        <w:tc>
          <w:tcPr>
            <w:tcW w:w="0" w:type="auto"/>
            <w:gridSpan w:val="2"/>
            <w:shd w:val="clear" w:color="auto" w:fill="CCEEFF"/>
            <w:tcMar>
              <w:top w:w="40" w:type="dxa"/>
              <w:left w:w="20" w:type="dxa"/>
              <w:bottom w:w="40" w:type="dxa"/>
              <w:right w:w="0" w:type="dxa"/>
            </w:tcMar>
            <w:vAlign w:val="bottom"/>
          </w:tcPr>
          <w:p w14:paraId="5F2D4E8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8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9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9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9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9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94" w14:textId="77777777" w:rsidR="00E836FB" w:rsidRDefault="00994958">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5F2D4E95" w14:textId="77777777" w:rsidR="00E836FB" w:rsidRDefault="00E836FB">
            <w:pPr>
              <w:jc w:val="right"/>
              <w:rPr>
                <w:rFonts w:ascii="宋体"/>
              </w:rPr>
            </w:pPr>
          </w:p>
        </w:tc>
      </w:tr>
      <w:tr w:rsidR="00E836FB" w14:paraId="5F2D4EA0" w14:textId="77777777">
        <w:tc>
          <w:tcPr>
            <w:tcW w:w="0" w:type="auto"/>
            <w:gridSpan w:val="3"/>
            <w:shd w:val="clear" w:color="auto" w:fill="FFFFFF"/>
            <w:tcMar>
              <w:top w:w="40" w:type="dxa"/>
              <w:left w:w="20" w:type="dxa"/>
              <w:bottom w:w="40" w:type="dxa"/>
              <w:right w:w="20" w:type="dxa"/>
            </w:tcMar>
            <w:vAlign w:val="bottom"/>
          </w:tcPr>
          <w:p w14:paraId="5F2D4E97" w14:textId="77777777" w:rsidR="00E836FB" w:rsidRDefault="00994958">
            <w:pPr>
              <w:textAlignment w:val="bottom"/>
            </w:pPr>
            <w:r>
              <w:rPr>
                <w:rFonts w:ascii="Arial" w:eastAsia="宋体" w:hAnsi="Arial" w:cs="Arial"/>
                <w:color w:val="000000"/>
                <w:sz w:val="14"/>
                <w:szCs w:val="14"/>
              </w:rPr>
              <w:t>Other, net</w:t>
            </w:r>
          </w:p>
        </w:tc>
        <w:tc>
          <w:tcPr>
            <w:tcW w:w="0" w:type="auto"/>
            <w:gridSpan w:val="2"/>
            <w:shd w:val="clear" w:color="auto" w:fill="FFFFFF"/>
            <w:tcMar>
              <w:top w:w="40" w:type="dxa"/>
              <w:left w:w="20" w:type="dxa"/>
              <w:bottom w:w="40" w:type="dxa"/>
              <w:right w:w="0" w:type="dxa"/>
            </w:tcMar>
            <w:vAlign w:val="bottom"/>
          </w:tcPr>
          <w:p w14:paraId="5F2D4E98" w14:textId="77777777" w:rsidR="00E836FB" w:rsidRDefault="00994958">
            <w:pPr>
              <w:jc w:val="right"/>
              <w:textAlignment w:val="bottom"/>
            </w:pPr>
            <w:r>
              <w:rPr>
                <w:rFonts w:ascii="Arial" w:eastAsia="宋体" w:hAnsi="Arial" w:cs="Arial"/>
                <w:b/>
                <w:bCs/>
                <w:color w:val="000000"/>
                <w:sz w:val="14"/>
                <w:szCs w:val="14"/>
              </w:rPr>
              <w:t>(1.1)</w:t>
            </w:r>
          </w:p>
        </w:tc>
        <w:tc>
          <w:tcPr>
            <w:tcW w:w="0" w:type="auto"/>
            <w:shd w:val="clear" w:color="auto" w:fill="FFFFFF"/>
            <w:tcMar>
              <w:top w:w="40" w:type="dxa"/>
              <w:left w:w="0" w:type="dxa"/>
              <w:bottom w:w="40" w:type="dxa"/>
              <w:right w:w="20" w:type="dxa"/>
            </w:tcMar>
            <w:vAlign w:val="bottom"/>
          </w:tcPr>
          <w:p w14:paraId="5F2D4E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9B" w14:textId="77777777" w:rsidR="00E836FB" w:rsidRDefault="00994958">
            <w:pPr>
              <w:jc w:val="right"/>
              <w:textAlignment w:val="bottom"/>
            </w:pPr>
            <w:r>
              <w:rPr>
                <w:rFonts w:ascii="Arial" w:eastAsia="宋体" w:hAnsi="Arial" w:cs="Arial"/>
                <w:color w:val="000000"/>
                <w:sz w:val="14"/>
                <w:szCs w:val="14"/>
              </w:rPr>
              <w:t>(0.2)</w:t>
            </w:r>
          </w:p>
        </w:tc>
        <w:tc>
          <w:tcPr>
            <w:tcW w:w="0" w:type="auto"/>
            <w:shd w:val="clear" w:color="auto" w:fill="FFFFFF"/>
            <w:tcMar>
              <w:top w:w="40" w:type="dxa"/>
              <w:left w:w="0" w:type="dxa"/>
              <w:bottom w:w="40" w:type="dxa"/>
              <w:right w:w="20" w:type="dxa"/>
            </w:tcMar>
            <w:vAlign w:val="bottom"/>
          </w:tcPr>
          <w:p w14:paraId="5F2D4E9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9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9E" w14:textId="77777777" w:rsidR="00E836FB" w:rsidRDefault="00994958">
            <w:pPr>
              <w:jc w:val="right"/>
              <w:textAlignment w:val="bottom"/>
            </w:pPr>
            <w:r>
              <w:rPr>
                <w:rFonts w:ascii="Arial" w:eastAsia="宋体" w:hAnsi="Arial" w:cs="Arial"/>
                <w:color w:val="000000"/>
                <w:sz w:val="14"/>
                <w:szCs w:val="14"/>
              </w:rPr>
              <w:t>0.4 </w:t>
            </w:r>
          </w:p>
        </w:tc>
        <w:tc>
          <w:tcPr>
            <w:tcW w:w="0" w:type="auto"/>
            <w:shd w:val="clear" w:color="auto" w:fill="FFFFFF"/>
            <w:tcMar>
              <w:top w:w="40" w:type="dxa"/>
              <w:left w:w="0" w:type="dxa"/>
              <w:bottom w:w="40" w:type="dxa"/>
              <w:right w:w="20" w:type="dxa"/>
            </w:tcMar>
            <w:vAlign w:val="bottom"/>
          </w:tcPr>
          <w:p w14:paraId="5F2D4E9F" w14:textId="77777777" w:rsidR="00E836FB" w:rsidRDefault="00E836FB">
            <w:pPr>
              <w:jc w:val="right"/>
              <w:rPr>
                <w:rFonts w:ascii="宋体"/>
              </w:rPr>
            </w:pPr>
          </w:p>
        </w:tc>
      </w:tr>
      <w:tr w:rsidR="00E836FB" w14:paraId="5F2D4EAA" w14:textId="77777777">
        <w:tc>
          <w:tcPr>
            <w:tcW w:w="0" w:type="auto"/>
            <w:gridSpan w:val="3"/>
            <w:shd w:val="clear" w:color="auto" w:fill="CCEEFF"/>
            <w:tcMar>
              <w:top w:w="40" w:type="dxa"/>
              <w:left w:w="20" w:type="dxa"/>
              <w:bottom w:w="40" w:type="dxa"/>
              <w:right w:w="20" w:type="dxa"/>
            </w:tcMar>
            <w:vAlign w:val="bottom"/>
          </w:tcPr>
          <w:p w14:paraId="5F2D4EA1" w14:textId="77777777" w:rsidR="00E836FB" w:rsidRDefault="00994958">
            <w:pPr>
              <w:textAlignment w:val="bottom"/>
            </w:pPr>
            <w:r>
              <w:rPr>
                <w:rFonts w:ascii="Arial" w:eastAsia="宋体" w:hAnsi="Arial" w:cs="Arial"/>
                <w:color w:val="000000"/>
                <w:sz w:val="14"/>
                <w:szCs w:val="14"/>
              </w:rPr>
              <w:t>Effective tax rate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EA2" w14:textId="77777777" w:rsidR="00E836FB" w:rsidRDefault="00994958">
            <w:pPr>
              <w:jc w:val="right"/>
              <w:textAlignment w:val="bottom"/>
            </w:pPr>
            <w:r>
              <w:rPr>
                <w:rFonts w:ascii="Arial" w:eastAsia="宋体" w:hAnsi="Arial" w:cs="Arial"/>
                <w:b/>
                <w:bCs/>
                <w:color w:val="000000"/>
                <w:sz w:val="14"/>
                <w:szCs w:val="14"/>
              </w:rPr>
              <w:t>15.1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EA3"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4EA4"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EA5" w14:textId="77777777" w:rsidR="00E836FB" w:rsidRDefault="00994958">
            <w:pPr>
              <w:jc w:val="right"/>
              <w:textAlignment w:val="bottom"/>
            </w:pPr>
            <w:r>
              <w:rPr>
                <w:rFonts w:ascii="Arial" w:eastAsia="宋体" w:hAnsi="Arial" w:cs="Arial"/>
                <w:color w:val="000000"/>
                <w:sz w:val="14"/>
                <w:szCs w:val="14"/>
              </w:rPr>
              <w:t>16.5 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EA6"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4EA7"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EA8" w14:textId="77777777" w:rsidR="00E836FB" w:rsidRDefault="00994958">
            <w:pPr>
              <w:jc w:val="right"/>
              <w:textAlignment w:val="bottom"/>
            </w:pPr>
            <w:r>
              <w:rPr>
                <w:rFonts w:ascii="Arial" w:eastAsia="宋体" w:hAnsi="Arial" w:cs="Arial"/>
                <w:color w:val="000000"/>
                <w:sz w:val="14"/>
                <w:szCs w:val="14"/>
              </w:rPr>
              <w:t>17.3 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EA9" w14:textId="77777777" w:rsidR="00E836FB" w:rsidRDefault="00994958">
            <w:pPr>
              <w:jc w:val="right"/>
              <w:textAlignment w:val="bottom"/>
            </w:pPr>
            <w:r>
              <w:rPr>
                <w:rFonts w:ascii="Arial" w:eastAsia="宋体" w:hAnsi="Arial" w:cs="Arial"/>
                <w:color w:val="000000"/>
                <w:sz w:val="14"/>
                <w:szCs w:val="14"/>
              </w:rPr>
              <w:t>%</w:t>
            </w:r>
          </w:p>
        </w:tc>
      </w:tr>
    </w:tbl>
    <w:p w14:paraId="5F2D4EAB"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03"/>
        <w:gridCol w:w="36"/>
        <w:gridCol w:w="69"/>
        <w:gridCol w:w="3223"/>
        <w:gridCol w:w="36"/>
      </w:tblGrid>
      <w:tr w:rsidR="00E836FB" w14:paraId="5F2D4EB2" w14:textId="77777777">
        <w:tc>
          <w:tcPr>
            <w:tcW w:w="50" w:type="pct"/>
            <w:shd w:val="clear" w:color="auto" w:fill="auto"/>
            <w:vAlign w:val="bottom"/>
          </w:tcPr>
          <w:p w14:paraId="5F2D4EAC" w14:textId="77777777" w:rsidR="00E836FB" w:rsidRDefault="00E836FB">
            <w:pPr>
              <w:rPr>
                <w:rFonts w:ascii="宋体"/>
              </w:rPr>
            </w:pPr>
          </w:p>
        </w:tc>
        <w:tc>
          <w:tcPr>
            <w:tcW w:w="2948" w:type="pct"/>
            <w:shd w:val="clear" w:color="auto" w:fill="auto"/>
            <w:vAlign w:val="bottom"/>
          </w:tcPr>
          <w:p w14:paraId="5F2D4EAD" w14:textId="77777777" w:rsidR="00E836FB" w:rsidRDefault="00E836FB">
            <w:pPr>
              <w:rPr>
                <w:rFonts w:ascii="宋体"/>
              </w:rPr>
            </w:pPr>
          </w:p>
        </w:tc>
        <w:tc>
          <w:tcPr>
            <w:tcW w:w="5" w:type="pct"/>
            <w:shd w:val="clear" w:color="auto" w:fill="auto"/>
            <w:vAlign w:val="bottom"/>
          </w:tcPr>
          <w:p w14:paraId="5F2D4EAE" w14:textId="77777777" w:rsidR="00E836FB" w:rsidRDefault="00E836FB">
            <w:pPr>
              <w:rPr>
                <w:rFonts w:ascii="宋体"/>
              </w:rPr>
            </w:pPr>
          </w:p>
        </w:tc>
        <w:tc>
          <w:tcPr>
            <w:tcW w:w="50" w:type="pct"/>
            <w:shd w:val="clear" w:color="auto" w:fill="auto"/>
            <w:vAlign w:val="bottom"/>
          </w:tcPr>
          <w:p w14:paraId="5F2D4EAF" w14:textId="77777777" w:rsidR="00E836FB" w:rsidRDefault="00E836FB">
            <w:pPr>
              <w:rPr>
                <w:rFonts w:ascii="宋体"/>
              </w:rPr>
            </w:pPr>
          </w:p>
        </w:tc>
        <w:tc>
          <w:tcPr>
            <w:tcW w:w="1941" w:type="pct"/>
            <w:shd w:val="clear" w:color="auto" w:fill="auto"/>
            <w:vAlign w:val="bottom"/>
          </w:tcPr>
          <w:p w14:paraId="5F2D4EB0" w14:textId="77777777" w:rsidR="00E836FB" w:rsidRDefault="00E836FB">
            <w:pPr>
              <w:rPr>
                <w:rFonts w:ascii="宋体"/>
              </w:rPr>
            </w:pPr>
          </w:p>
        </w:tc>
        <w:tc>
          <w:tcPr>
            <w:tcW w:w="5" w:type="pct"/>
            <w:shd w:val="clear" w:color="auto" w:fill="auto"/>
            <w:vAlign w:val="bottom"/>
          </w:tcPr>
          <w:p w14:paraId="5F2D4EB1" w14:textId="77777777" w:rsidR="00E836FB" w:rsidRDefault="00E836FB">
            <w:pPr>
              <w:rPr>
                <w:rFonts w:ascii="宋体"/>
              </w:rPr>
            </w:pPr>
          </w:p>
        </w:tc>
      </w:tr>
      <w:tr w:rsidR="00E836FB" w14:paraId="5F2D4EB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4EB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EB4" w14:textId="77777777" w:rsidR="00E836FB" w:rsidRDefault="00E836FB">
            <w:pPr>
              <w:rPr>
                <w:rFonts w:ascii="宋体"/>
              </w:rPr>
            </w:pPr>
          </w:p>
        </w:tc>
      </w:tr>
    </w:tbl>
    <w:p w14:paraId="5F2D4EB6" w14:textId="77777777" w:rsidR="00E836FB" w:rsidRDefault="00994958">
      <w:pPr>
        <w:spacing w:before="60"/>
        <w:jc w:val="both"/>
        <w:textAlignment w:val="top"/>
      </w:pPr>
      <w:r>
        <w:rPr>
          <w:rFonts w:ascii="Arial" w:eastAsia="宋体" w:hAnsi="Arial" w:cs="Arial"/>
          <w:color w:val="000000"/>
          <w:sz w:val="9"/>
          <w:szCs w:val="9"/>
        </w:rPr>
        <w:t>(1)</w:t>
      </w:r>
      <w:r>
        <w:rPr>
          <w:rFonts w:ascii="Arial" w:eastAsia="宋体" w:hAnsi="Arial" w:cs="Arial"/>
          <w:color w:val="000000"/>
          <w:sz w:val="14"/>
          <w:szCs w:val="14"/>
        </w:rPr>
        <w:t xml:space="preserve"> Business tax credits include low-income housing, production and investment tax credits.</w:t>
      </w:r>
    </w:p>
    <w:p w14:paraId="5F2D4EB7" w14:textId="77777777" w:rsidR="00E836FB" w:rsidRDefault="00994958">
      <w:pPr>
        <w:spacing w:before="60"/>
        <w:ind w:firstLine="450"/>
        <w:jc w:val="both"/>
        <w:textAlignment w:val="top"/>
      </w:pPr>
      <w:r>
        <w:rPr>
          <w:rFonts w:ascii="Arial" w:eastAsia="宋体" w:hAnsi="Arial" w:cs="Arial"/>
          <w:color w:val="000000"/>
          <w:sz w:val="20"/>
          <w:szCs w:val="20"/>
        </w:rPr>
        <w:t>Beginning in 2018, the TCJA subjects a U.S. shareholder to current tax on Global Intangible Low-Taxed Income (GILTI) earned by certain foreign subsidiaries. We have elected to recognize our tax on GILTI as a period expense in the period the tax is incurred</w:t>
      </w:r>
      <w:r>
        <w:rPr>
          <w:rFonts w:ascii="Arial" w:eastAsia="宋体" w:hAnsi="Arial" w:cs="Arial"/>
          <w:color w:val="000000"/>
          <w:sz w:val="20"/>
          <w:szCs w:val="20"/>
        </w:rPr>
        <w:t>. As such, we have included an estimate of this liability in our estimated annual effective tax rate. This adjustment increased our effective tax rate by 0.1%, 0.2% and 0.3% in 2021, 2020 and 2019, respectively, which is reflected in the prior reconciliati</w:t>
      </w:r>
      <w:r>
        <w:rPr>
          <w:rFonts w:ascii="Arial" w:eastAsia="宋体" w:hAnsi="Arial" w:cs="Arial"/>
          <w:color w:val="000000"/>
          <w:sz w:val="20"/>
          <w:szCs w:val="20"/>
        </w:rPr>
        <w:t xml:space="preserve">on table under "Foreign Tax Credit (Benefits)/Limitations". </w:t>
      </w:r>
    </w:p>
    <w:p w14:paraId="5F2D4EB8" w14:textId="77777777" w:rsidR="00E836FB" w:rsidRDefault="00994958">
      <w:pPr>
        <w:spacing w:before="60"/>
        <w:ind w:firstLine="450"/>
        <w:jc w:val="both"/>
        <w:textAlignment w:val="top"/>
      </w:pPr>
      <w:r>
        <w:rPr>
          <w:rFonts w:ascii="Arial" w:eastAsia="宋体" w:hAnsi="Arial" w:cs="Arial"/>
          <w:color w:val="000000"/>
          <w:sz w:val="20"/>
          <w:szCs w:val="20"/>
        </w:rPr>
        <w:t>Undistributed indefinitely reinvested earnings of certain foreign subsidiaries amounted to approximately $5.5 billion at December 31, 2021. As a result, no provision has been recorded for state a</w:t>
      </w:r>
      <w:r>
        <w:rPr>
          <w:rFonts w:ascii="Arial" w:eastAsia="宋体" w:hAnsi="Arial" w:cs="Arial"/>
          <w:color w:val="000000"/>
          <w:sz w:val="20"/>
          <w:szCs w:val="20"/>
        </w:rPr>
        <w:t xml:space="preserve">nd local or foreign withholding income taxes. If a distribution were to occur, we would be subject to state, local and to foreign withholding tax. It is </w:t>
      </w:r>
    </w:p>
    <w:p w14:paraId="5F2D4EB9" w14:textId="77777777" w:rsidR="00E836FB" w:rsidRDefault="00994958">
      <w:pPr>
        <w:spacing w:before="60"/>
        <w:jc w:val="both"/>
        <w:textAlignment w:val="top"/>
      </w:pPr>
      <w:r>
        <w:rPr>
          <w:rFonts w:ascii="Arial" w:eastAsia="宋体" w:hAnsi="Arial" w:cs="Arial"/>
          <w:color w:val="000000"/>
          <w:sz w:val="20"/>
          <w:szCs w:val="20"/>
        </w:rPr>
        <w:t>expected that any distribution will be exempt from federal income tax. Although the foreign withholdin</w:t>
      </w:r>
      <w:r>
        <w:rPr>
          <w:rFonts w:ascii="Arial" w:eastAsia="宋体" w:hAnsi="Arial" w:cs="Arial"/>
          <w:color w:val="000000"/>
          <w:sz w:val="20"/>
          <w:szCs w:val="20"/>
        </w:rPr>
        <w:t>g tax is generally creditable against U.S. federal income tax, certain credit utilization limitations may result in a net cost.</w:t>
      </w:r>
    </w:p>
    <w:p w14:paraId="5F2D4EBA"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significant components of our gross deferred tax assets and gross deferred tax liabilities as of th</w:t>
      </w:r>
      <w:r>
        <w:rPr>
          <w:rFonts w:ascii="Arial" w:eastAsia="宋体" w:hAnsi="Arial" w:cs="Arial"/>
          <w:color w:val="000000"/>
          <w:sz w:val="20"/>
          <w:szCs w:val="20"/>
        </w:rPr>
        <w:t xml:space="preserve">e dates indicated: </w:t>
      </w:r>
    </w:p>
    <w:tbl>
      <w:tblPr>
        <w:tblW w:w="4969" w:type="pct"/>
        <w:tblCellMar>
          <w:top w:w="15" w:type="dxa"/>
          <w:left w:w="15" w:type="dxa"/>
          <w:bottom w:w="15" w:type="dxa"/>
          <w:right w:w="15" w:type="dxa"/>
        </w:tblCellMar>
        <w:tblLook w:val="04A0" w:firstRow="1" w:lastRow="0" w:firstColumn="1" w:lastColumn="0" w:noHBand="0" w:noVBand="1"/>
      </w:tblPr>
      <w:tblGrid>
        <w:gridCol w:w="48"/>
        <w:gridCol w:w="4830"/>
        <w:gridCol w:w="38"/>
        <w:gridCol w:w="98"/>
        <w:gridCol w:w="1474"/>
        <w:gridCol w:w="36"/>
        <w:gridCol w:w="36"/>
        <w:gridCol w:w="80"/>
        <w:gridCol w:w="36"/>
        <w:gridCol w:w="98"/>
        <w:gridCol w:w="1474"/>
        <w:gridCol w:w="36"/>
      </w:tblGrid>
      <w:tr w:rsidR="00E836FB" w14:paraId="5F2D4EC7" w14:textId="77777777">
        <w:tc>
          <w:tcPr>
            <w:tcW w:w="50" w:type="pct"/>
            <w:shd w:val="clear" w:color="auto" w:fill="auto"/>
            <w:vAlign w:val="bottom"/>
          </w:tcPr>
          <w:p w14:paraId="5F2D4EBB" w14:textId="77777777" w:rsidR="00E836FB" w:rsidRDefault="00E836FB">
            <w:pPr>
              <w:rPr>
                <w:rFonts w:ascii="宋体"/>
              </w:rPr>
            </w:pPr>
          </w:p>
        </w:tc>
        <w:tc>
          <w:tcPr>
            <w:tcW w:w="2935" w:type="pct"/>
            <w:shd w:val="clear" w:color="auto" w:fill="auto"/>
            <w:vAlign w:val="bottom"/>
          </w:tcPr>
          <w:p w14:paraId="5F2D4EBC" w14:textId="77777777" w:rsidR="00E836FB" w:rsidRDefault="00E836FB">
            <w:pPr>
              <w:rPr>
                <w:rFonts w:ascii="宋体"/>
              </w:rPr>
            </w:pPr>
          </w:p>
        </w:tc>
        <w:tc>
          <w:tcPr>
            <w:tcW w:w="5" w:type="pct"/>
            <w:shd w:val="clear" w:color="auto" w:fill="auto"/>
            <w:vAlign w:val="bottom"/>
          </w:tcPr>
          <w:p w14:paraId="5F2D4EBD" w14:textId="77777777" w:rsidR="00E836FB" w:rsidRDefault="00E836FB">
            <w:pPr>
              <w:rPr>
                <w:rFonts w:ascii="宋体"/>
              </w:rPr>
            </w:pPr>
          </w:p>
        </w:tc>
        <w:tc>
          <w:tcPr>
            <w:tcW w:w="50" w:type="pct"/>
            <w:shd w:val="clear" w:color="auto" w:fill="auto"/>
            <w:vAlign w:val="bottom"/>
          </w:tcPr>
          <w:p w14:paraId="5F2D4EBE" w14:textId="77777777" w:rsidR="00E836FB" w:rsidRDefault="00E836FB">
            <w:pPr>
              <w:rPr>
                <w:rFonts w:ascii="宋体"/>
              </w:rPr>
            </w:pPr>
          </w:p>
        </w:tc>
        <w:tc>
          <w:tcPr>
            <w:tcW w:w="910" w:type="pct"/>
            <w:shd w:val="clear" w:color="auto" w:fill="auto"/>
            <w:vAlign w:val="bottom"/>
          </w:tcPr>
          <w:p w14:paraId="5F2D4EBF" w14:textId="77777777" w:rsidR="00E836FB" w:rsidRDefault="00E836FB">
            <w:pPr>
              <w:rPr>
                <w:rFonts w:ascii="宋体"/>
              </w:rPr>
            </w:pPr>
          </w:p>
        </w:tc>
        <w:tc>
          <w:tcPr>
            <w:tcW w:w="5" w:type="pct"/>
            <w:shd w:val="clear" w:color="auto" w:fill="auto"/>
            <w:vAlign w:val="bottom"/>
          </w:tcPr>
          <w:p w14:paraId="5F2D4EC0" w14:textId="77777777" w:rsidR="00E836FB" w:rsidRDefault="00E836FB">
            <w:pPr>
              <w:rPr>
                <w:rFonts w:ascii="宋体"/>
              </w:rPr>
            </w:pPr>
          </w:p>
        </w:tc>
        <w:tc>
          <w:tcPr>
            <w:tcW w:w="5" w:type="pct"/>
            <w:shd w:val="clear" w:color="auto" w:fill="auto"/>
            <w:vAlign w:val="bottom"/>
          </w:tcPr>
          <w:p w14:paraId="5F2D4EC1" w14:textId="77777777" w:rsidR="00E836FB" w:rsidRDefault="00E836FB">
            <w:pPr>
              <w:rPr>
                <w:rFonts w:ascii="宋体"/>
              </w:rPr>
            </w:pPr>
          </w:p>
        </w:tc>
        <w:tc>
          <w:tcPr>
            <w:tcW w:w="69" w:type="pct"/>
            <w:shd w:val="clear" w:color="auto" w:fill="auto"/>
            <w:vAlign w:val="bottom"/>
          </w:tcPr>
          <w:p w14:paraId="5F2D4EC2" w14:textId="77777777" w:rsidR="00E836FB" w:rsidRDefault="00E836FB">
            <w:pPr>
              <w:rPr>
                <w:rFonts w:ascii="宋体"/>
              </w:rPr>
            </w:pPr>
          </w:p>
        </w:tc>
        <w:tc>
          <w:tcPr>
            <w:tcW w:w="5" w:type="pct"/>
            <w:shd w:val="clear" w:color="auto" w:fill="auto"/>
            <w:vAlign w:val="bottom"/>
          </w:tcPr>
          <w:p w14:paraId="5F2D4EC3" w14:textId="77777777" w:rsidR="00E836FB" w:rsidRDefault="00E836FB">
            <w:pPr>
              <w:rPr>
                <w:rFonts w:ascii="宋体"/>
              </w:rPr>
            </w:pPr>
          </w:p>
        </w:tc>
        <w:tc>
          <w:tcPr>
            <w:tcW w:w="50" w:type="pct"/>
            <w:shd w:val="clear" w:color="auto" w:fill="auto"/>
            <w:vAlign w:val="bottom"/>
          </w:tcPr>
          <w:p w14:paraId="5F2D4EC4" w14:textId="77777777" w:rsidR="00E836FB" w:rsidRDefault="00E836FB">
            <w:pPr>
              <w:rPr>
                <w:rFonts w:ascii="宋体"/>
              </w:rPr>
            </w:pPr>
          </w:p>
        </w:tc>
        <w:tc>
          <w:tcPr>
            <w:tcW w:w="910" w:type="pct"/>
            <w:shd w:val="clear" w:color="auto" w:fill="auto"/>
            <w:vAlign w:val="bottom"/>
          </w:tcPr>
          <w:p w14:paraId="5F2D4EC5" w14:textId="77777777" w:rsidR="00E836FB" w:rsidRDefault="00E836FB">
            <w:pPr>
              <w:rPr>
                <w:rFonts w:ascii="宋体"/>
              </w:rPr>
            </w:pPr>
          </w:p>
        </w:tc>
        <w:tc>
          <w:tcPr>
            <w:tcW w:w="5" w:type="pct"/>
            <w:shd w:val="clear" w:color="auto" w:fill="auto"/>
            <w:vAlign w:val="bottom"/>
          </w:tcPr>
          <w:p w14:paraId="5F2D4EC6" w14:textId="77777777" w:rsidR="00E836FB" w:rsidRDefault="00E836FB">
            <w:pPr>
              <w:rPr>
                <w:rFonts w:ascii="宋体"/>
              </w:rPr>
            </w:pPr>
          </w:p>
        </w:tc>
      </w:tr>
      <w:tr w:rsidR="00E836FB" w14:paraId="5F2D4ECA" w14:textId="77777777">
        <w:tc>
          <w:tcPr>
            <w:tcW w:w="0" w:type="auto"/>
            <w:gridSpan w:val="3"/>
            <w:shd w:val="clear" w:color="auto" w:fill="auto"/>
            <w:tcMar>
              <w:top w:w="0" w:type="dxa"/>
              <w:left w:w="20" w:type="dxa"/>
              <w:bottom w:w="0" w:type="dxa"/>
              <w:right w:w="20" w:type="dxa"/>
            </w:tcMar>
            <w:vAlign w:val="bottom"/>
          </w:tcPr>
          <w:p w14:paraId="5F2D4EC8"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D4EC9" w14:textId="77777777" w:rsidR="00E836FB" w:rsidRDefault="00994958">
            <w:pPr>
              <w:jc w:val="center"/>
              <w:textAlignment w:val="bottom"/>
            </w:pPr>
            <w:r>
              <w:rPr>
                <w:rFonts w:ascii="Arial" w:eastAsia="宋体" w:hAnsi="Arial" w:cs="Arial"/>
                <w:b/>
                <w:bCs/>
                <w:color w:val="000000"/>
                <w:sz w:val="14"/>
                <w:szCs w:val="14"/>
              </w:rPr>
              <w:t>December 31,</w:t>
            </w:r>
          </w:p>
        </w:tc>
      </w:tr>
      <w:tr w:rsidR="00E836FB" w14:paraId="5F2D4ECF" w14:textId="77777777">
        <w:tc>
          <w:tcPr>
            <w:tcW w:w="0" w:type="auto"/>
            <w:gridSpan w:val="3"/>
            <w:shd w:val="clear" w:color="auto" w:fill="auto"/>
            <w:tcMar>
              <w:top w:w="40" w:type="dxa"/>
              <w:left w:w="20" w:type="dxa"/>
              <w:bottom w:w="40" w:type="dxa"/>
              <w:right w:w="20" w:type="dxa"/>
            </w:tcMar>
            <w:vAlign w:val="bottom"/>
          </w:tcPr>
          <w:p w14:paraId="5F2D4ECB"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ECC"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EC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ECE" w14:textId="77777777" w:rsidR="00E836FB" w:rsidRDefault="00994958">
            <w:pPr>
              <w:jc w:val="center"/>
              <w:textAlignment w:val="bottom"/>
            </w:pPr>
            <w:r>
              <w:rPr>
                <w:rFonts w:ascii="Arial" w:eastAsia="宋体" w:hAnsi="Arial" w:cs="Arial"/>
                <w:b/>
                <w:bCs/>
                <w:color w:val="000000"/>
                <w:sz w:val="14"/>
                <w:szCs w:val="14"/>
              </w:rPr>
              <w:t>2020</w:t>
            </w:r>
          </w:p>
        </w:tc>
      </w:tr>
      <w:tr w:rsidR="00E836FB" w14:paraId="5F2D4ED4" w14:textId="77777777">
        <w:tc>
          <w:tcPr>
            <w:tcW w:w="0" w:type="auto"/>
            <w:gridSpan w:val="3"/>
            <w:shd w:val="clear" w:color="auto" w:fill="auto"/>
            <w:tcMar>
              <w:top w:w="40" w:type="dxa"/>
              <w:left w:w="20" w:type="dxa"/>
              <w:bottom w:w="40" w:type="dxa"/>
              <w:right w:w="20" w:type="dxa"/>
            </w:tcMar>
            <w:vAlign w:val="bottom"/>
          </w:tcPr>
          <w:p w14:paraId="5F2D4ED0" w14:textId="77777777" w:rsidR="00E836FB" w:rsidRDefault="00994958">
            <w:pPr>
              <w:textAlignment w:val="bottom"/>
            </w:pPr>
            <w:r>
              <w:rPr>
                <w:rFonts w:ascii="Arial" w:eastAsia="宋体" w:hAnsi="Arial" w:cs="Arial"/>
                <w:b/>
                <w:bCs/>
                <w:color w:val="000000"/>
                <w:sz w:val="14"/>
                <w:szCs w:val="14"/>
              </w:rPr>
              <w:t>Deferred tax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ED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4ED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ED3" w14:textId="77777777" w:rsidR="00E836FB" w:rsidRDefault="00E836FB">
            <w:pPr>
              <w:rPr>
                <w:rFonts w:ascii="宋体"/>
              </w:rPr>
            </w:pPr>
          </w:p>
        </w:tc>
      </w:tr>
      <w:tr w:rsidR="00E836FB" w14:paraId="5F2D4EDD" w14:textId="77777777">
        <w:tc>
          <w:tcPr>
            <w:tcW w:w="0" w:type="auto"/>
            <w:gridSpan w:val="3"/>
            <w:shd w:val="clear" w:color="auto" w:fill="CCEEFF"/>
            <w:tcMar>
              <w:top w:w="40" w:type="dxa"/>
              <w:left w:w="20" w:type="dxa"/>
              <w:bottom w:w="40" w:type="dxa"/>
              <w:right w:w="20" w:type="dxa"/>
            </w:tcMar>
            <w:vAlign w:val="bottom"/>
          </w:tcPr>
          <w:p w14:paraId="5F2D4ED5" w14:textId="77777777" w:rsidR="00E836FB" w:rsidRDefault="00994958">
            <w:pPr>
              <w:textAlignment w:val="bottom"/>
            </w:pPr>
            <w:r>
              <w:rPr>
                <w:rFonts w:ascii="Arial" w:eastAsia="宋体" w:hAnsi="Arial" w:cs="Arial"/>
                <w:color w:val="000000"/>
                <w:sz w:val="14"/>
                <w:szCs w:val="14"/>
              </w:rPr>
              <w:t>Other amortizable assets</w:t>
            </w:r>
          </w:p>
        </w:tc>
        <w:tc>
          <w:tcPr>
            <w:tcW w:w="0" w:type="auto"/>
            <w:shd w:val="clear" w:color="auto" w:fill="CCEEFF"/>
            <w:tcMar>
              <w:top w:w="40" w:type="dxa"/>
              <w:left w:w="20" w:type="dxa"/>
              <w:bottom w:w="40" w:type="dxa"/>
              <w:right w:w="0" w:type="dxa"/>
            </w:tcMar>
            <w:vAlign w:val="bottom"/>
          </w:tcPr>
          <w:p w14:paraId="5F2D4ED6"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4ED7" w14:textId="77777777" w:rsidR="00E836FB" w:rsidRDefault="00994958">
            <w:pPr>
              <w:jc w:val="right"/>
              <w:textAlignment w:val="bottom"/>
            </w:pPr>
            <w:r>
              <w:rPr>
                <w:rFonts w:ascii="Arial" w:eastAsia="宋体" w:hAnsi="Arial" w:cs="Arial"/>
                <w:b/>
                <w:bCs/>
                <w:color w:val="000000"/>
                <w:sz w:val="14"/>
                <w:szCs w:val="14"/>
              </w:rPr>
              <w:t>323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D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4ED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4EDB" w14:textId="77777777" w:rsidR="00E836FB" w:rsidRDefault="00994958">
            <w:pPr>
              <w:jc w:val="right"/>
              <w:textAlignment w:val="bottom"/>
            </w:pPr>
            <w:r>
              <w:rPr>
                <w:rFonts w:ascii="Arial" w:eastAsia="宋体" w:hAnsi="Arial" w:cs="Arial"/>
                <w:color w:val="000000"/>
                <w:sz w:val="14"/>
                <w:szCs w:val="14"/>
              </w:rPr>
              <w:t>385 </w:t>
            </w:r>
          </w:p>
        </w:tc>
        <w:tc>
          <w:tcPr>
            <w:tcW w:w="0" w:type="auto"/>
            <w:shd w:val="clear" w:color="auto" w:fill="CCEEFF"/>
            <w:tcMar>
              <w:top w:w="40" w:type="dxa"/>
              <w:left w:w="0" w:type="dxa"/>
              <w:bottom w:w="40" w:type="dxa"/>
              <w:right w:w="20" w:type="dxa"/>
            </w:tcMar>
            <w:vAlign w:val="bottom"/>
          </w:tcPr>
          <w:p w14:paraId="5F2D4EDC" w14:textId="77777777" w:rsidR="00E836FB" w:rsidRDefault="00E836FB">
            <w:pPr>
              <w:jc w:val="right"/>
              <w:rPr>
                <w:rFonts w:ascii="宋体"/>
              </w:rPr>
            </w:pPr>
          </w:p>
        </w:tc>
      </w:tr>
      <w:tr w:rsidR="00E836FB" w14:paraId="5F2D4EE4" w14:textId="77777777">
        <w:tc>
          <w:tcPr>
            <w:tcW w:w="0" w:type="auto"/>
            <w:gridSpan w:val="3"/>
            <w:shd w:val="clear" w:color="auto" w:fill="FFFFFF"/>
            <w:tcMar>
              <w:top w:w="40" w:type="dxa"/>
              <w:left w:w="20" w:type="dxa"/>
              <w:bottom w:w="40" w:type="dxa"/>
              <w:right w:w="20" w:type="dxa"/>
            </w:tcMar>
            <w:vAlign w:val="bottom"/>
          </w:tcPr>
          <w:p w14:paraId="5F2D4EDE" w14:textId="77777777" w:rsidR="00E836FB" w:rsidRDefault="00994958">
            <w:pPr>
              <w:textAlignment w:val="bottom"/>
            </w:pPr>
            <w:r>
              <w:rPr>
                <w:rFonts w:ascii="Arial" w:eastAsia="宋体" w:hAnsi="Arial" w:cs="Arial"/>
                <w:color w:val="000000"/>
                <w:sz w:val="14"/>
                <w:szCs w:val="14"/>
              </w:rPr>
              <w:t>Tax credit carryforwards</w:t>
            </w:r>
          </w:p>
        </w:tc>
        <w:tc>
          <w:tcPr>
            <w:tcW w:w="0" w:type="auto"/>
            <w:gridSpan w:val="2"/>
            <w:shd w:val="clear" w:color="auto" w:fill="FFFFFF"/>
            <w:tcMar>
              <w:top w:w="40" w:type="dxa"/>
              <w:left w:w="20" w:type="dxa"/>
              <w:bottom w:w="40" w:type="dxa"/>
              <w:right w:w="0" w:type="dxa"/>
            </w:tcMar>
            <w:vAlign w:val="bottom"/>
          </w:tcPr>
          <w:p w14:paraId="5F2D4EDF" w14:textId="77777777" w:rsidR="00E836FB" w:rsidRDefault="00994958">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E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E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E2" w14:textId="77777777" w:rsidR="00E836FB" w:rsidRDefault="00994958">
            <w:pPr>
              <w:jc w:val="right"/>
              <w:textAlignment w:val="bottom"/>
            </w:pPr>
            <w:r>
              <w:rPr>
                <w:rFonts w:ascii="Arial" w:eastAsia="宋体" w:hAnsi="Arial" w:cs="Arial"/>
                <w:color w:val="000000"/>
                <w:sz w:val="14"/>
                <w:szCs w:val="14"/>
              </w:rPr>
              <w:t>564 </w:t>
            </w:r>
          </w:p>
        </w:tc>
        <w:tc>
          <w:tcPr>
            <w:tcW w:w="0" w:type="auto"/>
            <w:shd w:val="clear" w:color="auto" w:fill="FFFFFF"/>
            <w:tcMar>
              <w:top w:w="40" w:type="dxa"/>
              <w:left w:w="0" w:type="dxa"/>
              <w:bottom w:w="40" w:type="dxa"/>
              <w:right w:w="20" w:type="dxa"/>
            </w:tcMar>
            <w:vAlign w:val="bottom"/>
          </w:tcPr>
          <w:p w14:paraId="5F2D4EE3" w14:textId="77777777" w:rsidR="00E836FB" w:rsidRDefault="00E836FB">
            <w:pPr>
              <w:jc w:val="right"/>
              <w:rPr>
                <w:rFonts w:ascii="宋体"/>
              </w:rPr>
            </w:pPr>
          </w:p>
        </w:tc>
      </w:tr>
      <w:tr w:rsidR="00E836FB" w14:paraId="5F2D4EEB" w14:textId="77777777">
        <w:tc>
          <w:tcPr>
            <w:tcW w:w="0" w:type="auto"/>
            <w:gridSpan w:val="3"/>
            <w:shd w:val="clear" w:color="auto" w:fill="CCEEFF"/>
            <w:tcMar>
              <w:top w:w="40" w:type="dxa"/>
              <w:left w:w="20" w:type="dxa"/>
              <w:bottom w:w="40" w:type="dxa"/>
              <w:right w:w="20" w:type="dxa"/>
            </w:tcMar>
            <w:vAlign w:val="bottom"/>
          </w:tcPr>
          <w:p w14:paraId="5F2D4EE5" w14:textId="77777777" w:rsidR="00E836FB" w:rsidRDefault="00994958">
            <w:pPr>
              <w:textAlignment w:val="bottom"/>
            </w:pPr>
            <w:r>
              <w:rPr>
                <w:rFonts w:ascii="Arial" w:eastAsia="宋体" w:hAnsi="Arial" w:cs="Arial"/>
                <w:color w:val="000000"/>
                <w:sz w:val="14"/>
                <w:szCs w:val="14"/>
              </w:rPr>
              <w:t>Lease obligations</w:t>
            </w:r>
          </w:p>
        </w:tc>
        <w:tc>
          <w:tcPr>
            <w:tcW w:w="0" w:type="auto"/>
            <w:gridSpan w:val="2"/>
            <w:shd w:val="clear" w:color="auto" w:fill="CCEEFF"/>
            <w:tcMar>
              <w:top w:w="40" w:type="dxa"/>
              <w:left w:w="20" w:type="dxa"/>
              <w:bottom w:w="40" w:type="dxa"/>
              <w:right w:w="0" w:type="dxa"/>
            </w:tcMar>
            <w:vAlign w:val="bottom"/>
          </w:tcPr>
          <w:p w14:paraId="5F2D4EE6" w14:textId="77777777" w:rsidR="00E836FB" w:rsidRDefault="00994958">
            <w:pPr>
              <w:jc w:val="right"/>
              <w:textAlignment w:val="bottom"/>
            </w:pPr>
            <w:r>
              <w:rPr>
                <w:rFonts w:ascii="Arial" w:eastAsia="宋体" w:hAnsi="Arial" w:cs="Arial"/>
                <w:b/>
                <w:bCs/>
                <w:color w:val="000000"/>
                <w:sz w:val="14"/>
                <w:szCs w:val="14"/>
              </w:rPr>
              <w:t>217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E9" w14:textId="77777777" w:rsidR="00E836FB" w:rsidRDefault="00994958">
            <w:pPr>
              <w:jc w:val="right"/>
              <w:textAlignment w:val="bottom"/>
            </w:pPr>
            <w:r>
              <w:rPr>
                <w:rFonts w:ascii="Arial" w:eastAsia="宋体" w:hAnsi="Arial" w:cs="Arial"/>
                <w:color w:val="000000"/>
                <w:sz w:val="14"/>
                <w:szCs w:val="14"/>
              </w:rPr>
              <w:t>243 </w:t>
            </w:r>
          </w:p>
        </w:tc>
        <w:tc>
          <w:tcPr>
            <w:tcW w:w="0" w:type="auto"/>
            <w:shd w:val="clear" w:color="auto" w:fill="CCEEFF"/>
            <w:tcMar>
              <w:top w:w="40" w:type="dxa"/>
              <w:left w:w="0" w:type="dxa"/>
              <w:bottom w:w="40" w:type="dxa"/>
              <w:right w:w="20" w:type="dxa"/>
            </w:tcMar>
            <w:vAlign w:val="bottom"/>
          </w:tcPr>
          <w:p w14:paraId="5F2D4EEA" w14:textId="77777777" w:rsidR="00E836FB" w:rsidRDefault="00E836FB">
            <w:pPr>
              <w:jc w:val="right"/>
              <w:rPr>
                <w:rFonts w:ascii="宋体"/>
              </w:rPr>
            </w:pPr>
          </w:p>
        </w:tc>
      </w:tr>
      <w:tr w:rsidR="00E836FB" w14:paraId="5F2D4EF2" w14:textId="77777777">
        <w:tc>
          <w:tcPr>
            <w:tcW w:w="0" w:type="auto"/>
            <w:gridSpan w:val="3"/>
            <w:shd w:val="clear" w:color="auto" w:fill="FFFFFF"/>
            <w:tcMar>
              <w:top w:w="40" w:type="dxa"/>
              <w:left w:w="20" w:type="dxa"/>
              <w:bottom w:w="40" w:type="dxa"/>
              <w:right w:w="20" w:type="dxa"/>
            </w:tcMar>
            <w:vAlign w:val="bottom"/>
          </w:tcPr>
          <w:p w14:paraId="5F2D4EEC" w14:textId="77777777" w:rsidR="00E836FB" w:rsidRDefault="00994958">
            <w:pPr>
              <w:textAlignment w:val="bottom"/>
            </w:pPr>
            <w:r>
              <w:rPr>
                <w:rFonts w:ascii="Arial" w:eastAsia="宋体" w:hAnsi="Arial" w:cs="Arial"/>
                <w:color w:val="000000"/>
                <w:sz w:val="14"/>
                <w:szCs w:val="14"/>
              </w:rPr>
              <w:t>Deferred compensation</w:t>
            </w:r>
          </w:p>
        </w:tc>
        <w:tc>
          <w:tcPr>
            <w:tcW w:w="0" w:type="auto"/>
            <w:gridSpan w:val="2"/>
            <w:shd w:val="clear" w:color="auto" w:fill="FFFFFF"/>
            <w:tcMar>
              <w:top w:w="40" w:type="dxa"/>
              <w:left w:w="20" w:type="dxa"/>
              <w:bottom w:w="40" w:type="dxa"/>
              <w:right w:w="0" w:type="dxa"/>
            </w:tcMar>
            <w:vAlign w:val="bottom"/>
          </w:tcPr>
          <w:p w14:paraId="5F2D4EED" w14:textId="77777777" w:rsidR="00E836FB" w:rsidRDefault="00994958">
            <w:pPr>
              <w:jc w:val="right"/>
              <w:textAlignment w:val="bottom"/>
            </w:pPr>
            <w:r>
              <w:rPr>
                <w:rFonts w:ascii="Arial" w:eastAsia="宋体" w:hAnsi="Arial" w:cs="Arial"/>
                <w:b/>
                <w:bCs/>
                <w:color w:val="000000"/>
                <w:sz w:val="14"/>
                <w:szCs w:val="14"/>
              </w:rPr>
              <w:t>158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E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F0" w14:textId="77777777" w:rsidR="00E836FB" w:rsidRDefault="00994958">
            <w:pPr>
              <w:jc w:val="right"/>
              <w:textAlignment w:val="bottom"/>
            </w:pPr>
            <w:r>
              <w:rPr>
                <w:rFonts w:ascii="Arial" w:eastAsia="宋体" w:hAnsi="Arial" w:cs="Arial"/>
                <w:color w:val="000000"/>
                <w:sz w:val="14"/>
                <w:szCs w:val="14"/>
              </w:rPr>
              <w:t>110 </w:t>
            </w:r>
          </w:p>
        </w:tc>
        <w:tc>
          <w:tcPr>
            <w:tcW w:w="0" w:type="auto"/>
            <w:shd w:val="clear" w:color="auto" w:fill="FFFFFF"/>
            <w:tcMar>
              <w:top w:w="40" w:type="dxa"/>
              <w:left w:w="0" w:type="dxa"/>
              <w:bottom w:w="40" w:type="dxa"/>
              <w:right w:w="20" w:type="dxa"/>
            </w:tcMar>
            <w:vAlign w:val="bottom"/>
          </w:tcPr>
          <w:p w14:paraId="5F2D4EF1" w14:textId="77777777" w:rsidR="00E836FB" w:rsidRDefault="00E836FB">
            <w:pPr>
              <w:jc w:val="right"/>
              <w:rPr>
                <w:rFonts w:ascii="宋体"/>
              </w:rPr>
            </w:pPr>
          </w:p>
        </w:tc>
      </w:tr>
      <w:tr w:rsidR="00E836FB" w14:paraId="5F2D4EF9" w14:textId="77777777">
        <w:tc>
          <w:tcPr>
            <w:tcW w:w="0" w:type="auto"/>
            <w:gridSpan w:val="3"/>
            <w:shd w:val="clear" w:color="auto" w:fill="CCEEFF"/>
            <w:tcMar>
              <w:top w:w="40" w:type="dxa"/>
              <w:left w:w="20" w:type="dxa"/>
              <w:bottom w:w="40" w:type="dxa"/>
              <w:right w:w="20" w:type="dxa"/>
            </w:tcMar>
            <w:vAlign w:val="bottom"/>
          </w:tcPr>
          <w:p w14:paraId="5F2D4EF3" w14:textId="77777777" w:rsidR="00E836FB" w:rsidRDefault="00994958">
            <w:pPr>
              <w:textAlignment w:val="bottom"/>
            </w:pPr>
            <w:r>
              <w:rPr>
                <w:rFonts w:ascii="Arial" w:eastAsia="宋体" w:hAnsi="Arial" w:cs="Arial"/>
                <w:color w:val="000000"/>
                <w:sz w:val="14"/>
                <w:szCs w:val="14"/>
              </w:rPr>
              <w:t>Restructuring charges and other reserves</w:t>
            </w:r>
          </w:p>
        </w:tc>
        <w:tc>
          <w:tcPr>
            <w:tcW w:w="0" w:type="auto"/>
            <w:gridSpan w:val="2"/>
            <w:shd w:val="clear" w:color="auto" w:fill="CCEEFF"/>
            <w:tcMar>
              <w:top w:w="40" w:type="dxa"/>
              <w:left w:w="20" w:type="dxa"/>
              <w:bottom w:w="40" w:type="dxa"/>
              <w:right w:w="0" w:type="dxa"/>
            </w:tcMar>
            <w:vAlign w:val="bottom"/>
          </w:tcPr>
          <w:p w14:paraId="5F2D4EF4" w14:textId="77777777" w:rsidR="00E836FB" w:rsidRDefault="00994958">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E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E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EF7" w14:textId="77777777" w:rsidR="00E836FB" w:rsidRDefault="00994958">
            <w:pPr>
              <w:jc w:val="right"/>
              <w:textAlignment w:val="bottom"/>
            </w:pPr>
            <w:r>
              <w:rPr>
                <w:rFonts w:ascii="Arial" w:eastAsia="宋体" w:hAnsi="Arial" w:cs="Arial"/>
                <w:color w:val="000000"/>
                <w:sz w:val="14"/>
                <w:szCs w:val="14"/>
              </w:rPr>
              <w:t>114 </w:t>
            </w:r>
          </w:p>
        </w:tc>
        <w:tc>
          <w:tcPr>
            <w:tcW w:w="0" w:type="auto"/>
            <w:shd w:val="clear" w:color="auto" w:fill="CCEEFF"/>
            <w:tcMar>
              <w:top w:w="40" w:type="dxa"/>
              <w:left w:w="0" w:type="dxa"/>
              <w:bottom w:w="40" w:type="dxa"/>
              <w:right w:w="20" w:type="dxa"/>
            </w:tcMar>
            <w:vAlign w:val="bottom"/>
          </w:tcPr>
          <w:p w14:paraId="5F2D4EF8" w14:textId="77777777" w:rsidR="00E836FB" w:rsidRDefault="00E836FB">
            <w:pPr>
              <w:jc w:val="right"/>
              <w:rPr>
                <w:rFonts w:ascii="宋体"/>
              </w:rPr>
            </w:pPr>
          </w:p>
        </w:tc>
      </w:tr>
      <w:tr w:rsidR="00E836FB" w14:paraId="5F2D4F00" w14:textId="77777777">
        <w:tc>
          <w:tcPr>
            <w:tcW w:w="0" w:type="auto"/>
            <w:gridSpan w:val="3"/>
            <w:shd w:val="clear" w:color="auto" w:fill="FFFFFF"/>
            <w:tcMar>
              <w:top w:w="40" w:type="dxa"/>
              <w:left w:w="20" w:type="dxa"/>
              <w:bottom w:w="40" w:type="dxa"/>
              <w:right w:w="20" w:type="dxa"/>
            </w:tcMar>
            <w:vAlign w:val="bottom"/>
          </w:tcPr>
          <w:p w14:paraId="5F2D4EFA" w14:textId="77777777" w:rsidR="00E836FB" w:rsidRDefault="00994958">
            <w:pPr>
              <w:textAlignment w:val="bottom"/>
            </w:pPr>
            <w:r>
              <w:rPr>
                <w:rFonts w:ascii="Arial" w:eastAsia="宋体" w:hAnsi="Arial" w:cs="Arial"/>
                <w:color w:val="000000"/>
                <w:sz w:val="14"/>
                <w:szCs w:val="14"/>
              </w:rPr>
              <w:t>NOL and other carryforwards</w:t>
            </w:r>
          </w:p>
        </w:tc>
        <w:tc>
          <w:tcPr>
            <w:tcW w:w="0" w:type="auto"/>
            <w:gridSpan w:val="2"/>
            <w:shd w:val="clear" w:color="auto" w:fill="FFFFFF"/>
            <w:tcMar>
              <w:top w:w="40" w:type="dxa"/>
              <w:left w:w="20" w:type="dxa"/>
              <w:bottom w:w="40" w:type="dxa"/>
              <w:right w:w="0" w:type="dxa"/>
            </w:tcMar>
            <w:vAlign w:val="bottom"/>
          </w:tcPr>
          <w:p w14:paraId="5F2D4EFB" w14:textId="77777777" w:rsidR="00E836FB" w:rsidRDefault="00994958">
            <w:pPr>
              <w:jc w:val="right"/>
              <w:textAlignment w:val="bottom"/>
            </w:pPr>
            <w:r>
              <w:rPr>
                <w:rFonts w:ascii="Arial" w:eastAsia="宋体" w:hAnsi="Arial" w:cs="Arial"/>
                <w:b/>
                <w:bCs/>
                <w:color w:val="000000"/>
                <w:sz w:val="14"/>
                <w:szCs w:val="14"/>
              </w:rPr>
              <w:t>118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E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E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EFE" w14:textId="77777777" w:rsidR="00E836FB" w:rsidRDefault="00994958">
            <w:pPr>
              <w:jc w:val="right"/>
              <w:textAlignment w:val="bottom"/>
            </w:pPr>
            <w:r>
              <w:rPr>
                <w:rFonts w:ascii="Arial" w:eastAsia="宋体" w:hAnsi="Arial" w:cs="Arial"/>
                <w:color w:val="000000"/>
                <w:sz w:val="14"/>
                <w:szCs w:val="14"/>
              </w:rPr>
              <w:t>101 </w:t>
            </w:r>
          </w:p>
        </w:tc>
        <w:tc>
          <w:tcPr>
            <w:tcW w:w="0" w:type="auto"/>
            <w:shd w:val="clear" w:color="auto" w:fill="FFFFFF"/>
            <w:tcMar>
              <w:top w:w="40" w:type="dxa"/>
              <w:left w:w="0" w:type="dxa"/>
              <w:bottom w:w="40" w:type="dxa"/>
              <w:right w:w="20" w:type="dxa"/>
            </w:tcMar>
            <w:vAlign w:val="bottom"/>
          </w:tcPr>
          <w:p w14:paraId="5F2D4EFF" w14:textId="77777777" w:rsidR="00E836FB" w:rsidRDefault="00E836FB">
            <w:pPr>
              <w:jc w:val="right"/>
              <w:rPr>
                <w:rFonts w:ascii="宋体"/>
              </w:rPr>
            </w:pPr>
          </w:p>
        </w:tc>
      </w:tr>
      <w:tr w:rsidR="00E836FB" w14:paraId="5F2D4F07" w14:textId="77777777">
        <w:tc>
          <w:tcPr>
            <w:tcW w:w="0" w:type="auto"/>
            <w:gridSpan w:val="3"/>
            <w:shd w:val="clear" w:color="auto" w:fill="CCEEFF"/>
            <w:tcMar>
              <w:top w:w="40" w:type="dxa"/>
              <w:left w:w="20" w:type="dxa"/>
              <w:bottom w:w="40" w:type="dxa"/>
              <w:right w:w="20" w:type="dxa"/>
            </w:tcMar>
            <w:vAlign w:val="bottom"/>
          </w:tcPr>
          <w:p w14:paraId="5F2D4F01" w14:textId="77777777" w:rsidR="00E836FB" w:rsidRDefault="00994958">
            <w:pPr>
              <w:textAlignment w:val="bottom"/>
            </w:pPr>
            <w:r>
              <w:rPr>
                <w:rFonts w:ascii="Arial" w:eastAsia="宋体" w:hAnsi="Arial" w:cs="Arial"/>
                <w:color w:val="000000"/>
                <w:sz w:val="14"/>
                <w:szCs w:val="14"/>
              </w:rPr>
              <w:t>Pension plan</w:t>
            </w:r>
          </w:p>
        </w:tc>
        <w:tc>
          <w:tcPr>
            <w:tcW w:w="0" w:type="auto"/>
            <w:gridSpan w:val="2"/>
            <w:shd w:val="clear" w:color="auto" w:fill="CCEEFF"/>
            <w:tcMar>
              <w:top w:w="40" w:type="dxa"/>
              <w:left w:w="20" w:type="dxa"/>
              <w:bottom w:w="40" w:type="dxa"/>
              <w:right w:w="0" w:type="dxa"/>
            </w:tcMar>
            <w:vAlign w:val="bottom"/>
          </w:tcPr>
          <w:p w14:paraId="5F2D4F02" w14:textId="77777777" w:rsidR="00E836FB" w:rsidRDefault="00994958">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F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F05" w14:textId="77777777" w:rsidR="00E836FB" w:rsidRDefault="00994958">
            <w:pPr>
              <w:jc w:val="right"/>
              <w:textAlignment w:val="bottom"/>
            </w:pPr>
            <w:r>
              <w:rPr>
                <w:rFonts w:ascii="Arial" w:eastAsia="宋体" w:hAnsi="Arial" w:cs="Arial"/>
                <w:color w:val="000000"/>
                <w:sz w:val="14"/>
                <w:szCs w:val="14"/>
              </w:rPr>
              <w:t>56 </w:t>
            </w:r>
          </w:p>
        </w:tc>
        <w:tc>
          <w:tcPr>
            <w:tcW w:w="0" w:type="auto"/>
            <w:shd w:val="clear" w:color="auto" w:fill="CCEEFF"/>
            <w:tcMar>
              <w:top w:w="40" w:type="dxa"/>
              <w:left w:w="0" w:type="dxa"/>
              <w:bottom w:w="40" w:type="dxa"/>
              <w:right w:w="20" w:type="dxa"/>
            </w:tcMar>
            <w:vAlign w:val="bottom"/>
          </w:tcPr>
          <w:p w14:paraId="5F2D4F06" w14:textId="77777777" w:rsidR="00E836FB" w:rsidRDefault="00E836FB">
            <w:pPr>
              <w:jc w:val="right"/>
              <w:rPr>
                <w:rFonts w:ascii="宋体"/>
              </w:rPr>
            </w:pPr>
          </w:p>
        </w:tc>
      </w:tr>
      <w:tr w:rsidR="00E836FB" w14:paraId="5F2D4F0E" w14:textId="77777777">
        <w:tc>
          <w:tcPr>
            <w:tcW w:w="0" w:type="auto"/>
            <w:gridSpan w:val="3"/>
            <w:shd w:val="clear" w:color="auto" w:fill="FFFFFF"/>
            <w:tcMar>
              <w:top w:w="40" w:type="dxa"/>
              <w:left w:w="20" w:type="dxa"/>
              <w:bottom w:w="40" w:type="dxa"/>
              <w:right w:w="20" w:type="dxa"/>
            </w:tcMar>
            <w:vAlign w:val="bottom"/>
          </w:tcPr>
          <w:p w14:paraId="5F2D4F08" w14:textId="77777777" w:rsidR="00E836FB" w:rsidRDefault="00994958">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5F2D4F09" w14:textId="77777777" w:rsidR="00E836FB" w:rsidRDefault="00994958">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F0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0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F0C" w14:textId="77777777" w:rsidR="00E836FB" w:rsidRDefault="00994958">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F2D4F0D" w14:textId="77777777" w:rsidR="00E836FB" w:rsidRDefault="00E836FB">
            <w:pPr>
              <w:jc w:val="right"/>
              <w:rPr>
                <w:rFonts w:ascii="宋体"/>
              </w:rPr>
            </w:pPr>
          </w:p>
        </w:tc>
      </w:tr>
      <w:tr w:rsidR="00E836FB" w14:paraId="5F2D4F15" w14:textId="77777777">
        <w:tc>
          <w:tcPr>
            <w:tcW w:w="0" w:type="auto"/>
            <w:gridSpan w:val="3"/>
            <w:shd w:val="clear" w:color="auto" w:fill="CCEEFF"/>
            <w:tcMar>
              <w:top w:w="40" w:type="dxa"/>
              <w:left w:w="20" w:type="dxa"/>
              <w:bottom w:w="40" w:type="dxa"/>
              <w:right w:w="20" w:type="dxa"/>
            </w:tcMar>
            <w:vAlign w:val="bottom"/>
          </w:tcPr>
          <w:p w14:paraId="5F2D4F0F" w14:textId="77777777" w:rsidR="00E836FB" w:rsidRDefault="00994958">
            <w:pPr>
              <w:textAlignment w:val="bottom"/>
            </w:pPr>
            <w:r>
              <w:rPr>
                <w:rFonts w:ascii="Arial" w:eastAsia="宋体" w:hAnsi="Arial" w:cs="Arial"/>
                <w:color w:val="000000"/>
                <w:sz w:val="14"/>
                <w:szCs w:val="14"/>
              </w:rPr>
              <w:t>Unrealized losses on investment securities, net</w:t>
            </w:r>
          </w:p>
        </w:tc>
        <w:tc>
          <w:tcPr>
            <w:tcW w:w="0" w:type="auto"/>
            <w:gridSpan w:val="2"/>
            <w:shd w:val="clear" w:color="auto" w:fill="CCEEFF"/>
            <w:tcMar>
              <w:top w:w="40" w:type="dxa"/>
              <w:left w:w="20" w:type="dxa"/>
              <w:bottom w:w="40" w:type="dxa"/>
              <w:right w:w="0" w:type="dxa"/>
            </w:tcMar>
            <w:vAlign w:val="bottom"/>
          </w:tcPr>
          <w:p w14:paraId="5F2D4F10" w14:textId="77777777" w:rsidR="00E836FB" w:rsidRDefault="00994958">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F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1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F1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F14" w14:textId="77777777" w:rsidR="00E836FB" w:rsidRDefault="00E836FB">
            <w:pPr>
              <w:jc w:val="right"/>
              <w:rPr>
                <w:rFonts w:ascii="宋体"/>
              </w:rPr>
            </w:pPr>
          </w:p>
        </w:tc>
      </w:tr>
      <w:tr w:rsidR="00E836FB" w14:paraId="5F2D4F1C" w14:textId="77777777">
        <w:tc>
          <w:tcPr>
            <w:tcW w:w="0" w:type="auto"/>
            <w:gridSpan w:val="3"/>
            <w:shd w:val="clear" w:color="auto" w:fill="FFFFFF"/>
            <w:tcMar>
              <w:top w:w="40" w:type="dxa"/>
              <w:left w:w="20" w:type="dxa"/>
              <w:bottom w:w="40" w:type="dxa"/>
              <w:right w:w="20" w:type="dxa"/>
            </w:tcMar>
            <w:vAlign w:val="bottom"/>
          </w:tcPr>
          <w:p w14:paraId="5F2D4F16" w14:textId="77777777" w:rsidR="00E836FB" w:rsidRDefault="00994958">
            <w:pPr>
              <w:textAlignment w:val="bottom"/>
            </w:pPr>
            <w:r>
              <w:rPr>
                <w:rFonts w:ascii="Arial" w:eastAsia="宋体" w:hAnsi="Arial" w:cs="Arial"/>
                <w:color w:val="000000"/>
                <w:sz w:val="14"/>
                <w:szCs w:val="14"/>
              </w:rPr>
              <w:t>Total deferred tax assets</w:t>
            </w:r>
            <w:r>
              <w:rPr>
                <w:rFonts w:ascii="Arial" w:eastAsia="宋体" w:hAnsi="Arial" w:cs="Arial"/>
                <w:color w:val="000000"/>
                <w:sz w:val="9"/>
                <w:szCs w:val="9"/>
              </w:rPr>
              <w:t xml:space="preserv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F17" w14:textId="77777777" w:rsidR="00E836FB" w:rsidRDefault="00994958">
            <w:pPr>
              <w:jc w:val="right"/>
              <w:textAlignment w:val="bottom"/>
            </w:pPr>
            <w:r>
              <w:rPr>
                <w:rFonts w:ascii="Arial" w:eastAsia="宋体" w:hAnsi="Arial" w:cs="Arial"/>
                <w:b/>
                <w:bCs/>
                <w:color w:val="000000"/>
                <w:sz w:val="14"/>
                <w:szCs w:val="14"/>
              </w:rPr>
              <w:t>1,491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F1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1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4F1A" w14:textId="77777777" w:rsidR="00E836FB" w:rsidRDefault="00994958">
            <w:pPr>
              <w:jc w:val="right"/>
              <w:textAlignment w:val="bottom"/>
            </w:pPr>
            <w:r>
              <w:rPr>
                <w:rFonts w:ascii="Arial" w:eastAsia="宋体" w:hAnsi="Arial" w:cs="Arial"/>
                <w:color w:val="000000"/>
                <w:sz w:val="14"/>
                <w:szCs w:val="14"/>
              </w:rPr>
              <w:t>1,576 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F1B" w14:textId="77777777" w:rsidR="00E836FB" w:rsidRDefault="00E836FB">
            <w:pPr>
              <w:jc w:val="right"/>
              <w:rPr>
                <w:rFonts w:ascii="宋体"/>
              </w:rPr>
            </w:pPr>
          </w:p>
        </w:tc>
      </w:tr>
      <w:tr w:rsidR="00E836FB" w14:paraId="5F2D4F23" w14:textId="77777777">
        <w:tc>
          <w:tcPr>
            <w:tcW w:w="0" w:type="auto"/>
            <w:gridSpan w:val="3"/>
            <w:shd w:val="clear" w:color="auto" w:fill="CCEEFF"/>
            <w:tcMar>
              <w:top w:w="40" w:type="dxa"/>
              <w:left w:w="20" w:type="dxa"/>
              <w:bottom w:w="40" w:type="dxa"/>
              <w:right w:w="20" w:type="dxa"/>
            </w:tcMar>
            <w:vAlign w:val="bottom"/>
          </w:tcPr>
          <w:p w14:paraId="5F2D4F1D" w14:textId="77777777" w:rsidR="00E836FB" w:rsidRDefault="00994958">
            <w:pPr>
              <w:textAlignment w:val="bottom"/>
            </w:pPr>
            <w:r>
              <w:rPr>
                <w:rFonts w:ascii="Arial" w:eastAsia="宋体" w:hAnsi="Arial" w:cs="Arial"/>
                <w:color w:val="000000"/>
                <w:sz w:val="14"/>
                <w:szCs w:val="14"/>
              </w:rPr>
              <w:t>Valuation allowance for deferred tax assets</w:t>
            </w:r>
          </w:p>
        </w:tc>
        <w:tc>
          <w:tcPr>
            <w:tcW w:w="0" w:type="auto"/>
            <w:gridSpan w:val="2"/>
            <w:shd w:val="clear" w:color="auto" w:fill="CCEEFF"/>
            <w:tcMar>
              <w:top w:w="40" w:type="dxa"/>
              <w:left w:w="20" w:type="dxa"/>
              <w:bottom w:w="40" w:type="dxa"/>
              <w:right w:w="0" w:type="dxa"/>
            </w:tcMar>
            <w:vAlign w:val="bottom"/>
          </w:tcPr>
          <w:p w14:paraId="5F2D4F1E" w14:textId="77777777" w:rsidR="00E836FB" w:rsidRDefault="00994958">
            <w:pPr>
              <w:jc w:val="right"/>
              <w:textAlignment w:val="bottom"/>
            </w:pPr>
            <w:r>
              <w:rPr>
                <w:rFonts w:ascii="Arial" w:eastAsia="宋体" w:hAnsi="Arial" w:cs="Arial"/>
                <w:b/>
                <w:bCs/>
                <w:color w:val="000000"/>
                <w:sz w:val="14"/>
                <w:szCs w:val="14"/>
              </w:rPr>
              <w:t>(250)</w:t>
            </w:r>
          </w:p>
        </w:tc>
        <w:tc>
          <w:tcPr>
            <w:tcW w:w="0" w:type="auto"/>
            <w:shd w:val="clear" w:color="auto" w:fill="CCEEFF"/>
            <w:tcMar>
              <w:top w:w="40" w:type="dxa"/>
              <w:left w:w="0" w:type="dxa"/>
              <w:bottom w:w="40" w:type="dxa"/>
              <w:right w:w="20" w:type="dxa"/>
            </w:tcMar>
            <w:vAlign w:val="bottom"/>
          </w:tcPr>
          <w:p w14:paraId="5F2D4F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2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F21" w14:textId="77777777" w:rsidR="00E836FB" w:rsidRDefault="00994958">
            <w:pPr>
              <w:jc w:val="right"/>
              <w:textAlignment w:val="bottom"/>
            </w:pPr>
            <w:r>
              <w:rPr>
                <w:rFonts w:ascii="Arial" w:eastAsia="宋体" w:hAnsi="Arial" w:cs="Arial"/>
                <w:color w:val="000000"/>
                <w:sz w:val="14"/>
                <w:szCs w:val="14"/>
              </w:rPr>
              <w:t>(295)</w:t>
            </w:r>
          </w:p>
        </w:tc>
        <w:tc>
          <w:tcPr>
            <w:tcW w:w="0" w:type="auto"/>
            <w:shd w:val="clear" w:color="auto" w:fill="CCEEFF"/>
            <w:tcMar>
              <w:top w:w="40" w:type="dxa"/>
              <w:left w:w="0" w:type="dxa"/>
              <w:bottom w:w="40" w:type="dxa"/>
              <w:right w:w="20" w:type="dxa"/>
            </w:tcMar>
            <w:vAlign w:val="bottom"/>
          </w:tcPr>
          <w:p w14:paraId="5F2D4F22" w14:textId="77777777" w:rsidR="00E836FB" w:rsidRDefault="00E836FB">
            <w:pPr>
              <w:jc w:val="right"/>
              <w:rPr>
                <w:rFonts w:ascii="宋体"/>
              </w:rPr>
            </w:pPr>
          </w:p>
        </w:tc>
      </w:tr>
      <w:tr w:rsidR="00E836FB" w14:paraId="5F2D4F2C" w14:textId="77777777">
        <w:tc>
          <w:tcPr>
            <w:tcW w:w="0" w:type="auto"/>
            <w:gridSpan w:val="3"/>
            <w:shd w:val="clear" w:color="auto" w:fill="FFFFFF"/>
            <w:tcMar>
              <w:top w:w="40" w:type="dxa"/>
              <w:left w:w="155" w:type="dxa"/>
              <w:bottom w:w="40" w:type="dxa"/>
              <w:right w:w="20" w:type="dxa"/>
            </w:tcMar>
            <w:vAlign w:val="bottom"/>
          </w:tcPr>
          <w:p w14:paraId="5F2D4F24" w14:textId="77777777" w:rsidR="00E836FB" w:rsidRDefault="00994958">
            <w:pPr>
              <w:textAlignment w:val="bottom"/>
            </w:pPr>
            <w:r>
              <w:rPr>
                <w:rFonts w:ascii="Arial" w:eastAsia="宋体" w:hAnsi="Arial" w:cs="Arial"/>
                <w:color w:val="000000"/>
                <w:sz w:val="14"/>
                <w:szCs w:val="14"/>
              </w:rPr>
              <w:t>Deferred tax assets, net of valuation allowance</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4F25"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F26" w14:textId="77777777" w:rsidR="00E836FB" w:rsidRDefault="00994958">
            <w:pPr>
              <w:jc w:val="right"/>
              <w:textAlignment w:val="bottom"/>
            </w:pPr>
            <w:r>
              <w:rPr>
                <w:rFonts w:ascii="Arial" w:eastAsia="宋体" w:hAnsi="Arial" w:cs="Arial"/>
                <w:b/>
                <w:bCs/>
                <w:color w:val="000000"/>
                <w:sz w:val="14"/>
                <w:szCs w:val="14"/>
              </w:rPr>
              <w:t>1,241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F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28"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4F2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4F2A" w14:textId="77777777" w:rsidR="00E836FB" w:rsidRDefault="00994958">
            <w:pPr>
              <w:jc w:val="right"/>
              <w:textAlignment w:val="bottom"/>
            </w:pPr>
            <w:r>
              <w:rPr>
                <w:rFonts w:ascii="Arial" w:eastAsia="宋体" w:hAnsi="Arial" w:cs="Arial"/>
                <w:color w:val="000000"/>
                <w:sz w:val="14"/>
                <w:szCs w:val="14"/>
              </w:rPr>
              <w:t>1,281 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4F2B" w14:textId="77777777" w:rsidR="00E836FB" w:rsidRDefault="00E836FB">
            <w:pPr>
              <w:jc w:val="right"/>
              <w:rPr>
                <w:rFonts w:ascii="宋体"/>
              </w:rPr>
            </w:pPr>
          </w:p>
        </w:tc>
      </w:tr>
      <w:tr w:rsidR="00E836FB" w14:paraId="5F2D4F31" w14:textId="77777777">
        <w:tc>
          <w:tcPr>
            <w:tcW w:w="0" w:type="auto"/>
            <w:gridSpan w:val="3"/>
            <w:shd w:val="clear" w:color="auto" w:fill="CCEEFF"/>
            <w:tcMar>
              <w:top w:w="40" w:type="dxa"/>
              <w:left w:w="20" w:type="dxa"/>
              <w:bottom w:w="40" w:type="dxa"/>
              <w:right w:w="20" w:type="dxa"/>
            </w:tcMar>
            <w:vAlign w:val="bottom"/>
          </w:tcPr>
          <w:p w14:paraId="5F2D4F2D" w14:textId="77777777" w:rsidR="00E836FB" w:rsidRDefault="00994958">
            <w:pPr>
              <w:textAlignment w:val="bottom"/>
            </w:pPr>
            <w:r>
              <w:rPr>
                <w:rFonts w:ascii="Arial" w:eastAsia="宋体" w:hAnsi="Arial" w:cs="Arial"/>
                <w:b/>
                <w:bCs/>
                <w:color w:val="000000"/>
                <w:sz w:val="14"/>
                <w:szCs w:val="14"/>
              </w:rPr>
              <w:t>Deferred tax 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F2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4F2F"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4F30" w14:textId="77777777" w:rsidR="00E836FB" w:rsidRDefault="00E836FB">
            <w:pPr>
              <w:rPr>
                <w:rFonts w:ascii="宋体"/>
              </w:rPr>
            </w:pPr>
          </w:p>
        </w:tc>
      </w:tr>
      <w:tr w:rsidR="00E836FB" w14:paraId="5F2D4F3A" w14:textId="77777777">
        <w:tc>
          <w:tcPr>
            <w:tcW w:w="0" w:type="auto"/>
            <w:gridSpan w:val="3"/>
            <w:shd w:val="clear" w:color="auto" w:fill="FFFFFF"/>
            <w:tcMar>
              <w:top w:w="40" w:type="dxa"/>
              <w:left w:w="20" w:type="dxa"/>
              <w:bottom w:w="40" w:type="dxa"/>
              <w:right w:w="20" w:type="dxa"/>
            </w:tcMar>
            <w:vAlign w:val="bottom"/>
          </w:tcPr>
          <w:p w14:paraId="5F2D4F32" w14:textId="77777777" w:rsidR="00E836FB" w:rsidRDefault="00994958">
            <w:pPr>
              <w:textAlignment w:val="bottom"/>
            </w:pPr>
            <w:r>
              <w:rPr>
                <w:rFonts w:ascii="Arial" w:eastAsia="宋体" w:hAnsi="Arial" w:cs="Arial"/>
                <w:color w:val="000000"/>
                <w:sz w:val="14"/>
                <w:szCs w:val="14"/>
              </w:rPr>
              <w:t>Fixed and intangible assets</w:t>
            </w:r>
          </w:p>
        </w:tc>
        <w:tc>
          <w:tcPr>
            <w:tcW w:w="0" w:type="auto"/>
            <w:shd w:val="clear" w:color="auto" w:fill="FFFFFF"/>
            <w:tcMar>
              <w:top w:w="40" w:type="dxa"/>
              <w:left w:w="20" w:type="dxa"/>
              <w:bottom w:w="40" w:type="dxa"/>
              <w:right w:w="0" w:type="dxa"/>
            </w:tcMar>
            <w:vAlign w:val="bottom"/>
          </w:tcPr>
          <w:p w14:paraId="5F2D4F33"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5F2D4F34" w14:textId="77777777" w:rsidR="00E836FB" w:rsidRDefault="00994958">
            <w:pPr>
              <w:jc w:val="right"/>
              <w:textAlignment w:val="bottom"/>
            </w:pPr>
            <w:r>
              <w:rPr>
                <w:rFonts w:ascii="Arial" w:eastAsia="宋体" w:hAnsi="Arial" w:cs="Arial"/>
                <w:b/>
                <w:bCs/>
                <w:color w:val="000000"/>
                <w:sz w:val="14"/>
                <w:szCs w:val="14"/>
              </w:rPr>
              <w:t>601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F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36"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4F37" w14:textId="77777777" w:rsidR="00E836FB" w:rsidRDefault="00994958">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F2D4F38" w14:textId="77777777" w:rsidR="00E836FB" w:rsidRDefault="00994958">
            <w:pPr>
              <w:jc w:val="right"/>
              <w:textAlignment w:val="bottom"/>
            </w:pPr>
            <w:r>
              <w:rPr>
                <w:rFonts w:ascii="Arial" w:eastAsia="宋体" w:hAnsi="Arial" w:cs="Arial"/>
                <w:color w:val="000000"/>
                <w:sz w:val="14"/>
                <w:szCs w:val="14"/>
              </w:rPr>
              <w:t>765 </w:t>
            </w:r>
          </w:p>
        </w:tc>
        <w:tc>
          <w:tcPr>
            <w:tcW w:w="0" w:type="auto"/>
            <w:shd w:val="clear" w:color="auto" w:fill="FFFFFF"/>
            <w:tcMar>
              <w:top w:w="40" w:type="dxa"/>
              <w:left w:w="0" w:type="dxa"/>
              <w:bottom w:w="40" w:type="dxa"/>
              <w:right w:w="20" w:type="dxa"/>
            </w:tcMar>
            <w:vAlign w:val="bottom"/>
          </w:tcPr>
          <w:p w14:paraId="5F2D4F39" w14:textId="77777777" w:rsidR="00E836FB" w:rsidRDefault="00E836FB">
            <w:pPr>
              <w:jc w:val="right"/>
              <w:rPr>
                <w:rFonts w:ascii="宋体"/>
              </w:rPr>
            </w:pPr>
          </w:p>
        </w:tc>
      </w:tr>
      <w:tr w:rsidR="00E836FB" w14:paraId="5F2D4F41" w14:textId="77777777">
        <w:tc>
          <w:tcPr>
            <w:tcW w:w="0" w:type="auto"/>
            <w:gridSpan w:val="3"/>
            <w:shd w:val="clear" w:color="auto" w:fill="CCEEFF"/>
            <w:tcMar>
              <w:top w:w="40" w:type="dxa"/>
              <w:left w:w="20" w:type="dxa"/>
              <w:bottom w:w="40" w:type="dxa"/>
              <w:right w:w="20" w:type="dxa"/>
            </w:tcMar>
            <w:vAlign w:val="bottom"/>
          </w:tcPr>
          <w:p w14:paraId="5F2D4F3B" w14:textId="77777777" w:rsidR="00E836FB" w:rsidRDefault="00994958">
            <w:pPr>
              <w:textAlignment w:val="bottom"/>
            </w:pPr>
            <w:r>
              <w:rPr>
                <w:rFonts w:ascii="Arial" w:eastAsia="宋体" w:hAnsi="Arial" w:cs="Arial"/>
                <w:color w:val="000000"/>
                <w:sz w:val="14"/>
                <w:szCs w:val="14"/>
              </w:rPr>
              <w:t xml:space="preserve">Investment basis </w:t>
            </w:r>
            <w:r>
              <w:rPr>
                <w:rFonts w:ascii="Arial" w:eastAsia="宋体" w:hAnsi="Arial" w:cs="Arial"/>
                <w:color w:val="000000"/>
                <w:sz w:val="14"/>
                <w:szCs w:val="14"/>
              </w:rPr>
              <w:t>differences</w:t>
            </w:r>
          </w:p>
        </w:tc>
        <w:tc>
          <w:tcPr>
            <w:tcW w:w="0" w:type="auto"/>
            <w:gridSpan w:val="2"/>
            <w:shd w:val="clear" w:color="auto" w:fill="CCEEFF"/>
            <w:tcMar>
              <w:top w:w="40" w:type="dxa"/>
              <w:left w:w="20" w:type="dxa"/>
              <w:bottom w:w="40" w:type="dxa"/>
              <w:right w:w="0" w:type="dxa"/>
            </w:tcMar>
            <w:vAlign w:val="bottom"/>
          </w:tcPr>
          <w:p w14:paraId="5F2D4F3C" w14:textId="77777777" w:rsidR="00E836FB" w:rsidRDefault="00994958">
            <w:pPr>
              <w:jc w:val="right"/>
              <w:textAlignment w:val="bottom"/>
            </w:pPr>
            <w:r>
              <w:rPr>
                <w:rFonts w:ascii="Arial" w:eastAsia="宋体" w:hAnsi="Arial" w:cs="Arial"/>
                <w:b/>
                <w:bCs/>
                <w:color w:val="000000"/>
                <w:sz w:val="14"/>
                <w:szCs w:val="14"/>
              </w:rPr>
              <w:t>200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F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3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F3F" w14:textId="77777777" w:rsidR="00E836FB" w:rsidRDefault="00994958">
            <w:pPr>
              <w:jc w:val="right"/>
              <w:textAlignment w:val="bottom"/>
            </w:pPr>
            <w:r>
              <w:rPr>
                <w:rFonts w:ascii="Arial" w:eastAsia="宋体" w:hAnsi="Arial" w:cs="Arial"/>
                <w:color w:val="000000"/>
                <w:sz w:val="14"/>
                <w:szCs w:val="14"/>
              </w:rPr>
              <w:t>269 </w:t>
            </w:r>
          </w:p>
        </w:tc>
        <w:tc>
          <w:tcPr>
            <w:tcW w:w="0" w:type="auto"/>
            <w:shd w:val="clear" w:color="auto" w:fill="CCEEFF"/>
            <w:tcMar>
              <w:top w:w="40" w:type="dxa"/>
              <w:left w:w="0" w:type="dxa"/>
              <w:bottom w:w="40" w:type="dxa"/>
              <w:right w:w="20" w:type="dxa"/>
            </w:tcMar>
            <w:vAlign w:val="bottom"/>
          </w:tcPr>
          <w:p w14:paraId="5F2D4F40" w14:textId="77777777" w:rsidR="00E836FB" w:rsidRDefault="00E836FB">
            <w:pPr>
              <w:jc w:val="right"/>
              <w:rPr>
                <w:rFonts w:ascii="宋体"/>
              </w:rPr>
            </w:pPr>
          </w:p>
        </w:tc>
      </w:tr>
      <w:tr w:rsidR="00E836FB" w14:paraId="5F2D4F48" w14:textId="77777777">
        <w:tc>
          <w:tcPr>
            <w:tcW w:w="0" w:type="auto"/>
            <w:gridSpan w:val="3"/>
            <w:shd w:val="clear" w:color="auto" w:fill="FFFFFF"/>
            <w:tcMar>
              <w:top w:w="40" w:type="dxa"/>
              <w:left w:w="20" w:type="dxa"/>
              <w:bottom w:w="40" w:type="dxa"/>
              <w:right w:w="20" w:type="dxa"/>
            </w:tcMar>
            <w:vAlign w:val="bottom"/>
          </w:tcPr>
          <w:p w14:paraId="5F2D4F42" w14:textId="77777777" w:rsidR="00E836FB" w:rsidRDefault="00994958">
            <w:pPr>
              <w:textAlignment w:val="bottom"/>
            </w:pPr>
            <w:r>
              <w:rPr>
                <w:rFonts w:ascii="Arial" w:eastAsia="宋体" w:hAnsi="Arial" w:cs="Arial"/>
                <w:color w:val="000000"/>
                <w:sz w:val="14"/>
                <w:szCs w:val="14"/>
              </w:rPr>
              <w:t>Right-of-use Assets</w:t>
            </w:r>
          </w:p>
        </w:tc>
        <w:tc>
          <w:tcPr>
            <w:tcW w:w="0" w:type="auto"/>
            <w:gridSpan w:val="2"/>
            <w:shd w:val="clear" w:color="auto" w:fill="FFFFFF"/>
            <w:tcMar>
              <w:top w:w="40" w:type="dxa"/>
              <w:left w:w="20" w:type="dxa"/>
              <w:bottom w:w="40" w:type="dxa"/>
              <w:right w:w="0" w:type="dxa"/>
            </w:tcMar>
            <w:vAlign w:val="bottom"/>
          </w:tcPr>
          <w:p w14:paraId="5F2D4F43" w14:textId="77777777" w:rsidR="00E836FB" w:rsidRDefault="00994958">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F4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4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F46" w14:textId="77777777" w:rsidR="00E836FB" w:rsidRDefault="00994958">
            <w:pPr>
              <w:jc w:val="right"/>
              <w:textAlignment w:val="bottom"/>
            </w:pPr>
            <w:r>
              <w:rPr>
                <w:rFonts w:ascii="Arial" w:eastAsia="宋体" w:hAnsi="Arial" w:cs="Arial"/>
                <w:color w:val="000000"/>
                <w:sz w:val="14"/>
                <w:szCs w:val="14"/>
              </w:rPr>
              <w:t>187 </w:t>
            </w:r>
          </w:p>
        </w:tc>
        <w:tc>
          <w:tcPr>
            <w:tcW w:w="0" w:type="auto"/>
            <w:shd w:val="clear" w:color="auto" w:fill="FFFFFF"/>
            <w:tcMar>
              <w:top w:w="40" w:type="dxa"/>
              <w:left w:w="0" w:type="dxa"/>
              <w:bottom w:w="40" w:type="dxa"/>
              <w:right w:w="20" w:type="dxa"/>
            </w:tcMar>
            <w:vAlign w:val="bottom"/>
          </w:tcPr>
          <w:p w14:paraId="5F2D4F47" w14:textId="77777777" w:rsidR="00E836FB" w:rsidRDefault="00E836FB">
            <w:pPr>
              <w:jc w:val="right"/>
              <w:rPr>
                <w:rFonts w:ascii="宋体"/>
              </w:rPr>
            </w:pPr>
          </w:p>
        </w:tc>
      </w:tr>
      <w:tr w:rsidR="00E836FB" w14:paraId="5F2D4F4F" w14:textId="77777777">
        <w:tc>
          <w:tcPr>
            <w:tcW w:w="0" w:type="auto"/>
            <w:gridSpan w:val="3"/>
            <w:shd w:val="clear" w:color="auto" w:fill="CCEEFF"/>
            <w:tcMar>
              <w:top w:w="40" w:type="dxa"/>
              <w:left w:w="20" w:type="dxa"/>
              <w:bottom w:w="40" w:type="dxa"/>
              <w:right w:w="20" w:type="dxa"/>
            </w:tcMar>
            <w:vAlign w:val="bottom"/>
          </w:tcPr>
          <w:p w14:paraId="5F2D4F49" w14:textId="77777777" w:rsidR="00E836FB" w:rsidRDefault="00994958">
            <w:pPr>
              <w:textAlignment w:val="bottom"/>
            </w:pPr>
            <w:r>
              <w:rPr>
                <w:rFonts w:ascii="Arial" w:eastAsia="宋体" w:hAnsi="Arial" w:cs="Arial"/>
                <w:color w:val="000000"/>
                <w:sz w:val="14"/>
                <w:szCs w:val="14"/>
              </w:rPr>
              <w:t>Unrealized gains on investment securities, net</w:t>
            </w:r>
          </w:p>
        </w:tc>
        <w:tc>
          <w:tcPr>
            <w:tcW w:w="0" w:type="auto"/>
            <w:gridSpan w:val="2"/>
            <w:shd w:val="clear" w:color="auto" w:fill="CCEEFF"/>
            <w:tcMar>
              <w:top w:w="40" w:type="dxa"/>
              <w:left w:w="20" w:type="dxa"/>
              <w:bottom w:w="40" w:type="dxa"/>
              <w:right w:w="0" w:type="dxa"/>
            </w:tcMar>
            <w:vAlign w:val="bottom"/>
          </w:tcPr>
          <w:p w14:paraId="5F2D4F4A"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F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4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F4D" w14:textId="77777777" w:rsidR="00E836FB" w:rsidRDefault="00994958">
            <w:pPr>
              <w:jc w:val="right"/>
              <w:textAlignment w:val="bottom"/>
            </w:pPr>
            <w:r>
              <w:rPr>
                <w:rFonts w:ascii="Arial" w:eastAsia="宋体" w:hAnsi="Arial" w:cs="Arial"/>
                <w:color w:val="000000"/>
                <w:sz w:val="14"/>
                <w:szCs w:val="14"/>
              </w:rPr>
              <w:t>306 </w:t>
            </w:r>
          </w:p>
        </w:tc>
        <w:tc>
          <w:tcPr>
            <w:tcW w:w="0" w:type="auto"/>
            <w:shd w:val="clear" w:color="auto" w:fill="CCEEFF"/>
            <w:tcMar>
              <w:top w:w="40" w:type="dxa"/>
              <w:left w:w="0" w:type="dxa"/>
              <w:bottom w:w="40" w:type="dxa"/>
              <w:right w:w="20" w:type="dxa"/>
            </w:tcMar>
            <w:vAlign w:val="bottom"/>
          </w:tcPr>
          <w:p w14:paraId="5F2D4F4E" w14:textId="77777777" w:rsidR="00E836FB" w:rsidRDefault="00E836FB">
            <w:pPr>
              <w:jc w:val="right"/>
              <w:rPr>
                <w:rFonts w:ascii="宋体"/>
              </w:rPr>
            </w:pPr>
          </w:p>
        </w:tc>
      </w:tr>
      <w:tr w:rsidR="00E836FB" w14:paraId="5F2D4F56" w14:textId="77777777">
        <w:tc>
          <w:tcPr>
            <w:tcW w:w="0" w:type="auto"/>
            <w:gridSpan w:val="3"/>
            <w:shd w:val="clear" w:color="auto" w:fill="FFFFFF"/>
            <w:tcMar>
              <w:top w:w="40" w:type="dxa"/>
              <w:left w:w="20" w:type="dxa"/>
              <w:bottom w:w="40" w:type="dxa"/>
              <w:right w:w="20" w:type="dxa"/>
            </w:tcMar>
            <w:vAlign w:val="bottom"/>
          </w:tcPr>
          <w:p w14:paraId="5F2D4F50" w14:textId="77777777" w:rsidR="00E836FB" w:rsidRDefault="00994958">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F2D4F51" w14:textId="77777777" w:rsidR="00E836FB" w:rsidRDefault="00994958">
            <w:pPr>
              <w:jc w:val="right"/>
              <w:textAlignment w:val="bottom"/>
            </w:pPr>
            <w:r>
              <w:rPr>
                <w:rFonts w:ascii="Arial" w:eastAsia="宋体" w:hAnsi="Arial" w:cs="Arial"/>
                <w:b/>
                <w:bCs/>
                <w:color w:val="000000"/>
                <w:sz w:val="14"/>
                <w:szCs w:val="14"/>
              </w:rPr>
              <w:t>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F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5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F54" w14:textId="77777777" w:rsidR="00E836FB" w:rsidRDefault="00994958">
            <w:pPr>
              <w:jc w:val="right"/>
              <w:textAlignment w:val="bottom"/>
            </w:pPr>
            <w:r>
              <w:rPr>
                <w:rFonts w:ascii="Arial" w:eastAsia="宋体" w:hAnsi="Arial" w:cs="Arial"/>
                <w:color w:val="000000"/>
                <w:sz w:val="14"/>
                <w:szCs w:val="14"/>
              </w:rPr>
              <w:t>51 </w:t>
            </w:r>
          </w:p>
        </w:tc>
        <w:tc>
          <w:tcPr>
            <w:tcW w:w="0" w:type="auto"/>
            <w:shd w:val="clear" w:color="auto" w:fill="FFFFFF"/>
            <w:tcMar>
              <w:top w:w="40" w:type="dxa"/>
              <w:left w:w="0" w:type="dxa"/>
              <w:bottom w:w="40" w:type="dxa"/>
              <w:right w:w="20" w:type="dxa"/>
            </w:tcMar>
            <w:vAlign w:val="bottom"/>
          </w:tcPr>
          <w:p w14:paraId="5F2D4F55" w14:textId="77777777" w:rsidR="00E836FB" w:rsidRDefault="00E836FB">
            <w:pPr>
              <w:jc w:val="right"/>
              <w:rPr>
                <w:rFonts w:ascii="宋体"/>
              </w:rPr>
            </w:pPr>
          </w:p>
        </w:tc>
      </w:tr>
      <w:tr w:rsidR="00E836FB" w14:paraId="5F2D4F5F" w14:textId="77777777">
        <w:tc>
          <w:tcPr>
            <w:tcW w:w="0" w:type="auto"/>
            <w:gridSpan w:val="3"/>
            <w:shd w:val="clear" w:color="auto" w:fill="CCEEFF"/>
            <w:tcMar>
              <w:top w:w="40" w:type="dxa"/>
              <w:left w:w="155" w:type="dxa"/>
              <w:bottom w:w="40" w:type="dxa"/>
              <w:right w:w="20" w:type="dxa"/>
            </w:tcMar>
            <w:vAlign w:val="bottom"/>
          </w:tcPr>
          <w:p w14:paraId="5F2D4F57" w14:textId="77777777" w:rsidR="00E836FB" w:rsidRDefault="00994958">
            <w:pPr>
              <w:textAlignment w:val="bottom"/>
            </w:pPr>
            <w:r>
              <w:rPr>
                <w:rFonts w:ascii="Arial" w:eastAsia="宋体" w:hAnsi="Arial" w:cs="Arial"/>
                <w:color w:val="000000"/>
                <w:sz w:val="14"/>
                <w:szCs w:val="14"/>
              </w:rPr>
              <w:t>Total deferred tax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F5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F59" w14:textId="77777777" w:rsidR="00E836FB" w:rsidRDefault="00994958">
            <w:pPr>
              <w:jc w:val="right"/>
              <w:textAlignment w:val="bottom"/>
            </w:pPr>
            <w:r>
              <w:rPr>
                <w:rFonts w:ascii="Arial" w:eastAsia="宋体" w:hAnsi="Arial" w:cs="Arial"/>
                <w:b/>
                <w:bCs/>
                <w:color w:val="000000"/>
                <w:sz w:val="14"/>
                <w:szCs w:val="14"/>
              </w:rPr>
              <w:t>1,031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F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5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4F5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4F5D" w14:textId="77777777" w:rsidR="00E836FB" w:rsidRDefault="00994958">
            <w:pPr>
              <w:jc w:val="right"/>
              <w:textAlignment w:val="bottom"/>
            </w:pPr>
            <w:r>
              <w:rPr>
                <w:rFonts w:ascii="Arial" w:eastAsia="宋体" w:hAnsi="Arial" w:cs="Arial"/>
                <w:color w:val="000000"/>
                <w:sz w:val="14"/>
                <w:szCs w:val="14"/>
              </w:rPr>
              <w:t>1,578 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4F5E" w14:textId="77777777" w:rsidR="00E836FB" w:rsidRDefault="00E836FB">
            <w:pPr>
              <w:jc w:val="right"/>
              <w:rPr>
                <w:rFonts w:ascii="宋体"/>
              </w:rPr>
            </w:pPr>
          </w:p>
        </w:tc>
      </w:tr>
    </w:tbl>
    <w:p w14:paraId="5F2D4F60" w14:textId="77777777" w:rsidR="00E836FB" w:rsidRDefault="00994958">
      <w:pPr>
        <w:spacing w:before="60"/>
        <w:ind w:firstLine="450"/>
        <w:jc w:val="both"/>
        <w:textAlignment w:val="top"/>
      </w:pPr>
      <w:r>
        <w:rPr>
          <w:rFonts w:ascii="Arial" w:eastAsia="宋体" w:hAnsi="Arial" w:cs="Arial"/>
          <w:color w:val="000000"/>
          <w:sz w:val="20"/>
          <w:szCs w:val="20"/>
        </w:rPr>
        <w:t xml:space="preserve">The table below summarizes the deferred tax assets and related valuation allowances recognized as of December 31, 2021: </w:t>
      </w:r>
    </w:p>
    <w:tbl>
      <w:tblPr>
        <w:tblW w:w="4984" w:type="pct"/>
        <w:tblCellMar>
          <w:top w:w="15" w:type="dxa"/>
          <w:left w:w="15" w:type="dxa"/>
          <w:bottom w:w="15" w:type="dxa"/>
          <w:right w:w="15" w:type="dxa"/>
        </w:tblCellMar>
        <w:tblLook w:val="04A0" w:firstRow="1" w:lastRow="0" w:firstColumn="1" w:lastColumn="0" w:noHBand="0" w:noVBand="1"/>
      </w:tblPr>
      <w:tblGrid>
        <w:gridCol w:w="51"/>
        <w:gridCol w:w="2419"/>
        <w:gridCol w:w="38"/>
        <w:gridCol w:w="99"/>
        <w:gridCol w:w="1319"/>
        <w:gridCol w:w="36"/>
        <w:gridCol w:w="36"/>
        <w:gridCol w:w="81"/>
        <w:gridCol w:w="36"/>
        <w:gridCol w:w="99"/>
        <w:gridCol w:w="1528"/>
        <w:gridCol w:w="36"/>
        <w:gridCol w:w="36"/>
        <w:gridCol w:w="81"/>
        <w:gridCol w:w="36"/>
        <w:gridCol w:w="51"/>
        <w:gridCol w:w="2291"/>
        <w:gridCol w:w="36"/>
      </w:tblGrid>
      <w:tr w:rsidR="00E836FB" w14:paraId="5F2D4F73" w14:textId="77777777">
        <w:tc>
          <w:tcPr>
            <w:tcW w:w="50" w:type="pct"/>
            <w:shd w:val="clear" w:color="auto" w:fill="auto"/>
            <w:vAlign w:val="bottom"/>
          </w:tcPr>
          <w:p w14:paraId="5F2D4F61" w14:textId="77777777" w:rsidR="00E836FB" w:rsidRDefault="00E836FB">
            <w:pPr>
              <w:rPr>
                <w:rFonts w:ascii="宋体"/>
              </w:rPr>
            </w:pPr>
          </w:p>
        </w:tc>
        <w:tc>
          <w:tcPr>
            <w:tcW w:w="1474" w:type="pct"/>
            <w:shd w:val="clear" w:color="auto" w:fill="auto"/>
            <w:vAlign w:val="bottom"/>
          </w:tcPr>
          <w:p w14:paraId="5F2D4F62" w14:textId="77777777" w:rsidR="00E836FB" w:rsidRDefault="00E836FB">
            <w:pPr>
              <w:rPr>
                <w:rFonts w:ascii="宋体"/>
              </w:rPr>
            </w:pPr>
          </w:p>
        </w:tc>
        <w:tc>
          <w:tcPr>
            <w:tcW w:w="5" w:type="pct"/>
            <w:shd w:val="clear" w:color="auto" w:fill="auto"/>
            <w:vAlign w:val="bottom"/>
          </w:tcPr>
          <w:p w14:paraId="5F2D4F63" w14:textId="77777777" w:rsidR="00E836FB" w:rsidRDefault="00E836FB">
            <w:pPr>
              <w:rPr>
                <w:rFonts w:ascii="宋体"/>
              </w:rPr>
            </w:pPr>
          </w:p>
        </w:tc>
        <w:tc>
          <w:tcPr>
            <w:tcW w:w="50" w:type="pct"/>
            <w:shd w:val="clear" w:color="auto" w:fill="auto"/>
            <w:vAlign w:val="bottom"/>
          </w:tcPr>
          <w:p w14:paraId="5F2D4F64" w14:textId="77777777" w:rsidR="00E836FB" w:rsidRDefault="00E836FB">
            <w:pPr>
              <w:rPr>
                <w:rFonts w:ascii="宋体"/>
              </w:rPr>
            </w:pPr>
          </w:p>
        </w:tc>
        <w:tc>
          <w:tcPr>
            <w:tcW w:w="812" w:type="pct"/>
            <w:shd w:val="clear" w:color="auto" w:fill="auto"/>
            <w:vAlign w:val="bottom"/>
          </w:tcPr>
          <w:p w14:paraId="5F2D4F65" w14:textId="77777777" w:rsidR="00E836FB" w:rsidRDefault="00E836FB">
            <w:pPr>
              <w:rPr>
                <w:rFonts w:ascii="宋体"/>
              </w:rPr>
            </w:pPr>
          </w:p>
        </w:tc>
        <w:tc>
          <w:tcPr>
            <w:tcW w:w="5" w:type="pct"/>
            <w:shd w:val="clear" w:color="auto" w:fill="auto"/>
            <w:vAlign w:val="bottom"/>
          </w:tcPr>
          <w:p w14:paraId="5F2D4F66" w14:textId="77777777" w:rsidR="00E836FB" w:rsidRDefault="00E836FB">
            <w:pPr>
              <w:rPr>
                <w:rFonts w:ascii="宋体"/>
              </w:rPr>
            </w:pPr>
          </w:p>
        </w:tc>
        <w:tc>
          <w:tcPr>
            <w:tcW w:w="5" w:type="pct"/>
            <w:shd w:val="clear" w:color="auto" w:fill="auto"/>
            <w:vAlign w:val="bottom"/>
          </w:tcPr>
          <w:p w14:paraId="5F2D4F67" w14:textId="77777777" w:rsidR="00E836FB" w:rsidRDefault="00E836FB">
            <w:pPr>
              <w:rPr>
                <w:rFonts w:ascii="宋体"/>
              </w:rPr>
            </w:pPr>
          </w:p>
        </w:tc>
        <w:tc>
          <w:tcPr>
            <w:tcW w:w="68" w:type="pct"/>
            <w:shd w:val="clear" w:color="auto" w:fill="auto"/>
            <w:vAlign w:val="bottom"/>
          </w:tcPr>
          <w:p w14:paraId="5F2D4F68" w14:textId="77777777" w:rsidR="00E836FB" w:rsidRDefault="00E836FB">
            <w:pPr>
              <w:rPr>
                <w:rFonts w:ascii="宋体"/>
              </w:rPr>
            </w:pPr>
          </w:p>
        </w:tc>
        <w:tc>
          <w:tcPr>
            <w:tcW w:w="5" w:type="pct"/>
            <w:shd w:val="clear" w:color="auto" w:fill="auto"/>
            <w:vAlign w:val="bottom"/>
          </w:tcPr>
          <w:p w14:paraId="5F2D4F69" w14:textId="77777777" w:rsidR="00E836FB" w:rsidRDefault="00E836FB">
            <w:pPr>
              <w:rPr>
                <w:rFonts w:ascii="宋体"/>
              </w:rPr>
            </w:pPr>
          </w:p>
        </w:tc>
        <w:tc>
          <w:tcPr>
            <w:tcW w:w="50" w:type="pct"/>
            <w:shd w:val="clear" w:color="auto" w:fill="auto"/>
            <w:vAlign w:val="bottom"/>
          </w:tcPr>
          <w:p w14:paraId="5F2D4F6A" w14:textId="77777777" w:rsidR="00E836FB" w:rsidRDefault="00E836FB">
            <w:pPr>
              <w:rPr>
                <w:rFonts w:ascii="宋体"/>
              </w:rPr>
            </w:pPr>
          </w:p>
        </w:tc>
        <w:tc>
          <w:tcPr>
            <w:tcW w:w="938" w:type="pct"/>
            <w:shd w:val="clear" w:color="auto" w:fill="auto"/>
            <w:vAlign w:val="bottom"/>
          </w:tcPr>
          <w:p w14:paraId="5F2D4F6B" w14:textId="77777777" w:rsidR="00E836FB" w:rsidRDefault="00E836FB">
            <w:pPr>
              <w:rPr>
                <w:rFonts w:ascii="宋体"/>
              </w:rPr>
            </w:pPr>
          </w:p>
        </w:tc>
        <w:tc>
          <w:tcPr>
            <w:tcW w:w="5" w:type="pct"/>
            <w:shd w:val="clear" w:color="auto" w:fill="auto"/>
            <w:vAlign w:val="bottom"/>
          </w:tcPr>
          <w:p w14:paraId="5F2D4F6C" w14:textId="77777777" w:rsidR="00E836FB" w:rsidRDefault="00E836FB">
            <w:pPr>
              <w:rPr>
                <w:rFonts w:ascii="宋体"/>
              </w:rPr>
            </w:pPr>
          </w:p>
        </w:tc>
        <w:tc>
          <w:tcPr>
            <w:tcW w:w="5" w:type="pct"/>
            <w:shd w:val="clear" w:color="auto" w:fill="auto"/>
            <w:vAlign w:val="bottom"/>
          </w:tcPr>
          <w:p w14:paraId="5F2D4F6D" w14:textId="77777777" w:rsidR="00E836FB" w:rsidRDefault="00E836FB">
            <w:pPr>
              <w:rPr>
                <w:rFonts w:ascii="宋体"/>
              </w:rPr>
            </w:pPr>
          </w:p>
        </w:tc>
        <w:tc>
          <w:tcPr>
            <w:tcW w:w="68" w:type="pct"/>
            <w:shd w:val="clear" w:color="auto" w:fill="auto"/>
            <w:vAlign w:val="bottom"/>
          </w:tcPr>
          <w:p w14:paraId="5F2D4F6E" w14:textId="77777777" w:rsidR="00E836FB" w:rsidRDefault="00E836FB">
            <w:pPr>
              <w:rPr>
                <w:rFonts w:ascii="宋体"/>
              </w:rPr>
            </w:pPr>
          </w:p>
        </w:tc>
        <w:tc>
          <w:tcPr>
            <w:tcW w:w="5" w:type="pct"/>
            <w:shd w:val="clear" w:color="auto" w:fill="auto"/>
            <w:vAlign w:val="bottom"/>
          </w:tcPr>
          <w:p w14:paraId="5F2D4F6F" w14:textId="77777777" w:rsidR="00E836FB" w:rsidRDefault="00E836FB">
            <w:pPr>
              <w:rPr>
                <w:rFonts w:ascii="宋体"/>
              </w:rPr>
            </w:pPr>
          </w:p>
        </w:tc>
        <w:tc>
          <w:tcPr>
            <w:tcW w:w="50" w:type="pct"/>
            <w:shd w:val="clear" w:color="auto" w:fill="auto"/>
            <w:vAlign w:val="bottom"/>
          </w:tcPr>
          <w:p w14:paraId="5F2D4F70" w14:textId="77777777" w:rsidR="00E836FB" w:rsidRDefault="00E836FB">
            <w:pPr>
              <w:rPr>
                <w:rFonts w:ascii="宋体"/>
              </w:rPr>
            </w:pPr>
          </w:p>
        </w:tc>
        <w:tc>
          <w:tcPr>
            <w:tcW w:w="1396" w:type="pct"/>
            <w:shd w:val="clear" w:color="auto" w:fill="auto"/>
            <w:vAlign w:val="bottom"/>
          </w:tcPr>
          <w:p w14:paraId="5F2D4F71" w14:textId="77777777" w:rsidR="00E836FB" w:rsidRDefault="00E836FB">
            <w:pPr>
              <w:rPr>
                <w:rFonts w:ascii="宋体"/>
              </w:rPr>
            </w:pPr>
          </w:p>
        </w:tc>
        <w:tc>
          <w:tcPr>
            <w:tcW w:w="5" w:type="pct"/>
            <w:shd w:val="clear" w:color="auto" w:fill="auto"/>
            <w:vAlign w:val="bottom"/>
          </w:tcPr>
          <w:p w14:paraId="5F2D4F72" w14:textId="77777777" w:rsidR="00E836FB" w:rsidRDefault="00E836FB">
            <w:pPr>
              <w:rPr>
                <w:rFonts w:ascii="宋体"/>
              </w:rPr>
            </w:pPr>
          </w:p>
        </w:tc>
      </w:tr>
      <w:tr w:rsidR="00E836FB" w14:paraId="5F2D4F7A" w14:textId="77777777">
        <w:tc>
          <w:tcPr>
            <w:tcW w:w="0" w:type="auto"/>
            <w:gridSpan w:val="3"/>
            <w:shd w:val="clear" w:color="auto" w:fill="auto"/>
            <w:tcMar>
              <w:top w:w="40" w:type="dxa"/>
              <w:left w:w="20" w:type="dxa"/>
              <w:bottom w:w="40" w:type="dxa"/>
              <w:right w:w="20" w:type="dxa"/>
            </w:tcMar>
            <w:vAlign w:val="bottom"/>
          </w:tcPr>
          <w:p w14:paraId="5F2D4F74"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F2D4F75" w14:textId="77777777" w:rsidR="00E836FB" w:rsidRDefault="00994958">
            <w:pPr>
              <w:jc w:val="center"/>
              <w:textAlignment w:val="bottom"/>
            </w:pPr>
            <w:r>
              <w:rPr>
                <w:rFonts w:ascii="Arial" w:eastAsia="宋体" w:hAnsi="Arial" w:cs="Arial"/>
                <w:b/>
                <w:bCs/>
                <w:color w:val="000000"/>
                <w:sz w:val="14"/>
                <w:szCs w:val="14"/>
              </w:rPr>
              <w:t>Deferred Tax Asset</w:t>
            </w:r>
          </w:p>
        </w:tc>
        <w:tc>
          <w:tcPr>
            <w:tcW w:w="0" w:type="auto"/>
            <w:gridSpan w:val="3"/>
            <w:shd w:val="clear" w:color="auto" w:fill="auto"/>
            <w:tcMar>
              <w:top w:w="0" w:type="dxa"/>
              <w:left w:w="20" w:type="dxa"/>
              <w:bottom w:w="0" w:type="dxa"/>
              <w:right w:w="20" w:type="dxa"/>
            </w:tcMar>
            <w:vAlign w:val="bottom"/>
          </w:tcPr>
          <w:p w14:paraId="5F2D4F7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F77" w14:textId="77777777" w:rsidR="00E836FB" w:rsidRDefault="00994958">
            <w:pPr>
              <w:jc w:val="center"/>
              <w:textAlignment w:val="bottom"/>
            </w:pPr>
            <w:r>
              <w:rPr>
                <w:rFonts w:ascii="Arial" w:eastAsia="宋体" w:hAnsi="Arial" w:cs="Arial"/>
                <w:b/>
                <w:bCs/>
                <w:color w:val="000000"/>
                <w:sz w:val="14"/>
                <w:szCs w:val="14"/>
              </w:rPr>
              <w:t>Valuation Allowance</w:t>
            </w:r>
          </w:p>
        </w:tc>
        <w:tc>
          <w:tcPr>
            <w:tcW w:w="0" w:type="auto"/>
            <w:gridSpan w:val="3"/>
            <w:shd w:val="clear" w:color="auto" w:fill="auto"/>
            <w:tcMar>
              <w:top w:w="0" w:type="dxa"/>
              <w:left w:w="20" w:type="dxa"/>
              <w:bottom w:w="0" w:type="dxa"/>
              <w:right w:w="20" w:type="dxa"/>
            </w:tcMar>
            <w:vAlign w:val="bottom"/>
          </w:tcPr>
          <w:p w14:paraId="5F2D4F7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4F79" w14:textId="77777777" w:rsidR="00E836FB" w:rsidRDefault="00994958">
            <w:pPr>
              <w:jc w:val="center"/>
              <w:textAlignment w:val="bottom"/>
            </w:pPr>
            <w:r>
              <w:rPr>
                <w:rFonts w:ascii="Arial" w:eastAsia="宋体" w:hAnsi="Arial" w:cs="Arial"/>
                <w:b/>
                <w:bCs/>
                <w:color w:val="000000"/>
                <w:sz w:val="14"/>
                <w:szCs w:val="14"/>
              </w:rPr>
              <w:t>Expiration</w:t>
            </w:r>
          </w:p>
        </w:tc>
      </w:tr>
      <w:tr w:rsidR="00E836FB" w14:paraId="5F2D4F85" w14:textId="77777777">
        <w:tc>
          <w:tcPr>
            <w:tcW w:w="0" w:type="auto"/>
            <w:gridSpan w:val="3"/>
            <w:shd w:val="clear" w:color="auto" w:fill="CCEEFF"/>
            <w:tcMar>
              <w:top w:w="40" w:type="dxa"/>
              <w:left w:w="20" w:type="dxa"/>
              <w:bottom w:w="40" w:type="dxa"/>
              <w:right w:w="20" w:type="dxa"/>
            </w:tcMar>
            <w:vAlign w:val="center"/>
          </w:tcPr>
          <w:p w14:paraId="5F2D4F7B" w14:textId="77777777" w:rsidR="00E836FB" w:rsidRDefault="00994958">
            <w:pPr>
              <w:textAlignment w:val="center"/>
            </w:pPr>
            <w:r>
              <w:rPr>
                <w:rFonts w:ascii="Arial" w:eastAsia="宋体" w:hAnsi="Arial" w:cs="Arial"/>
                <w:color w:val="000000"/>
                <w:sz w:val="14"/>
                <w:szCs w:val="14"/>
              </w:rPr>
              <w:t>Other amortizable assets</w:t>
            </w:r>
          </w:p>
        </w:tc>
        <w:tc>
          <w:tcPr>
            <w:tcW w:w="0" w:type="auto"/>
            <w:tcBorders>
              <w:top w:val="single" w:sz="8" w:space="0" w:color="000000"/>
            </w:tcBorders>
            <w:shd w:val="clear" w:color="auto" w:fill="CCEEFF"/>
            <w:tcMar>
              <w:top w:w="40" w:type="dxa"/>
              <w:left w:w="20" w:type="dxa"/>
              <w:bottom w:w="40" w:type="dxa"/>
              <w:right w:w="0" w:type="dxa"/>
            </w:tcMar>
            <w:vAlign w:val="center"/>
          </w:tcPr>
          <w:p w14:paraId="5F2D4F7C" w14:textId="77777777" w:rsidR="00E836FB" w:rsidRDefault="00994958">
            <w:pPr>
              <w:textAlignment w:val="center"/>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F2D4F7D" w14:textId="77777777" w:rsidR="00E836FB" w:rsidRDefault="00994958">
            <w:pPr>
              <w:jc w:val="right"/>
              <w:textAlignment w:val="center"/>
            </w:pPr>
            <w:r>
              <w:rPr>
                <w:rFonts w:ascii="Arial" w:eastAsia="宋体" w:hAnsi="Arial" w:cs="Arial"/>
                <w:b/>
                <w:bCs/>
                <w:color w:val="000000"/>
                <w:sz w:val="14"/>
                <w:szCs w:val="14"/>
              </w:rPr>
              <w:t>323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4F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7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F2D4F80" w14:textId="77777777" w:rsidR="00E836FB" w:rsidRDefault="00994958">
            <w:pPr>
              <w:textAlignment w:val="center"/>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F2D4F81" w14:textId="77777777" w:rsidR="00E836FB" w:rsidRDefault="00994958">
            <w:pPr>
              <w:jc w:val="right"/>
              <w:textAlignment w:val="center"/>
            </w:pPr>
            <w:r>
              <w:rPr>
                <w:rFonts w:ascii="Arial" w:eastAsia="宋体" w:hAnsi="Arial" w:cs="Arial"/>
                <w:b/>
                <w:bCs/>
                <w:color w:val="000000"/>
                <w:sz w:val="14"/>
                <w:szCs w:val="14"/>
              </w:rPr>
              <w:t>(185)</w:t>
            </w:r>
          </w:p>
        </w:tc>
        <w:tc>
          <w:tcPr>
            <w:tcW w:w="0" w:type="auto"/>
            <w:tcBorders>
              <w:top w:val="single" w:sz="8" w:space="0" w:color="000000"/>
            </w:tcBorders>
            <w:shd w:val="clear" w:color="auto" w:fill="CCEEFF"/>
            <w:tcMar>
              <w:top w:w="40" w:type="dxa"/>
              <w:left w:w="0" w:type="dxa"/>
              <w:bottom w:w="40" w:type="dxa"/>
              <w:right w:w="20" w:type="dxa"/>
            </w:tcMar>
            <w:vAlign w:val="center"/>
          </w:tcPr>
          <w:p w14:paraId="5F2D4F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83"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4F84" w14:textId="77777777" w:rsidR="00E836FB" w:rsidRDefault="00994958">
            <w:pPr>
              <w:textAlignment w:val="center"/>
            </w:pPr>
            <w:r>
              <w:rPr>
                <w:rFonts w:ascii="Arial" w:eastAsia="宋体" w:hAnsi="Arial" w:cs="Arial"/>
                <w:b/>
                <w:bCs/>
                <w:color w:val="000000"/>
                <w:sz w:val="14"/>
                <w:szCs w:val="14"/>
              </w:rPr>
              <w:t>None</w:t>
            </w:r>
          </w:p>
        </w:tc>
      </w:tr>
      <w:tr w:rsidR="00E836FB" w14:paraId="5F2D4F8E" w14:textId="77777777">
        <w:tc>
          <w:tcPr>
            <w:tcW w:w="0" w:type="auto"/>
            <w:gridSpan w:val="3"/>
            <w:shd w:val="clear" w:color="auto" w:fill="FFFFFF"/>
            <w:tcMar>
              <w:top w:w="40" w:type="dxa"/>
              <w:left w:w="20" w:type="dxa"/>
              <w:bottom w:w="40" w:type="dxa"/>
              <w:right w:w="20" w:type="dxa"/>
            </w:tcMar>
            <w:vAlign w:val="center"/>
          </w:tcPr>
          <w:p w14:paraId="5F2D4F86" w14:textId="77777777" w:rsidR="00E836FB" w:rsidRDefault="00994958">
            <w:pPr>
              <w:textAlignment w:val="center"/>
            </w:pPr>
            <w:r>
              <w:rPr>
                <w:rFonts w:ascii="Arial" w:eastAsia="宋体" w:hAnsi="Arial" w:cs="Arial"/>
                <w:color w:val="000000"/>
                <w:sz w:val="14"/>
                <w:szCs w:val="14"/>
              </w:rPr>
              <w:t>Tax credits</w:t>
            </w:r>
          </w:p>
        </w:tc>
        <w:tc>
          <w:tcPr>
            <w:tcW w:w="0" w:type="auto"/>
            <w:gridSpan w:val="2"/>
            <w:shd w:val="clear" w:color="auto" w:fill="FFFFFF"/>
            <w:tcMar>
              <w:top w:w="40" w:type="dxa"/>
              <w:left w:w="20" w:type="dxa"/>
              <w:bottom w:w="40" w:type="dxa"/>
              <w:right w:w="0" w:type="dxa"/>
            </w:tcMar>
            <w:vAlign w:val="center"/>
          </w:tcPr>
          <w:p w14:paraId="5F2D4F87" w14:textId="77777777" w:rsidR="00E836FB" w:rsidRDefault="00994958">
            <w:pPr>
              <w:jc w:val="right"/>
              <w:textAlignment w:val="center"/>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4F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8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4F8A" w14:textId="77777777" w:rsidR="00E836FB" w:rsidRDefault="00994958">
            <w:pPr>
              <w:jc w:val="right"/>
              <w:textAlignment w:val="center"/>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4F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8C"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4F8D" w14:textId="77777777" w:rsidR="00E836FB" w:rsidRDefault="00994958">
            <w:pPr>
              <w:textAlignment w:val="center"/>
            </w:pPr>
            <w:r>
              <w:rPr>
                <w:rFonts w:ascii="Arial" w:eastAsia="宋体" w:hAnsi="Arial" w:cs="Arial"/>
                <w:b/>
                <w:bCs/>
                <w:color w:val="000000"/>
                <w:sz w:val="14"/>
                <w:szCs w:val="14"/>
              </w:rPr>
              <w:t>2033-2041</w:t>
            </w:r>
          </w:p>
        </w:tc>
      </w:tr>
      <w:tr w:rsidR="00E836FB" w14:paraId="5F2D4F97" w14:textId="77777777">
        <w:tc>
          <w:tcPr>
            <w:tcW w:w="0" w:type="auto"/>
            <w:gridSpan w:val="3"/>
            <w:shd w:val="clear" w:color="auto" w:fill="CCEEFF"/>
            <w:tcMar>
              <w:top w:w="40" w:type="dxa"/>
              <w:left w:w="20" w:type="dxa"/>
              <w:bottom w:w="40" w:type="dxa"/>
              <w:right w:w="20" w:type="dxa"/>
            </w:tcMar>
            <w:vAlign w:val="center"/>
          </w:tcPr>
          <w:p w14:paraId="5F2D4F8F" w14:textId="77777777" w:rsidR="00E836FB" w:rsidRDefault="00994958">
            <w:pPr>
              <w:textAlignment w:val="center"/>
            </w:pPr>
            <w:r>
              <w:rPr>
                <w:rFonts w:ascii="Arial" w:eastAsia="宋体" w:hAnsi="Arial" w:cs="Arial"/>
                <w:color w:val="000000"/>
                <w:sz w:val="14"/>
                <w:szCs w:val="14"/>
              </w:rPr>
              <w:t>NOLs - Non-U.S.</w:t>
            </w:r>
          </w:p>
        </w:tc>
        <w:tc>
          <w:tcPr>
            <w:tcW w:w="0" w:type="auto"/>
            <w:gridSpan w:val="2"/>
            <w:shd w:val="clear" w:color="auto" w:fill="CCEEFF"/>
            <w:tcMar>
              <w:top w:w="40" w:type="dxa"/>
              <w:left w:w="20" w:type="dxa"/>
              <w:bottom w:w="40" w:type="dxa"/>
              <w:right w:w="0" w:type="dxa"/>
            </w:tcMar>
            <w:vAlign w:val="center"/>
          </w:tcPr>
          <w:p w14:paraId="5F2D4F90" w14:textId="77777777" w:rsidR="00E836FB" w:rsidRDefault="00994958">
            <w:pPr>
              <w:jc w:val="right"/>
              <w:textAlignment w:val="center"/>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4F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4F93" w14:textId="77777777" w:rsidR="00E836FB" w:rsidRDefault="00994958">
            <w:pPr>
              <w:jc w:val="right"/>
              <w:textAlignment w:val="center"/>
            </w:pPr>
            <w:r>
              <w:rPr>
                <w:rFonts w:ascii="Arial" w:eastAsia="宋体" w:hAnsi="Arial" w:cs="Arial"/>
                <w:b/>
                <w:bCs/>
                <w:color w:val="000000"/>
                <w:sz w:val="14"/>
                <w:szCs w:val="14"/>
              </w:rPr>
              <w:t>(45)</w:t>
            </w:r>
          </w:p>
        </w:tc>
        <w:tc>
          <w:tcPr>
            <w:tcW w:w="0" w:type="auto"/>
            <w:shd w:val="clear" w:color="auto" w:fill="CCEEFF"/>
            <w:tcMar>
              <w:top w:w="40" w:type="dxa"/>
              <w:left w:w="0" w:type="dxa"/>
              <w:bottom w:w="40" w:type="dxa"/>
              <w:right w:w="20" w:type="dxa"/>
            </w:tcMar>
            <w:vAlign w:val="center"/>
          </w:tcPr>
          <w:p w14:paraId="5F2D4F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95"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4F96" w14:textId="77777777" w:rsidR="00E836FB" w:rsidRDefault="00994958">
            <w:pPr>
              <w:textAlignment w:val="center"/>
            </w:pPr>
            <w:r>
              <w:rPr>
                <w:rFonts w:ascii="Arial" w:eastAsia="宋体" w:hAnsi="Arial" w:cs="Arial"/>
                <w:b/>
                <w:bCs/>
                <w:color w:val="000000"/>
                <w:sz w:val="14"/>
                <w:szCs w:val="14"/>
              </w:rPr>
              <w:t>2028-2041, None</w:t>
            </w:r>
          </w:p>
        </w:tc>
      </w:tr>
      <w:tr w:rsidR="00E836FB" w14:paraId="5F2D4FA0" w14:textId="77777777">
        <w:tc>
          <w:tcPr>
            <w:tcW w:w="0" w:type="auto"/>
            <w:gridSpan w:val="3"/>
            <w:shd w:val="clear" w:color="auto" w:fill="FFFFFF"/>
            <w:tcMar>
              <w:top w:w="40" w:type="dxa"/>
              <w:left w:w="20" w:type="dxa"/>
              <w:bottom w:w="40" w:type="dxa"/>
              <w:right w:w="20" w:type="dxa"/>
            </w:tcMar>
            <w:vAlign w:val="center"/>
          </w:tcPr>
          <w:p w14:paraId="5F2D4F98" w14:textId="77777777" w:rsidR="00E836FB" w:rsidRDefault="00994958">
            <w:pPr>
              <w:textAlignment w:val="center"/>
            </w:pPr>
            <w:r>
              <w:rPr>
                <w:rFonts w:ascii="Arial" w:eastAsia="宋体" w:hAnsi="Arial" w:cs="Arial"/>
                <w:color w:val="000000"/>
                <w:sz w:val="14"/>
                <w:szCs w:val="14"/>
              </w:rPr>
              <w:t>NOLs - U.S.</w:t>
            </w:r>
          </w:p>
        </w:tc>
        <w:tc>
          <w:tcPr>
            <w:tcW w:w="0" w:type="auto"/>
            <w:gridSpan w:val="2"/>
            <w:shd w:val="clear" w:color="auto" w:fill="FFFFFF"/>
            <w:tcMar>
              <w:top w:w="40" w:type="dxa"/>
              <w:left w:w="20" w:type="dxa"/>
              <w:bottom w:w="40" w:type="dxa"/>
              <w:right w:w="0" w:type="dxa"/>
            </w:tcMar>
            <w:vAlign w:val="center"/>
          </w:tcPr>
          <w:p w14:paraId="5F2D4F99" w14:textId="77777777" w:rsidR="00E836FB" w:rsidRDefault="00994958">
            <w:pPr>
              <w:jc w:val="right"/>
              <w:textAlignment w:val="center"/>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F2D4F9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9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center"/>
          </w:tcPr>
          <w:p w14:paraId="5F2D4F9C" w14:textId="77777777" w:rsidR="00E836FB" w:rsidRDefault="00994958">
            <w:pPr>
              <w:jc w:val="right"/>
              <w:textAlignment w:val="center"/>
            </w:pPr>
            <w:r>
              <w:rPr>
                <w:rFonts w:ascii="Arial" w:eastAsia="宋体" w:hAnsi="Arial" w:cs="Arial"/>
                <w:b/>
                <w:bCs/>
                <w:color w:val="000000"/>
                <w:sz w:val="14"/>
                <w:szCs w:val="14"/>
              </w:rPr>
              <w:t>(16)</w:t>
            </w:r>
          </w:p>
        </w:tc>
        <w:tc>
          <w:tcPr>
            <w:tcW w:w="0" w:type="auto"/>
            <w:shd w:val="clear" w:color="auto" w:fill="FFFFFF"/>
            <w:tcMar>
              <w:top w:w="40" w:type="dxa"/>
              <w:left w:w="0" w:type="dxa"/>
              <w:bottom w:w="40" w:type="dxa"/>
              <w:right w:w="20" w:type="dxa"/>
            </w:tcMar>
            <w:vAlign w:val="center"/>
          </w:tcPr>
          <w:p w14:paraId="5F2D4F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9E"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center"/>
          </w:tcPr>
          <w:p w14:paraId="5F2D4F9F" w14:textId="77777777" w:rsidR="00E836FB" w:rsidRDefault="00994958">
            <w:pPr>
              <w:textAlignment w:val="center"/>
            </w:pPr>
            <w:r>
              <w:rPr>
                <w:rFonts w:ascii="Arial" w:eastAsia="宋体" w:hAnsi="Arial" w:cs="Arial"/>
                <w:b/>
                <w:bCs/>
                <w:color w:val="000000"/>
                <w:sz w:val="14"/>
                <w:szCs w:val="14"/>
              </w:rPr>
              <w:t>2022-2040</w:t>
            </w:r>
          </w:p>
        </w:tc>
      </w:tr>
      <w:tr w:rsidR="00E836FB" w14:paraId="5F2D4FA9" w14:textId="77777777">
        <w:tc>
          <w:tcPr>
            <w:tcW w:w="0" w:type="auto"/>
            <w:gridSpan w:val="3"/>
            <w:shd w:val="clear" w:color="auto" w:fill="CCEEFF"/>
            <w:tcMar>
              <w:top w:w="40" w:type="dxa"/>
              <w:left w:w="20" w:type="dxa"/>
              <w:bottom w:w="40" w:type="dxa"/>
              <w:right w:w="20" w:type="dxa"/>
            </w:tcMar>
            <w:vAlign w:val="center"/>
          </w:tcPr>
          <w:p w14:paraId="5F2D4FA1" w14:textId="77777777" w:rsidR="00E836FB" w:rsidRDefault="00994958">
            <w:pPr>
              <w:textAlignment w:val="center"/>
            </w:pPr>
            <w:r>
              <w:rPr>
                <w:rFonts w:ascii="Arial" w:eastAsia="宋体" w:hAnsi="Arial" w:cs="Arial"/>
                <w:color w:val="000000"/>
                <w:sz w:val="14"/>
                <w:szCs w:val="14"/>
              </w:rPr>
              <w:t>Other carryforwards</w:t>
            </w:r>
          </w:p>
        </w:tc>
        <w:tc>
          <w:tcPr>
            <w:tcW w:w="0" w:type="auto"/>
            <w:gridSpan w:val="2"/>
            <w:shd w:val="clear" w:color="auto" w:fill="CCEEFF"/>
            <w:tcMar>
              <w:top w:w="40" w:type="dxa"/>
              <w:left w:w="20" w:type="dxa"/>
              <w:bottom w:w="40" w:type="dxa"/>
              <w:right w:w="0" w:type="dxa"/>
            </w:tcMar>
            <w:vAlign w:val="center"/>
          </w:tcPr>
          <w:p w14:paraId="5F2D4FA2" w14:textId="77777777" w:rsidR="00E836FB" w:rsidRDefault="00994958">
            <w:pPr>
              <w:jc w:val="right"/>
              <w:textAlignment w:val="center"/>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F2D4F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A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center"/>
          </w:tcPr>
          <w:p w14:paraId="5F2D4FA5" w14:textId="77777777" w:rsidR="00E836FB" w:rsidRDefault="00994958">
            <w:pPr>
              <w:jc w:val="right"/>
              <w:textAlignment w:val="center"/>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center"/>
          </w:tcPr>
          <w:p w14:paraId="5F2D4F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A7" w14:textId="77777777" w:rsidR="00E836FB" w:rsidRDefault="00E836FB">
            <w:pPr>
              <w:rPr>
                <w:rFonts w:ascii="宋体"/>
              </w:rPr>
            </w:pPr>
          </w:p>
        </w:tc>
        <w:tc>
          <w:tcPr>
            <w:tcW w:w="0" w:type="auto"/>
            <w:gridSpan w:val="3"/>
            <w:shd w:val="clear" w:color="auto" w:fill="CCEEFF"/>
            <w:tcMar>
              <w:top w:w="40" w:type="dxa"/>
              <w:left w:w="20" w:type="dxa"/>
              <w:bottom w:w="40" w:type="dxa"/>
              <w:right w:w="20" w:type="dxa"/>
            </w:tcMar>
            <w:vAlign w:val="center"/>
          </w:tcPr>
          <w:p w14:paraId="5F2D4FA8" w14:textId="77777777" w:rsidR="00E836FB" w:rsidRDefault="00994958">
            <w:pPr>
              <w:textAlignment w:val="center"/>
            </w:pPr>
            <w:r>
              <w:rPr>
                <w:rFonts w:ascii="Arial" w:eastAsia="宋体" w:hAnsi="Arial" w:cs="Arial"/>
                <w:b/>
                <w:bCs/>
                <w:color w:val="000000"/>
                <w:sz w:val="14"/>
                <w:szCs w:val="14"/>
              </w:rPr>
              <w:t>None</w:t>
            </w:r>
          </w:p>
        </w:tc>
      </w:tr>
      <w:tr w:rsidR="00E836FB" w14:paraId="5F2D4FB0" w14:textId="77777777">
        <w:trPr>
          <w:hidden/>
        </w:trPr>
        <w:tc>
          <w:tcPr>
            <w:tcW w:w="0" w:type="auto"/>
            <w:gridSpan w:val="3"/>
            <w:shd w:val="clear" w:color="auto" w:fill="auto"/>
            <w:vAlign w:val="bottom"/>
          </w:tcPr>
          <w:p w14:paraId="5F2D4FAA" w14:textId="77777777" w:rsidR="00E836FB" w:rsidRDefault="00E836FB">
            <w:pPr>
              <w:rPr>
                <w:rFonts w:ascii="宋体"/>
                <w:vanish/>
              </w:rPr>
            </w:pPr>
          </w:p>
        </w:tc>
        <w:tc>
          <w:tcPr>
            <w:tcW w:w="0" w:type="auto"/>
            <w:gridSpan w:val="3"/>
            <w:shd w:val="clear" w:color="auto" w:fill="auto"/>
            <w:vAlign w:val="bottom"/>
          </w:tcPr>
          <w:p w14:paraId="5F2D4FAB" w14:textId="77777777" w:rsidR="00E836FB" w:rsidRDefault="00E836FB">
            <w:pPr>
              <w:rPr>
                <w:rFonts w:ascii="宋体"/>
                <w:vanish/>
              </w:rPr>
            </w:pPr>
          </w:p>
        </w:tc>
        <w:tc>
          <w:tcPr>
            <w:tcW w:w="0" w:type="auto"/>
            <w:gridSpan w:val="3"/>
            <w:shd w:val="clear" w:color="auto" w:fill="auto"/>
            <w:vAlign w:val="bottom"/>
          </w:tcPr>
          <w:p w14:paraId="5F2D4FAC" w14:textId="77777777" w:rsidR="00E836FB" w:rsidRDefault="00E836FB">
            <w:pPr>
              <w:rPr>
                <w:rFonts w:ascii="宋体"/>
                <w:vanish/>
              </w:rPr>
            </w:pPr>
          </w:p>
        </w:tc>
        <w:tc>
          <w:tcPr>
            <w:tcW w:w="0" w:type="auto"/>
            <w:gridSpan w:val="3"/>
            <w:shd w:val="clear" w:color="auto" w:fill="auto"/>
            <w:vAlign w:val="bottom"/>
          </w:tcPr>
          <w:p w14:paraId="5F2D4FAD" w14:textId="77777777" w:rsidR="00E836FB" w:rsidRDefault="00E836FB">
            <w:pPr>
              <w:rPr>
                <w:rFonts w:ascii="宋体"/>
                <w:vanish/>
              </w:rPr>
            </w:pPr>
          </w:p>
        </w:tc>
        <w:tc>
          <w:tcPr>
            <w:tcW w:w="0" w:type="auto"/>
            <w:gridSpan w:val="3"/>
            <w:shd w:val="clear" w:color="auto" w:fill="auto"/>
            <w:vAlign w:val="bottom"/>
          </w:tcPr>
          <w:p w14:paraId="5F2D4FAE" w14:textId="77777777" w:rsidR="00E836FB" w:rsidRDefault="00E836FB">
            <w:pPr>
              <w:rPr>
                <w:rFonts w:ascii="宋体"/>
                <w:vanish/>
              </w:rPr>
            </w:pPr>
          </w:p>
        </w:tc>
        <w:tc>
          <w:tcPr>
            <w:tcW w:w="0" w:type="auto"/>
            <w:gridSpan w:val="3"/>
            <w:shd w:val="clear" w:color="auto" w:fill="auto"/>
            <w:vAlign w:val="bottom"/>
          </w:tcPr>
          <w:p w14:paraId="5F2D4FAF" w14:textId="77777777" w:rsidR="00E836FB" w:rsidRDefault="00E836FB">
            <w:pPr>
              <w:rPr>
                <w:rFonts w:ascii="宋体"/>
                <w:vanish/>
              </w:rPr>
            </w:pPr>
          </w:p>
        </w:tc>
      </w:tr>
    </w:tbl>
    <w:p w14:paraId="5F2D4FB1" w14:textId="77777777" w:rsidR="00E836FB" w:rsidRDefault="00994958">
      <w:pPr>
        <w:spacing w:before="60"/>
        <w:ind w:firstLine="450"/>
        <w:jc w:val="both"/>
        <w:textAlignment w:val="top"/>
      </w:pPr>
      <w:r>
        <w:rPr>
          <w:rFonts w:ascii="Arial" w:eastAsia="宋体" w:hAnsi="Arial" w:cs="Arial"/>
          <w:color w:val="000000"/>
          <w:sz w:val="20"/>
          <w:szCs w:val="20"/>
        </w:rPr>
        <w:t xml:space="preserve">Management considers the valuation allowance adequate to reduce the total deferred tax </w:t>
      </w:r>
      <w:r>
        <w:rPr>
          <w:rFonts w:ascii="Arial" w:eastAsia="宋体" w:hAnsi="Arial" w:cs="Arial"/>
          <w:color w:val="000000"/>
          <w:sz w:val="20"/>
          <w:szCs w:val="20"/>
        </w:rPr>
        <w:t>assets to an aggregate amount that will more likely than not be realized. Management has determined that a valuation allowance is not required for the remaining deferred tax assets because it is more likely than not that there will be sufficient taxable in</w:t>
      </w:r>
      <w:r>
        <w:rPr>
          <w:rFonts w:ascii="Arial" w:eastAsia="宋体" w:hAnsi="Arial" w:cs="Arial"/>
          <w:color w:val="000000"/>
          <w:sz w:val="20"/>
          <w:szCs w:val="20"/>
        </w:rPr>
        <w:t>come of the appropriate nature within the carryforward periods to realize these assets.</w:t>
      </w:r>
    </w:p>
    <w:p w14:paraId="5F2D4FB2" w14:textId="77777777" w:rsidR="00E836FB" w:rsidRDefault="00994958">
      <w:pPr>
        <w:spacing w:before="60"/>
        <w:ind w:firstLine="450"/>
        <w:jc w:val="both"/>
        <w:textAlignment w:val="top"/>
      </w:pPr>
      <w:r>
        <w:rPr>
          <w:rFonts w:ascii="Arial" w:eastAsia="宋体" w:hAnsi="Arial" w:cs="Arial"/>
          <w:color w:val="000000"/>
          <w:sz w:val="20"/>
          <w:szCs w:val="20"/>
        </w:rPr>
        <w:t>At December 31, 2021, 2020 and 2019, the gross unrecognized tax benefits, excluding interest, were $252 million, $308 million and $149 million, respectively. Of this, t</w:t>
      </w:r>
      <w:r>
        <w:rPr>
          <w:rFonts w:ascii="Arial" w:eastAsia="宋体" w:hAnsi="Arial" w:cs="Arial"/>
          <w:color w:val="000000"/>
          <w:sz w:val="20"/>
          <w:szCs w:val="20"/>
        </w:rPr>
        <w:t xml:space="preserve">he amounts that would reduce the effective tax rate, if recognized, are $243 million, </w:t>
      </w:r>
    </w:p>
    <w:p w14:paraId="5F2D4FB3" w14:textId="77777777" w:rsidR="00E836FB" w:rsidRDefault="00994958">
      <w:pPr>
        <w:ind w:firstLine="450"/>
        <w:jc w:val="right"/>
      </w:pPr>
      <w:r>
        <w:rPr>
          <w:rFonts w:ascii="Arial" w:eastAsia="宋体" w:hAnsi="Arial" w:cs="Arial"/>
          <w:color w:val="000000"/>
          <w:sz w:val="18"/>
          <w:szCs w:val="18"/>
        </w:rPr>
        <w:t>State Street Corporation | 178</w:t>
      </w:r>
    </w:p>
    <w:p w14:paraId="5F2D4FB4" w14:textId="77777777" w:rsidR="00E836FB" w:rsidRDefault="00E836FB">
      <w:pPr>
        <w:ind w:firstLine="450"/>
        <w:jc w:val="center"/>
      </w:pPr>
    </w:p>
    <w:p w14:paraId="5F2D4FB5" w14:textId="77777777" w:rsidR="00E836FB" w:rsidRDefault="00994958">
      <w:r>
        <w:pict w14:anchorId="5F2D6E37">
          <v:rect id="_x0000_i1202" style="width:415.3pt;height:1.5pt" o:hralign="center" o:hrstd="t" o:hr="t" fillcolor="#a0a0a0" stroked="f"/>
        </w:pict>
      </w:r>
    </w:p>
    <w:p w14:paraId="5F2D4FB6" w14:textId="77777777" w:rsidR="00E836FB" w:rsidRDefault="00994958">
      <w:pPr>
        <w:ind w:firstLine="450"/>
        <w:jc w:val="center"/>
      </w:pPr>
      <w:r>
        <w:rPr>
          <w:rFonts w:ascii="Arial" w:eastAsia="宋体" w:hAnsi="Arial" w:cs="Arial"/>
          <w:b/>
          <w:bCs/>
          <w:color w:val="000000"/>
          <w:sz w:val="20"/>
          <w:szCs w:val="20"/>
        </w:rPr>
        <w:t>STATE STREET CORPORATION</w:t>
      </w:r>
    </w:p>
    <w:p w14:paraId="5F2D4FB7"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4FB8" w14:textId="77777777" w:rsidR="00E836FB" w:rsidRDefault="00994958">
      <w:pPr>
        <w:spacing w:before="60"/>
        <w:jc w:val="both"/>
        <w:textAlignment w:val="top"/>
      </w:pPr>
      <w:r>
        <w:rPr>
          <w:rFonts w:ascii="Arial" w:eastAsia="宋体" w:hAnsi="Arial" w:cs="Arial"/>
          <w:color w:val="000000"/>
          <w:sz w:val="20"/>
          <w:szCs w:val="20"/>
        </w:rPr>
        <w:t>$294 million and $140 million, respectively. The reduction in the e</w:t>
      </w:r>
      <w:r>
        <w:rPr>
          <w:rFonts w:ascii="Arial" w:eastAsia="宋体" w:hAnsi="Arial" w:cs="Arial"/>
          <w:color w:val="000000"/>
          <w:sz w:val="20"/>
          <w:szCs w:val="20"/>
        </w:rPr>
        <w:t xml:space="preserve">ffective tax rate includes the federal benefit for unrecognized state tax benefits. </w:t>
      </w:r>
    </w:p>
    <w:p w14:paraId="5F2D4FB9"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table presents activity related to unrecognized tax benefits as of the dates indicated: </w:t>
      </w:r>
    </w:p>
    <w:tbl>
      <w:tblPr>
        <w:tblW w:w="4984" w:type="pct"/>
        <w:tblCellMar>
          <w:top w:w="15" w:type="dxa"/>
          <w:left w:w="15" w:type="dxa"/>
          <w:bottom w:w="15" w:type="dxa"/>
          <w:right w:w="15" w:type="dxa"/>
        </w:tblCellMar>
        <w:tblLook w:val="04A0" w:firstRow="1" w:lastRow="0" w:firstColumn="1" w:lastColumn="0" w:noHBand="0" w:noVBand="1"/>
      </w:tblPr>
      <w:tblGrid>
        <w:gridCol w:w="45"/>
        <w:gridCol w:w="4171"/>
        <w:gridCol w:w="37"/>
        <w:gridCol w:w="98"/>
        <w:gridCol w:w="1102"/>
        <w:gridCol w:w="36"/>
        <w:gridCol w:w="36"/>
        <w:gridCol w:w="75"/>
        <w:gridCol w:w="36"/>
        <w:gridCol w:w="98"/>
        <w:gridCol w:w="1129"/>
        <w:gridCol w:w="36"/>
        <w:gridCol w:w="36"/>
        <w:gridCol w:w="75"/>
        <w:gridCol w:w="36"/>
        <w:gridCol w:w="98"/>
        <w:gridCol w:w="1129"/>
        <w:gridCol w:w="36"/>
      </w:tblGrid>
      <w:tr w:rsidR="00E836FB" w14:paraId="5F2D4FCC" w14:textId="77777777">
        <w:tc>
          <w:tcPr>
            <w:tcW w:w="50" w:type="pct"/>
            <w:shd w:val="clear" w:color="auto" w:fill="auto"/>
            <w:vAlign w:val="bottom"/>
          </w:tcPr>
          <w:p w14:paraId="5F2D4FBA" w14:textId="77777777" w:rsidR="00E836FB" w:rsidRDefault="00E836FB">
            <w:pPr>
              <w:rPr>
                <w:rFonts w:ascii="宋体"/>
              </w:rPr>
            </w:pPr>
          </w:p>
        </w:tc>
        <w:tc>
          <w:tcPr>
            <w:tcW w:w="2531" w:type="pct"/>
            <w:shd w:val="clear" w:color="auto" w:fill="auto"/>
            <w:vAlign w:val="bottom"/>
          </w:tcPr>
          <w:p w14:paraId="5F2D4FBB" w14:textId="77777777" w:rsidR="00E836FB" w:rsidRDefault="00E836FB">
            <w:pPr>
              <w:rPr>
                <w:rFonts w:ascii="宋体"/>
              </w:rPr>
            </w:pPr>
          </w:p>
        </w:tc>
        <w:tc>
          <w:tcPr>
            <w:tcW w:w="5" w:type="pct"/>
            <w:shd w:val="clear" w:color="auto" w:fill="auto"/>
            <w:vAlign w:val="bottom"/>
          </w:tcPr>
          <w:p w14:paraId="5F2D4FBC" w14:textId="77777777" w:rsidR="00E836FB" w:rsidRDefault="00E836FB">
            <w:pPr>
              <w:rPr>
                <w:rFonts w:ascii="宋体"/>
              </w:rPr>
            </w:pPr>
          </w:p>
        </w:tc>
        <w:tc>
          <w:tcPr>
            <w:tcW w:w="50" w:type="pct"/>
            <w:shd w:val="clear" w:color="auto" w:fill="auto"/>
            <w:vAlign w:val="bottom"/>
          </w:tcPr>
          <w:p w14:paraId="5F2D4FBD" w14:textId="77777777" w:rsidR="00E836FB" w:rsidRDefault="00E836FB">
            <w:pPr>
              <w:rPr>
                <w:rFonts w:ascii="宋体"/>
              </w:rPr>
            </w:pPr>
          </w:p>
        </w:tc>
        <w:tc>
          <w:tcPr>
            <w:tcW w:w="686" w:type="pct"/>
            <w:shd w:val="clear" w:color="auto" w:fill="auto"/>
            <w:vAlign w:val="bottom"/>
          </w:tcPr>
          <w:p w14:paraId="5F2D4FBE" w14:textId="77777777" w:rsidR="00E836FB" w:rsidRDefault="00E836FB">
            <w:pPr>
              <w:rPr>
                <w:rFonts w:ascii="宋体"/>
              </w:rPr>
            </w:pPr>
          </w:p>
        </w:tc>
        <w:tc>
          <w:tcPr>
            <w:tcW w:w="5" w:type="pct"/>
            <w:shd w:val="clear" w:color="auto" w:fill="auto"/>
            <w:vAlign w:val="bottom"/>
          </w:tcPr>
          <w:p w14:paraId="5F2D4FBF" w14:textId="77777777" w:rsidR="00E836FB" w:rsidRDefault="00E836FB">
            <w:pPr>
              <w:rPr>
                <w:rFonts w:ascii="宋体"/>
              </w:rPr>
            </w:pPr>
          </w:p>
        </w:tc>
        <w:tc>
          <w:tcPr>
            <w:tcW w:w="5" w:type="pct"/>
            <w:shd w:val="clear" w:color="auto" w:fill="auto"/>
            <w:vAlign w:val="bottom"/>
          </w:tcPr>
          <w:p w14:paraId="5F2D4FC0" w14:textId="77777777" w:rsidR="00E836FB" w:rsidRDefault="00E836FB">
            <w:pPr>
              <w:rPr>
                <w:rFonts w:ascii="宋体"/>
              </w:rPr>
            </w:pPr>
          </w:p>
        </w:tc>
        <w:tc>
          <w:tcPr>
            <w:tcW w:w="68" w:type="pct"/>
            <w:shd w:val="clear" w:color="auto" w:fill="auto"/>
            <w:vAlign w:val="bottom"/>
          </w:tcPr>
          <w:p w14:paraId="5F2D4FC1" w14:textId="77777777" w:rsidR="00E836FB" w:rsidRDefault="00E836FB">
            <w:pPr>
              <w:rPr>
                <w:rFonts w:ascii="宋体"/>
              </w:rPr>
            </w:pPr>
          </w:p>
        </w:tc>
        <w:tc>
          <w:tcPr>
            <w:tcW w:w="5" w:type="pct"/>
            <w:shd w:val="clear" w:color="auto" w:fill="auto"/>
            <w:vAlign w:val="bottom"/>
          </w:tcPr>
          <w:p w14:paraId="5F2D4FC2" w14:textId="77777777" w:rsidR="00E836FB" w:rsidRDefault="00E836FB">
            <w:pPr>
              <w:rPr>
                <w:rFonts w:ascii="宋体"/>
              </w:rPr>
            </w:pPr>
          </w:p>
        </w:tc>
        <w:tc>
          <w:tcPr>
            <w:tcW w:w="50" w:type="pct"/>
            <w:shd w:val="clear" w:color="auto" w:fill="auto"/>
            <w:vAlign w:val="bottom"/>
          </w:tcPr>
          <w:p w14:paraId="5F2D4FC3" w14:textId="77777777" w:rsidR="00E836FB" w:rsidRDefault="00E836FB">
            <w:pPr>
              <w:rPr>
                <w:rFonts w:ascii="宋体"/>
              </w:rPr>
            </w:pPr>
          </w:p>
        </w:tc>
        <w:tc>
          <w:tcPr>
            <w:tcW w:w="702" w:type="pct"/>
            <w:shd w:val="clear" w:color="auto" w:fill="auto"/>
            <w:vAlign w:val="bottom"/>
          </w:tcPr>
          <w:p w14:paraId="5F2D4FC4" w14:textId="77777777" w:rsidR="00E836FB" w:rsidRDefault="00E836FB">
            <w:pPr>
              <w:rPr>
                <w:rFonts w:ascii="宋体"/>
              </w:rPr>
            </w:pPr>
          </w:p>
        </w:tc>
        <w:tc>
          <w:tcPr>
            <w:tcW w:w="5" w:type="pct"/>
            <w:shd w:val="clear" w:color="auto" w:fill="auto"/>
            <w:vAlign w:val="bottom"/>
          </w:tcPr>
          <w:p w14:paraId="5F2D4FC5" w14:textId="77777777" w:rsidR="00E836FB" w:rsidRDefault="00E836FB">
            <w:pPr>
              <w:rPr>
                <w:rFonts w:ascii="宋体"/>
              </w:rPr>
            </w:pPr>
          </w:p>
        </w:tc>
        <w:tc>
          <w:tcPr>
            <w:tcW w:w="5" w:type="pct"/>
            <w:shd w:val="clear" w:color="auto" w:fill="auto"/>
            <w:vAlign w:val="bottom"/>
          </w:tcPr>
          <w:p w14:paraId="5F2D4FC6" w14:textId="77777777" w:rsidR="00E836FB" w:rsidRDefault="00E836FB">
            <w:pPr>
              <w:rPr>
                <w:rFonts w:ascii="宋体"/>
              </w:rPr>
            </w:pPr>
          </w:p>
        </w:tc>
        <w:tc>
          <w:tcPr>
            <w:tcW w:w="68" w:type="pct"/>
            <w:shd w:val="clear" w:color="auto" w:fill="auto"/>
            <w:vAlign w:val="bottom"/>
          </w:tcPr>
          <w:p w14:paraId="5F2D4FC7" w14:textId="77777777" w:rsidR="00E836FB" w:rsidRDefault="00E836FB">
            <w:pPr>
              <w:rPr>
                <w:rFonts w:ascii="宋体"/>
              </w:rPr>
            </w:pPr>
          </w:p>
        </w:tc>
        <w:tc>
          <w:tcPr>
            <w:tcW w:w="5" w:type="pct"/>
            <w:shd w:val="clear" w:color="auto" w:fill="auto"/>
            <w:vAlign w:val="bottom"/>
          </w:tcPr>
          <w:p w14:paraId="5F2D4FC8" w14:textId="77777777" w:rsidR="00E836FB" w:rsidRDefault="00E836FB">
            <w:pPr>
              <w:rPr>
                <w:rFonts w:ascii="宋体"/>
              </w:rPr>
            </w:pPr>
          </w:p>
        </w:tc>
        <w:tc>
          <w:tcPr>
            <w:tcW w:w="50" w:type="pct"/>
            <w:shd w:val="clear" w:color="auto" w:fill="auto"/>
            <w:vAlign w:val="bottom"/>
          </w:tcPr>
          <w:p w14:paraId="5F2D4FC9" w14:textId="77777777" w:rsidR="00E836FB" w:rsidRDefault="00E836FB">
            <w:pPr>
              <w:rPr>
                <w:rFonts w:ascii="宋体"/>
              </w:rPr>
            </w:pPr>
          </w:p>
        </w:tc>
        <w:tc>
          <w:tcPr>
            <w:tcW w:w="702" w:type="pct"/>
            <w:shd w:val="clear" w:color="auto" w:fill="auto"/>
            <w:vAlign w:val="bottom"/>
          </w:tcPr>
          <w:p w14:paraId="5F2D4FCA" w14:textId="77777777" w:rsidR="00E836FB" w:rsidRDefault="00E836FB">
            <w:pPr>
              <w:rPr>
                <w:rFonts w:ascii="宋体"/>
              </w:rPr>
            </w:pPr>
          </w:p>
        </w:tc>
        <w:tc>
          <w:tcPr>
            <w:tcW w:w="5" w:type="pct"/>
            <w:shd w:val="clear" w:color="auto" w:fill="auto"/>
            <w:vAlign w:val="bottom"/>
          </w:tcPr>
          <w:p w14:paraId="5F2D4FCB" w14:textId="77777777" w:rsidR="00E836FB" w:rsidRDefault="00E836FB">
            <w:pPr>
              <w:rPr>
                <w:rFonts w:ascii="宋体"/>
              </w:rPr>
            </w:pPr>
          </w:p>
        </w:tc>
      </w:tr>
      <w:tr w:rsidR="00E836FB" w14:paraId="5F2D4FCF" w14:textId="77777777">
        <w:tc>
          <w:tcPr>
            <w:tcW w:w="0" w:type="auto"/>
            <w:gridSpan w:val="3"/>
            <w:shd w:val="clear" w:color="auto" w:fill="auto"/>
            <w:tcMar>
              <w:top w:w="0" w:type="dxa"/>
              <w:left w:w="20" w:type="dxa"/>
              <w:bottom w:w="0" w:type="dxa"/>
              <w:right w:w="20" w:type="dxa"/>
            </w:tcMar>
            <w:vAlign w:val="bottom"/>
          </w:tcPr>
          <w:p w14:paraId="5F2D4FCD"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4FCE" w14:textId="77777777" w:rsidR="00E836FB" w:rsidRDefault="00994958">
            <w:pPr>
              <w:jc w:val="center"/>
              <w:textAlignment w:val="bottom"/>
            </w:pPr>
            <w:r>
              <w:rPr>
                <w:rFonts w:ascii="Arial" w:eastAsia="宋体" w:hAnsi="Arial" w:cs="Arial"/>
                <w:b/>
                <w:bCs/>
                <w:color w:val="000000"/>
                <w:sz w:val="14"/>
                <w:szCs w:val="14"/>
              </w:rPr>
              <w:t>December 31,</w:t>
            </w:r>
          </w:p>
        </w:tc>
      </w:tr>
      <w:tr w:rsidR="00E836FB" w14:paraId="5F2D4FD6" w14:textId="77777777">
        <w:tc>
          <w:tcPr>
            <w:tcW w:w="0" w:type="auto"/>
            <w:gridSpan w:val="3"/>
            <w:shd w:val="clear" w:color="auto" w:fill="auto"/>
            <w:tcMar>
              <w:top w:w="40" w:type="dxa"/>
              <w:left w:w="20" w:type="dxa"/>
              <w:bottom w:w="40" w:type="dxa"/>
              <w:right w:w="20" w:type="dxa"/>
            </w:tcMar>
            <w:vAlign w:val="bottom"/>
          </w:tcPr>
          <w:p w14:paraId="5F2D4FD0" w14:textId="77777777" w:rsidR="00E836FB" w:rsidRDefault="00994958">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FD1"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FD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FD3"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4FD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4FD5" w14:textId="77777777" w:rsidR="00E836FB" w:rsidRDefault="00994958">
            <w:pPr>
              <w:jc w:val="center"/>
              <w:textAlignment w:val="bottom"/>
            </w:pPr>
            <w:r>
              <w:rPr>
                <w:rFonts w:ascii="Arial" w:eastAsia="宋体" w:hAnsi="Arial" w:cs="Arial"/>
                <w:b/>
                <w:bCs/>
                <w:color w:val="000000"/>
                <w:sz w:val="14"/>
                <w:szCs w:val="14"/>
              </w:rPr>
              <w:t>2019</w:t>
            </w:r>
          </w:p>
        </w:tc>
      </w:tr>
      <w:tr w:rsidR="00E836FB" w14:paraId="5F2D4FE3" w14:textId="77777777">
        <w:tc>
          <w:tcPr>
            <w:tcW w:w="0" w:type="auto"/>
            <w:gridSpan w:val="3"/>
            <w:shd w:val="clear" w:color="auto" w:fill="CCEEFF"/>
            <w:tcMar>
              <w:top w:w="40" w:type="dxa"/>
              <w:left w:w="20" w:type="dxa"/>
              <w:bottom w:w="40" w:type="dxa"/>
              <w:right w:w="20" w:type="dxa"/>
            </w:tcMar>
            <w:vAlign w:val="bottom"/>
          </w:tcPr>
          <w:p w14:paraId="5F2D4FD7" w14:textId="77777777" w:rsidR="00E836FB" w:rsidRDefault="00994958">
            <w:pPr>
              <w:textAlignment w:val="bottom"/>
            </w:pPr>
            <w:r>
              <w:rPr>
                <w:rFonts w:ascii="Arial" w:eastAsia="宋体" w:hAnsi="Arial" w:cs="Arial"/>
                <w:color w:val="000000"/>
                <w:sz w:val="14"/>
                <w:szCs w:val="14"/>
              </w:rPr>
              <w:t>Beginning 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4FD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FD9" w14:textId="77777777" w:rsidR="00E836FB" w:rsidRDefault="00994958">
            <w:pPr>
              <w:jc w:val="right"/>
              <w:textAlignment w:val="bottom"/>
            </w:pPr>
            <w:r>
              <w:rPr>
                <w:rFonts w:ascii="Arial" w:eastAsia="宋体" w:hAnsi="Arial" w:cs="Arial"/>
                <w:b/>
                <w:bCs/>
                <w:color w:val="000000"/>
                <w:sz w:val="14"/>
                <w:szCs w:val="14"/>
              </w:rPr>
              <w:t>308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FD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D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FD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FDD" w14:textId="77777777" w:rsidR="00E836FB" w:rsidRDefault="00994958">
            <w:pPr>
              <w:jc w:val="right"/>
              <w:textAlignment w:val="bottom"/>
            </w:pPr>
            <w:r>
              <w:rPr>
                <w:rFonts w:ascii="Arial" w:eastAsia="宋体" w:hAnsi="Arial" w:cs="Arial"/>
                <w:color w:val="000000"/>
                <w:sz w:val="14"/>
                <w:szCs w:val="14"/>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F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D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4FE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4FE1" w14:textId="77777777" w:rsidR="00E836FB" w:rsidRDefault="00994958">
            <w:pPr>
              <w:jc w:val="right"/>
              <w:textAlignment w:val="bottom"/>
            </w:pPr>
            <w:r>
              <w:rPr>
                <w:rFonts w:ascii="Arial" w:eastAsia="宋体" w:hAnsi="Arial" w:cs="Arial"/>
                <w:color w:val="000000"/>
                <w:sz w:val="14"/>
                <w:szCs w:val="14"/>
              </w:rPr>
              <w:t>108 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4FE2" w14:textId="77777777" w:rsidR="00E836FB" w:rsidRDefault="00E836FB">
            <w:pPr>
              <w:jc w:val="right"/>
              <w:rPr>
                <w:rFonts w:ascii="宋体"/>
              </w:rPr>
            </w:pPr>
          </w:p>
        </w:tc>
      </w:tr>
      <w:tr w:rsidR="00E836FB" w14:paraId="5F2D4FED" w14:textId="77777777">
        <w:tc>
          <w:tcPr>
            <w:tcW w:w="0" w:type="auto"/>
            <w:gridSpan w:val="3"/>
            <w:shd w:val="clear" w:color="auto" w:fill="FFFFFF"/>
            <w:tcMar>
              <w:top w:w="40" w:type="dxa"/>
              <w:left w:w="20" w:type="dxa"/>
              <w:bottom w:w="40" w:type="dxa"/>
              <w:right w:w="20" w:type="dxa"/>
            </w:tcMar>
            <w:vAlign w:val="bottom"/>
          </w:tcPr>
          <w:p w14:paraId="5F2D4FE4" w14:textId="77777777" w:rsidR="00E836FB" w:rsidRDefault="00994958">
            <w:pPr>
              <w:textAlignment w:val="bottom"/>
            </w:pPr>
            <w:r>
              <w:rPr>
                <w:rFonts w:ascii="Arial" w:eastAsia="宋体" w:hAnsi="Arial" w:cs="Arial"/>
                <w:color w:val="000000"/>
                <w:sz w:val="14"/>
                <w:szCs w:val="14"/>
              </w:rPr>
              <w:t>Decrease related to agreements with tax authorities</w:t>
            </w:r>
          </w:p>
        </w:tc>
        <w:tc>
          <w:tcPr>
            <w:tcW w:w="0" w:type="auto"/>
            <w:gridSpan w:val="2"/>
            <w:shd w:val="clear" w:color="auto" w:fill="FFFFFF"/>
            <w:tcMar>
              <w:top w:w="40" w:type="dxa"/>
              <w:left w:w="20" w:type="dxa"/>
              <w:bottom w:w="40" w:type="dxa"/>
              <w:right w:w="0" w:type="dxa"/>
            </w:tcMar>
            <w:vAlign w:val="bottom"/>
          </w:tcPr>
          <w:p w14:paraId="5F2D4FE5" w14:textId="77777777" w:rsidR="00E836FB" w:rsidRDefault="00994958">
            <w:pPr>
              <w:jc w:val="right"/>
              <w:textAlignment w:val="bottom"/>
            </w:pPr>
            <w:r>
              <w:rPr>
                <w:rFonts w:ascii="Arial" w:eastAsia="宋体" w:hAnsi="Arial" w:cs="Arial"/>
                <w:b/>
                <w:bCs/>
                <w:color w:val="000000"/>
                <w:sz w:val="14"/>
                <w:szCs w:val="14"/>
              </w:rPr>
              <w:t>(130)</w:t>
            </w:r>
          </w:p>
        </w:tc>
        <w:tc>
          <w:tcPr>
            <w:tcW w:w="0" w:type="auto"/>
            <w:shd w:val="clear" w:color="auto" w:fill="FFFFFF"/>
            <w:tcMar>
              <w:top w:w="40" w:type="dxa"/>
              <w:left w:w="0" w:type="dxa"/>
              <w:bottom w:w="40" w:type="dxa"/>
              <w:right w:w="20" w:type="dxa"/>
            </w:tcMar>
            <w:vAlign w:val="bottom"/>
          </w:tcPr>
          <w:p w14:paraId="5F2D4F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FE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F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E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FEB" w14:textId="77777777" w:rsidR="00E836FB" w:rsidRDefault="00994958">
            <w:pPr>
              <w:jc w:val="right"/>
              <w:textAlignment w:val="bottom"/>
            </w:pPr>
            <w:r>
              <w:rPr>
                <w:rFonts w:ascii="Arial" w:eastAsia="宋体" w:hAnsi="Arial" w:cs="Arial"/>
                <w:color w:val="000000"/>
                <w:sz w:val="14"/>
                <w:szCs w:val="14"/>
              </w:rPr>
              <w:t>(17)</w:t>
            </w:r>
          </w:p>
        </w:tc>
        <w:tc>
          <w:tcPr>
            <w:tcW w:w="0" w:type="auto"/>
            <w:shd w:val="clear" w:color="auto" w:fill="FFFFFF"/>
            <w:tcMar>
              <w:top w:w="40" w:type="dxa"/>
              <w:left w:w="0" w:type="dxa"/>
              <w:bottom w:w="40" w:type="dxa"/>
              <w:right w:w="20" w:type="dxa"/>
            </w:tcMar>
            <w:vAlign w:val="bottom"/>
          </w:tcPr>
          <w:p w14:paraId="5F2D4FEC" w14:textId="77777777" w:rsidR="00E836FB" w:rsidRDefault="00E836FB">
            <w:pPr>
              <w:jc w:val="right"/>
              <w:rPr>
                <w:rFonts w:ascii="宋体"/>
              </w:rPr>
            </w:pPr>
          </w:p>
        </w:tc>
      </w:tr>
      <w:tr w:rsidR="00E836FB" w14:paraId="5F2D4FF7" w14:textId="77777777">
        <w:tc>
          <w:tcPr>
            <w:tcW w:w="0" w:type="auto"/>
            <w:gridSpan w:val="3"/>
            <w:shd w:val="clear" w:color="auto" w:fill="CCEEFF"/>
            <w:tcMar>
              <w:top w:w="40" w:type="dxa"/>
              <w:left w:w="20" w:type="dxa"/>
              <w:bottom w:w="40" w:type="dxa"/>
              <w:right w:w="20" w:type="dxa"/>
            </w:tcMar>
            <w:vAlign w:val="bottom"/>
          </w:tcPr>
          <w:p w14:paraId="5F2D4FEE" w14:textId="77777777" w:rsidR="00E836FB" w:rsidRDefault="00994958">
            <w:pPr>
              <w:textAlignment w:val="bottom"/>
            </w:pPr>
            <w:r>
              <w:rPr>
                <w:rFonts w:ascii="Arial" w:eastAsia="宋体" w:hAnsi="Arial" w:cs="Arial"/>
                <w:color w:val="000000"/>
                <w:sz w:val="14"/>
                <w:szCs w:val="14"/>
              </w:rPr>
              <w:t>Increase related to tax positions taken during current year</w:t>
            </w:r>
          </w:p>
        </w:tc>
        <w:tc>
          <w:tcPr>
            <w:tcW w:w="0" w:type="auto"/>
            <w:gridSpan w:val="2"/>
            <w:shd w:val="clear" w:color="auto" w:fill="CCEEFF"/>
            <w:tcMar>
              <w:top w:w="40" w:type="dxa"/>
              <w:left w:w="20" w:type="dxa"/>
              <w:bottom w:w="40" w:type="dxa"/>
              <w:right w:w="0" w:type="dxa"/>
            </w:tcMar>
            <w:vAlign w:val="bottom"/>
          </w:tcPr>
          <w:p w14:paraId="5F2D4FEF" w14:textId="77777777" w:rsidR="00E836FB" w:rsidRDefault="00994958">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4FF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F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FF2" w14:textId="77777777" w:rsidR="00E836FB" w:rsidRDefault="00994958">
            <w:pPr>
              <w:jc w:val="right"/>
              <w:textAlignment w:val="bottom"/>
            </w:pPr>
            <w:r>
              <w:rPr>
                <w:rFonts w:ascii="Arial" w:eastAsia="宋体" w:hAnsi="Arial" w:cs="Arial"/>
                <w:color w:val="000000"/>
                <w:sz w:val="14"/>
                <w:szCs w:val="14"/>
              </w:rPr>
              <w:t>47 </w:t>
            </w:r>
          </w:p>
        </w:tc>
        <w:tc>
          <w:tcPr>
            <w:tcW w:w="0" w:type="auto"/>
            <w:shd w:val="clear" w:color="auto" w:fill="CCEEFF"/>
            <w:tcMar>
              <w:top w:w="40" w:type="dxa"/>
              <w:left w:w="0" w:type="dxa"/>
              <w:bottom w:w="40" w:type="dxa"/>
              <w:right w:w="20" w:type="dxa"/>
            </w:tcMar>
            <w:vAlign w:val="bottom"/>
          </w:tcPr>
          <w:p w14:paraId="5F2D4FF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4FF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4FF5" w14:textId="77777777" w:rsidR="00E836FB" w:rsidRDefault="00994958">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5F2D4FF6" w14:textId="77777777" w:rsidR="00E836FB" w:rsidRDefault="00E836FB">
            <w:pPr>
              <w:jc w:val="right"/>
              <w:rPr>
                <w:rFonts w:ascii="宋体"/>
              </w:rPr>
            </w:pPr>
          </w:p>
        </w:tc>
      </w:tr>
      <w:tr w:rsidR="00E836FB" w14:paraId="5F2D5001" w14:textId="77777777">
        <w:tc>
          <w:tcPr>
            <w:tcW w:w="0" w:type="auto"/>
            <w:gridSpan w:val="3"/>
            <w:shd w:val="clear" w:color="auto" w:fill="FFFFFF"/>
            <w:tcMar>
              <w:top w:w="40" w:type="dxa"/>
              <w:left w:w="20" w:type="dxa"/>
              <w:bottom w:w="40" w:type="dxa"/>
              <w:right w:w="20" w:type="dxa"/>
            </w:tcMar>
            <w:vAlign w:val="bottom"/>
          </w:tcPr>
          <w:p w14:paraId="5F2D4FF8" w14:textId="77777777" w:rsidR="00E836FB" w:rsidRDefault="00994958">
            <w:pPr>
              <w:textAlignment w:val="bottom"/>
            </w:pPr>
            <w:r>
              <w:rPr>
                <w:rFonts w:ascii="Arial" w:eastAsia="宋体" w:hAnsi="Arial" w:cs="Arial"/>
                <w:color w:val="000000"/>
                <w:sz w:val="14"/>
                <w:szCs w:val="14"/>
              </w:rPr>
              <w:t>Increase related to tax positions taken during prior years</w:t>
            </w:r>
          </w:p>
        </w:tc>
        <w:tc>
          <w:tcPr>
            <w:tcW w:w="0" w:type="auto"/>
            <w:gridSpan w:val="2"/>
            <w:shd w:val="clear" w:color="auto" w:fill="FFFFFF"/>
            <w:tcMar>
              <w:top w:w="40" w:type="dxa"/>
              <w:left w:w="20" w:type="dxa"/>
              <w:bottom w:w="40" w:type="dxa"/>
              <w:right w:w="0" w:type="dxa"/>
            </w:tcMar>
            <w:vAlign w:val="bottom"/>
          </w:tcPr>
          <w:p w14:paraId="5F2D4FF9" w14:textId="77777777" w:rsidR="00E836FB" w:rsidRDefault="00994958">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4F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FFC" w14:textId="77777777" w:rsidR="00E836FB" w:rsidRDefault="00994958">
            <w:pPr>
              <w:jc w:val="right"/>
              <w:textAlignment w:val="bottom"/>
            </w:pPr>
            <w:r>
              <w:rPr>
                <w:rFonts w:ascii="Arial" w:eastAsia="宋体" w:hAnsi="Arial" w:cs="Arial"/>
                <w:color w:val="000000"/>
                <w:sz w:val="14"/>
                <w:szCs w:val="14"/>
              </w:rPr>
              <w:t>137 </w:t>
            </w:r>
          </w:p>
        </w:tc>
        <w:tc>
          <w:tcPr>
            <w:tcW w:w="0" w:type="auto"/>
            <w:shd w:val="clear" w:color="auto" w:fill="FFFFFF"/>
            <w:tcMar>
              <w:top w:w="40" w:type="dxa"/>
              <w:left w:w="0" w:type="dxa"/>
              <w:bottom w:w="40" w:type="dxa"/>
              <w:right w:w="20" w:type="dxa"/>
            </w:tcMar>
            <w:vAlign w:val="bottom"/>
          </w:tcPr>
          <w:p w14:paraId="5F2D4F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4F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4FFF" w14:textId="77777777" w:rsidR="00E836FB" w:rsidRDefault="00994958">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5F2D5000" w14:textId="77777777" w:rsidR="00E836FB" w:rsidRDefault="00E836FB">
            <w:pPr>
              <w:jc w:val="right"/>
              <w:rPr>
                <w:rFonts w:ascii="宋体"/>
              </w:rPr>
            </w:pPr>
          </w:p>
        </w:tc>
      </w:tr>
      <w:tr w:rsidR="00E836FB" w14:paraId="5F2D500B" w14:textId="77777777">
        <w:tc>
          <w:tcPr>
            <w:tcW w:w="0" w:type="auto"/>
            <w:gridSpan w:val="3"/>
            <w:shd w:val="clear" w:color="auto" w:fill="CCEEFF"/>
            <w:tcMar>
              <w:top w:w="40" w:type="dxa"/>
              <w:left w:w="20" w:type="dxa"/>
              <w:bottom w:w="40" w:type="dxa"/>
              <w:right w:w="20" w:type="dxa"/>
            </w:tcMar>
            <w:vAlign w:val="bottom"/>
          </w:tcPr>
          <w:p w14:paraId="5F2D5002" w14:textId="77777777" w:rsidR="00E836FB" w:rsidRDefault="00994958">
            <w:pPr>
              <w:textAlignment w:val="bottom"/>
            </w:pPr>
            <w:r>
              <w:rPr>
                <w:rFonts w:ascii="Arial" w:eastAsia="宋体" w:hAnsi="Arial" w:cs="Arial"/>
                <w:color w:val="000000"/>
                <w:sz w:val="14"/>
                <w:szCs w:val="14"/>
              </w:rPr>
              <w:t>Decreases related to a lapse of the applicable statute of limitations</w:t>
            </w:r>
          </w:p>
        </w:tc>
        <w:tc>
          <w:tcPr>
            <w:tcW w:w="0" w:type="auto"/>
            <w:gridSpan w:val="2"/>
            <w:shd w:val="clear" w:color="auto" w:fill="CCEEFF"/>
            <w:tcMar>
              <w:top w:w="40" w:type="dxa"/>
              <w:left w:w="20" w:type="dxa"/>
              <w:bottom w:w="40" w:type="dxa"/>
              <w:right w:w="0" w:type="dxa"/>
            </w:tcMar>
            <w:vAlign w:val="bottom"/>
          </w:tcPr>
          <w:p w14:paraId="5F2D5003" w14:textId="77777777" w:rsidR="00E836FB" w:rsidRDefault="00994958">
            <w:pPr>
              <w:jc w:val="right"/>
              <w:textAlignment w:val="bottom"/>
            </w:pPr>
            <w:r>
              <w:rPr>
                <w:rFonts w:ascii="Arial" w:eastAsia="宋体" w:hAnsi="Arial" w:cs="Arial"/>
                <w:b/>
                <w:bCs/>
                <w:color w:val="000000"/>
                <w:sz w:val="14"/>
                <w:szCs w:val="14"/>
              </w:rPr>
              <w:t>(18)</w:t>
            </w:r>
          </w:p>
        </w:tc>
        <w:tc>
          <w:tcPr>
            <w:tcW w:w="0" w:type="auto"/>
            <w:shd w:val="clear" w:color="auto" w:fill="CCEEFF"/>
            <w:tcMar>
              <w:top w:w="40" w:type="dxa"/>
              <w:left w:w="0" w:type="dxa"/>
              <w:bottom w:w="40" w:type="dxa"/>
              <w:right w:w="20" w:type="dxa"/>
            </w:tcMar>
            <w:vAlign w:val="bottom"/>
          </w:tcPr>
          <w:p w14:paraId="5F2D50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0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06" w14:textId="77777777" w:rsidR="00E836FB" w:rsidRDefault="00994958">
            <w:pPr>
              <w:jc w:val="right"/>
              <w:textAlignment w:val="bottom"/>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bottom"/>
          </w:tcPr>
          <w:p w14:paraId="5F2D500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0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09" w14:textId="77777777" w:rsidR="00E836FB" w:rsidRDefault="00994958">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F2D500A" w14:textId="77777777" w:rsidR="00E836FB" w:rsidRDefault="00E836FB">
            <w:pPr>
              <w:jc w:val="right"/>
              <w:rPr>
                <w:rFonts w:ascii="宋体"/>
              </w:rPr>
            </w:pPr>
          </w:p>
        </w:tc>
      </w:tr>
      <w:tr w:rsidR="00E836FB" w14:paraId="5F2D5018" w14:textId="77777777">
        <w:tc>
          <w:tcPr>
            <w:tcW w:w="0" w:type="auto"/>
            <w:gridSpan w:val="3"/>
            <w:shd w:val="clear" w:color="auto" w:fill="FFFFFF"/>
            <w:tcMar>
              <w:top w:w="40" w:type="dxa"/>
              <w:left w:w="20" w:type="dxa"/>
              <w:bottom w:w="40" w:type="dxa"/>
              <w:right w:w="20" w:type="dxa"/>
            </w:tcMar>
            <w:vAlign w:val="bottom"/>
          </w:tcPr>
          <w:p w14:paraId="5F2D500C" w14:textId="77777777" w:rsidR="00E836FB" w:rsidRDefault="00994958">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500D"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500E" w14:textId="77777777" w:rsidR="00E836FB" w:rsidRDefault="00994958">
            <w:pPr>
              <w:jc w:val="right"/>
              <w:textAlignment w:val="bottom"/>
            </w:pPr>
            <w:r>
              <w:rPr>
                <w:rFonts w:ascii="Arial" w:eastAsia="宋体" w:hAnsi="Arial" w:cs="Arial"/>
                <w:b/>
                <w:bCs/>
                <w:color w:val="000000"/>
                <w:sz w:val="14"/>
                <w:szCs w:val="14"/>
              </w:rPr>
              <w:t>252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500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010"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501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5012" w14:textId="77777777" w:rsidR="00E836FB" w:rsidRDefault="00994958">
            <w:pPr>
              <w:jc w:val="right"/>
              <w:textAlignment w:val="bottom"/>
            </w:pPr>
            <w:r>
              <w:rPr>
                <w:rFonts w:ascii="Arial" w:eastAsia="宋体" w:hAnsi="Arial" w:cs="Arial"/>
                <w:color w:val="000000"/>
                <w:sz w:val="14"/>
                <w:szCs w:val="14"/>
              </w:rPr>
              <w:t>308 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50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014"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501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5016" w14:textId="77777777" w:rsidR="00E836FB" w:rsidRDefault="00994958">
            <w:pPr>
              <w:jc w:val="right"/>
              <w:textAlignment w:val="bottom"/>
            </w:pPr>
            <w:r>
              <w:rPr>
                <w:rFonts w:ascii="Arial" w:eastAsia="宋体" w:hAnsi="Arial" w:cs="Arial"/>
                <w:color w:val="000000"/>
                <w:sz w:val="14"/>
                <w:szCs w:val="14"/>
              </w:rPr>
              <w:t>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5017" w14:textId="77777777" w:rsidR="00E836FB" w:rsidRDefault="00E836FB">
            <w:pPr>
              <w:jc w:val="right"/>
              <w:rPr>
                <w:rFonts w:ascii="宋体"/>
              </w:rPr>
            </w:pPr>
          </w:p>
        </w:tc>
      </w:tr>
    </w:tbl>
    <w:p w14:paraId="5F2D5019" w14:textId="77777777" w:rsidR="00E836FB" w:rsidRDefault="00994958">
      <w:pPr>
        <w:spacing w:before="60"/>
        <w:ind w:firstLine="450"/>
        <w:jc w:val="both"/>
        <w:textAlignment w:val="top"/>
      </w:pPr>
      <w:r>
        <w:rPr>
          <w:rFonts w:ascii="Arial" w:eastAsia="宋体" w:hAnsi="Arial" w:cs="Arial"/>
          <w:color w:val="000000"/>
          <w:sz w:val="20"/>
          <w:szCs w:val="20"/>
        </w:rPr>
        <w:t>It is reasonably possible that of the $252 million of unrecognized tax benefits as of December 31, 2021, up to $71 million could decrease within the next 12 months due to agreements with tax authorities</w:t>
      </w:r>
      <w:r>
        <w:rPr>
          <w:rFonts w:ascii="Arial" w:eastAsia="宋体" w:hAnsi="Arial" w:cs="Arial"/>
          <w:color w:val="000000"/>
          <w:sz w:val="20"/>
          <w:szCs w:val="20"/>
        </w:rPr>
        <w:t xml:space="preserve"> and the expiration of statutes of limitations. Management believes that we have sufficient accrued liabilities as of December 31, 2021 for tax exposures and related interest expense.</w:t>
      </w:r>
    </w:p>
    <w:p w14:paraId="5F2D501A" w14:textId="77777777" w:rsidR="00E836FB" w:rsidRDefault="00994958">
      <w:pPr>
        <w:spacing w:before="60"/>
        <w:ind w:firstLine="450"/>
        <w:jc w:val="both"/>
        <w:textAlignment w:val="top"/>
      </w:pPr>
      <w:r>
        <w:rPr>
          <w:rFonts w:ascii="Arial" w:eastAsia="宋体" w:hAnsi="Arial" w:cs="Arial"/>
          <w:color w:val="000000"/>
          <w:sz w:val="20"/>
          <w:szCs w:val="20"/>
        </w:rPr>
        <w:t>Income tax expense included related interest and penalties of approximat</w:t>
      </w:r>
      <w:r>
        <w:rPr>
          <w:rFonts w:ascii="Arial" w:eastAsia="宋体" w:hAnsi="Arial" w:cs="Arial"/>
          <w:color w:val="000000"/>
          <w:sz w:val="20"/>
          <w:szCs w:val="20"/>
        </w:rPr>
        <w:t>ely $6 million, $6 million and $5 million in 2021, 2020 and 2019, respectively. Total accrued interest and penalties were approximately $9 million, $14 million and $10 million as of December 31, 2021, 2020 and 2019, respectively.</w:t>
      </w:r>
    </w:p>
    <w:p w14:paraId="5F2D501B" w14:textId="77777777" w:rsidR="00E836FB" w:rsidRDefault="00994958">
      <w:pPr>
        <w:spacing w:before="180"/>
        <w:textAlignment w:val="top"/>
      </w:pPr>
      <w:r>
        <w:rPr>
          <w:rFonts w:ascii="Arial" w:eastAsia="宋体" w:hAnsi="Arial" w:cs="Arial"/>
          <w:b/>
          <w:bCs/>
          <w:color w:val="000000"/>
          <w:sz w:val="20"/>
          <w:szCs w:val="20"/>
        </w:rPr>
        <w:t>Note 23. Earnings Per Comm</w:t>
      </w:r>
      <w:r>
        <w:rPr>
          <w:rFonts w:ascii="Arial" w:eastAsia="宋体" w:hAnsi="Arial" w:cs="Arial"/>
          <w:b/>
          <w:bCs/>
          <w:color w:val="000000"/>
          <w:sz w:val="20"/>
          <w:szCs w:val="20"/>
        </w:rPr>
        <w:t xml:space="preserve">on Share </w:t>
      </w:r>
    </w:p>
    <w:p w14:paraId="5F2D501C" w14:textId="77777777" w:rsidR="00E836FB" w:rsidRDefault="00994958">
      <w:pPr>
        <w:spacing w:before="60"/>
        <w:ind w:firstLine="450"/>
        <w:jc w:val="both"/>
        <w:textAlignment w:val="top"/>
      </w:pPr>
      <w:r>
        <w:rPr>
          <w:rFonts w:ascii="Arial" w:eastAsia="宋体" w:hAnsi="Arial" w:cs="Arial"/>
          <w:color w:val="000000"/>
          <w:sz w:val="20"/>
          <w:szCs w:val="20"/>
        </w:rPr>
        <w:t xml:space="preserve">Basic EPS is calculated pursuant to the two-class method, by dividing net income available to common shareholders by the weighted-average common shares outstanding during the period. Diluted EPS is calculated pursuant to the two-class method, by </w:t>
      </w:r>
      <w:r>
        <w:rPr>
          <w:rFonts w:ascii="Arial" w:eastAsia="宋体" w:hAnsi="Arial" w:cs="Arial"/>
          <w:color w:val="000000"/>
          <w:sz w:val="20"/>
          <w:szCs w:val="20"/>
        </w:rPr>
        <w:t>dividing net income available to common shareholders by the total weighted-average number of common shares outstanding for the period plus the shares representing the dilutive effect of equity-based awards. The effect of equity-based awards is excluded fro</w:t>
      </w:r>
      <w:r>
        <w:rPr>
          <w:rFonts w:ascii="Arial" w:eastAsia="宋体" w:hAnsi="Arial" w:cs="Arial"/>
          <w:color w:val="000000"/>
          <w:sz w:val="20"/>
          <w:szCs w:val="20"/>
        </w:rPr>
        <w:t xml:space="preserve">m the calculation of diluted EPS in periods in which their effect would be anti-dilutive. </w:t>
      </w:r>
    </w:p>
    <w:p w14:paraId="5F2D501D" w14:textId="77777777" w:rsidR="00E836FB" w:rsidRDefault="00994958">
      <w:pPr>
        <w:ind w:firstLine="450"/>
        <w:jc w:val="both"/>
        <w:textAlignment w:val="top"/>
      </w:pPr>
      <w:r>
        <w:rPr>
          <w:rFonts w:ascii="Arial" w:eastAsia="宋体" w:hAnsi="Arial" w:cs="Arial"/>
          <w:color w:val="000000"/>
          <w:sz w:val="20"/>
          <w:szCs w:val="20"/>
        </w:rPr>
        <w:t xml:space="preserve">The two-class method requires the allocation of undistributed net income between common and participating shareholders. Net income available to common shareholders, </w:t>
      </w:r>
      <w:r>
        <w:rPr>
          <w:rFonts w:ascii="Arial" w:eastAsia="宋体" w:hAnsi="Arial" w:cs="Arial"/>
          <w:color w:val="000000"/>
          <w:sz w:val="20"/>
          <w:szCs w:val="20"/>
        </w:rPr>
        <w:t>presented separately in our consolidated statement of income, is the basis for the calculation of both basic and diluted EPS. Participating securities are composed of unvested and fully vested SERP shares and fully vested deferred director stock awards, wh</w:t>
      </w:r>
      <w:r>
        <w:rPr>
          <w:rFonts w:ascii="Arial" w:eastAsia="宋体" w:hAnsi="Arial" w:cs="Arial"/>
          <w:color w:val="000000"/>
          <w:sz w:val="20"/>
          <w:szCs w:val="20"/>
        </w:rPr>
        <w:t>ich are equity-based awards that contain non-forfeitable rights to dividends, and are considered to participate with the common stock in undistributed earnings.</w:t>
      </w:r>
    </w:p>
    <w:p w14:paraId="5F2D501E" w14:textId="77777777" w:rsidR="00E836FB" w:rsidRDefault="00994958">
      <w:pPr>
        <w:spacing w:before="60"/>
        <w:ind w:firstLine="450"/>
        <w:jc w:val="both"/>
        <w:textAlignment w:val="top"/>
      </w:pPr>
      <w:r>
        <w:rPr>
          <w:rFonts w:ascii="Arial" w:eastAsia="宋体" w:hAnsi="Arial" w:cs="Arial"/>
          <w:color w:val="000000"/>
          <w:sz w:val="20"/>
          <w:szCs w:val="20"/>
        </w:rPr>
        <w:t>The following table presents the computation of basic and diluted earnings per common share for</w:t>
      </w:r>
      <w:r>
        <w:rPr>
          <w:rFonts w:ascii="Arial" w:eastAsia="宋体" w:hAnsi="Arial" w:cs="Arial"/>
          <w:color w:val="000000"/>
          <w:sz w:val="20"/>
          <w:szCs w:val="20"/>
        </w:rPr>
        <w:t xml:space="preserve">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3858"/>
        <w:gridCol w:w="37"/>
        <w:gridCol w:w="94"/>
        <w:gridCol w:w="1235"/>
        <w:gridCol w:w="36"/>
        <w:gridCol w:w="36"/>
        <w:gridCol w:w="77"/>
        <w:gridCol w:w="36"/>
        <w:gridCol w:w="94"/>
        <w:gridCol w:w="1236"/>
        <w:gridCol w:w="36"/>
        <w:gridCol w:w="36"/>
        <w:gridCol w:w="77"/>
        <w:gridCol w:w="36"/>
        <w:gridCol w:w="94"/>
        <w:gridCol w:w="1236"/>
        <w:gridCol w:w="36"/>
      </w:tblGrid>
      <w:tr w:rsidR="00E836FB" w14:paraId="5F2D5031" w14:textId="77777777">
        <w:tc>
          <w:tcPr>
            <w:tcW w:w="50" w:type="pct"/>
            <w:shd w:val="clear" w:color="auto" w:fill="auto"/>
            <w:vAlign w:val="bottom"/>
          </w:tcPr>
          <w:p w14:paraId="5F2D501F" w14:textId="77777777" w:rsidR="00E836FB" w:rsidRDefault="00E836FB">
            <w:pPr>
              <w:rPr>
                <w:rFonts w:ascii="宋体"/>
              </w:rPr>
            </w:pPr>
          </w:p>
        </w:tc>
        <w:tc>
          <w:tcPr>
            <w:tcW w:w="2334" w:type="pct"/>
            <w:shd w:val="clear" w:color="auto" w:fill="auto"/>
            <w:vAlign w:val="bottom"/>
          </w:tcPr>
          <w:p w14:paraId="5F2D5020" w14:textId="77777777" w:rsidR="00E836FB" w:rsidRDefault="00E836FB">
            <w:pPr>
              <w:rPr>
                <w:rFonts w:ascii="宋体"/>
              </w:rPr>
            </w:pPr>
          </w:p>
        </w:tc>
        <w:tc>
          <w:tcPr>
            <w:tcW w:w="5" w:type="pct"/>
            <w:shd w:val="clear" w:color="auto" w:fill="auto"/>
            <w:vAlign w:val="bottom"/>
          </w:tcPr>
          <w:p w14:paraId="5F2D5021" w14:textId="77777777" w:rsidR="00E836FB" w:rsidRDefault="00E836FB">
            <w:pPr>
              <w:rPr>
                <w:rFonts w:ascii="宋体"/>
              </w:rPr>
            </w:pPr>
          </w:p>
        </w:tc>
        <w:tc>
          <w:tcPr>
            <w:tcW w:w="50" w:type="pct"/>
            <w:shd w:val="clear" w:color="auto" w:fill="auto"/>
            <w:vAlign w:val="bottom"/>
          </w:tcPr>
          <w:p w14:paraId="5F2D5022" w14:textId="77777777" w:rsidR="00E836FB" w:rsidRDefault="00E836FB">
            <w:pPr>
              <w:rPr>
                <w:rFonts w:ascii="宋体"/>
              </w:rPr>
            </w:pPr>
          </w:p>
        </w:tc>
        <w:tc>
          <w:tcPr>
            <w:tcW w:w="762" w:type="pct"/>
            <w:shd w:val="clear" w:color="auto" w:fill="auto"/>
            <w:vAlign w:val="bottom"/>
          </w:tcPr>
          <w:p w14:paraId="5F2D5023" w14:textId="77777777" w:rsidR="00E836FB" w:rsidRDefault="00E836FB">
            <w:pPr>
              <w:rPr>
                <w:rFonts w:ascii="宋体"/>
              </w:rPr>
            </w:pPr>
          </w:p>
        </w:tc>
        <w:tc>
          <w:tcPr>
            <w:tcW w:w="5" w:type="pct"/>
            <w:shd w:val="clear" w:color="auto" w:fill="auto"/>
            <w:vAlign w:val="bottom"/>
          </w:tcPr>
          <w:p w14:paraId="5F2D5024" w14:textId="77777777" w:rsidR="00E836FB" w:rsidRDefault="00E836FB">
            <w:pPr>
              <w:rPr>
                <w:rFonts w:ascii="宋体"/>
              </w:rPr>
            </w:pPr>
          </w:p>
        </w:tc>
        <w:tc>
          <w:tcPr>
            <w:tcW w:w="5" w:type="pct"/>
            <w:shd w:val="clear" w:color="auto" w:fill="auto"/>
            <w:vAlign w:val="bottom"/>
          </w:tcPr>
          <w:p w14:paraId="5F2D5025" w14:textId="77777777" w:rsidR="00E836FB" w:rsidRDefault="00E836FB">
            <w:pPr>
              <w:rPr>
                <w:rFonts w:ascii="宋体"/>
              </w:rPr>
            </w:pPr>
          </w:p>
        </w:tc>
        <w:tc>
          <w:tcPr>
            <w:tcW w:w="68" w:type="pct"/>
            <w:shd w:val="clear" w:color="auto" w:fill="auto"/>
            <w:vAlign w:val="bottom"/>
          </w:tcPr>
          <w:p w14:paraId="5F2D5026" w14:textId="77777777" w:rsidR="00E836FB" w:rsidRDefault="00E836FB">
            <w:pPr>
              <w:rPr>
                <w:rFonts w:ascii="宋体"/>
              </w:rPr>
            </w:pPr>
          </w:p>
        </w:tc>
        <w:tc>
          <w:tcPr>
            <w:tcW w:w="5" w:type="pct"/>
            <w:shd w:val="clear" w:color="auto" w:fill="auto"/>
            <w:vAlign w:val="bottom"/>
          </w:tcPr>
          <w:p w14:paraId="5F2D5027" w14:textId="77777777" w:rsidR="00E836FB" w:rsidRDefault="00E836FB">
            <w:pPr>
              <w:rPr>
                <w:rFonts w:ascii="宋体"/>
              </w:rPr>
            </w:pPr>
          </w:p>
        </w:tc>
        <w:tc>
          <w:tcPr>
            <w:tcW w:w="50" w:type="pct"/>
            <w:shd w:val="clear" w:color="auto" w:fill="auto"/>
            <w:vAlign w:val="bottom"/>
          </w:tcPr>
          <w:p w14:paraId="5F2D5028" w14:textId="77777777" w:rsidR="00E836FB" w:rsidRDefault="00E836FB">
            <w:pPr>
              <w:rPr>
                <w:rFonts w:ascii="宋体"/>
              </w:rPr>
            </w:pPr>
          </w:p>
        </w:tc>
        <w:tc>
          <w:tcPr>
            <w:tcW w:w="762" w:type="pct"/>
            <w:shd w:val="clear" w:color="auto" w:fill="auto"/>
            <w:vAlign w:val="bottom"/>
          </w:tcPr>
          <w:p w14:paraId="5F2D5029" w14:textId="77777777" w:rsidR="00E836FB" w:rsidRDefault="00E836FB">
            <w:pPr>
              <w:rPr>
                <w:rFonts w:ascii="宋体"/>
              </w:rPr>
            </w:pPr>
          </w:p>
        </w:tc>
        <w:tc>
          <w:tcPr>
            <w:tcW w:w="5" w:type="pct"/>
            <w:shd w:val="clear" w:color="auto" w:fill="auto"/>
            <w:vAlign w:val="bottom"/>
          </w:tcPr>
          <w:p w14:paraId="5F2D502A" w14:textId="77777777" w:rsidR="00E836FB" w:rsidRDefault="00E836FB">
            <w:pPr>
              <w:rPr>
                <w:rFonts w:ascii="宋体"/>
              </w:rPr>
            </w:pPr>
          </w:p>
        </w:tc>
        <w:tc>
          <w:tcPr>
            <w:tcW w:w="5" w:type="pct"/>
            <w:shd w:val="clear" w:color="auto" w:fill="auto"/>
            <w:vAlign w:val="bottom"/>
          </w:tcPr>
          <w:p w14:paraId="5F2D502B" w14:textId="77777777" w:rsidR="00E836FB" w:rsidRDefault="00E836FB">
            <w:pPr>
              <w:rPr>
                <w:rFonts w:ascii="宋体"/>
              </w:rPr>
            </w:pPr>
          </w:p>
        </w:tc>
        <w:tc>
          <w:tcPr>
            <w:tcW w:w="68" w:type="pct"/>
            <w:shd w:val="clear" w:color="auto" w:fill="auto"/>
            <w:vAlign w:val="bottom"/>
          </w:tcPr>
          <w:p w14:paraId="5F2D502C" w14:textId="77777777" w:rsidR="00E836FB" w:rsidRDefault="00E836FB">
            <w:pPr>
              <w:rPr>
                <w:rFonts w:ascii="宋体"/>
              </w:rPr>
            </w:pPr>
          </w:p>
        </w:tc>
        <w:tc>
          <w:tcPr>
            <w:tcW w:w="5" w:type="pct"/>
            <w:shd w:val="clear" w:color="auto" w:fill="auto"/>
            <w:vAlign w:val="bottom"/>
          </w:tcPr>
          <w:p w14:paraId="5F2D502D" w14:textId="77777777" w:rsidR="00E836FB" w:rsidRDefault="00E836FB">
            <w:pPr>
              <w:rPr>
                <w:rFonts w:ascii="宋体"/>
              </w:rPr>
            </w:pPr>
          </w:p>
        </w:tc>
        <w:tc>
          <w:tcPr>
            <w:tcW w:w="50" w:type="pct"/>
            <w:shd w:val="clear" w:color="auto" w:fill="auto"/>
            <w:vAlign w:val="bottom"/>
          </w:tcPr>
          <w:p w14:paraId="5F2D502E" w14:textId="77777777" w:rsidR="00E836FB" w:rsidRDefault="00E836FB">
            <w:pPr>
              <w:rPr>
                <w:rFonts w:ascii="宋体"/>
              </w:rPr>
            </w:pPr>
          </w:p>
        </w:tc>
        <w:tc>
          <w:tcPr>
            <w:tcW w:w="762" w:type="pct"/>
            <w:shd w:val="clear" w:color="auto" w:fill="auto"/>
            <w:vAlign w:val="bottom"/>
          </w:tcPr>
          <w:p w14:paraId="5F2D502F" w14:textId="77777777" w:rsidR="00E836FB" w:rsidRDefault="00E836FB">
            <w:pPr>
              <w:rPr>
                <w:rFonts w:ascii="宋体"/>
              </w:rPr>
            </w:pPr>
          </w:p>
        </w:tc>
        <w:tc>
          <w:tcPr>
            <w:tcW w:w="5" w:type="pct"/>
            <w:shd w:val="clear" w:color="auto" w:fill="auto"/>
            <w:vAlign w:val="bottom"/>
          </w:tcPr>
          <w:p w14:paraId="5F2D5030" w14:textId="77777777" w:rsidR="00E836FB" w:rsidRDefault="00E836FB">
            <w:pPr>
              <w:rPr>
                <w:rFonts w:ascii="宋体"/>
              </w:rPr>
            </w:pPr>
          </w:p>
        </w:tc>
      </w:tr>
      <w:tr w:rsidR="00E836FB" w14:paraId="5F2D5034" w14:textId="77777777">
        <w:tc>
          <w:tcPr>
            <w:tcW w:w="0" w:type="auto"/>
            <w:gridSpan w:val="3"/>
            <w:shd w:val="clear" w:color="auto" w:fill="auto"/>
            <w:tcMar>
              <w:top w:w="0" w:type="dxa"/>
              <w:left w:w="20" w:type="dxa"/>
              <w:bottom w:w="0" w:type="dxa"/>
              <w:right w:w="20" w:type="dxa"/>
            </w:tcMar>
            <w:vAlign w:val="bottom"/>
          </w:tcPr>
          <w:p w14:paraId="5F2D5032"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5033" w14:textId="77777777" w:rsidR="00E836FB" w:rsidRDefault="00994958">
            <w:pPr>
              <w:jc w:val="center"/>
              <w:textAlignment w:val="bottom"/>
            </w:pPr>
            <w:r>
              <w:rPr>
                <w:rFonts w:ascii="Arial" w:eastAsia="宋体" w:hAnsi="Arial" w:cs="Arial"/>
                <w:b/>
                <w:bCs/>
                <w:color w:val="000000"/>
                <w:sz w:val="13"/>
                <w:szCs w:val="13"/>
              </w:rPr>
              <w:t>Years Ended December 31,</w:t>
            </w:r>
          </w:p>
        </w:tc>
      </w:tr>
      <w:tr w:rsidR="00E836FB" w14:paraId="5F2D503B" w14:textId="77777777">
        <w:tc>
          <w:tcPr>
            <w:tcW w:w="0" w:type="auto"/>
            <w:gridSpan w:val="3"/>
            <w:shd w:val="clear" w:color="auto" w:fill="auto"/>
            <w:tcMar>
              <w:top w:w="40" w:type="dxa"/>
              <w:left w:w="20" w:type="dxa"/>
              <w:bottom w:w="40" w:type="dxa"/>
              <w:right w:w="20" w:type="dxa"/>
            </w:tcMar>
            <w:vAlign w:val="bottom"/>
          </w:tcPr>
          <w:p w14:paraId="5F2D5035" w14:textId="77777777" w:rsidR="00E836FB" w:rsidRDefault="00994958">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036"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03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038" w14:textId="77777777" w:rsidR="00E836FB" w:rsidRDefault="00994958">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03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03A" w14:textId="77777777" w:rsidR="00E836FB" w:rsidRDefault="00994958">
            <w:pPr>
              <w:jc w:val="center"/>
              <w:textAlignment w:val="bottom"/>
            </w:pPr>
            <w:r>
              <w:rPr>
                <w:rFonts w:ascii="Arial" w:eastAsia="宋体" w:hAnsi="Arial" w:cs="Arial"/>
                <w:b/>
                <w:bCs/>
                <w:color w:val="000000"/>
                <w:sz w:val="13"/>
                <w:szCs w:val="13"/>
              </w:rPr>
              <w:t>2019</w:t>
            </w:r>
          </w:p>
        </w:tc>
      </w:tr>
      <w:tr w:rsidR="00E836FB" w14:paraId="5F2D5048" w14:textId="77777777">
        <w:tc>
          <w:tcPr>
            <w:tcW w:w="0" w:type="auto"/>
            <w:gridSpan w:val="3"/>
            <w:shd w:val="clear" w:color="auto" w:fill="CCEEFF"/>
            <w:tcMar>
              <w:top w:w="40" w:type="dxa"/>
              <w:left w:w="20" w:type="dxa"/>
              <w:bottom w:w="40" w:type="dxa"/>
              <w:right w:w="20" w:type="dxa"/>
            </w:tcMar>
            <w:vAlign w:val="bottom"/>
          </w:tcPr>
          <w:p w14:paraId="5F2D503C" w14:textId="77777777" w:rsidR="00E836FB" w:rsidRDefault="00994958">
            <w:pPr>
              <w:textAlignment w:val="bottom"/>
            </w:pPr>
            <w:r>
              <w:rPr>
                <w:rFonts w:ascii="Arial" w:eastAsia="宋体" w:hAnsi="Arial" w:cs="Arial"/>
                <w:b/>
                <w:bCs/>
                <w:color w:val="000000"/>
                <w:sz w:val="13"/>
                <w:szCs w:val="13"/>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03D"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03E" w14:textId="77777777" w:rsidR="00E836FB" w:rsidRDefault="00994958">
            <w:pPr>
              <w:jc w:val="right"/>
              <w:textAlignment w:val="bottom"/>
            </w:pPr>
            <w:r>
              <w:rPr>
                <w:rFonts w:ascii="Arial" w:eastAsia="宋体" w:hAnsi="Arial" w:cs="Arial"/>
                <w:b/>
                <w:bCs/>
                <w:color w:val="000000"/>
                <w:sz w:val="13"/>
                <w:szCs w:val="13"/>
              </w:rPr>
              <w:t>2,693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4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041"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042" w14:textId="77777777" w:rsidR="00E836FB" w:rsidRDefault="00994958">
            <w:pPr>
              <w:jc w:val="right"/>
              <w:textAlignment w:val="bottom"/>
            </w:pPr>
            <w:r>
              <w:rPr>
                <w:rFonts w:ascii="Arial" w:eastAsia="宋体" w:hAnsi="Arial" w:cs="Arial"/>
                <w:color w:val="000000"/>
                <w:sz w:val="13"/>
                <w:szCs w:val="13"/>
              </w:rPr>
              <w:t>2,420 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4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045"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046" w14:textId="77777777" w:rsidR="00E836FB" w:rsidRDefault="00994958">
            <w:pPr>
              <w:jc w:val="right"/>
              <w:textAlignment w:val="bottom"/>
            </w:pPr>
            <w:r>
              <w:rPr>
                <w:rFonts w:ascii="Arial" w:eastAsia="宋体" w:hAnsi="Arial" w:cs="Arial"/>
                <w:color w:val="000000"/>
                <w:sz w:val="13"/>
                <w:szCs w:val="13"/>
              </w:rPr>
              <w:t>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47" w14:textId="77777777" w:rsidR="00E836FB" w:rsidRDefault="00E836FB">
            <w:pPr>
              <w:jc w:val="right"/>
              <w:rPr>
                <w:rFonts w:ascii="宋体"/>
              </w:rPr>
            </w:pPr>
          </w:p>
        </w:tc>
      </w:tr>
      <w:tr w:rsidR="00E836FB" w14:paraId="5F2D504F" w14:textId="77777777">
        <w:tc>
          <w:tcPr>
            <w:tcW w:w="0" w:type="auto"/>
            <w:gridSpan w:val="3"/>
            <w:shd w:val="clear" w:color="auto" w:fill="FFFFFF"/>
            <w:tcMar>
              <w:top w:w="40" w:type="dxa"/>
              <w:left w:w="20" w:type="dxa"/>
              <w:bottom w:w="40" w:type="dxa"/>
              <w:right w:w="20" w:type="dxa"/>
            </w:tcMar>
            <w:vAlign w:val="bottom"/>
          </w:tcPr>
          <w:p w14:paraId="5F2D5049" w14:textId="77777777" w:rsidR="00E836FB" w:rsidRDefault="00994958">
            <w:pPr>
              <w:textAlignment w:val="bottom"/>
            </w:pPr>
            <w:r>
              <w:rPr>
                <w:rFonts w:ascii="Arial" w:eastAsia="宋体" w:hAnsi="Arial" w:cs="Arial"/>
                <w:color w:val="000000"/>
                <w:sz w:val="13"/>
                <w:szCs w:val="13"/>
              </w:rPr>
              <w:t>Less:</w:t>
            </w:r>
          </w:p>
        </w:tc>
        <w:tc>
          <w:tcPr>
            <w:tcW w:w="0" w:type="auto"/>
            <w:gridSpan w:val="3"/>
            <w:shd w:val="clear" w:color="auto" w:fill="auto"/>
            <w:tcMar>
              <w:top w:w="0" w:type="dxa"/>
              <w:left w:w="20" w:type="dxa"/>
              <w:bottom w:w="0" w:type="dxa"/>
              <w:right w:w="20" w:type="dxa"/>
            </w:tcMar>
            <w:vAlign w:val="bottom"/>
          </w:tcPr>
          <w:p w14:paraId="5F2D504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04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04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04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04E" w14:textId="77777777" w:rsidR="00E836FB" w:rsidRDefault="00E836FB">
            <w:pPr>
              <w:rPr>
                <w:rFonts w:ascii="宋体"/>
              </w:rPr>
            </w:pPr>
          </w:p>
        </w:tc>
      </w:tr>
      <w:tr w:rsidR="00E836FB" w14:paraId="5F2D5059" w14:textId="77777777">
        <w:tc>
          <w:tcPr>
            <w:tcW w:w="0" w:type="auto"/>
            <w:gridSpan w:val="3"/>
            <w:shd w:val="clear" w:color="auto" w:fill="CCEEFF"/>
            <w:tcMar>
              <w:top w:w="40" w:type="dxa"/>
              <w:left w:w="20" w:type="dxa"/>
              <w:bottom w:w="40" w:type="dxa"/>
              <w:right w:w="20" w:type="dxa"/>
            </w:tcMar>
            <w:vAlign w:val="bottom"/>
          </w:tcPr>
          <w:p w14:paraId="5F2D5050" w14:textId="77777777" w:rsidR="00E836FB" w:rsidRDefault="00994958">
            <w:pPr>
              <w:textAlignment w:val="bottom"/>
            </w:pPr>
            <w:r>
              <w:rPr>
                <w:rFonts w:ascii="Arial" w:eastAsia="宋体" w:hAnsi="Arial" w:cs="Arial"/>
                <w:color w:val="000000"/>
                <w:sz w:val="13"/>
                <w:szCs w:val="13"/>
              </w:rPr>
              <w:t xml:space="preserve">Preferred stock dividends </w:t>
            </w:r>
          </w:p>
        </w:tc>
        <w:tc>
          <w:tcPr>
            <w:tcW w:w="0" w:type="auto"/>
            <w:gridSpan w:val="2"/>
            <w:shd w:val="clear" w:color="auto" w:fill="CCEEFF"/>
            <w:tcMar>
              <w:top w:w="40" w:type="dxa"/>
              <w:left w:w="20" w:type="dxa"/>
              <w:bottom w:w="40" w:type="dxa"/>
              <w:right w:w="0" w:type="dxa"/>
            </w:tcMar>
            <w:vAlign w:val="bottom"/>
          </w:tcPr>
          <w:p w14:paraId="5F2D5051" w14:textId="77777777" w:rsidR="00E836FB" w:rsidRDefault="00994958">
            <w:pPr>
              <w:jc w:val="right"/>
              <w:textAlignment w:val="bottom"/>
            </w:pPr>
            <w:r>
              <w:rPr>
                <w:rFonts w:ascii="Arial" w:eastAsia="宋体" w:hAnsi="Arial" w:cs="Arial"/>
                <w:b/>
                <w:bCs/>
                <w:color w:val="000000"/>
                <w:sz w:val="13"/>
                <w:szCs w:val="13"/>
              </w:rPr>
              <w:t>(119)</w:t>
            </w:r>
          </w:p>
        </w:tc>
        <w:tc>
          <w:tcPr>
            <w:tcW w:w="0" w:type="auto"/>
            <w:shd w:val="clear" w:color="auto" w:fill="CCEEFF"/>
            <w:tcMar>
              <w:top w:w="40" w:type="dxa"/>
              <w:left w:w="0" w:type="dxa"/>
              <w:bottom w:w="40" w:type="dxa"/>
              <w:right w:w="20" w:type="dxa"/>
            </w:tcMar>
            <w:vAlign w:val="bottom"/>
          </w:tcPr>
          <w:p w14:paraId="5F2D50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54" w14:textId="77777777" w:rsidR="00E836FB" w:rsidRDefault="00994958">
            <w:pPr>
              <w:jc w:val="right"/>
              <w:textAlignment w:val="bottom"/>
            </w:pPr>
            <w:r>
              <w:rPr>
                <w:rFonts w:ascii="Arial" w:eastAsia="宋体" w:hAnsi="Arial" w:cs="Arial"/>
                <w:color w:val="000000"/>
                <w:sz w:val="13"/>
                <w:szCs w:val="13"/>
              </w:rPr>
              <w:t>(162)</w:t>
            </w:r>
          </w:p>
        </w:tc>
        <w:tc>
          <w:tcPr>
            <w:tcW w:w="0" w:type="auto"/>
            <w:shd w:val="clear" w:color="auto" w:fill="CCEEFF"/>
            <w:tcMar>
              <w:top w:w="40" w:type="dxa"/>
              <w:left w:w="0" w:type="dxa"/>
              <w:bottom w:w="40" w:type="dxa"/>
              <w:right w:w="20" w:type="dxa"/>
            </w:tcMar>
            <w:vAlign w:val="bottom"/>
          </w:tcPr>
          <w:p w14:paraId="5F2D50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57" w14:textId="77777777" w:rsidR="00E836FB" w:rsidRDefault="00994958">
            <w:pPr>
              <w:jc w:val="right"/>
              <w:textAlignment w:val="bottom"/>
            </w:pPr>
            <w:r>
              <w:rPr>
                <w:rFonts w:ascii="Arial" w:eastAsia="宋体" w:hAnsi="Arial" w:cs="Arial"/>
                <w:color w:val="000000"/>
                <w:sz w:val="13"/>
                <w:szCs w:val="13"/>
              </w:rPr>
              <w:t>(232)</w:t>
            </w:r>
          </w:p>
        </w:tc>
        <w:tc>
          <w:tcPr>
            <w:tcW w:w="0" w:type="auto"/>
            <w:shd w:val="clear" w:color="auto" w:fill="CCEEFF"/>
            <w:tcMar>
              <w:top w:w="40" w:type="dxa"/>
              <w:left w:w="0" w:type="dxa"/>
              <w:bottom w:w="40" w:type="dxa"/>
              <w:right w:w="20" w:type="dxa"/>
            </w:tcMar>
            <w:vAlign w:val="bottom"/>
          </w:tcPr>
          <w:p w14:paraId="5F2D5058" w14:textId="77777777" w:rsidR="00E836FB" w:rsidRDefault="00E836FB">
            <w:pPr>
              <w:jc w:val="right"/>
              <w:rPr>
                <w:rFonts w:ascii="宋体"/>
              </w:rPr>
            </w:pPr>
          </w:p>
        </w:tc>
      </w:tr>
      <w:tr w:rsidR="00E836FB" w14:paraId="5F2D5063" w14:textId="77777777">
        <w:tc>
          <w:tcPr>
            <w:tcW w:w="0" w:type="auto"/>
            <w:gridSpan w:val="3"/>
            <w:shd w:val="clear" w:color="auto" w:fill="FFFFFF"/>
            <w:tcMar>
              <w:top w:w="40" w:type="dxa"/>
              <w:left w:w="20" w:type="dxa"/>
              <w:bottom w:w="40" w:type="dxa"/>
              <w:right w:w="20" w:type="dxa"/>
            </w:tcMar>
            <w:vAlign w:val="bottom"/>
          </w:tcPr>
          <w:p w14:paraId="5F2D505A" w14:textId="77777777" w:rsidR="00E836FB" w:rsidRDefault="00994958">
            <w:pPr>
              <w:textAlignment w:val="bottom"/>
            </w:pPr>
            <w:r>
              <w:rPr>
                <w:rFonts w:ascii="Arial" w:eastAsia="宋体" w:hAnsi="Arial" w:cs="Arial"/>
                <w:color w:val="000000"/>
                <w:sz w:val="13"/>
                <w:szCs w:val="13"/>
              </w:rPr>
              <w:t>Dividends and undistributed earnings allocated to participating securities</w:t>
            </w:r>
            <w:r>
              <w:rPr>
                <w:rFonts w:ascii="Arial" w:eastAsia="宋体" w:hAnsi="Arial" w:cs="Arial"/>
                <w:color w:val="000000"/>
                <w:sz w:val="8"/>
                <w:szCs w:val="8"/>
              </w:rPr>
              <w:t>(1)</w:t>
            </w:r>
          </w:p>
        </w:tc>
        <w:tc>
          <w:tcPr>
            <w:tcW w:w="0" w:type="auto"/>
            <w:gridSpan w:val="2"/>
            <w:shd w:val="clear" w:color="auto" w:fill="auto"/>
            <w:tcMar>
              <w:top w:w="40" w:type="dxa"/>
              <w:left w:w="20" w:type="dxa"/>
              <w:bottom w:w="40" w:type="dxa"/>
              <w:right w:w="0" w:type="dxa"/>
            </w:tcMar>
            <w:vAlign w:val="bottom"/>
          </w:tcPr>
          <w:p w14:paraId="5F2D505B" w14:textId="77777777" w:rsidR="00E836FB" w:rsidRDefault="00994958">
            <w:pPr>
              <w:jc w:val="right"/>
              <w:textAlignment w:val="bottom"/>
            </w:pPr>
            <w:r>
              <w:rPr>
                <w:rFonts w:ascii="Arial" w:eastAsia="宋体" w:hAnsi="Arial" w:cs="Arial"/>
                <w:b/>
                <w:bCs/>
                <w:color w:val="000000"/>
                <w:sz w:val="13"/>
                <w:szCs w:val="13"/>
              </w:rPr>
              <w:t>(2)</w:t>
            </w:r>
          </w:p>
        </w:tc>
        <w:tc>
          <w:tcPr>
            <w:tcW w:w="0" w:type="auto"/>
            <w:shd w:val="clear" w:color="auto" w:fill="auto"/>
            <w:tcMar>
              <w:top w:w="40" w:type="dxa"/>
              <w:left w:w="0" w:type="dxa"/>
              <w:bottom w:w="40" w:type="dxa"/>
              <w:right w:w="20" w:type="dxa"/>
            </w:tcMar>
            <w:vAlign w:val="bottom"/>
          </w:tcPr>
          <w:p w14:paraId="5F2D505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05D"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505E" w14:textId="77777777" w:rsidR="00E836FB" w:rsidRDefault="00994958">
            <w:pPr>
              <w:jc w:val="right"/>
              <w:textAlignment w:val="bottom"/>
            </w:pPr>
            <w:r>
              <w:rPr>
                <w:rFonts w:ascii="Arial" w:eastAsia="宋体" w:hAnsi="Arial" w:cs="Arial"/>
                <w:color w:val="000000"/>
                <w:sz w:val="13"/>
                <w:szCs w:val="13"/>
              </w:rPr>
              <w:t>(1)</w:t>
            </w:r>
          </w:p>
        </w:tc>
        <w:tc>
          <w:tcPr>
            <w:tcW w:w="0" w:type="auto"/>
            <w:shd w:val="clear" w:color="auto" w:fill="auto"/>
            <w:tcMar>
              <w:top w:w="40" w:type="dxa"/>
              <w:left w:w="0" w:type="dxa"/>
              <w:bottom w:w="40" w:type="dxa"/>
              <w:right w:w="20" w:type="dxa"/>
            </w:tcMar>
            <w:vAlign w:val="bottom"/>
          </w:tcPr>
          <w:p w14:paraId="5F2D505F"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5060"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5061" w14:textId="77777777" w:rsidR="00E836FB" w:rsidRDefault="00994958">
            <w:pPr>
              <w:jc w:val="right"/>
              <w:textAlignment w:val="bottom"/>
            </w:pPr>
            <w:r>
              <w:rPr>
                <w:rFonts w:ascii="Arial" w:eastAsia="宋体" w:hAnsi="Arial" w:cs="Arial"/>
                <w:color w:val="000000"/>
                <w:sz w:val="13"/>
                <w:szCs w:val="13"/>
              </w:rPr>
              <w:t>(1)</w:t>
            </w:r>
          </w:p>
        </w:tc>
        <w:tc>
          <w:tcPr>
            <w:tcW w:w="0" w:type="auto"/>
            <w:shd w:val="clear" w:color="auto" w:fill="auto"/>
            <w:tcMar>
              <w:top w:w="40" w:type="dxa"/>
              <w:left w:w="0" w:type="dxa"/>
              <w:bottom w:w="40" w:type="dxa"/>
              <w:right w:w="20" w:type="dxa"/>
            </w:tcMar>
            <w:vAlign w:val="bottom"/>
          </w:tcPr>
          <w:p w14:paraId="5F2D5062" w14:textId="77777777" w:rsidR="00E836FB" w:rsidRDefault="00E836FB">
            <w:pPr>
              <w:jc w:val="right"/>
              <w:rPr>
                <w:rFonts w:ascii="宋体"/>
              </w:rPr>
            </w:pPr>
          </w:p>
        </w:tc>
      </w:tr>
      <w:tr w:rsidR="00E836FB" w14:paraId="5F2D5070" w14:textId="77777777">
        <w:tc>
          <w:tcPr>
            <w:tcW w:w="0" w:type="auto"/>
            <w:gridSpan w:val="3"/>
            <w:shd w:val="clear" w:color="auto" w:fill="CCEEFF"/>
            <w:tcMar>
              <w:top w:w="40" w:type="dxa"/>
              <w:left w:w="20" w:type="dxa"/>
              <w:bottom w:w="40" w:type="dxa"/>
              <w:right w:w="20" w:type="dxa"/>
            </w:tcMar>
            <w:vAlign w:val="bottom"/>
          </w:tcPr>
          <w:p w14:paraId="5F2D5064" w14:textId="77777777" w:rsidR="00E836FB" w:rsidRDefault="00994958">
            <w:pPr>
              <w:textAlignment w:val="bottom"/>
            </w:pPr>
            <w:r>
              <w:rPr>
                <w:rFonts w:ascii="Arial" w:eastAsia="宋体" w:hAnsi="Arial" w:cs="Arial"/>
                <w:color w:val="000000"/>
                <w:sz w:val="13"/>
                <w:szCs w:val="13"/>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065"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066" w14:textId="77777777" w:rsidR="00E836FB" w:rsidRDefault="00994958">
            <w:pPr>
              <w:jc w:val="right"/>
              <w:textAlignment w:val="bottom"/>
            </w:pPr>
            <w:r>
              <w:rPr>
                <w:rFonts w:ascii="Arial" w:eastAsia="宋体" w:hAnsi="Arial" w:cs="Arial"/>
                <w:b/>
                <w:bCs/>
                <w:color w:val="000000"/>
                <w:sz w:val="13"/>
                <w:szCs w:val="13"/>
              </w:rPr>
              <w:t>2,572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6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069"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06A" w14:textId="77777777" w:rsidR="00E836FB" w:rsidRDefault="00994958">
            <w:pPr>
              <w:jc w:val="right"/>
              <w:textAlignment w:val="bottom"/>
            </w:pPr>
            <w:r>
              <w:rPr>
                <w:rFonts w:ascii="Arial" w:eastAsia="宋体" w:hAnsi="Arial" w:cs="Arial"/>
                <w:color w:val="000000"/>
                <w:sz w:val="13"/>
                <w:szCs w:val="13"/>
              </w:rPr>
              <w:t>2,257 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6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06D"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06E" w14:textId="77777777" w:rsidR="00E836FB" w:rsidRDefault="00994958">
            <w:pPr>
              <w:jc w:val="right"/>
              <w:textAlignment w:val="bottom"/>
            </w:pPr>
            <w:r>
              <w:rPr>
                <w:rFonts w:ascii="Arial" w:eastAsia="宋体" w:hAnsi="Arial" w:cs="Arial"/>
                <w:color w:val="000000"/>
                <w:sz w:val="13"/>
                <w:szCs w:val="13"/>
              </w:rPr>
              <w:t>2,009 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6F" w14:textId="77777777" w:rsidR="00E836FB" w:rsidRDefault="00E836FB">
            <w:pPr>
              <w:jc w:val="right"/>
              <w:rPr>
                <w:rFonts w:ascii="宋体"/>
              </w:rPr>
            </w:pPr>
          </w:p>
        </w:tc>
      </w:tr>
      <w:tr w:rsidR="00E836FB" w14:paraId="5F2D5077" w14:textId="77777777">
        <w:tc>
          <w:tcPr>
            <w:tcW w:w="0" w:type="auto"/>
            <w:gridSpan w:val="3"/>
            <w:shd w:val="clear" w:color="auto" w:fill="auto"/>
            <w:tcMar>
              <w:top w:w="40" w:type="dxa"/>
              <w:left w:w="20" w:type="dxa"/>
              <w:bottom w:w="40" w:type="dxa"/>
              <w:right w:w="20" w:type="dxa"/>
            </w:tcMar>
            <w:vAlign w:val="bottom"/>
          </w:tcPr>
          <w:p w14:paraId="5F2D5071" w14:textId="77777777" w:rsidR="00E836FB" w:rsidRDefault="00994958">
            <w:pPr>
              <w:textAlignment w:val="bottom"/>
            </w:pPr>
            <w:r>
              <w:rPr>
                <w:rFonts w:ascii="Arial" w:eastAsia="宋体" w:hAnsi="Arial" w:cs="Arial"/>
                <w:b/>
                <w:bCs/>
                <w:color w:val="000000"/>
                <w:sz w:val="13"/>
                <w:szCs w:val="13"/>
              </w:rPr>
              <w:t>Average common shares outstanding (In thousands):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07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073"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07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075"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076" w14:textId="77777777" w:rsidR="00E836FB" w:rsidRDefault="00E836FB">
            <w:pPr>
              <w:rPr>
                <w:rFonts w:ascii="宋体"/>
              </w:rPr>
            </w:pPr>
          </w:p>
        </w:tc>
      </w:tr>
      <w:tr w:rsidR="00E836FB" w14:paraId="5F2D5081" w14:textId="77777777">
        <w:tc>
          <w:tcPr>
            <w:tcW w:w="0" w:type="auto"/>
            <w:gridSpan w:val="3"/>
            <w:shd w:val="clear" w:color="auto" w:fill="CCEEFF"/>
            <w:tcMar>
              <w:top w:w="40" w:type="dxa"/>
              <w:left w:w="20" w:type="dxa"/>
              <w:bottom w:w="40" w:type="dxa"/>
              <w:right w:w="20" w:type="dxa"/>
            </w:tcMar>
            <w:vAlign w:val="bottom"/>
          </w:tcPr>
          <w:p w14:paraId="5F2D5078" w14:textId="77777777" w:rsidR="00E836FB" w:rsidRDefault="00994958">
            <w:pPr>
              <w:textAlignment w:val="bottom"/>
            </w:pPr>
            <w:r>
              <w:rPr>
                <w:rFonts w:ascii="Arial" w:eastAsia="宋体" w:hAnsi="Arial" w:cs="Arial"/>
                <w:color w:val="000000"/>
                <w:sz w:val="13"/>
                <w:szCs w:val="13"/>
              </w:rPr>
              <w:t>Basic average common shares</w:t>
            </w:r>
          </w:p>
        </w:tc>
        <w:tc>
          <w:tcPr>
            <w:tcW w:w="0" w:type="auto"/>
            <w:gridSpan w:val="2"/>
            <w:shd w:val="clear" w:color="auto" w:fill="CCEEFF"/>
            <w:tcMar>
              <w:top w:w="40" w:type="dxa"/>
              <w:left w:w="20" w:type="dxa"/>
              <w:bottom w:w="40" w:type="dxa"/>
              <w:right w:w="0" w:type="dxa"/>
            </w:tcMar>
            <w:vAlign w:val="bottom"/>
          </w:tcPr>
          <w:p w14:paraId="5F2D5079" w14:textId="77777777" w:rsidR="00E836FB" w:rsidRDefault="00994958">
            <w:pPr>
              <w:jc w:val="right"/>
              <w:textAlignment w:val="bottom"/>
            </w:pPr>
            <w:r>
              <w:rPr>
                <w:rFonts w:ascii="Arial" w:eastAsia="宋体" w:hAnsi="Arial" w:cs="Arial"/>
                <w:b/>
                <w:bCs/>
                <w:color w:val="000000"/>
                <w:sz w:val="13"/>
                <w:szCs w:val="13"/>
              </w:rPr>
              <w:t>352,565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07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7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7C" w14:textId="77777777" w:rsidR="00E836FB" w:rsidRDefault="00994958">
            <w:pPr>
              <w:jc w:val="right"/>
              <w:textAlignment w:val="bottom"/>
            </w:pPr>
            <w:r>
              <w:rPr>
                <w:rFonts w:ascii="Arial" w:eastAsia="宋体" w:hAnsi="Arial" w:cs="Arial"/>
                <w:color w:val="000000"/>
                <w:sz w:val="13"/>
                <w:szCs w:val="13"/>
              </w:rPr>
              <w:t>352,865 </w:t>
            </w:r>
          </w:p>
        </w:tc>
        <w:tc>
          <w:tcPr>
            <w:tcW w:w="0" w:type="auto"/>
            <w:shd w:val="clear" w:color="auto" w:fill="CCEEFF"/>
            <w:tcMar>
              <w:top w:w="40" w:type="dxa"/>
              <w:left w:w="0" w:type="dxa"/>
              <w:bottom w:w="40" w:type="dxa"/>
              <w:right w:w="20" w:type="dxa"/>
            </w:tcMar>
            <w:vAlign w:val="bottom"/>
          </w:tcPr>
          <w:p w14:paraId="5F2D507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7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7F" w14:textId="77777777" w:rsidR="00E836FB" w:rsidRDefault="00994958">
            <w:pPr>
              <w:jc w:val="right"/>
              <w:textAlignment w:val="bottom"/>
            </w:pPr>
            <w:r>
              <w:rPr>
                <w:rFonts w:ascii="Arial" w:eastAsia="宋体" w:hAnsi="Arial" w:cs="Arial"/>
                <w:color w:val="000000"/>
                <w:sz w:val="13"/>
                <w:szCs w:val="13"/>
              </w:rPr>
              <w:t>369,911 </w:t>
            </w:r>
          </w:p>
        </w:tc>
        <w:tc>
          <w:tcPr>
            <w:tcW w:w="0" w:type="auto"/>
            <w:shd w:val="clear" w:color="auto" w:fill="CCEEFF"/>
            <w:tcMar>
              <w:top w:w="40" w:type="dxa"/>
              <w:left w:w="0" w:type="dxa"/>
              <w:bottom w:w="40" w:type="dxa"/>
              <w:right w:w="20" w:type="dxa"/>
            </w:tcMar>
            <w:vAlign w:val="bottom"/>
          </w:tcPr>
          <w:p w14:paraId="5F2D5080" w14:textId="77777777" w:rsidR="00E836FB" w:rsidRDefault="00E836FB">
            <w:pPr>
              <w:jc w:val="right"/>
              <w:rPr>
                <w:rFonts w:ascii="宋体"/>
              </w:rPr>
            </w:pPr>
          </w:p>
        </w:tc>
      </w:tr>
      <w:tr w:rsidR="00E836FB" w14:paraId="5F2D508B" w14:textId="77777777">
        <w:tc>
          <w:tcPr>
            <w:tcW w:w="0" w:type="auto"/>
            <w:gridSpan w:val="3"/>
            <w:shd w:val="clear" w:color="auto" w:fill="auto"/>
            <w:tcMar>
              <w:top w:w="40" w:type="dxa"/>
              <w:left w:w="20" w:type="dxa"/>
              <w:bottom w:w="40" w:type="dxa"/>
              <w:right w:w="20" w:type="dxa"/>
            </w:tcMar>
            <w:vAlign w:val="bottom"/>
          </w:tcPr>
          <w:p w14:paraId="5F2D5082" w14:textId="77777777" w:rsidR="00E836FB" w:rsidRDefault="00994958">
            <w:pPr>
              <w:textAlignment w:val="bottom"/>
            </w:pPr>
            <w:r>
              <w:rPr>
                <w:rFonts w:ascii="Arial" w:eastAsia="宋体" w:hAnsi="Arial" w:cs="Arial"/>
                <w:color w:val="000000"/>
                <w:sz w:val="13"/>
                <w:szCs w:val="13"/>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5F2D5083" w14:textId="77777777" w:rsidR="00E836FB" w:rsidRDefault="00994958">
            <w:pPr>
              <w:jc w:val="right"/>
              <w:textAlignment w:val="bottom"/>
            </w:pPr>
            <w:r>
              <w:rPr>
                <w:rFonts w:ascii="Arial" w:eastAsia="宋体" w:hAnsi="Arial" w:cs="Arial"/>
                <w:b/>
                <w:bCs/>
                <w:color w:val="000000"/>
                <w:sz w:val="13"/>
                <w:szCs w:val="13"/>
              </w:rPr>
              <w:t>5,397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08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08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086" w14:textId="77777777" w:rsidR="00E836FB" w:rsidRDefault="00994958">
            <w:pPr>
              <w:jc w:val="right"/>
              <w:textAlignment w:val="bottom"/>
            </w:pPr>
            <w:r>
              <w:rPr>
                <w:rFonts w:ascii="Arial" w:eastAsia="宋体" w:hAnsi="Arial" w:cs="Arial"/>
                <w:color w:val="000000"/>
                <w:sz w:val="13"/>
                <w:szCs w:val="13"/>
              </w:rPr>
              <w:t>4,241 </w:t>
            </w:r>
          </w:p>
        </w:tc>
        <w:tc>
          <w:tcPr>
            <w:tcW w:w="0" w:type="auto"/>
            <w:shd w:val="clear" w:color="auto" w:fill="FFFFFF"/>
            <w:tcMar>
              <w:top w:w="40" w:type="dxa"/>
              <w:left w:w="0" w:type="dxa"/>
              <w:bottom w:w="40" w:type="dxa"/>
              <w:right w:w="20" w:type="dxa"/>
            </w:tcMar>
            <w:vAlign w:val="bottom"/>
          </w:tcPr>
          <w:p w14:paraId="5F2D5087"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508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089" w14:textId="77777777" w:rsidR="00E836FB" w:rsidRDefault="00994958">
            <w:pPr>
              <w:jc w:val="right"/>
              <w:textAlignment w:val="bottom"/>
            </w:pPr>
            <w:r>
              <w:rPr>
                <w:rFonts w:ascii="Arial" w:eastAsia="宋体" w:hAnsi="Arial" w:cs="Arial"/>
                <w:color w:val="000000"/>
                <w:sz w:val="13"/>
                <w:szCs w:val="13"/>
              </w:rPr>
              <w:t>3,755 </w:t>
            </w:r>
          </w:p>
        </w:tc>
        <w:tc>
          <w:tcPr>
            <w:tcW w:w="0" w:type="auto"/>
            <w:shd w:val="clear" w:color="auto" w:fill="FFFFFF"/>
            <w:tcMar>
              <w:top w:w="40" w:type="dxa"/>
              <w:left w:w="0" w:type="dxa"/>
              <w:bottom w:w="40" w:type="dxa"/>
              <w:right w:w="20" w:type="dxa"/>
            </w:tcMar>
            <w:vAlign w:val="bottom"/>
          </w:tcPr>
          <w:p w14:paraId="5F2D508A" w14:textId="77777777" w:rsidR="00E836FB" w:rsidRDefault="00E836FB">
            <w:pPr>
              <w:jc w:val="right"/>
              <w:rPr>
                <w:rFonts w:ascii="宋体"/>
              </w:rPr>
            </w:pPr>
          </w:p>
        </w:tc>
      </w:tr>
      <w:tr w:rsidR="00E836FB" w14:paraId="5F2D5095" w14:textId="77777777">
        <w:tc>
          <w:tcPr>
            <w:tcW w:w="0" w:type="auto"/>
            <w:gridSpan w:val="3"/>
            <w:shd w:val="clear" w:color="auto" w:fill="CCEEFF"/>
            <w:tcMar>
              <w:top w:w="40" w:type="dxa"/>
              <w:left w:w="20" w:type="dxa"/>
              <w:bottom w:w="40" w:type="dxa"/>
              <w:right w:w="20" w:type="dxa"/>
            </w:tcMar>
            <w:vAlign w:val="bottom"/>
          </w:tcPr>
          <w:p w14:paraId="5F2D508C" w14:textId="77777777" w:rsidR="00E836FB" w:rsidRDefault="00994958">
            <w:pPr>
              <w:textAlignment w:val="bottom"/>
            </w:pPr>
            <w:r>
              <w:rPr>
                <w:rFonts w:ascii="Arial" w:eastAsia="宋体" w:hAnsi="Arial" w:cs="Arial"/>
                <w:color w:val="000000"/>
                <w:sz w:val="13"/>
                <w:szCs w:val="13"/>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08D" w14:textId="77777777" w:rsidR="00E836FB" w:rsidRDefault="00994958">
            <w:pPr>
              <w:jc w:val="right"/>
              <w:textAlignment w:val="bottom"/>
            </w:pPr>
            <w:r>
              <w:rPr>
                <w:rFonts w:ascii="Arial" w:eastAsia="宋体" w:hAnsi="Arial" w:cs="Arial"/>
                <w:b/>
                <w:bCs/>
                <w:color w:val="000000"/>
                <w:sz w:val="13"/>
                <w:szCs w:val="13"/>
              </w:rPr>
              <w:t>357,962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8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090" w14:textId="77777777" w:rsidR="00E836FB" w:rsidRDefault="00994958">
            <w:pPr>
              <w:jc w:val="right"/>
              <w:textAlignment w:val="bottom"/>
            </w:pPr>
            <w:r>
              <w:rPr>
                <w:rFonts w:ascii="Arial" w:eastAsia="宋体" w:hAnsi="Arial" w:cs="Arial"/>
                <w:color w:val="000000"/>
                <w:sz w:val="13"/>
                <w:szCs w:val="13"/>
              </w:rPr>
              <w:t>357,106 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92"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093" w14:textId="77777777" w:rsidR="00E836FB" w:rsidRDefault="00994958">
            <w:pPr>
              <w:jc w:val="right"/>
              <w:textAlignment w:val="bottom"/>
            </w:pPr>
            <w:r>
              <w:rPr>
                <w:rFonts w:ascii="Arial" w:eastAsia="宋体" w:hAnsi="Arial" w:cs="Arial"/>
                <w:color w:val="000000"/>
                <w:sz w:val="13"/>
                <w:szCs w:val="13"/>
              </w:rPr>
              <w:t>373,666 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094" w14:textId="77777777" w:rsidR="00E836FB" w:rsidRDefault="00E836FB">
            <w:pPr>
              <w:jc w:val="right"/>
              <w:rPr>
                <w:rFonts w:ascii="宋体"/>
              </w:rPr>
            </w:pPr>
          </w:p>
        </w:tc>
      </w:tr>
      <w:tr w:rsidR="00E836FB" w14:paraId="5F2D509F" w14:textId="77777777">
        <w:tc>
          <w:tcPr>
            <w:tcW w:w="0" w:type="auto"/>
            <w:gridSpan w:val="3"/>
            <w:shd w:val="clear" w:color="auto" w:fill="auto"/>
            <w:tcMar>
              <w:top w:w="40" w:type="dxa"/>
              <w:left w:w="20" w:type="dxa"/>
              <w:bottom w:w="40" w:type="dxa"/>
              <w:right w:w="20" w:type="dxa"/>
            </w:tcMar>
            <w:vAlign w:val="bottom"/>
          </w:tcPr>
          <w:p w14:paraId="5F2D5096" w14:textId="77777777" w:rsidR="00E836FB" w:rsidRDefault="00994958">
            <w:pPr>
              <w:textAlignment w:val="bottom"/>
            </w:pPr>
            <w:r>
              <w:rPr>
                <w:rFonts w:ascii="Arial" w:eastAsia="宋体" w:hAnsi="Arial" w:cs="Arial"/>
                <w:color w:val="000000"/>
                <w:sz w:val="13"/>
                <w:szCs w:val="13"/>
              </w:rPr>
              <w:t>Anti-dilutive securities</w:t>
            </w:r>
            <w:r>
              <w:rPr>
                <w:rFonts w:ascii="Arial" w:eastAsia="宋体" w:hAnsi="Arial" w:cs="Arial"/>
                <w:color w:val="000000"/>
                <w:sz w:val="8"/>
                <w:szCs w:val="8"/>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F2D5097" w14:textId="77777777" w:rsidR="00E836FB" w:rsidRDefault="00994958">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5F2D5098"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5099" w14:textId="77777777" w:rsidR="00E836FB" w:rsidRDefault="00E836F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F2D509A" w14:textId="77777777" w:rsidR="00E836FB" w:rsidRDefault="00994958">
            <w:pPr>
              <w:jc w:val="right"/>
              <w:textAlignment w:val="bottom"/>
            </w:pPr>
            <w:r>
              <w:rPr>
                <w:rFonts w:ascii="Arial" w:eastAsia="宋体" w:hAnsi="Arial" w:cs="Arial"/>
                <w:color w:val="000000"/>
                <w:sz w:val="13"/>
                <w:szCs w:val="13"/>
              </w:rPr>
              <w:t>1,066 </w:t>
            </w:r>
          </w:p>
        </w:tc>
        <w:tc>
          <w:tcPr>
            <w:tcW w:w="0" w:type="auto"/>
            <w:tcBorders>
              <w:top w:val="double" w:sz="6" w:space="0" w:color="000000"/>
            </w:tcBorders>
            <w:shd w:val="clear" w:color="auto" w:fill="auto"/>
            <w:tcMar>
              <w:top w:w="40" w:type="dxa"/>
              <w:left w:w="0" w:type="dxa"/>
              <w:bottom w:w="40" w:type="dxa"/>
              <w:right w:w="20" w:type="dxa"/>
            </w:tcMar>
            <w:vAlign w:val="bottom"/>
          </w:tcPr>
          <w:p w14:paraId="5F2D509B" w14:textId="77777777" w:rsidR="00E836FB" w:rsidRDefault="00E836FB">
            <w:pPr>
              <w:jc w:val="right"/>
              <w:rPr>
                <w:rFonts w:ascii="宋体"/>
              </w:rPr>
            </w:pPr>
          </w:p>
        </w:tc>
        <w:tc>
          <w:tcPr>
            <w:tcW w:w="0" w:type="auto"/>
            <w:gridSpan w:val="3"/>
            <w:shd w:val="clear" w:color="auto" w:fill="auto"/>
            <w:tcMar>
              <w:top w:w="0" w:type="dxa"/>
              <w:left w:w="20" w:type="dxa"/>
              <w:bottom w:w="0" w:type="dxa"/>
              <w:right w:w="20" w:type="dxa"/>
            </w:tcMar>
            <w:vAlign w:val="bottom"/>
          </w:tcPr>
          <w:p w14:paraId="5F2D509C" w14:textId="77777777" w:rsidR="00E836FB" w:rsidRDefault="00E836F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F2D509D" w14:textId="77777777" w:rsidR="00E836FB" w:rsidRDefault="00994958">
            <w:pPr>
              <w:jc w:val="right"/>
              <w:textAlignment w:val="bottom"/>
            </w:pPr>
            <w:r>
              <w:rPr>
                <w:rFonts w:ascii="Arial" w:eastAsia="宋体" w:hAnsi="Arial" w:cs="Arial"/>
                <w:color w:val="000000"/>
                <w:sz w:val="13"/>
                <w:szCs w:val="13"/>
              </w:rPr>
              <w:t>2,052 </w:t>
            </w:r>
          </w:p>
        </w:tc>
        <w:tc>
          <w:tcPr>
            <w:tcW w:w="0" w:type="auto"/>
            <w:tcBorders>
              <w:top w:val="double" w:sz="6" w:space="0" w:color="000000"/>
            </w:tcBorders>
            <w:shd w:val="clear" w:color="auto" w:fill="auto"/>
            <w:tcMar>
              <w:top w:w="40" w:type="dxa"/>
              <w:left w:w="0" w:type="dxa"/>
              <w:bottom w:w="40" w:type="dxa"/>
              <w:right w:w="20" w:type="dxa"/>
            </w:tcMar>
            <w:vAlign w:val="bottom"/>
          </w:tcPr>
          <w:p w14:paraId="5F2D509E" w14:textId="77777777" w:rsidR="00E836FB" w:rsidRDefault="00E836FB">
            <w:pPr>
              <w:jc w:val="right"/>
              <w:rPr>
                <w:rFonts w:ascii="宋体"/>
              </w:rPr>
            </w:pPr>
          </w:p>
        </w:tc>
      </w:tr>
      <w:tr w:rsidR="00E836FB" w14:paraId="5F2D50A6" w14:textId="77777777">
        <w:tc>
          <w:tcPr>
            <w:tcW w:w="0" w:type="auto"/>
            <w:gridSpan w:val="3"/>
            <w:shd w:val="clear" w:color="auto" w:fill="CCEEFF"/>
            <w:tcMar>
              <w:top w:w="40" w:type="dxa"/>
              <w:left w:w="20" w:type="dxa"/>
              <w:bottom w:w="40" w:type="dxa"/>
              <w:right w:w="20" w:type="dxa"/>
            </w:tcMar>
            <w:vAlign w:val="bottom"/>
          </w:tcPr>
          <w:p w14:paraId="5F2D50A0" w14:textId="77777777" w:rsidR="00E836FB" w:rsidRDefault="00994958">
            <w:pPr>
              <w:textAlignment w:val="bottom"/>
            </w:pPr>
            <w:r>
              <w:rPr>
                <w:rFonts w:ascii="Arial" w:eastAsia="宋体" w:hAnsi="Arial" w:cs="Arial"/>
                <w:b/>
                <w:bCs/>
                <w:color w:val="000000"/>
                <w:sz w:val="13"/>
                <w:szCs w:val="13"/>
              </w:rPr>
              <w:t>Earnings per common share:</w:t>
            </w:r>
          </w:p>
        </w:tc>
        <w:tc>
          <w:tcPr>
            <w:tcW w:w="0" w:type="auto"/>
            <w:gridSpan w:val="3"/>
            <w:shd w:val="clear" w:color="auto" w:fill="CCEEFF"/>
            <w:tcMar>
              <w:top w:w="0" w:type="dxa"/>
              <w:left w:w="20" w:type="dxa"/>
              <w:bottom w:w="0" w:type="dxa"/>
              <w:right w:w="20" w:type="dxa"/>
            </w:tcMar>
            <w:vAlign w:val="bottom"/>
          </w:tcPr>
          <w:p w14:paraId="5F2D50A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0A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0A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0A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0A5" w14:textId="77777777" w:rsidR="00E836FB" w:rsidRDefault="00E836FB">
            <w:pPr>
              <w:rPr>
                <w:rFonts w:ascii="宋体"/>
              </w:rPr>
            </w:pPr>
          </w:p>
        </w:tc>
      </w:tr>
      <w:tr w:rsidR="00E836FB" w14:paraId="5F2D50B3" w14:textId="77777777">
        <w:tc>
          <w:tcPr>
            <w:tcW w:w="0" w:type="auto"/>
            <w:gridSpan w:val="3"/>
            <w:shd w:val="clear" w:color="auto" w:fill="auto"/>
            <w:tcMar>
              <w:top w:w="40" w:type="dxa"/>
              <w:left w:w="20" w:type="dxa"/>
              <w:bottom w:w="40" w:type="dxa"/>
              <w:right w:w="20" w:type="dxa"/>
            </w:tcMar>
            <w:vAlign w:val="bottom"/>
          </w:tcPr>
          <w:p w14:paraId="5F2D50A7" w14:textId="77777777" w:rsidR="00E836FB" w:rsidRDefault="00994958">
            <w:pPr>
              <w:textAlignment w:val="bottom"/>
            </w:pPr>
            <w:r>
              <w:rPr>
                <w:rFonts w:ascii="Arial" w:eastAsia="宋体" w:hAnsi="Arial" w:cs="Arial"/>
                <w:color w:val="000000"/>
                <w:sz w:val="13"/>
                <w:szCs w:val="13"/>
              </w:rPr>
              <w:t>Basic</w:t>
            </w:r>
          </w:p>
        </w:tc>
        <w:tc>
          <w:tcPr>
            <w:tcW w:w="0" w:type="auto"/>
            <w:shd w:val="clear" w:color="auto" w:fill="FFFFFF"/>
            <w:tcMar>
              <w:top w:w="40" w:type="dxa"/>
              <w:left w:w="20" w:type="dxa"/>
              <w:bottom w:w="40" w:type="dxa"/>
              <w:right w:w="0" w:type="dxa"/>
            </w:tcMar>
            <w:vAlign w:val="bottom"/>
          </w:tcPr>
          <w:p w14:paraId="5F2D50A8"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F2D50A9" w14:textId="77777777" w:rsidR="00E836FB" w:rsidRDefault="00994958">
            <w:pPr>
              <w:jc w:val="right"/>
              <w:textAlignment w:val="bottom"/>
            </w:pPr>
            <w:r>
              <w:rPr>
                <w:rFonts w:ascii="Arial" w:eastAsia="宋体" w:hAnsi="Arial" w:cs="Arial"/>
                <w:b/>
                <w:bCs/>
                <w:color w:val="000000"/>
                <w:sz w:val="13"/>
                <w:szCs w:val="13"/>
              </w:rPr>
              <w:t>7.30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0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0AB"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50AC" w14:textId="77777777" w:rsidR="00E836FB" w:rsidRDefault="00994958">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F2D50AD" w14:textId="77777777" w:rsidR="00E836FB" w:rsidRDefault="00994958">
            <w:pPr>
              <w:jc w:val="right"/>
              <w:textAlignment w:val="bottom"/>
            </w:pPr>
            <w:r>
              <w:rPr>
                <w:rFonts w:ascii="Arial" w:eastAsia="宋体" w:hAnsi="Arial" w:cs="Arial"/>
                <w:color w:val="000000"/>
                <w:sz w:val="13"/>
                <w:szCs w:val="13"/>
              </w:rPr>
              <w:t>6.40 </w:t>
            </w:r>
          </w:p>
        </w:tc>
        <w:tc>
          <w:tcPr>
            <w:tcW w:w="0" w:type="auto"/>
            <w:shd w:val="clear" w:color="auto" w:fill="FFFFFF"/>
            <w:tcMar>
              <w:top w:w="40" w:type="dxa"/>
              <w:left w:w="0" w:type="dxa"/>
              <w:bottom w:w="40" w:type="dxa"/>
              <w:right w:w="20" w:type="dxa"/>
            </w:tcMar>
            <w:vAlign w:val="bottom"/>
          </w:tcPr>
          <w:p w14:paraId="5F2D50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0AF"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50B0" w14:textId="77777777" w:rsidR="00E836FB" w:rsidRDefault="00994958">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F2D50B1" w14:textId="77777777" w:rsidR="00E836FB" w:rsidRDefault="00994958">
            <w:pPr>
              <w:jc w:val="right"/>
              <w:textAlignment w:val="bottom"/>
            </w:pPr>
            <w:r>
              <w:rPr>
                <w:rFonts w:ascii="Arial" w:eastAsia="宋体" w:hAnsi="Arial" w:cs="Arial"/>
                <w:color w:val="000000"/>
                <w:sz w:val="13"/>
                <w:szCs w:val="13"/>
              </w:rPr>
              <w:t>5.43 </w:t>
            </w:r>
          </w:p>
        </w:tc>
        <w:tc>
          <w:tcPr>
            <w:tcW w:w="0" w:type="auto"/>
            <w:shd w:val="clear" w:color="auto" w:fill="FFFFFF"/>
            <w:tcMar>
              <w:top w:w="40" w:type="dxa"/>
              <w:left w:w="0" w:type="dxa"/>
              <w:bottom w:w="40" w:type="dxa"/>
              <w:right w:w="20" w:type="dxa"/>
            </w:tcMar>
            <w:vAlign w:val="bottom"/>
          </w:tcPr>
          <w:p w14:paraId="5F2D50B2" w14:textId="77777777" w:rsidR="00E836FB" w:rsidRDefault="00E836FB">
            <w:pPr>
              <w:jc w:val="right"/>
              <w:rPr>
                <w:rFonts w:ascii="宋体"/>
              </w:rPr>
            </w:pPr>
          </w:p>
        </w:tc>
      </w:tr>
      <w:tr w:rsidR="00E836FB" w14:paraId="5F2D50BD" w14:textId="77777777">
        <w:tc>
          <w:tcPr>
            <w:tcW w:w="0" w:type="auto"/>
            <w:gridSpan w:val="3"/>
            <w:shd w:val="clear" w:color="auto" w:fill="CCEEFF"/>
            <w:tcMar>
              <w:top w:w="40" w:type="dxa"/>
              <w:left w:w="20" w:type="dxa"/>
              <w:bottom w:w="40" w:type="dxa"/>
              <w:right w:w="20" w:type="dxa"/>
            </w:tcMar>
            <w:vAlign w:val="bottom"/>
          </w:tcPr>
          <w:p w14:paraId="5F2D50B4" w14:textId="77777777" w:rsidR="00E836FB" w:rsidRDefault="00994958">
            <w:pPr>
              <w:textAlignment w:val="bottom"/>
            </w:pPr>
            <w:r>
              <w:rPr>
                <w:rFonts w:ascii="Arial" w:eastAsia="宋体" w:hAnsi="Arial" w:cs="Arial"/>
                <w:color w:val="000000"/>
                <w:sz w:val="13"/>
                <w:szCs w:val="13"/>
              </w:rPr>
              <w:t>Diluted</w:t>
            </w:r>
            <w:r>
              <w:rPr>
                <w:rFonts w:ascii="Arial" w:eastAsia="宋体" w:hAnsi="Arial" w:cs="Arial"/>
                <w:color w:val="000000"/>
                <w:sz w:val="8"/>
                <w:szCs w:val="8"/>
              </w:rPr>
              <w:t>(3)</w:t>
            </w:r>
          </w:p>
        </w:tc>
        <w:tc>
          <w:tcPr>
            <w:tcW w:w="0" w:type="auto"/>
            <w:gridSpan w:val="2"/>
            <w:shd w:val="clear" w:color="auto" w:fill="CCEEFF"/>
            <w:tcMar>
              <w:top w:w="40" w:type="dxa"/>
              <w:left w:w="20" w:type="dxa"/>
              <w:bottom w:w="40" w:type="dxa"/>
              <w:right w:w="0" w:type="dxa"/>
            </w:tcMar>
            <w:vAlign w:val="bottom"/>
          </w:tcPr>
          <w:p w14:paraId="5F2D50B5" w14:textId="77777777" w:rsidR="00E836FB" w:rsidRDefault="00994958">
            <w:pPr>
              <w:jc w:val="right"/>
              <w:textAlignment w:val="bottom"/>
            </w:pPr>
            <w:r>
              <w:rPr>
                <w:rFonts w:ascii="Arial" w:eastAsia="宋体" w:hAnsi="Arial" w:cs="Arial"/>
                <w:b/>
                <w:bCs/>
                <w:color w:val="000000"/>
                <w:sz w:val="13"/>
                <w:szCs w:val="13"/>
              </w:rPr>
              <w:t>7.19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0B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B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B8" w14:textId="77777777" w:rsidR="00E836FB" w:rsidRDefault="00994958">
            <w:pPr>
              <w:jc w:val="right"/>
              <w:textAlignment w:val="bottom"/>
            </w:pPr>
            <w:r>
              <w:rPr>
                <w:rFonts w:ascii="Arial" w:eastAsia="宋体" w:hAnsi="Arial" w:cs="Arial"/>
                <w:color w:val="000000"/>
                <w:sz w:val="13"/>
                <w:szCs w:val="13"/>
              </w:rPr>
              <w:t>6.32 </w:t>
            </w:r>
          </w:p>
        </w:tc>
        <w:tc>
          <w:tcPr>
            <w:tcW w:w="0" w:type="auto"/>
            <w:shd w:val="clear" w:color="auto" w:fill="CCEEFF"/>
            <w:tcMar>
              <w:top w:w="40" w:type="dxa"/>
              <w:left w:w="0" w:type="dxa"/>
              <w:bottom w:w="40" w:type="dxa"/>
              <w:right w:w="20" w:type="dxa"/>
            </w:tcMar>
            <w:vAlign w:val="bottom"/>
          </w:tcPr>
          <w:p w14:paraId="5F2D50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0B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0BB" w14:textId="77777777" w:rsidR="00E836FB" w:rsidRDefault="00994958">
            <w:pPr>
              <w:jc w:val="right"/>
              <w:textAlignment w:val="bottom"/>
            </w:pPr>
            <w:r>
              <w:rPr>
                <w:rFonts w:ascii="Arial" w:eastAsia="宋体" w:hAnsi="Arial" w:cs="Arial"/>
                <w:color w:val="000000"/>
                <w:sz w:val="13"/>
                <w:szCs w:val="13"/>
              </w:rPr>
              <w:t>5.38 </w:t>
            </w:r>
          </w:p>
        </w:tc>
        <w:tc>
          <w:tcPr>
            <w:tcW w:w="0" w:type="auto"/>
            <w:shd w:val="clear" w:color="auto" w:fill="CCEEFF"/>
            <w:tcMar>
              <w:top w:w="40" w:type="dxa"/>
              <w:left w:w="0" w:type="dxa"/>
              <w:bottom w:w="40" w:type="dxa"/>
              <w:right w:w="20" w:type="dxa"/>
            </w:tcMar>
            <w:vAlign w:val="bottom"/>
          </w:tcPr>
          <w:p w14:paraId="5F2D50BC" w14:textId="77777777" w:rsidR="00E836FB" w:rsidRDefault="00E836FB">
            <w:pPr>
              <w:jc w:val="right"/>
              <w:rPr>
                <w:rFonts w:ascii="宋体"/>
              </w:rPr>
            </w:pPr>
          </w:p>
        </w:tc>
      </w:tr>
      <w:tr w:rsidR="00E836FB" w14:paraId="5F2D50C4" w14:textId="77777777">
        <w:trPr>
          <w:hidden/>
        </w:trPr>
        <w:tc>
          <w:tcPr>
            <w:tcW w:w="0" w:type="auto"/>
            <w:gridSpan w:val="3"/>
            <w:shd w:val="clear" w:color="auto" w:fill="auto"/>
            <w:vAlign w:val="bottom"/>
          </w:tcPr>
          <w:p w14:paraId="5F2D50BE" w14:textId="77777777" w:rsidR="00E836FB" w:rsidRDefault="00E836FB">
            <w:pPr>
              <w:rPr>
                <w:rFonts w:ascii="宋体"/>
                <w:vanish/>
              </w:rPr>
            </w:pPr>
          </w:p>
        </w:tc>
        <w:tc>
          <w:tcPr>
            <w:tcW w:w="0" w:type="auto"/>
            <w:gridSpan w:val="3"/>
            <w:shd w:val="clear" w:color="auto" w:fill="auto"/>
            <w:vAlign w:val="bottom"/>
          </w:tcPr>
          <w:p w14:paraId="5F2D50BF" w14:textId="77777777" w:rsidR="00E836FB" w:rsidRDefault="00E836FB">
            <w:pPr>
              <w:rPr>
                <w:rFonts w:ascii="宋体"/>
                <w:vanish/>
              </w:rPr>
            </w:pPr>
          </w:p>
        </w:tc>
        <w:tc>
          <w:tcPr>
            <w:tcW w:w="0" w:type="auto"/>
            <w:gridSpan w:val="3"/>
            <w:shd w:val="clear" w:color="auto" w:fill="auto"/>
            <w:vAlign w:val="bottom"/>
          </w:tcPr>
          <w:p w14:paraId="5F2D50C0" w14:textId="77777777" w:rsidR="00E836FB" w:rsidRDefault="00E836FB">
            <w:pPr>
              <w:rPr>
                <w:rFonts w:ascii="宋体"/>
                <w:vanish/>
              </w:rPr>
            </w:pPr>
          </w:p>
        </w:tc>
        <w:tc>
          <w:tcPr>
            <w:tcW w:w="0" w:type="auto"/>
            <w:gridSpan w:val="3"/>
            <w:shd w:val="clear" w:color="auto" w:fill="auto"/>
            <w:vAlign w:val="bottom"/>
          </w:tcPr>
          <w:p w14:paraId="5F2D50C1" w14:textId="77777777" w:rsidR="00E836FB" w:rsidRDefault="00E836FB">
            <w:pPr>
              <w:rPr>
                <w:rFonts w:ascii="宋体"/>
                <w:vanish/>
              </w:rPr>
            </w:pPr>
          </w:p>
        </w:tc>
        <w:tc>
          <w:tcPr>
            <w:tcW w:w="0" w:type="auto"/>
            <w:gridSpan w:val="3"/>
            <w:shd w:val="clear" w:color="auto" w:fill="auto"/>
            <w:vAlign w:val="bottom"/>
          </w:tcPr>
          <w:p w14:paraId="5F2D50C2" w14:textId="77777777" w:rsidR="00E836FB" w:rsidRDefault="00E836FB">
            <w:pPr>
              <w:rPr>
                <w:rFonts w:ascii="宋体"/>
                <w:vanish/>
              </w:rPr>
            </w:pPr>
          </w:p>
        </w:tc>
        <w:tc>
          <w:tcPr>
            <w:tcW w:w="0" w:type="auto"/>
            <w:gridSpan w:val="3"/>
            <w:shd w:val="clear" w:color="auto" w:fill="auto"/>
            <w:vAlign w:val="bottom"/>
          </w:tcPr>
          <w:p w14:paraId="5F2D50C3" w14:textId="77777777" w:rsidR="00E836FB" w:rsidRDefault="00E836FB">
            <w:pPr>
              <w:rPr>
                <w:rFonts w:ascii="宋体"/>
                <w:vanish/>
              </w:rPr>
            </w:pPr>
          </w:p>
        </w:tc>
      </w:tr>
      <w:tr w:rsidR="00E836FB" w14:paraId="5F2D50CB" w14:textId="77777777">
        <w:trPr>
          <w:hidden/>
        </w:trPr>
        <w:tc>
          <w:tcPr>
            <w:tcW w:w="0" w:type="auto"/>
            <w:gridSpan w:val="3"/>
            <w:shd w:val="clear" w:color="auto" w:fill="auto"/>
            <w:vAlign w:val="bottom"/>
          </w:tcPr>
          <w:p w14:paraId="5F2D50C5" w14:textId="77777777" w:rsidR="00E836FB" w:rsidRDefault="00E836FB">
            <w:pPr>
              <w:rPr>
                <w:rFonts w:ascii="宋体"/>
                <w:vanish/>
              </w:rPr>
            </w:pPr>
          </w:p>
        </w:tc>
        <w:tc>
          <w:tcPr>
            <w:tcW w:w="0" w:type="auto"/>
            <w:gridSpan w:val="3"/>
            <w:shd w:val="clear" w:color="auto" w:fill="auto"/>
            <w:vAlign w:val="bottom"/>
          </w:tcPr>
          <w:p w14:paraId="5F2D50C6" w14:textId="77777777" w:rsidR="00E836FB" w:rsidRDefault="00E836FB">
            <w:pPr>
              <w:rPr>
                <w:rFonts w:ascii="宋体"/>
                <w:vanish/>
              </w:rPr>
            </w:pPr>
          </w:p>
        </w:tc>
        <w:tc>
          <w:tcPr>
            <w:tcW w:w="0" w:type="auto"/>
            <w:gridSpan w:val="3"/>
            <w:shd w:val="clear" w:color="auto" w:fill="auto"/>
            <w:vAlign w:val="bottom"/>
          </w:tcPr>
          <w:p w14:paraId="5F2D50C7" w14:textId="77777777" w:rsidR="00E836FB" w:rsidRDefault="00E836FB">
            <w:pPr>
              <w:rPr>
                <w:rFonts w:ascii="宋体"/>
                <w:vanish/>
              </w:rPr>
            </w:pPr>
          </w:p>
        </w:tc>
        <w:tc>
          <w:tcPr>
            <w:tcW w:w="0" w:type="auto"/>
            <w:gridSpan w:val="3"/>
            <w:shd w:val="clear" w:color="auto" w:fill="auto"/>
            <w:vAlign w:val="bottom"/>
          </w:tcPr>
          <w:p w14:paraId="5F2D50C8" w14:textId="77777777" w:rsidR="00E836FB" w:rsidRDefault="00E836FB">
            <w:pPr>
              <w:rPr>
                <w:rFonts w:ascii="宋体"/>
                <w:vanish/>
              </w:rPr>
            </w:pPr>
          </w:p>
        </w:tc>
        <w:tc>
          <w:tcPr>
            <w:tcW w:w="0" w:type="auto"/>
            <w:gridSpan w:val="3"/>
            <w:shd w:val="clear" w:color="auto" w:fill="auto"/>
            <w:vAlign w:val="bottom"/>
          </w:tcPr>
          <w:p w14:paraId="5F2D50C9" w14:textId="77777777" w:rsidR="00E836FB" w:rsidRDefault="00E836FB">
            <w:pPr>
              <w:rPr>
                <w:rFonts w:ascii="宋体"/>
                <w:vanish/>
              </w:rPr>
            </w:pPr>
          </w:p>
        </w:tc>
        <w:tc>
          <w:tcPr>
            <w:tcW w:w="0" w:type="auto"/>
            <w:gridSpan w:val="3"/>
            <w:shd w:val="clear" w:color="auto" w:fill="auto"/>
            <w:vAlign w:val="bottom"/>
          </w:tcPr>
          <w:p w14:paraId="5F2D50CA" w14:textId="77777777" w:rsidR="00E836FB" w:rsidRDefault="00E836FB">
            <w:pPr>
              <w:rPr>
                <w:rFonts w:ascii="宋体"/>
                <w:vanish/>
              </w:rPr>
            </w:pPr>
          </w:p>
        </w:tc>
      </w:tr>
      <w:tr w:rsidR="00E836FB" w14:paraId="5F2D50D2" w14:textId="77777777">
        <w:trPr>
          <w:hidden/>
        </w:trPr>
        <w:tc>
          <w:tcPr>
            <w:tcW w:w="0" w:type="auto"/>
            <w:gridSpan w:val="3"/>
            <w:shd w:val="clear" w:color="auto" w:fill="auto"/>
            <w:vAlign w:val="bottom"/>
          </w:tcPr>
          <w:p w14:paraId="5F2D50CC" w14:textId="77777777" w:rsidR="00E836FB" w:rsidRDefault="00E836FB">
            <w:pPr>
              <w:rPr>
                <w:rFonts w:ascii="宋体"/>
                <w:vanish/>
              </w:rPr>
            </w:pPr>
          </w:p>
        </w:tc>
        <w:tc>
          <w:tcPr>
            <w:tcW w:w="0" w:type="auto"/>
            <w:gridSpan w:val="3"/>
            <w:shd w:val="clear" w:color="auto" w:fill="auto"/>
            <w:vAlign w:val="bottom"/>
          </w:tcPr>
          <w:p w14:paraId="5F2D50CD" w14:textId="77777777" w:rsidR="00E836FB" w:rsidRDefault="00E836FB">
            <w:pPr>
              <w:rPr>
                <w:rFonts w:ascii="宋体"/>
                <w:vanish/>
              </w:rPr>
            </w:pPr>
          </w:p>
        </w:tc>
        <w:tc>
          <w:tcPr>
            <w:tcW w:w="0" w:type="auto"/>
            <w:gridSpan w:val="3"/>
            <w:shd w:val="clear" w:color="auto" w:fill="auto"/>
            <w:vAlign w:val="bottom"/>
          </w:tcPr>
          <w:p w14:paraId="5F2D50CE" w14:textId="77777777" w:rsidR="00E836FB" w:rsidRDefault="00E836FB">
            <w:pPr>
              <w:rPr>
                <w:rFonts w:ascii="宋体"/>
                <w:vanish/>
              </w:rPr>
            </w:pPr>
          </w:p>
        </w:tc>
        <w:tc>
          <w:tcPr>
            <w:tcW w:w="0" w:type="auto"/>
            <w:gridSpan w:val="3"/>
            <w:shd w:val="clear" w:color="auto" w:fill="auto"/>
            <w:vAlign w:val="bottom"/>
          </w:tcPr>
          <w:p w14:paraId="5F2D50CF" w14:textId="77777777" w:rsidR="00E836FB" w:rsidRDefault="00E836FB">
            <w:pPr>
              <w:rPr>
                <w:rFonts w:ascii="宋体"/>
                <w:vanish/>
              </w:rPr>
            </w:pPr>
          </w:p>
        </w:tc>
        <w:tc>
          <w:tcPr>
            <w:tcW w:w="0" w:type="auto"/>
            <w:gridSpan w:val="3"/>
            <w:shd w:val="clear" w:color="auto" w:fill="auto"/>
            <w:vAlign w:val="bottom"/>
          </w:tcPr>
          <w:p w14:paraId="5F2D50D0" w14:textId="77777777" w:rsidR="00E836FB" w:rsidRDefault="00E836FB">
            <w:pPr>
              <w:rPr>
                <w:rFonts w:ascii="宋体"/>
                <w:vanish/>
              </w:rPr>
            </w:pPr>
          </w:p>
        </w:tc>
        <w:tc>
          <w:tcPr>
            <w:tcW w:w="0" w:type="auto"/>
            <w:gridSpan w:val="3"/>
            <w:shd w:val="clear" w:color="auto" w:fill="auto"/>
            <w:vAlign w:val="bottom"/>
          </w:tcPr>
          <w:p w14:paraId="5F2D50D1" w14:textId="77777777" w:rsidR="00E836FB" w:rsidRDefault="00E836FB">
            <w:pPr>
              <w:rPr>
                <w:rFonts w:ascii="宋体"/>
                <w:vanish/>
              </w:rPr>
            </w:pPr>
          </w:p>
        </w:tc>
      </w:tr>
      <w:tr w:rsidR="00E836FB" w14:paraId="5F2D50D9" w14:textId="77777777">
        <w:trPr>
          <w:hidden/>
        </w:trPr>
        <w:tc>
          <w:tcPr>
            <w:tcW w:w="0" w:type="auto"/>
            <w:gridSpan w:val="3"/>
            <w:shd w:val="clear" w:color="auto" w:fill="auto"/>
            <w:vAlign w:val="bottom"/>
          </w:tcPr>
          <w:p w14:paraId="5F2D50D3" w14:textId="77777777" w:rsidR="00E836FB" w:rsidRDefault="00E836FB">
            <w:pPr>
              <w:rPr>
                <w:rFonts w:ascii="宋体"/>
                <w:vanish/>
              </w:rPr>
            </w:pPr>
          </w:p>
        </w:tc>
        <w:tc>
          <w:tcPr>
            <w:tcW w:w="0" w:type="auto"/>
            <w:gridSpan w:val="3"/>
            <w:shd w:val="clear" w:color="auto" w:fill="auto"/>
            <w:vAlign w:val="bottom"/>
          </w:tcPr>
          <w:p w14:paraId="5F2D50D4" w14:textId="77777777" w:rsidR="00E836FB" w:rsidRDefault="00E836FB">
            <w:pPr>
              <w:rPr>
                <w:rFonts w:ascii="宋体"/>
                <w:vanish/>
              </w:rPr>
            </w:pPr>
          </w:p>
        </w:tc>
        <w:tc>
          <w:tcPr>
            <w:tcW w:w="0" w:type="auto"/>
            <w:gridSpan w:val="3"/>
            <w:shd w:val="clear" w:color="auto" w:fill="auto"/>
            <w:vAlign w:val="bottom"/>
          </w:tcPr>
          <w:p w14:paraId="5F2D50D5" w14:textId="77777777" w:rsidR="00E836FB" w:rsidRDefault="00E836FB">
            <w:pPr>
              <w:rPr>
                <w:rFonts w:ascii="宋体"/>
                <w:vanish/>
              </w:rPr>
            </w:pPr>
          </w:p>
        </w:tc>
        <w:tc>
          <w:tcPr>
            <w:tcW w:w="0" w:type="auto"/>
            <w:gridSpan w:val="3"/>
            <w:shd w:val="clear" w:color="auto" w:fill="auto"/>
            <w:vAlign w:val="bottom"/>
          </w:tcPr>
          <w:p w14:paraId="5F2D50D6" w14:textId="77777777" w:rsidR="00E836FB" w:rsidRDefault="00E836FB">
            <w:pPr>
              <w:rPr>
                <w:rFonts w:ascii="宋体"/>
                <w:vanish/>
              </w:rPr>
            </w:pPr>
          </w:p>
        </w:tc>
        <w:tc>
          <w:tcPr>
            <w:tcW w:w="0" w:type="auto"/>
            <w:gridSpan w:val="3"/>
            <w:shd w:val="clear" w:color="auto" w:fill="auto"/>
            <w:vAlign w:val="bottom"/>
          </w:tcPr>
          <w:p w14:paraId="5F2D50D7" w14:textId="77777777" w:rsidR="00E836FB" w:rsidRDefault="00E836FB">
            <w:pPr>
              <w:rPr>
                <w:rFonts w:ascii="宋体"/>
                <w:vanish/>
              </w:rPr>
            </w:pPr>
          </w:p>
        </w:tc>
        <w:tc>
          <w:tcPr>
            <w:tcW w:w="0" w:type="auto"/>
            <w:gridSpan w:val="3"/>
            <w:shd w:val="clear" w:color="auto" w:fill="auto"/>
            <w:vAlign w:val="bottom"/>
          </w:tcPr>
          <w:p w14:paraId="5F2D50D8" w14:textId="77777777" w:rsidR="00E836FB" w:rsidRDefault="00E836FB">
            <w:pPr>
              <w:rPr>
                <w:rFonts w:ascii="宋体"/>
                <w:vanish/>
              </w:rPr>
            </w:pPr>
          </w:p>
        </w:tc>
      </w:tr>
      <w:tr w:rsidR="00E836FB" w14:paraId="5F2D50E0" w14:textId="77777777">
        <w:trPr>
          <w:hidden/>
        </w:trPr>
        <w:tc>
          <w:tcPr>
            <w:tcW w:w="0" w:type="auto"/>
            <w:gridSpan w:val="3"/>
            <w:shd w:val="clear" w:color="auto" w:fill="auto"/>
            <w:vAlign w:val="bottom"/>
          </w:tcPr>
          <w:p w14:paraId="5F2D50DA" w14:textId="77777777" w:rsidR="00E836FB" w:rsidRDefault="00E836FB">
            <w:pPr>
              <w:rPr>
                <w:rFonts w:ascii="宋体"/>
                <w:vanish/>
              </w:rPr>
            </w:pPr>
          </w:p>
        </w:tc>
        <w:tc>
          <w:tcPr>
            <w:tcW w:w="0" w:type="auto"/>
            <w:gridSpan w:val="3"/>
            <w:shd w:val="clear" w:color="auto" w:fill="auto"/>
            <w:vAlign w:val="bottom"/>
          </w:tcPr>
          <w:p w14:paraId="5F2D50DB" w14:textId="77777777" w:rsidR="00E836FB" w:rsidRDefault="00E836FB">
            <w:pPr>
              <w:rPr>
                <w:rFonts w:ascii="宋体"/>
                <w:vanish/>
              </w:rPr>
            </w:pPr>
          </w:p>
        </w:tc>
        <w:tc>
          <w:tcPr>
            <w:tcW w:w="0" w:type="auto"/>
            <w:gridSpan w:val="3"/>
            <w:shd w:val="clear" w:color="auto" w:fill="auto"/>
            <w:vAlign w:val="bottom"/>
          </w:tcPr>
          <w:p w14:paraId="5F2D50DC" w14:textId="77777777" w:rsidR="00E836FB" w:rsidRDefault="00E836FB">
            <w:pPr>
              <w:rPr>
                <w:rFonts w:ascii="宋体"/>
                <w:vanish/>
              </w:rPr>
            </w:pPr>
          </w:p>
        </w:tc>
        <w:tc>
          <w:tcPr>
            <w:tcW w:w="0" w:type="auto"/>
            <w:gridSpan w:val="3"/>
            <w:shd w:val="clear" w:color="auto" w:fill="auto"/>
            <w:vAlign w:val="bottom"/>
          </w:tcPr>
          <w:p w14:paraId="5F2D50DD" w14:textId="77777777" w:rsidR="00E836FB" w:rsidRDefault="00E836FB">
            <w:pPr>
              <w:rPr>
                <w:rFonts w:ascii="宋体"/>
                <w:vanish/>
              </w:rPr>
            </w:pPr>
          </w:p>
        </w:tc>
        <w:tc>
          <w:tcPr>
            <w:tcW w:w="0" w:type="auto"/>
            <w:gridSpan w:val="3"/>
            <w:shd w:val="clear" w:color="auto" w:fill="auto"/>
            <w:vAlign w:val="bottom"/>
          </w:tcPr>
          <w:p w14:paraId="5F2D50DE" w14:textId="77777777" w:rsidR="00E836FB" w:rsidRDefault="00E836FB">
            <w:pPr>
              <w:rPr>
                <w:rFonts w:ascii="宋体"/>
                <w:vanish/>
              </w:rPr>
            </w:pPr>
          </w:p>
        </w:tc>
        <w:tc>
          <w:tcPr>
            <w:tcW w:w="0" w:type="auto"/>
            <w:gridSpan w:val="3"/>
            <w:shd w:val="clear" w:color="auto" w:fill="auto"/>
            <w:vAlign w:val="bottom"/>
          </w:tcPr>
          <w:p w14:paraId="5F2D50DF" w14:textId="77777777" w:rsidR="00E836FB" w:rsidRDefault="00E836FB">
            <w:pPr>
              <w:rPr>
                <w:rFonts w:ascii="宋体"/>
                <w:vanish/>
              </w:rPr>
            </w:pPr>
          </w:p>
        </w:tc>
      </w:tr>
      <w:tr w:rsidR="00E836FB" w14:paraId="5F2D50E7" w14:textId="77777777">
        <w:trPr>
          <w:hidden/>
        </w:trPr>
        <w:tc>
          <w:tcPr>
            <w:tcW w:w="0" w:type="auto"/>
            <w:gridSpan w:val="3"/>
            <w:shd w:val="clear" w:color="auto" w:fill="auto"/>
            <w:vAlign w:val="bottom"/>
          </w:tcPr>
          <w:p w14:paraId="5F2D50E1" w14:textId="77777777" w:rsidR="00E836FB" w:rsidRDefault="00E836FB">
            <w:pPr>
              <w:rPr>
                <w:rFonts w:ascii="宋体"/>
                <w:vanish/>
              </w:rPr>
            </w:pPr>
          </w:p>
        </w:tc>
        <w:tc>
          <w:tcPr>
            <w:tcW w:w="0" w:type="auto"/>
            <w:gridSpan w:val="3"/>
            <w:shd w:val="clear" w:color="auto" w:fill="auto"/>
            <w:vAlign w:val="bottom"/>
          </w:tcPr>
          <w:p w14:paraId="5F2D50E2" w14:textId="77777777" w:rsidR="00E836FB" w:rsidRDefault="00E836FB">
            <w:pPr>
              <w:rPr>
                <w:rFonts w:ascii="宋体"/>
                <w:vanish/>
              </w:rPr>
            </w:pPr>
          </w:p>
        </w:tc>
        <w:tc>
          <w:tcPr>
            <w:tcW w:w="0" w:type="auto"/>
            <w:gridSpan w:val="3"/>
            <w:shd w:val="clear" w:color="auto" w:fill="auto"/>
            <w:vAlign w:val="bottom"/>
          </w:tcPr>
          <w:p w14:paraId="5F2D50E3" w14:textId="77777777" w:rsidR="00E836FB" w:rsidRDefault="00E836FB">
            <w:pPr>
              <w:rPr>
                <w:rFonts w:ascii="宋体"/>
                <w:vanish/>
              </w:rPr>
            </w:pPr>
          </w:p>
        </w:tc>
        <w:tc>
          <w:tcPr>
            <w:tcW w:w="0" w:type="auto"/>
            <w:gridSpan w:val="3"/>
            <w:shd w:val="clear" w:color="auto" w:fill="auto"/>
            <w:vAlign w:val="bottom"/>
          </w:tcPr>
          <w:p w14:paraId="5F2D50E4" w14:textId="77777777" w:rsidR="00E836FB" w:rsidRDefault="00E836FB">
            <w:pPr>
              <w:rPr>
                <w:rFonts w:ascii="宋体"/>
                <w:vanish/>
              </w:rPr>
            </w:pPr>
          </w:p>
        </w:tc>
        <w:tc>
          <w:tcPr>
            <w:tcW w:w="0" w:type="auto"/>
            <w:gridSpan w:val="3"/>
            <w:shd w:val="clear" w:color="auto" w:fill="auto"/>
            <w:vAlign w:val="bottom"/>
          </w:tcPr>
          <w:p w14:paraId="5F2D50E5" w14:textId="77777777" w:rsidR="00E836FB" w:rsidRDefault="00E836FB">
            <w:pPr>
              <w:rPr>
                <w:rFonts w:ascii="宋体"/>
                <w:vanish/>
              </w:rPr>
            </w:pPr>
          </w:p>
        </w:tc>
        <w:tc>
          <w:tcPr>
            <w:tcW w:w="0" w:type="auto"/>
            <w:gridSpan w:val="3"/>
            <w:shd w:val="clear" w:color="auto" w:fill="auto"/>
            <w:vAlign w:val="bottom"/>
          </w:tcPr>
          <w:p w14:paraId="5F2D50E6" w14:textId="77777777" w:rsidR="00E836FB" w:rsidRDefault="00E836FB">
            <w:pPr>
              <w:rPr>
                <w:rFonts w:ascii="宋体"/>
                <w:vanish/>
              </w:rPr>
            </w:pPr>
          </w:p>
        </w:tc>
      </w:tr>
      <w:tr w:rsidR="00E836FB" w14:paraId="5F2D50EE" w14:textId="77777777">
        <w:trPr>
          <w:hidden/>
        </w:trPr>
        <w:tc>
          <w:tcPr>
            <w:tcW w:w="0" w:type="auto"/>
            <w:gridSpan w:val="3"/>
            <w:shd w:val="clear" w:color="auto" w:fill="auto"/>
            <w:vAlign w:val="bottom"/>
          </w:tcPr>
          <w:p w14:paraId="5F2D50E8" w14:textId="77777777" w:rsidR="00E836FB" w:rsidRDefault="00E836FB">
            <w:pPr>
              <w:rPr>
                <w:rFonts w:ascii="宋体"/>
                <w:vanish/>
              </w:rPr>
            </w:pPr>
          </w:p>
        </w:tc>
        <w:tc>
          <w:tcPr>
            <w:tcW w:w="0" w:type="auto"/>
            <w:gridSpan w:val="3"/>
            <w:shd w:val="clear" w:color="auto" w:fill="auto"/>
            <w:vAlign w:val="bottom"/>
          </w:tcPr>
          <w:p w14:paraId="5F2D50E9" w14:textId="77777777" w:rsidR="00E836FB" w:rsidRDefault="00E836FB">
            <w:pPr>
              <w:rPr>
                <w:rFonts w:ascii="宋体"/>
                <w:vanish/>
              </w:rPr>
            </w:pPr>
          </w:p>
        </w:tc>
        <w:tc>
          <w:tcPr>
            <w:tcW w:w="0" w:type="auto"/>
            <w:gridSpan w:val="3"/>
            <w:shd w:val="clear" w:color="auto" w:fill="auto"/>
            <w:vAlign w:val="bottom"/>
          </w:tcPr>
          <w:p w14:paraId="5F2D50EA" w14:textId="77777777" w:rsidR="00E836FB" w:rsidRDefault="00E836FB">
            <w:pPr>
              <w:rPr>
                <w:rFonts w:ascii="宋体"/>
                <w:vanish/>
              </w:rPr>
            </w:pPr>
          </w:p>
        </w:tc>
        <w:tc>
          <w:tcPr>
            <w:tcW w:w="0" w:type="auto"/>
            <w:gridSpan w:val="3"/>
            <w:shd w:val="clear" w:color="auto" w:fill="auto"/>
            <w:vAlign w:val="bottom"/>
          </w:tcPr>
          <w:p w14:paraId="5F2D50EB" w14:textId="77777777" w:rsidR="00E836FB" w:rsidRDefault="00E836FB">
            <w:pPr>
              <w:rPr>
                <w:rFonts w:ascii="宋体"/>
                <w:vanish/>
              </w:rPr>
            </w:pPr>
          </w:p>
        </w:tc>
        <w:tc>
          <w:tcPr>
            <w:tcW w:w="0" w:type="auto"/>
            <w:gridSpan w:val="3"/>
            <w:shd w:val="clear" w:color="auto" w:fill="auto"/>
            <w:vAlign w:val="bottom"/>
          </w:tcPr>
          <w:p w14:paraId="5F2D50EC" w14:textId="77777777" w:rsidR="00E836FB" w:rsidRDefault="00E836FB">
            <w:pPr>
              <w:rPr>
                <w:rFonts w:ascii="宋体"/>
                <w:vanish/>
              </w:rPr>
            </w:pPr>
          </w:p>
        </w:tc>
        <w:tc>
          <w:tcPr>
            <w:tcW w:w="0" w:type="auto"/>
            <w:gridSpan w:val="3"/>
            <w:shd w:val="clear" w:color="auto" w:fill="auto"/>
            <w:vAlign w:val="bottom"/>
          </w:tcPr>
          <w:p w14:paraId="5F2D50ED" w14:textId="77777777" w:rsidR="00E836FB" w:rsidRDefault="00E836FB">
            <w:pPr>
              <w:rPr>
                <w:rFonts w:ascii="宋体"/>
                <w:vanish/>
              </w:rPr>
            </w:pPr>
          </w:p>
        </w:tc>
      </w:tr>
      <w:tr w:rsidR="00E836FB" w14:paraId="5F2D50F5" w14:textId="77777777">
        <w:trPr>
          <w:hidden/>
        </w:trPr>
        <w:tc>
          <w:tcPr>
            <w:tcW w:w="0" w:type="auto"/>
            <w:gridSpan w:val="3"/>
            <w:shd w:val="clear" w:color="auto" w:fill="auto"/>
            <w:vAlign w:val="bottom"/>
          </w:tcPr>
          <w:p w14:paraId="5F2D50EF" w14:textId="77777777" w:rsidR="00E836FB" w:rsidRDefault="00E836FB">
            <w:pPr>
              <w:rPr>
                <w:rFonts w:ascii="宋体"/>
                <w:vanish/>
              </w:rPr>
            </w:pPr>
          </w:p>
        </w:tc>
        <w:tc>
          <w:tcPr>
            <w:tcW w:w="0" w:type="auto"/>
            <w:gridSpan w:val="3"/>
            <w:shd w:val="clear" w:color="auto" w:fill="auto"/>
            <w:vAlign w:val="bottom"/>
          </w:tcPr>
          <w:p w14:paraId="5F2D50F0" w14:textId="77777777" w:rsidR="00E836FB" w:rsidRDefault="00E836FB">
            <w:pPr>
              <w:rPr>
                <w:rFonts w:ascii="宋体"/>
                <w:vanish/>
              </w:rPr>
            </w:pPr>
          </w:p>
        </w:tc>
        <w:tc>
          <w:tcPr>
            <w:tcW w:w="0" w:type="auto"/>
            <w:gridSpan w:val="3"/>
            <w:shd w:val="clear" w:color="auto" w:fill="auto"/>
            <w:vAlign w:val="bottom"/>
          </w:tcPr>
          <w:p w14:paraId="5F2D50F1" w14:textId="77777777" w:rsidR="00E836FB" w:rsidRDefault="00E836FB">
            <w:pPr>
              <w:rPr>
                <w:rFonts w:ascii="宋体"/>
                <w:vanish/>
              </w:rPr>
            </w:pPr>
          </w:p>
        </w:tc>
        <w:tc>
          <w:tcPr>
            <w:tcW w:w="0" w:type="auto"/>
            <w:gridSpan w:val="3"/>
            <w:shd w:val="clear" w:color="auto" w:fill="auto"/>
            <w:vAlign w:val="bottom"/>
          </w:tcPr>
          <w:p w14:paraId="5F2D50F2" w14:textId="77777777" w:rsidR="00E836FB" w:rsidRDefault="00E836FB">
            <w:pPr>
              <w:rPr>
                <w:rFonts w:ascii="宋体"/>
                <w:vanish/>
              </w:rPr>
            </w:pPr>
          </w:p>
        </w:tc>
        <w:tc>
          <w:tcPr>
            <w:tcW w:w="0" w:type="auto"/>
            <w:gridSpan w:val="3"/>
            <w:shd w:val="clear" w:color="auto" w:fill="auto"/>
            <w:vAlign w:val="bottom"/>
          </w:tcPr>
          <w:p w14:paraId="5F2D50F3" w14:textId="77777777" w:rsidR="00E836FB" w:rsidRDefault="00E836FB">
            <w:pPr>
              <w:rPr>
                <w:rFonts w:ascii="宋体"/>
                <w:vanish/>
              </w:rPr>
            </w:pPr>
          </w:p>
        </w:tc>
        <w:tc>
          <w:tcPr>
            <w:tcW w:w="0" w:type="auto"/>
            <w:gridSpan w:val="3"/>
            <w:shd w:val="clear" w:color="auto" w:fill="auto"/>
            <w:vAlign w:val="bottom"/>
          </w:tcPr>
          <w:p w14:paraId="5F2D50F4" w14:textId="77777777" w:rsidR="00E836FB" w:rsidRDefault="00E836FB">
            <w:pPr>
              <w:rPr>
                <w:rFonts w:ascii="宋体"/>
                <w:vanish/>
              </w:rPr>
            </w:pPr>
          </w:p>
        </w:tc>
      </w:tr>
      <w:tr w:rsidR="00E836FB" w14:paraId="5F2D50FC" w14:textId="77777777">
        <w:trPr>
          <w:hidden/>
        </w:trPr>
        <w:tc>
          <w:tcPr>
            <w:tcW w:w="0" w:type="auto"/>
            <w:gridSpan w:val="3"/>
            <w:shd w:val="clear" w:color="auto" w:fill="auto"/>
            <w:vAlign w:val="bottom"/>
          </w:tcPr>
          <w:p w14:paraId="5F2D50F6" w14:textId="77777777" w:rsidR="00E836FB" w:rsidRDefault="00E836FB">
            <w:pPr>
              <w:rPr>
                <w:rFonts w:ascii="宋体"/>
                <w:vanish/>
              </w:rPr>
            </w:pPr>
          </w:p>
        </w:tc>
        <w:tc>
          <w:tcPr>
            <w:tcW w:w="0" w:type="auto"/>
            <w:gridSpan w:val="3"/>
            <w:shd w:val="clear" w:color="auto" w:fill="auto"/>
            <w:vAlign w:val="bottom"/>
          </w:tcPr>
          <w:p w14:paraId="5F2D50F7" w14:textId="77777777" w:rsidR="00E836FB" w:rsidRDefault="00E836FB">
            <w:pPr>
              <w:rPr>
                <w:rFonts w:ascii="宋体"/>
                <w:vanish/>
              </w:rPr>
            </w:pPr>
          </w:p>
        </w:tc>
        <w:tc>
          <w:tcPr>
            <w:tcW w:w="0" w:type="auto"/>
            <w:gridSpan w:val="3"/>
            <w:shd w:val="clear" w:color="auto" w:fill="auto"/>
            <w:vAlign w:val="bottom"/>
          </w:tcPr>
          <w:p w14:paraId="5F2D50F8" w14:textId="77777777" w:rsidR="00E836FB" w:rsidRDefault="00E836FB">
            <w:pPr>
              <w:rPr>
                <w:rFonts w:ascii="宋体"/>
                <w:vanish/>
              </w:rPr>
            </w:pPr>
          </w:p>
        </w:tc>
        <w:tc>
          <w:tcPr>
            <w:tcW w:w="0" w:type="auto"/>
            <w:gridSpan w:val="3"/>
            <w:shd w:val="clear" w:color="auto" w:fill="auto"/>
            <w:vAlign w:val="bottom"/>
          </w:tcPr>
          <w:p w14:paraId="5F2D50F9" w14:textId="77777777" w:rsidR="00E836FB" w:rsidRDefault="00E836FB">
            <w:pPr>
              <w:rPr>
                <w:rFonts w:ascii="宋体"/>
                <w:vanish/>
              </w:rPr>
            </w:pPr>
          </w:p>
        </w:tc>
        <w:tc>
          <w:tcPr>
            <w:tcW w:w="0" w:type="auto"/>
            <w:gridSpan w:val="3"/>
            <w:shd w:val="clear" w:color="auto" w:fill="auto"/>
            <w:vAlign w:val="bottom"/>
          </w:tcPr>
          <w:p w14:paraId="5F2D50FA" w14:textId="77777777" w:rsidR="00E836FB" w:rsidRDefault="00E836FB">
            <w:pPr>
              <w:rPr>
                <w:rFonts w:ascii="宋体"/>
                <w:vanish/>
              </w:rPr>
            </w:pPr>
          </w:p>
        </w:tc>
        <w:tc>
          <w:tcPr>
            <w:tcW w:w="0" w:type="auto"/>
            <w:gridSpan w:val="3"/>
            <w:shd w:val="clear" w:color="auto" w:fill="auto"/>
            <w:vAlign w:val="bottom"/>
          </w:tcPr>
          <w:p w14:paraId="5F2D50FB" w14:textId="77777777" w:rsidR="00E836FB" w:rsidRDefault="00E836FB">
            <w:pPr>
              <w:rPr>
                <w:rFonts w:ascii="宋体"/>
                <w:vanish/>
              </w:rPr>
            </w:pPr>
          </w:p>
        </w:tc>
      </w:tr>
      <w:tr w:rsidR="00E836FB" w14:paraId="5F2D5103" w14:textId="77777777">
        <w:trPr>
          <w:hidden/>
        </w:trPr>
        <w:tc>
          <w:tcPr>
            <w:tcW w:w="0" w:type="auto"/>
            <w:gridSpan w:val="3"/>
            <w:shd w:val="clear" w:color="auto" w:fill="auto"/>
            <w:vAlign w:val="bottom"/>
          </w:tcPr>
          <w:p w14:paraId="5F2D50FD" w14:textId="77777777" w:rsidR="00E836FB" w:rsidRDefault="00E836FB">
            <w:pPr>
              <w:rPr>
                <w:rFonts w:ascii="宋体"/>
                <w:vanish/>
              </w:rPr>
            </w:pPr>
          </w:p>
        </w:tc>
        <w:tc>
          <w:tcPr>
            <w:tcW w:w="0" w:type="auto"/>
            <w:gridSpan w:val="3"/>
            <w:shd w:val="clear" w:color="auto" w:fill="auto"/>
            <w:vAlign w:val="bottom"/>
          </w:tcPr>
          <w:p w14:paraId="5F2D50FE" w14:textId="77777777" w:rsidR="00E836FB" w:rsidRDefault="00E836FB">
            <w:pPr>
              <w:rPr>
                <w:rFonts w:ascii="宋体"/>
                <w:vanish/>
              </w:rPr>
            </w:pPr>
          </w:p>
        </w:tc>
        <w:tc>
          <w:tcPr>
            <w:tcW w:w="0" w:type="auto"/>
            <w:gridSpan w:val="3"/>
            <w:shd w:val="clear" w:color="auto" w:fill="auto"/>
            <w:vAlign w:val="bottom"/>
          </w:tcPr>
          <w:p w14:paraId="5F2D50FF" w14:textId="77777777" w:rsidR="00E836FB" w:rsidRDefault="00E836FB">
            <w:pPr>
              <w:rPr>
                <w:rFonts w:ascii="宋体"/>
                <w:vanish/>
              </w:rPr>
            </w:pPr>
          </w:p>
        </w:tc>
        <w:tc>
          <w:tcPr>
            <w:tcW w:w="0" w:type="auto"/>
            <w:gridSpan w:val="3"/>
            <w:shd w:val="clear" w:color="auto" w:fill="auto"/>
            <w:vAlign w:val="bottom"/>
          </w:tcPr>
          <w:p w14:paraId="5F2D5100" w14:textId="77777777" w:rsidR="00E836FB" w:rsidRDefault="00E836FB">
            <w:pPr>
              <w:rPr>
                <w:rFonts w:ascii="宋体"/>
                <w:vanish/>
              </w:rPr>
            </w:pPr>
          </w:p>
        </w:tc>
        <w:tc>
          <w:tcPr>
            <w:tcW w:w="0" w:type="auto"/>
            <w:gridSpan w:val="3"/>
            <w:shd w:val="clear" w:color="auto" w:fill="auto"/>
            <w:vAlign w:val="bottom"/>
          </w:tcPr>
          <w:p w14:paraId="5F2D5101" w14:textId="77777777" w:rsidR="00E836FB" w:rsidRDefault="00E836FB">
            <w:pPr>
              <w:rPr>
                <w:rFonts w:ascii="宋体"/>
                <w:vanish/>
              </w:rPr>
            </w:pPr>
          </w:p>
        </w:tc>
        <w:tc>
          <w:tcPr>
            <w:tcW w:w="0" w:type="auto"/>
            <w:gridSpan w:val="3"/>
            <w:shd w:val="clear" w:color="auto" w:fill="auto"/>
            <w:vAlign w:val="bottom"/>
          </w:tcPr>
          <w:p w14:paraId="5F2D5102" w14:textId="77777777" w:rsidR="00E836FB" w:rsidRDefault="00E836FB">
            <w:pPr>
              <w:rPr>
                <w:rFonts w:ascii="宋体"/>
                <w:vanish/>
              </w:rPr>
            </w:pPr>
          </w:p>
        </w:tc>
      </w:tr>
      <w:tr w:rsidR="00E836FB" w14:paraId="5F2D510A" w14:textId="77777777">
        <w:trPr>
          <w:hidden/>
        </w:trPr>
        <w:tc>
          <w:tcPr>
            <w:tcW w:w="0" w:type="auto"/>
            <w:gridSpan w:val="3"/>
            <w:shd w:val="clear" w:color="auto" w:fill="auto"/>
            <w:vAlign w:val="bottom"/>
          </w:tcPr>
          <w:p w14:paraId="5F2D5104" w14:textId="77777777" w:rsidR="00E836FB" w:rsidRDefault="00E836FB">
            <w:pPr>
              <w:rPr>
                <w:rFonts w:ascii="宋体"/>
                <w:vanish/>
              </w:rPr>
            </w:pPr>
          </w:p>
        </w:tc>
        <w:tc>
          <w:tcPr>
            <w:tcW w:w="0" w:type="auto"/>
            <w:gridSpan w:val="3"/>
            <w:shd w:val="clear" w:color="auto" w:fill="auto"/>
            <w:vAlign w:val="bottom"/>
          </w:tcPr>
          <w:p w14:paraId="5F2D5105" w14:textId="77777777" w:rsidR="00E836FB" w:rsidRDefault="00E836FB">
            <w:pPr>
              <w:rPr>
                <w:rFonts w:ascii="宋体"/>
                <w:vanish/>
              </w:rPr>
            </w:pPr>
          </w:p>
        </w:tc>
        <w:tc>
          <w:tcPr>
            <w:tcW w:w="0" w:type="auto"/>
            <w:gridSpan w:val="3"/>
            <w:shd w:val="clear" w:color="auto" w:fill="auto"/>
            <w:vAlign w:val="bottom"/>
          </w:tcPr>
          <w:p w14:paraId="5F2D5106" w14:textId="77777777" w:rsidR="00E836FB" w:rsidRDefault="00E836FB">
            <w:pPr>
              <w:rPr>
                <w:rFonts w:ascii="宋体"/>
                <w:vanish/>
              </w:rPr>
            </w:pPr>
          </w:p>
        </w:tc>
        <w:tc>
          <w:tcPr>
            <w:tcW w:w="0" w:type="auto"/>
            <w:gridSpan w:val="3"/>
            <w:shd w:val="clear" w:color="auto" w:fill="auto"/>
            <w:vAlign w:val="bottom"/>
          </w:tcPr>
          <w:p w14:paraId="5F2D5107" w14:textId="77777777" w:rsidR="00E836FB" w:rsidRDefault="00E836FB">
            <w:pPr>
              <w:rPr>
                <w:rFonts w:ascii="宋体"/>
                <w:vanish/>
              </w:rPr>
            </w:pPr>
          </w:p>
        </w:tc>
        <w:tc>
          <w:tcPr>
            <w:tcW w:w="0" w:type="auto"/>
            <w:gridSpan w:val="3"/>
            <w:shd w:val="clear" w:color="auto" w:fill="auto"/>
            <w:vAlign w:val="bottom"/>
          </w:tcPr>
          <w:p w14:paraId="5F2D5108" w14:textId="77777777" w:rsidR="00E836FB" w:rsidRDefault="00E836FB">
            <w:pPr>
              <w:rPr>
                <w:rFonts w:ascii="宋体"/>
                <w:vanish/>
              </w:rPr>
            </w:pPr>
          </w:p>
        </w:tc>
        <w:tc>
          <w:tcPr>
            <w:tcW w:w="0" w:type="auto"/>
            <w:gridSpan w:val="3"/>
            <w:shd w:val="clear" w:color="auto" w:fill="auto"/>
            <w:vAlign w:val="bottom"/>
          </w:tcPr>
          <w:p w14:paraId="5F2D5109" w14:textId="77777777" w:rsidR="00E836FB" w:rsidRDefault="00E836FB">
            <w:pPr>
              <w:rPr>
                <w:rFonts w:ascii="宋体"/>
                <w:vanish/>
              </w:rPr>
            </w:pPr>
          </w:p>
        </w:tc>
      </w:tr>
      <w:tr w:rsidR="00E836FB" w14:paraId="5F2D5111" w14:textId="77777777">
        <w:trPr>
          <w:hidden/>
        </w:trPr>
        <w:tc>
          <w:tcPr>
            <w:tcW w:w="0" w:type="auto"/>
            <w:gridSpan w:val="3"/>
            <w:shd w:val="clear" w:color="auto" w:fill="auto"/>
            <w:vAlign w:val="bottom"/>
          </w:tcPr>
          <w:p w14:paraId="5F2D510B" w14:textId="77777777" w:rsidR="00E836FB" w:rsidRDefault="00E836FB">
            <w:pPr>
              <w:rPr>
                <w:rFonts w:ascii="宋体"/>
                <w:vanish/>
              </w:rPr>
            </w:pPr>
          </w:p>
        </w:tc>
        <w:tc>
          <w:tcPr>
            <w:tcW w:w="0" w:type="auto"/>
            <w:gridSpan w:val="3"/>
            <w:shd w:val="clear" w:color="auto" w:fill="auto"/>
            <w:vAlign w:val="bottom"/>
          </w:tcPr>
          <w:p w14:paraId="5F2D510C" w14:textId="77777777" w:rsidR="00E836FB" w:rsidRDefault="00E836FB">
            <w:pPr>
              <w:rPr>
                <w:rFonts w:ascii="宋体"/>
                <w:vanish/>
              </w:rPr>
            </w:pPr>
          </w:p>
        </w:tc>
        <w:tc>
          <w:tcPr>
            <w:tcW w:w="0" w:type="auto"/>
            <w:gridSpan w:val="3"/>
            <w:shd w:val="clear" w:color="auto" w:fill="auto"/>
            <w:vAlign w:val="bottom"/>
          </w:tcPr>
          <w:p w14:paraId="5F2D510D" w14:textId="77777777" w:rsidR="00E836FB" w:rsidRDefault="00E836FB">
            <w:pPr>
              <w:rPr>
                <w:rFonts w:ascii="宋体"/>
                <w:vanish/>
              </w:rPr>
            </w:pPr>
          </w:p>
        </w:tc>
        <w:tc>
          <w:tcPr>
            <w:tcW w:w="0" w:type="auto"/>
            <w:gridSpan w:val="3"/>
            <w:shd w:val="clear" w:color="auto" w:fill="auto"/>
            <w:vAlign w:val="bottom"/>
          </w:tcPr>
          <w:p w14:paraId="5F2D510E" w14:textId="77777777" w:rsidR="00E836FB" w:rsidRDefault="00E836FB">
            <w:pPr>
              <w:rPr>
                <w:rFonts w:ascii="宋体"/>
                <w:vanish/>
              </w:rPr>
            </w:pPr>
          </w:p>
        </w:tc>
        <w:tc>
          <w:tcPr>
            <w:tcW w:w="0" w:type="auto"/>
            <w:gridSpan w:val="3"/>
            <w:shd w:val="clear" w:color="auto" w:fill="auto"/>
            <w:vAlign w:val="bottom"/>
          </w:tcPr>
          <w:p w14:paraId="5F2D510F" w14:textId="77777777" w:rsidR="00E836FB" w:rsidRDefault="00E836FB">
            <w:pPr>
              <w:rPr>
                <w:rFonts w:ascii="宋体"/>
                <w:vanish/>
              </w:rPr>
            </w:pPr>
          </w:p>
        </w:tc>
        <w:tc>
          <w:tcPr>
            <w:tcW w:w="0" w:type="auto"/>
            <w:gridSpan w:val="3"/>
            <w:shd w:val="clear" w:color="auto" w:fill="auto"/>
            <w:vAlign w:val="bottom"/>
          </w:tcPr>
          <w:p w14:paraId="5F2D5110" w14:textId="77777777" w:rsidR="00E836FB" w:rsidRDefault="00E836FB">
            <w:pPr>
              <w:rPr>
                <w:rFonts w:ascii="宋体"/>
                <w:vanish/>
              </w:rPr>
            </w:pPr>
          </w:p>
        </w:tc>
      </w:tr>
      <w:tr w:rsidR="00E836FB" w14:paraId="5F2D5118" w14:textId="77777777">
        <w:trPr>
          <w:hidden/>
        </w:trPr>
        <w:tc>
          <w:tcPr>
            <w:tcW w:w="0" w:type="auto"/>
            <w:gridSpan w:val="3"/>
            <w:shd w:val="clear" w:color="auto" w:fill="auto"/>
            <w:vAlign w:val="bottom"/>
          </w:tcPr>
          <w:p w14:paraId="5F2D5112" w14:textId="77777777" w:rsidR="00E836FB" w:rsidRDefault="00E836FB">
            <w:pPr>
              <w:rPr>
                <w:rFonts w:ascii="宋体"/>
                <w:vanish/>
              </w:rPr>
            </w:pPr>
          </w:p>
        </w:tc>
        <w:tc>
          <w:tcPr>
            <w:tcW w:w="0" w:type="auto"/>
            <w:gridSpan w:val="3"/>
            <w:shd w:val="clear" w:color="auto" w:fill="auto"/>
            <w:vAlign w:val="bottom"/>
          </w:tcPr>
          <w:p w14:paraId="5F2D5113" w14:textId="77777777" w:rsidR="00E836FB" w:rsidRDefault="00E836FB">
            <w:pPr>
              <w:rPr>
                <w:rFonts w:ascii="宋体"/>
                <w:vanish/>
              </w:rPr>
            </w:pPr>
          </w:p>
        </w:tc>
        <w:tc>
          <w:tcPr>
            <w:tcW w:w="0" w:type="auto"/>
            <w:gridSpan w:val="3"/>
            <w:shd w:val="clear" w:color="auto" w:fill="auto"/>
            <w:vAlign w:val="bottom"/>
          </w:tcPr>
          <w:p w14:paraId="5F2D5114" w14:textId="77777777" w:rsidR="00E836FB" w:rsidRDefault="00E836FB">
            <w:pPr>
              <w:rPr>
                <w:rFonts w:ascii="宋体"/>
                <w:vanish/>
              </w:rPr>
            </w:pPr>
          </w:p>
        </w:tc>
        <w:tc>
          <w:tcPr>
            <w:tcW w:w="0" w:type="auto"/>
            <w:gridSpan w:val="3"/>
            <w:shd w:val="clear" w:color="auto" w:fill="auto"/>
            <w:vAlign w:val="bottom"/>
          </w:tcPr>
          <w:p w14:paraId="5F2D5115" w14:textId="77777777" w:rsidR="00E836FB" w:rsidRDefault="00E836FB">
            <w:pPr>
              <w:rPr>
                <w:rFonts w:ascii="宋体"/>
                <w:vanish/>
              </w:rPr>
            </w:pPr>
          </w:p>
        </w:tc>
        <w:tc>
          <w:tcPr>
            <w:tcW w:w="0" w:type="auto"/>
            <w:gridSpan w:val="3"/>
            <w:shd w:val="clear" w:color="auto" w:fill="auto"/>
            <w:vAlign w:val="bottom"/>
          </w:tcPr>
          <w:p w14:paraId="5F2D5116" w14:textId="77777777" w:rsidR="00E836FB" w:rsidRDefault="00E836FB">
            <w:pPr>
              <w:rPr>
                <w:rFonts w:ascii="宋体"/>
                <w:vanish/>
              </w:rPr>
            </w:pPr>
          </w:p>
        </w:tc>
        <w:tc>
          <w:tcPr>
            <w:tcW w:w="0" w:type="auto"/>
            <w:gridSpan w:val="3"/>
            <w:shd w:val="clear" w:color="auto" w:fill="auto"/>
            <w:vAlign w:val="bottom"/>
          </w:tcPr>
          <w:p w14:paraId="5F2D5117" w14:textId="77777777" w:rsidR="00E836FB" w:rsidRDefault="00E836FB">
            <w:pPr>
              <w:rPr>
                <w:rFonts w:ascii="宋体"/>
                <w:vanish/>
              </w:rPr>
            </w:pPr>
          </w:p>
        </w:tc>
      </w:tr>
      <w:tr w:rsidR="00E836FB" w14:paraId="5F2D511F" w14:textId="77777777">
        <w:trPr>
          <w:hidden/>
        </w:trPr>
        <w:tc>
          <w:tcPr>
            <w:tcW w:w="0" w:type="auto"/>
            <w:gridSpan w:val="3"/>
            <w:shd w:val="clear" w:color="auto" w:fill="auto"/>
            <w:vAlign w:val="bottom"/>
          </w:tcPr>
          <w:p w14:paraId="5F2D5119" w14:textId="77777777" w:rsidR="00E836FB" w:rsidRDefault="00E836FB">
            <w:pPr>
              <w:rPr>
                <w:rFonts w:ascii="宋体"/>
                <w:vanish/>
              </w:rPr>
            </w:pPr>
          </w:p>
        </w:tc>
        <w:tc>
          <w:tcPr>
            <w:tcW w:w="0" w:type="auto"/>
            <w:gridSpan w:val="3"/>
            <w:shd w:val="clear" w:color="auto" w:fill="auto"/>
            <w:vAlign w:val="bottom"/>
          </w:tcPr>
          <w:p w14:paraId="5F2D511A" w14:textId="77777777" w:rsidR="00E836FB" w:rsidRDefault="00E836FB">
            <w:pPr>
              <w:rPr>
                <w:rFonts w:ascii="宋体"/>
                <w:vanish/>
              </w:rPr>
            </w:pPr>
          </w:p>
        </w:tc>
        <w:tc>
          <w:tcPr>
            <w:tcW w:w="0" w:type="auto"/>
            <w:gridSpan w:val="3"/>
            <w:shd w:val="clear" w:color="auto" w:fill="auto"/>
            <w:vAlign w:val="bottom"/>
          </w:tcPr>
          <w:p w14:paraId="5F2D511B" w14:textId="77777777" w:rsidR="00E836FB" w:rsidRDefault="00E836FB">
            <w:pPr>
              <w:rPr>
                <w:rFonts w:ascii="宋体"/>
                <w:vanish/>
              </w:rPr>
            </w:pPr>
          </w:p>
        </w:tc>
        <w:tc>
          <w:tcPr>
            <w:tcW w:w="0" w:type="auto"/>
            <w:gridSpan w:val="3"/>
            <w:shd w:val="clear" w:color="auto" w:fill="auto"/>
            <w:vAlign w:val="bottom"/>
          </w:tcPr>
          <w:p w14:paraId="5F2D511C" w14:textId="77777777" w:rsidR="00E836FB" w:rsidRDefault="00E836FB">
            <w:pPr>
              <w:rPr>
                <w:rFonts w:ascii="宋体"/>
                <w:vanish/>
              </w:rPr>
            </w:pPr>
          </w:p>
        </w:tc>
        <w:tc>
          <w:tcPr>
            <w:tcW w:w="0" w:type="auto"/>
            <w:gridSpan w:val="3"/>
            <w:shd w:val="clear" w:color="auto" w:fill="auto"/>
            <w:vAlign w:val="bottom"/>
          </w:tcPr>
          <w:p w14:paraId="5F2D511D" w14:textId="77777777" w:rsidR="00E836FB" w:rsidRDefault="00E836FB">
            <w:pPr>
              <w:rPr>
                <w:rFonts w:ascii="宋体"/>
                <w:vanish/>
              </w:rPr>
            </w:pPr>
          </w:p>
        </w:tc>
        <w:tc>
          <w:tcPr>
            <w:tcW w:w="0" w:type="auto"/>
            <w:gridSpan w:val="3"/>
            <w:shd w:val="clear" w:color="auto" w:fill="auto"/>
            <w:vAlign w:val="bottom"/>
          </w:tcPr>
          <w:p w14:paraId="5F2D511E" w14:textId="77777777" w:rsidR="00E836FB" w:rsidRDefault="00E836FB">
            <w:pPr>
              <w:rPr>
                <w:rFonts w:ascii="宋体"/>
                <w:vanish/>
              </w:rPr>
            </w:pPr>
          </w:p>
        </w:tc>
      </w:tr>
      <w:tr w:rsidR="00E836FB" w14:paraId="5F2D5126" w14:textId="77777777">
        <w:trPr>
          <w:hidden/>
        </w:trPr>
        <w:tc>
          <w:tcPr>
            <w:tcW w:w="0" w:type="auto"/>
            <w:gridSpan w:val="3"/>
            <w:shd w:val="clear" w:color="auto" w:fill="auto"/>
            <w:vAlign w:val="bottom"/>
          </w:tcPr>
          <w:p w14:paraId="5F2D5120" w14:textId="77777777" w:rsidR="00E836FB" w:rsidRDefault="00E836FB">
            <w:pPr>
              <w:rPr>
                <w:rFonts w:ascii="宋体"/>
                <w:vanish/>
              </w:rPr>
            </w:pPr>
          </w:p>
        </w:tc>
        <w:tc>
          <w:tcPr>
            <w:tcW w:w="0" w:type="auto"/>
            <w:gridSpan w:val="3"/>
            <w:shd w:val="clear" w:color="auto" w:fill="auto"/>
            <w:vAlign w:val="bottom"/>
          </w:tcPr>
          <w:p w14:paraId="5F2D5121" w14:textId="77777777" w:rsidR="00E836FB" w:rsidRDefault="00E836FB">
            <w:pPr>
              <w:rPr>
                <w:rFonts w:ascii="宋体"/>
                <w:vanish/>
              </w:rPr>
            </w:pPr>
          </w:p>
        </w:tc>
        <w:tc>
          <w:tcPr>
            <w:tcW w:w="0" w:type="auto"/>
            <w:gridSpan w:val="3"/>
            <w:shd w:val="clear" w:color="auto" w:fill="auto"/>
            <w:vAlign w:val="bottom"/>
          </w:tcPr>
          <w:p w14:paraId="5F2D5122" w14:textId="77777777" w:rsidR="00E836FB" w:rsidRDefault="00E836FB">
            <w:pPr>
              <w:rPr>
                <w:rFonts w:ascii="宋体"/>
                <w:vanish/>
              </w:rPr>
            </w:pPr>
          </w:p>
        </w:tc>
        <w:tc>
          <w:tcPr>
            <w:tcW w:w="0" w:type="auto"/>
            <w:gridSpan w:val="3"/>
            <w:shd w:val="clear" w:color="auto" w:fill="auto"/>
            <w:vAlign w:val="bottom"/>
          </w:tcPr>
          <w:p w14:paraId="5F2D5123" w14:textId="77777777" w:rsidR="00E836FB" w:rsidRDefault="00E836FB">
            <w:pPr>
              <w:rPr>
                <w:rFonts w:ascii="宋体"/>
                <w:vanish/>
              </w:rPr>
            </w:pPr>
          </w:p>
        </w:tc>
        <w:tc>
          <w:tcPr>
            <w:tcW w:w="0" w:type="auto"/>
            <w:gridSpan w:val="3"/>
            <w:shd w:val="clear" w:color="auto" w:fill="auto"/>
            <w:vAlign w:val="bottom"/>
          </w:tcPr>
          <w:p w14:paraId="5F2D5124" w14:textId="77777777" w:rsidR="00E836FB" w:rsidRDefault="00E836FB">
            <w:pPr>
              <w:rPr>
                <w:rFonts w:ascii="宋体"/>
                <w:vanish/>
              </w:rPr>
            </w:pPr>
          </w:p>
        </w:tc>
        <w:tc>
          <w:tcPr>
            <w:tcW w:w="0" w:type="auto"/>
            <w:gridSpan w:val="3"/>
            <w:shd w:val="clear" w:color="auto" w:fill="auto"/>
            <w:vAlign w:val="bottom"/>
          </w:tcPr>
          <w:p w14:paraId="5F2D5125" w14:textId="77777777" w:rsidR="00E836FB" w:rsidRDefault="00E836FB">
            <w:pPr>
              <w:rPr>
                <w:rFonts w:ascii="宋体"/>
                <w:vanish/>
              </w:rPr>
            </w:pPr>
          </w:p>
        </w:tc>
      </w:tr>
    </w:tbl>
    <w:p w14:paraId="5F2D5127"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13"/>
        <w:gridCol w:w="36"/>
        <w:gridCol w:w="69"/>
        <w:gridCol w:w="3213"/>
        <w:gridCol w:w="36"/>
      </w:tblGrid>
      <w:tr w:rsidR="00E836FB" w14:paraId="5F2D512E" w14:textId="77777777">
        <w:tc>
          <w:tcPr>
            <w:tcW w:w="50" w:type="pct"/>
            <w:shd w:val="clear" w:color="auto" w:fill="auto"/>
            <w:vAlign w:val="bottom"/>
          </w:tcPr>
          <w:p w14:paraId="5F2D5128" w14:textId="77777777" w:rsidR="00E836FB" w:rsidRDefault="00E836FB">
            <w:pPr>
              <w:rPr>
                <w:rFonts w:ascii="宋体"/>
              </w:rPr>
            </w:pPr>
          </w:p>
        </w:tc>
        <w:tc>
          <w:tcPr>
            <w:tcW w:w="2954" w:type="pct"/>
            <w:shd w:val="clear" w:color="auto" w:fill="auto"/>
            <w:vAlign w:val="bottom"/>
          </w:tcPr>
          <w:p w14:paraId="5F2D5129" w14:textId="77777777" w:rsidR="00E836FB" w:rsidRDefault="00E836FB">
            <w:pPr>
              <w:rPr>
                <w:rFonts w:ascii="宋体"/>
              </w:rPr>
            </w:pPr>
          </w:p>
        </w:tc>
        <w:tc>
          <w:tcPr>
            <w:tcW w:w="5" w:type="pct"/>
            <w:shd w:val="clear" w:color="auto" w:fill="auto"/>
            <w:vAlign w:val="bottom"/>
          </w:tcPr>
          <w:p w14:paraId="5F2D512A" w14:textId="77777777" w:rsidR="00E836FB" w:rsidRDefault="00E836FB">
            <w:pPr>
              <w:rPr>
                <w:rFonts w:ascii="宋体"/>
              </w:rPr>
            </w:pPr>
          </w:p>
        </w:tc>
        <w:tc>
          <w:tcPr>
            <w:tcW w:w="50" w:type="pct"/>
            <w:shd w:val="clear" w:color="auto" w:fill="auto"/>
            <w:vAlign w:val="bottom"/>
          </w:tcPr>
          <w:p w14:paraId="5F2D512B" w14:textId="77777777" w:rsidR="00E836FB" w:rsidRDefault="00E836FB">
            <w:pPr>
              <w:rPr>
                <w:rFonts w:ascii="宋体"/>
              </w:rPr>
            </w:pPr>
          </w:p>
        </w:tc>
        <w:tc>
          <w:tcPr>
            <w:tcW w:w="1935" w:type="pct"/>
            <w:shd w:val="clear" w:color="auto" w:fill="auto"/>
            <w:vAlign w:val="bottom"/>
          </w:tcPr>
          <w:p w14:paraId="5F2D512C" w14:textId="77777777" w:rsidR="00E836FB" w:rsidRDefault="00E836FB">
            <w:pPr>
              <w:rPr>
                <w:rFonts w:ascii="宋体"/>
              </w:rPr>
            </w:pPr>
          </w:p>
        </w:tc>
        <w:tc>
          <w:tcPr>
            <w:tcW w:w="5" w:type="pct"/>
            <w:shd w:val="clear" w:color="auto" w:fill="auto"/>
            <w:vAlign w:val="bottom"/>
          </w:tcPr>
          <w:p w14:paraId="5F2D512D" w14:textId="77777777" w:rsidR="00E836FB" w:rsidRDefault="00E836FB">
            <w:pPr>
              <w:rPr>
                <w:rFonts w:ascii="宋体"/>
              </w:rPr>
            </w:pPr>
          </w:p>
        </w:tc>
      </w:tr>
      <w:tr w:rsidR="00E836FB" w14:paraId="5F2D5131" w14:textId="77777777">
        <w:trPr>
          <w:trHeight w:val="60"/>
        </w:trPr>
        <w:tc>
          <w:tcPr>
            <w:tcW w:w="0" w:type="auto"/>
            <w:gridSpan w:val="3"/>
            <w:shd w:val="clear" w:color="auto" w:fill="auto"/>
            <w:tcMar>
              <w:top w:w="0" w:type="dxa"/>
              <w:left w:w="20" w:type="dxa"/>
              <w:bottom w:w="0" w:type="dxa"/>
              <w:right w:w="20" w:type="dxa"/>
            </w:tcMar>
            <w:vAlign w:val="bottom"/>
          </w:tcPr>
          <w:p w14:paraId="5F2D512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130" w14:textId="77777777" w:rsidR="00E836FB" w:rsidRDefault="00E836FB">
            <w:pPr>
              <w:rPr>
                <w:rFonts w:ascii="宋体"/>
              </w:rPr>
            </w:pPr>
          </w:p>
        </w:tc>
      </w:tr>
      <w:tr w:rsidR="00E836FB" w14:paraId="5F2D5134"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13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133" w14:textId="77777777" w:rsidR="00E836FB" w:rsidRDefault="00E836FB">
            <w:pPr>
              <w:rPr>
                <w:rFonts w:ascii="宋体"/>
              </w:rPr>
            </w:pPr>
          </w:p>
        </w:tc>
      </w:tr>
    </w:tbl>
    <w:p w14:paraId="5F2D5135" w14:textId="77777777" w:rsidR="00E836FB" w:rsidRDefault="00994958">
      <w:pPr>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Represents the portion of net income available to common equity allocated to </w:t>
      </w:r>
      <w:r>
        <w:rPr>
          <w:rFonts w:ascii="Arial" w:eastAsia="宋体" w:hAnsi="Arial" w:cs="Arial"/>
          <w:color w:val="000000"/>
          <w:sz w:val="12"/>
          <w:szCs w:val="12"/>
        </w:rPr>
        <w:t>participating securities, composed of unvested and fully vested SERP (Supplemental executive retirement plans) shares and fully vested deferred director stock awards, which are equity-based awards that contain non-forfeitable rights to dividends, and are c</w:t>
      </w:r>
      <w:r>
        <w:rPr>
          <w:rFonts w:ascii="Arial" w:eastAsia="宋体" w:hAnsi="Arial" w:cs="Arial"/>
          <w:color w:val="000000"/>
          <w:sz w:val="12"/>
          <w:szCs w:val="12"/>
        </w:rPr>
        <w:t>onsidered to participate with the common stock in undistributed earnings.</w:t>
      </w:r>
    </w:p>
    <w:p w14:paraId="5F2D5136" w14:textId="77777777" w:rsidR="00E836FB" w:rsidRDefault="00994958">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Represents equity-based awards outstanding but not included in the computation of diluted average common shares, because their effect was anti-dilutive. Additional information ab</w:t>
      </w:r>
      <w:r>
        <w:rPr>
          <w:rFonts w:ascii="Arial" w:eastAsia="宋体" w:hAnsi="Arial" w:cs="Arial"/>
          <w:color w:val="000000"/>
          <w:sz w:val="12"/>
          <w:szCs w:val="12"/>
        </w:rPr>
        <w:t>out equity-based awards is provided in Note 18.</w:t>
      </w:r>
    </w:p>
    <w:p w14:paraId="5F2D5137" w14:textId="77777777" w:rsidR="00E836FB" w:rsidRDefault="00994958">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Calculations reflect allocation of earnings to participating securities using the two-class method, as this computation is more dilutive than the treasury stock method.</w:t>
      </w:r>
    </w:p>
    <w:p w14:paraId="5F2D5138" w14:textId="77777777" w:rsidR="00E836FB" w:rsidRDefault="00994958">
      <w:pPr>
        <w:spacing w:before="90"/>
        <w:jc w:val="both"/>
        <w:textAlignment w:val="top"/>
      </w:pPr>
      <w:r>
        <w:rPr>
          <w:rFonts w:ascii="Arial" w:eastAsia="宋体" w:hAnsi="Arial" w:cs="Arial"/>
          <w:b/>
          <w:bCs/>
          <w:color w:val="000000"/>
          <w:sz w:val="20"/>
          <w:szCs w:val="20"/>
        </w:rPr>
        <w:t>Note 24. Line of Business Informati</w:t>
      </w:r>
      <w:r>
        <w:rPr>
          <w:rFonts w:ascii="Arial" w:eastAsia="宋体" w:hAnsi="Arial" w:cs="Arial"/>
          <w:b/>
          <w:bCs/>
          <w:color w:val="000000"/>
          <w:sz w:val="20"/>
          <w:szCs w:val="20"/>
        </w:rPr>
        <w:t>on</w:t>
      </w:r>
    </w:p>
    <w:p w14:paraId="5F2D5139" w14:textId="77777777" w:rsidR="00E836FB" w:rsidRDefault="00994958">
      <w:pPr>
        <w:spacing w:before="2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results of operations for these lines of business are not necessarily comparable with</w:t>
      </w:r>
      <w:r>
        <w:rPr>
          <w:rFonts w:ascii="Arial" w:eastAsia="宋体" w:hAnsi="Arial" w:cs="Arial"/>
          <w:color w:val="000000"/>
          <w:sz w:val="20"/>
          <w:szCs w:val="20"/>
        </w:rPr>
        <w:t xml:space="preserve"> those of other companies, including companies in the financial services industry. </w:t>
      </w:r>
    </w:p>
    <w:p w14:paraId="5F2D513A" w14:textId="77777777" w:rsidR="00E836FB" w:rsidRDefault="00994958">
      <w:pPr>
        <w:spacing w:before="20"/>
        <w:ind w:firstLine="450"/>
        <w:jc w:val="both"/>
        <w:textAlignment w:val="top"/>
      </w:pPr>
      <w:r>
        <w:rPr>
          <w:rFonts w:ascii="Arial" w:eastAsia="宋体" w:hAnsi="Arial" w:cs="Arial"/>
          <w:i/>
          <w:iCs/>
          <w:color w:val="000000"/>
          <w:sz w:val="20"/>
          <w:szCs w:val="20"/>
        </w:rPr>
        <w:t>Investment Servicing,</w:t>
      </w:r>
      <w:r>
        <w:rPr>
          <w:rFonts w:ascii="Arial" w:eastAsia="宋体" w:hAnsi="Arial" w:cs="Arial"/>
          <w:color w:val="000000"/>
          <w:sz w:val="20"/>
          <w:szCs w:val="20"/>
        </w:rPr>
        <w:t xml:space="preserve"> through State Street Institutional Services, State Street Global Markets, State Street Digital and CRD, provides services for institutional clients, i</w:t>
      </w:r>
      <w:r>
        <w:rPr>
          <w:rFonts w:ascii="Arial" w:eastAsia="宋体" w:hAnsi="Arial" w:cs="Arial"/>
          <w:color w:val="000000"/>
          <w:sz w:val="20"/>
          <w:szCs w:val="20"/>
        </w:rPr>
        <w:t>ncluding mutual funds, collective investment funds and other investment pools, corporate and public retirement plans, insurance companies, investment managers, foundations and endowments worldwide. Products include: custody; product accounting; daily prici</w:t>
      </w:r>
      <w:r>
        <w:rPr>
          <w:rFonts w:ascii="Arial" w:eastAsia="宋体" w:hAnsi="Arial" w:cs="Arial"/>
          <w:color w:val="000000"/>
          <w:sz w:val="20"/>
          <w:szCs w:val="20"/>
        </w:rPr>
        <w:t>ng and administration; master trust and master custody; depotbank services (a fund oversight role created by non-U.S. regulation); record-keeping; cash management; foreign exchange, brokerage and other trading services; securities finance and enhanced cust</w:t>
      </w:r>
      <w:r>
        <w:rPr>
          <w:rFonts w:ascii="Arial" w:eastAsia="宋体" w:hAnsi="Arial" w:cs="Arial"/>
          <w:color w:val="000000"/>
          <w:sz w:val="20"/>
          <w:szCs w:val="20"/>
        </w:rPr>
        <w:t>ody products; deposit and short-term investment facilities; loans and lease financing; investment manager and alternative investment manager operations outsourcing; performance, risk and compliance analytics; and financial data management to support instit</w:t>
      </w:r>
      <w:r>
        <w:rPr>
          <w:rFonts w:ascii="Arial" w:eastAsia="宋体" w:hAnsi="Arial" w:cs="Arial"/>
          <w:color w:val="000000"/>
          <w:sz w:val="20"/>
          <w:szCs w:val="20"/>
        </w:rPr>
        <w:t>utional investors.</w:t>
      </w:r>
    </w:p>
    <w:p w14:paraId="5F2D513B" w14:textId="77777777" w:rsidR="00E836FB" w:rsidRDefault="00994958">
      <w:pPr>
        <w:ind w:firstLine="450"/>
        <w:jc w:val="right"/>
      </w:pPr>
      <w:r>
        <w:rPr>
          <w:rFonts w:ascii="Arial" w:eastAsia="宋体" w:hAnsi="Arial" w:cs="Arial"/>
          <w:color w:val="000000"/>
          <w:sz w:val="18"/>
          <w:szCs w:val="18"/>
        </w:rPr>
        <w:t>State Street Corporation | 179</w:t>
      </w:r>
    </w:p>
    <w:p w14:paraId="5F2D513C" w14:textId="77777777" w:rsidR="00E836FB" w:rsidRDefault="00E836FB">
      <w:pPr>
        <w:ind w:firstLine="450"/>
        <w:jc w:val="center"/>
      </w:pPr>
    </w:p>
    <w:p w14:paraId="5F2D513D" w14:textId="77777777" w:rsidR="00E836FB" w:rsidRDefault="00994958">
      <w:r>
        <w:pict w14:anchorId="5F2D6E38">
          <v:rect id="_x0000_i1203" style="width:415.3pt;height:1.5pt" o:hralign="center" o:hrstd="t" o:hr="t" fillcolor="#a0a0a0" stroked="f"/>
        </w:pict>
      </w:r>
    </w:p>
    <w:p w14:paraId="5F2D513E" w14:textId="77777777" w:rsidR="00E836FB" w:rsidRDefault="00994958">
      <w:pPr>
        <w:ind w:firstLine="450"/>
        <w:jc w:val="center"/>
      </w:pPr>
      <w:r>
        <w:rPr>
          <w:rFonts w:ascii="Arial" w:eastAsia="宋体" w:hAnsi="Arial" w:cs="Arial"/>
          <w:b/>
          <w:bCs/>
          <w:color w:val="000000"/>
          <w:sz w:val="20"/>
          <w:szCs w:val="20"/>
        </w:rPr>
        <w:t>STATE STREET CORPORATION</w:t>
      </w:r>
    </w:p>
    <w:p w14:paraId="5F2D513F"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5140" w14:textId="77777777" w:rsidR="00E836FB" w:rsidRDefault="00994958">
      <w:pPr>
        <w:spacing w:before="60"/>
        <w:ind w:firstLine="450"/>
        <w:jc w:val="both"/>
        <w:textAlignment w:val="top"/>
      </w:pPr>
      <w:r>
        <w:rPr>
          <w:rFonts w:ascii="Arial" w:eastAsia="宋体" w:hAnsi="Arial" w:cs="Arial"/>
          <w:color w:val="000000"/>
          <w:sz w:val="20"/>
          <w:szCs w:val="20"/>
        </w:rPr>
        <w:t xml:space="preserve">Included within our Investment Servicing line of business is CRD, which we acquired in 2018. The Charles River Investment </w:t>
      </w:r>
      <w:r>
        <w:rPr>
          <w:rFonts w:ascii="Arial" w:eastAsia="宋体" w:hAnsi="Arial" w:cs="Arial"/>
          <w:color w:val="000000"/>
          <w:sz w:val="20"/>
          <w:szCs w:val="20"/>
        </w:rPr>
        <w:t>Management system is a technology offering which is designed to automate and simplify the institutional investment process across asset classes, from portfolio management and risk analytics through trading and post-trade settlement, with integrated complia</w:t>
      </w:r>
      <w:r>
        <w:rPr>
          <w:rFonts w:ascii="Arial" w:eastAsia="宋体" w:hAnsi="Arial" w:cs="Arial"/>
          <w:color w:val="000000"/>
          <w:sz w:val="20"/>
          <w:szCs w:val="20"/>
        </w:rPr>
        <w:t>nce and managed data throughout. With the acquisition of CRD, we took the first step in building our front-to-back platform, State Street Alpha. Today our State Street Alpha platform combines portfolio management, trading and execution, analytics and compl</w:t>
      </w:r>
      <w:r>
        <w:rPr>
          <w:rFonts w:ascii="Arial" w:eastAsia="宋体" w:hAnsi="Arial" w:cs="Arial"/>
          <w:color w:val="000000"/>
          <w:sz w:val="20"/>
          <w:szCs w:val="20"/>
        </w:rPr>
        <w:t>iance tools, and advanced data aggregation and integration with other industry platforms and providers. In 2021, we further expanded our technology offering with the acquisition of Mercatus, Inc., enabling the launch of Alpha for Private Markets.</w:t>
      </w:r>
    </w:p>
    <w:p w14:paraId="5F2D5141" w14:textId="77777777" w:rsidR="00E836FB" w:rsidRDefault="00994958">
      <w:pPr>
        <w:spacing w:before="60"/>
        <w:ind w:firstLine="450"/>
        <w:jc w:val="both"/>
        <w:textAlignment w:val="top"/>
      </w:pPr>
      <w:r>
        <w:rPr>
          <w:rFonts w:ascii="Arial" w:eastAsia="宋体" w:hAnsi="Arial" w:cs="Arial"/>
          <w:color w:val="000000"/>
          <w:sz w:val="20"/>
          <w:szCs w:val="20"/>
        </w:rPr>
        <w:t xml:space="preserve">In 2021, </w:t>
      </w:r>
      <w:r>
        <w:rPr>
          <w:rFonts w:ascii="Arial" w:eastAsia="宋体" w:hAnsi="Arial" w:cs="Arial"/>
          <w:color w:val="000000"/>
          <w:sz w:val="20"/>
          <w:szCs w:val="20"/>
        </w:rPr>
        <w:t>we established State Street Digital to focus on the development of digital assets and technologies, including crypto, central bank digital currency, blockchain and tokenization, including the evolution of a new integrated business and digital operating mod</w:t>
      </w:r>
      <w:r>
        <w:rPr>
          <w:rFonts w:ascii="Arial" w:eastAsia="宋体" w:hAnsi="Arial" w:cs="Arial"/>
          <w:color w:val="000000"/>
          <w:sz w:val="20"/>
          <w:szCs w:val="20"/>
        </w:rPr>
        <w:t xml:space="preserve">el designed to support our clients' digital investment cycle. </w:t>
      </w:r>
    </w:p>
    <w:p w14:paraId="5F2D5142" w14:textId="77777777" w:rsidR="00E836FB" w:rsidRDefault="00994958">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w:t>
      </w:r>
      <w:r>
        <w:rPr>
          <w:rFonts w:ascii="Arial" w:eastAsia="宋体" w:hAnsi="Arial" w:cs="Arial"/>
          <w:i/>
          <w:iCs/>
          <w:color w:val="000000"/>
          <w:sz w:val="20"/>
          <w:szCs w:val="20"/>
        </w:rPr>
        <w:t xml:space="preserve"> </w:t>
      </w:r>
      <w:r>
        <w:rPr>
          <w:rFonts w:ascii="Arial" w:eastAsia="宋体" w:hAnsi="Arial" w:cs="Arial"/>
          <w:color w:val="000000"/>
          <w:sz w:val="20"/>
          <w:szCs w:val="20"/>
        </w:rPr>
        <w:t>through State Street Global Advisors, provides a broad range of investment management strategies and products for our clients. Our investment management strategies and pr</w:t>
      </w:r>
      <w:r>
        <w:rPr>
          <w:rFonts w:ascii="Arial" w:eastAsia="宋体" w:hAnsi="Arial" w:cs="Arial"/>
          <w:color w:val="000000"/>
          <w:sz w:val="20"/>
          <w:szCs w:val="20"/>
        </w:rPr>
        <w:t>oducts span the risk/reward spectrum for equity, fixed income and cash assets, including core and enhanced indexing, multi-asset strategies, active quantitative and fundamental active capabilities and alternative investment strategies. Our AUM is currently</w:t>
      </w:r>
      <w:r>
        <w:rPr>
          <w:rFonts w:ascii="Arial" w:eastAsia="宋体" w:hAnsi="Arial" w:cs="Arial"/>
          <w:color w:val="000000"/>
          <w:sz w:val="20"/>
          <w:szCs w:val="20"/>
        </w:rPr>
        <w:t xml:space="preserve"> primarily weighted to indexed strategies. In addition, we provide a breadth of services and solutions, including ESG investing, defined benefit and defined contribution and Global Fiduciary Solutions (formerly Outsourced Chief Investment Officer). State S</w:t>
      </w:r>
      <w:r>
        <w:rPr>
          <w:rFonts w:ascii="Arial" w:eastAsia="宋体" w:hAnsi="Arial" w:cs="Arial"/>
          <w:color w:val="000000"/>
          <w:sz w:val="20"/>
          <w:szCs w:val="20"/>
        </w:rPr>
        <w:t>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 xml:space="preserve">ETF brand. </w:t>
      </w:r>
    </w:p>
    <w:p w14:paraId="5F2D5143" w14:textId="77777777" w:rsidR="00E836FB" w:rsidRDefault="00994958">
      <w:pPr>
        <w:spacing w:before="60"/>
        <w:ind w:firstLine="450"/>
        <w:jc w:val="both"/>
        <w:textAlignment w:val="top"/>
      </w:pPr>
      <w:r>
        <w:rPr>
          <w:rFonts w:ascii="Arial" w:eastAsia="宋体" w:hAnsi="Arial" w:cs="Arial"/>
          <w:color w:val="000000"/>
          <w:sz w:val="20"/>
          <w:szCs w:val="20"/>
        </w:rPr>
        <w:t>Our investment servicing strategy is to focus on total client relationships and the full integration of our products and services across our client base through cross-selling</w:t>
      </w:r>
      <w:r>
        <w:rPr>
          <w:rFonts w:ascii="Arial" w:eastAsia="宋体" w:hAnsi="Arial" w:cs="Arial"/>
          <w:color w:val="000000"/>
          <w:sz w:val="20"/>
          <w:szCs w:val="20"/>
        </w:rPr>
        <w:t xml:space="preserve"> opportunities. In general, our clients will use a combination of services, depending on their needs, rather than one product or service. For instance, a custody client may purchase securities finance and cash management services from different business un</w:t>
      </w:r>
      <w:r>
        <w:rPr>
          <w:rFonts w:ascii="Arial" w:eastAsia="宋体" w:hAnsi="Arial" w:cs="Arial"/>
          <w:color w:val="000000"/>
          <w:sz w:val="20"/>
          <w:szCs w:val="20"/>
        </w:rPr>
        <w:t>its. Products and services that we provide to our clients are parts of an integrated offering to these clients. We price our products and services on the basis of overall client relationships and other factors; as a result, revenue may not necessarily refl</w:t>
      </w:r>
      <w:r>
        <w:rPr>
          <w:rFonts w:ascii="Arial" w:eastAsia="宋体" w:hAnsi="Arial" w:cs="Arial"/>
          <w:color w:val="000000"/>
          <w:sz w:val="20"/>
          <w:szCs w:val="20"/>
        </w:rPr>
        <w:t xml:space="preserve">ect the stand-alone market price of these products </w:t>
      </w:r>
    </w:p>
    <w:p w14:paraId="5F2D5144" w14:textId="77777777" w:rsidR="00E836FB" w:rsidRDefault="00994958">
      <w:pPr>
        <w:spacing w:before="60"/>
        <w:jc w:val="both"/>
        <w:textAlignment w:val="top"/>
      </w:pPr>
      <w:r>
        <w:rPr>
          <w:rFonts w:ascii="Arial" w:eastAsia="宋体" w:hAnsi="Arial" w:cs="Arial"/>
          <w:color w:val="000000"/>
          <w:sz w:val="20"/>
          <w:szCs w:val="20"/>
        </w:rPr>
        <w:t>and services within the business lines in the same way it would for separate business entities.</w:t>
      </w:r>
    </w:p>
    <w:p w14:paraId="5F2D5145" w14:textId="77777777" w:rsidR="00E836FB" w:rsidRDefault="00994958">
      <w:pPr>
        <w:spacing w:before="60"/>
        <w:ind w:firstLine="450"/>
        <w:jc w:val="both"/>
        <w:textAlignment w:val="top"/>
      </w:pPr>
      <w:r>
        <w:rPr>
          <w:rFonts w:ascii="Arial" w:eastAsia="宋体" w:hAnsi="Arial" w:cs="Arial"/>
          <w:color w:val="000000"/>
          <w:sz w:val="20"/>
          <w:szCs w:val="20"/>
        </w:rPr>
        <w:t>Our servicing and management fee revenue from the Investment Servicing and Investment Management business li</w:t>
      </w:r>
      <w:r>
        <w:rPr>
          <w:rFonts w:ascii="Arial" w:eastAsia="宋体" w:hAnsi="Arial" w:cs="Arial"/>
          <w:color w:val="000000"/>
          <w:sz w:val="20"/>
          <w:szCs w:val="20"/>
        </w:rPr>
        <w:t xml:space="preserve">nes, including foreign exchange trading services and securities finance activities, represents approximately 70% to 80% of our consolidated total revenue. The remaining 20% to 30% is composed of software and processing fees, including CRD, as well as NII, </w:t>
      </w:r>
      <w:r>
        <w:rPr>
          <w:rFonts w:ascii="Arial" w:eastAsia="宋体" w:hAnsi="Arial" w:cs="Arial"/>
          <w:color w:val="000000"/>
          <w:sz w:val="20"/>
          <w:szCs w:val="20"/>
        </w:rPr>
        <w:t>which is largely generated by our investment of client deposits, short-term borrowings and long-term debt in a variety of assets, and net gains (losses) related to investment securities. These other revenue types are generally fully allocated to, or reside</w:t>
      </w:r>
      <w:r>
        <w:rPr>
          <w:rFonts w:ascii="Arial" w:eastAsia="宋体" w:hAnsi="Arial" w:cs="Arial"/>
          <w:color w:val="000000"/>
          <w:sz w:val="20"/>
          <w:szCs w:val="20"/>
        </w:rPr>
        <w:t xml:space="preserve"> in, Investment Servicing and Investment Management.</w:t>
      </w:r>
    </w:p>
    <w:p w14:paraId="5F2D5146" w14:textId="77777777" w:rsidR="00E836FB" w:rsidRDefault="00994958">
      <w:pPr>
        <w:spacing w:before="60"/>
        <w:ind w:firstLine="450"/>
        <w:jc w:val="both"/>
        <w:textAlignment w:val="top"/>
      </w:pPr>
      <w:r>
        <w:rPr>
          <w:rFonts w:ascii="Arial" w:eastAsia="宋体" w:hAnsi="Arial" w:cs="Arial"/>
          <w:color w:val="000000"/>
          <w:sz w:val="20"/>
          <w:szCs w:val="20"/>
        </w:rPr>
        <w:t>Revenue and expenses are directly charged or allocated to our lines of business through management information systems. Assets and liabilities are allocated according to policies that support management’</w:t>
      </w:r>
      <w:r>
        <w:rPr>
          <w:rFonts w:ascii="Arial" w:eastAsia="宋体" w:hAnsi="Arial" w:cs="Arial"/>
          <w:color w:val="000000"/>
          <w:sz w:val="20"/>
          <w:szCs w:val="20"/>
        </w:rPr>
        <w:t>s strategic and tactical goals. Capital is allocated based on the relative risks and capital requirements inherent in each business line, along with management judgment. Capital allocations may not be representative of the capital that might be required if</w:t>
      </w:r>
      <w:r>
        <w:rPr>
          <w:rFonts w:ascii="Arial" w:eastAsia="宋体" w:hAnsi="Arial" w:cs="Arial"/>
          <w:color w:val="000000"/>
          <w:sz w:val="20"/>
          <w:szCs w:val="20"/>
        </w:rPr>
        <w:t xml:space="preserve"> these lines of business were separate business entities.</w:t>
      </w:r>
    </w:p>
    <w:p w14:paraId="5F2D5147"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is a summary of our line of business results "Other" column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47"/>
        <w:gridCol w:w="3832"/>
        <w:gridCol w:w="38"/>
        <w:gridCol w:w="93"/>
        <w:gridCol w:w="1261"/>
        <w:gridCol w:w="36"/>
        <w:gridCol w:w="36"/>
        <w:gridCol w:w="51"/>
        <w:gridCol w:w="36"/>
        <w:gridCol w:w="93"/>
        <w:gridCol w:w="1262"/>
        <w:gridCol w:w="36"/>
        <w:gridCol w:w="36"/>
        <w:gridCol w:w="52"/>
        <w:gridCol w:w="36"/>
        <w:gridCol w:w="93"/>
        <w:gridCol w:w="1262"/>
        <w:gridCol w:w="36"/>
      </w:tblGrid>
      <w:tr w:rsidR="00E836FB" w14:paraId="5F2D515A" w14:textId="77777777">
        <w:tc>
          <w:tcPr>
            <w:tcW w:w="50" w:type="pct"/>
            <w:shd w:val="clear" w:color="auto" w:fill="auto"/>
            <w:vAlign w:val="bottom"/>
          </w:tcPr>
          <w:p w14:paraId="5F2D5148" w14:textId="77777777" w:rsidR="00E836FB" w:rsidRDefault="00E836FB">
            <w:pPr>
              <w:rPr>
                <w:rFonts w:ascii="宋体"/>
              </w:rPr>
            </w:pPr>
          </w:p>
        </w:tc>
        <w:tc>
          <w:tcPr>
            <w:tcW w:w="2319" w:type="pct"/>
            <w:shd w:val="clear" w:color="auto" w:fill="auto"/>
            <w:vAlign w:val="bottom"/>
          </w:tcPr>
          <w:p w14:paraId="5F2D5149" w14:textId="77777777" w:rsidR="00E836FB" w:rsidRDefault="00E836FB">
            <w:pPr>
              <w:rPr>
                <w:rFonts w:ascii="宋体"/>
              </w:rPr>
            </w:pPr>
          </w:p>
        </w:tc>
        <w:tc>
          <w:tcPr>
            <w:tcW w:w="5" w:type="pct"/>
            <w:shd w:val="clear" w:color="auto" w:fill="auto"/>
            <w:vAlign w:val="bottom"/>
          </w:tcPr>
          <w:p w14:paraId="5F2D514A" w14:textId="77777777" w:rsidR="00E836FB" w:rsidRDefault="00E836FB">
            <w:pPr>
              <w:rPr>
                <w:rFonts w:ascii="宋体"/>
              </w:rPr>
            </w:pPr>
          </w:p>
        </w:tc>
        <w:tc>
          <w:tcPr>
            <w:tcW w:w="50" w:type="pct"/>
            <w:shd w:val="clear" w:color="auto" w:fill="auto"/>
            <w:vAlign w:val="bottom"/>
          </w:tcPr>
          <w:p w14:paraId="5F2D514B" w14:textId="77777777" w:rsidR="00E836FB" w:rsidRDefault="00E836FB">
            <w:pPr>
              <w:rPr>
                <w:rFonts w:ascii="宋体"/>
              </w:rPr>
            </w:pPr>
          </w:p>
        </w:tc>
        <w:tc>
          <w:tcPr>
            <w:tcW w:w="778" w:type="pct"/>
            <w:shd w:val="clear" w:color="auto" w:fill="auto"/>
            <w:vAlign w:val="bottom"/>
          </w:tcPr>
          <w:p w14:paraId="5F2D514C" w14:textId="77777777" w:rsidR="00E836FB" w:rsidRDefault="00E836FB">
            <w:pPr>
              <w:rPr>
                <w:rFonts w:ascii="宋体"/>
              </w:rPr>
            </w:pPr>
          </w:p>
        </w:tc>
        <w:tc>
          <w:tcPr>
            <w:tcW w:w="5" w:type="pct"/>
            <w:shd w:val="clear" w:color="auto" w:fill="auto"/>
            <w:vAlign w:val="bottom"/>
          </w:tcPr>
          <w:p w14:paraId="5F2D514D" w14:textId="77777777" w:rsidR="00E836FB" w:rsidRDefault="00E836FB">
            <w:pPr>
              <w:rPr>
                <w:rFonts w:ascii="宋体"/>
              </w:rPr>
            </w:pPr>
          </w:p>
        </w:tc>
        <w:tc>
          <w:tcPr>
            <w:tcW w:w="5" w:type="pct"/>
            <w:shd w:val="clear" w:color="auto" w:fill="auto"/>
            <w:vAlign w:val="bottom"/>
          </w:tcPr>
          <w:p w14:paraId="5F2D514E" w14:textId="77777777" w:rsidR="00E836FB" w:rsidRDefault="00E836FB">
            <w:pPr>
              <w:rPr>
                <w:rFonts w:ascii="宋体"/>
              </w:rPr>
            </w:pPr>
          </w:p>
        </w:tc>
        <w:tc>
          <w:tcPr>
            <w:tcW w:w="52" w:type="pct"/>
            <w:shd w:val="clear" w:color="auto" w:fill="auto"/>
            <w:vAlign w:val="bottom"/>
          </w:tcPr>
          <w:p w14:paraId="5F2D514F" w14:textId="77777777" w:rsidR="00E836FB" w:rsidRDefault="00E836FB">
            <w:pPr>
              <w:rPr>
                <w:rFonts w:ascii="宋体"/>
              </w:rPr>
            </w:pPr>
          </w:p>
        </w:tc>
        <w:tc>
          <w:tcPr>
            <w:tcW w:w="5" w:type="pct"/>
            <w:shd w:val="clear" w:color="auto" w:fill="auto"/>
            <w:vAlign w:val="bottom"/>
          </w:tcPr>
          <w:p w14:paraId="5F2D5150" w14:textId="77777777" w:rsidR="00E836FB" w:rsidRDefault="00E836FB">
            <w:pPr>
              <w:rPr>
                <w:rFonts w:ascii="宋体"/>
              </w:rPr>
            </w:pPr>
          </w:p>
        </w:tc>
        <w:tc>
          <w:tcPr>
            <w:tcW w:w="50" w:type="pct"/>
            <w:shd w:val="clear" w:color="auto" w:fill="auto"/>
            <w:vAlign w:val="bottom"/>
          </w:tcPr>
          <w:p w14:paraId="5F2D5151" w14:textId="77777777" w:rsidR="00E836FB" w:rsidRDefault="00E836FB">
            <w:pPr>
              <w:rPr>
                <w:rFonts w:ascii="宋体"/>
              </w:rPr>
            </w:pPr>
          </w:p>
        </w:tc>
        <w:tc>
          <w:tcPr>
            <w:tcW w:w="778" w:type="pct"/>
            <w:shd w:val="clear" w:color="auto" w:fill="auto"/>
            <w:vAlign w:val="bottom"/>
          </w:tcPr>
          <w:p w14:paraId="5F2D5152" w14:textId="77777777" w:rsidR="00E836FB" w:rsidRDefault="00E836FB">
            <w:pPr>
              <w:rPr>
                <w:rFonts w:ascii="宋体"/>
              </w:rPr>
            </w:pPr>
          </w:p>
        </w:tc>
        <w:tc>
          <w:tcPr>
            <w:tcW w:w="5" w:type="pct"/>
            <w:shd w:val="clear" w:color="auto" w:fill="auto"/>
            <w:vAlign w:val="bottom"/>
          </w:tcPr>
          <w:p w14:paraId="5F2D5153" w14:textId="77777777" w:rsidR="00E836FB" w:rsidRDefault="00E836FB">
            <w:pPr>
              <w:rPr>
                <w:rFonts w:ascii="宋体"/>
              </w:rPr>
            </w:pPr>
          </w:p>
        </w:tc>
        <w:tc>
          <w:tcPr>
            <w:tcW w:w="5" w:type="pct"/>
            <w:shd w:val="clear" w:color="auto" w:fill="auto"/>
            <w:vAlign w:val="bottom"/>
          </w:tcPr>
          <w:p w14:paraId="5F2D5154" w14:textId="77777777" w:rsidR="00E836FB" w:rsidRDefault="00E836FB">
            <w:pPr>
              <w:rPr>
                <w:rFonts w:ascii="宋体"/>
              </w:rPr>
            </w:pPr>
          </w:p>
        </w:tc>
        <w:tc>
          <w:tcPr>
            <w:tcW w:w="52" w:type="pct"/>
            <w:shd w:val="clear" w:color="auto" w:fill="auto"/>
            <w:vAlign w:val="bottom"/>
          </w:tcPr>
          <w:p w14:paraId="5F2D5155" w14:textId="77777777" w:rsidR="00E836FB" w:rsidRDefault="00E836FB">
            <w:pPr>
              <w:rPr>
                <w:rFonts w:ascii="宋体"/>
              </w:rPr>
            </w:pPr>
          </w:p>
        </w:tc>
        <w:tc>
          <w:tcPr>
            <w:tcW w:w="5" w:type="pct"/>
            <w:shd w:val="clear" w:color="auto" w:fill="auto"/>
            <w:vAlign w:val="bottom"/>
          </w:tcPr>
          <w:p w14:paraId="5F2D5156" w14:textId="77777777" w:rsidR="00E836FB" w:rsidRDefault="00E836FB">
            <w:pPr>
              <w:rPr>
                <w:rFonts w:ascii="宋体"/>
              </w:rPr>
            </w:pPr>
          </w:p>
        </w:tc>
        <w:tc>
          <w:tcPr>
            <w:tcW w:w="50" w:type="pct"/>
            <w:shd w:val="clear" w:color="auto" w:fill="auto"/>
            <w:vAlign w:val="bottom"/>
          </w:tcPr>
          <w:p w14:paraId="5F2D5157" w14:textId="77777777" w:rsidR="00E836FB" w:rsidRDefault="00E836FB">
            <w:pPr>
              <w:rPr>
                <w:rFonts w:ascii="宋体"/>
              </w:rPr>
            </w:pPr>
          </w:p>
        </w:tc>
        <w:tc>
          <w:tcPr>
            <w:tcW w:w="778" w:type="pct"/>
            <w:shd w:val="clear" w:color="auto" w:fill="auto"/>
            <w:vAlign w:val="bottom"/>
          </w:tcPr>
          <w:p w14:paraId="5F2D5158" w14:textId="77777777" w:rsidR="00E836FB" w:rsidRDefault="00E836FB">
            <w:pPr>
              <w:rPr>
                <w:rFonts w:ascii="宋体"/>
              </w:rPr>
            </w:pPr>
          </w:p>
        </w:tc>
        <w:tc>
          <w:tcPr>
            <w:tcW w:w="5" w:type="pct"/>
            <w:shd w:val="clear" w:color="auto" w:fill="auto"/>
            <w:vAlign w:val="bottom"/>
          </w:tcPr>
          <w:p w14:paraId="5F2D5159" w14:textId="77777777" w:rsidR="00E836FB" w:rsidRDefault="00E836FB">
            <w:pPr>
              <w:rPr>
                <w:rFonts w:ascii="宋体"/>
              </w:rPr>
            </w:pPr>
          </w:p>
        </w:tc>
      </w:tr>
      <w:tr w:rsidR="00E836FB" w14:paraId="5F2D515D" w14:textId="77777777">
        <w:tc>
          <w:tcPr>
            <w:tcW w:w="0" w:type="auto"/>
            <w:gridSpan w:val="3"/>
            <w:shd w:val="clear" w:color="auto" w:fill="auto"/>
            <w:tcMar>
              <w:top w:w="0" w:type="dxa"/>
              <w:left w:w="20" w:type="dxa"/>
              <w:bottom w:w="0" w:type="dxa"/>
              <w:right w:w="20" w:type="dxa"/>
            </w:tcMar>
            <w:vAlign w:val="bottom"/>
          </w:tcPr>
          <w:p w14:paraId="5F2D515B" w14:textId="77777777" w:rsidR="00E836FB" w:rsidRDefault="00E836F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F2D515C" w14:textId="77777777" w:rsidR="00E836FB" w:rsidRDefault="00994958">
            <w:pPr>
              <w:jc w:val="center"/>
              <w:textAlignment w:val="bottom"/>
            </w:pPr>
            <w:r>
              <w:rPr>
                <w:rFonts w:ascii="Arial" w:eastAsia="宋体" w:hAnsi="Arial" w:cs="Arial"/>
                <w:b/>
                <w:bCs/>
                <w:color w:val="000000"/>
                <w:sz w:val="13"/>
                <w:szCs w:val="13"/>
              </w:rPr>
              <w:t>Years Ended December 31,</w:t>
            </w:r>
          </w:p>
        </w:tc>
      </w:tr>
      <w:tr w:rsidR="00E836FB" w14:paraId="5F2D5160" w14:textId="77777777">
        <w:tc>
          <w:tcPr>
            <w:tcW w:w="0" w:type="auto"/>
            <w:gridSpan w:val="3"/>
            <w:shd w:val="clear" w:color="auto" w:fill="auto"/>
            <w:tcMar>
              <w:top w:w="0" w:type="dxa"/>
              <w:left w:w="20" w:type="dxa"/>
              <w:bottom w:w="0" w:type="dxa"/>
              <w:right w:w="20" w:type="dxa"/>
            </w:tcMar>
            <w:vAlign w:val="bottom"/>
          </w:tcPr>
          <w:p w14:paraId="5F2D515E"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15F" w14:textId="77777777" w:rsidR="00E836FB" w:rsidRDefault="00994958">
            <w:pPr>
              <w:jc w:val="center"/>
              <w:textAlignment w:val="bottom"/>
            </w:pPr>
            <w:r>
              <w:rPr>
                <w:rFonts w:ascii="Arial" w:eastAsia="宋体" w:hAnsi="Arial" w:cs="Arial"/>
                <w:b/>
                <w:bCs/>
                <w:color w:val="000000"/>
                <w:sz w:val="13"/>
                <w:szCs w:val="13"/>
              </w:rPr>
              <w:t>Other</w:t>
            </w:r>
          </w:p>
        </w:tc>
      </w:tr>
      <w:tr w:rsidR="00E836FB" w14:paraId="5F2D5167" w14:textId="77777777">
        <w:tc>
          <w:tcPr>
            <w:tcW w:w="0" w:type="auto"/>
            <w:gridSpan w:val="3"/>
            <w:shd w:val="clear" w:color="auto" w:fill="auto"/>
            <w:tcMar>
              <w:top w:w="40" w:type="dxa"/>
              <w:left w:w="20" w:type="dxa"/>
              <w:bottom w:w="40" w:type="dxa"/>
              <w:right w:w="20" w:type="dxa"/>
            </w:tcMar>
            <w:vAlign w:val="bottom"/>
          </w:tcPr>
          <w:p w14:paraId="5F2D5161" w14:textId="77777777" w:rsidR="00E836FB" w:rsidRDefault="00994958">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162"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16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164" w14:textId="77777777" w:rsidR="00E836FB" w:rsidRDefault="00994958">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16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166" w14:textId="77777777" w:rsidR="00E836FB" w:rsidRDefault="00994958">
            <w:pPr>
              <w:jc w:val="center"/>
              <w:textAlignment w:val="bottom"/>
            </w:pPr>
            <w:r>
              <w:rPr>
                <w:rFonts w:ascii="Arial" w:eastAsia="宋体" w:hAnsi="Arial" w:cs="Arial"/>
                <w:b/>
                <w:bCs/>
                <w:color w:val="000000"/>
                <w:sz w:val="13"/>
                <w:szCs w:val="13"/>
              </w:rPr>
              <w:t>2019</w:t>
            </w:r>
          </w:p>
        </w:tc>
      </w:tr>
      <w:tr w:rsidR="00E836FB" w14:paraId="5F2D5174" w14:textId="77777777">
        <w:tc>
          <w:tcPr>
            <w:tcW w:w="0" w:type="auto"/>
            <w:gridSpan w:val="3"/>
            <w:shd w:val="clear" w:color="auto" w:fill="CCEEFF"/>
            <w:tcMar>
              <w:top w:w="40" w:type="dxa"/>
              <w:left w:w="20" w:type="dxa"/>
              <w:bottom w:w="40" w:type="dxa"/>
              <w:right w:w="20" w:type="dxa"/>
            </w:tcMar>
            <w:vAlign w:val="bottom"/>
          </w:tcPr>
          <w:p w14:paraId="5F2D5168" w14:textId="77777777" w:rsidR="00E836FB" w:rsidRDefault="00994958">
            <w:pPr>
              <w:textAlignment w:val="bottom"/>
            </w:pPr>
            <w:r>
              <w:rPr>
                <w:rFonts w:ascii="Arial" w:eastAsia="宋体" w:hAnsi="Arial" w:cs="Arial"/>
                <w:color w:val="000000"/>
                <w:sz w:val="13"/>
                <w:szCs w:val="13"/>
              </w:rPr>
              <w:t>Other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169"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16A" w14:textId="77777777" w:rsidR="00E836FB" w:rsidRDefault="00994958">
            <w:pPr>
              <w:jc w:val="right"/>
              <w:textAlignment w:val="bottom"/>
            </w:pPr>
            <w:r>
              <w:rPr>
                <w:rFonts w:ascii="Arial" w:eastAsia="宋体" w:hAnsi="Arial" w:cs="Arial"/>
                <w:b/>
                <w:bCs/>
                <w:color w:val="000000"/>
                <w:sz w:val="13"/>
                <w:szCs w:val="13"/>
              </w:rPr>
              <w:t>(111)</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1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6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16D"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16E"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16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7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171"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172"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173" w14:textId="77777777" w:rsidR="00E836FB" w:rsidRDefault="00E836FB">
            <w:pPr>
              <w:jc w:val="right"/>
              <w:rPr>
                <w:rFonts w:ascii="宋体"/>
              </w:rPr>
            </w:pPr>
          </w:p>
        </w:tc>
      </w:tr>
      <w:tr w:rsidR="00E836FB" w14:paraId="5F2D517E" w14:textId="77777777">
        <w:tc>
          <w:tcPr>
            <w:tcW w:w="0" w:type="auto"/>
            <w:gridSpan w:val="3"/>
            <w:shd w:val="clear" w:color="auto" w:fill="FFFFFF"/>
            <w:tcMar>
              <w:top w:w="40" w:type="dxa"/>
              <w:left w:w="20" w:type="dxa"/>
              <w:bottom w:w="40" w:type="dxa"/>
              <w:right w:w="20" w:type="dxa"/>
            </w:tcMar>
            <w:vAlign w:val="bottom"/>
          </w:tcPr>
          <w:p w14:paraId="5F2D5175" w14:textId="77777777" w:rsidR="00E836FB" w:rsidRDefault="00994958">
            <w:pPr>
              <w:textAlignment w:val="bottom"/>
            </w:pPr>
            <w:r>
              <w:rPr>
                <w:rFonts w:ascii="Arial" w:eastAsia="宋体" w:hAnsi="Arial" w:cs="Arial"/>
                <w:color w:val="000000"/>
                <w:sz w:val="13"/>
                <w:szCs w:val="13"/>
              </w:rPr>
              <w:t>Net repositioning charges</w:t>
            </w:r>
          </w:p>
        </w:tc>
        <w:tc>
          <w:tcPr>
            <w:tcW w:w="0" w:type="auto"/>
            <w:gridSpan w:val="2"/>
            <w:shd w:val="clear" w:color="auto" w:fill="FFFFFF"/>
            <w:tcMar>
              <w:top w:w="40" w:type="dxa"/>
              <w:left w:w="20" w:type="dxa"/>
              <w:bottom w:w="40" w:type="dxa"/>
              <w:right w:w="0" w:type="dxa"/>
            </w:tcMar>
            <w:vAlign w:val="bottom"/>
          </w:tcPr>
          <w:p w14:paraId="5F2D5176" w14:textId="77777777" w:rsidR="00E836FB" w:rsidRDefault="00994958">
            <w:pPr>
              <w:jc w:val="right"/>
              <w:textAlignment w:val="bottom"/>
            </w:pPr>
            <w:r>
              <w:rPr>
                <w:rFonts w:ascii="Arial" w:eastAsia="宋体" w:hAnsi="Arial" w:cs="Arial"/>
                <w:b/>
                <w:bCs/>
                <w:color w:val="000000"/>
                <w:sz w:val="13"/>
                <w:szCs w:val="13"/>
              </w:rPr>
              <w:t>(3)</w:t>
            </w:r>
          </w:p>
        </w:tc>
        <w:tc>
          <w:tcPr>
            <w:tcW w:w="0" w:type="auto"/>
            <w:shd w:val="clear" w:color="auto" w:fill="FFFFFF"/>
            <w:tcMar>
              <w:top w:w="40" w:type="dxa"/>
              <w:left w:w="0" w:type="dxa"/>
              <w:bottom w:w="40" w:type="dxa"/>
              <w:right w:w="20" w:type="dxa"/>
            </w:tcMar>
            <w:vAlign w:val="bottom"/>
          </w:tcPr>
          <w:p w14:paraId="5F2D51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17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179" w14:textId="77777777" w:rsidR="00E836FB" w:rsidRDefault="00994958">
            <w:pPr>
              <w:jc w:val="right"/>
              <w:textAlignment w:val="bottom"/>
            </w:pPr>
            <w:r>
              <w:rPr>
                <w:rFonts w:ascii="Arial" w:eastAsia="宋体" w:hAnsi="Arial" w:cs="Arial"/>
                <w:color w:val="000000"/>
                <w:sz w:val="13"/>
                <w:szCs w:val="13"/>
              </w:rPr>
              <w:t>133 </w:t>
            </w:r>
          </w:p>
        </w:tc>
        <w:tc>
          <w:tcPr>
            <w:tcW w:w="0" w:type="auto"/>
            <w:shd w:val="clear" w:color="auto" w:fill="FFFFFF"/>
            <w:tcMar>
              <w:top w:w="40" w:type="dxa"/>
              <w:left w:w="0" w:type="dxa"/>
              <w:bottom w:w="40" w:type="dxa"/>
              <w:right w:w="20" w:type="dxa"/>
            </w:tcMar>
            <w:vAlign w:val="bottom"/>
          </w:tcPr>
          <w:p w14:paraId="5F2D51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17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17C" w14:textId="77777777" w:rsidR="00E836FB" w:rsidRDefault="00994958">
            <w:pPr>
              <w:jc w:val="right"/>
              <w:textAlignment w:val="bottom"/>
            </w:pPr>
            <w:r>
              <w:rPr>
                <w:rFonts w:ascii="Arial" w:eastAsia="宋体" w:hAnsi="Arial" w:cs="Arial"/>
                <w:color w:val="000000"/>
                <w:sz w:val="13"/>
                <w:szCs w:val="13"/>
              </w:rPr>
              <w:t>110 </w:t>
            </w:r>
          </w:p>
        </w:tc>
        <w:tc>
          <w:tcPr>
            <w:tcW w:w="0" w:type="auto"/>
            <w:shd w:val="clear" w:color="auto" w:fill="FFFFFF"/>
            <w:tcMar>
              <w:top w:w="40" w:type="dxa"/>
              <w:left w:w="0" w:type="dxa"/>
              <w:bottom w:w="40" w:type="dxa"/>
              <w:right w:w="20" w:type="dxa"/>
            </w:tcMar>
            <w:vAlign w:val="bottom"/>
          </w:tcPr>
          <w:p w14:paraId="5F2D517D" w14:textId="77777777" w:rsidR="00E836FB" w:rsidRDefault="00E836FB">
            <w:pPr>
              <w:jc w:val="right"/>
              <w:rPr>
                <w:rFonts w:ascii="宋体"/>
              </w:rPr>
            </w:pPr>
          </w:p>
        </w:tc>
      </w:tr>
      <w:tr w:rsidR="00E836FB" w14:paraId="5F2D5188" w14:textId="77777777">
        <w:tc>
          <w:tcPr>
            <w:tcW w:w="0" w:type="auto"/>
            <w:gridSpan w:val="3"/>
            <w:shd w:val="clear" w:color="auto" w:fill="CCEEFF"/>
            <w:tcMar>
              <w:top w:w="40" w:type="dxa"/>
              <w:left w:w="20" w:type="dxa"/>
              <w:bottom w:w="40" w:type="dxa"/>
              <w:right w:w="20" w:type="dxa"/>
            </w:tcMar>
            <w:vAlign w:val="bottom"/>
          </w:tcPr>
          <w:p w14:paraId="5F2D517F" w14:textId="77777777" w:rsidR="00E836FB" w:rsidRDefault="00994958">
            <w:pPr>
              <w:spacing w:before="60"/>
              <w:jc w:val="both"/>
              <w:textAlignment w:val="bottom"/>
            </w:pPr>
            <w:r>
              <w:rPr>
                <w:rFonts w:ascii="Arial" w:eastAsia="宋体" w:hAnsi="Arial" w:cs="Arial"/>
                <w:color w:val="000000"/>
                <w:sz w:val="13"/>
                <w:szCs w:val="13"/>
              </w:rPr>
              <w:t xml:space="preserve">Net acquisition and restructuring costs </w:t>
            </w:r>
          </w:p>
        </w:tc>
        <w:tc>
          <w:tcPr>
            <w:tcW w:w="0" w:type="auto"/>
            <w:gridSpan w:val="2"/>
            <w:shd w:val="clear" w:color="auto" w:fill="CCEEFF"/>
            <w:tcMar>
              <w:top w:w="40" w:type="dxa"/>
              <w:left w:w="20" w:type="dxa"/>
              <w:bottom w:w="40" w:type="dxa"/>
              <w:right w:w="0" w:type="dxa"/>
            </w:tcMar>
            <w:vAlign w:val="bottom"/>
          </w:tcPr>
          <w:p w14:paraId="5F2D5180" w14:textId="77777777" w:rsidR="00E836FB" w:rsidRDefault="00994958">
            <w:pPr>
              <w:jc w:val="right"/>
              <w:textAlignment w:val="bottom"/>
            </w:pPr>
            <w:r>
              <w:rPr>
                <w:rFonts w:ascii="Arial" w:eastAsia="宋体" w:hAnsi="Arial" w:cs="Arial"/>
                <w:b/>
                <w:bCs/>
                <w:color w:val="000000"/>
                <w:sz w:val="13"/>
                <w:szCs w:val="13"/>
              </w:rPr>
              <w:t>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18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8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183" w14:textId="77777777" w:rsidR="00E836FB" w:rsidRDefault="00994958">
            <w:pPr>
              <w:jc w:val="right"/>
              <w:textAlignment w:val="bottom"/>
            </w:pPr>
            <w:r>
              <w:rPr>
                <w:rFonts w:ascii="Arial" w:eastAsia="宋体" w:hAnsi="Arial" w:cs="Arial"/>
                <w:color w:val="000000"/>
                <w:sz w:val="13"/>
                <w:szCs w:val="13"/>
              </w:rPr>
              <w:t>50 </w:t>
            </w:r>
          </w:p>
        </w:tc>
        <w:tc>
          <w:tcPr>
            <w:tcW w:w="0" w:type="auto"/>
            <w:shd w:val="clear" w:color="auto" w:fill="CCEEFF"/>
            <w:tcMar>
              <w:top w:w="40" w:type="dxa"/>
              <w:left w:w="0" w:type="dxa"/>
              <w:bottom w:w="40" w:type="dxa"/>
              <w:right w:w="20" w:type="dxa"/>
            </w:tcMar>
            <w:vAlign w:val="bottom"/>
          </w:tcPr>
          <w:p w14:paraId="5F2D51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8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186" w14:textId="77777777" w:rsidR="00E836FB" w:rsidRDefault="00994958">
            <w:pPr>
              <w:jc w:val="right"/>
              <w:textAlignment w:val="bottom"/>
            </w:pPr>
            <w:r>
              <w:rPr>
                <w:rFonts w:ascii="Arial" w:eastAsia="宋体" w:hAnsi="Arial" w:cs="Arial"/>
                <w:color w:val="000000"/>
                <w:sz w:val="13"/>
                <w:szCs w:val="13"/>
              </w:rPr>
              <w:t>77 </w:t>
            </w:r>
          </w:p>
        </w:tc>
        <w:tc>
          <w:tcPr>
            <w:tcW w:w="0" w:type="auto"/>
            <w:shd w:val="clear" w:color="auto" w:fill="CCEEFF"/>
            <w:tcMar>
              <w:top w:w="40" w:type="dxa"/>
              <w:left w:w="0" w:type="dxa"/>
              <w:bottom w:w="40" w:type="dxa"/>
              <w:right w:w="20" w:type="dxa"/>
            </w:tcMar>
            <w:vAlign w:val="bottom"/>
          </w:tcPr>
          <w:p w14:paraId="5F2D5187" w14:textId="77777777" w:rsidR="00E836FB" w:rsidRDefault="00E836FB">
            <w:pPr>
              <w:jc w:val="right"/>
              <w:rPr>
                <w:rFonts w:ascii="宋体"/>
              </w:rPr>
            </w:pPr>
          </w:p>
        </w:tc>
      </w:tr>
      <w:tr w:rsidR="00E836FB" w14:paraId="5F2D5192" w14:textId="77777777">
        <w:tc>
          <w:tcPr>
            <w:tcW w:w="0" w:type="auto"/>
            <w:gridSpan w:val="3"/>
            <w:shd w:val="clear" w:color="auto" w:fill="FFFFFF"/>
            <w:tcMar>
              <w:top w:w="40" w:type="dxa"/>
              <w:left w:w="20" w:type="dxa"/>
              <w:bottom w:w="40" w:type="dxa"/>
              <w:right w:w="20" w:type="dxa"/>
            </w:tcMar>
            <w:vAlign w:val="bottom"/>
          </w:tcPr>
          <w:p w14:paraId="5F2D5189" w14:textId="77777777" w:rsidR="00E836FB" w:rsidRDefault="00994958">
            <w:pPr>
              <w:textAlignment w:val="bottom"/>
            </w:pPr>
            <w:r>
              <w:rPr>
                <w:rFonts w:ascii="Arial" w:eastAsia="宋体" w:hAnsi="Arial" w:cs="Arial"/>
                <w:color w:val="000000"/>
                <w:sz w:val="13"/>
                <w:szCs w:val="13"/>
              </w:rPr>
              <w:t>Legal and related expenses</w:t>
            </w:r>
          </w:p>
        </w:tc>
        <w:tc>
          <w:tcPr>
            <w:tcW w:w="0" w:type="auto"/>
            <w:gridSpan w:val="2"/>
            <w:shd w:val="clear" w:color="auto" w:fill="FFFFFF"/>
            <w:tcMar>
              <w:top w:w="40" w:type="dxa"/>
              <w:left w:w="20" w:type="dxa"/>
              <w:bottom w:w="40" w:type="dxa"/>
              <w:right w:w="0" w:type="dxa"/>
            </w:tcMar>
            <w:vAlign w:val="bottom"/>
          </w:tcPr>
          <w:p w14:paraId="5F2D518A" w14:textId="77777777" w:rsidR="00E836FB" w:rsidRDefault="00994958">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1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18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18D" w14:textId="77777777" w:rsidR="00E836FB" w:rsidRDefault="00994958">
            <w:pPr>
              <w:jc w:val="right"/>
              <w:textAlignment w:val="bottom"/>
            </w:pPr>
            <w:r>
              <w:rPr>
                <w:rFonts w:ascii="Arial" w:eastAsia="宋体" w:hAnsi="Arial" w:cs="Arial"/>
                <w:color w:val="000000"/>
                <w:sz w:val="13"/>
                <w:szCs w:val="13"/>
              </w:rPr>
              <w:t>(9)</w:t>
            </w:r>
          </w:p>
        </w:tc>
        <w:tc>
          <w:tcPr>
            <w:tcW w:w="0" w:type="auto"/>
            <w:shd w:val="clear" w:color="auto" w:fill="FFFFFF"/>
            <w:tcMar>
              <w:top w:w="40" w:type="dxa"/>
              <w:left w:w="0" w:type="dxa"/>
              <w:bottom w:w="40" w:type="dxa"/>
              <w:right w:w="20" w:type="dxa"/>
            </w:tcMar>
            <w:vAlign w:val="bottom"/>
          </w:tcPr>
          <w:p w14:paraId="5F2D51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18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190" w14:textId="77777777" w:rsidR="00E836FB" w:rsidRDefault="00994958">
            <w:pPr>
              <w:jc w:val="right"/>
              <w:textAlignment w:val="bottom"/>
            </w:pPr>
            <w:r>
              <w:rPr>
                <w:rFonts w:ascii="Arial" w:eastAsia="宋体" w:hAnsi="Arial" w:cs="Arial"/>
                <w:color w:val="000000"/>
                <w:sz w:val="13"/>
                <w:szCs w:val="13"/>
              </w:rPr>
              <w:t>172 </w:t>
            </w:r>
          </w:p>
        </w:tc>
        <w:tc>
          <w:tcPr>
            <w:tcW w:w="0" w:type="auto"/>
            <w:shd w:val="clear" w:color="auto" w:fill="FFFFFF"/>
            <w:tcMar>
              <w:top w:w="40" w:type="dxa"/>
              <w:left w:w="0" w:type="dxa"/>
              <w:bottom w:w="40" w:type="dxa"/>
              <w:right w:w="20" w:type="dxa"/>
            </w:tcMar>
            <w:vAlign w:val="bottom"/>
          </w:tcPr>
          <w:p w14:paraId="5F2D5191" w14:textId="77777777" w:rsidR="00E836FB" w:rsidRDefault="00E836FB">
            <w:pPr>
              <w:jc w:val="right"/>
              <w:rPr>
                <w:rFonts w:ascii="宋体"/>
              </w:rPr>
            </w:pPr>
          </w:p>
        </w:tc>
      </w:tr>
      <w:tr w:rsidR="00E836FB" w14:paraId="5F2D519C" w14:textId="77777777">
        <w:tc>
          <w:tcPr>
            <w:tcW w:w="0" w:type="auto"/>
            <w:gridSpan w:val="3"/>
            <w:shd w:val="clear" w:color="auto" w:fill="CCEEFF"/>
            <w:tcMar>
              <w:top w:w="40" w:type="dxa"/>
              <w:left w:w="20" w:type="dxa"/>
              <w:bottom w:w="40" w:type="dxa"/>
              <w:right w:w="20" w:type="dxa"/>
            </w:tcMar>
            <w:vAlign w:val="bottom"/>
          </w:tcPr>
          <w:p w14:paraId="5F2D5193" w14:textId="77777777" w:rsidR="00E836FB" w:rsidRDefault="00994958">
            <w:pPr>
              <w:textAlignment w:val="bottom"/>
            </w:pPr>
            <w:r>
              <w:rPr>
                <w:rFonts w:ascii="Arial" w:eastAsia="宋体" w:hAnsi="Arial" w:cs="Arial"/>
                <w:color w:val="000000"/>
                <w:sz w:val="13"/>
                <w:szCs w:val="13"/>
              </w:rPr>
              <w:t>Deferred incentive compensation expense acceleration</w:t>
            </w:r>
          </w:p>
        </w:tc>
        <w:tc>
          <w:tcPr>
            <w:tcW w:w="0" w:type="auto"/>
            <w:gridSpan w:val="2"/>
            <w:shd w:val="clear" w:color="auto" w:fill="CCEEFF"/>
            <w:tcMar>
              <w:top w:w="40" w:type="dxa"/>
              <w:left w:w="20" w:type="dxa"/>
              <w:bottom w:w="40" w:type="dxa"/>
              <w:right w:w="0" w:type="dxa"/>
            </w:tcMar>
            <w:vAlign w:val="bottom"/>
          </w:tcPr>
          <w:p w14:paraId="5F2D5194" w14:textId="77777777" w:rsidR="00E836FB" w:rsidRDefault="00994958">
            <w:pPr>
              <w:jc w:val="right"/>
              <w:textAlignment w:val="bottom"/>
            </w:pPr>
            <w:r>
              <w:rPr>
                <w:rFonts w:ascii="Arial" w:eastAsia="宋体" w:hAnsi="Arial" w:cs="Arial"/>
                <w:b/>
                <w:bCs/>
                <w:color w:val="000000"/>
                <w:sz w:val="13"/>
                <w:szCs w:val="13"/>
              </w:rPr>
              <w:t>147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19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9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197"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1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9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19A"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19B" w14:textId="77777777" w:rsidR="00E836FB" w:rsidRDefault="00E836FB">
            <w:pPr>
              <w:jc w:val="right"/>
              <w:rPr>
                <w:rFonts w:ascii="宋体"/>
              </w:rPr>
            </w:pPr>
          </w:p>
        </w:tc>
      </w:tr>
      <w:tr w:rsidR="00E836FB" w14:paraId="5F2D51A6" w14:textId="77777777">
        <w:tc>
          <w:tcPr>
            <w:tcW w:w="0" w:type="auto"/>
            <w:gridSpan w:val="3"/>
            <w:shd w:val="clear" w:color="auto" w:fill="FFFFFF"/>
            <w:tcMar>
              <w:top w:w="40" w:type="dxa"/>
              <w:left w:w="20" w:type="dxa"/>
              <w:bottom w:w="40" w:type="dxa"/>
              <w:right w:w="20" w:type="dxa"/>
            </w:tcMar>
            <w:vAlign w:val="bottom"/>
          </w:tcPr>
          <w:p w14:paraId="5F2D519D" w14:textId="77777777" w:rsidR="00E836FB" w:rsidRDefault="00994958">
            <w:pPr>
              <w:textAlignment w:val="bottom"/>
            </w:pPr>
            <w:r>
              <w:rPr>
                <w:rFonts w:ascii="Arial" w:eastAsia="宋体" w:hAnsi="Arial" w:cs="Arial"/>
                <w:color w:val="000000"/>
                <w:sz w:val="13"/>
                <w:szCs w:val="13"/>
              </w:rPr>
              <w:t>Other expenses</w:t>
            </w:r>
          </w:p>
        </w:tc>
        <w:tc>
          <w:tcPr>
            <w:tcW w:w="0" w:type="auto"/>
            <w:gridSpan w:val="2"/>
            <w:shd w:val="clear" w:color="auto" w:fill="FFFFFF"/>
            <w:tcMar>
              <w:top w:w="40" w:type="dxa"/>
              <w:left w:w="20" w:type="dxa"/>
              <w:bottom w:w="40" w:type="dxa"/>
              <w:right w:w="0" w:type="dxa"/>
            </w:tcMar>
            <w:vAlign w:val="bottom"/>
          </w:tcPr>
          <w:p w14:paraId="5F2D519E" w14:textId="77777777" w:rsidR="00E836FB" w:rsidRDefault="00994958">
            <w:pPr>
              <w:jc w:val="right"/>
              <w:textAlignment w:val="bottom"/>
            </w:pPr>
            <w:r>
              <w:rPr>
                <w:rFonts w:ascii="Arial" w:eastAsia="宋体" w:hAnsi="Arial" w:cs="Arial"/>
                <w:b/>
                <w:bCs/>
                <w:color w:val="000000"/>
                <w:sz w:val="13"/>
                <w:szCs w:val="13"/>
              </w:rPr>
              <w:t>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1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1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1A1"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1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1A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1A4"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1A5" w14:textId="77777777" w:rsidR="00E836FB" w:rsidRDefault="00E836FB">
            <w:pPr>
              <w:jc w:val="right"/>
              <w:rPr>
                <w:rFonts w:ascii="宋体"/>
              </w:rPr>
            </w:pPr>
          </w:p>
        </w:tc>
      </w:tr>
      <w:tr w:rsidR="00E836FB" w14:paraId="5F2D51B3" w14:textId="77777777">
        <w:tc>
          <w:tcPr>
            <w:tcW w:w="0" w:type="auto"/>
            <w:gridSpan w:val="3"/>
            <w:shd w:val="clear" w:color="auto" w:fill="CCEEFF"/>
            <w:tcMar>
              <w:top w:w="40" w:type="dxa"/>
              <w:left w:w="20" w:type="dxa"/>
              <w:bottom w:w="40" w:type="dxa"/>
              <w:right w:w="20" w:type="dxa"/>
            </w:tcMar>
            <w:vAlign w:val="bottom"/>
          </w:tcPr>
          <w:p w14:paraId="5F2D51A7" w14:textId="77777777" w:rsidR="00E836FB" w:rsidRDefault="00994958">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1A8"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1A9" w14:textId="77777777" w:rsidR="00E836FB" w:rsidRDefault="00994958">
            <w:pPr>
              <w:jc w:val="right"/>
              <w:textAlignment w:val="bottom"/>
            </w:pPr>
            <w:r>
              <w:rPr>
                <w:rFonts w:ascii="Arial" w:eastAsia="宋体" w:hAnsi="Arial" w:cs="Arial"/>
                <w:b/>
                <w:bCs/>
                <w:color w:val="000000"/>
                <w:sz w:val="13"/>
                <w:szCs w:val="13"/>
              </w:rPr>
              <w:t>151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1A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AB"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1AC"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1AD" w14:textId="77777777" w:rsidR="00E836FB" w:rsidRDefault="00994958">
            <w:pPr>
              <w:jc w:val="right"/>
              <w:textAlignment w:val="bottom"/>
            </w:pPr>
            <w:r>
              <w:rPr>
                <w:rFonts w:ascii="Arial" w:eastAsia="宋体" w:hAnsi="Arial" w:cs="Arial"/>
                <w:color w:val="000000"/>
                <w:sz w:val="13"/>
                <w:szCs w:val="13"/>
              </w:rPr>
              <w:t>174 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1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1AF"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1B0"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1B1" w14:textId="77777777" w:rsidR="00E836FB" w:rsidRDefault="00994958">
            <w:pPr>
              <w:jc w:val="right"/>
              <w:textAlignment w:val="bottom"/>
            </w:pPr>
            <w:r>
              <w:rPr>
                <w:rFonts w:ascii="Arial" w:eastAsia="宋体" w:hAnsi="Arial" w:cs="Arial"/>
                <w:color w:val="000000"/>
                <w:sz w:val="13"/>
                <w:szCs w:val="13"/>
              </w:rPr>
              <w:t>359 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1B2" w14:textId="77777777" w:rsidR="00E836FB" w:rsidRDefault="00E836FB">
            <w:pPr>
              <w:jc w:val="right"/>
              <w:rPr>
                <w:rFonts w:ascii="宋体"/>
              </w:rPr>
            </w:pPr>
          </w:p>
        </w:tc>
      </w:tr>
    </w:tbl>
    <w:p w14:paraId="5F2D51B4" w14:textId="77777777" w:rsidR="00E836FB" w:rsidRDefault="00994958">
      <w:pPr>
        <w:spacing w:before="60"/>
        <w:ind w:firstLine="450"/>
        <w:jc w:val="both"/>
        <w:textAlignment w:val="top"/>
      </w:pPr>
      <w:r>
        <w:rPr>
          <w:rFonts w:ascii="Arial" w:eastAsia="宋体" w:hAnsi="Arial" w:cs="Arial"/>
          <w:color w:val="000000"/>
          <w:sz w:val="20"/>
          <w:szCs w:val="20"/>
        </w:rPr>
        <w:t xml:space="preserve">The following is a summary of our line of business results for the periods indicated. The "Other" columns represent certain costs incurred that are not allocated to our two lines of business, including </w:t>
      </w:r>
      <w:r>
        <w:rPr>
          <w:rFonts w:ascii="Arial" w:eastAsia="宋体" w:hAnsi="Arial" w:cs="Arial"/>
          <w:color w:val="000000"/>
          <w:sz w:val="20"/>
          <w:szCs w:val="20"/>
        </w:rPr>
        <w:t>repositioning charges, acquisition costs and certain legal accruals. In addition, the acceleration of deferred compensation of $147 million in 2021 was not allocated to our two lines of business. Prior reported results reflect reclassifications, for compar</w:t>
      </w:r>
      <w:r>
        <w:rPr>
          <w:rFonts w:ascii="Arial" w:eastAsia="宋体" w:hAnsi="Arial" w:cs="Arial"/>
          <w:color w:val="000000"/>
          <w:sz w:val="20"/>
          <w:szCs w:val="20"/>
        </w:rPr>
        <w:t>ative purposes, related to management changes in methodologies associated with allocations of revenue and expenses to lines of business in 2021.</w:t>
      </w:r>
    </w:p>
    <w:p w14:paraId="5F2D51B5" w14:textId="77777777" w:rsidR="00E836FB" w:rsidRDefault="00994958">
      <w:pPr>
        <w:ind w:firstLine="450"/>
        <w:jc w:val="right"/>
      </w:pPr>
      <w:r>
        <w:rPr>
          <w:rFonts w:ascii="Arial" w:eastAsia="宋体" w:hAnsi="Arial" w:cs="Arial"/>
          <w:color w:val="000000"/>
          <w:sz w:val="18"/>
          <w:szCs w:val="18"/>
        </w:rPr>
        <w:t>State Street Corporation | 180</w:t>
      </w:r>
    </w:p>
    <w:p w14:paraId="5F2D51B6" w14:textId="77777777" w:rsidR="00E836FB" w:rsidRDefault="00E836FB">
      <w:pPr>
        <w:ind w:firstLine="450"/>
        <w:jc w:val="center"/>
      </w:pPr>
    </w:p>
    <w:p w14:paraId="5F2D51B7" w14:textId="77777777" w:rsidR="00E836FB" w:rsidRDefault="00994958">
      <w:r>
        <w:pict w14:anchorId="5F2D6E39">
          <v:rect id="_x0000_i1204" style="width:415.3pt;height:1.5pt" o:hralign="center" o:hrstd="t" o:hr="t" fillcolor="#a0a0a0" stroked="f"/>
        </w:pict>
      </w:r>
    </w:p>
    <w:p w14:paraId="5F2D51B8" w14:textId="77777777" w:rsidR="00E836FB" w:rsidRDefault="00994958">
      <w:pPr>
        <w:ind w:firstLine="450"/>
        <w:jc w:val="center"/>
      </w:pPr>
      <w:r>
        <w:rPr>
          <w:rFonts w:ascii="Arial" w:eastAsia="宋体" w:hAnsi="Arial" w:cs="Arial"/>
          <w:b/>
          <w:bCs/>
          <w:color w:val="000000"/>
          <w:sz w:val="20"/>
          <w:szCs w:val="20"/>
        </w:rPr>
        <w:t>STATE STREET CORPORATION</w:t>
      </w:r>
    </w:p>
    <w:p w14:paraId="5F2D51B9" w14:textId="77777777" w:rsidR="00E836FB" w:rsidRDefault="00994958">
      <w:pPr>
        <w:ind w:firstLine="450"/>
        <w:jc w:val="center"/>
      </w:pPr>
      <w:r>
        <w:rPr>
          <w:rFonts w:ascii="Arial" w:eastAsia="宋体" w:hAnsi="Arial" w:cs="Arial"/>
          <w:b/>
          <w:bCs/>
          <w:color w:val="000000"/>
          <w:sz w:val="20"/>
          <w:szCs w:val="20"/>
        </w:rPr>
        <w:t>NOTES TO CONSOLIDATED FINANCIAL STATEMENTS</w:t>
      </w:r>
    </w:p>
    <w:tbl>
      <w:tblPr>
        <w:tblW w:w="4927" w:type="pct"/>
        <w:tblCellMar>
          <w:top w:w="15" w:type="dxa"/>
          <w:left w:w="15" w:type="dxa"/>
          <w:bottom w:w="15" w:type="dxa"/>
          <w:right w:w="15" w:type="dxa"/>
        </w:tblCellMar>
        <w:tblLook w:val="04A0" w:firstRow="1" w:lastRow="0" w:firstColumn="1" w:lastColumn="0" w:noHBand="0" w:noVBand="1"/>
      </w:tblPr>
      <w:tblGrid>
        <w:gridCol w:w="53"/>
        <w:gridCol w:w="1271"/>
        <w:gridCol w:w="37"/>
        <w:gridCol w:w="93"/>
        <w:gridCol w:w="406"/>
        <w:gridCol w:w="136"/>
        <w:gridCol w:w="36"/>
        <w:gridCol w:w="36"/>
        <w:gridCol w:w="36"/>
        <w:gridCol w:w="93"/>
        <w:gridCol w:w="362"/>
        <w:gridCol w:w="136"/>
        <w:gridCol w:w="36"/>
        <w:gridCol w:w="36"/>
        <w:gridCol w:w="36"/>
        <w:gridCol w:w="93"/>
        <w:gridCol w:w="362"/>
        <w:gridCol w:w="136"/>
        <w:gridCol w:w="36"/>
        <w:gridCol w:w="36"/>
        <w:gridCol w:w="36"/>
        <w:gridCol w:w="94"/>
        <w:gridCol w:w="318"/>
        <w:gridCol w:w="136"/>
        <w:gridCol w:w="36"/>
        <w:gridCol w:w="36"/>
        <w:gridCol w:w="36"/>
        <w:gridCol w:w="94"/>
        <w:gridCol w:w="318"/>
        <w:gridCol w:w="136"/>
        <w:gridCol w:w="36"/>
        <w:gridCol w:w="36"/>
        <w:gridCol w:w="36"/>
        <w:gridCol w:w="94"/>
        <w:gridCol w:w="318"/>
        <w:gridCol w:w="136"/>
        <w:gridCol w:w="36"/>
        <w:gridCol w:w="36"/>
        <w:gridCol w:w="36"/>
        <w:gridCol w:w="93"/>
        <w:gridCol w:w="304"/>
        <w:gridCol w:w="36"/>
        <w:gridCol w:w="36"/>
        <w:gridCol w:w="36"/>
        <w:gridCol w:w="36"/>
        <w:gridCol w:w="93"/>
        <w:gridCol w:w="304"/>
        <w:gridCol w:w="36"/>
        <w:gridCol w:w="36"/>
        <w:gridCol w:w="36"/>
        <w:gridCol w:w="36"/>
        <w:gridCol w:w="93"/>
        <w:gridCol w:w="306"/>
        <w:gridCol w:w="36"/>
        <w:gridCol w:w="36"/>
        <w:gridCol w:w="36"/>
        <w:gridCol w:w="36"/>
        <w:gridCol w:w="93"/>
        <w:gridCol w:w="364"/>
        <w:gridCol w:w="136"/>
        <w:gridCol w:w="36"/>
        <w:gridCol w:w="36"/>
        <w:gridCol w:w="454"/>
      </w:tblGrid>
      <w:tr w:rsidR="00E836FB" w14:paraId="5F2D51F9" w14:textId="77777777">
        <w:tc>
          <w:tcPr>
            <w:tcW w:w="50" w:type="pct"/>
            <w:shd w:val="clear" w:color="auto" w:fill="auto"/>
            <w:vAlign w:val="bottom"/>
          </w:tcPr>
          <w:p w14:paraId="5F2D51BA" w14:textId="77777777" w:rsidR="00E836FB" w:rsidRDefault="00E836FB">
            <w:pPr>
              <w:rPr>
                <w:rFonts w:ascii="宋体"/>
              </w:rPr>
            </w:pPr>
          </w:p>
        </w:tc>
        <w:tc>
          <w:tcPr>
            <w:tcW w:w="709" w:type="pct"/>
            <w:shd w:val="clear" w:color="auto" w:fill="auto"/>
            <w:vAlign w:val="bottom"/>
          </w:tcPr>
          <w:p w14:paraId="5F2D51BB" w14:textId="77777777" w:rsidR="00E836FB" w:rsidRDefault="00E836FB">
            <w:pPr>
              <w:rPr>
                <w:rFonts w:ascii="宋体"/>
              </w:rPr>
            </w:pPr>
          </w:p>
        </w:tc>
        <w:tc>
          <w:tcPr>
            <w:tcW w:w="5" w:type="pct"/>
            <w:shd w:val="clear" w:color="auto" w:fill="auto"/>
            <w:vAlign w:val="bottom"/>
          </w:tcPr>
          <w:p w14:paraId="5F2D51BC" w14:textId="77777777" w:rsidR="00E836FB" w:rsidRDefault="00E836FB">
            <w:pPr>
              <w:rPr>
                <w:rFonts w:ascii="宋体"/>
              </w:rPr>
            </w:pPr>
          </w:p>
        </w:tc>
        <w:tc>
          <w:tcPr>
            <w:tcW w:w="50" w:type="pct"/>
            <w:shd w:val="clear" w:color="auto" w:fill="auto"/>
            <w:vAlign w:val="bottom"/>
          </w:tcPr>
          <w:p w14:paraId="5F2D51BD" w14:textId="77777777" w:rsidR="00E836FB" w:rsidRDefault="00E836FB">
            <w:pPr>
              <w:rPr>
                <w:rFonts w:ascii="宋体"/>
              </w:rPr>
            </w:pPr>
          </w:p>
        </w:tc>
        <w:tc>
          <w:tcPr>
            <w:tcW w:w="278" w:type="pct"/>
            <w:shd w:val="clear" w:color="auto" w:fill="auto"/>
            <w:vAlign w:val="bottom"/>
          </w:tcPr>
          <w:p w14:paraId="5F2D51BE" w14:textId="77777777" w:rsidR="00E836FB" w:rsidRDefault="00E836FB">
            <w:pPr>
              <w:rPr>
                <w:rFonts w:ascii="宋体"/>
              </w:rPr>
            </w:pPr>
          </w:p>
        </w:tc>
        <w:tc>
          <w:tcPr>
            <w:tcW w:w="5" w:type="pct"/>
            <w:shd w:val="clear" w:color="auto" w:fill="auto"/>
            <w:vAlign w:val="bottom"/>
          </w:tcPr>
          <w:p w14:paraId="5F2D51BF" w14:textId="77777777" w:rsidR="00E836FB" w:rsidRDefault="00E836FB">
            <w:pPr>
              <w:rPr>
                <w:rFonts w:ascii="宋体"/>
              </w:rPr>
            </w:pPr>
          </w:p>
        </w:tc>
        <w:tc>
          <w:tcPr>
            <w:tcW w:w="5" w:type="pct"/>
            <w:shd w:val="clear" w:color="auto" w:fill="auto"/>
            <w:vAlign w:val="bottom"/>
          </w:tcPr>
          <w:p w14:paraId="5F2D51C0" w14:textId="77777777" w:rsidR="00E836FB" w:rsidRDefault="00E836FB">
            <w:pPr>
              <w:rPr>
                <w:rFonts w:ascii="宋体"/>
              </w:rPr>
            </w:pPr>
          </w:p>
        </w:tc>
        <w:tc>
          <w:tcPr>
            <w:tcW w:w="27" w:type="pct"/>
            <w:shd w:val="clear" w:color="auto" w:fill="auto"/>
            <w:vAlign w:val="bottom"/>
          </w:tcPr>
          <w:p w14:paraId="5F2D51C1" w14:textId="77777777" w:rsidR="00E836FB" w:rsidRDefault="00E836FB">
            <w:pPr>
              <w:rPr>
                <w:rFonts w:ascii="宋体"/>
              </w:rPr>
            </w:pPr>
          </w:p>
        </w:tc>
        <w:tc>
          <w:tcPr>
            <w:tcW w:w="5" w:type="pct"/>
            <w:shd w:val="clear" w:color="auto" w:fill="auto"/>
            <w:vAlign w:val="bottom"/>
          </w:tcPr>
          <w:p w14:paraId="5F2D51C2" w14:textId="77777777" w:rsidR="00E836FB" w:rsidRDefault="00E836FB">
            <w:pPr>
              <w:rPr>
                <w:rFonts w:ascii="宋体"/>
              </w:rPr>
            </w:pPr>
          </w:p>
        </w:tc>
        <w:tc>
          <w:tcPr>
            <w:tcW w:w="50" w:type="pct"/>
            <w:shd w:val="clear" w:color="auto" w:fill="auto"/>
            <w:vAlign w:val="bottom"/>
          </w:tcPr>
          <w:p w14:paraId="5F2D51C3" w14:textId="77777777" w:rsidR="00E836FB" w:rsidRDefault="00E836FB">
            <w:pPr>
              <w:rPr>
                <w:rFonts w:ascii="宋体"/>
              </w:rPr>
            </w:pPr>
          </w:p>
        </w:tc>
        <w:tc>
          <w:tcPr>
            <w:tcW w:w="278" w:type="pct"/>
            <w:shd w:val="clear" w:color="auto" w:fill="auto"/>
            <w:vAlign w:val="bottom"/>
          </w:tcPr>
          <w:p w14:paraId="5F2D51C4" w14:textId="77777777" w:rsidR="00E836FB" w:rsidRDefault="00E836FB">
            <w:pPr>
              <w:rPr>
                <w:rFonts w:ascii="宋体"/>
              </w:rPr>
            </w:pPr>
          </w:p>
        </w:tc>
        <w:tc>
          <w:tcPr>
            <w:tcW w:w="5" w:type="pct"/>
            <w:shd w:val="clear" w:color="auto" w:fill="auto"/>
            <w:vAlign w:val="bottom"/>
          </w:tcPr>
          <w:p w14:paraId="5F2D51C5" w14:textId="77777777" w:rsidR="00E836FB" w:rsidRDefault="00E836FB">
            <w:pPr>
              <w:rPr>
                <w:rFonts w:ascii="宋体"/>
              </w:rPr>
            </w:pPr>
          </w:p>
        </w:tc>
        <w:tc>
          <w:tcPr>
            <w:tcW w:w="5" w:type="pct"/>
            <w:shd w:val="clear" w:color="auto" w:fill="auto"/>
            <w:vAlign w:val="bottom"/>
          </w:tcPr>
          <w:p w14:paraId="5F2D51C6" w14:textId="77777777" w:rsidR="00E836FB" w:rsidRDefault="00E836FB">
            <w:pPr>
              <w:rPr>
                <w:rFonts w:ascii="宋体"/>
              </w:rPr>
            </w:pPr>
          </w:p>
        </w:tc>
        <w:tc>
          <w:tcPr>
            <w:tcW w:w="27" w:type="pct"/>
            <w:shd w:val="clear" w:color="auto" w:fill="auto"/>
            <w:vAlign w:val="bottom"/>
          </w:tcPr>
          <w:p w14:paraId="5F2D51C7" w14:textId="77777777" w:rsidR="00E836FB" w:rsidRDefault="00E836FB">
            <w:pPr>
              <w:rPr>
                <w:rFonts w:ascii="宋体"/>
              </w:rPr>
            </w:pPr>
          </w:p>
        </w:tc>
        <w:tc>
          <w:tcPr>
            <w:tcW w:w="5" w:type="pct"/>
            <w:shd w:val="clear" w:color="auto" w:fill="auto"/>
            <w:vAlign w:val="bottom"/>
          </w:tcPr>
          <w:p w14:paraId="5F2D51C8" w14:textId="77777777" w:rsidR="00E836FB" w:rsidRDefault="00E836FB">
            <w:pPr>
              <w:rPr>
                <w:rFonts w:ascii="宋体"/>
              </w:rPr>
            </w:pPr>
          </w:p>
        </w:tc>
        <w:tc>
          <w:tcPr>
            <w:tcW w:w="50" w:type="pct"/>
            <w:shd w:val="clear" w:color="auto" w:fill="auto"/>
            <w:vAlign w:val="bottom"/>
          </w:tcPr>
          <w:p w14:paraId="5F2D51C9" w14:textId="77777777" w:rsidR="00E836FB" w:rsidRDefault="00E836FB">
            <w:pPr>
              <w:rPr>
                <w:rFonts w:ascii="宋体"/>
              </w:rPr>
            </w:pPr>
          </w:p>
        </w:tc>
        <w:tc>
          <w:tcPr>
            <w:tcW w:w="278" w:type="pct"/>
            <w:shd w:val="clear" w:color="auto" w:fill="auto"/>
            <w:vAlign w:val="bottom"/>
          </w:tcPr>
          <w:p w14:paraId="5F2D51CA" w14:textId="77777777" w:rsidR="00E836FB" w:rsidRDefault="00E836FB">
            <w:pPr>
              <w:rPr>
                <w:rFonts w:ascii="宋体"/>
              </w:rPr>
            </w:pPr>
          </w:p>
        </w:tc>
        <w:tc>
          <w:tcPr>
            <w:tcW w:w="5" w:type="pct"/>
            <w:shd w:val="clear" w:color="auto" w:fill="auto"/>
            <w:vAlign w:val="bottom"/>
          </w:tcPr>
          <w:p w14:paraId="5F2D51CB" w14:textId="77777777" w:rsidR="00E836FB" w:rsidRDefault="00E836FB">
            <w:pPr>
              <w:rPr>
                <w:rFonts w:ascii="宋体"/>
              </w:rPr>
            </w:pPr>
          </w:p>
        </w:tc>
        <w:tc>
          <w:tcPr>
            <w:tcW w:w="5" w:type="pct"/>
            <w:shd w:val="clear" w:color="auto" w:fill="auto"/>
            <w:vAlign w:val="bottom"/>
          </w:tcPr>
          <w:p w14:paraId="5F2D51CC" w14:textId="77777777" w:rsidR="00E836FB" w:rsidRDefault="00E836FB">
            <w:pPr>
              <w:rPr>
                <w:rFonts w:ascii="宋体"/>
              </w:rPr>
            </w:pPr>
          </w:p>
        </w:tc>
        <w:tc>
          <w:tcPr>
            <w:tcW w:w="27" w:type="pct"/>
            <w:shd w:val="clear" w:color="auto" w:fill="auto"/>
            <w:vAlign w:val="bottom"/>
          </w:tcPr>
          <w:p w14:paraId="5F2D51CD" w14:textId="77777777" w:rsidR="00E836FB" w:rsidRDefault="00E836FB">
            <w:pPr>
              <w:rPr>
                <w:rFonts w:ascii="宋体"/>
              </w:rPr>
            </w:pPr>
          </w:p>
        </w:tc>
        <w:tc>
          <w:tcPr>
            <w:tcW w:w="5" w:type="pct"/>
            <w:shd w:val="clear" w:color="auto" w:fill="auto"/>
            <w:vAlign w:val="bottom"/>
          </w:tcPr>
          <w:p w14:paraId="5F2D51CE" w14:textId="77777777" w:rsidR="00E836FB" w:rsidRDefault="00E836FB">
            <w:pPr>
              <w:rPr>
                <w:rFonts w:ascii="宋体"/>
              </w:rPr>
            </w:pPr>
          </w:p>
        </w:tc>
        <w:tc>
          <w:tcPr>
            <w:tcW w:w="50" w:type="pct"/>
            <w:shd w:val="clear" w:color="auto" w:fill="auto"/>
            <w:vAlign w:val="bottom"/>
          </w:tcPr>
          <w:p w14:paraId="5F2D51CF" w14:textId="77777777" w:rsidR="00E836FB" w:rsidRDefault="00E836FB">
            <w:pPr>
              <w:rPr>
                <w:rFonts w:ascii="宋体"/>
              </w:rPr>
            </w:pPr>
          </w:p>
        </w:tc>
        <w:tc>
          <w:tcPr>
            <w:tcW w:w="249" w:type="pct"/>
            <w:shd w:val="clear" w:color="auto" w:fill="auto"/>
            <w:vAlign w:val="bottom"/>
          </w:tcPr>
          <w:p w14:paraId="5F2D51D0" w14:textId="77777777" w:rsidR="00E836FB" w:rsidRDefault="00E836FB">
            <w:pPr>
              <w:rPr>
                <w:rFonts w:ascii="宋体"/>
              </w:rPr>
            </w:pPr>
          </w:p>
        </w:tc>
        <w:tc>
          <w:tcPr>
            <w:tcW w:w="5" w:type="pct"/>
            <w:shd w:val="clear" w:color="auto" w:fill="auto"/>
            <w:vAlign w:val="bottom"/>
          </w:tcPr>
          <w:p w14:paraId="5F2D51D1" w14:textId="77777777" w:rsidR="00E836FB" w:rsidRDefault="00E836FB">
            <w:pPr>
              <w:rPr>
                <w:rFonts w:ascii="宋体"/>
              </w:rPr>
            </w:pPr>
          </w:p>
        </w:tc>
        <w:tc>
          <w:tcPr>
            <w:tcW w:w="5" w:type="pct"/>
            <w:shd w:val="clear" w:color="auto" w:fill="auto"/>
            <w:vAlign w:val="bottom"/>
          </w:tcPr>
          <w:p w14:paraId="5F2D51D2" w14:textId="77777777" w:rsidR="00E836FB" w:rsidRDefault="00E836FB">
            <w:pPr>
              <w:rPr>
                <w:rFonts w:ascii="宋体"/>
              </w:rPr>
            </w:pPr>
          </w:p>
        </w:tc>
        <w:tc>
          <w:tcPr>
            <w:tcW w:w="27" w:type="pct"/>
            <w:shd w:val="clear" w:color="auto" w:fill="auto"/>
            <w:vAlign w:val="bottom"/>
          </w:tcPr>
          <w:p w14:paraId="5F2D51D3" w14:textId="77777777" w:rsidR="00E836FB" w:rsidRDefault="00E836FB">
            <w:pPr>
              <w:rPr>
                <w:rFonts w:ascii="宋体"/>
              </w:rPr>
            </w:pPr>
          </w:p>
        </w:tc>
        <w:tc>
          <w:tcPr>
            <w:tcW w:w="5" w:type="pct"/>
            <w:shd w:val="clear" w:color="auto" w:fill="auto"/>
            <w:vAlign w:val="bottom"/>
          </w:tcPr>
          <w:p w14:paraId="5F2D51D4" w14:textId="77777777" w:rsidR="00E836FB" w:rsidRDefault="00E836FB">
            <w:pPr>
              <w:rPr>
                <w:rFonts w:ascii="宋体"/>
              </w:rPr>
            </w:pPr>
          </w:p>
        </w:tc>
        <w:tc>
          <w:tcPr>
            <w:tcW w:w="50" w:type="pct"/>
            <w:shd w:val="clear" w:color="auto" w:fill="auto"/>
            <w:vAlign w:val="bottom"/>
          </w:tcPr>
          <w:p w14:paraId="5F2D51D5" w14:textId="77777777" w:rsidR="00E836FB" w:rsidRDefault="00E836FB">
            <w:pPr>
              <w:rPr>
                <w:rFonts w:ascii="宋体"/>
              </w:rPr>
            </w:pPr>
          </w:p>
        </w:tc>
        <w:tc>
          <w:tcPr>
            <w:tcW w:w="249" w:type="pct"/>
            <w:shd w:val="clear" w:color="auto" w:fill="auto"/>
            <w:vAlign w:val="bottom"/>
          </w:tcPr>
          <w:p w14:paraId="5F2D51D6" w14:textId="77777777" w:rsidR="00E836FB" w:rsidRDefault="00E836FB">
            <w:pPr>
              <w:rPr>
                <w:rFonts w:ascii="宋体"/>
              </w:rPr>
            </w:pPr>
          </w:p>
        </w:tc>
        <w:tc>
          <w:tcPr>
            <w:tcW w:w="5" w:type="pct"/>
            <w:shd w:val="clear" w:color="auto" w:fill="auto"/>
            <w:vAlign w:val="bottom"/>
          </w:tcPr>
          <w:p w14:paraId="5F2D51D7" w14:textId="77777777" w:rsidR="00E836FB" w:rsidRDefault="00E836FB">
            <w:pPr>
              <w:rPr>
                <w:rFonts w:ascii="宋体"/>
              </w:rPr>
            </w:pPr>
          </w:p>
        </w:tc>
        <w:tc>
          <w:tcPr>
            <w:tcW w:w="5" w:type="pct"/>
            <w:shd w:val="clear" w:color="auto" w:fill="auto"/>
            <w:vAlign w:val="bottom"/>
          </w:tcPr>
          <w:p w14:paraId="5F2D51D8" w14:textId="77777777" w:rsidR="00E836FB" w:rsidRDefault="00E836FB">
            <w:pPr>
              <w:rPr>
                <w:rFonts w:ascii="宋体"/>
              </w:rPr>
            </w:pPr>
          </w:p>
        </w:tc>
        <w:tc>
          <w:tcPr>
            <w:tcW w:w="27" w:type="pct"/>
            <w:shd w:val="clear" w:color="auto" w:fill="auto"/>
            <w:vAlign w:val="bottom"/>
          </w:tcPr>
          <w:p w14:paraId="5F2D51D9" w14:textId="77777777" w:rsidR="00E836FB" w:rsidRDefault="00E836FB">
            <w:pPr>
              <w:rPr>
                <w:rFonts w:ascii="宋体"/>
              </w:rPr>
            </w:pPr>
          </w:p>
        </w:tc>
        <w:tc>
          <w:tcPr>
            <w:tcW w:w="5" w:type="pct"/>
            <w:shd w:val="clear" w:color="auto" w:fill="auto"/>
            <w:vAlign w:val="bottom"/>
          </w:tcPr>
          <w:p w14:paraId="5F2D51DA" w14:textId="77777777" w:rsidR="00E836FB" w:rsidRDefault="00E836FB">
            <w:pPr>
              <w:rPr>
                <w:rFonts w:ascii="宋体"/>
              </w:rPr>
            </w:pPr>
          </w:p>
        </w:tc>
        <w:tc>
          <w:tcPr>
            <w:tcW w:w="50" w:type="pct"/>
            <w:shd w:val="clear" w:color="auto" w:fill="auto"/>
            <w:vAlign w:val="bottom"/>
          </w:tcPr>
          <w:p w14:paraId="5F2D51DB" w14:textId="77777777" w:rsidR="00E836FB" w:rsidRDefault="00E836FB">
            <w:pPr>
              <w:rPr>
                <w:rFonts w:ascii="宋体"/>
              </w:rPr>
            </w:pPr>
          </w:p>
        </w:tc>
        <w:tc>
          <w:tcPr>
            <w:tcW w:w="249" w:type="pct"/>
            <w:shd w:val="clear" w:color="auto" w:fill="auto"/>
            <w:vAlign w:val="bottom"/>
          </w:tcPr>
          <w:p w14:paraId="5F2D51DC" w14:textId="77777777" w:rsidR="00E836FB" w:rsidRDefault="00E836FB">
            <w:pPr>
              <w:rPr>
                <w:rFonts w:ascii="宋体"/>
              </w:rPr>
            </w:pPr>
          </w:p>
        </w:tc>
        <w:tc>
          <w:tcPr>
            <w:tcW w:w="5" w:type="pct"/>
            <w:shd w:val="clear" w:color="auto" w:fill="auto"/>
            <w:vAlign w:val="bottom"/>
          </w:tcPr>
          <w:p w14:paraId="5F2D51DD" w14:textId="77777777" w:rsidR="00E836FB" w:rsidRDefault="00E836FB">
            <w:pPr>
              <w:rPr>
                <w:rFonts w:ascii="宋体"/>
              </w:rPr>
            </w:pPr>
          </w:p>
        </w:tc>
        <w:tc>
          <w:tcPr>
            <w:tcW w:w="5" w:type="pct"/>
            <w:shd w:val="clear" w:color="auto" w:fill="auto"/>
            <w:vAlign w:val="bottom"/>
          </w:tcPr>
          <w:p w14:paraId="5F2D51DE" w14:textId="77777777" w:rsidR="00E836FB" w:rsidRDefault="00E836FB">
            <w:pPr>
              <w:rPr>
                <w:rFonts w:ascii="宋体"/>
              </w:rPr>
            </w:pPr>
          </w:p>
        </w:tc>
        <w:tc>
          <w:tcPr>
            <w:tcW w:w="27" w:type="pct"/>
            <w:shd w:val="clear" w:color="auto" w:fill="auto"/>
            <w:vAlign w:val="bottom"/>
          </w:tcPr>
          <w:p w14:paraId="5F2D51DF" w14:textId="77777777" w:rsidR="00E836FB" w:rsidRDefault="00E836FB">
            <w:pPr>
              <w:rPr>
                <w:rFonts w:ascii="宋体"/>
              </w:rPr>
            </w:pPr>
          </w:p>
        </w:tc>
        <w:tc>
          <w:tcPr>
            <w:tcW w:w="5" w:type="pct"/>
            <w:shd w:val="clear" w:color="auto" w:fill="auto"/>
            <w:vAlign w:val="bottom"/>
          </w:tcPr>
          <w:p w14:paraId="5F2D51E0" w14:textId="77777777" w:rsidR="00E836FB" w:rsidRDefault="00E836FB">
            <w:pPr>
              <w:rPr>
                <w:rFonts w:ascii="宋体"/>
              </w:rPr>
            </w:pPr>
          </w:p>
        </w:tc>
        <w:tc>
          <w:tcPr>
            <w:tcW w:w="50" w:type="pct"/>
            <w:shd w:val="clear" w:color="auto" w:fill="auto"/>
            <w:vAlign w:val="bottom"/>
          </w:tcPr>
          <w:p w14:paraId="5F2D51E1" w14:textId="77777777" w:rsidR="00E836FB" w:rsidRDefault="00E836FB">
            <w:pPr>
              <w:rPr>
                <w:rFonts w:ascii="宋体"/>
              </w:rPr>
            </w:pPr>
          </w:p>
        </w:tc>
        <w:tc>
          <w:tcPr>
            <w:tcW w:w="249" w:type="pct"/>
            <w:shd w:val="clear" w:color="auto" w:fill="auto"/>
            <w:vAlign w:val="bottom"/>
          </w:tcPr>
          <w:p w14:paraId="5F2D51E2" w14:textId="77777777" w:rsidR="00E836FB" w:rsidRDefault="00E836FB">
            <w:pPr>
              <w:rPr>
                <w:rFonts w:ascii="宋体"/>
              </w:rPr>
            </w:pPr>
          </w:p>
        </w:tc>
        <w:tc>
          <w:tcPr>
            <w:tcW w:w="5" w:type="pct"/>
            <w:shd w:val="clear" w:color="auto" w:fill="auto"/>
            <w:vAlign w:val="bottom"/>
          </w:tcPr>
          <w:p w14:paraId="5F2D51E3" w14:textId="77777777" w:rsidR="00E836FB" w:rsidRDefault="00E836FB">
            <w:pPr>
              <w:rPr>
                <w:rFonts w:ascii="宋体"/>
              </w:rPr>
            </w:pPr>
          </w:p>
        </w:tc>
        <w:tc>
          <w:tcPr>
            <w:tcW w:w="5" w:type="pct"/>
            <w:shd w:val="clear" w:color="auto" w:fill="auto"/>
            <w:vAlign w:val="bottom"/>
          </w:tcPr>
          <w:p w14:paraId="5F2D51E4" w14:textId="77777777" w:rsidR="00E836FB" w:rsidRDefault="00E836FB">
            <w:pPr>
              <w:rPr>
                <w:rFonts w:ascii="宋体"/>
              </w:rPr>
            </w:pPr>
          </w:p>
        </w:tc>
        <w:tc>
          <w:tcPr>
            <w:tcW w:w="27" w:type="pct"/>
            <w:shd w:val="clear" w:color="auto" w:fill="auto"/>
            <w:vAlign w:val="bottom"/>
          </w:tcPr>
          <w:p w14:paraId="5F2D51E5" w14:textId="77777777" w:rsidR="00E836FB" w:rsidRDefault="00E836FB">
            <w:pPr>
              <w:rPr>
                <w:rFonts w:ascii="宋体"/>
              </w:rPr>
            </w:pPr>
          </w:p>
        </w:tc>
        <w:tc>
          <w:tcPr>
            <w:tcW w:w="5" w:type="pct"/>
            <w:shd w:val="clear" w:color="auto" w:fill="auto"/>
            <w:vAlign w:val="bottom"/>
          </w:tcPr>
          <w:p w14:paraId="5F2D51E6" w14:textId="77777777" w:rsidR="00E836FB" w:rsidRDefault="00E836FB">
            <w:pPr>
              <w:rPr>
                <w:rFonts w:ascii="宋体"/>
              </w:rPr>
            </w:pPr>
          </w:p>
        </w:tc>
        <w:tc>
          <w:tcPr>
            <w:tcW w:w="50" w:type="pct"/>
            <w:shd w:val="clear" w:color="auto" w:fill="auto"/>
            <w:vAlign w:val="bottom"/>
          </w:tcPr>
          <w:p w14:paraId="5F2D51E7" w14:textId="77777777" w:rsidR="00E836FB" w:rsidRDefault="00E836FB">
            <w:pPr>
              <w:rPr>
                <w:rFonts w:ascii="宋体"/>
              </w:rPr>
            </w:pPr>
          </w:p>
        </w:tc>
        <w:tc>
          <w:tcPr>
            <w:tcW w:w="249" w:type="pct"/>
            <w:shd w:val="clear" w:color="auto" w:fill="auto"/>
            <w:vAlign w:val="bottom"/>
          </w:tcPr>
          <w:p w14:paraId="5F2D51E8" w14:textId="77777777" w:rsidR="00E836FB" w:rsidRDefault="00E836FB">
            <w:pPr>
              <w:rPr>
                <w:rFonts w:ascii="宋体"/>
              </w:rPr>
            </w:pPr>
          </w:p>
        </w:tc>
        <w:tc>
          <w:tcPr>
            <w:tcW w:w="5" w:type="pct"/>
            <w:shd w:val="clear" w:color="auto" w:fill="auto"/>
            <w:vAlign w:val="bottom"/>
          </w:tcPr>
          <w:p w14:paraId="5F2D51E9" w14:textId="77777777" w:rsidR="00E836FB" w:rsidRDefault="00E836FB">
            <w:pPr>
              <w:rPr>
                <w:rFonts w:ascii="宋体"/>
              </w:rPr>
            </w:pPr>
          </w:p>
        </w:tc>
        <w:tc>
          <w:tcPr>
            <w:tcW w:w="5" w:type="pct"/>
            <w:shd w:val="clear" w:color="auto" w:fill="auto"/>
            <w:vAlign w:val="bottom"/>
          </w:tcPr>
          <w:p w14:paraId="5F2D51EA" w14:textId="77777777" w:rsidR="00E836FB" w:rsidRDefault="00E836FB">
            <w:pPr>
              <w:rPr>
                <w:rFonts w:ascii="宋体"/>
              </w:rPr>
            </w:pPr>
          </w:p>
        </w:tc>
        <w:tc>
          <w:tcPr>
            <w:tcW w:w="27" w:type="pct"/>
            <w:shd w:val="clear" w:color="auto" w:fill="auto"/>
            <w:vAlign w:val="bottom"/>
          </w:tcPr>
          <w:p w14:paraId="5F2D51EB" w14:textId="77777777" w:rsidR="00E836FB" w:rsidRDefault="00E836FB">
            <w:pPr>
              <w:rPr>
                <w:rFonts w:ascii="宋体"/>
              </w:rPr>
            </w:pPr>
          </w:p>
        </w:tc>
        <w:tc>
          <w:tcPr>
            <w:tcW w:w="5" w:type="pct"/>
            <w:shd w:val="clear" w:color="auto" w:fill="auto"/>
            <w:vAlign w:val="bottom"/>
          </w:tcPr>
          <w:p w14:paraId="5F2D51EC" w14:textId="77777777" w:rsidR="00E836FB" w:rsidRDefault="00E836FB">
            <w:pPr>
              <w:rPr>
                <w:rFonts w:ascii="宋体"/>
              </w:rPr>
            </w:pPr>
          </w:p>
        </w:tc>
        <w:tc>
          <w:tcPr>
            <w:tcW w:w="50" w:type="pct"/>
            <w:shd w:val="clear" w:color="auto" w:fill="auto"/>
            <w:vAlign w:val="bottom"/>
          </w:tcPr>
          <w:p w14:paraId="5F2D51ED" w14:textId="77777777" w:rsidR="00E836FB" w:rsidRDefault="00E836FB">
            <w:pPr>
              <w:rPr>
                <w:rFonts w:ascii="宋体"/>
              </w:rPr>
            </w:pPr>
          </w:p>
        </w:tc>
        <w:tc>
          <w:tcPr>
            <w:tcW w:w="249" w:type="pct"/>
            <w:shd w:val="clear" w:color="auto" w:fill="auto"/>
            <w:vAlign w:val="bottom"/>
          </w:tcPr>
          <w:p w14:paraId="5F2D51EE" w14:textId="77777777" w:rsidR="00E836FB" w:rsidRDefault="00E836FB">
            <w:pPr>
              <w:rPr>
                <w:rFonts w:ascii="宋体"/>
              </w:rPr>
            </w:pPr>
          </w:p>
        </w:tc>
        <w:tc>
          <w:tcPr>
            <w:tcW w:w="5" w:type="pct"/>
            <w:shd w:val="clear" w:color="auto" w:fill="auto"/>
            <w:vAlign w:val="bottom"/>
          </w:tcPr>
          <w:p w14:paraId="5F2D51EF" w14:textId="77777777" w:rsidR="00E836FB" w:rsidRDefault="00E836FB">
            <w:pPr>
              <w:rPr>
                <w:rFonts w:ascii="宋体"/>
              </w:rPr>
            </w:pPr>
          </w:p>
        </w:tc>
        <w:tc>
          <w:tcPr>
            <w:tcW w:w="5" w:type="pct"/>
            <w:shd w:val="clear" w:color="auto" w:fill="auto"/>
            <w:vAlign w:val="bottom"/>
          </w:tcPr>
          <w:p w14:paraId="5F2D51F0" w14:textId="77777777" w:rsidR="00E836FB" w:rsidRDefault="00E836FB">
            <w:pPr>
              <w:rPr>
                <w:rFonts w:ascii="宋体"/>
              </w:rPr>
            </w:pPr>
          </w:p>
        </w:tc>
        <w:tc>
          <w:tcPr>
            <w:tcW w:w="27" w:type="pct"/>
            <w:shd w:val="clear" w:color="auto" w:fill="auto"/>
            <w:vAlign w:val="bottom"/>
          </w:tcPr>
          <w:p w14:paraId="5F2D51F1" w14:textId="77777777" w:rsidR="00E836FB" w:rsidRDefault="00E836FB">
            <w:pPr>
              <w:rPr>
                <w:rFonts w:ascii="宋体"/>
              </w:rPr>
            </w:pPr>
          </w:p>
        </w:tc>
        <w:tc>
          <w:tcPr>
            <w:tcW w:w="5" w:type="pct"/>
            <w:shd w:val="clear" w:color="auto" w:fill="auto"/>
            <w:vAlign w:val="bottom"/>
          </w:tcPr>
          <w:p w14:paraId="5F2D51F2" w14:textId="77777777" w:rsidR="00E836FB" w:rsidRDefault="00E836FB">
            <w:pPr>
              <w:rPr>
                <w:rFonts w:ascii="宋体"/>
              </w:rPr>
            </w:pPr>
          </w:p>
        </w:tc>
        <w:tc>
          <w:tcPr>
            <w:tcW w:w="50" w:type="pct"/>
            <w:shd w:val="clear" w:color="auto" w:fill="auto"/>
            <w:vAlign w:val="bottom"/>
          </w:tcPr>
          <w:p w14:paraId="5F2D51F3" w14:textId="77777777" w:rsidR="00E836FB" w:rsidRDefault="00E836FB">
            <w:pPr>
              <w:rPr>
                <w:rFonts w:ascii="宋体"/>
              </w:rPr>
            </w:pPr>
          </w:p>
        </w:tc>
        <w:tc>
          <w:tcPr>
            <w:tcW w:w="278" w:type="pct"/>
            <w:shd w:val="clear" w:color="auto" w:fill="auto"/>
            <w:vAlign w:val="bottom"/>
          </w:tcPr>
          <w:p w14:paraId="5F2D51F4" w14:textId="77777777" w:rsidR="00E836FB" w:rsidRDefault="00E836FB">
            <w:pPr>
              <w:rPr>
                <w:rFonts w:ascii="宋体"/>
              </w:rPr>
            </w:pPr>
          </w:p>
        </w:tc>
        <w:tc>
          <w:tcPr>
            <w:tcW w:w="5" w:type="pct"/>
            <w:shd w:val="clear" w:color="auto" w:fill="auto"/>
            <w:vAlign w:val="bottom"/>
          </w:tcPr>
          <w:p w14:paraId="5F2D51F5" w14:textId="77777777" w:rsidR="00E836FB" w:rsidRDefault="00E836FB">
            <w:pPr>
              <w:rPr>
                <w:rFonts w:ascii="宋体"/>
              </w:rPr>
            </w:pPr>
          </w:p>
        </w:tc>
        <w:tc>
          <w:tcPr>
            <w:tcW w:w="5" w:type="pct"/>
            <w:shd w:val="clear" w:color="auto" w:fill="auto"/>
            <w:vAlign w:val="bottom"/>
          </w:tcPr>
          <w:p w14:paraId="5F2D51F6" w14:textId="77777777" w:rsidR="00E836FB" w:rsidRDefault="00E836FB">
            <w:pPr>
              <w:rPr>
                <w:rFonts w:ascii="宋体"/>
              </w:rPr>
            </w:pPr>
          </w:p>
        </w:tc>
        <w:tc>
          <w:tcPr>
            <w:tcW w:w="27" w:type="pct"/>
            <w:shd w:val="clear" w:color="auto" w:fill="auto"/>
            <w:vAlign w:val="bottom"/>
          </w:tcPr>
          <w:p w14:paraId="5F2D51F7" w14:textId="77777777" w:rsidR="00E836FB" w:rsidRDefault="00E836FB">
            <w:pPr>
              <w:rPr>
                <w:rFonts w:ascii="宋体"/>
              </w:rPr>
            </w:pPr>
          </w:p>
        </w:tc>
        <w:tc>
          <w:tcPr>
            <w:tcW w:w="5" w:type="pct"/>
            <w:shd w:val="clear" w:color="auto" w:fill="auto"/>
            <w:vAlign w:val="bottom"/>
          </w:tcPr>
          <w:p w14:paraId="5F2D51F8" w14:textId="77777777" w:rsidR="00E836FB" w:rsidRDefault="00E836FB">
            <w:pPr>
              <w:rPr>
                <w:rFonts w:ascii="宋体"/>
              </w:rPr>
            </w:pPr>
          </w:p>
        </w:tc>
      </w:tr>
      <w:tr w:rsidR="00E836FB" w14:paraId="5F2D5235" w14:textId="77777777">
        <w:trPr>
          <w:hidden/>
        </w:trPr>
        <w:tc>
          <w:tcPr>
            <w:tcW w:w="0" w:type="auto"/>
            <w:gridSpan w:val="3"/>
            <w:shd w:val="clear" w:color="auto" w:fill="auto"/>
            <w:vAlign w:val="bottom"/>
          </w:tcPr>
          <w:p w14:paraId="5F2D51FA" w14:textId="77777777" w:rsidR="00E836FB" w:rsidRDefault="00E836FB">
            <w:pPr>
              <w:rPr>
                <w:rFonts w:ascii="宋体"/>
                <w:vanish/>
              </w:rPr>
            </w:pPr>
          </w:p>
        </w:tc>
        <w:tc>
          <w:tcPr>
            <w:tcW w:w="0" w:type="auto"/>
            <w:gridSpan w:val="3"/>
            <w:shd w:val="clear" w:color="auto" w:fill="auto"/>
            <w:vAlign w:val="bottom"/>
          </w:tcPr>
          <w:p w14:paraId="5F2D51FB" w14:textId="77777777" w:rsidR="00E836FB" w:rsidRDefault="00E836FB">
            <w:pPr>
              <w:rPr>
                <w:rFonts w:ascii="宋体"/>
                <w:vanish/>
              </w:rPr>
            </w:pPr>
          </w:p>
        </w:tc>
        <w:tc>
          <w:tcPr>
            <w:tcW w:w="0" w:type="auto"/>
            <w:shd w:val="clear" w:color="auto" w:fill="auto"/>
            <w:vAlign w:val="bottom"/>
          </w:tcPr>
          <w:p w14:paraId="5F2D51FC" w14:textId="77777777" w:rsidR="00E836FB" w:rsidRDefault="00E836FB">
            <w:pPr>
              <w:rPr>
                <w:rFonts w:ascii="宋体"/>
              </w:rPr>
            </w:pPr>
          </w:p>
        </w:tc>
        <w:tc>
          <w:tcPr>
            <w:tcW w:w="0" w:type="auto"/>
            <w:shd w:val="clear" w:color="auto" w:fill="auto"/>
            <w:vAlign w:val="bottom"/>
          </w:tcPr>
          <w:p w14:paraId="5F2D51FD" w14:textId="77777777" w:rsidR="00E836FB" w:rsidRDefault="00E836FB">
            <w:pPr>
              <w:rPr>
                <w:rFonts w:ascii="宋体"/>
              </w:rPr>
            </w:pPr>
          </w:p>
        </w:tc>
        <w:tc>
          <w:tcPr>
            <w:tcW w:w="0" w:type="auto"/>
            <w:shd w:val="clear" w:color="auto" w:fill="auto"/>
            <w:vAlign w:val="bottom"/>
          </w:tcPr>
          <w:p w14:paraId="5F2D51FE" w14:textId="77777777" w:rsidR="00E836FB" w:rsidRDefault="00E836FB">
            <w:pPr>
              <w:rPr>
                <w:rFonts w:ascii="宋体"/>
              </w:rPr>
            </w:pPr>
          </w:p>
        </w:tc>
        <w:tc>
          <w:tcPr>
            <w:tcW w:w="0" w:type="auto"/>
            <w:shd w:val="clear" w:color="auto" w:fill="auto"/>
            <w:vAlign w:val="bottom"/>
          </w:tcPr>
          <w:p w14:paraId="5F2D51FF" w14:textId="77777777" w:rsidR="00E836FB" w:rsidRDefault="00E836FB">
            <w:pPr>
              <w:rPr>
                <w:rFonts w:ascii="宋体"/>
              </w:rPr>
            </w:pPr>
          </w:p>
        </w:tc>
        <w:tc>
          <w:tcPr>
            <w:tcW w:w="0" w:type="auto"/>
            <w:shd w:val="clear" w:color="auto" w:fill="auto"/>
            <w:vAlign w:val="bottom"/>
          </w:tcPr>
          <w:p w14:paraId="5F2D5200" w14:textId="77777777" w:rsidR="00E836FB" w:rsidRDefault="00E836FB">
            <w:pPr>
              <w:rPr>
                <w:rFonts w:ascii="宋体"/>
              </w:rPr>
            </w:pPr>
          </w:p>
        </w:tc>
        <w:tc>
          <w:tcPr>
            <w:tcW w:w="0" w:type="auto"/>
            <w:shd w:val="clear" w:color="auto" w:fill="auto"/>
            <w:vAlign w:val="bottom"/>
          </w:tcPr>
          <w:p w14:paraId="5F2D5201" w14:textId="77777777" w:rsidR="00E836FB" w:rsidRDefault="00E836FB">
            <w:pPr>
              <w:rPr>
                <w:rFonts w:ascii="宋体"/>
              </w:rPr>
            </w:pPr>
          </w:p>
        </w:tc>
        <w:tc>
          <w:tcPr>
            <w:tcW w:w="0" w:type="auto"/>
            <w:shd w:val="clear" w:color="auto" w:fill="auto"/>
            <w:vAlign w:val="bottom"/>
          </w:tcPr>
          <w:p w14:paraId="5F2D5202" w14:textId="77777777" w:rsidR="00E836FB" w:rsidRDefault="00E836FB">
            <w:pPr>
              <w:rPr>
                <w:rFonts w:ascii="宋体"/>
              </w:rPr>
            </w:pPr>
          </w:p>
        </w:tc>
        <w:tc>
          <w:tcPr>
            <w:tcW w:w="0" w:type="auto"/>
            <w:shd w:val="clear" w:color="auto" w:fill="auto"/>
            <w:vAlign w:val="bottom"/>
          </w:tcPr>
          <w:p w14:paraId="5F2D5203" w14:textId="77777777" w:rsidR="00E836FB" w:rsidRDefault="00E836FB">
            <w:pPr>
              <w:rPr>
                <w:rFonts w:ascii="宋体"/>
              </w:rPr>
            </w:pPr>
          </w:p>
        </w:tc>
        <w:tc>
          <w:tcPr>
            <w:tcW w:w="0" w:type="auto"/>
            <w:shd w:val="clear" w:color="auto" w:fill="auto"/>
            <w:vAlign w:val="bottom"/>
          </w:tcPr>
          <w:p w14:paraId="5F2D5204" w14:textId="77777777" w:rsidR="00E836FB" w:rsidRDefault="00E836FB">
            <w:pPr>
              <w:rPr>
                <w:rFonts w:ascii="宋体"/>
              </w:rPr>
            </w:pPr>
          </w:p>
        </w:tc>
        <w:tc>
          <w:tcPr>
            <w:tcW w:w="0" w:type="auto"/>
            <w:shd w:val="clear" w:color="auto" w:fill="auto"/>
            <w:vAlign w:val="bottom"/>
          </w:tcPr>
          <w:p w14:paraId="5F2D5205" w14:textId="77777777" w:rsidR="00E836FB" w:rsidRDefault="00E836FB">
            <w:pPr>
              <w:rPr>
                <w:rFonts w:ascii="宋体"/>
              </w:rPr>
            </w:pPr>
          </w:p>
        </w:tc>
        <w:tc>
          <w:tcPr>
            <w:tcW w:w="0" w:type="auto"/>
            <w:shd w:val="clear" w:color="auto" w:fill="auto"/>
            <w:vAlign w:val="bottom"/>
          </w:tcPr>
          <w:p w14:paraId="5F2D5206" w14:textId="77777777" w:rsidR="00E836FB" w:rsidRDefault="00E836FB">
            <w:pPr>
              <w:rPr>
                <w:rFonts w:ascii="宋体"/>
              </w:rPr>
            </w:pPr>
          </w:p>
        </w:tc>
        <w:tc>
          <w:tcPr>
            <w:tcW w:w="0" w:type="auto"/>
            <w:shd w:val="clear" w:color="auto" w:fill="auto"/>
            <w:vAlign w:val="bottom"/>
          </w:tcPr>
          <w:p w14:paraId="5F2D5207" w14:textId="77777777" w:rsidR="00E836FB" w:rsidRDefault="00E836FB">
            <w:pPr>
              <w:rPr>
                <w:rFonts w:ascii="宋体"/>
              </w:rPr>
            </w:pPr>
          </w:p>
        </w:tc>
        <w:tc>
          <w:tcPr>
            <w:tcW w:w="0" w:type="auto"/>
            <w:shd w:val="clear" w:color="auto" w:fill="auto"/>
            <w:vAlign w:val="bottom"/>
          </w:tcPr>
          <w:p w14:paraId="5F2D5208" w14:textId="77777777" w:rsidR="00E836FB" w:rsidRDefault="00E836FB">
            <w:pPr>
              <w:rPr>
                <w:rFonts w:ascii="宋体"/>
              </w:rPr>
            </w:pPr>
          </w:p>
        </w:tc>
        <w:tc>
          <w:tcPr>
            <w:tcW w:w="0" w:type="auto"/>
            <w:shd w:val="clear" w:color="auto" w:fill="auto"/>
            <w:vAlign w:val="bottom"/>
          </w:tcPr>
          <w:p w14:paraId="5F2D5209" w14:textId="77777777" w:rsidR="00E836FB" w:rsidRDefault="00E836FB">
            <w:pPr>
              <w:rPr>
                <w:rFonts w:ascii="宋体"/>
              </w:rPr>
            </w:pPr>
          </w:p>
        </w:tc>
        <w:tc>
          <w:tcPr>
            <w:tcW w:w="0" w:type="auto"/>
            <w:shd w:val="clear" w:color="auto" w:fill="auto"/>
            <w:vAlign w:val="bottom"/>
          </w:tcPr>
          <w:p w14:paraId="5F2D520A" w14:textId="77777777" w:rsidR="00E836FB" w:rsidRDefault="00E836FB">
            <w:pPr>
              <w:rPr>
                <w:rFonts w:ascii="宋体"/>
              </w:rPr>
            </w:pPr>
          </w:p>
        </w:tc>
        <w:tc>
          <w:tcPr>
            <w:tcW w:w="0" w:type="auto"/>
            <w:shd w:val="clear" w:color="auto" w:fill="auto"/>
            <w:vAlign w:val="bottom"/>
          </w:tcPr>
          <w:p w14:paraId="5F2D520B" w14:textId="77777777" w:rsidR="00E836FB" w:rsidRDefault="00E836FB">
            <w:pPr>
              <w:rPr>
                <w:rFonts w:ascii="宋体"/>
              </w:rPr>
            </w:pPr>
          </w:p>
        </w:tc>
        <w:tc>
          <w:tcPr>
            <w:tcW w:w="0" w:type="auto"/>
            <w:shd w:val="clear" w:color="auto" w:fill="auto"/>
            <w:vAlign w:val="bottom"/>
          </w:tcPr>
          <w:p w14:paraId="5F2D520C" w14:textId="77777777" w:rsidR="00E836FB" w:rsidRDefault="00E836FB">
            <w:pPr>
              <w:rPr>
                <w:rFonts w:ascii="宋体"/>
              </w:rPr>
            </w:pPr>
          </w:p>
        </w:tc>
        <w:tc>
          <w:tcPr>
            <w:tcW w:w="0" w:type="auto"/>
            <w:shd w:val="clear" w:color="auto" w:fill="auto"/>
            <w:vAlign w:val="bottom"/>
          </w:tcPr>
          <w:p w14:paraId="5F2D520D" w14:textId="77777777" w:rsidR="00E836FB" w:rsidRDefault="00E836FB">
            <w:pPr>
              <w:rPr>
                <w:rFonts w:ascii="宋体"/>
              </w:rPr>
            </w:pPr>
          </w:p>
        </w:tc>
        <w:tc>
          <w:tcPr>
            <w:tcW w:w="0" w:type="auto"/>
            <w:shd w:val="clear" w:color="auto" w:fill="auto"/>
            <w:vAlign w:val="bottom"/>
          </w:tcPr>
          <w:p w14:paraId="5F2D520E" w14:textId="77777777" w:rsidR="00E836FB" w:rsidRDefault="00E836FB">
            <w:pPr>
              <w:rPr>
                <w:rFonts w:ascii="宋体"/>
              </w:rPr>
            </w:pPr>
          </w:p>
        </w:tc>
        <w:tc>
          <w:tcPr>
            <w:tcW w:w="0" w:type="auto"/>
            <w:shd w:val="clear" w:color="auto" w:fill="auto"/>
            <w:vAlign w:val="bottom"/>
          </w:tcPr>
          <w:p w14:paraId="5F2D520F" w14:textId="77777777" w:rsidR="00E836FB" w:rsidRDefault="00E836FB">
            <w:pPr>
              <w:rPr>
                <w:rFonts w:ascii="宋体"/>
              </w:rPr>
            </w:pPr>
          </w:p>
        </w:tc>
        <w:tc>
          <w:tcPr>
            <w:tcW w:w="0" w:type="auto"/>
            <w:shd w:val="clear" w:color="auto" w:fill="auto"/>
            <w:vAlign w:val="bottom"/>
          </w:tcPr>
          <w:p w14:paraId="5F2D5210" w14:textId="77777777" w:rsidR="00E836FB" w:rsidRDefault="00E836FB">
            <w:pPr>
              <w:rPr>
                <w:rFonts w:ascii="宋体"/>
              </w:rPr>
            </w:pPr>
          </w:p>
        </w:tc>
        <w:tc>
          <w:tcPr>
            <w:tcW w:w="0" w:type="auto"/>
            <w:shd w:val="clear" w:color="auto" w:fill="auto"/>
            <w:vAlign w:val="bottom"/>
          </w:tcPr>
          <w:p w14:paraId="5F2D5211" w14:textId="77777777" w:rsidR="00E836FB" w:rsidRDefault="00E836FB">
            <w:pPr>
              <w:rPr>
                <w:rFonts w:ascii="宋体"/>
              </w:rPr>
            </w:pPr>
          </w:p>
        </w:tc>
        <w:tc>
          <w:tcPr>
            <w:tcW w:w="0" w:type="auto"/>
            <w:shd w:val="clear" w:color="auto" w:fill="auto"/>
            <w:vAlign w:val="bottom"/>
          </w:tcPr>
          <w:p w14:paraId="5F2D5212" w14:textId="77777777" w:rsidR="00E836FB" w:rsidRDefault="00E836FB">
            <w:pPr>
              <w:rPr>
                <w:rFonts w:ascii="宋体"/>
              </w:rPr>
            </w:pPr>
          </w:p>
        </w:tc>
        <w:tc>
          <w:tcPr>
            <w:tcW w:w="0" w:type="auto"/>
            <w:shd w:val="clear" w:color="auto" w:fill="auto"/>
            <w:vAlign w:val="bottom"/>
          </w:tcPr>
          <w:p w14:paraId="5F2D5213" w14:textId="77777777" w:rsidR="00E836FB" w:rsidRDefault="00E836FB">
            <w:pPr>
              <w:rPr>
                <w:rFonts w:ascii="宋体"/>
              </w:rPr>
            </w:pPr>
          </w:p>
        </w:tc>
        <w:tc>
          <w:tcPr>
            <w:tcW w:w="0" w:type="auto"/>
            <w:shd w:val="clear" w:color="auto" w:fill="auto"/>
            <w:vAlign w:val="bottom"/>
          </w:tcPr>
          <w:p w14:paraId="5F2D5214" w14:textId="77777777" w:rsidR="00E836FB" w:rsidRDefault="00E836FB">
            <w:pPr>
              <w:rPr>
                <w:rFonts w:ascii="宋体"/>
              </w:rPr>
            </w:pPr>
          </w:p>
        </w:tc>
        <w:tc>
          <w:tcPr>
            <w:tcW w:w="0" w:type="auto"/>
            <w:shd w:val="clear" w:color="auto" w:fill="auto"/>
            <w:vAlign w:val="bottom"/>
          </w:tcPr>
          <w:p w14:paraId="5F2D5215" w14:textId="77777777" w:rsidR="00E836FB" w:rsidRDefault="00E836FB">
            <w:pPr>
              <w:rPr>
                <w:rFonts w:ascii="宋体"/>
              </w:rPr>
            </w:pPr>
          </w:p>
        </w:tc>
        <w:tc>
          <w:tcPr>
            <w:tcW w:w="0" w:type="auto"/>
            <w:shd w:val="clear" w:color="auto" w:fill="auto"/>
            <w:vAlign w:val="bottom"/>
          </w:tcPr>
          <w:p w14:paraId="5F2D5216" w14:textId="77777777" w:rsidR="00E836FB" w:rsidRDefault="00E836FB">
            <w:pPr>
              <w:rPr>
                <w:rFonts w:ascii="宋体"/>
              </w:rPr>
            </w:pPr>
          </w:p>
        </w:tc>
        <w:tc>
          <w:tcPr>
            <w:tcW w:w="0" w:type="auto"/>
            <w:shd w:val="clear" w:color="auto" w:fill="auto"/>
            <w:vAlign w:val="bottom"/>
          </w:tcPr>
          <w:p w14:paraId="5F2D5217" w14:textId="77777777" w:rsidR="00E836FB" w:rsidRDefault="00E836FB">
            <w:pPr>
              <w:rPr>
                <w:rFonts w:ascii="宋体"/>
              </w:rPr>
            </w:pPr>
          </w:p>
        </w:tc>
        <w:tc>
          <w:tcPr>
            <w:tcW w:w="0" w:type="auto"/>
            <w:shd w:val="clear" w:color="auto" w:fill="auto"/>
            <w:vAlign w:val="bottom"/>
          </w:tcPr>
          <w:p w14:paraId="5F2D5218" w14:textId="77777777" w:rsidR="00E836FB" w:rsidRDefault="00E836FB">
            <w:pPr>
              <w:rPr>
                <w:rFonts w:ascii="宋体"/>
              </w:rPr>
            </w:pPr>
          </w:p>
        </w:tc>
        <w:tc>
          <w:tcPr>
            <w:tcW w:w="0" w:type="auto"/>
            <w:shd w:val="clear" w:color="auto" w:fill="auto"/>
            <w:vAlign w:val="bottom"/>
          </w:tcPr>
          <w:p w14:paraId="5F2D5219" w14:textId="77777777" w:rsidR="00E836FB" w:rsidRDefault="00E836FB">
            <w:pPr>
              <w:rPr>
                <w:rFonts w:ascii="宋体"/>
              </w:rPr>
            </w:pPr>
          </w:p>
        </w:tc>
        <w:tc>
          <w:tcPr>
            <w:tcW w:w="0" w:type="auto"/>
            <w:shd w:val="clear" w:color="auto" w:fill="auto"/>
            <w:vAlign w:val="bottom"/>
          </w:tcPr>
          <w:p w14:paraId="5F2D521A" w14:textId="77777777" w:rsidR="00E836FB" w:rsidRDefault="00E836FB">
            <w:pPr>
              <w:rPr>
                <w:rFonts w:ascii="宋体"/>
              </w:rPr>
            </w:pPr>
          </w:p>
        </w:tc>
        <w:tc>
          <w:tcPr>
            <w:tcW w:w="0" w:type="auto"/>
            <w:shd w:val="clear" w:color="auto" w:fill="auto"/>
            <w:vAlign w:val="bottom"/>
          </w:tcPr>
          <w:p w14:paraId="5F2D521B" w14:textId="77777777" w:rsidR="00E836FB" w:rsidRDefault="00E836FB">
            <w:pPr>
              <w:rPr>
                <w:rFonts w:ascii="宋体"/>
              </w:rPr>
            </w:pPr>
          </w:p>
        </w:tc>
        <w:tc>
          <w:tcPr>
            <w:tcW w:w="0" w:type="auto"/>
            <w:shd w:val="clear" w:color="auto" w:fill="auto"/>
            <w:vAlign w:val="bottom"/>
          </w:tcPr>
          <w:p w14:paraId="5F2D521C" w14:textId="77777777" w:rsidR="00E836FB" w:rsidRDefault="00E836FB">
            <w:pPr>
              <w:rPr>
                <w:rFonts w:ascii="宋体"/>
              </w:rPr>
            </w:pPr>
          </w:p>
        </w:tc>
        <w:tc>
          <w:tcPr>
            <w:tcW w:w="0" w:type="auto"/>
            <w:shd w:val="clear" w:color="auto" w:fill="auto"/>
            <w:vAlign w:val="bottom"/>
          </w:tcPr>
          <w:p w14:paraId="5F2D521D" w14:textId="77777777" w:rsidR="00E836FB" w:rsidRDefault="00E836FB">
            <w:pPr>
              <w:rPr>
                <w:rFonts w:ascii="宋体"/>
              </w:rPr>
            </w:pPr>
          </w:p>
        </w:tc>
        <w:tc>
          <w:tcPr>
            <w:tcW w:w="0" w:type="auto"/>
            <w:shd w:val="clear" w:color="auto" w:fill="auto"/>
            <w:vAlign w:val="bottom"/>
          </w:tcPr>
          <w:p w14:paraId="5F2D521E" w14:textId="77777777" w:rsidR="00E836FB" w:rsidRDefault="00E836FB">
            <w:pPr>
              <w:rPr>
                <w:rFonts w:ascii="宋体"/>
              </w:rPr>
            </w:pPr>
          </w:p>
        </w:tc>
        <w:tc>
          <w:tcPr>
            <w:tcW w:w="0" w:type="auto"/>
            <w:shd w:val="clear" w:color="auto" w:fill="auto"/>
            <w:vAlign w:val="bottom"/>
          </w:tcPr>
          <w:p w14:paraId="5F2D521F" w14:textId="77777777" w:rsidR="00E836FB" w:rsidRDefault="00E836FB">
            <w:pPr>
              <w:rPr>
                <w:rFonts w:ascii="宋体"/>
              </w:rPr>
            </w:pPr>
          </w:p>
        </w:tc>
        <w:tc>
          <w:tcPr>
            <w:tcW w:w="0" w:type="auto"/>
            <w:shd w:val="clear" w:color="auto" w:fill="auto"/>
            <w:vAlign w:val="bottom"/>
          </w:tcPr>
          <w:p w14:paraId="5F2D5220" w14:textId="77777777" w:rsidR="00E836FB" w:rsidRDefault="00E836FB">
            <w:pPr>
              <w:rPr>
                <w:rFonts w:ascii="宋体"/>
              </w:rPr>
            </w:pPr>
          </w:p>
        </w:tc>
        <w:tc>
          <w:tcPr>
            <w:tcW w:w="0" w:type="auto"/>
            <w:shd w:val="clear" w:color="auto" w:fill="auto"/>
            <w:vAlign w:val="bottom"/>
          </w:tcPr>
          <w:p w14:paraId="5F2D5221" w14:textId="77777777" w:rsidR="00E836FB" w:rsidRDefault="00E836FB">
            <w:pPr>
              <w:rPr>
                <w:rFonts w:ascii="宋体"/>
              </w:rPr>
            </w:pPr>
          </w:p>
        </w:tc>
        <w:tc>
          <w:tcPr>
            <w:tcW w:w="0" w:type="auto"/>
            <w:shd w:val="clear" w:color="auto" w:fill="auto"/>
            <w:vAlign w:val="bottom"/>
          </w:tcPr>
          <w:p w14:paraId="5F2D5222" w14:textId="77777777" w:rsidR="00E836FB" w:rsidRDefault="00E836FB">
            <w:pPr>
              <w:rPr>
                <w:rFonts w:ascii="宋体"/>
              </w:rPr>
            </w:pPr>
          </w:p>
        </w:tc>
        <w:tc>
          <w:tcPr>
            <w:tcW w:w="0" w:type="auto"/>
            <w:shd w:val="clear" w:color="auto" w:fill="auto"/>
            <w:vAlign w:val="bottom"/>
          </w:tcPr>
          <w:p w14:paraId="5F2D5223" w14:textId="77777777" w:rsidR="00E836FB" w:rsidRDefault="00E836FB">
            <w:pPr>
              <w:rPr>
                <w:rFonts w:ascii="宋体"/>
              </w:rPr>
            </w:pPr>
          </w:p>
        </w:tc>
        <w:tc>
          <w:tcPr>
            <w:tcW w:w="0" w:type="auto"/>
            <w:shd w:val="clear" w:color="auto" w:fill="auto"/>
            <w:vAlign w:val="bottom"/>
          </w:tcPr>
          <w:p w14:paraId="5F2D5224" w14:textId="77777777" w:rsidR="00E836FB" w:rsidRDefault="00E836FB">
            <w:pPr>
              <w:rPr>
                <w:rFonts w:ascii="宋体"/>
              </w:rPr>
            </w:pPr>
          </w:p>
        </w:tc>
        <w:tc>
          <w:tcPr>
            <w:tcW w:w="0" w:type="auto"/>
            <w:shd w:val="clear" w:color="auto" w:fill="auto"/>
            <w:vAlign w:val="bottom"/>
          </w:tcPr>
          <w:p w14:paraId="5F2D5225" w14:textId="77777777" w:rsidR="00E836FB" w:rsidRDefault="00E836FB">
            <w:pPr>
              <w:rPr>
                <w:rFonts w:ascii="宋体"/>
              </w:rPr>
            </w:pPr>
          </w:p>
        </w:tc>
        <w:tc>
          <w:tcPr>
            <w:tcW w:w="0" w:type="auto"/>
            <w:shd w:val="clear" w:color="auto" w:fill="auto"/>
            <w:vAlign w:val="bottom"/>
          </w:tcPr>
          <w:p w14:paraId="5F2D5226" w14:textId="77777777" w:rsidR="00E836FB" w:rsidRDefault="00E836FB">
            <w:pPr>
              <w:rPr>
                <w:rFonts w:ascii="宋体"/>
              </w:rPr>
            </w:pPr>
          </w:p>
        </w:tc>
        <w:tc>
          <w:tcPr>
            <w:tcW w:w="0" w:type="auto"/>
            <w:shd w:val="clear" w:color="auto" w:fill="auto"/>
            <w:vAlign w:val="bottom"/>
          </w:tcPr>
          <w:p w14:paraId="5F2D5227" w14:textId="77777777" w:rsidR="00E836FB" w:rsidRDefault="00E836FB">
            <w:pPr>
              <w:rPr>
                <w:rFonts w:ascii="宋体"/>
              </w:rPr>
            </w:pPr>
          </w:p>
        </w:tc>
        <w:tc>
          <w:tcPr>
            <w:tcW w:w="0" w:type="auto"/>
            <w:shd w:val="clear" w:color="auto" w:fill="auto"/>
            <w:vAlign w:val="bottom"/>
          </w:tcPr>
          <w:p w14:paraId="5F2D5228" w14:textId="77777777" w:rsidR="00E836FB" w:rsidRDefault="00E836FB">
            <w:pPr>
              <w:rPr>
                <w:rFonts w:ascii="宋体"/>
              </w:rPr>
            </w:pPr>
          </w:p>
        </w:tc>
        <w:tc>
          <w:tcPr>
            <w:tcW w:w="0" w:type="auto"/>
            <w:shd w:val="clear" w:color="auto" w:fill="auto"/>
            <w:vAlign w:val="bottom"/>
          </w:tcPr>
          <w:p w14:paraId="5F2D5229" w14:textId="77777777" w:rsidR="00E836FB" w:rsidRDefault="00E836FB">
            <w:pPr>
              <w:rPr>
                <w:rFonts w:ascii="宋体"/>
              </w:rPr>
            </w:pPr>
          </w:p>
        </w:tc>
        <w:tc>
          <w:tcPr>
            <w:tcW w:w="0" w:type="auto"/>
            <w:shd w:val="clear" w:color="auto" w:fill="auto"/>
            <w:vAlign w:val="bottom"/>
          </w:tcPr>
          <w:p w14:paraId="5F2D522A" w14:textId="77777777" w:rsidR="00E836FB" w:rsidRDefault="00E836FB">
            <w:pPr>
              <w:rPr>
                <w:rFonts w:ascii="宋体"/>
              </w:rPr>
            </w:pPr>
          </w:p>
        </w:tc>
        <w:tc>
          <w:tcPr>
            <w:tcW w:w="0" w:type="auto"/>
            <w:shd w:val="clear" w:color="auto" w:fill="auto"/>
            <w:vAlign w:val="bottom"/>
          </w:tcPr>
          <w:p w14:paraId="5F2D522B" w14:textId="77777777" w:rsidR="00E836FB" w:rsidRDefault="00E836FB">
            <w:pPr>
              <w:rPr>
                <w:rFonts w:ascii="宋体"/>
              </w:rPr>
            </w:pPr>
          </w:p>
        </w:tc>
        <w:tc>
          <w:tcPr>
            <w:tcW w:w="0" w:type="auto"/>
            <w:shd w:val="clear" w:color="auto" w:fill="auto"/>
            <w:vAlign w:val="bottom"/>
          </w:tcPr>
          <w:p w14:paraId="5F2D522C" w14:textId="77777777" w:rsidR="00E836FB" w:rsidRDefault="00E836FB">
            <w:pPr>
              <w:rPr>
                <w:rFonts w:ascii="宋体"/>
              </w:rPr>
            </w:pPr>
          </w:p>
        </w:tc>
        <w:tc>
          <w:tcPr>
            <w:tcW w:w="0" w:type="auto"/>
            <w:shd w:val="clear" w:color="auto" w:fill="auto"/>
            <w:vAlign w:val="bottom"/>
          </w:tcPr>
          <w:p w14:paraId="5F2D522D" w14:textId="77777777" w:rsidR="00E836FB" w:rsidRDefault="00E836FB">
            <w:pPr>
              <w:rPr>
                <w:rFonts w:ascii="宋体"/>
              </w:rPr>
            </w:pPr>
          </w:p>
        </w:tc>
        <w:tc>
          <w:tcPr>
            <w:tcW w:w="0" w:type="auto"/>
            <w:shd w:val="clear" w:color="auto" w:fill="auto"/>
            <w:vAlign w:val="bottom"/>
          </w:tcPr>
          <w:p w14:paraId="5F2D522E" w14:textId="77777777" w:rsidR="00E836FB" w:rsidRDefault="00E836FB">
            <w:pPr>
              <w:rPr>
                <w:rFonts w:ascii="宋体"/>
              </w:rPr>
            </w:pPr>
          </w:p>
        </w:tc>
        <w:tc>
          <w:tcPr>
            <w:tcW w:w="0" w:type="auto"/>
            <w:shd w:val="clear" w:color="auto" w:fill="auto"/>
            <w:vAlign w:val="bottom"/>
          </w:tcPr>
          <w:p w14:paraId="5F2D522F" w14:textId="77777777" w:rsidR="00E836FB" w:rsidRDefault="00E836FB">
            <w:pPr>
              <w:rPr>
                <w:rFonts w:ascii="宋体"/>
              </w:rPr>
            </w:pPr>
          </w:p>
        </w:tc>
        <w:tc>
          <w:tcPr>
            <w:tcW w:w="0" w:type="auto"/>
            <w:shd w:val="clear" w:color="auto" w:fill="auto"/>
            <w:vAlign w:val="bottom"/>
          </w:tcPr>
          <w:p w14:paraId="5F2D5230" w14:textId="77777777" w:rsidR="00E836FB" w:rsidRDefault="00E836FB">
            <w:pPr>
              <w:rPr>
                <w:rFonts w:ascii="宋体"/>
              </w:rPr>
            </w:pPr>
          </w:p>
        </w:tc>
        <w:tc>
          <w:tcPr>
            <w:tcW w:w="0" w:type="auto"/>
            <w:shd w:val="clear" w:color="auto" w:fill="auto"/>
            <w:vAlign w:val="bottom"/>
          </w:tcPr>
          <w:p w14:paraId="5F2D5231" w14:textId="77777777" w:rsidR="00E836FB" w:rsidRDefault="00E836FB">
            <w:pPr>
              <w:rPr>
                <w:rFonts w:ascii="宋体"/>
              </w:rPr>
            </w:pPr>
          </w:p>
        </w:tc>
        <w:tc>
          <w:tcPr>
            <w:tcW w:w="0" w:type="auto"/>
            <w:shd w:val="clear" w:color="auto" w:fill="auto"/>
            <w:vAlign w:val="bottom"/>
          </w:tcPr>
          <w:p w14:paraId="5F2D5232" w14:textId="77777777" w:rsidR="00E836FB" w:rsidRDefault="00E836FB">
            <w:pPr>
              <w:rPr>
                <w:rFonts w:ascii="宋体"/>
              </w:rPr>
            </w:pPr>
          </w:p>
        </w:tc>
        <w:tc>
          <w:tcPr>
            <w:tcW w:w="0" w:type="auto"/>
            <w:shd w:val="clear" w:color="auto" w:fill="auto"/>
            <w:vAlign w:val="bottom"/>
          </w:tcPr>
          <w:p w14:paraId="5F2D5233" w14:textId="77777777" w:rsidR="00E836FB" w:rsidRDefault="00E836FB">
            <w:pPr>
              <w:rPr>
                <w:rFonts w:ascii="宋体"/>
              </w:rPr>
            </w:pPr>
          </w:p>
        </w:tc>
        <w:tc>
          <w:tcPr>
            <w:tcW w:w="0" w:type="auto"/>
            <w:shd w:val="clear" w:color="auto" w:fill="auto"/>
            <w:vAlign w:val="bottom"/>
          </w:tcPr>
          <w:p w14:paraId="5F2D5234" w14:textId="77777777" w:rsidR="00E836FB" w:rsidRDefault="00E836FB">
            <w:pPr>
              <w:rPr>
                <w:rFonts w:ascii="宋体"/>
              </w:rPr>
            </w:pPr>
          </w:p>
        </w:tc>
      </w:tr>
      <w:tr w:rsidR="00E836FB" w14:paraId="5F2D5261" w14:textId="77777777">
        <w:trPr>
          <w:hidden/>
        </w:trPr>
        <w:tc>
          <w:tcPr>
            <w:tcW w:w="0" w:type="auto"/>
            <w:gridSpan w:val="3"/>
            <w:shd w:val="clear" w:color="auto" w:fill="auto"/>
            <w:vAlign w:val="bottom"/>
          </w:tcPr>
          <w:p w14:paraId="5F2D5236" w14:textId="77777777" w:rsidR="00E836FB" w:rsidRDefault="00E836FB">
            <w:pPr>
              <w:rPr>
                <w:rFonts w:ascii="宋体"/>
                <w:vanish/>
              </w:rPr>
            </w:pPr>
          </w:p>
        </w:tc>
        <w:tc>
          <w:tcPr>
            <w:tcW w:w="0" w:type="auto"/>
            <w:gridSpan w:val="3"/>
            <w:shd w:val="clear" w:color="auto" w:fill="auto"/>
            <w:vAlign w:val="bottom"/>
          </w:tcPr>
          <w:p w14:paraId="5F2D5237" w14:textId="77777777" w:rsidR="00E836FB" w:rsidRDefault="00E836FB">
            <w:pPr>
              <w:rPr>
                <w:rFonts w:ascii="宋体"/>
                <w:vanish/>
              </w:rPr>
            </w:pPr>
          </w:p>
        </w:tc>
        <w:tc>
          <w:tcPr>
            <w:tcW w:w="0" w:type="auto"/>
            <w:gridSpan w:val="3"/>
            <w:shd w:val="clear" w:color="auto" w:fill="auto"/>
            <w:vAlign w:val="bottom"/>
          </w:tcPr>
          <w:p w14:paraId="5F2D5238" w14:textId="77777777" w:rsidR="00E836FB" w:rsidRDefault="00E836FB">
            <w:pPr>
              <w:rPr>
                <w:rFonts w:ascii="宋体"/>
                <w:vanish/>
              </w:rPr>
            </w:pPr>
          </w:p>
        </w:tc>
        <w:tc>
          <w:tcPr>
            <w:tcW w:w="0" w:type="auto"/>
            <w:gridSpan w:val="3"/>
            <w:shd w:val="clear" w:color="auto" w:fill="auto"/>
            <w:vAlign w:val="bottom"/>
          </w:tcPr>
          <w:p w14:paraId="5F2D5239" w14:textId="77777777" w:rsidR="00E836FB" w:rsidRDefault="00E836FB">
            <w:pPr>
              <w:rPr>
                <w:rFonts w:ascii="宋体"/>
                <w:vanish/>
              </w:rPr>
            </w:pPr>
          </w:p>
        </w:tc>
        <w:tc>
          <w:tcPr>
            <w:tcW w:w="0" w:type="auto"/>
            <w:gridSpan w:val="3"/>
            <w:shd w:val="clear" w:color="auto" w:fill="auto"/>
            <w:vAlign w:val="bottom"/>
          </w:tcPr>
          <w:p w14:paraId="5F2D523A" w14:textId="77777777" w:rsidR="00E836FB" w:rsidRDefault="00E836FB">
            <w:pPr>
              <w:rPr>
                <w:rFonts w:ascii="宋体"/>
                <w:vanish/>
              </w:rPr>
            </w:pPr>
          </w:p>
        </w:tc>
        <w:tc>
          <w:tcPr>
            <w:tcW w:w="0" w:type="auto"/>
            <w:gridSpan w:val="3"/>
            <w:shd w:val="clear" w:color="auto" w:fill="auto"/>
            <w:vAlign w:val="bottom"/>
          </w:tcPr>
          <w:p w14:paraId="5F2D523B" w14:textId="77777777" w:rsidR="00E836FB" w:rsidRDefault="00E836FB">
            <w:pPr>
              <w:rPr>
                <w:rFonts w:ascii="宋体"/>
                <w:vanish/>
              </w:rPr>
            </w:pPr>
          </w:p>
        </w:tc>
        <w:tc>
          <w:tcPr>
            <w:tcW w:w="0" w:type="auto"/>
            <w:gridSpan w:val="3"/>
            <w:shd w:val="clear" w:color="auto" w:fill="auto"/>
            <w:vAlign w:val="bottom"/>
          </w:tcPr>
          <w:p w14:paraId="5F2D523C" w14:textId="77777777" w:rsidR="00E836FB" w:rsidRDefault="00E836FB">
            <w:pPr>
              <w:rPr>
                <w:rFonts w:ascii="宋体"/>
                <w:vanish/>
              </w:rPr>
            </w:pPr>
          </w:p>
        </w:tc>
        <w:tc>
          <w:tcPr>
            <w:tcW w:w="0" w:type="auto"/>
            <w:gridSpan w:val="3"/>
            <w:shd w:val="clear" w:color="auto" w:fill="auto"/>
            <w:vAlign w:val="bottom"/>
          </w:tcPr>
          <w:p w14:paraId="5F2D523D" w14:textId="77777777" w:rsidR="00E836FB" w:rsidRDefault="00E836FB">
            <w:pPr>
              <w:rPr>
                <w:rFonts w:ascii="宋体"/>
                <w:vanish/>
              </w:rPr>
            </w:pPr>
          </w:p>
        </w:tc>
        <w:tc>
          <w:tcPr>
            <w:tcW w:w="0" w:type="auto"/>
            <w:gridSpan w:val="3"/>
            <w:shd w:val="clear" w:color="auto" w:fill="auto"/>
            <w:vAlign w:val="bottom"/>
          </w:tcPr>
          <w:p w14:paraId="5F2D523E" w14:textId="77777777" w:rsidR="00E836FB" w:rsidRDefault="00E836FB">
            <w:pPr>
              <w:rPr>
                <w:rFonts w:ascii="宋体"/>
                <w:vanish/>
              </w:rPr>
            </w:pPr>
          </w:p>
        </w:tc>
        <w:tc>
          <w:tcPr>
            <w:tcW w:w="0" w:type="auto"/>
            <w:gridSpan w:val="3"/>
            <w:shd w:val="clear" w:color="auto" w:fill="auto"/>
            <w:vAlign w:val="bottom"/>
          </w:tcPr>
          <w:p w14:paraId="5F2D523F" w14:textId="77777777" w:rsidR="00E836FB" w:rsidRDefault="00E836FB">
            <w:pPr>
              <w:rPr>
                <w:rFonts w:ascii="宋体"/>
                <w:vanish/>
              </w:rPr>
            </w:pPr>
          </w:p>
        </w:tc>
        <w:tc>
          <w:tcPr>
            <w:tcW w:w="0" w:type="auto"/>
            <w:shd w:val="clear" w:color="auto" w:fill="auto"/>
            <w:vAlign w:val="bottom"/>
          </w:tcPr>
          <w:p w14:paraId="5F2D5240" w14:textId="77777777" w:rsidR="00E836FB" w:rsidRDefault="00E836FB">
            <w:pPr>
              <w:rPr>
                <w:rFonts w:ascii="宋体"/>
              </w:rPr>
            </w:pPr>
          </w:p>
        </w:tc>
        <w:tc>
          <w:tcPr>
            <w:tcW w:w="0" w:type="auto"/>
            <w:shd w:val="clear" w:color="auto" w:fill="auto"/>
            <w:vAlign w:val="bottom"/>
          </w:tcPr>
          <w:p w14:paraId="5F2D5241" w14:textId="77777777" w:rsidR="00E836FB" w:rsidRDefault="00E836FB">
            <w:pPr>
              <w:rPr>
                <w:rFonts w:ascii="宋体"/>
              </w:rPr>
            </w:pPr>
          </w:p>
        </w:tc>
        <w:tc>
          <w:tcPr>
            <w:tcW w:w="0" w:type="auto"/>
            <w:shd w:val="clear" w:color="auto" w:fill="auto"/>
            <w:vAlign w:val="bottom"/>
          </w:tcPr>
          <w:p w14:paraId="5F2D5242" w14:textId="77777777" w:rsidR="00E836FB" w:rsidRDefault="00E836FB">
            <w:pPr>
              <w:rPr>
                <w:rFonts w:ascii="宋体"/>
              </w:rPr>
            </w:pPr>
          </w:p>
        </w:tc>
        <w:tc>
          <w:tcPr>
            <w:tcW w:w="0" w:type="auto"/>
            <w:shd w:val="clear" w:color="auto" w:fill="auto"/>
            <w:vAlign w:val="bottom"/>
          </w:tcPr>
          <w:p w14:paraId="5F2D5243" w14:textId="77777777" w:rsidR="00E836FB" w:rsidRDefault="00E836FB">
            <w:pPr>
              <w:rPr>
                <w:rFonts w:ascii="宋体"/>
              </w:rPr>
            </w:pPr>
          </w:p>
        </w:tc>
        <w:tc>
          <w:tcPr>
            <w:tcW w:w="0" w:type="auto"/>
            <w:shd w:val="clear" w:color="auto" w:fill="auto"/>
            <w:vAlign w:val="bottom"/>
          </w:tcPr>
          <w:p w14:paraId="5F2D5244" w14:textId="77777777" w:rsidR="00E836FB" w:rsidRDefault="00E836FB">
            <w:pPr>
              <w:rPr>
                <w:rFonts w:ascii="宋体"/>
              </w:rPr>
            </w:pPr>
          </w:p>
        </w:tc>
        <w:tc>
          <w:tcPr>
            <w:tcW w:w="0" w:type="auto"/>
            <w:shd w:val="clear" w:color="auto" w:fill="auto"/>
            <w:vAlign w:val="bottom"/>
          </w:tcPr>
          <w:p w14:paraId="5F2D5245" w14:textId="77777777" w:rsidR="00E836FB" w:rsidRDefault="00E836FB">
            <w:pPr>
              <w:rPr>
                <w:rFonts w:ascii="宋体"/>
              </w:rPr>
            </w:pPr>
          </w:p>
        </w:tc>
        <w:tc>
          <w:tcPr>
            <w:tcW w:w="0" w:type="auto"/>
            <w:shd w:val="clear" w:color="auto" w:fill="auto"/>
            <w:vAlign w:val="bottom"/>
          </w:tcPr>
          <w:p w14:paraId="5F2D5246" w14:textId="77777777" w:rsidR="00E836FB" w:rsidRDefault="00E836FB">
            <w:pPr>
              <w:rPr>
                <w:rFonts w:ascii="宋体"/>
              </w:rPr>
            </w:pPr>
          </w:p>
        </w:tc>
        <w:tc>
          <w:tcPr>
            <w:tcW w:w="0" w:type="auto"/>
            <w:shd w:val="clear" w:color="auto" w:fill="auto"/>
            <w:vAlign w:val="bottom"/>
          </w:tcPr>
          <w:p w14:paraId="5F2D5247" w14:textId="77777777" w:rsidR="00E836FB" w:rsidRDefault="00E836FB">
            <w:pPr>
              <w:rPr>
                <w:rFonts w:ascii="宋体"/>
              </w:rPr>
            </w:pPr>
          </w:p>
        </w:tc>
        <w:tc>
          <w:tcPr>
            <w:tcW w:w="0" w:type="auto"/>
            <w:shd w:val="clear" w:color="auto" w:fill="auto"/>
            <w:vAlign w:val="bottom"/>
          </w:tcPr>
          <w:p w14:paraId="5F2D5248" w14:textId="77777777" w:rsidR="00E836FB" w:rsidRDefault="00E836FB">
            <w:pPr>
              <w:rPr>
                <w:rFonts w:ascii="宋体"/>
              </w:rPr>
            </w:pPr>
          </w:p>
        </w:tc>
        <w:tc>
          <w:tcPr>
            <w:tcW w:w="0" w:type="auto"/>
            <w:shd w:val="clear" w:color="auto" w:fill="auto"/>
            <w:vAlign w:val="bottom"/>
          </w:tcPr>
          <w:p w14:paraId="5F2D5249" w14:textId="77777777" w:rsidR="00E836FB" w:rsidRDefault="00E836FB">
            <w:pPr>
              <w:rPr>
                <w:rFonts w:ascii="宋体"/>
              </w:rPr>
            </w:pPr>
          </w:p>
        </w:tc>
        <w:tc>
          <w:tcPr>
            <w:tcW w:w="0" w:type="auto"/>
            <w:shd w:val="clear" w:color="auto" w:fill="auto"/>
            <w:vAlign w:val="bottom"/>
          </w:tcPr>
          <w:p w14:paraId="5F2D524A" w14:textId="77777777" w:rsidR="00E836FB" w:rsidRDefault="00E836FB">
            <w:pPr>
              <w:rPr>
                <w:rFonts w:ascii="宋体"/>
              </w:rPr>
            </w:pPr>
          </w:p>
        </w:tc>
        <w:tc>
          <w:tcPr>
            <w:tcW w:w="0" w:type="auto"/>
            <w:shd w:val="clear" w:color="auto" w:fill="auto"/>
            <w:vAlign w:val="bottom"/>
          </w:tcPr>
          <w:p w14:paraId="5F2D524B" w14:textId="77777777" w:rsidR="00E836FB" w:rsidRDefault="00E836FB">
            <w:pPr>
              <w:rPr>
                <w:rFonts w:ascii="宋体"/>
              </w:rPr>
            </w:pPr>
          </w:p>
        </w:tc>
        <w:tc>
          <w:tcPr>
            <w:tcW w:w="0" w:type="auto"/>
            <w:shd w:val="clear" w:color="auto" w:fill="auto"/>
            <w:vAlign w:val="bottom"/>
          </w:tcPr>
          <w:p w14:paraId="5F2D524C" w14:textId="77777777" w:rsidR="00E836FB" w:rsidRDefault="00E836FB">
            <w:pPr>
              <w:rPr>
                <w:rFonts w:ascii="宋体"/>
              </w:rPr>
            </w:pPr>
          </w:p>
        </w:tc>
        <w:tc>
          <w:tcPr>
            <w:tcW w:w="0" w:type="auto"/>
            <w:shd w:val="clear" w:color="auto" w:fill="auto"/>
            <w:vAlign w:val="bottom"/>
          </w:tcPr>
          <w:p w14:paraId="5F2D524D" w14:textId="77777777" w:rsidR="00E836FB" w:rsidRDefault="00E836FB">
            <w:pPr>
              <w:rPr>
                <w:rFonts w:ascii="宋体"/>
              </w:rPr>
            </w:pPr>
          </w:p>
        </w:tc>
        <w:tc>
          <w:tcPr>
            <w:tcW w:w="0" w:type="auto"/>
            <w:shd w:val="clear" w:color="auto" w:fill="auto"/>
            <w:vAlign w:val="bottom"/>
          </w:tcPr>
          <w:p w14:paraId="5F2D524E" w14:textId="77777777" w:rsidR="00E836FB" w:rsidRDefault="00E836FB">
            <w:pPr>
              <w:rPr>
                <w:rFonts w:ascii="宋体"/>
              </w:rPr>
            </w:pPr>
          </w:p>
        </w:tc>
        <w:tc>
          <w:tcPr>
            <w:tcW w:w="0" w:type="auto"/>
            <w:shd w:val="clear" w:color="auto" w:fill="auto"/>
            <w:vAlign w:val="bottom"/>
          </w:tcPr>
          <w:p w14:paraId="5F2D524F" w14:textId="77777777" w:rsidR="00E836FB" w:rsidRDefault="00E836FB">
            <w:pPr>
              <w:rPr>
                <w:rFonts w:ascii="宋体"/>
              </w:rPr>
            </w:pPr>
          </w:p>
        </w:tc>
        <w:tc>
          <w:tcPr>
            <w:tcW w:w="0" w:type="auto"/>
            <w:shd w:val="clear" w:color="auto" w:fill="auto"/>
            <w:vAlign w:val="bottom"/>
          </w:tcPr>
          <w:p w14:paraId="5F2D5250" w14:textId="77777777" w:rsidR="00E836FB" w:rsidRDefault="00E836FB">
            <w:pPr>
              <w:rPr>
                <w:rFonts w:ascii="宋体"/>
              </w:rPr>
            </w:pPr>
          </w:p>
        </w:tc>
        <w:tc>
          <w:tcPr>
            <w:tcW w:w="0" w:type="auto"/>
            <w:shd w:val="clear" w:color="auto" w:fill="auto"/>
            <w:vAlign w:val="bottom"/>
          </w:tcPr>
          <w:p w14:paraId="5F2D5251" w14:textId="77777777" w:rsidR="00E836FB" w:rsidRDefault="00E836FB">
            <w:pPr>
              <w:rPr>
                <w:rFonts w:ascii="宋体"/>
              </w:rPr>
            </w:pPr>
          </w:p>
        </w:tc>
        <w:tc>
          <w:tcPr>
            <w:tcW w:w="0" w:type="auto"/>
            <w:shd w:val="clear" w:color="auto" w:fill="auto"/>
            <w:vAlign w:val="bottom"/>
          </w:tcPr>
          <w:p w14:paraId="5F2D5252" w14:textId="77777777" w:rsidR="00E836FB" w:rsidRDefault="00E836FB">
            <w:pPr>
              <w:rPr>
                <w:rFonts w:ascii="宋体"/>
              </w:rPr>
            </w:pPr>
          </w:p>
        </w:tc>
        <w:tc>
          <w:tcPr>
            <w:tcW w:w="0" w:type="auto"/>
            <w:shd w:val="clear" w:color="auto" w:fill="auto"/>
            <w:vAlign w:val="bottom"/>
          </w:tcPr>
          <w:p w14:paraId="5F2D5253" w14:textId="77777777" w:rsidR="00E836FB" w:rsidRDefault="00E836FB">
            <w:pPr>
              <w:rPr>
                <w:rFonts w:ascii="宋体"/>
              </w:rPr>
            </w:pPr>
          </w:p>
        </w:tc>
        <w:tc>
          <w:tcPr>
            <w:tcW w:w="0" w:type="auto"/>
            <w:shd w:val="clear" w:color="auto" w:fill="auto"/>
            <w:vAlign w:val="bottom"/>
          </w:tcPr>
          <w:p w14:paraId="5F2D5254" w14:textId="77777777" w:rsidR="00E836FB" w:rsidRDefault="00E836FB">
            <w:pPr>
              <w:rPr>
                <w:rFonts w:ascii="宋体"/>
              </w:rPr>
            </w:pPr>
          </w:p>
        </w:tc>
        <w:tc>
          <w:tcPr>
            <w:tcW w:w="0" w:type="auto"/>
            <w:shd w:val="clear" w:color="auto" w:fill="auto"/>
            <w:vAlign w:val="bottom"/>
          </w:tcPr>
          <w:p w14:paraId="5F2D5255" w14:textId="77777777" w:rsidR="00E836FB" w:rsidRDefault="00E836FB">
            <w:pPr>
              <w:rPr>
                <w:rFonts w:ascii="宋体"/>
              </w:rPr>
            </w:pPr>
          </w:p>
        </w:tc>
        <w:tc>
          <w:tcPr>
            <w:tcW w:w="0" w:type="auto"/>
            <w:shd w:val="clear" w:color="auto" w:fill="auto"/>
            <w:vAlign w:val="bottom"/>
          </w:tcPr>
          <w:p w14:paraId="5F2D5256" w14:textId="77777777" w:rsidR="00E836FB" w:rsidRDefault="00E836FB">
            <w:pPr>
              <w:rPr>
                <w:rFonts w:ascii="宋体"/>
              </w:rPr>
            </w:pPr>
          </w:p>
        </w:tc>
        <w:tc>
          <w:tcPr>
            <w:tcW w:w="0" w:type="auto"/>
            <w:shd w:val="clear" w:color="auto" w:fill="auto"/>
            <w:vAlign w:val="bottom"/>
          </w:tcPr>
          <w:p w14:paraId="5F2D5257" w14:textId="77777777" w:rsidR="00E836FB" w:rsidRDefault="00E836FB">
            <w:pPr>
              <w:rPr>
                <w:rFonts w:ascii="宋体"/>
              </w:rPr>
            </w:pPr>
          </w:p>
        </w:tc>
        <w:tc>
          <w:tcPr>
            <w:tcW w:w="0" w:type="auto"/>
            <w:shd w:val="clear" w:color="auto" w:fill="auto"/>
            <w:vAlign w:val="bottom"/>
          </w:tcPr>
          <w:p w14:paraId="5F2D5258" w14:textId="77777777" w:rsidR="00E836FB" w:rsidRDefault="00E836FB">
            <w:pPr>
              <w:rPr>
                <w:rFonts w:ascii="宋体"/>
              </w:rPr>
            </w:pPr>
          </w:p>
        </w:tc>
        <w:tc>
          <w:tcPr>
            <w:tcW w:w="0" w:type="auto"/>
            <w:shd w:val="clear" w:color="auto" w:fill="auto"/>
            <w:vAlign w:val="bottom"/>
          </w:tcPr>
          <w:p w14:paraId="5F2D5259" w14:textId="77777777" w:rsidR="00E836FB" w:rsidRDefault="00E836FB">
            <w:pPr>
              <w:rPr>
                <w:rFonts w:ascii="宋体"/>
              </w:rPr>
            </w:pPr>
          </w:p>
        </w:tc>
        <w:tc>
          <w:tcPr>
            <w:tcW w:w="0" w:type="auto"/>
            <w:shd w:val="clear" w:color="auto" w:fill="auto"/>
            <w:vAlign w:val="bottom"/>
          </w:tcPr>
          <w:p w14:paraId="5F2D525A" w14:textId="77777777" w:rsidR="00E836FB" w:rsidRDefault="00E836FB">
            <w:pPr>
              <w:rPr>
                <w:rFonts w:ascii="宋体"/>
              </w:rPr>
            </w:pPr>
          </w:p>
        </w:tc>
        <w:tc>
          <w:tcPr>
            <w:tcW w:w="0" w:type="auto"/>
            <w:shd w:val="clear" w:color="auto" w:fill="auto"/>
            <w:vAlign w:val="bottom"/>
          </w:tcPr>
          <w:p w14:paraId="5F2D525B" w14:textId="77777777" w:rsidR="00E836FB" w:rsidRDefault="00E836FB">
            <w:pPr>
              <w:rPr>
                <w:rFonts w:ascii="宋体"/>
              </w:rPr>
            </w:pPr>
          </w:p>
        </w:tc>
        <w:tc>
          <w:tcPr>
            <w:tcW w:w="0" w:type="auto"/>
            <w:shd w:val="clear" w:color="auto" w:fill="auto"/>
            <w:vAlign w:val="bottom"/>
          </w:tcPr>
          <w:p w14:paraId="5F2D525C" w14:textId="77777777" w:rsidR="00E836FB" w:rsidRDefault="00E836FB">
            <w:pPr>
              <w:rPr>
                <w:rFonts w:ascii="宋体"/>
              </w:rPr>
            </w:pPr>
          </w:p>
        </w:tc>
        <w:tc>
          <w:tcPr>
            <w:tcW w:w="0" w:type="auto"/>
            <w:shd w:val="clear" w:color="auto" w:fill="auto"/>
            <w:vAlign w:val="bottom"/>
          </w:tcPr>
          <w:p w14:paraId="5F2D525D" w14:textId="77777777" w:rsidR="00E836FB" w:rsidRDefault="00E836FB">
            <w:pPr>
              <w:rPr>
                <w:rFonts w:ascii="宋体"/>
              </w:rPr>
            </w:pPr>
          </w:p>
        </w:tc>
        <w:tc>
          <w:tcPr>
            <w:tcW w:w="0" w:type="auto"/>
            <w:shd w:val="clear" w:color="auto" w:fill="auto"/>
            <w:vAlign w:val="bottom"/>
          </w:tcPr>
          <w:p w14:paraId="5F2D525E" w14:textId="77777777" w:rsidR="00E836FB" w:rsidRDefault="00E836FB">
            <w:pPr>
              <w:rPr>
                <w:rFonts w:ascii="宋体"/>
              </w:rPr>
            </w:pPr>
          </w:p>
        </w:tc>
        <w:tc>
          <w:tcPr>
            <w:tcW w:w="0" w:type="auto"/>
            <w:shd w:val="clear" w:color="auto" w:fill="auto"/>
            <w:vAlign w:val="bottom"/>
          </w:tcPr>
          <w:p w14:paraId="5F2D525F" w14:textId="77777777" w:rsidR="00E836FB" w:rsidRDefault="00E836FB">
            <w:pPr>
              <w:rPr>
                <w:rFonts w:ascii="宋体"/>
              </w:rPr>
            </w:pPr>
          </w:p>
        </w:tc>
        <w:tc>
          <w:tcPr>
            <w:tcW w:w="0" w:type="auto"/>
            <w:shd w:val="clear" w:color="auto" w:fill="auto"/>
            <w:vAlign w:val="bottom"/>
          </w:tcPr>
          <w:p w14:paraId="5F2D5260" w14:textId="77777777" w:rsidR="00E836FB" w:rsidRDefault="00E836FB">
            <w:pPr>
              <w:rPr>
                <w:rFonts w:ascii="宋体"/>
              </w:rPr>
            </w:pPr>
          </w:p>
        </w:tc>
      </w:tr>
      <w:tr w:rsidR="00E836FB" w14:paraId="5F2D5278" w14:textId="77777777">
        <w:trPr>
          <w:hidden/>
        </w:trPr>
        <w:tc>
          <w:tcPr>
            <w:tcW w:w="0" w:type="auto"/>
            <w:gridSpan w:val="3"/>
            <w:shd w:val="clear" w:color="auto" w:fill="auto"/>
            <w:vAlign w:val="bottom"/>
          </w:tcPr>
          <w:p w14:paraId="5F2D5262" w14:textId="77777777" w:rsidR="00E836FB" w:rsidRDefault="00E836FB">
            <w:pPr>
              <w:rPr>
                <w:rFonts w:ascii="宋体"/>
                <w:vanish/>
              </w:rPr>
            </w:pPr>
          </w:p>
        </w:tc>
        <w:tc>
          <w:tcPr>
            <w:tcW w:w="0" w:type="auto"/>
            <w:gridSpan w:val="3"/>
            <w:shd w:val="clear" w:color="auto" w:fill="auto"/>
            <w:vAlign w:val="bottom"/>
          </w:tcPr>
          <w:p w14:paraId="5F2D5263" w14:textId="77777777" w:rsidR="00E836FB" w:rsidRDefault="00E836FB">
            <w:pPr>
              <w:rPr>
                <w:rFonts w:ascii="宋体"/>
                <w:vanish/>
              </w:rPr>
            </w:pPr>
          </w:p>
        </w:tc>
        <w:tc>
          <w:tcPr>
            <w:tcW w:w="0" w:type="auto"/>
            <w:gridSpan w:val="3"/>
            <w:shd w:val="clear" w:color="auto" w:fill="auto"/>
            <w:vAlign w:val="bottom"/>
          </w:tcPr>
          <w:p w14:paraId="5F2D5264" w14:textId="77777777" w:rsidR="00E836FB" w:rsidRDefault="00E836FB">
            <w:pPr>
              <w:rPr>
                <w:rFonts w:ascii="宋体"/>
                <w:vanish/>
              </w:rPr>
            </w:pPr>
          </w:p>
        </w:tc>
        <w:tc>
          <w:tcPr>
            <w:tcW w:w="0" w:type="auto"/>
            <w:gridSpan w:val="3"/>
            <w:shd w:val="clear" w:color="auto" w:fill="auto"/>
            <w:vAlign w:val="bottom"/>
          </w:tcPr>
          <w:p w14:paraId="5F2D5265" w14:textId="77777777" w:rsidR="00E836FB" w:rsidRDefault="00E836FB">
            <w:pPr>
              <w:rPr>
                <w:rFonts w:ascii="宋体"/>
                <w:vanish/>
              </w:rPr>
            </w:pPr>
          </w:p>
        </w:tc>
        <w:tc>
          <w:tcPr>
            <w:tcW w:w="0" w:type="auto"/>
            <w:gridSpan w:val="3"/>
            <w:shd w:val="clear" w:color="auto" w:fill="auto"/>
            <w:vAlign w:val="bottom"/>
          </w:tcPr>
          <w:p w14:paraId="5F2D5266" w14:textId="77777777" w:rsidR="00E836FB" w:rsidRDefault="00E836FB">
            <w:pPr>
              <w:rPr>
                <w:rFonts w:ascii="宋体"/>
                <w:vanish/>
              </w:rPr>
            </w:pPr>
          </w:p>
        </w:tc>
        <w:tc>
          <w:tcPr>
            <w:tcW w:w="0" w:type="auto"/>
            <w:gridSpan w:val="3"/>
            <w:shd w:val="clear" w:color="auto" w:fill="auto"/>
            <w:vAlign w:val="bottom"/>
          </w:tcPr>
          <w:p w14:paraId="5F2D5267" w14:textId="77777777" w:rsidR="00E836FB" w:rsidRDefault="00E836FB">
            <w:pPr>
              <w:rPr>
                <w:rFonts w:ascii="宋体"/>
                <w:vanish/>
              </w:rPr>
            </w:pPr>
          </w:p>
        </w:tc>
        <w:tc>
          <w:tcPr>
            <w:tcW w:w="0" w:type="auto"/>
            <w:gridSpan w:val="3"/>
            <w:shd w:val="clear" w:color="auto" w:fill="auto"/>
            <w:vAlign w:val="bottom"/>
          </w:tcPr>
          <w:p w14:paraId="5F2D5268" w14:textId="77777777" w:rsidR="00E836FB" w:rsidRDefault="00E836FB">
            <w:pPr>
              <w:rPr>
                <w:rFonts w:ascii="宋体"/>
                <w:vanish/>
              </w:rPr>
            </w:pPr>
          </w:p>
        </w:tc>
        <w:tc>
          <w:tcPr>
            <w:tcW w:w="0" w:type="auto"/>
            <w:gridSpan w:val="3"/>
            <w:shd w:val="clear" w:color="auto" w:fill="auto"/>
            <w:vAlign w:val="bottom"/>
          </w:tcPr>
          <w:p w14:paraId="5F2D5269" w14:textId="77777777" w:rsidR="00E836FB" w:rsidRDefault="00E836FB">
            <w:pPr>
              <w:rPr>
                <w:rFonts w:ascii="宋体"/>
                <w:vanish/>
              </w:rPr>
            </w:pPr>
          </w:p>
        </w:tc>
        <w:tc>
          <w:tcPr>
            <w:tcW w:w="0" w:type="auto"/>
            <w:gridSpan w:val="3"/>
            <w:shd w:val="clear" w:color="auto" w:fill="auto"/>
            <w:vAlign w:val="bottom"/>
          </w:tcPr>
          <w:p w14:paraId="5F2D526A" w14:textId="77777777" w:rsidR="00E836FB" w:rsidRDefault="00E836FB">
            <w:pPr>
              <w:rPr>
                <w:rFonts w:ascii="宋体"/>
                <w:vanish/>
              </w:rPr>
            </w:pPr>
          </w:p>
        </w:tc>
        <w:tc>
          <w:tcPr>
            <w:tcW w:w="0" w:type="auto"/>
            <w:gridSpan w:val="3"/>
            <w:shd w:val="clear" w:color="auto" w:fill="auto"/>
            <w:vAlign w:val="bottom"/>
          </w:tcPr>
          <w:p w14:paraId="5F2D526B" w14:textId="77777777" w:rsidR="00E836FB" w:rsidRDefault="00E836FB">
            <w:pPr>
              <w:rPr>
                <w:rFonts w:ascii="宋体"/>
                <w:vanish/>
              </w:rPr>
            </w:pPr>
          </w:p>
        </w:tc>
        <w:tc>
          <w:tcPr>
            <w:tcW w:w="0" w:type="auto"/>
            <w:gridSpan w:val="3"/>
            <w:shd w:val="clear" w:color="auto" w:fill="auto"/>
            <w:vAlign w:val="bottom"/>
          </w:tcPr>
          <w:p w14:paraId="5F2D526C" w14:textId="77777777" w:rsidR="00E836FB" w:rsidRDefault="00E836FB">
            <w:pPr>
              <w:rPr>
                <w:rFonts w:ascii="宋体"/>
                <w:vanish/>
              </w:rPr>
            </w:pPr>
          </w:p>
        </w:tc>
        <w:tc>
          <w:tcPr>
            <w:tcW w:w="0" w:type="auto"/>
            <w:gridSpan w:val="3"/>
            <w:shd w:val="clear" w:color="auto" w:fill="auto"/>
            <w:vAlign w:val="bottom"/>
          </w:tcPr>
          <w:p w14:paraId="5F2D526D" w14:textId="77777777" w:rsidR="00E836FB" w:rsidRDefault="00E836FB">
            <w:pPr>
              <w:rPr>
                <w:rFonts w:ascii="宋体"/>
                <w:vanish/>
              </w:rPr>
            </w:pPr>
          </w:p>
        </w:tc>
        <w:tc>
          <w:tcPr>
            <w:tcW w:w="0" w:type="auto"/>
            <w:gridSpan w:val="3"/>
            <w:shd w:val="clear" w:color="auto" w:fill="auto"/>
            <w:vAlign w:val="bottom"/>
          </w:tcPr>
          <w:p w14:paraId="5F2D526E" w14:textId="77777777" w:rsidR="00E836FB" w:rsidRDefault="00E836FB">
            <w:pPr>
              <w:rPr>
                <w:rFonts w:ascii="宋体"/>
                <w:vanish/>
              </w:rPr>
            </w:pPr>
          </w:p>
        </w:tc>
        <w:tc>
          <w:tcPr>
            <w:tcW w:w="0" w:type="auto"/>
            <w:gridSpan w:val="3"/>
            <w:shd w:val="clear" w:color="auto" w:fill="auto"/>
            <w:vAlign w:val="bottom"/>
          </w:tcPr>
          <w:p w14:paraId="5F2D526F" w14:textId="77777777" w:rsidR="00E836FB" w:rsidRDefault="00E836FB">
            <w:pPr>
              <w:rPr>
                <w:rFonts w:ascii="宋体"/>
                <w:vanish/>
              </w:rPr>
            </w:pPr>
          </w:p>
        </w:tc>
        <w:tc>
          <w:tcPr>
            <w:tcW w:w="0" w:type="auto"/>
            <w:gridSpan w:val="3"/>
            <w:shd w:val="clear" w:color="auto" w:fill="auto"/>
            <w:vAlign w:val="bottom"/>
          </w:tcPr>
          <w:p w14:paraId="5F2D5270" w14:textId="77777777" w:rsidR="00E836FB" w:rsidRDefault="00E836FB">
            <w:pPr>
              <w:rPr>
                <w:rFonts w:ascii="宋体"/>
                <w:vanish/>
              </w:rPr>
            </w:pPr>
          </w:p>
        </w:tc>
        <w:tc>
          <w:tcPr>
            <w:tcW w:w="0" w:type="auto"/>
            <w:gridSpan w:val="3"/>
            <w:shd w:val="clear" w:color="auto" w:fill="auto"/>
            <w:vAlign w:val="bottom"/>
          </w:tcPr>
          <w:p w14:paraId="5F2D5271" w14:textId="77777777" w:rsidR="00E836FB" w:rsidRDefault="00E836FB">
            <w:pPr>
              <w:rPr>
                <w:rFonts w:ascii="宋体"/>
                <w:vanish/>
              </w:rPr>
            </w:pPr>
          </w:p>
        </w:tc>
        <w:tc>
          <w:tcPr>
            <w:tcW w:w="0" w:type="auto"/>
            <w:gridSpan w:val="3"/>
            <w:shd w:val="clear" w:color="auto" w:fill="auto"/>
            <w:vAlign w:val="bottom"/>
          </w:tcPr>
          <w:p w14:paraId="5F2D5272" w14:textId="77777777" w:rsidR="00E836FB" w:rsidRDefault="00E836FB">
            <w:pPr>
              <w:rPr>
                <w:rFonts w:ascii="宋体"/>
                <w:vanish/>
              </w:rPr>
            </w:pPr>
          </w:p>
        </w:tc>
        <w:tc>
          <w:tcPr>
            <w:tcW w:w="0" w:type="auto"/>
            <w:gridSpan w:val="3"/>
            <w:shd w:val="clear" w:color="auto" w:fill="auto"/>
            <w:vAlign w:val="bottom"/>
          </w:tcPr>
          <w:p w14:paraId="5F2D5273" w14:textId="77777777" w:rsidR="00E836FB" w:rsidRDefault="00E836FB">
            <w:pPr>
              <w:rPr>
                <w:rFonts w:ascii="宋体"/>
                <w:vanish/>
              </w:rPr>
            </w:pPr>
          </w:p>
        </w:tc>
        <w:tc>
          <w:tcPr>
            <w:tcW w:w="0" w:type="auto"/>
            <w:gridSpan w:val="3"/>
            <w:shd w:val="clear" w:color="auto" w:fill="auto"/>
            <w:vAlign w:val="bottom"/>
          </w:tcPr>
          <w:p w14:paraId="5F2D5274" w14:textId="77777777" w:rsidR="00E836FB" w:rsidRDefault="00E836FB">
            <w:pPr>
              <w:rPr>
                <w:rFonts w:ascii="宋体"/>
                <w:vanish/>
              </w:rPr>
            </w:pPr>
          </w:p>
        </w:tc>
        <w:tc>
          <w:tcPr>
            <w:tcW w:w="0" w:type="auto"/>
            <w:gridSpan w:val="3"/>
            <w:shd w:val="clear" w:color="auto" w:fill="auto"/>
            <w:vAlign w:val="bottom"/>
          </w:tcPr>
          <w:p w14:paraId="5F2D5275" w14:textId="77777777" w:rsidR="00E836FB" w:rsidRDefault="00E836FB">
            <w:pPr>
              <w:rPr>
                <w:rFonts w:ascii="宋体"/>
                <w:vanish/>
              </w:rPr>
            </w:pPr>
          </w:p>
        </w:tc>
        <w:tc>
          <w:tcPr>
            <w:tcW w:w="0" w:type="auto"/>
            <w:gridSpan w:val="2"/>
            <w:shd w:val="clear" w:color="auto" w:fill="auto"/>
            <w:vAlign w:val="bottom"/>
          </w:tcPr>
          <w:p w14:paraId="5F2D5276" w14:textId="77777777" w:rsidR="00E836FB" w:rsidRDefault="00E836FB">
            <w:pPr>
              <w:rPr>
                <w:rFonts w:ascii="宋体"/>
                <w:vanish/>
              </w:rPr>
            </w:pPr>
          </w:p>
        </w:tc>
        <w:tc>
          <w:tcPr>
            <w:tcW w:w="0" w:type="auto"/>
            <w:shd w:val="clear" w:color="auto" w:fill="auto"/>
            <w:vAlign w:val="bottom"/>
          </w:tcPr>
          <w:p w14:paraId="5F2D5277" w14:textId="77777777" w:rsidR="00E836FB" w:rsidRDefault="00E836FB">
            <w:pPr>
              <w:rPr>
                <w:rFonts w:ascii="宋体"/>
                <w:vanish/>
              </w:rPr>
            </w:pPr>
          </w:p>
        </w:tc>
      </w:tr>
      <w:tr w:rsidR="00E836FB" w14:paraId="5F2D528F" w14:textId="77777777">
        <w:trPr>
          <w:hidden/>
        </w:trPr>
        <w:tc>
          <w:tcPr>
            <w:tcW w:w="0" w:type="auto"/>
            <w:gridSpan w:val="3"/>
            <w:shd w:val="clear" w:color="auto" w:fill="auto"/>
            <w:vAlign w:val="bottom"/>
          </w:tcPr>
          <w:p w14:paraId="5F2D5279" w14:textId="77777777" w:rsidR="00E836FB" w:rsidRDefault="00E836FB">
            <w:pPr>
              <w:rPr>
                <w:rFonts w:ascii="宋体"/>
                <w:vanish/>
              </w:rPr>
            </w:pPr>
          </w:p>
        </w:tc>
        <w:tc>
          <w:tcPr>
            <w:tcW w:w="0" w:type="auto"/>
            <w:gridSpan w:val="3"/>
            <w:shd w:val="clear" w:color="auto" w:fill="auto"/>
            <w:vAlign w:val="bottom"/>
          </w:tcPr>
          <w:p w14:paraId="5F2D527A" w14:textId="77777777" w:rsidR="00E836FB" w:rsidRDefault="00E836FB">
            <w:pPr>
              <w:rPr>
                <w:rFonts w:ascii="宋体"/>
                <w:vanish/>
              </w:rPr>
            </w:pPr>
          </w:p>
        </w:tc>
        <w:tc>
          <w:tcPr>
            <w:tcW w:w="0" w:type="auto"/>
            <w:gridSpan w:val="3"/>
            <w:shd w:val="clear" w:color="auto" w:fill="auto"/>
            <w:vAlign w:val="bottom"/>
          </w:tcPr>
          <w:p w14:paraId="5F2D527B" w14:textId="77777777" w:rsidR="00E836FB" w:rsidRDefault="00E836FB">
            <w:pPr>
              <w:rPr>
                <w:rFonts w:ascii="宋体"/>
                <w:vanish/>
              </w:rPr>
            </w:pPr>
          </w:p>
        </w:tc>
        <w:tc>
          <w:tcPr>
            <w:tcW w:w="0" w:type="auto"/>
            <w:gridSpan w:val="3"/>
            <w:shd w:val="clear" w:color="auto" w:fill="auto"/>
            <w:vAlign w:val="bottom"/>
          </w:tcPr>
          <w:p w14:paraId="5F2D527C" w14:textId="77777777" w:rsidR="00E836FB" w:rsidRDefault="00E836FB">
            <w:pPr>
              <w:rPr>
                <w:rFonts w:ascii="宋体"/>
                <w:vanish/>
              </w:rPr>
            </w:pPr>
          </w:p>
        </w:tc>
        <w:tc>
          <w:tcPr>
            <w:tcW w:w="0" w:type="auto"/>
            <w:gridSpan w:val="3"/>
            <w:shd w:val="clear" w:color="auto" w:fill="auto"/>
            <w:vAlign w:val="bottom"/>
          </w:tcPr>
          <w:p w14:paraId="5F2D527D" w14:textId="77777777" w:rsidR="00E836FB" w:rsidRDefault="00E836FB">
            <w:pPr>
              <w:rPr>
                <w:rFonts w:ascii="宋体"/>
                <w:vanish/>
              </w:rPr>
            </w:pPr>
          </w:p>
        </w:tc>
        <w:tc>
          <w:tcPr>
            <w:tcW w:w="0" w:type="auto"/>
            <w:gridSpan w:val="3"/>
            <w:shd w:val="clear" w:color="auto" w:fill="auto"/>
            <w:vAlign w:val="bottom"/>
          </w:tcPr>
          <w:p w14:paraId="5F2D527E" w14:textId="77777777" w:rsidR="00E836FB" w:rsidRDefault="00E836FB">
            <w:pPr>
              <w:rPr>
                <w:rFonts w:ascii="宋体"/>
                <w:vanish/>
              </w:rPr>
            </w:pPr>
          </w:p>
        </w:tc>
        <w:tc>
          <w:tcPr>
            <w:tcW w:w="0" w:type="auto"/>
            <w:gridSpan w:val="3"/>
            <w:shd w:val="clear" w:color="auto" w:fill="auto"/>
            <w:vAlign w:val="bottom"/>
          </w:tcPr>
          <w:p w14:paraId="5F2D527F" w14:textId="77777777" w:rsidR="00E836FB" w:rsidRDefault="00E836FB">
            <w:pPr>
              <w:rPr>
                <w:rFonts w:ascii="宋体"/>
                <w:vanish/>
              </w:rPr>
            </w:pPr>
          </w:p>
        </w:tc>
        <w:tc>
          <w:tcPr>
            <w:tcW w:w="0" w:type="auto"/>
            <w:gridSpan w:val="3"/>
            <w:shd w:val="clear" w:color="auto" w:fill="auto"/>
            <w:vAlign w:val="bottom"/>
          </w:tcPr>
          <w:p w14:paraId="5F2D5280" w14:textId="77777777" w:rsidR="00E836FB" w:rsidRDefault="00E836FB">
            <w:pPr>
              <w:rPr>
                <w:rFonts w:ascii="宋体"/>
                <w:vanish/>
              </w:rPr>
            </w:pPr>
          </w:p>
        </w:tc>
        <w:tc>
          <w:tcPr>
            <w:tcW w:w="0" w:type="auto"/>
            <w:gridSpan w:val="3"/>
            <w:shd w:val="clear" w:color="auto" w:fill="auto"/>
            <w:vAlign w:val="bottom"/>
          </w:tcPr>
          <w:p w14:paraId="5F2D5281" w14:textId="77777777" w:rsidR="00E836FB" w:rsidRDefault="00E836FB">
            <w:pPr>
              <w:rPr>
                <w:rFonts w:ascii="宋体"/>
                <w:vanish/>
              </w:rPr>
            </w:pPr>
          </w:p>
        </w:tc>
        <w:tc>
          <w:tcPr>
            <w:tcW w:w="0" w:type="auto"/>
            <w:gridSpan w:val="3"/>
            <w:shd w:val="clear" w:color="auto" w:fill="auto"/>
            <w:vAlign w:val="bottom"/>
          </w:tcPr>
          <w:p w14:paraId="5F2D5282" w14:textId="77777777" w:rsidR="00E836FB" w:rsidRDefault="00E836FB">
            <w:pPr>
              <w:rPr>
                <w:rFonts w:ascii="宋体"/>
                <w:vanish/>
              </w:rPr>
            </w:pPr>
          </w:p>
        </w:tc>
        <w:tc>
          <w:tcPr>
            <w:tcW w:w="0" w:type="auto"/>
            <w:gridSpan w:val="3"/>
            <w:shd w:val="clear" w:color="auto" w:fill="auto"/>
            <w:vAlign w:val="bottom"/>
          </w:tcPr>
          <w:p w14:paraId="5F2D5283" w14:textId="77777777" w:rsidR="00E836FB" w:rsidRDefault="00E836FB">
            <w:pPr>
              <w:rPr>
                <w:rFonts w:ascii="宋体"/>
                <w:vanish/>
              </w:rPr>
            </w:pPr>
          </w:p>
        </w:tc>
        <w:tc>
          <w:tcPr>
            <w:tcW w:w="0" w:type="auto"/>
            <w:gridSpan w:val="3"/>
            <w:shd w:val="clear" w:color="auto" w:fill="auto"/>
            <w:vAlign w:val="bottom"/>
          </w:tcPr>
          <w:p w14:paraId="5F2D5284" w14:textId="77777777" w:rsidR="00E836FB" w:rsidRDefault="00E836FB">
            <w:pPr>
              <w:rPr>
                <w:rFonts w:ascii="宋体"/>
                <w:vanish/>
              </w:rPr>
            </w:pPr>
          </w:p>
        </w:tc>
        <w:tc>
          <w:tcPr>
            <w:tcW w:w="0" w:type="auto"/>
            <w:gridSpan w:val="3"/>
            <w:shd w:val="clear" w:color="auto" w:fill="auto"/>
            <w:vAlign w:val="bottom"/>
          </w:tcPr>
          <w:p w14:paraId="5F2D5285" w14:textId="77777777" w:rsidR="00E836FB" w:rsidRDefault="00E836FB">
            <w:pPr>
              <w:rPr>
                <w:rFonts w:ascii="宋体"/>
                <w:vanish/>
              </w:rPr>
            </w:pPr>
          </w:p>
        </w:tc>
        <w:tc>
          <w:tcPr>
            <w:tcW w:w="0" w:type="auto"/>
            <w:gridSpan w:val="3"/>
            <w:shd w:val="clear" w:color="auto" w:fill="auto"/>
            <w:vAlign w:val="bottom"/>
          </w:tcPr>
          <w:p w14:paraId="5F2D5286" w14:textId="77777777" w:rsidR="00E836FB" w:rsidRDefault="00E836FB">
            <w:pPr>
              <w:rPr>
                <w:rFonts w:ascii="宋体"/>
                <w:vanish/>
              </w:rPr>
            </w:pPr>
          </w:p>
        </w:tc>
        <w:tc>
          <w:tcPr>
            <w:tcW w:w="0" w:type="auto"/>
            <w:gridSpan w:val="3"/>
            <w:shd w:val="clear" w:color="auto" w:fill="auto"/>
            <w:vAlign w:val="bottom"/>
          </w:tcPr>
          <w:p w14:paraId="5F2D5287" w14:textId="77777777" w:rsidR="00E836FB" w:rsidRDefault="00E836FB">
            <w:pPr>
              <w:rPr>
                <w:rFonts w:ascii="宋体"/>
                <w:vanish/>
              </w:rPr>
            </w:pPr>
          </w:p>
        </w:tc>
        <w:tc>
          <w:tcPr>
            <w:tcW w:w="0" w:type="auto"/>
            <w:gridSpan w:val="3"/>
            <w:shd w:val="clear" w:color="auto" w:fill="auto"/>
            <w:vAlign w:val="bottom"/>
          </w:tcPr>
          <w:p w14:paraId="5F2D5288" w14:textId="77777777" w:rsidR="00E836FB" w:rsidRDefault="00E836FB">
            <w:pPr>
              <w:rPr>
                <w:rFonts w:ascii="宋体"/>
                <w:vanish/>
              </w:rPr>
            </w:pPr>
          </w:p>
        </w:tc>
        <w:tc>
          <w:tcPr>
            <w:tcW w:w="0" w:type="auto"/>
            <w:gridSpan w:val="3"/>
            <w:shd w:val="clear" w:color="auto" w:fill="auto"/>
            <w:vAlign w:val="bottom"/>
          </w:tcPr>
          <w:p w14:paraId="5F2D5289" w14:textId="77777777" w:rsidR="00E836FB" w:rsidRDefault="00E836FB">
            <w:pPr>
              <w:rPr>
                <w:rFonts w:ascii="宋体"/>
                <w:vanish/>
              </w:rPr>
            </w:pPr>
          </w:p>
        </w:tc>
        <w:tc>
          <w:tcPr>
            <w:tcW w:w="0" w:type="auto"/>
            <w:gridSpan w:val="3"/>
            <w:shd w:val="clear" w:color="auto" w:fill="auto"/>
            <w:vAlign w:val="bottom"/>
          </w:tcPr>
          <w:p w14:paraId="5F2D528A" w14:textId="77777777" w:rsidR="00E836FB" w:rsidRDefault="00E836FB">
            <w:pPr>
              <w:rPr>
                <w:rFonts w:ascii="宋体"/>
                <w:vanish/>
              </w:rPr>
            </w:pPr>
          </w:p>
        </w:tc>
        <w:tc>
          <w:tcPr>
            <w:tcW w:w="0" w:type="auto"/>
            <w:gridSpan w:val="3"/>
            <w:shd w:val="clear" w:color="auto" w:fill="auto"/>
            <w:vAlign w:val="bottom"/>
          </w:tcPr>
          <w:p w14:paraId="5F2D528B" w14:textId="77777777" w:rsidR="00E836FB" w:rsidRDefault="00E836FB">
            <w:pPr>
              <w:rPr>
                <w:rFonts w:ascii="宋体"/>
                <w:vanish/>
              </w:rPr>
            </w:pPr>
          </w:p>
        </w:tc>
        <w:tc>
          <w:tcPr>
            <w:tcW w:w="0" w:type="auto"/>
            <w:gridSpan w:val="3"/>
            <w:shd w:val="clear" w:color="auto" w:fill="auto"/>
            <w:vAlign w:val="bottom"/>
          </w:tcPr>
          <w:p w14:paraId="5F2D528C" w14:textId="77777777" w:rsidR="00E836FB" w:rsidRDefault="00E836FB">
            <w:pPr>
              <w:rPr>
                <w:rFonts w:ascii="宋体"/>
                <w:vanish/>
              </w:rPr>
            </w:pPr>
          </w:p>
        </w:tc>
        <w:tc>
          <w:tcPr>
            <w:tcW w:w="0" w:type="auto"/>
            <w:gridSpan w:val="2"/>
            <w:shd w:val="clear" w:color="auto" w:fill="auto"/>
            <w:vAlign w:val="bottom"/>
          </w:tcPr>
          <w:p w14:paraId="5F2D528D" w14:textId="77777777" w:rsidR="00E836FB" w:rsidRDefault="00E836FB">
            <w:pPr>
              <w:rPr>
                <w:rFonts w:ascii="宋体"/>
                <w:vanish/>
              </w:rPr>
            </w:pPr>
          </w:p>
        </w:tc>
        <w:tc>
          <w:tcPr>
            <w:tcW w:w="0" w:type="auto"/>
            <w:shd w:val="clear" w:color="auto" w:fill="auto"/>
            <w:vAlign w:val="bottom"/>
          </w:tcPr>
          <w:p w14:paraId="5F2D528E" w14:textId="77777777" w:rsidR="00E836FB" w:rsidRDefault="00E836FB">
            <w:pPr>
              <w:rPr>
                <w:rFonts w:ascii="宋体"/>
                <w:vanish/>
              </w:rPr>
            </w:pPr>
          </w:p>
        </w:tc>
      </w:tr>
      <w:tr w:rsidR="00E836FB" w14:paraId="5F2D52A6" w14:textId="77777777">
        <w:trPr>
          <w:hidden/>
        </w:trPr>
        <w:tc>
          <w:tcPr>
            <w:tcW w:w="0" w:type="auto"/>
            <w:gridSpan w:val="3"/>
            <w:shd w:val="clear" w:color="auto" w:fill="auto"/>
            <w:vAlign w:val="bottom"/>
          </w:tcPr>
          <w:p w14:paraId="5F2D5290" w14:textId="77777777" w:rsidR="00E836FB" w:rsidRDefault="00E836FB">
            <w:pPr>
              <w:rPr>
                <w:rFonts w:ascii="宋体"/>
                <w:vanish/>
              </w:rPr>
            </w:pPr>
          </w:p>
        </w:tc>
        <w:tc>
          <w:tcPr>
            <w:tcW w:w="0" w:type="auto"/>
            <w:gridSpan w:val="3"/>
            <w:shd w:val="clear" w:color="auto" w:fill="auto"/>
            <w:vAlign w:val="bottom"/>
          </w:tcPr>
          <w:p w14:paraId="5F2D5291" w14:textId="77777777" w:rsidR="00E836FB" w:rsidRDefault="00E836FB">
            <w:pPr>
              <w:rPr>
                <w:rFonts w:ascii="宋体"/>
                <w:vanish/>
              </w:rPr>
            </w:pPr>
          </w:p>
        </w:tc>
        <w:tc>
          <w:tcPr>
            <w:tcW w:w="0" w:type="auto"/>
            <w:gridSpan w:val="3"/>
            <w:shd w:val="clear" w:color="auto" w:fill="auto"/>
            <w:vAlign w:val="bottom"/>
          </w:tcPr>
          <w:p w14:paraId="5F2D5292" w14:textId="77777777" w:rsidR="00E836FB" w:rsidRDefault="00E836FB">
            <w:pPr>
              <w:rPr>
                <w:rFonts w:ascii="宋体"/>
                <w:vanish/>
              </w:rPr>
            </w:pPr>
          </w:p>
        </w:tc>
        <w:tc>
          <w:tcPr>
            <w:tcW w:w="0" w:type="auto"/>
            <w:gridSpan w:val="3"/>
            <w:shd w:val="clear" w:color="auto" w:fill="auto"/>
            <w:vAlign w:val="bottom"/>
          </w:tcPr>
          <w:p w14:paraId="5F2D5293" w14:textId="77777777" w:rsidR="00E836FB" w:rsidRDefault="00E836FB">
            <w:pPr>
              <w:rPr>
                <w:rFonts w:ascii="宋体"/>
                <w:vanish/>
              </w:rPr>
            </w:pPr>
          </w:p>
        </w:tc>
        <w:tc>
          <w:tcPr>
            <w:tcW w:w="0" w:type="auto"/>
            <w:gridSpan w:val="3"/>
            <w:shd w:val="clear" w:color="auto" w:fill="auto"/>
            <w:vAlign w:val="bottom"/>
          </w:tcPr>
          <w:p w14:paraId="5F2D5294" w14:textId="77777777" w:rsidR="00E836FB" w:rsidRDefault="00E836FB">
            <w:pPr>
              <w:rPr>
                <w:rFonts w:ascii="宋体"/>
                <w:vanish/>
              </w:rPr>
            </w:pPr>
          </w:p>
        </w:tc>
        <w:tc>
          <w:tcPr>
            <w:tcW w:w="0" w:type="auto"/>
            <w:gridSpan w:val="3"/>
            <w:shd w:val="clear" w:color="auto" w:fill="auto"/>
            <w:vAlign w:val="bottom"/>
          </w:tcPr>
          <w:p w14:paraId="5F2D5295" w14:textId="77777777" w:rsidR="00E836FB" w:rsidRDefault="00E836FB">
            <w:pPr>
              <w:rPr>
                <w:rFonts w:ascii="宋体"/>
                <w:vanish/>
              </w:rPr>
            </w:pPr>
          </w:p>
        </w:tc>
        <w:tc>
          <w:tcPr>
            <w:tcW w:w="0" w:type="auto"/>
            <w:gridSpan w:val="3"/>
            <w:shd w:val="clear" w:color="auto" w:fill="auto"/>
            <w:vAlign w:val="bottom"/>
          </w:tcPr>
          <w:p w14:paraId="5F2D5296" w14:textId="77777777" w:rsidR="00E836FB" w:rsidRDefault="00E836FB">
            <w:pPr>
              <w:rPr>
                <w:rFonts w:ascii="宋体"/>
                <w:vanish/>
              </w:rPr>
            </w:pPr>
          </w:p>
        </w:tc>
        <w:tc>
          <w:tcPr>
            <w:tcW w:w="0" w:type="auto"/>
            <w:gridSpan w:val="3"/>
            <w:shd w:val="clear" w:color="auto" w:fill="auto"/>
            <w:vAlign w:val="bottom"/>
          </w:tcPr>
          <w:p w14:paraId="5F2D5297" w14:textId="77777777" w:rsidR="00E836FB" w:rsidRDefault="00E836FB">
            <w:pPr>
              <w:rPr>
                <w:rFonts w:ascii="宋体"/>
                <w:vanish/>
              </w:rPr>
            </w:pPr>
          </w:p>
        </w:tc>
        <w:tc>
          <w:tcPr>
            <w:tcW w:w="0" w:type="auto"/>
            <w:gridSpan w:val="3"/>
            <w:shd w:val="clear" w:color="auto" w:fill="auto"/>
            <w:vAlign w:val="bottom"/>
          </w:tcPr>
          <w:p w14:paraId="5F2D5298" w14:textId="77777777" w:rsidR="00E836FB" w:rsidRDefault="00E836FB">
            <w:pPr>
              <w:rPr>
                <w:rFonts w:ascii="宋体"/>
                <w:vanish/>
              </w:rPr>
            </w:pPr>
          </w:p>
        </w:tc>
        <w:tc>
          <w:tcPr>
            <w:tcW w:w="0" w:type="auto"/>
            <w:gridSpan w:val="3"/>
            <w:shd w:val="clear" w:color="auto" w:fill="auto"/>
            <w:vAlign w:val="bottom"/>
          </w:tcPr>
          <w:p w14:paraId="5F2D5299" w14:textId="77777777" w:rsidR="00E836FB" w:rsidRDefault="00E836FB">
            <w:pPr>
              <w:rPr>
                <w:rFonts w:ascii="宋体"/>
                <w:vanish/>
              </w:rPr>
            </w:pPr>
          </w:p>
        </w:tc>
        <w:tc>
          <w:tcPr>
            <w:tcW w:w="0" w:type="auto"/>
            <w:gridSpan w:val="3"/>
            <w:shd w:val="clear" w:color="auto" w:fill="auto"/>
            <w:vAlign w:val="bottom"/>
          </w:tcPr>
          <w:p w14:paraId="5F2D529A" w14:textId="77777777" w:rsidR="00E836FB" w:rsidRDefault="00E836FB">
            <w:pPr>
              <w:rPr>
                <w:rFonts w:ascii="宋体"/>
                <w:vanish/>
              </w:rPr>
            </w:pPr>
          </w:p>
        </w:tc>
        <w:tc>
          <w:tcPr>
            <w:tcW w:w="0" w:type="auto"/>
            <w:gridSpan w:val="3"/>
            <w:shd w:val="clear" w:color="auto" w:fill="auto"/>
            <w:vAlign w:val="bottom"/>
          </w:tcPr>
          <w:p w14:paraId="5F2D529B" w14:textId="77777777" w:rsidR="00E836FB" w:rsidRDefault="00E836FB">
            <w:pPr>
              <w:rPr>
                <w:rFonts w:ascii="宋体"/>
                <w:vanish/>
              </w:rPr>
            </w:pPr>
          </w:p>
        </w:tc>
        <w:tc>
          <w:tcPr>
            <w:tcW w:w="0" w:type="auto"/>
            <w:gridSpan w:val="3"/>
            <w:shd w:val="clear" w:color="auto" w:fill="auto"/>
            <w:vAlign w:val="bottom"/>
          </w:tcPr>
          <w:p w14:paraId="5F2D529C" w14:textId="77777777" w:rsidR="00E836FB" w:rsidRDefault="00E836FB">
            <w:pPr>
              <w:rPr>
                <w:rFonts w:ascii="宋体"/>
                <w:vanish/>
              </w:rPr>
            </w:pPr>
          </w:p>
        </w:tc>
        <w:tc>
          <w:tcPr>
            <w:tcW w:w="0" w:type="auto"/>
            <w:gridSpan w:val="3"/>
            <w:shd w:val="clear" w:color="auto" w:fill="auto"/>
            <w:vAlign w:val="bottom"/>
          </w:tcPr>
          <w:p w14:paraId="5F2D529D" w14:textId="77777777" w:rsidR="00E836FB" w:rsidRDefault="00E836FB">
            <w:pPr>
              <w:rPr>
                <w:rFonts w:ascii="宋体"/>
                <w:vanish/>
              </w:rPr>
            </w:pPr>
          </w:p>
        </w:tc>
        <w:tc>
          <w:tcPr>
            <w:tcW w:w="0" w:type="auto"/>
            <w:gridSpan w:val="3"/>
            <w:shd w:val="clear" w:color="auto" w:fill="auto"/>
            <w:vAlign w:val="bottom"/>
          </w:tcPr>
          <w:p w14:paraId="5F2D529E" w14:textId="77777777" w:rsidR="00E836FB" w:rsidRDefault="00E836FB">
            <w:pPr>
              <w:rPr>
                <w:rFonts w:ascii="宋体"/>
                <w:vanish/>
              </w:rPr>
            </w:pPr>
          </w:p>
        </w:tc>
        <w:tc>
          <w:tcPr>
            <w:tcW w:w="0" w:type="auto"/>
            <w:gridSpan w:val="3"/>
            <w:shd w:val="clear" w:color="auto" w:fill="auto"/>
            <w:vAlign w:val="bottom"/>
          </w:tcPr>
          <w:p w14:paraId="5F2D529F" w14:textId="77777777" w:rsidR="00E836FB" w:rsidRDefault="00E836FB">
            <w:pPr>
              <w:rPr>
                <w:rFonts w:ascii="宋体"/>
                <w:vanish/>
              </w:rPr>
            </w:pPr>
          </w:p>
        </w:tc>
        <w:tc>
          <w:tcPr>
            <w:tcW w:w="0" w:type="auto"/>
            <w:gridSpan w:val="3"/>
            <w:shd w:val="clear" w:color="auto" w:fill="auto"/>
            <w:vAlign w:val="bottom"/>
          </w:tcPr>
          <w:p w14:paraId="5F2D52A0" w14:textId="77777777" w:rsidR="00E836FB" w:rsidRDefault="00E836FB">
            <w:pPr>
              <w:rPr>
                <w:rFonts w:ascii="宋体"/>
                <w:vanish/>
              </w:rPr>
            </w:pPr>
          </w:p>
        </w:tc>
        <w:tc>
          <w:tcPr>
            <w:tcW w:w="0" w:type="auto"/>
            <w:gridSpan w:val="3"/>
            <w:shd w:val="clear" w:color="auto" w:fill="auto"/>
            <w:vAlign w:val="bottom"/>
          </w:tcPr>
          <w:p w14:paraId="5F2D52A1" w14:textId="77777777" w:rsidR="00E836FB" w:rsidRDefault="00E836FB">
            <w:pPr>
              <w:rPr>
                <w:rFonts w:ascii="宋体"/>
                <w:vanish/>
              </w:rPr>
            </w:pPr>
          </w:p>
        </w:tc>
        <w:tc>
          <w:tcPr>
            <w:tcW w:w="0" w:type="auto"/>
            <w:gridSpan w:val="3"/>
            <w:shd w:val="clear" w:color="auto" w:fill="auto"/>
            <w:vAlign w:val="bottom"/>
          </w:tcPr>
          <w:p w14:paraId="5F2D52A2" w14:textId="77777777" w:rsidR="00E836FB" w:rsidRDefault="00E836FB">
            <w:pPr>
              <w:rPr>
                <w:rFonts w:ascii="宋体"/>
                <w:vanish/>
              </w:rPr>
            </w:pPr>
          </w:p>
        </w:tc>
        <w:tc>
          <w:tcPr>
            <w:tcW w:w="0" w:type="auto"/>
            <w:gridSpan w:val="3"/>
            <w:shd w:val="clear" w:color="auto" w:fill="auto"/>
            <w:vAlign w:val="bottom"/>
          </w:tcPr>
          <w:p w14:paraId="5F2D52A3" w14:textId="77777777" w:rsidR="00E836FB" w:rsidRDefault="00E836FB">
            <w:pPr>
              <w:rPr>
                <w:rFonts w:ascii="宋体"/>
                <w:vanish/>
              </w:rPr>
            </w:pPr>
          </w:p>
        </w:tc>
        <w:tc>
          <w:tcPr>
            <w:tcW w:w="0" w:type="auto"/>
            <w:gridSpan w:val="2"/>
            <w:shd w:val="clear" w:color="auto" w:fill="auto"/>
            <w:vAlign w:val="bottom"/>
          </w:tcPr>
          <w:p w14:paraId="5F2D52A4" w14:textId="77777777" w:rsidR="00E836FB" w:rsidRDefault="00E836FB">
            <w:pPr>
              <w:rPr>
                <w:rFonts w:ascii="宋体"/>
                <w:vanish/>
              </w:rPr>
            </w:pPr>
          </w:p>
        </w:tc>
        <w:tc>
          <w:tcPr>
            <w:tcW w:w="0" w:type="auto"/>
            <w:shd w:val="clear" w:color="auto" w:fill="auto"/>
            <w:vAlign w:val="bottom"/>
          </w:tcPr>
          <w:p w14:paraId="5F2D52A5" w14:textId="77777777" w:rsidR="00E836FB" w:rsidRDefault="00E836FB">
            <w:pPr>
              <w:rPr>
                <w:rFonts w:ascii="宋体"/>
                <w:vanish/>
              </w:rPr>
            </w:pPr>
          </w:p>
        </w:tc>
      </w:tr>
      <w:tr w:rsidR="00E836FB" w14:paraId="5F2D52BD" w14:textId="77777777">
        <w:trPr>
          <w:hidden/>
        </w:trPr>
        <w:tc>
          <w:tcPr>
            <w:tcW w:w="0" w:type="auto"/>
            <w:gridSpan w:val="3"/>
            <w:shd w:val="clear" w:color="auto" w:fill="auto"/>
            <w:vAlign w:val="bottom"/>
          </w:tcPr>
          <w:p w14:paraId="5F2D52A7" w14:textId="77777777" w:rsidR="00E836FB" w:rsidRDefault="00E836FB">
            <w:pPr>
              <w:rPr>
                <w:rFonts w:ascii="宋体"/>
                <w:vanish/>
              </w:rPr>
            </w:pPr>
          </w:p>
        </w:tc>
        <w:tc>
          <w:tcPr>
            <w:tcW w:w="0" w:type="auto"/>
            <w:gridSpan w:val="3"/>
            <w:shd w:val="clear" w:color="auto" w:fill="auto"/>
            <w:vAlign w:val="bottom"/>
          </w:tcPr>
          <w:p w14:paraId="5F2D52A8" w14:textId="77777777" w:rsidR="00E836FB" w:rsidRDefault="00E836FB">
            <w:pPr>
              <w:rPr>
                <w:rFonts w:ascii="宋体"/>
                <w:vanish/>
              </w:rPr>
            </w:pPr>
          </w:p>
        </w:tc>
        <w:tc>
          <w:tcPr>
            <w:tcW w:w="0" w:type="auto"/>
            <w:gridSpan w:val="3"/>
            <w:shd w:val="clear" w:color="auto" w:fill="auto"/>
            <w:vAlign w:val="bottom"/>
          </w:tcPr>
          <w:p w14:paraId="5F2D52A9" w14:textId="77777777" w:rsidR="00E836FB" w:rsidRDefault="00E836FB">
            <w:pPr>
              <w:rPr>
                <w:rFonts w:ascii="宋体"/>
                <w:vanish/>
              </w:rPr>
            </w:pPr>
          </w:p>
        </w:tc>
        <w:tc>
          <w:tcPr>
            <w:tcW w:w="0" w:type="auto"/>
            <w:gridSpan w:val="3"/>
            <w:shd w:val="clear" w:color="auto" w:fill="auto"/>
            <w:vAlign w:val="bottom"/>
          </w:tcPr>
          <w:p w14:paraId="5F2D52AA" w14:textId="77777777" w:rsidR="00E836FB" w:rsidRDefault="00E836FB">
            <w:pPr>
              <w:rPr>
                <w:rFonts w:ascii="宋体"/>
                <w:vanish/>
              </w:rPr>
            </w:pPr>
          </w:p>
        </w:tc>
        <w:tc>
          <w:tcPr>
            <w:tcW w:w="0" w:type="auto"/>
            <w:gridSpan w:val="3"/>
            <w:shd w:val="clear" w:color="auto" w:fill="auto"/>
            <w:vAlign w:val="bottom"/>
          </w:tcPr>
          <w:p w14:paraId="5F2D52AB" w14:textId="77777777" w:rsidR="00E836FB" w:rsidRDefault="00E836FB">
            <w:pPr>
              <w:rPr>
                <w:rFonts w:ascii="宋体"/>
                <w:vanish/>
              </w:rPr>
            </w:pPr>
          </w:p>
        </w:tc>
        <w:tc>
          <w:tcPr>
            <w:tcW w:w="0" w:type="auto"/>
            <w:gridSpan w:val="3"/>
            <w:shd w:val="clear" w:color="auto" w:fill="auto"/>
            <w:vAlign w:val="bottom"/>
          </w:tcPr>
          <w:p w14:paraId="5F2D52AC" w14:textId="77777777" w:rsidR="00E836FB" w:rsidRDefault="00E836FB">
            <w:pPr>
              <w:rPr>
                <w:rFonts w:ascii="宋体"/>
                <w:vanish/>
              </w:rPr>
            </w:pPr>
          </w:p>
        </w:tc>
        <w:tc>
          <w:tcPr>
            <w:tcW w:w="0" w:type="auto"/>
            <w:gridSpan w:val="3"/>
            <w:shd w:val="clear" w:color="auto" w:fill="auto"/>
            <w:vAlign w:val="bottom"/>
          </w:tcPr>
          <w:p w14:paraId="5F2D52AD" w14:textId="77777777" w:rsidR="00E836FB" w:rsidRDefault="00E836FB">
            <w:pPr>
              <w:rPr>
                <w:rFonts w:ascii="宋体"/>
                <w:vanish/>
              </w:rPr>
            </w:pPr>
          </w:p>
        </w:tc>
        <w:tc>
          <w:tcPr>
            <w:tcW w:w="0" w:type="auto"/>
            <w:gridSpan w:val="3"/>
            <w:shd w:val="clear" w:color="auto" w:fill="auto"/>
            <w:vAlign w:val="bottom"/>
          </w:tcPr>
          <w:p w14:paraId="5F2D52AE" w14:textId="77777777" w:rsidR="00E836FB" w:rsidRDefault="00E836FB">
            <w:pPr>
              <w:rPr>
                <w:rFonts w:ascii="宋体"/>
                <w:vanish/>
              </w:rPr>
            </w:pPr>
          </w:p>
        </w:tc>
        <w:tc>
          <w:tcPr>
            <w:tcW w:w="0" w:type="auto"/>
            <w:gridSpan w:val="3"/>
            <w:shd w:val="clear" w:color="auto" w:fill="auto"/>
            <w:vAlign w:val="bottom"/>
          </w:tcPr>
          <w:p w14:paraId="5F2D52AF" w14:textId="77777777" w:rsidR="00E836FB" w:rsidRDefault="00E836FB">
            <w:pPr>
              <w:rPr>
                <w:rFonts w:ascii="宋体"/>
                <w:vanish/>
              </w:rPr>
            </w:pPr>
          </w:p>
        </w:tc>
        <w:tc>
          <w:tcPr>
            <w:tcW w:w="0" w:type="auto"/>
            <w:gridSpan w:val="3"/>
            <w:shd w:val="clear" w:color="auto" w:fill="auto"/>
            <w:vAlign w:val="bottom"/>
          </w:tcPr>
          <w:p w14:paraId="5F2D52B0" w14:textId="77777777" w:rsidR="00E836FB" w:rsidRDefault="00E836FB">
            <w:pPr>
              <w:rPr>
                <w:rFonts w:ascii="宋体"/>
                <w:vanish/>
              </w:rPr>
            </w:pPr>
          </w:p>
        </w:tc>
        <w:tc>
          <w:tcPr>
            <w:tcW w:w="0" w:type="auto"/>
            <w:gridSpan w:val="3"/>
            <w:shd w:val="clear" w:color="auto" w:fill="auto"/>
            <w:vAlign w:val="bottom"/>
          </w:tcPr>
          <w:p w14:paraId="5F2D52B1" w14:textId="77777777" w:rsidR="00E836FB" w:rsidRDefault="00E836FB">
            <w:pPr>
              <w:rPr>
                <w:rFonts w:ascii="宋体"/>
                <w:vanish/>
              </w:rPr>
            </w:pPr>
          </w:p>
        </w:tc>
        <w:tc>
          <w:tcPr>
            <w:tcW w:w="0" w:type="auto"/>
            <w:gridSpan w:val="3"/>
            <w:shd w:val="clear" w:color="auto" w:fill="auto"/>
            <w:vAlign w:val="bottom"/>
          </w:tcPr>
          <w:p w14:paraId="5F2D52B2" w14:textId="77777777" w:rsidR="00E836FB" w:rsidRDefault="00E836FB">
            <w:pPr>
              <w:rPr>
                <w:rFonts w:ascii="宋体"/>
                <w:vanish/>
              </w:rPr>
            </w:pPr>
          </w:p>
        </w:tc>
        <w:tc>
          <w:tcPr>
            <w:tcW w:w="0" w:type="auto"/>
            <w:gridSpan w:val="3"/>
            <w:shd w:val="clear" w:color="auto" w:fill="auto"/>
            <w:vAlign w:val="bottom"/>
          </w:tcPr>
          <w:p w14:paraId="5F2D52B3" w14:textId="77777777" w:rsidR="00E836FB" w:rsidRDefault="00E836FB">
            <w:pPr>
              <w:rPr>
                <w:rFonts w:ascii="宋体"/>
                <w:vanish/>
              </w:rPr>
            </w:pPr>
          </w:p>
        </w:tc>
        <w:tc>
          <w:tcPr>
            <w:tcW w:w="0" w:type="auto"/>
            <w:gridSpan w:val="3"/>
            <w:shd w:val="clear" w:color="auto" w:fill="auto"/>
            <w:vAlign w:val="bottom"/>
          </w:tcPr>
          <w:p w14:paraId="5F2D52B4" w14:textId="77777777" w:rsidR="00E836FB" w:rsidRDefault="00E836FB">
            <w:pPr>
              <w:rPr>
                <w:rFonts w:ascii="宋体"/>
                <w:vanish/>
              </w:rPr>
            </w:pPr>
          </w:p>
        </w:tc>
        <w:tc>
          <w:tcPr>
            <w:tcW w:w="0" w:type="auto"/>
            <w:gridSpan w:val="3"/>
            <w:shd w:val="clear" w:color="auto" w:fill="auto"/>
            <w:vAlign w:val="bottom"/>
          </w:tcPr>
          <w:p w14:paraId="5F2D52B5" w14:textId="77777777" w:rsidR="00E836FB" w:rsidRDefault="00E836FB">
            <w:pPr>
              <w:rPr>
                <w:rFonts w:ascii="宋体"/>
                <w:vanish/>
              </w:rPr>
            </w:pPr>
          </w:p>
        </w:tc>
        <w:tc>
          <w:tcPr>
            <w:tcW w:w="0" w:type="auto"/>
            <w:gridSpan w:val="3"/>
            <w:shd w:val="clear" w:color="auto" w:fill="auto"/>
            <w:vAlign w:val="bottom"/>
          </w:tcPr>
          <w:p w14:paraId="5F2D52B6" w14:textId="77777777" w:rsidR="00E836FB" w:rsidRDefault="00E836FB">
            <w:pPr>
              <w:rPr>
                <w:rFonts w:ascii="宋体"/>
                <w:vanish/>
              </w:rPr>
            </w:pPr>
          </w:p>
        </w:tc>
        <w:tc>
          <w:tcPr>
            <w:tcW w:w="0" w:type="auto"/>
            <w:gridSpan w:val="3"/>
            <w:shd w:val="clear" w:color="auto" w:fill="auto"/>
            <w:vAlign w:val="bottom"/>
          </w:tcPr>
          <w:p w14:paraId="5F2D52B7" w14:textId="77777777" w:rsidR="00E836FB" w:rsidRDefault="00E836FB">
            <w:pPr>
              <w:rPr>
                <w:rFonts w:ascii="宋体"/>
                <w:vanish/>
              </w:rPr>
            </w:pPr>
          </w:p>
        </w:tc>
        <w:tc>
          <w:tcPr>
            <w:tcW w:w="0" w:type="auto"/>
            <w:gridSpan w:val="3"/>
            <w:shd w:val="clear" w:color="auto" w:fill="auto"/>
            <w:vAlign w:val="bottom"/>
          </w:tcPr>
          <w:p w14:paraId="5F2D52B8" w14:textId="77777777" w:rsidR="00E836FB" w:rsidRDefault="00E836FB">
            <w:pPr>
              <w:rPr>
                <w:rFonts w:ascii="宋体"/>
                <w:vanish/>
              </w:rPr>
            </w:pPr>
          </w:p>
        </w:tc>
        <w:tc>
          <w:tcPr>
            <w:tcW w:w="0" w:type="auto"/>
            <w:gridSpan w:val="3"/>
            <w:shd w:val="clear" w:color="auto" w:fill="auto"/>
            <w:vAlign w:val="bottom"/>
          </w:tcPr>
          <w:p w14:paraId="5F2D52B9" w14:textId="77777777" w:rsidR="00E836FB" w:rsidRDefault="00E836FB">
            <w:pPr>
              <w:rPr>
                <w:rFonts w:ascii="宋体"/>
                <w:vanish/>
              </w:rPr>
            </w:pPr>
          </w:p>
        </w:tc>
        <w:tc>
          <w:tcPr>
            <w:tcW w:w="0" w:type="auto"/>
            <w:gridSpan w:val="3"/>
            <w:shd w:val="clear" w:color="auto" w:fill="auto"/>
            <w:vAlign w:val="bottom"/>
          </w:tcPr>
          <w:p w14:paraId="5F2D52BA" w14:textId="77777777" w:rsidR="00E836FB" w:rsidRDefault="00E836FB">
            <w:pPr>
              <w:rPr>
                <w:rFonts w:ascii="宋体"/>
                <w:vanish/>
              </w:rPr>
            </w:pPr>
          </w:p>
        </w:tc>
        <w:tc>
          <w:tcPr>
            <w:tcW w:w="0" w:type="auto"/>
            <w:gridSpan w:val="2"/>
            <w:shd w:val="clear" w:color="auto" w:fill="auto"/>
            <w:vAlign w:val="bottom"/>
          </w:tcPr>
          <w:p w14:paraId="5F2D52BB" w14:textId="77777777" w:rsidR="00E836FB" w:rsidRDefault="00E836FB">
            <w:pPr>
              <w:rPr>
                <w:rFonts w:ascii="宋体"/>
                <w:vanish/>
              </w:rPr>
            </w:pPr>
          </w:p>
        </w:tc>
        <w:tc>
          <w:tcPr>
            <w:tcW w:w="0" w:type="auto"/>
            <w:shd w:val="clear" w:color="auto" w:fill="auto"/>
            <w:vAlign w:val="bottom"/>
          </w:tcPr>
          <w:p w14:paraId="5F2D52BC" w14:textId="77777777" w:rsidR="00E836FB" w:rsidRDefault="00E836FB">
            <w:pPr>
              <w:rPr>
                <w:rFonts w:ascii="宋体"/>
                <w:vanish/>
              </w:rPr>
            </w:pPr>
          </w:p>
        </w:tc>
      </w:tr>
      <w:tr w:rsidR="00E836FB" w14:paraId="5F2D52D4" w14:textId="77777777">
        <w:trPr>
          <w:hidden/>
        </w:trPr>
        <w:tc>
          <w:tcPr>
            <w:tcW w:w="0" w:type="auto"/>
            <w:gridSpan w:val="3"/>
            <w:shd w:val="clear" w:color="auto" w:fill="auto"/>
            <w:vAlign w:val="bottom"/>
          </w:tcPr>
          <w:p w14:paraId="5F2D52BE" w14:textId="77777777" w:rsidR="00E836FB" w:rsidRDefault="00E836FB">
            <w:pPr>
              <w:rPr>
                <w:rFonts w:ascii="宋体"/>
                <w:vanish/>
              </w:rPr>
            </w:pPr>
          </w:p>
        </w:tc>
        <w:tc>
          <w:tcPr>
            <w:tcW w:w="0" w:type="auto"/>
            <w:gridSpan w:val="3"/>
            <w:shd w:val="clear" w:color="auto" w:fill="auto"/>
            <w:vAlign w:val="bottom"/>
          </w:tcPr>
          <w:p w14:paraId="5F2D52BF" w14:textId="77777777" w:rsidR="00E836FB" w:rsidRDefault="00E836FB">
            <w:pPr>
              <w:rPr>
                <w:rFonts w:ascii="宋体"/>
                <w:vanish/>
              </w:rPr>
            </w:pPr>
          </w:p>
        </w:tc>
        <w:tc>
          <w:tcPr>
            <w:tcW w:w="0" w:type="auto"/>
            <w:gridSpan w:val="3"/>
            <w:shd w:val="clear" w:color="auto" w:fill="auto"/>
            <w:vAlign w:val="bottom"/>
          </w:tcPr>
          <w:p w14:paraId="5F2D52C0" w14:textId="77777777" w:rsidR="00E836FB" w:rsidRDefault="00E836FB">
            <w:pPr>
              <w:rPr>
                <w:rFonts w:ascii="宋体"/>
                <w:vanish/>
              </w:rPr>
            </w:pPr>
          </w:p>
        </w:tc>
        <w:tc>
          <w:tcPr>
            <w:tcW w:w="0" w:type="auto"/>
            <w:gridSpan w:val="3"/>
            <w:shd w:val="clear" w:color="auto" w:fill="auto"/>
            <w:vAlign w:val="bottom"/>
          </w:tcPr>
          <w:p w14:paraId="5F2D52C1" w14:textId="77777777" w:rsidR="00E836FB" w:rsidRDefault="00E836FB">
            <w:pPr>
              <w:rPr>
                <w:rFonts w:ascii="宋体"/>
                <w:vanish/>
              </w:rPr>
            </w:pPr>
          </w:p>
        </w:tc>
        <w:tc>
          <w:tcPr>
            <w:tcW w:w="0" w:type="auto"/>
            <w:gridSpan w:val="3"/>
            <w:shd w:val="clear" w:color="auto" w:fill="auto"/>
            <w:vAlign w:val="bottom"/>
          </w:tcPr>
          <w:p w14:paraId="5F2D52C2" w14:textId="77777777" w:rsidR="00E836FB" w:rsidRDefault="00E836FB">
            <w:pPr>
              <w:rPr>
                <w:rFonts w:ascii="宋体"/>
                <w:vanish/>
              </w:rPr>
            </w:pPr>
          </w:p>
        </w:tc>
        <w:tc>
          <w:tcPr>
            <w:tcW w:w="0" w:type="auto"/>
            <w:gridSpan w:val="3"/>
            <w:shd w:val="clear" w:color="auto" w:fill="auto"/>
            <w:vAlign w:val="bottom"/>
          </w:tcPr>
          <w:p w14:paraId="5F2D52C3" w14:textId="77777777" w:rsidR="00E836FB" w:rsidRDefault="00E836FB">
            <w:pPr>
              <w:rPr>
                <w:rFonts w:ascii="宋体"/>
                <w:vanish/>
              </w:rPr>
            </w:pPr>
          </w:p>
        </w:tc>
        <w:tc>
          <w:tcPr>
            <w:tcW w:w="0" w:type="auto"/>
            <w:gridSpan w:val="3"/>
            <w:shd w:val="clear" w:color="auto" w:fill="auto"/>
            <w:vAlign w:val="bottom"/>
          </w:tcPr>
          <w:p w14:paraId="5F2D52C4" w14:textId="77777777" w:rsidR="00E836FB" w:rsidRDefault="00E836FB">
            <w:pPr>
              <w:rPr>
                <w:rFonts w:ascii="宋体"/>
                <w:vanish/>
              </w:rPr>
            </w:pPr>
          </w:p>
        </w:tc>
        <w:tc>
          <w:tcPr>
            <w:tcW w:w="0" w:type="auto"/>
            <w:gridSpan w:val="3"/>
            <w:shd w:val="clear" w:color="auto" w:fill="auto"/>
            <w:vAlign w:val="bottom"/>
          </w:tcPr>
          <w:p w14:paraId="5F2D52C5" w14:textId="77777777" w:rsidR="00E836FB" w:rsidRDefault="00E836FB">
            <w:pPr>
              <w:rPr>
                <w:rFonts w:ascii="宋体"/>
                <w:vanish/>
              </w:rPr>
            </w:pPr>
          </w:p>
        </w:tc>
        <w:tc>
          <w:tcPr>
            <w:tcW w:w="0" w:type="auto"/>
            <w:gridSpan w:val="3"/>
            <w:shd w:val="clear" w:color="auto" w:fill="auto"/>
            <w:vAlign w:val="bottom"/>
          </w:tcPr>
          <w:p w14:paraId="5F2D52C6" w14:textId="77777777" w:rsidR="00E836FB" w:rsidRDefault="00E836FB">
            <w:pPr>
              <w:rPr>
                <w:rFonts w:ascii="宋体"/>
                <w:vanish/>
              </w:rPr>
            </w:pPr>
          </w:p>
        </w:tc>
        <w:tc>
          <w:tcPr>
            <w:tcW w:w="0" w:type="auto"/>
            <w:gridSpan w:val="3"/>
            <w:shd w:val="clear" w:color="auto" w:fill="auto"/>
            <w:vAlign w:val="bottom"/>
          </w:tcPr>
          <w:p w14:paraId="5F2D52C7" w14:textId="77777777" w:rsidR="00E836FB" w:rsidRDefault="00E836FB">
            <w:pPr>
              <w:rPr>
                <w:rFonts w:ascii="宋体"/>
                <w:vanish/>
              </w:rPr>
            </w:pPr>
          </w:p>
        </w:tc>
        <w:tc>
          <w:tcPr>
            <w:tcW w:w="0" w:type="auto"/>
            <w:gridSpan w:val="3"/>
            <w:shd w:val="clear" w:color="auto" w:fill="auto"/>
            <w:vAlign w:val="bottom"/>
          </w:tcPr>
          <w:p w14:paraId="5F2D52C8" w14:textId="77777777" w:rsidR="00E836FB" w:rsidRDefault="00E836FB">
            <w:pPr>
              <w:rPr>
                <w:rFonts w:ascii="宋体"/>
                <w:vanish/>
              </w:rPr>
            </w:pPr>
          </w:p>
        </w:tc>
        <w:tc>
          <w:tcPr>
            <w:tcW w:w="0" w:type="auto"/>
            <w:gridSpan w:val="3"/>
            <w:shd w:val="clear" w:color="auto" w:fill="auto"/>
            <w:vAlign w:val="bottom"/>
          </w:tcPr>
          <w:p w14:paraId="5F2D52C9" w14:textId="77777777" w:rsidR="00E836FB" w:rsidRDefault="00E836FB">
            <w:pPr>
              <w:rPr>
                <w:rFonts w:ascii="宋体"/>
                <w:vanish/>
              </w:rPr>
            </w:pPr>
          </w:p>
        </w:tc>
        <w:tc>
          <w:tcPr>
            <w:tcW w:w="0" w:type="auto"/>
            <w:gridSpan w:val="3"/>
            <w:shd w:val="clear" w:color="auto" w:fill="auto"/>
            <w:vAlign w:val="bottom"/>
          </w:tcPr>
          <w:p w14:paraId="5F2D52CA" w14:textId="77777777" w:rsidR="00E836FB" w:rsidRDefault="00E836FB">
            <w:pPr>
              <w:rPr>
                <w:rFonts w:ascii="宋体"/>
                <w:vanish/>
              </w:rPr>
            </w:pPr>
          </w:p>
        </w:tc>
        <w:tc>
          <w:tcPr>
            <w:tcW w:w="0" w:type="auto"/>
            <w:gridSpan w:val="3"/>
            <w:shd w:val="clear" w:color="auto" w:fill="auto"/>
            <w:vAlign w:val="bottom"/>
          </w:tcPr>
          <w:p w14:paraId="5F2D52CB" w14:textId="77777777" w:rsidR="00E836FB" w:rsidRDefault="00E836FB">
            <w:pPr>
              <w:rPr>
                <w:rFonts w:ascii="宋体"/>
                <w:vanish/>
              </w:rPr>
            </w:pPr>
          </w:p>
        </w:tc>
        <w:tc>
          <w:tcPr>
            <w:tcW w:w="0" w:type="auto"/>
            <w:gridSpan w:val="3"/>
            <w:shd w:val="clear" w:color="auto" w:fill="auto"/>
            <w:vAlign w:val="bottom"/>
          </w:tcPr>
          <w:p w14:paraId="5F2D52CC" w14:textId="77777777" w:rsidR="00E836FB" w:rsidRDefault="00E836FB">
            <w:pPr>
              <w:rPr>
                <w:rFonts w:ascii="宋体"/>
                <w:vanish/>
              </w:rPr>
            </w:pPr>
          </w:p>
        </w:tc>
        <w:tc>
          <w:tcPr>
            <w:tcW w:w="0" w:type="auto"/>
            <w:gridSpan w:val="3"/>
            <w:shd w:val="clear" w:color="auto" w:fill="auto"/>
            <w:vAlign w:val="bottom"/>
          </w:tcPr>
          <w:p w14:paraId="5F2D52CD" w14:textId="77777777" w:rsidR="00E836FB" w:rsidRDefault="00E836FB">
            <w:pPr>
              <w:rPr>
                <w:rFonts w:ascii="宋体"/>
                <w:vanish/>
              </w:rPr>
            </w:pPr>
          </w:p>
        </w:tc>
        <w:tc>
          <w:tcPr>
            <w:tcW w:w="0" w:type="auto"/>
            <w:gridSpan w:val="3"/>
            <w:shd w:val="clear" w:color="auto" w:fill="auto"/>
            <w:vAlign w:val="bottom"/>
          </w:tcPr>
          <w:p w14:paraId="5F2D52CE" w14:textId="77777777" w:rsidR="00E836FB" w:rsidRDefault="00E836FB">
            <w:pPr>
              <w:rPr>
                <w:rFonts w:ascii="宋体"/>
                <w:vanish/>
              </w:rPr>
            </w:pPr>
          </w:p>
        </w:tc>
        <w:tc>
          <w:tcPr>
            <w:tcW w:w="0" w:type="auto"/>
            <w:gridSpan w:val="3"/>
            <w:shd w:val="clear" w:color="auto" w:fill="auto"/>
            <w:vAlign w:val="bottom"/>
          </w:tcPr>
          <w:p w14:paraId="5F2D52CF" w14:textId="77777777" w:rsidR="00E836FB" w:rsidRDefault="00E836FB">
            <w:pPr>
              <w:rPr>
                <w:rFonts w:ascii="宋体"/>
                <w:vanish/>
              </w:rPr>
            </w:pPr>
          </w:p>
        </w:tc>
        <w:tc>
          <w:tcPr>
            <w:tcW w:w="0" w:type="auto"/>
            <w:gridSpan w:val="3"/>
            <w:shd w:val="clear" w:color="auto" w:fill="auto"/>
            <w:vAlign w:val="bottom"/>
          </w:tcPr>
          <w:p w14:paraId="5F2D52D0" w14:textId="77777777" w:rsidR="00E836FB" w:rsidRDefault="00E836FB">
            <w:pPr>
              <w:rPr>
                <w:rFonts w:ascii="宋体"/>
                <w:vanish/>
              </w:rPr>
            </w:pPr>
          </w:p>
        </w:tc>
        <w:tc>
          <w:tcPr>
            <w:tcW w:w="0" w:type="auto"/>
            <w:gridSpan w:val="3"/>
            <w:shd w:val="clear" w:color="auto" w:fill="auto"/>
            <w:vAlign w:val="bottom"/>
          </w:tcPr>
          <w:p w14:paraId="5F2D52D1" w14:textId="77777777" w:rsidR="00E836FB" w:rsidRDefault="00E836FB">
            <w:pPr>
              <w:rPr>
                <w:rFonts w:ascii="宋体"/>
                <w:vanish/>
              </w:rPr>
            </w:pPr>
          </w:p>
        </w:tc>
        <w:tc>
          <w:tcPr>
            <w:tcW w:w="0" w:type="auto"/>
            <w:gridSpan w:val="2"/>
            <w:shd w:val="clear" w:color="auto" w:fill="auto"/>
            <w:vAlign w:val="bottom"/>
          </w:tcPr>
          <w:p w14:paraId="5F2D52D2" w14:textId="77777777" w:rsidR="00E836FB" w:rsidRDefault="00E836FB">
            <w:pPr>
              <w:rPr>
                <w:rFonts w:ascii="宋体"/>
                <w:vanish/>
              </w:rPr>
            </w:pPr>
          </w:p>
        </w:tc>
        <w:tc>
          <w:tcPr>
            <w:tcW w:w="0" w:type="auto"/>
            <w:shd w:val="clear" w:color="auto" w:fill="auto"/>
            <w:vAlign w:val="bottom"/>
          </w:tcPr>
          <w:p w14:paraId="5F2D52D3" w14:textId="77777777" w:rsidR="00E836FB" w:rsidRDefault="00E836FB">
            <w:pPr>
              <w:rPr>
                <w:rFonts w:ascii="宋体"/>
                <w:vanish/>
              </w:rPr>
            </w:pPr>
          </w:p>
        </w:tc>
      </w:tr>
      <w:tr w:rsidR="00E836FB" w14:paraId="5F2D52EB" w14:textId="77777777">
        <w:trPr>
          <w:hidden/>
        </w:trPr>
        <w:tc>
          <w:tcPr>
            <w:tcW w:w="0" w:type="auto"/>
            <w:gridSpan w:val="3"/>
            <w:shd w:val="clear" w:color="auto" w:fill="auto"/>
            <w:vAlign w:val="bottom"/>
          </w:tcPr>
          <w:p w14:paraId="5F2D52D5" w14:textId="77777777" w:rsidR="00E836FB" w:rsidRDefault="00E836FB">
            <w:pPr>
              <w:rPr>
                <w:rFonts w:ascii="宋体"/>
                <w:vanish/>
              </w:rPr>
            </w:pPr>
          </w:p>
        </w:tc>
        <w:tc>
          <w:tcPr>
            <w:tcW w:w="0" w:type="auto"/>
            <w:gridSpan w:val="3"/>
            <w:shd w:val="clear" w:color="auto" w:fill="auto"/>
            <w:vAlign w:val="bottom"/>
          </w:tcPr>
          <w:p w14:paraId="5F2D52D6" w14:textId="77777777" w:rsidR="00E836FB" w:rsidRDefault="00E836FB">
            <w:pPr>
              <w:rPr>
                <w:rFonts w:ascii="宋体"/>
                <w:vanish/>
              </w:rPr>
            </w:pPr>
          </w:p>
        </w:tc>
        <w:tc>
          <w:tcPr>
            <w:tcW w:w="0" w:type="auto"/>
            <w:gridSpan w:val="3"/>
            <w:shd w:val="clear" w:color="auto" w:fill="auto"/>
            <w:vAlign w:val="bottom"/>
          </w:tcPr>
          <w:p w14:paraId="5F2D52D7" w14:textId="77777777" w:rsidR="00E836FB" w:rsidRDefault="00E836FB">
            <w:pPr>
              <w:rPr>
                <w:rFonts w:ascii="宋体"/>
                <w:vanish/>
              </w:rPr>
            </w:pPr>
          </w:p>
        </w:tc>
        <w:tc>
          <w:tcPr>
            <w:tcW w:w="0" w:type="auto"/>
            <w:gridSpan w:val="3"/>
            <w:shd w:val="clear" w:color="auto" w:fill="auto"/>
            <w:vAlign w:val="bottom"/>
          </w:tcPr>
          <w:p w14:paraId="5F2D52D8" w14:textId="77777777" w:rsidR="00E836FB" w:rsidRDefault="00E836FB">
            <w:pPr>
              <w:rPr>
                <w:rFonts w:ascii="宋体"/>
                <w:vanish/>
              </w:rPr>
            </w:pPr>
          </w:p>
        </w:tc>
        <w:tc>
          <w:tcPr>
            <w:tcW w:w="0" w:type="auto"/>
            <w:gridSpan w:val="3"/>
            <w:shd w:val="clear" w:color="auto" w:fill="auto"/>
            <w:vAlign w:val="bottom"/>
          </w:tcPr>
          <w:p w14:paraId="5F2D52D9" w14:textId="77777777" w:rsidR="00E836FB" w:rsidRDefault="00E836FB">
            <w:pPr>
              <w:rPr>
                <w:rFonts w:ascii="宋体"/>
                <w:vanish/>
              </w:rPr>
            </w:pPr>
          </w:p>
        </w:tc>
        <w:tc>
          <w:tcPr>
            <w:tcW w:w="0" w:type="auto"/>
            <w:gridSpan w:val="3"/>
            <w:shd w:val="clear" w:color="auto" w:fill="auto"/>
            <w:vAlign w:val="bottom"/>
          </w:tcPr>
          <w:p w14:paraId="5F2D52DA" w14:textId="77777777" w:rsidR="00E836FB" w:rsidRDefault="00E836FB">
            <w:pPr>
              <w:rPr>
                <w:rFonts w:ascii="宋体"/>
                <w:vanish/>
              </w:rPr>
            </w:pPr>
          </w:p>
        </w:tc>
        <w:tc>
          <w:tcPr>
            <w:tcW w:w="0" w:type="auto"/>
            <w:gridSpan w:val="3"/>
            <w:shd w:val="clear" w:color="auto" w:fill="auto"/>
            <w:vAlign w:val="bottom"/>
          </w:tcPr>
          <w:p w14:paraId="5F2D52DB" w14:textId="77777777" w:rsidR="00E836FB" w:rsidRDefault="00E836FB">
            <w:pPr>
              <w:rPr>
                <w:rFonts w:ascii="宋体"/>
                <w:vanish/>
              </w:rPr>
            </w:pPr>
          </w:p>
        </w:tc>
        <w:tc>
          <w:tcPr>
            <w:tcW w:w="0" w:type="auto"/>
            <w:gridSpan w:val="3"/>
            <w:shd w:val="clear" w:color="auto" w:fill="auto"/>
            <w:vAlign w:val="bottom"/>
          </w:tcPr>
          <w:p w14:paraId="5F2D52DC" w14:textId="77777777" w:rsidR="00E836FB" w:rsidRDefault="00E836FB">
            <w:pPr>
              <w:rPr>
                <w:rFonts w:ascii="宋体"/>
                <w:vanish/>
              </w:rPr>
            </w:pPr>
          </w:p>
        </w:tc>
        <w:tc>
          <w:tcPr>
            <w:tcW w:w="0" w:type="auto"/>
            <w:gridSpan w:val="3"/>
            <w:shd w:val="clear" w:color="auto" w:fill="auto"/>
            <w:vAlign w:val="bottom"/>
          </w:tcPr>
          <w:p w14:paraId="5F2D52DD" w14:textId="77777777" w:rsidR="00E836FB" w:rsidRDefault="00E836FB">
            <w:pPr>
              <w:rPr>
                <w:rFonts w:ascii="宋体"/>
                <w:vanish/>
              </w:rPr>
            </w:pPr>
          </w:p>
        </w:tc>
        <w:tc>
          <w:tcPr>
            <w:tcW w:w="0" w:type="auto"/>
            <w:gridSpan w:val="3"/>
            <w:shd w:val="clear" w:color="auto" w:fill="auto"/>
            <w:vAlign w:val="bottom"/>
          </w:tcPr>
          <w:p w14:paraId="5F2D52DE" w14:textId="77777777" w:rsidR="00E836FB" w:rsidRDefault="00E836FB">
            <w:pPr>
              <w:rPr>
                <w:rFonts w:ascii="宋体"/>
                <w:vanish/>
              </w:rPr>
            </w:pPr>
          </w:p>
        </w:tc>
        <w:tc>
          <w:tcPr>
            <w:tcW w:w="0" w:type="auto"/>
            <w:gridSpan w:val="3"/>
            <w:shd w:val="clear" w:color="auto" w:fill="auto"/>
            <w:vAlign w:val="bottom"/>
          </w:tcPr>
          <w:p w14:paraId="5F2D52DF" w14:textId="77777777" w:rsidR="00E836FB" w:rsidRDefault="00E836FB">
            <w:pPr>
              <w:rPr>
                <w:rFonts w:ascii="宋体"/>
                <w:vanish/>
              </w:rPr>
            </w:pPr>
          </w:p>
        </w:tc>
        <w:tc>
          <w:tcPr>
            <w:tcW w:w="0" w:type="auto"/>
            <w:gridSpan w:val="3"/>
            <w:shd w:val="clear" w:color="auto" w:fill="auto"/>
            <w:vAlign w:val="bottom"/>
          </w:tcPr>
          <w:p w14:paraId="5F2D52E0" w14:textId="77777777" w:rsidR="00E836FB" w:rsidRDefault="00E836FB">
            <w:pPr>
              <w:rPr>
                <w:rFonts w:ascii="宋体"/>
                <w:vanish/>
              </w:rPr>
            </w:pPr>
          </w:p>
        </w:tc>
        <w:tc>
          <w:tcPr>
            <w:tcW w:w="0" w:type="auto"/>
            <w:gridSpan w:val="3"/>
            <w:shd w:val="clear" w:color="auto" w:fill="auto"/>
            <w:vAlign w:val="bottom"/>
          </w:tcPr>
          <w:p w14:paraId="5F2D52E1" w14:textId="77777777" w:rsidR="00E836FB" w:rsidRDefault="00E836FB">
            <w:pPr>
              <w:rPr>
                <w:rFonts w:ascii="宋体"/>
                <w:vanish/>
              </w:rPr>
            </w:pPr>
          </w:p>
        </w:tc>
        <w:tc>
          <w:tcPr>
            <w:tcW w:w="0" w:type="auto"/>
            <w:gridSpan w:val="3"/>
            <w:shd w:val="clear" w:color="auto" w:fill="auto"/>
            <w:vAlign w:val="bottom"/>
          </w:tcPr>
          <w:p w14:paraId="5F2D52E2" w14:textId="77777777" w:rsidR="00E836FB" w:rsidRDefault="00E836FB">
            <w:pPr>
              <w:rPr>
                <w:rFonts w:ascii="宋体"/>
                <w:vanish/>
              </w:rPr>
            </w:pPr>
          </w:p>
        </w:tc>
        <w:tc>
          <w:tcPr>
            <w:tcW w:w="0" w:type="auto"/>
            <w:gridSpan w:val="3"/>
            <w:shd w:val="clear" w:color="auto" w:fill="auto"/>
            <w:vAlign w:val="bottom"/>
          </w:tcPr>
          <w:p w14:paraId="5F2D52E3" w14:textId="77777777" w:rsidR="00E836FB" w:rsidRDefault="00E836FB">
            <w:pPr>
              <w:rPr>
                <w:rFonts w:ascii="宋体"/>
                <w:vanish/>
              </w:rPr>
            </w:pPr>
          </w:p>
        </w:tc>
        <w:tc>
          <w:tcPr>
            <w:tcW w:w="0" w:type="auto"/>
            <w:gridSpan w:val="3"/>
            <w:shd w:val="clear" w:color="auto" w:fill="auto"/>
            <w:vAlign w:val="bottom"/>
          </w:tcPr>
          <w:p w14:paraId="5F2D52E4" w14:textId="77777777" w:rsidR="00E836FB" w:rsidRDefault="00E836FB">
            <w:pPr>
              <w:rPr>
                <w:rFonts w:ascii="宋体"/>
                <w:vanish/>
              </w:rPr>
            </w:pPr>
          </w:p>
        </w:tc>
        <w:tc>
          <w:tcPr>
            <w:tcW w:w="0" w:type="auto"/>
            <w:gridSpan w:val="3"/>
            <w:shd w:val="clear" w:color="auto" w:fill="auto"/>
            <w:vAlign w:val="bottom"/>
          </w:tcPr>
          <w:p w14:paraId="5F2D52E5" w14:textId="77777777" w:rsidR="00E836FB" w:rsidRDefault="00E836FB">
            <w:pPr>
              <w:rPr>
                <w:rFonts w:ascii="宋体"/>
                <w:vanish/>
              </w:rPr>
            </w:pPr>
          </w:p>
        </w:tc>
        <w:tc>
          <w:tcPr>
            <w:tcW w:w="0" w:type="auto"/>
            <w:gridSpan w:val="3"/>
            <w:shd w:val="clear" w:color="auto" w:fill="auto"/>
            <w:vAlign w:val="bottom"/>
          </w:tcPr>
          <w:p w14:paraId="5F2D52E6" w14:textId="77777777" w:rsidR="00E836FB" w:rsidRDefault="00E836FB">
            <w:pPr>
              <w:rPr>
                <w:rFonts w:ascii="宋体"/>
                <w:vanish/>
              </w:rPr>
            </w:pPr>
          </w:p>
        </w:tc>
        <w:tc>
          <w:tcPr>
            <w:tcW w:w="0" w:type="auto"/>
            <w:gridSpan w:val="3"/>
            <w:shd w:val="clear" w:color="auto" w:fill="auto"/>
            <w:vAlign w:val="bottom"/>
          </w:tcPr>
          <w:p w14:paraId="5F2D52E7" w14:textId="77777777" w:rsidR="00E836FB" w:rsidRDefault="00E836FB">
            <w:pPr>
              <w:rPr>
                <w:rFonts w:ascii="宋体"/>
                <w:vanish/>
              </w:rPr>
            </w:pPr>
          </w:p>
        </w:tc>
        <w:tc>
          <w:tcPr>
            <w:tcW w:w="0" w:type="auto"/>
            <w:gridSpan w:val="3"/>
            <w:shd w:val="clear" w:color="auto" w:fill="auto"/>
            <w:vAlign w:val="bottom"/>
          </w:tcPr>
          <w:p w14:paraId="5F2D52E8" w14:textId="77777777" w:rsidR="00E836FB" w:rsidRDefault="00E836FB">
            <w:pPr>
              <w:rPr>
                <w:rFonts w:ascii="宋体"/>
                <w:vanish/>
              </w:rPr>
            </w:pPr>
          </w:p>
        </w:tc>
        <w:tc>
          <w:tcPr>
            <w:tcW w:w="0" w:type="auto"/>
            <w:gridSpan w:val="2"/>
            <w:shd w:val="clear" w:color="auto" w:fill="auto"/>
            <w:vAlign w:val="bottom"/>
          </w:tcPr>
          <w:p w14:paraId="5F2D52E9" w14:textId="77777777" w:rsidR="00E836FB" w:rsidRDefault="00E836FB">
            <w:pPr>
              <w:rPr>
                <w:rFonts w:ascii="宋体"/>
                <w:vanish/>
              </w:rPr>
            </w:pPr>
          </w:p>
        </w:tc>
        <w:tc>
          <w:tcPr>
            <w:tcW w:w="0" w:type="auto"/>
            <w:shd w:val="clear" w:color="auto" w:fill="auto"/>
            <w:vAlign w:val="bottom"/>
          </w:tcPr>
          <w:p w14:paraId="5F2D52EA" w14:textId="77777777" w:rsidR="00E836FB" w:rsidRDefault="00E836FB">
            <w:pPr>
              <w:rPr>
                <w:rFonts w:ascii="宋体"/>
                <w:vanish/>
              </w:rPr>
            </w:pPr>
          </w:p>
        </w:tc>
      </w:tr>
      <w:tr w:rsidR="00E836FB" w14:paraId="5F2D5302" w14:textId="77777777">
        <w:trPr>
          <w:hidden/>
        </w:trPr>
        <w:tc>
          <w:tcPr>
            <w:tcW w:w="0" w:type="auto"/>
            <w:gridSpan w:val="3"/>
            <w:shd w:val="clear" w:color="auto" w:fill="auto"/>
            <w:vAlign w:val="bottom"/>
          </w:tcPr>
          <w:p w14:paraId="5F2D52EC" w14:textId="77777777" w:rsidR="00E836FB" w:rsidRDefault="00E836FB">
            <w:pPr>
              <w:rPr>
                <w:rFonts w:ascii="宋体"/>
                <w:vanish/>
              </w:rPr>
            </w:pPr>
          </w:p>
        </w:tc>
        <w:tc>
          <w:tcPr>
            <w:tcW w:w="0" w:type="auto"/>
            <w:gridSpan w:val="3"/>
            <w:shd w:val="clear" w:color="auto" w:fill="auto"/>
            <w:vAlign w:val="bottom"/>
          </w:tcPr>
          <w:p w14:paraId="5F2D52ED" w14:textId="77777777" w:rsidR="00E836FB" w:rsidRDefault="00E836FB">
            <w:pPr>
              <w:rPr>
                <w:rFonts w:ascii="宋体"/>
                <w:vanish/>
              </w:rPr>
            </w:pPr>
          </w:p>
        </w:tc>
        <w:tc>
          <w:tcPr>
            <w:tcW w:w="0" w:type="auto"/>
            <w:gridSpan w:val="3"/>
            <w:shd w:val="clear" w:color="auto" w:fill="auto"/>
            <w:vAlign w:val="bottom"/>
          </w:tcPr>
          <w:p w14:paraId="5F2D52EE" w14:textId="77777777" w:rsidR="00E836FB" w:rsidRDefault="00E836FB">
            <w:pPr>
              <w:rPr>
                <w:rFonts w:ascii="宋体"/>
                <w:vanish/>
              </w:rPr>
            </w:pPr>
          </w:p>
        </w:tc>
        <w:tc>
          <w:tcPr>
            <w:tcW w:w="0" w:type="auto"/>
            <w:gridSpan w:val="3"/>
            <w:shd w:val="clear" w:color="auto" w:fill="auto"/>
            <w:vAlign w:val="bottom"/>
          </w:tcPr>
          <w:p w14:paraId="5F2D52EF" w14:textId="77777777" w:rsidR="00E836FB" w:rsidRDefault="00E836FB">
            <w:pPr>
              <w:rPr>
                <w:rFonts w:ascii="宋体"/>
                <w:vanish/>
              </w:rPr>
            </w:pPr>
          </w:p>
        </w:tc>
        <w:tc>
          <w:tcPr>
            <w:tcW w:w="0" w:type="auto"/>
            <w:gridSpan w:val="3"/>
            <w:shd w:val="clear" w:color="auto" w:fill="auto"/>
            <w:vAlign w:val="bottom"/>
          </w:tcPr>
          <w:p w14:paraId="5F2D52F0" w14:textId="77777777" w:rsidR="00E836FB" w:rsidRDefault="00E836FB">
            <w:pPr>
              <w:rPr>
                <w:rFonts w:ascii="宋体"/>
                <w:vanish/>
              </w:rPr>
            </w:pPr>
          </w:p>
        </w:tc>
        <w:tc>
          <w:tcPr>
            <w:tcW w:w="0" w:type="auto"/>
            <w:gridSpan w:val="3"/>
            <w:shd w:val="clear" w:color="auto" w:fill="auto"/>
            <w:vAlign w:val="bottom"/>
          </w:tcPr>
          <w:p w14:paraId="5F2D52F1" w14:textId="77777777" w:rsidR="00E836FB" w:rsidRDefault="00E836FB">
            <w:pPr>
              <w:rPr>
                <w:rFonts w:ascii="宋体"/>
                <w:vanish/>
              </w:rPr>
            </w:pPr>
          </w:p>
        </w:tc>
        <w:tc>
          <w:tcPr>
            <w:tcW w:w="0" w:type="auto"/>
            <w:gridSpan w:val="3"/>
            <w:shd w:val="clear" w:color="auto" w:fill="auto"/>
            <w:vAlign w:val="bottom"/>
          </w:tcPr>
          <w:p w14:paraId="5F2D52F2" w14:textId="77777777" w:rsidR="00E836FB" w:rsidRDefault="00E836FB">
            <w:pPr>
              <w:rPr>
                <w:rFonts w:ascii="宋体"/>
                <w:vanish/>
              </w:rPr>
            </w:pPr>
          </w:p>
        </w:tc>
        <w:tc>
          <w:tcPr>
            <w:tcW w:w="0" w:type="auto"/>
            <w:gridSpan w:val="3"/>
            <w:shd w:val="clear" w:color="auto" w:fill="auto"/>
            <w:vAlign w:val="bottom"/>
          </w:tcPr>
          <w:p w14:paraId="5F2D52F3" w14:textId="77777777" w:rsidR="00E836FB" w:rsidRDefault="00E836FB">
            <w:pPr>
              <w:rPr>
                <w:rFonts w:ascii="宋体"/>
                <w:vanish/>
              </w:rPr>
            </w:pPr>
          </w:p>
        </w:tc>
        <w:tc>
          <w:tcPr>
            <w:tcW w:w="0" w:type="auto"/>
            <w:gridSpan w:val="3"/>
            <w:shd w:val="clear" w:color="auto" w:fill="auto"/>
            <w:vAlign w:val="bottom"/>
          </w:tcPr>
          <w:p w14:paraId="5F2D52F4" w14:textId="77777777" w:rsidR="00E836FB" w:rsidRDefault="00E836FB">
            <w:pPr>
              <w:rPr>
                <w:rFonts w:ascii="宋体"/>
                <w:vanish/>
              </w:rPr>
            </w:pPr>
          </w:p>
        </w:tc>
        <w:tc>
          <w:tcPr>
            <w:tcW w:w="0" w:type="auto"/>
            <w:gridSpan w:val="3"/>
            <w:shd w:val="clear" w:color="auto" w:fill="auto"/>
            <w:vAlign w:val="bottom"/>
          </w:tcPr>
          <w:p w14:paraId="5F2D52F5" w14:textId="77777777" w:rsidR="00E836FB" w:rsidRDefault="00E836FB">
            <w:pPr>
              <w:rPr>
                <w:rFonts w:ascii="宋体"/>
                <w:vanish/>
              </w:rPr>
            </w:pPr>
          </w:p>
        </w:tc>
        <w:tc>
          <w:tcPr>
            <w:tcW w:w="0" w:type="auto"/>
            <w:gridSpan w:val="3"/>
            <w:shd w:val="clear" w:color="auto" w:fill="auto"/>
            <w:vAlign w:val="bottom"/>
          </w:tcPr>
          <w:p w14:paraId="5F2D52F6" w14:textId="77777777" w:rsidR="00E836FB" w:rsidRDefault="00E836FB">
            <w:pPr>
              <w:rPr>
                <w:rFonts w:ascii="宋体"/>
                <w:vanish/>
              </w:rPr>
            </w:pPr>
          </w:p>
        </w:tc>
        <w:tc>
          <w:tcPr>
            <w:tcW w:w="0" w:type="auto"/>
            <w:gridSpan w:val="3"/>
            <w:shd w:val="clear" w:color="auto" w:fill="auto"/>
            <w:vAlign w:val="bottom"/>
          </w:tcPr>
          <w:p w14:paraId="5F2D52F7" w14:textId="77777777" w:rsidR="00E836FB" w:rsidRDefault="00E836FB">
            <w:pPr>
              <w:rPr>
                <w:rFonts w:ascii="宋体"/>
                <w:vanish/>
              </w:rPr>
            </w:pPr>
          </w:p>
        </w:tc>
        <w:tc>
          <w:tcPr>
            <w:tcW w:w="0" w:type="auto"/>
            <w:gridSpan w:val="3"/>
            <w:shd w:val="clear" w:color="auto" w:fill="auto"/>
            <w:vAlign w:val="bottom"/>
          </w:tcPr>
          <w:p w14:paraId="5F2D52F8" w14:textId="77777777" w:rsidR="00E836FB" w:rsidRDefault="00E836FB">
            <w:pPr>
              <w:rPr>
                <w:rFonts w:ascii="宋体"/>
                <w:vanish/>
              </w:rPr>
            </w:pPr>
          </w:p>
        </w:tc>
        <w:tc>
          <w:tcPr>
            <w:tcW w:w="0" w:type="auto"/>
            <w:gridSpan w:val="3"/>
            <w:shd w:val="clear" w:color="auto" w:fill="auto"/>
            <w:vAlign w:val="bottom"/>
          </w:tcPr>
          <w:p w14:paraId="5F2D52F9" w14:textId="77777777" w:rsidR="00E836FB" w:rsidRDefault="00E836FB">
            <w:pPr>
              <w:rPr>
                <w:rFonts w:ascii="宋体"/>
                <w:vanish/>
              </w:rPr>
            </w:pPr>
          </w:p>
        </w:tc>
        <w:tc>
          <w:tcPr>
            <w:tcW w:w="0" w:type="auto"/>
            <w:gridSpan w:val="3"/>
            <w:shd w:val="clear" w:color="auto" w:fill="auto"/>
            <w:vAlign w:val="bottom"/>
          </w:tcPr>
          <w:p w14:paraId="5F2D52FA" w14:textId="77777777" w:rsidR="00E836FB" w:rsidRDefault="00E836FB">
            <w:pPr>
              <w:rPr>
                <w:rFonts w:ascii="宋体"/>
                <w:vanish/>
              </w:rPr>
            </w:pPr>
          </w:p>
        </w:tc>
        <w:tc>
          <w:tcPr>
            <w:tcW w:w="0" w:type="auto"/>
            <w:gridSpan w:val="3"/>
            <w:shd w:val="clear" w:color="auto" w:fill="auto"/>
            <w:vAlign w:val="bottom"/>
          </w:tcPr>
          <w:p w14:paraId="5F2D52FB" w14:textId="77777777" w:rsidR="00E836FB" w:rsidRDefault="00E836FB">
            <w:pPr>
              <w:rPr>
                <w:rFonts w:ascii="宋体"/>
                <w:vanish/>
              </w:rPr>
            </w:pPr>
          </w:p>
        </w:tc>
        <w:tc>
          <w:tcPr>
            <w:tcW w:w="0" w:type="auto"/>
            <w:gridSpan w:val="3"/>
            <w:shd w:val="clear" w:color="auto" w:fill="auto"/>
            <w:vAlign w:val="bottom"/>
          </w:tcPr>
          <w:p w14:paraId="5F2D52FC" w14:textId="77777777" w:rsidR="00E836FB" w:rsidRDefault="00E836FB">
            <w:pPr>
              <w:rPr>
                <w:rFonts w:ascii="宋体"/>
                <w:vanish/>
              </w:rPr>
            </w:pPr>
          </w:p>
        </w:tc>
        <w:tc>
          <w:tcPr>
            <w:tcW w:w="0" w:type="auto"/>
            <w:gridSpan w:val="3"/>
            <w:shd w:val="clear" w:color="auto" w:fill="auto"/>
            <w:vAlign w:val="bottom"/>
          </w:tcPr>
          <w:p w14:paraId="5F2D52FD" w14:textId="77777777" w:rsidR="00E836FB" w:rsidRDefault="00E836FB">
            <w:pPr>
              <w:rPr>
                <w:rFonts w:ascii="宋体"/>
                <w:vanish/>
              </w:rPr>
            </w:pPr>
          </w:p>
        </w:tc>
        <w:tc>
          <w:tcPr>
            <w:tcW w:w="0" w:type="auto"/>
            <w:gridSpan w:val="3"/>
            <w:shd w:val="clear" w:color="auto" w:fill="auto"/>
            <w:vAlign w:val="bottom"/>
          </w:tcPr>
          <w:p w14:paraId="5F2D52FE" w14:textId="77777777" w:rsidR="00E836FB" w:rsidRDefault="00E836FB">
            <w:pPr>
              <w:rPr>
                <w:rFonts w:ascii="宋体"/>
                <w:vanish/>
              </w:rPr>
            </w:pPr>
          </w:p>
        </w:tc>
        <w:tc>
          <w:tcPr>
            <w:tcW w:w="0" w:type="auto"/>
            <w:gridSpan w:val="3"/>
            <w:shd w:val="clear" w:color="auto" w:fill="auto"/>
            <w:vAlign w:val="bottom"/>
          </w:tcPr>
          <w:p w14:paraId="5F2D52FF" w14:textId="77777777" w:rsidR="00E836FB" w:rsidRDefault="00E836FB">
            <w:pPr>
              <w:rPr>
                <w:rFonts w:ascii="宋体"/>
                <w:vanish/>
              </w:rPr>
            </w:pPr>
          </w:p>
        </w:tc>
        <w:tc>
          <w:tcPr>
            <w:tcW w:w="0" w:type="auto"/>
            <w:gridSpan w:val="2"/>
            <w:shd w:val="clear" w:color="auto" w:fill="auto"/>
            <w:vAlign w:val="bottom"/>
          </w:tcPr>
          <w:p w14:paraId="5F2D5300" w14:textId="77777777" w:rsidR="00E836FB" w:rsidRDefault="00E836FB">
            <w:pPr>
              <w:rPr>
                <w:rFonts w:ascii="宋体"/>
                <w:vanish/>
              </w:rPr>
            </w:pPr>
          </w:p>
        </w:tc>
        <w:tc>
          <w:tcPr>
            <w:tcW w:w="0" w:type="auto"/>
            <w:shd w:val="clear" w:color="auto" w:fill="auto"/>
            <w:vAlign w:val="bottom"/>
          </w:tcPr>
          <w:p w14:paraId="5F2D5301" w14:textId="77777777" w:rsidR="00E836FB" w:rsidRDefault="00E836FB">
            <w:pPr>
              <w:rPr>
                <w:rFonts w:ascii="宋体"/>
                <w:vanish/>
              </w:rPr>
            </w:pPr>
          </w:p>
        </w:tc>
      </w:tr>
      <w:tr w:rsidR="00E836FB" w14:paraId="5F2D5319" w14:textId="77777777">
        <w:trPr>
          <w:hidden/>
        </w:trPr>
        <w:tc>
          <w:tcPr>
            <w:tcW w:w="0" w:type="auto"/>
            <w:gridSpan w:val="3"/>
            <w:shd w:val="clear" w:color="auto" w:fill="auto"/>
            <w:vAlign w:val="bottom"/>
          </w:tcPr>
          <w:p w14:paraId="5F2D5303" w14:textId="77777777" w:rsidR="00E836FB" w:rsidRDefault="00E836FB">
            <w:pPr>
              <w:rPr>
                <w:rFonts w:ascii="宋体"/>
                <w:vanish/>
              </w:rPr>
            </w:pPr>
          </w:p>
        </w:tc>
        <w:tc>
          <w:tcPr>
            <w:tcW w:w="0" w:type="auto"/>
            <w:gridSpan w:val="3"/>
            <w:shd w:val="clear" w:color="auto" w:fill="auto"/>
            <w:vAlign w:val="bottom"/>
          </w:tcPr>
          <w:p w14:paraId="5F2D5304" w14:textId="77777777" w:rsidR="00E836FB" w:rsidRDefault="00E836FB">
            <w:pPr>
              <w:rPr>
                <w:rFonts w:ascii="宋体"/>
                <w:vanish/>
              </w:rPr>
            </w:pPr>
          </w:p>
        </w:tc>
        <w:tc>
          <w:tcPr>
            <w:tcW w:w="0" w:type="auto"/>
            <w:gridSpan w:val="3"/>
            <w:shd w:val="clear" w:color="auto" w:fill="auto"/>
            <w:vAlign w:val="bottom"/>
          </w:tcPr>
          <w:p w14:paraId="5F2D5305" w14:textId="77777777" w:rsidR="00E836FB" w:rsidRDefault="00E836FB">
            <w:pPr>
              <w:rPr>
                <w:rFonts w:ascii="宋体"/>
                <w:vanish/>
              </w:rPr>
            </w:pPr>
          </w:p>
        </w:tc>
        <w:tc>
          <w:tcPr>
            <w:tcW w:w="0" w:type="auto"/>
            <w:gridSpan w:val="3"/>
            <w:shd w:val="clear" w:color="auto" w:fill="auto"/>
            <w:vAlign w:val="bottom"/>
          </w:tcPr>
          <w:p w14:paraId="5F2D5306" w14:textId="77777777" w:rsidR="00E836FB" w:rsidRDefault="00E836FB">
            <w:pPr>
              <w:rPr>
                <w:rFonts w:ascii="宋体"/>
                <w:vanish/>
              </w:rPr>
            </w:pPr>
          </w:p>
        </w:tc>
        <w:tc>
          <w:tcPr>
            <w:tcW w:w="0" w:type="auto"/>
            <w:gridSpan w:val="3"/>
            <w:shd w:val="clear" w:color="auto" w:fill="auto"/>
            <w:vAlign w:val="bottom"/>
          </w:tcPr>
          <w:p w14:paraId="5F2D5307" w14:textId="77777777" w:rsidR="00E836FB" w:rsidRDefault="00E836FB">
            <w:pPr>
              <w:rPr>
                <w:rFonts w:ascii="宋体"/>
                <w:vanish/>
              </w:rPr>
            </w:pPr>
          </w:p>
        </w:tc>
        <w:tc>
          <w:tcPr>
            <w:tcW w:w="0" w:type="auto"/>
            <w:gridSpan w:val="3"/>
            <w:shd w:val="clear" w:color="auto" w:fill="auto"/>
            <w:vAlign w:val="bottom"/>
          </w:tcPr>
          <w:p w14:paraId="5F2D5308" w14:textId="77777777" w:rsidR="00E836FB" w:rsidRDefault="00E836FB">
            <w:pPr>
              <w:rPr>
                <w:rFonts w:ascii="宋体"/>
                <w:vanish/>
              </w:rPr>
            </w:pPr>
          </w:p>
        </w:tc>
        <w:tc>
          <w:tcPr>
            <w:tcW w:w="0" w:type="auto"/>
            <w:gridSpan w:val="3"/>
            <w:shd w:val="clear" w:color="auto" w:fill="auto"/>
            <w:vAlign w:val="bottom"/>
          </w:tcPr>
          <w:p w14:paraId="5F2D5309" w14:textId="77777777" w:rsidR="00E836FB" w:rsidRDefault="00E836FB">
            <w:pPr>
              <w:rPr>
                <w:rFonts w:ascii="宋体"/>
                <w:vanish/>
              </w:rPr>
            </w:pPr>
          </w:p>
        </w:tc>
        <w:tc>
          <w:tcPr>
            <w:tcW w:w="0" w:type="auto"/>
            <w:gridSpan w:val="3"/>
            <w:shd w:val="clear" w:color="auto" w:fill="auto"/>
            <w:vAlign w:val="bottom"/>
          </w:tcPr>
          <w:p w14:paraId="5F2D530A" w14:textId="77777777" w:rsidR="00E836FB" w:rsidRDefault="00E836FB">
            <w:pPr>
              <w:rPr>
                <w:rFonts w:ascii="宋体"/>
                <w:vanish/>
              </w:rPr>
            </w:pPr>
          </w:p>
        </w:tc>
        <w:tc>
          <w:tcPr>
            <w:tcW w:w="0" w:type="auto"/>
            <w:gridSpan w:val="3"/>
            <w:shd w:val="clear" w:color="auto" w:fill="auto"/>
            <w:vAlign w:val="bottom"/>
          </w:tcPr>
          <w:p w14:paraId="5F2D530B" w14:textId="77777777" w:rsidR="00E836FB" w:rsidRDefault="00E836FB">
            <w:pPr>
              <w:rPr>
                <w:rFonts w:ascii="宋体"/>
                <w:vanish/>
              </w:rPr>
            </w:pPr>
          </w:p>
        </w:tc>
        <w:tc>
          <w:tcPr>
            <w:tcW w:w="0" w:type="auto"/>
            <w:gridSpan w:val="3"/>
            <w:shd w:val="clear" w:color="auto" w:fill="auto"/>
            <w:vAlign w:val="bottom"/>
          </w:tcPr>
          <w:p w14:paraId="5F2D530C" w14:textId="77777777" w:rsidR="00E836FB" w:rsidRDefault="00E836FB">
            <w:pPr>
              <w:rPr>
                <w:rFonts w:ascii="宋体"/>
                <w:vanish/>
              </w:rPr>
            </w:pPr>
          </w:p>
        </w:tc>
        <w:tc>
          <w:tcPr>
            <w:tcW w:w="0" w:type="auto"/>
            <w:gridSpan w:val="3"/>
            <w:shd w:val="clear" w:color="auto" w:fill="auto"/>
            <w:vAlign w:val="bottom"/>
          </w:tcPr>
          <w:p w14:paraId="5F2D530D" w14:textId="77777777" w:rsidR="00E836FB" w:rsidRDefault="00E836FB">
            <w:pPr>
              <w:rPr>
                <w:rFonts w:ascii="宋体"/>
                <w:vanish/>
              </w:rPr>
            </w:pPr>
          </w:p>
        </w:tc>
        <w:tc>
          <w:tcPr>
            <w:tcW w:w="0" w:type="auto"/>
            <w:gridSpan w:val="3"/>
            <w:shd w:val="clear" w:color="auto" w:fill="auto"/>
            <w:vAlign w:val="bottom"/>
          </w:tcPr>
          <w:p w14:paraId="5F2D530E" w14:textId="77777777" w:rsidR="00E836FB" w:rsidRDefault="00E836FB">
            <w:pPr>
              <w:rPr>
                <w:rFonts w:ascii="宋体"/>
                <w:vanish/>
              </w:rPr>
            </w:pPr>
          </w:p>
        </w:tc>
        <w:tc>
          <w:tcPr>
            <w:tcW w:w="0" w:type="auto"/>
            <w:gridSpan w:val="3"/>
            <w:shd w:val="clear" w:color="auto" w:fill="auto"/>
            <w:vAlign w:val="bottom"/>
          </w:tcPr>
          <w:p w14:paraId="5F2D530F" w14:textId="77777777" w:rsidR="00E836FB" w:rsidRDefault="00E836FB">
            <w:pPr>
              <w:rPr>
                <w:rFonts w:ascii="宋体"/>
                <w:vanish/>
              </w:rPr>
            </w:pPr>
          </w:p>
        </w:tc>
        <w:tc>
          <w:tcPr>
            <w:tcW w:w="0" w:type="auto"/>
            <w:gridSpan w:val="3"/>
            <w:shd w:val="clear" w:color="auto" w:fill="auto"/>
            <w:vAlign w:val="bottom"/>
          </w:tcPr>
          <w:p w14:paraId="5F2D5310" w14:textId="77777777" w:rsidR="00E836FB" w:rsidRDefault="00E836FB">
            <w:pPr>
              <w:rPr>
                <w:rFonts w:ascii="宋体"/>
                <w:vanish/>
              </w:rPr>
            </w:pPr>
          </w:p>
        </w:tc>
        <w:tc>
          <w:tcPr>
            <w:tcW w:w="0" w:type="auto"/>
            <w:gridSpan w:val="3"/>
            <w:shd w:val="clear" w:color="auto" w:fill="auto"/>
            <w:vAlign w:val="bottom"/>
          </w:tcPr>
          <w:p w14:paraId="5F2D5311" w14:textId="77777777" w:rsidR="00E836FB" w:rsidRDefault="00E836FB">
            <w:pPr>
              <w:rPr>
                <w:rFonts w:ascii="宋体"/>
                <w:vanish/>
              </w:rPr>
            </w:pPr>
          </w:p>
        </w:tc>
        <w:tc>
          <w:tcPr>
            <w:tcW w:w="0" w:type="auto"/>
            <w:gridSpan w:val="3"/>
            <w:shd w:val="clear" w:color="auto" w:fill="auto"/>
            <w:vAlign w:val="bottom"/>
          </w:tcPr>
          <w:p w14:paraId="5F2D5312" w14:textId="77777777" w:rsidR="00E836FB" w:rsidRDefault="00E836FB">
            <w:pPr>
              <w:rPr>
                <w:rFonts w:ascii="宋体"/>
                <w:vanish/>
              </w:rPr>
            </w:pPr>
          </w:p>
        </w:tc>
        <w:tc>
          <w:tcPr>
            <w:tcW w:w="0" w:type="auto"/>
            <w:gridSpan w:val="3"/>
            <w:shd w:val="clear" w:color="auto" w:fill="auto"/>
            <w:vAlign w:val="bottom"/>
          </w:tcPr>
          <w:p w14:paraId="5F2D5313" w14:textId="77777777" w:rsidR="00E836FB" w:rsidRDefault="00E836FB">
            <w:pPr>
              <w:rPr>
                <w:rFonts w:ascii="宋体"/>
                <w:vanish/>
              </w:rPr>
            </w:pPr>
          </w:p>
        </w:tc>
        <w:tc>
          <w:tcPr>
            <w:tcW w:w="0" w:type="auto"/>
            <w:gridSpan w:val="3"/>
            <w:shd w:val="clear" w:color="auto" w:fill="auto"/>
            <w:vAlign w:val="bottom"/>
          </w:tcPr>
          <w:p w14:paraId="5F2D5314" w14:textId="77777777" w:rsidR="00E836FB" w:rsidRDefault="00E836FB">
            <w:pPr>
              <w:rPr>
                <w:rFonts w:ascii="宋体"/>
                <w:vanish/>
              </w:rPr>
            </w:pPr>
          </w:p>
        </w:tc>
        <w:tc>
          <w:tcPr>
            <w:tcW w:w="0" w:type="auto"/>
            <w:gridSpan w:val="3"/>
            <w:shd w:val="clear" w:color="auto" w:fill="auto"/>
            <w:vAlign w:val="bottom"/>
          </w:tcPr>
          <w:p w14:paraId="5F2D5315" w14:textId="77777777" w:rsidR="00E836FB" w:rsidRDefault="00E836FB">
            <w:pPr>
              <w:rPr>
                <w:rFonts w:ascii="宋体"/>
                <w:vanish/>
              </w:rPr>
            </w:pPr>
          </w:p>
        </w:tc>
        <w:tc>
          <w:tcPr>
            <w:tcW w:w="0" w:type="auto"/>
            <w:gridSpan w:val="3"/>
            <w:shd w:val="clear" w:color="auto" w:fill="auto"/>
            <w:vAlign w:val="bottom"/>
          </w:tcPr>
          <w:p w14:paraId="5F2D5316" w14:textId="77777777" w:rsidR="00E836FB" w:rsidRDefault="00E836FB">
            <w:pPr>
              <w:rPr>
                <w:rFonts w:ascii="宋体"/>
                <w:vanish/>
              </w:rPr>
            </w:pPr>
          </w:p>
        </w:tc>
        <w:tc>
          <w:tcPr>
            <w:tcW w:w="0" w:type="auto"/>
            <w:gridSpan w:val="2"/>
            <w:shd w:val="clear" w:color="auto" w:fill="auto"/>
            <w:vAlign w:val="bottom"/>
          </w:tcPr>
          <w:p w14:paraId="5F2D5317" w14:textId="77777777" w:rsidR="00E836FB" w:rsidRDefault="00E836FB">
            <w:pPr>
              <w:rPr>
                <w:rFonts w:ascii="宋体"/>
                <w:vanish/>
              </w:rPr>
            </w:pPr>
          </w:p>
        </w:tc>
        <w:tc>
          <w:tcPr>
            <w:tcW w:w="0" w:type="auto"/>
            <w:shd w:val="clear" w:color="auto" w:fill="auto"/>
            <w:vAlign w:val="bottom"/>
          </w:tcPr>
          <w:p w14:paraId="5F2D5318" w14:textId="77777777" w:rsidR="00E836FB" w:rsidRDefault="00E836FB">
            <w:pPr>
              <w:rPr>
                <w:rFonts w:ascii="宋体"/>
                <w:vanish/>
              </w:rPr>
            </w:pPr>
          </w:p>
        </w:tc>
      </w:tr>
      <w:tr w:rsidR="00E836FB" w14:paraId="5F2D5330" w14:textId="77777777">
        <w:trPr>
          <w:hidden/>
        </w:trPr>
        <w:tc>
          <w:tcPr>
            <w:tcW w:w="0" w:type="auto"/>
            <w:gridSpan w:val="3"/>
            <w:shd w:val="clear" w:color="auto" w:fill="auto"/>
            <w:vAlign w:val="bottom"/>
          </w:tcPr>
          <w:p w14:paraId="5F2D531A" w14:textId="77777777" w:rsidR="00E836FB" w:rsidRDefault="00E836FB">
            <w:pPr>
              <w:rPr>
                <w:rFonts w:ascii="宋体"/>
                <w:vanish/>
              </w:rPr>
            </w:pPr>
          </w:p>
        </w:tc>
        <w:tc>
          <w:tcPr>
            <w:tcW w:w="0" w:type="auto"/>
            <w:gridSpan w:val="3"/>
            <w:shd w:val="clear" w:color="auto" w:fill="auto"/>
            <w:vAlign w:val="bottom"/>
          </w:tcPr>
          <w:p w14:paraId="5F2D531B" w14:textId="77777777" w:rsidR="00E836FB" w:rsidRDefault="00E836FB">
            <w:pPr>
              <w:rPr>
                <w:rFonts w:ascii="宋体"/>
                <w:vanish/>
              </w:rPr>
            </w:pPr>
          </w:p>
        </w:tc>
        <w:tc>
          <w:tcPr>
            <w:tcW w:w="0" w:type="auto"/>
            <w:gridSpan w:val="3"/>
            <w:shd w:val="clear" w:color="auto" w:fill="auto"/>
            <w:vAlign w:val="bottom"/>
          </w:tcPr>
          <w:p w14:paraId="5F2D531C" w14:textId="77777777" w:rsidR="00E836FB" w:rsidRDefault="00E836FB">
            <w:pPr>
              <w:rPr>
                <w:rFonts w:ascii="宋体"/>
                <w:vanish/>
              </w:rPr>
            </w:pPr>
          </w:p>
        </w:tc>
        <w:tc>
          <w:tcPr>
            <w:tcW w:w="0" w:type="auto"/>
            <w:gridSpan w:val="3"/>
            <w:shd w:val="clear" w:color="auto" w:fill="auto"/>
            <w:vAlign w:val="bottom"/>
          </w:tcPr>
          <w:p w14:paraId="5F2D531D" w14:textId="77777777" w:rsidR="00E836FB" w:rsidRDefault="00E836FB">
            <w:pPr>
              <w:rPr>
                <w:rFonts w:ascii="宋体"/>
                <w:vanish/>
              </w:rPr>
            </w:pPr>
          </w:p>
        </w:tc>
        <w:tc>
          <w:tcPr>
            <w:tcW w:w="0" w:type="auto"/>
            <w:gridSpan w:val="3"/>
            <w:shd w:val="clear" w:color="auto" w:fill="auto"/>
            <w:vAlign w:val="bottom"/>
          </w:tcPr>
          <w:p w14:paraId="5F2D531E" w14:textId="77777777" w:rsidR="00E836FB" w:rsidRDefault="00E836FB">
            <w:pPr>
              <w:rPr>
                <w:rFonts w:ascii="宋体"/>
                <w:vanish/>
              </w:rPr>
            </w:pPr>
          </w:p>
        </w:tc>
        <w:tc>
          <w:tcPr>
            <w:tcW w:w="0" w:type="auto"/>
            <w:gridSpan w:val="3"/>
            <w:shd w:val="clear" w:color="auto" w:fill="auto"/>
            <w:vAlign w:val="bottom"/>
          </w:tcPr>
          <w:p w14:paraId="5F2D531F" w14:textId="77777777" w:rsidR="00E836FB" w:rsidRDefault="00E836FB">
            <w:pPr>
              <w:rPr>
                <w:rFonts w:ascii="宋体"/>
                <w:vanish/>
              </w:rPr>
            </w:pPr>
          </w:p>
        </w:tc>
        <w:tc>
          <w:tcPr>
            <w:tcW w:w="0" w:type="auto"/>
            <w:gridSpan w:val="3"/>
            <w:shd w:val="clear" w:color="auto" w:fill="auto"/>
            <w:vAlign w:val="bottom"/>
          </w:tcPr>
          <w:p w14:paraId="5F2D5320" w14:textId="77777777" w:rsidR="00E836FB" w:rsidRDefault="00E836FB">
            <w:pPr>
              <w:rPr>
                <w:rFonts w:ascii="宋体"/>
                <w:vanish/>
              </w:rPr>
            </w:pPr>
          </w:p>
        </w:tc>
        <w:tc>
          <w:tcPr>
            <w:tcW w:w="0" w:type="auto"/>
            <w:gridSpan w:val="3"/>
            <w:shd w:val="clear" w:color="auto" w:fill="auto"/>
            <w:vAlign w:val="bottom"/>
          </w:tcPr>
          <w:p w14:paraId="5F2D5321" w14:textId="77777777" w:rsidR="00E836FB" w:rsidRDefault="00E836FB">
            <w:pPr>
              <w:rPr>
                <w:rFonts w:ascii="宋体"/>
                <w:vanish/>
              </w:rPr>
            </w:pPr>
          </w:p>
        </w:tc>
        <w:tc>
          <w:tcPr>
            <w:tcW w:w="0" w:type="auto"/>
            <w:gridSpan w:val="3"/>
            <w:shd w:val="clear" w:color="auto" w:fill="auto"/>
            <w:vAlign w:val="bottom"/>
          </w:tcPr>
          <w:p w14:paraId="5F2D5322" w14:textId="77777777" w:rsidR="00E836FB" w:rsidRDefault="00E836FB">
            <w:pPr>
              <w:rPr>
                <w:rFonts w:ascii="宋体"/>
                <w:vanish/>
              </w:rPr>
            </w:pPr>
          </w:p>
        </w:tc>
        <w:tc>
          <w:tcPr>
            <w:tcW w:w="0" w:type="auto"/>
            <w:gridSpan w:val="3"/>
            <w:shd w:val="clear" w:color="auto" w:fill="auto"/>
            <w:vAlign w:val="bottom"/>
          </w:tcPr>
          <w:p w14:paraId="5F2D5323" w14:textId="77777777" w:rsidR="00E836FB" w:rsidRDefault="00E836FB">
            <w:pPr>
              <w:rPr>
                <w:rFonts w:ascii="宋体"/>
                <w:vanish/>
              </w:rPr>
            </w:pPr>
          </w:p>
        </w:tc>
        <w:tc>
          <w:tcPr>
            <w:tcW w:w="0" w:type="auto"/>
            <w:gridSpan w:val="3"/>
            <w:shd w:val="clear" w:color="auto" w:fill="auto"/>
            <w:vAlign w:val="bottom"/>
          </w:tcPr>
          <w:p w14:paraId="5F2D5324" w14:textId="77777777" w:rsidR="00E836FB" w:rsidRDefault="00E836FB">
            <w:pPr>
              <w:rPr>
                <w:rFonts w:ascii="宋体"/>
                <w:vanish/>
              </w:rPr>
            </w:pPr>
          </w:p>
        </w:tc>
        <w:tc>
          <w:tcPr>
            <w:tcW w:w="0" w:type="auto"/>
            <w:gridSpan w:val="3"/>
            <w:shd w:val="clear" w:color="auto" w:fill="auto"/>
            <w:vAlign w:val="bottom"/>
          </w:tcPr>
          <w:p w14:paraId="5F2D5325" w14:textId="77777777" w:rsidR="00E836FB" w:rsidRDefault="00E836FB">
            <w:pPr>
              <w:rPr>
                <w:rFonts w:ascii="宋体"/>
                <w:vanish/>
              </w:rPr>
            </w:pPr>
          </w:p>
        </w:tc>
        <w:tc>
          <w:tcPr>
            <w:tcW w:w="0" w:type="auto"/>
            <w:gridSpan w:val="3"/>
            <w:shd w:val="clear" w:color="auto" w:fill="auto"/>
            <w:vAlign w:val="bottom"/>
          </w:tcPr>
          <w:p w14:paraId="5F2D5326" w14:textId="77777777" w:rsidR="00E836FB" w:rsidRDefault="00E836FB">
            <w:pPr>
              <w:rPr>
                <w:rFonts w:ascii="宋体"/>
                <w:vanish/>
              </w:rPr>
            </w:pPr>
          </w:p>
        </w:tc>
        <w:tc>
          <w:tcPr>
            <w:tcW w:w="0" w:type="auto"/>
            <w:gridSpan w:val="3"/>
            <w:shd w:val="clear" w:color="auto" w:fill="auto"/>
            <w:vAlign w:val="bottom"/>
          </w:tcPr>
          <w:p w14:paraId="5F2D5327" w14:textId="77777777" w:rsidR="00E836FB" w:rsidRDefault="00E836FB">
            <w:pPr>
              <w:rPr>
                <w:rFonts w:ascii="宋体"/>
                <w:vanish/>
              </w:rPr>
            </w:pPr>
          </w:p>
        </w:tc>
        <w:tc>
          <w:tcPr>
            <w:tcW w:w="0" w:type="auto"/>
            <w:gridSpan w:val="3"/>
            <w:shd w:val="clear" w:color="auto" w:fill="auto"/>
            <w:vAlign w:val="bottom"/>
          </w:tcPr>
          <w:p w14:paraId="5F2D5328" w14:textId="77777777" w:rsidR="00E836FB" w:rsidRDefault="00E836FB">
            <w:pPr>
              <w:rPr>
                <w:rFonts w:ascii="宋体"/>
                <w:vanish/>
              </w:rPr>
            </w:pPr>
          </w:p>
        </w:tc>
        <w:tc>
          <w:tcPr>
            <w:tcW w:w="0" w:type="auto"/>
            <w:gridSpan w:val="3"/>
            <w:shd w:val="clear" w:color="auto" w:fill="auto"/>
            <w:vAlign w:val="bottom"/>
          </w:tcPr>
          <w:p w14:paraId="5F2D5329" w14:textId="77777777" w:rsidR="00E836FB" w:rsidRDefault="00E836FB">
            <w:pPr>
              <w:rPr>
                <w:rFonts w:ascii="宋体"/>
                <w:vanish/>
              </w:rPr>
            </w:pPr>
          </w:p>
        </w:tc>
        <w:tc>
          <w:tcPr>
            <w:tcW w:w="0" w:type="auto"/>
            <w:gridSpan w:val="3"/>
            <w:shd w:val="clear" w:color="auto" w:fill="auto"/>
            <w:vAlign w:val="bottom"/>
          </w:tcPr>
          <w:p w14:paraId="5F2D532A" w14:textId="77777777" w:rsidR="00E836FB" w:rsidRDefault="00E836FB">
            <w:pPr>
              <w:rPr>
                <w:rFonts w:ascii="宋体"/>
                <w:vanish/>
              </w:rPr>
            </w:pPr>
          </w:p>
        </w:tc>
        <w:tc>
          <w:tcPr>
            <w:tcW w:w="0" w:type="auto"/>
            <w:gridSpan w:val="3"/>
            <w:shd w:val="clear" w:color="auto" w:fill="auto"/>
            <w:vAlign w:val="bottom"/>
          </w:tcPr>
          <w:p w14:paraId="5F2D532B" w14:textId="77777777" w:rsidR="00E836FB" w:rsidRDefault="00E836FB">
            <w:pPr>
              <w:rPr>
                <w:rFonts w:ascii="宋体"/>
                <w:vanish/>
              </w:rPr>
            </w:pPr>
          </w:p>
        </w:tc>
        <w:tc>
          <w:tcPr>
            <w:tcW w:w="0" w:type="auto"/>
            <w:gridSpan w:val="3"/>
            <w:shd w:val="clear" w:color="auto" w:fill="auto"/>
            <w:vAlign w:val="bottom"/>
          </w:tcPr>
          <w:p w14:paraId="5F2D532C" w14:textId="77777777" w:rsidR="00E836FB" w:rsidRDefault="00E836FB">
            <w:pPr>
              <w:rPr>
                <w:rFonts w:ascii="宋体"/>
                <w:vanish/>
              </w:rPr>
            </w:pPr>
          </w:p>
        </w:tc>
        <w:tc>
          <w:tcPr>
            <w:tcW w:w="0" w:type="auto"/>
            <w:gridSpan w:val="3"/>
            <w:shd w:val="clear" w:color="auto" w:fill="auto"/>
            <w:vAlign w:val="bottom"/>
          </w:tcPr>
          <w:p w14:paraId="5F2D532D" w14:textId="77777777" w:rsidR="00E836FB" w:rsidRDefault="00E836FB">
            <w:pPr>
              <w:rPr>
                <w:rFonts w:ascii="宋体"/>
                <w:vanish/>
              </w:rPr>
            </w:pPr>
          </w:p>
        </w:tc>
        <w:tc>
          <w:tcPr>
            <w:tcW w:w="0" w:type="auto"/>
            <w:gridSpan w:val="2"/>
            <w:shd w:val="clear" w:color="auto" w:fill="auto"/>
            <w:vAlign w:val="bottom"/>
          </w:tcPr>
          <w:p w14:paraId="5F2D532E" w14:textId="77777777" w:rsidR="00E836FB" w:rsidRDefault="00E836FB">
            <w:pPr>
              <w:rPr>
                <w:rFonts w:ascii="宋体"/>
                <w:vanish/>
              </w:rPr>
            </w:pPr>
          </w:p>
        </w:tc>
        <w:tc>
          <w:tcPr>
            <w:tcW w:w="0" w:type="auto"/>
            <w:shd w:val="clear" w:color="auto" w:fill="auto"/>
            <w:vAlign w:val="bottom"/>
          </w:tcPr>
          <w:p w14:paraId="5F2D532F" w14:textId="77777777" w:rsidR="00E836FB" w:rsidRDefault="00E836FB">
            <w:pPr>
              <w:rPr>
                <w:rFonts w:ascii="宋体"/>
                <w:vanish/>
              </w:rPr>
            </w:pPr>
          </w:p>
        </w:tc>
      </w:tr>
      <w:tr w:rsidR="00E836FB" w14:paraId="5F2D5347" w14:textId="77777777">
        <w:trPr>
          <w:hidden/>
        </w:trPr>
        <w:tc>
          <w:tcPr>
            <w:tcW w:w="0" w:type="auto"/>
            <w:gridSpan w:val="3"/>
            <w:shd w:val="clear" w:color="auto" w:fill="auto"/>
            <w:vAlign w:val="bottom"/>
          </w:tcPr>
          <w:p w14:paraId="5F2D5331" w14:textId="77777777" w:rsidR="00E836FB" w:rsidRDefault="00E836FB">
            <w:pPr>
              <w:rPr>
                <w:rFonts w:ascii="宋体"/>
                <w:vanish/>
              </w:rPr>
            </w:pPr>
          </w:p>
        </w:tc>
        <w:tc>
          <w:tcPr>
            <w:tcW w:w="0" w:type="auto"/>
            <w:gridSpan w:val="3"/>
            <w:shd w:val="clear" w:color="auto" w:fill="auto"/>
            <w:vAlign w:val="bottom"/>
          </w:tcPr>
          <w:p w14:paraId="5F2D5332" w14:textId="77777777" w:rsidR="00E836FB" w:rsidRDefault="00E836FB">
            <w:pPr>
              <w:rPr>
                <w:rFonts w:ascii="宋体"/>
                <w:vanish/>
              </w:rPr>
            </w:pPr>
          </w:p>
        </w:tc>
        <w:tc>
          <w:tcPr>
            <w:tcW w:w="0" w:type="auto"/>
            <w:gridSpan w:val="3"/>
            <w:shd w:val="clear" w:color="auto" w:fill="auto"/>
            <w:vAlign w:val="bottom"/>
          </w:tcPr>
          <w:p w14:paraId="5F2D5333" w14:textId="77777777" w:rsidR="00E836FB" w:rsidRDefault="00E836FB">
            <w:pPr>
              <w:rPr>
                <w:rFonts w:ascii="宋体"/>
                <w:vanish/>
              </w:rPr>
            </w:pPr>
          </w:p>
        </w:tc>
        <w:tc>
          <w:tcPr>
            <w:tcW w:w="0" w:type="auto"/>
            <w:gridSpan w:val="3"/>
            <w:shd w:val="clear" w:color="auto" w:fill="auto"/>
            <w:vAlign w:val="bottom"/>
          </w:tcPr>
          <w:p w14:paraId="5F2D5334" w14:textId="77777777" w:rsidR="00E836FB" w:rsidRDefault="00E836FB">
            <w:pPr>
              <w:rPr>
                <w:rFonts w:ascii="宋体"/>
                <w:vanish/>
              </w:rPr>
            </w:pPr>
          </w:p>
        </w:tc>
        <w:tc>
          <w:tcPr>
            <w:tcW w:w="0" w:type="auto"/>
            <w:gridSpan w:val="3"/>
            <w:shd w:val="clear" w:color="auto" w:fill="auto"/>
            <w:vAlign w:val="bottom"/>
          </w:tcPr>
          <w:p w14:paraId="5F2D5335" w14:textId="77777777" w:rsidR="00E836FB" w:rsidRDefault="00E836FB">
            <w:pPr>
              <w:rPr>
                <w:rFonts w:ascii="宋体"/>
                <w:vanish/>
              </w:rPr>
            </w:pPr>
          </w:p>
        </w:tc>
        <w:tc>
          <w:tcPr>
            <w:tcW w:w="0" w:type="auto"/>
            <w:gridSpan w:val="3"/>
            <w:shd w:val="clear" w:color="auto" w:fill="auto"/>
            <w:vAlign w:val="bottom"/>
          </w:tcPr>
          <w:p w14:paraId="5F2D5336" w14:textId="77777777" w:rsidR="00E836FB" w:rsidRDefault="00E836FB">
            <w:pPr>
              <w:rPr>
                <w:rFonts w:ascii="宋体"/>
                <w:vanish/>
              </w:rPr>
            </w:pPr>
          </w:p>
        </w:tc>
        <w:tc>
          <w:tcPr>
            <w:tcW w:w="0" w:type="auto"/>
            <w:gridSpan w:val="3"/>
            <w:shd w:val="clear" w:color="auto" w:fill="auto"/>
            <w:vAlign w:val="bottom"/>
          </w:tcPr>
          <w:p w14:paraId="5F2D5337" w14:textId="77777777" w:rsidR="00E836FB" w:rsidRDefault="00E836FB">
            <w:pPr>
              <w:rPr>
                <w:rFonts w:ascii="宋体"/>
                <w:vanish/>
              </w:rPr>
            </w:pPr>
          </w:p>
        </w:tc>
        <w:tc>
          <w:tcPr>
            <w:tcW w:w="0" w:type="auto"/>
            <w:gridSpan w:val="3"/>
            <w:shd w:val="clear" w:color="auto" w:fill="auto"/>
            <w:vAlign w:val="bottom"/>
          </w:tcPr>
          <w:p w14:paraId="5F2D5338" w14:textId="77777777" w:rsidR="00E836FB" w:rsidRDefault="00E836FB">
            <w:pPr>
              <w:rPr>
                <w:rFonts w:ascii="宋体"/>
                <w:vanish/>
              </w:rPr>
            </w:pPr>
          </w:p>
        </w:tc>
        <w:tc>
          <w:tcPr>
            <w:tcW w:w="0" w:type="auto"/>
            <w:gridSpan w:val="3"/>
            <w:shd w:val="clear" w:color="auto" w:fill="auto"/>
            <w:vAlign w:val="bottom"/>
          </w:tcPr>
          <w:p w14:paraId="5F2D5339" w14:textId="77777777" w:rsidR="00E836FB" w:rsidRDefault="00E836FB">
            <w:pPr>
              <w:rPr>
                <w:rFonts w:ascii="宋体"/>
                <w:vanish/>
              </w:rPr>
            </w:pPr>
          </w:p>
        </w:tc>
        <w:tc>
          <w:tcPr>
            <w:tcW w:w="0" w:type="auto"/>
            <w:gridSpan w:val="3"/>
            <w:shd w:val="clear" w:color="auto" w:fill="auto"/>
            <w:vAlign w:val="bottom"/>
          </w:tcPr>
          <w:p w14:paraId="5F2D533A" w14:textId="77777777" w:rsidR="00E836FB" w:rsidRDefault="00E836FB">
            <w:pPr>
              <w:rPr>
                <w:rFonts w:ascii="宋体"/>
                <w:vanish/>
              </w:rPr>
            </w:pPr>
          </w:p>
        </w:tc>
        <w:tc>
          <w:tcPr>
            <w:tcW w:w="0" w:type="auto"/>
            <w:gridSpan w:val="3"/>
            <w:shd w:val="clear" w:color="auto" w:fill="auto"/>
            <w:vAlign w:val="bottom"/>
          </w:tcPr>
          <w:p w14:paraId="5F2D533B" w14:textId="77777777" w:rsidR="00E836FB" w:rsidRDefault="00E836FB">
            <w:pPr>
              <w:rPr>
                <w:rFonts w:ascii="宋体"/>
                <w:vanish/>
              </w:rPr>
            </w:pPr>
          </w:p>
        </w:tc>
        <w:tc>
          <w:tcPr>
            <w:tcW w:w="0" w:type="auto"/>
            <w:gridSpan w:val="3"/>
            <w:shd w:val="clear" w:color="auto" w:fill="auto"/>
            <w:vAlign w:val="bottom"/>
          </w:tcPr>
          <w:p w14:paraId="5F2D533C" w14:textId="77777777" w:rsidR="00E836FB" w:rsidRDefault="00E836FB">
            <w:pPr>
              <w:rPr>
                <w:rFonts w:ascii="宋体"/>
                <w:vanish/>
              </w:rPr>
            </w:pPr>
          </w:p>
        </w:tc>
        <w:tc>
          <w:tcPr>
            <w:tcW w:w="0" w:type="auto"/>
            <w:gridSpan w:val="3"/>
            <w:shd w:val="clear" w:color="auto" w:fill="auto"/>
            <w:vAlign w:val="bottom"/>
          </w:tcPr>
          <w:p w14:paraId="5F2D533D" w14:textId="77777777" w:rsidR="00E836FB" w:rsidRDefault="00E836FB">
            <w:pPr>
              <w:rPr>
                <w:rFonts w:ascii="宋体"/>
                <w:vanish/>
              </w:rPr>
            </w:pPr>
          </w:p>
        </w:tc>
        <w:tc>
          <w:tcPr>
            <w:tcW w:w="0" w:type="auto"/>
            <w:gridSpan w:val="3"/>
            <w:shd w:val="clear" w:color="auto" w:fill="auto"/>
            <w:vAlign w:val="bottom"/>
          </w:tcPr>
          <w:p w14:paraId="5F2D533E" w14:textId="77777777" w:rsidR="00E836FB" w:rsidRDefault="00E836FB">
            <w:pPr>
              <w:rPr>
                <w:rFonts w:ascii="宋体"/>
                <w:vanish/>
              </w:rPr>
            </w:pPr>
          </w:p>
        </w:tc>
        <w:tc>
          <w:tcPr>
            <w:tcW w:w="0" w:type="auto"/>
            <w:gridSpan w:val="3"/>
            <w:shd w:val="clear" w:color="auto" w:fill="auto"/>
            <w:vAlign w:val="bottom"/>
          </w:tcPr>
          <w:p w14:paraId="5F2D533F" w14:textId="77777777" w:rsidR="00E836FB" w:rsidRDefault="00E836FB">
            <w:pPr>
              <w:rPr>
                <w:rFonts w:ascii="宋体"/>
                <w:vanish/>
              </w:rPr>
            </w:pPr>
          </w:p>
        </w:tc>
        <w:tc>
          <w:tcPr>
            <w:tcW w:w="0" w:type="auto"/>
            <w:gridSpan w:val="3"/>
            <w:shd w:val="clear" w:color="auto" w:fill="auto"/>
            <w:vAlign w:val="bottom"/>
          </w:tcPr>
          <w:p w14:paraId="5F2D5340" w14:textId="77777777" w:rsidR="00E836FB" w:rsidRDefault="00E836FB">
            <w:pPr>
              <w:rPr>
                <w:rFonts w:ascii="宋体"/>
                <w:vanish/>
              </w:rPr>
            </w:pPr>
          </w:p>
        </w:tc>
        <w:tc>
          <w:tcPr>
            <w:tcW w:w="0" w:type="auto"/>
            <w:gridSpan w:val="3"/>
            <w:shd w:val="clear" w:color="auto" w:fill="auto"/>
            <w:vAlign w:val="bottom"/>
          </w:tcPr>
          <w:p w14:paraId="5F2D5341" w14:textId="77777777" w:rsidR="00E836FB" w:rsidRDefault="00E836FB">
            <w:pPr>
              <w:rPr>
                <w:rFonts w:ascii="宋体"/>
                <w:vanish/>
              </w:rPr>
            </w:pPr>
          </w:p>
        </w:tc>
        <w:tc>
          <w:tcPr>
            <w:tcW w:w="0" w:type="auto"/>
            <w:gridSpan w:val="3"/>
            <w:shd w:val="clear" w:color="auto" w:fill="auto"/>
            <w:vAlign w:val="bottom"/>
          </w:tcPr>
          <w:p w14:paraId="5F2D5342" w14:textId="77777777" w:rsidR="00E836FB" w:rsidRDefault="00E836FB">
            <w:pPr>
              <w:rPr>
                <w:rFonts w:ascii="宋体"/>
                <w:vanish/>
              </w:rPr>
            </w:pPr>
          </w:p>
        </w:tc>
        <w:tc>
          <w:tcPr>
            <w:tcW w:w="0" w:type="auto"/>
            <w:gridSpan w:val="3"/>
            <w:shd w:val="clear" w:color="auto" w:fill="auto"/>
            <w:vAlign w:val="bottom"/>
          </w:tcPr>
          <w:p w14:paraId="5F2D5343" w14:textId="77777777" w:rsidR="00E836FB" w:rsidRDefault="00E836FB">
            <w:pPr>
              <w:rPr>
                <w:rFonts w:ascii="宋体"/>
                <w:vanish/>
              </w:rPr>
            </w:pPr>
          </w:p>
        </w:tc>
        <w:tc>
          <w:tcPr>
            <w:tcW w:w="0" w:type="auto"/>
            <w:gridSpan w:val="3"/>
            <w:shd w:val="clear" w:color="auto" w:fill="auto"/>
            <w:vAlign w:val="bottom"/>
          </w:tcPr>
          <w:p w14:paraId="5F2D5344" w14:textId="77777777" w:rsidR="00E836FB" w:rsidRDefault="00E836FB">
            <w:pPr>
              <w:rPr>
                <w:rFonts w:ascii="宋体"/>
                <w:vanish/>
              </w:rPr>
            </w:pPr>
          </w:p>
        </w:tc>
        <w:tc>
          <w:tcPr>
            <w:tcW w:w="0" w:type="auto"/>
            <w:gridSpan w:val="2"/>
            <w:shd w:val="clear" w:color="auto" w:fill="auto"/>
            <w:vAlign w:val="bottom"/>
          </w:tcPr>
          <w:p w14:paraId="5F2D5345" w14:textId="77777777" w:rsidR="00E836FB" w:rsidRDefault="00E836FB">
            <w:pPr>
              <w:rPr>
                <w:rFonts w:ascii="宋体"/>
                <w:vanish/>
              </w:rPr>
            </w:pPr>
          </w:p>
        </w:tc>
        <w:tc>
          <w:tcPr>
            <w:tcW w:w="0" w:type="auto"/>
            <w:shd w:val="clear" w:color="auto" w:fill="auto"/>
            <w:vAlign w:val="bottom"/>
          </w:tcPr>
          <w:p w14:paraId="5F2D5346" w14:textId="77777777" w:rsidR="00E836FB" w:rsidRDefault="00E836FB">
            <w:pPr>
              <w:rPr>
                <w:rFonts w:ascii="宋体"/>
                <w:vanish/>
              </w:rPr>
            </w:pPr>
          </w:p>
        </w:tc>
      </w:tr>
      <w:tr w:rsidR="00E836FB" w14:paraId="5F2D535E" w14:textId="77777777">
        <w:trPr>
          <w:hidden/>
        </w:trPr>
        <w:tc>
          <w:tcPr>
            <w:tcW w:w="0" w:type="auto"/>
            <w:gridSpan w:val="3"/>
            <w:shd w:val="clear" w:color="auto" w:fill="auto"/>
            <w:vAlign w:val="bottom"/>
          </w:tcPr>
          <w:p w14:paraId="5F2D5348" w14:textId="77777777" w:rsidR="00E836FB" w:rsidRDefault="00E836FB">
            <w:pPr>
              <w:rPr>
                <w:rFonts w:ascii="宋体"/>
                <w:vanish/>
              </w:rPr>
            </w:pPr>
          </w:p>
        </w:tc>
        <w:tc>
          <w:tcPr>
            <w:tcW w:w="0" w:type="auto"/>
            <w:gridSpan w:val="3"/>
            <w:shd w:val="clear" w:color="auto" w:fill="auto"/>
            <w:vAlign w:val="bottom"/>
          </w:tcPr>
          <w:p w14:paraId="5F2D5349" w14:textId="77777777" w:rsidR="00E836FB" w:rsidRDefault="00E836FB">
            <w:pPr>
              <w:rPr>
                <w:rFonts w:ascii="宋体"/>
                <w:vanish/>
              </w:rPr>
            </w:pPr>
          </w:p>
        </w:tc>
        <w:tc>
          <w:tcPr>
            <w:tcW w:w="0" w:type="auto"/>
            <w:gridSpan w:val="3"/>
            <w:shd w:val="clear" w:color="auto" w:fill="auto"/>
            <w:vAlign w:val="bottom"/>
          </w:tcPr>
          <w:p w14:paraId="5F2D534A" w14:textId="77777777" w:rsidR="00E836FB" w:rsidRDefault="00E836FB">
            <w:pPr>
              <w:rPr>
                <w:rFonts w:ascii="宋体"/>
                <w:vanish/>
              </w:rPr>
            </w:pPr>
          </w:p>
        </w:tc>
        <w:tc>
          <w:tcPr>
            <w:tcW w:w="0" w:type="auto"/>
            <w:gridSpan w:val="3"/>
            <w:shd w:val="clear" w:color="auto" w:fill="auto"/>
            <w:vAlign w:val="bottom"/>
          </w:tcPr>
          <w:p w14:paraId="5F2D534B" w14:textId="77777777" w:rsidR="00E836FB" w:rsidRDefault="00E836FB">
            <w:pPr>
              <w:rPr>
                <w:rFonts w:ascii="宋体"/>
                <w:vanish/>
              </w:rPr>
            </w:pPr>
          </w:p>
        </w:tc>
        <w:tc>
          <w:tcPr>
            <w:tcW w:w="0" w:type="auto"/>
            <w:gridSpan w:val="3"/>
            <w:shd w:val="clear" w:color="auto" w:fill="auto"/>
            <w:vAlign w:val="bottom"/>
          </w:tcPr>
          <w:p w14:paraId="5F2D534C" w14:textId="77777777" w:rsidR="00E836FB" w:rsidRDefault="00E836FB">
            <w:pPr>
              <w:rPr>
                <w:rFonts w:ascii="宋体"/>
                <w:vanish/>
              </w:rPr>
            </w:pPr>
          </w:p>
        </w:tc>
        <w:tc>
          <w:tcPr>
            <w:tcW w:w="0" w:type="auto"/>
            <w:gridSpan w:val="3"/>
            <w:shd w:val="clear" w:color="auto" w:fill="auto"/>
            <w:vAlign w:val="bottom"/>
          </w:tcPr>
          <w:p w14:paraId="5F2D534D" w14:textId="77777777" w:rsidR="00E836FB" w:rsidRDefault="00E836FB">
            <w:pPr>
              <w:rPr>
                <w:rFonts w:ascii="宋体"/>
                <w:vanish/>
              </w:rPr>
            </w:pPr>
          </w:p>
        </w:tc>
        <w:tc>
          <w:tcPr>
            <w:tcW w:w="0" w:type="auto"/>
            <w:gridSpan w:val="3"/>
            <w:shd w:val="clear" w:color="auto" w:fill="auto"/>
            <w:vAlign w:val="bottom"/>
          </w:tcPr>
          <w:p w14:paraId="5F2D534E" w14:textId="77777777" w:rsidR="00E836FB" w:rsidRDefault="00E836FB">
            <w:pPr>
              <w:rPr>
                <w:rFonts w:ascii="宋体"/>
                <w:vanish/>
              </w:rPr>
            </w:pPr>
          </w:p>
        </w:tc>
        <w:tc>
          <w:tcPr>
            <w:tcW w:w="0" w:type="auto"/>
            <w:gridSpan w:val="3"/>
            <w:shd w:val="clear" w:color="auto" w:fill="auto"/>
            <w:vAlign w:val="bottom"/>
          </w:tcPr>
          <w:p w14:paraId="5F2D534F" w14:textId="77777777" w:rsidR="00E836FB" w:rsidRDefault="00E836FB">
            <w:pPr>
              <w:rPr>
                <w:rFonts w:ascii="宋体"/>
                <w:vanish/>
              </w:rPr>
            </w:pPr>
          </w:p>
        </w:tc>
        <w:tc>
          <w:tcPr>
            <w:tcW w:w="0" w:type="auto"/>
            <w:gridSpan w:val="3"/>
            <w:shd w:val="clear" w:color="auto" w:fill="auto"/>
            <w:vAlign w:val="bottom"/>
          </w:tcPr>
          <w:p w14:paraId="5F2D5350" w14:textId="77777777" w:rsidR="00E836FB" w:rsidRDefault="00E836FB">
            <w:pPr>
              <w:rPr>
                <w:rFonts w:ascii="宋体"/>
                <w:vanish/>
              </w:rPr>
            </w:pPr>
          </w:p>
        </w:tc>
        <w:tc>
          <w:tcPr>
            <w:tcW w:w="0" w:type="auto"/>
            <w:gridSpan w:val="3"/>
            <w:shd w:val="clear" w:color="auto" w:fill="auto"/>
            <w:vAlign w:val="bottom"/>
          </w:tcPr>
          <w:p w14:paraId="5F2D5351" w14:textId="77777777" w:rsidR="00E836FB" w:rsidRDefault="00E836FB">
            <w:pPr>
              <w:rPr>
                <w:rFonts w:ascii="宋体"/>
                <w:vanish/>
              </w:rPr>
            </w:pPr>
          </w:p>
        </w:tc>
        <w:tc>
          <w:tcPr>
            <w:tcW w:w="0" w:type="auto"/>
            <w:gridSpan w:val="3"/>
            <w:shd w:val="clear" w:color="auto" w:fill="auto"/>
            <w:vAlign w:val="bottom"/>
          </w:tcPr>
          <w:p w14:paraId="5F2D5352" w14:textId="77777777" w:rsidR="00E836FB" w:rsidRDefault="00E836FB">
            <w:pPr>
              <w:rPr>
                <w:rFonts w:ascii="宋体"/>
                <w:vanish/>
              </w:rPr>
            </w:pPr>
          </w:p>
        </w:tc>
        <w:tc>
          <w:tcPr>
            <w:tcW w:w="0" w:type="auto"/>
            <w:gridSpan w:val="3"/>
            <w:shd w:val="clear" w:color="auto" w:fill="auto"/>
            <w:vAlign w:val="bottom"/>
          </w:tcPr>
          <w:p w14:paraId="5F2D5353" w14:textId="77777777" w:rsidR="00E836FB" w:rsidRDefault="00E836FB">
            <w:pPr>
              <w:rPr>
                <w:rFonts w:ascii="宋体"/>
                <w:vanish/>
              </w:rPr>
            </w:pPr>
          </w:p>
        </w:tc>
        <w:tc>
          <w:tcPr>
            <w:tcW w:w="0" w:type="auto"/>
            <w:gridSpan w:val="3"/>
            <w:shd w:val="clear" w:color="auto" w:fill="auto"/>
            <w:vAlign w:val="bottom"/>
          </w:tcPr>
          <w:p w14:paraId="5F2D5354" w14:textId="77777777" w:rsidR="00E836FB" w:rsidRDefault="00E836FB">
            <w:pPr>
              <w:rPr>
                <w:rFonts w:ascii="宋体"/>
                <w:vanish/>
              </w:rPr>
            </w:pPr>
          </w:p>
        </w:tc>
        <w:tc>
          <w:tcPr>
            <w:tcW w:w="0" w:type="auto"/>
            <w:gridSpan w:val="3"/>
            <w:shd w:val="clear" w:color="auto" w:fill="auto"/>
            <w:vAlign w:val="bottom"/>
          </w:tcPr>
          <w:p w14:paraId="5F2D5355" w14:textId="77777777" w:rsidR="00E836FB" w:rsidRDefault="00E836FB">
            <w:pPr>
              <w:rPr>
                <w:rFonts w:ascii="宋体"/>
                <w:vanish/>
              </w:rPr>
            </w:pPr>
          </w:p>
        </w:tc>
        <w:tc>
          <w:tcPr>
            <w:tcW w:w="0" w:type="auto"/>
            <w:gridSpan w:val="3"/>
            <w:shd w:val="clear" w:color="auto" w:fill="auto"/>
            <w:vAlign w:val="bottom"/>
          </w:tcPr>
          <w:p w14:paraId="5F2D5356" w14:textId="77777777" w:rsidR="00E836FB" w:rsidRDefault="00E836FB">
            <w:pPr>
              <w:rPr>
                <w:rFonts w:ascii="宋体"/>
                <w:vanish/>
              </w:rPr>
            </w:pPr>
          </w:p>
        </w:tc>
        <w:tc>
          <w:tcPr>
            <w:tcW w:w="0" w:type="auto"/>
            <w:gridSpan w:val="3"/>
            <w:shd w:val="clear" w:color="auto" w:fill="auto"/>
            <w:vAlign w:val="bottom"/>
          </w:tcPr>
          <w:p w14:paraId="5F2D5357" w14:textId="77777777" w:rsidR="00E836FB" w:rsidRDefault="00E836FB">
            <w:pPr>
              <w:rPr>
                <w:rFonts w:ascii="宋体"/>
                <w:vanish/>
              </w:rPr>
            </w:pPr>
          </w:p>
        </w:tc>
        <w:tc>
          <w:tcPr>
            <w:tcW w:w="0" w:type="auto"/>
            <w:gridSpan w:val="3"/>
            <w:shd w:val="clear" w:color="auto" w:fill="auto"/>
            <w:vAlign w:val="bottom"/>
          </w:tcPr>
          <w:p w14:paraId="5F2D5358" w14:textId="77777777" w:rsidR="00E836FB" w:rsidRDefault="00E836FB">
            <w:pPr>
              <w:rPr>
                <w:rFonts w:ascii="宋体"/>
                <w:vanish/>
              </w:rPr>
            </w:pPr>
          </w:p>
        </w:tc>
        <w:tc>
          <w:tcPr>
            <w:tcW w:w="0" w:type="auto"/>
            <w:gridSpan w:val="3"/>
            <w:shd w:val="clear" w:color="auto" w:fill="auto"/>
            <w:vAlign w:val="bottom"/>
          </w:tcPr>
          <w:p w14:paraId="5F2D5359" w14:textId="77777777" w:rsidR="00E836FB" w:rsidRDefault="00E836FB">
            <w:pPr>
              <w:rPr>
                <w:rFonts w:ascii="宋体"/>
                <w:vanish/>
              </w:rPr>
            </w:pPr>
          </w:p>
        </w:tc>
        <w:tc>
          <w:tcPr>
            <w:tcW w:w="0" w:type="auto"/>
            <w:gridSpan w:val="3"/>
            <w:shd w:val="clear" w:color="auto" w:fill="auto"/>
            <w:vAlign w:val="bottom"/>
          </w:tcPr>
          <w:p w14:paraId="5F2D535A" w14:textId="77777777" w:rsidR="00E836FB" w:rsidRDefault="00E836FB">
            <w:pPr>
              <w:rPr>
                <w:rFonts w:ascii="宋体"/>
                <w:vanish/>
              </w:rPr>
            </w:pPr>
          </w:p>
        </w:tc>
        <w:tc>
          <w:tcPr>
            <w:tcW w:w="0" w:type="auto"/>
            <w:gridSpan w:val="3"/>
            <w:shd w:val="clear" w:color="auto" w:fill="auto"/>
            <w:vAlign w:val="bottom"/>
          </w:tcPr>
          <w:p w14:paraId="5F2D535B" w14:textId="77777777" w:rsidR="00E836FB" w:rsidRDefault="00E836FB">
            <w:pPr>
              <w:rPr>
                <w:rFonts w:ascii="宋体"/>
                <w:vanish/>
              </w:rPr>
            </w:pPr>
          </w:p>
        </w:tc>
        <w:tc>
          <w:tcPr>
            <w:tcW w:w="0" w:type="auto"/>
            <w:gridSpan w:val="2"/>
            <w:shd w:val="clear" w:color="auto" w:fill="auto"/>
            <w:vAlign w:val="bottom"/>
          </w:tcPr>
          <w:p w14:paraId="5F2D535C" w14:textId="77777777" w:rsidR="00E836FB" w:rsidRDefault="00E836FB">
            <w:pPr>
              <w:rPr>
                <w:rFonts w:ascii="宋体"/>
                <w:vanish/>
              </w:rPr>
            </w:pPr>
          </w:p>
        </w:tc>
        <w:tc>
          <w:tcPr>
            <w:tcW w:w="0" w:type="auto"/>
            <w:shd w:val="clear" w:color="auto" w:fill="auto"/>
            <w:vAlign w:val="bottom"/>
          </w:tcPr>
          <w:p w14:paraId="5F2D535D" w14:textId="77777777" w:rsidR="00E836FB" w:rsidRDefault="00E836FB">
            <w:pPr>
              <w:rPr>
                <w:rFonts w:ascii="宋体"/>
                <w:vanish/>
              </w:rPr>
            </w:pPr>
          </w:p>
        </w:tc>
      </w:tr>
      <w:tr w:rsidR="00E836FB" w14:paraId="5F2D5375" w14:textId="77777777">
        <w:trPr>
          <w:hidden/>
        </w:trPr>
        <w:tc>
          <w:tcPr>
            <w:tcW w:w="0" w:type="auto"/>
            <w:gridSpan w:val="3"/>
            <w:shd w:val="clear" w:color="auto" w:fill="auto"/>
            <w:vAlign w:val="bottom"/>
          </w:tcPr>
          <w:p w14:paraId="5F2D535F" w14:textId="77777777" w:rsidR="00E836FB" w:rsidRDefault="00E836FB">
            <w:pPr>
              <w:rPr>
                <w:rFonts w:ascii="宋体"/>
                <w:vanish/>
              </w:rPr>
            </w:pPr>
          </w:p>
        </w:tc>
        <w:tc>
          <w:tcPr>
            <w:tcW w:w="0" w:type="auto"/>
            <w:gridSpan w:val="3"/>
            <w:shd w:val="clear" w:color="auto" w:fill="auto"/>
            <w:vAlign w:val="bottom"/>
          </w:tcPr>
          <w:p w14:paraId="5F2D5360" w14:textId="77777777" w:rsidR="00E836FB" w:rsidRDefault="00E836FB">
            <w:pPr>
              <w:rPr>
                <w:rFonts w:ascii="宋体"/>
                <w:vanish/>
              </w:rPr>
            </w:pPr>
          </w:p>
        </w:tc>
        <w:tc>
          <w:tcPr>
            <w:tcW w:w="0" w:type="auto"/>
            <w:gridSpan w:val="3"/>
            <w:shd w:val="clear" w:color="auto" w:fill="auto"/>
            <w:vAlign w:val="bottom"/>
          </w:tcPr>
          <w:p w14:paraId="5F2D5361" w14:textId="77777777" w:rsidR="00E836FB" w:rsidRDefault="00E836FB">
            <w:pPr>
              <w:rPr>
                <w:rFonts w:ascii="宋体"/>
                <w:vanish/>
              </w:rPr>
            </w:pPr>
          </w:p>
        </w:tc>
        <w:tc>
          <w:tcPr>
            <w:tcW w:w="0" w:type="auto"/>
            <w:gridSpan w:val="3"/>
            <w:shd w:val="clear" w:color="auto" w:fill="auto"/>
            <w:vAlign w:val="bottom"/>
          </w:tcPr>
          <w:p w14:paraId="5F2D5362" w14:textId="77777777" w:rsidR="00E836FB" w:rsidRDefault="00E836FB">
            <w:pPr>
              <w:rPr>
                <w:rFonts w:ascii="宋体"/>
                <w:vanish/>
              </w:rPr>
            </w:pPr>
          </w:p>
        </w:tc>
        <w:tc>
          <w:tcPr>
            <w:tcW w:w="0" w:type="auto"/>
            <w:gridSpan w:val="3"/>
            <w:shd w:val="clear" w:color="auto" w:fill="auto"/>
            <w:vAlign w:val="bottom"/>
          </w:tcPr>
          <w:p w14:paraId="5F2D5363" w14:textId="77777777" w:rsidR="00E836FB" w:rsidRDefault="00E836FB">
            <w:pPr>
              <w:rPr>
                <w:rFonts w:ascii="宋体"/>
                <w:vanish/>
              </w:rPr>
            </w:pPr>
          </w:p>
        </w:tc>
        <w:tc>
          <w:tcPr>
            <w:tcW w:w="0" w:type="auto"/>
            <w:gridSpan w:val="3"/>
            <w:shd w:val="clear" w:color="auto" w:fill="auto"/>
            <w:vAlign w:val="bottom"/>
          </w:tcPr>
          <w:p w14:paraId="5F2D5364" w14:textId="77777777" w:rsidR="00E836FB" w:rsidRDefault="00E836FB">
            <w:pPr>
              <w:rPr>
                <w:rFonts w:ascii="宋体"/>
                <w:vanish/>
              </w:rPr>
            </w:pPr>
          </w:p>
        </w:tc>
        <w:tc>
          <w:tcPr>
            <w:tcW w:w="0" w:type="auto"/>
            <w:gridSpan w:val="3"/>
            <w:shd w:val="clear" w:color="auto" w:fill="auto"/>
            <w:vAlign w:val="bottom"/>
          </w:tcPr>
          <w:p w14:paraId="5F2D5365" w14:textId="77777777" w:rsidR="00E836FB" w:rsidRDefault="00E836FB">
            <w:pPr>
              <w:rPr>
                <w:rFonts w:ascii="宋体"/>
                <w:vanish/>
              </w:rPr>
            </w:pPr>
          </w:p>
        </w:tc>
        <w:tc>
          <w:tcPr>
            <w:tcW w:w="0" w:type="auto"/>
            <w:gridSpan w:val="3"/>
            <w:shd w:val="clear" w:color="auto" w:fill="auto"/>
            <w:vAlign w:val="bottom"/>
          </w:tcPr>
          <w:p w14:paraId="5F2D5366" w14:textId="77777777" w:rsidR="00E836FB" w:rsidRDefault="00E836FB">
            <w:pPr>
              <w:rPr>
                <w:rFonts w:ascii="宋体"/>
                <w:vanish/>
              </w:rPr>
            </w:pPr>
          </w:p>
        </w:tc>
        <w:tc>
          <w:tcPr>
            <w:tcW w:w="0" w:type="auto"/>
            <w:gridSpan w:val="3"/>
            <w:shd w:val="clear" w:color="auto" w:fill="auto"/>
            <w:vAlign w:val="bottom"/>
          </w:tcPr>
          <w:p w14:paraId="5F2D5367" w14:textId="77777777" w:rsidR="00E836FB" w:rsidRDefault="00E836FB">
            <w:pPr>
              <w:rPr>
                <w:rFonts w:ascii="宋体"/>
                <w:vanish/>
              </w:rPr>
            </w:pPr>
          </w:p>
        </w:tc>
        <w:tc>
          <w:tcPr>
            <w:tcW w:w="0" w:type="auto"/>
            <w:gridSpan w:val="3"/>
            <w:shd w:val="clear" w:color="auto" w:fill="auto"/>
            <w:vAlign w:val="bottom"/>
          </w:tcPr>
          <w:p w14:paraId="5F2D5368" w14:textId="77777777" w:rsidR="00E836FB" w:rsidRDefault="00E836FB">
            <w:pPr>
              <w:rPr>
                <w:rFonts w:ascii="宋体"/>
                <w:vanish/>
              </w:rPr>
            </w:pPr>
          </w:p>
        </w:tc>
        <w:tc>
          <w:tcPr>
            <w:tcW w:w="0" w:type="auto"/>
            <w:gridSpan w:val="3"/>
            <w:shd w:val="clear" w:color="auto" w:fill="auto"/>
            <w:vAlign w:val="bottom"/>
          </w:tcPr>
          <w:p w14:paraId="5F2D5369" w14:textId="77777777" w:rsidR="00E836FB" w:rsidRDefault="00E836FB">
            <w:pPr>
              <w:rPr>
                <w:rFonts w:ascii="宋体"/>
                <w:vanish/>
              </w:rPr>
            </w:pPr>
          </w:p>
        </w:tc>
        <w:tc>
          <w:tcPr>
            <w:tcW w:w="0" w:type="auto"/>
            <w:gridSpan w:val="3"/>
            <w:shd w:val="clear" w:color="auto" w:fill="auto"/>
            <w:vAlign w:val="bottom"/>
          </w:tcPr>
          <w:p w14:paraId="5F2D536A" w14:textId="77777777" w:rsidR="00E836FB" w:rsidRDefault="00E836FB">
            <w:pPr>
              <w:rPr>
                <w:rFonts w:ascii="宋体"/>
                <w:vanish/>
              </w:rPr>
            </w:pPr>
          </w:p>
        </w:tc>
        <w:tc>
          <w:tcPr>
            <w:tcW w:w="0" w:type="auto"/>
            <w:gridSpan w:val="3"/>
            <w:shd w:val="clear" w:color="auto" w:fill="auto"/>
            <w:vAlign w:val="bottom"/>
          </w:tcPr>
          <w:p w14:paraId="5F2D536B" w14:textId="77777777" w:rsidR="00E836FB" w:rsidRDefault="00E836FB">
            <w:pPr>
              <w:rPr>
                <w:rFonts w:ascii="宋体"/>
                <w:vanish/>
              </w:rPr>
            </w:pPr>
          </w:p>
        </w:tc>
        <w:tc>
          <w:tcPr>
            <w:tcW w:w="0" w:type="auto"/>
            <w:gridSpan w:val="3"/>
            <w:shd w:val="clear" w:color="auto" w:fill="auto"/>
            <w:vAlign w:val="bottom"/>
          </w:tcPr>
          <w:p w14:paraId="5F2D536C" w14:textId="77777777" w:rsidR="00E836FB" w:rsidRDefault="00E836FB">
            <w:pPr>
              <w:rPr>
                <w:rFonts w:ascii="宋体"/>
                <w:vanish/>
              </w:rPr>
            </w:pPr>
          </w:p>
        </w:tc>
        <w:tc>
          <w:tcPr>
            <w:tcW w:w="0" w:type="auto"/>
            <w:gridSpan w:val="3"/>
            <w:shd w:val="clear" w:color="auto" w:fill="auto"/>
            <w:vAlign w:val="bottom"/>
          </w:tcPr>
          <w:p w14:paraId="5F2D536D" w14:textId="77777777" w:rsidR="00E836FB" w:rsidRDefault="00E836FB">
            <w:pPr>
              <w:rPr>
                <w:rFonts w:ascii="宋体"/>
                <w:vanish/>
              </w:rPr>
            </w:pPr>
          </w:p>
        </w:tc>
        <w:tc>
          <w:tcPr>
            <w:tcW w:w="0" w:type="auto"/>
            <w:gridSpan w:val="3"/>
            <w:shd w:val="clear" w:color="auto" w:fill="auto"/>
            <w:vAlign w:val="bottom"/>
          </w:tcPr>
          <w:p w14:paraId="5F2D536E" w14:textId="77777777" w:rsidR="00E836FB" w:rsidRDefault="00E836FB">
            <w:pPr>
              <w:rPr>
                <w:rFonts w:ascii="宋体"/>
                <w:vanish/>
              </w:rPr>
            </w:pPr>
          </w:p>
        </w:tc>
        <w:tc>
          <w:tcPr>
            <w:tcW w:w="0" w:type="auto"/>
            <w:gridSpan w:val="3"/>
            <w:shd w:val="clear" w:color="auto" w:fill="auto"/>
            <w:vAlign w:val="bottom"/>
          </w:tcPr>
          <w:p w14:paraId="5F2D536F" w14:textId="77777777" w:rsidR="00E836FB" w:rsidRDefault="00E836FB">
            <w:pPr>
              <w:rPr>
                <w:rFonts w:ascii="宋体"/>
                <w:vanish/>
              </w:rPr>
            </w:pPr>
          </w:p>
        </w:tc>
        <w:tc>
          <w:tcPr>
            <w:tcW w:w="0" w:type="auto"/>
            <w:gridSpan w:val="3"/>
            <w:shd w:val="clear" w:color="auto" w:fill="auto"/>
            <w:vAlign w:val="bottom"/>
          </w:tcPr>
          <w:p w14:paraId="5F2D5370" w14:textId="77777777" w:rsidR="00E836FB" w:rsidRDefault="00E836FB">
            <w:pPr>
              <w:rPr>
                <w:rFonts w:ascii="宋体"/>
                <w:vanish/>
              </w:rPr>
            </w:pPr>
          </w:p>
        </w:tc>
        <w:tc>
          <w:tcPr>
            <w:tcW w:w="0" w:type="auto"/>
            <w:gridSpan w:val="3"/>
            <w:shd w:val="clear" w:color="auto" w:fill="auto"/>
            <w:vAlign w:val="bottom"/>
          </w:tcPr>
          <w:p w14:paraId="5F2D5371" w14:textId="77777777" w:rsidR="00E836FB" w:rsidRDefault="00E836FB">
            <w:pPr>
              <w:rPr>
                <w:rFonts w:ascii="宋体"/>
                <w:vanish/>
              </w:rPr>
            </w:pPr>
          </w:p>
        </w:tc>
        <w:tc>
          <w:tcPr>
            <w:tcW w:w="0" w:type="auto"/>
            <w:gridSpan w:val="3"/>
            <w:shd w:val="clear" w:color="auto" w:fill="auto"/>
            <w:vAlign w:val="bottom"/>
          </w:tcPr>
          <w:p w14:paraId="5F2D5372" w14:textId="77777777" w:rsidR="00E836FB" w:rsidRDefault="00E836FB">
            <w:pPr>
              <w:rPr>
                <w:rFonts w:ascii="宋体"/>
                <w:vanish/>
              </w:rPr>
            </w:pPr>
          </w:p>
        </w:tc>
        <w:tc>
          <w:tcPr>
            <w:tcW w:w="0" w:type="auto"/>
            <w:gridSpan w:val="2"/>
            <w:shd w:val="clear" w:color="auto" w:fill="auto"/>
            <w:vAlign w:val="bottom"/>
          </w:tcPr>
          <w:p w14:paraId="5F2D5373" w14:textId="77777777" w:rsidR="00E836FB" w:rsidRDefault="00E836FB">
            <w:pPr>
              <w:rPr>
                <w:rFonts w:ascii="宋体"/>
                <w:vanish/>
              </w:rPr>
            </w:pPr>
          </w:p>
        </w:tc>
        <w:tc>
          <w:tcPr>
            <w:tcW w:w="0" w:type="auto"/>
            <w:shd w:val="clear" w:color="auto" w:fill="auto"/>
            <w:vAlign w:val="bottom"/>
          </w:tcPr>
          <w:p w14:paraId="5F2D5374" w14:textId="77777777" w:rsidR="00E836FB" w:rsidRDefault="00E836FB">
            <w:pPr>
              <w:rPr>
                <w:rFonts w:ascii="宋体"/>
                <w:vanish/>
              </w:rPr>
            </w:pPr>
          </w:p>
        </w:tc>
      </w:tr>
      <w:tr w:rsidR="00E836FB" w14:paraId="5F2D538C" w14:textId="77777777">
        <w:trPr>
          <w:hidden/>
        </w:trPr>
        <w:tc>
          <w:tcPr>
            <w:tcW w:w="0" w:type="auto"/>
            <w:gridSpan w:val="3"/>
            <w:shd w:val="clear" w:color="auto" w:fill="auto"/>
            <w:vAlign w:val="bottom"/>
          </w:tcPr>
          <w:p w14:paraId="5F2D5376" w14:textId="77777777" w:rsidR="00E836FB" w:rsidRDefault="00E836FB">
            <w:pPr>
              <w:rPr>
                <w:rFonts w:ascii="宋体"/>
                <w:vanish/>
              </w:rPr>
            </w:pPr>
          </w:p>
        </w:tc>
        <w:tc>
          <w:tcPr>
            <w:tcW w:w="0" w:type="auto"/>
            <w:gridSpan w:val="3"/>
            <w:shd w:val="clear" w:color="auto" w:fill="auto"/>
            <w:vAlign w:val="bottom"/>
          </w:tcPr>
          <w:p w14:paraId="5F2D5377" w14:textId="77777777" w:rsidR="00E836FB" w:rsidRDefault="00E836FB">
            <w:pPr>
              <w:rPr>
                <w:rFonts w:ascii="宋体"/>
                <w:vanish/>
              </w:rPr>
            </w:pPr>
          </w:p>
        </w:tc>
        <w:tc>
          <w:tcPr>
            <w:tcW w:w="0" w:type="auto"/>
            <w:gridSpan w:val="3"/>
            <w:shd w:val="clear" w:color="auto" w:fill="auto"/>
            <w:vAlign w:val="bottom"/>
          </w:tcPr>
          <w:p w14:paraId="5F2D5378" w14:textId="77777777" w:rsidR="00E836FB" w:rsidRDefault="00E836FB">
            <w:pPr>
              <w:rPr>
                <w:rFonts w:ascii="宋体"/>
                <w:vanish/>
              </w:rPr>
            </w:pPr>
          </w:p>
        </w:tc>
        <w:tc>
          <w:tcPr>
            <w:tcW w:w="0" w:type="auto"/>
            <w:gridSpan w:val="3"/>
            <w:shd w:val="clear" w:color="auto" w:fill="auto"/>
            <w:vAlign w:val="bottom"/>
          </w:tcPr>
          <w:p w14:paraId="5F2D5379" w14:textId="77777777" w:rsidR="00E836FB" w:rsidRDefault="00E836FB">
            <w:pPr>
              <w:rPr>
                <w:rFonts w:ascii="宋体"/>
                <w:vanish/>
              </w:rPr>
            </w:pPr>
          </w:p>
        </w:tc>
        <w:tc>
          <w:tcPr>
            <w:tcW w:w="0" w:type="auto"/>
            <w:gridSpan w:val="3"/>
            <w:shd w:val="clear" w:color="auto" w:fill="auto"/>
            <w:vAlign w:val="bottom"/>
          </w:tcPr>
          <w:p w14:paraId="5F2D537A" w14:textId="77777777" w:rsidR="00E836FB" w:rsidRDefault="00E836FB">
            <w:pPr>
              <w:rPr>
                <w:rFonts w:ascii="宋体"/>
                <w:vanish/>
              </w:rPr>
            </w:pPr>
          </w:p>
        </w:tc>
        <w:tc>
          <w:tcPr>
            <w:tcW w:w="0" w:type="auto"/>
            <w:gridSpan w:val="3"/>
            <w:shd w:val="clear" w:color="auto" w:fill="auto"/>
            <w:vAlign w:val="bottom"/>
          </w:tcPr>
          <w:p w14:paraId="5F2D537B" w14:textId="77777777" w:rsidR="00E836FB" w:rsidRDefault="00E836FB">
            <w:pPr>
              <w:rPr>
                <w:rFonts w:ascii="宋体"/>
                <w:vanish/>
              </w:rPr>
            </w:pPr>
          </w:p>
        </w:tc>
        <w:tc>
          <w:tcPr>
            <w:tcW w:w="0" w:type="auto"/>
            <w:gridSpan w:val="3"/>
            <w:shd w:val="clear" w:color="auto" w:fill="auto"/>
            <w:vAlign w:val="bottom"/>
          </w:tcPr>
          <w:p w14:paraId="5F2D537C" w14:textId="77777777" w:rsidR="00E836FB" w:rsidRDefault="00E836FB">
            <w:pPr>
              <w:rPr>
                <w:rFonts w:ascii="宋体"/>
                <w:vanish/>
              </w:rPr>
            </w:pPr>
          </w:p>
        </w:tc>
        <w:tc>
          <w:tcPr>
            <w:tcW w:w="0" w:type="auto"/>
            <w:gridSpan w:val="3"/>
            <w:shd w:val="clear" w:color="auto" w:fill="auto"/>
            <w:vAlign w:val="bottom"/>
          </w:tcPr>
          <w:p w14:paraId="5F2D537D" w14:textId="77777777" w:rsidR="00E836FB" w:rsidRDefault="00E836FB">
            <w:pPr>
              <w:rPr>
                <w:rFonts w:ascii="宋体"/>
                <w:vanish/>
              </w:rPr>
            </w:pPr>
          </w:p>
        </w:tc>
        <w:tc>
          <w:tcPr>
            <w:tcW w:w="0" w:type="auto"/>
            <w:gridSpan w:val="3"/>
            <w:shd w:val="clear" w:color="auto" w:fill="auto"/>
            <w:vAlign w:val="bottom"/>
          </w:tcPr>
          <w:p w14:paraId="5F2D537E" w14:textId="77777777" w:rsidR="00E836FB" w:rsidRDefault="00E836FB">
            <w:pPr>
              <w:rPr>
                <w:rFonts w:ascii="宋体"/>
                <w:vanish/>
              </w:rPr>
            </w:pPr>
          </w:p>
        </w:tc>
        <w:tc>
          <w:tcPr>
            <w:tcW w:w="0" w:type="auto"/>
            <w:gridSpan w:val="3"/>
            <w:shd w:val="clear" w:color="auto" w:fill="auto"/>
            <w:vAlign w:val="bottom"/>
          </w:tcPr>
          <w:p w14:paraId="5F2D537F" w14:textId="77777777" w:rsidR="00E836FB" w:rsidRDefault="00E836FB">
            <w:pPr>
              <w:rPr>
                <w:rFonts w:ascii="宋体"/>
                <w:vanish/>
              </w:rPr>
            </w:pPr>
          </w:p>
        </w:tc>
        <w:tc>
          <w:tcPr>
            <w:tcW w:w="0" w:type="auto"/>
            <w:gridSpan w:val="3"/>
            <w:shd w:val="clear" w:color="auto" w:fill="auto"/>
            <w:vAlign w:val="bottom"/>
          </w:tcPr>
          <w:p w14:paraId="5F2D5380" w14:textId="77777777" w:rsidR="00E836FB" w:rsidRDefault="00E836FB">
            <w:pPr>
              <w:rPr>
                <w:rFonts w:ascii="宋体"/>
                <w:vanish/>
              </w:rPr>
            </w:pPr>
          </w:p>
        </w:tc>
        <w:tc>
          <w:tcPr>
            <w:tcW w:w="0" w:type="auto"/>
            <w:gridSpan w:val="3"/>
            <w:shd w:val="clear" w:color="auto" w:fill="auto"/>
            <w:vAlign w:val="bottom"/>
          </w:tcPr>
          <w:p w14:paraId="5F2D5381" w14:textId="77777777" w:rsidR="00E836FB" w:rsidRDefault="00E836FB">
            <w:pPr>
              <w:rPr>
                <w:rFonts w:ascii="宋体"/>
                <w:vanish/>
              </w:rPr>
            </w:pPr>
          </w:p>
        </w:tc>
        <w:tc>
          <w:tcPr>
            <w:tcW w:w="0" w:type="auto"/>
            <w:gridSpan w:val="3"/>
            <w:shd w:val="clear" w:color="auto" w:fill="auto"/>
            <w:vAlign w:val="bottom"/>
          </w:tcPr>
          <w:p w14:paraId="5F2D5382" w14:textId="77777777" w:rsidR="00E836FB" w:rsidRDefault="00E836FB">
            <w:pPr>
              <w:rPr>
                <w:rFonts w:ascii="宋体"/>
                <w:vanish/>
              </w:rPr>
            </w:pPr>
          </w:p>
        </w:tc>
        <w:tc>
          <w:tcPr>
            <w:tcW w:w="0" w:type="auto"/>
            <w:gridSpan w:val="3"/>
            <w:shd w:val="clear" w:color="auto" w:fill="auto"/>
            <w:vAlign w:val="bottom"/>
          </w:tcPr>
          <w:p w14:paraId="5F2D5383" w14:textId="77777777" w:rsidR="00E836FB" w:rsidRDefault="00E836FB">
            <w:pPr>
              <w:rPr>
                <w:rFonts w:ascii="宋体"/>
                <w:vanish/>
              </w:rPr>
            </w:pPr>
          </w:p>
        </w:tc>
        <w:tc>
          <w:tcPr>
            <w:tcW w:w="0" w:type="auto"/>
            <w:gridSpan w:val="3"/>
            <w:shd w:val="clear" w:color="auto" w:fill="auto"/>
            <w:vAlign w:val="bottom"/>
          </w:tcPr>
          <w:p w14:paraId="5F2D5384" w14:textId="77777777" w:rsidR="00E836FB" w:rsidRDefault="00E836FB">
            <w:pPr>
              <w:rPr>
                <w:rFonts w:ascii="宋体"/>
                <w:vanish/>
              </w:rPr>
            </w:pPr>
          </w:p>
        </w:tc>
        <w:tc>
          <w:tcPr>
            <w:tcW w:w="0" w:type="auto"/>
            <w:gridSpan w:val="3"/>
            <w:shd w:val="clear" w:color="auto" w:fill="auto"/>
            <w:vAlign w:val="bottom"/>
          </w:tcPr>
          <w:p w14:paraId="5F2D5385" w14:textId="77777777" w:rsidR="00E836FB" w:rsidRDefault="00E836FB">
            <w:pPr>
              <w:rPr>
                <w:rFonts w:ascii="宋体"/>
                <w:vanish/>
              </w:rPr>
            </w:pPr>
          </w:p>
        </w:tc>
        <w:tc>
          <w:tcPr>
            <w:tcW w:w="0" w:type="auto"/>
            <w:gridSpan w:val="3"/>
            <w:shd w:val="clear" w:color="auto" w:fill="auto"/>
            <w:vAlign w:val="bottom"/>
          </w:tcPr>
          <w:p w14:paraId="5F2D5386" w14:textId="77777777" w:rsidR="00E836FB" w:rsidRDefault="00E836FB">
            <w:pPr>
              <w:rPr>
                <w:rFonts w:ascii="宋体"/>
                <w:vanish/>
              </w:rPr>
            </w:pPr>
          </w:p>
        </w:tc>
        <w:tc>
          <w:tcPr>
            <w:tcW w:w="0" w:type="auto"/>
            <w:gridSpan w:val="3"/>
            <w:shd w:val="clear" w:color="auto" w:fill="auto"/>
            <w:vAlign w:val="bottom"/>
          </w:tcPr>
          <w:p w14:paraId="5F2D5387" w14:textId="77777777" w:rsidR="00E836FB" w:rsidRDefault="00E836FB">
            <w:pPr>
              <w:rPr>
                <w:rFonts w:ascii="宋体"/>
                <w:vanish/>
              </w:rPr>
            </w:pPr>
          </w:p>
        </w:tc>
        <w:tc>
          <w:tcPr>
            <w:tcW w:w="0" w:type="auto"/>
            <w:gridSpan w:val="3"/>
            <w:shd w:val="clear" w:color="auto" w:fill="auto"/>
            <w:vAlign w:val="bottom"/>
          </w:tcPr>
          <w:p w14:paraId="5F2D5388" w14:textId="77777777" w:rsidR="00E836FB" w:rsidRDefault="00E836FB">
            <w:pPr>
              <w:rPr>
                <w:rFonts w:ascii="宋体"/>
                <w:vanish/>
              </w:rPr>
            </w:pPr>
          </w:p>
        </w:tc>
        <w:tc>
          <w:tcPr>
            <w:tcW w:w="0" w:type="auto"/>
            <w:gridSpan w:val="3"/>
            <w:shd w:val="clear" w:color="auto" w:fill="auto"/>
            <w:vAlign w:val="bottom"/>
          </w:tcPr>
          <w:p w14:paraId="5F2D5389" w14:textId="77777777" w:rsidR="00E836FB" w:rsidRDefault="00E836FB">
            <w:pPr>
              <w:rPr>
                <w:rFonts w:ascii="宋体"/>
                <w:vanish/>
              </w:rPr>
            </w:pPr>
          </w:p>
        </w:tc>
        <w:tc>
          <w:tcPr>
            <w:tcW w:w="0" w:type="auto"/>
            <w:gridSpan w:val="2"/>
            <w:shd w:val="clear" w:color="auto" w:fill="auto"/>
            <w:vAlign w:val="bottom"/>
          </w:tcPr>
          <w:p w14:paraId="5F2D538A" w14:textId="77777777" w:rsidR="00E836FB" w:rsidRDefault="00E836FB">
            <w:pPr>
              <w:rPr>
                <w:rFonts w:ascii="宋体"/>
                <w:vanish/>
              </w:rPr>
            </w:pPr>
          </w:p>
        </w:tc>
        <w:tc>
          <w:tcPr>
            <w:tcW w:w="0" w:type="auto"/>
            <w:shd w:val="clear" w:color="auto" w:fill="auto"/>
            <w:vAlign w:val="bottom"/>
          </w:tcPr>
          <w:p w14:paraId="5F2D538B" w14:textId="77777777" w:rsidR="00E836FB" w:rsidRDefault="00E836FB">
            <w:pPr>
              <w:rPr>
                <w:rFonts w:ascii="宋体"/>
                <w:vanish/>
              </w:rPr>
            </w:pPr>
          </w:p>
        </w:tc>
      </w:tr>
      <w:tr w:rsidR="00E836FB" w14:paraId="5F2D53A3" w14:textId="77777777">
        <w:trPr>
          <w:hidden/>
        </w:trPr>
        <w:tc>
          <w:tcPr>
            <w:tcW w:w="0" w:type="auto"/>
            <w:gridSpan w:val="3"/>
            <w:shd w:val="clear" w:color="auto" w:fill="auto"/>
            <w:vAlign w:val="bottom"/>
          </w:tcPr>
          <w:p w14:paraId="5F2D538D" w14:textId="77777777" w:rsidR="00E836FB" w:rsidRDefault="00E836FB">
            <w:pPr>
              <w:rPr>
                <w:rFonts w:ascii="宋体"/>
                <w:vanish/>
              </w:rPr>
            </w:pPr>
          </w:p>
        </w:tc>
        <w:tc>
          <w:tcPr>
            <w:tcW w:w="0" w:type="auto"/>
            <w:gridSpan w:val="3"/>
            <w:shd w:val="clear" w:color="auto" w:fill="auto"/>
            <w:vAlign w:val="bottom"/>
          </w:tcPr>
          <w:p w14:paraId="5F2D538E" w14:textId="77777777" w:rsidR="00E836FB" w:rsidRDefault="00E836FB">
            <w:pPr>
              <w:rPr>
                <w:rFonts w:ascii="宋体"/>
                <w:vanish/>
              </w:rPr>
            </w:pPr>
          </w:p>
        </w:tc>
        <w:tc>
          <w:tcPr>
            <w:tcW w:w="0" w:type="auto"/>
            <w:gridSpan w:val="3"/>
            <w:shd w:val="clear" w:color="auto" w:fill="auto"/>
            <w:vAlign w:val="bottom"/>
          </w:tcPr>
          <w:p w14:paraId="5F2D538F" w14:textId="77777777" w:rsidR="00E836FB" w:rsidRDefault="00E836FB">
            <w:pPr>
              <w:rPr>
                <w:rFonts w:ascii="宋体"/>
                <w:vanish/>
              </w:rPr>
            </w:pPr>
          </w:p>
        </w:tc>
        <w:tc>
          <w:tcPr>
            <w:tcW w:w="0" w:type="auto"/>
            <w:gridSpan w:val="3"/>
            <w:shd w:val="clear" w:color="auto" w:fill="auto"/>
            <w:vAlign w:val="bottom"/>
          </w:tcPr>
          <w:p w14:paraId="5F2D5390" w14:textId="77777777" w:rsidR="00E836FB" w:rsidRDefault="00E836FB">
            <w:pPr>
              <w:rPr>
                <w:rFonts w:ascii="宋体"/>
                <w:vanish/>
              </w:rPr>
            </w:pPr>
          </w:p>
        </w:tc>
        <w:tc>
          <w:tcPr>
            <w:tcW w:w="0" w:type="auto"/>
            <w:gridSpan w:val="3"/>
            <w:shd w:val="clear" w:color="auto" w:fill="auto"/>
            <w:vAlign w:val="bottom"/>
          </w:tcPr>
          <w:p w14:paraId="5F2D5391" w14:textId="77777777" w:rsidR="00E836FB" w:rsidRDefault="00E836FB">
            <w:pPr>
              <w:rPr>
                <w:rFonts w:ascii="宋体"/>
                <w:vanish/>
              </w:rPr>
            </w:pPr>
          </w:p>
        </w:tc>
        <w:tc>
          <w:tcPr>
            <w:tcW w:w="0" w:type="auto"/>
            <w:gridSpan w:val="3"/>
            <w:shd w:val="clear" w:color="auto" w:fill="auto"/>
            <w:vAlign w:val="bottom"/>
          </w:tcPr>
          <w:p w14:paraId="5F2D5392" w14:textId="77777777" w:rsidR="00E836FB" w:rsidRDefault="00E836FB">
            <w:pPr>
              <w:rPr>
                <w:rFonts w:ascii="宋体"/>
                <w:vanish/>
              </w:rPr>
            </w:pPr>
          </w:p>
        </w:tc>
        <w:tc>
          <w:tcPr>
            <w:tcW w:w="0" w:type="auto"/>
            <w:gridSpan w:val="3"/>
            <w:shd w:val="clear" w:color="auto" w:fill="auto"/>
            <w:vAlign w:val="bottom"/>
          </w:tcPr>
          <w:p w14:paraId="5F2D5393" w14:textId="77777777" w:rsidR="00E836FB" w:rsidRDefault="00E836FB">
            <w:pPr>
              <w:rPr>
                <w:rFonts w:ascii="宋体"/>
                <w:vanish/>
              </w:rPr>
            </w:pPr>
          </w:p>
        </w:tc>
        <w:tc>
          <w:tcPr>
            <w:tcW w:w="0" w:type="auto"/>
            <w:gridSpan w:val="3"/>
            <w:shd w:val="clear" w:color="auto" w:fill="auto"/>
            <w:vAlign w:val="bottom"/>
          </w:tcPr>
          <w:p w14:paraId="5F2D5394" w14:textId="77777777" w:rsidR="00E836FB" w:rsidRDefault="00E836FB">
            <w:pPr>
              <w:rPr>
                <w:rFonts w:ascii="宋体"/>
                <w:vanish/>
              </w:rPr>
            </w:pPr>
          </w:p>
        </w:tc>
        <w:tc>
          <w:tcPr>
            <w:tcW w:w="0" w:type="auto"/>
            <w:gridSpan w:val="3"/>
            <w:shd w:val="clear" w:color="auto" w:fill="auto"/>
            <w:vAlign w:val="bottom"/>
          </w:tcPr>
          <w:p w14:paraId="5F2D5395" w14:textId="77777777" w:rsidR="00E836FB" w:rsidRDefault="00E836FB">
            <w:pPr>
              <w:rPr>
                <w:rFonts w:ascii="宋体"/>
                <w:vanish/>
              </w:rPr>
            </w:pPr>
          </w:p>
        </w:tc>
        <w:tc>
          <w:tcPr>
            <w:tcW w:w="0" w:type="auto"/>
            <w:gridSpan w:val="3"/>
            <w:shd w:val="clear" w:color="auto" w:fill="auto"/>
            <w:vAlign w:val="bottom"/>
          </w:tcPr>
          <w:p w14:paraId="5F2D5396" w14:textId="77777777" w:rsidR="00E836FB" w:rsidRDefault="00E836FB">
            <w:pPr>
              <w:rPr>
                <w:rFonts w:ascii="宋体"/>
                <w:vanish/>
              </w:rPr>
            </w:pPr>
          </w:p>
        </w:tc>
        <w:tc>
          <w:tcPr>
            <w:tcW w:w="0" w:type="auto"/>
            <w:gridSpan w:val="3"/>
            <w:shd w:val="clear" w:color="auto" w:fill="auto"/>
            <w:vAlign w:val="bottom"/>
          </w:tcPr>
          <w:p w14:paraId="5F2D5397" w14:textId="77777777" w:rsidR="00E836FB" w:rsidRDefault="00E836FB">
            <w:pPr>
              <w:rPr>
                <w:rFonts w:ascii="宋体"/>
                <w:vanish/>
              </w:rPr>
            </w:pPr>
          </w:p>
        </w:tc>
        <w:tc>
          <w:tcPr>
            <w:tcW w:w="0" w:type="auto"/>
            <w:gridSpan w:val="3"/>
            <w:shd w:val="clear" w:color="auto" w:fill="auto"/>
            <w:vAlign w:val="bottom"/>
          </w:tcPr>
          <w:p w14:paraId="5F2D5398" w14:textId="77777777" w:rsidR="00E836FB" w:rsidRDefault="00E836FB">
            <w:pPr>
              <w:rPr>
                <w:rFonts w:ascii="宋体"/>
                <w:vanish/>
              </w:rPr>
            </w:pPr>
          </w:p>
        </w:tc>
        <w:tc>
          <w:tcPr>
            <w:tcW w:w="0" w:type="auto"/>
            <w:gridSpan w:val="3"/>
            <w:shd w:val="clear" w:color="auto" w:fill="auto"/>
            <w:vAlign w:val="bottom"/>
          </w:tcPr>
          <w:p w14:paraId="5F2D5399" w14:textId="77777777" w:rsidR="00E836FB" w:rsidRDefault="00E836FB">
            <w:pPr>
              <w:rPr>
                <w:rFonts w:ascii="宋体"/>
                <w:vanish/>
              </w:rPr>
            </w:pPr>
          </w:p>
        </w:tc>
        <w:tc>
          <w:tcPr>
            <w:tcW w:w="0" w:type="auto"/>
            <w:gridSpan w:val="3"/>
            <w:shd w:val="clear" w:color="auto" w:fill="auto"/>
            <w:vAlign w:val="bottom"/>
          </w:tcPr>
          <w:p w14:paraId="5F2D539A" w14:textId="77777777" w:rsidR="00E836FB" w:rsidRDefault="00E836FB">
            <w:pPr>
              <w:rPr>
                <w:rFonts w:ascii="宋体"/>
                <w:vanish/>
              </w:rPr>
            </w:pPr>
          </w:p>
        </w:tc>
        <w:tc>
          <w:tcPr>
            <w:tcW w:w="0" w:type="auto"/>
            <w:gridSpan w:val="3"/>
            <w:shd w:val="clear" w:color="auto" w:fill="auto"/>
            <w:vAlign w:val="bottom"/>
          </w:tcPr>
          <w:p w14:paraId="5F2D539B" w14:textId="77777777" w:rsidR="00E836FB" w:rsidRDefault="00E836FB">
            <w:pPr>
              <w:rPr>
                <w:rFonts w:ascii="宋体"/>
                <w:vanish/>
              </w:rPr>
            </w:pPr>
          </w:p>
        </w:tc>
        <w:tc>
          <w:tcPr>
            <w:tcW w:w="0" w:type="auto"/>
            <w:gridSpan w:val="3"/>
            <w:shd w:val="clear" w:color="auto" w:fill="auto"/>
            <w:vAlign w:val="bottom"/>
          </w:tcPr>
          <w:p w14:paraId="5F2D539C" w14:textId="77777777" w:rsidR="00E836FB" w:rsidRDefault="00E836FB">
            <w:pPr>
              <w:rPr>
                <w:rFonts w:ascii="宋体"/>
                <w:vanish/>
              </w:rPr>
            </w:pPr>
          </w:p>
        </w:tc>
        <w:tc>
          <w:tcPr>
            <w:tcW w:w="0" w:type="auto"/>
            <w:gridSpan w:val="3"/>
            <w:shd w:val="clear" w:color="auto" w:fill="auto"/>
            <w:vAlign w:val="bottom"/>
          </w:tcPr>
          <w:p w14:paraId="5F2D539D" w14:textId="77777777" w:rsidR="00E836FB" w:rsidRDefault="00E836FB">
            <w:pPr>
              <w:rPr>
                <w:rFonts w:ascii="宋体"/>
                <w:vanish/>
              </w:rPr>
            </w:pPr>
          </w:p>
        </w:tc>
        <w:tc>
          <w:tcPr>
            <w:tcW w:w="0" w:type="auto"/>
            <w:gridSpan w:val="3"/>
            <w:shd w:val="clear" w:color="auto" w:fill="auto"/>
            <w:vAlign w:val="bottom"/>
          </w:tcPr>
          <w:p w14:paraId="5F2D539E" w14:textId="77777777" w:rsidR="00E836FB" w:rsidRDefault="00E836FB">
            <w:pPr>
              <w:rPr>
                <w:rFonts w:ascii="宋体"/>
                <w:vanish/>
              </w:rPr>
            </w:pPr>
          </w:p>
        </w:tc>
        <w:tc>
          <w:tcPr>
            <w:tcW w:w="0" w:type="auto"/>
            <w:gridSpan w:val="3"/>
            <w:shd w:val="clear" w:color="auto" w:fill="auto"/>
            <w:vAlign w:val="bottom"/>
          </w:tcPr>
          <w:p w14:paraId="5F2D539F" w14:textId="77777777" w:rsidR="00E836FB" w:rsidRDefault="00E836FB">
            <w:pPr>
              <w:rPr>
                <w:rFonts w:ascii="宋体"/>
                <w:vanish/>
              </w:rPr>
            </w:pPr>
          </w:p>
        </w:tc>
        <w:tc>
          <w:tcPr>
            <w:tcW w:w="0" w:type="auto"/>
            <w:gridSpan w:val="3"/>
            <w:shd w:val="clear" w:color="auto" w:fill="auto"/>
            <w:vAlign w:val="bottom"/>
          </w:tcPr>
          <w:p w14:paraId="5F2D53A0" w14:textId="77777777" w:rsidR="00E836FB" w:rsidRDefault="00E836FB">
            <w:pPr>
              <w:rPr>
                <w:rFonts w:ascii="宋体"/>
                <w:vanish/>
              </w:rPr>
            </w:pPr>
          </w:p>
        </w:tc>
        <w:tc>
          <w:tcPr>
            <w:tcW w:w="0" w:type="auto"/>
            <w:gridSpan w:val="2"/>
            <w:shd w:val="clear" w:color="auto" w:fill="auto"/>
            <w:vAlign w:val="bottom"/>
          </w:tcPr>
          <w:p w14:paraId="5F2D53A1" w14:textId="77777777" w:rsidR="00E836FB" w:rsidRDefault="00E836FB">
            <w:pPr>
              <w:rPr>
                <w:rFonts w:ascii="宋体"/>
                <w:vanish/>
              </w:rPr>
            </w:pPr>
          </w:p>
        </w:tc>
        <w:tc>
          <w:tcPr>
            <w:tcW w:w="0" w:type="auto"/>
            <w:shd w:val="clear" w:color="auto" w:fill="auto"/>
            <w:vAlign w:val="bottom"/>
          </w:tcPr>
          <w:p w14:paraId="5F2D53A2" w14:textId="77777777" w:rsidR="00E836FB" w:rsidRDefault="00E836FB">
            <w:pPr>
              <w:rPr>
                <w:rFonts w:ascii="宋体"/>
                <w:vanish/>
              </w:rPr>
            </w:pPr>
          </w:p>
        </w:tc>
      </w:tr>
      <w:tr w:rsidR="00E836FB" w14:paraId="5F2D53BA" w14:textId="77777777">
        <w:trPr>
          <w:hidden/>
        </w:trPr>
        <w:tc>
          <w:tcPr>
            <w:tcW w:w="0" w:type="auto"/>
            <w:gridSpan w:val="3"/>
            <w:shd w:val="clear" w:color="auto" w:fill="auto"/>
            <w:vAlign w:val="bottom"/>
          </w:tcPr>
          <w:p w14:paraId="5F2D53A4" w14:textId="77777777" w:rsidR="00E836FB" w:rsidRDefault="00E836FB">
            <w:pPr>
              <w:rPr>
                <w:rFonts w:ascii="宋体"/>
                <w:vanish/>
              </w:rPr>
            </w:pPr>
          </w:p>
        </w:tc>
        <w:tc>
          <w:tcPr>
            <w:tcW w:w="0" w:type="auto"/>
            <w:gridSpan w:val="3"/>
            <w:shd w:val="clear" w:color="auto" w:fill="auto"/>
            <w:vAlign w:val="bottom"/>
          </w:tcPr>
          <w:p w14:paraId="5F2D53A5" w14:textId="77777777" w:rsidR="00E836FB" w:rsidRDefault="00E836FB">
            <w:pPr>
              <w:rPr>
                <w:rFonts w:ascii="宋体"/>
                <w:vanish/>
              </w:rPr>
            </w:pPr>
          </w:p>
        </w:tc>
        <w:tc>
          <w:tcPr>
            <w:tcW w:w="0" w:type="auto"/>
            <w:gridSpan w:val="3"/>
            <w:shd w:val="clear" w:color="auto" w:fill="auto"/>
            <w:vAlign w:val="bottom"/>
          </w:tcPr>
          <w:p w14:paraId="5F2D53A6" w14:textId="77777777" w:rsidR="00E836FB" w:rsidRDefault="00E836FB">
            <w:pPr>
              <w:rPr>
                <w:rFonts w:ascii="宋体"/>
                <w:vanish/>
              </w:rPr>
            </w:pPr>
          </w:p>
        </w:tc>
        <w:tc>
          <w:tcPr>
            <w:tcW w:w="0" w:type="auto"/>
            <w:gridSpan w:val="3"/>
            <w:shd w:val="clear" w:color="auto" w:fill="auto"/>
            <w:vAlign w:val="bottom"/>
          </w:tcPr>
          <w:p w14:paraId="5F2D53A7" w14:textId="77777777" w:rsidR="00E836FB" w:rsidRDefault="00E836FB">
            <w:pPr>
              <w:rPr>
                <w:rFonts w:ascii="宋体"/>
                <w:vanish/>
              </w:rPr>
            </w:pPr>
          </w:p>
        </w:tc>
        <w:tc>
          <w:tcPr>
            <w:tcW w:w="0" w:type="auto"/>
            <w:gridSpan w:val="3"/>
            <w:shd w:val="clear" w:color="auto" w:fill="auto"/>
            <w:vAlign w:val="bottom"/>
          </w:tcPr>
          <w:p w14:paraId="5F2D53A8" w14:textId="77777777" w:rsidR="00E836FB" w:rsidRDefault="00E836FB">
            <w:pPr>
              <w:rPr>
                <w:rFonts w:ascii="宋体"/>
                <w:vanish/>
              </w:rPr>
            </w:pPr>
          </w:p>
        </w:tc>
        <w:tc>
          <w:tcPr>
            <w:tcW w:w="0" w:type="auto"/>
            <w:gridSpan w:val="3"/>
            <w:shd w:val="clear" w:color="auto" w:fill="auto"/>
            <w:vAlign w:val="bottom"/>
          </w:tcPr>
          <w:p w14:paraId="5F2D53A9" w14:textId="77777777" w:rsidR="00E836FB" w:rsidRDefault="00E836FB">
            <w:pPr>
              <w:rPr>
                <w:rFonts w:ascii="宋体"/>
                <w:vanish/>
              </w:rPr>
            </w:pPr>
          </w:p>
        </w:tc>
        <w:tc>
          <w:tcPr>
            <w:tcW w:w="0" w:type="auto"/>
            <w:gridSpan w:val="3"/>
            <w:shd w:val="clear" w:color="auto" w:fill="auto"/>
            <w:vAlign w:val="bottom"/>
          </w:tcPr>
          <w:p w14:paraId="5F2D53AA" w14:textId="77777777" w:rsidR="00E836FB" w:rsidRDefault="00E836FB">
            <w:pPr>
              <w:rPr>
                <w:rFonts w:ascii="宋体"/>
                <w:vanish/>
              </w:rPr>
            </w:pPr>
          </w:p>
        </w:tc>
        <w:tc>
          <w:tcPr>
            <w:tcW w:w="0" w:type="auto"/>
            <w:gridSpan w:val="3"/>
            <w:shd w:val="clear" w:color="auto" w:fill="auto"/>
            <w:vAlign w:val="bottom"/>
          </w:tcPr>
          <w:p w14:paraId="5F2D53AB" w14:textId="77777777" w:rsidR="00E836FB" w:rsidRDefault="00E836FB">
            <w:pPr>
              <w:rPr>
                <w:rFonts w:ascii="宋体"/>
                <w:vanish/>
              </w:rPr>
            </w:pPr>
          </w:p>
        </w:tc>
        <w:tc>
          <w:tcPr>
            <w:tcW w:w="0" w:type="auto"/>
            <w:gridSpan w:val="3"/>
            <w:shd w:val="clear" w:color="auto" w:fill="auto"/>
            <w:vAlign w:val="bottom"/>
          </w:tcPr>
          <w:p w14:paraId="5F2D53AC" w14:textId="77777777" w:rsidR="00E836FB" w:rsidRDefault="00E836FB">
            <w:pPr>
              <w:rPr>
                <w:rFonts w:ascii="宋体"/>
                <w:vanish/>
              </w:rPr>
            </w:pPr>
          </w:p>
        </w:tc>
        <w:tc>
          <w:tcPr>
            <w:tcW w:w="0" w:type="auto"/>
            <w:gridSpan w:val="3"/>
            <w:shd w:val="clear" w:color="auto" w:fill="auto"/>
            <w:vAlign w:val="bottom"/>
          </w:tcPr>
          <w:p w14:paraId="5F2D53AD" w14:textId="77777777" w:rsidR="00E836FB" w:rsidRDefault="00E836FB">
            <w:pPr>
              <w:rPr>
                <w:rFonts w:ascii="宋体"/>
                <w:vanish/>
              </w:rPr>
            </w:pPr>
          </w:p>
        </w:tc>
        <w:tc>
          <w:tcPr>
            <w:tcW w:w="0" w:type="auto"/>
            <w:gridSpan w:val="3"/>
            <w:shd w:val="clear" w:color="auto" w:fill="auto"/>
            <w:vAlign w:val="bottom"/>
          </w:tcPr>
          <w:p w14:paraId="5F2D53AE" w14:textId="77777777" w:rsidR="00E836FB" w:rsidRDefault="00E836FB">
            <w:pPr>
              <w:rPr>
                <w:rFonts w:ascii="宋体"/>
                <w:vanish/>
              </w:rPr>
            </w:pPr>
          </w:p>
        </w:tc>
        <w:tc>
          <w:tcPr>
            <w:tcW w:w="0" w:type="auto"/>
            <w:gridSpan w:val="3"/>
            <w:shd w:val="clear" w:color="auto" w:fill="auto"/>
            <w:vAlign w:val="bottom"/>
          </w:tcPr>
          <w:p w14:paraId="5F2D53AF" w14:textId="77777777" w:rsidR="00E836FB" w:rsidRDefault="00E836FB">
            <w:pPr>
              <w:rPr>
                <w:rFonts w:ascii="宋体"/>
                <w:vanish/>
              </w:rPr>
            </w:pPr>
          </w:p>
        </w:tc>
        <w:tc>
          <w:tcPr>
            <w:tcW w:w="0" w:type="auto"/>
            <w:gridSpan w:val="3"/>
            <w:shd w:val="clear" w:color="auto" w:fill="auto"/>
            <w:vAlign w:val="bottom"/>
          </w:tcPr>
          <w:p w14:paraId="5F2D53B0" w14:textId="77777777" w:rsidR="00E836FB" w:rsidRDefault="00E836FB">
            <w:pPr>
              <w:rPr>
                <w:rFonts w:ascii="宋体"/>
                <w:vanish/>
              </w:rPr>
            </w:pPr>
          </w:p>
        </w:tc>
        <w:tc>
          <w:tcPr>
            <w:tcW w:w="0" w:type="auto"/>
            <w:gridSpan w:val="3"/>
            <w:shd w:val="clear" w:color="auto" w:fill="auto"/>
            <w:vAlign w:val="bottom"/>
          </w:tcPr>
          <w:p w14:paraId="5F2D53B1" w14:textId="77777777" w:rsidR="00E836FB" w:rsidRDefault="00E836FB">
            <w:pPr>
              <w:rPr>
                <w:rFonts w:ascii="宋体"/>
                <w:vanish/>
              </w:rPr>
            </w:pPr>
          </w:p>
        </w:tc>
        <w:tc>
          <w:tcPr>
            <w:tcW w:w="0" w:type="auto"/>
            <w:gridSpan w:val="3"/>
            <w:shd w:val="clear" w:color="auto" w:fill="auto"/>
            <w:vAlign w:val="bottom"/>
          </w:tcPr>
          <w:p w14:paraId="5F2D53B2" w14:textId="77777777" w:rsidR="00E836FB" w:rsidRDefault="00E836FB">
            <w:pPr>
              <w:rPr>
                <w:rFonts w:ascii="宋体"/>
                <w:vanish/>
              </w:rPr>
            </w:pPr>
          </w:p>
        </w:tc>
        <w:tc>
          <w:tcPr>
            <w:tcW w:w="0" w:type="auto"/>
            <w:gridSpan w:val="3"/>
            <w:shd w:val="clear" w:color="auto" w:fill="auto"/>
            <w:vAlign w:val="bottom"/>
          </w:tcPr>
          <w:p w14:paraId="5F2D53B3" w14:textId="77777777" w:rsidR="00E836FB" w:rsidRDefault="00E836FB">
            <w:pPr>
              <w:rPr>
                <w:rFonts w:ascii="宋体"/>
                <w:vanish/>
              </w:rPr>
            </w:pPr>
          </w:p>
        </w:tc>
        <w:tc>
          <w:tcPr>
            <w:tcW w:w="0" w:type="auto"/>
            <w:gridSpan w:val="3"/>
            <w:shd w:val="clear" w:color="auto" w:fill="auto"/>
            <w:vAlign w:val="bottom"/>
          </w:tcPr>
          <w:p w14:paraId="5F2D53B4" w14:textId="77777777" w:rsidR="00E836FB" w:rsidRDefault="00E836FB">
            <w:pPr>
              <w:rPr>
                <w:rFonts w:ascii="宋体"/>
                <w:vanish/>
              </w:rPr>
            </w:pPr>
          </w:p>
        </w:tc>
        <w:tc>
          <w:tcPr>
            <w:tcW w:w="0" w:type="auto"/>
            <w:gridSpan w:val="3"/>
            <w:shd w:val="clear" w:color="auto" w:fill="auto"/>
            <w:vAlign w:val="bottom"/>
          </w:tcPr>
          <w:p w14:paraId="5F2D53B5" w14:textId="77777777" w:rsidR="00E836FB" w:rsidRDefault="00E836FB">
            <w:pPr>
              <w:rPr>
                <w:rFonts w:ascii="宋体"/>
                <w:vanish/>
              </w:rPr>
            </w:pPr>
          </w:p>
        </w:tc>
        <w:tc>
          <w:tcPr>
            <w:tcW w:w="0" w:type="auto"/>
            <w:gridSpan w:val="3"/>
            <w:shd w:val="clear" w:color="auto" w:fill="auto"/>
            <w:vAlign w:val="bottom"/>
          </w:tcPr>
          <w:p w14:paraId="5F2D53B6" w14:textId="77777777" w:rsidR="00E836FB" w:rsidRDefault="00E836FB">
            <w:pPr>
              <w:rPr>
                <w:rFonts w:ascii="宋体"/>
                <w:vanish/>
              </w:rPr>
            </w:pPr>
          </w:p>
        </w:tc>
        <w:tc>
          <w:tcPr>
            <w:tcW w:w="0" w:type="auto"/>
            <w:gridSpan w:val="3"/>
            <w:shd w:val="clear" w:color="auto" w:fill="auto"/>
            <w:vAlign w:val="bottom"/>
          </w:tcPr>
          <w:p w14:paraId="5F2D53B7" w14:textId="77777777" w:rsidR="00E836FB" w:rsidRDefault="00E836FB">
            <w:pPr>
              <w:rPr>
                <w:rFonts w:ascii="宋体"/>
                <w:vanish/>
              </w:rPr>
            </w:pPr>
          </w:p>
        </w:tc>
        <w:tc>
          <w:tcPr>
            <w:tcW w:w="0" w:type="auto"/>
            <w:gridSpan w:val="2"/>
            <w:shd w:val="clear" w:color="auto" w:fill="auto"/>
            <w:vAlign w:val="bottom"/>
          </w:tcPr>
          <w:p w14:paraId="5F2D53B8" w14:textId="77777777" w:rsidR="00E836FB" w:rsidRDefault="00E836FB">
            <w:pPr>
              <w:rPr>
                <w:rFonts w:ascii="宋体"/>
                <w:vanish/>
              </w:rPr>
            </w:pPr>
          </w:p>
        </w:tc>
        <w:tc>
          <w:tcPr>
            <w:tcW w:w="0" w:type="auto"/>
            <w:shd w:val="clear" w:color="auto" w:fill="auto"/>
            <w:vAlign w:val="bottom"/>
          </w:tcPr>
          <w:p w14:paraId="5F2D53B9" w14:textId="77777777" w:rsidR="00E836FB" w:rsidRDefault="00E836FB">
            <w:pPr>
              <w:rPr>
                <w:rFonts w:ascii="宋体"/>
                <w:vanish/>
              </w:rPr>
            </w:pPr>
          </w:p>
        </w:tc>
      </w:tr>
      <w:tr w:rsidR="00E836FB" w14:paraId="5F2D53D1" w14:textId="77777777">
        <w:trPr>
          <w:hidden/>
        </w:trPr>
        <w:tc>
          <w:tcPr>
            <w:tcW w:w="0" w:type="auto"/>
            <w:gridSpan w:val="3"/>
            <w:shd w:val="clear" w:color="auto" w:fill="auto"/>
            <w:vAlign w:val="bottom"/>
          </w:tcPr>
          <w:p w14:paraId="5F2D53BB" w14:textId="77777777" w:rsidR="00E836FB" w:rsidRDefault="00E836FB">
            <w:pPr>
              <w:rPr>
                <w:rFonts w:ascii="宋体"/>
                <w:vanish/>
              </w:rPr>
            </w:pPr>
          </w:p>
        </w:tc>
        <w:tc>
          <w:tcPr>
            <w:tcW w:w="0" w:type="auto"/>
            <w:gridSpan w:val="3"/>
            <w:shd w:val="clear" w:color="auto" w:fill="auto"/>
            <w:vAlign w:val="bottom"/>
          </w:tcPr>
          <w:p w14:paraId="5F2D53BC" w14:textId="77777777" w:rsidR="00E836FB" w:rsidRDefault="00E836FB">
            <w:pPr>
              <w:rPr>
                <w:rFonts w:ascii="宋体"/>
                <w:vanish/>
              </w:rPr>
            </w:pPr>
          </w:p>
        </w:tc>
        <w:tc>
          <w:tcPr>
            <w:tcW w:w="0" w:type="auto"/>
            <w:gridSpan w:val="3"/>
            <w:shd w:val="clear" w:color="auto" w:fill="auto"/>
            <w:vAlign w:val="bottom"/>
          </w:tcPr>
          <w:p w14:paraId="5F2D53BD" w14:textId="77777777" w:rsidR="00E836FB" w:rsidRDefault="00E836FB">
            <w:pPr>
              <w:rPr>
                <w:rFonts w:ascii="宋体"/>
                <w:vanish/>
              </w:rPr>
            </w:pPr>
          </w:p>
        </w:tc>
        <w:tc>
          <w:tcPr>
            <w:tcW w:w="0" w:type="auto"/>
            <w:gridSpan w:val="3"/>
            <w:shd w:val="clear" w:color="auto" w:fill="auto"/>
            <w:vAlign w:val="bottom"/>
          </w:tcPr>
          <w:p w14:paraId="5F2D53BE" w14:textId="77777777" w:rsidR="00E836FB" w:rsidRDefault="00E836FB">
            <w:pPr>
              <w:rPr>
                <w:rFonts w:ascii="宋体"/>
                <w:vanish/>
              </w:rPr>
            </w:pPr>
          </w:p>
        </w:tc>
        <w:tc>
          <w:tcPr>
            <w:tcW w:w="0" w:type="auto"/>
            <w:gridSpan w:val="3"/>
            <w:shd w:val="clear" w:color="auto" w:fill="auto"/>
            <w:vAlign w:val="bottom"/>
          </w:tcPr>
          <w:p w14:paraId="5F2D53BF" w14:textId="77777777" w:rsidR="00E836FB" w:rsidRDefault="00E836FB">
            <w:pPr>
              <w:rPr>
                <w:rFonts w:ascii="宋体"/>
                <w:vanish/>
              </w:rPr>
            </w:pPr>
          </w:p>
        </w:tc>
        <w:tc>
          <w:tcPr>
            <w:tcW w:w="0" w:type="auto"/>
            <w:gridSpan w:val="3"/>
            <w:shd w:val="clear" w:color="auto" w:fill="auto"/>
            <w:vAlign w:val="bottom"/>
          </w:tcPr>
          <w:p w14:paraId="5F2D53C0" w14:textId="77777777" w:rsidR="00E836FB" w:rsidRDefault="00E836FB">
            <w:pPr>
              <w:rPr>
                <w:rFonts w:ascii="宋体"/>
                <w:vanish/>
              </w:rPr>
            </w:pPr>
          </w:p>
        </w:tc>
        <w:tc>
          <w:tcPr>
            <w:tcW w:w="0" w:type="auto"/>
            <w:gridSpan w:val="3"/>
            <w:shd w:val="clear" w:color="auto" w:fill="auto"/>
            <w:vAlign w:val="bottom"/>
          </w:tcPr>
          <w:p w14:paraId="5F2D53C1" w14:textId="77777777" w:rsidR="00E836FB" w:rsidRDefault="00E836FB">
            <w:pPr>
              <w:rPr>
                <w:rFonts w:ascii="宋体"/>
                <w:vanish/>
              </w:rPr>
            </w:pPr>
          </w:p>
        </w:tc>
        <w:tc>
          <w:tcPr>
            <w:tcW w:w="0" w:type="auto"/>
            <w:gridSpan w:val="3"/>
            <w:shd w:val="clear" w:color="auto" w:fill="auto"/>
            <w:vAlign w:val="bottom"/>
          </w:tcPr>
          <w:p w14:paraId="5F2D53C2" w14:textId="77777777" w:rsidR="00E836FB" w:rsidRDefault="00E836FB">
            <w:pPr>
              <w:rPr>
                <w:rFonts w:ascii="宋体"/>
                <w:vanish/>
              </w:rPr>
            </w:pPr>
          </w:p>
        </w:tc>
        <w:tc>
          <w:tcPr>
            <w:tcW w:w="0" w:type="auto"/>
            <w:gridSpan w:val="3"/>
            <w:shd w:val="clear" w:color="auto" w:fill="auto"/>
            <w:vAlign w:val="bottom"/>
          </w:tcPr>
          <w:p w14:paraId="5F2D53C3" w14:textId="77777777" w:rsidR="00E836FB" w:rsidRDefault="00E836FB">
            <w:pPr>
              <w:rPr>
                <w:rFonts w:ascii="宋体"/>
                <w:vanish/>
              </w:rPr>
            </w:pPr>
          </w:p>
        </w:tc>
        <w:tc>
          <w:tcPr>
            <w:tcW w:w="0" w:type="auto"/>
            <w:gridSpan w:val="3"/>
            <w:shd w:val="clear" w:color="auto" w:fill="auto"/>
            <w:vAlign w:val="bottom"/>
          </w:tcPr>
          <w:p w14:paraId="5F2D53C4" w14:textId="77777777" w:rsidR="00E836FB" w:rsidRDefault="00E836FB">
            <w:pPr>
              <w:rPr>
                <w:rFonts w:ascii="宋体"/>
                <w:vanish/>
              </w:rPr>
            </w:pPr>
          </w:p>
        </w:tc>
        <w:tc>
          <w:tcPr>
            <w:tcW w:w="0" w:type="auto"/>
            <w:gridSpan w:val="3"/>
            <w:shd w:val="clear" w:color="auto" w:fill="auto"/>
            <w:vAlign w:val="bottom"/>
          </w:tcPr>
          <w:p w14:paraId="5F2D53C5" w14:textId="77777777" w:rsidR="00E836FB" w:rsidRDefault="00E836FB">
            <w:pPr>
              <w:rPr>
                <w:rFonts w:ascii="宋体"/>
                <w:vanish/>
              </w:rPr>
            </w:pPr>
          </w:p>
        </w:tc>
        <w:tc>
          <w:tcPr>
            <w:tcW w:w="0" w:type="auto"/>
            <w:gridSpan w:val="3"/>
            <w:shd w:val="clear" w:color="auto" w:fill="auto"/>
            <w:vAlign w:val="bottom"/>
          </w:tcPr>
          <w:p w14:paraId="5F2D53C6" w14:textId="77777777" w:rsidR="00E836FB" w:rsidRDefault="00E836FB">
            <w:pPr>
              <w:rPr>
                <w:rFonts w:ascii="宋体"/>
                <w:vanish/>
              </w:rPr>
            </w:pPr>
          </w:p>
        </w:tc>
        <w:tc>
          <w:tcPr>
            <w:tcW w:w="0" w:type="auto"/>
            <w:gridSpan w:val="3"/>
            <w:shd w:val="clear" w:color="auto" w:fill="auto"/>
            <w:vAlign w:val="bottom"/>
          </w:tcPr>
          <w:p w14:paraId="5F2D53C7" w14:textId="77777777" w:rsidR="00E836FB" w:rsidRDefault="00E836FB">
            <w:pPr>
              <w:rPr>
                <w:rFonts w:ascii="宋体"/>
                <w:vanish/>
              </w:rPr>
            </w:pPr>
          </w:p>
        </w:tc>
        <w:tc>
          <w:tcPr>
            <w:tcW w:w="0" w:type="auto"/>
            <w:gridSpan w:val="3"/>
            <w:shd w:val="clear" w:color="auto" w:fill="auto"/>
            <w:vAlign w:val="bottom"/>
          </w:tcPr>
          <w:p w14:paraId="5F2D53C8" w14:textId="77777777" w:rsidR="00E836FB" w:rsidRDefault="00E836FB">
            <w:pPr>
              <w:rPr>
                <w:rFonts w:ascii="宋体"/>
                <w:vanish/>
              </w:rPr>
            </w:pPr>
          </w:p>
        </w:tc>
        <w:tc>
          <w:tcPr>
            <w:tcW w:w="0" w:type="auto"/>
            <w:gridSpan w:val="3"/>
            <w:shd w:val="clear" w:color="auto" w:fill="auto"/>
            <w:vAlign w:val="bottom"/>
          </w:tcPr>
          <w:p w14:paraId="5F2D53C9" w14:textId="77777777" w:rsidR="00E836FB" w:rsidRDefault="00E836FB">
            <w:pPr>
              <w:rPr>
                <w:rFonts w:ascii="宋体"/>
                <w:vanish/>
              </w:rPr>
            </w:pPr>
          </w:p>
        </w:tc>
        <w:tc>
          <w:tcPr>
            <w:tcW w:w="0" w:type="auto"/>
            <w:gridSpan w:val="3"/>
            <w:shd w:val="clear" w:color="auto" w:fill="auto"/>
            <w:vAlign w:val="bottom"/>
          </w:tcPr>
          <w:p w14:paraId="5F2D53CA" w14:textId="77777777" w:rsidR="00E836FB" w:rsidRDefault="00E836FB">
            <w:pPr>
              <w:rPr>
                <w:rFonts w:ascii="宋体"/>
                <w:vanish/>
              </w:rPr>
            </w:pPr>
          </w:p>
        </w:tc>
        <w:tc>
          <w:tcPr>
            <w:tcW w:w="0" w:type="auto"/>
            <w:gridSpan w:val="3"/>
            <w:shd w:val="clear" w:color="auto" w:fill="auto"/>
            <w:vAlign w:val="bottom"/>
          </w:tcPr>
          <w:p w14:paraId="5F2D53CB" w14:textId="77777777" w:rsidR="00E836FB" w:rsidRDefault="00E836FB">
            <w:pPr>
              <w:rPr>
                <w:rFonts w:ascii="宋体"/>
                <w:vanish/>
              </w:rPr>
            </w:pPr>
          </w:p>
        </w:tc>
        <w:tc>
          <w:tcPr>
            <w:tcW w:w="0" w:type="auto"/>
            <w:gridSpan w:val="3"/>
            <w:shd w:val="clear" w:color="auto" w:fill="auto"/>
            <w:vAlign w:val="bottom"/>
          </w:tcPr>
          <w:p w14:paraId="5F2D53CC" w14:textId="77777777" w:rsidR="00E836FB" w:rsidRDefault="00E836FB">
            <w:pPr>
              <w:rPr>
                <w:rFonts w:ascii="宋体"/>
                <w:vanish/>
              </w:rPr>
            </w:pPr>
          </w:p>
        </w:tc>
        <w:tc>
          <w:tcPr>
            <w:tcW w:w="0" w:type="auto"/>
            <w:gridSpan w:val="3"/>
            <w:shd w:val="clear" w:color="auto" w:fill="auto"/>
            <w:vAlign w:val="bottom"/>
          </w:tcPr>
          <w:p w14:paraId="5F2D53CD" w14:textId="77777777" w:rsidR="00E836FB" w:rsidRDefault="00E836FB">
            <w:pPr>
              <w:rPr>
                <w:rFonts w:ascii="宋体"/>
                <w:vanish/>
              </w:rPr>
            </w:pPr>
          </w:p>
        </w:tc>
        <w:tc>
          <w:tcPr>
            <w:tcW w:w="0" w:type="auto"/>
            <w:gridSpan w:val="3"/>
            <w:shd w:val="clear" w:color="auto" w:fill="auto"/>
            <w:vAlign w:val="bottom"/>
          </w:tcPr>
          <w:p w14:paraId="5F2D53CE" w14:textId="77777777" w:rsidR="00E836FB" w:rsidRDefault="00E836FB">
            <w:pPr>
              <w:rPr>
                <w:rFonts w:ascii="宋体"/>
                <w:vanish/>
              </w:rPr>
            </w:pPr>
          </w:p>
        </w:tc>
        <w:tc>
          <w:tcPr>
            <w:tcW w:w="0" w:type="auto"/>
            <w:gridSpan w:val="2"/>
            <w:shd w:val="clear" w:color="auto" w:fill="auto"/>
            <w:vAlign w:val="bottom"/>
          </w:tcPr>
          <w:p w14:paraId="5F2D53CF" w14:textId="77777777" w:rsidR="00E836FB" w:rsidRDefault="00E836FB">
            <w:pPr>
              <w:rPr>
                <w:rFonts w:ascii="宋体"/>
                <w:vanish/>
              </w:rPr>
            </w:pPr>
          </w:p>
        </w:tc>
        <w:tc>
          <w:tcPr>
            <w:tcW w:w="0" w:type="auto"/>
            <w:shd w:val="clear" w:color="auto" w:fill="auto"/>
            <w:vAlign w:val="bottom"/>
          </w:tcPr>
          <w:p w14:paraId="5F2D53D0" w14:textId="77777777" w:rsidR="00E836FB" w:rsidRDefault="00E836FB">
            <w:pPr>
              <w:rPr>
                <w:rFonts w:ascii="宋体"/>
                <w:vanish/>
              </w:rPr>
            </w:pPr>
          </w:p>
        </w:tc>
      </w:tr>
      <w:tr w:rsidR="00E836FB" w14:paraId="5F2D53E8" w14:textId="77777777">
        <w:trPr>
          <w:hidden/>
        </w:trPr>
        <w:tc>
          <w:tcPr>
            <w:tcW w:w="0" w:type="auto"/>
            <w:gridSpan w:val="3"/>
            <w:shd w:val="clear" w:color="auto" w:fill="auto"/>
            <w:vAlign w:val="bottom"/>
          </w:tcPr>
          <w:p w14:paraId="5F2D53D2" w14:textId="77777777" w:rsidR="00E836FB" w:rsidRDefault="00E836FB">
            <w:pPr>
              <w:rPr>
                <w:rFonts w:ascii="宋体"/>
                <w:vanish/>
              </w:rPr>
            </w:pPr>
          </w:p>
        </w:tc>
        <w:tc>
          <w:tcPr>
            <w:tcW w:w="0" w:type="auto"/>
            <w:gridSpan w:val="3"/>
            <w:shd w:val="clear" w:color="auto" w:fill="auto"/>
            <w:vAlign w:val="bottom"/>
          </w:tcPr>
          <w:p w14:paraId="5F2D53D3" w14:textId="77777777" w:rsidR="00E836FB" w:rsidRDefault="00E836FB">
            <w:pPr>
              <w:rPr>
                <w:rFonts w:ascii="宋体"/>
                <w:vanish/>
              </w:rPr>
            </w:pPr>
          </w:p>
        </w:tc>
        <w:tc>
          <w:tcPr>
            <w:tcW w:w="0" w:type="auto"/>
            <w:gridSpan w:val="3"/>
            <w:shd w:val="clear" w:color="auto" w:fill="auto"/>
            <w:vAlign w:val="bottom"/>
          </w:tcPr>
          <w:p w14:paraId="5F2D53D4" w14:textId="77777777" w:rsidR="00E836FB" w:rsidRDefault="00E836FB">
            <w:pPr>
              <w:rPr>
                <w:rFonts w:ascii="宋体"/>
                <w:vanish/>
              </w:rPr>
            </w:pPr>
          </w:p>
        </w:tc>
        <w:tc>
          <w:tcPr>
            <w:tcW w:w="0" w:type="auto"/>
            <w:gridSpan w:val="3"/>
            <w:shd w:val="clear" w:color="auto" w:fill="auto"/>
            <w:vAlign w:val="bottom"/>
          </w:tcPr>
          <w:p w14:paraId="5F2D53D5" w14:textId="77777777" w:rsidR="00E836FB" w:rsidRDefault="00E836FB">
            <w:pPr>
              <w:rPr>
                <w:rFonts w:ascii="宋体"/>
                <w:vanish/>
              </w:rPr>
            </w:pPr>
          </w:p>
        </w:tc>
        <w:tc>
          <w:tcPr>
            <w:tcW w:w="0" w:type="auto"/>
            <w:gridSpan w:val="3"/>
            <w:shd w:val="clear" w:color="auto" w:fill="auto"/>
            <w:vAlign w:val="bottom"/>
          </w:tcPr>
          <w:p w14:paraId="5F2D53D6" w14:textId="77777777" w:rsidR="00E836FB" w:rsidRDefault="00E836FB">
            <w:pPr>
              <w:rPr>
                <w:rFonts w:ascii="宋体"/>
                <w:vanish/>
              </w:rPr>
            </w:pPr>
          </w:p>
        </w:tc>
        <w:tc>
          <w:tcPr>
            <w:tcW w:w="0" w:type="auto"/>
            <w:gridSpan w:val="3"/>
            <w:shd w:val="clear" w:color="auto" w:fill="auto"/>
            <w:vAlign w:val="bottom"/>
          </w:tcPr>
          <w:p w14:paraId="5F2D53D7" w14:textId="77777777" w:rsidR="00E836FB" w:rsidRDefault="00E836FB">
            <w:pPr>
              <w:rPr>
                <w:rFonts w:ascii="宋体"/>
                <w:vanish/>
              </w:rPr>
            </w:pPr>
          </w:p>
        </w:tc>
        <w:tc>
          <w:tcPr>
            <w:tcW w:w="0" w:type="auto"/>
            <w:gridSpan w:val="3"/>
            <w:shd w:val="clear" w:color="auto" w:fill="auto"/>
            <w:vAlign w:val="bottom"/>
          </w:tcPr>
          <w:p w14:paraId="5F2D53D8" w14:textId="77777777" w:rsidR="00E836FB" w:rsidRDefault="00E836FB">
            <w:pPr>
              <w:rPr>
                <w:rFonts w:ascii="宋体"/>
                <w:vanish/>
              </w:rPr>
            </w:pPr>
          </w:p>
        </w:tc>
        <w:tc>
          <w:tcPr>
            <w:tcW w:w="0" w:type="auto"/>
            <w:gridSpan w:val="3"/>
            <w:shd w:val="clear" w:color="auto" w:fill="auto"/>
            <w:vAlign w:val="bottom"/>
          </w:tcPr>
          <w:p w14:paraId="5F2D53D9" w14:textId="77777777" w:rsidR="00E836FB" w:rsidRDefault="00E836FB">
            <w:pPr>
              <w:rPr>
                <w:rFonts w:ascii="宋体"/>
                <w:vanish/>
              </w:rPr>
            </w:pPr>
          </w:p>
        </w:tc>
        <w:tc>
          <w:tcPr>
            <w:tcW w:w="0" w:type="auto"/>
            <w:gridSpan w:val="3"/>
            <w:shd w:val="clear" w:color="auto" w:fill="auto"/>
            <w:vAlign w:val="bottom"/>
          </w:tcPr>
          <w:p w14:paraId="5F2D53DA" w14:textId="77777777" w:rsidR="00E836FB" w:rsidRDefault="00E836FB">
            <w:pPr>
              <w:rPr>
                <w:rFonts w:ascii="宋体"/>
                <w:vanish/>
              </w:rPr>
            </w:pPr>
          </w:p>
        </w:tc>
        <w:tc>
          <w:tcPr>
            <w:tcW w:w="0" w:type="auto"/>
            <w:gridSpan w:val="3"/>
            <w:shd w:val="clear" w:color="auto" w:fill="auto"/>
            <w:vAlign w:val="bottom"/>
          </w:tcPr>
          <w:p w14:paraId="5F2D53DB" w14:textId="77777777" w:rsidR="00E836FB" w:rsidRDefault="00E836FB">
            <w:pPr>
              <w:rPr>
                <w:rFonts w:ascii="宋体"/>
                <w:vanish/>
              </w:rPr>
            </w:pPr>
          </w:p>
        </w:tc>
        <w:tc>
          <w:tcPr>
            <w:tcW w:w="0" w:type="auto"/>
            <w:gridSpan w:val="3"/>
            <w:shd w:val="clear" w:color="auto" w:fill="auto"/>
            <w:vAlign w:val="bottom"/>
          </w:tcPr>
          <w:p w14:paraId="5F2D53DC" w14:textId="77777777" w:rsidR="00E836FB" w:rsidRDefault="00E836FB">
            <w:pPr>
              <w:rPr>
                <w:rFonts w:ascii="宋体"/>
                <w:vanish/>
              </w:rPr>
            </w:pPr>
          </w:p>
        </w:tc>
        <w:tc>
          <w:tcPr>
            <w:tcW w:w="0" w:type="auto"/>
            <w:gridSpan w:val="3"/>
            <w:shd w:val="clear" w:color="auto" w:fill="auto"/>
            <w:vAlign w:val="bottom"/>
          </w:tcPr>
          <w:p w14:paraId="5F2D53DD" w14:textId="77777777" w:rsidR="00E836FB" w:rsidRDefault="00E836FB">
            <w:pPr>
              <w:rPr>
                <w:rFonts w:ascii="宋体"/>
                <w:vanish/>
              </w:rPr>
            </w:pPr>
          </w:p>
        </w:tc>
        <w:tc>
          <w:tcPr>
            <w:tcW w:w="0" w:type="auto"/>
            <w:gridSpan w:val="3"/>
            <w:shd w:val="clear" w:color="auto" w:fill="auto"/>
            <w:vAlign w:val="bottom"/>
          </w:tcPr>
          <w:p w14:paraId="5F2D53DE" w14:textId="77777777" w:rsidR="00E836FB" w:rsidRDefault="00E836FB">
            <w:pPr>
              <w:rPr>
                <w:rFonts w:ascii="宋体"/>
                <w:vanish/>
              </w:rPr>
            </w:pPr>
          </w:p>
        </w:tc>
        <w:tc>
          <w:tcPr>
            <w:tcW w:w="0" w:type="auto"/>
            <w:gridSpan w:val="3"/>
            <w:shd w:val="clear" w:color="auto" w:fill="auto"/>
            <w:vAlign w:val="bottom"/>
          </w:tcPr>
          <w:p w14:paraId="5F2D53DF" w14:textId="77777777" w:rsidR="00E836FB" w:rsidRDefault="00E836FB">
            <w:pPr>
              <w:rPr>
                <w:rFonts w:ascii="宋体"/>
                <w:vanish/>
              </w:rPr>
            </w:pPr>
          </w:p>
        </w:tc>
        <w:tc>
          <w:tcPr>
            <w:tcW w:w="0" w:type="auto"/>
            <w:gridSpan w:val="3"/>
            <w:shd w:val="clear" w:color="auto" w:fill="auto"/>
            <w:vAlign w:val="bottom"/>
          </w:tcPr>
          <w:p w14:paraId="5F2D53E0" w14:textId="77777777" w:rsidR="00E836FB" w:rsidRDefault="00E836FB">
            <w:pPr>
              <w:rPr>
                <w:rFonts w:ascii="宋体"/>
                <w:vanish/>
              </w:rPr>
            </w:pPr>
          </w:p>
        </w:tc>
        <w:tc>
          <w:tcPr>
            <w:tcW w:w="0" w:type="auto"/>
            <w:gridSpan w:val="3"/>
            <w:shd w:val="clear" w:color="auto" w:fill="auto"/>
            <w:vAlign w:val="bottom"/>
          </w:tcPr>
          <w:p w14:paraId="5F2D53E1" w14:textId="77777777" w:rsidR="00E836FB" w:rsidRDefault="00E836FB">
            <w:pPr>
              <w:rPr>
                <w:rFonts w:ascii="宋体"/>
                <w:vanish/>
              </w:rPr>
            </w:pPr>
          </w:p>
        </w:tc>
        <w:tc>
          <w:tcPr>
            <w:tcW w:w="0" w:type="auto"/>
            <w:gridSpan w:val="3"/>
            <w:shd w:val="clear" w:color="auto" w:fill="auto"/>
            <w:vAlign w:val="bottom"/>
          </w:tcPr>
          <w:p w14:paraId="5F2D53E2" w14:textId="77777777" w:rsidR="00E836FB" w:rsidRDefault="00E836FB">
            <w:pPr>
              <w:rPr>
                <w:rFonts w:ascii="宋体"/>
                <w:vanish/>
              </w:rPr>
            </w:pPr>
          </w:p>
        </w:tc>
        <w:tc>
          <w:tcPr>
            <w:tcW w:w="0" w:type="auto"/>
            <w:gridSpan w:val="3"/>
            <w:shd w:val="clear" w:color="auto" w:fill="auto"/>
            <w:vAlign w:val="bottom"/>
          </w:tcPr>
          <w:p w14:paraId="5F2D53E3" w14:textId="77777777" w:rsidR="00E836FB" w:rsidRDefault="00E836FB">
            <w:pPr>
              <w:rPr>
                <w:rFonts w:ascii="宋体"/>
                <w:vanish/>
              </w:rPr>
            </w:pPr>
          </w:p>
        </w:tc>
        <w:tc>
          <w:tcPr>
            <w:tcW w:w="0" w:type="auto"/>
            <w:gridSpan w:val="3"/>
            <w:shd w:val="clear" w:color="auto" w:fill="auto"/>
            <w:vAlign w:val="bottom"/>
          </w:tcPr>
          <w:p w14:paraId="5F2D53E4" w14:textId="77777777" w:rsidR="00E836FB" w:rsidRDefault="00E836FB">
            <w:pPr>
              <w:rPr>
                <w:rFonts w:ascii="宋体"/>
                <w:vanish/>
              </w:rPr>
            </w:pPr>
          </w:p>
        </w:tc>
        <w:tc>
          <w:tcPr>
            <w:tcW w:w="0" w:type="auto"/>
            <w:gridSpan w:val="3"/>
            <w:shd w:val="clear" w:color="auto" w:fill="auto"/>
            <w:vAlign w:val="bottom"/>
          </w:tcPr>
          <w:p w14:paraId="5F2D53E5" w14:textId="77777777" w:rsidR="00E836FB" w:rsidRDefault="00E836FB">
            <w:pPr>
              <w:rPr>
                <w:rFonts w:ascii="宋体"/>
                <w:vanish/>
              </w:rPr>
            </w:pPr>
          </w:p>
        </w:tc>
        <w:tc>
          <w:tcPr>
            <w:tcW w:w="0" w:type="auto"/>
            <w:gridSpan w:val="2"/>
            <w:shd w:val="clear" w:color="auto" w:fill="auto"/>
            <w:vAlign w:val="bottom"/>
          </w:tcPr>
          <w:p w14:paraId="5F2D53E6" w14:textId="77777777" w:rsidR="00E836FB" w:rsidRDefault="00E836FB">
            <w:pPr>
              <w:rPr>
                <w:rFonts w:ascii="宋体"/>
                <w:vanish/>
              </w:rPr>
            </w:pPr>
          </w:p>
        </w:tc>
        <w:tc>
          <w:tcPr>
            <w:tcW w:w="0" w:type="auto"/>
            <w:shd w:val="clear" w:color="auto" w:fill="auto"/>
            <w:vAlign w:val="bottom"/>
          </w:tcPr>
          <w:p w14:paraId="5F2D53E7" w14:textId="77777777" w:rsidR="00E836FB" w:rsidRDefault="00E836FB">
            <w:pPr>
              <w:rPr>
                <w:rFonts w:ascii="宋体"/>
                <w:vanish/>
              </w:rPr>
            </w:pPr>
          </w:p>
        </w:tc>
      </w:tr>
      <w:tr w:rsidR="00E836FB" w14:paraId="5F2D53FF" w14:textId="77777777">
        <w:trPr>
          <w:hidden/>
        </w:trPr>
        <w:tc>
          <w:tcPr>
            <w:tcW w:w="0" w:type="auto"/>
            <w:gridSpan w:val="3"/>
            <w:shd w:val="clear" w:color="auto" w:fill="auto"/>
            <w:vAlign w:val="bottom"/>
          </w:tcPr>
          <w:p w14:paraId="5F2D53E9" w14:textId="77777777" w:rsidR="00E836FB" w:rsidRDefault="00E836FB">
            <w:pPr>
              <w:rPr>
                <w:rFonts w:ascii="宋体"/>
                <w:vanish/>
              </w:rPr>
            </w:pPr>
          </w:p>
        </w:tc>
        <w:tc>
          <w:tcPr>
            <w:tcW w:w="0" w:type="auto"/>
            <w:gridSpan w:val="3"/>
            <w:shd w:val="clear" w:color="auto" w:fill="auto"/>
            <w:vAlign w:val="bottom"/>
          </w:tcPr>
          <w:p w14:paraId="5F2D53EA" w14:textId="77777777" w:rsidR="00E836FB" w:rsidRDefault="00E836FB">
            <w:pPr>
              <w:rPr>
                <w:rFonts w:ascii="宋体"/>
                <w:vanish/>
              </w:rPr>
            </w:pPr>
          </w:p>
        </w:tc>
        <w:tc>
          <w:tcPr>
            <w:tcW w:w="0" w:type="auto"/>
            <w:gridSpan w:val="3"/>
            <w:shd w:val="clear" w:color="auto" w:fill="auto"/>
            <w:vAlign w:val="bottom"/>
          </w:tcPr>
          <w:p w14:paraId="5F2D53EB" w14:textId="77777777" w:rsidR="00E836FB" w:rsidRDefault="00E836FB">
            <w:pPr>
              <w:rPr>
                <w:rFonts w:ascii="宋体"/>
                <w:vanish/>
              </w:rPr>
            </w:pPr>
          </w:p>
        </w:tc>
        <w:tc>
          <w:tcPr>
            <w:tcW w:w="0" w:type="auto"/>
            <w:gridSpan w:val="3"/>
            <w:shd w:val="clear" w:color="auto" w:fill="auto"/>
            <w:vAlign w:val="bottom"/>
          </w:tcPr>
          <w:p w14:paraId="5F2D53EC" w14:textId="77777777" w:rsidR="00E836FB" w:rsidRDefault="00E836FB">
            <w:pPr>
              <w:rPr>
                <w:rFonts w:ascii="宋体"/>
                <w:vanish/>
              </w:rPr>
            </w:pPr>
          </w:p>
        </w:tc>
        <w:tc>
          <w:tcPr>
            <w:tcW w:w="0" w:type="auto"/>
            <w:gridSpan w:val="3"/>
            <w:shd w:val="clear" w:color="auto" w:fill="auto"/>
            <w:vAlign w:val="bottom"/>
          </w:tcPr>
          <w:p w14:paraId="5F2D53ED" w14:textId="77777777" w:rsidR="00E836FB" w:rsidRDefault="00E836FB">
            <w:pPr>
              <w:rPr>
                <w:rFonts w:ascii="宋体"/>
                <w:vanish/>
              </w:rPr>
            </w:pPr>
          </w:p>
        </w:tc>
        <w:tc>
          <w:tcPr>
            <w:tcW w:w="0" w:type="auto"/>
            <w:gridSpan w:val="3"/>
            <w:shd w:val="clear" w:color="auto" w:fill="auto"/>
            <w:vAlign w:val="bottom"/>
          </w:tcPr>
          <w:p w14:paraId="5F2D53EE" w14:textId="77777777" w:rsidR="00E836FB" w:rsidRDefault="00E836FB">
            <w:pPr>
              <w:rPr>
                <w:rFonts w:ascii="宋体"/>
                <w:vanish/>
              </w:rPr>
            </w:pPr>
          </w:p>
        </w:tc>
        <w:tc>
          <w:tcPr>
            <w:tcW w:w="0" w:type="auto"/>
            <w:gridSpan w:val="3"/>
            <w:shd w:val="clear" w:color="auto" w:fill="auto"/>
            <w:vAlign w:val="bottom"/>
          </w:tcPr>
          <w:p w14:paraId="5F2D53EF" w14:textId="77777777" w:rsidR="00E836FB" w:rsidRDefault="00E836FB">
            <w:pPr>
              <w:rPr>
                <w:rFonts w:ascii="宋体"/>
                <w:vanish/>
              </w:rPr>
            </w:pPr>
          </w:p>
        </w:tc>
        <w:tc>
          <w:tcPr>
            <w:tcW w:w="0" w:type="auto"/>
            <w:gridSpan w:val="3"/>
            <w:shd w:val="clear" w:color="auto" w:fill="auto"/>
            <w:vAlign w:val="bottom"/>
          </w:tcPr>
          <w:p w14:paraId="5F2D53F0" w14:textId="77777777" w:rsidR="00E836FB" w:rsidRDefault="00E836FB">
            <w:pPr>
              <w:rPr>
                <w:rFonts w:ascii="宋体"/>
                <w:vanish/>
              </w:rPr>
            </w:pPr>
          </w:p>
        </w:tc>
        <w:tc>
          <w:tcPr>
            <w:tcW w:w="0" w:type="auto"/>
            <w:gridSpan w:val="3"/>
            <w:shd w:val="clear" w:color="auto" w:fill="auto"/>
            <w:vAlign w:val="bottom"/>
          </w:tcPr>
          <w:p w14:paraId="5F2D53F1" w14:textId="77777777" w:rsidR="00E836FB" w:rsidRDefault="00E836FB">
            <w:pPr>
              <w:rPr>
                <w:rFonts w:ascii="宋体"/>
                <w:vanish/>
              </w:rPr>
            </w:pPr>
          </w:p>
        </w:tc>
        <w:tc>
          <w:tcPr>
            <w:tcW w:w="0" w:type="auto"/>
            <w:gridSpan w:val="3"/>
            <w:shd w:val="clear" w:color="auto" w:fill="auto"/>
            <w:vAlign w:val="bottom"/>
          </w:tcPr>
          <w:p w14:paraId="5F2D53F2" w14:textId="77777777" w:rsidR="00E836FB" w:rsidRDefault="00E836FB">
            <w:pPr>
              <w:rPr>
                <w:rFonts w:ascii="宋体"/>
                <w:vanish/>
              </w:rPr>
            </w:pPr>
          </w:p>
        </w:tc>
        <w:tc>
          <w:tcPr>
            <w:tcW w:w="0" w:type="auto"/>
            <w:gridSpan w:val="3"/>
            <w:shd w:val="clear" w:color="auto" w:fill="auto"/>
            <w:vAlign w:val="bottom"/>
          </w:tcPr>
          <w:p w14:paraId="5F2D53F3" w14:textId="77777777" w:rsidR="00E836FB" w:rsidRDefault="00E836FB">
            <w:pPr>
              <w:rPr>
                <w:rFonts w:ascii="宋体"/>
                <w:vanish/>
              </w:rPr>
            </w:pPr>
          </w:p>
        </w:tc>
        <w:tc>
          <w:tcPr>
            <w:tcW w:w="0" w:type="auto"/>
            <w:gridSpan w:val="3"/>
            <w:shd w:val="clear" w:color="auto" w:fill="auto"/>
            <w:vAlign w:val="bottom"/>
          </w:tcPr>
          <w:p w14:paraId="5F2D53F4" w14:textId="77777777" w:rsidR="00E836FB" w:rsidRDefault="00E836FB">
            <w:pPr>
              <w:rPr>
                <w:rFonts w:ascii="宋体"/>
                <w:vanish/>
              </w:rPr>
            </w:pPr>
          </w:p>
        </w:tc>
        <w:tc>
          <w:tcPr>
            <w:tcW w:w="0" w:type="auto"/>
            <w:gridSpan w:val="3"/>
            <w:shd w:val="clear" w:color="auto" w:fill="auto"/>
            <w:vAlign w:val="bottom"/>
          </w:tcPr>
          <w:p w14:paraId="5F2D53F5" w14:textId="77777777" w:rsidR="00E836FB" w:rsidRDefault="00E836FB">
            <w:pPr>
              <w:rPr>
                <w:rFonts w:ascii="宋体"/>
                <w:vanish/>
              </w:rPr>
            </w:pPr>
          </w:p>
        </w:tc>
        <w:tc>
          <w:tcPr>
            <w:tcW w:w="0" w:type="auto"/>
            <w:gridSpan w:val="3"/>
            <w:shd w:val="clear" w:color="auto" w:fill="auto"/>
            <w:vAlign w:val="bottom"/>
          </w:tcPr>
          <w:p w14:paraId="5F2D53F6" w14:textId="77777777" w:rsidR="00E836FB" w:rsidRDefault="00E836FB">
            <w:pPr>
              <w:rPr>
                <w:rFonts w:ascii="宋体"/>
                <w:vanish/>
              </w:rPr>
            </w:pPr>
          </w:p>
        </w:tc>
        <w:tc>
          <w:tcPr>
            <w:tcW w:w="0" w:type="auto"/>
            <w:gridSpan w:val="3"/>
            <w:shd w:val="clear" w:color="auto" w:fill="auto"/>
            <w:vAlign w:val="bottom"/>
          </w:tcPr>
          <w:p w14:paraId="5F2D53F7" w14:textId="77777777" w:rsidR="00E836FB" w:rsidRDefault="00E836FB">
            <w:pPr>
              <w:rPr>
                <w:rFonts w:ascii="宋体"/>
                <w:vanish/>
              </w:rPr>
            </w:pPr>
          </w:p>
        </w:tc>
        <w:tc>
          <w:tcPr>
            <w:tcW w:w="0" w:type="auto"/>
            <w:gridSpan w:val="3"/>
            <w:shd w:val="clear" w:color="auto" w:fill="auto"/>
            <w:vAlign w:val="bottom"/>
          </w:tcPr>
          <w:p w14:paraId="5F2D53F8" w14:textId="77777777" w:rsidR="00E836FB" w:rsidRDefault="00E836FB">
            <w:pPr>
              <w:rPr>
                <w:rFonts w:ascii="宋体"/>
                <w:vanish/>
              </w:rPr>
            </w:pPr>
          </w:p>
        </w:tc>
        <w:tc>
          <w:tcPr>
            <w:tcW w:w="0" w:type="auto"/>
            <w:gridSpan w:val="3"/>
            <w:shd w:val="clear" w:color="auto" w:fill="auto"/>
            <w:vAlign w:val="bottom"/>
          </w:tcPr>
          <w:p w14:paraId="5F2D53F9" w14:textId="77777777" w:rsidR="00E836FB" w:rsidRDefault="00E836FB">
            <w:pPr>
              <w:rPr>
                <w:rFonts w:ascii="宋体"/>
                <w:vanish/>
              </w:rPr>
            </w:pPr>
          </w:p>
        </w:tc>
        <w:tc>
          <w:tcPr>
            <w:tcW w:w="0" w:type="auto"/>
            <w:gridSpan w:val="3"/>
            <w:shd w:val="clear" w:color="auto" w:fill="auto"/>
            <w:vAlign w:val="bottom"/>
          </w:tcPr>
          <w:p w14:paraId="5F2D53FA" w14:textId="77777777" w:rsidR="00E836FB" w:rsidRDefault="00E836FB">
            <w:pPr>
              <w:rPr>
                <w:rFonts w:ascii="宋体"/>
                <w:vanish/>
              </w:rPr>
            </w:pPr>
          </w:p>
        </w:tc>
        <w:tc>
          <w:tcPr>
            <w:tcW w:w="0" w:type="auto"/>
            <w:gridSpan w:val="3"/>
            <w:shd w:val="clear" w:color="auto" w:fill="auto"/>
            <w:vAlign w:val="bottom"/>
          </w:tcPr>
          <w:p w14:paraId="5F2D53FB" w14:textId="77777777" w:rsidR="00E836FB" w:rsidRDefault="00E836FB">
            <w:pPr>
              <w:rPr>
                <w:rFonts w:ascii="宋体"/>
                <w:vanish/>
              </w:rPr>
            </w:pPr>
          </w:p>
        </w:tc>
        <w:tc>
          <w:tcPr>
            <w:tcW w:w="0" w:type="auto"/>
            <w:gridSpan w:val="3"/>
            <w:shd w:val="clear" w:color="auto" w:fill="auto"/>
            <w:vAlign w:val="bottom"/>
          </w:tcPr>
          <w:p w14:paraId="5F2D53FC" w14:textId="77777777" w:rsidR="00E836FB" w:rsidRDefault="00E836FB">
            <w:pPr>
              <w:rPr>
                <w:rFonts w:ascii="宋体"/>
                <w:vanish/>
              </w:rPr>
            </w:pPr>
          </w:p>
        </w:tc>
        <w:tc>
          <w:tcPr>
            <w:tcW w:w="0" w:type="auto"/>
            <w:gridSpan w:val="2"/>
            <w:shd w:val="clear" w:color="auto" w:fill="auto"/>
            <w:vAlign w:val="bottom"/>
          </w:tcPr>
          <w:p w14:paraId="5F2D53FD" w14:textId="77777777" w:rsidR="00E836FB" w:rsidRDefault="00E836FB">
            <w:pPr>
              <w:rPr>
                <w:rFonts w:ascii="宋体"/>
                <w:vanish/>
              </w:rPr>
            </w:pPr>
          </w:p>
        </w:tc>
        <w:tc>
          <w:tcPr>
            <w:tcW w:w="0" w:type="auto"/>
            <w:shd w:val="clear" w:color="auto" w:fill="auto"/>
            <w:vAlign w:val="bottom"/>
          </w:tcPr>
          <w:p w14:paraId="5F2D53FE" w14:textId="77777777" w:rsidR="00E836FB" w:rsidRDefault="00E836FB">
            <w:pPr>
              <w:rPr>
                <w:rFonts w:ascii="宋体"/>
                <w:vanish/>
              </w:rPr>
            </w:pPr>
          </w:p>
        </w:tc>
      </w:tr>
      <w:tr w:rsidR="00E836FB" w14:paraId="5F2D5416" w14:textId="77777777">
        <w:trPr>
          <w:hidden/>
        </w:trPr>
        <w:tc>
          <w:tcPr>
            <w:tcW w:w="0" w:type="auto"/>
            <w:gridSpan w:val="3"/>
            <w:shd w:val="clear" w:color="auto" w:fill="auto"/>
            <w:vAlign w:val="bottom"/>
          </w:tcPr>
          <w:p w14:paraId="5F2D5400" w14:textId="77777777" w:rsidR="00E836FB" w:rsidRDefault="00E836FB">
            <w:pPr>
              <w:rPr>
                <w:rFonts w:ascii="宋体"/>
                <w:vanish/>
              </w:rPr>
            </w:pPr>
          </w:p>
        </w:tc>
        <w:tc>
          <w:tcPr>
            <w:tcW w:w="0" w:type="auto"/>
            <w:gridSpan w:val="3"/>
            <w:shd w:val="clear" w:color="auto" w:fill="auto"/>
            <w:vAlign w:val="bottom"/>
          </w:tcPr>
          <w:p w14:paraId="5F2D5401" w14:textId="77777777" w:rsidR="00E836FB" w:rsidRDefault="00E836FB">
            <w:pPr>
              <w:rPr>
                <w:rFonts w:ascii="宋体"/>
                <w:vanish/>
              </w:rPr>
            </w:pPr>
          </w:p>
        </w:tc>
        <w:tc>
          <w:tcPr>
            <w:tcW w:w="0" w:type="auto"/>
            <w:gridSpan w:val="3"/>
            <w:shd w:val="clear" w:color="auto" w:fill="auto"/>
            <w:vAlign w:val="bottom"/>
          </w:tcPr>
          <w:p w14:paraId="5F2D5402" w14:textId="77777777" w:rsidR="00E836FB" w:rsidRDefault="00E836FB">
            <w:pPr>
              <w:rPr>
                <w:rFonts w:ascii="宋体"/>
                <w:vanish/>
              </w:rPr>
            </w:pPr>
          </w:p>
        </w:tc>
        <w:tc>
          <w:tcPr>
            <w:tcW w:w="0" w:type="auto"/>
            <w:gridSpan w:val="3"/>
            <w:shd w:val="clear" w:color="auto" w:fill="auto"/>
            <w:vAlign w:val="bottom"/>
          </w:tcPr>
          <w:p w14:paraId="5F2D5403" w14:textId="77777777" w:rsidR="00E836FB" w:rsidRDefault="00E836FB">
            <w:pPr>
              <w:rPr>
                <w:rFonts w:ascii="宋体"/>
                <w:vanish/>
              </w:rPr>
            </w:pPr>
          </w:p>
        </w:tc>
        <w:tc>
          <w:tcPr>
            <w:tcW w:w="0" w:type="auto"/>
            <w:gridSpan w:val="3"/>
            <w:shd w:val="clear" w:color="auto" w:fill="auto"/>
            <w:vAlign w:val="bottom"/>
          </w:tcPr>
          <w:p w14:paraId="5F2D5404" w14:textId="77777777" w:rsidR="00E836FB" w:rsidRDefault="00E836FB">
            <w:pPr>
              <w:rPr>
                <w:rFonts w:ascii="宋体"/>
                <w:vanish/>
              </w:rPr>
            </w:pPr>
          </w:p>
        </w:tc>
        <w:tc>
          <w:tcPr>
            <w:tcW w:w="0" w:type="auto"/>
            <w:gridSpan w:val="3"/>
            <w:shd w:val="clear" w:color="auto" w:fill="auto"/>
            <w:vAlign w:val="bottom"/>
          </w:tcPr>
          <w:p w14:paraId="5F2D5405" w14:textId="77777777" w:rsidR="00E836FB" w:rsidRDefault="00E836FB">
            <w:pPr>
              <w:rPr>
                <w:rFonts w:ascii="宋体"/>
                <w:vanish/>
              </w:rPr>
            </w:pPr>
          </w:p>
        </w:tc>
        <w:tc>
          <w:tcPr>
            <w:tcW w:w="0" w:type="auto"/>
            <w:gridSpan w:val="3"/>
            <w:shd w:val="clear" w:color="auto" w:fill="auto"/>
            <w:vAlign w:val="bottom"/>
          </w:tcPr>
          <w:p w14:paraId="5F2D5406" w14:textId="77777777" w:rsidR="00E836FB" w:rsidRDefault="00E836FB">
            <w:pPr>
              <w:rPr>
                <w:rFonts w:ascii="宋体"/>
                <w:vanish/>
              </w:rPr>
            </w:pPr>
          </w:p>
        </w:tc>
        <w:tc>
          <w:tcPr>
            <w:tcW w:w="0" w:type="auto"/>
            <w:gridSpan w:val="3"/>
            <w:shd w:val="clear" w:color="auto" w:fill="auto"/>
            <w:vAlign w:val="bottom"/>
          </w:tcPr>
          <w:p w14:paraId="5F2D5407" w14:textId="77777777" w:rsidR="00E836FB" w:rsidRDefault="00E836FB">
            <w:pPr>
              <w:rPr>
                <w:rFonts w:ascii="宋体"/>
                <w:vanish/>
              </w:rPr>
            </w:pPr>
          </w:p>
        </w:tc>
        <w:tc>
          <w:tcPr>
            <w:tcW w:w="0" w:type="auto"/>
            <w:gridSpan w:val="3"/>
            <w:shd w:val="clear" w:color="auto" w:fill="auto"/>
            <w:vAlign w:val="bottom"/>
          </w:tcPr>
          <w:p w14:paraId="5F2D5408" w14:textId="77777777" w:rsidR="00E836FB" w:rsidRDefault="00E836FB">
            <w:pPr>
              <w:rPr>
                <w:rFonts w:ascii="宋体"/>
                <w:vanish/>
              </w:rPr>
            </w:pPr>
          </w:p>
        </w:tc>
        <w:tc>
          <w:tcPr>
            <w:tcW w:w="0" w:type="auto"/>
            <w:gridSpan w:val="3"/>
            <w:shd w:val="clear" w:color="auto" w:fill="auto"/>
            <w:vAlign w:val="bottom"/>
          </w:tcPr>
          <w:p w14:paraId="5F2D5409" w14:textId="77777777" w:rsidR="00E836FB" w:rsidRDefault="00E836FB">
            <w:pPr>
              <w:rPr>
                <w:rFonts w:ascii="宋体"/>
                <w:vanish/>
              </w:rPr>
            </w:pPr>
          </w:p>
        </w:tc>
        <w:tc>
          <w:tcPr>
            <w:tcW w:w="0" w:type="auto"/>
            <w:gridSpan w:val="3"/>
            <w:shd w:val="clear" w:color="auto" w:fill="auto"/>
            <w:vAlign w:val="bottom"/>
          </w:tcPr>
          <w:p w14:paraId="5F2D540A" w14:textId="77777777" w:rsidR="00E836FB" w:rsidRDefault="00E836FB">
            <w:pPr>
              <w:rPr>
                <w:rFonts w:ascii="宋体"/>
                <w:vanish/>
              </w:rPr>
            </w:pPr>
          </w:p>
        </w:tc>
        <w:tc>
          <w:tcPr>
            <w:tcW w:w="0" w:type="auto"/>
            <w:gridSpan w:val="3"/>
            <w:shd w:val="clear" w:color="auto" w:fill="auto"/>
            <w:vAlign w:val="bottom"/>
          </w:tcPr>
          <w:p w14:paraId="5F2D540B" w14:textId="77777777" w:rsidR="00E836FB" w:rsidRDefault="00E836FB">
            <w:pPr>
              <w:rPr>
                <w:rFonts w:ascii="宋体"/>
                <w:vanish/>
              </w:rPr>
            </w:pPr>
          </w:p>
        </w:tc>
        <w:tc>
          <w:tcPr>
            <w:tcW w:w="0" w:type="auto"/>
            <w:gridSpan w:val="3"/>
            <w:shd w:val="clear" w:color="auto" w:fill="auto"/>
            <w:vAlign w:val="bottom"/>
          </w:tcPr>
          <w:p w14:paraId="5F2D540C" w14:textId="77777777" w:rsidR="00E836FB" w:rsidRDefault="00E836FB">
            <w:pPr>
              <w:rPr>
                <w:rFonts w:ascii="宋体"/>
                <w:vanish/>
              </w:rPr>
            </w:pPr>
          </w:p>
        </w:tc>
        <w:tc>
          <w:tcPr>
            <w:tcW w:w="0" w:type="auto"/>
            <w:gridSpan w:val="3"/>
            <w:shd w:val="clear" w:color="auto" w:fill="auto"/>
            <w:vAlign w:val="bottom"/>
          </w:tcPr>
          <w:p w14:paraId="5F2D540D" w14:textId="77777777" w:rsidR="00E836FB" w:rsidRDefault="00E836FB">
            <w:pPr>
              <w:rPr>
                <w:rFonts w:ascii="宋体"/>
                <w:vanish/>
              </w:rPr>
            </w:pPr>
          </w:p>
        </w:tc>
        <w:tc>
          <w:tcPr>
            <w:tcW w:w="0" w:type="auto"/>
            <w:gridSpan w:val="3"/>
            <w:shd w:val="clear" w:color="auto" w:fill="auto"/>
            <w:vAlign w:val="bottom"/>
          </w:tcPr>
          <w:p w14:paraId="5F2D540E" w14:textId="77777777" w:rsidR="00E836FB" w:rsidRDefault="00E836FB">
            <w:pPr>
              <w:rPr>
                <w:rFonts w:ascii="宋体"/>
                <w:vanish/>
              </w:rPr>
            </w:pPr>
          </w:p>
        </w:tc>
        <w:tc>
          <w:tcPr>
            <w:tcW w:w="0" w:type="auto"/>
            <w:gridSpan w:val="3"/>
            <w:shd w:val="clear" w:color="auto" w:fill="auto"/>
            <w:vAlign w:val="bottom"/>
          </w:tcPr>
          <w:p w14:paraId="5F2D540F" w14:textId="77777777" w:rsidR="00E836FB" w:rsidRDefault="00E836FB">
            <w:pPr>
              <w:rPr>
                <w:rFonts w:ascii="宋体"/>
                <w:vanish/>
              </w:rPr>
            </w:pPr>
          </w:p>
        </w:tc>
        <w:tc>
          <w:tcPr>
            <w:tcW w:w="0" w:type="auto"/>
            <w:gridSpan w:val="3"/>
            <w:shd w:val="clear" w:color="auto" w:fill="auto"/>
            <w:vAlign w:val="bottom"/>
          </w:tcPr>
          <w:p w14:paraId="5F2D5410" w14:textId="77777777" w:rsidR="00E836FB" w:rsidRDefault="00E836FB">
            <w:pPr>
              <w:rPr>
                <w:rFonts w:ascii="宋体"/>
                <w:vanish/>
              </w:rPr>
            </w:pPr>
          </w:p>
        </w:tc>
        <w:tc>
          <w:tcPr>
            <w:tcW w:w="0" w:type="auto"/>
            <w:gridSpan w:val="3"/>
            <w:shd w:val="clear" w:color="auto" w:fill="auto"/>
            <w:vAlign w:val="bottom"/>
          </w:tcPr>
          <w:p w14:paraId="5F2D5411" w14:textId="77777777" w:rsidR="00E836FB" w:rsidRDefault="00E836FB">
            <w:pPr>
              <w:rPr>
                <w:rFonts w:ascii="宋体"/>
                <w:vanish/>
              </w:rPr>
            </w:pPr>
          </w:p>
        </w:tc>
        <w:tc>
          <w:tcPr>
            <w:tcW w:w="0" w:type="auto"/>
            <w:gridSpan w:val="3"/>
            <w:shd w:val="clear" w:color="auto" w:fill="auto"/>
            <w:vAlign w:val="bottom"/>
          </w:tcPr>
          <w:p w14:paraId="5F2D5412" w14:textId="77777777" w:rsidR="00E836FB" w:rsidRDefault="00E836FB">
            <w:pPr>
              <w:rPr>
                <w:rFonts w:ascii="宋体"/>
                <w:vanish/>
              </w:rPr>
            </w:pPr>
          </w:p>
        </w:tc>
        <w:tc>
          <w:tcPr>
            <w:tcW w:w="0" w:type="auto"/>
            <w:gridSpan w:val="3"/>
            <w:shd w:val="clear" w:color="auto" w:fill="auto"/>
            <w:vAlign w:val="bottom"/>
          </w:tcPr>
          <w:p w14:paraId="5F2D5413" w14:textId="77777777" w:rsidR="00E836FB" w:rsidRDefault="00E836FB">
            <w:pPr>
              <w:rPr>
                <w:rFonts w:ascii="宋体"/>
                <w:vanish/>
              </w:rPr>
            </w:pPr>
          </w:p>
        </w:tc>
        <w:tc>
          <w:tcPr>
            <w:tcW w:w="0" w:type="auto"/>
            <w:gridSpan w:val="2"/>
            <w:shd w:val="clear" w:color="auto" w:fill="auto"/>
            <w:vAlign w:val="bottom"/>
          </w:tcPr>
          <w:p w14:paraId="5F2D5414" w14:textId="77777777" w:rsidR="00E836FB" w:rsidRDefault="00E836FB">
            <w:pPr>
              <w:rPr>
                <w:rFonts w:ascii="宋体"/>
                <w:vanish/>
              </w:rPr>
            </w:pPr>
          </w:p>
        </w:tc>
        <w:tc>
          <w:tcPr>
            <w:tcW w:w="0" w:type="auto"/>
            <w:shd w:val="clear" w:color="auto" w:fill="auto"/>
            <w:vAlign w:val="bottom"/>
          </w:tcPr>
          <w:p w14:paraId="5F2D5415" w14:textId="77777777" w:rsidR="00E836FB" w:rsidRDefault="00E836FB">
            <w:pPr>
              <w:rPr>
                <w:rFonts w:ascii="宋体"/>
                <w:vanish/>
              </w:rPr>
            </w:pPr>
          </w:p>
        </w:tc>
      </w:tr>
      <w:tr w:rsidR="00E836FB" w14:paraId="5F2D542D" w14:textId="77777777">
        <w:trPr>
          <w:hidden/>
        </w:trPr>
        <w:tc>
          <w:tcPr>
            <w:tcW w:w="0" w:type="auto"/>
            <w:gridSpan w:val="3"/>
            <w:shd w:val="clear" w:color="auto" w:fill="auto"/>
            <w:vAlign w:val="bottom"/>
          </w:tcPr>
          <w:p w14:paraId="5F2D5417" w14:textId="77777777" w:rsidR="00E836FB" w:rsidRDefault="00E836FB">
            <w:pPr>
              <w:rPr>
                <w:rFonts w:ascii="宋体"/>
                <w:vanish/>
              </w:rPr>
            </w:pPr>
          </w:p>
        </w:tc>
        <w:tc>
          <w:tcPr>
            <w:tcW w:w="0" w:type="auto"/>
            <w:gridSpan w:val="3"/>
            <w:shd w:val="clear" w:color="auto" w:fill="auto"/>
            <w:vAlign w:val="bottom"/>
          </w:tcPr>
          <w:p w14:paraId="5F2D5418" w14:textId="77777777" w:rsidR="00E836FB" w:rsidRDefault="00E836FB">
            <w:pPr>
              <w:rPr>
                <w:rFonts w:ascii="宋体"/>
                <w:vanish/>
              </w:rPr>
            </w:pPr>
          </w:p>
        </w:tc>
        <w:tc>
          <w:tcPr>
            <w:tcW w:w="0" w:type="auto"/>
            <w:gridSpan w:val="3"/>
            <w:shd w:val="clear" w:color="auto" w:fill="auto"/>
            <w:vAlign w:val="bottom"/>
          </w:tcPr>
          <w:p w14:paraId="5F2D5419" w14:textId="77777777" w:rsidR="00E836FB" w:rsidRDefault="00E836FB">
            <w:pPr>
              <w:rPr>
                <w:rFonts w:ascii="宋体"/>
                <w:vanish/>
              </w:rPr>
            </w:pPr>
          </w:p>
        </w:tc>
        <w:tc>
          <w:tcPr>
            <w:tcW w:w="0" w:type="auto"/>
            <w:gridSpan w:val="3"/>
            <w:shd w:val="clear" w:color="auto" w:fill="auto"/>
            <w:vAlign w:val="bottom"/>
          </w:tcPr>
          <w:p w14:paraId="5F2D541A" w14:textId="77777777" w:rsidR="00E836FB" w:rsidRDefault="00E836FB">
            <w:pPr>
              <w:rPr>
                <w:rFonts w:ascii="宋体"/>
                <w:vanish/>
              </w:rPr>
            </w:pPr>
          </w:p>
        </w:tc>
        <w:tc>
          <w:tcPr>
            <w:tcW w:w="0" w:type="auto"/>
            <w:gridSpan w:val="3"/>
            <w:shd w:val="clear" w:color="auto" w:fill="auto"/>
            <w:vAlign w:val="bottom"/>
          </w:tcPr>
          <w:p w14:paraId="5F2D541B" w14:textId="77777777" w:rsidR="00E836FB" w:rsidRDefault="00E836FB">
            <w:pPr>
              <w:rPr>
                <w:rFonts w:ascii="宋体"/>
                <w:vanish/>
              </w:rPr>
            </w:pPr>
          </w:p>
        </w:tc>
        <w:tc>
          <w:tcPr>
            <w:tcW w:w="0" w:type="auto"/>
            <w:gridSpan w:val="3"/>
            <w:shd w:val="clear" w:color="auto" w:fill="auto"/>
            <w:vAlign w:val="bottom"/>
          </w:tcPr>
          <w:p w14:paraId="5F2D541C" w14:textId="77777777" w:rsidR="00E836FB" w:rsidRDefault="00E836FB">
            <w:pPr>
              <w:rPr>
                <w:rFonts w:ascii="宋体"/>
                <w:vanish/>
              </w:rPr>
            </w:pPr>
          </w:p>
        </w:tc>
        <w:tc>
          <w:tcPr>
            <w:tcW w:w="0" w:type="auto"/>
            <w:gridSpan w:val="3"/>
            <w:shd w:val="clear" w:color="auto" w:fill="auto"/>
            <w:vAlign w:val="bottom"/>
          </w:tcPr>
          <w:p w14:paraId="5F2D541D" w14:textId="77777777" w:rsidR="00E836FB" w:rsidRDefault="00E836FB">
            <w:pPr>
              <w:rPr>
                <w:rFonts w:ascii="宋体"/>
                <w:vanish/>
              </w:rPr>
            </w:pPr>
          </w:p>
        </w:tc>
        <w:tc>
          <w:tcPr>
            <w:tcW w:w="0" w:type="auto"/>
            <w:gridSpan w:val="3"/>
            <w:shd w:val="clear" w:color="auto" w:fill="auto"/>
            <w:vAlign w:val="bottom"/>
          </w:tcPr>
          <w:p w14:paraId="5F2D541E" w14:textId="77777777" w:rsidR="00E836FB" w:rsidRDefault="00E836FB">
            <w:pPr>
              <w:rPr>
                <w:rFonts w:ascii="宋体"/>
                <w:vanish/>
              </w:rPr>
            </w:pPr>
          </w:p>
        </w:tc>
        <w:tc>
          <w:tcPr>
            <w:tcW w:w="0" w:type="auto"/>
            <w:gridSpan w:val="3"/>
            <w:shd w:val="clear" w:color="auto" w:fill="auto"/>
            <w:vAlign w:val="bottom"/>
          </w:tcPr>
          <w:p w14:paraId="5F2D541F" w14:textId="77777777" w:rsidR="00E836FB" w:rsidRDefault="00E836FB">
            <w:pPr>
              <w:rPr>
                <w:rFonts w:ascii="宋体"/>
                <w:vanish/>
              </w:rPr>
            </w:pPr>
          </w:p>
        </w:tc>
        <w:tc>
          <w:tcPr>
            <w:tcW w:w="0" w:type="auto"/>
            <w:gridSpan w:val="3"/>
            <w:shd w:val="clear" w:color="auto" w:fill="auto"/>
            <w:vAlign w:val="bottom"/>
          </w:tcPr>
          <w:p w14:paraId="5F2D5420" w14:textId="77777777" w:rsidR="00E836FB" w:rsidRDefault="00E836FB">
            <w:pPr>
              <w:rPr>
                <w:rFonts w:ascii="宋体"/>
                <w:vanish/>
              </w:rPr>
            </w:pPr>
          </w:p>
        </w:tc>
        <w:tc>
          <w:tcPr>
            <w:tcW w:w="0" w:type="auto"/>
            <w:gridSpan w:val="3"/>
            <w:shd w:val="clear" w:color="auto" w:fill="auto"/>
            <w:vAlign w:val="bottom"/>
          </w:tcPr>
          <w:p w14:paraId="5F2D5421" w14:textId="77777777" w:rsidR="00E836FB" w:rsidRDefault="00E836FB">
            <w:pPr>
              <w:rPr>
                <w:rFonts w:ascii="宋体"/>
                <w:vanish/>
              </w:rPr>
            </w:pPr>
          </w:p>
        </w:tc>
        <w:tc>
          <w:tcPr>
            <w:tcW w:w="0" w:type="auto"/>
            <w:gridSpan w:val="3"/>
            <w:shd w:val="clear" w:color="auto" w:fill="auto"/>
            <w:vAlign w:val="bottom"/>
          </w:tcPr>
          <w:p w14:paraId="5F2D5422" w14:textId="77777777" w:rsidR="00E836FB" w:rsidRDefault="00E836FB">
            <w:pPr>
              <w:rPr>
                <w:rFonts w:ascii="宋体"/>
                <w:vanish/>
              </w:rPr>
            </w:pPr>
          </w:p>
        </w:tc>
        <w:tc>
          <w:tcPr>
            <w:tcW w:w="0" w:type="auto"/>
            <w:gridSpan w:val="3"/>
            <w:shd w:val="clear" w:color="auto" w:fill="auto"/>
            <w:vAlign w:val="bottom"/>
          </w:tcPr>
          <w:p w14:paraId="5F2D5423" w14:textId="77777777" w:rsidR="00E836FB" w:rsidRDefault="00E836FB">
            <w:pPr>
              <w:rPr>
                <w:rFonts w:ascii="宋体"/>
                <w:vanish/>
              </w:rPr>
            </w:pPr>
          </w:p>
        </w:tc>
        <w:tc>
          <w:tcPr>
            <w:tcW w:w="0" w:type="auto"/>
            <w:gridSpan w:val="3"/>
            <w:shd w:val="clear" w:color="auto" w:fill="auto"/>
            <w:vAlign w:val="bottom"/>
          </w:tcPr>
          <w:p w14:paraId="5F2D5424" w14:textId="77777777" w:rsidR="00E836FB" w:rsidRDefault="00E836FB">
            <w:pPr>
              <w:rPr>
                <w:rFonts w:ascii="宋体"/>
                <w:vanish/>
              </w:rPr>
            </w:pPr>
          </w:p>
        </w:tc>
        <w:tc>
          <w:tcPr>
            <w:tcW w:w="0" w:type="auto"/>
            <w:gridSpan w:val="3"/>
            <w:shd w:val="clear" w:color="auto" w:fill="auto"/>
            <w:vAlign w:val="bottom"/>
          </w:tcPr>
          <w:p w14:paraId="5F2D5425" w14:textId="77777777" w:rsidR="00E836FB" w:rsidRDefault="00E836FB">
            <w:pPr>
              <w:rPr>
                <w:rFonts w:ascii="宋体"/>
                <w:vanish/>
              </w:rPr>
            </w:pPr>
          </w:p>
        </w:tc>
        <w:tc>
          <w:tcPr>
            <w:tcW w:w="0" w:type="auto"/>
            <w:gridSpan w:val="3"/>
            <w:shd w:val="clear" w:color="auto" w:fill="auto"/>
            <w:vAlign w:val="bottom"/>
          </w:tcPr>
          <w:p w14:paraId="5F2D5426" w14:textId="77777777" w:rsidR="00E836FB" w:rsidRDefault="00E836FB">
            <w:pPr>
              <w:rPr>
                <w:rFonts w:ascii="宋体"/>
                <w:vanish/>
              </w:rPr>
            </w:pPr>
          </w:p>
        </w:tc>
        <w:tc>
          <w:tcPr>
            <w:tcW w:w="0" w:type="auto"/>
            <w:gridSpan w:val="3"/>
            <w:shd w:val="clear" w:color="auto" w:fill="auto"/>
            <w:vAlign w:val="bottom"/>
          </w:tcPr>
          <w:p w14:paraId="5F2D5427" w14:textId="77777777" w:rsidR="00E836FB" w:rsidRDefault="00E836FB">
            <w:pPr>
              <w:rPr>
                <w:rFonts w:ascii="宋体"/>
                <w:vanish/>
              </w:rPr>
            </w:pPr>
          </w:p>
        </w:tc>
        <w:tc>
          <w:tcPr>
            <w:tcW w:w="0" w:type="auto"/>
            <w:gridSpan w:val="3"/>
            <w:shd w:val="clear" w:color="auto" w:fill="auto"/>
            <w:vAlign w:val="bottom"/>
          </w:tcPr>
          <w:p w14:paraId="5F2D5428" w14:textId="77777777" w:rsidR="00E836FB" w:rsidRDefault="00E836FB">
            <w:pPr>
              <w:rPr>
                <w:rFonts w:ascii="宋体"/>
                <w:vanish/>
              </w:rPr>
            </w:pPr>
          </w:p>
        </w:tc>
        <w:tc>
          <w:tcPr>
            <w:tcW w:w="0" w:type="auto"/>
            <w:gridSpan w:val="3"/>
            <w:shd w:val="clear" w:color="auto" w:fill="auto"/>
            <w:vAlign w:val="bottom"/>
          </w:tcPr>
          <w:p w14:paraId="5F2D5429" w14:textId="77777777" w:rsidR="00E836FB" w:rsidRDefault="00E836FB">
            <w:pPr>
              <w:rPr>
                <w:rFonts w:ascii="宋体"/>
                <w:vanish/>
              </w:rPr>
            </w:pPr>
          </w:p>
        </w:tc>
        <w:tc>
          <w:tcPr>
            <w:tcW w:w="0" w:type="auto"/>
            <w:gridSpan w:val="3"/>
            <w:shd w:val="clear" w:color="auto" w:fill="auto"/>
            <w:vAlign w:val="bottom"/>
          </w:tcPr>
          <w:p w14:paraId="5F2D542A" w14:textId="77777777" w:rsidR="00E836FB" w:rsidRDefault="00E836FB">
            <w:pPr>
              <w:rPr>
                <w:rFonts w:ascii="宋体"/>
                <w:vanish/>
              </w:rPr>
            </w:pPr>
          </w:p>
        </w:tc>
        <w:tc>
          <w:tcPr>
            <w:tcW w:w="0" w:type="auto"/>
            <w:gridSpan w:val="2"/>
            <w:shd w:val="clear" w:color="auto" w:fill="auto"/>
            <w:vAlign w:val="bottom"/>
          </w:tcPr>
          <w:p w14:paraId="5F2D542B" w14:textId="77777777" w:rsidR="00E836FB" w:rsidRDefault="00E836FB">
            <w:pPr>
              <w:rPr>
                <w:rFonts w:ascii="宋体"/>
                <w:vanish/>
              </w:rPr>
            </w:pPr>
          </w:p>
        </w:tc>
        <w:tc>
          <w:tcPr>
            <w:tcW w:w="0" w:type="auto"/>
            <w:shd w:val="clear" w:color="auto" w:fill="auto"/>
            <w:vAlign w:val="bottom"/>
          </w:tcPr>
          <w:p w14:paraId="5F2D542C" w14:textId="77777777" w:rsidR="00E836FB" w:rsidRDefault="00E836FB">
            <w:pPr>
              <w:rPr>
                <w:rFonts w:ascii="宋体"/>
                <w:vanish/>
              </w:rPr>
            </w:pPr>
          </w:p>
        </w:tc>
      </w:tr>
      <w:tr w:rsidR="00E836FB" w14:paraId="5F2D5444" w14:textId="77777777">
        <w:trPr>
          <w:hidden/>
        </w:trPr>
        <w:tc>
          <w:tcPr>
            <w:tcW w:w="0" w:type="auto"/>
            <w:gridSpan w:val="3"/>
            <w:shd w:val="clear" w:color="auto" w:fill="auto"/>
            <w:vAlign w:val="bottom"/>
          </w:tcPr>
          <w:p w14:paraId="5F2D542E" w14:textId="77777777" w:rsidR="00E836FB" w:rsidRDefault="00E836FB">
            <w:pPr>
              <w:rPr>
                <w:rFonts w:ascii="宋体"/>
                <w:vanish/>
              </w:rPr>
            </w:pPr>
          </w:p>
        </w:tc>
        <w:tc>
          <w:tcPr>
            <w:tcW w:w="0" w:type="auto"/>
            <w:gridSpan w:val="3"/>
            <w:shd w:val="clear" w:color="auto" w:fill="auto"/>
            <w:vAlign w:val="bottom"/>
          </w:tcPr>
          <w:p w14:paraId="5F2D542F" w14:textId="77777777" w:rsidR="00E836FB" w:rsidRDefault="00E836FB">
            <w:pPr>
              <w:rPr>
                <w:rFonts w:ascii="宋体"/>
                <w:vanish/>
              </w:rPr>
            </w:pPr>
          </w:p>
        </w:tc>
        <w:tc>
          <w:tcPr>
            <w:tcW w:w="0" w:type="auto"/>
            <w:gridSpan w:val="3"/>
            <w:shd w:val="clear" w:color="auto" w:fill="auto"/>
            <w:vAlign w:val="bottom"/>
          </w:tcPr>
          <w:p w14:paraId="5F2D5430" w14:textId="77777777" w:rsidR="00E836FB" w:rsidRDefault="00E836FB">
            <w:pPr>
              <w:rPr>
                <w:rFonts w:ascii="宋体"/>
                <w:vanish/>
              </w:rPr>
            </w:pPr>
          </w:p>
        </w:tc>
        <w:tc>
          <w:tcPr>
            <w:tcW w:w="0" w:type="auto"/>
            <w:gridSpan w:val="3"/>
            <w:shd w:val="clear" w:color="auto" w:fill="auto"/>
            <w:vAlign w:val="bottom"/>
          </w:tcPr>
          <w:p w14:paraId="5F2D5431" w14:textId="77777777" w:rsidR="00E836FB" w:rsidRDefault="00E836FB">
            <w:pPr>
              <w:rPr>
                <w:rFonts w:ascii="宋体"/>
                <w:vanish/>
              </w:rPr>
            </w:pPr>
          </w:p>
        </w:tc>
        <w:tc>
          <w:tcPr>
            <w:tcW w:w="0" w:type="auto"/>
            <w:gridSpan w:val="3"/>
            <w:shd w:val="clear" w:color="auto" w:fill="auto"/>
            <w:vAlign w:val="bottom"/>
          </w:tcPr>
          <w:p w14:paraId="5F2D5432" w14:textId="77777777" w:rsidR="00E836FB" w:rsidRDefault="00E836FB">
            <w:pPr>
              <w:rPr>
                <w:rFonts w:ascii="宋体"/>
                <w:vanish/>
              </w:rPr>
            </w:pPr>
          </w:p>
        </w:tc>
        <w:tc>
          <w:tcPr>
            <w:tcW w:w="0" w:type="auto"/>
            <w:gridSpan w:val="3"/>
            <w:shd w:val="clear" w:color="auto" w:fill="auto"/>
            <w:vAlign w:val="bottom"/>
          </w:tcPr>
          <w:p w14:paraId="5F2D5433" w14:textId="77777777" w:rsidR="00E836FB" w:rsidRDefault="00E836FB">
            <w:pPr>
              <w:rPr>
                <w:rFonts w:ascii="宋体"/>
                <w:vanish/>
              </w:rPr>
            </w:pPr>
          </w:p>
        </w:tc>
        <w:tc>
          <w:tcPr>
            <w:tcW w:w="0" w:type="auto"/>
            <w:gridSpan w:val="3"/>
            <w:shd w:val="clear" w:color="auto" w:fill="auto"/>
            <w:vAlign w:val="bottom"/>
          </w:tcPr>
          <w:p w14:paraId="5F2D5434" w14:textId="77777777" w:rsidR="00E836FB" w:rsidRDefault="00E836FB">
            <w:pPr>
              <w:rPr>
                <w:rFonts w:ascii="宋体"/>
                <w:vanish/>
              </w:rPr>
            </w:pPr>
          </w:p>
        </w:tc>
        <w:tc>
          <w:tcPr>
            <w:tcW w:w="0" w:type="auto"/>
            <w:gridSpan w:val="3"/>
            <w:shd w:val="clear" w:color="auto" w:fill="auto"/>
            <w:vAlign w:val="bottom"/>
          </w:tcPr>
          <w:p w14:paraId="5F2D5435" w14:textId="77777777" w:rsidR="00E836FB" w:rsidRDefault="00E836FB">
            <w:pPr>
              <w:rPr>
                <w:rFonts w:ascii="宋体"/>
                <w:vanish/>
              </w:rPr>
            </w:pPr>
          </w:p>
        </w:tc>
        <w:tc>
          <w:tcPr>
            <w:tcW w:w="0" w:type="auto"/>
            <w:gridSpan w:val="3"/>
            <w:shd w:val="clear" w:color="auto" w:fill="auto"/>
            <w:vAlign w:val="bottom"/>
          </w:tcPr>
          <w:p w14:paraId="5F2D5436" w14:textId="77777777" w:rsidR="00E836FB" w:rsidRDefault="00E836FB">
            <w:pPr>
              <w:rPr>
                <w:rFonts w:ascii="宋体"/>
                <w:vanish/>
              </w:rPr>
            </w:pPr>
          </w:p>
        </w:tc>
        <w:tc>
          <w:tcPr>
            <w:tcW w:w="0" w:type="auto"/>
            <w:gridSpan w:val="3"/>
            <w:shd w:val="clear" w:color="auto" w:fill="auto"/>
            <w:vAlign w:val="bottom"/>
          </w:tcPr>
          <w:p w14:paraId="5F2D5437" w14:textId="77777777" w:rsidR="00E836FB" w:rsidRDefault="00E836FB">
            <w:pPr>
              <w:rPr>
                <w:rFonts w:ascii="宋体"/>
                <w:vanish/>
              </w:rPr>
            </w:pPr>
          </w:p>
        </w:tc>
        <w:tc>
          <w:tcPr>
            <w:tcW w:w="0" w:type="auto"/>
            <w:gridSpan w:val="3"/>
            <w:shd w:val="clear" w:color="auto" w:fill="auto"/>
            <w:vAlign w:val="bottom"/>
          </w:tcPr>
          <w:p w14:paraId="5F2D5438" w14:textId="77777777" w:rsidR="00E836FB" w:rsidRDefault="00E836FB">
            <w:pPr>
              <w:rPr>
                <w:rFonts w:ascii="宋体"/>
                <w:vanish/>
              </w:rPr>
            </w:pPr>
          </w:p>
        </w:tc>
        <w:tc>
          <w:tcPr>
            <w:tcW w:w="0" w:type="auto"/>
            <w:gridSpan w:val="3"/>
            <w:shd w:val="clear" w:color="auto" w:fill="auto"/>
            <w:vAlign w:val="bottom"/>
          </w:tcPr>
          <w:p w14:paraId="5F2D5439" w14:textId="77777777" w:rsidR="00E836FB" w:rsidRDefault="00E836FB">
            <w:pPr>
              <w:rPr>
                <w:rFonts w:ascii="宋体"/>
                <w:vanish/>
              </w:rPr>
            </w:pPr>
          </w:p>
        </w:tc>
        <w:tc>
          <w:tcPr>
            <w:tcW w:w="0" w:type="auto"/>
            <w:gridSpan w:val="3"/>
            <w:shd w:val="clear" w:color="auto" w:fill="auto"/>
            <w:vAlign w:val="bottom"/>
          </w:tcPr>
          <w:p w14:paraId="5F2D543A" w14:textId="77777777" w:rsidR="00E836FB" w:rsidRDefault="00E836FB">
            <w:pPr>
              <w:rPr>
                <w:rFonts w:ascii="宋体"/>
                <w:vanish/>
              </w:rPr>
            </w:pPr>
          </w:p>
        </w:tc>
        <w:tc>
          <w:tcPr>
            <w:tcW w:w="0" w:type="auto"/>
            <w:gridSpan w:val="3"/>
            <w:shd w:val="clear" w:color="auto" w:fill="auto"/>
            <w:vAlign w:val="bottom"/>
          </w:tcPr>
          <w:p w14:paraId="5F2D543B" w14:textId="77777777" w:rsidR="00E836FB" w:rsidRDefault="00E836FB">
            <w:pPr>
              <w:rPr>
                <w:rFonts w:ascii="宋体"/>
                <w:vanish/>
              </w:rPr>
            </w:pPr>
          </w:p>
        </w:tc>
        <w:tc>
          <w:tcPr>
            <w:tcW w:w="0" w:type="auto"/>
            <w:gridSpan w:val="3"/>
            <w:shd w:val="clear" w:color="auto" w:fill="auto"/>
            <w:vAlign w:val="bottom"/>
          </w:tcPr>
          <w:p w14:paraId="5F2D543C" w14:textId="77777777" w:rsidR="00E836FB" w:rsidRDefault="00E836FB">
            <w:pPr>
              <w:rPr>
                <w:rFonts w:ascii="宋体"/>
                <w:vanish/>
              </w:rPr>
            </w:pPr>
          </w:p>
        </w:tc>
        <w:tc>
          <w:tcPr>
            <w:tcW w:w="0" w:type="auto"/>
            <w:gridSpan w:val="3"/>
            <w:shd w:val="clear" w:color="auto" w:fill="auto"/>
            <w:vAlign w:val="bottom"/>
          </w:tcPr>
          <w:p w14:paraId="5F2D543D" w14:textId="77777777" w:rsidR="00E836FB" w:rsidRDefault="00E836FB">
            <w:pPr>
              <w:rPr>
                <w:rFonts w:ascii="宋体"/>
                <w:vanish/>
              </w:rPr>
            </w:pPr>
          </w:p>
        </w:tc>
        <w:tc>
          <w:tcPr>
            <w:tcW w:w="0" w:type="auto"/>
            <w:gridSpan w:val="3"/>
            <w:shd w:val="clear" w:color="auto" w:fill="auto"/>
            <w:vAlign w:val="bottom"/>
          </w:tcPr>
          <w:p w14:paraId="5F2D543E" w14:textId="77777777" w:rsidR="00E836FB" w:rsidRDefault="00E836FB">
            <w:pPr>
              <w:rPr>
                <w:rFonts w:ascii="宋体"/>
                <w:vanish/>
              </w:rPr>
            </w:pPr>
          </w:p>
        </w:tc>
        <w:tc>
          <w:tcPr>
            <w:tcW w:w="0" w:type="auto"/>
            <w:gridSpan w:val="3"/>
            <w:shd w:val="clear" w:color="auto" w:fill="auto"/>
            <w:vAlign w:val="bottom"/>
          </w:tcPr>
          <w:p w14:paraId="5F2D543F" w14:textId="77777777" w:rsidR="00E836FB" w:rsidRDefault="00E836FB">
            <w:pPr>
              <w:rPr>
                <w:rFonts w:ascii="宋体"/>
                <w:vanish/>
              </w:rPr>
            </w:pPr>
          </w:p>
        </w:tc>
        <w:tc>
          <w:tcPr>
            <w:tcW w:w="0" w:type="auto"/>
            <w:gridSpan w:val="3"/>
            <w:shd w:val="clear" w:color="auto" w:fill="auto"/>
            <w:vAlign w:val="bottom"/>
          </w:tcPr>
          <w:p w14:paraId="5F2D5440" w14:textId="77777777" w:rsidR="00E836FB" w:rsidRDefault="00E836FB">
            <w:pPr>
              <w:rPr>
                <w:rFonts w:ascii="宋体"/>
                <w:vanish/>
              </w:rPr>
            </w:pPr>
          </w:p>
        </w:tc>
        <w:tc>
          <w:tcPr>
            <w:tcW w:w="0" w:type="auto"/>
            <w:gridSpan w:val="3"/>
            <w:shd w:val="clear" w:color="auto" w:fill="auto"/>
            <w:vAlign w:val="bottom"/>
          </w:tcPr>
          <w:p w14:paraId="5F2D5441" w14:textId="77777777" w:rsidR="00E836FB" w:rsidRDefault="00E836FB">
            <w:pPr>
              <w:rPr>
                <w:rFonts w:ascii="宋体"/>
                <w:vanish/>
              </w:rPr>
            </w:pPr>
          </w:p>
        </w:tc>
        <w:tc>
          <w:tcPr>
            <w:tcW w:w="0" w:type="auto"/>
            <w:gridSpan w:val="2"/>
            <w:shd w:val="clear" w:color="auto" w:fill="auto"/>
            <w:vAlign w:val="bottom"/>
          </w:tcPr>
          <w:p w14:paraId="5F2D5442" w14:textId="77777777" w:rsidR="00E836FB" w:rsidRDefault="00E836FB">
            <w:pPr>
              <w:rPr>
                <w:rFonts w:ascii="宋体"/>
                <w:vanish/>
              </w:rPr>
            </w:pPr>
          </w:p>
        </w:tc>
        <w:tc>
          <w:tcPr>
            <w:tcW w:w="0" w:type="auto"/>
            <w:shd w:val="clear" w:color="auto" w:fill="auto"/>
            <w:vAlign w:val="bottom"/>
          </w:tcPr>
          <w:p w14:paraId="5F2D5443" w14:textId="77777777" w:rsidR="00E836FB" w:rsidRDefault="00E836FB">
            <w:pPr>
              <w:rPr>
                <w:rFonts w:ascii="宋体"/>
                <w:vanish/>
              </w:rPr>
            </w:pPr>
          </w:p>
        </w:tc>
      </w:tr>
      <w:tr w:rsidR="00E836FB" w14:paraId="5F2D5447" w14:textId="77777777">
        <w:tc>
          <w:tcPr>
            <w:tcW w:w="0" w:type="auto"/>
            <w:gridSpan w:val="3"/>
            <w:shd w:val="clear" w:color="auto" w:fill="auto"/>
            <w:tcMar>
              <w:top w:w="0" w:type="dxa"/>
              <w:left w:w="20" w:type="dxa"/>
              <w:bottom w:w="0" w:type="dxa"/>
              <w:right w:w="20" w:type="dxa"/>
            </w:tcMar>
            <w:vAlign w:val="bottom"/>
          </w:tcPr>
          <w:p w14:paraId="5F2D5445" w14:textId="77777777" w:rsidR="00E836FB" w:rsidRDefault="00E836FB">
            <w:pPr>
              <w:rPr>
                <w:rFonts w:ascii="宋体"/>
              </w:rPr>
            </w:pPr>
          </w:p>
        </w:tc>
        <w:tc>
          <w:tcPr>
            <w:tcW w:w="0" w:type="auto"/>
            <w:gridSpan w:val="60"/>
            <w:tcBorders>
              <w:bottom w:val="single" w:sz="8" w:space="0" w:color="000000"/>
            </w:tcBorders>
            <w:shd w:val="clear" w:color="auto" w:fill="auto"/>
            <w:tcMar>
              <w:top w:w="40" w:type="dxa"/>
              <w:left w:w="20" w:type="dxa"/>
              <w:bottom w:w="40" w:type="dxa"/>
              <w:right w:w="20" w:type="dxa"/>
            </w:tcMar>
            <w:vAlign w:val="bottom"/>
          </w:tcPr>
          <w:p w14:paraId="5F2D5446" w14:textId="77777777" w:rsidR="00E836FB" w:rsidRDefault="00994958">
            <w:pPr>
              <w:jc w:val="center"/>
              <w:textAlignment w:val="bottom"/>
            </w:pPr>
            <w:r>
              <w:rPr>
                <w:rFonts w:ascii="Arial" w:eastAsia="宋体" w:hAnsi="Arial" w:cs="Arial"/>
                <w:b/>
                <w:bCs/>
                <w:color w:val="000000"/>
                <w:sz w:val="13"/>
                <w:szCs w:val="13"/>
              </w:rPr>
              <w:t>Years Ended December 31,</w:t>
            </w:r>
          </w:p>
        </w:tc>
      </w:tr>
      <w:tr w:rsidR="00E836FB" w14:paraId="5F2D5450" w14:textId="77777777">
        <w:tc>
          <w:tcPr>
            <w:tcW w:w="0" w:type="auto"/>
            <w:gridSpan w:val="3"/>
            <w:shd w:val="clear" w:color="auto" w:fill="auto"/>
            <w:tcMar>
              <w:top w:w="0" w:type="dxa"/>
              <w:left w:w="20" w:type="dxa"/>
              <w:bottom w:w="0" w:type="dxa"/>
              <w:right w:w="20" w:type="dxa"/>
            </w:tcMar>
            <w:vAlign w:val="bottom"/>
          </w:tcPr>
          <w:p w14:paraId="5F2D5448"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449" w14:textId="77777777" w:rsidR="00E836FB" w:rsidRDefault="00994958">
            <w:pPr>
              <w:jc w:val="center"/>
              <w:textAlignment w:val="bottom"/>
            </w:pPr>
            <w:r>
              <w:rPr>
                <w:rFonts w:ascii="Arial" w:eastAsia="宋体" w:hAnsi="Arial" w:cs="Arial"/>
                <w:b/>
                <w:bCs/>
                <w:color w:val="000000"/>
                <w:sz w:val="13"/>
                <w:szCs w:val="13"/>
              </w:rPr>
              <w:t>Investment</w:t>
            </w:r>
            <w:r>
              <w:rPr>
                <w:rFonts w:ascii="Arial" w:eastAsia="宋体" w:hAnsi="Arial" w:cs="Arial"/>
                <w:b/>
                <w:bCs/>
                <w:color w:val="000000"/>
                <w:sz w:val="13"/>
                <w:szCs w:val="13"/>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44A"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44B" w14:textId="77777777" w:rsidR="00E836FB" w:rsidRDefault="00994958">
            <w:pPr>
              <w:jc w:val="center"/>
              <w:textAlignment w:val="bottom"/>
            </w:pPr>
            <w:r>
              <w:rPr>
                <w:rFonts w:ascii="Arial" w:eastAsia="宋体" w:hAnsi="Arial" w:cs="Arial"/>
                <w:b/>
                <w:bCs/>
                <w:color w:val="000000"/>
                <w:sz w:val="13"/>
                <w:szCs w:val="13"/>
              </w:rPr>
              <w:t>Investment</w:t>
            </w:r>
            <w:r>
              <w:rPr>
                <w:rFonts w:ascii="Arial" w:eastAsia="宋体" w:hAnsi="Arial" w:cs="Arial"/>
                <w:b/>
                <w:bCs/>
                <w:color w:val="000000"/>
                <w:sz w:val="13"/>
                <w:szCs w:val="13"/>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44C"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44D" w14:textId="77777777" w:rsidR="00E836FB" w:rsidRDefault="00994958">
            <w:pPr>
              <w:jc w:val="center"/>
              <w:textAlignment w:val="bottom"/>
            </w:pPr>
            <w:r>
              <w:rPr>
                <w:rFonts w:ascii="Arial" w:eastAsia="宋体" w:hAnsi="Arial" w:cs="Arial"/>
                <w:b/>
                <w:bCs/>
                <w:color w:val="000000"/>
                <w:sz w:val="13"/>
                <w:szCs w:val="13"/>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44E" w14:textId="77777777" w:rsidR="00E836FB" w:rsidRDefault="00E836FB">
            <w:pPr>
              <w:rPr>
                <w:rFonts w:ascii="宋体"/>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5F2D544F" w14:textId="77777777" w:rsidR="00E836FB" w:rsidRDefault="00994958">
            <w:pPr>
              <w:jc w:val="center"/>
              <w:textAlignment w:val="bottom"/>
            </w:pPr>
            <w:r>
              <w:rPr>
                <w:rFonts w:ascii="Arial" w:eastAsia="宋体" w:hAnsi="Arial" w:cs="Arial"/>
                <w:b/>
                <w:bCs/>
                <w:color w:val="000000"/>
                <w:sz w:val="13"/>
                <w:szCs w:val="13"/>
              </w:rPr>
              <w:t>Total</w:t>
            </w:r>
          </w:p>
        </w:tc>
      </w:tr>
      <w:tr w:rsidR="00E836FB" w14:paraId="5F2D5468" w14:textId="77777777">
        <w:tc>
          <w:tcPr>
            <w:tcW w:w="0" w:type="auto"/>
            <w:gridSpan w:val="3"/>
            <w:shd w:val="clear" w:color="auto" w:fill="FFFFFF"/>
            <w:tcMar>
              <w:top w:w="40" w:type="dxa"/>
              <w:left w:w="20" w:type="dxa"/>
              <w:bottom w:w="40" w:type="dxa"/>
              <w:right w:w="20" w:type="dxa"/>
            </w:tcMar>
            <w:vAlign w:val="bottom"/>
          </w:tcPr>
          <w:p w14:paraId="5F2D5451" w14:textId="77777777" w:rsidR="00E836FB" w:rsidRDefault="00994958">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52"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453"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54" w14:textId="77777777" w:rsidR="00E836FB" w:rsidRDefault="00994958">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455"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56" w14:textId="77777777" w:rsidR="00E836FB" w:rsidRDefault="00994958">
            <w:pPr>
              <w:jc w:val="center"/>
              <w:textAlignment w:val="bottom"/>
            </w:pPr>
            <w:r>
              <w:rPr>
                <w:rFonts w:ascii="Arial" w:eastAsia="宋体" w:hAnsi="Arial" w:cs="Arial"/>
                <w:b/>
                <w:bCs/>
                <w:color w:val="000000"/>
                <w:sz w:val="13"/>
                <w:szCs w:val="13"/>
              </w:rPr>
              <w:t>2019</w:t>
            </w:r>
          </w:p>
        </w:tc>
        <w:tc>
          <w:tcPr>
            <w:tcW w:w="0" w:type="auto"/>
            <w:gridSpan w:val="3"/>
            <w:shd w:val="clear" w:color="auto" w:fill="FFFFFF"/>
            <w:tcMar>
              <w:top w:w="0" w:type="dxa"/>
              <w:left w:w="20" w:type="dxa"/>
              <w:bottom w:w="0" w:type="dxa"/>
              <w:right w:w="20" w:type="dxa"/>
            </w:tcMar>
            <w:vAlign w:val="bottom"/>
          </w:tcPr>
          <w:p w14:paraId="5F2D5457"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58"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459"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5A" w14:textId="77777777" w:rsidR="00E836FB" w:rsidRDefault="00994958">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45B"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5C" w14:textId="77777777" w:rsidR="00E836FB" w:rsidRDefault="00994958">
            <w:pPr>
              <w:jc w:val="center"/>
              <w:textAlignment w:val="bottom"/>
            </w:pPr>
            <w:r>
              <w:rPr>
                <w:rFonts w:ascii="Arial" w:eastAsia="宋体" w:hAnsi="Arial" w:cs="Arial"/>
                <w:b/>
                <w:bCs/>
                <w:color w:val="000000"/>
                <w:sz w:val="13"/>
                <w:szCs w:val="13"/>
              </w:rPr>
              <w:t>2019</w:t>
            </w:r>
          </w:p>
        </w:tc>
        <w:tc>
          <w:tcPr>
            <w:tcW w:w="0" w:type="auto"/>
            <w:gridSpan w:val="3"/>
            <w:shd w:val="clear" w:color="auto" w:fill="FFFFFF"/>
            <w:tcMar>
              <w:top w:w="0" w:type="dxa"/>
              <w:left w:w="20" w:type="dxa"/>
              <w:bottom w:w="0" w:type="dxa"/>
              <w:right w:w="20" w:type="dxa"/>
            </w:tcMar>
            <w:vAlign w:val="bottom"/>
          </w:tcPr>
          <w:p w14:paraId="5F2D545D"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5E"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45F"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60" w14:textId="77777777" w:rsidR="00E836FB" w:rsidRDefault="00994958">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461"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62" w14:textId="77777777" w:rsidR="00E836FB" w:rsidRDefault="00994958">
            <w:pPr>
              <w:jc w:val="center"/>
              <w:textAlignment w:val="bottom"/>
            </w:pPr>
            <w:r>
              <w:rPr>
                <w:rFonts w:ascii="Arial" w:eastAsia="宋体" w:hAnsi="Arial" w:cs="Arial"/>
                <w:b/>
                <w:bCs/>
                <w:color w:val="000000"/>
                <w:sz w:val="13"/>
                <w:szCs w:val="13"/>
              </w:rPr>
              <w:t>2019</w:t>
            </w:r>
          </w:p>
        </w:tc>
        <w:tc>
          <w:tcPr>
            <w:tcW w:w="0" w:type="auto"/>
            <w:gridSpan w:val="3"/>
            <w:shd w:val="clear" w:color="auto" w:fill="FFFFFF"/>
            <w:tcMar>
              <w:top w:w="0" w:type="dxa"/>
              <w:left w:w="20" w:type="dxa"/>
              <w:bottom w:w="0" w:type="dxa"/>
              <w:right w:w="20" w:type="dxa"/>
            </w:tcMar>
            <w:vAlign w:val="bottom"/>
          </w:tcPr>
          <w:p w14:paraId="5F2D5463"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464" w14:textId="77777777" w:rsidR="00E836FB" w:rsidRDefault="00994958">
            <w:pPr>
              <w:jc w:val="center"/>
              <w:textAlignment w:val="bottom"/>
            </w:pPr>
            <w:r>
              <w:rPr>
                <w:rFonts w:ascii="Arial" w:eastAsia="宋体" w:hAnsi="Arial" w:cs="Arial"/>
                <w:b/>
                <w:bCs/>
                <w:color w:val="000000"/>
                <w:sz w:val="13"/>
                <w:szCs w:val="13"/>
              </w:rPr>
              <w:t>2021</w:t>
            </w:r>
          </w:p>
        </w:tc>
        <w:tc>
          <w:tcPr>
            <w:tcW w:w="0" w:type="auto"/>
            <w:gridSpan w:val="2"/>
            <w:tcBorders>
              <w:top w:val="single" w:sz="8" w:space="0" w:color="000000"/>
            </w:tcBorders>
            <w:shd w:val="clear" w:color="auto" w:fill="FFFFFF"/>
            <w:tcMar>
              <w:top w:w="0" w:type="dxa"/>
              <w:left w:w="20" w:type="dxa"/>
              <w:bottom w:w="0" w:type="dxa"/>
              <w:right w:w="20" w:type="dxa"/>
            </w:tcMar>
            <w:vAlign w:val="bottom"/>
          </w:tcPr>
          <w:p w14:paraId="5F2D5465"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20" w:type="dxa"/>
            </w:tcMar>
            <w:vAlign w:val="bottom"/>
          </w:tcPr>
          <w:p w14:paraId="5F2D5466" w14:textId="77777777" w:rsidR="00E836FB" w:rsidRDefault="00994958">
            <w:pPr>
              <w:jc w:val="center"/>
              <w:textAlignment w:val="bottom"/>
            </w:pPr>
            <w:r>
              <w:rPr>
                <w:rFonts w:ascii="Arial" w:eastAsia="宋体" w:hAnsi="Arial" w:cs="Arial"/>
                <w:b/>
                <w:bCs/>
                <w:color w:val="000000"/>
                <w:sz w:val="13"/>
                <w:szCs w:val="13"/>
              </w:rPr>
              <w:t>2020</w:t>
            </w:r>
          </w:p>
          <w:p w14:paraId="5F2D5467" w14:textId="77777777" w:rsidR="00E836FB" w:rsidRDefault="00994958">
            <w:pPr>
              <w:jc w:val="center"/>
              <w:textAlignment w:val="bottom"/>
            </w:pPr>
            <w:r>
              <w:rPr>
                <w:rFonts w:ascii="Arial" w:eastAsia="宋体" w:hAnsi="Arial" w:cs="Arial"/>
                <w:b/>
                <w:bCs/>
                <w:color w:val="000000"/>
                <w:sz w:val="13"/>
                <w:szCs w:val="13"/>
              </w:rPr>
              <w:t>2019</w:t>
            </w:r>
          </w:p>
        </w:tc>
      </w:tr>
      <w:tr w:rsidR="00994958" w14:paraId="5F2D5496" w14:textId="77777777">
        <w:tc>
          <w:tcPr>
            <w:tcW w:w="0" w:type="auto"/>
            <w:gridSpan w:val="3"/>
            <w:shd w:val="clear" w:color="auto" w:fill="CCEEFF"/>
            <w:tcMar>
              <w:top w:w="40" w:type="dxa"/>
              <w:left w:w="20" w:type="dxa"/>
              <w:bottom w:w="40" w:type="dxa"/>
              <w:right w:w="20" w:type="dxa"/>
            </w:tcMar>
            <w:vAlign w:val="bottom"/>
          </w:tcPr>
          <w:p w14:paraId="5F2D5469" w14:textId="77777777" w:rsidR="00E836FB" w:rsidRDefault="00994958">
            <w:pPr>
              <w:textAlignment w:val="bottom"/>
            </w:pPr>
            <w:r>
              <w:rPr>
                <w:rFonts w:ascii="Arial" w:eastAsia="宋体" w:hAnsi="Arial" w:cs="Arial"/>
                <w:color w:val="000000"/>
                <w:sz w:val="13"/>
                <w:szCs w:val="13"/>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46A"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6B" w14:textId="77777777" w:rsidR="00E836FB" w:rsidRDefault="00994958">
            <w:pPr>
              <w:jc w:val="right"/>
              <w:textAlignment w:val="bottom"/>
            </w:pPr>
            <w:r>
              <w:rPr>
                <w:rFonts w:ascii="Arial" w:eastAsia="宋体" w:hAnsi="Arial" w:cs="Arial"/>
                <w:b/>
                <w:bCs/>
                <w:color w:val="000000"/>
                <w:sz w:val="13"/>
                <w:szCs w:val="13"/>
              </w:rPr>
              <w:t>5,549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6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6E"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6F" w14:textId="77777777" w:rsidR="00E836FB" w:rsidRDefault="00994958">
            <w:pPr>
              <w:jc w:val="right"/>
              <w:textAlignment w:val="bottom"/>
            </w:pPr>
            <w:r>
              <w:rPr>
                <w:rFonts w:ascii="Arial" w:eastAsia="宋体" w:hAnsi="Arial" w:cs="Arial"/>
                <w:color w:val="000000"/>
                <w:sz w:val="13"/>
                <w:szCs w:val="13"/>
              </w:rPr>
              <w:t>5,167 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7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72"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73" w14:textId="77777777" w:rsidR="00E836FB" w:rsidRDefault="00994958">
            <w:pPr>
              <w:jc w:val="right"/>
              <w:textAlignment w:val="bottom"/>
            </w:pPr>
            <w:r>
              <w:rPr>
                <w:rFonts w:ascii="Arial" w:eastAsia="宋体" w:hAnsi="Arial" w:cs="Arial"/>
                <w:color w:val="000000"/>
                <w:sz w:val="13"/>
                <w:szCs w:val="13"/>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7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76"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77"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7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7A"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7B"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7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7E"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7F"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8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82"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83"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8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86"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87"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8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8A"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8B"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8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8E"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48F" w14:textId="77777777" w:rsidR="00E836FB" w:rsidRDefault="00994958">
            <w:pPr>
              <w:jc w:val="right"/>
              <w:textAlignment w:val="bottom"/>
            </w:pPr>
            <w:r>
              <w:rPr>
                <w:rFonts w:ascii="Arial" w:eastAsia="宋体" w:hAnsi="Arial" w:cs="Arial"/>
                <w:b/>
                <w:bCs/>
                <w:color w:val="000000"/>
                <w:sz w:val="13"/>
                <w:szCs w:val="13"/>
              </w:rPr>
              <w:t>5,549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490"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549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492" w14:textId="77777777" w:rsidR="00E836FB" w:rsidRDefault="00994958">
            <w:pPr>
              <w:textAlignment w:val="bottom"/>
            </w:pPr>
            <w:r>
              <w:rPr>
                <w:rFonts w:ascii="Arial" w:eastAsia="宋体" w:hAnsi="Arial" w:cs="Arial"/>
                <w:color w:val="000000"/>
                <w:sz w:val="13"/>
                <w:szCs w:val="13"/>
              </w:rPr>
              <w:t>$</w:t>
            </w:r>
          </w:p>
          <w:p w14:paraId="5F2D5493" w14:textId="77777777" w:rsidR="00E836FB" w:rsidRDefault="00994958">
            <w:pPr>
              <w:jc w:val="right"/>
              <w:textAlignment w:val="bottom"/>
            </w:pPr>
            <w:r>
              <w:rPr>
                <w:rFonts w:ascii="Arial" w:eastAsia="宋体" w:hAnsi="Arial" w:cs="Arial"/>
                <w:color w:val="000000"/>
                <w:sz w:val="13"/>
                <w:szCs w:val="13"/>
              </w:rPr>
              <w:t>5,167 </w:t>
            </w:r>
          </w:p>
          <w:p w14:paraId="5F2D5494" w14:textId="77777777" w:rsidR="00E836FB" w:rsidRDefault="00994958">
            <w:pPr>
              <w:textAlignment w:val="bottom"/>
            </w:pPr>
            <w:r>
              <w:rPr>
                <w:rFonts w:ascii="Arial" w:eastAsia="宋体" w:hAnsi="Arial" w:cs="Arial"/>
                <w:color w:val="000000"/>
                <w:sz w:val="13"/>
                <w:szCs w:val="13"/>
              </w:rPr>
              <w:t>$</w:t>
            </w:r>
          </w:p>
          <w:p w14:paraId="5F2D5495" w14:textId="77777777" w:rsidR="00E836FB" w:rsidRDefault="00994958">
            <w:pPr>
              <w:jc w:val="right"/>
              <w:textAlignment w:val="bottom"/>
            </w:pPr>
            <w:r>
              <w:rPr>
                <w:rFonts w:ascii="Arial" w:eastAsia="宋体" w:hAnsi="Arial" w:cs="Arial"/>
                <w:color w:val="000000"/>
                <w:sz w:val="13"/>
                <w:szCs w:val="13"/>
              </w:rPr>
              <w:t>5,074 </w:t>
            </w:r>
          </w:p>
        </w:tc>
      </w:tr>
      <w:tr w:rsidR="00E836FB" w14:paraId="5F2D54B8" w14:textId="77777777">
        <w:tc>
          <w:tcPr>
            <w:tcW w:w="0" w:type="auto"/>
            <w:gridSpan w:val="3"/>
            <w:shd w:val="clear" w:color="auto" w:fill="FFFFFF"/>
            <w:tcMar>
              <w:top w:w="40" w:type="dxa"/>
              <w:left w:w="20" w:type="dxa"/>
              <w:bottom w:w="40" w:type="dxa"/>
              <w:right w:w="20" w:type="dxa"/>
            </w:tcMar>
            <w:vAlign w:val="bottom"/>
          </w:tcPr>
          <w:p w14:paraId="5F2D5497" w14:textId="77777777" w:rsidR="00E836FB" w:rsidRDefault="00994958">
            <w:pPr>
              <w:textAlignment w:val="bottom"/>
            </w:pPr>
            <w:r>
              <w:rPr>
                <w:rFonts w:ascii="Arial" w:eastAsia="宋体" w:hAnsi="Arial" w:cs="Arial"/>
                <w:color w:val="000000"/>
                <w:sz w:val="13"/>
                <w:szCs w:val="13"/>
              </w:rPr>
              <w:t>Management fees</w:t>
            </w:r>
          </w:p>
        </w:tc>
        <w:tc>
          <w:tcPr>
            <w:tcW w:w="0" w:type="auto"/>
            <w:gridSpan w:val="2"/>
            <w:shd w:val="clear" w:color="auto" w:fill="FFFFFF"/>
            <w:tcMar>
              <w:top w:w="40" w:type="dxa"/>
              <w:left w:w="20" w:type="dxa"/>
              <w:bottom w:w="40" w:type="dxa"/>
              <w:right w:w="0" w:type="dxa"/>
            </w:tcMar>
            <w:vAlign w:val="bottom"/>
          </w:tcPr>
          <w:p w14:paraId="5F2D5498"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9B"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9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9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9E"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9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A1" w14:textId="77777777" w:rsidR="00E836FB" w:rsidRDefault="00994958">
            <w:pPr>
              <w:jc w:val="right"/>
              <w:textAlignment w:val="bottom"/>
            </w:pPr>
            <w:r>
              <w:rPr>
                <w:rFonts w:ascii="Arial" w:eastAsia="宋体" w:hAnsi="Arial" w:cs="Arial"/>
                <w:b/>
                <w:bCs/>
                <w:color w:val="000000"/>
                <w:sz w:val="13"/>
                <w:szCs w:val="13"/>
              </w:rPr>
              <w:t>2,053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A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A4" w14:textId="77777777" w:rsidR="00E836FB" w:rsidRDefault="00994958">
            <w:pPr>
              <w:jc w:val="right"/>
              <w:textAlignment w:val="bottom"/>
            </w:pPr>
            <w:r>
              <w:rPr>
                <w:rFonts w:ascii="Arial" w:eastAsia="宋体" w:hAnsi="Arial" w:cs="Arial"/>
                <w:color w:val="000000"/>
                <w:sz w:val="13"/>
                <w:szCs w:val="13"/>
              </w:rPr>
              <w:t>1,880 </w:t>
            </w:r>
          </w:p>
        </w:tc>
        <w:tc>
          <w:tcPr>
            <w:tcW w:w="0" w:type="auto"/>
            <w:shd w:val="clear" w:color="auto" w:fill="FFFFFF"/>
            <w:tcMar>
              <w:top w:w="40" w:type="dxa"/>
              <w:left w:w="0" w:type="dxa"/>
              <w:bottom w:w="40" w:type="dxa"/>
              <w:right w:w="20" w:type="dxa"/>
            </w:tcMar>
            <w:vAlign w:val="bottom"/>
          </w:tcPr>
          <w:p w14:paraId="5F2D54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A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A7" w14:textId="77777777" w:rsidR="00E836FB" w:rsidRDefault="00994958">
            <w:pPr>
              <w:jc w:val="right"/>
              <w:textAlignment w:val="bottom"/>
            </w:pPr>
            <w:r>
              <w:rPr>
                <w:rFonts w:ascii="Arial" w:eastAsia="宋体" w:hAnsi="Arial" w:cs="Arial"/>
                <w:color w:val="000000"/>
                <w:sz w:val="13"/>
                <w:szCs w:val="13"/>
              </w:rPr>
              <w:t>1,824 </w:t>
            </w:r>
          </w:p>
        </w:tc>
        <w:tc>
          <w:tcPr>
            <w:tcW w:w="0" w:type="auto"/>
            <w:shd w:val="clear" w:color="auto" w:fill="FFFFFF"/>
            <w:tcMar>
              <w:top w:w="40" w:type="dxa"/>
              <w:left w:w="0" w:type="dxa"/>
              <w:bottom w:w="40" w:type="dxa"/>
              <w:right w:w="20" w:type="dxa"/>
            </w:tcMar>
            <w:vAlign w:val="bottom"/>
          </w:tcPr>
          <w:p w14:paraId="5F2D54A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A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AA"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A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A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AD"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B0"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B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B3" w14:textId="77777777" w:rsidR="00E836FB" w:rsidRDefault="00994958">
            <w:pPr>
              <w:jc w:val="right"/>
              <w:textAlignment w:val="bottom"/>
            </w:pPr>
            <w:r>
              <w:rPr>
                <w:rFonts w:ascii="Arial" w:eastAsia="宋体" w:hAnsi="Arial" w:cs="Arial"/>
                <w:b/>
                <w:bCs/>
                <w:color w:val="000000"/>
                <w:sz w:val="13"/>
                <w:szCs w:val="13"/>
              </w:rPr>
              <w:t>2,053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B4"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54B5"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54B6" w14:textId="77777777" w:rsidR="00E836FB" w:rsidRDefault="00994958">
            <w:pPr>
              <w:jc w:val="right"/>
              <w:textAlignment w:val="bottom"/>
            </w:pPr>
            <w:r>
              <w:rPr>
                <w:rFonts w:ascii="Arial" w:eastAsia="宋体" w:hAnsi="Arial" w:cs="Arial"/>
                <w:color w:val="000000"/>
                <w:sz w:val="13"/>
                <w:szCs w:val="13"/>
              </w:rPr>
              <w:t>1,880 </w:t>
            </w:r>
          </w:p>
          <w:p w14:paraId="5F2D54B7" w14:textId="77777777" w:rsidR="00E836FB" w:rsidRDefault="00994958">
            <w:pPr>
              <w:jc w:val="right"/>
              <w:textAlignment w:val="bottom"/>
            </w:pPr>
            <w:r>
              <w:rPr>
                <w:rFonts w:ascii="Arial" w:eastAsia="宋体" w:hAnsi="Arial" w:cs="Arial"/>
                <w:color w:val="000000"/>
                <w:sz w:val="13"/>
                <w:szCs w:val="13"/>
              </w:rPr>
              <w:t>1,824 </w:t>
            </w:r>
          </w:p>
        </w:tc>
      </w:tr>
      <w:tr w:rsidR="00E836FB" w14:paraId="5F2D54DA" w14:textId="77777777">
        <w:tc>
          <w:tcPr>
            <w:tcW w:w="0" w:type="auto"/>
            <w:gridSpan w:val="3"/>
            <w:shd w:val="clear" w:color="auto" w:fill="CCEEFF"/>
            <w:tcMar>
              <w:top w:w="40" w:type="dxa"/>
              <w:left w:w="20" w:type="dxa"/>
              <w:bottom w:w="40" w:type="dxa"/>
              <w:right w:w="20" w:type="dxa"/>
            </w:tcMar>
            <w:vAlign w:val="bottom"/>
          </w:tcPr>
          <w:p w14:paraId="5F2D54B9" w14:textId="77777777" w:rsidR="00E836FB" w:rsidRDefault="00994958">
            <w:pPr>
              <w:textAlignment w:val="bottom"/>
            </w:pPr>
            <w:r>
              <w:rPr>
                <w:rFonts w:ascii="Arial" w:eastAsia="宋体" w:hAnsi="Arial" w:cs="Arial"/>
                <w:color w:val="000000"/>
                <w:sz w:val="13"/>
                <w:szCs w:val="13"/>
              </w:rPr>
              <w:t>Foreign exchange trading services</w:t>
            </w:r>
          </w:p>
        </w:tc>
        <w:tc>
          <w:tcPr>
            <w:tcW w:w="0" w:type="auto"/>
            <w:gridSpan w:val="2"/>
            <w:shd w:val="clear" w:color="auto" w:fill="CCEEFF"/>
            <w:tcMar>
              <w:top w:w="40" w:type="dxa"/>
              <w:left w:w="20" w:type="dxa"/>
              <w:bottom w:w="40" w:type="dxa"/>
              <w:right w:w="0" w:type="dxa"/>
            </w:tcMar>
            <w:vAlign w:val="bottom"/>
          </w:tcPr>
          <w:p w14:paraId="5F2D54BA" w14:textId="77777777" w:rsidR="00E836FB" w:rsidRDefault="00994958">
            <w:pPr>
              <w:jc w:val="right"/>
              <w:textAlignment w:val="bottom"/>
            </w:pPr>
            <w:r>
              <w:rPr>
                <w:rFonts w:ascii="Arial" w:eastAsia="宋体" w:hAnsi="Arial" w:cs="Arial"/>
                <w:b/>
                <w:bCs/>
                <w:color w:val="000000"/>
                <w:sz w:val="13"/>
                <w:szCs w:val="13"/>
              </w:rPr>
              <w:t>1,149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4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B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BD" w14:textId="77777777" w:rsidR="00E836FB" w:rsidRDefault="00994958">
            <w:pPr>
              <w:jc w:val="right"/>
              <w:textAlignment w:val="bottom"/>
            </w:pPr>
            <w:r>
              <w:rPr>
                <w:rFonts w:ascii="Arial" w:eastAsia="宋体" w:hAnsi="Arial" w:cs="Arial"/>
                <w:color w:val="000000"/>
                <w:sz w:val="13"/>
                <w:szCs w:val="13"/>
              </w:rPr>
              <w:t>1,299 </w:t>
            </w:r>
          </w:p>
        </w:tc>
        <w:tc>
          <w:tcPr>
            <w:tcW w:w="0" w:type="auto"/>
            <w:shd w:val="clear" w:color="auto" w:fill="CCEEFF"/>
            <w:tcMar>
              <w:top w:w="40" w:type="dxa"/>
              <w:left w:w="0" w:type="dxa"/>
              <w:bottom w:w="40" w:type="dxa"/>
              <w:right w:w="20" w:type="dxa"/>
            </w:tcMar>
            <w:vAlign w:val="bottom"/>
          </w:tcPr>
          <w:p w14:paraId="5F2D54B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B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C0" w14:textId="77777777" w:rsidR="00E836FB" w:rsidRDefault="00994958">
            <w:pPr>
              <w:jc w:val="right"/>
              <w:textAlignment w:val="bottom"/>
            </w:pPr>
            <w:r>
              <w:rPr>
                <w:rFonts w:ascii="Arial" w:eastAsia="宋体" w:hAnsi="Arial" w:cs="Arial"/>
                <w:color w:val="000000"/>
                <w:sz w:val="13"/>
                <w:szCs w:val="13"/>
              </w:rPr>
              <w:t>974 </w:t>
            </w:r>
          </w:p>
        </w:tc>
        <w:tc>
          <w:tcPr>
            <w:tcW w:w="0" w:type="auto"/>
            <w:shd w:val="clear" w:color="auto" w:fill="CCEEFF"/>
            <w:tcMar>
              <w:top w:w="40" w:type="dxa"/>
              <w:left w:w="0" w:type="dxa"/>
              <w:bottom w:w="40" w:type="dxa"/>
              <w:right w:w="20" w:type="dxa"/>
            </w:tcMar>
            <w:vAlign w:val="bottom"/>
          </w:tcPr>
          <w:p w14:paraId="5F2D54C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C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C3" w14:textId="77777777" w:rsidR="00E836FB" w:rsidRDefault="00994958">
            <w:pPr>
              <w:jc w:val="right"/>
              <w:textAlignment w:val="bottom"/>
            </w:pPr>
            <w:r>
              <w:rPr>
                <w:rFonts w:ascii="Arial" w:eastAsia="宋体" w:hAnsi="Arial" w:cs="Arial"/>
                <w:b/>
                <w:bCs/>
                <w:color w:val="000000"/>
                <w:sz w:val="13"/>
                <w:szCs w:val="13"/>
              </w:rPr>
              <w:t>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4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C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C6" w14:textId="77777777" w:rsidR="00E836FB" w:rsidRDefault="00994958">
            <w:pPr>
              <w:jc w:val="right"/>
              <w:textAlignment w:val="bottom"/>
            </w:pPr>
            <w:r>
              <w:rPr>
                <w:rFonts w:ascii="Arial" w:eastAsia="宋体" w:hAnsi="Arial" w:cs="Arial"/>
                <w:color w:val="000000"/>
                <w:sz w:val="13"/>
                <w:szCs w:val="13"/>
              </w:rPr>
              <w:t>64 </w:t>
            </w:r>
          </w:p>
        </w:tc>
        <w:tc>
          <w:tcPr>
            <w:tcW w:w="0" w:type="auto"/>
            <w:shd w:val="clear" w:color="auto" w:fill="CCEEFF"/>
            <w:tcMar>
              <w:top w:w="40" w:type="dxa"/>
              <w:left w:w="0" w:type="dxa"/>
              <w:bottom w:w="40" w:type="dxa"/>
              <w:right w:w="20" w:type="dxa"/>
            </w:tcMar>
            <w:vAlign w:val="bottom"/>
          </w:tcPr>
          <w:p w14:paraId="5F2D54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C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C9" w14:textId="77777777" w:rsidR="00E836FB" w:rsidRDefault="00994958">
            <w:pPr>
              <w:jc w:val="right"/>
              <w:textAlignment w:val="bottom"/>
            </w:pPr>
            <w:r>
              <w:rPr>
                <w:rFonts w:ascii="Arial" w:eastAsia="宋体" w:hAnsi="Arial" w:cs="Arial"/>
                <w:color w:val="000000"/>
                <w:sz w:val="13"/>
                <w:szCs w:val="13"/>
              </w:rPr>
              <w:t>84 </w:t>
            </w:r>
          </w:p>
        </w:tc>
        <w:tc>
          <w:tcPr>
            <w:tcW w:w="0" w:type="auto"/>
            <w:shd w:val="clear" w:color="auto" w:fill="CCEEFF"/>
            <w:tcMar>
              <w:top w:w="40" w:type="dxa"/>
              <w:left w:w="0" w:type="dxa"/>
              <w:bottom w:w="40" w:type="dxa"/>
              <w:right w:w="20" w:type="dxa"/>
            </w:tcMar>
            <w:vAlign w:val="bottom"/>
          </w:tcPr>
          <w:p w14:paraId="5F2D54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C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CC"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4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C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CF"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4D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D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D2"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4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4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4D5" w14:textId="77777777" w:rsidR="00E836FB" w:rsidRDefault="00994958">
            <w:pPr>
              <w:jc w:val="right"/>
              <w:textAlignment w:val="bottom"/>
            </w:pPr>
            <w:r>
              <w:rPr>
                <w:rFonts w:ascii="Arial" w:eastAsia="宋体" w:hAnsi="Arial" w:cs="Arial"/>
                <w:b/>
                <w:bCs/>
                <w:color w:val="000000"/>
                <w:sz w:val="13"/>
                <w:szCs w:val="13"/>
              </w:rPr>
              <w:t>1,211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4D6"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54D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4D8" w14:textId="77777777" w:rsidR="00E836FB" w:rsidRDefault="00994958">
            <w:pPr>
              <w:jc w:val="right"/>
              <w:textAlignment w:val="bottom"/>
            </w:pPr>
            <w:r>
              <w:rPr>
                <w:rFonts w:ascii="Arial" w:eastAsia="宋体" w:hAnsi="Arial" w:cs="Arial"/>
                <w:color w:val="000000"/>
                <w:sz w:val="13"/>
                <w:szCs w:val="13"/>
              </w:rPr>
              <w:t>1,363 </w:t>
            </w:r>
          </w:p>
          <w:p w14:paraId="5F2D54D9" w14:textId="77777777" w:rsidR="00E836FB" w:rsidRDefault="00994958">
            <w:pPr>
              <w:jc w:val="right"/>
              <w:textAlignment w:val="bottom"/>
            </w:pPr>
            <w:r>
              <w:rPr>
                <w:rFonts w:ascii="Arial" w:eastAsia="宋体" w:hAnsi="Arial" w:cs="Arial"/>
                <w:color w:val="000000"/>
                <w:sz w:val="13"/>
                <w:szCs w:val="13"/>
              </w:rPr>
              <w:t>1,058 </w:t>
            </w:r>
          </w:p>
        </w:tc>
      </w:tr>
      <w:tr w:rsidR="00E836FB" w14:paraId="5F2D54FC" w14:textId="77777777">
        <w:tc>
          <w:tcPr>
            <w:tcW w:w="0" w:type="auto"/>
            <w:gridSpan w:val="3"/>
            <w:shd w:val="clear" w:color="auto" w:fill="FFFFFF"/>
            <w:tcMar>
              <w:top w:w="40" w:type="dxa"/>
              <w:left w:w="20" w:type="dxa"/>
              <w:bottom w:w="40" w:type="dxa"/>
              <w:right w:w="20" w:type="dxa"/>
            </w:tcMar>
            <w:vAlign w:val="bottom"/>
          </w:tcPr>
          <w:p w14:paraId="5F2D54DB" w14:textId="77777777" w:rsidR="00E836FB" w:rsidRDefault="00994958">
            <w:pPr>
              <w:textAlignment w:val="bottom"/>
            </w:pPr>
            <w:r>
              <w:rPr>
                <w:rFonts w:ascii="Arial" w:eastAsia="宋体" w:hAnsi="Arial" w:cs="Arial"/>
                <w:color w:val="000000"/>
                <w:sz w:val="13"/>
                <w:szCs w:val="13"/>
              </w:rPr>
              <w:t>Securities finance</w:t>
            </w:r>
          </w:p>
        </w:tc>
        <w:tc>
          <w:tcPr>
            <w:tcW w:w="0" w:type="auto"/>
            <w:gridSpan w:val="2"/>
            <w:shd w:val="clear" w:color="auto" w:fill="FFFFFF"/>
            <w:tcMar>
              <w:top w:w="40" w:type="dxa"/>
              <w:left w:w="20" w:type="dxa"/>
              <w:bottom w:w="40" w:type="dxa"/>
              <w:right w:w="0" w:type="dxa"/>
            </w:tcMar>
            <w:vAlign w:val="bottom"/>
          </w:tcPr>
          <w:p w14:paraId="5F2D54DC" w14:textId="77777777" w:rsidR="00E836FB" w:rsidRDefault="00994958">
            <w:pPr>
              <w:jc w:val="right"/>
              <w:textAlignment w:val="bottom"/>
            </w:pPr>
            <w:r>
              <w:rPr>
                <w:rFonts w:ascii="Arial" w:eastAsia="宋体" w:hAnsi="Arial" w:cs="Arial"/>
                <w:b/>
                <w:bCs/>
                <w:color w:val="000000"/>
                <w:sz w:val="13"/>
                <w:szCs w:val="13"/>
              </w:rPr>
              <w:t>402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DF" w14:textId="77777777" w:rsidR="00E836FB" w:rsidRDefault="00994958">
            <w:pPr>
              <w:jc w:val="right"/>
              <w:textAlignment w:val="bottom"/>
            </w:pPr>
            <w:r>
              <w:rPr>
                <w:rFonts w:ascii="Arial" w:eastAsia="宋体" w:hAnsi="Arial" w:cs="Arial"/>
                <w:color w:val="000000"/>
                <w:sz w:val="13"/>
                <w:szCs w:val="13"/>
              </w:rPr>
              <w:t>342 </w:t>
            </w:r>
          </w:p>
        </w:tc>
        <w:tc>
          <w:tcPr>
            <w:tcW w:w="0" w:type="auto"/>
            <w:shd w:val="clear" w:color="auto" w:fill="FFFFFF"/>
            <w:tcMar>
              <w:top w:w="40" w:type="dxa"/>
              <w:left w:w="0" w:type="dxa"/>
              <w:bottom w:w="40" w:type="dxa"/>
              <w:right w:w="20" w:type="dxa"/>
            </w:tcMar>
            <w:vAlign w:val="bottom"/>
          </w:tcPr>
          <w:p w14:paraId="5F2D54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E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E2" w14:textId="77777777" w:rsidR="00E836FB" w:rsidRDefault="00994958">
            <w:pPr>
              <w:jc w:val="right"/>
              <w:textAlignment w:val="bottom"/>
            </w:pPr>
            <w:r>
              <w:rPr>
                <w:rFonts w:ascii="Arial" w:eastAsia="宋体" w:hAnsi="Arial" w:cs="Arial"/>
                <w:color w:val="000000"/>
                <w:sz w:val="13"/>
                <w:szCs w:val="13"/>
              </w:rPr>
              <w:t>462 </w:t>
            </w:r>
          </w:p>
        </w:tc>
        <w:tc>
          <w:tcPr>
            <w:tcW w:w="0" w:type="auto"/>
            <w:shd w:val="clear" w:color="auto" w:fill="FFFFFF"/>
            <w:tcMar>
              <w:top w:w="40" w:type="dxa"/>
              <w:left w:w="0" w:type="dxa"/>
              <w:bottom w:w="40" w:type="dxa"/>
              <w:right w:w="20" w:type="dxa"/>
            </w:tcMar>
            <w:vAlign w:val="bottom"/>
          </w:tcPr>
          <w:p w14:paraId="5F2D54E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E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E5" w14:textId="77777777" w:rsidR="00E836FB" w:rsidRDefault="00994958">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E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E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E8" w14:textId="77777777" w:rsidR="00E836FB" w:rsidRDefault="00994958">
            <w:pPr>
              <w:jc w:val="right"/>
              <w:textAlignment w:val="bottom"/>
            </w:pPr>
            <w:r>
              <w:rPr>
                <w:rFonts w:ascii="Arial" w:eastAsia="宋体" w:hAnsi="Arial" w:cs="Arial"/>
                <w:color w:val="000000"/>
                <w:sz w:val="13"/>
                <w:szCs w:val="13"/>
              </w:rPr>
              <w:t>14 </w:t>
            </w:r>
          </w:p>
        </w:tc>
        <w:tc>
          <w:tcPr>
            <w:tcW w:w="0" w:type="auto"/>
            <w:shd w:val="clear" w:color="auto" w:fill="FFFFFF"/>
            <w:tcMar>
              <w:top w:w="40" w:type="dxa"/>
              <w:left w:w="0" w:type="dxa"/>
              <w:bottom w:w="40" w:type="dxa"/>
              <w:right w:w="20" w:type="dxa"/>
            </w:tcMar>
            <w:vAlign w:val="bottom"/>
          </w:tcPr>
          <w:p w14:paraId="5F2D54E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E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EB" w14:textId="77777777" w:rsidR="00E836FB" w:rsidRDefault="00994958">
            <w:pPr>
              <w:jc w:val="right"/>
              <w:textAlignment w:val="bottom"/>
            </w:pPr>
            <w:r>
              <w:rPr>
                <w:rFonts w:ascii="Arial" w:eastAsia="宋体" w:hAnsi="Arial" w:cs="Arial"/>
                <w:color w:val="000000"/>
                <w:sz w:val="13"/>
                <w:szCs w:val="13"/>
              </w:rPr>
              <w:t>9 </w:t>
            </w:r>
          </w:p>
        </w:tc>
        <w:tc>
          <w:tcPr>
            <w:tcW w:w="0" w:type="auto"/>
            <w:shd w:val="clear" w:color="auto" w:fill="FFFFFF"/>
            <w:tcMar>
              <w:top w:w="40" w:type="dxa"/>
              <w:left w:w="0" w:type="dxa"/>
              <w:bottom w:w="40" w:type="dxa"/>
              <w:right w:w="20" w:type="dxa"/>
            </w:tcMar>
            <w:vAlign w:val="bottom"/>
          </w:tcPr>
          <w:p w14:paraId="5F2D54E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E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EE"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E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F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F1"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F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F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F4"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F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4F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4F7" w14:textId="77777777" w:rsidR="00E836FB" w:rsidRDefault="00994958">
            <w:pPr>
              <w:jc w:val="right"/>
              <w:textAlignment w:val="bottom"/>
            </w:pPr>
            <w:r>
              <w:rPr>
                <w:rFonts w:ascii="Arial" w:eastAsia="宋体" w:hAnsi="Arial" w:cs="Arial"/>
                <w:b/>
                <w:bCs/>
                <w:color w:val="000000"/>
                <w:sz w:val="13"/>
                <w:szCs w:val="13"/>
              </w:rPr>
              <w:t>416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4F8"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54F9"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54FA" w14:textId="77777777" w:rsidR="00E836FB" w:rsidRDefault="00994958">
            <w:pPr>
              <w:jc w:val="right"/>
              <w:textAlignment w:val="bottom"/>
            </w:pPr>
            <w:r>
              <w:rPr>
                <w:rFonts w:ascii="Arial" w:eastAsia="宋体" w:hAnsi="Arial" w:cs="Arial"/>
                <w:color w:val="000000"/>
                <w:sz w:val="13"/>
                <w:szCs w:val="13"/>
              </w:rPr>
              <w:t>356 </w:t>
            </w:r>
          </w:p>
          <w:p w14:paraId="5F2D54FB" w14:textId="77777777" w:rsidR="00E836FB" w:rsidRDefault="00994958">
            <w:pPr>
              <w:jc w:val="right"/>
              <w:textAlignment w:val="bottom"/>
            </w:pPr>
            <w:r>
              <w:rPr>
                <w:rFonts w:ascii="Arial" w:eastAsia="宋体" w:hAnsi="Arial" w:cs="Arial"/>
                <w:color w:val="000000"/>
                <w:sz w:val="13"/>
                <w:szCs w:val="13"/>
              </w:rPr>
              <w:t>471 </w:t>
            </w:r>
          </w:p>
        </w:tc>
      </w:tr>
      <w:tr w:rsidR="00E836FB" w14:paraId="5F2D551E" w14:textId="77777777">
        <w:tc>
          <w:tcPr>
            <w:tcW w:w="0" w:type="auto"/>
            <w:gridSpan w:val="3"/>
            <w:shd w:val="clear" w:color="auto" w:fill="CCEEFF"/>
            <w:tcMar>
              <w:top w:w="40" w:type="dxa"/>
              <w:left w:w="20" w:type="dxa"/>
              <w:bottom w:w="40" w:type="dxa"/>
              <w:right w:w="20" w:type="dxa"/>
            </w:tcMar>
            <w:vAlign w:val="bottom"/>
          </w:tcPr>
          <w:p w14:paraId="5F2D54FD" w14:textId="77777777" w:rsidR="00E836FB" w:rsidRDefault="00994958">
            <w:pPr>
              <w:textAlignment w:val="bottom"/>
            </w:pPr>
            <w:r>
              <w:rPr>
                <w:rFonts w:ascii="Arial" w:eastAsia="宋体" w:hAnsi="Arial" w:cs="Arial"/>
                <w:color w:val="000000"/>
                <w:sz w:val="13"/>
                <w:szCs w:val="13"/>
              </w:rPr>
              <w:t>Software and processing fees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F2D54FE" w14:textId="77777777" w:rsidR="00E836FB" w:rsidRDefault="00994958">
            <w:pPr>
              <w:jc w:val="right"/>
              <w:textAlignment w:val="bottom"/>
            </w:pPr>
            <w:r>
              <w:rPr>
                <w:rFonts w:ascii="Arial" w:eastAsia="宋体" w:hAnsi="Arial" w:cs="Arial"/>
                <w:b/>
                <w:bCs/>
                <w:color w:val="000000"/>
                <w:sz w:val="13"/>
                <w:szCs w:val="13"/>
              </w:rPr>
              <w:t>779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4F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0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01" w14:textId="77777777" w:rsidR="00E836FB" w:rsidRDefault="00994958">
            <w:pPr>
              <w:jc w:val="right"/>
              <w:textAlignment w:val="bottom"/>
            </w:pPr>
            <w:r>
              <w:rPr>
                <w:rFonts w:ascii="Arial" w:eastAsia="宋体" w:hAnsi="Arial" w:cs="Arial"/>
                <w:color w:val="000000"/>
                <w:sz w:val="13"/>
                <w:szCs w:val="13"/>
              </w:rPr>
              <w:t>706 </w:t>
            </w:r>
          </w:p>
        </w:tc>
        <w:tc>
          <w:tcPr>
            <w:tcW w:w="0" w:type="auto"/>
            <w:shd w:val="clear" w:color="auto" w:fill="CCEEFF"/>
            <w:tcMar>
              <w:top w:w="40" w:type="dxa"/>
              <w:left w:w="0" w:type="dxa"/>
              <w:bottom w:w="40" w:type="dxa"/>
              <w:right w:w="20" w:type="dxa"/>
            </w:tcMar>
            <w:vAlign w:val="bottom"/>
          </w:tcPr>
          <w:p w14:paraId="5F2D550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0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04" w14:textId="77777777" w:rsidR="00E836FB" w:rsidRDefault="00994958">
            <w:pPr>
              <w:jc w:val="right"/>
              <w:textAlignment w:val="bottom"/>
            </w:pPr>
            <w:r>
              <w:rPr>
                <w:rFonts w:ascii="Arial" w:eastAsia="宋体" w:hAnsi="Arial" w:cs="Arial"/>
                <w:color w:val="000000"/>
                <w:sz w:val="13"/>
                <w:szCs w:val="13"/>
              </w:rPr>
              <w:t>691 </w:t>
            </w:r>
          </w:p>
        </w:tc>
        <w:tc>
          <w:tcPr>
            <w:tcW w:w="0" w:type="auto"/>
            <w:shd w:val="clear" w:color="auto" w:fill="CCEEFF"/>
            <w:tcMar>
              <w:top w:w="40" w:type="dxa"/>
              <w:left w:w="0" w:type="dxa"/>
              <w:bottom w:w="40" w:type="dxa"/>
              <w:right w:w="20" w:type="dxa"/>
            </w:tcMar>
            <w:vAlign w:val="bottom"/>
          </w:tcPr>
          <w:p w14:paraId="5F2D550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0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07" w14:textId="77777777" w:rsidR="00E836FB" w:rsidRDefault="00994958">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0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0A" w14:textId="77777777" w:rsidR="00E836FB" w:rsidRDefault="00994958">
            <w:pPr>
              <w:jc w:val="right"/>
              <w:textAlignment w:val="bottom"/>
            </w:pPr>
            <w:r>
              <w:rPr>
                <w:rFonts w:ascii="Arial" w:eastAsia="宋体" w:hAnsi="Arial" w:cs="Arial"/>
                <w:color w:val="000000"/>
                <w:sz w:val="13"/>
                <w:szCs w:val="13"/>
              </w:rPr>
              <w:t>27 </w:t>
            </w:r>
          </w:p>
        </w:tc>
        <w:tc>
          <w:tcPr>
            <w:tcW w:w="0" w:type="auto"/>
            <w:shd w:val="clear" w:color="auto" w:fill="CCEEFF"/>
            <w:tcMar>
              <w:top w:w="40" w:type="dxa"/>
              <w:left w:w="0" w:type="dxa"/>
              <w:bottom w:w="40" w:type="dxa"/>
              <w:right w:w="20" w:type="dxa"/>
            </w:tcMar>
            <w:vAlign w:val="bottom"/>
          </w:tcPr>
          <w:p w14:paraId="5F2D550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0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0D" w14:textId="77777777" w:rsidR="00E836FB" w:rsidRDefault="00994958">
            <w:pPr>
              <w:jc w:val="right"/>
              <w:textAlignment w:val="bottom"/>
            </w:pPr>
            <w:r>
              <w:rPr>
                <w:rFonts w:ascii="Arial" w:eastAsia="宋体" w:hAnsi="Arial" w:cs="Arial"/>
                <w:color w:val="000000"/>
                <w:sz w:val="13"/>
                <w:szCs w:val="13"/>
              </w:rPr>
              <w:t>29 </w:t>
            </w:r>
          </w:p>
        </w:tc>
        <w:tc>
          <w:tcPr>
            <w:tcW w:w="0" w:type="auto"/>
            <w:shd w:val="clear" w:color="auto" w:fill="CCEEFF"/>
            <w:tcMar>
              <w:top w:w="40" w:type="dxa"/>
              <w:left w:w="0" w:type="dxa"/>
              <w:bottom w:w="40" w:type="dxa"/>
              <w:right w:w="20" w:type="dxa"/>
            </w:tcMar>
            <w:vAlign w:val="bottom"/>
          </w:tcPr>
          <w:p w14:paraId="5F2D550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0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10"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1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1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13"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1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16"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1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1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19" w14:textId="77777777" w:rsidR="00E836FB" w:rsidRDefault="00994958">
            <w:pPr>
              <w:jc w:val="right"/>
              <w:textAlignment w:val="bottom"/>
            </w:pPr>
            <w:r>
              <w:rPr>
                <w:rFonts w:ascii="Arial" w:eastAsia="宋体" w:hAnsi="Arial" w:cs="Arial"/>
                <w:b/>
                <w:bCs/>
                <w:color w:val="000000"/>
                <w:sz w:val="13"/>
                <w:szCs w:val="13"/>
              </w:rPr>
              <w:t>783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1A"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551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51C" w14:textId="77777777" w:rsidR="00E836FB" w:rsidRDefault="00994958">
            <w:pPr>
              <w:jc w:val="right"/>
              <w:textAlignment w:val="bottom"/>
            </w:pPr>
            <w:r>
              <w:rPr>
                <w:rFonts w:ascii="Arial" w:eastAsia="宋体" w:hAnsi="Arial" w:cs="Arial"/>
                <w:color w:val="000000"/>
                <w:sz w:val="13"/>
                <w:szCs w:val="13"/>
              </w:rPr>
              <w:t>733 </w:t>
            </w:r>
          </w:p>
          <w:p w14:paraId="5F2D551D" w14:textId="77777777" w:rsidR="00E836FB" w:rsidRDefault="00994958">
            <w:pPr>
              <w:jc w:val="right"/>
              <w:textAlignment w:val="bottom"/>
            </w:pPr>
            <w:r>
              <w:rPr>
                <w:rFonts w:ascii="Arial" w:eastAsia="宋体" w:hAnsi="Arial" w:cs="Arial"/>
                <w:color w:val="000000"/>
                <w:sz w:val="13"/>
                <w:szCs w:val="13"/>
              </w:rPr>
              <w:t>720 </w:t>
            </w:r>
          </w:p>
        </w:tc>
      </w:tr>
      <w:tr w:rsidR="00E836FB" w14:paraId="5F2D5540" w14:textId="77777777">
        <w:tc>
          <w:tcPr>
            <w:tcW w:w="0" w:type="auto"/>
            <w:gridSpan w:val="3"/>
            <w:shd w:val="clear" w:color="auto" w:fill="FFFFFF"/>
            <w:tcMar>
              <w:top w:w="40" w:type="dxa"/>
              <w:left w:w="20" w:type="dxa"/>
              <w:bottom w:w="40" w:type="dxa"/>
              <w:right w:w="20" w:type="dxa"/>
            </w:tcMar>
            <w:vAlign w:val="bottom"/>
          </w:tcPr>
          <w:p w14:paraId="5F2D551F" w14:textId="77777777" w:rsidR="00E836FB" w:rsidRDefault="00994958">
            <w:pPr>
              <w:textAlignment w:val="bottom"/>
            </w:pPr>
            <w:r>
              <w:rPr>
                <w:rFonts w:ascii="Arial" w:eastAsia="宋体" w:hAnsi="Arial" w:cs="Arial"/>
                <w:color w:val="000000"/>
                <w:sz w:val="13"/>
                <w:szCs w:val="13"/>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20" w14:textId="77777777" w:rsidR="00E836FB" w:rsidRDefault="00994958">
            <w:pPr>
              <w:jc w:val="right"/>
              <w:textAlignment w:val="bottom"/>
            </w:pPr>
            <w:r>
              <w:rPr>
                <w:rFonts w:ascii="Arial" w:eastAsia="宋体" w:hAnsi="Arial" w:cs="Arial"/>
                <w:b/>
                <w:bCs/>
                <w:color w:val="000000"/>
                <w:sz w:val="13"/>
                <w:szCs w:val="13"/>
              </w:rPr>
              <w:t>7,879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2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2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23" w14:textId="77777777" w:rsidR="00E836FB" w:rsidRDefault="00994958">
            <w:pPr>
              <w:jc w:val="right"/>
              <w:textAlignment w:val="bottom"/>
            </w:pPr>
            <w:r>
              <w:rPr>
                <w:rFonts w:ascii="Arial" w:eastAsia="宋体" w:hAnsi="Arial" w:cs="Arial"/>
                <w:color w:val="000000"/>
                <w:sz w:val="13"/>
                <w:szCs w:val="13"/>
              </w:rPr>
              <w:t>7,514 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2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2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26" w14:textId="77777777" w:rsidR="00E836FB" w:rsidRDefault="00994958">
            <w:pPr>
              <w:jc w:val="right"/>
              <w:textAlignment w:val="bottom"/>
            </w:pPr>
            <w:r>
              <w:rPr>
                <w:rFonts w:ascii="Arial" w:eastAsia="宋体" w:hAnsi="Arial" w:cs="Arial"/>
                <w:color w:val="000000"/>
                <w:sz w:val="13"/>
                <w:szCs w:val="13"/>
              </w:rPr>
              <w:t>7,201 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2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2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29" w14:textId="77777777" w:rsidR="00E836FB" w:rsidRDefault="00994958">
            <w:pPr>
              <w:jc w:val="right"/>
              <w:textAlignment w:val="bottom"/>
            </w:pPr>
            <w:r>
              <w:rPr>
                <w:rFonts w:ascii="Arial" w:eastAsia="宋体" w:hAnsi="Arial" w:cs="Arial"/>
                <w:b/>
                <w:bCs/>
                <w:color w:val="000000"/>
                <w:sz w:val="13"/>
                <w:szCs w:val="13"/>
              </w:rPr>
              <w:t>2,133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2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2C" w14:textId="77777777" w:rsidR="00E836FB" w:rsidRDefault="00994958">
            <w:pPr>
              <w:jc w:val="right"/>
              <w:textAlignment w:val="bottom"/>
            </w:pPr>
            <w:r>
              <w:rPr>
                <w:rFonts w:ascii="Arial" w:eastAsia="宋体" w:hAnsi="Arial" w:cs="Arial"/>
                <w:color w:val="000000"/>
                <w:sz w:val="13"/>
                <w:szCs w:val="13"/>
              </w:rPr>
              <w:t>1,985 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2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2F" w14:textId="77777777" w:rsidR="00E836FB" w:rsidRDefault="00994958">
            <w:pPr>
              <w:jc w:val="right"/>
              <w:textAlignment w:val="bottom"/>
            </w:pPr>
            <w:r>
              <w:rPr>
                <w:rFonts w:ascii="Arial" w:eastAsia="宋体" w:hAnsi="Arial" w:cs="Arial"/>
                <w:color w:val="000000"/>
                <w:sz w:val="13"/>
                <w:szCs w:val="13"/>
              </w:rPr>
              <w:t>1,946 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3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32"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3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35"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3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38"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3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53B" w14:textId="77777777" w:rsidR="00E836FB" w:rsidRDefault="00994958">
            <w:pPr>
              <w:jc w:val="right"/>
              <w:textAlignment w:val="bottom"/>
            </w:pPr>
            <w:r>
              <w:rPr>
                <w:rFonts w:ascii="Arial" w:eastAsia="宋体" w:hAnsi="Arial" w:cs="Arial"/>
                <w:b/>
                <w:bCs/>
                <w:color w:val="000000"/>
                <w:sz w:val="13"/>
                <w:szCs w:val="13"/>
              </w:rPr>
              <w:t>10,012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53C"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553D"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53E" w14:textId="77777777" w:rsidR="00E836FB" w:rsidRDefault="00994958">
            <w:pPr>
              <w:jc w:val="right"/>
              <w:textAlignment w:val="bottom"/>
            </w:pPr>
            <w:r>
              <w:rPr>
                <w:rFonts w:ascii="Arial" w:eastAsia="宋体" w:hAnsi="Arial" w:cs="Arial"/>
                <w:color w:val="000000"/>
                <w:sz w:val="13"/>
                <w:szCs w:val="13"/>
              </w:rPr>
              <w:t>9,499 </w:t>
            </w:r>
          </w:p>
          <w:p w14:paraId="5F2D553F" w14:textId="77777777" w:rsidR="00E836FB" w:rsidRDefault="00994958">
            <w:pPr>
              <w:jc w:val="right"/>
              <w:textAlignment w:val="bottom"/>
            </w:pPr>
            <w:r>
              <w:rPr>
                <w:rFonts w:ascii="Arial" w:eastAsia="宋体" w:hAnsi="Arial" w:cs="Arial"/>
                <w:color w:val="000000"/>
                <w:sz w:val="13"/>
                <w:szCs w:val="13"/>
              </w:rPr>
              <w:t>9,147 </w:t>
            </w:r>
          </w:p>
        </w:tc>
      </w:tr>
      <w:tr w:rsidR="00E836FB" w14:paraId="5F2D5562" w14:textId="77777777">
        <w:tc>
          <w:tcPr>
            <w:tcW w:w="0" w:type="auto"/>
            <w:gridSpan w:val="3"/>
            <w:shd w:val="clear" w:color="auto" w:fill="CCEEFF"/>
            <w:tcMar>
              <w:top w:w="40" w:type="dxa"/>
              <w:left w:w="20" w:type="dxa"/>
              <w:bottom w:w="40" w:type="dxa"/>
              <w:right w:w="20" w:type="dxa"/>
            </w:tcMar>
            <w:vAlign w:val="bottom"/>
          </w:tcPr>
          <w:p w14:paraId="5F2D5541" w14:textId="77777777" w:rsidR="00E836FB" w:rsidRDefault="00994958">
            <w:pPr>
              <w:textAlignment w:val="bottom"/>
            </w:pPr>
            <w:r>
              <w:rPr>
                <w:rFonts w:ascii="Arial" w:eastAsia="宋体" w:hAnsi="Arial" w:cs="Arial"/>
                <w:color w:val="000000"/>
                <w:sz w:val="13"/>
                <w:szCs w:val="13"/>
              </w:rPr>
              <w:t>Net interest i</w:t>
            </w:r>
            <w:r>
              <w:rPr>
                <w:rFonts w:ascii="Arial" w:eastAsia="宋体" w:hAnsi="Arial" w:cs="Arial"/>
                <w:color w:val="000000"/>
                <w:sz w:val="13"/>
                <w:szCs w:val="13"/>
              </w:rPr>
              <w:t>ncome</w:t>
            </w:r>
          </w:p>
        </w:tc>
        <w:tc>
          <w:tcPr>
            <w:tcW w:w="0" w:type="auto"/>
            <w:gridSpan w:val="2"/>
            <w:shd w:val="clear" w:color="auto" w:fill="CCEEFF"/>
            <w:tcMar>
              <w:top w:w="40" w:type="dxa"/>
              <w:left w:w="20" w:type="dxa"/>
              <w:bottom w:w="40" w:type="dxa"/>
              <w:right w:w="0" w:type="dxa"/>
            </w:tcMar>
            <w:vAlign w:val="bottom"/>
          </w:tcPr>
          <w:p w14:paraId="5F2D5542" w14:textId="77777777" w:rsidR="00E836FB" w:rsidRDefault="00994958">
            <w:pPr>
              <w:jc w:val="right"/>
              <w:textAlignment w:val="bottom"/>
            </w:pPr>
            <w:r>
              <w:rPr>
                <w:rFonts w:ascii="Arial" w:eastAsia="宋体" w:hAnsi="Arial" w:cs="Arial"/>
                <w:b/>
                <w:bCs/>
                <w:color w:val="000000"/>
                <w:sz w:val="13"/>
                <w:szCs w:val="13"/>
              </w:rPr>
              <w:t>1,919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4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45" w14:textId="77777777" w:rsidR="00E836FB" w:rsidRDefault="00994958">
            <w:pPr>
              <w:jc w:val="right"/>
              <w:textAlignment w:val="bottom"/>
            </w:pPr>
            <w:r>
              <w:rPr>
                <w:rFonts w:ascii="Arial" w:eastAsia="宋体" w:hAnsi="Arial" w:cs="Arial"/>
                <w:color w:val="000000"/>
                <w:sz w:val="13"/>
                <w:szCs w:val="13"/>
              </w:rPr>
              <w:t>2,211 </w:t>
            </w:r>
          </w:p>
        </w:tc>
        <w:tc>
          <w:tcPr>
            <w:tcW w:w="0" w:type="auto"/>
            <w:shd w:val="clear" w:color="auto" w:fill="CCEEFF"/>
            <w:tcMar>
              <w:top w:w="40" w:type="dxa"/>
              <w:left w:w="0" w:type="dxa"/>
              <w:bottom w:w="40" w:type="dxa"/>
              <w:right w:w="20" w:type="dxa"/>
            </w:tcMar>
            <w:vAlign w:val="bottom"/>
          </w:tcPr>
          <w:p w14:paraId="5F2D55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4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48" w14:textId="77777777" w:rsidR="00E836FB" w:rsidRDefault="00994958">
            <w:pPr>
              <w:jc w:val="right"/>
              <w:textAlignment w:val="bottom"/>
            </w:pPr>
            <w:r>
              <w:rPr>
                <w:rFonts w:ascii="Arial" w:eastAsia="宋体" w:hAnsi="Arial" w:cs="Arial"/>
                <w:color w:val="000000"/>
                <w:sz w:val="13"/>
                <w:szCs w:val="13"/>
              </w:rPr>
              <w:t>2,590 </w:t>
            </w:r>
          </w:p>
        </w:tc>
        <w:tc>
          <w:tcPr>
            <w:tcW w:w="0" w:type="auto"/>
            <w:shd w:val="clear" w:color="auto" w:fill="CCEEFF"/>
            <w:tcMar>
              <w:top w:w="40" w:type="dxa"/>
              <w:left w:w="0" w:type="dxa"/>
              <w:bottom w:w="40" w:type="dxa"/>
              <w:right w:w="20" w:type="dxa"/>
            </w:tcMar>
            <w:vAlign w:val="bottom"/>
          </w:tcPr>
          <w:p w14:paraId="5F2D55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4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4B" w14:textId="77777777" w:rsidR="00E836FB" w:rsidRDefault="00994958">
            <w:pPr>
              <w:jc w:val="right"/>
              <w:textAlignment w:val="bottom"/>
            </w:pPr>
            <w:r>
              <w:rPr>
                <w:rFonts w:ascii="Arial" w:eastAsia="宋体" w:hAnsi="Arial" w:cs="Arial"/>
                <w:b/>
                <w:bCs/>
                <w:color w:val="000000"/>
                <w:sz w:val="13"/>
                <w:szCs w:val="13"/>
              </w:rPr>
              <w:t>(14)</w:t>
            </w:r>
          </w:p>
        </w:tc>
        <w:tc>
          <w:tcPr>
            <w:tcW w:w="0" w:type="auto"/>
            <w:shd w:val="clear" w:color="auto" w:fill="CCEEFF"/>
            <w:tcMar>
              <w:top w:w="40" w:type="dxa"/>
              <w:left w:w="0" w:type="dxa"/>
              <w:bottom w:w="40" w:type="dxa"/>
              <w:right w:w="20" w:type="dxa"/>
            </w:tcMar>
            <w:vAlign w:val="bottom"/>
          </w:tcPr>
          <w:p w14:paraId="5F2D55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4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4E" w14:textId="77777777" w:rsidR="00E836FB" w:rsidRDefault="00994958">
            <w:pPr>
              <w:jc w:val="right"/>
              <w:textAlignment w:val="bottom"/>
            </w:pPr>
            <w:r>
              <w:rPr>
                <w:rFonts w:ascii="Arial" w:eastAsia="宋体" w:hAnsi="Arial" w:cs="Arial"/>
                <w:color w:val="000000"/>
                <w:sz w:val="13"/>
                <w:szCs w:val="13"/>
              </w:rPr>
              <w:t>(11)</w:t>
            </w:r>
          </w:p>
        </w:tc>
        <w:tc>
          <w:tcPr>
            <w:tcW w:w="0" w:type="auto"/>
            <w:shd w:val="clear" w:color="auto" w:fill="CCEEFF"/>
            <w:tcMar>
              <w:top w:w="40" w:type="dxa"/>
              <w:left w:w="0" w:type="dxa"/>
              <w:bottom w:w="40" w:type="dxa"/>
              <w:right w:w="20" w:type="dxa"/>
            </w:tcMar>
            <w:vAlign w:val="bottom"/>
          </w:tcPr>
          <w:p w14:paraId="5F2D55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51" w14:textId="77777777" w:rsidR="00E836FB" w:rsidRDefault="00994958">
            <w:pPr>
              <w:jc w:val="right"/>
              <w:textAlignment w:val="bottom"/>
            </w:pPr>
            <w:r>
              <w:rPr>
                <w:rFonts w:ascii="Arial" w:eastAsia="宋体" w:hAnsi="Arial" w:cs="Arial"/>
                <w:color w:val="000000"/>
                <w:sz w:val="13"/>
                <w:szCs w:val="13"/>
              </w:rPr>
              <w:t>(24)</w:t>
            </w:r>
          </w:p>
        </w:tc>
        <w:tc>
          <w:tcPr>
            <w:tcW w:w="0" w:type="auto"/>
            <w:shd w:val="clear" w:color="auto" w:fill="CCEEFF"/>
            <w:tcMar>
              <w:top w:w="40" w:type="dxa"/>
              <w:left w:w="0" w:type="dxa"/>
              <w:bottom w:w="40" w:type="dxa"/>
              <w:right w:w="20" w:type="dxa"/>
            </w:tcMar>
            <w:vAlign w:val="bottom"/>
          </w:tcPr>
          <w:p w14:paraId="5F2D55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54"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57"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5A"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55D" w14:textId="77777777" w:rsidR="00E836FB" w:rsidRDefault="00994958">
            <w:pPr>
              <w:jc w:val="right"/>
              <w:textAlignment w:val="bottom"/>
            </w:pPr>
            <w:r>
              <w:rPr>
                <w:rFonts w:ascii="Arial" w:eastAsia="宋体" w:hAnsi="Arial" w:cs="Arial"/>
                <w:b/>
                <w:bCs/>
                <w:color w:val="000000"/>
                <w:sz w:val="13"/>
                <w:szCs w:val="13"/>
              </w:rPr>
              <w:t>1,905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55E"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555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560" w14:textId="77777777" w:rsidR="00E836FB" w:rsidRDefault="00994958">
            <w:pPr>
              <w:jc w:val="right"/>
              <w:textAlignment w:val="bottom"/>
            </w:pPr>
            <w:r>
              <w:rPr>
                <w:rFonts w:ascii="Arial" w:eastAsia="宋体" w:hAnsi="Arial" w:cs="Arial"/>
                <w:color w:val="000000"/>
                <w:sz w:val="13"/>
                <w:szCs w:val="13"/>
              </w:rPr>
              <w:t>2,200 </w:t>
            </w:r>
          </w:p>
          <w:p w14:paraId="5F2D5561" w14:textId="77777777" w:rsidR="00E836FB" w:rsidRDefault="00994958">
            <w:pPr>
              <w:jc w:val="right"/>
              <w:textAlignment w:val="bottom"/>
            </w:pPr>
            <w:r>
              <w:rPr>
                <w:rFonts w:ascii="Arial" w:eastAsia="宋体" w:hAnsi="Arial" w:cs="Arial"/>
                <w:color w:val="000000"/>
                <w:sz w:val="13"/>
                <w:szCs w:val="13"/>
              </w:rPr>
              <w:t>2,566 </w:t>
            </w:r>
          </w:p>
        </w:tc>
      </w:tr>
      <w:tr w:rsidR="00E836FB" w14:paraId="5F2D5584" w14:textId="77777777">
        <w:tc>
          <w:tcPr>
            <w:tcW w:w="0" w:type="auto"/>
            <w:gridSpan w:val="3"/>
            <w:shd w:val="clear" w:color="auto" w:fill="FFFFFF"/>
            <w:tcMar>
              <w:top w:w="40" w:type="dxa"/>
              <w:left w:w="20" w:type="dxa"/>
              <w:bottom w:w="40" w:type="dxa"/>
              <w:right w:w="20" w:type="dxa"/>
            </w:tcMar>
            <w:vAlign w:val="bottom"/>
          </w:tcPr>
          <w:p w14:paraId="5F2D5563" w14:textId="77777777" w:rsidR="00E836FB" w:rsidRDefault="00994958">
            <w:pPr>
              <w:textAlignment w:val="bottom"/>
            </w:pPr>
            <w:r>
              <w:rPr>
                <w:rFonts w:ascii="Arial" w:eastAsia="宋体" w:hAnsi="Arial" w:cs="Arial"/>
                <w:color w:val="000000"/>
                <w:sz w:val="13"/>
                <w:szCs w:val="13"/>
              </w:rPr>
              <w:t>Total other income</w:t>
            </w:r>
          </w:p>
        </w:tc>
        <w:tc>
          <w:tcPr>
            <w:tcW w:w="0" w:type="auto"/>
            <w:gridSpan w:val="2"/>
            <w:shd w:val="clear" w:color="auto" w:fill="FFFFFF"/>
            <w:tcMar>
              <w:top w:w="40" w:type="dxa"/>
              <w:left w:w="20" w:type="dxa"/>
              <w:bottom w:w="40" w:type="dxa"/>
              <w:right w:w="0" w:type="dxa"/>
            </w:tcMar>
            <w:vAlign w:val="bottom"/>
          </w:tcPr>
          <w:p w14:paraId="5F2D5564" w14:textId="77777777" w:rsidR="00E836FB" w:rsidRDefault="00994958">
            <w:pPr>
              <w:jc w:val="right"/>
              <w:textAlignment w:val="bottom"/>
            </w:pPr>
            <w:r>
              <w:rPr>
                <w:rFonts w:ascii="Arial" w:eastAsia="宋体" w:hAnsi="Arial" w:cs="Arial"/>
                <w:b/>
                <w:bCs/>
                <w:color w:val="000000"/>
                <w:sz w:val="13"/>
                <w:szCs w:val="13"/>
              </w:rPr>
              <w:t>(1)</w:t>
            </w:r>
          </w:p>
        </w:tc>
        <w:tc>
          <w:tcPr>
            <w:tcW w:w="0" w:type="auto"/>
            <w:shd w:val="clear" w:color="auto" w:fill="FFFFFF"/>
            <w:tcMar>
              <w:top w:w="40" w:type="dxa"/>
              <w:left w:w="0" w:type="dxa"/>
              <w:bottom w:w="40" w:type="dxa"/>
              <w:right w:w="20" w:type="dxa"/>
            </w:tcMar>
            <w:vAlign w:val="bottom"/>
          </w:tcPr>
          <w:p w14:paraId="5F2D55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6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67" w14:textId="77777777" w:rsidR="00E836FB" w:rsidRDefault="00994958">
            <w:pPr>
              <w:jc w:val="right"/>
              <w:textAlignment w:val="bottom"/>
            </w:pPr>
            <w:r>
              <w:rPr>
                <w:rFonts w:ascii="Arial" w:eastAsia="宋体" w:hAnsi="Arial" w:cs="Arial"/>
                <w:color w:val="000000"/>
                <w:sz w:val="13"/>
                <w:szCs w:val="13"/>
              </w:rPr>
              <w:t>4 </w:t>
            </w:r>
          </w:p>
        </w:tc>
        <w:tc>
          <w:tcPr>
            <w:tcW w:w="0" w:type="auto"/>
            <w:shd w:val="clear" w:color="auto" w:fill="FFFFFF"/>
            <w:tcMar>
              <w:top w:w="40" w:type="dxa"/>
              <w:left w:w="0" w:type="dxa"/>
              <w:bottom w:w="40" w:type="dxa"/>
              <w:right w:w="20" w:type="dxa"/>
            </w:tcMar>
            <w:vAlign w:val="bottom"/>
          </w:tcPr>
          <w:p w14:paraId="5F2D55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6A" w14:textId="77777777" w:rsidR="00E836FB" w:rsidRDefault="00994958">
            <w:pPr>
              <w:jc w:val="right"/>
              <w:textAlignment w:val="bottom"/>
            </w:pPr>
            <w:r>
              <w:rPr>
                <w:rFonts w:ascii="Arial" w:eastAsia="宋体" w:hAnsi="Arial" w:cs="Arial"/>
                <w:color w:val="000000"/>
                <w:sz w:val="13"/>
                <w:szCs w:val="13"/>
              </w:rPr>
              <w:t>43 </w:t>
            </w:r>
          </w:p>
        </w:tc>
        <w:tc>
          <w:tcPr>
            <w:tcW w:w="0" w:type="auto"/>
            <w:shd w:val="clear" w:color="auto" w:fill="FFFFFF"/>
            <w:tcMar>
              <w:top w:w="40" w:type="dxa"/>
              <w:left w:w="0" w:type="dxa"/>
              <w:bottom w:w="40" w:type="dxa"/>
              <w:right w:w="20" w:type="dxa"/>
            </w:tcMar>
            <w:vAlign w:val="bottom"/>
          </w:tcPr>
          <w:p w14:paraId="5F2D556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6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6D"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6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6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70"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7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7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73"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7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7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76" w14:textId="77777777" w:rsidR="00E836FB" w:rsidRDefault="00994958">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7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79"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7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7C"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7F" w14:textId="77777777" w:rsidR="00E836FB" w:rsidRDefault="00994958">
            <w:pPr>
              <w:jc w:val="right"/>
              <w:textAlignment w:val="bottom"/>
            </w:pPr>
            <w:r>
              <w:rPr>
                <w:rFonts w:ascii="Arial" w:eastAsia="宋体" w:hAnsi="Arial" w:cs="Arial"/>
                <w:b/>
                <w:bCs/>
                <w:color w:val="000000"/>
                <w:sz w:val="13"/>
                <w:szCs w:val="13"/>
              </w:rPr>
              <w:t>110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80"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5581"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5582" w14:textId="77777777" w:rsidR="00E836FB" w:rsidRDefault="00994958">
            <w:pPr>
              <w:jc w:val="right"/>
              <w:textAlignment w:val="bottom"/>
            </w:pPr>
            <w:r>
              <w:rPr>
                <w:rFonts w:ascii="Arial" w:eastAsia="宋体" w:hAnsi="Arial" w:cs="Arial"/>
                <w:color w:val="000000"/>
                <w:sz w:val="13"/>
                <w:szCs w:val="13"/>
              </w:rPr>
              <w:t>4 </w:t>
            </w:r>
          </w:p>
          <w:p w14:paraId="5F2D5583" w14:textId="77777777" w:rsidR="00E836FB" w:rsidRDefault="00994958">
            <w:pPr>
              <w:jc w:val="right"/>
              <w:textAlignment w:val="bottom"/>
            </w:pPr>
            <w:r>
              <w:rPr>
                <w:rFonts w:ascii="Arial" w:eastAsia="宋体" w:hAnsi="Arial" w:cs="Arial"/>
                <w:color w:val="000000"/>
                <w:sz w:val="13"/>
                <w:szCs w:val="13"/>
              </w:rPr>
              <w:t>43 </w:t>
            </w:r>
          </w:p>
        </w:tc>
      </w:tr>
      <w:tr w:rsidR="00E836FB" w14:paraId="5F2D55A6" w14:textId="77777777">
        <w:tc>
          <w:tcPr>
            <w:tcW w:w="0" w:type="auto"/>
            <w:gridSpan w:val="3"/>
            <w:shd w:val="clear" w:color="auto" w:fill="CCEEFF"/>
            <w:tcMar>
              <w:top w:w="40" w:type="dxa"/>
              <w:left w:w="20" w:type="dxa"/>
              <w:bottom w:w="40" w:type="dxa"/>
              <w:right w:w="20" w:type="dxa"/>
            </w:tcMar>
            <w:vAlign w:val="bottom"/>
          </w:tcPr>
          <w:p w14:paraId="5F2D5585" w14:textId="77777777" w:rsidR="00E836FB" w:rsidRDefault="00994958">
            <w:pPr>
              <w:textAlignment w:val="bottom"/>
            </w:pPr>
            <w:r>
              <w:rPr>
                <w:rFonts w:ascii="Arial" w:eastAsia="宋体" w:hAnsi="Arial" w:cs="Arial"/>
                <w:b/>
                <w:bCs/>
                <w:color w:val="000000"/>
                <w:sz w:val="13"/>
                <w:szCs w:val="13"/>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86" w14:textId="77777777" w:rsidR="00E836FB" w:rsidRDefault="00994958">
            <w:pPr>
              <w:jc w:val="right"/>
              <w:textAlignment w:val="bottom"/>
            </w:pPr>
            <w:r>
              <w:rPr>
                <w:rFonts w:ascii="Arial" w:eastAsia="宋体" w:hAnsi="Arial" w:cs="Arial"/>
                <w:b/>
                <w:bCs/>
                <w:color w:val="000000"/>
                <w:sz w:val="13"/>
                <w:szCs w:val="13"/>
              </w:rPr>
              <w:t>9,797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88"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89" w14:textId="77777777" w:rsidR="00E836FB" w:rsidRDefault="00994958">
            <w:pPr>
              <w:jc w:val="right"/>
              <w:textAlignment w:val="bottom"/>
            </w:pPr>
            <w:r>
              <w:rPr>
                <w:rFonts w:ascii="Arial" w:eastAsia="宋体" w:hAnsi="Arial" w:cs="Arial"/>
                <w:color w:val="000000"/>
                <w:sz w:val="13"/>
                <w:szCs w:val="13"/>
              </w:rPr>
              <w:t>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8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8C" w14:textId="77777777" w:rsidR="00E836FB" w:rsidRDefault="00994958">
            <w:pPr>
              <w:jc w:val="right"/>
              <w:textAlignment w:val="bottom"/>
            </w:pPr>
            <w:r>
              <w:rPr>
                <w:rFonts w:ascii="Arial" w:eastAsia="宋体" w:hAnsi="Arial" w:cs="Arial"/>
                <w:color w:val="000000"/>
                <w:sz w:val="13"/>
                <w:szCs w:val="13"/>
              </w:rPr>
              <w:t>9,834 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8E"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8F" w14:textId="77777777" w:rsidR="00E836FB" w:rsidRDefault="00994958">
            <w:pPr>
              <w:jc w:val="right"/>
              <w:textAlignment w:val="bottom"/>
            </w:pPr>
            <w:r>
              <w:rPr>
                <w:rFonts w:ascii="Arial" w:eastAsia="宋体" w:hAnsi="Arial" w:cs="Arial"/>
                <w:b/>
                <w:bCs/>
                <w:color w:val="000000"/>
                <w:sz w:val="13"/>
                <w:szCs w:val="13"/>
              </w:rPr>
              <w:t>2,119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9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92" w14:textId="77777777" w:rsidR="00E836FB" w:rsidRDefault="00994958">
            <w:pPr>
              <w:jc w:val="right"/>
              <w:textAlignment w:val="bottom"/>
            </w:pPr>
            <w:r>
              <w:rPr>
                <w:rFonts w:ascii="Arial" w:eastAsia="宋体" w:hAnsi="Arial" w:cs="Arial"/>
                <w:color w:val="000000"/>
                <w:sz w:val="13"/>
                <w:szCs w:val="13"/>
              </w:rPr>
              <w:t>1,974 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9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95" w14:textId="77777777" w:rsidR="00E836FB" w:rsidRDefault="00994958">
            <w:pPr>
              <w:jc w:val="right"/>
              <w:textAlignment w:val="bottom"/>
            </w:pPr>
            <w:r>
              <w:rPr>
                <w:rFonts w:ascii="Arial" w:eastAsia="宋体" w:hAnsi="Arial" w:cs="Arial"/>
                <w:color w:val="000000"/>
                <w:sz w:val="13"/>
                <w:szCs w:val="13"/>
              </w:rPr>
              <w:t>1,922 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9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97"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98" w14:textId="77777777" w:rsidR="00E836FB" w:rsidRDefault="00994958">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9A"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9B"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9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9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9E" w14:textId="77777777" w:rsidR="00E836FB" w:rsidRDefault="00994958">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9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5A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5A1" w14:textId="77777777" w:rsidR="00E836FB" w:rsidRDefault="00994958">
            <w:pPr>
              <w:jc w:val="right"/>
              <w:textAlignment w:val="bottom"/>
            </w:pPr>
            <w:r>
              <w:rPr>
                <w:rFonts w:ascii="Arial" w:eastAsia="宋体" w:hAnsi="Arial" w:cs="Arial"/>
                <w:b/>
                <w:bCs/>
                <w:color w:val="000000"/>
                <w:sz w:val="13"/>
                <w:szCs w:val="13"/>
              </w:rPr>
              <w:t>12,027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5A2"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55A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5A4" w14:textId="77777777" w:rsidR="00E836FB" w:rsidRDefault="00994958">
            <w:pPr>
              <w:jc w:val="right"/>
              <w:textAlignment w:val="bottom"/>
            </w:pPr>
            <w:r>
              <w:rPr>
                <w:rFonts w:ascii="Arial" w:eastAsia="宋体" w:hAnsi="Arial" w:cs="Arial"/>
                <w:color w:val="000000"/>
                <w:sz w:val="13"/>
                <w:szCs w:val="13"/>
              </w:rPr>
              <w:t>11,703 </w:t>
            </w:r>
          </w:p>
          <w:p w14:paraId="5F2D55A5" w14:textId="77777777" w:rsidR="00E836FB" w:rsidRDefault="00994958">
            <w:pPr>
              <w:jc w:val="right"/>
              <w:textAlignment w:val="bottom"/>
            </w:pPr>
            <w:r>
              <w:rPr>
                <w:rFonts w:ascii="Arial" w:eastAsia="宋体" w:hAnsi="Arial" w:cs="Arial"/>
                <w:color w:val="000000"/>
                <w:sz w:val="13"/>
                <w:szCs w:val="13"/>
              </w:rPr>
              <w:t>11,756 </w:t>
            </w:r>
          </w:p>
        </w:tc>
      </w:tr>
      <w:tr w:rsidR="00E836FB" w14:paraId="5F2D55C8" w14:textId="77777777">
        <w:tc>
          <w:tcPr>
            <w:tcW w:w="0" w:type="auto"/>
            <w:gridSpan w:val="3"/>
            <w:shd w:val="clear" w:color="auto" w:fill="FFFFFF"/>
            <w:tcMar>
              <w:top w:w="40" w:type="dxa"/>
              <w:left w:w="20" w:type="dxa"/>
              <w:bottom w:w="40" w:type="dxa"/>
              <w:right w:w="20" w:type="dxa"/>
            </w:tcMar>
            <w:vAlign w:val="bottom"/>
          </w:tcPr>
          <w:p w14:paraId="5F2D55A7" w14:textId="77777777" w:rsidR="00E836FB" w:rsidRDefault="00994958">
            <w:pPr>
              <w:textAlignment w:val="bottom"/>
            </w:pPr>
            <w:r>
              <w:rPr>
                <w:rFonts w:ascii="Arial" w:eastAsia="宋体" w:hAnsi="Arial" w:cs="Arial"/>
                <w:color w:val="000000"/>
                <w:sz w:val="13"/>
                <w:szCs w:val="13"/>
              </w:rPr>
              <w:t xml:space="preserve">Provision for </w:t>
            </w:r>
            <w:r>
              <w:rPr>
                <w:rFonts w:ascii="Arial" w:eastAsia="宋体" w:hAnsi="Arial" w:cs="Arial"/>
                <w:color w:val="000000"/>
                <w:sz w:val="13"/>
                <w:szCs w:val="13"/>
              </w:rPr>
              <w:t>credit losses</w:t>
            </w:r>
          </w:p>
        </w:tc>
        <w:tc>
          <w:tcPr>
            <w:tcW w:w="0" w:type="auto"/>
            <w:gridSpan w:val="2"/>
            <w:shd w:val="clear" w:color="auto" w:fill="FFFFFF"/>
            <w:tcMar>
              <w:top w:w="40" w:type="dxa"/>
              <w:left w:w="20" w:type="dxa"/>
              <w:bottom w:w="40" w:type="dxa"/>
              <w:right w:w="0" w:type="dxa"/>
            </w:tcMar>
            <w:vAlign w:val="bottom"/>
          </w:tcPr>
          <w:p w14:paraId="5F2D55A8" w14:textId="77777777" w:rsidR="00E836FB" w:rsidRDefault="00994958">
            <w:pPr>
              <w:jc w:val="right"/>
              <w:textAlignment w:val="bottom"/>
            </w:pPr>
            <w:r>
              <w:rPr>
                <w:rFonts w:ascii="Arial" w:eastAsia="宋体" w:hAnsi="Arial" w:cs="Arial"/>
                <w:b/>
                <w:bCs/>
                <w:color w:val="000000"/>
                <w:sz w:val="13"/>
                <w:szCs w:val="13"/>
              </w:rPr>
              <w:t>(33)</w:t>
            </w:r>
          </w:p>
        </w:tc>
        <w:tc>
          <w:tcPr>
            <w:tcW w:w="0" w:type="auto"/>
            <w:shd w:val="clear" w:color="auto" w:fill="FFFFFF"/>
            <w:tcMar>
              <w:top w:w="40" w:type="dxa"/>
              <w:left w:w="0" w:type="dxa"/>
              <w:bottom w:w="40" w:type="dxa"/>
              <w:right w:w="20" w:type="dxa"/>
            </w:tcMar>
            <w:vAlign w:val="bottom"/>
          </w:tcPr>
          <w:p w14:paraId="5F2D55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AB" w14:textId="77777777" w:rsidR="00E836FB" w:rsidRDefault="00994958">
            <w:pPr>
              <w:jc w:val="right"/>
              <w:textAlignment w:val="bottom"/>
            </w:pPr>
            <w:r>
              <w:rPr>
                <w:rFonts w:ascii="Arial" w:eastAsia="宋体" w:hAnsi="Arial" w:cs="Arial"/>
                <w:color w:val="000000"/>
                <w:sz w:val="13"/>
                <w:szCs w:val="13"/>
              </w:rPr>
              <w:t>88 </w:t>
            </w:r>
          </w:p>
        </w:tc>
        <w:tc>
          <w:tcPr>
            <w:tcW w:w="0" w:type="auto"/>
            <w:shd w:val="clear" w:color="auto" w:fill="FFFFFF"/>
            <w:tcMar>
              <w:top w:w="40" w:type="dxa"/>
              <w:left w:w="0" w:type="dxa"/>
              <w:bottom w:w="40" w:type="dxa"/>
              <w:right w:w="20" w:type="dxa"/>
            </w:tcMar>
            <w:vAlign w:val="bottom"/>
          </w:tcPr>
          <w:p w14:paraId="5F2D55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A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AE" w14:textId="77777777" w:rsidR="00E836FB" w:rsidRDefault="00994958">
            <w:pPr>
              <w:jc w:val="right"/>
              <w:textAlignment w:val="bottom"/>
            </w:pPr>
            <w:r>
              <w:rPr>
                <w:rFonts w:ascii="Arial" w:eastAsia="宋体" w:hAnsi="Arial" w:cs="Arial"/>
                <w:color w:val="000000"/>
                <w:sz w:val="13"/>
                <w:szCs w:val="13"/>
              </w:rPr>
              <w:t>10 </w:t>
            </w:r>
          </w:p>
        </w:tc>
        <w:tc>
          <w:tcPr>
            <w:tcW w:w="0" w:type="auto"/>
            <w:shd w:val="clear" w:color="auto" w:fill="FFFFFF"/>
            <w:tcMar>
              <w:top w:w="40" w:type="dxa"/>
              <w:left w:w="0" w:type="dxa"/>
              <w:bottom w:w="40" w:type="dxa"/>
              <w:right w:w="20" w:type="dxa"/>
            </w:tcMar>
            <w:vAlign w:val="bottom"/>
          </w:tcPr>
          <w:p w14:paraId="5F2D55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B1"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B4"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B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B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B7"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B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B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BA" w14:textId="77777777" w:rsidR="00E836FB" w:rsidRDefault="00994958">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B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B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BD"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B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B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C0" w14:textId="77777777" w:rsidR="00E836FB" w:rsidRDefault="00994958">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F2D55C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5C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5C3" w14:textId="77777777" w:rsidR="00E836FB" w:rsidRDefault="00994958">
            <w:pPr>
              <w:jc w:val="right"/>
              <w:textAlignment w:val="bottom"/>
            </w:pPr>
            <w:r>
              <w:rPr>
                <w:rFonts w:ascii="Arial" w:eastAsia="宋体" w:hAnsi="Arial" w:cs="Arial"/>
                <w:b/>
                <w:bCs/>
                <w:color w:val="000000"/>
                <w:sz w:val="13"/>
                <w:szCs w:val="13"/>
              </w:rPr>
              <w:t>(33)</w:t>
            </w:r>
          </w:p>
        </w:tc>
        <w:tc>
          <w:tcPr>
            <w:tcW w:w="0" w:type="auto"/>
            <w:shd w:val="clear" w:color="auto" w:fill="FFFFFF"/>
            <w:tcMar>
              <w:top w:w="40" w:type="dxa"/>
              <w:left w:w="0" w:type="dxa"/>
              <w:bottom w:w="40" w:type="dxa"/>
              <w:right w:w="20" w:type="dxa"/>
            </w:tcMar>
            <w:vAlign w:val="bottom"/>
          </w:tcPr>
          <w:p w14:paraId="5F2D55C4"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55C5"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55C6" w14:textId="77777777" w:rsidR="00E836FB" w:rsidRDefault="00994958">
            <w:pPr>
              <w:jc w:val="right"/>
              <w:textAlignment w:val="bottom"/>
            </w:pPr>
            <w:r>
              <w:rPr>
                <w:rFonts w:ascii="Arial" w:eastAsia="宋体" w:hAnsi="Arial" w:cs="Arial"/>
                <w:color w:val="000000"/>
                <w:sz w:val="13"/>
                <w:szCs w:val="13"/>
              </w:rPr>
              <w:t>88 </w:t>
            </w:r>
          </w:p>
          <w:p w14:paraId="5F2D55C7" w14:textId="77777777" w:rsidR="00E836FB" w:rsidRDefault="00994958">
            <w:pPr>
              <w:jc w:val="right"/>
              <w:textAlignment w:val="bottom"/>
            </w:pPr>
            <w:r>
              <w:rPr>
                <w:rFonts w:ascii="Arial" w:eastAsia="宋体" w:hAnsi="Arial" w:cs="Arial"/>
                <w:color w:val="000000"/>
                <w:sz w:val="13"/>
                <w:szCs w:val="13"/>
              </w:rPr>
              <w:t>10 </w:t>
            </w:r>
          </w:p>
        </w:tc>
      </w:tr>
      <w:tr w:rsidR="00E836FB" w14:paraId="5F2D55DF" w14:textId="77777777">
        <w:trPr>
          <w:hidden/>
        </w:trPr>
        <w:tc>
          <w:tcPr>
            <w:tcW w:w="0" w:type="auto"/>
            <w:gridSpan w:val="3"/>
            <w:shd w:val="clear" w:color="auto" w:fill="auto"/>
            <w:vAlign w:val="bottom"/>
          </w:tcPr>
          <w:p w14:paraId="5F2D55C9" w14:textId="77777777" w:rsidR="00E836FB" w:rsidRDefault="00E836FB">
            <w:pPr>
              <w:rPr>
                <w:rFonts w:ascii="宋体"/>
                <w:vanish/>
              </w:rPr>
            </w:pPr>
          </w:p>
        </w:tc>
        <w:tc>
          <w:tcPr>
            <w:tcW w:w="0" w:type="auto"/>
            <w:gridSpan w:val="3"/>
            <w:shd w:val="clear" w:color="auto" w:fill="auto"/>
            <w:vAlign w:val="bottom"/>
          </w:tcPr>
          <w:p w14:paraId="5F2D55CA" w14:textId="77777777" w:rsidR="00E836FB" w:rsidRDefault="00E836FB">
            <w:pPr>
              <w:rPr>
                <w:rFonts w:ascii="宋体"/>
                <w:vanish/>
              </w:rPr>
            </w:pPr>
          </w:p>
        </w:tc>
        <w:tc>
          <w:tcPr>
            <w:tcW w:w="0" w:type="auto"/>
            <w:gridSpan w:val="3"/>
            <w:shd w:val="clear" w:color="auto" w:fill="auto"/>
            <w:vAlign w:val="bottom"/>
          </w:tcPr>
          <w:p w14:paraId="5F2D55CB" w14:textId="77777777" w:rsidR="00E836FB" w:rsidRDefault="00E836FB">
            <w:pPr>
              <w:rPr>
                <w:rFonts w:ascii="宋体"/>
                <w:vanish/>
              </w:rPr>
            </w:pPr>
          </w:p>
        </w:tc>
        <w:tc>
          <w:tcPr>
            <w:tcW w:w="0" w:type="auto"/>
            <w:gridSpan w:val="3"/>
            <w:shd w:val="clear" w:color="auto" w:fill="auto"/>
            <w:vAlign w:val="bottom"/>
          </w:tcPr>
          <w:p w14:paraId="5F2D55CC" w14:textId="77777777" w:rsidR="00E836FB" w:rsidRDefault="00E836FB">
            <w:pPr>
              <w:rPr>
                <w:rFonts w:ascii="宋体"/>
                <w:vanish/>
              </w:rPr>
            </w:pPr>
          </w:p>
        </w:tc>
        <w:tc>
          <w:tcPr>
            <w:tcW w:w="0" w:type="auto"/>
            <w:gridSpan w:val="3"/>
            <w:shd w:val="clear" w:color="auto" w:fill="auto"/>
            <w:vAlign w:val="bottom"/>
          </w:tcPr>
          <w:p w14:paraId="5F2D55CD" w14:textId="77777777" w:rsidR="00E836FB" w:rsidRDefault="00E836FB">
            <w:pPr>
              <w:rPr>
                <w:rFonts w:ascii="宋体"/>
                <w:vanish/>
              </w:rPr>
            </w:pPr>
          </w:p>
        </w:tc>
        <w:tc>
          <w:tcPr>
            <w:tcW w:w="0" w:type="auto"/>
            <w:gridSpan w:val="3"/>
            <w:shd w:val="clear" w:color="auto" w:fill="auto"/>
            <w:vAlign w:val="bottom"/>
          </w:tcPr>
          <w:p w14:paraId="5F2D55CE" w14:textId="77777777" w:rsidR="00E836FB" w:rsidRDefault="00E836FB">
            <w:pPr>
              <w:rPr>
                <w:rFonts w:ascii="宋体"/>
                <w:vanish/>
              </w:rPr>
            </w:pPr>
          </w:p>
        </w:tc>
        <w:tc>
          <w:tcPr>
            <w:tcW w:w="0" w:type="auto"/>
            <w:gridSpan w:val="3"/>
            <w:shd w:val="clear" w:color="auto" w:fill="auto"/>
            <w:vAlign w:val="bottom"/>
          </w:tcPr>
          <w:p w14:paraId="5F2D55CF" w14:textId="77777777" w:rsidR="00E836FB" w:rsidRDefault="00E836FB">
            <w:pPr>
              <w:rPr>
                <w:rFonts w:ascii="宋体"/>
                <w:vanish/>
              </w:rPr>
            </w:pPr>
          </w:p>
        </w:tc>
        <w:tc>
          <w:tcPr>
            <w:tcW w:w="0" w:type="auto"/>
            <w:gridSpan w:val="3"/>
            <w:shd w:val="clear" w:color="auto" w:fill="auto"/>
            <w:vAlign w:val="bottom"/>
          </w:tcPr>
          <w:p w14:paraId="5F2D55D0" w14:textId="77777777" w:rsidR="00E836FB" w:rsidRDefault="00E836FB">
            <w:pPr>
              <w:rPr>
                <w:rFonts w:ascii="宋体"/>
                <w:vanish/>
              </w:rPr>
            </w:pPr>
          </w:p>
        </w:tc>
        <w:tc>
          <w:tcPr>
            <w:tcW w:w="0" w:type="auto"/>
            <w:gridSpan w:val="3"/>
            <w:shd w:val="clear" w:color="auto" w:fill="auto"/>
            <w:vAlign w:val="bottom"/>
          </w:tcPr>
          <w:p w14:paraId="5F2D55D1" w14:textId="77777777" w:rsidR="00E836FB" w:rsidRDefault="00E836FB">
            <w:pPr>
              <w:rPr>
                <w:rFonts w:ascii="宋体"/>
                <w:vanish/>
              </w:rPr>
            </w:pPr>
          </w:p>
        </w:tc>
        <w:tc>
          <w:tcPr>
            <w:tcW w:w="0" w:type="auto"/>
            <w:gridSpan w:val="3"/>
            <w:shd w:val="clear" w:color="auto" w:fill="auto"/>
            <w:vAlign w:val="bottom"/>
          </w:tcPr>
          <w:p w14:paraId="5F2D55D2" w14:textId="77777777" w:rsidR="00E836FB" w:rsidRDefault="00E836FB">
            <w:pPr>
              <w:rPr>
                <w:rFonts w:ascii="宋体"/>
                <w:vanish/>
              </w:rPr>
            </w:pPr>
          </w:p>
        </w:tc>
        <w:tc>
          <w:tcPr>
            <w:tcW w:w="0" w:type="auto"/>
            <w:gridSpan w:val="3"/>
            <w:shd w:val="clear" w:color="auto" w:fill="auto"/>
            <w:vAlign w:val="bottom"/>
          </w:tcPr>
          <w:p w14:paraId="5F2D55D3" w14:textId="77777777" w:rsidR="00E836FB" w:rsidRDefault="00E836FB">
            <w:pPr>
              <w:rPr>
                <w:rFonts w:ascii="宋体"/>
                <w:vanish/>
              </w:rPr>
            </w:pPr>
          </w:p>
        </w:tc>
        <w:tc>
          <w:tcPr>
            <w:tcW w:w="0" w:type="auto"/>
            <w:gridSpan w:val="3"/>
            <w:shd w:val="clear" w:color="auto" w:fill="auto"/>
            <w:vAlign w:val="bottom"/>
          </w:tcPr>
          <w:p w14:paraId="5F2D55D4" w14:textId="77777777" w:rsidR="00E836FB" w:rsidRDefault="00E836FB">
            <w:pPr>
              <w:rPr>
                <w:rFonts w:ascii="宋体"/>
                <w:vanish/>
              </w:rPr>
            </w:pPr>
          </w:p>
        </w:tc>
        <w:tc>
          <w:tcPr>
            <w:tcW w:w="0" w:type="auto"/>
            <w:gridSpan w:val="3"/>
            <w:shd w:val="clear" w:color="auto" w:fill="auto"/>
            <w:vAlign w:val="bottom"/>
          </w:tcPr>
          <w:p w14:paraId="5F2D55D5" w14:textId="77777777" w:rsidR="00E836FB" w:rsidRDefault="00E836FB">
            <w:pPr>
              <w:rPr>
                <w:rFonts w:ascii="宋体"/>
                <w:vanish/>
              </w:rPr>
            </w:pPr>
          </w:p>
        </w:tc>
        <w:tc>
          <w:tcPr>
            <w:tcW w:w="0" w:type="auto"/>
            <w:gridSpan w:val="3"/>
            <w:shd w:val="clear" w:color="auto" w:fill="auto"/>
            <w:vAlign w:val="bottom"/>
          </w:tcPr>
          <w:p w14:paraId="5F2D55D6" w14:textId="77777777" w:rsidR="00E836FB" w:rsidRDefault="00E836FB">
            <w:pPr>
              <w:rPr>
                <w:rFonts w:ascii="宋体"/>
                <w:vanish/>
              </w:rPr>
            </w:pPr>
          </w:p>
        </w:tc>
        <w:tc>
          <w:tcPr>
            <w:tcW w:w="0" w:type="auto"/>
            <w:gridSpan w:val="3"/>
            <w:shd w:val="clear" w:color="auto" w:fill="auto"/>
            <w:vAlign w:val="bottom"/>
          </w:tcPr>
          <w:p w14:paraId="5F2D55D7" w14:textId="77777777" w:rsidR="00E836FB" w:rsidRDefault="00E836FB">
            <w:pPr>
              <w:rPr>
                <w:rFonts w:ascii="宋体"/>
                <w:vanish/>
              </w:rPr>
            </w:pPr>
          </w:p>
        </w:tc>
        <w:tc>
          <w:tcPr>
            <w:tcW w:w="0" w:type="auto"/>
            <w:gridSpan w:val="3"/>
            <w:shd w:val="clear" w:color="auto" w:fill="auto"/>
            <w:vAlign w:val="bottom"/>
          </w:tcPr>
          <w:p w14:paraId="5F2D55D8" w14:textId="77777777" w:rsidR="00E836FB" w:rsidRDefault="00E836FB">
            <w:pPr>
              <w:rPr>
                <w:rFonts w:ascii="宋体"/>
                <w:vanish/>
              </w:rPr>
            </w:pPr>
          </w:p>
        </w:tc>
        <w:tc>
          <w:tcPr>
            <w:tcW w:w="0" w:type="auto"/>
            <w:gridSpan w:val="3"/>
            <w:shd w:val="clear" w:color="auto" w:fill="auto"/>
            <w:vAlign w:val="bottom"/>
          </w:tcPr>
          <w:p w14:paraId="5F2D55D9" w14:textId="77777777" w:rsidR="00E836FB" w:rsidRDefault="00E836FB">
            <w:pPr>
              <w:rPr>
                <w:rFonts w:ascii="宋体"/>
                <w:vanish/>
              </w:rPr>
            </w:pPr>
          </w:p>
        </w:tc>
        <w:tc>
          <w:tcPr>
            <w:tcW w:w="0" w:type="auto"/>
            <w:gridSpan w:val="3"/>
            <w:shd w:val="clear" w:color="auto" w:fill="auto"/>
            <w:vAlign w:val="bottom"/>
          </w:tcPr>
          <w:p w14:paraId="5F2D55DA" w14:textId="77777777" w:rsidR="00E836FB" w:rsidRDefault="00E836FB">
            <w:pPr>
              <w:rPr>
                <w:rFonts w:ascii="宋体"/>
                <w:vanish/>
              </w:rPr>
            </w:pPr>
          </w:p>
        </w:tc>
        <w:tc>
          <w:tcPr>
            <w:tcW w:w="0" w:type="auto"/>
            <w:gridSpan w:val="3"/>
            <w:shd w:val="clear" w:color="auto" w:fill="auto"/>
            <w:vAlign w:val="bottom"/>
          </w:tcPr>
          <w:p w14:paraId="5F2D55DB" w14:textId="77777777" w:rsidR="00E836FB" w:rsidRDefault="00E836FB">
            <w:pPr>
              <w:rPr>
                <w:rFonts w:ascii="宋体"/>
                <w:vanish/>
              </w:rPr>
            </w:pPr>
          </w:p>
        </w:tc>
        <w:tc>
          <w:tcPr>
            <w:tcW w:w="0" w:type="auto"/>
            <w:gridSpan w:val="3"/>
            <w:shd w:val="clear" w:color="auto" w:fill="auto"/>
            <w:vAlign w:val="bottom"/>
          </w:tcPr>
          <w:p w14:paraId="5F2D55DC" w14:textId="77777777" w:rsidR="00E836FB" w:rsidRDefault="00E836FB">
            <w:pPr>
              <w:rPr>
                <w:rFonts w:ascii="宋体"/>
                <w:vanish/>
              </w:rPr>
            </w:pPr>
          </w:p>
        </w:tc>
        <w:tc>
          <w:tcPr>
            <w:tcW w:w="0" w:type="auto"/>
            <w:gridSpan w:val="2"/>
            <w:shd w:val="clear" w:color="auto" w:fill="auto"/>
            <w:vAlign w:val="bottom"/>
          </w:tcPr>
          <w:p w14:paraId="5F2D55DD" w14:textId="77777777" w:rsidR="00E836FB" w:rsidRDefault="00E836FB">
            <w:pPr>
              <w:rPr>
                <w:rFonts w:ascii="宋体"/>
                <w:vanish/>
              </w:rPr>
            </w:pPr>
          </w:p>
        </w:tc>
        <w:tc>
          <w:tcPr>
            <w:tcW w:w="0" w:type="auto"/>
            <w:shd w:val="clear" w:color="auto" w:fill="auto"/>
            <w:vAlign w:val="bottom"/>
          </w:tcPr>
          <w:p w14:paraId="5F2D55DE" w14:textId="77777777" w:rsidR="00E836FB" w:rsidRDefault="00E836FB">
            <w:pPr>
              <w:rPr>
                <w:rFonts w:ascii="宋体"/>
                <w:vanish/>
              </w:rPr>
            </w:pPr>
          </w:p>
        </w:tc>
      </w:tr>
      <w:tr w:rsidR="00E836FB" w14:paraId="5F2D55F6" w14:textId="77777777">
        <w:trPr>
          <w:hidden/>
        </w:trPr>
        <w:tc>
          <w:tcPr>
            <w:tcW w:w="0" w:type="auto"/>
            <w:gridSpan w:val="3"/>
            <w:shd w:val="clear" w:color="auto" w:fill="auto"/>
            <w:vAlign w:val="bottom"/>
          </w:tcPr>
          <w:p w14:paraId="5F2D55E0" w14:textId="77777777" w:rsidR="00E836FB" w:rsidRDefault="00E836FB">
            <w:pPr>
              <w:rPr>
                <w:rFonts w:ascii="宋体"/>
                <w:vanish/>
              </w:rPr>
            </w:pPr>
          </w:p>
        </w:tc>
        <w:tc>
          <w:tcPr>
            <w:tcW w:w="0" w:type="auto"/>
            <w:gridSpan w:val="3"/>
            <w:shd w:val="clear" w:color="auto" w:fill="auto"/>
            <w:vAlign w:val="bottom"/>
          </w:tcPr>
          <w:p w14:paraId="5F2D55E1" w14:textId="77777777" w:rsidR="00E836FB" w:rsidRDefault="00E836FB">
            <w:pPr>
              <w:rPr>
                <w:rFonts w:ascii="宋体"/>
                <w:vanish/>
              </w:rPr>
            </w:pPr>
          </w:p>
        </w:tc>
        <w:tc>
          <w:tcPr>
            <w:tcW w:w="0" w:type="auto"/>
            <w:gridSpan w:val="3"/>
            <w:shd w:val="clear" w:color="auto" w:fill="auto"/>
            <w:vAlign w:val="bottom"/>
          </w:tcPr>
          <w:p w14:paraId="5F2D55E2" w14:textId="77777777" w:rsidR="00E836FB" w:rsidRDefault="00E836FB">
            <w:pPr>
              <w:rPr>
                <w:rFonts w:ascii="宋体"/>
                <w:vanish/>
              </w:rPr>
            </w:pPr>
          </w:p>
        </w:tc>
        <w:tc>
          <w:tcPr>
            <w:tcW w:w="0" w:type="auto"/>
            <w:gridSpan w:val="3"/>
            <w:shd w:val="clear" w:color="auto" w:fill="auto"/>
            <w:vAlign w:val="bottom"/>
          </w:tcPr>
          <w:p w14:paraId="5F2D55E3" w14:textId="77777777" w:rsidR="00E836FB" w:rsidRDefault="00E836FB">
            <w:pPr>
              <w:rPr>
                <w:rFonts w:ascii="宋体"/>
                <w:vanish/>
              </w:rPr>
            </w:pPr>
          </w:p>
        </w:tc>
        <w:tc>
          <w:tcPr>
            <w:tcW w:w="0" w:type="auto"/>
            <w:gridSpan w:val="3"/>
            <w:shd w:val="clear" w:color="auto" w:fill="auto"/>
            <w:vAlign w:val="bottom"/>
          </w:tcPr>
          <w:p w14:paraId="5F2D55E4" w14:textId="77777777" w:rsidR="00E836FB" w:rsidRDefault="00E836FB">
            <w:pPr>
              <w:rPr>
                <w:rFonts w:ascii="宋体"/>
                <w:vanish/>
              </w:rPr>
            </w:pPr>
          </w:p>
        </w:tc>
        <w:tc>
          <w:tcPr>
            <w:tcW w:w="0" w:type="auto"/>
            <w:gridSpan w:val="3"/>
            <w:shd w:val="clear" w:color="auto" w:fill="auto"/>
            <w:vAlign w:val="bottom"/>
          </w:tcPr>
          <w:p w14:paraId="5F2D55E5" w14:textId="77777777" w:rsidR="00E836FB" w:rsidRDefault="00E836FB">
            <w:pPr>
              <w:rPr>
                <w:rFonts w:ascii="宋体"/>
                <w:vanish/>
              </w:rPr>
            </w:pPr>
          </w:p>
        </w:tc>
        <w:tc>
          <w:tcPr>
            <w:tcW w:w="0" w:type="auto"/>
            <w:gridSpan w:val="3"/>
            <w:shd w:val="clear" w:color="auto" w:fill="auto"/>
            <w:vAlign w:val="bottom"/>
          </w:tcPr>
          <w:p w14:paraId="5F2D55E6" w14:textId="77777777" w:rsidR="00E836FB" w:rsidRDefault="00E836FB">
            <w:pPr>
              <w:rPr>
                <w:rFonts w:ascii="宋体"/>
                <w:vanish/>
              </w:rPr>
            </w:pPr>
          </w:p>
        </w:tc>
        <w:tc>
          <w:tcPr>
            <w:tcW w:w="0" w:type="auto"/>
            <w:gridSpan w:val="3"/>
            <w:shd w:val="clear" w:color="auto" w:fill="auto"/>
            <w:vAlign w:val="bottom"/>
          </w:tcPr>
          <w:p w14:paraId="5F2D55E7" w14:textId="77777777" w:rsidR="00E836FB" w:rsidRDefault="00E836FB">
            <w:pPr>
              <w:rPr>
                <w:rFonts w:ascii="宋体"/>
                <w:vanish/>
              </w:rPr>
            </w:pPr>
          </w:p>
        </w:tc>
        <w:tc>
          <w:tcPr>
            <w:tcW w:w="0" w:type="auto"/>
            <w:gridSpan w:val="3"/>
            <w:shd w:val="clear" w:color="auto" w:fill="auto"/>
            <w:vAlign w:val="bottom"/>
          </w:tcPr>
          <w:p w14:paraId="5F2D55E8" w14:textId="77777777" w:rsidR="00E836FB" w:rsidRDefault="00E836FB">
            <w:pPr>
              <w:rPr>
                <w:rFonts w:ascii="宋体"/>
                <w:vanish/>
              </w:rPr>
            </w:pPr>
          </w:p>
        </w:tc>
        <w:tc>
          <w:tcPr>
            <w:tcW w:w="0" w:type="auto"/>
            <w:gridSpan w:val="3"/>
            <w:shd w:val="clear" w:color="auto" w:fill="auto"/>
            <w:vAlign w:val="bottom"/>
          </w:tcPr>
          <w:p w14:paraId="5F2D55E9" w14:textId="77777777" w:rsidR="00E836FB" w:rsidRDefault="00E836FB">
            <w:pPr>
              <w:rPr>
                <w:rFonts w:ascii="宋体"/>
                <w:vanish/>
              </w:rPr>
            </w:pPr>
          </w:p>
        </w:tc>
        <w:tc>
          <w:tcPr>
            <w:tcW w:w="0" w:type="auto"/>
            <w:gridSpan w:val="3"/>
            <w:shd w:val="clear" w:color="auto" w:fill="auto"/>
            <w:vAlign w:val="bottom"/>
          </w:tcPr>
          <w:p w14:paraId="5F2D55EA" w14:textId="77777777" w:rsidR="00E836FB" w:rsidRDefault="00E836FB">
            <w:pPr>
              <w:rPr>
                <w:rFonts w:ascii="宋体"/>
                <w:vanish/>
              </w:rPr>
            </w:pPr>
          </w:p>
        </w:tc>
        <w:tc>
          <w:tcPr>
            <w:tcW w:w="0" w:type="auto"/>
            <w:gridSpan w:val="3"/>
            <w:shd w:val="clear" w:color="auto" w:fill="auto"/>
            <w:vAlign w:val="bottom"/>
          </w:tcPr>
          <w:p w14:paraId="5F2D55EB" w14:textId="77777777" w:rsidR="00E836FB" w:rsidRDefault="00E836FB">
            <w:pPr>
              <w:rPr>
                <w:rFonts w:ascii="宋体"/>
                <w:vanish/>
              </w:rPr>
            </w:pPr>
          </w:p>
        </w:tc>
        <w:tc>
          <w:tcPr>
            <w:tcW w:w="0" w:type="auto"/>
            <w:gridSpan w:val="3"/>
            <w:shd w:val="clear" w:color="auto" w:fill="auto"/>
            <w:vAlign w:val="bottom"/>
          </w:tcPr>
          <w:p w14:paraId="5F2D55EC" w14:textId="77777777" w:rsidR="00E836FB" w:rsidRDefault="00E836FB">
            <w:pPr>
              <w:rPr>
                <w:rFonts w:ascii="宋体"/>
                <w:vanish/>
              </w:rPr>
            </w:pPr>
          </w:p>
        </w:tc>
        <w:tc>
          <w:tcPr>
            <w:tcW w:w="0" w:type="auto"/>
            <w:gridSpan w:val="3"/>
            <w:shd w:val="clear" w:color="auto" w:fill="auto"/>
            <w:vAlign w:val="bottom"/>
          </w:tcPr>
          <w:p w14:paraId="5F2D55ED" w14:textId="77777777" w:rsidR="00E836FB" w:rsidRDefault="00E836FB">
            <w:pPr>
              <w:rPr>
                <w:rFonts w:ascii="宋体"/>
                <w:vanish/>
              </w:rPr>
            </w:pPr>
          </w:p>
        </w:tc>
        <w:tc>
          <w:tcPr>
            <w:tcW w:w="0" w:type="auto"/>
            <w:gridSpan w:val="3"/>
            <w:shd w:val="clear" w:color="auto" w:fill="auto"/>
            <w:vAlign w:val="bottom"/>
          </w:tcPr>
          <w:p w14:paraId="5F2D55EE" w14:textId="77777777" w:rsidR="00E836FB" w:rsidRDefault="00E836FB">
            <w:pPr>
              <w:rPr>
                <w:rFonts w:ascii="宋体"/>
                <w:vanish/>
              </w:rPr>
            </w:pPr>
          </w:p>
        </w:tc>
        <w:tc>
          <w:tcPr>
            <w:tcW w:w="0" w:type="auto"/>
            <w:gridSpan w:val="3"/>
            <w:shd w:val="clear" w:color="auto" w:fill="auto"/>
            <w:vAlign w:val="bottom"/>
          </w:tcPr>
          <w:p w14:paraId="5F2D55EF" w14:textId="77777777" w:rsidR="00E836FB" w:rsidRDefault="00E836FB">
            <w:pPr>
              <w:rPr>
                <w:rFonts w:ascii="宋体"/>
                <w:vanish/>
              </w:rPr>
            </w:pPr>
          </w:p>
        </w:tc>
        <w:tc>
          <w:tcPr>
            <w:tcW w:w="0" w:type="auto"/>
            <w:gridSpan w:val="3"/>
            <w:shd w:val="clear" w:color="auto" w:fill="auto"/>
            <w:vAlign w:val="bottom"/>
          </w:tcPr>
          <w:p w14:paraId="5F2D55F0" w14:textId="77777777" w:rsidR="00E836FB" w:rsidRDefault="00E836FB">
            <w:pPr>
              <w:rPr>
                <w:rFonts w:ascii="宋体"/>
                <w:vanish/>
              </w:rPr>
            </w:pPr>
          </w:p>
        </w:tc>
        <w:tc>
          <w:tcPr>
            <w:tcW w:w="0" w:type="auto"/>
            <w:gridSpan w:val="3"/>
            <w:shd w:val="clear" w:color="auto" w:fill="auto"/>
            <w:vAlign w:val="bottom"/>
          </w:tcPr>
          <w:p w14:paraId="5F2D55F1" w14:textId="77777777" w:rsidR="00E836FB" w:rsidRDefault="00E836FB">
            <w:pPr>
              <w:rPr>
                <w:rFonts w:ascii="宋体"/>
                <w:vanish/>
              </w:rPr>
            </w:pPr>
          </w:p>
        </w:tc>
        <w:tc>
          <w:tcPr>
            <w:tcW w:w="0" w:type="auto"/>
            <w:gridSpan w:val="3"/>
            <w:shd w:val="clear" w:color="auto" w:fill="auto"/>
            <w:vAlign w:val="bottom"/>
          </w:tcPr>
          <w:p w14:paraId="5F2D55F2" w14:textId="77777777" w:rsidR="00E836FB" w:rsidRDefault="00E836FB">
            <w:pPr>
              <w:rPr>
                <w:rFonts w:ascii="宋体"/>
                <w:vanish/>
              </w:rPr>
            </w:pPr>
          </w:p>
        </w:tc>
        <w:tc>
          <w:tcPr>
            <w:tcW w:w="0" w:type="auto"/>
            <w:gridSpan w:val="3"/>
            <w:shd w:val="clear" w:color="auto" w:fill="auto"/>
            <w:vAlign w:val="bottom"/>
          </w:tcPr>
          <w:p w14:paraId="5F2D55F3" w14:textId="77777777" w:rsidR="00E836FB" w:rsidRDefault="00E836FB">
            <w:pPr>
              <w:rPr>
                <w:rFonts w:ascii="宋体"/>
                <w:vanish/>
              </w:rPr>
            </w:pPr>
          </w:p>
        </w:tc>
        <w:tc>
          <w:tcPr>
            <w:tcW w:w="0" w:type="auto"/>
            <w:gridSpan w:val="2"/>
            <w:shd w:val="clear" w:color="auto" w:fill="auto"/>
            <w:vAlign w:val="bottom"/>
          </w:tcPr>
          <w:p w14:paraId="5F2D55F4" w14:textId="77777777" w:rsidR="00E836FB" w:rsidRDefault="00E836FB">
            <w:pPr>
              <w:rPr>
                <w:rFonts w:ascii="宋体"/>
                <w:vanish/>
              </w:rPr>
            </w:pPr>
          </w:p>
        </w:tc>
        <w:tc>
          <w:tcPr>
            <w:tcW w:w="0" w:type="auto"/>
            <w:shd w:val="clear" w:color="auto" w:fill="auto"/>
            <w:vAlign w:val="bottom"/>
          </w:tcPr>
          <w:p w14:paraId="5F2D55F5" w14:textId="77777777" w:rsidR="00E836FB" w:rsidRDefault="00E836FB">
            <w:pPr>
              <w:rPr>
                <w:rFonts w:ascii="宋体"/>
                <w:vanish/>
              </w:rPr>
            </w:pPr>
          </w:p>
        </w:tc>
      </w:tr>
      <w:tr w:rsidR="00E836FB" w14:paraId="5F2D560D" w14:textId="77777777">
        <w:trPr>
          <w:hidden/>
        </w:trPr>
        <w:tc>
          <w:tcPr>
            <w:tcW w:w="0" w:type="auto"/>
            <w:gridSpan w:val="3"/>
            <w:shd w:val="clear" w:color="auto" w:fill="auto"/>
            <w:vAlign w:val="bottom"/>
          </w:tcPr>
          <w:p w14:paraId="5F2D55F7" w14:textId="77777777" w:rsidR="00E836FB" w:rsidRDefault="00E836FB">
            <w:pPr>
              <w:rPr>
                <w:rFonts w:ascii="宋体"/>
                <w:vanish/>
              </w:rPr>
            </w:pPr>
          </w:p>
        </w:tc>
        <w:tc>
          <w:tcPr>
            <w:tcW w:w="0" w:type="auto"/>
            <w:gridSpan w:val="3"/>
            <w:shd w:val="clear" w:color="auto" w:fill="auto"/>
            <w:vAlign w:val="bottom"/>
          </w:tcPr>
          <w:p w14:paraId="5F2D55F8" w14:textId="77777777" w:rsidR="00E836FB" w:rsidRDefault="00E836FB">
            <w:pPr>
              <w:rPr>
                <w:rFonts w:ascii="宋体"/>
                <w:vanish/>
              </w:rPr>
            </w:pPr>
          </w:p>
        </w:tc>
        <w:tc>
          <w:tcPr>
            <w:tcW w:w="0" w:type="auto"/>
            <w:gridSpan w:val="3"/>
            <w:shd w:val="clear" w:color="auto" w:fill="auto"/>
            <w:vAlign w:val="bottom"/>
          </w:tcPr>
          <w:p w14:paraId="5F2D55F9" w14:textId="77777777" w:rsidR="00E836FB" w:rsidRDefault="00E836FB">
            <w:pPr>
              <w:rPr>
                <w:rFonts w:ascii="宋体"/>
                <w:vanish/>
              </w:rPr>
            </w:pPr>
          </w:p>
        </w:tc>
        <w:tc>
          <w:tcPr>
            <w:tcW w:w="0" w:type="auto"/>
            <w:gridSpan w:val="3"/>
            <w:shd w:val="clear" w:color="auto" w:fill="auto"/>
            <w:vAlign w:val="bottom"/>
          </w:tcPr>
          <w:p w14:paraId="5F2D55FA" w14:textId="77777777" w:rsidR="00E836FB" w:rsidRDefault="00E836FB">
            <w:pPr>
              <w:rPr>
                <w:rFonts w:ascii="宋体"/>
                <w:vanish/>
              </w:rPr>
            </w:pPr>
          </w:p>
        </w:tc>
        <w:tc>
          <w:tcPr>
            <w:tcW w:w="0" w:type="auto"/>
            <w:gridSpan w:val="3"/>
            <w:shd w:val="clear" w:color="auto" w:fill="auto"/>
            <w:vAlign w:val="bottom"/>
          </w:tcPr>
          <w:p w14:paraId="5F2D55FB" w14:textId="77777777" w:rsidR="00E836FB" w:rsidRDefault="00E836FB">
            <w:pPr>
              <w:rPr>
                <w:rFonts w:ascii="宋体"/>
                <w:vanish/>
              </w:rPr>
            </w:pPr>
          </w:p>
        </w:tc>
        <w:tc>
          <w:tcPr>
            <w:tcW w:w="0" w:type="auto"/>
            <w:gridSpan w:val="3"/>
            <w:shd w:val="clear" w:color="auto" w:fill="auto"/>
            <w:vAlign w:val="bottom"/>
          </w:tcPr>
          <w:p w14:paraId="5F2D55FC" w14:textId="77777777" w:rsidR="00E836FB" w:rsidRDefault="00E836FB">
            <w:pPr>
              <w:rPr>
                <w:rFonts w:ascii="宋体"/>
                <w:vanish/>
              </w:rPr>
            </w:pPr>
          </w:p>
        </w:tc>
        <w:tc>
          <w:tcPr>
            <w:tcW w:w="0" w:type="auto"/>
            <w:gridSpan w:val="3"/>
            <w:shd w:val="clear" w:color="auto" w:fill="auto"/>
            <w:vAlign w:val="bottom"/>
          </w:tcPr>
          <w:p w14:paraId="5F2D55FD" w14:textId="77777777" w:rsidR="00E836FB" w:rsidRDefault="00E836FB">
            <w:pPr>
              <w:rPr>
                <w:rFonts w:ascii="宋体"/>
                <w:vanish/>
              </w:rPr>
            </w:pPr>
          </w:p>
        </w:tc>
        <w:tc>
          <w:tcPr>
            <w:tcW w:w="0" w:type="auto"/>
            <w:gridSpan w:val="3"/>
            <w:shd w:val="clear" w:color="auto" w:fill="auto"/>
            <w:vAlign w:val="bottom"/>
          </w:tcPr>
          <w:p w14:paraId="5F2D55FE" w14:textId="77777777" w:rsidR="00E836FB" w:rsidRDefault="00E836FB">
            <w:pPr>
              <w:rPr>
                <w:rFonts w:ascii="宋体"/>
                <w:vanish/>
              </w:rPr>
            </w:pPr>
          </w:p>
        </w:tc>
        <w:tc>
          <w:tcPr>
            <w:tcW w:w="0" w:type="auto"/>
            <w:gridSpan w:val="3"/>
            <w:shd w:val="clear" w:color="auto" w:fill="auto"/>
            <w:vAlign w:val="bottom"/>
          </w:tcPr>
          <w:p w14:paraId="5F2D55FF" w14:textId="77777777" w:rsidR="00E836FB" w:rsidRDefault="00E836FB">
            <w:pPr>
              <w:rPr>
                <w:rFonts w:ascii="宋体"/>
                <w:vanish/>
              </w:rPr>
            </w:pPr>
          </w:p>
        </w:tc>
        <w:tc>
          <w:tcPr>
            <w:tcW w:w="0" w:type="auto"/>
            <w:gridSpan w:val="3"/>
            <w:shd w:val="clear" w:color="auto" w:fill="auto"/>
            <w:vAlign w:val="bottom"/>
          </w:tcPr>
          <w:p w14:paraId="5F2D5600" w14:textId="77777777" w:rsidR="00E836FB" w:rsidRDefault="00E836FB">
            <w:pPr>
              <w:rPr>
                <w:rFonts w:ascii="宋体"/>
                <w:vanish/>
              </w:rPr>
            </w:pPr>
          </w:p>
        </w:tc>
        <w:tc>
          <w:tcPr>
            <w:tcW w:w="0" w:type="auto"/>
            <w:gridSpan w:val="3"/>
            <w:shd w:val="clear" w:color="auto" w:fill="auto"/>
            <w:vAlign w:val="bottom"/>
          </w:tcPr>
          <w:p w14:paraId="5F2D5601" w14:textId="77777777" w:rsidR="00E836FB" w:rsidRDefault="00E836FB">
            <w:pPr>
              <w:rPr>
                <w:rFonts w:ascii="宋体"/>
                <w:vanish/>
              </w:rPr>
            </w:pPr>
          </w:p>
        </w:tc>
        <w:tc>
          <w:tcPr>
            <w:tcW w:w="0" w:type="auto"/>
            <w:gridSpan w:val="3"/>
            <w:shd w:val="clear" w:color="auto" w:fill="auto"/>
            <w:vAlign w:val="bottom"/>
          </w:tcPr>
          <w:p w14:paraId="5F2D5602" w14:textId="77777777" w:rsidR="00E836FB" w:rsidRDefault="00E836FB">
            <w:pPr>
              <w:rPr>
                <w:rFonts w:ascii="宋体"/>
                <w:vanish/>
              </w:rPr>
            </w:pPr>
          </w:p>
        </w:tc>
        <w:tc>
          <w:tcPr>
            <w:tcW w:w="0" w:type="auto"/>
            <w:gridSpan w:val="3"/>
            <w:shd w:val="clear" w:color="auto" w:fill="auto"/>
            <w:vAlign w:val="bottom"/>
          </w:tcPr>
          <w:p w14:paraId="5F2D5603" w14:textId="77777777" w:rsidR="00E836FB" w:rsidRDefault="00E836FB">
            <w:pPr>
              <w:rPr>
                <w:rFonts w:ascii="宋体"/>
                <w:vanish/>
              </w:rPr>
            </w:pPr>
          </w:p>
        </w:tc>
        <w:tc>
          <w:tcPr>
            <w:tcW w:w="0" w:type="auto"/>
            <w:gridSpan w:val="3"/>
            <w:shd w:val="clear" w:color="auto" w:fill="auto"/>
            <w:vAlign w:val="bottom"/>
          </w:tcPr>
          <w:p w14:paraId="5F2D5604" w14:textId="77777777" w:rsidR="00E836FB" w:rsidRDefault="00E836FB">
            <w:pPr>
              <w:rPr>
                <w:rFonts w:ascii="宋体"/>
                <w:vanish/>
              </w:rPr>
            </w:pPr>
          </w:p>
        </w:tc>
        <w:tc>
          <w:tcPr>
            <w:tcW w:w="0" w:type="auto"/>
            <w:gridSpan w:val="3"/>
            <w:shd w:val="clear" w:color="auto" w:fill="auto"/>
            <w:vAlign w:val="bottom"/>
          </w:tcPr>
          <w:p w14:paraId="5F2D5605" w14:textId="77777777" w:rsidR="00E836FB" w:rsidRDefault="00E836FB">
            <w:pPr>
              <w:rPr>
                <w:rFonts w:ascii="宋体"/>
                <w:vanish/>
              </w:rPr>
            </w:pPr>
          </w:p>
        </w:tc>
        <w:tc>
          <w:tcPr>
            <w:tcW w:w="0" w:type="auto"/>
            <w:gridSpan w:val="3"/>
            <w:shd w:val="clear" w:color="auto" w:fill="auto"/>
            <w:vAlign w:val="bottom"/>
          </w:tcPr>
          <w:p w14:paraId="5F2D5606" w14:textId="77777777" w:rsidR="00E836FB" w:rsidRDefault="00E836FB">
            <w:pPr>
              <w:rPr>
                <w:rFonts w:ascii="宋体"/>
                <w:vanish/>
              </w:rPr>
            </w:pPr>
          </w:p>
        </w:tc>
        <w:tc>
          <w:tcPr>
            <w:tcW w:w="0" w:type="auto"/>
            <w:gridSpan w:val="3"/>
            <w:shd w:val="clear" w:color="auto" w:fill="auto"/>
            <w:vAlign w:val="bottom"/>
          </w:tcPr>
          <w:p w14:paraId="5F2D5607" w14:textId="77777777" w:rsidR="00E836FB" w:rsidRDefault="00E836FB">
            <w:pPr>
              <w:rPr>
                <w:rFonts w:ascii="宋体"/>
                <w:vanish/>
              </w:rPr>
            </w:pPr>
          </w:p>
        </w:tc>
        <w:tc>
          <w:tcPr>
            <w:tcW w:w="0" w:type="auto"/>
            <w:gridSpan w:val="3"/>
            <w:shd w:val="clear" w:color="auto" w:fill="auto"/>
            <w:vAlign w:val="bottom"/>
          </w:tcPr>
          <w:p w14:paraId="5F2D5608" w14:textId="77777777" w:rsidR="00E836FB" w:rsidRDefault="00E836FB">
            <w:pPr>
              <w:rPr>
                <w:rFonts w:ascii="宋体"/>
                <w:vanish/>
              </w:rPr>
            </w:pPr>
          </w:p>
        </w:tc>
        <w:tc>
          <w:tcPr>
            <w:tcW w:w="0" w:type="auto"/>
            <w:gridSpan w:val="3"/>
            <w:shd w:val="clear" w:color="auto" w:fill="auto"/>
            <w:vAlign w:val="bottom"/>
          </w:tcPr>
          <w:p w14:paraId="5F2D5609" w14:textId="77777777" w:rsidR="00E836FB" w:rsidRDefault="00E836FB">
            <w:pPr>
              <w:rPr>
                <w:rFonts w:ascii="宋体"/>
                <w:vanish/>
              </w:rPr>
            </w:pPr>
          </w:p>
        </w:tc>
        <w:tc>
          <w:tcPr>
            <w:tcW w:w="0" w:type="auto"/>
            <w:gridSpan w:val="3"/>
            <w:shd w:val="clear" w:color="auto" w:fill="auto"/>
            <w:vAlign w:val="bottom"/>
          </w:tcPr>
          <w:p w14:paraId="5F2D560A" w14:textId="77777777" w:rsidR="00E836FB" w:rsidRDefault="00E836FB">
            <w:pPr>
              <w:rPr>
                <w:rFonts w:ascii="宋体"/>
                <w:vanish/>
              </w:rPr>
            </w:pPr>
          </w:p>
        </w:tc>
        <w:tc>
          <w:tcPr>
            <w:tcW w:w="0" w:type="auto"/>
            <w:gridSpan w:val="2"/>
            <w:shd w:val="clear" w:color="auto" w:fill="auto"/>
            <w:vAlign w:val="bottom"/>
          </w:tcPr>
          <w:p w14:paraId="5F2D560B" w14:textId="77777777" w:rsidR="00E836FB" w:rsidRDefault="00E836FB">
            <w:pPr>
              <w:rPr>
                <w:rFonts w:ascii="宋体"/>
                <w:vanish/>
              </w:rPr>
            </w:pPr>
          </w:p>
        </w:tc>
        <w:tc>
          <w:tcPr>
            <w:tcW w:w="0" w:type="auto"/>
            <w:shd w:val="clear" w:color="auto" w:fill="auto"/>
            <w:vAlign w:val="bottom"/>
          </w:tcPr>
          <w:p w14:paraId="5F2D560C" w14:textId="77777777" w:rsidR="00E836FB" w:rsidRDefault="00E836FB">
            <w:pPr>
              <w:rPr>
                <w:rFonts w:ascii="宋体"/>
                <w:vanish/>
              </w:rPr>
            </w:pPr>
          </w:p>
        </w:tc>
      </w:tr>
      <w:tr w:rsidR="00E836FB" w14:paraId="5F2D5624" w14:textId="77777777">
        <w:trPr>
          <w:hidden/>
        </w:trPr>
        <w:tc>
          <w:tcPr>
            <w:tcW w:w="0" w:type="auto"/>
            <w:gridSpan w:val="3"/>
            <w:shd w:val="clear" w:color="auto" w:fill="auto"/>
            <w:vAlign w:val="bottom"/>
          </w:tcPr>
          <w:p w14:paraId="5F2D560E" w14:textId="77777777" w:rsidR="00E836FB" w:rsidRDefault="00E836FB">
            <w:pPr>
              <w:rPr>
                <w:rFonts w:ascii="宋体"/>
                <w:vanish/>
              </w:rPr>
            </w:pPr>
          </w:p>
        </w:tc>
        <w:tc>
          <w:tcPr>
            <w:tcW w:w="0" w:type="auto"/>
            <w:gridSpan w:val="3"/>
            <w:shd w:val="clear" w:color="auto" w:fill="auto"/>
            <w:vAlign w:val="bottom"/>
          </w:tcPr>
          <w:p w14:paraId="5F2D560F" w14:textId="77777777" w:rsidR="00E836FB" w:rsidRDefault="00E836FB">
            <w:pPr>
              <w:rPr>
                <w:rFonts w:ascii="宋体"/>
                <w:vanish/>
              </w:rPr>
            </w:pPr>
          </w:p>
        </w:tc>
        <w:tc>
          <w:tcPr>
            <w:tcW w:w="0" w:type="auto"/>
            <w:gridSpan w:val="3"/>
            <w:shd w:val="clear" w:color="auto" w:fill="auto"/>
            <w:vAlign w:val="bottom"/>
          </w:tcPr>
          <w:p w14:paraId="5F2D5610" w14:textId="77777777" w:rsidR="00E836FB" w:rsidRDefault="00E836FB">
            <w:pPr>
              <w:rPr>
                <w:rFonts w:ascii="宋体"/>
                <w:vanish/>
              </w:rPr>
            </w:pPr>
          </w:p>
        </w:tc>
        <w:tc>
          <w:tcPr>
            <w:tcW w:w="0" w:type="auto"/>
            <w:gridSpan w:val="3"/>
            <w:shd w:val="clear" w:color="auto" w:fill="auto"/>
            <w:vAlign w:val="bottom"/>
          </w:tcPr>
          <w:p w14:paraId="5F2D5611" w14:textId="77777777" w:rsidR="00E836FB" w:rsidRDefault="00E836FB">
            <w:pPr>
              <w:rPr>
                <w:rFonts w:ascii="宋体"/>
                <w:vanish/>
              </w:rPr>
            </w:pPr>
          </w:p>
        </w:tc>
        <w:tc>
          <w:tcPr>
            <w:tcW w:w="0" w:type="auto"/>
            <w:gridSpan w:val="3"/>
            <w:shd w:val="clear" w:color="auto" w:fill="auto"/>
            <w:vAlign w:val="bottom"/>
          </w:tcPr>
          <w:p w14:paraId="5F2D5612" w14:textId="77777777" w:rsidR="00E836FB" w:rsidRDefault="00E836FB">
            <w:pPr>
              <w:rPr>
                <w:rFonts w:ascii="宋体"/>
                <w:vanish/>
              </w:rPr>
            </w:pPr>
          </w:p>
        </w:tc>
        <w:tc>
          <w:tcPr>
            <w:tcW w:w="0" w:type="auto"/>
            <w:gridSpan w:val="3"/>
            <w:shd w:val="clear" w:color="auto" w:fill="auto"/>
            <w:vAlign w:val="bottom"/>
          </w:tcPr>
          <w:p w14:paraId="5F2D5613" w14:textId="77777777" w:rsidR="00E836FB" w:rsidRDefault="00E836FB">
            <w:pPr>
              <w:rPr>
                <w:rFonts w:ascii="宋体"/>
                <w:vanish/>
              </w:rPr>
            </w:pPr>
          </w:p>
        </w:tc>
        <w:tc>
          <w:tcPr>
            <w:tcW w:w="0" w:type="auto"/>
            <w:gridSpan w:val="3"/>
            <w:shd w:val="clear" w:color="auto" w:fill="auto"/>
            <w:vAlign w:val="bottom"/>
          </w:tcPr>
          <w:p w14:paraId="5F2D5614" w14:textId="77777777" w:rsidR="00E836FB" w:rsidRDefault="00E836FB">
            <w:pPr>
              <w:rPr>
                <w:rFonts w:ascii="宋体"/>
                <w:vanish/>
              </w:rPr>
            </w:pPr>
          </w:p>
        </w:tc>
        <w:tc>
          <w:tcPr>
            <w:tcW w:w="0" w:type="auto"/>
            <w:gridSpan w:val="3"/>
            <w:shd w:val="clear" w:color="auto" w:fill="auto"/>
            <w:vAlign w:val="bottom"/>
          </w:tcPr>
          <w:p w14:paraId="5F2D5615" w14:textId="77777777" w:rsidR="00E836FB" w:rsidRDefault="00E836FB">
            <w:pPr>
              <w:rPr>
                <w:rFonts w:ascii="宋体"/>
                <w:vanish/>
              </w:rPr>
            </w:pPr>
          </w:p>
        </w:tc>
        <w:tc>
          <w:tcPr>
            <w:tcW w:w="0" w:type="auto"/>
            <w:gridSpan w:val="3"/>
            <w:shd w:val="clear" w:color="auto" w:fill="auto"/>
            <w:vAlign w:val="bottom"/>
          </w:tcPr>
          <w:p w14:paraId="5F2D5616" w14:textId="77777777" w:rsidR="00E836FB" w:rsidRDefault="00E836FB">
            <w:pPr>
              <w:rPr>
                <w:rFonts w:ascii="宋体"/>
                <w:vanish/>
              </w:rPr>
            </w:pPr>
          </w:p>
        </w:tc>
        <w:tc>
          <w:tcPr>
            <w:tcW w:w="0" w:type="auto"/>
            <w:gridSpan w:val="3"/>
            <w:shd w:val="clear" w:color="auto" w:fill="auto"/>
            <w:vAlign w:val="bottom"/>
          </w:tcPr>
          <w:p w14:paraId="5F2D5617" w14:textId="77777777" w:rsidR="00E836FB" w:rsidRDefault="00E836FB">
            <w:pPr>
              <w:rPr>
                <w:rFonts w:ascii="宋体"/>
                <w:vanish/>
              </w:rPr>
            </w:pPr>
          </w:p>
        </w:tc>
        <w:tc>
          <w:tcPr>
            <w:tcW w:w="0" w:type="auto"/>
            <w:gridSpan w:val="3"/>
            <w:shd w:val="clear" w:color="auto" w:fill="auto"/>
            <w:vAlign w:val="bottom"/>
          </w:tcPr>
          <w:p w14:paraId="5F2D5618" w14:textId="77777777" w:rsidR="00E836FB" w:rsidRDefault="00E836FB">
            <w:pPr>
              <w:rPr>
                <w:rFonts w:ascii="宋体"/>
                <w:vanish/>
              </w:rPr>
            </w:pPr>
          </w:p>
        </w:tc>
        <w:tc>
          <w:tcPr>
            <w:tcW w:w="0" w:type="auto"/>
            <w:gridSpan w:val="3"/>
            <w:shd w:val="clear" w:color="auto" w:fill="auto"/>
            <w:vAlign w:val="bottom"/>
          </w:tcPr>
          <w:p w14:paraId="5F2D5619" w14:textId="77777777" w:rsidR="00E836FB" w:rsidRDefault="00E836FB">
            <w:pPr>
              <w:rPr>
                <w:rFonts w:ascii="宋体"/>
                <w:vanish/>
              </w:rPr>
            </w:pPr>
          </w:p>
        </w:tc>
        <w:tc>
          <w:tcPr>
            <w:tcW w:w="0" w:type="auto"/>
            <w:gridSpan w:val="3"/>
            <w:shd w:val="clear" w:color="auto" w:fill="auto"/>
            <w:vAlign w:val="bottom"/>
          </w:tcPr>
          <w:p w14:paraId="5F2D561A" w14:textId="77777777" w:rsidR="00E836FB" w:rsidRDefault="00E836FB">
            <w:pPr>
              <w:rPr>
                <w:rFonts w:ascii="宋体"/>
                <w:vanish/>
              </w:rPr>
            </w:pPr>
          </w:p>
        </w:tc>
        <w:tc>
          <w:tcPr>
            <w:tcW w:w="0" w:type="auto"/>
            <w:gridSpan w:val="3"/>
            <w:shd w:val="clear" w:color="auto" w:fill="auto"/>
            <w:vAlign w:val="bottom"/>
          </w:tcPr>
          <w:p w14:paraId="5F2D561B" w14:textId="77777777" w:rsidR="00E836FB" w:rsidRDefault="00E836FB">
            <w:pPr>
              <w:rPr>
                <w:rFonts w:ascii="宋体"/>
                <w:vanish/>
              </w:rPr>
            </w:pPr>
          </w:p>
        </w:tc>
        <w:tc>
          <w:tcPr>
            <w:tcW w:w="0" w:type="auto"/>
            <w:gridSpan w:val="3"/>
            <w:shd w:val="clear" w:color="auto" w:fill="auto"/>
            <w:vAlign w:val="bottom"/>
          </w:tcPr>
          <w:p w14:paraId="5F2D561C" w14:textId="77777777" w:rsidR="00E836FB" w:rsidRDefault="00E836FB">
            <w:pPr>
              <w:rPr>
                <w:rFonts w:ascii="宋体"/>
                <w:vanish/>
              </w:rPr>
            </w:pPr>
          </w:p>
        </w:tc>
        <w:tc>
          <w:tcPr>
            <w:tcW w:w="0" w:type="auto"/>
            <w:gridSpan w:val="3"/>
            <w:shd w:val="clear" w:color="auto" w:fill="auto"/>
            <w:vAlign w:val="bottom"/>
          </w:tcPr>
          <w:p w14:paraId="5F2D561D" w14:textId="77777777" w:rsidR="00E836FB" w:rsidRDefault="00E836FB">
            <w:pPr>
              <w:rPr>
                <w:rFonts w:ascii="宋体"/>
                <w:vanish/>
              </w:rPr>
            </w:pPr>
          </w:p>
        </w:tc>
        <w:tc>
          <w:tcPr>
            <w:tcW w:w="0" w:type="auto"/>
            <w:gridSpan w:val="3"/>
            <w:shd w:val="clear" w:color="auto" w:fill="auto"/>
            <w:vAlign w:val="bottom"/>
          </w:tcPr>
          <w:p w14:paraId="5F2D561E" w14:textId="77777777" w:rsidR="00E836FB" w:rsidRDefault="00E836FB">
            <w:pPr>
              <w:rPr>
                <w:rFonts w:ascii="宋体"/>
                <w:vanish/>
              </w:rPr>
            </w:pPr>
          </w:p>
        </w:tc>
        <w:tc>
          <w:tcPr>
            <w:tcW w:w="0" w:type="auto"/>
            <w:gridSpan w:val="3"/>
            <w:shd w:val="clear" w:color="auto" w:fill="auto"/>
            <w:vAlign w:val="bottom"/>
          </w:tcPr>
          <w:p w14:paraId="5F2D561F" w14:textId="77777777" w:rsidR="00E836FB" w:rsidRDefault="00E836FB">
            <w:pPr>
              <w:rPr>
                <w:rFonts w:ascii="宋体"/>
                <w:vanish/>
              </w:rPr>
            </w:pPr>
          </w:p>
        </w:tc>
        <w:tc>
          <w:tcPr>
            <w:tcW w:w="0" w:type="auto"/>
            <w:gridSpan w:val="3"/>
            <w:shd w:val="clear" w:color="auto" w:fill="auto"/>
            <w:vAlign w:val="bottom"/>
          </w:tcPr>
          <w:p w14:paraId="5F2D5620" w14:textId="77777777" w:rsidR="00E836FB" w:rsidRDefault="00E836FB">
            <w:pPr>
              <w:rPr>
                <w:rFonts w:ascii="宋体"/>
                <w:vanish/>
              </w:rPr>
            </w:pPr>
          </w:p>
        </w:tc>
        <w:tc>
          <w:tcPr>
            <w:tcW w:w="0" w:type="auto"/>
            <w:gridSpan w:val="3"/>
            <w:shd w:val="clear" w:color="auto" w:fill="auto"/>
            <w:vAlign w:val="bottom"/>
          </w:tcPr>
          <w:p w14:paraId="5F2D5621" w14:textId="77777777" w:rsidR="00E836FB" w:rsidRDefault="00E836FB">
            <w:pPr>
              <w:rPr>
                <w:rFonts w:ascii="宋体"/>
                <w:vanish/>
              </w:rPr>
            </w:pPr>
          </w:p>
        </w:tc>
        <w:tc>
          <w:tcPr>
            <w:tcW w:w="0" w:type="auto"/>
            <w:gridSpan w:val="2"/>
            <w:shd w:val="clear" w:color="auto" w:fill="auto"/>
            <w:vAlign w:val="bottom"/>
          </w:tcPr>
          <w:p w14:paraId="5F2D5622" w14:textId="77777777" w:rsidR="00E836FB" w:rsidRDefault="00E836FB">
            <w:pPr>
              <w:rPr>
                <w:rFonts w:ascii="宋体"/>
                <w:vanish/>
              </w:rPr>
            </w:pPr>
          </w:p>
        </w:tc>
        <w:tc>
          <w:tcPr>
            <w:tcW w:w="0" w:type="auto"/>
            <w:shd w:val="clear" w:color="auto" w:fill="auto"/>
            <w:vAlign w:val="bottom"/>
          </w:tcPr>
          <w:p w14:paraId="5F2D5623" w14:textId="77777777" w:rsidR="00E836FB" w:rsidRDefault="00E836FB">
            <w:pPr>
              <w:rPr>
                <w:rFonts w:ascii="宋体"/>
                <w:vanish/>
              </w:rPr>
            </w:pPr>
          </w:p>
        </w:tc>
      </w:tr>
      <w:tr w:rsidR="00E836FB" w14:paraId="5F2D5646" w14:textId="77777777">
        <w:tc>
          <w:tcPr>
            <w:tcW w:w="0" w:type="auto"/>
            <w:gridSpan w:val="3"/>
            <w:shd w:val="clear" w:color="auto" w:fill="CCEEFF"/>
            <w:tcMar>
              <w:top w:w="40" w:type="dxa"/>
              <w:left w:w="20" w:type="dxa"/>
              <w:bottom w:w="40" w:type="dxa"/>
              <w:right w:w="20" w:type="dxa"/>
            </w:tcMar>
            <w:vAlign w:val="bottom"/>
          </w:tcPr>
          <w:p w14:paraId="5F2D5625" w14:textId="77777777" w:rsidR="00E836FB" w:rsidRDefault="00994958">
            <w:pPr>
              <w:textAlignment w:val="bottom"/>
            </w:pPr>
            <w:r>
              <w:rPr>
                <w:rFonts w:ascii="Arial" w:eastAsia="宋体" w:hAnsi="Arial" w:cs="Arial"/>
                <w:b/>
                <w:bCs/>
                <w:color w:val="000000"/>
                <w:sz w:val="13"/>
                <w:szCs w:val="13"/>
              </w:rPr>
              <w:t>Total expenses</w:t>
            </w:r>
          </w:p>
        </w:tc>
        <w:tc>
          <w:tcPr>
            <w:tcW w:w="0" w:type="auto"/>
            <w:gridSpan w:val="2"/>
            <w:shd w:val="clear" w:color="auto" w:fill="CCEEFF"/>
            <w:tcMar>
              <w:top w:w="40" w:type="dxa"/>
              <w:left w:w="20" w:type="dxa"/>
              <w:bottom w:w="40" w:type="dxa"/>
              <w:right w:w="0" w:type="dxa"/>
            </w:tcMar>
            <w:vAlign w:val="bottom"/>
          </w:tcPr>
          <w:p w14:paraId="5F2D5626" w14:textId="77777777" w:rsidR="00E836FB" w:rsidRDefault="00994958">
            <w:pPr>
              <w:jc w:val="right"/>
              <w:textAlignment w:val="bottom"/>
            </w:pPr>
            <w:r>
              <w:rPr>
                <w:rFonts w:ascii="Arial" w:eastAsia="宋体" w:hAnsi="Arial" w:cs="Arial"/>
                <w:b/>
                <w:bCs/>
                <w:color w:val="000000"/>
                <w:sz w:val="13"/>
                <w:szCs w:val="13"/>
              </w:rPr>
              <w:t>7,182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62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2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29" w14:textId="77777777" w:rsidR="00E836FB" w:rsidRDefault="00994958">
            <w:pPr>
              <w:jc w:val="right"/>
              <w:textAlignment w:val="bottom"/>
            </w:pPr>
            <w:r>
              <w:rPr>
                <w:rFonts w:ascii="Arial" w:eastAsia="宋体" w:hAnsi="Arial" w:cs="Arial"/>
                <w:color w:val="000000"/>
                <w:sz w:val="13"/>
                <w:szCs w:val="13"/>
              </w:rPr>
              <w:t>7,071 </w:t>
            </w:r>
          </w:p>
        </w:tc>
        <w:tc>
          <w:tcPr>
            <w:tcW w:w="0" w:type="auto"/>
            <w:shd w:val="clear" w:color="auto" w:fill="CCEEFF"/>
            <w:tcMar>
              <w:top w:w="40" w:type="dxa"/>
              <w:left w:w="0" w:type="dxa"/>
              <w:bottom w:w="40" w:type="dxa"/>
              <w:right w:w="20" w:type="dxa"/>
            </w:tcMar>
            <w:vAlign w:val="bottom"/>
          </w:tcPr>
          <w:p w14:paraId="5F2D56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2C" w14:textId="77777777" w:rsidR="00E836FB" w:rsidRDefault="00994958">
            <w:pPr>
              <w:jc w:val="right"/>
              <w:textAlignment w:val="bottom"/>
            </w:pPr>
            <w:r>
              <w:rPr>
                <w:rFonts w:ascii="Arial" w:eastAsia="宋体" w:hAnsi="Arial" w:cs="Arial"/>
                <w:color w:val="000000"/>
                <w:sz w:val="13"/>
                <w:szCs w:val="13"/>
              </w:rPr>
              <w:t>7,140 </w:t>
            </w:r>
          </w:p>
        </w:tc>
        <w:tc>
          <w:tcPr>
            <w:tcW w:w="0" w:type="auto"/>
            <w:shd w:val="clear" w:color="auto" w:fill="CCEEFF"/>
            <w:tcMar>
              <w:top w:w="40" w:type="dxa"/>
              <w:left w:w="0" w:type="dxa"/>
              <w:bottom w:w="40" w:type="dxa"/>
              <w:right w:w="20" w:type="dxa"/>
            </w:tcMar>
            <w:vAlign w:val="bottom"/>
          </w:tcPr>
          <w:p w14:paraId="5F2D562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2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2F" w14:textId="77777777" w:rsidR="00E836FB" w:rsidRDefault="00994958">
            <w:pPr>
              <w:jc w:val="right"/>
              <w:textAlignment w:val="bottom"/>
            </w:pPr>
            <w:r>
              <w:rPr>
                <w:rFonts w:ascii="Arial" w:eastAsia="宋体" w:hAnsi="Arial" w:cs="Arial"/>
                <w:b/>
                <w:bCs/>
                <w:color w:val="000000"/>
                <w:sz w:val="13"/>
                <w:szCs w:val="13"/>
              </w:rPr>
              <w:t>1,445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6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3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32" w14:textId="77777777" w:rsidR="00E836FB" w:rsidRDefault="00994958">
            <w:pPr>
              <w:jc w:val="right"/>
              <w:textAlignment w:val="bottom"/>
            </w:pPr>
            <w:r>
              <w:rPr>
                <w:rFonts w:ascii="Arial" w:eastAsia="宋体" w:hAnsi="Arial" w:cs="Arial"/>
                <w:color w:val="000000"/>
                <w:sz w:val="13"/>
                <w:szCs w:val="13"/>
              </w:rPr>
              <w:t>1,471 </w:t>
            </w:r>
          </w:p>
        </w:tc>
        <w:tc>
          <w:tcPr>
            <w:tcW w:w="0" w:type="auto"/>
            <w:shd w:val="clear" w:color="auto" w:fill="CCEEFF"/>
            <w:tcMar>
              <w:top w:w="40" w:type="dxa"/>
              <w:left w:w="0" w:type="dxa"/>
              <w:bottom w:w="40" w:type="dxa"/>
              <w:right w:w="20" w:type="dxa"/>
            </w:tcMar>
            <w:vAlign w:val="bottom"/>
          </w:tcPr>
          <w:p w14:paraId="5F2D56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3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35" w14:textId="77777777" w:rsidR="00E836FB" w:rsidRDefault="00994958">
            <w:pPr>
              <w:jc w:val="right"/>
              <w:textAlignment w:val="bottom"/>
            </w:pPr>
            <w:r>
              <w:rPr>
                <w:rFonts w:ascii="Arial" w:eastAsia="宋体" w:hAnsi="Arial" w:cs="Arial"/>
                <w:color w:val="000000"/>
                <w:sz w:val="13"/>
                <w:szCs w:val="13"/>
              </w:rPr>
              <w:t>1,535 </w:t>
            </w:r>
          </w:p>
        </w:tc>
        <w:tc>
          <w:tcPr>
            <w:tcW w:w="0" w:type="auto"/>
            <w:shd w:val="clear" w:color="auto" w:fill="CCEEFF"/>
            <w:tcMar>
              <w:top w:w="40" w:type="dxa"/>
              <w:left w:w="0" w:type="dxa"/>
              <w:bottom w:w="40" w:type="dxa"/>
              <w:right w:w="20" w:type="dxa"/>
            </w:tcMar>
            <w:vAlign w:val="bottom"/>
          </w:tcPr>
          <w:p w14:paraId="5F2D56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3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38" w14:textId="77777777" w:rsidR="00E836FB" w:rsidRDefault="00994958">
            <w:pPr>
              <w:jc w:val="right"/>
              <w:textAlignment w:val="bottom"/>
            </w:pPr>
            <w:r>
              <w:rPr>
                <w:rFonts w:ascii="Arial" w:eastAsia="宋体" w:hAnsi="Arial" w:cs="Arial"/>
                <w:b/>
                <w:bCs/>
                <w:color w:val="000000"/>
                <w:sz w:val="13"/>
                <w:szCs w:val="13"/>
              </w:rPr>
              <w:t>262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63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3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3B" w14:textId="77777777" w:rsidR="00E836FB" w:rsidRDefault="00994958">
            <w:pPr>
              <w:jc w:val="right"/>
              <w:textAlignment w:val="bottom"/>
            </w:pPr>
            <w:r>
              <w:rPr>
                <w:rFonts w:ascii="Arial" w:eastAsia="宋体" w:hAnsi="Arial" w:cs="Arial"/>
                <w:color w:val="000000"/>
                <w:sz w:val="13"/>
                <w:szCs w:val="13"/>
              </w:rPr>
              <w:t>174 </w:t>
            </w:r>
          </w:p>
        </w:tc>
        <w:tc>
          <w:tcPr>
            <w:tcW w:w="0" w:type="auto"/>
            <w:shd w:val="clear" w:color="auto" w:fill="CCEEFF"/>
            <w:tcMar>
              <w:top w:w="40" w:type="dxa"/>
              <w:left w:w="0" w:type="dxa"/>
              <w:bottom w:w="40" w:type="dxa"/>
              <w:right w:w="20" w:type="dxa"/>
            </w:tcMar>
            <w:vAlign w:val="bottom"/>
          </w:tcPr>
          <w:p w14:paraId="5F2D56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3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3E" w14:textId="77777777" w:rsidR="00E836FB" w:rsidRDefault="00994958">
            <w:pPr>
              <w:jc w:val="right"/>
              <w:textAlignment w:val="bottom"/>
            </w:pPr>
            <w:r>
              <w:rPr>
                <w:rFonts w:ascii="Arial" w:eastAsia="宋体" w:hAnsi="Arial" w:cs="Arial"/>
                <w:color w:val="000000"/>
                <w:sz w:val="13"/>
                <w:szCs w:val="13"/>
              </w:rPr>
              <w:t>359 </w:t>
            </w:r>
          </w:p>
        </w:tc>
        <w:tc>
          <w:tcPr>
            <w:tcW w:w="0" w:type="auto"/>
            <w:shd w:val="clear" w:color="auto" w:fill="CCEEFF"/>
            <w:tcMar>
              <w:top w:w="40" w:type="dxa"/>
              <w:left w:w="0" w:type="dxa"/>
              <w:bottom w:w="40" w:type="dxa"/>
              <w:right w:w="20" w:type="dxa"/>
            </w:tcMar>
            <w:vAlign w:val="bottom"/>
          </w:tcPr>
          <w:p w14:paraId="5F2D56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641" w14:textId="77777777" w:rsidR="00E836FB" w:rsidRDefault="00994958">
            <w:pPr>
              <w:jc w:val="right"/>
              <w:textAlignment w:val="bottom"/>
            </w:pPr>
            <w:r>
              <w:rPr>
                <w:rFonts w:ascii="Arial" w:eastAsia="宋体" w:hAnsi="Arial" w:cs="Arial"/>
                <w:b/>
                <w:bCs/>
                <w:color w:val="000000"/>
                <w:sz w:val="13"/>
                <w:szCs w:val="13"/>
              </w:rPr>
              <w:t>8,889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642"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564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44" w14:textId="77777777" w:rsidR="00E836FB" w:rsidRDefault="00994958">
            <w:pPr>
              <w:jc w:val="right"/>
              <w:textAlignment w:val="bottom"/>
            </w:pPr>
            <w:r>
              <w:rPr>
                <w:rFonts w:ascii="Arial" w:eastAsia="宋体" w:hAnsi="Arial" w:cs="Arial"/>
                <w:color w:val="000000"/>
                <w:sz w:val="13"/>
                <w:szCs w:val="13"/>
              </w:rPr>
              <w:t>8,716 </w:t>
            </w:r>
          </w:p>
          <w:p w14:paraId="5F2D5645" w14:textId="77777777" w:rsidR="00E836FB" w:rsidRDefault="00994958">
            <w:pPr>
              <w:jc w:val="right"/>
              <w:textAlignment w:val="bottom"/>
            </w:pPr>
            <w:r>
              <w:rPr>
                <w:rFonts w:ascii="Arial" w:eastAsia="宋体" w:hAnsi="Arial" w:cs="Arial"/>
                <w:color w:val="000000"/>
                <w:sz w:val="13"/>
                <w:szCs w:val="13"/>
              </w:rPr>
              <w:t>9,034 </w:t>
            </w:r>
          </w:p>
        </w:tc>
      </w:tr>
      <w:tr w:rsidR="00994958" w14:paraId="5F2D5674" w14:textId="77777777">
        <w:tc>
          <w:tcPr>
            <w:tcW w:w="0" w:type="auto"/>
            <w:gridSpan w:val="3"/>
            <w:shd w:val="clear" w:color="auto" w:fill="FFFFFF"/>
            <w:tcMar>
              <w:top w:w="40" w:type="dxa"/>
              <w:left w:w="20" w:type="dxa"/>
              <w:bottom w:w="40" w:type="dxa"/>
              <w:right w:w="20" w:type="dxa"/>
            </w:tcMar>
            <w:vAlign w:val="bottom"/>
          </w:tcPr>
          <w:p w14:paraId="5F2D5647" w14:textId="77777777" w:rsidR="00E836FB" w:rsidRDefault="00994958">
            <w:pPr>
              <w:textAlignment w:val="bottom"/>
            </w:pPr>
            <w:r>
              <w:rPr>
                <w:rFonts w:ascii="Arial" w:eastAsia="宋体" w:hAnsi="Arial" w:cs="Arial"/>
                <w:b/>
                <w:bCs/>
                <w:color w:val="000000"/>
                <w:sz w:val="13"/>
                <w:szCs w:val="13"/>
              </w:rPr>
              <w:t>Income before income tax expense</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5648"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49" w14:textId="77777777" w:rsidR="00E836FB" w:rsidRDefault="00994958">
            <w:pPr>
              <w:jc w:val="right"/>
              <w:textAlignment w:val="bottom"/>
            </w:pPr>
            <w:r>
              <w:rPr>
                <w:rFonts w:ascii="Arial" w:eastAsia="宋体" w:hAnsi="Arial" w:cs="Arial"/>
                <w:b/>
                <w:bCs/>
                <w:color w:val="000000"/>
                <w:sz w:val="13"/>
                <w:szCs w:val="13"/>
              </w:rPr>
              <w:t>2,648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4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4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4C"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4D" w14:textId="77777777" w:rsidR="00E836FB" w:rsidRDefault="00994958">
            <w:pPr>
              <w:jc w:val="right"/>
              <w:textAlignment w:val="bottom"/>
            </w:pPr>
            <w:r>
              <w:rPr>
                <w:rFonts w:ascii="Arial" w:eastAsia="宋体" w:hAnsi="Arial" w:cs="Arial"/>
                <w:color w:val="000000"/>
                <w:sz w:val="13"/>
                <w:szCs w:val="13"/>
              </w:rPr>
              <w:t>2,570 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4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50"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51" w14:textId="77777777" w:rsidR="00E836FB" w:rsidRDefault="00994958">
            <w:pPr>
              <w:jc w:val="right"/>
              <w:textAlignment w:val="bottom"/>
            </w:pPr>
            <w:r>
              <w:rPr>
                <w:rFonts w:ascii="Arial" w:eastAsia="宋体" w:hAnsi="Arial" w:cs="Arial"/>
                <w:color w:val="000000"/>
                <w:sz w:val="13"/>
                <w:szCs w:val="13"/>
              </w:rPr>
              <w:t>2,684 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5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54"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55" w14:textId="77777777" w:rsidR="00E836FB" w:rsidRDefault="00994958">
            <w:pPr>
              <w:jc w:val="right"/>
              <w:textAlignment w:val="bottom"/>
            </w:pPr>
            <w:r>
              <w:rPr>
                <w:rFonts w:ascii="Arial" w:eastAsia="宋体" w:hAnsi="Arial" w:cs="Arial"/>
                <w:b/>
                <w:bCs/>
                <w:color w:val="000000"/>
                <w:sz w:val="13"/>
                <w:szCs w:val="13"/>
              </w:rPr>
              <w:t>674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5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58"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59" w14:textId="77777777" w:rsidR="00E836FB" w:rsidRDefault="00994958">
            <w:pPr>
              <w:jc w:val="right"/>
              <w:textAlignment w:val="bottom"/>
            </w:pPr>
            <w:r>
              <w:rPr>
                <w:rFonts w:ascii="Arial" w:eastAsia="宋体" w:hAnsi="Arial" w:cs="Arial"/>
                <w:color w:val="000000"/>
                <w:sz w:val="13"/>
                <w:szCs w:val="13"/>
              </w:rPr>
              <w:t>503 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5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5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5C"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5D" w14:textId="77777777" w:rsidR="00E836FB" w:rsidRDefault="00994958">
            <w:pPr>
              <w:jc w:val="right"/>
              <w:textAlignment w:val="bottom"/>
            </w:pPr>
            <w:r>
              <w:rPr>
                <w:rFonts w:ascii="Arial" w:eastAsia="宋体" w:hAnsi="Arial" w:cs="Arial"/>
                <w:color w:val="000000"/>
                <w:sz w:val="13"/>
                <w:szCs w:val="13"/>
              </w:rPr>
              <w:t>387 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5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5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60"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61" w14:textId="77777777" w:rsidR="00E836FB" w:rsidRDefault="00994958">
            <w:pPr>
              <w:jc w:val="right"/>
              <w:textAlignment w:val="bottom"/>
            </w:pPr>
            <w:r>
              <w:rPr>
                <w:rFonts w:ascii="Arial" w:eastAsia="宋体" w:hAnsi="Arial" w:cs="Arial"/>
                <w:b/>
                <w:bCs/>
                <w:color w:val="000000"/>
                <w:sz w:val="13"/>
                <w:szCs w:val="13"/>
              </w:rPr>
              <w:t>(151)</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6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6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64"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65" w14:textId="77777777" w:rsidR="00E836FB" w:rsidRDefault="00994958">
            <w:pPr>
              <w:jc w:val="right"/>
              <w:textAlignment w:val="bottom"/>
            </w:pPr>
            <w:r>
              <w:rPr>
                <w:rFonts w:ascii="Arial" w:eastAsia="宋体" w:hAnsi="Arial" w:cs="Arial"/>
                <w:color w:val="000000"/>
                <w:sz w:val="13"/>
                <w:szCs w:val="13"/>
              </w:rPr>
              <w:t>(174)</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6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68" w14:textId="77777777" w:rsidR="00E836FB" w:rsidRDefault="00994958">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69" w14:textId="77777777" w:rsidR="00E836FB" w:rsidRDefault="00994958">
            <w:pPr>
              <w:jc w:val="right"/>
              <w:textAlignment w:val="bottom"/>
            </w:pPr>
            <w:r>
              <w:rPr>
                <w:rFonts w:ascii="Arial" w:eastAsia="宋体" w:hAnsi="Arial" w:cs="Arial"/>
                <w:color w:val="000000"/>
                <w:sz w:val="13"/>
                <w:szCs w:val="13"/>
              </w:rPr>
              <w:t>(359)</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6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66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6C" w14:textId="77777777" w:rsidR="00E836FB" w:rsidRDefault="00994958">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66D" w14:textId="77777777" w:rsidR="00E836FB" w:rsidRDefault="00994958">
            <w:pPr>
              <w:jc w:val="right"/>
              <w:textAlignment w:val="bottom"/>
            </w:pPr>
            <w:r>
              <w:rPr>
                <w:rFonts w:ascii="Arial" w:eastAsia="宋体" w:hAnsi="Arial" w:cs="Arial"/>
                <w:b/>
                <w:bCs/>
                <w:color w:val="000000"/>
                <w:sz w:val="13"/>
                <w:szCs w:val="13"/>
              </w:rPr>
              <w:t>3,171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66E" w14:textId="77777777" w:rsidR="00E836FB" w:rsidRDefault="00E836FB">
            <w:pPr>
              <w:jc w:val="right"/>
              <w:rPr>
                <w:rFonts w:ascii="宋体"/>
              </w:rPr>
            </w:pPr>
          </w:p>
        </w:tc>
        <w:tc>
          <w:tcPr>
            <w:tcW w:w="0" w:type="auto"/>
            <w:gridSpan w:val="2"/>
            <w:shd w:val="clear" w:color="auto" w:fill="FFFFFF"/>
            <w:tcMar>
              <w:top w:w="0" w:type="dxa"/>
              <w:left w:w="20" w:type="dxa"/>
              <w:bottom w:w="0" w:type="dxa"/>
              <w:right w:w="20" w:type="dxa"/>
            </w:tcMar>
            <w:vAlign w:val="bottom"/>
          </w:tcPr>
          <w:p w14:paraId="5F2D566F"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670" w14:textId="77777777" w:rsidR="00E836FB" w:rsidRDefault="00994958">
            <w:pPr>
              <w:textAlignment w:val="bottom"/>
            </w:pPr>
            <w:r>
              <w:rPr>
                <w:rFonts w:ascii="Arial" w:eastAsia="宋体" w:hAnsi="Arial" w:cs="Arial"/>
                <w:color w:val="000000"/>
                <w:sz w:val="13"/>
                <w:szCs w:val="13"/>
              </w:rPr>
              <w:t>$</w:t>
            </w:r>
          </w:p>
          <w:p w14:paraId="5F2D5671" w14:textId="77777777" w:rsidR="00E836FB" w:rsidRDefault="00994958">
            <w:pPr>
              <w:jc w:val="right"/>
              <w:textAlignment w:val="bottom"/>
            </w:pPr>
            <w:r>
              <w:rPr>
                <w:rFonts w:ascii="Arial" w:eastAsia="宋体" w:hAnsi="Arial" w:cs="Arial"/>
                <w:color w:val="000000"/>
                <w:sz w:val="13"/>
                <w:szCs w:val="13"/>
              </w:rPr>
              <w:t>2,899 </w:t>
            </w:r>
          </w:p>
          <w:p w14:paraId="5F2D5672" w14:textId="77777777" w:rsidR="00E836FB" w:rsidRDefault="00994958">
            <w:pPr>
              <w:textAlignment w:val="bottom"/>
            </w:pPr>
            <w:r>
              <w:rPr>
                <w:rFonts w:ascii="Arial" w:eastAsia="宋体" w:hAnsi="Arial" w:cs="Arial"/>
                <w:color w:val="000000"/>
                <w:sz w:val="13"/>
                <w:szCs w:val="13"/>
              </w:rPr>
              <w:t>$</w:t>
            </w:r>
          </w:p>
          <w:p w14:paraId="5F2D5673" w14:textId="77777777" w:rsidR="00E836FB" w:rsidRDefault="00994958">
            <w:pPr>
              <w:jc w:val="right"/>
              <w:textAlignment w:val="bottom"/>
            </w:pPr>
            <w:r>
              <w:rPr>
                <w:rFonts w:ascii="Arial" w:eastAsia="宋体" w:hAnsi="Arial" w:cs="Arial"/>
                <w:color w:val="000000"/>
                <w:sz w:val="13"/>
                <w:szCs w:val="13"/>
              </w:rPr>
              <w:t>2,712 </w:t>
            </w:r>
          </w:p>
        </w:tc>
      </w:tr>
      <w:tr w:rsidR="00E836FB" w14:paraId="5F2D5695" w14:textId="77777777">
        <w:tc>
          <w:tcPr>
            <w:tcW w:w="0" w:type="auto"/>
            <w:gridSpan w:val="3"/>
            <w:shd w:val="clear" w:color="auto" w:fill="CCEEFF"/>
            <w:tcMar>
              <w:top w:w="40" w:type="dxa"/>
              <w:left w:w="20" w:type="dxa"/>
              <w:bottom w:w="40" w:type="dxa"/>
              <w:right w:w="20" w:type="dxa"/>
            </w:tcMar>
            <w:vAlign w:val="bottom"/>
          </w:tcPr>
          <w:p w14:paraId="5F2D5675" w14:textId="77777777" w:rsidR="00E836FB" w:rsidRDefault="00994958">
            <w:pPr>
              <w:textAlignment w:val="bottom"/>
            </w:pPr>
            <w:r>
              <w:rPr>
                <w:rFonts w:ascii="Arial" w:eastAsia="宋体" w:hAnsi="Arial" w:cs="Arial"/>
                <w:color w:val="000000"/>
                <w:sz w:val="13"/>
                <w:szCs w:val="13"/>
              </w:rPr>
              <w:t>Pre-tax margin</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D5676" w14:textId="77777777" w:rsidR="00E836FB" w:rsidRDefault="00994958">
            <w:pPr>
              <w:jc w:val="right"/>
              <w:textAlignment w:val="bottom"/>
            </w:pPr>
            <w:r>
              <w:rPr>
                <w:rFonts w:ascii="Arial" w:eastAsia="宋体" w:hAnsi="Arial" w:cs="Arial"/>
                <w:b/>
                <w:bCs/>
                <w:color w:val="000000"/>
                <w:sz w:val="13"/>
                <w:szCs w:val="13"/>
              </w:rPr>
              <w:t>27</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D5677" w14:textId="77777777" w:rsidR="00E836FB" w:rsidRDefault="00994958">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D5678"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D5679" w14:textId="77777777" w:rsidR="00E836FB" w:rsidRDefault="00994958">
            <w:pPr>
              <w:jc w:val="right"/>
              <w:textAlignment w:val="bottom"/>
            </w:pPr>
            <w:r>
              <w:rPr>
                <w:rFonts w:ascii="Arial" w:eastAsia="宋体" w:hAnsi="Arial" w:cs="Arial"/>
                <w:color w:val="000000"/>
                <w:sz w:val="13"/>
                <w:szCs w:val="13"/>
              </w:rPr>
              <w:t>26 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D567A" w14:textId="77777777" w:rsidR="00E836FB" w:rsidRDefault="00994958">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D567B"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D567C" w14:textId="77777777" w:rsidR="00E836FB" w:rsidRDefault="00994958">
            <w:pPr>
              <w:jc w:val="right"/>
              <w:textAlignment w:val="bottom"/>
            </w:pPr>
            <w:r>
              <w:rPr>
                <w:rFonts w:ascii="Arial" w:eastAsia="宋体" w:hAnsi="Arial" w:cs="Arial"/>
                <w:color w:val="000000"/>
                <w:sz w:val="13"/>
                <w:szCs w:val="13"/>
              </w:rPr>
              <w:t>27 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D567D" w14:textId="77777777" w:rsidR="00E836FB" w:rsidRDefault="00994958">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D567E"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D567F" w14:textId="77777777" w:rsidR="00E836FB" w:rsidRDefault="00994958">
            <w:pPr>
              <w:jc w:val="right"/>
              <w:textAlignment w:val="bottom"/>
            </w:pPr>
            <w:r>
              <w:rPr>
                <w:rFonts w:ascii="Arial" w:eastAsia="宋体" w:hAnsi="Arial" w:cs="Arial"/>
                <w:b/>
                <w:bCs/>
                <w:color w:val="000000"/>
                <w:sz w:val="13"/>
                <w:szCs w:val="13"/>
              </w:rPr>
              <w:t>32</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D5680" w14:textId="77777777" w:rsidR="00E836FB" w:rsidRDefault="00994958">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D5681"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D5682" w14:textId="77777777" w:rsidR="00E836FB" w:rsidRDefault="00994958">
            <w:pPr>
              <w:jc w:val="right"/>
              <w:textAlignment w:val="bottom"/>
            </w:pPr>
            <w:r>
              <w:rPr>
                <w:rFonts w:ascii="Arial" w:eastAsia="宋体" w:hAnsi="Arial" w:cs="Arial"/>
                <w:color w:val="000000"/>
                <w:sz w:val="13"/>
                <w:szCs w:val="13"/>
              </w:rPr>
              <w:t>25 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D5683" w14:textId="77777777" w:rsidR="00E836FB" w:rsidRDefault="00994958">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D5684"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D5685" w14:textId="77777777" w:rsidR="00E836FB" w:rsidRDefault="00994958">
            <w:pPr>
              <w:jc w:val="right"/>
              <w:textAlignment w:val="bottom"/>
            </w:pPr>
            <w:r>
              <w:rPr>
                <w:rFonts w:ascii="Arial" w:eastAsia="宋体" w:hAnsi="Arial" w:cs="Arial"/>
                <w:color w:val="000000"/>
                <w:sz w:val="13"/>
                <w:szCs w:val="13"/>
              </w:rPr>
              <w:t>20 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D5686" w14:textId="77777777" w:rsidR="00E836FB" w:rsidRDefault="00994958">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vAlign w:val="bottom"/>
          </w:tcPr>
          <w:p w14:paraId="5F2D5687"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568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89"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568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8B"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568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8D" w14:textId="77777777" w:rsidR="00E836FB" w:rsidRDefault="00E83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F2D568E" w14:textId="77777777" w:rsidR="00E836FB" w:rsidRDefault="00994958">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F2D568F" w14:textId="77777777" w:rsidR="00E836FB" w:rsidRDefault="00994958">
            <w:pPr>
              <w:jc w:val="right"/>
              <w:textAlignment w:val="bottom"/>
            </w:pPr>
            <w:r>
              <w:rPr>
                <w:rFonts w:ascii="Arial" w:eastAsia="宋体" w:hAnsi="Arial" w:cs="Arial"/>
                <w:b/>
                <w:bCs/>
                <w:color w:val="000000"/>
                <w:sz w:val="13"/>
                <w:szCs w:val="13"/>
              </w:rPr>
              <w:t>%</w:t>
            </w:r>
          </w:p>
        </w:tc>
        <w:tc>
          <w:tcPr>
            <w:tcW w:w="0" w:type="auto"/>
            <w:gridSpan w:val="2"/>
            <w:shd w:val="clear" w:color="auto" w:fill="CCEEFF"/>
            <w:tcMar>
              <w:top w:w="0" w:type="dxa"/>
              <w:left w:w="20" w:type="dxa"/>
              <w:bottom w:w="0" w:type="dxa"/>
              <w:right w:w="20" w:type="dxa"/>
            </w:tcMar>
            <w:vAlign w:val="bottom"/>
          </w:tcPr>
          <w:p w14:paraId="5F2D5690" w14:textId="77777777" w:rsidR="00E836FB" w:rsidRDefault="00E836FB">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F2D5691" w14:textId="77777777" w:rsidR="00E836FB" w:rsidRDefault="00994958">
            <w:pPr>
              <w:jc w:val="right"/>
              <w:textAlignment w:val="bottom"/>
            </w:pPr>
            <w:r>
              <w:rPr>
                <w:rFonts w:ascii="Arial" w:eastAsia="宋体" w:hAnsi="Arial" w:cs="Arial"/>
                <w:color w:val="000000"/>
                <w:sz w:val="13"/>
                <w:szCs w:val="13"/>
              </w:rPr>
              <w:t>25 </w:t>
            </w:r>
          </w:p>
          <w:p w14:paraId="5F2D5692" w14:textId="77777777" w:rsidR="00E836FB" w:rsidRDefault="00994958">
            <w:pPr>
              <w:jc w:val="right"/>
              <w:textAlignment w:val="bottom"/>
            </w:pPr>
            <w:r>
              <w:rPr>
                <w:rFonts w:ascii="Arial" w:eastAsia="宋体" w:hAnsi="Arial" w:cs="Arial"/>
                <w:color w:val="000000"/>
                <w:sz w:val="13"/>
                <w:szCs w:val="13"/>
              </w:rPr>
              <w:t>%</w:t>
            </w:r>
          </w:p>
          <w:p w14:paraId="5F2D5693" w14:textId="77777777" w:rsidR="00E836FB" w:rsidRDefault="00994958">
            <w:pPr>
              <w:jc w:val="right"/>
              <w:textAlignment w:val="bottom"/>
            </w:pPr>
            <w:r>
              <w:rPr>
                <w:rFonts w:ascii="Arial" w:eastAsia="宋体" w:hAnsi="Arial" w:cs="Arial"/>
                <w:color w:val="000000"/>
                <w:sz w:val="13"/>
                <w:szCs w:val="13"/>
              </w:rPr>
              <w:t>23 </w:t>
            </w:r>
          </w:p>
          <w:p w14:paraId="5F2D5694" w14:textId="77777777" w:rsidR="00E836FB" w:rsidRDefault="00994958">
            <w:pPr>
              <w:jc w:val="right"/>
              <w:textAlignment w:val="bottom"/>
            </w:pPr>
            <w:r>
              <w:rPr>
                <w:rFonts w:ascii="Arial" w:eastAsia="宋体" w:hAnsi="Arial" w:cs="Arial"/>
                <w:color w:val="000000"/>
                <w:sz w:val="13"/>
                <w:szCs w:val="13"/>
              </w:rPr>
              <w:t>%</w:t>
            </w:r>
          </w:p>
        </w:tc>
      </w:tr>
      <w:tr w:rsidR="00E836FB" w14:paraId="5F2D56AC" w14:textId="77777777">
        <w:trPr>
          <w:trHeight w:val="220"/>
        </w:trPr>
        <w:tc>
          <w:tcPr>
            <w:tcW w:w="0" w:type="auto"/>
            <w:gridSpan w:val="3"/>
            <w:shd w:val="clear" w:color="auto" w:fill="auto"/>
            <w:tcMar>
              <w:top w:w="0" w:type="dxa"/>
              <w:left w:w="20" w:type="dxa"/>
              <w:bottom w:w="0" w:type="dxa"/>
              <w:right w:w="20" w:type="dxa"/>
            </w:tcMar>
            <w:vAlign w:val="bottom"/>
          </w:tcPr>
          <w:p w14:paraId="5F2D5696"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6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9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6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9A"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6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9C"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6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9E"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69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0"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6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A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6A9" w14:textId="77777777" w:rsidR="00E836FB" w:rsidRDefault="00E836FB">
            <w:pPr>
              <w:rPr>
                <w:rFonts w:ascii="宋体"/>
              </w:rPr>
            </w:pPr>
          </w:p>
        </w:tc>
        <w:tc>
          <w:tcPr>
            <w:tcW w:w="0" w:type="auto"/>
            <w:gridSpan w:val="2"/>
            <w:shd w:val="clear" w:color="auto" w:fill="auto"/>
            <w:tcMar>
              <w:top w:w="0" w:type="dxa"/>
              <w:left w:w="20" w:type="dxa"/>
              <w:bottom w:w="0" w:type="dxa"/>
              <w:right w:w="20" w:type="dxa"/>
            </w:tcMar>
            <w:vAlign w:val="bottom"/>
          </w:tcPr>
          <w:p w14:paraId="5F2D56AA" w14:textId="77777777" w:rsidR="00E836FB" w:rsidRDefault="00E836FB">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5F2D56AB" w14:textId="77777777" w:rsidR="00E836FB" w:rsidRDefault="00E836FB">
            <w:pPr>
              <w:rPr>
                <w:rFonts w:ascii="宋体"/>
              </w:rPr>
            </w:pPr>
          </w:p>
        </w:tc>
      </w:tr>
      <w:tr w:rsidR="00994958" w14:paraId="5F2D56D4" w14:textId="77777777">
        <w:tc>
          <w:tcPr>
            <w:tcW w:w="0" w:type="auto"/>
            <w:gridSpan w:val="3"/>
            <w:shd w:val="clear" w:color="auto" w:fill="CCEEFF"/>
            <w:tcMar>
              <w:top w:w="40" w:type="dxa"/>
              <w:left w:w="20" w:type="dxa"/>
              <w:bottom w:w="40" w:type="dxa"/>
              <w:right w:w="20" w:type="dxa"/>
            </w:tcMar>
            <w:vAlign w:val="bottom"/>
          </w:tcPr>
          <w:p w14:paraId="5F2D56AD" w14:textId="77777777" w:rsidR="00E836FB" w:rsidRDefault="00994958">
            <w:pPr>
              <w:textAlignment w:val="bottom"/>
            </w:pPr>
            <w:r>
              <w:rPr>
                <w:rFonts w:ascii="Arial" w:eastAsia="宋体" w:hAnsi="Arial" w:cs="Arial"/>
                <w:color w:val="000000"/>
                <w:sz w:val="13"/>
                <w:szCs w:val="13"/>
              </w:rPr>
              <w:t>Average assets (in billions)</w:t>
            </w:r>
          </w:p>
        </w:tc>
        <w:tc>
          <w:tcPr>
            <w:tcW w:w="0" w:type="auto"/>
            <w:shd w:val="clear" w:color="auto" w:fill="CCEEFF"/>
            <w:tcMar>
              <w:top w:w="40" w:type="dxa"/>
              <w:left w:w="20" w:type="dxa"/>
              <w:bottom w:w="40" w:type="dxa"/>
              <w:right w:w="0" w:type="dxa"/>
            </w:tcMar>
            <w:vAlign w:val="bottom"/>
          </w:tcPr>
          <w:p w14:paraId="5F2D56AE"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D56AF" w14:textId="77777777" w:rsidR="00E836FB" w:rsidRDefault="00994958">
            <w:pPr>
              <w:jc w:val="right"/>
              <w:textAlignment w:val="bottom"/>
            </w:pPr>
            <w:r>
              <w:rPr>
                <w:rFonts w:ascii="Arial" w:eastAsia="宋体" w:hAnsi="Arial" w:cs="Arial"/>
                <w:b/>
                <w:bCs/>
                <w:color w:val="000000"/>
                <w:sz w:val="13"/>
                <w:szCs w:val="13"/>
              </w:rPr>
              <w:t>296.5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6B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B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B2"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D56B3" w14:textId="77777777" w:rsidR="00E836FB" w:rsidRDefault="00994958">
            <w:pPr>
              <w:jc w:val="right"/>
              <w:textAlignment w:val="bottom"/>
            </w:pPr>
            <w:r>
              <w:rPr>
                <w:rFonts w:ascii="Arial" w:eastAsia="宋体" w:hAnsi="Arial" w:cs="Arial"/>
                <w:color w:val="000000"/>
                <w:sz w:val="13"/>
                <w:szCs w:val="13"/>
              </w:rPr>
              <w:t>266.4 </w:t>
            </w:r>
          </w:p>
        </w:tc>
        <w:tc>
          <w:tcPr>
            <w:tcW w:w="0" w:type="auto"/>
            <w:shd w:val="clear" w:color="auto" w:fill="CCEEFF"/>
            <w:tcMar>
              <w:top w:w="40" w:type="dxa"/>
              <w:left w:w="0" w:type="dxa"/>
              <w:bottom w:w="40" w:type="dxa"/>
              <w:right w:w="20" w:type="dxa"/>
            </w:tcMar>
            <w:vAlign w:val="bottom"/>
          </w:tcPr>
          <w:p w14:paraId="5F2D56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B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B6"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D56B7" w14:textId="77777777" w:rsidR="00E836FB" w:rsidRDefault="00994958">
            <w:pPr>
              <w:jc w:val="right"/>
              <w:textAlignment w:val="bottom"/>
            </w:pPr>
            <w:r>
              <w:rPr>
                <w:rFonts w:ascii="Arial" w:eastAsia="宋体" w:hAnsi="Arial" w:cs="Arial"/>
                <w:color w:val="000000"/>
                <w:sz w:val="13"/>
                <w:szCs w:val="13"/>
              </w:rPr>
              <w:t>220.3 </w:t>
            </w:r>
          </w:p>
        </w:tc>
        <w:tc>
          <w:tcPr>
            <w:tcW w:w="0" w:type="auto"/>
            <w:shd w:val="clear" w:color="auto" w:fill="CCEEFF"/>
            <w:tcMar>
              <w:top w:w="40" w:type="dxa"/>
              <w:left w:w="0" w:type="dxa"/>
              <w:bottom w:w="40" w:type="dxa"/>
              <w:right w:w="20" w:type="dxa"/>
            </w:tcMar>
            <w:vAlign w:val="bottom"/>
          </w:tcPr>
          <w:p w14:paraId="5F2D56B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B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BA"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D56BB" w14:textId="77777777" w:rsidR="00E836FB" w:rsidRDefault="00994958">
            <w:pPr>
              <w:jc w:val="right"/>
              <w:textAlignment w:val="bottom"/>
            </w:pPr>
            <w:r>
              <w:rPr>
                <w:rFonts w:ascii="Arial" w:eastAsia="宋体" w:hAnsi="Arial" w:cs="Arial"/>
                <w:b/>
                <w:bCs/>
                <w:color w:val="000000"/>
                <w:sz w:val="13"/>
                <w:szCs w:val="13"/>
              </w:rPr>
              <w:t>3.2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6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B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BE"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D56BF" w14:textId="77777777" w:rsidR="00E836FB" w:rsidRDefault="00994958">
            <w:pPr>
              <w:jc w:val="right"/>
              <w:textAlignment w:val="bottom"/>
            </w:pPr>
            <w:r>
              <w:rPr>
                <w:rFonts w:ascii="Arial" w:eastAsia="宋体" w:hAnsi="Arial" w:cs="Arial"/>
                <w:color w:val="000000"/>
                <w:sz w:val="13"/>
                <w:szCs w:val="13"/>
              </w:rPr>
              <w:t>2.9 </w:t>
            </w:r>
          </w:p>
        </w:tc>
        <w:tc>
          <w:tcPr>
            <w:tcW w:w="0" w:type="auto"/>
            <w:shd w:val="clear" w:color="auto" w:fill="CCEEFF"/>
            <w:tcMar>
              <w:top w:w="40" w:type="dxa"/>
              <w:left w:w="0" w:type="dxa"/>
              <w:bottom w:w="40" w:type="dxa"/>
              <w:right w:w="20" w:type="dxa"/>
            </w:tcMar>
            <w:vAlign w:val="bottom"/>
          </w:tcPr>
          <w:p w14:paraId="5F2D56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C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C2" w14:textId="77777777" w:rsidR="00E836FB" w:rsidRDefault="00994958">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F2D56C3" w14:textId="77777777" w:rsidR="00E836FB" w:rsidRDefault="00994958">
            <w:pPr>
              <w:jc w:val="right"/>
              <w:textAlignment w:val="bottom"/>
            </w:pPr>
            <w:r>
              <w:rPr>
                <w:rFonts w:ascii="Arial" w:eastAsia="宋体" w:hAnsi="Arial" w:cs="Arial"/>
                <w:color w:val="000000"/>
                <w:sz w:val="13"/>
                <w:szCs w:val="13"/>
              </w:rPr>
              <w:t>3.0 </w:t>
            </w:r>
          </w:p>
        </w:tc>
        <w:tc>
          <w:tcPr>
            <w:tcW w:w="0" w:type="auto"/>
            <w:shd w:val="clear" w:color="auto" w:fill="CCEEFF"/>
            <w:tcMar>
              <w:top w:w="40" w:type="dxa"/>
              <w:left w:w="0" w:type="dxa"/>
              <w:bottom w:w="40" w:type="dxa"/>
              <w:right w:w="20" w:type="dxa"/>
            </w:tcMar>
            <w:vAlign w:val="bottom"/>
          </w:tcPr>
          <w:p w14:paraId="5F2D56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6C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C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C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C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C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C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6CB"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CC" w14:textId="77777777" w:rsidR="00E836FB" w:rsidRDefault="00994958">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F2D56CD" w14:textId="77777777" w:rsidR="00E836FB" w:rsidRDefault="00994958">
            <w:pPr>
              <w:jc w:val="right"/>
              <w:textAlignment w:val="bottom"/>
            </w:pPr>
            <w:r>
              <w:rPr>
                <w:rFonts w:ascii="Arial" w:eastAsia="宋体" w:hAnsi="Arial" w:cs="Arial"/>
                <w:b/>
                <w:bCs/>
                <w:color w:val="000000"/>
                <w:sz w:val="13"/>
                <w:szCs w:val="13"/>
              </w:rPr>
              <w:t>299.7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F2D56CE" w14:textId="77777777" w:rsidR="00E836FB" w:rsidRDefault="00E836FB">
            <w:pPr>
              <w:jc w:val="right"/>
              <w:rPr>
                <w:rFonts w:ascii="宋体"/>
              </w:rPr>
            </w:pPr>
          </w:p>
        </w:tc>
        <w:tc>
          <w:tcPr>
            <w:tcW w:w="0" w:type="auto"/>
            <w:gridSpan w:val="2"/>
            <w:shd w:val="clear" w:color="auto" w:fill="CCEEFF"/>
            <w:tcMar>
              <w:top w:w="0" w:type="dxa"/>
              <w:left w:w="20" w:type="dxa"/>
              <w:bottom w:w="0" w:type="dxa"/>
              <w:right w:w="20" w:type="dxa"/>
            </w:tcMar>
            <w:vAlign w:val="bottom"/>
          </w:tcPr>
          <w:p w14:paraId="5F2D56C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6D0" w14:textId="77777777" w:rsidR="00E836FB" w:rsidRDefault="00994958">
            <w:pPr>
              <w:textAlignment w:val="bottom"/>
            </w:pPr>
            <w:r>
              <w:rPr>
                <w:rFonts w:ascii="Arial" w:eastAsia="宋体" w:hAnsi="Arial" w:cs="Arial"/>
                <w:color w:val="000000"/>
                <w:sz w:val="13"/>
                <w:szCs w:val="13"/>
              </w:rPr>
              <w:t>$</w:t>
            </w:r>
          </w:p>
          <w:p w14:paraId="5F2D56D1" w14:textId="77777777" w:rsidR="00E836FB" w:rsidRDefault="00994958">
            <w:pPr>
              <w:jc w:val="right"/>
              <w:textAlignment w:val="bottom"/>
            </w:pPr>
            <w:r>
              <w:rPr>
                <w:rFonts w:ascii="Arial" w:eastAsia="宋体" w:hAnsi="Arial" w:cs="Arial"/>
                <w:color w:val="000000"/>
                <w:sz w:val="13"/>
                <w:szCs w:val="13"/>
              </w:rPr>
              <w:t>269.3 </w:t>
            </w:r>
          </w:p>
          <w:p w14:paraId="5F2D56D2" w14:textId="77777777" w:rsidR="00E836FB" w:rsidRDefault="00994958">
            <w:pPr>
              <w:textAlignment w:val="bottom"/>
            </w:pPr>
            <w:r>
              <w:rPr>
                <w:rFonts w:ascii="Arial" w:eastAsia="宋体" w:hAnsi="Arial" w:cs="Arial"/>
                <w:color w:val="000000"/>
                <w:sz w:val="13"/>
                <w:szCs w:val="13"/>
              </w:rPr>
              <w:t>$</w:t>
            </w:r>
          </w:p>
          <w:p w14:paraId="5F2D56D3" w14:textId="77777777" w:rsidR="00E836FB" w:rsidRDefault="00994958">
            <w:pPr>
              <w:jc w:val="right"/>
              <w:textAlignment w:val="bottom"/>
            </w:pPr>
            <w:r>
              <w:rPr>
                <w:rFonts w:ascii="Arial" w:eastAsia="宋体" w:hAnsi="Arial" w:cs="Arial"/>
                <w:color w:val="000000"/>
                <w:sz w:val="13"/>
                <w:szCs w:val="13"/>
              </w:rPr>
              <w:t>223.3 </w:t>
            </w:r>
          </w:p>
        </w:tc>
      </w:tr>
    </w:tbl>
    <w:p w14:paraId="5F2D56D5" w14:textId="77777777" w:rsidR="00E836FB" w:rsidRDefault="00E836FB">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E836FB" w14:paraId="5F2D56E2" w14:textId="77777777">
        <w:tc>
          <w:tcPr>
            <w:tcW w:w="50" w:type="pct"/>
            <w:shd w:val="clear" w:color="auto" w:fill="auto"/>
            <w:vAlign w:val="bottom"/>
          </w:tcPr>
          <w:p w14:paraId="5F2D56D6" w14:textId="77777777" w:rsidR="00E836FB" w:rsidRDefault="00E836FB">
            <w:pPr>
              <w:rPr>
                <w:rFonts w:ascii="宋体"/>
              </w:rPr>
            </w:pPr>
          </w:p>
        </w:tc>
        <w:tc>
          <w:tcPr>
            <w:tcW w:w="1349" w:type="pct"/>
            <w:shd w:val="clear" w:color="auto" w:fill="auto"/>
            <w:vAlign w:val="bottom"/>
          </w:tcPr>
          <w:p w14:paraId="5F2D56D7" w14:textId="77777777" w:rsidR="00E836FB" w:rsidRDefault="00E836FB">
            <w:pPr>
              <w:rPr>
                <w:rFonts w:ascii="宋体"/>
              </w:rPr>
            </w:pPr>
          </w:p>
        </w:tc>
        <w:tc>
          <w:tcPr>
            <w:tcW w:w="5" w:type="pct"/>
            <w:shd w:val="clear" w:color="auto" w:fill="auto"/>
            <w:vAlign w:val="bottom"/>
          </w:tcPr>
          <w:p w14:paraId="5F2D56D8" w14:textId="77777777" w:rsidR="00E836FB" w:rsidRDefault="00E836FB">
            <w:pPr>
              <w:rPr>
                <w:rFonts w:ascii="宋体"/>
              </w:rPr>
            </w:pPr>
          </w:p>
        </w:tc>
        <w:tc>
          <w:tcPr>
            <w:tcW w:w="50" w:type="pct"/>
            <w:shd w:val="clear" w:color="auto" w:fill="auto"/>
            <w:vAlign w:val="bottom"/>
          </w:tcPr>
          <w:p w14:paraId="5F2D56D9" w14:textId="77777777" w:rsidR="00E836FB" w:rsidRDefault="00E836FB">
            <w:pPr>
              <w:rPr>
                <w:rFonts w:ascii="宋体"/>
              </w:rPr>
            </w:pPr>
          </w:p>
        </w:tc>
        <w:tc>
          <w:tcPr>
            <w:tcW w:w="915" w:type="pct"/>
            <w:shd w:val="clear" w:color="auto" w:fill="auto"/>
            <w:vAlign w:val="bottom"/>
          </w:tcPr>
          <w:p w14:paraId="5F2D56DA" w14:textId="77777777" w:rsidR="00E836FB" w:rsidRDefault="00E836FB">
            <w:pPr>
              <w:rPr>
                <w:rFonts w:ascii="宋体"/>
              </w:rPr>
            </w:pPr>
          </w:p>
        </w:tc>
        <w:tc>
          <w:tcPr>
            <w:tcW w:w="5" w:type="pct"/>
            <w:shd w:val="clear" w:color="auto" w:fill="auto"/>
            <w:vAlign w:val="bottom"/>
          </w:tcPr>
          <w:p w14:paraId="5F2D56DB" w14:textId="77777777" w:rsidR="00E836FB" w:rsidRDefault="00E836FB">
            <w:pPr>
              <w:rPr>
                <w:rFonts w:ascii="宋体"/>
              </w:rPr>
            </w:pPr>
          </w:p>
        </w:tc>
        <w:tc>
          <w:tcPr>
            <w:tcW w:w="50" w:type="pct"/>
            <w:shd w:val="clear" w:color="auto" w:fill="auto"/>
            <w:vAlign w:val="bottom"/>
          </w:tcPr>
          <w:p w14:paraId="5F2D56DC" w14:textId="77777777" w:rsidR="00E836FB" w:rsidRDefault="00E836FB">
            <w:pPr>
              <w:rPr>
                <w:rFonts w:ascii="宋体"/>
              </w:rPr>
            </w:pPr>
          </w:p>
        </w:tc>
        <w:tc>
          <w:tcPr>
            <w:tcW w:w="915" w:type="pct"/>
            <w:shd w:val="clear" w:color="auto" w:fill="auto"/>
            <w:vAlign w:val="bottom"/>
          </w:tcPr>
          <w:p w14:paraId="5F2D56DD" w14:textId="77777777" w:rsidR="00E836FB" w:rsidRDefault="00E836FB">
            <w:pPr>
              <w:rPr>
                <w:rFonts w:ascii="宋体"/>
              </w:rPr>
            </w:pPr>
          </w:p>
        </w:tc>
        <w:tc>
          <w:tcPr>
            <w:tcW w:w="5" w:type="pct"/>
            <w:shd w:val="clear" w:color="auto" w:fill="auto"/>
            <w:vAlign w:val="bottom"/>
          </w:tcPr>
          <w:p w14:paraId="5F2D56DE" w14:textId="77777777" w:rsidR="00E836FB" w:rsidRDefault="00E836FB">
            <w:pPr>
              <w:rPr>
                <w:rFonts w:ascii="宋体"/>
              </w:rPr>
            </w:pPr>
          </w:p>
        </w:tc>
        <w:tc>
          <w:tcPr>
            <w:tcW w:w="50" w:type="pct"/>
            <w:shd w:val="clear" w:color="auto" w:fill="auto"/>
            <w:vAlign w:val="bottom"/>
          </w:tcPr>
          <w:p w14:paraId="5F2D56DF" w14:textId="77777777" w:rsidR="00E836FB" w:rsidRDefault="00E836FB">
            <w:pPr>
              <w:rPr>
                <w:rFonts w:ascii="宋体"/>
              </w:rPr>
            </w:pPr>
          </w:p>
        </w:tc>
        <w:tc>
          <w:tcPr>
            <w:tcW w:w="1599" w:type="pct"/>
            <w:shd w:val="clear" w:color="auto" w:fill="auto"/>
            <w:vAlign w:val="bottom"/>
          </w:tcPr>
          <w:p w14:paraId="5F2D56E0" w14:textId="77777777" w:rsidR="00E836FB" w:rsidRDefault="00E836FB">
            <w:pPr>
              <w:rPr>
                <w:rFonts w:ascii="宋体"/>
              </w:rPr>
            </w:pPr>
          </w:p>
        </w:tc>
        <w:tc>
          <w:tcPr>
            <w:tcW w:w="5" w:type="pct"/>
            <w:shd w:val="clear" w:color="auto" w:fill="auto"/>
            <w:vAlign w:val="bottom"/>
          </w:tcPr>
          <w:p w14:paraId="5F2D56E1" w14:textId="77777777" w:rsidR="00E836FB" w:rsidRDefault="00E836FB">
            <w:pPr>
              <w:rPr>
                <w:rFonts w:ascii="宋体"/>
              </w:rPr>
            </w:pPr>
          </w:p>
        </w:tc>
      </w:tr>
      <w:tr w:rsidR="00E836FB" w14:paraId="5F2D56E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56E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E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E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6E6" w14:textId="77777777" w:rsidR="00E836FB" w:rsidRDefault="00E836FB">
            <w:pPr>
              <w:rPr>
                <w:rFonts w:ascii="宋体"/>
              </w:rPr>
            </w:pPr>
          </w:p>
        </w:tc>
      </w:tr>
    </w:tbl>
    <w:p w14:paraId="5F2D56E8" w14:textId="77777777" w:rsidR="00E836FB" w:rsidRDefault="00994958">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Investment Management includes other revenue items that are primarily </w:t>
      </w:r>
      <w:r>
        <w:rPr>
          <w:rFonts w:ascii="Arial" w:eastAsia="宋体" w:hAnsi="Arial" w:cs="Arial"/>
          <w:color w:val="000000"/>
          <w:sz w:val="12"/>
          <w:szCs w:val="12"/>
        </w:rPr>
        <w:t>driven by equity market movements.</w:t>
      </w:r>
    </w:p>
    <w:p w14:paraId="5F2D56E9" w14:textId="77777777" w:rsidR="00E836FB" w:rsidRDefault="00994958">
      <w:pPr>
        <w:spacing w:before="180"/>
        <w:jc w:val="both"/>
      </w:pPr>
      <w:r>
        <w:rPr>
          <w:rFonts w:ascii="Arial" w:eastAsia="宋体" w:hAnsi="Arial" w:cs="Arial"/>
          <w:b/>
          <w:bCs/>
          <w:color w:val="000000"/>
          <w:sz w:val="20"/>
          <w:szCs w:val="20"/>
        </w:rPr>
        <w:t>Note 25.  Revenue from Contracts with Customers</w:t>
      </w:r>
    </w:p>
    <w:p w14:paraId="5F2D56EA" w14:textId="77777777" w:rsidR="00E836FB" w:rsidRDefault="00994958">
      <w:pPr>
        <w:spacing w:before="60"/>
        <w:ind w:firstLine="450"/>
        <w:jc w:val="both"/>
      </w:pPr>
      <w:r>
        <w:rPr>
          <w:rFonts w:ascii="Arial" w:eastAsia="宋体" w:hAnsi="Arial" w:cs="Arial"/>
          <w:color w:val="000000"/>
          <w:sz w:val="20"/>
          <w:szCs w:val="20"/>
        </w:rPr>
        <w:t xml:space="preserve">We account for revenue from contracts with customers in accordance with ASC 606. The amount of revenue that we recognize is measured based on the consideration specified in </w:t>
      </w:r>
      <w:r>
        <w:rPr>
          <w:rFonts w:ascii="Arial" w:eastAsia="宋体" w:hAnsi="Arial" w:cs="Arial"/>
          <w:color w:val="000000"/>
          <w:sz w:val="20"/>
          <w:szCs w:val="20"/>
        </w:rPr>
        <w:t>contracts with our customers, and excludes taxes collected from customers subsequently remitted to governmental authorities. We recognize revenue when a performance obligation is satisfied over time as the services are performed or at a point in time depen</w:t>
      </w:r>
      <w:r>
        <w:rPr>
          <w:rFonts w:ascii="Arial" w:eastAsia="宋体" w:hAnsi="Arial" w:cs="Arial"/>
          <w:color w:val="000000"/>
          <w:sz w:val="20"/>
          <w:szCs w:val="20"/>
        </w:rPr>
        <w:t>ding on the nature of the services provided as further discussed below. Revenue recognition guidance related to contracts with customers excludes our NII, revenue earned on security lending transactions entered into as principal, realized gains/losses on s</w:t>
      </w:r>
      <w:r>
        <w:rPr>
          <w:rFonts w:ascii="Arial" w:eastAsia="宋体" w:hAnsi="Arial" w:cs="Arial"/>
          <w:color w:val="000000"/>
          <w:sz w:val="20"/>
          <w:szCs w:val="20"/>
        </w:rPr>
        <w:t>ecurities, revenue earned on foreign exchange activity, loans and related fees, and gains/losses on hedging and derivatives, to which we apply other applicable U.S. GAAP guidance.</w:t>
      </w:r>
    </w:p>
    <w:p w14:paraId="5F2D56EB" w14:textId="77777777" w:rsidR="00E836FB" w:rsidRDefault="00994958">
      <w:pPr>
        <w:spacing w:before="60"/>
        <w:ind w:firstLine="450"/>
        <w:jc w:val="both"/>
      </w:pPr>
      <w:r>
        <w:rPr>
          <w:rFonts w:ascii="Arial" w:eastAsia="宋体" w:hAnsi="Arial" w:cs="Arial"/>
          <w:color w:val="000000"/>
          <w:sz w:val="20"/>
          <w:szCs w:val="20"/>
        </w:rPr>
        <w:t xml:space="preserve">For contracts with multiple performance obligations, or contracts that have </w:t>
      </w:r>
      <w:r>
        <w:rPr>
          <w:rFonts w:ascii="Arial" w:eastAsia="宋体" w:hAnsi="Arial" w:cs="Arial"/>
          <w:color w:val="000000"/>
          <w:sz w:val="20"/>
          <w:szCs w:val="20"/>
        </w:rPr>
        <w:t>been combined, we allocate the contracts' transaction price to each performance obligation using our best estimate of the standalone selling price. Our contractual fees are negotiated on a customer by customer basis and are representative of standalone sel</w:t>
      </w:r>
      <w:r>
        <w:rPr>
          <w:rFonts w:ascii="Arial" w:eastAsia="宋体" w:hAnsi="Arial" w:cs="Arial"/>
          <w:color w:val="000000"/>
          <w:sz w:val="20"/>
          <w:szCs w:val="20"/>
        </w:rPr>
        <w:t>ling price utilized for allocating revenue when there are multiple performance obligations.</w:t>
      </w:r>
    </w:p>
    <w:p w14:paraId="5F2D56EC" w14:textId="77777777" w:rsidR="00E836FB" w:rsidRDefault="00994958">
      <w:pPr>
        <w:spacing w:before="60"/>
        <w:ind w:firstLine="450"/>
        <w:jc w:val="both"/>
      </w:pPr>
      <w:r>
        <w:rPr>
          <w:rFonts w:ascii="Arial" w:eastAsia="宋体" w:hAnsi="Arial" w:cs="Arial"/>
          <w:color w:val="000000"/>
          <w:sz w:val="20"/>
          <w:szCs w:val="20"/>
        </w:rPr>
        <w:t>Substantially all of our services are provided as a distinct series of daily performance obligations that the customer simultaneously benefits from as they are perf</w:t>
      </w:r>
      <w:r>
        <w:rPr>
          <w:rFonts w:ascii="Arial" w:eastAsia="宋体" w:hAnsi="Arial" w:cs="Arial"/>
          <w:color w:val="000000"/>
          <w:sz w:val="20"/>
          <w:szCs w:val="20"/>
        </w:rPr>
        <w:t>ormed. Payments may be made to third party service providers and the expense is recognized gross when we control those services as we are deemed the principal.</w:t>
      </w:r>
    </w:p>
    <w:p w14:paraId="5F2D56ED" w14:textId="77777777" w:rsidR="00E836FB" w:rsidRDefault="00994958">
      <w:pPr>
        <w:spacing w:before="60"/>
        <w:ind w:firstLine="450"/>
        <w:jc w:val="both"/>
      </w:pPr>
      <w:r>
        <w:rPr>
          <w:rFonts w:ascii="Arial" w:eastAsia="宋体" w:hAnsi="Arial" w:cs="Arial"/>
          <w:color w:val="000000"/>
          <w:sz w:val="20"/>
          <w:szCs w:val="20"/>
        </w:rPr>
        <w:t>Contract durations may vary from short to long- term or may be open ended. Termination notice pe</w:t>
      </w:r>
      <w:r>
        <w:rPr>
          <w:rFonts w:ascii="Arial" w:eastAsia="宋体" w:hAnsi="Arial" w:cs="Arial"/>
          <w:color w:val="000000"/>
          <w:sz w:val="20"/>
          <w:szCs w:val="20"/>
        </w:rPr>
        <w:t>riods are in line with general market practice and typically do not include termination penalties. Therefore, for substantially all of our revenues, the duration of the contract and the enforceable rights and obligations do not extend beyond the services t</w:t>
      </w:r>
      <w:r>
        <w:rPr>
          <w:rFonts w:ascii="Arial" w:eastAsia="宋体" w:hAnsi="Arial" w:cs="Arial"/>
          <w:color w:val="000000"/>
          <w:sz w:val="20"/>
          <w:szCs w:val="20"/>
        </w:rPr>
        <w:t>hat are performed daily or at the transaction level. In instances where we have substantive termination penalties, the duration of the contract may extend through the date of substantive termination penalties.</w:t>
      </w:r>
    </w:p>
    <w:p w14:paraId="5F2D56EE" w14:textId="77777777" w:rsidR="00E836FB" w:rsidRDefault="00994958">
      <w:pPr>
        <w:spacing w:before="60"/>
        <w:jc w:val="both"/>
      </w:pPr>
      <w:r>
        <w:rPr>
          <w:rFonts w:ascii="Arial" w:eastAsia="宋体" w:hAnsi="Arial" w:cs="Arial"/>
          <w:b/>
          <w:bCs/>
          <w:i/>
          <w:iCs/>
          <w:color w:val="000000"/>
          <w:sz w:val="20"/>
          <w:szCs w:val="20"/>
        </w:rPr>
        <w:t>Investment Servicing</w:t>
      </w:r>
    </w:p>
    <w:p w14:paraId="5F2D56EF" w14:textId="77777777" w:rsidR="00E836FB" w:rsidRDefault="00994958">
      <w:pPr>
        <w:spacing w:before="60"/>
        <w:ind w:firstLine="450"/>
        <w:jc w:val="both"/>
      </w:pPr>
      <w:r>
        <w:rPr>
          <w:rFonts w:ascii="Arial" w:eastAsia="宋体" w:hAnsi="Arial" w:cs="Arial"/>
          <w:color w:val="000000"/>
          <w:sz w:val="20"/>
          <w:szCs w:val="20"/>
        </w:rPr>
        <w:t xml:space="preserve">Revenue from </w:t>
      </w:r>
      <w:r>
        <w:rPr>
          <w:rFonts w:ascii="Arial" w:eastAsia="宋体" w:hAnsi="Arial" w:cs="Arial"/>
          <w:color w:val="000000"/>
          <w:sz w:val="20"/>
          <w:szCs w:val="20"/>
        </w:rPr>
        <w:t>contracts with customers related to servicing fees is recognized over time as our customers benefit from the custody, administration, accounting, transfer agency and other related asset services as they are performed. At contract inception, no revenue is e</w:t>
      </w:r>
      <w:r>
        <w:rPr>
          <w:rFonts w:ascii="Arial" w:eastAsia="宋体" w:hAnsi="Arial" w:cs="Arial"/>
          <w:color w:val="000000"/>
          <w:sz w:val="20"/>
          <w:szCs w:val="20"/>
        </w:rPr>
        <w:t>stimated as the fees are dependent on assets under custody and/or administration and/or actual transactions which are susceptible to market factors outside of our control. Therefore, revenue is recognized using a time-based output method as the customers b</w:t>
      </w:r>
      <w:r>
        <w:rPr>
          <w:rFonts w:ascii="Arial" w:eastAsia="宋体" w:hAnsi="Arial" w:cs="Arial"/>
          <w:color w:val="000000"/>
          <w:sz w:val="20"/>
          <w:szCs w:val="20"/>
        </w:rPr>
        <w:t>enefit from the services over time and as the assets under custody or transactions are known or determinable during each reporting period based on contractual fee schedules. Payments made to third party service providers, such as sub-custodians, are genera</w:t>
      </w:r>
      <w:r>
        <w:rPr>
          <w:rFonts w:ascii="Arial" w:eastAsia="宋体" w:hAnsi="Arial" w:cs="Arial"/>
          <w:color w:val="000000"/>
          <w:sz w:val="20"/>
          <w:szCs w:val="20"/>
        </w:rPr>
        <w:t>lly recognized gross as we control those services and are deemed to be a principal in such arrangements.</w:t>
      </w:r>
    </w:p>
    <w:p w14:paraId="5F2D56F0" w14:textId="77777777" w:rsidR="00E836FB" w:rsidRDefault="00994958">
      <w:pPr>
        <w:spacing w:before="60"/>
        <w:ind w:firstLine="450"/>
        <w:jc w:val="both"/>
      </w:pPr>
      <w:r>
        <w:rPr>
          <w:rFonts w:ascii="Arial" w:eastAsia="宋体" w:hAnsi="Arial" w:cs="Arial"/>
          <w:color w:val="000000"/>
          <w:sz w:val="20"/>
          <w:szCs w:val="20"/>
        </w:rPr>
        <w:t>Foreign exchange trading services revenue includes revenue generated from providing access and use of electronic trading platforms and other trading, t</w:t>
      </w:r>
      <w:r>
        <w:rPr>
          <w:rFonts w:ascii="Arial" w:eastAsia="宋体" w:hAnsi="Arial" w:cs="Arial"/>
          <w:color w:val="000000"/>
          <w:sz w:val="20"/>
          <w:szCs w:val="20"/>
        </w:rPr>
        <w:t xml:space="preserve">ransition management and brokerage services. Electronic FX services are dependent on the volume of actual transactions initiated through our electronic exchange platforms. </w:t>
      </w:r>
    </w:p>
    <w:p w14:paraId="5F2D56F1" w14:textId="77777777" w:rsidR="00E836FB" w:rsidRDefault="00994958">
      <w:pPr>
        <w:ind w:firstLine="450"/>
        <w:jc w:val="right"/>
      </w:pPr>
      <w:r>
        <w:rPr>
          <w:rFonts w:ascii="Arial" w:eastAsia="宋体" w:hAnsi="Arial" w:cs="Arial"/>
          <w:color w:val="000000"/>
          <w:sz w:val="18"/>
          <w:szCs w:val="18"/>
        </w:rPr>
        <w:t>State Street Corporation | 181</w:t>
      </w:r>
    </w:p>
    <w:p w14:paraId="5F2D56F2" w14:textId="77777777" w:rsidR="00E836FB" w:rsidRDefault="00E836FB">
      <w:pPr>
        <w:ind w:firstLine="450"/>
        <w:jc w:val="center"/>
      </w:pPr>
    </w:p>
    <w:p w14:paraId="5F2D56F3" w14:textId="77777777" w:rsidR="00E836FB" w:rsidRDefault="00994958">
      <w:r>
        <w:pict w14:anchorId="5F2D6E3A">
          <v:rect id="_x0000_i1205" style="width:415.3pt;height:1.5pt" o:hralign="center" o:hrstd="t" o:hr="t" fillcolor="#a0a0a0" stroked="f"/>
        </w:pict>
      </w:r>
    </w:p>
    <w:p w14:paraId="5F2D56F4" w14:textId="77777777" w:rsidR="00E836FB" w:rsidRDefault="00994958">
      <w:pPr>
        <w:ind w:firstLine="450"/>
        <w:jc w:val="center"/>
      </w:pPr>
      <w:r>
        <w:rPr>
          <w:rFonts w:ascii="Arial" w:eastAsia="宋体" w:hAnsi="Arial" w:cs="Arial"/>
          <w:b/>
          <w:bCs/>
          <w:color w:val="000000"/>
          <w:sz w:val="20"/>
          <w:szCs w:val="20"/>
        </w:rPr>
        <w:t>STATE STREET CORPORATION</w:t>
      </w:r>
    </w:p>
    <w:p w14:paraId="5F2D56F5" w14:textId="77777777" w:rsidR="00E836FB" w:rsidRDefault="00994958">
      <w:pPr>
        <w:ind w:firstLine="45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CONSOLIDATED FINANCIAL STATEMENTS</w:t>
      </w:r>
    </w:p>
    <w:p w14:paraId="5F2D56F6" w14:textId="77777777" w:rsidR="00E836FB" w:rsidRDefault="00994958">
      <w:pPr>
        <w:spacing w:before="60"/>
        <w:jc w:val="both"/>
      </w:pPr>
      <w:r>
        <w:rPr>
          <w:rFonts w:ascii="Arial" w:eastAsia="宋体" w:hAnsi="Arial" w:cs="Arial"/>
          <w:color w:val="000000"/>
          <w:sz w:val="20"/>
          <w:szCs w:val="20"/>
        </w:rPr>
        <w:t>Revenue is recognized over time using a time-based measure as access to, and use of, the electronic exchange platforms is made available to the customer and the activity is determinable. Revenue related to other trading, t</w:t>
      </w:r>
      <w:r>
        <w:rPr>
          <w:rFonts w:ascii="Arial" w:eastAsia="宋体" w:hAnsi="Arial" w:cs="Arial"/>
          <w:color w:val="000000"/>
          <w:sz w:val="20"/>
          <w:szCs w:val="20"/>
        </w:rPr>
        <w:t>ransition management and brokerage services is recognized when the customer obtains the benefit of such services which may be over time or at a point in time upon trade execution.</w:t>
      </w:r>
    </w:p>
    <w:p w14:paraId="5F2D56F7" w14:textId="77777777" w:rsidR="00E836FB" w:rsidRDefault="00994958">
      <w:pPr>
        <w:spacing w:before="60"/>
        <w:ind w:firstLine="450"/>
        <w:jc w:val="both"/>
      </w:pPr>
      <w:r>
        <w:rPr>
          <w:rFonts w:ascii="Arial" w:eastAsia="宋体" w:hAnsi="Arial" w:cs="Arial"/>
          <w:color w:val="000000"/>
          <w:sz w:val="20"/>
          <w:szCs w:val="20"/>
        </w:rPr>
        <w:t>Securities finance revenue is related to services for providing agency lendi</w:t>
      </w:r>
      <w:r>
        <w:rPr>
          <w:rFonts w:ascii="Arial" w:eastAsia="宋体" w:hAnsi="Arial" w:cs="Arial"/>
          <w:color w:val="000000"/>
          <w:sz w:val="20"/>
          <w:szCs w:val="20"/>
        </w:rPr>
        <w:t>ng programs to State Street Global Advisors managed investment funds and third- party investment managers and asset owners. This securities finance revenue is recognized over time using a time-based measure as our customers benefit from these lending servi</w:t>
      </w:r>
      <w:r>
        <w:rPr>
          <w:rFonts w:ascii="Arial" w:eastAsia="宋体" w:hAnsi="Arial" w:cs="Arial"/>
          <w:color w:val="000000"/>
          <w:sz w:val="20"/>
          <w:szCs w:val="20"/>
        </w:rPr>
        <w:t>ces over time.</w:t>
      </w:r>
    </w:p>
    <w:p w14:paraId="5F2D56F8" w14:textId="77777777" w:rsidR="00E836FB" w:rsidRDefault="00994958">
      <w:pPr>
        <w:ind w:firstLine="450"/>
        <w:jc w:val="both"/>
      </w:pPr>
      <w:r>
        <w:rPr>
          <w:rFonts w:ascii="Arial" w:eastAsia="宋体" w:hAnsi="Arial" w:cs="Arial"/>
          <w:color w:val="000000"/>
          <w:sz w:val="20"/>
          <w:szCs w:val="20"/>
        </w:rPr>
        <w:t xml:space="preserve">Revenue related to the front office solutions provided by CRD is primarily driven by the sale of licenses and software as service arrangements, including professional services such as consulting and implementation services, software support </w:t>
      </w:r>
      <w:r>
        <w:rPr>
          <w:rFonts w:ascii="Arial" w:eastAsia="宋体" w:hAnsi="Arial" w:cs="Arial"/>
          <w:color w:val="000000"/>
          <w:sz w:val="20"/>
          <w:szCs w:val="20"/>
        </w:rPr>
        <w:t xml:space="preserve">and maintenance. Revenue for a sale of software to be installed on premise is recognized at a point in time when the customer benefits from obtaining access to and use of the software license. Revenue for a SaaS related arrangement is recognized over time </w:t>
      </w:r>
      <w:r>
        <w:rPr>
          <w:rFonts w:ascii="Arial" w:eastAsia="宋体" w:hAnsi="Arial" w:cs="Arial"/>
          <w:color w:val="000000"/>
          <w:sz w:val="20"/>
          <w:szCs w:val="20"/>
        </w:rPr>
        <w:t>as services are provided.</w:t>
      </w:r>
    </w:p>
    <w:p w14:paraId="5F2D56F9" w14:textId="77777777" w:rsidR="00E836FB" w:rsidRDefault="00994958">
      <w:pPr>
        <w:spacing w:before="60"/>
        <w:jc w:val="both"/>
      </w:pPr>
      <w:r>
        <w:rPr>
          <w:rFonts w:ascii="Arial" w:eastAsia="宋体" w:hAnsi="Arial" w:cs="Arial"/>
          <w:b/>
          <w:bCs/>
          <w:i/>
          <w:iCs/>
          <w:color w:val="000000"/>
          <w:sz w:val="20"/>
          <w:szCs w:val="20"/>
        </w:rPr>
        <w:t>Investment Management</w:t>
      </w:r>
    </w:p>
    <w:p w14:paraId="5F2D56FA" w14:textId="77777777" w:rsidR="00E836FB" w:rsidRDefault="00994958">
      <w:pPr>
        <w:spacing w:before="60"/>
        <w:ind w:firstLine="450"/>
        <w:jc w:val="both"/>
      </w:pPr>
      <w:r>
        <w:rPr>
          <w:rFonts w:ascii="Arial" w:eastAsia="宋体" w:hAnsi="Arial" w:cs="Arial"/>
          <w:color w:val="000000"/>
          <w:sz w:val="20"/>
          <w:szCs w:val="20"/>
        </w:rPr>
        <w:t>Revenue from contracts with customers related to investment management, investment research and investment advisory services provided through State Street Global Advisors is recognized over time as our custom</w:t>
      </w:r>
      <w:r>
        <w:rPr>
          <w:rFonts w:ascii="Arial" w:eastAsia="宋体" w:hAnsi="Arial" w:cs="Arial"/>
          <w:color w:val="000000"/>
          <w:sz w:val="20"/>
          <w:szCs w:val="20"/>
        </w:rPr>
        <w:t>ers benefit from the services as they are performed. Substantially all of our investment management fees are determined by the value of assets under management and the investment strategies employed. At contract inception, no revenue is estimated as the fe</w:t>
      </w:r>
      <w:r>
        <w:rPr>
          <w:rFonts w:ascii="Arial" w:eastAsia="宋体" w:hAnsi="Arial" w:cs="Arial"/>
          <w:color w:val="000000"/>
          <w:sz w:val="20"/>
          <w:szCs w:val="20"/>
        </w:rPr>
        <w:t>es are dependent on assets under management which are susceptible to market factors outside of our control.</w:t>
      </w:r>
    </w:p>
    <w:p w14:paraId="5F2D56FB" w14:textId="77777777" w:rsidR="00E836FB" w:rsidRDefault="00994958">
      <w:pPr>
        <w:spacing w:before="60"/>
        <w:ind w:firstLine="450"/>
        <w:jc w:val="both"/>
      </w:pPr>
      <w:r>
        <w:rPr>
          <w:rFonts w:ascii="Arial" w:eastAsia="宋体" w:hAnsi="Arial" w:cs="Arial"/>
          <w:color w:val="000000"/>
          <w:sz w:val="20"/>
          <w:szCs w:val="20"/>
        </w:rPr>
        <w:t>Therefore, substantially all of our Investment Management services revenue is recognized using a time-based output method as the customers benefit f</w:t>
      </w:r>
      <w:r>
        <w:rPr>
          <w:rFonts w:ascii="Arial" w:eastAsia="宋体" w:hAnsi="Arial" w:cs="Arial"/>
          <w:color w:val="000000"/>
          <w:sz w:val="20"/>
          <w:szCs w:val="20"/>
        </w:rPr>
        <w:t>rom the services over time and as the assets under management are known or determinable during each reporting period based on contractual fee schedules. Payments made to third party service providers, such as payments to others in unitary fee arrangements,</w:t>
      </w:r>
      <w:r>
        <w:rPr>
          <w:rFonts w:ascii="Arial" w:eastAsia="宋体" w:hAnsi="Arial" w:cs="Arial"/>
          <w:color w:val="000000"/>
          <w:sz w:val="20"/>
          <w:szCs w:val="20"/>
        </w:rPr>
        <w:t xml:space="preserve"> are generally recognized on a gross basis when State Street Global Advisors controls those services and is deemed to be a principal in such transactions.</w:t>
      </w:r>
    </w:p>
    <w:p w14:paraId="5F2D56FC" w14:textId="77777777" w:rsidR="00E836FB" w:rsidRDefault="00994958">
      <w:pPr>
        <w:ind w:firstLine="450"/>
        <w:jc w:val="right"/>
      </w:pPr>
      <w:r>
        <w:rPr>
          <w:rFonts w:ascii="Arial" w:eastAsia="宋体" w:hAnsi="Arial" w:cs="Arial"/>
          <w:color w:val="000000"/>
          <w:sz w:val="18"/>
          <w:szCs w:val="18"/>
        </w:rPr>
        <w:t>State Street Corporation | 182</w:t>
      </w:r>
    </w:p>
    <w:p w14:paraId="5F2D56FD" w14:textId="77777777" w:rsidR="00E836FB" w:rsidRDefault="00E836FB">
      <w:pPr>
        <w:ind w:firstLine="450"/>
        <w:jc w:val="center"/>
      </w:pPr>
    </w:p>
    <w:p w14:paraId="5F2D56FE" w14:textId="77777777" w:rsidR="00E836FB" w:rsidRDefault="00994958">
      <w:r>
        <w:pict w14:anchorId="5F2D6E3B">
          <v:rect id="_x0000_i1206" style="width:415.3pt;height:1.5pt" o:hralign="center" o:hrstd="t" o:hr="t" fillcolor="#a0a0a0" stroked="f"/>
        </w:pict>
      </w:r>
    </w:p>
    <w:p w14:paraId="5F2D56FF" w14:textId="77777777" w:rsidR="00E836FB" w:rsidRDefault="00994958">
      <w:pPr>
        <w:ind w:firstLine="450"/>
        <w:jc w:val="center"/>
      </w:pPr>
      <w:r>
        <w:rPr>
          <w:rFonts w:ascii="Arial" w:eastAsia="宋体" w:hAnsi="Arial" w:cs="Arial"/>
          <w:b/>
          <w:bCs/>
          <w:color w:val="000000"/>
          <w:sz w:val="20"/>
          <w:szCs w:val="20"/>
        </w:rPr>
        <w:t>STATE STREET CORPORATION</w:t>
      </w:r>
    </w:p>
    <w:p w14:paraId="5F2D5700"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5701" w14:textId="77777777" w:rsidR="00E836FB" w:rsidRDefault="00994958">
      <w:pPr>
        <w:spacing w:before="60"/>
        <w:jc w:val="both"/>
      </w:pPr>
      <w:r>
        <w:rPr>
          <w:rFonts w:ascii="Arial" w:eastAsia="宋体" w:hAnsi="Arial" w:cs="Arial"/>
          <w:b/>
          <w:bCs/>
          <w:i/>
          <w:iCs/>
          <w:color w:val="000000"/>
          <w:sz w:val="20"/>
          <w:szCs w:val="20"/>
        </w:rPr>
        <w:t>Revenue by category</w:t>
      </w:r>
    </w:p>
    <w:p w14:paraId="5F2D5702" w14:textId="77777777" w:rsidR="00E836FB" w:rsidRDefault="00994958">
      <w:pPr>
        <w:spacing w:before="60"/>
        <w:ind w:firstLine="450"/>
        <w:jc w:val="both"/>
      </w:pPr>
      <w:r>
        <w:rPr>
          <w:rFonts w:ascii="Arial" w:eastAsia="宋体" w:hAnsi="Arial" w:cs="Arial"/>
          <w:color w:val="000000"/>
          <w:sz w:val="20"/>
          <w:szCs w:val="20"/>
        </w:rPr>
        <w:t>In the following table, revenue is disaggregated by our two lines of business and by revenue stream for which the nature, amount, timing and uncertainty of revenue and cash flows are affected by economic factors. The amounts in the "Ot</w:t>
      </w:r>
      <w:r>
        <w:rPr>
          <w:rFonts w:ascii="Arial" w:eastAsia="宋体" w:hAnsi="Arial" w:cs="Arial"/>
          <w:color w:val="000000"/>
          <w:sz w:val="20"/>
          <w:szCs w:val="20"/>
        </w:rPr>
        <w:t>her" columns were not allocated to our business lines.</w:t>
      </w:r>
    </w:p>
    <w:tbl>
      <w:tblPr>
        <w:tblW w:w="5000" w:type="pct"/>
        <w:tblCellMar>
          <w:top w:w="15" w:type="dxa"/>
          <w:left w:w="15" w:type="dxa"/>
          <w:bottom w:w="15" w:type="dxa"/>
          <w:right w:w="15" w:type="dxa"/>
        </w:tblCellMar>
        <w:tblLook w:val="04A0" w:firstRow="1" w:lastRow="0" w:firstColumn="1" w:lastColumn="0" w:noHBand="0" w:noVBand="1"/>
      </w:tblPr>
      <w:tblGrid>
        <w:gridCol w:w="41"/>
        <w:gridCol w:w="1514"/>
        <w:gridCol w:w="38"/>
        <w:gridCol w:w="99"/>
        <w:gridCol w:w="484"/>
        <w:gridCol w:w="36"/>
        <w:gridCol w:w="36"/>
        <w:gridCol w:w="36"/>
        <w:gridCol w:w="36"/>
        <w:gridCol w:w="99"/>
        <w:gridCol w:w="484"/>
        <w:gridCol w:w="36"/>
        <w:gridCol w:w="36"/>
        <w:gridCol w:w="36"/>
        <w:gridCol w:w="36"/>
        <w:gridCol w:w="98"/>
        <w:gridCol w:w="390"/>
        <w:gridCol w:w="36"/>
        <w:gridCol w:w="36"/>
        <w:gridCol w:w="36"/>
        <w:gridCol w:w="36"/>
        <w:gridCol w:w="99"/>
        <w:gridCol w:w="484"/>
        <w:gridCol w:w="36"/>
        <w:gridCol w:w="36"/>
        <w:gridCol w:w="36"/>
        <w:gridCol w:w="36"/>
        <w:gridCol w:w="99"/>
        <w:gridCol w:w="484"/>
        <w:gridCol w:w="36"/>
        <w:gridCol w:w="36"/>
        <w:gridCol w:w="36"/>
        <w:gridCol w:w="36"/>
        <w:gridCol w:w="98"/>
        <w:gridCol w:w="390"/>
        <w:gridCol w:w="36"/>
        <w:gridCol w:w="36"/>
        <w:gridCol w:w="36"/>
        <w:gridCol w:w="36"/>
        <w:gridCol w:w="99"/>
        <w:gridCol w:w="484"/>
        <w:gridCol w:w="36"/>
        <w:gridCol w:w="36"/>
        <w:gridCol w:w="36"/>
        <w:gridCol w:w="36"/>
        <w:gridCol w:w="99"/>
        <w:gridCol w:w="484"/>
        <w:gridCol w:w="36"/>
        <w:gridCol w:w="36"/>
        <w:gridCol w:w="36"/>
        <w:gridCol w:w="36"/>
        <w:gridCol w:w="98"/>
        <w:gridCol w:w="273"/>
        <w:gridCol w:w="36"/>
        <w:gridCol w:w="36"/>
        <w:gridCol w:w="36"/>
        <w:gridCol w:w="36"/>
        <w:gridCol w:w="98"/>
        <w:gridCol w:w="468"/>
        <w:gridCol w:w="36"/>
      </w:tblGrid>
      <w:tr w:rsidR="00E836FB" w14:paraId="5F2D573F" w14:textId="77777777">
        <w:tc>
          <w:tcPr>
            <w:tcW w:w="50" w:type="pct"/>
            <w:shd w:val="clear" w:color="auto" w:fill="auto"/>
            <w:vAlign w:val="bottom"/>
          </w:tcPr>
          <w:p w14:paraId="5F2D5703" w14:textId="77777777" w:rsidR="00E836FB" w:rsidRDefault="00E836FB">
            <w:pPr>
              <w:rPr>
                <w:rFonts w:ascii="宋体"/>
              </w:rPr>
            </w:pPr>
          </w:p>
        </w:tc>
        <w:tc>
          <w:tcPr>
            <w:tcW w:w="1180" w:type="pct"/>
            <w:shd w:val="clear" w:color="auto" w:fill="auto"/>
            <w:vAlign w:val="bottom"/>
          </w:tcPr>
          <w:p w14:paraId="5F2D5704" w14:textId="77777777" w:rsidR="00E836FB" w:rsidRDefault="00E836FB">
            <w:pPr>
              <w:rPr>
                <w:rFonts w:ascii="宋体"/>
              </w:rPr>
            </w:pPr>
          </w:p>
        </w:tc>
        <w:tc>
          <w:tcPr>
            <w:tcW w:w="5" w:type="pct"/>
            <w:shd w:val="clear" w:color="auto" w:fill="auto"/>
            <w:vAlign w:val="bottom"/>
          </w:tcPr>
          <w:p w14:paraId="5F2D5705" w14:textId="77777777" w:rsidR="00E836FB" w:rsidRDefault="00E836FB">
            <w:pPr>
              <w:rPr>
                <w:rFonts w:ascii="宋体"/>
              </w:rPr>
            </w:pPr>
          </w:p>
        </w:tc>
        <w:tc>
          <w:tcPr>
            <w:tcW w:w="50" w:type="pct"/>
            <w:shd w:val="clear" w:color="auto" w:fill="auto"/>
            <w:vAlign w:val="bottom"/>
          </w:tcPr>
          <w:p w14:paraId="5F2D5706" w14:textId="77777777" w:rsidR="00E836FB" w:rsidRDefault="00E836FB">
            <w:pPr>
              <w:rPr>
                <w:rFonts w:ascii="宋体"/>
              </w:rPr>
            </w:pPr>
          </w:p>
        </w:tc>
        <w:tc>
          <w:tcPr>
            <w:tcW w:w="288" w:type="pct"/>
            <w:shd w:val="clear" w:color="auto" w:fill="auto"/>
            <w:vAlign w:val="bottom"/>
          </w:tcPr>
          <w:p w14:paraId="5F2D5707" w14:textId="77777777" w:rsidR="00E836FB" w:rsidRDefault="00E836FB">
            <w:pPr>
              <w:rPr>
                <w:rFonts w:ascii="宋体"/>
              </w:rPr>
            </w:pPr>
          </w:p>
        </w:tc>
        <w:tc>
          <w:tcPr>
            <w:tcW w:w="5" w:type="pct"/>
            <w:shd w:val="clear" w:color="auto" w:fill="auto"/>
            <w:vAlign w:val="bottom"/>
          </w:tcPr>
          <w:p w14:paraId="5F2D5708" w14:textId="77777777" w:rsidR="00E836FB" w:rsidRDefault="00E836FB">
            <w:pPr>
              <w:rPr>
                <w:rFonts w:ascii="宋体"/>
              </w:rPr>
            </w:pPr>
          </w:p>
        </w:tc>
        <w:tc>
          <w:tcPr>
            <w:tcW w:w="5" w:type="pct"/>
            <w:shd w:val="clear" w:color="auto" w:fill="auto"/>
            <w:vAlign w:val="bottom"/>
          </w:tcPr>
          <w:p w14:paraId="5F2D5709" w14:textId="77777777" w:rsidR="00E836FB" w:rsidRDefault="00E836FB">
            <w:pPr>
              <w:rPr>
                <w:rFonts w:ascii="宋体"/>
              </w:rPr>
            </w:pPr>
          </w:p>
        </w:tc>
        <w:tc>
          <w:tcPr>
            <w:tcW w:w="26" w:type="pct"/>
            <w:shd w:val="clear" w:color="auto" w:fill="auto"/>
            <w:vAlign w:val="bottom"/>
          </w:tcPr>
          <w:p w14:paraId="5F2D570A" w14:textId="77777777" w:rsidR="00E836FB" w:rsidRDefault="00E836FB">
            <w:pPr>
              <w:rPr>
                <w:rFonts w:ascii="宋体"/>
              </w:rPr>
            </w:pPr>
          </w:p>
        </w:tc>
        <w:tc>
          <w:tcPr>
            <w:tcW w:w="5" w:type="pct"/>
            <w:shd w:val="clear" w:color="auto" w:fill="auto"/>
            <w:vAlign w:val="bottom"/>
          </w:tcPr>
          <w:p w14:paraId="5F2D570B" w14:textId="77777777" w:rsidR="00E836FB" w:rsidRDefault="00E836FB">
            <w:pPr>
              <w:rPr>
                <w:rFonts w:ascii="宋体"/>
              </w:rPr>
            </w:pPr>
          </w:p>
        </w:tc>
        <w:tc>
          <w:tcPr>
            <w:tcW w:w="50" w:type="pct"/>
            <w:shd w:val="clear" w:color="auto" w:fill="auto"/>
            <w:vAlign w:val="bottom"/>
          </w:tcPr>
          <w:p w14:paraId="5F2D570C" w14:textId="77777777" w:rsidR="00E836FB" w:rsidRDefault="00E836FB">
            <w:pPr>
              <w:rPr>
                <w:rFonts w:ascii="宋体"/>
              </w:rPr>
            </w:pPr>
          </w:p>
        </w:tc>
        <w:tc>
          <w:tcPr>
            <w:tcW w:w="288" w:type="pct"/>
            <w:shd w:val="clear" w:color="auto" w:fill="auto"/>
            <w:vAlign w:val="bottom"/>
          </w:tcPr>
          <w:p w14:paraId="5F2D570D" w14:textId="77777777" w:rsidR="00E836FB" w:rsidRDefault="00E836FB">
            <w:pPr>
              <w:rPr>
                <w:rFonts w:ascii="宋体"/>
              </w:rPr>
            </w:pPr>
          </w:p>
        </w:tc>
        <w:tc>
          <w:tcPr>
            <w:tcW w:w="5" w:type="pct"/>
            <w:shd w:val="clear" w:color="auto" w:fill="auto"/>
            <w:vAlign w:val="bottom"/>
          </w:tcPr>
          <w:p w14:paraId="5F2D570E" w14:textId="77777777" w:rsidR="00E836FB" w:rsidRDefault="00E836FB">
            <w:pPr>
              <w:rPr>
                <w:rFonts w:ascii="宋体"/>
              </w:rPr>
            </w:pPr>
          </w:p>
        </w:tc>
        <w:tc>
          <w:tcPr>
            <w:tcW w:w="5" w:type="pct"/>
            <w:shd w:val="clear" w:color="auto" w:fill="auto"/>
            <w:vAlign w:val="bottom"/>
          </w:tcPr>
          <w:p w14:paraId="5F2D570F" w14:textId="77777777" w:rsidR="00E836FB" w:rsidRDefault="00E836FB">
            <w:pPr>
              <w:rPr>
                <w:rFonts w:ascii="宋体"/>
              </w:rPr>
            </w:pPr>
          </w:p>
        </w:tc>
        <w:tc>
          <w:tcPr>
            <w:tcW w:w="26" w:type="pct"/>
            <w:shd w:val="clear" w:color="auto" w:fill="auto"/>
            <w:vAlign w:val="bottom"/>
          </w:tcPr>
          <w:p w14:paraId="5F2D5710" w14:textId="77777777" w:rsidR="00E836FB" w:rsidRDefault="00E836FB">
            <w:pPr>
              <w:rPr>
                <w:rFonts w:ascii="宋体"/>
              </w:rPr>
            </w:pPr>
          </w:p>
        </w:tc>
        <w:tc>
          <w:tcPr>
            <w:tcW w:w="5" w:type="pct"/>
            <w:shd w:val="clear" w:color="auto" w:fill="auto"/>
            <w:vAlign w:val="bottom"/>
          </w:tcPr>
          <w:p w14:paraId="5F2D5711" w14:textId="77777777" w:rsidR="00E836FB" w:rsidRDefault="00E836FB">
            <w:pPr>
              <w:rPr>
                <w:rFonts w:ascii="宋体"/>
              </w:rPr>
            </w:pPr>
          </w:p>
        </w:tc>
        <w:tc>
          <w:tcPr>
            <w:tcW w:w="50" w:type="pct"/>
            <w:shd w:val="clear" w:color="auto" w:fill="auto"/>
            <w:vAlign w:val="bottom"/>
          </w:tcPr>
          <w:p w14:paraId="5F2D5712" w14:textId="77777777" w:rsidR="00E836FB" w:rsidRDefault="00E836FB">
            <w:pPr>
              <w:rPr>
                <w:rFonts w:ascii="宋体"/>
              </w:rPr>
            </w:pPr>
          </w:p>
        </w:tc>
        <w:tc>
          <w:tcPr>
            <w:tcW w:w="288" w:type="pct"/>
            <w:shd w:val="clear" w:color="auto" w:fill="auto"/>
            <w:vAlign w:val="bottom"/>
          </w:tcPr>
          <w:p w14:paraId="5F2D5713" w14:textId="77777777" w:rsidR="00E836FB" w:rsidRDefault="00E836FB">
            <w:pPr>
              <w:rPr>
                <w:rFonts w:ascii="宋体"/>
              </w:rPr>
            </w:pPr>
          </w:p>
        </w:tc>
        <w:tc>
          <w:tcPr>
            <w:tcW w:w="5" w:type="pct"/>
            <w:shd w:val="clear" w:color="auto" w:fill="auto"/>
            <w:vAlign w:val="bottom"/>
          </w:tcPr>
          <w:p w14:paraId="5F2D5714" w14:textId="77777777" w:rsidR="00E836FB" w:rsidRDefault="00E836FB">
            <w:pPr>
              <w:rPr>
                <w:rFonts w:ascii="宋体"/>
              </w:rPr>
            </w:pPr>
          </w:p>
        </w:tc>
        <w:tc>
          <w:tcPr>
            <w:tcW w:w="5" w:type="pct"/>
            <w:shd w:val="clear" w:color="auto" w:fill="auto"/>
            <w:vAlign w:val="bottom"/>
          </w:tcPr>
          <w:p w14:paraId="5F2D5715" w14:textId="77777777" w:rsidR="00E836FB" w:rsidRDefault="00E836FB">
            <w:pPr>
              <w:rPr>
                <w:rFonts w:ascii="宋体"/>
              </w:rPr>
            </w:pPr>
          </w:p>
        </w:tc>
        <w:tc>
          <w:tcPr>
            <w:tcW w:w="26" w:type="pct"/>
            <w:shd w:val="clear" w:color="auto" w:fill="auto"/>
            <w:vAlign w:val="bottom"/>
          </w:tcPr>
          <w:p w14:paraId="5F2D5716" w14:textId="77777777" w:rsidR="00E836FB" w:rsidRDefault="00E836FB">
            <w:pPr>
              <w:rPr>
                <w:rFonts w:ascii="宋体"/>
              </w:rPr>
            </w:pPr>
          </w:p>
        </w:tc>
        <w:tc>
          <w:tcPr>
            <w:tcW w:w="5" w:type="pct"/>
            <w:shd w:val="clear" w:color="auto" w:fill="auto"/>
            <w:vAlign w:val="bottom"/>
          </w:tcPr>
          <w:p w14:paraId="5F2D5717" w14:textId="77777777" w:rsidR="00E836FB" w:rsidRDefault="00E836FB">
            <w:pPr>
              <w:rPr>
                <w:rFonts w:ascii="宋体"/>
              </w:rPr>
            </w:pPr>
          </w:p>
        </w:tc>
        <w:tc>
          <w:tcPr>
            <w:tcW w:w="50" w:type="pct"/>
            <w:shd w:val="clear" w:color="auto" w:fill="auto"/>
            <w:vAlign w:val="bottom"/>
          </w:tcPr>
          <w:p w14:paraId="5F2D5718" w14:textId="77777777" w:rsidR="00E836FB" w:rsidRDefault="00E836FB">
            <w:pPr>
              <w:rPr>
                <w:rFonts w:ascii="宋体"/>
              </w:rPr>
            </w:pPr>
          </w:p>
        </w:tc>
        <w:tc>
          <w:tcPr>
            <w:tcW w:w="288" w:type="pct"/>
            <w:shd w:val="clear" w:color="auto" w:fill="auto"/>
            <w:vAlign w:val="bottom"/>
          </w:tcPr>
          <w:p w14:paraId="5F2D5719" w14:textId="77777777" w:rsidR="00E836FB" w:rsidRDefault="00E836FB">
            <w:pPr>
              <w:rPr>
                <w:rFonts w:ascii="宋体"/>
              </w:rPr>
            </w:pPr>
          </w:p>
        </w:tc>
        <w:tc>
          <w:tcPr>
            <w:tcW w:w="5" w:type="pct"/>
            <w:shd w:val="clear" w:color="auto" w:fill="auto"/>
            <w:vAlign w:val="bottom"/>
          </w:tcPr>
          <w:p w14:paraId="5F2D571A" w14:textId="77777777" w:rsidR="00E836FB" w:rsidRDefault="00E836FB">
            <w:pPr>
              <w:rPr>
                <w:rFonts w:ascii="宋体"/>
              </w:rPr>
            </w:pPr>
          </w:p>
        </w:tc>
        <w:tc>
          <w:tcPr>
            <w:tcW w:w="5" w:type="pct"/>
            <w:shd w:val="clear" w:color="auto" w:fill="auto"/>
            <w:vAlign w:val="bottom"/>
          </w:tcPr>
          <w:p w14:paraId="5F2D571B" w14:textId="77777777" w:rsidR="00E836FB" w:rsidRDefault="00E836FB">
            <w:pPr>
              <w:rPr>
                <w:rFonts w:ascii="宋体"/>
              </w:rPr>
            </w:pPr>
          </w:p>
        </w:tc>
        <w:tc>
          <w:tcPr>
            <w:tcW w:w="26" w:type="pct"/>
            <w:shd w:val="clear" w:color="auto" w:fill="auto"/>
            <w:vAlign w:val="bottom"/>
          </w:tcPr>
          <w:p w14:paraId="5F2D571C" w14:textId="77777777" w:rsidR="00E836FB" w:rsidRDefault="00E836FB">
            <w:pPr>
              <w:rPr>
                <w:rFonts w:ascii="宋体"/>
              </w:rPr>
            </w:pPr>
          </w:p>
        </w:tc>
        <w:tc>
          <w:tcPr>
            <w:tcW w:w="5" w:type="pct"/>
            <w:shd w:val="clear" w:color="auto" w:fill="auto"/>
            <w:vAlign w:val="bottom"/>
          </w:tcPr>
          <w:p w14:paraId="5F2D571D" w14:textId="77777777" w:rsidR="00E836FB" w:rsidRDefault="00E836FB">
            <w:pPr>
              <w:rPr>
                <w:rFonts w:ascii="宋体"/>
              </w:rPr>
            </w:pPr>
          </w:p>
        </w:tc>
        <w:tc>
          <w:tcPr>
            <w:tcW w:w="50" w:type="pct"/>
            <w:shd w:val="clear" w:color="auto" w:fill="auto"/>
            <w:vAlign w:val="bottom"/>
          </w:tcPr>
          <w:p w14:paraId="5F2D571E" w14:textId="77777777" w:rsidR="00E836FB" w:rsidRDefault="00E836FB">
            <w:pPr>
              <w:rPr>
                <w:rFonts w:ascii="宋体"/>
              </w:rPr>
            </w:pPr>
          </w:p>
        </w:tc>
        <w:tc>
          <w:tcPr>
            <w:tcW w:w="288" w:type="pct"/>
            <w:shd w:val="clear" w:color="auto" w:fill="auto"/>
            <w:vAlign w:val="bottom"/>
          </w:tcPr>
          <w:p w14:paraId="5F2D571F" w14:textId="77777777" w:rsidR="00E836FB" w:rsidRDefault="00E836FB">
            <w:pPr>
              <w:rPr>
                <w:rFonts w:ascii="宋体"/>
              </w:rPr>
            </w:pPr>
          </w:p>
        </w:tc>
        <w:tc>
          <w:tcPr>
            <w:tcW w:w="5" w:type="pct"/>
            <w:shd w:val="clear" w:color="auto" w:fill="auto"/>
            <w:vAlign w:val="bottom"/>
          </w:tcPr>
          <w:p w14:paraId="5F2D5720" w14:textId="77777777" w:rsidR="00E836FB" w:rsidRDefault="00E836FB">
            <w:pPr>
              <w:rPr>
                <w:rFonts w:ascii="宋体"/>
              </w:rPr>
            </w:pPr>
          </w:p>
        </w:tc>
        <w:tc>
          <w:tcPr>
            <w:tcW w:w="5" w:type="pct"/>
            <w:shd w:val="clear" w:color="auto" w:fill="auto"/>
            <w:vAlign w:val="bottom"/>
          </w:tcPr>
          <w:p w14:paraId="5F2D5721" w14:textId="77777777" w:rsidR="00E836FB" w:rsidRDefault="00E836FB">
            <w:pPr>
              <w:rPr>
                <w:rFonts w:ascii="宋体"/>
              </w:rPr>
            </w:pPr>
          </w:p>
        </w:tc>
        <w:tc>
          <w:tcPr>
            <w:tcW w:w="26" w:type="pct"/>
            <w:shd w:val="clear" w:color="auto" w:fill="auto"/>
            <w:vAlign w:val="bottom"/>
          </w:tcPr>
          <w:p w14:paraId="5F2D5722" w14:textId="77777777" w:rsidR="00E836FB" w:rsidRDefault="00E836FB">
            <w:pPr>
              <w:rPr>
                <w:rFonts w:ascii="宋体"/>
              </w:rPr>
            </w:pPr>
          </w:p>
        </w:tc>
        <w:tc>
          <w:tcPr>
            <w:tcW w:w="5" w:type="pct"/>
            <w:shd w:val="clear" w:color="auto" w:fill="auto"/>
            <w:vAlign w:val="bottom"/>
          </w:tcPr>
          <w:p w14:paraId="5F2D5723" w14:textId="77777777" w:rsidR="00E836FB" w:rsidRDefault="00E836FB">
            <w:pPr>
              <w:rPr>
                <w:rFonts w:ascii="宋体"/>
              </w:rPr>
            </w:pPr>
          </w:p>
        </w:tc>
        <w:tc>
          <w:tcPr>
            <w:tcW w:w="50" w:type="pct"/>
            <w:shd w:val="clear" w:color="auto" w:fill="auto"/>
            <w:vAlign w:val="bottom"/>
          </w:tcPr>
          <w:p w14:paraId="5F2D5724" w14:textId="77777777" w:rsidR="00E836FB" w:rsidRDefault="00E836FB">
            <w:pPr>
              <w:rPr>
                <w:rFonts w:ascii="宋体"/>
              </w:rPr>
            </w:pPr>
          </w:p>
        </w:tc>
        <w:tc>
          <w:tcPr>
            <w:tcW w:w="288" w:type="pct"/>
            <w:shd w:val="clear" w:color="auto" w:fill="auto"/>
            <w:vAlign w:val="bottom"/>
          </w:tcPr>
          <w:p w14:paraId="5F2D5725" w14:textId="77777777" w:rsidR="00E836FB" w:rsidRDefault="00E836FB">
            <w:pPr>
              <w:rPr>
                <w:rFonts w:ascii="宋体"/>
              </w:rPr>
            </w:pPr>
          </w:p>
        </w:tc>
        <w:tc>
          <w:tcPr>
            <w:tcW w:w="5" w:type="pct"/>
            <w:shd w:val="clear" w:color="auto" w:fill="auto"/>
            <w:vAlign w:val="bottom"/>
          </w:tcPr>
          <w:p w14:paraId="5F2D5726" w14:textId="77777777" w:rsidR="00E836FB" w:rsidRDefault="00E836FB">
            <w:pPr>
              <w:rPr>
                <w:rFonts w:ascii="宋体"/>
              </w:rPr>
            </w:pPr>
          </w:p>
        </w:tc>
        <w:tc>
          <w:tcPr>
            <w:tcW w:w="5" w:type="pct"/>
            <w:shd w:val="clear" w:color="auto" w:fill="auto"/>
            <w:vAlign w:val="bottom"/>
          </w:tcPr>
          <w:p w14:paraId="5F2D5727" w14:textId="77777777" w:rsidR="00E836FB" w:rsidRDefault="00E836FB">
            <w:pPr>
              <w:rPr>
                <w:rFonts w:ascii="宋体"/>
              </w:rPr>
            </w:pPr>
          </w:p>
        </w:tc>
        <w:tc>
          <w:tcPr>
            <w:tcW w:w="26" w:type="pct"/>
            <w:shd w:val="clear" w:color="auto" w:fill="auto"/>
            <w:vAlign w:val="bottom"/>
          </w:tcPr>
          <w:p w14:paraId="5F2D5728" w14:textId="77777777" w:rsidR="00E836FB" w:rsidRDefault="00E836FB">
            <w:pPr>
              <w:rPr>
                <w:rFonts w:ascii="宋体"/>
              </w:rPr>
            </w:pPr>
          </w:p>
        </w:tc>
        <w:tc>
          <w:tcPr>
            <w:tcW w:w="5" w:type="pct"/>
            <w:shd w:val="clear" w:color="auto" w:fill="auto"/>
            <w:vAlign w:val="bottom"/>
          </w:tcPr>
          <w:p w14:paraId="5F2D5729" w14:textId="77777777" w:rsidR="00E836FB" w:rsidRDefault="00E836FB">
            <w:pPr>
              <w:rPr>
                <w:rFonts w:ascii="宋体"/>
              </w:rPr>
            </w:pPr>
          </w:p>
        </w:tc>
        <w:tc>
          <w:tcPr>
            <w:tcW w:w="50" w:type="pct"/>
            <w:shd w:val="clear" w:color="auto" w:fill="auto"/>
            <w:vAlign w:val="bottom"/>
          </w:tcPr>
          <w:p w14:paraId="5F2D572A" w14:textId="77777777" w:rsidR="00E836FB" w:rsidRDefault="00E836FB">
            <w:pPr>
              <w:rPr>
                <w:rFonts w:ascii="宋体"/>
              </w:rPr>
            </w:pPr>
          </w:p>
        </w:tc>
        <w:tc>
          <w:tcPr>
            <w:tcW w:w="288" w:type="pct"/>
            <w:shd w:val="clear" w:color="auto" w:fill="auto"/>
            <w:vAlign w:val="bottom"/>
          </w:tcPr>
          <w:p w14:paraId="5F2D572B" w14:textId="77777777" w:rsidR="00E836FB" w:rsidRDefault="00E836FB">
            <w:pPr>
              <w:rPr>
                <w:rFonts w:ascii="宋体"/>
              </w:rPr>
            </w:pPr>
          </w:p>
        </w:tc>
        <w:tc>
          <w:tcPr>
            <w:tcW w:w="5" w:type="pct"/>
            <w:shd w:val="clear" w:color="auto" w:fill="auto"/>
            <w:vAlign w:val="bottom"/>
          </w:tcPr>
          <w:p w14:paraId="5F2D572C" w14:textId="77777777" w:rsidR="00E836FB" w:rsidRDefault="00E836FB">
            <w:pPr>
              <w:rPr>
                <w:rFonts w:ascii="宋体"/>
              </w:rPr>
            </w:pPr>
          </w:p>
        </w:tc>
        <w:tc>
          <w:tcPr>
            <w:tcW w:w="5" w:type="pct"/>
            <w:shd w:val="clear" w:color="auto" w:fill="auto"/>
            <w:vAlign w:val="bottom"/>
          </w:tcPr>
          <w:p w14:paraId="5F2D572D" w14:textId="77777777" w:rsidR="00E836FB" w:rsidRDefault="00E836FB">
            <w:pPr>
              <w:rPr>
                <w:rFonts w:ascii="宋体"/>
              </w:rPr>
            </w:pPr>
          </w:p>
        </w:tc>
        <w:tc>
          <w:tcPr>
            <w:tcW w:w="26" w:type="pct"/>
            <w:shd w:val="clear" w:color="auto" w:fill="auto"/>
            <w:vAlign w:val="bottom"/>
          </w:tcPr>
          <w:p w14:paraId="5F2D572E" w14:textId="77777777" w:rsidR="00E836FB" w:rsidRDefault="00E836FB">
            <w:pPr>
              <w:rPr>
                <w:rFonts w:ascii="宋体"/>
              </w:rPr>
            </w:pPr>
          </w:p>
        </w:tc>
        <w:tc>
          <w:tcPr>
            <w:tcW w:w="5" w:type="pct"/>
            <w:shd w:val="clear" w:color="auto" w:fill="auto"/>
            <w:vAlign w:val="bottom"/>
          </w:tcPr>
          <w:p w14:paraId="5F2D572F" w14:textId="77777777" w:rsidR="00E836FB" w:rsidRDefault="00E836FB">
            <w:pPr>
              <w:rPr>
                <w:rFonts w:ascii="宋体"/>
              </w:rPr>
            </w:pPr>
          </w:p>
        </w:tc>
        <w:tc>
          <w:tcPr>
            <w:tcW w:w="50" w:type="pct"/>
            <w:shd w:val="clear" w:color="auto" w:fill="auto"/>
            <w:vAlign w:val="bottom"/>
          </w:tcPr>
          <w:p w14:paraId="5F2D5730" w14:textId="77777777" w:rsidR="00E836FB" w:rsidRDefault="00E836FB">
            <w:pPr>
              <w:rPr>
                <w:rFonts w:ascii="宋体"/>
              </w:rPr>
            </w:pPr>
          </w:p>
        </w:tc>
        <w:tc>
          <w:tcPr>
            <w:tcW w:w="288" w:type="pct"/>
            <w:shd w:val="clear" w:color="auto" w:fill="auto"/>
            <w:vAlign w:val="bottom"/>
          </w:tcPr>
          <w:p w14:paraId="5F2D5731" w14:textId="77777777" w:rsidR="00E836FB" w:rsidRDefault="00E836FB">
            <w:pPr>
              <w:rPr>
                <w:rFonts w:ascii="宋体"/>
              </w:rPr>
            </w:pPr>
          </w:p>
        </w:tc>
        <w:tc>
          <w:tcPr>
            <w:tcW w:w="5" w:type="pct"/>
            <w:shd w:val="clear" w:color="auto" w:fill="auto"/>
            <w:vAlign w:val="bottom"/>
          </w:tcPr>
          <w:p w14:paraId="5F2D5732" w14:textId="77777777" w:rsidR="00E836FB" w:rsidRDefault="00E836FB">
            <w:pPr>
              <w:rPr>
                <w:rFonts w:ascii="宋体"/>
              </w:rPr>
            </w:pPr>
          </w:p>
        </w:tc>
        <w:tc>
          <w:tcPr>
            <w:tcW w:w="5" w:type="pct"/>
            <w:shd w:val="clear" w:color="auto" w:fill="auto"/>
            <w:vAlign w:val="bottom"/>
          </w:tcPr>
          <w:p w14:paraId="5F2D5733" w14:textId="77777777" w:rsidR="00E836FB" w:rsidRDefault="00E836FB">
            <w:pPr>
              <w:rPr>
                <w:rFonts w:ascii="宋体"/>
              </w:rPr>
            </w:pPr>
          </w:p>
        </w:tc>
        <w:tc>
          <w:tcPr>
            <w:tcW w:w="26" w:type="pct"/>
            <w:shd w:val="clear" w:color="auto" w:fill="auto"/>
            <w:vAlign w:val="bottom"/>
          </w:tcPr>
          <w:p w14:paraId="5F2D5734" w14:textId="77777777" w:rsidR="00E836FB" w:rsidRDefault="00E836FB">
            <w:pPr>
              <w:rPr>
                <w:rFonts w:ascii="宋体"/>
              </w:rPr>
            </w:pPr>
          </w:p>
        </w:tc>
        <w:tc>
          <w:tcPr>
            <w:tcW w:w="5" w:type="pct"/>
            <w:shd w:val="clear" w:color="auto" w:fill="auto"/>
            <w:vAlign w:val="bottom"/>
          </w:tcPr>
          <w:p w14:paraId="5F2D5735" w14:textId="77777777" w:rsidR="00E836FB" w:rsidRDefault="00E836FB">
            <w:pPr>
              <w:rPr>
                <w:rFonts w:ascii="宋体"/>
              </w:rPr>
            </w:pPr>
          </w:p>
        </w:tc>
        <w:tc>
          <w:tcPr>
            <w:tcW w:w="50" w:type="pct"/>
            <w:shd w:val="clear" w:color="auto" w:fill="auto"/>
            <w:vAlign w:val="bottom"/>
          </w:tcPr>
          <w:p w14:paraId="5F2D5736" w14:textId="77777777" w:rsidR="00E836FB" w:rsidRDefault="00E836FB">
            <w:pPr>
              <w:rPr>
                <w:rFonts w:ascii="宋体"/>
              </w:rPr>
            </w:pPr>
          </w:p>
        </w:tc>
        <w:tc>
          <w:tcPr>
            <w:tcW w:w="288" w:type="pct"/>
            <w:shd w:val="clear" w:color="auto" w:fill="auto"/>
            <w:vAlign w:val="bottom"/>
          </w:tcPr>
          <w:p w14:paraId="5F2D5737" w14:textId="77777777" w:rsidR="00E836FB" w:rsidRDefault="00E836FB">
            <w:pPr>
              <w:rPr>
                <w:rFonts w:ascii="宋体"/>
              </w:rPr>
            </w:pPr>
          </w:p>
        </w:tc>
        <w:tc>
          <w:tcPr>
            <w:tcW w:w="5" w:type="pct"/>
            <w:shd w:val="clear" w:color="auto" w:fill="auto"/>
            <w:vAlign w:val="bottom"/>
          </w:tcPr>
          <w:p w14:paraId="5F2D5738" w14:textId="77777777" w:rsidR="00E836FB" w:rsidRDefault="00E836FB">
            <w:pPr>
              <w:rPr>
                <w:rFonts w:ascii="宋体"/>
              </w:rPr>
            </w:pPr>
          </w:p>
        </w:tc>
        <w:tc>
          <w:tcPr>
            <w:tcW w:w="5" w:type="pct"/>
            <w:shd w:val="clear" w:color="auto" w:fill="auto"/>
            <w:vAlign w:val="bottom"/>
          </w:tcPr>
          <w:p w14:paraId="5F2D5739" w14:textId="77777777" w:rsidR="00E836FB" w:rsidRDefault="00E836FB">
            <w:pPr>
              <w:rPr>
                <w:rFonts w:ascii="宋体"/>
              </w:rPr>
            </w:pPr>
          </w:p>
        </w:tc>
        <w:tc>
          <w:tcPr>
            <w:tcW w:w="26" w:type="pct"/>
            <w:shd w:val="clear" w:color="auto" w:fill="auto"/>
            <w:vAlign w:val="bottom"/>
          </w:tcPr>
          <w:p w14:paraId="5F2D573A" w14:textId="77777777" w:rsidR="00E836FB" w:rsidRDefault="00E836FB">
            <w:pPr>
              <w:rPr>
                <w:rFonts w:ascii="宋体"/>
              </w:rPr>
            </w:pPr>
          </w:p>
        </w:tc>
        <w:tc>
          <w:tcPr>
            <w:tcW w:w="5" w:type="pct"/>
            <w:shd w:val="clear" w:color="auto" w:fill="auto"/>
            <w:vAlign w:val="bottom"/>
          </w:tcPr>
          <w:p w14:paraId="5F2D573B" w14:textId="77777777" w:rsidR="00E836FB" w:rsidRDefault="00E836FB">
            <w:pPr>
              <w:rPr>
                <w:rFonts w:ascii="宋体"/>
              </w:rPr>
            </w:pPr>
          </w:p>
        </w:tc>
        <w:tc>
          <w:tcPr>
            <w:tcW w:w="50" w:type="pct"/>
            <w:shd w:val="clear" w:color="auto" w:fill="auto"/>
            <w:vAlign w:val="bottom"/>
          </w:tcPr>
          <w:p w14:paraId="5F2D573C" w14:textId="77777777" w:rsidR="00E836FB" w:rsidRDefault="00E836FB">
            <w:pPr>
              <w:rPr>
                <w:rFonts w:ascii="宋体"/>
              </w:rPr>
            </w:pPr>
          </w:p>
        </w:tc>
        <w:tc>
          <w:tcPr>
            <w:tcW w:w="289" w:type="pct"/>
            <w:shd w:val="clear" w:color="auto" w:fill="auto"/>
            <w:vAlign w:val="bottom"/>
          </w:tcPr>
          <w:p w14:paraId="5F2D573D" w14:textId="77777777" w:rsidR="00E836FB" w:rsidRDefault="00E836FB">
            <w:pPr>
              <w:rPr>
                <w:rFonts w:ascii="宋体"/>
              </w:rPr>
            </w:pPr>
          </w:p>
        </w:tc>
        <w:tc>
          <w:tcPr>
            <w:tcW w:w="5" w:type="pct"/>
            <w:shd w:val="clear" w:color="auto" w:fill="auto"/>
            <w:vAlign w:val="bottom"/>
          </w:tcPr>
          <w:p w14:paraId="5F2D573E" w14:textId="77777777" w:rsidR="00E836FB" w:rsidRDefault="00E836FB">
            <w:pPr>
              <w:rPr>
                <w:rFonts w:ascii="宋体"/>
              </w:rPr>
            </w:pPr>
          </w:p>
        </w:tc>
      </w:tr>
      <w:tr w:rsidR="00E836FB" w14:paraId="5F2D5742" w14:textId="77777777">
        <w:tc>
          <w:tcPr>
            <w:tcW w:w="0" w:type="auto"/>
            <w:gridSpan w:val="3"/>
            <w:shd w:val="clear" w:color="auto" w:fill="auto"/>
            <w:tcMar>
              <w:top w:w="0" w:type="dxa"/>
              <w:left w:w="20" w:type="dxa"/>
              <w:bottom w:w="0" w:type="dxa"/>
              <w:right w:w="20" w:type="dxa"/>
            </w:tcMar>
            <w:vAlign w:val="bottom"/>
          </w:tcPr>
          <w:p w14:paraId="5F2D5740" w14:textId="77777777" w:rsidR="00E836FB" w:rsidRDefault="00E836FB">
            <w:pPr>
              <w:rPr>
                <w:rFonts w:ascii="宋体"/>
              </w:rPr>
            </w:pPr>
          </w:p>
        </w:tc>
        <w:tc>
          <w:tcPr>
            <w:tcW w:w="0" w:type="auto"/>
            <w:gridSpan w:val="57"/>
            <w:shd w:val="clear" w:color="auto" w:fill="auto"/>
            <w:tcMar>
              <w:top w:w="40" w:type="dxa"/>
              <w:left w:w="20" w:type="dxa"/>
              <w:bottom w:w="40" w:type="dxa"/>
              <w:right w:w="20" w:type="dxa"/>
            </w:tcMar>
            <w:vAlign w:val="bottom"/>
          </w:tcPr>
          <w:p w14:paraId="5F2D5741" w14:textId="77777777" w:rsidR="00E836FB" w:rsidRDefault="00994958">
            <w:pPr>
              <w:jc w:val="center"/>
              <w:textAlignment w:val="bottom"/>
            </w:pPr>
            <w:r>
              <w:rPr>
                <w:rFonts w:ascii="Arial" w:eastAsia="宋体" w:hAnsi="Arial" w:cs="Arial"/>
                <w:b/>
                <w:bCs/>
                <w:color w:val="000000"/>
                <w:sz w:val="14"/>
                <w:szCs w:val="14"/>
              </w:rPr>
              <w:t>Year Ended December 31, 2021</w:t>
            </w:r>
          </w:p>
        </w:tc>
      </w:tr>
      <w:tr w:rsidR="00E836FB" w14:paraId="5F2D574B" w14:textId="77777777">
        <w:tc>
          <w:tcPr>
            <w:tcW w:w="0" w:type="auto"/>
            <w:gridSpan w:val="3"/>
            <w:shd w:val="clear" w:color="auto" w:fill="auto"/>
            <w:tcMar>
              <w:top w:w="0" w:type="dxa"/>
              <w:left w:w="20" w:type="dxa"/>
              <w:bottom w:w="0" w:type="dxa"/>
              <w:right w:w="20" w:type="dxa"/>
            </w:tcMar>
            <w:vAlign w:val="bottom"/>
          </w:tcPr>
          <w:p w14:paraId="5F2D5743"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744" w14:textId="77777777" w:rsidR="00E836FB" w:rsidRDefault="00994958">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45"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746" w14:textId="77777777" w:rsidR="00E836FB" w:rsidRDefault="00994958">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47"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748" w14:textId="77777777" w:rsidR="00E836FB" w:rsidRDefault="00994958">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4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4A"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5760" w14:textId="77777777">
        <w:tc>
          <w:tcPr>
            <w:tcW w:w="0" w:type="auto"/>
            <w:gridSpan w:val="3"/>
            <w:shd w:val="clear" w:color="auto" w:fill="auto"/>
            <w:tcMar>
              <w:top w:w="40" w:type="dxa"/>
              <w:left w:w="20" w:type="dxa"/>
              <w:bottom w:w="40" w:type="dxa"/>
              <w:right w:w="20" w:type="dxa"/>
            </w:tcMar>
            <w:vAlign w:val="bottom"/>
          </w:tcPr>
          <w:p w14:paraId="5F2D574C" w14:textId="77777777" w:rsidR="00E836FB" w:rsidRDefault="00994958">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4D" w14:textId="77777777" w:rsidR="00E836FB" w:rsidRDefault="00994958">
            <w:pPr>
              <w:jc w:val="center"/>
              <w:textAlignment w:val="bottom"/>
            </w:pPr>
            <w:r>
              <w:rPr>
                <w:rFonts w:ascii="Arial" w:eastAsia="宋体" w:hAnsi="Arial" w:cs="Arial"/>
                <w:b/>
                <w:bCs/>
                <w:color w:val="000000"/>
                <w:sz w:val="14"/>
                <w:szCs w:val="14"/>
              </w:rPr>
              <w:t xml:space="preserve">Topic 606 </w:t>
            </w:r>
            <w:r>
              <w:rPr>
                <w:rFonts w:ascii="Arial" w:eastAsia="宋体" w:hAnsi="Arial" w:cs="Arial"/>
                <w:b/>
                <w:bCs/>
                <w:color w:val="000000"/>
                <w:sz w:val="14"/>
                <w:szCs w:val="14"/>
              </w:rPr>
              <w:t>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4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4F"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5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1"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D575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3" w14:textId="77777777" w:rsidR="00E836FB" w:rsidRDefault="00994958">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5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5"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5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7"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D575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9" w14:textId="77777777" w:rsidR="00E836FB" w:rsidRDefault="00994958">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5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B"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75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D"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D575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75F" w14:textId="77777777" w:rsidR="00E836FB" w:rsidRDefault="00994958">
            <w:pPr>
              <w:jc w:val="center"/>
              <w:textAlignment w:val="bottom"/>
            </w:pPr>
            <w:r>
              <w:rPr>
                <w:rFonts w:ascii="Arial" w:eastAsia="宋体" w:hAnsi="Arial" w:cs="Arial"/>
                <w:b/>
                <w:bCs/>
                <w:color w:val="000000"/>
                <w:sz w:val="14"/>
                <w:szCs w:val="14"/>
              </w:rPr>
              <w:t>2021</w:t>
            </w:r>
          </w:p>
        </w:tc>
      </w:tr>
      <w:tr w:rsidR="00994958" w14:paraId="5F2D5789" w14:textId="77777777">
        <w:tc>
          <w:tcPr>
            <w:tcW w:w="0" w:type="auto"/>
            <w:gridSpan w:val="3"/>
            <w:shd w:val="clear" w:color="auto" w:fill="CCEEFF"/>
            <w:tcMar>
              <w:top w:w="40" w:type="dxa"/>
              <w:left w:w="155" w:type="dxa"/>
              <w:bottom w:w="40" w:type="dxa"/>
              <w:right w:w="20" w:type="dxa"/>
            </w:tcMar>
            <w:vAlign w:val="bottom"/>
          </w:tcPr>
          <w:p w14:paraId="5F2D5761" w14:textId="77777777" w:rsidR="00E836FB" w:rsidRDefault="00994958">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76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63" w14:textId="77777777" w:rsidR="00E836FB" w:rsidRDefault="00994958">
            <w:pPr>
              <w:jc w:val="right"/>
              <w:textAlignment w:val="bottom"/>
            </w:pPr>
            <w:r>
              <w:rPr>
                <w:rFonts w:ascii="Arial" w:eastAsia="宋体" w:hAnsi="Arial" w:cs="Arial"/>
                <w:b/>
                <w:bCs/>
                <w:color w:val="000000"/>
                <w:sz w:val="14"/>
                <w:szCs w:val="14"/>
              </w:rPr>
              <w:t>5,549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6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6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6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6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6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6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6B" w14:textId="77777777" w:rsidR="00E836FB" w:rsidRDefault="00994958">
            <w:pPr>
              <w:jc w:val="right"/>
              <w:textAlignment w:val="bottom"/>
            </w:pPr>
            <w:r>
              <w:rPr>
                <w:rFonts w:ascii="Arial" w:eastAsia="宋体" w:hAnsi="Arial" w:cs="Arial"/>
                <w:b/>
                <w:bCs/>
                <w:color w:val="000000"/>
                <w:sz w:val="14"/>
                <w:szCs w:val="14"/>
              </w:rPr>
              <w:t>5,549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6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6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6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6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7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7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7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7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7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7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7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7A"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7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7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7E"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7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8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82"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8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8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786"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787" w14:textId="77777777" w:rsidR="00E836FB" w:rsidRDefault="00994958">
            <w:pPr>
              <w:jc w:val="right"/>
              <w:textAlignment w:val="bottom"/>
            </w:pPr>
            <w:r>
              <w:rPr>
                <w:rFonts w:ascii="Arial" w:eastAsia="宋体" w:hAnsi="Arial" w:cs="Arial"/>
                <w:b/>
                <w:bCs/>
                <w:color w:val="000000"/>
                <w:sz w:val="14"/>
                <w:szCs w:val="14"/>
              </w:rPr>
              <w:t>5,549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788" w14:textId="77777777" w:rsidR="00E836FB" w:rsidRDefault="00E836FB">
            <w:pPr>
              <w:jc w:val="right"/>
              <w:rPr>
                <w:rFonts w:ascii="宋体"/>
              </w:rPr>
            </w:pPr>
          </w:p>
        </w:tc>
      </w:tr>
      <w:tr w:rsidR="00E836FB" w14:paraId="5F2D57A8" w14:textId="77777777">
        <w:tc>
          <w:tcPr>
            <w:tcW w:w="0" w:type="auto"/>
            <w:gridSpan w:val="3"/>
            <w:shd w:val="clear" w:color="auto" w:fill="FFFFFF"/>
            <w:tcMar>
              <w:top w:w="40" w:type="dxa"/>
              <w:left w:w="155" w:type="dxa"/>
              <w:bottom w:w="40" w:type="dxa"/>
              <w:right w:w="20" w:type="dxa"/>
            </w:tcMar>
            <w:vAlign w:val="bottom"/>
          </w:tcPr>
          <w:p w14:paraId="5F2D578A" w14:textId="77777777" w:rsidR="00E836FB" w:rsidRDefault="00994958">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F2D578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8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8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8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9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9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9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9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94" w14:textId="77777777" w:rsidR="00E836FB" w:rsidRDefault="00994958">
            <w:pPr>
              <w:jc w:val="right"/>
              <w:textAlignment w:val="bottom"/>
            </w:pPr>
            <w:r>
              <w:rPr>
                <w:rFonts w:ascii="Arial" w:eastAsia="宋体" w:hAnsi="Arial" w:cs="Arial"/>
                <w:b/>
                <w:bCs/>
                <w:color w:val="000000"/>
                <w:sz w:val="14"/>
                <w:szCs w:val="14"/>
              </w:rPr>
              <w:t>2,053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9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9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9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9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9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9A" w14:textId="77777777" w:rsidR="00E836FB" w:rsidRDefault="00994958">
            <w:pPr>
              <w:jc w:val="right"/>
              <w:textAlignment w:val="bottom"/>
            </w:pPr>
            <w:r>
              <w:rPr>
                <w:rFonts w:ascii="Arial" w:eastAsia="宋体" w:hAnsi="Arial" w:cs="Arial"/>
                <w:b/>
                <w:bCs/>
                <w:color w:val="000000"/>
                <w:sz w:val="14"/>
                <w:szCs w:val="14"/>
              </w:rPr>
              <w:t>2,053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9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9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9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A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A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A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A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A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A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A6" w14:textId="77777777" w:rsidR="00E836FB" w:rsidRDefault="00994958">
            <w:pPr>
              <w:jc w:val="right"/>
              <w:textAlignment w:val="bottom"/>
            </w:pPr>
            <w:r>
              <w:rPr>
                <w:rFonts w:ascii="Arial" w:eastAsia="宋体" w:hAnsi="Arial" w:cs="Arial"/>
                <w:b/>
                <w:bCs/>
                <w:color w:val="000000"/>
                <w:sz w:val="14"/>
                <w:szCs w:val="14"/>
              </w:rPr>
              <w:t>2,053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A7" w14:textId="77777777" w:rsidR="00E836FB" w:rsidRDefault="00E836FB">
            <w:pPr>
              <w:jc w:val="right"/>
              <w:rPr>
                <w:rFonts w:ascii="宋体"/>
              </w:rPr>
            </w:pPr>
          </w:p>
        </w:tc>
      </w:tr>
      <w:tr w:rsidR="00E836FB" w14:paraId="5F2D57C7" w14:textId="77777777">
        <w:tc>
          <w:tcPr>
            <w:tcW w:w="0" w:type="auto"/>
            <w:gridSpan w:val="3"/>
            <w:shd w:val="clear" w:color="auto" w:fill="CCEEFF"/>
            <w:tcMar>
              <w:top w:w="40" w:type="dxa"/>
              <w:left w:w="155" w:type="dxa"/>
              <w:bottom w:w="40" w:type="dxa"/>
              <w:right w:w="20" w:type="dxa"/>
            </w:tcMar>
            <w:vAlign w:val="bottom"/>
          </w:tcPr>
          <w:p w14:paraId="5F2D57A9" w14:textId="77777777" w:rsidR="00E836FB" w:rsidRDefault="00994958">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F2D57AA" w14:textId="77777777" w:rsidR="00E836FB" w:rsidRDefault="00994958">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A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AD" w14:textId="77777777" w:rsidR="00E836FB" w:rsidRDefault="00994958">
            <w:pPr>
              <w:jc w:val="right"/>
              <w:textAlignment w:val="bottom"/>
            </w:pPr>
            <w:r>
              <w:rPr>
                <w:rFonts w:ascii="Arial" w:eastAsia="宋体" w:hAnsi="Arial" w:cs="Arial"/>
                <w:b/>
                <w:bCs/>
                <w:color w:val="000000"/>
                <w:sz w:val="14"/>
                <w:szCs w:val="14"/>
              </w:rPr>
              <w:t>807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A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A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B0" w14:textId="77777777" w:rsidR="00E836FB" w:rsidRDefault="00994958">
            <w:pPr>
              <w:jc w:val="right"/>
              <w:textAlignment w:val="bottom"/>
            </w:pPr>
            <w:r>
              <w:rPr>
                <w:rFonts w:ascii="Arial" w:eastAsia="宋体" w:hAnsi="Arial" w:cs="Arial"/>
                <w:b/>
                <w:bCs/>
                <w:color w:val="000000"/>
                <w:sz w:val="14"/>
                <w:szCs w:val="14"/>
              </w:rPr>
              <w:t>1,149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B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B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B3" w14:textId="77777777" w:rsidR="00E836FB" w:rsidRDefault="00994958">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B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B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B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B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B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B9" w14:textId="77777777" w:rsidR="00E836FB" w:rsidRDefault="00994958">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B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BC"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B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B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B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C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C5" w14:textId="77777777" w:rsidR="00E836FB" w:rsidRDefault="00994958">
            <w:pPr>
              <w:jc w:val="right"/>
              <w:textAlignment w:val="bottom"/>
            </w:pPr>
            <w:r>
              <w:rPr>
                <w:rFonts w:ascii="Arial" w:eastAsia="宋体" w:hAnsi="Arial" w:cs="Arial"/>
                <w:b/>
                <w:bCs/>
                <w:color w:val="000000"/>
                <w:sz w:val="14"/>
                <w:szCs w:val="14"/>
              </w:rPr>
              <w:t>1,211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C6" w14:textId="77777777" w:rsidR="00E836FB" w:rsidRDefault="00E836FB">
            <w:pPr>
              <w:jc w:val="right"/>
              <w:rPr>
                <w:rFonts w:ascii="宋体"/>
              </w:rPr>
            </w:pPr>
          </w:p>
        </w:tc>
      </w:tr>
      <w:tr w:rsidR="00E836FB" w14:paraId="5F2D57E6" w14:textId="77777777">
        <w:tc>
          <w:tcPr>
            <w:tcW w:w="0" w:type="auto"/>
            <w:gridSpan w:val="3"/>
            <w:shd w:val="clear" w:color="auto" w:fill="FFFFFF"/>
            <w:tcMar>
              <w:top w:w="40" w:type="dxa"/>
              <w:left w:w="155" w:type="dxa"/>
              <w:bottom w:w="40" w:type="dxa"/>
              <w:right w:w="20" w:type="dxa"/>
            </w:tcMar>
            <w:vAlign w:val="bottom"/>
          </w:tcPr>
          <w:p w14:paraId="5F2D57C8" w14:textId="77777777" w:rsidR="00E836FB" w:rsidRDefault="00994958">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F2D57C9" w14:textId="77777777" w:rsidR="00E836FB" w:rsidRDefault="00994958">
            <w:pPr>
              <w:jc w:val="right"/>
              <w:textAlignment w:val="bottom"/>
            </w:pPr>
            <w:r>
              <w:rPr>
                <w:rFonts w:ascii="Arial" w:eastAsia="宋体" w:hAnsi="Arial" w:cs="Arial"/>
                <w:b/>
                <w:bCs/>
                <w:color w:val="000000"/>
                <w:sz w:val="14"/>
                <w:szCs w:val="14"/>
              </w:rPr>
              <w:t>235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C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C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CC" w14:textId="77777777" w:rsidR="00E836FB" w:rsidRDefault="00994958">
            <w:pPr>
              <w:jc w:val="right"/>
              <w:textAlignment w:val="bottom"/>
            </w:pPr>
            <w:r>
              <w:rPr>
                <w:rFonts w:ascii="Arial" w:eastAsia="宋体" w:hAnsi="Arial" w:cs="Arial"/>
                <w:b/>
                <w:bCs/>
                <w:color w:val="000000"/>
                <w:sz w:val="14"/>
                <w:szCs w:val="14"/>
              </w:rPr>
              <w:t>167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C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C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CF" w14:textId="77777777" w:rsidR="00E836FB" w:rsidRDefault="00994958">
            <w:pPr>
              <w:jc w:val="right"/>
              <w:textAlignment w:val="bottom"/>
            </w:pPr>
            <w:r>
              <w:rPr>
                <w:rFonts w:ascii="Arial" w:eastAsia="宋体" w:hAnsi="Arial" w:cs="Arial"/>
                <w:b/>
                <w:bCs/>
                <w:color w:val="000000"/>
                <w:sz w:val="14"/>
                <w:szCs w:val="14"/>
              </w:rPr>
              <w:t>402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D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D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D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D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D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D5" w14:textId="77777777" w:rsidR="00E836FB" w:rsidRDefault="00994958">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D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D8" w14:textId="77777777" w:rsidR="00E836FB" w:rsidRDefault="00994958">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D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D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D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D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D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E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7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7E4" w14:textId="77777777" w:rsidR="00E836FB" w:rsidRDefault="00994958">
            <w:pPr>
              <w:jc w:val="right"/>
              <w:textAlignment w:val="bottom"/>
            </w:pPr>
            <w:r>
              <w:rPr>
                <w:rFonts w:ascii="Arial" w:eastAsia="宋体" w:hAnsi="Arial" w:cs="Arial"/>
                <w:b/>
                <w:bCs/>
                <w:color w:val="000000"/>
                <w:sz w:val="14"/>
                <w:szCs w:val="14"/>
              </w:rPr>
              <w:t>416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7E5" w14:textId="77777777" w:rsidR="00E836FB" w:rsidRDefault="00E836FB">
            <w:pPr>
              <w:jc w:val="right"/>
              <w:rPr>
                <w:rFonts w:ascii="宋体"/>
              </w:rPr>
            </w:pPr>
          </w:p>
        </w:tc>
      </w:tr>
      <w:tr w:rsidR="00E836FB" w14:paraId="5F2D5805" w14:textId="77777777">
        <w:tc>
          <w:tcPr>
            <w:tcW w:w="0" w:type="auto"/>
            <w:gridSpan w:val="3"/>
            <w:shd w:val="clear" w:color="auto" w:fill="CCEEFF"/>
            <w:tcMar>
              <w:top w:w="40" w:type="dxa"/>
              <w:left w:w="155" w:type="dxa"/>
              <w:bottom w:w="40" w:type="dxa"/>
              <w:right w:w="20" w:type="dxa"/>
            </w:tcMar>
            <w:vAlign w:val="bottom"/>
          </w:tcPr>
          <w:p w14:paraId="5F2D57E7" w14:textId="77777777" w:rsidR="00E836FB" w:rsidRDefault="00994958">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5F2D57E8" w14:textId="77777777" w:rsidR="00E836FB" w:rsidRDefault="00994958">
            <w:pPr>
              <w:jc w:val="right"/>
              <w:textAlignment w:val="bottom"/>
            </w:pPr>
            <w:r>
              <w:rPr>
                <w:rFonts w:ascii="Arial" w:eastAsia="宋体" w:hAnsi="Arial" w:cs="Arial"/>
                <w:b/>
                <w:bCs/>
                <w:color w:val="000000"/>
                <w:sz w:val="14"/>
                <w:szCs w:val="14"/>
              </w:rPr>
              <w:t>519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E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E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EB" w14:textId="77777777" w:rsidR="00E836FB" w:rsidRDefault="00994958">
            <w:pPr>
              <w:jc w:val="right"/>
              <w:textAlignment w:val="bottom"/>
            </w:pPr>
            <w:r>
              <w:rPr>
                <w:rFonts w:ascii="Arial" w:eastAsia="宋体" w:hAnsi="Arial" w:cs="Arial"/>
                <w:b/>
                <w:bCs/>
                <w:color w:val="000000"/>
                <w:sz w:val="14"/>
                <w:szCs w:val="14"/>
              </w:rPr>
              <w:t>260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EE" w14:textId="77777777" w:rsidR="00E836FB" w:rsidRDefault="00994958">
            <w:pPr>
              <w:jc w:val="right"/>
              <w:textAlignment w:val="bottom"/>
            </w:pPr>
            <w:r>
              <w:rPr>
                <w:rFonts w:ascii="Arial" w:eastAsia="宋体" w:hAnsi="Arial" w:cs="Arial"/>
                <w:b/>
                <w:bCs/>
                <w:color w:val="000000"/>
                <w:sz w:val="14"/>
                <w:szCs w:val="14"/>
              </w:rPr>
              <w:t>779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F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F4"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F7"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FA"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F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7F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7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7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0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0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0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03" w14:textId="77777777" w:rsidR="00E836FB" w:rsidRDefault="00994958">
            <w:pPr>
              <w:jc w:val="right"/>
              <w:textAlignment w:val="bottom"/>
            </w:pPr>
            <w:r>
              <w:rPr>
                <w:rFonts w:ascii="Arial" w:eastAsia="宋体" w:hAnsi="Arial" w:cs="Arial"/>
                <w:b/>
                <w:bCs/>
                <w:color w:val="000000"/>
                <w:sz w:val="14"/>
                <w:szCs w:val="14"/>
              </w:rPr>
              <w:t>783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04" w14:textId="77777777" w:rsidR="00E836FB" w:rsidRDefault="00E836FB">
            <w:pPr>
              <w:jc w:val="right"/>
              <w:rPr>
                <w:rFonts w:ascii="宋体"/>
              </w:rPr>
            </w:pPr>
          </w:p>
        </w:tc>
      </w:tr>
      <w:tr w:rsidR="00E836FB" w14:paraId="5F2D5824" w14:textId="77777777">
        <w:tc>
          <w:tcPr>
            <w:tcW w:w="0" w:type="auto"/>
            <w:gridSpan w:val="3"/>
            <w:shd w:val="clear" w:color="auto" w:fill="FFFFFF"/>
            <w:tcMar>
              <w:top w:w="40" w:type="dxa"/>
              <w:left w:w="20" w:type="dxa"/>
              <w:bottom w:w="40" w:type="dxa"/>
              <w:right w:w="20" w:type="dxa"/>
            </w:tcMar>
            <w:vAlign w:val="bottom"/>
          </w:tcPr>
          <w:p w14:paraId="5F2D5806" w14:textId="77777777" w:rsidR="00E836FB" w:rsidRDefault="00994958">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07" w14:textId="77777777" w:rsidR="00E836FB" w:rsidRDefault="00994958">
            <w:pPr>
              <w:jc w:val="right"/>
              <w:textAlignment w:val="bottom"/>
            </w:pPr>
            <w:r>
              <w:rPr>
                <w:rFonts w:ascii="Arial" w:eastAsia="宋体" w:hAnsi="Arial" w:cs="Arial"/>
                <w:b/>
                <w:bCs/>
                <w:color w:val="000000"/>
                <w:sz w:val="14"/>
                <w:szCs w:val="14"/>
              </w:rPr>
              <w:t>6,645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0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0A" w14:textId="77777777" w:rsidR="00E836FB" w:rsidRDefault="00994958">
            <w:pPr>
              <w:jc w:val="right"/>
              <w:textAlignment w:val="bottom"/>
            </w:pPr>
            <w:r>
              <w:rPr>
                <w:rFonts w:ascii="Arial" w:eastAsia="宋体" w:hAnsi="Arial" w:cs="Arial"/>
                <w:b/>
                <w:bCs/>
                <w:color w:val="000000"/>
                <w:sz w:val="14"/>
                <w:szCs w:val="14"/>
              </w:rPr>
              <w:t>1,234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0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0D" w14:textId="77777777" w:rsidR="00E836FB" w:rsidRDefault="00994958">
            <w:pPr>
              <w:jc w:val="right"/>
              <w:textAlignment w:val="bottom"/>
            </w:pPr>
            <w:r>
              <w:rPr>
                <w:rFonts w:ascii="Arial" w:eastAsia="宋体" w:hAnsi="Arial" w:cs="Arial"/>
                <w:b/>
                <w:bCs/>
                <w:color w:val="000000"/>
                <w:sz w:val="14"/>
                <w:szCs w:val="14"/>
              </w:rPr>
              <w:t>7,879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0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0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10" w14:textId="77777777" w:rsidR="00E836FB" w:rsidRDefault="00994958">
            <w:pPr>
              <w:jc w:val="right"/>
              <w:textAlignment w:val="bottom"/>
            </w:pPr>
            <w:r>
              <w:rPr>
                <w:rFonts w:ascii="Arial" w:eastAsia="宋体" w:hAnsi="Arial" w:cs="Arial"/>
                <w:b/>
                <w:bCs/>
                <w:color w:val="000000"/>
                <w:sz w:val="14"/>
                <w:szCs w:val="14"/>
              </w:rPr>
              <w:t>2,115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1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1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13" w14:textId="77777777" w:rsidR="00E836FB" w:rsidRDefault="00994958">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1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1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16" w14:textId="77777777" w:rsidR="00E836FB" w:rsidRDefault="00994958">
            <w:pPr>
              <w:jc w:val="right"/>
              <w:textAlignment w:val="bottom"/>
            </w:pPr>
            <w:r>
              <w:rPr>
                <w:rFonts w:ascii="Arial" w:eastAsia="宋体" w:hAnsi="Arial" w:cs="Arial"/>
                <w:b/>
                <w:bCs/>
                <w:color w:val="000000"/>
                <w:sz w:val="14"/>
                <w:szCs w:val="14"/>
              </w:rPr>
              <w:t>2,133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1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1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1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1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1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1C"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1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1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2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822" w14:textId="77777777" w:rsidR="00E836FB" w:rsidRDefault="00994958">
            <w:pPr>
              <w:jc w:val="right"/>
              <w:textAlignment w:val="bottom"/>
            </w:pPr>
            <w:r>
              <w:rPr>
                <w:rFonts w:ascii="Arial" w:eastAsia="宋体" w:hAnsi="Arial" w:cs="Arial"/>
                <w:b/>
                <w:bCs/>
                <w:color w:val="000000"/>
                <w:sz w:val="14"/>
                <w:szCs w:val="14"/>
              </w:rPr>
              <w:t>10,012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823" w14:textId="77777777" w:rsidR="00E836FB" w:rsidRDefault="00E836FB">
            <w:pPr>
              <w:jc w:val="right"/>
              <w:rPr>
                <w:rFonts w:ascii="宋体"/>
              </w:rPr>
            </w:pPr>
          </w:p>
        </w:tc>
      </w:tr>
      <w:tr w:rsidR="00E836FB" w14:paraId="5F2D5843" w14:textId="77777777">
        <w:tc>
          <w:tcPr>
            <w:tcW w:w="0" w:type="auto"/>
            <w:gridSpan w:val="3"/>
            <w:shd w:val="clear" w:color="auto" w:fill="CCEEFF"/>
            <w:tcMar>
              <w:top w:w="40" w:type="dxa"/>
              <w:left w:w="155" w:type="dxa"/>
              <w:bottom w:w="40" w:type="dxa"/>
              <w:right w:w="20" w:type="dxa"/>
            </w:tcMar>
            <w:vAlign w:val="bottom"/>
          </w:tcPr>
          <w:p w14:paraId="5F2D5825"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5F2D582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2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2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29" w14:textId="77777777" w:rsidR="00E836FB" w:rsidRDefault="00994958">
            <w:pPr>
              <w:jc w:val="right"/>
              <w:textAlignment w:val="bottom"/>
            </w:pPr>
            <w:r>
              <w:rPr>
                <w:rFonts w:ascii="Arial" w:eastAsia="宋体" w:hAnsi="Arial" w:cs="Arial"/>
                <w:b/>
                <w:bCs/>
                <w:color w:val="000000"/>
                <w:sz w:val="14"/>
                <w:szCs w:val="14"/>
              </w:rPr>
              <w:t>1,919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2C" w14:textId="77777777" w:rsidR="00E836FB" w:rsidRDefault="00994958">
            <w:pPr>
              <w:jc w:val="right"/>
              <w:textAlignment w:val="bottom"/>
            </w:pPr>
            <w:r>
              <w:rPr>
                <w:rFonts w:ascii="Arial" w:eastAsia="宋体" w:hAnsi="Arial" w:cs="Arial"/>
                <w:b/>
                <w:bCs/>
                <w:color w:val="000000"/>
                <w:sz w:val="14"/>
                <w:szCs w:val="14"/>
              </w:rPr>
              <w:t>1,919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2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2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2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3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3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32" w14:textId="77777777" w:rsidR="00E836FB" w:rsidRDefault="00994958">
            <w:pPr>
              <w:jc w:val="right"/>
              <w:textAlignment w:val="bottom"/>
            </w:pPr>
            <w:r>
              <w:rPr>
                <w:rFonts w:ascii="Arial" w:eastAsia="宋体" w:hAnsi="Arial" w:cs="Arial"/>
                <w:b/>
                <w:bCs/>
                <w:color w:val="000000"/>
                <w:sz w:val="14"/>
                <w:szCs w:val="14"/>
              </w:rPr>
              <w:t>(14)</w:t>
            </w:r>
          </w:p>
        </w:tc>
        <w:tc>
          <w:tcPr>
            <w:tcW w:w="0" w:type="auto"/>
            <w:shd w:val="clear" w:color="auto" w:fill="CCEEFF"/>
            <w:tcMar>
              <w:top w:w="40" w:type="dxa"/>
              <w:left w:w="0" w:type="dxa"/>
              <w:bottom w:w="40" w:type="dxa"/>
              <w:right w:w="20" w:type="dxa"/>
            </w:tcMar>
            <w:vAlign w:val="bottom"/>
          </w:tcPr>
          <w:p w14:paraId="5F2D583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3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35" w14:textId="77777777" w:rsidR="00E836FB" w:rsidRDefault="00994958">
            <w:pPr>
              <w:jc w:val="right"/>
              <w:textAlignment w:val="bottom"/>
            </w:pPr>
            <w:r>
              <w:rPr>
                <w:rFonts w:ascii="Arial" w:eastAsia="宋体" w:hAnsi="Arial" w:cs="Arial"/>
                <w:b/>
                <w:bCs/>
                <w:color w:val="000000"/>
                <w:sz w:val="14"/>
                <w:szCs w:val="14"/>
              </w:rPr>
              <w:t>(14)</w:t>
            </w:r>
          </w:p>
        </w:tc>
        <w:tc>
          <w:tcPr>
            <w:tcW w:w="0" w:type="auto"/>
            <w:shd w:val="clear" w:color="auto" w:fill="CCEEFF"/>
            <w:tcMar>
              <w:top w:w="40" w:type="dxa"/>
              <w:left w:w="0" w:type="dxa"/>
              <w:bottom w:w="40" w:type="dxa"/>
              <w:right w:w="20" w:type="dxa"/>
            </w:tcMar>
            <w:vAlign w:val="bottom"/>
          </w:tcPr>
          <w:p w14:paraId="5F2D58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3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38"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3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3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3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3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3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841" w14:textId="77777777" w:rsidR="00E836FB" w:rsidRDefault="00994958">
            <w:pPr>
              <w:jc w:val="right"/>
              <w:textAlignment w:val="bottom"/>
            </w:pPr>
            <w:r>
              <w:rPr>
                <w:rFonts w:ascii="Arial" w:eastAsia="宋体" w:hAnsi="Arial" w:cs="Arial"/>
                <w:b/>
                <w:bCs/>
                <w:color w:val="000000"/>
                <w:sz w:val="14"/>
                <w:szCs w:val="14"/>
              </w:rPr>
              <w:t>1,905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842" w14:textId="77777777" w:rsidR="00E836FB" w:rsidRDefault="00E836FB">
            <w:pPr>
              <w:jc w:val="right"/>
              <w:rPr>
                <w:rFonts w:ascii="宋体"/>
              </w:rPr>
            </w:pPr>
          </w:p>
        </w:tc>
      </w:tr>
      <w:tr w:rsidR="00E836FB" w14:paraId="5F2D5862" w14:textId="77777777">
        <w:tc>
          <w:tcPr>
            <w:tcW w:w="0" w:type="auto"/>
            <w:gridSpan w:val="3"/>
            <w:shd w:val="clear" w:color="auto" w:fill="FFFFFF"/>
            <w:tcMar>
              <w:top w:w="40" w:type="dxa"/>
              <w:left w:w="155" w:type="dxa"/>
              <w:bottom w:w="40" w:type="dxa"/>
              <w:right w:w="20" w:type="dxa"/>
            </w:tcMar>
            <w:vAlign w:val="bottom"/>
          </w:tcPr>
          <w:p w14:paraId="5F2D5844" w14:textId="77777777" w:rsidR="00E836FB" w:rsidRDefault="00994958">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5F2D5845"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4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4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48"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D584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4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4B"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D584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4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4E"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4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5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51"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5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5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54"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5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5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57"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5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5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5A" w14:textId="77777777" w:rsidR="00E836FB" w:rsidRDefault="00994958">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5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5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5D" w14:textId="77777777" w:rsidR="00E836FB" w:rsidRDefault="00994958">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5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5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60" w14:textId="77777777" w:rsidR="00E836FB" w:rsidRDefault="00994958">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61" w14:textId="77777777" w:rsidR="00E836FB" w:rsidRDefault="00E836FB">
            <w:pPr>
              <w:jc w:val="right"/>
              <w:rPr>
                <w:rFonts w:ascii="宋体"/>
              </w:rPr>
            </w:pPr>
          </w:p>
        </w:tc>
      </w:tr>
      <w:tr w:rsidR="00994958" w14:paraId="5F2D588B" w14:textId="77777777">
        <w:tc>
          <w:tcPr>
            <w:tcW w:w="0" w:type="auto"/>
            <w:gridSpan w:val="3"/>
            <w:shd w:val="clear" w:color="auto" w:fill="CCEEFF"/>
            <w:tcMar>
              <w:top w:w="40" w:type="dxa"/>
              <w:left w:w="20" w:type="dxa"/>
              <w:bottom w:w="40" w:type="dxa"/>
              <w:right w:w="20" w:type="dxa"/>
            </w:tcMar>
            <w:vAlign w:val="bottom"/>
          </w:tcPr>
          <w:p w14:paraId="5F2D5863" w14:textId="77777777" w:rsidR="00E836FB" w:rsidRDefault="00994958">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86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65" w14:textId="77777777" w:rsidR="00E836FB" w:rsidRDefault="00994958">
            <w:pPr>
              <w:jc w:val="right"/>
              <w:textAlignment w:val="bottom"/>
            </w:pPr>
            <w:r>
              <w:rPr>
                <w:rFonts w:ascii="Arial" w:eastAsia="宋体" w:hAnsi="Arial" w:cs="Arial"/>
                <w:b/>
                <w:bCs/>
                <w:color w:val="000000"/>
                <w:sz w:val="14"/>
                <w:szCs w:val="14"/>
              </w:rPr>
              <w:t>6,645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6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6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6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69" w14:textId="77777777" w:rsidR="00E836FB" w:rsidRDefault="00994958">
            <w:pPr>
              <w:jc w:val="right"/>
              <w:textAlignment w:val="bottom"/>
            </w:pPr>
            <w:r>
              <w:rPr>
                <w:rFonts w:ascii="Arial" w:eastAsia="宋体" w:hAnsi="Arial" w:cs="Arial"/>
                <w:b/>
                <w:bCs/>
                <w:color w:val="000000"/>
                <w:sz w:val="14"/>
                <w:szCs w:val="14"/>
              </w:rPr>
              <w:t>3,152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6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6C"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6D" w14:textId="77777777" w:rsidR="00E836FB" w:rsidRDefault="00994958">
            <w:pPr>
              <w:jc w:val="right"/>
              <w:textAlignment w:val="bottom"/>
            </w:pPr>
            <w:r>
              <w:rPr>
                <w:rFonts w:ascii="Arial" w:eastAsia="宋体" w:hAnsi="Arial" w:cs="Arial"/>
                <w:b/>
                <w:bCs/>
                <w:color w:val="000000"/>
                <w:sz w:val="14"/>
                <w:szCs w:val="14"/>
              </w:rPr>
              <w:t>9,797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6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7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71" w14:textId="77777777" w:rsidR="00E836FB" w:rsidRDefault="00994958">
            <w:pPr>
              <w:jc w:val="right"/>
              <w:textAlignment w:val="bottom"/>
            </w:pPr>
            <w:r>
              <w:rPr>
                <w:rFonts w:ascii="Arial" w:eastAsia="宋体" w:hAnsi="Arial" w:cs="Arial"/>
                <w:b/>
                <w:bCs/>
                <w:color w:val="000000"/>
                <w:sz w:val="14"/>
                <w:szCs w:val="14"/>
              </w:rPr>
              <w:t>2,115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7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7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75"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7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7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7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79" w14:textId="77777777" w:rsidR="00E836FB" w:rsidRDefault="00994958">
            <w:pPr>
              <w:jc w:val="right"/>
              <w:textAlignment w:val="bottom"/>
            </w:pPr>
            <w:r>
              <w:rPr>
                <w:rFonts w:ascii="Arial" w:eastAsia="宋体" w:hAnsi="Arial" w:cs="Arial"/>
                <w:b/>
                <w:bCs/>
                <w:color w:val="000000"/>
                <w:sz w:val="14"/>
                <w:szCs w:val="14"/>
              </w:rPr>
              <w:t>2,119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7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7B"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7C"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7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7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80"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81" w14:textId="77777777" w:rsidR="00E836FB" w:rsidRDefault="00994958">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8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8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85" w14:textId="77777777" w:rsidR="00E836FB" w:rsidRDefault="00994958">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8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8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89" w14:textId="77777777" w:rsidR="00E836FB" w:rsidRDefault="00994958">
            <w:pPr>
              <w:jc w:val="right"/>
              <w:textAlignment w:val="bottom"/>
            </w:pPr>
            <w:r>
              <w:rPr>
                <w:rFonts w:ascii="Arial" w:eastAsia="宋体" w:hAnsi="Arial" w:cs="Arial"/>
                <w:b/>
                <w:bCs/>
                <w:color w:val="000000"/>
                <w:sz w:val="14"/>
                <w:szCs w:val="14"/>
              </w:rPr>
              <w:t>12,027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8A" w14:textId="77777777" w:rsidR="00E836FB" w:rsidRDefault="00E836FB">
            <w:pPr>
              <w:jc w:val="right"/>
              <w:rPr>
                <w:rFonts w:ascii="宋体"/>
              </w:rPr>
            </w:pPr>
          </w:p>
        </w:tc>
      </w:tr>
      <w:tr w:rsidR="00E836FB" w14:paraId="5F2D58A0" w14:textId="77777777">
        <w:trPr>
          <w:trHeight w:val="180"/>
        </w:trPr>
        <w:tc>
          <w:tcPr>
            <w:tcW w:w="0" w:type="auto"/>
            <w:gridSpan w:val="3"/>
            <w:shd w:val="clear" w:color="auto" w:fill="auto"/>
            <w:tcMar>
              <w:top w:w="0" w:type="dxa"/>
              <w:left w:w="20" w:type="dxa"/>
              <w:bottom w:w="0" w:type="dxa"/>
              <w:right w:w="20" w:type="dxa"/>
            </w:tcMar>
            <w:vAlign w:val="bottom"/>
          </w:tcPr>
          <w:p w14:paraId="5F2D588C"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8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8E"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8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0"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2"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4"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6"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8"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A"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C"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89E" w14:textId="77777777" w:rsidR="00E836FB" w:rsidRDefault="00E83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F2D589F" w14:textId="77777777" w:rsidR="00E836FB" w:rsidRDefault="00E836FB">
            <w:pPr>
              <w:rPr>
                <w:rFonts w:ascii="宋体"/>
              </w:rPr>
            </w:pPr>
          </w:p>
        </w:tc>
      </w:tr>
      <w:tr w:rsidR="00E836FB" w14:paraId="5F2D58A3" w14:textId="77777777">
        <w:tc>
          <w:tcPr>
            <w:tcW w:w="0" w:type="auto"/>
            <w:gridSpan w:val="3"/>
            <w:shd w:val="clear" w:color="auto" w:fill="auto"/>
            <w:tcMar>
              <w:top w:w="0" w:type="dxa"/>
              <w:left w:w="20" w:type="dxa"/>
              <w:bottom w:w="0" w:type="dxa"/>
              <w:right w:w="20" w:type="dxa"/>
            </w:tcMar>
            <w:vAlign w:val="bottom"/>
          </w:tcPr>
          <w:p w14:paraId="5F2D58A1" w14:textId="77777777" w:rsidR="00E836FB" w:rsidRDefault="00E836FB">
            <w:pPr>
              <w:rPr>
                <w:rFonts w:ascii="宋体"/>
              </w:rPr>
            </w:pPr>
          </w:p>
        </w:tc>
        <w:tc>
          <w:tcPr>
            <w:tcW w:w="0" w:type="auto"/>
            <w:gridSpan w:val="57"/>
            <w:shd w:val="clear" w:color="auto" w:fill="auto"/>
            <w:tcMar>
              <w:top w:w="40" w:type="dxa"/>
              <w:left w:w="20" w:type="dxa"/>
              <w:bottom w:w="40" w:type="dxa"/>
              <w:right w:w="20" w:type="dxa"/>
            </w:tcMar>
            <w:vAlign w:val="bottom"/>
          </w:tcPr>
          <w:p w14:paraId="5F2D58A2" w14:textId="77777777" w:rsidR="00E836FB" w:rsidRDefault="00994958">
            <w:pPr>
              <w:jc w:val="center"/>
              <w:textAlignment w:val="bottom"/>
            </w:pPr>
            <w:r>
              <w:rPr>
                <w:rFonts w:ascii="Arial" w:eastAsia="宋体" w:hAnsi="Arial" w:cs="Arial"/>
                <w:b/>
                <w:bCs/>
                <w:color w:val="000000"/>
                <w:sz w:val="14"/>
                <w:szCs w:val="14"/>
              </w:rPr>
              <w:t>Year Ended December 31, 2020</w:t>
            </w:r>
          </w:p>
        </w:tc>
      </w:tr>
      <w:tr w:rsidR="00E836FB" w14:paraId="5F2D58AC" w14:textId="77777777">
        <w:tc>
          <w:tcPr>
            <w:tcW w:w="0" w:type="auto"/>
            <w:gridSpan w:val="3"/>
            <w:shd w:val="clear" w:color="auto" w:fill="auto"/>
            <w:tcMar>
              <w:top w:w="0" w:type="dxa"/>
              <w:left w:w="20" w:type="dxa"/>
              <w:bottom w:w="0" w:type="dxa"/>
              <w:right w:w="20" w:type="dxa"/>
            </w:tcMar>
            <w:vAlign w:val="bottom"/>
          </w:tcPr>
          <w:p w14:paraId="5F2D58A4"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8A5" w14:textId="77777777" w:rsidR="00E836FB" w:rsidRDefault="00994958">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A6"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8A7" w14:textId="77777777" w:rsidR="00E836FB" w:rsidRDefault="00994958">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A8"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8A9" w14:textId="77777777" w:rsidR="00E836FB" w:rsidRDefault="00994958">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A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AB"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58C1" w14:textId="77777777">
        <w:tc>
          <w:tcPr>
            <w:tcW w:w="0" w:type="auto"/>
            <w:gridSpan w:val="3"/>
            <w:shd w:val="clear" w:color="auto" w:fill="auto"/>
            <w:tcMar>
              <w:top w:w="40" w:type="dxa"/>
              <w:left w:w="20" w:type="dxa"/>
              <w:bottom w:w="40" w:type="dxa"/>
              <w:right w:w="20" w:type="dxa"/>
            </w:tcMar>
            <w:vAlign w:val="bottom"/>
          </w:tcPr>
          <w:p w14:paraId="5F2D58AD" w14:textId="77777777" w:rsidR="00E836FB" w:rsidRDefault="00994958">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AE" w14:textId="77777777" w:rsidR="00E836FB" w:rsidRDefault="00994958">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A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0"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B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2"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D58B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4" w14:textId="77777777" w:rsidR="00E836FB" w:rsidRDefault="00994958">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B5"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6"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B7"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8"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D58B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A" w14:textId="77777777" w:rsidR="00E836FB" w:rsidRDefault="00994958">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B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C" w14:textId="77777777" w:rsidR="00E836FB" w:rsidRDefault="00994958">
            <w:pPr>
              <w:jc w:val="center"/>
              <w:textAlignment w:val="bottom"/>
            </w:pPr>
            <w:r>
              <w:rPr>
                <w:rFonts w:ascii="Arial" w:eastAsia="宋体" w:hAnsi="Arial" w:cs="Arial"/>
                <w:b/>
                <w:bCs/>
                <w:color w:val="000000"/>
                <w:sz w:val="14"/>
                <w:szCs w:val="14"/>
              </w:rPr>
              <w:t xml:space="preserve">All </w:t>
            </w:r>
            <w:r>
              <w:rPr>
                <w:rFonts w:ascii="Arial" w:eastAsia="宋体" w:hAnsi="Arial" w:cs="Arial"/>
                <w:b/>
                <w:bCs/>
                <w:color w:val="000000"/>
                <w:sz w:val="14"/>
                <w:szCs w:val="14"/>
              </w:rPr>
              <w:t>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8B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BE"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F2D58BF"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8C0" w14:textId="77777777" w:rsidR="00E836FB" w:rsidRDefault="00994958">
            <w:pPr>
              <w:jc w:val="center"/>
              <w:textAlignment w:val="bottom"/>
            </w:pPr>
            <w:r>
              <w:rPr>
                <w:rFonts w:ascii="Arial" w:eastAsia="宋体" w:hAnsi="Arial" w:cs="Arial"/>
                <w:b/>
                <w:bCs/>
                <w:color w:val="000000"/>
                <w:sz w:val="14"/>
                <w:szCs w:val="14"/>
              </w:rPr>
              <w:t>2020</w:t>
            </w:r>
          </w:p>
        </w:tc>
      </w:tr>
      <w:tr w:rsidR="00994958" w14:paraId="5F2D58EA" w14:textId="77777777">
        <w:tc>
          <w:tcPr>
            <w:tcW w:w="0" w:type="auto"/>
            <w:gridSpan w:val="3"/>
            <w:shd w:val="clear" w:color="auto" w:fill="CCEEFF"/>
            <w:tcMar>
              <w:top w:w="40" w:type="dxa"/>
              <w:left w:w="155" w:type="dxa"/>
              <w:bottom w:w="40" w:type="dxa"/>
              <w:right w:w="20" w:type="dxa"/>
            </w:tcMar>
            <w:vAlign w:val="bottom"/>
          </w:tcPr>
          <w:p w14:paraId="5F2D58C2" w14:textId="77777777" w:rsidR="00E836FB" w:rsidRDefault="00994958">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8C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C4" w14:textId="77777777" w:rsidR="00E836FB" w:rsidRDefault="00994958">
            <w:pPr>
              <w:jc w:val="right"/>
              <w:textAlignment w:val="bottom"/>
            </w:pPr>
            <w:r>
              <w:rPr>
                <w:rFonts w:ascii="Arial" w:eastAsia="宋体" w:hAnsi="Arial" w:cs="Arial"/>
                <w:color w:val="000000"/>
                <w:sz w:val="14"/>
                <w:szCs w:val="14"/>
              </w:rPr>
              <w:t>5,167 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C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C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C8"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C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C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CC" w14:textId="77777777" w:rsidR="00E836FB" w:rsidRDefault="00994958">
            <w:pPr>
              <w:jc w:val="right"/>
              <w:textAlignment w:val="bottom"/>
            </w:pPr>
            <w:r>
              <w:rPr>
                <w:rFonts w:ascii="Arial" w:eastAsia="宋体" w:hAnsi="Arial" w:cs="Arial"/>
                <w:color w:val="000000"/>
                <w:sz w:val="14"/>
                <w:szCs w:val="14"/>
              </w:rPr>
              <w:t>5,167 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C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C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C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D0"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D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D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D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D4"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D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D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D8"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D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DA"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D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DC"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D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DE"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D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E0"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E2"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E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E4"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E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8E6"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8E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8E8" w14:textId="77777777" w:rsidR="00E836FB" w:rsidRDefault="00994958">
            <w:pPr>
              <w:jc w:val="right"/>
              <w:textAlignment w:val="bottom"/>
            </w:pPr>
            <w:r>
              <w:rPr>
                <w:rFonts w:ascii="Arial" w:eastAsia="宋体" w:hAnsi="Arial" w:cs="Arial"/>
                <w:color w:val="000000"/>
                <w:sz w:val="14"/>
                <w:szCs w:val="14"/>
              </w:rPr>
              <w:t>5,167 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8E9" w14:textId="77777777" w:rsidR="00E836FB" w:rsidRDefault="00E836FB">
            <w:pPr>
              <w:jc w:val="right"/>
              <w:rPr>
                <w:rFonts w:ascii="宋体"/>
              </w:rPr>
            </w:pPr>
          </w:p>
        </w:tc>
      </w:tr>
      <w:tr w:rsidR="00E836FB" w14:paraId="5F2D5909" w14:textId="77777777">
        <w:tc>
          <w:tcPr>
            <w:tcW w:w="0" w:type="auto"/>
            <w:gridSpan w:val="3"/>
            <w:shd w:val="clear" w:color="auto" w:fill="FFFFFF"/>
            <w:tcMar>
              <w:top w:w="40" w:type="dxa"/>
              <w:left w:w="155" w:type="dxa"/>
              <w:bottom w:w="40" w:type="dxa"/>
              <w:right w:w="20" w:type="dxa"/>
            </w:tcMar>
            <w:vAlign w:val="bottom"/>
          </w:tcPr>
          <w:p w14:paraId="5F2D58EB" w14:textId="77777777" w:rsidR="00E836FB" w:rsidRDefault="00994958">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F2D58E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E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E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E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F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F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F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F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F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F5" w14:textId="77777777" w:rsidR="00E836FB" w:rsidRDefault="00994958">
            <w:pPr>
              <w:jc w:val="right"/>
              <w:textAlignment w:val="bottom"/>
            </w:pPr>
            <w:r>
              <w:rPr>
                <w:rFonts w:ascii="Arial" w:eastAsia="宋体" w:hAnsi="Arial" w:cs="Arial"/>
                <w:color w:val="000000"/>
                <w:sz w:val="14"/>
                <w:szCs w:val="14"/>
              </w:rPr>
              <w:t>1,880 </w:t>
            </w:r>
          </w:p>
        </w:tc>
        <w:tc>
          <w:tcPr>
            <w:tcW w:w="0" w:type="auto"/>
            <w:shd w:val="clear" w:color="auto" w:fill="FFFFFF"/>
            <w:tcMar>
              <w:top w:w="40" w:type="dxa"/>
              <w:left w:w="0" w:type="dxa"/>
              <w:bottom w:w="40" w:type="dxa"/>
              <w:right w:w="20" w:type="dxa"/>
            </w:tcMar>
            <w:vAlign w:val="bottom"/>
          </w:tcPr>
          <w:p w14:paraId="5F2D58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F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F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F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F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FB" w14:textId="77777777" w:rsidR="00E836FB" w:rsidRDefault="00994958">
            <w:pPr>
              <w:jc w:val="right"/>
              <w:textAlignment w:val="bottom"/>
            </w:pPr>
            <w:r>
              <w:rPr>
                <w:rFonts w:ascii="Arial" w:eastAsia="宋体" w:hAnsi="Arial" w:cs="Arial"/>
                <w:color w:val="000000"/>
                <w:sz w:val="14"/>
                <w:szCs w:val="14"/>
              </w:rPr>
              <w:t>1,880 </w:t>
            </w:r>
          </w:p>
        </w:tc>
        <w:tc>
          <w:tcPr>
            <w:tcW w:w="0" w:type="auto"/>
            <w:shd w:val="clear" w:color="auto" w:fill="FFFFFF"/>
            <w:tcMar>
              <w:top w:w="40" w:type="dxa"/>
              <w:left w:w="0" w:type="dxa"/>
              <w:bottom w:w="40" w:type="dxa"/>
              <w:right w:w="20" w:type="dxa"/>
            </w:tcMar>
            <w:vAlign w:val="bottom"/>
          </w:tcPr>
          <w:p w14:paraId="5F2D58F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8F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8F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8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0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0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07" w14:textId="77777777" w:rsidR="00E836FB" w:rsidRDefault="00994958">
            <w:pPr>
              <w:jc w:val="right"/>
              <w:textAlignment w:val="bottom"/>
            </w:pPr>
            <w:r>
              <w:rPr>
                <w:rFonts w:ascii="Arial" w:eastAsia="宋体" w:hAnsi="Arial" w:cs="Arial"/>
                <w:color w:val="000000"/>
                <w:sz w:val="14"/>
                <w:szCs w:val="14"/>
              </w:rPr>
              <w:t>1,880 </w:t>
            </w:r>
          </w:p>
        </w:tc>
        <w:tc>
          <w:tcPr>
            <w:tcW w:w="0" w:type="auto"/>
            <w:shd w:val="clear" w:color="auto" w:fill="FFFFFF"/>
            <w:tcMar>
              <w:top w:w="40" w:type="dxa"/>
              <w:left w:w="0" w:type="dxa"/>
              <w:bottom w:w="40" w:type="dxa"/>
              <w:right w:w="20" w:type="dxa"/>
            </w:tcMar>
            <w:vAlign w:val="bottom"/>
          </w:tcPr>
          <w:p w14:paraId="5F2D5908" w14:textId="77777777" w:rsidR="00E836FB" w:rsidRDefault="00E836FB">
            <w:pPr>
              <w:jc w:val="right"/>
              <w:rPr>
                <w:rFonts w:ascii="宋体"/>
              </w:rPr>
            </w:pPr>
          </w:p>
        </w:tc>
      </w:tr>
      <w:tr w:rsidR="00E836FB" w14:paraId="5F2D5928" w14:textId="77777777">
        <w:tc>
          <w:tcPr>
            <w:tcW w:w="0" w:type="auto"/>
            <w:gridSpan w:val="3"/>
            <w:shd w:val="clear" w:color="auto" w:fill="CCEEFF"/>
            <w:tcMar>
              <w:top w:w="40" w:type="dxa"/>
              <w:left w:w="155" w:type="dxa"/>
              <w:bottom w:w="40" w:type="dxa"/>
              <w:right w:w="20" w:type="dxa"/>
            </w:tcMar>
            <w:vAlign w:val="bottom"/>
          </w:tcPr>
          <w:p w14:paraId="5F2D590A" w14:textId="77777777" w:rsidR="00E836FB" w:rsidRDefault="00994958">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F2D590B" w14:textId="77777777" w:rsidR="00E836FB" w:rsidRDefault="00994958">
            <w:pPr>
              <w:jc w:val="right"/>
              <w:textAlignment w:val="bottom"/>
            </w:pPr>
            <w:r>
              <w:rPr>
                <w:rFonts w:ascii="Arial" w:eastAsia="宋体" w:hAnsi="Arial" w:cs="Arial"/>
                <w:color w:val="000000"/>
                <w:sz w:val="14"/>
                <w:szCs w:val="14"/>
              </w:rPr>
              <w:t>377 </w:t>
            </w:r>
          </w:p>
        </w:tc>
        <w:tc>
          <w:tcPr>
            <w:tcW w:w="0" w:type="auto"/>
            <w:shd w:val="clear" w:color="auto" w:fill="CCEEFF"/>
            <w:tcMar>
              <w:top w:w="40" w:type="dxa"/>
              <w:left w:w="0" w:type="dxa"/>
              <w:bottom w:w="40" w:type="dxa"/>
              <w:right w:w="20" w:type="dxa"/>
            </w:tcMar>
            <w:vAlign w:val="bottom"/>
          </w:tcPr>
          <w:p w14:paraId="5F2D59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0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0E" w14:textId="77777777" w:rsidR="00E836FB" w:rsidRDefault="00994958">
            <w:pPr>
              <w:jc w:val="right"/>
              <w:textAlignment w:val="bottom"/>
            </w:pPr>
            <w:r>
              <w:rPr>
                <w:rFonts w:ascii="Arial" w:eastAsia="宋体" w:hAnsi="Arial" w:cs="Arial"/>
                <w:color w:val="000000"/>
                <w:sz w:val="14"/>
                <w:szCs w:val="14"/>
              </w:rPr>
              <w:t>922 </w:t>
            </w:r>
          </w:p>
        </w:tc>
        <w:tc>
          <w:tcPr>
            <w:tcW w:w="0" w:type="auto"/>
            <w:shd w:val="clear" w:color="auto" w:fill="CCEEFF"/>
            <w:tcMar>
              <w:top w:w="40" w:type="dxa"/>
              <w:left w:w="0" w:type="dxa"/>
              <w:bottom w:w="40" w:type="dxa"/>
              <w:right w:w="20" w:type="dxa"/>
            </w:tcMar>
            <w:vAlign w:val="bottom"/>
          </w:tcPr>
          <w:p w14:paraId="5F2D590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1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11" w14:textId="77777777" w:rsidR="00E836FB" w:rsidRDefault="00994958">
            <w:pPr>
              <w:jc w:val="right"/>
              <w:textAlignment w:val="bottom"/>
            </w:pPr>
            <w:r>
              <w:rPr>
                <w:rFonts w:ascii="Arial" w:eastAsia="宋体" w:hAnsi="Arial" w:cs="Arial"/>
                <w:color w:val="000000"/>
                <w:sz w:val="14"/>
                <w:szCs w:val="14"/>
              </w:rPr>
              <w:t>1,299 </w:t>
            </w:r>
          </w:p>
        </w:tc>
        <w:tc>
          <w:tcPr>
            <w:tcW w:w="0" w:type="auto"/>
            <w:shd w:val="clear" w:color="auto" w:fill="CCEEFF"/>
            <w:tcMar>
              <w:top w:w="40" w:type="dxa"/>
              <w:left w:w="0" w:type="dxa"/>
              <w:bottom w:w="40" w:type="dxa"/>
              <w:right w:w="20" w:type="dxa"/>
            </w:tcMar>
            <w:vAlign w:val="bottom"/>
          </w:tcPr>
          <w:p w14:paraId="5F2D59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1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14" w14:textId="77777777" w:rsidR="00E836FB" w:rsidRDefault="00994958">
            <w:pPr>
              <w:jc w:val="right"/>
              <w:textAlignment w:val="bottom"/>
            </w:pPr>
            <w:r>
              <w:rPr>
                <w:rFonts w:ascii="Arial" w:eastAsia="宋体" w:hAnsi="Arial" w:cs="Arial"/>
                <w:color w:val="000000"/>
                <w:sz w:val="14"/>
                <w:szCs w:val="14"/>
              </w:rPr>
              <w:t>64 </w:t>
            </w:r>
          </w:p>
        </w:tc>
        <w:tc>
          <w:tcPr>
            <w:tcW w:w="0" w:type="auto"/>
            <w:shd w:val="clear" w:color="auto" w:fill="CCEEFF"/>
            <w:tcMar>
              <w:top w:w="40" w:type="dxa"/>
              <w:left w:w="0" w:type="dxa"/>
              <w:bottom w:w="40" w:type="dxa"/>
              <w:right w:w="20" w:type="dxa"/>
            </w:tcMar>
            <w:vAlign w:val="bottom"/>
          </w:tcPr>
          <w:p w14:paraId="5F2D59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1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1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1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1A" w14:textId="77777777" w:rsidR="00E836FB" w:rsidRDefault="00994958">
            <w:pPr>
              <w:jc w:val="right"/>
              <w:textAlignment w:val="bottom"/>
            </w:pPr>
            <w:r>
              <w:rPr>
                <w:rFonts w:ascii="Arial" w:eastAsia="宋体" w:hAnsi="Arial" w:cs="Arial"/>
                <w:color w:val="000000"/>
                <w:sz w:val="14"/>
                <w:szCs w:val="14"/>
              </w:rPr>
              <w:t>64 </w:t>
            </w:r>
          </w:p>
        </w:tc>
        <w:tc>
          <w:tcPr>
            <w:tcW w:w="0" w:type="auto"/>
            <w:shd w:val="clear" w:color="auto" w:fill="CCEEFF"/>
            <w:tcMar>
              <w:top w:w="40" w:type="dxa"/>
              <w:left w:w="0" w:type="dxa"/>
              <w:bottom w:w="40" w:type="dxa"/>
              <w:right w:w="20" w:type="dxa"/>
            </w:tcMar>
            <w:vAlign w:val="bottom"/>
          </w:tcPr>
          <w:p w14:paraId="5F2D59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1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1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1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2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2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2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2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2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2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26" w14:textId="77777777" w:rsidR="00E836FB" w:rsidRDefault="00994958">
            <w:pPr>
              <w:jc w:val="right"/>
              <w:textAlignment w:val="bottom"/>
            </w:pPr>
            <w:r>
              <w:rPr>
                <w:rFonts w:ascii="Arial" w:eastAsia="宋体" w:hAnsi="Arial" w:cs="Arial"/>
                <w:color w:val="000000"/>
                <w:sz w:val="14"/>
                <w:szCs w:val="14"/>
              </w:rPr>
              <w:t>1,363 </w:t>
            </w:r>
          </w:p>
        </w:tc>
        <w:tc>
          <w:tcPr>
            <w:tcW w:w="0" w:type="auto"/>
            <w:shd w:val="clear" w:color="auto" w:fill="CCEEFF"/>
            <w:tcMar>
              <w:top w:w="40" w:type="dxa"/>
              <w:left w:w="0" w:type="dxa"/>
              <w:bottom w:w="40" w:type="dxa"/>
              <w:right w:w="20" w:type="dxa"/>
            </w:tcMar>
            <w:vAlign w:val="bottom"/>
          </w:tcPr>
          <w:p w14:paraId="5F2D5927" w14:textId="77777777" w:rsidR="00E836FB" w:rsidRDefault="00E836FB">
            <w:pPr>
              <w:jc w:val="right"/>
              <w:rPr>
                <w:rFonts w:ascii="宋体"/>
              </w:rPr>
            </w:pPr>
          </w:p>
        </w:tc>
      </w:tr>
      <w:tr w:rsidR="00E836FB" w14:paraId="5F2D5947" w14:textId="77777777">
        <w:tc>
          <w:tcPr>
            <w:tcW w:w="0" w:type="auto"/>
            <w:gridSpan w:val="3"/>
            <w:shd w:val="clear" w:color="auto" w:fill="FFFFFF"/>
            <w:tcMar>
              <w:top w:w="40" w:type="dxa"/>
              <w:left w:w="155" w:type="dxa"/>
              <w:bottom w:w="40" w:type="dxa"/>
              <w:right w:w="20" w:type="dxa"/>
            </w:tcMar>
            <w:vAlign w:val="bottom"/>
          </w:tcPr>
          <w:p w14:paraId="5F2D5929" w14:textId="77777777" w:rsidR="00E836FB" w:rsidRDefault="00994958">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F2D592A" w14:textId="77777777" w:rsidR="00E836FB" w:rsidRDefault="00994958">
            <w:pPr>
              <w:jc w:val="right"/>
              <w:textAlignment w:val="bottom"/>
            </w:pPr>
            <w:r>
              <w:rPr>
                <w:rFonts w:ascii="Arial" w:eastAsia="宋体" w:hAnsi="Arial" w:cs="Arial"/>
                <w:color w:val="000000"/>
                <w:sz w:val="14"/>
                <w:szCs w:val="14"/>
              </w:rPr>
              <w:t>212 </w:t>
            </w:r>
          </w:p>
        </w:tc>
        <w:tc>
          <w:tcPr>
            <w:tcW w:w="0" w:type="auto"/>
            <w:shd w:val="clear" w:color="auto" w:fill="FFFFFF"/>
            <w:tcMar>
              <w:top w:w="40" w:type="dxa"/>
              <w:left w:w="0" w:type="dxa"/>
              <w:bottom w:w="40" w:type="dxa"/>
              <w:right w:w="20" w:type="dxa"/>
            </w:tcMar>
            <w:vAlign w:val="bottom"/>
          </w:tcPr>
          <w:p w14:paraId="5F2D592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2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2D" w14:textId="77777777" w:rsidR="00E836FB" w:rsidRDefault="00994958">
            <w:pPr>
              <w:jc w:val="right"/>
              <w:textAlignment w:val="bottom"/>
            </w:pPr>
            <w:r>
              <w:rPr>
                <w:rFonts w:ascii="Arial" w:eastAsia="宋体" w:hAnsi="Arial" w:cs="Arial"/>
                <w:color w:val="000000"/>
                <w:sz w:val="14"/>
                <w:szCs w:val="14"/>
              </w:rPr>
              <w:t>130 </w:t>
            </w:r>
          </w:p>
        </w:tc>
        <w:tc>
          <w:tcPr>
            <w:tcW w:w="0" w:type="auto"/>
            <w:shd w:val="clear" w:color="auto" w:fill="FFFFFF"/>
            <w:tcMar>
              <w:top w:w="40" w:type="dxa"/>
              <w:left w:w="0" w:type="dxa"/>
              <w:bottom w:w="40" w:type="dxa"/>
              <w:right w:w="20" w:type="dxa"/>
            </w:tcMar>
            <w:vAlign w:val="bottom"/>
          </w:tcPr>
          <w:p w14:paraId="5F2D592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2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30" w14:textId="77777777" w:rsidR="00E836FB" w:rsidRDefault="00994958">
            <w:pPr>
              <w:jc w:val="right"/>
              <w:textAlignment w:val="bottom"/>
            </w:pPr>
            <w:r>
              <w:rPr>
                <w:rFonts w:ascii="Arial" w:eastAsia="宋体" w:hAnsi="Arial" w:cs="Arial"/>
                <w:color w:val="000000"/>
                <w:sz w:val="14"/>
                <w:szCs w:val="14"/>
              </w:rPr>
              <w:t>342 </w:t>
            </w:r>
          </w:p>
        </w:tc>
        <w:tc>
          <w:tcPr>
            <w:tcW w:w="0" w:type="auto"/>
            <w:shd w:val="clear" w:color="auto" w:fill="FFFFFF"/>
            <w:tcMar>
              <w:top w:w="40" w:type="dxa"/>
              <w:left w:w="0" w:type="dxa"/>
              <w:bottom w:w="40" w:type="dxa"/>
              <w:right w:w="20" w:type="dxa"/>
            </w:tcMar>
            <w:vAlign w:val="bottom"/>
          </w:tcPr>
          <w:p w14:paraId="5F2D593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3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3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3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3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36" w14:textId="77777777" w:rsidR="00E836FB" w:rsidRDefault="00994958">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F2D593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3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39" w14:textId="77777777" w:rsidR="00E836FB" w:rsidRDefault="00994958">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F2D593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3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3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3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4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4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4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4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45" w14:textId="77777777" w:rsidR="00E836FB" w:rsidRDefault="00994958">
            <w:pPr>
              <w:jc w:val="right"/>
              <w:textAlignment w:val="bottom"/>
            </w:pPr>
            <w:r>
              <w:rPr>
                <w:rFonts w:ascii="Arial" w:eastAsia="宋体" w:hAnsi="Arial" w:cs="Arial"/>
                <w:color w:val="000000"/>
                <w:sz w:val="14"/>
                <w:szCs w:val="14"/>
              </w:rPr>
              <w:t>356 </w:t>
            </w:r>
          </w:p>
        </w:tc>
        <w:tc>
          <w:tcPr>
            <w:tcW w:w="0" w:type="auto"/>
            <w:shd w:val="clear" w:color="auto" w:fill="FFFFFF"/>
            <w:tcMar>
              <w:top w:w="40" w:type="dxa"/>
              <w:left w:w="0" w:type="dxa"/>
              <w:bottom w:w="40" w:type="dxa"/>
              <w:right w:w="20" w:type="dxa"/>
            </w:tcMar>
            <w:vAlign w:val="bottom"/>
          </w:tcPr>
          <w:p w14:paraId="5F2D5946" w14:textId="77777777" w:rsidR="00E836FB" w:rsidRDefault="00E836FB">
            <w:pPr>
              <w:jc w:val="right"/>
              <w:rPr>
                <w:rFonts w:ascii="宋体"/>
              </w:rPr>
            </w:pPr>
          </w:p>
        </w:tc>
      </w:tr>
      <w:tr w:rsidR="00E836FB" w14:paraId="5F2D5966" w14:textId="77777777">
        <w:tc>
          <w:tcPr>
            <w:tcW w:w="0" w:type="auto"/>
            <w:gridSpan w:val="3"/>
            <w:shd w:val="clear" w:color="auto" w:fill="CCEEFF"/>
            <w:tcMar>
              <w:top w:w="40" w:type="dxa"/>
              <w:left w:w="155" w:type="dxa"/>
              <w:bottom w:w="40" w:type="dxa"/>
              <w:right w:w="20" w:type="dxa"/>
            </w:tcMar>
            <w:vAlign w:val="bottom"/>
          </w:tcPr>
          <w:p w14:paraId="5F2D5948" w14:textId="77777777" w:rsidR="00E836FB" w:rsidRDefault="00994958">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5F2D5949" w14:textId="77777777" w:rsidR="00E836FB" w:rsidRDefault="00994958">
            <w:pPr>
              <w:jc w:val="right"/>
              <w:textAlignment w:val="bottom"/>
            </w:pPr>
            <w:r>
              <w:rPr>
                <w:rFonts w:ascii="Arial" w:eastAsia="宋体" w:hAnsi="Arial" w:cs="Arial"/>
                <w:color w:val="000000"/>
                <w:sz w:val="14"/>
                <w:szCs w:val="14"/>
              </w:rPr>
              <w:t>487 </w:t>
            </w:r>
          </w:p>
        </w:tc>
        <w:tc>
          <w:tcPr>
            <w:tcW w:w="0" w:type="auto"/>
            <w:shd w:val="clear" w:color="auto" w:fill="CCEEFF"/>
            <w:tcMar>
              <w:top w:w="40" w:type="dxa"/>
              <w:left w:w="0" w:type="dxa"/>
              <w:bottom w:w="40" w:type="dxa"/>
              <w:right w:w="20" w:type="dxa"/>
            </w:tcMar>
            <w:vAlign w:val="bottom"/>
          </w:tcPr>
          <w:p w14:paraId="5F2D594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4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4C" w14:textId="77777777" w:rsidR="00E836FB" w:rsidRDefault="00994958">
            <w:pPr>
              <w:jc w:val="right"/>
              <w:textAlignment w:val="bottom"/>
            </w:pPr>
            <w:r>
              <w:rPr>
                <w:rFonts w:ascii="Arial" w:eastAsia="宋体" w:hAnsi="Arial" w:cs="Arial"/>
                <w:color w:val="000000"/>
                <w:sz w:val="14"/>
                <w:szCs w:val="14"/>
              </w:rPr>
              <w:t>219 </w:t>
            </w:r>
          </w:p>
        </w:tc>
        <w:tc>
          <w:tcPr>
            <w:tcW w:w="0" w:type="auto"/>
            <w:shd w:val="clear" w:color="auto" w:fill="CCEEFF"/>
            <w:tcMar>
              <w:top w:w="40" w:type="dxa"/>
              <w:left w:w="0" w:type="dxa"/>
              <w:bottom w:w="40" w:type="dxa"/>
              <w:right w:w="20" w:type="dxa"/>
            </w:tcMar>
            <w:vAlign w:val="bottom"/>
          </w:tcPr>
          <w:p w14:paraId="5F2D59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4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4F" w14:textId="77777777" w:rsidR="00E836FB" w:rsidRDefault="00994958">
            <w:pPr>
              <w:jc w:val="right"/>
              <w:textAlignment w:val="bottom"/>
            </w:pPr>
            <w:r>
              <w:rPr>
                <w:rFonts w:ascii="Arial" w:eastAsia="宋体" w:hAnsi="Arial" w:cs="Arial"/>
                <w:color w:val="000000"/>
                <w:sz w:val="14"/>
                <w:szCs w:val="14"/>
              </w:rPr>
              <w:t>706 </w:t>
            </w:r>
          </w:p>
        </w:tc>
        <w:tc>
          <w:tcPr>
            <w:tcW w:w="0" w:type="auto"/>
            <w:shd w:val="clear" w:color="auto" w:fill="CCEEFF"/>
            <w:tcMar>
              <w:top w:w="40" w:type="dxa"/>
              <w:left w:w="0" w:type="dxa"/>
              <w:bottom w:w="40" w:type="dxa"/>
              <w:right w:w="20" w:type="dxa"/>
            </w:tcMar>
            <w:vAlign w:val="bottom"/>
          </w:tcPr>
          <w:p w14:paraId="5F2D59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5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5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55" w14:textId="77777777" w:rsidR="00E836FB" w:rsidRDefault="00994958">
            <w:pPr>
              <w:jc w:val="right"/>
              <w:textAlignment w:val="bottom"/>
            </w:pPr>
            <w:r>
              <w:rPr>
                <w:rFonts w:ascii="Arial" w:eastAsia="宋体" w:hAnsi="Arial" w:cs="Arial"/>
                <w:color w:val="000000"/>
                <w:sz w:val="14"/>
                <w:szCs w:val="14"/>
              </w:rPr>
              <w:t>27 </w:t>
            </w:r>
          </w:p>
        </w:tc>
        <w:tc>
          <w:tcPr>
            <w:tcW w:w="0" w:type="auto"/>
            <w:shd w:val="clear" w:color="auto" w:fill="CCEEFF"/>
            <w:tcMar>
              <w:top w:w="40" w:type="dxa"/>
              <w:left w:w="0" w:type="dxa"/>
              <w:bottom w:w="40" w:type="dxa"/>
              <w:right w:w="20" w:type="dxa"/>
            </w:tcMar>
            <w:vAlign w:val="bottom"/>
          </w:tcPr>
          <w:p w14:paraId="5F2D595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5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58" w14:textId="77777777" w:rsidR="00E836FB" w:rsidRDefault="00994958">
            <w:pPr>
              <w:jc w:val="right"/>
              <w:textAlignment w:val="bottom"/>
            </w:pPr>
            <w:r>
              <w:rPr>
                <w:rFonts w:ascii="Arial" w:eastAsia="宋体" w:hAnsi="Arial" w:cs="Arial"/>
                <w:color w:val="000000"/>
                <w:sz w:val="14"/>
                <w:szCs w:val="14"/>
              </w:rPr>
              <w:t>27 </w:t>
            </w:r>
          </w:p>
        </w:tc>
        <w:tc>
          <w:tcPr>
            <w:tcW w:w="0" w:type="auto"/>
            <w:shd w:val="clear" w:color="auto" w:fill="CCEEFF"/>
            <w:tcMar>
              <w:top w:w="40" w:type="dxa"/>
              <w:left w:w="0" w:type="dxa"/>
              <w:bottom w:w="40" w:type="dxa"/>
              <w:right w:w="20" w:type="dxa"/>
            </w:tcMar>
            <w:vAlign w:val="bottom"/>
          </w:tcPr>
          <w:p w14:paraId="5F2D59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5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5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5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5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5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5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6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6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6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6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64" w14:textId="77777777" w:rsidR="00E836FB" w:rsidRDefault="00994958">
            <w:pPr>
              <w:jc w:val="right"/>
              <w:textAlignment w:val="bottom"/>
            </w:pPr>
            <w:r>
              <w:rPr>
                <w:rFonts w:ascii="Arial" w:eastAsia="宋体" w:hAnsi="Arial" w:cs="Arial"/>
                <w:color w:val="000000"/>
                <w:sz w:val="14"/>
                <w:szCs w:val="14"/>
              </w:rPr>
              <w:t>733 </w:t>
            </w:r>
          </w:p>
        </w:tc>
        <w:tc>
          <w:tcPr>
            <w:tcW w:w="0" w:type="auto"/>
            <w:shd w:val="clear" w:color="auto" w:fill="CCEEFF"/>
            <w:tcMar>
              <w:top w:w="40" w:type="dxa"/>
              <w:left w:w="0" w:type="dxa"/>
              <w:bottom w:w="40" w:type="dxa"/>
              <w:right w:w="20" w:type="dxa"/>
            </w:tcMar>
            <w:vAlign w:val="bottom"/>
          </w:tcPr>
          <w:p w14:paraId="5F2D5965" w14:textId="77777777" w:rsidR="00E836FB" w:rsidRDefault="00E836FB">
            <w:pPr>
              <w:jc w:val="right"/>
              <w:rPr>
                <w:rFonts w:ascii="宋体"/>
              </w:rPr>
            </w:pPr>
          </w:p>
        </w:tc>
      </w:tr>
      <w:tr w:rsidR="00E836FB" w14:paraId="5F2D5985" w14:textId="77777777">
        <w:tc>
          <w:tcPr>
            <w:tcW w:w="0" w:type="auto"/>
            <w:gridSpan w:val="3"/>
            <w:shd w:val="clear" w:color="auto" w:fill="FFFFFF"/>
            <w:tcMar>
              <w:top w:w="40" w:type="dxa"/>
              <w:left w:w="20" w:type="dxa"/>
              <w:bottom w:w="40" w:type="dxa"/>
              <w:right w:w="20" w:type="dxa"/>
            </w:tcMar>
            <w:vAlign w:val="bottom"/>
          </w:tcPr>
          <w:p w14:paraId="5F2D5967" w14:textId="77777777" w:rsidR="00E836FB" w:rsidRDefault="00994958">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68" w14:textId="77777777" w:rsidR="00E836FB" w:rsidRDefault="00994958">
            <w:pPr>
              <w:jc w:val="right"/>
              <w:textAlignment w:val="bottom"/>
            </w:pPr>
            <w:r>
              <w:rPr>
                <w:rFonts w:ascii="Arial" w:eastAsia="宋体" w:hAnsi="Arial" w:cs="Arial"/>
                <w:color w:val="000000"/>
                <w:sz w:val="14"/>
                <w:szCs w:val="14"/>
              </w:rPr>
              <w:t>6,243 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6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6B" w14:textId="77777777" w:rsidR="00E836FB" w:rsidRDefault="00994958">
            <w:pPr>
              <w:jc w:val="right"/>
              <w:textAlignment w:val="bottom"/>
            </w:pPr>
            <w:r>
              <w:rPr>
                <w:rFonts w:ascii="Arial" w:eastAsia="宋体" w:hAnsi="Arial" w:cs="Arial"/>
                <w:color w:val="000000"/>
                <w:sz w:val="14"/>
                <w:szCs w:val="14"/>
              </w:rPr>
              <w:t>1,271 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6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6E" w14:textId="77777777" w:rsidR="00E836FB" w:rsidRDefault="00994958">
            <w:pPr>
              <w:jc w:val="right"/>
              <w:textAlignment w:val="bottom"/>
            </w:pPr>
            <w:r>
              <w:rPr>
                <w:rFonts w:ascii="Arial" w:eastAsia="宋体" w:hAnsi="Arial" w:cs="Arial"/>
                <w:color w:val="000000"/>
                <w:sz w:val="14"/>
                <w:szCs w:val="14"/>
              </w:rPr>
              <w:t>7,514 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7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71" w14:textId="77777777" w:rsidR="00E836FB" w:rsidRDefault="00994958">
            <w:pPr>
              <w:jc w:val="right"/>
              <w:textAlignment w:val="bottom"/>
            </w:pPr>
            <w:r>
              <w:rPr>
                <w:rFonts w:ascii="Arial" w:eastAsia="宋体" w:hAnsi="Arial" w:cs="Arial"/>
                <w:color w:val="000000"/>
                <w:sz w:val="14"/>
                <w:szCs w:val="14"/>
              </w:rPr>
              <w:t>1,944 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7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74" w14:textId="77777777" w:rsidR="00E836FB" w:rsidRDefault="00994958">
            <w:pPr>
              <w:jc w:val="right"/>
              <w:textAlignment w:val="bottom"/>
            </w:pPr>
            <w:r>
              <w:rPr>
                <w:rFonts w:ascii="Arial" w:eastAsia="宋体" w:hAnsi="Arial" w:cs="Arial"/>
                <w:color w:val="000000"/>
                <w:sz w:val="14"/>
                <w:szCs w:val="14"/>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7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77" w14:textId="77777777" w:rsidR="00E836FB" w:rsidRDefault="00994958">
            <w:pPr>
              <w:jc w:val="right"/>
              <w:textAlignment w:val="bottom"/>
            </w:pPr>
            <w:r>
              <w:rPr>
                <w:rFonts w:ascii="Arial" w:eastAsia="宋体" w:hAnsi="Arial" w:cs="Arial"/>
                <w:color w:val="000000"/>
                <w:sz w:val="14"/>
                <w:szCs w:val="14"/>
              </w:rPr>
              <w:t>1,985 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7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7A"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7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7D"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7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7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80"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8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8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983" w14:textId="77777777" w:rsidR="00E836FB" w:rsidRDefault="00994958">
            <w:pPr>
              <w:jc w:val="right"/>
              <w:textAlignment w:val="bottom"/>
            </w:pPr>
            <w:r>
              <w:rPr>
                <w:rFonts w:ascii="Arial" w:eastAsia="宋体" w:hAnsi="Arial" w:cs="Arial"/>
                <w:color w:val="000000"/>
                <w:sz w:val="14"/>
                <w:szCs w:val="14"/>
              </w:rPr>
              <w:t>9,499 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984" w14:textId="77777777" w:rsidR="00E836FB" w:rsidRDefault="00E836FB">
            <w:pPr>
              <w:jc w:val="right"/>
              <w:rPr>
                <w:rFonts w:ascii="宋体"/>
              </w:rPr>
            </w:pPr>
          </w:p>
        </w:tc>
      </w:tr>
      <w:tr w:rsidR="00E836FB" w14:paraId="5F2D59A4" w14:textId="77777777">
        <w:tc>
          <w:tcPr>
            <w:tcW w:w="0" w:type="auto"/>
            <w:gridSpan w:val="3"/>
            <w:shd w:val="clear" w:color="auto" w:fill="CCEEFF"/>
            <w:tcMar>
              <w:top w:w="40" w:type="dxa"/>
              <w:left w:w="155" w:type="dxa"/>
              <w:bottom w:w="40" w:type="dxa"/>
              <w:right w:w="20" w:type="dxa"/>
            </w:tcMar>
            <w:vAlign w:val="bottom"/>
          </w:tcPr>
          <w:p w14:paraId="5F2D5986"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5F2D598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8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8A" w14:textId="77777777" w:rsidR="00E836FB" w:rsidRDefault="00994958">
            <w:pPr>
              <w:jc w:val="right"/>
              <w:textAlignment w:val="bottom"/>
            </w:pPr>
            <w:r>
              <w:rPr>
                <w:rFonts w:ascii="Arial" w:eastAsia="宋体" w:hAnsi="Arial" w:cs="Arial"/>
                <w:color w:val="000000"/>
                <w:sz w:val="14"/>
                <w:szCs w:val="14"/>
              </w:rPr>
              <w:t>2,211 </w:t>
            </w:r>
          </w:p>
        </w:tc>
        <w:tc>
          <w:tcPr>
            <w:tcW w:w="0" w:type="auto"/>
            <w:shd w:val="clear" w:color="auto" w:fill="CCEEFF"/>
            <w:tcMar>
              <w:top w:w="40" w:type="dxa"/>
              <w:left w:w="0" w:type="dxa"/>
              <w:bottom w:w="40" w:type="dxa"/>
              <w:right w:w="20" w:type="dxa"/>
            </w:tcMar>
            <w:vAlign w:val="bottom"/>
          </w:tcPr>
          <w:p w14:paraId="5F2D59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8D" w14:textId="77777777" w:rsidR="00E836FB" w:rsidRDefault="00994958">
            <w:pPr>
              <w:jc w:val="right"/>
              <w:textAlignment w:val="bottom"/>
            </w:pPr>
            <w:r>
              <w:rPr>
                <w:rFonts w:ascii="Arial" w:eastAsia="宋体" w:hAnsi="Arial" w:cs="Arial"/>
                <w:color w:val="000000"/>
                <w:sz w:val="14"/>
                <w:szCs w:val="14"/>
              </w:rPr>
              <w:t>2,211 </w:t>
            </w:r>
          </w:p>
        </w:tc>
        <w:tc>
          <w:tcPr>
            <w:tcW w:w="0" w:type="auto"/>
            <w:shd w:val="clear" w:color="auto" w:fill="CCEEFF"/>
            <w:tcMar>
              <w:top w:w="40" w:type="dxa"/>
              <w:left w:w="0" w:type="dxa"/>
              <w:bottom w:w="40" w:type="dxa"/>
              <w:right w:w="20" w:type="dxa"/>
            </w:tcMar>
            <w:vAlign w:val="bottom"/>
          </w:tcPr>
          <w:p w14:paraId="5F2D59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90"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93" w14:textId="77777777" w:rsidR="00E836FB" w:rsidRDefault="00994958">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5F2D59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9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96" w14:textId="77777777" w:rsidR="00E836FB" w:rsidRDefault="00994958">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5F2D59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9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9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9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9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9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9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9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A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9A2" w14:textId="77777777" w:rsidR="00E836FB" w:rsidRDefault="00994958">
            <w:pPr>
              <w:jc w:val="right"/>
              <w:textAlignment w:val="bottom"/>
            </w:pPr>
            <w:r>
              <w:rPr>
                <w:rFonts w:ascii="Arial" w:eastAsia="宋体" w:hAnsi="Arial" w:cs="Arial"/>
                <w:color w:val="000000"/>
                <w:sz w:val="14"/>
                <w:szCs w:val="14"/>
              </w:rPr>
              <w:t>2,200 </w:t>
            </w:r>
          </w:p>
        </w:tc>
        <w:tc>
          <w:tcPr>
            <w:tcW w:w="0" w:type="auto"/>
            <w:shd w:val="clear" w:color="auto" w:fill="CCEEFF"/>
            <w:tcMar>
              <w:top w:w="40" w:type="dxa"/>
              <w:left w:w="0" w:type="dxa"/>
              <w:bottom w:w="40" w:type="dxa"/>
              <w:right w:w="20" w:type="dxa"/>
            </w:tcMar>
            <w:vAlign w:val="bottom"/>
          </w:tcPr>
          <w:p w14:paraId="5F2D59A3" w14:textId="77777777" w:rsidR="00E836FB" w:rsidRDefault="00E836FB">
            <w:pPr>
              <w:jc w:val="right"/>
              <w:rPr>
                <w:rFonts w:ascii="宋体"/>
              </w:rPr>
            </w:pPr>
          </w:p>
        </w:tc>
      </w:tr>
      <w:tr w:rsidR="00E836FB" w14:paraId="5F2D59C3" w14:textId="77777777">
        <w:tc>
          <w:tcPr>
            <w:tcW w:w="0" w:type="auto"/>
            <w:gridSpan w:val="3"/>
            <w:shd w:val="clear" w:color="auto" w:fill="FFFFFF"/>
            <w:tcMar>
              <w:top w:w="40" w:type="dxa"/>
              <w:left w:w="155" w:type="dxa"/>
              <w:bottom w:w="40" w:type="dxa"/>
              <w:right w:w="20" w:type="dxa"/>
            </w:tcMar>
            <w:vAlign w:val="bottom"/>
          </w:tcPr>
          <w:p w14:paraId="5F2D59A5" w14:textId="77777777" w:rsidR="00E836FB" w:rsidRDefault="00994958">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5F2D59A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A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A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A9"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D59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A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AC"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D59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A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A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B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B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B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B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B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9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9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9C1"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F2D59C2" w14:textId="77777777" w:rsidR="00E836FB" w:rsidRDefault="00E836FB">
            <w:pPr>
              <w:jc w:val="right"/>
              <w:rPr>
                <w:rFonts w:ascii="宋体"/>
              </w:rPr>
            </w:pPr>
          </w:p>
        </w:tc>
      </w:tr>
      <w:tr w:rsidR="00994958" w14:paraId="5F2D59EC" w14:textId="77777777">
        <w:tc>
          <w:tcPr>
            <w:tcW w:w="0" w:type="auto"/>
            <w:gridSpan w:val="3"/>
            <w:shd w:val="clear" w:color="auto" w:fill="CCEEFF"/>
            <w:tcMar>
              <w:top w:w="40" w:type="dxa"/>
              <w:left w:w="20" w:type="dxa"/>
              <w:bottom w:w="40" w:type="dxa"/>
              <w:right w:w="20" w:type="dxa"/>
            </w:tcMar>
            <w:vAlign w:val="bottom"/>
          </w:tcPr>
          <w:p w14:paraId="5F2D59C4" w14:textId="77777777" w:rsidR="00E836FB" w:rsidRDefault="00994958">
            <w:pPr>
              <w:textAlignment w:val="bottom"/>
            </w:pPr>
            <w:r>
              <w:rPr>
                <w:rFonts w:ascii="Arial" w:eastAsia="宋体" w:hAnsi="Arial" w:cs="Arial"/>
                <w:color w:val="000000"/>
                <w:sz w:val="14"/>
                <w:szCs w:val="14"/>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9C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C6" w14:textId="77777777" w:rsidR="00E836FB" w:rsidRDefault="00994958">
            <w:pPr>
              <w:jc w:val="right"/>
              <w:textAlignment w:val="bottom"/>
            </w:pPr>
            <w:r>
              <w:rPr>
                <w:rFonts w:ascii="Arial" w:eastAsia="宋体" w:hAnsi="Arial" w:cs="Arial"/>
                <w:color w:val="000000"/>
                <w:sz w:val="14"/>
                <w:szCs w:val="14"/>
              </w:rPr>
              <w:t>6,243 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C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C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C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CA" w14:textId="77777777" w:rsidR="00E836FB" w:rsidRDefault="00994958">
            <w:pPr>
              <w:jc w:val="right"/>
              <w:textAlignment w:val="bottom"/>
            </w:pPr>
            <w:r>
              <w:rPr>
                <w:rFonts w:ascii="Arial" w:eastAsia="宋体" w:hAnsi="Arial" w:cs="Arial"/>
                <w:color w:val="000000"/>
                <w:sz w:val="14"/>
                <w:szCs w:val="14"/>
              </w:rPr>
              <w:t>3,486 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C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C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CE" w14:textId="77777777" w:rsidR="00E836FB" w:rsidRDefault="00994958">
            <w:pPr>
              <w:jc w:val="right"/>
              <w:textAlignment w:val="bottom"/>
            </w:pPr>
            <w:r>
              <w:rPr>
                <w:rFonts w:ascii="Arial" w:eastAsia="宋体" w:hAnsi="Arial" w:cs="Arial"/>
                <w:color w:val="000000"/>
                <w:sz w:val="14"/>
                <w:szCs w:val="14"/>
              </w:rPr>
              <w:t>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D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D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D2" w14:textId="77777777" w:rsidR="00E836FB" w:rsidRDefault="00994958">
            <w:pPr>
              <w:jc w:val="right"/>
              <w:textAlignment w:val="bottom"/>
            </w:pPr>
            <w:r>
              <w:rPr>
                <w:rFonts w:ascii="Arial" w:eastAsia="宋体" w:hAnsi="Arial" w:cs="Arial"/>
                <w:color w:val="000000"/>
                <w:sz w:val="14"/>
                <w:szCs w:val="14"/>
              </w:rPr>
              <w:t>1,944 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D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D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D6" w14:textId="77777777" w:rsidR="00E836FB" w:rsidRDefault="00994958">
            <w:pPr>
              <w:jc w:val="right"/>
              <w:textAlignment w:val="bottom"/>
            </w:pPr>
            <w:r>
              <w:rPr>
                <w:rFonts w:ascii="Arial" w:eastAsia="宋体" w:hAnsi="Arial" w:cs="Arial"/>
                <w:color w:val="000000"/>
                <w:sz w:val="14"/>
                <w:szCs w:val="14"/>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D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D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D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DA" w14:textId="77777777" w:rsidR="00E836FB" w:rsidRDefault="00994958">
            <w:pPr>
              <w:jc w:val="right"/>
              <w:textAlignment w:val="bottom"/>
            </w:pPr>
            <w:r>
              <w:rPr>
                <w:rFonts w:ascii="Arial" w:eastAsia="宋体" w:hAnsi="Arial" w:cs="Arial"/>
                <w:color w:val="000000"/>
                <w:sz w:val="14"/>
                <w:szCs w:val="14"/>
              </w:rPr>
              <w:t>1,974 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D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D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DE"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D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E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E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E2"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E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E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E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E6"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9E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9E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9EA" w14:textId="77777777" w:rsidR="00E836FB" w:rsidRDefault="00994958">
            <w:pPr>
              <w:jc w:val="right"/>
              <w:textAlignment w:val="bottom"/>
            </w:pPr>
            <w:r>
              <w:rPr>
                <w:rFonts w:ascii="Arial" w:eastAsia="宋体" w:hAnsi="Arial" w:cs="Arial"/>
                <w:color w:val="000000"/>
                <w:sz w:val="14"/>
                <w:szCs w:val="14"/>
              </w:rPr>
              <w:t>11,703 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9EB" w14:textId="77777777" w:rsidR="00E836FB" w:rsidRDefault="00E836FB">
            <w:pPr>
              <w:jc w:val="right"/>
              <w:rPr>
                <w:rFonts w:ascii="宋体"/>
              </w:rPr>
            </w:pPr>
          </w:p>
        </w:tc>
      </w:tr>
      <w:tr w:rsidR="00E836FB" w14:paraId="5F2D5A01" w14:textId="77777777">
        <w:trPr>
          <w:trHeight w:val="220"/>
        </w:trPr>
        <w:tc>
          <w:tcPr>
            <w:tcW w:w="0" w:type="auto"/>
            <w:gridSpan w:val="3"/>
            <w:shd w:val="clear" w:color="auto" w:fill="FFFFFF"/>
            <w:tcMar>
              <w:top w:w="0" w:type="dxa"/>
              <w:left w:w="20" w:type="dxa"/>
              <w:bottom w:w="0" w:type="dxa"/>
              <w:right w:w="20" w:type="dxa"/>
            </w:tcMar>
            <w:vAlign w:val="bottom"/>
          </w:tcPr>
          <w:p w14:paraId="5F2D59ED"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E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EF"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1"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3"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5"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7"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9"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B"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D"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9F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9FF"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5A00" w14:textId="77777777" w:rsidR="00E836FB" w:rsidRDefault="00E836FB">
            <w:pPr>
              <w:rPr>
                <w:rFonts w:ascii="宋体"/>
              </w:rPr>
            </w:pPr>
          </w:p>
        </w:tc>
      </w:tr>
      <w:tr w:rsidR="00E836FB" w14:paraId="5F2D5A16" w14:textId="77777777">
        <w:trPr>
          <w:trHeight w:val="60"/>
        </w:trPr>
        <w:tc>
          <w:tcPr>
            <w:tcW w:w="0" w:type="auto"/>
            <w:gridSpan w:val="3"/>
            <w:shd w:val="clear" w:color="auto" w:fill="FFFFFF"/>
            <w:tcMar>
              <w:top w:w="0" w:type="dxa"/>
              <w:left w:w="20" w:type="dxa"/>
              <w:bottom w:w="0" w:type="dxa"/>
              <w:right w:w="20" w:type="dxa"/>
            </w:tcMar>
            <w:vAlign w:val="bottom"/>
          </w:tcPr>
          <w:p w14:paraId="5F2D5A0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0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1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1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1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1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1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A15" w14:textId="77777777" w:rsidR="00E836FB" w:rsidRDefault="00E836FB">
            <w:pPr>
              <w:rPr>
                <w:rFonts w:ascii="宋体"/>
              </w:rPr>
            </w:pPr>
          </w:p>
        </w:tc>
      </w:tr>
      <w:tr w:rsidR="00E836FB" w14:paraId="5F2D5A19" w14:textId="77777777">
        <w:tc>
          <w:tcPr>
            <w:tcW w:w="0" w:type="auto"/>
            <w:gridSpan w:val="3"/>
            <w:shd w:val="clear" w:color="auto" w:fill="FFFFFF"/>
            <w:tcMar>
              <w:top w:w="0" w:type="dxa"/>
              <w:left w:w="20" w:type="dxa"/>
              <w:bottom w:w="0" w:type="dxa"/>
              <w:right w:w="20" w:type="dxa"/>
            </w:tcMar>
            <w:vAlign w:val="bottom"/>
          </w:tcPr>
          <w:p w14:paraId="5F2D5A17" w14:textId="77777777" w:rsidR="00E836FB" w:rsidRDefault="00E836FB">
            <w:pPr>
              <w:rPr>
                <w:rFonts w:ascii="宋体"/>
              </w:rPr>
            </w:pPr>
          </w:p>
        </w:tc>
        <w:tc>
          <w:tcPr>
            <w:tcW w:w="0" w:type="auto"/>
            <w:gridSpan w:val="57"/>
            <w:shd w:val="clear" w:color="auto" w:fill="FFFFFF"/>
            <w:tcMar>
              <w:top w:w="40" w:type="dxa"/>
              <w:left w:w="20" w:type="dxa"/>
              <w:bottom w:w="40" w:type="dxa"/>
              <w:right w:w="20" w:type="dxa"/>
            </w:tcMar>
            <w:vAlign w:val="bottom"/>
          </w:tcPr>
          <w:p w14:paraId="5F2D5A18" w14:textId="77777777" w:rsidR="00E836FB" w:rsidRDefault="00994958">
            <w:pPr>
              <w:jc w:val="center"/>
              <w:textAlignment w:val="bottom"/>
            </w:pPr>
            <w:r>
              <w:rPr>
                <w:rFonts w:ascii="Arial" w:eastAsia="宋体" w:hAnsi="Arial" w:cs="Arial"/>
                <w:b/>
                <w:bCs/>
                <w:color w:val="000000"/>
                <w:sz w:val="14"/>
                <w:szCs w:val="14"/>
              </w:rPr>
              <w:t>Year Ended December 31, 2019</w:t>
            </w:r>
          </w:p>
        </w:tc>
      </w:tr>
      <w:tr w:rsidR="00E836FB" w14:paraId="5F2D5A22" w14:textId="77777777">
        <w:tc>
          <w:tcPr>
            <w:tcW w:w="0" w:type="auto"/>
            <w:gridSpan w:val="3"/>
            <w:shd w:val="clear" w:color="auto" w:fill="FFFFFF"/>
            <w:tcMar>
              <w:top w:w="0" w:type="dxa"/>
              <w:left w:w="20" w:type="dxa"/>
              <w:bottom w:w="0" w:type="dxa"/>
              <w:right w:w="20" w:type="dxa"/>
            </w:tcMar>
            <w:vAlign w:val="bottom"/>
          </w:tcPr>
          <w:p w14:paraId="5F2D5A1A" w14:textId="77777777" w:rsidR="00E836FB" w:rsidRDefault="00E836FB">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5F2D5A1B" w14:textId="77777777" w:rsidR="00E836FB" w:rsidRDefault="00994958">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A1C" w14:textId="77777777" w:rsidR="00E836FB" w:rsidRDefault="00E836FB">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5F2D5A1D" w14:textId="77777777" w:rsidR="00E836FB" w:rsidRDefault="00994958">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A1E" w14:textId="77777777" w:rsidR="00E836FB" w:rsidRDefault="00E836FB">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5F2D5A1F" w14:textId="77777777" w:rsidR="00E836FB" w:rsidRDefault="00994958">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F2D5A20" w14:textId="77777777" w:rsidR="00E836FB" w:rsidRDefault="00E83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F2D5A21" w14:textId="77777777" w:rsidR="00E836FB" w:rsidRDefault="00994958">
            <w:pPr>
              <w:jc w:val="center"/>
              <w:textAlignment w:val="bottom"/>
            </w:pPr>
            <w:r>
              <w:rPr>
                <w:rFonts w:ascii="Arial" w:eastAsia="宋体" w:hAnsi="Arial" w:cs="Arial"/>
                <w:b/>
                <w:bCs/>
                <w:color w:val="000000"/>
                <w:sz w:val="14"/>
                <w:szCs w:val="14"/>
              </w:rPr>
              <w:t>Total</w:t>
            </w:r>
          </w:p>
        </w:tc>
      </w:tr>
      <w:tr w:rsidR="00E836FB" w14:paraId="5F2D5A37" w14:textId="77777777">
        <w:tc>
          <w:tcPr>
            <w:tcW w:w="0" w:type="auto"/>
            <w:gridSpan w:val="3"/>
            <w:shd w:val="clear" w:color="auto" w:fill="FFFFFF"/>
            <w:tcMar>
              <w:top w:w="40" w:type="dxa"/>
              <w:left w:w="20" w:type="dxa"/>
              <w:bottom w:w="40" w:type="dxa"/>
              <w:right w:w="20" w:type="dxa"/>
            </w:tcMar>
            <w:vAlign w:val="bottom"/>
          </w:tcPr>
          <w:p w14:paraId="5F2D5A23" w14:textId="77777777" w:rsidR="00E836FB" w:rsidRDefault="00994958">
            <w:pPr>
              <w:textAlignment w:val="bottom"/>
            </w:pPr>
            <w:r>
              <w:rPr>
                <w:rFonts w:ascii="Arial" w:eastAsia="宋体" w:hAnsi="Arial" w:cs="Arial"/>
                <w:b/>
                <w:bCs/>
                <w:color w:val="000000"/>
                <w:sz w:val="14"/>
                <w:szCs w:val="14"/>
              </w:rPr>
              <w:t>(Dollars in millions)</w:t>
            </w:r>
          </w:p>
        </w:tc>
        <w:tc>
          <w:tcPr>
            <w:tcW w:w="0" w:type="auto"/>
            <w:gridSpan w:val="3"/>
            <w:shd w:val="clear" w:color="auto" w:fill="FFFFFF"/>
            <w:tcMar>
              <w:top w:w="40" w:type="dxa"/>
              <w:left w:w="20" w:type="dxa"/>
              <w:bottom w:w="40" w:type="dxa"/>
              <w:right w:w="20" w:type="dxa"/>
            </w:tcMar>
            <w:vAlign w:val="bottom"/>
          </w:tcPr>
          <w:p w14:paraId="5F2D5A24" w14:textId="77777777" w:rsidR="00E836FB" w:rsidRDefault="00994958">
            <w:pPr>
              <w:jc w:val="center"/>
              <w:textAlignment w:val="bottom"/>
            </w:pPr>
            <w:r>
              <w:rPr>
                <w:rFonts w:ascii="Arial" w:eastAsia="宋体" w:hAnsi="Arial" w:cs="Arial"/>
                <w:b/>
                <w:bCs/>
                <w:color w:val="000000"/>
                <w:sz w:val="14"/>
                <w:szCs w:val="14"/>
              </w:rPr>
              <w:t>Topic 606 revenue</w:t>
            </w:r>
          </w:p>
        </w:tc>
        <w:tc>
          <w:tcPr>
            <w:tcW w:w="0" w:type="auto"/>
            <w:gridSpan w:val="3"/>
            <w:shd w:val="clear" w:color="auto" w:fill="FFFFFF"/>
            <w:tcMar>
              <w:top w:w="0" w:type="dxa"/>
              <w:left w:w="20" w:type="dxa"/>
              <w:bottom w:w="0" w:type="dxa"/>
              <w:right w:w="20" w:type="dxa"/>
            </w:tcMar>
            <w:vAlign w:val="bottom"/>
          </w:tcPr>
          <w:p w14:paraId="5F2D5A2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26"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shd w:val="clear" w:color="auto" w:fill="FFFFFF"/>
            <w:tcMar>
              <w:top w:w="0" w:type="dxa"/>
              <w:left w:w="20" w:type="dxa"/>
              <w:bottom w:w="0" w:type="dxa"/>
              <w:right w:w="20" w:type="dxa"/>
            </w:tcMar>
            <w:vAlign w:val="bottom"/>
          </w:tcPr>
          <w:p w14:paraId="5F2D5A27"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28"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FFFFFF"/>
            <w:tcMar>
              <w:top w:w="0" w:type="dxa"/>
              <w:left w:w="20" w:type="dxa"/>
              <w:bottom w:w="0" w:type="dxa"/>
              <w:right w:w="20" w:type="dxa"/>
            </w:tcMar>
            <w:vAlign w:val="bottom"/>
          </w:tcPr>
          <w:p w14:paraId="5F2D5A29"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2A" w14:textId="77777777" w:rsidR="00E836FB" w:rsidRDefault="00994958">
            <w:pPr>
              <w:jc w:val="center"/>
              <w:textAlignment w:val="bottom"/>
            </w:pPr>
            <w:r>
              <w:rPr>
                <w:rFonts w:ascii="Arial" w:eastAsia="宋体" w:hAnsi="Arial" w:cs="Arial"/>
                <w:b/>
                <w:bCs/>
                <w:color w:val="000000"/>
                <w:sz w:val="14"/>
                <w:szCs w:val="14"/>
              </w:rPr>
              <w:t>Topic 606 revenue</w:t>
            </w:r>
          </w:p>
        </w:tc>
        <w:tc>
          <w:tcPr>
            <w:tcW w:w="0" w:type="auto"/>
            <w:gridSpan w:val="3"/>
            <w:shd w:val="clear" w:color="auto" w:fill="FFFFFF"/>
            <w:tcMar>
              <w:top w:w="0" w:type="dxa"/>
              <w:left w:w="20" w:type="dxa"/>
              <w:bottom w:w="0" w:type="dxa"/>
              <w:right w:w="20" w:type="dxa"/>
            </w:tcMar>
            <w:vAlign w:val="bottom"/>
          </w:tcPr>
          <w:p w14:paraId="5F2D5A2B"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2C"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shd w:val="clear" w:color="auto" w:fill="FFFFFF"/>
            <w:tcMar>
              <w:top w:w="0" w:type="dxa"/>
              <w:left w:w="20" w:type="dxa"/>
              <w:bottom w:w="0" w:type="dxa"/>
              <w:right w:w="20" w:type="dxa"/>
            </w:tcMar>
            <w:vAlign w:val="bottom"/>
          </w:tcPr>
          <w:p w14:paraId="5F2D5A2D"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2E"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FFFFFF"/>
            <w:tcMar>
              <w:top w:w="0" w:type="dxa"/>
              <w:left w:w="20" w:type="dxa"/>
              <w:bottom w:w="0" w:type="dxa"/>
              <w:right w:w="20" w:type="dxa"/>
            </w:tcMar>
            <w:vAlign w:val="bottom"/>
          </w:tcPr>
          <w:p w14:paraId="5F2D5A2F"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30" w14:textId="77777777" w:rsidR="00E836FB" w:rsidRDefault="00994958">
            <w:pPr>
              <w:jc w:val="center"/>
              <w:textAlignment w:val="bottom"/>
            </w:pPr>
            <w:r>
              <w:rPr>
                <w:rFonts w:ascii="Arial" w:eastAsia="宋体" w:hAnsi="Arial" w:cs="Arial"/>
                <w:b/>
                <w:bCs/>
                <w:color w:val="000000"/>
                <w:sz w:val="14"/>
                <w:szCs w:val="14"/>
              </w:rPr>
              <w:t xml:space="preserve">Topic </w:t>
            </w:r>
            <w:r>
              <w:rPr>
                <w:rFonts w:ascii="Arial" w:eastAsia="宋体" w:hAnsi="Arial" w:cs="Arial"/>
                <w:b/>
                <w:bCs/>
                <w:color w:val="000000"/>
                <w:sz w:val="14"/>
                <w:szCs w:val="14"/>
              </w:rPr>
              <w:t>606 revenue</w:t>
            </w:r>
          </w:p>
        </w:tc>
        <w:tc>
          <w:tcPr>
            <w:tcW w:w="0" w:type="auto"/>
            <w:gridSpan w:val="3"/>
            <w:shd w:val="clear" w:color="auto" w:fill="FFFFFF"/>
            <w:tcMar>
              <w:top w:w="0" w:type="dxa"/>
              <w:left w:w="20" w:type="dxa"/>
              <w:bottom w:w="0" w:type="dxa"/>
              <w:right w:w="20" w:type="dxa"/>
            </w:tcMar>
            <w:vAlign w:val="bottom"/>
          </w:tcPr>
          <w:p w14:paraId="5F2D5A31"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32" w14:textId="77777777" w:rsidR="00E836FB" w:rsidRDefault="00994958">
            <w:pPr>
              <w:jc w:val="center"/>
              <w:textAlignment w:val="bottom"/>
            </w:pPr>
            <w:r>
              <w:rPr>
                <w:rFonts w:ascii="Arial" w:eastAsia="宋体" w:hAnsi="Arial" w:cs="Arial"/>
                <w:b/>
                <w:bCs/>
                <w:color w:val="000000"/>
                <w:sz w:val="14"/>
                <w:szCs w:val="14"/>
              </w:rPr>
              <w:t>All other revenue</w:t>
            </w:r>
          </w:p>
        </w:tc>
        <w:tc>
          <w:tcPr>
            <w:tcW w:w="0" w:type="auto"/>
            <w:gridSpan w:val="3"/>
            <w:shd w:val="clear" w:color="auto" w:fill="FFFFFF"/>
            <w:tcMar>
              <w:top w:w="0" w:type="dxa"/>
              <w:left w:w="20" w:type="dxa"/>
              <w:bottom w:w="0" w:type="dxa"/>
              <w:right w:w="20" w:type="dxa"/>
            </w:tcMar>
            <w:vAlign w:val="bottom"/>
          </w:tcPr>
          <w:p w14:paraId="5F2D5A33"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34" w14:textId="77777777" w:rsidR="00E836FB" w:rsidRDefault="00994958">
            <w:pPr>
              <w:jc w:val="center"/>
              <w:textAlignment w:val="bottom"/>
            </w:pPr>
            <w:r>
              <w:rPr>
                <w:rFonts w:ascii="Arial" w:eastAsia="宋体" w:hAnsi="Arial" w:cs="Arial"/>
                <w:b/>
                <w:bCs/>
                <w:color w:val="000000"/>
                <w:sz w:val="14"/>
                <w:szCs w:val="14"/>
              </w:rPr>
              <w:t>Total</w:t>
            </w:r>
          </w:p>
        </w:tc>
        <w:tc>
          <w:tcPr>
            <w:tcW w:w="0" w:type="auto"/>
            <w:gridSpan w:val="3"/>
            <w:shd w:val="clear" w:color="auto" w:fill="FFFFFF"/>
            <w:tcMar>
              <w:top w:w="0" w:type="dxa"/>
              <w:left w:w="20" w:type="dxa"/>
              <w:bottom w:w="0" w:type="dxa"/>
              <w:right w:w="20" w:type="dxa"/>
            </w:tcMar>
            <w:vAlign w:val="bottom"/>
          </w:tcPr>
          <w:p w14:paraId="5F2D5A35" w14:textId="77777777" w:rsidR="00E836FB" w:rsidRDefault="00E836FB">
            <w:pPr>
              <w:rPr>
                <w:rFonts w:ascii="宋体"/>
              </w:rPr>
            </w:pPr>
          </w:p>
        </w:tc>
        <w:tc>
          <w:tcPr>
            <w:tcW w:w="0" w:type="auto"/>
            <w:gridSpan w:val="3"/>
            <w:shd w:val="clear" w:color="auto" w:fill="FFFFFF"/>
            <w:tcMar>
              <w:top w:w="40" w:type="dxa"/>
              <w:left w:w="20" w:type="dxa"/>
              <w:bottom w:w="40" w:type="dxa"/>
              <w:right w:w="20" w:type="dxa"/>
            </w:tcMar>
            <w:vAlign w:val="bottom"/>
          </w:tcPr>
          <w:p w14:paraId="5F2D5A36" w14:textId="77777777" w:rsidR="00E836FB" w:rsidRDefault="00994958">
            <w:pPr>
              <w:jc w:val="center"/>
              <w:textAlignment w:val="bottom"/>
            </w:pPr>
            <w:r>
              <w:rPr>
                <w:rFonts w:ascii="Arial" w:eastAsia="宋体" w:hAnsi="Arial" w:cs="Arial"/>
                <w:b/>
                <w:bCs/>
                <w:color w:val="000000"/>
                <w:sz w:val="14"/>
                <w:szCs w:val="14"/>
              </w:rPr>
              <w:t>2019</w:t>
            </w:r>
          </w:p>
        </w:tc>
      </w:tr>
      <w:tr w:rsidR="00994958" w14:paraId="5F2D5A60" w14:textId="77777777">
        <w:tc>
          <w:tcPr>
            <w:tcW w:w="0" w:type="auto"/>
            <w:gridSpan w:val="3"/>
            <w:shd w:val="clear" w:color="auto" w:fill="CCEEFF"/>
            <w:tcMar>
              <w:top w:w="40" w:type="dxa"/>
              <w:left w:w="155" w:type="dxa"/>
              <w:bottom w:w="40" w:type="dxa"/>
              <w:right w:w="20" w:type="dxa"/>
            </w:tcMar>
            <w:vAlign w:val="bottom"/>
          </w:tcPr>
          <w:p w14:paraId="5F2D5A38" w14:textId="77777777" w:rsidR="00E836FB" w:rsidRDefault="00994958">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A3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3A" w14:textId="77777777" w:rsidR="00E836FB" w:rsidRDefault="00994958">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3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3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3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3E"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4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4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42" w14:textId="77777777" w:rsidR="00E836FB" w:rsidRDefault="00994958">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4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4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46"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4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4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4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4A"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4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4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4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4E"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5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5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52"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5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54"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55"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56"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5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5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5A"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5C"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A5D"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A5E" w14:textId="77777777" w:rsidR="00E836FB" w:rsidRDefault="00994958">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A5F" w14:textId="77777777" w:rsidR="00E836FB" w:rsidRDefault="00E836FB">
            <w:pPr>
              <w:jc w:val="right"/>
              <w:rPr>
                <w:rFonts w:ascii="宋体"/>
              </w:rPr>
            </w:pPr>
          </w:p>
        </w:tc>
      </w:tr>
      <w:tr w:rsidR="00E836FB" w14:paraId="5F2D5A7F" w14:textId="77777777">
        <w:tc>
          <w:tcPr>
            <w:tcW w:w="0" w:type="auto"/>
            <w:gridSpan w:val="3"/>
            <w:shd w:val="clear" w:color="auto" w:fill="FFFFFF"/>
            <w:tcMar>
              <w:top w:w="40" w:type="dxa"/>
              <w:left w:w="155" w:type="dxa"/>
              <w:bottom w:w="40" w:type="dxa"/>
              <w:right w:w="20" w:type="dxa"/>
            </w:tcMar>
            <w:vAlign w:val="bottom"/>
          </w:tcPr>
          <w:p w14:paraId="5F2D5A61" w14:textId="77777777" w:rsidR="00E836FB" w:rsidRDefault="00994958">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F2D5A6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6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6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6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6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6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6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6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6B" w14:textId="77777777" w:rsidR="00E836FB" w:rsidRDefault="00994958">
            <w:pPr>
              <w:jc w:val="right"/>
              <w:textAlignment w:val="bottom"/>
            </w:pPr>
            <w:r>
              <w:rPr>
                <w:rFonts w:ascii="Arial" w:eastAsia="宋体" w:hAnsi="Arial" w:cs="Arial"/>
                <w:color w:val="000000"/>
                <w:sz w:val="14"/>
                <w:szCs w:val="14"/>
              </w:rPr>
              <w:t>1,824 </w:t>
            </w:r>
          </w:p>
        </w:tc>
        <w:tc>
          <w:tcPr>
            <w:tcW w:w="0" w:type="auto"/>
            <w:shd w:val="clear" w:color="auto" w:fill="FFFFFF"/>
            <w:tcMar>
              <w:top w:w="40" w:type="dxa"/>
              <w:left w:w="0" w:type="dxa"/>
              <w:bottom w:w="40" w:type="dxa"/>
              <w:right w:w="20" w:type="dxa"/>
            </w:tcMar>
            <w:vAlign w:val="bottom"/>
          </w:tcPr>
          <w:p w14:paraId="5F2D5A6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6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7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71" w14:textId="77777777" w:rsidR="00E836FB" w:rsidRDefault="00994958">
            <w:pPr>
              <w:jc w:val="right"/>
              <w:textAlignment w:val="bottom"/>
            </w:pPr>
            <w:r>
              <w:rPr>
                <w:rFonts w:ascii="Arial" w:eastAsia="宋体" w:hAnsi="Arial" w:cs="Arial"/>
                <w:color w:val="000000"/>
                <w:sz w:val="14"/>
                <w:szCs w:val="14"/>
              </w:rPr>
              <w:t>1,824 </w:t>
            </w:r>
          </w:p>
        </w:tc>
        <w:tc>
          <w:tcPr>
            <w:tcW w:w="0" w:type="auto"/>
            <w:shd w:val="clear" w:color="auto" w:fill="FFFFFF"/>
            <w:tcMar>
              <w:top w:w="40" w:type="dxa"/>
              <w:left w:w="0" w:type="dxa"/>
              <w:bottom w:w="40" w:type="dxa"/>
              <w:right w:w="20" w:type="dxa"/>
            </w:tcMar>
            <w:vAlign w:val="bottom"/>
          </w:tcPr>
          <w:p w14:paraId="5F2D5A7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7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7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7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7A"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7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7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7D" w14:textId="77777777" w:rsidR="00E836FB" w:rsidRDefault="00994958">
            <w:pPr>
              <w:jc w:val="right"/>
              <w:textAlignment w:val="bottom"/>
            </w:pPr>
            <w:r>
              <w:rPr>
                <w:rFonts w:ascii="Arial" w:eastAsia="宋体" w:hAnsi="Arial" w:cs="Arial"/>
                <w:color w:val="000000"/>
                <w:sz w:val="14"/>
                <w:szCs w:val="14"/>
              </w:rPr>
              <w:t>1,824 </w:t>
            </w:r>
          </w:p>
        </w:tc>
        <w:tc>
          <w:tcPr>
            <w:tcW w:w="0" w:type="auto"/>
            <w:shd w:val="clear" w:color="auto" w:fill="FFFFFF"/>
            <w:tcMar>
              <w:top w:w="40" w:type="dxa"/>
              <w:left w:w="0" w:type="dxa"/>
              <w:bottom w:w="40" w:type="dxa"/>
              <w:right w:w="20" w:type="dxa"/>
            </w:tcMar>
            <w:vAlign w:val="bottom"/>
          </w:tcPr>
          <w:p w14:paraId="5F2D5A7E" w14:textId="77777777" w:rsidR="00E836FB" w:rsidRDefault="00E836FB">
            <w:pPr>
              <w:jc w:val="right"/>
              <w:rPr>
                <w:rFonts w:ascii="宋体"/>
              </w:rPr>
            </w:pPr>
          </w:p>
        </w:tc>
      </w:tr>
      <w:tr w:rsidR="00E836FB" w14:paraId="5F2D5A9E" w14:textId="77777777">
        <w:tc>
          <w:tcPr>
            <w:tcW w:w="0" w:type="auto"/>
            <w:gridSpan w:val="3"/>
            <w:shd w:val="clear" w:color="auto" w:fill="CCEEFF"/>
            <w:tcMar>
              <w:top w:w="40" w:type="dxa"/>
              <w:left w:w="155" w:type="dxa"/>
              <w:bottom w:w="40" w:type="dxa"/>
              <w:right w:w="20" w:type="dxa"/>
            </w:tcMar>
            <w:vAlign w:val="bottom"/>
          </w:tcPr>
          <w:p w14:paraId="5F2D5A80" w14:textId="77777777" w:rsidR="00E836FB" w:rsidRDefault="00994958">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5F2D5A81" w14:textId="77777777" w:rsidR="00E836FB" w:rsidRDefault="00994958">
            <w:pPr>
              <w:jc w:val="right"/>
              <w:textAlignment w:val="bottom"/>
            </w:pPr>
            <w:r>
              <w:rPr>
                <w:rFonts w:ascii="Arial" w:eastAsia="宋体" w:hAnsi="Arial" w:cs="Arial"/>
                <w:color w:val="000000"/>
                <w:sz w:val="14"/>
                <w:szCs w:val="14"/>
              </w:rPr>
              <w:t>346 </w:t>
            </w:r>
          </w:p>
        </w:tc>
        <w:tc>
          <w:tcPr>
            <w:tcW w:w="0" w:type="auto"/>
            <w:shd w:val="clear" w:color="auto" w:fill="CCEEFF"/>
            <w:tcMar>
              <w:top w:w="40" w:type="dxa"/>
              <w:left w:w="0" w:type="dxa"/>
              <w:bottom w:w="40" w:type="dxa"/>
              <w:right w:w="20" w:type="dxa"/>
            </w:tcMar>
            <w:vAlign w:val="bottom"/>
          </w:tcPr>
          <w:p w14:paraId="5F2D5A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8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84" w14:textId="77777777" w:rsidR="00E836FB" w:rsidRDefault="00994958">
            <w:pPr>
              <w:jc w:val="right"/>
              <w:textAlignment w:val="bottom"/>
            </w:pPr>
            <w:r>
              <w:rPr>
                <w:rFonts w:ascii="Arial" w:eastAsia="宋体" w:hAnsi="Arial" w:cs="Arial"/>
                <w:color w:val="000000"/>
                <w:sz w:val="14"/>
                <w:szCs w:val="14"/>
              </w:rPr>
              <w:t>628 </w:t>
            </w:r>
          </w:p>
        </w:tc>
        <w:tc>
          <w:tcPr>
            <w:tcW w:w="0" w:type="auto"/>
            <w:shd w:val="clear" w:color="auto" w:fill="CCEEFF"/>
            <w:tcMar>
              <w:top w:w="40" w:type="dxa"/>
              <w:left w:w="0" w:type="dxa"/>
              <w:bottom w:w="40" w:type="dxa"/>
              <w:right w:w="20" w:type="dxa"/>
            </w:tcMar>
            <w:vAlign w:val="bottom"/>
          </w:tcPr>
          <w:p w14:paraId="5F2D5A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8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87" w14:textId="77777777" w:rsidR="00E836FB" w:rsidRDefault="00994958">
            <w:pPr>
              <w:jc w:val="right"/>
              <w:textAlignment w:val="bottom"/>
            </w:pPr>
            <w:r>
              <w:rPr>
                <w:rFonts w:ascii="Arial" w:eastAsia="宋体" w:hAnsi="Arial" w:cs="Arial"/>
                <w:color w:val="000000"/>
                <w:sz w:val="14"/>
                <w:szCs w:val="14"/>
              </w:rPr>
              <w:t>974 </w:t>
            </w:r>
          </w:p>
        </w:tc>
        <w:tc>
          <w:tcPr>
            <w:tcW w:w="0" w:type="auto"/>
            <w:shd w:val="clear" w:color="auto" w:fill="CCEEFF"/>
            <w:tcMar>
              <w:top w:w="40" w:type="dxa"/>
              <w:left w:w="0" w:type="dxa"/>
              <w:bottom w:w="40" w:type="dxa"/>
              <w:right w:w="20" w:type="dxa"/>
            </w:tcMar>
            <w:vAlign w:val="bottom"/>
          </w:tcPr>
          <w:p w14:paraId="5F2D5A8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8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8A" w14:textId="77777777" w:rsidR="00E836FB" w:rsidRDefault="00994958">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5F2D5A8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8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8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8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8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90" w14:textId="77777777" w:rsidR="00E836FB" w:rsidRDefault="00994958">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5F2D5A9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93"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9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9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9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9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9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9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9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9C" w14:textId="77777777" w:rsidR="00E836FB" w:rsidRDefault="00994958">
            <w:pPr>
              <w:jc w:val="right"/>
              <w:textAlignment w:val="bottom"/>
            </w:pPr>
            <w:r>
              <w:rPr>
                <w:rFonts w:ascii="Arial" w:eastAsia="宋体" w:hAnsi="Arial" w:cs="Arial"/>
                <w:color w:val="000000"/>
                <w:sz w:val="14"/>
                <w:szCs w:val="14"/>
              </w:rPr>
              <w:t>1,058 </w:t>
            </w:r>
          </w:p>
        </w:tc>
        <w:tc>
          <w:tcPr>
            <w:tcW w:w="0" w:type="auto"/>
            <w:shd w:val="clear" w:color="auto" w:fill="CCEEFF"/>
            <w:tcMar>
              <w:top w:w="40" w:type="dxa"/>
              <w:left w:w="0" w:type="dxa"/>
              <w:bottom w:w="40" w:type="dxa"/>
              <w:right w:w="20" w:type="dxa"/>
            </w:tcMar>
            <w:vAlign w:val="bottom"/>
          </w:tcPr>
          <w:p w14:paraId="5F2D5A9D" w14:textId="77777777" w:rsidR="00E836FB" w:rsidRDefault="00E836FB">
            <w:pPr>
              <w:jc w:val="right"/>
              <w:rPr>
                <w:rFonts w:ascii="宋体"/>
              </w:rPr>
            </w:pPr>
          </w:p>
        </w:tc>
      </w:tr>
      <w:tr w:rsidR="00E836FB" w14:paraId="5F2D5ABD" w14:textId="77777777">
        <w:tc>
          <w:tcPr>
            <w:tcW w:w="0" w:type="auto"/>
            <w:gridSpan w:val="3"/>
            <w:shd w:val="clear" w:color="auto" w:fill="FFFFFF"/>
            <w:tcMar>
              <w:top w:w="40" w:type="dxa"/>
              <w:left w:w="155" w:type="dxa"/>
              <w:bottom w:w="40" w:type="dxa"/>
              <w:right w:w="20" w:type="dxa"/>
            </w:tcMar>
            <w:vAlign w:val="bottom"/>
          </w:tcPr>
          <w:p w14:paraId="5F2D5A9F" w14:textId="77777777" w:rsidR="00E836FB" w:rsidRDefault="00994958">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F2D5AA0" w14:textId="77777777" w:rsidR="00E836FB" w:rsidRDefault="00994958">
            <w:pPr>
              <w:jc w:val="right"/>
              <w:textAlignment w:val="bottom"/>
            </w:pPr>
            <w:r>
              <w:rPr>
                <w:rFonts w:ascii="Arial" w:eastAsia="宋体" w:hAnsi="Arial" w:cs="Arial"/>
                <w:color w:val="000000"/>
                <w:sz w:val="14"/>
                <w:szCs w:val="14"/>
              </w:rPr>
              <w:t>259 </w:t>
            </w:r>
          </w:p>
        </w:tc>
        <w:tc>
          <w:tcPr>
            <w:tcW w:w="0" w:type="auto"/>
            <w:shd w:val="clear" w:color="auto" w:fill="FFFFFF"/>
            <w:tcMar>
              <w:top w:w="40" w:type="dxa"/>
              <w:left w:w="0" w:type="dxa"/>
              <w:bottom w:w="40" w:type="dxa"/>
              <w:right w:w="20" w:type="dxa"/>
            </w:tcMar>
            <w:vAlign w:val="bottom"/>
          </w:tcPr>
          <w:p w14:paraId="5F2D5AA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A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A3" w14:textId="77777777" w:rsidR="00E836FB" w:rsidRDefault="00994958">
            <w:pPr>
              <w:jc w:val="right"/>
              <w:textAlignment w:val="bottom"/>
            </w:pPr>
            <w:r>
              <w:rPr>
                <w:rFonts w:ascii="Arial" w:eastAsia="宋体" w:hAnsi="Arial" w:cs="Arial"/>
                <w:color w:val="000000"/>
                <w:sz w:val="14"/>
                <w:szCs w:val="14"/>
              </w:rPr>
              <w:t>203 </w:t>
            </w:r>
          </w:p>
        </w:tc>
        <w:tc>
          <w:tcPr>
            <w:tcW w:w="0" w:type="auto"/>
            <w:shd w:val="clear" w:color="auto" w:fill="FFFFFF"/>
            <w:tcMar>
              <w:top w:w="40" w:type="dxa"/>
              <w:left w:w="0" w:type="dxa"/>
              <w:bottom w:w="40" w:type="dxa"/>
              <w:right w:w="20" w:type="dxa"/>
            </w:tcMar>
            <w:vAlign w:val="bottom"/>
          </w:tcPr>
          <w:p w14:paraId="5F2D5AA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A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A6" w14:textId="77777777" w:rsidR="00E836FB" w:rsidRDefault="00994958">
            <w:pPr>
              <w:jc w:val="right"/>
              <w:textAlignment w:val="bottom"/>
            </w:pPr>
            <w:r>
              <w:rPr>
                <w:rFonts w:ascii="Arial" w:eastAsia="宋体" w:hAnsi="Arial" w:cs="Arial"/>
                <w:color w:val="000000"/>
                <w:sz w:val="14"/>
                <w:szCs w:val="14"/>
              </w:rPr>
              <w:t>462 </w:t>
            </w:r>
          </w:p>
        </w:tc>
        <w:tc>
          <w:tcPr>
            <w:tcW w:w="0" w:type="auto"/>
            <w:shd w:val="clear" w:color="auto" w:fill="FFFFFF"/>
            <w:tcMar>
              <w:top w:w="40" w:type="dxa"/>
              <w:left w:w="0" w:type="dxa"/>
              <w:bottom w:w="40" w:type="dxa"/>
              <w:right w:w="20" w:type="dxa"/>
            </w:tcMar>
            <w:vAlign w:val="bottom"/>
          </w:tcPr>
          <w:p w14:paraId="5F2D5AA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A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A9"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A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AC" w14:textId="77777777" w:rsidR="00E836FB" w:rsidRDefault="00994958">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5F2D5AA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A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AF" w14:textId="77777777" w:rsidR="00E836FB" w:rsidRDefault="00994958">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5F2D5AB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B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B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B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B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A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ABB" w14:textId="77777777" w:rsidR="00E836FB" w:rsidRDefault="00994958">
            <w:pPr>
              <w:jc w:val="right"/>
              <w:textAlignment w:val="bottom"/>
            </w:pPr>
            <w:r>
              <w:rPr>
                <w:rFonts w:ascii="Arial" w:eastAsia="宋体" w:hAnsi="Arial" w:cs="Arial"/>
                <w:color w:val="000000"/>
                <w:sz w:val="14"/>
                <w:szCs w:val="14"/>
              </w:rPr>
              <w:t>471 </w:t>
            </w:r>
          </w:p>
        </w:tc>
        <w:tc>
          <w:tcPr>
            <w:tcW w:w="0" w:type="auto"/>
            <w:shd w:val="clear" w:color="auto" w:fill="FFFFFF"/>
            <w:tcMar>
              <w:top w:w="40" w:type="dxa"/>
              <w:left w:w="0" w:type="dxa"/>
              <w:bottom w:w="40" w:type="dxa"/>
              <w:right w:w="20" w:type="dxa"/>
            </w:tcMar>
            <w:vAlign w:val="bottom"/>
          </w:tcPr>
          <w:p w14:paraId="5F2D5ABC" w14:textId="77777777" w:rsidR="00E836FB" w:rsidRDefault="00E836FB">
            <w:pPr>
              <w:jc w:val="right"/>
              <w:rPr>
                <w:rFonts w:ascii="宋体"/>
              </w:rPr>
            </w:pPr>
          </w:p>
        </w:tc>
      </w:tr>
      <w:tr w:rsidR="00E836FB" w14:paraId="5F2D5ADC" w14:textId="77777777">
        <w:tc>
          <w:tcPr>
            <w:tcW w:w="0" w:type="auto"/>
            <w:gridSpan w:val="3"/>
            <w:shd w:val="clear" w:color="auto" w:fill="CCEEFF"/>
            <w:tcMar>
              <w:top w:w="40" w:type="dxa"/>
              <w:left w:w="155" w:type="dxa"/>
              <w:bottom w:w="40" w:type="dxa"/>
              <w:right w:w="20" w:type="dxa"/>
            </w:tcMar>
            <w:vAlign w:val="bottom"/>
          </w:tcPr>
          <w:p w14:paraId="5F2D5ABE" w14:textId="77777777" w:rsidR="00E836FB" w:rsidRDefault="00994958">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5F2D5ABF" w14:textId="77777777" w:rsidR="00E836FB" w:rsidRDefault="00994958">
            <w:pPr>
              <w:jc w:val="right"/>
              <w:textAlignment w:val="bottom"/>
            </w:pPr>
            <w:r>
              <w:rPr>
                <w:rFonts w:ascii="Arial" w:eastAsia="宋体" w:hAnsi="Arial" w:cs="Arial"/>
                <w:color w:val="000000"/>
                <w:sz w:val="14"/>
                <w:szCs w:val="14"/>
              </w:rPr>
              <w:t>456 </w:t>
            </w:r>
          </w:p>
        </w:tc>
        <w:tc>
          <w:tcPr>
            <w:tcW w:w="0" w:type="auto"/>
            <w:shd w:val="clear" w:color="auto" w:fill="CCEEFF"/>
            <w:tcMar>
              <w:top w:w="40" w:type="dxa"/>
              <w:left w:w="0" w:type="dxa"/>
              <w:bottom w:w="40" w:type="dxa"/>
              <w:right w:w="20" w:type="dxa"/>
            </w:tcMar>
            <w:vAlign w:val="bottom"/>
          </w:tcPr>
          <w:p w14:paraId="5F2D5A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C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C2" w14:textId="77777777" w:rsidR="00E836FB" w:rsidRDefault="00994958">
            <w:pPr>
              <w:jc w:val="right"/>
              <w:textAlignment w:val="bottom"/>
            </w:pPr>
            <w:r>
              <w:rPr>
                <w:rFonts w:ascii="Arial" w:eastAsia="宋体" w:hAnsi="Arial" w:cs="Arial"/>
                <w:color w:val="000000"/>
                <w:sz w:val="14"/>
                <w:szCs w:val="14"/>
              </w:rPr>
              <w:t>235 </w:t>
            </w:r>
          </w:p>
        </w:tc>
        <w:tc>
          <w:tcPr>
            <w:tcW w:w="0" w:type="auto"/>
            <w:shd w:val="clear" w:color="auto" w:fill="CCEEFF"/>
            <w:tcMar>
              <w:top w:w="40" w:type="dxa"/>
              <w:left w:w="0" w:type="dxa"/>
              <w:bottom w:w="40" w:type="dxa"/>
              <w:right w:w="20" w:type="dxa"/>
            </w:tcMar>
            <w:vAlign w:val="bottom"/>
          </w:tcPr>
          <w:p w14:paraId="5F2D5A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C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C5" w14:textId="77777777" w:rsidR="00E836FB" w:rsidRDefault="00994958">
            <w:pPr>
              <w:jc w:val="right"/>
              <w:textAlignment w:val="bottom"/>
            </w:pPr>
            <w:r>
              <w:rPr>
                <w:rFonts w:ascii="Arial" w:eastAsia="宋体" w:hAnsi="Arial" w:cs="Arial"/>
                <w:color w:val="000000"/>
                <w:sz w:val="14"/>
                <w:szCs w:val="14"/>
              </w:rPr>
              <w:t>691 </w:t>
            </w:r>
          </w:p>
        </w:tc>
        <w:tc>
          <w:tcPr>
            <w:tcW w:w="0" w:type="auto"/>
            <w:shd w:val="clear" w:color="auto" w:fill="CCEEFF"/>
            <w:tcMar>
              <w:top w:w="40" w:type="dxa"/>
              <w:left w:w="0" w:type="dxa"/>
              <w:bottom w:w="40" w:type="dxa"/>
              <w:right w:w="20" w:type="dxa"/>
            </w:tcMar>
            <w:vAlign w:val="bottom"/>
          </w:tcPr>
          <w:p w14:paraId="5F2D5A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C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CB" w14:textId="77777777" w:rsidR="00E836FB" w:rsidRDefault="00994958">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5F2D5A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CE" w14:textId="77777777" w:rsidR="00E836FB" w:rsidRDefault="00994958">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5F2D5A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D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D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D7"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ADA" w14:textId="77777777" w:rsidR="00E836FB" w:rsidRDefault="00994958">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5F2D5ADB" w14:textId="77777777" w:rsidR="00E836FB" w:rsidRDefault="00E836FB">
            <w:pPr>
              <w:jc w:val="right"/>
              <w:rPr>
                <w:rFonts w:ascii="宋体"/>
              </w:rPr>
            </w:pPr>
          </w:p>
        </w:tc>
      </w:tr>
      <w:tr w:rsidR="00E836FB" w14:paraId="5F2D5AFB" w14:textId="77777777">
        <w:tc>
          <w:tcPr>
            <w:tcW w:w="0" w:type="auto"/>
            <w:gridSpan w:val="3"/>
            <w:shd w:val="clear" w:color="auto" w:fill="FFFFFF"/>
            <w:tcMar>
              <w:top w:w="40" w:type="dxa"/>
              <w:left w:w="20" w:type="dxa"/>
              <w:bottom w:w="40" w:type="dxa"/>
              <w:right w:w="20" w:type="dxa"/>
            </w:tcMar>
            <w:vAlign w:val="bottom"/>
          </w:tcPr>
          <w:p w14:paraId="5F2D5ADD" w14:textId="77777777" w:rsidR="00E836FB" w:rsidRDefault="00994958">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DE" w14:textId="77777777" w:rsidR="00E836FB" w:rsidRDefault="00994958">
            <w:pPr>
              <w:jc w:val="right"/>
              <w:textAlignment w:val="bottom"/>
            </w:pPr>
            <w:r>
              <w:rPr>
                <w:rFonts w:ascii="Arial" w:eastAsia="宋体" w:hAnsi="Arial" w:cs="Arial"/>
                <w:color w:val="000000"/>
                <w:sz w:val="14"/>
                <w:szCs w:val="14"/>
              </w:rPr>
              <w:t>6,135 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E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E1" w14:textId="77777777" w:rsidR="00E836FB" w:rsidRDefault="00994958">
            <w:pPr>
              <w:jc w:val="right"/>
              <w:textAlignment w:val="bottom"/>
            </w:pPr>
            <w:r>
              <w:rPr>
                <w:rFonts w:ascii="Arial" w:eastAsia="宋体" w:hAnsi="Arial" w:cs="Arial"/>
                <w:color w:val="000000"/>
                <w:sz w:val="14"/>
                <w:szCs w:val="14"/>
              </w:rPr>
              <w:t>1,066 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E3"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E4" w14:textId="77777777" w:rsidR="00E836FB" w:rsidRDefault="00994958">
            <w:pPr>
              <w:jc w:val="right"/>
              <w:textAlignment w:val="bottom"/>
            </w:pPr>
            <w:r>
              <w:rPr>
                <w:rFonts w:ascii="Arial" w:eastAsia="宋体" w:hAnsi="Arial" w:cs="Arial"/>
                <w:color w:val="000000"/>
                <w:sz w:val="14"/>
                <w:szCs w:val="14"/>
              </w:rPr>
              <w:t>7,201 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E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E7" w14:textId="77777777" w:rsidR="00E836FB" w:rsidRDefault="00994958">
            <w:pPr>
              <w:jc w:val="right"/>
              <w:textAlignment w:val="bottom"/>
            </w:pPr>
            <w:r>
              <w:rPr>
                <w:rFonts w:ascii="Arial" w:eastAsia="宋体" w:hAnsi="Arial" w:cs="Arial"/>
                <w:color w:val="000000"/>
                <w:sz w:val="14"/>
                <w:szCs w:val="14"/>
              </w:rPr>
              <w:t>1,908 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E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E9"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EA" w14:textId="77777777" w:rsidR="00E836FB" w:rsidRDefault="00994958">
            <w:pPr>
              <w:jc w:val="right"/>
              <w:textAlignment w:val="bottom"/>
            </w:pPr>
            <w:r>
              <w:rPr>
                <w:rFonts w:ascii="Arial" w:eastAsia="宋体" w:hAnsi="Arial" w:cs="Arial"/>
                <w:color w:val="000000"/>
                <w:sz w:val="14"/>
                <w:szCs w:val="14"/>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E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E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ED" w14:textId="77777777" w:rsidR="00E836FB" w:rsidRDefault="00994958">
            <w:pPr>
              <w:jc w:val="right"/>
              <w:textAlignment w:val="bottom"/>
            </w:pPr>
            <w:r>
              <w:rPr>
                <w:rFonts w:ascii="Arial" w:eastAsia="宋体" w:hAnsi="Arial" w:cs="Arial"/>
                <w:color w:val="000000"/>
                <w:sz w:val="14"/>
                <w:szCs w:val="14"/>
              </w:rPr>
              <w:t>1,946 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E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F0"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F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F3"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F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F6"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AF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AF9" w14:textId="77777777" w:rsidR="00E836FB" w:rsidRDefault="00994958">
            <w:pPr>
              <w:jc w:val="right"/>
              <w:textAlignment w:val="bottom"/>
            </w:pPr>
            <w:r>
              <w:rPr>
                <w:rFonts w:ascii="Arial" w:eastAsia="宋体" w:hAnsi="Arial" w:cs="Arial"/>
                <w:color w:val="000000"/>
                <w:sz w:val="14"/>
                <w:szCs w:val="14"/>
              </w:rPr>
              <w:t>9,147 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AFA" w14:textId="77777777" w:rsidR="00E836FB" w:rsidRDefault="00E836FB">
            <w:pPr>
              <w:jc w:val="right"/>
              <w:rPr>
                <w:rFonts w:ascii="宋体"/>
              </w:rPr>
            </w:pPr>
          </w:p>
        </w:tc>
      </w:tr>
      <w:tr w:rsidR="00E836FB" w14:paraId="5F2D5B1A" w14:textId="77777777">
        <w:tc>
          <w:tcPr>
            <w:tcW w:w="0" w:type="auto"/>
            <w:gridSpan w:val="3"/>
            <w:shd w:val="clear" w:color="auto" w:fill="CCEEFF"/>
            <w:tcMar>
              <w:top w:w="40" w:type="dxa"/>
              <w:left w:w="155" w:type="dxa"/>
              <w:bottom w:w="40" w:type="dxa"/>
              <w:right w:w="20" w:type="dxa"/>
            </w:tcMar>
            <w:vAlign w:val="bottom"/>
          </w:tcPr>
          <w:p w14:paraId="5F2D5AFC" w14:textId="77777777" w:rsidR="00E836FB" w:rsidRDefault="00994958">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5F2D5AFD"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A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A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00" w14:textId="77777777" w:rsidR="00E836FB" w:rsidRDefault="00994958">
            <w:pPr>
              <w:jc w:val="right"/>
              <w:textAlignment w:val="bottom"/>
            </w:pPr>
            <w:r>
              <w:rPr>
                <w:rFonts w:ascii="Arial" w:eastAsia="宋体" w:hAnsi="Arial" w:cs="Arial"/>
                <w:color w:val="000000"/>
                <w:sz w:val="14"/>
                <w:szCs w:val="14"/>
              </w:rPr>
              <w:t>2,590 </w:t>
            </w:r>
          </w:p>
        </w:tc>
        <w:tc>
          <w:tcPr>
            <w:tcW w:w="0" w:type="auto"/>
            <w:shd w:val="clear" w:color="auto" w:fill="CCEEFF"/>
            <w:tcMar>
              <w:top w:w="40" w:type="dxa"/>
              <w:left w:w="0" w:type="dxa"/>
              <w:bottom w:w="40" w:type="dxa"/>
              <w:right w:w="20" w:type="dxa"/>
            </w:tcMar>
            <w:vAlign w:val="bottom"/>
          </w:tcPr>
          <w:p w14:paraId="5F2D5B0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0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03" w14:textId="77777777" w:rsidR="00E836FB" w:rsidRDefault="00994958">
            <w:pPr>
              <w:jc w:val="right"/>
              <w:textAlignment w:val="bottom"/>
            </w:pPr>
            <w:r>
              <w:rPr>
                <w:rFonts w:ascii="Arial" w:eastAsia="宋体" w:hAnsi="Arial" w:cs="Arial"/>
                <w:color w:val="000000"/>
                <w:sz w:val="14"/>
                <w:szCs w:val="14"/>
              </w:rPr>
              <w:t>2,590 </w:t>
            </w:r>
          </w:p>
        </w:tc>
        <w:tc>
          <w:tcPr>
            <w:tcW w:w="0" w:type="auto"/>
            <w:shd w:val="clear" w:color="auto" w:fill="CCEEFF"/>
            <w:tcMar>
              <w:top w:w="40" w:type="dxa"/>
              <w:left w:w="0" w:type="dxa"/>
              <w:bottom w:w="40" w:type="dxa"/>
              <w:right w:w="20" w:type="dxa"/>
            </w:tcMar>
            <w:vAlign w:val="bottom"/>
          </w:tcPr>
          <w:p w14:paraId="5F2D5B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0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0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B0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0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09" w14:textId="77777777" w:rsidR="00E836FB" w:rsidRDefault="00994958">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5F2D5B0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0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0C" w14:textId="77777777" w:rsidR="00E836FB" w:rsidRDefault="00994958">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5F2D5B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0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0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B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1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B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1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5B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1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B18" w14:textId="77777777" w:rsidR="00E836FB" w:rsidRDefault="00994958">
            <w:pPr>
              <w:jc w:val="right"/>
              <w:textAlignment w:val="bottom"/>
            </w:pPr>
            <w:r>
              <w:rPr>
                <w:rFonts w:ascii="Arial" w:eastAsia="宋体" w:hAnsi="Arial" w:cs="Arial"/>
                <w:color w:val="000000"/>
                <w:sz w:val="14"/>
                <w:szCs w:val="14"/>
              </w:rPr>
              <w:t>2,566 </w:t>
            </w:r>
          </w:p>
        </w:tc>
        <w:tc>
          <w:tcPr>
            <w:tcW w:w="0" w:type="auto"/>
            <w:shd w:val="clear" w:color="auto" w:fill="CCEEFF"/>
            <w:tcMar>
              <w:top w:w="40" w:type="dxa"/>
              <w:left w:w="0" w:type="dxa"/>
              <w:bottom w:w="40" w:type="dxa"/>
              <w:right w:w="20" w:type="dxa"/>
            </w:tcMar>
            <w:vAlign w:val="bottom"/>
          </w:tcPr>
          <w:p w14:paraId="5F2D5B19" w14:textId="77777777" w:rsidR="00E836FB" w:rsidRDefault="00E836FB">
            <w:pPr>
              <w:jc w:val="right"/>
              <w:rPr>
                <w:rFonts w:ascii="宋体"/>
              </w:rPr>
            </w:pPr>
          </w:p>
        </w:tc>
      </w:tr>
      <w:tr w:rsidR="00E836FB" w14:paraId="5F2D5B39" w14:textId="77777777">
        <w:tc>
          <w:tcPr>
            <w:tcW w:w="0" w:type="auto"/>
            <w:gridSpan w:val="3"/>
            <w:shd w:val="clear" w:color="auto" w:fill="FFFFFF"/>
            <w:tcMar>
              <w:top w:w="40" w:type="dxa"/>
              <w:left w:w="155" w:type="dxa"/>
              <w:bottom w:w="40" w:type="dxa"/>
              <w:right w:w="20" w:type="dxa"/>
            </w:tcMar>
            <w:vAlign w:val="bottom"/>
          </w:tcPr>
          <w:p w14:paraId="5F2D5B1B" w14:textId="77777777" w:rsidR="00E836FB" w:rsidRDefault="00994958">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5F2D5B1C"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B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1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1F"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F2D5B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2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22"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F2D5B2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2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2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B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2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28"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B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2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2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B2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2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2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B2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3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3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B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3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3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5B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B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B37" w14:textId="77777777" w:rsidR="00E836FB" w:rsidRDefault="00994958">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F2D5B38" w14:textId="77777777" w:rsidR="00E836FB" w:rsidRDefault="00E836FB">
            <w:pPr>
              <w:jc w:val="right"/>
              <w:rPr>
                <w:rFonts w:ascii="宋体"/>
              </w:rPr>
            </w:pPr>
          </w:p>
        </w:tc>
      </w:tr>
      <w:tr w:rsidR="00994958" w14:paraId="5F2D5B62" w14:textId="77777777">
        <w:tc>
          <w:tcPr>
            <w:tcW w:w="0" w:type="auto"/>
            <w:gridSpan w:val="3"/>
            <w:shd w:val="clear" w:color="auto" w:fill="CCEEFF"/>
            <w:tcMar>
              <w:top w:w="40" w:type="dxa"/>
              <w:left w:w="20" w:type="dxa"/>
              <w:bottom w:w="40" w:type="dxa"/>
              <w:right w:w="20" w:type="dxa"/>
            </w:tcMar>
            <w:vAlign w:val="bottom"/>
          </w:tcPr>
          <w:p w14:paraId="5F2D5B3A" w14:textId="77777777" w:rsidR="00E836FB" w:rsidRDefault="00994958">
            <w:pPr>
              <w:textAlignment w:val="bottom"/>
            </w:pPr>
            <w:r>
              <w:rPr>
                <w:rFonts w:ascii="Arial" w:eastAsia="宋体" w:hAnsi="Arial" w:cs="Arial"/>
                <w:color w:val="000000"/>
                <w:sz w:val="14"/>
                <w:szCs w:val="14"/>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3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3C" w14:textId="77777777" w:rsidR="00E836FB" w:rsidRDefault="00994958">
            <w:pPr>
              <w:jc w:val="right"/>
              <w:textAlignment w:val="bottom"/>
            </w:pPr>
            <w:r>
              <w:rPr>
                <w:rFonts w:ascii="Arial" w:eastAsia="宋体" w:hAnsi="Arial" w:cs="Arial"/>
                <w:color w:val="000000"/>
                <w:sz w:val="14"/>
                <w:szCs w:val="14"/>
              </w:rPr>
              <w:t>6,135 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3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3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40" w14:textId="77777777" w:rsidR="00E836FB" w:rsidRDefault="00994958">
            <w:pPr>
              <w:jc w:val="right"/>
              <w:textAlignment w:val="bottom"/>
            </w:pPr>
            <w:r>
              <w:rPr>
                <w:rFonts w:ascii="Arial" w:eastAsia="宋体" w:hAnsi="Arial" w:cs="Arial"/>
                <w:color w:val="000000"/>
                <w:sz w:val="14"/>
                <w:szCs w:val="14"/>
              </w:rPr>
              <w:t>3,699 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4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4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4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44" w14:textId="77777777" w:rsidR="00E836FB" w:rsidRDefault="00994958">
            <w:pPr>
              <w:jc w:val="right"/>
              <w:textAlignment w:val="bottom"/>
            </w:pPr>
            <w:r>
              <w:rPr>
                <w:rFonts w:ascii="Arial" w:eastAsia="宋体" w:hAnsi="Arial" w:cs="Arial"/>
                <w:color w:val="000000"/>
                <w:sz w:val="14"/>
                <w:szCs w:val="14"/>
              </w:rPr>
              <w:t>9,834 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4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4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4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48" w14:textId="77777777" w:rsidR="00E836FB" w:rsidRDefault="00994958">
            <w:pPr>
              <w:jc w:val="right"/>
              <w:textAlignment w:val="bottom"/>
            </w:pPr>
            <w:r>
              <w:rPr>
                <w:rFonts w:ascii="Arial" w:eastAsia="宋体" w:hAnsi="Arial" w:cs="Arial"/>
                <w:color w:val="000000"/>
                <w:sz w:val="14"/>
                <w:szCs w:val="14"/>
              </w:rPr>
              <w:t>1,908 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4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4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4C" w14:textId="77777777" w:rsidR="00E836FB" w:rsidRDefault="00994958">
            <w:pPr>
              <w:jc w:val="right"/>
              <w:textAlignment w:val="bottom"/>
            </w:pPr>
            <w:r>
              <w:rPr>
                <w:rFonts w:ascii="Arial" w:eastAsia="宋体" w:hAnsi="Arial" w:cs="Arial"/>
                <w:color w:val="000000"/>
                <w:sz w:val="14"/>
                <w:szCs w:val="14"/>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4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4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4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50" w14:textId="77777777" w:rsidR="00E836FB" w:rsidRDefault="00994958">
            <w:pPr>
              <w:jc w:val="right"/>
              <w:textAlignment w:val="bottom"/>
            </w:pPr>
            <w:r>
              <w:rPr>
                <w:rFonts w:ascii="Arial" w:eastAsia="宋体" w:hAnsi="Arial" w:cs="Arial"/>
                <w:color w:val="000000"/>
                <w:sz w:val="14"/>
                <w:szCs w:val="14"/>
              </w:rPr>
              <w:t>1,922 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5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5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53"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54"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56"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57"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58"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5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5B"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5C" w14:textId="77777777" w:rsidR="00E836FB" w:rsidRDefault="00994958">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5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B5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B5F"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B60" w14:textId="77777777" w:rsidR="00E836FB" w:rsidRDefault="00994958">
            <w:pPr>
              <w:jc w:val="right"/>
              <w:textAlignment w:val="bottom"/>
            </w:pPr>
            <w:r>
              <w:rPr>
                <w:rFonts w:ascii="Arial" w:eastAsia="宋体" w:hAnsi="Arial" w:cs="Arial"/>
                <w:color w:val="000000"/>
                <w:sz w:val="14"/>
                <w:szCs w:val="14"/>
              </w:rPr>
              <w:t>11,756 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B61" w14:textId="77777777" w:rsidR="00E836FB" w:rsidRDefault="00E836FB">
            <w:pPr>
              <w:jc w:val="right"/>
              <w:rPr>
                <w:rFonts w:ascii="宋体"/>
              </w:rPr>
            </w:pPr>
          </w:p>
        </w:tc>
      </w:tr>
    </w:tbl>
    <w:p w14:paraId="5F2D5B63" w14:textId="77777777" w:rsidR="00E836FB" w:rsidRDefault="00994958">
      <w:pPr>
        <w:spacing w:before="90"/>
        <w:jc w:val="both"/>
      </w:pPr>
      <w:r>
        <w:rPr>
          <w:rFonts w:ascii="Arial" w:eastAsia="宋体" w:hAnsi="Arial" w:cs="Arial"/>
          <w:b/>
          <w:bCs/>
          <w:color w:val="000000"/>
          <w:sz w:val="20"/>
          <w:szCs w:val="20"/>
        </w:rPr>
        <w:t>Contract balances and contract costs</w:t>
      </w:r>
    </w:p>
    <w:p w14:paraId="5F2D5B64" w14:textId="77777777" w:rsidR="00E836FB" w:rsidRDefault="00994958">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December 31, 2021 and </w:t>
      </w:r>
      <w:r>
        <w:rPr>
          <w:rFonts w:ascii="Arial" w:eastAsia="宋体" w:hAnsi="Arial" w:cs="Arial"/>
          <w:color w:val="000000"/>
          <w:sz w:val="20"/>
          <w:szCs w:val="20"/>
        </w:rPr>
        <w:t>December 31, 2020, net receivables of $2.76 billion and $2.68 billion, respectively, are included in accrued interest and fees receivable, representing amounts billed or currently billable related to revenue from contracts with customers. As performance ob</w:t>
      </w:r>
      <w:r>
        <w:rPr>
          <w:rFonts w:ascii="Arial" w:eastAsia="宋体" w:hAnsi="Arial" w:cs="Arial"/>
          <w:color w:val="000000"/>
          <w:sz w:val="20"/>
          <w:szCs w:val="20"/>
        </w:rPr>
        <w:t>ligations are satisfied, we have an unconditional right to payment and billing is generally performed monthly; therefore, we do not have significant contract assets or liabilities.</w:t>
      </w:r>
    </w:p>
    <w:p w14:paraId="5F2D5B65" w14:textId="77777777" w:rsidR="00E836FB" w:rsidRDefault="00994958">
      <w:pPr>
        <w:spacing w:before="60"/>
        <w:ind w:firstLine="450"/>
        <w:jc w:val="both"/>
      </w:pPr>
      <w:r>
        <w:rPr>
          <w:rFonts w:ascii="Arial" w:eastAsia="宋体" w:hAnsi="Arial" w:cs="Arial"/>
          <w:color w:val="000000"/>
          <w:sz w:val="20"/>
          <w:szCs w:val="20"/>
        </w:rPr>
        <w:t>No adjustments are made to the promised amount of consideration for the eff</w:t>
      </w:r>
      <w:r>
        <w:rPr>
          <w:rFonts w:ascii="Arial" w:eastAsia="宋体" w:hAnsi="Arial" w:cs="Arial"/>
          <w:color w:val="000000"/>
          <w:sz w:val="20"/>
          <w:szCs w:val="20"/>
        </w:rPr>
        <w:t>ects of a significant financing component as the period between when we transfer a promised service to a customer and when the customer pays for that service is expected to be one year or less.</w:t>
      </w:r>
    </w:p>
    <w:p w14:paraId="5F2D5B66" w14:textId="77777777" w:rsidR="00E836FB" w:rsidRDefault="00E836FB">
      <w:pPr>
        <w:spacing w:before="60"/>
        <w:ind w:firstLine="450"/>
        <w:jc w:val="both"/>
      </w:pPr>
    </w:p>
    <w:p w14:paraId="5F2D5B67" w14:textId="77777777" w:rsidR="00E836FB" w:rsidRDefault="00E836FB">
      <w:pPr>
        <w:spacing w:before="60"/>
        <w:ind w:firstLine="450"/>
        <w:jc w:val="both"/>
      </w:pPr>
    </w:p>
    <w:p w14:paraId="5F2D5B68" w14:textId="77777777" w:rsidR="00E836FB" w:rsidRDefault="00994958">
      <w:pPr>
        <w:ind w:firstLine="450"/>
        <w:jc w:val="right"/>
      </w:pPr>
      <w:r>
        <w:rPr>
          <w:rFonts w:ascii="Arial" w:eastAsia="宋体" w:hAnsi="Arial" w:cs="Arial"/>
          <w:color w:val="000000"/>
          <w:sz w:val="18"/>
          <w:szCs w:val="18"/>
        </w:rPr>
        <w:t>State Street Corporation | 183</w:t>
      </w:r>
    </w:p>
    <w:p w14:paraId="5F2D5B69" w14:textId="77777777" w:rsidR="00E836FB" w:rsidRDefault="00E836FB">
      <w:pPr>
        <w:ind w:firstLine="450"/>
        <w:jc w:val="center"/>
      </w:pPr>
    </w:p>
    <w:p w14:paraId="5F2D5B6A" w14:textId="77777777" w:rsidR="00E836FB" w:rsidRDefault="00994958">
      <w:r>
        <w:pict w14:anchorId="5F2D6E3C">
          <v:rect id="_x0000_i1207" style="width:415.3pt;height:1.5pt" o:hralign="center" o:hrstd="t" o:hr="t" fillcolor="#a0a0a0" stroked="f"/>
        </w:pict>
      </w:r>
    </w:p>
    <w:p w14:paraId="5F2D5B6B" w14:textId="77777777" w:rsidR="00E836FB" w:rsidRDefault="00994958">
      <w:pPr>
        <w:ind w:firstLine="450"/>
        <w:jc w:val="center"/>
      </w:pPr>
      <w:r>
        <w:rPr>
          <w:rFonts w:ascii="Arial" w:eastAsia="宋体" w:hAnsi="Arial" w:cs="Arial"/>
          <w:b/>
          <w:bCs/>
          <w:color w:val="000000"/>
          <w:sz w:val="20"/>
          <w:szCs w:val="20"/>
        </w:rPr>
        <w:t>STATE STREET CORPORATION</w:t>
      </w:r>
    </w:p>
    <w:p w14:paraId="5F2D5B6C" w14:textId="77777777" w:rsidR="00E836FB" w:rsidRDefault="00994958">
      <w:pPr>
        <w:ind w:firstLine="450"/>
        <w:jc w:val="center"/>
      </w:pPr>
      <w:r>
        <w:rPr>
          <w:rFonts w:ascii="Arial" w:eastAsia="宋体" w:hAnsi="Arial" w:cs="Arial"/>
          <w:b/>
          <w:bCs/>
          <w:color w:val="000000"/>
          <w:sz w:val="20"/>
          <w:szCs w:val="20"/>
        </w:rPr>
        <w:t>N</w:t>
      </w:r>
      <w:r>
        <w:rPr>
          <w:rFonts w:ascii="Arial" w:eastAsia="宋体" w:hAnsi="Arial" w:cs="Arial"/>
          <w:b/>
          <w:bCs/>
          <w:color w:val="000000"/>
          <w:sz w:val="20"/>
          <w:szCs w:val="20"/>
        </w:rPr>
        <w:t>OTES TO CONSOLIDATED FINANCIAL STATEMENTS</w:t>
      </w:r>
    </w:p>
    <w:p w14:paraId="5F2D5B6D" w14:textId="77777777" w:rsidR="00E836FB" w:rsidRDefault="00994958">
      <w:pPr>
        <w:spacing w:before="180"/>
        <w:textAlignment w:val="top"/>
      </w:pPr>
      <w:r>
        <w:rPr>
          <w:rFonts w:ascii="Arial" w:eastAsia="宋体" w:hAnsi="Arial" w:cs="Arial"/>
          <w:b/>
          <w:bCs/>
          <w:color w:val="000000"/>
          <w:sz w:val="20"/>
          <w:szCs w:val="20"/>
        </w:rPr>
        <w:t>Note 26.    Non-U.S. Activities</w:t>
      </w:r>
    </w:p>
    <w:p w14:paraId="5F2D5B6E" w14:textId="77777777" w:rsidR="00E836FB" w:rsidRDefault="00994958">
      <w:pPr>
        <w:spacing w:before="60"/>
        <w:ind w:firstLine="450"/>
        <w:jc w:val="both"/>
      </w:pPr>
      <w:r>
        <w:rPr>
          <w:rFonts w:ascii="Arial" w:eastAsia="宋体" w:hAnsi="Arial" w:cs="Arial"/>
          <w:color w:val="000000"/>
          <w:sz w:val="20"/>
          <w:szCs w:val="20"/>
        </w:rPr>
        <w:t>We define our non-U.S. activities as those revenue-producing business activities that arise from clients which are generally serviced or managed outside the U.S. Due to the integrate</w:t>
      </w:r>
      <w:r>
        <w:rPr>
          <w:rFonts w:ascii="Arial" w:eastAsia="宋体" w:hAnsi="Arial" w:cs="Arial"/>
          <w:color w:val="000000"/>
          <w:sz w:val="20"/>
          <w:szCs w:val="20"/>
        </w:rPr>
        <w:t>d nature of our business, precise segregation of our U.S. and non-U.S. activities is not possible.</w:t>
      </w:r>
    </w:p>
    <w:p w14:paraId="5F2D5B6F" w14:textId="77777777" w:rsidR="00E836FB" w:rsidRDefault="00994958">
      <w:pPr>
        <w:spacing w:before="60"/>
        <w:ind w:firstLine="450"/>
        <w:jc w:val="both"/>
      </w:pPr>
      <w:r>
        <w:rPr>
          <w:rFonts w:ascii="Arial" w:eastAsia="宋体" w:hAnsi="Arial" w:cs="Arial"/>
          <w:color w:val="000000"/>
          <w:sz w:val="20"/>
          <w:szCs w:val="20"/>
        </w:rPr>
        <w:t xml:space="preserve">Subjective estimates, assumptions and other judgments are applied to quantify the financial results and assets related to our non-U.S. activities, including </w:t>
      </w:r>
      <w:r>
        <w:rPr>
          <w:rFonts w:ascii="Arial" w:eastAsia="宋体" w:hAnsi="Arial" w:cs="Arial"/>
          <w:color w:val="000000"/>
          <w:sz w:val="20"/>
          <w:szCs w:val="20"/>
        </w:rPr>
        <w:t>our application of funds transfer pricing, our asset and liability management policies and our allocation of certain indirect corporate expenses. Management periodically reviews and updates its processes for quantifying the financial results and assets rel</w:t>
      </w:r>
      <w:r>
        <w:rPr>
          <w:rFonts w:ascii="Arial" w:eastAsia="宋体" w:hAnsi="Arial" w:cs="Arial"/>
          <w:color w:val="000000"/>
          <w:sz w:val="20"/>
          <w:szCs w:val="20"/>
        </w:rPr>
        <w:t xml:space="preserve">ated to our non-U.S. activities. </w:t>
      </w:r>
    </w:p>
    <w:p w14:paraId="5F2D5B70" w14:textId="77777777" w:rsidR="00E836FB" w:rsidRDefault="00994958">
      <w:pPr>
        <w:spacing w:before="60"/>
        <w:ind w:firstLine="450"/>
        <w:jc w:val="both"/>
      </w:pPr>
      <w:r>
        <w:rPr>
          <w:rFonts w:ascii="Arial" w:eastAsia="宋体" w:hAnsi="Arial" w:cs="Arial"/>
          <w:color w:val="000000"/>
          <w:sz w:val="20"/>
          <w:szCs w:val="20"/>
        </w:rPr>
        <w:t>The following table presents our U.S. and non-U.S. financial results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37"/>
        <w:gridCol w:w="892"/>
        <w:gridCol w:w="36"/>
        <w:gridCol w:w="110"/>
        <w:gridCol w:w="738"/>
        <w:gridCol w:w="36"/>
        <w:gridCol w:w="36"/>
        <w:gridCol w:w="36"/>
        <w:gridCol w:w="36"/>
        <w:gridCol w:w="109"/>
        <w:gridCol w:w="445"/>
        <w:gridCol w:w="36"/>
        <w:gridCol w:w="36"/>
        <w:gridCol w:w="36"/>
        <w:gridCol w:w="36"/>
        <w:gridCol w:w="109"/>
        <w:gridCol w:w="534"/>
        <w:gridCol w:w="36"/>
        <w:gridCol w:w="36"/>
        <w:gridCol w:w="36"/>
        <w:gridCol w:w="36"/>
        <w:gridCol w:w="110"/>
        <w:gridCol w:w="738"/>
        <w:gridCol w:w="36"/>
        <w:gridCol w:w="36"/>
        <w:gridCol w:w="36"/>
        <w:gridCol w:w="36"/>
        <w:gridCol w:w="109"/>
        <w:gridCol w:w="445"/>
        <w:gridCol w:w="36"/>
        <w:gridCol w:w="36"/>
        <w:gridCol w:w="36"/>
        <w:gridCol w:w="36"/>
        <w:gridCol w:w="109"/>
        <w:gridCol w:w="534"/>
        <w:gridCol w:w="36"/>
        <w:gridCol w:w="36"/>
        <w:gridCol w:w="36"/>
        <w:gridCol w:w="36"/>
        <w:gridCol w:w="110"/>
        <w:gridCol w:w="738"/>
        <w:gridCol w:w="36"/>
        <w:gridCol w:w="36"/>
        <w:gridCol w:w="36"/>
        <w:gridCol w:w="36"/>
        <w:gridCol w:w="109"/>
        <w:gridCol w:w="445"/>
        <w:gridCol w:w="36"/>
        <w:gridCol w:w="36"/>
        <w:gridCol w:w="36"/>
        <w:gridCol w:w="36"/>
        <w:gridCol w:w="109"/>
        <w:gridCol w:w="534"/>
        <w:gridCol w:w="36"/>
      </w:tblGrid>
      <w:tr w:rsidR="00E836FB" w14:paraId="5F2D5BA7" w14:textId="77777777">
        <w:tc>
          <w:tcPr>
            <w:tcW w:w="50" w:type="pct"/>
            <w:shd w:val="clear" w:color="auto" w:fill="auto"/>
            <w:vAlign w:val="bottom"/>
          </w:tcPr>
          <w:p w14:paraId="5F2D5B71" w14:textId="77777777" w:rsidR="00E836FB" w:rsidRDefault="00E836FB">
            <w:pPr>
              <w:rPr>
                <w:rFonts w:ascii="宋体"/>
              </w:rPr>
            </w:pPr>
          </w:p>
        </w:tc>
        <w:tc>
          <w:tcPr>
            <w:tcW w:w="922" w:type="pct"/>
            <w:shd w:val="clear" w:color="auto" w:fill="auto"/>
            <w:vAlign w:val="bottom"/>
          </w:tcPr>
          <w:p w14:paraId="5F2D5B72" w14:textId="77777777" w:rsidR="00E836FB" w:rsidRDefault="00E836FB">
            <w:pPr>
              <w:rPr>
                <w:rFonts w:ascii="宋体"/>
              </w:rPr>
            </w:pPr>
          </w:p>
        </w:tc>
        <w:tc>
          <w:tcPr>
            <w:tcW w:w="5" w:type="pct"/>
            <w:shd w:val="clear" w:color="auto" w:fill="auto"/>
            <w:vAlign w:val="bottom"/>
          </w:tcPr>
          <w:p w14:paraId="5F2D5B73" w14:textId="77777777" w:rsidR="00E836FB" w:rsidRDefault="00E836FB">
            <w:pPr>
              <w:rPr>
                <w:rFonts w:ascii="宋体"/>
              </w:rPr>
            </w:pPr>
          </w:p>
        </w:tc>
        <w:tc>
          <w:tcPr>
            <w:tcW w:w="50" w:type="pct"/>
            <w:shd w:val="clear" w:color="auto" w:fill="auto"/>
            <w:vAlign w:val="bottom"/>
          </w:tcPr>
          <w:p w14:paraId="5F2D5B74" w14:textId="77777777" w:rsidR="00E836FB" w:rsidRDefault="00E836FB">
            <w:pPr>
              <w:rPr>
                <w:rFonts w:ascii="宋体"/>
              </w:rPr>
            </w:pPr>
          </w:p>
        </w:tc>
        <w:tc>
          <w:tcPr>
            <w:tcW w:w="408" w:type="pct"/>
            <w:shd w:val="clear" w:color="auto" w:fill="auto"/>
            <w:vAlign w:val="bottom"/>
          </w:tcPr>
          <w:p w14:paraId="5F2D5B75" w14:textId="77777777" w:rsidR="00E836FB" w:rsidRDefault="00E836FB">
            <w:pPr>
              <w:rPr>
                <w:rFonts w:ascii="宋体"/>
              </w:rPr>
            </w:pPr>
          </w:p>
        </w:tc>
        <w:tc>
          <w:tcPr>
            <w:tcW w:w="5" w:type="pct"/>
            <w:shd w:val="clear" w:color="auto" w:fill="auto"/>
            <w:vAlign w:val="bottom"/>
          </w:tcPr>
          <w:p w14:paraId="5F2D5B76" w14:textId="77777777" w:rsidR="00E836FB" w:rsidRDefault="00E836FB">
            <w:pPr>
              <w:rPr>
                <w:rFonts w:ascii="宋体"/>
              </w:rPr>
            </w:pPr>
          </w:p>
        </w:tc>
        <w:tc>
          <w:tcPr>
            <w:tcW w:w="5" w:type="pct"/>
            <w:shd w:val="clear" w:color="auto" w:fill="auto"/>
            <w:vAlign w:val="bottom"/>
          </w:tcPr>
          <w:p w14:paraId="5F2D5B77" w14:textId="77777777" w:rsidR="00E836FB" w:rsidRDefault="00E836FB">
            <w:pPr>
              <w:rPr>
                <w:rFonts w:ascii="宋体"/>
              </w:rPr>
            </w:pPr>
          </w:p>
        </w:tc>
        <w:tc>
          <w:tcPr>
            <w:tcW w:w="26" w:type="pct"/>
            <w:shd w:val="clear" w:color="auto" w:fill="auto"/>
            <w:vAlign w:val="bottom"/>
          </w:tcPr>
          <w:p w14:paraId="5F2D5B78" w14:textId="77777777" w:rsidR="00E836FB" w:rsidRDefault="00E836FB">
            <w:pPr>
              <w:rPr>
                <w:rFonts w:ascii="宋体"/>
              </w:rPr>
            </w:pPr>
          </w:p>
        </w:tc>
        <w:tc>
          <w:tcPr>
            <w:tcW w:w="5" w:type="pct"/>
            <w:shd w:val="clear" w:color="auto" w:fill="auto"/>
            <w:vAlign w:val="bottom"/>
          </w:tcPr>
          <w:p w14:paraId="5F2D5B79" w14:textId="77777777" w:rsidR="00E836FB" w:rsidRDefault="00E836FB">
            <w:pPr>
              <w:rPr>
                <w:rFonts w:ascii="宋体"/>
              </w:rPr>
            </w:pPr>
          </w:p>
        </w:tc>
        <w:tc>
          <w:tcPr>
            <w:tcW w:w="50" w:type="pct"/>
            <w:shd w:val="clear" w:color="auto" w:fill="auto"/>
            <w:vAlign w:val="bottom"/>
          </w:tcPr>
          <w:p w14:paraId="5F2D5B7A" w14:textId="77777777" w:rsidR="00E836FB" w:rsidRDefault="00E836FB">
            <w:pPr>
              <w:rPr>
                <w:rFonts w:ascii="宋体"/>
              </w:rPr>
            </w:pPr>
          </w:p>
        </w:tc>
        <w:tc>
          <w:tcPr>
            <w:tcW w:w="334" w:type="pct"/>
            <w:shd w:val="clear" w:color="auto" w:fill="auto"/>
            <w:vAlign w:val="bottom"/>
          </w:tcPr>
          <w:p w14:paraId="5F2D5B7B" w14:textId="77777777" w:rsidR="00E836FB" w:rsidRDefault="00E836FB">
            <w:pPr>
              <w:rPr>
                <w:rFonts w:ascii="宋体"/>
              </w:rPr>
            </w:pPr>
          </w:p>
        </w:tc>
        <w:tc>
          <w:tcPr>
            <w:tcW w:w="5" w:type="pct"/>
            <w:shd w:val="clear" w:color="auto" w:fill="auto"/>
            <w:vAlign w:val="bottom"/>
          </w:tcPr>
          <w:p w14:paraId="5F2D5B7C" w14:textId="77777777" w:rsidR="00E836FB" w:rsidRDefault="00E836FB">
            <w:pPr>
              <w:rPr>
                <w:rFonts w:ascii="宋体"/>
              </w:rPr>
            </w:pPr>
          </w:p>
        </w:tc>
        <w:tc>
          <w:tcPr>
            <w:tcW w:w="5" w:type="pct"/>
            <w:shd w:val="clear" w:color="auto" w:fill="auto"/>
            <w:vAlign w:val="bottom"/>
          </w:tcPr>
          <w:p w14:paraId="5F2D5B7D" w14:textId="77777777" w:rsidR="00E836FB" w:rsidRDefault="00E836FB">
            <w:pPr>
              <w:rPr>
                <w:rFonts w:ascii="宋体"/>
              </w:rPr>
            </w:pPr>
          </w:p>
        </w:tc>
        <w:tc>
          <w:tcPr>
            <w:tcW w:w="26" w:type="pct"/>
            <w:shd w:val="clear" w:color="auto" w:fill="auto"/>
            <w:vAlign w:val="bottom"/>
          </w:tcPr>
          <w:p w14:paraId="5F2D5B7E" w14:textId="77777777" w:rsidR="00E836FB" w:rsidRDefault="00E836FB">
            <w:pPr>
              <w:rPr>
                <w:rFonts w:ascii="宋体"/>
              </w:rPr>
            </w:pPr>
          </w:p>
        </w:tc>
        <w:tc>
          <w:tcPr>
            <w:tcW w:w="5" w:type="pct"/>
            <w:shd w:val="clear" w:color="auto" w:fill="auto"/>
            <w:vAlign w:val="bottom"/>
          </w:tcPr>
          <w:p w14:paraId="5F2D5B7F" w14:textId="77777777" w:rsidR="00E836FB" w:rsidRDefault="00E836FB">
            <w:pPr>
              <w:rPr>
                <w:rFonts w:ascii="宋体"/>
              </w:rPr>
            </w:pPr>
          </w:p>
        </w:tc>
        <w:tc>
          <w:tcPr>
            <w:tcW w:w="50" w:type="pct"/>
            <w:shd w:val="clear" w:color="auto" w:fill="auto"/>
            <w:vAlign w:val="bottom"/>
          </w:tcPr>
          <w:p w14:paraId="5F2D5B80" w14:textId="77777777" w:rsidR="00E836FB" w:rsidRDefault="00E836FB">
            <w:pPr>
              <w:rPr>
                <w:rFonts w:ascii="宋体"/>
              </w:rPr>
            </w:pPr>
          </w:p>
        </w:tc>
        <w:tc>
          <w:tcPr>
            <w:tcW w:w="334" w:type="pct"/>
            <w:shd w:val="clear" w:color="auto" w:fill="auto"/>
            <w:vAlign w:val="bottom"/>
          </w:tcPr>
          <w:p w14:paraId="5F2D5B81" w14:textId="77777777" w:rsidR="00E836FB" w:rsidRDefault="00E836FB">
            <w:pPr>
              <w:rPr>
                <w:rFonts w:ascii="宋体"/>
              </w:rPr>
            </w:pPr>
          </w:p>
        </w:tc>
        <w:tc>
          <w:tcPr>
            <w:tcW w:w="5" w:type="pct"/>
            <w:shd w:val="clear" w:color="auto" w:fill="auto"/>
            <w:vAlign w:val="bottom"/>
          </w:tcPr>
          <w:p w14:paraId="5F2D5B82" w14:textId="77777777" w:rsidR="00E836FB" w:rsidRDefault="00E836FB">
            <w:pPr>
              <w:rPr>
                <w:rFonts w:ascii="宋体"/>
              </w:rPr>
            </w:pPr>
          </w:p>
        </w:tc>
        <w:tc>
          <w:tcPr>
            <w:tcW w:w="5" w:type="pct"/>
            <w:shd w:val="clear" w:color="auto" w:fill="auto"/>
            <w:vAlign w:val="bottom"/>
          </w:tcPr>
          <w:p w14:paraId="5F2D5B83" w14:textId="77777777" w:rsidR="00E836FB" w:rsidRDefault="00E836FB">
            <w:pPr>
              <w:rPr>
                <w:rFonts w:ascii="宋体"/>
              </w:rPr>
            </w:pPr>
          </w:p>
        </w:tc>
        <w:tc>
          <w:tcPr>
            <w:tcW w:w="26" w:type="pct"/>
            <w:shd w:val="clear" w:color="auto" w:fill="auto"/>
            <w:vAlign w:val="bottom"/>
          </w:tcPr>
          <w:p w14:paraId="5F2D5B84" w14:textId="77777777" w:rsidR="00E836FB" w:rsidRDefault="00E836FB">
            <w:pPr>
              <w:rPr>
                <w:rFonts w:ascii="宋体"/>
              </w:rPr>
            </w:pPr>
          </w:p>
        </w:tc>
        <w:tc>
          <w:tcPr>
            <w:tcW w:w="5" w:type="pct"/>
            <w:shd w:val="clear" w:color="auto" w:fill="auto"/>
            <w:vAlign w:val="bottom"/>
          </w:tcPr>
          <w:p w14:paraId="5F2D5B85" w14:textId="77777777" w:rsidR="00E836FB" w:rsidRDefault="00E836FB">
            <w:pPr>
              <w:rPr>
                <w:rFonts w:ascii="宋体"/>
              </w:rPr>
            </w:pPr>
          </w:p>
        </w:tc>
        <w:tc>
          <w:tcPr>
            <w:tcW w:w="50" w:type="pct"/>
            <w:shd w:val="clear" w:color="auto" w:fill="auto"/>
            <w:vAlign w:val="bottom"/>
          </w:tcPr>
          <w:p w14:paraId="5F2D5B86" w14:textId="77777777" w:rsidR="00E836FB" w:rsidRDefault="00E836FB">
            <w:pPr>
              <w:rPr>
                <w:rFonts w:ascii="宋体"/>
              </w:rPr>
            </w:pPr>
          </w:p>
        </w:tc>
        <w:tc>
          <w:tcPr>
            <w:tcW w:w="408" w:type="pct"/>
            <w:shd w:val="clear" w:color="auto" w:fill="auto"/>
            <w:vAlign w:val="bottom"/>
          </w:tcPr>
          <w:p w14:paraId="5F2D5B87" w14:textId="77777777" w:rsidR="00E836FB" w:rsidRDefault="00E836FB">
            <w:pPr>
              <w:rPr>
                <w:rFonts w:ascii="宋体"/>
              </w:rPr>
            </w:pPr>
          </w:p>
        </w:tc>
        <w:tc>
          <w:tcPr>
            <w:tcW w:w="5" w:type="pct"/>
            <w:shd w:val="clear" w:color="auto" w:fill="auto"/>
            <w:vAlign w:val="bottom"/>
          </w:tcPr>
          <w:p w14:paraId="5F2D5B88" w14:textId="77777777" w:rsidR="00E836FB" w:rsidRDefault="00E836FB">
            <w:pPr>
              <w:rPr>
                <w:rFonts w:ascii="宋体"/>
              </w:rPr>
            </w:pPr>
          </w:p>
        </w:tc>
        <w:tc>
          <w:tcPr>
            <w:tcW w:w="5" w:type="pct"/>
            <w:shd w:val="clear" w:color="auto" w:fill="auto"/>
            <w:vAlign w:val="bottom"/>
          </w:tcPr>
          <w:p w14:paraId="5F2D5B89" w14:textId="77777777" w:rsidR="00E836FB" w:rsidRDefault="00E836FB">
            <w:pPr>
              <w:rPr>
                <w:rFonts w:ascii="宋体"/>
              </w:rPr>
            </w:pPr>
          </w:p>
        </w:tc>
        <w:tc>
          <w:tcPr>
            <w:tcW w:w="26" w:type="pct"/>
            <w:shd w:val="clear" w:color="auto" w:fill="auto"/>
            <w:vAlign w:val="bottom"/>
          </w:tcPr>
          <w:p w14:paraId="5F2D5B8A" w14:textId="77777777" w:rsidR="00E836FB" w:rsidRDefault="00E836FB">
            <w:pPr>
              <w:rPr>
                <w:rFonts w:ascii="宋体"/>
              </w:rPr>
            </w:pPr>
          </w:p>
        </w:tc>
        <w:tc>
          <w:tcPr>
            <w:tcW w:w="5" w:type="pct"/>
            <w:shd w:val="clear" w:color="auto" w:fill="auto"/>
            <w:vAlign w:val="bottom"/>
          </w:tcPr>
          <w:p w14:paraId="5F2D5B8B" w14:textId="77777777" w:rsidR="00E836FB" w:rsidRDefault="00E836FB">
            <w:pPr>
              <w:rPr>
                <w:rFonts w:ascii="宋体"/>
              </w:rPr>
            </w:pPr>
          </w:p>
        </w:tc>
        <w:tc>
          <w:tcPr>
            <w:tcW w:w="50" w:type="pct"/>
            <w:shd w:val="clear" w:color="auto" w:fill="auto"/>
            <w:vAlign w:val="bottom"/>
          </w:tcPr>
          <w:p w14:paraId="5F2D5B8C" w14:textId="77777777" w:rsidR="00E836FB" w:rsidRDefault="00E836FB">
            <w:pPr>
              <w:rPr>
                <w:rFonts w:ascii="宋体"/>
              </w:rPr>
            </w:pPr>
          </w:p>
        </w:tc>
        <w:tc>
          <w:tcPr>
            <w:tcW w:w="334" w:type="pct"/>
            <w:shd w:val="clear" w:color="auto" w:fill="auto"/>
            <w:vAlign w:val="bottom"/>
          </w:tcPr>
          <w:p w14:paraId="5F2D5B8D" w14:textId="77777777" w:rsidR="00E836FB" w:rsidRDefault="00E836FB">
            <w:pPr>
              <w:rPr>
                <w:rFonts w:ascii="宋体"/>
              </w:rPr>
            </w:pPr>
          </w:p>
        </w:tc>
        <w:tc>
          <w:tcPr>
            <w:tcW w:w="5" w:type="pct"/>
            <w:shd w:val="clear" w:color="auto" w:fill="auto"/>
            <w:vAlign w:val="bottom"/>
          </w:tcPr>
          <w:p w14:paraId="5F2D5B8E" w14:textId="77777777" w:rsidR="00E836FB" w:rsidRDefault="00E836FB">
            <w:pPr>
              <w:rPr>
                <w:rFonts w:ascii="宋体"/>
              </w:rPr>
            </w:pPr>
          </w:p>
        </w:tc>
        <w:tc>
          <w:tcPr>
            <w:tcW w:w="5" w:type="pct"/>
            <w:shd w:val="clear" w:color="auto" w:fill="auto"/>
            <w:vAlign w:val="bottom"/>
          </w:tcPr>
          <w:p w14:paraId="5F2D5B8F" w14:textId="77777777" w:rsidR="00E836FB" w:rsidRDefault="00E836FB">
            <w:pPr>
              <w:rPr>
                <w:rFonts w:ascii="宋体"/>
              </w:rPr>
            </w:pPr>
          </w:p>
        </w:tc>
        <w:tc>
          <w:tcPr>
            <w:tcW w:w="26" w:type="pct"/>
            <w:shd w:val="clear" w:color="auto" w:fill="auto"/>
            <w:vAlign w:val="bottom"/>
          </w:tcPr>
          <w:p w14:paraId="5F2D5B90" w14:textId="77777777" w:rsidR="00E836FB" w:rsidRDefault="00E836FB">
            <w:pPr>
              <w:rPr>
                <w:rFonts w:ascii="宋体"/>
              </w:rPr>
            </w:pPr>
          </w:p>
        </w:tc>
        <w:tc>
          <w:tcPr>
            <w:tcW w:w="5" w:type="pct"/>
            <w:shd w:val="clear" w:color="auto" w:fill="auto"/>
            <w:vAlign w:val="bottom"/>
          </w:tcPr>
          <w:p w14:paraId="5F2D5B91" w14:textId="77777777" w:rsidR="00E836FB" w:rsidRDefault="00E836FB">
            <w:pPr>
              <w:rPr>
                <w:rFonts w:ascii="宋体"/>
              </w:rPr>
            </w:pPr>
          </w:p>
        </w:tc>
        <w:tc>
          <w:tcPr>
            <w:tcW w:w="50" w:type="pct"/>
            <w:shd w:val="clear" w:color="auto" w:fill="auto"/>
            <w:vAlign w:val="bottom"/>
          </w:tcPr>
          <w:p w14:paraId="5F2D5B92" w14:textId="77777777" w:rsidR="00E836FB" w:rsidRDefault="00E836FB">
            <w:pPr>
              <w:rPr>
                <w:rFonts w:ascii="宋体"/>
              </w:rPr>
            </w:pPr>
          </w:p>
        </w:tc>
        <w:tc>
          <w:tcPr>
            <w:tcW w:w="334" w:type="pct"/>
            <w:shd w:val="clear" w:color="auto" w:fill="auto"/>
            <w:vAlign w:val="bottom"/>
          </w:tcPr>
          <w:p w14:paraId="5F2D5B93" w14:textId="77777777" w:rsidR="00E836FB" w:rsidRDefault="00E836FB">
            <w:pPr>
              <w:rPr>
                <w:rFonts w:ascii="宋体"/>
              </w:rPr>
            </w:pPr>
          </w:p>
        </w:tc>
        <w:tc>
          <w:tcPr>
            <w:tcW w:w="5" w:type="pct"/>
            <w:shd w:val="clear" w:color="auto" w:fill="auto"/>
            <w:vAlign w:val="bottom"/>
          </w:tcPr>
          <w:p w14:paraId="5F2D5B94" w14:textId="77777777" w:rsidR="00E836FB" w:rsidRDefault="00E836FB">
            <w:pPr>
              <w:rPr>
                <w:rFonts w:ascii="宋体"/>
              </w:rPr>
            </w:pPr>
          </w:p>
        </w:tc>
        <w:tc>
          <w:tcPr>
            <w:tcW w:w="5" w:type="pct"/>
            <w:shd w:val="clear" w:color="auto" w:fill="auto"/>
            <w:vAlign w:val="bottom"/>
          </w:tcPr>
          <w:p w14:paraId="5F2D5B95" w14:textId="77777777" w:rsidR="00E836FB" w:rsidRDefault="00E836FB">
            <w:pPr>
              <w:rPr>
                <w:rFonts w:ascii="宋体"/>
              </w:rPr>
            </w:pPr>
          </w:p>
        </w:tc>
        <w:tc>
          <w:tcPr>
            <w:tcW w:w="26" w:type="pct"/>
            <w:shd w:val="clear" w:color="auto" w:fill="auto"/>
            <w:vAlign w:val="bottom"/>
          </w:tcPr>
          <w:p w14:paraId="5F2D5B96" w14:textId="77777777" w:rsidR="00E836FB" w:rsidRDefault="00E836FB">
            <w:pPr>
              <w:rPr>
                <w:rFonts w:ascii="宋体"/>
              </w:rPr>
            </w:pPr>
          </w:p>
        </w:tc>
        <w:tc>
          <w:tcPr>
            <w:tcW w:w="5" w:type="pct"/>
            <w:shd w:val="clear" w:color="auto" w:fill="auto"/>
            <w:vAlign w:val="bottom"/>
          </w:tcPr>
          <w:p w14:paraId="5F2D5B97" w14:textId="77777777" w:rsidR="00E836FB" w:rsidRDefault="00E836FB">
            <w:pPr>
              <w:rPr>
                <w:rFonts w:ascii="宋体"/>
              </w:rPr>
            </w:pPr>
          </w:p>
        </w:tc>
        <w:tc>
          <w:tcPr>
            <w:tcW w:w="50" w:type="pct"/>
            <w:shd w:val="clear" w:color="auto" w:fill="auto"/>
            <w:vAlign w:val="bottom"/>
          </w:tcPr>
          <w:p w14:paraId="5F2D5B98" w14:textId="77777777" w:rsidR="00E836FB" w:rsidRDefault="00E836FB">
            <w:pPr>
              <w:rPr>
                <w:rFonts w:ascii="宋体"/>
              </w:rPr>
            </w:pPr>
          </w:p>
        </w:tc>
        <w:tc>
          <w:tcPr>
            <w:tcW w:w="408" w:type="pct"/>
            <w:shd w:val="clear" w:color="auto" w:fill="auto"/>
            <w:vAlign w:val="bottom"/>
          </w:tcPr>
          <w:p w14:paraId="5F2D5B99" w14:textId="77777777" w:rsidR="00E836FB" w:rsidRDefault="00E836FB">
            <w:pPr>
              <w:rPr>
                <w:rFonts w:ascii="宋体"/>
              </w:rPr>
            </w:pPr>
          </w:p>
        </w:tc>
        <w:tc>
          <w:tcPr>
            <w:tcW w:w="5" w:type="pct"/>
            <w:shd w:val="clear" w:color="auto" w:fill="auto"/>
            <w:vAlign w:val="bottom"/>
          </w:tcPr>
          <w:p w14:paraId="5F2D5B9A" w14:textId="77777777" w:rsidR="00E836FB" w:rsidRDefault="00E836FB">
            <w:pPr>
              <w:rPr>
                <w:rFonts w:ascii="宋体"/>
              </w:rPr>
            </w:pPr>
          </w:p>
        </w:tc>
        <w:tc>
          <w:tcPr>
            <w:tcW w:w="5" w:type="pct"/>
            <w:shd w:val="clear" w:color="auto" w:fill="auto"/>
            <w:vAlign w:val="bottom"/>
          </w:tcPr>
          <w:p w14:paraId="5F2D5B9B" w14:textId="77777777" w:rsidR="00E836FB" w:rsidRDefault="00E836FB">
            <w:pPr>
              <w:rPr>
                <w:rFonts w:ascii="宋体"/>
              </w:rPr>
            </w:pPr>
          </w:p>
        </w:tc>
        <w:tc>
          <w:tcPr>
            <w:tcW w:w="26" w:type="pct"/>
            <w:shd w:val="clear" w:color="auto" w:fill="auto"/>
            <w:vAlign w:val="bottom"/>
          </w:tcPr>
          <w:p w14:paraId="5F2D5B9C" w14:textId="77777777" w:rsidR="00E836FB" w:rsidRDefault="00E836FB">
            <w:pPr>
              <w:rPr>
                <w:rFonts w:ascii="宋体"/>
              </w:rPr>
            </w:pPr>
          </w:p>
        </w:tc>
        <w:tc>
          <w:tcPr>
            <w:tcW w:w="5" w:type="pct"/>
            <w:shd w:val="clear" w:color="auto" w:fill="auto"/>
            <w:vAlign w:val="bottom"/>
          </w:tcPr>
          <w:p w14:paraId="5F2D5B9D" w14:textId="77777777" w:rsidR="00E836FB" w:rsidRDefault="00E836FB">
            <w:pPr>
              <w:rPr>
                <w:rFonts w:ascii="宋体"/>
              </w:rPr>
            </w:pPr>
          </w:p>
        </w:tc>
        <w:tc>
          <w:tcPr>
            <w:tcW w:w="50" w:type="pct"/>
            <w:shd w:val="clear" w:color="auto" w:fill="auto"/>
            <w:vAlign w:val="bottom"/>
          </w:tcPr>
          <w:p w14:paraId="5F2D5B9E" w14:textId="77777777" w:rsidR="00E836FB" w:rsidRDefault="00E836FB">
            <w:pPr>
              <w:rPr>
                <w:rFonts w:ascii="宋体"/>
              </w:rPr>
            </w:pPr>
          </w:p>
        </w:tc>
        <w:tc>
          <w:tcPr>
            <w:tcW w:w="334" w:type="pct"/>
            <w:shd w:val="clear" w:color="auto" w:fill="auto"/>
            <w:vAlign w:val="bottom"/>
          </w:tcPr>
          <w:p w14:paraId="5F2D5B9F" w14:textId="77777777" w:rsidR="00E836FB" w:rsidRDefault="00E836FB">
            <w:pPr>
              <w:rPr>
                <w:rFonts w:ascii="宋体"/>
              </w:rPr>
            </w:pPr>
          </w:p>
        </w:tc>
        <w:tc>
          <w:tcPr>
            <w:tcW w:w="5" w:type="pct"/>
            <w:shd w:val="clear" w:color="auto" w:fill="auto"/>
            <w:vAlign w:val="bottom"/>
          </w:tcPr>
          <w:p w14:paraId="5F2D5BA0" w14:textId="77777777" w:rsidR="00E836FB" w:rsidRDefault="00E836FB">
            <w:pPr>
              <w:rPr>
                <w:rFonts w:ascii="宋体"/>
              </w:rPr>
            </w:pPr>
          </w:p>
        </w:tc>
        <w:tc>
          <w:tcPr>
            <w:tcW w:w="5" w:type="pct"/>
            <w:shd w:val="clear" w:color="auto" w:fill="auto"/>
            <w:vAlign w:val="bottom"/>
          </w:tcPr>
          <w:p w14:paraId="5F2D5BA1" w14:textId="77777777" w:rsidR="00E836FB" w:rsidRDefault="00E836FB">
            <w:pPr>
              <w:rPr>
                <w:rFonts w:ascii="宋体"/>
              </w:rPr>
            </w:pPr>
          </w:p>
        </w:tc>
        <w:tc>
          <w:tcPr>
            <w:tcW w:w="26" w:type="pct"/>
            <w:shd w:val="clear" w:color="auto" w:fill="auto"/>
            <w:vAlign w:val="bottom"/>
          </w:tcPr>
          <w:p w14:paraId="5F2D5BA2" w14:textId="77777777" w:rsidR="00E836FB" w:rsidRDefault="00E836FB">
            <w:pPr>
              <w:rPr>
                <w:rFonts w:ascii="宋体"/>
              </w:rPr>
            </w:pPr>
          </w:p>
        </w:tc>
        <w:tc>
          <w:tcPr>
            <w:tcW w:w="5" w:type="pct"/>
            <w:shd w:val="clear" w:color="auto" w:fill="auto"/>
            <w:vAlign w:val="bottom"/>
          </w:tcPr>
          <w:p w14:paraId="5F2D5BA3" w14:textId="77777777" w:rsidR="00E836FB" w:rsidRDefault="00E836FB">
            <w:pPr>
              <w:rPr>
                <w:rFonts w:ascii="宋体"/>
              </w:rPr>
            </w:pPr>
          </w:p>
        </w:tc>
        <w:tc>
          <w:tcPr>
            <w:tcW w:w="50" w:type="pct"/>
            <w:shd w:val="clear" w:color="auto" w:fill="auto"/>
            <w:vAlign w:val="bottom"/>
          </w:tcPr>
          <w:p w14:paraId="5F2D5BA4" w14:textId="77777777" w:rsidR="00E836FB" w:rsidRDefault="00E836FB">
            <w:pPr>
              <w:rPr>
                <w:rFonts w:ascii="宋体"/>
              </w:rPr>
            </w:pPr>
          </w:p>
        </w:tc>
        <w:tc>
          <w:tcPr>
            <w:tcW w:w="335" w:type="pct"/>
            <w:shd w:val="clear" w:color="auto" w:fill="auto"/>
            <w:vAlign w:val="bottom"/>
          </w:tcPr>
          <w:p w14:paraId="5F2D5BA5" w14:textId="77777777" w:rsidR="00E836FB" w:rsidRDefault="00E836FB">
            <w:pPr>
              <w:rPr>
                <w:rFonts w:ascii="宋体"/>
              </w:rPr>
            </w:pPr>
          </w:p>
        </w:tc>
        <w:tc>
          <w:tcPr>
            <w:tcW w:w="5" w:type="pct"/>
            <w:shd w:val="clear" w:color="auto" w:fill="auto"/>
            <w:vAlign w:val="bottom"/>
          </w:tcPr>
          <w:p w14:paraId="5F2D5BA6" w14:textId="77777777" w:rsidR="00E836FB" w:rsidRDefault="00E836FB">
            <w:pPr>
              <w:rPr>
                <w:rFonts w:ascii="宋体"/>
              </w:rPr>
            </w:pPr>
          </w:p>
        </w:tc>
      </w:tr>
      <w:tr w:rsidR="00E836FB" w14:paraId="5F2D5BCE" w14:textId="77777777">
        <w:trPr>
          <w:hidden/>
        </w:trPr>
        <w:tc>
          <w:tcPr>
            <w:tcW w:w="0" w:type="auto"/>
            <w:gridSpan w:val="3"/>
            <w:shd w:val="clear" w:color="auto" w:fill="auto"/>
            <w:vAlign w:val="bottom"/>
          </w:tcPr>
          <w:p w14:paraId="5F2D5BA8" w14:textId="77777777" w:rsidR="00E836FB" w:rsidRDefault="00E836FB">
            <w:pPr>
              <w:rPr>
                <w:rFonts w:ascii="宋体"/>
                <w:vanish/>
              </w:rPr>
            </w:pPr>
          </w:p>
        </w:tc>
        <w:tc>
          <w:tcPr>
            <w:tcW w:w="0" w:type="auto"/>
            <w:gridSpan w:val="3"/>
            <w:shd w:val="clear" w:color="auto" w:fill="auto"/>
            <w:vAlign w:val="bottom"/>
          </w:tcPr>
          <w:p w14:paraId="5F2D5BA9" w14:textId="77777777" w:rsidR="00E836FB" w:rsidRDefault="00E836FB">
            <w:pPr>
              <w:rPr>
                <w:rFonts w:ascii="宋体"/>
                <w:vanish/>
              </w:rPr>
            </w:pPr>
          </w:p>
        </w:tc>
        <w:tc>
          <w:tcPr>
            <w:tcW w:w="0" w:type="auto"/>
            <w:gridSpan w:val="3"/>
            <w:shd w:val="clear" w:color="auto" w:fill="auto"/>
            <w:vAlign w:val="bottom"/>
          </w:tcPr>
          <w:p w14:paraId="5F2D5BAA" w14:textId="77777777" w:rsidR="00E836FB" w:rsidRDefault="00E836FB">
            <w:pPr>
              <w:rPr>
                <w:rFonts w:ascii="宋体"/>
                <w:vanish/>
              </w:rPr>
            </w:pPr>
          </w:p>
        </w:tc>
        <w:tc>
          <w:tcPr>
            <w:tcW w:w="0" w:type="auto"/>
            <w:gridSpan w:val="3"/>
            <w:shd w:val="clear" w:color="auto" w:fill="auto"/>
            <w:vAlign w:val="bottom"/>
          </w:tcPr>
          <w:p w14:paraId="5F2D5BAB" w14:textId="77777777" w:rsidR="00E836FB" w:rsidRDefault="00E836FB">
            <w:pPr>
              <w:rPr>
                <w:rFonts w:ascii="宋体"/>
                <w:vanish/>
              </w:rPr>
            </w:pPr>
          </w:p>
        </w:tc>
        <w:tc>
          <w:tcPr>
            <w:tcW w:w="0" w:type="auto"/>
            <w:gridSpan w:val="3"/>
            <w:shd w:val="clear" w:color="auto" w:fill="auto"/>
            <w:vAlign w:val="bottom"/>
          </w:tcPr>
          <w:p w14:paraId="5F2D5BAC" w14:textId="77777777" w:rsidR="00E836FB" w:rsidRDefault="00E836FB">
            <w:pPr>
              <w:rPr>
                <w:rFonts w:ascii="宋体"/>
                <w:vanish/>
              </w:rPr>
            </w:pPr>
          </w:p>
        </w:tc>
        <w:tc>
          <w:tcPr>
            <w:tcW w:w="0" w:type="auto"/>
            <w:gridSpan w:val="3"/>
            <w:shd w:val="clear" w:color="auto" w:fill="auto"/>
            <w:vAlign w:val="bottom"/>
          </w:tcPr>
          <w:p w14:paraId="5F2D5BAD" w14:textId="77777777" w:rsidR="00E836FB" w:rsidRDefault="00E836FB">
            <w:pPr>
              <w:rPr>
                <w:rFonts w:ascii="宋体"/>
                <w:vanish/>
              </w:rPr>
            </w:pPr>
          </w:p>
        </w:tc>
        <w:tc>
          <w:tcPr>
            <w:tcW w:w="0" w:type="auto"/>
            <w:gridSpan w:val="3"/>
            <w:shd w:val="clear" w:color="auto" w:fill="auto"/>
            <w:vAlign w:val="bottom"/>
          </w:tcPr>
          <w:p w14:paraId="5F2D5BAE" w14:textId="77777777" w:rsidR="00E836FB" w:rsidRDefault="00E836FB">
            <w:pPr>
              <w:rPr>
                <w:rFonts w:ascii="宋体"/>
                <w:vanish/>
              </w:rPr>
            </w:pPr>
          </w:p>
        </w:tc>
        <w:tc>
          <w:tcPr>
            <w:tcW w:w="0" w:type="auto"/>
            <w:gridSpan w:val="3"/>
            <w:shd w:val="clear" w:color="auto" w:fill="auto"/>
            <w:vAlign w:val="bottom"/>
          </w:tcPr>
          <w:p w14:paraId="5F2D5BAF" w14:textId="77777777" w:rsidR="00E836FB" w:rsidRDefault="00E836FB">
            <w:pPr>
              <w:rPr>
                <w:rFonts w:ascii="宋体"/>
                <w:vanish/>
              </w:rPr>
            </w:pPr>
          </w:p>
        </w:tc>
        <w:tc>
          <w:tcPr>
            <w:tcW w:w="0" w:type="auto"/>
            <w:shd w:val="clear" w:color="auto" w:fill="auto"/>
            <w:vAlign w:val="bottom"/>
          </w:tcPr>
          <w:p w14:paraId="5F2D5BB0" w14:textId="77777777" w:rsidR="00E836FB" w:rsidRDefault="00E836FB">
            <w:pPr>
              <w:rPr>
                <w:rFonts w:ascii="宋体"/>
              </w:rPr>
            </w:pPr>
          </w:p>
        </w:tc>
        <w:tc>
          <w:tcPr>
            <w:tcW w:w="0" w:type="auto"/>
            <w:shd w:val="clear" w:color="auto" w:fill="auto"/>
            <w:vAlign w:val="bottom"/>
          </w:tcPr>
          <w:p w14:paraId="5F2D5BB1" w14:textId="77777777" w:rsidR="00E836FB" w:rsidRDefault="00E836FB">
            <w:pPr>
              <w:rPr>
                <w:rFonts w:ascii="宋体"/>
              </w:rPr>
            </w:pPr>
          </w:p>
        </w:tc>
        <w:tc>
          <w:tcPr>
            <w:tcW w:w="0" w:type="auto"/>
            <w:shd w:val="clear" w:color="auto" w:fill="auto"/>
            <w:vAlign w:val="bottom"/>
          </w:tcPr>
          <w:p w14:paraId="5F2D5BB2" w14:textId="77777777" w:rsidR="00E836FB" w:rsidRDefault="00E836FB">
            <w:pPr>
              <w:rPr>
                <w:rFonts w:ascii="宋体"/>
              </w:rPr>
            </w:pPr>
          </w:p>
        </w:tc>
        <w:tc>
          <w:tcPr>
            <w:tcW w:w="0" w:type="auto"/>
            <w:shd w:val="clear" w:color="auto" w:fill="auto"/>
            <w:vAlign w:val="bottom"/>
          </w:tcPr>
          <w:p w14:paraId="5F2D5BB3" w14:textId="77777777" w:rsidR="00E836FB" w:rsidRDefault="00E836FB">
            <w:pPr>
              <w:rPr>
                <w:rFonts w:ascii="宋体"/>
              </w:rPr>
            </w:pPr>
          </w:p>
        </w:tc>
        <w:tc>
          <w:tcPr>
            <w:tcW w:w="0" w:type="auto"/>
            <w:shd w:val="clear" w:color="auto" w:fill="auto"/>
            <w:vAlign w:val="bottom"/>
          </w:tcPr>
          <w:p w14:paraId="5F2D5BB4" w14:textId="77777777" w:rsidR="00E836FB" w:rsidRDefault="00E836FB">
            <w:pPr>
              <w:rPr>
                <w:rFonts w:ascii="宋体"/>
              </w:rPr>
            </w:pPr>
          </w:p>
        </w:tc>
        <w:tc>
          <w:tcPr>
            <w:tcW w:w="0" w:type="auto"/>
            <w:shd w:val="clear" w:color="auto" w:fill="auto"/>
            <w:vAlign w:val="bottom"/>
          </w:tcPr>
          <w:p w14:paraId="5F2D5BB5" w14:textId="77777777" w:rsidR="00E836FB" w:rsidRDefault="00E836FB">
            <w:pPr>
              <w:rPr>
                <w:rFonts w:ascii="宋体"/>
              </w:rPr>
            </w:pPr>
          </w:p>
        </w:tc>
        <w:tc>
          <w:tcPr>
            <w:tcW w:w="0" w:type="auto"/>
            <w:shd w:val="clear" w:color="auto" w:fill="auto"/>
            <w:vAlign w:val="bottom"/>
          </w:tcPr>
          <w:p w14:paraId="5F2D5BB6" w14:textId="77777777" w:rsidR="00E836FB" w:rsidRDefault="00E836FB">
            <w:pPr>
              <w:rPr>
                <w:rFonts w:ascii="宋体"/>
              </w:rPr>
            </w:pPr>
          </w:p>
        </w:tc>
        <w:tc>
          <w:tcPr>
            <w:tcW w:w="0" w:type="auto"/>
            <w:shd w:val="clear" w:color="auto" w:fill="auto"/>
            <w:vAlign w:val="bottom"/>
          </w:tcPr>
          <w:p w14:paraId="5F2D5BB7" w14:textId="77777777" w:rsidR="00E836FB" w:rsidRDefault="00E836FB">
            <w:pPr>
              <w:rPr>
                <w:rFonts w:ascii="宋体"/>
              </w:rPr>
            </w:pPr>
          </w:p>
        </w:tc>
        <w:tc>
          <w:tcPr>
            <w:tcW w:w="0" w:type="auto"/>
            <w:shd w:val="clear" w:color="auto" w:fill="auto"/>
            <w:vAlign w:val="bottom"/>
          </w:tcPr>
          <w:p w14:paraId="5F2D5BB8" w14:textId="77777777" w:rsidR="00E836FB" w:rsidRDefault="00E836FB">
            <w:pPr>
              <w:rPr>
                <w:rFonts w:ascii="宋体"/>
              </w:rPr>
            </w:pPr>
          </w:p>
        </w:tc>
        <w:tc>
          <w:tcPr>
            <w:tcW w:w="0" w:type="auto"/>
            <w:shd w:val="clear" w:color="auto" w:fill="auto"/>
            <w:vAlign w:val="bottom"/>
          </w:tcPr>
          <w:p w14:paraId="5F2D5BB9" w14:textId="77777777" w:rsidR="00E836FB" w:rsidRDefault="00E836FB">
            <w:pPr>
              <w:rPr>
                <w:rFonts w:ascii="宋体"/>
              </w:rPr>
            </w:pPr>
          </w:p>
        </w:tc>
        <w:tc>
          <w:tcPr>
            <w:tcW w:w="0" w:type="auto"/>
            <w:shd w:val="clear" w:color="auto" w:fill="auto"/>
            <w:vAlign w:val="bottom"/>
          </w:tcPr>
          <w:p w14:paraId="5F2D5BBA" w14:textId="77777777" w:rsidR="00E836FB" w:rsidRDefault="00E836FB">
            <w:pPr>
              <w:rPr>
                <w:rFonts w:ascii="宋体"/>
              </w:rPr>
            </w:pPr>
          </w:p>
        </w:tc>
        <w:tc>
          <w:tcPr>
            <w:tcW w:w="0" w:type="auto"/>
            <w:shd w:val="clear" w:color="auto" w:fill="auto"/>
            <w:vAlign w:val="bottom"/>
          </w:tcPr>
          <w:p w14:paraId="5F2D5BBB" w14:textId="77777777" w:rsidR="00E836FB" w:rsidRDefault="00E836FB">
            <w:pPr>
              <w:rPr>
                <w:rFonts w:ascii="宋体"/>
              </w:rPr>
            </w:pPr>
          </w:p>
        </w:tc>
        <w:tc>
          <w:tcPr>
            <w:tcW w:w="0" w:type="auto"/>
            <w:shd w:val="clear" w:color="auto" w:fill="auto"/>
            <w:vAlign w:val="bottom"/>
          </w:tcPr>
          <w:p w14:paraId="5F2D5BBC" w14:textId="77777777" w:rsidR="00E836FB" w:rsidRDefault="00E836FB">
            <w:pPr>
              <w:rPr>
                <w:rFonts w:ascii="宋体"/>
              </w:rPr>
            </w:pPr>
          </w:p>
        </w:tc>
        <w:tc>
          <w:tcPr>
            <w:tcW w:w="0" w:type="auto"/>
            <w:shd w:val="clear" w:color="auto" w:fill="auto"/>
            <w:vAlign w:val="bottom"/>
          </w:tcPr>
          <w:p w14:paraId="5F2D5BBD" w14:textId="77777777" w:rsidR="00E836FB" w:rsidRDefault="00E836FB">
            <w:pPr>
              <w:rPr>
                <w:rFonts w:ascii="宋体"/>
              </w:rPr>
            </w:pPr>
          </w:p>
        </w:tc>
        <w:tc>
          <w:tcPr>
            <w:tcW w:w="0" w:type="auto"/>
            <w:shd w:val="clear" w:color="auto" w:fill="auto"/>
            <w:vAlign w:val="bottom"/>
          </w:tcPr>
          <w:p w14:paraId="5F2D5BBE" w14:textId="77777777" w:rsidR="00E836FB" w:rsidRDefault="00E836FB">
            <w:pPr>
              <w:rPr>
                <w:rFonts w:ascii="宋体"/>
              </w:rPr>
            </w:pPr>
          </w:p>
        </w:tc>
        <w:tc>
          <w:tcPr>
            <w:tcW w:w="0" w:type="auto"/>
            <w:shd w:val="clear" w:color="auto" w:fill="auto"/>
            <w:vAlign w:val="bottom"/>
          </w:tcPr>
          <w:p w14:paraId="5F2D5BBF" w14:textId="77777777" w:rsidR="00E836FB" w:rsidRDefault="00E836FB">
            <w:pPr>
              <w:rPr>
                <w:rFonts w:ascii="宋体"/>
              </w:rPr>
            </w:pPr>
          </w:p>
        </w:tc>
        <w:tc>
          <w:tcPr>
            <w:tcW w:w="0" w:type="auto"/>
            <w:shd w:val="clear" w:color="auto" w:fill="auto"/>
            <w:vAlign w:val="bottom"/>
          </w:tcPr>
          <w:p w14:paraId="5F2D5BC0" w14:textId="77777777" w:rsidR="00E836FB" w:rsidRDefault="00E836FB">
            <w:pPr>
              <w:rPr>
                <w:rFonts w:ascii="宋体"/>
              </w:rPr>
            </w:pPr>
          </w:p>
        </w:tc>
        <w:tc>
          <w:tcPr>
            <w:tcW w:w="0" w:type="auto"/>
            <w:shd w:val="clear" w:color="auto" w:fill="auto"/>
            <w:vAlign w:val="bottom"/>
          </w:tcPr>
          <w:p w14:paraId="5F2D5BC1" w14:textId="77777777" w:rsidR="00E836FB" w:rsidRDefault="00E836FB">
            <w:pPr>
              <w:rPr>
                <w:rFonts w:ascii="宋体"/>
              </w:rPr>
            </w:pPr>
          </w:p>
        </w:tc>
        <w:tc>
          <w:tcPr>
            <w:tcW w:w="0" w:type="auto"/>
            <w:shd w:val="clear" w:color="auto" w:fill="auto"/>
            <w:vAlign w:val="bottom"/>
          </w:tcPr>
          <w:p w14:paraId="5F2D5BC2" w14:textId="77777777" w:rsidR="00E836FB" w:rsidRDefault="00E836FB">
            <w:pPr>
              <w:rPr>
                <w:rFonts w:ascii="宋体"/>
              </w:rPr>
            </w:pPr>
          </w:p>
        </w:tc>
        <w:tc>
          <w:tcPr>
            <w:tcW w:w="0" w:type="auto"/>
            <w:shd w:val="clear" w:color="auto" w:fill="auto"/>
            <w:vAlign w:val="bottom"/>
          </w:tcPr>
          <w:p w14:paraId="5F2D5BC3" w14:textId="77777777" w:rsidR="00E836FB" w:rsidRDefault="00E836FB">
            <w:pPr>
              <w:rPr>
                <w:rFonts w:ascii="宋体"/>
              </w:rPr>
            </w:pPr>
          </w:p>
        </w:tc>
        <w:tc>
          <w:tcPr>
            <w:tcW w:w="0" w:type="auto"/>
            <w:shd w:val="clear" w:color="auto" w:fill="auto"/>
            <w:vAlign w:val="bottom"/>
          </w:tcPr>
          <w:p w14:paraId="5F2D5BC4" w14:textId="77777777" w:rsidR="00E836FB" w:rsidRDefault="00E836FB">
            <w:pPr>
              <w:rPr>
                <w:rFonts w:ascii="宋体"/>
              </w:rPr>
            </w:pPr>
          </w:p>
        </w:tc>
        <w:tc>
          <w:tcPr>
            <w:tcW w:w="0" w:type="auto"/>
            <w:shd w:val="clear" w:color="auto" w:fill="auto"/>
            <w:vAlign w:val="bottom"/>
          </w:tcPr>
          <w:p w14:paraId="5F2D5BC5" w14:textId="77777777" w:rsidR="00E836FB" w:rsidRDefault="00E836FB">
            <w:pPr>
              <w:rPr>
                <w:rFonts w:ascii="宋体"/>
              </w:rPr>
            </w:pPr>
          </w:p>
        </w:tc>
        <w:tc>
          <w:tcPr>
            <w:tcW w:w="0" w:type="auto"/>
            <w:shd w:val="clear" w:color="auto" w:fill="auto"/>
            <w:vAlign w:val="bottom"/>
          </w:tcPr>
          <w:p w14:paraId="5F2D5BC6" w14:textId="77777777" w:rsidR="00E836FB" w:rsidRDefault="00E836FB">
            <w:pPr>
              <w:rPr>
                <w:rFonts w:ascii="宋体"/>
              </w:rPr>
            </w:pPr>
          </w:p>
        </w:tc>
        <w:tc>
          <w:tcPr>
            <w:tcW w:w="0" w:type="auto"/>
            <w:shd w:val="clear" w:color="auto" w:fill="auto"/>
            <w:vAlign w:val="bottom"/>
          </w:tcPr>
          <w:p w14:paraId="5F2D5BC7" w14:textId="77777777" w:rsidR="00E836FB" w:rsidRDefault="00E836FB">
            <w:pPr>
              <w:rPr>
                <w:rFonts w:ascii="宋体"/>
              </w:rPr>
            </w:pPr>
          </w:p>
        </w:tc>
        <w:tc>
          <w:tcPr>
            <w:tcW w:w="0" w:type="auto"/>
            <w:shd w:val="clear" w:color="auto" w:fill="auto"/>
            <w:vAlign w:val="bottom"/>
          </w:tcPr>
          <w:p w14:paraId="5F2D5BC8" w14:textId="77777777" w:rsidR="00E836FB" w:rsidRDefault="00E836FB">
            <w:pPr>
              <w:rPr>
                <w:rFonts w:ascii="宋体"/>
              </w:rPr>
            </w:pPr>
          </w:p>
        </w:tc>
        <w:tc>
          <w:tcPr>
            <w:tcW w:w="0" w:type="auto"/>
            <w:shd w:val="clear" w:color="auto" w:fill="auto"/>
            <w:vAlign w:val="bottom"/>
          </w:tcPr>
          <w:p w14:paraId="5F2D5BC9" w14:textId="77777777" w:rsidR="00E836FB" w:rsidRDefault="00E836FB">
            <w:pPr>
              <w:rPr>
                <w:rFonts w:ascii="宋体"/>
              </w:rPr>
            </w:pPr>
          </w:p>
        </w:tc>
        <w:tc>
          <w:tcPr>
            <w:tcW w:w="0" w:type="auto"/>
            <w:shd w:val="clear" w:color="auto" w:fill="auto"/>
            <w:vAlign w:val="bottom"/>
          </w:tcPr>
          <w:p w14:paraId="5F2D5BCA" w14:textId="77777777" w:rsidR="00E836FB" w:rsidRDefault="00E836FB">
            <w:pPr>
              <w:rPr>
                <w:rFonts w:ascii="宋体"/>
              </w:rPr>
            </w:pPr>
          </w:p>
        </w:tc>
        <w:tc>
          <w:tcPr>
            <w:tcW w:w="0" w:type="auto"/>
            <w:shd w:val="clear" w:color="auto" w:fill="auto"/>
            <w:vAlign w:val="bottom"/>
          </w:tcPr>
          <w:p w14:paraId="5F2D5BCB" w14:textId="77777777" w:rsidR="00E836FB" w:rsidRDefault="00E836FB">
            <w:pPr>
              <w:rPr>
                <w:rFonts w:ascii="宋体"/>
              </w:rPr>
            </w:pPr>
          </w:p>
        </w:tc>
        <w:tc>
          <w:tcPr>
            <w:tcW w:w="0" w:type="auto"/>
            <w:shd w:val="clear" w:color="auto" w:fill="auto"/>
            <w:vAlign w:val="bottom"/>
          </w:tcPr>
          <w:p w14:paraId="5F2D5BCC" w14:textId="77777777" w:rsidR="00E836FB" w:rsidRDefault="00E836FB">
            <w:pPr>
              <w:rPr>
                <w:rFonts w:ascii="宋体"/>
              </w:rPr>
            </w:pPr>
          </w:p>
        </w:tc>
        <w:tc>
          <w:tcPr>
            <w:tcW w:w="0" w:type="auto"/>
            <w:shd w:val="clear" w:color="auto" w:fill="auto"/>
            <w:vAlign w:val="bottom"/>
          </w:tcPr>
          <w:p w14:paraId="5F2D5BCD" w14:textId="77777777" w:rsidR="00E836FB" w:rsidRDefault="00E836FB">
            <w:pPr>
              <w:rPr>
                <w:rFonts w:ascii="宋体"/>
              </w:rPr>
            </w:pPr>
          </w:p>
        </w:tc>
      </w:tr>
      <w:tr w:rsidR="00E836FB" w14:paraId="5F2D5BF1" w14:textId="77777777">
        <w:trPr>
          <w:hidden/>
        </w:trPr>
        <w:tc>
          <w:tcPr>
            <w:tcW w:w="0" w:type="auto"/>
            <w:gridSpan w:val="3"/>
            <w:shd w:val="clear" w:color="auto" w:fill="auto"/>
            <w:vAlign w:val="bottom"/>
          </w:tcPr>
          <w:p w14:paraId="5F2D5BCF" w14:textId="77777777" w:rsidR="00E836FB" w:rsidRDefault="00E836FB">
            <w:pPr>
              <w:rPr>
                <w:rFonts w:ascii="宋体"/>
                <w:vanish/>
              </w:rPr>
            </w:pPr>
          </w:p>
        </w:tc>
        <w:tc>
          <w:tcPr>
            <w:tcW w:w="0" w:type="auto"/>
            <w:gridSpan w:val="3"/>
            <w:shd w:val="clear" w:color="auto" w:fill="auto"/>
            <w:vAlign w:val="bottom"/>
          </w:tcPr>
          <w:p w14:paraId="5F2D5BD0" w14:textId="77777777" w:rsidR="00E836FB" w:rsidRDefault="00E836FB">
            <w:pPr>
              <w:rPr>
                <w:rFonts w:ascii="宋体"/>
                <w:vanish/>
              </w:rPr>
            </w:pPr>
          </w:p>
        </w:tc>
        <w:tc>
          <w:tcPr>
            <w:tcW w:w="0" w:type="auto"/>
            <w:gridSpan w:val="3"/>
            <w:shd w:val="clear" w:color="auto" w:fill="auto"/>
            <w:vAlign w:val="bottom"/>
          </w:tcPr>
          <w:p w14:paraId="5F2D5BD1" w14:textId="77777777" w:rsidR="00E836FB" w:rsidRDefault="00E836FB">
            <w:pPr>
              <w:rPr>
                <w:rFonts w:ascii="宋体"/>
                <w:vanish/>
              </w:rPr>
            </w:pPr>
          </w:p>
        </w:tc>
        <w:tc>
          <w:tcPr>
            <w:tcW w:w="0" w:type="auto"/>
            <w:gridSpan w:val="3"/>
            <w:shd w:val="clear" w:color="auto" w:fill="auto"/>
            <w:vAlign w:val="bottom"/>
          </w:tcPr>
          <w:p w14:paraId="5F2D5BD2" w14:textId="77777777" w:rsidR="00E836FB" w:rsidRDefault="00E836FB">
            <w:pPr>
              <w:rPr>
                <w:rFonts w:ascii="宋体"/>
                <w:vanish/>
              </w:rPr>
            </w:pPr>
          </w:p>
        </w:tc>
        <w:tc>
          <w:tcPr>
            <w:tcW w:w="0" w:type="auto"/>
            <w:gridSpan w:val="3"/>
            <w:shd w:val="clear" w:color="auto" w:fill="auto"/>
            <w:vAlign w:val="bottom"/>
          </w:tcPr>
          <w:p w14:paraId="5F2D5BD3" w14:textId="77777777" w:rsidR="00E836FB" w:rsidRDefault="00E836FB">
            <w:pPr>
              <w:rPr>
                <w:rFonts w:ascii="宋体"/>
                <w:vanish/>
              </w:rPr>
            </w:pPr>
          </w:p>
        </w:tc>
        <w:tc>
          <w:tcPr>
            <w:tcW w:w="0" w:type="auto"/>
            <w:gridSpan w:val="3"/>
            <w:shd w:val="clear" w:color="auto" w:fill="auto"/>
            <w:vAlign w:val="bottom"/>
          </w:tcPr>
          <w:p w14:paraId="5F2D5BD4" w14:textId="77777777" w:rsidR="00E836FB" w:rsidRDefault="00E836FB">
            <w:pPr>
              <w:rPr>
                <w:rFonts w:ascii="宋体"/>
                <w:vanish/>
              </w:rPr>
            </w:pPr>
          </w:p>
        </w:tc>
        <w:tc>
          <w:tcPr>
            <w:tcW w:w="0" w:type="auto"/>
            <w:gridSpan w:val="3"/>
            <w:shd w:val="clear" w:color="auto" w:fill="auto"/>
            <w:vAlign w:val="bottom"/>
          </w:tcPr>
          <w:p w14:paraId="5F2D5BD5" w14:textId="77777777" w:rsidR="00E836FB" w:rsidRDefault="00E836FB">
            <w:pPr>
              <w:rPr>
                <w:rFonts w:ascii="宋体"/>
                <w:vanish/>
              </w:rPr>
            </w:pPr>
          </w:p>
        </w:tc>
        <w:tc>
          <w:tcPr>
            <w:tcW w:w="0" w:type="auto"/>
            <w:gridSpan w:val="3"/>
            <w:shd w:val="clear" w:color="auto" w:fill="auto"/>
            <w:vAlign w:val="bottom"/>
          </w:tcPr>
          <w:p w14:paraId="5F2D5BD6" w14:textId="77777777" w:rsidR="00E836FB" w:rsidRDefault="00E836FB">
            <w:pPr>
              <w:rPr>
                <w:rFonts w:ascii="宋体"/>
                <w:vanish/>
              </w:rPr>
            </w:pPr>
          </w:p>
        </w:tc>
        <w:tc>
          <w:tcPr>
            <w:tcW w:w="0" w:type="auto"/>
            <w:gridSpan w:val="3"/>
            <w:shd w:val="clear" w:color="auto" w:fill="auto"/>
            <w:vAlign w:val="bottom"/>
          </w:tcPr>
          <w:p w14:paraId="5F2D5BD7" w14:textId="77777777" w:rsidR="00E836FB" w:rsidRDefault="00E836FB">
            <w:pPr>
              <w:rPr>
                <w:rFonts w:ascii="宋体"/>
                <w:vanish/>
              </w:rPr>
            </w:pPr>
          </w:p>
        </w:tc>
        <w:tc>
          <w:tcPr>
            <w:tcW w:w="0" w:type="auto"/>
            <w:gridSpan w:val="3"/>
            <w:shd w:val="clear" w:color="auto" w:fill="auto"/>
            <w:vAlign w:val="bottom"/>
          </w:tcPr>
          <w:p w14:paraId="5F2D5BD8" w14:textId="77777777" w:rsidR="00E836FB" w:rsidRDefault="00E836FB">
            <w:pPr>
              <w:rPr>
                <w:rFonts w:ascii="宋体"/>
                <w:vanish/>
              </w:rPr>
            </w:pPr>
          </w:p>
        </w:tc>
        <w:tc>
          <w:tcPr>
            <w:tcW w:w="0" w:type="auto"/>
            <w:shd w:val="clear" w:color="auto" w:fill="auto"/>
            <w:vAlign w:val="bottom"/>
          </w:tcPr>
          <w:p w14:paraId="5F2D5BD9" w14:textId="77777777" w:rsidR="00E836FB" w:rsidRDefault="00E836FB">
            <w:pPr>
              <w:rPr>
                <w:rFonts w:ascii="宋体"/>
              </w:rPr>
            </w:pPr>
          </w:p>
        </w:tc>
        <w:tc>
          <w:tcPr>
            <w:tcW w:w="0" w:type="auto"/>
            <w:shd w:val="clear" w:color="auto" w:fill="auto"/>
            <w:vAlign w:val="bottom"/>
          </w:tcPr>
          <w:p w14:paraId="5F2D5BDA" w14:textId="77777777" w:rsidR="00E836FB" w:rsidRDefault="00E836FB">
            <w:pPr>
              <w:rPr>
                <w:rFonts w:ascii="宋体"/>
              </w:rPr>
            </w:pPr>
          </w:p>
        </w:tc>
        <w:tc>
          <w:tcPr>
            <w:tcW w:w="0" w:type="auto"/>
            <w:shd w:val="clear" w:color="auto" w:fill="auto"/>
            <w:vAlign w:val="bottom"/>
          </w:tcPr>
          <w:p w14:paraId="5F2D5BDB" w14:textId="77777777" w:rsidR="00E836FB" w:rsidRDefault="00E836FB">
            <w:pPr>
              <w:rPr>
                <w:rFonts w:ascii="宋体"/>
              </w:rPr>
            </w:pPr>
          </w:p>
        </w:tc>
        <w:tc>
          <w:tcPr>
            <w:tcW w:w="0" w:type="auto"/>
            <w:shd w:val="clear" w:color="auto" w:fill="auto"/>
            <w:vAlign w:val="bottom"/>
          </w:tcPr>
          <w:p w14:paraId="5F2D5BDC" w14:textId="77777777" w:rsidR="00E836FB" w:rsidRDefault="00E836FB">
            <w:pPr>
              <w:rPr>
                <w:rFonts w:ascii="宋体"/>
              </w:rPr>
            </w:pPr>
          </w:p>
        </w:tc>
        <w:tc>
          <w:tcPr>
            <w:tcW w:w="0" w:type="auto"/>
            <w:shd w:val="clear" w:color="auto" w:fill="auto"/>
            <w:vAlign w:val="bottom"/>
          </w:tcPr>
          <w:p w14:paraId="5F2D5BDD" w14:textId="77777777" w:rsidR="00E836FB" w:rsidRDefault="00E836FB">
            <w:pPr>
              <w:rPr>
                <w:rFonts w:ascii="宋体"/>
              </w:rPr>
            </w:pPr>
          </w:p>
        </w:tc>
        <w:tc>
          <w:tcPr>
            <w:tcW w:w="0" w:type="auto"/>
            <w:shd w:val="clear" w:color="auto" w:fill="auto"/>
            <w:vAlign w:val="bottom"/>
          </w:tcPr>
          <w:p w14:paraId="5F2D5BDE" w14:textId="77777777" w:rsidR="00E836FB" w:rsidRDefault="00E836FB">
            <w:pPr>
              <w:rPr>
                <w:rFonts w:ascii="宋体"/>
              </w:rPr>
            </w:pPr>
          </w:p>
        </w:tc>
        <w:tc>
          <w:tcPr>
            <w:tcW w:w="0" w:type="auto"/>
            <w:shd w:val="clear" w:color="auto" w:fill="auto"/>
            <w:vAlign w:val="bottom"/>
          </w:tcPr>
          <w:p w14:paraId="5F2D5BDF" w14:textId="77777777" w:rsidR="00E836FB" w:rsidRDefault="00E836FB">
            <w:pPr>
              <w:rPr>
                <w:rFonts w:ascii="宋体"/>
              </w:rPr>
            </w:pPr>
          </w:p>
        </w:tc>
        <w:tc>
          <w:tcPr>
            <w:tcW w:w="0" w:type="auto"/>
            <w:shd w:val="clear" w:color="auto" w:fill="auto"/>
            <w:vAlign w:val="bottom"/>
          </w:tcPr>
          <w:p w14:paraId="5F2D5BE0" w14:textId="77777777" w:rsidR="00E836FB" w:rsidRDefault="00E836FB">
            <w:pPr>
              <w:rPr>
                <w:rFonts w:ascii="宋体"/>
              </w:rPr>
            </w:pPr>
          </w:p>
        </w:tc>
        <w:tc>
          <w:tcPr>
            <w:tcW w:w="0" w:type="auto"/>
            <w:shd w:val="clear" w:color="auto" w:fill="auto"/>
            <w:vAlign w:val="bottom"/>
          </w:tcPr>
          <w:p w14:paraId="5F2D5BE1" w14:textId="77777777" w:rsidR="00E836FB" w:rsidRDefault="00E836FB">
            <w:pPr>
              <w:rPr>
                <w:rFonts w:ascii="宋体"/>
              </w:rPr>
            </w:pPr>
          </w:p>
        </w:tc>
        <w:tc>
          <w:tcPr>
            <w:tcW w:w="0" w:type="auto"/>
            <w:shd w:val="clear" w:color="auto" w:fill="auto"/>
            <w:vAlign w:val="bottom"/>
          </w:tcPr>
          <w:p w14:paraId="5F2D5BE2" w14:textId="77777777" w:rsidR="00E836FB" w:rsidRDefault="00E836FB">
            <w:pPr>
              <w:rPr>
                <w:rFonts w:ascii="宋体"/>
              </w:rPr>
            </w:pPr>
          </w:p>
        </w:tc>
        <w:tc>
          <w:tcPr>
            <w:tcW w:w="0" w:type="auto"/>
            <w:shd w:val="clear" w:color="auto" w:fill="auto"/>
            <w:vAlign w:val="bottom"/>
          </w:tcPr>
          <w:p w14:paraId="5F2D5BE3" w14:textId="77777777" w:rsidR="00E836FB" w:rsidRDefault="00E836FB">
            <w:pPr>
              <w:rPr>
                <w:rFonts w:ascii="宋体"/>
              </w:rPr>
            </w:pPr>
          </w:p>
        </w:tc>
        <w:tc>
          <w:tcPr>
            <w:tcW w:w="0" w:type="auto"/>
            <w:shd w:val="clear" w:color="auto" w:fill="auto"/>
            <w:vAlign w:val="bottom"/>
          </w:tcPr>
          <w:p w14:paraId="5F2D5BE4" w14:textId="77777777" w:rsidR="00E836FB" w:rsidRDefault="00E836FB">
            <w:pPr>
              <w:rPr>
                <w:rFonts w:ascii="宋体"/>
              </w:rPr>
            </w:pPr>
          </w:p>
        </w:tc>
        <w:tc>
          <w:tcPr>
            <w:tcW w:w="0" w:type="auto"/>
            <w:shd w:val="clear" w:color="auto" w:fill="auto"/>
            <w:vAlign w:val="bottom"/>
          </w:tcPr>
          <w:p w14:paraId="5F2D5BE5" w14:textId="77777777" w:rsidR="00E836FB" w:rsidRDefault="00E836FB">
            <w:pPr>
              <w:rPr>
                <w:rFonts w:ascii="宋体"/>
              </w:rPr>
            </w:pPr>
          </w:p>
        </w:tc>
        <w:tc>
          <w:tcPr>
            <w:tcW w:w="0" w:type="auto"/>
            <w:shd w:val="clear" w:color="auto" w:fill="auto"/>
            <w:vAlign w:val="bottom"/>
          </w:tcPr>
          <w:p w14:paraId="5F2D5BE6" w14:textId="77777777" w:rsidR="00E836FB" w:rsidRDefault="00E836FB">
            <w:pPr>
              <w:rPr>
                <w:rFonts w:ascii="宋体"/>
              </w:rPr>
            </w:pPr>
          </w:p>
        </w:tc>
        <w:tc>
          <w:tcPr>
            <w:tcW w:w="0" w:type="auto"/>
            <w:shd w:val="clear" w:color="auto" w:fill="auto"/>
            <w:vAlign w:val="bottom"/>
          </w:tcPr>
          <w:p w14:paraId="5F2D5BE7" w14:textId="77777777" w:rsidR="00E836FB" w:rsidRDefault="00E836FB">
            <w:pPr>
              <w:rPr>
                <w:rFonts w:ascii="宋体"/>
              </w:rPr>
            </w:pPr>
          </w:p>
        </w:tc>
        <w:tc>
          <w:tcPr>
            <w:tcW w:w="0" w:type="auto"/>
            <w:shd w:val="clear" w:color="auto" w:fill="auto"/>
            <w:vAlign w:val="bottom"/>
          </w:tcPr>
          <w:p w14:paraId="5F2D5BE8" w14:textId="77777777" w:rsidR="00E836FB" w:rsidRDefault="00E836FB">
            <w:pPr>
              <w:rPr>
                <w:rFonts w:ascii="宋体"/>
              </w:rPr>
            </w:pPr>
          </w:p>
        </w:tc>
        <w:tc>
          <w:tcPr>
            <w:tcW w:w="0" w:type="auto"/>
            <w:shd w:val="clear" w:color="auto" w:fill="auto"/>
            <w:vAlign w:val="bottom"/>
          </w:tcPr>
          <w:p w14:paraId="5F2D5BE9" w14:textId="77777777" w:rsidR="00E836FB" w:rsidRDefault="00E836FB">
            <w:pPr>
              <w:rPr>
                <w:rFonts w:ascii="宋体"/>
              </w:rPr>
            </w:pPr>
          </w:p>
        </w:tc>
        <w:tc>
          <w:tcPr>
            <w:tcW w:w="0" w:type="auto"/>
            <w:shd w:val="clear" w:color="auto" w:fill="auto"/>
            <w:vAlign w:val="bottom"/>
          </w:tcPr>
          <w:p w14:paraId="5F2D5BEA" w14:textId="77777777" w:rsidR="00E836FB" w:rsidRDefault="00E836FB">
            <w:pPr>
              <w:rPr>
                <w:rFonts w:ascii="宋体"/>
              </w:rPr>
            </w:pPr>
          </w:p>
        </w:tc>
        <w:tc>
          <w:tcPr>
            <w:tcW w:w="0" w:type="auto"/>
            <w:shd w:val="clear" w:color="auto" w:fill="auto"/>
            <w:vAlign w:val="bottom"/>
          </w:tcPr>
          <w:p w14:paraId="5F2D5BEB" w14:textId="77777777" w:rsidR="00E836FB" w:rsidRDefault="00E836FB">
            <w:pPr>
              <w:rPr>
                <w:rFonts w:ascii="宋体"/>
              </w:rPr>
            </w:pPr>
          </w:p>
        </w:tc>
        <w:tc>
          <w:tcPr>
            <w:tcW w:w="0" w:type="auto"/>
            <w:shd w:val="clear" w:color="auto" w:fill="auto"/>
            <w:vAlign w:val="bottom"/>
          </w:tcPr>
          <w:p w14:paraId="5F2D5BEC" w14:textId="77777777" w:rsidR="00E836FB" w:rsidRDefault="00E836FB">
            <w:pPr>
              <w:rPr>
                <w:rFonts w:ascii="宋体"/>
              </w:rPr>
            </w:pPr>
          </w:p>
        </w:tc>
        <w:tc>
          <w:tcPr>
            <w:tcW w:w="0" w:type="auto"/>
            <w:shd w:val="clear" w:color="auto" w:fill="auto"/>
            <w:vAlign w:val="bottom"/>
          </w:tcPr>
          <w:p w14:paraId="5F2D5BED" w14:textId="77777777" w:rsidR="00E836FB" w:rsidRDefault="00E836FB">
            <w:pPr>
              <w:rPr>
                <w:rFonts w:ascii="宋体"/>
              </w:rPr>
            </w:pPr>
          </w:p>
        </w:tc>
        <w:tc>
          <w:tcPr>
            <w:tcW w:w="0" w:type="auto"/>
            <w:shd w:val="clear" w:color="auto" w:fill="auto"/>
            <w:vAlign w:val="bottom"/>
          </w:tcPr>
          <w:p w14:paraId="5F2D5BEE" w14:textId="77777777" w:rsidR="00E836FB" w:rsidRDefault="00E836FB">
            <w:pPr>
              <w:rPr>
                <w:rFonts w:ascii="宋体"/>
              </w:rPr>
            </w:pPr>
          </w:p>
        </w:tc>
        <w:tc>
          <w:tcPr>
            <w:tcW w:w="0" w:type="auto"/>
            <w:shd w:val="clear" w:color="auto" w:fill="auto"/>
            <w:vAlign w:val="bottom"/>
          </w:tcPr>
          <w:p w14:paraId="5F2D5BEF" w14:textId="77777777" w:rsidR="00E836FB" w:rsidRDefault="00E836FB">
            <w:pPr>
              <w:rPr>
                <w:rFonts w:ascii="宋体"/>
              </w:rPr>
            </w:pPr>
          </w:p>
        </w:tc>
        <w:tc>
          <w:tcPr>
            <w:tcW w:w="0" w:type="auto"/>
            <w:shd w:val="clear" w:color="auto" w:fill="auto"/>
            <w:vAlign w:val="bottom"/>
          </w:tcPr>
          <w:p w14:paraId="5F2D5BF0" w14:textId="77777777" w:rsidR="00E836FB" w:rsidRDefault="00E836FB">
            <w:pPr>
              <w:rPr>
                <w:rFonts w:ascii="宋体"/>
              </w:rPr>
            </w:pPr>
          </w:p>
        </w:tc>
      </w:tr>
      <w:tr w:rsidR="00E836FB" w14:paraId="5F2D5C04" w14:textId="77777777">
        <w:trPr>
          <w:hidden/>
        </w:trPr>
        <w:tc>
          <w:tcPr>
            <w:tcW w:w="0" w:type="auto"/>
            <w:gridSpan w:val="3"/>
            <w:shd w:val="clear" w:color="auto" w:fill="auto"/>
            <w:vAlign w:val="bottom"/>
          </w:tcPr>
          <w:p w14:paraId="5F2D5BF2" w14:textId="77777777" w:rsidR="00E836FB" w:rsidRDefault="00E836FB">
            <w:pPr>
              <w:rPr>
                <w:rFonts w:ascii="宋体"/>
                <w:vanish/>
              </w:rPr>
            </w:pPr>
          </w:p>
        </w:tc>
        <w:tc>
          <w:tcPr>
            <w:tcW w:w="0" w:type="auto"/>
            <w:gridSpan w:val="3"/>
            <w:shd w:val="clear" w:color="auto" w:fill="auto"/>
            <w:vAlign w:val="bottom"/>
          </w:tcPr>
          <w:p w14:paraId="5F2D5BF3" w14:textId="77777777" w:rsidR="00E836FB" w:rsidRDefault="00E836FB">
            <w:pPr>
              <w:rPr>
                <w:rFonts w:ascii="宋体"/>
                <w:vanish/>
              </w:rPr>
            </w:pPr>
          </w:p>
        </w:tc>
        <w:tc>
          <w:tcPr>
            <w:tcW w:w="0" w:type="auto"/>
            <w:gridSpan w:val="3"/>
            <w:shd w:val="clear" w:color="auto" w:fill="auto"/>
            <w:vAlign w:val="bottom"/>
          </w:tcPr>
          <w:p w14:paraId="5F2D5BF4" w14:textId="77777777" w:rsidR="00E836FB" w:rsidRDefault="00E836FB">
            <w:pPr>
              <w:rPr>
                <w:rFonts w:ascii="宋体"/>
                <w:vanish/>
              </w:rPr>
            </w:pPr>
          </w:p>
        </w:tc>
        <w:tc>
          <w:tcPr>
            <w:tcW w:w="0" w:type="auto"/>
            <w:gridSpan w:val="3"/>
            <w:shd w:val="clear" w:color="auto" w:fill="auto"/>
            <w:vAlign w:val="bottom"/>
          </w:tcPr>
          <w:p w14:paraId="5F2D5BF5" w14:textId="77777777" w:rsidR="00E836FB" w:rsidRDefault="00E836FB">
            <w:pPr>
              <w:rPr>
                <w:rFonts w:ascii="宋体"/>
                <w:vanish/>
              </w:rPr>
            </w:pPr>
          </w:p>
        </w:tc>
        <w:tc>
          <w:tcPr>
            <w:tcW w:w="0" w:type="auto"/>
            <w:gridSpan w:val="3"/>
            <w:shd w:val="clear" w:color="auto" w:fill="auto"/>
            <w:vAlign w:val="bottom"/>
          </w:tcPr>
          <w:p w14:paraId="5F2D5BF6" w14:textId="77777777" w:rsidR="00E836FB" w:rsidRDefault="00E836FB">
            <w:pPr>
              <w:rPr>
                <w:rFonts w:ascii="宋体"/>
                <w:vanish/>
              </w:rPr>
            </w:pPr>
          </w:p>
        </w:tc>
        <w:tc>
          <w:tcPr>
            <w:tcW w:w="0" w:type="auto"/>
            <w:gridSpan w:val="3"/>
            <w:shd w:val="clear" w:color="auto" w:fill="auto"/>
            <w:vAlign w:val="bottom"/>
          </w:tcPr>
          <w:p w14:paraId="5F2D5BF7" w14:textId="77777777" w:rsidR="00E836FB" w:rsidRDefault="00E836FB">
            <w:pPr>
              <w:rPr>
                <w:rFonts w:ascii="宋体"/>
                <w:vanish/>
              </w:rPr>
            </w:pPr>
          </w:p>
        </w:tc>
        <w:tc>
          <w:tcPr>
            <w:tcW w:w="0" w:type="auto"/>
            <w:gridSpan w:val="3"/>
            <w:shd w:val="clear" w:color="auto" w:fill="auto"/>
            <w:vAlign w:val="bottom"/>
          </w:tcPr>
          <w:p w14:paraId="5F2D5BF8" w14:textId="77777777" w:rsidR="00E836FB" w:rsidRDefault="00E836FB">
            <w:pPr>
              <w:rPr>
                <w:rFonts w:ascii="宋体"/>
                <w:vanish/>
              </w:rPr>
            </w:pPr>
          </w:p>
        </w:tc>
        <w:tc>
          <w:tcPr>
            <w:tcW w:w="0" w:type="auto"/>
            <w:gridSpan w:val="3"/>
            <w:shd w:val="clear" w:color="auto" w:fill="auto"/>
            <w:vAlign w:val="bottom"/>
          </w:tcPr>
          <w:p w14:paraId="5F2D5BF9" w14:textId="77777777" w:rsidR="00E836FB" w:rsidRDefault="00E836FB">
            <w:pPr>
              <w:rPr>
                <w:rFonts w:ascii="宋体"/>
                <w:vanish/>
              </w:rPr>
            </w:pPr>
          </w:p>
        </w:tc>
        <w:tc>
          <w:tcPr>
            <w:tcW w:w="0" w:type="auto"/>
            <w:gridSpan w:val="3"/>
            <w:shd w:val="clear" w:color="auto" w:fill="auto"/>
            <w:vAlign w:val="bottom"/>
          </w:tcPr>
          <w:p w14:paraId="5F2D5BFA" w14:textId="77777777" w:rsidR="00E836FB" w:rsidRDefault="00E836FB">
            <w:pPr>
              <w:rPr>
                <w:rFonts w:ascii="宋体"/>
                <w:vanish/>
              </w:rPr>
            </w:pPr>
          </w:p>
        </w:tc>
        <w:tc>
          <w:tcPr>
            <w:tcW w:w="0" w:type="auto"/>
            <w:gridSpan w:val="3"/>
            <w:shd w:val="clear" w:color="auto" w:fill="auto"/>
            <w:vAlign w:val="bottom"/>
          </w:tcPr>
          <w:p w14:paraId="5F2D5BFB" w14:textId="77777777" w:rsidR="00E836FB" w:rsidRDefault="00E836FB">
            <w:pPr>
              <w:rPr>
                <w:rFonts w:ascii="宋体"/>
                <w:vanish/>
              </w:rPr>
            </w:pPr>
          </w:p>
        </w:tc>
        <w:tc>
          <w:tcPr>
            <w:tcW w:w="0" w:type="auto"/>
            <w:gridSpan w:val="3"/>
            <w:shd w:val="clear" w:color="auto" w:fill="auto"/>
            <w:vAlign w:val="bottom"/>
          </w:tcPr>
          <w:p w14:paraId="5F2D5BFC" w14:textId="77777777" w:rsidR="00E836FB" w:rsidRDefault="00E836FB">
            <w:pPr>
              <w:rPr>
                <w:rFonts w:ascii="宋体"/>
                <w:vanish/>
              </w:rPr>
            </w:pPr>
          </w:p>
        </w:tc>
        <w:tc>
          <w:tcPr>
            <w:tcW w:w="0" w:type="auto"/>
            <w:gridSpan w:val="3"/>
            <w:shd w:val="clear" w:color="auto" w:fill="auto"/>
            <w:vAlign w:val="bottom"/>
          </w:tcPr>
          <w:p w14:paraId="5F2D5BFD" w14:textId="77777777" w:rsidR="00E836FB" w:rsidRDefault="00E836FB">
            <w:pPr>
              <w:rPr>
                <w:rFonts w:ascii="宋体"/>
                <w:vanish/>
              </w:rPr>
            </w:pPr>
          </w:p>
        </w:tc>
        <w:tc>
          <w:tcPr>
            <w:tcW w:w="0" w:type="auto"/>
            <w:gridSpan w:val="3"/>
            <w:shd w:val="clear" w:color="auto" w:fill="auto"/>
            <w:vAlign w:val="bottom"/>
          </w:tcPr>
          <w:p w14:paraId="5F2D5BFE" w14:textId="77777777" w:rsidR="00E836FB" w:rsidRDefault="00E836FB">
            <w:pPr>
              <w:rPr>
                <w:rFonts w:ascii="宋体"/>
                <w:vanish/>
              </w:rPr>
            </w:pPr>
          </w:p>
        </w:tc>
        <w:tc>
          <w:tcPr>
            <w:tcW w:w="0" w:type="auto"/>
            <w:gridSpan w:val="3"/>
            <w:shd w:val="clear" w:color="auto" w:fill="auto"/>
            <w:vAlign w:val="bottom"/>
          </w:tcPr>
          <w:p w14:paraId="5F2D5BFF" w14:textId="77777777" w:rsidR="00E836FB" w:rsidRDefault="00E836FB">
            <w:pPr>
              <w:rPr>
                <w:rFonts w:ascii="宋体"/>
                <w:vanish/>
              </w:rPr>
            </w:pPr>
          </w:p>
        </w:tc>
        <w:tc>
          <w:tcPr>
            <w:tcW w:w="0" w:type="auto"/>
            <w:gridSpan w:val="3"/>
            <w:shd w:val="clear" w:color="auto" w:fill="auto"/>
            <w:vAlign w:val="bottom"/>
          </w:tcPr>
          <w:p w14:paraId="5F2D5C00" w14:textId="77777777" w:rsidR="00E836FB" w:rsidRDefault="00E836FB">
            <w:pPr>
              <w:rPr>
                <w:rFonts w:ascii="宋体"/>
                <w:vanish/>
              </w:rPr>
            </w:pPr>
          </w:p>
        </w:tc>
        <w:tc>
          <w:tcPr>
            <w:tcW w:w="0" w:type="auto"/>
            <w:gridSpan w:val="3"/>
            <w:shd w:val="clear" w:color="auto" w:fill="auto"/>
            <w:vAlign w:val="bottom"/>
          </w:tcPr>
          <w:p w14:paraId="5F2D5C01" w14:textId="77777777" w:rsidR="00E836FB" w:rsidRDefault="00E836FB">
            <w:pPr>
              <w:rPr>
                <w:rFonts w:ascii="宋体"/>
                <w:vanish/>
              </w:rPr>
            </w:pPr>
          </w:p>
        </w:tc>
        <w:tc>
          <w:tcPr>
            <w:tcW w:w="0" w:type="auto"/>
            <w:gridSpan w:val="3"/>
            <w:shd w:val="clear" w:color="auto" w:fill="auto"/>
            <w:vAlign w:val="bottom"/>
          </w:tcPr>
          <w:p w14:paraId="5F2D5C02" w14:textId="77777777" w:rsidR="00E836FB" w:rsidRDefault="00E836FB">
            <w:pPr>
              <w:rPr>
                <w:rFonts w:ascii="宋体"/>
                <w:vanish/>
              </w:rPr>
            </w:pPr>
          </w:p>
        </w:tc>
        <w:tc>
          <w:tcPr>
            <w:tcW w:w="0" w:type="auto"/>
            <w:gridSpan w:val="3"/>
            <w:shd w:val="clear" w:color="auto" w:fill="auto"/>
            <w:vAlign w:val="bottom"/>
          </w:tcPr>
          <w:p w14:paraId="5F2D5C03" w14:textId="77777777" w:rsidR="00E836FB" w:rsidRDefault="00E836FB">
            <w:pPr>
              <w:rPr>
                <w:rFonts w:ascii="宋体"/>
                <w:vanish/>
              </w:rPr>
            </w:pPr>
          </w:p>
        </w:tc>
      </w:tr>
      <w:tr w:rsidR="00E836FB" w14:paraId="5F2D5C17" w14:textId="77777777">
        <w:trPr>
          <w:hidden/>
        </w:trPr>
        <w:tc>
          <w:tcPr>
            <w:tcW w:w="0" w:type="auto"/>
            <w:gridSpan w:val="3"/>
            <w:shd w:val="clear" w:color="auto" w:fill="auto"/>
            <w:vAlign w:val="bottom"/>
          </w:tcPr>
          <w:p w14:paraId="5F2D5C05" w14:textId="77777777" w:rsidR="00E836FB" w:rsidRDefault="00E836FB">
            <w:pPr>
              <w:rPr>
                <w:rFonts w:ascii="宋体"/>
                <w:vanish/>
              </w:rPr>
            </w:pPr>
          </w:p>
        </w:tc>
        <w:tc>
          <w:tcPr>
            <w:tcW w:w="0" w:type="auto"/>
            <w:gridSpan w:val="3"/>
            <w:shd w:val="clear" w:color="auto" w:fill="auto"/>
            <w:vAlign w:val="bottom"/>
          </w:tcPr>
          <w:p w14:paraId="5F2D5C06" w14:textId="77777777" w:rsidR="00E836FB" w:rsidRDefault="00E836FB">
            <w:pPr>
              <w:rPr>
                <w:rFonts w:ascii="宋体"/>
                <w:vanish/>
              </w:rPr>
            </w:pPr>
          </w:p>
        </w:tc>
        <w:tc>
          <w:tcPr>
            <w:tcW w:w="0" w:type="auto"/>
            <w:gridSpan w:val="3"/>
            <w:shd w:val="clear" w:color="auto" w:fill="auto"/>
            <w:vAlign w:val="bottom"/>
          </w:tcPr>
          <w:p w14:paraId="5F2D5C07" w14:textId="77777777" w:rsidR="00E836FB" w:rsidRDefault="00E836FB">
            <w:pPr>
              <w:rPr>
                <w:rFonts w:ascii="宋体"/>
                <w:vanish/>
              </w:rPr>
            </w:pPr>
          </w:p>
        </w:tc>
        <w:tc>
          <w:tcPr>
            <w:tcW w:w="0" w:type="auto"/>
            <w:gridSpan w:val="3"/>
            <w:shd w:val="clear" w:color="auto" w:fill="auto"/>
            <w:vAlign w:val="bottom"/>
          </w:tcPr>
          <w:p w14:paraId="5F2D5C08" w14:textId="77777777" w:rsidR="00E836FB" w:rsidRDefault="00E836FB">
            <w:pPr>
              <w:rPr>
                <w:rFonts w:ascii="宋体"/>
                <w:vanish/>
              </w:rPr>
            </w:pPr>
          </w:p>
        </w:tc>
        <w:tc>
          <w:tcPr>
            <w:tcW w:w="0" w:type="auto"/>
            <w:gridSpan w:val="3"/>
            <w:shd w:val="clear" w:color="auto" w:fill="auto"/>
            <w:vAlign w:val="bottom"/>
          </w:tcPr>
          <w:p w14:paraId="5F2D5C09" w14:textId="77777777" w:rsidR="00E836FB" w:rsidRDefault="00E836FB">
            <w:pPr>
              <w:rPr>
                <w:rFonts w:ascii="宋体"/>
                <w:vanish/>
              </w:rPr>
            </w:pPr>
          </w:p>
        </w:tc>
        <w:tc>
          <w:tcPr>
            <w:tcW w:w="0" w:type="auto"/>
            <w:gridSpan w:val="3"/>
            <w:shd w:val="clear" w:color="auto" w:fill="auto"/>
            <w:vAlign w:val="bottom"/>
          </w:tcPr>
          <w:p w14:paraId="5F2D5C0A" w14:textId="77777777" w:rsidR="00E836FB" w:rsidRDefault="00E836FB">
            <w:pPr>
              <w:rPr>
                <w:rFonts w:ascii="宋体"/>
                <w:vanish/>
              </w:rPr>
            </w:pPr>
          </w:p>
        </w:tc>
        <w:tc>
          <w:tcPr>
            <w:tcW w:w="0" w:type="auto"/>
            <w:gridSpan w:val="3"/>
            <w:shd w:val="clear" w:color="auto" w:fill="auto"/>
            <w:vAlign w:val="bottom"/>
          </w:tcPr>
          <w:p w14:paraId="5F2D5C0B" w14:textId="77777777" w:rsidR="00E836FB" w:rsidRDefault="00E836FB">
            <w:pPr>
              <w:rPr>
                <w:rFonts w:ascii="宋体"/>
                <w:vanish/>
              </w:rPr>
            </w:pPr>
          </w:p>
        </w:tc>
        <w:tc>
          <w:tcPr>
            <w:tcW w:w="0" w:type="auto"/>
            <w:gridSpan w:val="3"/>
            <w:shd w:val="clear" w:color="auto" w:fill="auto"/>
            <w:vAlign w:val="bottom"/>
          </w:tcPr>
          <w:p w14:paraId="5F2D5C0C" w14:textId="77777777" w:rsidR="00E836FB" w:rsidRDefault="00E836FB">
            <w:pPr>
              <w:rPr>
                <w:rFonts w:ascii="宋体"/>
                <w:vanish/>
              </w:rPr>
            </w:pPr>
          </w:p>
        </w:tc>
        <w:tc>
          <w:tcPr>
            <w:tcW w:w="0" w:type="auto"/>
            <w:gridSpan w:val="3"/>
            <w:shd w:val="clear" w:color="auto" w:fill="auto"/>
            <w:vAlign w:val="bottom"/>
          </w:tcPr>
          <w:p w14:paraId="5F2D5C0D" w14:textId="77777777" w:rsidR="00E836FB" w:rsidRDefault="00E836FB">
            <w:pPr>
              <w:rPr>
                <w:rFonts w:ascii="宋体"/>
                <w:vanish/>
              </w:rPr>
            </w:pPr>
          </w:p>
        </w:tc>
        <w:tc>
          <w:tcPr>
            <w:tcW w:w="0" w:type="auto"/>
            <w:gridSpan w:val="3"/>
            <w:shd w:val="clear" w:color="auto" w:fill="auto"/>
            <w:vAlign w:val="bottom"/>
          </w:tcPr>
          <w:p w14:paraId="5F2D5C0E" w14:textId="77777777" w:rsidR="00E836FB" w:rsidRDefault="00E836FB">
            <w:pPr>
              <w:rPr>
                <w:rFonts w:ascii="宋体"/>
                <w:vanish/>
              </w:rPr>
            </w:pPr>
          </w:p>
        </w:tc>
        <w:tc>
          <w:tcPr>
            <w:tcW w:w="0" w:type="auto"/>
            <w:gridSpan w:val="3"/>
            <w:shd w:val="clear" w:color="auto" w:fill="auto"/>
            <w:vAlign w:val="bottom"/>
          </w:tcPr>
          <w:p w14:paraId="5F2D5C0F" w14:textId="77777777" w:rsidR="00E836FB" w:rsidRDefault="00E836FB">
            <w:pPr>
              <w:rPr>
                <w:rFonts w:ascii="宋体"/>
                <w:vanish/>
              </w:rPr>
            </w:pPr>
          </w:p>
        </w:tc>
        <w:tc>
          <w:tcPr>
            <w:tcW w:w="0" w:type="auto"/>
            <w:gridSpan w:val="3"/>
            <w:shd w:val="clear" w:color="auto" w:fill="auto"/>
            <w:vAlign w:val="bottom"/>
          </w:tcPr>
          <w:p w14:paraId="5F2D5C10" w14:textId="77777777" w:rsidR="00E836FB" w:rsidRDefault="00E836FB">
            <w:pPr>
              <w:rPr>
                <w:rFonts w:ascii="宋体"/>
                <w:vanish/>
              </w:rPr>
            </w:pPr>
          </w:p>
        </w:tc>
        <w:tc>
          <w:tcPr>
            <w:tcW w:w="0" w:type="auto"/>
            <w:gridSpan w:val="3"/>
            <w:shd w:val="clear" w:color="auto" w:fill="auto"/>
            <w:vAlign w:val="bottom"/>
          </w:tcPr>
          <w:p w14:paraId="5F2D5C11" w14:textId="77777777" w:rsidR="00E836FB" w:rsidRDefault="00E836FB">
            <w:pPr>
              <w:rPr>
                <w:rFonts w:ascii="宋体"/>
                <w:vanish/>
              </w:rPr>
            </w:pPr>
          </w:p>
        </w:tc>
        <w:tc>
          <w:tcPr>
            <w:tcW w:w="0" w:type="auto"/>
            <w:gridSpan w:val="3"/>
            <w:shd w:val="clear" w:color="auto" w:fill="auto"/>
            <w:vAlign w:val="bottom"/>
          </w:tcPr>
          <w:p w14:paraId="5F2D5C12" w14:textId="77777777" w:rsidR="00E836FB" w:rsidRDefault="00E836FB">
            <w:pPr>
              <w:rPr>
                <w:rFonts w:ascii="宋体"/>
                <w:vanish/>
              </w:rPr>
            </w:pPr>
          </w:p>
        </w:tc>
        <w:tc>
          <w:tcPr>
            <w:tcW w:w="0" w:type="auto"/>
            <w:gridSpan w:val="3"/>
            <w:shd w:val="clear" w:color="auto" w:fill="auto"/>
            <w:vAlign w:val="bottom"/>
          </w:tcPr>
          <w:p w14:paraId="5F2D5C13" w14:textId="77777777" w:rsidR="00E836FB" w:rsidRDefault="00E836FB">
            <w:pPr>
              <w:rPr>
                <w:rFonts w:ascii="宋体"/>
                <w:vanish/>
              </w:rPr>
            </w:pPr>
          </w:p>
        </w:tc>
        <w:tc>
          <w:tcPr>
            <w:tcW w:w="0" w:type="auto"/>
            <w:gridSpan w:val="3"/>
            <w:shd w:val="clear" w:color="auto" w:fill="auto"/>
            <w:vAlign w:val="bottom"/>
          </w:tcPr>
          <w:p w14:paraId="5F2D5C14" w14:textId="77777777" w:rsidR="00E836FB" w:rsidRDefault="00E836FB">
            <w:pPr>
              <w:rPr>
                <w:rFonts w:ascii="宋体"/>
                <w:vanish/>
              </w:rPr>
            </w:pPr>
          </w:p>
        </w:tc>
        <w:tc>
          <w:tcPr>
            <w:tcW w:w="0" w:type="auto"/>
            <w:gridSpan w:val="3"/>
            <w:shd w:val="clear" w:color="auto" w:fill="auto"/>
            <w:vAlign w:val="bottom"/>
          </w:tcPr>
          <w:p w14:paraId="5F2D5C15" w14:textId="77777777" w:rsidR="00E836FB" w:rsidRDefault="00E836FB">
            <w:pPr>
              <w:rPr>
                <w:rFonts w:ascii="宋体"/>
                <w:vanish/>
              </w:rPr>
            </w:pPr>
          </w:p>
        </w:tc>
        <w:tc>
          <w:tcPr>
            <w:tcW w:w="0" w:type="auto"/>
            <w:gridSpan w:val="3"/>
            <w:shd w:val="clear" w:color="auto" w:fill="auto"/>
            <w:vAlign w:val="bottom"/>
          </w:tcPr>
          <w:p w14:paraId="5F2D5C16" w14:textId="77777777" w:rsidR="00E836FB" w:rsidRDefault="00E836FB">
            <w:pPr>
              <w:rPr>
                <w:rFonts w:ascii="宋体"/>
                <w:vanish/>
              </w:rPr>
            </w:pPr>
          </w:p>
        </w:tc>
      </w:tr>
      <w:tr w:rsidR="00E836FB" w14:paraId="5F2D5C2A" w14:textId="77777777">
        <w:trPr>
          <w:hidden/>
        </w:trPr>
        <w:tc>
          <w:tcPr>
            <w:tcW w:w="0" w:type="auto"/>
            <w:gridSpan w:val="3"/>
            <w:shd w:val="clear" w:color="auto" w:fill="auto"/>
            <w:vAlign w:val="bottom"/>
          </w:tcPr>
          <w:p w14:paraId="5F2D5C18" w14:textId="77777777" w:rsidR="00E836FB" w:rsidRDefault="00E836FB">
            <w:pPr>
              <w:rPr>
                <w:rFonts w:ascii="宋体"/>
                <w:vanish/>
              </w:rPr>
            </w:pPr>
          </w:p>
        </w:tc>
        <w:tc>
          <w:tcPr>
            <w:tcW w:w="0" w:type="auto"/>
            <w:gridSpan w:val="3"/>
            <w:shd w:val="clear" w:color="auto" w:fill="auto"/>
            <w:vAlign w:val="bottom"/>
          </w:tcPr>
          <w:p w14:paraId="5F2D5C19" w14:textId="77777777" w:rsidR="00E836FB" w:rsidRDefault="00E836FB">
            <w:pPr>
              <w:rPr>
                <w:rFonts w:ascii="宋体"/>
                <w:vanish/>
              </w:rPr>
            </w:pPr>
          </w:p>
        </w:tc>
        <w:tc>
          <w:tcPr>
            <w:tcW w:w="0" w:type="auto"/>
            <w:gridSpan w:val="3"/>
            <w:shd w:val="clear" w:color="auto" w:fill="auto"/>
            <w:vAlign w:val="bottom"/>
          </w:tcPr>
          <w:p w14:paraId="5F2D5C1A" w14:textId="77777777" w:rsidR="00E836FB" w:rsidRDefault="00E836FB">
            <w:pPr>
              <w:rPr>
                <w:rFonts w:ascii="宋体"/>
                <w:vanish/>
              </w:rPr>
            </w:pPr>
          </w:p>
        </w:tc>
        <w:tc>
          <w:tcPr>
            <w:tcW w:w="0" w:type="auto"/>
            <w:gridSpan w:val="3"/>
            <w:shd w:val="clear" w:color="auto" w:fill="auto"/>
            <w:vAlign w:val="bottom"/>
          </w:tcPr>
          <w:p w14:paraId="5F2D5C1B" w14:textId="77777777" w:rsidR="00E836FB" w:rsidRDefault="00E836FB">
            <w:pPr>
              <w:rPr>
                <w:rFonts w:ascii="宋体"/>
                <w:vanish/>
              </w:rPr>
            </w:pPr>
          </w:p>
        </w:tc>
        <w:tc>
          <w:tcPr>
            <w:tcW w:w="0" w:type="auto"/>
            <w:gridSpan w:val="3"/>
            <w:shd w:val="clear" w:color="auto" w:fill="auto"/>
            <w:vAlign w:val="bottom"/>
          </w:tcPr>
          <w:p w14:paraId="5F2D5C1C" w14:textId="77777777" w:rsidR="00E836FB" w:rsidRDefault="00E836FB">
            <w:pPr>
              <w:rPr>
                <w:rFonts w:ascii="宋体"/>
                <w:vanish/>
              </w:rPr>
            </w:pPr>
          </w:p>
        </w:tc>
        <w:tc>
          <w:tcPr>
            <w:tcW w:w="0" w:type="auto"/>
            <w:gridSpan w:val="3"/>
            <w:shd w:val="clear" w:color="auto" w:fill="auto"/>
            <w:vAlign w:val="bottom"/>
          </w:tcPr>
          <w:p w14:paraId="5F2D5C1D" w14:textId="77777777" w:rsidR="00E836FB" w:rsidRDefault="00E836FB">
            <w:pPr>
              <w:rPr>
                <w:rFonts w:ascii="宋体"/>
                <w:vanish/>
              </w:rPr>
            </w:pPr>
          </w:p>
        </w:tc>
        <w:tc>
          <w:tcPr>
            <w:tcW w:w="0" w:type="auto"/>
            <w:gridSpan w:val="3"/>
            <w:shd w:val="clear" w:color="auto" w:fill="auto"/>
            <w:vAlign w:val="bottom"/>
          </w:tcPr>
          <w:p w14:paraId="5F2D5C1E" w14:textId="77777777" w:rsidR="00E836FB" w:rsidRDefault="00E836FB">
            <w:pPr>
              <w:rPr>
                <w:rFonts w:ascii="宋体"/>
                <w:vanish/>
              </w:rPr>
            </w:pPr>
          </w:p>
        </w:tc>
        <w:tc>
          <w:tcPr>
            <w:tcW w:w="0" w:type="auto"/>
            <w:gridSpan w:val="3"/>
            <w:shd w:val="clear" w:color="auto" w:fill="auto"/>
            <w:vAlign w:val="bottom"/>
          </w:tcPr>
          <w:p w14:paraId="5F2D5C1F" w14:textId="77777777" w:rsidR="00E836FB" w:rsidRDefault="00E836FB">
            <w:pPr>
              <w:rPr>
                <w:rFonts w:ascii="宋体"/>
                <w:vanish/>
              </w:rPr>
            </w:pPr>
          </w:p>
        </w:tc>
        <w:tc>
          <w:tcPr>
            <w:tcW w:w="0" w:type="auto"/>
            <w:gridSpan w:val="3"/>
            <w:shd w:val="clear" w:color="auto" w:fill="auto"/>
            <w:vAlign w:val="bottom"/>
          </w:tcPr>
          <w:p w14:paraId="5F2D5C20" w14:textId="77777777" w:rsidR="00E836FB" w:rsidRDefault="00E836FB">
            <w:pPr>
              <w:rPr>
                <w:rFonts w:ascii="宋体"/>
                <w:vanish/>
              </w:rPr>
            </w:pPr>
          </w:p>
        </w:tc>
        <w:tc>
          <w:tcPr>
            <w:tcW w:w="0" w:type="auto"/>
            <w:gridSpan w:val="3"/>
            <w:shd w:val="clear" w:color="auto" w:fill="auto"/>
            <w:vAlign w:val="bottom"/>
          </w:tcPr>
          <w:p w14:paraId="5F2D5C21" w14:textId="77777777" w:rsidR="00E836FB" w:rsidRDefault="00E836FB">
            <w:pPr>
              <w:rPr>
                <w:rFonts w:ascii="宋体"/>
                <w:vanish/>
              </w:rPr>
            </w:pPr>
          </w:p>
        </w:tc>
        <w:tc>
          <w:tcPr>
            <w:tcW w:w="0" w:type="auto"/>
            <w:gridSpan w:val="3"/>
            <w:shd w:val="clear" w:color="auto" w:fill="auto"/>
            <w:vAlign w:val="bottom"/>
          </w:tcPr>
          <w:p w14:paraId="5F2D5C22" w14:textId="77777777" w:rsidR="00E836FB" w:rsidRDefault="00E836FB">
            <w:pPr>
              <w:rPr>
                <w:rFonts w:ascii="宋体"/>
                <w:vanish/>
              </w:rPr>
            </w:pPr>
          </w:p>
        </w:tc>
        <w:tc>
          <w:tcPr>
            <w:tcW w:w="0" w:type="auto"/>
            <w:gridSpan w:val="3"/>
            <w:shd w:val="clear" w:color="auto" w:fill="auto"/>
            <w:vAlign w:val="bottom"/>
          </w:tcPr>
          <w:p w14:paraId="5F2D5C23" w14:textId="77777777" w:rsidR="00E836FB" w:rsidRDefault="00E836FB">
            <w:pPr>
              <w:rPr>
                <w:rFonts w:ascii="宋体"/>
                <w:vanish/>
              </w:rPr>
            </w:pPr>
          </w:p>
        </w:tc>
        <w:tc>
          <w:tcPr>
            <w:tcW w:w="0" w:type="auto"/>
            <w:gridSpan w:val="3"/>
            <w:shd w:val="clear" w:color="auto" w:fill="auto"/>
            <w:vAlign w:val="bottom"/>
          </w:tcPr>
          <w:p w14:paraId="5F2D5C24" w14:textId="77777777" w:rsidR="00E836FB" w:rsidRDefault="00E836FB">
            <w:pPr>
              <w:rPr>
                <w:rFonts w:ascii="宋体"/>
                <w:vanish/>
              </w:rPr>
            </w:pPr>
          </w:p>
        </w:tc>
        <w:tc>
          <w:tcPr>
            <w:tcW w:w="0" w:type="auto"/>
            <w:gridSpan w:val="3"/>
            <w:shd w:val="clear" w:color="auto" w:fill="auto"/>
            <w:vAlign w:val="bottom"/>
          </w:tcPr>
          <w:p w14:paraId="5F2D5C25" w14:textId="77777777" w:rsidR="00E836FB" w:rsidRDefault="00E836FB">
            <w:pPr>
              <w:rPr>
                <w:rFonts w:ascii="宋体"/>
                <w:vanish/>
              </w:rPr>
            </w:pPr>
          </w:p>
        </w:tc>
        <w:tc>
          <w:tcPr>
            <w:tcW w:w="0" w:type="auto"/>
            <w:gridSpan w:val="3"/>
            <w:shd w:val="clear" w:color="auto" w:fill="auto"/>
            <w:vAlign w:val="bottom"/>
          </w:tcPr>
          <w:p w14:paraId="5F2D5C26" w14:textId="77777777" w:rsidR="00E836FB" w:rsidRDefault="00E836FB">
            <w:pPr>
              <w:rPr>
                <w:rFonts w:ascii="宋体"/>
                <w:vanish/>
              </w:rPr>
            </w:pPr>
          </w:p>
        </w:tc>
        <w:tc>
          <w:tcPr>
            <w:tcW w:w="0" w:type="auto"/>
            <w:gridSpan w:val="3"/>
            <w:shd w:val="clear" w:color="auto" w:fill="auto"/>
            <w:vAlign w:val="bottom"/>
          </w:tcPr>
          <w:p w14:paraId="5F2D5C27" w14:textId="77777777" w:rsidR="00E836FB" w:rsidRDefault="00E836FB">
            <w:pPr>
              <w:rPr>
                <w:rFonts w:ascii="宋体"/>
                <w:vanish/>
              </w:rPr>
            </w:pPr>
          </w:p>
        </w:tc>
        <w:tc>
          <w:tcPr>
            <w:tcW w:w="0" w:type="auto"/>
            <w:gridSpan w:val="3"/>
            <w:shd w:val="clear" w:color="auto" w:fill="auto"/>
            <w:vAlign w:val="bottom"/>
          </w:tcPr>
          <w:p w14:paraId="5F2D5C28" w14:textId="77777777" w:rsidR="00E836FB" w:rsidRDefault="00E836FB">
            <w:pPr>
              <w:rPr>
                <w:rFonts w:ascii="宋体"/>
                <w:vanish/>
              </w:rPr>
            </w:pPr>
          </w:p>
        </w:tc>
        <w:tc>
          <w:tcPr>
            <w:tcW w:w="0" w:type="auto"/>
            <w:gridSpan w:val="3"/>
            <w:shd w:val="clear" w:color="auto" w:fill="auto"/>
            <w:vAlign w:val="bottom"/>
          </w:tcPr>
          <w:p w14:paraId="5F2D5C29" w14:textId="77777777" w:rsidR="00E836FB" w:rsidRDefault="00E836FB">
            <w:pPr>
              <w:rPr>
                <w:rFonts w:ascii="宋体"/>
                <w:vanish/>
              </w:rPr>
            </w:pPr>
          </w:p>
        </w:tc>
      </w:tr>
      <w:tr w:rsidR="00E836FB" w14:paraId="5F2D5C3D" w14:textId="77777777">
        <w:trPr>
          <w:hidden/>
        </w:trPr>
        <w:tc>
          <w:tcPr>
            <w:tcW w:w="0" w:type="auto"/>
            <w:gridSpan w:val="3"/>
            <w:shd w:val="clear" w:color="auto" w:fill="auto"/>
            <w:vAlign w:val="bottom"/>
          </w:tcPr>
          <w:p w14:paraId="5F2D5C2B" w14:textId="77777777" w:rsidR="00E836FB" w:rsidRDefault="00E836FB">
            <w:pPr>
              <w:rPr>
                <w:rFonts w:ascii="宋体"/>
                <w:vanish/>
              </w:rPr>
            </w:pPr>
          </w:p>
        </w:tc>
        <w:tc>
          <w:tcPr>
            <w:tcW w:w="0" w:type="auto"/>
            <w:gridSpan w:val="3"/>
            <w:shd w:val="clear" w:color="auto" w:fill="auto"/>
            <w:vAlign w:val="bottom"/>
          </w:tcPr>
          <w:p w14:paraId="5F2D5C2C" w14:textId="77777777" w:rsidR="00E836FB" w:rsidRDefault="00E836FB">
            <w:pPr>
              <w:rPr>
                <w:rFonts w:ascii="宋体"/>
                <w:vanish/>
              </w:rPr>
            </w:pPr>
          </w:p>
        </w:tc>
        <w:tc>
          <w:tcPr>
            <w:tcW w:w="0" w:type="auto"/>
            <w:gridSpan w:val="3"/>
            <w:shd w:val="clear" w:color="auto" w:fill="auto"/>
            <w:vAlign w:val="bottom"/>
          </w:tcPr>
          <w:p w14:paraId="5F2D5C2D" w14:textId="77777777" w:rsidR="00E836FB" w:rsidRDefault="00E836FB">
            <w:pPr>
              <w:rPr>
                <w:rFonts w:ascii="宋体"/>
                <w:vanish/>
              </w:rPr>
            </w:pPr>
          </w:p>
        </w:tc>
        <w:tc>
          <w:tcPr>
            <w:tcW w:w="0" w:type="auto"/>
            <w:gridSpan w:val="3"/>
            <w:shd w:val="clear" w:color="auto" w:fill="auto"/>
            <w:vAlign w:val="bottom"/>
          </w:tcPr>
          <w:p w14:paraId="5F2D5C2E" w14:textId="77777777" w:rsidR="00E836FB" w:rsidRDefault="00E836FB">
            <w:pPr>
              <w:rPr>
                <w:rFonts w:ascii="宋体"/>
                <w:vanish/>
              </w:rPr>
            </w:pPr>
          </w:p>
        </w:tc>
        <w:tc>
          <w:tcPr>
            <w:tcW w:w="0" w:type="auto"/>
            <w:gridSpan w:val="3"/>
            <w:shd w:val="clear" w:color="auto" w:fill="auto"/>
            <w:vAlign w:val="bottom"/>
          </w:tcPr>
          <w:p w14:paraId="5F2D5C2F" w14:textId="77777777" w:rsidR="00E836FB" w:rsidRDefault="00E836FB">
            <w:pPr>
              <w:rPr>
                <w:rFonts w:ascii="宋体"/>
                <w:vanish/>
              </w:rPr>
            </w:pPr>
          </w:p>
        </w:tc>
        <w:tc>
          <w:tcPr>
            <w:tcW w:w="0" w:type="auto"/>
            <w:gridSpan w:val="3"/>
            <w:shd w:val="clear" w:color="auto" w:fill="auto"/>
            <w:vAlign w:val="bottom"/>
          </w:tcPr>
          <w:p w14:paraId="5F2D5C30" w14:textId="77777777" w:rsidR="00E836FB" w:rsidRDefault="00E836FB">
            <w:pPr>
              <w:rPr>
                <w:rFonts w:ascii="宋体"/>
                <w:vanish/>
              </w:rPr>
            </w:pPr>
          </w:p>
        </w:tc>
        <w:tc>
          <w:tcPr>
            <w:tcW w:w="0" w:type="auto"/>
            <w:gridSpan w:val="3"/>
            <w:shd w:val="clear" w:color="auto" w:fill="auto"/>
            <w:vAlign w:val="bottom"/>
          </w:tcPr>
          <w:p w14:paraId="5F2D5C31" w14:textId="77777777" w:rsidR="00E836FB" w:rsidRDefault="00E836FB">
            <w:pPr>
              <w:rPr>
                <w:rFonts w:ascii="宋体"/>
                <w:vanish/>
              </w:rPr>
            </w:pPr>
          </w:p>
        </w:tc>
        <w:tc>
          <w:tcPr>
            <w:tcW w:w="0" w:type="auto"/>
            <w:gridSpan w:val="3"/>
            <w:shd w:val="clear" w:color="auto" w:fill="auto"/>
            <w:vAlign w:val="bottom"/>
          </w:tcPr>
          <w:p w14:paraId="5F2D5C32" w14:textId="77777777" w:rsidR="00E836FB" w:rsidRDefault="00E836FB">
            <w:pPr>
              <w:rPr>
                <w:rFonts w:ascii="宋体"/>
                <w:vanish/>
              </w:rPr>
            </w:pPr>
          </w:p>
        </w:tc>
        <w:tc>
          <w:tcPr>
            <w:tcW w:w="0" w:type="auto"/>
            <w:gridSpan w:val="3"/>
            <w:shd w:val="clear" w:color="auto" w:fill="auto"/>
            <w:vAlign w:val="bottom"/>
          </w:tcPr>
          <w:p w14:paraId="5F2D5C33" w14:textId="77777777" w:rsidR="00E836FB" w:rsidRDefault="00E836FB">
            <w:pPr>
              <w:rPr>
                <w:rFonts w:ascii="宋体"/>
                <w:vanish/>
              </w:rPr>
            </w:pPr>
          </w:p>
        </w:tc>
        <w:tc>
          <w:tcPr>
            <w:tcW w:w="0" w:type="auto"/>
            <w:gridSpan w:val="3"/>
            <w:shd w:val="clear" w:color="auto" w:fill="auto"/>
            <w:vAlign w:val="bottom"/>
          </w:tcPr>
          <w:p w14:paraId="5F2D5C34" w14:textId="77777777" w:rsidR="00E836FB" w:rsidRDefault="00E836FB">
            <w:pPr>
              <w:rPr>
                <w:rFonts w:ascii="宋体"/>
                <w:vanish/>
              </w:rPr>
            </w:pPr>
          </w:p>
        </w:tc>
        <w:tc>
          <w:tcPr>
            <w:tcW w:w="0" w:type="auto"/>
            <w:gridSpan w:val="3"/>
            <w:shd w:val="clear" w:color="auto" w:fill="auto"/>
            <w:vAlign w:val="bottom"/>
          </w:tcPr>
          <w:p w14:paraId="5F2D5C35" w14:textId="77777777" w:rsidR="00E836FB" w:rsidRDefault="00E836FB">
            <w:pPr>
              <w:rPr>
                <w:rFonts w:ascii="宋体"/>
                <w:vanish/>
              </w:rPr>
            </w:pPr>
          </w:p>
        </w:tc>
        <w:tc>
          <w:tcPr>
            <w:tcW w:w="0" w:type="auto"/>
            <w:gridSpan w:val="3"/>
            <w:shd w:val="clear" w:color="auto" w:fill="auto"/>
            <w:vAlign w:val="bottom"/>
          </w:tcPr>
          <w:p w14:paraId="5F2D5C36" w14:textId="77777777" w:rsidR="00E836FB" w:rsidRDefault="00E836FB">
            <w:pPr>
              <w:rPr>
                <w:rFonts w:ascii="宋体"/>
                <w:vanish/>
              </w:rPr>
            </w:pPr>
          </w:p>
        </w:tc>
        <w:tc>
          <w:tcPr>
            <w:tcW w:w="0" w:type="auto"/>
            <w:gridSpan w:val="3"/>
            <w:shd w:val="clear" w:color="auto" w:fill="auto"/>
            <w:vAlign w:val="bottom"/>
          </w:tcPr>
          <w:p w14:paraId="5F2D5C37" w14:textId="77777777" w:rsidR="00E836FB" w:rsidRDefault="00E836FB">
            <w:pPr>
              <w:rPr>
                <w:rFonts w:ascii="宋体"/>
                <w:vanish/>
              </w:rPr>
            </w:pPr>
          </w:p>
        </w:tc>
        <w:tc>
          <w:tcPr>
            <w:tcW w:w="0" w:type="auto"/>
            <w:gridSpan w:val="3"/>
            <w:shd w:val="clear" w:color="auto" w:fill="auto"/>
            <w:vAlign w:val="bottom"/>
          </w:tcPr>
          <w:p w14:paraId="5F2D5C38" w14:textId="77777777" w:rsidR="00E836FB" w:rsidRDefault="00E836FB">
            <w:pPr>
              <w:rPr>
                <w:rFonts w:ascii="宋体"/>
                <w:vanish/>
              </w:rPr>
            </w:pPr>
          </w:p>
        </w:tc>
        <w:tc>
          <w:tcPr>
            <w:tcW w:w="0" w:type="auto"/>
            <w:gridSpan w:val="3"/>
            <w:shd w:val="clear" w:color="auto" w:fill="auto"/>
            <w:vAlign w:val="bottom"/>
          </w:tcPr>
          <w:p w14:paraId="5F2D5C39" w14:textId="77777777" w:rsidR="00E836FB" w:rsidRDefault="00E836FB">
            <w:pPr>
              <w:rPr>
                <w:rFonts w:ascii="宋体"/>
                <w:vanish/>
              </w:rPr>
            </w:pPr>
          </w:p>
        </w:tc>
        <w:tc>
          <w:tcPr>
            <w:tcW w:w="0" w:type="auto"/>
            <w:gridSpan w:val="3"/>
            <w:shd w:val="clear" w:color="auto" w:fill="auto"/>
            <w:vAlign w:val="bottom"/>
          </w:tcPr>
          <w:p w14:paraId="5F2D5C3A" w14:textId="77777777" w:rsidR="00E836FB" w:rsidRDefault="00E836FB">
            <w:pPr>
              <w:rPr>
                <w:rFonts w:ascii="宋体"/>
                <w:vanish/>
              </w:rPr>
            </w:pPr>
          </w:p>
        </w:tc>
        <w:tc>
          <w:tcPr>
            <w:tcW w:w="0" w:type="auto"/>
            <w:gridSpan w:val="3"/>
            <w:shd w:val="clear" w:color="auto" w:fill="auto"/>
            <w:vAlign w:val="bottom"/>
          </w:tcPr>
          <w:p w14:paraId="5F2D5C3B" w14:textId="77777777" w:rsidR="00E836FB" w:rsidRDefault="00E836FB">
            <w:pPr>
              <w:rPr>
                <w:rFonts w:ascii="宋体"/>
                <w:vanish/>
              </w:rPr>
            </w:pPr>
          </w:p>
        </w:tc>
        <w:tc>
          <w:tcPr>
            <w:tcW w:w="0" w:type="auto"/>
            <w:gridSpan w:val="3"/>
            <w:shd w:val="clear" w:color="auto" w:fill="auto"/>
            <w:vAlign w:val="bottom"/>
          </w:tcPr>
          <w:p w14:paraId="5F2D5C3C" w14:textId="77777777" w:rsidR="00E836FB" w:rsidRDefault="00E836FB">
            <w:pPr>
              <w:rPr>
                <w:rFonts w:ascii="宋体"/>
                <w:vanish/>
              </w:rPr>
            </w:pPr>
          </w:p>
        </w:tc>
      </w:tr>
      <w:tr w:rsidR="00E836FB" w14:paraId="5F2D5C64" w14:textId="77777777">
        <w:trPr>
          <w:hidden/>
        </w:trPr>
        <w:tc>
          <w:tcPr>
            <w:tcW w:w="0" w:type="auto"/>
            <w:gridSpan w:val="3"/>
            <w:shd w:val="clear" w:color="auto" w:fill="auto"/>
            <w:vAlign w:val="bottom"/>
          </w:tcPr>
          <w:p w14:paraId="5F2D5C3E" w14:textId="77777777" w:rsidR="00E836FB" w:rsidRDefault="00E836FB">
            <w:pPr>
              <w:rPr>
                <w:rFonts w:ascii="宋体"/>
                <w:vanish/>
              </w:rPr>
            </w:pPr>
          </w:p>
        </w:tc>
        <w:tc>
          <w:tcPr>
            <w:tcW w:w="0" w:type="auto"/>
            <w:gridSpan w:val="3"/>
            <w:shd w:val="clear" w:color="auto" w:fill="auto"/>
            <w:vAlign w:val="bottom"/>
          </w:tcPr>
          <w:p w14:paraId="5F2D5C3F" w14:textId="77777777" w:rsidR="00E836FB" w:rsidRDefault="00E836FB">
            <w:pPr>
              <w:rPr>
                <w:rFonts w:ascii="宋体"/>
                <w:vanish/>
              </w:rPr>
            </w:pPr>
          </w:p>
        </w:tc>
        <w:tc>
          <w:tcPr>
            <w:tcW w:w="0" w:type="auto"/>
            <w:gridSpan w:val="3"/>
            <w:shd w:val="clear" w:color="auto" w:fill="auto"/>
            <w:vAlign w:val="bottom"/>
          </w:tcPr>
          <w:p w14:paraId="5F2D5C40" w14:textId="77777777" w:rsidR="00E836FB" w:rsidRDefault="00E836FB">
            <w:pPr>
              <w:rPr>
                <w:rFonts w:ascii="宋体"/>
                <w:vanish/>
              </w:rPr>
            </w:pPr>
          </w:p>
        </w:tc>
        <w:tc>
          <w:tcPr>
            <w:tcW w:w="0" w:type="auto"/>
            <w:gridSpan w:val="3"/>
            <w:shd w:val="clear" w:color="auto" w:fill="auto"/>
            <w:vAlign w:val="bottom"/>
          </w:tcPr>
          <w:p w14:paraId="5F2D5C41" w14:textId="77777777" w:rsidR="00E836FB" w:rsidRDefault="00E836FB">
            <w:pPr>
              <w:rPr>
                <w:rFonts w:ascii="宋体"/>
                <w:vanish/>
              </w:rPr>
            </w:pPr>
          </w:p>
        </w:tc>
        <w:tc>
          <w:tcPr>
            <w:tcW w:w="0" w:type="auto"/>
            <w:gridSpan w:val="3"/>
            <w:shd w:val="clear" w:color="auto" w:fill="auto"/>
            <w:vAlign w:val="bottom"/>
          </w:tcPr>
          <w:p w14:paraId="5F2D5C42" w14:textId="77777777" w:rsidR="00E836FB" w:rsidRDefault="00E836FB">
            <w:pPr>
              <w:rPr>
                <w:rFonts w:ascii="宋体"/>
                <w:vanish/>
              </w:rPr>
            </w:pPr>
          </w:p>
        </w:tc>
        <w:tc>
          <w:tcPr>
            <w:tcW w:w="0" w:type="auto"/>
            <w:gridSpan w:val="3"/>
            <w:shd w:val="clear" w:color="auto" w:fill="auto"/>
            <w:vAlign w:val="bottom"/>
          </w:tcPr>
          <w:p w14:paraId="5F2D5C43" w14:textId="77777777" w:rsidR="00E836FB" w:rsidRDefault="00E836FB">
            <w:pPr>
              <w:rPr>
                <w:rFonts w:ascii="宋体"/>
                <w:vanish/>
              </w:rPr>
            </w:pPr>
          </w:p>
        </w:tc>
        <w:tc>
          <w:tcPr>
            <w:tcW w:w="0" w:type="auto"/>
            <w:gridSpan w:val="3"/>
            <w:shd w:val="clear" w:color="auto" w:fill="auto"/>
            <w:vAlign w:val="bottom"/>
          </w:tcPr>
          <w:p w14:paraId="5F2D5C44" w14:textId="77777777" w:rsidR="00E836FB" w:rsidRDefault="00E836FB">
            <w:pPr>
              <w:rPr>
                <w:rFonts w:ascii="宋体"/>
                <w:vanish/>
              </w:rPr>
            </w:pPr>
          </w:p>
        </w:tc>
        <w:tc>
          <w:tcPr>
            <w:tcW w:w="0" w:type="auto"/>
            <w:gridSpan w:val="3"/>
            <w:shd w:val="clear" w:color="auto" w:fill="auto"/>
            <w:vAlign w:val="bottom"/>
          </w:tcPr>
          <w:p w14:paraId="5F2D5C45" w14:textId="77777777" w:rsidR="00E836FB" w:rsidRDefault="00E836FB">
            <w:pPr>
              <w:rPr>
                <w:rFonts w:ascii="宋体"/>
                <w:vanish/>
              </w:rPr>
            </w:pPr>
          </w:p>
        </w:tc>
        <w:tc>
          <w:tcPr>
            <w:tcW w:w="0" w:type="auto"/>
            <w:shd w:val="clear" w:color="auto" w:fill="auto"/>
            <w:vAlign w:val="bottom"/>
          </w:tcPr>
          <w:p w14:paraId="5F2D5C46" w14:textId="77777777" w:rsidR="00E836FB" w:rsidRDefault="00E836FB">
            <w:pPr>
              <w:rPr>
                <w:rFonts w:ascii="宋体"/>
              </w:rPr>
            </w:pPr>
          </w:p>
        </w:tc>
        <w:tc>
          <w:tcPr>
            <w:tcW w:w="0" w:type="auto"/>
            <w:shd w:val="clear" w:color="auto" w:fill="auto"/>
            <w:vAlign w:val="bottom"/>
          </w:tcPr>
          <w:p w14:paraId="5F2D5C47" w14:textId="77777777" w:rsidR="00E836FB" w:rsidRDefault="00E836FB">
            <w:pPr>
              <w:rPr>
                <w:rFonts w:ascii="宋体"/>
              </w:rPr>
            </w:pPr>
          </w:p>
        </w:tc>
        <w:tc>
          <w:tcPr>
            <w:tcW w:w="0" w:type="auto"/>
            <w:shd w:val="clear" w:color="auto" w:fill="auto"/>
            <w:vAlign w:val="bottom"/>
          </w:tcPr>
          <w:p w14:paraId="5F2D5C48" w14:textId="77777777" w:rsidR="00E836FB" w:rsidRDefault="00E836FB">
            <w:pPr>
              <w:rPr>
                <w:rFonts w:ascii="宋体"/>
              </w:rPr>
            </w:pPr>
          </w:p>
        </w:tc>
        <w:tc>
          <w:tcPr>
            <w:tcW w:w="0" w:type="auto"/>
            <w:shd w:val="clear" w:color="auto" w:fill="auto"/>
            <w:vAlign w:val="bottom"/>
          </w:tcPr>
          <w:p w14:paraId="5F2D5C49" w14:textId="77777777" w:rsidR="00E836FB" w:rsidRDefault="00E836FB">
            <w:pPr>
              <w:rPr>
                <w:rFonts w:ascii="宋体"/>
              </w:rPr>
            </w:pPr>
          </w:p>
        </w:tc>
        <w:tc>
          <w:tcPr>
            <w:tcW w:w="0" w:type="auto"/>
            <w:shd w:val="clear" w:color="auto" w:fill="auto"/>
            <w:vAlign w:val="bottom"/>
          </w:tcPr>
          <w:p w14:paraId="5F2D5C4A" w14:textId="77777777" w:rsidR="00E836FB" w:rsidRDefault="00E836FB">
            <w:pPr>
              <w:rPr>
                <w:rFonts w:ascii="宋体"/>
              </w:rPr>
            </w:pPr>
          </w:p>
        </w:tc>
        <w:tc>
          <w:tcPr>
            <w:tcW w:w="0" w:type="auto"/>
            <w:shd w:val="clear" w:color="auto" w:fill="auto"/>
            <w:vAlign w:val="bottom"/>
          </w:tcPr>
          <w:p w14:paraId="5F2D5C4B" w14:textId="77777777" w:rsidR="00E836FB" w:rsidRDefault="00E836FB">
            <w:pPr>
              <w:rPr>
                <w:rFonts w:ascii="宋体"/>
              </w:rPr>
            </w:pPr>
          </w:p>
        </w:tc>
        <w:tc>
          <w:tcPr>
            <w:tcW w:w="0" w:type="auto"/>
            <w:shd w:val="clear" w:color="auto" w:fill="auto"/>
            <w:vAlign w:val="bottom"/>
          </w:tcPr>
          <w:p w14:paraId="5F2D5C4C" w14:textId="77777777" w:rsidR="00E836FB" w:rsidRDefault="00E836FB">
            <w:pPr>
              <w:rPr>
                <w:rFonts w:ascii="宋体"/>
              </w:rPr>
            </w:pPr>
          </w:p>
        </w:tc>
        <w:tc>
          <w:tcPr>
            <w:tcW w:w="0" w:type="auto"/>
            <w:shd w:val="clear" w:color="auto" w:fill="auto"/>
            <w:vAlign w:val="bottom"/>
          </w:tcPr>
          <w:p w14:paraId="5F2D5C4D" w14:textId="77777777" w:rsidR="00E836FB" w:rsidRDefault="00E836FB">
            <w:pPr>
              <w:rPr>
                <w:rFonts w:ascii="宋体"/>
              </w:rPr>
            </w:pPr>
          </w:p>
        </w:tc>
        <w:tc>
          <w:tcPr>
            <w:tcW w:w="0" w:type="auto"/>
            <w:shd w:val="clear" w:color="auto" w:fill="auto"/>
            <w:vAlign w:val="bottom"/>
          </w:tcPr>
          <w:p w14:paraId="5F2D5C4E" w14:textId="77777777" w:rsidR="00E836FB" w:rsidRDefault="00E836FB">
            <w:pPr>
              <w:rPr>
                <w:rFonts w:ascii="宋体"/>
              </w:rPr>
            </w:pPr>
          </w:p>
        </w:tc>
        <w:tc>
          <w:tcPr>
            <w:tcW w:w="0" w:type="auto"/>
            <w:shd w:val="clear" w:color="auto" w:fill="auto"/>
            <w:vAlign w:val="bottom"/>
          </w:tcPr>
          <w:p w14:paraId="5F2D5C4F" w14:textId="77777777" w:rsidR="00E836FB" w:rsidRDefault="00E836FB">
            <w:pPr>
              <w:rPr>
                <w:rFonts w:ascii="宋体"/>
              </w:rPr>
            </w:pPr>
          </w:p>
        </w:tc>
        <w:tc>
          <w:tcPr>
            <w:tcW w:w="0" w:type="auto"/>
            <w:shd w:val="clear" w:color="auto" w:fill="auto"/>
            <w:vAlign w:val="bottom"/>
          </w:tcPr>
          <w:p w14:paraId="5F2D5C50" w14:textId="77777777" w:rsidR="00E836FB" w:rsidRDefault="00E836FB">
            <w:pPr>
              <w:rPr>
                <w:rFonts w:ascii="宋体"/>
              </w:rPr>
            </w:pPr>
          </w:p>
        </w:tc>
        <w:tc>
          <w:tcPr>
            <w:tcW w:w="0" w:type="auto"/>
            <w:shd w:val="clear" w:color="auto" w:fill="auto"/>
            <w:vAlign w:val="bottom"/>
          </w:tcPr>
          <w:p w14:paraId="5F2D5C51" w14:textId="77777777" w:rsidR="00E836FB" w:rsidRDefault="00E836FB">
            <w:pPr>
              <w:rPr>
                <w:rFonts w:ascii="宋体"/>
              </w:rPr>
            </w:pPr>
          </w:p>
        </w:tc>
        <w:tc>
          <w:tcPr>
            <w:tcW w:w="0" w:type="auto"/>
            <w:shd w:val="clear" w:color="auto" w:fill="auto"/>
            <w:vAlign w:val="bottom"/>
          </w:tcPr>
          <w:p w14:paraId="5F2D5C52" w14:textId="77777777" w:rsidR="00E836FB" w:rsidRDefault="00E836FB">
            <w:pPr>
              <w:rPr>
                <w:rFonts w:ascii="宋体"/>
              </w:rPr>
            </w:pPr>
          </w:p>
        </w:tc>
        <w:tc>
          <w:tcPr>
            <w:tcW w:w="0" w:type="auto"/>
            <w:shd w:val="clear" w:color="auto" w:fill="auto"/>
            <w:vAlign w:val="bottom"/>
          </w:tcPr>
          <w:p w14:paraId="5F2D5C53" w14:textId="77777777" w:rsidR="00E836FB" w:rsidRDefault="00E836FB">
            <w:pPr>
              <w:rPr>
                <w:rFonts w:ascii="宋体"/>
              </w:rPr>
            </w:pPr>
          </w:p>
        </w:tc>
        <w:tc>
          <w:tcPr>
            <w:tcW w:w="0" w:type="auto"/>
            <w:shd w:val="clear" w:color="auto" w:fill="auto"/>
            <w:vAlign w:val="bottom"/>
          </w:tcPr>
          <w:p w14:paraId="5F2D5C54" w14:textId="77777777" w:rsidR="00E836FB" w:rsidRDefault="00E836FB">
            <w:pPr>
              <w:rPr>
                <w:rFonts w:ascii="宋体"/>
              </w:rPr>
            </w:pPr>
          </w:p>
        </w:tc>
        <w:tc>
          <w:tcPr>
            <w:tcW w:w="0" w:type="auto"/>
            <w:shd w:val="clear" w:color="auto" w:fill="auto"/>
            <w:vAlign w:val="bottom"/>
          </w:tcPr>
          <w:p w14:paraId="5F2D5C55" w14:textId="77777777" w:rsidR="00E836FB" w:rsidRDefault="00E836FB">
            <w:pPr>
              <w:rPr>
                <w:rFonts w:ascii="宋体"/>
              </w:rPr>
            </w:pPr>
          </w:p>
        </w:tc>
        <w:tc>
          <w:tcPr>
            <w:tcW w:w="0" w:type="auto"/>
            <w:shd w:val="clear" w:color="auto" w:fill="auto"/>
            <w:vAlign w:val="bottom"/>
          </w:tcPr>
          <w:p w14:paraId="5F2D5C56" w14:textId="77777777" w:rsidR="00E836FB" w:rsidRDefault="00E836FB">
            <w:pPr>
              <w:rPr>
                <w:rFonts w:ascii="宋体"/>
              </w:rPr>
            </w:pPr>
          </w:p>
        </w:tc>
        <w:tc>
          <w:tcPr>
            <w:tcW w:w="0" w:type="auto"/>
            <w:shd w:val="clear" w:color="auto" w:fill="auto"/>
            <w:vAlign w:val="bottom"/>
          </w:tcPr>
          <w:p w14:paraId="5F2D5C57" w14:textId="77777777" w:rsidR="00E836FB" w:rsidRDefault="00E836FB">
            <w:pPr>
              <w:rPr>
                <w:rFonts w:ascii="宋体"/>
              </w:rPr>
            </w:pPr>
          </w:p>
        </w:tc>
        <w:tc>
          <w:tcPr>
            <w:tcW w:w="0" w:type="auto"/>
            <w:shd w:val="clear" w:color="auto" w:fill="auto"/>
            <w:vAlign w:val="bottom"/>
          </w:tcPr>
          <w:p w14:paraId="5F2D5C58" w14:textId="77777777" w:rsidR="00E836FB" w:rsidRDefault="00E836FB">
            <w:pPr>
              <w:rPr>
                <w:rFonts w:ascii="宋体"/>
              </w:rPr>
            </w:pPr>
          </w:p>
        </w:tc>
        <w:tc>
          <w:tcPr>
            <w:tcW w:w="0" w:type="auto"/>
            <w:shd w:val="clear" w:color="auto" w:fill="auto"/>
            <w:vAlign w:val="bottom"/>
          </w:tcPr>
          <w:p w14:paraId="5F2D5C59" w14:textId="77777777" w:rsidR="00E836FB" w:rsidRDefault="00E836FB">
            <w:pPr>
              <w:rPr>
                <w:rFonts w:ascii="宋体"/>
              </w:rPr>
            </w:pPr>
          </w:p>
        </w:tc>
        <w:tc>
          <w:tcPr>
            <w:tcW w:w="0" w:type="auto"/>
            <w:shd w:val="clear" w:color="auto" w:fill="auto"/>
            <w:vAlign w:val="bottom"/>
          </w:tcPr>
          <w:p w14:paraId="5F2D5C5A" w14:textId="77777777" w:rsidR="00E836FB" w:rsidRDefault="00E836FB">
            <w:pPr>
              <w:rPr>
                <w:rFonts w:ascii="宋体"/>
              </w:rPr>
            </w:pPr>
          </w:p>
        </w:tc>
        <w:tc>
          <w:tcPr>
            <w:tcW w:w="0" w:type="auto"/>
            <w:shd w:val="clear" w:color="auto" w:fill="auto"/>
            <w:vAlign w:val="bottom"/>
          </w:tcPr>
          <w:p w14:paraId="5F2D5C5B" w14:textId="77777777" w:rsidR="00E836FB" w:rsidRDefault="00E836FB">
            <w:pPr>
              <w:rPr>
                <w:rFonts w:ascii="宋体"/>
              </w:rPr>
            </w:pPr>
          </w:p>
        </w:tc>
        <w:tc>
          <w:tcPr>
            <w:tcW w:w="0" w:type="auto"/>
            <w:shd w:val="clear" w:color="auto" w:fill="auto"/>
            <w:vAlign w:val="bottom"/>
          </w:tcPr>
          <w:p w14:paraId="5F2D5C5C" w14:textId="77777777" w:rsidR="00E836FB" w:rsidRDefault="00E836FB">
            <w:pPr>
              <w:rPr>
                <w:rFonts w:ascii="宋体"/>
              </w:rPr>
            </w:pPr>
          </w:p>
        </w:tc>
        <w:tc>
          <w:tcPr>
            <w:tcW w:w="0" w:type="auto"/>
            <w:shd w:val="clear" w:color="auto" w:fill="auto"/>
            <w:vAlign w:val="bottom"/>
          </w:tcPr>
          <w:p w14:paraId="5F2D5C5D" w14:textId="77777777" w:rsidR="00E836FB" w:rsidRDefault="00E836FB">
            <w:pPr>
              <w:rPr>
                <w:rFonts w:ascii="宋体"/>
              </w:rPr>
            </w:pPr>
          </w:p>
        </w:tc>
        <w:tc>
          <w:tcPr>
            <w:tcW w:w="0" w:type="auto"/>
            <w:shd w:val="clear" w:color="auto" w:fill="auto"/>
            <w:vAlign w:val="bottom"/>
          </w:tcPr>
          <w:p w14:paraId="5F2D5C5E" w14:textId="77777777" w:rsidR="00E836FB" w:rsidRDefault="00E836FB">
            <w:pPr>
              <w:rPr>
                <w:rFonts w:ascii="宋体"/>
              </w:rPr>
            </w:pPr>
          </w:p>
        </w:tc>
        <w:tc>
          <w:tcPr>
            <w:tcW w:w="0" w:type="auto"/>
            <w:shd w:val="clear" w:color="auto" w:fill="auto"/>
            <w:vAlign w:val="bottom"/>
          </w:tcPr>
          <w:p w14:paraId="5F2D5C5F" w14:textId="77777777" w:rsidR="00E836FB" w:rsidRDefault="00E836FB">
            <w:pPr>
              <w:rPr>
                <w:rFonts w:ascii="宋体"/>
              </w:rPr>
            </w:pPr>
          </w:p>
        </w:tc>
        <w:tc>
          <w:tcPr>
            <w:tcW w:w="0" w:type="auto"/>
            <w:shd w:val="clear" w:color="auto" w:fill="auto"/>
            <w:vAlign w:val="bottom"/>
          </w:tcPr>
          <w:p w14:paraId="5F2D5C60" w14:textId="77777777" w:rsidR="00E836FB" w:rsidRDefault="00E836FB">
            <w:pPr>
              <w:rPr>
                <w:rFonts w:ascii="宋体"/>
              </w:rPr>
            </w:pPr>
          </w:p>
        </w:tc>
        <w:tc>
          <w:tcPr>
            <w:tcW w:w="0" w:type="auto"/>
            <w:shd w:val="clear" w:color="auto" w:fill="auto"/>
            <w:vAlign w:val="bottom"/>
          </w:tcPr>
          <w:p w14:paraId="5F2D5C61" w14:textId="77777777" w:rsidR="00E836FB" w:rsidRDefault="00E836FB">
            <w:pPr>
              <w:rPr>
                <w:rFonts w:ascii="宋体"/>
              </w:rPr>
            </w:pPr>
          </w:p>
        </w:tc>
        <w:tc>
          <w:tcPr>
            <w:tcW w:w="0" w:type="auto"/>
            <w:shd w:val="clear" w:color="auto" w:fill="auto"/>
            <w:vAlign w:val="bottom"/>
          </w:tcPr>
          <w:p w14:paraId="5F2D5C62" w14:textId="77777777" w:rsidR="00E836FB" w:rsidRDefault="00E836FB">
            <w:pPr>
              <w:rPr>
                <w:rFonts w:ascii="宋体"/>
              </w:rPr>
            </w:pPr>
          </w:p>
        </w:tc>
        <w:tc>
          <w:tcPr>
            <w:tcW w:w="0" w:type="auto"/>
            <w:shd w:val="clear" w:color="auto" w:fill="auto"/>
            <w:vAlign w:val="bottom"/>
          </w:tcPr>
          <w:p w14:paraId="5F2D5C63" w14:textId="77777777" w:rsidR="00E836FB" w:rsidRDefault="00E836FB">
            <w:pPr>
              <w:rPr>
                <w:rFonts w:ascii="宋体"/>
              </w:rPr>
            </w:pPr>
          </w:p>
        </w:tc>
      </w:tr>
      <w:tr w:rsidR="00E836FB" w14:paraId="5F2D5C8F" w14:textId="77777777">
        <w:trPr>
          <w:hidden/>
        </w:trPr>
        <w:tc>
          <w:tcPr>
            <w:tcW w:w="0" w:type="auto"/>
            <w:gridSpan w:val="3"/>
            <w:shd w:val="clear" w:color="auto" w:fill="auto"/>
            <w:vAlign w:val="bottom"/>
          </w:tcPr>
          <w:p w14:paraId="5F2D5C65" w14:textId="77777777" w:rsidR="00E836FB" w:rsidRDefault="00E836FB">
            <w:pPr>
              <w:rPr>
                <w:rFonts w:ascii="宋体"/>
                <w:vanish/>
              </w:rPr>
            </w:pPr>
          </w:p>
        </w:tc>
        <w:tc>
          <w:tcPr>
            <w:tcW w:w="0" w:type="auto"/>
            <w:gridSpan w:val="3"/>
            <w:shd w:val="clear" w:color="auto" w:fill="auto"/>
            <w:vAlign w:val="bottom"/>
          </w:tcPr>
          <w:p w14:paraId="5F2D5C66" w14:textId="77777777" w:rsidR="00E836FB" w:rsidRDefault="00E836FB">
            <w:pPr>
              <w:rPr>
                <w:rFonts w:ascii="宋体"/>
                <w:vanish/>
              </w:rPr>
            </w:pPr>
          </w:p>
        </w:tc>
        <w:tc>
          <w:tcPr>
            <w:tcW w:w="0" w:type="auto"/>
            <w:gridSpan w:val="3"/>
            <w:shd w:val="clear" w:color="auto" w:fill="auto"/>
            <w:vAlign w:val="bottom"/>
          </w:tcPr>
          <w:p w14:paraId="5F2D5C67" w14:textId="77777777" w:rsidR="00E836FB" w:rsidRDefault="00E836FB">
            <w:pPr>
              <w:rPr>
                <w:rFonts w:ascii="宋体"/>
                <w:vanish/>
              </w:rPr>
            </w:pPr>
          </w:p>
        </w:tc>
        <w:tc>
          <w:tcPr>
            <w:tcW w:w="0" w:type="auto"/>
            <w:gridSpan w:val="3"/>
            <w:shd w:val="clear" w:color="auto" w:fill="auto"/>
            <w:vAlign w:val="bottom"/>
          </w:tcPr>
          <w:p w14:paraId="5F2D5C68" w14:textId="77777777" w:rsidR="00E836FB" w:rsidRDefault="00E836FB">
            <w:pPr>
              <w:rPr>
                <w:rFonts w:ascii="宋体"/>
                <w:vanish/>
              </w:rPr>
            </w:pPr>
          </w:p>
        </w:tc>
        <w:tc>
          <w:tcPr>
            <w:tcW w:w="0" w:type="auto"/>
            <w:gridSpan w:val="3"/>
            <w:shd w:val="clear" w:color="auto" w:fill="auto"/>
            <w:vAlign w:val="bottom"/>
          </w:tcPr>
          <w:p w14:paraId="5F2D5C69" w14:textId="77777777" w:rsidR="00E836FB" w:rsidRDefault="00E836FB">
            <w:pPr>
              <w:rPr>
                <w:rFonts w:ascii="宋体"/>
                <w:vanish/>
              </w:rPr>
            </w:pPr>
          </w:p>
        </w:tc>
        <w:tc>
          <w:tcPr>
            <w:tcW w:w="0" w:type="auto"/>
            <w:gridSpan w:val="3"/>
            <w:shd w:val="clear" w:color="auto" w:fill="auto"/>
            <w:vAlign w:val="bottom"/>
          </w:tcPr>
          <w:p w14:paraId="5F2D5C6A" w14:textId="77777777" w:rsidR="00E836FB" w:rsidRDefault="00E836FB">
            <w:pPr>
              <w:rPr>
                <w:rFonts w:ascii="宋体"/>
                <w:vanish/>
              </w:rPr>
            </w:pPr>
          </w:p>
        </w:tc>
        <w:tc>
          <w:tcPr>
            <w:tcW w:w="0" w:type="auto"/>
            <w:shd w:val="clear" w:color="auto" w:fill="auto"/>
            <w:vAlign w:val="bottom"/>
          </w:tcPr>
          <w:p w14:paraId="5F2D5C6B" w14:textId="77777777" w:rsidR="00E836FB" w:rsidRDefault="00E836FB">
            <w:pPr>
              <w:rPr>
                <w:rFonts w:ascii="宋体"/>
              </w:rPr>
            </w:pPr>
          </w:p>
        </w:tc>
        <w:tc>
          <w:tcPr>
            <w:tcW w:w="0" w:type="auto"/>
            <w:shd w:val="clear" w:color="auto" w:fill="auto"/>
            <w:vAlign w:val="bottom"/>
          </w:tcPr>
          <w:p w14:paraId="5F2D5C6C" w14:textId="77777777" w:rsidR="00E836FB" w:rsidRDefault="00E836FB">
            <w:pPr>
              <w:rPr>
                <w:rFonts w:ascii="宋体"/>
              </w:rPr>
            </w:pPr>
          </w:p>
        </w:tc>
        <w:tc>
          <w:tcPr>
            <w:tcW w:w="0" w:type="auto"/>
            <w:shd w:val="clear" w:color="auto" w:fill="auto"/>
            <w:vAlign w:val="bottom"/>
          </w:tcPr>
          <w:p w14:paraId="5F2D5C6D" w14:textId="77777777" w:rsidR="00E836FB" w:rsidRDefault="00E836FB">
            <w:pPr>
              <w:rPr>
                <w:rFonts w:ascii="宋体"/>
              </w:rPr>
            </w:pPr>
          </w:p>
        </w:tc>
        <w:tc>
          <w:tcPr>
            <w:tcW w:w="0" w:type="auto"/>
            <w:shd w:val="clear" w:color="auto" w:fill="auto"/>
            <w:vAlign w:val="bottom"/>
          </w:tcPr>
          <w:p w14:paraId="5F2D5C6E" w14:textId="77777777" w:rsidR="00E836FB" w:rsidRDefault="00E836FB">
            <w:pPr>
              <w:rPr>
                <w:rFonts w:ascii="宋体"/>
              </w:rPr>
            </w:pPr>
          </w:p>
        </w:tc>
        <w:tc>
          <w:tcPr>
            <w:tcW w:w="0" w:type="auto"/>
            <w:shd w:val="clear" w:color="auto" w:fill="auto"/>
            <w:vAlign w:val="bottom"/>
          </w:tcPr>
          <w:p w14:paraId="5F2D5C6F" w14:textId="77777777" w:rsidR="00E836FB" w:rsidRDefault="00E836FB">
            <w:pPr>
              <w:rPr>
                <w:rFonts w:ascii="宋体"/>
              </w:rPr>
            </w:pPr>
          </w:p>
        </w:tc>
        <w:tc>
          <w:tcPr>
            <w:tcW w:w="0" w:type="auto"/>
            <w:shd w:val="clear" w:color="auto" w:fill="auto"/>
            <w:vAlign w:val="bottom"/>
          </w:tcPr>
          <w:p w14:paraId="5F2D5C70" w14:textId="77777777" w:rsidR="00E836FB" w:rsidRDefault="00E836FB">
            <w:pPr>
              <w:rPr>
                <w:rFonts w:ascii="宋体"/>
              </w:rPr>
            </w:pPr>
          </w:p>
        </w:tc>
        <w:tc>
          <w:tcPr>
            <w:tcW w:w="0" w:type="auto"/>
            <w:shd w:val="clear" w:color="auto" w:fill="auto"/>
            <w:vAlign w:val="bottom"/>
          </w:tcPr>
          <w:p w14:paraId="5F2D5C71" w14:textId="77777777" w:rsidR="00E836FB" w:rsidRDefault="00E836FB">
            <w:pPr>
              <w:rPr>
                <w:rFonts w:ascii="宋体"/>
              </w:rPr>
            </w:pPr>
          </w:p>
        </w:tc>
        <w:tc>
          <w:tcPr>
            <w:tcW w:w="0" w:type="auto"/>
            <w:shd w:val="clear" w:color="auto" w:fill="auto"/>
            <w:vAlign w:val="bottom"/>
          </w:tcPr>
          <w:p w14:paraId="5F2D5C72" w14:textId="77777777" w:rsidR="00E836FB" w:rsidRDefault="00E836FB">
            <w:pPr>
              <w:rPr>
                <w:rFonts w:ascii="宋体"/>
              </w:rPr>
            </w:pPr>
          </w:p>
        </w:tc>
        <w:tc>
          <w:tcPr>
            <w:tcW w:w="0" w:type="auto"/>
            <w:shd w:val="clear" w:color="auto" w:fill="auto"/>
            <w:vAlign w:val="bottom"/>
          </w:tcPr>
          <w:p w14:paraId="5F2D5C73" w14:textId="77777777" w:rsidR="00E836FB" w:rsidRDefault="00E836FB">
            <w:pPr>
              <w:rPr>
                <w:rFonts w:ascii="宋体"/>
              </w:rPr>
            </w:pPr>
          </w:p>
        </w:tc>
        <w:tc>
          <w:tcPr>
            <w:tcW w:w="0" w:type="auto"/>
            <w:shd w:val="clear" w:color="auto" w:fill="auto"/>
            <w:vAlign w:val="bottom"/>
          </w:tcPr>
          <w:p w14:paraId="5F2D5C74" w14:textId="77777777" w:rsidR="00E836FB" w:rsidRDefault="00E836FB">
            <w:pPr>
              <w:rPr>
                <w:rFonts w:ascii="宋体"/>
              </w:rPr>
            </w:pPr>
          </w:p>
        </w:tc>
        <w:tc>
          <w:tcPr>
            <w:tcW w:w="0" w:type="auto"/>
            <w:shd w:val="clear" w:color="auto" w:fill="auto"/>
            <w:vAlign w:val="bottom"/>
          </w:tcPr>
          <w:p w14:paraId="5F2D5C75" w14:textId="77777777" w:rsidR="00E836FB" w:rsidRDefault="00E836FB">
            <w:pPr>
              <w:rPr>
                <w:rFonts w:ascii="宋体"/>
              </w:rPr>
            </w:pPr>
          </w:p>
        </w:tc>
        <w:tc>
          <w:tcPr>
            <w:tcW w:w="0" w:type="auto"/>
            <w:shd w:val="clear" w:color="auto" w:fill="auto"/>
            <w:vAlign w:val="bottom"/>
          </w:tcPr>
          <w:p w14:paraId="5F2D5C76" w14:textId="77777777" w:rsidR="00E836FB" w:rsidRDefault="00E836FB">
            <w:pPr>
              <w:rPr>
                <w:rFonts w:ascii="宋体"/>
              </w:rPr>
            </w:pPr>
          </w:p>
        </w:tc>
        <w:tc>
          <w:tcPr>
            <w:tcW w:w="0" w:type="auto"/>
            <w:shd w:val="clear" w:color="auto" w:fill="auto"/>
            <w:vAlign w:val="bottom"/>
          </w:tcPr>
          <w:p w14:paraId="5F2D5C77" w14:textId="77777777" w:rsidR="00E836FB" w:rsidRDefault="00E836FB">
            <w:pPr>
              <w:rPr>
                <w:rFonts w:ascii="宋体"/>
              </w:rPr>
            </w:pPr>
          </w:p>
        </w:tc>
        <w:tc>
          <w:tcPr>
            <w:tcW w:w="0" w:type="auto"/>
            <w:shd w:val="clear" w:color="auto" w:fill="auto"/>
            <w:vAlign w:val="bottom"/>
          </w:tcPr>
          <w:p w14:paraId="5F2D5C78" w14:textId="77777777" w:rsidR="00E836FB" w:rsidRDefault="00E836FB">
            <w:pPr>
              <w:rPr>
                <w:rFonts w:ascii="宋体"/>
              </w:rPr>
            </w:pPr>
          </w:p>
        </w:tc>
        <w:tc>
          <w:tcPr>
            <w:tcW w:w="0" w:type="auto"/>
            <w:shd w:val="clear" w:color="auto" w:fill="auto"/>
            <w:vAlign w:val="bottom"/>
          </w:tcPr>
          <w:p w14:paraId="5F2D5C79" w14:textId="77777777" w:rsidR="00E836FB" w:rsidRDefault="00E836FB">
            <w:pPr>
              <w:rPr>
                <w:rFonts w:ascii="宋体"/>
              </w:rPr>
            </w:pPr>
          </w:p>
        </w:tc>
        <w:tc>
          <w:tcPr>
            <w:tcW w:w="0" w:type="auto"/>
            <w:shd w:val="clear" w:color="auto" w:fill="auto"/>
            <w:vAlign w:val="bottom"/>
          </w:tcPr>
          <w:p w14:paraId="5F2D5C7A" w14:textId="77777777" w:rsidR="00E836FB" w:rsidRDefault="00E836FB">
            <w:pPr>
              <w:rPr>
                <w:rFonts w:ascii="宋体"/>
              </w:rPr>
            </w:pPr>
          </w:p>
        </w:tc>
        <w:tc>
          <w:tcPr>
            <w:tcW w:w="0" w:type="auto"/>
            <w:shd w:val="clear" w:color="auto" w:fill="auto"/>
            <w:vAlign w:val="bottom"/>
          </w:tcPr>
          <w:p w14:paraId="5F2D5C7B" w14:textId="77777777" w:rsidR="00E836FB" w:rsidRDefault="00E836FB">
            <w:pPr>
              <w:rPr>
                <w:rFonts w:ascii="宋体"/>
              </w:rPr>
            </w:pPr>
          </w:p>
        </w:tc>
        <w:tc>
          <w:tcPr>
            <w:tcW w:w="0" w:type="auto"/>
            <w:shd w:val="clear" w:color="auto" w:fill="auto"/>
            <w:vAlign w:val="bottom"/>
          </w:tcPr>
          <w:p w14:paraId="5F2D5C7C" w14:textId="77777777" w:rsidR="00E836FB" w:rsidRDefault="00E836FB">
            <w:pPr>
              <w:rPr>
                <w:rFonts w:ascii="宋体"/>
              </w:rPr>
            </w:pPr>
          </w:p>
        </w:tc>
        <w:tc>
          <w:tcPr>
            <w:tcW w:w="0" w:type="auto"/>
            <w:shd w:val="clear" w:color="auto" w:fill="auto"/>
            <w:vAlign w:val="bottom"/>
          </w:tcPr>
          <w:p w14:paraId="5F2D5C7D" w14:textId="77777777" w:rsidR="00E836FB" w:rsidRDefault="00E836FB">
            <w:pPr>
              <w:rPr>
                <w:rFonts w:ascii="宋体"/>
              </w:rPr>
            </w:pPr>
          </w:p>
        </w:tc>
        <w:tc>
          <w:tcPr>
            <w:tcW w:w="0" w:type="auto"/>
            <w:shd w:val="clear" w:color="auto" w:fill="auto"/>
            <w:vAlign w:val="bottom"/>
          </w:tcPr>
          <w:p w14:paraId="5F2D5C7E" w14:textId="77777777" w:rsidR="00E836FB" w:rsidRDefault="00E836FB">
            <w:pPr>
              <w:rPr>
                <w:rFonts w:ascii="宋体"/>
              </w:rPr>
            </w:pPr>
          </w:p>
        </w:tc>
        <w:tc>
          <w:tcPr>
            <w:tcW w:w="0" w:type="auto"/>
            <w:shd w:val="clear" w:color="auto" w:fill="auto"/>
            <w:vAlign w:val="bottom"/>
          </w:tcPr>
          <w:p w14:paraId="5F2D5C7F" w14:textId="77777777" w:rsidR="00E836FB" w:rsidRDefault="00E836FB">
            <w:pPr>
              <w:rPr>
                <w:rFonts w:ascii="宋体"/>
              </w:rPr>
            </w:pPr>
          </w:p>
        </w:tc>
        <w:tc>
          <w:tcPr>
            <w:tcW w:w="0" w:type="auto"/>
            <w:shd w:val="clear" w:color="auto" w:fill="auto"/>
            <w:vAlign w:val="bottom"/>
          </w:tcPr>
          <w:p w14:paraId="5F2D5C80" w14:textId="77777777" w:rsidR="00E836FB" w:rsidRDefault="00E836FB">
            <w:pPr>
              <w:rPr>
                <w:rFonts w:ascii="宋体"/>
              </w:rPr>
            </w:pPr>
          </w:p>
        </w:tc>
        <w:tc>
          <w:tcPr>
            <w:tcW w:w="0" w:type="auto"/>
            <w:shd w:val="clear" w:color="auto" w:fill="auto"/>
            <w:vAlign w:val="bottom"/>
          </w:tcPr>
          <w:p w14:paraId="5F2D5C81" w14:textId="77777777" w:rsidR="00E836FB" w:rsidRDefault="00E836FB">
            <w:pPr>
              <w:rPr>
                <w:rFonts w:ascii="宋体"/>
              </w:rPr>
            </w:pPr>
          </w:p>
        </w:tc>
        <w:tc>
          <w:tcPr>
            <w:tcW w:w="0" w:type="auto"/>
            <w:shd w:val="clear" w:color="auto" w:fill="auto"/>
            <w:vAlign w:val="bottom"/>
          </w:tcPr>
          <w:p w14:paraId="5F2D5C82" w14:textId="77777777" w:rsidR="00E836FB" w:rsidRDefault="00E836FB">
            <w:pPr>
              <w:rPr>
                <w:rFonts w:ascii="宋体"/>
              </w:rPr>
            </w:pPr>
          </w:p>
        </w:tc>
        <w:tc>
          <w:tcPr>
            <w:tcW w:w="0" w:type="auto"/>
            <w:shd w:val="clear" w:color="auto" w:fill="auto"/>
            <w:vAlign w:val="bottom"/>
          </w:tcPr>
          <w:p w14:paraId="5F2D5C83" w14:textId="77777777" w:rsidR="00E836FB" w:rsidRDefault="00E836FB">
            <w:pPr>
              <w:rPr>
                <w:rFonts w:ascii="宋体"/>
              </w:rPr>
            </w:pPr>
          </w:p>
        </w:tc>
        <w:tc>
          <w:tcPr>
            <w:tcW w:w="0" w:type="auto"/>
            <w:shd w:val="clear" w:color="auto" w:fill="auto"/>
            <w:vAlign w:val="bottom"/>
          </w:tcPr>
          <w:p w14:paraId="5F2D5C84" w14:textId="77777777" w:rsidR="00E836FB" w:rsidRDefault="00E836FB">
            <w:pPr>
              <w:rPr>
                <w:rFonts w:ascii="宋体"/>
              </w:rPr>
            </w:pPr>
          </w:p>
        </w:tc>
        <w:tc>
          <w:tcPr>
            <w:tcW w:w="0" w:type="auto"/>
            <w:shd w:val="clear" w:color="auto" w:fill="auto"/>
            <w:vAlign w:val="bottom"/>
          </w:tcPr>
          <w:p w14:paraId="5F2D5C85" w14:textId="77777777" w:rsidR="00E836FB" w:rsidRDefault="00E836FB">
            <w:pPr>
              <w:rPr>
                <w:rFonts w:ascii="宋体"/>
              </w:rPr>
            </w:pPr>
          </w:p>
        </w:tc>
        <w:tc>
          <w:tcPr>
            <w:tcW w:w="0" w:type="auto"/>
            <w:shd w:val="clear" w:color="auto" w:fill="auto"/>
            <w:vAlign w:val="bottom"/>
          </w:tcPr>
          <w:p w14:paraId="5F2D5C86" w14:textId="77777777" w:rsidR="00E836FB" w:rsidRDefault="00E836FB">
            <w:pPr>
              <w:rPr>
                <w:rFonts w:ascii="宋体"/>
              </w:rPr>
            </w:pPr>
          </w:p>
        </w:tc>
        <w:tc>
          <w:tcPr>
            <w:tcW w:w="0" w:type="auto"/>
            <w:shd w:val="clear" w:color="auto" w:fill="auto"/>
            <w:vAlign w:val="bottom"/>
          </w:tcPr>
          <w:p w14:paraId="5F2D5C87" w14:textId="77777777" w:rsidR="00E836FB" w:rsidRDefault="00E836FB">
            <w:pPr>
              <w:rPr>
                <w:rFonts w:ascii="宋体"/>
              </w:rPr>
            </w:pPr>
          </w:p>
        </w:tc>
        <w:tc>
          <w:tcPr>
            <w:tcW w:w="0" w:type="auto"/>
            <w:shd w:val="clear" w:color="auto" w:fill="auto"/>
            <w:vAlign w:val="bottom"/>
          </w:tcPr>
          <w:p w14:paraId="5F2D5C88" w14:textId="77777777" w:rsidR="00E836FB" w:rsidRDefault="00E836FB">
            <w:pPr>
              <w:rPr>
                <w:rFonts w:ascii="宋体"/>
              </w:rPr>
            </w:pPr>
          </w:p>
        </w:tc>
        <w:tc>
          <w:tcPr>
            <w:tcW w:w="0" w:type="auto"/>
            <w:shd w:val="clear" w:color="auto" w:fill="auto"/>
            <w:vAlign w:val="bottom"/>
          </w:tcPr>
          <w:p w14:paraId="5F2D5C89" w14:textId="77777777" w:rsidR="00E836FB" w:rsidRDefault="00E836FB">
            <w:pPr>
              <w:rPr>
                <w:rFonts w:ascii="宋体"/>
              </w:rPr>
            </w:pPr>
          </w:p>
        </w:tc>
        <w:tc>
          <w:tcPr>
            <w:tcW w:w="0" w:type="auto"/>
            <w:shd w:val="clear" w:color="auto" w:fill="auto"/>
            <w:vAlign w:val="bottom"/>
          </w:tcPr>
          <w:p w14:paraId="5F2D5C8A" w14:textId="77777777" w:rsidR="00E836FB" w:rsidRDefault="00E836FB">
            <w:pPr>
              <w:rPr>
                <w:rFonts w:ascii="宋体"/>
              </w:rPr>
            </w:pPr>
          </w:p>
        </w:tc>
        <w:tc>
          <w:tcPr>
            <w:tcW w:w="0" w:type="auto"/>
            <w:shd w:val="clear" w:color="auto" w:fill="auto"/>
            <w:vAlign w:val="bottom"/>
          </w:tcPr>
          <w:p w14:paraId="5F2D5C8B" w14:textId="77777777" w:rsidR="00E836FB" w:rsidRDefault="00E836FB">
            <w:pPr>
              <w:rPr>
                <w:rFonts w:ascii="宋体"/>
              </w:rPr>
            </w:pPr>
          </w:p>
        </w:tc>
        <w:tc>
          <w:tcPr>
            <w:tcW w:w="0" w:type="auto"/>
            <w:shd w:val="clear" w:color="auto" w:fill="auto"/>
            <w:vAlign w:val="bottom"/>
          </w:tcPr>
          <w:p w14:paraId="5F2D5C8C" w14:textId="77777777" w:rsidR="00E836FB" w:rsidRDefault="00E836FB">
            <w:pPr>
              <w:rPr>
                <w:rFonts w:ascii="宋体"/>
              </w:rPr>
            </w:pPr>
          </w:p>
        </w:tc>
        <w:tc>
          <w:tcPr>
            <w:tcW w:w="0" w:type="auto"/>
            <w:shd w:val="clear" w:color="auto" w:fill="auto"/>
            <w:vAlign w:val="bottom"/>
          </w:tcPr>
          <w:p w14:paraId="5F2D5C8D" w14:textId="77777777" w:rsidR="00E836FB" w:rsidRDefault="00E836FB">
            <w:pPr>
              <w:rPr>
                <w:rFonts w:ascii="宋体"/>
              </w:rPr>
            </w:pPr>
          </w:p>
        </w:tc>
        <w:tc>
          <w:tcPr>
            <w:tcW w:w="0" w:type="auto"/>
            <w:shd w:val="clear" w:color="auto" w:fill="auto"/>
            <w:vAlign w:val="bottom"/>
          </w:tcPr>
          <w:p w14:paraId="5F2D5C8E" w14:textId="77777777" w:rsidR="00E836FB" w:rsidRDefault="00E836FB">
            <w:pPr>
              <w:rPr>
                <w:rFonts w:ascii="宋体"/>
              </w:rPr>
            </w:pPr>
          </w:p>
        </w:tc>
      </w:tr>
      <w:tr w:rsidR="00E836FB" w14:paraId="5F2D5CA2" w14:textId="77777777">
        <w:trPr>
          <w:hidden/>
        </w:trPr>
        <w:tc>
          <w:tcPr>
            <w:tcW w:w="0" w:type="auto"/>
            <w:gridSpan w:val="3"/>
            <w:shd w:val="clear" w:color="auto" w:fill="auto"/>
            <w:vAlign w:val="bottom"/>
          </w:tcPr>
          <w:p w14:paraId="5F2D5C90" w14:textId="77777777" w:rsidR="00E836FB" w:rsidRDefault="00E836FB">
            <w:pPr>
              <w:rPr>
                <w:rFonts w:ascii="宋体"/>
                <w:vanish/>
              </w:rPr>
            </w:pPr>
          </w:p>
        </w:tc>
        <w:tc>
          <w:tcPr>
            <w:tcW w:w="0" w:type="auto"/>
            <w:gridSpan w:val="3"/>
            <w:shd w:val="clear" w:color="auto" w:fill="auto"/>
            <w:vAlign w:val="bottom"/>
          </w:tcPr>
          <w:p w14:paraId="5F2D5C91" w14:textId="77777777" w:rsidR="00E836FB" w:rsidRDefault="00E836FB">
            <w:pPr>
              <w:rPr>
                <w:rFonts w:ascii="宋体"/>
                <w:vanish/>
              </w:rPr>
            </w:pPr>
          </w:p>
        </w:tc>
        <w:tc>
          <w:tcPr>
            <w:tcW w:w="0" w:type="auto"/>
            <w:gridSpan w:val="3"/>
            <w:shd w:val="clear" w:color="auto" w:fill="auto"/>
            <w:vAlign w:val="bottom"/>
          </w:tcPr>
          <w:p w14:paraId="5F2D5C92" w14:textId="77777777" w:rsidR="00E836FB" w:rsidRDefault="00E836FB">
            <w:pPr>
              <w:rPr>
                <w:rFonts w:ascii="宋体"/>
                <w:vanish/>
              </w:rPr>
            </w:pPr>
          </w:p>
        </w:tc>
        <w:tc>
          <w:tcPr>
            <w:tcW w:w="0" w:type="auto"/>
            <w:gridSpan w:val="3"/>
            <w:shd w:val="clear" w:color="auto" w:fill="auto"/>
            <w:vAlign w:val="bottom"/>
          </w:tcPr>
          <w:p w14:paraId="5F2D5C93" w14:textId="77777777" w:rsidR="00E836FB" w:rsidRDefault="00E836FB">
            <w:pPr>
              <w:rPr>
                <w:rFonts w:ascii="宋体"/>
                <w:vanish/>
              </w:rPr>
            </w:pPr>
          </w:p>
        </w:tc>
        <w:tc>
          <w:tcPr>
            <w:tcW w:w="0" w:type="auto"/>
            <w:gridSpan w:val="3"/>
            <w:shd w:val="clear" w:color="auto" w:fill="auto"/>
            <w:vAlign w:val="bottom"/>
          </w:tcPr>
          <w:p w14:paraId="5F2D5C94" w14:textId="77777777" w:rsidR="00E836FB" w:rsidRDefault="00E836FB">
            <w:pPr>
              <w:rPr>
                <w:rFonts w:ascii="宋体"/>
                <w:vanish/>
              </w:rPr>
            </w:pPr>
          </w:p>
        </w:tc>
        <w:tc>
          <w:tcPr>
            <w:tcW w:w="0" w:type="auto"/>
            <w:gridSpan w:val="3"/>
            <w:shd w:val="clear" w:color="auto" w:fill="auto"/>
            <w:vAlign w:val="bottom"/>
          </w:tcPr>
          <w:p w14:paraId="5F2D5C95" w14:textId="77777777" w:rsidR="00E836FB" w:rsidRDefault="00E836FB">
            <w:pPr>
              <w:rPr>
                <w:rFonts w:ascii="宋体"/>
                <w:vanish/>
              </w:rPr>
            </w:pPr>
          </w:p>
        </w:tc>
        <w:tc>
          <w:tcPr>
            <w:tcW w:w="0" w:type="auto"/>
            <w:gridSpan w:val="3"/>
            <w:shd w:val="clear" w:color="auto" w:fill="auto"/>
            <w:vAlign w:val="bottom"/>
          </w:tcPr>
          <w:p w14:paraId="5F2D5C96" w14:textId="77777777" w:rsidR="00E836FB" w:rsidRDefault="00E836FB">
            <w:pPr>
              <w:rPr>
                <w:rFonts w:ascii="宋体"/>
                <w:vanish/>
              </w:rPr>
            </w:pPr>
          </w:p>
        </w:tc>
        <w:tc>
          <w:tcPr>
            <w:tcW w:w="0" w:type="auto"/>
            <w:gridSpan w:val="3"/>
            <w:shd w:val="clear" w:color="auto" w:fill="auto"/>
            <w:vAlign w:val="bottom"/>
          </w:tcPr>
          <w:p w14:paraId="5F2D5C97" w14:textId="77777777" w:rsidR="00E836FB" w:rsidRDefault="00E836FB">
            <w:pPr>
              <w:rPr>
                <w:rFonts w:ascii="宋体"/>
                <w:vanish/>
              </w:rPr>
            </w:pPr>
          </w:p>
        </w:tc>
        <w:tc>
          <w:tcPr>
            <w:tcW w:w="0" w:type="auto"/>
            <w:gridSpan w:val="3"/>
            <w:shd w:val="clear" w:color="auto" w:fill="auto"/>
            <w:vAlign w:val="bottom"/>
          </w:tcPr>
          <w:p w14:paraId="5F2D5C98" w14:textId="77777777" w:rsidR="00E836FB" w:rsidRDefault="00E836FB">
            <w:pPr>
              <w:rPr>
                <w:rFonts w:ascii="宋体"/>
                <w:vanish/>
              </w:rPr>
            </w:pPr>
          </w:p>
        </w:tc>
        <w:tc>
          <w:tcPr>
            <w:tcW w:w="0" w:type="auto"/>
            <w:gridSpan w:val="3"/>
            <w:shd w:val="clear" w:color="auto" w:fill="auto"/>
            <w:vAlign w:val="bottom"/>
          </w:tcPr>
          <w:p w14:paraId="5F2D5C99" w14:textId="77777777" w:rsidR="00E836FB" w:rsidRDefault="00E836FB">
            <w:pPr>
              <w:rPr>
                <w:rFonts w:ascii="宋体"/>
                <w:vanish/>
              </w:rPr>
            </w:pPr>
          </w:p>
        </w:tc>
        <w:tc>
          <w:tcPr>
            <w:tcW w:w="0" w:type="auto"/>
            <w:gridSpan w:val="3"/>
            <w:shd w:val="clear" w:color="auto" w:fill="auto"/>
            <w:vAlign w:val="bottom"/>
          </w:tcPr>
          <w:p w14:paraId="5F2D5C9A" w14:textId="77777777" w:rsidR="00E836FB" w:rsidRDefault="00E836FB">
            <w:pPr>
              <w:rPr>
                <w:rFonts w:ascii="宋体"/>
                <w:vanish/>
              </w:rPr>
            </w:pPr>
          </w:p>
        </w:tc>
        <w:tc>
          <w:tcPr>
            <w:tcW w:w="0" w:type="auto"/>
            <w:gridSpan w:val="3"/>
            <w:shd w:val="clear" w:color="auto" w:fill="auto"/>
            <w:vAlign w:val="bottom"/>
          </w:tcPr>
          <w:p w14:paraId="5F2D5C9B" w14:textId="77777777" w:rsidR="00E836FB" w:rsidRDefault="00E836FB">
            <w:pPr>
              <w:rPr>
                <w:rFonts w:ascii="宋体"/>
                <w:vanish/>
              </w:rPr>
            </w:pPr>
          </w:p>
        </w:tc>
        <w:tc>
          <w:tcPr>
            <w:tcW w:w="0" w:type="auto"/>
            <w:gridSpan w:val="3"/>
            <w:shd w:val="clear" w:color="auto" w:fill="auto"/>
            <w:vAlign w:val="bottom"/>
          </w:tcPr>
          <w:p w14:paraId="5F2D5C9C" w14:textId="77777777" w:rsidR="00E836FB" w:rsidRDefault="00E836FB">
            <w:pPr>
              <w:rPr>
                <w:rFonts w:ascii="宋体"/>
                <w:vanish/>
              </w:rPr>
            </w:pPr>
          </w:p>
        </w:tc>
        <w:tc>
          <w:tcPr>
            <w:tcW w:w="0" w:type="auto"/>
            <w:gridSpan w:val="3"/>
            <w:shd w:val="clear" w:color="auto" w:fill="auto"/>
            <w:vAlign w:val="bottom"/>
          </w:tcPr>
          <w:p w14:paraId="5F2D5C9D" w14:textId="77777777" w:rsidR="00E836FB" w:rsidRDefault="00E836FB">
            <w:pPr>
              <w:rPr>
                <w:rFonts w:ascii="宋体"/>
                <w:vanish/>
              </w:rPr>
            </w:pPr>
          </w:p>
        </w:tc>
        <w:tc>
          <w:tcPr>
            <w:tcW w:w="0" w:type="auto"/>
            <w:gridSpan w:val="3"/>
            <w:shd w:val="clear" w:color="auto" w:fill="auto"/>
            <w:vAlign w:val="bottom"/>
          </w:tcPr>
          <w:p w14:paraId="5F2D5C9E" w14:textId="77777777" w:rsidR="00E836FB" w:rsidRDefault="00E836FB">
            <w:pPr>
              <w:rPr>
                <w:rFonts w:ascii="宋体"/>
                <w:vanish/>
              </w:rPr>
            </w:pPr>
          </w:p>
        </w:tc>
        <w:tc>
          <w:tcPr>
            <w:tcW w:w="0" w:type="auto"/>
            <w:gridSpan w:val="3"/>
            <w:shd w:val="clear" w:color="auto" w:fill="auto"/>
            <w:vAlign w:val="bottom"/>
          </w:tcPr>
          <w:p w14:paraId="5F2D5C9F" w14:textId="77777777" w:rsidR="00E836FB" w:rsidRDefault="00E836FB">
            <w:pPr>
              <w:rPr>
                <w:rFonts w:ascii="宋体"/>
                <w:vanish/>
              </w:rPr>
            </w:pPr>
          </w:p>
        </w:tc>
        <w:tc>
          <w:tcPr>
            <w:tcW w:w="0" w:type="auto"/>
            <w:gridSpan w:val="3"/>
            <w:shd w:val="clear" w:color="auto" w:fill="auto"/>
            <w:vAlign w:val="bottom"/>
          </w:tcPr>
          <w:p w14:paraId="5F2D5CA0" w14:textId="77777777" w:rsidR="00E836FB" w:rsidRDefault="00E836FB">
            <w:pPr>
              <w:rPr>
                <w:rFonts w:ascii="宋体"/>
                <w:vanish/>
              </w:rPr>
            </w:pPr>
          </w:p>
        </w:tc>
        <w:tc>
          <w:tcPr>
            <w:tcW w:w="0" w:type="auto"/>
            <w:gridSpan w:val="3"/>
            <w:shd w:val="clear" w:color="auto" w:fill="auto"/>
            <w:vAlign w:val="bottom"/>
          </w:tcPr>
          <w:p w14:paraId="5F2D5CA1" w14:textId="77777777" w:rsidR="00E836FB" w:rsidRDefault="00E836FB">
            <w:pPr>
              <w:rPr>
                <w:rFonts w:ascii="宋体"/>
                <w:vanish/>
              </w:rPr>
            </w:pPr>
          </w:p>
        </w:tc>
      </w:tr>
      <w:tr w:rsidR="00E836FB" w14:paraId="5F2D5CB5" w14:textId="77777777">
        <w:trPr>
          <w:hidden/>
        </w:trPr>
        <w:tc>
          <w:tcPr>
            <w:tcW w:w="0" w:type="auto"/>
            <w:gridSpan w:val="3"/>
            <w:shd w:val="clear" w:color="auto" w:fill="auto"/>
            <w:vAlign w:val="bottom"/>
          </w:tcPr>
          <w:p w14:paraId="5F2D5CA3" w14:textId="77777777" w:rsidR="00E836FB" w:rsidRDefault="00E836FB">
            <w:pPr>
              <w:rPr>
                <w:rFonts w:ascii="宋体"/>
                <w:vanish/>
              </w:rPr>
            </w:pPr>
          </w:p>
        </w:tc>
        <w:tc>
          <w:tcPr>
            <w:tcW w:w="0" w:type="auto"/>
            <w:gridSpan w:val="3"/>
            <w:shd w:val="clear" w:color="auto" w:fill="auto"/>
            <w:vAlign w:val="bottom"/>
          </w:tcPr>
          <w:p w14:paraId="5F2D5CA4" w14:textId="77777777" w:rsidR="00E836FB" w:rsidRDefault="00E836FB">
            <w:pPr>
              <w:rPr>
                <w:rFonts w:ascii="宋体"/>
                <w:vanish/>
              </w:rPr>
            </w:pPr>
          </w:p>
        </w:tc>
        <w:tc>
          <w:tcPr>
            <w:tcW w:w="0" w:type="auto"/>
            <w:gridSpan w:val="3"/>
            <w:shd w:val="clear" w:color="auto" w:fill="auto"/>
            <w:vAlign w:val="bottom"/>
          </w:tcPr>
          <w:p w14:paraId="5F2D5CA5" w14:textId="77777777" w:rsidR="00E836FB" w:rsidRDefault="00E836FB">
            <w:pPr>
              <w:rPr>
                <w:rFonts w:ascii="宋体"/>
                <w:vanish/>
              </w:rPr>
            </w:pPr>
          </w:p>
        </w:tc>
        <w:tc>
          <w:tcPr>
            <w:tcW w:w="0" w:type="auto"/>
            <w:gridSpan w:val="3"/>
            <w:shd w:val="clear" w:color="auto" w:fill="auto"/>
            <w:vAlign w:val="bottom"/>
          </w:tcPr>
          <w:p w14:paraId="5F2D5CA6" w14:textId="77777777" w:rsidR="00E836FB" w:rsidRDefault="00E836FB">
            <w:pPr>
              <w:rPr>
                <w:rFonts w:ascii="宋体"/>
                <w:vanish/>
              </w:rPr>
            </w:pPr>
          </w:p>
        </w:tc>
        <w:tc>
          <w:tcPr>
            <w:tcW w:w="0" w:type="auto"/>
            <w:gridSpan w:val="3"/>
            <w:shd w:val="clear" w:color="auto" w:fill="auto"/>
            <w:vAlign w:val="bottom"/>
          </w:tcPr>
          <w:p w14:paraId="5F2D5CA7" w14:textId="77777777" w:rsidR="00E836FB" w:rsidRDefault="00E836FB">
            <w:pPr>
              <w:rPr>
                <w:rFonts w:ascii="宋体"/>
                <w:vanish/>
              </w:rPr>
            </w:pPr>
          </w:p>
        </w:tc>
        <w:tc>
          <w:tcPr>
            <w:tcW w:w="0" w:type="auto"/>
            <w:gridSpan w:val="3"/>
            <w:shd w:val="clear" w:color="auto" w:fill="auto"/>
            <w:vAlign w:val="bottom"/>
          </w:tcPr>
          <w:p w14:paraId="5F2D5CA8" w14:textId="77777777" w:rsidR="00E836FB" w:rsidRDefault="00E836FB">
            <w:pPr>
              <w:rPr>
                <w:rFonts w:ascii="宋体"/>
                <w:vanish/>
              </w:rPr>
            </w:pPr>
          </w:p>
        </w:tc>
        <w:tc>
          <w:tcPr>
            <w:tcW w:w="0" w:type="auto"/>
            <w:gridSpan w:val="3"/>
            <w:shd w:val="clear" w:color="auto" w:fill="auto"/>
            <w:vAlign w:val="bottom"/>
          </w:tcPr>
          <w:p w14:paraId="5F2D5CA9" w14:textId="77777777" w:rsidR="00E836FB" w:rsidRDefault="00E836FB">
            <w:pPr>
              <w:rPr>
                <w:rFonts w:ascii="宋体"/>
                <w:vanish/>
              </w:rPr>
            </w:pPr>
          </w:p>
        </w:tc>
        <w:tc>
          <w:tcPr>
            <w:tcW w:w="0" w:type="auto"/>
            <w:gridSpan w:val="3"/>
            <w:shd w:val="clear" w:color="auto" w:fill="auto"/>
            <w:vAlign w:val="bottom"/>
          </w:tcPr>
          <w:p w14:paraId="5F2D5CAA" w14:textId="77777777" w:rsidR="00E836FB" w:rsidRDefault="00E836FB">
            <w:pPr>
              <w:rPr>
                <w:rFonts w:ascii="宋体"/>
                <w:vanish/>
              </w:rPr>
            </w:pPr>
          </w:p>
        </w:tc>
        <w:tc>
          <w:tcPr>
            <w:tcW w:w="0" w:type="auto"/>
            <w:gridSpan w:val="3"/>
            <w:shd w:val="clear" w:color="auto" w:fill="auto"/>
            <w:vAlign w:val="bottom"/>
          </w:tcPr>
          <w:p w14:paraId="5F2D5CAB" w14:textId="77777777" w:rsidR="00E836FB" w:rsidRDefault="00E836FB">
            <w:pPr>
              <w:rPr>
                <w:rFonts w:ascii="宋体"/>
                <w:vanish/>
              </w:rPr>
            </w:pPr>
          </w:p>
        </w:tc>
        <w:tc>
          <w:tcPr>
            <w:tcW w:w="0" w:type="auto"/>
            <w:gridSpan w:val="3"/>
            <w:shd w:val="clear" w:color="auto" w:fill="auto"/>
            <w:vAlign w:val="bottom"/>
          </w:tcPr>
          <w:p w14:paraId="5F2D5CAC" w14:textId="77777777" w:rsidR="00E836FB" w:rsidRDefault="00E836FB">
            <w:pPr>
              <w:rPr>
                <w:rFonts w:ascii="宋体"/>
                <w:vanish/>
              </w:rPr>
            </w:pPr>
          </w:p>
        </w:tc>
        <w:tc>
          <w:tcPr>
            <w:tcW w:w="0" w:type="auto"/>
            <w:gridSpan w:val="3"/>
            <w:shd w:val="clear" w:color="auto" w:fill="auto"/>
            <w:vAlign w:val="bottom"/>
          </w:tcPr>
          <w:p w14:paraId="5F2D5CAD" w14:textId="77777777" w:rsidR="00E836FB" w:rsidRDefault="00E836FB">
            <w:pPr>
              <w:rPr>
                <w:rFonts w:ascii="宋体"/>
                <w:vanish/>
              </w:rPr>
            </w:pPr>
          </w:p>
        </w:tc>
        <w:tc>
          <w:tcPr>
            <w:tcW w:w="0" w:type="auto"/>
            <w:gridSpan w:val="3"/>
            <w:shd w:val="clear" w:color="auto" w:fill="auto"/>
            <w:vAlign w:val="bottom"/>
          </w:tcPr>
          <w:p w14:paraId="5F2D5CAE" w14:textId="77777777" w:rsidR="00E836FB" w:rsidRDefault="00E836FB">
            <w:pPr>
              <w:rPr>
                <w:rFonts w:ascii="宋体"/>
                <w:vanish/>
              </w:rPr>
            </w:pPr>
          </w:p>
        </w:tc>
        <w:tc>
          <w:tcPr>
            <w:tcW w:w="0" w:type="auto"/>
            <w:gridSpan w:val="3"/>
            <w:shd w:val="clear" w:color="auto" w:fill="auto"/>
            <w:vAlign w:val="bottom"/>
          </w:tcPr>
          <w:p w14:paraId="5F2D5CAF" w14:textId="77777777" w:rsidR="00E836FB" w:rsidRDefault="00E836FB">
            <w:pPr>
              <w:rPr>
                <w:rFonts w:ascii="宋体"/>
                <w:vanish/>
              </w:rPr>
            </w:pPr>
          </w:p>
        </w:tc>
        <w:tc>
          <w:tcPr>
            <w:tcW w:w="0" w:type="auto"/>
            <w:gridSpan w:val="3"/>
            <w:shd w:val="clear" w:color="auto" w:fill="auto"/>
            <w:vAlign w:val="bottom"/>
          </w:tcPr>
          <w:p w14:paraId="5F2D5CB0" w14:textId="77777777" w:rsidR="00E836FB" w:rsidRDefault="00E836FB">
            <w:pPr>
              <w:rPr>
                <w:rFonts w:ascii="宋体"/>
                <w:vanish/>
              </w:rPr>
            </w:pPr>
          </w:p>
        </w:tc>
        <w:tc>
          <w:tcPr>
            <w:tcW w:w="0" w:type="auto"/>
            <w:gridSpan w:val="3"/>
            <w:shd w:val="clear" w:color="auto" w:fill="auto"/>
            <w:vAlign w:val="bottom"/>
          </w:tcPr>
          <w:p w14:paraId="5F2D5CB1" w14:textId="77777777" w:rsidR="00E836FB" w:rsidRDefault="00E836FB">
            <w:pPr>
              <w:rPr>
                <w:rFonts w:ascii="宋体"/>
                <w:vanish/>
              </w:rPr>
            </w:pPr>
          </w:p>
        </w:tc>
        <w:tc>
          <w:tcPr>
            <w:tcW w:w="0" w:type="auto"/>
            <w:gridSpan w:val="3"/>
            <w:shd w:val="clear" w:color="auto" w:fill="auto"/>
            <w:vAlign w:val="bottom"/>
          </w:tcPr>
          <w:p w14:paraId="5F2D5CB2" w14:textId="77777777" w:rsidR="00E836FB" w:rsidRDefault="00E836FB">
            <w:pPr>
              <w:rPr>
                <w:rFonts w:ascii="宋体"/>
                <w:vanish/>
              </w:rPr>
            </w:pPr>
          </w:p>
        </w:tc>
        <w:tc>
          <w:tcPr>
            <w:tcW w:w="0" w:type="auto"/>
            <w:gridSpan w:val="3"/>
            <w:shd w:val="clear" w:color="auto" w:fill="auto"/>
            <w:vAlign w:val="bottom"/>
          </w:tcPr>
          <w:p w14:paraId="5F2D5CB3" w14:textId="77777777" w:rsidR="00E836FB" w:rsidRDefault="00E836FB">
            <w:pPr>
              <w:rPr>
                <w:rFonts w:ascii="宋体"/>
                <w:vanish/>
              </w:rPr>
            </w:pPr>
          </w:p>
        </w:tc>
        <w:tc>
          <w:tcPr>
            <w:tcW w:w="0" w:type="auto"/>
            <w:gridSpan w:val="3"/>
            <w:shd w:val="clear" w:color="auto" w:fill="auto"/>
            <w:vAlign w:val="bottom"/>
          </w:tcPr>
          <w:p w14:paraId="5F2D5CB4" w14:textId="77777777" w:rsidR="00E836FB" w:rsidRDefault="00E836FB">
            <w:pPr>
              <w:rPr>
                <w:rFonts w:ascii="宋体"/>
                <w:vanish/>
              </w:rPr>
            </w:pPr>
          </w:p>
        </w:tc>
      </w:tr>
      <w:tr w:rsidR="00E836FB" w14:paraId="5F2D5CC8" w14:textId="77777777">
        <w:trPr>
          <w:hidden/>
        </w:trPr>
        <w:tc>
          <w:tcPr>
            <w:tcW w:w="0" w:type="auto"/>
            <w:gridSpan w:val="3"/>
            <w:shd w:val="clear" w:color="auto" w:fill="auto"/>
            <w:vAlign w:val="bottom"/>
          </w:tcPr>
          <w:p w14:paraId="5F2D5CB6" w14:textId="77777777" w:rsidR="00E836FB" w:rsidRDefault="00E836FB">
            <w:pPr>
              <w:rPr>
                <w:rFonts w:ascii="宋体"/>
                <w:vanish/>
              </w:rPr>
            </w:pPr>
          </w:p>
        </w:tc>
        <w:tc>
          <w:tcPr>
            <w:tcW w:w="0" w:type="auto"/>
            <w:gridSpan w:val="3"/>
            <w:shd w:val="clear" w:color="auto" w:fill="auto"/>
            <w:vAlign w:val="bottom"/>
          </w:tcPr>
          <w:p w14:paraId="5F2D5CB7" w14:textId="77777777" w:rsidR="00E836FB" w:rsidRDefault="00E836FB">
            <w:pPr>
              <w:rPr>
                <w:rFonts w:ascii="宋体"/>
                <w:vanish/>
              </w:rPr>
            </w:pPr>
          </w:p>
        </w:tc>
        <w:tc>
          <w:tcPr>
            <w:tcW w:w="0" w:type="auto"/>
            <w:gridSpan w:val="3"/>
            <w:shd w:val="clear" w:color="auto" w:fill="auto"/>
            <w:vAlign w:val="bottom"/>
          </w:tcPr>
          <w:p w14:paraId="5F2D5CB8" w14:textId="77777777" w:rsidR="00E836FB" w:rsidRDefault="00E836FB">
            <w:pPr>
              <w:rPr>
                <w:rFonts w:ascii="宋体"/>
                <w:vanish/>
              </w:rPr>
            </w:pPr>
          </w:p>
        </w:tc>
        <w:tc>
          <w:tcPr>
            <w:tcW w:w="0" w:type="auto"/>
            <w:gridSpan w:val="3"/>
            <w:shd w:val="clear" w:color="auto" w:fill="auto"/>
            <w:vAlign w:val="bottom"/>
          </w:tcPr>
          <w:p w14:paraId="5F2D5CB9" w14:textId="77777777" w:rsidR="00E836FB" w:rsidRDefault="00E836FB">
            <w:pPr>
              <w:rPr>
                <w:rFonts w:ascii="宋体"/>
                <w:vanish/>
              </w:rPr>
            </w:pPr>
          </w:p>
        </w:tc>
        <w:tc>
          <w:tcPr>
            <w:tcW w:w="0" w:type="auto"/>
            <w:gridSpan w:val="3"/>
            <w:shd w:val="clear" w:color="auto" w:fill="auto"/>
            <w:vAlign w:val="bottom"/>
          </w:tcPr>
          <w:p w14:paraId="5F2D5CBA" w14:textId="77777777" w:rsidR="00E836FB" w:rsidRDefault="00E836FB">
            <w:pPr>
              <w:rPr>
                <w:rFonts w:ascii="宋体"/>
                <w:vanish/>
              </w:rPr>
            </w:pPr>
          </w:p>
        </w:tc>
        <w:tc>
          <w:tcPr>
            <w:tcW w:w="0" w:type="auto"/>
            <w:gridSpan w:val="3"/>
            <w:shd w:val="clear" w:color="auto" w:fill="auto"/>
            <w:vAlign w:val="bottom"/>
          </w:tcPr>
          <w:p w14:paraId="5F2D5CBB" w14:textId="77777777" w:rsidR="00E836FB" w:rsidRDefault="00E836FB">
            <w:pPr>
              <w:rPr>
                <w:rFonts w:ascii="宋体"/>
                <w:vanish/>
              </w:rPr>
            </w:pPr>
          </w:p>
        </w:tc>
        <w:tc>
          <w:tcPr>
            <w:tcW w:w="0" w:type="auto"/>
            <w:gridSpan w:val="3"/>
            <w:shd w:val="clear" w:color="auto" w:fill="auto"/>
            <w:vAlign w:val="bottom"/>
          </w:tcPr>
          <w:p w14:paraId="5F2D5CBC" w14:textId="77777777" w:rsidR="00E836FB" w:rsidRDefault="00E836FB">
            <w:pPr>
              <w:rPr>
                <w:rFonts w:ascii="宋体"/>
                <w:vanish/>
              </w:rPr>
            </w:pPr>
          </w:p>
        </w:tc>
        <w:tc>
          <w:tcPr>
            <w:tcW w:w="0" w:type="auto"/>
            <w:gridSpan w:val="3"/>
            <w:shd w:val="clear" w:color="auto" w:fill="auto"/>
            <w:vAlign w:val="bottom"/>
          </w:tcPr>
          <w:p w14:paraId="5F2D5CBD" w14:textId="77777777" w:rsidR="00E836FB" w:rsidRDefault="00E836FB">
            <w:pPr>
              <w:rPr>
                <w:rFonts w:ascii="宋体"/>
                <w:vanish/>
              </w:rPr>
            </w:pPr>
          </w:p>
        </w:tc>
        <w:tc>
          <w:tcPr>
            <w:tcW w:w="0" w:type="auto"/>
            <w:gridSpan w:val="3"/>
            <w:shd w:val="clear" w:color="auto" w:fill="auto"/>
            <w:vAlign w:val="bottom"/>
          </w:tcPr>
          <w:p w14:paraId="5F2D5CBE" w14:textId="77777777" w:rsidR="00E836FB" w:rsidRDefault="00E836FB">
            <w:pPr>
              <w:rPr>
                <w:rFonts w:ascii="宋体"/>
                <w:vanish/>
              </w:rPr>
            </w:pPr>
          </w:p>
        </w:tc>
        <w:tc>
          <w:tcPr>
            <w:tcW w:w="0" w:type="auto"/>
            <w:gridSpan w:val="3"/>
            <w:shd w:val="clear" w:color="auto" w:fill="auto"/>
            <w:vAlign w:val="bottom"/>
          </w:tcPr>
          <w:p w14:paraId="5F2D5CBF" w14:textId="77777777" w:rsidR="00E836FB" w:rsidRDefault="00E836FB">
            <w:pPr>
              <w:rPr>
                <w:rFonts w:ascii="宋体"/>
                <w:vanish/>
              </w:rPr>
            </w:pPr>
          </w:p>
        </w:tc>
        <w:tc>
          <w:tcPr>
            <w:tcW w:w="0" w:type="auto"/>
            <w:gridSpan w:val="3"/>
            <w:shd w:val="clear" w:color="auto" w:fill="auto"/>
            <w:vAlign w:val="bottom"/>
          </w:tcPr>
          <w:p w14:paraId="5F2D5CC0" w14:textId="77777777" w:rsidR="00E836FB" w:rsidRDefault="00E836FB">
            <w:pPr>
              <w:rPr>
                <w:rFonts w:ascii="宋体"/>
                <w:vanish/>
              </w:rPr>
            </w:pPr>
          </w:p>
        </w:tc>
        <w:tc>
          <w:tcPr>
            <w:tcW w:w="0" w:type="auto"/>
            <w:gridSpan w:val="3"/>
            <w:shd w:val="clear" w:color="auto" w:fill="auto"/>
            <w:vAlign w:val="bottom"/>
          </w:tcPr>
          <w:p w14:paraId="5F2D5CC1" w14:textId="77777777" w:rsidR="00E836FB" w:rsidRDefault="00E836FB">
            <w:pPr>
              <w:rPr>
                <w:rFonts w:ascii="宋体"/>
                <w:vanish/>
              </w:rPr>
            </w:pPr>
          </w:p>
        </w:tc>
        <w:tc>
          <w:tcPr>
            <w:tcW w:w="0" w:type="auto"/>
            <w:gridSpan w:val="3"/>
            <w:shd w:val="clear" w:color="auto" w:fill="auto"/>
            <w:vAlign w:val="bottom"/>
          </w:tcPr>
          <w:p w14:paraId="5F2D5CC2" w14:textId="77777777" w:rsidR="00E836FB" w:rsidRDefault="00E836FB">
            <w:pPr>
              <w:rPr>
                <w:rFonts w:ascii="宋体"/>
                <w:vanish/>
              </w:rPr>
            </w:pPr>
          </w:p>
        </w:tc>
        <w:tc>
          <w:tcPr>
            <w:tcW w:w="0" w:type="auto"/>
            <w:gridSpan w:val="3"/>
            <w:shd w:val="clear" w:color="auto" w:fill="auto"/>
            <w:vAlign w:val="bottom"/>
          </w:tcPr>
          <w:p w14:paraId="5F2D5CC3" w14:textId="77777777" w:rsidR="00E836FB" w:rsidRDefault="00E836FB">
            <w:pPr>
              <w:rPr>
                <w:rFonts w:ascii="宋体"/>
                <w:vanish/>
              </w:rPr>
            </w:pPr>
          </w:p>
        </w:tc>
        <w:tc>
          <w:tcPr>
            <w:tcW w:w="0" w:type="auto"/>
            <w:gridSpan w:val="3"/>
            <w:shd w:val="clear" w:color="auto" w:fill="auto"/>
            <w:vAlign w:val="bottom"/>
          </w:tcPr>
          <w:p w14:paraId="5F2D5CC4" w14:textId="77777777" w:rsidR="00E836FB" w:rsidRDefault="00E836FB">
            <w:pPr>
              <w:rPr>
                <w:rFonts w:ascii="宋体"/>
                <w:vanish/>
              </w:rPr>
            </w:pPr>
          </w:p>
        </w:tc>
        <w:tc>
          <w:tcPr>
            <w:tcW w:w="0" w:type="auto"/>
            <w:gridSpan w:val="3"/>
            <w:shd w:val="clear" w:color="auto" w:fill="auto"/>
            <w:vAlign w:val="bottom"/>
          </w:tcPr>
          <w:p w14:paraId="5F2D5CC5" w14:textId="77777777" w:rsidR="00E836FB" w:rsidRDefault="00E836FB">
            <w:pPr>
              <w:rPr>
                <w:rFonts w:ascii="宋体"/>
                <w:vanish/>
              </w:rPr>
            </w:pPr>
          </w:p>
        </w:tc>
        <w:tc>
          <w:tcPr>
            <w:tcW w:w="0" w:type="auto"/>
            <w:gridSpan w:val="3"/>
            <w:shd w:val="clear" w:color="auto" w:fill="auto"/>
            <w:vAlign w:val="bottom"/>
          </w:tcPr>
          <w:p w14:paraId="5F2D5CC6" w14:textId="77777777" w:rsidR="00E836FB" w:rsidRDefault="00E836FB">
            <w:pPr>
              <w:rPr>
                <w:rFonts w:ascii="宋体"/>
                <w:vanish/>
              </w:rPr>
            </w:pPr>
          </w:p>
        </w:tc>
        <w:tc>
          <w:tcPr>
            <w:tcW w:w="0" w:type="auto"/>
            <w:gridSpan w:val="3"/>
            <w:shd w:val="clear" w:color="auto" w:fill="auto"/>
            <w:vAlign w:val="bottom"/>
          </w:tcPr>
          <w:p w14:paraId="5F2D5CC7" w14:textId="77777777" w:rsidR="00E836FB" w:rsidRDefault="00E836FB">
            <w:pPr>
              <w:rPr>
                <w:rFonts w:ascii="宋体"/>
                <w:vanish/>
              </w:rPr>
            </w:pPr>
          </w:p>
        </w:tc>
      </w:tr>
      <w:tr w:rsidR="00E836FB" w14:paraId="5F2D5CDB" w14:textId="77777777">
        <w:trPr>
          <w:hidden/>
        </w:trPr>
        <w:tc>
          <w:tcPr>
            <w:tcW w:w="0" w:type="auto"/>
            <w:gridSpan w:val="3"/>
            <w:shd w:val="clear" w:color="auto" w:fill="auto"/>
            <w:vAlign w:val="bottom"/>
          </w:tcPr>
          <w:p w14:paraId="5F2D5CC9" w14:textId="77777777" w:rsidR="00E836FB" w:rsidRDefault="00E836FB">
            <w:pPr>
              <w:rPr>
                <w:rFonts w:ascii="宋体"/>
                <w:vanish/>
              </w:rPr>
            </w:pPr>
          </w:p>
        </w:tc>
        <w:tc>
          <w:tcPr>
            <w:tcW w:w="0" w:type="auto"/>
            <w:gridSpan w:val="3"/>
            <w:shd w:val="clear" w:color="auto" w:fill="auto"/>
            <w:vAlign w:val="bottom"/>
          </w:tcPr>
          <w:p w14:paraId="5F2D5CCA" w14:textId="77777777" w:rsidR="00E836FB" w:rsidRDefault="00E836FB">
            <w:pPr>
              <w:rPr>
                <w:rFonts w:ascii="宋体"/>
                <w:vanish/>
              </w:rPr>
            </w:pPr>
          </w:p>
        </w:tc>
        <w:tc>
          <w:tcPr>
            <w:tcW w:w="0" w:type="auto"/>
            <w:gridSpan w:val="3"/>
            <w:shd w:val="clear" w:color="auto" w:fill="auto"/>
            <w:vAlign w:val="bottom"/>
          </w:tcPr>
          <w:p w14:paraId="5F2D5CCB" w14:textId="77777777" w:rsidR="00E836FB" w:rsidRDefault="00E836FB">
            <w:pPr>
              <w:rPr>
                <w:rFonts w:ascii="宋体"/>
                <w:vanish/>
              </w:rPr>
            </w:pPr>
          </w:p>
        </w:tc>
        <w:tc>
          <w:tcPr>
            <w:tcW w:w="0" w:type="auto"/>
            <w:gridSpan w:val="3"/>
            <w:shd w:val="clear" w:color="auto" w:fill="auto"/>
            <w:vAlign w:val="bottom"/>
          </w:tcPr>
          <w:p w14:paraId="5F2D5CCC" w14:textId="77777777" w:rsidR="00E836FB" w:rsidRDefault="00E836FB">
            <w:pPr>
              <w:rPr>
                <w:rFonts w:ascii="宋体"/>
                <w:vanish/>
              </w:rPr>
            </w:pPr>
          </w:p>
        </w:tc>
        <w:tc>
          <w:tcPr>
            <w:tcW w:w="0" w:type="auto"/>
            <w:gridSpan w:val="3"/>
            <w:shd w:val="clear" w:color="auto" w:fill="auto"/>
            <w:vAlign w:val="bottom"/>
          </w:tcPr>
          <w:p w14:paraId="5F2D5CCD" w14:textId="77777777" w:rsidR="00E836FB" w:rsidRDefault="00E836FB">
            <w:pPr>
              <w:rPr>
                <w:rFonts w:ascii="宋体"/>
                <w:vanish/>
              </w:rPr>
            </w:pPr>
          </w:p>
        </w:tc>
        <w:tc>
          <w:tcPr>
            <w:tcW w:w="0" w:type="auto"/>
            <w:gridSpan w:val="3"/>
            <w:shd w:val="clear" w:color="auto" w:fill="auto"/>
            <w:vAlign w:val="bottom"/>
          </w:tcPr>
          <w:p w14:paraId="5F2D5CCE" w14:textId="77777777" w:rsidR="00E836FB" w:rsidRDefault="00E836FB">
            <w:pPr>
              <w:rPr>
                <w:rFonts w:ascii="宋体"/>
                <w:vanish/>
              </w:rPr>
            </w:pPr>
          </w:p>
        </w:tc>
        <w:tc>
          <w:tcPr>
            <w:tcW w:w="0" w:type="auto"/>
            <w:gridSpan w:val="3"/>
            <w:shd w:val="clear" w:color="auto" w:fill="auto"/>
            <w:vAlign w:val="bottom"/>
          </w:tcPr>
          <w:p w14:paraId="5F2D5CCF" w14:textId="77777777" w:rsidR="00E836FB" w:rsidRDefault="00E836FB">
            <w:pPr>
              <w:rPr>
                <w:rFonts w:ascii="宋体"/>
                <w:vanish/>
              </w:rPr>
            </w:pPr>
          </w:p>
        </w:tc>
        <w:tc>
          <w:tcPr>
            <w:tcW w:w="0" w:type="auto"/>
            <w:gridSpan w:val="3"/>
            <w:shd w:val="clear" w:color="auto" w:fill="auto"/>
            <w:vAlign w:val="bottom"/>
          </w:tcPr>
          <w:p w14:paraId="5F2D5CD0" w14:textId="77777777" w:rsidR="00E836FB" w:rsidRDefault="00E836FB">
            <w:pPr>
              <w:rPr>
                <w:rFonts w:ascii="宋体"/>
                <w:vanish/>
              </w:rPr>
            </w:pPr>
          </w:p>
        </w:tc>
        <w:tc>
          <w:tcPr>
            <w:tcW w:w="0" w:type="auto"/>
            <w:gridSpan w:val="3"/>
            <w:shd w:val="clear" w:color="auto" w:fill="auto"/>
            <w:vAlign w:val="bottom"/>
          </w:tcPr>
          <w:p w14:paraId="5F2D5CD1" w14:textId="77777777" w:rsidR="00E836FB" w:rsidRDefault="00E836FB">
            <w:pPr>
              <w:rPr>
                <w:rFonts w:ascii="宋体"/>
                <w:vanish/>
              </w:rPr>
            </w:pPr>
          </w:p>
        </w:tc>
        <w:tc>
          <w:tcPr>
            <w:tcW w:w="0" w:type="auto"/>
            <w:gridSpan w:val="3"/>
            <w:shd w:val="clear" w:color="auto" w:fill="auto"/>
            <w:vAlign w:val="bottom"/>
          </w:tcPr>
          <w:p w14:paraId="5F2D5CD2" w14:textId="77777777" w:rsidR="00E836FB" w:rsidRDefault="00E836FB">
            <w:pPr>
              <w:rPr>
                <w:rFonts w:ascii="宋体"/>
                <w:vanish/>
              </w:rPr>
            </w:pPr>
          </w:p>
        </w:tc>
        <w:tc>
          <w:tcPr>
            <w:tcW w:w="0" w:type="auto"/>
            <w:gridSpan w:val="3"/>
            <w:shd w:val="clear" w:color="auto" w:fill="auto"/>
            <w:vAlign w:val="bottom"/>
          </w:tcPr>
          <w:p w14:paraId="5F2D5CD3" w14:textId="77777777" w:rsidR="00E836FB" w:rsidRDefault="00E836FB">
            <w:pPr>
              <w:rPr>
                <w:rFonts w:ascii="宋体"/>
                <w:vanish/>
              </w:rPr>
            </w:pPr>
          </w:p>
        </w:tc>
        <w:tc>
          <w:tcPr>
            <w:tcW w:w="0" w:type="auto"/>
            <w:gridSpan w:val="3"/>
            <w:shd w:val="clear" w:color="auto" w:fill="auto"/>
            <w:vAlign w:val="bottom"/>
          </w:tcPr>
          <w:p w14:paraId="5F2D5CD4" w14:textId="77777777" w:rsidR="00E836FB" w:rsidRDefault="00E836FB">
            <w:pPr>
              <w:rPr>
                <w:rFonts w:ascii="宋体"/>
                <w:vanish/>
              </w:rPr>
            </w:pPr>
          </w:p>
        </w:tc>
        <w:tc>
          <w:tcPr>
            <w:tcW w:w="0" w:type="auto"/>
            <w:gridSpan w:val="3"/>
            <w:shd w:val="clear" w:color="auto" w:fill="auto"/>
            <w:vAlign w:val="bottom"/>
          </w:tcPr>
          <w:p w14:paraId="5F2D5CD5" w14:textId="77777777" w:rsidR="00E836FB" w:rsidRDefault="00E836FB">
            <w:pPr>
              <w:rPr>
                <w:rFonts w:ascii="宋体"/>
                <w:vanish/>
              </w:rPr>
            </w:pPr>
          </w:p>
        </w:tc>
        <w:tc>
          <w:tcPr>
            <w:tcW w:w="0" w:type="auto"/>
            <w:gridSpan w:val="3"/>
            <w:shd w:val="clear" w:color="auto" w:fill="auto"/>
            <w:vAlign w:val="bottom"/>
          </w:tcPr>
          <w:p w14:paraId="5F2D5CD6" w14:textId="77777777" w:rsidR="00E836FB" w:rsidRDefault="00E836FB">
            <w:pPr>
              <w:rPr>
                <w:rFonts w:ascii="宋体"/>
                <w:vanish/>
              </w:rPr>
            </w:pPr>
          </w:p>
        </w:tc>
        <w:tc>
          <w:tcPr>
            <w:tcW w:w="0" w:type="auto"/>
            <w:gridSpan w:val="3"/>
            <w:shd w:val="clear" w:color="auto" w:fill="auto"/>
            <w:vAlign w:val="bottom"/>
          </w:tcPr>
          <w:p w14:paraId="5F2D5CD7" w14:textId="77777777" w:rsidR="00E836FB" w:rsidRDefault="00E836FB">
            <w:pPr>
              <w:rPr>
                <w:rFonts w:ascii="宋体"/>
                <w:vanish/>
              </w:rPr>
            </w:pPr>
          </w:p>
        </w:tc>
        <w:tc>
          <w:tcPr>
            <w:tcW w:w="0" w:type="auto"/>
            <w:gridSpan w:val="3"/>
            <w:shd w:val="clear" w:color="auto" w:fill="auto"/>
            <w:vAlign w:val="bottom"/>
          </w:tcPr>
          <w:p w14:paraId="5F2D5CD8" w14:textId="77777777" w:rsidR="00E836FB" w:rsidRDefault="00E836FB">
            <w:pPr>
              <w:rPr>
                <w:rFonts w:ascii="宋体"/>
                <w:vanish/>
              </w:rPr>
            </w:pPr>
          </w:p>
        </w:tc>
        <w:tc>
          <w:tcPr>
            <w:tcW w:w="0" w:type="auto"/>
            <w:gridSpan w:val="3"/>
            <w:shd w:val="clear" w:color="auto" w:fill="auto"/>
            <w:vAlign w:val="bottom"/>
          </w:tcPr>
          <w:p w14:paraId="5F2D5CD9" w14:textId="77777777" w:rsidR="00E836FB" w:rsidRDefault="00E836FB">
            <w:pPr>
              <w:rPr>
                <w:rFonts w:ascii="宋体"/>
                <w:vanish/>
              </w:rPr>
            </w:pPr>
          </w:p>
        </w:tc>
        <w:tc>
          <w:tcPr>
            <w:tcW w:w="0" w:type="auto"/>
            <w:gridSpan w:val="3"/>
            <w:shd w:val="clear" w:color="auto" w:fill="auto"/>
            <w:vAlign w:val="bottom"/>
          </w:tcPr>
          <w:p w14:paraId="5F2D5CDA" w14:textId="77777777" w:rsidR="00E836FB" w:rsidRDefault="00E836FB">
            <w:pPr>
              <w:rPr>
                <w:rFonts w:ascii="宋体"/>
                <w:vanish/>
              </w:rPr>
            </w:pPr>
          </w:p>
        </w:tc>
      </w:tr>
      <w:tr w:rsidR="00E836FB" w14:paraId="5F2D5CDE" w14:textId="77777777">
        <w:tc>
          <w:tcPr>
            <w:tcW w:w="0" w:type="auto"/>
            <w:gridSpan w:val="3"/>
            <w:shd w:val="clear" w:color="auto" w:fill="auto"/>
            <w:tcMar>
              <w:top w:w="0" w:type="dxa"/>
              <w:left w:w="20" w:type="dxa"/>
              <w:bottom w:w="0" w:type="dxa"/>
              <w:right w:w="20" w:type="dxa"/>
            </w:tcMar>
            <w:vAlign w:val="bottom"/>
          </w:tcPr>
          <w:p w14:paraId="5F2D5CDC" w14:textId="77777777" w:rsidR="00E836FB" w:rsidRDefault="00E836FB">
            <w:pPr>
              <w:rPr>
                <w:rFonts w:ascii="宋体"/>
              </w:rPr>
            </w:pPr>
          </w:p>
        </w:tc>
        <w:tc>
          <w:tcPr>
            <w:tcW w:w="0" w:type="auto"/>
            <w:gridSpan w:val="51"/>
            <w:tcBorders>
              <w:bottom w:val="single" w:sz="8" w:space="0" w:color="000000"/>
            </w:tcBorders>
            <w:shd w:val="clear" w:color="auto" w:fill="FFFFFF"/>
            <w:tcMar>
              <w:top w:w="40" w:type="dxa"/>
              <w:left w:w="20" w:type="dxa"/>
              <w:bottom w:w="40" w:type="dxa"/>
              <w:right w:w="20" w:type="dxa"/>
            </w:tcMar>
            <w:vAlign w:val="bottom"/>
          </w:tcPr>
          <w:p w14:paraId="5F2D5CDD" w14:textId="77777777" w:rsidR="00E836FB" w:rsidRDefault="00994958">
            <w:pPr>
              <w:jc w:val="center"/>
              <w:textAlignment w:val="bottom"/>
            </w:pPr>
            <w:r>
              <w:rPr>
                <w:rFonts w:ascii="Arial" w:eastAsia="宋体" w:hAnsi="Arial" w:cs="Arial"/>
                <w:b/>
                <w:bCs/>
                <w:color w:val="000000"/>
                <w:sz w:val="16"/>
                <w:szCs w:val="16"/>
              </w:rPr>
              <w:t>Years Ended December 31,</w:t>
            </w:r>
          </w:p>
        </w:tc>
      </w:tr>
      <w:tr w:rsidR="00E836FB" w14:paraId="5F2D5CE5" w14:textId="77777777">
        <w:tc>
          <w:tcPr>
            <w:tcW w:w="0" w:type="auto"/>
            <w:gridSpan w:val="3"/>
            <w:shd w:val="clear" w:color="auto" w:fill="auto"/>
            <w:tcMar>
              <w:top w:w="0" w:type="dxa"/>
              <w:left w:w="20" w:type="dxa"/>
              <w:bottom w:w="0" w:type="dxa"/>
              <w:right w:w="20" w:type="dxa"/>
            </w:tcMar>
            <w:vAlign w:val="bottom"/>
          </w:tcPr>
          <w:p w14:paraId="5F2D5CDF"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CE0"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E1"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CE2"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E3"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CE4" w14:textId="77777777" w:rsidR="00E836FB" w:rsidRDefault="00994958">
            <w:pPr>
              <w:jc w:val="center"/>
              <w:textAlignment w:val="bottom"/>
            </w:pPr>
            <w:r>
              <w:rPr>
                <w:rFonts w:ascii="Arial" w:eastAsia="宋体" w:hAnsi="Arial" w:cs="Arial"/>
                <w:b/>
                <w:bCs/>
                <w:color w:val="000000"/>
                <w:sz w:val="16"/>
                <w:szCs w:val="16"/>
              </w:rPr>
              <w:t>2019</w:t>
            </w:r>
          </w:p>
        </w:tc>
      </w:tr>
      <w:tr w:rsidR="00E836FB" w14:paraId="5F2D5CF8" w14:textId="77777777">
        <w:tc>
          <w:tcPr>
            <w:tcW w:w="0" w:type="auto"/>
            <w:gridSpan w:val="3"/>
            <w:shd w:val="clear" w:color="auto" w:fill="auto"/>
            <w:tcMar>
              <w:top w:w="40" w:type="dxa"/>
              <w:left w:w="20" w:type="dxa"/>
              <w:bottom w:w="40" w:type="dxa"/>
              <w:right w:w="20" w:type="dxa"/>
            </w:tcMar>
            <w:vAlign w:val="bottom"/>
          </w:tcPr>
          <w:p w14:paraId="5F2D5CE6" w14:textId="77777777" w:rsidR="00E836FB" w:rsidRDefault="00994958">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E7" w14:textId="77777777" w:rsidR="00E836FB" w:rsidRDefault="00994958">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E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E9" w14:textId="77777777" w:rsidR="00E836FB" w:rsidRDefault="00994958">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E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EB" w14:textId="77777777" w:rsidR="00E836FB" w:rsidRDefault="00994958">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F2D5CE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ED" w14:textId="77777777" w:rsidR="00E836FB" w:rsidRDefault="00994958">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E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EF" w14:textId="77777777" w:rsidR="00E836FB" w:rsidRDefault="00994958">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F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F1" w14:textId="77777777" w:rsidR="00E836FB" w:rsidRDefault="00994958">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F2D5CF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F3" w14:textId="77777777" w:rsidR="00E836FB" w:rsidRDefault="00994958">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F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F5" w14:textId="77777777" w:rsidR="00E836FB" w:rsidRDefault="00994958">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CF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CF7" w14:textId="77777777" w:rsidR="00E836FB" w:rsidRDefault="00994958">
            <w:pPr>
              <w:jc w:val="center"/>
              <w:textAlignment w:val="bottom"/>
            </w:pPr>
            <w:r>
              <w:rPr>
                <w:rFonts w:ascii="Arial" w:eastAsia="宋体" w:hAnsi="Arial" w:cs="Arial"/>
                <w:b/>
                <w:bCs/>
                <w:color w:val="000000"/>
                <w:sz w:val="16"/>
                <w:szCs w:val="16"/>
              </w:rPr>
              <w:t>Total</w:t>
            </w:r>
          </w:p>
        </w:tc>
      </w:tr>
      <w:tr w:rsidR="00994958" w14:paraId="5F2D5D1D" w14:textId="77777777">
        <w:tc>
          <w:tcPr>
            <w:tcW w:w="0" w:type="auto"/>
            <w:gridSpan w:val="3"/>
            <w:shd w:val="clear" w:color="auto" w:fill="CCEEFF"/>
            <w:tcMar>
              <w:top w:w="40" w:type="dxa"/>
              <w:left w:w="20" w:type="dxa"/>
              <w:bottom w:w="40" w:type="dxa"/>
              <w:right w:w="20" w:type="dxa"/>
            </w:tcMar>
            <w:vAlign w:val="bottom"/>
          </w:tcPr>
          <w:p w14:paraId="5F2D5CF9" w14:textId="77777777" w:rsidR="00E836FB" w:rsidRDefault="00994958">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CFA"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CFB" w14:textId="77777777" w:rsidR="00E836FB" w:rsidRDefault="00994958">
            <w:pPr>
              <w:jc w:val="right"/>
              <w:textAlignment w:val="bottom"/>
            </w:pPr>
            <w:r>
              <w:rPr>
                <w:rFonts w:ascii="Arial" w:eastAsia="宋体" w:hAnsi="Arial" w:cs="Arial"/>
                <w:b/>
                <w:bCs/>
                <w:color w:val="000000"/>
                <w:sz w:val="16"/>
                <w:szCs w:val="16"/>
              </w:rPr>
              <w:t>5,371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CF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CF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CFE"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CFF" w14:textId="77777777" w:rsidR="00E836FB" w:rsidRDefault="00994958">
            <w:pPr>
              <w:jc w:val="right"/>
              <w:textAlignment w:val="bottom"/>
            </w:pPr>
            <w:r>
              <w:rPr>
                <w:rFonts w:ascii="Arial" w:eastAsia="宋体" w:hAnsi="Arial" w:cs="Arial"/>
                <w:b/>
                <w:bCs/>
                <w:color w:val="000000"/>
                <w:sz w:val="16"/>
                <w:szCs w:val="16"/>
              </w:rPr>
              <w:t>6,656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0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02"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03" w14:textId="77777777" w:rsidR="00E836FB" w:rsidRDefault="00994958">
            <w:pPr>
              <w:jc w:val="right"/>
              <w:textAlignment w:val="bottom"/>
            </w:pPr>
            <w:r>
              <w:rPr>
                <w:rFonts w:ascii="Arial" w:eastAsia="宋体" w:hAnsi="Arial" w:cs="Arial"/>
                <w:b/>
                <w:bCs/>
                <w:color w:val="000000"/>
                <w:sz w:val="16"/>
                <w:szCs w:val="16"/>
              </w:rPr>
              <w:t>12,027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0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0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06"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07" w14:textId="77777777" w:rsidR="00E836FB" w:rsidRDefault="00994958">
            <w:pPr>
              <w:jc w:val="right"/>
              <w:textAlignment w:val="bottom"/>
            </w:pPr>
            <w:r>
              <w:rPr>
                <w:rFonts w:ascii="Arial" w:eastAsia="宋体" w:hAnsi="Arial" w:cs="Arial"/>
                <w:color w:val="000000"/>
                <w:sz w:val="16"/>
                <w:szCs w:val="16"/>
              </w:rPr>
              <w:t>5,177 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0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0A"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0B" w14:textId="77777777" w:rsidR="00E836FB" w:rsidRDefault="00994958">
            <w:pPr>
              <w:jc w:val="right"/>
              <w:textAlignment w:val="bottom"/>
            </w:pPr>
            <w:r>
              <w:rPr>
                <w:rFonts w:ascii="Arial" w:eastAsia="宋体" w:hAnsi="Arial" w:cs="Arial"/>
                <w:color w:val="000000"/>
                <w:sz w:val="16"/>
                <w:szCs w:val="16"/>
              </w:rPr>
              <w:t>6,526 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0D"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0E"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0F" w14:textId="77777777" w:rsidR="00E836FB" w:rsidRDefault="00994958">
            <w:pPr>
              <w:jc w:val="right"/>
              <w:textAlignment w:val="bottom"/>
            </w:pPr>
            <w:r>
              <w:rPr>
                <w:rFonts w:ascii="Arial" w:eastAsia="宋体" w:hAnsi="Arial" w:cs="Arial"/>
                <w:color w:val="000000"/>
                <w:sz w:val="16"/>
                <w:szCs w:val="16"/>
              </w:rPr>
              <w:t>11,703 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1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12"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13" w14:textId="77777777" w:rsidR="00E836FB" w:rsidRDefault="00994958">
            <w:pPr>
              <w:jc w:val="right"/>
              <w:textAlignment w:val="bottom"/>
            </w:pPr>
            <w:r>
              <w:rPr>
                <w:rFonts w:ascii="Arial" w:eastAsia="宋体" w:hAnsi="Arial" w:cs="Arial"/>
                <w:color w:val="000000"/>
                <w:sz w:val="16"/>
                <w:szCs w:val="16"/>
              </w:rPr>
              <w:t>5,230 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1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1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16"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17" w14:textId="77777777" w:rsidR="00E836FB" w:rsidRDefault="00994958">
            <w:pPr>
              <w:jc w:val="right"/>
              <w:textAlignment w:val="bottom"/>
            </w:pPr>
            <w:r>
              <w:rPr>
                <w:rFonts w:ascii="Arial" w:eastAsia="宋体" w:hAnsi="Arial" w:cs="Arial"/>
                <w:color w:val="000000"/>
                <w:sz w:val="16"/>
                <w:szCs w:val="16"/>
              </w:rPr>
              <w:t>6,526 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19"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1A"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1B" w14:textId="77777777" w:rsidR="00E836FB" w:rsidRDefault="00994958">
            <w:pPr>
              <w:jc w:val="right"/>
              <w:textAlignment w:val="bottom"/>
            </w:pPr>
            <w:r>
              <w:rPr>
                <w:rFonts w:ascii="Arial" w:eastAsia="宋体" w:hAnsi="Arial" w:cs="Arial"/>
                <w:color w:val="000000"/>
                <w:sz w:val="16"/>
                <w:szCs w:val="16"/>
              </w:rPr>
              <w:t>11,756 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1C" w14:textId="77777777" w:rsidR="00E836FB" w:rsidRDefault="00E836FB">
            <w:pPr>
              <w:jc w:val="right"/>
              <w:rPr>
                <w:rFonts w:ascii="宋体"/>
              </w:rPr>
            </w:pPr>
          </w:p>
        </w:tc>
      </w:tr>
      <w:tr w:rsidR="00E836FB" w14:paraId="5F2D5D39" w14:textId="77777777">
        <w:tc>
          <w:tcPr>
            <w:tcW w:w="0" w:type="auto"/>
            <w:gridSpan w:val="3"/>
            <w:shd w:val="clear" w:color="auto" w:fill="FFFFFF"/>
            <w:tcMar>
              <w:top w:w="40" w:type="dxa"/>
              <w:left w:w="20" w:type="dxa"/>
              <w:bottom w:w="40" w:type="dxa"/>
              <w:right w:w="20" w:type="dxa"/>
            </w:tcMar>
            <w:vAlign w:val="bottom"/>
          </w:tcPr>
          <w:p w14:paraId="5F2D5D1E" w14:textId="77777777" w:rsidR="00E836FB" w:rsidRDefault="00994958">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5F2D5D1F" w14:textId="77777777" w:rsidR="00E836FB" w:rsidRDefault="00994958">
            <w:pPr>
              <w:jc w:val="right"/>
              <w:textAlignment w:val="bottom"/>
            </w:pPr>
            <w:r>
              <w:rPr>
                <w:rFonts w:ascii="Arial" w:eastAsia="宋体" w:hAnsi="Arial" w:cs="Arial"/>
                <w:b/>
                <w:bCs/>
                <w:color w:val="000000"/>
                <w:sz w:val="16"/>
                <w:szCs w:val="16"/>
              </w:rPr>
              <w:t>1,522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D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21"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5D22" w14:textId="77777777" w:rsidR="00E836FB" w:rsidRDefault="00994958">
            <w:pPr>
              <w:jc w:val="right"/>
              <w:textAlignment w:val="bottom"/>
            </w:pPr>
            <w:r>
              <w:rPr>
                <w:rFonts w:ascii="Arial" w:eastAsia="宋体" w:hAnsi="Arial" w:cs="Arial"/>
                <w:b/>
                <w:bCs/>
                <w:color w:val="000000"/>
                <w:sz w:val="16"/>
                <w:szCs w:val="16"/>
              </w:rPr>
              <w:t>1,649</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5F2D5D2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24"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5D25" w14:textId="77777777" w:rsidR="00E836FB" w:rsidRDefault="00994958">
            <w:pPr>
              <w:jc w:val="right"/>
              <w:textAlignment w:val="bottom"/>
            </w:pPr>
            <w:r>
              <w:rPr>
                <w:rFonts w:ascii="Arial" w:eastAsia="宋体" w:hAnsi="Arial" w:cs="Arial"/>
                <w:b/>
                <w:bCs/>
                <w:color w:val="000000"/>
                <w:sz w:val="16"/>
                <w:szCs w:val="16"/>
              </w:rPr>
              <w:t>3,171</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5F2D5D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2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28" w14:textId="77777777" w:rsidR="00E836FB" w:rsidRDefault="00994958">
            <w:pPr>
              <w:jc w:val="right"/>
              <w:textAlignment w:val="bottom"/>
            </w:pPr>
            <w:r>
              <w:rPr>
                <w:rFonts w:ascii="Arial" w:eastAsia="宋体" w:hAnsi="Arial" w:cs="Arial"/>
                <w:color w:val="000000"/>
                <w:sz w:val="16"/>
                <w:szCs w:val="16"/>
              </w:rPr>
              <w:t>1,326 </w:t>
            </w:r>
          </w:p>
        </w:tc>
        <w:tc>
          <w:tcPr>
            <w:tcW w:w="0" w:type="auto"/>
            <w:shd w:val="clear" w:color="auto" w:fill="FFFFFF"/>
            <w:tcMar>
              <w:top w:w="40" w:type="dxa"/>
              <w:left w:w="0" w:type="dxa"/>
              <w:bottom w:w="40" w:type="dxa"/>
              <w:right w:w="20" w:type="dxa"/>
            </w:tcMar>
            <w:vAlign w:val="bottom"/>
          </w:tcPr>
          <w:p w14:paraId="5F2D5D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2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2B" w14:textId="77777777" w:rsidR="00E836FB" w:rsidRDefault="00994958">
            <w:pPr>
              <w:jc w:val="right"/>
              <w:textAlignment w:val="bottom"/>
            </w:pPr>
            <w:r>
              <w:rPr>
                <w:rFonts w:ascii="Arial" w:eastAsia="宋体" w:hAnsi="Arial" w:cs="Arial"/>
                <w:color w:val="000000"/>
                <w:sz w:val="16"/>
                <w:szCs w:val="16"/>
              </w:rPr>
              <w:t>1,573 </w:t>
            </w:r>
          </w:p>
        </w:tc>
        <w:tc>
          <w:tcPr>
            <w:tcW w:w="0" w:type="auto"/>
            <w:shd w:val="clear" w:color="auto" w:fill="FFFFFF"/>
            <w:tcMar>
              <w:top w:w="40" w:type="dxa"/>
              <w:left w:w="0" w:type="dxa"/>
              <w:bottom w:w="40" w:type="dxa"/>
              <w:right w:w="20" w:type="dxa"/>
            </w:tcMar>
            <w:vAlign w:val="bottom"/>
          </w:tcPr>
          <w:p w14:paraId="5F2D5D2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2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2E" w14:textId="77777777" w:rsidR="00E836FB" w:rsidRDefault="00994958">
            <w:pPr>
              <w:jc w:val="right"/>
              <w:textAlignment w:val="bottom"/>
            </w:pPr>
            <w:r>
              <w:rPr>
                <w:rFonts w:ascii="Arial" w:eastAsia="宋体" w:hAnsi="Arial" w:cs="Arial"/>
                <w:color w:val="000000"/>
                <w:sz w:val="16"/>
                <w:szCs w:val="16"/>
              </w:rPr>
              <w:t>2,899 </w:t>
            </w:r>
          </w:p>
        </w:tc>
        <w:tc>
          <w:tcPr>
            <w:tcW w:w="0" w:type="auto"/>
            <w:shd w:val="clear" w:color="auto" w:fill="FFFFFF"/>
            <w:tcMar>
              <w:top w:w="40" w:type="dxa"/>
              <w:left w:w="0" w:type="dxa"/>
              <w:bottom w:w="40" w:type="dxa"/>
              <w:right w:w="20" w:type="dxa"/>
            </w:tcMar>
            <w:vAlign w:val="bottom"/>
          </w:tcPr>
          <w:p w14:paraId="5F2D5D2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3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31" w14:textId="77777777" w:rsidR="00E836FB" w:rsidRDefault="00994958">
            <w:pPr>
              <w:jc w:val="right"/>
              <w:textAlignment w:val="bottom"/>
            </w:pPr>
            <w:r>
              <w:rPr>
                <w:rFonts w:ascii="Arial" w:eastAsia="宋体" w:hAnsi="Arial" w:cs="Arial"/>
                <w:color w:val="000000"/>
                <w:sz w:val="16"/>
                <w:szCs w:val="16"/>
              </w:rPr>
              <w:t>1,248 </w:t>
            </w:r>
          </w:p>
        </w:tc>
        <w:tc>
          <w:tcPr>
            <w:tcW w:w="0" w:type="auto"/>
            <w:shd w:val="clear" w:color="auto" w:fill="FFFFFF"/>
            <w:tcMar>
              <w:top w:w="40" w:type="dxa"/>
              <w:left w:w="0" w:type="dxa"/>
              <w:bottom w:w="40" w:type="dxa"/>
              <w:right w:w="20" w:type="dxa"/>
            </w:tcMar>
            <w:vAlign w:val="bottom"/>
          </w:tcPr>
          <w:p w14:paraId="5F2D5D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3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34" w14:textId="77777777" w:rsidR="00E836FB" w:rsidRDefault="00994958">
            <w:pPr>
              <w:jc w:val="right"/>
              <w:textAlignment w:val="bottom"/>
            </w:pPr>
            <w:r>
              <w:rPr>
                <w:rFonts w:ascii="Arial" w:eastAsia="宋体" w:hAnsi="Arial" w:cs="Arial"/>
                <w:color w:val="000000"/>
                <w:sz w:val="16"/>
                <w:szCs w:val="16"/>
              </w:rPr>
              <w:t>1,464 </w:t>
            </w:r>
          </w:p>
        </w:tc>
        <w:tc>
          <w:tcPr>
            <w:tcW w:w="0" w:type="auto"/>
            <w:shd w:val="clear" w:color="auto" w:fill="FFFFFF"/>
            <w:tcMar>
              <w:top w:w="40" w:type="dxa"/>
              <w:left w:w="0" w:type="dxa"/>
              <w:bottom w:w="40" w:type="dxa"/>
              <w:right w:w="20" w:type="dxa"/>
            </w:tcMar>
            <w:vAlign w:val="bottom"/>
          </w:tcPr>
          <w:p w14:paraId="5F2D5D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37" w14:textId="77777777" w:rsidR="00E836FB" w:rsidRDefault="00994958">
            <w:pPr>
              <w:jc w:val="right"/>
              <w:textAlignment w:val="bottom"/>
            </w:pPr>
            <w:r>
              <w:rPr>
                <w:rFonts w:ascii="Arial" w:eastAsia="宋体" w:hAnsi="Arial" w:cs="Arial"/>
                <w:color w:val="000000"/>
                <w:sz w:val="16"/>
                <w:szCs w:val="16"/>
              </w:rPr>
              <w:t>2,712 </w:t>
            </w:r>
          </w:p>
        </w:tc>
        <w:tc>
          <w:tcPr>
            <w:tcW w:w="0" w:type="auto"/>
            <w:shd w:val="clear" w:color="auto" w:fill="FFFFFF"/>
            <w:tcMar>
              <w:top w:w="40" w:type="dxa"/>
              <w:left w:w="0" w:type="dxa"/>
              <w:bottom w:w="40" w:type="dxa"/>
              <w:right w:w="20" w:type="dxa"/>
            </w:tcMar>
            <w:vAlign w:val="bottom"/>
          </w:tcPr>
          <w:p w14:paraId="5F2D5D38" w14:textId="77777777" w:rsidR="00E836FB" w:rsidRDefault="00E836FB">
            <w:pPr>
              <w:jc w:val="right"/>
              <w:rPr>
                <w:rFonts w:ascii="宋体"/>
              </w:rPr>
            </w:pPr>
          </w:p>
        </w:tc>
      </w:tr>
    </w:tbl>
    <w:p w14:paraId="5F2D5D3A"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E836FB" w14:paraId="5F2D5D44" w14:textId="77777777">
        <w:tc>
          <w:tcPr>
            <w:tcW w:w="50" w:type="pct"/>
            <w:shd w:val="clear" w:color="auto" w:fill="auto"/>
            <w:vAlign w:val="bottom"/>
          </w:tcPr>
          <w:p w14:paraId="5F2D5D3B" w14:textId="77777777" w:rsidR="00E836FB" w:rsidRDefault="00E836FB">
            <w:pPr>
              <w:rPr>
                <w:rFonts w:ascii="宋体"/>
              </w:rPr>
            </w:pPr>
          </w:p>
        </w:tc>
        <w:tc>
          <w:tcPr>
            <w:tcW w:w="1348" w:type="pct"/>
            <w:shd w:val="clear" w:color="auto" w:fill="auto"/>
            <w:vAlign w:val="bottom"/>
          </w:tcPr>
          <w:p w14:paraId="5F2D5D3C" w14:textId="77777777" w:rsidR="00E836FB" w:rsidRDefault="00E836FB">
            <w:pPr>
              <w:rPr>
                <w:rFonts w:ascii="宋体"/>
              </w:rPr>
            </w:pPr>
          </w:p>
        </w:tc>
        <w:tc>
          <w:tcPr>
            <w:tcW w:w="5" w:type="pct"/>
            <w:shd w:val="clear" w:color="auto" w:fill="auto"/>
            <w:vAlign w:val="bottom"/>
          </w:tcPr>
          <w:p w14:paraId="5F2D5D3D" w14:textId="77777777" w:rsidR="00E836FB" w:rsidRDefault="00E836FB">
            <w:pPr>
              <w:rPr>
                <w:rFonts w:ascii="宋体"/>
              </w:rPr>
            </w:pPr>
          </w:p>
        </w:tc>
        <w:tc>
          <w:tcPr>
            <w:tcW w:w="50" w:type="pct"/>
            <w:shd w:val="clear" w:color="auto" w:fill="auto"/>
            <w:vAlign w:val="bottom"/>
          </w:tcPr>
          <w:p w14:paraId="5F2D5D3E" w14:textId="77777777" w:rsidR="00E836FB" w:rsidRDefault="00E836FB">
            <w:pPr>
              <w:rPr>
                <w:rFonts w:ascii="宋体"/>
              </w:rPr>
            </w:pPr>
          </w:p>
        </w:tc>
        <w:tc>
          <w:tcPr>
            <w:tcW w:w="2569" w:type="pct"/>
            <w:shd w:val="clear" w:color="auto" w:fill="auto"/>
            <w:vAlign w:val="bottom"/>
          </w:tcPr>
          <w:p w14:paraId="5F2D5D3F" w14:textId="77777777" w:rsidR="00E836FB" w:rsidRDefault="00E836FB">
            <w:pPr>
              <w:rPr>
                <w:rFonts w:ascii="宋体"/>
              </w:rPr>
            </w:pPr>
          </w:p>
        </w:tc>
        <w:tc>
          <w:tcPr>
            <w:tcW w:w="5" w:type="pct"/>
            <w:shd w:val="clear" w:color="auto" w:fill="auto"/>
            <w:vAlign w:val="bottom"/>
          </w:tcPr>
          <w:p w14:paraId="5F2D5D40" w14:textId="77777777" w:rsidR="00E836FB" w:rsidRDefault="00E836FB">
            <w:pPr>
              <w:rPr>
                <w:rFonts w:ascii="宋体"/>
              </w:rPr>
            </w:pPr>
          </w:p>
        </w:tc>
        <w:tc>
          <w:tcPr>
            <w:tcW w:w="50" w:type="pct"/>
            <w:shd w:val="clear" w:color="auto" w:fill="auto"/>
            <w:vAlign w:val="bottom"/>
          </w:tcPr>
          <w:p w14:paraId="5F2D5D41" w14:textId="77777777" w:rsidR="00E836FB" w:rsidRDefault="00E836FB">
            <w:pPr>
              <w:rPr>
                <w:rFonts w:ascii="宋体"/>
              </w:rPr>
            </w:pPr>
          </w:p>
        </w:tc>
        <w:tc>
          <w:tcPr>
            <w:tcW w:w="917" w:type="pct"/>
            <w:shd w:val="clear" w:color="auto" w:fill="auto"/>
            <w:vAlign w:val="bottom"/>
          </w:tcPr>
          <w:p w14:paraId="5F2D5D42" w14:textId="77777777" w:rsidR="00E836FB" w:rsidRDefault="00E836FB">
            <w:pPr>
              <w:rPr>
                <w:rFonts w:ascii="宋体"/>
              </w:rPr>
            </w:pPr>
          </w:p>
        </w:tc>
        <w:tc>
          <w:tcPr>
            <w:tcW w:w="5" w:type="pct"/>
            <w:shd w:val="clear" w:color="auto" w:fill="auto"/>
            <w:vAlign w:val="bottom"/>
          </w:tcPr>
          <w:p w14:paraId="5F2D5D43" w14:textId="77777777" w:rsidR="00E836FB" w:rsidRDefault="00E836FB">
            <w:pPr>
              <w:rPr>
                <w:rFonts w:ascii="宋体"/>
              </w:rPr>
            </w:pPr>
          </w:p>
        </w:tc>
      </w:tr>
      <w:tr w:rsidR="00E836FB" w14:paraId="5F2D5D4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5D4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D4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D47" w14:textId="77777777" w:rsidR="00E836FB" w:rsidRDefault="00E836FB">
            <w:pPr>
              <w:rPr>
                <w:rFonts w:ascii="宋体"/>
              </w:rPr>
            </w:pPr>
          </w:p>
        </w:tc>
      </w:tr>
    </w:tbl>
    <w:p w14:paraId="5F2D5D49"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Geographic mix is generally based on the domicile of the entity servicing the funds and is not necessarily representative of the underlying asset mix.</w:t>
      </w:r>
    </w:p>
    <w:p w14:paraId="5F2D5D4A" w14:textId="77777777" w:rsidR="00E836FB" w:rsidRDefault="00994958">
      <w:pPr>
        <w:spacing w:before="60" w:after="60"/>
        <w:ind w:firstLine="450"/>
        <w:jc w:val="both"/>
      </w:pPr>
      <w:r>
        <w:rPr>
          <w:rFonts w:ascii="Arial" w:eastAsia="宋体" w:hAnsi="Arial" w:cs="Arial"/>
          <w:color w:val="000000"/>
          <w:sz w:val="20"/>
          <w:szCs w:val="20"/>
        </w:rPr>
        <w:t xml:space="preserve">Non-U.S. </w:t>
      </w:r>
      <w:r>
        <w:rPr>
          <w:rFonts w:ascii="Arial" w:eastAsia="宋体" w:hAnsi="Arial" w:cs="Arial"/>
          <w:color w:val="000000"/>
          <w:sz w:val="20"/>
          <w:szCs w:val="20"/>
        </w:rPr>
        <w:t>assets were $102.61 billion and $111.30 billion as of December 31, 2021 and 2020, respectively.</w:t>
      </w:r>
    </w:p>
    <w:p w14:paraId="5F2D5D4B" w14:textId="77777777" w:rsidR="00E836FB" w:rsidRDefault="00994958">
      <w:pPr>
        <w:spacing w:before="180" w:after="60"/>
        <w:jc w:val="both"/>
      </w:pPr>
      <w:r>
        <w:rPr>
          <w:rFonts w:ascii="Arial" w:eastAsia="宋体" w:hAnsi="Arial" w:cs="Arial"/>
          <w:b/>
          <w:bCs/>
          <w:color w:val="000000"/>
          <w:sz w:val="20"/>
          <w:szCs w:val="20"/>
        </w:rPr>
        <w:t>Note 27.     Parent Company Financial Statements</w:t>
      </w:r>
    </w:p>
    <w:p w14:paraId="5F2D5D4C" w14:textId="77777777" w:rsidR="00E836FB" w:rsidRDefault="00994958">
      <w:pPr>
        <w:spacing w:before="100" w:after="60"/>
        <w:ind w:firstLine="450"/>
        <w:jc w:val="both"/>
      </w:pPr>
      <w:r>
        <w:rPr>
          <w:rFonts w:ascii="Arial" w:eastAsia="宋体" w:hAnsi="Arial" w:cs="Arial"/>
          <w:color w:val="000000"/>
          <w:sz w:val="20"/>
          <w:szCs w:val="20"/>
        </w:rPr>
        <w:t>The following tables present the financial statements of the Parent Company without consolidation of its bankin</w:t>
      </w:r>
      <w:r>
        <w:rPr>
          <w:rFonts w:ascii="Arial" w:eastAsia="宋体" w:hAnsi="Arial" w:cs="Arial"/>
          <w:color w:val="000000"/>
          <w:sz w:val="20"/>
          <w:szCs w:val="20"/>
        </w:rPr>
        <w:t>g and non-banking subsidiaries, as of and for the years indicated:</w:t>
      </w:r>
    </w:p>
    <w:p w14:paraId="5F2D5D4D" w14:textId="77777777" w:rsidR="00E836FB" w:rsidRDefault="00994958">
      <w:pPr>
        <w:spacing w:before="90"/>
        <w:jc w:val="both"/>
      </w:pPr>
      <w:r>
        <w:rPr>
          <w:rFonts w:ascii="Arial" w:eastAsia="宋体" w:hAnsi="Arial" w:cs="Arial"/>
          <w:b/>
          <w:bCs/>
          <w:color w:val="000000"/>
          <w:sz w:val="20"/>
          <w:szCs w:val="20"/>
        </w:rPr>
        <w:t>Statement of Income - Parent Company</w:t>
      </w:r>
    </w:p>
    <w:tbl>
      <w:tblPr>
        <w:tblW w:w="5000" w:type="pct"/>
        <w:tblCellMar>
          <w:top w:w="15" w:type="dxa"/>
          <w:left w:w="15" w:type="dxa"/>
          <w:bottom w:w="15" w:type="dxa"/>
          <w:right w:w="15" w:type="dxa"/>
        </w:tblCellMar>
        <w:tblLook w:val="04A0" w:firstRow="1" w:lastRow="0" w:firstColumn="1" w:lastColumn="0" w:noHBand="0" w:noVBand="1"/>
      </w:tblPr>
      <w:tblGrid>
        <w:gridCol w:w="41"/>
        <w:gridCol w:w="4901"/>
        <w:gridCol w:w="40"/>
        <w:gridCol w:w="109"/>
        <w:gridCol w:w="924"/>
        <w:gridCol w:w="36"/>
        <w:gridCol w:w="36"/>
        <w:gridCol w:w="36"/>
        <w:gridCol w:w="36"/>
        <w:gridCol w:w="109"/>
        <w:gridCol w:w="888"/>
        <w:gridCol w:w="36"/>
        <w:gridCol w:w="36"/>
        <w:gridCol w:w="36"/>
        <w:gridCol w:w="36"/>
        <w:gridCol w:w="109"/>
        <w:gridCol w:w="891"/>
        <w:gridCol w:w="36"/>
      </w:tblGrid>
      <w:tr w:rsidR="00E836FB" w14:paraId="5F2D5D60" w14:textId="77777777">
        <w:tc>
          <w:tcPr>
            <w:tcW w:w="50" w:type="pct"/>
            <w:shd w:val="clear" w:color="auto" w:fill="auto"/>
            <w:vAlign w:val="bottom"/>
          </w:tcPr>
          <w:p w14:paraId="5F2D5D4E" w14:textId="77777777" w:rsidR="00E836FB" w:rsidRDefault="00E836FB">
            <w:pPr>
              <w:rPr>
                <w:rFonts w:ascii="宋体"/>
              </w:rPr>
            </w:pPr>
          </w:p>
        </w:tc>
        <w:tc>
          <w:tcPr>
            <w:tcW w:w="2964" w:type="pct"/>
            <w:shd w:val="clear" w:color="auto" w:fill="auto"/>
            <w:vAlign w:val="bottom"/>
          </w:tcPr>
          <w:p w14:paraId="5F2D5D4F" w14:textId="77777777" w:rsidR="00E836FB" w:rsidRDefault="00E836FB">
            <w:pPr>
              <w:rPr>
                <w:rFonts w:ascii="宋体"/>
              </w:rPr>
            </w:pPr>
          </w:p>
        </w:tc>
        <w:tc>
          <w:tcPr>
            <w:tcW w:w="5" w:type="pct"/>
            <w:shd w:val="clear" w:color="auto" w:fill="auto"/>
            <w:vAlign w:val="bottom"/>
          </w:tcPr>
          <w:p w14:paraId="5F2D5D50" w14:textId="77777777" w:rsidR="00E836FB" w:rsidRDefault="00E836FB">
            <w:pPr>
              <w:rPr>
                <w:rFonts w:ascii="宋体"/>
              </w:rPr>
            </w:pPr>
          </w:p>
        </w:tc>
        <w:tc>
          <w:tcPr>
            <w:tcW w:w="50" w:type="pct"/>
            <w:shd w:val="clear" w:color="auto" w:fill="auto"/>
            <w:vAlign w:val="bottom"/>
          </w:tcPr>
          <w:p w14:paraId="5F2D5D51" w14:textId="77777777" w:rsidR="00E836FB" w:rsidRDefault="00E836FB">
            <w:pPr>
              <w:rPr>
                <w:rFonts w:ascii="宋体"/>
              </w:rPr>
            </w:pPr>
          </w:p>
        </w:tc>
        <w:tc>
          <w:tcPr>
            <w:tcW w:w="580" w:type="pct"/>
            <w:shd w:val="clear" w:color="auto" w:fill="auto"/>
            <w:vAlign w:val="bottom"/>
          </w:tcPr>
          <w:p w14:paraId="5F2D5D52" w14:textId="77777777" w:rsidR="00E836FB" w:rsidRDefault="00E836FB">
            <w:pPr>
              <w:rPr>
                <w:rFonts w:ascii="宋体"/>
              </w:rPr>
            </w:pPr>
          </w:p>
        </w:tc>
        <w:tc>
          <w:tcPr>
            <w:tcW w:w="5" w:type="pct"/>
            <w:shd w:val="clear" w:color="auto" w:fill="auto"/>
            <w:vAlign w:val="bottom"/>
          </w:tcPr>
          <w:p w14:paraId="5F2D5D53" w14:textId="77777777" w:rsidR="00E836FB" w:rsidRDefault="00E836FB">
            <w:pPr>
              <w:rPr>
                <w:rFonts w:ascii="宋体"/>
              </w:rPr>
            </w:pPr>
          </w:p>
        </w:tc>
        <w:tc>
          <w:tcPr>
            <w:tcW w:w="5" w:type="pct"/>
            <w:shd w:val="clear" w:color="auto" w:fill="auto"/>
            <w:vAlign w:val="bottom"/>
          </w:tcPr>
          <w:p w14:paraId="5F2D5D54" w14:textId="77777777" w:rsidR="00E836FB" w:rsidRDefault="00E836FB">
            <w:pPr>
              <w:rPr>
                <w:rFonts w:ascii="宋体"/>
              </w:rPr>
            </w:pPr>
          </w:p>
        </w:tc>
        <w:tc>
          <w:tcPr>
            <w:tcW w:w="26" w:type="pct"/>
            <w:shd w:val="clear" w:color="auto" w:fill="auto"/>
            <w:vAlign w:val="bottom"/>
          </w:tcPr>
          <w:p w14:paraId="5F2D5D55" w14:textId="77777777" w:rsidR="00E836FB" w:rsidRDefault="00E836FB">
            <w:pPr>
              <w:rPr>
                <w:rFonts w:ascii="宋体"/>
              </w:rPr>
            </w:pPr>
          </w:p>
        </w:tc>
        <w:tc>
          <w:tcPr>
            <w:tcW w:w="5" w:type="pct"/>
            <w:shd w:val="clear" w:color="auto" w:fill="auto"/>
            <w:vAlign w:val="bottom"/>
          </w:tcPr>
          <w:p w14:paraId="5F2D5D56" w14:textId="77777777" w:rsidR="00E836FB" w:rsidRDefault="00E836FB">
            <w:pPr>
              <w:rPr>
                <w:rFonts w:ascii="宋体"/>
              </w:rPr>
            </w:pPr>
          </w:p>
        </w:tc>
        <w:tc>
          <w:tcPr>
            <w:tcW w:w="50" w:type="pct"/>
            <w:shd w:val="clear" w:color="auto" w:fill="auto"/>
            <w:vAlign w:val="bottom"/>
          </w:tcPr>
          <w:p w14:paraId="5F2D5D57" w14:textId="77777777" w:rsidR="00E836FB" w:rsidRDefault="00E836FB">
            <w:pPr>
              <w:rPr>
                <w:rFonts w:ascii="宋体"/>
              </w:rPr>
            </w:pPr>
          </w:p>
        </w:tc>
        <w:tc>
          <w:tcPr>
            <w:tcW w:w="580" w:type="pct"/>
            <w:shd w:val="clear" w:color="auto" w:fill="auto"/>
            <w:vAlign w:val="bottom"/>
          </w:tcPr>
          <w:p w14:paraId="5F2D5D58" w14:textId="77777777" w:rsidR="00E836FB" w:rsidRDefault="00E836FB">
            <w:pPr>
              <w:rPr>
                <w:rFonts w:ascii="宋体"/>
              </w:rPr>
            </w:pPr>
          </w:p>
        </w:tc>
        <w:tc>
          <w:tcPr>
            <w:tcW w:w="5" w:type="pct"/>
            <w:shd w:val="clear" w:color="auto" w:fill="auto"/>
            <w:vAlign w:val="bottom"/>
          </w:tcPr>
          <w:p w14:paraId="5F2D5D59" w14:textId="77777777" w:rsidR="00E836FB" w:rsidRDefault="00E836FB">
            <w:pPr>
              <w:rPr>
                <w:rFonts w:ascii="宋体"/>
              </w:rPr>
            </w:pPr>
          </w:p>
        </w:tc>
        <w:tc>
          <w:tcPr>
            <w:tcW w:w="5" w:type="pct"/>
            <w:shd w:val="clear" w:color="auto" w:fill="auto"/>
            <w:vAlign w:val="bottom"/>
          </w:tcPr>
          <w:p w14:paraId="5F2D5D5A" w14:textId="77777777" w:rsidR="00E836FB" w:rsidRDefault="00E836FB">
            <w:pPr>
              <w:rPr>
                <w:rFonts w:ascii="宋体"/>
              </w:rPr>
            </w:pPr>
          </w:p>
        </w:tc>
        <w:tc>
          <w:tcPr>
            <w:tcW w:w="26" w:type="pct"/>
            <w:shd w:val="clear" w:color="auto" w:fill="auto"/>
            <w:vAlign w:val="bottom"/>
          </w:tcPr>
          <w:p w14:paraId="5F2D5D5B" w14:textId="77777777" w:rsidR="00E836FB" w:rsidRDefault="00E836FB">
            <w:pPr>
              <w:rPr>
                <w:rFonts w:ascii="宋体"/>
              </w:rPr>
            </w:pPr>
          </w:p>
        </w:tc>
        <w:tc>
          <w:tcPr>
            <w:tcW w:w="5" w:type="pct"/>
            <w:shd w:val="clear" w:color="auto" w:fill="auto"/>
            <w:vAlign w:val="bottom"/>
          </w:tcPr>
          <w:p w14:paraId="5F2D5D5C" w14:textId="77777777" w:rsidR="00E836FB" w:rsidRDefault="00E836FB">
            <w:pPr>
              <w:rPr>
                <w:rFonts w:ascii="宋体"/>
              </w:rPr>
            </w:pPr>
          </w:p>
        </w:tc>
        <w:tc>
          <w:tcPr>
            <w:tcW w:w="50" w:type="pct"/>
            <w:shd w:val="clear" w:color="auto" w:fill="auto"/>
            <w:vAlign w:val="bottom"/>
          </w:tcPr>
          <w:p w14:paraId="5F2D5D5D" w14:textId="77777777" w:rsidR="00E836FB" w:rsidRDefault="00E836FB">
            <w:pPr>
              <w:rPr>
                <w:rFonts w:ascii="宋体"/>
              </w:rPr>
            </w:pPr>
          </w:p>
        </w:tc>
        <w:tc>
          <w:tcPr>
            <w:tcW w:w="581" w:type="pct"/>
            <w:shd w:val="clear" w:color="auto" w:fill="auto"/>
            <w:vAlign w:val="bottom"/>
          </w:tcPr>
          <w:p w14:paraId="5F2D5D5E" w14:textId="77777777" w:rsidR="00E836FB" w:rsidRDefault="00E836FB">
            <w:pPr>
              <w:rPr>
                <w:rFonts w:ascii="宋体"/>
              </w:rPr>
            </w:pPr>
          </w:p>
        </w:tc>
        <w:tc>
          <w:tcPr>
            <w:tcW w:w="5" w:type="pct"/>
            <w:shd w:val="clear" w:color="auto" w:fill="auto"/>
            <w:vAlign w:val="bottom"/>
          </w:tcPr>
          <w:p w14:paraId="5F2D5D5F" w14:textId="77777777" w:rsidR="00E836FB" w:rsidRDefault="00E836FB">
            <w:pPr>
              <w:rPr>
                <w:rFonts w:ascii="宋体"/>
              </w:rPr>
            </w:pPr>
          </w:p>
        </w:tc>
      </w:tr>
      <w:tr w:rsidR="00E836FB" w14:paraId="5F2D5D63" w14:textId="77777777">
        <w:tc>
          <w:tcPr>
            <w:tcW w:w="0" w:type="auto"/>
            <w:gridSpan w:val="3"/>
            <w:shd w:val="clear" w:color="auto" w:fill="auto"/>
            <w:tcMar>
              <w:top w:w="0" w:type="dxa"/>
              <w:left w:w="20" w:type="dxa"/>
              <w:bottom w:w="0" w:type="dxa"/>
              <w:right w:w="20" w:type="dxa"/>
            </w:tcMar>
            <w:vAlign w:val="bottom"/>
          </w:tcPr>
          <w:p w14:paraId="5F2D5D61"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5D62" w14:textId="77777777" w:rsidR="00E836FB" w:rsidRDefault="00994958">
            <w:pPr>
              <w:jc w:val="center"/>
              <w:textAlignment w:val="bottom"/>
            </w:pPr>
            <w:r>
              <w:rPr>
                <w:rFonts w:ascii="Arial" w:eastAsia="宋体" w:hAnsi="Arial" w:cs="Arial"/>
                <w:b/>
                <w:bCs/>
                <w:color w:val="000000"/>
                <w:sz w:val="16"/>
                <w:szCs w:val="16"/>
              </w:rPr>
              <w:t>Years Ended December 31,</w:t>
            </w:r>
          </w:p>
        </w:tc>
      </w:tr>
      <w:tr w:rsidR="00E836FB" w14:paraId="5F2D5D6A" w14:textId="77777777">
        <w:tc>
          <w:tcPr>
            <w:tcW w:w="0" w:type="auto"/>
            <w:gridSpan w:val="3"/>
            <w:shd w:val="clear" w:color="auto" w:fill="auto"/>
            <w:tcMar>
              <w:top w:w="40" w:type="dxa"/>
              <w:left w:w="20" w:type="dxa"/>
              <w:bottom w:w="40" w:type="dxa"/>
              <w:right w:w="20" w:type="dxa"/>
            </w:tcMar>
            <w:vAlign w:val="bottom"/>
          </w:tcPr>
          <w:p w14:paraId="5F2D5D64" w14:textId="77777777" w:rsidR="00E836FB" w:rsidRDefault="00994958">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D65"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D6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D67"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D6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D69" w14:textId="77777777" w:rsidR="00E836FB" w:rsidRDefault="00994958">
            <w:pPr>
              <w:jc w:val="center"/>
              <w:textAlignment w:val="bottom"/>
            </w:pPr>
            <w:r>
              <w:rPr>
                <w:rFonts w:ascii="Arial" w:eastAsia="宋体" w:hAnsi="Arial" w:cs="Arial"/>
                <w:b/>
                <w:bCs/>
                <w:color w:val="000000"/>
                <w:sz w:val="16"/>
                <w:szCs w:val="16"/>
              </w:rPr>
              <w:t>2019</w:t>
            </w:r>
          </w:p>
        </w:tc>
      </w:tr>
      <w:tr w:rsidR="00E836FB" w14:paraId="5F2D5D77" w14:textId="77777777">
        <w:tc>
          <w:tcPr>
            <w:tcW w:w="0" w:type="auto"/>
            <w:gridSpan w:val="3"/>
            <w:shd w:val="clear" w:color="auto" w:fill="CCEEFF"/>
            <w:tcMar>
              <w:top w:w="40" w:type="dxa"/>
              <w:left w:w="20" w:type="dxa"/>
              <w:bottom w:w="40" w:type="dxa"/>
              <w:right w:w="20" w:type="dxa"/>
            </w:tcMar>
            <w:vAlign w:val="bottom"/>
          </w:tcPr>
          <w:p w14:paraId="5F2D5D6B" w14:textId="77777777" w:rsidR="00E836FB" w:rsidRDefault="00994958">
            <w:pPr>
              <w:textAlignment w:val="bottom"/>
            </w:pPr>
            <w:r>
              <w:rPr>
                <w:rFonts w:ascii="Arial" w:eastAsia="宋体" w:hAnsi="Arial" w:cs="Arial"/>
                <w:color w:val="000000"/>
                <w:sz w:val="16"/>
                <w:szCs w:val="16"/>
              </w:rPr>
              <w:t>Cash dividends from consolidated banking subsidiary</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D6C"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6D"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6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70"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71" w14:textId="77777777" w:rsidR="00E836FB" w:rsidRDefault="00994958">
            <w:pPr>
              <w:jc w:val="right"/>
              <w:textAlignment w:val="bottom"/>
            </w:pPr>
            <w:r>
              <w:rPr>
                <w:rFonts w:ascii="Arial" w:eastAsia="宋体" w:hAnsi="Arial" w:cs="Arial"/>
                <w:color w:val="000000"/>
                <w:sz w:val="16"/>
                <w:szCs w:val="16"/>
              </w:rPr>
              <w:t>2,721 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7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73"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D74"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D75" w14:textId="77777777" w:rsidR="00E836FB" w:rsidRDefault="00994958">
            <w:pPr>
              <w:jc w:val="right"/>
              <w:textAlignment w:val="bottom"/>
            </w:pPr>
            <w:r>
              <w:rPr>
                <w:rFonts w:ascii="Arial" w:eastAsia="宋体" w:hAnsi="Arial" w:cs="Arial"/>
                <w:color w:val="000000"/>
                <w:sz w:val="16"/>
                <w:szCs w:val="16"/>
              </w:rPr>
              <w:t>3,300 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76" w14:textId="77777777" w:rsidR="00E836FB" w:rsidRDefault="00E836FB">
            <w:pPr>
              <w:jc w:val="right"/>
              <w:rPr>
                <w:rFonts w:ascii="宋体"/>
              </w:rPr>
            </w:pPr>
          </w:p>
        </w:tc>
      </w:tr>
      <w:tr w:rsidR="00E836FB" w14:paraId="5F2D5D81" w14:textId="77777777">
        <w:tc>
          <w:tcPr>
            <w:tcW w:w="0" w:type="auto"/>
            <w:gridSpan w:val="3"/>
            <w:shd w:val="clear" w:color="auto" w:fill="FFFFFF"/>
            <w:tcMar>
              <w:top w:w="40" w:type="dxa"/>
              <w:left w:w="20" w:type="dxa"/>
              <w:bottom w:w="40" w:type="dxa"/>
              <w:right w:w="20" w:type="dxa"/>
            </w:tcMar>
            <w:vAlign w:val="bottom"/>
          </w:tcPr>
          <w:p w14:paraId="5F2D5D78" w14:textId="77777777" w:rsidR="00E836FB" w:rsidRDefault="00994958">
            <w:pPr>
              <w:textAlignment w:val="bottom"/>
            </w:pPr>
            <w:r>
              <w:rPr>
                <w:rFonts w:ascii="Arial" w:eastAsia="宋体" w:hAnsi="Arial" w:cs="Arial"/>
                <w:color w:val="000000"/>
                <w:sz w:val="16"/>
                <w:szCs w:val="16"/>
              </w:rPr>
              <w:t>Cash dividends from consolidated non-banking subsidiaries and unconsolidated entities</w:t>
            </w:r>
          </w:p>
        </w:tc>
        <w:tc>
          <w:tcPr>
            <w:tcW w:w="0" w:type="auto"/>
            <w:gridSpan w:val="2"/>
            <w:shd w:val="clear" w:color="auto" w:fill="FFFFFF"/>
            <w:tcMar>
              <w:top w:w="40" w:type="dxa"/>
              <w:left w:w="20" w:type="dxa"/>
              <w:bottom w:w="40" w:type="dxa"/>
              <w:right w:w="0" w:type="dxa"/>
            </w:tcMar>
            <w:vAlign w:val="bottom"/>
          </w:tcPr>
          <w:p w14:paraId="5F2D5D79" w14:textId="77777777" w:rsidR="00E836FB" w:rsidRDefault="00994958">
            <w:pPr>
              <w:jc w:val="right"/>
              <w:textAlignment w:val="bottom"/>
            </w:pPr>
            <w:r>
              <w:rPr>
                <w:rFonts w:ascii="Arial" w:eastAsia="宋体" w:hAnsi="Arial" w:cs="Arial"/>
                <w:b/>
                <w:bCs/>
                <w:color w:val="000000"/>
                <w:sz w:val="16"/>
                <w:szCs w:val="16"/>
              </w:rPr>
              <w:t>170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D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7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7C" w14:textId="77777777" w:rsidR="00E836FB" w:rsidRDefault="00994958">
            <w:pPr>
              <w:jc w:val="right"/>
              <w:textAlignment w:val="bottom"/>
            </w:pPr>
            <w:r>
              <w:rPr>
                <w:rFonts w:ascii="Arial" w:eastAsia="宋体" w:hAnsi="Arial" w:cs="Arial"/>
                <w:color w:val="000000"/>
                <w:sz w:val="16"/>
                <w:szCs w:val="16"/>
              </w:rPr>
              <w:t>118 </w:t>
            </w:r>
          </w:p>
        </w:tc>
        <w:tc>
          <w:tcPr>
            <w:tcW w:w="0" w:type="auto"/>
            <w:shd w:val="clear" w:color="auto" w:fill="FFFFFF"/>
            <w:tcMar>
              <w:top w:w="40" w:type="dxa"/>
              <w:left w:w="0" w:type="dxa"/>
              <w:bottom w:w="40" w:type="dxa"/>
              <w:right w:w="20" w:type="dxa"/>
            </w:tcMar>
            <w:vAlign w:val="bottom"/>
          </w:tcPr>
          <w:p w14:paraId="5F2D5D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7F" w14:textId="77777777" w:rsidR="00E836FB" w:rsidRDefault="00994958">
            <w:pPr>
              <w:jc w:val="right"/>
              <w:textAlignment w:val="bottom"/>
            </w:pPr>
            <w:r>
              <w:rPr>
                <w:rFonts w:ascii="Arial" w:eastAsia="宋体" w:hAnsi="Arial" w:cs="Arial"/>
                <w:color w:val="000000"/>
                <w:sz w:val="16"/>
                <w:szCs w:val="16"/>
              </w:rPr>
              <w:t>285 </w:t>
            </w:r>
          </w:p>
        </w:tc>
        <w:tc>
          <w:tcPr>
            <w:tcW w:w="0" w:type="auto"/>
            <w:shd w:val="clear" w:color="auto" w:fill="FFFFFF"/>
            <w:tcMar>
              <w:top w:w="40" w:type="dxa"/>
              <w:left w:w="0" w:type="dxa"/>
              <w:bottom w:w="40" w:type="dxa"/>
              <w:right w:w="20" w:type="dxa"/>
            </w:tcMar>
            <w:vAlign w:val="bottom"/>
          </w:tcPr>
          <w:p w14:paraId="5F2D5D80" w14:textId="77777777" w:rsidR="00E836FB" w:rsidRDefault="00E836FB">
            <w:pPr>
              <w:jc w:val="right"/>
              <w:rPr>
                <w:rFonts w:ascii="宋体"/>
              </w:rPr>
            </w:pPr>
          </w:p>
        </w:tc>
      </w:tr>
      <w:tr w:rsidR="00E836FB" w14:paraId="5F2D5D8B" w14:textId="77777777">
        <w:tc>
          <w:tcPr>
            <w:tcW w:w="0" w:type="auto"/>
            <w:gridSpan w:val="3"/>
            <w:shd w:val="clear" w:color="auto" w:fill="CCEEFF"/>
            <w:tcMar>
              <w:top w:w="40" w:type="dxa"/>
              <w:left w:w="20" w:type="dxa"/>
              <w:bottom w:w="40" w:type="dxa"/>
              <w:right w:w="20" w:type="dxa"/>
            </w:tcMar>
            <w:vAlign w:val="bottom"/>
          </w:tcPr>
          <w:p w14:paraId="5F2D5D82" w14:textId="77777777" w:rsidR="00E836FB" w:rsidRDefault="00994958">
            <w:pPr>
              <w:textAlignment w:val="bottom"/>
            </w:pPr>
            <w:r>
              <w:rPr>
                <w:rFonts w:ascii="Arial" w:eastAsia="宋体" w:hAnsi="Arial" w:cs="Arial"/>
                <w:color w:val="000000"/>
                <w:sz w:val="16"/>
                <w:szCs w:val="16"/>
              </w:rPr>
              <w:t>Other, net</w:t>
            </w:r>
          </w:p>
        </w:tc>
        <w:tc>
          <w:tcPr>
            <w:tcW w:w="0" w:type="auto"/>
            <w:gridSpan w:val="2"/>
            <w:shd w:val="clear" w:color="auto" w:fill="CCEEFF"/>
            <w:tcMar>
              <w:top w:w="40" w:type="dxa"/>
              <w:left w:w="20" w:type="dxa"/>
              <w:bottom w:w="40" w:type="dxa"/>
              <w:right w:w="0" w:type="dxa"/>
            </w:tcMar>
            <w:vAlign w:val="bottom"/>
          </w:tcPr>
          <w:p w14:paraId="5F2D5D83" w14:textId="77777777" w:rsidR="00E836FB" w:rsidRDefault="00994958">
            <w:pPr>
              <w:jc w:val="right"/>
              <w:textAlignment w:val="bottom"/>
            </w:pPr>
            <w:r>
              <w:rPr>
                <w:rFonts w:ascii="Arial" w:eastAsia="宋体" w:hAnsi="Arial" w:cs="Arial"/>
                <w:b/>
                <w:bCs/>
                <w:color w:val="000000"/>
                <w:sz w:val="16"/>
                <w:szCs w:val="16"/>
              </w:rPr>
              <w:t>49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D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8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D86" w14:textId="77777777" w:rsidR="00E836FB" w:rsidRDefault="00994958">
            <w:pPr>
              <w:jc w:val="right"/>
              <w:textAlignment w:val="bottom"/>
            </w:pPr>
            <w:r>
              <w:rPr>
                <w:rFonts w:ascii="Arial" w:eastAsia="宋体" w:hAnsi="Arial" w:cs="Arial"/>
                <w:color w:val="000000"/>
                <w:sz w:val="16"/>
                <w:szCs w:val="16"/>
              </w:rPr>
              <w:t>92 </w:t>
            </w:r>
          </w:p>
        </w:tc>
        <w:tc>
          <w:tcPr>
            <w:tcW w:w="0" w:type="auto"/>
            <w:shd w:val="clear" w:color="auto" w:fill="CCEEFF"/>
            <w:tcMar>
              <w:top w:w="40" w:type="dxa"/>
              <w:left w:w="0" w:type="dxa"/>
              <w:bottom w:w="40" w:type="dxa"/>
              <w:right w:w="20" w:type="dxa"/>
            </w:tcMar>
            <w:vAlign w:val="bottom"/>
          </w:tcPr>
          <w:p w14:paraId="5F2D5D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8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D89" w14:textId="77777777" w:rsidR="00E836FB" w:rsidRDefault="00994958">
            <w:pPr>
              <w:jc w:val="right"/>
              <w:textAlignment w:val="bottom"/>
            </w:pPr>
            <w:r>
              <w:rPr>
                <w:rFonts w:ascii="Arial" w:eastAsia="宋体" w:hAnsi="Arial" w:cs="Arial"/>
                <w:color w:val="000000"/>
                <w:sz w:val="16"/>
                <w:szCs w:val="16"/>
              </w:rPr>
              <w:t>149 </w:t>
            </w:r>
          </w:p>
        </w:tc>
        <w:tc>
          <w:tcPr>
            <w:tcW w:w="0" w:type="auto"/>
            <w:shd w:val="clear" w:color="auto" w:fill="CCEEFF"/>
            <w:tcMar>
              <w:top w:w="40" w:type="dxa"/>
              <w:left w:w="0" w:type="dxa"/>
              <w:bottom w:w="40" w:type="dxa"/>
              <w:right w:w="20" w:type="dxa"/>
            </w:tcMar>
            <w:vAlign w:val="bottom"/>
          </w:tcPr>
          <w:p w14:paraId="5F2D5D8A" w14:textId="77777777" w:rsidR="00E836FB" w:rsidRDefault="00E836FB">
            <w:pPr>
              <w:jc w:val="right"/>
              <w:rPr>
                <w:rFonts w:ascii="宋体"/>
              </w:rPr>
            </w:pPr>
          </w:p>
        </w:tc>
      </w:tr>
      <w:tr w:rsidR="00E836FB" w14:paraId="5F2D5D95" w14:textId="77777777">
        <w:tc>
          <w:tcPr>
            <w:tcW w:w="0" w:type="auto"/>
            <w:gridSpan w:val="3"/>
            <w:shd w:val="clear" w:color="auto" w:fill="FFFFFF"/>
            <w:tcMar>
              <w:top w:w="40" w:type="dxa"/>
              <w:left w:w="20" w:type="dxa"/>
              <w:bottom w:w="40" w:type="dxa"/>
              <w:right w:w="20" w:type="dxa"/>
            </w:tcMar>
            <w:vAlign w:val="bottom"/>
          </w:tcPr>
          <w:p w14:paraId="5F2D5D8C" w14:textId="77777777" w:rsidR="00E836FB" w:rsidRDefault="00994958">
            <w:pPr>
              <w:textAlignment w:val="bottom"/>
            </w:pPr>
            <w:r>
              <w:rPr>
                <w:rFonts w:ascii="Arial" w:eastAsia="宋体" w:hAnsi="Arial" w:cs="Arial"/>
                <w:color w:val="000000"/>
                <w:sz w:val="16"/>
                <w:szCs w:val="16"/>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D8D" w14:textId="77777777" w:rsidR="00E836FB" w:rsidRDefault="00994958">
            <w:pPr>
              <w:jc w:val="right"/>
              <w:textAlignment w:val="bottom"/>
            </w:pPr>
            <w:r>
              <w:rPr>
                <w:rFonts w:ascii="Arial" w:eastAsia="宋体" w:hAnsi="Arial" w:cs="Arial"/>
                <w:b/>
                <w:bCs/>
                <w:color w:val="000000"/>
                <w:sz w:val="16"/>
                <w:szCs w:val="16"/>
              </w:rPr>
              <w:t>219</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D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8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D90" w14:textId="77777777" w:rsidR="00E836FB" w:rsidRDefault="00994958">
            <w:pPr>
              <w:jc w:val="right"/>
              <w:textAlignment w:val="bottom"/>
            </w:pPr>
            <w:r>
              <w:rPr>
                <w:rFonts w:ascii="Arial" w:eastAsia="宋体" w:hAnsi="Arial" w:cs="Arial"/>
                <w:color w:val="000000"/>
                <w:sz w:val="16"/>
                <w:szCs w:val="16"/>
              </w:rPr>
              <w:t>2,931 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D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9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D93" w14:textId="77777777" w:rsidR="00E836FB" w:rsidRDefault="00994958">
            <w:pPr>
              <w:jc w:val="right"/>
              <w:textAlignment w:val="bottom"/>
            </w:pPr>
            <w:r>
              <w:rPr>
                <w:rFonts w:ascii="Arial" w:eastAsia="宋体" w:hAnsi="Arial" w:cs="Arial"/>
                <w:color w:val="000000"/>
                <w:sz w:val="16"/>
                <w:szCs w:val="16"/>
              </w:rPr>
              <w:t>3,734 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D94" w14:textId="77777777" w:rsidR="00E836FB" w:rsidRDefault="00E836FB">
            <w:pPr>
              <w:jc w:val="right"/>
              <w:rPr>
                <w:rFonts w:ascii="宋体"/>
              </w:rPr>
            </w:pPr>
          </w:p>
        </w:tc>
      </w:tr>
      <w:tr w:rsidR="00E836FB" w14:paraId="5F2D5D9F" w14:textId="77777777">
        <w:tc>
          <w:tcPr>
            <w:tcW w:w="0" w:type="auto"/>
            <w:gridSpan w:val="3"/>
            <w:shd w:val="clear" w:color="auto" w:fill="CCEEFF"/>
            <w:tcMar>
              <w:top w:w="40" w:type="dxa"/>
              <w:left w:w="20" w:type="dxa"/>
              <w:bottom w:w="40" w:type="dxa"/>
              <w:right w:w="20" w:type="dxa"/>
            </w:tcMar>
            <w:vAlign w:val="bottom"/>
          </w:tcPr>
          <w:p w14:paraId="5F2D5D96" w14:textId="77777777" w:rsidR="00E836FB" w:rsidRDefault="00994958">
            <w:pPr>
              <w:textAlignment w:val="bottom"/>
            </w:pPr>
            <w:r>
              <w:rPr>
                <w:rFonts w:ascii="Arial" w:eastAsia="宋体" w:hAnsi="Arial" w:cs="Arial"/>
                <w:color w:val="000000"/>
                <w:sz w:val="16"/>
                <w:szCs w:val="16"/>
              </w:rPr>
              <w:t>Interest expense</w:t>
            </w:r>
          </w:p>
        </w:tc>
        <w:tc>
          <w:tcPr>
            <w:tcW w:w="0" w:type="auto"/>
            <w:gridSpan w:val="2"/>
            <w:shd w:val="clear" w:color="auto" w:fill="CCEEFF"/>
            <w:tcMar>
              <w:top w:w="40" w:type="dxa"/>
              <w:left w:w="20" w:type="dxa"/>
              <w:bottom w:w="40" w:type="dxa"/>
              <w:right w:w="0" w:type="dxa"/>
            </w:tcMar>
            <w:vAlign w:val="bottom"/>
          </w:tcPr>
          <w:p w14:paraId="5F2D5D97" w14:textId="77777777" w:rsidR="00E836FB" w:rsidRDefault="00994958">
            <w:pPr>
              <w:jc w:val="right"/>
              <w:textAlignment w:val="bottom"/>
            </w:pPr>
            <w:r>
              <w:rPr>
                <w:rFonts w:ascii="Arial" w:eastAsia="宋体" w:hAnsi="Arial" w:cs="Arial"/>
                <w:b/>
                <w:bCs/>
                <w:color w:val="000000"/>
                <w:sz w:val="16"/>
                <w:szCs w:val="16"/>
              </w:rPr>
              <w:t>239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D9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9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D9A" w14:textId="77777777" w:rsidR="00E836FB" w:rsidRDefault="00994958">
            <w:pPr>
              <w:jc w:val="right"/>
              <w:textAlignment w:val="bottom"/>
            </w:pPr>
            <w:r>
              <w:rPr>
                <w:rFonts w:ascii="Arial" w:eastAsia="宋体" w:hAnsi="Arial" w:cs="Arial"/>
                <w:color w:val="000000"/>
                <w:sz w:val="16"/>
                <w:szCs w:val="16"/>
              </w:rPr>
              <w:t>324 </w:t>
            </w:r>
          </w:p>
        </w:tc>
        <w:tc>
          <w:tcPr>
            <w:tcW w:w="0" w:type="auto"/>
            <w:shd w:val="clear" w:color="auto" w:fill="CCEEFF"/>
            <w:tcMar>
              <w:top w:w="40" w:type="dxa"/>
              <w:left w:w="0" w:type="dxa"/>
              <w:bottom w:w="40" w:type="dxa"/>
              <w:right w:w="20" w:type="dxa"/>
            </w:tcMar>
            <w:vAlign w:val="bottom"/>
          </w:tcPr>
          <w:p w14:paraId="5F2D5D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9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D9D" w14:textId="77777777" w:rsidR="00E836FB" w:rsidRDefault="00994958">
            <w:pPr>
              <w:jc w:val="right"/>
              <w:textAlignment w:val="bottom"/>
            </w:pPr>
            <w:r>
              <w:rPr>
                <w:rFonts w:ascii="Arial" w:eastAsia="宋体" w:hAnsi="Arial" w:cs="Arial"/>
                <w:color w:val="000000"/>
                <w:sz w:val="16"/>
                <w:szCs w:val="16"/>
              </w:rPr>
              <w:t>415 </w:t>
            </w:r>
          </w:p>
        </w:tc>
        <w:tc>
          <w:tcPr>
            <w:tcW w:w="0" w:type="auto"/>
            <w:shd w:val="clear" w:color="auto" w:fill="CCEEFF"/>
            <w:tcMar>
              <w:top w:w="40" w:type="dxa"/>
              <w:left w:w="0" w:type="dxa"/>
              <w:bottom w:w="40" w:type="dxa"/>
              <w:right w:w="20" w:type="dxa"/>
            </w:tcMar>
            <w:vAlign w:val="bottom"/>
          </w:tcPr>
          <w:p w14:paraId="5F2D5D9E" w14:textId="77777777" w:rsidR="00E836FB" w:rsidRDefault="00E836FB">
            <w:pPr>
              <w:jc w:val="right"/>
              <w:rPr>
                <w:rFonts w:ascii="宋体"/>
              </w:rPr>
            </w:pPr>
          </w:p>
        </w:tc>
      </w:tr>
      <w:tr w:rsidR="00E836FB" w14:paraId="5F2D5DA9" w14:textId="77777777">
        <w:tc>
          <w:tcPr>
            <w:tcW w:w="0" w:type="auto"/>
            <w:gridSpan w:val="3"/>
            <w:shd w:val="clear" w:color="auto" w:fill="FFFFFF"/>
            <w:tcMar>
              <w:top w:w="40" w:type="dxa"/>
              <w:left w:w="20" w:type="dxa"/>
              <w:bottom w:w="40" w:type="dxa"/>
              <w:right w:w="20" w:type="dxa"/>
            </w:tcMar>
            <w:vAlign w:val="bottom"/>
          </w:tcPr>
          <w:p w14:paraId="5F2D5DA0" w14:textId="77777777" w:rsidR="00E836FB" w:rsidRDefault="00994958">
            <w:pPr>
              <w:textAlignment w:val="bottom"/>
            </w:pPr>
            <w:r>
              <w:rPr>
                <w:rFonts w:ascii="Arial" w:eastAsia="宋体" w:hAnsi="Arial" w:cs="Arial"/>
                <w:color w:val="000000"/>
                <w:sz w:val="16"/>
                <w:szCs w:val="16"/>
              </w:rPr>
              <w:t>Other expenses</w:t>
            </w:r>
          </w:p>
        </w:tc>
        <w:tc>
          <w:tcPr>
            <w:tcW w:w="0" w:type="auto"/>
            <w:gridSpan w:val="2"/>
            <w:shd w:val="clear" w:color="auto" w:fill="FFFFFF"/>
            <w:tcMar>
              <w:top w:w="40" w:type="dxa"/>
              <w:left w:w="20" w:type="dxa"/>
              <w:bottom w:w="40" w:type="dxa"/>
              <w:right w:w="0" w:type="dxa"/>
            </w:tcMar>
            <w:vAlign w:val="bottom"/>
          </w:tcPr>
          <w:p w14:paraId="5F2D5DA1" w14:textId="77777777" w:rsidR="00E836FB" w:rsidRDefault="00994958">
            <w:pPr>
              <w:jc w:val="right"/>
              <w:textAlignment w:val="bottom"/>
            </w:pPr>
            <w:r>
              <w:rPr>
                <w:rFonts w:ascii="Arial" w:eastAsia="宋体" w:hAnsi="Arial" w:cs="Arial"/>
                <w:b/>
                <w:bCs/>
                <w:color w:val="000000"/>
                <w:sz w:val="16"/>
                <w:szCs w:val="16"/>
              </w:rPr>
              <w:t>315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D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A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A4" w14:textId="77777777" w:rsidR="00E836FB" w:rsidRDefault="00994958">
            <w:pPr>
              <w:jc w:val="right"/>
              <w:textAlignment w:val="bottom"/>
            </w:pPr>
            <w:r>
              <w:rPr>
                <w:rFonts w:ascii="Arial" w:eastAsia="宋体" w:hAnsi="Arial" w:cs="Arial"/>
                <w:color w:val="000000"/>
                <w:sz w:val="16"/>
                <w:szCs w:val="16"/>
              </w:rPr>
              <w:t>172 </w:t>
            </w:r>
          </w:p>
        </w:tc>
        <w:tc>
          <w:tcPr>
            <w:tcW w:w="0" w:type="auto"/>
            <w:shd w:val="clear" w:color="auto" w:fill="FFFFFF"/>
            <w:tcMar>
              <w:top w:w="40" w:type="dxa"/>
              <w:left w:w="0" w:type="dxa"/>
              <w:bottom w:w="40" w:type="dxa"/>
              <w:right w:w="20" w:type="dxa"/>
            </w:tcMar>
            <w:vAlign w:val="bottom"/>
          </w:tcPr>
          <w:p w14:paraId="5F2D5DA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A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A7" w14:textId="77777777" w:rsidR="00E836FB" w:rsidRDefault="00994958">
            <w:pPr>
              <w:jc w:val="right"/>
              <w:textAlignment w:val="bottom"/>
            </w:pPr>
            <w:r>
              <w:rPr>
                <w:rFonts w:ascii="Arial" w:eastAsia="宋体" w:hAnsi="Arial" w:cs="Arial"/>
                <w:color w:val="000000"/>
                <w:sz w:val="16"/>
                <w:szCs w:val="16"/>
              </w:rPr>
              <w:t>108 </w:t>
            </w:r>
          </w:p>
        </w:tc>
        <w:tc>
          <w:tcPr>
            <w:tcW w:w="0" w:type="auto"/>
            <w:shd w:val="clear" w:color="auto" w:fill="FFFFFF"/>
            <w:tcMar>
              <w:top w:w="40" w:type="dxa"/>
              <w:left w:w="0" w:type="dxa"/>
              <w:bottom w:w="40" w:type="dxa"/>
              <w:right w:w="20" w:type="dxa"/>
            </w:tcMar>
            <w:vAlign w:val="bottom"/>
          </w:tcPr>
          <w:p w14:paraId="5F2D5DA8" w14:textId="77777777" w:rsidR="00E836FB" w:rsidRDefault="00E836FB">
            <w:pPr>
              <w:jc w:val="right"/>
              <w:rPr>
                <w:rFonts w:ascii="宋体"/>
              </w:rPr>
            </w:pPr>
          </w:p>
        </w:tc>
      </w:tr>
      <w:tr w:rsidR="00E836FB" w14:paraId="5F2D5DB3" w14:textId="77777777">
        <w:tc>
          <w:tcPr>
            <w:tcW w:w="0" w:type="auto"/>
            <w:gridSpan w:val="3"/>
            <w:shd w:val="clear" w:color="auto" w:fill="CCEEFF"/>
            <w:tcMar>
              <w:top w:w="40" w:type="dxa"/>
              <w:left w:w="20" w:type="dxa"/>
              <w:bottom w:w="40" w:type="dxa"/>
              <w:right w:w="20" w:type="dxa"/>
            </w:tcMar>
            <w:vAlign w:val="bottom"/>
          </w:tcPr>
          <w:p w14:paraId="5F2D5DAA" w14:textId="77777777" w:rsidR="00E836FB" w:rsidRDefault="00994958">
            <w:pPr>
              <w:textAlignment w:val="bottom"/>
            </w:pPr>
            <w:r>
              <w:rPr>
                <w:rFonts w:ascii="Arial" w:eastAsia="宋体" w:hAnsi="Arial" w:cs="Arial"/>
                <w:color w:val="000000"/>
                <w:sz w:val="16"/>
                <w:szCs w:val="16"/>
              </w:rPr>
              <w:t>Total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DAB" w14:textId="77777777" w:rsidR="00E836FB" w:rsidRDefault="00994958">
            <w:pPr>
              <w:jc w:val="right"/>
              <w:textAlignment w:val="bottom"/>
            </w:pPr>
            <w:r>
              <w:rPr>
                <w:rFonts w:ascii="Arial" w:eastAsia="宋体" w:hAnsi="Arial" w:cs="Arial"/>
                <w:b/>
                <w:bCs/>
                <w:color w:val="000000"/>
                <w:sz w:val="16"/>
                <w:szCs w:val="16"/>
              </w:rPr>
              <w:t>554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AD"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DAE" w14:textId="77777777" w:rsidR="00E836FB" w:rsidRDefault="00994958">
            <w:pPr>
              <w:jc w:val="right"/>
              <w:textAlignment w:val="bottom"/>
            </w:pPr>
            <w:r>
              <w:rPr>
                <w:rFonts w:ascii="Arial" w:eastAsia="宋体" w:hAnsi="Arial" w:cs="Arial"/>
                <w:color w:val="000000"/>
                <w:sz w:val="16"/>
                <w:szCs w:val="16"/>
              </w:rPr>
              <w:t>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A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B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DB1" w14:textId="77777777" w:rsidR="00E836FB" w:rsidRDefault="00994958">
            <w:pPr>
              <w:jc w:val="right"/>
              <w:textAlignment w:val="bottom"/>
            </w:pPr>
            <w:r>
              <w:rPr>
                <w:rFonts w:ascii="Arial" w:eastAsia="宋体" w:hAnsi="Arial" w:cs="Arial"/>
                <w:color w:val="000000"/>
                <w:sz w:val="16"/>
                <w:szCs w:val="16"/>
              </w:rPr>
              <w:t>523 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B2" w14:textId="77777777" w:rsidR="00E836FB" w:rsidRDefault="00E836FB">
            <w:pPr>
              <w:jc w:val="right"/>
              <w:rPr>
                <w:rFonts w:ascii="宋体"/>
              </w:rPr>
            </w:pPr>
          </w:p>
        </w:tc>
      </w:tr>
      <w:tr w:rsidR="00E836FB" w14:paraId="5F2D5DBD" w14:textId="77777777">
        <w:tc>
          <w:tcPr>
            <w:tcW w:w="0" w:type="auto"/>
            <w:gridSpan w:val="3"/>
            <w:shd w:val="clear" w:color="auto" w:fill="FFFFFF"/>
            <w:tcMar>
              <w:top w:w="40" w:type="dxa"/>
              <w:left w:w="20" w:type="dxa"/>
              <w:bottom w:w="40" w:type="dxa"/>
              <w:right w:w="20" w:type="dxa"/>
            </w:tcMar>
            <w:vAlign w:val="bottom"/>
          </w:tcPr>
          <w:p w14:paraId="5F2D5DB4" w14:textId="77777777" w:rsidR="00E836FB" w:rsidRDefault="00994958">
            <w:pPr>
              <w:textAlignment w:val="bottom"/>
            </w:pPr>
            <w:r>
              <w:rPr>
                <w:rFonts w:ascii="Arial" w:eastAsia="宋体" w:hAnsi="Arial" w:cs="Arial"/>
                <w:color w:val="000000"/>
                <w:sz w:val="16"/>
                <w:szCs w:val="16"/>
              </w:rPr>
              <w:t>Income tax (benefit)</w:t>
            </w:r>
          </w:p>
        </w:tc>
        <w:tc>
          <w:tcPr>
            <w:tcW w:w="0" w:type="auto"/>
            <w:gridSpan w:val="2"/>
            <w:shd w:val="clear" w:color="auto" w:fill="FFFFFF"/>
            <w:tcMar>
              <w:top w:w="40" w:type="dxa"/>
              <w:left w:w="20" w:type="dxa"/>
              <w:bottom w:w="40" w:type="dxa"/>
              <w:right w:w="0" w:type="dxa"/>
            </w:tcMar>
            <w:vAlign w:val="bottom"/>
          </w:tcPr>
          <w:p w14:paraId="5F2D5DB5" w14:textId="77777777" w:rsidR="00E836FB" w:rsidRDefault="00994958">
            <w:pPr>
              <w:jc w:val="right"/>
              <w:textAlignment w:val="bottom"/>
            </w:pPr>
            <w:r>
              <w:rPr>
                <w:rFonts w:ascii="Arial" w:eastAsia="宋体" w:hAnsi="Arial" w:cs="Arial"/>
                <w:b/>
                <w:bCs/>
                <w:color w:val="000000"/>
                <w:sz w:val="16"/>
                <w:szCs w:val="16"/>
              </w:rPr>
              <w:t>(153)</w:t>
            </w:r>
          </w:p>
        </w:tc>
        <w:tc>
          <w:tcPr>
            <w:tcW w:w="0" w:type="auto"/>
            <w:shd w:val="clear" w:color="auto" w:fill="FFFFFF"/>
            <w:tcMar>
              <w:top w:w="40" w:type="dxa"/>
              <w:left w:w="0" w:type="dxa"/>
              <w:bottom w:w="40" w:type="dxa"/>
              <w:right w:w="20" w:type="dxa"/>
            </w:tcMar>
            <w:vAlign w:val="bottom"/>
          </w:tcPr>
          <w:p w14:paraId="5F2D5D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B8" w14:textId="77777777" w:rsidR="00E836FB" w:rsidRDefault="00994958">
            <w:pPr>
              <w:jc w:val="right"/>
              <w:textAlignment w:val="bottom"/>
            </w:pPr>
            <w:r>
              <w:rPr>
                <w:rFonts w:ascii="Arial" w:eastAsia="宋体" w:hAnsi="Arial" w:cs="Arial"/>
                <w:color w:val="000000"/>
                <w:sz w:val="16"/>
                <w:szCs w:val="16"/>
              </w:rPr>
              <w:t>(109)</w:t>
            </w:r>
          </w:p>
        </w:tc>
        <w:tc>
          <w:tcPr>
            <w:tcW w:w="0" w:type="auto"/>
            <w:shd w:val="clear" w:color="auto" w:fill="FFFFFF"/>
            <w:tcMar>
              <w:top w:w="40" w:type="dxa"/>
              <w:left w:w="0" w:type="dxa"/>
              <w:bottom w:w="40" w:type="dxa"/>
              <w:right w:w="20" w:type="dxa"/>
            </w:tcMar>
            <w:vAlign w:val="bottom"/>
          </w:tcPr>
          <w:p w14:paraId="5F2D5D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BB" w14:textId="77777777" w:rsidR="00E836FB" w:rsidRDefault="00994958">
            <w:pPr>
              <w:jc w:val="right"/>
              <w:textAlignment w:val="bottom"/>
            </w:pPr>
            <w:r>
              <w:rPr>
                <w:rFonts w:ascii="Arial" w:eastAsia="宋体" w:hAnsi="Arial" w:cs="Arial"/>
                <w:color w:val="000000"/>
                <w:sz w:val="16"/>
                <w:szCs w:val="16"/>
              </w:rPr>
              <w:t>(91)</w:t>
            </w:r>
          </w:p>
        </w:tc>
        <w:tc>
          <w:tcPr>
            <w:tcW w:w="0" w:type="auto"/>
            <w:shd w:val="clear" w:color="auto" w:fill="FFFFFF"/>
            <w:tcMar>
              <w:top w:w="40" w:type="dxa"/>
              <w:left w:w="0" w:type="dxa"/>
              <w:bottom w:w="40" w:type="dxa"/>
              <w:right w:w="20" w:type="dxa"/>
            </w:tcMar>
            <w:vAlign w:val="bottom"/>
          </w:tcPr>
          <w:p w14:paraId="5F2D5DBC" w14:textId="77777777" w:rsidR="00E836FB" w:rsidRDefault="00E836FB">
            <w:pPr>
              <w:jc w:val="right"/>
              <w:rPr>
                <w:rFonts w:ascii="宋体"/>
              </w:rPr>
            </w:pPr>
          </w:p>
        </w:tc>
      </w:tr>
      <w:tr w:rsidR="00E836FB" w14:paraId="5F2D5DC7" w14:textId="77777777">
        <w:tc>
          <w:tcPr>
            <w:tcW w:w="0" w:type="auto"/>
            <w:gridSpan w:val="3"/>
            <w:shd w:val="clear" w:color="auto" w:fill="CCEEFF"/>
            <w:tcMar>
              <w:top w:w="40" w:type="dxa"/>
              <w:left w:w="20" w:type="dxa"/>
              <w:bottom w:w="40" w:type="dxa"/>
              <w:right w:w="20" w:type="dxa"/>
            </w:tcMar>
            <w:vAlign w:val="bottom"/>
          </w:tcPr>
          <w:p w14:paraId="5F2D5DBE" w14:textId="77777777" w:rsidR="00E836FB" w:rsidRDefault="00994958">
            <w:pPr>
              <w:textAlignment w:val="bottom"/>
            </w:pPr>
            <w:r>
              <w:rPr>
                <w:rFonts w:ascii="Arial" w:eastAsia="宋体" w:hAnsi="Arial" w:cs="Arial"/>
                <w:color w:val="000000"/>
                <w:sz w:val="16"/>
                <w:szCs w:val="16"/>
              </w:rPr>
              <w:t>Income (Loss) before equity in undistributed income of consolidated subsidiaries and unconsolidated entities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DBF" w14:textId="77777777" w:rsidR="00E836FB" w:rsidRDefault="00994958">
            <w:pPr>
              <w:jc w:val="right"/>
              <w:textAlignment w:val="bottom"/>
            </w:pPr>
            <w:r>
              <w:rPr>
                <w:rFonts w:ascii="Arial" w:eastAsia="宋体" w:hAnsi="Arial" w:cs="Arial"/>
                <w:b/>
                <w:bCs/>
                <w:color w:val="000000"/>
                <w:sz w:val="16"/>
                <w:szCs w:val="16"/>
              </w:rPr>
              <w:t>(182)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C1"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DC2" w14:textId="77777777" w:rsidR="00E836FB" w:rsidRDefault="00994958">
            <w:pPr>
              <w:jc w:val="right"/>
              <w:textAlignment w:val="bottom"/>
            </w:pPr>
            <w:r>
              <w:rPr>
                <w:rFonts w:ascii="Arial" w:eastAsia="宋体" w:hAnsi="Arial" w:cs="Arial"/>
                <w:color w:val="000000"/>
                <w:sz w:val="16"/>
                <w:szCs w:val="16"/>
              </w:rPr>
              <w:t>2,544 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C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C4"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DC5" w14:textId="77777777" w:rsidR="00E836FB" w:rsidRDefault="00994958">
            <w:pPr>
              <w:jc w:val="right"/>
              <w:textAlignment w:val="bottom"/>
            </w:pPr>
            <w:r>
              <w:rPr>
                <w:rFonts w:ascii="Arial" w:eastAsia="宋体" w:hAnsi="Arial" w:cs="Arial"/>
                <w:color w:val="000000"/>
                <w:sz w:val="16"/>
                <w:szCs w:val="16"/>
              </w:rPr>
              <w:t>3,302 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DC6" w14:textId="77777777" w:rsidR="00E836FB" w:rsidRDefault="00E836FB">
            <w:pPr>
              <w:jc w:val="right"/>
              <w:rPr>
                <w:rFonts w:ascii="宋体"/>
              </w:rPr>
            </w:pPr>
          </w:p>
        </w:tc>
      </w:tr>
      <w:tr w:rsidR="00E836FB" w14:paraId="5F2D5DCE" w14:textId="77777777">
        <w:trPr>
          <w:hidden/>
        </w:trPr>
        <w:tc>
          <w:tcPr>
            <w:tcW w:w="0" w:type="auto"/>
            <w:gridSpan w:val="3"/>
            <w:shd w:val="clear" w:color="auto" w:fill="auto"/>
            <w:vAlign w:val="bottom"/>
          </w:tcPr>
          <w:p w14:paraId="5F2D5DC8" w14:textId="77777777" w:rsidR="00E836FB" w:rsidRDefault="00E836FB">
            <w:pPr>
              <w:rPr>
                <w:rFonts w:ascii="宋体"/>
                <w:vanish/>
              </w:rPr>
            </w:pPr>
          </w:p>
        </w:tc>
        <w:tc>
          <w:tcPr>
            <w:tcW w:w="0" w:type="auto"/>
            <w:gridSpan w:val="3"/>
            <w:shd w:val="clear" w:color="auto" w:fill="auto"/>
            <w:vAlign w:val="bottom"/>
          </w:tcPr>
          <w:p w14:paraId="5F2D5DC9" w14:textId="77777777" w:rsidR="00E836FB" w:rsidRDefault="00E836FB">
            <w:pPr>
              <w:rPr>
                <w:rFonts w:ascii="宋体"/>
                <w:vanish/>
              </w:rPr>
            </w:pPr>
          </w:p>
        </w:tc>
        <w:tc>
          <w:tcPr>
            <w:tcW w:w="0" w:type="auto"/>
            <w:gridSpan w:val="3"/>
            <w:shd w:val="clear" w:color="auto" w:fill="auto"/>
            <w:vAlign w:val="bottom"/>
          </w:tcPr>
          <w:p w14:paraId="5F2D5DCA" w14:textId="77777777" w:rsidR="00E836FB" w:rsidRDefault="00E836FB">
            <w:pPr>
              <w:rPr>
                <w:rFonts w:ascii="宋体"/>
                <w:vanish/>
              </w:rPr>
            </w:pPr>
          </w:p>
        </w:tc>
        <w:tc>
          <w:tcPr>
            <w:tcW w:w="0" w:type="auto"/>
            <w:gridSpan w:val="3"/>
            <w:shd w:val="clear" w:color="auto" w:fill="auto"/>
            <w:vAlign w:val="bottom"/>
          </w:tcPr>
          <w:p w14:paraId="5F2D5DCB" w14:textId="77777777" w:rsidR="00E836FB" w:rsidRDefault="00E836FB">
            <w:pPr>
              <w:rPr>
                <w:rFonts w:ascii="宋体"/>
                <w:vanish/>
              </w:rPr>
            </w:pPr>
          </w:p>
        </w:tc>
        <w:tc>
          <w:tcPr>
            <w:tcW w:w="0" w:type="auto"/>
            <w:gridSpan w:val="3"/>
            <w:shd w:val="clear" w:color="auto" w:fill="auto"/>
            <w:vAlign w:val="bottom"/>
          </w:tcPr>
          <w:p w14:paraId="5F2D5DCC" w14:textId="77777777" w:rsidR="00E836FB" w:rsidRDefault="00E836FB">
            <w:pPr>
              <w:rPr>
                <w:rFonts w:ascii="宋体"/>
                <w:vanish/>
              </w:rPr>
            </w:pPr>
          </w:p>
        </w:tc>
        <w:tc>
          <w:tcPr>
            <w:tcW w:w="0" w:type="auto"/>
            <w:gridSpan w:val="3"/>
            <w:shd w:val="clear" w:color="auto" w:fill="auto"/>
            <w:vAlign w:val="bottom"/>
          </w:tcPr>
          <w:p w14:paraId="5F2D5DCD" w14:textId="77777777" w:rsidR="00E836FB" w:rsidRDefault="00E836FB">
            <w:pPr>
              <w:rPr>
                <w:rFonts w:ascii="宋体"/>
                <w:vanish/>
              </w:rPr>
            </w:pPr>
          </w:p>
        </w:tc>
      </w:tr>
      <w:tr w:rsidR="00E836FB" w14:paraId="5F2D5DD5" w14:textId="77777777">
        <w:tc>
          <w:tcPr>
            <w:tcW w:w="0" w:type="auto"/>
            <w:gridSpan w:val="3"/>
            <w:shd w:val="clear" w:color="auto" w:fill="FFFFFF"/>
            <w:tcMar>
              <w:top w:w="40" w:type="dxa"/>
              <w:left w:w="20" w:type="dxa"/>
              <w:bottom w:w="40" w:type="dxa"/>
              <w:right w:w="20" w:type="dxa"/>
            </w:tcMar>
            <w:vAlign w:val="bottom"/>
          </w:tcPr>
          <w:p w14:paraId="5F2D5DCF" w14:textId="77777777" w:rsidR="00E836FB" w:rsidRDefault="00994958">
            <w:pPr>
              <w:textAlignment w:val="bottom"/>
            </w:pPr>
            <w:r>
              <w:rPr>
                <w:rFonts w:ascii="Arial" w:eastAsia="宋体" w:hAnsi="Arial" w:cs="Arial"/>
                <w:color w:val="000000"/>
                <w:sz w:val="16"/>
                <w:szCs w:val="16"/>
              </w:rPr>
              <w:t>Equity in undistributed income of consolidated subsidiaries and unconsolidated entities:</w:t>
            </w:r>
          </w:p>
        </w:tc>
        <w:tc>
          <w:tcPr>
            <w:tcW w:w="0" w:type="auto"/>
            <w:gridSpan w:val="3"/>
            <w:shd w:val="clear" w:color="auto" w:fill="FFFFFF"/>
            <w:tcMar>
              <w:top w:w="0" w:type="dxa"/>
              <w:left w:w="20" w:type="dxa"/>
              <w:bottom w:w="0" w:type="dxa"/>
              <w:right w:w="20" w:type="dxa"/>
            </w:tcMar>
            <w:vAlign w:val="bottom"/>
          </w:tcPr>
          <w:p w14:paraId="5F2D5DD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DD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DD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DD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DD4" w14:textId="77777777" w:rsidR="00E836FB" w:rsidRDefault="00E836FB">
            <w:pPr>
              <w:rPr>
                <w:rFonts w:ascii="宋体"/>
              </w:rPr>
            </w:pPr>
          </w:p>
        </w:tc>
      </w:tr>
      <w:tr w:rsidR="00E836FB" w14:paraId="5F2D5DDF" w14:textId="77777777">
        <w:tc>
          <w:tcPr>
            <w:tcW w:w="0" w:type="auto"/>
            <w:gridSpan w:val="3"/>
            <w:shd w:val="clear" w:color="auto" w:fill="CCEEFF"/>
            <w:tcMar>
              <w:top w:w="40" w:type="dxa"/>
              <w:left w:w="380" w:type="dxa"/>
              <w:bottom w:w="40" w:type="dxa"/>
              <w:right w:w="20" w:type="dxa"/>
            </w:tcMar>
            <w:vAlign w:val="bottom"/>
          </w:tcPr>
          <w:p w14:paraId="5F2D5DD6" w14:textId="77777777" w:rsidR="00E836FB" w:rsidRDefault="00994958">
            <w:pPr>
              <w:textAlignment w:val="bottom"/>
            </w:pPr>
            <w:r>
              <w:rPr>
                <w:rFonts w:ascii="Arial" w:eastAsia="宋体" w:hAnsi="Arial" w:cs="Arial"/>
                <w:color w:val="000000"/>
                <w:sz w:val="16"/>
                <w:szCs w:val="16"/>
              </w:rPr>
              <w:t>Consolidated banking subsidiary</w:t>
            </w:r>
          </w:p>
        </w:tc>
        <w:tc>
          <w:tcPr>
            <w:tcW w:w="0" w:type="auto"/>
            <w:gridSpan w:val="2"/>
            <w:shd w:val="clear" w:color="auto" w:fill="CCEEFF"/>
            <w:tcMar>
              <w:top w:w="40" w:type="dxa"/>
              <w:left w:w="20" w:type="dxa"/>
              <w:bottom w:w="40" w:type="dxa"/>
              <w:right w:w="0" w:type="dxa"/>
            </w:tcMar>
            <w:vAlign w:val="bottom"/>
          </w:tcPr>
          <w:p w14:paraId="5F2D5DD7" w14:textId="77777777" w:rsidR="00E836FB" w:rsidRDefault="00994958">
            <w:pPr>
              <w:jc w:val="right"/>
              <w:textAlignment w:val="bottom"/>
            </w:pPr>
            <w:r>
              <w:rPr>
                <w:rFonts w:ascii="Arial" w:eastAsia="宋体" w:hAnsi="Arial" w:cs="Arial"/>
                <w:b/>
                <w:bCs/>
                <w:color w:val="000000"/>
                <w:sz w:val="16"/>
                <w:szCs w:val="16"/>
              </w:rPr>
              <w:t>2,657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D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DDA" w14:textId="77777777" w:rsidR="00E836FB" w:rsidRDefault="00994958">
            <w:pPr>
              <w:jc w:val="right"/>
              <w:textAlignment w:val="bottom"/>
            </w:pPr>
            <w:r>
              <w:rPr>
                <w:rFonts w:ascii="Arial" w:eastAsia="宋体" w:hAnsi="Arial" w:cs="Arial"/>
                <w:color w:val="000000"/>
                <w:sz w:val="16"/>
                <w:szCs w:val="16"/>
              </w:rPr>
              <w:t>(277)</w:t>
            </w:r>
          </w:p>
        </w:tc>
        <w:tc>
          <w:tcPr>
            <w:tcW w:w="0" w:type="auto"/>
            <w:shd w:val="clear" w:color="auto" w:fill="CCEEFF"/>
            <w:tcMar>
              <w:top w:w="40" w:type="dxa"/>
              <w:left w:w="0" w:type="dxa"/>
              <w:bottom w:w="40" w:type="dxa"/>
              <w:right w:w="20" w:type="dxa"/>
            </w:tcMar>
            <w:vAlign w:val="bottom"/>
          </w:tcPr>
          <w:p w14:paraId="5F2D5D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D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DDD" w14:textId="77777777" w:rsidR="00E836FB" w:rsidRDefault="00994958">
            <w:pPr>
              <w:jc w:val="right"/>
              <w:textAlignment w:val="bottom"/>
            </w:pPr>
            <w:r>
              <w:rPr>
                <w:rFonts w:ascii="Arial" w:eastAsia="宋体" w:hAnsi="Arial" w:cs="Arial"/>
                <w:color w:val="000000"/>
                <w:sz w:val="16"/>
                <w:szCs w:val="16"/>
              </w:rPr>
              <w:t>(1,070)</w:t>
            </w:r>
          </w:p>
        </w:tc>
        <w:tc>
          <w:tcPr>
            <w:tcW w:w="0" w:type="auto"/>
            <w:shd w:val="clear" w:color="auto" w:fill="CCEEFF"/>
            <w:tcMar>
              <w:top w:w="40" w:type="dxa"/>
              <w:left w:w="0" w:type="dxa"/>
              <w:bottom w:w="40" w:type="dxa"/>
              <w:right w:w="20" w:type="dxa"/>
            </w:tcMar>
            <w:vAlign w:val="bottom"/>
          </w:tcPr>
          <w:p w14:paraId="5F2D5DDE" w14:textId="77777777" w:rsidR="00E836FB" w:rsidRDefault="00E836FB">
            <w:pPr>
              <w:jc w:val="right"/>
              <w:rPr>
                <w:rFonts w:ascii="宋体"/>
              </w:rPr>
            </w:pPr>
          </w:p>
        </w:tc>
      </w:tr>
      <w:tr w:rsidR="00E836FB" w14:paraId="5F2D5DE9" w14:textId="77777777">
        <w:tc>
          <w:tcPr>
            <w:tcW w:w="0" w:type="auto"/>
            <w:gridSpan w:val="3"/>
            <w:shd w:val="clear" w:color="auto" w:fill="FFFFFF"/>
            <w:tcMar>
              <w:top w:w="40" w:type="dxa"/>
              <w:left w:w="380" w:type="dxa"/>
              <w:bottom w:w="40" w:type="dxa"/>
              <w:right w:w="20" w:type="dxa"/>
            </w:tcMar>
            <w:vAlign w:val="bottom"/>
          </w:tcPr>
          <w:p w14:paraId="5F2D5DE0" w14:textId="77777777" w:rsidR="00E836FB" w:rsidRDefault="00994958">
            <w:pPr>
              <w:textAlignment w:val="bottom"/>
            </w:pPr>
            <w:r>
              <w:rPr>
                <w:rFonts w:ascii="Arial" w:eastAsia="宋体" w:hAnsi="Arial" w:cs="Arial"/>
                <w:color w:val="000000"/>
                <w:sz w:val="16"/>
                <w:szCs w:val="16"/>
              </w:rPr>
              <w:t>Consolidated non-banking subsidiaries and unconsolidated entities</w:t>
            </w:r>
          </w:p>
        </w:tc>
        <w:tc>
          <w:tcPr>
            <w:tcW w:w="0" w:type="auto"/>
            <w:gridSpan w:val="2"/>
            <w:shd w:val="clear" w:color="auto" w:fill="FFFFFF"/>
            <w:tcMar>
              <w:top w:w="40" w:type="dxa"/>
              <w:left w:w="20" w:type="dxa"/>
              <w:bottom w:w="40" w:type="dxa"/>
              <w:right w:w="0" w:type="dxa"/>
            </w:tcMar>
            <w:vAlign w:val="bottom"/>
          </w:tcPr>
          <w:p w14:paraId="5F2D5DE1" w14:textId="77777777" w:rsidR="00E836FB" w:rsidRDefault="00994958">
            <w:pPr>
              <w:jc w:val="right"/>
              <w:textAlignment w:val="bottom"/>
            </w:pPr>
            <w:r>
              <w:rPr>
                <w:rFonts w:ascii="Arial" w:eastAsia="宋体" w:hAnsi="Arial" w:cs="Arial"/>
                <w:b/>
                <w:bCs/>
                <w:color w:val="000000"/>
                <w:sz w:val="16"/>
                <w:szCs w:val="16"/>
              </w:rPr>
              <w:t>218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D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E4" w14:textId="77777777" w:rsidR="00E836FB" w:rsidRDefault="00994958">
            <w:pPr>
              <w:jc w:val="right"/>
              <w:textAlignment w:val="bottom"/>
            </w:pPr>
            <w:r>
              <w:rPr>
                <w:rFonts w:ascii="Arial" w:eastAsia="宋体" w:hAnsi="Arial" w:cs="Arial"/>
                <w:color w:val="000000"/>
                <w:sz w:val="16"/>
                <w:szCs w:val="16"/>
              </w:rPr>
              <w:t>153 </w:t>
            </w:r>
          </w:p>
        </w:tc>
        <w:tc>
          <w:tcPr>
            <w:tcW w:w="0" w:type="auto"/>
            <w:shd w:val="clear" w:color="auto" w:fill="FFFFFF"/>
            <w:tcMar>
              <w:top w:w="40" w:type="dxa"/>
              <w:left w:w="0" w:type="dxa"/>
              <w:bottom w:w="40" w:type="dxa"/>
              <w:right w:w="20" w:type="dxa"/>
            </w:tcMar>
            <w:vAlign w:val="bottom"/>
          </w:tcPr>
          <w:p w14:paraId="5F2D5D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DE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DE7" w14:textId="77777777" w:rsidR="00E836FB" w:rsidRDefault="00994958">
            <w:pPr>
              <w:jc w:val="right"/>
              <w:textAlignment w:val="bottom"/>
            </w:pPr>
            <w:r>
              <w:rPr>
                <w:rFonts w:ascii="Arial" w:eastAsia="宋体" w:hAnsi="Arial" w:cs="Arial"/>
                <w:color w:val="000000"/>
                <w:sz w:val="16"/>
                <w:szCs w:val="16"/>
              </w:rPr>
              <w:t>10 </w:t>
            </w:r>
          </w:p>
        </w:tc>
        <w:tc>
          <w:tcPr>
            <w:tcW w:w="0" w:type="auto"/>
            <w:shd w:val="clear" w:color="auto" w:fill="FFFFFF"/>
            <w:tcMar>
              <w:top w:w="40" w:type="dxa"/>
              <w:left w:w="0" w:type="dxa"/>
              <w:bottom w:w="40" w:type="dxa"/>
              <w:right w:w="20" w:type="dxa"/>
            </w:tcMar>
            <w:vAlign w:val="bottom"/>
          </w:tcPr>
          <w:p w14:paraId="5F2D5DE8" w14:textId="77777777" w:rsidR="00E836FB" w:rsidRDefault="00E836FB">
            <w:pPr>
              <w:jc w:val="right"/>
              <w:rPr>
                <w:rFonts w:ascii="宋体"/>
              </w:rPr>
            </w:pPr>
          </w:p>
        </w:tc>
      </w:tr>
      <w:tr w:rsidR="00E836FB" w14:paraId="5F2D5DF6" w14:textId="77777777">
        <w:tc>
          <w:tcPr>
            <w:tcW w:w="0" w:type="auto"/>
            <w:gridSpan w:val="3"/>
            <w:shd w:val="clear" w:color="auto" w:fill="CCEEFF"/>
            <w:tcMar>
              <w:top w:w="40" w:type="dxa"/>
              <w:left w:w="20" w:type="dxa"/>
              <w:bottom w:w="40" w:type="dxa"/>
              <w:right w:w="20" w:type="dxa"/>
            </w:tcMar>
            <w:vAlign w:val="bottom"/>
          </w:tcPr>
          <w:p w14:paraId="5F2D5DEA" w14:textId="77777777" w:rsidR="00E836FB" w:rsidRDefault="00994958">
            <w:pPr>
              <w:textAlignment w:val="bottom"/>
            </w:pPr>
            <w:r>
              <w:rPr>
                <w:rFonts w:ascii="Arial" w:eastAsia="宋体" w:hAnsi="Arial" w:cs="Arial"/>
                <w:color w:val="000000"/>
                <w:sz w:val="16"/>
                <w:szCs w:val="16"/>
              </w:rPr>
              <w:t xml:space="preserve">Net </w:t>
            </w:r>
            <w:r>
              <w:rPr>
                <w:rFonts w:ascii="Arial" w:eastAsia="宋体" w:hAnsi="Arial" w:cs="Arial"/>
                <w:color w:val="000000"/>
                <w:sz w:val="16"/>
                <w:szCs w:val="16"/>
              </w:rPr>
              <w:t>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DEB"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DEC" w14:textId="77777777" w:rsidR="00E836FB" w:rsidRDefault="00994958">
            <w:pPr>
              <w:jc w:val="right"/>
              <w:textAlignment w:val="bottom"/>
            </w:pPr>
            <w:r>
              <w:rPr>
                <w:rFonts w:ascii="Arial" w:eastAsia="宋体" w:hAnsi="Arial" w:cs="Arial"/>
                <w:b/>
                <w:bCs/>
                <w:color w:val="000000"/>
                <w:sz w:val="16"/>
                <w:szCs w:val="16"/>
              </w:rPr>
              <w:t>2,693</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D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EE"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DEF"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DF0" w14:textId="77777777" w:rsidR="00E836FB" w:rsidRDefault="00994958">
            <w:pPr>
              <w:jc w:val="right"/>
              <w:textAlignment w:val="bottom"/>
            </w:pPr>
            <w:r>
              <w:rPr>
                <w:rFonts w:ascii="Arial" w:eastAsia="宋体" w:hAnsi="Arial" w:cs="Arial"/>
                <w:color w:val="000000"/>
                <w:sz w:val="16"/>
                <w:szCs w:val="16"/>
              </w:rPr>
              <w:t>2,420 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D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DF2"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DF3"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DF4" w14:textId="77777777" w:rsidR="00E836FB" w:rsidRDefault="00994958">
            <w:pPr>
              <w:jc w:val="right"/>
              <w:textAlignment w:val="bottom"/>
            </w:pPr>
            <w:r>
              <w:rPr>
                <w:rFonts w:ascii="Arial" w:eastAsia="宋体" w:hAnsi="Arial" w:cs="Arial"/>
                <w:color w:val="000000"/>
                <w:sz w:val="16"/>
                <w:szCs w:val="16"/>
              </w:rPr>
              <w:t>2,242 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DF5" w14:textId="77777777" w:rsidR="00E836FB" w:rsidRDefault="00E836FB">
            <w:pPr>
              <w:jc w:val="right"/>
              <w:rPr>
                <w:rFonts w:ascii="宋体"/>
              </w:rPr>
            </w:pPr>
          </w:p>
        </w:tc>
      </w:tr>
    </w:tbl>
    <w:p w14:paraId="5F2D5DF7" w14:textId="77777777" w:rsidR="00E836FB" w:rsidRDefault="00E836FB">
      <w:pPr>
        <w:spacing w:before="90"/>
      </w:pPr>
    </w:p>
    <w:p w14:paraId="5F2D5DF8" w14:textId="77777777" w:rsidR="00E836FB" w:rsidRDefault="00994958">
      <w:pPr>
        <w:ind w:firstLine="450"/>
        <w:jc w:val="right"/>
      </w:pPr>
      <w:r>
        <w:rPr>
          <w:rFonts w:ascii="Arial" w:eastAsia="宋体" w:hAnsi="Arial" w:cs="Arial"/>
          <w:color w:val="000000"/>
          <w:sz w:val="18"/>
          <w:szCs w:val="18"/>
        </w:rPr>
        <w:t>State Street Corporation | 184</w:t>
      </w:r>
    </w:p>
    <w:p w14:paraId="5F2D5DF9" w14:textId="77777777" w:rsidR="00E836FB" w:rsidRDefault="00E836FB">
      <w:pPr>
        <w:ind w:firstLine="450"/>
        <w:jc w:val="center"/>
      </w:pPr>
    </w:p>
    <w:p w14:paraId="5F2D5DFA" w14:textId="77777777" w:rsidR="00E836FB" w:rsidRDefault="00994958">
      <w:r>
        <w:pict w14:anchorId="5F2D6E3D">
          <v:rect id="_x0000_i1208" style="width:415.3pt;height:1.5pt" o:hralign="center" o:hrstd="t" o:hr="t" fillcolor="#a0a0a0" stroked="f"/>
        </w:pict>
      </w:r>
    </w:p>
    <w:p w14:paraId="5F2D5DFB" w14:textId="77777777" w:rsidR="00E836FB" w:rsidRDefault="00994958">
      <w:pPr>
        <w:ind w:firstLine="450"/>
        <w:jc w:val="center"/>
      </w:pPr>
      <w:r>
        <w:rPr>
          <w:rFonts w:ascii="Arial" w:eastAsia="宋体" w:hAnsi="Arial" w:cs="Arial"/>
          <w:b/>
          <w:bCs/>
          <w:color w:val="000000"/>
          <w:sz w:val="20"/>
          <w:szCs w:val="20"/>
        </w:rPr>
        <w:t>STATE STREET CORPORATION</w:t>
      </w:r>
    </w:p>
    <w:p w14:paraId="5F2D5DFC" w14:textId="77777777" w:rsidR="00E836FB" w:rsidRDefault="00994958">
      <w:pPr>
        <w:ind w:firstLine="450"/>
        <w:jc w:val="center"/>
      </w:pPr>
      <w:r>
        <w:rPr>
          <w:rFonts w:ascii="Arial" w:eastAsia="宋体" w:hAnsi="Arial" w:cs="Arial"/>
          <w:b/>
          <w:bCs/>
          <w:color w:val="000000"/>
          <w:sz w:val="20"/>
          <w:szCs w:val="20"/>
        </w:rPr>
        <w:t>NOTES TO CONSOLIDATED FINANCIAL STATEMENTS</w:t>
      </w:r>
    </w:p>
    <w:p w14:paraId="5F2D5DFD" w14:textId="77777777" w:rsidR="00E836FB" w:rsidRDefault="00994958">
      <w:pPr>
        <w:spacing w:before="90"/>
      </w:pPr>
      <w:r>
        <w:rPr>
          <w:rFonts w:ascii="Arial" w:eastAsia="宋体" w:hAnsi="Arial" w:cs="Arial"/>
          <w:b/>
          <w:bCs/>
          <w:color w:val="000000"/>
          <w:sz w:val="20"/>
          <w:szCs w:val="20"/>
        </w:rPr>
        <w:t>Statement of Condition - Parent Company</w:t>
      </w:r>
    </w:p>
    <w:tbl>
      <w:tblPr>
        <w:tblW w:w="4993" w:type="pct"/>
        <w:tblCellMar>
          <w:top w:w="15" w:type="dxa"/>
          <w:left w:w="15" w:type="dxa"/>
          <w:bottom w:w="15" w:type="dxa"/>
          <w:right w:w="15" w:type="dxa"/>
        </w:tblCellMar>
        <w:tblLook w:val="04A0" w:firstRow="1" w:lastRow="0" w:firstColumn="1" w:lastColumn="0" w:noHBand="0" w:noVBand="1"/>
      </w:tblPr>
      <w:tblGrid>
        <w:gridCol w:w="45"/>
        <w:gridCol w:w="6015"/>
        <w:gridCol w:w="37"/>
        <w:gridCol w:w="109"/>
        <w:gridCol w:w="929"/>
        <w:gridCol w:w="36"/>
        <w:gridCol w:w="36"/>
        <w:gridCol w:w="36"/>
        <w:gridCol w:w="36"/>
        <w:gridCol w:w="109"/>
        <w:gridCol w:w="900"/>
        <w:gridCol w:w="36"/>
      </w:tblGrid>
      <w:tr w:rsidR="00E836FB" w14:paraId="5F2D5E0A" w14:textId="77777777">
        <w:tc>
          <w:tcPr>
            <w:tcW w:w="50" w:type="pct"/>
            <w:shd w:val="clear" w:color="auto" w:fill="auto"/>
            <w:vAlign w:val="bottom"/>
          </w:tcPr>
          <w:p w14:paraId="5F2D5DFE" w14:textId="77777777" w:rsidR="00E836FB" w:rsidRDefault="00E836FB">
            <w:pPr>
              <w:rPr>
                <w:rFonts w:ascii="宋体"/>
              </w:rPr>
            </w:pPr>
          </w:p>
        </w:tc>
        <w:tc>
          <w:tcPr>
            <w:tcW w:w="3634" w:type="pct"/>
            <w:shd w:val="clear" w:color="auto" w:fill="auto"/>
            <w:vAlign w:val="bottom"/>
          </w:tcPr>
          <w:p w14:paraId="5F2D5DFF" w14:textId="77777777" w:rsidR="00E836FB" w:rsidRDefault="00E836FB">
            <w:pPr>
              <w:rPr>
                <w:rFonts w:ascii="宋体"/>
              </w:rPr>
            </w:pPr>
          </w:p>
        </w:tc>
        <w:tc>
          <w:tcPr>
            <w:tcW w:w="5" w:type="pct"/>
            <w:shd w:val="clear" w:color="auto" w:fill="auto"/>
            <w:vAlign w:val="bottom"/>
          </w:tcPr>
          <w:p w14:paraId="5F2D5E00" w14:textId="77777777" w:rsidR="00E836FB" w:rsidRDefault="00E836FB">
            <w:pPr>
              <w:rPr>
                <w:rFonts w:ascii="宋体"/>
              </w:rPr>
            </w:pPr>
          </w:p>
        </w:tc>
        <w:tc>
          <w:tcPr>
            <w:tcW w:w="50" w:type="pct"/>
            <w:shd w:val="clear" w:color="auto" w:fill="auto"/>
            <w:vAlign w:val="bottom"/>
          </w:tcPr>
          <w:p w14:paraId="5F2D5E01" w14:textId="77777777" w:rsidR="00E836FB" w:rsidRDefault="00E836FB">
            <w:pPr>
              <w:rPr>
                <w:rFonts w:ascii="宋体"/>
              </w:rPr>
            </w:pPr>
          </w:p>
        </w:tc>
        <w:tc>
          <w:tcPr>
            <w:tcW w:w="581" w:type="pct"/>
            <w:shd w:val="clear" w:color="auto" w:fill="auto"/>
            <w:vAlign w:val="bottom"/>
          </w:tcPr>
          <w:p w14:paraId="5F2D5E02" w14:textId="77777777" w:rsidR="00E836FB" w:rsidRDefault="00E836FB">
            <w:pPr>
              <w:rPr>
                <w:rFonts w:ascii="宋体"/>
              </w:rPr>
            </w:pPr>
          </w:p>
        </w:tc>
        <w:tc>
          <w:tcPr>
            <w:tcW w:w="5" w:type="pct"/>
            <w:shd w:val="clear" w:color="auto" w:fill="auto"/>
            <w:vAlign w:val="bottom"/>
          </w:tcPr>
          <w:p w14:paraId="5F2D5E03" w14:textId="77777777" w:rsidR="00E836FB" w:rsidRDefault="00E836FB">
            <w:pPr>
              <w:rPr>
                <w:rFonts w:ascii="宋体"/>
              </w:rPr>
            </w:pPr>
          </w:p>
        </w:tc>
        <w:tc>
          <w:tcPr>
            <w:tcW w:w="5" w:type="pct"/>
            <w:shd w:val="clear" w:color="auto" w:fill="auto"/>
            <w:vAlign w:val="bottom"/>
          </w:tcPr>
          <w:p w14:paraId="5F2D5E04" w14:textId="77777777" w:rsidR="00E836FB" w:rsidRDefault="00E836FB">
            <w:pPr>
              <w:rPr>
                <w:rFonts w:ascii="宋体"/>
              </w:rPr>
            </w:pPr>
          </w:p>
        </w:tc>
        <w:tc>
          <w:tcPr>
            <w:tcW w:w="26" w:type="pct"/>
            <w:shd w:val="clear" w:color="auto" w:fill="auto"/>
            <w:vAlign w:val="bottom"/>
          </w:tcPr>
          <w:p w14:paraId="5F2D5E05" w14:textId="77777777" w:rsidR="00E836FB" w:rsidRDefault="00E836FB">
            <w:pPr>
              <w:rPr>
                <w:rFonts w:ascii="宋体"/>
              </w:rPr>
            </w:pPr>
          </w:p>
        </w:tc>
        <w:tc>
          <w:tcPr>
            <w:tcW w:w="5" w:type="pct"/>
            <w:shd w:val="clear" w:color="auto" w:fill="auto"/>
            <w:vAlign w:val="bottom"/>
          </w:tcPr>
          <w:p w14:paraId="5F2D5E06" w14:textId="77777777" w:rsidR="00E836FB" w:rsidRDefault="00E836FB">
            <w:pPr>
              <w:rPr>
                <w:rFonts w:ascii="宋体"/>
              </w:rPr>
            </w:pPr>
          </w:p>
        </w:tc>
        <w:tc>
          <w:tcPr>
            <w:tcW w:w="50" w:type="pct"/>
            <w:shd w:val="clear" w:color="auto" w:fill="auto"/>
            <w:vAlign w:val="bottom"/>
          </w:tcPr>
          <w:p w14:paraId="5F2D5E07" w14:textId="77777777" w:rsidR="00E836FB" w:rsidRDefault="00E836FB">
            <w:pPr>
              <w:rPr>
                <w:rFonts w:ascii="宋体"/>
              </w:rPr>
            </w:pPr>
          </w:p>
        </w:tc>
        <w:tc>
          <w:tcPr>
            <w:tcW w:w="581" w:type="pct"/>
            <w:shd w:val="clear" w:color="auto" w:fill="auto"/>
            <w:vAlign w:val="bottom"/>
          </w:tcPr>
          <w:p w14:paraId="5F2D5E08" w14:textId="77777777" w:rsidR="00E836FB" w:rsidRDefault="00E836FB">
            <w:pPr>
              <w:rPr>
                <w:rFonts w:ascii="宋体"/>
              </w:rPr>
            </w:pPr>
          </w:p>
        </w:tc>
        <w:tc>
          <w:tcPr>
            <w:tcW w:w="5" w:type="pct"/>
            <w:shd w:val="clear" w:color="auto" w:fill="auto"/>
            <w:vAlign w:val="bottom"/>
          </w:tcPr>
          <w:p w14:paraId="5F2D5E09" w14:textId="77777777" w:rsidR="00E836FB" w:rsidRDefault="00E836FB">
            <w:pPr>
              <w:rPr>
                <w:rFonts w:ascii="宋体"/>
              </w:rPr>
            </w:pPr>
          </w:p>
        </w:tc>
      </w:tr>
      <w:tr w:rsidR="00E836FB" w14:paraId="5F2D5E0D" w14:textId="77777777">
        <w:tc>
          <w:tcPr>
            <w:tcW w:w="0" w:type="auto"/>
            <w:gridSpan w:val="3"/>
            <w:shd w:val="clear" w:color="auto" w:fill="auto"/>
            <w:tcMar>
              <w:top w:w="0" w:type="dxa"/>
              <w:left w:w="20" w:type="dxa"/>
              <w:bottom w:w="0" w:type="dxa"/>
              <w:right w:w="20" w:type="dxa"/>
            </w:tcMar>
            <w:vAlign w:val="bottom"/>
          </w:tcPr>
          <w:p w14:paraId="5F2D5E0B" w14:textId="77777777" w:rsidR="00E836FB" w:rsidRDefault="00E836FB">
            <w:pPr>
              <w:rPr>
                <w:rFonts w:ascii="宋体"/>
              </w:rPr>
            </w:pPr>
          </w:p>
        </w:tc>
        <w:tc>
          <w:tcPr>
            <w:tcW w:w="0" w:type="auto"/>
            <w:gridSpan w:val="9"/>
            <w:shd w:val="clear" w:color="auto" w:fill="auto"/>
            <w:tcMar>
              <w:top w:w="40" w:type="dxa"/>
              <w:left w:w="20" w:type="dxa"/>
              <w:bottom w:w="40" w:type="dxa"/>
              <w:right w:w="20" w:type="dxa"/>
            </w:tcMar>
            <w:vAlign w:val="bottom"/>
          </w:tcPr>
          <w:p w14:paraId="5F2D5E0C" w14:textId="77777777" w:rsidR="00E836FB" w:rsidRDefault="00994958">
            <w:pPr>
              <w:jc w:val="center"/>
              <w:textAlignment w:val="bottom"/>
            </w:pPr>
            <w:r>
              <w:rPr>
                <w:rFonts w:ascii="Arial" w:eastAsia="宋体" w:hAnsi="Arial" w:cs="Arial"/>
                <w:b/>
                <w:bCs/>
                <w:color w:val="000000"/>
                <w:sz w:val="16"/>
                <w:szCs w:val="16"/>
              </w:rPr>
              <w:t>As of December 31,</w:t>
            </w:r>
          </w:p>
        </w:tc>
      </w:tr>
      <w:tr w:rsidR="00E836FB" w14:paraId="5F2D5E12" w14:textId="77777777">
        <w:tc>
          <w:tcPr>
            <w:tcW w:w="0" w:type="auto"/>
            <w:gridSpan w:val="3"/>
            <w:shd w:val="clear" w:color="auto" w:fill="auto"/>
            <w:tcMar>
              <w:top w:w="40" w:type="dxa"/>
              <w:left w:w="20" w:type="dxa"/>
              <w:bottom w:w="40" w:type="dxa"/>
              <w:right w:w="20" w:type="dxa"/>
            </w:tcMar>
            <w:vAlign w:val="bottom"/>
          </w:tcPr>
          <w:p w14:paraId="5F2D5E0E" w14:textId="77777777" w:rsidR="00E836FB" w:rsidRDefault="00994958">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E0F"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E1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E11" w14:textId="77777777" w:rsidR="00E836FB" w:rsidRDefault="00994958">
            <w:pPr>
              <w:jc w:val="center"/>
              <w:textAlignment w:val="bottom"/>
            </w:pPr>
            <w:r>
              <w:rPr>
                <w:rFonts w:ascii="Arial" w:eastAsia="宋体" w:hAnsi="Arial" w:cs="Arial"/>
                <w:b/>
                <w:bCs/>
                <w:color w:val="000000"/>
                <w:sz w:val="16"/>
                <w:szCs w:val="16"/>
              </w:rPr>
              <w:t>2020</w:t>
            </w:r>
          </w:p>
        </w:tc>
      </w:tr>
      <w:tr w:rsidR="00E836FB" w14:paraId="5F2D5E17" w14:textId="77777777">
        <w:tc>
          <w:tcPr>
            <w:tcW w:w="0" w:type="auto"/>
            <w:gridSpan w:val="3"/>
            <w:shd w:val="clear" w:color="auto" w:fill="auto"/>
            <w:tcMar>
              <w:top w:w="40" w:type="dxa"/>
              <w:left w:w="20" w:type="dxa"/>
              <w:bottom w:w="40" w:type="dxa"/>
              <w:right w:w="20" w:type="dxa"/>
            </w:tcMar>
            <w:vAlign w:val="bottom"/>
          </w:tcPr>
          <w:p w14:paraId="5F2D5E13" w14:textId="77777777" w:rsidR="00E836FB" w:rsidRDefault="00994958">
            <w:pPr>
              <w:textAlignment w:val="bottom"/>
            </w:pPr>
            <w:r>
              <w:rPr>
                <w:rFonts w:ascii="Arial" w:eastAsia="宋体" w:hAnsi="Arial" w:cs="Arial"/>
                <w:b/>
                <w:bCs/>
                <w:color w:val="000000"/>
                <w:sz w:val="16"/>
                <w:szCs w:val="16"/>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E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5E1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E16" w14:textId="77777777" w:rsidR="00E836FB" w:rsidRDefault="00E836FB">
            <w:pPr>
              <w:rPr>
                <w:rFonts w:ascii="宋体"/>
              </w:rPr>
            </w:pPr>
          </w:p>
        </w:tc>
      </w:tr>
      <w:tr w:rsidR="00E836FB" w14:paraId="5F2D5E20" w14:textId="77777777">
        <w:tc>
          <w:tcPr>
            <w:tcW w:w="0" w:type="auto"/>
            <w:gridSpan w:val="3"/>
            <w:shd w:val="clear" w:color="auto" w:fill="CCEEFF"/>
            <w:tcMar>
              <w:top w:w="40" w:type="dxa"/>
              <w:left w:w="20" w:type="dxa"/>
              <w:bottom w:w="40" w:type="dxa"/>
              <w:right w:w="20" w:type="dxa"/>
            </w:tcMar>
            <w:vAlign w:val="bottom"/>
          </w:tcPr>
          <w:p w14:paraId="5F2D5E18" w14:textId="77777777" w:rsidR="00E836FB" w:rsidRDefault="00994958">
            <w:pPr>
              <w:textAlignment w:val="bottom"/>
            </w:pPr>
            <w:r>
              <w:rPr>
                <w:rFonts w:ascii="Arial" w:eastAsia="宋体" w:hAnsi="Arial" w:cs="Arial"/>
                <w:color w:val="000000"/>
                <w:sz w:val="16"/>
                <w:szCs w:val="16"/>
              </w:rPr>
              <w:t>Interest-bearing deposits with consolidated banking subsidiary</w:t>
            </w:r>
          </w:p>
        </w:tc>
        <w:tc>
          <w:tcPr>
            <w:tcW w:w="0" w:type="auto"/>
            <w:shd w:val="clear" w:color="auto" w:fill="CCEEFF"/>
            <w:tcMar>
              <w:top w:w="40" w:type="dxa"/>
              <w:left w:w="20" w:type="dxa"/>
              <w:bottom w:w="40" w:type="dxa"/>
              <w:right w:w="0" w:type="dxa"/>
            </w:tcMar>
            <w:vAlign w:val="bottom"/>
          </w:tcPr>
          <w:p w14:paraId="5F2D5E19"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F2D5E1A" w14:textId="77777777" w:rsidR="00E836FB" w:rsidRDefault="00994958">
            <w:pPr>
              <w:jc w:val="right"/>
              <w:textAlignment w:val="bottom"/>
            </w:pPr>
            <w:r>
              <w:rPr>
                <w:rFonts w:ascii="Arial" w:eastAsia="宋体" w:hAnsi="Arial" w:cs="Arial"/>
                <w:b/>
                <w:bCs/>
                <w:color w:val="000000"/>
                <w:sz w:val="16"/>
                <w:szCs w:val="16"/>
              </w:rPr>
              <w:t>482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1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5E1D" w14:textId="77777777" w:rsidR="00E836FB" w:rsidRDefault="00994958">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F2D5E1E" w14:textId="77777777" w:rsidR="00E836FB" w:rsidRDefault="00994958">
            <w:pPr>
              <w:jc w:val="right"/>
              <w:textAlignment w:val="bottom"/>
            </w:pPr>
            <w:r>
              <w:rPr>
                <w:rFonts w:ascii="Arial" w:eastAsia="宋体" w:hAnsi="Arial" w:cs="Arial"/>
                <w:color w:val="000000"/>
                <w:sz w:val="16"/>
                <w:szCs w:val="16"/>
              </w:rPr>
              <w:t>492 </w:t>
            </w:r>
          </w:p>
        </w:tc>
        <w:tc>
          <w:tcPr>
            <w:tcW w:w="0" w:type="auto"/>
            <w:shd w:val="clear" w:color="auto" w:fill="CCEEFF"/>
            <w:tcMar>
              <w:top w:w="40" w:type="dxa"/>
              <w:left w:w="0" w:type="dxa"/>
              <w:bottom w:w="40" w:type="dxa"/>
              <w:right w:w="20" w:type="dxa"/>
            </w:tcMar>
            <w:vAlign w:val="bottom"/>
          </w:tcPr>
          <w:p w14:paraId="5F2D5E1F" w14:textId="77777777" w:rsidR="00E836FB" w:rsidRDefault="00E836FB">
            <w:pPr>
              <w:jc w:val="right"/>
              <w:rPr>
                <w:rFonts w:ascii="宋体"/>
              </w:rPr>
            </w:pPr>
          </w:p>
        </w:tc>
      </w:tr>
      <w:tr w:rsidR="00E836FB" w14:paraId="5F2D5E27" w14:textId="77777777">
        <w:tc>
          <w:tcPr>
            <w:tcW w:w="0" w:type="auto"/>
            <w:gridSpan w:val="3"/>
            <w:shd w:val="clear" w:color="auto" w:fill="FFFFFF"/>
            <w:tcMar>
              <w:top w:w="40" w:type="dxa"/>
              <w:left w:w="20" w:type="dxa"/>
              <w:bottom w:w="40" w:type="dxa"/>
              <w:right w:w="20" w:type="dxa"/>
            </w:tcMar>
            <w:vAlign w:val="bottom"/>
          </w:tcPr>
          <w:p w14:paraId="5F2D5E21" w14:textId="77777777" w:rsidR="00E836FB" w:rsidRDefault="00994958">
            <w:pPr>
              <w:textAlignment w:val="bottom"/>
            </w:pPr>
            <w:r>
              <w:rPr>
                <w:rFonts w:ascii="Arial" w:eastAsia="宋体" w:hAnsi="Arial" w:cs="Arial"/>
                <w:color w:val="000000"/>
                <w:sz w:val="16"/>
                <w:szCs w:val="16"/>
              </w:rPr>
              <w:t>Trading account assets</w:t>
            </w:r>
          </w:p>
        </w:tc>
        <w:tc>
          <w:tcPr>
            <w:tcW w:w="0" w:type="auto"/>
            <w:gridSpan w:val="2"/>
            <w:shd w:val="clear" w:color="auto" w:fill="FFFFFF"/>
            <w:tcMar>
              <w:top w:w="40" w:type="dxa"/>
              <w:left w:w="20" w:type="dxa"/>
              <w:bottom w:w="40" w:type="dxa"/>
              <w:right w:w="0" w:type="dxa"/>
            </w:tcMar>
            <w:vAlign w:val="bottom"/>
          </w:tcPr>
          <w:p w14:paraId="5F2D5E22" w14:textId="77777777" w:rsidR="00E836FB" w:rsidRDefault="00994958">
            <w:pPr>
              <w:jc w:val="right"/>
              <w:textAlignment w:val="bottom"/>
            </w:pPr>
            <w:r>
              <w:rPr>
                <w:rFonts w:ascii="Arial" w:eastAsia="宋体" w:hAnsi="Arial" w:cs="Arial"/>
                <w:b/>
                <w:bCs/>
                <w:color w:val="000000"/>
                <w:sz w:val="16"/>
                <w:szCs w:val="16"/>
              </w:rPr>
              <w:t>440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E2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2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25" w14:textId="77777777" w:rsidR="00E836FB" w:rsidRDefault="00994958">
            <w:pPr>
              <w:jc w:val="right"/>
              <w:textAlignment w:val="bottom"/>
            </w:pPr>
            <w:r>
              <w:rPr>
                <w:rFonts w:ascii="Arial" w:eastAsia="宋体" w:hAnsi="Arial" w:cs="Arial"/>
                <w:color w:val="000000"/>
                <w:sz w:val="16"/>
                <w:szCs w:val="16"/>
              </w:rPr>
              <w:t>412 </w:t>
            </w:r>
          </w:p>
        </w:tc>
        <w:tc>
          <w:tcPr>
            <w:tcW w:w="0" w:type="auto"/>
            <w:shd w:val="clear" w:color="auto" w:fill="FFFFFF"/>
            <w:tcMar>
              <w:top w:w="40" w:type="dxa"/>
              <w:left w:w="0" w:type="dxa"/>
              <w:bottom w:w="40" w:type="dxa"/>
              <w:right w:w="20" w:type="dxa"/>
            </w:tcMar>
            <w:vAlign w:val="bottom"/>
          </w:tcPr>
          <w:p w14:paraId="5F2D5E26" w14:textId="77777777" w:rsidR="00E836FB" w:rsidRDefault="00E836FB">
            <w:pPr>
              <w:jc w:val="right"/>
              <w:rPr>
                <w:rFonts w:ascii="宋体"/>
              </w:rPr>
            </w:pPr>
          </w:p>
        </w:tc>
      </w:tr>
      <w:tr w:rsidR="00E836FB" w14:paraId="5F2D5E2E" w14:textId="77777777">
        <w:tc>
          <w:tcPr>
            <w:tcW w:w="0" w:type="auto"/>
            <w:gridSpan w:val="3"/>
            <w:shd w:val="clear" w:color="auto" w:fill="CCEEFF"/>
            <w:tcMar>
              <w:top w:w="40" w:type="dxa"/>
              <w:left w:w="20" w:type="dxa"/>
              <w:bottom w:w="40" w:type="dxa"/>
              <w:right w:w="20" w:type="dxa"/>
            </w:tcMar>
            <w:vAlign w:val="bottom"/>
          </w:tcPr>
          <w:p w14:paraId="5F2D5E28" w14:textId="77777777" w:rsidR="00E836FB" w:rsidRDefault="00994958">
            <w:pPr>
              <w:textAlignment w:val="bottom"/>
            </w:pPr>
            <w:r>
              <w:rPr>
                <w:rFonts w:ascii="Arial" w:eastAsia="宋体" w:hAnsi="Arial" w:cs="Arial"/>
                <w:color w:val="000000"/>
                <w:sz w:val="16"/>
                <w:szCs w:val="16"/>
              </w:rPr>
              <w:t>Investment securities available-for-sale</w:t>
            </w:r>
          </w:p>
        </w:tc>
        <w:tc>
          <w:tcPr>
            <w:tcW w:w="0" w:type="auto"/>
            <w:gridSpan w:val="2"/>
            <w:shd w:val="clear" w:color="auto" w:fill="CCEEFF"/>
            <w:tcMar>
              <w:top w:w="40" w:type="dxa"/>
              <w:left w:w="20" w:type="dxa"/>
              <w:bottom w:w="40" w:type="dxa"/>
              <w:right w:w="0" w:type="dxa"/>
            </w:tcMar>
            <w:vAlign w:val="bottom"/>
          </w:tcPr>
          <w:p w14:paraId="5F2D5E29" w14:textId="77777777" w:rsidR="00E836FB" w:rsidRDefault="00994958">
            <w:pPr>
              <w:jc w:val="right"/>
              <w:textAlignment w:val="bottom"/>
            </w:pPr>
            <w:r>
              <w:rPr>
                <w:rFonts w:ascii="Arial" w:eastAsia="宋体" w:hAnsi="Arial" w:cs="Arial"/>
                <w:b/>
                <w:bCs/>
                <w:color w:val="000000"/>
                <w:sz w:val="16"/>
                <w:szCs w:val="16"/>
              </w:rPr>
              <w:t>150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2C" w14:textId="77777777" w:rsidR="00E836FB" w:rsidRDefault="00994958">
            <w:pPr>
              <w:jc w:val="right"/>
              <w:textAlignment w:val="bottom"/>
            </w:pPr>
            <w:r>
              <w:rPr>
                <w:rFonts w:ascii="Arial" w:eastAsia="宋体" w:hAnsi="Arial" w:cs="Arial"/>
                <w:color w:val="000000"/>
                <w:sz w:val="16"/>
                <w:szCs w:val="16"/>
              </w:rPr>
              <w:t>100 </w:t>
            </w:r>
          </w:p>
        </w:tc>
        <w:tc>
          <w:tcPr>
            <w:tcW w:w="0" w:type="auto"/>
            <w:shd w:val="clear" w:color="auto" w:fill="CCEEFF"/>
            <w:tcMar>
              <w:top w:w="40" w:type="dxa"/>
              <w:left w:w="0" w:type="dxa"/>
              <w:bottom w:w="40" w:type="dxa"/>
              <w:right w:w="20" w:type="dxa"/>
            </w:tcMar>
            <w:vAlign w:val="bottom"/>
          </w:tcPr>
          <w:p w14:paraId="5F2D5E2D" w14:textId="77777777" w:rsidR="00E836FB" w:rsidRDefault="00E836FB">
            <w:pPr>
              <w:jc w:val="right"/>
              <w:rPr>
                <w:rFonts w:ascii="宋体"/>
              </w:rPr>
            </w:pPr>
          </w:p>
        </w:tc>
      </w:tr>
      <w:tr w:rsidR="00E836FB" w14:paraId="5F2D5E33" w14:textId="77777777">
        <w:tc>
          <w:tcPr>
            <w:tcW w:w="0" w:type="auto"/>
            <w:gridSpan w:val="3"/>
            <w:shd w:val="clear" w:color="auto" w:fill="FFFFFF"/>
            <w:tcMar>
              <w:top w:w="40" w:type="dxa"/>
              <w:left w:w="20" w:type="dxa"/>
              <w:bottom w:w="40" w:type="dxa"/>
              <w:right w:w="20" w:type="dxa"/>
            </w:tcMar>
            <w:vAlign w:val="bottom"/>
          </w:tcPr>
          <w:p w14:paraId="5F2D5E2F" w14:textId="77777777" w:rsidR="00E836FB" w:rsidRDefault="00994958">
            <w:pPr>
              <w:textAlignment w:val="bottom"/>
            </w:pPr>
            <w:r>
              <w:rPr>
                <w:rFonts w:ascii="Arial" w:eastAsia="宋体" w:hAnsi="Arial" w:cs="Arial"/>
                <w:color w:val="000000"/>
                <w:sz w:val="16"/>
                <w:szCs w:val="16"/>
              </w:rPr>
              <w:t>Investments in subsidiaries:</w:t>
            </w:r>
          </w:p>
        </w:tc>
        <w:tc>
          <w:tcPr>
            <w:tcW w:w="0" w:type="auto"/>
            <w:gridSpan w:val="3"/>
            <w:shd w:val="clear" w:color="auto" w:fill="FFFFFF"/>
            <w:tcMar>
              <w:top w:w="0" w:type="dxa"/>
              <w:left w:w="20" w:type="dxa"/>
              <w:bottom w:w="0" w:type="dxa"/>
              <w:right w:w="20" w:type="dxa"/>
            </w:tcMar>
            <w:vAlign w:val="bottom"/>
          </w:tcPr>
          <w:p w14:paraId="5F2D5E3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3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32" w14:textId="77777777" w:rsidR="00E836FB" w:rsidRDefault="00E836FB">
            <w:pPr>
              <w:rPr>
                <w:rFonts w:ascii="宋体"/>
              </w:rPr>
            </w:pPr>
          </w:p>
        </w:tc>
      </w:tr>
      <w:tr w:rsidR="00E836FB" w14:paraId="5F2D5E3A" w14:textId="77777777">
        <w:tc>
          <w:tcPr>
            <w:tcW w:w="0" w:type="auto"/>
            <w:gridSpan w:val="3"/>
            <w:shd w:val="clear" w:color="auto" w:fill="CCEEFF"/>
            <w:tcMar>
              <w:top w:w="40" w:type="dxa"/>
              <w:left w:w="155" w:type="dxa"/>
              <w:bottom w:w="40" w:type="dxa"/>
              <w:right w:w="20" w:type="dxa"/>
            </w:tcMar>
            <w:vAlign w:val="bottom"/>
          </w:tcPr>
          <w:p w14:paraId="5F2D5E34" w14:textId="77777777" w:rsidR="00E836FB" w:rsidRDefault="00994958">
            <w:pPr>
              <w:textAlignment w:val="bottom"/>
            </w:pPr>
            <w:r>
              <w:rPr>
                <w:rFonts w:ascii="Arial" w:eastAsia="宋体" w:hAnsi="Arial" w:cs="Arial"/>
                <w:color w:val="000000"/>
                <w:sz w:val="16"/>
                <w:szCs w:val="16"/>
              </w:rPr>
              <w:t xml:space="preserve">Consolidated banking </w:t>
            </w:r>
            <w:r>
              <w:rPr>
                <w:rFonts w:ascii="Arial" w:eastAsia="宋体" w:hAnsi="Arial" w:cs="Arial"/>
                <w:color w:val="000000"/>
                <w:sz w:val="16"/>
                <w:szCs w:val="16"/>
              </w:rPr>
              <w:t>subsidiary</w:t>
            </w:r>
          </w:p>
        </w:tc>
        <w:tc>
          <w:tcPr>
            <w:tcW w:w="0" w:type="auto"/>
            <w:gridSpan w:val="2"/>
            <w:shd w:val="clear" w:color="auto" w:fill="CCEEFF"/>
            <w:tcMar>
              <w:top w:w="40" w:type="dxa"/>
              <w:left w:w="20" w:type="dxa"/>
              <w:bottom w:w="40" w:type="dxa"/>
              <w:right w:w="0" w:type="dxa"/>
            </w:tcMar>
            <w:vAlign w:val="bottom"/>
          </w:tcPr>
          <w:p w14:paraId="5F2D5E35" w14:textId="77777777" w:rsidR="00E836FB" w:rsidRDefault="00994958">
            <w:pPr>
              <w:jc w:val="right"/>
              <w:textAlignment w:val="bottom"/>
            </w:pPr>
            <w:r>
              <w:rPr>
                <w:rFonts w:ascii="Arial" w:eastAsia="宋体" w:hAnsi="Arial" w:cs="Arial"/>
                <w:b/>
                <w:bCs/>
                <w:color w:val="000000"/>
                <w:sz w:val="16"/>
                <w:szCs w:val="16"/>
              </w:rPr>
              <w:t>27,821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3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3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38" w14:textId="77777777" w:rsidR="00E836FB" w:rsidRDefault="00994958">
            <w:pPr>
              <w:jc w:val="right"/>
              <w:textAlignment w:val="bottom"/>
            </w:pPr>
            <w:r>
              <w:rPr>
                <w:rFonts w:ascii="Arial" w:eastAsia="宋体" w:hAnsi="Arial" w:cs="Arial"/>
                <w:color w:val="000000"/>
                <w:sz w:val="16"/>
                <w:szCs w:val="16"/>
              </w:rPr>
              <w:t>26,204 </w:t>
            </w:r>
          </w:p>
        </w:tc>
        <w:tc>
          <w:tcPr>
            <w:tcW w:w="0" w:type="auto"/>
            <w:shd w:val="clear" w:color="auto" w:fill="CCEEFF"/>
            <w:tcMar>
              <w:top w:w="40" w:type="dxa"/>
              <w:left w:w="0" w:type="dxa"/>
              <w:bottom w:w="40" w:type="dxa"/>
              <w:right w:w="20" w:type="dxa"/>
            </w:tcMar>
            <w:vAlign w:val="bottom"/>
          </w:tcPr>
          <w:p w14:paraId="5F2D5E39" w14:textId="77777777" w:rsidR="00E836FB" w:rsidRDefault="00E836FB">
            <w:pPr>
              <w:jc w:val="right"/>
              <w:rPr>
                <w:rFonts w:ascii="宋体"/>
              </w:rPr>
            </w:pPr>
          </w:p>
        </w:tc>
      </w:tr>
      <w:tr w:rsidR="00E836FB" w14:paraId="5F2D5E41" w14:textId="77777777">
        <w:tc>
          <w:tcPr>
            <w:tcW w:w="0" w:type="auto"/>
            <w:gridSpan w:val="3"/>
            <w:shd w:val="clear" w:color="auto" w:fill="FFFFFF"/>
            <w:tcMar>
              <w:top w:w="40" w:type="dxa"/>
              <w:left w:w="155" w:type="dxa"/>
              <w:bottom w:w="40" w:type="dxa"/>
              <w:right w:w="20" w:type="dxa"/>
            </w:tcMar>
            <w:vAlign w:val="bottom"/>
          </w:tcPr>
          <w:p w14:paraId="5F2D5E3B" w14:textId="77777777" w:rsidR="00E836FB" w:rsidRDefault="00994958">
            <w:pPr>
              <w:textAlignment w:val="bottom"/>
            </w:pPr>
            <w:r>
              <w:rPr>
                <w:rFonts w:ascii="Arial" w:eastAsia="宋体" w:hAnsi="Arial" w:cs="Arial"/>
                <w:color w:val="000000"/>
                <w:sz w:val="16"/>
                <w:szCs w:val="16"/>
              </w:rPr>
              <w:t>Consolidated non-banking subsidiaries</w:t>
            </w:r>
          </w:p>
        </w:tc>
        <w:tc>
          <w:tcPr>
            <w:tcW w:w="0" w:type="auto"/>
            <w:gridSpan w:val="2"/>
            <w:shd w:val="clear" w:color="auto" w:fill="FFFFFF"/>
            <w:tcMar>
              <w:top w:w="40" w:type="dxa"/>
              <w:left w:w="20" w:type="dxa"/>
              <w:bottom w:w="40" w:type="dxa"/>
              <w:right w:w="0" w:type="dxa"/>
            </w:tcMar>
            <w:vAlign w:val="bottom"/>
          </w:tcPr>
          <w:p w14:paraId="5F2D5E3C" w14:textId="77777777" w:rsidR="00E836FB" w:rsidRDefault="00994958">
            <w:pPr>
              <w:jc w:val="right"/>
              <w:textAlignment w:val="bottom"/>
            </w:pPr>
            <w:r>
              <w:rPr>
                <w:rFonts w:ascii="Arial" w:eastAsia="宋体" w:hAnsi="Arial" w:cs="Arial"/>
                <w:b/>
                <w:bCs/>
                <w:color w:val="000000"/>
                <w:sz w:val="16"/>
                <w:szCs w:val="16"/>
              </w:rPr>
              <w:t>9,060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E3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3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3F" w14:textId="77777777" w:rsidR="00E836FB" w:rsidRDefault="00994958">
            <w:pPr>
              <w:jc w:val="right"/>
              <w:textAlignment w:val="bottom"/>
            </w:pPr>
            <w:r>
              <w:rPr>
                <w:rFonts w:ascii="Arial" w:eastAsia="宋体" w:hAnsi="Arial" w:cs="Arial"/>
                <w:color w:val="000000"/>
                <w:sz w:val="16"/>
                <w:szCs w:val="16"/>
              </w:rPr>
              <w:t>8,807 </w:t>
            </w:r>
          </w:p>
        </w:tc>
        <w:tc>
          <w:tcPr>
            <w:tcW w:w="0" w:type="auto"/>
            <w:shd w:val="clear" w:color="auto" w:fill="FFFFFF"/>
            <w:tcMar>
              <w:top w:w="40" w:type="dxa"/>
              <w:left w:w="0" w:type="dxa"/>
              <w:bottom w:w="40" w:type="dxa"/>
              <w:right w:w="20" w:type="dxa"/>
            </w:tcMar>
            <w:vAlign w:val="bottom"/>
          </w:tcPr>
          <w:p w14:paraId="5F2D5E40" w14:textId="77777777" w:rsidR="00E836FB" w:rsidRDefault="00E836FB">
            <w:pPr>
              <w:jc w:val="right"/>
              <w:rPr>
                <w:rFonts w:ascii="宋体"/>
              </w:rPr>
            </w:pPr>
          </w:p>
        </w:tc>
      </w:tr>
      <w:tr w:rsidR="00E836FB" w14:paraId="5F2D5E48" w14:textId="77777777">
        <w:tc>
          <w:tcPr>
            <w:tcW w:w="0" w:type="auto"/>
            <w:gridSpan w:val="3"/>
            <w:shd w:val="clear" w:color="auto" w:fill="CCEEFF"/>
            <w:tcMar>
              <w:top w:w="40" w:type="dxa"/>
              <w:left w:w="155" w:type="dxa"/>
              <w:bottom w:w="40" w:type="dxa"/>
              <w:right w:w="20" w:type="dxa"/>
            </w:tcMar>
            <w:vAlign w:val="bottom"/>
          </w:tcPr>
          <w:p w14:paraId="5F2D5E42" w14:textId="77777777" w:rsidR="00E836FB" w:rsidRDefault="00994958">
            <w:pPr>
              <w:textAlignment w:val="bottom"/>
            </w:pPr>
            <w:r>
              <w:rPr>
                <w:rFonts w:ascii="Arial" w:eastAsia="宋体" w:hAnsi="Arial" w:cs="Arial"/>
                <w:color w:val="000000"/>
                <w:sz w:val="16"/>
                <w:szCs w:val="16"/>
              </w:rPr>
              <w:t>Unconsolidated entities</w:t>
            </w:r>
          </w:p>
        </w:tc>
        <w:tc>
          <w:tcPr>
            <w:tcW w:w="0" w:type="auto"/>
            <w:gridSpan w:val="2"/>
            <w:shd w:val="clear" w:color="auto" w:fill="CCEEFF"/>
            <w:tcMar>
              <w:top w:w="40" w:type="dxa"/>
              <w:left w:w="20" w:type="dxa"/>
              <w:bottom w:w="40" w:type="dxa"/>
              <w:right w:w="0" w:type="dxa"/>
            </w:tcMar>
            <w:vAlign w:val="bottom"/>
          </w:tcPr>
          <w:p w14:paraId="5F2D5E43" w14:textId="77777777" w:rsidR="00E836FB" w:rsidRDefault="00994958">
            <w:pPr>
              <w:jc w:val="right"/>
              <w:textAlignment w:val="bottom"/>
            </w:pPr>
            <w:r>
              <w:rPr>
                <w:rFonts w:ascii="Arial" w:eastAsia="宋体" w:hAnsi="Arial" w:cs="Arial"/>
                <w:b/>
                <w:bCs/>
                <w:color w:val="000000"/>
                <w:sz w:val="16"/>
                <w:szCs w:val="16"/>
              </w:rPr>
              <w:t>122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4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4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46" w14:textId="77777777" w:rsidR="00E836FB" w:rsidRDefault="00994958">
            <w:pPr>
              <w:jc w:val="right"/>
              <w:textAlignment w:val="bottom"/>
            </w:pPr>
            <w:r>
              <w:rPr>
                <w:rFonts w:ascii="Arial" w:eastAsia="宋体" w:hAnsi="Arial" w:cs="Arial"/>
                <w:color w:val="000000"/>
                <w:sz w:val="16"/>
                <w:szCs w:val="16"/>
              </w:rPr>
              <w:t>124 </w:t>
            </w:r>
          </w:p>
        </w:tc>
        <w:tc>
          <w:tcPr>
            <w:tcW w:w="0" w:type="auto"/>
            <w:shd w:val="clear" w:color="auto" w:fill="CCEEFF"/>
            <w:tcMar>
              <w:top w:w="40" w:type="dxa"/>
              <w:left w:w="0" w:type="dxa"/>
              <w:bottom w:w="40" w:type="dxa"/>
              <w:right w:w="20" w:type="dxa"/>
            </w:tcMar>
            <w:vAlign w:val="bottom"/>
          </w:tcPr>
          <w:p w14:paraId="5F2D5E47" w14:textId="77777777" w:rsidR="00E836FB" w:rsidRDefault="00E836FB">
            <w:pPr>
              <w:jc w:val="right"/>
              <w:rPr>
                <w:rFonts w:ascii="宋体"/>
              </w:rPr>
            </w:pPr>
          </w:p>
        </w:tc>
      </w:tr>
      <w:tr w:rsidR="00E836FB" w14:paraId="5F2D5E4D" w14:textId="77777777">
        <w:tc>
          <w:tcPr>
            <w:tcW w:w="0" w:type="auto"/>
            <w:gridSpan w:val="3"/>
            <w:shd w:val="clear" w:color="auto" w:fill="FFFFFF"/>
            <w:tcMar>
              <w:top w:w="40" w:type="dxa"/>
              <w:left w:w="20" w:type="dxa"/>
              <w:bottom w:w="40" w:type="dxa"/>
              <w:right w:w="20" w:type="dxa"/>
            </w:tcMar>
            <w:vAlign w:val="bottom"/>
          </w:tcPr>
          <w:p w14:paraId="5F2D5E49" w14:textId="77777777" w:rsidR="00E836FB" w:rsidRDefault="00994958">
            <w:pPr>
              <w:textAlignment w:val="bottom"/>
            </w:pPr>
            <w:r>
              <w:rPr>
                <w:rFonts w:ascii="Arial" w:eastAsia="宋体" w:hAnsi="Arial" w:cs="Arial"/>
                <w:color w:val="000000"/>
                <w:sz w:val="16"/>
                <w:szCs w:val="16"/>
              </w:rPr>
              <w:t>Notes and other receivables from:</w:t>
            </w:r>
          </w:p>
        </w:tc>
        <w:tc>
          <w:tcPr>
            <w:tcW w:w="0" w:type="auto"/>
            <w:gridSpan w:val="3"/>
            <w:shd w:val="clear" w:color="auto" w:fill="FFFFFF"/>
            <w:tcMar>
              <w:top w:w="0" w:type="dxa"/>
              <w:left w:w="20" w:type="dxa"/>
              <w:bottom w:w="0" w:type="dxa"/>
              <w:right w:w="20" w:type="dxa"/>
            </w:tcMar>
            <w:vAlign w:val="bottom"/>
          </w:tcPr>
          <w:p w14:paraId="5F2D5E4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4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4C" w14:textId="77777777" w:rsidR="00E836FB" w:rsidRDefault="00E836FB">
            <w:pPr>
              <w:rPr>
                <w:rFonts w:ascii="宋体"/>
              </w:rPr>
            </w:pPr>
          </w:p>
        </w:tc>
      </w:tr>
      <w:tr w:rsidR="00E836FB" w14:paraId="5F2D5E54" w14:textId="77777777">
        <w:tc>
          <w:tcPr>
            <w:tcW w:w="0" w:type="auto"/>
            <w:gridSpan w:val="3"/>
            <w:shd w:val="clear" w:color="auto" w:fill="CCEEFF"/>
            <w:tcMar>
              <w:top w:w="40" w:type="dxa"/>
              <w:left w:w="155" w:type="dxa"/>
              <w:bottom w:w="40" w:type="dxa"/>
              <w:right w:w="20" w:type="dxa"/>
            </w:tcMar>
            <w:vAlign w:val="bottom"/>
          </w:tcPr>
          <w:p w14:paraId="5F2D5E4E" w14:textId="77777777" w:rsidR="00E836FB" w:rsidRDefault="00994958">
            <w:pPr>
              <w:textAlignment w:val="bottom"/>
            </w:pPr>
            <w:r>
              <w:rPr>
                <w:rFonts w:ascii="Arial" w:eastAsia="宋体" w:hAnsi="Arial" w:cs="Arial"/>
                <w:color w:val="000000"/>
                <w:sz w:val="16"/>
                <w:szCs w:val="16"/>
              </w:rPr>
              <w:t>Consolidated banking subsidiary</w:t>
            </w:r>
          </w:p>
        </w:tc>
        <w:tc>
          <w:tcPr>
            <w:tcW w:w="0" w:type="auto"/>
            <w:gridSpan w:val="2"/>
            <w:shd w:val="clear" w:color="auto" w:fill="CCEEFF"/>
            <w:tcMar>
              <w:top w:w="40" w:type="dxa"/>
              <w:left w:w="20" w:type="dxa"/>
              <w:bottom w:w="40" w:type="dxa"/>
              <w:right w:w="0" w:type="dxa"/>
            </w:tcMar>
            <w:vAlign w:val="bottom"/>
          </w:tcPr>
          <w:p w14:paraId="5F2D5E4F" w14:textId="77777777" w:rsidR="00E836FB" w:rsidRDefault="00994958">
            <w:pPr>
              <w:jc w:val="right"/>
              <w:textAlignment w:val="bottom"/>
            </w:pPr>
            <w:r>
              <w:rPr>
                <w:rFonts w:ascii="Arial" w:eastAsia="宋体" w:hAnsi="Arial" w:cs="Arial"/>
                <w:b/>
                <w:bCs/>
                <w:color w:val="000000"/>
                <w:sz w:val="16"/>
                <w:szCs w:val="16"/>
              </w:rPr>
              <w:t>80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5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5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52" w14:textId="77777777" w:rsidR="00E836FB" w:rsidRDefault="00994958">
            <w:pPr>
              <w:jc w:val="right"/>
              <w:textAlignment w:val="bottom"/>
            </w:pPr>
            <w:r>
              <w:rPr>
                <w:rFonts w:ascii="Arial" w:eastAsia="宋体" w:hAnsi="Arial" w:cs="Arial"/>
                <w:color w:val="000000"/>
                <w:sz w:val="16"/>
                <w:szCs w:val="16"/>
              </w:rPr>
              <w:t>81 </w:t>
            </w:r>
          </w:p>
        </w:tc>
        <w:tc>
          <w:tcPr>
            <w:tcW w:w="0" w:type="auto"/>
            <w:shd w:val="clear" w:color="auto" w:fill="CCEEFF"/>
            <w:tcMar>
              <w:top w:w="40" w:type="dxa"/>
              <w:left w:w="0" w:type="dxa"/>
              <w:bottom w:w="40" w:type="dxa"/>
              <w:right w:w="20" w:type="dxa"/>
            </w:tcMar>
            <w:vAlign w:val="bottom"/>
          </w:tcPr>
          <w:p w14:paraId="5F2D5E53" w14:textId="77777777" w:rsidR="00E836FB" w:rsidRDefault="00E836FB">
            <w:pPr>
              <w:jc w:val="right"/>
              <w:rPr>
                <w:rFonts w:ascii="宋体"/>
              </w:rPr>
            </w:pPr>
          </w:p>
        </w:tc>
      </w:tr>
      <w:tr w:rsidR="00E836FB" w14:paraId="5F2D5E5B" w14:textId="77777777">
        <w:tc>
          <w:tcPr>
            <w:tcW w:w="0" w:type="auto"/>
            <w:gridSpan w:val="3"/>
            <w:shd w:val="clear" w:color="auto" w:fill="FFFFFF"/>
            <w:tcMar>
              <w:top w:w="40" w:type="dxa"/>
              <w:left w:w="155" w:type="dxa"/>
              <w:bottom w:w="40" w:type="dxa"/>
              <w:right w:w="20" w:type="dxa"/>
            </w:tcMar>
            <w:vAlign w:val="bottom"/>
          </w:tcPr>
          <w:p w14:paraId="5F2D5E55" w14:textId="77777777" w:rsidR="00E836FB" w:rsidRDefault="00994958">
            <w:pPr>
              <w:textAlignment w:val="bottom"/>
            </w:pPr>
            <w:r>
              <w:rPr>
                <w:rFonts w:ascii="Arial" w:eastAsia="宋体" w:hAnsi="Arial" w:cs="Arial"/>
                <w:color w:val="000000"/>
                <w:sz w:val="16"/>
                <w:szCs w:val="16"/>
              </w:rPr>
              <w:t xml:space="preserve">Consolidated non-banking subsidiaries and </w:t>
            </w:r>
            <w:r>
              <w:rPr>
                <w:rFonts w:ascii="Arial" w:eastAsia="宋体" w:hAnsi="Arial" w:cs="Arial"/>
                <w:color w:val="000000"/>
                <w:sz w:val="16"/>
                <w:szCs w:val="16"/>
              </w:rPr>
              <w:t>unconsolidated entities</w:t>
            </w:r>
          </w:p>
        </w:tc>
        <w:tc>
          <w:tcPr>
            <w:tcW w:w="0" w:type="auto"/>
            <w:gridSpan w:val="2"/>
            <w:shd w:val="clear" w:color="auto" w:fill="auto"/>
            <w:tcMar>
              <w:top w:w="40" w:type="dxa"/>
              <w:left w:w="20" w:type="dxa"/>
              <w:bottom w:w="40" w:type="dxa"/>
              <w:right w:w="0" w:type="dxa"/>
            </w:tcMar>
            <w:vAlign w:val="bottom"/>
          </w:tcPr>
          <w:p w14:paraId="5F2D5E56" w14:textId="77777777" w:rsidR="00E836FB" w:rsidRDefault="00994958">
            <w:pPr>
              <w:jc w:val="right"/>
              <w:textAlignment w:val="bottom"/>
            </w:pPr>
            <w:r>
              <w:rPr>
                <w:rFonts w:ascii="Arial" w:eastAsia="宋体" w:hAnsi="Arial" w:cs="Arial"/>
                <w:b/>
                <w:bCs/>
                <w:color w:val="000000"/>
                <w:sz w:val="16"/>
                <w:szCs w:val="16"/>
              </w:rPr>
              <w:t>5,029</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5F2D5E5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58" w14:textId="77777777" w:rsidR="00E836FB" w:rsidRDefault="00E836FB">
            <w:pPr>
              <w:rPr>
                <w:rFonts w:ascii="宋体"/>
              </w:rPr>
            </w:pPr>
          </w:p>
        </w:tc>
        <w:tc>
          <w:tcPr>
            <w:tcW w:w="0" w:type="auto"/>
            <w:gridSpan w:val="2"/>
            <w:shd w:val="clear" w:color="auto" w:fill="auto"/>
            <w:tcMar>
              <w:top w:w="40" w:type="dxa"/>
              <w:left w:w="20" w:type="dxa"/>
              <w:bottom w:w="40" w:type="dxa"/>
              <w:right w:w="0" w:type="dxa"/>
            </w:tcMar>
            <w:vAlign w:val="bottom"/>
          </w:tcPr>
          <w:p w14:paraId="5F2D5E59" w14:textId="77777777" w:rsidR="00E836FB" w:rsidRDefault="00994958">
            <w:pPr>
              <w:jc w:val="right"/>
              <w:textAlignment w:val="bottom"/>
            </w:pPr>
            <w:r>
              <w:rPr>
                <w:rFonts w:ascii="Arial" w:eastAsia="宋体" w:hAnsi="Arial" w:cs="Arial"/>
                <w:color w:val="000000"/>
                <w:sz w:val="16"/>
                <w:szCs w:val="16"/>
              </w:rPr>
              <w:t>3,885 </w:t>
            </w:r>
          </w:p>
        </w:tc>
        <w:tc>
          <w:tcPr>
            <w:tcW w:w="0" w:type="auto"/>
            <w:shd w:val="clear" w:color="auto" w:fill="auto"/>
            <w:tcMar>
              <w:top w:w="40" w:type="dxa"/>
              <w:left w:w="0" w:type="dxa"/>
              <w:bottom w:w="40" w:type="dxa"/>
              <w:right w:w="20" w:type="dxa"/>
            </w:tcMar>
            <w:vAlign w:val="bottom"/>
          </w:tcPr>
          <w:p w14:paraId="5F2D5E5A" w14:textId="77777777" w:rsidR="00E836FB" w:rsidRDefault="00E836FB">
            <w:pPr>
              <w:jc w:val="right"/>
              <w:rPr>
                <w:rFonts w:ascii="宋体"/>
              </w:rPr>
            </w:pPr>
          </w:p>
        </w:tc>
      </w:tr>
      <w:tr w:rsidR="00E836FB" w14:paraId="5F2D5E62" w14:textId="77777777">
        <w:tc>
          <w:tcPr>
            <w:tcW w:w="0" w:type="auto"/>
            <w:gridSpan w:val="3"/>
            <w:shd w:val="clear" w:color="auto" w:fill="CCEEFF"/>
            <w:tcMar>
              <w:top w:w="40" w:type="dxa"/>
              <w:left w:w="20" w:type="dxa"/>
              <w:bottom w:w="40" w:type="dxa"/>
              <w:right w:w="20" w:type="dxa"/>
            </w:tcMar>
            <w:vAlign w:val="bottom"/>
          </w:tcPr>
          <w:p w14:paraId="5F2D5E5C" w14:textId="77777777" w:rsidR="00E836FB" w:rsidRDefault="00994958">
            <w:pPr>
              <w:textAlignment w:val="bottom"/>
            </w:pPr>
            <w:r>
              <w:rPr>
                <w:rFonts w:ascii="Arial" w:eastAsia="宋体" w:hAnsi="Arial" w:cs="Arial"/>
                <w:color w:val="000000"/>
                <w:sz w:val="16"/>
                <w:szCs w:val="16"/>
              </w:rPr>
              <w:t>Other assets</w:t>
            </w:r>
          </w:p>
        </w:tc>
        <w:tc>
          <w:tcPr>
            <w:tcW w:w="0" w:type="auto"/>
            <w:gridSpan w:val="2"/>
            <w:shd w:val="clear" w:color="auto" w:fill="CCEEFF"/>
            <w:tcMar>
              <w:top w:w="40" w:type="dxa"/>
              <w:left w:w="20" w:type="dxa"/>
              <w:bottom w:w="40" w:type="dxa"/>
              <w:right w:w="0" w:type="dxa"/>
            </w:tcMar>
            <w:vAlign w:val="bottom"/>
          </w:tcPr>
          <w:p w14:paraId="5F2D5E5D" w14:textId="77777777" w:rsidR="00E836FB" w:rsidRDefault="00994958">
            <w:pPr>
              <w:jc w:val="right"/>
              <w:textAlignment w:val="bottom"/>
            </w:pPr>
            <w:r>
              <w:rPr>
                <w:rFonts w:ascii="Arial" w:eastAsia="宋体" w:hAnsi="Arial" w:cs="Arial"/>
                <w:b/>
                <w:bCs/>
                <w:color w:val="000000"/>
                <w:sz w:val="16"/>
                <w:szCs w:val="16"/>
              </w:rPr>
              <w:t>256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60" w14:textId="77777777" w:rsidR="00E836FB" w:rsidRDefault="00994958">
            <w:pPr>
              <w:jc w:val="right"/>
              <w:textAlignment w:val="bottom"/>
            </w:pPr>
            <w:r>
              <w:rPr>
                <w:rFonts w:ascii="Arial" w:eastAsia="宋体" w:hAnsi="Arial" w:cs="Arial"/>
                <w:color w:val="000000"/>
                <w:sz w:val="16"/>
                <w:szCs w:val="16"/>
              </w:rPr>
              <w:t>277 </w:t>
            </w:r>
          </w:p>
        </w:tc>
        <w:tc>
          <w:tcPr>
            <w:tcW w:w="0" w:type="auto"/>
            <w:shd w:val="clear" w:color="auto" w:fill="CCEEFF"/>
            <w:tcMar>
              <w:top w:w="40" w:type="dxa"/>
              <w:left w:w="0" w:type="dxa"/>
              <w:bottom w:w="40" w:type="dxa"/>
              <w:right w:w="20" w:type="dxa"/>
            </w:tcMar>
            <w:vAlign w:val="bottom"/>
          </w:tcPr>
          <w:p w14:paraId="5F2D5E61" w14:textId="77777777" w:rsidR="00E836FB" w:rsidRDefault="00E836FB">
            <w:pPr>
              <w:jc w:val="right"/>
              <w:rPr>
                <w:rFonts w:ascii="宋体"/>
              </w:rPr>
            </w:pPr>
          </w:p>
        </w:tc>
      </w:tr>
      <w:tr w:rsidR="00E836FB" w14:paraId="5F2D5E6B" w14:textId="77777777">
        <w:tc>
          <w:tcPr>
            <w:tcW w:w="0" w:type="auto"/>
            <w:gridSpan w:val="3"/>
            <w:shd w:val="clear" w:color="auto" w:fill="FFFFFF"/>
            <w:tcMar>
              <w:top w:w="40" w:type="dxa"/>
              <w:left w:w="20" w:type="dxa"/>
              <w:bottom w:w="40" w:type="dxa"/>
              <w:right w:w="20" w:type="dxa"/>
            </w:tcMar>
            <w:vAlign w:val="bottom"/>
          </w:tcPr>
          <w:p w14:paraId="5F2D5E63" w14:textId="77777777" w:rsidR="00E836FB" w:rsidRDefault="00994958">
            <w:pPr>
              <w:textAlignment w:val="bottom"/>
            </w:pPr>
            <w:r>
              <w:rPr>
                <w:rFonts w:ascii="Arial" w:eastAsia="宋体" w:hAnsi="Arial" w:cs="Arial"/>
                <w:b/>
                <w:bCs/>
                <w:color w:val="000000"/>
                <w:sz w:val="16"/>
                <w:szCs w:val="16"/>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F2D5E64"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E65" w14:textId="77777777" w:rsidR="00E836FB" w:rsidRDefault="00994958">
            <w:pPr>
              <w:jc w:val="right"/>
              <w:textAlignment w:val="bottom"/>
            </w:pPr>
            <w:r>
              <w:rPr>
                <w:rFonts w:ascii="Arial" w:eastAsia="宋体" w:hAnsi="Arial" w:cs="Arial"/>
                <w:b/>
                <w:bCs/>
                <w:color w:val="000000"/>
                <w:sz w:val="16"/>
                <w:szCs w:val="16"/>
              </w:rPr>
              <w:t>43,440</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E6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67"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5E68"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5E69" w14:textId="77777777" w:rsidR="00E836FB" w:rsidRDefault="00994958">
            <w:pPr>
              <w:jc w:val="right"/>
              <w:textAlignment w:val="bottom"/>
            </w:pPr>
            <w:r>
              <w:rPr>
                <w:rFonts w:ascii="Arial" w:eastAsia="宋体" w:hAnsi="Arial" w:cs="Arial"/>
                <w:color w:val="000000"/>
                <w:sz w:val="16"/>
                <w:szCs w:val="16"/>
              </w:rPr>
              <w:t>40,382 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E6A" w14:textId="77777777" w:rsidR="00E836FB" w:rsidRDefault="00E836FB">
            <w:pPr>
              <w:jc w:val="right"/>
              <w:rPr>
                <w:rFonts w:ascii="宋体"/>
              </w:rPr>
            </w:pPr>
          </w:p>
        </w:tc>
      </w:tr>
      <w:tr w:rsidR="00E836FB" w14:paraId="5F2D5E70" w14:textId="77777777">
        <w:tc>
          <w:tcPr>
            <w:tcW w:w="0" w:type="auto"/>
            <w:gridSpan w:val="3"/>
            <w:shd w:val="clear" w:color="auto" w:fill="CCEEFF"/>
            <w:tcMar>
              <w:top w:w="40" w:type="dxa"/>
              <w:left w:w="20" w:type="dxa"/>
              <w:bottom w:w="40" w:type="dxa"/>
              <w:right w:w="20" w:type="dxa"/>
            </w:tcMar>
            <w:vAlign w:val="bottom"/>
          </w:tcPr>
          <w:p w14:paraId="5F2D5E6C" w14:textId="77777777" w:rsidR="00E836FB" w:rsidRDefault="00994958">
            <w:pPr>
              <w:textAlignment w:val="bottom"/>
            </w:pPr>
            <w:r>
              <w:rPr>
                <w:rFonts w:ascii="Arial" w:eastAsia="宋体" w:hAnsi="Arial" w:cs="Arial"/>
                <w:b/>
                <w:bCs/>
                <w:color w:val="000000"/>
                <w:sz w:val="16"/>
                <w:szCs w:val="16"/>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5E6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E6E"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5E6F" w14:textId="77777777" w:rsidR="00E836FB" w:rsidRDefault="00E836FB">
            <w:pPr>
              <w:rPr>
                <w:rFonts w:ascii="宋体"/>
              </w:rPr>
            </w:pPr>
          </w:p>
        </w:tc>
      </w:tr>
      <w:tr w:rsidR="00E836FB" w14:paraId="5F2D5E79" w14:textId="77777777">
        <w:tc>
          <w:tcPr>
            <w:tcW w:w="0" w:type="auto"/>
            <w:gridSpan w:val="3"/>
            <w:shd w:val="clear" w:color="auto" w:fill="FFFFFF"/>
            <w:tcMar>
              <w:top w:w="40" w:type="dxa"/>
              <w:left w:w="20" w:type="dxa"/>
              <w:bottom w:w="40" w:type="dxa"/>
              <w:right w:w="20" w:type="dxa"/>
            </w:tcMar>
            <w:vAlign w:val="bottom"/>
          </w:tcPr>
          <w:p w14:paraId="5F2D5E71" w14:textId="77777777" w:rsidR="00E836FB" w:rsidRDefault="00994958">
            <w:pPr>
              <w:textAlignment w:val="bottom"/>
            </w:pPr>
            <w:r>
              <w:rPr>
                <w:rFonts w:ascii="Arial" w:eastAsia="宋体" w:hAnsi="Arial" w:cs="Arial"/>
                <w:color w:val="000000"/>
                <w:sz w:val="16"/>
                <w:szCs w:val="16"/>
              </w:rPr>
              <w:t>Notes and other payables to consolidated banking and non-banking subsidiaries and unconsolidated entities</w:t>
            </w:r>
          </w:p>
        </w:tc>
        <w:tc>
          <w:tcPr>
            <w:tcW w:w="0" w:type="auto"/>
            <w:shd w:val="clear" w:color="auto" w:fill="FFFFFF"/>
            <w:tcMar>
              <w:top w:w="40" w:type="dxa"/>
              <w:left w:w="20" w:type="dxa"/>
              <w:bottom w:w="40" w:type="dxa"/>
              <w:right w:w="0" w:type="dxa"/>
            </w:tcMar>
            <w:vAlign w:val="bottom"/>
          </w:tcPr>
          <w:p w14:paraId="5F2D5E72"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5F2D5E73" w14:textId="77777777" w:rsidR="00E836FB" w:rsidRDefault="00994958">
            <w:pPr>
              <w:jc w:val="right"/>
              <w:textAlignment w:val="bottom"/>
            </w:pPr>
            <w:r>
              <w:rPr>
                <w:rFonts w:ascii="Arial" w:eastAsia="宋体" w:hAnsi="Arial" w:cs="Arial"/>
                <w:b/>
                <w:bCs/>
                <w:color w:val="000000"/>
                <w:sz w:val="16"/>
                <w:szCs w:val="16"/>
              </w:rPr>
              <w:t>2,303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E7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75" w14:textId="77777777" w:rsidR="00E836FB" w:rsidRDefault="00E836FB">
            <w:pPr>
              <w:rPr>
                <w:rFonts w:ascii="宋体"/>
              </w:rPr>
            </w:pPr>
          </w:p>
        </w:tc>
        <w:tc>
          <w:tcPr>
            <w:tcW w:w="0" w:type="auto"/>
            <w:shd w:val="clear" w:color="auto" w:fill="FFFFFF"/>
            <w:tcMar>
              <w:top w:w="40" w:type="dxa"/>
              <w:left w:w="20" w:type="dxa"/>
              <w:bottom w:w="40" w:type="dxa"/>
              <w:right w:w="0" w:type="dxa"/>
            </w:tcMar>
            <w:vAlign w:val="bottom"/>
          </w:tcPr>
          <w:p w14:paraId="5F2D5E76" w14:textId="77777777" w:rsidR="00E836FB" w:rsidRDefault="00994958">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5F2D5E77" w14:textId="77777777" w:rsidR="00E836FB" w:rsidRDefault="00994958">
            <w:pPr>
              <w:jc w:val="right"/>
              <w:textAlignment w:val="bottom"/>
            </w:pPr>
            <w:r>
              <w:rPr>
                <w:rFonts w:ascii="Arial" w:eastAsia="宋体" w:hAnsi="Arial" w:cs="Arial"/>
                <w:color w:val="000000"/>
                <w:sz w:val="16"/>
                <w:szCs w:val="16"/>
              </w:rPr>
              <w:t>104 </w:t>
            </w:r>
          </w:p>
        </w:tc>
        <w:tc>
          <w:tcPr>
            <w:tcW w:w="0" w:type="auto"/>
            <w:shd w:val="clear" w:color="auto" w:fill="FFFFFF"/>
            <w:tcMar>
              <w:top w:w="40" w:type="dxa"/>
              <w:left w:w="0" w:type="dxa"/>
              <w:bottom w:w="40" w:type="dxa"/>
              <w:right w:w="20" w:type="dxa"/>
            </w:tcMar>
            <w:vAlign w:val="bottom"/>
          </w:tcPr>
          <w:p w14:paraId="5F2D5E78" w14:textId="77777777" w:rsidR="00E836FB" w:rsidRDefault="00E836FB">
            <w:pPr>
              <w:jc w:val="right"/>
              <w:rPr>
                <w:rFonts w:ascii="宋体"/>
              </w:rPr>
            </w:pPr>
          </w:p>
        </w:tc>
      </w:tr>
      <w:tr w:rsidR="00E836FB" w14:paraId="5F2D5E80" w14:textId="77777777">
        <w:tc>
          <w:tcPr>
            <w:tcW w:w="0" w:type="auto"/>
            <w:gridSpan w:val="3"/>
            <w:shd w:val="clear" w:color="auto" w:fill="CCEEFF"/>
            <w:tcMar>
              <w:top w:w="40" w:type="dxa"/>
              <w:left w:w="20" w:type="dxa"/>
              <w:bottom w:w="40" w:type="dxa"/>
              <w:right w:w="20" w:type="dxa"/>
            </w:tcMar>
            <w:vAlign w:val="bottom"/>
          </w:tcPr>
          <w:p w14:paraId="5F2D5E7A" w14:textId="77777777" w:rsidR="00E836FB" w:rsidRDefault="00994958">
            <w:pPr>
              <w:textAlignment w:val="bottom"/>
            </w:pPr>
            <w:r>
              <w:rPr>
                <w:rFonts w:ascii="Arial" w:eastAsia="宋体" w:hAnsi="Arial" w:cs="Arial"/>
                <w:color w:val="000000"/>
                <w:sz w:val="16"/>
                <w:szCs w:val="16"/>
              </w:rPr>
              <w:t>Accrued expenses and other liabilities</w:t>
            </w:r>
          </w:p>
        </w:tc>
        <w:tc>
          <w:tcPr>
            <w:tcW w:w="0" w:type="auto"/>
            <w:gridSpan w:val="2"/>
            <w:shd w:val="clear" w:color="auto" w:fill="CCEEFF"/>
            <w:tcMar>
              <w:top w:w="40" w:type="dxa"/>
              <w:left w:w="20" w:type="dxa"/>
              <w:bottom w:w="40" w:type="dxa"/>
              <w:right w:w="0" w:type="dxa"/>
            </w:tcMar>
            <w:vAlign w:val="bottom"/>
          </w:tcPr>
          <w:p w14:paraId="5F2D5E7B" w14:textId="77777777" w:rsidR="00E836FB" w:rsidRDefault="00994958">
            <w:pPr>
              <w:jc w:val="right"/>
              <w:textAlignment w:val="bottom"/>
            </w:pPr>
            <w:r>
              <w:rPr>
                <w:rFonts w:ascii="Arial" w:eastAsia="宋体" w:hAnsi="Arial" w:cs="Arial"/>
                <w:b/>
                <w:bCs/>
                <w:color w:val="000000"/>
                <w:sz w:val="16"/>
                <w:szCs w:val="16"/>
              </w:rPr>
              <w:t>523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7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7E" w14:textId="77777777" w:rsidR="00E836FB" w:rsidRDefault="00994958">
            <w:pPr>
              <w:jc w:val="right"/>
              <w:textAlignment w:val="bottom"/>
            </w:pPr>
            <w:r>
              <w:rPr>
                <w:rFonts w:ascii="Arial" w:eastAsia="宋体" w:hAnsi="Arial" w:cs="Arial"/>
                <w:color w:val="000000"/>
                <w:sz w:val="16"/>
                <w:szCs w:val="16"/>
              </w:rPr>
              <w:t>453 </w:t>
            </w:r>
          </w:p>
        </w:tc>
        <w:tc>
          <w:tcPr>
            <w:tcW w:w="0" w:type="auto"/>
            <w:shd w:val="clear" w:color="auto" w:fill="CCEEFF"/>
            <w:tcMar>
              <w:top w:w="40" w:type="dxa"/>
              <w:left w:w="0" w:type="dxa"/>
              <w:bottom w:w="40" w:type="dxa"/>
              <w:right w:w="20" w:type="dxa"/>
            </w:tcMar>
            <w:vAlign w:val="bottom"/>
          </w:tcPr>
          <w:p w14:paraId="5F2D5E7F" w14:textId="77777777" w:rsidR="00E836FB" w:rsidRDefault="00E836FB">
            <w:pPr>
              <w:jc w:val="right"/>
              <w:rPr>
                <w:rFonts w:ascii="宋体"/>
              </w:rPr>
            </w:pPr>
          </w:p>
        </w:tc>
      </w:tr>
      <w:tr w:rsidR="00E836FB" w14:paraId="5F2D5E87" w14:textId="77777777">
        <w:tc>
          <w:tcPr>
            <w:tcW w:w="0" w:type="auto"/>
            <w:gridSpan w:val="3"/>
            <w:shd w:val="clear" w:color="auto" w:fill="FFFFFF"/>
            <w:tcMar>
              <w:top w:w="40" w:type="dxa"/>
              <w:left w:w="20" w:type="dxa"/>
              <w:bottom w:w="40" w:type="dxa"/>
              <w:right w:w="20" w:type="dxa"/>
            </w:tcMar>
            <w:vAlign w:val="bottom"/>
          </w:tcPr>
          <w:p w14:paraId="5F2D5E81" w14:textId="77777777" w:rsidR="00E836FB" w:rsidRDefault="00994958">
            <w:pPr>
              <w:textAlignment w:val="bottom"/>
            </w:pPr>
            <w:r>
              <w:rPr>
                <w:rFonts w:ascii="Arial" w:eastAsia="宋体" w:hAnsi="Arial" w:cs="Arial"/>
                <w:color w:val="000000"/>
                <w:sz w:val="16"/>
                <w:szCs w:val="16"/>
              </w:rPr>
              <w:t>Long-term debt</w:t>
            </w:r>
          </w:p>
        </w:tc>
        <w:tc>
          <w:tcPr>
            <w:tcW w:w="0" w:type="auto"/>
            <w:gridSpan w:val="2"/>
            <w:shd w:val="clear" w:color="auto" w:fill="FFFFFF"/>
            <w:tcMar>
              <w:top w:w="40" w:type="dxa"/>
              <w:left w:w="20" w:type="dxa"/>
              <w:bottom w:w="40" w:type="dxa"/>
              <w:right w:w="0" w:type="dxa"/>
            </w:tcMar>
            <w:vAlign w:val="bottom"/>
          </w:tcPr>
          <w:p w14:paraId="5F2D5E82" w14:textId="77777777" w:rsidR="00E836FB" w:rsidRDefault="00994958">
            <w:pPr>
              <w:jc w:val="right"/>
              <w:textAlignment w:val="bottom"/>
            </w:pPr>
            <w:r>
              <w:rPr>
                <w:rFonts w:ascii="Arial" w:eastAsia="宋体" w:hAnsi="Arial" w:cs="Arial"/>
                <w:b/>
                <w:bCs/>
                <w:color w:val="000000"/>
                <w:sz w:val="16"/>
                <w:szCs w:val="16"/>
              </w:rPr>
              <w:t>13,250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E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8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85" w14:textId="77777777" w:rsidR="00E836FB" w:rsidRDefault="00994958">
            <w:pPr>
              <w:jc w:val="right"/>
              <w:textAlignment w:val="bottom"/>
            </w:pPr>
            <w:r>
              <w:rPr>
                <w:rFonts w:ascii="Arial" w:eastAsia="宋体" w:hAnsi="Arial" w:cs="Arial"/>
                <w:color w:val="000000"/>
                <w:sz w:val="16"/>
                <w:szCs w:val="16"/>
              </w:rPr>
              <w:t>13,625 </w:t>
            </w:r>
          </w:p>
        </w:tc>
        <w:tc>
          <w:tcPr>
            <w:tcW w:w="0" w:type="auto"/>
            <w:shd w:val="clear" w:color="auto" w:fill="FFFFFF"/>
            <w:tcMar>
              <w:top w:w="40" w:type="dxa"/>
              <w:left w:w="0" w:type="dxa"/>
              <w:bottom w:w="40" w:type="dxa"/>
              <w:right w:w="20" w:type="dxa"/>
            </w:tcMar>
            <w:vAlign w:val="bottom"/>
          </w:tcPr>
          <w:p w14:paraId="5F2D5E86" w14:textId="77777777" w:rsidR="00E836FB" w:rsidRDefault="00E836FB">
            <w:pPr>
              <w:jc w:val="right"/>
              <w:rPr>
                <w:rFonts w:ascii="宋体"/>
              </w:rPr>
            </w:pPr>
          </w:p>
        </w:tc>
      </w:tr>
      <w:tr w:rsidR="00E836FB" w14:paraId="5F2D5E8E" w14:textId="77777777">
        <w:tc>
          <w:tcPr>
            <w:tcW w:w="0" w:type="auto"/>
            <w:gridSpan w:val="3"/>
            <w:shd w:val="clear" w:color="auto" w:fill="CCEEFF"/>
            <w:tcMar>
              <w:top w:w="40" w:type="dxa"/>
              <w:left w:w="20" w:type="dxa"/>
              <w:bottom w:w="40" w:type="dxa"/>
              <w:right w:w="20" w:type="dxa"/>
            </w:tcMar>
            <w:vAlign w:val="bottom"/>
          </w:tcPr>
          <w:p w14:paraId="5F2D5E88" w14:textId="77777777" w:rsidR="00E836FB" w:rsidRDefault="00994958">
            <w:pPr>
              <w:textAlignment w:val="bottom"/>
            </w:pPr>
            <w:r>
              <w:rPr>
                <w:rFonts w:ascii="Arial" w:eastAsia="宋体" w:hAnsi="Arial" w:cs="Arial"/>
                <w:b/>
                <w:bCs/>
                <w:color w:val="000000"/>
                <w:sz w:val="16"/>
                <w:szCs w:val="16"/>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E89" w14:textId="77777777" w:rsidR="00E836FB" w:rsidRDefault="00994958">
            <w:pPr>
              <w:jc w:val="right"/>
              <w:textAlignment w:val="bottom"/>
            </w:pPr>
            <w:r>
              <w:rPr>
                <w:rFonts w:ascii="Arial" w:eastAsia="宋体" w:hAnsi="Arial" w:cs="Arial"/>
                <w:b/>
                <w:bCs/>
                <w:color w:val="000000"/>
                <w:sz w:val="16"/>
                <w:szCs w:val="16"/>
              </w:rPr>
              <w:t>16,076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E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8B"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E8C" w14:textId="77777777" w:rsidR="00E836FB" w:rsidRDefault="00994958">
            <w:pPr>
              <w:jc w:val="right"/>
              <w:textAlignment w:val="bottom"/>
            </w:pPr>
            <w:r>
              <w:rPr>
                <w:rFonts w:ascii="Arial" w:eastAsia="宋体" w:hAnsi="Arial" w:cs="Arial"/>
                <w:color w:val="000000"/>
                <w:sz w:val="16"/>
                <w:szCs w:val="16"/>
              </w:rPr>
              <w:t>14,182 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E8D" w14:textId="77777777" w:rsidR="00E836FB" w:rsidRDefault="00E836FB">
            <w:pPr>
              <w:jc w:val="right"/>
              <w:rPr>
                <w:rFonts w:ascii="宋体"/>
              </w:rPr>
            </w:pPr>
          </w:p>
        </w:tc>
      </w:tr>
      <w:tr w:rsidR="00E836FB" w14:paraId="5F2D5E95" w14:textId="77777777">
        <w:tc>
          <w:tcPr>
            <w:tcW w:w="0" w:type="auto"/>
            <w:gridSpan w:val="3"/>
            <w:shd w:val="clear" w:color="auto" w:fill="FFFFFF"/>
            <w:tcMar>
              <w:top w:w="40" w:type="dxa"/>
              <w:left w:w="20" w:type="dxa"/>
              <w:bottom w:w="40" w:type="dxa"/>
              <w:right w:w="20" w:type="dxa"/>
            </w:tcMar>
            <w:vAlign w:val="bottom"/>
          </w:tcPr>
          <w:p w14:paraId="5F2D5E8F" w14:textId="77777777" w:rsidR="00E836FB" w:rsidRDefault="00994958">
            <w:pPr>
              <w:textAlignment w:val="bottom"/>
            </w:pPr>
            <w:r>
              <w:rPr>
                <w:rFonts w:ascii="Arial" w:eastAsia="宋体" w:hAnsi="Arial" w:cs="Arial"/>
                <w:b/>
                <w:bCs/>
                <w:color w:val="000000"/>
                <w:sz w:val="16"/>
                <w:szCs w:val="16"/>
              </w:rPr>
              <w:t>Shareholders’ equity</w:t>
            </w:r>
          </w:p>
        </w:tc>
        <w:tc>
          <w:tcPr>
            <w:tcW w:w="0" w:type="auto"/>
            <w:gridSpan w:val="2"/>
            <w:shd w:val="clear" w:color="auto" w:fill="FFFFFF"/>
            <w:tcMar>
              <w:top w:w="40" w:type="dxa"/>
              <w:left w:w="20" w:type="dxa"/>
              <w:bottom w:w="40" w:type="dxa"/>
              <w:right w:w="0" w:type="dxa"/>
            </w:tcMar>
            <w:vAlign w:val="bottom"/>
          </w:tcPr>
          <w:p w14:paraId="5F2D5E90" w14:textId="77777777" w:rsidR="00E836FB" w:rsidRDefault="00994958">
            <w:pPr>
              <w:jc w:val="right"/>
              <w:textAlignment w:val="bottom"/>
            </w:pPr>
            <w:r>
              <w:rPr>
                <w:rFonts w:ascii="Arial" w:eastAsia="宋体" w:hAnsi="Arial" w:cs="Arial"/>
                <w:b/>
                <w:bCs/>
                <w:color w:val="000000"/>
                <w:sz w:val="16"/>
                <w:szCs w:val="16"/>
              </w:rPr>
              <w:t>27,364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E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93" w14:textId="77777777" w:rsidR="00E836FB" w:rsidRDefault="00994958">
            <w:pPr>
              <w:jc w:val="right"/>
              <w:textAlignment w:val="bottom"/>
            </w:pPr>
            <w:r>
              <w:rPr>
                <w:rFonts w:ascii="Arial" w:eastAsia="宋体" w:hAnsi="Arial" w:cs="Arial"/>
                <w:color w:val="000000"/>
                <w:sz w:val="16"/>
                <w:szCs w:val="16"/>
              </w:rPr>
              <w:t>26,200 </w:t>
            </w:r>
          </w:p>
        </w:tc>
        <w:tc>
          <w:tcPr>
            <w:tcW w:w="0" w:type="auto"/>
            <w:shd w:val="clear" w:color="auto" w:fill="FFFFFF"/>
            <w:tcMar>
              <w:top w:w="40" w:type="dxa"/>
              <w:left w:w="0" w:type="dxa"/>
              <w:bottom w:w="40" w:type="dxa"/>
              <w:right w:w="20" w:type="dxa"/>
            </w:tcMar>
            <w:vAlign w:val="bottom"/>
          </w:tcPr>
          <w:p w14:paraId="5F2D5E94" w14:textId="77777777" w:rsidR="00E836FB" w:rsidRDefault="00E836FB">
            <w:pPr>
              <w:jc w:val="right"/>
              <w:rPr>
                <w:rFonts w:ascii="宋体"/>
              </w:rPr>
            </w:pPr>
          </w:p>
        </w:tc>
      </w:tr>
      <w:tr w:rsidR="00E836FB" w14:paraId="5F2D5E9E" w14:textId="77777777">
        <w:tc>
          <w:tcPr>
            <w:tcW w:w="0" w:type="auto"/>
            <w:gridSpan w:val="3"/>
            <w:shd w:val="clear" w:color="auto" w:fill="CCEEFF"/>
            <w:tcMar>
              <w:top w:w="40" w:type="dxa"/>
              <w:left w:w="20" w:type="dxa"/>
              <w:bottom w:w="40" w:type="dxa"/>
              <w:right w:w="20" w:type="dxa"/>
            </w:tcMar>
            <w:vAlign w:val="bottom"/>
          </w:tcPr>
          <w:p w14:paraId="5F2D5E96" w14:textId="77777777" w:rsidR="00E836FB" w:rsidRDefault="00994958">
            <w:pPr>
              <w:textAlignment w:val="bottom"/>
            </w:pPr>
            <w:r>
              <w:rPr>
                <w:rFonts w:ascii="Arial" w:eastAsia="宋体" w:hAnsi="Arial" w:cs="Arial"/>
                <w:b/>
                <w:bCs/>
                <w:color w:val="000000"/>
                <w:sz w:val="16"/>
                <w:szCs w:val="16"/>
              </w:rPr>
              <w:t>Total liabilities and 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E97"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E98" w14:textId="77777777" w:rsidR="00E836FB" w:rsidRDefault="00994958">
            <w:pPr>
              <w:jc w:val="right"/>
              <w:textAlignment w:val="bottom"/>
            </w:pPr>
            <w:r>
              <w:rPr>
                <w:rFonts w:ascii="Arial" w:eastAsia="宋体" w:hAnsi="Arial" w:cs="Arial"/>
                <w:b/>
                <w:bCs/>
                <w:color w:val="000000"/>
                <w:sz w:val="16"/>
                <w:szCs w:val="16"/>
              </w:rPr>
              <w:t>43,440</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E9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9A" w14:textId="77777777" w:rsidR="00E836FB" w:rsidRDefault="00E836F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5E9B"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F2D5E9C" w14:textId="77777777" w:rsidR="00E836FB" w:rsidRDefault="00994958">
            <w:pPr>
              <w:jc w:val="right"/>
              <w:textAlignment w:val="bottom"/>
            </w:pPr>
            <w:r>
              <w:rPr>
                <w:rFonts w:ascii="Arial" w:eastAsia="宋体" w:hAnsi="Arial" w:cs="Arial"/>
                <w:color w:val="000000"/>
                <w:sz w:val="16"/>
                <w:szCs w:val="16"/>
              </w:rPr>
              <w:t>40,382 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5E9D" w14:textId="77777777" w:rsidR="00E836FB" w:rsidRDefault="00E836FB">
            <w:pPr>
              <w:jc w:val="right"/>
              <w:rPr>
                <w:rFonts w:ascii="宋体"/>
              </w:rPr>
            </w:pPr>
          </w:p>
        </w:tc>
      </w:tr>
    </w:tbl>
    <w:p w14:paraId="5F2D5E9F" w14:textId="77777777" w:rsidR="00E836FB" w:rsidRDefault="00994958">
      <w:pPr>
        <w:spacing w:before="90"/>
      </w:pPr>
      <w:r>
        <w:rPr>
          <w:rFonts w:ascii="Arial" w:eastAsia="宋体" w:hAnsi="Arial" w:cs="Arial"/>
          <w:b/>
          <w:bCs/>
          <w:color w:val="000000"/>
          <w:sz w:val="20"/>
          <w:szCs w:val="20"/>
        </w:rPr>
        <w:t xml:space="preserve">Statement of Cash </w:t>
      </w:r>
      <w:r>
        <w:rPr>
          <w:rFonts w:ascii="Arial" w:eastAsia="宋体" w:hAnsi="Arial" w:cs="Arial"/>
          <w:b/>
          <w:bCs/>
          <w:color w:val="000000"/>
          <w:sz w:val="20"/>
          <w:szCs w:val="20"/>
        </w:rPr>
        <w:t>Flows - Parent Company</w:t>
      </w:r>
    </w:p>
    <w:tbl>
      <w:tblPr>
        <w:tblW w:w="5000" w:type="pct"/>
        <w:tblCellMar>
          <w:top w:w="15" w:type="dxa"/>
          <w:left w:w="15" w:type="dxa"/>
          <w:bottom w:w="15" w:type="dxa"/>
          <w:right w:w="15" w:type="dxa"/>
        </w:tblCellMar>
        <w:tblLook w:val="04A0" w:firstRow="1" w:lastRow="0" w:firstColumn="1" w:lastColumn="0" w:noHBand="0" w:noVBand="1"/>
      </w:tblPr>
      <w:tblGrid>
        <w:gridCol w:w="40"/>
        <w:gridCol w:w="4902"/>
        <w:gridCol w:w="39"/>
        <w:gridCol w:w="110"/>
        <w:gridCol w:w="924"/>
        <w:gridCol w:w="36"/>
        <w:gridCol w:w="36"/>
        <w:gridCol w:w="36"/>
        <w:gridCol w:w="36"/>
        <w:gridCol w:w="109"/>
        <w:gridCol w:w="888"/>
        <w:gridCol w:w="36"/>
        <w:gridCol w:w="36"/>
        <w:gridCol w:w="36"/>
        <w:gridCol w:w="36"/>
        <w:gridCol w:w="109"/>
        <w:gridCol w:w="891"/>
        <w:gridCol w:w="36"/>
      </w:tblGrid>
      <w:tr w:rsidR="00E836FB" w14:paraId="5F2D5EB2" w14:textId="77777777">
        <w:tc>
          <w:tcPr>
            <w:tcW w:w="50" w:type="pct"/>
            <w:shd w:val="clear" w:color="auto" w:fill="auto"/>
            <w:vAlign w:val="bottom"/>
          </w:tcPr>
          <w:p w14:paraId="5F2D5EA0" w14:textId="77777777" w:rsidR="00E836FB" w:rsidRDefault="00E836FB">
            <w:pPr>
              <w:rPr>
                <w:rFonts w:ascii="宋体"/>
              </w:rPr>
            </w:pPr>
          </w:p>
        </w:tc>
        <w:tc>
          <w:tcPr>
            <w:tcW w:w="2964" w:type="pct"/>
            <w:shd w:val="clear" w:color="auto" w:fill="auto"/>
            <w:vAlign w:val="bottom"/>
          </w:tcPr>
          <w:p w14:paraId="5F2D5EA1" w14:textId="77777777" w:rsidR="00E836FB" w:rsidRDefault="00E836FB">
            <w:pPr>
              <w:rPr>
                <w:rFonts w:ascii="宋体"/>
              </w:rPr>
            </w:pPr>
          </w:p>
        </w:tc>
        <w:tc>
          <w:tcPr>
            <w:tcW w:w="5" w:type="pct"/>
            <w:shd w:val="clear" w:color="auto" w:fill="auto"/>
            <w:vAlign w:val="bottom"/>
          </w:tcPr>
          <w:p w14:paraId="5F2D5EA2" w14:textId="77777777" w:rsidR="00E836FB" w:rsidRDefault="00E836FB">
            <w:pPr>
              <w:rPr>
                <w:rFonts w:ascii="宋体"/>
              </w:rPr>
            </w:pPr>
          </w:p>
        </w:tc>
        <w:tc>
          <w:tcPr>
            <w:tcW w:w="50" w:type="pct"/>
            <w:shd w:val="clear" w:color="auto" w:fill="auto"/>
            <w:vAlign w:val="bottom"/>
          </w:tcPr>
          <w:p w14:paraId="5F2D5EA3" w14:textId="77777777" w:rsidR="00E836FB" w:rsidRDefault="00E836FB">
            <w:pPr>
              <w:rPr>
                <w:rFonts w:ascii="宋体"/>
              </w:rPr>
            </w:pPr>
          </w:p>
        </w:tc>
        <w:tc>
          <w:tcPr>
            <w:tcW w:w="580" w:type="pct"/>
            <w:shd w:val="clear" w:color="auto" w:fill="auto"/>
            <w:vAlign w:val="bottom"/>
          </w:tcPr>
          <w:p w14:paraId="5F2D5EA4" w14:textId="77777777" w:rsidR="00E836FB" w:rsidRDefault="00E836FB">
            <w:pPr>
              <w:rPr>
                <w:rFonts w:ascii="宋体"/>
              </w:rPr>
            </w:pPr>
          </w:p>
        </w:tc>
        <w:tc>
          <w:tcPr>
            <w:tcW w:w="5" w:type="pct"/>
            <w:shd w:val="clear" w:color="auto" w:fill="auto"/>
            <w:vAlign w:val="bottom"/>
          </w:tcPr>
          <w:p w14:paraId="5F2D5EA5" w14:textId="77777777" w:rsidR="00E836FB" w:rsidRDefault="00E836FB">
            <w:pPr>
              <w:rPr>
                <w:rFonts w:ascii="宋体"/>
              </w:rPr>
            </w:pPr>
          </w:p>
        </w:tc>
        <w:tc>
          <w:tcPr>
            <w:tcW w:w="5" w:type="pct"/>
            <w:shd w:val="clear" w:color="auto" w:fill="auto"/>
            <w:vAlign w:val="bottom"/>
          </w:tcPr>
          <w:p w14:paraId="5F2D5EA6" w14:textId="77777777" w:rsidR="00E836FB" w:rsidRDefault="00E836FB">
            <w:pPr>
              <w:rPr>
                <w:rFonts w:ascii="宋体"/>
              </w:rPr>
            </w:pPr>
          </w:p>
        </w:tc>
        <w:tc>
          <w:tcPr>
            <w:tcW w:w="26" w:type="pct"/>
            <w:shd w:val="clear" w:color="auto" w:fill="auto"/>
            <w:vAlign w:val="bottom"/>
          </w:tcPr>
          <w:p w14:paraId="5F2D5EA7" w14:textId="77777777" w:rsidR="00E836FB" w:rsidRDefault="00E836FB">
            <w:pPr>
              <w:rPr>
                <w:rFonts w:ascii="宋体"/>
              </w:rPr>
            </w:pPr>
          </w:p>
        </w:tc>
        <w:tc>
          <w:tcPr>
            <w:tcW w:w="5" w:type="pct"/>
            <w:shd w:val="clear" w:color="auto" w:fill="auto"/>
            <w:vAlign w:val="bottom"/>
          </w:tcPr>
          <w:p w14:paraId="5F2D5EA8" w14:textId="77777777" w:rsidR="00E836FB" w:rsidRDefault="00E836FB">
            <w:pPr>
              <w:rPr>
                <w:rFonts w:ascii="宋体"/>
              </w:rPr>
            </w:pPr>
          </w:p>
        </w:tc>
        <w:tc>
          <w:tcPr>
            <w:tcW w:w="50" w:type="pct"/>
            <w:shd w:val="clear" w:color="auto" w:fill="auto"/>
            <w:vAlign w:val="bottom"/>
          </w:tcPr>
          <w:p w14:paraId="5F2D5EA9" w14:textId="77777777" w:rsidR="00E836FB" w:rsidRDefault="00E836FB">
            <w:pPr>
              <w:rPr>
                <w:rFonts w:ascii="宋体"/>
              </w:rPr>
            </w:pPr>
          </w:p>
        </w:tc>
        <w:tc>
          <w:tcPr>
            <w:tcW w:w="580" w:type="pct"/>
            <w:shd w:val="clear" w:color="auto" w:fill="auto"/>
            <w:vAlign w:val="bottom"/>
          </w:tcPr>
          <w:p w14:paraId="5F2D5EAA" w14:textId="77777777" w:rsidR="00E836FB" w:rsidRDefault="00E836FB">
            <w:pPr>
              <w:rPr>
                <w:rFonts w:ascii="宋体"/>
              </w:rPr>
            </w:pPr>
          </w:p>
        </w:tc>
        <w:tc>
          <w:tcPr>
            <w:tcW w:w="5" w:type="pct"/>
            <w:shd w:val="clear" w:color="auto" w:fill="auto"/>
            <w:vAlign w:val="bottom"/>
          </w:tcPr>
          <w:p w14:paraId="5F2D5EAB" w14:textId="77777777" w:rsidR="00E836FB" w:rsidRDefault="00E836FB">
            <w:pPr>
              <w:rPr>
                <w:rFonts w:ascii="宋体"/>
              </w:rPr>
            </w:pPr>
          </w:p>
        </w:tc>
        <w:tc>
          <w:tcPr>
            <w:tcW w:w="5" w:type="pct"/>
            <w:shd w:val="clear" w:color="auto" w:fill="auto"/>
            <w:vAlign w:val="bottom"/>
          </w:tcPr>
          <w:p w14:paraId="5F2D5EAC" w14:textId="77777777" w:rsidR="00E836FB" w:rsidRDefault="00E836FB">
            <w:pPr>
              <w:rPr>
                <w:rFonts w:ascii="宋体"/>
              </w:rPr>
            </w:pPr>
          </w:p>
        </w:tc>
        <w:tc>
          <w:tcPr>
            <w:tcW w:w="26" w:type="pct"/>
            <w:shd w:val="clear" w:color="auto" w:fill="auto"/>
            <w:vAlign w:val="bottom"/>
          </w:tcPr>
          <w:p w14:paraId="5F2D5EAD" w14:textId="77777777" w:rsidR="00E836FB" w:rsidRDefault="00E836FB">
            <w:pPr>
              <w:rPr>
                <w:rFonts w:ascii="宋体"/>
              </w:rPr>
            </w:pPr>
          </w:p>
        </w:tc>
        <w:tc>
          <w:tcPr>
            <w:tcW w:w="5" w:type="pct"/>
            <w:shd w:val="clear" w:color="auto" w:fill="auto"/>
            <w:vAlign w:val="bottom"/>
          </w:tcPr>
          <w:p w14:paraId="5F2D5EAE" w14:textId="77777777" w:rsidR="00E836FB" w:rsidRDefault="00E836FB">
            <w:pPr>
              <w:rPr>
                <w:rFonts w:ascii="宋体"/>
              </w:rPr>
            </w:pPr>
          </w:p>
        </w:tc>
        <w:tc>
          <w:tcPr>
            <w:tcW w:w="50" w:type="pct"/>
            <w:shd w:val="clear" w:color="auto" w:fill="auto"/>
            <w:vAlign w:val="bottom"/>
          </w:tcPr>
          <w:p w14:paraId="5F2D5EAF" w14:textId="77777777" w:rsidR="00E836FB" w:rsidRDefault="00E836FB">
            <w:pPr>
              <w:rPr>
                <w:rFonts w:ascii="宋体"/>
              </w:rPr>
            </w:pPr>
          </w:p>
        </w:tc>
        <w:tc>
          <w:tcPr>
            <w:tcW w:w="581" w:type="pct"/>
            <w:shd w:val="clear" w:color="auto" w:fill="auto"/>
            <w:vAlign w:val="bottom"/>
          </w:tcPr>
          <w:p w14:paraId="5F2D5EB0" w14:textId="77777777" w:rsidR="00E836FB" w:rsidRDefault="00E836FB">
            <w:pPr>
              <w:rPr>
                <w:rFonts w:ascii="宋体"/>
              </w:rPr>
            </w:pPr>
          </w:p>
        </w:tc>
        <w:tc>
          <w:tcPr>
            <w:tcW w:w="5" w:type="pct"/>
            <w:shd w:val="clear" w:color="auto" w:fill="auto"/>
            <w:vAlign w:val="bottom"/>
          </w:tcPr>
          <w:p w14:paraId="5F2D5EB1" w14:textId="77777777" w:rsidR="00E836FB" w:rsidRDefault="00E836FB">
            <w:pPr>
              <w:rPr>
                <w:rFonts w:ascii="宋体"/>
              </w:rPr>
            </w:pPr>
          </w:p>
        </w:tc>
      </w:tr>
      <w:tr w:rsidR="00E836FB" w14:paraId="5F2D5EB5" w14:textId="77777777">
        <w:tc>
          <w:tcPr>
            <w:tcW w:w="0" w:type="auto"/>
            <w:gridSpan w:val="3"/>
            <w:shd w:val="clear" w:color="auto" w:fill="auto"/>
            <w:tcMar>
              <w:top w:w="0" w:type="dxa"/>
              <w:left w:w="20" w:type="dxa"/>
              <w:bottom w:w="0" w:type="dxa"/>
              <w:right w:w="20" w:type="dxa"/>
            </w:tcMar>
            <w:vAlign w:val="bottom"/>
          </w:tcPr>
          <w:p w14:paraId="5F2D5EB3"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5EB4" w14:textId="77777777" w:rsidR="00E836FB" w:rsidRDefault="00994958">
            <w:pPr>
              <w:jc w:val="center"/>
              <w:textAlignment w:val="bottom"/>
            </w:pPr>
            <w:r>
              <w:rPr>
                <w:rFonts w:ascii="Arial" w:eastAsia="宋体" w:hAnsi="Arial" w:cs="Arial"/>
                <w:b/>
                <w:bCs/>
                <w:color w:val="000000"/>
                <w:sz w:val="16"/>
                <w:szCs w:val="16"/>
              </w:rPr>
              <w:t>Years Ended December 31,</w:t>
            </w:r>
          </w:p>
        </w:tc>
      </w:tr>
      <w:tr w:rsidR="00E836FB" w14:paraId="5F2D5EBC" w14:textId="77777777">
        <w:tc>
          <w:tcPr>
            <w:tcW w:w="0" w:type="auto"/>
            <w:gridSpan w:val="3"/>
            <w:shd w:val="clear" w:color="auto" w:fill="auto"/>
            <w:tcMar>
              <w:top w:w="40" w:type="dxa"/>
              <w:left w:w="20" w:type="dxa"/>
              <w:bottom w:w="40" w:type="dxa"/>
              <w:right w:w="20" w:type="dxa"/>
            </w:tcMar>
            <w:vAlign w:val="bottom"/>
          </w:tcPr>
          <w:p w14:paraId="5F2D5EB6" w14:textId="77777777" w:rsidR="00E836FB" w:rsidRDefault="00994958">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EB7" w14:textId="77777777" w:rsidR="00E836FB" w:rsidRDefault="00994958">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EB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EB9" w14:textId="77777777" w:rsidR="00E836FB" w:rsidRDefault="00994958">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EB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EBB" w14:textId="77777777" w:rsidR="00E836FB" w:rsidRDefault="00994958">
            <w:pPr>
              <w:jc w:val="center"/>
              <w:textAlignment w:val="bottom"/>
            </w:pPr>
            <w:r>
              <w:rPr>
                <w:rFonts w:ascii="Arial" w:eastAsia="宋体" w:hAnsi="Arial" w:cs="Arial"/>
                <w:b/>
                <w:bCs/>
                <w:color w:val="000000"/>
                <w:sz w:val="16"/>
                <w:szCs w:val="16"/>
              </w:rPr>
              <w:t>2019</w:t>
            </w:r>
          </w:p>
        </w:tc>
      </w:tr>
      <w:tr w:rsidR="00E836FB" w14:paraId="5F2D5EC9" w14:textId="77777777">
        <w:tc>
          <w:tcPr>
            <w:tcW w:w="0" w:type="auto"/>
            <w:gridSpan w:val="3"/>
            <w:shd w:val="clear" w:color="auto" w:fill="CCEEFF"/>
            <w:tcMar>
              <w:top w:w="40" w:type="dxa"/>
              <w:left w:w="20" w:type="dxa"/>
              <w:bottom w:w="40" w:type="dxa"/>
              <w:right w:w="20" w:type="dxa"/>
            </w:tcMar>
            <w:vAlign w:val="bottom"/>
          </w:tcPr>
          <w:p w14:paraId="5F2D5EBD" w14:textId="77777777" w:rsidR="00E836FB" w:rsidRDefault="00994958">
            <w:pPr>
              <w:textAlignment w:val="bottom"/>
            </w:pPr>
            <w:r>
              <w:rPr>
                <w:rFonts w:ascii="Arial" w:eastAsia="宋体" w:hAnsi="Arial" w:cs="Arial"/>
                <w:color w:val="000000"/>
                <w:sz w:val="16"/>
                <w:szCs w:val="16"/>
              </w:rPr>
              <w:t>Net cash (used in)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5EBE"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EBF" w14:textId="77777777" w:rsidR="00E836FB" w:rsidRDefault="00994958">
            <w:pPr>
              <w:jc w:val="right"/>
              <w:textAlignment w:val="bottom"/>
            </w:pPr>
            <w:r>
              <w:rPr>
                <w:rFonts w:ascii="Arial" w:eastAsia="宋体" w:hAnsi="Arial" w:cs="Arial"/>
                <w:b/>
                <w:bCs/>
                <w:color w:val="000000"/>
                <w:sz w:val="16"/>
                <w:szCs w:val="16"/>
              </w:rPr>
              <w:t>(116)</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EC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C1"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EC2"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EC3" w14:textId="77777777" w:rsidR="00E836FB" w:rsidRDefault="00994958">
            <w:pPr>
              <w:jc w:val="right"/>
              <w:textAlignment w:val="bottom"/>
            </w:pPr>
            <w:r>
              <w:rPr>
                <w:rFonts w:ascii="Arial" w:eastAsia="宋体" w:hAnsi="Arial" w:cs="Arial"/>
                <w:color w:val="000000"/>
                <w:sz w:val="16"/>
                <w:szCs w:val="16"/>
              </w:rPr>
              <w:t>3,513 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EC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C5"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5EC6"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5EC7" w14:textId="77777777" w:rsidR="00E836FB" w:rsidRDefault="00994958">
            <w:pPr>
              <w:jc w:val="right"/>
              <w:textAlignment w:val="bottom"/>
            </w:pPr>
            <w:r>
              <w:rPr>
                <w:rFonts w:ascii="Arial" w:eastAsia="宋体" w:hAnsi="Arial" w:cs="Arial"/>
                <w:color w:val="000000"/>
                <w:sz w:val="16"/>
                <w:szCs w:val="16"/>
              </w:rPr>
              <w:t>2,684 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EC8" w14:textId="77777777" w:rsidR="00E836FB" w:rsidRDefault="00E836FB">
            <w:pPr>
              <w:jc w:val="right"/>
              <w:rPr>
                <w:rFonts w:ascii="宋体"/>
              </w:rPr>
            </w:pPr>
          </w:p>
        </w:tc>
      </w:tr>
      <w:tr w:rsidR="00E836FB" w14:paraId="5F2D5ED0" w14:textId="77777777">
        <w:tc>
          <w:tcPr>
            <w:tcW w:w="0" w:type="auto"/>
            <w:gridSpan w:val="3"/>
            <w:shd w:val="clear" w:color="auto" w:fill="FFFFFF"/>
            <w:tcMar>
              <w:top w:w="40" w:type="dxa"/>
              <w:left w:w="20" w:type="dxa"/>
              <w:bottom w:w="40" w:type="dxa"/>
              <w:right w:w="20" w:type="dxa"/>
            </w:tcMar>
            <w:vAlign w:val="bottom"/>
          </w:tcPr>
          <w:p w14:paraId="5F2D5ECA" w14:textId="77777777" w:rsidR="00E836FB" w:rsidRDefault="00994958">
            <w:pPr>
              <w:textAlignment w:val="bottom"/>
            </w:pPr>
            <w:r>
              <w:rPr>
                <w:rFonts w:ascii="Arial" w:eastAsia="宋体" w:hAnsi="Arial" w:cs="Arial"/>
                <w:b/>
                <w:bCs/>
                <w:color w:val="000000"/>
                <w:sz w:val="16"/>
                <w:szCs w:val="16"/>
              </w:rPr>
              <w:t>Investing Activities:</w:t>
            </w:r>
          </w:p>
        </w:tc>
        <w:tc>
          <w:tcPr>
            <w:tcW w:w="0" w:type="auto"/>
            <w:gridSpan w:val="3"/>
            <w:shd w:val="clear" w:color="auto" w:fill="FFFFFF"/>
            <w:tcMar>
              <w:top w:w="0" w:type="dxa"/>
              <w:left w:w="20" w:type="dxa"/>
              <w:bottom w:w="0" w:type="dxa"/>
              <w:right w:w="20" w:type="dxa"/>
            </w:tcMar>
            <w:vAlign w:val="bottom"/>
          </w:tcPr>
          <w:p w14:paraId="5F2D5EC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C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C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C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5ECF" w14:textId="77777777" w:rsidR="00E836FB" w:rsidRDefault="00E836FB">
            <w:pPr>
              <w:rPr>
                <w:rFonts w:ascii="宋体"/>
              </w:rPr>
            </w:pPr>
          </w:p>
        </w:tc>
      </w:tr>
      <w:tr w:rsidR="00E836FB" w14:paraId="5F2D5EDA" w14:textId="77777777">
        <w:tc>
          <w:tcPr>
            <w:tcW w:w="0" w:type="auto"/>
            <w:gridSpan w:val="3"/>
            <w:shd w:val="clear" w:color="auto" w:fill="CCEEFF"/>
            <w:tcMar>
              <w:top w:w="40" w:type="dxa"/>
              <w:left w:w="20" w:type="dxa"/>
              <w:bottom w:w="40" w:type="dxa"/>
              <w:right w:w="20" w:type="dxa"/>
            </w:tcMar>
            <w:vAlign w:val="bottom"/>
          </w:tcPr>
          <w:p w14:paraId="5F2D5ED1" w14:textId="77777777" w:rsidR="00E836FB" w:rsidRDefault="00994958">
            <w:pPr>
              <w:textAlignment w:val="bottom"/>
            </w:pPr>
            <w:r>
              <w:rPr>
                <w:rFonts w:ascii="Arial" w:eastAsia="宋体" w:hAnsi="Arial" w:cs="Arial"/>
                <w:color w:val="000000"/>
                <w:sz w:val="16"/>
                <w:szCs w:val="16"/>
              </w:rPr>
              <w:t>Net decrease (increase) in interest-bearing deposits with consolidated banking subsidiary</w:t>
            </w:r>
          </w:p>
        </w:tc>
        <w:tc>
          <w:tcPr>
            <w:tcW w:w="0" w:type="auto"/>
            <w:gridSpan w:val="2"/>
            <w:shd w:val="clear" w:color="auto" w:fill="CCEEFF"/>
            <w:tcMar>
              <w:top w:w="40" w:type="dxa"/>
              <w:left w:w="20" w:type="dxa"/>
              <w:bottom w:w="40" w:type="dxa"/>
              <w:right w:w="0" w:type="dxa"/>
            </w:tcMar>
            <w:vAlign w:val="bottom"/>
          </w:tcPr>
          <w:p w14:paraId="5F2D5ED2" w14:textId="77777777" w:rsidR="00E836FB" w:rsidRDefault="00994958">
            <w:pPr>
              <w:jc w:val="right"/>
              <w:textAlignment w:val="bottom"/>
            </w:pPr>
            <w:r>
              <w:rPr>
                <w:rFonts w:ascii="Arial" w:eastAsia="宋体" w:hAnsi="Arial" w:cs="Arial"/>
                <w:b/>
                <w:bCs/>
                <w:color w:val="000000"/>
                <w:sz w:val="16"/>
                <w:szCs w:val="16"/>
              </w:rPr>
              <w:t>10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D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D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D5" w14:textId="77777777" w:rsidR="00E836FB" w:rsidRDefault="00994958">
            <w:pPr>
              <w:jc w:val="right"/>
              <w:textAlignment w:val="bottom"/>
            </w:pPr>
            <w:r>
              <w:rPr>
                <w:rFonts w:ascii="Arial" w:eastAsia="宋体" w:hAnsi="Arial" w:cs="Arial"/>
                <w:color w:val="000000"/>
                <w:sz w:val="16"/>
                <w:szCs w:val="16"/>
              </w:rPr>
              <w:t>(64)</w:t>
            </w:r>
          </w:p>
        </w:tc>
        <w:tc>
          <w:tcPr>
            <w:tcW w:w="0" w:type="auto"/>
            <w:shd w:val="clear" w:color="auto" w:fill="CCEEFF"/>
            <w:tcMar>
              <w:top w:w="40" w:type="dxa"/>
              <w:left w:w="0" w:type="dxa"/>
              <w:bottom w:w="40" w:type="dxa"/>
              <w:right w:w="20" w:type="dxa"/>
            </w:tcMar>
            <w:vAlign w:val="bottom"/>
          </w:tcPr>
          <w:p w14:paraId="5F2D5ED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D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D8" w14:textId="77777777" w:rsidR="00E836FB" w:rsidRDefault="00994958">
            <w:pPr>
              <w:jc w:val="right"/>
              <w:textAlignment w:val="bottom"/>
            </w:pPr>
            <w:r>
              <w:rPr>
                <w:rFonts w:ascii="Arial" w:eastAsia="宋体" w:hAnsi="Arial" w:cs="Arial"/>
                <w:color w:val="000000"/>
                <w:sz w:val="16"/>
                <w:szCs w:val="16"/>
              </w:rPr>
              <w:t>58 </w:t>
            </w:r>
          </w:p>
        </w:tc>
        <w:tc>
          <w:tcPr>
            <w:tcW w:w="0" w:type="auto"/>
            <w:shd w:val="clear" w:color="auto" w:fill="CCEEFF"/>
            <w:tcMar>
              <w:top w:w="40" w:type="dxa"/>
              <w:left w:w="0" w:type="dxa"/>
              <w:bottom w:w="40" w:type="dxa"/>
              <w:right w:w="20" w:type="dxa"/>
            </w:tcMar>
            <w:vAlign w:val="bottom"/>
          </w:tcPr>
          <w:p w14:paraId="5F2D5ED9" w14:textId="77777777" w:rsidR="00E836FB" w:rsidRDefault="00E836FB">
            <w:pPr>
              <w:jc w:val="right"/>
              <w:rPr>
                <w:rFonts w:ascii="宋体"/>
              </w:rPr>
            </w:pPr>
          </w:p>
        </w:tc>
      </w:tr>
      <w:tr w:rsidR="00E836FB" w14:paraId="5F2D5EE4" w14:textId="77777777">
        <w:tc>
          <w:tcPr>
            <w:tcW w:w="0" w:type="auto"/>
            <w:gridSpan w:val="3"/>
            <w:shd w:val="clear" w:color="auto" w:fill="FFFFFF"/>
            <w:tcMar>
              <w:top w:w="40" w:type="dxa"/>
              <w:left w:w="20" w:type="dxa"/>
              <w:bottom w:w="40" w:type="dxa"/>
              <w:right w:w="20" w:type="dxa"/>
            </w:tcMar>
            <w:vAlign w:val="bottom"/>
          </w:tcPr>
          <w:p w14:paraId="5F2D5EDB" w14:textId="77777777" w:rsidR="00E836FB" w:rsidRDefault="00994958">
            <w:pPr>
              <w:textAlignment w:val="bottom"/>
            </w:pPr>
            <w:r>
              <w:rPr>
                <w:rFonts w:ascii="Arial" w:eastAsia="宋体" w:hAnsi="Arial" w:cs="Arial"/>
                <w:color w:val="000000"/>
                <w:sz w:val="16"/>
                <w:szCs w:val="16"/>
              </w:rPr>
              <w:t>Proceeds from sales and maturities of available-for-sale securities</w:t>
            </w:r>
          </w:p>
        </w:tc>
        <w:tc>
          <w:tcPr>
            <w:tcW w:w="0" w:type="auto"/>
            <w:gridSpan w:val="2"/>
            <w:shd w:val="clear" w:color="auto" w:fill="FFFFFF"/>
            <w:tcMar>
              <w:top w:w="40" w:type="dxa"/>
              <w:left w:w="20" w:type="dxa"/>
              <w:bottom w:w="40" w:type="dxa"/>
              <w:right w:w="0" w:type="dxa"/>
            </w:tcMar>
            <w:vAlign w:val="bottom"/>
          </w:tcPr>
          <w:p w14:paraId="5F2D5EDC" w14:textId="77777777" w:rsidR="00E836FB" w:rsidRDefault="00994958">
            <w:pPr>
              <w:jc w:val="right"/>
              <w:textAlignment w:val="bottom"/>
            </w:pPr>
            <w:r>
              <w:rPr>
                <w:rFonts w:ascii="Arial" w:eastAsia="宋体" w:hAnsi="Arial" w:cs="Arial"/>
                <w:b/>
                <w:bCs/>
                <w:color w:val="000000"/>
                <w:sz w:val="16"/>
                <w:szCs w:val="16"/>
              </w:rPr>
              <w:t>525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ED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D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DF" w14:textId="77777777" w:rsidR="00E836FB" w:rsidRDefault="00994958">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5F2D5EE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E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E2" w14:textId="77777777" w:rsidR="00E836FB" w:rsidRDefault="00994958">
            <w:pPr>
              <w:jc w:val="right"/>
              <w:textAlignment w:val="bottom"/>
            </w:pPr>
            <w:r>
              <w:rPr>
                <w:rFonts w:ascii="Arial" w:eastAsia="宋体" w:hAnsi="Arial" w:cs="Arial"/>
                <w:color w:val="000000"/>
                <w:sz w:val="16"/>
                <w:szCs w:val="16"/>
              </w:rPr>
              <w:t>900 </w:t>
            </w:r>
          </w:p>
        </w:tc>
        <w:tc>
          <w:tcPr>
            <w:tcW w:w="0" w:type="auto"/>
            <w:shd w:val="clear" w:color="auto" w:fill="FFFFFF"/>
            <w:tcMar>
              <w:top w:w="40" w:type="dxa"/>
              <w:left w:w="0" w:type="dxa"/>
              <w:bottom w:w="40" w:type="dxa"/>
              <w:right w:w="20" w:type="dxa"/>
            </w:tcMar>
            <w:vAlign w:val="bottom"/>
          </w:tcPr>
          <w:p w14:paraId="5F2D5EE3" w14:textId="77777777" w:rsidR="00E836FB" w:rsidRDefault="00E836FB">
            <w:pPr>
              <w:jc w:val="right"/>
              <w:rPr>
                <w:rFonts w:ascii="宋体"/>
              </w:rPr>
            </w:pPr>
          </w:p>
        </w:tc>
      </w:tr>
      <w:tr w:rsidR="00E836FB" w14:paraId="5F2D5EEE" w14:textId="77777777">
        <w:tc>
          <w:tcPr>
            <w:tcW w:w="0" w:type="auto"/>
            <w:gridSpan w:val="3"/>
            <w:shd w:val="clear" w:color="auto" w:fill="CCEEFF"/>
            <w:tcMar>
              <w:top w:w="40" w:type="dxa"/>
              <w:left w:w="20" w:type="dxa"/>
              <w:bottom w:w="40" w:type="dxa"/>
              <w:right w:w="20" w:type="dxa"/>
            </w:tcMar>
            <w:vAlign w:val="bottom"/>
          </w:tcPr>
          <w:p w14:paraId="5F2D5EE5" w14:textId="77777777" w:rsidR="00E836FB" w:rsidRDefault="00994958">
            <w:pPr>
              <w:textAlignment w:val="bottom"/>
            </w:pPr>
            <w:r>
              <w:rPr>
                <w:rFonts w:ascii="Arial" w:eastAsia="宋体" w:hAnsi="Arial" w:cs="Arial"/>
                <w:color w:val="000000"/>
                <w:sz w:val="16"/>
                <w:szCs w:val="16"/>
              </w:rPr>
              <w:t>Purchases of available-for-sale securities</w:t>
            </w:r>
          </w:p>
        </w:tc>
        <w:tc>
          <w:tcPr>
            <w:tcW w:w="0" w:type="auto"/>
            <w:gridSpan w:val="2"/>
            <w:shd w:val="clear" w:color="auto" w:fill="CCEEFF"/>
            <w:tcMar>
              <w:top w:w="40" w:type="dxa"/>
              <w:left w:w="20" w:type="dxa"/>
              <w:bottom w:w="40" w:type="dxa"/>
              <w:right w:w="0" w:type="dxa"/>
            </w:tcMar>
            <w:vAlign w:val="bottom"/>
          </w:tcPr>
          <w:p w14:paraId="5F2D5EE6" w14:textId="77777777" w:rsidR="00E836FB" w:rsidRDefault="00994958">
            <w:pPr>
              <w:jc w:val="right"/>
              <w:textAlignment w:val="bottom"/>
            </w:pPr>
            <w:r>
              <w:rPr>
                <w:rFonts w:ascii="Arial" w:eastAsia="宋体" w:hAnsi="Arial" w:cs="Arial"/>
                <w:b/>
                <w:bCs/>
                <w:color w:val="000000"/>
                <w:sz w:val="16"/>
                <w:szCs w:val="16"/>
              </w:rPr>
              <w:t>(575)</w:t>
            </w:r>
          </w:p>
        </w:tc>
        <w:tc>
          <w:tcPr>
            <w:tcW w:w="0" w:type="auto"/>
            <w:shd w:val="clear" w:color="auto" w:fill="CCEEFF"/>
            <w:tcMar>
              <w:top w:w="40" w:type="dxa"/>
              <w:left w:w="0" w:type="dxa"/>
              <w:bottom w:w="40" w:type="dxa"/>
              <w:right w:w="20" w:type="dxa"/>
            </w:tcMar>
            <w:vAlign w:val="bottom"/>
          </w:tcPr>
          <w:p w14:paraId="5F2D5E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E9" w14:textId="77777777" w:rsidR="00E836FB" w:rsidRDefault="00994958">
            <w:pPr>
              <w:jc w:val="right"/>
              <w:textAlignment w:val="bottom"/>
            </w:pPr>
            <w:r>
              <w:rPr>
                <w:rFonts w:ascii="Arial" w:eastAsia="宋体" w:hAnsi="Arial" w:cs="Arial"/>
                <w:color w:val="000000"/>
                <w:sz w:val="16"/>
                <w:szCs w:val="16"/>
              </w:rPr>
              <w:t>(849)</w:t>
            </w:r>
          </w:p>
        </w:tc>
        <w:tc>
          <w:tcPr>
            <w:tcW w:w="0" w:type="auto"/>
            <w:shd w:val="clear" w:color="auto" w:fill="CCEEFF"/>
            <w:tcMar>
              <w:top w:w="40" w:type="dxa"/>
              <w:left w:w="0" w:type="dxa"/>
              <w:bottom w:w="40" w:type="dxa"/>
              <w:right w:w="20" w:type="dxa"/>
            </w:tcMar>
            <w:vAlign w:val="bottom"/>
          </w:tcPr>
          <w:p w14:paraId="5F2D5E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E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EC" w14:textId="77777777" w:rsidR="00E836FB" w:rsidRDefault="00994958">
            <w:pPr>
              <w:jc w:val="right"/>
              <w:textAlignment w:val="bottom"/>
            </w:pPr>
            <w:r>
              <w:rPr>
                <w:rFonts w:ascii="Arial" w:eastAsia="宋体" w:hAnsi="Arial" w:cs="Arial"/>
                <w:color w:val="000000"/>
                <w:sz w:val="16"/>
                <w:szCs w:val="16"/>
              </w:rPr>
              <w:t>(921)</w:t>
            </w:r>
          </w:p>
        </w:tc>
        <w:tc>
          <w:tcPr>
            <w:tcW w:w="0" w:type="auto"/>
            <w:shd w:val="clear" w:color="auto" w:fill="CCEEFF"/>
            <w:tcMar>
              <w:top w:w="40" w:type="dxa"/>
              <w:left w:w="0" w:type="dxa"/>
              <w:bottom w:w="40" w:type="dxa"/>
              <w:right w:w="20" w:type="dxa"/>
            </w:tcMar>
            <w:vAlign w:val="bottom"/>
          </w:tcPr>
          <w:p w14:paraId="5F2D5EED" w14:textId="77777777" w:rsidR="00E836FB" w:rsidRDefault="00E836FB">
            <w:pPr>
              <w:jc w:val="right"/>
              <w:rPr>
                <w:rFonts w:ascii="宋体"/>
              </w:rPr>
            </w:pPr>
          </w:p>
        </w:tc>
      </w:tr>
      <w:tr w:rsidR="00E836FB" w14:paraId="5F2D5EF8" w14:textId="77777777">
        <w:tc>
          <w:tcPr>
            <w:tcW w:w="0" w:type="auto"/>
            <w:gridSpan w:val="3"/>
            <w:shd w:val="clear" w:color="auto" w:fill="FFFFFF"/>
            <w:tcMar>
              <w:top w:w="40" w:type="dxa"/>
              <w:left w:w="20" w:type="dxa"/>
              <w:bottom w:w="40" w:type="dxa"/>
              <w:right w:w="20" w:type="dxa"/>
            </w:tcMar>
            <w:vAlign w:val="bottom"/>
          </w:tcPr>
          <w:p w14:paraId="5F2D5EEF" w14:textId="77777777" w:rsidR="00E836FB" w:rsidRDefault="00994958">
            <w:pPr>
              <w:textAlignment w:val="bottom"/>
            </w:pPr>
            <w:r>
              <w:rPr>
                <w:rFonts w:ascii="Arial" w:eastAsia="宋体" w:hAnsi="Arial" w:cs="Arial"/>
                <w:color w:val="000000"/>
                <w:sz w:val="16"/>
                <w:szCs w:val="16"/>
              </w:rPr>
              <w:t>Investments in consolidated banking and non-banking subsidiaries</w:t>
            </w:r>
          </w:p>
        </w:tc>
        <w:tc>
          <w:tcPr>
            <w:tcW w:w="0" w:type="auto"/>
            <w:gridSpan w:val="2"/>
            <w:shd w:val="clear" w:color="auto" w:fill="FFFFFF"/>
            <w:tcMar>
              <w:top w:w="40" w:type="dxa"/>
              <w:left w:w="20" w:type="dxa"/>
              <w:bottom w:w="40" w:type="dxa"/>
              <w:right w:w="0" w:type="dxa"/>
            </w:tcMar>
            <w:vAlign w:val="bottom"/>
          </w:tcPr>
          <w:p w14:paraId="5F2D5EF0" w14:textId="77777777" w:rsidR="00E836FB" w:rsidRDefault="00994958">
            <w:pPr>
              <w:jc w:val="right"/>
              <w:textAlignment w:val="bottom"/>
            </w:pPr>
            <w:r>
              <w:rPr>
                <w:rFonts w:ascii="Arial" w:eastAsia="宋体" w:hAnsi="Arial" w:cs="Arial"/>
                <w:b/>
                <w:bCs/>
                <w:color w:val="000000"/>
                <w:sz w:val="16"/>
                <w:szCs w:val="16"/>
              </w:rPr>
              <w:t>(6,288)</w:t>
            </w:r>
          </w:p>
        </w:tc>
        <w:tc>
          <w:tcPr>
            <w:tcW w:w="0" w:type="auto"/>
            <w:shd w:val="clear" w:color="auto" w:fill="FFFFFF"/>
            <w:tcMar>
              <w:top w:w="40" w:type="dxa"/>
              <w:left w:w="0" w:type="dxa"/>
              <w:bottom w:w="40" w:type="dxa"/>
              <w:right w:w="20" w:type="dxa"/>
            </w:tcMar>
            <w:vAlign w:val="bottom"/>
          </w:tcPr>
          <w:p w14:paraId="5F2D5E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F3" w14:textId="77777777" w:rsidR="00E836FB" w:rsidRDefault="00994958">
            <w:pPr>
              <w:jc w:val="right"/>
              <w:textAlignment w:val="bottom"/>
            </w:pPr>
            <w:r>
              <w:rPr>
                <w:rFonts w:ascii="Arial" w:eastAsia="宋体" w:hAnsi="Arial" w:cs="Arial"/>
                <w:color w:val="000000"/>
                <w:sz w:val="16"/>
                <w:szCs w:val="16"/>
              </w:rPr>
              <w:t>(7,406)</w:t>
            </w:r>
          </w:p>
        </w:tc>
        <w:tc>
          <w:tcPr>
            <w:tcW w:w="0" w:type="auto"/>
            <w:shd w:val="clear" w:color="auto" w:fill="FFFFFF"/>
            <w:tcMar>
              <w:top w:w="40" w:type="dxa"/>
              <w:left w:w="0" w:type="dxa"/>
              <w:bottom w:w="40" w:type="dxa"/>
              <w:right w:w="20" w:type="dxa"/>
            </w:tcMar>
            <w:vAlign w:val="bottom"/>
          </w:tcPr>
          <w:p w14:paraId="5F2D5E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E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EF6" w14:textId="77777777" w:rsidR="00E836FB" w:rsidRDefault="00994958">
            <w:pPr>
              <w:jc w:val="right"/>
              <w:textAlignment w:val="bottom"/>
            </w:pPr>
            <w:r>
              <w:rPr>
                <w:rFonts w:ascii="Arial" w:eastAsia="宋体" w:hAnsi="Arial" w:cs="Arial"/>
                <w:color w:val="000000"/>
                <w:sz w:val="16"/>
                <w:szCs w:val="16"/>
              </w:rPr>
              <w:t>(6,165)</w:t>
            </w:r>
          </w:p>
        </w:tc>
        <w:tc>
          <w:tcPr>
            <w:tcW w:w="0" w:type="auto"/>
            <w:shd w:val="clear" w:color="auto" w:fill="FFFFFF"/>
            <w:tcMar>
              <w:top w:w="40" w:type="dxa"/>
              <w:left w:w="0" w:type="dxa"/>
              <w:bottom w:w="40" w:type="dxa"/>
              <w:right w:w="20" w:type="dxa"/>
            </w:tcMar>
            <w:vAlign w:val="bottom"/>
          </w:tcPr>
          <w:p w14:paraId="5F2D5EF7" w14:textId="77777777" w:rsidR="00E836FB" w:rsidRDefault="00E836FB">
            <w:pPr>
              <w:jc w:val="right"/>
              <w:rPr>
                <w:rFonts w:ascii="宋体"/>
              </w:rPr>
            </w:pPr>
          </w:p>
        </w:tc>
      </w:tr>
      <w:tr w:rsidR="00E836FB" w14:paraId="5F2D5F02" w14:textId="77777777">
        <w:tc>
          <w:tcPr>
            <w:tcW w:w="0" w:type="auto"/>
            <w:gridSpan w:val="3"/>
            <w:shd w:val="clear" w:color="auto" w:fill="CCEEFF"/>
            <w:tcMar>
              <w:top w:w="40" w:type="dxa"/>
              <w:left w:w="20" w:type="dxa"/>
              <w:bottom w:w="40" w:type="dxa"/>
              <w:right w:w="20" w:type="dxa"/>
            </w:tcMar>
            <w:vAlign w:val="bottom"/>
          </w:tcPr>
          <w:p w14:paraId="5F2D5EF9" w14:textId="77777777" w:rsidR="00E836FB" w:rsidRDefault="00994958">
            <w:pPr>
              <w:textAlignment w:val="bottom"/>
            </w:pPr>
            <w:r>
              <w:rPr>
                <w:rFonts w:ascii="Arial" w:eastAsia="宋体" w:hAnsi="Arial" w:cs="Arial"/>
                <w:color w:val="000000"/>
                <w:sz w:val="16"/>
                <w:szCs w:val="16"/>
              </w:rPr>
              <w:t xml:space="preserve">Sale or repayment of investment in consolidated banking and </w:t>
            </w:r>
            <w:r>
              <w:rPr>
                <w:rFonts w:ascii="Arial" w:eastAsia="宋体" w:hAnsi="Arial" w:cs="Arial"/>
                <w:color w:val="000000"/>
                <w:sz w:val="16"/>
                <w:szCs w:val="16"/>
              </w:rPr>
              <w:t>non-banking subsidiaries</w:t>
            </w:r>
          </w:p>
        </w:tc>
        <w:tc>
          <w:tcPr>
            <w:tcW w:w="0" w:type="auto"/>
            <w:gridSpan w:val="2"/>
            <w:shd w:val="clear" w:color="auto" w:fill="CCEEFF"/>
            <w:tcMar>
              <w:top w:w="40" w:type="dxa"/>
              <w:left w:w="20" w:type="dxa"/>
              <w:bottom w:w="40" w:type="dxa"/>
              <w:right w:w="0" w:type="dxa"/>
            </w:tcMar>
            <w:vAlign w:val="bottom"/>
          </w:tcPr>
          <w:p w14:paraId="5F2D5EFA" w14:textId="77777777" w:rsidR="00E836FB" w:rsidRDefault="00994958">
            <w:pPr>
              <w:jc w:val="right"/>
              <w:textAlignment w:val="bottom"/>
            </w:pPr>
            <w:r>
              <w:rPr>
                <w:rFonts w:ascii="Arial" w:eastAsia="宋体" w:hAnsi="Arial" w:cs="Arial"/>
                <w:b/>
                <w:bCs/>
                <w:color w:val="000000"/>
                <w:sz w:val="16"/>
                <w:szCs w:val="16"/>
              </w:rPr>
              <w:t>7,006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EF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F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EFD" w14:textId="77777777" w:rsidR="00E836FB" w:rsidRDefault="00994958">
            <w:pPr>
              <w:jc w:val="right"/>
              <w:textAlignment w:val="bottom"/>
            </w:pPr>
            <w:r>
              <w:rPr>
                <w:rFonts w:ascii="Arial" w:eastAsia="宋体" w:hAnsi="Arial" w:cs="Arial"/>
                <w:color w:val="000000"/>
                <w:sz w:val="16"/>
                <w:szCs w:val="16"/>
              </w:rPr>
              <w:t>4,999 </w:t>
            </w:r>
          </w:p>
        </w:tc>
        <w:tc>
          <w:tcPr>
            <w:tcW w:w="0" w:type="auto"/>
            <w:shd w:val="clear" w:color="auto" w:fill="CCEEFF"/>
            <w:tcMar>
              <w:top w:w="40" w:type="dxa"/>
              <w:left w:w="0" w:type="dxa"/>
              <w:bottom w:w="40" w:type="dxa"/>
              <w:right w:w="20" w:type="dxa"/>
            </w:tcMar>
            <w:vAlign w:val="bottom"/>
          </w:tcPr>
          <w:p w14:paraId="5F2D5EF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EF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00" w14:textId="77777777" w:rsidR="00E836FB" w:rsidRDefault="00994958">
            <w:pPr>
              <w:jc w:val="right"/>
              <w:textAlignment w:val="bottom"/>
            </w:pPr>
            <w:r>
              <w:rPr>
                <w:rFonts w:ascii="Arial" w:eastAsia="宋体" w:hAnsi="Arial" w:cs="Arial"/>
                <w:color w:val="000000"/>
                <w:sz w:val="16"/>
                <w:szCs w:val="16"/>
              </w:rPr>
              <w:t>5,345 </w:t>
            </w:r>
          </w:p>
        </w:tc>
        <w:tc>
          <w:tcPr>
            <w:tcW w:w="0" w:type="auto"/>
            <w:shd w:val="clear" w:color="auto" w:fill="CCEEFF"/>
            <w:tcMar>
              <w:top w:w="40" w:type="dxa"/>
              <w:left w:w="0" w:type="dxa"/>
              <w:bottom w:w="40" w:type="dxa"/>
              <w:right w:w="20" w:type="dxa"/>
            </w:tcMar>
            <w:vAlign w:val="bottom"/>
          </w:tcPr>
          <w:p w14:paraId="5F2D5F01" w14:textId="77777777" w:rsidR="00E836FB" w:rsidRDefault="00E836FB">
            <w:pPr>
              <w:jc w:val="right"/>
              <w:rPr>
                <w:rFonts w:ascii="宋体"/>
              </w:rPr>
            </w:pPr>
          </w:p>
        </w:tc>
      </w:tr>
      <w:tr w:rsidR="00E836FB" w14:paraId="5F2D5F09" w14:textId="77777777">
        <w:trPr>
          <w:hidden/>
        </w:trPr>
        <w:tc>
          <w:tcPr>
            <w:tcW w:w="0" w:type="auto"/>
            <w:gridSpan w:val="3"/>
            <w:shd w:val="clear" w:color="auto" w:fill="auto"/>
            <w:vAlign w:val="bottom"/>
          </w:tcPr>
          <w:p w14:paraId="5F2D5F03" w14:textId="77777777" w:rsidR="00E836FB" w:rsidRDefault="00E836FB">
            <w:pPr>
              <w:rPr>
                <w:rFonts w:ascii="宋体"/>
                <w:vanish/>
              </w:rPr>
            </w:pPr>
          </w:p>
        </w:tc>
        <w:tc>
          <w:tcPr>
            <w:tcW w:w="0" w:type="auto"/>
            <w:gridSpan w:val="3"/>
            <w:shd w:val="clear" w:color="auto" w:fill="auto"/>
            <w:vAlign w:val="bottom"/>
          </w:tcPr>
          <w:p w14:paraId="5F2D5F04" w14:textId="77777777" w:rsidR="00E836FB" w:rsidRDefault="00E836FB">
            <w:pPr>
              <w:rPr>
                <w:rFonts w:ascii="宋体"/>
                <w:vanish/>
              </w:rPr>
            </w:pPr>
          </w:p>
        </w:tc>
        <w:tc>
          <w:tcPr>
            <w:tcW w:w="0" w:type="auto"/>
            <w:gridSpan w:val="3"/>
            <w:shd w:val="clear" w:color="auto" w:fill="auto"/>
            <w:vAlign w:val="bottom"/>
          </w:tcPr>
          <w:p w14:paraId="5F2D5F05" w14:textId="77777777" w:rsidR="00E836FB" w:rsidRDefault="00E836FB">
            <w:pPr>
              <w:rPr>
                <w:rFonts w:ascii="宋体"/>
                <w:vanish/>
              </w:rPr>
            </w:pPr>
          </w:p>
        </w:tc>
        <w:tc>
          <w:tcPr>
            <w:tcW w:w="0" w:type="auto"/>
            <w:gridSpan w:val="3"/>
            <w:shd w:val="clear" w:color="auto" w:fill="auto"/>
            <w:vAlign w:val="bottom"/>
          </w:tcPr>
          <w:p w14:paraId="5F2D5F06" w14:textId="77777777" w:rsidR="00E836FB" w:rsidRDefault="00E836FB">
            <w:pPr>
              <w:rPr>
                <w:rFonts w:ascii="宋体"/>
                <w:vanish/>
              </w:rPr>
            </w:pPr>
          </w:p>
        </w:tc>
        <w:tc>
          <w:tcPr>
            <w:tcW w:w="0" w:type="auto"/>
            <w:gridSpan w:val="3"/>
            <w:shd w:val="clear" w:color="auto" w:fill="auto"/>
            <w:vAlign w:val="bottom"/>
          </w:tcPr>
          <w:p w14:paraId="5F2D5F07" w14:textId="77777777" w:rsidR="00E836FB" w:rsidRDefault="00E836FB">
            <w:pPr>
              <w:rPr>
                <w:rFonts w:ascii="宋体"/>
                <w:vanish/>
              </w:rPr>
            </w:pPr>
          </w:p>
        </w:tc>
        <w:tc>
          <w:tcPr>
            <w:tcW w:w="0" w:type="auto"/>
            <w:gridSpan w:val="3"/>
            <w:shd w:val="clear" w:color="auto" w:fill="auto"/>
            <w:vAlign w:val="bottom"/>
          </w:tcPr>
          <w:p w14:paraId="5F2D5F08" w14:textId="77777777" w:rsidR="00E836FB" w:rsidRDefault="00E836FB">
            <w:pPr>
              <w:rPr>
                <w:rFonts w:ascii="宋体"/>
                <w:vanish/>
              </w:rPr>
            </w:pPr>
          </w:p>
        </w:tc>
      </w:tr>
      <w:tr w:rsidR="00E836FB" w14:paraId="5F2D5F10" w14:textId="77777777">
        <w:trPr>
          <w:hidden/>
        </w:trPr>
        <w:tc>
          <w:tcPr>
            <w:tcW w:w="0" w:type="auto"/>
            <w:gridSpan w:val="3"/>
            <w:shd w:val="clear" w:color="auto" w:fill="auto"/>
            <w:vAlign w:val="bottom"/>
          </w:tcPr>
          <w:p w14:paraId="5F2D5F0A" w14:textId="77777777" w:rsidR="00E836FB" w:rsidRDefault="00E836FB">
            <w:pPr>
              <w:rPr>
                <w:rFonts w:ascii="宋体"/>
                <w:vanish/>
              </w:rPr>
            </w:pPr>
          </w:p>
        </w:tc>
        <w:tc>
          <w:tcPr>
            <w:tcW w:w="0" w:type="auto"/>
            <w:gridSpan w:val="3"/>
            <w:shd w:val="clear" w:color="auto" w:fill="auto"/>
            <w:vAlign w:val="bottom"/>
          </w:tcPr>
          <w:p w14:paraId="5F2D5F0B" w14:textId="77777777" w:rsidR="00E836FB" w:rsidRDefault="00E836FB">
            <w:pPr>
              <w:rPr>
                <w:rFonts w:ascii="宋体"/>
                <w:vanish/>
              </w:rPr>
            </w:pPr>
          </w:p>
        </w:tc>
        <w:tc>
          <w:tcPr>
            <w:tcW w:w="0" w:type="auto"/>
            <w:gridSpan w:val="3"/>
            <w:shd w:val="clear" w:color="auto" w:fill="auto"/>
            <w:vAlign w:val="bottom"/>
          </w:tcPr>
          <w:p w14:paraId="5F2D5F0C" w14:textId="77777777" w:rsidR="00E836FB" w:rsidRDefault="00E836FB">
            <w:pPr>
              <w:rPr>
                <w:rFonts w:ascii="宋体"/>
                <w:vanish/>
              </w:rPr>
            </w:pPr>
          </w:p>
        </w:tc>
        <w:tc>
          <w:tcPr>
            <w:tcW w:w="0" w:type="auto"/>
            <w:gridSpan w:val="3"/>
            <w:shd w:val="clear" w:color="auto" w:fill="auto"/>
            <w:vAlign w:val="bottom"/>
          </w:tcPr>
          <w:p w14:paraId="5F2D5F0D" w14:textId="77777777" w:rsidR="00E836FB" w:rsidRDefault="00E836FB">
            <w:pPr>
              <w:rPr>
                <w:rFonts w:ascii="宋体"/>
                <w:vanish/>
              </w:rPr>
            </w:pPr>
          </w:p>
        </w:tc>
        <w:tc>
          <w:tcPr>
            <w:tcW w:w="0" w:type="auto"/>
            <w:gridSpan w:val="3"/>
            <w:shd w:val="clear" w:color="auto" w:fill="auto"/>
            <w:vAlign w:val="bottom"/>
          </w:tcPr>
          <w:p w14:paraId="5F2D5F0E" w14:textId="77777777" w:rsidR="00E836FB" w:rsidRDefault="00E836FB">
            <w:pPr>
              <w:rPr>
                <w:rFonts w:ascii="宋体"/>
                <w:vanish/>
              </w:rPr>
            </w:pPr>
          </w:p>
        </w:tc>
        <w:tc>
          <w:tcPr>
            <w:tcW w:w="0" w:type="auto"/>
            <w:gridSpan w:val="3"/>
            <w:shd w:val="clear" w:color="auto" w:fill="auto"/>
            <w:vAlign w:val="bottom"/>
          </w:tcPr>
          <w:p w14:paraId="5F2D5F0F" w14:textId="77777777" w:rsidR="00E836FB" w:rsidRDefault="00E836FB">
            <w:pPr>
              <w:rPr>
                <w:rFonts w:ascii="宋体"/>
                <w:vanish/>
              </w:rPr>
            </w:pPr>
          </w:p>
        </w:tc>
      </w:tr>
      <w:tr w:rsidR="00E836FB" w14:paraId="5F2D5F1A" w14:textId="77777777">
        <w:tc>
          <w:tcPr>
            <w:tcW w:w="0" w:type="auto"/>
            <w:gridSpan w:val="3"/>
            <w:shd w:val="clear" w:color="auto" w:fill="FFFFFF"/>
            <w:tcMar>
              <w:top w:w="40" w:type="dxa"/>
              <w:left w:w="20" w:type="dxa"/>
              <w:bottom w:w="40" w:type="dxa"/>
              <w:right w:w="20" w:type="dxa"/>
            </w:tcMar>
            <w:vAlign w:val="bottom"/>
          </w:tcPr>
          <w:p w14:paraId="5F2D5F11" w14:textId="77777777" w:rsidR="00E836FB" w:rsidRDefault="00994958">
            <w:pPr>
              <w:textAlignment w:val="bottom"/>
            </w:pPr>
            <w:r>
              <w:rPr>
                <w:rFonts w:ascii="Arial" w:eastAsia="宋体" w:hAnsi="Arial" w:cs="Arial"/>
                <w:color w:val="000000"/>
                <w:sz w:val="16"/>
                <w:szCs w:val="16"/>
              </w:rPr>
              <w:t>Net cash provided by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F12" w14:textId="77777777" w:rsidR="00E836FB" w:rsidRDefault="00994958">
            <w:pPr>
              <w:jc w:val="right"/>
              <w:textAlignment w:val="bottom"/>
            </w:pPr>
            <w:r>
              <w:rPr>
                <w:rFonts w:ascii="Arial" w:eastAsia="宋体" w:hAnsi="Arial" w:cs="Arial"/>
                <w:b/>
                <w:bCs/>
                <w:color w:val="000000"/>
                <w:sz w:val="16"/>
                <w:szCs w:val="16"/>
              </w:rPr>
              <w:t>678</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F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1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F15" w14:textId="77777777" w:rsidR="00E836FB" w:rsidRDefault="00994958">
            <w:pPr>
              <w:jc w:val="right"/>
              <w:textAlignment w:val="bottom"/>
            </w:pPr>
            <w:r>
              <w:rPr>
                <w:rFonts w:ascii="Arial" w:eastAsia="宋体" w:hAnsi="Arial" w:cs="Arial"/>
                <w:color w:val="000000"/>
                <w:sz w:val="16"/>
                <w:szCs w:val="16"/>
              </w:rPr>
              <w:t>(2,320)</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F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1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5F18" w14:textId="77777777" w:rsidR="00E836FB" w:rsidRDefault="00994958">
            <w:pPr>
              <w:jc w:val="right"/>
              <w:textAlignment w:val="bottom"/>
            </w:pPr>
            <w:r>
              <w:rPr>
                <w:rFonts w:ascii="Arial" w:eastAsia="宋体" w:hAnsi="Arial" w:cs="Arial"/>
                <w:color w:val="000000"/>
                <w:sz w:val="16"/>
                <w:szCs w:val="16"/>
              </w:rPr>
              <w:t>(783)</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5F19" w14:textId="77777777" w:rsidR="00E836FB" w:rsidRDefault="00E836FB">
            <w:pPr>
              <w:jc w:val="right"/>
              <w:rPr>
                <w:rFonts w:ascii="宋体"/>
              </w:rPr>
            </w:pPr>
          </w:p>
        </w:tc>
      </w:tr>
      <w:tr w:rsidR="00E836FB" w14:paraId="5F2D5F21" w14:textId="77777777">
        <w:tc>
          <w:tcPr>
            <w:tcW w:w="0" w:type="auto"/>
            <w:gridSpan w:val="3"/>
            <w:shd w:val="clear" w:color="auto" w:fill="CCEEFF"/>
            <w:tcMar>
              <w:top w:w="40" w:type="dxa"/>
              <w:left w:w="20" w:type="dxa"/>
              <w:bottom w:w="40" w:type="dxa"/>
              <w:right w:w="20" w:type="dxa"/>
            </w:tcMar>
            <w:vAlign w:val="bottom"/>
          </w:tcPr>
          <w:p w14:paraId="5F2D5F1B" w14:textId="77777777" w:rsidR="00E836FB" w:rsidRDefault="00994958">
            <w:pPr>
              <w:textAlignment w:val="bottom"/>
            </w:pPr>
            <w:r>
              <w:rPr>
                <w:rFonts w:ascii="Arial" w:eastAsia="宋体" w:hAnsi="Arial" w:cs="Arial"/>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bottom"/>
          </w:tcPr>
          <w:p w14:paraId="5F2D5F1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F1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F1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F1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5F20" w14:textId="77777777" w:rsidR="00E836FB" w:rsidRDefault="00E836FB">
            <w:pPr>
              <w:rPr>
                <w:rFonts w:ascii="宋体"/>
              </w:rPr>
            </w:pPr>
          </w:p>
        </w:tc>
      </w:tr>
      <w:tr w:rsidR="00E836FB" w14:paraId="5F2D5F28" w14:textId="77777777">
        <w:trPr>
          <w:hidden/>
        </w:trPr>
        <w:tc>
          <w:tcPr>
            <w:tcW w:w="0" w:type="auto"/>
            <w:gridSpan w:val="3"/>
            <w:shd w:val="clear" w:color="auto" w:fill="auto"/>
            <w:vAlign w:val="bottom"/>
          </w:tcPr>
          <w:p w14:paraId="5F2D5F22" w14:textId="77777777" w:rsidR="00E836FB" w:rsidRDefault="00E836FB">
            <w:pPr>
              <w:rPr>
                <w:rFonts w:ascii="宋体"/>
                <w:vanish/>
              </w:rPr>
            </w:pPr>
          </w:p>
        </w:tc>
        <w:tc>
          <w:tcPr>
            <w:tcW w:w="0" w:type="auto"/>
            <w:gridSpan w:val="3"/>
            <w:shd w:val="clear" w:color="auto" w:fill="auto"/>
            <w:vAlign w:val="bottom"/>
          </w:tcPr>
          <w:p w14:paraId="5F2D5F23" w14:textId="77777777" w:rsidR="00E836FB" w:rsidRDefault="00E836FB">
            <w:pPr>
              <w:rPr>
                <w:rFonts w:ascii="宋体"/>
                <w:vanish/>
              </w:rPr>
            </w:pPr>
          </w:p>
        </w:tc>
        <w:tc>
          <w:tcPr>
            <w:tcW w:w="0" w:type="auto"/>
            <w:gridSpan w:val="3"/>
            <w:shd w:val="clear" w:color="auto" w:fill="auto"/>
            <w:vAlign w:val="bottom"/>
          </w:tcPr>
          <w:p w14:paraId="5F2D5F24" w14:textId="77777777" w:rsidR="00E836FB" w:rsidRDefault="00E836FB">
            <w:pPr>
              <w:rPr>
                <w:rFonts w:ascii="宋体"/>
                <w:vanish/>
              </w:rPr>
            </w:pPr>
          </w:p>
        </w:tc>
        <w:tc>
          <w:tcPr>
            <w:tcW w:w="0" w:type="auto"/>
            <w:gridSpan w:val="3"/>
            <w:shd w:val="clear" w:color="auto" w:fill="auto"/>
            <w:vAlign w:val="bottom"/>
          </w:tcPr>
          <w:p w14:paraId="5F2D5F25" w14:textId="77777777" w:rsidR="00E836FB" w:rsidRDefault="00E836FB">
            <w:pPr>
              <w:rPr>
                <w:rFonts w:ascii="宋体"/>
                <w:vanish/>
              </w:rPr>
            </w:pPr>
          </w:p>
        </w:tc>
        <w:tc>
          <w:tcPr>
            <w:tcW w:w="0" w:type="auto"/>
            <w:gridSpan w:val="3"/>
            <w:shd w:val="clear" w:color="auto" w:fill="auto"/>
            <w:vAlign w:val="bottom"/>
          </w:tcPr>
          <w:p w14:paraId="5F2D5F26" w14:textId="77777777" w:rsidR="00E836FB" w:rsidRDefault="00E836FB">
            <w:pPr>
              <w:rPr>
                <w:rFonts w:ascii="宋体"/>
                <w:vanish/>
              </w:rPr>
            </w:pPr>
          </w:p>
        </w:tc>
        <w:tc>
          <w:tcPr>
            <w:tcW w:w="0" w:type="auto"/>
            <w:gridSpan w:val="3"/>
            <w:shd w:val="clear" w:color="auto" w:fill="auto"/>
            <w:vAlign w:val="bottom"/>
          </w:tcPr>
          <w:p w14:paraId="5F2D5F27" w14:textId="77777777" w:rsidR="00E836FB" w:rsidRDefault="00E836FB">
            <w:pPr>
              <w:rPr>
                <w:rFonts w:ascii="宋体"/>
                <w:vanish/>
              </w:rPr>
            </w:pPr>
          </w:p>
        </w:tc>
      </w:tr>
      <w:tr w:rsidR="00E836FB" w14:paraId="5F2D5F2F" w14:textId="77777777">
        <w:trPr>
          <w:hidden/>
        </w:trPr>
        <w:tc>
          <w:tcPr>
            <w:tcW w:w="0" w:type="auto"/>
            <w:gridSpan w:val="3"/>
            <w:shd w:val="clear" w:color="auto" w:fill="auto"/>
            <w:vAlign w:val="bottom"/>
          </w:tcPr>
          <w:p w14:paraId="5F2D5F29" w14:textId="77777777" w:rsidR="00E836FB" w:rsidRDefault="00E836FB">
            <w:pPr>
              <w:rPr>
                <w:rFonts w:ascii="宋体"/>
                <w:vanish/>
              </w:rPr>
            </w:pPr>
          </w:p>
        </w:tc>
        <w:tc>
          <w:tcPr>
            <w:tcW w:w="0" w:type="auto"/>
            <w:gridSpan w:val="3"/>
            <w:shd w:val="clear" w:color="auto" w:fill="auto"/>
            <w:vAlign w:val="bottom"/>
          </w:tcPr>
          <w:p w14:paraId="5F2D5F2A" w14:textId="77777777" w:rsidR="00E836FB" w:rsidRDefault="00E836FB">
            <w:pPr>
              <w:rPr>
                <w:rFonts w:ascii="宋体"/>
                <w:vanish/>
              </w:rPr>
            </w:pPr>
          </w:p>
        </w:tc>
        <w:tc>
          <w:tcPr>
            <w:tcW w:w="0" w:type="auto"/>
            <w:gridSpan w:val="3"/>
            <w:shd w:val="clear" w:color="auto" w:fill="auto"/>
            <w:vAlign w:val="bottom"/>
          </w:tcPr>
          <w:p w14:paraId="5F2D5F2B" w14:textId="77777777" w:rsidR="00E836FB" w:rsidRDefault="00E836FB">
            <w:pPr>
              <w:rPr>
                <w:rFonts w:ascii="宋体"/>
                <w:vanish/>
              </w:rPr>
            </w:pPr>
          </w:p>
        </w:tc>
        <w:tc>
          <w:tcPr>
            <w:tcW w:w="0" w:type="auto"/>
            <w:gridSpan w:val="3"/>
            <w:shd w:val="clear" w:color="auto" w:fill="auto"/>
            <w:vAlign w:val="bottom"/>
          </w:tcPr>
          <w:p w14:paraId="5F2D5F2C" w14:textId="77777777" w:rsidR="00E836FB" w:rsidRDefault="00E836FB">
            <w:pPr>
              <w:rPr>
                <w:rFonts w:ascii="宋体"/>
                <w:vanish/>
              </w:rPr>
            </w:pPr>
          </w:p>
        </w:tc>
        <w:tc>
          <w:tcPr>
            <w:tcW w:w="0" w:type="auto"/>
            <w:gridSpan w:val="3"/>
            <w:shd w:val="clear" w:color="auto" w:fill="auto"/>
            <w:vAlign w:val="bottom"/>
          </w:tcPr>
          <w:p w14:paraId="5F2D5F2D" w14:textId="77777777" w:rsidR="00E836FB" w:rsidRDefault="00E836FB">
            <w:pPr>
              <w:rPr>
                <w:rFonts w:ascii="宋体"/>
                <w:vanish/>
              </w:rPr>
            </w:pPr>
          </w:p>
        </w:tc>
        <w:tc>
          <w:tcPr>
            <w:tcW w:w="0" w:type="auto"/>
            <w:gridSpan w:val="3"/>
            <w:shd w:val="clear" w:color="auto" w:fill="auto"/>
            <w:vAlign w:val="bottom"/>
          </w:tcPr>
          <w:p w14:paraId="5F2D5F2E" w14:textId="77777777" w:rsidR="00E836FB" w:rsidRDefault="00E836FB">
            <w:pPr>
              <w:rPr>
                <w:rFonts w:ascii="宋体"/>
                <w:vanish/>
              </w:rPr>
            </w:pPr>
          </w:p>
        </w:tc>
      </w:tr>
      <w:tr w:rsidR="00E836FB" w14:paraId="5F2D5F39" w14:textId="77777777">
        <w:tc>
          <w:tcPr>
            <w:tcW w:w="0" w:type="auto"/>
            <w:gridSpan w:val="3"/>
            <w:shd w:val="clear" w:color="auto" w:fill="FFFFFF"/>
            <w:tcMar>
              <w:top w:w="40" w:type="dxa"/>
              <w:left w:w="20" w:type="dxa"/>
              <w:bottom w:w="40" w:type="dxa"/>
              <w:right w:w="20" w:type="dxa"/>
            </w:tcMar>
            <w:vAlign w:val="bottom"/>
          </w:tcPr>
          <w:p w14:paraId="5F2D5F30" w14:textId="77777777" w:rsidR="00E836FB" w:rsidRDefault="00994958">
            <w:pPr>
              <w:textAlignment w:val="bottom"/>
            </w:pPr>
            <w:r>
              <w:rPr>
                <w:rFonts w:ascii="Arial" w:eastAsia="宋体" w:hAnsi="Arial" w:cs="Arial"/>
                <w:color w:val="000000"/>
                <w:sz w:val="16"/>
                <w:szCs w:val="16"/>
              </w:rPr>
              <w:t>Proceeds from issuance of long-term debt, net of issuance costs</w:t>
            </w:r>
          </w:p>
        </w:tc>
        <w:tc>
          <w:tcPr>
            <w:tcW w:w="0" w:type="auto"/>
            <w:gridSpan w:val="2"/>
            <w:shd w:val="clear" w:color="auto" w:fill="FFFFFF"/>
            <w:tcMar>
              <w:top w:w="40" w:type="dxa"/>
              <w:left w:w="20" w:type="dxa"/>
              <w:bottom w:w="40" w:type="dxa"/>
              <w:right w:w="0" w:type="dxa"/>
            </w:tcMar>
            <w:vAlign w:val="bottom"/>
          </w:tcPr>
          <w:p w14:paraId="5F2D5F31" w14:textId="77777777" w:rsidR="00E836FB" w:rsidRDefault="00994958">
            <w:pPr>
              <w:jc w:val="right"/>
              <w:textAlignment w:val="bottom"/>
            </w:pPr>
            <w:r>
              <w:rPr>
                <w:rFonts w:ascii="Arial" w:eastAsia="宋体" w:hAnsi="Arial" w:cs="Arial"/>
                <w:b/>
                <w:bCs/>
                <w:color w:val="000000"/>
                <w:sz w:val="16"/>
                <w:szCs w:val="16"/>
              </w:rPr>
              <w:t>1,343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F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3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34" w14:textId="77777777" w:rsidR="00E836FB" w:rsidRDefault="00994958">
            <w:pPr>
              <w:jc w:val="right"/>
              <w:textAlignment w:val="bottom"/>
            </w:pPr>
            <w:r>
              <w:rPr>
                <w:rFonts w:ascii="Arial" w:eastAsia="宋体" w:hAnsi="Arial" w:cs="Arial"/>
                <w:color w:val="000000"/>
                <w:sz w:val="16"/>
                <w:szCs w:val="16"/>
              </w:rPr>
              <w:t>2,489 </w:t>
            </w:r>
          </w:p>
        </w:tc>
        <w:tc>
          <w:tcPr>
            <w:tcW w:w="0" w:type="auto"/>
            <w:shd w:val="clear" w:color="auto" w:fill="FFFFFF"/>
            <w:tcMar>
              <w:top w:w="40" w:type="dxa"/>
              <w:left w:w="0" w:type="dxa"/>
              <w:bottom w:w="40" w:type="dxa"/>
              <w:right w:w="20" w:type="dxa"/>
            </w:tcMar>
            <w:vAlign w:val="bottom"/>
          </w:tcPr>
          <w:p w14:paraId="5F2D5F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37" w14:textId="77777777" w:rsidR="00E836FB" w:rsidRDefault="00994958">
            <w:pPr>
              <w:jc w:val="right"/>
              <w:textAlignment w:val="bottom"/>
            </w:pPr>
            <w:r>
              <w:rPr>
                <w:rFonts w:ascii="Arial" w:eastAsia="宋体" w:hAnsi="Arial" w:cs="Arial"/>
                <w:color w:val="000000"/>
                <w:sz w:val="16"/>
                <w:szCs w:val="16"/>
              </w:rPr>
              <w:t>1,495 </w:t>
            </w:r>
          </w:p>
        </w:tc>
        <w:tc>
          <w:tcPr>
            <w:tcW w:w="0" w:type="auto"/>
            <w:shd w:val="clear" w:color="auto" w:fill="FFFFFF"/>
            <w:tcMar>
              <w:top w:w="40" w:type="dxa"/>
              <w:left w:w="0" w:type="dxa"/>
              <w:bottom w:w="40" w:type="dxa"/>
              <w:right w:w="20" w:type="dxa"/>
            </w:tcMar>
            <w:vAlign w:val="bottom"/>
          </w:tcPr>
          <w:p w14:paraId="5F2D5F38" w14:textId="77777777" w:rsidR="00E836FB" w:rsidRDefault="00E836FB">
            <w:pPr>
              <w:jc w:val="right"/>
              <w:rPr>
                <w:rFonts w:ascii="宋体"/>
              </w:rPr>
            </w:pPr>
          </w:p>
        </w:tc>
      </w:tr>
      <w:tr w:rsidR="00E836FB" w14:paraId="5F2D5F43" w14:textId="77777777">
        <w:tc>
          <w:tcPr>
            <w:tcW w:w="0" w:type="auto"/>
            <w:gridSpan w:val="3"/>
            <w:shd w:val="clear" w:color="auto" w:fill="CCEEFF"/>
            <w:tcMar>
              <w:top w:w="40" w:type="dxa"/>
              <w:left w:w="20" w:type="dxa"/>
              <w:bottom w:w="40" w:type="dxa"/>
              <w:right w:w="20" w:type="dxa"/>
            </w:tcMar>
            <w:vAlign w:val="bottom"/>
          </w:tcPr>
          <w:p w14:paraId="5F2D5F3A" w14:textId="77777777" w:rsidR="00E836FB" w:rsidRDefault="00994958">
            <w:pPr>
              <w:textAlignment w:val="bottom"/>
            </w:pPr>
            <w:r>
              <w:rPr>
                <w:rFonts w:ascii="Arial" w:eastAsia="宋体" w:hAnsi="Arial" w:cs="Arial"/>
                <w:color w:val="000000"/>
                <w:sz w:val="16"/>
                <w:szCs w:val="16"/>
              </w:rPr>
              <w:t>Payments for long-term debt</w:t>
            </w:r>
          </w:p>
        </w:tc>
        <w:tc>
          <w:tcPr>
            <w:tcW w:w="0" w:type="auto"/>
            <w:gridSpan w:val="2"/>
            <w:shd w:val="clear" w:color="auto" w:fill="CCEEFF"/>
            <w:tcMar>
              <w:top w:w="40" w:type="dxa"/>
              <w:left w:w="20" w:type="dxa"/>
              <w:bottom w:w="40" w:type="dxa"/>
              <w:right w:w="0" w:type="dxa"/>
            </w:tcMar>
            <w:vAlign w:val="bottom"/>
          </w:tcPr>
          <w:p w14:paraId="5F2D5F3B" w14:textId="77777777" w:rsidR="00E836FB" w:rsidRDefault="00994958">
            <w:pPr>
              <w:jc w:val="right"/>
              <w:textAlignment w:val="bottom"/>
            </w:pPr>
            <w:r>
              <w:rPr>
                <w:rFonts w:ascii="Arial" w:eastAsia="宋体" w:hAnsi="Arial" w:cs="Arial"/>
                <w:b/>
                <w:bCs/>
                <w:color w:val="000000"/>
                <w:sz w:val="16"/>
                <w:szCs w:val="16"/>
              </w:rPr>
              <w:t>(1,500)</w:t>
            </w:r>
          </w:p>
        </w:tc>
        <w:tc>
          <w:tcPr>
            <w:tcW w:w="0" w:type="auto"/>
            <w:shd w:val="clear" w:color="auto" w:fill="CCEEFF"/>
            <w:tcMar>
              <w:top w:w="40" w:type="dxa"/>
              <w:left w:w="0" w:type="dxa"/>
              <w:bottom w:w="40" w:type="dxa"/>
              <w:right w:w="20" w:type="dxa"/>
            </w:tcMar>
            <w:vAlign w:val="bottom"/>
          </w:tcPr>
          <w:p w14:paraId="5F2D5F3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3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3E" w14:textId="77777777" w:rsidR="00E836FB" w:rsidRDefault="00994958">
            <w:pPr>
              <w:jc w:val="right"/>
              <w:textAlignment w:val="bottom"/>
            </w:pPr>
            <w:r>
              <w:rPr>
                <w:rFonts w:ascii="Arial" w:eastAsia="宋体" w:hAnsi="Arial" w:cs="Arial"/>
                <w:color w:val="000000"/>
                <w:sz w:val="16"/>
                <w:szCs w:val="16"/>
              </w:rPr>
              <w:t>(1,700)</w:t>
            </w:r>
          </w:p>
        </w:tc>
        <w:tc>
          <w:tcPr>
            <w:tcW w:w="0" w:type="auto"/>
            <w:shd w:val="clear" w:color="auto" w:fill="CCEEFF"/>
            <w:tcMar>
              <w:top w:w="40" w:type="dxa"/>
              <w:left w:w="0" w:type="dxa"/>
              <w:bottom w:w="40" w:type="dxa"/>
              <w:right w:w="20" w:type="dxa"/>
            </w:tcMar>
            <w:vAlign w:val="bottom"/>
          </w:tcPr>
          <w:p w14:paraId="5F2D5F3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4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41" w14:textId="77777777" w:rsidR="00E836FB" w:rsidRDefault="00994958">
            <w:pPr>
              <w:jc w:val="right"/>
              <w:textAlignment w:val="bottom"/>
            </w:pPr>
            <w:r>
              <w:rPr>
                <w:rFonts w:ascii="Arial" w:eastAsia="宋体" w:hAnsi="Arial" w:cs="Arial"/>
                <w:color w:val="000000"/>
                <w:sz w:val="16"/>
                <w:szCs w:val="16"/>
              </w:rPr>
              <w:t>(50)</w:t>
            </w:r>
          </w:p>
        </w:tc>
        <w:tc>
          <w:tcPr>
            <w:tcW w:w="0" w:type="auto"/>
            <w:shd w:val="clear" w:color="auto" w:fill="CCEEFF"/>
            <w:tcMar>
              <w:top w:w="40" w:type="dxa"/>
              <w:left w:w="0" w:type="dxa"/>
              <w:bottom w:w="40" w:type="dxa"/>
              <w:right w:w="20" w:type="dxa"/>
            </w:tcMar>
            <w:vAlign w:val="bottom"/>
          </w:tcPr>
          <w:p w14:paraId="5F2D5F42" w14:textId="77777777" w:rsidR="00E836FB" w:rsidRDefault="00E836FB">
            <w:pPr>
              <w:jc w:val="right"/>
              <w:rPr>
                <w:rFonts w:ascii="宋体"/>
              </w:rPr>
            </w:pPr>
          </w:p>
        </w:tc>
      </w:tr>
      <w:tr w:rsidR="00E836FB" w14:paraId="5F2D5F4A" w14:textId="77777777">
        <w:trPr>
          <w:hidden/>
        </w:trPr>
        <w:tc>
          <w:tcPr>
            <w:tcW w:w="0" w:type="auto"/>
            <w:gridSpan w:val="3"/>
            <w:shd w:val="clear" w:color="auto" w:fill="auto"/>
            <w:vAlign w:val="bottom"/>
          </w:tcPr>
          <w:p w14:paraId="5F2D5F44" w14:textId="77777777" w:rsidR="00E836FB" w:rsidRDefault="00E836FB">
            <w:pPr>
              <w:rPr>
                <w:rFonts w:ascii="宋体"/>
                <w:vanish/>
              </w:rPr>
            </w:pPr>
          </w:p>
        </w:tc>
        <w:tc>
          <w:tcPr>
            <w:tcW w:w="0" w:type="auto"/>
            <w:gridSpan w:val="3"/>
            <w:shd w:val="clear" w:color="auto" w:fill="auto"/>
            <w:vAlign w:val="bottom"/>
          </w:tcPr>
          <w:p w14:paraId="5F2D5F45" w14:textId="77777777" w:rsidR="00E836FB" w:rsidRDefault="00E836FB">
            <w:pPr>
              <w:rPr>
                <w:rFonts w:ascii="宋体"/>
                <w:vanish/>
              </w:rPr>
            </w:pPr>
          </w:p>
        </w:tc>
        <w:tc>
          <w:tcPr>
            <w:tcW w:w="0" w:type="auto"/>
            <w:gridSpan w:val="3"/>
            <w:shd w:val="clear" w:color="auto" w:fill="auto"/>
            <w:vAlign w:val="bottom"/>
          </w:tcPr>
          <w:p w14:paraId="5F2D5F46" w14:textId="77777777" w:rsidR="00E836FB" w:rsidRDefault="00E836FB">
            <w:pPr>
              <w:rPr>
                <w:rFonts w:ascii="宋体"/>
                <w:vanish/>
              </w:rPr>
            </w:pPr>
          </w:p>
        </w:tc>
        <w:tc>
          <w:tcPr>
            <w:tcW w:w="0" w:type="auto"/>
            <w:gridSpan w:val="3"/>
            <w:shd w:val="clear" w:color="auto" w:fill="auto"/>
            <w:vAlign w:val="bottom"/>
          </w:tcPr>
          <w:p w14:paraId="5F2D5F47" w14:textId="77777777" w:rsidR="00E836FB" w:rsidRDefault="00E836FB">
            <w:pPr>
              <w:rPr>
                <w:rFonts w:ascii="宋体"/>
                <w:vanish/>
              </w:rPr>
            </w:pPr>
          </w:p>
        </w:tc>
        <w:tc>
          <w:tcPr>
            <w:tcW w:w="0" w:type="auto"/>
            <w:gridSpan w:val="3"/>
            <w:shd w:val="clear" w:color="auto" w:fill="auto"/>
            <w:vAlign w:val="bottom"/>
          </w:tcPr>
          <w:p w14:paraId="5F2D5F48" w14:textId="77777777" w:rsidR="00E836FB" w:rsidRDefault="00E836FB">
            <w:pPr>
              <w:rPr>
                <w:rFonts w:ascii="宋体"/>
                <w:vanish/>
              </w:rPr>
            </w:pPr>
          </w:p>
        </w:tc>
        <w:tc>
          <w:tcPr>
            <w:tcW w:w="0" w:type="auto"/>
            <w:gridSpan w:val="3"/>
            <w:shd w:val="clear" w:color="auto" w:fill="auto"/>
            <w:vAlign w:val="bottom"/>
          </w:tcPr>
          <w:p w14:paraId="5F2D5F49" w14:textId="77777777" w:rsidR="00E836FB" w:rsidRDefault="00E836FB">
            <w:pPr>
              <w:rPr>
                <w:rFonts w:ascii="宋体"/>
                <w:vanish/>
              </w:rPr>
            </w:pPr>
          </w:p>
        </w:tc>
      </w:tr>
      <w:tr w:rsidR="00E836FB" w14:paraId="5F2D5F54" w14:textId="77777777">
        <w:tc>
          <w:tcPr>
            <w:tcW w:w="0" w:type="auto"/>
            <w:gridSpan w:val="3"/>
            <w:shd w:val="clear" w:color="auto" w:fill="FFFFFF"/>
            <w:tcMar>
              <w:top w:w="40" w:type="dxa"/>
              <w:left w:w="20" w:type="dxa"/>
              <w:bottom w:w="40" w:type="dxa"/>
              <w:right w:w="20" w:type="dxa"/>
            </w:tcMar>
            <w:vAlign w:val="bottom"/>
          </w:tcPr>
          <w:p w14:paraId="5F2D5F4B" w14:textId="77777777" w:rsidR="00E836FB" w:rsidRDefault="00994958">
            <w:pPr>
              <w:textAlignment w:val="bottom"/>
            </w:pPr>
            <w:r>
              <w:rPr>
                <w:rFonts w:ascii="Arial" w:eastAsia="宋体" w:hAnsi="Arial" w:cs="Arial"/>
                <w:color w:val="000000"/>
                <w:sz w:val="16"/>
                <w:szCs w:val="16"/>
              </w:rPr>
              <w:t>Payments for redemption of preferred stock</w:t>
            </w:r>
          </w:p>
        </w:tc>
        <w:tc>
          <w:tcPr>
            <w:tcW w:w="0" w:type="auto"/>
            <w:gridSpan w:val="2"/>
            <w:shd w:val="clear" w:color="auto" w:fill="FFFFFF"/>
            <w:tcMar>
              <w:top w:w="40" w:type="dxa"/>
              <w:left w:w="20" w:type="dxa"/>
              <w:bottom w:w="40" w:type="dxa"/>
              <w:right w:w="0" w:type="dxa"/>
            </w:tcMar>
            <w:vAlign w:val="bottom"/>
          </w:tcPr>
          <w:p w14:paraId="5F2D5F4C" w14:textId="77777777" w:rsidR="00E836FB" w:rsidRDefault="00994958">
            <w:pPr>
              <w:jc w:val="right"/>
              <w:textAlignment w:val="bottom"/>
            </w:pPr>
            <w:r>
              <w:rPr>
                <w:rFonts w:ascii="Arial" w:eastAsia="宋体" w:hAnsi="Arial" w:cs="Arial"/>
                <w:b/>
                <w:bCs/>
                <w:color w:val="000000"/>
                <w:sz w:val="16"/>
                <w:szCs w:val="16"/>
              </w:rPr>
              <w:t>(500)</w:t>
            </w:r>
          </w:p>
        </w:tc>
        <w:tc>
          <w:tcPr>
            <w:tcW w:w="0" w:type="auto"/>
            <w:shd w:val="clear" w:color="auto" w:fill="FFFFFF"/>
            <w:tcMar>
              <w:top w:w="40" w:type="dxa"/>
              <w:left w:w="0" w:type="dxa"/>
              <w:bottom w:w="40" w:type="dxa"/>
              <w:right w:w="20" w:type="dxa"/>
            </w:tcMar>
            <w:vAlign w:val="bottom"/>
          </w:tcPr>
          <w:p w14:paraId="5F2D5F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4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4F" w14:textId="77777777" w:rsidR="00E836FB" w:rsidRDefault="00994958">
            <w:pPr>
              <w:jc w:val="right"/>
              <w:textAlignment w:val="bottom"/>
            </w:pPr>
            <w:r>
              <w:rPr>
                <w:rFonts w:ascii="Arial" w:eastAsia="宋体" w:hAnsi="Arial" w:cs="Arial"/>
                <w:color w:val="000000"/>
                <w:sz w:val="16"/>
                <w:szCs w:val="16"/>
              </w:rPr>
              <w:t>(500)</w:t>
            </w:r>
          </w:p>
        </w:tc>
        <w:tc>
          <w:tcPr>
            <w:tcW w:w="0" w:type="auto"/>
            <w:shd w:val="clear" w:color="auto" w:fill="FFFFFF"/>
            <w:tcMar>
              <w:top w:w="40" w:type="dxa"/>
              <w:left w:w="0" w:type="dxa"/>
              <w:bottom w:w="40" w:type="dxa"/>
              <w:right w:w="20" w:type="dxa"/>
            </w:tcMar>
            <w:vAlign w:val="bottom"/>
          </w:tcPr>
          <w:p w14:paraId="5F2D5F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5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52" w14:textId="77777777" w:rsidR="00E836FB" w:rsidRDefault="00994958">
            <w:pPr>
              <w:jc w:val="right"/>
              <w:textAlignment w:val="bottom"/>
            </w:pPr>
            <w:r>
              <w:rPr>
                <w:rFonts w:ascii="Arial" w:eastAsia="宋体" w:hAnsi="Arial" w:cs="Arial"/>
                <w:color w:val="000000"/>
                <w:sz w:val="16"/>
                <w:szCs w:val="16"/>
              </w:rPr>
              <w:t>(750)</w:t>
            </w:r>
          </w:p>
        </w:tc>
        <w:tc>
          <w:tcPr>
            <w:tcW w:w="0" w:type="auto"/>
            <w:shd w:val="clear" w:color="auto" w:fill="FFFFFF"/>
            <w:tcMar>
              <w:top w:w="40" w:type="dxa"/>
              <w:left w:w="0" w:type="dxa"/>
              <w:bottom w:w="40" w:type="dxa"/>
              <w:right w:w="20" w:type="dxa"/>
            </w:tcMar>
            <w:vAlign w:val="bottom"/>
          </w:tcPr>
          <w:p w14:paraId="5F2D5F53" w14:textId="77777777" w:rsidR="00E836FB" w:rsidRDefault="00E836FB">
            <w:pPr>
              <w:jc w:val="right"/>
              <w:rPr>
                <w:rFonts w:ascii="宋体"/>
              </w:rPr>
            </w:pPr>
          </w:p>
        </w:tc>
      </w:tr>
      <w:tr w:rsidR="00E836FB" w14:paraId="5F2D5F5E" w14:textId="77777777">
        <w:tc>
          <w:tcPr>
            <w:tcW w:w="0" w:type="auto"/>
            <w:gridSpan w:val="3"/>
            <w:shd w:val="clear" w:color="auto" w:fill="CCEEFF"/>
            <w:tcMar>
              <w:top w:w="40" w:type="dxa"/>
              <w:left w:w="20" w:type="dxa"/>
              <w:bottom w:w="40" w:type="dxa"/>
              <w:right w:w="20" w:type="dxa"/>
            </w:tcMar>
            <w:vAlign w:val="bottom"/>
          </w:tcPr>
          <w:p w14:paraId="5F2D5F55" w14:textId="77777777" w:rsidR="00E836FB" w:rsidRDefault="00994958">
            <w:pPr>
              <w:textAlignment w:val="bottom"/>
            </w:pPr>
            <w:r>
              <w:rPr>
                <w:rFonts w:ascii="Arial" w:eastAsia="宋体" w:hAnsi="Arial" w:cs="Arial"/>
                <w:color w:val="000000"/>
                <w:sz w:val="16"/>
                <w:szCs w:val="16"/>
              </w:rPr>
              <w:t>Proceeds from issuance of common stock, net of issuance costs</w:t>
            </w:r>
          </w:p>
        </w:tc>
        <w:tc>
          <w:tcPr>
            <w:tcW w:w="0" w:type="auto"/>
            <w:gridSpan w:val="2"/>
            <w:shd w:val="clear" w:color="auto" w:fill="CCEEFF"/>
            <w:tcMar>
              <w:top w:w="40" w:type="dxa"/>
              <w:left w:w="20" w:type="dxa"/>
              <w:bottom w:w="40" w:type="dxa"/>
              <w:right w:w="0" w:type="dxa"/>
            </w:tcMar>
            <w:vAlign w:val="bottom"/>
          </w:tcPr>
          <w:p w14:paraId="5F2D5F56" w14:textId="77777777" w:rsidR="00E836FB" w:rsidRDefault="00994958">
            <w:pPr>
              <w:jc w:val="right"/>
              <w:textAlignment w:val="bottom"/>
            </w:pPr>
            <w:r>
              <w:rPr>
                <w:rFonts w:ascii="Arial" w:eastAsia="宋体" w:hAnsi="Arial" w:cs="Arial"/>
                <w:b/>
                <w:bCs/>
                <w:color w:val="000000"/>
                <w:sz w:val="16"/>
                <w:szCs w:val="16"/>
              </w:rPr>
              <w:t>1,900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F5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5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59"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F5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5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5C"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F5D" w14:textId="77777777" w:rsidR="00E836FB" w:rsidRDefault="00E836FB">
            <w:pPr>
              <w:jc w:val="right"/>
              <w:rPr>
                <w:rFonts w:ascii="宋体"/>
              </w:rPr>
            </w:pPr>
          </w:p>
        </w:tc>
      </w:tr>
      <w:tr w:rsidR="00E836FB" w14:paraId="5F2D5F68" w14:textId="77777777">
        <w:tc>
          <w:tcPr>
            <w:tcW w:w="0" w:type="auto"/>
            <w:gridSpan w:val="3"/>
            <w:shd w:val="clear" w:color="auto" w:fill="FFFFFF"/>
            <w:tcMar>
              <w:top w:w="40" w:type="dxa"/>
              <w:left w:w="20" w:type="dxa"/>
              <w:bottom w:w="40" w:type="dxa"/>
              <w:right w:w="20" w:type="dxa"/>
            </w:tcMar>
            <w:vAlign w:val="bottom"/>
          </w:tcPr>
          <w:p w14:paraId="5F2D5F5F" w14:textId="77777777" w:rsidR="00E836FB" w:rsidRDefault="00994958">
            <w:pPr>
              <w:textAlignment w:val="bottom"/>
            </w:pPr>
            <w:r>
              <w:rPr>
                <w:rFonts w:ascii="Arial" w:eastAsia="宋体" w:hAnsi="Arial" w:cs="Arial"/>
                <w:color w:val="000000"/>
                <w:sz w:val="16"/>
                <w:szCs w:val="16"/>
              </w:rPr>
              <w:t>Repurchases of common stock</w:t>
            </w:r>
          </w:p>
        </w:tc>
        <w:tc>
          <w:tcPr>
            <w:tcW w:w="0" w:type="auto"/>
            <w:gridSpan w:val="2"/>
            <w:shd w:val="clear" w:color="auto" w:fill="FFFFFF"/>
            <w:tcMar>
              <w:top w:w="40" w:type="dxa"/>
              <w:left w:w="20" w:type="dxa"/>
              <w:bottom w:w="40" w:type="dxa"/>
              <w:right w:w="0" w:type="dxa"/>
            </w:tcMar>
            <w:vAlign w:val="bottom"/>
          </w:tcPr>
          <w:p w14:paraId="5F2D5F60" w14:textId="77777777" w:rsidR="00E836FB" w:rsidRDefault="00994958">
            <w:pPr>
              <w:jc w:val="right"/>
              <w:textAlignment w:val="bottom"/>
            </w:pPr>
            <w:r>
              <w:rPr>
                <w:rFonts w:ascii="Arial" w:eastAsia="宋体" w:hAnsi="Arial" w:cs="Arial"/>
                <w:b/>
                <w:bCs/>
                <w:color w:val="000000"/>
                <w:sz w:val="16"/>
                <w:szCs w:val="16"/>
              </w:rPr>
              <w:t>(900)</w:t>
            </w:r>
          </w:p>
        </w:tc>
        <w:tc>
          <w:tcPr>
            <w:tcW w:w="0" w:type="auto"/>
            <w:shd w:val="clear" w:color="auto" w:fill="FFFFFF"/>
            <w:tcMar>
              <w:top w:w="40" w:type="dxa"/>
              <w:left w:w="0" w:type="dxa"/>
              <w:bottom w:w="40" w:type="dxa"/>
              <w:right w:w="20" w:type="dxa"/>
            </w:tcMar>
            <w:vAlign w:val="bottom"/>
          </w:tcPr>
          <w:p w14:paraId="5F2D5F6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6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63" w14:textId="77777777" w:rsidR="00E836FB" w:rsidRDefault="00994958">
            <w:pPr>
              <w:jc w:val="right"/>
              <w:textAlignment w:val="bottom"/>
            </w:pPr>
            <w:r>
              <w:rPr>
                <w:rFonts w:ascii="Arial" w:eastAsia="宋体" w:hAnsi="Arial" w:cs="Arial"/>
                <w:color w:val="000000"/>
                <w:sz w:val="16"/>
                <w:szCs w:val="16"/>
              </w:rPr>
              <w:t>(515)</w:t>
            </w:r>
          </w:p>
        </w:tc>
        <w:tc>
          <w:tcPr>
            <w:tcW w:w="0" w:type="auto"/>
            <w:shd w:val="clear" w:color="auto" w:fill="FFFFFF"/>
            <w:tcMar>
              <w:top w:w="40" w:type="dxa"/>
              <w:left w:w="0" w:type="dxa"/>
              <w:bottom w:w="40" w:type="dxa"/>
              <w:right w:w="20" w:type="dxa"/>
            </w:tcMar>
            <w:vAlign w:val="bottom"/>
          </w:tcPr>
          <w:p w14:paraId="5F2D5F6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6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66" w14:textId="77777777" w:rsidR="00E836FB" w:rsidRDefault="00994958">
            <w:pPr>
              <w:jc w:val="right"/>
              <w:textAlignment w:val="bottom"/>
            </w:pPr>
            <w:r>
              <w:rPr>
                <w:rFonts w:ascii="Arial" w:eastAsia="宋体" w:hAnsi="Arial" w:cs="Arial"/>
                <w:color w:val="000000"/>
                <w:sz w:val="16"/>
                <w:szCs w:val="16"/>
              </w:rPr>
              <w:t>(1,585)</w:t>
            </w:r>
          </w:p>
        </w:tc>
        <w:tc>
          <w:tcPr>
            <w:tcW w:w="0" w:type="auto"/>
            <w:shd w:val="clear" w:color="auto" w:fill="FFFFFF"/>
            <w:tcMar>
              <w:top w:w="40" w:type="dxa"/>
              <w:left w:w="0" w:type="dxa"/>
              <w:bottom w:w="40" w:type="dxa"/>
              <w:right w:w="20" w:type="dxa"/>
            </w:tcMar>
            <w:vAlign w:val="bottom"/>
          </w:tcPr>
          <w:p w14:paraId="5F2D5F67" w14:textId="77777777" w:rsidR="00E836FB" w:rsidRDefault="00E836FB">
            <w:pPr>
              <w:jc w:val="right"/>
              <w:rPr>
                <w:rFonts w:ascii="宋体"/>
              </w:rPr>
            </w:pPr>
          </w:p>
        </w:tc>
      </w:tr>
      <w:tr w:rsidR="00E836FB" w14:paraId="5F2D5F72" w14:textId="77777777">
        <w:tc>
          <w:tcPr>
            <w:tcW w:w="0" w:type="auto"/>
            <w:gridSpan w:val="3"/>
            <w:shd w:val="clear" w:color="auto" w:fill="CCEEFF"/>
            <w:tcMar>
              <w:top w:w="40" w:type="dxa"/>
              <w:left w:w="20" w:type="dxa"/>
              <w:bottom w:w="40" w:type="dxa"/>
              <w:right w:w="20" w:type="dxa"/>
            </w:tcMar>
            <w:vAlign w:val="bottom"/>
          </w:tcPr>
          <w:p w14:paraId="5F2D5F69" w14:textId="77777777" w:rsidR="00E836FB" w:rsidRDefault="00994958">
            <w:pPr>
              <w:textAlignment w:val="bottom"/>
            </w:pPr>
            <w:r>
              <w:rPr>
                <w:rFonts w:ascii="Arial" w:eastAsia="宋体" w:hAnsi="Arial" w:cs="Arial"/>
                <w:color w:val="000000"/>
                <w:sz w:val="16"/>
                <w:szCs w:val="16"/>
              </w:rPr>
              <w:t>Repurchases of common stock for employee tax withholding</w:t>
            </w:r>
          </w:p>
        </w:tc>
        <w:tc>
          <w:tcPr>
            <w:tcW w:w="0" w:type="auto"/>
            <w:gridSpan w:val="2"/>
            <w:shd w:val="clear" w:color="auto" w:fill="CCEEFF"/>
            <w:tcMar>
              <w:top w:w="40" w:type="dxa"/>
              <w:left w:w="20" w:type="dxa"/>
              <w:bottom w:w="40" w:type="dxa"/>
              <w:right w:w="0" w:type="dxa"/>
            </w:tcMar>
            <w:vAlign w:val="bottom"/>
          </w:tcPr>
          <w:p w14:paraId="5F2D5F6A" w14:textId="77777777" w:rsidR="00E836FB" w:rsidRDefault="00994958">
            <w:pPr>
              <w:jc w:val="right"/>
              <w:textAlignment w:val="bottom"/>
            </w:pPr>
            <w:r>
              <w:rPr>
                <w:rFonts w:ascii="Arial" w:eastAsia="宋体" w:hAnsi="Arial" w:cs="Arial"/>
                <w:b/>
                <w:bCs/>
                <w:color w:val="000000"/>
                <w:sz w:val="16"/>
                <w:szCs w:val="16"/>
              </w:rPr>
              <w:t>(39)</w:t>
            </w:r>
          </w:p>
        </w:tc>
        <w:tc>
          <w:tcPr>
            <w:tcW w:w="0" w:type="auto"/>
            <w:shd w:val="clear" w:color="auto" w:fill="CCEEFF"/>
            <w:tcMar>
              <w:top w:w="40" w:type="dxa"/>
              <w:left w:w="0" w:type="dxa"/>
              <w:bottom w:w="40" w:type="dxa"/>
              <w:right w:w="20" w:type="dxa"/>
            </w:tcMar>
            <w:vAlign w:val="bottom"/>
          </w:tcPr>
          <w:p w14:paraId="5F2D5F6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6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6D" w14:textId="77777777" w:rsidR="00E836FB" w:rsidRDefault="00994958">
            <w:pPr>
              <w:jc w:val="right"/>
              <w:textAlignment w:val="bottom"/>
            </w:pPr>
            <w:r>
              <w:rPr>
                <w:rFonts w:ascii="Arial" w:eastAsia="宋体" w:hAnsi="Arial" w:cs="Arial"/>
                <w:color w:val="000000"/>
                <w:sz w:val="16"/>
                <w:szCs w:val="16"/>
              </w:rPr>
              <w:t>(78)</w:t>
            </w:r>
          </w:p>
        </w:tc>
        <w:tc>
          <w:tcPr>
            <w:tcW w:w="0" w:type="auto"/>
            <w:shd w:val="clear" w:color="auto" w:fill="CCEEFF"/>
            <w:tcMar>
              <w:top w:w="40" w:type="dxa"/>
              <w:left w:w="0" w:type="dxa"/>
              <w:bottom w:w="40" w:type="dxa"/>
              <w:right w:w="20" w:type="dxa"/>
            </w:tcMar>
            <w:vAlign w:val="bottom"/>
          </w:tcPr>
          <w:p w14:paraId="5F2D5F6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6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70" w14:textId="77777777" w:rsidR="00E836FB" w:rsidRDefault="00994958">
            <w:pPr>
              <w:jc w:val="right"/>
              <w:textAlignment w:val="bottom"/>
            </w:pPr>
            <w:r>
              <w:rPr>
                <w:rFonts w:ascii="Arial" w:eastAsia="宋体" w:hAnsi="Arial" w:cs="Arial"/>
                <w:color w:val="000000"/>
                <w:sz w:val="16"/>
                <w:szCs w:val="16"/>
              </w:rPr>
              <w:t>(81)</w:t>
            </w:r>
          </w:p>
        </w:tc>
        <w:tc>
          <w:tcPr>
            <w:tcW w:w="0" w:type="auto"/>
            <w:shd w:val="clear" w:color="auto" w:fill="CCEEFF"/>
            <w:tcMar>
              <w:top w:w="40" w:type="dxa"/>
              <w:left w:w="0" w:type="dxa"/>
              <w:bottom w:w="40" w:type="dxa"/>
              <w:right w:w="20" w:type="dxa"/>
            </w:tcMar>
            <w:vAlign w:val="bottom"/>
          </w:tcPr>
          <w:p w14:paraId="5F2D5F71" w14:textId="77777777" w:rsidR="00E836FB" w:rsidRDefault="00E836FB">
            <w:pPr>
              <w:jc w:val="right"/>
              <w:rPr>
                <w:rFonts w:ascii="宋体"/>
              </w:rPr>
            </w:pPr>
          </w:p>
        </w:tc>
      </w:tr>
      <w:tr w:rsidR="00E836FB" w14:paraId="5F2D5F7C" w14:textId="77777777">
        <w:tc>
          <w:tcPr>
            <w:tcW w:w="0" w:type="auto"/>
            <w:gridSpan w:val="3"/>
            <w:shd w:val="clear" w:color="auto" w:fill="FFFFFF"/>
            <w:tcMar>
              <w:top w:w="40" w:type="dxa"/>
              <w:left w:w="20" w:type="dxa"/>
              <w:bottom w:w="40" w:type="dxa"/>
              <w:right w:w="20" w:type="dxa"/>
            </w:tcMar>
            <w:vAlign w:val="bottom"/>
          </w:tcPr>
          <w:p w14:paraId="5F2D5F73" w14:textId="77777777" w:rsidR="00E836FB" w:rsidRDefault="00994958">
            <w:pPr>
              <w:textAlignment w:val="bottom"/>
            </w:pPr>
            <w:r>
              <w:rPr>
                <w:rFonts w:ascii="Arial" w:eastAsia="宋体" w:hAnsi="Arial" w:cs="Arial"/>
                <w:color w:val="000000"/>
                <w:sz w:val="16"/>
                <w:szCs w:val="16"/>
              </w:rPr>
              <w:t>Payments for cash dividends</w:t>
            </w:r>
          </w:p>
        </w:tc>
        <w:tc>
          <w:tcPr>
            <w:tcW w:w="0" w:type="auto"/>
            <w:gridSpan w:val="2"/>
            <w:shd w:val="clear" w:color="auto" w:fill="FFFFFF"/>
            <w:tcMar>
              <w:top w:w="40" w:type="dxa"/>
              <w:left w:w="20" w:type="dxa"/>
              <w:bottom w:w="40" w:type="dxa"/>
              <w:right w:w="0" w:type="dxa"/>
            </w:tcMar>
            <w:vAlign w:val="bottom"/>
          </w:tcPr>
          <w:p w14:paraId="5F2D5F74" w14:textId="77777777" w:rsidR="00E836FB" w:rsidRDefault="00994958">
            <w:pPr>
              <w:jc w:val="right"/>
              <w:textAlignment w:val="bottom"/>
            </w:pPr>
            <w:r>
              <w:rPr>
                <w:rFonts w:ascii="Arial" w:eastAsia="宋体" w:hAnsi="Arial" w:cs="Arial"/>
                <w:b/>
                <w:bCs/>
                <w:color w:val="000000"/>
                <w:sz w:val="16"/>
                <w:szCs w:val="16"/>
              </w:rPr>
              <w:t>(866)</w:t>
            </w:r>
          </w:p>
        </w:tc>
        <w:tc>
          <w:tcPr>
            <w:tcW w:w="0" w:type="auto"/>
            <w:shd w:val="clear" w:color="auto" w:fill="FFFFFF"/>
            <w:tcMar>
              <w:top w:w="40" w:type="dxa"/>
              <w:left w:w="0" w:type="dxa"/>
              <w:bottom w:w="40" w:type="dxa"/>
              <w:right w:w="20" w:type="dxa"/>
            </w:tcMar>
            <w:vAlign w:val="bottom"/>
          </w:tcPr>
          <w:p w14:paraId="5F2D5F7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7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77" w14:textId="77777777" w:rsidR="00E836FB" w:rsidRDefault="00994958">
            <w:pPr>
              <w:jc w:val="right"/>
              <w:textAlignment w:val="bottom"/>
            </w:pPr>
            <w:r>
              <w:rPr>
                <w:rFonts w:ascii="Arial" w:eastAsia="宋体" w:hAnsi="Arial" w:cs="Arial"/>
                <w:color w:val="000000"/>
                <w:sz w:val="16"/>
                <w:szCs w:val="16"/>
              </w:rPr>
              <w:t>(889)</w:t>
            </w:r>
          </w:p>
        </w:tc>
        <w:tc>
          <w:tcPr>
            <w:tcW w:w="0" w:type="auto"/>
            <w:shd w:val="clear" w:color="auto" w:fill="FFFFFF"/>
            <w:tcMar>
              <w:top w:w="40" w:type="dxa"/>
              <w:left w:w="0" w:type="dxa"/>
              <w:bottom w:w="40" w:type="dxa"/>
              <w:right w:w="20" w:type="dxa"/>
            </w:tcMar>
            <w:vAlign w:val="bottom"/>
          </w:tcPr>
          <w:p w14:paraId="5F2D5F7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7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7A" w14:textId="77777777" w:rsidR="00E836FB" w:rsidRDefault="00994958">
            <w:pPr>
              <w:jc w:val="right"/>
              <w:textAlignment w:val="bottom"/>
            </w:pPr>
            <w:r>
              <w:rPr>
                <w:rFonts w:ascii="Arial" w:eastAsia="宋体" w:hAnsi="Arial" w:cs="Arial"/>
                <w:color w:val="000000"/>
                <w:sz w:val="16"/>
                <w:szCs w:val="16"/>
              </w:rPr>
              <w:t>(930)</w:t>
            </w:r>
          </w:p>
        </w:tc>
        <w:tc>
          <w:tcPr>
            <w:tcW w:w="0" w:type="auto"/>
            <w:shd w:val="clear" w:color="auto" w:fill="FFFFFF"/>
            <w:tcMar>
              <w:top w:w="40" w:type="dxa"/>
              <w:left w:w="0" w:type="dxa"/>
              <w:bottom w:w="40" w:type="dxa"/>
              <w:right w:w="20" w:type="dxa"/>
            </w:tcMar>
            <w:vAlign w:val="bottom"/>
          </w:tcPr>
          <w:p w14:paraId="5F2D5F7B" w14:textId="77777777" w:rsidR="00E836FB" w:rsidRDefault="00E836FB">
            <w:pPr>
              <w:jc w:val="right"/>
              <w:rPr>
                <w:rFonts w:ascii="宋体"/>
              </w:rPr>
            </w:pPr>
          </w:p>
        </w:tc>
      </w:tr>
      <w:tr w:rsidR="00E836FB" w14:paraId="5F2D5F86" w14:textId="77777777">
        <w:tc>
          <w:tcPr>
            <w:tcW w:w="0" w:type="auto"/>
            <w:gridSpan w:val="3"/>
            <w:shd w:val="clear" w:color="auto" w:fill="CCEEFF"/>
            <w:tcMar>
              <w:top w:w="40" w:type="dxa"/>
              <w:left w:w="20" w:type="dxa"/>
              <w:bottom w:w="40" w:type="dxa"/>
              <w:right w:w="20" w:type="dxa"/>
            </w:tcMar>
            <w:vAlign w:val="bottom"/>
          </w:tcPr>
          <w:p w14:paraId="5F2D5F7D" w14:textId="77777777" w:rsidR="00E836FB" w:rsidRDefault="00994958">
            <w:pPr>
              <w:textAlignment w:val="bottom"/>
            </w:pPr>
            <w:r>
              <w:rPr>
                <w:rFonts w:ascii="Arial" w:eastAsia="宋体" w:hAnsi="Arial" w:cs="Arial"/>
                <w:color w:val="000000"/>
                <w:sz w:val="16"/>
                <w:szCs w:val="16"/>
              </w:rPr>
              <w:t>Net cash (used in) provided by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F7E" w14:textId="77777777" w:rsidR="00E836FB" w:rsidRDefault="00994958">
            <w:pPr>
              <w:jc w:val="right"/>
              <w:textAlignment w:val="bottom"/>
            </w:pPr>
            <w:r>
              <w:rPr>
                <w:rFonts w:ascii="Arial" w:eastAsia="宋体" w:hAnsi="Arial" w:cs="Arial"/>
                <w:b/>
                <w:bCs/>
                <w:color w:val="000000"/>
                <w:sz w:val="16"/>
                <w:szCs w:val="16"/>
              </w:rPr>
              <w:t>(562)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F7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80"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F81" w14:textId="77777777" w:rsidR="00E836FB" w:rsidRDefault="00994958">
            <w:pPr>
              <w:jc w:val="right"/>
              <w:textAlignment w:val="bottom"/>
            </w:pPr>
            <w:r>
              <w:rPr>
                <w:rFonts w:ascii="Arial" w:eastAsia="宋体" w:hAnsi="Arial" w:cs="Arial"/>
                <w:color w:val="000000"/>
                <w:sz w:val="16"/>
                <w:szCs w:val="16"/>
              </w:rPr>
              <w:t>(1,193)</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F8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8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5F84" w14:textId="77777777" w:rsidR="00E836FB" w:rsidRDefault="00994958">
            <w:pPr>
              <w:jc w:val="right"/>
              <w:textAlignment w:val="bottom"/>
            </w:pPr>
            <w:r>
              <w:rPr>
                <w:rFonts w:ascii="Arial" w:eastAsia="宋体" w:hAnsi="Arial" w:cs="Arial"/>
                <w:color w:val="000000"/>
                <w:sz w:val="16"/>
                <w:szCs w:val="16"/>
              </w:rPr>
              <w:t>(1,901)</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5F85" w14:textId="77777777" w:rsidR="00E836FB" w:rsidRDefault="00E836FB">
            <w:pPr>
              <w:jc w:val="right"/>
              <w:rPr>
                <w:rFonts w:ascii="宋体"/>
              </w:rPr>
            </w:pPr>
          </w:p>
        </w:tc>
      </w:tr>
      <w:tr w:rsidR="00E836FB" w14:paraId="5F2D5F90" w14:textId="77777777">
        <w:tc>
          <w:tcPr>
            <w:tcW w:w="0" w:type="auto"/>
            <w:gridSpan w:val="3"/>
            <w:shd w:val="clear" w:color="auto" w:fill="FFFFFF"/>
            <w:tcMar>
              <w:top w:w="40" w:type="dxa"/>
              <w:left w:w="20" w:type="dxa"/>
              <w:bottom w:w="40" w:type="dxa"/>
              <w:right w:w="20" w:type="dxa"/>
            </w:tcMar>
            <w:vAlign w:val="bottom"/>
          </w:tcPr>
          <w:p w14:paraId="5F2D5F87" w14:textId="77777777" w:rsidR="00E836FB" w:rsidRDefault="00994958">
            <w:pPr>
              <w:textAlignment w:val="bottom"/>
            </w:pPr>
            <w:r>
              <w:rPr>
                <w:rFonts w:ascii="Arial" w:eastAsia="宋体" w:hAnsi="Arial" w:cs="Arial"/>
                <w:color w:val="000000"/>
                <w:sz w:val="16"/>
                <w:szCs w:val="16"/>
              </w:rPr>
              <w:t>Net change</w:t>
            </w:r>
          </w:p>
        </w:tc>
        <w:tc>
          <w:tcPr>
            <w:tcW w:w="0" w:type="auto"/>
            <w:gridSpan w:val="2"/>
            <w:shd w:val="clear" w:color="auto" w:fill="FFFFFF"/>
            <w:tcMar>
              <w:top w:w="40" w:type="dxa"/>
              <w:left w:w="20" w:type="dxa"/>
              <w:bottom w:w="40" w:type="dxa"/>
              <w:right w:w="0" w:type="dxa"/>
            </w:tcMar>
            <w:vAlign w:val="bottom"/>
          </w:tcPr>
          <w:p w14:paraId="5F2D5F88"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F8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8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8B"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F8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8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5F8E"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5F8F" w14:textId="77777777" w:rsidR="00E836FB" w:rsidRDefault="00E836FB">
            <w:pPr>
              <w:jc w:val="right"/>
              <w:rPr>
                <w:rFonts w:ascii="宋体"/>
              </w:rPr>
            </w:pPr>
          </w:p>
        </w:tc>
      </w:tr>
      <w:tr w:rsidR="00E836FB" w14:paraId="5F2D5F9A" w14:textId="77777777">
        <w:tc>
          <w:tcPr>
            <w:tcW w:w="0" w:type="auto"/>
            <w:gridSpan w:val="3"/>
            <w:shd w:val="clear" w:color="auto" w:fill="CCEEFF"/>
            <w:tcMar>
              <w:top w:w="40" w:type="dxa"/>
              <w:left w:w="20" w:type="dxa"/>
              <w:bottom w:w="40" w:type="dxa"/>
              <w:right w:w="20" w:type="dxa"/>
            </w:tcMar>
            <w:vAlign w:val="bottom"/>
          </w:tcPr>
          <w:p w14:paraId="5F2D5F91" w14:textId="77777777" w:rsidR="00E836FB" w:rsidRDefault="00994958">
            <w:pPr>
              <w:textAlignment w:val="bottom"/>
            </w:pPr>
            <w:r>
              <w:rPr>
                <w:rFonts w:ascii="Arial" w:eastAsia="宋体" w:hAnsi="Arial" w:cs="Arial"/>
                <w:color w:val="000000"/>
                <w:sz w:val="16"/>
                <w:szCs w:val="16"/>
              </w:rPr>
              <w:t>Cash and due from banks at beginning of year</w:t>
            </w:r>
          </w:p>
        </w:tc>
        <w:tc>
          <w:tcPr>
            <w:tcW w:w="0" w:type="auto"/>
            <w:gridSpan w:val="2"/>
            <w:shd w:val="clear" w:color="auto" w:fill="CCEEFF"/>
            <w:tcMar>
              <w:top w:w="40" w:type="dxa"/>
              <w:left w:w="20" w:type="dxa"/>
              <w:bottom w:w="40" w:type="dxa"/>
              <w:right w:w="0" w:type="dxa"/>
            </w:tcMar>
            <w:vAlign w:val="bottom"/>
          </w:tcPr>
          <w:p w14:paraId="5F2D5F92"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F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9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95"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F9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5F9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5F98" w14:textId="77777777" w:rsidR="00E836FB" w:rsidRDefault="00994958">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5F99" w14:textId="77777777" w:rsidR="00E836FB" w:rsidRDefault="00E836FB">
            <w:pPr>
              <w:jc w:val="right"/>
              <w:rPr>
                <w:rFonts w:ascii="宋体"/>
              </w:rPr>
            </w:pPr>
          </w:p>
        </w:tc>
      </w:tr>
      <w:tr w:rsidR="00E836FB" w14:paraId="5F2D5FA7" w14:textId="77777777">
        <w:tc>
          <w:tcPr>
            <w:tcW w:w="0" w:type="auto"/>
            <w:gridSpan w:val="3"/>
            <w:shd w:val="clear" w:color="auto" w:fill="FFFFFF"/>
            <w:tcMar>
              <w:top w:w="40" w:type="dxa"/>
              <w:left w:w="20" w:type="dxa"/>
              <w:bottom w:w="40" w:type="dxa"/>
              <w:right w:w="20" w:type="dxa"/>
            </w:tcMar>
            <w:vAlign w:val="bottom"/>
          </w:tcPr>
          <w:p w14:paraId="5F2D5F9B" w14:textId="77777777" w:rsidR="00E836FB" w:rsidRDefault="00994958">
            <w:pPr>
              <w:textAlignment w:val="bottom"/>
            </w:pPr>
            <w:r>
              <w:rPr>
                <w:rFonts w:ascii="Arial" w:eastAsia="宋体" w:hAnsi="Arial" w:cs="Arial"/>
                <w:color w:val="000000"/>
                <w:sz w:val="16"/>
                <w:szCs w:val="16"/>
              </w:rPr>
              <w:t>Cash and due from banks at end of year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5F9C" w14:textId="77777777" w:rsidR="00E836FB" w:rsidRDefault="00994958">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5F9D"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5F9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9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5FA0"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5FA1" w14:textId="77777777" w:rsidR="00E836FB" w:rsidRDefault="00994958">
            <w:pPr>
              <w:jc w:val="right"/>
              <w:textAlignment w:val="bottom"/>
            </w:pP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5F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5FA3"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5FA4" w14:textId="77777777" w:rsidR="00E836FB" w:rsidRDefault="00994958">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5FA5" w14:textId="77777777" w:rsidR="00E836FB" w:rsidRDefault="00994958">
            <w:pPr>
              <w:jc w:val="right"/>
              <w:textAlignment w:val="bottom"/>
            </w:pP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5FA6" w14:textId="77777777" w:rsidR="00E836FB" w:rsidRDefault="00E836FB">
            <w:pPr>
              <w:jc w:val="right"/>
              <w:rPr>
                <w:rFonts w:ascii="宋体"/>
              </w:rPr>
            </w:pPr>
          </w:p>
        </w:tc>
      </w:tr>
    </w:tbl>
    <w:p w14:paraId="5F2D5FA8" w14:textId="77777777" w:rsidR="00E836FB" w:rsidRDefault="00994958">
      <w:pPr>
        <w:spacing w:before="90"/>
        <w:jc w:val="both"/>
      </w:pPr>
      <w:r>
        <w:rPr>
          <w:rFonts w:ascii="Arial" w:eastAsia="宋体" w:hAnsi="Arial" w:cs="Arial"/>
          <w:b/>
          <w:bCs/>
          <w:color w:val="000000"/>
          <w:sz w:val="20"/>
          <w:szCs w:val="20"/>
        </w:rPr>
        <w:t>Note 28.    Subsequent Events</w:t>
      </w:r>
    </w:p>
    <w:p w14:paraId="5F2D5FA9" w14:textId="77777777" w:rsidR="00E836FB" w:rsidRDefault="00994958">
      <w:pPr>
        <w:spacing w:before="60"/>
        <w:ind w:firstLine="450"/>
        <w:jc w:val="both"/>
      </w:pPr>
      <w:r>
        <w:rPr>
          <w:rFonts w:ascii="Arial" w:eastAsia="宋体" w:hAnsi="Arial" w:cs="Arial"/>
          <w:color w:val="000000"/>
          <w:sz w:val="20"/>
          <w:szCs w:val="20"/>
        </w:rPr>
        <w:t>On February 7, 2022, we issued $300 million aggregate principal amount of fixed-to-floating rate senior notes due 2026, $650 million aggregate principal amount of fixed-to-</w:t>
      </w:r>
      <w:r>
        <w:rPr>
          <w:rFonts w:ascii="Arial" w:eastAsia="宋体" w:hAnsi="Arial" w:cs="Arial"/>
          <w:color w:val="000000"/>
          <w:sz w:val="20"/>
          <w:szCs w:val="20"/>
        </w:rPr>
        <w:t>floating rate senior notes due 2028 and $550 million aggregate principal amount of fixed-to-floating rate senior notes due 2033.</w:t>
      </w:r>
    </w:p>
    <w:p w14:paraId="5F2D5FAA" w14:textId="77777777" w:rsidR="00E836FB" w:rsidRDefault="00994958">
      <w:pPr>
        <w:ind w:firstLine="450"/>
        <w:jc w:val="right"/>
      </w:pPr>
      <w:r>
        <w:rPr>
          <w:rFonts w:ascii="Arial" w:eastAsia="宋体" w:hAnsi="Arial" w:cs="Arial"/>
          <w:color w:val="000000"/>
          <w:sz w:val="18"/>
          <w:szCs w:val="18"/>
        </w:rPr>
        <w:t>State Street Corporation | 185</w:t>
      </w:r>
    </w:p>
    <w:p w14:paraId="5F2D5FAB" w14:textId="77777777" w:rsidR="00E836FB" w:rsidRDefault="00E836FB">
      <w:pPr>
        <w:ind w:firstLine="450"/>
        <w:jc w:val="center"/>
      </w:pPr>
    </w:p>
    <w:p w14:paraId="5F2D5FAC" w14:textId="77777777" w:rsidR="00E836FB" w:rsidRDefault="00994958">
      <w:r>
        <w:pict w14:anchorId="5F2D6E3E">
          <v:rect id="_x0000_i1209" style="width:415.3pt;height:1.5pt" o:hralign="center" o:hrstd="t" o:hr="t" fillcolor="#a0a0a0" stroked="f"/>
        </w:pict>
      </w:r>
    </w:p>
    <w:p w14:paraId="5F2D5FAD" w14:textId="77777777" w:rsidR="00E836FB" w:rsidRDefault="00E836FB">
      <w:pPr>
        <w:ind w:firstLine="450"/>
      </w:pPr>
    </w:p>
    <w:p w14:paraId="5F2D5FAE" w14:textId="77777777" w:rsidR="00E836FB" w:rsidRDefault="00994958">
      <w:pPr>
        <w:spacing w:before="90"/>
        <w:jc w:val="both"/>
      </w:pPr>
      <w:r>
        <w:rPr>
          <w:rFonts w:ascii="Arial" w:eastAsia="宋体" w:hAnsi="Arial" w:cs="Arial"/>
          <w:b/>
          <w:bCs/>
          <w:color w:val="000000"/>
          <w:sz w:val="20"/>
          <w:szCs w:val="20"/>
        </w:rPr>
        <w:t>STATISTICAL DISCLOSURE BY BANK HOLDING COMPANIES</w:t>
      </w:r>
    </w:p>
    <w:p w14:paraId="5F2D5FAF" w14:textId="77777777" w:rsidR="00E836FB" w:rsidRDefault="00994958">
      <w:pPr>
        <w:spacing w:before="90"/>
        <w:jc w:val="both"/>
      </w:pPr>
      <w:r>
        <w:rPr>
          <w:rFonts w:ascii="Arial" w:eastAsia="宋体" w:hAnsi="Arial" w:cs="Arial"/>
          <w:b/>
          <w:bCs/>
          <w:color w:val="000000"/>
          <w:sz w:val="20"/>
          <w:szCs w:val="20"/>
        </w:rPr>
        <w:t xml:space="preserve">Distribution of Average Assets, </w:t>
      </w:r>
      <w:r>
        <w:rPr>
          <w:rFonts w:ascii="Arial" w:eastAsia="宋体" w:hAnsi="Arial" w:cs="Arial"/>
          <w:b/>
          <w:bCs/>
          <w:color w:val="000000"/>
          <w:sz w:val="20"/>
          <w:szCs w:val="20"/>
        </w:rPr>
        <w:t>Liabilities and Shareholders’ Equity; Interest Rates and Interest Differential (Unaudited)</w:t>
      </w:r>
    </w:p>
    <w:p w14:paraId="5F2D5FB0" w14:textId="77777777" w:rsidR="00E836FB" w:rsidRDefault="00994958">
      <w:pPr>
        <w:spacing w:before="90"/>
        <w:ind w:firstLine="450"/>
      </w:pPr>
      <w:r>
        <w:rPr>
          <w:rFonts w:ascii="Arial" w:eastAsia="宋体" w:hAnsi="Arial" w:cs="Arial"/>
          <w:color w:val="000000"/>
          <w:sz w:val="20"/>
          <w:szCs w:val="20"/>
        </w:rPr>
        <w:t xml:space="preserve">The following table presents consolidated average statements of condition and NII for the years indicated: </w:t>
      </w:r>
    </w:p>
    <w:tbl>
      <w:tblPr>
        <w:tblW w:w="5000" w:type="pct"/>
        <w:tblCellMar>
          <w:top w:w="15" w:type="dxa"/>
          <w:left w:w="15" w:type="dxa"/>
          <w:bottom w:w="15" w:type="dxa"/>
          <w:right w:w="15" w:type="dxa"/>
        </w:tblCellMar>
        <w:tblLook w:val="04A0" w:firstRow="1" w:lastRow="0" w:firstColumn="1" w:lastColumn="0" w:noHBand="0" w:noVBand="1"/>
      </w:tblPr>
      <w:tblGrid>
        <w:gridCol w:w="44"/>
        <w:gridCol w:w="1389"/>
        <w:gridCol w:w="37"/>
        <w:gridCol w:w="98"/>
        <w:gridCol w:w="545"/>
        <w:gridCol w:w="36"/>
        <w:gridCol w:w="36"/>
        <w:gridCol w:w="36"/>
        <w:gridCol w:w="36"/>
        <w:gridCol w:w="99"/>
        <w:gridCol w:w="454"/>
        <w:gridCol w:w="36"/>
        <w:gridCol w:w="36"/>
        <w:gridCol w:w="36"/>
        <w:gridCol w:w="36"/>
        <w:gridCol w:w="87"/>
        <w:gridCol w:w="498"/>
        <w:gridCol w:w="145"/>
        <w:gridCol w:w="36"/>
        <w:gridCol w:w="36"/>
        <w:gridCol w:w="36"/>
        <w:gridCol w:w="98"/>
        <w:gridCol w:w="545"/>
        <w:gridCol w:w="36"/>
        <w:gridCol w:w="36"/>
        <w:gridCol w:w="36"/>
        <w:gridCol w:w="36"/>
        <w:gridCol w:w="99"/>
        <w:gridCol w:w="459"/>
        <w:gridCol w:w="36"/>
        <w:gridCol w:w="36"/>
        <w:gridCol w:w="36"/>
        <w:gridCol w:w="36"/>
        <w:gridCol w:w="91"/>
        <w:gridCol w:w="493"/>
        <w:gridCol w:w="145"/>
        <w:gridCol w:w="36"/>
        <w:gridCol w:w="36"/>
        <w:gridCol w:w="36"/>
        <w:gridCol w:w="98"/>
        <w:gridCol w:w="545"/>
        <w:gridCol w:w="36"/>
        <w:gridCol w:w="36"/>
        <w:gridCol w:w="36"/>
        <w:gridCol w:w="36"/>
        <w:gridCol w:w="99"/>
        <w:gridCol w:w="459"/>
        <w:gridCol w:w="36"/>
        <w:gridCol w:w="36"/>
        <w:gridCol w:w="36"/>
        <w:gridCol w:w="36"/>
        <w:gridCol w:w="91"/>
        <w:gridCol w:w="493"/>
        <w:gridCol w:w="145"/>
      </w:tblGrid>
      <w:tr w:rsidR="00E836FB" w14:paraId="5F2D5FE7" w14:textId="77777777">
        <w:tc>
          <w:tcPr>
            <w:tcW w:w="50" w:type="pct"/>
            <w:shd w:val="clear" w:color="auto" w:fill="auto"/>
            <w:vAlign w:val="bottom"/>
          </w:tcPr>
          <w:p w14:paraId="5F2D5FB1" w14:textId="77777777" w:rsidR="00E836FB" w:rsidRDefault="00E836FB">
            <w:pPr>
              <w:rPr>
                <w:rFonts w:ascii="宋体"/>
              </w:rPr>
            </w:pPr>
          </w:p>
        </w:tc>
        <w:tc>
          <w:tcPr>
            <w:tcW w:w="1472" w:type="pct"/>
            <w:shd w:val="clear" w:color="auto" w:fill="auto"/>
            <w:vAlign w:val="bottom"/>
          </w:tcPr>
          <w:p w14:paraId="5F2D5FB2" w14:textId="77777777" w:rsidR="00E836FB" w:rsidRDefault="00E836FB">
            <w:pPr>
              <w:rPr>
                <w:rFonts w:ascii="宋体"/>
              </w:rPr>
            </w:pPr>
          </w:p>
        </w:tc>
        <w:tc>
          <w:tcPr>
            <w:tcW w:w="5" w:type="pct"/>
            <w:shd w:val="clear" w:color="auto" w:fill="auto"/>
            <w:vAlign w:val="bottom"/>
          </w:tcPr>
          <w:p w14:paraId="5F2D5FB3" w14:textId="77777777" w:rsidR="00E836FB" w:rsidRDefault="00E836FB">
            <w:pPr>
              <w:rPr>
                <w:rFonts w:ascii="宋体"/>
              </w:rPr>
            </w:pPr>
          </w:p>
        </w:tc>
        <w:tc>
          <w:tcPr>
            <w:tcW w:w="50" w:type="pct"/>
            <w:shd w:val="clear" w:color="auto" w:fill="auto"/>
            <w:vAlign w:val="bottom"/>
          </w:tcPr>
          <w:p w14:paraId="5F2D5FB4" w14:textId="77777777" w:rsidR="00E836FB" w:rsidRDefault="00E836FB">
            <w:pPr>
              <w:rPr>
                <w:rFonts w:ascii="宋体"/>
              </w:rPr>
            </w:pPr>
          </w:p>
        </w:tc>
        <w:tc>
          <w:tcPr>
            <w:tcW w:w="354" w:type="pct"/>
            <w:shd w:val="clear" w:color="auto" w:fill="auto"/>
            <w:vAlign w:val="bottom"/>
          </w:tcPr>
          <w:p w14:paraId="5F2D5FB5" w14:textId="77777777" w:rsidR="00E836FB" w:rsidRDefault="00E836FB">
            <w:pPr>
              <w:rPr>
                <w:rFonts w:ascii="宋体"/>
              </w:rPr>
            </w:pPr>
          </w:p>
        </w:tc>
        <w:tc>
          <w:tcPr>
            <w:tcW w:w="5" w:type="pct"/>
            <w:shd w:val="clear" w:color="auto" w:fill="auto"/>
            <w:vAlign w:val="bottom"/>
          </w:tcPr>
          <w:p w14:paraId="5F2D5FB6" w14:textId="77777777" w:rsidR="00E836FB" w:rsidRDefault="00E836FB">
            <w:pPr>
              <w:rPr>
                <w:rFonts w:ascii="宋体"/>
              </w:rPr>
            </w:pPr>
          </w:p>
        </w:tc>
        <w:tc>
          <w:tcPr>
            <w:tcW w:w="5" w:type="pct"/>
            <w:shd w:val="clear" w:color="auto" w:fill="auto"/>
            <w:vAlign w:val="bottom"/>
          </w:tcPr>
          <w:p w14:paraId="5F2D5FB7" w14:textId="77777777" w:rsidR="00E836FB" w:rsidRDefault="00E836FB">
            <w:pPr>
              <w:rPr>
                <w:rFonts w:ascii="宋体"/>
              </w:rPr>
            </w:pPr>
          </w:p>
        </w:tc>
        <w:tc>
          <w:tcPr>
            <w:tcW w:w="19" w:type="pct"/>
            <w:shd w:val="clear" w:color="auto" w:fill="auto"/>
            <w:vAlign w:val="bottom"/>
          </w:tcPr>
          <w:p w14:paraId="5F2D5FB8" w14:textId="77777777" w:rsidR="00E836FB" w:rsidRDefault="00E836FB">
            <w:pPr>
              <w:rPr>
                <w:rFonts w:ascii="宋体"/>
              </w:rPr>
            </w:pPr>
          </w:p>
        </w:tc>
        <w:tc>
          <w:tcPr>
            <w:tcW w:w="5" w:type="pct"/>
            <w:shd w:val="clear" w:color="auto" w:fill="auto"/>
            <w:vAlign w:val="bottom"/>
          </w:tcPr>
          <w:p w14:paraId="5F2D5FB9" w14:textId="77777777" w:rsidR="00E836FB" w:rsidRDefault="00E836FB">
            <w:pPr>
              <w:rPr>
                <w:rFonts w:ascii="宋体"/>
              </w:rPr>
            </w:pPr>
          </w:p>
        </w:tc>
        <w:tc>
          <w:tcPr>
            <w:tcW w:w="50" w:type="pct"/>
            <w:shd w:val="clear" w:color="auto" w:fill="auto"/>
            <w:vAlign w:val="bottom"/>
          </w:tcPr>
          <w:p w14:paraId="5F2D5FBA" w14:textId="77777777" w:rsidR="00E836FB" w:rsidRDefault="00E836FB">
            <w:pPr>
              <w:rPr>
                <w:rFonts w:ascii="宋体"/>
              </w:rPr>
            </w:pPr>
          </w:p>
        </w:tc>
        <w:tc>
          <w:tcPr>
            <w:tcW w:w="273" w:type="pct"/>
            <w:shd w:val="clear" w:color="auto" w:fill="auto"/>
            <w:vAlign w:val="bottom"/>
          </w:tcPr>
          <w:p w14:paraId="5F2D5FBB" w14:textId="77777777" w:rsidR="00E836FB" w:rsidRDefault="00E836FB">
            <w:pPr>
              <w:rPr>
                <w:rFonts w:ascii="宋体"/>
              </w:rPr>
            </w:pPr>
          </w:p>
        </w:tc>
        <w:tc>
          <w:tcPr>
            <w:tcW w:w="5" w:type="pct"/>
            <w:shd w:val="clear" w:color="auto" w:fill="auto"/>
            <w:vAlign w:val="bottom"/>
          </w:tcPr>
          <w:p w14:paraId="5F2D5FBC" w14:textId="77777777" w:rsidR="00E836FB" w:rsidRDefault="00E836FB">
            <w:pPr>
              <w:rPr>
                <w:rFonts w:ascii="宋体"/>
              </w:rPr>
            </w:pPr>
          </w:p>
        </w:tc>
        <w:tc>
          <w:tcPr>
            <w:tcW w:w="5" w:type="pct"/>
            <w:shd w:val="clear" w:color="auto" w:fill="auto"/>
            <w:vAlign w:val="bottom"/>
          </w:tcPr>
          <w:p w14:paraId="5F2D5FBD" w14:textId="77777777" w:rsidR="00E836FB" w:rsidRDefault="00E836FB">
            <w:pPr>
              <w:rPr>
                <w:rFonts w:ascii="宋体"/>
              </w:rPr>
            </w:pPr>
          </w:p>
        </w:tc>
        <w:tc>
          <w:tcPr>
            <w:tcW w:w="19" w:type="pct"/>
            <w:shd w:val="clear" w:color="auto" w:fill="auto"/>
            <w:vAlign w:val="bottom"/>
          </w:tcPr>
          <w:p w14:paraId="5F2D5FBE" w14:textId="77777777" w:rsidR="00E836FB" w:rsidRDefault="00E836FB">
            <w:pPr>
              <w:rPr>
                <w:rFonts w:ascii="宋体"/>
              </w:rPr>
            </w:pPr>
          </w:p>
        </w:tc>
        <w:tc>
          <w:tcPr>
            <w:tcW w:w="5" w:type="pct"/>
            <w:shd w:val="clear" w:color="auto" w:fill="auto"/>
            <w:vAlign w:val="bottom"/>
          </w:tcPr>
          <w:p w14:paraId="5F2D5FBF" w14:textId="77777777" w:rsidR="00E836FB" w:rsidRDefault="00E836FB">
            <w:pPr>
              <w:rPr>
                <w:rFonts w:ascii="宋体"/>
              </w:rPr>
            </w:pPr>
          </w:p>
        </w:tc>
        <w:tc>
          <w:tcPr>
            <w:tcW w:w="50" w:type="pct"/>
            <w:shd w:val="clear" w:color="auto" w:fill="auto"/>
            <w:vAlign w:val="bottom"/>
          </w:tcPr>
          <w:p w14:paraId="5F2D5FC0" w14:textId="77777777" w:rsidR="00E836FB" w:rsidRDefault="00E836FB">
            <w:pPr>
              <w:rPr>
                <w:rFonts w:ascii="宋体"/>
              </w:rPr>
            </w:pPr>
          </w:p>
        </w:tc>
        <w:tc>
          <w:tcPr>
            <w:tcW w:w="288" w:type="pct"/>
            <w:shd w:val="clear" w:color="auto" w:fill="auto"/>
            <w:vAlign w:val="bottom"/>
          </w:tcPr>
          <w:p w14:paraId="5F2D5FC1" w14:textId="77777777" w:rsidR="00E836FB" w:rsidRDefault="00E836FB">
            <w:pPr>
              <w:rPr>
                <w:rFonts w:ascii="宋体"/>
              </w:rPr>
            </w:pPr>
          </w:p>
        </w:tc>
        <w:tc>
          <w:tcPr>
            <w:tcW w:w="5" w:type="pct"/>
            <w:shd w:val="clear" w:color="auto" w:fill="auto"/>
            <w:vAlign w:val="bottom"/>
          </w:tcPr>
          <w:p w14:paraId="5F2D5FC2" w14:textId="77777777" w:rsidR="00E836FB" w:rsidRDefault="00E836FB">
            <w:pPr>
              <w:rPr>
                <w:rFonts w:ascii="宋体"/>
              </w:rPr>
            </w:pPr>
          </w:p>
        </w:tc>
        <w:tc>
          <w:tcPr>
            <w:tcW w:w="5" w:type="pct"/>
            <w:shd w:val="clear" w:color="auto" w:fill="auto"/>
            <w:vAlign w:val="bottom"/>
          </w:tcPr>
          <w:p w14:paraId="5F2D5FC3" w14:textId="77777777" w:rsidR="00E836FB" w:rsidRDefault="00E836FB">
            <w:pPr>
              <w:rPr>
                <w:rFonts w:ascii="宋体"/>
              </w:rPr>
            </w:pPr>
          </w:p>
        </w:tc>
        <w:tc>
          <w:tcPr>
            <w:tcW w:w="19" w:type="pct"/>
            <w:shd w:val="clear" w:color="auto" w:fill="auto"/>
            <w:vAlign w:val="bottom"/>
          </w:tcPr>
          <w:p w14:paraId="5F2D5FC4" w14:textId="77777777" w:rsidR="00E836FB" w:rsidRDefault="00E836FB">
            <w:pPr>
              <w:rPr>
                <w:rFonts w:ascii="宋体"/>
              </w:rPr>
            </w:pPr>
          </w:p>
        </w:tc>
        <w:tc>
          <w:tcPr>
            <w:tcW w:w="5" w:type="pct"/>
            <w:shd w:val="clear" w:color="auto" w:fill="auto"/>
            <w:vAlign w:val="bottom"/>
          </w:tcPr>
          <w:p w14:paraId="5F2D5FC5" w14:textId="77777777" w:rsidR="00E836FB" w:rsidRDefault="00E836FB">
            <w:pPr>
              <w:rPr>
                <w:rFonts w:ascii="宋体"/>
              </w:rPr>
            </w:pPr>
          </w:p>
        </w:tc>
        <w:tc>
          <w:tcPr>
            <w:tcW w:w="50" w:type="pct"/>
            <w:shd w:val="clear" w:color="auto" w:fill="auto"/>
            <w:vAlign w:val="bottom"/>
          </w:tcPr>
          <w:p w14:paraId="5F2D5FC6" w14:textId="77777777" w:rsidR="00E836FB" w:rsidRDefault="00E836FB">
            <w:pPr>
              <w:rPr>
                <w:rFonts w:ascii="宋体"/>
              </w:rPr>
            </w:pPr>
          </w:p>
        </w:tc>
        <w:tc>
          <w:tcPr>
            <w:tcW w:w="354" w:type="pct"/>
            <w:shd w:val="clear" w:color="auto" w:fill="auto"/>
            <w:vAlign w:val="bottom"/>
          </w:tcPr>
          <w:p w14:paraId="5F2D5FC7" w14:textId="77777777" w:rsidR="00E836FB" w:rsidRDefault="00E836FB">
            <w:pPr>
              <w:rPr>
                <w:rFonts w:ascii="宋体"/>
              </w:rPr>
            </w:pPr>
          </w:p>
        </w:tc>
        <w:tc>
          <w:tcPr>
            <w:tcW w:w="5" w:type="pct"/>
            <w:shd w:val="clear" w:color="auto" w:fill="auto"/>
            <w:vAlign w:val="bottom"/>
          </w:tcPr>
          <w:p w14:paraId="5F2D5FC8" w14:textId="77777777" w:rsidR="00E836FB" w:rsidRDefault="00E836FB">
            <w:pPr>
              <w:rPr>
                <w:rFonts w:ascii="宋体"/>
              </w:rPr>
            </w:pPr>
          </w:p>
        </w:tc>
        <w:tc>
          <w:tcPr>
            <w:tcW w:w="5" w:type="pct"/>
            <w:shd w:val="clear" w:color="auto" w:fill="auto"/>
            <w:vAlign w:val="bottom"/>
          </w:tcPr>
          <w:p w14:paraId="5F2D5FC9" w14:textId="77777777" w:rsidR="00E836FB" w:rsidRDefault="00E836FB">
            <w:pPr>
              <w:rPr>
                <w:rFonts w:ascii="宋体"/>
              </w:rPr>
            </w:pPr>
          </w:p>
        </w:tc>
        <w:tc>
          <w:tcPr>
            <w:tcW w:w="19" w:type="pct"/>
            <w:shd w:val="clear" w:color="auto" w:fill="auto"/>
            <w:vAlign w:val="bottom"/>
          </w:tcPr>
          <w:p w14:paraId="5F2D5FCA" w14:textId="77777777" w:rsidR="00E836FB" w:rsidRDefault="00E836FB">
            <w:pPr>
              <w:rPr>
                <w:rFonts w:ascii="宋体"/>
              </w:rPr>
            </w:pPr>
          </w:p>
        </w:tc>
        <w:tc>
          <w:tcPr>
            <w:tcW w:w="5" w:type="pct"/>
            <w:shd w:val="clear" w:color="auto" w:fill="auto"/>
            <w:vAlign w:val="bottom"/>
          </w:tcPr>
          <w:p w14:paraId="5F2D5FCB" w14:textId="77777777" w:rsidR="00E836FB" w:rsidRDefault="00E836FB">
            <w:pPr>
              <w:rPr>
                <w:rFonts w:ascii="宋体"/>
              </w:rPr>
            </w:pPr>
          </w:p>
        </w:tc>
        <w:tc>
          <w:tcPr>
            <w:tcW w:w="50" w:type="pct"/>
            <w:shd w:val="clear" w:color="auto" w:fill="auto"/>
            <w:vAlign w:val="bottom"/>
          </w:tcPr>
          <w:p w14:paraId="5F2D5FCC" w14:textId="77777777" w:rsidR="00E836FB" w:rsidRDefault="00E836FB">
            <w:pPr>
              <w:rPr>
                <w:rFonts w:ascii="宋体"/>
              </w:rPr>
            </w:pPr>
          </w:p>
        </w:tc>
        <w:tc>
          <w:tcPr>
            <w:tcW w:w="288" w:type="pct"/>
            <w:shd w:val="clear" w:color="auto" w:fill="auto"/>
            <w:vAlign w:val="bottom"/>
          </w:tcPr>
          <w:p w14:paraId="5F2D5FCD" w14:textId="77777777" w:rsidR="00E836FB" w:rsidRDefault="00E836FB">
            <w:pPr>
              <w:rPr>
                <w:rFonts w:ascii="宋体"/>
              </w:rPr>
            </w:pPr>
          </w:p>
        </w:tc>
        <w:tc>
          <w:tcPr>
            <w:tcW w:w="5" w:type="pct"/>
            <w:shd w:val="clear" w:color="auto" w:fill="auto"/>
            <w:vAlign w:val="bottom"/>
          </w:tcPr>
          <w:p w14:paraId="5F2D5FCE" w14:textId="77777777" w:rsidR="00E836FB" w:rsidRDefault="00E836FB">
            <w:pPr>
              <w:rPr>
                <w:rFonts w:ascii="宋体"/>
              </w:rPr>
            </w:pPr>
          </w:p>
        </w:tc>
        <w:tc>
          <w:tcPr>
            <w:tcW w:w="5" w:type="pct"/>
            <w:shd w:val="clear" w:color="auto" w:fill="auto"/>
            <w:vAlign w:val="bottom"/>
          </w:tcPr>
          <w:p w14:paraId="5F2D5FCF" w14:textId="77777777" w:rsidR="00E836FB" w:rsidRDefault="00E836FB">
            <w:pPr>
              <w:rPr>
                <w:rFonts w:ascii="宋体"/>
              </w:rPr>
            </w:pPr>
          </w:p>
        </w:tc>
        <w:tc>
          <w:tcPr>
            <w:tcW w:w="19" w:type="pct"/>
            <w:shd w:val="clear" w:color="auto" w:fill="auto"/>
            <w:vAlign w:val="bottom"/>
          </w:tcPr>
          <w:p w14:paraId="5F2D5FD0" w14:textId="77777777" w:rsidR="00E836FB" w:rsidRDefault="00E836FB">
            <w:pPr>
              <w:rPr>
                <w:rFonts w:ascii="宋体"/>
              </w:rPr>
            </w:pPr>
          </w:p>
        </w:tc>
        <w:tc>
          <w:tcPr>
            <w:tcW w:w="5" w:type="pct"/>
            <w:shd w:val="clear" w:color="auto" w:fill="auto"/>
            <w:vAlign w:val="bottom"/>
          </w:tcPr>
          <w:p w14:paraId="5F2D5FD1" w14:textId="77777777" w:rsidR="00E836FB" w:rsidRDefault="00E836FB">
            <w:pPr>
              <w:rPr>
                <w:rFonts w:ascii="宋体"/>
              </w:rPr>
            </w:pPr>
          </w:p>
        </w:tc>
        <w:tc>
          <w:tcPr>
            <w:tcW w:w="50" w:type="pct"/>
            <w:shd w:val="clear" w:color="auto" w:fill="auto"/>
            <w:vAlign w:val="bottom"/>
          </w:tcPr>
          <w:p w14:paraId="5F2D5FD2" w14:textId="77777777" w:rsidR="00E836FB" w:rsidRDefault="00E836FB">
            <w:pPr>
              <w:rPr>
                <w:rFonts w:ascii="宋体"/>
              </w:rPr>
            </w:pPr>
          </w:p>
        </w:tc>
        <w:tc>
          <w:tcPr>
            <w:tcW w:w="273" w:type="pct"/>
            <w:shd w:val="clear" w:color="auto" w:fill="auto"/>
            <w:vAlign w:val="bottom"/>
          </w:tcPr>
          <w:p w14:paraId="5F2D5FD3" w14:textId="77777777" w:rsidR="00E836FB" w:rsidRDefault="00E836FB">
            <w:pPr>
              <w:rPr>
                <w:rFonts w:ascii="宋体"/>
              </w:rPr>
            </w:pPr>
          </w:p>
        </w:tc>
        <w:tc>
          <w:tcPr>
            <w:tcW w:w="5" w:type="pct"/>
            <w:shd w:val="clear" w:color="auto" w:fill="auto"/>
            <w:vAlign w:val="bottom"/>
          </w:tcPr>
          <w:p w14:paraId="5F2D5FD4" w14:textId="77777777" w:rsidR="00E836FB" w:rsidRDefault="00E836FB">
            <w:pPr>
              <w:rPr>
                <w:rFonts w:ascii="宋体"/>
              </w:rPr>
            </w:pPr>
          </w:p>
        </w:tc>
        <w:tc>
          <w:tcPr>
            <w:tcW w:w="5" w:type="pct"/>
            <w:shd w:val="clear" w:color="auto" w:fill="auto"/>
            <w:vAlign w:val="bottom"/>
          </w:tcPr>
          <w:p w14:paraId="5F2D5FD5" w14:textId="77777777" w:rsidR="00E836FB" w:rsidRDefault="00E836FB">
            <w:pPr>
              <w:rPr>
                <w:rFonts w:ascii="宋体"/>
              </w:rPr>
            </w:pPr>
          </w:p>
        </w:tc>
        <w:tc>
          <w:tcPr>
            <w:tcW w:w="19" w:type="pct"/>
            <w:shd w:val="clear" w:color="auto" w:fill="auto"/>
            <w:vAlign w:val="bottom"/>
          </w:tcPr>
          <w:p w14:paraId="5F2D5FD6" w14:textId="77777777" w:rsidR="00E836FB" w:rsidRDefault="00E836FB">
            <w:pPr>
              <w:rPr>
                <w:rFonts w:ascii="宋体"/>
              </w:rPr>
            </w:pPr>
          </w:p>
        </w:tc>
        <w:tc>
          <w:tcPr>
            <w:tcW w:w="5" w:type="pct"/>
            <w:shd w:val="clear" w:color="auto" w:fill="auto"/>
            <w:vAlign w:val="bottom"/>
          </w:tcPr>
          <w:p w14:paraId="5F2D5FD7" w14:textId="77777777" w:rsidR="00E836FB" w:rsidRDefault="00E836FB">
            <w:pPr>
              <w:rPr>
                <w:rFonts w:ascii="宋体"/>
              </w:rPr>
            </w:pPr>
          </w:p>
        </w:tc>
        <w:tc>
          <w:tcPr>
            <w:tcW w:w="50" w:type="pct"/>
            <w:shd w:val="clear" w:color="auto" w:fill="auto"/>
            <w:vAlign w:val="bottom"/>
          </w:tcPr>
          <w:p w14:paraId="5F2D5FD8" w14:textId="77777777" w:rsidR="00E836FB" w:rsidRDefault="00E836FB">
            <w:pPr>
              <w:rPr>
                <w:rFonts w:ascii="宋体"/>
              </w:rPr>
            </w:pPr>
          </w:p>
        </w:tc>
        <w:tc>
          <w:tcPr>
            <w:tcW w:w="347" w:type="pct"/>
            <w:shd w:val="clear" w:color="auto" w:fill="auto"/>
            <w:vAlign w:val="bottom"/>
          </w:tcPr>
          <w:p w14:paraId="5F2D5FD9" w14:textId="77777777" w:rsidR="00E836FB" w:rsidRDefault="00E836FB">
            <w:pPr>
              <w:rPr>
                <w:rFonts w:ascii="宋体"/>
              </w:rPr>
            </w:pPr>
          </w:p>
        </w:tc>
        <w:tc>
          <w:tcPr>
            <w:tcW w:w="5" w:type="pct"/>
            <w:shd w:val="clear" w:color="auto" w:fill="auto"/>
            <w:vAlign w:val="bottom"/>
          </w:tcPr>
          <w:p w14:paraId="5F2D5FDA" w14:textId="77777777" w:rsidR="00E836FB" w:rsidRDefault="00E836FB">
            <w:pPr>
              <w:rPr>
                <w:rFonts w:ascii="宋体"/>
              </w:rPr>
            </w:pPr>
          </w:p>
        </w:tc>
        <w:tc>
          <w:tcPr>
            <w:tcW w:w="5" w:type="pct"/>
            <w:shd w:val="clear" w:color="auto" w:fill="auto"/>
            <w:vAlign w:val="bottom"/>
          </w:tcPr>
          <w:p w14:paraId="5F2D5FDB" w14:textId="77777777" w:rsidR="00E836FB" w:rsidRDefault="00E836FB">
            <w:pPr>
              <w:rPr>
                <w:rFonts w:ascii="宋体"/>
              </w:rPr>
            </w:pPr>
          </w:p>
        </w:tc>
        <w:tc>
          <w:tcPr>
            <w:tcW w:w="19" w:type="pct"/>
            <w:shd w:val="clear" w:color="auto" w:fill="auto"/>
            <w:vAlign w:val="bottom"/>
          </w:tcPr>
          <w:p w14:paraId="5F2D5FDC" w14:textId="77777777" w:rsidR="00E836FB" w:rsidRDefault="00E836FB">
            <w:pPr>
              <w:rPr>
                <w:rFonts w:ascii="宋体"/>
              </w:rPr>
            </w:pPr>
          </w:p>
        </w:tc>
        <w:tc>
          <w:tcPr>
            <w:tcW w:w="5" w:type="pct"/>
            <w:shd w:val="clear" w:color="auto" w:fill="auto"/>
            <w:vAlign w:val="bottom"/>
          </w:tcPr>
          <w:p w14:paraId="5F2D5FDD" w14:textId="77777777" w:rsidR="00E836FB" w:rsidRDefault="00E836FB">
            <w:pPr>
              <w:rPr>
                <w:rFonts w:ascii="宋体"/>
              </w:rPr>
            </w:pPr>
          </w:p>
        </w:tc>
        <w:tc>
          <w:tcPr>
            <w:tcW w:w="50" w:type="pct"/>
            <w:shd w:val="clear" w:color="auto" w:fill="auto"/>
            <w:vAlign w:val="bottom"/>
          </w:tcPr>
          <w:p w14:paraId="5F2D5FDE" w14:textId="77777777" w:rsidR="00E836FB" w:rsidRDefault="00E836FB">
            <w:pPr>
              <w:rPr>
                <w:rFonts w:ascii="宋体"/>
              </w:rPr>
            </w:pPr>
          </w:p>
        </w:tc>
        <w:tc>
          <w:tcPr>
            <w:tcW w:w="288" w:type="pct"/>
            <w:shd w:val="clear" w:color="auto" w:fill="auto"/>
            <w:vAlign w:val="bottom"/>
          </w:tcPr>
          <w:p w14:paraId="5F2D5FDF" w14:textId="77777777" w:rsidR="00E836FB" w:rsidRDefault="00E836FB">
            <w:pPr>
              <w:rPr>
                <w:rFonts w:ascii="宋体"/>
              </w:rPr>
            </w:pPr>
          </w:p>
        </w:tc>
        <w:tc>
          <w:tcPr>
            <w:tcW w:w="5" w:type="pct"/>
            <w:shd w:val="clear" w:color="auto" w:fill="auto"/>
            <w:vAlign w:val="bottom"/>
          </w:tcPr>
          <w:p w14:paraId="5F2D5FE0" w14:textId="77777777" w:rsidR="00E836FB" w:rsidRDefault="00E836FB">
            <w:pPr>
              <w:rPr>
                <w:rFonts w:ascii="宋体"/>
              </w:rPr>
            </w:pPr>
          </w:p>
        </w:tc>
        <w:tc>
          <w:tcPr>
            <w:tcW w:w="5" w:type="pct"/>
            <w:shd w:val="clear" w:color="auto" w:fill="auto"/>
            <w:vAlign w:val="bottom"/>
          </w:tcPr>
          <w:p w14:paraId="5F2D5FE1" w14:textId="77777777" w:rsidR="00E836FB" w:rsidRDefault="00E836FB">
            <w:pPr>
              <w:rPr>
                <w:rFonts w:ascii="宋体"/>
              </w:rPr>
            </w:pPr>
          </w:p>
        </w:tc>
        <w:tc>
          <w:tcPr>
            <w:tcW w:w="19" w:type="pct"/>
            <w:shd w:val="clear" w:color="auto" w:fill="auto"/>
            <w:vAlign w:val="bottom"/>
          </w:tcPr>
          <w:p w14:paraId="5F2D5FE2" w14:textId="77777777" w:rsidR="00E836FB" w:rsidRDefault="00E836FB">
            <w:pPr>
              <w:rPr>
                <w:rFonts w:ascii="宋体"/>
              </w:rPr>
            </w:pPr>
          </w:p>
        </w:tc>
        <w:tc>
          <w:tcPr>
            <w:tcW w:w="5" w:type="pct"/>
            <w:shd w:val="clear" w:color="auto" w:fill="auto"/>
            <w:vAlign w:val="bottom"/>
          </w:tcPr>
          <w:p w14:paraId="5F2D5FE3" w14:textId="77777777" w:rsidR="00E836FB" w:rsidRDefault="00E836FB">
            <w:pPr>
              <w:rPr>
                <w:rFonts w:ascii="宋体"/>
              </w:rPr>
            </w:pPr>
          </w:p>
        </w:tc>
        <w:tc>
          <w:tcPr>
            <w:tcW w:w="50" w:type="pct"/>
            <w:shd w:val="clear" w:color="auto" w:fill="auto"/>
            <w:vAlign w:val="bottom"/>
          </w:tcPr>
          <w:p w14:paraId="5F2D5FE4" w14:textId="77777777" w:rsidR="00E836FB" w:rsidRDefault="00E836FB">
            <w:pPr>
              <w:rPr>
                <w:rFonts w:ascii="宋体"/>
              </w:rPr>
            </w:pPr>
          </w:p>
        </w:tc>
        <w:tc>
          <w:tcPr>
            <w:tcW w:w="274" w:type="pct"/>
            <w:shd w:val="clear" w:color="auto" w:fill="auto"/>
            <w:vAlign w:val="bottom"/>
          </w:tcPr>
          <w:p w14:paraId="5F2D5FE5" w14:textId="77777777" w:rsidR="00E836FB" w:rsidRDefault="00E836FB">
            <w:pPr>
              <w:rPr>
                <w:rFonts w:ascii="宋体"/>
              </w:rPr>
            </w:pPr>
          </w:p>
        </w:tc>
        <w:tc>
          <w:tcPr>
            <w:tcW w:w="5" w:type="pct"/>
            <w:shd w:val="clear" w:color="auto" w:fill="auto"/>
            <w:vAlign w:val="bottom"/>
          </w:tcPr>
          <w:p w14:paraId="5F2D5FE6" w14:textId="77777777" w:rsidR="00E836FB" w:rsidRDefault="00E836FB">
            <w:pPr>
              <w:rPr>
                <w:rFonts w:ascii="宋体"/>
              </w:rPr>
            </w:pPr>
          </w:p>
        </w:tc>
      </w:tr>
      <w:tr w:rsidR="00E836FB" w14:paraId="5F2D5FEA" w14:textId="77777777">
        <w:tc>
          <w:tcPr>
            <w:tcW w:w="0" w:type="auto"/>
            <w:gridSpan w:val="3"/>
            <w:shd w:val="clear" w:color="auto" w:fill="auto"/>
            <w:tcMar>
              <w:top w:w="0" w:type="dxa"/>
              <w:left w:w="20" w:type="dxa"/>
              <w:bottom w:w="0" w:type="dxa"/>
              <w:right w:w="20" w:type="dxa"/>
            </w:tcMar>
            <w:vAlign w:val="bottom"/>
          </w:tcPr>
          <w:p w14:paraId="5F2D5FE8" w14:textId="77777777" w:rsidR="00E836FB" w:rsidRDefault="00E836FB">
            <w:pPr>
              <w:rPr>
                <w:rFonts w:ascii="宋体"/>
              </w:rPr>
            </w:pPr>
          </w:p>
        </w:tc>
        <w:tc>
          <w:tcPr>
            <w:tcW w:w="0" w:type="auto"/>
            <w:gridSpan w:val="51"/>
            <w:tcBorders>
              <w:bottom w:val="single" w:sz="8" w:space="0" w:color="000000"/>
            </w:tcBorders>
            <w:shd w:val="clear" w:color="auto" w:fill="auto"/>
            <w:tcMar>
              <w:top w:w="40" w:type="dxa"/>
              <w:left w:w="20" w:type="dxa"/>
              <w:bottom w:w="40" w:type="dxa"/>
              <w:right w:w="20" w:type="dxa"/>
            </w:tcMar>
            <w:vAlign w:val="bottom"/>
          </w:tcPr>
          <w:p w14:paraId="5F2D5FE9" w14:textId="77777777" w:rsidR="00E836FB" w:rsidRDefault="00994958">
            <w:pPr>
              <w:jc w:val="center"/>
              <w:textAlignment w:val="bottom"/>
            </w:pPr>
            <w:r>
              <w:rPr>
                <w:rFonts w:ascii="Arial" w:eastAsia="宋体" w:hAnsi="Arial" w:cs="Arial"/>
                <w:b/>
                <w:bCs/>
                <w:color w:val="000000"/>
                <w:sz w:val="14"/>
                <w:szCs w:val="14"/>
              </w:rPr>
              <w:t>Years Ended December 31,</w:t>
            </w:r>
          </w:p>
        </w:tc>
      </w:tr>
      <w:tr w:rsidR="00E836FB" w14:paraId="5F2D5FF1" w14:textId="77777777">
        <w:tc>
          <w:tcPr>
            <w:tcW w:w="0" w:type="auto"/>
            <w:gridSpan w:val="3"/>
            <w:shd w:val="clear" w:color="auto" w:fill="auto"/>
            <w:tcMar>
              <w:top w:w="0" w:type="dxa"/>
              <w:left w:w="20" w:type="dxa"/>
              <w:bottom w:w="0" w:type="dxa"/>
              <w:right w:w="20" w:type="dxa"/>
            </w:tcMar>
            <w:vAlign w:val="bottom"/>
          </w:tcPr>
          <w:p w14:paraId="5F2D5FEB"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FEC" w14:textId="77777777" w:rsidR="00E836FB" w:rsidRDefault="00994958">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FED"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FEE" w14:textId="77777777" w:rsidR="00E836FB" w:rsidRDefault="00994958">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FEF" w14:textId="77777777" w:rsidR="00E836FB" w:rsidRDefault="00E836F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F2D5FF0" w14:textId="77777777" w:rsidR="00E836FB" w:rsidRDefault="00994958">
            <w:pPr>
              <w:jc w:val="center"/>
              <w:textAlignment w:val="bottom"/>
            </w:pPr>
            <w:r>
              <w:rPr>
                <w:rFonts w:ascii="Arial" w:eastAsia="宋体" w:hAnsi="Arial" w:cs="Arial"/>
                <w:b/>
                <w:bCs/>
                <w:color w:val="000000"/>
                <w:sz w:val="14"/>
                <w:szCs w:val="14"/>
              </w:rPr>
              <w:t>2019</w:t>
            </w:r>
          </w:p>
        </w:tc>
      </w:tr>
      <w:tr w:rsidR="00E836FB" w14:paraId="5F2D6004" w14:textId="77777777">
        <w:tc>
          <w:tcPr>
            <w:tcW w:w="0" w:type="auto"/>
            <w:gridSpan w:val="3"/>
            <w:shd w:val="clear" w:color="auto" w:fill="auto"/>
            <w:tcMar>
              <w:top w:w="40" w:type="dxa"/>
              <w:left w:w="20" w:type="dxa"/>
              <w:bottom w:w="40" w:type="dxa"/>
              <w:right w:w="20" w:type="dxa"/>
            </w:tcMar>
            <w:vAlign w:val="bottom"/>
          </w:tcPr>
          <w:p w14:paraId="5F2D5FF2" w14:textId="77777777" w:rsidR="00E836FB" w:rsidRDefault="00994958">
            <w:pPr>
              <w:textAlignment w:val="bottom"/>
            </w:pPr>
            <w:r>
              <w:rPr>
                <w:rFonts w:ascii="Arial" w:eastAsia="宋体" w:hAnsi="Arial" w:cs="Arial"/>
                <w:b/>
                <w:bCs/>
                <w:color w:val="000000"/>
                <w:sz w:val="14"/>
                <w:szCs w:val="14"/>
              </w:rPr>
              <w:t>(Dollars in millions; fully</w:t>
            </w:r>
            <w:r>
              <w:rPr>
                <w:rFonts w:ascii="Arial" w:eastAsia="宋体" w:hAnsi="Arial" w:cs="Arial"/>
                <w:b/>
                <w:bCs/>
                <w:color w:val="000000"/>
                <w:sz w:val="14"/>
                <w:szCs w:val="14"/>
              </w:rPr>
              <w:br/>
              <w:t>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FF3"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FF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FF5" w14:textId="77777777" w:rsidR="00E836FB" w:rsidRDefault="00994958">
            <w:pPr>
              <w:jc w:val="center"/>
              <w:textAlignment w:val="bottom"/>
            </w:pPr>
            <w:r>
              <w:rPr>
                <w:rFonts w:ascii="Arial" w:eastAsia="宋体" w:hAnsi="Arial" w:cs="Arial"/>
                <w:b/>
                <w:bCs/>
                <w:color w:val="000000"/>
                <w:sz w:val="14"/>
                <w:szCs w:val="14"/>
              </w:rPr>
              <w:t>Interest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FF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FF7"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Rate</w:t>
            </w:r>
          </w:p>
        </w:tc>
        <w:tc>
          <w:tcPr>
            <w:tcW w:w="0" w:type="auto"/>
            <w:gridSpan w:val="3"/>
            <w:shd w:val="clear" w:color="auto" w:fill="auto"/>
            <w:tcMar>
              <w:top w:w="0" w:type="dxa"/>
              <w:left w:w="20" w:type="dxa"/>
              <w:bottom w:w="0" w:type="dxa"/>
              <w:right w:w="20" w:type="dxa"/>
            </w:tcMar>
            <w:vAlign w:val="bottom"/>
          </w:tcPr>
          <w:p w14:paraId="5F2D5FF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FF9"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FF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FFB" w14:textId="77777777" w:rsidR="00E836FB" w:rsidRDefault="00994958">
            <w:pPr>
              <w:jc w:val="center"/>
              <w:textAlignment w:val="bottom"/>
            </w:pPr>
            <w:r>
              <w:rPr>
                <w:rFonts w:ascii="Arial" w:eastAsia="宋体" w:hAnsi="Arial" w:cs="Arial"/>
                <w:b/>
                <w:bCs/>
                <w:color w:val="000000"/>
                <w:sz w:val="14"/>
                <w:szCs w:val="14"/>
              </w:rPr>
              <w:t>Interest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5FF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FFD"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r>
            <w:r>
              <w:rPr>
                <w:rFonts w:ascii="Arial" w:eastAsia="宋体" w:hAnsi="Arial" w:cs="Arial"/>
                <w:b/>
                <w:bCs/>
                <w:color w:val="000000"/>
                <w:sz w:val="14"/>
                <w:szCs w:val="14"/>
              </w:rPr>
              <w:t>Rate</w:t>
            </w:r>
          </w:p>
        </w:tc>
        <w:tc>
          <w:tcPr>
            <w:tcW w:w="0" w:type="auto"/>
            <w:gridSpan w:val="3"/>
            <w:shd w:val="clear" w:color="auto" w:fill="auto"/>
            <w:tcMar>
              <w:top w:w="0" w:type="dxa"/>
              <w:left w:w="20" w:type="dxa"/>
              <w:bottom w:w="0" w:type="dxa"/>
              <w:right w:w="20" w:type="dxa"/>
            </w:tcMar>
            <w:vAlign w:val="bottom"/>
          </w:tcPr>
          <w:p w14:paraId="5F2D5FF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5FFF"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00"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001" w14:textId="77777777" w:rsidR="00E836FB" w:rsidRDefault="00994958">
            <w:pPr>
              <w:jc w:val="center"/>
              <w:textAlignment w:val="bottom"/>
            </w:pPr>
            <w:r>
              <w:rPr>
                <w:rFonts w:ascii="Arial" w:eastAsia="宋体" w:hAnsi="Arial" w:cs="Arial"/>
                <w:b/>
                <w:bCs/>
                <w:color w:val="000000"/>
                <w:sz w:val="14"/>
                <w:szCs w:val="14"/>
              </w:rPr>
              <w:t>Interest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0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003" w14:textId="77777777" w:rsidR="00E836FB" w:rsidRDefault="00994958">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Rate</w:t>
            </w:r>
          </w:p>
        </w:tc>
      </w:tr>
      <w:tr w:rsidR="00E836FB" w14:paraId="5F2D6017" w14:textId="77777777">
        <w:tc>
          <w:tcPr>
            <w:tcW w:w="0" w:type="auto"/>
            <w:gridSpan w:val="3"/>
            <w:shd w:val="clear" w:color="auto" w:fill="auto"/>
            <w:tcMar>
              <w:top w:w="40" w:type="dxa"/>
              <w:left w:w="20" w:type="dxa"/>
              <w:bottom w:w="40" w:type="dxa"/>
              <w:right w:w="20" w:type="dxa"/>
            </w:tcMar>
            <w:vAlign w:val="bottom"/>
          </w:tcPr>
          <w:p w14:paraId="5F2D6005" w14:textId="77777777" w:rsidR="00E836FB" w:rsidRDefault="00994958">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0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0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0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09"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0B"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0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0D"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0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0F"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1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11"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1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13"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015"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016" w14:textId="77777777" w:rsidR="00E836FB" w:rsidRDefault="00E836FB">
            <w:pPr>
              <w:rPr>
                <w:rFonts w:ascii="宋体"/>
              </w:rPr>
            </w:pPr>
          </w:p>
        </w:tc>
      </w:tr>
      <w:tr w:rsidR="00994958" w14:paraId="5F2D6039" w14:textId="77777777">
        <w:tc>
          <w:tcPr>
            <w:tcW w:w="0" w:type="auto"/>
            <w:gridSpan w:val="3"/>
            <w:shd w:val="clear" w:color="auto" w:fill="CCEEFF"/>
            <w:tcMar>
              <w:top w:w="40" w:type="dxa"/>
              <w:left w:w="20" w:type="dxa"/>
              <w:bottom w:w="40" w:type="dxa"/>
              <w:right w:w="20" w:type="dxa"/>
            </w:tcMar>
            <w:vAlign w:val="bottom"/>
          </w:tcPr>
          <w:p w14:paraId="5F2D6018" w14:textId="77777777" w:rsidR="00E836FB" w:rsidRDefault="00994958">
            <w:pPr>
              <w:textAlignment w:val="bottom"/>
            </w:pPr>
            <w:r>
              <w:rPr>
                <w:rFonts w:ascii="Arial" w:eastAsia="宋体" w:hAnsi="Arial" w:cs="Arial"/>
                <w:color w:val="000000"/>
                <w:sz w:val="14"/>
                <w:szCs w:val="14"/>
              </w:rPr>
              <w:t>Interest-bearing deposits with U.S. banks</w:t>
            </w:r>
          </w:p>
        </w:tc>
        <w:tc>
          <w:tcPr>
            <w:tcW w:w="0" w:type="auto"/>
            <w:shd w:val="clear" w:color="auto" w:fill="CCEEFF"/>
            <w:tcMar>
              <w:top w:w="40" w:type="dxa"/>
              <w:left w:w="20" w:type="dxa"/>
              <w:bottom w:w="40" w:type="dxa"/>
              <w:right w:w="0" w:type="dxa"/>
            </w:tcMar>
            <w:vAlign w:val="bottom"/>
          </w:tcPr>
          <w:p w14:paraId="5F2D6019"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601A" w14:textId="77777777" w:rsidR="00E836FB" w:rsidRDefault="00994958">
            <w:pPr>
              <w:jc w:val="right"/>
              <w:textAlignment w:val="bottom"/>
            </w:pPr>
            <w:r>
              <w:rPr>
                <w:rFonts w:ascii="Arial" w:eastAsia="宋体" w:hAnsi="Arial" w:cs="Arial"/>
                <w:b/>
                <w:bCs/>
                <w:color w:val="000000"/>
                <w:sz w:val="14"/>
                <w:szCs w:val="14"/>
              </w:rPr>
              <w:t>28,584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1C"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01D"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601E" w14:textId="77777777" w:rsidR="00E836FB" w:rsidRDefault="00994958">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2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21" w14:textId="77777777" w:rsidR="00E836FB" w:rsidRDefault="00994958">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22"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602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02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025" w14:textId="77777777" w:rsidR="00E836FB" w:rsidRDefault="00994958">
            <w:pPr>
              <w:jc w:val="right"/>
              <w:textAlignment w:val="bottom"/>
            </w:pPr>
            <w:r>
              <w:rPr>
                <w:rFonts w:ascii="Arial" w:eastAsia="宋体" w:hAnsi="Arial" w:cs="Arial"/>
                <w:color w:val="000000"/>
                <w:sz w:val="14"/>
                <w:szCs w:val="14"/>
              </w:rPr>
              <w:t>30,866 </w:t>
            </w:r>
          </w:p>
        </w:tc>
        <w:tc>
          <w:tcPr>
            <w:tcW w:w="0" w:type="auto"/>
            <w:shd w:val="clear" w:color="auto" w:fill="CCEEFF"/>
            <w:tcMar>
              <w:top w:w="40" w:type="dxa"/>
              <w:left w:w="0" w:type="dxa"/>
              <w:bottom w:w="40" w:type="dxa"/>
              <w:right w:w="20" w:type="dxa"/>
            </w:tcMar>
            <w:vAlign w:val="bottom"/>
          </w:tcPr>
          <w:p w14:paraId="5F2D60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27"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028"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029" w14:textId="77777777" w:rsidR="00E836FB" w:rsidRDefault="00994958">
            <w:pPr>
              <w:jc w:val="right"/>
              <w:textAlignment w:val="bottom"/>
            </w:pPr>
            <w:r>
              <w:rPr>
                <w:rFonts w:ascii="Arial" w:eastAsia="宋体" w:hAnsi="Arial" w:cs="Arial"/>
                <w:color w:val="000000"/>
                <w:sz w:val="14"/>
                <w:szCs w:val="14"/>
              </w:rPr>
              <w:t>101 </w:t>
            </w:r>
          </w:p>
        </w:tc>
        <w:tc>
          <w:tcPr>
            <w:tcW w:w="0" w:type="auto"/>
            <w:shd w:val="clear" w:color="auto" w:fill="CCEEFF"/>
            <w:tcMar>
              <w:top w:w="40" w:type="dxa"/>
              <w:left w:w="0" w:type="dxa"/>
              <w:bottom w:w="40" w:type="dxa"/>
              <w:right w:w="20" w:type="dxa"/>
            </w:tcMar>
            <w:vAlign w:val="bottom"/>
          </w:tcPr>
          <w:p w14:paraId="5F2D602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2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2C" w14:textId="77777777" w:rsidR="00E836FB" w:rsidRDefault="00994958">
            <w:pPr>
              <w:jc w:val="right"/>
              <w:textAlignment w:val="bottom"/>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bottom"/>
          </w:tcPr>
          <w:p w14:paraId="5F2D602D"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602E"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02F"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030" w14:textId="77777777" w:rsidR="00E836FB" w:rsidRDefault="00994958">
            <w:pPr>
              <w:jc w:val="right"/>
              <w:textAlignment w:val="bottom"/>
            </w:pPr>
            <w:r>
              <w:rPr>
                <w:rFonts w:ascii="Arial" w:eastAsia="宋体" w:hAnsi="Arial" w:cs="Arial"/>
                <w:color w:val="000000"/>
                <w:sz w:val="14"/>
                <w:szCs w:val="14"/>
              </w:rPr>
              <w:t>16,815 </w:t>
            </w:r>
          </w:p>
        </w:tc>
        <w:tc>
          <w:tcPr>
            <w:tcW w:w="0" w:type="auto"/>
            <w:shd w:val="clear" w:color="auto" w:fill="CCEEFF"/>
            <w:tcMar>
              <w:top w:w="40" w:type="dxa"/>
              <w:left w:w="0" w:type="dxa"/>
              <w:bottom w:w="40" w:type="dxa"/>
              <w:right w:w="20" w:type="dxa"/>
            </w:tcMar>
            <w:vAlign w:val="bottom"/>
          </w:tcPr>
          <w:p w14:paraId="5F2D603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32"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033"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034" w14:textId="77777777" w:rsidR="00E836FB" w:rsidRDefault="00994958">
            <w:pPr>
              <w:jc w:val="right"/>
              <w:textAlignment w:val="bottom"/>
            </w:pPr>
            <w:r>
              <w:rPr>
                <w:rFonts w:ascii="Arial" w:eastAsia="宋体" w:hAnsi="Arial" w:cs="Arial"/>
                <w:color w:val="000000"/>
                <w:sz w:val="14"/>
                <w:szCs w:val="14"/>
              </w:rPr>
              <w:t>360 </w:t>
            </w:r>
          </w:p>
        </w:tc>
        <w:tc>
          <w:tcPr>
            <w:tcW w:w="0" w:type="auto"/>
            <w:shd w:val="clear" w:color="auto" w:fill="CCEEFF"/>
            <w:tcMar>
              <w:top w:w="40" w:type="dxa"/>
              <w:left w:w="0" w:type="dxa"/>
              <w:bottom w:w="40" w:type="dxa"/>
              <w:right w:w="20" w:type="dxa"/>
            </w:tcMar>
            <w:vAlign w:val="bottom"/>
          </w:tcPr>
          <w:p w14:paraId="5F2D603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3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37" w14:textId="77777777" w:rsidR="00E836FB" w:rsidRDefault="00994958">
            <w:pPr>
              <w:jc w:val="right"/>
              <w:textAlignment w:val="bottom"/>
            </w:pPr>
            <w:r>
              <w:rPr>
                <w:rFonts w:ascii="Arial" w:eastAsia="宋体" w:hAnsi="Arial" w:cs="Arial"/>
                <w:color w:val="000000"/>
                <w:sz w:val="14"/>
                <w:szCs w:val="14"/>
              </w:rPr>
              <w:t>2.14 </w:t>
            </w:r>
          </w:p>
        </w:tc>
        <w:tc>
          <w:tcPr>
            <w:tcW w:w="0" w:type="auto"/>
            <w:shd w:val="clear" w:color="auto" w:fill="CCEEFF"/>
            <w:tcMar>
              <w:top w:w="40" w:type="dxa"/>
              <w:left w:w="0" w:type="dxa"/>
              <w:bottom w:w="40" w:type="dxa"/>
              <w:right w:w="20" w:type="dxa"/>
            </w:tcMar>
            <w:vAlign w:val="bottom"/>
          </w:tcPr>
          <w:p w14:paraId="5F2D6038" w14:textId="77777777" w:rsidR="00E836FB" w:rsidRDefault="00994958">
            <w:pPr>
              <w:jc w:val="right"/>
              <w:textAlignment w:val="bottom"/>
            </w:pPr>
            <w:r>
              <w:rPr>
                <w:rFonts w:ascii="Arial" w:eastAsia="宋体" w:hAnsi="Arial" w:cs="Arial"/>
                <w:color w:val="000000"/>
                <w:sz w:val="14"/>
                <w:szCs w:val="14"/>
              </w:rPr>
              <w:t>%</w:t>
            </w:r>
          </w:p>
        </w:tc>
      </w:tr>
      <w:tr w:rsidR="00E836FB" w14:paraId="5F2D6055" w14:textId="77777777">
        <w:tc>
          <w:tcPr>
            <w:tcW w:w="0" w:type="auto"/>
            <w:gridSpan w:val="3"/>
            <w:shd w:val="clear" w:color="auto" w:fill="FFFFFF"/>
            <w:tcMar>
              <w:top w:w="40" w:type="dxa"/>
              <w:left w:w="20" w:type="dxa"/>
              <w:bottom w:w="40" w:type="dxa"/>
              <w:right w:w="20" w:type="dxa"/>
            </w:tcMar>
            <w:vAlign w:val="bottom"/>
          </w:tcPr>
          <w:p w14:paraId="5F2D603A" w14:textId="77777777" w:rsidR="00E836FB" w:rsidRDefault="00994958">
            <w:pPr>
              <w:textAlignment w:val="bottom"/>
            </w:pPr>
            <w:r>
              <w:rPr>
                <w:rFonts w:ascii="Arial" w:eastAsia="宋体" w:hAnsi="Arial" w:cs="Arial"/>
                <w:color w:val="000000"/>
                <w:sz w:val="14"/>
                <w:szCs w:val="14"/>
              </w:rPr>
              <w:t>Interest-bearing deposits with non-U.S. banks</w:t>
            </w:r>
          </w:p>
        </w:tc>
        <w:tc>
          <w:tcPr>
            <w:tcW w:w="0" w:type="auto"/>
            <w:gridSpan w:val="2"/>
            <w:shd w:val="clear" w:color="auto" w:fill="FFFFFF"/>
            <w:tcMar>
              <w:top w:w="40" w:type="dxa"/>
              <w:left w:w="20" w:type="dxa"/>
              <w:bottom w:w="40" w:type="dxa"/>
              <w:right w:w="0" w:type="dxa"/>
            </w:tcMar>
            <w:vAlign w:val="bottom"/>
          </w:tcPr>
          <w:p w14:paraId="5F2D603B" w14:textId="77777777" w:rsidR="00E836FB" w:rsidRDefault="00994958">
            <w:pPr>
              <w:jc w:val="right"/>
              <w:textAlignment w:val="bottom"/>
            </w:pPr>
            <w:r>
              <w:rPr>
                <w:rFonts w:ascii="Arial" w:eastAsia="宋体" w:hAnsi="Arial" w:cs="Arial"/>
                <w:b/>
                <w:bCs/>
                <w:color w:val="000000"/>
                <w:sz w:val="14"/>
                <w:szCs w:val="14"/>
              </w:rPr>
              <w:t>61,412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3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3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3E" w14:textId="77777777" w:rsidR="00E836FB" w:rsidRDefault="00994958">
            <w:pPr>
              <w:jc w:val="right"/>
              <w:textAlignment w:val="bottom"/>
            </w:pPr>
            <w:r>
              <w:rPr>
                <w:rFonts w:ascii="Arial" w:eastAsia="宋体" w:hAnsi="Arial" w:cs="Arial"/>
                <w:b/>
                <w:bCs/>
                <w:color w:val="000000"/>
                <w:sz w:val="14"/>
                <w:szCs w:val="14"/>
              </w:rPr>
              <w:t>(56)</w:t>
            </w:r>
          </w:p>
        </w:tc>
        <w:tc>
          <w:tcPr>
            <w:tcW w:w="0" w:type="auto"/>
            <w:shd w:val="clear" w:color="auto" w:fill="FFFFFF"/>
            <w:tcMar>
              <w:top w:w="40" w:type="dxa"/>
              <w:left w:w="0" w:type="dxa"/>
              <w:bottom w:w="40" w:type="dxa"/>
              <w:right w:w="20" w:type="dxa"/>
            </w:tcMar>
            <w:vAlign w:val="bottom"/>
          </w:tcPr>
          <w:p w14:paraId="5F2D603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4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41" w14:textId="77777777" w:rsidR="00E836FB" w:rsidRDefault="00994958">
            <w:pPr>
              <w:jc w:val="right"/>
              <w:textAlignment w:val="bottom"/>
            </w:pPr>
            <w:r>
              <w:rPr>
                <w:rFonts w:ascii="Arial" w:eastAsia="宋体" w:hAnsi="Arial" w:cs="Arial"/>
                <w:b/>
                <w:bCs/>
                <w:color w:val="000000"/>
                <w:sz w:val="14"/>
                <w:szCs w:val="14"/>
              </w:rPr>
              <w:t>(.09)</w:t>
            </w:r>
          </w:p>
        </w:tc>
        <w:tc>
          <w:tcPr>
            <w:tcW w:w="0" w:type="auto"/>
            <w:shd w:val="clear" w:color="auto" w:fill="FFFFFF"/>
            <w:tcMar>
              <w:top w:w="40" w:type="dxa"/>
              <w:left w:w="0" w:type="dxa"/>
              <w:bottom w:w="40" w:type="dxa"/>
              <w:right w:w="20" w:type="dxa"/>
            </w:tcMar>
            <w:vAlign w:val="bottom"/>
          </w:tcPr>
          <w:p w14:paraId="5F2D604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4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44" w14:textId="77777777" w:rsidR="00E836FB" w:rsidRDefault="00994958">
            <w:pPr>
              <w:jc w:val="right"/>
              <w:textAlignment w:val="bottom"/>
            </w:pPr>
            <w:r>
              <w:rPr>
                <w:rFonts w:ascii="Arial" w:eastAsia="宋体" w:hAnsi="Arial" w:cs="Arial"/>
                <w:color w:val="000000"/>
                <w:sz w:val="14"/>
                <w:szCs w:val="14"/>
              </w:rPr>
              <w:t>45,722 </w:t>
            </w:r>
          </w:p>
        </w:tc>
        <w:tc>
          <w:tcPr>
            <w:tcW w:w="0" w:type="auto"/>
            <w:shd w:val="clear" w:color="auto" w:fill="FFFFFF"/>
            <w:tcMar>
              <w:top w:w="40" w:type="dxa"/>
              <w:left w:w="0" w:type="dxa"/>
              <w:bottom w:w="40" w:type="dxa"/>
              <w:right w:w="20" w:type="dxa"/>
            </w:tcMar>
            <w:vAlign w:val="bottom"/>
          </w:tcPr>
          <w:p w14:paraId="5F2D604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4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47" w14:textId="77777777" w:rsidR="00E836FB" w:rsidRDefault="00994958">
            <w:pPr>
              <w:jc w:val="right"/>
              <w:textAlignment w:val="bottom"/>
            </w:pPr>
            <w:r>
              <w:rPr>
                <w:rFonts w:ascii="Arial" w:eastAsia="宋体" w:hAnsi="Arial" w:cs="Arial"/>
                <w:color w:val="000000"/>
                <w:sz w:val="14"/>
                <w:szCs w:val="14"/>
              </w:rPr>
              <w:t>(25)</w:t>
            </w:r>
          </w:p>
        </w:tc>
        <w:tc>
          <w:tcPr>
            <w:tcW w:w="0" w:type="auto"/>
            <w:shd w:val="clear" w:color="auto" w:fill="FFFFFF"/>
            <w:tcMar>
              <w:top w:w="40" w:type="dxa"/>
              <w:left w:w="0" w:type="dxa"/>
              <w:bottom w:w="40" w:type="dxa"/>
              <w:right w:w="20" w:type="dxa"/>
            </w:tcMar>
            <w:vAlign w:val="bottom"/>
          </w:tcPr>
          <w:p w14:paraId="5F2D604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4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4A" w14:textId="77777777" w:rsidR="00E836FB" w:rsidRDefault="00994958">
            <w:pPr>
              <w:jc w:val="right"/>
              <w:textAlignment w:val="bottom"/>
            </w:pPr>
            <w:r>
              <w:rPr>
                <w:rFonts w:ascii="Arial" w:eastAsia="宋体" w:hAnsi="Arial" w:cs="Arial"/>
                <w:color w:val="000000"/>
                <w:sz w:val="14"/>
                <w:szCs w:val="14"/>
              </w:rPr>
              <w:t>(.06)</w:t>
            </w:r>
          </w:p>
        </w:tc>
        <w:tc>
          <w:tcPr>
            <w:tcW w:w="0" w:type="auto"/>
            <w:shd w:val="clear" w:color="auto" w:fill="FFFFFF"/>
            <w:tcMar>
              <w:top w:w="40" w:type="dxa"/>
              <w:left w:w="0" w:type="dxa"/>
              <w:bottom w:w="40" w:type="dxa"/>
              <w:right w:w="20" w:type="dxa"/>
            </w:tcMar>
            <w:vAlign w:val="bottom"/>
          </w:tcPr>
          <w:p w14:paraId="5F2D604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4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4D" w14:textId="77777777" w:rsidR="00E836FB" w:rsidRDefault="00994958">
            <w:pPr>
              <w:jc w:val="right"/>
              <w:textAlignment w:val="bottom"/>
            </w:pPr>
            <w:r>
              <w:rPr>
                <w:rFonts w:ascii="Arial" w:eastAsia="宋体" w:hAnsi="Arial" w:cs="Arial"/>
                <w:color w:val="000000"/>
                <w:sz w:val="14"/>
                <w:szCs w:val="14"/>
              </w:rPr>
              <w:t>31,685 </w:t>
            </w:r>
          </w:p>
        </w:tc>
        <w:tc>
          <w:tcPr>
            <w:tcW w:w="0" w:type="auto"/>
            <w:shd w:val="clear" w:color="auto" w:fill="FFFFFF"/>
            <w:tcMar>
              <w:top w:w="40" w:type="dxa"/>
              <w:left w:w="0" w:type="dxa"/>
              <w:bottom w:w="40" w:type="dxa"/>
              <w:right w:w="20" w:type="dxa"/>
            </w:tcMar>
            <w:vAlign w:val="bottom"/>
          </w:tcPr>
          <w:p w14:paraId="5F2D604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4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50" w14:textId="77777777" w:rsidR="00E836FB" w:rsidRDefault="00994958">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5F2D605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5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53"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5F2D6054" w14:textId="77777777" w:rsidR="00E836FB" w:rsidRDefault="00E836FB">
            <w:pPr>
              <w:jc w:val="right"/>
              <w:rPr>
                <w:rFonts w:ascii="宋体"/>
              </w:rPr>
            </w:pPr>
          </w:p>
        </w:tc>
      </w:tr>
      <w:tr w:rsidR="00E836FB" w14:paraId="5F2D6071" w14:textId="77777777">
        <w:tc>
          <w:tcPr>
            <w:tcW w:w="0" w:type="auto"/>
            <w:gridSpan w:val="3"/>
            <w:shd w:val="clear" w:color="auto" w:fill="CCEEFF"/>
            <w:tcMar>
              <w:top w:w="40" w:type="dxa"/>
              <w:left w:w="20" w:type="dxa"/>
              <w:bottom w:w="40" w:type="dxa"/>
              <w:right w:w="20" w:type="dxa"/>
            </w:tcMar>
            <w:vAlign w:val="bottom"/>
          </w:tcPr>
          <w:p w14:paraId="5F2D6056" w14:textId="77777777" w:rsidR="00E836FB" w:rsidRDefault="00994958">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F2D6057" w14:textId="77777777" w:rsidR="00E836FB" w:rsidRDefault="00994958">
            <w:pPr>
              <w:jc w:val="right"/>
              <w:textAlignment w:val="bottom"/>
            </w:pPr>
            <w:r>
              <w:rPr>
                <w:rFonts w:ascii="Arial" w:eastAsia="宋体" w:hAnsi="Arial" w:cs="Arial"/>
                <w:b/>
                <w:bCs/>
                <w:color w:val="000000"/>
                <w:sz w:val="14"/>
                <w:szCs w:val="14"/>
              </w:rPr>
              <w:t>4,193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5A" w14:textId="77777777" w:rsidR="00E836FB" w:rsidRDefault="00994958">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5D" w14:textId="77777777" w:rsidR="00E836FB" w:rsidRDefault="00994958">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60" w14:textId="77777777" w:rsidR="00E836FB" w:rsidRDefault="00994958">
            <w:pPr>
              <w:jc w:val="right"/>
              <w:textAlignment w:val="bottom"/>
            </w:pPr>
            <w:r>
              <w:rPr>
                <w:rFonts w:ascii="Arial" w:eastAsia="宋体" w:hAnsi="Arial" w:cs="Arial"/>
                <w:color w:val="000000"/>
                <w:sz w:val="14"/>
                <w:szCs w:val="14"/>
              </w:rPr>
              <w:t>3,452 </w:t>
            </w:r>
          </w:p>
        </w:tc>
        <w:tc>
          <w:tcPr>
            <w:tcW w:w="0" w:type="auto"/>
            <w:shd w:val="clear" w:color="auto" w:fill="CCEEFF"/>
            <w:tcMar>
              <w:top w:w="40" w:type="dxa"/>
              <w:left w:w="0" w:type="dxa"/>
              <w:bottom w:w="40" w:type="dxa"/>
              <w:right w:w="20" w:type="dxa"/>
            </w:tcMar>
            <w:vAlign w:val="bottom"/>
          </w:tcPr>
          <w:p w14:paraId="5F2D606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6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63" w14:textId="77777777" w:rsidR="00E836FB" w:rsidRDefault="00994958">
            <w:pPr>
              <w:jc w:val="right"/>
              <w:textAlignment w:val="bottom"/>
            </w:pPr>
            <w:r>
              <w:rPr>
                <w:rFonts w:ascii="Arial" w:eastAsia="宋体" w:hAnsi="Arial" w:cs="Arial"/>
                <w:color w:val="000000"/>
                <w:sz w:val="14"/>
                <w:szCs w:val="14"/>
              </w:rPr>
              <w:t>126 </w:t>
            </w:r>
          </w:p>
        </w:tc>
        <w:tc>
          <w:tcPr>
            <w:tcW w:w="0" w:type="auto"/>
            <w:shd w:val="clear" w:color="auto" w:fill="CCEEFF"/>
            <w:tcMar>
              <w:top w:w="40" w:type="dxa"/>
              <w:left w:w="0" w:type="dxa"/>
              <w:bottom w:w="40" w:type="dxa"/>
              <w:right w:w="20" w:type="dxa"/>
            </w:tcMar>
            <w:vAlign w:val="bottom"/>
          </w:tcPr>
          <w:p w14:paraId="5F2D60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6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66" w14:textId="77777777" w:rsidR="00E836FB" w:rsidRDefault="00994958">
            <w:pPr>
              <w:jc w:val="right"/>
              <w:textAlignment w:val="bottom"/>
            </w:pPr>
            <w:r>
              <w:rPr>
                <w:rFonts w:ascii="Arial" w:eastAsia="宋体" w:hAnsi="Arial" w:cs="Arial"/>
                <w:color w:val="000000"/>
                <w:sz w:val="14"/>
                <w:szCs w:val="14"/>
              </w:rPr>
              <w:t>3.64 </w:t>
            </w:r>
          </w:p>
        </w:tc>
        <w:tc>
          <w:tcPr>
            <w:tcW w:w="0" w:type="auto"/>
            <w:shd w:val="clear" w:color="auto" w:fill="CCEEFF"/>
            <w:tcMar>
              <w:top w:w="40" w:type="dxa"/>
              <w:left w:w="0" w:type="dxa"/>
              <w:bottom w:w="40" w:type="dxa"/>
              <w:right w:w="20" w:type="dxa"/>
            </w:tcMar>
            <w:vAlign w:val="bottom"/>
          </w:tcPr>
          <w:p w14:paraId="5F2D60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6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69" w14:textId="77777777" w:rsidR="00E836FB" w:rsidRDefault="00994958">
            <w:pPr>
              <w:jc w:val="right"/>
              <w:textAlignment w:val="bottom"/>
            </w:pPr>
            <w:r>
              <w:rPr>
                <w:rFonts w:ascii="Arial" w:eastAsia="宋体" w:hAnsi="Arial" w:cs="Arial"/>
                <w:color w:val="000000"/>
                <w:sz w:val="14"/>
                <w:szCs w:val="14"/>
              </w:rPr>
              <w:t>2,506 </w:t>
            </w:r>
          </w:p>
        </w:tc>
        <w:tc>
          <w:tcPr>
            <w:tcW w:w="0" w:type="auto"/>
            <w:shd w:val="clear" w:color="auto" w:fill="CCEEFF"/>
            <w:tcMar>
              <w:top w:w="40" w:type="dxa"/>
              <w:left w:w="0" w:type="dxa"/>
              <w:bottom w:w="40" w:type="dxa"/>
              <w:right w:w="20" w:type="dxa"/>
            </w:tcMar>
            <w:vAlign w:val="bottom"/>
          </w:tcPr>
          <w:p w14:paraId="5F2D60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6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6C" w14:textId="77777777" w:rsidR="00E836FB" w:rsidRDefault="00994958">
            <w:pPr>
              <w:jc w:val="right"/>
              <w:textAlignment w:val="bottom"/>
            </w:pPr>
            <w:r>
              <w:rPr>
                <w:rFonts w:ascii="Arial" w:eastAsia="宋体" w:hAnsi="Arial" w:cs="Arial"/>
                <w:color w:val="000000"/>
                <w:sz w:val="14"/>
                <w:szCs w:val="14"/>
              </w:rPr>
              <w:t>364 </w:t>
            </w:r>
          </w:p>
        </w:tc>
        <w:tc>
          <w:tcPr>
            <w:tcW w:w="0" w:type="auto"/>
            <w:shd w:val="clear" w:color="auto" w:fill="CCEEFF"/>
            <w:tcMar>
              <w:top w:w="40" w:type="dxa"/>
              <w:left w:w="0" w:type="dxa"/>
              <w:bottom w:w="40" w:type="dxa"/>
              <w:right w:w="20" w:type="dxa"/>
            </w:tcMar>
            <w:vAlign w:val="bottom"/>
          </w:tcPr>
          <w:p w14:paraId="5F2D606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6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6F" w14:textId="77777777" w:rsidR="00E836FB" w:rsidRDefault="00994958">
            <w:pPr>
              <w:jc w:val="right"/>
              <w:textAlignment w:val="bottom"/>
            </w:pPr>
            <w:r>
              <w:rPr>
                <w:rFonts w:ascii="Arial" w:eastAsia="宋体" w:hAnsi="Arial" w:cs="Arial"/>
                <w:color w:val="000000"/>
                <w:sz w:val="14"/>
                <w:szCs w:val="14"/>
              </w:rPr>
              <w:t>14.54 </w:t>
            </w:r>
          </w:p>
        </w:tc>
        <w:tc>
          <w:tcPr>
            <w:tcW w:w="0" w:type="auto"/>
            <w:shd w:val="clear" w:color="auto" w:fill="CCEEFF"/>
            <w:tcMar>
              <w:top w:w="40" w:type="dxa"/>
              <w:left w:w="0" w:type="dxa"/>
              <w:bottom w:w="40" w:type="dxa"/>
              <w:right w:w="20" w:type="dxa"/>
            </w:tcMar>
            <w:vAlign w:val="bottom"/>
          </w:tcPr>
          <w:p w14:paraId="5F2D6070" w14:textId="77777777" w:rsidR="00E836FB" w:rsidRDefault="00E836FB">
            <w:pPr>
              <w:jc w:val="right"/>
              <w:rPr>
                <w:rFonts w:ascii="宋体"/>
              </w:rPr>
            </w:pPr>
          </w:p>
        </w:tc>
      </w:tr>
      <w:tr w:rsidR="00E836FB" w14:paraId="5F2D6084" w14:textId="77777777">
        <w:trPr>
          <w:hidden/>
        </w:trPr>
        <w:tc>
          <w:tcPr>
            <w:tcW w:w="0" w:type="auto"/>
            <w:gridSpan w:val="3"/>
            <w:shd w:val="clear" w:color="auto" w:fill="auto"/>
            <w:vAlign w:val="bottom"/>
          </w:tcPr>
          <w:p w14:paraId="5F2D6072" w14:textId="77777777" w:rsidR="00E836FB" w:rsidRDefault="00E836FB">
            <w:pPr>
              <w:rPr>
                <w:rFonts w:ascii="宋体"/>
                <w:vanish/>
              </w:rPr>
            </w:pPr>
          </w:p>
        </w:tc>
        <w:tc>
          <w:tcPr>
            <w:tcW w:w="0" w:type="auto"/>
            <w:gridSpan w:val="3"/>
            <w:shd w:val="clear" w:color="auto" w:fill="auto"/>
            <w:vAlign w:val="bottom"/>
          </w:tcPr>
          <w:p w14:paraId="5F2D6073" w14:textId="77777777" w:rsidR="00E836FB" w:rsidRDefault="00E836FB">
            <w:pPr>
              <w:rPr>
                <w:rFonts w:ascii="宋体"/>
                <w:vanish/>
              </w:rPr>
            </w:pPr>
          </w:p>
        </w:tc>
        <w:tc>
          <w:tcPr>
            <w:tcW w:w="0" w:type="auto"/>
            <w:gridSpan w:val="3"/>
            <w:shd w:val="clear" w:color="auto" w:fill="auto"/>
            <w:vAlign w:val="bottom"/>
          </w:tcPr>
          <w:p w14:paraId="5F2D6074" w14:textId="77777777" w:rsidR="00E836FB" w:rsidRDefault="00E836FB">
            <w:pPr>
              <w:rPr>
                <w:rFonts w:ascii="宋体"/>
                <w:vanish/>
              </w:rPr>
            </w:pPr>
          </w:p>
        </w:tc>
        <w:tc>
          <w:tcPr>
            <w:tcW w:w="0" w:type="auto"/>
            <w:gridSpan w:val="3"/>
            <w:shd w:val="clear" w:color="auto" w:fill="auto"/>
            <w:vAlign w:val="bottom"/>
          </w:tcPr>
          <w:p w14:paraId="5F2D6075" w14:textId="77777777" w:rsidR="00E836FB" w:rsidRDefault="00E836FB">
            <w:pPr>
              <w:rPr>
                <w:rFonts w:ascii="宋体"/>
                <w:vanish/>
              </w:rPr>
            </w:pPr>
          </w:p>
        </w:tc>
        <w:tc>
          <w:tcPr>
            <w:tcW w:w="0" w:type="auto"/>
            <w:gridSpan w:val="3"/>
            <w:shd w:val="clear" w:color="auto" w:fill="auto"/>
            <w:vAlign w:val="bottom"/>
          </w:tcPr>
          <w:p w14:paraId="5F2D6076" w14:textId="77777777" w:rsidR="00E836FB" w:rsidRDefault="00E836FB">
            <w:pPr>
              <w:rPr>
                <w:rFonts w:ascii="宋体"/>
                <w:vanish/>
              </w:rPr>
            </w:pPr>
          </w:p>
        </w:tc>
        <w:tc>
          <w:tcPr>
            <w:tcW w:w="0" w:type="auto"/>
            <w:gridSpan w:val="3"/>
            <w:shd w:val="clear" w:color="auto" w:fill="auto"/>
            <w:vAlign w:val="bottom"/>
          </w:tcPr>
          <w:p w14:paraId="5F2D6077" w14:textId="77777777" w:rsidR="00E836FB" w:rsidRDefault="00E836FB">
            <w:pPr>
              <w:rPr>
                <w:rFonts w:ascii="宋体"/>
                <w:vanish/>
              </w:rPr>
            </w:pPr>
          </w:p>
        </w:tc>
        <w:tc>
          <w:tcPr>
            <w:tcW w:w="0" w:type="auto"/>
            <w:gridSpan w:val="3"/>
            <w:shd w:val="clear" w:color="auto" w:fill="auto"/>
            <w:vAlign w:val="bottom"/>
          </w:tcPr>
          <w:p w14:paraId="5F2D6078" w14:textId="77777777" w:rsidR="00E836FB" w:rsidRDefault="00E836FB">
            <w:pPr>
              <w:rPr>
                <w:rFonts w:ascii="宋体"/>
                <w:vanish/>
              </w:rPr>
            </w:pPr>
          </w:p>
        </w:tc>
        <w:tc>
          <w:tcPr>
            <w:tcW w:w="0" w:type="auto"/>
            <w:gridSpan w:val="3"/>
            <w:shd w:val="clear" w:color="auto" w:fill="auto"/>
            <w:vAlign w:val="bottom"/>
          </w:tcPr>
          <w:p w14:paraId="5F2D6079" w14:textId="77777777" w:rsidR="00E836FB" w:rsidRDefault="00E836FB">
            <w:pPr>
              <w:rPr>
                <w:rFonts w:ascii="宋体"/>
                <w:vanish/>
              </w:rPr>
            </w:pPr>
          </w:p>
        </w:tc>
        <w:tc>
          <w:tcPr>
            <w:tcW w:w="0" w:type="auto"/>
            <w:gridSpan w:val="3"/>
            <w:shd w:val="clear" w:color="auto" w:fill="auto"/>
            <w:vAlign w:val="bottom"/>
          </w:tcPr>
          <w:p w14:paraId="5F2D607A" w14:textId="77777777" w:rsidR="00E836FB" w:rsidRDefault="00E836FB">
            <w:pPr>
              <w:rPr>
                <w:rFonts w:ascii="宋体"/>
                <w:vanish/>
              </w:rPr>
            </w:pPr>
          </w:p>
        </w:tc>
        <w:tc>
          <w:tcPr>
            <w:tcW w:w="0" w:type="auto"/>
            <w:gridSpan w:val="3"/>
            <w:shd w:val="clear" w:color="auto" w:fill="auto"/>
            <w:vAlign w:val="bottom"/>
          </w:tcPr>
          <w:p w14:paraId="5F2D607B" w14:textId="77777777" w:rsidR="00E836FB" w:rsidRDefault="00E836FB">
            <w:pPr>
              <w:rPr>
                <w:rFonts w:ascii="宋体"/>
                <w:vanish/>
              </w:rPr>
            </w:pPr>
          </w:p>
        </w:tc>
        <w:tc>
          <w:tcPr>
            <w:tcW w:w="0" w:type="auto"/>
            <w:gridSpan w:val="3"/>
            <w:shd w:val="clear" w:color="auto" w:fill="auto"/>
            <w:vAlign w:val="bottom"/>
          </w:tcPr>
          <w:p w14:paraId="5F2D607C" w14:textId="77777777" w:rsidR="00E836FB" w:rsidRDefault="00E836FB">
            <w:pPr>
              <w:rPr>
                <w:rFonts w:ascii="宋体"/>
                <w:vanish/>
              </w:rPr>
            </w:pPr>
          </w:p>
        </w:tc>
        <w:tc>
          <w:tcPr>
            <w:tcW w:w="0" w:type="auto"/>
            <w:gridSpan w:val="3"/>
            <w:shd w:val="clear" w:color="auto" w:fill="auto"/>
            <w:vAlign w:val="bottom"/>
          </w:tcPr>
          <w:p w14:paraId="5F2D607D" w14:textId="77777777" w:rsidR="00E836FB" w:rsidRDefault="00E836FB">
            <w:pPr>
              <w:rPr>
                <w:rFonts w:ascii="宋体"/>
                <w:vanish/>
              </w:rPr>
            </w:pPr>
          </w:p>
        </w:tc>
        <w:tc>
          <w:tcPr>
            <w:tcW w:w="0" w:type="auto"/>
            <w:gridSpan w:val="3"/>
            <w:shd w:val="clear" w:color="auto" w:fill="auto"/>
            <w:vAlign w:val="bottom"/>
          </w:tcPr>
          <w:p w14:paraId="5F2D607E" w14:textId="77777777" w:rsidR="00E836FB" w:rsidRDefault="00E836FB">
            <w:pPr>
              <w:rPr>
                <w:rFonts w:ascii="宋体"/>
                <w:vanish/>
              </w:rPr>
            </w:pPr>
          </w:p>
        </w:tc>
        <w:tc>
          <w:tcPr>
            <w:tcW w:w="0" w:type="auto"/>
            <w:gridSpan w:val="3"/>
            <w:shd w:val="clear" w:color="auto" w:fill="auto"/>
            <w:vAlign w:val="bottom"/>
          </w:tcPr>
          <w:p w14:paraId="5F2D607F" w14:textId="77777777" w:rsidR="00E836FB" w:rsidRDefault="00E836FB">
            <w:pPr>
              <w:rPr>
                <w:rFonts w:ascii="宋体"/>
                <w:vanish/>
              </w:rPr>
            </w:pPr>
          </w:p>
        </w:tc>
        <w:tc>
          <w:tcPr>
            <w:tcW w:w="0" w:type="auto"/>
            <w:gridSpan w:val="3"/>
            <w:shd w:val="clear" w:color="auto" w:fill="auto"/>
            <w:vAlign w:val="bottom"/>
          </w:tcPr>
          <w:p w14:paraId="5F2D6080" w14:textId="77777777" w:rsidR="00E836FB" w:rsidRDefault="00E836FB">
            <w:pPr>
              <w:rPr>
                <w:rFonts w:ascii="宋体"/>
                <w:vanish/>
              </w:rPr>
            </w:pPr>
          </w:p>
        </w:tc>
        <w:tc>
          <w:tcPr>
            <w:tcW w:w="0" w:type="auto"/>
            <w:gridSpan w:val="3"/>
            <w:shd w:val="clear" w:color="auto" w:fill="auto"/>
            <w:vAlign w:val="bottom"/>
          </w:tcPr>
          <w:p w14:paraId="5F2D6081" w14:textId="77777777" w:rsidR="00E836FB" w:rsidRDefault="00E836FB">
            <w:pPr>
              <w:rPr>
                <w:rFonts w:ascii="宋体"/>
                <w:vanish/>
              </w:rPr>
            </w:pPr>
          </w:p>
        </w:tc>
        <w:tc>
          <w:tcPr>
            <w:tcW w:w="0" w:type="auto"/>
            <w:gridSpan w:val="3"/>
            <w:shd w:val="clear" w:color="auto" w:fill="auto"/>
            <w:vAlign w:val="bottom"/>
          </w:tcPr>
          <w:p w14:paraId="5F2D6082" w14:textId="77777777" w:rsidR="00E836FB" w:rsidRDefault="00E836FB">
            <w:pPr>
              <w:rPr>
                <w:rFonts w:ascii="宋体"/>
                <w:vanish/>
              </w:rPr>
            </w:pPr>
          </w:p>
        </w:tc>
        <w:tc>
          <w:tcPr>
            <w:tcW w:w="0" w:type="auto"/>
            <w:gridSpan w:val="3"/>
            <w:shd w:val="clear" w:color="auto" w:fill="auto"/>
            <w:vAlign w:val="bottom"/>
          </w:tcPr>
          <w:p w14:paraId="5F2D6083" w14:textId="77777777" w:rsidR="00E836FB" w:rsidRDefault="00E836FB">
            <w:pPr>
              <w:rPr>
                <w:rFonts w:ascii="宋体"/>
                <w:vanish/>
              </w:rPr>
            </w:pPr>
          </w:p>
        </w:tc>
      </w:tr>
      <w:tr w:rsidR="00E836FB" w14:paraId="5F2D60A0" w14:textId="77777777">
        <w:tc>
          <w:tcPr>
            <w:tcW w:w="0" w:type="auto"/>
            <w:gridSpan w:val="3"/>
            <w:shd w:val="clear" w:color="auto" w:fill="FFFFFF"/>
            <w:tcMar>
              <w:top w:w="40" w:type="dxa"/>
              <w:left w:w="20" w:type="dxa"/>
              <w:bottom w:w="40" w:type="dxa"/>
              <w:right w:w="20" w:type="dxa"/>
            </w:tcMar>
            <w:vAlign w:val="bottom"/>
          </w:tcPr>
          <w:p w14:paraId="5F2D6085" w14:textId="77777777" w:rsidR="00E836FB" w:rsidRDefault="00994958">
            <w:pPr>
              <w:textAlignment w:val="bottom"/>
            </w:pPr>
            <w:r>
              <w:rPr>
                <w:rFonts w:ascii="Arial" w:eastAsia="宋体" w:hAnsi="Arial" w:cs="Arial"/>
                <w:color w:val="000000"/>
                <w:sz w:val="14"/>
                <w:szCs w:val="14"/>
              </w:rPr>
              <w:t>Trading account assets</w:t>
            </w:r>
          </w:p>
        </w:tc>
        <w:tc>
          <w:tcPr>
            <w:tcW w:w="0" w:type="auto"/>
            <w:gridSpan w:val="2"/>
            <w:shd w:val="clear" w:color="auto" w:fill="FFFFFF"/>
            <w:tcMar>
              <w:top w:w="40" w:type="dxa"/>
              <w:left w:w="20" w:type="dxa"/>
              <w:bottom w:w="40" w:type="dxa"/>
              <w:right w:w="0" w:type="dxa"/>
            </w:tcMar>
            <w:vAlign w:val="bottom"/>
          </w:tcPr>
          <w:p w14:paraId="5F2D6086" w14:textId="77777777" w:rsidR="00E836FB" w:rsidRDefault="00994958">
            <w:pPr>
              <w:jc w:val="right"/>
              <w:textAlignment w:val="bottom"/>
            </w:pPr>
            <w:r>
              <w:rPr>
                <w:rFonts w:ascii="Arial" w:eastAsia="宋体" w:hAnsi="Arial" w:cs="Arial"/>
                <w:b/>
                <w:bCs/>
                <w:color w:val="000000"/>
                <w:sz w:val="14"/>
                <w:szCs w:val="14"/>
              </w:rPr>
              <w:t>752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8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8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8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8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8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8C" w14:textId="77777777" w:rsidR="00E836FB" w:rsidRDefault="00994958">
            <w:pPr>
              <w:jc w:val="right"/>
              <w:textAlignment w:val="bottom"/>
            </w:pPr>
            <w:r>
              <w:rPr>
                <w:rFonts w:ascii="Arial" w:eastAsia="宋体" w:hAnsi="Arial" w:cs="Arial"/>
                <w:b/>
                <w:bCs/>
                <w:color w:val="000000"/>
                <w:sz w:val="14"/>
                <w:szCs w:val="14"/>
              </w:rPr>
              <w:t>.01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8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8F" w14:textId="77777777" w:rsidR="00E836FB" w:rsidRDefault="00994958">
            <w:pPr>
              <w:jc w:val="right"/>
              <w:textAlignment w:val="bottom"/>
            </w:pPr>
            <w:r>
              <w:rPr>
                <w:rFonts w:ascii="Arial" w:eastAsia="宋体" w:hAnsi="Arial" w:cs="Arial"/>
                <w:color w:val="000000"/>
                <w:sz w:val="14"/>
                <w:szCs w:val="14"/>
              </w:rPr>
              <w:t>878 </w:t>
            </w:r>
          </w:p>
        </w:tc>
        <w:tc>
          <w:tcPr>
            <w:tcW w:w="0" w:type="auto"/>
            <w:shd w:val="clear" w:color="auto" w:fill="FFFFFF"/>
            <w:tcMar>
              <w:top w:w="40" w:type="dxa"/>
              <w:left w:w="0" w:type="dxa"/>
              <w:bottom w:w="40" w:type="dxa"/>
              <w:right w:w="20" w:type="dxa"/>
            </w:tcMar>
            <w:vAlign w:val="bottom"/>
          </w:tcPr>
          <w:p w14:paraId="5F2D609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9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92"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9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9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95"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9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98" w14:textId="77777777" w:rsidR="00E836FB" w:rsidRDefault="00994958">
            <w:pPr>
              <w:jc w:val="right"/>
              <w:textAlignment w:val="bottom"/>
            </w:pPr>
            <w:r>
              <w:rPr>
                <w:rFonts w:ascii="Arial" w:eastAsia="宋体" w:hAnsi="Arial" w:cs="Arial"/>
                <w:color w:val="000000"/>
                <w:sz w:val="14"/>
                <w:szCs w:val="14"/>
              </w:rPr>
              <w:t>884 </w:t>
            </w:r>
          </w:p>
        </w:tc>
        <w:tc>
          <w:tcPr>
            <w:tcW w:w="0" w:type="auto"/>
            <w:shd w:val="clear" w:color="auto" w:fill="FFFFFF"/>
            <w:tcMar>
              <w:top w:w="40" w:type="dxa"/>
              <w:left w:w="0" w:type="dxa"/>
              <w:bottom w:w="40" w:type="dxa"/>
              <w:right w:w="20" w:type="dxa"/>
            </w:tcMar>
            <w:vAlign w:val="bottom"/>
          </w:tcPr>
          <w:p w14:paraId="5F2D60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9B" w14:textId="77777777" w:rsidR="00E836FB" w:rsidRDefault="00994958">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F2D609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9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9E" w14:textId="77777777" w:rsidR="00E836FB" w:rsidRDefault="00994958">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5F2D609F" w14:textId="77777777" w:rsidR="00E836FB" w:rsidRDefault="00E836FB">
            <w:pPr>
              <w:jc w:val="right"/>
              <w:rPr>
                <w:rFonts w:ascii="宋体"/>
              </w:rPr>
            </w:pPr>
          </w:p>
        </w:tc>
      </w:tr>
      <w:tr w:rsidR="00E836FB" w14:paraId="5F2D60B3" w14:textId="77777777">
        <w:tc>
          <w:tcPr>
            <w:tcW w:w="0" w:type="auto"/>
            <w:gridSpan w:val="3"/>
            <w:shd w:val="clear" w:color="auto" w:fill="CCEEFF"/>
            <w:tcMar>
              <w:top w:w="40" w:type="dxa"/>
              <w:left w:w="20" w:type="dxa"/>
              <w:bottom w:w="40" w:type="dxa"/>
              <w:right w:w="20" w:type="dxa"/>
            </w:tcMar>
            <w:vAlign w:val="bottom"/>
          </w:tcPr>
          <w:p w14:paraId="5F2D60A1" w14:textId="77777777" w:rsidR="00E836FB" w:rsidRDefault="00994958">
            <w:pPr>
              <w:textAlignment w:val="bottom"/>
            </w:pPr>
            <w:r>
              <w:rPr>
                <w:rFonts w:ascii="Arial" w:eastAsia="宋体" w:hAnsi="Arial" w:cs="Arial"/>
                <w:color w:val="000000"/>
                <w:sz w:val="14"/>
                <w:szCs w:val="14"/>
              </w:rPr>
              <w:t>Investment securities:</w:t>
            </w:r>
          </w:p>
        </w:tc>
        <w:tc>
          <w:tcPr>
            <w:tcW w:w="0" w:type="auto"/>
            <w:gridSpan w:val="3"/>
            <w:shd w:val="clear" w:color="auto" w:fill="CCEEFF"/>
            <w:tcMar>
              <w:top w:w="0" w:type="dxa"/>
              <w:left w:w="20" w:type="dxa"/>
              <w:bottom w:w="0" w:type="dxa"/>
              <w:right w:w="20" w:type="dxa"/>
            </w:tcMar>
            <w:vAlign w:val="bottom"/>
          </w:tcPr>
          <w:p w14:paraId="5F2D60A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A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B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B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0B2" w14:textId="77777777" w:rsidR="00E836FB" w:rsidRDefault="00E836FB">
            <w:pPr>
              <w:rPr>
                <w:rFonts w:ascii="宋体"/>
              </w:rPr>
            </w:pPr>
          </w:p>
        </w:tc>
      </w:tr>
      <w:tr w:rsidR="00E836FB" w14:paraId="5F2D60CF" w14:textId="77777777">
        <w:tc>
          <w:tcPr>
            <w:tcW w:w="0" w:type="auto"/>
            <w:gridSpan w:val="3"/>
            <w:shd w:val="clear" w:color="auto" w:fill="FFFFFF"/>
            <w:tcMar>
              <w:top w:w="40" w:type="dxa"/>
              <w:left w:w="20" w:type="dxa"/>
              <w:bottom w:w="40" w:type="dxa"/>
              <w:right w:w="20" w:type="dxa"/>
            </w:tcMar>
            <w:vAlign w:val="bottom"/>
          </w:tcPr>
          <w:p w14:paraId="5F2D60B4" w14:textId="77777777" w:rsidR="00E836FB" w:rsidRDefault="00994958">
            <w:pPr>
              <w:textAlignment w:val="bottom"/>
            </w:pPr>
            <w:r>
              <w:rPr>
                <w:rFonts w:ascii="Arial" w:eastAsia="宋体" w:hAnsi="Arial" w:cs="Arial"/>
                <w:color w:val="000000"/>
                <w:sz w:val="14"/>
                <w:szCs w:val="14"/>
              </w:rPr>
              <w:t>U.S. Treasury and federal agencies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F2D60B5" w14:textId="77777777" w:rsidR="00E836FB" w:rsidRDefault="00994958">
            <w:pPr>
              <w:jc w:val="right"/>
              <w:textAlignment w:val="bottom"/>
            </w:pPr>
            <w:r>
              <w:rPr>
                <w:rFonts w:ascii="Arial" w:eastAsia="宋体" w:hAnsi="Arial" w:cs="Arial"/>
                <w:b/>
                <w:bCs/>
                <w:color w:val="000000"/>
                <w:sz w:val="14"/>
                <w:szCs w:val="14"/>
              </w:rPr>
              <w:t>66,195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B8" w14:textId="77777777" w:rsidR="00E836FB" w:rsidRDefault="00994958">
            <w:pPr>
              <w:jc w:val="right"/>
              <w:textAlignment w:val="bottom"/>
            </w:pPr>
            <w:r>
              <w:rPr>
                <w:rFonts w:ascii="Arial" w:eastAsia="宋体" w:hAnsi="Arial" w:cs="Arial"/>
                <w:b/>
                <w:bCs/>
                <w:color w:val="000000"/>
                <w:sz w:val="14"/>
                <w:szCs w:val="14"/>
              </w:rPr>
              <w:t>873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BB" w14:textId="77777777" w:rsidR="00E836FB" w:rsidRDefault="00994958">
            <w:pPr>
              <w:jc w:val="right"/>
              <w:textAlignment w:val="bottom"/>
            </w:pPr>
            <w:r>
              <w:rPr>
                <w:rFonts w:ascii="Arial" w:eastAsia="宋体" w:hAnsi="Arial" w:cs="Arial"/>
                <w:b/>
                <w:bCs/>
                <w:color w:val="000000"/>
                <w:sz w:val="14"/>
                <w:szCs w:val="14"/>
              </w:rPr>
              <w:t>1.32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BE" w14:textId="77777777" w:rsidR="00E836FB" w:rsidRDefault="00994958">
            <w:pPr>
              <w:jc w:val="right"/>
              <w:textAlignment w:val="bottom"/>
            </w:pPr>
            <w:r>
              <w:rPr>
                <w:rFonts w:ascii="Arial" w:eastAsia="宋体" w:hAnsi="Arial" w:cs="Arial"/>
                <w:color w:val="000000"/>
                <w:sz w:val="14"/>
                <w:szCs w:val="14"/>
              </w:rPr>
              <w:t>60,816 </w:t>
            </w:r>
          </w:p>
        </w:tc>
        <w:tc>
          <w:tcPr>
            <w:tcW w:w="0" w:type="auto"/>
            <w:shd w:val="clear" w:color="auto" w:fill="FFFFFF"/>
            <w:tcMar>
              <w:top w:w="40" w:type="dxa"/>
              <w:left w:w="0" w:type="dxa"/>
              <w:bottom w:w="40" w:type="dxa"/>
              <w:right w:w="20" w:type="dxa"/>
            </w:tcMar>
            <w:vAlign w:val="bottom"/>
          </w:tcPr>
          <w:p w14:paraId="5F2D60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C1" w14:textId="77777777" w:rsidR="00E836FB" w:rsidRDefault="00994958">
            <w:pPr>
              <w:jc w:val="right"/>
              <w:textAlignment w:val="bottom"/>
            </w:pPr>
            <w:r>
              <w:rPr>
                <w:rFonts w:ascii="Arial" w:eastAsia="宋体" w:hAnsi="Arial" w:cs="Arial"/>
                <w:color w:val="000000"/>
                <w:sz w:val="14"/>
                <w:szCs w:val="14"/>
              </w:rPr>
              <w:t>1,174 </w:t>
            </w:r>
          </w:p>
        </w:tc>
        <w:tc>
          <w:tcPr>
            <w:tcW w:w="0" w:type="auto"/>
            <w:shd w:val="clear" w:color="auto" w:fill="FFFFFF"/>
            <w:tcMar>
              <w:top w:w="40" w:type="dxa"/>
              <w:left w:w="0" w:type="dxa"/>
              <w:bottom w:w="40" w:type="dxa"/>
              <w:right w:w="20" w:type="dxa"/>
            </w:tcMar>
            <w:vAlign w:val="bottom"/>
          </w:tcPr>
          <w:p w14:paraId="5F2D60C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C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C4" w14:textId="77777777" w:rsidR="00E836FB" w:rsidRDefault="00994958">
            <w:pPr>
              <w:jc w:val="right"/>
              <w:textAlignment w:val="bottom"/>
            </w:pPr>
            <w:r>
              <w:rPr>
                <w:rFonts w:ascii="Arial" w:eastAsia="宋体" w:hAnsi="Arial" w:cs="Arial"/>
                <w:color w:val="000000"/>
                <w:sz w:val="14"/>
                <w:szCs w:val="14"/>
              </w:rPr>
              <w:t>1.93 </w:t>
            </w:r>
          </w:p>
        </w:tc>
        <w:tc>
          <w:tcPr>
            <w:tcW w:w="0" w:type="auto"/>
            <w:shd w:val="clear" w:color="auto" w:fill="FFFFFF"/>
            <w:tcMar>
              <w:top w:w="40" w:type="dxa"/>
              <w:left w:w="0" w:type="dxa"/>
              <w:bottom w:w="40" w:type="dxa"/>
              <w:right w:w="20" w:type="dxa"/>
            </w:tcMar>
            <w:vAlign w:val="bottom"/>
          </w:tcPr>
          <w:p w14:paraId="5F2D60C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C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C7" w14:textId="77777777" w:rsidR="00E836FB" w:rsidRDefault="00994958">
            <w:pPr>
              <w:jc w:val="right"/>
              <w:textAlignment w:val="bottom"/>
            </w:pPr>
            <w:r>
              <w:rPr>
                <w:rFonts w:ascii="Arial" w:eastAsia="宋体" w:hAnsi="Arial" w:cs="Arial"/>
                <w:color w:val="000000"/>
                <w:sz w:val="14"/>
                <w:szCs w:val="14"/>
              </w:rPr>
              <w:t>56,639 </w:t>
            </w:r>
          </w:p>
        </w:tc>
        <w:tc>
          <w:tcPr>
            <w:tcW w:w="0" w:type="auto"/>
            <w:shd w:val="clear" w:color="auto" w:fill="FFFFFF"/>
            <w:tcMar>
              <w:top w:w="40" w:type="dxa"/>
              <w:left w:w="0" w:type="dxa"/>
              <w:bottom w:w="40" w:type="dxa"/>
              <w:right w:w="20" w:type="dxa"/>
            </w:tcMar>
            <w:vAlign w:val="bottom"/>
          </w:tcPr>
          <w:p w14:paraId="5F2D60C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C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CA" w14:textId="77777777" w:rsidR="00E836FB" w:rsidRDefault="00994958">
            <w:pPr>
              <w:jc w:val="right"/>
              <w:textAlignment w:val="bottom"/>
            </w:pPr>
            <w:r>
              <w:rPr>
                <w:rFonts w:ascii="Arial" w:eastAsia="宋体" w:hAnsi="Arial" w:cs="Arial"/>
                <w:color w:val="000000"/>
                <w:sz w:val="14"/>
                <w:szCs w:val="14"/>
              </w:rPr>
              <w:t>1,443 </w:t>
            </w:r>
          </w:p>
        </w:tc>
        <w:tc>
          <w:tcPr>
            <w:tcW w:w="0" w:type="auto"/>
            <w:shd w:val="clear" w:color="auto" w:fill="FFFFFF"/>
            <w:tcMar>
              <w:top w:w="40" w:type="dxa"/>
              <w:left w:w="0" w:type="dxa"/>
              <w:bottom w:w="40" w:type="dxa"/>
              <w:right w:w="20" w:type="dxa"/>
            </w:tcMar>
            <w:vAlign w:val="bottom"/>
          </w:tcPr>
          <w:p w14:paraId="5F2D60C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C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CD" w14:textId="77777777" w:rsidR="00E836FB" w:rsidRDefault="00994958">
            <w:pPr>
              <w:jc w:val="right"/>
              <w:textAlignment w:val="bottom"/>
            </w:pPr>
            <w:r>
              <w:rPr>
                <w:rFonts w:ascii="Arial" w:eastAsia="宋体" w:hAnsi="Arial" w:cs="Arial"/>
                <w:color w:val="000000"/>
                <w:sz w:val="14"/>
                <w:szCs w:val="14"/>
              </w:rPr>
              <w:t>2.55 </w:t>
            </w:r>
          </w:p>
        </w:tc>
        <w:tc>
          <w:tcPr>
            <w:tcW w:w="0" w:type="auto"/>
            <w:shd w:val="clear" w:color="auto" w:fill="FFFFFF"/>
            <w:tcMar>
              <w:top w:w="40" w:type="dxa"/>
              <w:left w:w="0" w:type="dxa"/>
              <w:bottom w:w="40" w:type="dxa"/>
              <w:right w:w="20" w:type="dxa"/>
            </w:tcMar>
            <w:vAlign w:val="bottom"/>
          </w:tcPr>
          <w:p w14:paraId="5F2D60CE" w14:textId="77777777" w:rsidR="00E836FB" w:rsidRDefault="00E836FB">
            <w:pPr>
              <w:jc w:val="right"/>
              <w:rPr>
                <w:rFonts w:ascii="宋体"/>
              </w:rPr>
            </w:pPr>
          </w:p>
        </w:tc>
      </w:tr>
      <w:tr w:rsidR="00E836FB" w14:paraId="5F2D60EB" w14:textId="77777777">
        <w:tc>
          <w:tcPr>
            <w:tcW w:w="0" w:type="auto"/>
            <w:gridSpan w:val="3"/>
            <w:shd w:val="clear" w:color="auto" w:fill="CCEEFF"/>
            <w:tcMar>
              <w:top w:w="40" w:type="dxa"/>
              <w:left w:w="20" w:type="dxa"/>
              <w:bottom w:w="40" w:type="dxa"/>
              <w:right w:w="20" w:type="dxa"/>
            </w:tcMar>
            <w:vAlign w:val="bottom"/>
          </w:tcPr>
          <w:p w14:paraId="5F2D60D0" w14:textId="77777777" w:rsidR="00E836FB" w:rsidRDefault="00994958">
            <w:pPr>
              <w:textAlignment w:val="bottom"/>
            </w:pPr>
            <w:r>
              <w:rPr>
                <w:rFonts w:ascii="Arial" w:eastAsia="宋体" w:hAnsi="Arial" w:cs="Arial"/>
                <w:color w:val="000000"/>
                <w:sz w:val="14"/>
                <w:szCs w:val="14"/>
              </w:rPr>
              <w:t>State and political subdivisions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F2D60D1" w14:textId="77777777" w:rsidR="00E836FB" w:rsidRDefault="00994958">
            <w:pPr>
              <w:jc w:val="right"/>
              <w:textAlignment w:val="bottom"/>
            </w:pPr>
            <w:r>
              <w:rPr>
                <w:rFonts w:ascii="Arial" w:eastAsia="宋体" w:hAnsi="Arial" w:cs="Arial"/>
                <w:b/>
                <w:bCs/>
                <w:color w:val="000000"/>
                <w:sz w:val="14"/>
                <w:szCs w:val="14"/>
              </w:rPr>
              <w:t>1,451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D4" w14:textId="77777777" w:rsidR="00E836FB" w:rsidRDefault="00994958">
            <w:pPr>
              <w:jc w:val="right"/>
              <w:textAlignment w:val="bottom"/>
            </w:pPr>
            <w:r>
              <w:rPr>
                <w:rFonts w:ascii="Arial" w:eastAsia="宋体" w:hAnsi="Arial" w:cs="Arial"/>
                <w:b/>
                <w:bCs/>
                <w:color w:val="000000"/>
                <w:sz w:val="14"/>
                <w:szCs w:val="14"/>
              </w:rPr>
              <w:t>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D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D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D7" w14:textId="77777777" w:rsidR="00E836FB" w:rsidRDefault="00994958">
            <w:pPr>
              <w:jc w:val="right"/>
              <w:textAlignment w:val="bottom"/>
            </w:pPr>
            <w:r>
              <w:rPr>
                <w:rFonts w:ascii="Arial" w:eastAsia="宋体" w:hAnsi="Arial" w:cs="Arial"/>
                <w:b/>
                <w:bCs/>
                <w:color w:val="000000"/>
                <w:sz w:val="14"/>
                <w:szCs w:val="14"/>
              </w:rPr>
              <w:t>3.06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0D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D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DA" w14:textId="77777777" w:rsidR="00E836FB" w:rsidRDefault="00994958">
            <w:pPr>
              <w:jc w:val="right"/>
              <w:textAlignment w:val="bottom"/>
            </w:pPr>
            <w:r>
              <w:rPr>
                <w:rFonts w:ascii="Arial" w:eastAsia="宋体" w:hAnsi="Arial" w:cs="Arial"/>
                <w:color w:val="000000"/>
                <w:sz w:val="14"/>
                <w:szCs w:val="14"/>
              </w:rPr>
              <w:t>1,717 </w:t>
            </w:r>
          </w:p>
        </w:tc>
        <w:tc>
          <w:tcPr>
            <w:tcW w:w="0" w:type="auto"/>
            <w:shd w:val="clear" w:color="auto" w:fill="CCEEFF"/>
            <w:tcMar>
              <w:top w:w="40" w:type="dxa"/>
              <w:left w:w="0" w:type="dxa"/>
              <w:bottom w:w="40" w:type="dxa"/>
              <w:right w:w="20" w:type="dxa"/>
            </w:tcMar>
            <w:vAlign w:val="bottom"/>
          </w:tcPr>
          <w:p w14:paraId="5F2D60D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D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DD" w14:textId="77777777" w:rsidR="00E836FB" w:rsidRDefault="00994958">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5F2D60D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D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E0" w14:textId="77777777" w:rsidR="00E836FB" w:rsidRDefault="00994958">
            <w:pPr>
              <w:jc w:val="right"/>
              <w:textAlignment w:val="bottom"/>
            </w:pPr>
            <w:r>
              <w:rPr>
                <w:rFonts w:ascii="Arial" w:eastAsia="宋体" w:hAnsi="Arial" w:cs="Arial"/>
                <w:color w:val="000000"/>
                <w:sz w:val="14"/>
                <w:szCs w:val="14"/>
              </w:rPr>
              <w:t>2.95 </w:t>
            </w:r>
          </w:p>
        </w:tc>
        <w:tc>
          <w:tcPr>
            <w:tcW w:w="0" w:type="auto"/>
            <w:shd w:val="clear" w:color="auto" w:fill="CCEEFF"/>
            <w:tcMar>
              <w:top w:w="40" w:type="dxa"/>
              <w:left w:w="0" w:type="dxa"/>
              <w:bottom w:w="40" w:type="dxa"/>
              <w:right w:w="20" w:type="dxa"/>
            </w:tcMar>
            <w:vAlign w:val="bottom"/>
          </w:tcPr>
          <w:p w14:paraId="5F2D60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E3" w14:textId="77777777" w:rsidR="00E836FB" w:rsidRDefault="00994958">
            <w:pPr>
              <w:jc w:val="right"/>
              <w:textAlignment w:val="bottom"/>
            </w:pPr>
            <w:r>
              <w:rPr>
                <w:rFonts w:ascii="Arial" w:eastAsia="宋体" w:hAnsi="Arial" w:cs="Arial"/>
                <w:color w:val="000000"/>
                <w:sz w:val="14"/>
                <w:szCs w:val="14"/>
              </w:rPr>
              <w:t>1,869 </w:t>
            </w:r>
          </w:p>
        </w:tc>
        <w:tc>
          <w:tcPr>
            <w:tcW w:w="0" w:type="auto"/>
            <w:shd w:val="clear" w:color="auto" w:fill="CCEEFF"/>
            <w:tcMar>
              <w:top w:w="40" w:type="dxa"/>
              <w:left w:w="0" w:type="dxa"/>
              <w:bottom w:w="40" w:type="dxa"/>
              <w:right w:w="20" w:type="dxa"/>
            </w:tcMar>
            <w:vAlign w:val="bottom"/>
          </w:tcPr>
          <w:p w14:paraId="5F2D60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E6" w14:textId="77777777" w:rsidR="00E836FB" w:rsidRDefault="00994958">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5F2D60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0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0E9" w14:textId="77777777" w:rsidR="00E836FB" w:rsidRDefault="00994958">
            <w:pPr>
              <w:jc w:val="right"/>
              <w:textAlignment w:val="bottom"/>
            </w:pPr>
            <w:r>
              <w:rPr>
                <w:rFonts w:ascii="Arial" w:eastAsia="宋体" w:hAnsi="Arial" w:cs="Arial"/>
                <w:color w:val="000000"/>
                <w:sz w:val="14"/>
                <w:szCs w:val="14"/>
              </w:rPr>
              <w:t>3.31 </w:t>
            </w:r>
          </w:p>
        </w:tc>
        <w:tc>
          <w:tcPr>
            <w:tcW w:w="0" w:type="auto"/>
            <w:shd w:val="clear" w:color="auto" w:fill="CCEEFF"/>
            <w:tcMar>
              <w:top w:w="40" w:type="dxa"/>
              <w:left w:w="0" w:type="dxa"/>
              <w:bottom w:w="40" w:type="dxa"/>
              <w:right w:w="20" w:type="dxa"/>
            </w:tcMar>
            <w:vAlign w:val="bottom"/>
          </w:tcPr>
          <w:p w14:paraId="5F2D60EA" w14:textId="77777777" w:rsidR="00E836FB" w:rsidRDefault="00E836FB">
            <w:pPr>
              <w:jc w:val="right"/>
              <w:rPr>
                <w:rFonts w:ascii="宋体"/>
              </w:rPr>
            </w:pPr>
          </w:p>
        </w:tc>
      </w:tr>
      <w:tr w:rsidR="00E836FB" w14:paraId="5F2D6107" w14:textId="77777777">
        <w:tc>
          <w:tcPr>
            <w:tcW w:w="0" w:type="auto"/>
            <w:gridSpan w:val="3"/>
            <w:shd w:val="clear" w:color="auto" w:fill="FFFFFF"/>
            <w:tcMar>
              <w:top w:w="40" w:type="dxa"/>
              <w:left w:w="155" w:type="dxa"/>
              <w:bottom w:w="40" w:type="dxa"/>
              <w:right w:w="20" w:type="dxa"/>
            </w:tcMar>
            <w:vAlign w:val="bottom"/>
          </w:tcPr>
          <w:p w14:paraId="5F2D60EC" w14:textId="77777777" w:rsidR="00E836FB" w:rsidRDefault="00994958">
            <w:pPr>
              <w:textAlignment w:val="bottom"/>
            </w:pPr>
            <w:r>
              <w:rPr>
                <w:rFonts w:ascii="Arial" w:eastAsia="宋体" w:hAnsi="Arial" w:cs="Arial"/>
                <w:color w:val="000000"/>
                <w:sz w:val="14"/>
                <w:szCs w:val="14"/>
              </w:rPr>
              <w:t>Other investments</w:t>
            </w:r>
          </w:p>
        </w:tc>
        <w:tc>
          <w:tcPr>
            <w:tcW w:w="0" w:type="auto"/>
            <w:gridSpan w:val="2"/>
            <w:shd w:val="clear" w:color="auto" w:fill="FFFFFF"/>
            <w:tcMar>
              <w:top w:w="40" w:type="dxa"/>
              <w:left w:w="20" w:type="dxa"/>
              <w:bottom w:w="40" w:type="dxa"/>
              <w:right w:w="0" w:type="dxa"/>
            </w:tcMar>
            <w:vAlign w:val="bottom"/>
          </w:tcPr>
          <w:p w14:paraId="5F2D60ED" w14:textId="77777777" w:rsidR="00E836FB" w:rsidRDefault="00994958">
            <w:pPr>
              <w:jc w:val="right"/>
              <w:textAlignment w:val="bottom"/>
            </w:pPr>
            <w:r>
              <w:rPr>
                <w:rFonts w:ascii="Arial" w:eastAsia="宋体" w:hAnsi="Arial" w:cs="Arial"/>
                <w:b/>
                <w:bCs/>
                <w:color w:val="000000"/>
                <w:sz w:val="14"/>
                <w:szCs w:val="14"/>
              </w:rPr>
              <w:t>43,770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E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E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F0" w14:textId="77777777" w:rsidR="00E836FB" w:rsidRDefault="00994958">
            <w:pPr>
              <w:jc w:val="right"/>
              <w:textAlignment w:val="bottom"/>
            </w:pPr>
            <w:r>
              <w:rPr>
                <w:rFonts w:ascii="Arial" w:eastAsia="宋体" w:hAnsi="Arial" w:cs="Arial"/>
                <w:b/>
                <w:bCs/>
                <w:color w:val="000000"/>
                <w:sz w:val="14"/>
                <w:szCs w:val="14"/>
              </w:rPr>
              <w:t>331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F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F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F3" w14:textId="77777777" w:rsidR="00E836FB" w:rsidRDefault="00994958">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0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F6" w14:textId="77777777" w:rsidR="00E836FB" w:rsidRDefault="00994958">
            <w:pPr>
              <w:jc w:val="right"/>
              <w:textAlignment w:val="bottom"/>
            </w:pPr>
            <w:r>
              <w:rPr>
                <w:rFonts w:ascii="Arial" w:eastAsia="宋体" w:hAnsi="Arial" w:cs="Arial"/>
                <w:color w:val="000000"/>
                <w:sz w:val="14"/>
                <w:szCs w:val="14"/>
              </w:rPr>
              <w:t>38,459 </w:t>
            </w:r>
          </w:p>
        </w:tc>
        <w:tc>
          <w:tcPr>
            <w:tcW w:w="0" w:type="auto"/>
            <w:shd w:val="clear" w:color="auto" w:fill="FFFFFF"/>
            <w:tcMar>
              <w:top w:w="40" w:type="dxa"/>
              <w:left w:w="0" w:type="dxa"/>
              <w:bottom w:w="40" w:type="dxa"/>
              <w:right w:w="20" w:type="dxa"/>
            </w:tcMar>
            <w:vAlign w:val="bottom"/>
          </w:tcPr>
          <w:p w14:paraId="5F2D60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F9" w14:textId="77777777" w:rsidR="00E836FB" w:rsidRDefault="00994958">
            <w:pPr>
              <w:jc w:val="right"/>
              <w:textAlignment w:val="bottom"/>
            </w:pPr>
            <w:r>
              <w:rPr>
                <w:rFonts w:ascii="Arial" w:eastAsia="宋体" w:hAnsi="Arial" w:cs="Arial"/>
                <w:color w:val="000000"/>
                <w:sz w:val="14"/>
                <w:szCs w:val="14"/>
              </w:rPr>
              <w:t>366 </w:t>
            </w:r>
          </w:p>
        </w:tc>
        <w:tc>
          <w:tcPr>
            <w:tcW w:w="0" w:type="auto"/>
            <w:shd w:val="clear" w:color="auto" w:fill="FFFFFF"/>
            <w:tcMar>
              <w:top w:w="40" w:type="dxa"/>
              <w:left w:w="0" w:type="dxa"/>
              <w:bottom w:w="40" w:type="dxa"/>
              <w:right w:w="20" w:type="dxa"/>
            </w:tcMar>
            <w:vAlign w:val="bottom"/>
          </w:tcPr>
          <w:p w14:paraId="5F2D60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FC" w14:textId="77777777" w:rsidR="00E836FB" w:rsidRDefault="00994958">
            <w:pPr>
              <w:jc w:val="right"/>
              <w:textAlignment w:val="bottom"/>
            </w:pPr>
            <w:r>
              <w:rPr>
                <w:rFonts w:ascii="Arial" w:eastAsia="宋体" w:hAnsi="Arial" w:cs="Arial"/>
                <w:color w:val="000000"/>
                <w:sz w:val="14"/>
                <w:szCs w:val="14"/>
              </w:rPr>
              <w:t>.95 </w:t>
            </w:r>
          </w:p>
        </w:tc>
        <w:tc>
          <w:tcPr>
            <w:tcW w:w="0" w:type="auto"/>
            <w:shd w:val="clear" w:color="auto" w:fill="FFFFFF"/>
            <w:tcMar>
              <w:top w:w="40" w:type="dxa"/>
              <w:left w:w="0" w:type="dxa"/>
              <w:bottom w:w="40" w:type="dxa"/>
              <w:right w:w="20" w:type="dxa"/>
            </w:tcMar>
            <w:vAlign w:val="bottom"/>
          </w:tcPr>
          <w:p w14:paraId="5F2D60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0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0FF" w14:textId="77777777" w:rsidR="00E836FB" w:rsidRDefault="00994958">
            <w:pPr>
              <w:jc w:val="right"/>
              <w:textAlignment w:val="bottom"/>
            </w:pPr>
            <w:r>
              <w:rPr>
                <w:rFonts w:ascii="Arial" w:eastAsia="宋体" w:hAnsi="Arial" w:cs="Arial"/>
                <w:color w:val="000000"/>
                <w:sz w:val="14"/>
                <w:szCs w:val="14"/>
              </w:rPr>
              <w:t>33,260 </w:t>
            </w:r>
          </w:p>
        </w:tc>
        <w:tc>
          <w:tcPr>
            <w:tcW w:w="0" w:type="auto"/>
            <w:shd w:val="clear" w:color="auto" w:fill="FFFFFF"/>
            <w:tcMar>
              <w:top w:w="40" w:type="dxa"/>
              <w:left w:w="0" w:type="dxa"/>
              <w:bottom w:w="40" w:type="dxa"/>
              <w:right w:w="20" w:type="dxa"/>
            </w:tcMar>
            <w:vAlign w:val="bottom"/>
          </w:tcPr>
          <w:p w14:paraId="5F2D61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02" w14:textId="77777777" w:rsidR="00E836FB" w:rsidRDefault="00994958">
            <w:pPr>
              <w:jc w:val="right"/>
              <w:textAlignment w:val="bottom"/>
            </w:pPr>
            <w:r>
              <w:rPr>
                <w:rFonts w:ascii="Arial" w:eastAsia="宋体" w:hAnsi="Arial" w:cs="Arial"/>
                <w:color w:val="000000"/>
                <w:sz w:val="14"/>
                <w:szCs w:val="14"/>
              </w:rPr>
              <w:t>504 </w:t>
            </w:r>
          </w:p>
        </w:tc>
        <w:tc>
          <w:tcPr>
            <w:tcW w:w="0" w:type="auto"/>
            <w:shd w:val="clear" w:color="auto" w:fill="FFFFFF"/>
            <w:tcMar>
              <w:top w:w="40" w:type="dxa"/>
              <w:left w:w="0" w:type="dxa"/>
              <w:bottom w:w="40" w:type="dxa"/>
              <w:right w:w="20" w:type="dxa"/>
            </w:tcMar>
            <w:vAlign w:val="bottom"/>
          </w:tcPr>
          <w:p w14:paraId="5F2D610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0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05" w14:textId="77777777" w:rsidR="00E836FB" w:rsidRDefault="00994958">
            <w:pPr>
              <w:jc w:val="right"/>
              <w:textAlignment w:val="bottom"/>
            </w:pPr>
            <w:r>
              <w:rPr>
                <w:rFonts w:ascii="Arial" w:eastAsia="宋体" w:hAnsi="Arial" w:cs="Arial"/>
                <w:color w:val="000000"/>
                <w:sz w:val="14"/>
                <w:szCs w:val="14"/>
              </w:rPr>
              <w:t>1.51 </w:t>
            </w:r>
          </w:p>
        </w:tc>
        <w:tc>
          <w:tcPr>
            <w:tcW w:w="0" w:type="auto"/>
            <w:shd w:val="clear" w:color="auto" w:fill="FFFFFF"/>
            <w:tcMar>
              <w:top w:w="40" w:type="dxa"/>
              <w:left w:w="0" w:type="dxa"/>
              <w:bottom w:w="40" w:type="dxa"/>
              <w:right w:w="20" w:type="dxa"/>
            </w:tcMar>
            <w:vAlign w:val="bottom"/>
          </w:tcPr>
          <w:p w14:paraId="5F2D6106" w14:textId="77777777" w:rsidR="00E836FB" w:rsidRDefault="00E836FB">
            <w:pPr>
              <w:jc w:val="right"/>
              <w:rPr>
                <w:rFonts w:ascii="宋体"/>
              </w:rPr>
            </w:pPr>
          </w:p>
        </w:tc>
      </w:tr>
      <w:tr w:rsidR="00E836FB" w14:paraId="5F2D6123" w14:textId="77777777">
        <w:tc>
          <w:tcPr>
            <w:tcW w:w="0" w:type="auto"/>
            <w:gridSpan w:val="3"/>
            <w:shd w:val="clear" w:color="auto" w:fill="CCEEFF"/>
            <w:tcMar>
              <w:top w:w="40" w:type="dxa"/>
              <w:left w:w="155" w:type="dxa"/>
              <w:bottom w:w="40" w:type="dxa"/>
              <w:right w:w="20" w:type="dxa"/>
            </w:tcMar>
            <w:vAlign w:val="bottom"/>
          </w:tcPr>
          <w:p w14:paraId="5F2D6108" w14:textId="77777777" w:rsidR="00E836FB" w:rsidRDefault="00994958">
            <w:pPr>
              <w:textAlignment w:val="bottom"/>
            </w:pPr>
            <w:r>
              <w:rPr>
                <w:rFonts w:ascii="Arial" w:eastAsia="宋体" w:hAnsi="Arial" w:cs="Arial"/>
                <w:color w:val="000000"/>
                <w:sz w:val="14"/>
                <w:szCs w:val="14"/>
              </w:rPr>
              <w:t xml:space="preserve">Investment securities held-to-maturity </w:t>
            </w:r>
            <w:r>
              <w:rPr>
                <w:rFonts w:ascii="Arial" w:eastAsia="宋体" w:hAnsi="Arial" w:cs="Arial"/>
                <w:color w:val="000000"/>
                <w:sz w:val="14"/>
                <w:szCs w:val="14"/>
              </w:rPr>
              <w:br/>
              <w:t>purchased under money market</w:t>
            </w:r>
            <w:r>
              <w:rPr>
                <w:rFonts w:ascii="Arial" w:eastAsia="宋体" w:hAnsi="Arial" w:cs="Arial"/>
                <w:color w:val="000000"/>
                <w:sz w:val="14"/>
                <w:szCs w:val="14"/>
              </w:rPr>
              <w:br/>
              <w:t>liquidity facility</w:t>
            </w:r>
          </w:p>
        </w:tc>
        <w:tc>
          <w:tcPr>
            <w:tcW w:w="0" w:type="auto"/>
            <w:gridSpan w:val="2"/>
            <w:shd w:val="clear" w:color="auto" w:fill="CCEEFF"/>
            <w:tcMar>
              <w:top w:w="40" w:type="dxa"/>
              <w:left w:w="20" w:type="dxa"/>
              <w:bottom w:w="40" w:type="dxa"/>
              <w:right w:w="0" w:type="dxa"/>
            </w:tcMar>
            <w:vAlign w:val="bottom"/>
          </w:tcPr>
          <w:p w14:paraId="5F2D6109" w14:textId="77777777" w:rsidR="00E836FB" w:rsidRDefault="00994958">
            <w:pPr>
              <w:jc w:val="right"/>
              <w:textAlignment w:val="bottom"/>
            </w:pPr>
            <w:r>
              <w:rPr>
                <w:rFonts w:ascii="Arial" w:eastAsia="宋体" w:hAnsi="Arial" w:cs="Arial"/>
                <w:b/>
                <w:bCs/>
                <w:color w:val="000000"/>
                <w:sz w:val="14"/>
                <w:szCs w:val="14"/>
              </w:rPr>
              <w:t>314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0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0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0C"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0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0F" w14:textId="77777777" w:rsidR="00E836FB" w:rsidRDefault="00994958">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12" w14:textId="77777777" w:rsidR="00E836FB" w:rsidRDefault="00994958">
            <w:pPr>
              <w:jc w:val="right"/>
              <w:textAlignment w:val="bottom"/>
            </w:pPr>
            <w:r>
              <w:rPr>
                <w:rFonts w:ascii="Arial" w:eastAsia="宋体" w:hAnsi="Arial" w:cs="Arial"/>
                <w:color w:val="000000"/>
                <w:sz w:val="14"/>
                <w:szCs w:val="14"/>
              </w:rPr>
              <w:t>8,183 </w:t>
            </w:r>
          </w:p>
        </w:tc>
        <w:tc>
          <w:tcPr>
            <w:tcW w:w="0" w:type="auto"/>
            <w:shd w:val="clear" w:color="auto" w:fill="CCEEFF"/>
            <w:tcMar>
              <w:top w:w="40" w:type="dxa"/>
              <w:left w:w="0" w:type="dxa"/>
              <w:bottom w:w="40" w:type="dxa"/>
              <w:right w:w="20" w:type="dxa"/>
            </w:tcMar>
            <w:vAlign w:val="bottom"/>
          </w:tcPr>
          <w:p w14:paraId="5F2D61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15" w14:textId="77777777" w:rsidR="00E836FB" w:rsidRDefault="00994958">
            <w:pPr>
              <w:jc w:val="right"/>
              <w:textAlignment w:val="bottom"/>
            </w:pPr>
            <w:r>
              <w:rPr>
                <w:rFonts w:ascii="Arial" w:eastAsia="宋体" w:hAnsi="Arial" w:cs="Arial"/>
                <w:color w:val="000000"/>
                <w:sz w:val="14"/>
                <w:szCs w:val="14"/>
              </w:rPr>
              <w:t>117 </w:t>
            </w:r>
          </w:p>
        </w:tc>
        <w:tc>
          <w:tcPr>
            <w:tcW w:w="0" w:type="auto"/>
            <w:shd w:val="clear" w:color="auto" w:fill="CCEEFF"/>
            <w:tcMar>
              <w:top w:w="40" w:type="dxa"/>
              <w:left w:w="0" w:type="dxa"/>
              <w:bottom w:w="40" w:type="dxa"/>
              <w:right w:w="20" w:type="dxa"/>
            </w:tcMar>
            <w:vAlign w:val="bottom"/>
          </w:tcPr>
          <w:p w14:paraId="5F2D611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1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18" w14:textId="77777777" w:rsidR="00E836FB" w:rsidRDefault="00994958">
            <w:pPr>
              <w:jc w:val="right"/>
              <w:textAlignment w:val="bottom"/>
            </w:pPr>
            <w:r>
              <w:rPr>
                <w:rFonts w:ascii="Arial" w:eastAsia="宋体" w:hAnsi="Arial" w:cs="Arial"/>
                <w:color w:val="000000"/>
                <w:sz w:val="14"/>
                <w:szCs w:val="14"/>
              </w:rPr>
              <w:t>1.43 </w:t>
            </w:r>
          </w:p>
        </w:tc>
        <w:tc>
          <w:tcPr>
            <w:tcW w:w="0" w:type="auto"/>
            <w:shd w:val="clear" w:color="auto" w:fill="CCEEFF"/>
            <w:tcMar>
              <w:top w:w="40" w:type="dxa"/>
              <w:left w:w="0" w:type="dxa"/>
              <w:bottom w:w="40" w:type="dxa"/>
              <w:right w:w="20" w:type="dxa"/>
            </w:tcMar>
            <w:vAlign w:val="bottom"/>
          </w:tcPr>
          <w:p w14:paraId="5F2D611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1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1B"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1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1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1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1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2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2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22" w14:textId="77777777" w:rsidR="00E836FB" w:rsidRDefault="00E836FB">
            <w:pPr>
              <w:jc w:val="right"/>
              <w:rPr>
                <w:rFonts w:ascii="宋体"/>
              </w:rPr>
            </w:pPr>
          </w:p>
        </w:tc>
      </w:tr>
      <w:tr w:rsidR="00E836FB" w14:paraId="5F2D613F" w14:textId="77777777">
        <w:tc>
          <w:tcPr>
            <w:tcW w:w="0" w:type="auto"/>
            <w:gridSpan w:val="3"/>
            <w:shd w:val="clear" w:color="auto" w:fill="FFFFFF"/>
            <w:tcMar>
              <w:top w:w="40" w:type="dxa"/>
              <w:left w:w="20" w:type="dxa"/>
              <w:bottom w:w="40" w:type="dxa"/>
              <w:right w:w="20" w:type="dxa"/>
            </w:tcMar>
            <w:vAlign w:val="bottom"/>
          </w:tcPr>
          <w:p w14:paraId="5F2D6124" w14:textId="77777777" w:rsidR="00E836FB" w:rsidRDefault="00994958">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5F2D6125" w14:textId="77777777" w:rsidR="00E836FB" w:rsidRDefault="00994958">
            <w:pPr>
              <w:jc w:val="right"/>
              <w:textAlignment w:val="bottom"/>
            </w:pPr>
            <w:r>
              <w:rPr>
                <w:rFonts w:ascii="Arial" w:eastAsia="宋体" w:hAnsi="Arial" w:cs="Arial"/>
                <w:b/>
                <w:bCs/>
                <w:color w:val="000000"/>
                <w:sz w:val="14"/>
                <w:szCs w:val="14"/>
              </w:rPr>
              <w:t>31,009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1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2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28" w14:textId="77777777" w:rsidR="00E836FB" w:rsidRDefault="00994958">
            <w:pPr>
              <w:jc w:val="right"/>
              <w:textAlignment w:val="bottom"/>
            </w:pPr>
            <w:r>
              <w:rPr>
                <w:rFonts w:ascii="Arial" w:eastAsia="宋体" w:hAnsi="Arial" w:cs="Arial"/>
                <w:b/>
                <w:bCs/>
                <w:color w:val="000000"/>
                <w:sz w:val="14"/>
                <w:szCs w:val="14"/>
              </w:rPr>
              <w:t>640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12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2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2B" w14:textId="77777777" w:rsidR="00E836FB" w:rsidRDefault="00994958">
            <w:pPr>
              <w:jc w:val="right"/>
              <w:textAlignment w:val="bottom"/>
            </w:pPr>
            <w:r>
              <w:rPr>
                <w:rFonts w:ascii="Arial" w:eastAsia="宋体" w:hAnsi="Arial" w:cs="Arial"/>
                <w:b/>
                <w:bCs/>
                <w:color w:val="000000"/>
                <w:sz w:val="14"/>
                <w:szCs w:val="14"/>
              </w:rPr>
              <w:t>2.07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12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2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2E" w14:textId="77777777" w:rsidR="00E836FB" w:rsidRDefault="00994958">
            <w:pPr>
              <w:jc w:val="right"/>
              <w:textAlignment w:val="bottom"/>
            </w:pPr>
            <w:r>
              <w:rPr>
                <w:rFonts w:ascii="Arial" w:eastAsia="宋体" w:hAnsi="Arial" w:cs="Arial"/>
                <w:color w:val="000000"/>
                <w:sz w:val="14"/>
                <w:szCs w:val="14"/>
              </w:rPr>
              <w:t>27,525 </w:t>
            </w:r>
          </w:p>
        </w:tc>
        <w:tc>
          <w:tcPr>
            <w:tcW w:w="0" w:type="auto"/>
            <w:shd w:val="clear" w:color="auto" w:fill="FFFFFF"/>
            <w:tcMar>
              <w:top w:w="40" w:type="dxa"/>
              <w:left w:w="0" w:type="dxa"/>
              <w:bottom w:w="40" w:type="dxa"/>
              <w:right w:w="20" w:type="dxa"/>
            </w:tcMar>
            <w:vAlign w:val="bottom"/>
          </w:tcPr>
          <w:p w14:paraId="5F2D612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3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31" w14:textId="77777777" w:rsidR="00E836FB" w:rsidRDefault="00994958">
            <w:pPr>
              <w:jc w:val="right"/>
              <w:textAlignment w:val="bottom"/>
            </w:pPr>
            <w:r>
              <w:rPr>
                <w:rFonts w:ascii="Arial" w:eastAsia="宋体" w:hAnsi="Arial" w:cs="Arial"/>
                <w:color w:val="000000"/>
                <w:sz w:val="14"/>
                <w:szCs w:val="14"/>
              </w:rPr>
              <w:t>627 </w:t>
            </w:r>
          </w:p>
        </w:tc>
        <w:tc>
          <w:tcPr>
            <w:tcW w:w="0" w:type="auto"/>
            <w:shd w:val="clear" w:color="auto" w:fill="FFFFFF"/>
            <w:tcMar>
              <w:top w:w="40" w:type="dxa"/>
              <w:left w:w="0" w:type="dxa"/>
              <w:bottom w:w="40" w:type="dxa"/>
              <w:right w:w="20" w:type="dxa"/>
            </w:tcMar>
            <w:vAlign w:val="bottom"/>
          </w:tcPr>
          <w:p w14:paraId="5F2D61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3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34" w14:textId="77777777" w:rsidR="00E836FB" w:rsidRDefault="00994958">
            <w:pPr>
              <w:jc w:val="right"/>
              <w:textAlignment w:val="bottom"/>
            </w:pPr>
            <w:r>
              <w:rPr>
                <w:rFonts w:ascii="Arial" w:eastAsia="宋体" w:hAnsi="Arial" w:cs="Arial"/>
                <w:color w:val="000000"/>
                <w:sz w:val="14"/>
                <w:szCs w:val="14"/>
              </w:rPr>
              <w:t>2.28 </w:t>
            </w:r>
          </w:p>
        </w:tc>
        <w:tc>
          <w:tcPr>
            <w:tcW w:w="0" w:type="auto"/>
            <w:shd w:val="clear" w:color="auto" w:fill="FFFFFF"/>
            <w:tcMar>
              <w:top w:w="40" w:type="dxa"/>
              <w:left w:w="0" w:type="dxa"/>
              <w:bottom w:w="40" w:type="dxa"/>
              <w:right w:w="20" w:type="dxa"/>
            </w:tcMar>
            <w:vAlign w:val="bottom"/>
          </w:tcPr>
          <w:p w14:paraId="5F2D613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3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37" w14:textId="77777777" w:rsidR="00E836FB" w:rsidRDefault="00994958">
            <w:pPr>
              <w:jc w:val="right"/>
              <w:textAlignment w:val="bottom"/>
            </w:pPr>
            <w:r>
              <w:rPr>
                <w:rFonts w:ascii="Arial" w:eastAsia="宋体" w:hAnsi="Arial" w:cs="Arial"/>
                <w:color w:val="000000"/>
                <w:sz w:val="14"/>
                <w:szCs w:val="14"/>
              </w:rPr>
              <w:t>24,073 </w:t>
            </w:r>
          </w:p>
        </w:tc>
        <w:tc>
          <w:tcPr>
            <w:tcW w:w="0" w:type="auto"/>
            <w:shd w:val="clear" w:color="auto" w:fill="FFFFFF"/>
            <w:tcMar>
              <w:top w:w="40" w:type="dxa"/>
              <w:left w:w="0" w:type="dxa"/>
              <w:bottom w:w="40" w:type="dxa"/>
              <w:right w:w="20" w:type="dxa"/>
            </w:tcMar>
            <w:vAlign w:val="bottom"/>
          </w:tcPr>
          <w:p w14:paraId="5F2D613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3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3A" w14:textId="77777777" w:rsidR="00E836FB" w:rsidRDefault="00994958">
            <w:pPr>
              <w:jc w:val="right"/>
              <w:textAlignment w:val="bottom"/>
            </w:pPr>
            <w:r>
              <w:rPr>
                <w:rFonts w:ascii="Arial" w:eastAsia="宋体" w:hAnsi="Arial" w:cs="Arial"/>
                <w:color w:val="000000"/>
                <w:sz w:val="14"/>
                <w:szCs w:val="14"/>
              </w:rPr>
              <w:t>775 </w:t>
            </w:r>
          </w:p>
        </w:tc>
        <w:tc>
          <w:tcPr>
            <w:tcW w:w="0" w:type="auto"/>
            <w:shd w:val="clear" w:color="auto" w:fill="FFFFFF"/>
            <w:tcMar>
              <w:top w:w="40" w:type="dxa"/>
              <w:left w:w="0" w:type="dxa"/>
              <w:bottom w:w="40" w:type="dxa"/>
              <w:right w:w="20" w:type="dxa"/>
            </w:tcMar>
            <w:vAlign w:val="bottom"/>
          </w:tcPr>
          <w:p w14:paraId="5F2D613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3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3D" w14:textId="77777777" w:rsidR="00E836FB" w:rsidRDefault="00994958">
            <w:pPr>
              <w:jc w:val="right"/>
              <w:textAlignment w:val="bottom"/>
            </w:pPr>
            <w:r>
              <w:rPr>
                <w:rFonts w:ascii="Arial" w:eastAsia="宋体" w:hAnsi="Arial" w:cs="Arial"/>
                <w:color w:val="000000"/>
                <w:sz w:val="14"/>
                <w:szCs w:val="14"/>
              </w:rPr>
              <w:t>3.22 </w:t>
            </w:r>
          </w:p>
        </w:tc>
        <w:tc>
          <w:tcPr>
            <w:tcW w:w="0" w:type="auto"/>
            <w:shd w:val="clear" w:color="auto" w:fill="FFFFFF"/>
            <w:tcMar>
              <w:top w:w="40" w:type="dxa"/>
              <w:left w:w="0" w:type="dxa"/>
              <w:bottom w:w="40" w:type="dxa"/>
              <w:right w:w="20" w:type="dxa"/>
            </w:tcMar>
            <w:vAlign w:val="bottom"/>
          </w:tcPr>
          <w:p w14:paraId="5F2D613E" w14:textId="77777777" w:rsidR="00E836FB" w:rsidRDefault="00E836FB">
            <w:pPr>
              <w:jc w:val="right"/>
              <w:rPr>
                <w:rFonts w:ascii="宋体"/>
              </w:rPr>
            </w:pPr>
          </w:p>
        </w:tc>
      </w:tr>
      <w:tr w:rsidR="00E836FB" w14:paraId="5F2D6152" w14:textId="77777777">
        <w:trPr>
          <w:hidden/>
        </w:trPr>
        <w:tc>
          <w:tcPr>
            <w:tcW w:w="0" w:type="auto"/>
            <w:gridSpan w:val="3"/>
            <w:shd w:val="clear" w:color="auto" w:fill="auto"/>
            <w:vAlign w:val="bottom"/>
          </w:tcPr>
          <w:p w14:paraId="5F2D6140" w14:textId="77777777" w:rsidR="00E836FB" w:rsidRDefault="00E836FB">
            <w:pPr>
              <w:rPr>
                <w:rFonts w:ascii="宋体"/>
                <w:vanish/>
              </w:rPr>
            </w:pPr>
          </w:p>
        </w:tc>
        <w:tc>
          <w:tcPr>
            <w:tcW w:w="0" w:type="auto"/>
            <w:gridSpan w:val="3"/>
            <w:shd w:val="clear" w:color="auto" w:fill="auto"/>
            <w:vAlign w:val="bottom"/>
          </w:tcPr>
          <w:p w14:paraId="5F2D6141" w14:textId="77777777" w:rsidR="00E836FB" w:rsidRDefault="00E836FB">
            <w:pPr>
              <w:rPr>
                <w:rFonts w:ascii="宋体"/>
                <w:vanish/>
              </w:rPr>
            </w:pPr>
          </w:p>
        </w:tc>
        <w:tc>
          <w:tcPr>
            <w:tcW w:w="0" w:type="auto"/>
            <w:gridSpan w:val="3"/>
            <w:shd w:val="clear" w:color="auto" w:fill="auto"/>
            <w:vAlign w:val="bottom"/>
          </w:tcPr>
          <w:p w14:paraId="5F2D6142" w14:textId="77777777" w:rsidR="00E836FB" w:rsidRDefault="00E836FB">
            <w:pPr>
              <w:rPr>
                <w:rFonts w:ascii="宋体"/>
                <w:vanish/>
              </w:rPr>
            </w:pPr>
          </w:p>
        </w:tc>
        <w:tc>
          <w:tcPr>
            <w:tcW w:w="0" w:type="auto"/>
            <w:gridSpan w:val="3"/>
            <w:shd w:val="clear" w:color="auto" w:fill="auto"/>
            <w:vAlign w:val="bottom"/>
          </w:tcPr>
          <w:p w14:paraId="5F2D6143" w14:textId="77777777" w:rsidR="00E836FB" w:rsidRDefault="00E836FB">
            <w:pPr>
              <w:rPr>
                <w:rFonts w:ascii="宋体"/>
                <w:vanish/>
              </w:rPr>
            </w:pPr>
          </w:p>
        </w:tc>
        <w:tc>
          <w:tcPr>
            <w:tcW w:w="0" w:type="auto"/>
            <w:gridSpan w:val="3"/>
            <w:shd w:val="clear" w:color="auto" w:fill="auto"/>
            <w:vAlign w:val="bottom"/>
          </w:tcPr>
          <w:p w14:paraId="5F2D6144" w14:textId="77777777" w:rsidR="00E836FB" w:rsidRDefault="00E836FB">
            <w:pPr>
              <w:rPr>
                <w:rFonts w:ascii="宋体"/>
                <w:vanish/>
              </w:rPr>
            </w:pPr>
          </w:p>
        </w:tc>
        <w:tc>
          <w:tcPr>
            <w:tcW w:w="0" w:type="auto"/>
            <w:gridSpan w:val="3"/>
            <w:shd w:val="clear" w:color="auto" w:fill="auto"/>
            <w:vAlign w:val="bottom"/>
          </w:tcPr>
          <w:p w14:paraId="5F2D6145" w14:textId="77777777" w:rsidR="00E836FB" w:rsidRDefault="00E836FB">
            <w:pPr>
              <w:rPr>
                <w:rFonts w:ascii="宋体"/>
                <w:vanish/>
              </w:rPr>
            </w:pPr>
          </w:p>
        </w:tc>
        <w:tc>
          <w:tcPr>
            <w:tcW w:w="0" w:type="auto"/>
            <w:gridSpan w:val="3"/>
            <w:shd w:val="clear" w:color="auto" w:fill="auto"/>
            <w:vAlign w:val="bottom"/>
          </w:tcPr>
          <w:p w14:paraId="5F2D6146" w14:textId="77777777" w:rsidR="00E836FB" w:rsidRDefault="00E836FB">
            <w:pPr>
              <w:rPr>
                <w:rFonts w:ascii="宋体"/>
                <w:vanish/>
              </w:rPr>
            </w:pPr>
          </w:p>
        </w:tc>
        <w:tc>
          <w:tcPr>
            <w:tcW w:w="0" w:type="auto"/>
            <w:gridSpan w:val="3"/>
            <w:shd w:val="clear" w:color="auto" w:fill="auto"/>
            <w:vAlign w:val="bottom"/>
          </w:tcPr>
          <w:p w14:paraId="5F2D6147" w14:textId="77777777" w:rsidR="00E836FB" w:rsidRDefault="00E836FB">
            <w:pPr>
              <w:rPr>
                <w:rFonts w:ascii="宋体"/>
                <w:vanish/>
              </w:rPr>
            </w:pPr>
          </w:p>
        </w:tc>
        <w:tc>
          <w:tcPr>
            <w:tcW w:w="0" w:type="auto"/>
            <w:gridSpan w:val="3"/>
            <w:shd w:val="clear" w:color="auto" w:fill="auto"/>
            <w:vAlign w:val="bottom"/>
          </w:tcPr>
          <w:p w14:paraId="5F2D6148" w14:textId="77777777" w:rsidR="00E836FB" w:rsidRDefault="00E836FB">
            <w:pPr>
              <w:rPr>
                <w:rFonts w:ascii="宋体"/>
                <w:vanish/>
              </w:rPr>
            </w:pPr>
          </w:p>
        </w:tc>
        <w:tc>
          <w:tcPr>
            <w:tcW w:w="0" w:type="auto"/>
            <w:gridSpan w:val="3"/>
            <w:shd w:val="clear" w:color="auto" w:fill="auto"/>
            <w:vAlign w:val="bottom"/>
          </w:tcPr>
          <w:p w14:paraId="5F2D6149" w14:textId="77777777" w:rsidR="00E836FB" w:rsidRDefault="00E836FB">
            <w:pPr>
              <w:rPr>
                <w:rFonts w:ascii="宋体"/>
                <w:vanish/>
              </w:rPr>
            </w:pPr>
          </w:p>
        </w:tc>
        <w:tc>
          <w:tcPr>
            <w:tcW w:w="0" w:type="auto"/>
            <w:gridSpan w:val="3"/>
            <w:shd w:val="clear" w:color="auto" w:fill="auto"/>
            <w:vAlign w:val="bottom"/>
          </w:tcPr>
          <w:p w14:paraId="5F2D614A" w14:textId="77777777" w:rsidR="00E836FB" w:rsidRDefault="00E836FB">
            <w:pPr>
              <w:rPr>
                <w:rFonts w:ascii="宋体"/>
                <w:vanish/>
              </w:rPr>
            </w:pPr>
          </w:p>
        </w:tc>
        <w:tc>
          <w:tcPr>
            <w:tcW w:w="0" w:type="auto"/>
            <w:gridSpan w:val="3"/>
            <w:shd w:val="clear" w:color="auto" w:fill="auto"/>
            <w:vAlign w:val="bottom"/>
          </w:tcPr>
          <w:p w14:paraId="5F2D614B" w14:textId="77777777" w:rsidR="00E836FB" w:rsidRDefault="00E836FB">
            <w:pPr>
              <w:rPr>
                <w:rFonts w:ascii="宋体"/>
                <w:vanish/>
              </w:rPr>
            </w:pPr>
          </w:p>
        </w:tc>
        <w:tc>
          <w:tcPr>
            <w:tcW w:w="0" w:type="auto"/>
            <w:gridSpan w:val="3"/>
            <w:shd w:val="clear" w:color="auto" w:fill="auto"/>
            <w:vAlign w:val="bottom"/>
          </w:tcPr>
          <w:p w14:paraId="5F2D614C" w14:textId="77777777" w:rsidR="00E836FB" w:rsidRDefault="00E836FB">
            <w:pPr>
              <w:rPr>
                <w:rFonts w:ascii="宋体"/>
                <w:vanish/>
              </w:rPr>
            </w:pPr>
          </w:p>
        </w:tc>
        <w:tc>
          <w:tcPr>
            <w:tcW w:w="0" w:type="auto"/>
            <w:gridSpan w:val="3"/>
            <w:shd w:val="clear" w:color="auto" w:fill="auto"/>
            <w:vAlign w:val="bottom"/>
          </w:tcPr>
          <w:p w14:paraId="5F2D614D" w14:textId="77777777" w:rsidR="00E836FB" w:rsidRDefault="00E836FB">
            <w:pPr>
              <w:rPr>
                <w:rFonts w:ascii="宋体"/>
                <w:vanish/>
              </w:rPr>
            </w:pPr>
          </w:p>
        </w:tc>
        <w:tc>
          <w:tcPr>
            <w:tcW w:w="0" w:type="auto"/>
            <w:gridSpan w:val="3"/>
            <w:shd w:val="clear" w:color="auto" w:fill="auto"/>
            <w:vAlign w:val="bottom"/>
          </w:tcPr>
          <w:p w14:paraId="5F2D614E" w14:textId="77777777" w:rsidR="00E836FB" w:rsidRDefault="00E836FB">
            <w:pPr>
              <w:rPr>
                <w:rFonts w:ascii="宋体"/>
                <w:vanish/>
              </w:rPr>
            </w:pPr>
          </w:p>
        </w:tc>
        <w:tc>
          <w:tcPr>
            <w:tcW w:w="0" w:type="auto"/>
            <w:gridSpan w:val="3"/>
            <w:shd w:val="clear" w:color="auto" w:fill="auto"/>
            <w:vAlign w:val="bottom"/>
          </w:tcPr>
          <w:p w14:paraId="5F2D614F" w14:textId="77777777" w:rsidR="00E836FB" w:rsidRDefault="00E836FB">
            <w:pPr>
              <w:rPr>
                <w:rFonts w:ascii="宋体"/>
                <w:vanish/>
              </w:rPr>
            </w:pPr>
          </w:p>
        </w:tc>
        <w:tc>
          <w:tcPr>
            <w:tcW w:w="0" w:type="auto"/>
            <w:gridSpan w:val="3"/>
            <w:shd w:val="clear" w:color="auto" w:fill="auto"/>
            <w:vAlign w:val="bottom"/>
          </w:tcPr>
          <w:p w14:paraId="5F2D6150" w14:textId="77777777" w:rsidR="00E836FB" w:rsidRDefault="00E836FB">
            <w:pPr>
              <w:rPr>
                <w:rFonts w:ascii="宋体"/>
                <w:vanish/>
              </w:rPr>
            </w:pPr>
          </w:p>
        </w:tc>
        <w:tc>
          <w:tcPr>
            <w:tcW w:w="0" w:type="auto"/>
            <w:gridSpan w:val="3"/>
            <w:shd w:val="clear" w:color="auto" w:fill="auto"/>
            <w:vAlign w:val="bottom"/>
          </w:tcPr>
          <w:p w14:paraId="5F2D6151" w14:textId="77777777" w:rsidR="00E836FB" w:rsidRDefault="00E836FB">
            <w:pPr>
              <w:rPr>
                <w:rFonts w:ascii="宋体"/>
                <w:vanish/>
              </w:rPr>
            </w:pPr>
          </w:p>
        </w:tc>
      </w:tr>
      <w:tr w:rsidR="00E836FB" w14:paraId="5F2D616E" w14:textId="77777777">
        <w:tc>
          <w:tcPr>
            <w:tcW w:w="0" w:type="auto"/>
            <w:gridSpan w:val="3"/>
            <w:shd w:val="clear" w:color="auto" w:fill="CCEEFF"/>
            <w:tcMar>
              <w:top w:w="40" w:type="dxa"/>
              <w:left w:w="20" w:type="dxa"/>
              <w:bottom w:w="40" w:type="dxa"/>
              <w:right w:w="20" w:type="dxa"/>
            </w:tcMar>
            <w:vAlign w:val="bottom"/>
          </w:tcPr>
          <w:p w14:paraId="5F2D6153" w14:textId="77777777" w:rsidR="00E836FB" w:rsidRDefault="00994958">
            <w:pPr>
              <w:textAlignment w:val="bottom"/>
            </w:pPr>
            <w:r>
              <w:rPr>
                <w:rFonts w:ascii="Arial" w:eastAsia="宋体" w:hAnsi="Arial" w:cs="Arial"/>
                <w:color w:val="000000"/>
                <w:sz w:val="14"/>
                <w:szCs w:val="14"/>
              </w:rPr>
              <w:t>Other interest-earning assets</w:t>
            </w:r>
          </w:p>
        </w:tc>
        <w:tc>
          <w:tcPr>
            <w:tcW w:w="0" w:type="auto"/>
            <w:gridSpan w:val="2"/>
            <w:shd w:val="clear" w:color="auto" w:fill="CCEEFF"/>
            <w:tcMar>
              <w:top w:w="40" w:type="dxa"/>
              <w:left w:w="20" w:type="dxa"/>
              <w:bottom w:w="40" w:type="dxa"/>
              <w:right w:w="0" w:type="dxa"/>
            </w:tcMar>
            <w:vAlign w:val="bottom"/>
          </w:tcPr>
          <w:p w14:paraId="5F2D6154" w14:textId="77777777" w:rsidR="00E836FB" w:rsidRDefault="00994958">
            <w:pPr>
              <w:jc w:val="right"/>
              <w:textAlignment w:val="bottom"/>
            </w:pPr>
            <w:r>
              <w:rPr>
                <w:rFonts w:ascii="Arial" w:eastAsia="宋体" w:hAnsi="Arial" w:cs="Arial"/>
                <w:b/>
                <w:bCs/>
                <w:color w:val="000000"/>
                <w:sz w:val="14"/>
                <w:szCs w:val="14"/>
              </w:rPr>
              <w:t>22,355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57" w14:textId="77777777" w:rsidR="00E836FB" w:rsidRDefault="00994958">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5A" w14:textId="77777777" w:rsidR="00E836FB" w:rsidRDefault="00994958">
            <w:pPr>
              <w:jc w:val="right"/>
              <w:textAlignment w:val="bottom"/>
            </w:pPr>
            <w:r>
              <w:rPr>
                <w:rFonts w:ascii="Arial" w:eastAsia="宋体" w:hAnsi="Arial" w:cs="Arial"/>
                <w:b/>
                <w:bCs/>
                <w:color w:val="000000"/>
                <w:sz w:val="14"/>
                <w:szCs w:val="14"/>
              </w:rPr>
              <w:t>.08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5D" w14:textId="77777777" w:rsidR="00E836FB" w:rsidRDefault="00994958">
            <w:pPr>
              <w:jc w:val="right"/>
              <w:textAlignment w:val="bottom"/>
            </w:pPr>
            <w:r>
              <w:rPr>
                <w:rFonts w:ascii="Arial" w:eastAsia="宋体" w:hAnsi="Arial" w:cs="Arial"/>
                <w:color w:val="000000"/>
                <w:sz w:val="14"/>
                <w:szCs w:val="14"/>
              </w:rPr>
              <w:t>11,256 </w:t>
            </w:r>
          </w:p>
        </w:tc>
        <w:tc>
          <w:tcPr>
            <w:tcW w:w="0" w:type="auto"/>
            <w:shd w:val="clear" w:color="auto" w:fill="CCEEFF"/>
            <w:tcMar>
              <w:top w:w="40" w:type="dxa"/>
              <w:left w:w="0" w:type="dxa"/>
              <w:bottom w:w="40" w:type="dxa"/>
              <w:right w:w="20" w:type="dxa"/>
            </w:tcMar>
            <w:vAlign w:val="bottom"/>
          </w:tcPr>
          <w:p w14:paraId="5F2D61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60" w14:textId="77777777" w:rsidR="00E836FB" w:rsidRDefault="00994958">
            <w:pPr>
              <w:jc w:val="right"/>
              <w:textAlignment w:val="bottom"/>
            </w:pPr>
            <w:r>
              <w:rPr>
                <w:rFonts w:ascii="Arial" w:eastAsia="宋体" w:hAnsi="Arial" w:cs="Arial"/>
                <w:color w:val="000000"/>
                <w:sz w:val="14"/>
                <w:szCs w:val="14"/>
              </w:rPr>
              <w:t>55 </w:t>
            </w:r>
          </w:p>
        </w:tc>
        <w:tc>
          <w:tcPr>
            <w:tcW w:w="0" w:type="auto"/>
            <w:shd w:val="clear" w:color="auto" w:fill="CCEEFF"/>
            <w:tcMar>
              <w:top w:w="40" w:type="dxa"/>
              <w:left w:w="0" w:type="dxa"/>
              <w:bottom w:w="40" w:type="dxa"/>
              <w:right w:w="20" w:type="dxa"/>
            </w:tcMar>
            <w:vAlign w:val="bottom"/>
          </w:tcPr>
          <w:p w14:paraId="5F2D616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6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63" w14:textId="77777777" w:rsidR="00E836FB" w:rsidRDefault="00994958">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5F2D616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6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66" w14:textId="77777777" w:rsidR="00E836FB" w:rsidRDefault="00994958">
            <w:pPr>
              <w:jc w:val="right"/>
              <w:textAlignment w:val="bottom"/>
            </w:pPr>
            <w:r>
              <w:rPr>
                <w:rFonts w:ascii="Arial" w:eastAsia="宋体" w:hAnsi="Arial" w:cs="Arial"/>
                <w:color w:val="000000"/>
                <w:sz w:val="14"/>
                <w:szCs w:val="14"/>
              </w:rPr>
              <w:t>14,160 </w:t>
            </w:r>
          </w:p>
        </w:tc>
        <w:tc>
          <w:tcPr>
            <w:tcW w:w="0" w:type="auto"/>
            <w:shd w:val="clear" w:color="auto" w:fill="CCEEFF"/>
            <w:tcMar>
              <w:top w:w="40" w:type="dxa"/>
              <w:left w:w="0" w:type="dxa"/>
              <w:bottom w:w="40" w:type="dxa"/>
              <w:right w:w="20" w:type="dxa"/>
            </w:tcMar>
            <w:vAlign w:val="bottom"/>
          </w:tcPr>
          <w:p w14:paraId="5F2D616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6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69" w14:textId="77777777" w:rsidR="00E836FB" w:rsidRDefault="00994958">
            <w:pPr>
              <w:jc w:val="right"/>
              <w:textAlignment w:val="bottom"/>
            </w:pPr>
            <w:r>
              <w:rPr>
                <w:rFonts w:ascii="Arial" w:eastAsia="宋体" w:hAnsi="Arial" w:cs="Arial"/>
                <w:color w:val="000000"/>
                <w:sz w:val="14"/>
                <w:szCs w:val="14"/>
              </w:rPr>
              <w:t>395 </w:t>
            </w:r>
          </w:p>
        </w:tc>
        <w:tc>
          <w:tcPr>
            <w:tcW w:w="0" w:type="auto"/>
            <w:shd w:val="clear" w:color="auto" w:fill="CCEEFF"/>
            <w:tcMar>
              <w:top w:w="40" w:type="dxa"/>
              <w:left w:w="0" w:type="dxa"/>
              <w:bottom w:w="40" w:type="dxa"/>
              <w:right w:w="20" w:type="dxa"/>
            </w:tcMar>
            <w:vAlign w:val="bottom"/>
          </w:tcPr>
          <w:p w14:paraId="5F2D616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6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6C" w14:textId="77777777" w:rsidR="00E836FB" w:rsidRDefault="00994958">
            <w:pPr>
              <w:jc w:val="right"/>
              <w:textAlignment w:val="bottom"/>
            </w:pPr>
            <w:r>
              <w:rPr>
                <w:rFonts w:ascii="Arial" w:eastAsia="宋体" w:hAnsi="Arial" w:cs="Arial"/>
                <w:color w:val="000000"/>
                <w:sz w:val="14"/>
                <w:szCs w:val="14"/>
              </w:rPr>
              <w:t>2.79 </w:t>
            </w:r>
          </w:p>
        </w:tc>
        <w:tc>
          <w:tcPr>
            <w:tcW w:w="0" w:type="auto"/>
            <w:shd w:val="clear" w:color="auto" w:fill="CCEEFF"/>
            <w:tcMar>
              <w:top w:w="40" w:type="dxa"/>
              <w:left w:w="0" w:type="dxa"/>
              <w:bottom w:w="40" w:type="dxa"/>
              <w:right w:w="20" w:type="dxa"/>
            </w:tcMar>
            <w:vAlign w:val="bottom"/>
          </w:tcPr>
          <w:p w14:paraId="5F2D616D" w14:textId="77777777" w:rsidR="00E836FB" w:rsidRDefault="00E836FB">
            <w:pPr>
              <w:jc w:val="right"/>
              <w:rPr>
                <w:rFonts w:ascii="宋体"/>
              </w:rPr>
            </w:pPr>
          </w:p>
        </w:tc>
      </w:tr>
      <w:tr w:rsidR="00E836FB" w14:paraId="5F2D618A" w14:textId="77777777">
        <w:tc>
          <w:tcPr>
            <w:tcW w:w="0" w:type="auto"/>
            <w:gridSpan w:val="3"/>
            <w:shd w:val="clear" w:color="auto" w:fill="FFFFFF"/>
            <w:tcMar>
              <w:top w:w="40" w:type="dxa"/>
              <w:left w:w="20" w:type="dxa"/>
              <w:bottom w:w="40" w:type="dxa"/>
              <w:right w:w="20" w:type="dxa"/>
            </w:tcMar>
            <w:vAlign w:val="bottom"/>
          </w:tcPr>
          <w:p w14:paraId="5F2D616F" w14:textId="77777777" w:rsidR="00E836FB" w:rsidRDefault="00994958">
            <w:pPr>
              <w:textAlignment w:val="bottom"/>
            </w:pPr>
            <w:r>
              <w:rPr>
                <w:rFonts w:ascii="Arial" w:eastAsia="宋体" w:hAnsi="Arial" w:cs="Arial"/>
                <w:color w:val="000000"/>
                <w:sz w:val="14"/>
                <w:szCs w:val="14"/>
              </w:rPr>
              <w:t>Total interest-earning assets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170" w14:textId="77777777" w:rsidR="00E836FB" w:rsidRDefault="00994958">
            <w:pPr>
              <w:jc w:val="right"/>
              <w:textAlignment w:val="bottom"/>
            </w:pPr>
            <w:r>
              <w:rPr>
                <w:rFonts w:ascii="Arial" w:eastAsia="宋体" w:hAnsi="Arial" w:cs="Arial"/>
                <w:b/>
                <w:bCs/>
                <w:color w:val="000000"/>
                <w:sz w:val="14"/>
                <w:szCs w:val="14"/>
              </w:rPr>
              <w:t>260,035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17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72"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173" w14:textId="77777777" w:rsidR="00E836FB" w:rsidRDefault="00994958">
            <w:pPr>
              <w:jc w:val="right"/>
              <w:textAlignment w:val="bottom"/>
            </w:pPr>
            <w:r>
              <w:rPr>
                <w:rFonts w:ascii="Arial" w:eastAsia="宋体" w:hAnsi="Arial" w:cs="Arial"/>
                <w:b/>
                <w:bCs/>
                <w:color w:val="000000"/>
                <w:sz w:val="14"/>
                <w:szCs w:val="14"/>
              </w:rPr>
              <w:t>1,921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17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7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76"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1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7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179" w14:textId="77777777" w:rsidR="00E836FB" w:rsidRDefault="00994958">
            <w:pPr>
              <w:jc w:val="right"/>
              <w:textAlignment w:val="bottom"/>
            </w:pPr>
            <w:r>
              <w:rPr>
                <w:rFonts w:ascii="Arial" w:eastAsia="宋体" w:hAnsi="Arial" w:cs="Arial"/>
                <w:color w:val="000000"/>
                <w:sz w:val="14"/>
                <w:szCs w:val="14"/>
              </w:rPr>
              <w:t>228,874 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1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7B"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17C" w14:textId="77777777" w:rsidR="00E836FB" w:rsidRDefault="00994958">
            <w:pPr>
              <w:jc w:val="right"/>
              <w:textAlignment w:val="bottom"/>
            </w:pPr>
            <w:r>
              <w:rPr>
                <w:rFonts w:ascii="Arial" w:eastAsia="宋体" w:hAnsi="Arial" w:cs="Arial"/>
                <w:color w:val="000000"/>
                <w:sz w:val="14"/>
                <w:szCs w:val="14"/>
              </w:rPr>
              <w:t>2,592 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17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7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7F" w14:textId="77777777" w:rsidR="00E836FB" w:rsidRDefault="00994958">
            <w:pPr>
              <w:jc w:val="right"/>
              <w:textAlignment w:val="bottom"/>
            </w:pPr>
            <w:r>
              <w:rPr>
                <w:rFonts w:ascii="Arial" w:eastAsia="宋体" w:hAnsi="Arial" w:cs="Arial"/>
                <w:color w:val="000000"/>
                <w:sz w:val="14"/>
                <w:szCs w:val="14"/>
              </w:rPr>
              <w:t>1.13 </w:t>
            </w:r>
          </w:p>
        </w:tc>
        <w:tc>
          <w:tcPr>
            <w:tcW w:w="0" w:type="auto"/>
            <w:shd w:val="clear" w:color="auto" w:fill="FFFFFF"/>
            <w:tcMar>
              <w:top w:w="40" w:type="dxa"/>
              <w:left w:w="0" w:type="dxa"/>
              <w:bottom w:w="40" w:type="dxa"/>
              <w:right w:w="20" w:type="dxa"/>
            </w:tcMar>
            <w:vAlign w:val="bottom"/>
          </w:tcPr>
          <w:p w14:paraId="5F2D618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8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182" w14:textId="77777777" w:rsidR="00E836FB" w:rsidRDefault="00994958">
            <w:pPr>
              <w:jc w:val="right"/>
              <w:textAlignment w:val="bottom"/>
            </w:pPr>
            <w:r>
              <w:rPr>
                <w:rFonts w:ascii="Arial" w:eastAsia="宋体" w:hAnsi="Arial" w:cs="Arial"/>
                <w:color w:val="000000"/>
                <w:sz w:val="14"/>
                <w:szCs w:val="14"/>
              </w:rPr>
              <w:t>181,891 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18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8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185" w14:textId="77777777" w:rsidR="00E836FB" w:rsidRDefault="00994958">
            <w:pPr>
              <w:jc w:val="right"/>
              <w:textAlignment w:val="bottom"/>
            </w:pPr>
            <w:r>
              <w:rPr>
                <w:rFonts w:ascii="Arial" w:eastAsia="宋体" w:hAnsi="Arial" w:cs="Arial"/>
                <w:color w:val="000000"/>
                <w:sz w:val="14"/>
                <w:szCs w:val="14"/>
              </w:rPr>
              <w:t>3,960 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18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8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88" w14:textId="77777777" w:rsidR="00E836FB" w:rsidRDefault="00994958">
            <w:pPr>
              <w:jc w:val="right"/>
              <w:textAlignment w:val="bottom"/>
            </w:pPr>
            <w:r>
              <w:rPr>
                <w:rFonts w:ascii="Arial" w:eastAsia="宋体" w:hAnsi="Arial" w:cs="Arial"/>
                <w:color w:val="000000"/>
                <w:sz w:val="14"/>
                <w:szCs w:val="14"/>
              </w:rPr>
              <w:t>2.18 </w:t>
            </w:r>
          </w:p>
        </w:tc>
        <w:tc>
          <w:tcPr>
            <w:tcW w:w="0" w:type="auto"/>
            <w:shd w:val="clear" w:color="auto" w:fill="FFFFFF"/>
            <w:tcMar>
              <w:top w:w="40" w:type="dxa"/>
              <w:left w:w="0" w:type="dxa"/>
              <w:bottom w:w="40" w:type="dxa"/>
              <w:right w:w="20" w:type="dxa"/>
            </w:tcMar>
            <w:vAlign w:val="bottom"/>
          </w:tcPr>
          <w:p w14:paraId="5F2D6189" w14:textId="77777777" w:rsidR="00E836FB" w:rsidRDefault="00E836FB">
            <w:pPr>
              <w:jc w:val="right"/>
              <w:rPr>
                <w:rFonts w:ascii="宋体"/>
              </w:rPr>
            </w:pPr>
          </w:p>
        </w:tc>
      </w:tr>
      <w:tr w:rsidR="00E836FB" w14:paraId="5F2D61A0" w14:textId="77777777">
        <w:tc>
          <w:tcPr>
            <w:tcW w:w="0" w:type="auto"/>
            <w:gridSpan w:val="3"/>
            <w:shd w:val="clear" w:color="auto" w:fill="CCEEFF"/>
            <w:tcMar>
              <w:top w:w="40" w:type="dxa"/>
              <w:left w:w="20" w:type="dxa"/>
              <w:bottom w:w="40" w:type="dxa"/>
              <w:right w:w="20" w:type="dxa"/>
            </w:tcMar>
            <w:vAlign w:val="bottom"/>
          </w:tcPr>
          <w:p w14:paraId="5F2D618B" w14:textId="77777777" w:rsidR="00E836FB" w:rsidRDefault="00994958">
            <w:pPr>
              <w:textAlignment w:val="bottom"/>
            </w:pPr>
            <w:r>
              <w:rPr>
                <w:rFonts w:ascii="Arial" w:eastAsia="宋体" w:hAnsi="Arial" w:cs="Arial"/>
                <w:color w:val="000000"/>
                <w:sz w:val="14"/>
                <w:szCs w:val="14"/>
              </w:rPr>
              <w:t>Cash and due from banks</w:t>
            </w:r>
          </w:p>
        </w:tc>
        <w:tc>
          <w:tcPr>
            <w:tcW w:w="0" w:type="auto"/>
            <w:gridSpan w:val="2"/>
            <w:shd w:val="clear" w:color="auto" w:fill="CCEEFF"/>
            <w:tcMar>
              <w:top w:w="40" w:type="dxa"/>
              <w:left w:w="20" w:type="dxa"/>
              <w:bottom w:w="40" w:type="dxa"/>
              <w:right w:w="0" w:type="dxa"/>
            </w:tcMar>
            <w:vAlign w:val="bottom"/>
          </w:tcPr>
          <w:p w14:paraId="5F2D618C" w14:textId="77777777" w:rsidR="00E836FB" w:rsidRDefault="00994958">
            <w:pPr>
              <w:jc w:val="right"/>
              <w:textAlignment w:val="bottom"/>
            </w:pPr>
            <w:r>
              <w:rPr>
                <w:rFonts w:ascii="Arial" w:eastAsia="宋体" w:hAnsi="Arial" w:cs="Arial"/>
                <w:b/>
                <w:bCs/>
                <w:color w:val="000000"/>
                <w:sz w:val="14"/>
                <w:szCs w:val="14"/>
              </w:rPr>
              <w:t>5,057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1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8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8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93" w14:textId="77777777" w:rsidR="00E836FB" w:rsidRDefault="00994958">
            <w:pPr>
              <w:jc w:val="right"/>
              <w:textAlignment w:val="bottom"/>
            </w:pPr>
            <w:r>
              <w:rPr>
                <w:rFonts w:ascii="Arial" w:eastAsia="宋体" w:hAnsi="Arial" w:cs="Arial"/>
                <w:color w:val="000000"/>
                <w:sz w:val="14"/>
                <w:szCs w:val="14"/>
              </w:rPr>
              <w:t>3,849 </w:t>
            </w:r>
          </w:p>
        </w:tc>
        <w:tc>
          <w:tcPr>
            <w:tcW w:w="0" w:type="auto"/>
            <w:shd w:val="clear" w:color="auto" w:fill="CCEEFF"/>
            <w:tcMar>
              <w:top w:w="40" w:type="dxa"/>
              <w:left w:w="0" w:type="dxa"/>
              <w:bottom w:w="40" w:type="dxa"/>
              <w:right w:w="20" w:type="dxa"/>
            </w:tcMar>
            <w:vAlign w:val="bottom"/>
          </w:tcPr>
          <w:p w14:paraId="5F2D619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9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19A" w14:textId="77777777" w:rsidR="00E836FB" w:rsidRDefault="00994958">
            <w:pPr>
              <w:jc w:val="right"/>
              <w:textAlignment w:val="bottom"/>
            </w:pPr>
            <w:r>
              <w:rPr>
                <w:rFonts w:ascii="Arial" w:eastAsia="宋体" w:hAnsi="Arial" w:cs="Arial"/>
                <w:color w:val="000000"/>
                <w:sz w:val="14"/>
                <w:szCs w:val="14"/>
              </w:rPr>
              <w:t>3,390 </w:t>
            </w:r>
          </w:p>
        </w:tc>
        <w:tc>
          <w:tcPr>
            <w:tcW w:w="0" w:type="auto"/>
            <w:shd w:val="clear" w:color="auto" w:fill="CCEEFF"/>
            <w:tcMar>
              <w:top w:w="40" w:type="dxa"/>
              <w:left w:w="0" w:type="dxa"/>
              <w:bottom w:w="40" w:type="dxa"/>
              <w:right w:w="20" w:type="dxa"/>
            </w:tcMar>
            <w:vAlign w:val="bottom"/>
          </w:tcPr>
          <w:p w14:paraId="5F2D61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9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9F" w14:textId="77777777" w:rsidR="00E836FB" w:rsidRDefault="00E836FB">
            <w:pPr>
              <w:rPr>
                <w:rFonts w:ascii="宋体"/>
              </w:rPr>
            </w:pPr>
          </w:p>
        </w:tc>
      </w:tr>
      <w:tr w:rsidR="00E836FB" w14:paraId="5F2D61B6" w14:textId="77777777">
        <w:tc>
          <w:tcPr>
            <w:tcW w:w="0" w:type="auto"/>
            <w:gridSpan w:val="3"/>
            <w:shd w:val="clear" w:color="auto" w:fill="FFFFFF"/>
            <w:tcMar>
              <w:top w:w="40" w:type="dxa"/>
              <w:left w:w="20" w:type="dxa"/>
              <w:bottom w:w="40" w:type="dxa"/>
              <w:right w:w="20" w:type="dxa"/>
            </w:tcMar>
            <w:vAlign w:val="bottom"/>
          </w:tcPr>
          <w:p w14:paraId="5F2D61A1" w14:textId="77777777" w:rsidR="00E836FB" w:rsidRDefault="00994958">
            <w:pPr>
              <w:textAlignment w:val="bottom"/>
            </w:pPr>
            <w:r>
              <w:rPr>
                <w:rFonts w:ascii="Arial" w:eastAsia="宋体" w:hAnsi="Arial" w:cs="Arial"/>
                <w:color w:val="000000"/>
                <w:sz w:val="14"/>
                <w:szCs w:val="14"/>
              </w:rPr>
              <w:t>Other assets</w:t>
            </w:r>
          </w:p>
        </w:tc>
        <w:tc>
          <w:tcPr>
            <w:tcW w:w="0" w:type="auto"/>
            <w:gridSpan w:val="2"/>
            <w:shd w:val="clear" w:color="auto" w:fill="FFFFFF"/>
            <w:tcMar>
              <w:top w:w="40" w:type="dxa"/>
              <w:left w:w="20" w:type="dxa"/>
              <w:bottom w:w="40" w:type="dxa"/>
              <w:right w:w="0" w:type="dxa"/>
            </w:tcMar>
            <w:vAlign w:val="bottom"/>
          </w:tcPr>
          <w:p w14:paraId="5F2D61A2" w14:textId="77777777" w:rsidR="00E836FB" w:rsidRDefault="00994958">
            <w:pPr>
              <w:jc w:val="right"/>
              <w:textAlignment w:val="bottom"/>
            </w:pPr>
            <w:r>
              <w:rPr>
                <w:rFonts w:ascii="Arial" w:eastAsia="宋体" w:hAnsi="Arial" w:cs="Arial"/>
                <w:b/>
                <w:bCs/>
                <w:color w:val="000000"/>
                <w:sz w:val="14"/>
                <w:szCs w:val="14"/>
              </w:rPr>
              <w:t>34,651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1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A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A9" w14:textId="77777777" w:rsidR="00E836FB" w:rsidRDefault="00994958">
            <w:pPr>
              <w:jc w:val="right"/>
              <w:textAlignment w:val="bottom"/>
            </w:pPr>
            <w:r>
              <w:rPr>
                <w:rFonts w:ascii="Arial" w:eastAsia="宋体" w:hAnsi="Arial" w:cs="Arial"/>
                <w:color w:val="000000"/>
                <w:sz w:val="14"/>
                <w:szCs w:val="14"/>
              </w:rPr>
              <w:t>36,611 </w:t>
            </w:r>
          </w:p>
        </w:tc>
        <w:tc>
          <w:tcPr>
            <w:tcW w:w="0" w:type="auto"/>
            <w:shd w:val="clear" w:color="auto" w:fill="FFFFFF"/>
            <w:tcMar>
              <w:top w:w="40" w:type="dxa"/>
              <w:left w:w="0" w:type="dxa"/>
              <w:bottom w:w="40" w:type="dxa"/>
              <w:right w:w="20" w:type="dxa"/>
            </w:tcMar>
            <w:vAlign w:val="bottom"/>
          </w:tcPr>
          <w:p w14:paraId="5F2D61A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A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1B0" w14:textId="77777777" w:rsidR="00E836FB" w:rsidRDefault="00994958">
            <w:pPr>
              <w:jc w:val="right"/>
              <w:textAlignment w:val="bottom"/>
            </w:pPr>
            <w:r>
              <w:rPr>
                <w:rFonts w:ascii="Arial" w:eastAsia="宋体" w:hAnsi="Arial" w:cs="Arial"/>
                <w:color w:val="000000"/>
                <w:sz w:val="14"/>
                <w:szCs w:val="14"/>
              </w:rPr>
              <w:t>38,053 </w:t>
            </w:r>
          </w:p>
        </w:tc>
        <w:tc>
          <w:tcPr>
            <w:tcW w:w="0" w:type="auto"/>
            <w:shd w:val="clear" w:color="auto" w:fill="FFFFFF"/>
            <w:tcMar>
              <w:top w:w="40" w:type="dxa"/>
              <w:left w:w="0" w:type="dxa"/>
              <w:bottom w:w="40" w:type="dxa"/>
              <w:right w:w="20" w:type="dxa"/>
            </w:tcMar>
            <w:vAlign w:val="bottom"/>
          </w:tcPr>
          <w:p w14:paraId="5F2D61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1B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B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B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B5" w14:textId="77777777" w:rsidR="00E836FB" w:rsidRDefault="00E836FB">
            <w:pPr>
              <w:rPr>
                <w:rFonts w:ascii="宋体"/>
              </w:rPr>
            </w:pPr>
          </w:p>
        </w:tc>
      </w:tr>
      <w:tr w:rsidR="00E836FB" w14:paraId="5F2D61CF" w14:textId="77777777">
        <w:tc>
          <w:tcPr>
            <w:tcW w:w="0" w:type="auto"/>
            <w:gridSpan w:val="3"/>
            <w:shd w:val="clear" w:color="auto" w:fill="CCEEFF"/>
            <w:tcMar>
              <w:top w:w="40" w:type="dxa"/>
              <w:left w:w="20" w:type="dxa"/>
              <w:bottom w:w="40" w:type="dxa"/>
              <w:right w:w="20" w:type="dxa"/>
            </w:tcMar>
            <w:vAlign w:val="bottom"/>
          </w:tcPr>
          <w:p w14:paraId="5F2D61B7" w14:textId="77777777" w:rsidR="00E836FB" w:rsidRDefault="00994958">
            <w:pPr>
              <w:textAlignment w:val="bottom"/>
            </w:pPr>
            <w:r>
              <w:rPr>
                <w:rFonts w:ascii="Arial" w:eastAsia="宋体" w:hAnsi="Arial" w:cs="Arial"/>
                <w:color w:val="000000"/>
                <w:sz w:val="14"/>
                <w:szCs w:val="14"/>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61B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61B9" w14:textId="77777777" w:rsidR="00E836FB" w:rsidRDefault="00994958">
            <w:pPr>
              <w:jc w:val="right"/>
              <w:textAlignment w:val="bottom"/>
            </w:pPr>
            <w:r>
              <w:rPr>
                <w:rFonts w:ascii="Arial" w:eastAsia="宋体" w:hAnsi="Arial" w:cs="Arial"/>
                <w:b/>
                <w:bCs/>
                <w:color w:val="000000"/>
                <w:sz w:val="14"/>
                <w:szCs w:val="14"/>
              </w:rPr>
              <w:t>299,743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1B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B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B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B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B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BF"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61C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61C1" w14:textId="77777777" w:rsidR="00E836FB" w:rsidRDefault="00994958">
            <w:pPr>
              <w:jc w:val="right"/>
              <w:textAlignment w:val="bottom"/>
            </w:pPr>
            <w:r>
              <w:rPr>
                <w:rFonts w:ascii="Arial" w:eastAsia="宋体" w:hAnsi="Arial" w:cs="Arial"/>
                <w:color w:val="000000"/>
                <w:sz w:val="14"/>
                <w:szCs w:val="14"/>
              </w:rPr>
              <w:t>269,334 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1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C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C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C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C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C7"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61C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61C9" w14:textId="77777777" w:rsidR="00E836FB" w:rsidRDefault="00994958">
            <w:pPr>
              <w:jc w:val="right"/>
              <w:textAlignment w:val="bottom"/>
            </w:pPr>
            <w:r>
              <w:rPr>
                <w:rFonts w:ascii="Arial" w:eastAsia="宋体" w:hAnsi="Arial" w:cs="Arial"/>
                <w:color w:val="000000"/>
                <w:sz w:val="14"/>
                <w:szCs w:val="14"/>
              </w:rPr>
              <w:t>223,334 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1C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1C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C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C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CE" w14:textId="77777777" w:rsidR="00E836FB" w:rsidRDefault="00E836FB">
            <w:pPr>
              <w:rPr>
                <w:rFonts w:ascii="宋体"/>
              </w:rPr>
            </w:pPr>
          </w:p>
        </w:tc>
      </w:tr>
      <w:tr w:rsidR="00E836FB" w14:paraId="5F2D61E2" w14:textId="77777777">
        <w:trPr>
          <w:trHeight w:val="220"/>
        </w:trPr>
        <w:tc>
          <w:tcPr>
            <w:tcW w:w="0" w:type="auto"/>
            <w:gridSpan w:val="3"/>
            <w:shd w:val="clear" w:color="auto" w:fill="FFFFFF"/>
            <w:tcMar>
              <w:top w:w="0" w:type="dxa"/>
              <w:left w:w="20" w:type="dxa"/>
              <w:bottom w:w="0" w:type="dxa"/>
              <w:right w:w="20" w:type="dxa"/>
            </w:tcMar>
            <w:vAlign w:val="bottom"/>
          </w:tcPr>
          <w:p w14:paraId="5F2D61D0"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61D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6"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61D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C"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61D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D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E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E1" w14:textId="77777777" w:rsidR="00E836FB" w:rsidRDefault="00E836FB">
            <w:pPr>
              <w:rPr>
                <w:rFonts w:ascii="宋体"/>
              </w:rPr>
            </w:pPr>
          </w:p>
        </w:tc>
      </w:tr>
      <w:tr w:rsidR="00E836FB" w14:paraId="5F2D61F5" w14:textId="77777777">
        <w:tc>
          <w:tcPr>
            <w:tcW w:w="0" w:type="auto"/>
            <w:gridSpan w:val="3"/>
            <w:shd w:val="clear" w:color="auto" w:fill="CCEEFF"/>
            <w:tcMar>
              <w:top w:w="40" w:type="dxa"/>
              <w:left w:w="20" w:type="dxa"/>
              <w:bottom w:w="40" w:type="dxa"/>
              <w:right w:w="20" w:type="dxa"/>
            </w:tcMar>
            <w:vAlign w:val="bottom"/>
          </w:tcPr>
          <w:p w14:paraId="5F2D61E3" w14:textId="77777777" w:rsidR="00E836FB" w:rsidRDefault="00994958">
            <w:pPr>
              <w:textAlignment w:val="bottom"/>
            </w:pPr>
            <w:r>
              <w:rPr>
                <w:rFonts w:ascii="Arial" w:eastAsia="宋体" w:hAnsi="Arial" w:cs="Arial"/>
                <w:b/>
                <w:bCs/>
                <w:color w:val="000000"/>
                <w:sz w:val="14"/>
                <w:szCs w:val="14"/>
              </w:rPr>
              <w:t>Liabilities and shareholders’ equity:</w:t>
            </w:r>
          </w:p>
        </w:tc>
        <w:tc>
          <w:tcPr>
            <w:tcW w:w="0" w:type="auto"/>
            <w:gridSpan w:val="3"/>
            <w:shd w:val="clear" w:color="auto" w:fill="CCEEFF"/>
            <w:tcMar>
              <w:top w:w="0" w:type="dxa"/>
              <w:left w:w="20" w:type="dxa"/>
              <w:bottom w:w="0" w:type="dxa"/>
              <w:right w:w="20" w:type="dxa"/>
            </w:tcMar>
            <w:vAlign w:val="bottom"/>
          </w:tcPr>
          <w:p w14:paraId="5F2D61E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E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F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F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F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F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1F4" w14:textId="77777777" w:rsidR="00E836FB" w:rsidRDefault="00E836FB">
            <w:pPr>
              <w:rPr>
                <w:rFonts w:ascii="宋体"/>
              </w:rPr>
            </w:pPr>
          </w:p>
        </w:tc>
      </w:tr>
      <w:tr w:rsidR="00E836FB" w14:paraId="5F2D6208" w14:textId="77777777">
        <w:tc>
          <w:tcPr>
            <w:tcW w:w="0" w:type="auto"/>
            <w:gridSpan w:val="3"/>
            <w:shd w:val="clear" w:color="auto" w:fill="FFFFFF"/>
            <w:tcMar>
              <w:top w:w="40" w:type="dxa"/>
              <w:left w:w="20" w:type="dxa"/>
              <w:bottom w:w="40" w:type="dxa"/>
              <w:right w:w="20" w:type="dxa"/>
            </w:tcMar>
            <w:vAlign w:val="bottom"/>
          </w:tcPr>
          <w:p w14:paraId="5F2D61F6" w14:textId="77777777" w:rsidR="00E836FB" w:rsidRDefault="00994958">
            <w:pPr>
              <w:textAlignment w:val="bottom"/>
            </w:pPr>
            <w:r>
              <w:rPr>
                <w:rFonts w:ascii="Arial" w:eastAsia="宋体" w:hAnsi="Arial" w:cs="Arial"/>
                <w:color w:val="000000"/>
                <w:sz w:val="14"/>
                <w:szCs w:val="14"/>
              </w:rPr>
              <w:t>Interest-bearing deposits:</w:t>
            </w:r>
          </w:p>
        </w:tc>
        <w:tc>
          <w:tcPr>
            <w:tcW w:w="0" w:type="auto"/>
            <w:gridSpan w:val="3"/>
            <w:shd w:val="clear" w:color="auto" w:fill="FFFFFF"/>
            <w:tcMar>
              <w:top w:w="0" w:type="dxa"/>
              <w:left w:w="20" w:type="dxa"/>
              <w:bottom w:w="0" w:type="dxa"/>
              <w:right w:w="20" w:type="dxa"/>
            </w:tcMar>
            <w:vAlign w:val="bottom"/>
          </w:tcPr>
          <w:p w14:paraId="5F2D61F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1F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207" w14:textId="77777777" w:rsidR="00E836FB" w:rsidRDefault="00E836FB">
            <w:pPr>
              <w:rPr>
                <w:rFonts w:ascii="宋体"/>
              </w:rPr>
            </w:pPr>
          </w:p>
        </w:tc>
      </w:tr>
      <w:tr w:rsidR="00994958" w14:paraId="5F2D622A" w14:textId="77777777">
        <w:tc>
          <w:tcPr>
            <w:tcW w:w="0" w:type="auto"/>
            <w:gridSpan w:val="3"/>
            <w:shd w:val="clear" w:color="auto" w:fill="CCEEFF"/>
            <w:tcMar>
              <w:top w:w="40" w:type="dxa"/>
              <w:left w:w="155" w:type="dxa"/>
              <w:bottom w:w="40" w:type="dxa"/>
              <w:right w:w="20" w:type="dxa"/>
            </w:tcMar>
            <w:vAlign w:val="bottom"/>
          </w:tcPr>
          <w:p w14:paraId="5F2D6209" w14:textId="77777777" w:rsidR="00E836FB" w:rsidRDefault="00994958">
            <w:pPr>
              <w:textAlignment w:val="bottom"/>
            </w:pPr>
            <w:r>
              <w:rPr>
                <w:rFonts w:ascii="Arial" w:eastAsia="宋体" w:hAnsi="Arial" w:cs="Arial"/>
                <w:color w:val="000000"/>
                <w:sz w:val="14"/>
                <w:szCs w:val="14"/>
              </w:rPr>
              <w:t>Time</w:t>
            </w:r>
          </w:p>
        </w:tc>
        <w:tc>
          <w:tcPr>
            <w:tcW w:w="0" w:type="auto"/>
            <w:shd w:val="clear" w:color="auto" w:fill="CCEEFF"/>
            <w:tcMar>
              <w:top w:w="40" w:type="dxa"/>
              <w:left w:w="20" w:type="dxa"/>
              <w:bottom w:w="40" w:type="dxa"/>
              <w:right w:w="0" w:type="dxa"/>
            </w:tcMar>
            <w:vAlign w:val="bottom"/>
          </w:tcPr>
          <w:p w14:paraId="5F2D620A"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620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0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0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20E"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620F"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1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13"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6214"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215"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216" w14:textId="77777777" w:rsidR="00E836FB" w:rsidRDefault="00994958">
            <w:pPr>
              <w:jc w:val="right"/>
              <w:textAlignment w:val="bottom"/>
            </w:pPr>
            <w:r>
              <w:rPr>
                <w:rFonts w:ascii="Arial" w:eastAsia="宋体" w:hAnsi="Arial" w:cs="Arial"/>
                <w:color w:val="000000"/>
                <w:sz w:val="14"/>
                <w:szCs w:val="14"/>
              </w:rPr>
              <w:t>7,114 </w:t>
            </w:r>
          </w:p>
        </w:tc>
        <w:tc>
          <w:tcPr>
            <w:tcW w:w="0" w:type="auto"/>
            <w:shd w:val="clear" w:color="auto" w:fill="CCEEFF"/>
            <w:tcMar>
              <w:top w:w="40" w:type="dxa"/>
              <w:left w:w="0" w:type="dxa"/>
              <w:bottom w:w="40" w:type="dxa"/>
              <w:right w:w="20" w:type="dxa"/>
            </w:tcMar>
            <w:vAlign w:val="bottom"/>
          </w:tcPr>
          <w:p w14:paraId="5F2D621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18"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219"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21A" w14:textId="77777777" w:rsidR="00E836FB" w:rsidRDefault="00994958">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5F2D62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1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1D" w14:textId="77777777" w:rsidR="00E836FB" w:rsidRDefault="00994958">
            <w:pPr>
              <w:jc w:val="right"/>
              <w:textAlignment w:val="bottom"/>
            </w:pPr>
            <w:r>
              <w:rPr>
                <w:rFonts w:ascii="Arial" w:eastAsia="宋体" w:hAnsi="Arial" w:cs="Arial"/>
                <w:color w:val="000000"/>
                <w:sz w:val="14"/>
                <w:szCs w:val="14"/>
              </w:rPr>
              <w:t>.32 </w:t>
            </w:r>
          </w:p>
        </w:tc>
        <w:tc>
          <w:tcPr>
            <w:tcW w:w="0" w:type="auto"/>
            <w:shd w:val="clear" w:color="auto" w:fill="CCEEFF"/>
            <w:tcMar>
              <w:top w:w="40" w:type="dxa"/>
              <w:left w:w="0" w:type="dxa"/>
              <w:bottom w:w="40" w:type="dxa"/>
              <w:right w:w="20" w:type="dxa"/>
            </w:tcMar>
            <w:vAlign w:val="bottom"/>
          </w:tcPr>
          <w:p w14:paraId="5F2D621E"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621F"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220"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221" w14:textId="77777777" w:rsidR="00E836FB" w:rsidRDefault="00994958">
            <w:pPr>
              <w:jc w:val="right"/>
              <w:textAlignment w:val="bottom"/>
            </w:pPr>
            <w:r>
              <w:rPr>
                <w:rFonts w:ascii="Arial" w:eastAsia="宋体" w:hAnsi="Arial" w:cs="Arial"/>
                <w:color w:val="000000"/>
                <w:sz w:val="14"/>
                <w:szCs w:val="14"/>
              </w:rPr>
              <w:t>20,443 </w:t>
            </w:r>
          </w:p>
        </w:tc>
        <w:tc>
          <w:tcPr>
            <w:tcW w:w="0" w:type="auto"/>
            <w:shd w:val="clear" w:color="auto" w:fill="CCEEFF"/>
            <w:tcMar>
              <w:top w:w="40" w:type="dxa"/>
              <w:left w:w="0" w:type="dxa"/>
              <w:bottom w:w="40" w:type="dxa"/>
              <w:right w:w="20" w:type="dxa"/>
            </w:tcMar>
            <w:vAlign w:val="bottom"/>
          </w:tcPr>
          <w:p w14:paraId="5F2D622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23"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224"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225" w14:textId="77777777" w:rsidR="00E836FB" w:rsidRDefault="00994958">
            <w:pPr>
              <w:jc w:val="right"/>
              <w:textAlignment w:val="bottom"/>
            </w:pPr>
            <w:r>
              <w:rPr>
                <w:rFonts w:ascii="Arial" w:eastAsia="宋体" w:hAnsi="Arial" w:cs="Arial"/>
                <w:color w:val="000000"/>
                <w:sz w:val="14"/>
                <w:szCs w:val="14"/>
              </w:rPr>
              <w:t>222 </w:t>
            </w:r>
          </w:p>
        </w:tc>
        <w:tc>
          <w:tcPr>
            <w:tcW w:w="0" w:type="auto"/>
            <w:shd w:val="clear" w:color="auto" w:fill="CCEEFF"/>
            <w:tcMar>
              <w:top w:w="40" w:type="dxa"/>
              <w:left w:w="0" w:type="dxa"/>
              <w:bottom w:w="40" w:type="dxa"/>
              <w:right w:w="20" w:type="dxa"/>
            </w:tcMar>
            <w:vAlign w:val="bottom"/>
          </w:tcPr>
          <w:p w14:paraId="5F2D622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2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28" w14:textId="77777777" w:rsidR="00E836FB" w:rsidRDefault="00994958">
            <w:pPr>
              <w:jc w:val="right"/>
              <w:textAlignment w:val="bottom"/>
            </w:pPr>
            <w:r>
              <w:rPr>
                <w:rFonts w:ascii="Arial" w:eastAsia="宋体" w:hAnsi="Arial" w:cs="Arial"/>
                <w:color w:val="000000"/>
                <w:sz w:val="14"/>
                <w:szCs w:val="14"/>
              </w:rPr>
              <w:t>1.08 </w:t>
            </w:r>
          </w:p>
        </w:tc>
        <w:tc>
          <w:tcPr>
            <w:tcW w:w="0" w:type="auto"/>
            <w:shd w:val="clear" w:color="auto" w:fill="CCEEFF"/>
            <w:tcMar>
              <w:top w:w="40" w:type="dxa"/>
              <w:left w:w="0" w:type="dxa"/>
              <w:bottom w:w="40" w:type="dxa"/>
              <w:right w:w="20" w:type="dxa"/>
            </w:tcMar>
            <w:vAlign w:val="bottom"/>
          </w:tcPr>
          <w:p w14:paraId="5F2D6229" w14:textId="77777777" w:rsidR="00E836FB" w:rsidRDefault="00994958">
            <w:pPr>
              <w:jc w:val="right"/>
              <w:textAlignment w:val="bottom"/>
            </w:pPr>
            <w:r>
              <w:rPr>
                <w:rFonts w:ascii="Arial" w:eastAsia="宋体" w:hAnsi="Arial" w:cs="Arial"/>
                <w:color w:val="000000"/>
                <w:sz w:val="14"/>
                <w:szCs w:val="14"/>
              </w:rPr>
              <w:t>%</w:t>
            </w:r>
          </w:p>
        </w:tc>
      </w:tr>
      <w:tr w:rsidR="00E836FB" w14:paraId="5F2D6246" w14:textId="77777777">
        <w:tc>
          <w:tcPr>
            <w:tcW w:w="0" w:type="auto"/>
            <w:gridSpan w:val="3"/>
            <w:shd w:val="clear" w:color="auto" w:fill="FFFFFF"/>
            <w:tcMar>
              <w:top w:w="40" w:type="dxa"/>
              <w:left w:w="155" w:type="dxa"/>
              <w:bottom w:w="40" w:type="dxa"/>
              <w:right w:w="20" w:type="dxa"/>
            </w:tcMar>
            <w:vAlign w:val="bottom"/>
          </w:tcPr>
          <w:p w14:paraId="5F2D622B" w14:textId="77777777" w:rsidR="00E836FB" w:rsidRDefault="00994958">
            <w:pPr>
              <w:textAlignment w:val="bottom"/>
            </w:pPr>
            <w:r>
              <w:rPr>
                <w:rFonts w:ascii="Arial" w:eastAsia="宋体" w:hAnsi="Arial" w:cs="Arial"/>
                <w:color w:val="000000"/>
                <w:sz w:val="14"/>
                <w:szCs w:val="14"/>
              </w:rPr>
              <w:t>Savings</w:t>
            </w:r>
          </w:p>
        </w:tc>
        <w:tc>
          <w:tcPr>
            <w:tcW w:w="0" w:type="auto"/>
            <w:gridSpan w:val="2"/>
            <w:shd w:val="clear" w:color="auto" w:fill="FFFFFF"/>
            <w:tcMar>
              <w:top w:w="40" w:type="dxa"/>
              <w:left w:w="20" w:type="dxa"/>
              <w:bottom w:w="40" w:type="dxa"/>
              <w:right w:w="0" w:type="dxa"/>
            </w:tcMar>
            <w:vAlign w:val="bottom"/>
          </w:tcPr>
          <w:p w14:paraId="5F2D622C" w14:textId="77777777" w:rsidR="00E836FB" w:rsidRDefault="00994958">
            <w:pPr>
              <w:jc w:val="right"/>
              <w:textAlignment w:val="bottom"/>
            </w:pPr>
            <w:r>
              <w:rPr>
                <w:rFonts w:ascii="Arial" w:eastAsia="宋体" w:hAnsi="Arial" w:cs="Arial"/>
                <w:b/>
                <w:bCs/>
                <w:color w:val="000000"/>
                <w:sz w:val="14"/>
                <w:szCs w:val="14"/>
              </w:rPr>
              <w:t>104,848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2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2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2F" w14:textId="77777777" w:rsidR="00E836FB" w:rsidRDefault="00994958">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3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3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32" w14:textId="77777777" w:rsidR="00E836FB" w:rsidRDefault="00994958">
            <w:pPr>
              <w:jc w:val="right"/>
              <w:textAlignment w:val="bottom"/>
            </w:pPr>
            <w:r>
              <w:rPr>
                <w:rFonts w:ascii="Arial" w:eastAsia="宋体" w:hAnsi="Arial" w:cs="Arial"/>
                <w:b/>
                <w:bCs/>
                <w:color w:val="000000"/>
                <w:sz w:val="14"/>
                <w:szCs w:val="14"/>
              </w:rPr>
              <w:t>.01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3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3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35" w14:textId="77777777" w:rsidR="00E836FB" w:rsidRDefault="00994958">
            <w:pPr>
              <w:jc w:val="right"/>
              <w:textAlignment w:val="bottom"/>
            </w:pPr>
            <w:r>
              <w:rPr>
                <w:rFonts w:ascii="Arial" w:eastAsia="宋体" w:hAnsi="Arial" w:cs="Arial"/>
                <w:color w:val="000000"/>
                <w:sz w:val="14"/>
                <w:szCs w:val="14"/>
              </w:rPr>
              <w:t>80,330 </w:t>
            </w:r>
          </w:p>
        </w:tc>
        <w:tc>
          <w:tcPr>
            <w:tcW w:w="0" w:type="auto"/>
            <w:shd w:val="clear" w:color="auto" w:fill="FFFFFF"/>
            <w:tcMar>
              <w:top w:w="40" w:type="dxa"/>
              <w:left w:w="0" w:type="dxa"/>
              <w:bottom w:w="40" w:type="dxa"/>
              <w:right w:w="20" w:type="dxa"/>
            </w:tcMar>
            <w:vAlign w:val="bottom"/>
          </w:tcPr>
          <w:p w14:paraId="5F2D62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3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38" w14:textId="77777777" w:rsidR="00E836FB" w:rsidRDefault="00994958">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5F2D623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3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3B" w14:textId="77777777" w:rsidR="00E836FB" w:rsidRDefault="00994958">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5F2D623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3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3E" w14:textId="77777777" w:rsidR="00E836FB" w:rsidRDefault="00994958">
            <w:pPr>
              <w:jc w:val="right"/>
              <w:textAlignment w:val="bottom"/>
            </w:pPr>
            <w:r>
              <w:rPr>
                <w:rFonts w:ascii="Arial" w:eastAsia="宋体" w:hAnsi="Arial" w:cs="Arial"/>
                <w:color w:val="000000"/>
                <w:sz w:val="14"/>
                <w:szCs w:val="14"/>
              </w:rPr>
              <w:t>47,104 </w:t>
            </w:r>
          </w:p>
        </w:tc>
        <w:tc>
          <w:tcPr>
            <w:tcW w:w="0" w:type="auto"/>
            <w:shd w:val="clear" w:color="auto" w:fill="FFFFFF"/>
            <w:tcMar>
              <w:top w:w="40" w:type="dxa"/>
              <w:left w:w="0" w:type="dxa"/>
              <w:bottom w:w="40" w:type="dxa"/>
              <w:right w:w="20" w:type="dxa"/>
            </w:tcMar>
            <w:vAlign w:val="bottom"/>
          </w:tcPr>
          <w:p w14:paraId="5F2D623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4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41" w14:textId="77777777" w:rsidR="00E836FB" w:rsidRDefault="00994958">
            <w:pPr>
              <w:jc w:val="right"/>
              <w:textAlignment w:val="bottom"/>
            </w:pPr>
            <w:r>
              <w:rPr>
                <w:rFonts w:ascii="Arial" w:eastAsia="宋体" w:hAnsi="Arial" w:cs="Arial"/>
                <w:color w:val="000000"/>
                <w:sz w:val="14"/>
                <w:szCs w:val="14"/>
              </w:rPr>
              <w:t>317 </w:t>
            </w:r>
          </w:p>
        </w:tc>
        <w:tc>
          <w:tcPr>
            <w:tcW w:w="0" w:type="auto"/>
            <w:shd w:val="clear" w:color="auto" w:fill="FFFFFF"/>
            <w:tcMar>
              <w:top w:w="40" w:type="dxa"/>
              <w:left w:w="0" w:type="dxa"/>
              <w:bottom w:w="40" w:type="dxa"/>
              <w:right w:w="20" w:type="dxa"/>
            </w:tcMar>
            <w:vAlign w:val="bottom"/>
          </w:tcPr>
          <w:p w14:paraId="5F2D624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4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44" w14:textId="77777777" w:rsidR="00E836FB" w:rsidRDefault="00994958">
            <w:pPr>
              <w:jc w:val="right"/>
              <w:textAlignment w:val="bottom"/>
            </w:pPr>
            <w:r>
              <w:rPr>
                <w:rFonts w:ascii="Arial" w:eastAsia="宋体" w:hAnsi="Arial" w:cs="Arial"/>
                <w:color w:val="000000"/>
                <w:sz w:val="14"/>
                <w:szCs w:val="14"/>
              </w:rPr>
              <w:t>.67 </w:t>
            </w:r>
          </w:p>
        </w:tc>
        <w:tc>
          <w:tcPr>
            <w:tcW w:w="0" w:type="auto"/>
            <w:shd w:val="clear" w:color="auto" w:fill="FFFFFF"/>
            <w:tcMar>
              <w:top w:w="40" w:type="dxa"/>
              <w:left w:w="0" w:type="dxa"/>
              <w:bottom w:w="40" w:type="dxa"/>
              <w:right w:w="20" w:type="dxa"/>
            </w:tcMar>
            <w:vAlign w:val="bottom"/>
          </w:tcPr>
          <w:p w14:paraId="5F2D6245" w14:textId="77777777" w:rsidR="00E836FB" w:rsidRDefault="00E836FB">
            <w:pPr>
              <w:jc w:val="right"/>
              <w:rPr>
                <w:rFonts w:ascii="宋体"/>
              </w:rPr>
            </w:pPr>
          </w:p>
        </w:tc>
      </w:tr>
      <w:tr w:rsidR="00E836FB" w14:paraId="5F2D6262" w14:textId="77777777">
        <w:tc>
          <w:tcPr>
            <w:tcW w:w="0" w:type="auto"/>
            <w:gridSpan w:val="3"/>
            <w:shd w:val="clear" w:color="auto" w:fill="CCEEFF"/>
            <w:tcMar>
              <w:top w:w="40" w:type="dxa"/>
              <w:left w:w="155" w:type="dxa"/>
              <w:bottom w:w="40" w:type="dxa"/>
              <w:right w:w="20" w:type="dxa"/>
            </w:tcMar>
            <w:vAlign w:val="bottom"/>
          </w:tcPr>
          <w:p w14:paraId="5F2D6247" w14:textId="77777777" w:rsidR="00E836FB" w:rsidRDefault="00994958">
            <w:pPr>
              <w:textAlignment w:val="bottom"/>
            </w:pPr>
            <w:r>
              <w:rPr>
                <w:rFonts w:ascii="Arial" w:eastAsia="宋体" w:hAnsi="Arial" w:cs="Arial"/>
                <w:color w:val="000000"/>
                <w:sz w:val="14"/>
                <w:szCs w:val="14"/>
              </w:rPr>
              <w:t>Non-U.S.</w:t>
            </w:r>
          </w:p>
        </w:tc>
        <w:tc>
          <w:tcPr>
            <w:tcW w:w="0" w:type="auto"/>
            <w:gridSpan w:val="2"/>
            <w:shd w:val="clear" w:color="auto" w:fill="CCEEFF"/>
            <w:tcMar>
              <w:top w:w="40" w:type="dxa"/>
              <w:left w:w="20" w:type="dxa"/>
              <w:bottom w:w="40" w:type="dxa"/>
              <w:right w:w="0" w:type="dxa"/>
            </w:tcMar>
            <w:vAlign w:val="bottom"/>
          </w:tcPr>
          <w:p w14:paraId="5F2D6248" w14:textId="77777777" w:rsidR="00E836FB" w:rsidRDefault="00994958">
            <w:pPr>
              <w:jc w:val="right"/>
              <w:textAlignment w:val="bottom"/>
            </w:pPr>
            <w:r>
              <w:rPr>
                <w:rFonts w:ascii="Arial" w:eastAsia="宋体" w:hAnsi="Arial" w:cs="Arial"/>
                <w:b/>
                <w:bCs/>
                <w:color w:val="000000"/>
                <w:sz w:val="14"/>
                <w:szCs w:val="14"/>
              </w:rPr>
              <w:t>82,126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4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4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4B" w14:textId="77777777" w:rsidR="00E836FB" w:rsidRDefault="00994958">
            <w:pPr>
              <w:jc w:val="right"/>
              <w:textAlignment w:val="bottom"/>
            </w:pPr>
            <w:r>
              <w:rPr>
                <w:rFonts w:ascii="Arial" w:eastAsia="宋体" w:hAnsi="Arial" w:cs="Arial"/>
                <w:b/>
                <w:bCs/>
                <w:color w:val="000000"/>
                <w:sz w:val="14"/>
                <w:szCs w:val="14"/>
              </w:rPr>
              <w:t>(273)</w:t>
            </w:r>
          </w:p>
        </w:tc>
        <w:tc>
          <w:tcPr>
            <w:tcW w:w="0" w:type="auto"/>
            <w:shd w:val="clear" w:color="auto" w:fill="CCEEFF"/>
            <w:tcMar>
              <w:top w:w="40" w:type="dxa"/>
              <w:left w:w="0" w:type="dxa"/>
              <w:bottom w:w="40" w:type="dxa"/>
              <w:right w:w="20" w:type="dxa"/>
            </w:tcMar>
            <w:vAlign w:val="bottom"/>
          </w:tcPr>
          <w:p w14:paraId="5F2D624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4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4E" w14:textId="77777777" w:rsidR="00E836FB" w:rsidRDefault="00994958">
            <w:pPr>
              <w:jc w:val="right"/>
              <w:textAlignment w:val="bottom"/>
            </w:pPr>
            <w:r>
              <w:rPr>
                <w:rFonts w:ascii="Arial" w:eastAsia="宋体" w:hAnsi="Arial" w:cs="Arial"/>
                <w:b/>
                <w:bCs/>
                <w:color w:val="000000"/>
                <w:sz w:val="14"/>
                <w:szCs w:val="14"/>
              </w:rPr>
              <w:t>(.33)</w:t>
            </w:r>
          </w:p>
        </w:tc>
        <w:tc>
          <w:tcPr>
            <w:tcW w:w="0" w:type="auto"/>
            <w:shd w:val="clear" w:color="auto" w:fill="CCEEFF"/>
            <w:tcMar>
              <w:top w:w="40" w:type="dxa"/>
              <w:left w:w="0" w:type="dxa"/>
              <w:bottom w:w="40" w:type="dxa"/>
              <w:right w:w="20" w:type="dxa"/>
            </w:tcMar>
            <w:vAlign w:val="bottom"/>
          </w:tcPr>
          <w:p w14:paraId="5F2D624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5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51" w14:textId="77777777" w:rsidR="00E836FB" w:rsidRDefault="00994958">
            <w:pPr>
              <w:jc w:val="right"/>
              <w:textAlignment w:val="bottom"/>
            </w:pPr>
            <w:r>
              <w:rPr>
                <w:rFonts w:ascii="Arial" w:eastAsia="宋体" w:hAnsi="Arial" w:cs="Arial"/>
                <w:color w:val="000000"/>
                <w:sz w:val="14"/>
                <w:szCs w:val="14"/>
              </w:rPr>
              <w:t>68,806 </w:t>
            </w:r>
          </w:p>
        </w:tc>
        <w:tc>
          <w:tcPr>
            <w:tcW w:w="0" w:type="auto"/>
            <w:shd w:val="clear" w:color="auto" w:fill="CCEEFF"/>
            <w:tcMar>
              <w:top w:w="40" w:type="dxa"/>
              <w:left w:w="0" w:type="dxa"/>
              <w:bottom w:w="40" w:type="dxa"/>
              <w:right w:w="20" w:type="dxa"/>
            </w:tcMar>
            <w:vAlign w:val="bottom"/>
          </w:tcPr>
          <w:p w14:paraId="5F2D62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5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54" w14:textId="77777777" w:rsidR="00E836FB" w:rsidRDefault="00994958">
            <w:pPr>
              <w:jc w:val="right"/>
              <w:textAlignment w:val="bottom"/>
            </w:pPr>
            <w:r>
              <w:rPr>
                <w:rFonts w:ascii="Arial" w:eastAsia="宋体" w:hAnsi="Arial" w:cs="Arial"/>
                <w:color w:val="000000"/>
                <w:sz w:val="14"/>
                <w:szCs w:val="14"/>
              </w:rPr>
              <w:t>(231)</w:t>
            </w:r>
          </w:p>
        </w:tc>
        <w:tc>
          <w:tcPr>
            <w:tcW w:w="0" w:type="auto"/>
            <w:shd w:val="clear" w:color="auto" w:fill="CCEEFF"/>
            <w:tcMar>
              <w:top w:w="40" w:type="dxa"/>
              <w:left w:w="0" w:type="dxa"/>
              <w:bottom w:w="40" w:type="dxa"/>
              <w:right w:w="20" w:type="dxa"/>
            </w:tcMar>
            <w:vAlign w:val="bottom"/>
          </w:tcPr>
          <w:p w14:paraId="5F2D625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5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57" w14:textId="77777777" w:rsidR="00E836FB" w:rsidRDefault="00994958">
            <w:pPr>
              <w:jc w:val="right"/>
              <w:textAlignment w:val="bottom"/>
            </w:pPr>
            <w:r>
              <w:rPr>
                <w:rFonts w:ascii="Arial" w:eastAsia="宋体" w:hAnsi="Arial" w:cs="Arial"/>
                <w:color w:val="000000"/>
                <w:sz w:val="14"/>
                <w:szCs w:val="14"/>
              </w:rPr>
              <w:t>(.34)</w:t>
            </w:r>
          </w:p>
        </w:tc>
        <w:tc>
          <w:tcPr>
            <w:tcW w:w="0" w:type="auto"/>
            <w:shd w:val="clear" w:color="auto" w:fill="CCEEFF"/>
            <w:tcMar>
              <w:top w:w="40" w:type="dxa"/>
              <w:left w:w="0" w:type="dxa"/>
              <w:bottom w:w="40" w:type="dxa"/>
              <w:right w:w="20" w:type="dxa"/>
            </w:tcMar>
            <w:vAlign w:val="bottom"/>
          </w:tcPr>
          <w:p w14:paraId="5F2D625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5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5A" w14:textId="77777777" w:rsidR="00E836FB" w:rsidRDefault="00994958">
            <w:pPr>
              <w:jc w:val="right"/>
              <w:textAlignment w:val="bottom"/>
            </w:pPr>
            <w:r>
              <w:rPr>
                <w:rFonts w:ascii="Arial" w:eastAsia="宋体" w:hAnsi="Arial" w:cs="Arial"/>
                <w:color w:val="000000"/>
                <w:sz w:val="14"/>
                <w:szCs w:val="14"/>
              </w:rPr>
              <w:t>61,301 </w:t>
            </w:r>
          </w:p>
        </w:tc>
        <w:tc>
          <w:tcPr>
            <w:tcW w:w="0" w:type="auto"/>
            <w:shd w:val="clear" w:color="auto" w:fill="CCEEFF"/>
            <w:tcMar>
              <w:top w:w="40" w:type="dxa"/>
              <w:left w:w="0" w:type="dxa"/>
              <w:bottom w:w="40" w:type="dxa"/>
              <w:right w:w="20" w:type="dxa"/>
            </w:tcMar>
            <w:vAlign w:val="bottom"/>
          </w:tcPr>
          <w:p w14:paraId="5F2D625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5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5D" w14:textId="77777777" w:rsidR="00E836FB" w:rsidRDefault="00994958">
            <w:pPr>
              <w:jc w:val="right"/>
              <w:textAlignment w:val="bottom"/>
            </w:pPr>
            <w:r>
              <w:rPr>
                <w:rFonts w:ascii="Arial" w:eastAsia="宋体" w:hAnsi="Arial" w:cs="Arial"/>
                <w:color w:val="000000"/>
                <w:sz w:val="14"/>
                <w:szCs w:val="14"/>
              </w:rPr>
              <w:t>124 </w:t>
            </w:r>
          </w:p>
        </w:tc>
        <w:tc>
          <w:tcPr>
            <w:tcW w:w="0" w:type="auto"/>
            <w:shd w:val="clear" w:color="auto" w:fill="CCEEFF"/>
            <w:tcMar>
              <w:top w:w="40" w:type="dxa"/>
              <w:left w:w="0" w:type="dxa"/>
              <w:bottom w:w="40" w:type="dxa"/>
              <w:right w:w="20" w:type="dxa"/>
            </w:tcMar>
            <w:vAlign w:val="bottom"/>
          </w:tcPr>
          <w:p w14:paraId="5F2D625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5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60"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5F2D6261" w14:textId="77777777" w:rsidR="00E836FB" w:rsidRDefault="00E836FB">
            <w:pPr>
              <w:jc w:val="right"/>
              <w:rPr>
                <w:rFonts w:ascii="宋体"/>
              </w:rPr>
            </w:pPr>
          </w:p>
        </w:tc>
      </w:tr>
      <w:tr w:rsidR="00E836FB" w14:paraId="5F2D627E" w14:textId="77777777">
        <w:tc>
          <w:tcPr>
            <w:tcW w:w="0" w:type="auto"/>
            <w:gridSpan w:val="3"/>
            <w:shd w:val="clear" w:color="auto" w:fill="FFFFFF"/>
            <w:tcMar>
              <w:top w:w="40" w:type="dxa"/>
              <w:left w:w="20" w:type="dxa"/>
              <w:bottom w:w="40" w:type="dxa"/>
              <w:right w:w="20" w:type="dxa"/>
            </w:tcMar>
            <w:vAlign w:val="bottom"/>
          </w:tcPr>
          <w:p w14:paraId="5F2D6263" w14:textId="77777777" w:rsidR="00E836FB" w:rsidRDefault="00994958">
            <w:pPr>
              <w:textAlignment w:val="bottom"/>
            </w:pPr>
            <w:r>
              <w:rPr>
                <w:rFonts w:ascii="Arial" w:eastAsia="宋体" w:hAnsi="Arial" w:cs="Arial"/>
                <w:color w:val="000000"/>
                <w:sz w:val="14"/>
                <w:szCs w:val="14"/>
              </w:rPr>
              <w:t>Total interest-bearing deposits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264" w14:textId="77777777" w:rsidR="00E836FB" w:rsidRDefault="00994958">
            <w:pPr>
              <w:jc w:val="right"/>
              <w:textAlignment w:val="bottom"/>
            </w:pPr>
            <w:r>
              <w:rPr>
                <w:rFonts w:ascii="Arial" w:eastAsia="宋体" w:hAnsi="Arial" w:cs="Arial"/>
                <w:b/>
                <w:bCs/>
                <w:color w:val="000000"/>
                <w:sz w:val="14"/>
                <w:szCs w:val="14"/>
              </w:rPr>
              <w:t>186,974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26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66"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267" w14:textId="77777777" w:rsidR="00E836FB" w:rsidRDefault="00994958">
            <w:pPr>
              <w:jc w:val="right"/>
              <w:textAlignment w:val="bottom"/>
            </w:pPr>
            <w:r>
              <w:rPr>
                <w:rFonts w:ascii="Arial" w:eastAsia="宋体" w:hAnsi="Arial" w:cs="Arial"/>
                <w:b/>
                <w:bCs/>
                <w:color w:val="000000"/>
                <w:sz w:val="14"/>
                <w:szCs w:val="14"/>
              </w:rPr>
              <w:t>(263)</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2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6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6A" w14:textId="77777777" w:rsidR="00E836FB" w:rsidRDefault="00994958">
            <w:pPr>
              <w:jc w:val="right"/>
              <w:textAlignment w:val="bottom"/>
            </w:pPr>
            <w:r>
              <w:rPr>
                <w:rFonts w:ascii="Arial" w:eastAsia="宋体" w:hAnsi="Arial" w:cs="Arial"/>
                <w:b/>
                <w:bCs/>
                <w:color w:val="000000"/>
                <w:sz w:val="14"/>
                <w:szCs w:val="14"/>
              </w:rPr>
              <w:t>(.14)</w:t>
            </w:r>
          </w:p>
        </w:tc>
        <w:tc>
          <w:tcPr>
            <w:tcW w:w="0" w:type="auto"/>
            <w:shd w:val="clear" w:color="auto" w:fill="FFFFFF"/>
            <w:tcMar>
              <w:top w:w="40" w:type="dxa"/>
              <w:left w:w="0" w:type="dxa"/>
              <w:bottom w:w="40" w:type="dxa"/>
              <w:right w:w="20" w:type="dxa"/>
            </w:tcMar>
            <w:vAlign w:val="bottom"/>
          </w:tcPr>
          <w:p w14:paraId="5F2D626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6C"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26D" w14:textId="77777777" w:rsidR="00E836FB" w:rsidRDefault="00994958">
            <w:pPr>
              <w:jc w:val="right"/>
              <w:textAlignment w:val="bottom"/>
            </w:pPr>
            <w:r>
              <w:rPr>
                <w:rFonts w:ascii="Arial" w:eastAsia="宋体" w:hAnsi="Arial" w:cs="Arial"/>
                <w:color w:val="000000"/>
                <w:sz w:val="14"/>
                <w:szCs w:val="14"/>
              </w:rPr>
              <w:t>156,250 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26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6F"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270" w14:textId="77777777" w:rsidR="00E836FB" w:rsidRDefault="00994958">
            <w:pPr>
              <w:jc w:val="right"/>
              <w:textAlignment w:val="bottom"/>
            </w:pPr>
            <w:r>
              <w:rPr>
                <w:rFonts w:ascii="Arial" w:eastAsia="宋体" w:hAnsi="Arial" w:cs="Arial"/>
                <w:color w:val="000000"/>
                <w:sz w:val="14"/>
                <w:szCs w:val="14"/>
              </w:rPr>
              <w:t>(117)</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27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7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73" w14:textId="77777777" w:rsidR="00E836FB" w:rsidRDefault="00994958">
            <w:pPr>
              <w:jc w:val="right"/>
              <w:textAlignment w:val="bottom"/>
            </w:pPr>
            <w:r>
              <w:rPr>
                <w:rFonts w:ascii="Arial" w:eastAsia="宋体" w:hAnsi="Arial" w:cs="Arial"/>
                <w:color w:val="000000"/>
                <w:sz w:val="14"/>
                <w:szCs w:val="14"/>
              </w:rPr>
              <w:t>(.07)</w:t>
            </w:r>
          </w:p>
        </w:tc>
        <w:tc>
          <w:tcPr>
            <w:tcW w:w="0" w:type="auto"/>
            <w:shd w:val="clear" w:color="auto" w:fill="FFFFFF"/>
            <w:tcMar>
              <w:top w:w="40" w:type="dxa"/>
              <w:left w:w="0" w:type="dxa"/>
              <w:bottom w:w="40" w:type="dxa"/>
              <w:right w:w="20" w:type="dxa"/>
            </w:tcMar>
            <w:vAlign w:val="bottom"/>
          </w:tcPr>
          <w:p w14:paraId="5F2D627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75"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276" w14:textId="77777777" w:rsidR="00E836FB" w:rsidRDefault="00994958">
            <w:pPr>
              <w:jc w:val="right"/>
              <w:textAlignment w:val="bottom"/>
            </w:pPr>
            <w:r>
              <w:rPr>
                <w:rFonts w:ascii="Arial" w:eastAsia="宋体" w:hAnsi="Arial" w:cs="Arial"/>
                <w:color w:val="000000"/>
                <w:sz w:val="14"/>
                <w:szCs w:val="14"/>
              </w:rPr>
              <w:t>128,848 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27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78"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279" w14:textId="77777777" w:rsidR="00E836FB" w:rsidRDefault="00994958">
            <w:pPr>
              <w:jc w:val="right"/>
              <w:textAlignment w:val="bottom"/>
            </w:pPr>
            <w:r>
              <w:rPr>
                <w:rFonts w:ascii="Arial" w:eastAsia="宋体" w:hAnsi="Arial" w:cs="Arial"/>
                <w:color w:val="000000"/>
                <w:sz w:val="14"/>
                <w:szCs w:val="14"/>
              </w:rPr>
              <w:t>663 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27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7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7C" w14:textId="77777777" w:rsidR="00E836FB" w:rsidRDefault="00994958">
            <w:pPr>
              <w:jc w:val="right"/>
              <w:textAlignment w:val="bottom"/>
            </w:pPr>
            <w:r>
              <w:rPr>
                <w:rFonts w:ascii="Arial" w:eastAsia="宋体" w:hAnsi="Arial" w:cs="Arial"/>
                <w:color w:val="000000"/>
                <w:sz w:val="14"/>
                <w:szCs w:val="14"/>
              </w:rPr>
              <w:t>.51 </w:t>
            </w:r>
          </w:p>
        </w:tc>
        <w:tc>
          <w:tcPr>
            <w:tcW w:w="0" w:type="auto"/>
            <w:shd w:val="clear" w:color="auto" w:fill="FFFFFF"/>
            <w:tcMar>
              <w:top w:w="40" w:type="dxa"/>
              <w:left w:w="0" w:type="dxa"/>
              <w:bottom w:w="40" w:type="dxa"/>
              <w:right w:w="20" w:type="dxa"/>
            </w:tcMar>
            <w:vAlign w:val="bottom"/>
          </w:tcPr>
          <w:p w14:paraId="5F2D627D" w14:textId="77777777" w:rsidR="00E836FB" w:rsidRDefault="00E836FB">
            <w:pPr>
              <w:jc w:val="right"/>
              <w:rPr>
                <w:rFonts w:ascii="宋体"/>
              </w:rPr>
            </w:pPr>
          </w:p>
        </w:tc>
      </w:tr>
      <w:tr w:rsidR="00E836FB" w14:paraId="5F2D629A" w14:textId="77777777">
        <w:tc>
          <w:tcPr>
            <w:tcW w:w="0" w:type="auto"/>
            <w:gridSpan w:val="3"/>
            <w:shd w:val="clear" w:color="auto" w:fill="CCEEFF"/>
            <w:tcMar>
              <w:top w:w="40" w:type="dxa"/>
              <w:left w:w="20" w:type="dxa"/>
              <w:bottom w:w="40" w:type="dxa"/>
              <w:right w:w="20" w:type="dxa"/>
            </w:tcMar>
            <w:vAlign w:val="bottom"/>
          </w:tcPr>
          <w:p w14:paraId="5F2D627F" w14:textId="77777777" w:rsidR="00E836FB" w:rsidRDefault="00994958">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F2D6280" w14:textId="77777777" w:rsidR="00E836FB" w:rsidRDefault="00994958">
            <w:pPr>
              <w:jc w:val="right"/>
              <w:textAlignment w:val="bottom"/>
            </w:pPr>
            <w:r>
              <w:rPr>
                <w:rFonts w:ascii="Arial" w:eastAsia="宋体" w:hAnsi="Arial" w:cs="Arial"/>
                <w:b/>
                <w:bCs/>
                <w:color w:val="000000"/>
                <w:sz w:val="14"/>
                <w:szCs w:val="14"/>
              </w:rPr>
              <w:t>667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8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8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8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8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8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86"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8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8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89" w14:textId="77777777" w:rsidR="00E836FB" w:rsidRDefault="00994958">
            <w:pPr>
              <w:jc w:val="right"/>
              <w:textAlignment w:val="bottom"/>
            </w:pPr>
            <w:r>
              <w:rPr>
                <w:rFonts w:ascii="Arial" w:eastAsia="宋体" w:hAnsi="Arial" w:cs="Arial"/>
                <w:color w:val="000000"/>
                <w:sz w:val="14"/>
                <w:szCs w:val="14"/>
              </w:rPr>
              <w:t>2,615 </w:t>
            </w:r>
          </w:p>
        </w:tc>
        <w:tc>
          <w:tcPr>
            <w:tcW w:w="0" w:type="auto"/>
            <w:shd w:val="clear" w:color="auto" w:fill="CCEEFF"/>
            <w:tcMar>
              <w:top w:w="40" w:type="dxa"/>
              <w:left w:w="0" w:type="dxa"/>
              <w:bottom w:w="40" w:type="dxa"/>
              <w:right w:w="20" w:type="dxa"/>
            </w:tcMar>
            <w:vAlign w:val="bottom"/>
          </w:tcPr>
          <w:p w14:paraId="5F2D628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8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8C" w14:textId="77777777" w:rsidR="00E836FB" w:rsidRDefault="00994958">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F2D628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8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8F" w14:textId="77777777" w:rsidR="00E836FB" w:rsidRDefault="00994958">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5F2D629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9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92" w14:textId="77777777" w:rsidR="00E836FB" w:rsidRDefault="00994958">
            <w:pPr>
              <w:jc w:val="right"/>
              <w:textAlignment w:val="bottom"/>
            </w:pPr>
            <w:r>
              <w:rPr>
                <w:rFonts w:ascii="Arial" w:eastAsia="宋体" w:hAnsi="Arial" w:cs="Arial"/>
                <w:color w:val="000000"/>
                <w:sz w:val="14"/>
                <w:szCs w:val="14"/>
              </w:rPr>
              <w:t>1,616 </w:t>
            </w:r>
          </w:p>
        </w:tc>
        <w:tc>
          <w:tcPr>
            <w:tcW w:w="0" w:type="auto"/>
            <w:shd w:val="clear" w:color="auto" w:fill="CCEEFF"/>
            <w:tcMar>
              <w:top w:w="40" w:type="dxa"/>
              <w:left w:w="0" w:type="dxa"/>
              <w:bottom w:w="40" w:type="dxa"/>
              <w:right w:w="20" w:type="dxa"/>
            </w:tcMar>
            <w:vAlign w:val="bottom"/>
          </w:tcPr>
          <w:p w14:paraId="5F2D629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9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95" w14:textId="77777777" w:rsidR="00E836FB" w:rsidRDefault="00994958">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5F2D629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9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98" w14:textId="77777777" w:rsidR="00E836FB" w:rsidRDefault="00994958">
            <w:pPr>
              <w:jc w:val="right"/>
              <w:textAlignment w:val="bottom"/>
            </w:pPr>
            <w:r>
              <w:rPr>
                <w:rFonts w:ascii="Arial" w:eastAsia="宋体" w:hAnsi="Arial" w:cs="Arial"/>
                <w:color w:val="000000"/>
                <w:sz w:val="14"/>
                <w:szCs w:val="14"/>
              </w:rPr>
              <w:t>1.90 </w:t>
            </w:r>
          </w:p>
        </w:tc>
        <w:tc>
          <w:tcPr>
            <w:tcW w:w="0" w:type="auto"/>
            <w:shd w:val="clear" w:color="auto" w:fill="CCEEFF"/>
            <w:tcMar>
              <w:top w:w="40" w:type="dxa"/>
              <w:left w:w="0" w:type="dxa"/>
              <w:bottom w:w="40" w:type="dxa"/>
              <w:right w:w="20" w:type="dxa"/>
            </w:tcMar>
            <w:vAlign w:val="bottom"/>
          </w:tcPr>
          <w:p w14:paraId="5F2D6299" w14:textId="77777777" w:rsidR="00E836FB" w:rsidRDefault="00E836FB">
            <w:pPr>
              <w:jc w:val="right"/>
              <w:rPr>
                <w:rFonts w:ascii="宋体"/>
              </w:rPr>
            </w:pPr>
          </w:p>
        </w:tc>
      </w:tr>
      <w:tr w:rsidR="00E836FB" w14:paraId="5F2D62B6" w14:textId="77777777">
        <w:tc>
          <w:tcPr>
            <w:tcW w:w="0" w:type="auto"/>
            <w:gridSpan w:val="3"/>
            <w:shd w:val="clear" w:color="auto" w:fill="FFFFFF"/>
            <w:tcMar>
              <w:top w:w="40" w:type="dxa"/>
              <w:left w:w="20" w:type="dxa"/>
              <w:bottom w:w="40" w:type="dxa"/>
              <w:right w:w="20" w:type="dxa"/>
            </w:tcMar>
            <w:vAlign w:val="bottom"/>
          </w:tcPr>
          <w:p w14:paraId="5F2D629B" w14:textId="77777777" w:rsidR="00E836FB" w:rsidRDefault="00994958">
            <w:pPr>
              <w:textAlignment w:val="bottom"/>
            </w:pPr>
            <w:r>
              <w:rPr>
                <w:rFonts w:ascii="Arial" w:eastAsia="宋体" w:hAnsi="Arial" w:cs="Arial"/>
                <w:color w:val="000000"/>
                <w:sz w:val="14"/>
                <w:szCs w:val="14"/>
              </w:rPr>
              <w:t>Short-term borrowings under money</w:t>
            </w:r>
            <w:r>
              <w:rPr>
                <w:rFonts w:ascii="Arial" w:eastAsia="宋体" w:hAnsi="Arial" w:cs="Arial"/>
                <w:color w:val="000000"/>
                <w:sz w:val="14"/>
                <w:szCs w:val="14"/>
              </w:rPr>
              <w:br/>
              <w:t>market liquidity facility</w:t>
            </w:r>
          </w:p>
        </w:tc>
        <w:tc>
          <w:tcPr>
            <w:tcW w:w="0" w:type="auto"/>
            <w:gridSpan w:val="2"/>
            <w:shd w:val="clear" w:color="auto" w:fill="FFFFFF"/>
            <w:tcMar>
              <w:top w:w="40" w:type="dxa"/>
              <w:left w:w="20" w:type="dxa"/>
              <w:bottom w:w="40" w:type="dxa"/>
              <w:right w:w="0" w:type="dxa"/>
            </w:tcMar>
            <w:vAlign w:val="bottom"/>
          </w:tcPr>
          <w:p w14:paraId="5F2D629C" w14:textId="77777777" w:rsidR="00E836FB" w:rsidRDefault="00994958">
            <w:pPr>
              <w:jc w:val="right"/>
              <w:textAlignment w:val="bottom"/>
            </w:pPr>
            <w:r>
              <w:rPr>
                <w:rFonts w:ascii="Arial" w:eastAsia="宋体" w:hAnsi="Arial" w:cs="Arial"/>
                <w:b/>
                <w:bCs/>
                <w:color w:val="000000"/>
                <w:sz w:val="14"/>
                <w:szCs w:val="14"/>
              </w:rPr>
              <w:t>315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9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9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9F" w14:textId="77777777" w:rsidR="00E836FB" w:rsidRDefault="00994958">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A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A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A2" w14:textId="77777777" w:rsidR="00E836FB" w:rsidRDefault="00994958">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A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A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A5" w14:textId="77777777" w:rsidR="00E836FB" w:rsidRDefault="00994958">
            <w:pPr>
              <w:jc w:val="right"/>
              <w:textAlignment w:val="bottom"/>
            </w:pPr>
            <w:r>
              <w:rPr>
                <w:rFonts w:ascii="Arial" w:eastAsia="宋体" w:hAnsi="Arial" w:cs="Arial"/>
                <w:color w:val="000000"/>
                <w:sz w:val="14"/>
                <w:szCs w:val="14"/>
              </w:rPr>
              <w:t>8,207 </w:t>
            </w:r>
          </w:p>
        </w:tc>
        <w:tc>
          <w:tcPr>
            <w:tcW w:w="0" w:type="auto"/>
            <w:shd w:val="clear" w:color="auto" w:fill="FFFFFF"/>
            <w:tcMar>
              <w:top w:w="40" w:type="dxa"/>
              <w:left w:w="0" w:type="dxa"/>
              <w:bottom w:w="40" w:type="dxa"/>
              <w:right w:w="20" w:type="dxa"/>
            </w:tcMar>
            <w:vAlign w:val="bottom"/>
          </w:tcPr>
          <w:p w14:paraId="5F2D62A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A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A8" w14:textId="77777777" w:rsidR="00E836FB" w:rsidRDefault="00994958">
            <w:pPr>
              <w:jc w:val="right"/>
              <w:textAlignment w:val="bottom"/>
            </w:pPr>
            <w:r>
              <w:rPr>
                <w:rFonts w:ascii="Arial" w:eastAsia="宋体" w:hAnsi="Arial" w:cs="Arial"/>
                <w:color w:val="000000"/>
                <w:sz w:val="14"/>
                <w:szCs w:val="14"/>
              </w:rPr>
              <w:t>101 </w:t>
            </w:r>
          </w:p>
        </w:tc>
        <w:tc>
          <w:tcPr>
            <w:tcW w:w="0" w:type="auto"/>
            <w:shd w:val="clear" w:color="auto" w:fill="FFFFFF"/>
            <w:tcMar>
              <w:top w:w="40" w:type="dxa"/>
              <w:left w:w="0" w:type="dxa"/>
              <w:bottom w:w="40" w:type="dxa"/>
              <w:right w:w="20" w:type="dxa"/>
            </w:tcMar>
            <w:vAlign w:val="bottom"/>
          </w:tcPr>
          <w:p w14:paraId="5F2D62A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A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AB" w14:textId="77777777" w:rsidR="00E836FB" w:rsidRDefault="00994958">
            <w:pPr>
              <w:jc w:val="right"/>
              <w:textAlignment w:val="bottom"/>
            </w:pPr>
            <w:r>
              <w:rPr>
                <w:rFonts w:ascii="Arial" w:eastAsia="宋体" w:hAnsi="Arial" w:cs="Arial"/>
                <w:color w:val="000000"/>
                <w:sz w:val="14"/>
                <w:szCs w:val="14"/>
              </w:rPr>
              <w:t>1.22 </w:t>
            </w:r>
          </w:p>
        </w:tc>
        <w:tc>
          <w:tcPr>
            <w:tcW w:w="0" w:type="auto"/>
            <w:shd w:val="clear" w:color="auto" w:fill="FFFFFF"/>
            <w:tcMar>
              <w:top w:w="40" w:type="dxa"/>
              <w:left w:w="0" w:type="dxa"/>
              <w:bottom w:w="40" w:type="dxa"/>
              <w:right w:w="20" w:type="dxa"/>
            </w:tcMar>
            <w:vAlign w:val="bottom"/>
          </w:tcPr>
          <w:p w14:paraId="5F2D62A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A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A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A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B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B1"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B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B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B4"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B5" w14:textId="77777777" w:rsidR="00E836FB" w:rsidRDefault="00E836FB">
            <w:pPr>
              <w:jc w:val="right"/>
              <w:rPr>
                <w:rFonts w:ascii="宋体"/>
              </w:rPr>
            </w:pPr>
          </w:p>
        </w:tc>
      </w:tr>
      <w:tr w:rsidR="00E836FB" w14:paraId="5F2D62D2" w14:textId="77777777">
        <w:tc>
          <w:tcPr>
            <w:tcW w:w="0" w:type="auto"/>
            <w:gridSpan w:val="3"/>
            <w:shd w:val="clear" w:color="auto" w:fill="CCEEFF"/>
            <w:tcMar>
              <w:top w:w="40" w:type="dxa"/>
              <w:left w:w="20" w:type="dxa"/>
              <w:bottom w:w="40" w:type="dxa"/>
              <w:right w:w="20" w:type="dxa"/>
            </w:tcMar>
            <w:vAlign w:val="bottom"/>
          </w:tcPr>
          <w:p w14:paraId="5F2D62B7" w14:textId="77777777" w:rsidR="00E836FB" w:rsidRDefault="00994958">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5F2D62B8" w14:textId="77777777" w:rsidR="00E836FB" w:rsidRDefault="00994958">
            <w:pPr>
              <w:jc w:val="right"/>
              <w:textAlignment w:val="bottom"/>
            </w:pPr>
            <w:r>
              <w:rPr>
                <w:rFonts w:ascii="Arial" w:eastAsia="宋体" w:hAnsi="Arial" w:cs="Arial"/>
                <w:b/>
                <w:bCs/>
                <w:color w:val="000000"/>
                <w:sz w:val="14"/>
                <w:szCs w:val="14"/>
              </w:rPr>
              <w:t>788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B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B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BB" w14:textId="77777777" w:rsidR="00E836FB" w:rsidRDefault="00994958">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B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B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BE" w14:textId="77777777" w:rsidR="00E836FB" w:rsidRDefault="00994958">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B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C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C1" w14:textId="77777777" w:rsidR="00E836FB" w:rsidRDefault="00994958">
            <w:pPr>
              <w:jc w:val="right"/>
              <w:textAlignment w:val="bottom"/>
            </w:pPr>
            <w:r>
              <w:rPr>
                <w:rFonts w:ascii="Arial" w:eastAsia="宋体" w:hAnsi="Arial" w:cs="Arial"/>
                <w:color w:val="000000"/>
                <w:sz w:val="14"/>
                <w:szCs w:val="14"/>
              </w:rPr>
              <w:t>2,226 </w:t>
            </w:r>
          </w:p>
        </w:tc>
        <w:tc>
          <w:tcPr>
            <w:tcW w:w="0" w:type="auto"/>
            <w:shd w:val="clear" w:color="auto" w:fill="CCEEFF"/>
            <w:tcMar>
              <w:top w:w="40" w:type="dxa"/>
              <w:left w:w="0" w:type="dxa"/>
              <w:bottom w:w="40" w:type="dxa"/>
              <w:right w:w="20" w:type="dxa"/>
            </w:tcMar>
            <w:vAlign w:val="bottom"/>
          </w:tcPr>
          <w:p w14:paraId="5F2D62C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C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C4" w14:textId="77777777" w:rsidR="00E836FB" w:rsidRDefault="00994958">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5F2D62C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C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C7" w14:textId="77777777" w:rsidR="00E836FB" w:rsidRDefault="00994958">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5F2D62C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C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CA" w14:textId="77777777" w:rsidR="00E836FB" w:rsidRDefault="00994958">
            <w:pPr>
              <w:jc w:val="right"/>
              <w:textAlignment w:val="bottom"/>
            </w:pPr>
            <w:r>
              <w:rPr>
                <w:rFonts w:ascii="Arial" w:eastAsia="宋体" w:hAnsi="Arial" w:cs="Arial"/>
                <w:color w:val="000000"/>
                <w:sz w:val="14"/>
                <w:szCs w:val="14"/>
              </w:rPr>
              <w:t>1,524 </w:t>
            </w:r>
          </w:p>
        </w:tc>
        <w:tc>
          <w:tcPr>
            <w:tcW w:w="0" w:type="auto"/>
            <w:shd w:val="clear" w:color="auto" w:fill="CCEEFF"/>
            <w:tcMar>
              <w:top w:w="40" w:type="dxa"/>
              <w:left w:w="0" w:type="dxa"/>
              <w:bottom w:w="40" w:type="dxa"/>
              <w:right w:w="20" w:type="dxa"/>
            </w:tcMar>
            <w:vAlign w:val="bottom"/>
          </w:tcPr>
          <w:p w14:paraId="5F2D62C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C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CD" w14:textId="77777777" w:rsidR="00E836FB" w:rsidRDefault="00994958">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5F2D62C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C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D0" w14:textId="77777777" w:rsidR="00E836FB" w:rsidRDefault="00994958">
            <w:pPr>
              <w:jc w:val="right"/>
              <w:textAlignment w:val="bottom"/>
            </w:pPr>
            <w:r>
              <w:rPr>
                <w:rFonts w:ascii="Arial" w:eastAsia="宋体" w:hAnsi="Arial" w:cs="Arial"/>
                <w:color w:val="000000"/>
                <w:sz w:val="14"/>
                <w:szCs w:val="14"/>
              </w:rPr>
              <w:t>1.37 </w:t>
            </w:r>
          </w:p>
        </w:tc>
        <w:tc>
          <w:tcPr>
            <w:tcW w:w="0" w:type="auto"/>
            <w:shd w:val="clear" w:color="auto" w:fill="CCEEFF"/>
            <w:tcMar>
              <w:top w:w="40" w:type="dxa"/>
              <w:left w:w="0" w:type="dxa"/>
              <w:bottom w:w="40" w:type="dxa"/>
              <w:right w:w="20" w:type="dxa"/>
            </w:tcMar>
            <w:vAlign w:val="bottom"/>
          </w:tcPr>
          <w:p w14:paraId="5F2D62D1" w14:textId="77777777" w:rsidR="00E836FB" w:rsidRDefault="00E836FB">
            <w:pPr>
              <w:jc w:val="right"/>
              <w:rPr>
                <w:rFonts w:ascii="宋体"/>
              </w:rPr>
            </w:pPr>
          </w:p>
        </w:tc>
      </w:tr>
      <w:tr w:rsidR="00E836FB" w14:paraId="5F2D62EE" w14:textId="77777777">
        <w:tc>
          <w:tcPr>
            <w:tcW w:w="0" w:type="auto"/>
            <w:gridSpan w:val="3"/>
            <w:shd w:val="clear" w:color="auto" w:fill="FFFFFF"/>
            <w:tcMar>
              <w:top w:w="40" w:type="dxa"/>
              <w:left w:w="20" w:type="dxa"/>
              <w:bottom w:w="40" w:type="dxa"/>
              <w:right w:w="20" w:type="dxa"/>
            </w:tcMar>
            <w:vAlign w:val="bottom"/>
          </w:tcPr>
          <w:p w14:paraId="5F2D62D3" w14:textId="77777777" w:rsidR="00E836FB" w:rsidRDefault="00994958">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5F2D62D4" w14:textId="77777777" w:rsidR="00E836FB" w:rsidRDefault="00994958">
            <w:pPr>
              <w:jc w:val="right"/>
              <w:textAlignment w:val="bottom"/>
            </w:pPr>
            <w:r>
              <w:rPr>
                <w:rFonts w:ascii="Arial" w:eastAsia="宋体" w:hAnsi="Arial" w:cs="Arial"/>
                <w:b/>
                <w:bCs/>
                <w:color w:val="000000"/>
                <w:sz w:val="14"/>
                <w:szCs w:val="14"/>
              </w:rPr>
              <w:t>13,383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D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D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D7" w14:textId="77777777" w:rsidR="00E836FB" w:rsidRDefault="00994958">
            <w:pPr>
              <w:jc w:val="right"/>
              <w:textAlignment w:val="bottom"/>
            </w:pPr>
            <w:r>
              <w:rPr>
                <w:rFonts w:ascii="Arial" w:eastAsia="宋体" w:hAnsi="Arial" w:cs="Arial"/>
                <w:b/>
                <w:bCs/>
                <w:color w:val="000000"/>
                <w:sz w:val="14"/>
                <w:szCs w:val="14"/>
              </w:rPr>
              <w:t>219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D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D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DA" w14:textId="77777777" w:rsidR="00E836FB" w:rsidRDefault="00994958">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2D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D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DD" w14:textId="77777777" w:rsidR="00E836FB" w:rsidRDefault="00994958">
            <w:pPr>
              <w:jc w:val="right"/>
              <w:textAlignment w:val="bottom"/>
            </w:pPr>
            <w:r>
              <w:rPr>
                <w:rFonts w:ascii="Arial" w:eastAsia="宋体" w:hAnsi="Arial" w:cs="Arial"/>
                <w:color w:val="000000"/>
                <w:sz w:val="14"/>
                <w:szCs w:val="14"/>
              </w:rPr>
              <w:t>14,371 </w:t>
            </w:r>
          </w:p>
        </w:tc>
        <w:tc>
          <w:tcPr>
            <w:tcW w:w="0" w:type="auto"/>
            <w:shd w:val="clear" w:color="auto" w:fill="FFFFFF"/>
            <w:tcMar>
              <w:top w:w="40" w:type="dxa"/>
              <w:left w:w="0" w:type="dxa"/>
              <w:bottom w:w="40" w:type="dxa"/>
              <w:right w:w="20" w:type="dxa"/>
            </w:tcMar>
            <w:vAlign w:val="bottom"/>
          </w:tcPr>
          <w:p w14:paraId="5F2D62D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D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E0" w14:textId="77777777" w:rsidR="00E836FB" w:rsidRDefault="00994958">
            <w:pPr>
              <w:jc w:val="right"/>
              <w:textAlignment w:val="bottom"/>
            </w:pPr>
            <w:r>
              <w:rPr>
                <w:rFonts w:ascii="Arial" w:eastAsia="宋体" w:hAnsi="Arial" w:cs="Arial"/>
                <w:color w:val="000000"/>
                <w:sz w:val="14"/>
                <w:szCs w:val="14"/>
              </w:rPr>
              <w:t>312 </w:t>
            </w:r>
          </w:p>
        </w:tc>
        <w:tc>
          <w:tcPr>
            <w:tcW w:w="0" w:type="auto"/>
            <w:shd w:val="clear" w:color="auto" w:fill="FFFFFF"/>
            <w:tcMar>
              <w:top w:w="40" w:type="dxa"/>
              <w:left w:w="0" w:type="dxa"/>
              <w:bottom w:w="40" w:type="dxa"/>
              <w:right w:w="20" w:type="dxa"/>
            </w:tcMar>
            <w:vAlign w:val="bottom"/>
          </w:tcPr>
          <w:p w14:paraId="5F2D62E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E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E3" w14:textId="77777777" w:rsidR="00E836FB" w:rsidRDefault="00994958">
            <w:pPr>
              <w:jc w:val="right"/>
              <w:textAlignment w:val="bottom"/>
            </w:pPr>
            <w:r>
              <w:rPr>
                <w:rFonts w:ascii="Arial" w:eastAsia="宋体" w:hAnsi="Arial" w:cs="Arial"/>
                <w:color w:val="000000"/>
                <w:sz w:val="14"/>
                <w:szCs w:val="14"/>
              </w:rPr>
              <w:t>2.17 </w:t>
            </w:r>
          </w:p>
        </w:tc>
        <w:tc>
          <w:tcPr>
            <w:tcW w:w="0" w:type="auto"/>
            <w:shd w:val="clear" w:color="auto" w:fill="FFFFFF"/>
            <w:tcMar>
              <w:top w:w="40" w:type="dxa"/>
              <w:left w:w="0" w:type="dxa"/>
              <w:bottom w:w="40" w:type="dxa"/>
              <w:right w:w="20" w:type="dxa"/>
            </w:tcMar>
            <w:vAlign w:val="bottom"/>
          </w:tcPr>
          <w:p w14:paraId="5F2D62E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E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E6" w14:textId="77777777" w:rsidR="00E836FB" w:rsidRDefault="00994958">
            <w:pPr>
              <w:jc w:val="right"/>
              <w:textAlignment w:val="bottom"/>
            </w:pPr>
            <w:r>
              <w:rPr>
                <w:rFonts w:ascii="Arial" w:eastAsia="宋体" w:hAnsi="Arial" w:cs="Arial"/>
                <w:color w:val="000000"/>
                <w:sz w:val="14"/>
                <w:szCs w:val="14"/>
              </w:rPr>
              <w:t>11,474 </w:t>
            </w:r>
          </w:p>
        </w:tc>
        <w:tc>
          <w:tcPr>
            <w:tcW w:w="0" w:type="auto"/>
            <w:shd w:val="clear" w:color="auto" w:fill="FFFFFF"/>
            <w:tcMar>
              <w:top w:w="40" w:type="dxa"/>
              <w:left w:w="0" w:type="dxa"/>
              <w:bottom w:w="40" w:type="dxa"/>
              <w:right w:w="20" w:type="dxa"/>
            </w:tcMar>
            <w:vAlign w:val="bottom"/>
          </w:tcPr>
          <w:p w14:paraId="5F2D62E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E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E9" w14:textId="77777777" w:rsidR="00E836FB" w:rsidRDefault="00994958">
            <w:pPr>
              <w:jc w:val="right"/>
              <w:textAlignment w:val="bottom"/>
            </w:pPr>
            <w:r>
              <w:rPr>
                <w:rFonts w:ascii="Arial" w:eastAsia="宋体" w:hAnsi="Arial" w:cs="Arial"/>
                <w:color w:val="000000"/>
                <w:sz w:val="14"/>
                <w:szCs w:val="14"/>
              </w:rPr>
              <w:t>414 </w:t>
            </w:r>
          </w:p>
        </w:tc>
        <w:tc>
          <w:tcPr>
            <w:tcW w:w="0" w:type="auto"/>
            <w:shd w:val="clear" w:color="auto" w:fill="FFFFFF"/>
            <w:tcMar>
              <w:top w:w="40" w:type="dxa"/>
              <w:left w:w="0" w:type="dxa"/>
              <w:bottom w:w="40" w:type="dxa"/>
              <w:right w:w="20" w:type="dxa"/>
            </w:tcMar>
            <w:vAlign w:val="bottom"/>
          </w:tcPr>
          <w:p w14:paraId="5F2D62E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2E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2EC" w14:textId="77777777" w:rsidR="00E836FB" w:rsidRDefault="00994958">
            <w:pPr>
              <w:jc w:val="right"/>
              <w:textAlignment w:val="bottom"/>
            </w:pPr>
            <w:r>
              <w:rPr>
                <w:rFonts w:ascii="Arial" w:eastAsia="宋体" w:hAnsi="Arial" w:cs="Arial"/>
                <w:color w:val="000000"/>
                <w:sz w:val="14"/>
                <w:szCs w:val="14"/>
              </w:rPr>
              <w:t>3.61 </w:t>
            </w:r>
          </w:p>
        </w:tc>
        <w:tc>
          <w:tcPr>
            <w:tcW w:w="0" w:type="auto"/>
            <w:shd w:val="clear" w:color="auto" w:fill="FFFFFF"/>
            <w:tcMar>
              <w:top w:w="40" w:type="dxa"/>
              <w:left w:w="0" w:type="dxa"/>
              <w:bottom w:w="40" w:type="dxa"/>
              <w:right w:w="20" w:type="dxa"/>
            </w:tcMar>
            <w:vAlign w:val="bottom"/>
          </w:tcPr>
          <w:p w14:paraId="5F2D62ED" w14:textId="77777777" w:rsidR="00E836FB" w:rsidRDefault="00E836FB">
            <w:pPr>
              <w:jc w:val="right"/>
              <w:rPr>
                <w:rFonts w:ascii="宋体"/>
              </w:rPr>
            </w:pPr>
          </w:p>
        </w:tc>
      </w:tr>
      <w:tr w:rsidR="00E836FB" w14:paraId="5F2D630A" w14:textId="77777777">
        <w:tc>
          <w:tcPr>
            <w:tcW w:w="0" w:type="auto"/>
            <w:gridSpan w:val="3"/>
            <w:shd w:val="clear" w:color="auto" w:fill="CCEEFF"/>
            <w:tcMar>
              <w:top w:w="40" w:type="dxa"/>
              <w:left w:w="20" w:type="dxa"/>
              <w:bottom w:w="40" w:type="dxa"/>
              <w:right w:w="20" w:type="dxa"/>
            </w:tcMar>
            <w:vAlign w:val="bottom"/>
          </w:tcPr>
          <w:p w14:paraId="5F2D62EF" w14:textId="77777777" w:rsidR="00E836FB" w:rsidRDefault="00994958">
            <w:pPr>
              <w:textAlignment w:val="bottom"/>
            </w:pPr>
            <w:r>
              <w:rPr>
                <w:rFonts w:ascii="Arial" w:eastAsia="宋体" w:hAnsi="Arial" w:cs="Arial"/>
                <w:color w:val="000000"/>
                <w:sz w:val="14"/>
                <w:szCs w:val="14"/>
              </w:rPr>
              <w:t>Other interest-bearing liabilities</w:t>
            </w:r>
          </w:p>
        </w:tc>
        <w:tc>
          <w:tcPr>
            <w:tcW w:w="0" w:type="auto"/>
            <w:gridSpan w:val="2"/>
            <w:shd w:val="clear" w:color="auto" w:fill="CCEEFF"/>
            <w:tcMar>
              <w:top w:w="40" w:type="dxa"/>
              <w:left w:w="20" w:type="dxa"/>
              <w:bottom w:w="40" w:type="dxa"/>
              <w:right w:w="0" w:type="dxa"/>
            </w:tcMar>
            <w:vAlign w:val="bottom"/>
          </w:tcPr>
          <w:p w14:paraId="5F2D62F0" w14:textId="77777777" w:rsidR="00E836FB" w:rsidRDefault="00994958">
            <w:pPr>
              <w:jc w:val="right"/>
              <w:textAlignment w:val="bottom"/>
            </w:pPr>
            <w:r>
              <w:rPr>
                <w:rFonts w:ascii="Arial" w:eastAsia="宋体" w:hAnsi="Arial" w:cs="Arial"/>
                <w:b/>
                <w:bCs/>
                <w:color w:val="000000"/>
                <w:sz w:val="14"/>
                <w:szCs w:val="14"/>
              </w:rPr>
              <w:t>5,486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F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F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F3" w14:textId="77777777" w:rsidR="00E836FB" w:rsidRDefault="00994958">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F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F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F6" w14:textId="77777777" w:rsidR="00E836FB" w:rsidRDefault="00994958">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2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F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F9" w14:textId="77777777" w:rsidR="00E836FB" w:rsidRDefault="00994958">
            <w:pPr>
              <w:jc w:val="right"/>
              <w:textAlignment w:val="bottom"/>
            </w:pPr>
            <w:r>
              <w:rPr>
                <w:rFonts w:ascii="Arial" w:eastAsia="宋体" w:hAnsi="Arial" w:cs="Arial"/>
                <w:color w:val="000000"/>
                <w:sz w:val="14"/>
                <w:szCs w:val="14"/>
              </w:rPr>
              <w:t>3,176 </w:t>
            </w:r>
          </w:p>
        </w:tc>
        <w:tc>
          <w:tcPr>
            <w:tcW w:w="0" w:type="auto"/>
            <w:shd w:val="clear" w:color="auto" w:fill="CCEEFF"/>
            <w:tcMar>
              <w:top w:w="40" w:type="dxa"/>
              <w:left w:w="0" w:type="dxa"/>
              <w:bottom w:w="40" w:type="dxa"/>
              <w:right w:w="20" w:type="dxa"/>
            </w:tcMar>
            <w:vAlign w:val="bottom"/>
          </w:tcPr>
          <w:p w14:paraId="5F2D62F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F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FC" w14:textId="77777777" w:rsidR="00E836FB" w:rsidRDefault="00994958">
            <w:pPr>
              <w:jc w:val="right"/>
              <w:textAlignment w:val="bottom"/>
            </w:pPr>
            <w:r>
              <w:rPr>
                <w:rFonts w:ascii="Arial" w:eastAsia="宋体" w:hAnsi="Arial" w:cs="Arial"/>
                <w:color w:val="000000"/>
                <w:sz w:val="14"/>
                <w:szCs w:val="14"/>
              </w:rPr>
              <w:t>57 </w:t>
            </w:r>
          </w:p>
        </w:tc>
        <w:tc>
          <w:tcPr>
            <w:tcW w:w="0" w:type="auto"/>
            <w:shd w:val="clear" w:color="auto" w:fill="CCEEFF"/>
            <w:tcMar>
              <w:top w:w="40" w:type="dxa"/>
              <w:left w:w="0" w:type="dxa"/>
              <w:bottom w:w="40" w:type="dxa"/>
              <w:right w:w="20" w:type="dxa"/>
            </w:tcMar>
            <w:vAlign w:val="bottom"/>
          </w:tcPr>
          <w:p w14:paraId="5F2D62F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2F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2FF" w14:textId="77777777" w:rsidR="00E836FB" w:rsidRDefault="00994958">
            <w:pPr>
              <w:jc w:val="right"/>
              <w:textAlignment w:val="bottom"/>
            </w:pPr>
            <w:r>
              <w:rPr>
                <w:rFonts w:ascii="Arial" w:eastAsia="宋体" w:hAnsi="Arial" w:cs="Arial"/>
                <w:color w:val="000000"/>
                <w:sz w:val="14"/>
                <w:szCs w:val="14"/>
              </w:rPr>
              <w:t>1.82 </w:t>
            </w:r>
          </w:p>
        </w:tc>
        <w:tc>
          <w:tcPr>
            <w:tcW w:w="0" w:type="auto"/>
            <w:shd w:val="clear" w:color="auto" w:fill="CCEEFF"/>
            <w:tcMar>
              <w:top w:w="40" w:type="dxa"/>
              <w:left w:w="0" w:type="dxa"/>
              <w:bottom w:w="40" w:type="dxa"/>
              <w:right w:w="20" w:type="dxa"/>
            </w:tcMar>
            <w:vAlign w:val="bottom"/>
          </w:tcPr>
          <w:p w14:paraId="5F2D630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0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02" w14:textId="77777777" w:rsidR="00E836FB" w:rsidRDefault="00994958">
            <w:pPr>
              <w:jc w:val="right"/>
              <w:textAlignment w:val="bottom"/>
            </w:pPr>
            <w:r>
              <w:rPr>
                <w:rFonts w:ascii="Arial" w:eastAsia="宋体" w:hAnsi="Arial" w:cs="Arial"/>
                <w:color w:val="000000"/>
                <w:sz w:val="14"/>
                <w:szCs w:val="14"/>
              </w:rPr>
              <w:t>4,103 </w:t>
            </w:r>
          </w:p>
        </w:tc>
        <w:tc>
          <w:tcPr>
            <w:tcW w:w="0" w:type="auto"/>
            <w:shd w:val="clear" w:color="auto" w:fill="CCEEFF"/>
            <w:tcMar>
              <w:top w:w="40" w:type="dxa"/>
              <w:left w:w="0" w:type="dxa"/>
              <w:bottom w:w="40" w:type="dxa"/>
              <w:right w:w="20" w:type="dxa"/>
            </w:tcMar>
            <w:vAlign w:val="bottom"/>
          </w:tcPr>
          <w:p w14:paraId="5F2D630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0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05" w14:textId="77777777" w:rsidR="00E836FB" w:rsidRDefault="00994958">
            <w:pPr>
              <w:jc w:val="right"/>
              <w:textAlignment w:val="bottom"/>
            </w:pPr>
            <w:r>
              <w:rPr>
                <w:rFonts w:ascii="Arial" w:eastAsia="宋体" w:hAnsi="Arial" w:cs="Arial"/>
                <w:color w:val="000000"/>
                <w:sz w:val="14"/>
                <w:szCs w:val="14"/>
              </w:rPr>
              <w:t>246 </w:t>
            </w:r>
          </w:p>
        </w:tc>
        <w:tc>
          <w:tcPr>
            <w:tcW w:w="0" w:type="auto"/>
            <w:shd w:val="clear" w:color="auto" w:fill="CCEEFF"/>
            <w:tcMar>
              <w:top w:w="40" w:type="dxa"/>
              <w:left w:w="0" w:type="dxa"/>
              <w:bottom w:w="40" w:type="dxa"/>
              <w:right w:w="20" w:type="dxa"/>
            </w:tcMar>
            <w:vAlign w:val="bottom"/>
          </w:tcPr>
          <w:p w14:paraId="5F2D630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0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08" w14:textId="77777777" w:rsidR="00E836FB" w:rsidRDefault="00994958">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5F2D6309" w14:textId="77777777" w:rsidR="00E836FB" w:rsidRDefault="00E836FB">
            <w:pPr>
              <w:jc w:val="right"/>
              <w:rPr>
                <w:rFonts w:ascii="宋体"/>
              </w:rPr>
            </w:pPr>
          </w:p>
        </w:tc>
      </w:tr>
      <w:tr w:rsidR="00E836FB" w14:paraId="5F2D6326" w14:textId="77777777">
        <w:tc>
          <w:tcPr>
            <w:tcW w:w="0" w:type="auto"/>
            <w:gridSpan w:val="3"/>
            <w:shd w:val="clear" w:color="auto" w:fill="FFFFFF"/>
            <w:tcMar>
              <w:top w:w="40" w:type="dxa"/>
              <w:left w:w="20" w:type="dxa"/>
              <w:bottom w:w="40" w:type="dxa"/>
              <w:right w:w="20" w:type="dxa"/>
            </w:tcMar>
            <w:vAlign w:val="bottom"/>
          </w:tcPr>
          <w:p w14:paraId="5F2D630B" w14:textId="77777777" w:rsidR="00E836FB" w:rsidRDefault="00994958">
            <w:pPr>
              <w:textAlignment w:val="bottom"/>
            </w:pPr>
            <w:r>
              <w:rPr>
                <w:rFonts w:ascii="Arial" w:eastAsia="宋体" w:hAnsi="Arial" w:cs="Arial"/>
                <w:color w:val="000000"/>
                <w:sz w:val="14"/>
                <w:szCs w:val="14"/>
              </w:rPr>
              <w:t>Total interest-bearing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30C" w14:textId="77777777" w:rsidR="00E836FB" w:rsidRDefault="00994958">
            <w:pPr>
              <w:jc w:val="right"/>
              <w:textAlignment w:val="bottom"/>
            </w:pPr>
            <w:r>
              <w:rPr>
                <w:rFonts w:ascii="Arial" w:eastAsia="宋体" w:hAnsi="Arial" w:cs="Arial"/>
                <w:b/>
                <w:bCs/>
                <w:color w:val="000000"/>
                <w:sz w:val="14"/>
                <w:szCs w:val="14"/>
              </w:rPr>
              <w:t>207,613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0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0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30F"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1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1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12"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31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1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315" w14:textId="77777777" w:rsidR="00E836FB" w:rsidRDefault="00994958">
            <w:pPr>
              <w:jc w:val="right"/>
              <w:textAlignment w:val="bottom"/>
            </w:pPr>
            <w:r>
              <w:rPr>
                <w:rFonts w:ascii="Arial" w:eastAsia="宋体" w:hAnsi="Arial" w:cs="Arial"/>
                <w:color w:val="000000"/>
                <w:sz w:val="14"/>
                <w:szCs w:val="14"/>
              </w:rPr>
              <w:t>186,845 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1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1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318" w14:textId="77777777" w:rsidR="00E836FB" w:rsidRDefault="00994958">
            <w:pPr>
              <w:jc w:val="right"/>
              <w:textAlignment w:val="bottom"/>
            </w:pPr>
            <w:r>
              <w:rPr>
                <w:rFonts w:ascii="Arial" w:eastAsia="宋体" w:hAnsi="Arial" w:cs="Arial"/>
                <w:color w:val="000000"/>
                <w:sz w:val="14"/>
                <w:szCs w:val="14"/>
              </w:rPr>
              <w:t>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1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1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1B" w14:textId="77777777" w:rsidR="00E836FB" w:rsidRDefault="00994958">
            <w:pPr>
              <w:jc w:val="right"/>
              <w:textAlignment w:val="bottom"/>
            </w:pPr>
            <w:r>
              <w:rPr>
                <w:rFonts w:ascii="Arial" w:eastAsia="宋体" w:hAnsi="Arial" w:cs="Arial"/>
                <w:color w:val="000000"/>
                <w:sz w:val="14"/>
                <w:szCs w:val="14"/>
              </w:rPr>
              <w:t>.20 </w:t>
            </w:r>
          </w:p>
        </w:tc>
        <w:tc>
          <w:tcPr>
            <w:tcW w:w="0" w:type="auto"/>
            <w:shd w:val="clear" w:color="auto" w:fill="FFFFFF"/>
            <w:tcMar>
              <w:top w:w="40" w:type="dxa"/>
              <w:left w:w="0" w:type="dxa"/>
              <w:bottom w:w="40" w:type="dxa"/>
              <w:right w:w="20" w:type="dxa"/>
            </w:tcMar>
            <w:vAlign w:val="bottom"/>
          </w:tcPr>
          <w:p w14:paraId="5F2D631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1D"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31E" w14:textId="77777777" w:rsidR="00E836FB" w:rsidRDefault="00994958">
            <w:pPr>
              <w:jc w:val="right"/>
              <w:textAlignment w:val="bottom"/>
            </w:pPr>
            <w:r>
              <w:rPr>
                <w:rFonts w:ascii="Arial" w:eastAsia="宋体" w:hAnsi="Arial" w:cs="Arial"/>
                <w:color w:val="000000"/>
                <w:sz w:val="14"/>
                <w:szCs w:val="14"/>
              </w:rPr>
              <w:t>147,565 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1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20"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321" w14:textId="77777777" w:rsidR="00E836FB" w:rsidRDefault="00994958">
            <w:pPr>
              <w:jc w:val="right"/>
              <w:textAlignment w:val="bottom"/>
            </w:pPr>
            <w:r>
              <w:rPr>
                <w:rFonts w:ascii="Arial" w:eastAsia="宋体" w:hAnsi="Arial" w:cs="Arial"/>
                <w:color w:val="000000"/>
                <w:sz w:val="14"/>
                <w:szCs w:val="14"/>
              </w:rPr>
              <w:t>1,375 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2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2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24"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FFFFFF"/>
            <w:tcMar>
              <w:top w:w="40" w:type="dxa"/>
              <w:left w:w="0" w:type="dxa"/>
              <w:bottom w:w="40" w:type="dxa"/>
              <w:right w:w="20" w:type="dxa"/>
            </w:tcMar>
            <w:vAlign w:val="bottom"/>
          </w:tcPr>
          <w:p w14:paraId="5F2D6325" w14:textId="77777777" w:rsidR="00E836FB" w:rsidRDefault="00E836FB">
            <w:pPr>
              <w:jc w:val="right"/>
              <w:rPr>
                <w:rFonts w:ascii="宋体"/>
              </w:rPr>
            </w:pPr>
          </w:p>
        </w:tc>
      </w:tr>
      <w:tr w:rsidR="00E836FB" w14:paraId="5F2D6339" w14:textId="77777777">
        <w:tc>
          <w:tcPr>
            <w:tcW w:w="0" w:type="auto"/>
            <w:gridSpan w:val="3"/>
            <w:shd w:val="clear" w:color="auto" w:fill="CCEEFF"/>
            <w:tcMar>
              <w:top w:w="40" w:type="dxa"/>
              <w:left w:w="20" w:type="dxa"/>
              <w:bottom w:w="40" w:type="dxa"/>
              <w:right w:w="20" w:type="dxa"/>
            </w:tcMar>
            <w:vAlign w:val="bottom"/>
          </w:tcPr>
          <w:p w14:paraId="5F2D6327" w14:textId="77777777" w:rsidR="00E836FB" w:rsidRDefault="00994958">
            <w:pPr>
              <w:textAlignment w:val="bottom"/>
            </w:pPr>
            <w:r>
              <w:rPr>
                <w:rFonts w:ascii="Arial" w:eastAsia="宋体" w:hAnsi="Arial" w:cs="Arial"/>
                <w:color w:val="000000"/>
                <w:sz w:val="14"/>
                <w:szCs w:val="14"/>
              </w:rPr>
              <w:t>Non-interest-bearing deposits:</w:t>
            </w:r>
          </w:p>
        </w:tc>
        <w:tc>
          <w:tcPr>
            <w:tcW w:w="0" w:type="auto"/>
            <w:gridSpan w:val="3"/>
            <w:shd w:val="clear" w:color="auto" w:fill="CCEEFF"/>
            <w:tcMar>
              <w:top w:w="0" w:type="dxa"/>
              <w:left w:w="20" w:type="dxa"/>
              <w:bottom w:w="0" w:type="dxa"/>
              <w:right w:w="20" w:type="dxa"/>
            </w:tcMar>
            <w:vAlign w:val="bottom"/>
          </w:tcPr>
          <w:p w14:paraId="5F2D632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2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2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2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2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2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2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2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38" w14:textId="77777777" w:rsidR="00E836FB" w:rsidRDefault="00E836FB">
            <w:pPr>
              <w:rPr>
                <w:rFonts w:ascii="宋体"/>
              </w:rPr>
            </w:pPr>
          </w:p>
        </w:tc>
      </w:tr>
      <w:tr w:rsidR="00E836FB" w14:paraId="5F2D634F" w14:textId="77777777">
        <w:tc>
          <w:tcPr>
            <w:tcW w:w="0" w:type="auto"/>
            <w:gridSpan w:val="3"/>
            <w:shd w:val="clear" w:color="auto" w:fill="FFFFFF"/>
            <w:tcMar>
              <w:top w:w="40" w:type="dxa"/>
              <w:left w:w="155" w:type="dxa"/>
              <w:bottom w:w="40" w:type="dxa"/>
              <w:right w:w="20" w:type="dxa"/>
            </w:tcMar>
            <w:vAlign w:val="bottom"/>
          </w:tcPr>
          <w:p w14:paraId="5F2D633A" w14:textId="77777777" w:rsidR="00E836FB" w:rsidRDefault="00994958">
            <w:pPr>
              <w:textAlignment w:val="bottom"/>
            </w:pPr>
            <w:r>
              <w:rPr>
                <w:rFonts w:ascii="Arial" w:eastAsia="宋体" w:hAnsi="Arial" w:cs="Arial"/>
                <w:color w:val="000000"/>
                <w:sz w:val="14"/>
                <w:szCs w:val="14"/>
              </w:rPr>
              <w:t>Special time</w:t>
            </w:r>
          </w:p>
        </w:tc>
        <w:tc>
          <w:tcPr>
            <w:tcW w:w="0" w:type="auto"/>
            <w:gridSpan w:val="2"/>
            <w:shd w:val="clear" w:color="auto" w:fill="FFFFFF"/>
            <w:tcMar>
              <w:top w:w="40" w:type="dxa"/>
              <w:left w:w="20" w:type="dxa"/>
              <w:bottom w:w="40" w:type="dxa"/>
              <w:right w:w="0" w:type="dxa"/>
            </w:tcMar>
            <w:vAlign w:val="bottom"/>
          </w:tcPr>
          <w:p w14:paraId="5F2D633B"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33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3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3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3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42" w14:textId="77777777" w:rsidR="00E836FB" w:rsidRDefault="00994958">
            <w:pPr>
              <w:jc w:val="right"/>
              <w:textAlignment w:val="bottom"/>
            </w:pPr>
            <w:r>
              <w:rPr>
                <w:rFonts w:ascii="Arial" w:eastAsia="宋体" w:hAnsi="Arial" w:cs="Arial"/>
                <w:color w:val="000000"/>
                <w:sz w:val="14"/>
                <w:szCs w:val="14"/>
              </w:rPr>
              <w:t>7,196 </w:t>
            </w:r>
          </w:p>
        </w:tc>
        <w:tc>
          <w:tcPr>
            <w:tcW w:w="0" w:type="auto"/>
            <w:shd w:val="clear" w:color="auto" w:fill="FFFFFF"/>
            <w:tcMar>
              <w:top w:w="40" w:type="dxa"/>
              <w:left w:w="0" w:type="dxa"/>
              <w:bottom w:w="40" w:type="dxa"/>
              <w:right w:w="20" w:type="dxa"/>
            </w:tcMar>
            <w:vAlign w:val="bottom"/>
          </w:tcPr>
          <w:p w14:paraId="5F2D634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4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49" w14:textId="77777777" w:rsidR="00E836FB" w:rsidRDefault="00994958">
            <w:pPr>
              <w:jc w:val="right"/>
              <w:textAlignment w:val="bottom"/>
            </w:pPr>
            <w:r>
              <w:rPr>
                <w:rFonts w:ascii="Arial" w:eastAsia="宋体" w:hAnsi="Arial" w:cs="Arial"/>
                <w:color w:val="000000"/>
                <w:sz w:val="14"/>
                <w:szCs w:val="14"/>
              </w:rPr>
              <w:t>15,338 </w:t>
            </w:r>
          </w:p>
        </w:tc>
        <w:tc>
          <w:tcPr>
            <w:tcW w:w="0" w:type="auto"/>
            <w:shd w:val="clear" w:color="auto" w:fill="FFFFFF"/>
            <w:tcMar>
              <w:top w:w="40" w:type="dxa"/>
              <w:left w:w="0" w:type="dxa"/>
              <w:bottom w:w="40" w:type="dxa"/>
              <w:right w:w="20" w:type="dxa"/>
            </w:tcMar>
            <w:vAlign w:val="bottom"/>
          </w:tcPr>
          <w:p w14:paraId="5F2D634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4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4E" w14:textId="77777777" w:rsidR="00E836FB" w:rsidRDefault="00E836FB">
            <w:pPr>
              <w:rPr>
                <w:rFonts w:ascii="宋体"/>
              </w:rPr>
            </w:pPr>
          </w:p>
        </w:tc>
      </w:tr>
      <w:tr w:rsidR="00E836FB" w14:paraId="5F2D6365" w14:textId="77777777">
        <w:tc>
          <w:tcPr>
            <w:tcW w:w="0" w:type="auto"/>
            <w:gridSpan w:val="3"/>
            <w:shd w:val="clear" w:color="auto" w:fill="CCEEFF"/>
            <w:tcMar>
              <w:top w:w="40" w:type="dxa"/>
              <w:left w:w="155" w:type="dxa"/>
              <w:bottom w:w="40" w:type="dxa"/>
              <w:right w:w="20" w:type="dxa"/>
            </w:tcMar>
            <w:vAlign w:val="bottom"/>
          </w:tcPr>
          <w:p w14:paraId="5F2D6350" w14:textId="77777777" w:rsidR="00E836FB" w:rsidRDefault="00994958">
            <w:pPr>
              <w:textAlignment w:val="bottom"/>
            </w:pPr>
            <w:r>
              <w:rPr>
                <w:rFonts w:ascii="Arial" w:eastAsia="宋体" w:hAnsi="Arial" w:cs="Arial"/>
                <w:color w:val="000000"/>
                <w:sz w:val="14"/>
                <w:szCs w:val="14"/>
              </w:rPr>
              <w:t>Demand</w:t>
            </w:r>
          </w:p>
        </w:tc>
        <w:tc>
          <w:tcPr>
            <w:tcW w:w="0" w:type="auto"/>
            <w:gridSpan w:val="2"/>
            <w:shd w:val="clear" w:color="auto" w:fill="CCEEFF"/>
            <w:tcMar>
              <w:top w:w="40" w:type="dxa"/>
              <w:left w:w="20" w:type="dxa"/>
              <w:bottom w:w="40" w:type="dxa"/>
              <w:right w:w="0" w:type="dxa"/>
            </w:tcMar>
            <w:vAlign w:val="bottom"/>
          </w:tcPr>
          <w:p w14:paraId="5F2D6351" w14:textId="77777777" w:rsidR="00E836FB" w:rsidRDefault="00994958">
            <w:pPr>
              <w:jc w:val="right"/>
              <w:textAlignment w:val="bottom"/>
            </w:pPr>
            <w:r>
              <w:rPr>
                <w:rFonts w:ascii="Arial" w:eastAsia="宋体" w:hAnsi="Arial" w:cs="Arial"/>
                <w:b/>
                <w:bCs/>
                <w:color w:val="000000"/>
                <w:sz w:val="14"/>
                <w:szCs w:val="14"/>
              </w:rPr>
              <w:t>47,747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35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5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58" w14:textId="77777777" w:rsidR="00E836FB" w:rsidRDefault="00994958">
            <w:pPr>
              <w:jc w:val="right"/>
              <w:textAlignment w:val="bottom"/>
            </w:pPr>
            <w:r>
              <w:rPr>
                <w:rFonts w:ascii="Arial" w:eastAsia="宋体" w:hAnsi="Arial" w:cs="Arial"/>
                <w:color w:val="000000"/>
                <w:sz w:val="14"/>
                <w:szCs w:val="14"/>
              </w:rPr>
              <w:t>29,187 </w:t>
            </w:r>
          </w:p>
        </w:tc>
        <w:tc>
          <w:tcPr>
            <w:tcW w:w="0" w:type="auto"/>
            <w:shd w:val="clear" w:color="auto" w:fill="CCEEFF"/>
            <w:tcMar>
              <w:top w:w="40" w:type="dxa"/>
              <w:left w:w="0" w:type="dxa"/>
              <w:bottom w:w="40" w:type="dxa"/>
              <w:right w:w="20" w:type="dxa"/>
            </w:tcMar>
            <w:vAlign w:val="bottom"/>
          </w:tcPr>
          <w:p w14:paraId="5F2D635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5A"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5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5F" w14:textId="77777777" w:rsidR="00E836FB" w:rsidRDefault="00994958">
            <w:pPr>
              <w:jc w:val="right"/>
              <w:textAlignment w:val="bottom"/>
            </w:pPr>
            <w:r>
              <w:rPr>
                <w:rFonts w:ascii="Arial" w:eastAsia="宋体" w:hAnsi="Arial" w:cs="Arial"/>
                <w:color w:val="000000"/>
                <w:sz w:val="14"/>
                <w:szCs w:val="14"/>
              </w:rPr>
              <w:t>13,552 </w:t>
            </w:r>
          </w:p>
        </w:tc>
        <w:tc>
          <w:tcPr>
            <w:tcW w:w="0" w:type="auto"/>
            <w:shd w:val="clear" w:color="auto" w:fill="CCEEFF"/>
            <w:tcMar>
              <w:top w:w="40" w:type="dxa"/>
              <w:left w:w="0" w:type="dxa"/>
              <w:bottom w:w="40" w:type="dxa"/>
              <w:right w:w="20" w:type="dxa"/>
            </w:tcMar>
            <w:vAlign w:val="bottom"/>
          </w:tcPr>
          <w:p w14:paraId="5F2D636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6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6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6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64" w14:textId="77777777" w:rsidR="00E836FB" w:rsidRDefault="00E836FB">
            <w:pPr>
              <w:rPr>
                <w:rFonts w:ascii="宋体"/>
              </w:rPr>
            </w:pPr>
          </w:p>
        </w:tc>
      </w:tr>
      <w:tr w:rsidR="00E836FB" w14:paraId="5F2D637B" w14:textId="77777777">
        <w:tc>
          <w:tcPr>
            <w:tcW w:w="0" w:type="auto"/>
            <w:gridSpan w:val="3"/>
            <w:shd w:val="clear" w:color="auto" w:fill="FFFFFF"/>
            <w:tcMar>
              <w:top w:w="40" w:type="dxa"/>
              <w:left w:w="20" w:type="dxa"/>
              <w:bottom w:w="40" w:type="dxa"/>
              <w:right w:w="20" w:type="dxa"/>
            </w:tcMar>
            <w:vAlign w:val="bottom"/>
          </w:tcPr>
          <w:p w14:paraId="5F2D6366" w14:textId="77777777" w:rsidR="00E836FB" w:rsidRDefault="00994958">
            <w:pPr>
              <w:textAlignment w:val="bottom"/>
            </w:pPr>
            <w:r>
              <w:rPr>
                <w:rFonts w:ascii="Arial" w:eastAsia="宋体" w:hAnsi="Arial" w:cs="Arial"/>
                <w:color w:val="000000"/>
                <w:sz w:val="14"/>
                <w:szCs w:val="14"/>
              </w:rPr>
              <w:t>Non-U.S.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F2D6367" w14:textId="77777777" w:rsidR="00E836FB" w:rsidRDefault="00994958">
            <w:pPr>
              <w:jc w:val="right"/>
              <w:textAlignment w:val="bottom"/>
            </w:pPr>
            <w:r>
              <w:rPr>
                <w:rFonts w:ascii="Arial" w:eastAsia="宋体" w:hAnsi="Arial" w:cs="Arial"/>
                <w:b/>
                <w:bCs/>
                <w:color w:val="000000"/>
                <w:sz w:val="14"/>
                <w:szCs w:val="14"/>
              </w:rPr>
              <w:t>683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36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6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6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6B"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6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6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6E" w14:textId="77777777" w:rsidR="00E836FB" w:rsidRDefault="00994958">
            <w:pPr>
              <w:jc w:val="right"/>
              <w:textAlignment w:val="bottom"/>
            </w:pPr>
            <w:r>
              <w:rPr>
                <w:rFonts w:ascii="Arial" w:eastAsia="宋体" w:hAnsi="Arial" w:cs="Arial"/>
                <w:color w:val="000000"/>
                <w:sz w:val="14"/>
                <w:szCs w:val="14"/>
              </w:rPr>
              <w:t>592 </w:t>
            </w:r>
          </w:p>
        </w:tc>
        <w:tc>
          <w:tcPr>
            <w:tcW w:w="0" w:type="auto"/>
            <w:shd w:val="clear" w:color="auto" w:fill="FFFFFF"/>
            <w:tcMar>
              <w:top w:w="40" w:type="dxa"/>
              <w:left w:w="0" w:type="dxa"/>
              <w:bottom w:w="40" w:type="dxa"/>
              <w:right w:w="20" w:type="dxa"/>
            </w:tcMar>
            <w:vAlign w:val="bottom"/>
          </w:tcPr>
          <w:p w14:paraId="5F2D636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7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7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7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7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75" w14:textId="77777777" w:rsidR="00E836FB" w:rsidRDefault="00994958">
            <w:pPr>
              <w:jc w:val="right"/>
              <w:textAlignment w:val="bottom"/>
            </w:pPr>
            <w:r>
              <w:rPr>
                <w:rFonts w:ascii="Arial" w:eastAsia="宋体" w:hAnsi="Arial" w:cs="Arial"/>
                <w:color w:val="000000"/>
                <w:sz w:val="14"/>
                <w:szCs w:val="14"/>
              </w:rPr>
              <w:t>524 </w:t>
            </w:r>
          </w:p>
        </w:tc>
        <w:tc>
          <w:tcPr>
            <w:tcW w:w="0" w:type="auto"/>
            <w:shd w:val="clear" w:color="auto" w:fill="FFFFFF"/>
            <w:tcMar>
              <w:top w:w="40" w:type="dxa"/>
              <w:left w:w="0" w:type="dxa"/>
              <w:bottom w:w="40" w:type="dxa"/>
              <w:right w:w="20" w:type="dxa"/>
            </w:tcMar>
            <w:vAlign w:val="bottom"/>
          </w:tcPr>
          <w:p w14:paraId="5F2D637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7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7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7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7A" w14:textId="77777777" w:rsidR="00E836FB" w:rsidRDefault="00E836FB">
            <w:pPr>
              <w:rPr>
                <w:rFonts w:ascii="宋体"/>
              </w:rPr>
            </w:pPr>
          </w:p>
        </w:tc>
      </w:tr>
      <w:tr w:rsidR="00E836FB" w14:paraId="5F2D6391" w14:textId="77777777">
        <w:tc>
          <w:tcPr>
            <w:tcW w:w="0" w:type="auto"/>
            <w:gridSpan w:val="3"/>
            <w:shd w:val="clear" w:color="auto" w:fill="CCEEFF"/>
            <w:tcMar>
              <w:top w:w="40" w:type="dxa"/>
              <w:left w:w="20" w:type="dxa"/>
              <w:bottom w:w="40" w:type="dxa"/>
              <w:right w:w="20" w:type="dxa"/>
            </w:tcMar>
            <w:vAlign w:val="bottom"/>
          </w:tcPr>
          <w:p w14:paraId="5F2D637C" w14:textId="77777777" w:rsidR="00E836FB" w:rsidRDefault="00994958">
            <w:pPr>
              <w:textAlignment w:val="bottom"/>
            </w:pPr>
            <w:r>
              <w:rPr>
                <w:rFonts w:ascii="Arial" w:eastAsia="宋体" w:hAnsi="Arial" w:cs="Arial"/>
                <w:color w:val="000000"/>
                <w:sz w:val="14"/>
                <w:szCs w:val="14"/>
              </w:rPr>
              <w:t>Other liabilities</w:t>
            </w:r>
          </w:p>
        </w:tc>
        <w:tc>
          <w:tcPr>
            <w:tcW w:w="0" w:type="auto"/>
            <w:gridSpan w:val="2"/>
            <w:shd w:val="clear" w:color="auto" w:fill="CCEEFF"/>
            <w:tcMar>
              <w:top w:w="40" w:type="dxa"/>
              <w:left w:w="20" w:type="dxa"/>
              <w:bottom w:w="40" w:type="dxa"/>
              <w:right w:w="0" w:type="dxa"/>
            </w:tcMar>
            <w:vAlign w:val="bottom"/>
          </w:tcPr>
          <w:p w14:paraId="5F2D637D" w14:textId="77777777" w:rsidR="00E836FB" w:rsidRDefault="00994958">
            <w:pPr>
              <w:jc w:val="right"/>
              <w:textAlignment w:val="bottom"/>
            </w:pPr>
            <w:r>
              <w:rPr>
                <w:rFonts w:ascii="Arial" w:eastAsia="宋体" w:hAnsi="Arial" w:cs="Arial"/>
                <w:b/>
                <w:bCs/>
                <w:color w:val="000000"/>
                <w:sz w:val="14"/>
                <w:szCs w:val="14"/>
              </w:rPr>
              <w:t>17,615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37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7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84" w14:textId="77777777" w:rsidR="00E836FB" w:rsidRDefault="00994958">
            <w:pPr>
              <w:jc w:val="right"/>
              <w:textAlignment w:val="bottom"/>
            </w:pPr>
            <w:r>
              <w:rPr>
                <w:rFonts w:ascii="Arial" w:eastAsia="宋体" w:hAnsi="Arial" w:cs="Arial"/>
                <w:color w:val="000000"/>
                <w:sz w:val="14"/>
                <w:szCs w:val="14"/>
              </w:rPr>
              <w:t>20,464 </w:t>
            </w:r>
          </w:p>
        </w:tc>
        <w:tc>
          <w:tcPr>
            <w:tcW w:w="0" w:type="auto"/>
            <w:shd w:val="clear" w:color="auto" w:fill="CCEEFF"/>
            <w:tcMar>
              <w:top w:w="40" w:type="dxa"/>
              <w:left w:w="0" w:type="dxa"/>
              <w:bottom w:w="40" w:type="dxa"/>
              <w:right w:w="20" w:type="dxa"/>
            </w:tcMar>
            <w:vAlign w:val="bottom"/>
          </w:tcPr>
          <w:p w14:paraId="5F2D638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8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8B" w14:textId="77777777" w:rsidR="00E836FB" w:rsidRDefault="00994958">
            <w:pPr>
              <w:jc w:val="right"/>
              <w:textAlignment w:val="bottom"/>
            </w:pPr>
            <w:r>
              <w:rPr>
                <w:rFonts w:ascii="Arial" w:eastAsia="宋体" w:hAnsi="Arial" w:cs="Arial"/>
                <w:color w:val="000000"/>
                <w:sz w:val="14"/>
                <w:szCs w:val="14"/>
              </w:rPr>
              <w:t>21,299 </w:t>
            </w:r>
          </w:p>
        </w:tc>
        <w:tc>
          <w:tcPr>
            <w:tcW w:w="0" w:type="auto"/>
            <w:shd w:val="clear" w:color="auto" w:fill="CCEEFF"/>
            <w:tcMar>
              <w:top w:w="40" w:type="dxa"/>
              <w:left w:w="0" w:type="dxa"/>
              <w:bottom w:w="40" w:type="dxa"/>
              <w:right w:w="20" w:type="dxa"/>
            </w:tcMar>
            <w:vAlign w:val="bottom"/>
          </w:tcPr>
          <w:p w14:paraId="5F2D638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8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8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90" w14:textId="77777777" w:rsidR="00E836FB" w:rsidRDefault="00E836FB">
            <w:pPr>
              <w:rPr>
                <w:rFonts w:ascii="宋体"/>
              </w:rPr>
            </w:pPr>
          </w:p>
        </w:tc>
      </w:tr>
      <w:tr w:rsidR="00E836FB" w14:paraId="5F2D63A7" w14:textId="77777777">
        <w:tc>
          <w:tcPr>
            <w:tcW w:w="0" w:type="auto"/>
            <w:gridSpan w:val="3"/>
            <w:shd w:val="clear" w:color="auto" w:fill="FFFFFF"/>
            <w:tcMar>
              <w:top w:w="40" w:type="dxa"/>
              <w:left w:w="20" w:type="dxa"/>
              <w:bottom w:w="40" w:type="dxa"/>
              <w:right w:w="20" w:type="dxa"/>
            </w:tcMar>
            <w:vAlign w:val="bottom"/>
          </w:tcPr>
          <w:p w14:paraId="5F2D6392" w14:textId="77777777" w:rsidR="00E836FB" w:rsidRDefault="00994958">
            <w:pPr>
              <w:textAlignment w:val="bottom"/>
            </w:pPr>
            <w:r>
              <w:rPr>
                <w:rFonts w:ascii="Arial" w:eastAsia="宋体" w:hAnsi="Arial" w:cs="Arial"/>
                <w:color w:val="000000"/>
                <w:sz w:val="14"/>
                <w:szCs w:val="14"/>
              </w:rPr>
              <w:t>Shareholders’ equity</w:t>
            </w:r>
          </w:p>
        </w:tc>
        <w:tc>
          <w:tcPr>
            <w:tcW w:w="0" w:type="auto"/>
            <w:gridSpan w:val="2"/>
            <w:shd w:val="clear" w:color="auto" w:fill="FFFFFF"/>
            <w:tcMar>
              <w:top w:w="40" w:type="dxa"/>
              <w:left w:w="20" w:type="dxa"/>
              <w:bottom w:w="40" w:type="dxa"/>
              <w:right w:w="0" w:type="dxa"/>
            </w:tcMar>
            <w:vAlign w:val="bottom"/>
          </w:tcPr>
          <w:p w14:paraId="5F2D6393" w14:textId="77777777" w:rsidR="00E836FB" w:rsidRDefault="00994958">
            <w:pPr>
              <w:jc w:val="right"/>
              <w:textAlignment w:val="bottom"/>
            </w:pPr>
            <w:r>
              <w:rPr>
                <w:rFonts w:ascii="Arial" w:eastAsia="宋体" w:hAnsi="Arial" w:cs="Arial"/>
                <w:b/>
                <w:bCs/>
                <w:color w:val="000000"/>
                <w:sz w:val="14"/>
                <w:szCs w:val="14"/>
              </w:rPr>
              <w:t>26,085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3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9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96"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9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9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9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9A" w14:textId="77777777" w:rsidR="00E836FB" w:rsidRDefault="00994958">
            <w:pPr>
              <w:jc w:val="right"/>
              <w:textAlignment w:val="bottom"/>
            </w:pPr>
            <w:r>
              <w:rPr>
                <w:rFonts w:ascii="Arial" w:eastAsia="宋体" w:hAnsi="Arial" w:cs="Arial"/>
                <w:color w:val="000000"/>
                <w:sz w:val="14"/>
                <w:szCs w:val="14"/>
              </w:rPr>
              <w:t>25,050 </w:t>
            </w:r>
          </w:p>
        </w:tc>
        <w:tc>
          <w:tcPr>
            <w:tcW w:w="0" w:type="auto"/>
            <w:shd w:val="clear" w:color="auto" w:fill="FFFFFF"/>
            <w:tcMar>
              <w:top w:w="40" w:type="dxa"/>
              <w:left w:w="0" w:type="dxa"/>
              <w:bottom w:w="40" w:type="dxa"/>
              <w:right w:w="20" w:type="dxa"/>
            </w:tcMar>
            <w:vAlign w:val="bottom"/>
          </w:tcPr>
          <w:p w14:paraId="5F2D639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9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9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9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9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A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A1" w14:textId="77777777" w:rsidR="00E836FB" w:rsidRDefault="00994958">
            <w:pPr>
              <w:jc w:val="right"/>
              <w:textAlignment w:val="bottom"/>
            </w:pPr>
            <w:r>
              <w:rPr>
                <w:rFonts w:ascii="Arial" w:eastAsia="宋体" w:hAnsi="Arial" w:cs="Arial"/>
                <w:color w:val="000000"/>
                <w:sz w:val="14"/>
                <w:szCs w:val="14"/>
              </w:rPr>
              <w:t>25,056 </w:t>
            </w:r>
          </w:p>
        </w:tc>
        <w:tc>
          <w:tcPr>
            <w:tcW w:w="0" w:type="auto"/>
            <w:shd w:val="clear" w:color="auto" w:fill="FFFFFF"/>
            <w:tcMar>
              <w:top w:w="40" w:type="dxa"/>
              <w:left w:w="0" w:type="dxa"/>
              <w:bottom w:w="40" w:type="dxa"/>
              <w:right w:w="20" w:type="dxa"/>
            </w:tcMar>
            <w:vAlign w:val="bottom"/>
          </w:tcPr>
          <w:p w14:paraId="5F2D63A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A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A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A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A6" w14:textId="77777777" w:rsidR="00E836FB" w:rsidRDefault="00E836FB">
            <w:pPr>
              <w:rPr>
                <w:rFonts w:ascii="宋体"/>
              </w:rPr>
            </w:pPr>
          </w:p>
        </w:tc>
      </w:tr>
      <w:tr w:rsidR="00E836FB" w14:paraId="5F2D63C0" w14:textId="77777777">
        <w:tc>
          <w:tcPr>
            <w:tcW w:w="0" w:type="auto"/>
            <w:gridSpan w:val="3"/>
            <w:shd w:val="clear" w:color="auto" w:fill="CCEEFF"/>
            <w:tcMar>
              <w:top w:w="40" w:type="dxa"/>
              <w:left w:w="20" w:type="dxa"/>
              <w:bottom w:w="40" w:type="dxa"/>
              <w:right w:w="20" w:type="dxa"/>
            </w:tcMar>
            <w:vAlign w:val="bottom"/>
          </w:tcPr>
          <w:p w14:paraId="5F2D63A8" w14:textId="77777777" w:rsidR="00E836FB" w:rsidRDefault="00994958">
            <w:pPr>
              <w:textAlignment w:val="bottom"/>
            </w:pPr>
            <w:r>
              <w:rPr>
                <w:rFonts w:ascii="Arial" w:eastAsia="宋体" w:hAnsi="Arial" w:cs="Arial"/>
                <w:color w:val="000000"/>
                <w:sz w:val="14"/>
                <w:szCs w:val="14"/>
              </w:rPr>
              <w:t>Total liabilities and shareholders’ equity</w:t>
            </w:r>
          </w:p>
        </w:tc>
        <w:tc>
          <w:tcPr>
            <w:tcW w:w="0" w:type="auto"/>
            <w:tcBorders>
              <w:top w:val="single" w:sz="8" w:space="0" w:color="000000"/>
            </w:tcBorders>
            <w:shd w:val="clear" w:color="auto" w:fill="CCEEFF"/>
            <w:tcMar>
              <w:top w:w="40" w:type="dxa"/>
              <w:left w:w="20" w:type="dxa"/>
              <w:bottom w:w="40" w:type="dxa"/>
              <w:right w:w="0" w:type="dxa"/>
            </w:tcMar>
            <w:vAlign w:val="bottom"/>
          </w:tcPr>
          <w:p w14:paraId="5F2D63A9"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63AA" w14:textId="77777777" w:rsidR="00E836FB" w:rsidRDefault="00994958">
            <w:pPr>
              <w:jc w:val="right"/>
              <w:textAlignment w:val="bottom"/>
            </w:pPr>
            <w:r>
              <w:rPr>
                <w:rFonts w:ascii="Arial" w:eastAsia="宋体" w:hAnsi="Arial" w:cs="Arial"/>
                <w:b/>
                <w:bCs/>
                <w:color w:val="000000"/>
                <w:sz w:val="14"/>
                <w:szCs w:val="14"/>
              </w:rPr>
              <w:t>299,743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3A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A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A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A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A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0"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63B1"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63B2" w14:textId="77777777" w:rsidR="00E836FB" w:rsidRDefault="00994958">
            <w:pPr>
              <w:jc w:val="right"/>
              <w:textAlignment w:val="bottom"/>
            </w:pPr>
            <w:r>
              <w:rPr>
                <w:rFonts w:ascii="Arial" w:eastAsia="宋体" w:hAnsi="Arial" w:cs="Arial"/>
                <w:color w:val="000000"/>
                <w:sz w:val="14"/>
                <w:szCs w:val="14"/>
              </w:rPr>
              <w:t>269,334 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3B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B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8" w14:textId="77777777" w:rsidR="00E836FB" w:rsidRDefault="00E836F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F2D63B9"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F2D63BA" w14:textId="77777777" w:rsidR="00E836FB" w:rsidRDefault="00994958">
            <w:pPr>
              <w:jc w:val="right"/>
              <w:textAlignment w:val="bottom"/>
            </w:pPr>
            <w:r>
              <w:rPr>
                <w:rFonts w:ascii="Arial" w:eastAsia="宋体" w:hAnsi="Arial" w:cs="Arial"/>
                <w:color w:val="000000"/>
                <w:sz w:val="14"/>
                <w:szCs w:val="14"/>
              </w:rPr>
              <w:t>223,334 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3B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3BC"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E"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BF" w14:textId="77777777" w:rsidR="00E836FB" w:rsidRDefault="00E836FB">
            <w:pPr>
              <w:rPr>
                <w:rFonts w:ascii="宋体"/>
              </w:rPr>
            </w:pPr>
          </w:p>
        </w:tc>
      </w:tr>
      <w:tr w:rsidR="00E836FB" w14:paraId="5F2D63D9" w14:textId="77777777">
        <w:tc>
          <w:tcPr>
            <w:tcW w:w="0" w:type="auto"/>
            <w:gridSpan w:val="3"/>
            <w:shd w:val="clear" w:color="auto" w:fill="FFFFFF"/>
            <w:tcMar>
              <w:top w:w="40" w:type="dxa"/>
              <w:left w:w="20" w:type="dxa"/>
              <w:bottom w:w="40" w:type="dxa"/>
              <w:right w:w="20" w:type="dxa"/>
            </w:tcMar>
            <w:vAlign w:val="bottom"/>
          </w:tcPr>
          <w:p w14:paraId="5F2D63C1" w14:textId="77777777" w:rsidR="00E836FB" w:rsidRDefault="00994958">
            <w:pPr>
              <w:textAlignment w:val="bottom"/>
            </w:pPr>
            <w:r>
              <w:rPr>
                <w:rFonts w:ascii="Arial" w:eastAsia="宋体" w:hAnsi="Arial" w:cs="Arial"/>
                <w:color w:val="000000"/>
                <w:sz w:val="14"/>
                <w:szCs w:val="14"/>
              </w:rPr>
              <w:t>Net interest income, fully taxable-equivalent basis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63C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C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63C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63C5" w14:textId="77777777" w:rsidR="00E836FB" w:rsidRDefault="00994958">
            <w:pPr>
              <w:jc w:val="right"/>
              <w:textAlignment w:val="bottom"/>
            </w:pPr>
            <w:r>
              <w:rPr>
                <w:rFonts w:ascii="Arial" w:eastAsia="宋体" w:hAnsi="Arial" w:cs="Arial"/>
                <w:b/>
                <w:bCs/>
                <w:color w:val="000000"/>
                <w:sz w:val="14"/>
                <w:szCs w:val="14"/>
              </w:rPr>
              <w:t>1,918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C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C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C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C9"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63C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CB"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63CC"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63CD" w14:textId="77777777" w:rsidR="00E836FB" w:rsidRDefault="00994958">
            <w:pPr>
              <w:jc w:val="right"/>
              <w:textAlignment w:val="bottom"/>
            </w:pPr>
            <w:r>
              <w:rPr>
                <w:rFonts w:ascii="Arial" w:eastAsia="宋体" w:hAnsi="Arial" w:cs="Arial"/>
                <w:color w:val="000000"/>
                <w:sz w:val="14"/>
                <w:szCs w:val="14"/>
              </w:rPr>
              <w:t>2,217 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C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D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D1" w14:textId="77777777" w:rsidR="00E836FB" w:rsidRDefault="00E83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F2D63D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D3" w14:textId="77777777" w:rsidR="00E836FB" w:rsidRDefault="00E836F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F2D63D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F2D63D5" w14:textId="77777777" w:rsidR="00E836FB" w:rsidRDefault="00994958">
            <w:pPr>
              <w:jc w:val="right"/>
              <w:textAlignment w:val="bottom"/>
            </w:pPr>
            <w:r>
              <w:rPr>
                <w:rFonts w:ascii="Arial" w:eastAsia="宋体" w:hAnsi="Arial" w:cs="Arial"/>
                <w:color w:val="000000"/>
                <w:sz w:val="14"/>
                <w:szCs w:val="14"/>
              </w:rPr>
              <w:t>2,585 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3D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D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D8" w14:textId="77777777" w:rsidR="00E836FB" w:rsidRDefault="00E836FB">
            <w:pPr>
              <w:rPr>
                <w:rFonts w:ascii="宋体"/>
              </w:rPr>
            </w:pPr>
          </w:p>
        </w:tc>
      </w:tr>
      <w:tr w:rsidR="00E836FB" w14:paraId="5F2D63EF" w14:textId="77777777">
        <w:tc>
          <w:tcPr>
            <w:tcW w:w="0" w:type="auto"/>
            <w:gridSpan w:val="3"/>
            <w:shd w:val="clear" w:color="auto" w:fill="CCEEFF"/>
            <w:tcMar>
              <w:top w:w="40" w:type="dxa"/>
              <w:left w:w="20" w:type="dxa"/>
              <w:bottom w:w="40" w:type="dxa"/>
              <w:right w:w="20" w:type="dxa"/>
            </w:tcMar>
            <w:vAlign w:val="bottom"/>
          </w:tcPr>
          <w:p w14:paraId="5F2D63DA" w14:textId="77777777" w:rsidR="00E836FB" w:rsidRDefault="00994958">
            <w:pPr>
              <w:textAlignment w:val="bottom"/>
            </w:pPr>
            <w:r>
              <w:rPr>
                <w:rFonts w:ascii="Arial" w:eastAsia="宋体" w:hAnsi="Arial" w:cs="Arial"/>
                <w:color w:val="000000"/>
                <w:sz w:val="14"/>
                <w:szCs w:val="14"/>
              </w:rPr>
              <w:t>Excess of rate earned over rate paid</w:t>
            </w:r>
          </w:p>
        </w:tc>
        <w:tc>
          <w:tcPr>
            <w:tcW w:w="0" w:type="auto"/>
            <w:gridSpan w:val="3"/>
            <w:shd w:val="clear" w:color="auto" w:fill="CCEEFF"/>
            <w:tcMar>
              <w:top w:w="0" w:type="dxa"/>
              <w:left w:w="20" w:type="dxa"/>
              <w:bottom w:w="0" w:type="dxa"/>
              <w:right w:w="20" w:type="dxa"/>
            </w:tcMar>
            <w:vAlign w:val="bottom"/>
          </w:tcPr>
          <w:p w14:paraId="5F2D63D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DC"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63DD"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D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DF"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3E0" w14:textId="77777777" w:rsidR="00E836FB" w:rsidRDefault="00994958">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63E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E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E3"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63E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E6" w14:textId="77777777" w:rsidR="00E836FB" w:rsidRDefault="00994958">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F2D63E7" w14:textId="77777777" w:rsidR="00E836FB" w:rsidRDefault="00994958">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F2D63E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E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EA" w14:textId="77777777" w:rsidR="00E836FB" w:rsidRDefault="00E83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F2D63EB"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3E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3ED" w14:textId="77777777" w:rsidR="00E836FB" w:rsidRDefault="00994958">
            <w:pPr>
              <w:jc w:val="right"/>
              <w:textAlignment w:val="bottom"/>
            </w:pPr>
            <w:r>
              <w:rPr>
                <w:rFonts w:ascii="Arial" w:eastAsia="宋体" w:hAnsi="Arial" w:cs="Arial"/>
                <w:color w:val="000000"/>
                <w:sz w:val="14"/>
                <w:szCs w:val="14"/>
              </w:rPr>
              <w:t>1.25 </w:t>
            </w:r>
          </w:p>
        </w:tc>
        <w:tc>
          <w:tcPr>
            <w:tcW w:w="0" w:type="auto"/>
            <w:shd w:val="clear" w:color="auto" w:fill="CCEEFF"/>
            <w:tcMar>
              <w:top w:w="40" w:type="dxa"/>
              <w:left w:w="0" w:type="dxa"/>
              <w:bottom w:w="40" w:type="dxa"/>
              <w:right w:w="20" w:type="dxa"/>
            </w:tcMar>
            <w:vAlign w:val="bottom"/>
          </w:tcPr>
          <w:p w14:paraId="5F2D63EE" w14:textId="77777777" w:rsidR="00E836FB" w:rsidRDefault="00994958">
            <w:pPr>
              <w:jc w:val="right"/>
              <w:textAlignment w:val="bottom"/>
            </w:pPr>
            <w:r>
              <w:rPr>
                <w:rFonts w:ascii="Arial" w:eastAsia="宋体" w:hAnsi="Arial" w:cs="Arial"/>
                <w:color w:val="000000"/>
                <w:sz w:val="14"/>
                <w:szCs w:val="14"/>
              </w:rPr>
              <w:t>%</w:t>
            </w:r>
          </w:p>
        </w:tc>
      </w:tr>
      <w:tr w:rsidR="00E836FB" w14:paraId="5F2D6405" w14:textId="77777777">
        <w:tc>
          <w:tcPr>
            <w:tcW w:w="0" w:type="auto"/>
            <w:gridSpan w:val="3"/>
            <w:shd w:val="clear" w:color="auto" w:fill="FFFFFF"/>
            <w:tcMar>
              <w:top w:w="40" w:type="dxa"/>
              <w:left w:w="20" w:type="dxa"/>
              <w:bottom w:w="40" w:type="dxa"/>
              <w:right w:w="20" w:type="dxa"/>
            </w:tcMar>
            <w:vAlign w:val="bottom"/>
          </w:tcPr>
          <w:p w14:paraId="5F2D63F0" w14:textId="77777777" w:rsidR="00E836FB" w:rsidRDefault="00994958">
            <w:pPr>
              <w:textAlignment w:val="bottom"/>
            </w:pPr>
            <w:r>
              <w:rPr>
                <w:rFonts w:ascii="Arial" w:eastAsia="宋体" w:hAnsi="Arial" w:cs="Arial"/>
                <w:color w:val="000000"/>
                <w:sz w:val="14"/>
                <w:szCs w:val="14"/>
              </w:rPr>
              <w:t>Net interest margin</w:t>
            </w:r>
            <w:r>
              <w:rPr>
                <w:rFonts w:ascii="Arial" w:eastAsia="宋体" w:hAnsi="Arial" w:cs="Arial"/>
                <w:color w:val="000000"/>
                <w:sz w:val="9"/>
                <w:szCs w:val="9"/>
              </w:rPr>
              <w:t>(3)</w:t>
            </w:r>
          </w:p>
        </w:tc>
        <w:tc>
          <w:tcPr>
            <w:tcW w:w="0" w:type="auto"/>
            <w:gridSpan w:val="3"/>
            <w:shd w:val="clear" w:color="auto" w:fill="FFFFFF"/>
            <w:tcMar>
              <w:top w:w="0" w:type="dxa"/>
              <w:left w:w="20" w:type="dxa"/>
              <w:bottom w:w="0" w:type="dxa"/>
              <w:right w:w="20" w:type="dxa"/>
            </w:tcMar>
            <w:vAlign w:val="bottom"/>
          </w:tcPr>
          <w:p w14:paraId="5F2D63F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F5" w14:textId="77777777" w:rsidR="00E836FB" w:rsidRDefault="00994958">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3F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F7"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8"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9"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A"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3FC" w14:textId="77777777" w:rsidR="00E836FB" w:rsidRDefault="00994958">
            <w:pPr>
              <w:jc w:val="right"/>
              <w:textAlignment w:val="bottom"/>
            </w:pPr>
            <w:r>
              <w:rPr>
                <w:rFonts w:ascii="Arial" w:eastAsia="宋体" w:hAnsi="Arial" w:cs="Arial"/>
                <w:color w:val="000000"/>
                <w:sz w:val="14"/>
                <w:szCs w:val="14"/>
              </w:rPr>
              <w:t>.97 </w:t>
            </w:r>
          </w:p>
        </w:tc>
        <w:tc>
          <w:tcPr>
            <w:tcW w:w="0" w:type="auto"/>
            <w:shd w:val="clear" w:color="auto" w:fill="FFFFFF"/>
            <w:tcMar>
              <w:top w:w="40" w:type="dxa"/>
              <w:left w:w="0" w:type="dxa"/>
              <w:bottom w:w="40" w:type="dxa"/>
              <w:right w:w="20" w:type="dxa"/>
            </w:tcMar>
            <w:vAlign w:val="bottom"/>
          </w:tcPr>
          <w:p w14:paraId="5F2D63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3F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3F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40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40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40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03" w14:textId="77777777" w:rsidR="00E836FB" w:rsidRDefault="00994958">
            <w:pPr>
              <w:jc w:val="right"/>
              <w:textAlignment w:val="bottom"/>
            </w:pPr>
            <w:r>
              <w:rPr>
                <w:rFonts w:ascii="Arial" w:eastAsia="宋体" w:hAnsi="Arial" w:cs="Arial"/>
                <w:color w:val="000000"/>
                <w:sz w:val="14"/>
                <w:szCs w:val="14"/>
              </w:rPr>
              <w:t>1.42 </w:t>
            </w:r>
          </w:p>
        </w:tc>
        <w:tc>
          <w:tcPr>
            <w:tcW w:w="0" w:type="auto"/>
            <w:shd w:val="clear" w:color="auto" w:fill="FFFFFF"/>
            <w:tcMar>
              <w:top w:w="40" w:type="dxa"/>
              <w:left w:w="0" w:type="dxa"/>
              <w:bottom w:w="40" w:type="dxa"/>
              <w:right w:w="20" w:type="dxa"/>
            </w:tcMar>
            <w:vAlign w:val="bottom"/>
          </w:tcPr>
          <w:p w14:paraId="5F2D6404" w14:textId="77777777" w:rsidR="00E836FB" w:rsidRDefault="00E836FB">
            <w:pPr>
              <w:jc w:val="right"/>
              <w:rPr>
                <w:rFonts w:ascii="宋体"/>
              </w:rPr>
            </w:pPr>
          </w:p>
        </w:tc>
      </w:tr>
    </w:tbl>
    <w:p w14:paraId="5F2D6406" w14:textId="77777777" w:rsidR="00E836FB" w:rsidRDefault="00E836FB">
      <w:pPr>
        <w:rPr>
          <w:vanish/>
        </w:rPr>
      </w:pPr>
    </w:p>
    <w:tbl>
      <w:tblPr>
        <w:tblW w:w="3012"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597"/>
        <w:gridCol w:w="36"/>
        <w:gridCol w:w="36"/>
        <w:gridCol w:w="599"/>
        <w:gridCol w:w="36"/>
        <w:gridCol w:w="36"/>
        <w:gridCol w:w="599"/>
        <w:gridCol w:w="36"/>
        <w:gridCol w:w="36"/>
        <w:gridCol w:w="599"/>
        <w:gridCol w:w="36"/>
      </w:tblGrid>
      <w:tr w:rsidR="00E836FB" w14:paraId="5F2D6416" w14:textId="77777777">
        <w:tc>
          <w:tcPr>
            <w:tcW w:w="50" w:type="pct"/>
            <w:shd w:val="clear" w:color="auto" w:fill="auto"/>
            <w:vAlign w:val="bottom"/>
          </w:tcPr>
          <w:p w14:paraId="5F2D6407" w14:textId="77777777" w:rsidR="00E836FB" w:rsidRDefault="00E836FB">
            <w:pPr>
              <w:rPr>
                <w:rFonts w:ascii="宋体"/>
              </w:rPr>
            </w:pPr>
          </w:p>
        </w:tc>
        <w:tc>
          <w:tcPr>
            <w:tcW w:w="2275" w:type="pct"/>
            <w:shd w:val="clear" w:color="auto" w:fill="auto"/>
            <w:vAlign w:val="bottom"/>
          </w:tcPr>
          <w:p w14:paraId="5F2D6408" w14:textId="77777777" w:rsidR="00E836FB" w:rsidRDefault="00E836FB">
            <w:pPr>
              <w:rPr>
                <w:rFonts w:ascii="宋体"/>
              </w:rPr>
            </w:pPr>
          </w:p>
        </w:tc>
        <w:tc>
          <w:tcPr>
            <w:tcW w:w="5" w:type="pct"/>
            <w:shd w:val="clear" w:color="auto" w:fill="auto"/>
            <w:vAlign w:val="bottom"/>
          </w:tcPr>
          <w:p w14:paraId="5F2D6409" w14:textId="77777777" w:rsidR="00E836FB" w:rsidRDefault="00E836FB">
            <w:pPr>
              <w:rPr>
                <w:rFonts w:ascii="宋体"/>
              </w:rPr>
            </w:pPr>
          </w:p>
        </w:tc>
        <w:tc>
          <w:tcPr>
            <w:tcW w:w="50" w:type="pct"/>
            <w:shd w:val="clear" w:color="auto" w:fill="auto"/>
            <w:vAlign w:val="bottom"/>
          </w:tcPr>
          <w:p w14:paraId="5F2D640A" w14:textId="77777777" w:rsidR="00E836FB" w:rsidRDefault="00E836FB">
            <w:pPr>
              <w:rPr>
                <w:rFonts w:ascii="宋体"/>
              </w:rPr>
            </w:pPr>
          </w:p>
        </w:tc>
        <w:tc>
          <w:tcPr>
            <w:tcW w:w="612" w:type="pct"/>
            <w:shd w:val="clear" w:color="auto" w:fill="auto"/>
            <w:vAlign w:val="bottom"/>
          </w:tcPr>
          <w:p w14:paraId="5F2D640B" w14:textId="77777777" w:rsidR="00E836FB" w:rsidRDefault="00E836FB">
            <w:pPr>
              <w:rPr>
                <w:rFonts w:ascii="宋体"/>
              </w:rPr>
            </w:pPr>
          </w:p>
        </w:tc>
        <w:tc>
          <w:tcPr>
            <w:tcW w:w="5" w:type="pct"/>
            <w:shd w:val="clear" w:color="auto" w:fill="auto"/>
            <w:vAlign w:val="bottom"/>
          </w:tcPr>
          <w:p w14:paraId="5F2D640C" w14:textId="77777777" w:rsidR="00E836FB" w:rsidRDefault="00E836FB">
            <w:pPr>
              <w:rPr>
                <w:rFonts w:ascii="宋体"/>
              </w:rPr>
            </w:pPr>
          </w:p>
        </w:tc>
        <w:tc>
          <w:tcPr>
            <w:tcW w:w="50" w:type="pct"/>
            <w:shd w:val="clear" w:color="auto" w:fill="auto"/>
            <w:vAlign w:val="bottom"/>
          </w:tcPr>
          <w:p w14:paraId="5F2D640D" w14:textId="77777777" w:rsidR="00E836FB" w:rsidRDefault="00E836FB">
            <w:pPr>
              <w:rPr>
                <w:rFonts w:ascii="宋体"/>
              </w:rPr>
            </w:pPr>
          </w:p>
        </w:tc>
        <w:tc>
          <w:tcPr>
            <w:tcW w:w="612" w:type="pct"/>
            <w:shd w:val="clear" w:color="auto" w:fill="auto"/>
            <w:vAlign w:val="bottom"/>
          </w:tcPr>
          <w:p w14:paraId="5F2D640E" w14:textId="77777777" w:rsidR="00E836FB" w:rsidRDefault="00E836FB">
            <w:pPr>
              <w:rPr>
                <w:rFonts w:ascii="宋体"/>
              </w:rPr>
            </w:pPr>
          </w:p>
        </w:tc>
        <w:tc>
          <w:tcPr>
            <w:tcW w:w="5" w:type="pct"/>
            <w:shd w:val="clear" w:color="auto" w:fill="auto"/>
            <w:vAlign w:val="bottom"/>
          </w:tcPr>
          <w:p w14:paraId="5F2D640F" w14:textId="77777777" w:rsidR="00E836FB" w:rsidRDefault="00E836FB">
            <w:pPr>
              <w:rPr>
                <w:rFonts w:ascii="宋体"/>
              </w:rPr>
            </w:pPr>
          </w:p>
        </w:tc>
        <w:tc>
          <w:tcPr>
            <w:tcW w:w="50" w:type="pct"/>
            <w:shd w:val="clear" w:color="auto" w:fill="auto"/>
            <w:vAlign w:val="bottom"/>
          </w:tcPr>
          <w:p w14:paraId="5F2D6410" w14:textId="77777777" w:rsidR="00E836FB" w:rsidRDefault="00E836FB">
            <w:pPr>
              <w:rPr>
                <w:rFonts w:ascii="宋体"/>
              </w:rPr>
            </w:pPr>
          </w:p>
        </w:tc>
        <w:tc>
          <w:tcPr>
            <w:tcW w:w="612" w:type="pct"/>
            <w:shd w:val="clear" w:color="auto" w:fill="auto"/>
            <w:vAlign w:val="bottom"/>
          </w:tcPr>
          <w:p w14:paraId="5F2D6411" w14:textId="77777777" w:rsidR="00E836FB" w:rsidRDefault="00E836FB">
            <w:pPr>
              <w:rPr>
                <w:rFonts w:ascii="宋体"/>
              </w:rPr>
            </w:pPr>
          </w:p>
        </w:tc>
        <w:tc>
          <w:tcPr>
            <w:tcW w:w="5" w:type="pct"/>
            <w:shd w:val="clear" w:color="auto" w:fill="auto"/>
            <w:vAlign w:val="bottom"/>
          </w:tcPr>
          <w:p w14:paraId="5F2D6412" w14:textId="77777777" w:rsidR="00E836FB" w:rsidRDefault="00E836FB">
            <w:pPr>
              <w:rPr>
                <w:rFonts w:ascii="宋体"/>
              </w:rPr>
            </w:pPr>
          </w:p>
        </w:tc>
        <w:tc>
          <w:tcPr>
            <w:tcW w:w="50" w:type="pct"/>
            <w:shd w:val="clear" w:color="auto" w:fill="auto"/>
            <w:vAlign w:val="bottom"/>
          </w:tcPr>
          <w:p w14:paraId="5F2D6413" w14:textId="77777777" w:rsidR="00E836FB" w:rsidRDefault="00E836FB">
            <w:pPr>
              <w:rPr>
                <w:rFonts w:ascii="宋体"/>
              </w:rPr>
            </w:pPr>
          </w:p>
        </w:tc>
        <w:tc>
          <w:tcPr>
            <w:tcW w:w="612" w:type="pct"/>
            <w:shd w:val="clear" w:color="auto" w:fill="auto"/>
            <w:vAlign w:val="bottom"/>
          </w:tcPr>
          <w:p w14:paraId="5F2D6414" w14:textId="77777777" w:rsidR="00E836FB" w:rsidRDefault="00E836FB">
            <w:pPr>
              <w:rPr>
                <w:rFonts w:ascii="宋体"/>
              </w:rPr>
            </w:pPr>
          </w:p>
        </w:tc>
        <w:tc>
          <w:tcPr>
            <w:tcW w:w="5" w:type="pct"/>
            <w:shd w:val="clear" w:color="auto" w:fill="auto"/>
            <w:vAlign w:val="bottom"/>
          </w:tcPr>
          <w:p w14:paraId="5F2D6415" w14:textId="77777777" w:rsidR="00E836FB" w:rsidRDefault="00E836FB">
            <w:pPr>
              <w:rPr>
                <w:rFonts w:ascii="宋体"/>
              </w:rPr>
            </w:pPr>
          </w:p>
        </w:tc>
      </w:tr>
      <w:tr w:rsidR="00E836FB" w14:paraId="5F2D641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641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1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1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1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1B" w14:textId="77777777" w:rsidR="00E836FB" w:rsidRDefault="00E836FB">
            <w:pPr>
              <w:rPr>
                <w:rFonts w:ascii="宋体"/>
              </w:rPr>
            </w:pPr>
          </w:p>
        </w:tc>
      </w:tr>
    </w:tbl>
    <w:p w14:paraId="5F2D641D" w14:textId="77777777" w:rsidR="00E836FB" w:rsidRDefault="00994958">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Fully taxable-equivalent revenue is a method of presentation in which the tax savings achieved by investing in tax-exempt investment securities and certain leases are included in interest income with a corresponding charge to income tax expense. This meth</w:t>
      </w:r>
      <w:r>
        <w:rPr>
          <w:rFonts w:ascii="Arial" w:eastAsia="宋体" w:hAnsi="Arial" w:cs="Arial"/>
          <w:color w:val="000000"/>
          <w:sz w:val="13"/>
          <w:szCs w:val="13"/>
        </w:rPr>
        <w:t>od facilitates the comparison of the performance of these assets. The adjustments are computed using a federal income tax rate of 21% for periods ending in 2021, 2020 and 2019, adjusted for applicable state income taxes, net of the related federal tax bene</w:t>
      </w:r>
      <w:r>
        <w:rPr>
          <w:rFonts w:ascii="Arial" w:eastAsia="宋体" w:hAnsi="Arial" w:cs="Arial"/>
          <w:color w:val="000000"/>
          <w:sz w:val="13"/>
          <w:szCs w:val="13"/>
        </w:rPr>
        <w:t>fit. The fully taxable-equivalent adjustments included in interest income presented above were $13 million, $17 million and $19 million for the years ended December 31, 2021, 2020 and 2019, respectively, and were substantially related to tax-exempt securit</w:t>
      </w:r>
      <w:r>
        <w:rPr>
          <w:rFonts w:ascii="Arial" w:eastAsia="宋体" w:hAnsi="Arial" w:cs="Arial"/>
          <w:color w:val="000000"/>
          <w:sz w:val="13"/>
          <w:szCs w:val="13"/>
        </w:rPr>
        <w:t>ies (state and political subdivisions).</w:t>
      </w:r>
    </w:p>
    <w:p w14:paraId="5F2D641E" w14:textId="77777777" w:rsidR="00E836FB" w:rsidRDefault="00994958">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Non-U.S. non-interest-bearing deposits were $968 million, $784 million and $820 million as of December 31, 2021, 2020 and 2019, respectively.</w:t>
      </w:r>
    </w:p>
    <w:p w14:paraId="5F2D641F" w14:textId="77777777" w:rsidR="00E836FB" w:rsidRDefault="00994958">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NIM is calculated by dividing fully taxable-equivalent NII by aver</w:t>
      </w:r>
      <w:r>
        <w:rPr>
          <w:rFonts w:ascii="Arial" w:eastAsia="宋体" w:hAnsi="Arial" w:cs="Arial"/>
          <w:color w:val="000000"/>
          <w:sz w:val="13"/>
          <w:szCs w:val="13"/>
        </w:rPr>
        <w:t>age total interest-earning assets.</w:t>
      </w:r>
    </w:p>
    <w:p w14:paraId="5F2D6420" w14:textId="77777777" w:rsidR="00E836FB" w:rsidRDefault="00994958">
      <w:pPr>
        <w:ind w:firstLine="450"/>
        <w:jc w:val="right"/>
      </w:pPr>
      <w:r>
        <w:rPr>
          <w:rFonts w:ascii="Arial" w:eastAsia="宋体" w:hAnsi="Arial" w:cs="Arial"/>
          <w:color w:val="000000"/>
          <w:sz w:val="18"/>
          <w:szCs w:val="18"/>
        </w:rPr>
        <w:t>State Street Corporation | 186</w:t>
      </w:r>
    </w:p>
    <w:p w14:paraId="5F2D6421" w14:textId="77777777" w:rsidR="00E836FB" w:rsidRDefault="00E836FB">
      <w:pPr>
        <w:ind w:firstLine="450"/>
        <w:jc w:val="center"/>
      </w:pPr>
    </w:p>
    <w:p w14:paraId="5F2D6422" w14:textId="77777777" w:rsidR="00E836FB" w:rsidRDefault="00994958">
      <w:r>
        <w:pict w14:anchorId="5F2D6E3F">
          <v:rect id="_x0000_i1210" style="width:415.3pt;height:1.5pt" o:hralign="center" o:hrstd="t" o:hr="t" fillcolor="#a0a0a0" stroked="f"/>
        </w:pict>
      </w:r>
    </w:p>
    <w:p w14:paraId="5F2D6423" w14:textId="77777777" w:rsidR="00E836FB" w:rsidRDefault="00E836FB">
      <w:pPr>
        <w:ind w:firstLine="450"/>
      </w:pPr>
    </w:p>
    <w:p w14:paraId="5F2D6424" w14:textId="77777777" w:rsidR="00E836FB" w:rsidRDefault="00994958">
      <w:pPr>
        <w:spacing w:before="90"/>
        <w:jc w:val="both"/>
      </w:pPr>
      <w:r>
        <w:rPr>
          <w:rFonts w:ascii="Arial" w:eastAsia="宋体" w:hAnsi="Arial" w:cs="Arial"/>
          <w:b/>
          <w:bCs/>
          <w:color w:val="000000"/>
          <w:sz w:val="20"/>
          <w:szCs w:val="20"/>
        </w:rPr>
        <w:t>STATISTICAL DISCLOSURE BY BANK HOLDING COMPANIES (CONTINUED)</w:t>
      </w:r>
    </w:p>
    <w:p w14:paraId="5F2D6425" w14:textId="77777777" w:rsidR="00E836FB" w:rsidRDefault="00994958">
      <w:pPr>
        <w:spacing w:before="60"/>
        <w:ind w:firstLine="450"/>
        <w:jc w:val="both"/>
      </w:pPr>
      <w:r>
        <w:rPr>
          <w:rFonts w:ascii="Arial" w:eastAsia="宋体" w:hAnsi="Arial" w:cs="Arial"/>
          <w:color w:val="000000"/>
          <w:sz w:val="20"/>
          <w:szCs w:val="20"/>
        </w:rPr>
        <w:t xml:space="preserve">The following table summarizes changes in fully taxable-equivalent interest income and interest expense due to changes in </w:t>
      </w:r>
      <w:r>
        <w:rPr>
          <w:rFonts w:ascii="Arial" w:eastAsia="宋体" w:hAnsi="Arial" w:cs="Arial"/>
          <w:color w:val="000000"/>
          <w:sz w:val="20"/>
          <w:szCs w:val="20"/>
        </w:rPr>
        <w:t>volume of interest-earning assets and interest-bearing liabilities, and due to changes in interest rates. Changes attributed to both volumes and rates have been allocated based on the proportion of change in each category.</w:t>
      </w:r>
    </w:p>
    <w:tbl>
      <w:tblPr>
        <w:tblW w:w="4993" w:type="pct"/>
        <w:tblCellMar>
          <w:top w:w="15" w:type="dxa"/>
          <w:left w:w="15" w:type="dxa"/>
          <w:bottom w:w="15" w:type="dxa"/>
          <w:right w:w="15" w:type="dxa"/>
        </w:tblCellMar>
        <w:tblLook w:val="04A0" w:firstRow="1" w:lastRow="0" w:firstColumn="1" w:lastColumn="0" w:noHBand="0" w:noVBand="1"/>
      </w:tblPr>
      <w:tblGrid>
        <w:gridCol w:w="43"/>
        <w:gridCol w:w="2287"/>
        <w:gridCol w:w="37"/>
        <w:gridCol w:w="99"/>
        <w:gridCol w:w="740"/>
        <w:gridCol w:w="36"/>
        <w:gridCol w:w="36"/>
        <w:gridCol w:w="36"/>
        <w:gridCol w:w="36"/>
        <w:gridCol w:w="99"/>
        <w:gridCol w:w="694"/>
        <w:gridCol w:w="36"/>
        <w:gridCol w:w="36"/>
        <w:gridCol w:w="36"/>
        <w:gridCol w:w="36"/>
        <w:gridCol w:w="99"/>
        <w:gridCol w:w="920"/>
        <w:gridCol w:w="36"/>
        <w:gridCol w:w="36"/>
        <w:gridCol w:w="36"/>
        <w:gridCol w:w="36"/>
        <w:gridCol w:w="99"/>
        <w:gridCol w:w="645"/>
        <w:gridCol w:w="36"/>
        <w:gridCol w:w="36"/>
        <w:gridCol w:w="36"/>
        <w:gridCol w:w="36"/>
        <w:gridCol w:w="99"/>
        <w:gridCol w:w="688"/>
        <w:gridCol w:w="36"/>
        <w:gridCol w:w="36"/>
        <w:gridCol w:w="36"/>
        <w:gridCol w:w="36"/>
        <w:gridCol w:w="99"/>
        <w:gridCol w:w="920"/>
        <w:gridCol w:w="36"/>
      </w:tblGrid>
      <w:tr w:rsidR="00E836FB" w14:paraId="5F2D644A" w14:textId="77777777">
        <w:tc>
          <w:tcPr>
            <w:tcW w:w="50" w:type="pct"/>
            <w:shd w:val="clear" w:color="auto" w:fill="auto"/>
            <w:vAlign w:val="bottom"/>
          </w:tcPr>
          <w:p w14:paraId="5F2D6426" w14:textId="77777777" w:rsidR="00E836FB" w:rsidRDefault="00E836FB">
            <w:pPr>
              <w:rPr>
                <w:rFonts w:ascii="宋体"/>
              </w:rPr>
            </w:pPr>
          </w:p>
        </w:tc>
        <w:tc>
          <w:tcPr>
            <w:tcW w:w="1438" w:type="pct"/>
            <w:shd w:val="clear" w:color="auto" w:fill="auto"/>
            <w:vAlign w:val="bottom"/>
          </w:tcPr>
          <w:p w14:paraId="5F2D6427" w14:textId="77777777" w:rsidR="00E836FB" w:rsidRDefault="00E836FB">
            <w:pPr>
              <w:rPr>
                <w:rFonts w:ascii="宋体"/>
              </w:rPr>
            </w:pPr>
          </w:p>
        </w:tc>
        <w:tc>
          <w:tcPr>
            <w:tcW w:w="5" w:type="pct"/>
            <w:shd w:val="clear" w:color="auto" w:fill="auto"/>
            <w:vAlign w:val="bottom"/>
          </w:tcPr>
          <w:p w14:paraId="5F2D6428" w14:textId="77777777" w:rsidR="00E836FB" w:rsidRDefault="00E836FB">
            <w:pPr>
              <w:rPr>
                <w:rFonts w:ascii="宋体"/>
              </w:rPr>
            </w:pPr>
          </w:p>
        </w:tc>
        <w:tc>
          <w:tcPr>
            <w:tcW w:w="50" w:type="pct"/>
            <w:shd w:val="clear" w:color="auto" w:fill="auto"/>
            <w:vAlign w:val="bottom"/>
          </w:tcPr>
          <w:p w14:paraId="5F2D6429" w14:textId="77777777" w:rsidR="00E836FB" w:rsidRDefault="00E836FB">
            <w:pPr>
              <w:rPr>
                <w:rFonts w:ascii="宋体"/>
              </w:rPr>
            </w:pPr>
          </w:p>
        </w:tc>
        <w:tc>
          <w:tcPr>
            <w:tcW w:w="494" w:type="pct"/>
            <w:shd w:val="clear" w:color="auto" w:fill="auto"/>
            <w:vAlign w:val="bottom"/>
          </w:tcPr>
          <w:p w14:paraId="5F2D642A" w14:textId="77777777" w:rsidR="00E836FB" w:rsidRDefault="00E836FB">
            <w:pPr>
              <w:rPr>
                <w:rFonts w:ascii="宋体"/>
              </w:rPr>
            </w:pPr>
          </w:p>
        </w:tc>
        <w:tc>
          <w:tcPr>
            <w:tcW w:w="5" w:type="pct"/>
            <w:shd w:val="clear" w:color="auto" w:fill="auto"/>
            <w:vAlign w:val="bottom"/>
          </w:tcPr>
          <w:p w14:paraId="5F2D642B" w14:textId="77777777" w:rsidR="00E836FB" w:rsidRDefault="00E836FB">
            <w:pPr>
              <w:rPr>
                <w:rFonts w:ascii="宋体"/>
              </w:rPr>
            </w:pPr>
          </w:p>
        </w:tc>
        <w:tc>
          <w:tcPr>
            <w:tcW w:w="5" w:type="pct"/>
            <w:shd w:val="clear" w:color="auto" w:fill="auto"/>
            <w:vAlign w:val="bottom"/>
          </w:tcPr>
          <w:p w14:paraId="5F2D642C" w14:textId="77777777" w:rsidR="00E836FB" w:rsidRDefault="00E836FB">
            <w:pPr>
              <w:rPr>
                <w:rFonts w:ascii="宋体"/>
              </w:rPr>
            </w:pPr>
          </w:p>
        </w:tc>
        <w:tc>
          <w:tcPr>
            <w:tcW w:w="26" w:type="pct"/>
            <w:shd w:val="clear" w:color="auto" w:fill="auto"/>
            <w:vAlign w:val="bottom"/>
          </w:tcPr>
          <w:p w14:paraId="5F2D642D" w14:textId="77777777" w:rsidR="00E836FB" w:rsidRDefault="00E836FB">
            <w:pPr>
              <w:rPr>
                <w:rFonts w:ascii="宋体"/>
              </w:rPr>
            </w:pPr>
          </w:p>
        </w:tc>
        <w:tc>
          <w:tcPr>
            <w:tcW w:w="5" w:type="pct"/>
            <w:shd w:val="clear" w:color="auto" w:fill="auto"/>
            <w:vAlign w:val="bottom"/>
          </w:tcPr>
          <w:p w14:paraId="5F2D642E" w14:textId="77777777" w:rsidR="00E836FB" w:rsidRDefault="00E836FB">
            <w:pPr>
              <w:rPr>
                <w:rFonts w:ascii="宋体"/>
              </w:rPr>
            </w:pPr>
          </w:p>
        </w:tc>
        <w:tc>
          <w:tcPr>
            <w:tcW w:w="50" w:type="pct"/>
            <w:shd w:val="clear" w:color="auto" w:fill="auto"/>
            <w:vAlign w:val="bottom"/>
          </w:tcPr>
          <w:p w14:paraId="5F2D642F" w14:textId="77777777" w:rsidR="00E836FB" w:rsidRDefault="00E836FB">
            <w:pPr>
              <w:rPr>
                <w:rFonts w:ascii="宋体"/>
              </w:rPr>
            </w:pPr>
          </w:p>
        </w:tc>
        <w:tc>
          <w:tcPr>
            <w:tcW w:w="501" w:type="pct"/>
            <w:shd w:val="clear" w:color="auto" w:fill="auto"/>
            <w:vAlign w:val="bottom"/>
          </w:tcPr>
          <w:p w14:paraId="5F2D6430" w14:textId="77777777" w:rsidR="00E836FB" w:rsidRDefault="00E836FB">
            <w:pPr>
              <w:rPr>
                <w:rFonts w:ascii="宋体"/>
              </w:rPr>
            </w:pPr>
          </w:p>
        </w:tc>
        <w:tc>
          <w:tcPr>
            <w:tcW w:w="5" w:type="pct"/>
            <w:shd w:val="clear" w:color="auto" w:fill="auto"/>
            <w:vAlign w:val="bottom"/>
          </w:tcPr>
          <w:p w14:paraId="5F2D6431" w14:textId="77777777" w:rsidR="00E836FB" w:rsidRDefault="00E836FB">
            <w:pPr>
              <w:rPr>
                <w:rFonts w:ascii="宋体"/>
              </w:rPr>
            </w:pPr>
          </w:p>
        </w:tc>
        <w:tc>
          <w:tcPr>
            <w:tcW w:w="5" w:type="pct"/>
            <w:shd w:val="clear" w:color="auto" w:fill="auto"/>
            <w:vAlign w:val="bottom"/>
          </w:tcPr>
          <w:p w14:paraId="5F2D6432" w14:textId="77777777" w:rsidR="00E836FB" w:rsidRDefault="00E836FB">
            <w:pPr>
              <w:rPr>
                <w:rFonts w:ascii="宋体"/>
              </w:rPr>
            </w:pPr>
          </w:p>
        </w:tc>
        <w:tc>
          <w:tcPr>
            <w:tcW w:w="26" w:type="pct"/>
            <w:shd w:val="clear" w:color="auto" w:fill="auto"/>
            <w:vAlign w:val="bottom"/>
          </w:tcPr>
          <w:p w14:paraId="5F2D6433" w14:textId="77777777" w:rsidR="00E836FB" w:rsidRDefault="00E836FB">
            <w:pPr>
              <w:rPr>
                <w:rFonts w:ascii="宋体"/>
              </w:rPr>
            </w:pPr>
          </w:p>
        </w:tc>
        <w:tc>
          <w:tcPr>
            <w:tcW w:w="5" w:type="pct"/>
            <w:shd w:val="clear" w:color="auto" w:fill="auto"/>
            <w:vAlign w:val="bottom"/>
          </w:tcPr>
          <w:p w14:paraId="5F2D6434" w14:textId="77777777" w:rsidR="00E836FB" w:rsidRDefault="00E836FB">
            <w:pPr>
              <w:rPr>
                <w:rFonts w:ascii="宋体"/>
              </w:rPr>
            </w:pPr>
          </w:p>
        </w:tc>
        <w:tc>
          <w:tcPr>
            <w:tcW w:w="50" w:type="pct"/>
            <w:shd w:val="clear" w:color="auto" w:fill="auto"/>
            <w:vAlign w:val="bottom"/>
          </w:tcPr>
          <w:p w14:paraId="5F2D6435" w14:textId="77777777" w:rsidR="00E836FB" w:rsidRDefault="00E836FB">
            <w:pPr>
              <w:rPr>
                <w:rFonts w:ascii="宋体"/>
              </w:rPr>
            </w:pPr>
          </w:p>
        </w:tc>
        <w:tc>
          <w:tcPr>
            <w:tcW w:w="501" w:type="pct"/>
            <w:shd w:val="clear" w:color="auto" w:fill="auto"/>
            <w:vAlign w:val="bottom"/>
          </w:tcPr>
          <w:p w14:paraId="5F2D6436" w14:textId="77777777" w:rsidR="00E836FB" w:rsidRDefault="00E836FB">
            <w:pPr>
              <w:rPr>
                <w:rFonts w:ascii="宋体"/>
              </w:rPr>
            </w:pPr>
          </w:p>
        </w:tc>
        <w:tc>
          <w:tcPr>
            <w:tcW w:w="5" w:type="pct"/>
            <w:shd w:val="clear" w:color="auto" w:fill="auto"/>
            <w:vAlign w:val="bottom"/>
          </w:tcPr>
          <w:p w14:paraId="5F2D6437" w14:textId="77777777" w:rsidR="00E836FB" w:rsidRDefault="00E836FB">
            <w:pPr>
              <w:rPr>
                <w:rFonts w:ascii="宋体"/>
              </w:rPr>
            </w:pPr>
          </w:p>
        </w:tc>
        <w:tc>
          <w:tcPr>
            <w:tcW w:w="5" w:type="pct"/>
            <w:shd w:val="clear" w:color="auto" w:fill="auto"/>
            <w:vAlign w:val="bottom"/>
          </w:tcPr>
          <w:p w14:paraId="5F2D6438" w14:textId="77777777" w:rsidR="00E836FB" w:rsidRDefault="00E836FB">
            <w:pPr>
              <w:rPr>
                <w:rFonts w:ascii="宋体"/>
              </w:rPr>
            </w:pPr>
          </w:p>
        </w:tc>
        <w:tc>
          <w:tcPr>
            <w:tcW w:w="26" w:type="pct"/>
            <w:shd w:val="clear" w:color="auto" w:fill="auto"/>
            <w:vAlign w:val="bottom"/>
          </w:tcPr>
          <w:p w14:paraId="5F2D6439" w14:textId="77777777" w:rsidR="00E836FB" w:rsidRDefault="00E836FB">
            <w:pPr>
              <w:rPr>
                <w:rFonts w:ascii="宋体"/>
              </w:rPr>
            </w:pPr>
          </w:p>
        </w:tc>
        <w:tc>
          <w:tcPr>
            <w:tcW w:w="5" w:type="pct"/>
            <w:shd w:val="clear" w:color="auto" w:fill="auto"/>
            <w:vAlign w:val="bottom"/>
          </w:tcPr>
          <w:p w14:paraId="5F2D643A" w14:textId="77777777" w:rsidR="00E836FB" w:rsidRDefault="00E836FB">
            <w:pPr>
              <w:rPr>
                <w:rFonts w:ascii="宋体"/>
              </w:rPr>
            </w:pPr>
          </w:p>
        </w:tc>
        <w:tc>
          <w:tcPr>
            <w:tcW w:w="50" w:type="pct"/>
            <w:shd w:val="clear" w:color="auto" w:fill="auto"/>
            <w:vAlign w:val="bottom"/>
          </w:tcPr>
          <w:p w14:paraId="5F2D643B" w14:textId="77777777" w:rsidR="00E836FB" w:rsidRDefault="00E836FB">
            <w:pPr>
              <w:rPr>
                <w:rFonts w:ascii="宋体"/>
              </w:rPr>
            </w:pPr>
          </w:p>
        </w:tc>
        <w:tc>
          <w:tcPr>
            <w:tcW w:w="494" w:type="pct"/>
            <w:shd w:val="clear" w:color="auto" w:fill="auto"/>
            <w:vAlign w:val="bottom"/>
          </w:tcPr>
          <w:p w14:paraId="5F2D643C" w14:textId="77777777" w:rsidR="00E836FB" w:rsidRDefault="00E836FB">
            <w:pPr>
              <w:rPr>
                <w:rFonts w:ascii="宋体"/>
              </w:rPr>
            </w:pPr>
          </w:p>
        </w:tc>
        <w:tc>
          <w:tcPr>
            <w:tcW w:w="5" w:type="pct"/>
            <w:shd w:val="clear" w:color="auto" w:fill="auto"/>
            <w:vAlign w:val="bottom"/>
          </w:tcPr>
          <w:p w14:paraId="5F2D643D" w14:textId="77777777" w:rsidR="00E836FB" w:rsidRDefault="00E836FB">
            <w:pPr>
              <w:rPr>
                <w:rFonts w:ascii="宋体"/>
              </w:rPr>
            </w:pPr>
          </w:p>
        </w:tc>
        <w:tc>
          <w:tcPr>
            <w:tcW w:w="5" w:type="pct"/>
            <w:shd w:val="clear" w:color="auto" w:fill="auto"/>
            <w:vAlign w:val="bottom"/>
          </w:tcPr>
          <w:p w14:paraId="5F2D643E" w14:textId="77777777" w:rsidR="00E836FB" w:rsidRDefault="00E836FB">
            <w:pPr>
              <w:rPr>
                <w:rFonts w:ascii="宋体"/>
              </w:rPr>
            </w:pPr>
          </w:p>
        </w:tc>
        <w:tc>
          <w:tcPr>
            <w:tcW w:w="26" w:type="pct"/>
            <w:shd w:val="clear" w:color="auto" w:fill="auto"/>
            <w:vAlign w:val="bottom"/>
          </w:tcPr>
          <w:p w14:paraId="5F2D643F" w14:textId="77777777" w:rsidR="00E836FB" w:rsidRDefault="00E836FB">
            <w:pPr>
              <w:rPr>
                <w:rFonts w:ascii="宋体"/>
              </w:rPr>
            </w:pPr>
          </w:p>
        </w:tc>
        <w:tc>
          <w:tcPr>
            <w:tcW w:w="5" w:type="pct"/>
            <w:shd w:val="clear" w:color="auto" w:fill="auto"/>
            <w:vAlign w:val="bottom"/>
          </w:tcPr>
          <w:p w14:paraId="5F2D6440" w14:textId="77777777" w:rsidR="00E836FB" w:rsidRDefault="00E836FB">
            <w:pPr>
              <w:rPr>
                <w:rFonts w:ascii="宋体"/>
              </w:rPr>
            </w:pPr>
          </w:p>
        </w:tc>
        <w:tc>
          <w:tcPr>
            <w:tcW w:w="50" w:type="pct"/>
            <w:shd w:val="clear" w:color="auto" w:fill="auto"/>
            <w:vAlign w:val="bottom"/>
          </w:tcPr>
          <w:p w14:paraId="5F2D6441" w14:textId="77777777" w:rsidR="00E836FB" w:rsidRDefault="00E836FB">
            <w:pPr>
              <w:rPr>
                <w:rFonts w:ascii="宋体"/>
              </w:rPr>
            </w:pPr>
          </w:p>
        </w:tc>
        <w:tc>
          <w:tcPr>
            <w:tcW w:w="501" w:type="pct"/>
            <w:shd w:val="clear" w:color="auto" w:fill="auto"/>
            <w:vAlign w:val="bottom"/>
          </w:tcPr>
          <w:p w14:paraId="5F2D6442" w14:textId="77777777" w:rsidR="00E836FB" w:rsidRDefault="00E836FB">
            <w:pPr>
              <w:rPr>
                <w:rFonts w:ascii="宋体"/>
              </w:rPr>
            </w:pPr>
          </w:p>
        </w:tc>
        <w:tc>
          <w:tcPr>
            <w:tcW w:w="5" w:type="pct"/>
            <w:shd w:val="clear" w:color="auto" w:fill="auto"/>
            <w:vAlign w:val="bottom"/>
          </w:tcPr>
          <w:p w14:paraId="5F2D6443" w14:textId="77777777" w:rsidR="00E836FB" w:rsidRDefault="00E836FB">
            <w:pPr>
              <w:rPr>
                <w:rFonts w:ascii="宋体"/>
              </w:rPr>
            </w:pPr>
          </w:p>
        </w:tc>
        <w:tc>
          <w:tcPr>
            <w:tcW w:w="5" w:type="pct"/>
            <w:shd w:val="clear" w:color="auto" w:fill="auto"/>
            <w:vAlign w:val="bottom"/>
          </w:tcPr>
          <w:p w14:paraId="5F2D6444" w14:textId="77777777" w:rsidR="00E836FB" w:rsidRDefault="00E836FB">
            <w:pPr>
              <w:rPr>
                <w:rFonts w:ascii="宋体"/>
              </w:rPr>
            </w:pPr>
          </w:p>
        </w:tc>
        <w:tc>
          <w:tcPr>
            <w:tcW w:w="26" w:type="pct"/>
            <w:shd w:val="clear" w:color="auto" w:fill="auto"/>
            <w:vAlign w:val="bottom"/>
          </w:tcPr>
          <w:p w14:paraId="5F2D6445" w14:textId="77777777" w:rsidR="00E836FB" w:rsidRDefault="00E836FB">
            <w:pPr>
              <w:rPr>
                <w:rFonts w:ascii="宋体"/>
              </w:rPr>
            </w:pPr>
          </w:p>
        </w:tc>
        <w:tc>
          <w:tcPr>
            <w:tcW w:w="5" w:type="pct"/>
            <w:shd w:val="clear" w:color="auto" w:fill="auto"/>
            <w:vAlign w:val="bottom"/>
          </w:tcPr>
          <w:p w14:paraId="5F2D6446" w14:textId="77777777" w:rsidR="00E836FB" w:rsidRDefault="00E836FB">
            <w:pPr>
              <w:rPr>
                <w:rFonts w:ascii="宋体"/>
              </w:rPr>
            </w:pPr>
          </w:p>
        </w:tc>
        <w:tc>
          <w:tcPr>
            <w:tcW w:w="50" w:type="pct"/>
            <w:shd w:val="clear" w:color="auto" w:fill="auto"/>
            <w:vAlign w:val="bottom"/>
          </w:tcPr>
          <w:p w14:paraId="5F2D6447" w14:textId="77777777" w:rsidR="00E836FB" w:rsidRDefault="00E836FB">
            <w:pPr>
              <w:rPr>
                <w:rFonts w:ascii="宋体"/>
              </w:rPr>
            </w:pPr>
          </w:p>
        </w:tc>
        <w:tc>
          <w:tcPr>
            <w:tcW w:w="501" w:type="pct"/>
            <w:shd w:val="clear" w:color="auto" w:fill="auto"/>
            <w:vAlign w:val="bottom"/>
          </w:tcPr>
          <w:p w14:paraId="5F2D6448" w14:textId="77777777" w:rsidR="00E836FB" w:rsidRDefault="00E836FB">
            <w:pPr>
              <w:rPr>
                <w:rFonts w:ascii="宋体"/>
              </w:rPr>
            </w:pPr>
          </w:p>
        </w:tc>
        <w:tc>
          <w:tcPr>
            <w:tcW w:w="5" w:type="pct"/>
            <w:shd w:val="clear" w:color="auto" w:fill="auto"/>
            <w:vAlign w:val="bottom"/>
          </w:tcPr>
          <w:p w14:paraId="5F2D6449" w14:textId="77777777" w:rsidR="00E836FB" w:rsidRDefault="00E836FB">
            <w:pPr>
              <w:rPr>
                <w:rFonts w:ascii="宋体"/>
              </w:rPr>
            </w:pPr>
          </w:p>
        </w:tc>
      </w:tr>
      <w:tr w:rsidR="00E836FB" w14:paraId="5F2D644F" w14:textId="77777777">
        <w:tc>
          <w:tcPr>
            <w:tcW w:w="0" w:type="auto"/>
            <w:gridSpan w:val="3"/>
            <w:shd w:val="clear" w:color="auto" w:fill="auto"/>
            <w:tcMar>
              <w:top w:w="40" w:type="dxa"/>
              <w:left w:w="20" w:type="dxa"/>
              <w:bottom w:w="40" w:type="dxa"/>
              <w:right w:w="20" w:type="dxa"/>
            </w:tcMar>
            <w:vAlign w:val="bottom"/>
          </w:tcPr>
          <w:p w14:paraId="5F2D644B" w14:textId="77777777" w:rsidR="00E836FB" w:rsidRDefault="00994958">
            <w:pPr>
              <w:textAlignment w:val="bottom"/>
            </w:pPr>
            <w:r>
              <w:rPr>
                <w:rFonts w:ascii="Arial" w:eastAsia="宋体" w:hAnsi="Arial" w:cs="Arial"/>
                <w:b/>
                <w:bCs/>
                <w:color w:val="000000"/>
                <w:sz w:val="14"/>
                <w:szCs w:val="14"/>
              </w:rPr>
              <w:t>Years Ended December 31,</w:t>
            </w:r>
          </w:p>
        </w:tc>
        <w:tc>
          <w:tcPr>
            <w:tcW w:w="0" w:type="auto"/>
            <w:gridSpan w:val="15"/>
            <w:shd w:val="clear" w:color="auto" w:fill="auto"/>
            <w:tcMar>
              <w:top w:w="40" w:type="dxa"/>
              <w:left w:w="20" w:type="dxa"/>
              <w:bottom w:w="40" w:type="dxa"/>
              <w:right w:w="20" w:type="dxa"/>
            </w:tcMar>
            <w:vAlign w:val="bottom"/>
          </w:tcPr>
          <w:p w14:paraId="5F2D644C" w14:textId="77777777" w:rsidR="00E836FB" w:rsidRDefault="00994958">
            <w:pPr>
              <w:jc w:val="center"/>
              <w:textAlignment w:val="bottom"/>
            </w:pPr>
            <w:r>
              <w:rPr>
                <w:rFonts w:ascii="Arial" w:eastAsia="宋体" w:hAnsi="Arial" w:cs="Arial"/>
                <w:b/>
                <w:bCs/>
                <w:color w:val="000000"/>
                <w:sz w:val="14"/>
                <w:szCs w:val="14"/>
              </w:rPr>
              <w:t>2021 Compared to 2020</w:t>
            </w:r>
          </w:p>
        </w:tc>
        <w:tc>
          <w:tcPr>
            <w:tcW w:w="0" w:type="auto"/>
            <w:gridSpan w:val="3"/>
            <w:shd w:val="clear" w:color="auto" w:fill="auto"/>
            <w:tcMar>
              <w:top w:w="0" w:type="dxa"/>
              <w:left w:w="20" w:type="dxa"/>
              <w:bottom w:w="0" w:type="dxa"/>
              <w:right w:w="20" w:type="dxa"/>
            </w:tcMar>
            <w:vAlign w:val="bottom"/>
          </w:tcPr>
          <w:p w14:paraId="5F2D644D" w14:textId="77777777" w:rsidR="00E836FB" w:rsidRDefault="00E836FB">
            <w:pPr>
              <w:rPr>
                <w:rFonts w:ascii="宋体"/>
              </w:rPr>
            </w:pPr>
          </w:p>
        </w:tc>
        <w:tc>
          <w:tcPr>
            <w:tcW w:w="0" w:type="auto"/>
            <w:gridSpan w:val="15"/>
            <w:shd w:val="clear" w:color="auto" w:fill="auto"/>
            <w:tcMar>
              <w:top w:w="40" w:type="dxa"/>
              <w:left w:w="20" w:type="dxa"/>
              <w:bottom w:w="40" w:type="dxa"/>
              <w:right w:w="20" w:type="dxa"/>
            </w:tcMar>
            <w:vAlign w:val="bottom"/>
          </w:tcPr>
          <w:p w14:paraId="5F2D644E" w14:textId="77777777" w:rsidR="00E836FB" w:rsidRDefault="00994958">
            <w:pPr>
              <w:jc w:val="center"/>
              <w:textAlignment w:val="bottom"/>
            </w:pPr>
            <w:r>
              <w:rPr>
                <w:rFonts w:ascii="Arial" w:eastAsia="宋体" w:hAnsi="Arial" w:cs="Arial"/>
                <w:b/>
                <w:bCs/>
                <w:color w:val="000000"/>
                <w:sz w:val="14"/>
                <w:szCs w:val="14"/>
              </w:rPr>
              <w:t>2020 Compared to 2019</w:t>
            </w:r>
          </w:p>
        </w:tc>
      </w:tr>
      <w:tr w:rsidR="00E836FB" w14:paraId="5F2D645F" w14:textId="77777777">
        <w:tc>
          <w:tcPr>
            <w:tcW w:w="0" w:type="auto"/>
            <w:gridSpan w:val="3"/>
            <w:shd w:val="clear" w:color="auto" w:fill="auto"/>
            <w:tcMar>
              <w:top w:w="40" w:type="dxa"/>
              <w:left w:w="20" w:type="dxa"/>
              <w:bottom w:w="40" w:type="dxa"/>
              <w:right w:w="20" w:type="dxa"/>
            </w:tcMar>
            <w:vAlign w:val="bottom"/>
          </w:tcPr>
          <w:p w14:paraId="5F2D6450" w14:textId="77777777" w:rsidR="00E836FB" w:rsidRDefault="00994958">
            <w:pPr>
              <w:textAlignment w:val="bottom"/>
            </w:pPr>
            <w:r>
              <w:rPr>
                <w:rFonts w:ascii="Arial" w:eastAsia="宋体" w:hAnsi="Arial" w:cs="Arial"/>
                <w:b/>
                <w:bCs/>
                <w:color w:val="000000"/>
                <w:sz w:val="14"/>
                <w:szCs w:val="14"/>
              </w:rPr>
              <w:t>(Dollars in millions; fully</w:t>
            </w:r>
            <w:r>
              <w:rPr>
                <w:rFonts w:ascii="Arial" w:eastAsia="宋体" w:hAnsi="Arial" w:cs="Arial"/>
                <w:b/>
                <w:bCs/>
                <w:color w:val="000000"/>
                <w:sz w:val="14"/>
                <w:szCs w:val="14"/>
              </w:rPr>
              <w:br/>
            </w:r>
            <w:r>
              <w:rPr>
                <w:rFonts w:ascii="Arial" w:eastAsia="宋体" w:hAnsi="Arial" w:cs="Arial"/>
                <w:b/>
                <w:bCs/>
                <w:color w:val="000000"/>
                <w:sz w:val="14"/>
                <w:szCs w:val="14"/>
              </w:rPr>
              <w:t>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451" w14:textId="77777777" w:rsidR="00E836FB" w:rsidRDefault="00994958">
            <w:pPr>
              <w:jc w:val="center"/>
              <w:textAlignment w:val="bottom"/>
            </w:pPr>
            <w:r>
              <w:rPr>
                <w:rFonts w:ascii="Arial" w:eastAsia="宋体" w:hAnsi="Arial" w:cs="Arial"/>
                <w:b/>
                <w:bCs/>
                <w:color w:val="000000"/>
                <w:sz w:val="14"/>
                <w:szCs w:val="14"/>
              </w:rPr>
              <w:t>Change in</w:t>
            </w:r>
            <w:r>
              <w:rPr>
                <w:rFonts w:ascii="Arial" w:eastAsia="宋体" w:hAnsi="Arial" w:cs="Arial"/>
                <w:b/>
                <w:bCs/>
                <w:color w:val="000000"/>
                <w:sz w:val="14"/>
                <w:szCs w:val="14"/>
              </w:rPr>
              <w:br/>
              <w:t>Volume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52"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453" w14:textId="77777777" w:rsidR="00E836FB" w:rsidRDefault="00994958">
            <w:pPr>
              <w:jc w:val="center"/>
              <w:textAlignment w:val="bottom"/>
            </w:pPr>
            <w:r>
              <w:rPr>
                <w:rFonts w:ascii="Arial" w:eastAsia="宋体" w:hAnsi="Arial" w:cs="Arial"/>
                <w:b/>
                <w:bCs/>
                <w:color w:val="000000"/>
                <w:sz w:val="14"/>
                <w:szCs w:val="14"/>
              </w:rPr>
              <w:t>Change in</w:t>
            </w:r>
            <w:r>
              <w:rPr>
                <w:rFonts w:ascii="Arial" w:eastAsia="宋体" w:hAnsi="Arial" w:cs="Arial"/>
                <w:b/>
                <w:bCs/>
                <w:color w:val="000000"/>
                <w:sz w:val="14"/>
                <w:szCs w:val="14"/>
              </w:rPr>
              <w:br/>
              <w:t>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54"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455" w14:textId="77777777" w:rsidR="00E836FB" w:rsidRDefault="00994958">
            <w:pPr>
              <w:jc w:val="center"/>
              <w:textAlignment w:val="bottom"/>
            </w:pPr>
            <w:r>
              <w:rPr>
                <w:rFonts w:ascii="Arial" w:eastAsia="宋体" w:hAnsi="Arial" w:cs="Arial"/>
                <w:b/>
                <w:bCs/>
                <w:color w:val="000000"/>
                <w:sz w:val="14"/>
                <w:szCs w:val="14"/>
              </w:rPr>
              <w:t>Net (Decrease)</w:t>
            </w:r>
            <w:r>
              <w:rPr>
                <w:rFonts w:ascii="Arial" w:eastAsia="宋体" w:hAnsi="Arial" w:cs="Arial"/>
                <w:b/>
                <w:bCs/>
                <w:color w:val="000000"/>
                <w:sz w:val="14"/>
                <w:szCs w:val="14"/>
              </w:rPr>
              <w:br/>
              <w:t>Increase</w:t>
            </w:r>
          </w:p>
        </w:tc>
        <w:tc>
          <w:tcPr>
            <w:tcW w:w="0" w:type="auto"/>
            <w:gridSpan w:val="3"/>
            <w:shd w:val="clear" w:color="auto" w:fill="auto"/>
            <w:tcMar>
              <w:top w:w="0" w:type="dxa"/>
              <w:left w:w="20" w:type="dxa"/>
              <w:bottom w:w="0" w:type="dxa"/>
              <w:right w:w="20" w:type="dxa"/>
            </w:tcMar>
            <w:vAlign w:val="bottom"/>
          </w:tcPr>
          <w:p w14:paraId="5F2D6456"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457" w14:textId="77777777" w:rsidR="00E836FB" w:rsidRDefault="00994958">
            <w:pPr>
              <w:jc w:val="center"/>
              <w:textAlignment w:val="bottom"/>
            </w:pPr>
            <w:r>
              <w:rPr>
                <w:rFonts w:ascii="Arial" w:eastAsia="宋体" w:hAnsi="Arial" w:cs="Arial"/>
                <w:b/>
                <w:bCs/>
                <w:color w:val="000000"/>
                <w:sz w:val="14"/>
                <w:szCs w:val="14"/>
              </w:rPr>
              <w:t>Change in</w:t>
            </w:r>
          </w:p>
          <w:p w14:paraId="5F2D6458" w14:textId="77777777" w:rsidR="00E836FB" w:rsidRDefault="00994958">
            <w:pPr>
              <w:jc w:val="center"/>
              <w:textAlignment w:val="bottom"/>
            </w:pPr>
            <w:r>
              <w:rPr>
                <w:rFonts w:ascii="Arial" w:eastAsia="宋体" w:hAnsi="Arial" w:cs="Arial"/>
                <w:b/>
                <w:bCs/>
                <w:color w:val="000000"/>
                <w:sz w:val="14"/>
                <w:szCs w:val="14"/>
              </w:rPr>
              <w:t>Volume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5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45A" w14:textId="77777777" w:rsidR="00E836FB" w:rsidRDefault="00994958">
            <w:pPr>
              <w:jc w:val="center"/>
              <w:textAlignment w:val="bottom"/>
            </w:pPr>
            <w:r>
              <w:rPr>
                <w:rFonts w:ascii="Arial" w:eastAsia="宋体" w:hAnsi="Arial" w:cs="Arial"/>
                <w:b/>
                <w:bCs/>
                <w:color w:val="000000"/>
                <w:sz w:val="14"/>
                <w:szCs w:val="14"/>
              </w:rPr>
              <w:t>Change in</w:t>
            </w:r>
          </w:p>
          <w:p w14:paraId="5F2D645B" w14:textId="77777777" w:rsidR="00E836FB" w:rsidRDefault="00994958">
            <w:pPr>
              <w:jc w:val="center"/>
              <w:textAlignment w:val="bottom"/>
            </w:pPr>
            <w:r>
              <w:rPr>
                <w:rFonts w:ascii="Arial" w:eastAsia="宋体" w:hAnsi="Arial" w:cs="Arial"/>
                <w:b/>
                <w:bCs/>
                <w:color w:val="000000"/>
                <w:sz w:val="14"/>
                <w:szCs w:val="14"/>
              </w:rPr>
              <w:t>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5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45D" w14:textId="77777777" w:rsidR="00E836FB" w:rsidRDefault="00994958">
            <w:pPr>
              <w:jc w:val="center"/>
              <w:textAlignment w:val="bottom"/>
            </w:pPr>
            <w:r>
              <w:rPr>
                <w:rFonts w:ascii="Arial" w:eastAsia="宋体" w:hAnsi="Arial" w:cs="Arial"/>
                <w:b/>
                <w:bCs/>
                <w:color w:val="000000"/>
                <w:sz w:val="14"/>
                <w:szCs w:val="14"/>
              </w:rPr>
              <w:t>Net (Decrease)</w:t>
            </w:r>
          </w:p>
          <w:p w14:paraId="5F2D645E" w14:textId="77777777" w:rsidR="00E836FB" w:rsidRDefault="00994958">
            <w:pPr>
              <w:jc w:val="center"/>
              <w:textAlignment w:val="bottom"/>
            </w:pPr>
            <w:r>
              <w:rPr>
                <w:rFonts w:ascii="Arial" w:eastAsia="宋体" w:hAnsi="Arial" w:cs="Arial"/>
                <w:b/>
                <w:bCs/>
                <w:color w:val="000000"/>
                <w:sz w:val="14"/>
                <w:szCs w:val="14"/>
              </w:rPr>
              <w:t>Increase</w:t>
            </w:r>
          </w:p>
        </w:tc>
      </w:tr>
      <w:tr w:rsidR="00E836FB" w14:paraId="5F2D646C" w14:textId="77777777">
        <w:tc>
          <w:tcPr>
            <w:tcW w:w="0" w:type="auto"/>
            <w:gridSpan w:val="3"/>
            <w:shd w:val="clear" w:color="auto" w:fill="auto"/>
            <w:tcMar>
              <w:top w:w="40" w:type="dxa"/>
              <w:left w:w="20" w:type="dxa"/>
              <w:bottom w:w="40" w:type="dxa"/>
              <w:right w:w="20" w:type="dxa"/>
            </w:tcMar>
            <w:vAlign w:val="bottom"/>
          </w:tcPr>
          <w:p w14:paraId="5F2D6460" w14:textId="77777777" w:rsidR="00E836FB" w:rsidRDefault="00994958">
            <w:pPr>
              <w:textAlignment w:val="bottom"/>
            </w:pPr>
            <w:r>
              <w:rPr>
                <w:rFonts w:ascii="Arial" w:eastAsia="宋体" w:hAnsi="Arial" w:cs="Arial"/>
                <w:b/>
                <w:bCs/>
                <w:color w:val="000000"/>
                <w:sz w:val="14"/>
                <w:szCs w:val="14"/>
              </w:rPr>
              <w:t>Interest i</w:t>
            </w:r>
            <w:r>
              <w:rPr>
                <w:rFonts w:ascii="Arial" w:eastAsia="宋体" w:hAnsi="Arial" w:cs="Arial"/>
                <w:b/>
                <w:bCs/>
                <w:color w:val="000000"/>
                <w:sz w:val="14"/>
                <w:szCs w:val="14"/>
              </w:rPr>
              <w:t>ncome related to: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6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62"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64"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6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6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6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6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6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46A"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46B" w14:textId="77777777" w:rsidR="00E836FB" w:rsidRDefault="00E836FB">
            <w:pPr>
              <w:rPr>
                <w:rFonts w:ascii="宋体"/>
              </w:rPr>
            </w:pPr>
          </w:p>
        </w:tc>
      </w:tr>
      <w:tr w:rsidR="00E836FB" w14:paraId="5F2D6485" w14:textId="77777777">
        <w:tc>
          <w:tcPr>
            <w:tcW w:w="0" w:type="auto"/>
            <w:gridSpan w:val="3"/>
            <w:shd w:val="clear" w:color="auto" w:fill="CCEEFF"/>
            <w:tcMar>
              <w:top w:w="40" w:type="dxa"/>
              <w:left w:w="20" w:type="dxa"/>
              <w:bottom w:w="40" w:type="dxa"/>
              <w:right w:w="20" w:type="dxa"/>
            </w:tcMar>
            <w:vAlign w:val="bottom"/>
          </w:tcPr>
          <w:p w14:paraId="5F2D646D" w14:textId="77777777" w:rsidR="00E836FB" w:rsidRDefault="00994958">
            <w:pPr>
              <w:textAlignment w:val="bottom"/>
            </w:pPr>
            <w:r>
              <w:rPr>
                <w:rFonts w:ascii="Arial" w:eastAsia="宋体" w:hAnsi="Arial" w:cs="Arial"/>
                <w:color w:val="000000"/>
                <w:sz w:val="14"/>
                <w:szCs w:val="14"/>
              </w:rPr>
              <w:t>Interest-bearing deposits with U.S. banks</w:t>
            </w:r>
          </w:p>
        </w:tc>
        <w:tc>
          <w:tcPr>
            <w:tcW w:w="0" w:type="auto"/>
            <w:shd w:val="clear" w:color="auto" w:fill="CCEEFF"/>
            <w:tcMar>
              <w:top w:w="40" w:type="dxa"/>
              <w:left w:w="20" w:type="dxa"/>
              <w:bottom w:w="40" w:type="dxa"/>
              <w:right w:w="0" w:type="dxa"/>
            </w:tcMar>
            <w:vAlign w:val="bottom"/>
          </w:tcPr>
          <w:p w14:paraId="5F2D646E"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646F" w14:textId="77777777" w:rsidR="00E836FB" w:rsidRDefault="00994958">
            <w:pPr>
              <w:jc w:val="right"/>
              <w:textAlignment w:val="bottom"/>
            </w:pPr>
            <w:r>
              <w:rPr>
                <w:rFonts w:ascii="Arial" w:eastAsia="宋体" w:hAnsi="Arial" w:cs="Arial"/>
                <w:b/>
                <w:bCs/>
                <w:color w:val="000000"/>
                <w:sz w:val="14"/>
                <w:szCs w:val="14"/>
              </w:rPr>
              <w:t>(8)</w:t>
            </w:r>
          </w:p>
        </w:tc>
        <w:tc>
          <w:tcPr>
            <w:tcW w:w="0" w:type="auto"/>
            <w:shd w:val="clear" w:color="auto" w:fill="CCEEFF"/>
            <w:tcMar>
              <w:top w:w="40" w:type="dxa"/>
              <w:left w:w="0" w:type="dxa"/>
              <w:bottom w:w="40" w:type="dxa"/>
              <w:right w:w="20" w:type="dxa"/>
            </w:tcMar>
            <w:vAlign w:val="bottom"/>
          </w:tcPr>
          <w:p w14:paraId="5F2D647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7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472"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6473" w14:textId="77777777" w:rsidR="00E836FB" w:rsidRDefault="00994958">
            <w:pPr>
              <w:jc w:val="right"/>
              <w:textAlignment w:val="bottom"/>
            </w:pPr>
            <w:r>
              <w:rPr>
                <w:rFonts w:ascii="Arial" w:eastAsia="宋体" w:hAnsi="Arial" w:cs="Arial"/>
                <w:b/>
                <w:bCs/>
                <w:color w:val="000000"/>
                <w:sz w:val="14"/>
                <w:szCs w:val="14"/>
              </w:rPr>
              <w:t>(52)</w:t>
            </w:r>
          </w:p>
        </w:tc>
        <w:tc>
          <w:tcPr>
            <w:tcW w:w="0" w:type="auto"/>
            <w:shd w:val="clear" w:color="auto" w:fill="CCEEFF"/>
            <w:tcMar>
              <w:top w:w="40" w:type="dxa"/>
              <w:left w:w="0" w:type="dxa"/>
              <w:bottom w:w="40" w:type="dxa"/>
              <w:right w:w="20" w:type="dxa"/>
            </w:tcMar>
            <w:vAlign w:val="bottom"/>
          </w:tcPr>
          <w:p w14:paraId="5F2D647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75"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476" w14:textId="77777777" w:rsidR="00E836FB" w:rsidRDefault="00994958">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F2D6477" w14:textId="77777777" w:rsidR="00E836FB" w:rsidRDefault="00994958">
            <w:pPr>
              <w:jc w:val="right"/>
              <w:textAlignment w:val="bottom"/>
            </w:pPr>
            <w:r>
              <w:rPr>
                <w:rFonts w:ascii="Arial" w:eastAsia="宋体" w:hAnsi="Arial" w:cs="Arial"/>
                <w:b/>
                <w:bCs/>
                <w:color w:val="000000"/>
                <w:sz w:val="14"/>
                <w:szCs w:val="14"/>
              </w:rPr>
              <w:t>(60)</w:t>
            </w:r>
          </w:p>
        </w:tc>
        <w:tc>
          <w:tcPr>
            <w:tcW w:w="0" w:type="auto"/>
            <w:shd w:val="clear" w:color="auto" w:fill="CCEEFF"/>
            <w:tcMar>
              <w:top w:w="40" w:type="dxa"/>
              <w:left w:w="0" w:type="dxa"/>
              <w:bottom w:w="40" w:type="dxa"/>
              <w:right w:w="20" w:type="dxa"/>
            </w:tcMar>
            <w:vAlign w:val="bottom"/>
          </w:tcPr>
          <w:p w14:paraId="5F2D647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79"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47A"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47B" w14:textId="77777777" w:rsidR="00E836FB" w:rsidRDefault="00994958">
            <w:pPr>
              <w:jc w:val="right"/>
              <w:textAlignment w:val="bottom"/>
            </w:pPr>
            <w:r>
              <w:rPr>
                <w:rFonts w:ascii="Arial" w:eastAsia="宋体" w:hAnsi="Arial" w:cs="Arial"/>
                <w:color w:val="000000"/>
                <w:sz w:val="14"/>
                <w:szCs w:val="14"/>
              </w:rPr>
              <w:t>301 </w:t>
            </w:r>
          </w:p>
        </w:tc>
        <w:tc>
          <w:tcPr>
            <w:tcW w:w="0" w:type="auto"/>
            <w:shd w:val="clear" w:color="auto" w:fill="CCEEFF"/>
            <w:tcMar>
              <w:top w:w="40" w:type="dxa"/>
              <w:left w:w="0" w:type="dxa"/>
              <w:bottom w:w="40" w:type="dxa"/>
              <w:right w:w="20" w:type="dxa"/>
            </w:tcMar>
            <w:vAlign w:val="bottom"/>
          </w:tcPr>
          <w:p w14:paraId="5F2D647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7D"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47E"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47F" w14:textId="77777777" w:rsidR="00E836FB" w:rsidRDefault="00994958">
            <w:pPr>
              <w:jc w:val="right"/>
              <w:textAlignment w:val="bottom"/>
            </w:pPr>
            <w:r>
              <w:rPr>
                <w:rFonts w:ascii="Arial" w:eastAsia="宋体" w:hAnsi="Arial" w:cs="Arial"/>
                <w:color w:val="000000"/>
                <w:sz w:val="14"/>
                <w:szCs w:val="14"/>
              </w:rPr>
              <w:t>(560)</w:t>
            </w:r>
          </w:p>
        </w:tc>
        <w:tc>
          <w:tcPr>
            <w:tcW w:w="0" w:type="auto"/>
            <w:shd w:val="clear" w:color="auto" w:fill="CCEEFF"/>
            <w:tcMar>
              <w:top w:w="40" w:type="dxa"/>
              <w:left w:w="0" w:type="dxa"/>
              <w:bottom w:w="40" w:type="dxa"/>
              <w:right w:w="20" w:type="dxa"/>
            </w:tcMar>
            <w:vAlign w:val="bottom"/>
          </w:tcPr>
          <w:p w14:paraId="5F2D64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81" w14:textId="77777777" w:rsidR="00E836FB" w:rsidRDefault="00E836FB">
            <w:pPr>
              <w:rPr>
                <w:rFonts w:ascii="宋体"/>
              </w:rPr>
            </w:pPr>
          </w:p>
        </w:tc>
        <w:tc>
          <w:tcPr>
            <w:tcW w:w="0" w:type="auto"/>
            <w:shd w:val="clear" w:color="auto" w:fill="CCEEFF"/>
            <w:tcMar>
              <w:top w:w="40" w:type="dxa"/>
              <w:left w:w="20" w:type="dxa"/>
              <w:bottom w:w="40" w:type="dxa"/>
              <w:right w:w="0" w:type="dxa"/>
            </w:tcMar>
            <w:vAlign w:val="bottom"/>
          </w:tcPr>
          <w:p w14:paraId="5F2D6482" w14:textId="77777777" w:rsidR="00E836FB" w:rsidRDefault="00994958">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F2D6483" w14:textId="77777777" w:rsidR="00E836FB" w:rsidRDefault="00994958">
            <w:pPr>
              <w:jc w:val="right"/>
              <w:textAlignment w:val="bottom"/>
            </w:pPr>
            <w:r>
              <w:rPr>
                <w:rFonts w:ascii="Arial" w:eastAsia="宋体" w:hAnsi="Arial" w:cs="Arial"/>
                <w:color w:val="000000"/>
                <w:sz w:val="14"/>
                <w:szCs w:val="14"/>
              </w:rPr>
              <w:t>(259)</w:t>
            </w:r>
          </w:p>
        </w:tc>
        <w:tc>
          <w:tcPr>
            <w:tcW w:w="0" w:type="auto"/>
            <w:shd w:val="clear" w:color="auto" w:fill="CCEEFF"/>
            <w:tcMar>
              <w:top w:w="40" w:type="dxa"/>
              <w:left w:w="0" w:type="dxa"/>
              <w:bottom w:w="40" w:type="dxa"/>
              <w:right w:w="20" w:type="dxa"/>
            </w:tcMar>
            <w:vAlign w:val="bottom"/>
          </w:tcPr>
          <w:p w14:paraId="5F2D6484" w14:textId="77777777" w:rsidR="00E836FB" w:rsidRDefault="00E836FB">
            <w:pPr>
              <w:jc w:val="right"/>
              <w:rPr>
                <w:rFonts w:ascii="宋体"/>
              </w:rPr>
            </w:pPr>
          </w:p>
        </w:tc>
      </w:tr>
      <w:tr w:rsidR="00E836FB" w14:paraId="5F2D6498" w14:textId="77777777">
        <w:tc>
          <w:tcPr>
            <w:tcW w:w="0" w:type="auto"/>
            <w:gridSpan w:val="3"/>
            <w:shd w:val="clear" w:color="auto" w:fill="FFFFFF"/>
            <w:tcMar>
              <w:top w:w="40" w:type="dxa"/>
              <w:left w:w="20" w:type="dxa"/>
              <w:bottom w:w="40" w:type="dxa"/>
              <w:right w:w="20" w:type="dxa"/>
            </w:tcMar>
            <w:vAlign w:val="bottom"/>
          </w:tcPr>
          <w:p w14:paraId="5F2D6486" w14:textId="77777777" w:rsidR="00E836FB" w:rsidRDefault="00994958">
            <w:pPr>
              <w:textAlignment w:val="bottom"/>
            </w:pPr>
            <w:r>
              <w:rPr>
                <w:rFonts w:ascii="Arial" w:eastAsia="宋体" w:hAnsi="Arial" w:cs="Arial"/>
                <w:color w:val="000000"/>
                <w:sz w:val="14"/>
                <w:szCs w:val="14"/>
              </w:rPr>
              <w:t>Interest-bearing deposits with non-U.S. banks</w:t>
            </w:r>
          </w:p>
        </w:tc>
        <w:tc>
          <w:tcPr>
            <w:tcW w:w="0" w:type="auto"/>
            <w:gridSpan w:val="2"/>
            <w:shd w:val="clear" w:color="auto" w:fill="FFFFFF"/>
            <w:tcMar>
              <w:top w:w="40" w:type="dxa"/>
              <w:left w:w="20" w:type="dxa"/>
              <w:bottom w:w="40" w:type="dxa"/>
              <w:right w:w="0" w:type="dxa"/>
            </w:tcMar>
            <w:vAlign w:val="bottom"/>
          </w:tcPr>
          <w:p w14:paraId="5F2D6487" w14:textId="77777777" w:rsidR="00E836FB" w:rsidRDefault="00994958">
            <w:pPr>
              <w:jc w:val="right"/>
              <w:textAlignment w:val="bottom"/>
            </w:pPr>
            <w:r>
              <w:rPr>
                <w:rFonts w:ascii="Arial" w:eastAsia="宋体" w:hAnsi="Arial" w:cs="Arial"/>
                <w:b/>
                <w:bCs/>
                <w:color w:val="000000"/>
                <w:sz w:val="14"/>
                <w:szCs w:val="14"/>
              </w:rPr>
              <w:t>(9)</w:t>
            </w:r>
          </w:p>
        </w:tc>
        <w:tc>
          <w:tcPr>
            <w:tcW w:w="0" w:type="auto"/>
            <w:shd w:val="clear" w:color="auto" w:fill="FFFFFF"/>
            <w:tcMar>
              <w:top w:w="40" w:type="dxa"/>
              <w:left w:w="0" w:type="dxa"/>
              <w:bottom w:w="40" w:type="dxa"/>
              <w:right w:w="20" w:type="dxa"/>
            </w:tcMar>
            <w:vAlign w:val="bottom"/>
          </w:tcPr>
          <w:p w14:paraId="5F2D648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8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8A" w14:textId="77777777" w:rsidR="00E836FB" w:rsidRDefault="00994958">
            <w:pPr>
              <w:jc w:val="right"/>
              <w:textAlignment w:val="bottom"/>
            </w:pPr>
            <w:r>
              <w:rPr>
                <w:rFonts w:ascii="Arial" w:eastAsia="宋体" w:hAnsi="Arial" w:cs="Arial"/>
                <w:b/>
                <w:bCs/>
                <w:color w:val="000000"/>
                <w:sz w:val="14"/>
                <w:szCs w:val="14"/>
              </w:rPr>
              <w:t>(22)</w:t>
            </w:r>
          </w:p>
        </w:tc>
        <w:tc>
          <w:tcPr>
            <w:tcW w:w="0" w:type="auto"/>
            <w:shd w:val="clear" w:color="auto" w:fill="FFFFFF"/>
            <w:tcMar>
              <w:top w:w="40" w:type="dxa"/>
              <w:left w:w="0" w:type="dxa"/>
              <w:bottom w:w="40" w:type="dxa"/>
              <w:right w:w="20" w:type="dxa"/>
            </w:tcMar>
            <w:vAlign w:val="bottom"/>
          </w:tcPr>
          <w:p w14:paraId="5F2D648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8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8D" w14:textId="77777777" w:rsidR="00E836FB" w:rsidRDefault="00994958">
            <w:pPr>
              <w:jc w:val="right"/>
              <w:textAlignment w:val="bottom"/>
            </w:pPr>
            <w:r>
              <w:rPr>
                <w:rFonts w:ascii="Arial" w:eastAsia="宋体" w:hAnsi="Arial" w:cs="Arial"/>
                <w:b/>
                <w:bCs/>
                <w:color w:val="000000"/>
                <w:sz w:val="14"/>
                <w:szCs w:val="14"/>
              </w:rPr>
              <w:t>(31)</w:t>
            </w:r>
          </w:p>
        </w:tc>
        <w:tc>
          <w:tcPr>
            <w:tcW w:w="0" w:type="auto"/>
            <w:shd w:val="clear" w:color="auto" w:fill="FFFFFF"/>
            <w:tcMar>
              <w:top w:w="40" w:type="dxa"/>
              <w:left w:w="0" w:type="dxa"/>
              <w:bottom w:w="40" w:type="dxa"/>
              <w:right w:w="20" w:type="dxa"/>
            </w:tcMar>
            <w:vAlign w:val="bottom"/>
          </w:tcPr>
          <w:p w14:paraId="5F2D648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8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90" w14:textId="77777777" w:rsidR="00E836FB" w:rsidRDefault="00994958">
            <w:pPr>
              <w:jc w:val="right"/>
              <w:textAlignment w:val="bottom"/>
            </w:pPr>
            <w:r>
              <w:rPr>
                <w:rFonts w:ascii="Arial" w:eastAsia="宋体" w:hAnsi="Arial" w:cs="Arial"/>
                <w:color w:val="000000"/>
                <w:sz w:val="14"/>
                <w:szCs w:val="14"/>
              </w:rPr>
              <w:t>25 </w:t>
            </w:r>
          </w:p>
        </w:tc>
        <w:tc>
          <w:tcPr>
            <w:tcW w:w="0" w:type="auto"/>
            <w:shd w:val="clear" w:color="auto" w:fill="FFFFFF"/>
            <w:tcMar>
              <w:top w:w="40" w:type="dxa"/>
              <w:left w:w="0" w:type="dxa"/>
              <w:bottom w:w="40" w:type="dxa"/>
              <w:right w:w="20" w:type="dxa"/>
            </w:tcMar>
            <w:vAlign w:val="bottom"/>
          </w:tcPr>
          <w:p w14:paraId="5F2D649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9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93" w14:textId="77777777" w:rsidR="00E836FB" w:rsidRDefault="00994958">
            <w:pPr>
              <w:jc w:val="right"/>
              <w:textAlignment w:val="bottom"/>
            </w:pPr>
            <w:r>
              <w:rPr>
                <w:rFonts w:ascii="Arial" w:eastAsia="宋体" w:hAnsi="Arial" w:cs="Arial"/>
                <w:color w:val="000000"/>
                <w:sz w:val="14"/>
                <w:szCs w:val="14"/>
              </w:rPr>
              <w:t>(106)</w:t>
            </w:r>
          </w:p>
        </w:tc>
        <w:tc>
          <w:tcPr>
            <w:tcW w:w="0" w:type="auto"/>
            <w:shd w:val="clear" w:color="auto" w:fill="FFFFFF"/>
            <w:tcMar>
              <w:top w:w="40" w:type="dxa"/>
              <w:left w:w="0" w:type="dxa"/>
              <w:bottom w:w="40" w:type="dxa"/>
              <w:right w:w="20" w:type="dxa"/>
            </w:tcMar>
            <w:vAlign w:val="bottom"/>
          </w:tcPr>
          <w:p w14:paraId="5F2D649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9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96" w14:textId="77777777" w:rsidR="00E836FB" w:rsidRDefault="00994958">
            <w:pPr>
              <w:jc w:val="right"/>
              <w:textAlignment w:val="bottom"/>
            </w:pPr>
            <w:r>
              <w:rPr>
                <w:rFonts w:ascii="Arial" w:eastAsia="宋体" w:hAnsi="Arial" w:cs="Arial"/>
                <w:color w:val="000000"/>
                <w:sz w:val="14"/>
                <w:szCs w:val="14"/>
              </w:rPr>
              <w:t>(81)</w:t>
            </w:r>
          </w:p>
        </w:tc>
        <w:tc>
          <w:tcPr>
            <w:tcW w:w="0" w:type="auto"/>
            <w:shd w:val="clear" w:color="auto" w:fill="FFFFFF"/>
            <w:tcMar>
              <w:top w:w="40" w:type="dxa"/>
              <w:left w:w="0" w:type="dxa"/>
              <w:bottom w:w="40" w:type="dxa"/>
              <w:right w:w="20" w:type="dxa"/>
            </w:tcMar>
            <w:vAlign w:val="bottom"/>
          </w:tcPr>
          <w:p w14:paraId="5F2D6497" w14:textId="77777777" w:rsidR="00E836FB" w:rsidRDefault="00E836FB">
            <w:pPr>
              <w:jc w:val="right"/>
              <w:rPr>
                <w:rFonts w:ascii="宋体"/>
              </w:rPr>
            </w:pPr>
          </w:p>
        </w:tc>
      </w:tr>
      <w:tr w:rsidR="00E836FB" w14:paraId="5F2D64AB" w14:textId="77777777">
        <w:tc>
          <w:tcPr>
            <w:tcW w:w="0" w:type="auto"/>
            <w:gridSpan w:val="3"/>
            <w:shd w:val="clear" w:color="auto" w:fill="CCEEFF"/>
            <w:tcMar>
              <w:top w:w="40" w:type="dxa"/>
              <w:left w:w="20" w:type="dxa"/>
              <w:bottom w:w="40" w:type="dxa"/>
              <w:right w:w="20" w:type="dxa"/>
            </w:tcMar>
            <w:vAlign w:val="bottom"/>
          </w:tcPr>
          <w:p w14:paraId="5F2D6499" w14:textId="77777777" w:rsidR="00E836FB" w:rsidRDefault="00994958">
            <w:pPr>
              <w:textAlignment w:val="bottom"/>
            </w:pPr>
            <w:r>
              <w:rPr>
                <w:rFonts w:ascii="Arial" w:eastAsia="宋体" w:hAnsi="Arial" w:cs="Arial"/>
                <w:color w:val="000000"/>
                <w:sz w:val="14"/>
                <w:szCs w:val="14"/>
              </w:rPr>
              <w:t>Securities purchased under re</w:t>
            </w:r>
            <w:r>
              <w:rPr>
                <w:rFonts w:ascii="Arial" w:eastAsia="宋体" w:hAnsi="Arial" w:cs="Arial"/>
                <w:color w:val="000000"/>
                <w:sz w:val="14"/>
                <w:szCs w:val="14"/>
              </w:rPr>
              <w:t>sale agreements</w:t>
            </w:r>
          </w:p>
        </w:tc>
        <w:tc>
          <w:tcPr>
            <w:tcW w:w="0" w:type="auto"/>
            <w:gridSpan w:val="2"/>
            <w:shd w:val="clear" w:color="auto" w:fill="CCEEFF"/>
            <w:tcMar>
              <w:top w:w="40" w:type="dxa"/>
              <w:left w:w="20" w:type="dxa"/>
              <w:bottom w:w="40" w:type="dxa"/>
              <w:right w:w="0" w:type="dxa"/>
            </w:tcMar>
            <w:vAlign w:val="bottom"/>
          </w:tcPr>
          <w:p w14:paraId="5F2D649A" w14:textId="77777777" w:rsidR="00E836FB" w:rsidRDefault="00994958">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49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9C"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9D" w14:textId="77777777" w:rsidR="00E836FB" w:rsidRDefault="00994958">
            <w:pPr>
              <w:jc w:val="right"/>
              <w:textAlignment w:val="bottom"/>
            </w:pPr>
            <w:r>
              <w:rPr>
                <w:rFonts w:ascii="Arial" w:eastAsia="宋体" w:hAnsi="Arial" w:cs="Arial"/>
                <w:b/>
                <w:bCs/>
                <w:color w:val="000000"/>
                <w:sz w:val="14"/>
                <w:szCs w:val="14"/>
              </w:rPr>
              <w:t>(126)</w:t>
            </w:r>
          </w:p>
        </w:tc>
        <w:tc>
          <w:tcPr>
            <w:tcW w:w="0" w:type="auto"/>
            <w:shd w:val="clear" w:color="auto" w:fill="CCEEFF"/>
            <w:tcMar>
              <w:top w:w="40" w:type="dxa"/>
              <w:left w:w="0" w:type="dxa"/>
              <w:bottom w:w="40" w:type="dxa"/>
              <w:right w:w="20" w:type="dxa"/>
            </w:tcMar>
            <w:vAlign w:val="bottom"/>
          </w:tcPr>
          <w:p w14:paraId="5F2D649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9F"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A0" w14:textId="77777777" w:rsidR="00E836FB" w:rsidRDefault="00994958">
            <w:pPr>
              <w:jc w:val="right"/>
              <w:textAlignment w:val="bottom"/>
            </w:pPr>
            <w:r>
              <w:rPr>
                <w:rFonts w:ascii="Arial" w:eastAsia="宋体" w:hAnsi="Arial" w:cs="Arial"/>
                <w:b/>
                <w:bCs/>
                <w:color w:val="000000"/>
                <w:sz w:val="14"/>
                <w:szCs w:val="14"/>
              </w:rPr>
              <w:t>(99)</w:t>
            </w:r>
          </w:p>
        </w:tc>
        <w:tc>
          <w:tcPr>
            <w:tcW w:w="0" w:type="auto"/>
            <w:shd w:val="clear" w:color="auto" w:fill="CCEEFF"/>
            <w:tcMar>
              <w:top w:w="40" w:type="dxa"/>
              <w:left w:w="0" w:type="dxa"/>
              <w:bottom w:w="40" w:type="dxa"/>
              <w:right w:w="20" w:type="dxa"/>
            </w:tcMar>
            <w:vAlign w:val="bottom"/>
          </w:tcPr>
          <w:p w14:paraId="5F2D64A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A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A3" w14:textId="77777777" w:rsidR="00E836FB" w:rsidRDefault="00994958">
            <w:pPr>
              <w:jc w:val="right"/>
              <w:textAlignment w:val="bottom"/>
            </w:pPr>
            <w:r>
              <w:rPr>
                <w:rFonts w:ascii="Arial" w:eastAsia="宋体" w:hAnsi="Arial" w:cs="Arial"/>
                <w:color w:val="000000"/>
                <w:sz w:val="14"/>
                <w:szCs w:val="14"/>
              </w:rPr>
              <w:t>138 </w:t>
            </w:r>
          </w:p>
        </w:tc>
        <w:tc>
          <w:tcPr>
            <w:tcW w:w="0" w:type="auto"/>
            <w:shd w:val="clear" w:color="auto" w:fill="CCEEFF"/>
            <w:tcMar>
              <w:top w:w="40" w:type="dxa"/>
              <w:left w:w="0" w:type="dxa"/>
              <w:bottom w:w="40" w:type="dxa"/>
              <w:right w:w="20" w:type="dxa"/>
            </w:tcMar>
            <w:vAlign w:val="bottom"/>
          </w:tcPr>
          <w:p w14:paraId="5F2D64A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A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A6" w14:textId="77777777" w:rsidR="00E836FB" w:rsidRDefault="00994958">
            <w:pPr>
              <w:jc w:val="right"/>
              <w:textAlignment w:val="bottom"/>
            </w:pPr>
            <w:r>
              <w:rPr>
                <w:rFonts w:ascii="Arial" w:eastAsia="宋体" w:hAnsi="Arial" w:cs="Arial"/>
                <w:color w:val="000000"/>
                <w:sz w:val="14"/>
                <w:szCs w:val="14"/>
              </w:rPr>
              <w:t>(376)</w:t>
            </w:r>
          </w:p>
        </w:tc>
        <w:tc>
          <w:tcPr>
            <w:tcW w:w="0" w:type="auto"/>
            <w:shd w:val="clear" w:color="auto" w:fill="CCEEFF"/>
            <w:tcMar>
              <w:top w:w="40" w:type="dxa"/>
              <w:left w:w="0" w:type="dxa"/>
              <w:bottom w:w="40" w:type="dxa"/>
              <w:right w:w="20" w:type="dxa"/>
            </w:tcMar>
            <w:vAlign w:val="bottom"/>
          </w:tcPr>
          <w:p w14:paraId="5F2D64A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A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A9" w14:textId="77777777" w:rsidR="00E836FB" w:rsidRDefault="00994958">
            <w:pPr>
              <w:jc w:val="right"/>
              <w:textAlignment w:val="bottom"/>
            </w:pPr>
            <w:r>
              <w:rPr>
                <w:rFonts w:ascii="Arial" w:eastAsia="宋体" w:hAnsi="Arial" w:cs="Arial"/>
                <w:color w:val="000000"/>
                <w:sz w:val="14"/>
                <w:szCs w:val="14"/>
              </w:rPr>
              <w:t>(238)</w:t>
            </w:r>
          </w:p>
        </w:tc>
        <w:tc>
          <w:tcPr>
            <w:tcW w:w="0" w:type="auto"/>
            <w:shd w:val="clear" w:color="auto" w:fill="CCEEFF"/>
            <w:tcMar>
              <w:top w:w="40" w:type="dxa"/>
              <w:left w:w="0" w:type="dxa"/>
              <w:bottom w:w="40" w:type="dxa"/>
              <w:right w:w="20" w:type="dxa"/>
            </w:tcMar>
            <w:vAlign w:val="bottom"/>
          </w:tcPr>
          <w:p w14:paraId="5F2D64AA" w14:textId="77777777" w:rsidR="00E836FB" w:rsidRDefault="00E836FB">
            <w:pPr>
              <w:jc w:val="right"/>
              <w:rPr>
                <w:rFonts w:ascii="宋体"/>
              </w:rPr>
            </w:pPr>
          </w:p>
        </w:tc>
      </w:tr>
      <w:tr w:rsidR="00E836FB" w14:paraId="5F2D64BE" w14:textId="77777777">
        <w:tc>
          <w:tcPr>
            <w:tcW w:w="0" w:type="auto"/>
            <w:gridSpan w:val="3"/>
            <w:shd w:val="clear" w:color="auto" w:fill="FFFFFF"/>
            <w:tcMar>
              <w:top w:w="40" w:type="dxa"/>
              <w:left w:w="20" w:type="dxa"/>
              <w:bottom w:w="40" w:type="dxa"/>
              <w:right w:w="20" w:type="dxa"/>
            </w:tcMar>
            <w:vAlign w:val="bottom"/>
          </w:tcPr>
          <w:p w14:paraId="5F2D64AC" w14:textId="77777777" w:rsidR="00E836FB" w:rsidRDefault="00994958">
            <w:pPr>
              <w:textAlignment w:val="bottom"/>
            </w:pPr>
            <w:r>
              <w:rPr>
                <w:rFonts w:ascii="Arial" w:eastAsia="宋体" w:hAnsi="Arial" w:cs="Arial"/>
                <w:color w:val="000000"/>
                <w:sz w:val="14"/>
                <w:szCs w:val="14"/>
              </w:rPr>
              <w:t>Trading account assets</w:t>
            </w:r>
          </w:p>
        </w:tc>
        <w:tc>
          <w:tcPr>
            <w:tcW w:w="0" w:type="auto"/>
            <w:gridSpan w:val="2"/>
            <w:shd w:val="clear" w:color="auto" w:fill="FFFFFF"/>
            <w:tcMar>
              <w:top w:w="40" w:type="dxa"/>
              <w:left w:w="20" w:type="dxa"/>
              <w:bottom w:w="40" w:type="dxa"/>
              <w:right w:w="0" w:type="dxa"/>
            </w:tcMar>
            <w:vAlign w:val="bottom"/>
          </w:tcPr>
          <w:p w14:paraId="5F2D64AD"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4A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A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B0"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4B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B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B3"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4B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B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B6"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4B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B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B9"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D64B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B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BC" w14:textId="77777777" w:rsidR="00E836FB" w:rsidRDefault="00994958">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5F2D64BD" w14:textId="77777777" w:rsidR="00E836FB" w:rsidRDefault="00E836FB">
            <w:pPr>
              <w:jc w:val="right"/>
              <w:rPr>
                <w:rFonts w:ascii="宋体"/>
              </w:rPr>
            </w:pPr>
          </w:p>
        </w:tc>
      </w:tr>
      <w:tr w:rsidR="00E836FB" w14:paraId="5F2D64CB" w14:textId="77777777">
        <w:tc>
          <w:tcPr>
            <w:tcW w:w="0" w:type="auto"/>
            <w:gridSpan w:val="3"/>
            <w:shd w:val="clear" w:color="auto" w:fill="CCEEFF"/>
            <w:tcMar>
              <w:top w:w="40" w:type="dxa"/>
              <w:left w:w="20" w:type="dxa"/>
              <w:bottom w:w="40" w:type="dxa"/>
              <w:right w:w="20" w:type="dxa"/>
            </w:tcMar>
            <w:vAlign w:val="bottom"/>
          </w:tcPr>
          <w:p w14:paraId="5F2D64BF" w14:textId="77777777" w:rsidR="00E836FB" w:rsidRDefault="00994958">
            <w:pPr>
              <w:textAlignment w:val="bottom"/>
            </w:pPr>
            <w:r>
              <w:rPr>
                <w:rFonts w:ascii="Arial" w:eastAsia="宋体" w:hAnsi="Arial" w:cs="Arial"/>
                <w:color w:val="000000"/>
                <w:sz w:val="14"/>
                <w:szCs w:val="14"/>
              </w:rPr>
              <w:t>Investment securities:</w:t>
            </w:r>
          </w:p>
        </w:tc>
        <w:tc>
          <w:tcPr>
            <w:tcW w:w="0" w:type="auto"/>
            <w:gridSpan w:val="3"/>
            <w:shd w:val="clear" w:color="auto" w:fill="CCEEFF"/>
            <w:tcMar>
              <w:top w:w="0" w:type="dxa"/>
              <w:left w:w="20" w:type="dxa"/>
              <w:bottom w:w="0" w:type="dxa"/>
              <w:right w:w="20" w:type="dxa"/>
            </w:tcMar>
            <w:vAlign w:val="bottom"/>
          </w:tcPr>
          <w:p w14:paraId="5F2D64C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9"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4CA" w14:textId="77777777" w:rsidR="00E836FB" w:rsidRDefault="00E836FB">
            <w:pPr>
              <w:rPr>
                <w:rFonts w:ascii="宋体"/>
              </w:rPr>
            </w:pPr>
          </w:p>
        </w:tc>
      </w:tr>
      <w:tr w:rsidR="00E836FB" w14:paraId="5F2D64DE" w14:textId="77777777">
        <w:tc>
          <w:tcPr>
            <w:tcW w:w="0" w:type="auto"/>
            <w:gridSpan w:val="3"/>
            <w:shd w:val="clear" w:color="auto" w:fill="FFFFFF"/>
            <w:tcMar>
              <w:top w:w="40" w:type="dxa"/>
              <w:left w:w="155" w:type="dxa"/>
              <w:bottom w:w="40" w:type="dxa"/>
              <w:right w:w="20" w:type="dxa"/>
            </w:tcMar>
            <w:vAlign w:val="bottom"/>
          </w:tcPr>
          <w:p w14:paraId="5F2D64CC" w14:textId="77777777" w:rsidR="00E836FB" w:rsidRDefault="00994958">
            <w:pPr>
              <w:textAlignment w:val="bottom"/>
            </w:pPr>
            <w:r>
              <w:rPr>
                <w:rFonts w:ascii="Arial" w:eastAsia="宋体" w:hAnsi="Arial" w:cs="Arial"/>
                <w:color w:val="000000"/>
                <w:sz w:val="14"/>
                <w:szCs w:val="14"/>
              </w:rPr>
              <w:t>U.S. Treasury and federal agencies</w:t>
            </w:r>
          </w:p>
        </w:tc>
        <w:tc>
          <w:tcPr>
            <w:tcW w:w="0" w:type="auto"/>
            <w:gridSpan w:val="2"/>
            <w:shd w:val="clear" w:color="auto" w:fill="FFFFFF"/>
            <w:tcMar>
              <w:top w:w="40" w:type="dxa"/>
              <w:left w:w="20" w:type="dxa"/>
              <w:bottom w:w="40" w:type="dxa"/>
              <w:right w:w="0" w:type="dxa"/>
            </w:tcMar>
            <w:vAlign w:val="bottom"/>
          </w:tcPr>
          <w:p w14:paraId="5F2D64CD" w14:textId="77777777" w:rsidR="00E836FB" w:rsidRDefault="00994958">
            <w:pPr>
              <w:jc w:val="right"/>
              <w:textAlignment w:val="bottom"/>
            </w:pPr>
            <w:r>
              <w:rPr>
                <w:rFonts w:ascii="Arial" w:eastAsia="宋体" w:hAnsi="Arial" w:cs="Arial"/>
                <w:b/>
                <w:bCs/>
                <w:color w:val="000000"/>
                <w:sz w:val="14"/>
                <w:szCs w:val="14"/>
              </w:rPr>
              <w:t>104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4C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CF"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D0" w14:textId="77777777" w:rsidR="00E836FB" w:rsidRDefault="00994958">
            <w:pPr>
              <w:jc w:val="right"/>
              <w:textAlignment w:val="bottom"/>
            </w:pPr>
            <w:r>
              <w:rPr>
                <w:rFonts w:ascii="Arial" w:eastAsia="宋体" w:hAnsi="Arial" w:cs="Arial"/>
                <w:b/>
                <w:bCs/>
                <w:color w:val="000000"/>
                <w:sz w:val="14"/>
                <w:szCs w:val="14"/>
              </w:rPr>
              <w:t>(405)</w:t>
            </w:r>
          </w:p>
        </w:tc>
        <w:tc>
          <w:tcPr>
            <w:tcW w:w="0" w:type="auto"/>
            <w:shd w:val="clear" w:color="auto" w:fill="FFFFFF"/>
            <w:tcMar>
              <w:top w:w="40" w:type="dxa"/>
              <w:left w:w="0" w:type="dxa"/>
              <w:bottom w:w="40" w:type="dxa"/>
              <w:right w:w="20" w:type="dxa"/>
            </w:tcMar>
            <w:vAlign w:val="bottom"/>
          </w:tcPr>
          <w:p w14:paraId="5F2D64D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D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D3" w14:textId="77777777" w:rsidR="00E836FB" w:rsidRDefault="00994958">
            <w:pPr>
              <w:jc w:val="right"/>
              <w:textAlignment w:val="bottom"/>
            </w:pPr>
            <w:r>
              <w:rPr>
                <w:rFonts w:ascii="Arial" w:eastAsia="宋体" w:hAnsi="Arial" w:cs="Arial"/>
                <w:b/>
                <w:bCs/>
                <w:color w:val="000000"/>
                <w:sz w:val="14"/>
                <w:szCs w:val="14"/>
              </w:rPr>
              <w:t>(301)</w:t>
            </w:r>
          </w:p>
        </w:tc>
        <w:tc>
          <w:tcPr>
            <w:tcW w:w="0" w:type="auto"/>
            <w:shd w:val="clear" w:color="auto" w:fill="FFFFFF"/>
            <w:tcMar>
              <w:top w:w="40" w:type="dxa"/>
              <w:left w:w="0" w:type="dxa"/>
              <w:bottom w:w="40" w:type="dxa"/>
              <w:right w:w="20" w:type="dxa"/>
            </w:tcMar>
            <w:vAlign w:val="bottom"/>
          </w:tcPr>
          <w:p w14:paraId="5F2D64D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D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D6" w14:textId="77777777" w:rsidR="00E836FB" w:rsidRDefault="00994958">
            <w:pPr>
              <w:jc w:val="right"/>
              <w:textAlignment w:val="bottom"/>
            </w:pPr>
            <w:r>
              <w:rPr>
                <w:rFonts w:ascii="Arial" w:eastAsia="宋体" w:hAnsi="Arial" w:cs="Arial"/>
                <w:color w:val="000000"/>
                <w:sz w:val="14"/>
                <w:szCs w:val="14"/>
              </w:rPr>
              <w:t>107 </w:t>
            </w:r>
          </w:p>
        </w:tc>
        <w:tc>
          <w:tcPr>
            <w:tcW w:w="0" w:type="auto"/>
            <w:shd w:val="clear" w:color="auto" w:fill="FFFFFF"/>
            <w:tcMar>
              <w:top w:w="40" w:type="dxa"/>
              <w:left w:w="0" w:type="dxa"/>
              <w:bottom w:w="40" w:type="dxa"/>
              <w:right w:w="20" w:type="dxa"/>
            </w:tcMar>
            <w:vAlign w:val="bottom"/>
          </w:tcPr>
          <w:p w14:paraId="5F2D64D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D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D9" w14:textId="77777777" w:rsidR="00E836FB" w:rsidRDefault="00994958">
            <w:pPr>
              <w:jc w:val="right"/>
              <w:textAlignment w:val="bottom"/>
            </w:pPr>
            <w:r>
              <w:rPr>
                <w:rFonts w:ascii="Arial" w:eastAsia="宋体" w:hAnsi="Arial" w:cs="Arial"/>
                <w:color w:val="000000"/>
                <w:sz w:val="14"/>
                <w:szCs w:val="14"/>
              </w:rPr>
              <w:t>(376)</w:t>
            </w:r>
          </w:p>
        </w:tc>
        <w:tc>
          <w:tcPr>
            <w:tcW w:w="0" w:type="auto"/>
            <w:shd w:val="clear" w:color="auto" w:fill="FFFFFF"/>
            <w:tcMar>
              <w:top w:w="40" w:type="dxa"/>
              <w:left w:w="0" w:type="dxa"/>
              <w:bottom w:w="40" w:type="dxa"/>
              <w:right w:w="20" w:type="dxa"/>
            </w:tcMar>
            <w:vAlign w:val="bottom"/>
          </w:tcPr>
          <w:p w14:paraId="5F2D64D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D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DC" w14:textId="77777777" w:rsidR="00E836FB" w:rsidRDefault="00994958">
            <w:pPr>
              <w:jc w:val="right"/>
              <w:textAlignment w:val="bottom"/>
            </w:pPr>
            <w:r>
              <w:rPr>
                <w:rFonts w:ascii="Arial" w:eastAsia="宋体" w:hAnsi="Arial" w:cs="Arial"/>
                <w:color w:val="000000"/>
                <w:sz w:val="14"/>
                <w:szCs w:val="14"/>
              </w:rPr>
              <w:t>(269)</w:t>
            </w:r>
          </w:p>
        </w:tc>
        <w:tc>
          <w:tcPr>
            <w:tcW w:w="0" w:type="auto"/>
            <w:shd w:val="clear" w:color="auto" w:fill="FFFFFF"/>
            <w:tcMar>
              <w:top w:w="40" w:type="dxa"/>
              <w:left w:w="0" w:type="dxa"/>
              <w:bottom w:w="40" w:type="dxa"/>
              <w:right w:w="20" w:type="dxa"/>
            </w:tcMar>
            <w:vAlign w:val="bottom"/>
          </w:tcPr>
          <w:p w14:paraId="5F2D64DD" w14:textId="77777777" w:rsidR="00E836FB" w:rsidRDefault="00E836FB">
            <w:pPr>
              <w:jc w:val="right"/>
              <w:rPr>
                <w:rFonts w:ascii="宋体"/>
              </w:rPr>
            </w:pPr>
          </w:p>
        </w:tc>
      </w:tr>
      <w:tr w:rsidR="00E836FB" w14:paraId="5F2D64F1" w14:textId="77777777">
        <w:tc>
          <w:tcPr>
            <w:tcW w:w="0" w:type="auto"/>
            <w:gridSpan w:val="3"/>
            <w:shd w:val="clear" w:color="auto" w:fill="CCEEFF"/>
            <w:tcMar>
              <w:top w:w="40" w:type="dxa"/>
              <w:left w:w="155" w:type="dxa"/>
              <w:bottom w:w="40" w:type="dxa"/>
              <w:right w:w="20" w:type="dxa"/>
            </w:tcMar>
            <w:vAlign w:val="bottom"/>
          </w:tcPr>
          <w:p w14:paraId="5F2D64DF" w14:textId="77777777" w:rsidR="00E836FB" w:rsidRDefault="00994958">
            <w:pPr>
              <w:textAlignment w:val="bottom"/>
            </w:pPr>
            <w:r>
              <w:rPr>
                <w:rFonts w:ascii="Arial" w:eastAsia="宋体" w:hAnsi="Arial" w:cs="Arial"/>
                <w:color w:val="000000"/>
                <w:sz w:val="14"/>
                <w:szCs w:val="14"/>
              </w:rPr>
              <w:t>State and political subdivisions</w:t>
            </w:r>
          </w:p>
        </w:tc>
        <w:tc>
          <w:tcPr>
            <w:tcW w:w="0" w:type="auto"/>
            <w:gridSpan w:val="2"/>
            <w:shd w:val="clear" w:color="auto" w:fill="CCEEFF"/>
            <w:tcMar>
              <w:top w:w="40" w:type="dxa"/>
              <w:left w:w="20" w:type="dxa"/>
              <w:bottom w:w="40" w:type="dxa"/>
              <w:right w:w="0" w:type="dxa"/>
            </w:tcMar>
            <w:vAlign w:val="bottom"/>
          </w:tcPr>
          <w:p w14:paraId="5F2D64E0" w14:textId="77777777" w:rsidR="00E836FB" w:rsidRDefault="00994958">
            <w:pPr>
              <w:jc w:val="right"/>
              <w:textAlignment w:val="bottom"/>
            </w:pPr>
            <w:r>
              <w:rPr>
                <w:rFonts w:ascii="Arial" w:eastAsia="宋体" w:hAnsi="Arial" w:cs="Arial"/>
                <w:b/>
                <w:bCs/>
                <w:color w:val="000000"/>
                <w:sz w:val="14"/>
                <w:szCs w:val="14"/>
              </w:rPr>
              <w:t>(8)</w:t>
            </w:r>
          </w:p>
        </w:tc>
        <w:tc>
          <w:tcPr>
            <w:tcW w:w="0" w:type="auto"/>
            <w:shd w:val="clear" w:color="auto" w:fill="CCEEFF"/>
            <w:tcMar>
              <w:top w:w="40" w:type="dxa"/>
              <w:left w:w="0" w:type="dxa"/>
              <w:bottom w:w="40" w:type="dxa"/>
              <w:right w:w="20" w:type="dxa"/>
            </w:tcMar>
            <w:vAlign w:val="bottom"/>
          </w:tcPr>
          <w:p w14:paraId="5F2D64E1"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E2"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E3" w14:textId="77777777" w:rsidR="00E836FB" w:rsidRDefault="00994958">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4E4"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E5"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E6" w14:textId="77777777" w:rsidR="00E836FB" w:rsidRDefault="00994958">
            <w:pPr>
              <w:jc w:val="right"/>
              <w:textAlignment w:val="bottom"/>
            </w:pPr>
            <w:r>
              <w:rPr>
                <w:rFonts w:ascii="Arial" w:eastAsia="宋体" w:hAnsi="Arial" w:cs="Arial"/>
                <w:b/>
                <w:bCs/>
                <w:color w:val="000000"/>
                <w:sz w:val="14"/>
                <w:szCs w:val="14"/>
              </w:rPr>
              <w:t>(7)</w:t>
            </w:r>
          </w:p>
        </w:tc>
        <w:tc>
          <w:tcPr>
            <w:tcW w:w="0" w:type="auto"/>
            <w:shd w:val="clear" w:color="auto" w:fill="CCEEFF"/>
            <w:tcMar>
              <w:top w:w="40" w:type="dxa"/>
              <w:left w:w="0" w:type="dxa"/>
              <w:bottom w:w="40" w:type="dxa"/>
              <w:right w:w="20" w:type="dxa"/>
            </w:tcMar>
            <w:vAlign w:val="bottom"/>
          </w:tcPr>
          <w:p w14:paraId="5F2D64E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E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E9" w14:textId="77777777" w:rsidR="00E836FB" w:rsidRDefault="00994958">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5F2D64E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E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EC" w14:textId="77777777" w:rsidR="00E836FB" w:rsidRDefault="00994958">
            <w:pPr>
              <w:jc w:val="right"/>
              <w:textAlignment w:val="bottom"/>
            </w:pPr>
            <w:r>
              <w:rPr>
                <w:rFonts w:ascii="Arial" w:eastAsia="宋体" w:hAnsi="Arial" w:cs="Arial"/>
                <w:color w:val="000000"/>
                <w:sz w:val="14"/>
                <w:szCs w:val="14"/>
              </w:rPr>
              <w:t>(6)</w:t>
            </w:r>
          </w:p>
        </w:tc>
        <w:tc>
          <w:tcPr>
            <w:tcW w:w="0" w:type="auto"/>
            <w:shd w:val="clear" w:color="auto" w:fill="CCEEFF"/>
            <w:tcMar>
              <w:top w:w="40" w:type="dxa"/>
              <w:left w:w="0" w:type="dxa"/>
              <w:bottom w:w="40" w:type="dxa"/>
              <w:right w:w="20" w:type="dxa"/>
            </w:tcMar>
            <w:vAlign w:val="bottom"/>
          </w:tcPr>
          <w:p w14:paraId="5F2D64E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4E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4EF" w14:textId="77777777" w:rsidR="00E836FB" w:rsidRDefault="00994958">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5F2D64F0" w14:textId="77777777" w:rsidR="00E836FB" w:rsidRDefault="00E836FB">
            <w:pPr>
              <w:jc w:val="right"/>
              <w:rPr>
                <w:rFonts w:ascii="宋体"/>
              </w:rPr>
            </w:pPr>
          </w:p>
        </w:tc>
      </w:tr>
      <w:tr w:rsidR="00E836FB" w14:paraId="5F2D6504" w14:textId="77777777">
        <w:tc>
          <w:tcPr>
            <w:tcW w:w="0" w:type="auto"/>
            <w:gridSpan w:val="3"/>
            <w:shd w:val="clear" w:color="auto" w:fill="FFFFFF"/>
            <w:tcMar>
              <w:top w:w="40" w:type="dxa"/>
              <w:left w:w="155" w:type="dxa"/>
              <w:bottom w:w="40" w:type="dxa"/>
              <w:right w:w="20" w:type="dxa"/>
            </w:tcMar>
            <w:vAlign w:val="bottom"/>
          </w:tcPr>
          <w:p w14:paraId="5F2D64F2" w14:textId="77777777" w:rsidR="00E836FB" w:rsidRDefault="00994958">
            <w:pPr>
              <w:textAlignment w:val="bottom"/>
            </w:pPr>
            <w:r>
              <w:rPr>
                <w:rFonts w:ascii="Arial" w:eastAsia="宋体" w:hAnsi="Arial" w:cs="Arial"/>
                <w:color w:val="000000"/>
                <w:sz w:val="14"/>
                <w:szCs w:val="14"/>
              </w:rPr>
              <w:t>Other investments</w:t>
            </w:r>
          </w:p>
        </w:tc>
        <w:tc>
          <w:tcPr>
            <w:tcW w:w="0" w:type="auto"/>
            <w:gridSpan w:val="2"/>
            <w:shd w:val="clear" w:color="auto" w:fill="FFFFFF"/>
            <w:tcMar>
              <w:top w:w="40" w:type="dxa"/>
              <w:left w:w="20" w:type="dxa"/>
              <w:bottom w:w="40" w:type="dxa"/>
              <w:right w:w="0" w:type="dxa"/>
            </w:tcMar>
            <w:vAlign w:val="bottom"/>
          </w:tcPr>
          <w:p w14:paraId="5F2D64F3" w14:textId="77777777" w:rsidR="00E836FB" w:rsidRDefault="00994958">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4F4"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F5"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F6" w14:textId="77777777" w:rsidR="00E836FB" w:rsidRDefault="00994958">
            <w:pPr>
              <w:jc w:val="right"/>
              <w:textAlignment w:val="bottom"/>
            </w:pPr>
            <w:r>
              <w:rPr>
                <w:rFonts w:ascii="Arial" w:eastAsia="宋体" w:hAnsi="Arial" w:cs="Arial"/>
                <w:b/>
                <w:bCs/>
                <w:color w:val="000000"/>
                <w:sz w:val="14"/>
                <w:szCs w:val="14"/>
              </w:rPr>
              <w:t>(85)</w:t>
            </w:r>
          </w:p>
        </w:tc>
        <w:tc>
          <w:tcPr>
            <w:tcW w:w="0" w:type="auto"/>
            <w:shd w:val="clear" w:color="auto" w:fill="FFFFFF"/>
            <w:tcMar>
              <w:top w:w="40" w:type="dxa"/>
              <w:left w:w="0" w:type="dxa"/>
              <w:bottom w:w="40" w:type="dxa"/>
              <w:right w:w="20" w:type="dxa"/>
            </w:tcMar>
            <w:vAlign w:val="bottom"/>
          </w:tcPr>
          <w:p w14:paraId="5F2D64F7"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F8"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F9" w14:textId="77777777" w:rsidR="00E836FB" w:rsidRDefault="00994958">
            <w:pPr>
              <w:jc w:val="right"/>
              <w:textAlignment w:val="bottom"/>
            </w:pPr>
            <w:r>
              <w:rPr>
                <w:rFonts w:ascii="Arial" w:eastAsia="宋体" w:hAnsi="Arial" w:cs="Arial"/>
                <w:b/>
                <w:bCs/>
                <w:color w:val="000000"/>
                <w:sz w:val="14"/>
                <w:szCs w:val="14"/>
              </w:rPr>
              <w:t>(35)</w:t>
            </w:r>
          </w:p>
        </w:tc>
        <w:tc>
          <w:tcPr>
            <w:tcW w:w="0" w:type="auto"/>
            <w:shd w:val="clear" w:color="auto" w:fill="FFFFFF"/>
            <w:tcMar>
              <w:top w:w="40" w:type="dxa"/>
              <w:left w:w="0" w:type="dxa"/>
              <w:bottom w:w="40" w:type="dxa"/>
              <w:right w:w="20" w:type="dxa"/>
            </w:tcMar>
            <w:vAlign w:val="bottom"/>
          </w:tcPr>
          <w:p w14:paraId="5F2D64F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F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FC" w14:textId="77777777" w:rsidR="00E836FB" w:rsidRDefault="00994958">
            <w:pPr>
              <w:jc w:val="right"/>
              <w:textAlignment w:val="bottom"/>
            </w:pPr>
            <w:r>
              <w:rPr>
                <w:rFonts w:ascii="Arial" w:eastAsia="宋体" w:hAnsi="Arial" w:cs="Arial"/>
                <w:color w:val="000000"/>
                <w:sz w:val="14"/>
                <w:szCs w:val="14"/>
              </w:rPr>
              <w:t>79 </w:t>
            </w:r>
          </w:p>
        </w:tc>
        <w:tc>
          <w:tcPr>
            <w:tcW w:w="0" w:type="auto"/>
            <w:shd w:val="clear" w:color="auto" w:fill="FFFFFF"/>
            <w:tcMar>
              <w:top w:w="40" w:type="dxa"/>
              <w:left w:w="0" w:type="dxa"/>
              <w:bottom w:w="40" w:type="dxa"/>
              <w:right w:w="20" w:type="dxa"/>
            </w:tcMar>
            <w:vAlign w:val="bottom"/>
          </w:tcPr>
          <w:p w14:paraId="5F2D64F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4F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4FF" w14:textId="77777777" w:rsidR="00E836FB" w:rsidRDefault="00994958">
            <w:pPr>
              <w:jc w:val="right"/>
              <w:textAlignment w:val="bottom"/>
            </w:pPr>
            <w:r>
              <w:rPr>
                <w:rFonts w:ascii="Arial" w:eastAsia="宋体" w:hAnsi="Arial" w:cs="Arial"/>
                <w:color w:val="000000"/>
                <w:sz w:val="14"/>
                <w:szCs w:val="14"/>
              </w:rPr>
              <w:t>(217)</w:t>
            </w:r>
          </w:p>
        </w:tc>
        <w:tc>
          <w:tcPr>
            <w:tcW w:w="0" w:type="auto"/>
            <w:shd w:val="clear" w:color="auto" w:fill="FFFFFF"/>
            <w:tcMar>
              <w:top w:w="40" w:type="dxa"/>
              <w:left w:w="0" w:type="dxa"/>
              <w:bottom w:w="40" w:type="dxa"/>
              <w:right w:w="20" w:type="dxa"/>
            </w:tcMar>
            <w:vAlign w:val="bottom"/>
          </w:tcPr>
          <w:p w14:paraId="5F2D650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0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02" w14:textId="77777777" w:rsidR="00E836FB" w:rsidRDefault="00994958">
            <w:pPr>
              <w:jc w:val="right"/>
              <w:textAlignment w:val="bottom"/>
            </w:pPr>
            <w:r>
              <w:rPr>
                <w:rFonts w:ascii="Arial" w:eastAsia="宋体" w:hAnsi="Arial" w:cs="Arial"/>
                <w:color w:val="000000"/>
                <w:sz w:val="14"/>
                <w:szCs w:val="14"/>
              </w:rPr>
              <w:t>(138)</w:t>
            </w:r>
          </w:p>
        </w:tc>
        <w:tc>
          <w:tcPr>
            <w:tcW w:w="0" w:type="auto"/>
            <w:shd w:val="clear" w:color="auto" w:fill="FFFFFF"/>
            <w:tcMar>
              <w:top w:w="40" w:type="dxa"/>
              <w:left w:w="0" w:type="dxa"/>
              <w:bottom w:w="40" w:type="dxa"/>
              <w:right w:w="20" w:type="dxa"/>
            </w:tcMar>
            <w:vAlign w:val="bottom"/>
          </w:tcPr>
          <w:p w14:paraId="5F2D6503" w14:textId="77777777" w:rsidR="00E836FB" w:rsidRDefault="00E836FB">
            <w:pPr>
              <w:jc w:val="right"/>
              <w:rPr>
                <w:rFonts w:ascii="宋体"/>
              </w:rPr>
            </w:pPr>
          </w:p>
        </w:tc>
      </w:tr>
      <w:tr w:rsidR="00E836FB" w14:paraId="5F2D6517" w14:textId="77777777">
        <w:tc>
          <w:tcPr>
            <w:tcW w:w="0" w:type="auto"/>
            <w:gridSpan w:val="3"/>
            <w:shd w:val="clear" w:color="auto" w:fill="CCEEFF"/>
            <w:tcMar>
              <w:top w:w="40" w:type="dxa"/>
              <w:left w:w="155" w:type="dxa"/>
              <w:bottom w:w="40" w:type="dxa"/>
              <w:right w:w="20" w:type="dxa"/>
            </w:tcMar>
            <w:vAlign w:val="bottom"/>
          </w:tcPr>
          <w:p w14:paraId="5F2D6505" w14:textId="77777777" w:rsidR="00E836FB" w:rsidRDefault="00994958">
            <w:pPr>
              <w:textAlignment w:val="bottom"/>
            </w:pPr>
            <w:r>
              <w:rPr>
                <w:rFonts w:ascii="Arial" w:eastAsia="宋体" w:hAnsi="Arial" w:cs="Arial"/>
                <w:color w:val="000000"/>
                <w:sz w:val="14"/>
                <w:szCs w:val="14"/>
              </w:rPr>
              <w:t>Investment securities held-to-maturity</w:t>
            </w:r>
            <w:r>
              <w:rPr>
                <w:rFonts w:ascii="Arial" w:eastAsia="宋体" w:hAnsi="Arial" w:cs="Arial"/>
                <w:color w:val="000000"/>
                <w:sz w:val="14"/>
                <w:szCs w:val="14"/>
              </w:rPr>
              <w:br/>
              <w:t>purchased under money market</w:t>
            </w:r>
            <w:r>
              <w:rPr>
                <w:rFonts w:ascii="Arial" w:eastAsia="宋体" w:hAnsi="Arial" w:cs="Arial"/>
                <w:color w:val="000000"/>
                <w:sz w:val="14"/>
                <w:szCs w:val="14"/>
              </w:rPr>
              <w:br/>
              <w:t>liquidity facility</w:t>
            </w:r>
          </w:p>
        </w:tc>
        <w:tc>
          <w:tcPr>
            <w:tcW w:w="0" w:type="auto"/>
            <w:gridSpan w:val="2"/>
            <w:shd w:val="clear" w:color="auto" w:fill="CCEEFF"/>
            <w:tcMar>
              <w:top w:w="40" w:type="dxa"/>
              <w:left w:w="20" w:type="dxa"/>
              <w:bottom w:w="40" w:type="dxa"/>
              <w:right w:w="0" w:type="dxa"/>
            </w:tcMar>
            <w:vAlign w:val="bottom"/>
          </w:tcPr>
          <w:p w14:paraId="5F2D6506" w14:textId="77777777" w:rsidR="00E836FB" w:rsidRDefault="00994958">
            <w:pPr>
              <w:jc w:val="right"/>
              <w:textAlignment w:val="bottom"/>
            </w:pPr>
            <w:r>
              <w:rPr>
                <w:rFonts w:ascii="Arial" w:eastAsia="宋体" w:hAnsi="Arial" w:cs="Arial"/>
                <w:b/>
                <w:bCs/>
                <w:color w:val="000000"/>
                <w:sz w:val="14"/>
                <w:szCs w:val="14"/>
              </w:rPr>
              <w:t>(113)</w:t>
            </w:r>
          </w:p>
        </w:tc>
        <w:tc>
          <w:tcPr>
            <w:tcW w:w="0" w:type="auto"/>
            <w:shd w:val="clear" w:color="auto" w:fill="CCEEFF"/>
            <w:tcMar>
              <w:top w:w="40" w:type="dxa"/>
              <w:left w:w="0" w:type="dxa"/>
              <w:bottom w:w="40" w:type="dxa"/>
              <w:right w:w="20" w:type="dxa"/>
            </w:tcMar>
            <w:vAlign w:val="bottom"/>
          </w:tcPr>
          <w:p w14:paraId="5F2D650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0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09"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50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0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0C" w14:textId="77777777" w:rsidR="00E836FB" w:rsidRDefault="00994958">
            <w:pPr>
              <w:jc w:val="right"/>
              <w:textAlignment w:val="bottom"/>
            </w:pPr>
            <w:r>
              <w:rPr>
                <w:rFonts w:ascii="Arial" w:eastAsia="宋体" w:hAnsi="Arial" w:cs="Arial"/>
                <w:b/>
                <w:bCs/>
                <w:color w:val="000000"/>
                <w:sz w:val="14"/>
                <w:szCs w:val="14"/>
              </w:rPr>
              <w:t>(113)</w:t>
            </w:r>
          </w:p>
        </w:tc>
        <w:tc>
          <w:tcPr>
            <w:tcW w:w="0" w:type="auto"/>
            <w:shd w:val="clear" w:color="auto" w:fill="CCEEFF"/>
            <w:tcMar>
              <w:top w:w="40" w:type="dxa"/>
              <w:left w:w="0" w:type="dxa"/>
              <w:bottom w:w="40" w:type="dxa"/>
              <w:right w:w="20" w:type="dxa"/>
            </w:tcMar>
            <w:vAlign w:val="bottom"/>
          </w:tcPr>
          <w:p w14:paraId="5F2D650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0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0F"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51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1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12" w14:textId="77777777" w:rsidR="00E836FB" w:rsidRDefault="00994958">
            <w:pPr>
              <w:jc w:val="right"/>
              <w:textAlignment w:val="bottom"/>
            </w:pPr>
            <w:r>
              <w:rPr>
                <w:rFonts w:ascii="Arial" w:eastAsia="宋体" w:hAnsi="Arial" w:cs="Arial"/>
                <w:color w:val="000000"/>
                <w:sz w:val="14"/>
                <w:szCs w:val="14"/>
              </w:rPr>
              <w:t>117 </w:t>
            </w:r>
          </w:p>
        </w:tc>
        <w:tc>
          <w:tcPr>
            <w:tcW w:w="0" w:type="auto"/>
            <w:shd w:val="clear" w:color="auto" w:fill="CCEEFF"/>
            <w:tcMar>
              <w:top w:w="40" w:type="dxa"/>
              <w:left w:w="0" w:type="dxa"/>
              <w:bottom w:w="40" w:type="dxa"/>
              <w:right w:w="20" w:type="dxa"/>
            </w:tcMar>
            <w:vAlign w:val="bottom"/>
          </w:tcPr>
          <w:p w14:paraId="5F2D651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1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15" w14:textId="77777777" w:rsidR="00E836FB" w:rsidRDefault="00994958">
            <w:pPr>
              <w:jc w:val="right"/>
              <w:textAlignment w:val="bottom"/>
            </w:pPr>
            <w:r>
              <w:rPr>
                <w:rFonts w:ascii="Arial" w:eastAsia="宋体" w:hAnsi="Arial" w:cs="Arial"/>
                <w:color w:val="000000"/>
                <w:sz w:val="14"/>
                <w:szCs w:val="14"/>
              </w:rPr>
              <w:t>117 </w:t>
            </w:r>
          </w:p>
        </w:tc>
        <w:tc>
          <w:tcPr>
            <w:tcW w:w="0" w:type="auto"/>
            <w:shd w:val="clear" w:color="auto" w:fill="CCEEFF"/>
            <w:tcMar>
              <w:top w:w="40" w:type="dxa"/>
              <w:left w:w="0" w:type="dxa"/>
              <w:bottom w:w="40" w:type="dxa"/>
              <w:right w:w="20" w:type="dxa"/>
            </w:tcMar>
            <w:vAlign w:val="bottom"/>
          </w:tcPr>
          <w:p w14:paraId="5F2D6516" w14:textId="77777777" w:rsidR="00E836FB" w:rsidRDefault="00E836FB">
            <w:pPr>
              <w:jc w:val="right"/>
              <w:rPr>
                <w:rFonts w:ascii="宋体"/>
              </w:rPr>
            </w:pPr>
          </w:p>
        </w:tc>
      </w:tr>
      <w:tr w:rsidR="00E836FB" w14:paraId="5F2D652A" w14:textId="77777777">
        <w:tc>
          <w:tcPr>
            <w:tcW w:w="0" w:type="auto"/>
            <w:gridSpan w:val="3"/>
            <w:shd w:val="clear" w:color="auto" w:fill="FFFFFF"/>
            <w:tcMar>
              <w:top w:w="40" w:type="dxa"/>
              <w:left w:w="20" w:type="dxa"/>
              <w:bottom w:w="40" w:type="dxa"/>
              <w:right w:w="20" w:type="dxa"/>
            </w:tcMar>
            <w:vAlign w:val="bottom"/>
          </w:tcPr>
          <w:p w14:paraId="5F2D6518" w14:textId="77777777" w:rsidR="00E836FB" w:rsidRDefault="00994958">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5F2D6519" w14:textId="77777777" w:rsidR="00E836FB" w:rsidRDefault="00994958">
            <w:pPr>
              <w:jc w:val="right"/>
              <w:textAlignment w:val="bottom"/>
            </w:pPr>
            <w:r>
              <w:rPr>
                <w:rFonts w:ascii="Arial" w:eastAsia="宋体" w:hAnsi="Arial" w:cs="Arial"/>
                <w:b/>
                <w:bCs/>
                <w:color w:val="000000"/>
                <w:sz w:val="14"/>
                <w:szCs w:val="14"/>
              </w:rPr>
              <w:t>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51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1B"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1C" w14:textId="77777777" w:rsidR="00E836FB" w:rsidRDefault="00994958">
            <w:pPr>
              <w:jc w:val="right"/>
              <w:textAlignment w:val="bottom"/>
            </w:pPr>
            <w:r>
              <w:rPr>
                <w:rFonts w:ascii="Arial" w:eastAsia="宋体" w:hAnsi="Arial" w:cs="Arial"/>
                <w:b/>
                <w:bCs/>
                <w:color w:val="000000"/>
                <w:sz w:val="14"/>
                <w:szCs w:val="14"/>
              </w:rPr>
              <w:t>(66)</w:t>
            </w:r>
          </w:p>
        </w:tc>
        <w:tc>
          <w:tcPr>
            <w:tcW w:w="0" w:type="auto"/>
            <w:shd w:val="clear" w:color="auto" w:fill="FFFFFF"/>
            <w:tcMar>
              <w:top w:w="40" w:type="dxa"/>
              <w:left w:w="0" w:type="dxa"/>
              <w:bottom w:w="40" w:type="dxa"/>
              <w:right w:w="20" w:type="dxa"/>
            </w:tcMar>
            <w:vAlign w:val="bottom"/>
          </w:tcPr>
          <w:p w14:paraId="5F2D651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1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1F" w14:textId="77777777" w:rsidR="00E836FB" w:rsidRDefault="00994958">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52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2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22" w14:textId="77777777" w:rsidR="00E836FB" w:rsidRDefault="00994958">
            <w:pPr>
              <w:jc w:val="right"/>
              <w:textAlignment w:val="bottom"/>
            </w:pPr>
            <w:r>
              <w:rPr>
                <w:rFonts w:ascii="Arial" w:eastAsia="宋体" w:hAnsi="Arial" w:cs="Arial"/>
                <w:color w:val="000000"/>
                <w:sz w:val="14"/>
                <w:szCs w:val="14"/>
              </w:rPr>
              <w:t>111 </w:t>
            </w:r>
          </w:p>
        </w:tc>
        <w:tc>
          <w:tcPr>
            <w:tcW w:w="0" w:type="auto"/>
            <w:shd w:val="clear" w:color="auto" w:fill="FFFFFF"/>
            <w:tcMar>
              <w:top w:w="40" w:type="dxa"/>
              <w:left w:w="0" w:type="dxa"/>
              <w:bottom w:w="40" w:type="dxa"/>
              <w:right w:w="20" w:type="dxa"/>
            </w:tcMar>
            <w:vAlign w:val="bottom"/>
          </w:tcPr>
          <w:p w14:paraId="5F2D652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2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25" w14:textId="77777777" w:rsidR="00E836FB" w:rsidRDefault="00994958">
            <w:pPr>
              <w:jc w:val="right"/>
              <w:textAlignment w:val="bottom"/>
            </w:pPr>
            <w:r>
              <w:rPr>
                <w:rFonts w:ascii="Arial" w:eastAsia="宋体" w:hAnsi="Arial" w:cs="Arial"/>
                <w:color w:val="000000"/>
                <w:sz w:val="14"/>
                <w:szCs w:val="14"/>
              </w:rPr>
              <w:t>(259)</w:t>
            </w:r>
          </w:p>
        </w:tc>
        <w:tc>
          <w:tcPr>
            <w:tcW w:w="0" w:type="auto"/>
            <w:shd w:val="clear" w:color="auto" w:fill="FFFFFF"/>
            <w:tcMar>
              <w:top w:w="40" w:type="dxa"/>
              <w:left w:w="0" w:type="dxa"/>
              <w:bottom w:w="40" w:type="dxa"/>
              <w:right w:w="20" w:type="dxa"/>
            </w:tcMar>
            <w:vAlign w:val="bottom"/>
          </w:tcPr>
          <w:p w14:paraId="5F2D65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2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28" w14:textId="77777777" w:rsidR="00E836FB" w:rsidRDefault="00994958">
            <w:pPr>
              <w:jc w:val="right"/>
              <w:textAlignment w:val="bottom"/>
            </w:pPr>
            <w:r>
              <w:rPr>
                <w:rFonts w:ascii="Arial" w:eastAsia="宋体" w:hAnsi="Arial" w:cs="Arial"/>
                <w:color w:val="000000"/>
                <w:sz w:val="14"/>
                <w:szCs w:val="14"/>
              </w:rPr>
              <w:t>(148)</w:t>
            </w:r>
          </w:p>
        </w:tc>
        <w:tc>
          <w:tcPr>
            <w:tcW w:w="0" w:type="auto"/>
            <w:shd w:val="clear" w:color="auto" w:fill="FFFFFF"/>
            <w:tcMar>
              <w:top w:w="40" w:type="dxa"/>
              <w:left w:w="0" w:type="dxa"/>
              <w:bottom w:w="40" w:type="dxa"/>
              <w:right w:w="20" w:type="dxa"/>
            </w:tcMar>
            <w:vAlign w:val="bottom"/>
          </w:tcPr>
          <w:p w14:paraId="5F2D6529" w14:textId="77777777" w:rsidR="00E836FB" w:rsidRDefault="00E836FB">
            <w:pPr>
              <w:jc w:val="right"/>
              <w:rPr>
                <w:rFonts w:ascii="宋体"/>
              </w:rPr>
            </w:pPr>
          </w:p>
        </w:tc>
      </w:tr>
      <w:tr w:rsidR="00E836FB" w14:paraId="5F2D6537" w14:textId="77777777">
        <w:trPr>
          <w:hidden/>
        </w:trPr>
        <w:tc>
          <w:tcPr>
            <w:tcW w:w="0" w:type="auto"/>
            <w:gridSpan w:val="3"/>
            <w:shd w:val="clear" w:color="auto" w:fill="auto"/>
            <w:vAlign w:val="bottom"/>
          </w:tcPr>
          <w:p w14:paraId="5F2D652B" w14:textId="77777777" w:rsidR="00E836FB" w:rsidRDefault="00E836FB">
            <w:pPr>
              <w:rPr>
                <w:rFonts w:ascii="宋体"/>
                <w:vanish/>
              </w:rPr>
            </w:pPr>
          </w:p>
        </w:tc>
        <w:tc>
          <w:tcPr>
            <w:tcW w:w="0" w:type="auto"/>
            <w:gridSpan w:val="3"/>
            <w:shd w:val="clear" w:color="auto" w:fill="auto"/>
            <w:vAlign w:val="bottom"/>
          </w:tcPr>
          <w:p w14:paraId="5F2D652C" w14:textId="77777777" w:rsidR="00E836FB" w:rsidRDefault="00E836FB">
            <w:pPr>
              <w:rPr>
                <w:rFonts w:ascii="宋体"/>
                <w:vanish/>
              </w:rPr>
            </w:pPr>
          </w:p>
        </w:tc>
        <w:tc>
          <w:tcPr>
            <w:tcW w:w="0" w:type="auto"/>
            <w:gridSpan w:val="3"/>
            <w:shd w:val="clear" w:color="auto" w:fill="auto"/>
            <w:vAlign w:val="bottom"/>
          </w:tcPr>
          <w:p w14:paraId="5F2D652D" w14:textId="77777777" w:rsidR="00E836FB" w:rsidRDefault="00E836FB">
            <w:pPr>
              <w:rPr>
                <w:rFonts w:ascii="宋体"/>
                <w:vanish/>
              </w:rPr>
            </w:pPr>
          </w:p>
        </w:tc>
        <w:tc>
          <w:tcPr>
            <w:tcW w:w="0" w:type="auto"/>
            <w:gridSpan w:val="3"/>
            <w:shd w:val="clear" w:color="auto" w:fill="auto"/>
            <w:vAlign w:val="bottom"/>
          </w:tcPr>
          <w:p w14:paraId="5F2D652E" w14:textId="77777777" w:rsidR="00E836FB" w:rsidRDefault="00E836FB">
            <w:pPr>
              <w:rPr>
                <w:rFonts w:ascii="宋体"/>
                <w:vanish/>
              </w:rPr>
            </w:pPr>
          </w:p>
        </w:tc>
        <w:tc>
          <w:tcPr>
            <w:tcW w:w="0" w:type="auto"/>
            <w:gridSpan w:val="3"/>
            <w:shd w:val="clear" w:color="auto" w:fill="auto"/>
            <w:vAlign w:val="bottom"/>
          </w:tcPr>
          <w:p w14:paraId="5F2D652F" w14:textId="77777777" w:rsidR="00E836FB" w:rsidRDefault="00E836FB">
            <w:pPr>
              <w:rPr>
                <w:rFonts w:ascii="宋体"/>
                <w:vanish/>
              </w:rPr>
            </w:pPr>
          </w:p>
        </w:tc>
        <w:tc>
          <w:tcPr>
            <w:tcW w:w="0" w:type="auto"/>
            <w:gridSpan w:val="3"/>
            <w:shd w:val="clear" w:color="auto" w:fill="auto"/>
            <w:vAlign w:val="bottom"/>
          </w:tcPr>
          <w:p w14:paraId="5F2D6530" w14:textId="77777777" w:rsidR="00E836FB" w:rsidRDefault="00E836FB">
            <w:pPr>
              <w:rPr>
                <w:rFonts w:ascii="宋体"/>
                <w:vanish/>
              </w:rPr>
            </w:pPr>
          </w:p>
        </w:tc>
        <w:tc>
          <w:tcPr>
            <w:tcW w:w="0" w:type="auto"/>
            <w:gridSpan w:val="3"/>
            <w:shd w:val="clear" w:color="auto" w:fill="auto"/>
            <w:vAlign w:val="bottom"/>
          </w:tcPr>
          <w:p w14:paraId="5F2D6531" w14:textId="77777777" w:rsidR="00E836FB" w:rsidRDefault="00E836FB">
            <w:pPr>
              <w:rPr>
                <w:rFonts w:ascii="宋体"/>
                <w:vanish/>
              </w:rPr>
            </w:pPr>
          </w:p>
        </w:tc>
        <w:tc>
          <w:tcPr>
            <w:tcW w:w="0" w:type="auto"/>
            <w:gridSpan w:val="3"/>
            <w:shd w:val="clear" w:color="auto" w:fill="auto"/>
            <w:vAlign w:val="bottom"/>
          </w:tcPr>
          <w:p w14:paraId="5F2D6532" w14:textId="77777777" w:rsidR="00E836FB" w:rsidRDefault="00E836FB">
            <w:pPr>
              <w:rPr>
                <w:rFonts w:ascii="宋体"/>
                <w:vanish/>
              </w:rPr>
            </w:pPr>
          </w:p>
        </w:tc>
        <w:tc>
          <w:tcPr>
            <w:tcW w:w="0" w:type="auto"/>
            <w:gridSpan w:val="3"/>
            <w:shd w:val="clear" w:color="auto" w:fill="auto"/>
            <w:vAlign w:val="bottom"/>
          </w:tcPr>
          <w:p w14:paraId="5F2D6533" w14:textId="77777777" w:rsidR="00E836FB" w:rsidRDefault="00E836FB">
            <w:pPr>
              <w:rPr>
                <w:rFonts w:ascii="宋体"/>
                <w:vanish/>
              </w:rPr>
            </w:pPr>
          </w:p>
        </w:tc>
        <w:tc>
          <w:tcPr>
            <w:tcW w:w="0" w:type="auto"/>
            <w:gridSpan w:val="3"/>
            <w:shd w:val="clear" w:color="auto" w:fill="auto"/>
            <w:vAlign w:val="bottom"/>
          </w:tcPr>
          <w:p w14:paraId="5F2D6534" w14:textId="77777777" w:rsidR="00E836FB" w:rsidRDefault="00E836FB">
            <w:pPr>
              <w:rPr>
                <w:rFonts w:ascii="宋体"/>
                <w:vanish/>
              </w:rPr>
            </w:pPr>
          </w:p>
        </w:tc>
        <w:tc>
          <w:tcPr>
            <w:tcW w:w="0" w:type="auto"/>
            <w:gridSpan w:val="3"/>
            <w:shd w:val="clear" w:color="auto" w:fill="auto"/>
            <w:vAlign w:val="bottom"/>
          </w:tcPr>
          <w:p w14:paraId="5F2D6535" w14:textId="77777777" w:rsidR="00E836FB" w:rsidRDefault="00E836FB">
            <w:pPr>
              <w:rPr>
                <w:rFonts w:ascii="宋体"/>
                <w:vanish/>
              </w:rPr>
            </w:pPr>
          </w:p>
        </w:tc>
        <w:tc>
          <w:tcPr>
            <w:tcW w:w="0" w:type="auto"/>
            <w:gridSpan w:val="3"/>
            <w:shd w:val="clear" w:color="auto" w:fill="auto"/>
            <w:vAlign w:val="bottom"/>
          </w:tcPr>
          <w:p w14:paraId="5F2D6536" w14:textId="77777777" w:rsidR="00E836FB" w:rsidRDefault="00E836FB">
            <w:pPr>
              <w:rPr>
                <w:rFonts w:ascii="宋体"/>
                <w:vanish/>
              </w:rPr>
            </w:pPr>
          </w:p>
        </w:tc>
      </w:tr>
      <w:tr w:rsidR="00E836FB" w14:paraId="5F2D654A" w14:textId="77777777">
        <w:tc>
          <w:tcPr>
            <w:tcW w:w="0" w:type="auto"/>
            <w:gridSpan w:val="3"/>
            <w:shd w:val="clear" w:color="auto" w:fill="CCEEFF"/>
            <w:tcMar>
              <w:top w:w="40" w:type="dxa"/>
              <w:left w:w="20" w:type="dxa"/>
              <w:bottom w:w="40" w:type="dxa"/>
              <w:right w:w="20" w:type="dxa"/>
            </w:tcMar>
            <w:vAlign w:val="bottom"/>
          </w:tcPr>
          <w:p w14:paraId="5F2D6538" w14:textId="77777777" w:rsidR="00E836FB" w:rsidRDefault="00994958">
            <w:pPr>
              <w:textAlignment w:val="bottom"/>
            </w:pPr>
            <w:r>
              <w:rPr>
                <w:rFonts w:ascii="Arial" w:eastAsia="宋体" w:hAnsi="Arial" w:cs="Arial"/>
                <w:color w:val="000000"/>
                <w:sz w:val="14"/>
                <w:szCs w:val="14"/>
              </w:rPr>
              <w:t>Other interest-earning assets</w:t>
            </w:r>
          </w:p>
        </w:tc>
        <w:tc>
          <w:tcPr>
            <w:tcW w:w="0" w:type="auto"/>
            <w:gridSpan w:val="2"/>
            <w:shd w:val="clear" w:color="auto" w:fill="CCEEFF"/>
            <w:tcMar>
              <w:top w:w="40" w:type="dxa"/>
              <w:left w:w="20" w:type="dxa"/>
              <w:bottom w:w="40" w:type="dxa"/>
              <w:right w:w="0" w:type="dxa"/>
            </w:tcMar>
            <w:vAlign w:val="bottom"/>
          </w:tcPr>
          <w:p w14:paraId="5F2D6539" w14:textId="77777777" w:rsidR="00E836FB" w:rsidRDefault="00994958">
            <w:pPr>
              <w:jc w:val="right"/>
              <w:textAlignment w:val="bottom"/>
            </w:pPr>
            <w:r>
              <w:rPr>
                <w:rFonts w:ascii="Arial" w:eastAsia="宋体" w:hAnsi="Arial" w:cs="Arial"/>
                <w:b/>
                <w:bCs/>
                <w:color w:val="000000"/>
                <w:sz w:val="14"/>
                <w:szCs w:val="14"/>
              </w:rPr>
              <w:t>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53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3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3C" w14:textId="77777777" w:rsidR="00E836FB" w:rsidRDefault="00994958">
            <w:pPr>
              <w:jc w:val="right"/>
              <w:textAlignment w:val="bottom"/>
            </w:pPr>
            <w:r>
              <w:rPr>
                <w:rFonts w:ascii="Arial" w:eastAsia="宋体" w:hAnsi="Arial" w:cs="Arial"/>
                <w:b/>
                <w:bCs/>
                <w:color w:val="000000"/>
                <w:sz w:val="14"/>
                <w:szCs w:val="14"/>
              </w:rPr>
              <w:t>(92)</w:t>
            </w:r>
          </w:p>
        </w:tc>
        <w:tc>
          <w:tcPr>
            <w:tcW w:w="0" w:type="auto"/>
            <w:shd w:val="clear" w:color="auto" w:fill="CCEEFF"/>
            <w:tcMar>
              <w:top w:w="40" w:type="dxa"/>
              <w:left w:w="0" w:type="dxa"/>
              <w:bottom w:w="40" w:type="dxa"/>
              <w:right w:w="20" w:type="dxa"/>
            </w:tcMar>
            <w:vAlign w:val="bottom"/>
          </w:tcPr>
          <w:p w14:paraId="5F2D653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3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3F" w14:textId="77777777" w:rsidR="00E836FB" w:rsidRDefault="00994958">
            <w:pPr>
              <w:jc w:val="right"/>
              <w:textAlignment w:val="bottom"/>
            </w:pPr>
            <w:r>
              <w:rPr>
                <w:rFonts w:ascii="Arial" w:eastAsia="宋体" w:hAnsi="Arial" w:cs="Arial"/>
                <w:b/>
                <w:bCs/>
                <w:color w:val="000000"/>
                <w:sz w:val="14"/>
                <w:szCs w:val="14"/>
              </w:rPr>
              <w:t>(38)</w:t>
            </w:r>
          </w:p>
        </w:tc>
        <w:tc>
          <w:tcPr>
            <w:tcW w:w="0" w:type="auto"/>
            <w:shd w:val="clear" w:color="auto" w:fill="CCEEFF"/>
            <w:tcMar>
              <w:top w:w="40" w:type="dxa"/>
              <w:left w:w="0" w:type="dxa"/>
              <w:bottom w:w="40" w:type="dxa"/>
              <w:right w:w="20" w:type="dxa"/>
            </w:tcMar>
            <w:vAlign w:val="bottom"/>
          </w:tcPr>
          <w:p w14:paraId="5F2D654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4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42" w14:textId="77777777" w:rsidR="00E836FB" w:rsidRDefault="00994958">
            <w:pPr>
              <w:jc w:val="right"/>
              <w:textAlignment w:val="bottom"/>
            </w:pPr>
            <w:r>
              <w:rPr>
                <w:rFonts w:ascii="Arial" w:eastAsia="宋体" w:hAnsi="Arial" w:cs="Arial"/>
                <w:color w:val="000000"/>
                <w:sz w:val="14"/>
                <w:szCs w:val="14"/>
              </w:rPr>
              <w:t>(81)</w:t>
            </w:r>
          </w:p>
        </w:tc>
        <w:tc>
          <w:tcPr>
            <w:tcW w:w="0" w:type="auto"/>
            <w:shd w:val="clear" w:color="auto" w:fill="CCEEFF"/>
            <w:tcMar>
              <w:top w:w="40" w:type="dxa"/>
              <w:left w:w="0" w:type="dxa"/>
              <w:bottom w:w="40" w:type="dxa"/>
              <w:right w:w="20" w:type="dxa"/>
            </w:tcMar>
            <w:vAlign w:val="bottom"/>
          </w:tcPr>
          <w:p w14:paraId="5F2D654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4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45" w14:textId="77777777" w:rsidR="00E836FB" w:rsidRDefault="00994958">
            <w:pPr>
              <w:jc w:val="right"/>
              <w:textAlignment w:val="bottom"/>
            </w:pPr>
            <w:r>
              <w:rPr>
                <w:rFonts w:ascii="Arial" w:eastAsia="宋体" w:hAnsi="Arial" w:cs="Arial"/>
                <w:color w:val="000000"/>
                <w:sz w:val="14"/>
                <w:szCs w:val="14"/>
              </w:rPr>
              <w:t>(259)</w:t>
            </w:r>
          </w:p>
        </w:tc>
        <w:tc>
          <w:tcPr>
            <w:tcW w:w="0" w:type="auto"/>
            <w:shd w:val="clear" w:color="auto" w:fill="CCEEFF"/>
            <w:tcMar>
              <w:top w:w="40" w:type="dxa"/>
              <w:left w:w="0" w:type="dxa"/>
              <w:bottom w:w="40" w:type="dxa"/>
              <w:right w:w="20" w:type="dxa"/>
            </w:tcMar>
            <w:vAlign w:val="bottom"/>
          </w:tcPr>
          <w:p w14:paraId="5F2D654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4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48" w14:textId="77777777" w:rsidR="00E836FB" w:rsidRDefault="00994958">
            <w:pPr>
              <w:jc w:val="right"/>
              <w:textAlignment w:val="bottom"/>
            </w:pPr>
            <w:r>
              <w:rPr>
                <w:rFonts w:ascii="Arial" w:eastAsia="宋体" w:hAnsi="Arial" w:cs="Arial"/>
                <w:color w:val="000000"/>
                <w:sz w:val="14"/>
                <w:szCs w:val="14"/>
              </w:rPr>
              <w:t>(340)</w:t>
            </w:r>
          </w:p>
        </w:tc>
        <w:tc>
          <w:tcPr>
            <w:tcW w:w="0" w:type="auto"/>
            <w:shd w:val="clear" w:color="auto" w:fill="CCEEFF"/>
            <w:tcMar>
              <w:top w:w="40" w:type="dxa"/>
              <w:left w:w="0" w:type="dxa"/>
              <w:bottom w:w="40" w:type="dxa"/>
              <w:right w:w="20" w:type="dxa"/>
            </w:tcMar>
            <w:vAlign w:val="bottom"/>
          </w:tcPr>
          <w:p w14:paraId="5F2D6549" w14:textId="77777777" w:rsidR="00E836FB" w:rsidRDefault="00E836FB">
            <w:pPr>
              <w:jc w:val="right"/>
              <w:rPr>
                <w:rFonts w:ascii="宋体"/>
              </w:rPr>
            </w:pPr>
          </w:p>
        </w:tc>
      </w:tr>
      <w:tr w:rsidR="00E836FB" w14:paraId="5F2D655D" w14:textId="77777777">
        <w:tc>
          <w:tcPr>
            <w:tcW w:w="0" w:type="auto"/>
            <w:gridSpan w:val="3"/>
            <w:shd w:val="clear" w:color="auto" w:fill="FFFFFF"/>
            <w:tcMar>
              <w:top w:w="40" w:type="dxa"/>
              <w:left w:w="20" w:type="dxa"/>
              <w:bottom w:w="40" w:type="dxa"/>
              <w:right w:w="20" w:type="dxa"/>
            </w:tcMar>
            <w:vAlign w:val="bottom"/>
          </w:tcPr>
          <w:p w14:paraId="5F2D654B" w14:textId="77777777" w:rsidR="00E836FB" w:rsidRDefault="00994958">
            <w:pPr>
              <w:textAlignment w:val="bottom"/>
            </w:pPr>
            <w:r>
              <w:rPr>
                <w:rFonts w:ascii="Arial" w:eastAsia="宋体" w:hAnsi="Arial" w:cs="Arial"/>
                <w:color w:val="000000"/>
                <w:sz w:val="14"/>
                <w:szCs w:val="14"/>
              </w:rPr>
              <w:t>Total interest-earning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54C" w14:textId="77777777" w:rsidR="00E836FB" w:rsidRDefault="00994958">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54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4E"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54F" w14:textId="77777777" w:rsidR="00E836FB" w:rsidRDefault="00994958">
            <w:pPr>
              <w:jc w:val="right"/>
              <w:textAlignment w:val="bottom"/>
            </w:pPr>
            <w:r>
              <w:rPr>
                <w:rFonts w:ascii="Arial" w:eastAsia="宋体" w:hAnsi="Arial" w:cs="Arial"/>
                <w:b/>
                <w:bCs/>
                <w:color w:val="000000"/>
                <w:sz w:val="14"/>
                <w:szCs w:val="14"/>
              </w:rPr>
              <w:t>(847)</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55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51"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552" w14:textId="77777777" w:rsidR="00E836FB" w:rsidRDefault="00994958">
            <w:pPr>
              <w:jc w:val="right"/>
              <w:textAlignment w:val="bottom"/>
            </w:pPr>
            <w:r>
              <w:rPr>
                <w:rFonts w:ascii="Arial" w:eastAsia="宋体" w:hAnsi="Arial" w:cs="Arial"/>
                <w:b/>
                <w:bCs/>
                <w:color w:val="000000"/>
                <w:sz w:val="14"/>
                <w:szCs w:val="14"/>
              </w:rPr>
              <w:t>(671)</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55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54"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555" w14:textId="77777777" w:rsidR="00E836FB" w:rsidRDefault="00994958">
            <w:pPr>
              <w:jc w:val="right"/>
              <w:textAlignment w:val="bottom"/>
            </w:pPr>
            <w:r>
              <w:rPr>
                <w:rFonts w:ascii="Arial" w:eastAsia="宋体" w:hAnsi="Arial" w:cs="Arial"/>
                <w:color w:val="000000"/>
                <w:sz w:val="14"/>
                <w:szCs w:val="14"/>
              </w:rPr>
              <w:t>675 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55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57"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558" w14:textId="77777777" w:rsidR="00E836FB" w:rsidRDefault="00994958">
            <w:pPr>
              <w:jc w:val="right"/>
              <w:textAlignment w:val="bottom"/>
            </w:pPr>
            <w:r>
              <w:rPr>
                <w:rFonts w:ascii="Arial" w:eastAsia="宋体" w:hAnsi="Arial" w:cs="Arial"/>
                <w:color w:val="000000"/>
                <w:sz w:val="14"/>
                <w:szCs w:val="14"/>
              </w:rPr>
              <w:t>(2,043)</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55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5A" w14:textId="77777777" w:rsidR="00E836FB" w:rsidRDefault="00E83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F2D655B" w14:textId="77777777" w:rsidR="00E836FB" w:rsidRDefault="00994958">
            <w:pPr>
              <w:jc w:val="right"/>
              <w:textAlignment w:val="bottom"/>
            </w:pPr>
            <w:r>
              <w:rPr>
                <w:rFonts w:ascii="Arial" w:eastAsia="宋体" w:hAnsi="Arial" w:cs="Arial"/>
                <w:color w:val="000000"/>
                <w:sz w:val="14"/>
                <w:szCs w:val="14"/>
              </w:rPr>
              <w:t>(1,368)</w:t>
            </w:r>
          </w:p>
        </w:tc>
        <w:tc>
          <w:tcPr>
            <w:tcW w:w="0" w:type="auto"/>
            <w:tcBorders>
              <w:top w:val="single" w:sz="8" w:space="0" w:color="000000"/>
            </w:tcBorders>
            <w:shd w:val="clear" w:color="auto" w:fill="FFFFFF"/>
            <w:tcMar>
              <w:top w:w="40" w:type="dxa"/>
              <w:left w:w="0" w:type="dxa"/>
              <w:bottom w:w="40" w:type="dxa"/>
              <w:right w:w="20" w:type="dxa"/>
            </w:tcMar>
            <w:vAlign w:val="bottom"/>
          </w:tcPr>
          <w:p w14:paraId="5F2D655C" w14:textId="77777777" w:rsidR="00E836FB" w:rsidRDefault="00E836FB">
            <w:pPr>
              <w:jc w:val="right"/>
              <w:rPr>
                <w:rFonts w:ascii="宋体"/>
              </w:rPr>
            </w:pPr>
          </w:p>
        </w:tc>
      </w:tr>
      <w:tr w:rsidR="00E836FB" w14:paraId="5F2D656A" w14:textId="77777777">
        <w:tc>
          <w:tcPr>
            <w:tcW w:w="0" w:type="auto"/>
            <w:gridSpan w:val="3"/>
            <w:shd w:val="clear" w:color="auto" w:fill="CCEEFF"/>
            <w:tcMar>
              <w:top w:w="40" w:type="dxa"/>
              <w:left w:w="20" w:type="dxa"/>
              <w:bottom w:w="40" w:type="dxa"/>
              <w:right w:w="20" w:type="dxa"/>
            </w:tcMar>
            <w:vAlign w:val="bottom"/>
          </w:tcPr>
          <w:p w14:paraId="5F2D655E" w14:textId="77777777" w:rsidR="00E836FB" w:rsidRDefault="00994958">
            <w:pPr>
              <w:textAlignment w:val="bottom"/>
            </w:pPr>
            <w:r>
              <w:rPr>
                <w:rFonts w:ascii="Arial" w:eastAsia="宋体" w:hAnsi="Arial" w:cs="Arial"/>
                <w:b/>
                <w:bCs/>
                <w:color w:val="000000"/>
                <w:sz w:val="14"/>
                <w:szCs w:val="14"/>
              </w:rPr>
              <w:t>Interest expense related to:</w:t>
            </w:r>
          </w:p>
        </w:tc>
        <w:tc>
          <w:tcPr>
            <w:tcW w:w="0" w:type="auto"/>
            <w:gridSpan w:val="3"/>
            <w:shd w:val="clear" w:color="auto" w:fill="CCEEFF"/>
            <w:tcMar>
              <w:top w:w="0" w:type="dxa"/>
              <w:left w:w="20" w:type="dxa"/>
              <w:bottom w:w="0" w:type="dxa"/>
              <w:right w:w="20" w:type="dxa"/>
            </w:tcMar>
            <w:vAlign w:val="bottom"/>
          </w:tcPr>
          <w:p w14:paraId="5F2D655F"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0"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1"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2"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3"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4"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5"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6"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7"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8" w14:textId="77777777" w:rsidR="00E836FB" w:rsidRDefault="00E836FB">
            <w:pPr>
              <w:rPr>
                <w:rFonts w:ascii="宋体"/>
              </w:rPr>
            </w:pPr>
          </w:p>
        </w:tc>
        <w:tc>
          <w:tcPr>
            <w:tcW w:w="0" w:type="auto"/>
            <w:gridSpan w:val="3"/>
            <w:shd w:val="clear" w:color="auto" w:fill="CCEEFF"/>
            <w:tcMar>
              <w:top w:w="0" w:type="dxa"/>
              <w:left w:w="20" w:type="dxa"/>
              <w:bottom w:w="0" w:type="dxa"/>
              <w:right w:w="20" w:type="dxa"/>
            </w:tcMar>
            <w:vAlign w:val="bottom"/>
          </w:tcPr>
          <w:p w14:paraId="5F2D6569" w14:textId="77777777" w:rsidR="00E836FB" w:rsidRDefault="00E836FB">
            <w:pPr>
              <w:rPr>
                <w:rFonts w:ascii="宋体"/>
              </w:rPr>
            </w:pPr>
          </w:p>
        </w:tc>
      </w:tr>
      <w:tr w:rsidR="00E836FB" w14:paraId="5F2D6577" w14:textId="77777777">
        <w:tc>
          <w:tcPr>
            <w:tcW w:w="0" w:type="auto"/>
            <w:gridSpan w:val="3"/>
            <w:shd w:val="clear" w:color="auto" w:fill="FFFFFF"/>
            <w:tcMar>
              <w:top w:w="40" w:type="dxa"/>
              <w:left w:w="20" w:type="dxa"/>
              <w:bottom w:w="40" w:type="dxa"/>
              <w:right w:w="20" w:type="dxa"/>
            </w:tcMar>
            <w:vAlign w:val="bottom"/>
          </w:tcPr>
          <w:p w14:paraId="5F2D656B" w14:textId="77777777" w:rsidR="00E836FB" w:rsidRDefault="00994958">
            <w:pPr>
              <w:textAlignment w:val="bottom"/>
            </w:pPr>
            <w:r>
              <w:rPr>
                <w:rFonts w:ascii="Arial" w:eastAsia="宋体" w:hAnsi="Arial" w:cs="Arial"/>
                <w:color w:val="000000"/>
                <w:sz w:val="14"/>
                <w:szCs w:val="14"/>
              </w:rPr>
              <w:t>Deposits:</w:t>
            </w:r>
          </w:p>
        </w:tc>
        <w:tc>
          <w:tcPr>
            <w:tcW w:w="0" w:type="auto"/>
            <w:gridSpan w:val="3"/>
            <w:shd w:val="clear" w:color="auto" w:fill="FFFFFF"/>
            <w:tcMar>
              <w:top w:w="0" w:type="dxa"/>
              <w:left w:w="20" w:type="dxa"/>
              <w:bottom w:w="0" w:type="dxa"/>
              <w:right w:w="20" w:type="dxa"/>
            </w:tcMar>
            <w:vAlign w:val="bottom"/>
          </w:tcPr>
          <w:p w14:paraId="5F2D656C"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6D"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6E"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6F"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70"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71"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72"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73"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74"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75" w14:textId="77777777" w:rsidR="00E836FB" w:rsidRDefault="00E836FB">
            <w:pPr>
              <w:rPr>
                <w:rFonts w:ascii="宋体"/>
              </w:rPr>
            </w:pPr>
          </w:p>
        </w:tc>
        <w:tc>
          <w:tcPr>
            <w:tcW w:w="0" w:type="auto"/>
            <w:gridSpan w:val="3"/>
            <w:shd w:val="clear" w:color="auto" w:fill="FFFFFF"/>
            <w:tcMar>
              <w:top w:w="0" w:type="dxa"/>
              <w:left w:w="20" w:type="dxa"/>
              <w:bottom w:w="0" w:type="dxa"/>
              <w:right w:w="20" w:type="dxa"/>
            </w:tcMar>
            <w:vAlign w:val="bottom"/>
          </w:tcPr>
          <w:p w14:paraId="5F2D6576" w14:textId="77777777" w:rsidR="00E836FB" w:rsidRDefault="00E836FB">
            <w:pPr>
              <w:rPr>
                <w:rFonts w:ascii="宋体"/>
              </w:rPr>
            </w:pPr>
          </w:p>
        </w:tc>
      </w:tr>
      <w:tr w:rsidR="00E836FB" w14:paraId="5F2D658A" w14:textId="77777777">
        <w:tc>
          <w:tcPr>
            <w:tcW w:w="0" w:type="auto"/>
            <w:gridSpan w:val="3"/>
            <w:shd w:val="clear" w:color="auto" w:fill="CCEEFF"/>
            <w:tcMar>
              <w:top w:w="40" w:type="dxa"/>
              <w:left w:w="155" w:type="dxa"/>
              <w:bottom w:w="40" w:type="dxa"/>
              <w:right w:w="20" w:type="dxa"/>
            </w:tcMar>
            <w:vAlign w:val="bottom"/>
          </w:tcPr>
          <w:p w14:paraId="5F2D6578" w14:textId="77777777" w:rsidR="00E836FB" w:rsidRDefault="00994958">
            <w:pPr>
              <w:textAlignment w:val="bottom"/>
            </w:pPr>
            <w:r>
              <w:rPr>
                <w:rFonts w:ascii="Arial" w:eastAsia="宋体" w:hAnsi="Arial" w:cs="Arial"/>
                <w:color w:val="000000"/>
                <w:sz w:val="14"/>
                <w:szCs w:val="14"/>
              </w:rPr>
              <w:t>Time</w:t>
            </w:r>
          </w:p>
        </w:tc>
        <w:tc>
          <w:tcPr>
            <w:tcW w:w="0" w:type="auto"/>
            <w:gridSpan w:val="2"/>
            <w:shd w:val="clear" w:color="auto" w:fill="CCEEFF"/>
            <w:tcMar>
              <w:top w:w="40" w:type="dxa"/>
              <w:left w:w="20" w:type="dxa"/>
              <w:bottom w:w="40" w:type="dxa"/>
              <w:right w:w="0" w:type="dxa"/>
            </w:tcMar>
            <w:vAlign w:val="bottom"/>
          </w:tcPr>
          <w:p w14:paraId="5F2D6579" w14:textId="77777777" w:rsidR="00E836FB" w:rsidRDefault="00994958">
            <w:pPr>
              <w:jc w:val="right"/>
              <w:textAlignment w:val="bottom"/>
            </w:pPr>
            <w:r>
              <w:rPr>
                <w:rFonts w:ascii="Arial" w:eastAsia="宋体" w:hAnsi="Arial" w:cs="Arial"/>
                <w:b/>
                <w:bCs/>
                <w:color w:val="000000"/>
                <w:sz w:val="14"/>
                <w:szCs w:val="14"/>
              </w:rPr>
              <w:t>(23)</w:t>
            </w:r>
          </w:p>
        </w:tc>
        <w:tc>
          <w:tcPr>
            <w:tcW w:w="0" w:type="auto"/>
            <w:shd w:val="clear" w:color="auto" w:fill="CCEEFF"/>
            <w:tcMar>
              <w:top w:w="40" w:type="dxa"/>
              <w:left w:w="0" w:type="dxa"/>
              <w:bottom w:w="40" w:type="dxa"/>
              <w:right w:w="20" w:type="dxa"/>
            </w:tcMar>
            <w:vAlign w:val="bottom"/>
          </w:tcPr>
          <w:p w14:paraId="5F2D657A"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7B"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7C" w14:textId="77777777" w:rsidR="00E836FB" w:rsidRDefault="00994958">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57D"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7E"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7F" w14:textId="77777777" w:rsidR="00E836FB" w:rsidRDefault="00994958">
            <w:pPr>
              <w:jc w:val="right"/>
              <w:textAlignment w:val="bottom"/>
            </w:pPr>
            <w:r>
              <w:rPr>
                <w:rFonts w:ascii="Arial" w:eastAsia="宋体" w:hAnsi="Arial" w:cs="Arial"/>
                <w:b/>
                <w:bCs/>
                <w:color w:val="000000"/>
                <w:sz w:val="14"/>
                <w:szCs w:val="14"/>
              </w:rPr>
              <w:t>(23)</w:t>
            </w:r>
          </w:p>
        </w:tc>
        <w:tc>
          <w:tcPr>
            <w:tcW w:w="0" w:type="auto"/>
            <w:shd w:val="clear" w:color="auto" w:fill="CCEEFF"/>
            <w:tcMar>
              <w:top w:w="40" w:type="dxa"/>
              <w:left w:w="0" w:type="dxa"/>
              <w:bottom w:w="40" w:type="dxa"/>
              <w:right w:w="20" w:type="dxa"/>
            </w:tcMar>
            <w:vAlign w:val="bottom"/>
          </w:tcPr>
          <w:p w14:paraId="5F2D658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8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82" w14:textId="77777777" w:rsidR="00E836FB" w:rsidRDefault="00994958">
            <w:pPr>
              <w:jc w:val="right"/>
              <w:textAlignment w:val="bottom"/>
            </w:pPr>
            <w:r>
              <w:rPr>
                <w:rFonts w:ascii="Arial" w:eastAsia="宋体" w:hAnsi="Arial" w:cs="Arial"/>
                <w:color w:val="000000"/>
                <w:sz w:val="14"/>
                <w:szCs w:val="14"/>
              </w:rPr>
              <w:t>(144)</w:t>
            </w:r>
          </w:p>
        </w:tc>
        <w:tc>
          <w:tcPr>
            <w:tcW w:w="0" w:type="auto"/>
            <w:shd w:val="clear" w:color="auto" w:fill="CCEEFF"/>
            <w:tcMar>
              <w:top w:w="40" w:type="dxa"/>
              <w:left w:w="0" w:type="dxa"/>
              <w:bottom w:w="40" w:type="dxa"/>
              <w:right w:w="20" w:type="dxa"/>
            </w:tcMar>
            <w:vAlign w:val="bottom"/>
          </w:tcPr>
          <w:p w14:paraId="5F2D658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8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85" w14:textId="77777777" w:rsidR="00E836FB" w:rsidRDefault="00994958">
            <w:pPr>
              <w:jc w:val="right"/>
              <w:textAlignment w:val="bottom"/>
            </w:pPr>
            <w:r>
              <w:rPr>
                <w:rFonts w:ascii="Arial" w:eastAsia="宋体" w:hAnsi="Arial" w:cs="Arial"/>
                <w:color w:val="000000"/>
                <w:sz w:val="14"/>
                <w:szCs w:val="14"/>
              </w:rPr>
              <w:t>(55)</w:t>
            </w:r>
          </w:p>
        </w:tc>
        <w:tc>
          <w:tcPr>
            <w:tcW w:w="0" w:type="auto"/>
            <w:shd w:val="clear" w:color="auto" w:fill="CCEEFF"/>
            <w:tcMar>
              <w:top w:w="40" w:type="dxa"/>
              <w:left w:w="0" w:type="dxa"/>
              <w:bottom w:w="40" w:type="dxa"/>
              <w:right w:w="20" w:type="dxa"/>
            </w:tcMar>
            <w:vAlign w:val="bottom"/>
          </w:tcPr>
          <w:p w14:paraId="5F2D658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8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88" w14:textId="77777777" w:rsidR="00E836FB" w:rsidRDefault="00994958">
            <w:pPr>
              <w:jc w:val="right"/>
              <w:textAlignment w:val="bottom"/>
            </w:pPr>
            <w:r>
              <w:rPr>
                <w:rFonts w:ascii="Arial" w:eastAsia="宋体" w:hAnsi="Arial" w:cs="Arial"/>
                <w:color w:val="000000"/>
                <w:sz w:val="14"/>
                <w:szCs w:val="14"/>
              </w:rPr>
              <w:t>(199)</w:t>
            </w:r>
          </w:p>
        </w:tc>
        <w:tc>
          <w:tcPr>
            <w:tcW w:w="0" w:type="auto"/>
            <w:shd w:val="clear" w:color="auto" w:fill="CCEEFF"/>
            <w:tcMar>
              <w:top w:w="40" w:type="dxa"/>
              <w:left w:w="0" w:type="dxa"/>
              <w:bottom w:w="40" w:type="dxa"/>
              <w:right w:w="20" w:type="dxa"/>
            </w:tcMar>
            <w:vAlign w:val="bottom"/>
          </w:tcPr>
          <w:p w14:paraId="5F2D6589" w14:textId="77777777" w:rsidR="00E836FB" w:rsidRDefault="00E836FB">
            <w:pPr>
              <w:jc w:val="right"/>
              <w:rPr>
                <w:rFonts w:ascii="宋体"/>
              </w:rPr>
            </w:pPr>
          </w:p>
        </w:tc>
      </w:tr>
      <w:tr w:rsidR="00E836FB" w14:paraId="5F2D659D" w14:textId="77777777">
        <w:tc>
          <w:tcPr>
            <w:tcW w:w="0" w:type="auto"/>
            <w:gridSpan w:val="3"/>
            <w:shd w:val="clear" w:color="auto" w:fill="FFFFFF"/>
            <w:tcMar>
              <w:top w:w="40" w:type="dxa"/>
              <w:left w:w="155" w:type="dxa"/>
              <w:bottom w:w="40" w:type="dxa"/>
              <w:right w:w="20" w:type="dxa"/>
            </w:tcMar>
            <w:vAlign w:val="bottom"/>
          </w:tcPr>
          <w:p w14:paraId="5F2D658B" w14:textId="77777777" w:rsidR="00E836FB" w:rsidRDefault="00994958">
            <w:pPr>
              <w:textAlignment w:val="bottom"/>
            </w:pPr>
            <w:r>
              <w:rPr>
                <w:rFonts w:ascii="Arial" w:eastAsia="宋体" w:hAnsi="Arial" w:cs="Arial"/>
                <w:color w:val="000000"/>
                <w:sz w:val="14"/>
                <w:szCs w:val="14"/>
              </w:rPr>
              <w:t>Savings</w:t>
            </w:r>
          </w:p>
        </w:tc>
        <w:tc>
          <w:tcPr>
            <w:tcW w:w="0" w:type="auto"/>
            <w:gridSpan w:val="2"/>
            <w:shd w:val="clear" w:color="auto" w:fill="FFFFFF"/>
            <w:tcMar>
              <w:top w:w="40" w:type="dxa"/>
              <w:left w:w="20" w:type="dxa"/>
              <w:bottom w:w="40" w:type="dxa"/>
              <w:right w:w="0" w:type="dxa"/>
            </w:tcMar>
            <w:vAlign w:val="bottom"/>
          </w:tcPr>
          <w:p w14:paraId="5F2D658C" w14:textId="77777777" w:rsidR="00E836FB" w:rsidRDefault="00994958">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58D"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8E"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8F" w14:textId="77777777" w:rsidR="00E836FB" w:rsidRDefault="00994958">
            <w:pPr>
              <w:jc w:val="right"/>
              <w:textAlignment w:val="bottom"/>
            </w:pPr>
            <w:r>
              <w:rPr>
                <w:rFonts w:ascii="Arial" w:eastAsia="宋体" w:hAnsi="Arial" w:cs="Arial"/>
                <w:b/>
                <w:bCs/>
                <w:color w:val="000000"/>
                <w:sz w:val="14"/>
                <w:szCs w:val="14"/>
              </w:rPr>
              <w:t>(109)</w:t>
            </w:r>
          </w:p>
        </w:tc>
        <w:tc>
          <w:tcPr>
            <w:tcW w:w="0" w:type="auto"/>
            <w:shd w:val="clear" w:color="auto" w:fill="FFFFFF"/>
            <w:tcMar>
              <w:top w:w="40" w:type="dxa"/>
              <w:left w:w="0" w:type="dxa"/>
              <w:bottom w:w="40" w:type="dxa"/>
              <w:right w:w="20" w:type="dxa"/>
            </w:tcMar>
            <w:vAlign w:val="bottom"/>
          </w:tcPr>
          <w:p w14:paraId="5F2D6590"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91"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92" w14:textId="77777777" w:rsidR="00E836FB" w:rsidRDefault="00994958">
            <w:pPr>
              <w:jc w:val="right"/>
              <w:textAlignment w:val="bottom"/>
            </w:pPr>
            <w:r>
              <w:rPr>
                <w:rFonts w:ascii="Arial" w:eastAsia="宋体" w:hAnsi="Arial" w:cs="Arial"/>
                <w:b/>
                <w:bCs/>
                <w:color w:val="000000"/>
                <w:sz w:val="14"/>
                <w:szCs w:val="14"/>
              </w:rPr>
              <w:t>(81)</w:t>
            </w:r>
          </w:p>
        </w:tc>
        <w:tc>
          <w:tcPr>
            <w:tcW w:w="0" w:type="auto"/>
            <w:shd w:val="clear" w:color="auto" w:fill="FFFFFF"/>
            <w:tcMar>
              <w:top w:w="40" w:type="dxa"/>
              <w:left w:w="0" w:type="dxa"/>
              <w:bottom w:w="40" w:type="dxa"/>
              <w:right w:w="20" w:type="dxa"/>
            </w:tcMar>
            <w:vAlign w:val="bottom"/>
          </w:tcPr>
          <w:p w14:paraId="5F2D659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9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95" w14:textId="77777777" w:rsidR="00E836FB" w:rsidRDefault="00994958">
            <w:pPr>
              <w:jc w:val="right"/>
              <w:textAlignment w:val="bottom"/>
            </w:pPr>
            <w:r>
              <w:rPr>
                <w:rFonts w:ascii="Arial" w:eastAsia="宋体" w:hAnsi="Arial" w:cs="Arial"/>
                <w:color w:val="000000"/>
                <w:sz w:val="14"/>
                <w:szCs w:val="14"/>
              </w:rPr>
              <w:t>224 </w:t>
            </w:r>
          </w:p>
        </w:tc>
        <w:tc>
          <w:tcPr>
            <w:tcW w:w="0" w:type="auto"/>
            <w:shd w:val="clear" w:color="auto" w:fill="FFFFFF"/>
            <w:tcMar>
              <w:top w:w="40" w:type="dxa"/>
              <w:left w:w="0" w:type="dxa"/>
              <w:bottom w:w="40" w:type="dxa"/>
              <w:right w:w="20" w:type="dxa"/>
            </w:tcMar>
            <w:vAlign w:val="bottom"/>
          </w:tcPr>
          <w:p w14:paraId="5F2D659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9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98" w14:textId="77777777" w:rsidR="00E836FB" w:rsidRDefault="00994958">
            <w:pPr>
              <w:jc w:val="right"/>
              <w:textAlignment w:val="bottom"/>
            </w:pPr>
            <w:r>
              <w:rPr>
                <w:rFonts w:ascii="Arial" w:eastAsia="宋体" w:hAnsi="Arial" w:cs="Arial"/>
                <w:color w:val="000000"/>
                <w:sz w:val="14"/>
                <w:szCs w:val="14"/>
              </w:rPr>
              <w:t>(450)</w:t>
            </w:r>
          </w:p>
        </w:tc>
        <w:tc>
          <w:tcPr>
            <w:tcW w:w="0" w:type="auto"/>
            <w:shd w:val="clear" w:color="auto" w:fill="FFFFFF"/>
            <w:tcMar>
              <w:top w:w="40" w:type="dxa"/>
              <w:left w:w="0" w:type="dxa"/>
              <w:bottom w:w="40" w:type="dxa"/>
              <w:right w:w="20" w:type="dxa"/>
            </w:tcMar>
            <w:vAlign w:val="bottom"/>
          </w:tcPr>
          <w:p w14:paraId="5F2D659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9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9B" w14:textId="77777777" w:rsidR="00E836FB" w:rsidRDefault="00994958">
            <w:pPr>
              <w:jc w:val="right"/>
              <w:textAlignment w:val="bottom"/>
            </w:pPr>
            <w:r>
              <w:rPr>
                <w:rFonts w:ascii="Arial" w:eastAsia="宋体" w:hAnsi="Arial" w:cs="Arial"/>
                <w:color w:val="000000"/>
                <w:sz w:val="14"/>
                <w:szCs w:val="14"/>
              </w:rPr>
              <w:t>(226)</w:t>
            </w:r>
          </w:p>
        </w:tc>
        <w:tc>
          <w:tcPr>
            <w:tcW w:w="0" w:type="auto"/>
            <w:shd w:val="clear" w:color="auto" w:fill="FFFFFF"/>
            <w:tcMar>
              <w:top w:w="40" w:type="dxa"/>
              <w:left w:w="0" w:type="dxa"/>
              <w:bottom w:w="40" w:type="dxa"/>
              <w:right w:w="20" w:type="dxa"/>
            </w:tcMar>
            <w:vAlign w:val="bottom"/>
          </w:tcPr>
          <w:p w14:paraId="5F2D659C" w14:textId="77777777" w:rsidR="00E836FB" w:rsidRDefault="00E836FB">
            <w:pPr>
              <w:jc w:val="right"/>
              <w:rPr>
                <w:rFonts w:ascii="宋体"/>
              </w:rPr>
            </w:pPr>
          </w:p>
        </w:tc>
      </w:tr>
      <w:tr w:rsidR="00E836FB" w14:paraId="5F2D65B0" w14:textId="77777777">
        <w:tc>
          <w:tcPr>
            <w:tcW w:w="0" w:type="auto"/>
            <w:gridSpan w:val="3"/>
            <w:shd w:val="clear" w:color="auto" w:fill="CCEEFF"/>
            <w:tcMar>
              <w:top w:w="40" w:type="dxa"/>
              <w:left w:w="155" w:type="dxa"/>
              <w:bottom w:w="40" w:type="dxa"/>
              <w:right w:w="20" w:type="dxa"/>
            </w:tcMar>
            <w:vAlign w:val="bottom"/>
          </w:tcPr>
          <w:p w14:paraId="5F2D659E" w14:textId="77777777" w:rsidR="00E836FB" w:rsidRDefault="00994958">
            <w:pPr>
              <w:textAlignment w:val="bottom"/>
            </w:pPr>
            <w:r>
              <w:rPr>
                <w:rFonts w:ascii="Arial" w:eastAsia="宋体" w:hAnsi="Arial" w:cs="Arial"/>
                <w:color w:val="000000"/>
                <w:sz w:val="14"/>
                <w:szCs w:val="14"/>
              </w:rPr>
              <w:t>Non-U.S.</w:t>
            </w:r>
          </w:p>
        </w:tc>
        <w:tc>
          <w:tcPr>
            <w:tcW w:w="0" w:type="auto"/>
            <w:gridSpan w:val="2"/>
            <w:shd w:val="clear" w:color="auto" w:fill="CCEEFF"/>
            <w:tcMar>
              <w:top w:w="40" w:type="dxa"/>
              <w:left w:w="20" w:type="dxa"/>
              <w:bottom w:w="40" w:type="dxa"/>
              <w:right w:w="0" w:type="dxa"/>
            </w:tcMar>
            <w:vAlign w:val="bottom"/>
          </w:tcPr>
          <w:p w14:paraId="5F2D659F" w14:textId="77777777" w:rsidR="00E836FB" w:rsidRDefault="00994958">
            <w:pPr>
              <w:jc w:val="right"/>
              <w:textAlignment w:val="bottom"/>
            </w:pPr>
            <w:r>
              <w:rPr>
                <w:rFonts w:ascii="Arial" w:eastAsia="宋体" w:hAnsi="Arial" w:cs="Arial"/>
                <w:b/>
                <w:bCs/>
                <w:color w:val="000000"/>
                <w:sz w:val="14"/>
                <w:szCs w:val="14"/>
              </w:rPr>
              <w:t>(45)</w:t>
            </w:r>
          </w:p>
        </w:tc>
        <w:tc>
          <w:tcPr>
            <w:tcW w:w="0" w:type="auto"/>
            <w:shd w:val="clear" w:color="auto" w:fill="CCEEFF"/>
            <w:tcMar>
              <w:top w:w="40" w:type="dxa"/>
              <w:left w:w="0" w:type="dxa"/>
              <w:bottom w:w="40" w:type="dxa"/>
              <w:right w:w="20" w:type="dxa"/>
            </w:tcMar>
            <w:vAlign w:val="bottom"/>
          </w:tcPr>
          <w:p w14:paraId="5F2D65A0"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A1"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A2" w14:textId="77777777" w:rsidR="00E836FB" w:rsidRDefault="00994958">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5A3"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A4"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A5" w14:textId="77777777" w:rsidR="00E836FB" w:rsidRDefault="00994958">
            <w:pPr>
              <w:jc w:val="right"/>
              <w:textAlignment w:val="bottom"/>
            </w:pPr>
            <w:r>
              <w:rPr>
                <w:rFonts w:ascii="Arial" w:eastAsia="宋体" w:hAnsi="Arial" w:cs="Arial"/>
                <w:b/>
                <w:bCs/>
                <w:color w:val="000000"/>
                <w:sz w:val="14"/>
                <w:szCs w:val="14"/>
              </w:rPr>
              <w:t>(42)</w:t>
            </w:r>
          </w:p>
        </w:tc>
        <w:tc>
          <w:tcPr>
            <w:tcW w:w="0" w:type="auto"/>
            <w:shd w:val="clear" w:color="auto" w:fill="CCEEFF"/>
            <w:tcMar>
              <w:top w:w="40" w:type="dxa"/>
              <w:left w:w="0" w:type="dxa"/>
              <w:bottom w:w="40" w:type="dxa"/>
              <w:right w:w="20" w:type="dxa"/>
            </w:tcMar>
            <w:vAlign w:val="bottom"/>
          </w:tcPr>
          <w:p w14:paraId="5F2D65A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A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A8" w14:textId="77777777" w:rsidR="00E836FB" w:rsidRDefault="00994958">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5F2D65A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A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AB" w14:textId="77777777" w:rsidR="00E836FB" w:rsidRDefault="00994958">
            <w:pPr>
              <w:jc w:val="right"/>
              <w:textAlignment w:val="bottom"/>
            </w:pPr>
            <w:r>
              <w:rPr>
                <w:rFonts w:ascii="Arial" w:eastAsia="宋体" w:hAnsi="Arial" w:cs="Arial"/>
                <w:color w:val="000000"/>
                <w:sz w:val="14"/>
                <w:szCs w:val="14"/>
              </w:rPr>
              <w:t>(370)</w:t>
            </w:r>
          </w:p>
        </w:tc>
        <w:tc>
          <w:tcPr>
            <w:tcW w:w="0" w:type="auto"/>
            <w:shd w:val="clear" w:color="auto" w:fill="CCEEFF"/>
            <w:tcMar>
              <w:top w:w="40" w:type="dxa"/>
              <w:left w:w="0" w:type="dxa"/>
              <w:bottom w:w="40" w:type="dxa"/>
              <w:right w:w="20" w:type="dxa"/>
            </w:tcMar>
            <w:vAlign w:val="bottom"/>
          </w:tcPr>
          <w:p w14:paraId="5F2D65A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A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AE" w14:textId="77777777" w:rsidR="00E836FB" w:rsidRDefault="00994958">
            <w:pPr>
              <w:jc w:val="right"/>
              <w:textAlignment w:val="bottom"/>
            </w:pPr>
            <w:r>
              <w:rPr>
                <w:rFonts w:ascii="Arial" w:eastAsia="宋体" w:hAnsi="Arial" w:cs="Arial"/>
                <w:color w:val="000000"/>
                <w:sz w:val="14"/>
                <w:szCs w:val="14"/>
              </w:rPr>
              <w:t>(355)</w:t>
            </w:r>
          </w:p>
        </w:tc>
        <w:tc>
          <w:tcPr>
            <w:tcW w:w="0" w:type="auto"/>
            <w:shd w:val="clear" w:color="auto" w:fill="CCEEFF"/>
            <w:tcMar>
              <w:top w:w="40" w:type="dxa"/>
              <w:left w:w="0" w:type="dxa"/>
              <w:bottom w:w="40" w:type="dxa"/>
              <w:right w:w="20" w:type="dxa"/>
            </w:tcMar>
            <w:vAlign w:val="bottom"/>
          </w:tcPr>
          <w:p w14:paraId="5F2D65AF" w14:textId="77777777" w:rsidR="00E836FB" w:rsidRDefault="00E836FB">
            <w:pPr>
              <w:jc w:val="right"/>
              <w:rPr>
                <w:rFonts w:ascii="宋体"/>
              </w:rPr>
            </w:pPr>
          </w:p>
        </w:tc>
      </w:tr>
      <w:tr w:rsidR="00E836FB" w14:paraId="5F2D65C3" w14:textId="77777777">
        <w:tc>
          <w:tcPr>
            <w:tcW w:w="0" w:type="auto"/>
            <w:gridSpan w:val="3"/>
            <w:shd w:val="clear" w:color="auto" w:fill="FFFFFF"/>
            <w:tcMar>
              <w:top w:w="40" w:type="dxa"/>
              <w:left w:w="20" w:type="dxa"/>
              <w:bottom w:w="40" w:type="dxa"/>
              <w:right w:w="20" w:type="dxa"/>
            </w:tcMar>
            <w:vAlign w:val="bottom"/>
          </w:tcPr>
          <w:p w14:paraId="5F2D65B1" w14:textId="77777777" w:rsidR="00E836FB" w:rsidRDefault="00994958">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5F2D65B2" w14:textId="77777777" w:rsidR="00E836FB" w:rsidRDefault="00994958">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5F2D65B3"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B4"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B5"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F2D65B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B7"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B8" w14:textId="77777777" w:rsidR="00E836FB" w:rsidRDefault="00994958">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5F2D65B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B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BB" w14:textId="77777777" w:rsidR="00E836FB" w:rsidRDefault="00994958">
            <w:pPr>
              <w:jc w:val="right"/>
              <w:textAlignment w:val="bottom"/>
            </w:pPr>
            <w:r>
              <w:rPr>
                <w:rFonts w:ascii="Arial" w:eastAsia="宋体" w:hAnsi="Arial" w:cs="Arial"/>
                <w:color w:val="000000"/>
                <w:sz w:val="14"/>
                <w:szCs w:val="14"/>
              </w:rPr>
              <w:t>19 </w:t>
            </w:r>
          </w:p>
        </w:tc>
        <w:tc>
          <w:tcPr>
            <w:tcW w:w="0" w:type="auto"/>
            <w:shd w:val="clear" w:color="auto" w:fill="FFFFFF"/>
            <w:tcMar>
              <w:top w:w="40" w:type="dxa"/>
              <w:left w:w="0" w:type="dxa"/>
              <w:bottom w:w="40" w:type="dxa"/>
              <w:right w:w="20" w:type="dxa"/>
            </w:tcMar>
            <w:vAlign w:val="bottom"/>
          </w:tcPr>
          <w:p w14:paraId="5F2D65B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B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BE" w14:textId="77777777" w:rsidR="00E836FB" w:rsidRDefault="00994958">
            <w:pPr>
              <w:jc w:val="right"/>
              <w:textAlignment w:val="bottom"/>
            </w:pPr>
            <w:r>
              <w:rPr>
                <w:rFonts w:ascii="Arial" w:eastAsia="宋体" w:hAnsi="Arial" w:cs="Arial"/>
                <w:color w:val="000000"/>
                <w:sz w:val="14"/>
                <w:szCs w:val="14"/>
              </w:rPr>
              <w:t>(46)</w:t>
            </w:r>
          </w:p>
        </w:tc>
        <w:tc>
          <w:tcPr>
            <w:tcW w:w="0" w:type="auto"/>
            <w:shd w:val="clear" w:color="auto" w:fill="FFFFFF"/>
            <w:tcMar>
              <w:top w:w="40" w:type="dxa"/>
              <w:left w:w="0" w:type="dxa"/>
              <w:bottom w:w="40" w:type="dxa"/>
              <w:right w:w="20" w:type="dxa"/>
            </w:tcMar>
            <w:vAlign w:val="bottom"/>
          </w:tcPr>
          <w:p w14:paraId="5F2D65B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C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C1" w14:textId="77777777" w:rsidR="00E836FB" w:rsidRDefault="00994958">
            <w:pPr>
              <w:jc w:val="right"/>
              <w:textAlignment w:val="bottom"/>
            </w:pPr>
            <w:r>
              <w:rPr>
                <w:rFonts w:ascii="Arial" w:eastAsia="宋体" w:hAnsi="Arial" w:cs="Arial"/>
                <w:color w:val="000000"/>
                <w:sz w:val="14"/>
                <w:szCs w:val="14"/>
              </w:rPr>
              <w:t>(27)</w:t>
            </w:r>
          </w:p>
        </w:tc>
        <w:tc>
          <w:tcPr>
            <w:tcW w:w="0" w:type="auto"/>
            <w:shd w:val="clear" w:color="auto" w:fill="FFFFFF"/>
            <w:tcMar>
              <w:top w:w="40" w:type="dxa"/>
              <w:left w:w="0" w:type="dxa"/>
              <w:bottom w:w="40" w:type="dxa"/>
              <w:right w:w="20" w:type="dxa"/>
            </w:tcMar>
            <w:vAlign w:val="bottom"/>
          </w:tcPr>
          <w:p w14:paraId="5F2D65C2" w14:textId="77777777" w:rsidR="00E836FB" w:rsidRDefault="00E836FB">
            <w:pPr>
              <w:jc w:val="right"/>
              <w:rPr>
                <w:rFonts w:ascii="宋体"/>
              </w:rPr>
            </w:pPr>
          </w:p>
        </w:tc>
      </w:tr>
      <w:tr w:rsidR="00E836FB" w14:paraId="5F2D65D6" w14:textId="77777777">
        <w:tc>
          <w:tcPr>
            <w:tcW w:w="0" w:type="auto"/>
            <w:gridSpan w:val="3"/>
            <w:shd w:val="clear" w:color="auto" w:fill="CCEEFF"/>
            <w:tcMar>
              <w:top w:w="40" w:type="dxa"/>
              <w:left w:w="20" w:type="dxa"/>
              <w:bottom w:w="40" w:type="dxa"/>
              <w:right w:w="20" w:type="dxa"/>
            </w:tcMar>
            <w:vAlign w:val="bottom"/>
          </w:tcPr>
          <w:p w14:paraId="5F2D65C4" w14:textId="77777777" w:rsidR="00E836FB" w:rsidRDefault="00994958">
            <w:pPr>
              <w:textAlignment w:val="bottom"/>
            </w:pPr>
            <w:r>
              <w:rPr>
                <w:rFonts w:ascii="Arial" w:eastAsia="宋体" w:hAnsi="Arial" w:cs="Arial"/>
                <w:color w:val="000000"/>
                <w:sz w:val="14"/>
                <w:szCs w:val="14"/>
              </w:rPr>
              <w:t>Short-term borrowings under money</w:t>
            </w:r>
            <w:r>
              <w:rPr>
                <w:rFonts w:ascii="Arial" w:eastAsia="宋体" w:hAnsi="Arial" w:cs="Arial"/>
                <w:color w:val="000000"/>
                <w:sz w:val="14"/>
                <w:szCs w:val="14"/>
              </w:rPr>
              <w:br/>
              <w:t>market liquidity facility</w:t>
            </w:r>
          </w:p>
        </w:tc>
        <w:tc>
          <w:tcPr>
            <w:tcW w:w="0" w:type="auto"/>
            <w:gridSpan w:val="2"/>
            <w:shd w:val="clear" w:color="auto" w:fill="CCEEFF"/>
            <w:tcMar>
              <w:top w:w="40" w:type="dxa"/>
              <w:left w:w="20" w:type="dxa"/>
              <w:bottom w:w="40" w:type="dxa"/>
              <w:right w:w="0" w:type="dxa"/>
            </w:tcMar>
            <w:vAlign w:val="bottom"/>
          </w:tcPr>
          <w:p w14:paraId="5F2D65C5" w14:textId="77777777" w:rsidR="00E836FB" w:rsidRDefault="00994958">
            <w:pPr>
              <w:jc w:val="right"/>
              <w:textAlignment w:val="bottom"/>
            </w:pPr>
            <w:r>
              <w:rPr>
                <w:rFonts w:ascii="Arial" w:eastAsia="宋体" w:hAnsi="Arial" w:cs="Arial"/>
                <w:b/>
                <w:bCs/>
                <w:color w:val="000000"/>
                <w:sz w:val="14"/>
                <w:szCs w:val="14"/>
              </w:rPr>
              <w:t>(96)</w:t>
            </w:r>
          </w:p>
        </w:tc>
        <w:tc>
          <w:tcPr>
            <w:tcW w:w="0" w:type="auto"/>
            <w:shd w:val="clear" w:color="auto" w:fill="CCEEFF"/>
            <w:tcMar>
              <w:top w:w="40" w:type="dxa"/>
              <w:left w:w="0" w:type="dxa"/>
              <w:bottom w:w="40" w:type="dxa"/>
              <w:right w:w="20" w:type="dxa"/>
            </w:tcMar>
            <w:vAlign w:val="bottom"/>
          </w:tcPr>
          <w:p w14:paraId="5F2D65C6"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C7"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C8" w14:textId="77777777" w:rsidR="00E836FB" w:rsidRDefault="00994958">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F2D65C9"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CA"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CB" w14:textId="77777777" w:rsidR="00E836FB" w:rsidRDefault="00994958">
            <w:pPr>
              <w:jc w:val="right"/>
              <w:textAlignment w:val="bottom"/>
            </w:pPr>
            <w:r>
              <w:rPr>
                <w:rFonts w:ascii="Arial" w:eastAsia="宋体" w:hAnsi="Arial" w:cs="Arial"/>
                <w:b/>
                <w:bCs/>
                <w:color w:val="000000"/>
                <w:sz w:val="14"/>
                <w:szCs w:val="14"/>
              </w:rPr>
              <w:t>(97)</w:t>
            </w:r>
          </w:p>
        </w:tc>
        <w:tc>
          <w:tcPr>
            <w:tcW w:w="0" w:type="auto"/>
            <w:shd w:val="clear" w:color="auto" w:fill="CCEEFF"/>
            <w:tcMar>
              <w:top w:w="40" w:type="dxa"/>
              <w:left w:w="0" w:type="dxa"/>
              <w:bottom w:w="40" w:type="dxa"/>
              <w:right w:w="20" w:type="dxa"/>
            </w:tcMar>
            <w:vAlign w:val="bottom"/>
          </w:tcPr>
          <w:p w14:paraId="5F2D65C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C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CE" w14:textId="77777777" w:rsidR="00E836FB" w:rsidRDefault="00994958">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F2D65C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D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D1" w14:textId="77777777" w:rsidR="00E836FB" w:rsidRDefault="00994958">
            <w:pPr>
              <w:jc w:val="right"/>
              <w:textAlignment w:val="bottom"/>
            </w:pPr>
            <w:r>
              <w:rPr>
                <w:rFonts w:ascii="Arial" w:eastAsia="宋体" w:hAnsi="Arial" w:cs="Arial"/>
                <w:color w:val="000000"/>
                <w:sz w:val="14"/>
                <w:szCs w:val="14"/>
              </w:rPr>
              <w:t>101 </w:t>
            </w:r>
          </w:p>
        </w:tc>
        <w:tc>
          <w:tcPr>
            <w:tcW w:w="0" w:type="auto"/>
            <w:shd w:val="clear" w:color="auto" w:fill="CCEEFF"/>
            <w:tcMar>
              <w:top w:w="40" w:type="dxa"/>
              <w:left w:w="0" w:type="dxa"/>
              <w:bottom w:w="40" w:type="dxa"/>
              <w:right w:w="20" w:type="dxa"/>
            </w:tcMar>
            <w:vAlign w:val="bottom"/>
          </w:tcPr>
          <w:p w14:paraId="5F2D65D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D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D4" w14:textId="77777777" w:rsidR="00E836FB" w:rsidRDefault="00994958">
            <w:pPr>
              <w:jc w:val="right"/>
              <w:textAlignment w:val="bottom"/>
            </w:pPr>
            <w:r>
              <w:rPr>
                <w:rFonts w:ascii="Arial" w:eastAsia="宋体" w:hAnsi="Arial" w:cs="Arial"/>
                <w:color w:val="000000"/>
                <w:sz w:val="14"/>
                <w:szCs w:val="14"/>
              </w:rPr>
              <w:t>101 </w:t>
            </w:r>
          </w:p>
        </w:tc>
        <w:tc>
          <w:tcPr>
            <w:tcW w:w="0" w:type="auto"/>
            <w:shd w:val="clear" w:color="auto" w:fill="CCEEFF"/>
            <w:tcMar>
              <w:top w:w="40" w:type="dxa"/>
              <w:left w:w="0" w:type="dxa"/>
              <w:bottom w:w="40" w:type="dxa"/>
              <w:right w:w="20" w:type="dxa"/>
            </w:tcMar>
            <w:vAlign w:val="bottom"/>
          </w:tcPr>
          <w:p w14:paraId="5F2D65D5" w14:textId="77777777" w:rsidR="00E836FB" w:rsidRDefault="00E836FB">
            <w:pPr>
              <w:jc w:val="right"/>
              <w:rPr>
                <w:rFonts w:ascii="宋体"/>
              </w:rPr>
            </w:pPr>
          </w:p>
        </w:tc>
      </w:tr>
      <w:tr w:rsidR="00E836FB" w14:paraId="5F2D65E9" w14:textId="77777777">
        <w:tc>
          <w:tcPr>
            <w:tcW w:w="0" w:type="auto"/>
            <w:gridSpan w:val="3"/>
            <w:shd w:val="clear" w:color="auto" w:fill="FFFFFF"/>
            <w:tcMar>
              <w:top w:w="40" w:type="dxa"/>
              <w:left w:w="20" w:type="dxa"/>
              <w:bottom w:w="40" w:type="dxa"/>
              <w:right w:w="20" w:type="dxa"/>
            </w:tcMar>
            <w:vAlign w:val="bottom"/>
          </w:tcPr>
          <w:p w14:paraId="5F2D65D7" w14:textId="77777777" w:rsidR="00E836FB" w:rsidRDefault="00994958">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5F2D65D8" w14:textId="77777777" w:rsidR="00E836FB" w:rsidRDefault="00994958">
            <w:pPr>
              <w:jc w:val="right"/>
              <w:textAlignment w:val="bottom"/>
            </w:pPr>
            <w:r>
              <w:rPr>
                <w:rFonts w:ascii="Arial" w:eastAsia="宋体" w:hAnsi="Arial" w:cs="Arial"/>
                <w:b/>
                <w:bCs/>
                <w:color w:val="000000"/>
                <w:sz w:val="14"/>
                <w:szCs w:val="14"/>
              </w:rPr>
              <w:t>(11)</w:t>
            </w:r>
          </w:p>
        </w:tc>
        <w:tc>
          <w:tcPr>
            <w:tcW w:w="0" w:type="auto"/>
            <w:shd w:val="clear" w:color="auto" w:fill="FFFFFF"/>
            <w:tcMar>
              <w:top w:w="40" w:type="dxa"/>
              <w:left w:w="0" w:type="dxa"/>
              <w:bottom w:w="40" w:type="dxa"/>
              <w:right w:w="20" w:type="dxa"/>
            </w:tcMar>
            <w:vAlign w:val="bottom"/>
          </w:tcPr>
          <w:p w14:paraId="5F2D65D9"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DA"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DB" w14:textId="77777777" w:rsidR="00E836FB" w:rsidRDefault="00994958">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left w:w="0" w:type="dxa"/>
              <w:bottom w:w="40" w:type="dxa"/>
              <w:right w:w="20" w:type="dxa"/>
            </w:tcMar>
            <w:vAlign w:val="bottom"/>
          </w:tcPr>
          <w:p w14:paraId="5F2D65DC"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DD"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DE" w14:textId="77777777" w:rsidR="00E836FB" w:rsidRDefault="00994958">
            <w:pPr>
              <w:jc w:val="right"/>
              <w:textAlignment w:val="bottom"/>
            </w:pPr>
            <w:r>
              <w:rPr>
                <w:rFonts w:ascii="Arial" w:eastAsia="宋体" w:hAnsi="Arial" w:cs="Arial"/>
                <w:b/>
                <w:bCs/>
                <w:color w:val="000000"/>
                <w:sz w:val="14"/>
                <w:szCs w:val="14"/>
              </w:rPr>
              <w:t>(16)</w:t>
            </w:r>
          </w:p>
        </w:tc>
        <w:tc>
          <w:tcPr>
            <w:tcW w:w="0" w:type="auto"/>
            <w:shd w:val="clear" w:color="auto" w:fill="FFFFFF"/>
            <w:tcMar>
              <w:top w:w="40" w:type="dxa"/>
              <w:left w:w="0" w:type="dxa"/>
              <w:bottom w:w="40" w:type="dxa"/>
              <w:right w:w="20" w:type="dxa"/>
            </w:tcMar>
            <w:vAlign w:val="bottom"/>
          </w:tcPr>
          <w:p w14:paraId="5F2D65D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E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E1" w14:textId="77777777" w:rsidR="00E836FB" w:rsidRDefault="00994958">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5F2D65E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E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E4" w14:textId="77777777" w:rsidR="00E836FB" w:rsidRDefault="00994958">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5F2D65E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5E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5E7" w14:textId="77777777" w:rsidR="00E836FB" w:rsidRDefault="00994958">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5F2D65E8" w14:textId="77777777" w:rsidR="00E836FB" w:rsidRDefault="00E836FB">
            <w:pPr>
              <w:jc w:val="right"/>
              <w:rPr>
                <w:rFonts w:ascii="宋体"/>
              </w:rPr>
            </w:pPr>
          </w:p>
        </w:tc>
      </w:tr>
      <w:tr w:rsidR="00E836FB" w14:paraId="5F2D65FC" w14:textId="77777777">
        <w:tc>
          <w:tcPr>
            <w:tcW w:w="0" w:type="auto"/>
            <w:gridSpan w:val="3"/>
            <w:shd w:val="clear" w:color="auto" w:fill="CCEEFF"/>
            <w:tcMar>
              <w:top w:w="40" w:type="dxa"/>
              <w:left w:w="20" w:type="dxa"/>
              <w:bottom w:w="40" w:type="dxa"/>
              <w:right w:w="20" w:type="dxa"/>
            </w:tcMar>
            <w:vAlign w:val="bottom"/>
          </w:tcPr>
          <w:p w14:paraId="5F2D65EA" w14:textId="77777777" w:rsidR="00E836FB" w:rsidRDefault="00994958">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5F2D65EB" w14:textId="77777777" w:rsidR="00E836FB" w:rsidRDefault="00994958">
            <w:pPr>
              <w:jc w:val="right"/>
              <w:textAlignment w:val="bottom"/>
            </w:pPr>
            <w:r>
              <w:rPr>
                <w:rFonts w:ascii="Arial" w:eastAsia="宋体" w:hAnsi="Arial" w:cs="Arial"/>
                <w:b/>
                <w:bCs/>
                <w:color w:val="000000"/>
                <w:sz w:val="14"/>
                <w:szCs w:val="14"/>
              </w:rPr>
              <w:t>(21)</w:t>
            </w:r>
          </w:p>
        </w:tc>
        <w:tc>
          <w:tcPr>
            <w:tcW w:w="0" w:type="auto"/>
            <w:shd w:val="clear" w:color="auto" w:fill="CCEEFF"/>
            <w:tcMar>
              <w:top w:w="40" w:type="dxa"/>
              <w:left w:w="0" w:type="dxa"/>
              <w:bottom w:w="40" w:type="dxa"/>
              <w:right w:w="20" w:type="dxa"/>
            </w:tcMar>
            <w:vAlign w:val="bottom"/>
          </w:tcPr>
          <w:p w14:paraId="5F2D65EC"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ED"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EE" w14:textId="77777777" w:rsidR="00E836FB" w:rsidRDefault="00994958">
            <w:pPr>
              <w:jc w:val="right"/>
              <w:textAlignment w:val="bottom"/>
            </w:pPr>
            <w:r>
              <w:rPr>
                <w:rFonts w:ascii="Arial" w:eastAsia="宋体" w:hAnsi="Arial" w:cs="Arial"/>
                <w:b/>
                <w:bCs/>
                <w:color w:val="000000"/>
                <w:sz w:val="14"/>
                <w:szCs w:val="14"/>
              </w:rPr>
              <w:t>(72)</w:t>
            </w:r>
          </w:p>
        </w:tc>
        <w:tc>
          <w:tcPr>
            <w:tcW w:w="0" w:type="auto"/>
            <w:shd w:val="clear" w:color="auto" w:fill="CCEEFF"/>
            <w:tcMar>
              <w:top w:w="40" w:type="dxa"/>
              <w:left w:w="0" w:type="dxa"/>
              <w:bottom w:w="40" w:type="dxa"/>
              <w:right w:w="20" w:type="dxa"/>
            </w:tcMar>
            <w:vAlign w:val="bottom"/>
          </w:tcPr>
          <w:p w14:paraId="5F2D65EF"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F0"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F1" w14:textId="77777777" w:rsidR="00E836FB" w:rsidRDefault="00994958">
            <w:pPr>
              <w:jc w:val="right"/>
              <w:textAlignment w:val="bottom"/>
            </w:pPr>
            <w:r>
              <w:rPr>
                <w:rFonts w:ascii="Arial" w:eastAsia="宋体" w:hAnsi="Arial" w:cs="Arial"/>
                <w:b/>
                <w:bCs/>
                <w:color w:val="000000"/>
                <w:sz w:val="14"/>
                <w:szCs w:val="14"/>
              </w:rPr>
              <w:t>(93)</w:t>
            </w:r>
          </w:p>
        </w:tc>
        <w:tc>
          <w:tcPr>
            <w:tcW w:w="0" w:type="auto"/>
            <w:shd w:val="clear" w:color="auto" w:fill="CCEEFF"/>
            <w:tcMar>
              <w:top w:w="40" w:type="dxa"/>
              <w:left w:w="0" w:type="dxa"/>
              <w:bottom w:w="40" w:type="dxa"/>
              <w:right w:w="20" w:type="dxa"/>
            </w:tcMar>
            <w:vAlign w:val="bottom"/>
          </w:tcPr>
          <w:p w14:paraId="5F2D65F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F3"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F4" w14:textId="77777777" w:rsidR="00E836FB" w:rsidRDefault="00994958">
            <w:pPr>
              <w:jc w:val="right"/>
              <w:textAlignment w:val="bottom"/>
            </w:pPr>
            <w:r>
              <w:rPr>
                <w:rFonts w:ascii="Arial" w:eastAsia="宋体" w:hAnsi="Arial" w:cs="Arial"/>
                <w:color w:val="000000"/>
                <w:sz w:val="14"/>
                <w:szCs w:val="14"/>
              </w:rPr>
              <w:t>105 </w:t>
            </w:r>
          </w:p>
        </w:tc>
        <w:tc>
          <w:tcPr>
            <w:tcW w:w="0" w:type="auto"/>
            <w:shd w:val="clear" w:color="auto" w:fill="CCEEFF"/>
            <w:tcMar>
              <w:top w:w="40" w:type="dxa"/>
              <w:left w:w="0" w:type="dxa"/>
              <w:bottom w:w="40" w:type="dxa"/>
              <w:right w:w="20" w:type="dxa"/>
            </w:tcMar>
            <w:vAlign w:val="bottom"/>
          </w:tcPr>
          <w:p w14:paraId="5F2D65F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F6"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F7" w14:textId="77777777" w:rsidR="00E836FB" w:rsidRDefault="00994958">
            <w:pPr>
              <w:jc w:val="right"/>
              <w:textAlignment w:val="bottom"/>
            </w:pPr>
            <w:r>
              <w:rPr>
                <w:rFonts w:ascii="Arial" w:eastAsia="宋体" w:hAnsi="Arial" w:cs="Arial"/>
                <w:color w:val="000000"/>
                <w:sz w:val="14"/>
                <w:szCs w:val="14"/>
              </w:rPr>
              <w:t>(207)</w:t>
            </w:r>
          </w:p>
        </w:tc>
        <w:tc>
          <w:tcPr>
            <w:tcW w:w="0" w:type="auto"/>
            <w:shd w:val="clear" w:color="auto" w:fill="CCEEFF"/>
            <w:tcMar>
              <w:top w:w="40" w:type="dxa"/>
              <w:left w:w="0" w:type="dxa"/>
              <w:bottom w:w="40" w:type="dxa"/>
              <w:right w:w="20" w:type="dxa"/>
            </w:tcMar>
            <w:vAlign w:val="bottom"/>
          </w:tcPr>
          <w:p w14:paraId="5F2D65F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5F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5FA" w14:textId="77777777" w:rsidR="00E836FB" w:rsidRDefault="00994958">
            <w:pPr>
              <w:jc w:val="right"/>
              <w:textAlignment w:val="bottom"/>
            </w:pPr>
            <w:r>
              <w:rPr>
                <w:rFonts w:ascii="Arial" w:eastAsia="宋体" w:hAnsi="Arial" w:cs="Arial"/>
                <w:color w:val="000000"/>
                <w:sz w:val="14"/>
                <w:szCs w:val="14"/>
              </w:rPr>
              <w:t>(102)</w:t>
            </w:r>
          </w:p>
        </w:tc>
        <w:tc>
          <w:tcPr>
            <w:tcW w:w="0" w:type="auto"/>
            <w:shd w:val="clear" w:color="auto" w:fill="CCEEFF"/>
            <w:tcMar>
              <w:top w:w="40" w:type="dxa"/>
              <w:left w:w="0" w:type="dxa"/>
              <w:bottom w:w="40" w:type="dxa"/>
              <w:right w:w="20" w:type="dxa"/>
            </w:tcMar>
            <w:vAlign w:val="bottom"/>
          </w:tcPr>
          <w:p w14:paraId="5F2D65FB" w14:textId="77777777" w:rsidR="00E836FB" w:rsidRDefault="00E836FB">
            <w:pPr>
              <w:jc w:val="right"/>
              <w:rPr>
                <w:rFonts w:ascii="宋体"/>
              </w:rPr>
            </w:pPr>
          </w:p>
        </w:tc>
      </w:tr>
      <w:tr w:rsidR="00E836FB" w14:paraId="5F2D660F" w14:textId="77777777">
        <w:tc>
          <w:tcPr>
            <w:tcW w:w="0" w:type="auto"/>
            <w:gridSpan w:val="3"/>
            <w:shd w:val="clear" w:color="auto" w:fill="FFFFFF"/>
            <w:tcMar>
              <w:top w:w="40" w:type="dxa"/>
              <w:left w:w="20" w:type="dxa"/>
              <w:bottom w:w="40" w:type="dxa"/>
              <w:right w:w="20" w:type="dxa"/>
            </w:tcMar>
            <w:vAlign w:val="bottom"/>
          </w:tcPr>
          <w:p w14:paraId="5F2D65FD" w14:textId="77777777" w:rsidR="00E836FB" w:rsidRDefault="00994958">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5F2D65FE" w14:textId="77777777" w:rsidR="00E836FB" w:rsidRDefault="00994958">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F2D65FF"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00"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601" w14:textId="77777777" w:rsidR="00E836FB" w:rsidRDefault="00994958">
            <w:pPr>
              <w:jc w:val="right"/>
              <w:textAlignment w:val="bottom"/>
            </w:pPr>
            <w:r>
              <w:rPr>
                <w:rFonts w:ascii="Arial" w:eastAsia="宋体" w:hAnsi="Arial" w:cs="Arial"/>
                <w:b/>
                <w:bCs/>
                <w:color w:val="000000"/>
                <w:sz w:val="14"/>
                <w:szCs w:val="14"/>
              </w:rPr>
              <w:t>(58)</w:t>
            </w:r>
          </w:p>
        </w:tc>
        <w:tc>
          <w:tcPr>
            <w:tcW w:w="0" w:type="auto"/>
            <w:shd w:val="clear" w:color="auto" w:fill="FFFFFF"/>
            <w:tcMar>
              <w:top w:w="40" w:type="dxa"/>
              <w:left w:w="0" w:type="dxa"/>
              <w:bottom w:w="40" w:type="dxa"/>
              <w:right w:w="20" w:type="dxa"/>
            </w:tcMar>
            <w:vAlign w:val="bottom"/>
          </w:tcPr>
          <w:p w14:paraId="5F2D660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03"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604" w14:textId="77777777" w:rsidR="00E836FB" w:rsidRDefault="00994958">
            <w:pPr>
              <w:jc w:val="right"/>
              <w:textAlignment w:val="bottom"/>
            </w:pPr>
            <w:r>
              <w:rPr>
                <w:rFonts w:ascii="Arial" w:eastAsia="宋体" w:hAnsi="Arial" w:cs="Arial"/>
                <w:b/>
                <w:bCs/>
                <w:color w:val="000000"/>
                <w:sz w:val="14"/>
                <w:szCs w:val="14"/>
              </w:rPr>
              <w:t>(16)</w:t>
            </w:r>
          </w:p>
        </w:tc>
        <w:tc>
          <w:tcPr>
            <w:tcW w:w="0" w:type="auto"/>
            <w:shd w:val="clear" w:color="auto" w:fill="FFFFFF"/>
            <w:tcMar>
              <w:top w:w="40" w:type="dxa"/>
              <w:left w:w="0" w:type="dxa"/>
              <w:bottom w:w="40" w:type="dxa"/>
              <w:right w:w="20" w:type="dxa"/>
            </w:tcMar>
            <w:vAlign w:val="bottom"/>
          </w:tcPr>
          <w:p w14:paraId="5F2D6605"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06"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607" w14:textId="77777777" w:rsidR="00E836FB" w:rsidRDefault="00994958">
            <w:pPr>
              <w:jc w:val="right"/>
              <w:textAlignment w:val="bottom"/>
            </w:pPr>
            <w:r>
              <w:rPr>
                <w:rFonts w:ascii="Arial" w:eastAsia="宋体" w:hAnsi="Arial" w:cs="Arial"/>
                <w:color w:val="000000"/>
                <w:sz w:val="14"/>
                <w:szCs w:val="14"/>
              </w:rPr>
              <w:t>(56)</w:t>
            </w:r>
          </w:p>
        </w:tc>
        <w:tc>
          <w:tcPr>
            <w:tcW w:w="0" w:type="auto"/>
            <w:shd w:val="clear" w:color="auto" w:fill="FFFFFF"/>
            <w:tcMar>
              <w:top w:w="40" w:type="dxa"/>
              <w:left w:w="0" w:type="dxa"/>
              <w:bottom w:w="40" w:type="dxa"/>
              <w:right w:w="20" w:type="dxa"/>
            </w:tcMar>
            <w:vAlign w:val="bottom"/>
          </w:tcPr>
          <w:p w14:paraId="5F2D6608"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09"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60A" w14:textId="77777777" w:rsidR="00E836FB" w:rsidRDefault="00994958">
            <w:pPr>
              <w:jc w:val="right"/>
              <w:textAlignment w:val="bottom"/>
            </w:pPr>
            <w:r>
              <w:rPr>
                <w:rFonts w:ascii="Arial" w:eastAsia="宋体" w:hAnsi="Arial" w:cs="Arial"/>
                <w:color w:val="000000"/>
                <w:sz w:val="14"/>
                <w:szCs w:val="14"/>
              </w:rPr>
              <w:t>(133)</w:t>
            </w:r>
          </w:p>
        </w:tc>
        <w:tc>
          <w:tcPr>
            <w:tcW w:w="0" w:type="auto"/>
            <w:shd w:val="clear" w:color="auto" w:fill="FFFFFF"/>
            <w:tcMar>
              <w:top w:w="40" w:type="dxa"/>
              <w:left w:w="0" w:type="dxa"/>
              <w:bottom w:w="40" w:type="dxa"/>
              <w:right w:w="20" w:type="dxa"/>
            </w:tcMar>
            <w:vAlign w:val="bottom"/>
          </w:tcPr>
          <w:p w14:paraId="5F2D660B"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0C"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60D" w14:textId="77777777" w:rsidR="00E836FB" w:rsidRDefault="00994958">
            <w:pPr>
              <w:jc w:val="right"/>
              <w:textAlignment w:val="bottom"/>
            </w:pPr>
            <w:r>
              <w:rPr>
                <w:rFonts w:ascii="Arial" w:eastAsia="宋体" w:hAnsi="Arial" w:cs="Arial"/>
                <w:color w:val="000000"/>
                <w:sz w:val="14"/>
                <w:szCs w:val="14"/>
              </w:rPr>
              <w:t>(189)</w:t>
            </w:r>
          </w:p>
        </w:tc>
        <w:tc>
          <w:tcPr>
            <w:tcW w:w="0" w:type="auto"/>
            <w:shd w:val="clear" w:color="auto" w:fill="FFFFFF"/>
            <w:tcMar>
              <w:top w:w="40" w:type="dxa"/>
              <w:left w:w="0" w:type="dxa"/>
              <w:bottom w:w="40" w:type="dxa"/>
              <w:right w:w="20" w:type="dxa"/>
            </w:tcMar>
            <w:vAlign w:val="bottom"/>
          </w:tcPr>
          <w:p w14:paraId="5F2D660E" w14:textId="77777777" w:rsidR="00E836FB" w:rsidRDefault="00E836FB">
            <w:pPr>
              <w:jc w:val="right"/>
              <w:rPr>
                <w:rFonts w:ascii="宋体"/>
              </w:rPr>
            </w:pPr>
          </w:p>
        </w:tc>
      </w:tr>
      <w:tr w:rsidR="00E836FB" w14:paraId="5F2D6622" w14:textId="77777777">
        <w:tc>
          <w:tcPr>
            <w:tcW w:w="0" w:type="auto"/>
            <w:gridSpan w:val="3"/>
            <w:shd w:val="clear" w:color="auto" w:fill="CCEEFF"/>
            <w:tcMar>
              <w:top w:w="40" w:type="dxa"/>
              <w:left w:w="20" w:type="dxa"/>
              <w:bottom w:w="40" w:type="dxa"/>
              <w:right w:w="20" w:type="dxa"/>
            </w:tcMar>
            <w:vAlign w:val="bottom"/>
          </w:tcPr>
          <w:p w14:paraId="5F2D6610" w14:textId="77777777" w:rsidR="00E836FB" w:rsidRDefault="00994958">
            <w:pPr>
              <w:textAlignment w:val="bottom"/>
            </w:pPr>
            <w:r>
              <w:rPr>
                <w:rFonts w:ascii="Arial" w:eastAsia="宋体" w:hAnsi="Arial" w:cs="Arial"/>
                <w:color w:val="000000"/>
                <w:sz w:val="14"/>
                <w:szCs w:val="14"/>
              </w:rPr>
              <w:t>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6611" w14:textId="77777777" w:rsidR="00E836FB" w:rsidRDefault="00994958">
            <w:pPr>
              <w:jc w:val="right"/>
              <w:textAlignment w:val="bottom"/>
            </w:pPr>
            <w:r>
              <w:rPr>
                <w:rFonts w:ascii="Arial" w:eastAsia="宋体" w:hAnsi="Arial" w:cs="Arial"/>
                <w:b/>
                <w:bCs/>
                <w:color w:val="000000"/>
                <w:sz w:val="14"/>
                <w:szCs w:val="14"/>
              </w:rPr>
              <w:t>(129)</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612"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613"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6614" w14:textId="77777777" w:rsidR="00E836FB" w:rsidRDefault="00994958">
            <w:pPr>
              <w:jc w:val="right"/>
              <w:textAlignment w:val="bottom"/>
            </w:pPr>
            <w:r>
              <w:rPr>
                <w:rFonts w:ascii="Arial" w:eastAsia="宋体" w:hAnsi="Arial" w:cs="Arial"/>
                <w:b/>
                <w:bCs/>
                <w:color w:val="000000"/>
                <w:sz w:val="14"/>
                <w:szCs w:val="14"/>
              </w:rPr>
              <w:t>(243)</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615"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616"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6617" w14:textId="77777777" w:rsidR="00E836FB" w:rsidRDefault="00994958">
            <w:pPr>
              <w:jc w:val="right"/>
              <w:textAlignment w:val="bottom"/>
            </w:pPr>
            <w:r>
              <w:rPr>
                <w:rFonts w:ascii="Arial" w:eastAsia="宋体" w:hAnsi="Arial" w:cs="Arial"/>
                <w:b/>
                <w:bCs/>
                <w:color w:val="000000"/>
                <w:sz w:val="14"/>
                <w:szCs w:val="14"/>
              </w:rPr>
              <w:t>(372)</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61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619"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661A" w14:textId="77777777" w:rsidR="00E836FB" w:rsidRDefault="00994958">
            <w:pPr>
              <w:jc w:val="right"/>
              <w:textAlignment w:val="bottom"/>
            </w:pPr>
            <w:r>
              <w:rPr>
                <w:rFonts w:ascii="Arial" w:eastAsia="宋体" w:hAnsi="Arial" w:cs="Arial"/>
                <w:color w:val="000000"/>
                <w:sz w:val="14"/>
                <w:szCs w:val="14"/>
              </w:rPr>
              <w:t>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61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61C"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661D" w14:textId="77777777" w:rsidR="00E836FB" w:rsidRDefault="00994958">
            <w:pPr>
              <w:jc w:val="right"/>
              <w:textAlignment w:val="bottom"/>
            </w:pPr>
            <w:r>
              <w:rPr>
                <w:rFonts w:ascii="Arial" w:eastAsia="宋体" w:hAnsi="Arial" w:cs="Arial"/>
                <w:color w:val="000000"/>
                <w:sz w:val="14"/>
                <w:szCs w:val="14"/>
              </w:rPr>
              <w:t>(1,173)</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61E"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61F" w14:textId="77777777" w:rsidR="00E836FB" w:rsidRDefault="00E83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F2D6620" w14:textId="77777777" w:rsidR="00E836FB" w:rsidRDefault="00994958">
            <w:pPr>
              <w:jc w:val="right"/>
              <w:textAlignment w:val="bottom"/>
            </w:pPr>
            <w:r>
              <w:rPr>
                <w:rFonts w:ascii="Arial" w:eastAsia="宋体" w:hAnsi="Arial" w:cs="Arial"/>
                <w:color w:val="000000"/>
                <w:sz w:val="14"/>
                <w:szCs w:val="14"/>
              </w:rPr>
              <w:t>(1,000)</w:t>
            </w:r>
          </w:p>
        </w:tc>
        <w:tc>
          <w:tcPr>
            <w:tcW w:w="0" w:type="auto"/>
            <w:tcBorders>
              <w:top w:val="single" w:sz="8" w:space="0" w:color="000000"/>
            </w:tcBorders>
            <w:shd w:val="clear" w:color="auto" w:fill="CCEEFF"/>
            <w:tcMar>
              <w:top w:w="40" w:type="dxa"/>
              <w:left w:w="0" w:type="dxa"/>
              <w:bottom w:w="40" w:type="dxa"/>
              <w:right w:w="20" w:type="dxa"/>
            </w:tcMar>
            <w:vAlign w:val="bottom"/>
          </w:tcPr>
          <w:p w14:paraId="5F2D6621" w14:textId="77777777" w:rsidR="00E836FB" w:rsidRDefault="00E836FB">
            <w:pPr>
              <w:jc w:val="right"/>
              <w:rPr>
                <w:rFonts w:ascii="宋体"/>
              </w:rPr>
            </w:pPr>
          </w:p>
        </w:tc>
      </w:tr>
      <w:tr w:rsidR="00E836FB" w14:paraId="5F2D663B" w14:textId="77777777">
        <w:tc>
          <w:tcPr>
            <w:tcW w:w="0" w:type="auto"/>
            <w:gridSpan w:val="3"/>
            <w:shd w:val="clear" w:color="auto" w:fill="FFFFFF"/>
            <w:tcMar>
              <w:top w:w="40" w:type="dxa"/>
              <w:left w:w="20" w:type="dxa"/>
              <w:bottom w:w="40" w:type="dxa"/>
              <w:right w:w="20" w:type="dxa"/>
            </w:tcMar>
            <w:vAlign w:val="bottom"/>
          </w:tcPr>
          <w:p w14:paraId="5F2D6623" w14:textId="77777777" w:rsidR="00E836FB" w:rsidRDefault="00994958">
            <w:pPr>
              <w:textAlignment w:val="bottom"/>
            </w:pPr>
            <w:r>
              <w:rPr>
                <w:rFonts w:ascii="Arial" w:eastAsia="宋体" w:hAnsi="Arial" w:cs="Arial"/>
                <w:color w:val="000000"/>
                <w:sz w:val="14"/>
                <w:szCs w:val="14"/>
              </w:rPr>
              <w:t>Net interest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6624"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6625" w14:textId="77777777" w:rsidR="00E836FB" w:rsidRDefault="00994958">
            <w:pPr>
              <w:jc w:val="right"/>
              <w:textAlignment w:val="bottom"/>
            </w:pPr>
            <w:r>
              <w:rPr>
                <w:rFonts w:ascii="Arial" w:eastAsia="宋体" w:hAnsi="Arial" w:cs="Arial"/>
                <w:b/>
                <w:bCs/>
                <w:color w:val="000000"/>
                <w:sz w:val="14"/>
                <w:szCs w:val="14"/>
              </w:rPr>
              <w:t>305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662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2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6628"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6629" w14:textId="77777777" w:rsidR="00E836FB" w:rsidRDefault="00994958">
            <w:pPr>
              <w:jc w:val="right"/>
              <w:textAlignment w:val="bottom"/>
            </w:pPr>
            <w:r>
              <w:rPr>
                <w:rFonts w:ascii="Arial" w:eastAsia="宋体" w:hAnsi="Arial" w:cs="Arial"/>
                <w:b/>
                <w:bCs/>
                <w:color w:val="000000"/>
                <w:sz w:val="14"/>
                <w:szCs w:val="14"/>
              </w:rPr>
              <w:t>(604)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662A"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2B"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662C" w14:textId="77777777" w:rsidR="00E836FB" w:rsidRDefault="00994958">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662D" w14:textId="77777777" w:rsidR="00E836FB" w:rsidRDefault="00994958">
            <w:pPr>
              <w:jc w:val="right"/>
              <w:textAlignment w:val="bottom"/>
            </w:pPr>
            <w:r>
              <w:rPr>
                <w:rFonts w:ascii="Arial" w:eastAsia="宋体" w:hAnsi="Arial" w:cs="Arial"/>
                <w:b/>
                <w:bCs/>
                <w:color w:val="000000"/>
                <w:sz w:val="14"/>
                <w:szCs w:val="14"/>
              </w:rPr>
              <w:t>(299)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662E"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2F"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6630"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6631" w14:textId="77777777" w:rsidR="00E836FB" w:rsidRDefault="00994958">
            <w:pPr>
              <w:jc w:val="right"/>
              <w:textAlignment w:val="bottom"/>
            </w:pPr>
            <w:r>
              <w:rPr>
                <w:rFonts w:ascii="Arial" w:eastAsia="宋体" w:hAnsi="Arial" w:cs="Arial"/>
                <w:color w:val="000000"/>
                <w:sz w:val="14"/>
                <w:szCs w:val="14"/>
              </w:rPr>
              <w:t>502 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6632"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33"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6634"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6635" w14:textId="77777777" w:rsidR="00E836FB" w:rsidRDefault="00994958">
            <w:pPr>
              <w:jc w:val="right"/>
              <w:textAlignment w:val="bottom"/>
            </w:pPr>
            <w:r>
              <w:rPr>
                <w:rFonts w:ascii="Arial" w:eastAsia="宋体" w:hAnsi="Arial" w:cs="Arial"/>
                <w:color w:val="000000"/>
                <w:sz w:val="14"/>
                <w:szCs w:val="14"/>
              </w:rPr>
              <w:t>(870)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6636"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637" w14:textId="77777777" w:rsidR="00E836FB" w:rsidRDefault="00E836F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F2D6638" w14:textId="77777777" w:rsidR="00E836FB" w:rsidRDefault="00994958">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F2D6639" w14:textId="77777777" w:rsidR="00E836FB" w:rsidRDefault="00994958">
            <w:pPr>
              <w:jc w:val="right"/>
              <w:textAlignment w:val="bottom"/>
            </w:pPr>
            <w:r>
              <w:rPr>
                <w:rFonts w:ascii="Arial" w:eastAsia="宋体" w:hAnsi="Arial" w:cs="Arial"/>
                <w:color w:val="000000"/>
                <w:sz w:val="14"/>
                <w:szCs w:val="14"/>
              </w:rPr>
              <w:t>(368)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F2D663A" w14:textId="77777777" w:rsidR="00E836FB" w:rsidRDefault="00E836FB">
            <w:pPr>
              <w:jc w:val="right"/>
              <w:rPr>
                <w:rFonts w:ascii="宋体"/>
              </w:rPr>
            </w:pPr>
          </w:p>
        </w:tc>
      </w:tr>
    </w:tbl>
    <w:p w14:paraId="5F2D663C" w14:textId="77777777" w:rsidR="00E836FB" w:rsidRDefault="00E836FB">
      <w:pPr>
        <w:ind w:firstLine="450"/>
      </w:pPr>
    </w:p>
    <w:p w14:paraId="5F2D663D" w14:textId="77777777" w:rsidR="00E836FB" w:rsidRDefault="00994958">
      <w:pPr>
        <w:ind w:firstLine="450"/>
        <w:jc w:val="right"/>
      </w:pPr>
      <w:r>
        <w:rPr>
          <w:rFonts w:ascii="Arial" w:eastAsia="宋体" w:hAnsi="Arial" w:cs="Arial"/>
          <w:color w:val="000000"/>
          <w:sz w:val="18"/>
          <w:szCs w:val="18"/>
        </w:rPr>
        <w:t>State Street Corporation | 187</w:t>
      </w:r>
    </w:p>
    <w:p w14:paraId="5F2D663E" w14:textId="77777777" w:rsidR="00E836FB" w:rsidRDefault="00E836FB">
      <w:pPr>
        <w:ind w:firstLine="450"/>
        <w:jc w:val="center"/>
      </w:pPr>
    </w:p>
    <w:p w14:paraId="5F2D663F" w14:textId="77777777" w:rsidR="00E836FB" w:rsidRDefault="00994958">
      <w:r>
        <w:pict w14:anchorId="5F2D6E40">
          <v:rect id="_x0000_i1211" style="width:415.3pt;height:1.5pt" o:hralign="center" o:hrstd="t" o:hr="t" fillcolor="#a0a0a0" stroked="f"/>
        </w:pict>
      </w:r>
    </w:p>
    <w:p w14:paraId="5F2D6640" w14:textId="77777777" w:rsidR="00E836FB" w:rsidRDefault="00E836FB">
      <w:pPr>
        <w:ind w:firstLine="450"/>
      </w:pPr>
    </w:p>
    <w:p w14:paraId="5F2D6641" w14:textId="77777777" w:rsidR="00E836FB" w:rsidRDefault="00E836FB">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71"/>
        <w:gridCol w:w="852"/>
        <w:gridCol w:w="37"/>
        <w:gridCol w:w="68"/>
        <w:gridCol w:w="3124"/>
        <w:gridCol w:w="38"/>
        <w:gridCol w:w="68"/>
        <w:gridCol w:w="868"/>
        <w:gridCol w:w="39"/>
        <w:gridCol w:w="69"/>
        <w:gridCol w:w="3064"/>
        <w:gridCol w:w="38"/>
      </w:tblGrid>
      <w:tr w:rsidR="00E836FB" w14:paraId="5F2D664E" w14:textId="77777777">
        <w:tc>
          <w:tcPr>
            <w:tcW w:w="50" w:type="pct"/>
            <w:shd w:val="clear" w:color="auto" w:fill="auto"/>
            <w:vAlign w:val="bottom"/>
          </w:tcPr>
          <w:p w14:paraId="5F2D6642" w14:textId="77777777" w:rsidR="00E836FB" w:rsidRDefault="00E836FB">
            <w:pPr>
              <w:rPr>
                <w:rFonts w:ascii="宋体"/>
              </w:rPr>
            </w:pPr>
          </w:p>
        </w:tc>
        <w:tc>
          <w:tcPr>
            <w:tcW w:w="522" w:type="pct"/>
            <w:shd w:val="clear" w:color="auto" w:fill="auto"/>
            <w:vAlign w:val="bottom"/>
          </w:tcPr>
          <w:p w14:paraId="5F2D6643" w14:textId="77777777" w:rsidR="00E836FB" w:rsidRDefault="00E836FB">
            <w:pPr>
              <w:rPr>
                <w:rFonts w:ascii="宋体"/>
              </w:rPr>
            </w:pPr>
          </w:p>
        </w:tc>
        <w:tc>
          <w:tcPr>
            <w:tcW w:w="5" w:type="pct"/>
            <w:shd w:val="clear" w:color="auto" w:fill="auto"/>
            <w:vAlign w:val="bottom"/>
          </w:tcPr>
          <w:p w14:paraId="5F2D6644" w14:textId="77777777" w:rsidR="00E836FB" w:rsidRDefault="00E836FB">
            <w:pPr>
              <w:rPr>
                <w:rFonts w:ascii="宋体"/>
              </w:rPr>
            </w:pPr>
          </w:p>
        </w:tc>
        <w:tc>
          <w:tcPr>
            <w:tcW w:w="50" w:type="pct"/>
            <w:shd w:val="clear" w:color="auto" w:fill="auto"/>
            <w:vAlign w:val="bottom"/>
          </w:tcPr>
          <w:p w14:paraId="5F2D6645" w14:textId="77777777" w:rsidR="00E836FB" w:rsidRDefault="00E836FB">
            <w:pPr>
              <w:rPr>
                <w:rFonts w:ascii="宋体"/>
              </w:rPr>
            </w:pPr>
          </w:p>
        </w:tc>
        <w:tc>
          <w:tcPr>
            <w:tcW w:w="1882" w:type="pct"/>
            <w:shd w:val="clear" w:color="auto" w:fill="auto"/>
            <w:vAlign w:val="bottom"/>
          </w:tcPr>
          <w:p w14:paraId="5F2D6646" w14:textId="77777777" w:rsidR="00E836FB" w:rsidRDefault="00E836FB">
            <w:pPr>
              <w:rPr>
                <w:rFonts w:ascii="宋体"/>
              </w:rPr>
            </w:pPr>
          </w:p>
        </w:tc>
        <w:tc>
          <w:tcPr>
            <w:tcW w:w="5" w:type="pct"/>
            <w:shd w:val="clear" w:color="auto" w:fill="auto"/>
            <w:vAlign w:val="bottom"/>
          </w:tcPr>
          <w:p w14:paraId="5F2D6647" w14:textId="77777777" w:rsidR="00E836FB" w:rsidRDefault="00E836FB">
            <w:pPr>
              <w:rPr>
                <w:rFonts w:ascii="宋体"/>
              </w:rPr>
            </w:pPr>
          </w:p>
        </w:tc>
        <w:tc>
          <w:tcPr>
            <w:tcW w:w="50" w:type="pct"/>
            <w:shd w:val="clear" w:color="auto" w:fill="auto"/>
            <w:vAlign w:val="bottom"/>
          </w:tcPr>
          <w:p w14:paraId="5F2D6648" w14:textId="77777777" w:rsidR="00E836FB" w:rsidRDefault="00E836FB">
            <w:pPr>
              <w:rPr>
                <w:rFonts w:ascii="宋体"/>
              </w:rPr>
            </w:pPr>
          </w:p>
        </w:tc>
        <w:tc>
          <w:tcPr>
            <w:tcW w:w="529" w:type="pct"/>
            <w:shd w:val="clear" w:color="auto" w:fill="auto"/>
            <w:vAlign w:val="bottom"/>
          </w:tcPr>
          <w:p w14:paraId="5F2D6649" w14:textId="77777777" w:rsidR="00E836FB" w:rsidRDefault="00E836FB">
            <w:pPr>
              <w:rPr>
                <w:rFonts w:ascii="宋体"/>
              </w:rPr>
            </w:pPr>
          </w:p>
        </w:tc>
        <w:tc>
          <w:tcPr>
            <w:tcW w:w="5" w:type="pct"/>
            <w:shd w:val="clear" w:color="auto" w:fill="auto"/>
            <w:vAlign w:val="bottom"/>
          </w:tcPr>
          <w:p w14:paraId="5F2D664A" w14:textId="77777777" w:rsidR="00E836FB" w:rsidRDefault="00E836FB">
            <w:pPr>
              <w:rPr>
                <w:rFonts w:ascii="宋体"/>
              </w:rPr>
            </w:pPr>
          </w:p>
        </w:tc>
        <w:tc>
          <w:tcPr>
            <w:tcW w:w="50" w:type="pct"/>
            <w:shd w:val="clear" w:color="auto" w:fill="auto"/>
            <w:vAlign w:val="bottom"/>
          </w:tcPr>
          <w:p w14:paraId="5F2D664B" w14:textId="77777777" w:rsidR="00E836FB" w:rsidRDefault="00E836FB">
            <w:pPr>
              <w:rPr>
                <w:rFonts w:ascii="宋体"/>
              </w:rPr>
            </w:pPr>
          </w:p>
        </w:tc>
        <w:tc>
          <w:tcPr>
            <w:tcW w:w="1845" w:type="pct"/>
            <w:shd w:val="clear" w:color="auto" w:fill="auto"/>
            <w:vAlign w:val="bottom"/>
          </w:tcPr>
          <w:p w14:paraId="5F2D664C" w14:textId="77777777" w:rsidR="00E836FB" w:rsidRDefault="00E836FB">
            <w:pPr>
              <w:rPr>
                <w:rFonts w:ascii="宋体"/>
              </w:rPr>
            </w:pPr>
          </w:p>
        </w:tc>
        <w:tc>
          <w:tcPr>
            <w:tcW w:w="5" w:type="pct"/>
            <w:shd w:val="clear" w:color="auto" w:fill="auto"/>
            <w:vAlign w:val="bottom"/>
          </w:tcPr>
          <w:p w14:paraId="5F2D664D" w14:textId="77777777" w:rsidR="00E836FB" w:rsidRDefault="00E836FB">
            <w:pPr>
              <w:rPr>
                <w:rFonts w:ascii="宋体"/>
              </w:rPr>
            </w:pPr>
          </w:p>
        </w:tc>
      </w:tr>
      <w:tr w:rsidR="00E836FB" w14:paraId="5F2D6650" w14:textId="77777777">
        <w:tc>
          <w:tcPr>
            <w:tcW w:w="0" w:type="auto"/>
            <w:gridSpan w:val="12"/>
            <w:shd w:val="clear" w:color="auto" w:fill="auto"/>
            <w:tcMar>
              <w:top w:w="40" w:type="dxa"/>
              <w:left w:w="20" w:type="dxa"/>
              <w:bottom w:w="40" w:type="dxa"/>
              <w:right w:w="20" w:type="dxa"/>
            </w:tcMar>
            <w:vAlign w:val="center"/>
          </w:tcPr>
          <w:p w14:paraId="5F2D664F" w14:textId="77777777" w:rsidR="00E836FB" w:rsidRDefault="00994958">
            <w:pPr>
              <w:jc w:val="center"/>
              <w:textAlignment w:val="center"/>
            </w:pPr>
            <w:r>
              <w:rPr>
                <w:rFonts w:ascii="Arial" w:eastAsia="宋体" w:hAnsi="Arial" w:cs="Arial"/>
                <w:b/>
                <w:bCs/>
                <w:color w:val="000000"/>
                <w:sz w:val="20"/>
                <w:szCs w:val="20"/>
              </w:rPr>
              <w:t>ACRONYMS</w:t>
            </w:r>
          </w:p>
        </w:tc>
      </w:tr>
      <w:tr w:rsidR="00E836FB" w14:paraId="5F2D6655" w14:textId="77777777">
        <w:trPr>
          <w:hidden/>
        </w:trPr>
        <w:tc>
          <w:tcPr>
            <w:tcW w:w="0" w:type="auto"/>
            <w:gridSpan w:val="3"/>
            <w:shd w:val="clear" w:color="auto" w:fill="auto"/>
            <w:vAlign w:val="bottom"/>
          </w:tcPr>
          <w:p w14:paraId="5F2D6651" w14:textId="77777777" w:rsidR="00E836FB" w:rsidRDefault="00E836FB">
            <w:pPr>
              <w:rPr>
                <w:rFonts w:ascii="宋体"/>
                <w:vanish/>
              </w:rPr>
            </w:pPr>
          </w:p>
        </w:tc>
        <w:tc>
          <w:tcPr>
            <w:tcW w:w="0" w:type="auto"/>
            <w:gridSpan w:val="3"/>
            <w:shd w:val="clear" w:color="auto" w:fill="auto"/>
            <w:vAlign w:val="bottom"/>
          </w:tcPr>
          <w:p w14:paraId="5F2D6652" w14:textId="77777777" w:rsidR="00E836FB" w:rsidRDefault="00E836FB">
            <w:pPr>
              <w:rPr>
                <w:rFonts w:ascii="宋体"/>
                <w:vanish/>
              </w:rPr>
            </w:pPr>
          </w:p>
        </w:tc>
        <w:tc>
          <w:tcPr>
            <w:tcW w:w="0" w:type="auto"/>
            <w:gridSpan w:val="3"/>
            <w:shd w:val="clear" w:color="auto" w:fill="auto"/>
            <w:vAlign w:val="bottom"/>
          </w:tcPr>
          <w:p w14:paraId="5F2D6653" w14:textId="77777777" w:rsidR="00E836FB" w:rsidRDefault="00E836FB">
            <w:pPr>
              <w:rPr>
                <w:rFonts w:ascii="宋体"/>
                <w:vanish/>
              </w:rPr>
            </w:pPr>
          </w:p>
        </w:tc>
        <w:tc>
          <w:tcPr>
            <w:tcW w:w="0" w:type="auto"/>
            <w:gridSpan w:val="3"/>
            <w:shd w:val="clear" w:color="auto" w:fill="auto"/>
            <w:vAlign w:val="bottom"/>
          </w:tcPr>
          <w:p w14:paraId="5F2D6654" w14:textId="77777777" w:rsidR="00E836FB" w:rsidRDefault="00E836FB">
            <w:pPr>
              <w:rPr>
                <w:rFonts w:ascii="宋体"/>
                <w:vanish/>
              </w:rPr>
            </w:pPr>
          </w:p>
        </w:tc>
      </w:tr>
      <w:tr w:rsidR="00E836FB" w14:paraId="5F2D665A"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656"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657"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658"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659" w14:textId="77777777" w:rsidR="00E836FB" w:rsidRDefault="00E836FB">
            <w:pPr>
              <w:rPr>
                <w:rFonts w:ascii="宋体"/>
              </w:rPr>
            </w:pPr>
          </w:p>
        </w:tc>
      </w:tr>
      <w:tr w:rsidR="00E836FB" w14:paraId="5F2D665F" w14:textId="77777777">
        <w:tc>
          <w:tcPr>
            <w:tcW w:w="0" w:type="auto"/>
            <w:gridSpan w:val="3"/>
            <w:shd w:val="clear" w:color="auto" w:fill="auto"/>
            <w:tcMar>
              <w:top w:w="40" w:type="dxa"/>
              <w:left w:w="20" w:type="dxa"/>
              <w:bottom w:w="40" w:type="dxa"/>
              <w:right w:w="20" w:type="dxa"/>
            </w:tcMar>
            <w:vAlign w:val="center"/>
          </w:tcPr>
          <w:p w14:paraId="5F2D665B" w14:textId="77777777" w:rsidR="00E836FB" w:rsidRDefault="00994958">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5F2D665C" w14:textId="77777777" w:rsidR="00E836FB" w:rsidRDefault="00994958">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bottom"/>
          </w:tcPr>
          <w:p w14:paraId="5F2D665D" w14:textId="77777777" w:rsidR="00E836FB" w:rsidRDefault="00994958">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5F2D665E" w14:textId="77777777" w:rsidR="00E836FB" w:rsidRDefault="00994958">
            <w:pPr>
              <w:textAlignment w:val="bottom"/>
            </w:pPr>
            <w:r>
              <w:rPr>
                <w:rFonts w:ascii="Arial" w:eastAsia="宋体" w:hAnsi="Arial" w:cs="Arial"/>
                <w:color w:val="000000"/>
                <w:sz w:val="16"/>
                <w:szCs w:val="16"/>
              </w:rPr>
              <w:t>Insured Depository Institution</w:t>
            </w:r>
          </w:p>
        </w:tc>
      </w:tr>
      <w:tr w:rsidR="00E836FB" w14:paraId="5F2D6664" w14:textId="77777777">
        <w:tc>
          <w:tcPr>
            <w:tcW w:w="0" w:type="auto"/>
            <w:gridSpan w:val="3"/>
            <w:shd w:val="clear" w:color="auto" w:fill="auto"/>
            <w:tcMar>
              <w:top w:w="40" w:type="dxa"/>
              <w:left w:w="20" w:type="dxa"/>
              <w:bottom w:w="40" w:type="dxa"/>
              <w:right w:w="20" w:type="dxa"/>
            </w:tcMar>
            <w:vAlign w:val="center"/>
          </w:tcPr>
          <w:p w14:paraId="5F2D6660" w14:textId="77777777" w:rsidR="00E836FB" w:rsidRDefault="00994958">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5F2D6661" w14:textId="77777777" w:rsidR="00E836FB" w:rsidRDefault="00994958">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5F2D6662" w14:textId="77777777" w:rsidR="00E836FB" w:rsidRDefault="00994958">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663" w14:textId="77777777" w:rsidR="00E836FB" w:rsidRDefault="00994958">
            <w:pPr>
              <w:textAlignment w:val="center"/>
            </w:pPr>
            <w:r>
              <w:rPr>
                <w:rFonts w:ascii="Arial" w:eastAsia="宋体" w:hAnsi="Arial" w:cs="Arial"/>
                <w:color w:val="000000"/>
                <w:sz w:val="16"/>
                <w:szCs w:val="16"/>
              </w:rPr>
              <w:t xml:space="preserve">Liquidity </w:t>
            </w:r>
            <w:r>
              <w:rPr>
                <w:rFonts w:ascii="Arial" w:eastAsia="宋体" w:hAnsi="Arial" w:cs="Arial"/>
                <w:color w:val="000000"/>
                <w:sz w:val="16"/>
                <w:szCs w:val="16"/>
              </w:rPr>
              <w:t>coverage ratio</w:t>
            </w:r>
          </w:p>
        </w:tc>
      </w:tr>
      <w:tr w:rsidR="00E836FB" w14:paraId="5F2D6669" w14:textId="77777777">
        <w:tc>
          <w:tcPr>
            <w:tcW w:w="0" w:type="auto"/>
            <w:gridSpan w:val="3"/>
            <w:shd w:val="clear" w:color="auto" w:fill="auto"/>
            <w:tcMar>
              <w:top w:w="40" w:type="dxa"/>
              <w:left w:w="20" w:type="dxa"/>
              <w:bottom w:w="40" w:type="dxa"/>
              <w:right w:w="20" w:type="dxa"/>
            </w:tcMar>
            <w:vAlign w:val="center"/>
          </w:tcPr>
          <w:p w14:paraId="5F2D6665" w14:textId="77777777" w:rsidR="00E836FB" w:rsidRDefault="00994958">
            <w:pPr>
              <w:textAlignment w:val="center"/>
            </w:pPr>
            <w:r>
              <w:rPr>
                <w:rFonts w:ascii="Arial" w:eastAsia="宋体" w:hAnsi="Arial" w:cs="Arial"/>
                <w:color w:val="000000"/>
                <w:sz w:val="16"/>
                <w:szCs w:val="16"/>
              </w:rPr>
              <w:t>AML</w:t>
            </w:r>
          </w:p>
        </w:tc>
        <w:tc>
          <w:tcPr>
            <w:tcW w:w="0" w:type="auto"/>
            <w:gridSpan w:val="3"/>
            <w:shd w:val="clear" w:color="auto" w:fill="auto"/>
            <w:tcMar>
              <w:top w:w="40" w:type="dxa"/>
              <w:left w:w="20" w:type="dxa"/>
              <w:bottom w:w="40" w:type="dxa"/>
              <w:right w:w="20" w:type="dxa"/>
            </w:tcMar>
            <w:vAlign w:val="center"/>
          </w:tcPr>
          <w:p w14:paraId="5F2D6666" w14:textId="77777777" w:rsidR="00E836FB" w:rsidRDefault="00994958">
            <w:pPr>
              <w:textAlignment w:val="center"/>
            </w:pPr>
            <w:r>
              <w:rPr>
                <w:rFonts w:ascii="Arial" w:eastAsia="宋体" w:hAnsi="Arial" w:cs="Arial"/>
                <w:color w:val="000000"/>
                <w:sz w:val="16"/>
                <w:szCs w:val="16"/>
              </w:rPr>
              <w:t>Anti-money laundering</w:t>
            </w:r>
          </w:p>
        </w:tc>
        <w:tc>
          <w:tcPr>
            <w:tcW w:w="0" w:type="auto"/>
            <w:gridSpan w:val="3"/>
            <w:shd w:val="clear" w:color="auto" w:fill="auto"/>
            <w:tcMar>
              <w:top w:w="40" w:type="dxa"/>
              <w:left w:w="20" w:type="dxa"/>
              <w:bottom w:w="40" w:type="dxa"/>
              <w:right w:w="20" w:type="dxa"/>
            </w:tcMar>
            <w:vAlign w:val="center"/>
          </w:tcPr>
          <w:p w14:paraId="5F2D6667" w14:textId="77777777" w:rsidR="00E836FB" w:rsidRDefault="00994958">
            <w:pPr>
              <w:textAlignment w:val="center"/>
            </w:pPr>
            <w:r>
              <w:rPr>
                <w:rFonts w:ascii="Arial" w:eastAsia="宋体" w:hAnsi="Arial" w:cs="Arial"/>
                <w:color w:val="000000"/>
                <w:sz w:val="16"/>
                <w:szCs w:val="16"/>
              </w:rPr>
              <w:t>LIHTC</w:t>
            </w:r>
          </w:p>
        </w:tc>
        <w:tc>
          <w:tcPr>
            <w:tcW w:w="0" w:type="auto"/>
            <w:gridSpan w:val="3"/>
            <w:shd w:val="clear" w:color="auto" w:fill="auto"/>
            <w:tcMar>
              <w:top w:w="40" w:type="dxa"/>
              <w:left w:w="20" w:type="dxa"/>
              <w:bottom w:w="40" w:type="dxa"/>
              <w:right w:w="20" w:type="dxa"/>
            </w:tcMar>
            <w:vAlign w:val="center"/>
          </w:tcPr>
          <w:p w14:paraId="5F2D6668" w14:textId="77777777" w:rsidR="00E836FB" w:rsidRDefault="00994958">
            <w:pPr>
              <w:textAlignment w:val="center"/>
            </w:pPr>
            <w:r>
              <w:rPr>
                <w:rFonts w:ascii="Arial" w:eastAsia="宋体" w:hAnsi="Arial" w:cs="Arial"/>
                <w:color w:val="000000"/>
                <w:sz w:val="16"/>
                <w:szCs w:val="16"/>
              </w:rPr>
              <w:t>Low income housing tax credits</w:t>
            </w:r>
          </w:p>
        </w:tc>
      </w:tr>
      <w:tr w:rsidR="00E836FB" w14:paraId="5F2D666E" w14:textId="77777777">
        <w:tc>
          <w:tcPr>
            <w:tcW w:w="0" w:type="auto"/>
            <w:gridSpan w:val="3"/>
            <w:shd w:val="clear" w:color="auto" w:fill="auto"/>
            <w:tcMar>
              <w:top w:w="40" w:type="dxa"/>
              <w:left w:w="20" w:type="dxa"/>
              <w:bottom w:w="40" w:type="dxa"/>
              <w:right w:w="20" w:type="dxa"/>
            </w:tcMar>
            <w:vAlign w:val="center"/>
          </w:tcPr>
          <w:p w14:paraId="5F2D666A" w14:textId="77777777" w:rsidR="00E836FB" w:rsidRDefault="00994958">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5F2D666B" w14:textId="77777777" w:rsidR="00E836FB" w:rsidRDefault="00994958">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5F2D666C" w14:textId="77777777" w:rsidR="00E836FB" w:rsidRDefault="00994958">
            <w:pPr>
              <w:textAlignment w:val="center"/>
            </w:pPr>
            <w:r>
              <w:rPr>
                <w:rFonts w:ascii="Arial" w:eastAsia="宋体" w:hAnsi="Arial" w:cs="Arial"/>
                <w:color w:val="000000"/>
                <w:sz w:val="16"/>
                <w:szCs w:val="16"/>
              </w:rPr>
              <w:t>LDA model</w:t>
            </w:r>
          </w:p>
        </w:tc>
        <w:tc>
          <w:tcPr>
            <w:tcW w:w="0" w:type="auto"/>
            <w:gridSpan w:val="3"/>
            <w:shd w:val="clear" w:color="auto" w:fill="auto"/>
            <w:tcMar>
              <w:top w:w="40" w:type="dxa"/>
              <w:left w:w="20" w:type="dxa"/>
              <w:bottom w:w="40" w:type="dxa"/>
              <w:right w:w="20" w:type="dxa"/>
            </w:tcMar>
            <w:vAlign w:val="center"/>
          </w:tcPr>
          <w:p w14:paraId="5F2D666D" w14:textId="77777777" w:rsidR="00E836FB" w:rsidRDefault="00994958">
            <w:pPr>
              <w:textAlignment w:val="center"/>
            </w:pPr>
            <w:r>
              <w:rPr>
                <w:rFonts w:ascii="Arial" w:eastAsia="宋体" w:hAnsi="Arial" w:cs="Arial"/>
                <w:color w:val="000000"/>
                <w:sz w:val="16"/>
                <w:szCs w:val="16"/>
              </w:rPr>
              <w:t>Loss distribution approach model</w:t>
            </w:r>
          </w:p>
        </w:tc>
      </w:tr>
      <w:tr w:rsidR="00E836FB" w14:paraId="5F2D6673" w14:textId="77777777">
        <w:tc>
          <w:tcPr>
            <w:tcW w:w="0" w:type="auto"/>
            <w:gridSpan w:val="3"/>
            <w:shd w:val="clear" w:color="auto" w:fill="auto"/>
            <w:tcMar>
              <w:top w:w="40" w:type="dxa"/>
              <w:left w:w="20" w:type="dxa"/>
              <w:bottom w:w="40" w:type="dxa"/>
              <w:right w:w="20" w:type="dxa"/>
            </w:tcMar>
            <w:vAlign w:val="center"/>
          </w:tcPr>
          <w:p w14:paraId="5F2D666F" w14:textId="77777777" w:rsidR="00E836FB" w:rsidRDefault="00994958">
            <w:pPr>
              <w:textAlignment w:val="center"/>
            </w:pPr>
            <w:r>
              <w:rPr>
                <w:rFonts w:ascii="Arial" w:eastAsia="宋体" w:hAnsi="Arial" w:cs="Arial"/>
                <w:color w:val="000000"/>
                <w:sz w:val="16"/>
                <w:szCs w:val="16"/>
              </w:rPr>
              <w:t>ASU</w:t>
            </w:r>
          </w:p>
        </w:tc>
        <w:tc>
          <w:tcPr>
            <w:tcW w:w="0" w:type="auto"/>
            <w:gridSpan w:val="3"/>
            <w:shd w:val="clear" w:color="auto" w:fill="auto"/>
            <w:tcMar>
              <w:top w:w="40" w:type="dxa"/>
              <w:left w:w="20" w:type="dxa"/>
              <w:bottom w:w="40" w:type="dxa"/>
              <w:right w:w="20" w:type="dxa"/>
            </w:tcMar>
            <w:vAlign w:val="center"/>
          </w:tcPr>
          <w:p w14:paraId="5F2D6670" w14:textId="77777777" w:rsidR="00E836FB" w:rsidRDefault="00994958">
            <w:pPr>
              <w:textAlignment w:val="center"/>
            </w:pPr>
            <w:r>
              <w:rPr>
                <w:rFonts w:ascii="Arial" w:eastAsia="宋体" w:hAnsi="Arial" w:cs="Arial"/>
                <w:color w:val="000000"/>
                <w:sz w:val="16"/>
                <w:szCs w:val="16"/>
              </w:rPr>
              <w:t>Accounting Standards Update</w:t>
            </w:r>
          </w:p>
        </w:tc>
        <w:tc>
          <w:tcPr>
            <w:tcW w:w="0" w:type="auto"/>
            <w:gridSpan w:val="3"/>
            <w:shd w:val="clear" w:color="auto" w:fill="auto"/>
            <w:tcMar>
              <w:top w:w="40" w:type="dxa"/>
              <w:left w:w="20" w:type="dxa"/>
              <w:bottom w:w="40" w:type="dxa"/>
              <w:right w:w="20" w:type="dxa"/>
            </w:tcMar>
            <w:vAlign w:val="center"/>
          </w:tcPr>
          <w:p w14:paraId="5F2D6671" w14:textId="77777777" w:rsidR="00E836FB" w:rsidRDefault="00994958">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5F2D6672" w14:textId="77777777" w:rsidR="00E836FB" w:rsidRDefault="00994958">
            <w:pPr>
              <w:textAlignment w:val="center"/>
            </w:pPr>
            <w:r>
              <w:rPr>
                <w:rFonts w:ascii="Arial" w:eastAsia="宋体" w:hAnsi="Arial" w:cs="Arial"/>
                <w:color w:val="000000"/>
                <w:sz w:val="16"/>
                <w:szCs w:val="16"/>
              </w:rPr>
              <w:t>London Interbank Offered Rate</w:t>
            </w:r>
          </w:p>
        </w:tc>
      </w:tr>
      <w:tr w:rsidR="00E836FB" w14:paraId="5F2D6678" w14:textId="77777777">
        <w:tc>
          <w:tcPr>
            <w:tcW w:w="0" w:type="auto"/>
            <w:gridSpan w:val="3"/>
            <w:shd w:val="clear" w:color="auto" w:fill="auto"/>
            <w:tcMar>
              <w:top w:w="40" w:type="dxa"/>
              <w:left w:w="20" w:type="dxa"/>
              <w:bottom w:w="40" w:type="dxa"/>
              <w:right w:w="20" w:type="dxa"/>
            </w:tcMar>
            <w:vAlign w:val="center"/>
          </w:tcPr>
          <w:p w14:paraId="5F2D6674" w14:textId="77777777" w:rsidR="00E836FB" w:rsidRDefault="00994958">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5F2D6675" w14:textId="77777777" w:rsidR="00E836FB" w:rsidRDefault="00994958">
            <w:pPr>
              <w:textAlignment w:val="center"/>
            </w:pPr>
            <w:r>
              <w:rPr>
                <w:rFonts w:ascii="Arial" w:eastAsia="宋体" w:hAnsi="Arial" w:cs="Arial"/>
                <w:color w:val="000000"/>
                <w:sz w:val="16"/>
                <w:szCs w:val="16"/>
              </w:rPr>
              <w:t>Assets under custody and/or administration</w:t>
            </w:r>
          </w:p>
        </w:tc>
        <w:tc>
          <w:tcPr>
            <w:tcW w:w="0" w:type="auto"/>
            <w:gridSpan w:val="3"/>
            <w:shd w:val="clear" w:color="auto" w:fill="auto"/>
            <w:tcMar>
              <w:top w:w="40" w:type="dxa"/>
              <w:left w:w="20" w:type="dxa"/>
              <w:bottom w:w="40" w:type="dxa"/>
              <w:right w:w="20" w:type="dxa"/>
            </w:tcMar>
            <w:vAlign w:val="center"/>
          </w:tcPr>
          <w:p w14:paraId="5F2D6676" w14:textId="77777777" w:rsidR="00E836FB" w:rsidRDefault="00994958">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5F2D6677" w14:textId="77777777" w:rsidR="00E836FB" w:rsidRDefault="00994958">
            <w:pPr>
              <w:textAlignment w:val="center"/>
            </w:pPr>
            <w:r>
              <w:rPr>
                <w:rFonts w:ascii="Arial" w:eastAsia="宋体" w:hAnsi="Arial" w:cs="Arial"/>
                <w:color w:val="000000"/>
                <w:sz w:val="16"/>
                <w:szCs w:val="16"/>
              </w:rPr>
              <w:t>Long-term debt</w:t>
            </w:r>
          </w:p>
        </w:tc>
      </w:tr>
      <w:tr w:rsidR="00E836FB" w14:paraId="5F2D667D" w14:textId="77777777">
        <w:tc>
          <w:tcPr>
            <w:tcW w:w="0" w:type="auto"/>
            <w:gridSpan w:val="3"/>
            <w:shd w:val="clear" w:color="auto" w:fill="auto"/>
            <w:tcMar>
              <w:top w:w="40" w:type="dxa"/>
              <w:left w:w="20" w:type="dxa"/>
              <w:bottom w:w="40" w:type="dxa"/>
              <w:right w:w="20" w:type="dxa"/>
            </w:tcMar>
            <w:vAlign w:val="center"/>
          </w:tcPr>
          <w:p w14:paraId="5F2D6679" w14:textId="77777777" w:rsidR="00E836FB" w:rsidRDefault="00994958">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5F2D667A" w14:textId="77777777" w:rsidR="00E836FB" w:rsidRDefault="00994958">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5F2D667B" w14:textId="77777777" w:rsidR="00E836FB" w:rsidRDefault="00994958">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5F2D667C" w14:textId="77777777" w:rsidR="00E836FB" w:rsidRDefault="00994958">
            <w:pPr>
              <w:textAlignment w:val="center"/>
            </w:pPr>
            <w:r>
              <w:rPr>
                <w:rFonts w:ascii="Arial" w:eastAsia="宋体" w:hAnsi="Arial" w:cs="Arial"/>
                <w:color w:val="000000"/>
                <w:sz w:val="16"/>
                <w:szCs w:val="16"/>
              </w:rPr>
              <w:t>Mortgage-backed securities</w:t>
            </w:r>
          </w:p>
        </w:tc>
      </w:tr>
      <w:tr w:rsidR="00E836FB" w14:paraId="5F2D6682" w14:textId="77777777">
        <w:tc>
          <w:tcPr>
            <w:tcW w:w="0" w:type="auto"/>
            <w:gridSpan w:val="3"/>
            <w:shd w:val="clear" w:color="auto" w:fill="auto"/>
            <w:tcMar>
              <w:top w:w="40" w:type="dxa"/>
              <w:left w:w="20" w:type="dxa"/>
              <w:bottom w:w="40" w:type="dxa"/>
              <w:right w:w="20" w:type="dxa"/>
            </w:tcMar>
            <w:vAlign w:val="center"/>
          </w:tcPr>
          <w:p w14:paraId="5F2D667E" w14:textId="77777777" w:rsidR="00E836FB" w:rsidRDefault="00994958">
            <w:pPr>
              <w:textAlignment w:val="center"/>
            </w:pPr>
            <w:r>
              <w:rPr>
                <w:rFonts w:ascii="Arial" w:eastAsia="宋体" w:hAnsi="Arial" w:cs="Arial"/>
                <w:color w:val="000000"/>
                <w:sz w:val="16"/>
                <w:szCs w:val="16"/>
              </w:rPr>
              <w:t>BBH</w:t>
            </w:r>
          </w:p>
        </w:tc>
        <w:tc>
          <w:tcPr>
            <w:tcW w:w="0" w:type="auto"/>
            <w:gridSpan w:val="3"/>
            <w:shd w:val="clear" w:color="auto" w:fill="auto"/>
            <w:tcMar>
              <w:top w:w="40" w:type="dxa"/>
              <w:left w:w="20" w:type="dxa"/>
              <w:bottom w:w="40" w:type="dxa"/>
              <w:right w:w="20" w:type="dxa"/>
            </w:tcMar>
            <w:vAlign w:val="center"/>
          </w:tcPr>
          <w:p w14:paraId="5F2D667F" w14:textId="77777777" w:rsidR="00E836FB" w:rsidRDefault="00994958">
            <w:pPr>
              <w:textAlignment w:val="center"/>
            </w:pPr>
            <w:r>
              <w:rPr>
                <w:rFonts w:ascii="Arial" w:eastAsia="宋体" w:hAnsi="Arial" w:cs="Arial"/>
                <w:color w:val="000000"/>
                <w:sz w:val="16"/>
                <w:szCs w:val="16"/>
              </w:rPr>
              <w:t>Brown Brothers Harriman &amp; Co</w:t>
            </w:r>
          </w:p>
        </w:tc>
        <w:tc>
          <w:tcPr>
            <w:tcW w:w="0" w:type="auto"/>
            <w:gridSpan w:val="3"/>
            <w:shd w:val="clear" w:color="auto" w:fill="auto"/>
            <w:tcMar>
              <w:top w:w="40" w:type="dxa"/>
              <w:left w:w="20" w:type="dxa"/>
              <w:bottom w:w="40" w:type="dxa"/>
              <w:right w:w="20" w:type="dxa"/>
            </w:tcMar>
            <w:vAlign w:val="bottom"/>
          </w:tcPr>
          <w:p w14:paraId="5F2D6680" w14:textId="77777777" w:rsidR="00E836FB" w:rsidRDefault="00994958">
            <w:pPr>
              <w:textAlignment w:val="bottom"/>
            </w:pPr>
            <w:r>
              <w:rPr>
                <w:rFonts w:ascii="Arial" w:eastAsia="宋体" w:hAnsi="Arial" w:cs="Arial"/>
                <w:color w:val="000000"/>
                <w:sz w:val="16"/>
                <w:szCs w:val="16"/>
              </w:rPr>
              <w:t>MMLF</w:t>
            </w:r>
          </w:p>
        </w:tc>
        <w:tc>
          <w:tcPr>
            <w:tcW w:w="0" w:type="auto"/>
            <w:gridSpan w:val="3"/>
            <w:shd w:val="clear" w:color="auto" w:fill="auto"/>
            <w:tcMar>
              <w:top w:w="40" w:type="dxa"/>
              <w:left w:w="20" w:type="dxa"/>
              <w:bottom w:w="40" w:type="dxa"/>
              <w:right w:w="20" w:type="dxa"/>
            </w:tcMar>
            <w:vAlign w:val="center"/>
          </w:tcPr>
          <w:p w14:paraId="5F2D6681" w14:textId="77777777" w:rsidR="00E836FB" w:rsidRDefault="00994958">
            <w:pPr>
              <w:textAlignment w:val="center"/>
            </w:pPr>
            <w:r>
              <w:rPr>
                <w:rFonts w:ascii="Arial" w:eastAsia="宋体" w:hAnsi="Arial" w:cs="Arial"/>
                <w:color w:val="000000"/>
                <w:sz w:val="16"/>
                <w:szCs w:val="16"/>
              </w:rPr>
              <w:t>Money Market Mutual Fund Liquidity Facility</w:t>
            </w:r>
          </w:p>
        </w:tc>
      </w:tr>
      <w:tr w:rsidR="00E836FB" w14:paraId="5F2D6687" w14:textId="77777777">
        <w:tc>
          <w:tcPr>
            <w:tcW w:w="0" w:type="auto"/>
            <w:gridSpan w:val="3"/>
            <w:shd w:val="clear" w:color="auto" w:fill="auto"/>
            <w:tcMar>
              <w:top w:w="40" w:type="dxa"/>
              <w:left w:w="20" w:type="dxa"/>
              <w:bottom w:w="40" w:type="dxa"/>
              <w:right w:w="20" w:type="dxa"/>
            </w:tcMar>
            <w:vAlign w:val="center"/>
          </w:tcPr>
          <w:p w14:paraId="5F2D6683" w14:textId="77777777" w:rsidR="00E836FB" w:rsidRDefault="00994958">
            <w:pPr>
              <w:textAlignment w:val="center"/>
            </w:pPr>
            <w:r>
              <w:rPr>
                <w:rFonts w:ascii="Arial" w:eastAsia="宋体" w:hAnsi="Arial" w:cs="Arial"/>
                <w:color w:val="000000"/>
                <w:sz w:val="16"/>
                <w:szCs w:val="16"/>
              </w:rPr>
              <w:t>BCC</w:t>
            </w:r>
          </w:p>
        </w:tc>
        <w:tc>
          <w:tcPr>
            <w:tcW w:w="0" w:type="auto"/>
            <w:gridSpan w:val="3"/>
            <w:shd w:val="clear" w:color="auto" w:fill="auto"/>
            <w:tcMar>
              <w:top w:w="40" w:type="dxa"/>
              <w:left w:w="20" w:type="dxa"/>
              <w:bottom w:w="40" w:type="dxa"/>
              <w:right w:w="20" w:type="dxa"/>
            </w:tcMar>
            <w:vAlign w:val="center"/>
          </w:tcPr>
          <w:p w14:paraId="5F2D6684" w14:textId="77777777" w:rsidR="00E836FB" w:rsidRDefault="00994958">
            <w:pPr>
              <w:textAlignment w:val="center"/>
            </w:pPr>
            <w:r>
              <w:rPr>
                <w:rFonts w:ascii="Arial" w:eastAsia="宋体" w:hAnsi="Arial" w:cs="Arial"/>
                <w:color w:val="000000"/>
                <w:sz w:val="16"/>
                <w:szCs w:val="16"/>
              </w:rPr>
              <w:t>Business Conduct Committee</w:t>
            </w:r>
          </w:p>
        </w:tc>
        <w:tc>
          <w:tcPr>
            <w:tcW w:w="0" w:type="auto"/>
            <w:gridSpan w:val="3"/>
            <w:shd w:val="clear" w:color="auto" w:fill="auto"/>
            <w:tcMar>
              <w:top w:w="40" w:type="dxa"/>
              <w:left w:w="20" w:type="dxa"/>
              <w:bottom w:w="40" w:type="dxa"/>
              <w:right w:w="20" w:type="dxa"/>
            </w:tcMar>
            <w:vAlign w:val="center"/>
          </w:tcPr>
          <w:p w14:paraId="5F2D6685" w14:textId="77777777" w:rsidR="00E836FB" w:rsidRDefault="00994958">
            <w:pPr>
              <w:textAlignment w:val="center"/>
            </w:pPr>
            <w:r>
              <w:rPr>
                <w:rFonts w:ascii="Arial" w:eastAsia="宋体" w:hAnsi="Arial" w:cs="Arial"/>
                <w:color w:val="000000"/>
                <w:sz w:val="16"/>
                <w:szCs w:val="16"/>
              </w:rPr>
              <w:t>MRAC</w:t>
            </w:r>
          </w:p>
        </w:tc>
        <w:tc>
          <w:tcPr>
            <w:tcW w:w="0" w:type="auto"/>
            <w:gridSpan w:val="3"/>
            <w:shd w:val="clear" w:color="auto" w:fill="auto"/>
            <w:tcMar>
              <w:top w:w="40" w:type="dxa"/>
              <w:left w:w="20" w:type="dxa"/>
              <w:bottom w:w="40" w:type="dxa"/>
              <w:right w:w="20" w:type="dxa"/>
            </w:tcMar>
            <w:vAlign w:val="center"/>
          </w:tcPr>
          <w:p w14:paraId="5F2D6686" w14:textId="77777777" w:rsidR="00E836FB" w:rsidRDefault="00994958">
            <w:pPr>
              <w:textAlignment w:val="center"/>
            </w:pPr>
            <w:r>
              <w:rPr>
                <w:rFonts w:ascii="Arial" w:eastAsia="宋体" w:hAnsi="Arial" w:cs="Arial"/>
                <w:color w:val="000000"/>
                <w:sz w:val="16"/>
                <w:szCs w:val="16"/>
              </w:rPr>
              <w:t>Management Risk and Capital Committee</w:t>
            </w:r>
          </w:p>
        </w:tc>
      </w:tr>
      <w:tr w:rsidR="00E836FB" w14:paraId="5F2D668C" w14:textId="77777777">
        <w:tc>
          <w:tcPr>
            <w:tcW w:w="0" w:type="auto"/>
            <w:gridSpan w:val="3"/>
            <w:shd w:val="clear" w:color="auto" w:fill="auto"/>
            <w:tcMar>
              <w:top w:w="40" w:type="dxa"/>
              <w:left w:w="20" w:type="dxa"/>
              <w:bottom w:w="40" w:type="dxa"/>
              <w:right w:w="20" w:type="dxa"/>
            </w:tcMar>
            <w:vAlign w:val="center"/>
          </w:tcPr>
          <w:p w14:paraId="5F2D6688" w14:textId="77777777" w:rsidR="00E836FB" w:rsidRDefault="00994958">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5F2D6689" w14:textId="77777777" w:rsidR="00E836FB" w:rsidRDefault="00994958">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5F2D668A" w14:textId="77777777" w:rsidR="00E836FB" w:rsidRDefault="00994958">
            <w:pPr>
              <w:textAlignment w:val="center"/>
            </w:pPr>
            <w:r>
              <w:rPr>
                <w:rFonts w:ascii="Arial" w:eastAsia="宋体" w:hAnsi="Arial" w:cs="Arial"/>
                <w:color w:val="000000"/>
                <w:sz w:val="16"/>
                <w:szCs w:val="16"/>
              </w:rPr>
              <w:t>MRC</w:t>
            </w:r>
          </w:p>
        </w:tc>
        <w:tc>
          <w:tcPr>
            <w:tcW w:w="0" w:type="auto"/>
            <w:gridSpan w:val="3"/>
            <w:shd w:val="clear" w:color="auto" w:fill="auto"/>
            <w:tcMar>
              <w:top w:w="40" w:type="dxa"/>
              <w:left w:w="20" w:type="dxa"/>
              <w:bottom w:w="40" w:type="dxa"/>
              <w:right w:w="20" w:type="dxa"/>
            </w:tcMar>
            <w:vAlign w:val="center"/>
          </w:tcPr>
          <w:p w14:paraId="5F2D668B" w14:textId="77777777" w:rsidR="00E836FB" w:rsidRDefault="00994958">
            <w:pPr>
              <w:textAlignment w:val="center"/>
            </w:pPr>
            <w:r>
              <w:rPr>
                <w:rFonts w:ascii="Arial" w:eastAsia="宋体" w:hAnsi="Arial" w:cs="Arial"/>
                <w:color w:val="000000"/>
                <w:sz w:val="16"/>
                <w:szCs w:val="16"/>
              </w:rPr>
              <w:t>Model Risk Committee</w:t>
            </w:r>
          </w:p>
        </w:tc>
      </w:tr>
      <w:tr w:rsidR="00E836FB" w14:paraId="5F2D6691" w14:textId="77777777">
        <w:tc>
          <w:tcPr>
            <w:tcW w:w="0" w:type="auto"/>
            <w:gridSpan w:val="3"/>
            <w:shd w:val="clear" w:color="auto" w:fill="auto"/>
            <w:tcMar>
              <w:top w:w="40" w:type="dxa"/>
              <w:left w:w="20" w:type="dxa"/>
              <w:bottom w:w="40" w:type="dxa"/>
              <w:right w:w="20" w:type="dxa"/>
            </w:tcMar>
            <w:vAlign w:val="center"/>
          </w:tcPr>
          <w:p w14:paraId="5F2D668D" w14:textId="77777777" w:rsidR="00E836FB" w:rsidRDefault="00994958">
            <w:pPr>
              <w:textAlignment w:val="center"/>
            </w:pPr>
            <w:r>
              <w:rPr>
                <w:rFonts w:ascii="Arial" w:eastAsia="宋体" w:hAnsi="Arial" w:cs="Arial"/>
                <w:color w:val="000000"/>
                <w:sz w:val="16"/>
                <w:szCs w:val="16"/>
              </w:rPr>
              <w:t>CAP</w:t>
            </w:r>
          </w:p>
        </w:tc>
        <w:tc>
          <w:tcPr>
            <w:tcW w:w="0" w:type="auto"/>
            <w:gridSpan w:val="3"/>
            <w:shd w:val="clear" w:color="auto" w:fill="auto"/>
            <w:tcMar>
              <w:top w:w="40" w:type="dxa"/>
              <w:left w:w="20" w:type="dxa"/>
              <w:bottom w:w="40" w:type="dxa"/>
              <w:right w:w="20" w:type="dxa"/>
            </w:tcMar>
            <w:vAlign w:val="center"/>
          </w:tcPr>
          <w:p w14:paraId="5F2D668E" w14:textId="77777777" w:rsidR="00E836FB" w:rsidRDefault="00994958">
            <w:pPr>
              <w:textAlignment w:val="center"/>
            </w:pPr>
            <w:r>
              <w:rPr>
                <w:rFonts w:ascii="Arial" w:eastAsia="宋体" w:hAnsi="Arial" w:cs="Arial"/>
                <w:color w:val="000000"/>
                <w:sz w:val="16"/>
                <w:szCs w:val="16"/>
              </w:rPr>
              <w:t>Capital adequacy process</w:t>
            </w:r>
          </w:p>
        </w:tc>
        <w:tc>
          <w:tcPr>
            <w:tcW w:w="0" w:type="auto"/>
            <w:gridSpan w:val="3"/>
            <w:shd w:val="clear" w:color="auto" w:fill="auto"/>
            <w:tcMar>
              <w:top w:w="40" w:type="dxa"/>
              <w:left w:w="20" w:type="dxa"/>
              <w:bottom w:w="40" w:type="dxa"/>
              <w:right w:w="20" w:type="dxa"/>
            </w:tcMar>
            <w:vAlign w:val="center"/>
          </w:tcPr>
          <w:p w14:paraId="5F2D668F" w14:textId="77777777" w:rsidR="00E836FB" w:rsidRDefault="00994958">
            <w:pPr>
              <w:textAlignment w:val="center"/>
            </w:pPr>
            <w:r>
              <w:rPr>
                <w:rFonts w:ascii="Arial" w:eastAsia="宋体" w:hAnsi="Arial" w:cs="Arial"/>
                <w:color w:val="000000"/>
                <w:sz w:val="16"/>
                <w:szCs w:val="16"/>
              </w:rPr>
              <w:t>MRM</w:t>
            </w:r>
          </w:p>
        </w:tc>
        <w:tc>
          <w:tcPr>
            <w:tcW w:w="0" w:type="auto"/>
            <w:gridSpan w:val="3"/>
            <w:shd w:val="clear" w:color="auto" w:fill="auto"/>
            <w:tcMar>
              <w:top w:w="40" w:type="dxa"/>
              <w:left w:w="20" w:type="dxa"/>
              <w:bottom w:w="40" w:type="dxa"/>
              <w:right w:w="20" w:type="dxa"/>
            </w:tcMar>
            <w:vAlign w:val="center"/>
          </w:tcPr>
          <w:p w14:paraId="5F2D6690" w14:textId="77777777" w:rsidR="00E836FB" w:rsidRDefault="00994958">
            <w:pPr>
              <w:textAlignment w:val="center"/>
            </w:pPr>
            <w:r>
              <w:rPr>
                <w:rFonts w:ascii="Arial" w:eastAsia="宋体" w:hAnsi="Arial" w:cs="Arial"/>
                <w:color w:val="000000"/>
                <w:sz w:val="16"/>
                <w:szCs w:val="16"/>
              </w:rPr>
              <w:t>Model Risk Management</w:t>
            </w:r>
          </w:p>
        </w:tc>
      </w:tr>
      <w:tr w:rsidR="00E836FB" w14:paraId="5F2D6696" w14:textId="77777777">
        <w:tc>
          <w:tcPr>
            <w:tcW w:w="0" w:type="auto"/>
            <w:gridSpan w:val="3"/>
            <w:shd w:val="clear" w:color="auto" w:fill="auto"/>
            <w:tcMar>
              <w:top w:w="40" w:type="dxa"/>
              <w:left w:w="20" w:type="dxa"/>
              <w:bottom w:w="40" w:type="dxa"/>
              <w:right w:w="20" w:type="dxa"/>
            </w:tcMar>
            <w:vAlign w:val="center"/>
          </w:tcPr>
          <w:p w14:paraId="5F2D6692" w14:textId="77777777" w:rsidR="00E836FB" w:rsidRDefault="00994958">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5F2D6693" w14:textId="77777777" w:rsidR="00E836FB" w:rsidRDefault="00994958">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5F2D6694" w14:textId="77777777" w:rsidR="00E836FB" w:rsidRDefault="00994958">
            <w:pPr>
              <w:textAlignment w:val="center"/>
            </w:pPr>
            <w:r>
              <w:rPr>
                <w:rFonts w:ascii="Arial" w:eastAsia="宋体" w:hAnsi="Arial" w:cs="Arial"/>
                <w:color w:val="000000"/>
                <w:sz w:val="16"/>
                <w:szCs w:val="16"/>
              </w:rPr>
              <w:t>MVG</w:t>
            </w:r>
          </w:p>
        </w:tc>
        <w:tc>
          <w:tcPr>
            <w:tcW w:w="0" w:type="auto"/>
            <w:gridSpan w:val="3"/>
            <w:shd w:val="clear" w:color="auto" w:fill="auto"/>
            <w:tcMar>
              <w:top w:w="40" w:type="dxa"/>
              <w:left w:w="20" w:type="dxa"/>
              <w:bottom w:w="40" w:type="dxa"/>
              <w:right w:w="20" w:type="dxa"/>
            </w:tcMar>
            <w:vAlign w:val="center"/>
          </w:tcPr>
          <w:p w14:paraId="5F2D6695" w14:textId="77777777" w:rsidR="00E836FB" w:rsidRDefault="00994958">
            <w:pPr>
              <w:textAlignment w:val="center"/>
            </w:pPr>
            <w:r>
              <w:rPr>
                <w:rFonts w:ascii="Arial" w:eastAsia="宋体" w:hAnsi="Arial" w:cs="Arial"/>
                <w:color w:val="000000"/>
                <w:sz w:val="16"/>
                <w:szCs w:val="16"/>
              </w:rPr>
              <w:t>Model Validation Group</w:t>
            </w:r>
          </w:p>
        </w:tc>
      </w:tr>
      <w:tr w:rsidR="00E836FB" w14:paraId="5F2D669B" w14:textId="77777777">
        <w:tc>
          <w:tcPr>
            <w:tcW w:w="0" w:type="auto"/>
            <w:gridSpan w:val="3"/>
            <w:shd w:val="clear" w:color="auto" w:fill="auto"/>
            <w:tcMar>
              <w:top w:w="40" w:type="dxa"/>
              <w:left w:w="20" w:type="dxa"/>
              <w:bottom w:w="40" w:type="dxa"/>
              <w:right w:w="20" w:type="dxa"/>
            </w:tcMar>
            <w:vAlign w:val="center"/>
          </w:tcPr>
          <w:p w14:paraId="5F2D6697" w14:textId="77777777" w:rsidR="00E836FB" w:rsidRDefault="00994958">
            <w:pPr>
              <w:textAlignment w:val="center"/>
            </w:pPr>
            <w:r>
              <w:rPr>
                <w:rFonts w:ascii="Arial" w:eastAsia="宋体" w:hAnsi="Arial" w:cs="Arial"/>
                <w:color w:val="000000"/>
                <w:sz w:val="16"/>
                <w:szCs w:val="16"/>
              </w:rPr>
              <w:t>CECL</w:t>
            </w:r>
          </w:p>
        </w:tc>
        <w:tc>
          <w:tcPr>
            <w:tcW w:w="0" w:type="auto"/>
            <w:gridSpan w:val="3"/>
            <w:shd w:val="clear" w:color="auto" w:fill="auto"/>
            <w:tcMar>
              <w:top w:w="40" w:type="dxa"/>
              <w:left w:w="20" w:type="dxa"/>
              <w:bottom w:w="40" w:type="dxa"/>
              <w:right w:w="20" w:type="dxa"/>
            </w:tcMar>
            <w:vAlign w:val="center"/>
          </w:tcPr>
          <w:p w14:paraId="5F2D6698" w14:textId="77777777" w:rsidR="00E836FB" w:rsidRDefault="00994958">
            <w:pPr>
              <w:textAlignment w:val="center"/>
            </w:pPr>
            <w:r>
              <w:rPr>
                <w:rFonts w:ascii="Arial" w:eastAsia="宋体" w:hAnsi="Arial" w:cs="Arial"/>
                <w:color w:val="000000"/>
                <w:sz w:val="16"/>
                <w:szCs w:val="16"/>
              </w:rPr>
              <w:t>Current Expected Credit Loss</w:t>
            </w:r>
          </w:p>
        </w:tc>
        <w:tc>
          <w:tcPr>
            <w:tcW w:w="0" w:type="auto"/>
            <w:gridSpan w:val="3"/>
            <w:shd w:val="clear" w:color="auto" w:fill="auto"/>
            <w:tcMar>
              <w:top w:w="40" w:type="dxa"/>
              <w:left w:w="20" w:type="dxa"/>
              <w:bottom w:w="40" w:type="dxa"/>
              <w:right w:w="20" w:type="dxa"/>
            </w:tcMar>
            <w:vAlign w:val="center"/>
          </w:tcPr>
          <w:p w14:paraId="5F2D6699" w14:textId="77777777" w:rsidR="00E836FB" w:rsidRDefault="00994958">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5F2D669A" w14:textId="77777777" w:rsidR="00E836FB" w:rsidRDefault="00994958">
            <w:pPr>
              <w:textAlignment w:val="center"/>
            </w:pPr>
            <w:r>
              <w:rPr>
                <w:rFonts w:ascii="Arial" w:eastAsia="宋体" w:hAnsi="Arial" w:cs="Arial"/>
                <w:color w:val="000000"/>
                <w:sz w:val="16"/>
                <w:szCs w:val="16"/>
              </w:rPr>
              <w:t>Net interest income</w:t>
            </w:r>
          </w:p>
        </w:tc>
      </w:tr>
      <w:tr w:rsidR="00E836FB" w14:paraId="5F2D66A0" w14:textId="77777777">
        <w:tc>
          <w:tcPr>
            <w:tcW w:w="0" w:type="auto"/>
            <w:gridSpan w:val="3"/>
            <w:shd w:val="clear" w:color="auto" w:fill="auto"/>
            <w:tcMar>
              <w:top w:w="40" w:type="dxa"/>
              <w:left w:w="20" w:type="dxa"/>
              <w:bottom w:w="40" w:type="dxa"/>
              <w:right w:w="20" w:type="dxa"/>
            </w:tcMar>
            <w:vAlign w:val="center"/>
          </w:tcPr>
          <w:p w14:paraId="5F2D669C" w14:textId="77777777" w:rsidR="00E836FB" w:rsidRDefault="00994958">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69D" w14:textId="77777777" w:rsidR="00E836FB" w:rsidRDefault="00994958">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5F2D669E" w14:textId="77777777" w:rsidR="00E836FB" w:rsidRDefault="00994958">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5F2D669F" w14:textId="77777777" w:rsidR="00E836FB" w:rsidRDefault="00994958">
            <w:pPr>
              <w:textAlignment w:val="center"/>
            </w:pPr>
            <w:r>
              <w:rPr>
                <w:rFonts w:ascii="Arial" w:eastAsia="宋体" w:hAnsi="Arial" w:cs="Arial"/>
                <w:color w:val="000000"/>
                <w:sz w:val="16"/>
                <w:szCs w:val="16"/>
              </w:rPr>
              <w:t>Net interest margin</w:t>
            </w:r>
          </w:p>
        </w:tc>
      </w:tr>
      <w:tr w:rsidR="00E836FB" w14:paraId="5F2D66A5" w14:textId="77777777">
        <w:tc>
          <w:tcPr>
            <w:tcW w:w="0" w:type="auto"/>
            <w:gridSpan w:val="3"/>
            <w:shd w:val="clear" w:color="auto" w:fill="auto"/>
            <w:tcMar>
              <w:top w:w="40" w:type="dxa"/>
              <w:left w:w="20" w:type="dxa"/>
              <w:bottom w:w="40" w:type="dxa"/>
              <w:right w:w="20" w:type="dxa"/>
            </w:tcMar>
            <w:vAlign w:val="center"/>
          </w:tcPr>
          <w:p w14:paraId="5F2D66A1" w14:textId="77777777" w:rsidR="00E836FB" w:rsidRDefault="00994958">
            <w:pPr>
              <w:textAlignment w:val="center"/>
            </w:pPr>
            <w:r>
              <w:rPr>
                <w:rFonts w:ascii="Arial" w:eastAsia="宋体" w:hAnsi="Arial" w:cs="Arial"/>
                <w:color w:val="000000"/>
                <w:sz w:val="16"/>
                <w:szCs w:val="16"/>
              </w:rPr>
              <w:t>CFTC</w:t>
            </w:r>
          </w:p>
        </w:tc>
        <w:tc>
          <w:tcPr>
            <w:tcW w:w="0" w:type="auto"/>
            <w:gridSpan w:val="3"/>
            <w:shd w:val="clear" w:color="auto" w:fill="auto"/>
            <w:tcMar>
              <w:top w:w="40" w:type="dxa"/>
              <w:left w:w="20" w:type="dxa"/>
              <w:bottom w:w="40" w:type="dxa"/>
              <w:right w:w="20" w:type="dxa"/>
            </w:tcMar>
            <w:vAlign w:val="center"/>
          </w:tcPr>
          <w:p w14:paraId="5F2D66A2" w14:textId="77777777" w:rsidR="00E836FB" w:rsidRDefault="00994958">
            <w:pPr>
              <w:textAlignment w:val="center"/>
            </w:pPr>
            <w:r>
              <w:rPr>
                <w:rFonts w:ascii="Arial" w:eastAsia="宋体" w:hAnsi="Arial" w:cs="Arial"/>
                <w:color w:val="000000"/>
                <w:sz w:val="16"/>
                <w:szCs w:val="16"/>
              </w:rPr>
              <w:t>Commodity Futures Trading Commission</w:t>
            </w:r>
          </w:p>
        </w:tc>
        <w:tc>
          <w:tcPr>
            <w:tcW w:w="0" w:type="auto"/>
            <w:gridSpan w:val="3"/>
            <w:shd w:val="clear" w:color="auto" w:fill="auto"/>
            <w:tcMar>
              <w:top w:w="40" w:type="dxa"/>
              <w:left w:w="20" w:type="dxa"/>
              <w:bottom w:w="40" w:type="dxa"/>
              <w:right w:w="20" w:type="dxa"/>
            </w:tcMar>
            <w:vAlign w:val="center"/>
          </w:tcPr>
          <w:p w14:paraId="5F2D66A3" w14:textId="77777777" w:rsidR="00E836FB" w:rsidRDefault="00994958">
            <w:pPr>
              <w:textAlignment w:val="center"/>
            </w:pPr>
            <w:r>
              <w:rPr>
                <w:rFonts w:ascii="Arial" w:eastAsia="宋体" w:hAnsi="Arial" w:cs="Arial"/>
                <w:color w:val="000000"/>
                <w:sz w:val="16"/>
                <w:szCs w:val="16"/>
              </w:rPr>
              <w:t>NOL</w:t>
            </w:r>
          </w:p>
        </w:tc>
        <w:tc>
          <w:tcPr>
            <w:tcW w:w="0" w:type="auto"/>
            <w:gridSpan w:val="3"/>
            <w:shd w:val="clear" w:color="auto" w:fill="auto"/>
            <w:tcMar>
              <w:top w:w="40" w:type="dxa"/>
              <w:left w:w="20" w:type="dxa"/>
              <w:bottom w:w="40" w:type="dxa"/>
              <w:right w:w="20" w:type="dxa"/>
            </w:tcMar>
            <w:vAlign w:val="center"/>
          </w:tcPr>
          <w:p w14:paraId="5F2D66A4" w14:textId="77777777" w:rsidR="00E836FB" w:rsidRDefault="00994958">
            <w:pPr>
              <w:textAlignment w:val="center"/>
            </w:pPr>
            <w:r>
              <w:rPr>
                <w:rFonts w:ascii="Arial" w:eastAsia="宋体" w:hAnsi="Arial" w:cs="Arial"/>
                <w:color w:val="000000"/>
                <w:sz w:val="16"/>
                <w:szCs w:val="16"/>
              </w:rPr>
              <w:t>Net Operating Loss</w:t>
            </w:r>
          </w:p>
        </w:tc>
      </w:tr>
      <w:tr w:rsidR="00E836FB" w14:paraId="5F2D66AA" w14:textId="77777777">
        <w:tc>
          <w:tcPr>
            <w:tcW w:w="0" w:type="auto"/>
            <w:gridSpan w:val="3"/>
            <w:shd w:val="clear" w:color="auto" w:fill="auto"/>
            <w:tcMar>
              <w:top w:w="40" w:type="dxa"/>
              <w:left w:w="20" w:type="dxa"/>
              <w:bottom w:w="40" w:type="dxa"/>
              <w:right w:w="20" w:type="dxa"/>
            </w:tcMar>
            <w:vAlign w:val="center"/>
          </w:tcPr>
          <w:p w14:paraId="5F2D66A6" w14:textId="77777777" w:rsidR="00E836FB" w:rsidRDefault="00994958">
            <w:pPr>
              <w:textAlignment w:val="center"/>
            </w:pPr>
            <w:r>
              <w:rPr>
                <w:rFonts w:ascii="Arial" w:eastAsia="宋体" w:hAnsi="Arial" w:cs="Arial"/>
                <w:color w:val="000000"/>
                <w:sz w:val="16"/>
                <w:szCs w:val="16"/>
              </w:rPr>
              <w:t>CIS</w:t>
            </w:r>
          </w:p>
        </w:tc>
        <w:tc>
          <w:tcPr>
            <w:tcW w:w="0" w:type="auto"/>
            <w:gridSpan w:val="3"/>
            <w:shd w:val="clear" w:color="auto" w:fill="auto"/>
            <w:tcMar>
              <w:top w:w="40" w:type="dxa"/>
              <w:left w:w="20" w:type="dxa"/>
              <w:bottom w:w="40" w:type="dxa"/>
              <w:right w:w="20" w:type="dxa"/>
            </w:tcMar>
            <w:vAlign w:val="center"/>
          </w:tcPr>
          <w:p w14:paraId="5F2D66A7" w14:textId="77777777" w:rsidR="00E836FB" w:rsidRDefault="00994958">
            <w:pPr>
              <w:textAlignment w:val="center"/>
            </w:pPr>
            <w:r>
              <w:rPr>
                <w:rFonts w:ascii="Arial" w:eastAsia="宋体" w:hAnsi="Arial" w:cs="Arial"/>
                <w:color w:val="000000"/>
                <w:sz w:val="16"/>
                <w:szCs w:val="16"/>
              </w:rPr>
              <w:t>Corporate Information Security</w:t>
            </w:r>
          </w:p>
        </w:tc>
        <w:tc>
          <w:tcPr>
            <w:tcW w:w="0" w:type="auto"/>
            <w:gridSpan w:val="3"/>
            <w:shd w:val="clear" w:color="auto" w:fill="auto"/>
            <w:tcMar>
              <w:top w:w="40" w:type="dxa"/>
              <w:left w:w="20" w:type="dxa"/>
              <w:bottom w:w="40" w:type="dxa"/>
              <w:right w:w="20" w:type="dxa"/>
            </w:tcMar>
            <w:vAlign w:val="center"/>
          </w:tcPr>
          <w:p w14:paraId="5F2D66A8" w14:textId="77777777" w:rsidR="00E836FB" w:rsidRDefault="00994958">
            <w:pPr>
              <w:textAlignment w:val="center"/>
            </w:pPr>
            <w:r>
              <w:rPr>
                <w:rFonts w:ascii="Arial" w:eastAsia="宋体" w:hAnsi="Arial" w:cs="Arial"/>
                <w:color w:val="000000"/>
                <w:sz w:val="16"/>
                <w:szCs w:val="16"/>
              </w:rPr>
              <w:t>NSFR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6A9" w14:textId="77777777" w:rsidR="00E836FB" w:rsidRDefault="00994958">
            <w:pPr>
              <w:textAlignment w:val="center"/>
            </w:pPr>
            <w:r>
              <w:rPr>
                <w:rFonts w:ascii="Arial" w:eastAsia="宋体" w:hAnsi="Arial" w:cs="Arial"/>
                <w:color w:val="000000"/>
                <w:sz w:val="16"/>
                <w:szCs w:val="16"/>
              </w:rPr>
              <w:t>Net stable funding ratio</w:t>
            </w:r>
          </w:p>
        </w:tc>
      </w:tr>
      <w:tr w:rsidR="00E836FB" w14:paraId="5F2D66AF" w14:textId="77777777">
        <w:tc>
          <w:tcPr>
            <w:tcW w:w="0" w:type="auto"/>
            <w:gridSpan w:val="3"/>
            <w:shd w:val="clear" w:color="auto" w:fill="auto"/>
            <w:tcMar>
              <w:top w:w="40" w:type="dxa"/>
              <w:left w:w="20" w:type="dxa"/>
              <w:bottom w:w="40" w:type="dxa"/>
              <w:right w:w="20" w:type="dxa"/>
            </w:tcMar>
            <w:vAlign w:val="center"/>
          </w:tcPr>
          <w:p w14:paraId="5F2D66AB" w14:textId="77777777" w:rsidR="00E836FB" w:rsidRDefault="00994958">
            <w:pPr>
              <w:textAlignment w:val="center"/>
            </w:pPr>
            <w:r>
              <w:rPr>
                <w:rFonts w:ascii="Arial" w:eastAsia="宋体" w:hAnsi="Arial" w:cs="Arial"/>
                <w:color w:val="000000"/>
                <w:sz w:val="16"/>
                <w:szCs w:val="16"/>
              </w:rPr>
              <w:t>CLO</w:t>
            </w:r>
          </w:p>
        </w:tc>
        <w:tc>
          <w:tcPr>
            <w:tcW w:w="0" w:type="auto"/>
            <w:gridSpan w:val="3"/>
            <w:shd w:val="clear" w:color="auto" w:fill="auto"/>
            <w:tcMar>
              <w:top w:w="40" w:type="dxa"/>
              <w:left w:w="20" w:type="dxa"/>
              <w:bottom w:w="40" w:type="dxa"/>
              <w:right w:w="20" w:type="dxa"/>
            </w:tcMar>
            <w:vAlign w:val="center"/>
          </w:tcPr>
          <w:p w14:paraId="5F2D66AC" w14:textId="77777777" w:rsidR="00E836FB" w:rsidRDefault="00994958">
            <w:pPr>
              <w:textAlignment w:val="center"/>
            </w:pPr>
            <w:r>
              <w:rPr>
                <w:rFonts w:ascii="Arial" w:eastAsia="宋体" w:hAnsi="Arial" w:cs="Arial"/>
                <w:color w:val="000000"/>
                <w:sz w:val="16"/>
                <w:szCs w:val="16"/>
              </w:rPr>
              <w:t>Collateralized Loan Obligation</w:t>
            </w:r>
          </w:p>
        </w:tc>
        <w:tc>
          <w:tcPr>
            <w:tcW w:w="0" w:type="auto"/>
            <w:gridSpan w:val="3"/>
            <w:shd w:val="clear" w:color="auto" w:fill="auto"/>
            <w:tcMar>
              <w:top w:w="40" w:type="dxa"/>
              <w:left w:w="20" w:type="dxa"/>
              <w:bottom w:w="40" w:type="dxa"/>
              <w:right w:w="20" w:type="dxa"/>
            </w:tcMar>
            <w:vAlign w:val="center"/>
          </w:tcPr>
          <w:p w14:paraId="5F2D66AD" w14:textId="77777777" w:rsidR="00E836FB" w:rsidRDefault="00994958">
            <w:pPr>
              <w:textAlignment w:val="center"/>
            </w:pPr>
            <w:r>
              <w:rPr>
                <w:rFonts w:ascii="Arial" w:eastAsia="宋体" w:hAnsi="Arial" w:cs="Arial"/>
                <w:color w:val="000000"/>
                <w:sz w:val="16"/>
                <w:szCs w:val="16"/>
              </w:rPr>
              <w:t>OCC</w:t>
            </w:r>
          </w:p>
        </w:tc>
        <w:tc>
          <w:tcPr>
            <w:tcW w:w="0" w:type="auto"/>
            <w:gridSpan w:val="3"/>
            <w:shd w:val="clear" w:color="auto" w:fill="auto"/>
            <w:tcMar>
              <w:top w:w="40" w:type="dxa"/>
              <w:left w:w="20" w:type="dxa"/>
              <w:bottom w:w="40" w:type="dxa"/>
              <w:right w:w="20" w:type="dxa"/>
            </w:tcMar>
            <w:vAlign w:val="center"/>
          </w:tcPr>
          <w:p w14:paraId="5F2D66AE" w14:textId="77777777" w:rsidR="00E836FB" w:rsidRDefault="00994958">
            <w:pPr>
              <w:textAlignment w:val="center"/>
            </w:pPr>
            <w:r>
              <w:rPr>
                <w:rFonts w:ascii="Arial" w:eastAsia="宋体" w:hAnsi="Arial" w:cs="Arial"/>
                <w:color w:val="000000"/>
                <w:sz w:val="16"/>
                <w:szCs w:val="16"/>
              </w:rPr>
              <w:t>Office of the Comptroller of the Currency</w:t>
            </w:r>
          </w:p>
        </w:tc>
      </w:tr>
      <w:tr w:rsidR="00E836FB" w14:paraId="5F2D66B4" w14:textId="77777777">
        <w:tc>
          <w:tcPr>
            <w:tcW w:w="0" w:type="auto"/>
            <w:gridSpan w:val="3"/>
            <w:shd w:val="clear" w:color="auto" w:fill="auto"/>
            <w:tcMar>
              <w:top w:w="40" w:type="dxa"/>
              <w:left w:w="20" w:type="dxa"/>
              <w:bottom w:w="40" w:type="dxa"/>
              <w:right w:w="20" w:type="dxa"/>
            </w:tcMar>
            <w:vAlign w:val="center"/>
          </w:tcPr>
          <w:p w14:paraId="5F2D66B0" w14:textId="77777777" w:rsidR="00E836FB" w:rsidRDefault="00994958">
            <w:pPr>
              <w:textAlignment w:val="center"/>
            </w:pPr>
            <w:r>
              <w:rPr>
                <w:rFonts w:ascii="Arial" w:eastAsia="宋体" w:hAnsi="Arial" w:cs="Arial"/>
                <w:color w:val="000000"/>
                <w:sz w:val="16"/>
                <w:szCs w:val="16"/>
              </w:rPr>
              <w:t>CMRC</w:t>
            </w:r>
          </w:p>
        </w:tc>
        <w:tc>
          <w:tcPr>
            <w:tcW w:w="0" w:type="auto"/>
            <w:gridSpan w:val="3"/>
            <w:shd w:val="clear" w:color="auto" w:fill="auto"/>
            <w:tcMar>
              <w:top w:w="40" w:type="dxa"/>
              <w:left w:w="20" w:type="dxa"/>
              <w:bottom w:w="40" w:type="dxa"/>
              <w:right w:w="20" w:type="dxa"/>
            </w:tcMar>
            <w:vAlign w:val="center"/>
          </w:tcPr>
          <w:p w14:paraId="5F2D66B1" w14:textId="77777777" w:rsidR="00E836FB" w:rsidRDefault="00994958">
            <w:pPr>
              <w:textAlignment w:val="center"/>
            </w:pPr>
            <w:r>
              <w:rPr>
                <w:rFonts w:ascii="Arial" w:eastAsia="宋体" w:hAnsi="Arial" w:cs="Arial"/>
                <w:color w:val="000000"/>
                <w:sz w:val="16"/>
                <w:szCs w:val="16"/>
              </w:rPr>
              <w:t>Credit and Market Risk Committee</w:t>
            </w:r>
          </w:p>
        </w:tc>
        <w:tc>
          <w:tcPr>
            <w:tcW w:w="0" w:type="auto"/>
            <w:gridSpan w:val="3"/>
            <w:shd w:val="clear" w:color="auto" w:fill="auto"/>
            <w:tcMar>
              <w:top w:w="40" w:type="dxa"/>
              <w:left w:w="20" w:type="dxa"/>
              <w:bottom w:w="40" w:type="dxa"/>
              <w:right w:w="20" w:type="dxa"/>
            </w:tcMar>
            <w:vAlign w:val="center"/>
          </w:tcPr>
          <w:p w14:paraId="5F2D66B2" w14:textId="77777777" w:rsidR="00E836FB" w:rsidRDefault="00994958">
            <w:pPr>
              <w:textAlignment w:val="center"/>
            </w:pPr>
            <w:r>
              <w:rPr>
                <w:rFonts w:ascii="Arial" w:eastAsia="宋体" w:hAnsi="Arial" w:cs="Arial"/>
                <w:color w:val="000000"/>
                <w:sz w:val="16"/>
                <w:szCs w:val="16"/>
              </w:rPr>
              <w:t>ORM</w:t>
            </w:r>
          </w:p>
        </w:tc>
        <w:tc>
          <w:tcPr>
            <w:tcW w:w="0" w:type="auto"/>
            <w:gridSpan w:val="3"/>
            <w:shd w:val="clear" w:color="auto" w:fill="auto"/>
            <w:tcMar>
              <w:top w:w="40" w:type="dxa"/>
              <w:left w:w="20" w:type="dxa"/>
              <w:bottom w:w="40" w:type="dxa"/>
              <w:right w:w="20" w:type="dxa"/>
            </w:tcMar>
            <w:vAlign w:val="center"/>
          </w:tcPr>
          <w:p w14:paraId="5F2D66B3" w14:textId="77777777" w:rsidR="00E836FB" w:rsidRDefault="00994958">
            <w:pPr>
              <w:textAlignment w:val="center"/>
            </w:pPr>
            <w:r>
              <w:rPr>
                <w:rFonts w:ascii="Arial" w:eastAsia="宋体" w:hAnsi="Arial" w:cs="Arial"/>
                <w:color w:val="000000"/>
                <w:sz w:val="16"/>
                <w:szCs w:val="16"/>
              </w:rPr>
              <w:t>Operational risk management</w:t>
            </w:r>
          </w:p>
        </w:tc>
      </w:tr>
      <w:tr w:rsidR="00E836FB" w14:paraId="5F2D66B9" w14:textId="77777777">
        <w:tc>
          <w:tcPr>
            <w:tcW w:w="0" w:type="auto"/>
            <w:gridSpan w:val="3"/>
            <w:shd w:val="clear" w:color="auto" w:fill="auto"/>
            <w:tcMar>
              <w:top w:w="40" w:type="dxa"/>
              <w:left w:w="20" w:type="dxa"/>
              <w:bottom w:w="40" w:type="dxa"/>
              <w:right w:w="20" w:type="dxa"/>
            </w:tcMar>
            <w:vAlign w:val="center"/>
          </w:tcPr>
          <w:p w14:paraId="5F2D66B5" w14:textId="77777777" w:rsidR="00E836FB" w:rsidRDefault="00994958">
            <w:pPr>
              <w:textAlignment w:val="center"/>
            </w:pPr>
            <w:r>
              <w:rPr>
                <w:rFonts w:ascii="Arial" w:eastAsia="宋体" w:hAnsi="Arial" w:cs="Arial"/>
                <w:color w:val="000000"/>
                <w:sz w:val="16"/>
                <w:szCs w:val="16"/>
              </w:rPr>
              <w:t>COSO</w:t>
            </w:r>
          </w:p>
        </w:tc>
        <w:tc>
          <w:tcPr>
            <w:tcW w:w="0" w:type="auto"/>
            <w:gridSpan w:val="3"/>
            <w:shd w:val="clear" w:color="auto" w:fill="auto"/>
            <w:tcMar>
              <w:top w:w="40" w:type="dxa"/>
              <w:left w:w="20" w:type="dxa"/>
              <w:bottom w:w="40" w:type="dxa"/>
              <w:right w:w="20" w:type="dxa"/>
            </w:tcMar>
            <w:vAlign w:val="center"/>
          </w:tcPr>
          <w:p w14:paraId="5F2D66B6" w14:textId="77777777" w:rsidR="00E836FB" w:rsidRDefault="00994958">
            <w:pPr>
              <w:textAlignment w:val="center"/>
            </w:pPr>
            <w:r>
              <w:rPr>
                <w:rFonts w:ascii="Arial" w:eastAsia="宋体" w:hAnsi="Arial" w:cs="Arial"/>
                <w:color w:val="000000"/>
                <w:sz w:val="16"/>
                <w:szCs w:val="16"/>
              </w:rPr>
              <w:t>Committee of Sponsoring Organizations of the Treadway Commission</w:t>
            </w:r>
          </w:p>
        </w:tc>
        <w:tc>
          <w:tcPr>
            <w:tcW w:w="0" w:type="auto"/>
            <w:gridSpan w:val="3"/>
            <w:shd w:val="clear" w:color="auto" w:fill="auto"/>
            <w:tcMar>
              <w:top w:w="40" w:type="dxa"/>
              <w:left w:w="20" w:type="dxa"/>
              <w:bottom w:w="40" w:type="dxa"/>
              <w:right w:w="20" w:type="dxa"/>
            </w:tcMar>
            <w:vAlign w:val="center"/>
          </w:tcPr>
          <w:p w14:paraId="5F2D66B7" w14:textId="77777777" w:rsidR="00E836FB" w:rsidRDefault="00994958">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5F2D66B8" w14:textId="77777777" w:rsidR="00E836FB" w:rsidRDefault="00994958">
            <w:pPr>
              <w:textAlignment w:val="center"/>
            </w:pPr>
            <w:r>
              <w:rPr>
                <w:rFonts w:ascii="Arial" w:eastAsia="宋体" w:hAnsi="Arial" w:cs="Arial"/>
                <w:color w:val="000000"/>
                <w:sz w:val="16"/>
                <w:szCs w:val="16"/>
              </w:rPr>
              <w:t>Over-the-counter</w:t>
            </w:r>
          </w:p>
        </w:tc>
      </w:tr>
      <w:tr w:rsidR="00E836FB" w14:paraId="5F2D66BE" w14:textId="77777777">
        <w:tc>
          <w:tcPr>
            <w:tcW w:w="0" w:type="auto"/>
            <w:gridSpan w:val="3"/>
            <w:shd w:val="clear" w:color="auto" w:fill="auto"/>
            <w:tcMar>
              <w:top w:w="40" w:type="dxa"/>
              <w:left w:w="20" w:type="dxa"/>
              <w:bottom w:w="40" w:type="dxa"/>
              <w:right w:w="20" w:type="dxa"/>
            </w:tcMar>
            <w:vAlign w:val="center"/>
          </w:tcPr>
          <w:p w14:paraId="5F2D66BA" w14:textId="77777777" w:rsidR="00E836FB" w:rsidRDefault="00994958">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5F2D66BB" w14:textId="77777777" w:rsidR="00E836FB" w:rsidRDefault="00994958">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5F2D66BC" w14:textId="77777777" w:rsidR="00E836FB" w:rsidRDefault="00994958">
            <w:pPr>
              <w:textAlignment w:val="center"/>
            </w:pPr>
            <w:r>
              <w:rPr>
                <w:rFonts w:ascii="Arial" w:eastAsia="宋体" w:hAnsi="Arial" w:cs="Arial"/>
                <w:color w:val="000000"/>
                <w:sz w:val="16"/>
                <w:szCs w:val="16"/>
              </w:rPr>
              <w:t>OTTI</w:t>
            </w:r>
          </w:p>
        </w:tc>
        <w:tc>
          <w:tcPr>
            <w:tcW w:w="0" w:type="auto"/>
            <w:gridSpan w:val="3"/>
            <w:shd w:val="clear" w:color="auto" w:fill="auto"/>
            <w:tcMar>
              <w:top w:w="40" w:type="dxa"/>
              <w:left w:w="20" w:type="dxa"/>
              <w:bottom w:w="40" w:type="dxa"/>
              <w:right w:w="20" w:type="dxa"/>
            </w:tcMar>
            <w:vAlign w:val="center"/>
          </w:tcPr>
          <w:p w14:paraId="5F2D66BD" w14:textId="77777777" w:rsidR="00E836FB" w:rsidRDefault="00994958">
            <w:pPr>
              <w:textAlignment w:val="center"/>
            </w:pPr>
            <w:r>
              <w:rPr>
                <w:rFonts w:ascii="Arial" w:eastAsia="宋体" w:hAnsi="Arial" w:cs="Arial"/>
                <w:color w:val="000000"/>
                <w:sz w:val="16"/>
                <w:szCs w:val="16"/>
              </w:rPr>
              <w:t>Other-than-temporary-impairment</w:t>
            </w:r>
          </w:p>
        </w:tc>
      </w:tr>
      <w:tr w:rsidR="00E836FB" w14:paraId="5F2D66C3" w14:textId="77777777">
        <w:tc>
          <w:tcPr>
            <w:tcW w:w="0" w:type="auto"/>
            <w:gridSpan w:val="3"/>
            <w:shd w:val="clear" w:color="auto" w:fill="auto"/>
            <w:tcMar>
              <w:top w:w="40" w:type="dxa"/>
              <w:left w:w="20" w:type="dxa"/>
              <w:bottom w:w="40" w:type="dxa"/>
              <w:right w:w="20" w:type="dxa"/>
            </w:tcMar>
            <w:vAlign w:val="center"/>
          </w:tcPr>
          <w:p w14:paraId="5F2D66BF" w14:textId="77777777" w:rsidR="00E836FB" w:rsidRDefault="00994958">
            <w:pPr>
              <w:textAlignment w:val="center"/>
            </w:pPr>
            <w:r>
              <w:rPr>
                <w:rFonts w:ascii="Arial" w:eastAsia="宋体" w:hAnsi="Arial" w:cs="Arial"/>
                <w:color w:val="000000"/>
                <w:sz w:val="16"/>
                <w:szCs w:val="16"/>
              </w:rPr>
              <w:t>CRO</w:t>
            </w:r>
          </w:p>
        </w:tc>
        <w:tc>
          <w:tcPr>
            <w:tcW w:w="0" w:type="auto"/>
            <w:gridSpan w:val="3"/>
            <w:shd w:val="clear" w:color="auto" w:fill="auto"/>
            <w:tcMar>
              <w:top w:w="40" w:type="dxa"/>
              <w:left w:w="20" w:type="dxa"/>
              <w:bottom w:w="40" w:type="dxa"/>
              <w:right w:w="20" w:type="dxa"/>
            </w:tcMar>
            <w:vAlign w:val="center"/>
          </w:tcPr>
          <w:p w14:paraId="5F2D66C0" w14:textId="77777777" w:rsidR="00E836FB" w:rsidRDefault="00994958">
            <w:pPr>
              <w:textAlignment w:val="center"/>
            </w:pPr>
            <w:r>
              <w:rPr>
                <w:rFonts w:ascii="Arial" w:eastAsia="宋体" w:hAnsi="Arial" w:cs="Arial"/>
                <w:color w:val="000000"/>
                <w:sz w:val="16"/>
                <w:szCs w:val="16"/>
              </w:rPr>
              <w:t>Chief Risk Officer</w:t>
            </w:r>
          </w:p>
        </w:tc>
        <w:tc>
          <w:tcPr>
            <w:tcW w:w="0" w:type="auto"/>
            <w:gridSpan w:val="3"/>
            <w:shd w:val="clear" w:color="auto" w:fill="auto"/>
            <w:tcMar>
              <w:top w:w="40" w:type="dxa"/>
              <w:left w:w="20" w:type="dxa"/>
              <w:bottom w:w="40" w:type="dxa"/>
              <w:right w:w="20" w:type="dxa"/>
            </w:tcMar>
            <w:vAlign w:val="center"/>
          </w:tcPr>
          <w:p w14:paraId="5F2D66C1" w14:textId="77777777" w:rsidR="00E836FB" w:rsidRDefault="00994958">
            <w:pPr>
              <w:textAlignment w:val="center"/>
            </w:pPr>
            <w:r>
              <w:rPr>
                <w:rFonts w:ascii="Arial" w:eastAsia="宋体" w:hAnsi="Arial" w:cs="Arial"/>
                <w:color w:val="000000"/>
                <w:sz w:val="16"/>
                <w:szCs w:val="16"/>
              </w:rPr>
              <w:t>PCA</w:t>
            </w:r>
          </w:p>
        </w:tc>
        <w:tc>
          <w:tcPr>
            <w:tcW w:w="0" w:type="auto"/>
            <w:gridSpan w:val="3"/>
            <w:shd w:val="clear" w:color="auto" w:fill="auto"/>
            <w:tcMar>
              <w:top w:w="40" w:type="dxa"/>
              <w:left w:w="20" w:type="dxa"/>
              <w:bottom w:w="40" w:type="dxa"/>
              <w:right w:w="20" w:type="dxa"/>
            </w:tcMar>
            <w:vAlign w:val="center"/>
          </w:tcPr>
          <w:p w14:paraId="5F2D66C2" w14:textId="77777777" w:rsidR="00E836FB" w:rsidRDefault="00994958">
            <w:pPr>
              <w:textAlignment w:val="center"/>
            </w:pPr>
            <w:r>
              <w:rPr>
                <w:rFonts w:ascii="Arial" w:eastAsia="宋体" w:hAnsi="Arial" w:cs="Arial"/>
                <w:color w:val="000000"/>
                <w:sz w:val="16"/>
                <w:szCs w:val="16"/>
              </w:rPr>
              <w:t>Prompt corrective action</w:t>
            </w:r>
          </w:p>
        </w:tc>
      </w:tr>
      <w:tr w:rsidR="00E836FB" w14:paraId="5F2D66C8" w14:textId="77777777">
        <w:tc>
          <w:tcPr>
            <w:tcW w:w="0" w:type="auto"/>
            <w:gridSpan w:val="3"/>
            <w:shd w:val="clear" w:color="auto" w:fill="auto"/>
            <w:tcMar>
              <w:top w:w="40" w:type="dxa"/>
              <w:left w:w="20" w:type="dxa"/>
              <w:bottom w:w="40" w:type="dxa"/>
              <w:right w:w="20" w:type="dxa"/>
            </w:tcMar>
            <w:vAlign w:val="center"/>
          </w:tcPr>
          <w:p w14:paraId="5F2D66C4" w14:textId="77777777" w:rsidR="00E836FB" w:rsidRDefault="00994958">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5F2D66C5" w14:textId="77777777" w:rsidR="00E836FB" w:rsidRDefault="00994958">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5F2D66C6" w14:textId="77777777" w:rsidR="00E836FB" w:rsidRDefault="00994958">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5F2D66C7" w14:textId="77777777" w:rsidR="00E836FB" w:rsidRDefault="00994958">
            <w:pPr>
              <w:textAlignment w:val="center"/>
            </w:pPr>
            <w:r>
              <w:rPr>
                <w:rFonts w:ascii="Arial" w:eastAsia="宋体" w:hAnsi="Arial" w:cs="Arial"/>
                <w:color w:val="000000"/>
                <w:sz w:val="16"/>
                <w:szCs w:val="16"/>
              </w:rPr>
              <w:t>Public Company Accounting Oversight Board</w:t>
            </w:r>
          </w:p>
        </w:tc>
      </w:tr>
      <w:tr w:rsidR="00E836FB" w14:paraId="5F2D66CD" w14:textId="77777777">
        <w:tc>
          <w:tcPr>
            <w:tcW w:w="0" w:type="auto"/>
            <w:gridSpan w:val="3"/>
            <w:shd w:val="clear" w:color="auto" w:fill="auto"/>
            <w:tcMar>
              <w:top w:w="40" w:type="dxa"/>
              <w:left w:w="20" w:type="dxa"/>
              <w:bottom w:w="40" w:type="dxa"/>
              <w:right w:w="20" w:type="dxa"/>
            </w:tcMar>
            <w:vAlign w:val="center"/>
          </w:tcPr>
          <w:p w14:paraId="5F2D66C9" w14:textId="77777777" w:rsidR="00E836FB" w:rsidRDefault="00994958">
            <w:pPr>
              <w:textAlignment w:val="center"/>
            </w:pPr>
            <w:r>
              <w:rPr>
                <w:rFonts w:ascii="Arial" w:eastAsia="宋体" w:hAnsi="Arial" w:cs="Arial"/>
                <w:color w:val="000000"/>
                <w:sz w:val="16"/>
                <w:szCs w:val="16"/>
              </w:rPr>
              <w:t>DOJ</w:t>
            </w:r>
          </w:p>
        </w:tc>
        <w:tc>
          <w:tcPr>
            <w:tcW w:w="0" w:type="auto"/>
            <w:gridSpan w:val="3"/>
            <w:shd w:val="clear" w:color="auto" w:fill="auto"/>
            <w:tcMar>
              <w:top w:w="40" w:type="dxa"/>
              <w:left w:w="20" w:type="dxa"/>
              <w:bottom w:w="40" w:type="dxa"/>
              <w:right w:w="20" w:type="dxa"/>
            </w:tcMar>
            <w:vAlign w:val="center"/>
          </w:tcPr>
          <w:p w14:paraId="5F2D66CA" w14:textId="77777777" w:rsidR="00E836FB" w:rsidRDefault="00994958">
            <w:pPr>
              <w:textAlignment w:val="center"/>
            </w:pPr>
            <w:r>
              <w:rPr>
                <w:rFonts w:ascii="Arial" w:eastAsia="宋体" w:hAnsi="Arial" w:cs="Arial"/>
                <w:color w:val="000000"/>
                <w:sz w:val="16"/>
                <w:szCs w:val="16"/>
              </w:rPr>
              <w:t>Department of Justice</w:t>
            </w:r>
          </w:p>
        </w:tc>
        <w:tc>
          <w:tcPr>
            <w:tcW w:w="0" w:type="auto"/>
            <w:gridSpan w:val="3"/>
            <w:shd w:val="clear" w:color="auto" w:fill="auto"/>
            <w:tcMar>
              <w:top w:w="40" w:type="dxa"/>
              <w:left w:w="20" w:type="dxa"/>
              <w:bottom w:w="40" w:type="dxa"/>
              <w:right w:w="20" w:type="dxa"/>
            </w:tcMar>
            <w:vAlign w:val="center"/>
          </w:tcPr>
          <w:p w14:paraId="5F2D66CB" w14:textId="77777777" w:rsidR="00E836FB" w:rsidRDefault="00994958">
            <w:pPr>
              <w:textAlignment w:val="center"/>
            </w:pPr>
            <w:r>
              <w:rPr>
                <w:rFonts w:ascii="Arial" w:eastAsia="宋体" w:hAnsi="Arial" w:cs="Arial"/>
                <w:color w:val="000000"/>
                <w:sz w:val="16"/>
                <w:szCs w:val="16"/>
              </w:rPr>
              <w:t>PD</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6CC" w14:textId="77777777" w:rsidR="00E836FB" w:rsidRDefault="00994958">
            <w:pPr>
              <w:textAlignment w:val="center"/>
            </w:pPr>
            <w:r>
              <w:rPr>
                <w:rFonts w:ascii="Arial" w:eastAsia="宋体" w:hAnsi="Arial" w:cs="Arial"/>
                <w:color w:val="000000"/>
                <w:sz w:val="16"/>
                <w:szCs w:val="16"/>
              </w:rPr>
              <w:t>Probability-of-default</w:t>
            </w:r>
          </w:p>
        </w:tc>
      </w:tr>
      <w:tr w:rsidR="00E836FB" w14:paraId="5F2D66D2" w14:textId="77777777">
        <w:tc>
          <w:tcPr>
            <w:tcW w:w="0" w:type="auto"/>
            <w:gridSpan w:val="3"/>
            <w:shd w:val="clear" w:color="auto" w:fill="auto"/>
            <w:tcMar>
              <w:top w:w="40" w:type="dxa"/>
              <w:left w:w="20" w:type="dxa"/>
              <w:bottom w:w="40" w:type="dxa"/>
              <w:right w:w="20" w:type="dxa"/>
            </w:tcMar>
            <w:vAlign w:val="center"/>
          </w:tcPr>
          <w:p w14:paraId="5F2D66CE" w14:textId="77777777" w:rsidR="00E836FB" w:rsidRDefault="00994958">
            <w:pPr>
              <w:textAlignment w:val="center"/>
            </w:pPr>
            <w:r>
              <w:rPr>
                <w:rFonts w:ascii="Arial" w:eastAsia="宋体" w:hAnsi="Arial" w:cs="Arial"/>
                <w:color w:val="000000"/>
                <w:sz w:val="16"/>
                <w:szCs w:val="16"/>
              </w:rPr>
              <w:t>DOL</w:t>
            </w:r>
          </w:p>
        </w:tc>
        <w:tc>
          <w:tcPr>
            <w:tcW w:w="0" w:type="auto"/>
            <w:gridSpan w:val="3"/>
            <w:shd w:val="clear" w:color="auto" w:fill="auto"/>
            <w:tcMar>
              <w:top w:w="40" w:type="dxa"/>
              <w:left w:w="20" w:type="dxa"/>
              <w:bottom w:w="40" w:type="dxa"/>
              <w:right w:w="20" w:type="dxa"/>
            </w:tcMar>
            <w:vAlign w:val="center"/>
          </w:tcPr>
          <w:p w14:paraId="5F2D66CF" w14:textId="77777777" w:rsidR="00E836FB" w:rsidRDefault="00994958">
            <w:pPr>
              <w:textAlignment w:val="center"/>
            </w:pPr>
            <w:r>
              <w:rPr>
                <w:rFonts w:ascii="Arial" w:eastAsia="宋体" w:hAnsi="Arial" w:cs="Arial"/>
                <w:color w:val="000000"/>
                <w:sz w:val="16"/>
                <w:szCs w:val="16"/>
              </w:rPr>
              <w:t>Department of Labor</w:t>
            </w:r>
          </w:p>
        </w:tc>
        <w:tc>
          <w:tcPr>
            <w:tcW w:w="0" w:type="auto"/>
            <w:gridSpan w:val="3"/>
            <w:shd w:val="clear" w:color="auto" w:fill="auto"/>
            <w:tcMar>
              <w:top w:w="40" w:type="dxa"/>
              <w:left w:w="20" w:type="dxa"/>
              <w:bottom w:w="40" w:type="dxa"/>
              <w:right w:w="20" w:type="dxa"/>
            </w:tcMar>
            <w:vAlign w:val="center"/>
          </w:tcPr>
          <w:p w14:paraId="5F2D66D0" w14:textId="77777777" w:rsidR="00E836FB" w:rsidRDefault="00994958">
            <w:pPr>
              <w:textAlignment w:val="center"/>
            </w:pPr>
            <w:r>
              <w:rPr>
                <w:rFonts w:ascii="Arial" w:eastAsia="宋体" w:hAnsi="Arial" w:cs="Arial"/>
                <w:color w:val="000000"/>
                <w:sz w:val="16"/>
                <w:szCs w:val="16"/>
              </w:rPr>
              <w:t>P&amp;L</w:t>
            </w:r>
          </w:p>
        </w:tc>
        <w:tc>
          <w:tcPr>
            <w:tcW w:w="0" w:type="auto"/>
            <w:gridSpan w:val="3"/>
            <w:shd w:val="clear" w:color="auto" w:fill="auto"/>
            <w:tcMar>
              <w:top w:w="40" w:type="dxa"/>
              <w:left w:w="20" w:type="dxa"/>
              <w:bottom w:w="40" w:type="dxa"/>
              <w:right w:w="20" w:type="dxa"/>
            </w:tcMar>
            <w:vAlign w:val="center"/>
          </w:tcPr>
          <w:p w14:paraId="5F2D66D1" w14:textId="77777777" w:rsidR="00E836FB" w:rsidRDefault="00994958">
            <w:pPr>
              <w:textAlignment w:val="center"/>
            </w:pPr>
            <w:r>
              <w:rPr>
                <w:rFonts w:ascii="Arial" w:eastAsia="宋体" w:hAnsi="Arial" w:cs="Arial"/>
                <w:color w:val="000000"/>
                <w:sz w:val="16"/>
                <w:szCs w:val="16"/>
              </w:rPr>
              <w:t>Profit-and-loss</w:t>
            </w:r>
          </w:p>
        </w:tc>
      </w:tr>
      <w:tr w:rsidR="00E836FB" w14:paraId="5F2D66D7" w14:textId="77777777">
        <w:tc>
          <w:tcPr>
            <w:tcW w:w="0" w:type="auto"/>
            <w:gridSpan w:val="3"/>
            <w:shd w:val="clear" w:color="auto" w:fill="auto"/>
            <w:tcMar>
              <w:top w:w="40" w:type="dxa"/>
              <w:left w:w="20" w:type="dxa"/>
              <w:bottom w:w="40" w:type="dxa"/>
              <w:right w:w="20" w:type="dxa"/>
            </w:tcMar>
            <w:vAlign w:val="center"/>
          </w:tcPr>
          <w:p w14:paraId="5F2D66D3" w14:textId="77777777" w:rsidR="00E836FB" w:rsidRDefault="00994958">
            <w:pPr>
              <w:textAlignment w:val="center"/>
            </w:pPr>
            <w:r>
              <w:rPr>
                <w:rFonts w:ascii="Arial" w:eastAsia="宋体" w:hAnsi="Arial" w:cs="Arial"/>
                <w:color w:val="000000"/>
                <w:sz w:val="16"/>
                <w:szCs w:val="16"/>
              </w:rPr>
              <w:t>E&amp;A Committee</w:t>
            </w:r>
          </w:p>
        </w:tc>
        <w:tc>
          <w:tcPr>
            <w:tcW w:w="0" w:type="auto"/>
            <w:gridSpan w:val="3"/>
            <w:shd w:val="clear" w:color="auto" w:fill="auto"/>
            <w:tcMar>
              <w:top w:w="40" w:type="dxa"/>
              <w:left w:w="20" w:type="dxa"/>
              <w:bottom w:w="40" w:type="dxa"/>
              <w:right w:w="20" w:type="dxa"/>
            </w:tcMar>
            <w:vAlign w:val="center"/>
          </w:tcPr>
          <w:p w14:paraId="5F2D66D4" w14:textId="77777777" w:rsidR="00E836FB" w:rsidRDefault="00994958">
            <w:pPr>
              <w:textAlignment w:val="center"/>
            </w:pPr>
            <w:r>
              <w:rPr>
                <w:rFonts w:ascii="Arial" w:eastAsia="宋体" w:hAnsi="Arial" w:cs="Arial"/>
                <w:color w:val="000000"/>
                <w:sz w:val="16"/>
                <w:szCs w:val="16"/>
              </w:rPr>
              <w:t>Examining and Audit Committee</w:t>
            </w:r>
          </w:p>
        </w:tc>
        <w:tc>
          <w:tcPr>
            <w:tcW w:w="0" w:type="auto"/>
            <w:gridSpan w:val="3"/>
            <w:shd w:val="clear" w:color="auto" w:fill="auto"/>
            <w:tcMar>
              <w:top w:w="40" w:type="dxa"/>
              <w:left w:w="20" w:type="dxa"/>
              <w:bottom w:w="40" w:type="dxa"/>
              <w:right w:w="20" w:type="dxa"/>
            </w:tcMar>
            <w:vAlign w:val="center"/>
          </w:tcPr>
          <w:p w14:paraId="5F2D66D5" w14:textId="77777777" w:rsidR="00E836FB" w:rsidRDefault="00994958">
            <w:pPr>
              <w:textAlignment w:val="center"/>
            </w:pPr>
            <w:r>
              <w:rPr>
                <w:rFonts w:ascii="Arial" w:eastAsia="宋体" w:hAnsi="Arial" w:cs="Arial"/>
                <w:color w:val="000000"/>
                <w:sz w:val="16"/>
                <w:szCs w:val="16"/>
              </w:rPr>
              <w:t>RC</w:t>
            </w:r>
          </w:p>
        </w:tc>
        <w:tc>
          <w:tcPr>
            <w:tcW w:w="0" w:type="auto"/>
            <w:gridSpan w:val="3"/>
            <w:shd w:val="clear" w:color="auto" w:fill="auto"/>
            <w:tcMar>
              <w:top w:w="40" w:type="dxa"/>
              <w:left w:w="20" w:type="dxa"/>
              <w:bottom w:w="40" w:type="dxa"/>
              <w:right w:w="20" w:type="dxa"/>
            </w:tcMar>
            <w:vAlign w:val="center"/>
          </w:tcPr>
          <w:p w14:paraId="5F2D66D6" w14:textId="77777777" w:rsidR="00E836FB" w:rsidRDefault="00994958">
            <w:pPr>
              <w:textAlignment w:val="center"/>
            </w:pPr>
            <w:r>
              <w:rPr>
                <w:rFonts w:ascii="Arial" w:eastAsia="宋体" w:hAnsi="Arial" w:cs="Arial"/>
                <w:color w:val="000000"/>
                <w:sz w:val="16"/>
                <w:szCs w:val="16"/>
              </w:rPr>
              <w:t>Risk Committee</w:t>
            </w:r>
          </w:p>
        </w:tc>
      </w:tr>
      <w:tr w:rsidR="00E836FB" w14:paraId="5F2D66DC" w14:textId="77777777">
        <w:tc>
          <w:tcPr>
            <w:tcW w:w="0" w:type="auto"/>
            <w:gridSpan w:val="3"/>
            <w:shd w:val="clear" w:color="auto" w:fill="auto"/>
            <w:tcMar>
              <w:top w:w="40" w:type="dxa"/>
              <w:left w:w="20" w:type="dxa"/>
              <w:bottom w:w="40" w:type="dxa"/>
              <w:right w:w="20" w:type="dxa"/>
            </w:tcMar>
            <w:vAlign w:val="center"/>
          </w:tcPr>
          <w:p w14:paraId="5F2D66D8" w14:textId="77777777" w:rsidR="00E836FB" w:rsidRDefault="00994958">
            <w:pPr>
              <w:textAlignment w:val="center"/>
            </w:pPr>
            <w:r>
              <w:rPr>
                <w:rFonts w:ascii="Arial" w:eastAsia="宋体" w:hAnsi="Arial" w:cs="Arial"/>
                <w:color w:val="000000"/>
                <w:sz w:val="16"/>
                <w:szCs w:val="16"/>
              </w:rPr>
              <w:t>ECB</w:t>
            </w:r>
          </w:p>
        </w:tc>
        <w:tc>
          <w:tcPr>
            <w:tcW w:w="0" w:type="auto"/>
            <w:gridSpan w:val="3"/>
            <w:shd w:val="clear" w:color="auto" w:fill="auto"/>
            <w:tcMar>
              <w:top w:w="40" w:type="dxa"/>
              <w:left w:w="20" w:type="dxa"/>
              <w:bottom w:w="40" w:type="dxa"/>
              <w:right w:w="20" w:type="dxa"/>
            </w:tcMar>
            <w:vAlign w:val="center"/>
          </w:tcPr>
          <w:p w14:paraId="5F2D66D9" w14:textId="77777777" w:rsidR="00E836FB" w:rsidRDefault="00994958">
            <w:pPr>
              <w:textAlignment w:val="center"/>
            </w:pPr>
            <w:r>
              <w:rPr>
                <w:rFonts w:ascii="Arial" w:eastAsia="宋体" w:hAnsi="Arial" w:cs="Arial"/>
                <w:color w:val="000000"/>
                <w:sz w:val="16"/>
                <w:szCs w:val="16"/>
              </w:rPr>
              <w:t>European Central Bank</w:t>
            </w:r>
          </w:p>
        </w:tc>
        <w:tc>
          <w:tcPr>
            <w:tcW w:w="0" w:type="auto"/>
            <w:gridSpan w:val="3"/>
            <w:shd w:val="clear" w:color="auto" w:fill="auto"/>
            <w:tcMar>
              <w:top w:w="40" w:type="dxa"/>
              <w:left w:w="20" w:type="dxa"/>
              <w:bottom w:w="40" w:type="dxa"/>
              <w:right w:w="20" w:type="dxa"/>
            </w:tcMar>
            <w:vAlign w:val="center"/>
          </w:tcPr>
          <w:p w14:paraId="5F2D66DA" w14:textId="77777777" w:rsidR="00E836FB" w:rsidRDefault="00994958">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6DB" w14:textId="77777777" w:rsidR="00E836FB" w:rsidRDefault="00994958">
            <w:pPr>
              <w:textAlignment w:val="center"/>
            </w:pPr>
            <w:r>
              <w:rPr>
                <w:rFonts w:ascii="Arial" w:eastAsia="宋体" w:hAnsi="Arial" w:cs="Arial"/>
                <w:color w:val="000000"/>
                <w:sz w:val="16"/>
                <w:szCs w:val="16"/>
              </w:rPr>
              <w:t>Risk-weighted asset</w:t>
            </w:r>
          </w:p>
        </w:tc>
      </w:tr>
      <w:tr w:rsidR="00E836FB" w14:paraId="5F2D66E1" w14:textId="77777777">
        <w:tc>
          <w:tcPr>
            <w:tcW w:w="0" w:type="auto"/>
            <w:gridSpan w:val="3"/>
            <w:shd w:val="clear" w:color="auto" w:fill="auto"/>
            <w:tcMar>
              <w:top w:w="40" w:type="dxa"/>
              <w:left w:w="20" w:type="dxa"/>
              <w:bottom w:w="40" w:type="dxa"/>
              <w:right w:w="20" w:type="dxa"/>
            </w:tcMar>
            <w:vAlign w:val="center"/>
          </w:tcPr>
          <w:p w14:paraId="5F2D66DD" w14:textId="77777777" w:rsidR="00E836FB" w:rsidRDefault="00994958">
            <w:pPr>
              <w:textAlignment w:val="center"/>
            </w:pPr>
            <w:r>
              <w:rPr>
                <w:rFonts w:ascii="Arial" w:eastAsia="宋体" w:hAnsi="Arial" w:cs="Arial"/>
                <w:color w:val="000000"/>
                <w:sz w:val="16"/>
                <w:szCs w:val="16"/>
              </w:rPr>
              <w:t>EGRRCPA</w:t>
            </w:r>
          </w:p>
        </w:tc>
        <w:tc>
          <w:tcPr>
            <w:tcW w:w="0" w:type="auto"/>
            <w:gridSpan w:val="3"/>
            <w:shd w:val="clear" w:color="auto" w:fill="auto"/>
            <w:tcMar>
              <w:top w:w="40" w:type="dxa"/>
              <w:left w:w="20" w:type="dxa"/>
              <w:bottom w:w="40" w:type="dxa"/>
              <w:right w:w="20" w:type="dxa"/>
            </w:tcMar>
            <w:vAlign w:val="center"/>
          </w:tcPr>
          <w:p w14:paraId="5F2D66DE" w14:textId="77777777" w:rsidR="00E836FB" w:rsidRDefault="00994958">
            <w:pPr>
              <w:textAlignment w:val="center"/>
            </w:pPr>
            <w:r>
              <w:rPr>
                <w:rFonts w:ascii="Arial" w:eastAsia="宋体" w:hAnsi="Arial" w:cs="Arial"/>
                <w:color w:val="000000"/>
                <w:sz w:val="16"/>
                <w:szCs w:val="16"/>
              </w:rPr>
              <w:t>Economic Growth, Regulatory Relief, and Consumer Protection Act</w:t>
            </w:r>
          </w:p>
        </w:tc>
        <w:tc>
          <w:tcPr>
            <w:tcW w:w="0" w:type="auto"/>
            <w:gridSpan w:val="3"/>
            <w:shd w:val="clear" w:color="auto" w:fill="auto"/>
            <w:tcMar>
              <w:top w:w="40" w:type="dxa"/>
              <w:left w:w="20" w:type="dxa"/>
              <w:bottom w:w="40" w:type="dxa"/>
              <w:right w:w="20" w:type="dxa"/>
            </w:tcMar>
            <w:vAlign w:val="center"/>
          </w:tcPr>
          <w:p w14:paraId="5F2D66DF" w14:textId="77777777" w:rsidR="00E836FB" w:rsidRDefault="00994958">
            <w:pPr>
              <w:textAlignment w:val="center"/>
            </w:pPr>
            <w:r>
              <w:rPr>
                <w:rFonts w:ascii="Arial" w:eastAsia="宋体" w:hAnsi="Arial" w:cs="Arial"/>
                <w:color w:val="000000"/>
                <w:sz w:val="16"/>
                <w:szCs w:val="16"/>
              </w:rPr>
              <w:t>SA-CCR</w:t>
            </w:r>
          </w:p>
        </w:tc>
        <w:tc>
          <w:tcPr>
            <w:tcW w:w="0" w:type="auto"/>
            <w:gridSpan w:val="3"/>
            <w:shd w:val="clear" w:color="auto" w:fill="auto"/>
            <w:tcMar>
              <w:top w:w="40" w:type="dxa"/>
              <w:left w:w="20" w:type="dxa"/>
              <w:bottom w:w="40" w:type="dxa"/>
              <w:right w:w="20" w:type="dxa"/>
            </w:tcMar>
            <w:vAlign w:val="center"/>
          </w:tcPr>
          <w:p w14:paraId="5F2D66E0" w14:textId="77777777" w:rsidR="00E836FB" w:rsidRDefault="00994958">
            <w:pPr>
              <w:textAlignment w:val="center"/>
            </w:pPr>
            <w:r>
              <w:rPr>
                <w:rFonts w:ascii="Arial" w:eastAsia="宋体" w:hAnsi="Arial" w:cs="Arial"/>
                <w:color w:val="000000"/>
                <w:sz w:val="16"/>
                <w:szCs w:val="16"/>
              </w:rPr>
              <w:t xml:space="preserve">Standardized approach for </w:t>
            </w:r>
            <w:r>
              <w:rPr>
                <w:rFonts w:ascii="Arial" w:eastAsia="宋体" w:hAnsi="Arial" w:cs="Arial"/>
                <w:color w:val="000000"/>
                <w:sz w:val="16"/>
                <w:szCs w:val="16"/>
              </w:rPr>
              <w:t>counterparty credit risk</w:t>
            </w:r>
          </w:p>
        </w:tc>
      </w:tr>
      <w:tr w:rsidR="00E836FB" w14:paraId="5F2D66E6" w14:textId="77777777">
        <w:tc>
          <w:tcPr>
            <w:tcW w:w="0" w:type="auto"/>
            <w:gridSpan w:val="3"/>
            <w:shd w:val="clear" w:color="auto" w:fill="auto"/>
            <w:tcMar>
              <w:top w:w="40" w:type="dxa"/>
              <w:left w:w="20" w:type="dxa"/>
              <w:bottom w:w="40" w:type="dxa"/>
              <w:right w:w="20" w:type="dxa"/>
            </w:tcMar>
            <w:vAlign w:val="center"/>
          </w:tcPr>
          <w:p w14:paraId="5F2D66E2" w14:textId="77777777" w:rsidR="00E836FB" w:rsidRDefault="00994958">
            <w:pPr>
              <w:textAlignment w:val="center"/>
            </w:pPr>
            <w:r>
              <w:rPr>
                <w:rFonts w:ascii="Arial" w:eastAsia="宋体" w:hAnsi="Arial" w:cs="Arial"/>
                <w:color w:val="000000"/>
                <w:sz w:val="16"/>
                <w:szCs w:val="16"/>
              </w:rPr>
              <w:t>EPS</w:t>
            </w:r>
          </w:p>
        </w:tc>
        <w:tc>
          <w:tcPr>
            <w:tcW w:w="0" w:type="auto"/>
            <w:gridSpan w:val="3"/>
            <w:shd w:val="clear" w:color="auto" w:fill="auto"/>
            <w:tcMar>
              <w:top w:w="40" w:type="dxa"/>
              <w:left w:w="20" w:type="dxa"/>
              <w:bottom w:w="40" w:type="dxa"/>
              <w:right w:w="20" w:type="dxa"/>
            </w:tcMar>
            <w:vAlign w:val="center"/>
          </w:tcPr>
          <w:p w14:paraId="5F2D66E3" w14:textId="77777777" w:rsidR="00E836FB" w:rsidRDefault="00994958">
            <w:pPr>
              <w:textAlignment w:val="center"/>
            </w:pPr>
            <w:r>
              <w:rPr>
                <w:rFonts w:ascii="Arial" w:eastAsia="宋体" w:hAnsi="Arial" w:cs="Arial"/>
                <w:color w:val="000000"/>
                <w:sz w:val="16"/>
                <w:szCs w:val="16"/>
              </w:rPr>
              <w:t>Earnings per share</w:t>
            </w:r>
          </w:p>
        </w:tc>
        <w:tc>
          <w:tcPr>
            <w:tcW w:w="0" w:type="auto"/>
            <w:gridSpan w:val="3"/>
            <w:shd w:val="clear" w:color="auto" w:fill="auto"/>
            <w:tcMar>
              <w:top w:w="40" w:type="dxa"/>
              <w:left w:w="20" w:type="dxa"/>
              <w:bottom w:w="40" w:type="dxa"/>
              <w:right w:w="20" w:type="dxa"/>
            </w:tcMar>
            <w:vAlign w:val="center"/>
          </w:tcPr>
          <w:p w14:paraId="5F2D66E4" w14:textId="77777777" w:rsidR="00E836FB" w:rsidRDefault="00994958">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5F2D66E5" w14:textId="77777777" w:rsidR="00E836FB" w:rsidRDefault="00994958">
            <w:pPr>
              <w:textAlignment w:val="center"/>
            </w:pPr>
            <w:r>
              <w:rPr>
                <w:rFonts w:ascii="Arial" w:eastAsia="宋体" w:hAnsi="Arial" w:cs="Arial"/>
                <w:color w:val="000000"/>
                <w:sz w:val="16"/>
                <w:szCs w:val="16"/>
              </w:rPr>
              <w:t>Stress Capital Buffer</w:t>
            </w:r>
          </w:p>
        </w:tc>
      </w:tr>
      <w:tr w:rsidR="00E836FB" w14:paraId="5F2D66EB" w14:textId="77777777">
        <w:tc>
          <w:tcPr>
            <w:tcW w:w="0" w:type="auto"/>
            <w:gridSpan w:val="3"/>
            <w:shd w:val="clear" w:color="auto" w:fill="auto"/>
            <w:tcMar>
              <w:top w:w="40" w:type="dxa"/>
              <w:left w:w="20" w:type="dxa"/>
              <w:bottom w:w="40" w:type="dxa"/>
              <w:right w:w="20" w:type="dxa"/>
            </w:tcMar>
            <w:vAlign w:val="center"/>
          </w:tcPr>
          <w:p w14:paraId="5F2D66E7" w14:textId="77777777" w:rsidR="00E836FB" w:rsidRDefault="00994958">
            <w:pPr>
              <w:textAlignment w:val="center"/>
            </w:pPr>
            <w:r>
              <w:rPr>
                <w:rFonts w:ascii="Arial" w:eastAsia="宋体" w:hAnsi="Arial" w:cs="Arial"/>
                <w:color w:val="000000"/>
                <w:sz w:val="16"/>
                <w:szCs w:val="16"/>
              </w:rPr>
              <w:t>ERM</w:t>
            </w:r>
          </w:p>
        </w:tc>
        <w:tc>
          <w:tcPr>
            <w:tcW w:w="0" w:type="auto"/>
            <w:gridSpan w:val="3"/>
            <w:shd w:val="clear" w:color="auto" w:fill="auto"/>
            <w:tcMar>
              <w:top w:w="40" w:type="dxa"/>
              <w:left w:w="20" w:type="dxa"/>
              <w:bottom w:w="40" w:type="dxa"/>
              <w:right w:w="20" w:type="dxa"/>
            </w:tcMar>
            <w:vAlign w:val="center"/>
          </w:tcPr>
          <w:p w14:paraId="5F2D66E8" w14:textId="77777777" w:rsidR="00E836FB" w:rsidRDefault="00994958">
            <w:pPr>
              <w:textAlignment w:val="center"/>
            </w:pPr>
            <w:r>
              <w:rPr>
                <w:rFonts w:ascii="Arial" w:eastAsia="宋体" w:hAnsi="Arial" w:cs="Arial"/>
                <w:color w:val="000000"/>
                <w:sz w:val="16"/>
                <w:szCs w:val="16"/>
              </w:rPr>
              <w:t>Enterprise Risk Management</w:t>
            </w:r>
          </w:p>
        </w:tc>
        <w:tc>
          <w:tcPr>
            <w:tcW w:w="0" w:type="auto"/>
            <w:gridSpan w:val="3"/>
            <w:shd w:val="clear" w:color="auto" w:fill="auto"/>
            <w:tcMar>
              <w:top w:w="40" w:type="dxa"/>
              <w:left w:w="20" w:type="dxa"/>
              <w:bottom w:w="40" w:type="dxa"/>
              <w:right w:w="20" w:type="dxa"/>
            </w:tcMar>
            <w:vAlign w:val="center"/>
          </w:tcPr>
          <w:p w14:paraId="5F2D66E9" w14:textId="77777777" w:rsidR="00E836FB" w:rsidRDefault="00994958">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5F2D66EA" w14:textId="77777777" w:rsidR="00E836FB" w:rsidRDefault="00994958">
            <w:pPr>
              <w:textAlignment w:val="center"/>
            </w:pPr>
            <w:r>
              <w:rPr>
                <w:rFonts w:ascii="Arial" w:eastAsia="宋体" w:hAnsi="Arial" w:cs="Arial"/>
                <w:color w:val="000000"/>
                <w:sz w:val="16"/>
                <w:szCs w:val="16"/>
              </w:rPr>
              <w:t>Securities and Exchange Commission</w:t>
            </w:r>
          </w:p>
        </w:tc>
      </w:tr>
      <w:tr w:rsidR="00E836FB" w14:paraId="5F2D66F0" w14:textId="77777777">
        <w:tc>
          <w:tcPr>
            <w:tcW w:w="0" w:type="auto"/>
            <w:gridSpan w:val="3"/>
            <w:shd w:val="clear" w:color="auto" w:fill="auto"/>
            <w:tcMar>
              <w:top w:w="40" w:type="dxa"/>
              <w:left w:w="20" w:type="dxa"/>
              <w:bottom w:w="40" w:type="dxa"/>
              <w:right w:w="20" w:type="dxa"/>
            </w:tcMar>
            <w:vAlign w:val="center"/>
          </w:tcPr>
          <w:p w14:paraId="5F2D66EC" w14:textId="77777777" w:rsidR="00E836FB" w:rsidRDefault="00994958">
            <w:pPr>
              <w:textAlignment w:val="center"/>
            </w:pPr>
            <w:r>
              <w:rPr>
                <w:rFonts w:ascii="Arial" w:eastAsia="宋体" w:hAnsi="Arial" w:cs="Arial"/>
                <w:color w:val="000000"/>
                <w:sz w:val="16"/>
                <w:szCs w:val="16"/>
              </w:rPr>
              <w:t>ESG</w:t>
            </w:r>
          </w:p>
        </w:tc>
        <w:tc>
          <w:tcPr>
            <w:tcW w:w="0" w:type="auto"/>
            <w:gridSpan w:val="3"/>
            <w:shd w:val="clear" w:color="auto" w:fill="auto"/>
            <w:tcMar>
              <w:top w:w="40" w:type="dxa"/>
              <w:left w:w="20" w:type="dxa"/>
              <w:bottom w:w="40" w:type="dxa"/>
              <w:right w:w="20" w:type="dxa"/>
            </w:tcMar>
            <w:vAlign w:val="center"/>
          </w:tcPr>
          <w:p w14:paraId="5F2D66ED" w14:textId="77777777" w:rsidR="00E836FB" w:rsidRDefault="00994958">
            <w:pPr>
              <w:textAlignment w:val="center"/>
            </w:pPr>
            <w:r>
              <w:rPr>
                <w:rFonts w:ascii="Arial" w:eastAsia="宋体" w:hAnsi="Arial" w:cs="Arial"/>
                <w:color w:val="000000"/>
                <w:sz w:val="16"/>
                <w:szCs w:val="16"/>
              </w:rPr>
              <w:t>Environmental, social and governance</w:t>
            </w:r>
          </w:p>
        </w:tc>
        <w:tc>
          <w:tcPr>
            <w:tcW w:w="0" w:type="auto"/>
            <w:gridSpan w:val="3"/>
            <w:shd w:val="clear" w:color="auto" w:fill="auto"/>
            <w:tcMar>
              <w:top w:w="40" w:type="dxa"/>
              <w:left w:w="20" w:type="dxa"/>
              <w:bottom w:w="40" w:type="dxa"/>
              <w:right w:w="20" w:type="dxa"/>
            </w:tcMar>
            <w:vAlign w:val="center"/>
          </w:tcPr>
          <w:p w14:paraId="5F2D66EE" w14:textId="77777777" w:rsidR="00E836FB" w:rsidRDefault="00994958">
            <w:pPr>
              <w:textAlignment w:val="center"/>
            </w:pPr>
            <w:r>
              <w:rPr>
                <w:rFonts w:ascii="Arial" w:eastAsia="宋体" w:hAnsi="Arial" w:cs="Arial"/>
                <w:color w:val="000000"/>
                <w:sz w:val="16"/>
                <w:szCs w:val="16"/>
              </w:rPr>
              <w:t>SIFI</w:t>
            </w:r>
          </w:p>
        </w:tc>
        <w:tc>
          <w:tcPr>
            <w:tcW w:w="0" w:type="auto"/>
            <w:gridSpan w:val="3"/>
            <w:shd w:val="clear" w:color="auto" w:fill="auto"/>
            <w:tcMar>
              <w:top w:w="40" w:type="dxa"/>
              <w:left w:w="20" w:type="dxa"/>
              <w:bottom w:w="40" w:type="dxa"/>
              <w:right w:w="20" w:type="dxa"/>
            </w:tcMar>
            <w:vAlign w:val="center"/>
          </w:tcPr>
          <w:p w14:paraId="5F2D66EF" w14:textId="77777777" w:rsidR="00E836FB" w:rsidRDefault="00994958">
            <w:pPr>
              <w:textAlignment w:val="center"/>
            </w:pPr>
            <w:r>
              <w:rPr>
                <w:rFonts w:ascii="Arial" w:eastAsia="宋体" w:hAnsi="Arial" w:cs="Arial"/>
                <w:color w:val="000000"/>
                <w:sz w:val="16"/>
                <w:szCs w:val="16"/>
              </w:rPr>
              <w:t>Systemically important financial institutions</w:t>
            </w:r>
          </w:p>
        </w:tc>
      </w:tr>
      <w:tr w:rsidR="00E836FB" w14:paraId="5F2D66F5" w14:textId="77777777">
        <w:tc>
          <w:tcPr>
            <w:tcW w:w="0" w:type="auto"/>
            <w:gridSpan w:val="3"/>
            <w:shd w:val="clear" w:color="auto" w:fill="auto"/>
            <w:tcMar>
              <w:top w:w="40" w:type="dxa"/>
              <w:left w:w="20" w:type="dxa"/>
              <w:bottom w:w="40" w:type="dxa"/>
              <w:right w:w="20" w:type="dxa"/>
            </w:tcMar>
            <w:vAlign w:val="center"/>
          </w:tcPr>
          <w:p w14:paraId="5F2D66F1" w14:textId="77777777" w:rsidR="00E836FB" w:rsidRDefault="00994958">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5F2D66F2" w14:textId="77777777" w:rsidR="00E836FB" w:rsidRDefault="00994958">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5F2D66F3" w14:textId="77777777" w:rsidR="00E836FB" w:rsidRDefault="00994958">
            <w:pPr>
              <w:textAlignment w:val="center"/>
            </w:pPr>
            <w:r>
              <w:rPr>
                <w:rFonts w:ascii="Arial" w:eastAsia="宋体" w:hAnsi="Arial" w:cs="Arial"/>
                <w:color w:val="000000"/>
                <w:sz w:val="16"/>
                <w:szCs w:val="16"/>
              </w:rPr>
              <w:t>SLB</w:t>
            </w:r>
          </w:p>
        </w:tc>
        <w:tc>
          <w:tcPr>
            <w:tcW w:w="0" w:type="auto"/>
            <w:gridSpan w:val="3"/>
            <w:shd w:val="clear" w:color="auto" w:fill="auto"/>
            <w:tcMar>
              <w:top w:w="40" w:type="dxa"/>
              <w:left w:w="20" w:type="dxa"/>
              <w:bottom w:w="40" w:type="dxa"/>
              <w:right w:w="20" w:type="dxa"/>
            </w:tcMar>
            <w:vAlign w:val="center"/>
          </w:tcPr>
          <w:p w14:paraId="5F2D66F4" w14:textId="77777777" w:rsidR="00E836FB" w:rsidRDefault="00994958">
            <w:pPr>
              <w:textAlignment w:val="center"/>
            </w:pPr>
            <w:r>
              <w:rPr>
                <w:rFonts w:ascii="Arial" w:eastAsia="宋体" w:hAnsi="Arial" w:cs="Arial"/>
                <w:color w:val="000000"/>
                <w:sz w:val="16"/>
                <w:szCs w:val="16"/>
              </w:rPr>
              <w:t>Stress Leverage Buffer</w:t>
            </w:r>
          </w:p>
        </w:tc>
      </w:tr>
      <w:tr w:rsidR="00E836FB" w14:paraId="5F2D66FA" w14:textId="77777777">
        <w:tc>
          <w:tcPr>
            <w:tcW w:w="0" w:type="auto"/>
            <w:gridSpan w:val="3"/>
            <w:shd w:val="clear" w:color="auto" w:fill="auto"/>
            <w:tcMar>
              <w:top w:w="40" w:type="dxa"/>
              <w:left w:w="20" w:type="dxa"/>
              <w:bottom w:w="40" w:type="dxa"/>
              <w:right w:w="20" w:type="dxa"/>
            </w:tcMar>
            <w:vAlign w:val="center"/>
          </w:tcPr>
          <w:p w14:paraId="5F2D66F6" w14:textId="77777777" w:rsidR="00E836FB" w:rsidRDefault="00994958">
            <w:pPr>
              <w:textAlignment w:val="center"/>
            </w:pPr>
            <w:r>
              <w:rPr>
                <w:rFonts w:ascii="Arial" w:eastAsia="宋体" w:hAnsi="Arial" w:cs="Arial"/>
                <w:color w:val="000000"/>
                <w:sz w:val="16"/>
                <w:szCs w:val="16"/>
              </w:rPr>
              <w:t>EVE</w:t>
            </w:r>
          </w:p>
        </w:tc>
        <w:tc>
          <w:tcPr>
            <w:tcW w:w="0" w:type="auto"/>
            <w:gridSpan w:val="3"/>
            <w:shd w:val="clear" w:color="auto" w:fill="auto"/>
            <w:tcMar>
              <w:top w:w="40" w:type="dxa"/>
              <w:left w:w="20" w:type="dxa"/>
              <w:bottom w:w="40" w:type="dxa"/>
              <w:right w:w="20" w:type="dxa"/>
            </w:tcMar>
            <w:vAlign w:val="center"/>
          </w:tcPr>
          <w:p w14:paraId="5F2D66F7" w14:textId="77777777" w:rsidR="00E836FB" w:rsidRDefault="00994958">
            <w:pPr>
              <w:textAlignment w:val="center"/>
            </w:pPr>
            <w:r>
              <w:rPr>
                <w:rFonts w:ascii="Arial" w:eastAsia="宋体" w:hAnsi="Arial" w:cs="Arial"/>
                <w:color w:val="000000"/>
                <w:sz w:val="16"/>
                <w:szCs w:val="16"/>
              </w:rPr>
              <w:t>Economic value of equity</w:t>
            </w:r>
          </w:p>
        </w:tc>
        <w:tc>
          <w:tcPr>
            <w:tcW w:w="0" w:type="auto"/>
            <w:gridSpan w:val="3"/>
            <w:shd w:val="clear" w:color="auto" w:fill="auto"/>
            <w:tcMar>
              <w:top w:w="40" w:type="dxa"/>
              <w:left w:w="20" w:type="dxa"/>
              <w:bottom w:w="40" w:type="dxa"/>
              <w:right w:w="20" w:type="dxa"/>
            </w:tcMar>
            <w:vAlign w:val="center"/>
          </w:tcPr>
          <w:p w14:paraId="5F2D66F8" w14:textId="77777777" w:rsidR="00E836FB" w:rsidRDefault="00994958">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6F9" w14:textId="77777777" w:rsidR="00E836FB" w:rsidRDefault="00994958">
            <w:pPr>
              <w:textAlignment w:val="center"/>
            </w:pPr>
            <w:r>
              <w:rPr>
                <w:rFonts w:ascii="Arial" w:eastAsia="宋体" w:hAnsi="Arial" w:cs="Arial"/>
                <w:color w:val="000000"/>
                <w:sz w:val="16"/>
                <w:szCs w:val="16"/>
              </w:rPr>
              <w:t>Supplementary leverage ratio</w:t>
            </w:r>
          </w:p>
        </w:tc>
      </w:tr>
      <w:tr w:rsidR="00E836FB" w14:paraId="5F2D66FF" w14:textId="77777777">
        <w:tc>
          <w:tcPr>
            <w:tcW w:w="0" w:type="auto"/>
            <w:gridSpan w:val="3"/>
            <w:shd w:val="clear" w:color="auto" w:fill="auto"/>
            <w:tcMar>
              <w:top w:w="40" w:type="dxa"/>
              <w:left w:w="20" w:type="dxa"/>
              <w:bottom w:w="40" w:type="dxa"/>
              <w:right w:w="20" w:type="dxa"/>
            </w:tcMar>
            <w:vAlign w:val="center"/>
          </w:tcPr>
          <w:p w14:paraId="5F2D66FB" w14:textId="77777777" w:rsidR="00E836FB" w:rsidRDefault="00994958">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5F2D66FC" w14:textId="77777777" w:rsidR="00E836FB" w:rsidRDefault="00994958">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5F2D66FD" w14:textId="77777777" w:rsidR="00E836FB" w:rsidRDefault="00994958">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5F2D66FE" w14:textId="77777777" w:rsidR="00E836FB" w:rsidRDefault="00994958">
            <w:pPr>
              <w:textAlignment w:val="center"/>
            </w:pPr>
            <w:r>
              <w:rPr>
                <w:rFonts w:ascii="Arial" w:eastAsia="宋体" w:hAnsi="Arial" w:cs="Arial"/>
                <w:color w:val="000000"/>
                <w:sz w:val="16"/>
                <w:szCs w:val="16"/>
              </w:rPr>
              <w:t>Spider; Standard and Poor's depository receipt</w:t>
            </w:r>
          </w:p>
        </w:tc>
      </w:tr>
      <w:tr w:rsidR="00E836FB" w14:paraId="5F2D6704" w14:textId="77777777">
        <w:tc>
          <w:tcPr>
            <w:tcW w:w="0" w:type="auto"/>
            <w:gridSpan w:val="3"/>
            <w:shd w:val="clear" w:color="auto" w:fill="auto"/>
            <w:tcMar>
              <w:top w:w="40" w:type="dxa"/>
              <w:left w:w="20" w:type="dxa"/>
              <w:bottom w:w="40" w:type="dxa"/>
              <w:right w:w="20" w:type="dxa"/>
            </w:tcMar>
            <w:vAlign w:val="center"/>
          </w:tcPr>
          <w:p w14:paraId="5F2D6700" w14:textId="77777777" w:rsidR="00E836FB" w:rsidRDefault="00994958">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5F2D6701" w14:textId="77777777" w:rsidR="00E836FB" w:rsidRDefault="00994958">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5F2D6702" w14:textId="77777777" w:rsidR="00E836FB" w:rsidRDefault="00994958">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5F2D6703" w14:textId="77777777" w:rsidR="00E836FB" w:rsidRDefault="00994958">
            <w:pPr>
              <w:textAlignment w:val="center"/>
            </w:pPr>
            <w:r>
              <w:rPr>
                <w:rFonts w:ascii="Arial" w:eastAsia="宋体" w:hAnsi="Arial" w:cs="Arial"/>
                <w:color w:val="000000"/>
                <w:sz w:val="16"/>
                <w:szCs w:val="16"/>
              </w:rPr>
              <w:t>Single Point of Entry Strategy</w:t>
            </w:r>
          </w:p>
        </w:tc>
      </w:tr>
      <w:tr w:rsidR="00E836FB" w14:paraId="5F2D6709" w14:textId="77777777">
        <w:tc>
          <w:tcPr>
            <w:tcW w:w="0" w:type="auto"/>
            <w:gridSpan w:val="3"/>
            <w:shd w:val="clear" w:color="auto" w:fill="auto"/>
            <w:tcMar>
              <w:top w:w="40" w:type="dxa"/>
              <w:left w:w="20" w:type="dxa"/>
              <w:bottom w:w="40" w:type="dxa"/>
              <w:right w:w="20" w:type="dxa"/>
            </w:tcMar>
            <w:vAlign w:val="center"/>
          </w:tcPr>
          <w:p w14:paraId="5F2D6705" w14:textId="77777777" w:rsidR="00E836FB" w:rsidRDefault="00994958">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5F2D6706" w14:textId="77777777" w:rsidR="00E836FB" w:rsidRDefault="00994958">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5F2D6707" w14:textId="77777777" w:rsidR="00E836FB" w:rsidRDefault="00994958">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5F2D6708" w14:textId="77777777" w:rsidR="00E836FB" w:rsidRDefault="00994958">
            <w:pPr>
              <w:textAlignment w:val="center"/>
            </w:pPr>
            <w:r>
              <w:rPr>
                <w:rFonts w:ascii="Arial" w:eastAsia="宋体" w:hAnsi="Arial" w:cs="Arial"/>
                <w:color w:val="000000"/>
                <w:sz w:val="16"/>
                <w:szCs w:val="16"/>
              </w:rPr>
              <w:t>State Street Intermediate Funding, LLC</w:t>
            </w:r>
          </w:p>
        </w:tc>
      </w:tr>
      <w:tr w:rsidR="00E836FB" w14:paraId="5F2D670E" w14:textId="77777777">
        <w:tc>
          <w:tcPr>
            <w:tcW w:w="0" w:type="auto"/>
            <w:gridSpan w:val="3"/>
            <w:shd w:val="clear" w:color="auto" w:fill="auto"/>
            <w:tcMar>
              <w:top w:w="40" w:type="dxa"/>
              <w:left w:w="20" w:type="dxa"/>
              <w:bottom w:w="40" w:type="dxa"/>
              <w:right w:w="20" w:type="dxa"/>
            </w:tcMar>
            <w:vAlign w:val="center"/>
          </w:tcPr>
          <w:p w14:paraId="5F2D670A" w14:textId="77777777" w:rsidR="00E836FB" w:rsidRDefault="00994958">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5F2D670B" w14:textId="77777777" w:rsidR="00E836FB" w:rsidRDefault="00994958">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40" w:type="dxa"/>
              <w:left w:w="20" w:type="dxa"/>
              <w:bottom w:w="40" w:type="dxa"/>
              <w:right w:w="20" w:type="dxa"/>
            </w:tcMar>
            <w:vAlign w:val="center"/>
          </w:tcPr>
          <w:p w14:paraId="5F2D670C" w14:textId="77777777" w:rsidR="00E836FB" w:rsidRDefault="00994958">
            <w:pPr>
              <w:textAlignment w:val="center"/>
            </w:pPr>
            <w:r>
              <w:rPr>
                <w:rFonts w:ascii="Arial" w:eastAsia="宋体" w:hAnsi="Arial" w:cs="Arial"/>
                <w:color w:val="000000"/>
                <w:sz w:val="16"/>
                <w:szCs w:val="16"/>
              </w:rPr>
              <w:t>TCJA</w:t>
            </w:r>
          </w:p>
        </w:tc>
        <w:tc>
          <w:tcPr>
            <w:tcW w:w="0" w:type="auto"/>
            <w:gridSpan w:val="3"/>
            <w:shd w:val="clear" w:color="auto" w:fill="auto"/>
            <w:tcMar>
              <w:top w:w="40" w:type="dxa"/>
              <w:left w:w="20" w:type="dxa"/>
              <w:bottom w:w="40" w:type="dxa"/>
              <w:right w:w="20" w:type="dxa"/>
            </w:tcMar>
            <w:vAlign w:val="center"/>
          </w:tcPr>
          <w:p w14:paraId="5F2D670D" w14:textId="77777777" w:rsidR="00E836FB" w:rsidRDefault="00994958">
            <w:pPr>
              <w:textAlignment w:val="center"/>
            </w:pPr>
            <w:r>
              <w:rPr>
                <w:rFonts w:ascii="Arial" w:eastAsia="宋体" w:hAnsi="Arial" w:cs="Arial"/>
                <w:color w:val="000000"/>
                <w:sz w:val="16"/>
                <w:szCs w:val="16"/>
              </w:rPr>
              <w:t>Tax Cuts and Jobs Act</w:t>
            </w:r>
          </w:p>
        </w:tc>
      </w:tr>
      <w:tr w:rsidR="00E836FB" w14:paraId="5F2D6713" w14:textId="77777777">
        <w:tc>
          <w:tcPr>
            <w:tcW w:w="0" w:type="auto"/>
            <w:gridSpan w:val="3"/>
            <w:shd w:val="clear" w:color="auto" w:fill="auto"/>
            <w:tcMar>
              <w:top w:w="40" w:type="dxa"/>
              <w:left w:w="20" w:type="dxa"/>
              <w:bottom w:w="40" w:type="dxa"/>
              <w:right w:w="20" w:type="dxa"/>
            </w:tcMar>
            <w:vAlign w:val="center"/>
          </w:tcPr>
          <w:p w14:paraId="5F2D670F" w14:textId="77777777" w:rsidR="00E836FB" w:rsidRDefault="00994958">
            <w:pPr>
              <w:textAlignment w:val="center"/>
            </w:pPr>
            <w:r>
              <w:rPr>
                <w:rFonts w:ascii="Arial" w:eastAsia="宋体" w:hAnsi="Arial" w:cs="Arial"/>
                <w:color w:val="000000"/>
                <w:sz w:val="16"/>
                <w:szCs w:val="16"/>
              </w:rPr>
              <w:t>FSOC</w:t>
            </w:r>
          </w:p>
        </w:tc>
        <w:tc>
          <w:tcPr>
            <w:tcW w:w="0" w:type="auto"/>
            <w:gridSpan w:val="3"/>
            <w:shd w:val="clear" w:color="auto" w:fill="auto"/>
            <w:tcMar>
              <w:top w:w="40" w:type="dxa"/>
              <w:left w:w="20" w:type="dxa"/>
              <w:bottom w:w="40" w:type="dxa"/>
              <w:right w:w="20" w:type="dxa"/>
            </w:tcMar>
            <w:vAlign w:val="center"/>
          </w:tcPr>
          <w:p w14:paraId="5F2D6710" w14:textId="77777777" w:rsidR="00E836FB" w:rsidRDefault="00994958">
            <w:pPr>
              <w:textAlignment w:val="center"/>
            </w:pPr>
            <w:r>
              <w:rPr>
                <w:rFonts w:ascii="Arial" w:eastAsia="宋体" w:hAnsi="Arial" w:cs="Arial"/>
                <w:color w:val="000000"/>
                <w:sz w:val="16"/>
                <w:szCs w:val="16"/>
              </w:rPr>
              <w:t>Financial Stability Oversight Council</w:t>
            </w:r>
          </w:p>
        </w:tc>
        <w:tc>
          <w:tcPr>
            <w:tcW w:w="0" w:type="auto"/>
            <w:gridSpan w:val="3"/>
            <w:shd w:val="clear" w:color="auto" w:fill="auto"/>
            <w:tcMar>
              <w:top w:w="40" w:type="dxa"/>
              <w:left w:w="20" w:type="dxa"/>
              <w:bottom w:w="40" w:type="dxa"/>
              <w:right w:w="20" w:type="dxa"/>
            </w:tcMar>
            <w:vAlign w:val="center"/>
          </w:tcPr>
          <w:p w14:paraId="5F2D6711" w14:textId="77777777" w:rsidR="00E836FB" w:rsidRDefault="00994958">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712" w14:textId="77777777" w:rsidR="00E836FB" w:rsidRDefault="00994958">
            <w:pPr>
              <w:textAlignment w:val="center"/>
            </w:pPr>
            <w:r>
              <w:rPr>
                <w:rFonts w:ascii="Arial" w:eastAsia="宋体" w:hAnsi="Arial" w:cs="Arial"/>
                <w:color w:val="000000"/>
                <w:sz w:val="16"/>
                <w:szCs w:val="16"/>
              </w:rPr>
              <w:t xml:space="preserve">Total </w:t>
            </w:r>
            <w:r>
              <w:rPr>
                <w:rFonts w:ascii="Arial" w:eastAsia="宋体" w:hAnsi="Arial" w:cs="Arial"/>
                <w:color w:val="000000"/>
                <w:sz w:val="16"/>
                <w:szCs w:val="16"/>
              </w:rPr>
              <w:t>loss-absorbing capacity</w:t>
            </w:r>
          </w:p>
        </w:tc>
      </w:tr>
      <w:tr w:rsidR="00E836FB" w14:paraId="5F2D6718" w14:textId="77777777">
        <w:tc>
          <w:tcPr>
            <w:tcW w:w="0" w:type="auto"/>
            <w:gridSpan w:val="3"/>
            <w:shd w:val="clear" w:color="auto" w:fill="auto"/>
            <w:tcMar>
              <w:top w:w="40" w:type="dxa"/>
              <w:left w:w="20" w:type="dxa"/>
              <w:bottom w:w="40" w:type="dxa"/>
              <w:right w:w="20" w:type="dxa"/>
            </w:tcMar>
            <w:vAlign w:val="center"/>
          </w:tcPr>
          <w:p w14:paraId="5F2D6714" w14:textId="77777777" w:rsidR="00E836FB" w:rsidRDefault="00994958">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5F2D6715" w14:textId="77777777" w:rsidR="00E836FB" w:rsidRDefault="00994958">
            <w:pPr>
              <w:textAlignment w:val="center"/>
            </w:pPr>
            <w:r>
              <w:rPr>
                <w:rFonts w:ascii="Arial" w:eastAsia="宋体" w:hAnsi="Arial" w:cs="Arial"/>
                <w:color w:val="000000"/>
                <w:sz w:val="16"/>
                <w:szCs w:val="16"/>
              </w:rPr>
              <w:t>Foreign exchange</w:t>
            </w:r>
          </w:p>
        </w:tc>
        <w:tc>
          <w:tcPr>
            <w:tcW w:w="0" w:type="auto"/>
            <w:gridSpan w:val="3"/>
            <w:shd w:val="clear" w:color="auto" w:fill="auto"/>
            <w:tcMar>
              <w:top w:w="40" w:type="dxa"/>
              <w:left w:w="20" w:type="dxa"/>
              <w:bottom w:w="40" w:type="dxa"/>
              <w:right w:w="20" w:type="dxa"/>
            </w:tcMar>
            <w:vAlign w:val="center"/>
          </w:tcPr>
          <w:p w14:paraId="5F2D6716" w14:textId="77777777" w:rsidR="00E836FB" w:rsidRDefault="00994958">
            <w:pPr>
              <w:textAlignment w:val="center"/>
            </w:pPr>
            <w:r>
              <w:rPr>
                <w:rFonts w:ascii="Arial" w:eastAsia="宋体" w:hAnsi="Arial" w:cs="Arial"/>
                <w:color w:val="000000"/>
                <w:sz w:val="16"/>
                <w:szCs w:val="16"/>
              </w:rPr>
              <w:t>TOPS</w:t>
            </w:r>
          </w:p>
        </w:tc>
        <w:tc>
          <w:tcPr>
            <w:tcW w:w="0" w:type="auto"/>
            <w:gridSpan w:val="3"/>
            <w:shd w:val="clear" w:color="auto" w:fill="auto"/>
            <w:tcMar>
              <w:top w:w="40" w:type="dxa"/>
              <w:left w:w="20" w:type="dxa"/>
              <w:bottom w:w="40" w:type="dxa"/>
              <w:right w:w="20" w:type="dxa"/>
            </w:tcMar>
            <w:vAlign w:val="center"/>
          </w:tcPr>
          <w:p w14:paraId="5F2D6717" w14:textId="77777777" w:rsidR="00E836FB" w:rsidRDefault="00994958">
            <w:pPr>
              <w:textAlignment w:val="center"/>
            </w:pPr>
            <w:r>
              <w:rPr>
                <w:rFonts w:ascii="Arial" w:eastAsia="宋体" w:hAnsi="Arial" w:cs="Arial"/>
                <w:color w:val="000000"/>
                <w:sz w:val="16"/>
                <w:szCs w:val="16"/>
              </w:rPr>
              <w:t>Technology and Operations Committee</w:t>
            </w:r>
          </w:p>
        </w:tc>
      </w:tr>
      <w:tr w:rsidR="00E836FB" w14:paraId="5F2D671D" w14:textId="77777777">
        <w:tc>
          <w:tcPr>
            <w:tcW w:w="0" w:type="auto"/>
            <w:gridSpan w:val="3"/>
            <w:shd w:val="clear" w:color="auto" w:fill="auto"/>
            <w:tcMar>
              <w:top w:w="40" w:type="dxa"/>
              <w:left w:w="20" w:type="dxa"/>
              <w:bottom w:w="40" w:type="dxa"/>
              <w:right w:w="20" w:type="dxa"/>
            </w:tcMar>
            <w:vAlign w:val="center"/>
          </w:tcPr>
          <w:p w14:paraId="5F2D6719" w14:textId="77777777" w:rsidR="00E836FB" w:rsidRDefault="00994958">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5F2D671A" w14:textId="77777777" w:rsidR="00E836FB" w:rsidRDefault="00994958">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40" w:type="dxa"/>
              <w:left w:w="20" w:type="dxa"/>
              <w:bottom w:w="40" w:type="dxa"/>
              <w:right w:w="20" w:type="dxa"/>
            </w:tcMar>
            <w:vAlign w:val="center"/>
          </w:tcPr>
          <w:p w14:paraId="5F2D671B" w14:textId="77777777" w:rsidR="00E836FB" w:rsidRDefault="00994958">
            <w:pPr>
              <w:textAlignment w:val="center"/>
            </w:pPr>
            <w:r>
              <w:rPr>
                <w:rFonts w:ascii="Arial" w:eastAsia="宋体" w:hAnsi="Arial" w:cs="Arial"/>
                <w:color w:val="000000"/>
                <w:sz w:val="16"/>
                <w:szCs w:val="16"/>
              </w:rPr>
              <w:t>TORC</w:t>
            </w:r>
          </w:p>
        </w:tc>
        <w:tc>
          <w:tcPr>
            <w:tcW w:w="0" w:type="auto"/>
            <w:gridSpan w:val="3"/>
            <w:shd w:val="clear" w:color="auto" w:fill="auto"/>
            <w:tcMar>
              <w:top w:w="40" w:type="dxa"/>
              <w:left w:w="20" w:type="dxa"/>
              <w:bottom w:w="40" w:type="dxa"/>
              <w:right w:w="20" w:type="dxa"/>
            </w:tcMar>
            <w:vAlign w:val="center"/>
          </w:tcPr>
          <w:p w14:paraId="5F2D671C" w14:textId="77777777" w:rsidR="00E836FB" w:rsidRDefault="00994958">
            <w:pPr>
              <w:textAlignment w:val="center"/>
            </w:pPr>
            <w:r>
              <w:rPr>
                <w:rFonts w:ascii="Arial" w:eastAsia="宋体" w:hAnsi="Arial" w:cs="Arial"/>
                <w:color w:val="000000"/>
                <w:sz w:val="16"/>
                <w:szCs w:val="16"/>
              </w:rPr>
              <w:t>Technology and Operational Risk Committee</w:t>
            </w:r>
          </w:p>
        </w:tc>
      </w:tr>
      <w:tr w:rsidR="00E836FB" w14:paraId="5F2D6722" w14:textId="77777777">
        <w:tc>
          <w:tcPr>
            <w:tcW w:w="0" w:type="auto"/>
            <w:gridSpan w:val="3"/>
            <w:shd w:val="clear" w:color="auto" w:fill="auto"/>
            <w:tcMar>
              <w:top w:w="40" w:type="dxa"/>
              <w:left w:w="20" w:type="dxa"/>
              <w:bottom w:w="40" w:type="dxa"/>
              <w:right w:w="20" w:type="dxa"/>
            </w:tcMar>
            <w:vAlign w:val="center"/>
          </w:tcPr>
          <w:p w14:paraId="5F2D671E" w14:textId="77777777" w:rsidR="00E836FB" w:rsidRDefault="00994958">
            <w:pPr>
              <w:textAlignment w:val="center"/>
            </w:pPr>
            <w:r>
              <w:rPr>
                <w:rFonts w:ascii="Arial" w:eastAsia="宋体" w:hAnsi="Arial" w:cs="Arial"/>
                <w:color w:val="000000"/>
                <w:sz w:val="16"/>
                <w:szCs w:val="16"/>
              </w:rPr>
              <w:t>GCR</w:t>
            </w:r>
          </w:p>
        </w:tc>
        <w:tc>
          <w:tcPr>
            <w:tcW w:w="0" w:type="auto"/>
            <w:gridSpan w:val="3"/>
            <w:shd w:val="clear" w:color="auto" w:fill="auto"/>
            <w:tcMar>
              <w:top w:w="40" w:type="dxa"/>
              <w:left w:w="20" w:type="dxa"/>
              <w:bottom w:w="40" w:type="dxa"/>
              <w:right w:w="20" w:type="dxa"/>
            </w:tcMar>
            <w:vAlign w:val="center"/>
          </w:tcPr>
          <w:p w14:paraId="5F2D671F" w14:textId="77777777" w:rsidR="00E836FB" w:rsidRDefault="00994958">
            <w:pPr>
              <w:textAlignment w:val="center"/>
            </w:pPr>
            <w:r>
              <w:rPr>
                <w:rFonts w:ascii="Arial" w:eastAsia="宋体" w:hAnsi="Arial" w:cs="Arial"/>
                <w:color w:val="000000"/>
                <w:sz w:val="16"/>
                <w:szCs w:val="16"/>
              </w:rPr>
              <w:t>Global credit review</w:t>
            </w:r>
          </w:p>
        </w:tc>
        <w:tc>
          <w:tcPr>
            <w:tcW w:w="0" w:type="auto"/>
            <w:gridSpan w:val="3"/>
            <w:shd w:val="clear" w:color="auto" w:fill="auto"/>
            <w:tcMar>
              <w:top w:w="40" w:type="dxa"/>
              <w:left w:w="20" w:type="dxa"/>
              <w:bottom w:w="40" w:type="dxa"/>
              <w:right w:w="20" w:type="dxa"/>
            </w:tcMar>
            <w:vAlign w:val="center"/>
          </w:tcPr>
          <w:p w14:paraId="5F2D6720" w14:textId="77777777" w:rsidR="00E836FB" w:rsidRDefault="00994958">
            <w:pPr>
              <w:textAlignment w:val="center"/>
            </w:pPr>
            <w:r>
              <w:rPr>
                <w:rFonts w:ascii="Arial" w:eastAsia="宋体" w:hAnsi="Arial" w:cs="Arial"/>
                <w:color w:val="000000"/>
                <w:sz w:val="16"/>
                <w:szCs w:val="16"/>
              </w:rPr>
              <w:t>UCITS</w:t>
            </w:r>
          </w:p>
        </w:tc>
        <w:tc>
          <w:tcPr>
            <w:tcW w:w="0" w:type="auto"/>
            <w:gridSpan w:val="3"/>
            <w:shd w:val="clear" w:color="auto" w:fill="auto"/>
            <w:tcMar>
              <w:top w:w="40" w:type="dxa"/>
              <w:left w:w="20" w:type="dxa"/>
              <w:bottom w:w="40" w:type="dxa"/>
              <w:right w:w="20" w:type="dxa"/>
            </w:tcMar>
            <w:vAlign w:val="center"/>
          </w:tcPr>
          <w:p w14:paraId="5F2D6721" w14:textId="77777777" w:rsidR="00E836FB" w:rsidRDefault="00994958">
            <w:pPr>
              <w:textAlignment w:val="center"/>
            </w:pPr>
            <w:r>
              <w:rPr>
                <w:rFonts w:ascii="Arial" w:eastAsia="宋体" w:hAnsi="Arial" w:cs="Arial"/>
                <w:color w:val="000000"/>
                <w:sz w:val="16"/>
                <w:szCs w:val="16"/>
              </w:rPr>
              <w:t>Undertakings for Collective Investments in T</w:t>
            </w:r>
            <w:r>
              <w:rPr>
                <w:rFonts w:ascii="Arial" w:eastAsia="宋体" w:hAnsi="Arial" w:cs="Arial"/>
                <w:color w:val="000000"/>
                <w:sz w:val="16"/>
                <w:szCs w:val="16"/>
              </w:rPr>
              <w:t>ransferable Securities</w:t>
            </w:r>
          </w:p>
        </w:tc>
      </w:tr>
      <w:tr w:rsidR="00E836FB" w14:paraId="5F2D6727" w14:textId="77777777">
        <w:tc>
          <w:tcPr>
            <w:tcW w:w="0" w:type="auto"/>
            <w:gridSpan w:val="3"/>
            <w:shd w:val="clear" w:color="auto" w:fill="auto"/>
            <w:tcMar>
              <w:top w:w="40" w:type="dxa"/>
              <w:left w:w="20" w:type="dxa"/>
              <w:bottom w:w="40" w:type="dxa"/>
              <w:right w:w="20" w:type="dxa"/>
            </w:tcMar>
            <w:vAlign w:val="center"/>
          </w:tcPr>
          <w:p w14:paraId="5F2D6723" w14:textId="77777777" w:rsidR="00E836FB" w:rsidRDefault="00994958">
            <w:pPr>
              <w:textAlignment w:val="center"/>
            </w:pPr>
            <w:r>
              <w:rPr>
                <w:rFonts w:ascii="Arial" w:eastAsia="宋体" w:hAnsi="Arial" w:cs="Arial"/>
                <w:color w:val="000000"/>
                <w:sz w:val="16"/>
                <w:szCs w:val="16"/>
              </w:rPr>
              <w:t>GDPR</w:t>
            </w:r>
          </w:p>
        </w:tc>
        <w:tc>
          <w:tcPr>
            <w:tcW w:w="0" w:type="auto"/>
            <w:gridSpan w:val="3"/>
            <w:shd w:val="clear" w:color="auto" w:fill="auto"/>
            <w:tcMar>
              <w:top w:w="40" w:type="dxa"/>
              <w:left w:w="20" w:type="dxa"/>
              <w:bottom w:w="40" w:type="dxa"/>
              <w:right w:w="20" w:type="dxa"/>
            </w:tcMar>
            <w:vAlign w:val="center"/>
          </w:tcPr>
          <w:p w14:paraId="5F2D6724" w14:textId="77777777" w:rsidR="00E836FB" w:rsidRDefault="00994958">
            <w:pPr>
              <w:textAlignment w:val="center"/>
            </w:pPr>
            <w:r>
              <w:rPr>
                <w:rFonts w:ascii="Arial" w:eastAsia="宋体" w:hAnsi="Arial" w:cs="Arial"/>
                <w:color w:val="000000"/>
                <w:sz w:val="16"/>
                <w:szCs w:val="16"/>
              </w:rPr>
              <w:t>General data protection regulation</w:t>
            </w:r>
          </w:p>
        </w:tc>
        <w:tc>
          <w:tcPr>
            <w:tcW w:w="0" w:type="auto"/>
            <w:gridSpan w:val="3"/>
            <w:shd w:val="clear" w:color="auto" w:fill="auto"/>
            <w:tcMar>
              <w:top w:w="40" w:type="dxa"/>
              <w:left w:w="20" w:type="dxa"/>
              <w:bottom w:w="40" w:type="dxa"/>
              <w:right w:w="20" w:type="dxa"/>
            </w:tcMar>
            <w:vAlign w:val="center"/>
          </w:tcPr>
          <w:p w14:paraId="5F2D6725" w14:textId="77777777" w:rsidR="00E836FB" w:rsidRDefault="00994958">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5F2D6726" w14:textId="77777777" w:rsidR="00E836FB" w:rsidRDefault="00994958">
            <w:pPr>
              <w:textAlignment w:val="center"/>
            </w:pPr>
            <w:r>
              <w:rPr>
                <w:rFonts w:ascii="Arial" w:eastAsia="宋体" w:hAnsi="Arial" w:cs="Arial"/>
                <w:color w:val="000000"/>
                <w:sz w:val="16"/>
                <w:szCs w:val="16"/>
              </w:rPr>
              <w:t>Unit of measure</w:t>
            </w:r>
          </w:p>
        </w:tc>
      </w:tr>
      <w:tr w:rsidR="00E836FB" w14:paraId="5F2D672C" w14:textId="77777777">
        <w:tc>
          <w:tcPr>
            <w:tcW w:w="0" w:type="auto"/>
            <w:gridSpan w:val="3"/>
            <w:shd w:val="clear" w:color="auto" w:fill="auto"/>
            <w:tcMar>
              <w:top w:w="40" w:type="dxa"/>
              <w:left w:w="20" w:type="dxa"/>
              <w:bottom w:w="40" w:type="dxa"/>
              <w:right w:w="20" w:type="dxa"/>
            </w:tcMar>
            <w:vAlign w:val="center"/>
          </w:tcPr>
          <w:p w14:paraId="5F2D6728" w14:textId="77777777" w:rsidR="00E836FB" w:rsidRDefault="00994958">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5F2D6729" w14:textId="77777777" w:rsidR="00E836FB" w:rsidRDefault="00994958">
            <w:pPr>
              <w:textAlignment w:val="center"/>
            </w:pPr>
            <w:r>
              <w:rPr>
                <w:rFonts w:ascii="Arial" w:eastAsia="宋体" w:hAnsi="Arial" w:cs="Arial"/>
                <w:color w:val="000000"/>
                <w:sz w:val="16"/>
                <w:szCs w:val="16"/>
              </w:rPr>
              <w:t>Global systemically important bank</w:t>
            </w:r>
          </w:p>
        </w:tc>
        <w:tc>
          <w:tcPr>
            <w:tcW w:w="0" w:type="auto"/>
            <w:gridSpan w:val="3"/>
            <w:shd w:val="clear" w:color="auto" w:fill="auto"/>
            <w:tcMar>
              <w:top w:w="40" w:type="dxa"/>
              <w:left w:w="20" w:type="dxa"/>
              <w:bottom w:w="40" w:type="dxa"/>
              <w:right w:w="20" w:type="dxa"/>
            </w:tcMar>
            <w:vAlign w:val="center"/>
          </w:tcPr>
          <w:p w14:paraId="5F2D672A" w14:textId="77777777" w:rsidR="00E836FB" w:rsidRDefault="00994958">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5F2D672B" w14:textId="77777777" w:rsidR="00E836FB" w:rsidRDefault="00994958">
            <w:pPr>
              <w:textAlignment w:val="center"/>
            </w:pPr>
            <w:r>
              <w:rPr>
                <w:rFonts w:ascii="Arial" w:eastAsia="宋体" w:hAnsi="Arial" w:cs="Arial"/>
                <w:color w:val="000000"/>
                <w:sz w:val="16"/>
                <w:szCs w:val="16"/>
              </w:rPr>
              <w:t>Value-at-Risk</w:t>
            </w:r>
          </w:p>
        </w:tc>
      </w:tr>
      <w:tr w:rsidR="00E836FB" w14:paraId="5F2D6731" w14:textId="77777777">
        <w:tc>
          <w:tcPr>
            <w:tcW w:w="0" w:type="auto"/>
            <w:gridSpan w:val="3"/>
            <w:shd w:val="clear" w:color="auto" w:fill="auto"/>
            <w:tcMar>
              <w:top w:w="40" w:type="dxa"/>
              <w:left w:w="20" w:type="dxa"/>
              <w:bottom w:w="40" w:type="dxa"/>
              <w:right w:w="20" w:type="dxa"/>
            </w:tcMar>
            <w:vAlign w:val="center"/>
          </w:tcPr>
          <w:p w14:paraId="5F2D672D" w14:textId="77777777" w:rsidR="00E836FB" w:rsidRDefault="00994958">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F2D672E" w14:textId="77777777" w:rsidR="00E836FB" w:rsidRDefault="00994958">
            <w:pPr>
              <w:textAlignment w:val="center"/>
            </w:pPr>
            <w:r>
              <w:rPr>
                <w:rFonts w:ascii="Arial" w:eastAsia="宋体" w:hAnsi="Arial" w:cs="Arial"/>
                <w:color w:val="000000"/>
                <w:sz w:val="16"/>
                <w:szCs w:val="16"/>
              </w:rPr>
              <w:t>High-quality liquid assets</w:t>
            </w:r>
          </w:p>
        </w:tc>
        <w:tc>
          <w:tcPr>
            <w:tcW w:w="0" w:type="auto"/>
            <w:gridSpan w:val="3"/>
            <w:shd w:val="clear" w:color="auto" w:fill="auto"/>
            <w:tcMar>
              <w:top w:w="40" w:type="dxa"/>
              <w:left w:w="20" w:type="dxa"/>
              <w:bottom w:w="40" w:type="dxa"/>
              <w:right w:w="20" w:type="dxa"/>
            </w:tcMar>
            <w:vAlign w:val="center"/>
          </w:tcPr>
          <w:p w14:paraId="5F2D672F" w14:textId="77777777" w:rsidR="00E836FB" w:rsidRDefault="00994958">
            <w:pPr>
              <w:textAlignment w:val="center"/>
            </w:pPr>
            <w:r>
              <w:rPr>
                <w:rFonts w:ascii="Arial" w:eastAsia="宋体" w:hAnsi="Arial" w:cs="Arial"/>
                <w:color w:val="000000"/>
                <w:sz w:val="16"/>
                <w:szCs w:val="16"/>
              </w:rPr>
              <w:t>VIE</w:t>
            </w:r>
          </w:p>
        </w:tc>
        <w:tc>
          <w:tcPr>
            <w:tcW w:w="0" w:type="auto"/>
            <w:gridSpan w:val="3"/>
            <w:shd w:val="clear" w:color="auto" w:fill="auto"/>
            <w:tcMar>
              <w:top w:w="40" w:type="dxa"/>
              <w:left w:w="20" w:type="dxa"/>
              <w:bottom w:w="40" w:type="dxa"/>
              <w:right w:w="20" w:type="dxa"/>
            </w:tcMar>
            <w:vAlign w:val="center"/>
          </w:tcPr>
          <w:p w14:paraId="5F2D6730" w14:textId="77777777" w:rsidR="00E836FB" w:rsidRDefault="00994958">
            <w:pPr>
              <w:textAlignment w:val="center"/>
            </w:pPr>
            <w:r>
              <w:rPr>
                <w:rFonts w:ascii="Arial" w:eastAsia="宋体" w:hAnsi="Arial" w:cs="Arial"/>
                <w:color w:val="000000"/>
                <w:sz w:val="16"/>
                <w:szCs w:val="16"/>
              </w:rPr>
              <w:t>Variable interest entity</w:t>
            </w:r>
          </w:p>
        </w:tc>
      </w:tr>
      <w:tr w:rsidR="00E836FB" w14:paraId="5F2D6736" w14:textId="77777777">
        <w:tc>
          <w:tcPr>
            <w:tcW w:w="0" w:type="auto"/>
            <w:gridSpan w:val="3"/>
            <w:shd w:val="clear" w:color="auto" w:fill="auto"/>
            <w:tcMar>
              <w:top w:w="40" w:type="dxa"/>
              <w:left w:w="20" w:type="dxa"/>
              <w:bottom w:w="40" w:type="dxa"/>
              <w:right w:w="20" w:type="dxa"/>
            </w:tcMar>
            <w:vAlign w:val="center"/>
          </w:tcPr>
          <w:p w14:paraId="5F2D6732" w14:textId="77777777" w:rsidR="00E836FB" w:rsidRDefault="00994958">
            <w:pPr>
              <w:textAlignment w:val="center"/>
            </w:pPr>
            <w:r>
              <w:rPr>
                <w:rFonts w:ascii="Arial" w:eastAsia="宋体" w:hAnsi="Arial" w:cs="Arial"/>
                <w:color w:val="000000"/>
                <w:sz w:val="16"/>
                <w:szCs w:val="16"/>
              </w:rPr>
              <w:t>HRC</w:t>
            </w:r>
          </w:p>
        </w:tc>
        <w:tc>
          <w:tcPr>
            <w:tcW w:w="0" w:type="auto"/>
            <w:gridSpan w:val="3"/>
            <w:shd w:val="clear" w:color="auto" w:fill="auto"/>
            <w:tcMar>
              <w:top w:w="40" w:type="dxa"/>
              <w:left w:w="20" w:type="dxa"/>
              <w:bottom w:w="40" w:type="dxa"/>
              <w:right w:w="20" w:type="dxa"/>
            </w:tcMar>
            <w:vAlign w:val="center"/>
          </w:tcPr>
          <w:p w14:paraId="5F2D6733" w14:textId="77777777" w:rsidR="00E836FB" w:rsidRDefault="00994958">
            <w:pPr>
              <w:textAlignment w:val="center"/>
            </w:pPr>
            <w:r>
              <w:rPr>
                <w:rFonts w:ascii="Arial" w:eastAsia="宋体" w:hAnsi="Arial" w:cs="Arial"/>
                <w:color w:val="000000"/>
                <w:sz w:val="16"/>
                <w:szCs w:val="16"/>
              </w:rPr>
              <w:t>Human Resources Committee</w:t>
            </w:r>
          </w:p>
        </w:tc>
        <w:tc>
          <w:tcPr>
            <w:tcW w:w="0" w:type="auto"/>
            <w:gridSpan w:val="3"/>
            <w:shd w:val="clear" w:color="auto" w:fill="auto"/>
            <w:tcMar>
              <w:top w:w="40" w:type="dxa"/>
              <w:left w:w="20" w:type="dxa"/>
              <w:bottom w:w="40" w:type="dxa"/>
              <w:right w:w="20" w:type="dxa"/>
            </w:tcMar>
            <w:vAlign w:val="center"/>
          </w:tcPr>
          <w:p w14:paraId="5F2D6734" w14:textId="77777777" w:rsidR="00E836FB" w:rsidRDefault="00994958">
            <w:pPr>
              <w:textAlignment w:val="center"/>
            </w:pPr>
            <w:r>
              <w:rPr>
                <w:rFonts w:ascii="Arial" w:eastAsia="宋体" w:hAnsi="Arial" w:cs="Arial"/>
                <w:color w:val="000000"/>
                <w:sz w:val="16"/>
                <w:szCs w:val="16"/>
              </w:rPr>
              <w:t>WD</w:t>
            </w:r>
          </w:p>
        </w:tc>
        <w:tc>
          <w:tcPr>
            <w:tcW w:w="0" w:type="auto"/>
            <w:gridSpan w:val="3"/>
            <w:shd w:val="clear" w:color="auto" w:fill="auto"/>
            <w:tcMar>
              <w:top w:w="40" w:type="dxa"/>
              <w:left w:w="20" w:type="dxa"/>
              <w:bottom w:w="40" w:type="dxa"/>
              <w:right w:w="20" w:type="dxa"/>
            </w:tcMar>
            <w:vAlign w:val="center"/>
          </w:tcPr>
          <w:p w14:paraId="5F2D6735" w14:textId="77777777" w:rsidR="00E836FB" w:rsidRDefault="00994958">
            <w:pPr>
              <w:textAlignment w:val="center"/>
            </w:pPr>
            <w:r>
              <w:rPr>
                <w:rFonts w:ascii="Arial" w:eastAsia="宋体" w:hAnsi="Arial" w:cs="Arial"/>
                <w:color w:val="000000"/>
                <w:sz w:val="16"/>
                <w:szCs w:val="16"/>
              </w:rPr>
              <w:t>Withdrawn</w:t>
            </w:r>
          </w:p>
        </w:tc>
      </w:tr>
      <w:tr w:rsidR="00E836FB" w14:paraId="5F2D673B" w14:textId="77777777">
        <w:tc>
          <w:tcPr>
            <w:tcW w:w="0" w:type="auto"/>
            <w:gridSpan w:val="3"/>
            <w:shd w:val="clear" w:color="auto" w:fill="auto"/>
            <w:tcMar>
              <w:top w:w="40" w:type="dxa"/>
              <w:left w:w="20" w:type="dxa"/>
              <w:bottom w:w="40" w:type="dxa"/>
              <w:right w:w="20" w:type="dxa"/>
            </w:tcMar>
            <w:vAlign w:val="center"/>
          </w:tcPr>
          <w:p w14:paraId="5F2D6737" w14:textId="77777777" w:rsidR="00E836FB" w:rsidRDefault="00994958">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5F2D6738" w14:textId="77777777" w:rsidR="00E836FB" w:rsidRDefault="00994958">
            <w:pPr>
              <w:textAlignment w:val="center"/>
            </w:pPr>
            <w:r>
              <w:rPr>
                <w:rFonts w:ascii="Arial" w:eastAsia="宋体" w:hAnsi="Arial" w:cs="Arial"/>
                <w:color w:val="000000"/>
                <w:sz w:val="16"/>
                <w:szCs w:val="16"/>
              </w:rPr>
              <w:t>Held-to-maturity</w:t>
            </w:r>
          </w:p>
        </w:tc>
        <w:tc>
          <w:tcPr>
            <w:tcW w:w="0" w:type="auto"/>
            <w:gridSpan w:val="3"/>
            <w:shd w:val="clear" w:color="auto" w:fill="auto"/>
            <w:tcMar>
              <w:top w:w="0" w:type="dxa"/>
              <w:left w:w="20" w:type="dxa"/>
              <w:bottom w:w="0" w:type="dxa"/>
              <w:right w:w="20" w:type="dxa"/>
            </w:tcMar>
            <w:vAlign w:val="bottom"/>
          </w:tcPr>
          <w:p w14:paraId="5F2D673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73A" w14:textId="77777777" w:rsidR="00E836FB" w:rsidRDefault="00E836FB">
            <w:pPr>
              <w:rPr>
                <w:rFonts w:ascii="宋体"/>
              </w:rPr>
            </w:pPr>
          </w:p>
        </w:tc>
      </w:tr>
      <w:tr w:rsidR="00E836FB" w14:paraId="5F2D6740" w14:textId="77777777">
        <w:trPr>
          <w:hidden/>
        </w:trPr>
        <w:tc>
          <w:tcPr>
            <w:tcW w:w="0" w:type="auto"/>
            <w:gridSpan w:val="3"/>
            <w:shd w:val="clear" w:color="auto" w:fill="auto"/>
            <w:vAlign w:val="bottom"/>
          </w:tcPr>
          <w:p w14:paraId="5F2D673C" w14:textId="77777777" w:rsidR="00E836FB" w:rsidRDefault="00E836FB">
            <w:pPr>
              <w:rPr>
                <w:rFonts w:ascii="宋体"/>
                <w:vanish/>
              </w:rPr>
            </w:pPr>
          </w:p>
        </w:tc>
        <w:tc>
          <w:tcPr>
            <w:tcW w:w="0" w:type="auto"/>
            <w:gridSpan w:val="3"/>
            <w:shd w:val="clear" w:color="auto" w:fill="auto"/>
            <w:vAlign w:val="bottom"/>
          </w:tcPr>
          <w:p w14:paraId="5F2D673D" w14:textId="77777777" w:rsidR="00E836FB" w:rsidRDefault="00E836FB">
            <w:pPr>
              <w:rPr>
                <w:rFonts w:ascii="宋体"/>
                <w:vanish/>
              </w:rPr>
            </w:pPr>
          </w:p>
        </w:tc>
        <w:tc>
          <w:tcPr>
            <w:tcW w:w="0" w:type="auto"/>
            <w:gridSpan w:val="3"/>
            <w:shd w:val="clear" w:color="auto" w:fill="auto"/>
            <w:vAlign w:val="bottom"/>
          </w:tcPr>
          <w:p w14:paraId="5F2D673E" w14:textId="77777777" w:rsidR="00E836FB" w:rsidRDefault="00E836FB">
            <w:pPr>
              <w:rPr>
                <w:rFonts w:ascii="宋体"/>
                <w:vanish/>
              </w:rPr>
            </w:pPr>
          </w:p>
        </w:tc>
        <w:tc>
          <w:tcPr>
            <w:tcW w:w="0" w:type="auto"/>
            <w:gridSpan w:val="3"/>
            <w:shd w:val="clear" w:color="auto" w:fill="auto"/>
            <w:vAlign w:val="bottom"/>
          </w:tcPr>
          <w:p w14:paraId="5F2D673F" w14:textId="77777777" w:rsidR="00E836FB" w:rsidRDefault="00E836FB">
            <w:pPr>
              <w:rPr>
                <w:rFonts w:ascii="宋体"/>
                <w:vanish/>
              </w:rPr>
            </w:pPr>
          </w:p>
        </w:tc>
      </w:tr>
      <w:tr w:rsidR="00E836FB" w14:paraId="5F2D6745" w14:textId="77777777">
        <w:trPr>
          <w:hidden/>
        </w:trPr>
        <w:tc>
          <w:tcPr>
            <w:tcW w:w="0" w:type="auto"/>
            <w:gridSpan w:val="3"/>
            <w:shd w:val="clear" w:color="auto" w:fill="auto"/>
            <w:vAlign w:val="bottom"/>
          </w:tcPr>
          <w:p w14:paraId="5F2D6741" w14:textId="77777777" w:rsidR="00E836FB" w:rsidRDefault="00E836FB">
            <w:pPr>
              <w:rPr>
                <w:rFonts w:ascii="宋体"/>
                <w:vanish/>
              </w:rPr>
            </w:pPr>
          </w:p>
        </w:tc>
        <w:tc>
          <w:tcPr>
            <w:tcW w:w="0" w:type="auto"/>
            <w:gridSpan w:val="3"/>
            <w:shd w:val="clear" w:color="auto" w:fill="auto"/>
            <w:vAlign w:val="bottom"/>
          </w:tcPr>
          <w:p w14:paraId="5F2D6742" w14:textId="77777777" w:rsidR="00E836FB" w:rsidRDefault="00E836FB">
            <w:pPr>
              <w:rPr>
                <w:rFonts w:ascii="宋体"/>
                <w:vanish/>
              </w:rPr>
            </w:pPr>
          </w:p>
        </w:tc>
        <w:tc>
          <w:tcPr>
            <w:tcW w:w="0" w:type="auto"/>
            <w:gridSpan w:val="3"/>
            <w:shd w:val="clear" w:color="auto" w:fill="auto"/>
            <w:vAlign w:val="bottom"/>
          </w:tcPr>
          <w:p w14:paraId="5F2D6743" w14:textId="77777777" w:rsidR="00E836FB" w:rsidRDefault="00E836FB">
            <w:pPr>
              <w:rPr>
                <w:rFonts w:ascii="宋体"/>
                <w:vanish/>
              </w:rPr>
            </w:pPr>
          </w:p>
        </w:tc>
        <w:tc>
          <w:tcPr>
            <w:tcW w:w="0" w:type="auto"/>
            <w:gridSpan w:val="3"/>
            <w:shd w:val="clear" w:color="auto" w:fill="auto"/>
            <w:vAlign w:val="bottom"/>
          </w:tcPr>
          <w:p w14:paraId="5F2D6744" w14:textId="77777777" w:rsidR="00E836FB" w:rsidRDefault="00E836FB">
            <w:pPr>
              <w:rPr>
                <w:rFonts w:ascii="宋体"/>
                <w:vanish/>
              </w:rPr>
            </w:pPr>
          </w:p>
        </w:tc>
      </w:tr>
      <w:tr w:rsidR="00E836FB" w14:paraId="5F2D674A" w14:textId="77777777">
        <w:trPr>
          <w:hidden/>
        </w:trPr>
        <w:tc>
          <w:tcPr>
            <w:tcW w:w="0" w:type="auto"/>
            <w:gridSpan w:val="3"/>
            <w:shd w:val="clear" w:color="auto" w:fill="auto"/>
            <w:vAlign w:val="bottom"/>
          </w:tcPr>
          <w:p w14:paraId="5F2D6746" w14:textId="77777777" w:rsidR="00E836FB" w:rsidRDefault="00E836FB">
            <w:pPr>
              <w:rPr>
                <w:rFonts w:ascii="宋体"/>
                <w:vanish/>
              </w:rPr>
            </w:pPr>
          </w:p>
        </w:tc>
        <w:tc>
          <w:tcPr>
            <w:tcW w:w="0" w:type="auto"/>
            <w:gridSpan w:val="3"/>
            <w:shd w:val="clear" w:color="auto" w:fill="auto"/>
            <w:vAlign w:val="bottom"/>
          </w:tcPr>
          <w:p w14:paraId="5F2D6747" w14:textId="77777777" w:rsidR="00E836FB" w:rsidRDefault="00E836FB">
            <w:pPr>
              <w:rPr>
                <w:rFonts w:ascii="宋体"/>
                <w:vanish/>
              </w:rPr>
            </w:pPr>
          </w:p>
        </w:tc>
        <w:tc>
          <w:tcPr>
            <w:tcW w:w="0" w:type="auto"/>
            <w:gridSpan w:val="3"/>
            <w:shd w:val="clear" w:color="auto" w:fill="auto"/>
            <w:vAlign w:val="bottom"/>
          </w:tcPr>
          <w:p w14:paraId="5F2D6748" w14:textId="77777777" w:rsidR="00E836FB" w:rsidRDefault="00E836FB">
            <w:pPr>
              <w:rPr>
                <w:rFonts w:ascii="宋体"/>
                <w:vanish/>
              </w:rPr>
            </w:pPr>
          </w:p>
        </w:tc>
        <w:tc>
          <w:tcPr>
            <w:tcW w:w="0" w:type="auto"/>
            <w:gridSpan w:val="3"/>
            <w:shd w:val="clear" w:color="auto" w:fill="auto"/>
            <w:vAlign w:val="bottom"/>
          </w:tcPr>
          <w:p w14:paraId="5F2D6749" w14:textId="77777777" w:rsidR="00E836FB" w:rsidRDefault="00E836FB">
            <w:pPr>
              <w:rPr>
                <w:rFonts w:ascii="宋体"/>
                <w:vanish/>
              </w:rPr>
            </w:pPr>
          </w:p>
        </w:tc>
      </w:tr>
      <w:tr w:rsidR="00E836FB" w14:paraId="5F2D674F" w14:textId="77777777">
        <w:trPr>
          <w:hidden/>
        </w:trPr>
        <w:tc>
          <w:tcPr>
            <w:tcW w:w="0" w:type="auto"/>
            <w:gridSpan w:val="3"/>
            <w:shd w:val="clear" w:color="auto" w:fill="auto"/>
            <w:vAlign w:val="bottom"/>
          </w:tcPr>
          <w:p w14:paraId="5F2D674B" w14:textId="77777777" w:rsidR="00E836FB" w:rsidRDefault="00E836FB">
            <w:pPr>
              <w:rPr>
                <w:rFonts w:ascii="宋体"/>
                <w:vanish/>
              </w:rPr>
            </w:pPr>
          </w:p>
        </w:tc>
        <w:tc>
          <w:tcPr>
            <w:tcW w:w="0" w:type="auto"/>
            <w:gridSpan w:val="3"/>
            <w:shd w:val="clear" w:color="auto" w:fill="auto"/>
            <w:vAlign w:val="bottom"/>
          </w:tcPr>
          <w:p w14:paraId="5F2D674C" w14:textId="77777777" w:rsidR="00E836FB" w:rsidRDefault="00E836FB">
            <w:pPr>
              <w:rPr>
                <w:rFonts w:ascii="宋体"/>
                <w:vanish/>
              </w:rPr>
            </w:pPr>
          </w:p>
        </w:tc>
        <w:tc>
          <w:tcPr>
            <w:tcW w:w="0" w:type="auto"/>
            <w:gridSpan w:val="3"/>
            <w:shd w:val="clear" w:color="auto" w:fill="auto"/>
            <w:vAlign w:val="bottom"/>
          </w:tcPr>
          <w:p w14:paraId="5F2D674D" w14:textId="77777777" w:rsidR="00E836FB" w:rsidRDefault="00E836FB">
            <w:pPr>
              <w:rPr>
                <w:rFonts w:ascii="宋体"/>
                <w:vanish/>
              </w:rPr>
            </w:pPr>
          </w:p>
        </w:tc>
        <w:tc>
          <w:tcPr>
            <w:tcW w:w="0" w:type="auto"/>
            <w:gridSpan w:val="3"/>
            <w:shd w:val="clear" w:color="auto" w:fill="auto"/>
            <w:vAlign w:val="bottom"/>
          </w:tcPr>
          <w:p w14:paraId="5F2D674E" w14:textId="77777777" w:rsidR="00E836FB" w:rsidRDefault="00E836FB">
            <w:pPr>
              <w:rPr>
                <w:rFonts w:ascii="宋体"/>
                <w:vanish/>
              </w:rPr>
            </w:pPr>
          </w:p>
        </w:tc>
      </w:tr>
      <w:tr w:rsidR="00E836FB" w14:paraId="5F2D6754" w14:textId="77777777">
        <w:trPr>
          <w:hidden/>
        </w:trPr>
        <w:tc>
          <w:tcPr>
            <w:tcW w:w="0" w:type="auto"/>
            <w:gridSpan w:val="3"/>
            <w:shd w:val="clear" w:color="auto" w:fill="auto"/>
            <w:vAlign w:val="bottom"/>
          </w:tcPr>
          <w:p w14:paraId="5F2D6750" w14:textId="77777777" w:rsidR="00E836FB" w:rsidRDefault="00E836FB">
            <w:pPr>
              <w:rPr>
                <w:rFonts w:ascii="宋体"/>
                <w:vanish/>
              </w:rPr>
            </w:pPr>
          </w:p>
        </w:tc>
        <w:tc>
          <w:tcPr>
            <w:tcW w:w="0" w:type="auto"/>
            <w:gridSpan w:val="3"/>
            <w:shd w:val="clear" w:color="auto" w:fill="auto"/>
            <w:vAlign w:val="bottom"/>
          </w:tcPr>
          <w:p w14:paraId="5F2D6751" w14:textId="77777777" w:rsidR="00E836FB" w:rsidRDefault="00E836FB">
            <w:pPr>
              <w:rPr>
                <w:rFonts w:ascii="宋体"/>
                <w:vanish/>
              </w:rPr>
            </w:pPr>
          </w:p>
        </w:tc>
        <w:tc>
          <w:tcPr>
            <w:tcW w:w="0" w:type="auto"/>
            <w:gridSpan w:val="3"/>
            <w:shd w:val="clear" w:color="auto" w:fill="auto"/>
            <w:vAlign w:val="bottom"/>
          </w:tcPr>
          <w:p w14:paraId="5F2D6752" w14:textId="77777777" w:rsidR="00E836FB" w:rsidRDefault="00E836FB">
            <w:pPr>
              <w:rPr>
                <w:rFonts w:ascii="宋体"/>
                <w:vanish/>
              </w:rPr>
            </w:pPr>
          </w:p>
        </w:tc>
        <w:tc>
          <w:tcPr>
            <w:tcW w:w="0" w:type="auto"/>
            <w:gridSpan w:val="3"/>
            <w:shd w:val="clear" w:color="auto" w:fill="auto"/>
            <w:vAlign w:val="bottom"/>
          </w:tcPr>
          <w:p w14:paraId="5F2D6753" w14:textId="77777777" w:rsidR="00E836FB" w:rsidRDefault="00E836FB">
            <w:pPr>
              <w:rPr>
                <w:rFonts w:ascii="宋体"/>
                <w:vanish/>
              </w:rPr>
            </w:pPr>
          </w:p>
        </w:tc>
      </w:tr>
      <w:tr w:rsidR="00E836FB" w14:paraId="5F2D6759" w14:textId="77777777">
        <w:trPr>
          <w:hidden/>
        </w:trPr>
        <w:tc>
          <w:tcPr>
            <w:tcW w:w="0" w:type="auto"/>
            <w:gridSpan w:val="3"/>
            <w:shd w:val="clear" w:color="auto" w:fill="auto"/>
            <w:vAlign w:val="bottom"/>
          </w:tcPr>
          <w:p w14:paraId="5F2D6755" w14:textId="77777777" w:rsidR="00E836FB" w:rsidRDefault="00E836FB">
            <w:pPr>
              <w:rPr>
                <w:rFonts w:ascii="宋体"/>
                <w:vanish/>
              </w:rPr>
            </w:pPr>
          </w:p>
        </w:tc>
        <w:tc>
          <w:tcPr>
            <w:tcW w:w="0" w:type="auto"/>
            <w:gridSpan w:val="3"/>
            <w:shd w:val="clear" w:color="auto" w:fill="auto"/>
            <w:vAlign w:val="bottom"/>
          </w:tcPr>
          <w:p w14:paraId="5F2D6756" w14:textId="77777777" w:rsidR="00E836FB" w:rsidRDefault="00E836FB">
            <w:pPr>
              <w:rPr>
                <w:rFonts w:ascii="宋体"/>
                <w:vanish/>
              </w:rPr>
            </w:pPr>
          </w:p>
        </w:tc>
        <w:tc>
          <w:tcPr>
            <w:tcW w:w="0" w:type="auto"/>
            <w:gridSpan w:val="3"/>
            <w:shd w:val="clear" w:color="auto" w:fill="auto"/>
            <w:vAlign w:val="bottom"/>
          </w:tcPr>
          <w:p w14:paraId="5F2D6757" w14:textId="77777777" w:rsidR="00E836FB" w:rsidRDefault="00E836FB">
            <w:pPr>
              <w:rPr>
                <w:rFonts w:ascii="宋体"/>
                <w:vanish/>
              </w:rPr>
            </w:pPr>
          </w:p>
        </w:tc>
        <w:tc>
          <w:tcPr>
            <w:tcW w:w="0" w:type="auto"/>
            <w:gridSpan w:val="3"/>
            <w:shd w:val="clear" w:color="auto" w:fill="auto"/>
            <w:vAlign w:val="bottom"/>
          </w:tcPr>
          <w:p w14:paraId="5F2D6758" w14:textId="77777777" w:rsidR="00E836FB" w:rsidRDefault="00E836FB">
            <w:pPr>
              <w:rPr>
                <w:rFonts w:ascii="宋体"/>
                <w:vanish/>
              </w:rPr>
            </w:pPr>
          </w:p>
        </w:tc>
      </w:tr>
      <w:tr w:rsidR="00E836FB" w14:paraId="5F2D675E" w14:textId="77777777">
        <w:trPr>
          <w:hidden/>
        </w:trPr>
        <w:tc>
          <w:tcPr>
            <w:tcW w:w="0" w:type="auto"/>
            <w:gridSpan w:val="3"/>
            <w:shd w:val="clear" w:color="auto" w:fill="auto"/>
            <w:vAlign w:val="bottom"/>
          </w:tcPr>
          <w:p w14:paraId="5F2D675A" w14:textId="77777777" w:rsidR="00E836FB" w:rsidRDefault="00E836FB">
            <w:pPr>
              <w:rPr>
                <w:rFonts w:ascii="宋体"/>
                <w:vanish/>
              </w:rPr>
            </w:pPr>
          </w:p>
        </w:tc>
        <w:tc>
          <w:tcPr>
            <w:tcW w:w="0" w:type="auto"/>
            <w:gridSpan w:val="3"/>
            <w:shd w:val="clear" w:color="auto" w:fill="auto"/>
            <w:vAlign w:val="bottom"/>
          </w:tcPr>
          <w:p w14:paraId="5F2D675B" w14:textId="77777777" w:rsidR="00E836FB" w:rsidRDefault="00E836FB">
            <w:pPr>
              <w:rPr>
                <w:rFonts w:ascii="宋体"/>
                <w:vanish/>
              </w:rPr>
            </w:pPr>
          </w:p>
        </w:tc>
        <w:tc>
          <w:tcPr>
            <w:tcW w:w="0" w:type="auto"/>
            <w:gridSpan w:val="3"/>
            <w:shd w:val="clear" w:color="auto" w:fill="auto"/>
            <w:vAlign w:val="bottom"/>
          </w:tcPr>
          <w:p w14:paraId="5F2D675C" w14:textId="77777777" w:rsidR="00E836FB" w:rsidRDefault="00E836FB">
            <w:pPr>
              <w:rPr>
                <w:rFonts w:ascii="宋体"/>
                <w:vanish/>
              </w:rPr>
            </w:pPr>
          </w:p>
        </w:tc>
        <w:tc>
          <w:tcPr>
            <w:tcW w:w="0" w:type="auto"/>
            <w:gridSpan w:val="3"/>
            <w:shd w:val="clear" w:color="auto" w:fill="auto"/>
            <w:vAlign w:val="bottom"/>
          </w:tcPr>
          <w:p w14:paraId="5F2D675D" w14:textId="77777777" w:rsidR="00E836FB" w:rsidRDefault="00E836FB">
            <w:pPr>
              <w:rPr>
                <w:rFonts w:ascii="宋体"/>
                <w:vanish/>
              </w:rPr>
            </w:pPr>
          </w:p>
        </w:tc>
      </w:tr>
      <w:tr w:rsidR="00E836FB" w14:paraId="5F2D6763" w14:textId="77777777">
        <w:trPr>
          <w:hidden/>
        </w:trPr>
        <w:tc>
          <w:tcPr>
            <w:tcW w:w="0" w:type="auto"/>
            <w:gridSpan w:val="3"/>
            <w:shd w:val="clear" w:color="auto" w:fill="auto"/>
            <w:vAlign w:val="bottom"/>
          </w:tcPr>
          <w:p w14:paraId="5F2D675F" w14:textId="77777777" w:rsidR="00E836FB" w:rsidRDefault="00E836FB">
            <w:pPr>
              <w:rPr>
                <w:rFonts w:ascii="宋体"/>
                <w:vanish/>
              </w:rPr>
            </w:pPr>
          </w:p>
        </w:tc>
        <w:tc>
          <w:tcPr>
            <w:tcW w:w="0" w:type="auto"/>
            <w:gridSpan w:val="3"/>
            <w:shd w:val="clear" w:color="auto" w:fill="auto"/>
            <w:vAlign w:val="bottom"/>
          </w:tcPr>
          <w:p w14:paraId="5F2D6760" w14:textId="77777777" w:rsidR="00E836FB" w:rsidRDefault="00E836FB">
            <w:pPr>
              <w:rPr>
                <w:rFonts w:ascii="宋体"/>
                <w:vanish/>
              </w:rPr>
            </w:pPr>
          </w:p>
        </w:tc>
        <w:tc>
          <w:tcPr>
            <w:tcW w:w="0" w:type="auto"/>
            <w:gridSpan w:val="3"/>
            <w:shd w:val="clear" w:color="auto" w:fill="auto"/>
            <w:vAlign w:val="bottom"/>
          </w:tcPr>
          <w:p w14:paraId="5F2D6761" w14:textId="77777777" w:rsidR="00E836FB" w:rsidRDefault="00E836FB">
            <w:pPr>
              <w:rPr>
                <w:rFonts w:ascii="宋体"/>
                <w:vanish/>
              </w:rPr>
            </w:pPr>
          </w:p>
        </w:tc>
        <w:tc>
          <w:tcPr>
            <w:tcW w:w="0" w:type="auto"/>
            <w:gridSpan w:val="3"/>
            <w:shd w:val="clear" w:color="auto" w:fill="auto"/>
            <w:vAlign w:val="bottom"/>
          </w:tcPr>
          <w:p w14:paraId="5F2D6762" w14:textId="77777777" w:rsidR="00E836FB" w:rsidRDefault="00E836FB">
            <w:pPr>
              <w:rPr>
                <w:rFonts w:ascii="宋体"/>
                <w:vanish/>
              </w:rPr>
            </w:pPr>
          </w:p>
        </w:tc>
      </w:tr>
      <w:tr w:rsidR="00E836FB" w14:paraId="5F2D6768" w14:textId="77777777">
        <w:trPr>
          <w:hidden/>
        </w:trPr>
        <w:tc>
          <w:tcPr>
            <w:tcW w:w="0" w:type="auto"/>
            <w:gridSpan w:val="3"/>
            <w:shd w:val="clear" w:color="auto" w:fill="auto"/>
            <w:vAlign w:val="bottom"/>
          </w:tcPr>
          <w:p w14:paraId="5F2D6764" w14:textId="77777777" w:rsidR="00E836FB" w:rsidRDefault="00E836FB">
            <w:pPr>
              <w:rPr>
                <w:rFonts w:ascii="宋体"/>
                <w:vanish/>
              </w:rPr>
            </w:pPr>
          </w:p>
        </w:tc>
        <w:tc>
          <w:tcPr>
            <w:tcW w:w="0" w:type="auto"/>
            <w:gridSpan w:val="3"/>
            <w:shd w:val="clear" w:color="auto" w:fill="auto"/>
            <w:vAlign w:val="bottom"/>
          </w:tcPr>
          <w:p w14:paraId="5F2D6765" w14:textId="77777777" w:rsidR="00E836FB" w:rsidRDefault="00E836FB">
            <w:pPr>
              <w:rPr>
                <w:rFonts w:ascii="宋体"/>
                <w:vanish/>
              </w:rPr>
            </w:pPr>
          </w:p>
        </w:tc>
        <w:tc>
          <w:tcPr>
            <w:tcW w:w="0" w:type="auto"/>
            <w:gridSpan w:val="3"/>
            <w:shd w:val="clear" w:color="auto" w:fill="auto"/>
            <w:vAlign w:val="bottom"/>
          </w:tcPr>
          <w:p w14:paraId="5F2D6766" w14:textId="77777777" w:rsidR="00E836FB" w:rsidRDefault="00E836FB">
            <w:pPr>
              <w:rPr>
                <w:rFonts w:ascii="宋体"/>
                <w:vanish/>
              </w:rPr>
            </w:pPr>
          </w:p>
        </w:tc>
        <w:tc>
          <w:tcPr>
            <w:tcW w:w="0" w:type="auto"/>
            <w:gridSpan w:val="3"/>
            <w:shd w:val="clear" w:color="auto" w:fill="auto"/>
            <w:vAlign w:val="bottom"/>
          </w:tcPr>
          <w:p w14:paraId="5F2D6767" w14:textId="77777777" w:rsidR="00E836FB" w:rsidRDefault="00E836FB">
            <w:pPr>
              <w:rPr>
                <w:rFonts w:ascii="宋体"/>
                <w:vanish/>
              </w:rPr>
            </w:pPr>
          </w:p>
        </w:tc>
      </w:tr>
      <w:tr w:rsidR="00E836FB" w14:paraId="5F2D676D" w14:textId="77777777">
        <w:trPr>
          <w:hidden/>
        </w:trPr>
        <w:tc>
          <w:tcPr>
            <w:tcW w:w="0" w:type="auto"/>
            <w:gridSpan w:val="3"/>
            <w:shd w:val="clear" w:color="auto" w:fill="auto"/>
            <w:vAlign w:val="bottom"/>
          </w:tcPr>
          <w:p w14:paraId="5F2D6769" w14:textId="77777777" w:rsidR="00E836FB" w:rsidRDefault="00E836FB">
            <w:pPr>
              <w:rPr>
                <w:rFonts w:ascii="宋体"/>
                <w:vanish/>
              </w:rPr>
            </w:pPr>
          </w:p>
        </w:tc>
        <w:tc>
          <w:tcPr>
            <w:tcW w:w="0" w:type="auto"/>
            <w:gridSpan w:val="3"/>
            <w:shd w:val="clear" w:color="auto" w:fill="auto"/>
            <w:vAlign w:val="bottom"/>
          </w:tcPr>
          <w:p w14:paraId="5F2D676A" w14:textId="77777777" w:rsidR="00E836FB" w:rsidRDefault="00E836FB">
            <w:pPr>
              <w:rPr>
                <w:rFonts w:ascii="宋体"/>
                <w:vanish/>
              </w:rPr>
            </w:pPr>
          </w:p>
        </w:tc>
        <w:tc>
          <w:tcPr>
            <w:tcW w:w="0" w:type="auto"/>
            <w:gridSpan w:val="3"/>
            <w:shd w:val="clear" w:color="auto" w:fill="auto"/>
            <w:vAlign w:val="bottom"/>
          </w:tcPr>
          <w:p w14:paraId="5F2D676B" w14:textId="77777777" w:rsidR="00E836FB" w:rsidRDefault="00E836FB">
            <w:pPr>
              <w:rPr>
                <w:rFonts w:ascii="宋体"/>
                <w:vanish/>
              </w:rPr>
            </w:pPr>
          </w:p>
        </w:tc>
        <w:tc>
          <w:tcPr>
            <w:tcW w:w="0" w:type="auto"/>
            <w:gridSpan w:val="3"/>
            <w:shd w:val="clear" w:color="auto" w:fill="auto"/>
            <w:vAlign w:val="bottom"/>
          </w:tcPr>
          <w:p w14:paraId="5F2D676C" w14:textId="77777777" w:rsidR="00E836FB" w:rsidRDefault="00E836FB">
            <w:pPr>
              <w:rPr>
                <w:rFonts w:ascii="宋体"/>
                <w:vanish/>
              </w:rPr>
            </w:pPr>
          </w:p>
        </w:tc>
      </w:tr>
      <w:tr w:rsidR="00E836FB" w14:paraId="5F2D6772" w14:textId="77777777">
        <w:trPr>
          <w:hidden/>
        </w:trPr>
        <w:tc>
          <w:tcPr>
            <w:tcW w:w="0" w:type="auto"/>
            <w:gridSpan w:val="3"/>
            <w:shd w:val="clear" w:color="auto" w:fill="auto"/>
            <w:vAlign w:val="bottom"/>
          </w:tcPr>
          <w:p w14:paraId="5F2D676E" w14:textId="77777777" w:rsidR="00E836FB" w:rsidRDefault="00E836FB">
            <w:pPr>
              <w:rPr>
                <w:rFonts w:ascii="宋体"/>
                <w:vanish/>
              </w:rPr>
            </w:pPr>
          </w:p>
        </w:tc>
        <w:tc>
          <w:tcPr>
            <w:tcW w:w="0" w:type="auto"/>
            <w:gridSpan w:val="3"/>
            <w:shd w:val="clear" w:color="auto" w:fill="auto"/>
            <w:vAlign w:val="bottom"/>
          </w:tcPr>
          <w:p w14:paraId="5F2D676F" w14:textId="77777777" w:rsidR="00E836FB" w:rsidRDefault="00E836FB">
            <w:pPr>
              <w:rPr>
                <w:rFonts w:ascii="宋体"/>
                <w:vanish/>
              </w:rPr>
            </w:pPr>
          </w:p>
        </w:tc>
        <w:tc>
          <w:tcPr>
            <w:tcW w:w="0" w:type="auto"/>
            <w:gridSpan w:val="3"/>
            <w:shd w:val="clear" w:color="auto" w:fill="auto"/>
            <w:vAlign w:val="bottom"/>
          </w:tcPr>
          <w:p w14:paraId="5F2D6770" w14:textId="77777777" w:rsidR="00E836FB" w:rsidRDefault="00E836FB">
            <w:pPr>
              <w:rPr>
                <w:rFonts w:ascii="宋体"/>
                <w:vanish/>
              </w:rPr>
            </w:pPr>
          </w:p>
        </w:tc>
        <w:tc>
          <w:tcPr>
            <w:tcW w:w="0" w:type="auto"/>
            <w:gridSpan w:val="3"/>
            <w:shd w:val="clear" w:color="auto" w:fill="auto"/>
            <w:vAlign w:val="bottom"/>
          </w:tcPr>
          <w:p w14:paraId="5F2D6771" w14:textId="77777777" w:rsidR="00E836FB" w:rsidRDefault="00E836FB">
            <w:pPr>
              <w:rPr>
                <w:rFonts w:ascii="宋体"/>
                <w:vanish/>
              </w:rPr>
            </w:pPr>
          </w:p>
        </w:tc>
      </w:tr>
      <w:tr w:rsidR="00E836FB" w14:paraId="5F2D6777" w14:textId="77777777">
        <w:trPr>
          <w:hidden/>
        </w:trPr>
        <w:tc>
          <w:tcPr>
            <w:tcW w:w="0" w:type="auto"/>
            <w:gridSpan w:val="3"/>
            <w:shd w:val="clear" w:color="auto" w:fill="auto"/>
            <w:vAlign w:val="bottom"/>
          </w:tcPr>
          <w:p w14:paraId="5F2D6773" w14:textId="77777777" w:rsidR="00E836FB" w:rsidRDefault="00E836FB">
            <w:pPr>
              <w:rPr>
                <w:rFonts w:ascii="宋体"/>
                <w:vanish/>
              </w:rPr>
            </w:pPr>
          </w:p>
        </w:tc>
        <w:tc>
          <w:tcPr>
            <w:tcW w:w="0" w:type="auto"/>
            <w:gridSpan w:val="3"/>
            <w:shd w:val="clear" w:color="auto" w:fill="auto"/>
            <w:vAlign w:val="bottom"/>
          </w:tcPr>
          <w:p w14:paraId="5F2D6774" w14:textId="77777777" w:rsidR="00E836FB" w:rsidRDefault="00E836FB">
            <w:pPr>
              <w:rPr>
                <w:rFonts w:ascii="宋体"/>
                <w:vanish/>
              </w:rPr>
            </w:pPr>
          </w:p>
        </w:tc>
        <w:tc>
          <w:tcPr>
            <w:tcW w:w="0" w:type="auto"/>
            <w:gridSpan w:val="3"/>
            <w:shd w:val="clear" w:color="auto" w:fill="auto"/>
            <w:vAlign w:val="bottom"/>
          </w:tcPr>
          <w:p w14:paraId="5F2D6775" w14:textId="77777777" w:rsidR="00E836FB" w:rsidRDefault="00E836FB">
            <w:pPr>
              <w:rPr>
                <w:rFonts w:ascii="宋体"/>
                <w:vanish/>
              </w:rPr>
            </w:pPr>
          </w:p>
        </w:tc>
        <w:tc>
          <w:tcPr>
            <w:tcW w:w="0" w:type="auto"/>
            <w:gridSpan w:val="3"/>
            <w:shd w:val="clear" w:color="auto" w:fill="auto"/>
            <w:vAlign w:val="bottom"/>
          </w:tcPr>
          <w:p w14:paraId="5F2D6776" w14:textId="77777777" w:rsidR="00E836FB" w:rsidRDefault="00E836FB">
            <w:pPr>
              <w:rPr>
                <w:rFonts w:ascii="宋体"/>
                <w:vanish/>
              </w:rPr>
            </w:pPr>
          </w:p>
        </w:tc>
      </w:tr>
      <w:tr w:rsidR="00E836FB" w14:paraId="5F2D677C" w14:textId="77777777">
        <w:trPr>
          <w:hidden/>
        </w:trPr>
        <w:tc>
          <w:tcPr>
            <w:tcW w:w="0" w:type="auto"/>
            <w:gridSpan w:val="3"/>
            <w:shd w:val="clear" w:color="auto" w:fill="auto"/>
            <w:vAlign w:val="bottom"/>
          </w:tcPr>
          <w:p w14:paraId="5F2D6778" w14:textId="77777777" w:rsidR="00E836FB" w:rsidRDefault="00E836FB">
            <w:pPr>
              <w:rPr>
                <w:rFonts w:ascii="宋体"/>
                <w:vanish/>
              </w:rPr>
            </w:pPr>
          </w:p>
        </w:tc>
        <w:tc>
          <w:tcPr>
            <w:tcW w:w="0" w:type="auto"/>
            <w:gridSpan w:val="3"/>
            <w:shd w:val="clear" w:color="auto" w:fill="auto"/>
            <w:vAlign w:val="bottom"/>
          </w:tcPr>
          <w:p w14:paraId="5F2D6779" w14:textId="77777777" w:rsidR="00E836FB" w:rsidRDefault="00E836FB">
            <w:pPr>
              <w:rPr>
                <w:rFonts w:ascii="宋体"/>
                <w:vanish/>
              </w:rPr>
            </w:pPr>
          </w:p>
        </w:tc>
        <w:tc>
          <w:tcPr>
            <w:tcW w:w="0" w:type="auto"/>
            <w:gridSpan w:val="3"/>
            <w:shd w:val="clear" w:color="auto" w:fill="auto"/>
            <w:vAlign w:val="bottom"/>
          </w:tcPr>
          <w:p w14:paraId="5F2D677A" w14:textId="77777777" w:rsidR="00E836FB" w:rsidRDefault="00E836FB">
            <w:pPr>
              <w:rPr>
                <w:rFonts w:ascii="宋体"/>
                <w:vanish/>
              </w:rPr>
            </w:pPr>
          </w:p>
        </w:tc>
        <w:tc>
          <w:tcPr>
            <w:tcW w:w="0" w:type="auto"/>
            <w:gridSpan w:val="3"/>
            <w:shd w:val="clear" w:color="auto" w:fill="auto"/>
            <w:vAlign w:val="bottom"/>
          </w:tcPr>
          <w:p w14:paraId="5F2D677B" w14:textId="77777777" w:rsidR="00E836FB" w:rsidRDefault="00E836FB">
            <w:pPr>
              <w:rPr>
                <w:rFonts w:ascii="宋体"/>
                <w:vanish/>
              </w:rPr>
            </w:pPr>
          </w:p>
        </w:tc>
      </w:tr>
      <w:tr w:rsidR="00E836FB" w14:paraId="5F2D6781" w14:textId="77777777">
        <w:trPr>
          <w:hidden/>
        </w:trPr>
        <w:tc>
          <w:tcPr>
            <w:tcW w:w="0" w:type="auto"/>
            <w:gridSpan w:val="3"/>
            <w:shd w:val="clear" w:color="auto" w:fill="auto"/>
            <w:vAlign w:val="bottom"/>
          </w:tcPr>
          <w:p w14:paraId="5F2D677D" w14:textId="77777777" w:rsidR="00E836FB" w:rsidRDefault="00E836FB">
            <w:pPr>
              <w:rPr>
                <w:rFonts w:ascii="宋体"/>
                <w:vanish/>
              </w:rPr>
            </w:pPr>
          </w:p>
        </w:tc>
        <w:tc>
          <w:tcPr>
            <w:tcW w:w="0" w:type="auto"/>
            <w:gridSpan w:val="3"/>
            <w:shd w:val="clear" w:color="auto" w:fill="auto"/>
            <w:vAlign w:val="bottom"/>
          </w:tcPr>
          <w:p w14:paraId="5F2D677E" w14:textId="77777777" w:rsidR="00E836FB" w:rsidRDefault="00E836FB">
            <w:pPr>
              <w:rPr>
                <w:rFonts w:ascii="宋体"/>
                <w:vanish/>
              </w:rPr>
            </w:pPr>
          </w:p>
        </w:tc>
        <w:tc>
          <w:tcPr>
            <w:tcW w:w="0" w:type="auto"/>
            <w:gridSpan w:val="3"/>
            <w:shd w:val="clear" w:color="auto" w:fill="auto"/>
            <w:vAlign w:val="bottom"/>
          </w:tcPr>
          <w:p w14:paraId="5F2D677F" w14:textId="77777777" w:rsidR="00E836FB" w:rsidRDefault="00E836FB">
            <w:pPr>
              <w:rPr>
                <w:rFonts w:ascii="宋体"/>
                <w:vanish/>
              </w:rPr>
            </w:pPr>
          </w:p>
        </w:tc>
        <w:tc>
          <w:tcPr>
            <w:tcW w:w="0" w:type="auto"/>
            <w:gridSpan w:val="3"/>
            <w:shd w:val="clear" w:color="auto" w:fill="auto"/>
            <w:vAlign w:val="bottom"/>
          </w:tcPr>
          <w:p w14:paraId="5F2D6780" w14:textId="77777777" w:rsidR="00E836FB" w:rsidRDefault="00E836FB">
            <w:pPr>
              <w:rPr>
                <w:rFonts w:ascii="宋体"/>
                <w:vanish/>
              </w:rPr>
            </w:pPr>
          </w:p>
        </w:tc>
      </w:tr>
      <w:tr w:rsidR="00E836FB" w14:paraId="5F2D6786" w14:textId="77777777">
        <w:trPr>
          <w:hidden/>
        </w:trPr>
        <w:tc>
          <w:tcPr>
            <w:tcW w:w="0" w:type="auto"/>
            <w:gridSpan w:val="3"/>
            <w:shd w:val="clear" w:color="auto" w:fill="auto"/>
            <w:vAlign w:val="bottom"/>
          </w:tcPr>
          <w:p w14:paraId="5F2D6782" w14:textId="77777777" w:rsidR="00E836FB" w:rsidRDefault="00E836FB">
            <w:pPr>
              <w:rPr>
                <w:rFonts w:ascii="宋体"/>
                <w:vanish/>
              </w:rPr>
            </w:pPr>
          </w:p>
        </w:tc>
        <w:tc>
          <w:tcPr>
            <w:tcW w:w="0" w:type="auto"/>
            <w:gridSpan w:val="3"/>
            <w:shd w:val="clear" w:color="auto" w:fill="auto"/>
            <w:vAlign w:val="bottom"/>
          </w:tcPr>
          <w:p w14:paraId="5F2D6783" w14:textId="77777777" w:rsidR="00E836FB" w:rsidRDefault="00E836FB">
            <w:pPr>
              <w:rPr>
                <w:rFonts w:ascii="宋体"/>
                <w:vanish/>
              </w:rPr>
            </w:pPr>
          </w:p>
        </w:tc>
        <w:tc>
          <w:tcPr>
            <w:tcW w:w="0" w:type="auto"/>
            <w:gridSpan w:val="3"/>
            <w:shd w:val="clear" w:color="auto" w:fill="auto"/>
            <w:vAlign w:val="bottom"/>
          </w:tcPr>
          <w:p w14:paraId="5F2D6784" w14:textId="77777777" w:rsidR="00E836FB" w:rsidRDefault="00E836FB">
            <w:pPr>
              <w:rPr>
                <w:rFonts w:ascii="宋体"/>
                <w:vanish/>
              </w:rPr>
            </w:pPr>
          </w:p>
        </w:tc>
        <w:tc>
          <w:tcPr>
            <w:tcW w:w="0" w:type="auto"/>
            <w:gridSpan w:val="3"/>
            <w:shd w:val="clear" w:color="auto" w:fill="auto"/>
            <w:vAlign w:val="bottom"/>
          </w:tcPr>
          <w:p w14:paraId="5F2D6785" w14:textId="77777777" w:rsidR="00E836FB" w:rsidRDefault="00E836FB">
            <w:pPr>
              <w:rPr>
                <w:rFonts w:ascii="宋体"/>
                <w:vanish/>
              </w:rPr>
            </w:pPr>
          </w:p>
        </w:tc>
      </w:tr>
      <w:tr w:rsidR="00E836FB" w14:paraId="5F2D678B" w14:textId="77777777">
        <w:trPr>
          <w:hidden/>
        </w:trPr>
        <w:tc>
          <w:tcPr>
            <w:tcW w:w="0" w:type="auto"/>
            <w:gridSpan w:val="3"/>
            <w:shd w:val="clear" w:color="auto" w:fill="auto"/>
            <w:vAlign w:val="bottom"/>
          </w:tcPr>
          <w:p w14:paraId="5F2D6787" w14:textId="77777777" w:rsidR="00E836FB" w:rsidRDefault="00E836FB">
            <w:pPr>
              <w:rPr>
                <w:rFonts w:ascii="宋体"/>
                <w:vanish/>
              </w:rPr>
            </w:pPr>
          </w:p>
        </w:tc>
        <w:tc>
          <w:tcPr>
            <w:tcW w:w="0" w:type="auto"/>
            <w:gridSpan w:val="3"/>
            <w:shd w:val="clear" w:color="auto" w:fill="auto"/>
            <w:vAlign w:val="bottom"/>
          </w:tcPr>
          <w:p w14:paraId="5F2D6788" w14:textId="77777777" w:rsidR="00E836FB" w:rsidRDefault="00E836FB">
            <w:pPr>
              <w:rPr>
                <w:rFonts w:ascii="宋体"/>
                <w:vanish/>
              </w:rPr>
            </w:pPr>
          </w:p>
        </w:tc>
        <w:tc>
          <w:tcPr>
            <w:tcW w:w="0" w:type="auto"/>
            <w:gridSpan w:val="3"/>
            <w:shd w:val="clear" w:color="auto" w:fill="auto"/>
            <w:vAlign w:val="bottom"/>
          </w:tcPr>
          <w:p w14:paraId="5F2D6789" w14:textId="77777777" w:rsidR="00E836FB" w:rsidRDefault="00E836FB">
            <w:pPr>
              <w:rPr>
                <w:rFonts w:ascii="宋体"/>
                <w:vanish/>
              </w:rPr>
            </w:pPr>
          </w:p>
        </w:tc>
        <w:tc>
          <w:tcPr>
            <w:tcW w:w="0" w:type="auto"/>
            <w:gridSpan w:val="3"/>
            <w:shd w:val="clear" w:color="auto" w:fill="auto"/>
            <w:vAlign w:val="bottom"/>
          </w:tcPr>
          <w:p w14:paraId="5F2D678A" w14:textId="77777777" w:rsidR="00E836FB" w:rsidRDefault="00E836FB">
            <w:pPr>
              <w:rPr>
                <w:rFonts w:ascii="宋体"/>
                <w:vanish/>
              </w:rPr>
            </w:pPr>
          </w:p>
        </w:tc>
      </w:tr>
      <w:tr w:rsidR="00E836FB" w14:paraId="5F2D6790" w14:textId="77777777">
        <w:trPr>
          <w:hidden/>
        </w:trPr>
        <w:tc>
          <w:tcPr>
            <w:tcW w:w="0" w:type="auto"/>
            <w:gridSpan w:val="3"/>
            <w:shd w:val="clear" w:color="auto" w:fill="auto"/>
            <w:vAlign w:val="bottom"/>
          </w:tcPr>
          <w:p w14:paraId="5F2D678C" w14:textId="77777777" w:rsidR="00E836FB" w:rsidRDefault="00E836FB">
            <w:pPr>
              <w:rPr>
                <w:rFonts w:ascii="宋体"/>
                <w:vanish/>
              </w:rPr>
            </w:pPr>
          </w:p>
        </w:tc>
        <w:tc>
          <w:tcPr>
            <w:tcW w:w="0" w:type="auto"/>
            <w:gridSpan w:val="3"/>
            <w:shd w:val="clear" w:color="auto" w:fill="auto"/>
            <w:vAlign w:val="bottom"/>
          </w:tcPr>
          <w:p w14:paraId="5F2D678D" w14:textId="77777777" w:rsidR="00E836FB" w:rsidRDefault="00E836FB">
            <w:pPr>
              <w:rPr>
                <w:rFonts w:ascii="宋体"/>
                <w:vanish/>
              </w:rPr>
            </w:pPr>
          </w:p>
        </w:tc>
        <w:tc>
          <w:tcPr>
            <w:tcW w:w="0" w:type="auto"/>
            <w:gridSpan w:val="3"/>
            <w:shd w:val="clear" w:color="auto" w:fill="auto"/>
            <w:vAlign w:val="bottom"/>
          </w:tcPr>
          <w:p w14:paraId="5F2D678E" w14:textId="77777777" w:rsidR="00E836FB" w:rsidRDefault="00E836FB">
            <w:pPr>
              <w:rPr>
                <w:rFonts w:ascii="宋体"/>
                <w:vanish/>
              </w:rPr>
            </w:pPr>
          </w:p>
        </w:tc>
        <w:tc>
          <w:tcPr>
            <w:tcW w:w="0" w:type="auto"/>
            <w:gridSpan w:val="3"/>
            <w:shd w:val="clear" w:color="auto" w:fill="auto"/>
            <w:vAlign w:val="bottom"/>
          </w:tcPr>
          <w:p w14:paraId="5F2D678F" w14:textId="77777777" w:rsidR="00E836FB" w:rsidRDefault="00E836FB">
            <w:pPr>
              <w:rPr>
                <w:rFonts w:ascii="宋体"/>
                <w:vanish/>
              </w:rPr>
            </w:pPr>
          </w:p>
        </w:tc>
      </w:tr>
      <w:tr w:rsidR="00E836FB" w14:paraId="5F2D6795" w14:textId="77777777">
        <w:trPr>
          <w:hidden/>
        </w:trPr>
        <w:tc>
          <w:tcPr>
            <w:tcW w:w="0" w:type="auto"/>
            <w:gridSpan w:val="3"/>
            <w:shd w:val="clear" w:color="auto" w:fill="auto"/>
            <w:vAlign w:val="bottom"/>
          </w:tcPr>
          <w:p w14:paraId="5F2D6791" w14:textId="77777777" w:rsidR="00E836FB" w:rsidRDefault="00E836FB">
            <w:pPr>
              <w:rPr>
                <w:rFonts w:ascii="宋体"/>
                <w:vanish/>
              </w:rPr>
            </w:pPr>
          </w:p>
        </w:tc>
        <w:tc>
          <w:tcPr>
            <w:tcW w:w="0" w:type="auto"/>
            <w:gridSpan w:val="3"/>
            <w:shd w:val="clear" w:color="auto" w:fill="auto"/>
            <w:vAlign w:val="bottom"/>
          </w:tcPr>
          <w:p w14:paraId="5F2D6792" w14:textId="77777777" w:rsidR="00E836FB" w:rsidRDefault="00E836FB">
            <w:pPr>
              <w:rPr>
                <w:rFonts w:ascii="宋体"/>
                <w:vanish/>
              </w:rPr>
            </w:pPr>
          </w:p>
        </w:tc>
        <w:tc>
          <w:tcPr>
            <w:tcW w:w="0" w:type="auto"/>
            <w:gridSpan w:val="3"/>
            <w:shd w:val="clear" w:color="auto" w:fill="auto"/>
            <w:vAlign w:val="bottom"/>
          </w:tcPr>
          <w:p w14:paraId="5F2D6793" w14:textId="77777777" w:rsidR="00E836FB" w:rsidRDefault="00E836FB">
            <w:pPr>
              <w:rPr>
                <w:rFonts w:ascii="宋体"/>
                <w:vanish/>
              </w:rPr>
            </w:pPr>
          </w:p>
        </w:tc>
        <w:tc>
          <w:tcPr>
            <w:tcW w:w="0" w:type="auto"/>
            <w:gridSpan w:val="3"/>
            <w:shd w:val="clear" w:color="auto" w:fill="auto"/>
            <w:vAlign w:val="bottom"/>
          </w:tcPr>
          <w:p w14:paraId="5F2D6794" w14:textId="77777777" w:rsidR="00E836FB" w:rsidRDefault="00E836FB">
            <w:pPr>
              <w:rPr>
                <w:rFonts w:ascii="宋体"/>
                <w:vanish/>
              </w:rPr>
            </w:pPr>
          </w:p>
        </w:tc>
      </w:tr>
      <w:tr w:rsidR="00E836FB" w14:paraId="5F2D679A" w14:textId="77777777">
        <w:trPr>
          <w:hidden/>
        </w:trPr>
        <w:tc>
          <w:tcPr>
            <w:tcW w:w="0" w:type="auto"/>
            <w:gridSpan w:val="3"/>
            <w:shd w:val="clear" w:color="auto" w:fill="auto"/>
            <w:vAlign w:val="bottom"/>
          </w:tcPr>
          <w:p w14:paraId="5F2D6796" w14:textId="77777777" w:rsidR="00E836FB" w:rsidRDefault="00E836FB">
            <w:pPr>
              <w:rPr>
                <w:rFonts w:ascii="宋体"/>
                <w:vanish/>
              </w:rPr>
            </w:pPr>
          </w:p>
        </w:tc>
        <w:tc>
          <w:tcPr>
            <w:tcW w:w="0" w:type="auto"/>
            <w:gridSpan w:val="3"/>
            <w:shd w:val="clear" w:color="auto" w:fill="auto"/>
            <w:vAlign w:val="bottom"/>
          </w:tcPr>
          <w:p w14:paraId="5F2D6797" w14:textId="77777777" w:rsidR="00E836FB" w:rsidRDefault="00E836FB">
            <w:pPr>
              <w:rPr>
                <w:rFonts w:ascii="宋体"/>
                <w:vanish/>
              </w:rPr>
            </w:pPr>
          </w:p>
        </w:tc>
        <w:tc>
          <w:tcPr>
            <w:tcW w:w="0" w:type="auto"/>
            <w:gridSpan w:val="3"/>
            <w:shd w:val="clear" w:color="auto" w:fill="auto"/>
            <w:vAlign w:val="bottom"/>
          </w:tcPr>
          <w:p w14:paraId="5F2D6798" w14:textId="77777777" w:rsidR="00E836FB" w:rsidRDefault="00E836FB">
            <w:pPr>
              <w:rPr>
                <w:rFonts w:ascii="宋体"/>
                <w:vanish/>
              </w:rPr>
            </w:pPr>
          </w:p>
        </w:tc>
        <w:tc>
          <w:tcPr>
            <w:tcW w:w="0" w:type="auto"/>
            <w:gridSpan w:val="3"/>
            <w:shd w:val="clear" w:color="auto" w:fill="auto"/>
            <w:vAlign w:val="bottom"/>
          </w:tcPr>
          <w:p w14:paraId="5F2D6799" w14:textId="77777777" w:rsidR="00E836FB" w:rsidRDefault="00E836FB">
            <w:pPr>
              <w:rPr>
                <w:rFonts w:ascii="宋体"/>
                <w:vanish/>
              </w:rPr>
            </w:pPr>
          </w:p>
        </w:tc>
      </w:tr>
      <w:tr w:rsidR="00E836FB" w14:paraId="5F2D679F" w14:textId="77777777">
        <w:trPr>
          <w:hidden/>
        </w:trPr>
        <w:tc>
          <w:tcPr>
            <w:tcW w:w="0" w:type="auto"/>
            <w:gridSpan w:val="3"/>
            <w:shd w:val="clear" w:color="auto" w:fill="auto"/>
            <w:vAlign w:val="bottom"/>
          </w:tcPr>
          <w:p w14:paraId="5F2D679B" w14:textId="77777777" w:rsidR="00E836FB" w:rsidRDefault="00E836FB">
            <w:pPr>
              <w:rPr>
                <w:rFonts w:ascii="宋体"/>
                <w:vanish/>
              </w:rPr>
            </w:pPr>
          </w:p>
        </w:tc>
        <w:tc>
          <w:tcPr>
            <w:tcW w:w="0" w:type="auto"/>
            <w:gridSpan w:val="3"/>
            <w:shd w:val="clear" w:color="auto" w:fill="auto"/>
            <w:vAlign w:val="bottom"/>
          </w:tcPr>
          <w:p w14:paraId="5F2D679C" w14:textId="77777777" w:rsidR="00E836FB" w:rsidRDefault="00E836FB">
            <w:pPr>
              <w:rPr>
                <w:rFonts w:ascii="宋体"/>
                <w:vanish/>
              </w:rPr>
            </w:pPr>
          </w:p>
        </w:tc>
        <w:tc>
          <w:tcPr>
            <w:tcW w:w="0" w:type="auto"/>
            <w:gridSpan w:val="3"/>
            <w:shd w:val="clear" w:color="auto" w:fill="auto"/>
            <w:vAlign w:val="bottom"/>
          </w:tcPr>
          <w:p w14:paraId="5F2D679D" w14:textId="77777777" w:rsidR="00E836FB" w:rsidRDefault="00E836FB">
            <w:pPr>
              <w:rPr>
                <w:rFonts w:ascii="宋体"/>
                <w:vanish/>
              </w:rPr>
            </w:pPr>
          </w:p>
        </w:tc>
        <w:tc>
          <w:tcPr>
            <w:tcW w:w="0" w:type="auto"/>
            <w:gridSpan w:val="3"/>
            <w:shd w:val="clear" w:color="auto" w:fill="auto"/>
            <w:vAlign w:val="bottom"/>
          </w:tcPr>
          <w:p w14:paraId="5F2D679E" w14:textId="77777777" w:rsidR="00E836FB" w:rsidRDefault="00E836FB">
            <w:pPr>
              <w:rPr>
                <w:rFonts w:ascii="宋体"/>
                <w:vanish/>
              </w:rPr>
            </w:pPr>
          </w:p>
        </w:tc>
      </w:tr>
      <w:tr w:rsidR="00E836FB" w14:paraId="5F2D67A4" w14:textId="77777777">
        <w:trPr>
          <w:hidden/>
        </w:trPr>
        <w:tc>
          <w:tcPr>
            <w:tcW w:w="0" w:type="auto"/>
            <w:gridSpan w:val="3"/>
            <w:shd w:val="clear" w:color="auto" w:fill="auto"/>
            <w:vAlign w:val="bottom"/>
          </w:tcPr>
          <w:p w14:paraId="5F2D67A0" w14:textId="77777777" w:rsidR="00E836FB" w:rsidRDefault="00E836FB">
            <w:pPr>
              <w:rPr>
                <w:rFonts w:ascii="宋体"/>
                <w:vanish/>
              </w:rPr>
            </w:pPr>
          </w:p>
        </w:tc>
        <w:tc>
          <w:tcPr>
            <w:tcW w:w="0" w:type="auto"/>
            <w:gridSpan w:val="3"/>
            <w:shd w:val="clear" w:color="auto" w:fill="auto"/>
            <w:vAlign w:val="bottom"/>
          </w:tcPr>
          <w:p w14:paraId="5F2D67A1" w14:textId="77777777" w:rsidR="00E836FB" w:rsidRDefault="00E836FB">
            <w:pPr>
              <w:rPr>
                <w:rFonts w:ascii="宋体"/>
                <w:vanish/>
              </w:rPr>
            </w:pPr>
          </w:p>
        </w:tc>
        <w:tc>
          <w:tcPr>
            <w:tcW w:w="0" w:type="auto"/>
            <w:gridSpan w:val="3"/>
            <w:shd w:val="clear" w:color="auto" w:fill="auto"/>
            <w:vAlign w:val="bottom"/>
          </w:tcPr>
          <w:p w14:paraId="5F2D67A2" w14:textId="77777777" w:rsidR="00E836FB" w:rsidRDefault="00E836FB">
            <w:pPr>
              <w:rPr>
                <w:rFonts w:ascii="宋体"/>
                <w:vanish/>
              </w:rPr>
            </w:pPr>
          </w:p>
        </w:tc>
        <w:tc>
          <w:tcPr>
            <w:tcW w:w="0" w:type="auto"/>
            <w:gridSpan w:val="3"/>
            <w:shd w:val="clear" w:color="auto" w:fill="auto"/>
            <w:vAlign w:val="bottom"/>
          </w:tcPr>
          <w:p w14:paraId="5F2D67A3" w14:textId="77777777" w:rsidR="00E836FB" w:rsidRDefault="00E836FB">
            <w:pPr>
              <w:rPr>
                <w:rFonts w:ascii="宋体"/>
                <w:vanish/>
              </w:rPr>
            </w:pPr>
          </w:p>
        </w:tc>
      </w:tr>
      <w:tr w:rsidR="00E836FB" w14:paraId="5F2D67A9" w14:textId="77777777">
        <w:trPr>
          <w:hidden/>
        </w:trPr>
        <w:tc>
          <w:tcPr>
            <w:tcW w:w="0" w:type="auto"/>
            <w:gridSpan w:val="3"/>
            <w:shd w:val="clear" w:color="auto" w:fill="auto"/>
            <w:vAlign w:val="bottom"/>
          </w:tcPr>
          <w:p w14:paraId="5F2D67A5" w14:textId="77777777" w:rsidR="00E836FB" w:rsidRDefault="00E836FB">
            <w:pPr>
              <w:rPr>
                <w:rFonts w:ascii="宋体"/>
                <w:vanish/>
              </w:rPr>
            </w:pPr>
          </w:p>
        </w:tc>
        <w:tc>
          <w:tcPr>
            <w:tcW w:w="0" w:type="auto"/>
            <w:gridSpan w:val="3"/>
            <w:shd w:val="clear" w:color="auto" w:fill="auto"/>
            <w:vAlign w:val="bottom"/>
          </w:tcPr>
          <w:p w14:paraId="5F2D67A6" w14:textId="77777777" w:rsidR="00E836FB" w:rsidRDefault="00E836FB">
            <w:pPr>
              <w:rPr>
                <w:rFonts w:ascii="宋体"/>
                <w:vanish/>
              </w:rPr>
            </w:pPr>
          </w:p>
        </w:tc>
        <w:tc>
          <w:tcPr>
            <w:tcW w:w="0" w:type="auto"/>
            <w:gridSpan w:val="3"/>
            <w:shd w:val="clear" w:color="auto" w:fill="auto"/>
            <w:vAlign w:val="bottom"/>
          </w:tcPr>
          <w:p w14:paraId="5F2D67A7" w14:textId="77777777" w:rsidR="00E836FB" w:rsidRDefault="00E836FB">
            <w:pPr>
              <w:rPr>
                <w:rFonts w:ascii="宋体"/>
                <w:vanish/>
              </w:rPr>
            </w:pPr>
          </w:p>
        </w:tc>
        <w:tc>
          <w:tcPr>
            <w:tcW w:w="0" w:type="auto"/>
            <w:gridSpan w:val="3"/>
            <w:shd w:val="clear" w:color="auto" w:fill="auto"/>
            <w:vAlign w:val="bottom"/>
          </w:tcPr>
          <w:p w14:paraId="5F2D67A8" w14:textId="77777777" w:rsidR="00E836FB" w:rsidRDefault="00E836FB">
            <w:pPr>
              <w:rPr>
                <w:rFonts w:ascii="宋体"/>
                <w:vanish/>
              </w:rPr>
            </w:pPr>
          </w:p>
        </w:tc>
      </w:tr>
      <w:tr w:rsidR="00E836FB" w14:paraId="5F2D67AE" w14:textId="77777777">
        <w:trPr>
          <w:hidden/>
        </w:trPr>
        <w:tc>
          <w:tcPr>
            <w:tcW w:w="0" w:type="auto"/>
            <w:gridSpan w:val="3"/>
            <w:shd w:val="clear" w:color="auto" w:fill="auto"/>
            <w:vAlign w:val="bottom"/>
          </w:tcPr>
          <w:p w14:paraId="5F2D67AA" w14:textId="77777777" w:rsidR="00E836FB" w:rsidRDefault="00E836FB">
            <w:pPr>
              <w:rPr>
                <w:rFonts w:ascii="宋体"/>
                <w:vanish/>
              </w:rPr>
            </w:pPr>
          </w:p>
        </w:tc>
        <w:tc>
          <w:tcPr>
            <w:tcW w:w="0" w:type="auto"/>
            <w:gridSpan w:val="3"/>
            <w:shd w:val="clear" w:color="auto" w:fill="auto"/>
            <w:vAlign w:val="bottom"/>
          </w:tcPr>
          <w:p w14:paraId="5F2D67AB" w14:textId="77777777" w:rsidR="00E836FB" w:rsidRDefault="00E836FB">
            <w:pPr>
              <w:rPr>
                <w:rFonts w:ascii="宋体"/>
                <w:vanish/>
              </w:rPr>
            </w:pPr>
          </w:p>
        </w:tc>
        <w:tc>
          <w:tcPr>
            <w:tcW w:w="0" w:type="auto"/>
            <w:gridSpan w:val="3"/>
            <w:shd w:val="clear" w:color="auto" w:fill="auto"/>
            <w:vAlign w:val="bottom"/>
          </w:tcPr>
          <w:p w14:paraId="5F2D67AC" w14:textId="77777777" w:rsidR="00E836FB" w:rsidRDefault="00E836FB">
            <w:pPr>
              <w:rPr>
                <w:rFonts w:ascii="宋体"/>
                <w:vanish/>
              </w:rPr>
            </w:pPr>
          </w:p>
        </w:tc>
        <w:tc>
          <w:tcPr>
            <w:tcW w:w="0" w:type="auto"/>
            <w:gridSpan w:val="3"/>
            <w:shd w:val="clear" w:color="auto" w:fill="auto"/>
            <w:vAlign w:val="bottom"/>
          </w:tcPr>
          <w:p w14:paraId="5F2D67AD" w14:textId="77777777" w:rsidR="00E836FB" w:rsidRDefault="00E836FB">
            <w:pPr>
              <w:rPr>
                <w:rFonts w:ascii="宋体"/>
                <w:vanish/>
              </w:rPr>
            </w:pPr>
          </w:p>
        </w:tc>
      </w:tr>
      <w:tr w:rsidR="00E836FB" w14:paraId="5F2D67B7" w14:textId="77777777">
        <w:trPr>
          <w:hidden/>
        </w:trPr>
        <w:tc>
          <w:tcPr>
            <w:tcW w:w="0" w:type="auto"/>
            <w:gridSpan w:val="3"/>
            <w:shd w:val="clear" w:color="auto" w:fill="auto"/>
            <w:vAlign w:val="bottom"/>
          </w:tcPr>
          <w:p w14:paraId="5F2D67AF" w14:textId="77777777" w:rsidR="00E836FB" w:rsidRDefault="00E836FB">
            <w:pPr>
              <w:rPr>
                <w:rFonts w:ascii="宋体"/>
                <w:vanish/>
              </w:rPr>
            </w:pPr>
          </w:p>
        </w:tc>
        <w:tc>
          <w:tcPr>
            <w:tcW w:w="0" w:type="auto"/>
            <w:gridSpan w:val="3"/>
            <w:shd w:val="clear" w:color="auto" w:fill="auto"/>
            <w:vAlign w:val="bottom"/>
          </w:tcPr>
          <w:p w14:paraId="5F2D67B0" w14:textId="77777777" w:rsidR="00E836FB" w:rsidRDefault="00E836FB">
            <w:pPr>
              <w:rPr>
                <w:rFonts w:ascii="宋体"/>
                <w:vanish/>
              </w:rPr>
            </w:pPr>
          </w:p>
        </w:tc>
        <w:tc>
          <w:tcPr>
            <w:tcW w:w="0" w:type="auto"/>
            <w:shd w:val="clear" w:color="auto" w:fill="auto"/>
            <w:vAlign w:val="bottom"/>
          </w:tcPr>
          <w:p w14:paraId="5F2D67B1" w14:textId="77777777" w:rsidR="00E836FB" w:rsidRDefault="00E836FB">
            <w:pPr>
              <w:rPr>
                <w:rFonts w:ascii="宋体"/>
              </w:rPr>
            </w:pPr>
          </w:p>
        </w:tc>
        <w:tc>
          <w:tcPr>
            <w:tcW w:w="0" w:type="auto"/>
            <w:shd w:val="clear" w:color="auto" w:fill="auto"/>
            <w:vAlign w:val="bottom"/>
          </w:tcPr>
          <w:p w14:paraId="5F2D67B2" w14:textId="77777777" w:rsidR="00E836FB" w:rsidRDefault="00E836FB">
            <w:pPr>
              <w:rPr>
                <w:rFonts w:ascii="宋体"/>
              </w:rPr>
            </w:pPr>
          </w:p>
        </w:tc>
        <w:tc>
          <w:tcPr>
            <w:tcW w:w="0" w:type="auto"/>
            <w:shd w:val="clear" w:color="auto" w:fill="auto"/>
            <w:vAlign w:val="bottom"/>
          </w:tcPr>
          <w:p w14:paraId="5F2D67B3" w14:textId="77777777" w:rsidR="00E836FB" w:rsidRDefault="00E836FB">
            <w:pPr>
              <w:rPr>
                <w:rFonts w:ascii="宋体"/>
              </w:rPr>
            </w:pPr>
          </w:p>
        </w:tc>
        <w:tc>
          <w:tcPr>
            <w:tcW w:w="0" w:type="auto"/>
            <w:shd w:val="clear" w:color="auto" w:fill="auto"/>
            <w:vAlign w:val="bottom"/>
          </w:tcPr>
          <w:p w14:paraId="5F2D67B4" w14:textId="77777777" w:rsidR="00E836FB" w:rsidRDefault="00E836FB">
            <w:pPr>
              <w:rPr>
                <w:rFonts w:ascii="宋体"/>
              </w:rPr>
            </w:pPr>
          </w:p>
        </w:tc>
        <w:tc>
          <w:tcPr>
            <w:tcW w:w="0" w:type="auto"/>
            <w:shd w:val="clear" w:color="auto" w:fill="auto"/>
            <w:vAlign w:val="bottom"/>
          </w:tcPr>
          <w:p w14:paraId="5F2D67B5" w14:textId="77777777" w:rsidR="00E836FB" w:rsidRDefault="00E836FB">
            <w:pPr>
              <w:rPr>
                <w:rFonts w:ascii="宋体"/>
              </w:rPr>
            </w:pPr>
          </w:p>
        </w:tc>
        <w:tc>
          <w:tcPr>
            <w:tcW w:w="0" w:type="auto"/>
            <w:shd w:val="clear" w:color="auto" w:fill="auto"/>
            <w:vAlign w:val="bottom"/>
          </w:tcPr>
          <w:p w14:paraId="5F2D67B6" w14:textId="77777777" w:rsidR="00E836FB" w:rsidRDefault="00E836FB">
            <w:pPr>
              <w:rPr>
                <w:rFonts w:ascii="宋体"/>
              </w:rPr>
            </w:pPr>
          </w:p>
        </w:tc>
      </w:tr>
      <w:tr w:rsidR="00E836FB" w14:paraId="5F2D67BC" w14:textId="77777777">
        <w:trPr>
          <w:hidden/>
        </w:trPr>
        <w:tc>
          <w:tcPr>
            <w:tcW w:w="0" w:type="auto"/>
            <w:gridSpan w:val="3"/>
            <w:shd w:val="clear" w:color="auto" w:fill="auto"/>
            <w:vAlign w:val="bottom"/>
          </w:tcPr>
          <w:p w14:paraId="5F2D67B8" w14:textId="77777777" w:rsidR="00E836FB" w:rsidRDefault="00E836FB">
            <w:pPr>
              <w:rPr>
                <w:rFonts w:ascii="宋体"/>
                <w:vanish/>
              </w:rPr>
            </w:pPr>
          </w:p>
        </w:tc>
        <w:tc>
          <w:tcPr>
            <w:tcW w:w="0" w:type="auto"/>
            <w:gridSpan w:val="3"/>
            <w:shd w:val="clear" w:color="auto" w:fill="auto"/>
            <w:vAlign w:val="bottom"/>
          </w:tcPr>
          <w:p w14:paraId="5F2D67B9" w14:textId="77777777" w:rsidR="00E836FB" w:rsidRDefault="00E836FB">
            <w:pPr>
              <w:rPr>
                <w:rFonts w:ascii="宋体"/>
                <w:vanish/>
              </w:rPr>
            </w:pPr>
          </w:p>
        </w:tc>
        <w:tc>
          <w:tcPr>
            <w:tcW w:w="0" w:type="auto"/>
            <w:gridSpan w:val="3"/>
            <w:shd w:val="clear" w:color="auto" w:fill="auto"/>
            <w:vAlign w:val="bottom"/>
          </w:tcPr>
          <w:p w14:paraId="5F2D67BA" w14:textId="77777777" w:rsidR="00E836FB" w:rsidRDefault="00E836FB">
            <w:pPr>
              <w:rPr>
                <w:rFonts w:ascii="宋体"/>
                <w:vanish/>
              </w:rPr>
            </w:pPr>
          </w:p>
        </w:tc>
        <w:tc>
          <w:tcPr>
            <w:tcW w:w="0" w:type="auto"/>
            <w:gridSpan w:val="3"/>
            <w:shd w:val="clear" w:color="auto" w:fill="auto"/>
            <w:vAlign w:val="bottom"/>
          </w:tcPr>
          <w:p w14:paraId="5F2D67BB" w14:textId="77777777" w:rsidR="00E836FB" w:rsidRDefault="00E836FB">
            <w:pPr>
              <w:rPr>
                <w:rFonts w:ascii="宋体"/>
                <w:vanish/>
              </w:rPr>
            </w:pPr>
          </w:p>
        </w:tc>
      </w:tr>
      <w:tr w:rsidR="00E836FB" w14:paraId="5F2D67C1" w14:textId="77777777">
        <w:trPr>
          <w:hidden/>
        </w:trPr>
        <w:tc>
          <w:tcPr>
            <w:tcW w:w="0" w:type="auto"/>
            <w:gridSpan w:val="3"/>
            <w:shd w:val="clear" w:color="auto" w:fill="auto"/>
            <w:vAlign w:val="bottom"/>
          </w:tcPr>
          <w:p w14:paraId="5F2D67BD" w14:textId="77777777" w:rsidR="00E836FB" w:rsidRDefault="00E836FB">
            <w:pPr>
              <w:rPr>
                <w:rFonts w:ascii="宋体"/>
                <w:vanish/>
              </w:rPr>
            </w:pPr>
          </w:p>
        </w:tc>
        <w:tc>
          <w:tcPr>
            <w:tcW w:w="0" w:type="auto"/>
            <w:gridSpan w:val="3"/>
            <w:shd w:val="clear" w:color="auto" w:fill="auto"/>
            <w:vAlign w:val="bottom"/>
          </w:tcPr>
          <w:p w14:paraId="5F2D67BE" w14:textId="77777777" w:rsidR="00E836FB" w:rsidRDefault="00E836FB">
            <w:pPr>
              <w:rPr>
                <w:rFonts w:ascii="宋体"/>
                <w:vanish/>
              </w:rPr>
            </w:pPr>
          </w:p>
        </w:tc>
        <w:tc>
          <w:tcPr>
            <w:tcW w:w="0" w:type="auto"/>
            <w:gridSpan w:val="3"/>
            <w:shd w:val="clear" w:color="auto" w:fill="auto"/>
            <w:vAlign w:val="bottom"/>
          </w:tcPr>
          <w:p w14:paraId="5F2D67BF" w14:textId="77777777" w:rsidR="00E836FB" w:rsidRDefault="00E836FB">
            <w:pPr>
              <w:rPr>
                <w:rFonts w:ascii="宋体"/>
                <w:vanish/>
              </w:rPr>
            </w:pPr>
          </w:p>
        </w:tc>
        <w:tc>
          <w:tcPr>
            <w:tcW w:w="0" w:type="auto"/>
            <w:gridSpan w:val="3"/>
            <w:shd w:val="clear" w:color="auto" w:fill="auto"/>
            <w:vAlign w:val="bottom"/>
          </w:tcPr>
          <w:p w14:paraId="5F2D67C0" w14:textId="77777777" w:rsidR="00E836FB" w:rsidRDefault="00E836FB">
            <w:pPr>
              <w:rPr>
                <w:rFonts w:ascii="宋体"/>
                <w:vanish/>
              </w:rPr>
            </w:pPr>
          </w:p>
        </w:tc>
      </w:tr>
      <w:tr w:rsidR="00E836FB" w14:paraId="5F2D67C6" w14:textId="77777777">
        <w:trPr>
          <w:hidden/>
        </w:trPr>
        <w:tc>
          <w:tcPr>
            <w:tcW w:w="0" w:type="auto"/>
            <w:gridSpan w:val="3"/>
            <w:shd w:val="clear" w:color="auto" w:fill="auto"/>
            <w:vAlign w:val="bottom"/>
          </w:tcPr>
          <w:p w14:paraId="5F2D67C2" w14:textId="77777777" w:rsidR="00E836FB" w:rsidRDefault="00E836FB">
            <w:pPr>
              <w:rPr>
                <w:rFonts w:ascii="宋体"/>
                <w:vanish/>
              </w:rPr>
            </w:pPr>
          </w:p>
        </w:tc>
        <w:tc>
          <w:tcPr>
            <w:tcW w:w="0" w:type="auto"/>
            <w:gridSpan w:val="3"/>
            <w:shd w:val="clear" w:color="auto" w:fill="auto"/>
            <w:vAlign w:val="bottom"/>
          </w:tcPr>
          <w:p w14:paraId="5F2D67C3" w14:textId="77777777" w:rsidR="00E836FB" w:rsidRDefault="00E836FB">
            <w:pPr>
              <w:rPr>
                <w:rFonts w:ascii="宋体"/>
                <w:vanish/>
              </w:rPr>
            </w:pPr>
          </w:p>
        </w:tc>
        <w:tc>
          <w:tcPr>
            <w:tcW w:w="0" w:type="auto"/>
            <w:gridSpan w:val="3"/>
            <w:shd w:val="clear" w:color="auto" w:fill="auto"/>
            <w:vAlign w:val="bottom"/>
          </w:tcPr>
          <w:p w14:paraId="5F2D67C4" w14:textId="77777777" w:rsidR="00E836FB" w:rsidRDefault="00E836FB">
            <w:pPr>
              <w:rPr>
                <w:rFonts w:ascii="宋体"/>
                <w:vanish/>
              </w:rPr>
            </w:pPr>
          </w:p>
        </w:tc>
        <w:tc>
          <w:tcPr>
            <w:tcW w:w="0" w:type="auto"/>
            <w:gridSpan w:val="3"/>
            <w:shd w:val="clear" w:color="auto" w:fill="auto"/>
            <w:vAlign w:val="bottom"/>
          </w:tcPr>
          <w:p w14:paraId="5F2D67C5" w14:textId="77777777" w:rsidR="00E836FB" w:rsidRDefault="00E836FB">
            <w:pPr>
              <w:rPr>
                <w:rFonts w:ascii="宋体"/>
                <w:vanish/>
              </w:rPr>
            </w:pPr>
          </w:p>
        </w:tc>
      </w:tr>
      <w:tr w:rsidR="00E836FB" w14:paraId="5F2D67CB" w14:textId="77777777">
        <w:trPr>
          <w:hidden/>
        </w:trPr>
        <w:tc>
          <w:tcPr>
            <w:tcW w:w="0" w:type="auto"/>
            <w:gridSpan w:val="3"/>
            <w:shd w:val="clear" w:color="auto" w:fill="auto"/>
            <w:vAlign w:val="bottom"/>
          </w:tcPr>
          <w:p w14:paraId="5F2D67C7" w14:textId="77777777" w:rsidR="00E836FB" w:rsidRDefault="00E836FB">
            <w:pPr>
              <w:rPr>
                <w:rFonts w:ascii="宋体"/>
                <w:vanish/>
              </w:rPr>
            </w:pPr>
          </w:p>
        </w:tc>
        <w:tc>
          <w:tcPr>
            <w:tcW w:w="0" w:type="auto"/>
            <w:gridSpan w:val="3"/>
            <w:shd w:val="clear" w:color="auto" w:fill="auto"/>
            <w:vAlign w:val="bottom"/>
          </w:tcPr>
          <w:p w14:paraId="5F2D67C8" w14:textId="77777777" w:rsidR="00E836FB" w:rsidRDefault="00E836FB">
            <w:pPr>
              <w:rPr>
                <w:rFonts w:ascii="宋体"/>
                <w:vanish/>
              </w:rPr>
            </w:pPr>
          </w:p>
        </w:tc>
        <w:tc>
          <w:tcPr>
            <w:tcW w:w="0" w:type="auto"/>
            <w:gridSpan w:val="3"/>
            <w:shd w:val="clear" w:color="auto" w:fill="auto"/>
            <w:vAlign w:val="bottom"/>
          </w:tcPr>
          <w:p w14:paraId="5F2D67C9" w14:textId="77777777" w:rsidR="00E836FB" w:rsidRDefault="00E836FB">
            <w:pPr>
              <w:rPr>
                <w:rFonts w:ascii="宋体"/>
                <w:vanish/>
              </w:rPr>
            </w:pPr>
          </w:p>
        </w:tc>
        <w:tc>
          <w:tcPr>
            <w:tcW w:w="0" w:type="auto"/>
            <w:gridSpan w:val="3"/>
            <w:shd w:val="clear" w:color="auto" w:fill="auto"/>
            <w:vAlign w:val="bottom"/>
          </w:tcPr>
          <w:p w14:paraId="5F2D67CA" w14:textId="77777777" w:rsidR="00E836FB" w:rsidRDefault="00E836FB">
            <w:pPr>
              <w:rPr>
                <w:rFonts w:ascii="宋体"/>
                <w:vanish/>
              </w:rPr>
            </w:pPr>
          </w:p>
        </w:tc>
      </w:tr>
      <w:tr w:rsidR="00E836FB" w14:paraId="5F2D67D0" w14:textId="77777777">
        <w:trPr>
          <w:hidden/>
        </w:trPr>
        <w:tc>
          <w:tcPr>
            <w:tcW w:w="0" w:type="auto"/>
            <w:gridSpan w:val="3"/>
            <w:shd w:val="clear" w:color="auto" w:fill="auto"/>
            <w:vAlign w:val="bottom"/>
          </w:tcPr>
          <w:p w14:paraId="5F2D67CC" w14:textId="77777777" w:rsidR="00E836FB" w:rsidRDefault="00E836FB">
            <w:pPr>
              <w:rPr>
                <w:rFonts w:ascii="宋体"/>
                <w:vanish/>
              </w:rPr>
            </w:pPr>
          </w:p>
        </w:tc>
        <w:tc>
          <w:tcPr>
            <w:tcW w:w="0" w:type="auto"/>
            <w:gridSpan w:val="3"/>
            <w:shd w:val="clear" w:color="auto" w:fill="auto"/>
            <w:vAlign w:val="bottom"/>
          </w:tcPr>
          <w:p w14:paraId="5F2D67CD" w14:textId="77777777" w:rsidR="00E836FB" w:rsidRDefault="00E836FB">
            <w:pPr>
              <w:rPr>
                <w:rFonts w:ascii="宋体"/>
                <w:vanish/>
              </w:rPr>
            </w:pPr>
          </w:p>
        </w:tc>
        <w:tc>
          <w:tcPr>
            <w:tcW w:w="0" w:type="auto"/>
            <w:gridSpan w:val="3"/>
            <w:shd w:val="clear" w:color="auto" w:fill="auto"/>
            <w:vAlign w:val="bottom"/>
          </w:tcPr>
          <w:p w14:paraId="5F2D67CE" w14:textId="77777777" w:rsidR="00E836FB" w:rsidRDefault="00E836FB">
            <w:pPr>
              <w:rPr>
                <w:rFonts w:ascii="宋体"/>
                <w:vanish/>
              </w:rPr>
            </w:pPr>
          </w:p>
        </w:tc>
        <w:tc>
          <w:tcPr>
            <w:tcW w:w="0" w:type="auto"/>
            <w:gridSpan w:val="3"/>
            <w:shd w:val="clear" w:color="auto" w:fill="auto"/>
            <w:vAlign w:val="bottom"/>
          </w:tcPr>
          <w:p w14:paraId="5F2D67CF" w14:textId="77777777" w:rsidR="00E836FB" w:rsidRDefault="00E836FB">
            <w:pPr>
              <w:rPr>
                <w:rFonts w:ascii="宋体"/>
                <w:vanish/>
              </w:rPr>
            </w:pPr>
          </w:p>
        </w:tc>
      </w:tr>
      <w:tr w:rsidR="00E836FB" w14:paraId="5F2D67D5" w14:textId="77777777">
        <w:trPr>
          <w:hidden/>
        </w:trPr>
        <w:tc>
          <w:tcPr>
            <w:tcW w:w="0" w:type="auto"/>
            <w:gridSpan w:val="3"/>
            <w:shd w:val="clear" w:color="auto" w:fill="auto"/>
            <w:vAlign w:val="bottom"/>
          </w:tcPr>
          <w:p w14:paraId="5F2D67D1" w14:textId="77777777" w:rsidR="00E836FB" w:rsidRDefault="00E836FB">
            <w:pPr>
              <w:rPr>
                <w:rFonts w:ascii="宋体"/>
                <w:vanish/>
              </w:rPr>
            </w:pPr>
          </w:p>
        </w:tc>
        <w:tc>
          <w:tcPr>
            <w:tcW w:w="0" w:type="auto"/>
            <w:gridSpan w:val="3"/>
            <w:shd w:val="clear" w:color="auto" w:fill="auto"/>
            <w:vAlign w:val="bottom"/>
          </w:tcPr>
          <w:p w14:paraId="5F2D67D2" w14:textId="77777777" w:rsidR="00E836FB" w:rsidRDefault="00E836FB">
            <w:pPr>
              <w:rPr>
                <w:rFonts w:ascii="宋体"/>
                <w:vanish/>
              </w:rPr>
            </w:pPr>
          </w:p>
        </w:tc>
        <w:tc>
          <w:tcPr>
            <w:tcW w:w="0" w:type="auto"/>
            <w:gridSpan w:val="3"/>
            <w:shd w:val="clear" w:color="auto" w:fill="auto"/>
            <w:vAlign w:val="bottom"/>
          </w:tcPr>
          <w:p w14:paraId="5F2D67D3" w14:textId="77777777" w:rsidR="00E836FB" w:rsidRDefault="00E836FB">
            <w:pPr>
              <w:rPr>
                <w:rFonts w:ascii="宋体"/>
                <w:vanish/>
              </w:rPr>
            </w:pPr>
          </w:p>
        </w:tc>
        <w:tc>
          <w:tcPr>
            <w:tcW w:w="0" w:type="auto"/>
            <w:gridSpan w:val="3"/>
            <w:shd w:val="clear" w:color="auto" w:fill="auto"/>
            <w:vAlign w:val="bottom"/>
          </w:tcPr>
          <w:p w14:paraId="5F2D67D4" w14:textId="77777777" w:rsidR="00E836FB" w:rsidRDefault="00E836FB">
            <w:pPr>
              <w:rPr>
                <w:rFonts w:ascii="宋体"/>
                <w:vanish/>
              </w:rPr>
            </w:pPr>
          </w:p>
        </w:tc>
      </w:tr>
      <w:tr w:rsidR="00E836FB" w14:paraId="5F2D67DA" w14:textId="77777777">
        <w:trPr>
          <w:hidden/>
        </w:trPr>
        <w:tc>
          <w:tcPr>
            <w:tcW w:w="0" w:type="auto"/>
            <w:gridSpan w:val="3"/>
            <w:shd w:val="clear" w:color="auto" w:fill="auto"/>
            <w:vAlign w:val="bottom"/>
          </w:tcPr>
          <w:p w14:paraId="5F2D67D6" w14:textId="77777777" w:rsidR="00E836FB" w:rsidRDefault="00E836FB">
            <w:pPr>
              <w:rPr>
                <w:rFonts w:ascii="宋体"/>
                <w:vanish/>
              </w:rPr>
            </w:pPr>
          </w:p>
        </w:tc>
        <w:tc>
          <w:tcPr>
            <w:tcW w:w="0" w:type="auto"/>
            <w:gridSpan w:val="3"/>
            <w:shd w:val="clear" w:color="auto" w:fill="auto"/>
            <w:vAlign w:val="bottom"/>
          </w:tcPr>
          <w:p w14:paraId="5F2D67D7" w14:textId="77777777" w:rsidR="00E836FB" w:rsidRDefault="00E836FB">
            <w:pPr>
              <w:rPr>
                <w:rFonts w:ascii="宋体"/>
                <w:vanish/>
              </w:rPr>
            </w:pPr>
          </w:p>
        </w:tc>
        <w:tc>
          <w:tcPr>
            <w:tcW w:w="0" w:type="auto"/>
            <w:gridSpan w:val="3"/>
            <w:shd w:val="clear" w:color="auto" w:fill="auto"/>
            <w:vAlign w:val="bottom"/>
          </w:tcPr>
          <w:p w14:paraId="5F2D67D8" w14:textId="77777777" w:rsidR="00E836FB" w:rsidRDefault="00E836FB">
            <w:pPr>
              <w:rPr>
                <w:rFonts w:ascii="宋体"/>
                <w:vanish/>
              </w:rPr>
            </w:pPr>
          </w:p>
        </w:tc>
        <w:tc>
          <w:tcPr>
            <w:tcW w:w="0" w:type="auto"/>
            <w:gridSpan w:val="3"/>
            <w:shd w:val="clear" w:color="auto" w:fill="auto"/>
            <w:vAlign w:val="bottom"/>
          </w:tcPr>
          <w:p w14:paraId="5F2D67D9" w14:textId="77777777" w:rsidR="00E836FB" w:rsidRDefault="00E836FB">
            <w:pPr>
              <w:rPr>
                <w:rFonts w:ascii="宋体"/>
                <w:vanish/>
              </w:rPr>
            </w:pPr>
          </w:p>
        </w:tc>
      </w:tr>
      <w:tr w:rsidR="00E836FB" w14:paraId="5F2D67DF" w14:textId="77777777">
        <w:trPr>
          <w:hidden/>
        </w:trPr>
        <w:tc>
          <w:tcPr>
            <w:tcW w:w="0" w:type="auto"/>
            <w:gridSpan w:val="3"/>
            <w:shd w:val="clear" w:color="auto" w:fill="auto"/>
            <w:vAlign w:val="bottom"/>
          </w:tcPr>
          <w:p w14:paraId="5F2D67DB" w14:textId="77777777" w:rsidR="00E836FB" w:rsidRDefault="00E836FB">
            <w:pPr>
              <w:rPr>
                <w:rFonts w:ascii="宋体"/>
                <w:vanish/>
              </w:rPr>
            </w:pPr>
          </w:p>
        </w:tc>
        <w:tc>
          <w:tcPr>
            <w:tcW w:w="0" w:type="auto"/>
            <w:gridSpan w:val="3"/>
            <w:shd w:val="clear" w:color="auto" w:fill="auto"/>
            <w:vAlign w:val="bottom"/>
          </w:tcPr>
          <w:p w14:paraId="5F2D67DC" w14:textId="77777777" w:rsidR="00E836FB" w:rsidRDefault="00E836FB">
            <w:pPr>
              <w:rPr>
                <w:rFonts w:ascii="宋体"/>
                <w:vanish/>
              </w:rPr>
            </w:pPr>
          </w:p>
        </w:tc>
        <w:tc>
          <w:tcPr>
            <w:tcW w:w="0" w:type="auto"/>
            <w:gridSpan w:val="3"/>
            <w:shd w:val="clear" w:color="auto" w:fill="auto"/>
            <w:vAlign w:val="bottom"/>
          </w:tcPr>
          <w:p w14:paraId="5F2D67DD" w14:textId="77777777" w:rsidR="00E836FB" w:rsidRDefault="00E836FB">
            <w:pPr>
              <w:rPr>
                <w:rFonts w:ascii="宋体"/>
                <w:vanish/>
              </w:rPr>
            </w:pPr>
          </w:p>
        </w:tc>
        <w:tc>
          <w:tcPr>
            <w:tcW w:w="0" w:type="auto"/>
            <w:gridSpan w:val="3"/>
            <w:shd w:val="clear" w:color="auto" w:fill="auto"/>
            <w:vAlign w:val="bottom"/>
          </w:tcPr>
          <w:p w14:paraId="5F2D67DE" w14:textId="77777777" w:rsidR="00E836FB" w:rsidRDefault="00E836FB">
            <w:pPr>
              <w:rPr>
                <w:rFonts w:ascii="宋体"/>
                <w:vanish/>
              </w:rPr>
            </w:pPr>
          </w:p>
        </w:tc>
      </w:tr>
      <w:tr w:rsidR="00E836FB" w14:paraId="5F2D67E4" w14:textId="77777777">
        <w:trPr>
          <w:hidden/>
        </w:trPr>
        <w:tc>
          <w:tcPr>
            <w:tcW w:w="0" w:type="auto"/>
            <w:gridSpan w:val="3"/>
            <w:shd w:val="clear" w:color="auto" w:fill="auto"/>
            <w:vAlign w:val="bottom"/>
          </w:tcPr>
          <w:p w14:paraId="5F2D67E0" w14:textId="77777777" w:rsidR="00E836FB" w:rsidRDefault="00E836FB">
            <w:pPr>
              <w:rPr>
                <w:rFonts w:ascii="宋体"/>
                <w:vanish/>
              </w:rPr>
            </w:pPr>
          </w:p>
        </w:tc>
        <w:tc>
          <w:tcPr>
            <w:tcW w:w="0" w:type="auto"/>
            <w:gridSpan w:val="3"/>
            <w:shd w:val="clear" w:color="auto" w:fill="auto"/>
            <w:vAlign w:val="bottom"/>
          </w:tcPr>
          <w:p w14:paraId="5F2D67E1" w14:textId="77777777" w:rsidR="00E836FB" w:rsidRDefault="00E836FB">
            <w:pPr>
              <w:rPr>
                <w:rFonts w:ascii="宋体"/>
                <w:vanish/>
              </w:rPr>
            </w:pPr>
          </w:p>
        </w:tc>
        <w:tc>
          <w:tcPr>
            <w:tcW w:w="0" w:type="auto"/>
            <w:gridSpan w:val="3"/>
            <w:shd w:val="clear" w:color="auto" w:fill="auto"/>
            <w:vAlign w:val="bottom"/>
          </w:tcPr>
          <w:p w14:paraId="5F2D67E2" w14:textId="77777777" w:rsidR="00E836FB" w:rsidRDefault="00E836FB">
            <w:pPr>
              <w:rPr>
                <w:rFonts w:ascii="宋体"/>
                <w:vanish/>
              </w:rPr>
            </w:pPr>
          </w:p>
        </w:tc>
        <w:tc>
          <w:tcPr>
            <w:tcW w:w="0" w:type="auto"/>
            <w:gridSpan w:val="3"/>
            <w:shd w:val="clear" w:color="auto" w:fill="auto"/>
            <w:vAlign w:val="bottom"/>
          </w:tcPr>
          <w:p w14:paraId="5F2D67E3" w14:textId="77777777" w:rsidR="00E836FB" w:rsidRDefault="00E836FB">
            <w:pPr>
              <w:rPr>
                <w:rFonts w:ascii="宋体"/>
                <w:vanish/>
              </w:rPr>
            </w:pPr>
          </w:p>
        </w:tc>
      </w:tr>
      <w:tr w:rsidR="00E836FB" w14:paraId="5F2D67E9" w14:textId="77777777">
        <w:trPr>
          <w:hidden/>
        </w:trPr>
        <w:tc>
          <w:tcPr>
            <w:tcW w:w="0" w:type="auto"/>
            <w:gridSpan w:val="3"/>
            <w:shd w:val="clear" w:color="auto" w:fill="auto"/>
            <w:vAlign w:val="bottom"/>
          </w:tcPr>
          <w:p w14:paraId="5F2D67E5" w14:textId="77777777" w:rsidR="00E836FB" w:rsidRDefault="00E836FB">
            <w:pPr>
              <w:rPr>
                <w:rFonts w:ascii="宋体"/>
                <w:vanish/>
              </w:rPr>
            </w:pPr>
          </w:p>
        </w:tc>
        <w:tc>
          <w:tcPr>
            <w:tcW w:w="0" w:type="auto"/>
            <w:gridSpan w:val="3"/>
            <w:shd w:val="clear" w:color="auto" w:fill="auto"/>
            <w:vAlign w:val="bottom"/>
          </w:tcPr>
          <w:p w14:paraId="5F2D67E6" w14:textId="77777777" w:rsidR="00E836FB" w:rsidRDefault="00E836FB">
            <w:pPr>
              <w:rPr>
                <w:rFonts w:ascii="宋体"/>
                <w:vanish/>
              </w:rPr>
            </w:pPr>
          </w:p>
        </w:tc>
        <w:tc>
          <w:tcPr>
            <w:tcW w:w="0" w:type="auto"/>
            <w:gridSpan w:val="3"/>
            <w:shd w:val="clear" w:color="auto" w:fill="auto"/>
            <w:vAlign w:val="bottom"/>
          </w:tcPr>
          <w:p w14:paraId="5F2D67E7" w14:textId="77777777" w:rsidR="00E836FB" w:rsidRDefault="00E836FB">
            <w:pPr>
              <w:rPr>
                <w:rFonts w:ascii="宋体"/>
                <w:vanish/>
              </w:rPr>
            </w:pPr>
          </w:p>
        </w:tc>
        <w:tc>
          <w:tcPr>
            <w:tcW w:w="0" w:type="auto"/>
            <w:gridSpan w:val="3"/>
            <w:shd w:val="clear" w:color="auto" w:fill="auto"/>
            <w:vAlign w:val="bottom"/>
          </w:tcPr>
          <w:p w14:paraId="5F2D67E8" w14:textId="77777777" w:rsidR="00E836FB" w:rsidRDefault="00E836FB">
            <w:pPr>
              <w:rPr>
                <w:rFonts w:ascii="宋体"/>
                <w:vanish/>
              </w:rPr>
            </w:pPr>
          </w:p>
        </w:tc>
      </w:tr>
      <w:tr w:rsidR="00E836FB" w14:paraId="5F2D67F2" w14:textId="77777777">
        <w:trPr>
          <w:hidden/>
        </w:trPr>
        <w:tc>
          <w:tcPr>
            <w:tcW w:w="0" w:type="auto"/>
            <w:gridSpan w:val="3"/>
            <w:shd w:val="clear" w:color="auto" w:fill="auto"/>
            <w:vAlign w:val="bottom"/>
          </w:tcPr>
          <w:p w14:paraId="5F2D67EA" w14:textId="77777777" w:rsidR="00E836FB" w:rsidRDefault="00E836FB">
            <w:pPr>
              <w:rPr>
                <w:rFonts w:ascii="宋体"/>
                <w:vanish/>
              </w:rPr>
            </w:pPr>
          </w:p>
        </w:tc>
        <w:tc>
          <w:tcPr>
            <w:tcW w:w="0" w:type="auto"/>
            <w:gridSpan w:val="3"/>
            <w:shd w:val="clear" w:color="auto" w:fill="auto"/>
            <w:vAlign w:val="bottom"/>
          </w:tcPr>
          <w:p w14:paraId="5F2D67EB" w14:textId="77777777" w:rsidR="00E836FB" w:rsidRDefault="00E836FB">
            <w:pPr>
              <w:rPr>
                <w:rFonts w:ascii="宋体"/>
                <w:vanish/>
              </w:rPr>
            </w:pPr>
          </w:p>
        </w:tc>
        <w:tc>
          <w:tcPr>
            <w:tcW w:w="0" w:type="auto"/>
            <w:shd w:val="clear" w:color="auto" w:fill="auto"/>
            <w:vAlign w:val="bottom"/>
          </w:tcPr>
          <w:p w14:paraId="5F2D67EC" w14:textId="77777777" w:rsidR="00E836FB" w:rsidRDefault="00E836FB">
            <w:pPr>
              <w:rPr>
                <w:rFonts w:ascii="宋体"/>
              </w:rPr>
            </w:pPr>
          </w:p>
        </w:tc>
        <w:tc>
          <w:tcPr>
            <w:tcW w:w="0" w:type="auto"/>
            <w:shd w:val="clear" w:color="auto" w:fill="auto"/>
            <w:vAlign w:val="bottom"/>
          </w:tcPr>
          <w:p w14:paraId="5F2D67ED" w14:textId="77777777" w:rsidR="00E836FB" w:rsidRDefault="00E836FB">
            <w:pPr>
              <w:rPr>
                <w:rFonts w:ascii="宋体"/>
              </w:rPr>
            </w:pPr>
          </w:p>
        </w:tc>
        <w:tc>
          <w:tcPr>
            <w:tcW w:w="0" w:type="auto"/>
            <w:shd w:val="clear" w:color="auto" w:fill="auto"/>
            <w:vAlign w:val="bottom"/>
          </w:tcPr>
          <w:p w14:paraId="5F2D67EE" w14:textId="77777777" w:rsidR="00E836FB" w:rsidRDefault="00E836FB">
            <w:pPr>
              <w:rPr>
                <w:rFonts w:ascii="宋体"/>
              </w:rPr>
            </w:pPr>
          </w:p>
        </w:tc>
        <w:tc>
          <w:tcPr>
            <w:tcW w:w="0" w:type="auto"/>
            <w:shd w:val="clear" w:color="auto" w:fill="auto"/>
            <w:vAlign w:val="bottom"/>
          </w:tcPr>
          <w:p w14:paraId="5F2D67EF" w14:textId="77777777" w:rsidR="00E836FB" w:rsidRDefault="00E836FB">
            <w:pPr>
              <w:rPr>
                <w:rFonts w:ascii="宋体"/>
              </w:rPr>
            </w:pPr>
          </w:p>
        </w:tc>
        <w:tc>
          <w:tcPr>
            <w:tcW w:w="0" w:type="auto"/>
            <w:shd w:val="clear" w:color="auto" w:fill="auto"/>
            <w:vAlign w:val="bottom"/>
          </w:tcPr>
          <w:p w14:paraId="5F2D67F0" w14:textId="77777777" w:rsidR="00E836FB" w:rsidRDefault="00E836FB">
            <w:pPr>
              <w:rPr>
                <w:rFonts w:ascii="宋体"/>
              </w:rPr>
            </w:pPr>
          </w:p>
        </w:tc>
        <w:tc>
          <w:tcPr>
            <w:tcW w:w="0" w:type="auto"/>
            <w:shd w:val="clear" w:color="auto" w:fill="auto"/>
            <w:vAlign w:val="bottom"/>
          </w:tcPr>
          <w:p w14:paraId="5F2D67F1" w14:textId="77777777" w:rsidR="00E836FB" w:rsidRDefault="00E836FB">
            <w:pPr>
              <w:rPr>
                <w:rFonts w:ascii="宋体"/>
              </w:rPr>
            </w:pPr>
          </w:p>
        </w:tc>
      </w:tr>
      <w:tr w:rsidR="00E836FB" w14:paraId="5F2D67F7" w14:textId="77777777">
        <w:trPr>
          <w:hidden/>
        </w:trPr>
        <w:tc>
          <w:tcPr>
            <w:tcW w:w="0" w:type="auto"/>
            <w:gridSpan w:val="3"/>
            <w:shd w:val="clear" w:color="auto" w:fill="auto"/>
            <w:vAlign w:val="bottom"/>
          </w:tcPr>
          <w:p w14:paraId="5F2D67F3" w14:textId="77777777" w:rsidR="00E836FB" w:rsidRDefault="00E836FB">
            <w:pPr>
              <w:rPr>
                <w:rFonts w:ascii="宋体"/>
                <w:vanish/>
              </w:rPr>
            </w:pPr>
          </w:p>
        </w:tc>
        <w:tc>
          <w:tcPr>
            <w:tcW w:w="0" w:type="auto"/>
            <w:gridSpan w:val="3"/>
            <w:shd w:val="clear" w:color="auto" w:fill="auto"/>
            <w:vAlign w:val="bottom"/>
          </w:tcPr>
          <w:p w14:paraId="5F2D67F4" w14:textId="77777777" w:rsidR="00E836FB" w:rsidRDefault="00E836FB">
            <w:pPr>
              <w:rPr>
                <w:rFonts w:ascii="宋体"/>
                <w:vanish/>
              </w:rPr>
            </w:pPr>
          </w:p>
        </w:tc>
        <w:tc>
          <w:tcPr>
            <w:tcW w:w="0" w:type="auto"/>
            <w:gridSpan w:val="3"/>
            <w:shd w:val="clear" w:color="auto" w:fill="auto"/>
            <w:vAlign w:val="bottom"/>
          </w:tcPr>
          <w:p w14:paraId="5F2D67F5" w14:textId="77777777" w:rsidR="00E836FB" w:rsidRDefault="00E836FB">
            <w:pPr>
              <w:rPr>
                <w:rFonts w:ascii="宋体"/>
                <w:vanish/>
              </w:rPr>
            </w:pPr>
          </w:p>
        </w:tc>
        <w:tc>
          <w:tcPr>
            <w:tcW w:w="0" w:type="auto"/>
            <w:gridSpan w:val="3"/>
            <w:shd w:val="clear" w:color="auto" w:fill="auto"/>
            <w:vAlign w:val="bottom"/>
          </w:tcPr>
          <w:p w14:paraId="5F2D67F6" w14:textId="77777777" w:rsidR="00E836FB" w:rsidRDefault="00E836FB">
            <w:pPr>
              <w:rPr>
                <w:rFonts w:ascii="宋体"/>
                <w:vanish/>
              </w:rPr>
            </w:pPr>
          </w:p>
        </w:tc>
      </w:tr>
      <w:tr w:rsidR="00E836FB" w14:paraId="5F2D67FC" w14:textId="77777777">
        <w:trPr>
          <w:hidden/>
        </w:trPr>
        <w:tc>
          <w:tcPr>
            <w:tcW w:w="0" w:type="auto"/>
            <w:gridSpan w:val="3"/>
            <w:shd w:val="clear" w:color="auto" w:fill="auto"/>
            <w:vAlign w:val="bottom"/>
          </w:tcPr>
          <w:p w14:paraId="5F2D67F8" w14:textId="77777777" w:rsidR="00E836FB" w:rsidRDefault="00E836FB">
            <w:pPr>
              <w:rPr>
                <w:rFonts w:ascii="宋体"/>
                <w:vanish/>
              </w:rPr>
            </w:pPr>
          </w:p>
        </w:tc>
        <w:tc>
          <w:tcPr>
            <w:tcW w:w="0" w:type="auto"/>
            <w:gridSpan w:val="3"/>
            <w:shd w:val="clear" w:color="auto" w:fill="auto"/>
            <w:vAlign w:val="bottom"/>
          </w:tcPr>
          <w:p w14:paraId="5F2D67F9" w14:textId="77777777" w:rsidR="00E836FB" w:rsidRDefault="00E836FB">
            <w:pPr>
              <w:rPr>
                <w:rFonts w:ascii="宋体"/>
                <w:vanish/>
              </w:rPr>
            </w:pPr>
          </w:p>
        </w:tc>
        <w:tc>
          <w:tcPr>
            <w:tcW w:w="0" w:type="auto"/>
            <w:gridSpan w:val="3"/>
            <w:shd w:val="clear" w:color="auto" w:fill="auto"/>
            <w:vAlign w:val="bottom"/>
          </w:tcPr>
          <w:p w14:paraId="5F2D67FA" w14:textId="77777777" w:rsidR="00E836FB" w:rsidRDefault="00E836FB">
            <w:pPr>
              <w:rPr>
                <w:rFonts w:ascii="宋体"/>
                <w:vanish/>
              </w:rPr>
            </w:pPr>
          </w:p>
        </w:tc>
        <w:tc>
          <w:tcPr>
            <w:tcW w:w="0" w:type="auto"/>
            <w:gridSpan w:val="3"/>
            <w:shd w:val="clear" w:color="auto" w:fill="auto"/>
            <w:vAlign w:val="bottom"/>
          </w:tcPr>
          <w:p w14:paraId="5F2D67FB" w14:textId="77777777" w:rsidR="00E836FB" w:rsidRDefault="00E836FB">
            <w:pPr>
              <w:rPr>
                <w:rFonts w:ascii="宋体"/>
                <w:vanish/>
              </w:rPr>
            </w:pPr>
          </w:p>
        </w:tc>
      </w:tr>
      <w:tr w:rsidR="00E836FB" w14:paraId="5F2D6801" w14:textId="77777777">
        <w:trPr>
          <w:hidden/>
        </w:trPr>
        <w:tc>
          <w:tcPr>
            <w:tcW w:w="0" w:type="auto"/>
            <w:gridSpan w:val="3"/>
            <w:shd w:val="clear" w:color="auto" w:fill="auto"/>
            <w:vAlign w:val="bottom"/>
          </w:tcPr>
          <w:p w14:paraId="5F2D67FD" w14:textId="77777777" w:rsidR="00E836FB" w:rsidRDefault="00E836FB">
            <w:pPr>
              <w:rPr>
                <w:rFonts w:ascii="宋体"/>
                <w:vanish/>
              </w:rPr>
            </w:pPr>
          </w:p>
        </w:tc>
        <w:tc>
          <w:tcPr>
            <w:tcW w:w="0" w:type="auto"/>
            <w:gridSpan w:val="3"/>
            <w:shd w:val="clear" w:color="auto" w:fill="auto"/>
            <w:vAlign w:val="bottom"/>
          </w:tcPr>
          <w:p w14:paraId="5F2D67FE" w14:textId="77777777" w:rsidR="00E836FB" w:rsidRDefault="00E836FB">
            <w:pPr>
              <w:rPr>
                <w:rFonts w:ascii="宋体"/>
                <w:vanish/>
              </w:rPr>
            </w:pPr>
          </w:p>
        </w:tc>
        <w:tc>
          <w:tcPr>
            <w:tcW w:w="0" w:type="auto"/>
            <w:gridSpan w:val="3"/>
            <w:shd w:val="clear" w:color="auto" w:fill="auto"/>
            <w:vAlign w:val="bottom"/>
          </w:tcPr>
          <w:p w14:paraId="5F2D67FF" w14:textId="77777777" w:rsidR="00E836FB" w:rsidRDefault="00E836FB">
            <w:pPr>
              <w:rPr>
                <w:rFonts w:ascii="宋体"/>
                <w:vanish/>
              </w:rPr>
            </w:pPr>
          </w:p>
        </w:tc>
        <w:tc>
          <w:tcPr>
            <w:tcW w:w="0" w:type="auto"/>
            <w:gridSpan w:val="3"/>
            <w:shd w:val="clear" w:color="auto" w:fill="auto"/>
            <w:vAlign w:val="bottom"/>
          </w:tcPr>
          <w:p w14:paraId="5F2D6800" w14:textId="77777777" w:rsidR="00E836FB" w:rsidRDefault="00E836FB">
            <w:pPr>
              <w:rPr>
                <w:rFonts w:ascii="宋体"/>
                <w:vanish/>
              </w:rPr>
            </w:pPr>
          </w:p>
        </w:tc>
      </w:tr>
      <w:tr w:rsidR="00E836FB" w14:paraId="5F2D680A" w14:textId="77777777">
        <w:trPr>
          <w:hidden/>
        </w:trPr>
        <w:tc>
          <w:tcPr>
            <w:tcW w:w="0" w:type="auto"/>
            <w:gridSpan w:val="3"/>
            <w:shd w:val="clear" w:color="auto" w:fill="auto"/>
            <w:vAlign w:val="bottom"/>
          </w:tcPr>
          <w:p w14:paraId="5F2D6802" w14:textId="77777777" w:rsidR="00E836FB" w:rsidRDefault="00E836FB">
            <w:pPr>
              <w:rPr>
                <w:rFonts w:ascii="宋体"/>
                <w:vanish/>
              </w:rPr>
            </w:pPr>
          </w:p>
        </w:tc>
        <w:tc>
          <w:tcPr>
            <w:tcW w:w="0" w:type="auto"/>
            <w:gridSpan w:val="3"/>
            <w:shd w:val="clear" w:color="auto" w:fill="auto"/>
            <w:vAlign w:val="bottom"/>
          </w:tcPr>
          <w:p w14:paraId="5F2D6803" w14:textId="77777777" w:rsidR="00E836FB" w:rsidRDefault="00E836FB">
            <w:pPr>
              <w:rPr>
                <w:rFonts w:ascii="宋体"/>
                <w:vanish/>
              </w:rPr>
            </w:pPr>
          </w:p>
        </w:tc>
        <w:tc>
          <w:tcPr>
            <w:tcW w:w="0" w:type="auto"/>
            <w:shd w:val="clear" w:color="auto" w:fill="auto"/>
            <w:vAlign w:val="bottom"/>
          </w:tcPr>
          <w:p w14:paraId="5F2D6804" w14:textId="77777777" w:rsidR="00E836FB" w:rsidRDefault="00E836FB">
            <w:pPr>
              <w:rPr>
                <w:rFonts w:ascii="宋体"/>
              </w:rPr>
            </w:pPr>
          </w:p>
        </w:tc>
        <w:tc>
          <w:tcPr>
            <w:tcW w:w="0" w:type="auto"/>
            <w:shd w:val="clear" w:color="auto" w:fill="auto"/>
            <w:vAlign w:val="bottom"/>
          </w:tcPr>
          <w:p w14:paraId="5F2D6805" w14:textId="77777777" w:rsidR="00E836FB" w:rsidRDefault="00E836FB">
            <w:pPr>
              <w:rPr>
                <w:rFonts w:ascii="宋体"/>
              </w:rPr>
            </w:pPr>
          </w:p>
        </w:tc>
        <w:tc>
          <w:tcPr>
            <w:tcW w:w="0" w:type="auto"/>
            <w:shd w:val="clear" w:color="auto" w:fill="auto"/>
            <w:vAlign w:val="bottom"/>
          </w:tcPr>
          <w:p w14:paraId="5F2D6806" w14:textId="77777777" w:rsidR="00E836FB" w:rsidRDefault="00E836FB">
            <w:pPr>
              <w:rPr>
                <w:rFonts w:ascii="宋体"/>
              </w:rPr>
            </w:pPr>
          </w:p>
        </w:tc>
        <w:tc>
          <w:tcPr>
            <w:tcW w:w="0" w:type="auto"/>
            <w:shd w:val="clear" w:color="auto" w:fill="auto"/>
            <w:vAlign w:val="bottom"/>
          </w:tcPr>
          <w:p w14:paraId="5F2D6807" w14:textId="77777777" w:rsidR="00E836FB" w:rsidRDefault="00E836FB">
            <w:pPr>
              <w:rPr>
                <w:rFonts w:ascii="宋体"/>
              </w:rPr>
            </w:pPr>
          </w:p>
        </w:tc>
        <w:tc>
          <w:tcPr>
            <w:tcW w:w="0" w:type="auto"/>
            <w:shd w:val="clear" w:color="auto" w:fill="auto"/>
            <w:vAlign w:val="bottom"/>
          </w:tcPr>
          <w:p w14:paraId="5F2D6808" w14:textId="77777777" w:rsidR="00E836FB" w:rsidRDefault="00E836FB">
            <w:pPr>
              <w:rPr>
                <w:rFonts w:ascii="宋体"/>
              </w:rPr>
            </w:pPr>
          </w:p>
        </w:tc>
        <w:tc>
          <w:tcPr>
            <w:tcW w:w="0" w:type="auto"/>
            <w:shd w:val="clear" w:color="auto" w:fill="auto"/>
            <w:vAlign w:val="bottom"/>
          </w:tcPr>
          <w:p w14:paraId="5F2D6809" w14:textId="77777777" w:rsidR="00E836FB" w:rsidRDefault="00E836FB">
            <w:pPr>
              <w:rPr>
                <w:rFonts w:ascii="宋体"/>
              </w:rPr>
            </w:pPr>
          </w:p>
        </w:tc>
      </w:tr>
      <w:tr w:rsidR="00E836FB" w14:paraId="5F2D680F" w14:textId="77777777">
        <w:trPr>
          <w:hidden/>
        </w:trPr>
        <w:tc>
          <w:tcPr>
            <w:tcW w:w="0" w:type="auto"/>
            <w:gridSpan w:val="3"/>
            <w:shd w:val="clear" w:color="auto" w:fill="auto"/>
            <w:vAlign w:val="bottom"/>
          </w:tcPr>
          <w:p w14:paraId="5F2D680B" w14:textId="77777777" w:rsidR="00E836FB" w:rsidRDefault="00E836FB">
            <w:pPr>
              <w:rPr>
                <w:rFonts w:ascii="宋体"/>
                <w:vanish/>
              </w:rPr>
            </w:pPr>
          </w:p>
        </w:tc>
        <w:tc>
          <w:tcPr>
            <w:tcW w:w="0" w:type="auto"/>
            <w:gridSpan w:val="3"/>
            <w:shd w:val="clear" w:color="auto" w:fill="auto"/>
            <w:vAlign w:val="bottom"/>
          </w:tcPr>
          <w:p w14:paraId="5F2D680C" w14:textId="77777777" w:rsidR="00E836FB" w:rsidRDefault="00E836FB">
            <w:pPr>
              <w:rPr>
                <w:rFonts w:ascii="宋体"/>
                <w:vanish/>
              </w:rPr>
            </w:pPr>
          </w:p>
        </w:tc>
        <w:tc>
          <w:tcPr>
            <w:tcW w:w="0" w:type="auto"/>
            <w:gridSpan w:val="3"/>
            <w:shd w:val="clear" w:color="auto" w:fill="auto"/>
            <w:vAlign w:val="bottom"/>
          </w:tcPr>
          <w:p w14:paraId="5F2D680D" w14:textId="77777777" w:rsidR="00E836FB" w:rsidRDefault="00E836FB">
            <w:pPr>
              <w:rPr>
                <w:rFonts w:ascii="宋体"/>
                <w:vanish/>
              </w:rPr>
            </w:pPr>
          </w:p>
        </w:tc>
        <w:tc>
          <w:tcPr>
            <w:tcW w:w="0" w:type="auto"/>
            <w:gridSpan w:val="3"/>
            <w:shd w:val="clear" w:color="auto" w:fill="auto"/>
            <w:vAlign w:val="bottom"/>
          </w:tcPr>
          <w:p w14:paraId="5F2D680E" w14:textId="77777777" w:rsidR="00E836FB" w:rsidRDefault="00E836FB">
            <w:pPr>
              <w:rPr>
                <w:rFonts w:ascii="宋体"/>
                <w:vanish/>
              </w:rPr>
            </w:pPr>
          </w:p>
        </w:tc>
      </w:tr>
      <w:tr w:rsidR="00E836FB" w14:paraId="5F2D6814" w14:textId="77777777">
        <w:trPr>
          <w:hidden/>
        </w:trPr>
        <w:tc>
          <w:tcPr>
            <w:tcW w:w="0" w:type="auto"/>
            <w:gridSpan w:val="3"/>
            <w:shd w:val="clear" w:color="auto" w:fill="auto"/>
            <w:vAlign w:val="bottom"/>
          </w:tcPr>
          <w:p w14:paraId="5F2D6810" w14:textId="77777777" w:rsidR="00E836FB" w:rsidRDefault="00E836FB">
            <w:pPr>
              <w:rPr>
                <w:rFonts w:ascii="宋体"/>
                <w:vanish/>
              </w:rPr>
            </w:pPr>
          </w:p>
        </w:tc>
        <w:tc>
          <w:tcPr>
            <w:tcW w:w="0" w:type="auto"/>
            <w:gridSpan w:val="3"/>
            <w:shd w:val="clear" w:color="auto" w:fill="auto"/>
            <w:vAlign w:val="bottom"/>
          </w:tcPr>
          <w:p w14:paraId="5F2D6811" w14:textId="77777777" w:rsidR="00E836FB" w:rsidRDefault="00E836FB">
            <w:pPr>
              <w:rPr>
                <w:rFonts w:ascii="宋体"/>
                <w:vanish/>
              </w:rPr>
            </w:pPr>
          </w:p>
        </w:tc>
        <w:tc>
          <w:tcPr>
            <w:tcW w:w="0" w:type="auto"/>
            <w:gridSpan w:val="3"/>
            <w:shd w:val="clear" w:color="auto" w:fill="auto"/>
            <w:vAlign w:val="bottom"/>
          </w:tcPr>
          <w:p w14:paraId="5F2D6812" w14:textId="77777777" w:rsidR="00E836FB" w:rsidRDefault="00E836FB">
            <w:pPr>
              <w:rPr>
                <w:rFonts w:ascii="宋体"/>
                <w:vanish/>
              </w:rPr>
            </w:pPr>
          </w:p>
        </w:tc>
        <w:tc>
          <w:tcPr>
            <w:tcW w:w="0" w:type="auto"/>
            <w:gridSpan w:val="3"/>
            <w:shd w:val="clear" w:color="auto" w:fill="auto"/>
            <w:vAlign w:val="bottom"/>
          </w:tcPr>
          <w:p w14:paraId="5F2D6813" w14:textId="77777777" w:rsidR="00E836FB" w:rsidRDefault="00E836FB">
            <w:pPr>
              <w:rPr>
                <w:rFonts w:ascii="宋体"/>
                <w:vanish/>
              </w:rPr>
            </w:pPr>
          </w:p>
        </w:tc>
      </w:tr>
      <w:tr w:rsidR="00E836FB" w14:paraId="5F2D6819" w14:textId="77777777">
        <w:trPr>
          <w:hidden/>
        </w:trPr>
        <w:tc>
          <w:tcPr>
            <w:tcW w:w="0" w:type="auto"/>
            <w:gridSpan w:val="3"/>
            <w:shd w:val="clear" w:color="auto" w:fill="auto"/>
            <w:vAlign w:val="bottom"/>
          </w:tcPr>
          <w:p w14:paraId="5F2D6815" w14:textId="77777777" w:rsidR="00E836FB" w:rsidRDefault="00E836FB">
            <w:pPr>
              <w:rPr>
                <w:rFonts w:ascii="宋体"/>
                <w:vanish/>
              </w:rPr>
            </w:pPr>
          </w:p>
        </w:tc>
        <w:tc>
          <w:tcPr>
            <w:tcW w:w="0" w:type="auto"/>
            <w:gridSpan w:val="3"/>
            <w:shd w:val="clear" w:color="auto" w:fill="auto"/>
            <w:vAlign w:val="bottom"/>
          </w:tcPr>
          <w:p w14:paraId="5F2D6816" w14:textId="77777777" w:rsidR="00E836FB" w:rsidRDefault="00E836FB">
            <w:pPr>
              <w:rPr>
                <w:rFonts w:ascii="宋体"/>
                <w:vanish/>
              </w:rPr>
            </w:pPr>
          </w:p>
        </w:tc>
        <w:tc>
          <w:tcPr>
            <w:tcW w:w="0" w:type="auto"/>
            <w:gridSpan w:val="3"/>
            <w:shd w:val="clear" w:color="auto" w:fill="auto"/>
            <w:vAlign w:val="bottom"/>
          </w:tcPr>
          <w:p w14:paraId="5F2D6817" w14:textId="77777777" w:rsidR="00E836FB" w:rsidRDefault="00E836FB">
            <w:pPr>
              <w:rPr>
                <w:rFonts w:ascii="宋体"/>
                <w:vanish/>
              </w:rPr>
            </w:pPr>
          </w:p>
        </w:tc>
        <w:tc>
          <w:tcPr>
            <w:tcW w:w="0" w:type="auto"/>
            <w:gridSpan w:val="3"/>
            <w:shd w:val="clear" w:color="auto" w:fill="auto"/>
            <w:vAlign w:val="bottom"/>
          </w:tcPr>
          <w:p w14:paraId="5F2D6818" w14:textId="77777777" w:rsidR="00E836FB" w:rsidRDefault="00E836FB">
            <w:pPr>
              <w:rPr>
                <w:rFonts w:ascii="宋体"/>
                <w:vanish/>
              </w:rPr>
            </w:pPr>
          </w:p>
        </w:tc>
      </w:tr>
      <w:tr w:rsidR="00E836FB" w14:paraId="5F2D681E" w14:textId="77777777">
        <w:trPr>
          <w:hidden/>
        </w:trPr>
        <w:tc>
          <w:tcPr>
            <w:tcW w:w="0" w:type="auto"/>
            <w:gridSpan w:val="3"/>
            <w:shd w:val="clear" w:color="auto" w:fill="auto"/>
            <w:vAlign w:val="bottom"/>
          </w:tcPr>
          <w:p w14:paraId="5F2D681A" w14:textId="77777777" w:rsidR="00E836FB" w:rsidRDefault="00E836FB">
            <w:pPr>
              <w:rPr>
                <w:rFonts w:ascii="宋体"/>
                <w:vanish/>
              </w:rPr>
            </w:pPr>
          </w:p>
        </w:tc>
        <w:tc>
          <w:tcPr>
            <w:tcW w:w="0" w:type="auto"/>
            <w:gridSpan w:val="3"/>
            <w:shd w:val="clear" w:color="auto" w:fill="auto"/>
            <w:vAlign w:val="bottom"/>
          </w:tcPr>
          <w:p w14:paraId="5F2D681B" w14:textId="77777777" w:rsidR="00E836FB" w:rsidRDefault="00E836FB">
            <w:pPr>
              <w:rPr>
                <w:rFonts w:ascii="宋体"/>
                <w:vanish/>
              </w:rPr>
            </w:pPr>
          </w:p>
        </w:tc>
        <w:tc>
          <w:tcPr>
            <w:tcW w:w="0" w:type="auto"/>
            <w:gridSpan w:val="3"/>
            <w:shd w:val="clear" w:color="auto" w:fill="auto"/>
            <w:vAlign w:val="bottom"/>
          </w:tcPr>
          <w:p w14:paraId="5F2D681C" w14:textId="77777777" w:rsidR="00E836FB" w:rsidRDefault="00E836FB">
            <w:pPr>
              <w:rPr>
                <w:rFonts w:ascii="宋体"/>
                <w:vanish/>
              </w:rPr>
            </w:pPr>
          </w:p>
        </w:tc>
        <w:tc>
          <w:tcPr>
            <w:tcW w:w="0" w:type="auto"/>
            <w:gridSpan w:val="3"/>
            <w:shd w:val="clear" w:color="auto" w:fill="auto"/>
            <w:vAlign w:val="bottom"/>
          </w:tcPr>
          <w:p w14:paraId="5F2D681D" w14:textId="77777777" w:rsidR="00E836FB" w:rsidRDefault="00E836FB">
            <w:pPr>
              <w:rPr>
                <w:rFonts w:ascii="宋体"/>
                <w:vanish/>
              </w:rPr>
            </w:pPr>
          </w:p>
        </w:tc>
      </w:tr>
      <w:tr w:rsidR="00E836FB" w14:paraId="5F2D6823" w14:textId="77777777">
        <w:trPr>
          <w:hidden/>
        </w:trPr>
        <w:tc>
          <w:tcPr>
            <w:tcW w:w="0" w:type="auto"/>
            <w:gridSpan w:val="3"/>
            <w:shd w:val="clear" w:color="auto" w:fill="auto"/>
            <w:vAlign w:val="bottom"/>
          </w:tcPr>
          <w:p w14:paraId="5F2D681F" w14:textId="77777777" w:rsidR="00E836FB" w:rsidRDefault="00E836FB">
            <w:pPr>
              <w:rPr>
                <w:rFonts w:ascii="宋体"/>
                <w:vanish/>
              </w:rPr>
            </w:pPr>
          </w:p>
        </w:tc>
        <w:tc>
          <w:tcPr>
            <w:tcW w:w="0" w:type="auto"/>
            <w:gridSpan w:val="3"/>
            <w:shd w:val="clear" w:color="auto" w:fill="auto"/>
            <w:vAlign w:val="bottom"/>
          </w:tcPr>
          <w:p w14:paraId="5F2D6820" w14:textId="77777777" w:rsidR="00E836FB" w:rsidRDefault="00E836FB">
            <w:pPr>
              <w:rPr>
                <w:rFonts w:ascii="宋体"/>
                <w:vanish/>
              </w:rPr>
            </w:pPr>
          </w:p>
        </w:tc>
        <w:tc>
          <w:tcPr>
            <w:tcW w:w="0" w:type="auto"/>
            <w:gridSpan w:val="3"/>
            <w:shd w:val="clear" w:color="auto" w:fill="auto"/>
            <w:vAlign w:val="bottom"/>
          </w:tcPr>
          <w:p w14:paraId="5F2D6821" w14:textId="77777777" w:rsidR="00E836FB" w:rsidRDefault="00E836FB">
            <w:pPr>
              <w:rPr>
                <w:rFonts w:ascii="宋体"/>
                <w:vanish/>
              </w:rPr>
            </w:pPr>
          </w:p>
        </w:tc>
        <w:tc>
          <w:tcPr>
            <w:tcW w:w="0" w:type="auto"/>
            <w:gridSpan w:val="3"/>
            <w:shd w:val="clear" w:color="auto" w:fill="auto"/>
            <w:vAlign w:val="bottom"/>
          </w:tcPr>
          <w:p w14:paraId="5F2D6822" w14:textId="77777777" w:rsidR="00E836FB" w:rsidRDefault="00E836FB">
            <w:pPr>
              <w:rPr>
                <w:rFonts w:ascii="宋体"/>
                <w:vanish/>
              </w:rPr>
            </w:pPr>
          </w:p>
        </w:tc>
      </w:tr>
      <w:tr w:rsidR="00E836FB" w14:paraId="5F2D6828" w14:textId="77777777">
        <w:trPr>
          <w:hidden/>
        </w:trPr>
        <w:tc>
          <w:tcPr>
            <w:tcW w:w="0" w:type="auto"/>
            <w:gridSpan w:val="3"/>
            <w:shd w:val="clear" w:color="auto" w:fill="auto"/>
            <w:vAlign w:val="bottom"/>
          </w:tcPr>
          <w:p w14:paraId="5F2D6824" w14:textId="77777777" w:rsidR="00E836FB" w:rsidRDefault="00E836FB">
            <w:pPr>
              <w:rPr>
                <w:rFonts w:ascii="宋体"/>
                <w:vanish/>
              </w:rPr>
            </w:pPr>
          </w:p>
        </w:tc>
        <w:tc>
          <w:tcPr>
            <w:tcW w:w="0" w:type="auto"/>
            <w:gridSpan w:val="3"/>
            <w:shd w:val="clear" w:color="auto" w:fill="auto"/>
            <w:vAlign w:val="bottom"/>
          </w:tcPr>
          <w:p w14:paraId="5F2D6825" w14:textId="77777777" w:rsidR="00E836FB" w:rsidRDefault="00E836FB">
            <w:pPr>
              <w:rPr>
                <w:rFonts w:ascii="宋体"/>
                <w:vanish/>
              </w:rPr>
            </w:pPr>
          </w:p>
        </w:tc>
        <w:tc>
          <w:tcPr>
            <w:tcW w:w="0" w:type="auto"/>
            <w:gridSpan w:val="3"/>
            <w:shd w:val="clear" w:color="auto" w:fill="auto"/>
            <w:vAlign w:val="bottom"/>
          </w:tcPr>
          <w:p w14:paraId="5F2D6826" w14:textId="77777777" w:rsidR="00E836FB" w:rsidRDefault="00E836FB">
            <w:pPr>
              <w:rPr>
                <w:rFonts w:ascii="宋体"/>
                <w:vanish/>
              </w:rPr>
            </w:pPr>
          </w:p>
        </w:tc>
        <w:tc>
          <w:tcPr>
            <w:tcW w:w="0" w:type="auto"/>
            <w:gridSpan w:val="3"/>
            <w:shd w:val="clear" w:color="auto" w:fill="auto"/>
            <w:vAlign w:val="bottom"/>
          </w:tcPr>
          <w:p w14:paraId="5F2D6827" w14:textId="77777777" w:rsidR="00E836FB" w:rsidRDefault="00E836FB">
            <w:pPr>
              <w:rPr>
                <w:rFonts w:ascii="宋体"/>
                <w:vanish/>
              </w:rPr>
            </w:pPr>
          </w:p>
        </w:tc>
      </w:tr>
      <w:tr w:rsidR="00E836FB" w14:paraId="5F2D682D" w14:textId="77777777">
        <w:trPr>
          <w:hidden/>
        </w:trPr>
        <w:tc>
          <w:tcPr>
            <w:tcW w:w="0" w:type="auto"/>
            <w:gridSpan w:val="3"/>
            <w:shd w:val="clear" w:color="auto" w:fill="auto"/>
            <w:vAlign w:val="bottom"/>
          </w:tcPr>
          <w:p w14:paraId="5F2D6829" w14:textId="77777777" w:rsidR="00E836FB" w:rsidRDefault="00E836FB">
            <w:pPr>
              <w:rPr>
                <w:rFonts w:ascii="宋体"/>
                <w:vanish/>
              </w:rPr>
            </w:pPr>
          </w:p>
        </w:tc>
        <w:tc>
          <w:tcPr>
            <w:tcW w:w="0" w:type="auto"/>
            <w:gridSpan w:val="3"/>
            <w:shd w:val="clear" w:color="auto" w:fill="auto"/>
            <w:vAlign w:val="bottom"/>
          </w:tcPr>
          <w:p w14:paraId="5F2D682A" w14:textId="77777777" w:rsidR="00E836FB" w:rsidRDefault="00E836FB">
            <w:pPr>
              <w:rPr>
                <w:rFonts w:ascii="宋体"/>
                <w:vanish/>
              </w:rPr>
            </w:pPr>
          </w:p>
        </w:tc>
        <w:tc>
          <w:tcPr>
            <w:tcW w:w="0" w:type="auto"/>
            <w:gridSpan w:val="3"/>
            <w:shd w:val="clear" w:color="auto" w:fill="auto"/>
            <w:vAlign w:val="bottom"/>
          </w:tcPr>
          <w:p w14:paraId="5F2D682B" w14:textId="77777777" w:rsidR="00E836FB" w:rsidRDefault="00E836FB">
            <w:pPr>
              <w:rPr>
                <w:rFonts w:ascii="宋体"/>
                <w:vanish/>
              </w:rPr>
            </w:pPr>
          </w:p>
        </w:tc>
        <w:tc>
          <w:tcPr>
            <w:tcW w:w="0" w:type="auto"/>
            <w:gridSpan w:val="3"/>
            <w:shd w:val="clear" w:color="auto" w:fill="auto"/>
            <w:vAlign w:val="bottom"/>
          </w:tcPr>
          <w:p w14:paraId="5F2D682C" w14:textId="77777777" w:rsidR="00E836FB" w:rsidRDefault="00E836FB">
            <w:pPr>
              <w:rPr>
                <w:rFonts w:ascii="宋体"/>
                <w:vanish/>
              </w:rPr>
            </w:pPr>
          </w:p>
        </w:tc>
      </w:tr>
      <w:tr w:rsidR="00E836FB" w14:paraId="5F2D6832" w14:textId="77777777">
        <w:trPr>
          <w:hidden/>
        </w:trPr>
        <w:tc>
          <w:tcPr>
            <w:tcW w:w="0" w:type="auto"/>
            <w:gridSpan w:val="3"/>
            <w:shd w:val="clear" w:color="auto" w:fill="auto"/>
            <w:vAlign w:val="bottom"/>
          </w:tcPr>
          <w:p w14:paraId="5F2D682E" w14:textId="77777777" w:rsidR="00E836FB" w:rsidRDefault="00E836FB">
            <w:pPr>
              <w:rPr>
                <w:rFonts w:ascii="宋体"/>
                <w:vanish/>
              </w:rPr>
            </w:pPr>
          </w:p>
        </w:tc>
        <w:tc>
          <w:tcPr>
            <w:tcW w:w="0" w:type="auto"/>
            <w:gridSpan w:val="3"/>
            <w:shd w:val="clear" w:color="auto" w:fill="auto"/>
            <w:vAlign w:val="bottom"/>
          </w:tcPr>
          <w:p w14:paraId="5F2D682F" w14:textId="77777777" w:rsidR="00E836FB" w:rsidRDefault="00E836FB">
            <w:pPr>
              <w:rPr>
                <w:rFonts w:ascii="宋体"/>
                <w:vanish/>
              </w:rPr>
            </w:pPr>
          </w:p>
        </w:tc>
        <w:tc>
          <w:tcPr>
            <w:tcW w:w="0" w:type="auto"/>
            <w:gridSpan w:val="3"/>
            <w:shd w:val="clear" w:color="auto" w:fill="auto"/>
            <w:vAlign w:val="bottom"/>
          </w:tcPr>
          <w:p w14:paraId="5F2D6830" w14:textId="77777777" w:rsidR="00E836FB" w:rsidRDefault="00E836FB">
            <w:pPr>
              <w:rPr>
                <w:rFonts w:ascii="宋体"/>
                <w:vanish/>
              </w:rPr>
            </w:pPr>
          </w:p>
        </w:tc>
        <w:tc>
          <w:tcPr>
            <w:tcW w:w="0" w:type="auto"/>
            <w:gridSpan w:val="3"/>
            <w:shd w:val="clear" w:color="auto" w:fill="auto"/>
            <w:vAlign w:val="bottom"/>
          </w:tcPr>
          <w:p w14:paraId="5F2D6831" w14:textId="77777777" w:rsidR="00E836FB" w:rsidRDefault="00E836FB">
            <w:pPr>
              <w:rPr>
                <w:rFonts w:ascii="宋体"/>
                <w:vanish/>
              </w:rPr>
            </w:pPr>
          </w:p>
        </w:tc>
      </w:tr>
      <w:tr w:rsidR="00E836FB" w14:paraId="5F2D6837" w14:textId="77777777">
        <w:trPr>
          <w:hidden/>
        </w:trPr>
        <w:tc>
          <w:tcPr>
            <w:tcW w:w="0" w:type="auto"/>
            <w:gridSpan w:val="3"/>
            <w:shd w:val="clear" w:color="auto" w:fill="auto"/>
            <w:vAlign w:val="bottom"/>
          </w:tcPr>
          <w:p w14:paraId="5F2D6833" w14:textId="77777777" w:rsidR="00E836FB" w:rsidRDefault="00E836FB">
            <w:pPr>
              <w:rPr>
                <w:rFonts w:ascii="宋体"/>
                <w:vanish/>
              </w:rPr>
            </w:pPr>
          </w:p>
        </w:tc>
        <w:tc>
          <w:tcPr>
            <w:tcW w:w="0" w:type="auto"/>
            <w:gridSpan w:val="3"/>
            <w:shd w:val="clear" w:color="auto" w:fill="auto"/>
            <w:vAlign w:val="bottom"/>
          </w:tcPr>
          <w:p w14:paraId="5F2D6834" w14:textId="77777777" w:rsidR="00E836FB" w:rsidRDefault="00E836FB">
            <w:pPr>
              <w:rPr>
                <w:rFonts w:ascii="宋体"/>
                <w:vanish/>
              </w:rPr>
            </w:pPr>
          </w:p>
        </w:tc>
        <w:tc>
          <w:tcPr>
            <w:tcW w:w="0" w:type="auto"/>
            <w:gridSpan w:val="3"/>
            <w:shd w:val="clear" w:color="auto" w:fill="auto"/>
            <w:vAlign w:val="bottom"/>
          </w:tcPr>
          <w:p w14:paraId="5F2D6835" w14:textId="77777777" w:rsidR="00E836FB" w:rsidRDefault="00E836FB">
            <w:pPr>
              <w:rPr>
                <w:rFonts w:ascii="宋体"/>
                <w:vanish/>
              </w:rPr>
            </w:pPr>
          </w:p>
        </w:tc>
        <w:tc>
          <w:tcPr>
            <w:tcW w:w="0" w:type="auto"/>
            <w:gridSpan w:val="3"/>
            <w:shd w:val="clear" w:color="auto" w:fill="auto"/>
            <w:vAlign w:val="bottom"/>
          </w:tcPr>
          <w:p w14:paraId="5F2D6836" w14:textId="77777777" w:rsidR="00E836FB" w:rsidRDefault="00E836FB">
            <w:pPr>
              <w:rPr>
                <w:rFonts w:ascii="宋体"/>
                <w:vanish/>
              </w:rPr>
            </w:pPr>
          </w:p>
        </w:tc>
      </w:tr>
      <w:tr w:rsidR="00E836FB" w14:paraId="5F2D683C" w14:textId="77777777">
        <w:trPr>
          <w:hidden/>
        </w:trPr>
        <w:tc>
          <w:tcPr>
            <w:tcW w:w="0" w:type="auto"/>
            <w:gridSpan w:val="3"/>
            <w:shd w:val="clear" w:color="auto" w:fill="auto"/>
            <w:vAlign w:val="bottom"/>
          </w:tcPr>
          <w:p w14:paraId="5F2D6838" w14:textId="77777777" w:rsidR="00E836FB" w:rsidRDefault="00E836FB">
            <w:pPr>
              <w:rPr>
                <w:rFonts w:ascii="宋体"/>
                <w:vanish/>
              </w:rPr>
            </w:pPr>
          </w:p>
        </w:tc>
        <w:tc>
          <w:tcPr>
            <w:tcW w:w="0" w:type="auto"/>
            <w:gridSpan w:val="3"/>
            <w:shd w:val="clear" w:color="auto" w:fill="auto"/>
            <w:vAlign w:val="bottom"/>
          </w:tcPr>
          <w:p w14:paraId="5F2D6839" w14:textId="77777777" w:rsidR="00E836FB" w:rsidRDefault="00E836FB">
            <w:pPr>
              <w:rPr>
                <w:rFonts w:ascii="宋体"/>
                <w:vanish/>
              </w:rPr>
            </w:pPr>
          </w:p>
        </w:tc>
        <w:tc>
          <w:tcPr>
            <w:tcW w:w="0" w:type="auto"/>
            <w:gridSpan w:val="3"/>
            <w:shd w:val="clear" w:color="auto" w:fill="auto"/>
            <w:vAlign w:val="bottom"/>
          </w:tcPr>
          <w:p w14:paraId="5F2D683A" w14:textId="77777777" w:rsidR="00E836FB" w:rsidRDefault="00E836FB">
            <w:pPr>
              <w:rPr>
                <w:rFonts w:ascii="宋体"/>
                <w:vanish/>
              </w:rPr>
            </w:pPr>
          </w:p>
        </w:tc>
        <w:tc>
          <w:tcPr>
            <w:tcW w:w="0" w:type="auto"/>
            <w:gridSpan w:val="3"/>
            <w:shd w:val="clear" w:color="auto" w:fill="auto"/>
            <w:vAlign w:val="bottom"/>
          </w:tcPr>
          <w:p w14:paraId="5F2D683B" w14:textId="77777777" w:rsidR="00E836FB" w:rsidRDefault="00E836FB">
            <w:pPr>
              <w:rPr>
                <w:rFonts w:ascii="宋体"/>
                <w:vanish/>
              </w:rPr>
            </w:pPr>
          </w:p>
        </w:tc>
      </w:tr>
      <w:tr w:rsidR="00E836FB" w14:paraId="5F2D6841" w14:textId="77777777">
        <w:trPr>
          <w:hidden/>
        </w:trPr>
        <w:tc>
          <w:tcPr>
            <w:tcW w:w="0" w:type="auto"/>
            <w:gridSpan w:val="3"/>
            <w:shd w:val="clear" w:color="auto" w:fill="auto"/>
            <w:vAlign w:val="bottom"/>
          </w:tcPr>
          <w:p w14:paraId="5F2D683D" w14:textId="77777777" w:rsidR="00E836FB" w:rsidRDefault="00E836FB">
            <w:pPr>
              <w:rPr>
                <w:rFonts w:ascii="宋体"/>
                <w:vanish/>
              </w:rPr>
            </w:pPr>
          </w:p>
        </w:tc>
        <w:tc>
          <w:tcPr>
            <w:tcW w:w="0" w:type="auto"/>
            <w:gridSpan w:val="3"/>
            <w:shd w:val="clear" w:color="auto" w:fill="auto"/>
            <w:vAlign w:val="bottom"/>
          </w:tcPr>
          <w:p w14:paraId="5F2D683E" w14:textId="77777777" w:rsidR="00E836FB" w:rsidRDefault="00E836FB">
            <w:pPr>
              <w:rPr>
                <w:rFonts w:ascii="宋体"/>
                <w:vanish/>
              </w:rPr>
            </w:pPr>
          </w:p>
        </w:tc>
        <w:tc>
          <w:tcPr>
            <w:tcW w:w="0" w:type="auto"/>
            <w:gridSpan w:val="3"/>
            <w:shd w:val="clear" w:color="auto" w:fill="auto"/>
            <w:vAlign w:val="bottom"/>
          </w:tcPr>
          <w:p w14:paraId="5F2D683F" w14:textId="77777777" w:rsidR="00E836FB" w:rsidRDefault="00E836FB">
            <w:pPr>
              <w:rPr>
                <w:rFonts w:ascii="宋体"/>
                <w:vanish/>
              </w:rPr>
            </w:pPr>
          </w:p>
        </w:tc>
        <w:tc>
          <w:tcPr>
            <w:tcW w:w="0" w:type="auto"/>
            <w:gridSpan w:val="3"/>
            <w:shd w:val="clear" w:color="auto" w:fill="auto"/>
            <w:vAlign w:val="bottom"/>
          </w:tcPr>
          <w:p w14:paraId="5F2D6840" w14:textId="77777777" w:rsidR="00E836FB" w:rsidRDefault="00E836FB">
            <w:pPr>
              <w:rPr>
                <w:rFonts w:ascii="宋体"/>
                <w:vanish/>
              </w:rPr>
            </w:pPr>
          </w:p>
        </w:tc>
      </w:tr>
      <w:tr w:rsidR="00E836FB" w14:paraId="5F2D6846" w14:textId="77777777">
        <w:trPr>
          <w:hidden/>
        </w:trPr>
        <w:tc>
          <w:tcPr>
            <w:tcW w:w="0" w:type="auto"/>
            <w:gridSpan w:val="3"/>
            <w:shd w:val="clear" w:color="auto" w:fill="auto"/>
            <w:vAlign w:val="bottom"/>
          </w:tcPr>
          <w:p w14:paraId="5F2D6842" w14:textId="77777777" w:rsidR="00E836FB" w:rsidRDefault="00E836FB">
            <w:pPr>
              <w:rPr>
                <w:rFonts w:ascii="宋体"/>
                <w:vanish/>
              </w:rPr>
            </w:pPr>
          </w:p>
        </w:tc>
        <w:tc>
          <w:tcPr>
            <w:tcW w:w="0" w:type="auto"/>
            <w:gridSpan w:val="3"/>
            <w:shd w:val="clear" w:color="auto" w:fill="auto"/>
            <w:vAlign w:val="bottom"/>
          </w:tcPr>
          <w:p w14:paraId="5F2D6843" w14:textId="77777777" w:rsidR="00E836FB" w:rsidRDefault="00E836FB">
            <w:pPr>
              <w:rPr>
                <w:rFonts w:ascii="宋体"/>
                <w:vanish/>
              </w:rPr>
            </w:pPr>
          </w:p>
        </w:tc>
        <w:tc>
          <w:tcPr>
            <w:tcW w:w="0" w:type="auto"/>
            <w:gridSpan w:val="3"/>
            <w:shd w:val="clear" w:color="auto" w:fill="auto"/>
            <w:vAlign w:val="bottom"/>
          </w:tcPr>
          <w:p w14:paraId="5F2D6844" w14:textId="77777777" w:rsidR="00E836FB" w:rsidRDefault="00E836FB">
            <w:pPr>
              <w:rPr>
                <w:rFonts w:ascii="宋体"/>
                <w:vanish/>
              </w:rPr>
            </w:pPr>
          </w:p>
        </w:tc>
        <w:tc>
          <w:tcPr>
            <w:tcW w:w="0" w:type="auto"/>
            <w:gridSpan w:val="3"/>
            <w:shd w:val="clear" w:color="auto" w:fill="auto"/>
            <w:vAlign w:val="bottom"/>
          </w:tcPr>
          <w:p w14:paraId="5F2D6845" w14:textId="77777777" w:rsidR="00E836FB" w:rsidRDefault="00E836FB">
            <w:pPr>
              <w:rPr>
                <w:rFonts w:ascii="宋体"/>
                <w:vanish/>
              </w:rPr>
            </w:pPr>
          </w:p>
        </w:tc>
      </w:tr>
      <w:tr w:rsidR="00E836FB" w14:paraId="5F2D684B" w14:textId="77777777">
        <w:trPr>
          <w:hidden/>
        </w:trPr>
        <w:tc>
          <w:tcPr>
            <w:tcW w:w="0" w:type="auto"/>
            <w:gridSpan w:val="3"/>
            <w:shd w:val="clear" w:color="auto" w:fill="auto"/>
            <w:vAlign w:val="bottom"/>
          </w:tcPr>
          <w:p w14:paraId="5F2D6847" w14:textId="77777777" w:rsidR="00E836FB" w:rsidRDefault="00E836FB">
            <w:pPr>
              <w:rPr>
                <w:rFonts w:ascii="宋体"/>
                <w:vanish/>
              </w:rPr>
            </w:pPr>
          </w:p>
        </w:tc>
        <w:tc>
          <w:tcPr>
            <w:tcW w:w="0" w:type="auto"/>
            <w:gridSpan w:val="3"/>
            <w:shd w:val="clear" w:color="auto" w:fill="auto"/>
            <w:vAlign w:val="bottom"/>
          </w:tcPr>
          <w:p w14:paraId="5F2D6848" w14:textId="77777777" w:rsidR="00E836FB" w:rsidRDefault="00E836FB">
            <w:pPr>
              <w:rPr>
                <w:rFonts w:ascii="宋体"/>
                <w:vanish/>
              </w:rPr>
            </w:pPr>
          </w:p>
        </w:tc>
        <w:tc>
          <w:tcPr>
            <w:tcW w:w="0" w:type="auto"/>
            <w:gridSpan w:val="3"/>
            <w:shd w:val="clear" w:color="auto" w:fill="auto"/>
            <w:vAlign w:val="bottom"/>
          </w:tcPr>
          <w:p w14:paraId="5F2D6849" w14:textId="77777777" w:rsidR="00E836FB" w:rsidRDefault="00E836FB">
            <w:pPr>
              <w:rPr>
                <w:rFonts w:ascii="宋体"/>
                <w:vanish/>
              </w:rPr>
            </w:pPr>
          </w:p>
        </w:tc>
        <w:tc>
          <w:tcPr>
            <w:tcW w:w="0" w:type="auto"/>
            <w:gridSpan w:val="3"/>
            <w:shd w:val="clear" w:color="auto" w:fill="auto"/>
            <w:vAlign w:val="bottom"/>
          </w:tcPr>
          <w:p w14:paraId="5F2D684A" w14:textId="77777777" w:rsidR="00E836FB" w:rsidRDefault="00E836FB">
            <w:pPr>
              <w:rPr>
                <w:rFonts w:ascii="宋体"/>
                <w:vanish/>
              </w:rPr>
            </w:pPr>
          </w:p>
        </w:tc>
      </w:tr>
      <w:tr w:rsidR="00E836FB" w14:paraId="5F2D6850" w14:textId="77777777">
        <w:trPr>
          <w:hidden/>
        </w:trPr>
        <w:tc>
          <w:tcPr>
            <w:tcW w:w="0" w:type="auto"/>
            <w:gridSpan w:val="3"/>
            <w:shd w:val="clear" w:color="auto" w:fill="auto"/>
            <w:vAlign w:val="bottom"/>
          </w:tcPr>
          <w:p w14:paraId="5F2D684C" w14:textId="77777777" w:rsidR="00E836FB" w:rsidRDefault="00E836FB">
            <w:pPr>
              <w:rPr>
                <w:rFonts w:ascii="宋体"/>
                <w:vanish/>
              </w:rPr>
            </w:pPr>
          </w:p>
        </w:tc>
        <w:tc>
          <w:tcPr>
            <w:tcW w:w="0" w:type="auto"/>
            <w:gridSpan w:val="3"/>
            <w:shd w:val="clear" w:color="auto" w:fill="auto"/>
            <w:vAlign w:val="bottom"/>
          </w:tcPr>
          <w:p w14:paraId="5F2D684D" w14:textId="77777777" w:rsidR="00E836FB" w:rsidRDefault="00E836FB">
            <w:pPr>
              <w:rPr>
                <w:rFonts w:ascii="宋体"/>
                <w:vanish/>
              </w:rPr>
            </w:pPr>
          </w:p>
        </w:tc>
        <w:tc>
          <w:tcPr>
            <w:tcW w:w="0" w:type="auto"/>
            <w:gridSpan w:val="3"/>
            <w:shd w:val="clear" w:color="auto" w:fill="auto"/>
            <w:vAlign w:val="bottom"/>
          </w:tcPr>
          <w:p w14:paraId="5F2D684E" w14:textId="77777777" w:rsidR="00E836FB" w:rsidRDefault="00E836FB">
            <w:pPr>
              <w:rPr>
                <w:rFonts w:ascii="宋体"/>
                <w:vanish/>
              </w:rPr>
            </w:pPr>
          </w:p>
        </w:tc>
        <w:tc>
          <w:tcPr>
            <w:tcW w:w="0" w:type="auto"/>
            <w:gridSpan w:val="3"/>
            <w:shd w:val="clear" w:color="auto" w:fill="auto"/>
            <w:vAlign w:val="bottom"/>
          </w:tcPr>
          <w:p w14:paraId="5F2D684F" w14:textId="77777777" w:rsidR="00E836FB" w:rsidRDefault="00E836FB">
            <w:pPr>
              <w:rPr>
                <w:rFonts w:ascii="宋体"/>
                <w:vanish/>
              </w:rPr>
            </w:pPr>
          </w:p>
        </w:tc>
      </w:tr>
      <w:tr w:rsidR="00E836FB" w14:paraId="5F2D6855" w14:textId="77777777">
        <w:trPr>
          <w:hidden/>
        </w:trPr>
        <w:tc>
          <w:tcPr>
            <w:tcW w:w="0" w:type="auto"/>
            <w:gridSpan w:val="3"/>
            <w:shd w:val="clear" w:color="auto" w:fill="auto"/>
            <w:vAlign w:val="bottom"/>
          </w:tcPr>
          <w:p w14:paraId="5F2D6851" w14:textId="77777777" w:rsidR="00E836FB" w:rsidRDefault="00E836FB">
            <w:pPr>
              <w:rPr>
                <w:rFonts w:ascii="宋体"/>
                <w:vanish/>
              </w:rPr>
            </w:pPr>
          </w:p>
        </w:tc>
        <w:tc>
          <w:tcPr>
            <w:tcW w:w="0" w:type="auto"/>
            <w:gridSpan w:val="3"/>
            <w:shd w:val="clear" w:color="auto" w:fill="auto"/>
            <w:vAlign w:val="bottom"/>
          </w:tcPr>
          <w:p w14:paraId="5F2D6852" w14:textId="77777777" w:rsidR="00E836FB" w:rsidRDefault="00E836FB">
            <w:pPr>
              <w:rPr>
                <w:rFonts w:ascii="宋体"/>
                <w:vanish/>
              </w:rPr>
            </w:pPr>
          </w:p>
        </w:tc>
        <w:tc>
          <w:tcPr>
            <w:tcW w:w="0" w:type="auto"/>
            <w:gridSpan w:val="3"/>
            <w:shd w:val="clear" w:color="auto" w:fill="auto"/>
            <w:vAlign w:val="bottom"/>
          </w:tcPr>
          <w:p w14:paraId="5F2D6853" w14:textId="77777777" w:rsidR="00E836FB" w:rsidRDefault="00E836FB">
            <w:pPr>
              <w:rPr>
                <w:rFonts w:ascii="宋体"/>
                <w:vanish/>
              </w:rPr>
            </w:pPr>
          </w:p>
        </w:tc>
        <w:tc>
          <w:tcPr>
            <w:tcW w:w="0" w:type="auto"/>
            <w:gridSpan w:val="3"/>
            <w:shd w:val="clear" w:color="auto" w:fill="auto"/>
            <w:vAlign w:val="bottom"/>
          </w:tcPr>
          <w:p w14:paraId="5F2D6854" w14:textId="77777777" w:rsidR="00E836FB" w:rsidRDefault="00E836FB">
            <w:pPr>
              <w:rPr>
                <w:rFonts w:ascii="宋体"/>
                <w:vanish/>
              </w:rPr>
            </w:pPr>
          </w:p>
        </w:tc>
      </w:tr>
      <w:tr w:rsidR="00E836FB" w14:paraId="5F2D685A" w14:textId="77777777">
        <w:trPr>
          <w:hidden/>
        </w:trPr>
        <w:tc>
          <w:tcPr>
            <w:tcW w:w="0" w:type="auto"/>
            <w:gridSpan w:val="3"/>
            <w:shd w:val="clear" w:color="auto" w:fill="auto"/>
            <w:vAlign w:val="bottom"/>
          </w:tcPr>
          <w:p w14:paraId="5F2D6856" w14:textId="77777777" w:rsidR="00E836FB" w:rsidRDefault="00E836FB">
            <w:pPr>
              <w:rPr>
                <w:rFonts w:ascii="宋体"/>
                <w:vanish/>
              </w:rPr>
            </w:pPr>
          </w:p>
        </w:tc>
        <w:tc>
          <w:tcPr>
            <w:tcW w:w="0" w:type="auto"/>
            <w:gridSpan w:val="3"/>
            <w:shd w:val="clear" w:color="auto" w:fill="auto"/>
            <w:vAlign w:val="bottom"/>
          </w:tcPr>
          <w:p w14:paraId="5F2D6857" w14:textId="77777777" w:rsidR="00E836FB" w:rsidRDefault="00E836FB">
            <w:pPr>
              <w:rPr>
                <w:rFonts w:ascii="宋体"/>
                <w:vanish/>
              </w:rPr>
            </w:pPr>
          </w:p>
        </w:tc>
        <w:tc>
          <w:tcPr>
            <w:tcW w:w="0" w:type="auto"/>
            <w:gridSpan w:val="3"/>
            <w:shd w:val="clear" w:color="auto" w:fill="auto"/>
            <w:vAlign w:val="bottom"/>
          </w:tcPr>
          <w:p w14:paraId="5F2D6858" w14:textId="77777777" w:rsidR="00E836FB" w:rsidRDefault="00E836FB">
            <w:pPr>
              <w:rPr>
                <w:rFonts w:ascii="宋体"/>
                <w:vanish/>
              </w:rPr>
            </w:pPr>
          </w:p>
        </w:tc>
        <w:tc>
          <w:tcPr>
            <w:tcW w:w="0" w:type="auto"/>
            <w:gridSpan w:val="3"/>
            <w:shd w:val="clear" w:color="auto" w:fill="auto"/>
            <w:vAlign w:val="bottom"/>
          </w:tcPr>
          <w:p w14:paraId="5F2D6859" w14:textId="77777777" w:rsidR="00E836FB" w:rsidRDefault="00E836FB">
            <w:pPr>
              <w:rPr>
                <w:rFonts w:ascii="宋体"/>
                <w:vanish/>
              </w:rPr>
            </w:pPr>
          </w:p>
        </w:tc>
      </w:tr>
      <w:tr w:rsidR="00E836FB" w14:paraId="5F2D685F" w14:textId="77777777">
        <w:trPr>
          <w:hidden/>
        </w:trPr>
        <w:tc>
          <w:tcPr>
            <w:tcW w:w="0" w:type="auto"/>
            <w:gridSpan w:val="3"/>
            <w:shd w:val="clear" w:color="auto" w:fill="auto"/>
            <w:vAlign w:val="bottom"/>
          </w:tcPr>
          <w:p w14:paraId="5F2D685B" w14:textId="77777777" w:rsidR="00E836FB" w:rsidRDefault="00E836FB">
            <w:pPr>
              <w:rPr>
                <w:rFonts w:ascii="宋体"/>
                <w:vanish/>
              </w:rPr>
            </w:pPr>
          </w:p>
        </w:tc>
        <w:tc>
          <w:tcPr>
            <w:tcW w:w="0" w:type="auto"/>
            <w:gridSpan w:val="3"/>
            <w:shd w:val="clear" w:color="auto" w:fill="auto"/>
            <w:vAlign w:val="bottom"/>
          </w:tcPr>
          <w:p w14:paraId="5F2D685C" w14:textId="77777777" w:rsidR="00E836FB" w:rsidRDefault="00E836FB">
            <w:pPr>
              <w:rPr>
                <w:rFonts w:ascii="宋体"/>
                <w:vanish/>
              </w:rPr>
            </w:pPr>
          </w:p>
        </w:tc>
        <w:tc>
          <w:tcPr>
            <w:tcW w:w="0" w:type="auto"/>
            <w:gridSpan w:val="3"/>
            <w:shd w:val="clear" w:color="auto" w:fill="auto"/>
            <w:vAlign w:val="bottom"/>
          </w:tcPr>
          <w:p w14:paraId="5F2D685D" w14:textId="77777777" w:rsidR="00E836FB" w:rsidRDefault="00E836FB">
            <w:pPr>
              <w:rPr>
                <w:rFonts w:ascii="宋体"/>
                <w:vanish/>
              </w:rPr>
            </w:pPr>
          </w:p>
        </w:tc>
        <w:tc>
          <w:tcPr>
            <w:tcW w:w="0" w:type="auto"/>
            <w:gridSpan w:val="3"/>
            <w:shd w:val="clear" w:color="auto" w:fill="auto"/>
            <w:vAlign w:val="bottom"/>
          </w:tcPr>
          <w:p w14:paraId="5F2D685E" w14:textId="77777777" w:rsidR="00E836FB" w:rsidRDefault="00E836FB">
            <w:pPr>
              <w:rPr>
                <w:rFonts w:ascii="宋体"/>
                <w:vanish/>
              </w:rPr>
            </w:pPr>
          </w:p>
        </w:tc>
      </w:tr>
      <w:tr w:rsidR="00E836FB" w14:paraId="5F2D6864" w14:textId="77777777">
        <w:trPr>
          <w:hidden/>
        </w:trPr>
        <w:tc>
          <w:tcPr>
            <w:tcW w:w="0" w:type="auto"/>
            <w:gridSpan w:val="3"/>
            <w:shd w:val="clear" w:color="auto" w:fill="auto"/>
            <w:vAlign w:val="bottom"/>
          </w:tcPr>
          <w:p w14:paraId="5F2D6860" w14:textId="77777777" w:rsidR="00E836FB" w:rsidRDefault="00E836FB">
            <w:pPr>
              <w:rPr>
                <w:rFonts w:ascii="宋体"/>
                <w:vanish/>
              </w:rPr>
            </w:pPr>
          </w:p>
        </w:tc>
        <w:tc>
          <w:tcPr>
            <w:tcW w:w="0" w:type="auto"/>
            <w:gridSpan w:val="3"/>
            <w:shd w:val="clear" w:color="auto" w:fill="auto"/>
            <w:vAlign w:val="bottom"/>
          </w:tcPr>
          <w:p w14:paraId="5F2D6861" w14:textId="77777777" w:rsidR="00E836FB" w:rsidRDefault="00E836FB">
            <w:pPr>
              <w:rPr>
                <w:rFonts w:ascii="宋体"/>
                <w:vanish/>
              </w:rPr>
            </w:pPr>
          </w:p>
        </w:tc>
        <w:tc>
          <w:tcPr>
            <w:tcW w:w="0" w:type="auto"/>
            <w:gridSpan w:val="3"/>
            <w:shd w:val="clear" w:color="auto" w:fill="auto"/>
            <w:vAlign w:val="bottom"/>
          </w:tcPr>
          <w:p w14:paraId="5F2D6862" w14:textId="77777777" w:rsidR="00E836FB" w:rsidRDefault="00E836FB">
            <w:pPr>
              <w:rPr>
                <w:rFonts w:ascii="宋体"/>
                <w:vanish/>
              </w:rPr>
            </w:pPr>
          </w:p>
        </w:tc>
        <w:tc>
          <w:tcPr>
            <w:tcW w:w="0" w:type="auto"/>
            <w:gridSpan w:val="3"/>
            <w:shd w:val="clear" w:color="auto" w:fill="auto"/>
            <w:vAlign w:val="bottom"/>
          </w:tcPr>
          <w:p w14:paraId="5F2D6863" w14:textId="77777777" w:rsidR="00E836FB" w:rsidRDefault="00E836FB">
            <w:pPr>
              <w:rPr>
                <w:rFonts w:ascii="宋体"/>
                <w:vanish/>
              </w:rPr>
            </w:pPr>
          </w:p>
        </w:tc>
      </w:tr>
      <w:tr w:rsidR="00E836FB" w14:paraId="5F2D6869" w14:textId="77777777">
        <w:trPr>
          <w:hidden/>
        </w:trPr>
        <w:tc>
          <w:tcPr>
            <w:tcW w:w="0" w:type="auto"/>
            <w:gridSpan w:val="3"/>
            <w:shd w:val="clear" w:color="auto" w:fill="auto"/>
            <w:vAlign w:val="bottom"/>
          </w:tcPr>
          <w:p w14:paraId="5F2D6865" w14:textId="77777777" w:rsidR="00E836FB" w:rsidRDefault="00E836FB">
            <w:pPr>
              <w:rPr>
                <w:rFonts w:ascii="宋体"/>
                <w:vanish/>
              </w:rPr>
            </w:pPr>
          </w:p>
        </w:tc>
        <w:tc>
          <w:tcPr>
            <w:tcW w:w="0" w:type="auto"/>
            <w:gridSpan w:val="3"/>
            <w:shd w:val="clear" w:color="auto" w:fill="auto"/>
            <w:vAlign w:val="bottom"/>
          </w:tcPr>
          <w:p w14:paraId="5F2D6866" w14:textId="77777777" w:rsidR="00E836FB" w:rsidRDefault="00E836FB">
            <w:pPr>
              <w:rPr>
                <w:rFonts w:ascii="宋体"/>
                <w:vanish/>
              </w:rPr>
            </w:pPr>
          </w:p>
        </w:tc>
        <w:tc>
          <w:tcPr>
            <w:tcW w:w="0" w:type="auto"/>
            <w:gridSpan w:val="3"/>
            <w:shd w:val="clear" w:color="auto" w:fill="auto"/>
            <w:vAlign w:val="bottom"/>
          </w:tcPr>
          <w:p w14:paraId="5F2D6867" w14:textId="77777777" w:rsidR="00E836FB" w:rsidRDefault="00E836FB">
            <w:pPr>
              <w:rPr>
                <w:rFonts w:ascii="宋体"/>
                <w:vanish/>
              </w:rPr>
            </w:pPr>
          </w:p>
        </w:tc>
        <w:tc>
          <w:tcPr>
            <w:tcW w:w="0" w:type="auto"/>
            <w:gridSpan w:val="3"/>
            <w:shd w:val="clear" w:color="auto" w:fill="auto"/>
            <w:vAlign w:val="bottom"/>
          </w:tcPr>
          <w:p w14:paraId="5F2D6868" w14:textId="77777777" w:rsidR="00E836FB" w:rsidRDefault="00E836FB">
            <w:pPr>
              <w:rPr>
                <w:rFonts w:ascii="宋体"/>
                <w:vanish/>
              </w:rPr>
            </w:pPr>
          </w:p>
        </w:tc>
      </w:tr>
      <w:tr w:rsidR="00E836FB" w14:paraId="5F2D686E" w14:textId="77777777">
        <w:trPr>
          <w:hidden/>
        </w:trPr>
        <w:tc>
          <w:tcPr>
            <w:tcW w:w="0" w:type="auto"/>
            <w:gridSpan w:val="3"/>
            <w:shd w:val="clear" w:color="auto" w:fill="auto"/>
            <w:vAlign w:val="bottom"/>
          </w:tcPr>
          <w:p w14:paraId="5F2D686A" w14:textId="77777777" w:rsidR="00E836FB" w:rsidRDefault="00E836FB">
            <w:pPr>
              <w:rPr>
                <w:rFonts w:ascii="宋体"/>
                <w:vanish/>
              </w:rPr>
            </w:pPr>
          </w:p>
        </w:tc>
        <w:tc>
          <w:tcPr>
            <w:tcW w:w="0" w:type="auto"/>
            <w:gridSpan w:val="3"/>
            <w:shd w:val="clear" w:color="auto" w:fill="auto"/>
            <w:vAlign w:val="bottom"/>
          </w:tcPr>
          <w:p w14:paraId="5F2D686B" w14:textId="77777777" w:rsidR="00E836FB" w:rsidRDefault="00E836FB">
            <w:pPr>
              <w:rPr>
                <w:rFonts w:ascii="宋体"/>
                <w:vanish/>
              </w:rPr>
            </w:pPr>
          </w:p>
        </w:tc>
        <w:tc>
          <w:tcPr>
            <w:tcW w:w="0" w:type="auto"/>
            <w:gridSpan w:val="3"/>
            <w:shd w:val="clear" w:color="auto" w:fill="auto"/>
            <w:vAlign w:val="bottom"/>
          </w:tcPr>
          <w:p w14:paraId="5F2D686C" w14:textId="77777777" w:rsidR="00E836FB" w:rsidRDefault="00E836FB">
            <w:pPr>
              <w:rPr>
                <w:rFonts w:ascii="宋体"/>
                <w:vanish/>
              </w:rPr>
            </w:pPr>
          </w:p>
        </w:tc>
        <w:tc>
          <w:tcPr>
            <w:tcW w:w="0" w:type="auto"/>
            <w:gridSpan w:val="3"/>
            <w:shd w:val="clear" w:color="auto" w:fill="auto"/>
            <w:vAlign w:val="bottom"/>
          </w:tcPr>
          <w:p w14:paraId="5F2D686D" w14:textId="77777777" w:rsidR="00E836FB" w:rsidRDefault="00E836FB">
            <w:pPr>
              <w:rPr>
                <w:rFonts w:ascii="宋体"/>
                <w:vanish/>
              </w:rPr>
            </w:pPr>
          </w:p>
        </w:tc>
      </w:tr>
      <w:tr w:rsidR="00E836FB" w14:paraId="5F2D6873" w14:textId="77777777">
        <w:trPr>
          <w:hidden/>
        </w:trPr>
        <w:tc>
          <w:tcPr>
            <w:tcW w:w="0" w:type="auto"/>
            <w:gridSpan w:val="3"/>
            <w:shd w:val="clear" w:color="auto" w:fill="auto"/>
            <w:vAlign w:val="bottom"/>
          </w:tcPr>
          <w:p w14:paraId="5F2D686F" w14:textId="77777777" w:rsidR="00E836FB" w:rsidRDefault="00E836FB">
            <w:pPr>
              <w:rPr>
                <w:rFonts w:ascii="宋体"/>
                <w:vanish/>
              </w:rPr>
            </w:pPr>
          </w:p>
        </w:tc>
        <w:tc>
          <w:tcPr>
            <w:tcW w:w="0" w:type="auto"/>
            <w:gridSpan w:val="3"/>
            <w:shd w:val="clear" w:color="auto" w:fill="auto"/>
            <w:vAlign w:val="bottom"/>
          </w:tcPr>
          <w:p w14:paraId="5F2D6870" w14:textId="77777777" w:rsidR="00E836FB" w:rsidRDefault="00E836FB">
            <w:pPr>
              <w:rPr>
                <w:rFonts w:ascii="宋体"/>
                <w:vanish/>
              </w:rPr>
            </w:pPr>
          </w:p>
        </w:tc>
        <w:tc>
          <w:tcPr>
            <w:tcW w:w="0" w:type="auto"/>
            <w:gridSpan w:val="3"/>
            <w:shd w:val="clear" w:color="auto" w:fill="auto"/>
            <w:vAlign w:val="bottom"/>
          </w:tcPr>
          <w:p w14:paraId="5F2D6871" w14:textId="77777777" w:rsidR="00E836FB" w:rsidRDefault="00E836FB">
            <w:pPr>
              <w:rPr>
                <w:rFonts w:ascii="宋体"/>
                <w:vanish/>
              </w:rPr>
            </w:pPr>
          </w:p>
        </w:tc>
        <w:tc>
          <w:tcPr>
            <w:tcW w:w="0" w:type="auto"/>
            <w:gridSpan w:val="3"/>
            <w:shd w:val="clear" w:color="auto" w:fill="auto"/>
            <w:vAlign w:val="bottom"/>
          </w:tcPr>
          <w:p w14:paraId="5F2D6872" w14:textId="77777777" w:rsidR="00E836FB" w:rsidRDefault="00E836FB">
            <w:pPr>
              <w:rPr>
                <w:rFonts w:ascii="宋体"/>
                <w:vanish/>
              </w:rPr>
            </w:pPr>
          </w:p>
        </w:tc>
      </w:tr>
      <w:tr w:rsidR="00E836FB" w14:paraId="5F2D6878" w14:textId="77777777">
        <w:trPr>
          <w:hidden/>
        </w:trPr>
        <w:tc>
          <w:tcPr>
            <w:tcW w:w="0" w:type="auto"/>
            <w:gridSpan w:val="3"/>
            <w:shd w:val="clear" w:color="auto" w:fill="auto"/>
            <w:vAlign w:val="bottom"/>
          </w:tcPr>
          <w:p w14:paraId="5F2D6874" w14:textId="77777777" w:rsidR="00E836FB" w:rsidRDefault="00E836FB">
            <w:pPr>
              <w:rPr>
                <w:rFonts w:ascii="宋体"/>
                <w:vanish/>
              </w:rPr>
            </w:pPr>
          </w:p>
        </w:tc>
        <w:tc>
          <w:tcPr>
            <w:tcW w:w="0" w:type="auto"/>
            <w:gridSpan w:val="3"/>
            <w:shd w:val="clear" w:color="auto" w:fill="auto"/>
            <w:vAlign w:val="bottom"/>
          </w:tcPr>
          <w:p w14:paraId="5F2D6875" w14:textId="77777777" w:rsidR="00E836FB" w:rsidRDefault="00E836FB">
            <w:pPr>
              <w:rPr>
                <w:rFonts w:ascii="宋体"/>
                <w:vanish/>
              </w:rPr>
            </w:pPr>
          </w:p>
        </w:tc>
        <w:tc>
          <w:tcPr>
            <w:tcW w:w="0" w:type="auto"/>
            <w:gridSpan w:val="3"/>
            <w:shd w:val="clear" w:color="auto" w:fill="auto"/>
            <w:vAlign w:val="bottom"/>
          </w:tcPr>
          <w:p w14:paraId="5F2D6876" w14:textId="77777777" w:rsidR="00E836FB" w:rsidRDefault="00E836FB">
            <w:pPr>
              <w:rPr>
                <w:rFonts w:ascii="宋体"/>
                <w:vanish/>
              </w:rPr>
            </w:pPr>
          </w:p>
        </w:tc>
        <w:tc>
          <w:tcPr>
            <w:tcW w:w="0" w:type="auto"/>
            <w:gridSpan w:val="3"/>
            <w:shd w:val="clear" w:color="auto" w:fill="auto"/>
            <w:vAlign w:val="bottom"/>
          </w:tcPr>
          <w:p w14:paraId="5F2D6877" w14:textId="77777777" w:rsidR="00E836FB" w:rsidRDefault="00E836FB">
            <w:pPr>
              <w:rPr>
                <w:rFonts w:ascii="宋体"/>
                <w:vanish/>
              </w:rPr>
            </w:pPr>
          </w:p>
        </w:tc>
      </w:tr>
      <w:tr w:rsidR="00E836FB" w14:paraId="5F2D687D" w14:textId="77777777">
        <w:trPr>
          <w:hidden/>
        </w:trPr>
        <w:tc>
          <w:tcPr>
            <w:tcW w:w="0" w:type="auto"/>
            <w:gridSpan w:val="3"/>
            <w:shd w:val="clear" w:color="auto" w:fill="auto"/>
            <w:vAlign w:val="bottom"/>
          </w:tcPr>
          <w:p w14:paraId="5F2D6879" w14:textId="77777777" w:rsidR="00E836FB" w:rsidRDefault="00E836FB">
            <w:pPr>
              <w:rPr>
                <w:rFonts w:ascii="宋体"/>
                <w:vanish/>
              </w:rPr>
            </w:pPr>
          </w:p>
        </w:tc>
        <w:tc>
          <w:tcPr>
            <w:tcW w:w="0" w:type="auto"/>
            <w:gridSpan w:val="3"/>
            <w:shd w:val="clear" w:color="auto" w:fill="auto"/>
            <w:vAlign w:val="bottom"/>
          </w:tcPr>
          <w:p w14:paraId="5F2D687A" w14:textId="77777777" w:rsidR="00E836FB" w:rsidRDefault="00E836FB">
            <w:pPr>
              <w:rPr>
                <w:rFonts w:ascii="宋体"/>
                <w:vanish/>
              </w:rPr>
            </w:pPr>
          </w:p>
        </w:tc>
        <w:tc>
          <w:tcPr>
            <w:tcW w:w="0" w:type="auto"/>
            <w:gridSpan w:val="3"/>
            <w:shd w:val="clear" w:color="auto" w:fill="auto"/>
            <w:vAlign w:val="bottom"/>
          </w:tcPr>
          <w:p w14:paraId="5F2D687B" w14:textId="77777777" w:rsidR="00E836FB" w:rsidRDefault="00E836FB">
            <w:pPr>
              <w:rPr>
                <w:rFonts w:ascii="宋体"/>
                <w:vanish/>
              </w:rPr>
            </w:pPr>
          </w:p>
        </w:tc>
        <w:tc>
          <w:tcPr>
            <w:tcW w:w="0" w:type="auto"/>
            <w:gridSpan w:val="3"/>
            <w:shd w:val="clear" w:color="auto" w:fill="auto"/>
            <w:vAlign w:val="bottom"/>
          </w:tcPr>
          <w:p w14:paraId="5F2D687C" w14:textId="77777777" w:rsidR="00E836FB" w:rsidRDefault="00E836FB">
            <w:pPr>
              <w:rPr>
                <w:rFonts w:ascii="宋体"/>
                <w:vanish/>
              </w:rPr>
            </w:pPr>
          </w:p>
        </w:tc>
      </w:tr>
      <w:tr w:rsidR="00E836FB" w14:paraId="5F2D6882" w14:textId="77777777">
        <w:trPr>
          <w:hidden/>
        </w:trPr>
        <w:tc>
          <w:tcPr>
            <w:tcW w:w="0" w:type="auto"/>
            <w:gridSpan w:val="3"/>
            <w:shd w:val="clear" w:color="auto" w:fill="auto"/>
            <w:vAlign w:val="bottom"/>
          </w:tcPr>
          <w:p w14:paraId="5F2D687E" w14:textId="77777777" w:rsidR="00E836FB" w:rsidRDefault="00E836FB">
            <w:pPr>
              <w:rPr>
                <w:rFonts w:ascii="宋体"/>
                <w:vanish/>
              </w:rPr>
            </w:pPr>
          </w:p>
        </w:tc>
        <w:tc>
          <w:tcPr>
            <w:tcW w:w="0" w:type="auto"/>
            <w:gridSpan w:val="3"/>
            <w:shd w:val="clear" w:color="auto" w:fill="auto"/>
            <w:vAlign w:val="bottom"/>
          </w:tcPr>
          <w:p w14:paraId="5F2D687F" w14:textId="77777777" w:rsidR="00E836FB" w:rsidRDefault="00E836FB">
            <w:pPr>
              <w:rPr>
                <w:rFonts w:ascii="宋体"/>
                <w:vanish/>
              </w:rPr>
            </w:pPr>
          </w:p>
        </w:tc>
        <w:tc>
          <w:tcPr>
            <w:tcW w:w="0" w:type="auto"/>
            <w:gridSpan w:val="3"/>
            <w:shd w:val="clear" w:color="auto" w:fill="auto"/>
            <w:vAlign w:val="bottom"/>
          </w:tcPr>
          <w:p w14:paraId="5F2D6880" w14:textId="77777777" w:rsidR="00E836FB" w:rsidRDefault="00E836FB">
            <w:pPr>
              <w:rPr>
                <w:rFonts w:ascii="宋体"/>
                <w:vanish/>
              </w:rPr>
            </w:pPr>
          </w:p>
        </w:tc>
        <w:tc>
          <w:tcPr>
            <w:tcW w:w="0" w:type="auto"/>
            <w:gridSpan w:val="3"/>
            <w:shd w:val="clear" w:color="auto" w:fill="auto"/>
            <w:vAlign w:val="bottom"/>
          </w:tcPr>
          <w:p w14:paraId="5F2D6881" w14:textId="77777777" w:rsidR="00E836FB" w:rsidRDefault="00E836FB">
            <w:pPr>
              <w:rPr>
                <w:rFonts w:ascii="宋体"/>
                <w:vanish/>
              </w:rPr>
            </w:pPr>
          </w:p>
        </w:tc>
      </w:tr>
      <w:tr w:rsidR="00E836FB" w14:paraId="5F2D6887" w14:textId="77777777">
        <w:trPr>
          <w:hidden/>
        </w:trPr>
        <w:tc>
          <w:tcPr>
            <w:tcW w:w="0" w:type="auto"/>
            <w:gridSpan w:val="3"/>
            <w:shd w:val="clear" w:color="auto" w:fill="auto"/>
            <w:vAlign w:val="bottom"/>
          </w:tcPr>
          <w:p w14:paraId="5F2D6883" w14:textId="77777777" w:rsidR="00E836FB" w:rsidRDefault="00E836FB">
            <w:pPr>
              <w:rPr>
                <w:rFonts w:ascii="宋体"/>
                <w:vanish/>
              </w:rPr>
            </w:pPr>
          </w:p>
        </w:tc>
        <w:tc>
          <w:tcPr>
            <w:tcW w:w="0" w:type="auto"/>
            <w:gridSpan w:val="3"/>
            <w:shd w:val="clear" w:color="auto" w:fill="auto"/>
            <w:vAlign w:val="bottom"/>
          </w:tcPr>
          <w:p w14:paraId="5F2D6884" w14:textId="77777777" w:rsidR="00E836FB" w:rsidRDefault="00E836FB">
            <w:pPr>
              <w:rPr>
                <w:rFonts w:ascii="宋体"/>
                <w:vanish/>
              </w:rPr>
            </w:pPr>
          </w:p>
        </w:tc>
        <w:tc>
          <w:tcPr>
            <w:tcW w:w="0" w:type="auto"/>
            <w:gridSpan w:val="3"/>
            <w:shd w:val="clear" w:color="auto" w:fill="auto"/>
            <w:vAlign w:val="bottom"/>
          </w:tcPr>
          <w:p w14:paraId="5F2D6885" w14:textId="77777777" w:rsidR="00E836FB" w:rsidRDefault="00E836FB">
            <w:pPr>
              <w:rPr>
                <w:rFonts w:ascii="宋体"/>
                <w:vanish/>
              </w:rPr>
            </w:pPr>
          </w:p>
        </w:tc>
        <w:tc>
          <w:tcPr>
            <w:tcW w:w="0" w:type="auto"/>
            <w:gridSpan w:val="3"/>
            <w:shd w:val="clear" w:color="auto" w:fill="auto"/>
            <w:vAlign w:val="bottom"/>
          </w:tcPr>
          <w:p w14:paraId="5F2D6886" w14:textId="77777777" w:rsidR="00E836FB" w:rsidRDefault="00E836FB">
            <w:pPr>
              <w:rPr>
                <w:rFonts w:ascii="宋体"/>
                <w:vanish/>
              </w:rPr>
            </w:pPr>
          </w:p>
        </w:tc>
      </w:tr>
      <w:tr w:rsidR="00E836FB" w14:paraId="5F2D688C" w14:textId="77777777">
        <w:trPr>
          <w:hidden/>
        </w:trPr>
        <w:tc>
          <w:tcPr>
            <w:tcW w:w="0" w:type="auto"/>
            <w:gridSpan w:val="3"/>
            <w:shd w:val="clear" w:color="auto" w:fill="auto"/>
            <w:vAlign w:val="bottom"/>
          </w:tcPr>
          <w:p w14:paraId="5F2D6888" w14:textId="77777777" w:rsidR="00E836FB" w:rsidRDefault="00E836FB">
            <w:pPr>
              <w:rPr>
                <w:rFonts w:ascii="宋体"/>
                <w:vanish/>
              </w:rPr>
            </w:pPr>
          </w:p>
        </w:tc>
        <w:tc>
          <w:tcPr>
            <w:tcW w:w="0" w:type="auto"/>
            <w:gridSpan w:val="3"/>
            <w:shd w:val="clear" w:color="auto" w:fill="auto"/>
            <w:vAlign w:val="bottom"/>
          </w:tcPr>
          <w:p w14:paraId="5F2D6889" w14:textId="77777777" w:rsidR="00E836FB" w:rsidRDefault="00E836FB">
            <w:pPr>
              <w:rPr>
                <w:rFonts w:ascii="宋体"/>
                <w:vanish/>
              </w:rPr>
            </w:pPr>
          </w:p>
        </w:tc>
        <w:tc>
          <w:tcPr>
            <w:tcW w:w="0" w:type="auto"/>
            <w:gridSpan w:val="3"/>
            <w:shd w:val="clear" w:color="auto" w:fill="auto"/>
            <w:vAlign w:val="bottom"/>
          </w:tcPr>
          <w:p w14:paraId="5F2D688A" w14:textId="77777777" w:rsidR="00E836FB" w:rsidRDefault="00E836FB">
            <w:pPr>
              <w:rPr>
                <w:rFonts w:ascii="宋体"/>
                <w:vanish/>
              </w:rPr>
            </w:pPr>
          </w:p>
        </w:tc>
        <w:tc>
          <w:tcPr>
            <w:tcW w:w="0" w:type="auto"/>
            <w:gridSpan w:val="3"/>
            <w:shd w:val="clear" w:color="auto" w:fill="auto"/>
            <w:vAlign w:val="bottom"/>
          </w:tcPr>
          <w:p w14:paraId="5F2D688B" w14:textId="77777777" w:rsidR="00E836FB" w:rsidRDefault="00E836FB">
            <w:pPr>
              <w:rPr>
                <w:rFonts w:ascii="宋体"/>
                <w:vanish/>
              </w:rPr>
            </w:pPr>
          </w:p>
        </w:tc>
      </w:tr>
      <w:tr w:rsidR="00E836FB" w14:paraId="5F2D6891" w14:textId="77777777">
        <w:trPr>
          <w:hidden/>
        </w:trPr>
        <w:tc>
          <w:tcPr>
            <w:tcW w:w="0" w:type="auto"/>
            <w:gridSpan w:val="3"/>
            <w:shd w:val="clear" w:color="auto" w:fill="auto"/>
            <w:vAlign w:val="bottom"/>
          </w:tcPr>
          <w:p w14:paraId="5F2D688D" w14:textId="77777777" w:rsidR="00E836FB" w:rsidRDefault="00E836FB">
            <w:pPr>
              <w:rPr>
                <w:rFonts w:ascii="宋体"/>
                <w:vanish/>
              </w:rPr>
            </w:pPr>
          </w:p>
        </w:tc>
        <w:tc>
          <w:tcPr>
            <w:tcW w:w="0" w:type="auto"/>
            <w:gridSpan w:val="3"/>
            <w:shd w:val="clear" w:color="auto" w:fill="auto"/>
            <w:vAlign w:val="bottom"/>
          </w:tcPr>
          <w:p w14:paraId="5F2D688E" w14:textId="77777777" w:rsidR="00E836FB" w:rsidRDefault="00E836FB">
            <w:pPr>
              <w:rPr>
                <w:rFonts w:ascii="宋体"/>
                <w:vanish/>
              </w:rPr>
            </w:pPr>
          </w:p>
        </w:tc>
        <w:tc>
          <w:tcPr>
            <w:tcW w:w="0" w:type="auto"/>
            <w:gridSpan w:val="3"/>
            <w:shd w:val="clear" w:color="auto" w:fill="auto"/>
            <w:vAlign w:val="bottom"/>
          </w:tcPr>
          <w:p w14:paraId="5F2D688F" w14:textId="77777777" w:rsidR="00E836FB" w:rsidRDefault="00E836FB">
            <w:pPr>
              <w:rPr>
                <w:rFonts w:ascii="宋体"/>
                <w:vanish/>
              </w:rPr>
            </w:pPr>
          </w:p>
        </w:tc>
        <w:tc>
          <w:tcPr>
            <w:tcW w:w="0" w:type="auto"/>
            <w:gridSpan w:val="3"/>
            <w:shd w:val="clear" w:color="auto" w:fill="auto"/>
            <w:vAlign w:val="bottom"/>
          </w:tcPr>
          <w:p w14:paraId="5F2D6890" w14:textId="77777777" w:rsidR="00E836FB" w:rsidRDefault="00E836FB">
            <w:pPr>
              <w:rPr>
                <w:rFonts w:ascii="宋体"/>
                <w:vanish/>
              </w:rPr>
            </w:pPr>
          </w:p>
        </w:tc>
      </w:tr>
      <w:tr w:rsidR="00E836FB" w14:paraId="5F2D6896" w14:textId="77777777">
        <w:trPr>
          <w:hidden/>
        </w:trPr>
        <w:tc>
          <w:tcPr>
            <w:tcW w:w="0" w:type="auto"/>
            <w:gridSpan w:val="3"/>
            <w:shd w:val="clear" w:color="auto" w:fill="auto"/>
            <w:vAlign w:val="bottom"/>
          </w:tcPr>
          <w:p w14:paraId="5F2D6892" w14:textId="77777777" w:rsidR="00E836FB" w:rsidRDefault="00E836FB">
            <w:pPr>
              <w:rPr>
                <w:rFonts w:ascii="宋体"/>
                <w:vanish/>
              </w:rPr>
            </w:pPr>
          </w:p>
        </w:tc>
        <w:tc>
          <w:tcPr>
            <w:tcW w:w="0" w:type="auto"/>
            <w:gridSpan w:val="3"/>
            <w:shd w:val="clear" w:color="auto" w:fill="auto"/>
            <w:vAlign w:val="bottom"/>
          </w:tcPr>
          <w:p w14:paraId="5F2D6893" w14:textId="77777777" w:rsidR="00E836FB" w:rsidRDefault="00E836FB">
            <w:pPr>
              <w:rPr>
                <w:rFonts w:ascii="宋体"/>
                <w:vanish/>
              </w:rPr>
            </w:pPr>
          </w:p>
        </w:tc>
        <w:tc>
          <w:tcPr>
            <w:tcW w:w="0" w:type="auto"/>
            <w:gridSpan w:val="3"/>
            <w:shd w:val="clear" w:color="auto" w:fill="auto"/>
            <w:vAlign w:val="bottom"/>
          </w:tcPr>
          <w:p w14:paraId="5F2D6894" w14:textId="77777777" w:rsidR="00E836FB" w:rsidRDefault="00E836FB">
            <w:pPr>
              <w:rPr>
                <w:rFonts w:ascii="宋体"/>
                <w:vanish/>
              </w:rPr>
            </w:pPr>
          </w:p>
        </w:tc>
        <w:tc>
          <w:tcPr>
            <w:tcW w:w="0" w:type="auto"/>
            <w:gridSpan w:val="3"/>
            <w:shd w:val="clear" w:color="auto" w:fill="auto"/>
            <w:vAlign w:val="bottom"/>
          </w:tcPr>
          <w:p w14:paraId="5F2D6895" w14:textId="77777777" w:rsidR="00E836FB" w:rsidRDefault="00E836FB">
            <w:pPr>
              <w:rPr>
                <w:rFonts w:ascii="宋体"/>
                <w:vanish/>
              </w:rPr>
            </w:pPr>
          </w:p>
        </w:tc>
      </w:tr>
      <w:tr w:rsidR="00E836FB" w14:paraId="5F2D689B" w14:textId="77777777">
        <w:trPr>
          <w:hidden/>
        </w:trPr>
        <w:tc>
          <w:tcPr>
            <w:tcW w:w="0" w:type="auto"/>
            <w:gridSpan w:val="3"/>
            <w:shd w:val="clear" w:color="auto" w:fill="auto"/>
            <w:vAlign w:val="bottom"/>
          </w:tcPr>
          <w:p w14:paraId="5F2D6897" w14:textId="77777777" w:rsidR="00E836FB" w:rsidRDefault="00E836FB">
            <w:pPr>
              <w:rPr>
                <w:rFonts w:ascii="宋体"/>
                <w:vanish/>
              </w:rPr>
            </w:pPr>
          </w:p>
        </w:tc>
        <w:tc>
          <w:tcPr>
            <w:tcW w:w="0" w:type="auto"/>
            <w:gridSpan w:val="3"/>
            <w:shd w:val="clear" w:color="auto" w:fill="auto"/>
            <w:vAlign w:val="bottom"/>
          </w:tcPr>
          <w:p w14:paraId="5F2D6898" w14:textId="77777777" w:rsidR="00E836FB" w:rsidRDefault="00E836FB">
            <w:pPr>
              <w:rPr>
                <w:rFonts w:ascii="宋体"/>
                <w:vanish/>
              </w:rPr>
            </w:pPr>
          </w:p>
        </w:tc>
        <w:tc>
          <w:tcPr>
            <w:tcW w:w="0" w:type="auto"/>
            <w:gridSpan w:val="3"/>
            <w:shd w:val="clear" w:color="auto" w:fill="auto"/>
            <w:vAlign w:val="bottom"/>
          </w:tcPr>
          <w:p w14:paraId="5F2D6899" w14:textId="77777777" w:rsidR="00E836FB" w:rsidRDefault="00E836FB">
            <w:pPr>
              <w:rPr>
                <w:rFonts w:ascii="宋体"/>
                <w:vanish/>
              </w:rPr>
            </w:pPr>
          </w:p>
        </w:tc>
        <w:tc>
          <w:tcPr>
            <w:tcW w:w="0" w:type="auto"/>
            <w:gridSpan w:val="3"/>
            <w:shd w:val="clear" w:color="auto" w:fill="auto"/>
            <w:vAlign w:val="bottom"/>
          </w:tcPr>
          <w:p w14:paraId="5F2D689A" w14:textId="77777777" w:rsidR="00E836FB" w:rsidRDefault="00E836FB">
            <w:pPr>
              <w:rPr>
                <w:rFonts w:ascii="宋体"/>
                <w:vanish/>
              </w:rPr>
            </w:pPr>
          </w:p>
        </w:tc>
      </w:tr>
      <w:tr w:rsidR="00E836FB" w14:paraId="5F2D68A0" w14:textId="77777777">
        <w:trPr>
          <w:hidden/>
        </w:trPr>
        <w:tc>
          <w:tcPr>
            <w:tcW w:w="0" w:type="auto"/>
            <w:gridSpan w:val="3"/>
            <w:shd w:val="clear" w:color="auto" w:fill="auto"/>
            <w:vAlign w:val="bottom"/>
          </w:tcPr>
          <w:p w14:paraId="5F2D689C" w14:textId="77777777" w:rsidR="00E836FB" w:rsidRDefault="00E836FB">
            <w:pPr>
              <w:rPr>
                <w:rFonts w:ascii="宋体"/>
                <w:vanish/>
              </w:rPr>
            </w:pPr>
          </w:p>
        </w:tc>
        <w:tc>
          <w:tcPr>
            <w:tcW w:w="0" w:type="auto"/>
            <w:gridSpan w:val="3"/>
            <w:shd w:val="clear" w:color="auto" w:fill="auto"/>
            <w:vAlign w:val="bottom"/>
          </w:tcPr>
          <w:p w14:paraId="5F2D689D" w14:textId="77777777" w:rsidR="00E836FB" w:rsidRDefault="00E836FB">
            <w:pPr>
              <w:rPr>
                <w:rFonts w:ascii="宋体"/>
                <w:vanish/>
              </w:rPr>
            </w:pPr>
          </w:p>
        </w:tc>
        <w:tc>
          <w:tcPr>
            <w:tcW w:w="0" w:type="auto"/>
            <w:gridSpan w:val="3"/>
            <w:shd w:val="clear" w:color="auto" w:fill="auto"/>
            <w:vAlign w:val="bottom"/>
          </w:tcPr>
          <w:p w14:paraId="5F2D689E" w14:textId="77777777" w:rsidR="00E836FB" w:rsidRDefault="00E836FB">
            <w:pPr>
              <w:rPr>
                <w:rFonts w:ascii="宋体"/>
                <w:vanish/>
              </w:rPr>
            </w:pPr>
          </w:p>
        </w:tc>
        <w:tc>
          <w:tcPr>
            <w:tcW w:w="0" w:type="auto"/>
            <w:gridSpan w:val="3"/>
            <w:shd w:val="clear" w:color="auto" w:fill="auto"/>
            <w:vAlign w:val="bottom"/>
          </w:tcPr>
          <w:p w14:paraId="5F2D689F" w14:textId="77777777" w:rsidR="00E836FB" w:rsidRDefault="00E836FB">
            <w:pPr>
              <w:rPr>
                <w:rFonts w:ascii="宋体"/>
                <w:vanish/>
              </w:rPr>
            </w:pPr>
          </w:p>
        </w:tc>
      </w:tr>
      <w:tr w:rsidR="00E836FB" w14:paraId="5F2D68A5" w14:textId="77777777">
        <w:trPr>
          <w:hidden/>
        </w:trPr>
        <w:tc>
          <w:tcPr>
            <w:tcW w:w="0" w:type="auto"/>
            <w:gridSpan w:val="3"/>
            <w:shd w:val="clear" w:color="auto" w:fill="auto"/>
            <w:vAlign w:val="bottom"/>
          </w:tcPr>
          <w:p w14:paraId="5F2D68A1" w14:textId="77777777" w:rsidR="00E836FB" w:rsidRDefault="00E836FB">
            <w:pPr>
              <w:rPr>
                <w:rFonts w:ascii="宋体"/>
                <w:vanish/>
              </w:rPr>
            </w:pPr>
          </w:p>
        </w:tc>
        <w:tc>
          <w:tcPr>
            <w:tcW w:w="0" w:type="auto"/>
            <w:gridSpan w:val="3"/>
            <w:shd w:val="clear" w:color="auto" w:fill="auto"/>
            <w:vAlign w:val="bottom"/>
          </w:tcPr>
          <w:p w14:paraId="5F2D68A2" w14:textId="77777777" w:rsidR="00E836FB" w:rsidRDefault="00E836FB">
            <w:pPr>
              <w:rPr>
                <w:rFonts w:ascii="宋体"/>
                <w:vanish/>
              </w:rPr>
            </w:pPr>
          </w:p>
        </w:tc>
        <w:tc>
          <w:tcPr>
            <w:tcW w:w="0" w:type="auto"/>
            <w:gridSpan w:val="3"/>
            <w:shd w:val="clear" w:color="auto" w:fill="auto"/>
            <w:vAlign w:val="bottom"/>
          </w:tcPr>
          <w:p w14:paraId="5F2D68A3" w14:textId="77777777" w:rsidR="00E836FB" w:rsidRDefault="00E836FB">
            <w:pPr>
              <w:rPr>
                <w:rFonts w:ascii="宋体"/>
                <w:vanish/>
              </w:rPr>
            </w:pPr>
          </w:p>
        </w:tc>
        <w:tc>
          <w:tcPr>
            <w:tcW w:w="0" w:type="auto"/>
            <w:gridSpan w:val="3"/>
            <w:shd w:val="clear" w:color="auto" w:fill="auto"/>
            <w:vAlign w:val="bottom"/>
          </w:tcPr>
          <w:p w14:paraId="5F2D68A4" w14:textId="77777777" w:rsidR="00E836FB" w:rsidRDefault="00E836FB">
            <w:pPr>
              <w:rPr>
                <w:rFonts w:ascii="宋体"/>
                <w:vanish/>
              </w:rPr>
            </w:pPr>
          </w:p>
        </w:tc>
      </w:tr>
      <w:tr w:rsidR="00E836FB" w14:paraId="5F2D68AA" w14:textId="77777777">
        <w:trPr>
          <w:hidden/>
        </w:trPr>
        <w:tc>
          <w:tcPr>
            <w:tcW w:w="0" w:type="auto"/>
            <w:gridSpan w:val="3"/>
            <w:shd w:val="clear" w:color="auto" w:fill="auto"/>
            <w:vAlign w:val="bottom"/>
          </w:tcPr>
          <w:p w14:paraId="5F2D68A6" w14:textId="77777777" w:rsidR="00E836FB" w:rsidRDefault="00E836FB">
            <w:pPr>
              <w:rPr>
                <w:rFonts w:ascii="宋体"/>
                <w:vanish/>
              </w:rPr>
            </w:pPr>
          </w:p>
        </w:tc>
        <w:tc>
          <w:tcPr>
            <w:tcW w:w="0" w:type="auto"/>
            <w:gridSpan w:val="3"/>
            <w:shd w:val="clear" w:color="auto" w:fill="auto"/>
            <w:vAlign w:val="bottom"/>
          </w:tcPr>
          <w:p w14:paraId="5F2D68A7" w14:textId="77777777" w:rsidR="00E836FB" w:rsidRDefault="00E836FB">
            <w:pPr>
              <w:rPr>
                <w:rFonts w:ascii="宋体"/>
                <w:vanish/>
              </w:rPr>
            </w:pPr>
          </w:p>
        </w:tc>
        <w:tc>
          <w:tcPr>
            <w:tcW w:w="0" w:type="auto"/>
            <w:gridSpan w:val="3"/>
            <w:shd w:val="clear" w:color="auto" w:fill="auto"/>
            <w:vAlign w:val="bottom"/>
          </w:tcPr>
          <w:p w14:paraId="5F2D68A8" w14:textId="77777777" w:rsidR="00E836FB" w:rsidRDefault="00E836FB">
            <w:pPr>
              <w:rPr>
                <w:rFonts w:ascii="宋体"/>
                <w:vanish/>
              </w:rPr>
            </w:pPr>
          </w:p>
        </w:tc>
        <w:tc>
          <w:tcPr>
            <w:tcW w:w="0" w:type="auto"/>
            <w:gridSpan w:val="3"/>
            <w:shd w:val="clear" w:color="auto" w:fill="auto"/>
            <w:vAlign w:val="bottom"/>
          </w:tcPr>
          <w:p w14:paraId="5F2D68A9" w14:textId="77777777" w:rsidR="00E836FB" w:rsidRDefault="00E836FB">
            <w:pPr>
              <w:rPr>
                <w:rFonts w:ascii="宋体"/>
                <w:vanish/>
              </w:rPr>
            </w:pPr>
          </w:p>
        </w:tc>
      </w:tr>
      <w:tr w:rsidR="00E836FB" w14:paraId="5F2D68AF" w14:textId="77777777">
        <w:trPr>
          <w:hidden/>
        </w:trPr>
        <w:tc>
          <w:tcPr>
            <w:tcW w:w="0" w:type="auto"/>
            <w:gridSpan w:val="3"/>
            <w:shd w:val="clear" w:color="auto" w:fill="auto"/>
            <w:vAlign w:val="bottom"/>
          </w:tcPr>
          <w:p w14:paraId="5F2D68AB" w14:textId="77777777" w:rsidR="00E836FB" w:rsidRDefault="00E836FB">
            <w:pPr>
              <w:rPr>
                <w:rFonts w:ascii="宋体"/>
                <w:vanish/>
              </w:rPr>
            </w:pPr>
          </w:p>
        </w:tc>
        <w:tc>
          <w:tcPr>
            <w:tcW w:w="0" w:type="auto"/>
            <w:gridSpan w:val="3"/>
            <w:shd w:val="clear" w:color="auto" w:fill="auto"/>
            <w:vAlign w:val="bottom"/>
          </w:tcPr>
          <w:p w14:paraId="5F2D68AC" w14:textId="77777777" w:rsidR="00E836FB" w:rsidRDefault="00E836FB">
            <w:pPr>
              <w:rPr>
                <w:rFonts w:ascii="宋体"/>
                <w:vanish/>
              </w:rPr>
            </w:pPr>
          </w:p>
        </w:tc>
        <w:tc>
          <w:tcPr>
            <w:tcW w:w="0" w:type="auto"/>
            <w:gridSpan w:val="3"/>
            <w:shd w:val="clear" w:color="auto" w:fill="auto"/>
            <w:vAlign w:val="bottom"/>
          </w:tcPr>
          <w:p w14:paraId="5F2D68AD" w14:textId="77777777" w:rsidR="00E836FB" w:rsidRDefault="00E836FB">
            <w:pPr>
              <w:rPr>
                <w:rFonts w:ascii="宋体"/>
                <w:vanish/>
              </w:rPr>
            </w:pPr>
          </w:p>
        </w:tc>
        <w:tc>
          <w:tcPr>
            <w:tcW w:w="0" w:type="auto"/>
            <w:gridSpan w:val="3"/>
            <w:shd w:val="clear" w:color="auto" w:fill="auto"/>
            <w:vAlign w:val="bottom"/>
          </w:tcPr>
          <w:p w14:paraId="5F2D68AE" w14:textId="77777777" w:rsidR="00E836FB" w:rsidRDefault="00E836FB">
            <w:pPr>
              <w:rPr>
                <w:rFonts w:ascii="宋体"/>
                <w:vanish/>
              </w:rPr>
            </w:pPr>
          </w:p>
        </w:tc>
      </w:tr>
      <w:tr w:rsidR="00E836FB" w14:paraId="5F2D68B4" w14:textId="77777777">
        <w:trPr>
          <w:hidden/>
        </w:trPr>
        <w:tc>
          <w:tcPr>
            <w:tcW w:w="0" w:type="auto"/>
            <w:gridSpan w:val="3"/>
            <w:shd w:val="clear" w:color="auto" w:fill="auto"/>
            <w:vAlign w:val="bottom"/>
          </w:tcPr>
          <w:p w14:paraId="5F2D68B0" w14:textId="77777777" w:rsidR="00E836FB" w:rsidRDefault="00E836FB">
            <w:pPr>
              <w:rPr>
                <w:rFonts w:ascii="宋体"/>
                <w:vanish/>
              </w:rPr>
            </w:pPr>
          </w:p>
        </w:tc>
        <w:tc>
          <w:tcPr>
            <w:tcW w:w="0" w:type="auto"/>
            <w:gridSpan w:val="3"/>
            <w:shd w:val="clear" w:color="auto" w:fill="auto"/>
            <w:vAlign w:val="bottom"/>
          </w:tcPr>
          <w:p w14:paraId="5F2D68B1" w14:textId="77777777" w:rsidR="00E836FB" w:rsidRDefault="00E836FB">
            <w:pPr>
              <w:rPr>
                <w:rFonts w:ascii="宋体"/>
                <w:vanish/>
              </w:rPr>
            </w:pPr>
          </w:p>
        </w:tc>
        <w:tc>
          <w:tcPr>
            <w:tcW w:w="0" w:type="auto"/>
            <w:gridSpan w:val="3"/>
            <w:shd w:val="clear" w:color="auto" w:fill="auto"/>
            <w:vAlign w:val="bottom"/>
          </w:tcPr>
          <w:p w14:paraId="5F2D68B2" w14:textId="77777777" w:rsidR="00E836FB" w:rsidRDefault="00E836FB">
            <w:pPr>
              <w:rPr>
                <w:rFonts w:ascii="宋体"/>
                <w:vanish/>
              </w:rPr>
            </w:pPr>
          </w:p>
        </w:tc>
        <w:tc>
          <w:tcPr>
            <w:tcW w:w="0" w:type="auto"/>
            <w:gridSpan w:val="3"/>
            <w:shd w:val="clear" w:color="auto" w:fill="auto"/>
            <w:vAlign w:val="bottom"/>
          </w:tcPr>
          <w:p w14:paraId="5F2D68B3" w14:textId="77777777" w:rsidR="00E836FB" w:rsidRDefault="00E836FB">
            <w:pPr>
              <w:rPr>
                <w:rFonts w:ascii="宋体"/>
                <w:vanish/>
              </w:rPr>
            </w:pPr>
          </w:p>
        </w:tc>
      </w:tr>
      <w:tr w:rsidR="00E836FB" w14:paraId="5F2D68B9" w14:textId="77777777">
        <w:trPr>
          <w:hidden/>
        </w:trPr>
        <w:tc>
          <w:tcPr>
            <w:tcW w:w="0" w:type="auto"/>
            <w:gridSpan w:val="3"/>
            <w:shd w:val="clear" w:color="auto" w:fill="auto"/>
            <w:vAlign w:val="bottom"/>
          </w:tcPr>
          <w:p w14:paraId="5F2D68B5" w14:textId="77777777" w:rsidR="00E836FB" w:rsidRDefault="00E836FB">
            <w:pPr>
              <w:rPr>
                <w:rFonts w:ascii="宋体"/>
                <w:vanish/>
              </w:rPr>
            </w:pPr>
          </w:p>
        </w:tc>
        <w:tc>
          <w:tcPr>
            <w:tcW w:w="0" w:type="auto"/>
            <w:gridSpan w:val="3"/>
            <w:shd w:val="clear" w:color="auto" w:fill="auto"/>
            <w:vAlign w:val="bottom"/>
          </w:tcPr>
          <w:p w14:paraId="5F2D68B6" w14:textId="77777777" w:rsidR="00E836FB" w:rsidRDefault="00E836FB">
            <w:pPr>
              <w:rPr>
                <w:rFonts w:ascii="宋体"/>
                <w:vanish/>
              </w:rPr>
            </w:pPr>
          </w:p>
        </w:tc>
        <w:tc>
          <w:tcPr>
            <w:tcW w:w="0" w:type="auto"/>
            <w:gridSpan w:val="3"/>
            <w:shd w:val="clear" w:color="auto" w:fill="auto"/>
            <w:vAlign w:val="bottom"/>
          </w:tcPr>
          <w:p w14:paraId="5F2D68B7" w14:textId="77777777" w:rsidR="00E836FB" w:rsidRDefault="00E836FB">
            <w:pPr>
              <w:rPr>
                <w:rFonts w:ascii="宋体"/>
                <w:vanish/>
              </w:rPr>
            </w:pPr>
          </w:p>
        </w:tc>
        <w:tc>
          <w:tcPr>
            <w:tcW w:w="0" w:type="auto"/>
            <w:gridSpan w:val="3"/>
            <w:shd w:val="clear" w:color="auto" w:fill="auto"/>
            <w:vAlign w:val="bottom"/>
          </w:tcPr>
          <w:p w14:paraId="5F2D68B8" w14:textId="77777777" w:rsidR="00E836FB" w:rsidRDefault="00E836FB">
            <w:pPr>
              <w:rPr>
                <w:rFonts w:ascii="宋体"/>
                <w:vanish/>
              </w:rPr>
            </w:pPr>
          </w:p>
        </w:tc>
      </w:tr>
      <w:tr w:rsidR="00E836FB" w14:paraId="5F2D68BE" w14:textId="77777777">
        <w:trPr>
          <w:hidden/>
        </w:trPr>
        <w:tc>
          <w:tcPr>
            <w:tcW w:w="0" w:type="auto"/>
            <w:gridSpan w:val="3"/>
            <w:shd w:val="clear" w:color="auto" w:fill="auto"/>
            <w:vAlign w:val="bottom"/>
          </w:tcPr>
          <w:p w14:paraId="5F2D68BA" w14:textId="77777777" w:rsidR="00E836FB" w:rsidRDefault="00E836FB">
            <w:pPr>
              <w:rPr>
                <w:rFonts w:ascii="宋体"/>
                <w:vanish/>
              </w:rPr>
            </w:pPr>
          </w:p>
        </w:tc>
        <w:tc>
          <w:tcPr>
            <w:tcW w:w="0" w:type="auto"/>
            <w:gridSpan w:val="3"/>
            <w:shd w:val="clear" w:color="auto" w:fill="auto"/>
            <w:vAlign w:val="bottom"/>
          </w:tcPr>
          <w:p w14:paraId="5F2D68BB" w14:textId="77777777" w:rsidR="00E836FB" w:rsidRDefault="00E836FB">
            <w:pPr>
              <w:rPr>
                <w:rFonts w:ascii="宋体"/>
                <w:vanish/>
              </w:rPr>
            </w:pPr>
          </w:p>
        </w:tc>
        <w:tc>
          <w:tcPr>
            <w:tcW w:w="0" w:type="auto"/>
            <w:gridSpan w:val="3"/>
            <w:shd w:val="clear" w:color="auto" w:fill="auto"/>
            <w:vAlign w:val="bottom"/>
          </w:tcPr>
          <w:p w14:paraId="5F2D68BC" w14:textId="77777777" w:rsidR="00E836FB" w:rsidRDefault="00E836FB">
            <w:pPr>
              <w:rPr>
                <w:rFonts w:ascii="宋体"/>
                <w:vanish/>
              </w:rPr>
            </w:pPr>
          </w:p>
        </w:tc>
        <w:tc>
          <w:tcPr>
            <w:tcW w:w="0" w:type="auto"/>
            <w:gridSpan w:val="3"/>
            <w:shd w:val="clear" w:color="auto" w:fill="auto"/>
            <w:vAlign w:val="bottom"/>
          </w:tcPr>
          <w:p w14:paraId="5F2D68BD" w14:textId="77777777" w:rsidR="00E836FB" w:rsidRDefault="00E836FB">
            <w:pPr>
              <w:rPr>
                <w:rFonts w:ascii="宋体"/>
                <w:vanish/>
              </w:rPr>
            </w:pPr>
          </w:p>
        </w:tc>
      </w:tr>
      <w:tr w:rsidR="00E836FB" w14:paraId="5F2D68C3" w14:textId="77777777">
        <w:trPr>
          <w:hidden/>
        </w:trPr>
        <w:tc>
          <w:tcPr>
            <w:tcW w:w="0" w:type="auto"/>
            <w:gridSpan w:val="3"/>
            <w:shd w:val="clear" w:color="auto" w:fill="auto"/>
            <w:vAlign w:val="bottom"/>
          </w:tcPr>
          <w:p w14:paraId="5F2D68BF" w14:textId="77777777" w:rsidR="00E836FB" w:rsidRDefault="00E836FB">
            <w:pPr>
              <w:rPr>
                <w:rFonts w:ascii="宋体"/>
                <w:vanish/>
              </w:rPr>
            </w:pPr>
          </w:p>
        </w:tc>
        <w:tc>
          <w:tcPr>
            <w:tcW w:w="0" w:type="auto"/>
            <w:gridSpan w:val="3"/>
            <w:shd w:val="clear" w:color="auto" w:fill="auto"/>
            <w:vAlign w:val="bottom"/>
          </w:tcPr>
          <w:p w14:paraId="5F2D68C0" w14:textId="77777777" w:rsidR="00E836FB" w:rsidRDefault="00E836FB">
            <w:pPr>
              <w:rPr>
                <w:rFonts w:ascii="宋体"/>
                <w:vanish/>
              </w:rPr>
            </w:pPr>
          </w:p>
        </w:tc>
        <w:tc>
          <w:tcPr>
            <w:tcW w:w="0" w:type="auto"/>
            <w:gridSpan w:val="3"/>
            <w:shd w:val="clear" w:color="auto" w:fill="auto"/>
            <w:vAlign w:val="bottom"/>
          </w:tcPr>
          <w:p w14:paraId="5F2D68C1" w14:textId="77777777" w:rsidR="00E836FB" w:rsidRDefault="00E836FB">
            <w:pPr>
              <w:rPr>
                <w:rFonts w:ascii="宋体"/>
                <w:vanish/>
              </w:rPr>
            </w:pPr>
          </w:p>
        </w:tc>
        <w:tc>
          <w:tcPr>
            <w:tcW w:w="0" w:type="auto"/>
            <w:gridSpan w:val="3"/>
            <w:shd w:val="clear" w:color="auto" w:fill="auto"/>
            <w:vAlign w:val="bottom"/>
          </w:tcPr>
          <w:p w14:paraId="5F2D68C2" w14:textId="77777777" w:rsidR="00E836FB" w:rsidRDefault="00E836FB">
            <w:pPr>
              <w:rPr>
                <w:rFonts w:ascii="宋体"/>
                <w:vanish/>
              </w:rPr>
            </w:pPr>
          </w:p>
        </w:tc>
      </w:tr>
      <w:tr w:rsidR="00E836FB" w14:paraId="5F2D68C8" w14:textId="77777777">
        <w:trPr>
          <w:hidden/>
        </w:trPr>
        <w:tc>
          <w:tcPr>
            <w:tcW w:w="0" w:type="auto"/>
            <w:gridSpan w:val="3"/>
            <w:shd w:val="clear" w:color="auto" w:fill="auto"/>
            <w:vAlign w:val="bottom"/>
          </w:tcPr>
          <w:p w14:paraId="5F2D68C4" w14:textId="77777777" w:rsidR="00E836FB" w:rsidRDefault="00E836FB">
            <w:pPr>
              <w:rPr>
                <w:rFonts w:ascii="宋体"/>
                <w:vanish/>
              </w:rPr>
            </w:pPr>
          </w:p>
        </w:tc>
        <w:tc>
          <w:tcPr>
            <w:tcW w:w="0" w:type="auto"/>
            <w:gridSpan w:val="3"/>
            <w:shd w:val="clear" w:color="auto" w:fill="auto"/>
            <w:vAlign w:val="bottom"/>
          </w:tcPr>
          <w:p w14:paraId="5F2D68C5" w14:textId="77777777" w:rsidR="00E836FB" w:rsidRDefault="00E836FB">
            <w:pPr>
              <w:rPr>
                <w:rFonts w:ascii="宋体"/>
                <w:vanish/>
              </w:rPr>
            </w:pPr>
          </w:p>
        </w:tc>
        <w:tc>
          <w:tcPr>
            <w:tcW w:w="0" w:type="auto"/>
            <w:gridSpan w:val="3"/>
            <w:shd w:val="clear" w:color="auto" w:fill="auto"/>
            <w:vAlign w:val="bottom"/>
          </w:tcPr>
          <w:p w14:paraId="5F2D68C6" w14:textId="77777777" w:rsidR="00E836FB" w:rsidRDefault="00E836FB">
            <w:pPr>
              <w:rPr>
                <w:rFonts w:ascii="宋体"/>
                <w:vanish/>
              </w:rPr>
            </w:pPr>
          </w:p>
        </w:tc>
        <w:tc>
          <w:tcPr>
            <w:tcW w:w="0" w:type="auto"/>
            <w:gridSpan w:val="3"/>
            <w:shd w:val="clear" w:color="auto" w:fill="auto"/>
            <w:vAlign w:val="bottom"/>
          </w:tcPr>
          <w:p w14:paraId="5F2D68C7" w14:textId="77777777" w:rsidR="00E836FB" w:rsidRDefault="00E836FB">
            <w:pPr>
              <w:rPr>
                <w:rFonts w:ascii="宋体"/>
                <w:vanish/>
              </w:rPr>
            </w:pPr>
          </w:p>
        </w:tc>
      </w:tr>
      <w:tr w:rsidR="00E836FB" w14:paraId="5F2D68CD" w14:textId="77777777">
        <w:trPr>
          <w:hidden/>
        </w:trPr>
        <w:tc>
          <w:tcPr>
            <w:tcW w:w="0" w:type="auto"/>
            <w:gridSpan w:val="3"/>
            <w:shd w:val="clear" w:color="auto" w:fill="auto"/>
            <w:vAlign w:val="bottom"/>
          </w:tcPr>
          <w:p w14:paraId="5F2D68C9" w14:textId="77777777" w:rsidR="00E836FB" w:rsidRDefault="00E836FB">
            <w:pPr>
              <w:rPr>
                <w:rFonts w:ascii="宋体"/>
                <w:vanish/>
              </w:rPr>
            </w:pPr>
          </w:p>
        </w:tc>
        <w:tc>
          <w:tcPr>
            <w:tcW w:w="0" w:type="auto"/>
            <w:gridSpan w:val="3"/>
            <w:shd w:val="clear" w:color="auto" w:fill="auto"/>
            <w:vAlign w:val="bottom"/>
          </w:tcPr>
          <w:p w14:paraId="5F2D68CA" w14:textId="77777777" w:rsidR="00E836FB" w:rsidRDefault="00E836FB">
            <w:pPr>
              <w:rPr>
                <w:rFonts w:ascii="宋体"/>
                <w:vanish/>
              </w:rPr>
            </w:pPr>
          </w:p>
        </w:tc>
        <w:tc>
          <w:tcPr>
            <w:tcW w:w="0" w:type="auto"/>
            <w:gridSpan w:val="3"/>
            <w:shd w:val="clear" w:color="auto" w:fill="auto"/>
            <w:vAlign w:val="bottom"/>
          </w:tcPr>
          <w:p w14:paraId="5F2D68CB" w14:textId="77777777" w:rsidR="00E836FB" w:rsidRDefault="00E836FB">
            <w:pPr>
              <w:rPr>
                <w:rFonts w:ascii="宋体"/>
                <w:vanish/>
              </w:rPr>
            </w:pPr>
          </w:p>
        </w:tc>
        <w:tc>
          <w:tcPr>
            <w:tcW w:w="0" w:type="auto"/>
            <w:gridSpan w:val="3"/>
            <w:shd w:val="clear" w:color="auto" w:fill="auto"/>
            <w:vAlign w:val="bottom"/>
          </w:tcPr>
          <w:p w14:paraId="5F2D68CC" w14:textId="77777777" w:rsidR="00E836FB" w:rsidRDefault="00E836FB">
            <w:pPr>
              <w:rPr>
                <w:rFonts w:ascii="宋体"/>
                <w:vanish/>
              </w:rPr>
            </w:pPr>
          </w:p>
        </w:tc>
      </w:tr>
      <w:tr w:rsidR="00E836FB" w14:paraId="5F2D68D2" w14:textId="77777777">
        <w:trPr>
          <w:hidden/>
        </w:trPr>
        <w:tc>
          <w:tcPr>
            <w:tcW w:w="0" w:type="auto"/>
            <w:gridSpan w:val="3"/>
            <w:shd w:val="clear" w:color="auto" w:fill="auto"/>
            <w:vAlign w:val="bottom"/>
          </w:tcPr>
          <w:p w14:paraId="5F2D68CE" w14:textId="77777777" w:rsidR="00E836FB" w:rsidRDefault="00E836FB">
            <w:pPr>
              <w:rPr>
                <w:rFonts w:ascii="宋体"/>
                <w:vanish/>
              </w:rPr>
            </w:pPr>
          </w:p>
        </w:tc>
        <w:tc>
          <w:tcPr>
            <w:tcW w:w="0" w:type="auto"/>
            <w:gridSpan w:val="3"/>
            <w:shd w:val="clear" w:color="auto" w:fill="auto"/>
            <w:vAlign w:val="bottom"/>
          </w:tcPr>
          <w:p w14:paraId="5F2D68CF" w14:textId="77777777" w:rsidR="00E836FB" w:rsidRDefault="00E836FB">
            <w:pPr>
              <w:rPr>
                <w:rFonts w:ascii="宋体"/>
                <w:vanish/>
              </w:rPr>
            </w:pPr>
          </w:p>
        </w:tc>
        <w:tc>
          <w:tcPr>
            <w:tcW w:w="0" w:type="auto"/>
            <w:gridSpan w:val="3"/>
            <w:shd w:val="clear" w:color="auto" w:fill="auto"/>
            <w:vAlign w:val="bottom"/>
          </w:tcPr>
          <w:p w14:paraId="5F2D68D0" w14:textId="77777777" w:rsidR="00E836FB" w:rsidRDefault="00E836FB">
            <w:pPr>
              <w:rPr>
                <w:rFonts w:ascii="宋体"/>
                <w:vanish/>
              </w:rPr>
            </w:pPr>
          </w:p>
        </w:tc>
        <w:tc>
          <w:tcPr>
            <w:tcW w:w="0" w:type="auto"/>
            <w:gridSpan w:val="3"/>
            <w:shd w:val="clear" w:color="auto" w:fill="auto"/>
            <w:vAlign w:val="bottom"/>
          </w:tcPr>
          <w:p w14:paraId="5F2D68D1" w14:textId="77777777" w:rsidR="00E836FB" w:rsidRDefault="00E836FB">
            <w:pPr>
              <w:rPr>
                <w:rFonts w:ascii="宋体"/>
                <w:vanish/>
              </w:rPr>
            </w:pPr>
          </w:p>
        </w:tc>
      </w:tr>
      <w:tr w:rsidR="00E836FB" w14:paraId="5F2D68D7" w14:textId="77777777">
        <w:trPr>
          <w:hidden/>
        </w:trPr>
        <w:tc>
          <w:tcPr>
            <w:tcW w:w="0" w:type="auto"/>
            <w:gridSpan w:val="3"/>
            <w:shd w:val="clear" w:color="auto" w:fill="auto"/>
            <w:vAlign w:val="bottom"/>
          </w:tcPr>
          <w:p w14:paraId="5F2D68D3" w14:textId="77777777" w:rsidR="00E836FB" w:rsidRDefault="00E836FB">
            <w:pPr>
              <w:rPr>
                <w:rFonts w:ascii="宋体"/>
                <w:vanish/>
              </w:rPr>
            </w:pPr>
          </w:p>
        </w:tc>
        <w:tc>
          <w:tcPr>
            <w:tcW w:w="0" w:type="auto"/>
            <w:gridSpan w:val="3"/>
            <w:shd w:val="clear" w:color="auto" w:fill="auto"/>
            <w:vAlign w:val="bottom"/>
          </w:tcPr>
          <w:p w14:paraId="5F2D68D4" w14:textId="77777777" w:rsidR="00E836FB" w:rsidRDefault="00E836FB">
            <w:pPr>
              <w:rPr>
                <w:rFonts w:ascii="宋体"/>
                <w:vanish/>
              </w:rPr>
            </w:pPr>
          </w:p>
        </w:tc>
        <w:tc>
          <w:tcPr>
            <w:tcW w:w="0" w:type="auto"/>
            <w:gridSpan w:val="3"/>
            <w:shd w:val="clear" w:color="auto" w:fill="auto"/>
            <w:vAlign w:val="bottom"/>
          </w:tcPr>
          <w:p w14:paraId="5F2D68D5" w14:textId="77777777" w:rsidR="00E836FB" w:rsidRDefault="00E836FB">
            <w:pPr>
              <w:rPr>
                <w:rFonts w:ascii="宋体"/>
                <w:vanish/>
              </w:rPr>
            </w:pPr>
          </w:p>
        </w:tc>
        <w:tc>
          <w:tcPr>
            <w:tcW w:w="0" w:type="auto"/>
            <w:gridSpan w:val="3"/>
            <w:shd w:val="clear" w:color="auto" w:fill="auto"/>
            <w:vAlign w:val="bottom"/>
          </w:tcPr>
          <w:p w14:paraId="5F2D68D6" w14:textId="77777777" w:rsidR="00E836FB" w:rsidRDefault="00E836FB">
            <w:pPr>
              <w:rPr>
                <w:rFonts w:ascii="宋体"/>
                <w:vanish/>
              </w:rPr>
            </w:pPr>
          </w:p>
        </w:tc>
      </w:tr>
      <w:tr w:rsidR="00E836FB" w14:paraId="5F2D68DC" w14:textId="77777777">
        <w:trPr>
          <w:hidden/>
        </w:trPr>
        <w:tc>
          <w:tcPr>
            <w:tcW w:w="0" w:type="auto"/>
            <w:gridSpan w:val="3"/>
            <w:shd w:val="clear" w:color="auto" w:fill="auto"/>
            <w:vAlign w:val="bottom"/>
          </w:tcPr>
          <w:p w14:paraId="5F2D68D8" w14:textId="77777777" w:rsidR="00E836FB" w:rsidRDefault="00E836FB">
            <w:pPr>
              <w:rPr>
                <w:rFonts w:ascii="宋体"/>
                <w:vanish/>
              </w:rPr>
            </w:pPr>
          </w:p>
        </w:tc>
        <w:tc>
          <w:tcPr>
            <w:tcW w:w="0" w:type="auto"/>
            <w:gridSpan w:val="3"/>
            <w:shd w:val="clear" w:color="auto" w:fill="auto"/>
            <w:vAlign w:val="bottom"/>
          </w:tcPr>
          <w:p w14:paraId="5F2D68D9" w14:textId="77777777" w:rsidR="00E836FB" w:rsidRDefault="00E836FB">
            <w:pPr>
              <w:rPr>
                <w:rFonts w:ascii="宋体"/>
                <w:vanish/>
              </w:rPr>
            </w:pPr>
          </w:p>
        </w:tc>
        <w:tc>
          <w:tcPr>
            <w:tcW w:w="0" w:type="auto"/>
            <w:gridSpan w:val="3"/>
            <w:shd w:val="clear" w:color="auto" w:fill="auto"/>
            <w:vAlign w:val="bottom"/>
          </w:tcPr>
          <w:p w14:paraId="5F2D68DA" w14:textId="77777777" w:rsidR="00E836FB" w:rsidRDefault="00E836FB">
            <w:pPr>
              <w:rPr>
                <w:rFonts w:ascii="宋体"/>
                <w:vanish/>
              </w:rPr>
            </w:pPr>
          </w:p>
        </w:tc>
        <w:tc>
          <w:tcPr>
            <w:tcW w:w="0" w:type="auto"/>
            <w:gridSpan w:val="3"/>
            <w:shd w:val="clear" w:color="auto" w:fill="auto"/>
            <w:vAlign w:val="bottom"/>
          </w:tcPr>
          <w:p w14:paraId="5F2D68DB" w14:textId="77777777" w:rsidR="00E836FB" w:rsidRDefault="00E836FB">
            <w:pPr>
              <w:rPr>
                <w:rFonts w:ascii="宋体"/>
                <w:vanish/>
              </w:rPr>
            </w:pPr>
          </w:p>
        </w:tc>
      </w:tr>
      <w:tr w:rsidR="00E836FB" w14:paraId="5F2D68E1" w14:textId="77777777">
        <w:trPr>
          <w:hidden/>
        </w:trPr>
        <w:tc>
          <w:tcPr>
            <w:tcW w:w="0" w:type="auto"/>
            <w:gridSpan w:val="3"/>
            <w:shd w:val="clear" w:color="auto" w:fill="auto"/>
            <w:vAlign w:val="bottom"/>
          </w:tcPr>
          <w:p w14:paraId="5F2D68DD" w14:textId="77777777" w:rsidR="00E836FB" w:rsidRDefault="00E836FB">
            <w:pPr>
              <w:rPr>
                <w:rFonts w:ascii="宋体"/>
                <w:vanish/>
              </w:rPr>
            </w:pPr>
          </w:p>
        </w:tc>
        <w:tc>
          <w:tcPr>
            <w:tcW w:w="0" w:type="auto"/>
            <w:gridSpan w:val="3"/>
            <w:shd w:val="clear" w:color="auto" w:fill="auto"/>
            <w:vAlign w:val="bottom"/>
          </w:tcPr>
          <w:p w14:paraId="5F2D68DE" w14:textId="77777777" w:rsidR="00E836FB" w:rsidRDefault="00E836FB">
            <w:pPr>
              <w:rPr>
                <w:rFonts w:ascii="宋体"/>
                <w:vanish/>
              </w:rPr>
            </w:pPr>
          </w:p>
        </w:tc>
        <w:tc>
          <w:tcPr>
            <w:tcW w:w="0" w:type="auto"/>
            <w:gridSpan w:val="3"/>
            <w:shd w:val="clear" w:color="auto" w:fill="auto"/>
            <w:vAlign w:val="bottom"/>
          </w:tcPr>
          <w:p w14:paraId="5F2D68DF" w14:textId="77777777" w:rsidR="00E836FB" w:rsidRDefault="00E836FB">
            <w:pPr>
              <w:rPr>
                <w:rFonts w:ascii="宋体"/>
                <w:vanish/>
              </w:rPr>
            </w:pPr>
          </w:p>
        </w:tc>
        <w:tc>
          <w:tcPr>
            <w:tcW w:w="0" w:type="auto"/>
            <w:gridSpan w:val="3"/>
            <w:shd w:val="clear" w:color="auto" w:fill="auto"/>
            <w:vAlign w:val="bottom"/>
          </w:tcPr>
          <w:p w14:paraId="5F2D68E0" w14:textId="77777777" w:rsidR="00E836FB" w:rsidRDefault="00E836FB">
            <w:pPr>
              <w:rPr>
                <w:rFonts w:ascii="宋体"/>
                <w:vanish/>
              </w:rPr>
            </w:pPr>
          </w:p>
        </w:tc>
      </w:tr>
      <w:tr w:rsidR="00E836FB" w14:paraId="5F2D68E6" w14:textId="77777777">
        <w:trPr>
          <w:hidden/>
        </w:trPr>
        <w:tc>
          <w:tcPr>
            <w:tcW w:w="0" w:type="auto"/>
            <w:gridSpan w:val="3"/>
            <w:shd w:val="clear" w:color="auto" w:fill="auto"/>
            <w:vAlign w:val="bottom"/>
          </w:tcPr>
          <w:p w14:paraId="5F2D68E2" w14:textId="77777777" w:rsidR="00E836FB" w:rsidRDefault="00E836FB">
            <w:pPr>
              <w:rPr>
                <w:rFonts w:ascii="宋体"/>
                <w:vanish/>
              </w:rPr>
            </w:pPr>
          </w:p>
        </w:tc>
        <w:tc>
          <w:tcPr>
            <w:tcW w:w="0" w:type="auto"/>
            <w:gridSpan w:val="3"/>
            <w:shd w:val="clear" w:color="auto" w:fill="auto"/>
            <w:vAlign w:val="bottom"/>
          </w:tcPr>
          <w:p w14:paraId="5F2D68E3" w14:textId="77777777" w:rsidR="00E836FB" w:rsidRDefault="00E836FB">
            <w:pPr>
              <w:rPr>
                <w:rFonts w:ascii="宋体"/>
                <w:vanish/>
              </w:rPr>
            </w:pPr>
          </w:p>
        </w:tc>
        <w:tc>
          <w:tcPr>
            <w:tcW w:w="0" w:type="auto"/>
            <w:gridSpan w:val="3"/>
            <w:shd w:val="clear" w:color="auto" w:fill="auto"/>
            <w:vAlign w:val="bottom"/>
          </w:tcPr>
          <w:p w14:paraId="5F2D68E4" w14:textId="77777777" w:rsidR="00E836FB" w:rsidRDefault="00E836FB">
            <w:pPr>
              <w:rPr>
                <w:rFonts w:ascii="宋体"/>
                <w:vanish/>
              </w:rPr>
            </w:pPr>
          </w:p>
        </w:tc>
        <w:tc>
          <w:tcPr>
            <w:tcW w:w="0" w:type="auto"/>
            <w:gridSpan w:val="3"/>
            <w:shd w:val="clear" w:color="auto" w:fill="auto"/>
            <w:vAlign w:val="bottom"/>
          </w:tcPr>
          <w:p w14:paraId="5F2D68E5" w14:textId="77777777" w:rsidR="00E836FB" w:rsidRDefault="00E836FB">
            <w:pPr>
              <w:rPr>
                <w:rFonts w:ascii="宋体"/>
                <w:vanish/>
              </w:rPr>
            </w:pPr>
          </w:p>
        </w:tc>
      </w:tr>
      <w:tr w:rsidR="00E836FB" w14:paraId="5F2D68EB" w14:textId="77777777">
        <w:trPr>
          <w:hidden/>
        </w:trPr>
        <w:tc>
          <w:tcPr>
            <w:tcW w:w="0" w:type="auto"/>
            <w:gridSpan w:val="3"/>
            <w:shd w:val="clear" w:color="auto" w:fill="auto"/>
            <w:vAlign w:val="bottom"/>
          </w:tcPr>
          <w:p w14:paraId="5F2D68E7" w14:textId="77777777" w:rsidR="00E836FB" w:rsidRDefault="00E836FB">
            <w:pPr>
              <w:rPr>
                <w:rFonts w:ascii="宋体"/>
                <w:vanish/>
              </w:rPr>
            </w:pPr>
          </w:p>
        </w:tc>
        <w:tc>
          <w:tcPr>
            <w:tcW w:w="0" w:type="auto"/>
            <w:gridSpan w:val="3"/>
            <w:shd w:val="clear" w:color="auto" w:fill="auto"/>
            <w:vAlign w:val="bottom"/>
          </w:tcPr>
          <w:p w14:paraId="5F2D68E8" w14:textId="77777777" w:rsidR="00E836FB" w:rsidRDefault="00E836FB">
            <w:pPr>
              <w:rPr>
                <w:rFonts w:ascii="宋体"/>
                <w:vanish/>
              </w:rPr>
            </w:pPr>
          </w:p>
        </w:tc>
        <w:tc>
          <w:tcPr>
            <w:tcW w:w="0" w:type="auto"/>
            <w:gridSpan w:val="3"/>
            <w:shd w:val="clear" w:color="auto" w:fill="auto"/>
            <w:vAlign w:val="bottom"/>
          </w:tcPr>
          <w:p w14:paraId="5F2D68E9" w14:textId="77777777" w:rsidR="00E836FB" w:rsidRDefault="00E836FB">
            <w:pPr>
              <w:rPr>
                <w:rFonts w:ascii="宋体"/>
                <w:vanish/>
              </w:rPr>
            </w:pPr>
          </w:p>
        </w:tc>
        <w:tc>
          <w:tcPr>
            <w:tcW w:w="0" w:type="auto"/>
            <w:gridSpan w:val="3"/>
            <w:shd w:val="clear" w:color="auto" w:fill="auto"/>
            <w:vAlign w:val="bottom"/>
          </w:tcPr>
          <w:p w14:paraId="5F2D68EA" w14:textId="77777777" w:rsidR="00E836FB" w:rsidRDefault="00E836FB">
            <w:pPr>
              <w:rPr>
                <w:rFonts w:ascii="宋体"/>
                <w:vanish/>
              </w:rPr>
            </w:pPr>
          </w:p>
        </w:tc>
      </w:tr>
      <w:tr w:rsidR="00E836FB" w14:paraId="5F2D68F0" w14:textId="77777777">
        <w:trPr>
          <w:hidden/>
        </w:trPr>
        <w:tc>
          <w:tcPr>
            <w:tcW w:w="0" w:type="auto"/>
            <w:gridSpan w:val="3"/>
            <w:shd w:val="clear" w:color="auto" w:fill="auto"/>
            <w:vAlign w:val="bottom"/>
          </w:tcPr>
          <w:p w14:paraId="5F2D68EC" w14:textId="77777777" w:rsidR="00E836FB" w:rsidRDefault="00E836FB">
            <w:pPr>
              <w:rPr>
                <w:rFonts w:ascii="宋体"/>
                <w:vanish/>
              </w:rPr>
            </w:pPr>
          </w:p>
        </w:tc>
        <w:tc>
          <w:tcPr>
            <w:tcW w:w="0" w:type="auto"/>
            <w:gridSpan w:val="3"/>
            <w:shd w:val="clear" w:color="auto" w:fill="auto"/>
            <w:vAlign w:val="bottom"/>
          </w:tcPr>
          <w:p w14:paraId="5F2D68ED" w14:textId="77777777" w:rsidR="00E836FB" w:rsidRDefault="00E836FB">
            <w:pPr>
              <w:rPr>
                <w:rFonts w:ascii="宋体"/>
                <w:vanish/>
              </w:rPr>
            </w:pPr>
          </w:p>
        </w:tc>
        <w:tc>
          <w:tcPr>
            <w:tcW w:w="0" w:type="auto"/>
            <w:gridSpan w:val="3"/>
            <w:shd w:val="clear" w:color="auto" w:fill="auto"/>
            <w:vAlign w:val="bottom"/>
          </w:tcPr>
          <w:p w14:paraId="5F2D68EE" w14:textId="77777777" w:rsidR="00E836FB" w:rsidRDefault="00E836FB">
            <w:pPr>
              <w:rPr>
                <w:rFonts w:ascii="宋体"/>
                <w:vanish/>
              </w:rPr>
            </w:pPr>
          </w:p>
        </w:tc>
        <w:tc>
          <w:tcPr>
            <w:tcW w:w="0" w:type="auto"/>
            <w:gridSpan w:val="3"/>
            <w:shd w:val="clear" w:color="auto" w:fill="auto"/>
            <w:vAlign w:val="bottom"/>
          </w:tcPr>
          <w:p w14:paraId="5F2D68EF" w14:textId="77777777" w:rsidR="00E836FB" w:rsidRDefault="00E836FB">
            <w:pPr>
              <w:rPr>
                <w:rFonts w:ascii="宋体"/>
                <w:vanish/>
              </w:rPr>
            </w:pPr>
          </w:p>
        </w:tc>
      </w:tr>
      <w:tr w:rsidR="00E836FB" w14:paraId="5F2D68F5" w14:textId="77777777">
        <w:trPr>
          <w:hidden/>
        </w:trPr>
        <w:tc>
          <w:tcPr>
            <w:tcW w:w="0" w:type="auto"/>
            <w:gridSpan w:val="3"/>
            <w:shd w:val="clear" w:color="auto" w:fill="auto"/>
            <w:vAlign w:val="bottom"/>
          </w:tcPr>
          <w:p w14:paraId="5F2D68F1" w14:textId="77777777" w:rsidR="00E836FB" w:rsidRDefault="00E836FB">
            <w:pPr>
              <w:rPr>
                <w:rFonts w:ascii="宋体"/>
                <w:vanish/>
              </w:rPr>
            </w:pPr>
          </w:p>
        </w:tc>
        <w:tc>
          <w:tcPr>
            <w:tcW w:w="0" w:type="auto"/>
            <w:gridSpan w:val="3"/>
            <w:shd w:val="clear" w:color="auto" w:fill="auto"/>
            <w:vAlign w:val="bottom"/>
          </w:tcPr>
          <w:p w14:paraId="5F2D68F2" w14:textId="77777777" w:rsidR="00E836FB" w:rsidRDefault="00E836FB">
            <w:pPr>
              <w:rPr>
                <w:rFonts w:ascii="宋体"/>
                <w:vanish/>
              </w:rPr>
            </w:pPr>
          </w:p>
        </w:tc>
        <w:tc>
          <w:tcPr>
            <w:tcW w:w="0" w:type="auto"/>
            <w:gridSpan w:val="3"/>
            <w:shd w:val="clear" w:color="auto" w:fill="auto"/>
            <w:vAlign w:val="bottom"/>
          </w:tcPr>
          <w:p w14:paraId="5F2D68F3" w14:textId="77777777" w:rsidR="00E836FB" w:rsidRDefault="00E836FB">
            <w:pPr>
              <w:rPr>
                <w:rFonts w:ascii="宋体"/>
                <w:vanish/>
              </w:rPr>
            </w:pPr>
          </w:p>
        </w:tc>
        <w:tc>
          <w:tcPr>
            <w:tcW w:w="0" w:type="auto"/>
            <w:gridSpan w:val="3"/>
            <w:shd w:val="clear" w:color="auto" w:fill="auto"/>
            <w:vAlign w:val="bottom"/>
          </w:tcPr>
          <w:p w14:paraId="5F2D68F4" w14:textId="77777777" w:rsidR="00E836FB" w:rsidRDefault="00E836FB">
            <w:pPr>
              <w:rPr>
                <w:rFonts w:ascii="宋体"/>
                <w:vanish/>
              </w:rPr>
            </w:pPr>
          </w:p>
        </w:tc>
      </w:tr>
    </w:tbl>
    <w:p w14:paraId="5F2D68F6" w14:textId="77777777" w:rsidR="00E836FB" w:rsidRDefault="00E83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E836FB" w14:paraId="5F2D6900" w14:textId="77777777">
        <w:tc>
          <w:tcPr>
            <w:tcW w:w="50" w:type="pct"/>
            <w:shd w:val="clear" w:color="auto" w:fill="auto"/>
            <w:vAlign w:val="bottom"/>
          </w:tcPr>
          <w:p w14:paraId="5F2D68F7" w14:textId="77777777" w:rsidR="00E836FB" w:rsidRDefault="00E836FB">
            <w:pPr>
              <w:rPr>
                <w:rFonts w:ascii="宋体"/>
              </w:rPr>
            </w:pPr>
          </w:p>
        </w:tc>
        <w:tc>
          <w:tcPr>
            <w:tcW w:w="1348" w:type="pct"/>
            <w:shd w:val="clear" w:color="auto" w:fill="auto"/>
            <w:vAlign w:val="bottom"/>
          </w:tcPr>
          <w:p w14:paraId="5F2D68F8" w14:textId="77777777" w:rsidR="00E836FB" w:rsidRDefault="00E836FB">
            <w:pPr>
              <w:rPr>
                <w:rFonts w:ascii="宋体"/>
              </w:rPr>
            </w:pPr>
          </w:p>
        </w:tc>
        <w:tc>
          <w:tcPr>
            <w:tcW w:w="5" w:type="pct"/>
            <w:shd w:val="clear" w:color="auto" w:fill="auto"/>
            <w:vAlign w:val="bottom"/>
          </w:tcPr>
          <w:p w14:paraId="5F2D68F9" w14:textId="77777777" w:rsidR="00E836FB" w:rsidRDefault="00E836FB">
            <w:pPr>
              <w:rPr>
                <w:rFonts w:ascii="宋体"/>
              </w:rPr>
            </w:pPr>
          </w:p>
        </w:tc>
        <w:tc>
          <w:tcPr>
            <w:tcW w:w="50" w:type="pct"/>
            <w:shd w:val="clear" w:color="auto" w:fill="auto"/>
            <w:vAlign w:val="bottom"/>
          </w:tcPr>
          <w:p w14:paraId="5F2D68FA" w14:textId="77777777" w:rsidR="00E836FB" w:rsidRDefault="00E836FB">
            <w:pPr>
              <w:rPr>
                <w:rFonts w:ascii="宋体"/>
              </w:rPr>
            </w:pPr>
          </w:p>
        </w:tc>
        <w:tc>
          <w:tcPr>
            <w:tcW w:w="1648" w:type="pct"/>
            <w:shd w:val="clear" w:color="auto" w:fill="auto"/>
            <w:vAlign w:val="bottom"/>
          </w:tcPr>
          <w:p w14:paraId="5F2D68FB" w14:textId="77777777" w:rsidR="00E836FB" w:rsidRDefault="00E836FB">
            <w:pPr>
              <w:rPr>
                <w:rFonts w:ascii="宋体"/>
              </w:rPr>
            </w:pPr>
          </w:p>
        </w:tc>
        <w:tc>
          <w:tcPr>
            <w:tcW w:w="5" w:type="pct"/>
            <w:shd w:val="clear" w:color="auto" w:fill="auto"/>
            <w:vAlign w:val="bottom"/>
          </w:tcPr>
          <w:p w14:paraId="5F2D68FC" w14:textId="77777777" w:rsidR="00E836FB" w:rsidRDefault="00E836FB">
            <w:pPr>
              <w:rPr>
                <w:rFonts w:ascii="宋体"/>
              </w:rPr>
            </w:pPr>
          </w:p>
        </w:tc>
        <w:tc>
          <w:tcPr>
            <w:tcW w:w="50" w:type="pct"/>
            <w:shd w:val="clear" w:color="auto" w:fill="auto"/>
            <w:vAlign w:val="bottom"/>
          </w:tcPr>
          <w:p w14:paraId="5F2D68FD" w14:textId="77777777" w:rsidR="00E836FB" w:rsidRDefault="00E836FB">
            <w:pPr>
              <w:rPr>
                <w:rFonts w:ascii="宋体"/>
              </w:rPr>
            </w:pPr>
          </w:p>
        </w:tc>
        <w:tc>
          <w:tcPr>
            <w:tcW w:w="1838" w:type="pct"/>
            <w:shd w:val="clear" w:color="auto" w:fill="auto"/>
            <w:vAlign w:val="bottom"/>
          </w:tcPr>
          <w:p w14:paraId="5F2D68FE" w14:textId="77777777" w:rsidR="00E836FB" w:rsidRDefault="00E836FB">
            <w:pPr>
              <w:rPr>
                <w:rFonts w:ascii="宋体"/>
              </w:rPr>
            </w:pPr>
          </w:p>
        </w:tc>
        <w:tc>
          <w:tcPr>
            <w:tcW w:w="5" w:type="pct"/>
            <w:shd w:val="clear" w:color="auto" w:fill="auto"/>
            <w:vAlign w:val="bottom"/>
          </w:tcPr>
          <w:p w14:paraId="5F2D68FF" w14:textId="77777777" w:rsidR="00E836FB" w:rsidRDefault="00E836FB">
            <w:pPr>
              <w:rPr>
                <w:rFonts w:ascii="宋体"/>
              </w:rPr>
            </w:pPr>
          </w:p>
        </w:tc>
      </w:tr>
      <w:tr w:rsidR="00E836FB" w14:paraId="5F2D690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690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90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903" w14:textId="77777777" w:rsidR="00E836FB" w:rsidRDefault="00E836FB">
            <w:pPr>
              <w:rPr>
                <w:rFonts w:ascii="宋体"/>
              </w:rPr>
            </w:pPr>
          </w:p>
        </w:tc>
      </w:tr>
    </w:tbl>
    <w:p w14:paraId="5F2D6905" w14:textId="77777777" w:rsidR="00E836FB" w:rsidRDefault="00994958">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5F2D6906" w14:textId="77777777" w:rsidR="00E836FB" w:rsidRDefault="00994958">
      <w:pPr>
        <w:ind w:firstLine="450"/>
        <w:jc w:val="right"/>
      </w:pPr>
      <w:r>
        <w:rPr>
          <w:rFonts w:ascii="Arial" w:eastAsia="宋体" w:hAnsi="Arial" w:cs="Arial"/>
          <w:color w:val="000000"/>
          <w:sz w:val="18"/>
          <w:szCs w:val="18"/>
        </w:rPr>
        <w:t>State Street Corporation | 188</w:t>
      </w:r>
    </w:p>
    <w:p w14:paraId="5F2D6907" w14:textId="77777777" w:rsidR="00E836FB" w:rsidRDefault="00E836FB">
      <w:pPr>
        <w:ind w:firstLine="450"/>
        <w:jc w:val="center"/>
      </w:pPr>
    </w:p>
    <w:p w14:paraId="5F2D6908" w14:textId="77777777" w:rsidR="00E836FB" w:rsidRDefault="00994958">
      <w:r>
        <w:pict w14:anchorId="5F2D6E41">
          <v:rect id="_x0000_i1212" style="width:415.3pt;height:1.5pt" o:hralign="center" o:hrstd="t" o:hr="t" fillcolor="#a0a0a0" stroked="f"/>
        </w:pict>
      </w:r>
    </w:p>
    <w:p w14:paraId="5F2D6909" w14:textId="77777777" w:rsidR="00E836FB" w:rsidRDefault="00E836FB">
      <w:pPr>
        <w:ind w:firstLine="450"/>
      </w:pPr>
    </w:p>
    <w:p w14:paraId="5F2D690A" w14:textId="77777777" w:rsidR="00E836FB" w:rsidRDefault="00E836FB">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E836FB" w14:paraId="5F2D6914" w14:textId="77777777">
        <w:trPr>
          <w:jc w:val="center"/>
        </w:trPr>
        <w:tc>
          <w:tcPr>
            <w:tcW w:w="50" w:type="pct"/>
            <w:shd w:val="clear" w:color="auto" w:fill="auto"/>
            <w:vAlign w:val="bottom"/>
          </w:tcPr>
          <w:p w14:paraId="5F2D690B" w14:textId="77777777" w:rsidR="00E836FB" w:rsidRDefault="00E836FB">
            <w:pPr>
              <w:rPr>
                <w:rFonts w:ascii="宋体"/>
              </w:rPr>
            </w:pPr>
          </w:p>
        </w:tc>
        <w:tc>
          <w:tcPr>
            <w:tcW w:w="2437" w:type="pct"/>
            <w:shd w:val="clear" w:color="auto" w:fill="auto"/>
            <w:vAlign w:val="bottom"/>
          </w:tcPr>
          <w:p w14:paraId="5F2D690C" w14:textId="77777777" w:rsidR="00E836FB" w:rsidRDefault="00E836FB">
            <w:pPr>
              <w:rPr>
                <w:rFonts w:ascii="宋体"/>
              </w:rPr>
            </w:pPr>
          </w:p>
        </w:tc>
        <w:tc>
          <w:tcPr>
            <w:tcW w:w="5" w:type="pct"/>
            <w:shd w:val="clear" w:color="auto" w:fill="auto"/>
            <w:vAlign w:val="bottom"/>
          </w:tcPr>
          <w:p w14:paraId="5F2D690D" w14:textId="77777777" w:rsidR="00E836FB" w:rsidRDefault="00E836FB">
            <w:pPr>
              <w:rPr>
                <w:rFonts w:ascii="宋体"/>
              </w:rPr>
            </w:pPr>
          </w:p>
        </w:tc>
        <w:tc>
          <w:tcPr>
            <w:tcW w:w="50" w:type="pct"/>
            <w:shd w:val="clear" w:color="auto" w:fill="auto"/>
            <w:vAlign w:val="bottom"/>
          </w:tcPr>
          <w:p w14:paraId="5F2D690E" w14:textId="77777777" w:rsidR="00E836FB" w:rsidRDefault="00E836FB">
            <w:pPr>
              <w:rPr>
                <w:rFonts w:ascii="宋体"/>
              </w:rPr>
            </w:pPr>
          </w:p>
        </w:tc>
        <w:tc>
          <w:tcPr>
            <w:tcW w:w="2452" w:type="pct"/>
            <w:shd w:val="clear" w:color="auto" w:fill="auto"/>
            <w:vAlign w:val="bottom"/>
          </w:tcPr>
          <w:p w14:paraId="5F2D690F" w14:textId="77777777" w:rsidR="00E836FB" w:rsidRDefault="00E836FB">
            <w:pPr>
              <w:rPr>
                <w:rFonts w:ascii="宋体"/>
              </w:rPr>
            </w:pPr>
          </w:p>
        </w:tc>
        <w:tc>
          <w:tcPr>
            <w:tcW w:w="5" w:type="pct"/>
            <w:shd w:val="clear" w:color="auto" w:fill="auto"/>
            <w:vAlign w:val="bottom"/>
          </w:tcPr>
          <w:p w14:paraId="5F2D6910" w14:textId="77777777" w:rsidR="00E836FB" w:rsidRDefault="00E836FB">
            <w:pPr>
              <w:rPr>
                <w:rFonts w:ascii="宋体"/>
              </w:rPr>
            </w:pPr>
          </w:p>
        </w:tc>
        <w:tc>
          <w:tcPr>
            <w:tcW w:w="0" w:type="auto"/>
            <w:shd w:val="clear" w:color="auto" w:fill="auto"/>
            <w:vAlign w:val="bottom"/>
          </w:tcPr>
          <w:p w14:paraId="5F2D6911" w14:textId="77777777" w:rsidR="00E836FB" w:rsidRDefault="00E836FB">
            <w:pPr>
              <w:rPr>
                <w:rFonts w:ascii="宋体"/>
                <w:vanish/>
              </w:rPr>
            </w:pPr>
          </w:p>
        </w:tc>
        <w:tc>
          <w:tcPr>
            <w:tcW w:w="0" w:type="auto"/>
            <w:shd w:val="clear" w:color="auto" w:fill="auto"/>
            <w:vAlign w:val="bottom"/>
          </w:tcPr>
          <w:p w14:paraId="5F2D6912" w14:textId="77777777" w:rsidR="00E836FB" w:rsidRDefault="00E836FB">
            <w:pPr>
              <w:rPr>
                <w:rFonts w:ascii="宋体"/>
                <w:vanish/>
              </w:rPr>
            </w:pPr>
          </w:p>
        </w:tc>
        <w:tc>
          <w:tcPr>
            <w:tcW w:w="0" w:type="auto"/>
            <w:shd w:val="clear" w:color="auto" w:fill="auto"/>
            <w:vAlign w:val="bottom"/>
          </w:tcPr>
          <w:p w14:paraId="5F2D6913" w14:textId="77777777" w:rsidR="00E836FB" w:rsidRDefault="00E836FB">
            <w:pPr>
              <w:rPr>
                <w:rFonts w:ascii="宋体"/>
                <w:vanish/>
              </w:rPr>
            </w:pPr>
          </w:p>
        </w:tc>
      </w:tr>
      <w:tr w:rsidR="00E836FB" w14:paraId="5F2D6919" w14:textId="77777777">
        <w:trPr>
          <w:jc w:val="center"/>
        </w:trPr>
        <w:tc>
          <w:tcPr>
            <w:tcW w:w="0" w:type="auto"/>
            <w:gridSpan w:val="6"/>
            <w:shd w:val="clear" w:color="auto" w:fill="auto"/>
            <w:tcMar>
              <w:top w:w="40" w:type="dxa"/>
              <w:left w:w="20" w:type="dxa"/>
              <w:bottom w:w="40" w:type="dxa"/>
              <w:right w:w="20" w:type="dxa"/>
            </w:tcMar>
          </w:tcPr>
          <w:p w14:paraId="5F2D6915" w14:textId="77777777" w:rsidR="00E836FB" w:rsidRDefault="00994958">
            <w:pPr>
              <w:jc w:val="center"/>
              <w:textAlignment w:val="top"/>
            </w:pPr>
            <w:r>
              <w:rPr>
                <w:rFonts w:ascii="Arial" w:eastAsia="宋体" w:hAnsi="Arial" w:cs="Arial"/>
                <w:b/>
                <w:bCs/>
                <w:color w:val="000000"/>
                <w:sz w:val="20"/>
                <w:szCs w:val="20"/>
              </w:rPr>
              <w:t>GLOSSARY</w:t>
            </w:r>
          </w:p>
        </w:tc>
        <w:tc>
          <w:tcPr>
            <w:tcW w:w="0" w:type="auto"/>
            <w:shd w:val="clear" w:color="auto" w:fill="auto"/>
            <w:vAlign w:val="bottom"/>
          </w:tcPr>
          <w:p w14:paraId="5F2D6916" w14:textId="77777777" w:rsidR="00E836FB" w:rsidRDefault="00E836FB">
            <w:pPr>
              <w:rPr>
                <w:rFonts w:ascii="宋体"/>
                <w:vanish/>
              </w:rPr>
            </w:pPr>
          </w:p>
        </w:tc>
        <w:tc>
          <w:tcPr>
            <w:tcW w:w="0" w:type="auto"/>
            <w:shd w:val="clear" w:color="auto" w:fill="auto"/>
            <w:vAlign w:val="bottom"/>
          </w:tcPr>
          <w:p w14:paraId="5F2D6917" w14:textId="77777777" w:rsidR="00E836FB" w:rsidRDefault="00E836FB">
            <w:pPr>
              <w:rPr>
                <w:rFonts w:ascii="宋体"/>
                <w:vanish/>
              </w:rPr>
            </w:pPr>
          </w:p>
        </w:tc>
        <w:tc>
          <w:tcPr>
            <w:tcW w:w="0" w:type="auto"/>
            <w:shd w:val="clear" w:color="auto" w:fill="auto"/>
            <w:vAlign w:val="bottom"/>
          </w:tcPr>
          <w:p w14:paraId="5F2D6918" w14:textId="77777777" w:rsidR="00E836FB" w:rsidRDefault="00E836FB">
            <w:pPr>
              <w:rPr>
                <w:rFonts w:ascii="宋体"/>
                <w:vanish/>
              </w:rPr>
            </w:pPr>
          </w:p>
        </w:tc>
      </w:tr>
      <w:tr w:rsidR="00E836FB" w14:paraId="5F2D691F"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vAlign w:val="bottom"/>
          </w:tcPr>
          <w:p w14:paraId="5F2D691A" w14:textId="77777777" w:rsidR="00E836FB" w:rsidRDefault="00E836FB">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vAlign w:val="bottom"/>
          </w:tcPr>
          <w:p w14:paraId="5F2D691B" w14:textId="77777777" w:rsidR="00E836FB" w:rsidRDefault="00E836FB">
            <w:pPr>
              <w:rPr>
                <w:rFonts w:ascii="宋体"/>
              </w:rPr>
            </w:pPr>
          </w:p>
        </w:tc>
        <w:tc>
          <w:tcPr>
            <w:tcW w:w="0" w:type="auto"/>
            <w:shd w:val="clear" w:color="auto" w:fill="auto"/>
            <w:vAlign w:val="bottom"/>
          </w:tcPr>
          <w:p w14:paraId="5F2D691C" w14:textId="77777777" w:rsidR="00E836FB" w:rsidRDefault="00E836FB">
            <w:pPr>
              <w:rPr>
                <w:rFonts w:ascii="宋体"/>
                <w:vanish/>
              </w:rPr>
            </w:pPr>
          </w:p>
        </w:tc>
        <w:tc>
          <w:tcPr>
            <w:tcW w:w="0" w:type="auto"/>
            <w:shd w:val="clear" w:color="auto" w:fill="auto"/>
            <w:vAlign w:val="bottom"/>
          </w:tcPr>
          <w:p w14:paraId="5F2D691D" w14:textId="77777777" w:rsidR="00E836FB" w:rsidRDefault="00E836FB">
            <w:pPr>
              <w:rPr>
                <w:rFonts w:ascii="宋体"/>
                <w:vanish/>
              </w:rPr>
            </w:pPr>
          </w:p>
        </w:tc>
        <w:tc>
          <w:tcPr>
            <w:tcW w:w="0" w:type="auto"/>
            <w:shd w:val="clear" w:color="auto" w:fill="auto"/>
            <w:vAlign w:val="bottom"/>
          </w:tcPr>
          <w:p w14:paraId="5F2D691E" w14:textId="77777777" w:rsidR="00E836FB" w:rsidRDefault="00E836FB">
            <w:pPr>
              <w:rPr>
                <w:rFonts w:ascii="宋体"/>
                <w:vanish/>
              </w:rPr>
            </w:pPr>
          </w:p>
        </w:tc>
      </w:tr>
      <w:tr w:rsidR="00E836FB" w14:paraId="5F2D6925" w14:textId="77777777">
        <w:trPr>
          <w:jc w:val="center"/>
          <w:hidden/>
        </w:trPr>
        <w:tc>
          <w:tcPr>
            <w:tcW w:w="0" w:type="auto"/>
            <w:gridSpan w:val="3"/>
            <w:shd w:val="clear" w:color="auto" w:fill="auto"/>
            <w:vAlign w:val="bottom"/>
          </w:tcPr>
          <w:p w14:paraId="5F2D6920" w14:textId="77777777" w:rsidR="00E836FB" w:rsidRDefault="00E836FB">
            <w:pPr>
              <w:rPr>
                <w:rFonts w:ascii="宋体"/>
                <w:vanish/>
              </w:rPr>
            </w:pPr>
          </w:p>
        </w:tc>
        <w:tc>
          <w:tcPr>
            <w:tcW w:w="0" w:type="auto"/>
            <w:gridSpan w:val="3"/>
            <w:shd w:val="clear" w:color="auto" w:fill="auto"/>
            <w:vAlign w:val="bottom"/>
          </w:tcPr>
          <w:p w14:paraId="5F2D6921" w14:textId="77777777" w:rsidR="00E836FB" w:rsidRDefault="00E836FB">
            <w:pPr>
              <w:rPr>
                <w:rFonts w:ascii="宋体"/>
                <w:vanish/>
              </w:rPr>
            </w:pPr>
          </w:p>
        </w:tc>
        <w:tc>
          <w:tcPr>
            <w:tcW w:w="0" w:type="auto"/>
            <w:shd w:val="clear" w:color="auto" w:fill="auto"/>
            <w:vAlign w:val="bottom"/>
          </w:tcPr>
          <w:p w14:paraId="5F2D6922" w14:textId="77777777" w:rsidR="00E836FB" w:rsidRDefault="00E836FB">
            <w:pPr>
              <w:rPr>
                <w:rFonts w:ascii="宋体"/>
                <w:vanish/>
              </w:rPr>
            </w:pPr>
          </w:p>
        </w:tc>
        <w:tc>
          <w:tcPr>
            <w:tcW w:w="0" w:type="auto"/>
            <w:shd w:val="clear" w:color="auto" w:fill="auto"/>
            <w:vAlign w:val="bottom"/>
          </w:tcPr>
          <w:p w14:paraId="5F2D6923" w14:textId="77777777" w:rsidR="00E836FB" w:rsidRDefault="00E836FB">
            <w:pPr>
              <w:rPr>
                <w:rFonts w:ascii="宋体"/>
                <w:vanish/>
              </w:rPr>
            </w:pPr>
          </w:p>
        </w:tc>
        <w:tc>
          <w:tcPr>
            <w:tcW w:w="0" w:type="auto"/>
            <w:shd w:val="clear" w:color="auto" w:fill="auto"/>
            <w:vAlign w:val="bottom"/>
          </w:tcPr>
          <w:p w14:paraId="5F2D6924" w14:textId="77777777" w:rsidR="00E836FB" w:rsidRDefault="00E836FB">
            <w:pPr>
              <w:rPr>
                <w:rFonts w:ascii="宋体"/>
                <w:vanish/>
              </w:rPr>
            </w:pPr>
          </w:p>
        </w:tc>
      </w:tr>
      <w:tr w:rsidR="00E836FB" w14:paraId="5F2D692B" w14:textId="77777777">
        <w:trPr>
          <w:jc w:val="center"/>
          <w:hidden/>
        </w:trPr>
        <w:tc>
          <w:tcPr>
            <w:tcW w:w="0" w:type="auto"/>
            <w:gridSpan w:val="3"/>
            <w:shd w:val="clear" w:color="auto" w:fill="auto"/>
            <w:vAlign w:val="bottom"/>
          </w:tcPr>
          <w:p w14:paraId="5F2D6926" w14:textId="77777777" w:rsidR="00E836FB" w:rsidRDefault="00E836FB">
            <w:pPr>
              <w:rPr>
                <w:rFonts w:ascii="宋体"/>
                <w:vanish/>
              </w:rPr>
            </w:pPr>
          </w:p>
        </w:tc>
        <w:tc>
          <w:tcPr>
            <w:tcW w:w="0" w:type="auto"/>
            <w:gridSpan w:val="3"/>
            <w:shd w:val="clear" w:color="auto" w:fill="auto"/>
            <w:vAlign w:val="bottom"/>
          </w:tcPr>
          <w:p w14:paraId="5F2D6927" w14:textId="77777777" w:rsidR="00E836FB" w:rsidRDefault="00E836FB">
            <w:pPr>
              <w:rPr>
                <w:rFonts w:ascii="宋体"/>
                <w:vanish/>
              </w:rPr>
            </w:pPr>
          </w:p>
        </w:tc>
        <w:tc>
          <w:tcPr>
            <w:tcW w:w="0" w:type="auto"/>
            <w:shd w:val="clear" w:color="auto" w:fill="auto"/>
            <w:vAlign w:val="bottom"/>
          </w:tcPr>
          <w:p w14:paraId="5F2D6928" w14:textId="77777777" w:rsidR="00E836FB" w:rsidRDefault="00E836FB">
            <w:pPr>
              <w:rPr>
                <w:rFonts w:ascii="宋体"/>
                <w:vanish/>
              </w:rPr>
            </w:pPr>
          </w:p>
        </w:tc>
        <w:tc>
          <w:tcPr>
            <w:tcW w:w="0" w:type="auto"/>
            <w:shd w:val="clear" w:color="auto" w:fill="auto"/>
            <w:vAlign w:val="bottom"/>
          </w:tcPr>
          <w:p w14:paraId="5F2D6929" w14:textId="77777777" w:rsidR="00E836FB" w:rsidRDefault="00E836FB">
            <w:pPr>
              <w:rPr>
                <w:rFonts w:ascii="宋体"/>
                <w:vanish/>
              </w:rPr>
            </w:pPr>
          </w:p>
        </w:tc>
        <w:tc>
          <w:tcPr>
            <w:tcW w:w="0" w:type="auto"/>
            <w:shd w:val="clear" w:color="auto" w:fill="auto"/>
            <w:vAlign w:val="bottom"/>
          </w:tcPr>
          <w:p w14:paraId="5F2D692A" w14:textId="77777777" w:rsidR="00E836FB" w:rsidRDefault="00E836FB">
            <w:pPr>
              <w:rPr>
                <w:rFonts w:ascii="宋体"/>
                <w:vanish/>
              </w:rPr>
            </w:pPr>
          </w:p>
        </w:tc>
      </w:tr>
      <w:tr w:rsidR="00E836FB" w14:paraId="5F2D6931" w14:textId="77777777">
        <w:trPr>
          <w:jc w:val="center"/>
          <w:hidden/>
        </w:trPr>
        <w:tc>
          <w:tcPr>
            <w:tcW w:w="0" w:type="auto"/>
            <w:gridSpan w:val="3"/>
            <w:shd w:val="clear" w:color="auto" w:fill="auto"/>
            <w:vAlign w:val="bottom"/>
          </w:tcPr>
          <w:p w14:paraId="5F2D692C" w14:textId="77777777" w:rsidR="00E836FB" w:rsidRDefault="00E836FB">
            <w:pPr>
              <w:rPr>
                <w:rFonts w:ascii="宋体"/>
                <w:vanish/>
              </w:rPr>
            </w:pPr>
          </w:p>
        </w:tc>
        <w:tc>
          <w:tcPr>
            <w:tcW w:w="0" w:type="auto"/>
            <w:gridSpan w:val="3"/>
            <w:shd w:val="clear" w:color="auto" w:fill="auto"/>
            <w:vAlign w:val="bottom"/>
          </w:tcPr>
          <w:p w14:paraId="5F2D692D" w14:textId="77777777" w:rsidR="00E836FB" w:rsidRDefault="00E836FB">
            <w:pPr>
              <w:rPr>
                <w:rFonts w:ascii="宋体"/>
                <w:vanish/>
              </w:rPr>
            </w:pPr>
          </w:p>
        </w:tc>
        <w:tc>
          <w:tcPr>
            <w:tcW w:w="0" w:type="auto"/>
            <w:shd w:val="clear" w:color="auto" w:fill="auto"/>
            <w:vAlign w:val="bottom"/>
          </w:tcPr>
          <w:p w14:paraId="5F2D692E" w14:textId="77777777" w:rsidR="00E836FB" w:rsidRDefault="00E836FB">
            <w:pPr>
              <w:rPr>
                <w:rFonts w:ascii="宋体"/>
                <w:vanish/>
              </w:rPr>
            </w:pPr>
          </w:p>
        </w:tc>
        <w:tc>
          <w:tcPr>
            <w:tcW w:w="0" w:type="auto"/>
            <w:shd w:val="clear" w:color="auto" w:fill="auto"/>
            <w:vAlign w:val="bottom"/>
          </w:tcPr>
          <w:p w14:paraId="5F2D692F" w14:textId="77777777" w:rsidR="00E836FB" w:rsidRDefault="00E836FB">
            <w:pPr>
              <w:rPr>
                <w:rFonts w:ascii="宋体"/>
                <w:vanish/>
              </w:rPr>
            </w:pPr>
          </w:p>
        </w:tc>
        <w:tc>
          <w:tcPr>
            <w:tcW w:w="0" w:type="auto"/>
            <w:shd w:val="clear" w:color="auto" w:fill="auto"/>
            <w:vAlign w:val="bottom"/>
          </w:tcPr>
          <w:p w14:paraId="5F2D6930" w14:textId="77777777" w:rsidR="00E836FB" w:rsidRDefault="00E836FB">
            <w:pPr>
              <w:rPr>
                <w:rFonts w:ascii="宋体"/>
                <w:vanish/>
              </w:rPr>
            </w:pPr>
          </w:p>
        </w:tc>
      </w:tr>
      <w:tr w:rsidR="00E836FB" w14:paraId="5F2D6937" w14:textId="77777777">
        <w:trPr>
          <w:jc w:val="center"/>
          <w:hidden/>
        </w:trPr>
        <w:tc>
          <w:tcPr>
            <w:tcW w:w="0" w:type="auto"/>
            <w:gridSpan w:val="3"/>
            <w:shd w:val="clear" w:color="auto" w:fill="auto"/>
            <w:vAlign w:val="bottom"/>
          </w:tcPr>
          <w:p w14:paraId="5F2D6932" w14:textId="77777777" w:rsidR="00E836FB" w:rsidRDefault="00E836FB">
            <w:pPr>
              <w:rPr>
                <w:rFonts w:ascii="宋体"/>
                <w:vanish/>
              </w:rPr>
            </w:pPr>
          </w:p>
        </w:tc>
        <w:tc>
          <w:tcPr>
            <w:tcW w:w="0" w:type="auto"/>
            <w:gridSpan w:val="3"/>
            <w:shd w:val="clear" w:color="auto" w:fill="auto"/>
            <w:vAlign w:val="bottom"/>
          </w:tcPr>
          <w:p w14:paraId="5F2D6933" w14:textId="77777777" w:rsidR="00E836FB" w:rsidRDefault="00E836FB">
            <w:pPr>
              <w:rPr>
                <w:rFonts w:ascii="宋体"/>
                <w:vanish/>
              </w:rPr>
            </w:pPr>
          </w:p>
        </w:tc>
        <w:tc>
          <w:tcPr>
            <w:tcW w:w="0" w:type="auto"/>
            <w:shd w:val="clear" w:color="auto" w:fill="auto"/>
            <w:vAlign w:val="bottom"/>
          </w:tcPr>
          <w:p w14:paraId="5F2D6934" w14:textId="77777777" w:rsidR="00E836FB" w:rsidRDefault="00E836FB">
            <w:pPr>
              <w:rPr>
                <w:rFonts w:ascii="宋体"/>
                <w:vanish/>
              </w:rPr>
            </w:pPr>
          </w:p>
        </w:tc>
        <w:tc>
          <w:tcPr>
            <w:tcW w:w="0" w:type="auto"/>
            <w:shd w:val="clear" w:color="auto" w:fill="auto"/>
            <w:vAlign w:val="bottom"/>
          </w:tcPr>
          <w:p w14:paraId="5F2D6935" w14:textId="77777777" w:rsidR="00E836FB" w:rsidRDefault="00E836FB">
            <w:pPr>
              <w:rPr>
                <w:rFonts w:ascii="宋体"/>
                <w:vanish/>
              </w:rPr>
            </w:pPr>
          </w:p>
        </w:tc>
        <w:tc>
          <w:tcPr>
            <w:tcW w:w="0" w:type="auto"/>
            <w:shd w:val="clear" w:color="auto" w:fill="auto"/>
            <w:vAlign w:val="bottom"/>
          </w:tcPr>
          <w:p w14:paraId="5F2D6936" w14:textId="77777777" w:rsidR="00E836FB" w:rsidRDefault="00E836FB">
            <w:pPr>
              <w:rPr>
                <w:rFonts w:ascii="宋体"/>
                <w:vanish/>
              </w:rPr>
            </w:pPr>
          </w:p>
        </w:tc>
      </w:tr>
      <w:tr w:rsidR="00E836FB" w14:paraId="5F2D693D" w14:textId="77777777">
        <w:trPr>
          <w:jc w:val="center"/>
          <w:hidden/>
        </w:trPr>
        <w:tc>
          <w:tcPr>
            <w:tcW w:w="0" w:type="auto"/>
            <w:gridSpan w:val="3"/>
            <w:shd w:val="clear" w:color="auto" w:fill="auto"/>
            <w:vAlign w:val="bottom"/>
          </w:tcPr>
          <w:p w14:paraId="5F2D6938" w14:textId="77777777" w:rsidR="00E836FB" w:rsidRDefault="00E836FB">
            <w:pPr>
              <w:rPr>
                <w:rFonts w:ascii="宋体"/>
                <w:vanish/>
              </w:rPr>
            </w:pPr>
          </w:p>
        </w:tc>
        <w:tc>
          <w:tcPr>
            <w:tcW w:w="0" w:type="auto"/>
            <w:gridSpan w:val="3"/>
            <w:shd w:val="clear" w:color="auto" w:fill="auto"/>
            <w:vAlign w:val="bottom"/>
          </w:tcPr>
          <w:p w14:paraId="5F2D6939" w14:textId="77777777" w:rsidR="00E836FB" w:rsidRDefault="00E836FB">
            <w:pPr>
              <w:rPr>
                <w:rFonts w:ascii="宋体"/>
                <w:vanish/>
              </w:rPr>
            </w:pPr>
          </w:p>
        </w:tc>
        <w:tc>
          <w:tcPr>
            <w:tcW w:w="0" w:type="auto"/>
            <w:shd w:val="clear" w:color="auto" w:fill="auto"/>
            <w:vAlign w:val="bottom"/>
          </w:tcPr>
          <w:p w14:paraId="5F2D693A" w14:textId="77777777" w:rsidR="00E836FB" w:rsidRDefault="00E836FB">
            <w:pPr>
              <w:rPr>
                <w:rFonts w:ascii="宋体"/>
                <w:vanish/>
              </w:rPr>
            </w:pPr>
          </w:p>
        </w:tc>
        <w:tc>
          <w:tcPr>
            <w:tcW w:w="0" w:type="auto"/>
            <w:shd w:val="clear" w:color="auto" w:fill="auto"/>
            <w:vAlign w:val="bottom"/>
          </w:tcPr>
          <w:p w14:paraId="5F2D693B" w14:textId="77777777" w:rsidR="00E836FB" w:rsidRDefault="00E836FB">
            <w:pPr>
              <w:rPr>
                <w:rFonts w:ascii="宋体"/>
                <w:vanish/>
              </w:rPr>
            </w:pPr>
          </w:p>
        </w:tc>
        <w:tc>
          <w:tcPr>
            <w:tcW w:w="0" w:type="auto"/>
            <w:shd w:val="clear" w:color="auto" w:fill="auto"/>
            <w:vAlign w:val="bottom"/>
          </w:tcPr>
          <w:p w14:paraId="5F2D693C" w14:textId="77777777" w:rsidR="00E836FB" w:rsidRDefault="00E836FB">
            <w:pPr>
              <w:rPr>
                <w:rFonts w:ascii="宋体"/>
                <w:vanish/>
              </w:rPr>
            </w:pPr>
          </w:p>
        </w:tc>
      </w:tr>
      <w:tr w:rsidR="00E836FB" w14:paraId="5F2D6943" w14:textId="77777777">
        <w:trPr>
          <w:jc w:val="center"/>
          <w:hidden/>
        </w:trPr>
        <w:tc>
          <w:tcPr>
            <w:tcW w:w="0" w:type="auto"/>
            <w:gridSpan w:val="3"/>
            <w:shd w:val="clear" w:color="auto" w:fill="auto"/>
            <w:vAlign w:val="bottom"/>
          </w:tcPr>
          <w:p w14:paraId="5F2D693E" w14:textId="77777777" w:rsidR="00E836FB" w:rsidRDefault="00E836FB">
            <w:pPr>
              <w:rPr>
                <w:rFonts w:ascii="宋体"/>
                <w:vanish/>
              </w:rPr>
            </w:pPr>
          </w:p>
        </w:tc>
        <w:tc>
          <w:tcPr>
            <w:tcW w:w="0" w:type="auto"/>
            <w:gridSpan w:val="3"/>
            <w:shd w:val="clear" w:color="auto" w:fill="auto"/>
            <w:vAlign w:val="bottom"/>
          </w:tcPr>
          <w:p w14:paraId="5F2D693F" w14:textId="77777777" w:rsidR="00E836FB" w:rsidRDefault="00E836FB">
            <w:pPr>
              <w:rPr>
                <w:rFonts w:ascii="宋体"/>
                <w:vanish/>
              </w:rPr>
            </w:pPr>
          </w:p>
        </w:tc>
        <w:tc>
          <w:tcPr>
            <w:tcW w:w="0" w:type="auto"/>
            <w:shd w:val="clear" w:color="auto" w:fill="auto"/>
            <w:vAlign w:val="bottom"/>
          </w:tcPr>
          <w:p w14:paraId="5F2D6940" w14:textId="77777777" w:rsidR="00E836FB" w:rsidRDefault="00E836FB">
            <w:pPr>
              <w:rPr>
                <w:rFonts w:ascii="宋体"/>
                <w:vanish/>
              </w:rPr>
            </w:pPr>
          </w:p>
        </w:tc>
        <w:tc>
          <w:tcPr>
            <w:tcW w:w="0" w:type="auto"/>
            <w:shd w:val="clear" w:color="auto" w:fill="auto"/>
            <w:vAlign w:val="bottom"/>
          </w:tcPr>
          <w:p w14:paraId="5F2D6941" w14:textId="77777777" w:rsidR="00E836FB" w:rsidRDefault="00E836FB">
            <w:pPr>
              <w:rPr>
                <w:rFonts w:ascii="宋体"/>
                <w:vanish/>
              </w:rPr>
            </w:pPr>
          </w:p>
        </w:tc>
        <w:tc>
          <w:tcPr>
            <w:tcW w:w="0" w:type="auto"/>
            <w:shd w:val="clear" w:color="auto" w:fill="auto"/>
            <w:vAlign w:val="bottom"/>
          </w:tcPr>
          <w:p w14:paraId="5F2D6942" w14:textId="77777777" w:rsidR="00E836FB" w:rsidRDefault="00E836FB">
            <w:pPr>
              <w:rPr>
                <w:rFonts w:ascii="宋体"/>
                <w:vanish/>
              </w:rPr>
            </w:pPr>
          </w:p>
        </w:tc>
      </w:tr>
      <w:tr w:rsidR="00E836FB" w14:paraId="5F2D6949" w14:textId="77777777">
        <w:trPr>
          <w:jc w:val="center"/>
          <w:hidden/>
        </w:trPr>
        <w:tc>
          <w:tcPr>
            <w:tcW w:w="0" w:type="auto"/>
            <w:gridSpan w:val="3"/>
            <w:shd w:val="clear" w:color="auto" w:fill="auto"/>
            <w:vAlign w:val="bottom"/>
          </w:tcPr>
          <w:p w14:paraId="5F2D6944" w14:textId="77777777" w:rsidR="00E836FB" w:rsidRDefault="00E836FB">
            <w:pPr>
              <w:rPr>
                <w:rFonts w:ascii="宋体"/>
                <w:vanish/>
              </w:rPr>
            </w:pPr>
          </w:p>
        </w:tc>
        <w:tc>
          <w:tcPr>
            <w:tcW w:w="0" w:type="auto"/>
            <w:gridSpan w:val="3"/>
            <w:shd w:val="clear" w:color="auto" w:fill="auto"/>
            <w:vAlign w:val="bottom"/>
          </w:tcPr>
          <w:p w14:paraId="5F2D6945" w14:textId="77777777" w:rsidR="00E836FB" w:rsidRDefault="00E836FB">
            <w:pPr>
              <w:rPr>
                <w:rFonts w:ascii="宋体"/>
                <w:vanish/>
              </w:rPr>
            </w:pPr>
          </w:p>
        </w:tc>
        <w:tc>
          <w:tcPr>
            <w:tcW w:w="0" w:type="auto"/>
            <w:shd w:val="clear" w:color="auto" w:fill="auto"/>
            <w:vAlign w:val="bottom"/>
          </w:tcPr>
          <w:p w14:paraId="5F2D6946" w14:textId="77777777" w:rsidR="00E836FB" w:rsidRDefault="00E836FB">
            <w:pPr>
              <w:rPr>
                <w:rFonts w:ascii="宋体"/>
                <w:vanish/>
              </w:rPr>
            </w:pPr>
          </w:p>
        </w:tc>
        <w:tc>
          <w:tcPr>
            <w:tcW w:w="0" w:type="auto"/>
            <w:shd w:val="clear" w:color="auto" w:fill="auto"/>
            <w:vAlign w:val="bottom"/>
          </w:tcPr>
          <w:p w14:paraId="5F2D6947" w14:textId="77777777" w:rsidR="00E836FB" w:rsidRDefault="00E836FB">
            <w:pPr>
              <w:rPr>
                <w:rFonts w:ascii="宋体"/>
                <w:vanish/>
              </w:rPr>
            </w:pPr>
          </w:p>
        </w:tc>
        <w:tc>
          <w:tcPr>
            <w:tcW w:w="0" w:type="auto"/>
            <w:shd w:val="clear" w:color="auto" w:fill="auto"/>
            <w:vAlign w:val="bottom"/>
          </w:tcPr>
          <w:p w14:paraId="5F2D6948" w14:textId="77777777" w:rsidR="00E836FB" w:rsidRDefault="00E836FB">
            <w:pPr>
              <w:rPr>
                <w:rFonts w:ascii="宋体"/>
                <w:vanish/>
              </w:rPr>
            </w:pPr>
          </w:p>
        </w:tc>
      </w:tr>
      <w:tr w:rsidR="00E836FB" w14:paraId="5F2D694F" w14:textId="77777777">
        <w:trPr>
          <w:jc w:val="center"/>
          <w:hidden/>
        </w:trPr>
        <w:tc>
          <w:tcPr>
            <w:tcW w:w="0" w:type="auto"/>
            <w:gridSpan w:val="3"/>
            <w:shd w:val="clear" w:color="auto" w:fill="auto"/>
            <w:vAlign w:val="bottom"/>
          </w:tcPr>
          <w:p w14:paraId="5F2D694A" w14:textId="77777777" w:rsidR="00E836FB" w:rsidRDefault="00E836FB">
            <w:pPr>
              <w:rPr>
                <w:rFonts w:ascii="宋体"/>
                <w:vanish/>
              </w:rPr>
            </w:pPr>
          </w:p>
        </w:tc>
        <w:tc>
          <w:tcPr>
            <w:tcW w:w="0" w:type="auto"/>
            <w:gridSpan w:val="3"/>
            <w:shd w:val="clear" w:color="auto" w:fill="auto"/>
            <w:vAlign w:val="bottom"/>
          </w:tcPr>
          <w:p w14:paraId="5F2D694B" w14:textId="77777777" w:rsidR="00E836FB" w:rsidRDefault="00E836FB">
            <w:pPr>
              <w:rPr>
                <w:rFonts w:ascii="宋体"/>
                <w:vanish/>
              </w:rPr>
            </w:pPr>
          </w:p>
        </w:tc>
        <w:tc>
          <w:tcPr>
            <w:tcW w:w="0" w:type="auto"/>
            <w:shd w:val="clear" w:color="auto" w:fill="auto"/>
            <w:vAlign w:val="bottom"/>
          </w:tcPr>
          <w:p w14:paraId="5F2D694C" w14:textId="77777777" w:rsidR="00E836FB" w:rsidRDefault="00E836FB">
            <w:pPr>
              <w:rPr>
                <w:rFonts w:ascii="宋体"/>
                <w:vanish/>
              </w:rPr>
            </w:pPr>
          </w:p>
        </w:tc>
        <w:tc>
          <w:tcPr>
            <w:tcW w:w="0" w:type="auto"/>
            <w:shd w:val="clear" w:color="auto" w:fill="auto"/>
            <w:vAlign w:val="bottom"/>
          </w:tcPr>
          <w:p w14:paraId="5F2D694D" w14:textId="77777777" w:rsidR="00E836FB" w:rsidRDefault="00E836FB">
            <w:pPr>
              <w:rPr>
                <w:rFonts w:ascii="宋体"/>
                <w:vanish/>
              </w:rPr>
            </w:pPr>
          </w:p>
        </w:tc>
        <w:tc>
          <w:tcPr>
            <w:tcW w:w="0" w:type="auto"/>
            <w:shd w:val="clear" w:color="auto" w:fill="auto"/>
            <w:vAlign w:val="bottom"/>
          </w:tcPr>
          <w:p w14:paraId="5F2D694E" w14:textId="77777777" w:rsidR="00E836FB" w:rsidRDefault="00E836FB">
            <w:pPr>
              <w:rPr>
                <w:rFonts w:ascii="宋体"/>
                <w:vanish/>
              </w:rPr>
            </w:pPr>
          </w:p>
        </w:tc>
      </w:tr>
      <w:tr w:rsidR="00E836FB" w14:paraId="5F2D6955" w14:textId="77777777">
        <w:trPr>
          <w:jc w:val="center"/>
          <w:hidden/>
        </w:trPr>
        <w:tc>
          <w:tcPr>
            <w:tcW w:w="0" w:type="auto"/>
            <w:gridSpan w:val="3"/>
            <w:shd w:val="clear" w:color="auto" w:fill="auto"/>
            <w:vAlign w:val="bottom"/>
          </w:tcPr>
          <w:p w14:paraId="5F2D6950" w14:textId="77777777" w:rsidR="00E836FB" w:rsidRDefault="00E836FB">
            <w:pPr>
              <w:rPr>
                <w:rFonts w:ascii="宋体"/>
                <w:vanish/>
              </w:rPr>
            </w:pPr>
          </w:p>
        </w:tc>
        <w:tc>
          <w:tcPr>
            <w:tcW w:w="0" w:type="auto"/>
            <w:gridSpan w:val="3"/>
            <w:shd w:val="clear" w:color="auto" w:fill="auto"/>
            <w:vAlign w:val="bottom"/>
          </w:tcPr>
          <w:p w14:paraId="5F2D6951" w14:textId="77777777" w:rsidR="00E836FB" w:rsidRDefault="00E836FB">
            <w:pPr>
              <w:rPr>
                <w:rFonts w:ascii="宋体"/>
                <w:vanish/>
              </w:rPr>
            </w:pPr>
          </w:p>
        </w:tc>
        <w:tc>
          <w:tcPr>
            <w:tcW w:w="0" w:type="auto"/>
            <w:shd w:val="clear" w:color="auto" w:fill="auto"/>
            <w:vAlign w:val="bottom"/>
          </w:tcPr>
          <w:p w14:paraId="5F2D6952" w14:textId="77777777" w:rsidR="00E836FB" w:rsidRDefault="00E836FB">
            <w:pPr>
              <w:rPr>
                <w:rFonts w:ascii="宋体"/>
                <w:vanish/>
              </w:rPr>
            </w:pPr>
          </w:p>
        </w:tc>
        <w:tc>
          <w:tcPr>
            <w:tcW w:w="0" w:type="auto"/>
            <w:shd w:val="clear" w:color="auto" w:fill="auto"/>
            <w:vAlign w:val="bottom"/>
          </w:tcPr>
          <w:p w14:paraId="5F2D6953" w14:textId="77777777" w:rsidR="00E836FB" w:rsidRDefault="00E836FB">
            <w:pPr>
              <w:rPr>
                <w:rFonts w:ascii="宋体"/>
                <w:vanish/>
              </w:rPr>
            </w:pPr>
          </w:p>
        </w:tc>
        <w:tc>
          <w:tcPr>
            <w:tcW w:w="0" w:type="auto"/>
            <w:shd w:val="clear" w:color="auto" w:fill="auto"/>
            <w:vAlign w:val="bottom"/>
          </w:tcPr>
          <w:p w14:paraId="5F2D6954" w14:textId="77777777" w:rsidR="00E836FB" w:rsidRDefault="00E836FB">
            <w:pPr>
              <w:rPr>
                <w:rFonts w:ascii="宋体"/>
                <w:vanish/>
              </w:rPr>
            </w:pPr>
          </w:p>
        </w:tc>
      </w:tr>
      <w:tr w:rsidR="00E836FB" w14:paraId="5F2D695B" w14:textId="77777777">
        <w:trPr>
          <w:jc w:val="center"/>
          <w:hidden/>
        </w:trPr>
        <w:tc>
          <w:tcPr>
            <w:tcW w:w="0" w:type="auto"/>
            <w:gridSpan w:val="3"/>
            <w:shd w:val="clear" w:color="auto" w:fill="auto"/>
            <w:vAlign w:val="bottom"/>
          </w:tcPr>
          <w:p w14:paraId="5F2D6956" w14:textId="77777777" w:rsidR="00E836FB" w:rsidRDefault="00E836FB">
            <w:pPr>
              <w:rPr>
                <w:rFonts w:ascii="宋体"/>
                <w:vanish/>
              </w:rPr>
            </w:pPr>
          </w:p>
        </w:tc>
        <w:tc>
          <w:tcPr>
            <w:tcW w:w="0" w:type="auto"/>
            <w:gridSpan w:val="3"/>
            <w:shd w:val="clear" w:color="auto" w:fill="auto"/>
            <w:vAlign w:val="bottom"/>
          </w:tcPr>
          <w:p w14:paraId="5F2D6957" w14:textId="77777777" w:rsidR="00E836FB" w:rsidRDefault="00E836FB">
            <w:pPr>
              <w:rPr>
                <w:rFonts w:ascii="宋体"/>
                <w:vanish/>
              </w:rPr>
            </w:pPr>
          </w:p>
        </w:tc>
        <w:tc>
          <w:tcPr>
            <w:tcW w:w="0" w:type="auto"/>
            <w:shd w:val="clear" w:color="auto" w:fill="auto"/>
            <w:vAlign w:val="bottom"/>
          </w:tcPr>
          <w:p w14:paraId="5F2D6958" w14:textId="77777777" w:rsidR="00E836FB" w:rsidRDefault="00E836FB">
            <w:pPr>
              <w:rPr>
                <w:rFonts w:ascii="宋体"/>
                <w:vanish/>
              </w:rPr>
            </w:pPr>
          </w:p>
        </w:tc>
        <w:tc>
          <w:tcPr>
            <w:tcW w:w="0" w:type="auto"/>
            <w:shd w:val="clear" w:color="auto" w:fill="auto"/>
            <w:vAlign w:val="bottom"/>
          </w:tcPr>
          <w:p w14:paraId="5F2D6959" w14:textId="77777777" w:rsidR="00E836FB" w:rsidRDefault="00E836FB">
            <w:pPr>
              <w:rPr>
                <w:rFonts w:ascii="宋体"/>
                <w:vanish/>
              </w:rPr>
            </w:pPr>
          </w:p>
        </w:tc>
        <w:tc>
          <w:tcPr>
            <w:tcW w:w="0" w:type="auto"/>
            <w:shd w:val="clear" w:color="auto" w:fill="auto"/>
            <w:vAlign w:val="bottom"/>
          </w:tcPr>
          <w:p w14:paraId="5F2D695A" w14:textId="77777777" w:rsidR="00E836FB" w:rsidRDefault="00E836FB">
            <w:pPr>
              <w:rPr>
                <w:rFonts w:ascii="宋体"/>
                <w:vanish/>
              </w:rPr>
            </w:pPr>
          </w:p>
        </w:tc>
      </w:tr>
      <w:tr w:rsidR="00E836FB" w14:paraId="5F2D6961" w14:textId="77777777">
        <w:trPr>
          <w:jc w:val="center"/>
          <w:hidden/>
        </w:trPr>
        <w:tc>
          <w:tcPr>
            <w:tcW w:w="0" w:type="auto"/>
            <w:gridSpan w:val="3"/>
            <w:shd w:val="clear" w:color="auto" w:fill="auto"/>
            <w:vAlign w:val="bottom"/>
          </w:tcPr>
          <w:p w14:paraId="5F2D695C" w14:textId="77777777" w:rsidR="00E836FB" w:rsidRDefault="00E836FB">
            <w:pPr>
              <w:rPr>
                <w:rFonts w:ascii="宋体"/>
                <w:vanish/>
              </w:rPr>
            </w:pPr>
          </w:p>
        </w:tc>
        <w:tc>
          <w:tcPr>
            <w:tcW w:w="0" w:type="auto"/>
            <w:gridSpan w:val="3"/>
            <w:shd w:val="clear" w:color="auto" w:fill="auto"/>
            <w:vAlign w:val="bottom"/>
          </w:tcPr>
          <w:p w14:paraId="5F2D695D" w14:textId="77777777" w:rsidR="00E836FB" w:rsidRDefault="00E836FB">
            <w:pPr>
              <w:rPr>
                <w:rFonts w:ascii="宋体"/>
                <w:vanish/>
              </w:rPr>
            </w:pPr>
          </w:p>
        </w:tc>
        <w:tc>
          <w:tcPr>
            <w:tcW w:w="0" w:type="auto"/>
            <w:shd w:val="clear" w:color="auto" w:fill="auto"/>
            <w:vAlign w:val="bottom"/>
          </w:tcPr>
          <w:p w14:paraId="5F2D695E" w14:textId="77777777" w:rsidR="00E836FB" w:rsidRDefault="00E836FB">
            <w:pPr>
              <w:rPr>
                <w:rFonts w:ascii="宋体"/>
                <w:vanish/>
              </w:rPr>
            </w:pPr>
          </w:p>
        </w:tc>
        <w:tc>
          <w:tcPr>
            <w:tcW w:w="0" w:type="auto"/>
            <w:shd w:val="clear" w:color="auto" w:fill="auto"/>
            <w:vAlign w:val="bottom"/>
          </w:tcPr>
          <w:p w14:paraId="5F2D695F" w14:textId="77777777" w:rsidR="00E836FB" w:rsidRDefault="00E836FB">
            <w:pPr>
              <w:rPr>
                <w:rFonts w:ascii="宋体"/>
                <w:vanish/>
              </w:rPr>
            </w:pPr>
          </w:p>
        </w:tc>
        <w:tc>
          <w:tcPr>
            <w:tcW w:w="0" w:type="auto"/>
            <w:shd w:val="clear" w:color="auto" w:fill="auto"/>
            <w:vAlign w:val="bottom"/>
          </w:tcPr>
          <w:p w14:paraId="5F2D6960" w14:textId="77777777" w:rsidR="00E836FB" w:rsidRDefault="00E836FB">
            <w:pPr>
              <w:rPr>
                <w:rFonts w:ascii="宋体"/>
                <w:vanish/>
              </w:rPr>
            </w:pPr>
          </w:p>
        </w:tc>
      </w:tr>
      <w:tr w:rsidR="00E836FB" w14:paraId="5F2D6967" w14:textId="77777777">
        <w:trPr>
          <w:jc w:val="center"/>
          <w:hidden/>
        </w:trPr>
        <w:tc>
          <w:tcPr>
            <w:tcW w:w="0" w:type="auto"/>
            <w:gridSpan w:val="3"/>
            <w:shd w:val="clear" w:color="auto" w:fill="auto"/>
            <w:vAlign w:val="bottom"/>
          </w:tcPr>
          <w:p w14:paraId="5F2D6962" w14:textId="77777777" w:rsidR="00E836FB" w:rsidRDefault="00E836FB">
            <w:pPr>
              <w:rPr>
                <w:rFonts w:ascii="宋体"/>
                <w:vanish/>
              </w:rPr>
            </w:pPr>
          </w:p>
        </w:tc>
        <w:tc>
          <w:tcPr>
            <w:tcW w:w="0" w:type="auto"/>
            <w:gridSpan w:val="3"/>
            <w:shd w:val="clear" w:color="auto" w:fill="auto"/>
            <w:vAlign w:val="bottom"/>
          </w:tcPr>
          <w:p w14:paraId="5F2D6963" w14:textId="77777777" w:rsidR="00E836FB" w:rsidRDefault="00E836FB">
            <w:pPr>
              <w:rPr>
                <w:rFonts w:ascii="宋体"/>
                <w:vanish/>
              </w:rPr>
            </w:pPr>
          </w:p>
        </w:tc>
        <w:tc>
          <w:tcPr>
            <w:tcW w:w="0" w:type="auto"/>
            <w:shd w:val="clear" w:color="auto" w:fill="auto"/>
            <w:vAlign w:val="bottom"/>
          </w:tcPr>
          <w:p w14:paraId="5F2D6964" w14:textId="77777777" w:rsidR="00E836FB" w:rsidRDefault="00E836FB">
            <w:pPr>
              <w:rPr>
                <w:rFonts w:ascii="宋体"/>
                <w:vanish/>
              </w:rPr>
            </w:pPr>
          </w:p>
        </w:tc>
        <w:tc>
          <w:tcPr>
            <w:tcW w:w="0" w:type="auto"/>
            <w:shd w:val="clear" w:color="auto" w:fill="auto"/>
            <w:vAlign w:val="bottom"/>
          </w:tcPr>
          <w:p w14:paraId="5F2D6965" w14:textId="77777777" w:rsidR="00E836FB" w:rsidRDefault="00E836FB">
            <w:pPr>
              <w:rPr>
                <w:rFonts w:ascii="宋体"/>
                <w:vanish/>
              </w:rPr>
            </w:pPr>
          </w:p>
        </w:tc>
        <w:tc>
          <w:tcPr>
            <w:tcW w:w="0" w:type="auto"/>
            <w:shd w:val="clear" w:color="auto" w:fill="auto"/>
            <w:vAlign w:val="bottom"/>
          </w:tcPr>
          <w:p w14:paraId="5F2D6966" w14:textId="77777777" w:rsidR="00E836FB" w:rsidRDefault="00E836FB">
            <w:pPr>
              <w:rPr>
                <w:rFonts w:ascii="宋体"/>
                <w:vanish/>
              </w:rPr>
            </w:pPr>
          </w:p>
        </w:tc>
      </w:tr>
      <w:tr w:rsidR="00E836FB" w14:paraId="5F2D696D" w14:textId="77777777">
        <w:trPr>
          <w:jc w:val="center"/>
          <w:hidden/>
        </w:trPr>
        <w:tc>
          <w:tcPr>
            <w:tcW w:w="0" w:type="auto"/>
            <w:gridSpan w:val="3"/>
            <w:shd w:val="clear" w:color="auto" w:fill="auto"/>
            <w:vAlign w:val="bottom"/>
          </w:tcPr>
          <w:p w14:paraId="5F2D6968" w14:textId="77777777" w:rsidR="00E836FB" w:rsidRDefault="00E836FB">
            <w:pPr>
              <w:rPr>
                <w:rFonts w:ascii="宋体"/>
                <w:vanish/>
              </w:rPr>
            </w:pPr>
          </w:p>
        </w:tc>
        <w:tc>
          <w:tcPr>
            <w:tcW w:w="0" w:type="auto"/>
            <w:gridSpan w:val="3"/>
            <w:shd w:val="clear" w:color="auto" w:fill="auto"/>
            <w:vAlign w:val="bottom"/>
          </w:tcPr>
          <w:p w14:paraId="5F2D6969" w14:textId="77777777" w:rsidR="00E836FB" w:rsidRDefault="00E836FB">
            <w:pPr>
              <w:rPr>
                <w:rFonts w:ascii="宋体"/>
                <w:vanish/>
              </w:rPr>
            </w:pPr>
          </w:p>
        </w:tc>
        <w:tc>
          <w:tcPr>
            <w:tcW w:w="0" w:type="auto"/>
            <w:shd w:val="clear" w:color="auto" w:fill="auto"/>
            <w:vAlign w:val="bottom"/>
          </w:tcPr>
          <w:p w14:paraId="5F2D696A" w14:textId="77777777" w:rsidR="00E836FB" w:rsidRDefault="00E836FB">
            <w:pPr>
              <w:rPr>
                <w:rFonts w:ascii="宋体"/>
                <w:vanish/>
              </w:rPr>
            </w:pPr>
          </w:p>
        </w:tc>
        <w:tc>
          <w:tcPr>
            <w:tcW w:w="0" w:type="auto"/>
            <w:shd w:val="clear" w:color="auto" w:fill="auto"/>
            <w:vAlign w:val="bottom"/>
          </w:tcPr>
          <w:p w14:paraId="5F2D696B" w14:textId="77777777" w:rsidR="00E836FB" w:rsidRDefault="00E836FB">
            <w:pPr>
              <w:rPr>
                <w:rFonts w:ascii="宋体"/>
                <w:vanish/>
              </w:rPr>
            </w:pPr>
          </w:p>
        </w:tc>
        <w:tc>
          <w:tcPr>
            <w:tcW w:w="0" w:type="auto"/>
            <w:shd w:val="clear" w:color="auto" w:fill="auto"/>
            <w:vAlign w:val="bottom"/>
          </w:tcPr>
          <w:p w14:paraId="5F2D696C" w14:textId="77777777" w:rsidR="00E836FB" w:rsidRDefault="00E836FB">
            <w:pPr>
              <w:rPr>
                <w:rFonts w:ascii="宋体"/>
                <w:vanish/>
              </w:rPr>
            </w:pPr>
          </w:p>
        </w:tc>
      </w:tr>
      <w:tr w:rsidR="00E836FB" w14:paraId="5F2D6973" w14:textId="77777777">
        <w:trPr>
          <w:jc w:val="center"/>
          <w:hidden/>
        </w:trPr>
        <w:tc>
          <w:tcPr>
            <w:tcW w:w="0" w:type="auto"/>
            <w:gridSpan w:val="3"/>
            <w:shd w:val="clear" w:color="auto" w:fill="auto"/>
            <w:vAlign w:val="bottom"/>
          </w:tcPr>
          <w:p w14:paraId="5F2D696E" w14:textId="77777777" w:rsidR="00E836FB" w:rsidRDefault="00E836FB">
            <w:pPr>
              <w:rPr>
                <w:rFonts w:ascii="宋体"/>
                <w:vanish/>
              </w:rPr>
            </w:pPr>
          </w:p>
        </w:tc>
        <w:tc>
          <w:tcPr>
            <w:tcW w:w="0" w:type="auto"/>
            <w:gridSpan w:val="3"/>
            <w:shd w:val="clear" w:color="auto" w:fill="auto"/>
            <w:vAlign w:val="bottom"/>
          </w:tcPr>
          <w:p w14:paraId="5F2D696F" w14:textId="77777777" w:rsidR="00E836FB" w:rsidRDefault="00E836FB">
            <w:pPr>
              <w:rPr>
                <w:rFonts w:ascii="宋体"/>
                <w:vanish/>
              </w:rPr>
            </w:pPr>
          </w:p>
        </w:tc>
        <w:tc>
          <w:tcPr>
            <w:tcW w:w="0" w:type="auto"/>
            <w:shd w:val="clear" w:color="auto" w:fill="auto"/>
            <w:vAlign w:val="bottom"/>
          </w:tcPr>
          <w:p w14:paraId="5F2D6970" w14:textId="77777777" w:rsidR="00E836FB" w:rsidRDefault="00E836FB">
            <w:pPr>
              <w:rPr>
                <w:rFonts w:ascii="宋体"/>
                <w:vanish/>
              </w:rPr>
            </w:pPr>
          </w:p>
        </w:tc>
        <w:tc>
          <w:tcPr>
            <w:tcW w:w="0" w:type="auto"/>
            <w:shd w:val="clear" w:color="auto" w:fill="auto"/>
            <w:vAlign w:val="bottom"/>
          </w:tcPr>
          <w:p w14:paraId="5F2D6971" w14:textId="77777777" w:rsidR="00E836FB" w:rsidRDefault="00E836FB">
            <w:pPr>
              <w:rPr>
                <w:rFonts w:ascii="宋体"/>
                <w:vanish/>
              </w:rPr>
            </w:pPr>
          </w:p>
        </w:tc>
        <w:tc>
          <w:tcPr>
            <w:tcW w:w="0" w:type="auto"/>
            <w:shd w:val="clear" w:color="auto" w:fill="auto"/>
            <w:vAlign w:val="bottom"/>
          </w:tcPr>
          <w:p w14:paraId="5F2D6972" w14:textId="77777777" w:rsidR="00E836FB" w:rsidRDefault="00E836FB">
            <w:pPr>
              <w:rPr>
                <w:rFonts w:ascii="宋体"/>
                <w:vanish/>
              </w:rPr>
            </w:pPr>
          </w:p>
        </w:tc>
      </w:tr>
      <w:tr w:rsidR="00E836FB" w14:paraId="5F2D6979" w14:textId="77777777">
        <w:trPr>
          <w:jc w:val="center"/>
          <w:hidden/>
        </w:trPr>
        <w:tc>
          <w:tcPr>
            <w:tcW w:w="0" w:type="auto"/>
            <w:gridSpan w:val="3"/>
            <w:shd w:val="clear" w:color="auto" w:fill="auto"/>
            <w:vAlign w:val="bottom"/>
          </w:tcPr>
          <w:p w14:paraId="5F2D6974" w14:textId="77777777" w:rsidR="00E836FB" w:rsidRDefault="00E836FB">
            <w:pPr>
              <w:rPr>
                <w:rFonts w:ascii="宋体"/>
                <w:vanish/>
              </w:rPr>
            </w:pPr>
          </w:p>
        </w:tc>
        <w:tc>
          <w:tcPr>
            <w:tcW w:w="0" w:type="auto"/>
            <w:gridSpan w:val="3"/>
            <w:shd w:val="clear" w:color="auto" w:fill="auto"/>
            <w:vAlign w:val="bottom"/>
          </w:tcPr>
          <w:p w14:paraId="5F2D6975" w14:textId="77777777" w:rsidR="00E836FB" w:rsidRDefault="00E836FB">
            <w:pPr>
              <w:rPr>
                <w:rFonts w:ascii="宋体"/>
                <w:vanish/>
              </w:rPr>
            </w:pPr>
          </w:p>
        </w:tc>
        <w:tc>
          <w:tcPr>
            <w:tcW w:w="0" w:type="auto"/>
            <w:shd w:val="clear" w:color="auto" w:fill="auto"/>
            <w:vAlign w:val="bottom"/>
          </w:tcPr>
          <w:p w14:paraId="5F2D6976" w14:textId="77777777" w:rsidR="00E836FB" w:rsidRDefault="00E836FB">
            <w:pPr>
              <w:rPr>
                <w:rFonts w:ascii="宋体"/>
                <w:vanish/>
              </w:rPr>
            </w:pPr>
          </w:p>
        </w:tc>
        <w:tc>
          <w:tcPr>
            <w:tcW w:w="0" w:type="auto"/>
            <w:shd w:val="clear" w:color="auto" w:fill="auto"/>
            <w:vAlign w:val="bottom"/>
          </w:tcPr>
          <w:p w14:paraId="5F2D6977" w14:textId="77777777" w:rsidR="00E836FB" w:rsidRDefault="00E836FB">
            <w:pPr>
              <w:rPr>
                <w:rFonts w:ascii="宋体"/>
                <w:vanish/>
              </w:rPr>
            </w:pPr>
          </w:p>
        </w:tc>
        <w:tc>
          <w:tcPr>
            <w:tcW w:w="0" w:type="auto"/>
            <w:shd w:val="clear" w:color="auto" w:fill="auto"/>
            <w:vAlign w:val="bottom"/>
          </w:tcPr>
          <w:p w14:paraId="5F2D6978" w14:textId="77777777" w:rsidR="00E836FB" w:rsidRDefault="00E836FB">
            <w:pPr>
              <w:rPr>
                <w:rFonts w:ascii="宋体"/>
                <w:vanish/>
              </w:rPr>
            </w:pPr>
          </w:p>
        </w:tc>
      </w:tr>
      <w:tr w:rsidR="00E836FB" w14:paraId="5F2D697F" w14:textId="77777777">
        <w:trPr>
          <w:jc w:val="center"/>
          <w:hidden/>
        </w:trPr>
        <w:tc>
          <w:tcPr>
            <w:tcW w:w="0" w:type="auto"/>
            <w:gridSpan w:val="3"/>
            <w:shd w:val="clear" w:color="auto" w:fill="auto"/>
            <w:vAlign w:val="bottom"/>
          </w:tcPr>
          <w:p w14:paraId="5F2D697A" w14:textId="77777777" w:rsidR="00E836FB" w:rsidRDefault="00E836FB">
            <w:pPr>
              <w:rPr>
                <w:rFonts w:ascii="宋体"/>
                <w:vanish/>
              </w:rPr>
            </w:pPr>
          </w:p>
        </w:tc>
        <w:tc>
          <w:tcPr>
            <w:tcW w:w="0" w:type="auto"/>
            <w:gridSpan w:val="3"/>
            <w:shd w:val="clear" w:color="auto" w:fill="auto"/>
            <w:vAlign w:val="bottom"/>
          </w:tcPr>
          <w:p w14:paraId="5F2D697B" w14:textId="77777777" w:rsidR="00E836FB" w:rsidRDefault="00E836FB">
            <w:pPr>
              <w:rPr>
                <w:rFonts w:ascii="宋体"/>
                <w:vanish/>
              </w:rPr>
            </w:pPr>
          </w:p>
        </w:tc>
        <w:tc>
          <w:tcPr>
            <w:tcW w:w="0" w:type="auto"/>
            <w:shd w:val="clear" w:color="auto" w:fill="auto"/>
            <w:vAlign w:val="bottom"/>
          </w:tcPr>
          <w:p w14:paraId="5F2D697C" w14:textId="77777777" w:rsidR="00E836FB" w:rsidRDefault="00E836FB">
            <w:pPr>
              <w:rPr>
                <w:rFonts w:ascii="宋体"/>
                <w:vanish/>
              </w:rPr>
            </w:pPr>
          </w:p>
        </w:tc>
        <w:tc>
          <w:tcPr>
            <w:tcW w:w="0" w:type="auto"/>
            <w:shd w:val="clear" w:color="auto" w:fill="auto"/>
            <w:vAlign w:val="bottom"/>
          </w:tcPr>
          <w:p w14:paraId="5F2D697D" w14:textId="77777777" w:rsidR="00E836FB" w:rsidRDefault="00E836FB">
            <w:pPr>
              <w:rPr>
                <w:rFonts w:ascii="宋体"/>
                <w:vanish/>
              </w:rPr>
            </w:pPr>
          </w:p>
        </w:tc>
        <w:tc>
          <w:tcPr>
            <w:tcW w:w="0" w:type="auto"/>
            <w:shd w:val="clear" w:color="auto" w:fill="auto"/>
            <w:vAlign w:val="bottom"/>
          </w:tcPr>
          <w:p w14:paraId="5F2D697E" w14:textId="77777777" w:rsidR="00E836FB" w:rsidRDefault="00E836FB">
            <w:pPr>
              <w:rPr>
                <w:rFonts w:ascii="宋体"/>
                <w:vanish/>
              </w:rPr>
            </w:pPr>
          </w:p>
        </w:tc>
      </w:tr>
      <w:tr w:rsidR="00E836FB" w14:paraId="5F2D6986"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5F2D6980" w14:textId="77777777" w:rsidR="00E836FB" w:rsidRDefault="00994958">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5F2D6981" w14:textId="77777777" w:rsidR="00E836FB" w:rsidRDefault="00994958">
            <w:pP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loan or security backed by a pool of debt, primarily senior secured leveraged loans. CLOs are similar to collateralized mortgage obligations, except for the different type of underlying loan. With a CLO, the inves</w:t>
            </w:r>
            <w:r>
              <w:rPr>
                <w:rFonts w:ascii="Arial" w:eastAsia="宋体" w:hAnsi="Arial" w:cs="Arial"/>
                <w:color w:val="000000"/>
                <w:sz w:val="16"/>
                <w:szCs w:val="16"/>
              </w:rPr>
              <w:t>tor receives scheduled loan or debt payments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w:t>
            </w:r>
            <w:r>
              <w:rPr>
                <w:rFonts w:ascii="Arial" w:eastAsia="宋体" w:hAnsi="Arial" w:cs="Arial"/>
                <w:color w:val="000000"/>
                <w:sz w:val="16"/>
                <w:szCs w:val="16"/>
              </w:rPr>
              <w:t xml:space="preserve"> to generate profit from capital gains or rental income. CRE loans are term loans secured by commercial and multifamily properties. We seek CRE loans with strong competitive positions in major domestic markets, stable cash flows, modest leverage and experi</w:t>
            </w:r>
            <w:r>
              <w:rPr>
                <w:rFonts w:ascii="Arial" w:eastAsia="宋体" w:hAnsi="Arial" w:cs="Arial"/>
                <w:color w:val="000000"/>
                <w:sz w:val="16"/>
                <w:szCs w:val="16"/>
              </w:rPr>
              <w:t>enced institutional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w:t>
            </w:r>
            <w:r>
              <w:rPr>
                <w:rFonts w:ascii="Arial" w:eastAsia="宋体" w:hAnsi="Arial" w:cs="Arial"/>
                <w:color w:val="000000"/>
                <w:sz w:val="16"/>
                <w:szCs w:val="16"/>
              </w:rPr>
              <w:t xml:space="preserve">, which essentially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jeopardize repayment with the possibility that we will sustain some loss) wit</w:t>
            </w:r>
            <w:r>
              <w:rPr>
                <w:rFonts w:ascii="Arial" w:eastAsia="宋体" w:hAnsi="Arial" w:cs="Arial"/>
                <w:color w:val="000000"/>
                <w:sz w:val="16"/>
                <w:szCs w:val="16"/>
              </w:rPr>
              <w:t>h the added characteristic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fair value of assets, liabilities and off-balance sheet instruments base</w:t>
            </w:r>
            <w:r>
              <w:rPr>
                <w:rFonts w:ascii="Arial" w:eastAsia="宋体" w:hAnsi="Arial" w:cs="Arial"/>
                <w:color w:val="000000"/>
                <w:sz w:val="16"/>
                <w:szCs w:val="16"/>
              </w:rPr>
              <w:t>d on a discounted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 xml:space="preserve">A type of exchange-traded investment product that offer investors a way to pool their money in a fund that makes investments in stocks, bonds, or other assets and, in return, to receive an interest </w:t>
            </w:r>
            <w:r>
              <w:rPr>
                <w:rFonts w:ascii="Arial" w:eastAsia="宋体" w:hAnsi="Arial" w:cs="Arial"/>
                <w:color w:val="000000"/>
                <w:sz w:val="16"/>
                <w:szCs w:val="16"/>
              </w:rPr>
              <w:t>in that investment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final rul</w:t>
            </w:r>
            <w:r>
              <w:rPr>
                <w:rFonts w:ascii="Arial" w:eastAsia="宋体" w:hAnsi="Arial" w:cs="Arial"/>
                <w:color w:val="000000"/>
                <w:sz w:val="16"/>
                <w:szCs w:val="16"/>
              </w:rPr>
              <w:t>e. It can be defined as the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 xml:space="preserve">A financial institution whose distress or disorderly failure, because of its size, complexity and systemic </w:t>
            </w:r>
            <w:r>
              <w:rPr>
                <w:rFonts w:ascii="Arial" w:eastAsia="宋体" w:hAnsi="Arial" w:cs="Arial"/>
                <w:color w:val="000000"/>
                <w:sz w:val="16"/>
                <w:szCs w:val="16"/>
              </w:rPr>
              <w:t>interconnectedness, would cause significant disruption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w:t>
            </w:r>
            <w:r>
              <w:rPr>
                <w:rFonts w:ascii="Arial" w:eastAsia="宋体" w:hAnsi="Arial" w:cs="Arial"/>
                <w:color w:val="000000"/>
                <w:sz w:val="16"/>
                <w:szCs w:val="16"/>
              </w:rPr>
              <w:t>d-to-maturity only if we have the positive intent and ability to hold those securities to maturity. Investments in debt securities classified as held-to-maturity are measured subsequently at amortized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5F2D6982" w14:textId="77777777" w:rsidR="00E836FB" w:rsidRDefault="00994958">
            <w:pPr>
              <w:spacing w:after="240"/>
              <w:textAlignment w:val="top"/>
            </w:pPr>
            <w:r>
              <w:rPr>
                <w:rFonts w:ascii="Arial" w:eastAsia="宋体" w:hAnsi="Arial" w:cs="Arial"/>
                <w:b/>
                <w:bCs/>
                <w:color w:val="000000"/>
                <w:sz w:val="16"/>
                <w:szCs w:val="16"/>
              </w:rPr>
              <w:t>High-quali</w:t>
            </w:r>
            <w:r>
              <w:rPr>
                <w:rFonts w:ascii="Arial" w:eastAsia="宋体" w:hAnsi="Arial" w:cs="Arial"/>
                <w:b/>
                <w:bCs/>
                <w:color w:val="000000"/>
                <w:sz w:val="16"/>
                <w:szCs w:val="16"/>
              </w:rPr>
              <w:t>ty liquid assets:</w:t>
            </w:r>
            <w:r>
              <w:rPr>
                <w:rFonts w:ascii="Arial" w:eastAsia="宋体" w:hAnsi="Arial" w:cs="Arial"/>
                <w:color w:val="000000"/>
                <w:sz w:val="16"/>
                <w:szCs w:val="16"/>
              </w:rPr>
              <w:t xml:space="preserve"> Cash or assets 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leases to counterparties with strong credit quality and low expected</w:t>
            </w:r>
            <w:r>
              <w:rPr>
                <w:rFonts w:ascii="Arial" w:eastAsia="宋体" w:hAnsi="Arial" w:cs="Arial"/>
                <w:color w:val="000000"/>
                <w:sz w:val="16"/>
                <w:szCs w:val="16"/>
              </w:rPr>
              <w:t xml:space="preserve"> credit risk and probability of default.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 encumbered high-quality liquid assets divided by expected tota</w:t>
            </w:r>
            <w:r>
              <w:rPr>
                <w:rFonts w:ascii="Arial" w:eastAsia="宋体" w:hAnsi="Arial" w:cs="Arial"/>
                <w:color w:val="000000"/>
                <w:sz w:val="16"/>
                <w:szCs w:val="16"/>
              </w:rPr>
              <w:t>l net cash outflows over a 30-day stress period. A Basel III framework requirement for banks and bank holding companies to measure liquidity, it is designed to ensure that certain banking institutions, including us, maintain a minimum amount of unencumbere</w:t>
            </w:r>
            <w:r>
              <w:rPr>
                <w:rFonts w:ascii="Arial" w:eastAsia="宋体" w:hAnsi="Arial" w:cs="Arial"/>
                <w:color w:val="000000"/>
                <w:sz w:val="16"/>
                <w:szCs w:val="16"/>
              </w:rPr>
              <w:t xml:space="preserve">d HQLA sufficient to withstand the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net assets attributable to each share/unit of the fund at a specific date or </w:t>
            </w:r>
            <w:r>
              <w:rPr>
                <w:rFonts w:ascii="Arial" w:eastAsia="宋体" w:hAnsi="Arial" w:cs="Arial"/>
                <w:color w:val="000000"/>
                <w:sz w:val="16"/>
                <w:szCs w:val="16"/>
              </w:rPr>
              <w:t xml:space="preserve">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The ratio of the amount of available stable funding relative to the amount of required stable funding. This ratio should be equal to at least 100%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w:t>
            </w:r>
            <w:r>
              <w:rPr>
                <w:rFonts w:ascii="Arial" w:eastAsia="宋体" w:hAnsi="Arial" w:cs="Arial"/>
                <w:color w:val="000000"/>
                <w:sz w:val="16"/>
                <w:szCs w:val="16"/>
              </w:rPr>
              <w:t>aken on a security whose fair value has fallen 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default:</w:t>
            </w:r>
            <w:r>
              <w:rPr>
                <w:rFonts w:ascii="Arial" w:eastAsia="宋体" w:hAnsi="Arial" w:cs="Arial"/>
                <w:color w:val="000000"/>
                <w:sz w:val="16"/>
                <w:szCs w:val="16"/>
              </w:rPr>
              <w:t xml:space="preserve"> A measure of the likelihood that a credit obligor will en</w:t>
            </w:r>
            <w:r>
              <w:rPr>
                <w:rFonts w:ascii="Arial" w:eastAsia="宋体" w:hAnsi="Arial" w:cs="Arial"/>
                <w:color w:val="000000"/>
                <w:sz w:val="16"/>
                <w:szCs w:val="16"/>
              </w:rPr>
              <w:t>ter into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Qualified financial contracts: </w:t>
            </w:r>
            <w:r>
              <w:rPr>
                <w:rFonts w:ascii="Arial" w:eastAsia="宋体" w:hAnsi="Arial" w:cs="Arial"/>
                <w:color w:val="000000"/>
                <w:sz w:val="16"/>
                <w:szCs w:val="16"/>
              </w:rPr>
              <w:t>Securities contracts, commodity contracts, forward contracts, repurchase agreements, swap agreements and any other contract determined by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w:t>
            </w:r>
            <w:r>
              <w:rPr>
                <w:rFonts w:ascii="Arial" w:eastAsia="宋体" w:hAnsi="Arial" w:cs="Arial"/>
                <w:b/>
                <w:bCs/>
                <w:color w:val="000000"/>
                <w:sz w:val="16"/>
                <w:szCs w:val="16"/>
              </w:rPr>
              <w:t xml:space="preserve"> assets:</w:t>
            </w:r>
            <w:r>
              <w:rPr>
                <w:rFonts w:ascii="Arial" w:eastAsia="宋体" w:hAnsi="Arial" w:cs="Arial"/>
                <w:color w:val="000000"/>
                <w:sz w:val="16"/>
                <w:szCs w:val="16"/>
              </w:rPr>
              <w:t xml:space="preserve"> A measurement used to quantify risk inherent in our on and off-balance sheet assets by adjusting the asset value for risk. RWA is used in the calculation of our risk-based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w:t>
            </w:r>
            <w:r>
              <w:rPr>
                <w:rFonts w:ascii="Arial" w:eastAsia="宋体" w:hAnsi="Arial" w:cs="Arial"/>
                <w:color w:val="000000"/>
                <w:sz w:val="16"/>
                <w:szCs w:val="16"/>
              </w:rPr>
              <w:t>parties with potential weaknesses 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ongoing uncertainties or exposure to business, financial, or economic downtu</w:t>
            </w:r>
            <w:r>
              <w:rPr>
                <w:rFonts w:ascii="Arial" w:eastAsia="宋体" w:hAnsi="Arial" w:cs="Arial"/>
                <w:color w:val="000000"/>
                <w:sz w:val="16"/>
                <w:szCs w:val="16"/>
              </w:rPr>
              <w:t>rns. However, these counterparties may have financial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leases that consist of counterparties with well-defined weakness that jeopardize</w:t>
            </w:r>
            <w:r>
              <w:rPr>
                <w:rFonts w:ascii="Arial" w:eastAsia="宋体" w:hAnsi="Arial" w:cs="Arial"/>
                <w:color w:val="000000"/>
                <w:sz w:val="16"/>
                <w:szCs w:val="16"/>
              </w:rPr>
              <w:t xml:space="preserve">s repayment with the possibility we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 measures our capital adequacy relative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w:t>
            </w:r>
            <w:r>
              <w:rPr>
                <w:rFonts w:ascii="Arial" w:eastAsia="宋体" w:hAnsi="Arial" w:cs="Arial"/>
                <w:b/>
                <w:bCs/>
                <w:color w:val="000000"/>
                <w:sz w:val="16"/>
                <w:szCs w:val="16"/>
              </w:rPr>
              <w:t>orbing capacity:</w:t>
            </w:r>
            <w:r>
              <w:rPr>
                <w:rFonts w:ascii="Arial" w:eastAsia="宋体" w:hAnsi="Arial" w:cs="Arial"/>
                <w:color w:val="000000"/>
                <w:sz w:val="16"/>
                <w:szCs w:val="16"/>
              </w:rPr>
              <w:t xml:space="preserve"> The sum of our tier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the potential loss in value of a portfolio that could occur in normal markets condition, over a </w:t>
            </w:r>
            <w:r>
              <w:rPr>
                <w:rFonts w:ascii="Arial" w:eastAsia="宋体" w:hAnsi="Arial" w:cs="Arial"/>
                <w:color w:val="000000"/>
                <w:sz w:val="16"/>
                <w:szCs w:val="16"/>
              </w:rPr>
              <w:t xml:space="preserve">defined holding period, within a certain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equity investment at risk to permit the entity to finance its activities without additional financial support from other parties; (2) ha</w:t>
            </w:r>
            <w:r>
              <w:rPr>
                <w:rFonts w:ascii="Arial" w:eastAsia="宋体" w:hAnsi="Arial" w:cs="Arial"/>
                <w:color w:val="000000"/>
                <w:sz w:val="16"/>
                <w:szCs w:val="16"/>
              </w:rPr>
              <w:t>s equity owners that lack the right to make significant decisions affecting the entity’s operations; and/or (3) has equity owners that do not have an obligation to absorb or the right to receive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vAlign w:val="bottom"/>
          </w:tcPr>
          <w:p w14:paraId="5F2D6983" w14:textId="77777777" w:rsidR="00E836FB" w:rsidRDefault="00E836FB">
            <w:pPr>
              <w:rPr>
                <w:rFonts w:ascii="宋体"/>
                <w:vanish/>
              </w:rPr>
            </w:pPr>
          </w:p>
        </w:tc>
        <w:tc>
          <w:tcPr>
            <w:tcW w:w="0" w:type="auto"/>
            <w:shd w:val="clear" w:color="auto" w:fill="auto"/>
            <w:vAlign w:val="bottom"/>
          </w:tcPr>
          <w:p w14:paraId="5F2D6984" w14:textId="77777777" w:rsidR="00E836FB" w:rsidRDefault="00E836FB">
            <w:pPr>
              <w:rPr>
                <w:rFonts w:ascii="宋体"/>
                <w:vanish/>
              </w:rPr>
            </w:pPr>
          </w:p>
        </w:tc>
        <w:tc>
          <w:tcPr>
            <w:tcW w:w="0" w:type="auto"/>
            <w:shd w:val="clear" w:color="auto" w:fill="auto"/>
            <w:vAlign w:val="bottom"/>
          </w:tcPr>
          <w:p w14:paraId="5F2D6985" w14:textId="77777777" w:rsidR="00E836FB" w:rsidRDefault="00E836FB">
            <w:pPr>
              <w:rPr>
                <w:rFonts w:ascii="宋体"/>
                <w:vanish/>
              </w:rPr>
            </w:pPr>
          </w:p>
        </w:tc>
      </w:tr>
    </w:tbl>
    <w:p w14:paraId="5F2D6987" w14:textId="77777777" w:rsidR="00E836FB" w:rsidRDefault="00994958">
      <w:pPr>
        <w:ind w:firstLine="450"/>
        <w:jc w:val="right"/>
      </w:pPr>
      <w:r>
        <w:rPr>
          <w:rFonts w:ascii="Arial" w:eastAsia="宋体" w:hAnsi="Arial" w:cs="Arial"/>
          <w:color w:val="000000"/>
          <w:sz w:val="18"/>
          <w:szCs w:val="18"/>
        </w:rPr>
        <w:t>State Street Co</w:t>
      </w:r>
      <w:r>
        <w:rPr>
          <w:rFonts w:ascii="Arial" w:eastAsia="宋体" w:hAnsi="Arial" w:cs="Arial"/>
          <w:color w:val="000000"/>
          <w:sz w:val="18"/>
          <w:szCs w:val="18"/>
        </w:rPr>
        <w:t>rporation | 189</w:t>
      </w:r>
    </w:p>
    <w:p w14:paraId="5F2D6988" w14:textId="77777777" w:rsidR="00E836FB" w:rsidRDefault="00E836FB">
      <w:pPr>
        <w:ind w:firstLine="450"/>
        <w:jc w:val="center"/>
      </w:pPr>
    </w:p>
    <w:p w14:paraId="5F2D6989" w14:textId="77777777" w:rsidR="00E836FB" w:rsidRDefault="00994958">
      <w:r>
        <w:pict w14:anchorId="5F2D6E42">
          <v:rect id="_x0000_i1213" style="width:415.3pt;height:1.5pt" o:hralign="center" o:hrstd="t" o:hr="t" fillcolor="#a0a0a0" stroked="f"/>
        </w:pict>
      </w:r>
    </w:p>
    <w:p w14:paraId="5F2D698A" w14:textId="77777777" w:rsidR="00E836FB" w:rsidRDefault="00E836FB">
      <w:pPr>
        <w:ind w:firstLine="450"/>
      </w:pPr>
    </w:p>
    <w:p w14:paraId="5F2D698B" w14:textId="77777777" w:rsidR="00E836FB" w:rsidRDefault="00994958">
      <w:pPr>
        <w:spacing w:before="90"/>
        <w:jc w:val="both"/>
      </w:pPr>
      <w:r>
        <w:rPr>
          <w:rFonts w:ascii="Arial" w:eastAsia="宋体" w:hAnsi="Arial" w:cs="Arial"/>
          <w:b/>
          <w:bCs/>
          <w:color w:val="000000"/>
          <w:sz w:val="20"/>
          <w:szCs w:val="20"/>
        </w:rPr>
        <w:t>ITEM 9. CHANGES IN AND DISAGREEMENTS WITH ACCOUNTANTS ON ACCOUNTING AND FINANCIAL DISCLOSURE</w:t>
      </w:r>
    </w:p>
    <w:p w14:paraId="5F2D698C" w14:textId="77777777" w:rsidR="00E836FB" w:rsidRDefault="00994958">
      <w:pPr>
        <w:spacing w:before="120"/>
        <w:ind w:firstLine="450"/>
        <w:jc w:val="both"/>
      </w:pPr>
      <w:r>
        <w:rPr>
          <w:rFonts w:ascii="Arial" w:eastAsia="宋体" w:hAnsi="Arial" w:cs="Arial"/>
          <w:color w:val="000000"/>
          <w:sz w:val="20"/>
          <w:szCs w:val="20"/>
        </w:rPr>
        <w:t>None.</w:t>
      </w:r>
    </w:p>
    <w:p w14:paraId="5F2D698D" w14:textId="77777777" w:rsidR="00E836FB" w:rsidRDefault="00994958">
      <w:pPr>
        <w:spacing w:before="90"/>
      </w:pPr>
      <w:r>
        <w:rPr>
          <w:rFonts w:ascii="Arial" w:eastAsia="宋体" w:hAnsi="Arial" w:cs="Arial"/>
          <w:b/>
          <w:bCs/>
          <w:color w:val="000000"/>
          <w:sz w:val="20"/>
          <w:szCs w:val="20"/>
        </w:rPr>
        <w:t>ITEM 9A. CONTROLS AND PROCEDURES</w:t>
      </w:r>
    </w:p>
    <w:p w14:paraId="5F2D698E" w14:textId="77777777" w:rsidR="00E836FB" w:rsidRDefault="00994958">
      <w:pPr>
        <w:spacing w:before="60"/>
        <w:ind w:firstLine="450"/>
        <w:jc w:val="both"/>
      </w:pPr>
      <w:r>
        <w:rPr>
          <w:rFonts w:ascii="Arial" w:eastAsia="宋体" w:hAnsi="Arial" w:cs="Arial"/>
          <w:color w:val="000000"/>
          <w:sz w:val="20"/>
          <w:szCs w:val="20"/>
        </w:rPr>
        <w:t>State Street has established and maintains disclosure controls and procedures that are designed to ensure that material information related to State Street and its subsidiaries on a consolidated basis required to be disclosed in its reports filed or submit</w:t>
      </w:r>
      <w:r>
        <w:rPr>
          <w:rFonts w:ascii="Arial" w:eastAsia="宋体" w:hAnsi="Arial" w:cs="Arial"/>
          <w:color w:val="000000"/>
          <w:sz w:val="20"/>
          <w:szCs w:val="20"/>
        </w:rPr>
        <w:t>ted under the Securities Exchange Act of 1934 is recorded, processed, summarized, and reported within the time periods specified in the SEC's rules and forms, and that such information is accumulated and communicated to State Street's management, including</w:t>
      </w:r>
      <w:r>
        <w:rPr>
          <w:rFonts w:ascii="Arial" w:eastAsia="宋体" w:hAnsi="Arial" w:cs="Arial"/>
          <w:color w:val="000000"/>
          <w:sz w:val="20"/>
          <w:szCs w:val="20"/>
        </w:rPr>
        <w:t xml:space="preserve"> its Chief Executive Officer and Chief Financial Officer, as appropriate, to allow timely decisions regarding required disclosure. For the year ended December 31, 2021, State Street's management carried out an evaluation, with the participation of the Chie</w:t>
      </w:r>
      <w:r>
        <w:rPr>
          <w:rFonts w:ascii="Arial" w:eastAsia="宋体" w:hAnsi="Arial" w:cs="Arial"/>
          <w:color w:val="000000"/>
          <w:sz w:val="20"/>
          <w:szCs w:val="20"/>
        </w:rPr>
        <w:t>f Executive Officer and Chief Financial Officer, of the effectiveness of the design and operation of State Street's disclosure controls and procedures. Based on the evaluation of these disclosure controls and procedures, the Chief Executive Officer and Chi</w:t>
      </w:r>
      <w:r>
        <w:rPr>
          <w:rFonts w:ascii="Arial" w:eastAsia="宋体" w:hAnsi="Arial" w:cs="Arial"/>
          <w:color w:val="000000"/>
          <w:sz w:val="20"/>
          <w:szCs w:val="20"/>
        </w:rPr>
        <w:t xml:space="preserve">ef Financial Officer concluded that State Street's disclosure controls and procedures were effective as of December 31, 2021. </w:t>
      </w:r>
    </w:p>
    <w:p w14:paraId="5F2D698F" w14:textId="77777777" w:rsidR="00E836FB" w:rsidRDefault="00994958">
      <w:pPr>
        <w:spacing w:before="60"/>
        <w:ind w:firstLine="450"/>
        <w:jc w:val="both"/>
      </w:pPr>
      <w:r>
        <w:rPr>
          <w:rFonts w:ascii="Arial" w:eastAsia="宋体" w:hAnsi="Arial" w:cs="Arial"/>
          <w:color w:val="000000"/>
          <w:sz w:val="20"/>
          <w:szCs w:val="20"/>
        </w:rPr>
        <w:t>State Street has also established and maintains internal control over financial reporting as a process designed to provide reasonable assurance regarding the reliability of financial reporting and the preparation of consolidated financial statements for ex</w:t>
      </w:r>
      <w:r>
        <w:rPr>
          <w:rFonts w:ascii="Arial" w:eastAsia="宋体" w:hAnsi="Arial" w:cs="Arial"/>
          <w:color w:val="000000"/>
          <w:sz w:val="20"/>
          <w:szCs w:val="20"/>
        </w:rPr>
        <w:t>ternal purposes in conformity with U.S. GAAP. In the ordinary course of business, State Street routinely enhances its internal controls and procedures for financial reporting by either upgrading its current systems or implementing new systems. Changes have</w:t>
      </w:r>
      <w:r>
        <w:rPr>
          <w:rFonts w:ascii="Arial" w:eastAsia="宋体" w:hAnsi="Arial" w:cs="Arial"/>
          <w:color w:val="000000"/>
          <w:sz w:val="20"/>
          <w:szCs w:val="20"/>
        </w:rPr>
        <w:t xml:space="preserve"> been made and may be made to State Street's internal controls and procedures for financial reporting as a result of these efforts. During the quarter ended December 31, 2021, no change occurred in State Street's internal control over financial reporting t</w:t>
      </w:r>
      <w:r>
        <w:rPr>
          <w:rFonts w:ascii="Arial" w:eastAsia="宋体" w:hAnsi="Arial" w:cs="Arial"/>
          <w:color w:val="000000"/>
          <w:sz w:val="20"/>
          <w:szCs w:val="20"/>
        </w:rPr>
        <w:t xml:space="preserve">hat has materially affected, or is reasonably likely to materially affect, State Street's internal control over financial reporting. </w:t>
      </w:r>
    </w:p>
    <w:p w14:paraId="5F2D6990" w14:textId="77777777" w:rsidR="00E836FB" w:rsidRDefault="00E836FB">
      <w:pPr>
        <w:ind w:firstLine="450"/>
        <w:textAlignment w:val="top"/>
      </w:pPr>
    </w:p>
    <w:p w14:paraId="5F2D6991" w14:textId="77777777" w:rsidR="00E836FB" w:rsidRDefault="00994958">
      <w:pPr>
        <w:ind w:firstLine="450"/>
        <w:jc w:val="right"/>
      </w:pPr>
      <w:r>
        <w:rPr>
          <w:rFonts w:ascii="Arial" w:eastAsia="宋体" w:hAnsi="Arial" w:cs="Arial"/>
          <w:color w:val="000000"/>
          <w:sz w:val="18"/>
          <w:szCs w:val="18"/>
        </w:rPr>
        <w:t>State Street Corporation | 190</w:t>
      </w:r>
    </w:p>
    <w:p w14:paraId="5F2D6992" w14:textId="77777777" w:rsidR="00E836FB" w:rsidRDefault="00E836FB">
      <w:pPr>
        <w:ind w:firstLine="450"/>
        <w:jc w:val="center"/>
      </w:pPr>
    </w:p>
    <w:p w14:paraId="5F2D6993" w14:textId="77777777" w:rsidR="00E836FB" w:rsidRDefault="00994958">
      <w:r>
        <w:pict w14:anchorId="5F2D6E43">
          <v:rect id="_x0000_i1214" style="width:415.3pt;height:1.5pt" o:hralign="center" o:hrstd="t" o:hr="t" fillcolor="#a0a0a0" stroked="f"/>
        </w:pict>
      </w:r>
    </w:p>
    <w:p w14:paraId="5F2D6994" w14:textId="77777777" w:rsidR="00E836FB" w:rsidRDefault="00E836FB">
      <w:pPr>
        <w:ind w:firstLine="450"/>
      </w:pPr>
    </w:p>
    <w:p w14:paraId="5F2D6995" w14:textId="77777777" w:rsidR="00E836FB" w:rsidRDefault="00994958">
      <w:r>
        <w:rPr>
          <w:rFonts w:ascii="Arial" w:eastAsia="宋体" w:hAnsi="Arial" w:cs="Arial"/>
          <w:color w:val="000000"/>
          <w:sz w:val="20"/>
          <w:szCs w:val="20"/>
        </w:rPr>
        <w:t>INTERNAL CONTROL OVER FINANCIAL REPORTING</w:t>
      </w:r>
    </w:p>
    <w:p w14:paraId="5F2D6996" w14:textId="77777777" w:rsidR="00E836FB" w:rsidRDefault="00E836FB">
      <w:pPr>
        <w:ind w:firstLine="450"/>
      </w:pPr>
    </w:p>
    <w:p w14:paraId="5F2D6997" w14:textId="77777777" w:rsidR="00E836FB" w:rsidRDefault="00994958">
      <w:pPr>
        <w:spacing w:before="90"/>
      </w:pPr>
      <w:r>
        <w:rPr>
          <w:rFonts w:ascii="Arial" w:eastAsia="宋体" w:hAnsi="Arial" w:cs="Arial"/>
          <w:b/>
          <w:bCs/>
          <w:color w:val="000000"/>
          <w:sz w:val="20"/>
          <w:szCs w:val="20"/>
        </w:rPr>
        <w:t>Management’s Report on Internal Control Ove</w:t>
      </w:r>
      <w:r>
        <w:rPr>
          <w:rFonts w:ascii="Arial" w:eastAsia="宋体" w:hAnsi="Arial" w:cs="Arial"/>
          <w:b/>
          <w:bCs/>
          <w:color w:val="000000"/>
          <w:sz w:val="20"/>
          <w:szCs w:val="20"/>
        </w:rPr>
        <w:t>r Financial Reporting</w:t>
      </w:r>
    </w:p>
    <w:p w14:paraId="5F2D6998" w14:textId="77777777" w:rsidR="00E836FB" w:rsidRDefault="00994958">
      <w:pPr>
        <w:spacing w:before="120"/>
        <w:ind w:firstLine="450"/>
        <w:jc w:val="both"/>
      </w:pPr>
      <w:r>
        <w:rPr>
          <w:rFonts w:ascii="Arial" w:eastAsia="宋体" w:hAnsi="Arial" w:cs="Arial"/>
          <w:color w:val="000000"/>
          <w:sz w:val="20"/>
          <w:szCs w:val="20"/>
        </w:rPr>
        <w:t>The management of State Street is responsible for establishing and maintaining adequate internal control over financial reporting.</w:t>
      </w:r>
    </w:p>
    <w:p w14:paraId="5F2D6999" w14:textId="77777777" w:rsidR="00E836FB" w:rsidRDefault="00994958">
      <w:pPr>
        <w:spacing w:before="120"/>
        <w:ind w:firstLine="450"/>
        <w:jc w:val="both"/>
      </w:pPr>
      <w:r>
        <w:rPr>
          <w:rFonts w:ascii="Arial" w:eastAsia="宋体" w:hAnsi="Arial" w:cs="Arial"/>
          <w:color w:val="000000"/>
          <w:sz w:val="20"/>
          <w:szCs w:val="20"/>
        </w:rPr>
        <w:t>State Street’s internal control over financial reporting is a process designed to provide reasonable as</w:t>
      </w:r>
      <w:r>
        <w:rPr>
          <w:rFonts w:ascii="Arial" w:eastAsia="宋体" w:hAnsi="Arial" w:cs="Arial"/>
          <w:color w:val="000000"/>
          <w:sz w:val="20"/>
          <w:szCs w:val="20"/>
        </w:rPr>
        <w:t>surance regarding the reliability of financial reporting and the preparation of financial statements for external purposes in accordance with accounting principles generally accepted in the United States of America. State Street’s internal control over fin</w:t>
      </w:r>
      <w:r>
        <w:rPr>
          <w:rFonts w:ascii="Arial" w:eastAsia="宋体" w:hAnsi="Arial" w:cs="Arial"/>
          <w:color w:val="000000"/>
          <w:sz w:val="20"/>
          <w:szCs w:val="20"/>
        </w:rPr>
        <w:t>ancial reporting includes those policies and procedures that (i) pertain to the maintenance of records that, in reasonable detail, accurately and fairly reflect the transactions and dispositions of the assets of State Street; (ii) provide reasonable assura</w:t>
      </w:r>
      <w:r>
        <w:rPr>
          <w:rFonts w:ascii="Arial" w:eastAsia="宋体" w:hAnsi="Arial" w:cs="Arial"/>
          <w:color w:val="000000"/>
          <w:sz w:val="20"/>
          <w:szCs w:val="20"/>
        </w:rPr>
        <w:t>nce that transactions are recorded as necessary to permit preparation of financial statements in accordance with accounting principles generally accepted in the United States of America, and that receipts and expenditures of State Street are being made onl</w:t>
      </w:r>
      <w:r>
        <w:rPr>
          <w:rFonts w:ascii="Arial" w:eastAsia="宋体" w:hAnsi="Arial" w:cs="Arial"/>
          <w:color w:val="000000"/>
          <w:sz w:val="20"/>
          <w:szCs w:val="20"/>
        </w:rPr>
        <w:t>y in accordance with authorizations of management and directors of State Street; and (iii) provide reasonable assurance regarding prevention or timely detection of unauthorized acquisition, use, or disposition of State Street’s assets that could have a mat</w:t>
      </w:r>
      <w:r>
        <w:rPr>
          <w:rFonts w:ascii="Arial" w:eastAsia="宋体" w:hAnsi="Arial" w:cs="Arial"/>
          <w:color w:val="000000"/>
          <w:sz w:val="20"/>
          <w:szCs w:val="20"/>
        </w:rPr>
        <w:t xml:space="preserve">erial effect on the financial statements.  </w:t>
      </w:r>
    </w:p>
    <w:p w14:paraId="5F2D699A" w14:textId="77777777" w:rsidR="00E836FB" w:rsidRDefault="00994958">
      <w:pPr>
        <w:spacing w:before="120"/>
        <w:ind w:firstLine="450"/>
        <w:jc w:val="both"/>
      </w:pPr>
      <w:r>
        <w:rPr>
          <w:rFonts w:ascii="Arial" w:eastAsia="宋体" w:hAnsi="Arial" w:cs="Arial"/>
          <w:color w:val="000000"/>
          <w:sz w:val="20"/>
          <w:szCs w:val="20"/>
        </w:rPr>
        <w:t>Because of its inherent limitations, internal control over financial reporting may not prevent or detect misstatements. Also, projections of any evaluation of effectiveness to future periods are subject to the ri</w:t>
      </w:r>
      <w:r>
        <w:rPr>
          <w:rFonts w:ascii="Arial" w:eastAsia="宋体" w:hAnsi="Arial" w:cs="Arial"/>
          <w:color w:val="000000"/>
          <w:sz w:val="20"/>
          <w:szCs w:val="20"/>
        </w:rPr>
        <w:t xml:space="preserve">sk that controls may become inadequate because of changes in conditions, or that the degree of compliance with the policies or procedures may deteriorate.  </w:t>
      </w:r>
    </w:p>
    <w:p w14:paraId="5F2D699B" w14:textId="77777777" w:rsidR="00E836FB" w:rsidRDefault="00994958">
      <w:pPr>
        <w:spacing w:before="120"/>
        <w:ind w:firstLine="450"/>
        <w:jc w:val="both"/>
      </w:pPr>
      <w:r>
        <w:rPr>
          <w:rFonts w:ascii="Arial" w:eastAsia="宋体" w:hAnsi="Arial" w:cs="Arial"/>
          <w:color w:val="000000"/>
          <w:sz w:val="20"/>
          <w:szCs w:val="20"/>
        </w:rPr>
        <w:t>Management assessed the effectiveness of State Street’s internal control over financial reporting a</w:t>
      </w:r>
      <w:r>
        <w:rPr>
          <w:rFonts w:ascii="Arial" w:eastAsia="宋体" w:hAnsi="Arial" w:cs="Arial"/>
          <w:color w:val="000000"/>
          <w:sz w:val="20"/>
          <w:szCs w:val="20"/>
        </w:rPr>
        <w:t xml:space="preserve">s of December 31, 2021 based on the framework set forth by the Committee of Sponsoring Organizations of the Treadway Commission in </w:t>
      </w:r>
      <w:r>
        <w:rPr>
          <w:rFonts w:ascii="Arial" w:eastAsia="宋体" w:hAnsi="Arial" w:cs="Arial"/>
          <w:i/>
          <w:iCs/>
          <w:color w:val="000000"/>
          <w:sz w:val="20"/>
          <w:szCs w:val="20"/>
        </w:rPr>
        <w:t>Internal Control - Integrated Framework (2013).</w:t>
      </w:r>
    </w:p>
    <w:p w14:paraId="5F2D699C" w14:textId="77777777" w:rsidR="00E836FB" w:rsidRDefault="00994958">
      <w:pPr>
        <w:spacing w:before="120"/>
        <w:ind w:firstLine="450"/>
        <w:jc w:val="both"/>
      </w:pPr>
      <w:r>
        <w:rPr>
          <w:rFonts w:ascii="Arial" w:eastAsia="宋体" w:hAnsi="Arial" w:cs="Arial"/>
          <w:color w:val="000000"/>
          <w:sz w:val="20"/>
          <w:szCs w:val="20"/>
        </w:rPr>
        <w:t>Based on that assessment, management concluded that, as of December 31, 2021,</w:t>
      </w:r>
      <w:r>
        <w:rPr>
          <w:rFonts w:ascii="Arial" w:eastAsia="宋体" w:hAnsi="Arial" w:cs="Arial"/>
          <w:color w:val="000000"/>
          <w:sz w:val="20"/>
          <w:szCs w:val="20"/>
        </w:rPr>
        <w:t xml:space="preserve"> State Street’s internal control over financial reporting is effective.  </w:t>
      </w:r>
    </w:p>
    <w:p w14:paraId="5F2D699D" w14:textId="77777777" w:rsidR="00E836FB" w:rsidRDefault="00994958">
      <w:pPr>
        <w:spacing w:before="120"/>
        <w:ind w:firstLine="450"/>
        <w:jc w:val="both"/>
      </w:pPr>
      <w:r>
        <w:rPr>
          <w:rFonts w:ascii="Arial" w:eastAsia="宋体" w:hAnsi="Arial" w:cs="Arial"/>
          <w:color w:val="000000"/>
          <w:sz w:val="20"/>
          <w:szCs w:val="20"/>
        </w:rPr>
        <w:t>The effectiveness of State Street’s internal control over financial reporting as of December 31, 2021 has been audited by Ernst &amp; Young LLP, an independent registered public accounti</w:t>
      </w:r>
      <w:r>
        <w:rPr>
          <w:rFonts w:ascii="Arial" w:eastAsia="宋体" w:hAnsi="Arial" w:cs="Arial"/>
          <w:color w:val="000000"/>
          <w:sz w:val="20"/>
          <w:szCs w:val="20"/>
        </w:rPr>
        <w:t>ng firm, as stated in their accompanying report, which follows this report.</w:t>
      </w:r>
    </w:p>
    <w:p w14:paraId="5F2D699E" w14:textId="77777777" w:rsidR="00E836FB" w:rsidRDefault="00E836FB">
      <w:pPr>
        <w:spacing w:before="120"/>
        <w:ind w:firstLine="450"/>
        <w:jc w:val="both"/>
      </w:pPr>
    </w:p>
    <w:p w14:paraId="5F2D699F" w14:textId="77777777" w:rsidR="00E836FB" w:rsidRDefault="00E836FB">
      <w:pPr>
        <w:ind w:firstLine="450"/>
        <w:textAlignment w:val="top"/>
      </w:pPr>
    </w:p>
    <w:p w14:paraId="5F2D69A0" w14:textId="77777777" w:rsidR="00E836FB" w:rsidRDefault="00994958">
      <w:pPr>
        <w:ind w:firstLine="450"/>
        <w:jc w:val="right"/>
      </w:pPr>
      <w:r>
        <w:rPr>
          <w:rFonts w:ascii="Arial" w:eastAsia="宋体" w:hAnsi="Arial" w:cs="Arial"/>
          <w:color w:val="000000"/>
          <w:sz w:val="18"/>
          <w:szCs w:val="18"/>
        </w:rPr>
        <w:t>State Street Corporation | 191</w:t>
      </w:r>
    </w:p>
    <w:p w14:paraId="5F2D69A1" w14:textId="77777777" w:rsidR="00E836FB" w:rsidRDefault="00E836FB">
      <w:pPr>
        <w:ind w:firstLine="450"/>
        <w:jc w:val="center"/>
      </w:pPr>
    </w:p>
    <w:p w14:paraId="5F2D69A2" w14:textId="77777777" w:rsidR="00E836FB" w:rsidRDefault="00994958">
      <w:r>
        <w:pict w14:anchorId="5F2D6E44">
          <v:rect id="_x0000_i1215" style="width:415.3pt;height:1.5pt" o:hralign="center" o:hrstd="t" o:hr="t" fillcolor="#a0a0a0" stroked="f"/>
        </w:pict>
      </w:r>
    </w:p>
    <w:p w14:paraId="5F2D69A3" w14:textId="77777777" w:rsidR="00E836FB" w:rsidRDefault="00E836FB">
      <w:pPr>
        <w:ind w:firstLine="450"/>
      </w:pPr>
    </w:p>
    <w:p w14:paraId="5F2D69A4" w14:textId="77777777" w:rsidR="00E836FB" w:rsidRDefault="00994958">
      <w:pPr>
        <w:spacing w:before="100" w:after="100"/>
        <w:ind w:firstLine="450"/>
        <w:jc w:val="center"/>
      </w:pPr>
      <w:r>
        <w:rPr>
          <w:rFonts w:ascii="Arial" w:eastAsia="宋体" w:hAnsi="Arial" w:cs="Arial"/>
          <w:b/>
          <w:bCs/>
          <w:color w:val="000000"/>
          <w:sz w:val="20"/>
          <w:szCs w:val="20"/>
        </w:rPr>
        <w:t xml:space="preserve">Report of Independent Registered Public Accounting Firm </w:t>
      </w:r>
    </w:p>
    <w:p w14:paraId="5F2D69A5" w14:textId="77777777" w:rsidR="00E836FB" w:rsidRDefault="00994958">
      <w:pPr>
        <w:jc w:val="both"/>
      </w:pPr>
      <w:r>
        <w:rPr>
          <w:rFonts w:ascii="Arial" w:eastAsia="宋体" w:hAnsi="Arial" w:cs="Arial"/>
          <w:color w:val="000000"/>
          <w:sz w:val="20"/>
          <w:szCs w:val="20"/>
        </w:rPr>
        <w:t>To the Shareholders and the Board of Directors of State Street Corporation</w:t>
      </w:r>
    </w:p>
    <w:p w14:paraId="5F2D69A6" w14:textId="77777777" w:rsidR="00E836FB" w:rsidRDefault="00994958">
      <w:pPr>
        <w:spacing w:before="90" w:after="60"/>
        <w:jc w:val="both"/>
      </w:pPr>
      <w:r>
        <w:rPr>
          <w:rFonts w:ascii="Arial" w:eastAsia="宋体" w:hAnsi="Arial" w:cs="Arial"/>
          <w:b/>
          <w:bCs/>
          <w:color w:val="000000"/>
          <w:sz w:val="20"/>
          <w:szCs w:val="20"/>
        </w:rPr>
        <w:t>Opinion on Internal Control over Financial Reporting</w:t>
      </w:r>
    </w:p>
    <w:p w14:paraId="5F2D69A7" w14:textId="77777777" w:rsidR="00E836FB" w:rsidRDefault="00994958">
      <w:pPr>
        <w:spacing w:before="120"/>
        <w:jc w:val="both"/>
      </w:pPr>
      <w:r>
        <w:rPr>
          <w:rFonts w:ascii="Arial" w:eastAsia="宋体" w:hAnsi="Arial" w:cs="Arial"/>
          <w:color w:val="000000"/>
          <w:sz w:val="20"/>
          <w:szCs w:val="20"/>
        </w:rPr>
        <w:t>We have audited State Street Corporation’s (the “Corporation”) internal control over financial reporting as of December 31, 2021, based on criteria established in Internal Control-Integrated Framework is</w:t>
      </w:r>
      <w:r>
        <w:rPr>
          <w:rFonts w:ascii="Arial" w:eastAsia="宋体" w:hAnsi="Arial" w:cs="Arial"/>
          <w:color w:val="000000"/>
          <w:sz w:val="20"/>
          <w:szCs w:val="20"/>
        </w:rPr>
        <w:t>sued by the Committee of Sponsoring Organizations of the Treadway Commission (2013 framework) (the “COSO criteria”). In our opinion, the Corporation maintained, in all material respects, effective internal control over financial reporting as of December 31</w:t>
      </w:r>
      <w:r>
        <w:rPr>
          <w:rFonts w:ascii="Arial" w:eastAsia="宋体" w:hAnsi="Arial" w:cs="Arial"/>
          <w:color w:val="000000"/>
          <w:sz w:val="20"/>
          <w:szCs w:val="20"/>
        </w:rPr>
        <w:t>, 2021, based on the COSO criteria.</w:t>
      </w:r>
    </w:p>
    <w:p w14:paraId="5F2D69A8" w14:textId="77777777" w:rsidR="00E836FB" w:rsidRDefault="00994958">
      <w:pPr>
        <w:spacing w:before="120"/>
        <w:jc w:val="both"/>
      </w:pPr>
      <w:r>
        <w:rPr>
          <w:rFonts w:ascii="Arial" w:eastAsia="宋体" w:hAnsi="Arial" w:cs="Arial"/>
          <w:color w:val="000000"/>
          <w:sz w:val="20"/>
          <w:szCs w:val="20"/>
        </w:rPr>
        <w:t>We also have audited, in accordance with the standards of the Public Company Accounting Oversight Board (United States) (“PCAOB”), the 2021 consolidated financial statements of the Corporation and our report dated Februa</w:t>
      </w:r>
      <w:r>
        <w:rPr>
          <w:rFonts w:ascii="Arial" w:eastAsia="宋体" w:hAnsi="Arial" w:cs="Arial"/>
          <w:color w:val="000000"/>
          <w:sz w:val="20"/>
          <w:szCs w:val="20"/>
        </w:rPr>
        <w:t>ry 17, 2022 expressed an unqualified opinion thereon.</w:t>
      </w:r>
    </w:p>
    <w:p w14:paraId="5F2D69A9" w14:textId="77777777" w:rsidR="00E836FB" w:rsidRDefault="00994958">
      <w:pPr>
        <w:spacing w:before="90" w:after="60"/>
        <w:jc w:val="both"/>
      </w:pPr>
      <w:r>
        <w:rPr>
          <w:rFonts w:ascii="Arial" w:eastAsia="宋体" w:hAnsi="Arial" w:cs="Arial"/>
          <w:b/>
          <w:bCs/>
          <w:color w:val="000000"/>
          <w:sz w:val="20"/>
          <w:szCs w:val="20"/>
        </w:rPr>
        <w:t>Basis for Opinion</w:t>
      </w:r>
    </w:p>
    <w:p w14:paraId="5F2D69AA" w14:textId="77777777" w:rsidR="00E836FB" w:rsidRDefault="00994958">
      <w:pPr>
        <w:spacing w:before="120"/>
        <w:jc w:val="both"/>
      </w:pPr>
      <w:r>
        <w:rPr>
          <w:rFonts w:ascii="Arial" w:eastAsia="宋体" w:hAnsi="Arial" w:cs="Arial"/>
          <w:color w:val="000000"/>
          <w:sz w:val="20"/>
          <w:szCs w:val="20"/>
        </w:rPr>
        <w:t>The Corporation’s management is responsible for maintaining effective internal control over financial reporting and for its assessment of the effectiveness of internal control over fin</w:t>
      </w:r>
      <w:r>
        <w:rPr>
          <w:rFonts w:ascii="Arial" w:eastAsia="宋体" w:hAnsi="Arial" w:cs="Arial"/>
          <w:color w:val="000000"/>
          <w:sz w:val="20"/>
          <w:szCs w:val="20"/>
        </w:rPr>
        <w:t>ancial reporting included in the accompanying Management’s Report on Internal Control over Financial Reporting. Our responsibility is to express an opinion on the Corporation’s internal control over financial reporting based on our audit. We are a public a</w:t>
      </w:r>
      <w:r>
        <w:rPr>
          <w:rFonts w:ascii="Arial" w:eastAsia="宋体" w:hAnsi="Arial" w:cs="Arial"/>
          <w:color w:val="000000"/>
          <w:sz w:val="20"/>
          <w:szCs w:val="20"/>
        </w:rPr>
        <w:t>ccounting firm registered with the PCAOB and are required to be independent with respect to the Corporation in accordance with the U.S. federal securities laws and the applicable rules and regulations of the Securities and Exchange Commission and the PCAOB</w:t>
      </w:r>
      <w:r>
        <w:rPr>
          <w:rFonts w:ascii="Arial" w:eastAsia="宋体" w:hAnsi="Arial" w:cs="Arial"/>
          <w:color w:val="000000"/>
          <w:sz w:val="20"/>
          <w:szCs w:val="20"/>
        </w:rPr>
        <w:t>.</w:t>
      </w:r>
    </w:p>
    <w:p w14:paraId="5F2D69AB" w14:textId="77777777" w:rsidR="00E836FB" w:rsidRDefault="00994958">
      <w:pPr>
        <w:spacing w:before="120"/>
        <w:jc w:val="both"/>
      </w:pPr>
      <w:r>
        <w:rPr>
          <w:rFonts w:ascii="Arial" w:eastAsia="宋体" w:hAnsi="Arial" w:cs="Arial"/>
          <w:color w:val="000000"/>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w:t>
      </w:r>
      <w:r>
        <w:rPr>
          <w:rFonts w:ascii="Arial" w:eastAsia="宋体" w:hAnsi="Arial" w:cs="Arial"/>
          <w:color w:val="000000"/>
          <w:sz w:val="20"/>
          <w:szCs w:val="20"/>
        </w:rPr>
        <w:t xml:space="preserve">al respects. </w:t>
      </w:r>
    </w:p>
    <w:p w14:paraId="5F2D69AC" w14:textId="77777777" w:rsidR="00E836FB" w:rsidRDefault="00994958">
      <w:pPr>
        <w:spacing w:before="120"/>
        <w:jc w:val="both"/>
      </w:pPr>
      <w:r>
        <w:rPr>
          <w:rFonts w:ascii="Arial" w:eastAsia="宋体" w:hAnsi="Arial" w:cs="Arial"/>
          <w:color w:val="000000"/>
          <w:sz w:val="20"/>
          <w:szCs w:val="20"/>
        </w:rPr>
        <w:t>Our audit included obtaining an understanding of internal control over financial reporting, assessing the risk that a material weakness exists, testing and evaluating the design and operating effectiveness of internal control based on the ass</w:t>
      </w:r>
      <w:r>
        <w:rPr>
          <w:rFonts w:ascii="Arial" w:eastAsia="宋体" w:hAnsi="Arial" w:cs="Arial"/>
          <w:color w:val="000000"/>
          <w:sz w:val="20"/>
          <w:szCs w:val="20"/>
        </w:rPr>
        <w:t>essed risk, and performing such other procedures as we considered necessary in the circumstances. We believe that our audit provides a reasonable basis for our opinion.</w:t>
      </w:r>
    </w:p>
    <w:p w14:paraId="5F2D69AD" w14:textId="77777777" w:rsidR="00E836FB" w:rsidRDefault="00994958">
      <w:pPr>
        <w:spacing w:before="90" w:after="60"/>
        <w:jc w:val="both"/>
      </w:pPr>
      <w:r>
        <w:rPr>
          <w:rFonts w:ascii="Arial" w:eastAsia="宋体" w:hAnsi="Arial" w:cs="Arial"/>
          <w:b/>
          <w:bCs/>
          <w:color w:val="000000"/>
          <w:sz w:val="20"/>
          <w:szCs w:val="20"/>
        </w:rPr>
        <w:t>Definition and Limitations of Internal Control Over Financial Reporting</w:t>
      </w:r>
    </w:p>
    <w:p w14:paraId="5F2D69AE" w14:textId="77777777" w:rsidR="00E836FB" w:rsidRDefault="00994958">
      <w:pPr>
        <w:spacing w:before="120"/>
        <w:jc w:val="both"/>
      </w:pPr>
      <w:r>
        <w:rPr>
          <w:rFonts w:ascii="Arial" w:eastAsia="宋体" w:hAnsi="Arial" w:cs="Arial"/>
          <w:color w:val="000000"/>
          <w:sz w:val="20"/>
          <w:szCs w:val="20"/>
        </w:rPr>
        <w:t>A company’s int</w:t>
      </w:r>
      <w:r>
        <w:rPr>
          <w:rFonts w:ascii="Arial" w:eastAsia="宋体" w:hAnsi="Arial" w:cs="Arial"/>
          <w:color w:val="000000"/>
          <w:sz w:val="20"/>
          <w:szCs w:val="20"/>
        </w:rPr>
        <w:t>ernal control over financial reporting is a process designed to provide reasonable assurance regarding the reliability of financial reporting and the preparation of financial statements for external purposes in accordance with generally accepted accounting</w:t>
      </w:r>
      <w:r>
        <w:rPr>
          <w:rFonts w:ascii="Arial" w:eastAsia="宋体" w:hAnsi="Arial" w:cs="Arial"/>
          <w:color w:val="000000"/>
          <w:sz w:val="20"/>
          <w:szCs w:val="20"/>
        </w:rPr>
        <w:t xml:space="preserve"> principles. A company’s internal control over financial reporting includes those policies and procedures that (1) pertain to the maintenance of records that, in reasonable detail, accurately and fairly reflect the transactions and dispositions of the asse</w:t>
      </w:r>
      <w:r>
        <w:rPr>
          <w:rFonts w:ascii="Arial" w:eastAsia="宋体" w:hAnsi="Arial" w:cs="Arial"/>
          <w:color w:val="000000"/>
          <w:sz w:val="20"/>
          <w:szCs w:val="20"/>
        </w:rPr>
        <w:t>ts of the company; (2) provide reasonable assurance that transactions are recorded as necessary to permit preparation of financial statements in accordance with generally accepted accounting principles, and that receipts and expenditures of the company are</w:t>
      </w:r>
      <w:r>
        <w:rPr>
          <w:rFonts w:ascii="Arial" w:eastAsia="宋体" w:hAnsi="Arial" w:cs="Arial"/>
          <w:color w:val="000000"/>
          <w:sz w:val="20"/>
          <w:szCs w:val="20"/>
        </w:rPr>
        <w:t xml:space="preserve"> being made only in accordance with authorizations of management and directors of the company; and (3) provide reasonable assurance regarding prevention or timely detection of unauthorized acquisition, use, or disposition of the company’s assets that could</w:t>
      </w:r>
      <w:r>
        <w:rPr>
          <w:rFonts w:ascii="Arial" w:eastAsia="宋体" w:hAnsi="Arial" w:cs="Arial"/>
          <w:color w:val="000000"/>
          <w:sz w:val="20"/>
          <w:szCs w:val="20"/>
        </w:rPr>
        <w:t xml:space="preserve"> have a material effect on the financial statements.</w:t>
      </w:r>
    </w:p>
    <w:p w14:paraId="5F2D69AF" w14:textId="77777777" w:rsidR="00E836FB" w:rsidRDefault="00994958">
      <w:pPr>
        <w:spacing w:before="120"/>
        <w:jc w:val="both"/>
      </w:pPr>
      <w:r>
        <w:rPr>
          <w:rFonts w:ascii="Arial" w:eastAsia="宋体" w:hAnsi="Arial" w:cs="Arial"/>
          <w:color w:val="000000"/>
          <w:sz w:val="20"/>
          <w:szCs w:val="20"/>
        </w:rPr>
        <w:t xml:space="preserve">Because of its inherent limitations, internal control over financial reporting may not prevent or detect misstatements. Also, projections of any evaluation of effectiveness to future periods are subject </w:t>
      </w:r>
      <w:r>
        <w:rPr>
          <w:rFonts w:ascii="Arial" w:eastAsia="宋体" w:hAnsi="Arial" w:cs="Arial"/>
          <w:color w:val="000000"/>
          <w:sz w:val="20"/>
          <w:szCs w:val="20"/>
        </w:rPr>
        <w:t>to the risk that controls may become inadequate because of changes in conditions, or that the degree of compliance with the policies or procedures may deteriorate.</w:t>
      </w:r>
    </w:p>
    <w:p w14:paraId="5F2D69B0" w14:textId="77777777" w:rsidR="00E836FB" w:rsidRDefault="00E836FB">
      <w:pPr>
        <w:spacing w:before="60"/>
        <w:ind w:firstLine="450"/>
        <w:jc w:val="both"/>
      </w:pPr>
    </w:p>
    <w:p w14:paraId="5F2D69B1" w14:textId="77777777" w:rsidR="00E836FB" w:rsidRDefault="00E836FB">
      <w:pPr>
        <w:spacing w:before="60"/>
        <w:ind w:firstLine="450"/>
        <w:jc w:val="both"/>
      </w:pPr>
    </w:p>
    <w:p w14:paraId="5F2D69B2" w14:textId="77777777" w:rsidR="00E836FB" w:rsidRDefault="00E836FB">
      <w:pPr>
        <w:spacing w:before="60"/>
        <w:ind w:firstLine="450"/>
        <w:jc w:val="both"/>
      </w:pPr>
    </w:p>
    <w:p w14:paraId="5F2D69B3" w14:textId="77777777" w:rsidR="00E836FB" w:rsidRDefault="00994958">
      <w:pPr>
        <w:spacing w:before="240"/>
        <w:jc w:val="right"/>
      </w:pPr>
      <w:r>
        <w:rPr>
          <w:rFonts w:ascii="Arial" w:eastAsia="宋体" w:hAnsi="Arial" w:cs="Arial"/>
          <w:color w:val="000000"/>
          <w:sz w:val="20"/>
          <w:szCs w:val="20"/>
        </w:rPr>
        <w:t>/s/ Ernst &amp; Young LLP</w:t>
      </w:r>
    </w:p>
    <w:p w14:paraId="5F2D69B4" w14:textId="77777777" w:rsidR="00E836FB" w:rsidRDefault="00994958">
      <w:pPr>
        <w:spacing w:before="240"/>
      </w:pPr>
      <w:r>
        <w:rPr>
          <w:rFonts w:ascii="Arial" w:eastAsia="宋体" w:hAnsi="Arial" w:cs="Arial"/>
          <w:color w:val="000000"/>
          <w:sz w:val="20"/>
          <w:szCs w:val="20"/>
        </w:rPr>
        <w:t xml:space="preserve">Boston, Massachusetts </w:t>
      </w:r>
    </w:p>
    <w:p w14:paraId="5F2D69B5" w14:textId="77777777" w:rsidR="00E836FB" w:rsidRDefault="00994958">
      <w:r>
        <w:rPr>
          <w:rFonts w:ascii="Arial" w:eastAsia="宋体" w:hAnsi="Arial" w:cs="Arial"/>
          <w:color w:val="000000"/>
          <w:sz w:val="20"/>
          <w:szCs w:val="20"/>
        </w:rPr>
        <w:t xml:space="preserve">February 17, 2022 </w:t>
      </w:r>
    </w:p>
    <w:p w14:paraId="5F2D69B6" w14:textId="77777777" w:rsidR="00E836FB" w:rsidRDefault="00E836FB">
      <w:pPr>
        <w:ind w:firstLine="450"/>
        <w:textAlignment w:val="top"/>
      </w:pPr>
    </w:p>
    <w:p w14:paraId="5F2D69B7" w14:textId="77777777" w:rsidR="00E836FB" w:rsidRDefault="00994958">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192</w:t>
      </w:r>
    </w:p>
    <w:p w14:paraId="5F2D69B8" w14:textId="77777777" w:rsidR="00E836FB" w:rsidRDefault="00E836FB">
      <w:pPr>
        <w:ind w:firstLine="450"/>
        <w:jc w:val="center"/>
      </w:pPr>
    </w:p>
    <w:p w14:paraId="5F2D69B9" w14:textId="77777777" w:rsidR="00E836FB" w:rsidRDefault="00994958">
      <w:r>
        <w:pict w14:anchorId="5F2D6E45">
          <v:rect id="_x0000_i1216" style="width:415.3pt;height:1.5pt" o:hralign="center" o:hrstd="t" o:hr="t" fillcolor="#a0a0a0" stroked="f"/>
        </w:pict>
      </w:r>
    </w:p>
    <w:p w14:paraId="5F2D69BA" w14:textId="77777777" w:rsidR="00E836FB" w:rsidRDefault="00E836FB">
      <w:pPr>
        <w:ind w:firstLine="450"/>
      </w:pPr>
    </w:p>
    <w:p w14:paraId="5F2D69BB" w14:textId="77777777" w:rsidR="00E836FB" w:rsidRDefault="00994958">
      <w:pPr>
        <w:spacing w:before="90"/>
        <w:jc w:val="both"/>
      </w:pPr>
      <w:r>
        <w:rPr>
          <w:rFonts w:ascii="Arial" w:eastAsia="宋体" w:hAnsi="Arial" w:cs="Arial"/>
          <w:b/>
          <w:bCs/>
          <w:color w:val="000000"/>
          <w:sz w:val="20"/>
          <w:szCs w:val="20"/>
        </w:rPr>
        <w:t>ITEM 9B. OTHER INFORMATION</w:t>
      </w:r>
    </w:p>
    <w:p w14:paraId="5F2D69BC" w14:textId="77777777" w:rsidR="00E836FB" w:rsidRDefault="00994958">
      <w:pPr>
        <w:spacing w:before="120"/>
        <w:ind w:firstLine="450"/>
        <w:jc w:val="both"/>
      </w:pPr>
      <w:r>
        <w:rPr>
          <w:rFonts w:ascii="Arial" w:eastAsia="宋体" w:hAnsi="Arial" w:cs="Arial"/>
          <w:color w:val="000000"/>
          <w:sz w:val="20"/>
          <w:szCs w:val="20"/>
        </w:rPr>
        <w:t>None.</w:t>
      </w:r>
    </w:p>
    <w:p w14:paraId="5F2D69BD" w14:textId="77777777" w:rsidR="00E836FB" w:rsidRDefault="00E836FB">
      <w:pPr>
        <w:spacing w:before="120"/>
        <w:ind w:firstLine="450"/>
        <w:jc w:val="both"/>
      </w:pPr>
    </w:p>
    <w:p w14:paraId="5F2D69BE" w14:textId="77777777" w:rsidR="00E836FB" w:rsidRDefault="00994958">
      <w:pPr>
        <w:spacing w:before="90"/>
        <w:jc w:val="both"/>
      </w:pPr>
      <w:r>
        <w:rPr>
          <w:rFonts w:ascii="Arial" w:eastAsia="宋体" w:hAnsi="Arial" w:cs="Arial"/>
          <w:b/>
          <w:bCs/>
          <w:color w:val="000000"/>
          <w:sz w:val="20"/>
          <w:szCs w:val="20"/>
        </w:rPr>
        <w:t xml:space="preserve">ITEM 9C. DISCLOSURE REGARDING FOREIGN JURISDICTIONS THAT PREVENT INSPECTIONS </w:t>
      </w:r>
    </w:p>
    <w:p w14:paraId="5F2D69BF" w14:textId="77777777" w:rsidR="00E836FB" w:rsidRDefault="00994958">
      <w:pPr>
        <w:ind w:firstLine="450"/>
        <w:jc w:val="both"/>
      </w:pPr>
      <w:r>
        <w:rPr>
          <w:rFonts w:ascii="Arial" w:eastAsia="宋体" w:hAnsi="Arial" w:cs="Arial"/>
          <w:color w:val="000000"/>
          <w:sz w:val="20"/>
          <w:szCs w:val="20"/>
        </w:rPr>
        <w:t>None.</w:t>
      </w:r>
    </w:p>
    <w:p w14:paraId="5F2D69C0" w14:textId="77777777" w:rsidR="00E836FB" w:rsidRDefault="00E836FB">
      <w:pPr>
        <w:ind w:firstLine="450"/>
        <w:jc w:val="both"/>
      </w:pPr>
    </w:p>
    <w:p w14:paraId="5F2D69C1" w14:textId="77777777" w:rsidR="00E836FB" w:rsidRDefault="00994958">
      <w:pPr>
        <w:spacing w:before="90"/>
      </w:pPr>
      <w:r>
        <w:rPr>
          <w:rFonts w:ascii="Arial" w:eastAsia="宋体" w:hAnsi="Arial" w:cs="Arial"/>
          <w:b/>
          <w:bCs/>
          <w:color w:val="000000"/>
        </w:rPr>
        <w:t>PART III</w:t>
      </w:r>
    </w:p>
    <w:p w14:paraId="5F2D69C2" w14:textId="77777777" w:rsidR="00E836FB" w:rsidRDefault="00994958">
      <w:pPr>
        <w:spacing w:before="90"/>
        <w:jc w:val="both"/>
      </w:pPr>
      <w:r>
        <w:rPr>
          <w:rFonts w:ascii="Arial" w:eastAsia="宋体" w:hAnsi="Arial" w:cs="Arial"/>
          <w:b/>
          <w:bCs/>
          <w:color w:val="000000"/>
          <w:sz w:val="20"/>
          <w:szCs w:val="20"/>
        </w:rPr>
        <w:t>ITEM 10. DIRECTORS, EXECUTIVE OFFICERS AND CORPORATE GOVERNANCE</w:t>
      </w:r>
    </w:p>
    <w:p w14:paraId="5F2D69C3" w14:textId="77777777" w:rsidR="00E836FB" w:rsidRDefault="00994958">
      <w:pPr>
        <w:spacing w:before="90"/>
        <w:ind w:firstLine="450"/>
        <w:jc w:val="both"/>
      </w:pPr>
      <w:r>
        <w:rPr>
          <w:rFonts w:ascii="Arial" w:eastAsia="宋体" w:hAnsi="Arial" w:cs="Arial"/>
          <w:color w:val="000000"/>
          <w:sz w:val="20"/>
          <w:szCs w:val="20"/>
        </w:rPr>
        <w:t>Information concerning our directors will appear in our Proxy Statement for the 2022 Annual Meeting of Shareholders, to be filed pursuant to Regulation 14A on or before May 2, 2022, referred to as the 2022 Proxy Statement, under the caption "Election of Di</w:t>
      </w:r>
      <w:r>
        <w:rPr>
          <w:rFonts w:ascii="Arial" w:eastAsia="宋体" w:hAnsi="Arial" w:cs="Arial"/>
          <w:color w:val="000000"/>
          <w:sz w:val="20"/>
          <w:szCs w:val="20"/>
        </w:rPr>
        <w:t>rectors." Information concerning compliance with Section 16(a) of the Exchange Act, if required, will appear in our 2022 Proxy Statement under the caption "Delinquent Section 16(a) Reports." Information concerning our Code of Ethics for Senior Financial Of</w:t>
      </w:r>
      <w:r>
        <w:rPr>
          <w:rFonts w:ascii="Arial" w:eastAsia="宋体" w:hAnsi="Arial" w:cs="Arial"/>
          <w:color w:val="000000"/>
          <w:sz w:val="20"/>
          <w:szCs w:val="20"/>
        </w:rPr>
        <w:t xml:space="preserve">ficers and our Examining and Audit Committee will appear in our 2022 Proxy Statement under the caption "Corporate Governance at State Street." Such information is incorporated herein by reference. </w:t>
      </w:r>
    </w:p>
    <w:p w14:paraId="5F2D69C4" w14:textId="77777777" w:rsidR="00E836FB" w:rsidRDefault="00994958">
      <w:pPr>
        <w:spacing w:before="60"/>
        <w:ind w:firstLine="450"/>
        <w:jc w:val="both"/>
      </w:pPr>
      <w:r>
        <w:rPr>
          <w:rFonts w:ascii="Arial" w:eastAsia="宋体" w:hAnsi="Arial" w:cs="Arial"/>
          <w:color w:val="000000"/>
          <w:sz w:val="20"/>
          <w:szCs w:val="20"/>
        </w:rPr>
        <w:t>Information about our executive officers is included under</w:t>
      </w:r>
      <w:r>
        <w:rPr>
          <w:rFonts w:ascii="Arial" w:eastAsia="宋体" w:hAnsi="Arial" w:cs="Arial"/>
          <w:color w:val="000000"/>
          <w:sz w:val="20"/>
          <w:szCs w:val="20"/>
        </w:rPr>
        <w:t xml:space="preserve"> Part I.</w:t>
      </w:r>
    </w:p>
    <w:p w14:paraId="5F2D69C5" w14:textId="77777777" w:rsidR="00E836FB" w:rsidRDefault="00994958">
      <w:pPr>
        <w:spacing w:before="90"/>
        <w:jc w:val="both"/>
      </w:pPr>
      <w:r>
        <w:rPr>
          <w:rFonts w:ascii="Arial" w:eastAsia="宋体" w:hAnsi="Arial" w:cs="Arial"/>
          <w:b/>
          <w:bCs/>
          <w:color w:val="000000"/>
          <w:sz w:val="20"/>
          <w:szCs w:val="20"/>
        </w:rPr>
        <w:t>ITEM 11. EXECUTIVE COMPENSATION</w:t>
      </w:r>
    </w:p>
    <w:p w14:paraId="5F2D69C6" w14:textId="77777777" w:rsidR="00E836FB" w:rsidRDefault="00994958">
      <w:pPr>
        <w:spacing w:before="90"/>
        <w:ind w:firstLine="450"/>
        <w:jc w:val="both"/>
      </w:pPr>
      <w:r>
        <w:rPr>
          <w:rFonts w:ascii="Arial" w:eastAsia="宋体" w:hAnsi="Arial" w:cs="Arial"/>
          <w:color w:val="000000"/>
          <w:sz w:val="20"/>
          <w:szCs w:val="20"/>
        </w:rPr>
        <w:t>Information in response to this item will appear in our 2022 Proxy Statement under the captions "Executive Compensation" and "Non-Management Director Compensation." Such information is incorporated herein by referen</w:t>
      </w:r>
      <w:r>
        <w:rPr>
          <w:rFonts w:ascii="Arial" w:eastAsia="宋体" w:hAnsi="Arial" w:cs="Arial"/>
          <w:color w:val="000000"/>
          <w:sz w:val="20"/>
          <w:szCs w:val="20"/>
        </w:rPr>
        <w:t>ce.</w:t>
      </w:r>
    </w:p>
    <w:p w14:paraId="5F2D69C7" w14:textId="77777777" w:rsidR="00E836FB" w:rsidRDefault="00994958">
      <w:pPr>
        <w:spacing w:before="90"/>
      </w:pPr>
      <w:r>
        <w:rPr>
          <w:rFonts w:ascii="Arial" w:eastAsia="宋体" w:hAnsi="Arial" w:cs="Arial"/>
          <w:b/>
          <w:bCs/>
          <w:color w:val="000000"/>
          <w:sz w:val="20"/>
          <w:szCs w:val="20"/>
        </w:rPr>
        <w:t>ITEM 12. SECURITY OWNERSHIP OF CERTAIN BENEFICIAL OWNERS AND MANAGEMENT AND RELATED STOCKHOLDER MATTERS</w:t>
      </w:r>
    </w:p>
    <w:p w14:paraId="5F2D69C8" w14:textId="77777777" w:rsidR="00E836FB" w:rsidRDefault="00994958">
      <w:pPr>
        <w:spacing w:before="60"/>
        <w:ind w:firstLine="450"/>
        <w:jc w:val="both"/>
      </w:pPr>
      <w:r>
        <w:rPr>
          <w:rFonts w:ascii="Arial" w:eastAsia="宋体" w:hAnsi="Arial" w:cs="Arial"/>
          <w:color w:val="000000"/>
          <w:sz w:val="20"/>
          <w:szCs w:val="20"/>
        </w:rPr>
        <w:t>Information concerning security ownership of certain beneficial owners and management will appear in our 2022 Proxy Statement under the caption “Security Ownership of Certain Beneficial Owners and Management.” Such information is incorporated herein by ref</w:t>
      </w:r>
      <w:r>
        <w:rPr>
          <w:rFonts w:ascii="Arial" w:eastAsia="宋体" w:hAnsi="Arial" w:cs="Arial"/>
          <w:color w:val="000000"/>
          <w:sz w:val="20"/>
          <w:szCs w:val="20"/>
        </w:rPr>
        <w:t xml:space="preserve">erence. </w:t>
      </w:r>
    </w:p>
    <w:p w14:paraId="5F2D69C9" w14:textId="77777777" w:rsidR="00E836FB" w:rsidRDefault="00994958">
      <w:pPr>
        <w:spacing w:before="90"/>
        <w:jc w:val="both"/>
      </w:pPr>
      <w:r>
        <w:rPr>
          <w:rFonts w:ascii="Arial" w:eastAsia="宋体" w:hAnsi="Arial" w:cs="Arial"/>
          <w:b/>
          <w:bCs/>
          <w:color w:val="000000"/>
          <w:sz w:val="20"/>
          <w:szCs w:val="20"/>
        </w:rPr>
        <w:t>RELATED STOCKHOLDER MATTERS</w:t>
      </w:r>
    </w:p>
    <w:p w14:paraId="5F2D69CA" w14:textId="77777777" w:rsidR="00E836FB" w:rsidRDefault="00994958">
      <w:pPr>
        <w:spacing w:before="40"/>
        <w:ind w:firstLine="450"/>
        <w:jc w:val="both"/>
      </w:pPr>
      <w:r>
        <w:rPr>
          <w:rFonts w:ascii="Arial" w:eastAsia="宋体" w:hAnsi="Arial" w:cs="Arial"/>
          <w:color w:val="000000"/>
          <w:sz w:val="20"/>
          <w:szCs w:val="20"/>
        </w:rPr>
        <w:t>The following table presents the number of outstanding common stock awards, options, warrants and rights granted by State Street to participants in our equity compensation plans, as well as the number of securities avai</w:t>
      </w:r>
      <w:r>
        <w:rPr>
          <w:rFonts w:ascii="Arial" w:eastAsia="宋体" w:hAnsi="Arial" w:cs="Arial"/>
          <w:color w:val="000000"/>
          <w:sz w:val="20"/>
          <w:szCs w:val="20"/>
        </w:rPr>
        <w:t>lable for future issuance under these plans, as of December 31, 2021. The table provides this information separately for equity compensation plans that have and have not been approved by shareholders. Shares presented in the table and in the footnotes foll</w:t>
      </w:r>
      <w:r>
        <w:rPr>
          <w:rFonts w:ascii="Arial" w:eastAsia="宋体" w:hAnsi="Arial" w:cs="Arial"/>
          <w:color w:val="000000"/>
          <w:sz w:val="20"/>
          <w:szCs w:val="20"/>
        </w:rPr>
        <w:t>owing the table are stated in thousands of shares.</w:t>
      </w:r>
    </w:p>
    <w:tbl>
      <w:tblPr>
        <w:tblW w:w="5000" w:type="pct"/>
        <w:tblCellMar>
          <w:top w:w="15" w:type="dxa"/>
          <w:left w:w="15" w:type="dxa"/>
          <w:bottom w:w="15" w:type="dxa"/>
          <w:right w:w="15" w:type="dxa"/>
        </w:tblCellMar>
        <w:tblLook w:val="04A0" w:firstRow="1" w:lastRow="0" w:firstColumn="1" w:lastColumn="0" w:noHBand="0" w:noVBand="1"/>
      </w:tblPr>
      <w:tblGrid>
        <w:gridCol w:w="51"/>
        <w:gridCol w:w="3437"/>
        <w:gridCol w:w="37"/>
        <w:gridCol w:w="57"/>
        <w:gridCol w:w="1284"/>
        <w:gridCol w:w="36"/>
        <w:gridCol w:w="37"/>
        <w:gridCol w:w="181"/>
        <w:gridCol w:w="36"/>
        <w:gridCol w:w="110"/>
        <w:gridCol w:w="1327"/>
        <w:gridCol w:w="36"/>
        <w:gridCol w:w="36"/>
        <w:gridCol w:w="36"/>
        <w:gridCol w:w="36"/>
        <w:gridCol w:w="57"/>
        <w:gridCol w:w="1506"/>
        <w:gridCol w:w="36"/>
      </w:tblGrid>
      <w:tr w:rsidR="00E836FB" w14:paraId="5F2D69DD" w14:textId="77777777">
        <w:tc>
          <w:tcPr>
            <w:tcW w:w="50" w:type="pct"/>
            <w:shd w:val="clear" w:color="auto" w:fill="auto"/>
            <w:vAlign w:val="bottom"/>
          </w:tcPr>
          <w:p w14:paraId="5F2D69CB" w14:textId="77777777" w:rsidR="00E836FB" w:rsidRDefault="00E836FB">
            <w:pPr>
              <w:rPr>
                <w:rFonts w:ascii="宋体"/>
              </w:rPr>
            </w:pPr>
          </w:p>
        </w:tc>
        <w:tc>
          <w:tcPr>
            <w:tcW w:w="2079" w:type="pct"/>
            <w:shd w:val="clear" w:color="auto" w:fill="auto"/>
            <w:vAlign w:val="bottom"/>
          </w:tcPr>
          <w:p w14:paraId="5F2D69CC" w14:textId="77777777" w:rsidR="00E836FB" w:rsidRDefault="00E836FB">
            <w:pPr>
              <w:rPr>
                <w:rFonts w:ascii="宋体"/>
              </w:rPr>
            </w:pPr>
          </w:p>
        </w:tc>
        <w:tc>
          <w:tcPr>
            <w:tcW w:w="5" w:type="pct"/>
            <w:shd w:val="clear" w:color="auto" w:fill="auto"/>
            <w:vAlign w:val="bottom"/>
          </w:tcPr>
          <w:p w14:paraId="5F2D69CD" w14:textId="77777777" w:rsidR="00E836FB" w:rsidRDefault="00E836FB">
            <w:pPr>
              <w:rPr>
                <w:rFonts w:ascii="宋体"/>
              </w:rPr>
            </w:pPr>
          </w:p>
        </w:tc>
        <w:tc>
          <w:tcPr>
            <w:tcW w:w="50" w:type="pct"/>
            <w:shd w:val="clear" w:color="auto" w:fill="auto"/>
            <w:vAlign w:val="bottom"/>
          </w:tcPr>
          <w:p w14:paraId="5F2D69CE" w14:textId="77777777" w:rsidR="00E836FB" w:rsidRDefault="00E836FB">
            <w:pPr>
              <w:rPr>
                <w:rFonts w:ascii="宋体"/>
              </w:rPr>
            </w:pPr>
          </w:p>
        </w:tc>
        <w:tc>
          <w:tcPr>
            <w:tcW w:w="792" w:type="pct"/>
            <w:shd w:val="clear" w:color="auto" w:fill="auto"/>
            <w:vAlign w:val="bottom"/>
          </w:tcPr>
          <w:p w14:paraId="5F2D69CF" w14:textId="77777777" w:rsidR="00E836FB" w:rsidRDefault="00E836FB">
            <w:pPr>
              <w:rPr>
                <w:rFonts w:ascii="宋体"/>
              </w:rPr>
            </w:pPr>
          </w:p>
        </w:tc>
        <w:tc>
          <w:tcPr>
            <w:tcW w:w="5" w:type="pct"/>
            <w:shd w:val="clear" w:color="auto" w:fill="auto"/>
            <w:vAlign w:val="bottom"/>
          </w:tcPr>
          <w:p w14:paraId="5F2D69D0" w14:textId="77777777" w:rsidR="00E836FB" w:rsidRDefault="00E836FB">
            <w:pPr>
              <w:rPr>
                <w:rFonts w:ascii="宋体"/>
              </w:rPr>
            </w:pPr>
          </w:p>
        </w:tc>
        <w:tc>
          <w:tcPr>
            <w:tcW w:w="5" w:type="pct"/>
            <w:shd w:val="clear" w:color="auto" w:fill="auto"/>
            <w:vAlign w:val="bottom"/>
          </w:tcPr>
          <w:p w14:paraId="5F2D69D1" w14:textId="77777777" w:rsidR="00E836FB" w:rsidRDefault="00E836FB">
            <w:pPr>
              <w:rPr>
                <w:rFonts w:ascii="宋体"/>
              </w:rPr>
            </w:pPr>
          </w:p>
        </w:tc>
        <w:tc>
          <w:tcPr>
            <w:tcW w:w="128" w:type="pct"/>
            <w:shd w:val="clear" w:color="auto" w:fill="auto"/>
            <w:vAlign w:val="bottom"/>
          </w:tcPr>
          <w:p w14:paraId="5F2D69D2" w14:textId="77777777" w:rsidR="00E836FB" w:rsidRDefault="00E836FB">
            <w:pPr>
              <w:rPr>
                <w:rFonts w:ascii="宋体"/>
              </w:rPr>
            </w:pPr>
          </w:p>
        </w:tc>
        <w:tc>
          <w:tcPr>
            <w:tcW w:w="5" w:type="pct"/>
            <w:shd w:val="clear" w:color="auto" w:fill="auto"/>
            <w:vAlign w:val="bottom"/>
          </w:tcPr>
          <w:p w14:paraId="5F2D69D3" w14:textId="77777777" w:rsidR="00E836FB" w:rsidRDefault="00E836FB">
            <w:pPr>
              <w:rPr>
                <w:rFonts w:ascii="宋体"/>
              </w:rPr>
            </w:pPr>
          </w:p>
        </w:tc>
        <w:tc>
          <w:tcPr>
            <w:tcW w:w="50" w:type="pct"/>
            <w:shd w:val="clear" w:color="auto" w:fill="auto"/>
            <w:vAlign w:val="bottom"/>
          </w:tcPr>
          <w:p w14:paraId="5F2D69D4" w14:textId="77777777" w:rsidR="00E836FB" w:rsidRDefault="00E836FB">
            <w:pPr>
              <w:rPr>
                <w:rFonts w:ascii="宋体"/>
              </w:rPr>
            </w:pPr>
          </w:p>
        </w:tc>
        <w:tc>
          <w:tcPr>
            <w:tcW w:w="792" w:type="pct"/>
            <w:shd w:val="clear" w:color="auto" w:fill="auto"/>
            <w:vAlign w:val="bottom"/>
          </w:tcPr>
          <w:p w14:paraId="5F2D69D5" w14:textId="77777777" w:rsidR="00E836FB" w:rsidRDefault="00E836FB">
            <w:pPr>
              <w:rPr>
                <w:rFonts w:ascii="宋体"/>
              </w:rPr>
            </w:pPr>
          </w:p>
        </w:tc>
        <w:tc>
          <w:tcPr>
            <w:tcW w:w="5" w:type="pct"/>
            <w:shd w:val="clear" w:color="auto" w:fill="auto"/>
            <w:vAlign w:val="bottom"/>
          </w:tcPr>
          <w:p w14:paraId="5F2D69D6" w14:textId="77777777" w:rsidR="00E836FB" w:rsidRDefault="00E836FB">
            <w:pPr>
              <w:rPr>
                <w:rFonts w:ascii="宋体"/>
              </w:rPr>
            </w:pPr>
          </w:p>
        </w:tc>
        <w:tc>
          <w:tcPr>
            <w:tcW w:w="5" w:type="pct"/>
            <w:shd w:val="clear" w:color="auto" w:fill="auto"/>
            <w:vAlign w:val="bottom"/>
          </w:tcPr>
          <w:p w14:paraId="5F2D69D7" w14:textId="77777777" w:rsidR="00E836FB" w:rsidRDefault="00E836FB">
            <w:pPr>
              <w:rPr>
                <w:rFonts w:ascii="宋体"/>
              </w:rPr>
            </w:pPr>
          </w:p>
        </w:tc>
        <w:tc>
          <w:tcPr>
            <w:tcW w:w="26" w:type="pct"/>
            <w:shd w:val="clear" w:color="auto" w:fill="auto"/>
            <w:vAlign w:val="bottom"/>
          </w:tcPr>
          <w:p w14:paraId="5F2D69D8" w14:textId="77777777" w:rsidR="00E836FB" w:rsidRDefault="00E836FB">
            <w:pPr>
              <w:rPr>
                <w:rFonts w:ascii="宋体"/>
              </w:rPr>
            </w:pPr>
          </w:p>
        </w:tc>
        <w:tc>
          <w:tcPr>
            <w:tcW w:w="5" w:type="pct"/>
            <w:shd w:val="clear" w:color="auto" w:fill="auto"/>
            <w:vAlign w:val="bottom"/>
          </w:tcPr>
          <w:p w14:paraId="5F2D69D9" w14:textId="77777777" w:rsidR="00E836FB" w:rsidRDefault="00E836FB">
            <w:pPr>
              <w:rPr>
                <w:rFonts w:ascii="宋体"/>
              </w:rPr>
            </w:pPr>
          </w:p>
        </w:tc>
        <w:tc>
          <w:tcPr>
            <w:tcW w:w="50" w:type="pct"/>
            <w:shd w:val="clear" w:color="auto" w:fill="auto"/>
            <w:vAlign w:val="bottom"/>
          </w:tcPr>
          <w:p w14:paraId="5F2D69DA" w14:textId="77777777" w:rsidR="00E836FB" w:rsidRDefault="00E836FB">
            <w:pPr>
              <w:rPr>
                <w:rFonts w:ascii="宋体"/>
              </w:rPr>
            </w:pPr>
          </w:p>
        </w:tc>
        <w:tc>
          <w:tcPr>
            <w:tcW w:w="939" w:type="pct"/>
            <w:shd w:val="clear" w:color="auto" w:fill="auto"/>
            <w:vAlign w:val="bottom"/>
          </w:tcPr>
          <w:p w14:paraId="5F2D69DB" w14:textId="77777777" w:rsidR="00E836FB" w:rsidRDefault="00E836FB">
            <w:pPr>
              <w:rPr>
                <w:rFonts w:ascii="宋体"/>
              </w:rPr>
            </w:pPr>
          </w:p>
        </w:tc>
        <w:tc>
          <w:tcPr>
            <w:tcW w:w="5" w:type="pct"/>
            <w:shd w:val="clear" w:color="auto" w:fill="auto"/>
            <w:vAlign w:val="bottom"/>
          </w:tcPr>
          <w:p w14:paraId="5F2D69DC" w14:textId="77777777" w:rsidR="00E836FB" w:rsidRDefault="00E836FB">
            <w:pPr>
              <w:rPr>
                <w:rFonts w:ascii="宋体"/>
              </w:rPr>
            </w:pPr>
          </w:p>
        </w:tc>
      </w:tr>
      <w:tr w:rsidR="00E836FB" w14:paraId="5F2D69E9" w14:textId="77777777">
        <w:tc>
          <w:tcPr>
            <w:tcW w:w="0" w:type="auto"/>
            <w:gridSpan w:val="3"/>
            <w:shd w:val="clear" w:color="auto" w:fill="auto"/>
            <w:tcMar>
              <w:top w:w="40" w:type="dxa"/>
              <w:left w:w="20" w:type="dxa"/>
              <w:bottom w:w="40" w:type="dxa"/>
              <w:right w:w="20" w:type="dxa"/>
            </w:tcMar>
            <w:vAlign w:val="bottom"/>
          </w:tcPr>
          <w:p w14:paraId="5F2D69DE" w14:textId="77777777" w:rsidR="00E836FB" w:rsidRDefault="00994958">
            <w:pPr>
              <w:textAlignment w:val="bottom"/>
            </w:pPr>
            <w:r>
              <w:rPr>
                <w:rFonts w:ascii="Arial" w:eastAsia="宋体" w:hAnsi="Arial" w:cs="Arial"/>
                <w:b/>
                <w:bCs/>
                <w:color w:val="000000"/>
                <w:sz w:val="16"/>
                <w:szCs w:val="16"/>
              </w:rPr>
              <w:t>(Shares in thousands)</w:t>
            </w:r>
          </w:p>
        </w:tc>
        <w:tc>
          <w:tcPr>
            <w:tcW w:w="0" w:type="auto"/>
            <w:gridSpan w:val="3"/>
            <w:shd w:val="clear" w:color="auto" w:fill="auto"/>
            <w:tcMar>
              <w:top w:w="40" w:type="dxa"/>
              <w:left w:w="20" w:type="dxa"/>
              <w:bottom w:w="40" w:type="dxa"/>
              <w:right w:w="20" w:type="dxa"/>
            </w:tcMar>
            <w:vAlign w:val="bottom"/>
          </w:tcPr>
          <w:p w14:paraId="5F2D69DF" w14:textId="77777777" w:rsidR="00E836FB" w:rsidRDefault="00994958">
            <w:pPr>
              <w:jc w:val="center"/>
              <w:textAlignment w:val="bottom"/>
            </w:pPr>
            <w:r>
              <w:rPr>
                <w:rFonts w:ascii="Arial" w:eastAsia="宋体" w:hAnsi="Arial" w:cs="Arial"/>
                <w:b/>
                <w:bCs/>
                <w:color w:val="000000"/>
                <w:sz w:val="16"/>
                <w:szCs w:val="16"/>
              </w:rPr>
              <w:t>(a)</w:t>
            </w:r>
            <w:r>
              <w:rPr>
                <w:rFonts w:ascii="Arial" w:eastAsia="宋体" w:hAnsi="Arial" w:cs="Arial"/>
                <w:b/>
                <w:bCs/>
                <w:color w:val="000000"/>
                <w:sz w:val="16"/>
                <w:szCs w:val="16"/>
              </w:rPr>
              <w:br/>
              <w:t>Number of securities</w:t>
            </w:r>
            <w:r>
              <w:rPr>
                <w:rFonts w:ascii="Arial" w:eastAsia="宋体" w:hAnsi="Arial" w:cs="Arial"/>
                <w:b/>
                <w:bCs/>
                <w:color w:val="000000"/>
                <w:sz w:val="16"/>
                <w:szCs w:val="16"/>
              </w:rPr>
              <w:br/>
              <w:t>to be issued</w:t>
            </w:r>
            <w:r>
              <w:rPr>
                <w:rFonts w:ascii="Arial" w:eastAsia="宋体" w:hAnsi="Arial" w:cs="Arial"/>
                <w:b/>
                <w:bCs/>
                <w:color w:val="000000"/>
                <w:sz w:val="16"/>
                <w:szCs w:val="16"/>
              </w:rPr>
              <w:br/>
              <w:t>upon exercise of</w:t>
            </w:r>
            <w:r>
              <w:rPr>
                <w:rFonts w:ascii="Arial" w:eastAsia="宋体" w:hAnsi="Arial" w:cs="Arial"/>
                <w:b/>
                <w:bCs/>
                <w:color w:val="000000"/>
                <w:sz w:val="16"/>
                <w:szCs w:val="16"/>
              </w:rPr>
              <w:br/>
              <w:t>outstanding</w:t>
            </w:r>
            <w:r>
              <w:rPr>
                <w:rFonts w:ascii="Arial" w:eastAsia="宋体" w:hAnsi="Arial" w:cs="Arial"/>
                <w:b/>
                <w:bCs/>
                <w:color w:val="000000"/>
                <w:sz w:val="16"/>
                <w:szCs w:val="16"/>
              </w:rPr>
              <w:br/>
              <w:t>options,</w:t>
            </w:r>
            <w:r>
              <w:rPr>
                <w:rFonts w:ascii="Arial" w:eastAsia="宋体" w:hAnsi="Arial" w:cs="Arial"/>
                <w:b/>
                <w:bCs/>
                <w:color w:val="000000"/>
                <w:sz w:val="16"/>
                <w:szCs w:val="16"/>
              </w:rPr>
              <w:br/>
              <w:t>warrants and rights</w:t>
            </w:r>
          </w:p>
        </w:tc>
        <w:tc>
          <w:tcPr>
            <w:tcW w:w="0" w:type="auto"/>
            <w:gridSpan w:val="3"/>
            <w:shd w:val="clear" w:color="auto" w:fill="auto"/>
            <w:tcMar>
              <w:top w:w="0" w:type="dxa"/>
              <w:left w:w="20" w:type="dxa"/>
              <w:bottom w:w="0" w:type="dxa"/>
              <w:right w:w="20" w:type="dxa"/>
            </w:tcMar>
            <w:vAlign w:val="bottom"/>
          </w:tcPr>
          <w:p w14:paraId="5F2D69E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9E1" w14:textId="77777777" w:rsidR="00E836FB" w:rsidRDefault="00994958">
            <w:pPr>
              <w:jc w:val="center"/>
              <w:textAlignment w:val="bottom"/>
            </w:pPr>
            <w:r>
              <w:rPr>
                <w:rFonts w:ascii="Arial" w:eastAsia="宋体" w:hAnsi="Arial" w:cs="Arial"/>
                <w:b/>
                <w:bCs/>
                <w:color w:val="000000"/>
                <w:sz w:val="16"/>
                <w:szCs w:val="16"/>
              </w:rPr>
              <w:t>(b)</w:t>
            </w:r>
          </w:p>
          <w:p w14:paraId="5F2D69E2" w14:textId="77777777" w:rsidR="00E836FB" w:rsidRDefault="00994958">
            <w:pPr>
              <w:jc w:val="center"/>
              <w:textAlignment w:val="bottom"/>
            </w:pPr>
            <w:r>
              <w:rPr>
                <w:rFonts w:ascii="Arial" w:eastAsia="宋体" w:hAnsi="Arial" w:cs="Arial"/>
                <w:b/>
                <w:bCs/>
                <w:color w:val="000000"/>
                <w:sz w:val="16"/>
                <w:szCs w:val="16"/>
              </w:rPr>
              <w:t>Weighted-average</w:t>
            </w:r>
          </w:p>
          <w:p w14:paraId="5F2D69E3" w14:textId="77777777" w:rsidR="00E836FB" w:rsidRDefault="00994958">
            <w:pPr>
              <w:jc w:val="center"/>
              <w:textAlignment w:val="bottom"/>
            </w:pPr>
            <w:r>
              <w:rPr>
                <w:rFonts w:ascii="Arial" w:eastAsia="宋体" w:hAnsi="Arial" w:cs="Arial"/>
                <w:b/>
                <w:bCs/>
                <w:color w:val="000000"/>
                <w:sz w:val="16"/>
                <w:szCs w:val="16"/>
              </w:rPr>
              <w:t>exercise price of</w:t>
            </w:r>
          </w:p>
          <w:p w14:paraId="5F2D69E4" w14:textId="77777777" w:rsidR="00E836FB" w:rsidRDefault="00994958">
            <w:pPr>
              <w:jc w:val="center"/>
              <w:textAlignment w:val="bottom"/>
            </w:pPr>
            <w:r>
              <w:rPr>
                <w:rFonts w:ascii="Arial" w:eastAsia="宋体" w:hAnsi="Arial" w:cs="Arial"/>
                <w:b/>
                <w:bCs/>
                <w:color w:val="000000"/>
                <w:sz w:val="16"/>
                <w:szCs w:val="16"/>
              </w:rPr>
              <w:t>outstanding</w:t>
            </w:r>
          </w:p>
          <w:p w14:paraId="5F2D69E5" w14:textId="77777777" w:rsidR="00E836FB" w:rsidRDefault="00994958">
            <w:pPr>
              <w:jc w:val="center"/>
              <w:textAlignment w:val="bottom"/>
            </w:pPr>
            <w:r>
              <w:rPr>
                <w:rFonts w:ascii="Arial" w:eastAsia="宋体" w:hAnsi="Arial" w:cs="Arial"/>
                <w:b/>
                <w:bCs/>
                <w:color w:val="000000"/>
                <w:sz w:val="16"/>
                <w:szCs w:val="16"/>
              </w:rPr>
              <w:t>options,</w:t>
            </w:r>
          </w:p>
          <w:p w14:paraId="5F2D69E6" w14:textId="77777777" w:rsidR="00E836FB" w:rsidRDefault="00994958">
            <w:pPr>
              <w:jc w:val="center"/>
              <w:textAlignment w:val="bottom"/>
            </w:pPr>
            <w:r>
              <w:rPr>
                <w:rFonts w:ascii="Arial" w:eastAsia="宋体" w:hAnsi="Arial" w:cs="Arial"/>
                <w:b/>
                <w:bCs/>
                <w:color w:val="000000"/>
                <w:sz w:val="16"/>
                <w:szCs w:val="16"/>
              </w:rPr>
              <w:t>warrants and rights</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5F2D69E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9E8" w14:textId="77777777" w:rsidR="00E836FB" w:rsidRDefault="00994958">
            <w:pPr>
              <w:jc w:val="center"/>
              <w:textAlignment w:val="bottom"/>
            </w:pPr>
            <w:r>
              <w:rPr>
                <w:rFonts w:ascii="Arial" w:eastAsia="宋体" w:hAnsi="Arial" w:cs="Arial"/>
                <w:b/>
                <w:bCs/>
                <w:color w:val="000000"/>
                <w:sz w:val="16"/>
                <w:szCs w:val="16"/>
              </w:rPr>
              <w:t>(c)</w:t>
            </w:r>
            <w:r>
              <w:rPr>
                <w:rFonts w:ascii="Arial" w:eastAsia="宋体" w:hAnsi="Arial" w:cs="Arial"/>
                <w:b/>
                <w:bCs/>
                <w:color w:val="000000"/>
                <w:sz w:val="16"/>
                <w:szCs w:val="16"/>
              </w:rPr>
              <w:br/>
              <w:t>Number of securities</w:t>
            </w:r>
            <w:r>
              <w:rPr>
                <w:rFonts w:ascii="Arial" w:eastAsia="宋体" w:hAnsi="Arial" w:cs="Arial"/>
                <w:b/>
                <w:bCs/>
                <w:color w:val="000000"/>
                <w:sz w:val="16"/>
                <w:szCs w:val="16"/>
              </w:rPr>
              <w:br/>
              <w:t>remaining available for</w:t>
            </w:r>
            <w:r>
              <w:rPr>
                <w:rFonts w:ascii="Arial" w:eastAsia="宋体" w:hAnsi="Arial" w:cs="Arial"/>
                <w:b/>
                <w:bCs/>
                <w:color w:val="000000"/>
                <w:sz w:val="16"/>
                <w:szCs w:val="16"/>
              </w:rPr>
              <w:br/>
              <w:t>future issuance under</w:t>
            </w:r>
            <w:r>
              <w:rPr>
                <w:rFonts w:ascii="Arial" w:eastAsia="宋体" w:hAnsi="Arial" w:cs="Arial"/>
                <w:b/>
                <w:bCs/>
                <w:color w:val="000000"/>
                <w:sz w:val="16"/>
                <w:szCs w:val="16"/>
              </w:rPr>
              <w:br/>
              <w:t>equity compensation</w:t>
            </w:r>
            <w:r>
              <w:rPr>
                <w:rFonts w:ascii="Arial" w:eastAsia="宋体" w:hAnsi="Arial" w:cs="Arial"/>
                <w:b/>
                <w:bCs/>
                <w:color w:val="000000"/>
                <w:sz w:val="16"/>
                <w:szCs w:val="16"/>
              </w:rPr>
              <w:br/>
              <w:t>plans (excluding</w:t>
            </w:r>
            <w:r>
              <w:rPr>
                <w:rFonts w:ascii="Arial" w:eastAsia="宋体" w:hAnsi="Arial" w:cs="Arial"/>
                <w:b/>
                <w:bCs/>
                <w:color w:val="000000"/>
                <w:sz w:val="16"/>
                <w:szCs w:val="16"/>
              </w:rPr>
              <w:br/>
              <w:t>securities reflected</w:t>
            </w:r>
            <w:r>
              <w:rPr>
                <w:rFonts w:ascii="Arial" w:eastAsia="宋体" w:hAnsi="Arial" w:cs="Arial"/>
                <w:b/>
                <w:bCs/>
                <w:color w:val="000000"/>
                <w:sz w:val="16"/>
                <w:szCs w:val="16"/>
              </w:rPr>
              <w:br/>
              <w:t>in column (a))</w:t>
            </w:r>
          </w:p>
        </w:tc>
      </w:tr>
      <w:tr w:rsidR="00E836FB" w14:paraId="5F2D69F0" w14:textId="77777777">
        <w:tc>
          <w:tcPr>
            <w:tcW w:w="0" w:type="auto"/>
            <w:gridSpan w:val="3"/>
            <w:shd w:val="clear" w:color="auto" w:fill="auto"/>
            <w:tcMar>
              <w:top w:w="40" w:type="dxa"/>
              <w:left w:w="20" w:type="dxa"/>
              <w:bottom w:w="40" w:type="dxa"/>
              <w:right w:w="20" w:type="dxa"/>
            </w:tcMar>
            <w:vAlign w:val="bottom"/>
          </w:tcPr>
          <w:p w14:paraId="5F2D69EA" w14:textId="77777777" w:rsidR="00E836FB" w:rsidRDefault="00994958">
            <w:pPr>
              <w:textAlignment w:val="bottom"/>
            </w:pPr>
            <w:r>
              <w:rPr>
                <w:rFonts w:ascii="Arial" w:eastAsia="宋体" w:hAnsi="Arial" w:cs="Arial"/>
                <w:b/>
                <w:bCs/>
                <w:color w:val="000000"/>
                <w:sz w:val="16"/>
                <w:szCs w:val="16"/>
              </w:rPr>
              <w:t>Plan category: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9E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9EC"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9E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9EE" w14:textId="77777777" w:rsidR="00E836FB" w:rsidRDefault="00E83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9EF" w14:textId="77777777" w:rsidR="00E836FB" w:rsidRDefault="00E836FB">
            <w:pPr>
              <w:rPr>
                <w:rFonts w:ascii="宋体"/>
              </w:rPr>
            </w:pPr>
          </w:p>
        </w:tc>
      </w:tr>
      <w:tr w:rsidR="00E836FB" w14:paraId="5F2D69FB" w14:textId="77777777">
        <w:tc>
          <w:tcPr>
            <w:tcW w:w="0" w:type="auto"/>
            <w:gridSpan w:val="3"/>
            <w:shd w:val="clear" w:color="auto" w:fill="CCEEFF"/>
            <w:tcMar>
              <w:top w:w="40" w:type="dxa"/>
              <w:left w:w="155" w:type="dxa"/>
              <w:bottom w:w="40" w:type="dxa"/>
              <w:right w:w="20" w:type="dxa"/>
            </w:tcMar>
            <w:vAlign w:val="bottom"/>
          </w:tcPr>
          <w:p w14:paraId="5F2D69F1" w14:textId="77777777" w:rsidR="00E836FB" w:rsidRDefault="00994958">
            <w:pPr>
              <w:textAlignment w:val="bottom"/>
            </w:pPr>
            <w:r>
              <w:rPr>
                <w:rFonts w:ascii="Arial" w:eastAsia="宋体" w:hAnsi="Arial" w:cs="Arial"/>
                <w:color w:val="000000"/>
                <w:sz w:val="16"/>
                <w:szCs w:val="16"/>
              </w:rPr>
              <w:t>Equity compensation plans approved by shareholders</w:t>
            </w:r>
          </w:p>
        </w:tc>
        <w:tc>
          <w:tcPr>
            <w:tcW w:w="0" w:type="auto"/>
            <w:gridSpan w:val="2"/>
            <w:shd w:val="clear" w:color="auto" w:fill="CCEEFF"/>
            <w:tcMar>
              <w:top w:w="40" w:type="dxa"/>
              <w:left w:w="20" w:type="dxa"/>
              <w:bottom w:w="40" w:type="dxa"/>
              <w:right w:w="0" w:type="dxa"/>
            </w:tcMar>
            <w:vAlign w:val="bottom"/>
          </w:tcPr>
          <w:p w14:paraId="5F2D69F2" w14:textId="77777777" w:rsidR="00E836FB" w:rsidRDefault="00994958">
            <w:pPr>
              <w:jc w:val="right"/>
              <w:textAlignment w:val="bottom"/>
            </w:pPr>
            <w:r>
              <w:rPr>
                <w:rFonts w:ascii="Arial" w:eastAsia="宋体" w:hAnsi="Arial" w:cs="Arial"/>
                <w:b/>
                <w:bCs/>
                <w:color w:val="000000"/>
                <w:sz w:val="16"/>
                <w:szCs w:val="16"/>
              </w:rPr>
              <w:t>8,366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69F3" w14:textId="77777777" w:rsidR="00E836FB" w:rsidRDefault="00E836FB">
            <w:pPr>
              <w:jc w:val="right"/>
              <w:rPr>
                <w:rFonts w:ascii="宋体"/>
              </w:rPr>
            </w:pPr>
          </w:p>
        </w:tc>
        <w:tc>
          <w:tcPr>
            <w:tcW w:w="0" w:type="auto"/>
            <w:gridSpan w:val="3"/>
            <w:shd w:val="clear" w:color="auto" w:fill="CCEEFF"/>
            <w:tcMar>
              <w:top w:w="40" w:type="dxa"/>
              <w:left w:w="20" w:type="dxa"/>
              <w:bottom w:w="40" w:type="dxa"/>
              <w:right w:w="20" w:type="dxa"/>
            </w:tcMar>
            <w:vAlign w:val="bottom"/>
          </w:tcPr>
          <w:p w14:paraId="5F2D69F4" w14:textId="77777777" w:rsidR="00E836FB" w:rsidRDefault="00994958">
            <w:pPr>
              <w:textAlignment w:val="bottom"/>
            </w:pPr>
            <w:r>
              <w:rPr>
                <w:rFonts w:ascii="Arial" w:eastAsia="宋体" w:hAnsi="Arial" w:cs="Arial"/>
                <w:b/>
                <w:bCs/>
                <w:color w:val="000000"/>
                <w:sz w:val="10"/>
                <w:szCs w:val="10"/>
              </w:rPr>
              <w:t>(2)</w:t>
            </w:r>
          </w:p>
        </w:tc>
        <w:tc>
          <w:tcPr>
            <w:tcW w:w="0" w:type="auto"/>
            <w:shd w:val="clear" w:color="auto" w:fill="CCEEFF"/>
            <w:tcMar>
              <w:top w:w="40" w:type="dxa"/>
              <w:left w:w="20" w:type="dxa"/>
              <w:bottom w:w="40" w:type="dxa"/>
              <w:right w:w="0" w:type="dxa"/>
            </w:tcMar>
            <w:vAlign w:val="bottom"/>
          </w:tcPr>
          <w:p w14:paraId="5F2D69F5" w14:textId="77777777" w:rsidR="00E836FB" w:rsidRDefault="00994958">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F2D69F6"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69F7"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9F8"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9F9" w14:textId="77777777" w:rsidR="00E836FB" w:rsidRDefault="00994958">
            <w:pPr>
              <w:jc w:val="right"/>
              <w:textAlignment w:val="bottom"/>
            </w:pPr>
            <w:r>
              <w:rPr>
                <w:rFonts w:ascii="Arial" w:eastAsia="宋体" w:hAnsi="Arial" w:cs="Arial"/>
                <w:b/>
                <w:bCs/>
                <w:color w:val="000000"/>
                <w:sz w:val="16"/>
                <w:szCs w:val="16"/>
              </w:rPr>
              <w:t>16,905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69FA" w14:textId="77777777" w:rsidR="00E836FB" w:rsidRDefault="00E836FB">
            <w:pPr>
              <w:jc w:val="right"/>
              <w:rPr>
                <w:rFonts w:ascii="宋体"/>
              </w:rPr>
            </w:pPr>
          </w:p>
        </w:tc>
      </w:tr>
      <w:tr w:rsidR="00E836FB" w14:paraId="5F2D6A05" w14:textId="77777777">
        <w:tc>
          <w:tcPr>
            <w:tcW w:w="0" w:type="auto"/>
            <w:gridSpan w:val="3"/>
            <w:shd w:val="clear" w:color="auto" w:fill="FFFFFF"/>
            <w:tcMar>
              <w:top w:w="40" w:type="dxa"/>
              <w:left w:w="155" w:type="dxa"/>
              <w:bottom w:w="40" w:type="dxa"/>
              <w:right w:w="20" w:type="dxa"/>
            </w:tcMar>
            <w:vAlign w:val="bottom"/>
          </w:tcPr>
          <w:p w14:paraId="5F2D69FC" w14:textId="77777777" w:rsidR="00E836FB" w:rsidRDefault="00994958">
            <w:pPr>
              <w:textAlignment w:val="bottom"/>
            </w:pPr>
            <w:r>
              <w:rPr>
                <w:rFonts w:ascii="Arial" w:eastAsia="宋体" w:hAnsi="Arial" w:cs="Arial"/>
                <w:color w:val="000000"/>
                <w:sz w:val="16"/>
                <w:szCs w:val="16"/>
              </w:rPr>
              <w:t>Equity compensation plans not approved by shareholders</w:t>
            </w:r>
          </w:p>
        </w:tc>
        <w:tc>
          <w:tcPr>
            <w:tcW w:w="0" w:type="auto"/>
            <w:gridSpan w:val="2"/>
            <w:shd w:val="clear" w:color="auto" w:fill="FFFFFF"/>
            <w:tcMar>
              <w:top w:w="40" w:type="dxa"/>
              <w:left w:w="20" w:type="dxa"/>
              <w:bottom w:w="40" w:type="dxa"/>
              <w:right w:w="0" w:type="dxa"/>
            </w:tcMar>
            <w:vAlign w:val="bottom"/>
          </w:tcPr>
          <w:p w14:paraId="5F2D69FD" w14:textId="77777777" w:rsidR="00E836FB" w:rsidRDefault="00994958">
            <w:pPr>
              <w:jc w:val="right"/>
              <w:textAlignment w:val="bottom"/>
            </w:pPr>
            <w:r>
              <w:rPr>
                <w:rFonts w:ascii="Arial" w:eastAsia="宋体" w:hAnsi="Arial" w:cs="Arial"/>
                <w:b/>
                <w:bCs/>
                <w:color w:val="000000"/>
                <w:sz w:val="16"/>
                <w:szCs w:val="16"/>
              </w:rPr>
              <w:t>18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69FE" w14:textId="77777777" w:rsidR="00E836FB" w:rsidRDefault="00E836F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F2D69FF" w14:textId="77777777" w:rsidR="00E836FB" w:rsidRDefault="00994958">
            <w:pPr>
              <w:textAlignment w:val="bottom"/>
            </w:pPr>
            <w:r>
              <w:rPr>
                <w:rFonts w:ascii="Arial" w:eastAsia="宋体" w:hAnsi="Arial" w:cs="Arial"/>
                <w:b/>
                <w:bCs/>
                <w:color w:val="000000"/>
                <w:sz w:val="10"/>
                <w:szCs w:val="10"/>
              </w:rPr>
              <w:t>(3)</w:t>
            </w:r>
          </w:p>
        </w:tc>
        <w:tc>
          <w:tcPr>
            <w:tcW w:w="0" w:type="auto"/>
            <w:gridSpan w:val="2"/>
            <w:shd w:val="clear" w:color="auto" w:fill="FFFFFF"/>
            <w:tcMar>
              <w:top w:w="40" w:type="dxa"/>
              <w:left w:w="20" w:type="dxa"/>
              <w:bottom w:w="40" w:type="dxa"/>
              <w:right w:w="0" w:type="dxa"/>
            </w:tcMar>
            <w:vAlign w:val="bottom"/>
          </w:tcPr>
          <w:p w14:paraId="5F2D6A00"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6A01" w14:textId="77777777" w:rsidR="00E836FB" w:rsidRDefault="00E836FB">
            <w:pPr>
              <w:jc w:val="right"/>
              <w:rPr>
                <w:rFonts w:ascii="宋体"/>
              </w:rPr>
            </w:pPr>
          </w:p>
        </w:tc>
        <w:tc>
          <w:tcPr>
            <w:tcW w:w="0" w:type="auto"/>
            <w:gridSpan w:val="3"/>
            <w:shd w:val="clear" w:color="auto" w:fill="FFFFFF"/>
            <w:tcMar>
              <w:top w:w="0" w:type="dxa"/>
              <w:left w:w="20" w:type="dxa"/>
              <w:bottom w:w="0" w:type="dxa"/>
              <w:right w:w="20" w:type="dxa"/>
            </w:tcMar>
            <w:vAlign w:val="bottom"/>
          </w:tcPr>
          <w:p w14:paraId="5F2D6A02" w14:textId="77777777" w:rsidR="00E836FB" w:rsidRDefault="00E836FB">
            <w:pPr>
              <w:rPr>
                <w:rFonts w:ascii="宋体"/>
              </w:rPr>
            </w:pPr>
          </w:p>
        </w:tc>
        <w:tc>
          <w:tcPr>
            <w:tcW w:w="0" w:type="auto"/>
            <w:gridSpan w:val="2"/>
            <w:shd w:val="clear" w:color="auto" w:fill="FFFFFF"/>
            <w:tcMar>
              <w:top w:w="40" w:type="dxa"/>
              <w:left w:w="20" w:type="dxa"/>
              <w:bottom w:w="40" w:type="dxa"/>
              <w:right w:w="0" w:type="dxa"/>
            </w:tcMar>
            <w:vAlign w:val="bottom"/>
          </w:tcPr>
          <w:p w14:paraId="5F2D6A03"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F2D6A04" w14:textId="77777777" w:rsidR="00E836FB" w:rsidRDefault="00E836FB">
            <w:pPr>
              <w:jc w:val="right"/>
              <w:rPr>
                <w:rFonts w:ascii="宋体"/>
              </w:rPr>
            </w:pPr>
          </w:p>
        </w:tc>
      </w:tr>
      <w:tr w:rsidR="00E836FB" w14:paraId="5F2D6A0F" w14:textId="77777777">
        <w:tc>
          <w:tcPr>
            <w:tcW w:w="0" w:type="auto"/>
            <w:gridSpan w:val="3"/>
            <w:shd w:val="clear" w:color="auto" w:fill="CCEEFF"/>
            <w:tcMar>
              <w:top w:w="40" w:type="dxa"/>
              <w:left w:w="20" w:type="dxa"/>
              <w:bottom w:w="40" w:type="dxa"/>
              <w:right w:w="20" w:type="dxa"/>
            </w:tcMar>
            <w:vAlign w:val="bottom"/>
          </w:tcPr>
          <w:p w14:paraId="5F2D6A06" w14:textId="77777777" w:rsidR="00E836FB" w:rsidRDefault="00994958">
            <w:pPr>
              <w:textAlignment w:val="bottom"/>
            </w:pPr>
            <w:r>
              <w:rPr>
                <w:rFonts w:ascii="Arial" w:eastAsia="宋体" w:hAnsi="Arial" w:cs="Arial"/>
                <w:color w:val="000000"/>
                <w:sz w:val="16"/>
                <w:szCs w:val="16"/>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6A07" w14:textId="77777777" w:rsidR="00E836FB" w:rsidRDefault="00994958">
            <w:pPr>
              <w:jc w:val="right"/>
              <w:textAlignment w:val="bottom"/>
            </w:pPr>
            <w:r>
              <w:rPr>
                <w:rFonts w:ascii="Arial" w:eastAsia="宋体" w:hAnsi="Arial" w:cs="Arial"/>
                <w:b/>
                <w:bCs/>
                <w:color w:val="000000"/>
                <w:sz w:val="16"/>
                <w:szCs w:val="16"/>
              </w:rPr>
              <w:t>8,384</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6A08"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A09" w14:textId="77777777" w:rsidR="00E836FB" w:rsidRDefault="00E836FB">
            <w:pPr>
              <w:rPr>
                <w:rFonts w:ascii="宋体"/>
              </w:rPr>
            </w:pPr>
          </w:p>
        </w:tc>
        <w:tc>
          <w:tcPr>
            <w:tcW w:w="0" w:type="auto"/>
            <w:gridSpan w:val="2"/>
            <w:shd w:val="clear" w:color="auto" w:fill="CCEEFF"/>
            <w:tcMar>
              <w:top w:w="40" w:type="dxa"/>
              <w:left w:w="20" w:type="dxa"/>
              <w:bottom w:w="40" w:type="dxa"/>
              <w:right w:w="0" w:type="dxa"/>
            </w:tcMar>
            <w:vAlign w:val="bottom"/>
          </w:tcPr>
          <w:p w14:paraId="5F2D6A0A" w14:textId="77777777" w:rsidR="00E836FB" w:rsidRDefault="00994958">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F2D6A0B" w14:textId="77777777" w:rsidR="00E836FB" w:rsidRDefault="00E836FB">
            <w:pPr>
              <w:jc w:val="right"/>
              <w:rPr>
                <w:rFonts w:ascii="宋体"/>
              </w:rPr>
            </w:pPr>
          </w:p>
        </w:tc>
        <w:tc>
          <w:tcPr>
            <w:tcW w:w="0" w:type="auto"/>
            <w:gridSpan w:val="3"/>
            <w:shd w:val="clear" w:color="auto" w:fill="CCEEFF"/>
            <w:tcMar>
              <w:top w:w="0" w:type="dxa"/>
              <w:left w:w="20" w:type="dxa"/>
              <w:bottom w:w="0" w:type="dxa"/>
              <w:right w:w="20" w:type="dxa"/>
            </w:tcMar>
            <w:vAlign w:val="bottom"/>
          </w:tcPr>
          <w:p w14:paraId="5F2D6A0C" w14:textId="77777777" w:rsidR="00E836FB" w:rsidRDefault="00E83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F2D6A0D" w14:textId="77777777" w:rsidR="00E836FB" w:rsidRDefault="00994958">
            <w:pPr>
              <w:jc w:val="right"/>
              <w:textAlignment w:val="bottom"/>
            </w:pPr>
            <w:r>
              <w:rPr>
                <w:rFonts w:ascii="Arial" w:eastAsia="宋体" w:hAnsi="Arial" w:cs="Arial"/>
                <w:b/>
                <w:bCs/>
                <w:color w:val="000000"/>
                <w:sz w:val="16"/>
                <w:szCs w:val="16"/>
              </w:rPr>
              <w:t>16,905</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F2D6A0E" w14:textId="77777777" w:rsidR="00E836FB" w:rsidRDefault="00E836FB">
            <w:pPr>
              <w:jc w:val="right"/>
              <w:rPr>
                <w:rFonts w:ascii="宋体"/>
              </w:rPr>
            </w:pPr>
          </w:p>
        </w:tc>
      </w:tr>
    </w:tbl>
    <w:p w14:paraId="5F2D6A10" w14:textId="77777777" w:rsidR="00E836FB" w:rsidRDefault="00E836FB">
      <w:pPr>
        <w:rPr>
          <w:vanish/>
        </w:rPr>
      </w:pPr>
    </w:p>
    <w:tbl>
      <w:tblPr>
        <w:tblW w:w="10245" w:type="dxa"/>
        <w:tblCellMar>
          <w:top w:w="15" w:type="dxa"/>
          <w:left w:w="15" w:type="dxa"/>
          <w:bottom w:w="15" w:type="dxa"/>
          <w:right w:w="15" w:type="dxa"/>
        </w:tblCellMar>
        <w:tblLook w:val="04A0" w:firstRow="1" w:lastRow="0" w:firstColumn="1" w:lastColumn="0" w:noHBand="0" w:noVBand="1"/>
      </w:tblPr>
      <w:tblGrid>
        <w:gridCol w:w="37"/>
        <w:gridCol w:w="3281"/>
        <w:gridCol w:w="36"/>
        <w:gridCol w:w="36"/>
        <w:gridCol w:w="2027"/>
        <w:gridCol w:w="36"/>
        <w:gridCol w:w="36"/>
        <w:gridCol w:w="1791"/>
        <w:gridCol w:w="36"/>
        <w:gridCol w:w="36"/>
        <w:gridCol w:w="1717"/>
        <w:gridCol w:w="36"/>
        <w:gridCol w:w="36"/>
        <w:gridCol w:w="1068"/>
        <w:gridCol w:w="36"/>
      </w:tblGrid>
      <w:tr w:rsidR="00E836FB" w14:paraId="5F2D6A20" w14:textId="77777777">
        <w:tc>
          <w:tcPr>
            <w:tcW w:w="20" w:type="dxa"/>
            <w:shd w:val="clear" w:color="auto" w:fill="auto"/>
            <w:vAlign w:val="bottom"/>
          </w:tcPr>
          <w:p w14:paraId="5F2D6A11" w14:textId="77777777" w:rsidR="00E836FB" w:rsidRDefault="00E836FB">
            <w:pPr>
              <w:rPr>
                <w:rFonts w:ascii="宋体"/>
              </w:rPr>
            </w:pPr>
          </w:p>
        </w:tc>
        <w:tc>
          <w:tcPr>
            <w:tcW w:w="3335" w:type="dxa"/>
            <w:shd w:val="clear" w:color="auto" w:fill="auto"/>
            <w:vAlign w:val="bottom"/>
          </w:tcPr>
          <w:p w14:paraId="5F2D6A12" w14:textId="77777777" w:rsidR="00E836FB" w:rsidRDefault="00E836FB">
            <w:pPr>
              <w:rPr>
                <w:rFonts w:ascii="宋体"/>
              </w:rPr>
            </w:pPr>
          </w:p>
        </w:tc>
        <w:tc>
          <w:tcPr>
            <w:tcW w:w="20" w:type="dxa"/>
            <w:shd w:val="clear" w:color="auto" w:fill="auto"/>
            <w:vAlign w:val="bottom"/>
          </w:tcPr>
          <w:p w14:paraId="5F2D6A13" w14:textId="77777777" w:rsidR="00E836FB" w:rsidRDefault="00E836FB">
            <w:pPr>
              <w:rPr>
                <w:rFonts w:ascii="宋体"/>
              </w:rPr>
            </w:pPr>
          </w:p>
        </w:tc>
        <w:tc>
          <w:tcPr>
            <w:tcW w:w="20" w:type="dxa"/>
            <w:shd w:val="clear" w:color="auto" w:fill="auto"/>
            <w:vAlign w:val="bottom"/>
          </w:tcPr>
          <w:p w14:paraId="5F2D6A14" w14:textId="77777777" w:rsidR="00E836FB" w:rsidRDefault="00E836FB">
            <w:pPr>
              <w:rPr>
                <w:rFonts w:ascii="宋体"/>
              </w:rPr>
            </w:pPr>
          </w:p>
        </w:tc>
        <w:tc>
          <w:tcPr>
            <w:tcW w:w="2060" w:type="dxa"/>
            <w:shd w:val="clear" w:color="auto" w:fill="auto"/>
            <w:vAlign w:val="bottom"/>
          </w:tcPr>
          <w:p w14:paraId="5F2D6A15" w14:textId="77777777" w:rsidR="00E836FB" w:rsidRDefault="00E836FB">
            <w:pPr>
              <w:rPr>
                <w:rFonts w:ascii="宋体"/>
              </w:rPr>
            </w:pPr>
          </w:p>
        </w:tc>
        <w:tc>
          <w:tcPr>
            <w:tcW w:w="20" w:type="dxa"/>
            <w:shd w:val="clear" w:color="auto" w:fill="auto"/>
            <w:vAlign w:val="bottom"/>
          </w:tcPr>
          <w:p w14:paraId="5F2D6A16" w14:textId="77777777" w:rsidR="00E836FB" w:rsidRDefault="00E836FB">
            <w:pPr>
              <w:rPr>
                <w:rFonts w:ascii="宋体"/>
              </w:rPr>
            </w:pPr>
          </w:p>
        </w:tc>
        <w:tc>
          <w:tcPr>
            <w:tcW w:w="20" w:type="dxa"/>
            <w:shd w:val="clear" w:color="auto" w:fill="auto"/>
            <w:vAlign w:val="bottom"/>
          </w:tcPr>
          <w:p w14:paraId="5F2D6A17" w14:textId="77777777" w:rsidR="00E836FB" w:rsidRDefault="00E836FB">
            <w:pPr>
              <w:rPr>
                <w:rFonts w:ascii="宋体"/>
              </w:rPr>
            </w:pPr>
          </w:p>
        </w:tc>
        <w:tc>
          <w:tcPr>
            <w:tcW w:w="1820" w:type="dxa"/>
            <w:shd w:val="clear" w:color="auto" w:fill="auto"/>
            <w:vAlign w:val="bottom"/>
          </w:tcPr>
          <w:p w14:paraId="5F2D6A18" w14:textId="77777777" w:rsidR="00E836FB" w:rsidRDefault="00E836FB">
            <w:pPr>
              <w:rPr>
                <w:rFonts w:ascii="宋体"/>
              </w:rPr>
            </w:pPr>
          </w:p>
        </w:tc>
        <w:tc>
          <w:tcPr>
            <w:tcW w:w="20" w:type="dxa"/>
            <w:shd w:val="clear" w:color="auto" w:fill="auto"/>
            <w:vAlign w:val="bottom"/>
          </w:tcPr>
          <w:p w14:paraId="5F2D6A19" w14:textId="77777777" w:rsidR="00E836FB" w:rsidRDefault="00E836FB">
            <w:pPr>
              <w:rPr>
                <w:rFonts w:ascii="宋体"/>
              </w:rPr>
            </w:pPr>
          </w:p>
        </w:tc>
        <w:tc>
          <w:tcPr>
            <w:tcW w:w="20" w:type="dxa"/>
            <w:shd w:val="clear" w:color="auto" w:fill="auto"/>
            <w:vAlign w:val="bottom"/>
          </w:tcPr>
          <w:p w14:paraId="5F2D6A1A" w14:textId="77777777" w:rsidR="00E836FB" w:rsidRDefault="00E836FB">
            <w:pPr>
              <w:rPr>
                <w:rFonts w:ascii="宋体"/>
              </w:rPr>
            </w:pPr>
          </w:p>
        </w:tc>
        <w:tc>
          <w:tcPr>
            <w:tcW w:w="1745" w:type="dxa"/>
            <w:shd w:val="clear" w:color="auto" w:fill="auto"/>
            <w:vAlign w:val="bottom"/>
          </w:tcPr>
          <w:p w14:paraId="5F2D6A1B" w14:textId="77777777" w:rsidR="00E836FB" w:rsidRDefault="00E836FB">
            <w:pPr>
              <w:rPr>
                <w:rFonts w:ascii="宋体"/>
              </w:rPr>
            </w:pPr>
          </w:p>
        </w:tc>
        <w:tc>
          <w:tcPr>
            <w:tcW w:w="20" w:type="dxa"/>
            <w:shd w:val="clear" w:color="auto" w:fill="auto"/>
            <w:vAlign w:val="bottom"/>
          </w:tcPr>
          <w:p w14:paraId="5F2D6A1C" w14:textId="77777777" w:rsidR="00E836FB" w:rsidRDefault="00E836FB">
            <w:pPr>
              <w:rPr>
                <w:rFonts w:ascii="宋体"/>
              </w:rPr>
            </w:pPr>
          </w:p>
        </w:tc>
        <w:tc>
          <w:tcPr>
            <w:tcW w:w="20" w:type="dxa"/>
            <w:shd w:val="clear" w:color="auto" w:fill="auto"/>
            <w:vAlign w:val="bottom"/>
          </w:tcPr>
          <w:p w14:paraId="5F2D6A1D" w14:textId="77777777" w:rsidR="00E836FB" w:rsidRDefault="00E836FB">
            <w:pPr>
              <w:rPr>
                <w:rFonts w:ascii="宋体"/>
              </w:rPr>
            </w:pPr>
          </w:p>
        </w:tc>
        <w:tc>
          <w:tcPr>
            <w:tcW w:w="1085" w:type="dxa"/>
            <w:shd w:val="clear" w:color="auto" w:fill="auto"/>
            <w:vAlign w:val="bottom"/>
          </w:tcPr>
          <w:p w14:paraId="5F2D6A1E" w14:textId="77777777" w:rsidR="00E836FB" w:rsidRDefault="00E836FB">
            <w:pPr>
              <w:rPr>
                <w:rFonts w:ascii="宋体"/>
              </w:rPr>
            </w:pPr>
          </w:p>
        </w:tc>
        <w:tc>
          <w:tcPr>
            <w:tcW w:w="20" w:type="dxa"/>
            <w:shd w:val="clear" w:color="auto" w:fill="auto"/>
            <w:vAlign w:val="bottom"/>
          </w:tcPr>
          <w:p w14:paraId="5F2D6A1F" w14:textId="77777777" w:rsidR="00E836FB" w:rsidRDefault="00E836FB">
            <w:pPr>
              <w:rPr>
                <w:rFonts w:ascii="宋体"/>
              </w:rPr>
            </w:pPr>
          </w:p>
        </w:tc>
      </w:tr>
      <w:tr w:rsidR="00E836FB" w14:paraId="5F2D6A2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6A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2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2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25" w14:textId="77777777" w:rsidR="00E836FB" w:rsidRDefault="00E836FB">
            <w:pPr>
              <w:rPr>
                <w:rFonts w:ascii="宋体"/>
              </w:rPr>
            </w:pPr>
          </w:p>
        </w:tc>
      </w:tr>
    </w:tbl>
    <w:p w14:paraId="5F2D6A27" w14:textId="77777777" w:rsidR="00E836FB" w:rsidRDefault="00994958">
      <w:pPr>
        <w:jc w:val="both"/>
      </w:pPr>
      <w:r>
        <w:rPr>
          <w:rFonts w:ascii="Arial" w:eastAsia="宋体" w:hAnsi="Arial" w:cs="Arial"/>
          <w:color w:val="000000"/>
          <w:sz w:val="9"/>
          <w:szCs w:val="9"/>
        </w:rPr>
        <w:t xml:space="preserve">(1) </w:t>
      </w:r>
      <w:r>
        <w:rPr>
          <w:rFonts w:ascii="Arial" w:eastAsia="宋体" w:hAnsi="Arial" w:cs="Arial"/>
          <w:color w:val="000000"/>
          <w:sz w:val="14"/>
          <w:szCs w:val="14"/>
        </w:rPr>
        <w:t>Excludes deferred stock awards and performance awards for which there is no exercise price.</w:t>
      </w:r>
    </w:p>
    <w:p w14:paraId="5F2D6A28" w14:textId="77777777" w:rsidR="00E836FB" w:rsidRDefault="00994958">
      <w:pPr>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Consists of 5,777 thousand shares subject to deferred stock awards, zero shares subject to stock options, zero stock appreciation rights and </w:t>
      </w:r>
      <w:r>
        <w:rPr>
          <w:rFonts w:ascii="Arial" w:eastAsia="宋体" w:hAnsi="Arial" w:cs="Arial"/>
          <w:color w:val="000000"/>
          <w:sz w:val="14"/>
          <w:szCs w:val="14"/>
        </w:rPr>
        <w:t>2,589 thousand shares subject to performance awards (assuming payout at 100% for all awards, including awards for which performance is uncertain).</w:t>
      </w:r>
    </w:p>
    <w:p w14:paraId="5F2D6A29" w14:textId="77777777" w:rsidR="00E836FB" w:rsidRDefault="00994958">
      <w:pPr>
        <w:spacing w:after="120"/>
        <w:jc w:val="both"/>
      </w:pPr>
      <w:r>
        <w:rPr>
          <w:rFonts w:ascii="Arial" w:eastAsia="宋体" w:hAnsi="Arial" w:cs="Arial"/>
          <w:color w:val="000000"/>
          <w:sz w:val="9"/>
          <w:szCs w:val="9"/>
        </w:rPr>
        <w:t xml:space="preserve">(3) </w:t>
      </w:r>
      <w:r>
        <w:rPr>
          <w:rFonts w:ascii="Arial" w:eastAsia="宋体" w:hAnsi="Arial" w:cs="Arial"/>
          <w:color w:val="000000"/>
          <w:sz w:val="14"/>
          <w:szCs w:val="14"/>
        </w:rPr>
        <w:t>Consists of shares subject to deferred stock awards.</w:t>
      </w:r>
    </w:p>
    <w:p w14:paraId="5F2D6A2A" w14:textId="77777777" w:rsidR="00E836FB" w:rsidRDefault="00994958">
      <w:pPr>
        <w:ind w:firstLine="450"/>
        <w:jc w:val="both"/>
      </w:pPr>
      <w:r>
        <w:rPr>
          <w:rFonts w:ascii="Arial" w:eastAsia="宋体" w:hAnsi="Arial" w:cs="Arial"/>
          <w:color w:val="000000"/>
          <w:sz w:val="20"/>
          <w:szCs w:val="20"/>
        </w:rPr>
        <w:t xml:space="preserve">Individual directors who are not our employees have </w:t>
      </w:r>
      <w:r>
        <w:rPr>
          <w:rFonts w:ascii="Arial" w:eastAsia="宋体" w:hAnsi="Arial" w:cs="Arial"/>
          <w:color w:val="000000"/>
          <w:sz w:val="20"/>
          <w:szCs w:val="20"/>
        </w:rPr>
        <w:t>received stock awards and cash retainers, both of which may be deferred. Directors may elect to receive shares of our common stock in place of cash. If payment is in the form of common stock, the number of shares is determined by dividing the approved cash</w:t>
      </w:r>
      <w:r>
        <w:rPr>
          <w:rFonts w:ascii="Arial" w:eastAsia="宋体" w:hAnsi="Arial" w:cs="Arial"/>
          <w:color w:val="000000"/>
          <w:sz w:val="20"/>
          <w:szCs w:val="20"/>
        </w:rPr>
        <w:t xml:space="preserve"> amount by the closing price on the date of the annual shareholders' meeting or date of grant, if different. All deferred shares, whether stock awards or common stock received in place of cash retainers, are increased to reflect dividends paid on the commo</w:t>
      </w:r>
      <w:r>
        <w:rPr>
          <w:rFonts w:ascii="Arial" w:eastAsia="宋体" w:hAnsi="Arial" w:cs="Arial"/>
          <w:color w:val="000000"/>
          <w:sz w:val="20"/>
          <w:szCs w:val="20"/>
        </w:rPr>
        <w:t xml:space="preserve">n </w:t>
      </w:r>
    </w:p>
    <w:p w14:paraId="5F2D6A2B" w14:textId="77777777" w:rsidR="00E836FB" w:rsidRDefault="00994958">
      <w:pPr>
        <w:ind w:firstLine="450"/>
        <w:jc w:val="right"/>
      </w:pPr>
      <w:r>
        <w:rPr>
          <w:rFonts w:ascii="Arial" w:eastAsia="宋体" w:hAnsi="Arial" w:cs="Arial"/>
          <w:color w:val="000000"/>
          <w:sz w:val="18"/>
          <w:szCs w:val="18"/>
        </w:rPr>
        <w:t>State Street Corporation | 193</w:t>
      </w:r>
    </w:p>
    <w:p w14:paraId="5F2D6A2C" w14:textId="77777777" w:rsidR="00E836FB" w:rsidRDefault="00E836FB">
      <w:pPr>
        <w:ind w:firstLine="450"/>
        <w:jc w:val="center"/>
      </w:pPr>
    </w:p>
    <w:p w14:paraId="5F2D6A2D" w14:textId="77777777" w:rsidR="00E836FB" w:rsidRDefault="00994958">
      <w:r>
        <w:pict w14:anchorId="5F2D6E46">
          <v:rect id="_x0000_i1217" style="width:415.3pt;height:1.5pt" o:hralign="center" o:hrstd="t" o:hr="t" fillcolor="#a0a0a0" stroked="f"/>
        </w:pict>
      </w:r>
    </w:p>
    <w:p w14:paraId="5F2D6A2E" w14:textId="77777777" w:rsidR="00E836FB" w:rsidRDefault="00E836FB">
      <w:pPr>
        <w:ind w:firstLine="450"/>
      </w:pPr>
    </w:p>
    <w:p w14:paraId="5F2D6A2F" w14:textId="77777777" w:rsidR="00E836FB" w:rsidRDefault="00994958">
      <w:pPr>
        <w:jc w:val="both"/>
      </w:pPr>
      <w:r>
        <w:rPr>
          <w:rFonts w:ascii="Arial" w:eastAsia="宋体" w:hAnsi="Arial" w:cs="Arial"/>
          <w:color w:val="000000"/>
          <w:sz w:val="20"/>
          <w:szCs w:val="20"/>
        </w:rPr>
        <w:t>stock and, for certain directors, may include share amounts in respect of an accrual under a terminated retirement plan.</w:t>
      </w:r>
    </w:p>
    <w:p w14:paraId="5F2D6A30" w14:textId="77777777" w:rsidR="00E836FB" w:rsidRDefault="00994958">
      <w:pPr>
        <w:spacing w:before="60"/>
        <w:ind w:firstLine="450"/>
        <w:jc w:val="both"/>
      </w:pPr>
      <w:r>
        <w:rPr>
          <w:rFonts w:ascii="Arial" w:eastAsia="宋体" w:hAnsi="Arial" w:cs="Arial"/>
          <w:color w:val="000000"/>
          <w:sz w:val="20"/>
          <w:szCs w:val="20"/>
        </w:rPr>
        <w:t xml:space="preserve">Pursuant to State Street’s Deferred Compensation Plan for Directors, non-employee </w:t>
      </w:r>
      <w:r>
        <w:rPr>
          <w:rFonts w:ascii="Arial" w:eastAsia="宋体" w:hAnsi="Arial" w:cs="Arial"/>
          <w:color w:val="000000"/>
          <w:sz w:val="20"/>
          <w:szCs w:val="20"/>
        </w:rPr>
        <w:t>directors may elect to defer the receipt of 0% or 100% of their (1) retainers, (2) meeting fees or (3) annual equity grant award. Non-employee directors also may elect to receive their retainers in cash or shares of common stock. Non-employee directors who</w:t>
      </w:r>
      <w:r>
        <w:rPr>
          <w:rFonts w:ascii="Arial" w:eastAsia="宋体" w:hAnsi="Arial" w:cs="Arial"/>
          <w:color w:val="000000"/>
          <w:sz w:val="20"/>
          <w:szCs w:val="20"/>
        </w:rPr>
        <w:t xml:space="preserve"> elect to defer the cash payment of their retainers or meeting fees may choose from four notional investment fund returns for such deferred cash. Deferrals of common stock are adjusted to reflect the hypothetical reinvestment in additional shares of common</w:t>
      </w:r>
      <w:r>
        <w:rPr>
          <w:rFonts w:ascii="Arial" w:eastAsia="宋体" w:hAnsi="Arial" w:cs="Arial"/>
          <w:color w:val="000000"/>
          <w:sz w:val="20"/>
          <w:szCs w:val="20"/>
        </w:rPr>
        <w:t xml:space="preserve"> stock for any dividends or distributions on State Street common stock. Deferred amounts will be paid (a) as elected by the non-employee director, on either the date of their termination of service on the Board or on the earlier of such termination and a f</w:t>
      </w:r>
      <w:r>
        <w:rPr>
          <w:rFonts w:ascii="Arial" w:eastAsia="宋体" w:hAnsi="Arial" w:cs="Arial"/>
          <w:color w:val="000000"/>
          <w:sz w:val="20"/>
          <w:szCs w:val="20"/>
        </w:rPr>
        <w:t>uture date specified, and (b) in the form elected by the non-employee director as either a lump sum or in installments over a two- to five-year period.</w:t>
      </w:r>
    </w:p>
    <w:p w14:paraId="5F2D6A31" w14:textId="77777777" w:rsidR="00E836FB" w:rsidRDefault="00994958">
      <w:pPr>
        <w:spacing w:before="60"/>
        <w:ind w:firstLine="450"/>
        <w:jc w:val="both"/>
      </w:pPr>
      <w:r>
        <w:rPr>
          <w:rFonts w:ascii="Arial" w:eastAsia="宋体" w:hAnsi="Arial" w:cs="Arial"/>
          <w:color w:val="000000"/>
          <w:sz w:val="20"/>
          <w:szCs w:val="20"/>
        </w:rPr>
        <w:t>Stock awards totaling 232,391 shares of common stock were outstanding as of December 31, 2021; awards ma</w:t>
      </w:r>
      <w:r>
        <w:rPr>
          <w:rFonts w:ascii="Arial" w:eastAsia="宋体" w:hAnsi="Arial" w:cs="Arial"/>
          <w:color w:val="000000"/>
          <w:sz w:val="20"/>
          <w:szCs w:val="20"/>
        </w:rPr>
        <w:t xml:space="preserve">de through June 30, 2003, totaling 18,324 shares outstanding as of December 31, 2021, have not been approved by shareholders. There are no other equity compensation plans under which our equity securities are authorized for issuance that have been adopted </w:t>
      </w:r>
      <w:r>
        <w:rPr>
          <w:rFonts w:ascii="Arial" w:eastAsia="宋体" w:hAnsi="Arial" w:cs="Arial"/>
          <w:color w:val="000000"/>
          <w:sz w:val="20"/>
          <w:szCs w:val="20"/>
        </w:rPr>
        <w:t>without shareholder approval. Awards of stock made or retainer shares paid to individual directors after June 30, 2003 have been or will be made under our 1997, 2006 or 2017 Equity Incentive Plan, which were approved by shareholders.</w:t>
      </w:r>
    </w:p>
    <w:p w14:paraId="5F2D6A32" w14:textId="77777777" w:rsidR="00E836FB" w:rsidRDefault="00994958">
      <w:pPr>
        <w:spacing w:before="90"/>
      </w:pPr>
      <w:r>
        <w:rPr>
          <w:rFonts w:ascii="Arial" w:eastAsia="宋体" w:hAnsi="Arial" w:cs="Arial"/>
          <w:b/>
          <w:bCs/>
          <w:color w:val="000000"/>
          <w:sz w:val="20"/>
          <w:szCs w:val="20"/>
        </w:rPr>
        <w:t>ITEM 13. CERTAIN RELAT</w:t>
      </w:r>
      <w:r>
        <w:rPr>
          <w:rFonts w:ascii="Arial" w:eastAsia="宋体" w:hAnsi="Arial" w:cs="Arial"/>
          <w:b/>
          <w:bCs/>
          <w:color w:val="000000"/>
          <w:sz w:val="20"/>
          <w:szCs w:val="20"/>
        </w:rPr>
        <w:t>IONSHIPS AND RELATED TRANSACTIONS, AND DIRECTOR INDEPENDENCE</w:t>
      </w:r>
    </w:p>
    <w:p w14:paraId="5F2D6A33" w14:textId="77777777" w:rsidR="00E836FB" w:rsidRDefault="00994958">
      <w:pPr>
        <w:spacing w:before="60"/>
        <w:ind w:firstLine="450"/>
        <w:jc w:val="both"/>
      </w:pPr>
      <w:r>
        <w:rPr>
          <w:rFonts w:ascii="Arial" w:eastAsia="宋体" w:hAnsi="Arial" w:cs="Arial"/>
          <w:color w:val="000000"/>
          <w:sz w:val="20"/>
          <w:szCs w:val="20"/>
        </w:rPr>
        <w:t>Information concerning certain relationships and related transactions and director independence will appear in our 2022 Proxy Statement under the caption “Corporate Governance at State Street.” S</w:t>
      </w:r>
      <w:r>
        <w:rPr>
          <w:rFonts w:ascii="Arial" w:eastAsia="宋体" w:hAnsi="Arial" w:cs="Arial"/>
          <w:color w:val="000000"/>
          <w:sz w:val="20"/>
          <w:szCs w:val="20"/>
        </w:rPr>
        <w:t>uch information is incorporated herein by reference.</w:t>
      </w:r>
    </w:p>
    <w:p w14:paraId="5F2D6A34" w14:textId="77777777" w:rsidR="00E836FB" w:rsidRDefault="00994958">
      <w:pPr>
        <w:spacing w:before="90"/>
      </w:pPr>
      <w:r>
        <w:rPr>
          <w:rFonts w:ascii="Arial" w:eastAsia="宋体" w:hAnsi="Arial" w:cs="Arial"/>
          <w:b/>
          <w:bCs/>
          <w:color w:val="000000"/>
          <w:sz w:val="20"/>
          <w:szCs w:val="20"/>
        </w:rPr>
        <w:t>ITEM 14. PRINCIPAL ACCOUNTING FEES AND SERVICES</w:t>
      </w:r>
    </w:p>
    <w:p w14:paraId="5F2D6A35" w14:textId="77777777" w:rsidR="00E836FB" w:rsidRDefault="00994958">
      <w:pPr>
        <w:spacing w:before="90"/>
        <w:ind w:firstLine="450"/>
        <w:jc w:val="both"/>
      </w:pPr>
      <w:r>
        <w:rPr>
          <w:rFonts w:ascii="Arial" w:eastAsia="宋体" w:hAnsi="Arial" w:cs="Arial"/>
          <w:color w:val="000000"/>
          <w:sz w:val="20"/>
          <w:szCs w:val="20"/>
        </w:rPr>
        <w:t>Information concerning principal accounting fees and services and the Examining and Audit Committee's pre-approval policies and procedures will appear in o</w:t>
      </w:r>
      <w:r>
        <w:rPr>
          <w:rFonts w:ascii="Arial" w:eastAsia="宋体" w:hAnsi="Arial" w:cs="Arial"/>
          <w:color w:val="000000"/>
          <w:sz w:val="20"/>
          <w:szCs w:val="20"/>
        </w:rPr>
        <w:t>ur 2022 Proxy Statement under the caption “Examining and Audit Committee Matters.” Such information is incorporated herein by reference.</w:t>
      </w:r>
    </w:p>
    <w:p w14:paraId="5F2D6A36" w14:textId="77777777" w:rsidR="00E836FB" w:rsidRDefault="00994958">
      <w:pPr>
        <w:spacing w:before="180"/>
      </w:pPr>
      <w:r>
        <w:rPr>
          <w:rFonts w:ascii="Arial" w:eastAsia="宋体" w:hAnsi="Arial" w:cs="Arial"/>
          <w:b/>
          <w:bCs/>
          <w:color w:val="000000"/>
        </w:rPr>
        <w:t xml:space="preserve">PART IV. </w:t>
      </w:r>
    </w:p>
    <w:p w14:paraId="5F2D6A37" w14:textId="77777777" w:rsidR="00E836FB" w:rsidRDefault="00994958">
      <w:pPr>
        <w:spacing w:before="90"/>
        <w:jc w:val="both"/>
      </w:pPr>
      <w:r>
        <w:rPr>
          <w:rFonts w:ascii="Arial" w:eastAsia="宋体" w:hAnsi="Arial" w:cs="Arial"/>
          <w:b/>
          <w:bCs/>
          <w:color w:val="000000"/>
          <w:sz w:val="20"/>
          <w:szCs w:val="20"/>
        </w:rPr>
        <w:t>ITEM 15. EXHIBITS, FINANCIAL STATEMENT SCHEDULES</w:t>
      </w:r>
    </w:p>
    <w:p w14:paraId="5F2D6A38" w14:textId="77777777" w:rsidR="00E836FB" w:rsidRDefault="00994958">
      <w:pPr>
        <w:spacing w:before="90"/>
        <w:ind w:firstLine="450"/>
        <w:jc w:val="both"/>
      </w:pPr>
      <w:r>
        <w:rPr>
          <w:rFonts w:ascii="Arial" w:eastAsia="宋体" w:hAnsi="Arial" w:cs="Arial"/>
          <w:color w:val="000000"/>
          <w:sz w:val="20"/>
          <w:szCs w:val="20"/>
        </w:rPr>
        <w:t xml:space="preserve">(A)(1) FINANCIAL STATEMENTS </w:t>
      </w:r>
    </w:p>
    <w:p w14:paraId="5F2D6A39" w14:textId="77777777" w:rsidR="00E836FB" w:rsidRDefault="00994958">
      <w:pPr>
        <w:spacing w:before="90"/>
        <w:ind w:firstLine="450"/>
        <w:jc w:val="both"/>
      </w:pPr>
      <w:r>
        <w:rPr>
          <w:rFonts w:ascii="Arial" w:eastAsia="宋体" w:hAnsi="Arial" w:cs="Arial"/>
          <w:color w:val="000000"/>
          <w:sz w:val="20"/>
          <w:szCs w:val="20"/>
        </w:rPr>
        <w:t>The following consolidated fina</w:t>
      </w:r>
      <w:r>
        <w:rPr>
          <w:rFonts w:ascii="Arial" w:eastAsia="宋体" w:hAnsi="Arial" w:cs="Arial"/>
          <w:color w:val="000000"/>
          <w:sz w:val="20"/>
          <w:szCs w:val="20"/>
        </w:rPr>
        <w:t xml:space="preserve">ncial statements of State Street are included in Item 8 hereof: </w:t>
      </w:r>
    </w:p>
    <w:p w14:paraId="5F2D6A3A" w14:textId="77777777" w:rsidR="00E836FB" w:rsidRDefault="00994958">
      <w:pPr>
        <w:ind w:firstLine="450"/>
        <w:jc w:val="both"/>
      </w:pPr>
      <w:r>
        <w:rPr>
          <w:rFonts w:ascii="Arial" w:eastAsia="宋体" w:hAnsi="Arial" w:cs="Arial"/>
          <w:color w:val="000000"/>
          <w:sz w:val="20"/>
          <w:szCs w:val="20"/>
        </w:rPr>
        <w:t xml:space="preserve">Report of Independent Registered Public Accounting Firm </w:t>
      </w:r>
    </w:p>
    <w:p w14:paraId="5F2D6A3B" w14:textId="77777777" w:rsidR="00E836FB" w:rsidRDefault="00994958">
      <w:pPr>
        <w:ind w:firstLine="450"/>
        <w:jc w:val="both"/>
      </w:pPr>
      <w:r>
        <w:rPr>
          <w:rFonts w:ascii="Arial" w:eastAsia="宋体" w:hAnsi="Arial" w:cs="Arial"/>
          <w:color w:val="000000"/>
          <w:sz w:val="20"/>
          <w:szCs w:val="20"/>
        </w:rPr>
        <w:t xml:space="preserve">Consolidated Statement of Income - Years ended December 31, 2021, 2020 and 2019 </w:t>
      </w:r>
    </w:p>
    <w:p w14:paraId="5F2D6A3C" w14:textId="77777777" w:rsidR="00E836FB" w:rsidRDefault="00994958">
      <w:pPr>
        <w:ind w:firstLine="450"/>
        <w:jc w:val="both"/>
      </w:pPr>
      <w:r>
        <w:rPr>
          <w:rFonts w:ascii="Arial" w:eastAsia="宋体" w:hAnsi="Arial" w:cs="Arial"/>
          <w:color w:val="000000"/>
          <w:sz w:val="20"/>
          <w:szCs w:val="20"/>
        </w:rPr>
        <w:t>Consolidated Statement of Comprehensive Income - Year</w:t>
      </w:r>
      <w:r>
        <w:rPr>
          <w:rFonts w:ascii="Arial" w:eastAsia="宋体" w:hAnsi="Arial" w:cs="Arial"/>
          <w:color w:val="000000"/>
          <w:sz w:val="20"/>
          <w:szCs w:val="20"/>
        </w:rPr>
        <w:t xml:space="preserve">s ended December 31, 2021, 2020 and 2019 </w:t>
      </w:r>
    </w:p>
    <w:p w14:paraId="5F2D6A3D" w14:textId="77777777" w:rsidR="00E836FB" w:rsidRDefault="00994958">
      <w:pPr>
        <w:ind w:firstLine="450"/>
        <w:jc w:val="both"/>
      </w:pPr>
      <w:r>
        <w:rPr>
          <w:rFonts w:ascii="Arial" w:eastAsia="宋体" w:hAnsi="Arial" w:cs="Arial"/>
          <w:color w:val="000000"/>
          <w:sz w:val="20"/>
          <w:szCs w:val="20"/>
        </w:rPr>
        <w:t>Consolidated Statement of Condition - As of December 31, 2021 and 2020</w:t>
      </w:r>
    </w:p>
    <w:p w14:paraId="5F2D6A3E" w14:textId="77777777" w:rsidR="00E836FB" w:rsidRDefault="00994958">
      <w:pPr>
        <w:ind w:firstLine="450"/>
        <w:jc w:val="both"/>
      </w:pPr>
      <w:r>
        <w:rPr>
          <w:rFonts w:ascii="Arial" w:eastAsia="宋体" w:hAnsi="Arial" w:cs="Arial"/>
          <w:color w:val="000000"/>
          <w:sz w:val="20"/>
          <w:szCs w:val="20"/>
        </w:rPr>
        <w:t xml:space="preserve">Consolidated Statement of Changes in Shareholders' Equity - Years ended December 31, 2021, 2020 and </w:t>
      </w:r>
    </w:p>
    <w:p w14:paraId="5F2D6A3F" w14:textId="77777777" w:rsidR="00E836FB" w:rsidRDefault="00994958">
      <w:pPr>
        <w:ind w:firstLine="450"/>
        <w:jc w:val="both"/>
      </w:pPr>
      <w:r>
        <w:rPr>
          <w:rFonts w:ascii="Arial" w:eastAsia="宋体" w:hAnsi="Arial" w:cs="Arial"/>
          <w:color w:val="000000"/>
          <w:sz w:val="20"/>
          <w:szCs w:val="20"/>
        </w:rPr>
        <w:t xml:space="preserve">2019 </w:t>
      </w:r>
    </w:p>
    <w:p w14:paraId="5F2D6A40" w14:textId="77777777" w:rsidR="00E836FB" w:rsidRDefault="00994958">
      <w:pPr>
        <w:ind w:firstLine="450"/>
        <w:jc w:val="both"/>
      </w:pPr>
      <w:r>
        <w:rPr>
          <w:rFonts w:ascii="Arial" w:eastAsia="宋体" w:hAnsi="Arial" w:cs="Arial"/>
          <w:color w:val="000000"/>
          <w:sz w:val="20"/>
          <w:szCs w:val="20"/>
        </w:rPr>
        <w:t xml:space="preserve">Consolidated Statement of Cash </w:t>
      </w:r>
      <w:r>
        <w:rPr>
          <w:rFonts w:ascii="Arial" w:eastAsia="宋体" w:hAnsi="Arial" w:cs="Arial"/>
          <w:color w:val="000000"/>
          <w:sz w:val="20"/>
          <w:szCs w:val="20"/>
        </w:rPr>
        <w:t>Flows - Years ended December 31, 2021, 2020 and 2019</w:t>
      </w:r>
    </w:p>
    <w:p w14:paraId="5F2D6A41" w14:textId="77777777" w:rsidR="00E836FB" w:rsidRDefault="00994958">
      <w:pPr>
        <w:ind w:firstLine="450"/>
        <w:jc w:val="both"/>
      </w:pPr>
      <w:r>
        <w:rPr>
          <w:rFonts w:ascii="Arial" w:eastAsia="宋体" w:hAnsi="Arial" w:cs="Arial"/>
          <w:color w:val="000000"/>
          <w:sz w:val="20"/>
          <w:szCs w:val="20"/>
        </w:rPr>
        <w:t xml:space="preserve">Notes to Consolidated Financial Statements </w:t>
      </w:r>
    </w:p>
    <w:p w14:paraId="5F2D6A42" w14:textId="77777777" w:rsidR="00E836FB" w:rsidRDefault="00994958">
      <w:pPr>
        <w:spacing w:before="90"/>
        <w:ind w:firstLine="450"/>
        <w:jc w:val="both"/>
      </w:pPr>
      <w:r>
        <w:rPr>
          <w:rFonts w:ascii="Arial" w:eastAsia="宋体" w:hAnsi="Arial" w:cs="Arial"/>
          <w:color w:val="000000"/>
          <w:sz w:val="20"/>
          <w:szCs w:val="20"/>
        </w:rPr>
        <w:t xml:space="preserve">(A)(2) FINANCIAL STATEMENT SCHEDULES </w:t>
      </w:r>
    </w:p>
    <w:p w14:paraId="5F2D6A43" w14:textId="77777777" w:rsidR="00E836FB" w:rsidRDefault="00994958">
      <w:pPr>
        <w:spacing w:before="90"/>
        <w:ind w:firstLine="450"/>
        <w:jc w:val="both"/>
      </w:pPr>
      <w:r>
        <w:rPr>
          <w:rFonts w:ascii="Arial" w:eastAsia="宋体" w:hAnsi="Arial" w:cs="Arial"/>
          <w:color w:val="000000"/>
          <w:sz w:val="20"/>
          <w:szCs w:val="20"/>
        </w:rPr>
        <w:t>Certain schedules to the consolidated financial statements have been omitted if they were not required by Article 9 of Re</w:t>
      </w:r>
      <w:r>
        <w:rPr>
          <w:rFonts w:ascii="Arial" w:eastAsia="宋体" w:hAnsi="Arial" w:cs="Arial"/>
          <w:color w:val="000000"/>
          <w:sz w:val="20"/>
          <w:szCs w:val="20"/>
        </w:rPr>
        <w:t xml:space="preserve">gulation S-X or if, under the related instructions, they were inapplicable, or the information was contained elsewhere herein. </w:t>
      </w:r>
    </w:p>
    <w:p w14:paraId="5F2D6A44" w14:textId="77777777" w:rsidR="00E836FB" w:rsidRDefault="00994958">
      <w:pPr>
        <w:spacing w:before="90"/>
        <w:ind w:firstLine="450"/>
        <w:jc w:val="both"/>
      </w:pPr>
      <w:r>
        <w:rPr>
          <w:rFonts w:ascii="Arial" w:eastAsia="宋体" w:hAnsi="Arial" w:cs="Arial"/>
          <w:color w:val="000000"/>
          <w:sz w:val="20"/>
          <w:szCs w:val="20"/>
        </w:rPr>
        <w:t xml:space="preserve">(A)(3) EXHIBITS </w:t>
      </w:r>
    </w:p>
    <w:p w14:paraId="5F2D6A45" w14:textId="77777777" w:rsidR="00E836FB" w:rsidRDefault="00994958">
      <w:pPr>
        <w:spacing w:before="90"/>
        <w:ind w:firstLine="450"/>
        <w:jc w:val="both"/>
      </w:pPr>
      <w:r>
        <w:rPr>
          <w:rFonts w:ascii="Arial" w:eastAsia="宋体" w:hAnsi="Arial" w:cs="Arial"/>
          <w:color w:val="000000"/>
          <w:sz w:val="20"/>
          <w:szCs w:val="20"/>
        </w:rPr>
        <w:t>The exhibits listed in the Exhibit Index preceding the signature page in this Form 10-K are filed herewith or a</w:t>
      </w:r>
      <w:r>
        <w:rPr>
          <w:rFonts w:ascii="Arial" w:eastAsia="宋体" w:hAnsi="Arial" w:cs="Arial"/>
          <w:color w:val="000000"/>
          <w:sz w:val="20"/>
          <w:szCs w:val="20"/>
        </w:rPr>
        <w:t xml:space="preserve">re incorporated herein by reference to other SEC filings. </w:t>
      </w:r>
    </w:p>
    <w:p w14:paraId="5F2D6A46" w14:textId="77777777" w:rsidR="00E836FB" w:rsidRDefault="00994958">
      <w:pPr>
        <w:spacing w:before="90"/>
      </w:pPr>
      <w:r>
        <w:rPr>
          <w:rFonts w:ascii="Arial" w:eastAsia="宋体" w:hAnsi="Arial" w:cs="Arial"/>
          <w:b/>
          <w:bCs/>
          <w:color w:val="000000"/>
          <w:sz w:val="20"/>
          <w:szCs w:val="20"/>
        </w:rPr>
        <w:t>ITEM 16. FORM 10-K SUMMARY</w:t>
      </w:r>
    </w:p>
    <w:p w14:paraId="5F2D6A47" w14:textId="77777777" w:rsidR="00E836FB" w:rsidRDefault="00994958">
      <w:pPr>
        <w:ind w:firstLine="450"/>
      </w:pPr>
      <w:r>
        <w:rPr>
          <w:rFonts w:ascii="Arial" w:eastAsia="宋体" w:hAnsi="Arial" w:cs="Arial"/>
          <w:color w:val="000000"/>
          <w:sz w:val="20"/>
          <w:szCs w:val="20"/>
        </w:rPr>
        <w:t>Not applicable.</w:t>
      </w:r>
    </w:p>
    <w:p w14:paraId="5F2D6A48" w14:textId="77777777" w:rsidR="00E836FB" w:rsidRDefault="00E836FB">
      <w:pPr>
        <w:ind w:firstLine="450"/>
      </w:pPr>
    </w:p>
    <w:p w14:paraId="5F2D6A49" w14:textId="77777777" w:rsidR="00E836FB" w:rsidRDefault="00E836FB">
      <w:pPr>
        <w:spacing w:before="90"/>
        <w:textAlignment w:val="top"/>
      </w:pPr>
    </w:p>
    <w:p w14:paraId="5F2D6A4A" w14:textId="77777777" w:rsidR="00E836FB" w:rsidRDefault="00994958">
      <w:pPr>
        <w:ind w:firstLine="450"/>
        <w:jc w:val="right"/>
      </w:pPr>
      <w:r>
        <w:rPr>
          <w:rFonts w:ascii="Arial" w:eastAsia="宋体" w:hAnsi="Arial" w:cs="Arial"/>
          <w:color w:val="000000"/>
          <w:sz w:val="18"/>
          <w:szCs w:val="18"/>
        </w:rPr>
        <w:t>State Street Corporation | 194</w:t>
      </w:r>
    </w:p>
    <w:p w14:paraId="5F2D6A4B" w14:textId="77777777" w:rsidR="00E836FB" w:rsidRDefault="00E836FB">
      <w:pPr>
        <w:ind w:firstLine="450"/>
        <w:jc w:val="center"/>
      </w:pPr>
    </w:p>
    <w:p w14:paraId="5F2D6A4C" w14:textId="77777777" w:rsidR="00E836FB" w:rsidRDefault="00994958">
      <w:r>
        <w:pict w14:anchorId="5F2D6E47">
          <v:rect id="_x0000_i1218" style="width:415.3pt;height:1.5pt" o:hralign="center" o:hrstd="t" o:hr="t" fillcolor="#a0a0a0" stroked="f"/>
        </w:pict>
      </w:r>
    </w:p>
    <w:p w14:paraId="5F2D6A4D" w14:textId="77777777" w:rsidR="00E836FB" w:rsidRDefault="00E836FB">
      <w:pPr>
        <w:ind w:firstLine="450"/>
      </w:pPr>
    </w:p>
    <w:p w14:paraId="5F2D6A4E" w14:textId="77777777" w:rsidR="00E836FB" w:rsidRDefault="00994958">
      <w:pPr>
        <w:ind w:firstLine="450"/>
        <w:jc w:val="center"/>
      </w:pPr>
      <w:r>
        <w:rPr>
          <w:rFonts w:ascii="Arial" w:eastAsia="宋体" w:hAnsi="Arial" w:cs="Arial"/>
          <w:b/>
          <w:bCs/>
          <w:color w:val="000000"/>
          <w:sz w:val="20"/>
          <w:szCs w:val="20"/>
        </w:rPr>
        <w:t>EXHIBIT INDEX</w:t>
      </w:r>
    </w:p>
    <w:p w14:paraId="5F2D6A4F" w14:textId="77777777" w:rsidR="00E836FB" w:rsidRDefault="00994958">
      <w:pPr>
        <w:ind w:firstLine="450"/>
        <w:jc w:val="center"/>
      </w:pPr>
      <w:r>
        <w:rPr>
          <w:rFonts w:ascii="Arial" w:eastAsia="宋体" w:hAnsi="Arial" w:cs="Arial"/>
          <w:color w:val="000000"/>
          <w:sz w:val="20"/>
          <w:szCs w:val="20"/>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36"/>
        <w:gridCol w:w="114"/>
        <w:gridCol w:w="36"/>
        <w:gridCol w:w="55"/>
        <w:gridCol w:w="866"/>
        <w:gridCol w:w="36"/>
        <w:gridCol w:w="36"/>
        <w:gridCol w:w="36"/>
        <w:gridCol w:w="36"/>
        <w:gridCol w:w="38"/>
        <w:gridCol w:w="6998"/>
        <w:gridCol w:w="37"/>
      </w:tblGrid>
      <w:tr w:rsidR="00E836FB" w14:paraId="5F2D6A5C" w14:textId="77777777">
        <w:trPr>
          <w:jc w:val="center"/>
        </w:trPr>
        <w:tc>
          <w:tcPr>
            <w:tcW w:w="5" w:type="pct"/>
            <w:shd w:val="clear" w:color="auto" w:fill="auto"/>
            <w:vAlign w:val="bottom"/>
          </w:tcPr>
          <w:p w14:paraId="5F2D6A50" w14:textId="77777777" w:rsidR="00E836FB" w:rsidRDefault="00E836FB">
            <w:pPr>
              <w:rPr>
                <w:rFonts w:ascii="宋体"/>
              </w:rPr>
            </w:pPr>
          </w:p>
        </w:tc>
        <w:tc>
          <w:tcPr>
            <w:tcW w:w="85" w:type="pct"/>
            <w:shd w:val="clear" w:color="auto" w:fill="auto"/>
            <w:vAlign w:val="bottom"/>
          </w:tcPr>
          <w:p w14:paraId="5F2D6A51" w14:textId="77777777" w:rsidR="00E836FB" w:rsidRDefault="00E836FB">
            <w:pPr>
              <w:rPr>
                <w:rFonts w:ascii="宋体"/>
              </w:rPr>
            </w:pPr>
          </w:p>
        </w:tc>
        <w:tc>
          <w:tcPr>
            <w:tcW w:w="5" w:type="pct"/>
            <w:shd w:val="clear" w:color="auto" w:fill="auto"/>
            <w:vAlign w:val="bottom"/>
          </w:tcPr>
          <w:p w14:paraId="5F2D6A52" w14:textId="77777777" w:rsidR="00E836FB" w:rsidRDefault="00E836FB">
            <w:pPr>
              <w:rPr>
                <w:rFonts w:ascii="宋体"/>
              </w:rPr>
            </w:pPr>
          </w:p>
        </w:tc>
        <w:tc>
          <w:tcPr>
            <w:tcW w:w="50" w:type="pct"/>
            <w:shd w:val="clear" w:color="auto" w:fill="auto"/>
            <w:vAlign w:val="bottom"/>
          </w:tcPr>
          <w:p w14:paraId="5F2D6A53" w14:textId="77777777" w:rsidR="00E836FB" w:rsidRDefault="00E836FB">
            <w:pPr>
              <w:rPr>
                <w:rFonts w:ascii="宋体"/>
              </w:rPr>
            </w:pPr>
          </w:p>
        </w:tc>
        <w:tc>
          <w:tcPr>
            <w:tcW w:w="537" w:type="pct"/>
            <w:shd w:val="clear" w:color="auto" w:fill="auto"/>
            <w:vAlign w:val="bottom"/>
          </w:tcPr>
          <w:p w14:paraId="5F2D6A54" w14:textId="77777777" w:rsidR="00E836FB" w:rsidRDefault="00E836FB">
            <w:pPr>
              <w:rPr>
                <w:rFonts w:ascii="宋体"/>
              </w:rPr>
            </w:pPr>
          </w:p>
        </w:tc>
        <w:tc>
          <w:tcPr>
            <w:tcW w:w="5" w:type="pct"/>
            <w:shd w:val="clear" w:color="auto" w:fill="auto"/>
            <w:vAlign w:val="bottom"/>
          </w:tcPr>
          <w:p w14:paraId="5F2D6A55" w14:textId="77777777" w:rsidR="00E836FB" w:rsidRDefault="00E836FB">
            <w:pPr>
              <w:rPr>
                <w:rFonts w:ascii="宋体"/>
              </w:rPr>
            </w:pPr>
          </w:p>
        </w:tc>
        <w:tc>
          <w:tcPr>
            <w:tcW w:w="5" w:type="pct"/>
            <w:shd w:val="clear" w:color="auto" w:fill="auto"/>
            <w:vAlign w:val="bottom"/>
          </w:tcPr>
          <w:p w14:paraId="5F2D6A56" w14:textId="77777777" w:rsidR="00E836FB" w:rsidRDefault="00E836FB">
            <w:pPr>
              <w:rPr>
                <w:rFonts w:ascii="宋体"/>
              </w:rPr>
            </w:pPr>
          </w:p>
        </w:tc>
        <w:tc>
          <w:tcPr>
            <w:tcW w:w="26" w:type="pct"/>
            <w:shd w:val="clear" w:color="auto" w:fill="auto"/>
            <w:vAlign w:val="bottom"/>
          </w:tcPr>
          <w:p w14:paraId="5F2D6A57" w14:textId="77777777" w:rsidR="00E836FB" w:rsidRDefault="00E836FB">
            <w:pPr>
              <w:rPr>
                <w:rFonts w:ascii="宋体"/>
              </w:rPr>
            </w:pPr>
          </w:p>
        </w:tc>
        <w:tc>
          <w:tcPr>
            <w:tcW w:w="5" w:type="pct"/>
            <w:shd w:val="clear" w:color="auto" w:fill="auto"/>
            <w:vAlign w:val="bottom"/>
          </w:tcPr>
          <w:p w14:paraId="5F2D6A58" w14:textId="77777777" w:rsidR="00E836FB" w:rsidRDefault="00E836FB">
            <w:pPr>
              <w:rPr>
                <w:rFonts w:ascii="宋体"/>
              </w:rPr>
            </w:pPr>
          </w:p>
        </w:tc>
        <w:tc>
          <w:tcPr>
            <w:tcW w:w="50" w:type="pct"/>
            <w:shd w:val="clear" w:color="auto" w:fill="auto"/>
            <w:vAlign w:val="bottom"/>
          </w:tcPr>
          <w:p w14:paraId="5F2D6A59" w14:textId="77777777" w:rsidR="00E836FB" w:rsidRDefault="00E836FB">
            <w:pPr>
              <w:rPr>
                <w:rFonts w:ascii="宋体"/>
              </w:rPr>
            </w:pPr>
          </w:p>
        </w:tc>
        <w:tc>
          <w:tcPr>
            <w:tcW w:w="4220" w:type="pct"/>
            <w:shd w:val="clear" w:color="auto" w:fill="auto"/>
            <w:vAlign w:val="bottom"/>
          </w:tcPr>
          <w:p w14:paraId="5F2D6A5A" w14:textId="77777777" w:rsidR="00E836FB" w:rsidRDefault="00E836FB">
            <w:pPr>
              <w:rPr>
                <w:rFonts w:ascii="宋体"/>
              </w:rPr>
            </w:pPr>
          </w:p>
        </w:tc>
        <w:tc>
          <w:tcPr>
            <w:tcW w:w="5" w:type="pct"/>
            <w:shd w:val="clear" w:color="auto" w:fill="auto"/>
            <w:vAlign w:val="bottom"/>
          </w:tcPr>
          <w:p w14:paraId="5F2D6A5B" w14:textId="77777777" w:rsidR="00E836FB" w:rsidRDefault="00E836FB">
            <w:pPr>
              <w:rPr>
                <w:rFonts w:ascii="宋体"/>
              </w:rPr>
            </w:pPr>
          </w:p>
        </w:tc>
      </w:tr>
      <w:tr w:rsidR="00E836FB" w14:paraId="5F2D6A61" w14:textId="77777777">
        <w:trPr>
          <w:jc w:val="center"/>
        </w:trPr>
        <w:tc>
          <w:tcPr>
            <w:tcW w:w="0" w:type="auto"/>
            <w:gridSpan w:val="3"/>
            <w:shd w:val="clear" w:color="auto" w:fill="auto"/>
            <w:tcMar>
              <w:top w:w="0" w:type="dxa"/>
              <w:left w:w="20" w:type="dxa"/>
              <w:bottom w:w="0" w:type="dxa"/>
              <w:right w:w="20" w:type="dxa"/>
            </w:tcMar>
            <w:vAlign w:val="bottom"/>
          </w:tcPr>
          <w:p w14:paraId="5F2D6A5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5E" w14:textId="77777777" w:rsidR="00E836FB" w:rsidRDefault="00994958">
            <w:pPr>
              <w:textAlignment w:val="center"/>
            </w:pPr>
            <w:hyperlink r:id="rId108" w:history="1">
              <w:r>
                <w:rPr>
                  <w:rStyle w:val="a5"/>
                  <w:rFonts w:ascii="Arial" w:eastAsia="宋体" w:hAnsi="Arial" w:cs="Arial"/>
                  <w:sz w:val="20"/>
                  <w:szCs w:val="20"/>
                </w:rPr>
                <w:t>3.1</w:t>
              </w:r>
            </w:hyperlink>
          </w:p>
        </w:tc>
        <w:tc>
          <w:tcPr>
            <w:tcW w:w="0" w:type="auto"/>
            <w:gridSpan w:val="3"/>
            <w:shd w:val="clear" w:color="auto" w:fill="auto"/>
            <w:tcMar>
              <w:top w:w="0" w:type="dxa"/>
              <w:left w:w="20" w:type="dxa"/>
              <w:bottom w:w="0" w:type="dxa"/>
              <w:right w:w="20" w:type="dxa"/>
            </w:tcMar>
            <w:vAlign w:val="bottom"/>
          </w:tcPr>
          <w:p w14:paraId="5F2D6A5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60" w14:textId="77777777" w:rsidR="00E836FB" w:rsidRDefault="00994958">
            <w:pPr>
              <w:textAlignment w:val="center"/>
            </w:pPr>
            <w:hyperlink r:id="rId109" w:history="1">
              <w:r>
                <w:rPr>
                  <w:rStyle w:val="a5"/>
                  <w:rFonts w:ascii="Arial" w:eastAsia="宋体" w:hAnsi="Arial" w:cs="Arial"/>
                  <w:sz w:val="20"/>
                  <w:szCs w:val="20"/>
                </w:rPr>
                <w:t>Restated Articles of Organization, a</w:t>
              </w:r>
              <w:r>
                <w:rPr>
                  <w:rStyle w:val="a5"/>
                  <w:rFonts w:ascii="Arial" w:eastAsia="宋体" w:hAnsi="Arial" w:cs="Arial"/>
                  <w:sz w:val="20"/>
                  <w:szCs w:val="20"/>
                </w:rPr>
                <w:t>s amended (filed as Exhibit 3.1 to State Street’s Quarterly Report on Form 10-Q (File No. 001-07511) for the quarter ended September 30, 2018 filed with the SEC on October 31, 2018 and incorporated herein by reference)</w:t>
              </w:r>
            </w:hyperlink>
          </w:p>
        </w:tc>
      </w:tr>
      <w:tr w:rsidR="00E836FB" w14:paraId="5F2D6A66"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6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6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65" w14:textId="77777777" w:rsidR="00E836FB" w:rsidRDefault="00E836FB">
            <w:pPr>
              <w:rPr>
                <w:rFonts w:ascii="宋体"/>
              </w:rPr>
            </w:pPr>
          </w:p>
        </w:tc>
      </w:tr>
      <w:tr w:rsidR="00E836FB" w14:paraId="5F2D6A6B" w14:textId="77777777">
        <w:trPr>
          <w:jc w:val="center"/>
        </w:trPr>
        <w:tc>
          <w:tcPr>
            <w:tcW w:w="0" w:type="auto"/>
            <w:gridSpan w:val="3"/>
            <w:shd w:val="clear" w:color="auto" w:fill="auto"/>
            <w:tcMar>
              <w:top w:w="0" w:type="dxa"/>
              <w:left w:w="20" w:type="dxa"/>
              <w:bottom w:w="0" w:type="dxa"/>
              <w:right w:w="20" w:type="dxa"/>
            </w:tcMar>
            <w:vAlign w:val="bottom"/>
          </w:tcPr>
          <w:p w14:paraId="5F2D6A6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68" w14:textId="77777777" w:rsidR="00E836FB" w:rsidRDefault="00994958">
            <w:pPr>
              <w:textAlignment w:val="center"/>
            </w:pPr>
            <w:hyperlink r:id="rId110"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vAlign w:val="bottom"/>
          </w:tcPr>
          <w:p w14:paraId="5F2D6A6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6A" w14:textId="77777777" w:rsidR="00E836FB" w:rsidRDefault="00994958">
            <w:pPr>
              <w:textAlignment w:val="center"/>
            </w:pPr>
            <w:hyperlink r:id="rId111" w:history="1">
              <w:r>
                <w:rPr>
                  <w:rStyle w:val="a5"/>
                  <w:rFonts w:ascii="Arial" w:eastAsia="宋体" w:hAnsi="Arial" w:cs="Arial"/>
                  <w:sz w:val="20"/>
                  <w:szCs w:val="20"/>
                </w:rPr>
                <w:t>By-laws, as amended (filed as Exhibit 3.1 to State Street's Current Report on Form 8-K (File No.001-07511) filed with the SEC on February 20, 2020 and inco</w:t>
              </w:r>
              <w:r>
                <w:rPr>
                  <w:rStyle w:val="a5"/>
                  <w:rFonts w:ascii="Arial" w:eastAsia="宋体" w:hAnsi="Arial" w:cs="Arial"/>
                  <w:sz w:val="20"/>
                  <w:szCs w:val="20"/>
                </w:rPr>
                <w:t>rporated herein by reference)</w:t>
              </w:r>
            </w:hyperlink>
          </w:p>
        </w:tc>
      </w:tr>
      <w:tr w:rsidR="00E836FB" w14:paraId="5F2D6A70"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6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6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6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6F" w14:textId="77777777" w:rsidR="00E836FB" w:rsidRDefault="00E836FB">
            <w:pPr>
              <w:rPr>
                <w:rFonts w:ascii="宋体"/>
              </w:rPr>
            </w:pPr>
          </w:p>
        </w:tc>
      </w:tr>
      <w:tr w:rsidR="00E836FB" w14:paraId="5F2D6A75" w14:textId="77777777">
        <w:trPr>
          <w:jc w:val="center"/>
        </w:trPr>
        <w:tc>
          <w:tcPr>
            <w:tcW w:w="0" w:type="auto"/>
            <w:gridSpan w:val="3"/>
            <w:shd w:val="clear" w:color="auto" w:fill="auto"/>
            <w:tcMar>
              <w:top w:w="0" w:type="dxa"/>
              <w:left w:w="20" w:type="dxa"/>
              <w:bottom w:w="0" w:type="dxa"/>
              <w:right w:w="20" w:type="dxa"/>
            </w:tcMar>
            <w:vAlign w:val="bottom"/>
          </w:tcPr>
          <w:p w14:paraId="5F2D6A7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A72" w14:textId="77777777" w:rsidR="00E836FB" w:rsidRDefault="00994958">
            <w:pPr>
              <w:textAlignment w:val="top"/>
            </w:pPr>
            <w:hyperlink r:id="rId112" w:history="1">
              <w:r>
                <w:rPr>
                  <w:rStyle w:val="a5"/>
                  <w:rFonts w:ascii="Arial" w:eastAsia="宋体" w:hAnsi="Arial" w:cs="Arial"/>
                  <w:sz w:val="20"/>
                  <w:szCs w:val="20"/>
                </w:rPr>
                <w:t>4.1</w:t>
              </w:r>
            </w:hyperlink>
          </w:p>
        </w:tc>
        <w:tc>
          <w:tcPr>
            <w:tcW w:w="0" w:type="auto"/>
            <w:gridSpan w:val="3"/>
            <w:shd w:val="clear" w:color="auto" w:fill="auto"/>
            <w:tcMar>
              <w:top w:w="0" w:type="dxa"/>
              <w:left w:w="20" w:type="dxa"/>
              <w:bottom w:w="0" w:type="dxa"/>
              <w:right w:w="20" w:type="dxa"/>
            </w:tcMar>
            <w:vAlign w:val="bottom"/>
          </w:tcPr>
          <w:p w14:paraId="5F2D6A7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A74" w14:textId="77777777" w:rsidR="00E836FB" w:rsidRDefault="00994958">
            <w:pPr>
              <w:textAlignment w:val="top"/>
            </w:pPr>
            <w:hyperlink r:id="rId113" w:history="1">
              <w:r>
                <w:rPr>
                  <w:rStyle w:val="a5"/>
                  <w:rFonts w:ascii="Arial" w:eastAsia="宋体" w:hAnsi="Arial" w:cs="Arial"/>
                  <w:sz w:val="20"/>
                  <w:szCs w:val="20"/>
                </w:rPr>
                <w:t>Description of Securities Registered under Section 12 of the Exchange Act</w:t>
              </w:r>
            </w:hyperlink>
          </w:p>
        </w:tc>
      </w:tr>
      <w:tr w:rsidR="00E836FB" w14:paraId="5F2D6A7A"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7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7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7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79" w14:textId="77777777" w:rsidR="00E836FB" w:rsidRDefault="00E836FB">
            <w:pPr>
              <w:rPr>
                <w:rFonts w:ascii="宋体"/>
              </w:rPr>
            </w:pPr>
          </w:p>
        </w:tc>
      </w:tr>
      <w:tr w:rsidR="00E836FB" w14:paraId="5F2D6A7F"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7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7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7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7E" w14:textId="77777777" w:rsidR="00E836FB" w:rsidRDefault="00E836FB">
            <w:pPr>
              <w:rPr>
                <w:rFonts w:ascii="宋体"/>
              </w:rPr>
            </w:pPr>
          </w:p>
        </w:tc>
      </w:tr>
      <w:tr w:rsidR="00E836FB" w14:paraId="5F2D6A84" w14:textId="77777777">
        <w:trPr>
          <w:jc w:val="center"/>
        </w:trPr>
        <w:tc>
          <w:tcPr>
            <w:tcW w:w="0" w:type="auto"/>
            <w:gridSpan w:val="3"/>
            <w:shd w:val="clear" w:color="auto" w:fill="auto"/>
            <w:tcMar>
              <w:top w:w="0" w:type="dxa"/>
              <w:left w:w="20" w:type="dxa"/>
              <w:bottom w:w="0" w:type="dxa"/>
              <w:right w:w="20" w:type="dxa"/>
            </w:tcMar>
            <w:vAlign w:val="bottom"/>
          </w:tcPr>
          <w:p w14:paraId="5F2D6A8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81" w14:textId="77777777" w:rsidR="00E836FB" w:rsidRDefault="00994958">
            <w:pPr>
              <w:textAlignment w:val="center"/>
            </w:pPr>
            <w:hyperlink r:id="rId114" w:history="1">
              <w:r>
                <w:rPr>
                  <w:rStyle w:val="a5"/>
                  <w:rFonts w:ascii="Arial" w:eastAsia="宋体" w:hAnsi="Arial" w:cs="Arial"/>
                  <w:sz w:val="20"/>
                  <w:szCs w:val="20"/>
                </w:rPr>
                <w:t>4.2</w:t>
              </w:r>
            </w:hyperlink>
          </w:p>
        </w:tc>
        <w:tc>
          <w:tcPr>
            <w:tcW w:w="0" w:type="auto"/>
            <w:gridSpan w:val="3"/>
            <w:shd w:val="clear" w:color="auto" w:fill="auto"/>
            <w:tcMar>
              <w:top w:w="0" w:type="dxa"/>
              <w:left w:w="20" w:type="dxa"/>
              <w:bottom w:w="0" w:type="dxa"/>
              <w:right w:w="20" w:type="dxa"/>
            </w:tcMar>
            <w:vAlign w:val="bottom"/>
          </w:tcPr>
          <w:p w14:paraId="5F2D6A8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83" w14:textId="77777777" w:rsidR="00E836FB" w:rsidRDefault="00994958">
            <w:pPr>
              <w:textAlignment w:val="center"/>
            </w:pPr>
            <w:hyperlink r:id="rId115" w:history="1">
              <w:r>
                <w:rPr>
                  <w:rStyle w:val="a5"/>
                  <w:rFonts w:ascii="Arial" w:eastAsia="宋体" w:hAnsi="Arial" w:cs="Arial"/>
                  <w:sz w:val="20"/>
                  <w:szCs w:val="20"/>
                </w:rPr>
                <w:t xml:space="preserve">Deposit Agreement, dated March 4, 2014, among State Street </w:t>
              </w:r>
              <w:r>
                <w:rPr>
                  <w:rStyle w:val="a5"/>
                  <w:rFonts w:ascii="Arial" w:eastAsia="宋体" w:hAnsi="Arial" w:cs="Arial"/>
                  <w:sz w:val="20"/>
                  <w:szCs w:val="20"/>
                </w:rPr>
                <w:t>Corporation, American Stock Transfer &amp; Trust Company, LLC (as depositary), and the holders from time to time of depositary receipts (filed as Exhibit 4.1 to State Street's Current Report on Form 8-K (File No. 001-07511) dated March 4, 2014 filed with the S</w:t>
              </w:r>
              <w:r>
                <w:rPr>
                  <w:rStyle w:val="a5"/>
                  <w:rFonts w:ascii="Arial" w:eastAsia="宋体" w:hAnsi="Arial" w:cs="Arial"/>
                  <w:sz w:val="20"/>
                  <w:szCs w:val="20"/>
                </w:rPr>
                <w:t>EC on March 4, 2014 and incorporated herein by reference)</w:t>
              </w:r>
            </w:hyperlink>
          </w:p>
        </w:tc>
      </w:tr>
      <w:tr w:rsidR="00E836FB" w14:paraId="5F2D6A89"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8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8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8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88" w14:textId="77777777" w:rsidR="00E836FB" w:rsidRDefault="00E836FB">
            <w:pPr>
              <w:rPr>
                <w:rFonts w:ascii="宋体"/>
              </w:rPr>
            </w:pPr>
          </w:p>
        </w:tc>
      </w:tr>
      <w:tr w:rsidR="00E836FB" w14:paraId="5F2D6A8E"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8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8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8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8D" w14:textId="77777777" w:rsidR="00E836FB" w:rsidRDefault="00E836FB">
            <w:pPr>
              <w:rPr>
                <w:rFonts w:ascii="宋体"/>
              </w:rPr>
            </w:pPr>
          </w:p>
        </w:tc>
      </w:tr>
      <w:tr w:rsidR="00E836FB" w14:paraId="5F2D6A93" w14:textId="77777777">
        <w:trPr>
          <w:jc w:val="center"/>
        </w:trPr>
        <w:tc>
          <w:tcPr>
            <w:tcW w:w="0" w:type="auto"/>
            <w:gridSpan w:val="3"/>
            <w:shd w:val="clear" w:color="auto" w:fill="auto"/>
            <w:tcMar>
              <w:top w:w="0" w:type="dxa"/>
              <w:left w:w="20" w:type="dxa"/>
              <w:bottom w:w="0" w:type="dxa"/>
              <w:right w:w="20" w:type="dxa"/>
            </w:tcMar>
            <w:vAlign w:val="bottom"/>
          </w:tcPr>
          <w:p w14:paraId="5F2D6A8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90" w14:textId="77777777" w:rsidR="00E836FB" w:rsidRDefault="00994958">
            <w:pPr>
              <w:textAlignment w:val="center"/>
            </w:pPr>
            <w:hyperlink r:id="rId116" w:history="1">
              <w:r>
                <w:rPr>
                  <w:rStyle w:val="a5"/>
                  <w:rFonts w:ascii="Arial" w:eastAsia="宋体" w:hAnsi="Arial" w:cs="Arial"/>
                  <w:sz w:val="20"/>
                  <w:szCs w:val="20"/>
                </w:rPr>
                <w:t>4.3</w:t>
              </w:r>
            </w:hyperlink>
          </w:p>
        </w:tc>
        <w:tc>
          <w:tcPr>
            <w:tcW w:w="0" w:type="auto"/>
            <w:gridSpan w:val="3"/>
            <w:shd w:val="clear" w:color="auto" w:fill="auto"/>
            <w:tcMar>
              <w:top w:w="0" w:type="dxa"/>
              <w:left w:w="20" w:type="dxa"/>
              <w:bottom w:w="0" w:type="dxa"/>
              <w:right w:w="20" w:type="dxa"/>
            </w:tcMar>
            <w:vAlign w:val="bottom"/>
          </w:tcPr>
          <w:p w14:paraId="5F2D6A9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92" w14:textId="77777777" w:rsidR="00E836FB" w:rsidRDefault="00994958">
            <w:pPr>
              <w:textAlignment w:val="center"/>
            </w:pPr>
            <w:hyperlink r:id="rId117" w:history="1">
              <w:r>
                <w:rPr>
                  <w:rStyle w:val="a5"/>
                  <w:rFonts w:ascii="Arial" w:eastAsia="宋体" w:hAnsi="Arial" w:cs="Arial"/>
                  <w:sz w:val="20"/>
                  <w:szCs w:val="20"/>
                </w:rPr>
                <w:t>Deposit Agreement dated May 21, 2015, among State Street Co</w:t>
              </w:r>
              <w:r>
                <w:rPr>
                  <w:rStyle w:val="a5"/>
                  <w:rFonts w:ascii="Arial" w:eastAsia="宋体" w:hAnsi="Arial" w:cs="Arial"/>
                  <w:sz w:val="20"/>
                  <w:szCs w:val="20"/>
                </w:rPr>
                <w:t>rporation, American Stock Transfer &amp; Trust Company, LLC (as depositary) and the holders from time to time of depositary receipts (filed as Exhibit 4.1 to State Street's Current Report on Form 8-K (File No. 001-7511) dated May 21, 2015 filed with the SEC on</w:t>
              </w:r>
              <w:r>
                <w:rPr>
                  <w:rStyle w:val="a5"/>
                  <w:rFonts w:ascii="Arial" w:eastAsia="宋体" w:hAnsi="Arial" w:cs="Arial"/>
                  <w:sz w:val="20"/>
                  <w:szCs w:val="20"/>
                </w:rPr>
                <w:t xml:space="preserve"> May 21, 2015 and incorporated herein by reference)</w:t>
              </w:r>
            </w:hyperlink>
          </w:p>
        </w:tc>
      </w:tr>
      <w:tr w:rsidR="00E836FB" w14:paraId="5F2D6A98"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9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9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9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97" w14:textId="77777777" w:rsidR="00E836FB" w:rsidRDefault="00E836FB">
            <w:pPr>
              <w:rPr>
                <w:rFonts w:ascii="宋体"/>
              </w:rPr>
            </w:pPr>
          </w:p>
        </w:tc>
      </w:tr>
      <w:tr w:rsidR="00E836FB" w14:paraId="5F2D6A9D" w14:textId="77777777">
        <w:trPr>
          <w:jc w:val="center"/>
        </w:trPr>
        <w:tc>
          <w:tcPr>
            <w:tcW w:w="0" w:type="auto"/>
            <w:gridSpan w:val="3"/>
            <w:shd w:val="clear" w:color="auto" w:fill="auto"/>
            <w:tcMar>
              <w:top w:w="0" w:type="dxa"/>
              <w:left w:w="20" w:type="dxa"/>
              <w:bottom w:w="0" w:type="dxa"/>
              <w:right w:w="20" w:type="dxa"/>
            </w:tcMar>
            <w:vAlign w:val="bottom"/>
          </w:tcPr>
          <w:p w14:paraId="5F2D6A9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9A" w14:textId="77777777" w:rsidR="00E836FB" w:rsidRDefault="00994958">
            <w:pPr>
              <w:textAlignment w:val="center"/>
            </w:pPr>
            <w:hyperlink r:id="rId118" w:history="1">
              <w:r>
                <w:rPr>
                  <w:rStyle w:val="a5"/>
                  <w:rFonts w:ascii="Arial" w:eastAsia="宋体" w:hAnsi="Arial" w:cs="Arial"/>
                  <w:sz w:val="20"/>
                  <w:szCs w:val="20"/>
                </w:rPr>
                <w:t>4.4</w:t>
              </w:r>
            </w:hyperlink>
          </w:p>
        </w:tc>
        <w:tc>
          <w:tcPr>
            <w:tcW w:w="0" w:type="auto"/>
            <w:gridSpan w:val="3"/>
            <w:shd w:val="clear" w:color="auto" w:fill="auto"/>
            <w:tcMar>
              <w:top w:w="0" w:type="dxa"/>
              <w:left w:w="20" w:type="dxa"/>
              <w:bottom w:w="0" w:type="dxa"/>
              <w:right w:w="20" w:type="dxa"/>
            </w:tcMar>
            <w:vAlign w:val="bottom"/>
          </w:tcPr>
          <w:p w14:paraId="5F2D6A9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9C" w14:textId="77777777" w:rsidR="00E836FB" w:rsidRDefault="00994958">
            <w:pPr>
              <w:textAlignment w:val="center"/>
            </w:pPr>
            <w:hyperlink r:id="rId119" w:history="1">
              <w:r>
                <w:rPr>
                  <w:rStyle w:val="a5"/>
                  <w:rFonts w:ascii="Arial" w:eastAsia="宋体" w:hAnsi="Arial" w:cs="Arial"/>
                  <w:sz w:val="20"/>
                  <w:szCs w:val="20"/>
                </w:rPr>
                <w:t xml:space="preserve">Deposit Agreement dated April 11, 2016, among State Street Corporation, American Stock Transfer &amp; Trust Company, LLC (as depositary) and the holders from time to </w:t>
              </w:r>
              <w:r>
                <w:rPr>
                  <w:rStyle w:val="a5"/>
                  <w:rFonts w:ascii="Arial" w:eastAsia="宋体" w:hAnsi="Arial" w:cs="Arial"/>
                  <w:sz w:val="20"/>
                  <w:szCs w:val="20"/>
                </w:rPr>
                <w:t>time of depositary receipts (filed as Exhibit 4.1 to State Street's Current Report on Form 8-K (File No. 001-7511) dated April 11, 2016 filed with the SEC on April 11, 2016 and incorporated herein by reference)</w:t>
              </w:r>
            </w:hyperlink>
          </w:p>
        </w:tc>
      </w:tr>
      <w:tr w:rsidR="00E836FB" w14:paraId="5F2D6AA3" w14:textId="77777777">
        <w:trPr>
          <w:jc w:val="center"/>
        </w:trPr>
        <w:tc>
          <w:tcPr>
            <w:tcW w:w="0" w:type="auto"/>
            <w:gridSpan w:val="3"/>
            <w:shd w:val="clear" w:color="auto" w:fill="auto"/>
            <w:tcMar>
              <w:top w:w="0" w:type="dxa"/>
              <w:left w:w="20" w:type="dxa"/>
              <w:bottom w:w="0" w:type="dxa"/>
              <w:right w:w="20" w:type="dxa"/>
            </w:tcMar>
            <w:vAlign w:val="bottom"/>
          </w:tcPr>
          <w:p w14:paraId="5F2D6A9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9F" w14:textId="77777777" w:rsidR="00E836FB" w:rsidRDefault="00994958">
            <w:pPr>
              <w:textAlignment w:val="center"/>
            </w:pPr>
            <w:hyperlink r:id="rId120" w:history="1">
              <w:r>
                <w:rPr>
                  <w:rStyle w:val="a5"/>
                  <w:rFonts w:ascii="Arial" w:eastAsia="宋体" w:hAnsi="Arial" w:cs="Arial"/>
                  <w:sz w:val="20"/>
                  <w:szCs w:val="20"/>
                </w:rPr>
                <w:t>4.5</w:t>
              </w:r>
            </w:hyperlink>
          </w:p>
        </w:tc>
        <w:tc>
          <w:tcPr>
            <w:tcW w:w="0" w:type="auto"/>
            <w:gridSpan w:val="3"/>
            <w:shd w:val="clear" w:color="auto" w:fill="auto"/>
            <w:tcMar>
              <w:top w:w="0" w:type="dxa"/>
              <w:left w:w="20" w:type="dxa"/>
              <w:bottom w:w="0" w:type="dxa"/>
              <w:right w:w="20" w:type="dxa"/>
            </w:tcMar>
            <w:vAlign w:val="bottom"/>
          </w:tcPr>
          <w:p w14:paraId="5F2D6AA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A1" w14:textId="77777777" w:rsidR="00E836FB" w:rsidRDefault="00994958">
            <w:pPr>
              <w:textAlignment w:val="center"/>
            </w:pPr>
            <w:hyperlink r:id="rId121" w:history="1">
              <w:r>
                <w:rPr>
                  <w:rStyle w:val="a5"/>
                  <w:rFonts w:ascii="Arial" w:eastAsia="宋体" w:hAnsi="Arial" w:cs="Arial"/>
                  <w:sz w:val="20"/>
                  <w:szCs w:val="20"/>
                </w:rPr>
                <w:t>Deposit Agreement dated September 27, 2018, among State Str</w:t>
              </w:r>
              <w:r>
                <w:rPr>
                  <w:rStyle w:val="a5"/>
                  <w:rFonts w:ascii="Arial" w:eastAsia="宋体" w:hAnsi="Arial" w:cs="Arial"/>
                  <w:sz w:val="20"/>
                  <w:szCs w:val="20"/>
                </w:rPr>
                <w:t>eet Corporation, American Stock Transfer &amp; Trust Company, LLC (as depositary) and the holders from time to time of the depositary receipts (filed as Exhibit 4.3 to State Street’s Current Report on Form 8-K (File No. 001-07511) filed with the SEC on Septemb</w:t>
              </w:r>
              <w:r>
                <w:rPr>
                  <w:rStyle w:val="a5"/>
                  <w:rFonts w:ascii="Arial" w:eastAsia="宋体" w:hAnsi="Arial" w:cs="Arial"/>
                  <w:sz w:val="20"/>
                  <w:szCs w:val="20"/>
                </w:rPr>
                <w:t>er 27, 2018 and incorporated herein by reference)</w:t>
              </w:r>
            </w:hyperlink>
          </w:p>
          <w:p w14:paraId="5F2D6AA2" w14:textId="77777777" w:rsidR="00E836FB" w:rsidRDefault="00E836FB">
            <w:pPr>
              <w:textAlignment w:val="center"/>
            </w:pPr>
          </w:p>
        </w:tc>
      </w:tr>
      <w:tr w:rsidR="00E836FB" w14:paraId="5F2D6AA8" w14:textId="77777777">
        <w:trPr>
          <w:jc w:val="center"/>
        </w:trPr>
        <w:tc>
          <w:tcPr>
            <w:tcW w:w="0" w:type="auto"/>
            <w:gridSpan w:val="3"/>
            <w:shd w:val="clear" w:color="auto" w:fill="auto"/>
            <w:tcMar>
              <w:top w:w="0" w:type="dxa"/>
              <w:left w:w="20" w:type="dxa"/>
              <w:bottom w:w="0" w:type="dxa"/>
              <w:right w:w="20" w:type="dxa"/>
            </w:tcMar>
            <w:vAlign w:val="bottom"/>
          </w:tcPr>
          <w:p w14:paraId="5F2D6AA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A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A7" w14:textId="77777777" w:rsidR="00E836FB" w:rsidRDefault="00994958">
            <w:pPr>
              <w:textAlignment w:val="center"/>
            </w:pPr>
            <w:r>
              <w:rPr>
                <w:rFonts w:ascii="Arial" w:eastAsia="宋体" w:hAnsi="Arial" w:cs="Arial"/>
                <w:color w:val="000000"/>
                <w:sz w:val="20"/>
                <w:szCs w:val="20"/>
              </w:rPr>
              <w:t xml:space="preserve">(Note: None of the instruments defining the rights of holders of State Street’s outstanding long-term debt are in respect of indebtedness in excess of 10% of the total assets of State Street and </w:t>
            </w:r>
            <w:r>
              <w:rPr>
                <w:rFonts w:ascii="Arial" w:eastAsia="宋体" w:hAnsi="Arial" w:cs="Arial"/>
                <w:color w:val="000000"/>
                <w:sz w:val="20"/>
                <w:szCs w:val="20"/>
              </w:rPr>
              <w:t>its subsidiaries on a consolidated basis. State Street hereby agrees to furnish to the SEC upon request a copy of any other instrument with respect to long-term debt of State Street and its subsidiaries.)</w:t>
            </w:r>
          </w:p>
        </w:tc>
      </w:tr>
      <w:tr w:rsidR="00E836FB" w14:paraId="5F2D6AAD"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A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A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A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AC" w14:textId="77777777" w:rsidR="00E836FB" w:rsidRDefault="00E836FB">
            <w:pPr>
              <w:rPr>
                <w:rFonts w:ascii="宋体"/>
              </w:rPr>
            </w:pPr>
          </w:p>
        </w:tc>
      </w:tr>
      <w:tr w:rsidR="00E836FB" w14:paraId="5F2D6AB2"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A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A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B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B1" w14:textId="77777777" w:rsidR="00E836FB" w:rsidRDefault="00E836FB">
            <w:pPr>
              <w:rPr>
                <w:rFonts w:ascii="宋体"/>
              </w:rPr>
            </w:pPr>
          </w:p>
        </w:tc>
      </w:tr>
      <w:tr w:rsidR="00E836FB" w14:paraId="5F2D6AB8" w14:textId="77777777">
        <w:trPr>
          <w:jc w:val="center"/>
        </w:trPr>
        <w:tc>
          <w:tcPr>
            <w:tcW w:w="0" w:type="auto"/>
            <w:gridSpan w:val="3"/>
            <w:shd w:val="clear" w:color="auto" w:fill="auto"/>
            <w:tcMar>
              <w:top w:w="0" w:type="dxa"/>
              <w:left w:w="20" w:type="dxa"/>
              <w:bottom w:w="0" w:type="dxa"/>
              <w:right w:w="20" w:type="dxa"/>
            </w:tcMar>
            <w:vAlign w:val="bottom"/>
          </w:tcPr>
          <w:p w14:paraId="5F2D6AB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B4" w14:textId="77777777" w:rsidR="00E836FB" w:rsidRDefault="00994958">
            <w:pPr>
              <w:textAlignment w:val="center"/>
            </w:pPr>
            <w:hyperlink r:id="rId122" w:history="1">
              <w:r>
                <w:rPr>
                  <w:rStyle w:val="a5"/>
                  <w:rFonts w:ascii="Arial" w:eastAsia="宋体" w:hAnsi="Arial" w:cs="Arial"/>
                  <w:sz w:val="20"/>
                  <w:szCs w:val="20"/>
                </w:rPr>
                <w:t>10.1†</w:t>
              </w:r>
            </w:hyperlink>
          </w:p>
        </w:tc>
        <w:tc>
          <w:tcPr>
            <w:tcW w:w="0" w:type="auto"/>
            <w:gridSpan w:val="3"/>
            <w:shd w:val="clear" w:color="auto" w:fill="auto"/>
            <w:tcMar>
              <w:top w:w="0" w:type="dxa"/>
              <w:left w:w="20" w:type="dxa"/>
              <w:bottom w:w="0" w:type="dxa"/>
              <w:right w:w="20" w:type="dxa"/>
            </w:tcMar>
            <w:vAlign w:val="bottom"/>
          </w:tcPr>
          <w:p w14:paraId="5F2D6AB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B6" w14:textId="77777777" w:rsidR="00E836FB" w:rsidRDefault="00994958">
            <w:pPr>
              <w:textAlignment w:val="center"/>
            </w:pPr>
            <w:hyperlink r:id="rId123" w:history="1">
              <w:r>
                <w:rPr>
                  <w:rStyle w:val="a5"/>
                  <w:rFonts w:ascii="Arial" w:eastAsia="宋体" w:hAnsi="Arial" w:cs="Arial"/>
                  <w:sz w:val="20"/>
                  <w:szCs w:val="20"/>
                </w:rPr>
                <w:t>State Street's Executive Supplem</w:t>
              </w:r>
              <w:r>
                <w:rPr>
                  <w:rStyle w:val="a5"/>
                  <w:rFonts w:ascii="Arial" w:eastAsia="宋体" w:hAnsi="Arial" w:cs="Arial"/>
                  <w:sz w:val="20"/>
                  <w:szCs w:val="20"/>
                </w:rPr>
                <w:t xml:space="preserve">ental Retirement Plan, as amended and restated, and First, Second and Third Amendments thereto (filed as Exhibit 10.2 to State Street's Annual Report on Form 10-K (File No. 001-07511) for the year ended December 31, 2020 filed with the SEC on February 19, </w:t>
              </w:r>
              <w:r>
                <w:rPr>
                  <w:rStyle w:val="a5"/>
                  <w:rFonts w:ascii="Arial" w:eastAsia="宋体" w:hAnsi="Arial" w:cs="Arial"/>
                  <w:sz w:val="20"/>
                  <w:szCs w:val="20"/>
                </w:rPr>
                <w:t>2021 and incorporated herein by reference)</w:t>
              </w:r>
            </w:hyperlink>
          </w:p>
          <w:p w14:paraId="5F2D6AB7" w14:textId="77777777" w:rsidR="00E836FB" w:rsidRDefault="00E836FB">
            <w:pPr>
              <w:textAlignment w:val="center"/>
            </w:pPr>
          </w:p>
        </w:tc>
      </w:tr>
      <w:tr w:rsidR="00E836FB" w14:paraId="5F2D6ABD"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B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B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B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BC" w14:textId="77777777" w:rsidR="00E836FB" w:rsidRDefault="00E836FB">
            <w:pPr>
              <w:rPr>
                <w:rFonts w:ascii="宋体"/>
              </w:rPr>
            </w:pPr>
          </w:p>
        </w:tc>
      </w:tr>
      <w:tr w:rsidR="00E836FB" w14:paraId="5F2D6AC2" w14:textId="77777777">
        <w:trPr>
          <w:jc w:val="center"/>
        </w:trPr>
        <w:tc>
          <w:tcPr>
            <w:tcW w:w="0" w:type="auto"/>
            <w:gridSpan w:val="3"/>
            <w:shd w:val="clear" w:color="auto" w:fill="auto"/>
            <w:tcMar>
              <w:top w:w="0" w:type="dxa"/>
              <w:left w:w="20" w:type="dxa"/>
              <w:bottom w:w="0" w:type="dxa"/>
              <w:right w:w="20" w:type="dxa"/>
            </w:tcMar>
            <w:vAlign w:val="bottom"/>
          </w:tcPr>
          <w:p w14:paraId="5F2D6AB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BF" w14:textId="77777777" w:rsidR="00E836FB" w:rsidRDefault="00994958">
            <w:pPr>
              <w:textAlignment w:val="center"/>
            </w:pPr>
            <w:hyperlink r:id="rId124" w:history="1">
              <w:r>
                <w:rPr>
                  <w:rStyle w:val="a5"/>
                  <w:rFonts w:ascii="Arial" w:eastAsia="宋体" w:hAnsi="Arial" w:cs="Arial"/>
                  <w:sz w:val="20"/>
                  <w:szCs w:val="20"/>
                </w:rPr>
                <w:t>10.2†</w:t>
              </w:r>
            </w:hyperlink>
          </w:p>
        </w:tc>
        <w:tc>
          <w:tcPr>
            <w:tcW w:w="0" w:type="auto"/>
            <w:gridSpan w:val="3"/>
            <w:shd w:val="clear" w:color="auto" w:fill="auto"/>
            <w:tcMar>
              <w:top w:w="0" w:type="dxa"/>
              <w:left w:w="20" w:type="dxa"/>
              <w:bottom w:w="0" w:type="dxa"/>
              <w:right w:w="20" w:type="dxa"/>
            </w:tcMar>
            <w:vAlign w:val="bottom"/>
          </w:tcPr>
          <w:p w14:paraId="5F2D6AC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C1" w14:textId="77777777" w:rsidR="00E836FB" w:rsidRDefault="00994958">
            <w:pPr>
              <w:textAlignment w:val="center"/>
            </w:pPr>
            <w:hyperlink r:id="rId125" w:history="1">
              <w:r>
                <w:rPr>
                  <w:rStyle w:val="a5"/>
                  <w:rFonts w:ascii="Arial" w:eastAsia="宋体" w:hAnsi="Arial" w:cs="Arial"/>
                  <w:sz w:val="20"/>
                  <w:szCs w:val="20"/>
                </w:rPr>
                <w:t>Supplemental Cash Incentive Plan, as amended, First and Second Amendments thereto, and form of award agreement thereunder (filed as Exhibit 10.1 to State S</w:t>
              </w:r>
              <w:r>
                <w:rPr>
                  <w:rStyle w:val="a5"/>
                  <w:rFonts w:ascii="Arial" w:eastAsia="宋体" w:hAnsi="Arial" w:cs="Arial"/>
                  <w:sz w:val="20"/>
                  <w:szCs w:val="20"/>
                </w:rPr>
                <w:t>treet’s Quarterly Report on Form 10-Q (File No. 001-07511) for the quarter ended March 31, 2021 filed with the SEC on April 23, 2021 and incorporated herein by reference)</w:t>
              </w:r>
            </w:hyperlink>
          </w:p>
        </w:tc>
      </w:tr>
      <w:tr w:rsidR="00E836FB" w14:paraId="5F2D6AC7"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C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C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C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C6" w14:textId="77777777" w:rsidR="00E836FB" w:rsidRDefault="00E836FB">
            <w:pPr>
              <w:rPr>
                <w:rFonts w:ascii="宋体"/>
              </w:rPr>
            </w:pPr>
          </w:p>
        </w:tc>
      </w:tr>
      <w:tr w:rsidR="00E836FB" w14:paraId="5F2D6ACD" w14:textId="77777777">
        <w:trPr>
          <w:jc w:val="center"/>
        </w:trPr>
        <w:tc>
          <w:tcPr>
            <w:tcW w:w="0" w:type="auto"/>
            <w:gridSpan w:val="3"/>
            <w:shd w:val="clear" w:color="auto" w:fill="auto"/>
            <w:tcMar>
              <w:top w:w="0" w:type="dxa"/>
              <w:left w:w="20" w:type="dxa"/>
              <w:bottom w:w="0" w:type="dxa"/>
              <w:right w:w="20" w:type="dxa"/>
            </w:tcMar>
            <w:vAlign w:val="bottom"/>
          </w:tcPr>
          <w:p w14:paraId="5F2D6AC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C9" w14:textId="77777777" w:rsidR="00E836FB" w:rsidRDefault="00994958">
            <w:pPr>
              <w:textAlignment w:val="center"/>
            </w:pPr>
            <w:hyperlink r:id="rId126" w:history="1">
              <w:r>
                <w:rPr>
                  <w:rStyle w:val="a5"/>
                  <w:rFonts w:ascii="Arial" w:eastAsia="宋体" w:hAnsi="Arial" w:cs="Arial"/>
                  <w:sz w:val="20"/>
                  <w:szCs w:val="20"/>
                </w:rPr>
                <w:t>10.3†</w:t>
              </w:r>
            </w:hyperlink>
          </w:p>
        </w:tc>
        <w:tc>
          <w:tcPr>
            <w:tcW w:w="0" w:type="auto"/>
            <w:gridSpan w:val="3"/>
            <w:shd w:val="clear" w:color="auto" w:fill="auto"/>
            <w:tcMar>
              <w:top w:w="0" w:type="dxa"/>
              <w:left w:w="20" w:type="dxa"/>
              <w:bottom w:w="0" w:type="dxa"/>
              <w:right w:w="20" w:type="dxa"/>
            </w:tcMar>
            <w:vAlign w:val="bottom"/>
          </w:tcPr>
          <w:p w14:paraId="5F2D6AC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CB" w14:textId="77777777" w:rsidR="00E836FB" w:rsidRDefault="00994958">
            <w:pPr>
              <w:textAlignment w:val="center"/>
            </w:pPr>
            <w:hyperlink r:id="rId127" w:history="1">
              <w:r>
                <w:rPr>
                  <w:rStyle w:val="a5"/>
                  <w:rFonts w:ascii="Arial" w:eastAsia="宋体" w:hAnsi="Arial" w:cs="Arial"/>
                  <w:sz w:val="20"/>
                  <w:szCs w:val="20"/>
                </w:rPr>
                <w:t>State Street's 2017 Stock Incentive Plan, an</w:t>
              </w:r>
              <w:r>
                <w:rPr>
                  <w:rStyle w:val="a5"/>
                  <w:rFonts w:ascii="Arial" w:eastAsia="宋体" w:hAnsi="Arial" w:cs="Arial"/>
                  <w:sz w:val="20"/>
                  <w:szCs w:val="20"/>
                </w:rPr>
                <w:t>d forms of award agreements thereunder (filed as Exhibit 10.2 to State Street’s Quarterly Report on Form 10-Q (File No. 001-07511) for the quarter ended March 31, 2021 filed with the SEC on April 23, 2021 and incorporated herein by reference)</w:t>
              </w:r>
            </w:hyperlink>
          </w:p>
          <w:p w14:paraId="5F2D6ACC" w14:textId="77777777" w:rsidR="00E836FB" w:rsidRDefault="00E836FB">
            <w:pPr>
              <w:textAlignment w:val="center"/>
            </w:pPr>
          </w:p>
        </w:tc>
      </w:tr>
      <w:tr w:rsidR="00E836FB" w14:paraId="5F2D6AD2"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C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C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D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D1" w14:textId="77777777" w:rsidR="00E836FB" w:rsidRDefault="00E836FB">
            <w:pPr>
              <w:rPr>
                <w:rFonts w:ascii="宋体"/>
              </w:rPr>
            </w:pPr>
          </w:p>
        </w:tc>
      </w:tr>
      <w:tr w:rsidR="00E836FB" w14:paraId="5F2D6AD7" w14:textId="77777777">
        <w:trPr>
          <w:jc w:val="center"/>
        </w:trPr>
        <w:tc>
          <w:tcPr>
            <w:tcW w:w="0" w:type="auto"/>
            <w:gridSpan w:val="3"/>
            <w:shd w:val="clear" w:color="auto" w:fill="auto"/>
            <w:tcMar>
              <w:top w:w="0" w:type="dxa"/>
              <w:left w:w="20" w:type="dxa"/>
              <w:bottom w:w="0" w:type="dxa"/>
              <w:right w:w="20" w:type="dxa"/>
            </w:tcMar>
            <w:vAlign w:val="bottom"/>
          </w:tcPr>
          <w:p w14:paraId="5F2D6AD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D4" w14:textId="77777777" w:rsidR="00E836FB" w:rsidRDefault="00994958">
            <w:pPr>
              <w:textAlignment w:val="center"/>
            </w:pPr>
            <w:hyperlink r:id="rId128" w:history="1">
              <w:r>
                <w:rPr>
                  <w:rStyle w:val="a5"/>
                  <w:rFonts w:ascii="Arial" w:eastAsia="宋体" w:hAnsi="Arial" w:cs="Arial"/>
                  <w:sz w:val="20"/>
                  <w:szCs w:val="20"/>
                </w:rPr>
                <w:t>10.</w:t>
              </w:r>
            </w:hyperlink>
            <w:hyperlink r:id="rId129" w:history="1">
              <w:r>
                <w:rPr>
                  <w:rStyle w:val="a5"/>
                  <w:rFonts w:ascii="Arial" w:eastAsia="宋体" w:hAnsi="Arial" w:cs="Arial"/>
                  <w:sz w:val="20"/>
                  <w:szCs w:val="20"/>
                </w:rPr>
                <w:t>4</w:t>
              </w:r>
            </w:hyperlink>
            <w:hyperlink r:id="rId130"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vAlign w:val="bottom"/>
          </w:tcPr>
          <w:p w14:paraId="5F2D6AD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D6" w14:textId="77777777" w:rsidR="00E836FB" w:rsidRDefault="00994958">
            <w:pPr>
              <w:textAlignment w:val="center"/>
            </w:pPr>
            <w:hyperlink r:id="rId131" w:history="1">
              <w:r>
                <w:rPr>
                  <w:rStyle w:val="a5"/>
                  <w:rFonts w:ascii="Arial" w:eastAsia="宋体" w:hAnsi="Arial" w:cs="Arial"/>
                  <w:sz w:val="20"/>
                  <w:szCs w:val="20"/>
                </w:rPr>
                <w:t xml:space="preserve">State Street’s Management Supplemental Savings Plan, </w:t>
              </w:r>
              <w:r>
                <w:rPr>
                  <w:rStyle w:val="a5"/>
                  <w:rFonts w:ascii="Arial" w:eastAsia="宋体" w:hAnsi="Arial" w:cs="Arial"/>
                  <w:sz w:val="20"/>
                  <w:szCs w:val="20"/>
                </w:rPr>
                <w:t>Amended and Restated, as amended (filed as Exhibit 10.10 to State Street's Annual Report on Form 10-K (File No. 001-07511) for the year ended December 31, 2016 filed with the SEC on February 17, 2017 and incorporated herein by reference)</w:t>
              </w:r>
            </w:hyperlink>
          </w:p>
        </w:tc>
      </w:tr>
      <w:tr w:rsidR="00E836FB" w14:paraId="5F2D6ADC" w14:textId="77777777">
        <w:trPr>
          <w:jc w:val="center"/>
        </w:trPr>
        <w:tc>
          <w:tcPr>
            <w:tcW w:w="0" w:type="auto"/>
            <w:gridSpan w:val="3"/>
            <w:shd w:val="clear" w:color="auto" w:fill="auto"/>
            <w:tcMar>
              <w:top w:w="0" w:type="dxa"/>
              <w:left w:w="20" w:type="dxa"/>
              <w:bottom w:w="0" w:type="dxa"/>
              <w:right w:w="20" w:type="dxa"/>
            </w:tcMar>
            <w:vAlign w:val="bottom"/>
          </w:tcPr>
          <w:p w14:paraId="5F2D6AD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D9" w14:textId="77777777" w:rsidR="00E836FB" w:rsidRDefault="00994958">
            <w:pPr>
              <w:textAlignment w:val="center"/>
            </w:pPr>
            <w:hyperlink r:id="rId132" w:history="1">
              <w:r>
                <w:rPr>
                  <w:rStyle w:val="a5"/>
                  <w:rFonts w:ascii="Arial" w:eastAsia="宋体" w:hAnsi="Arial" w:cs="Arial"/>
                  <w:sz w:val="20"/>
                  <w:szCs w:val="20"/>
                </w:rPr>
                <w:t>10.</w:t>
              </w:r>
            </w:hyperlink>
            <w:hyperlink r:id="rId133" w:history="1">
              <w:r>
                <w:rPr>
                  <w:rStyle w:val="a5"/>
                  <w:rFonts w:ascii="Arial" w:eastAsia="宋体" w:hAnsi="Arial" w:cs="Arial"/>
                  <w:sz w:val="20"/>
                  <w:szCs w:val="20"/>
                </w:rPr>
                <w:t>5</w:t>
              </w:r>
            </w:hyperlink>
            <w:hyperlink r:id="rId134"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vAlign w:val="bottom"/>
          </w:tcPr>
          <w:p w14:paraId="5F2D6AD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DB" w14:textId="77777777" w:rsidR="00E836FB" w:rsidRDefault="00994958">
            <w:pPr>
              <w:textAlignment w:val="center"/>
            </w:pPr>
            <w:hyperlink r:id="rId135" w:history="1">
              <w:r>
                <w:rPr>
                  <w:rStyle w:val="a5"/>
                  <w:rFonts w:ascii="Arial" w:eastAsia="宋体" w:hAnsi="Arial" w:cs="Arial"/>
                  <w:sz w:val="20"/>
                  <w:szCs w:val="20"/>
                </w:rPr>
                <w:t>Deferred Compensation Plan for Directors of State Street Corporation, Restated January 1, 2007, as amended (</w:t>
              </w:r>
              <w:r>
                <w:rPr>
                  <w:rStyle w:val="a5"/>
                  <w:rFonts w:ascii="Arial" w:eastAsia="宋体" w:hAnsi="Arial" w:cs="Arial"/>
                  <w:sz w:val="20"/>
                  <w:szCs w:val="20"/>
                </w:rPr>
                <w:t>filed as Exhibit 10.12 to State Street's Annual Report on Form 10-K (File No. 001-07511) for the year ended December 31, 2011 filed with the SEC on February 27, 2012 and incorporated herein by reference)</w:t>
              </w:r>
            </w:hyperlink>
          </w:p>
        </w:tc>
      </w:tr>
    </w:tbl>
    <w:p w14:paraId="5F2D6ADD" w14:textId="77777777" w:rsidR="00E836FB" w:rsidRDefault="00994958">
      <w:pPr>
        <w:ind w:firstLine="450"/>
        <w:jc w:val="right"/>
      </w:pPr>
      <w:r>
        <w:rPr>
          <w:rFonts w:ascii="Arial" w:eastAsia="宋体" w:hAnsi="Arial" w:cs="Arial"/>
          <w:color w:val="000000"/>
          <w:sz w:val="18"/>
          <w:szCs w:val="18"/>
        </w:rPr>
        <w:t>State Street Corporation | 195</w:t>
      </w:r>
    </w:p>
    <w:p w14:paraId="5F2D6ADE" w14:textId="77777777" w:rsidR="00E836FB" w:rsidRDefault="00E836FB">
      <w:pPr>
        <w:ind w:firstLine="450"/>
        <w:jc w:val="center"/>
      </w:pPr>
    </w:p>
    <w:p w14:paraId="5F2D6ADF" w14:textId="77777777" w:rsidR="00E836FB" w:rsidRDefault="00994958">
      <w:r>
        <w:pict w14:anchorId="5F2D6E48">
          <v:rect id="_x0000_i1219" style="width:415.3pt;height:1.5pt" o:hralign="center" o:hrstd="t" o:hr="t" fillcolor="#a0a0a0" stroked="f"/>
        </w:pict>
      </w:r>
    </w:p>
    <w:p w14:paraId="5F2D6AE0" w14:textId="77777777" w:rsidR="00E836FB" w:rsidRDefault="00E836FB">
      <w:pPr>
        <w:ind w:firstLine="450"/>
      </w:pPr>
    </w:p>
    <w:tbl>
      <w:tblPr>
        <w:tblW w:w="4993" w:type="pct"/>
        <w:jc w:val="center"/>
        <w:tblCellMar>
          <w:top w:w="15" w:type="dxa"/>
          <w:left w:w="15" w:type="dxa"/>
          <w:bottom w:w="15" w:type="dxa"/>
          <w:right w:w="15" w:type="dxa"/>
        </w:tblCellMar>
        <w:tblLook w:val="04A0" w:firstRow="1" w:lastRow="0" w:firstColumn="1" w:lastColumn="0" w:noHBand="0" w:noVBand="1"/>
      </w:tblPr>
      <w:tblGrid>
        <w:gridCol w:w="36"/>
        <w:gridCol w:w="114"/>
        <w:gridCol w:w="36"/>
        <w:gridCol w:w="67"/>
        <w:gridCol w:w="854"/>
        <w:gridCol w:w="36"/>
        <w:gridCol w:w="36"/>
        <w:gridCol w:w="36"/>
        <w:gridCol w:w="36"/>
        <w:gridCol w:w="37"/>
        <w:gridCol w:w="7000"/>
        <w:gridCol w:w="36"/>
      </w:tblGrid>
      <w:tr w:rsidR="00E836FB" w14:paraId="5F2D6AED" w14:textId="77777777">
        <w:trPr>
          <w:jc w:val="center"/>
        </w:trPr>
        <w:tc>
          <w:tcPr>
            <w:tcW w:w="5" w:type="pct"/>
            <w:shd w:val="clear" w:color="auto" w:fill="auto"/>
            <w:vAlign w:val="bottom"/>
          </w:tcPr>
          <w:p w14:paraId="5F2D6AE1" w14:textId="77777777" w:rsidR="00E836FB" w:rsidRDefault="00E836FB">
            <w:pPr>
              <w:rPr>
                <w:rFonts w:ascii="宋体"/>
              </w:rPr>
            </w:pPr>
          </w:p>
        </w:tc>
        <w:tc>
          <w:tcPr>
            <w:tcW w:w="85" w:type="pct"/>
            <w:shd w:val="clear" w:color="auto" w:fill="auto"/>
            <w:vAlign w:val="bottom"/>
          </w:tcPr>
          <w:p w14:paraId="5F2D6AE2" w14:textId="77777777" w:rsidR="00E836FB" w:rsidRDefault="00E836FB">
            <w:pPr>
              <w:rPr>
                <w:rFonts w:ascii="宋体"/>
              </w:rPr>
            </w:pPr>
          </w:p>
        </w:tc>
        <w:tc>
          <w:tcPr>
            <w:tcW w:w="5" w:type="pct"/>
            <w:shd w:val="clear" w:color="auto" w:fill="auto"/>
            <w:vAlign w:val="bottom"/>
          </w:tcPr>
          <w:p w14:paraId="5F2D6AE3" w14:textId="77777777" w:rsidR="00E836FB" w:rsidRDefault="00E836FB">
            <w:pPr>
              <w:rPr>
                <w:rFonts w:ascii="宋体"/>
              </w:rPr>
            </w:pPr>
          </w:p>
        </w:tc>
        <w:tc>
          <w:tcPr>
            <w:tcW w:w="50" w:type="pct"/>
            <w:shd w:val="clear" w:color="auto" w:fill="auto"/>
            <w:vAlign w:val="bottom"/>
          </w:tcPr>
          <w:p w14:paraId="5F2D6AE4" w14:textId="77777777" w:rsidR="00E836FB" w:rsidRDefault="00E836FB">
            <w:pPr>
              <w:rPr>
                <w:rFonts w:ascii="宋体"/>
              </w:rPr>
            </w:pPr>
          </w:p>
        </w:tc>
        <w:tc>
          <w:tcPr>
            <w:tcW w:w="537" w:type="pct"/>
            <w:shd w:val="clear" w:color="auto" w:fill="auto"/>
            <w:vAlign w:val="bottom"/>
          </w:tcPr>
          <w:p w14:paraId="5F2D6AE5" w14:textId="77777777" w:rsidR="00E836FB" w:rsidRDefault="00E836FB">
            <w:pPr>
              <w:rPr>
                <w:rFonts w:ascii="宋体"/>
              </w:rPr>
            </w:pPr>
          </w:p>
        </w:tc>
        <w:tc>
          <w:tcPr>
            <w:tcW w:w="5" w:type="pct"/>
            <w:shd w:val="clear" w:color="auto" w:fill="auto"/>
            <w:vAlign w:val="bottom"/>
          </w:tcPr>
          <w:p w14:paraId="5F2D6AE6" w14:textId="77777777" w:rsidR="00E836FB" w:rsidRDefault="00E836FB">
            <w:pPr>
              <w:rPr>
                <w:rFonts w:ascii="宋体"/>
              </w:rPr>
            </w:pPr>
          </w:p>
        </w:tc>
        <w:tc>
          <w:tcPr>
            <w:tcW w:w="5" w:type="pct"/>
            <w:shd w:val="clear" w:color="auto" w:fill="auto"/>
            <w:vAlign w:val="bottom"/>
          </w:tcPr>
          <w:p w14:paraId="5F2D6AE7" w14:textId="77777777" w:rsidR="00E836FB" w:rsidRDefault="00E836FB">
            <w:pPr>
              <w:rPr>
                <w:rFonts w:ascii="宋体"/>
              </w:rPr>
            </w:pPr>
          </w:p>
        </w:tc>
        <w:tc>
          <w:tcPr>
            <w:tcW w:w="26" w:type="pct"/>
            <w:shd w:val="clear" w:color="auto" w:fill="auto"/>
            <w:vAlign w:val="bottom"/>
          </w:tcPr>
          <w:p w14:paraId="5F2D6AE8" w14:textId="77777777" w:rsidR="00E836FB" w:rsidRDefault="00E836FB">
            <w:pPr>
              <w:rPr>
                <w:rFonts w:ascii="宋体"/>
              </w:rPr>
            </w:pPr>
          </w:p>
        </w:tc>
        <w:tc>
          <w:tcPr>
            <w:tcW w:w="5" w:type="pct"/>
            <w:shd w:val="clear" w:color="auto" w:fill="auto"/>
            <w:vAlign w:val="bottom"/>
          </w:tcPr>
          <w:p w14:paraId="5F2D6AE9" w14:textId="77777777" w:rsidR="00E836FB" w:rsidRDefault="00E836FB">
            <w:pPr>
              <w:rPr>
                <w:rFonts w:ascii="宋体"/>
              </w:rPr>
            </w:pPr>
          </w:p>
        </w:tc>
        <w:tc>
          <w:tcPr>
            <w:tcW w:w="50" w:type="pct"/>
            <w:shd w:val="clear" w:color="auto" w:fill="auto"/>
            <w:vAlign w:val="bottom"/>
          </w:tcPr>
          <w:p w14:paraId="5F2D6AEA" w14:textId="77777777" w:rsidR="00E836FB" w:rsidRDefault="00E836FB">
            <w:pPr>
              <w:rPr>
                <w:rFonts w:ascii="宋体"/>
              </w:rPr>
            </w:pPr>
          </w:p>
        </w:tc>
        <w:tc>
          <w:tcPr>
            <w:tcW w:w="4220" w:type="pct"/>
            <w:shd w:val="clear" w:color="auto" w:fill="auto"/>
            <w:vAlign w:val="bottom"/>
          </w:tcPr>
          <w:p w14:paraId="5F2D6AEB" w14:textId="77777777" w:rsidR="00E836FB" w:rsidRDefault="00E836FB">
            <w:pPr>
              <w:rPr>
                <w:rFonts w:ascii="宋体"/>
              </w:rPr>
            </w:pPr>
          </w:p>
        </w:tc>
        <w:tc>
          <w:tcPr>
            <w:tcW w:w="5" w:type="pct"/>
            <w:shd w:val="clear" w:color="auto" w:fill="auto"/>
            <w:vAlign w:val="bottom"/>
          </w:tcPr>
          <w:p w14:paraId="5F2D6AEC" w14:textId="77777777" w:rsidR="00E836FB" w:rsidRDefault="00E836FB">
            <w:pPr>
              <w:rPr>
                <w:rFonts w:ascii="宋体"/>
              </w:rPr>
            </w:pPr>
          </w:p>
        </w:tc>
      </w:tr>
      <w:tr w:rsidR="00E836FB" w14:paraId="5F2D6AF3" w14:textId="77777777">
        <w:trPr>
          <w:jc w:val="center"/>
        </w:trPr>
        <w:tc>
          <w:tcPr>
            <w:tcW w:w="0" w:type="auto"/>
            <w:gridSpan w:val="3"/>
            <w:shd w:val="clear" w:color="auto" w:fill="auto"/>
            <w:tcMar>
              <w:top w:w="0" w:type="dxa"/>
              <w:left w:w="20" w:type="dxa"/>
              <w:bottom w:w="0" w:type="dxa"/>
              <w:right w:w="20" w:type="dxa"/>
            </w:tcMar>
            <w:vAlign w:val="bottom"/>
          </w:tcPr>
          <w:p w14:paraId="5F2D6AE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EF" w14:textId="77777777" w:rsidR="00E836FB" w:rsidRDefault="00994958">
            <w:pPr>
              <w:textAlignment w:val="center"/>
            </w:pPr>
            <w:hyperlink r:id="rId136" w:history="1">
              <w:r>
                <w:rPr>
                  <w:rStyle w:val="a5"/>
                  <w:rFonts w:ascii="Arial" w:eastAsia="宋体" w:hAnsi="Arial" w:cs="Arial"/>
                  <w:sz w:val="20"/>
                  <w:szCs w:val="20"/>
                </w:rPr>
                <w:t>10.</w:t>
              </w:r>
            </w:hyperlink>
            <w:hyperlink r:id="rId137" w:history="1">
              <w:r>
                <w:rPr>
                  <w:rStyle w:val="a5"/>
                  <w:rFonts w:ascii="Arial" w:eastAsia="宋体" w:hAnsi="Arial" w:cs="Arial"/>
                  <w:sz w:val="20"/>
                  <w:szCs w:val="20"/>
                </w:rPr>
                <w:t>6</w:t>
              </w:r>
            </w:hyperlink>
            <w:hyperlink r:id="rId138"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vAlign w:val="bottom"/>
          </w:tcPr>
          <w:p w14:paraId="5F2D6AF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F1" w14:textId="77777777" w:rsidR="00E836FB" w:rsidRDefault="00994958">
            <w:pPr>
              <w:textAlignment w:val="center"/>
            </w:pPr>
            <w:hyperlink r:id="rId139" w:history="1">
              <w:r>
                <w:rPr>
                  <w:rStyle w:val="a5"/>
                  <w:rFonts w:ascii="Arial" w:eastAsia="宋体" w:hAnsi="Arial" w:cs="Arial"/>
                  <w:sz w:val="20"/>
                  <w:szCs w:val="20"/>
                </w:rPr>
                <w:t>Deferred Compensation Plan for Directors of State Street Corporati</w:t>
              </w:r>
              <w:r>
                <w:rPr>
                  <w:rStyle w:val="a5"/>
                  <w:rFonts w:ascii="Arial" w:eastAsia="宋体" w:hAnsi="Arial" w:cs="Arial"/>
                  <w:sz w:val="20"/>
                  <w:szCs w:val="20"/>
                </w:rPr>
                <w:t>on, Restated January 1, 2021, as amended (filed as Exhibit 10.1 to State Street's Quarterly Report on Form 10-Q (File No. 001-07511) for the quarter ended June 30, 2020 filed with the SEC on July 27, 2020 and incorporated herein by reference)</w:t>
              </w:r>
            </w:hyperlink>
          </w:p>
          <w:p w14:paraId="5F2D6AF2" w14:textId="77777777" w:rsidR="00E836FB" w:rsidRDefault="00E836FB">
            <w:pPr>
              <w:textAlignment w:val="center"/>
            </w:pPr>
          </w:p>
        </w:tc>
      </w:tr>
      <w:tr w:rsidR="00E836FB" w14:paraId="5F2D6AF8"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F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F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F7" w14:textId="77777777" w:rsidR="00E836FB" w:rsidRDefault="00E836FB">
            <w:pPr>
              <w:rPr>
                <w:rFonts w:ascii="宋体"/>
              </w:rPr>
            </w:pPr>
          </w:p>
        </w:tc>
      </w:tr>
      <w:tr w:rsidR="00E836FB" w14:paraId="5F2D6AFD" w14:textId="77777777">
        <w:trPr>
          <w:jc w:val="center"/>
        </w:trPr>
        <w:tc>
          <w:tcPr>
            <w:tcW w:w="0" w:type="auto"/>
            <w:gridSpan w:val="3"/>
            <w:shd w:val="clear" w:color="auto" w:fill="auto"/>
            <w:tcMar>
              <w:top w:w="0" w:type="dxa"/>
              <w:left w:w="20" w:type="dxa"/>
              <w:bottom w:w="0" w:type="dxa"/>
              <w:right w:w="20" w:type="dxa"/>
            </w:tcMar>
            <w:vAlign w:val="bottom"/>
          </w:tcPr>
          <w:p w14:paraId="5F2D6AF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FA" w14:textId="77777777" w:rsidR="00E836FB" w:rsidRDefault="00994958">
            <w:pPr>
              <w:textAlignment w:val="center"/>
            </w:pPr>
            <w:hyperlink r:id="rId140" w:history="1">
              <w:r>
                <w:rPr>
                  <w:rStyle w:val="a5"/>
                  <w:rFonts w:ascii="Arial" w:eastAsia="宋体" w:hAnsi="Arial" w:cs="Arial"/>
                  <w:sz w:val="20"/>
                  <w:szCs w:val="20"/>
                </w:rPr>
                <w:t>10.7</w:t>
              </w:r>
            </w:hyperlink>
          </w:p>
        </w:tc>
        <w:tc>
          <w:tcPr>
            <w:tcW w:w="0" w:type="auto"/>
            <w:gridSpan w:val="3"/>
            <w:shd w:val="clear" w:color="auto" w:fill="auto"/>
            <w:tcMar>
              <w:top w:w="0" w:type="dxa"/>
              <w:left w:w="20" w:type="dxa"/>
              <w:bottom w:w="0" w:type="dxa"/>
              <w:right w:w="20" w:type="dxa"/>
            </w:tcMar>
            <w:vAlign w:val="bottom"/>
          </w:tcPr>
          <w:p w14:paraId="5F2D6AF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AFC" w14:textId="77777777" w:rsidR="00E836FB" w:rsidRDefault="00994958">
            <w:pPr>
              <w:textAlignment w:val="center"/>
            </w:pPr>
            <w:hyperlink r:id="rId141" w:history="1">
              <w:r>
                <w:rPr>
                  <w:rStyle w:val="a5"/>
                  <w:rFonts w:ascii="Arial" w:eastAsia="宋体" w:hAnsi="Arial" w:cs="Arial"/>
                  <w:sz w:val="20"/>
                  <w:szCs w:val="20"/>
                </w:rPr>
                <w:t>Deferred Prosecution Agreement da</w:t>
              </w:r>
              <w:r>
                <w:rPr>
                  <w:rStyle w:val="a5"/>
                  <w:rFonts w:ascii="Arial" w:eastAsia="宋体" w:hAnsi="Arial" w:cs="Arial"/>
                  <w:sz w:val="20"/>
                  <w:szCs w:val="20"/>
                </w:rPr>
                <w:t>ted January 17, 2017 between State Street Corporation and</w:t>
              </w:r>
            </w:hyperlink>
            <w:hyperlink r:id="rId142" w:history="1">
              <w:r>
                <w:rPr>
                  <w:rStyle w:val="a5"/>
                  <w:rFonts w:ascii="Arial" w:eastAsia="宋体" w:hAnsi="Arial" w:cs="Arial"/>
                  <w:sz w:val="20"/>
                  <w:szCs w:val="20"/>
                </w:rPr>
                <w:t xml:space="preserve"> </w:t>
              </w:r>
            </w:hyperlink>
            <w:hyperlink r:id="rId143" w:history="1">
              <w:r>
                <w:rPr>
                  <w:rStyle w:val="a5"/>
                  <w:rFonts w:ascii="Arial" w:eastAsia="宋体" w:hAnsi="Arial" w:cs="Arial"/>
                  <w:sz w:val="20"/>
                  <w:szCs w:val="20"/>
                </w:rPr>
                <w:t>the U.S. Department of Justice and United States Attorney for the District of Massachusetts (filed</w:t>
              </w:r>
            </w:hyperlink>
            <w:hyperlink r:id="rId144" w:history="1">
              <w:r>
                <w:rPr>
                  <w:rStyle w:val="a5"/>
                  <w:rFonts w:ascii="Arial" w:eastAsia="宋体" w:hAnsi="Arial" w:cs="Arial"/>
                  <w:sz w:val="20"/>
                  <w:szCs w:val="20"/>
                </w:rPr>
                <w:t xml:space="preserve"> </w:t>
              </w:r>
            </w:hyperlink>
            <w:hyperlink r:id="rId145" w:history="1">
              <w:r>
                <w:rPr>
                  <w:rStyle w:val="a5"/>
                  <w:rFonts w:ascii="Arial" w:eastAsia="宋体" w:hAnsi="Arial" w:cs="Arial"/>
                  <w:sz w:val="20"/>
                  <w:szCs w:val="20"/>
                </w:rPr>
                <w:t>as Exhibit 10.14 to State Street's Ann</w:t>
              </w:r>
              <w:r>
                <w:rPr>
                  <w:rStyle w:val="a5"/>
                  <w:rFonts w:ascii="Arial" w:eastAsia="宋体" w:hAnsi="Arial" w:cs="Arial"/>
                  <w:sz w:val="20"/>
                  <w:szCs w:val="20"/>
                </w:rPr>
                <w:t>ual Report on Form 10-K (File No. 001-07511) for the year</w:t>
              </w:r>
            </w:hyperlink>
            <w:hyperlink r:id="rId146" w:history="1">
              <w:r>
                <w:rPr>
                  <w:rStyle w:val="a5"/>
                  <w:rFonts w:ascii="Arial" w:eastAsia="宋体" w:hAnsi="Arial" w:cs="Arial"/>
                  <w:sz w:val="20"/>
                  <w:szCs w:val="20"/>
                </w:rPr>
                <w:t xml:space="preserve"> </w:t>
              </w:r>
            </w:hyperlink>
            <w:hyperlink r:id="rId147" w:history="1">
              <w:r>
                <w:rPr>
                  <w:rStyle w:val="a5"/>
                  <w:rFonts w:ascii="Arial" w:eastAsia="宋体" w:hAnsi="Arial" w:cs="Arial"/>
                  <w:sz w:val="20"/>
                  <w:szCs w:val="20"/>
                </w:rPr>
                <w:t>ended December 31, 2016 filed with the SEC on February 17, 2017 and incorporated herein by</w:t>
              </w:r>
            </w:hyperlink>
            <w:hyperlink r:id="rId148" w:history="1">
              <w:r>
                <w:rPr>
                  <w:rStyle w:val="a5"/>
                  <w:rFonts w:ascii="Arial" w:eastAsia="宋体" w:hAnsi="Arial" w:cs="Arial"/>
                  <w:sz w:val="20"/>
                  <w:szCs w:val="20"/>
                </w:rPr>
                <w:t xml:space="preserve"> </w:t>
              </w:r>
            </w:hyperlink>
            <w:hyperlink r:id="rId149" w:history="1">
              <w:r>
                <w:rPr>
                  <w:rStyle w:val="a5"/>
                  <w:rFonts w:ascii="Arial" w:eastAsia="宋体" w:hAnsi="Arial" w:cs="Arial"/>
                  <w:sz w:val="20"/>
                  <w:szCs w:val="20"/>
                </w:rPr>
                <w:t>reference)</w:t>
              </w:r>
            </w:hyperlink>
          </w:p>
        </w:tc>
      </w:tr>
      <w:tr w:rsidR="00E836FB" w14:paraId="5F2D6B02"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AF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A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0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01" w14:textId="77777777" w:rsidR="00E836FB" w:rsidRDefault="00E836FB">
            <w:pPr>
              <w:rPr>
                <w:rFonts w:ascii="宋体"/>
              </w:rPr>
            </w:pPr>
          </w:p>
        </w:tc>
      </w:tr>
      <w:tr w:rsidR="00E836FB" w14:paraId="5F2D6B07" w14:textId="77777777">
        <w:trPr>
          <w:jc w:val="center"/>
        </w:trPr>
        <w:tc>
          <w:tcPr>
            <w:tcW w:w="0" w:type="auto"/>
            <w:gridSpan w:val="3"/>
            <w:shd w:val="clear" w:color="auto" w:fill="auto"/>
            <w:tcMar>
              <w:top w:w="0" w:type="dxa"/>
              <w:left w:w="20" w:type="dxa"/>
              <w:bottom w:w="0" w:type="dxa"/>
              <w:right w:w="20" w:type="dxa"/>
            </w:tcMar>
            <w:vAlign w:val="bottom"/>
          </w:tcPr>
          <w:p w14:paraId="5F2D6B0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04" w14:textId="77777777" w:rsidR="00E836FB" w:rsidRDefault="00994958">
            <w:pPr>
              <w:textAlignment w:val="center"/>
            </w:pPr>
            <w:hyperlink r:id="rId150" w:history="1">
              <w:r>
                <w:rPr>
                  <w:rStyle w:val="a5"/>
                  <w:rFonts w:ascii="Arial" w:eastAsia="宋体" w:hAnsi="Arial" w:cs="Arial"/>
                  <w:sz w:val="20"/>
                  <w:szCs w:val="20"/>
                </w:rPr>
                <w:t>10.8</w:t>
              </w:r>
            </w:hyperlink>
          </w:p>
        </w:tc>
        <w:tc>
          <w:tcPr>
            <w:tcW w:w="0" w:type="auto"/>
            <w:gridSpan w:val="3"/>
            <w:shd w:val="clear" w:color="auto" w:fill="auto"/>
            <w:tcMar>
              <w:top w:w="0" w:type="dxa"/>
              <w:left w:w="20" w:type="dxa"/>
              <w:bottom w:w="0" w:type="dxa"/>
              <w:right w:w="20" w:type="dxa"/>
            </w:tcMar>
            <w:vAlign w:val="bottom"/>
          </w:tcPr>
          <w:p w14:paraId="5F2D6B0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06" w14:textId="77777777" w:rsidR="00E836FB" w:rsidRDefault="00994958">
            <w:pPr>
              <w:textAlignment w:val="center"/>
            </w:pPr>
            <w:hyperlink r:id="rId151" w:history="1">
              <w:r>
                <w:rPr>
                  <w:rStyle w:val="a5"/>
                  <w:rFonts w:ascii="Arial" w:eastAsia="宋体" w:hAnsi="Arial" w:cs="Arial"/>
                  <w:sz w:val="20"/>
                  <w:szCs w:val="20"/>
                </w:rPr>
                <w:t>Deferred Prosecution Agreement dated Ma</w:t>
              </w:r>
              <w:r>
                <w:rPr>
                  <w:rStyle w:val="a5"/>
                  <w:rFonts w:ascii="Arial" w:eastAsia="宋体" w:hAnsi="Arial" w:cs="Arial"/>
                  <w:sz w:val="20"/>
                  <w:szCs w:val="20"/>
                </w:rPr>
                <w:t>y 13, 2021 between State Street Corporation and the Office of the United States Attorney for the District of Massachusetts (filed as Exhibit 10.1 to State Street's Current Report on Form 8-K (File No. 001-07511) filed with the SEC on May 14, 2021 and incor</w:t>
              </w:r>
              <w:r>
                <w:rPr>
                  <w:rStyle w:val="a5"/>
                  <w:rFonts w:ascii="Arial" w:eastAsia="宋体" w:hAnsi="Arial" w:cs="Arial"/>
                  <w:sz w:val="20"/>
                  <w:szCs w:val="20"/>
                </w:rPr>
                <w:t>porated herein by reference)</w:t>
              </w:r>
            </w:hyperlink>
          </w:p>
        </w:tc>
      </w:tr>
      <w:tr w:rsidR="00E836FB" w14:paraId="5F2D6B0C"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0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0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0B" w14:textId="77777777" w:rsidR="00E836FB" w:rsidRDefault="00E836FB">
            <w:pPr>
              <w:rPr>
                <w:rFonts w:ascii="宋体"/>
              </w:rPr>
            </w:pPr>
          </w:p>
        </w:tc>
      </w:tr>
      <w:tr w:rsidR="00E836FB" w14:paraId="5F2D6B11" w14:textId="77777777">
        <w:trPr>
          <w:jc w:val="center"/>
        </w:trPr>
        <w:tc>
          <w:tcPr>
            <w:tcW w:w="0" w:type="auto"/>
            <w:gridSpan w:val="3"/>
            <w:shd w:val="clear" w:color="auto" w:fill="auto"/>
            <w:tcMar>
              <w:top w:w="0" w:type="dxa"/>
              <w:left w:w="20" w:type="dxa"/>
              <w:bottom w:w="0" w:type="dxa"/>
              <w:right w:w="20" w:type="dxa"/>
            </w:tcMar>
            <w:vAlign w:val="bottom"/>
          </w:tcPr>
          <w:p w14:paraId="5F2D6B0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0E" w14:textId="77777777" w:rsidR="00E836FB" w:rsidRDefault="00994958">
            <w:pPr>
              <w:textAlignment w:val="center"/>
            </w:pPr>
            <w:hyperlink r:id="rId152" w:history="1">
              <w:r>
                <w:rPr>
                  <w:rStyle w:val="a5"/>
                  <w:rFonts w:ascii="Arial" w:eastAsia="宋体" w:hAnsi="Arial" w:cs="Arial"/>
                  <w:sz w:val="20"/>
                  <w:szCs w:val="20"/>
                </w:rPr>
                <w:t>10.9†</w:t>
              </w:r>
            </w:hyperlink>
          </w:p>
        </w:tc>
        <w:tc>
          <w:tcPr>
            <w:tcW w:w="0" w:type="auto"/>
            <w:gridSpan w:val="3"/>
            <w:shd w:val="clear" w:color="auto" w:fill="auto"/>
            <w:tcMar>
              <w:top w:w="0" w:type="dxa"/>
              <w:left w:w="20" w:type="dxa"/>
              <w:bottom w:w="0" w:type="dxa"/>
              <w:right w:w="20" w:type="dxa"/>
            </w:tcMar>
            <w:vAlign w:val="bottom"/>
          </w:tcPr>
          <w:p w14:paraId="5F2D6B0F"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10" w14:textId="77777777" w:rsidR="00E836FB" w:rsidRDefault="00994958">
            <w:pPr>
              <w:textAlignment w:val="center"/>
            </w:pPr>
            <w:hyperlink r:id="rId153" w:history="1">
              <w:r>
                <w:rPr>
                  <w:rStyle w:val="a5"/>
                  <w:rFonts w:ascii="Arial" w:eastAsia="宋体" w:hAnsi="Arial" w:cs="Arial"/>
                  <w:sz w:val="20"/>
                  <w:szCs w:val="20"/>
                </w:rPr>
                <w:t>Description of compensation arrangements for non-employee directors</w:t>
              </w:r>
            </w:hyperlink>
          </w:p>
        </w:tc>
      </w:tr>
      <w:tr w:rsidR="00E836FB" w14:paraId="5F2D6B16"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1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15" w14:textId="77777777" w:rsidR="00E836FB" w:rsidRDefault="00E836FB">
            <w:pPr>
              <w:rPr>
                <w:rFonts w:ascii="宋体"/>
              </w:rPr>
            </w:pPr>
          </w:p>
        </w:tc>
      </w:tr>
      <w:tr w:rsidR="00E836FB" w14:paraId="5F2D6B1B" w14:textId="77777777">
        <w:trPr>
          <w:jc w:val="center"/>
        </w:trPr>
        <w:tc>
          <w:tcPr>
            <w:tcW w:w="0" w:type="auto"/>
            <w:gridSpan w:val="3"/>
            <w:shd w:val="clear" w:color="auto" w:fill="auto"/>
            <w:tcMar>
              <w:top w:w="0" w:type="dxa"/>
              <w:left w:w="20" w:type="dxa"/>
              <w:bottom w:w="0" w:type="dxa"/>
              <w:right w:w="20" w:type="dxa"/>
            </w:tcMar>
            <w:vAlign w:val="bottom"/>
          </w:tcPr>
          <w:p w14:paraId="5F2D6B1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18" w14:textId="77777777" w:rsidR="00E836FB" w:rsidRDefault="00994958">
            <w:pPr>
              <w:textAlignment w:val="center"/>
            </w:pPr>
            <w:hyperlink r:id="rId154" w:history="1">
              <w:r>
                <w:rPr>
                  <w:rStyle w:val="a5"/>
                  <w:rFonts w:ascii="Arial" w:eastAsia="宋体" w:hAnsi="Arial" w:cs="Arial"/>
                  <w:sz w:val="20"/>
                  <w:szCs w:val="20"/>
                </w:rPr>
                <w:t>10.10†</w:t>
              </w:r>
            </w:hyperlink>
          </w:p>
        </w:tc>
        <w:tc>
          <w:tcPr>
            <w:tcW w:w="0" w:type="auto"/>
            <w:gridSpan w:val="3"/>
            <w:shd w:val="clear" w:color="auto" w:fill="auto"/>
            <w:tcMar>
              <w:top w:w="0" w:type="dxa"/>
              <w:left w:w="20" w:type="dxa"/>
              <w:bottom w:w="0" w:type="dxa"/>
              <w:right w:w="20" w:type="dxa"/>
            </w:tcMar>
            <w:vAlign w:val="bottom"/>
          </w:tcPr>
          <w:p w14:paraId="5F2D6B1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1A" w14:textId="77777777" w:rsidR="00E836FB" w:rsidRDefault="00994958">
            <w:pPr>
              <w:textAlignment w:val="center"/>
            </w:pPr>
            <w:hyperlink r:id="rId155" w:history="1">
              <w:r>
                <w:rPr>
                  <w:rStyle w:val="a5"/>
                  <w:rFonts w:ascii="Arial" w:eastAsia="宋体" w:hAnsi="Arial" w:cs="Arial"/>
                  <w:sz w:val="20"/>
                  <w:szCs w:val="20"/>
                </w:rPr>
                <w:t>State Street’s Executive Compensa</w:t>
              </w:r>
              <w:r>
                <w:rPr>
                  <w:rStyle w:val="a5"/>
                  <w:rFonts w:ascii="Arial" w:eastAsia="宋体" w:hAnsi="Arial" w:cs="Arial"/>
                  <w:sz w:val="20"/>
                  <w:szCs w:val="20"/>
                </w:rPr>
                <w:t>tion Trust Agreement dated June 1, 2002 (Rabbi Trust), as amended (filed as Exhibit 10.22 to State Street's Annual Report on Form 10-K (File No. 001-07511) for the year ended December 31, 2017 filed with the SEC on February 26, 2018 and incorporated herein</w:t>
              </w:r>
              <w:r>
                <w:rPr>
                  <w:rStyle w:val="a5"/>
                  <w:rFonts w:ascii="Arial" w:eastAsia="宋体" w:hAnsi="Arial" w:cs="Arial"/>
                  <w:sz w:val="20"/>
                  <w:szCs w:val="20"/>
                </w:rPr>
                <w:t xml:space="preserve"> by reference)</w:t>
              </w:r>
            </w:hyperlink>
          </w:p>
        </w:tc>
      </w:tr>
      <w:tr w:rsidR="00E836FB" w14:paraId="5F2D6B20"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1F" w14:textId="77777777" w:rsidR="00E836FB" w:rsidRDefault="00E836FB">
            <w:pPr>
              <w:rPr>
                <w:rFonts w:ascii="宋体"/>
              </w:rPr>
            </w:pPr>
          </w:p>
        </w:tc>
      </w:tr>
      <w:tr w:rsidR="00E836FB" w14:paraId="5F2D6B25"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2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2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2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24" w14:textId="77777777" w:rsidR="00E836FB" w:rsidRDefault="00E836FB">
            <w:pPr>
              <w:rPr>
                <w:rFonts w:ascii="宋体"/>
              </w:rPr>
            </w:pPr>
          </w:p>
        </w:tc>
      </w:tr>
      <w:tr w:rsidR="00E836FB" w14:paraId="5F2D6B2A" w14:textId="77777777">
        <w:trPr>
          <w:jc w:val="center"/>
        </w:trPr>
        <w:tc>
          <w:tcPr>
            <w:tcW w:w="0" w:type="auto"/>
            <w:gridSpan w:val="3"/>
            <w:shd w:val="clear" w:color="auto" w:fill="auto"/>
            <w:tcMar>
              <w:top w:w="0" w:type="dxa"/>
              <w:left w:w="20" w:type="dxa"/>
              <w:bottom w:w="0" w:type="dxa"/>
              <w:right w:w="20" w:type="dxa"/>
            </w:tcMar>
            <w:vAlign w:val="bottom"/>
          </w:tcPr>
          <w:p w14:paraId="5F2D6B2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27" w14:textId="77777777" w:rsidR="00E836FB" w:rsidRDefault="00994958">
            <w:pPr>
              <w:textAlignment w:val="center"/>
            </w:pPr>
            <w:hyperlink r:id="rId156" w:history="1">
              <w:r>
                <w:rPr>
                  <w:rStyle w:val="a5"/>
                  <w:rFonts w:ascii="Arial" w:eastAsia="宋体" w:hAnsi="Arial" w:cs="Arial"/>
                  <w:sz w:val="20"/>
                  <w:szCs w:val="20"/>
                </w:rPr>
                <w:t>10.11A†</w:t>
              </w:r>
            </w:hyperlink>
          </w:p>
        </w:tc>
        <w:tc>
          <w:tcPr>
            <w:tcW w:w="0" w:type="auto"/>
            <w:gridSpan w:val="3"/>
            <w:shd w:val="clear" w:color="auto" w:fill="auto"/>
            <w:tcMar>
              <w:top w:w="0" w:type="dxa"/>
              <w:left w:w="20" w:type="dxa"/>
              <w:bottom w:w="0" w:type="dxa"/>
              <w:right w:w="20" w:type="dxa"/>
            </w:tcMar>
            <w:vAlign w:val="bottom"/>
          </w:tcPr>
          <w:p w14:paraId="5F2D6B2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29" w14:textId="77777777" w:rsidR="00E836FB" w:rsidRDefault="00994958">
            <w:pPr>
              <w:textAlignment w:val="center"/>
            </w:pPr>
            <w:hyperlink r:id="rId157" w:history="1">
              <w:r>
                <w:rPr>
                  <w:rStyle w:val="a5"/>
                  <w:rFonts w:ascii="Arial" w:eastAsia="宋体" w:hAnsi="Arial" w:cs="Arial"/>
                  <w:sz w:val="20"/>
                  <w:szCs w:val="20"/>
                </w:rPr>
                <w:t>Form of Indemnification Agreement between State Street Corporation and each of its directors (filed as Exhibit 10.18A to State Street's Annual Report on Form 10-K</w:t>
              </w:r>
              <w:r>
                <w:rPr>
                  <w:rStyle w:val="a5"/>
                  <w:rFonts w:ascii="Arial" w:eastAsia="宋体" w:hAnsi="Arial" w:cs="Arial"/>
                  <w:sz w:val="20"/>
                  <w:szCs w:val="20"/>
                </w:rPr>
                <w:t xml:space="preserve"> (File No. 001-07511) for the year ended December 31, 2013 filed with the SEC on February 21, 2014 and incorporated herein by reference)</w:t>
              </w:r>
            </w:hyperlink>
          </w:p>
        </w:tc>
      </w:tr>
      <w:tr w:rsidR="00E836FB" w14:paraId="5F2D6B2F"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2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2E" w14:textId="77777777" w:rsidR="00E836FB" w:rsidRDefault="00E836FB">
            <w:pPr>
              <w:rPr>
                <w:rFonts w:ascii="宋体"/>
              </w:rPr>
            </w:pPr>
          </w:p>
        </w:tc>
      </w:tr>
      <w:tr w:rsidR="00E836FB" w14:paraId="5F2D6B34" w14:textId="77777777">
        <w:trPr>
          <w:jc w:val="center"/>
        </w:trPr>
        <w:tc>
          <w:tcPr>
            <w:tcW w:w="0" w:type="auto"/>
            <w:gridSpan w:val="3"/>
            <w:shd w:val="clear" w:color="auto" w:fill="auto"/>
            <w:tcMar>
              <w:top w:w="0" w:type="dxa"/>
              <w:left w:w="20" w:type="dxa"/>
              <w:bottom w:w="0" w:type="dxa"/>
              <w:right w:w="20" w:type="dxa"/>
            </w:tcMar>
            <w:vAlign w:val="bottom"/>
          </w:tcPr>
          <w:p w14:paraId="5F2D6B3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31" w14:textId="77777777" w:rsidR="00E836FB" w:rsidRDefault="00994958">
            <w:pPr>
              <w:textAlignment w:val="center"/>
            </w:pPr>
            <w:hyperlink r:id="rId158" w:history="1">
              <w:r>
                <w:rPr>
                  <w:rStyle w:val="a5"/>
                  <w:rFonts w:ascii="Arial" w:eastAsia="宋体" w:hAnsi="Arial" w:cs="Arial"/>
                  <w:sz w:val="20"/>
                  <w:szCs w:val="20"/>
                </w:rPr>
                <w:t>10.11B†</w:t>
              </w:r>
            </w:hyperlink>
          </w:p>
        </w:tc>
        <w:tc>
          <w:tcPr>
            <w:tcW w:w="0" w:type="auto"/>
            <w:gridSpan w:val="3"/>
            <w:shd w:val="clear" w:color="auto" w:fill="auto"/>
            <w:tcMar>
              <w:top w:w="0" w:type="dxa"/>
              <w:left w:w="20" w:type="dxa"/>
              <w:bottom w:w="0" w:type="dxa"/>
              <w:right w:w="20" w:type="dxa"/>
            </w:tcMar>
            <w:vAlign w:val="bottom"/>
          </w:tcPr>
          <w:p w14:paraId="5F2D6B3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33" w14:textId="77777777" w:rsidR="00E836FB" w:rsidRDefault="00994958">
            <w:pPr>
              <w:textAlignment w:val="center"/>
            </w:pPr>
            <w:hyperlink r:id="rId159" w:history="1">
              <w:r>
                <w:rPr>
                  <w:rStyle w:val="a5"/>
                  <w:rFonts w:ascii="Arial" w:eastAsia="宋体" w:hAnsi="Arial" w:cs="Arial"/>
                  <w:sz w:val="20"/>
                  <w:szCs w:val="20"/>
                </w:rPr>
                <w:t>Form of Indemnification Agreement between State Street C</w:t>
              </w:r>
              <w:r>
                <w:rPr>
                  <w:rStyle w:val="a5"/>
                  <w:rFonts w:ascii="Arial" w:eastAsia="宋体" w:hAnsi="Arial" w:cs="Arial"/>
                  <w:sz w:val="20"/>
                  <w:szCs w:val="20"/>
                </w:rPr>
                <w:t>orporation and each of its executive officers (filed as Exhibit 10.18B to State Street's Annual Report on Form 10-K (File No. 001-07511) for the year ended December 31, 2013 filed with the SEC on February 21, 2014 and incorporated herein by reference)</w:t>
              </w:r>
            </w:hyperlink>
          </w:p>
        </w:tc>
      </w:tr>
      <w:tr w:rsidR="00E836FB" w14:paraId="5F2D6B39"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3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3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3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38" w14:textId="77777777" w:rsidR="00E836FB" w:rsidRDefault="00E836FB">
            <w:pPr>
              <w:rPr>
                <w:rFonts w:ascii="宋体"/>
              </w:rPr>
            </w:pPr>
          </w:p>
        </w:tc>
      </w:tr>
      <w:tr w:rsidR="00E836FB" w14:paraId="5F2D6B3E" w14:textId="77777777">
        <w:trPr>
          <w:jc w:val="center"/>
        </w:trPr>
        <w:tc>
          <w:tcPr>
            <w:tcW w:w="0" w:type="auto"/>
            <w:gridSpan w:val="3"/>
            <w:shd w:val="clear" w:color="auto" w:fill="auto"/>
            <w:tcMar>
              <w:top w:w="0" w:type="dxa"/>
              <w:left w:w="20" w:type="dxa"/>
              <w:bottom w:w="0" w:type="dxa"/>
              <w:right w:w="20" w:type="dxa"/>
            </w:tcMar>
            <w:vAlign w:val="bottom"/>
          </w:tcPr>
          <w:p w14:paraId="5F2D6B3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3B" w14:textId="77777777" w:rsidR="00E836FB" w:rsidRDefault="00994958">
            <w:pPr>
              <w:textAlignment w:val="center"/>
            </w:pPr>
            <w:hyperlink r:id="rId160" w:history="1">
              <w:r>
                <w:rPr>
                  <w:rStyle w:val="a5"/>
                  <w:rFonts w:ascii="Arial" w:eastAsia="宋体" w:hAnsi="Arial" w:cs="Arial"/>
                  <w:sz w:val="20"/>
                  <w:szCs w:val="20"/>
                </w:rPr>
                <w:t>10.11C†</w:t>
              </w:r>
            </w:hyperlink>
          </w:p>
        </w:tc>
        <w:tc>
          <w:tcPr>
            <w:tcW w:w="0" w:type="auto"/>
            <w:gridSpan w:val="3"/>
            <w:shd w:val="clear" w:color="auto" w:fill="auto"/>
            <w:tcMar>
              <w:top w:w="0" w:type="dxa"/>
              <w:left w:w="20" w:type="dxa"/>
              <w:bottom w:w="0" w:type="dxa"/>
              <w:right w:w="20" w:type="dxa"/>
            </w:tcMar>
            <w:vAlign w:val="bottom"/>
          </w:tcPr>
          <w:p w14:paraId="5F2D6B3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3D" w14:textId="77777777" w:rsidR="00E836FB" w:rsidRDefault="00994958">
            <w:pPr>
              <w:textAlignment w:val="center"/>
            </w:pPr>
            <w:hyperlink r:id="rId161" w:history="1">
              <w:r>
                <w:rPr>
                  <w:rStyle w:val="a5"/>
                  <w:rFonts w:ascii="Arial" w:eastAsia="宋体" w:hAnsi="Arial" w:cs="Arial"/>
                  <w:sz w:val="20"/>
                  <w:szCs w:val="20"/>
                </w:rPr>
                <w:t>Form of Indemnification Agreement between State Street Bank and Trust Company and each of its directors (filed as Exhibit 10.18C to State Street's Annual Report o</w:t>
              </w:r>
              <w:r>
                <w:rPr>
                  <w:rStyle w:val="a5"/>
                  <w:rFonts w:ascii="Arial" w:eastAsia="宋体" w:hAnsi="Arial" w:cs="Arial"/>
                  <w:sz w:val="20"/>
                  <w:szCs w:val="20"/>
                </w:rPr>
                <w:t>n Form 10-K (File No. 001-07511) for the year ended December 31, 2013 filed with the SEC on February 21, 2014 and incorporated herein by reference)</w:t>
              </w:r>
            </w:hyperlink>
          </w:p>
        </w:tc>
      </w:tr>
      <w:tr w:rsidR="00E836FB" w14:paraId="5F2D6B43"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3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4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4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42" w14:textId="77777777" w:rsidR="00E836FB" w:rsidRDefault="00E836FB">
            <w:pPr>
              <w:rPr>
                <w:rFonts w:ascii="宋体"/>
              </w:rPr>
            </w:pPr>
          </w:p>
        </w:tc>
      </w:tr>
      <w:tr w:rsidR="00E836FB" w14:paraId="5F2D6B48" w14:textId="77777777">
        <w:trPr>
          <w:jc w:val="center"/>
        </w:trPr>
        <w:tc>
          <w:tcPr>
            <w:tcW w:w="0" w:type="auto"/>
            <w:gridSpan w:val="3"/>
            <w:shd w:val="clear" w:color="auto" w:fill="auto"/>
            <w:tcMar>
              <w:top w:w="0" w:type="dxa"/>
              <w:left w:w="20" w:type="dxa"/>
              <w:bottom w:w="0" w:type="dxa"/>
              <w:right w:w="20" w:type="dxa"/>
            </w:tcMar>
            <w:vAlign w:val="bottom"/>
          </w:tcPr>
          <w:p w14:paraId="5F2D6B4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45" w14:textId="77777777" w:rsidR="00E836FB" w:rsidRDefault="00994958">
            <w:pPr>
              <w:textAlignment w:val="center"/>
            </w:pPr>
            <w:hyperlink r:id="rId162" w:history="1">
              <w:r>
                <w:rPr>
                  <w:rStyle w:val="a5"/>
                  <w:rFonts w:ascii="Arial" w:eastAsia="宋体" w:hAnsi="Arial" w:cs="Arial"/>
                  <w:sz w:val="20"/>
                  <w:szCs w:val="20"/>
                </w:rPr>
                <w:t>10.11D†</w:t>
              </w:r>
            </w:hyperlink>
          </w:p>
        </w:tc>
        <w:tc>
          <w:tcPr>
            <w:tcW w:w="0" w:type="auto"/>
            <w:gridSpan w:val="3"/>
            <w:shd w:val="clear" w:color="auto" w:fill="auto"/>
            <w:tcMar>
              <w:top w:w="0" w:type="dxa"/>
              <w:left w:w="20" w:type="dxa"/>
              <w:bottom w:w="0" w:type="dxa"/>
              <w:right w:w="20" w:type="dxa"/>
            </w:tcMar>
            <w:vAlign w:val="bottom"/>
          </w:tcPr>
          <w:p w14:paraId="5F2D6B4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47" w14:textId="77777777" w:rsidR="00E836FB" w:rsidRDefault="00994958">
            <w:pPr>
              <w:textAlignment w:val="center"/>
            </w:pPr>
            <w:hyperlink r:id="rId163" w:history="1">
              <w:r>
                <w:rPr>
                  <w:rStyle w:val="a5"/>
                  <w:rFonts w:ascii="Arial" w:eastAsia="宋体" w:hAnsi="Arial" w:cs="Arial"/>
                  <w:sz w:val="20"/>
                  <w:szCs w:val="20"/>
                </w:rPr>
                <w:t>Form of Indemnification Agreement between State Street B</w:t>
              </w:r>
              <w:r>
                <w:rPr>
                  <w:rStyle w:val="a5"/>
                  <w:rFonts w:ascii="Arial" w:eastAsia="宋体" w:hAnsi="Arial" w:cs="Arial"/>
                  <w:sz w:val="20"/>
                  <w:szCs w:val="20"/>
                </w:rPr>
                <w:t>ank and Trust Company and each of its executive officers (filed as Exhibit 10.18D to State Street's Annual Report on Form 10-K (File No. 001-07511) for the year ended December 31, 2013 filed with the SEC on February 21, 2014 and incorporated herein by refe</w:t>
              </w:r>
              <w:r>
                <w:rPr>
                  <w:rStyle w:val="a5"/>
                  <w:rFonts w:ascii="Arial" w:eastAsia="宋体" w:hAnsi="Arial" w:cs="Arial"/>
                  <w:sz w:val="20"/>
                  <w:szCs w:val="20"/>
                </w:rPr>
                <w:t>rence)</w:t>
              </w:r>
            </w:hyperlink>
          </w:p>
        </w:tc>
      </w:tr>
      <w:tr w:rsidR="00E836FB" w14:paraId="5F2D6B4D"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4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4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4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4C" w14:textId="77777777" w:rsidR="00E836FB" w:rsidRDefault="00E836FB">
            <w:pPr>
              <w:rPr>
                <w:rFonts w:ascii="宋体"/>
              </w:rPr>
            </w:pPr>
          </w:p>
        </w:tc>
      </w:tr>
      <w:tr w:rsidR="00E836FB" w14:paraId="5F2D6B52" w14:textId="77777777">
        <w:trPr>
          <w:trHeight w:val="400"/>
          <w:jc w:val="center"/>
        </w:trPr>
        <w:tc>
          <w:tcPr>
            <w:tcW w:w="0" w:type="auto"/>
            <w:gridSpan w:val="3"/>
            <w:shd w:val="clear" w:color="auto" w:fill="auto"/>
            <w:tcMar>
              <w:top w:w="0" w:type="dxa"/>
              <w:left w:w="20" w:type="dxa"/>
              <w:bottom w:w="0" w:type="dxa"/>
              <w:right w:w="20" w:type="dxa"/>
            </w:tcMar>
            <w:vAlign w:val="bottom"/>
          </w:tcPr>
          <w:p w14:paraId="5F2D6B4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4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5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51" w14:textId="77777777" w:rsidR="00E836FB" w:rsidRDefault="00E836FB">
            <w:pPr>
              <w:rPr>
                <w:rFonts w:ascii="宋体"/>
              </w:rPr>
            </w:pPr>
          </w:p>
        </w:tc>
      </w:tr>
      <w:tr w:rsidR="00E836FB" w14:paraId="5F2D6B57" w14:textId="77777777">
        <w:trPr>
          <w:jc w:val="center"/>
        </w:trPr>
        <w:tc>
          <w:tcPr>
            <w:tcW w:w="0" w:type="auto"/>
            <w:gridSpan w:val="3"/>
            <w:shd w:val="clear" w:color="auto" w:fill="auto"/>
            <w:tcMar>
              <w:top w:w="0" w:type="dxa"/>
              <w:left w:w="20" w:type="dxa"/>
              <w:bottom w:w="0" w:type="dxa"/>
              <w:right w:w="20" w:type="dxa"/>
            </w:tcMar>
            <w:vAlign w:val="bottom"/>
          </w:tcPr>
          <w:p w14:paraId="5F2D6B5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54" w14:textId="77777777" w:rsidR="00E836FB" w:rsidRDefault="00994958">
            <w:pPr>
              <w:textAlignment w:val="center"/>
            </w:pPr>
            <w:hyperlink r:id="rId164" w:history="1">
              <w:r>
                <w:rPr>
                  <w:rStyle w:val="a5"/>
                  <w:rFonts w:ascii="Arial" w:eastAsia="宋体" w:hAnsi="Arial" w:cs="Arial"/>
                  <w:sz w:val="20"/>
                  <w:szCs w:val="20"/>
                </w:rPr>
                <w:t>10.12†</w:t>
              </w:r>
            </w:hyperlink>
          </w:p>
        </w:tc>
        <w:tc>
          <w:tcPr>
            <w:tcW w:w="0" w:type="auto"/>
            <w:gridSpan w:val="3"/>
            <w:shd w:val="clear" w:color="auto" w:fill="auto"/>
            <w:tcMar>
              <w:top w:w="0" w:type="dxa"/>
              <w:left w:w="20" w:type="dxa"/>
              <w:bottom w:w="0" w:type="dxa"/>
              <w:right w:w="20" w:type="dxa"/>
            </w:tcMar>
            <w:vAlign w:val="bottom"/>
          </w:tcPr>
          <w:p w14:paraId="5F2D6B5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56" w14:textId="77777777" w:rsidR="00E836FB" w:rsidRDefault="00994958">
            <w:pPr>
              <w:textAlignment w:val="center"/>
            </w:pPr>
            <w:hyperlink r:id="rId165" w:history="1">
              <w:r>
                <w:rPr>
                  <w:rStyle w:val="a5"/>
                  <w:rFonts w:ascii="Arial" w:eastAsia="宋体" w:hAnsi="Arial" w:cs="Arial"/>
                  <w:sz w:val="20"/>
                  <w:szCs w:val="20"/>
                </w:rPr>
                <w:t>Form of employment agreement for executive officers in the United States and Hong Kong (filed as Exhibit 10.1 to State Street’s Quarterly Report on F</w:t>
              </w:r>
              <w:r>
                <w:rPr>
                  <w:rStyle w:val="a5"/>
                  <w:rFonts w:ascii="Arial" w:eastAsia="宋体" w:hAnsi="Arial" w:cs="Arial"/>
                  <w:sz w:val="20"/>
                  <w:szCs w:val="20"/>
                </w:rPr>
                <w:t>orm 10-Q (File No. 001-07511) for the quarter ended March 31, 2020 filed with the SEC on April 28, 2020 and incorporated herein by reference)</w:t>
              </w:r>
            </w:hyperlink>
          </w:p>
        </w:tc>
      </w:tr>
      <w:tr w:rsidR="00E836FB" w14:paraId="5F2D6B5C" w14:textId="77777777">
        <w:trPr>
          <w:trHeight w:val="100"/>
          <w:jc w:val="center"/>
        </w:trPr>
        <w:tc>
          <w:tcPr>
            <w:tcW w:w="0" w:type="auto"/>
            <w:gridSpan w:val="3"/>
            <w:shd w:val="clear" w:color="auto" w:fill="auto"/>
            <w:tcMar>
              <w:top w:w="0" w:type="dxa"/>
              <w:left w:w="20" w:type="dxa"/>
              <w:bottom w:w="0" w:type="dxa"/>
              <w:right w:w="20" w:type="dxa"/>
            </w:tcMar>
            <w:vAlign w:val="bottom"/>
          </w:tcPr>
          <w:p w14:paraId="5F2D6B5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5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5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5B" w14:textId="77777777" w:rsidR="00E836FB" w:rsidRDefault="00E836FB">
            <w:pPr>
              <w:rPr>
                <w:rFonts w:ascii="宋体"/>
              </w:rPr>
            </w:pPr>
          </w:p>
        </w:tc>
      </w:tr>
      <w:tr w:rsidR="00E836FB" w14:paraId="5F2D6B61"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5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5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5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60" w14:textId="77777777" w:rsidR="00E836FB" w:rsidRDefault="00E836FB">
            <w:pPr>
              <w:rPr>
                <w:rFonts w:ascii="宋体"/>
              </w:rPr>
            </w:pPr>
          </w:p>
        </w:tc>
      </w:tr>
      <w:tr w:rsidR="00E836FB" w14:paraId="5F2D6B66" w14:textId="77777777">
        <w:trPr>
          <w:jc w:val="center"/>
        </w:trPr>
        <w:tc>
          <w:tcPr>
            <w:tcW w:w="0" w:type="auto"/>
            <w:gridSpan w:val="3"/>
            <w:shd w:val="clear" w:color="auto" w:fill="auto"/>
            <w:tcMar>
              <w:top w:w="0" w:type="dxa"/>
              <w:left w:w="20" w:type="dxa"/>
              <w:bottom w:w="0" w:type="dxa"/>
              <w:right w:w="20" w:type="dxa"/>
            </w:tcMar>
            <w:vAlign w:val="bottom"/>
          </w:tcPr>
          <w:p w14:paraId="5F2D6B6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63" w14:textId="77777777" w:rsidR="00E836FB" w:rsidRDefault="00994958">
            <w:pPr>
              <w:textAlignment w:val="center"/>
            </w:pPr>
            <w:hyperlink r:id="rId166" w:history="1">
              <w:r>
                <w:rPr>
                  <w:rStyle w:val="a5"/>
                  <w:rFonts w:ascii="Arial" w:eastAsia="宋体" w:hAnsi="Arial" w:cs="Arial"/>
                  <w:sz w:val="20"/>
                  <w:szCs w:val="20"/>
                </w:rPr>
                <w:t>10.13†</w:t>
              </w:r>
            </w:hyperlink>
          </w:p>
        </w:tc>
        <w:tc>
          <w:tcPr>
            <w:tcW w:w="0" w:type="auto"/>
            <w:gridSpan w:val="3"/>
            <w:shd w:val="clear" w:color="auto" w:fill="auto"/>
            <w:tcMar>
              <w:top w:w="0" w:type="dxa"/>
              <w:left w:w="20" w:type="dxa"/>
              <w:bottom w:w="0" w:type="dxa"/>
              <w:right w:w="20" w:type="dxa"/>
            </w:tcMar>
            <w:vAlign w:val="bottom"/>
          </w:tcPr>
          <w:p w14:paraId="5F2D6B6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65" w14:textId="77777777" w:rsidR="00E836FB" w:rsidRDefault="00994958">
            <w:pPr>
              <w:textAlignment w:val="center"/>
            </w:pPr>
            <w:hyperlink r:id="rId167" w:history="1">
              <w:r>
                <w:rPr>
                  <w:rStyle w:val="a5"/>
                  <w:rFonts w:ascii="Arial" w:eastAsia="宋体" w:hAnsi="Arial" w:cs="Arial"/>
                  <w:sz w:val="20"/>
                  <w:szCs w:val="20"/>
                </w:rPr>
                <w:t>Employment Letter Agreements entered into with Andrew Erickso</w:t>
              </w:r>
              <w:r>
                <w:rPr>
                  <w:rStyle w:val="a5"/>
                  <w:rFonts w:ascii="Arial" w:eastAsia="宋体" w:hAnsi="Arial" w:cs="Arial"/>
                  <w:sz w:val="20"/>
                  <w:szCs w:val="20"/>
                </w:rPr>
                <w:t>n dated August 21, 2012, November 19, 2012, and May 25, 2016 (filed as Exhibit 10.2 to State Street’s Quarterly Report on Form 10-Q (File No. 001-07511) for the quarter ended March 31, 2018 filed with the SEC on May 3, 2018 and incorporated herein by refer</w:t>
              </w:r>
              <w:r>
                <w:rPr>
                  <w:rStyle w:val="a5"/>
                  <w:rFonts w:ascii="Arial" w:eastAsia="宋体" w:hAnsi="Arial" w:cs="Arial"/>
                  <w:sz w:val="20"/>
                  <w:szCs w:val="20"/>
                </w:rPr>
                <w:t>ence)</w:t>
              </w:r>
            </w:hyperlink>
          </w:p>
        </w:tc>
      </w:tr>
      <w:tr w:rsidR="00E836FB" w14:paraId="5F2D6B6B"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6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6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6A" w14:textId="77777777" w:rsidR="00E836FB" w:rsidRDefault="00E836FB">
            <w:pPr>
              <w:rPr>
                <w:rFonts w:ascii="宋体"/>
              </w:rPr>
            </w:pPr>
          </w:p>
        </w:tc>
      </w:tr>
      <w:tr w:rsidR="00E836FB" w14:paraId="5F2D6B70" w14:textId="77777777">
        <w:trPr>
          <w:jc w:val="center"/>
        </w:trPr>
        <w:tc>
          <w:tcPr>
            <w:tcW w:w="0" w:type="auto"/>
            <w:gridSpan w:val="3"/>
            <w:shd w:val="clear" w:color="auto" w:fill="auto"/>
            <w:tcMar>
              <w:top w:w="0" w:type="dxa"/>
              <w:left w:w="20" w:type="dxa"/>
              <w:bottom w:w="0" w:type="dxa"/>
              <w:right w:w="20" w:type="dxa"/>
            </w:tcMar>
            <w:vAlign w:val="bottom"/>
          </w:tcPr>
          <w:p w14:paraId="5F2D6B6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6D" w14:textId="77777777" w:rsidR="00E836FB" w:rsidRDefault="00994958">
            <w:pPr>
              <w:textAlignment w:val="center"/>
            </w:pPr>
            <w:hyperlink r:id="rId168" w:history="1">
              <w:r>
                <w:rPr>
                  <w:rStyle w:val="a5"/>
                  <w:rFonts w:ascii="Arial" w:eastAsia="宋体" w:hAnsi="Arial" w:cs="Arial"/>
                  <w:sz w:val="20"/>
                  <w:szCs w:val="20"/>
                </w:rPr>
                <w:t>10.14†</w:t>
              </w:r>
            </w:hyperlink>
          </w:p>
        </w:tc>
        <w:tc>
          <w:tcPr>
            <w:tcW w:w="0" w:type="auto"/>
            <w:gridSpan w:val="3"/>
            <w:shd w:val="clear" w:color="auto" w:fill="auto"/>
            <w:tcMar>
              <w:top w:w="0" w:type="dxa"/>
              <w:left w:w="20" w:type="dxa"/>
              <w:bottom w:w="0" w:type="dxa"/>
              <w:right w:w="20" w:type="dxa"/>
            </w:tcMar>
            <w:vAlign w:val="bottom"/>
          </w:tcPr>
          <w:p w14:paraId="5F2D6B6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6F" w14:textId="77777777" w:rsidR="00E836FB" w:rsidRDefault="00994958">
            <w:pPr>
              <w:textAlignment w:val="center"/>
            </w:pPr>
            <w:hyperlink r:id="rId169" w:history="1">
              <w:r>
                <w:rPr>
                  <w:rStyle w:val="a5"/>
                  <w:rFonts w:ascii="Arial" w:eastAsia="宋体" w:hAnsi="Arial" w:cs="Arial"/>
                  <w:sz w:val="20"/>
                  <w:szCs w:val="20"/>
                </w:rPr>
                <w:t>Employment Letter Agreement entered into with Eric Aboaf dated September 22, 2016 (filed as Exhibit 10.1 to State Street's Current Report on Form 8-K (File No. 001-</w:t>
              </w:r>
              <w:r>
                <w:rPr>
                  <w:rStyle w:val="a5"/>
                  <w:rFonts w:ascii="Arial" w:eastAsia="宋体" w:hAnsi="Arial" w:cs="Arial"/>
                  <w:sz w:val="20"/>
                  <w:szCs w:val="20"/>
                </w:rPr>
                <w:t>07511) dated September 28, 2016 filed with the SEC on September 28, 2016 and incorporated herein by reference)</w:t>
              </w:r>
            </w:hyperlink>
          </w:p>
        </w:tc>
      </w:tr>
      <w:tr w:rsidR="00E836FB" w14:paraId="5F2D6B75"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7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4" w14:textId="77777777" w:rsidR="00E836FB" w:rsidRDefault="00E836FB">
            <w:pPr>
              <w:rPr>
                <w:rFonts w:ascii="宋体"/>
              </w:rPr>
            </w:pPr>
          </w:p>
        </w:tc>
      </w:tr>
      <w:tr w:rsidR="00E836FB" w14:paraId="5F2D6B7A"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7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9" w14:textId="77777777" w:rsidR="00E836FB" w:rsidRDefault="00E836FB">
            <w:pPr>
              <w:rPr>
                <w:rFonts w:ascii="宋体"/>
              </w:rPr>
            </w:pPr>
          </w:p>
        </w:tc>
      </w:tr>
      <w:tr w:rsidR="00E836FB" w14:paraId="5F2D6B7F" w14:textId="77777777">
        <w:trPr>
          <w:trHeight w:val="100"/>
          <w:jc w:val="center"/>
        </w:trPr>
        <w:tc>
          <w:tcPr>
            <w:tcW w:w="0" w:type="auto"/>
            <w:gridSpan w:val="3"/>
            <w:shd w:val="clear" w:color="auto" w:fill="auto"/>
            <w:tcMar>
              <w:top w:w="0" w:type="dxa"/>
              <w:left w:w="20" w:type="dxa"/>
              <w:bottom w:w="0" w:type="dxa"/>
              <w:right w:w="20" w:type="dxa"/>
            </w:tcMar>
            <w:vAlign w:val="bottom"/>
          </w:tcPr>
          <w:p w14:paraId="5F2D6B7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7E" w14:textId="77777777" w:rsidR="00E836FB" w:rsidRDefault="00E836FB">
            <w:pPr>
              <w:rPr>
                <w:rFonts w:ascii="宋体"/>
              </w:rPr>
            </w:pPr>
          </w:p>
        </w:tc>
      </w:tr>
    </w:tbl>
    <w:p w14:paraId="5F2D6B80" w14:textId="77777777" w:rsidR="00E836FB" w:rsidRDefault="00994958">
      <w:pPr>
        <w:ind w:firstLine="450"/>
        <w:jc w:val="right"/>
      </w:pPr>
      <w:r>
        <w:rPr>
          <w:rFonts w:ascii="Arial" w:eastAsia="宋体" w:hAnsi="Arial" w:cs="Arial"/>
          <w:color w:val="000000"/>
          <w:sz w:val="18"/>
          <w:szCs w:val="18"/>
        </w:rPr>
        <w:t>State Street Corporation | 196</w:t>
      </w:r>
    </w:p>
    <w:p w14:paraId="5F2D6B81" w14:textId="77777777" w:rsidR="00E836FB" w:rsidRDefault="00E836FB">
      <w:pPr>
        <w:ind w:firstLine="450"/>
        <w:jc w:val="center"/>
      </w:pPr>
    </w:p>
    <w:p w14:paraId="5F2D6B82" w14:textId="77777777" w:rsidR="00E836FB" w:rsidRDefault="00994958">
      <w:r>
        <w:pict w14:anchorId="5F2D6E49">
          <v:rect id="_x0000_i1220" style="width:415.3pt;height:1.5pt" o:hralign="center" o:hrstd="t" o:hr="t" fillcolor="#a0a0a0" stroked="f"/>
        </w:pict>
      </w:r>
    </w:p>
    <w:p w14:paraId="5F2D6B83" w14:textId="77777777" w:rsidR="00E836FB" w:rsidRDefault="00E836FB">
      <w:pPr>
        <w:ind w:firstLine="450"/>
      </w:pP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114"/>
        <w:gridCol w:w="36"/>
        <w:gridCol w:w="72"/>
        <w:gridCol w:w="849"/>
        <w:gridCol w:w="36"/>
        <w:gridCol w:w="36"/>
        <w:gridCol w:w="36"/>
        <w:gridCol w:w="36"/>
        <w:gridCol w:w="38"/>
        <w:gridCol w:w="6997"/>
        <w:gridCol w:w="37"/>
      </w:tblGrid>
      <w:tr w:rsidR="00E836FB" w14:paraId="5F2D6B90" w14:textId="77777777">
        <w:trPr>
          <w:jc w:val="center"/>
        </w:trPr>
        <w:tc>
          <w:tcPr>
            <w:tcW w:w="5" w:type="pct"/>
            <w:shd w:val="clear" w:color="auto" w:fill="auto"/>
            <w:vAlign w:val="bottom"/>
          </w:tcPr>
          <w:p w14:paraId="5F2D6B84" w14:textId="77777777" w:rsidR="00E836FB" w:rsidRDefault="00E836FB">
            <w:pPr>
              <w:rPr>
                <w:rFonts w:ascii="宋体"/>
              </w:rPr>
            </w:pPr>
          </w:p>
        </w:tc>
        <w:tc>
          <w:tcPr>
            <w:tcW w:w="85" w:type="pct"/>
            <w:shd w:val="clear" w:color="auto" w:fill="auto"/>
            <w:vAlign w:val="bottom"/>
          </w:tcPr>
          <w:p w14:paraId="5F2D6B85" w14:textId="77777777" w:rsidR="00E836FB" w:rsidRDefault="00E836FB">
            <w:pPr>
              <w:rPr>
                <w:rFonts w:ascii="宋体"/>
              </w:rPr>
            </w:pPr>
          </w:p>
        </w:tc>
        <w:tc>
          <w:tcPr>
            <w:tcW w:w="5" w:type="pct"/>
            <w:shd w:val="clear" w:color="auto" w:fill="auto"/>
            <w:vAlign w:val="bottom"/>
          </w:tcPr>
          <w:p w14:paraId="5F2D6B86" w14:textId="77777777" w:rsidR="00E836FB" w:rsidRDefault="00E836FB">
            <w:pPr>
              <w:rPr>
                <w:rFonts w:ascii="宋体"/>
              </w:rPr>
            </w:pPr>
          </w:p>
        </w:tc>
        <w:tc>
          <w:tcPr>
            <w:tcW w:w="50" w:type="pct"/>
            <w:shd w:val="clear" w:color="auto" w:fill="auto"/>
            <w:vAlign w:val="bottom"/>
          </w:tcPr>
          <w:p w14:paraId="5F2D6B87" w14:textId="77777777" w:rsidR="00E836FB" w:rsidRDefault="00E836FB">
            <w:pPr>
              <w:rPr>
                <w:rFonts w:ascii="宋体"/>
              </w:rPr>
            </w:pPr>
          </w:p>
        </w:tc>
        <w:tc>
          <w:tcPr>
            <w:tcW w:w="537" w:type="pct"/>
            <w:shd w:val="clear" w:color="auto" w:fill="auto"/>
            <w:vAlign w:val="bottom"/>
          </w:tcPr>
          <w:p w14:paraId="5F2D6B88" w14:textId="77777777" w:rsidR="00E836FB" w:rsidRDefault="00E836FB">
            <w:pPr>
              <w:rPr>
                <w:rFonts w:ascii="宋体"/>
              </w:rPr>
            </w:pPr>
          </w:p>
        </w:tc>
        <w:tc>
          <w:tcPr>
            <w:tcW w:w="5" w:type="pct"/>
            <w:shd w:val="clear" w:color="auto" w:fill="auto"/>
            <w:vAlign w:val="bottom"/>
          </w:tcPr>
          <w:p w14:paraId="5F2D6B89" w14:textId="77777777" w:rsidR="00E836FB" w:rsidRDefault="00E836FB">
            <w:pPr>
              <w:rPr>
                <w:rFonts w:ascii="宋体"/>
              </w:rPr>
            </w:pPr>
          </w:p>
        </w:tc>
        <w:tc>
          <w:tcPr>
            <w:tcW w:w="5" w:type="pct"/>
            <w:shd w:val="clear" w:color="auto" w:fill="auto"/>
            <w:vAlign w:val="bottom"/>
          </w:tcPr>
          <w:p w14:paraId="5F2D6B8A" w14:textId="77777777" w:rsidR="00E836FB" w:rsidRDefault="00E836FB">
            <w:pPr>
              <w:rPr>
                <w:rFonts w:ascii="宋体"/>
              </w:rPr>
            </w:pPr>
          </w:p>
        </w:tc>
        <w:tc>
          <w:tcPr>
            <w:tcW w:w="26" w:type="pct"/>
            <w:shd w:val="clear" w:color="auto" w:fill="auto"/>
            <w:vAlign w:val="bottom"/>
          </w:tcPr>
          <w:p w14:paraId="5F2D6B8B" w14:textId="77777777" w:rsidR="00E836FB" w:rsidRDefault="00E836FB">
            <w:pPr>
              <w:rPr>
                <w:rFonts w:ascii="宋体"/>
              </w:rPr>
            </w:pPr>
          </w:p>
        </w:tc>
        <w:tc>
          <w:tcPr>
            <w:tcW w:w="5" w:type="pct"/>
            <w:shd w:val="clear" w:color="auto" w:fill="auto"/>
            <w:vAlign w:val="bottom"/>
          </w:tcPr>
          <w:p w14:paraId="5F2D6B8C" w14:textId="77777777" w:rsidR="00E836FB" w:rsidRDefault="00E836FB">
            <w:pPr>
              <w:rPr>
                <w:rFonts w:ascii="宋体"/>
              </w:rPr>
            </w:pPr>
          </w:p>
        </w:tc>
        <w:tc>
          <w:tcPr>
            <w:tcW w:w="50" w:type="pct"/>
            <w:shd w:val="clear" w:color="auto" w:fill="auto"/>
            <w:vAlign w:val="bottom"/>
          </w:tcPr>
          <w:p w14:paraId="5F2D6B8D" w14:textId="77777777" w:rsidR="00E836FB" w:rsidRDefault="00E836FB">
            <w:pPr>
              <w:rPr>
                <w:rFonts w:ascii="宋体"/>
              </w:rPr>
            </w:pPr>
          </w:p>
        </w:tc>
        <w:tc>
          <w:tcPr>
            <w:tcW w:w="4220" w:type="pct"/>
            <w:shd w:val="clear" w:color="auto" w:fill="auto"/>
            <w:vAlign w:val="bottom"/>
          </w:tcPr>
          <w:p w14:paraId="5F2D6B8E" w14:textId="77777777" w:rsidR="00E836FB" w:rsidRDefault="00E836FB">
            <w:pPr>
              <w:rPr>
                <w:rFonts w:ascii="宋体"/>
              </w:rPr>
            </w:pPr>
          </w:p>
        </w:tc>
        <w:tc>
          <w:tcPr>
            <w:tcW w:w="5" w:type="pct"/>
            <w:shd w:val="clear" w:color="auto" w:fill="auto"/>
            <w:vAlign w:val="bottom"/>
          </w:tcPr>
          <w:p w14:paraId="5F2D6B8F" w14:textId="77777777" w:rsidR="00E836FB" w:rsidRDefault="00E836FB">
            <w:pPr>
              <w:rPr>
                <w:rFonts w:ascii="宋体"/>
              </w:rPr>
            </w:pPr>
          </w:p>
        </w:tc>
      </w:tr>
      <w:tr w:rsidR="00E836FB" w14:paraId="5F2D6B95" w14:textId="77777777">
        <w:trPr>
          <w:jc w:val="center"/>
        </w:trPr>
        <w:tc>
          <w:tcPr>
            <w:tcW w:w="0" w:type="auto"/>
            <w:gridSpan w:val="3"/>
            <w:shd w:val="clear" w:color="auto" w:fill="auto"/>
            <w:tcMar>
              <w:top w:w="0" w:type="dxa"/>
              <w:left w:w="20" w:type="dxa"/>
              <w:bottom w:w="0" w:type="dxa"/>
              <w:right w:w="20" w:type="dxa"/>
            </w:tcMar>
            <w:vAlign w:val="bottom"/>
          </w:tcPr>
          <w:p w14:paraId="5F2D6B9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92" w14:textId="77777777" w:rsidR="00E836FB" w:rsidRDefault="00994958">
            <w:pPr>
              <w:textAlignment w:val="center"/>
            </w:pPr>
            <w:hyperlink r:id="rId170" w:history="1">
              <w:r>
                <w:rPr>
                  <w:rStyle w:val="a5"/>
                  <w:rFonts w:ascii="Arial" w:eastAsia="宋体" w:hAnsi="Arial" w:cs="Arial"/>
                  <w:sz w:val="20"/>
                  <w:szCs w:val="20"/>
                </w:rPr>
                <w:t>10.15†</w:t>
              </w:r>
            </w:hyperlink>
          </w:p>
        </w:tc>
        <w:tc>
          <w:tcPr>
            <w:tcW w:w="0" w:type="auto"/>
            <w:gridSpan w:val="3"/>
            <w:shd w:val="clear" w:color="auto" w:fill="auto"/>
            <w:tcMar>
              <w:top w:w="0" w:type="dxa"/>
              <w:left w:w="20" w:type="dxa"/>
              <w:bottom w:w="0" w:type="dxa"/>
              <w:right w:w="20" w:type="dxa"/>
            </w:tcMar>
            <w:vAlign w:val="bottom"/>
          </w:tcPr>
          <w:p w14:paraId="5F2D6B9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94" w14:textId="77777777" w:rsidR="00E836FB" w:rsidRDefault="00994958">
            <w:pPr>
              <w:textAlignment w:val="center"/>
            </w:pPr>
            <w:hyperlink r:id="rId171" w:history="1">
              <w:r>
                <w:rPr>
                  <w:rStyle w:val="a5"/>
                  <w:rFonts w:ascii="Arial" w:eastAsia="宋体" w:hAnsi="Arial" w:cs="Arial"/>
                  <w:sz w:val="20"/>
                  <w:szCs w:val="20"/>
                </w:rPr>
                <w:t>Francisco Aristeguieta Employment Let</w:t>
              </w:r>
              <w:r>
                <w:rPr>
                  <w:rStyle w:val="a5"/>
                  <w:rFonts w:ascii="Arial" w:eastAsia="宋体" w:hAnsi="Arial" w:cs="Arial"/>
                  <w:sz w:val="20"/>
                  <w:szCs w:val="20"/>
                </w:rPr>
                <w:t>ter Agreement dated June 22, 2021 and Confidentiality, Intellectual Property and Restrictive Covenant Protective Agreement dated July 15, 2019 (filed as Exhibit 10.1 to State Street’s Quarterly Report on Form 10-Q (File No. 001-07511) for the quarter ended</w:t>
              </w:r>
              <w:r>
                <w:rPr>
                  <w:rStyle w:val="a5"/>
                  <w:rFonts w:ascii="Arial" w:eastAsia="宋体" w:hAnsi="Arial" w:cs="Arial"/>
                  <w:sz w:val="20"/>
                  <w:szCs w:val="20"/>
                </w:rPr>
                <w:t xml:space="preserve"> June 30, 2021 filed with the SEC on July 23, 2021 and incorporated herein by reference)</w:t>
              </w:r>
            </w:hyperlink>
          </w:p>
        </w:tc>
      </w:tr>
      <w:tr w:rsidR="00E836FB" w14:paraId="5F2D6B9A" w14:textId="77777777">
        <w:trPr>
          <w:jc w:val="center"/>
        </w:trPr>
        <w:tc>
          <w:tcPr>
            <w:tcW w:w="0" w:type="auto"/>
            <w:gridSpan w:val="3"/>
            <w:shd w:val="clear" w:color="auto" w:fill="auto"/>
            <w:tcMar>
              <w:top w:w="0" w:type="dxa"/>
              <w:left w:w="20" w:type="dxa"/>
              <w:bottom w:w="0" w:type="dxa"/>
              <w:right w:w="20" w:type="dxa"/>
            </w:tcMar>
            <w:vAlign w:val="bottom"/>
          </w:tcPr>
          <w:p w14:paraId="5F2D6B9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97" w14:textId="77777777" w:rsidR="00E836FB" w:rsidRDefault="00994958">
            <w:pPr>
              <w:textAlignment w:val="center"/>
            </w:pPr>
            <w:hyperlink r:id="rId172" w:history="1">
              <w:r>
                <w:rPr>
                  <w:rStyle w:val="a5"/>
                  <w:rFonts w:ascii="Arial" w:eastAsia="宋体" w:hAnsi="Arial" w:cs="Arial"/>
                  <w:sz w:val="20"/>
                  <w:szCs w:val="20"/>
                </w:rPr>
                <w:t>10.16†</w:t>
              </w:r>
            </w:hyperlink>
          </w:p>
        </w:tc>
        <w:tc>
          <w:tcPr>
            <w:tcW w:w="0" w:type="auto"/>
            <w:gridSpan w:val="3"/>
            <w:shd w:val="clear" w:color="auto" w:fill="auto"/>
            <w:tcMar>
              <w:top w:w="0" w:type="dxa"/>
              <w:left w:w="20" w:type="dxa"/>
              <w:bottom w:w="0" w:type="dxa"/>
              <w:right w:w="20" w:type="dxa"/>
            </w:tcMar>
            <w:vAlign w:val="bottom"/>
          </w:tcPr>
          <w:p w14:paraId="5F2D6B9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99" w14:textId="77777777" w:rsidR="00E836FB" w:rsidRDefault="00994958">
            <w:pPr>
              <w:textAlignment w:val="center"/>
            </w:pPr>
            <w:hyperlink r:id="rId173" w:history="1">
              <w:r>
                <w:rPr>
                  <w:rStyle w:val="a5"/>
                  <w:rFonts w:ascii="Arial" w:eastAsia="宋体" w:hAnsi="Arial" w:cs="Arial"/>
                  <w:sz w:val="20"/>
                  <w:szCs w:val="20"/>
                </w:rPr>
                <w:t>State Street Corporation Incent</w:t>
              </w:r>
              <w:r>
                <w:rPr>
                  <w:rStyle w:val="a5"/>
                  <w:rFonts w:ascii="Arial" w:eastAsia="宋体" w:hAnsi="Arial" w:cs="Arial"/>
                  <w:sz w:val="20"/>
                  <w:szCs w:val="20"/>
                </w:rPr>
                <w:t>ive Compensation Program, Effective January 1, 2019 (filed as Exhibit 10.24 to State Street's Annual Report on Form 10-K (File No. 001-07511) for the year ended December 31, 2018 filed with the SEC on February 21, 2019 and incorporated herein by reference)</w:t>
              </w:r>
            </w:hyperlink>
          </w:p>
        </w:tc>
      </w:tr>
      <w:tr w:rsidR="00E836FB" w14:paraId="5F2D6B9F" w14:textId="77777777">
        <w:trPr>
          <w:jc w:val="center"/>
        </w:trPr>
        <w:tc>
          <w:tcPr>
            <w:tcW w:w="0" w:type="auto"/>
            <w:gridSpan w:val="3"/>
            <w:shd w:val="clear" w:color="auto" w:fill="auto"/>
            <w:tcMar>
              <w:top w:w="0" w:type="dxa"/>
              <w:left w:w="20" w:type="dxa"/>
              <w:bottom w:w="0" w:type="dxa"/>
              <w:right w:w="20" w:type="dxa"/>
            </w:tcMar>
            <w:vAlign w:val="bottom"/>
          </w:tcPr>
          <w:p w14:paraId="5F2D6B9B"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9C" w14:textId="77777777" w:rsidR="00E836FB" w:rsidRDefault="00994958">
            <w:pPr>
              <w:textAlignment w:val="center"/>
            </w:pPr>
            <w:hyperlink r:id="rId174" w:history="1">
              <w:r>
                <w:rPr>
                  <w:rStyle w:val="a5"/>
                  <w:rFonts w:ascii="Arial" w:eastAsia="宋体" w:hAnsi="Arial" w:cs="Arial"/>
                  <w:sz w:val="20"/>
                  <w:szCs w:val="20"/>
                </w:rPr>
                <w:t>10.17†</w:t>
              </w:r>
            </w:hyperlink>
          </w:p>
        </w:tc>
        <w:tc>
          <w:tcPr>
            <w:tcW w:w="0" w:type="auto"/>
            <w:gridSpan w:val="3"/>
            <w:shd w:val="clear" w:color="auto" w:fill="auto"/>
            <w:tcMar>
              <w:top w:w="0" w:type="dxa"/>
              <w:left w:w="20" w:type="dxa"/>
              <w:bottom w:w="0" w:type="dxa"/>
              <w:right w:w="20" w:type="dxa"/>
            </w:tcMar>
            <w:vAlign w:val="bottom"/>
          </w:tcPr>
          <w:p w14:paraId="5F2D6B9D"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9E" w14:textId="77777777" w:rsidR="00E836FB" w:rsidRDefault="00994958">
            <w:pPr>
              <w:textAlignment w:val="center"/>
            </w:pPr>
            <w:hyperlink r:id="rId175" w:history="1">
              <w:r>
                <w:rPr>
                  <w:rStyle w:val="a5"/>
                  <w:rFonts w:ascii="Arial" w:eastAsia="宋体" w:hAnsi="Arial" w:cs="Arial"/>
                  <w:sz w:val="20"/>
                  <w:szCs w:val="20"/>
                </w:rPr>
                <w:t xml:space="preserve">State Street Corporation </w:t>
              </w:r>
              <w:r>
                <w:rPr>
                  <w:rStyle w:val="a5"/>
                  <w:rFonts w:ascii="Arial" w:eastAsia="宋体" w:hAnsi="Arial" w:cs="Arial"/>
                  <w:sz w:val="20"/>
                  <w:szCs w:val="20"/>
                </w:rPr>
                <w:t>Cash Award Plan, Effective January 1, 2019 (filed as Exhibit 10.25 to State Street's Annual Report on Form 10-K (File No. 001-07511) for the year ended December 31, 2018 filed with the SEC on February 21, 2019 and incorporated herein by reference)</w:t>
              </w:r>
            </w:hyperlink>
          </w:p>
        </w:tc>
      </w:tr>
      <w:tr w:rsidR="00E836FB" w14:paraId="5F2D6BA4"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A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A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A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A3" w14:textId="77777777" w:rsidR="00E836FB" w:rsidRDefault="00E836FB">
            <w:pPr>
              <w:rPr>
                <w:rFonts w:ascii="宋体"/>
              </w:rPr>
            </w:pPr>
          </w:p>
        </w:tc>
      </w:tr>
      <w:tr w:rsidR="00E836FB" w14:paraId="5F2D6BA9"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A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A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A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A8" w14:textId="77777777" w:rsidR="00E836FB" w:rsidRDefault="00E836FB">
            <w:pPr>
              <w:rPr>
                <w:rFonts w:ascii="宋体"/>
              </w:rPr>
            </w:pPr>
          </w:p>
        </w:tc>
      </w:tr>
      <w:tr w:rsidR="00E836FB" w14:paraId="5F2D6BAE" w14:textId="77777777">
        <w:trPr>
          <w:jc w:val="center"/>
        </w:trPr>
        <w:tc>
          <w:tcPr>
            <w:tcW w:w="0" w:type="auto"/>
            <w:gridSpan w:val="3"/>
            <w:shd w:val="clear" w:color="auto" w:fill="auto"/>
            <w:tcMar>
              <w:top w:w="0" w:type="dxa"/>
              <w:left w:w="20" w:type="dxa"/>
              <w:bottom w:w="0" w:type="dxa"/>
              <w:right w:w="20" w:type="dxa"/>
            </w:tcMar>
            <w:vAlign w:val="bottom"/>
          </w:tcPr>
          <w:p w14:paraId="5F2D6BA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AB" w14:textId="77777777" w:rsidR="00E836FB" w:rsidRDefault="00994958">
            <w:pPr>
              <w:textAlignment w:val="center"/>
            </w:pPr>
            <w:hyperlink r:id="rId176" w:history="1">
              <w:r>
                <w:rPr>
                  <w:rStyle w:val="a5"/>
                  <w:rFonts w:ascii="Arial" w:eastAsia="宋体" w:hAnsi="Arial" w:cs="Arial"/>
                  <w:sz w:val="20"/>
                  <w:szCs w:val="20"/>
                </w:rPr>
                <w:t>21</w:t>
              </w:r>
            </w:hyperlink>
          </w:p>
        </w:tc>
        <w:tc>
          <w:tcPr>
            <w:tcW w:w="0" w:type="auto"/>
            <w:gridSpan w:val="3"/>
            <w:shd w:val="clear" w:color="auto" w:fill="auto"/>
            <w:tcMar>
              <w:top w:w="0" w:type="dxa"/>
              <w:left w:w="20" w:type="dxa"/>
              <w:bottom w:w="0" w:type="dxa"/>
              <w:right w:w="20" w:type="dxa"/>
            </w:tcMar>
            <w:vAlign w:val="bottom"/>
          </w:tcPr>
          <w:p w14:paraId="5F2D6BA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AD" w14:textId="77777777" w:rsidR="00E836FB" w:rsidRDefault="00994958">
            <w:pPr>
              <w:textAlignment w:val="center"/>
            </w:pPr>
            <w:hyperlink r:id="rId177" w:history="1">
              <w:r>
                <w:rPr>
                  <w:rStyle w:val="a5"/>
                  <w:rFonts w:ascii="Arial" w:eastAsia="宋体" w:hAnsi="Arial" w:cs="Arial"/>
                  <w:sz w:val="20"/>
                  <w:szCs w:val="20"/>
                </w:rPr>
                <w:t>Subsidiaries of State Stree</w:t>
              </w:r>
              <w:r>
                <w:rPr>
                  <w:rStyle w:val="a5"/>
                  <w:rFonts w:ascii="Arial" w:eastAsia="宋体" w:hAnsi="Arial" w:cs="Arial"/>
                  <w:sz w:val="20"/>
                  <w:szCs w:val="20"/>
                </w:rPr>
                <w:t>t Corporation</w:t>
              </w:r>
            </w:hyperlink>
          </w:p>
        </w:tc>
      </w:tr>
      <w:tr w:rsidR="00E836FB" w14:paraId="5F2D6BB3"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A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B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B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B2" w14:textId="77777777" w:rsidR="00E836FB" w:rsidRDefault="00E836FB">
            <w:pPr>
              <w:rPr>
                <w:rFonts w:ascii="宋体"/>
              </w:rPr>
            </w:pPr>
          </w:p>
        </w:tc>
      </w:tr>
      <w:tr w:rsidR="00E836FB" w14:paraId="5F2D6BB8" w14:textId="77777777">
        <w:trPr>
          <w:jc w:val="center"/>
        </w:trPr>
        <w:tc>
          <w:tcPr>
            <w:tcW w:w="0" w:type="auto"/>
            <w:gridSpan w:val="3"/>
            <w:shd w:val="clear" w:color="auto" w:fill="auto"/>
            <w:tcMar>
              <w:top w:w="0" w:type="dxa"/>
              <w:left w:w="20" w:type="dxa"/>
              <w:bottom w:w="0" w:type="dxa"/>
              <w:right w:w="20" w:type="dxa"/>
            </w:tcMar>
            <w:vAlign w:val="bottom"/>
          </w:tcPr>
          <w:p w14:paraId="5F2D6BB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B5" w14:textId="77777777" w:rsidR="00E836FB" w:rsidRDefault="00994958">
            <w:pPr>
              <w:textAlignment w:val="center"/>
            </w:pPr>
            <w:hyperlink r:id="rId178" w:history="1">
              <w:r>
                <w:rPr>
                  <w:rStyle w:val="a5"/>
                  <w:rFonts w:ascii="Arial" w:eastAsia="宋体" w:hAnsi="Arial" w:cs="Arial"/>
                  <w:sz w:val="20"/>
                  <w:szCs w:val="20"/>
                </w:rPr>
                <w:t>23</w:t>
              </w:r>
            </w:hyperlink>
          </w:p>
        </w:tc>
        <w:tc>
          <w:tcPr>
            <w:tcW w:w="0" w:type="auto"/>
            <w:gridSpan w:val="3"/>
            <w:shd w:val="clear" w:color="auto" w:fill="auto"/>
            <w:tcMar>
              <w:top w:w="0" w:type="dxa"/>
              <w:left w:w="20" w:type="dxa"/>
              <w:bottom w:w="0" w:type="dxa"/>
              <w:right w:w="20" w:type="dxa"/>
            </w:tcMar>
            <w:vAlign w:val="bottom"/>
          </w:tcPr>
          <w:p w14:paraId="5F2D6BB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B7" w14:textId="77777777" w:rsidR="00E836FB" w:rsidRDefault="00994958">
            <w:pPr>
              <w:textAlignment w:val="center"/>
            </w:pPr>
            <w:hyperlink r:id="rId179" w:history="1">
              <w:r>
                <w:rPr>
                  <w:rStyle w:val="a5"/>
                  <w:rFonts w:ascii="Arial" w:eastAsia="宋体" w:hAnsi="Arial" w:cs="Arial"/>
                  <w:sz w:val="20"/>
                  <w:szCs w:val="20"/>
                </w:rPr>
                <w:t>Consent of Independent Registered Public Accounting Firm</w:t>
              </w:r>
            </w:hyperlink>
          </w:p>
        </w:tc>
      </w:tr>
      <w:tr w:rsidR="00E836FB" w14:paraId="5F2D6BBD"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B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B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B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BC" w14:textId="77777777" w:rsidR="00E836FB" w:rsidRDefault="00E836FB">
            <w:pPr>
              <w:rPr>
                <w:rFonts w:ascii="宋体"/>
              </w:rPr>
            </w:pPr>
          </w:p>
        </w:tc>
      </w:tr>
      <w:tr w:rsidR="00E836FB" w14:paraId="5F2D6BC2" w14:textId="77777777">
        <w:trPr>
          <w:jc w:val="center"/>
        </w:trPr>
        <w:tc>
          <w:tcPr>
            <w:tcW w:w="0" w:type="auto"/>
            <w:gridSpan w:val="3"/>
            <w:shd w:val="clear" w:color="auto" w:fill="auto"/>
            <w:tcMar>
              <w:top w:w="0" w:type="dxa"/>
              <w:left w:w="20" w:type="dxa"/>
              <w:bottom w:w="0" w:type="dxa"/>
              <w:right w:w="20" w:type="dxa"/>
            </w:tcMar>
            <w:vAlign w:val="bottom"/>
          </w:tcPr>
          <w:p w14:paraId="5F2D6BB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BF" w14:textId="77777777" w:rsidR="00E836FB" w:rsidRDefault="00994958">
            <w:pPr>
              <w:textAlignment w:val="center"/>
            </w:pPr>
            <w:hyperlink r:id="rId180"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vAlign w:val="bottom"/>
          </w:tcPr>
          <w:p w14:paraId="5F2D6BC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C1" w14:textId="77777777" w:rsidR="00E836FB" w:rsidRDefault="00994958">
            <w:pPr>
              <w:textAlignment w:val="center"/>
            </w:pPr>
            <w:hyperlink r:id="rId181" w:history="1">
              <w:r>
                <w:rPr>
                  <w:rStyle w:val="a5"/>
                  <w:rFonts w:ascii="Arial" w:eastAsia="宋体" w:hAnsi="Arial" w:cs="Arial"/>
                  <w:sz w:val="20"/>
                  <w:szCs w:val="20"/>
                </w:rPr>
                <w:t>Rule 13a-14(a)/15d-14(a) Certif</w:t>
              </w:r>
              <w:r>
                <w:rPr>
                  <w:rStyle w:val="a5"/>
                  <w:rFonts w:ascii="Arial" w:eastAsia="宋体" w:hAnsi="Arial" w:cs="Arial"/>
                  <w:sz w:val="20"/>
                  <w:szCs w:val="20"/>
                </w:rPr>
                <w:t>ication of Chairman, President and Chief Executive Officer</w:t>
              </w:r>
            </w:hyperlink>
          </w:p>
        </w:tc>
      </w:tr>
      <w:tr w:rsidR="00E836FB" w14:paraId="5F2D6BC7"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C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C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C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C6" w14:textId="77777777" w:rsidR="00E836FB" w:rsidRDefault="00E836FB">
            <w:pPr>
              <w:rPr>
                <w:rFonts w:ascii="宋体"/>
              </w:rPr>
            </w:pPr>
          </w:p>
        </w:tc>
      </w:tr>
      <w:tr w:rsidR="00E836FB" w14:paraId="5F2D6BCC" w14:textId="77777777">
        <w:trPr>
          <w:jc w:val="center"/>
        </w:trPr>
        <w:tc>
          <w:tcPr>
            <w:tcW w:w="0" w:type="auto"/>
            <w:gridSpan w:val="3"/>
            <w:shd w:val="clear" w:color="auto" w:fill="auto"/>
            <w:tcMar>
              <w:top w:w="0" w:type="dxa"/>
              <w:left w:w="20" w:type="dxa"/>
              <w:bottom w:w="0" w:type="dxa"/>
              <w:right w:w="20" w:type="dxa"/>
            </w:tcMar>
            <w:vAlign w:val="bottom"/>
          </w:tcPr>
          <w:p w14:paraId="5F2D6BC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C9" w14:textId="77777777" w:rsidR="00E836FB" w:rsidRDefault="00994958">
            <w:pPr>
              <w:textAlignment w:val="center"/>
            </w:pPr>
            <w:hyperlink r:id="rId182"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vAlign w:val="bottom"/>
          </w:tcPr>
          <w:p w14:paraId="5F2D6BC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CB" w14:textId="77777777" w:rsidR="00E836FB" w:rsidRDefault="00994958">
            <w:pPr>
              <w:textAlignment w:val="center"/>
            </w:pPr>
            <w:hyperlink r:id="rId183" w:history="1">
              <w:r>
                <w:rPr>
                  <w:rStyle w:val="a5"/>
                  <w:rFonts w:ascii="Arial" w:eastAsia="宋体" w:hAnsi="Arial" w:cs="Arial"/>
                  <w:sz w:val="20"/>
                  <w:szCs w:val="20"/>
                </w:rPr>
                <w:t>Rule 13a-14(a)/15d-14(a) Certif</w:t>
              </w:r>
              <w:r>
                <w:rPr>
                  <w:rStyle w:val="a5"/>
                  <w:rFonts w:ascii="Arial" w:eastAsia="宋体" w:hAnsi="Arial" w:cs="Arial"/>
                  <w:sz w:val="20"/>
                  <w:szCs w:val="20"/>
                </w:rPr>
                <w:t>ication of Chief Financial Officer</w:t>
              </w:r>
            </w:hyperlink>
          </w:p>
        </w:tc>
      </w:tr>
      <w:tr w:rsidR="00E836FB" w14:paraId="5F2D6BD1"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C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C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C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D0" w14:textId="77777777" w:rsidR="00E836FB" w:rsidRDefault="00E836FB">
            <w:pPr>
              <w:rPr>
                <w:rFonts w:ascii="宋体"/>
              </w:rPr>
            </w:pPr>
          </w:p>
        </w:tc>
      </w:tr>
      <w:tr w:rsidR="00E836FB" w14:paraId="5F2D6BD6" w14:textId="77777777">
        <w:trPr>
          <w:jc w:val="center"/>
        </w:trPr>
        <w:tc>
          <w:tcPr>
            <w:tcW w:w="0" w:type="auto"/>
            <w:gridSpan w:val="3"/>
            <w:shd w:val="clear" w:color="auto" w:fill="auto"/>
            <w:tcMar>
              <w:top w:w="0" w:type="dxa"/>
              <w:left w:w="20" w:type="dxa"/>
              <w:bottom w:w="0" w:type="dxa"/>
              <w:right w:w="20" w:type="dxa"/>
            </w:tcMar>
            <w:vAlign w:val="bottom"/>
          </w:tcPr>
          <w:p w14:paraId="5F2D6BD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D3" w14:textId="77777777" w:rsidR="00E836FB" w:rsidRDefault="00994958">
            <w:pPr>
              <w:textAlignment w:val="center"/>
            </w:pPr>
            <w:hyperlink r:id="rId184"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vAlign w:val="bottom"/>
          </w:tcPr>
          <w:p w14:paraId="5F2D6BD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D5" w14:textId="77777777" w:rsidR="00E836FB" w:rsidRDefault="00994958">
            <w:pPr>
              <w:textAlignment w:val="center"/>
            </w:pPr>
            <w:hyperlink r:id="rId185" w:history="1">
              <w:r>
                <w:rPr>
                  <w:rStyle w:val="a5"/>
                  <w:rFonts w:ascii="Arial" w:eastAsia="宋体" w:hAnsi="Arial" w:cs="Arial"/>
                  <w:sz w:val="20"/>
                  <w:szCs w:val="20"/>
                </w:rPr>
                <w:t>Section 1350 Certifications</w:t>
              </w:r>
            </w:hyperlink>
          </w:p>
        </w:tc>
      </w:tr>
      <w:tr w:rsidR="00E836FB" w14:paraId="5F2D6BDB"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D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D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D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DA" w14:textId="77777777" w:rsidR="00E836FB" w:rsidRDefault="00E836FB">
            <w:pPr>
              <w:rPr>
                <w:rFonts w:ascii="宋体"/>
              </w:rPr>
            </w:pPr>
          </w:p>
        </w:tc>
      </w:tr>
      <w:tr w:rsidR="00E836FB" w14:paraId="5F2D6BE0" w14:textId="77777777">
        <w:trPr>
          <w:jc w:val="center"/>
        </w:trPr>
        <w:tc>
          <w:tcPr>
            <w:tcW w:w="0" w:type="auto"/>
            <w:gridSpan w:val="3"/>
            <w:shd w:val="clear" w:color="auto" w:fill="auto"/>
            <w:tcMar>
              <w:top w:w="0" w:type="dxa"/>
              <w:left w:w="20" w:type="dxa"/>
              <w:bottom w:w="0" w:type="dxa"/>
              <w:right w:w="20" w:type="dxa"/>
            </w:tcMar>
            <w:vAlign w:val="bottom"/>
          </w:tcPr>
          <w:p w14:paraId="5F2D6BD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center"/>
          </w:tcPr>
          <w:p w14:paraId="5F2D6BDD" w14:textId="77777777" w:rsidR="00E836FB" w:rsidRDefault="00994958">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5F2D6BD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BDF" w14:textId="77777777" w:rsidR="00E836FB" w:rsidRDefault="00994958">
            <w:pPr>
              <w:textAlignment w:val="top"/>
            </w:pPr>
            <w:r>
              <w:rPr>
                <w:rFonts w:ascii="Arial" w:eastAsia="宋体" w:hAnsi="Arial" w:cs="Arial"/>
                <w:color w:val="000000"/>
                <w:sz w:val="20"/>
                <w:szCs w:val="20"/>
              </w:rPr>
              <w:t>The instance document does not appear in the interactive data file because its XBRL tags are embedded within the inline XBRL document</w:t>
            </w:r>
          </w:p>
        </w:tc>
      </w:tr>
      <w:tr w:rsidR="00E836FB" w14:paraId="5F2D6BE5"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E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E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E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E4" w14:textId="77777777" w:rsidR="00E836FB" w:rsidRDefault="00E836FB">
            <w:pPr>
              <w:rPr>
                <w:rFonts w:ascii="宋体"/>
              </w:rPr>
            </w:pPr>
          </w:p>
        </w:tc>
      </w:tr>
      <w:tr w:rsidR="00E836FB" w14:paraId="5F2D6BEA" w14:textId="77777777">
        <w:trPr>
          <w:jc w:val="center"/>
        </w:trPr>
        <w:tc>
          <w:tcPr>
            <w:tcW w:w="0" w:type="auto"/>
            <w:gridSpan w:val="3"/>
            <w:shd w:val="clear" w:color="auto" w:fill="auto"/>
            <w:tcMar>
              <w:top w:w="40" w:type="dxa"/>
              <w:left w:w="20" w:type="dxa"/>
              <w:bottom w:w="40" w:type="dxa"/>
              <w:right w:w="20" w:type="dxa"/>
            </w:tcMar>
            <w:vAlign w:val="bottom"/>
          </w:tcPr>
          <w:p w14:paraId="5F2D6BE6" w14:textId="77777777" w:rsidR="00E836FB" w:rsidRDefault="00994958">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F2D6BE7" w14:textId="77777777" w:rsidR="00E836FB" w:rsidRDefault="00994958">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5F2D6BE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BE9" w14:textId="77777777" w:rsidR="00E836FB" w:rsidRDefault="00994958">
            <w:pPr>
              <w:textAlignment w:val="top"/>
            </w:pPr>
            <w:r>
              <w:rPr>
                <w:rFonts w:ascii="Arial" w:eastAsia="宋体" w:hAnsi="Arial" w:cs="Arial"/>
                <w:color w:val="000000"/>
                <w:sz w:val="20"/>
                <w:szCs w:val="20"/>
              </w:rPr>
              <w:t>Inline XBRL Taxonomy Extension Schema Document</w:t>
            </w:r>
          </w:p>
        </w:tc>
      </w:tr>
      <w:tr w:rsidR="00E836FB" w14:paraId="5F2D6BEF"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E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E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E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EE" w14:textId="77777777" w:rsidR="00E836FB" w:rsidRDefault="00E836FB">
            <w:pPr>
              <w:rPr>
                <w:rFonts w:ascii="宋体"/>
              </w:rPr>
            </w:pPr>
          </w:p>
        </w:tc>
      </w:tr>
      <w:tr w:rsidR="00E836FB" w14:paraId="5F2D6BF4" w14:textId="77777777">
        <w:trPr>
          <w:jc w:val="center"/>
        </w:trPr>
        <w:tc>
          <w:tcPr>
            <w:tcW w:w="0" w:type="auto"/>
            <w:gridSpan w:val="3"/>
            <w:shd w:val="clear" w:color="auto" w:fill="auto"/>
            <w:tcMar>
              <w:top w:w="40" w:type="dxa"/>
              <w:left w:w="20" w:type="dxa"/>
              <w:bottom w:w="40" w:type="dxa"/>
              <w:right w:w="20" w:type="dxa"/>
            </w:tcMar>
            <w:vAlign w:val="bottom"/>
          </w:tcPr>
          <w:p w14:paraId="5F2D6BF0" w14:textId="77777777" w:rsidR="00E836FB" w:rsidRDefault="00994958">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F2D6BF1" w14:textId="77777777" w:rsidR="00E836FB" w:rsidRDefault="00994958">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5F2D6BF2"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BF3" w14:textId="77777777" w:rsidR="00E836FB" w:rsidRDefault="00994958">
            <w:pPr>
              <w:textAlignment w:val="top"/>
            </w:pPr>
            <w:r>
              <w:rPr>
                <w:rFonts w:ascii="Arial" w:eastAsia="宋体" w:hAnsi="Arial" w:cs="Arial"/>
                <w:color w:val="000000"/>
                <w:sz w:val="20"/>
                <w:szCs w:val="20"/>
              </w:rPr>
              <w:t xml:space="preserve">Inline XBRL Taxonomy </w:t>
            </w:r>
            <w:r>
              <w:rPr>
                <w:rFonts w:ascii="Arial" w:eastAsia="宋体" w:hAnsi="Arial" w:cs="Arial"/>
                <w:color w:val="000000"/>
                <w:sz w:val="20"/>
                <w:szCs w:val="20"/>
              </w:rPr>
              <w:t>Calculation Linkbase Document</w:t>
            </w:r>
          </w:p>
        </w:tc>
      </w:tr>
      <w:tr w:rsidR="00E836FB" w14:paraId="5F2D6BF9"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F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F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F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BF8" w14:textId="77777777" w:rsidR="00E836FB" w:rsidRDefault="00E836FB">
            <w:pPr>
              <w:rPr>
                <w:rFonts w:ascii="宋体"/>
              </w:rPr>
            </w:pPr>
          </w:p>
        </w:tc>
      </w:tr>
      <w:tr w:rsidR="00E836FB" w14:paraId="5F2D6BFE" w14:textId="77777777">
        <w:trPr>
          <w:jc w:val="center"/>
        </w:trPr>
        <w:tc>
          <w:tcPr>
            <w:tcW w:w="0" w:type="auto"/>
            <w:gridSpan w:val="3"/>
            <w:shd w:val="clear" w:color="auto" w:fill="auto"/>
            <w:tcMar>
              <w:top w:w="40" w:type="dxa"/>
              <w:left w:w="20" w:type="dxa"/>
              <w:bottom w:w="40" w:type="dxa"/>
              <w:right w:w="20" w:type="dxa"/>
            </w:tcMar>
            <w:vAlign w:val="bottom"/>
          </w:tcPr>
          <w:p w14:paraId="5F2D6BFA" w14:textId="77777777" w:rsidR="00E836FB" w:rsidRDefault="00994958">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F2D6BFB" w14:textId="77777777" w:rsidR="00E836FB" w:rsidRDefault="00994958">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5F2D6BF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BFD" w14:textId="77777777" w:rsidR="00E836FB" w:rsidRDefault="00994958">
            <w:pPr>
              <w:textAlignment w:val="top"/>
            </w:pPr>
            <w:r>
              <w:rPr>
                <w:rFonts w:ascii="Arial" w:eastAsia="宋体" w:hAnsi="Arial" w:cs="Arial"/>
                <w:color w:val="000000"/>
                <w:sz w:val="20"/>
                <w:szCs w:val="20"/>
              </w:rPr>
              <w:t>Inline XBRL Taxonomy Extension Definition Linkbase Document</w:t>
            </w:r>
          </w:p>
        </w:tc>
      </w:tr>
      <w:tr w:rsidR="00E836FB" w14:paraId="5F2D6C03"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B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0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0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02" w14:textId="77777777" w:rsidR="00E836FB" w:rsidRDefault="00E836FB">
            <w:pPr>
              <w:rPr>
                <w:rFonts w:ascii="宋体"/>
              </w:rPr>
            </w:pPr>
          </w:p>
        </w:tc>
      </w:tr>
      <w:tr w:rsidR="00E836FB" w14:paraId="5F2D6C08" w14:textId="77777777">
        <w:trPr>
          <w:jc w:val="center"/>
        </w:trPr>
        <w:tc>
          <w:tcPr>
            <w:tcW w:w="0" w:type="auto"/>
            <w:gridSpan w:val="3"/>
            <w:shd w:val="clear" w:color="auto" w:fill="auto"/>
            <w:tcMar>
              <w:top w:w="40" w:type="dxa"/>
              <w:left w:w="20" w:type="dxa"/>
              <w:bottom w:w="40" w:type="dxa"/>
              <w:right w:w="20" w:type="dxa"/>
            </w:tcMar>
            <w:vAlign w:val="bottom"/>
          </w:tcPr>
          <w:p w14:paraId="5F2D6C04" w14:textId="77777777" w:rsidR="00E836FB" w:rsidRDefault="00994958">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F2D6C05" w14:textId="77777777" w:rsidR="00E836FB" w:rsidRDefault="00994958">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5F2D6C0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07" w14:textId="77777777" w:rsidR="00E836FB" w:rsidRDefault="00994958">
            <w:pPr>
              <w:textAlignment w:val="top"/>
            </w:pPr>
            <w:r>
              <w:rPr>
                <w:rFonts w:ascii="Arial" w:eastAsia="宋体" w:hAnsi="Arial" w:cs="Arial"/>
                <w:color w:val="000000"/>
                <w:sz w:val="20"/>
                <w:szCs w:val="20"/>
              </w:rPr>
              <w:t>Inline XBRL Taxonomy Label Linkbase Document</w:t>
            </w:r>
          </w:p>
        </w:tc>
      </w:tr>
      <w:tr w:rsidR="00E836FB" w14:paraId="5F2D6C0D" w14:textId="77777777">
        <w:trPr>
          <w:trHeight w:val="60"/>
          <w:jc w:val="center"/>
        </w:trPr>
        <w:tc>
          <w:tcPr>
            <w:tcW w:w="0" w:type="auto"/>
            <w:gridSpan w:val="3"/>
            <w:shd w:val="clear" w:color="auto" w:fill="auto"/>
            <w:tcMar>
              <w:top w:w="0" w:type="dxa"/>
              <w:left w:w="20" w:type="dxa"/>
              <w:bottom w:w="0" w:type="dxa"/>
              <w:right w:w="20" w:type="dxa"/>
            </w:tcMar>
            <w:vAlign w:val="bottom"/>
          </w:tcPr>
          <w:p w14:paraId="5F2D6C0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0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0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0C" w14:textId="77777777" w:rsidR="00E836FB" w:rsidRDefault="00E836FB">
            <w:pPr>
              <w:rPr>
                <w:rFonts w:ascii="宋体"/>
              </w:rPr>
            </w:pPr>
          </w:p>
        </w:tc>
      </w:tr>
      <w:tr w:rsidR="00E836FB" w14:paraId="5F2D6C12" w14:textId="77777777">
        <w:trPr>
          <w:jc w:val="center"/>
        </w:trPr>
        <w:tc>
          <w:tcPr>
            <w:tcW w:w="0" w:type="auto"/>
            <w:gridSpan w:val="3"/>
            <w:shd w:val="clear" w:color="auto" w:fill="auto"/>
            <w:tcMar>
              <w:top w:w="40" w:type="dxa"/>
              <w:left w:w="20" w:type="dxa"/>
              <w:bottom w:w="40" w:type="dxa"/>
              <w:right w:w="20" w:type="dxa"/>
            </w:tcMar>
            <w:vAlign w:val="bottom"/>
          </w:tcPr>
          <w:p w14:paraId="5F2D6C0E" w14:textId="77777777" w:rsidR="00E836FB" w:rsidRDefault="00994958">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F2D6C0F" w14:textId="77777777" w:rsidR="00E836FB" w:rsidRDefault="00994958">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5F2D6C1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11" w14:textId="77777777" w:rsidR="00E836FB" w:rsidRDefault="00994958">
            <w:pPr>
              <w:textAlignment w:val="top"/>
            </w:pPr>
            <w:r>
              <w:rPr>
                <w:rFonts w:ascii="Arial" w:eastAsia="宋体" w:hAnsi="Arial" w:cs="Arial"/>
                <w:color w:val="000000"/>
                <w:sz w:val="20"/>
                <w:szCs w:val="20"/>
              </w:rPr>
              <w:t>Inline XBRL Taxonomy Presentation Linkbase Document</w:t>
            </w:r>
          </w:p>
        </w:tc>
      </w:tr>
      <w:tr w:rsidR="00E836FB" w14:paraId="5F2D6C17" w14:textId="77777777">
        <w:trPr>
          <w:trHeight w:val="100"/>
          <w:jc w:val="center"/>
        </w:trPr>
        <w:tc>
          <w:tcPr>
            <w:tcW w:w="0" w:type="auto"/>
            <w:gridSpan w:val="3"/>
            <w:shd w:val="clear" w:color="auto" w:fill="auto"/>
            <w:tcMar>
              <w:top w:w="0" w:type="dxa"/>
              <w:left w:w="20" w:type="dxa"/>
              <w:bottom w:w="0" w:type="dxa"/>
              <w:right w:w="20" w:type="dxa"/>
            </w:tcMar>
            <w:vAlign w:val="bottom"/>
          </w:tcPr>
          <w:p w14:paraId="5F2D6C1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1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15"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16" w14:textId="77777777" w:rsidR="00E836FB" w:rsidRDefault="00E836FB">
            <w:pPr>
              <w:rPr>
                <w:rFonts w:ascii="宋体"/>
              </w:rPr>
            </w:pPr>
          </w:p>
        </w:tc>
      </w:tr>
      <w:tr w:rsidR="00E836FB" w14:paraId="5F2D6C1C" w14:textId="77777777">
        <w:trPr>
          <w:jc w:val="center"/>
        </w:trPr>
        <w:tc>
          <w:tcPr>
            <w:tcW w:w="0" w:type="auto"/>
            <w:gridSpan w:val="3"/>
            <w:shd w:val="clear" w:color="auto" w:fill="auto"/>
            <w:tcMar>
              <w:top w:w="40" w:type="dxa"/>
              <w:left w:w="20" w:type="dxa"/>
              <w:bottom w:w="40" w:type="dxa"/>
              <w:right w:w="20" w:type="dxa"/>
            </w:tcMar>
            <w:vAlign w:val="center"/>
          </w:tcPr>
          <w:p w14:paraId="5F2D6C18" w14:textId="77777777" w:rsidR="00E836FB" w:rsidRDefault="00994958">
            <w:pP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5F2D6C19" w14:textId="77777777" w:rsidR="00E836FB" w:rsidRDefault="00994958">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5F2D6C1A"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1B" w14:textId="77777777" w:rsidR="00E836FB" w:rsidRDefault="00994958">
            <w:pPr>
              <w:textAlignment w:val="top"/>
            </w:pPr>
            <w:r>
              <w:rPr>
                <w:rFonts w:ascii="Arial" w:eastAsia="宋体" w:hAnsi="Arial" w:cs="Arial"/>
                <w:color w:val="000000"/>
                <w:sz w:val="20"/>
                <w:szCs w:val="20"/>
              </w:rPr>
              <w:t>Cover Page Interactive Data File (formatted as Inline XBRL and included within the Exhibit 101 attachments)</w:t>
            </w:r>
          </w:p>
        </w:tc>
      </w:tr>
    </w:tbl>
    <w:p w14:paraId="5F2D6C1D" w14:textId="77777777" w:rsidR="00E836FB" w:rsidRDefault="00E836FB">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233"/>
        <w:gridCol w:w="36"/>
        <w:gridCol w:w="69"/>
        <w:gridCol w:w="1515"/>
        <w:gridCol w:w="36"/>
        <w:gridCol w:w="70"/>
        <w:gridCol w:w="1516"/>
        <w:gridCol w:w="36"/>
        <w:gridCol w:w="70"/>
        <w:gridCol w:w="2625"/>
        <w:gridCol w:w="36"/>
      </w:tblGrid>
      <w:tr w:rsidR="00E836FB" w14:paraId="5F2D6C2A" w14:textId="77777777">
        <w:trPr>
          <w:jc w:val="center"/>
        </w:trPr>
        <w:tc>
          <w:tcPr>
            <w:tcW w:w="50" w:type="pct"/>
            <w:shd w:val="clear" w:color="auto" w:fill="auto"/>
            <w:vAlign w:val="bottom"/>
          </w:tcPr>
          <w:p w14:paraId="5F2D6C1E" w14:textId="77777777" w:rsidR="00E836FB" w:rsidRDefault="00E836FB">
            <w:pPr>
              <w:rPr>
                <w:rFonts w:ascii="宋体"/>
              </w:rPr>
            </w:pPr>
          </w:p>
        </w:tc>
        <w:tc>
          <w:tcPr>
            <w:tcW w:w="1352" w:type="pct"/>
            <w:shd w:val="clear" w:color="auto" w:fill="auto"/>
            <w:vAlign w:val="bottom"/>
          </w:tcPr>
          <w:p w14:paraId="5F2D6C1F" w14:textId="77777777" w:rsidR="00E836FB" w:rsidRDefault="00E836FB">
            <w:pPr>
              <w:rPr>
                <w:rFonts w:ascii="宋体"/>
              </w:rPr>
            </w:pPr>
          </w:p>
        </w:tc>
        <w:tc>
          <w:tcPr>
            <w:tcW w:w="5" w:type="pct"/>
            <w:shd w:val="clear" w:color="auto" w:fill="auto"/>
            <w:vAlign w:val="bottom"/>
          </w:tcPr>
          <w:p w14:paraId="5F2D6C20" w14:textId="77777777" w:rsidR="00E836FB" w:rsidRDefault="00E836FB">
            <w:pPr>
              <w:rPr>
                <w:rFonts w:ascii="宋体"/>
              </w:rPr>
            </w:pPr>
          </w:p>
        </w:tc>
        <w:tc>
          <w:tcPr>
            <w:tcW w:w="50" w:type="pct"/>
            <w:shd w:val="clear" w:color="auto" w:fill="auto"/>
            <w:vAlign w:val="bottom"/>
          </w:tcPr>
          <w:p w14:paraId="5F2D6C21" w14:textId="77777777" w:rsidR="00E836FB" w:rsidRDefault="00E836FB">
            <w:pPr>
              <w:rPr>
                <w:rFonts w:ascii="宋体"/>
              </w:rPr>
            </w:pPr>
          </w:p>
        </w:tc>
        <w:tc>
          <w:tcPr>
            <w:tcW w:w="920" w:type="pct"/>
            <w:shd w:val="clear" w:color="auto" w:fill="auto"/>
            <w:vAlign w:val="bottom"/>
          </w:tcPr>
          <w:p w14:paraId="5F2D6C22" w14:textId="77777777" w:rsidR="00E836FB" w:rsidRDefault="00E836FB">
            <w:pPr>
              <w:rPr>
                <w:rFonts w:ascii="宋体"/>
              </w:rPr>
            </w:pPr>
          </w:p>
        </w:tc>
        <w:tc>
          <w:tcPr>
            <w:tcW w:w="5" w:type="pct"/>
            <w:shd w:val="clear" w:color="auto" w:fill="auto"/>
            <w:vAlign w:val="bottom"/>
          </w:tcPr>
          <w:p w14:paraId="5F2D6C23" w14:textId="77777777" w:rsidR="00E836FB" w:rsidRDefault="00E836FB">
            <w:pPr>
              <w:rPr>
                <w:rFonts w:ascii="宋体"/>
              </w:rPr>
            </w:pPr>
          </w:p>
        </w:tc>
        <w:tc>
          <w:tcPr>
            <w:tcW w:w="50" w:type="pct"/>
            <w:shd w:val="clear" w:color="auto" w:fill="auto"/>
            <w:vAlign w:val="bottom"/>
          </w:tcPr>
          <w:p w14:paraId="5F2D6C24" w14:textId="77777777" w:rsidR="00E836FB" w:rsidRDefault="00E836FB">
            <w:pPr>
              <w:rPr>
                <w:rFonts w:ascii="宋体"/>
              </w:rPr>
            </w:pPr>
          </w:p>
        </w:tc>
        <w:tc>
          <w:tcPr>
            <w:tcW w:w="920" w:type="pct"/>
            <w:shd w:val="clear" w:color="auto" w:fill="auto"/>
            <w:vAlign w:val="bottom"/>
          </w:tcPr>
          <w:p w14:paraId="5F2D6C25" w14:textId="77777777" w:rsidR="00E836FB" w:rsidRDefault="00E836FB">
            <w:pPr>
              <w:rPr>
                <w:rFonts w:ascii="宋体"/>
              </w:rPr>
            </w:pPr>
          </w:p>
        </w:tc>
        <w:tc>
          <w:tcPr>
            <w:tcW w:w="5" w:type="pct"/>
            <w:shd w:val="clear" w:color="auto" w:fill="auto"/>
            <w:vAlign w:val="bottom"/>
          </w:tcPr>
          <w:p w14:paraId="5F2D6C26" w14:textId="77777777" w:rsidR="00E836FB" w:rsidRDefault="00E836FB">
            <w:pPr>
              <w:rPr>
                <w:rFonts w:ascii="宋体"/>
              </w:rPr>
            </w:pPr>
          </w:p>
        </w:tc>
        <w:tc>
          <w:tcPr>
            <w:tcW w:w="50" w:type="pct"/>
            <w:shd w:val="clear" w:color="auto" w:fill="auto"/>
            <w:vAlign w:val="bottom"/>
          </w:tcPr>
          <w:p w14:paraId="5F2D6C27" w14:textId="77777777" w:rsidR="00E836FB" w:rsidRDefault="00E836FB">
            <w:pPr>
              <w:rPr>
                <w:rFonts w:ascii="宋体"/>
              </w:rPr>
            </w:pPr>
          </w:p>
        </w:tc>
        <w:tc>
          <w:tcPr>
            <w:tcW w:w="1587" w:type="pct"/>
            <w:shd w:val="clear" w:color="auto" w:fill="auto"/>
            <w:vAlign w:val="bottom"/>
          </w:tcPr>
          <w:p w14:paraId="5F2D6C28" w14:textId="77777777" w:rsidR="00E836FB" w:rsidRDefault="00E836FB">
            <w:pPr>
              <w:rPr>
                <w:rFonts w:ascii="宋体"/>
              </w:rPr>
            </w:pPr>
          </w:p>
        </w:tc>
        <w:tc>
          <w:tcPr>
            <w:tcW w:w="5" w:type="pct"/>
            <w:shd w:val="clear" w:color="auto" w:fill="auto"/>
            <w:vAlign w:val="bottom"/>
          </w:tcPr>
          <w:p w14:paraId="5F2D6C29" w14:textId="77777777" w:rsidR="00E836FB" w:rsidRDefault="00E836FB">
            <w:pPr>
              <w:rPr>
                <w:rFonts w:ascii="宋体"/>
              </w:rPr>
            </w:pPr>
          </w:p>
        </w:tc>
      </w:tr>
      <w:tr w:rsidR="00E836FB" w14:paraId="5F2D6C2F"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F2D6C2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2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2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2E" w14:textId="77777777" w:rsidR="00E836FB" w:rsidRDefault="00E836FB">
            <w:pPr>
              <w:rPr>
                <w:rFonts w:ascii="宋体"/>
              </w:rPr>
            </w:pPr>
          </w:p>
        </w:tc>
      </w:tr>
    </w:tbl>
    <w:p w14:paraId="5F2D6C30" w14:textId="77777777" w:rsidR="00E836FB" w:rsidRDefault="00E836FB">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143"/>
        <w:gridCol w:w="36"/>
        <w:gridCol w:w="36"/>
        <w:gridCol w:w="36"/>
        <w:gridCol w:w="36"/>
        <w:gridCol w:w="37"/>
        <w:gridCol w:w="7914"/>
        <w:gridCol w:w="36"/>
      </w:tblGrid>
      <w:tr w:rsidR="00E836FB" w14:paraId="5F2D6C3A" w14:textId="77777777">
        <w:trPr>
          <w:jc w:val="center"/>
        </w:trPr>
        <w:tc>
          <w:tcPr>
            <w:tcW w:w="5" w:type="pct"/>
            <w:shd w:val="clear" w:color="auto" w:fill="auto"/>
            <w:vAlign w:val="bottom"/>
          </w:tcPr>
          <w:p w14:paraId="5F2D6C31" w14:textId="77777777" w:rsidR="00E836FB" w:rsidRDefault="00E836FB">
            <w:pPr>
              <w:rPr>
                <w:rFonts w:ascii="宋体"/>
              </w:rPr>
            </w:pPr>
          </w:p>
        </w:tc>
        <w:tc>
          <w:tcPr>
            <w:tcW w:w="107" w:type="pct"/>
            <w:shd w:val="clear" w:color="auto" w:fill="auto"/>
            <w:vAlign w:val="bottom"/>
          </w:tcPr>
          <w:p w14:paraId="5F2D6C32" w14:textId="77777777" w:rsidR="00E836FB" w:rsidRDefault="00E836FB">
            <w:pPr>
              <w:rPr>
                <w:rFonts w:ascii="宋体"/>
              </w:rPr>
            </w:pPr>
          </w:p>
        </w:tc>
        <w:tc>
          <w:tcPr>
            <w:tcW w:w="5" w:type="pct"/>
            <w:shd w:val="clear" w:color="auto" w:fill="auto"/>
            <w:vAlign w:val="bottom"/>
          </w:tcPr>
          <w:p w14:paraId="5F2D6C33" w14:textId="77777777" w:rsidR="00E836FB" w:rsidRDefault="00E836FB">
            <w:pPr>
              <w:rPr>
                <w:rFonts w:ascii="宋体"/>
              </w:rPr>
            </w:pPr>
          </w:p>
        </w:tc>
        <w:tc>
          <w:tcPr>
            <w:tcW w:w="5" w:type="pct"/>
            <w:shd w:val="clear" w:color="auto" w:fill="auto"/>
            <w:vAlign w:val="bottom"/>
          </w:tcPr>
          <w:p w14:paraId="5F2D6C34" w14:textId="77777777" w:rsidR="00E836FB" w:rsidRDefault="00E836FB">
            <w:pPr>
              <w:rPr>
                <w:rFonts w:ascii="宋体"/>
              </w:rPr>
            </w:pPr>
          </w:p>
        </w:tc>
        <w:tc>
          <w:tcPr>
            <w:tcW w:w="26" w:type="pct"/>
            <w:shd w:val="clear" w:color="auto" w:fill="auto"/>
            <w:vAlign w:val="bottom"/>
          </w:tcPr>
          <w:p w14:paraId="5F2D6C35" w14:textId="77777777" w:rsidR="00E836FB" w:rsidRDefault="00E836FB">
            <w:pPr>
              <w:rPr>
                <w:rFonts w:ascii="宋体"/>
              </w:rPr>
            </w:pPr>
          </w:p>
        </w:tc>
        <w:tc>
          <w:tcPr>
            <w:tcW w:w="5" w:type="pct"/>
            <w:shd w:val="clear" w:color="auto" w:fill="auto"/>
            <w:vAlign w:val="bottom"/>
          </w:tcPr>
          <w:p w14:paraId="5F2D6C36" w14:textId="77777777" w:rsidR="00E836FB" w:rsidRDefault="00E836FB">
            <w:pPr>
              <w:rPr>
                <w:rFonts w:ascii="宋体"/>
              </w:rPr>
            </w:pPr>
          </w:p>
        </w:tc>
        <w:tc>
          <w:tcPr>
            <w:tcW w:w="50" w:type="pct"/>
            <w:shd w:val="clear" w:color="auto" w:fill="auto"/>
            <w:vAlign w:val="bottom"/>
          </w:tcPr>
          <w:p w14:paraId="5F2D6C37" w14:textId="77777777" w:rsidR="00E836FB" w:rsidRDefault="00E836FB">
            <w:pPr>
              <w:rPr>
                <w:rFonts w:ascii="宋体"/>
              </w:rPr>
            </w:pPr>
          </w:p>
        </w:tc>
        <w:tc>
          <w:tcPr>
            <w:tcW w:w="4791" w:type="pct"/>
            <w:shd w:val="clear" w:color="auto" w:fill="auto"/>
            <w:vAlign w:val="bottom"/>
          </w:tcPr>
          <w:p w14:paraId="5F2D6C38" w14:textId="77777777" w:rsidR="00E836FB" w:rsidRDefault="00E836FB">
            <w:pPr>
              <w:rPr>
                <w:rFonts w:ascii="宋体"/>
              </w:rPr>
            </w:pPr>
          </w:p>
        </w:tc>
        <w:tc>
          <w:tcPr>
            <w:tcW w:w="5" w:type="pct"/>
            <w:shd w:val="clear" w:color="auto" w:fill="auto"/>
            <w:vAlign w:val="bottom"/>
          </w:tcPr>
          <w:p w14:paraId="5F2D6C39" w14:textId="77777777" w:rsidR="00E836FB" w:rsidRDefault="00E836FB">
            <w:pPr>
              <w:rPr>
                <w:rFonts w:ascii="宋体"/>
              </w:rPr>
            </w:pPr>
          </w:p>
        </w:tc>
      </w:tr>
      <w:tr w:rsidR="00E836FB" w14:paraId="5F2D6C3E" w14:textId="77777777">
        <w:trPr>
          <w:jc w:val="center"/>
        </w:trPr>
        <w:tc>
          <w:tcPr>
            <w:tcW w:w="0" w:type="auto"/>
            <w:gridSpan w:val="3"/>
            <w:shd w:val="clear" w:color="auto" w:fill="auto"/>
            <w:tcMar>
              <w:top w:w="40" w:type="dxa"/>
              <w:left w:w="20" w:type="dxa"/>
              <w:bottom w:w="40" w:type="dxa"/>
              <w:right w:w="20" w:type="dxa"/>
            </w:tcMar>
          </w:tcPr>
          <w:p w14:paraId="5F2D6C3B" w14:textId="77777777" w:rsidR="00E836FB" w:rsidRDefault="00994958">
            <w:pPr>
              <w:jc w:val="right"/>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F2D6C3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3D" w14:textId="77777777" w:rsidR="00E836FB" w:rsidRDefault="00994958">
            <w:pPr>
              <w:textAlignment w:val="top"/>
            </w:pPr>
            <w:r>
              <w:rPr>
                <w:rFonts w:ascii="Arial" w:eastAsia="宋体" w:hAnsi="Arial" w:cs="Arial"/>
                <w:color w:val="000000"/>
                <w:sz w:val="20"/>
                <w:szCs w:val="20"/>
              </w:rPr>
              <w:t>Denotes management contract or compensatory plan or arrangement</w:t>
            </w:r>
          </w:p>
        </w:tc>
      </w:tr>
      <w:tr w:rsidR="00E836FB" w14:paraId="5F2D6C42" w14:textId="77777777">
        <w:trPr>
          <w:jc w:val="center"/>
        </w:trPr>
        <w:tc>
          <w:tcPr>
            <w:tcW w:w="0" w:type="auto"/>
            <w:gridSpan w:val="3"/>
            <w:shd w:val="clear" w:color="auto" w:fill="auto"/>
            <w:tcMar>
              <w:top w:w="40" w:type="dxa"/>
              <w:left w:w="20" w:type="dxa"/>
              <w:bottom w:w="40" w:type="dxa"/>
              <w:right w:w="20" w:type="dxa"/>
            </w:tcMar>
          </w:tcPr>
          <w:p w14:paraId="5F2D6C3F" w14:textId="77777777" w:rsidR="00E836FB" w:rsidRDefault="00994958">
            <w:pPr>
              <w:jc w:val="right"/>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F2D6C40"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41" w14:textId="77777777" w:rsidR="00E836FB" w:rsidRDefault="00994958">
            <w:pPr>
              <w:textAlignment w:val="top"/>
            </w:pPr>
            <w:r>
              <w:rPr>
                <w:rFonts w:ascii="Arial" w:eastAsia="宋体" w:hAnsi="Arial" w:cs="Arial"/>
                <w:color w:val="000000"/>
                <w:sz w:val="20"/>
                <w:szCs w:val="20"/>
              </w:rPr>
              <w:t>Submitted electronically herewith</w:t>
            </w:r>
          </w:p>
        </w:tc>
      </w:tr>
    </w:tbl>
    <w:p w14:paraId="5F2D6C43" w14:textId="77777777" w:rsidR="00E836FB" w:rsidRDefault="00994958">
      <w:pPr>
        <w:ind w:firstLine="450"/>
        <w:jc w:val="both"/>
      </w:pPr>
      <w:r>
        <w:rPr>
          <w:rFonts w:ascii="Arial" w:eastAsia="宋体" w:hAnsi="Arial" w:cs="Arial"/>
          <w:color w:val="000000"/>
          <w:sz w:val="20"/>
          <w:szCs w:val="20"/>
        </w:rPr>
        <w:t>Attached as Exhibit 101 to this report are the following formatted in iXBRL (Inline Extensible Business Reporting Language): (i) consolidated statement of income for the years ended December 31, 2021, 2020 and 2019, (ii) consolidated statement of comprehen</w:t>
      </w:r>
      <w:r>
        <w:rPr>
          <w:rFonts w:ascii="Arial" w:eastAsia="宋体" w:hAnsi="Arial" w:cs="Arial"/>
          <w:color w:val="000000"/>
          <w:sz w:val="20"/>
          <w:szCs w:val="20"/>
        </w:rPr>
        <w:t>sive income for the years ended December 31, 2021, 2020 and 2019, (iii) consolidated statement of condition as of December 31, 2021 and December 31, 2020, (iv) consolidated statement of changes in shareholders' equity for the years ended December 31, 2021,</w:t>
      </w:r>
      <w:r>
        <w:rPr>
          <w:rFonts w:ascii="Arial" w:eastAsia="宋体" w:hAnsi="Arial" w:cs="Arial"/>
          <w:color w:val="000000"/>
          <w:sz w:val="20"/>
          <w:szCs w:val="20"/>
        </w:rPr>
        <w:t xml:space="preserve"> 2020 and 2019, (v) consolidated statement of cash flows for the years ended December 31, 2021, 2020 and 2019, and (vi) notes to consolidated financial statements.</w:t>
      </w:r>
    </w:p>
    <w:p w14:paraId="5F2D6C44" w14:textId="77777777" w:rsidR="00E836FB" w:rsidRDefault="00E836FB">
      <w:pPr>
        <w:ind w:firstLine="450"/>
        <w:jc w:val="both"/>
      </w:pPr>
    </w:p>
    <w:p w14:paraId="5F2D6C45" w14:textId="77777777" w:rsidR="00E836FB" w:rsidRDefault="00994958">
      <w:pPr>
        <w:ind w:firstLine="450"/>
        <w:jc w:val="right"/>
      </w:pPr>
      <w:r>
        <w:rPr>
          <w:rFonts w:ascii="Arial" w:eastAsia="宋体" w:hAnsi="Arial" w:cs="Arial"/>
          <w:color w:val="000000"/>
          <w:sz w:val="18"/>
          <w:szCs w:val="18"/>
        </w:rPr>
        <w:t>State Street Corporation | 197</w:t>
      </w:r>
    </w:p>
    <w:p w14:paraId="5F2D6C46" w14:textId="77777777" w:rsidR="00E836FB" w:rsidRDefault="00E836FB">
      <w:pPr>
        <w:ind w:firstLine="450"/>
        <w:jc w:val="center"/>
      </w:pPr>
    </w:p>
    <w:p w14:paraId="5F2D6C47" w14:textId="77777777" w:rsidR="00E836FB" w:rsidRDefault="00994958">
      <w:r>
        <w:pict w14:anchorId="5F2D6E4A">
          <v:rect id="_x0000_i1221" style="width:415.3pt;height:1.5pt" o:hralign="center" o:hrstd="t" o:hr="t" fillcolor="#a0a0a0" stroked="f"/>
        </w:pict>
      </w:r>
    </w:p>
    <w:p w14:paraId="5F2D6C48" w14:textId="77777777" w:rsidR="00E836FB" w:rsidRDefault="00E836FB">
      <w:pPr>
        <w:ind w:firstLine="450"/>
      </w:pPr>
    </w:p>
    <w:p w14:paraId="5F2D6C49" w14:textId="77777777" w:rsidR="00E836FB" w:rsidRDefault="00994958">
      <w:pPr>
        <w:spacing w:before="180"/>
        <w:ind w:firstLine="450"/>
        <w:jc w:val="center"/>
      </w:pPr>
      <w:r>
        <w:rPr>
          <w:rFonts w:ascii="Arial" w:eastAsia="宋体" w:hAnsi="Arial" w:cs="Arial"/>
          <w:b/>
          <w:bCs/>
          <w:color w:val="000000"/>
          <w:sz w:val="20"/>
          <w:szCs w:val="20"/>
        </w:rPr>
        <w:t>SIGNATURES</w:t>
      </w:r>
    </w:p>
    <w:p w14:paraId="5F2D6C4A" w14:textId="77777777" w:rsidR="00E836FB" w:rsidRDefault="00994958">
      <w:pPr>
        <w:spacing w:before="90"/>
        <w:ind w:firstLine="450"/>
        <w:jc w:val="both"/>
      </w:pPr>
      <w:r>
        <w:rPr>
          <w:rFonts w:ascii="Arial" w:eastAsia="宋体" w:hAnsi="Arial" w:cs="Arial"/>
          <w:color w:val="000000"/>
          <w:sz w:val="20"/>
          <w:szCs w:val="20"/>
        </w:rPr>
        <w:t xml:space="preserve">Pursuant to the requirement of </w:t>
      </w:r>
      <w:r>
        <w:rPr>
          <w:rFonts w:ascii="Arial" w:eastAsia="宋体" w:hAnsi="Arial" w:cs="Arial"/>
          <w:color w:val="000000"/>
          <w:sz w:val="20"/>
          <w:szCs w:val="20"/>
        </w:rPr>
        <w:t>Section 13 or 15(d) of the Securities Exchange Act of 1934, the registrant has duly caused this report to be signed on its behalf by the undersigned, on February 17, 2022, hereunto duly authorized. </w:t>
      </w:r>
    </w:p>
    <w:tbl>
      <w:tblPr>
        <w:tblW w:w="5000" w:type="pct"/>
        <w:tblCellMar>
          <w:top w:w="15" w:type="dxa"/>
          <w:left w:w="15" w:type="dxa"/>
          <w:bottom w:w="15" w:type="dxa"/>
          <w:right w:w="15" w:type="dxa"/>
        </w:tblCellMar>
        <w:tblLook w:val="04A0" w:firstRow="1" w:lastRow="0" w:firstColumn="1" w:lastColumn="0" w:noHBand="0" w:noVBand="1"/>
      </w:tblPr>
      <w:tblGrid>
        <w:gridCol w:w="69"/>
        <w:gridCol w:w="3891"/>
        <w:gridCol w:w="36"/>
        <w:gridCol w:w="70"/>
        <w:gridCol w:w="222"/>
        <w:gridCol w:w="38"/>
        <w:gridCol w:w="69"/>
        <w:gridCol w:w="3905"/>
        <w:gridCol w:w="36"/>
      </w:tblGrid>
      <w:tr w:rsidR="00E836FB" w14:paraId="5F2D6C54" w14:textId="77777777">
        <w:tc>
          <w:tcPr>
            <w:tcW w:w="50" w:type="pct"/>
            <w:shd w:val="clear" w:color="auto" w:fill="auto"/>
            <w:vAlign w:val="bottom"/>
          </w:tcPr>
          <w:p w14:paraId="5F2D6C4B" w14:textId="77777777" w:rsidR="00E836FB" w:rsidRDefault="00E836FB">
            <w:pPr>
              <w:rPr>
                <w:rFonts w:ascii="宋体"/>
              </w:rPr>
            </w:pPr>
          </w:p>
        </w:tc>
        <w:tc>
          <w:tcPr>
            <w:tcW w:w="2342" w:type="pct"/>
            <w:shd w:val="clear" w:color="auto" w:fill="auto"/>
            <w:vAlign w:val="bottom"/>
          </w:tcPr>
          <w:p w14:paraId="5F2D6C4C" w14:textId="77777777" w:rsidR="00E836FB" w:rsidRDefault="00E836FB">
            <w:pPr>
              <w:rPr>
                <w:rFonts w:ascii="宋体"/>
              </w:rPr>
            </w:pPr>
          </w:p>
        </w:tc>
        <w:tc>
          <w:tcPr>
            <w:tcW w:w="5" w:type="pct"/>
            <w:shd w:val="clear" w:color="auto" w:fill="auto"/>
            <w:vAlign w:val="bottom"/>
          </w:tcPr>
          <w:p w14:paraId="5F2D6C4D" w14:textId="77777777" w:rsidR="00E836FB" w:rsidRDefault="00E836FB">
            <w:pPr>
              <w:rPr>
                <w:rFonts w:ascii="宋体"/>
              </w:rPr>
            </w:pPr>
          </w:p>
        </w:tc>
        <w:tc>
          <w:tcPr>
            <w:tcW w:w="50" w:type="pct"/>
            <w:shd w:val="clear" w:color="auto" w:fill="auto"/>
            <w:vAlign w:val="bottom"/>
          </w:tcPr>
          <w:p w14:paraId="5F2D6C4E" w14:textId="77777777" w:rsidR="00E836FB" w:rsidRDefault="00E836FB">
            <w:pPr>
              <w:rPr>
                <w:rFonts w:ascii="宋体"/>
              </w:rPr>
            </w:pPr>
          </w:p>
        </w:tc>
        <w:tc>
          <w:tcPr>
            <w:tcW w:w="142" w:type="pct"/>
            <w:shd w:val="clear" w:color="auto" w:fill="auto"/>
            <w:vAlign w:val="bottom"/>
          </w:tcPr>
          <w:p w14:paraId="5F2D6C4F" w14:textId="77777777" w:rsidR="00E836FB" w:rsidRDefault="00E836FB">
            <w:pPr>
              <w:rPr>
                <w:rFonts w:ascii="宋体"/>
              </w:rPr>
            </w:pPr>
          </w:p>
        </w:tc>
        <w:tc>
          <w:tcPr>
            <w:tcW w:w="5" w:type="pct"/>
            <w:shd w:val="clear" w:color="auto" w:fill="auto"/>
            <w:vAlign w:val="bottom"/>
          </w:tcPr>
          <w:p w14:paraId="5F2D6C50" w14:textId="77777777" w:rsidR="00E836FB" w:rsidRDefault="00E836FB">
            <w:pPr>
              <w:rPr>
                <w:rFonts w:ascii="宋体"/>
              </w:rPr>
            </w:pPr>
          </w:p>
        </w:tc>
        <w:tc>
          <w:tcPr>
            <w:tcW w:w="50" w:type="pct"/>
            <w:shd w:val="clear" w:color="auto" w:fill="auto"/>
            <w:vAlign w:val="bottom"/>
          </w:tcPr>
          <w:p w14:paraId="5F2D6C51" w14:textId="77777777" w:rsidR="00E836FB" w:rsidRDefault="00E836FB">
            <w:pPr>
              <w:rPr>
                <w:rFonts w:ascii="宋体"/>
              </w:rPr>
            </w:pPr>
          </w:p>
        </w:tc>
        <w:tc>
          <w:tcPr>
            <w:tcW w:w="2350" w:type="pct"/>
            <w:shd w:val="clear" w:color="auto" w:fill="auto"/>
            <w:vAlign w:val="bottom"/>
          </w:tcPr>
          <w:p w14:paraId="5F2D6C52" w14:textId="77777777" w:rsidR="00E836FB" w:rsidRDefault="00E836FB">
            <w:pPr>
              <w:rPr>
                <w:rFonts w:ascii="宋体"/>
              </w:rPr>
            </w:pPr>
          </w:p>
        </w:tc>
        <w:tc>
          <w:tcPr>
            <w:tcW w:w="5" w:type="pct"/>
            <w:shd w:val="clear" w:color="auto" w:fill="auto"/>
            <w:vAlign w:val="bottom"/>
          </w:tcPr>
          <w:p w14:paraId="5F2D6C53" w14:textId="77777777" w:rsidR="00E836FB" w:rsidRDefault="00E836FB">
            <w:pPr>
              <w:rPr>
                <w:rFonts w:ascii="宋体"/>
              </w:rPr>
            </w:pPr>
          </w:p>
        </w:tc>
      </w:tr>
      <w:tr w:rsidR="00E836FB" w14:paraId="5F2D6C57" w14:textId="77777777">
        <w:tc>
          <w:tcPr>
            <w:tcW w:w="0" w:type="auto"/>
            <w:gridSpan w:val="3"/>
            <w:shd w:val="clear" w:color="auto" w:fill="auto"/>
            <w:tcMar>
              <w:top w:w="0" w:type="dxa"/>
              <w:left w:w="20" w:type="dxa"/>
              <w:bottom w:w="0" w:type="dxa"/>
              <w:right w:w="20" w:type="dxa"/>
            </w:tcMar>
            <w:vAlign w:val="bottom"/>
          </w:tcPr>
          <w:p w14:paraId="5F2D6C55" w14:textId="77777777" w:rsidR="00E836FB" w:rsidRDefault="00E836FB">
            <w:pPr>
              <w:rPr>
                <w:rFonts w:ascii="宋体"/>
              </w:rPr>
            </w:pPr>
          </w:p>
        </w:tc>
        <w:tc>
          <w:tcPr>
            <w:tcW w:w="0" w:type="auto"/>
            <w:gridSpan w:val="6"/>
            <w:shd w:val="clear" w:color="auto" w:fill="auto"/>
            <w:tcMar>
              <w:top w:w="40" w:type="dxa"/>
              <w:left w:w="20" w:type="dxa"/>
              <w:bottom w:w="40" w:type="dxa"/>
              <w:right w:w="20" w:type="dxa"/>
            </w:tcMar>
          </w:tcPr>
          <w:p w14:paraId="5F2D6C56" w14:textId="77777777" w:rsidR="00E836FB" w:rsidRDefault="00994958">
            <w:pPr>
              <w:textAlignment w:val="top"/>
            </w:pPr>
            <w:r>
              <w:rPr>
                <w:rFonts w:ascii="Arial" w:eastAsia="宋体" w:hAnsi="Arial" w:cs="Arial"/>
                <w:b/>
                <w:bCs/>
                <w:color w:val="000000"/>
                <w:sz w:val="20"/>
                <w:szCs w:val="20"/>
              </w:rPr>
              <w:t>STATE STREET CORPORATION</w:t>
            </w:r>
          </w:p>
        </w:tc>
      </w:tr>
      <w:tr w:rsidR="00E836FB" w14:paraId="5F2D6C5B" w14:textId="77777777">
        <w:trPr>
          <w:trHeight w:val="60"/>
        </w:trPr>
        <w:tc>
          <w:tcPr>
            <w:tcW w:w="0" w:type="auto"/>
            <w:gridSpan w:val="3"/>
            <w:shd w:val="clear" w:color="auto" w:fill="auto"/>
            <w:tcMar>
              <w:top w:w="0" w:type="dxa"/>
              <w:left w:w="20" w:type="dxa"/>
              <w:bottom w:w="0" w:type="dxa"/>
              <w:right w:w="20" w:type="dxa"/>
            </w:tcMar>
            <w:vAlign w:val="bottom"/>
          </w:tcPr>
          <w:p w14:paraId="5F2D6C5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5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5A" w14:textId="77777777" w:rsidR="00E836FB" w:rsidRDefault="00E836FB">
            <w:pPr>
              <w:rPr>
                <w:rFonts w:ascii="宋体"/>
              </w:rPr>
            </w:pPr>
          </w:p>
        </w:tc>
      </w:tr>
      <w:tr w:rsidR="00E836FB" w14:paraId="5F2D6C5F" w14:textId="77777777">
        <w:tc>
          <w:tcPr>
            <w:tcW w:w="0" w:type="auto"/>
            <w:gridSpan w:val="3"/>
            <w:shd w:val="clear" w:color="auto" w:fill="auto"/>
            <w:tcMar>
              <w:top w:w="0" w:type="dxa"/>
              <w:left w:w="20" w:type="dxa"/>
              <w:bottom w:w="0" w:type="dxa"/>
              <w:right w:w="20" w:type="dxa"/>
            </w:tcMar>
            <w:vAlign w:val="bottom"/>
          </w:tcPr>
          <w:p w14:paraId="5F2D6C5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5D" w14:textId="77777777" w:rsidR="00E836FB" w:rsidRDefault="00994958">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5F2D6C5E" w14:textId="77777777" w:rsidR="00E836FB" w:rsidRDefault="00994958">
            <w:pP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r>
              <w:rPr>
                <w:rFonts w:ascii="Arial" w:eastAsia="宋体" w:hAnsi="Arial" w:cs="Arial"/>
                <w:color w:val="000000"/>
                <w:sz w:val="14"/>
                <w:szCs w:val="14"/>
              </w:rPr>
              <w:t xml:space="preserve">         </w:t>
            </w:r>
          </w:p>
        </w:tc>
      </w:tr>
      <w:tr w:rsidR="00E836FB" w14:paraId="5F2D6C63" w14:textId="77777777">
        <w:tc>
          <w:tcPr>
            <w:tcW w:w="0" w:type="auto"/>
            <w:gridSpan w:val="3"/>
            <w:shd w:val="clear" w:color="auto" w:fill="auto"/>
            <w:tcMar>
              <w:top w:w="0" w:type="dxa"/>
              <w:left w:w="20" w:type="dxa"/>
              <w:bottom w:w="0" w:type="dxa"/>
              <w:right w:w="20" w:type="dxa"/>
            </w:tcMar>
            <w:vAlign w:val="bottom"/>
          </w:tcPr>
          <w:p w14:paraId="5F2D6C6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6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62" w14:textId="77777777" w:rsidR="00E836FB" w:rsidRDefault="00994958">
            <w:pPr>
              <w:textAlignment w:val="bottom"/>
            </w:pPr>
            <w:r>
              <w:rPr>
                <w:rFonts w:ascii="Arial" w:eastAsia="宋体" w:hAnsi="Arial" w:cs="Arial"/>
                <w:color w:val="000000"/>
                <w:sz w:val="20"/>
                <w:szCs w:val="20"/>
              </w:rPr>
              <w:t>ERIC W. ABOAF,</w:t>
            </w:r>
          </w:p>
        </w:tc>
      </w:tr>
      <w:tr w:rsidR="00E836FB" w14:paraId="5F2D6C67" w14:textId="77777777">
        <w:tc>
          <w:tcPr>
            <w:tcW w:w="0" w:type="auto"/>
            <w:gridSpan w:val="3"/>
            <w:shd w:val="clear" w:color="auto" w:fill="auto"/>
            <w:tcMar>
              <w:top w:w="0" w:type="dxa"/>
              <w:left w:w="20" w:type="dxa"/>
              <w:bottom w:w="0" w:type="dxa"/>
              <w:right w:w="20" w:type="dxa"/>
            </w:tcMar>
            <w:vAlign w:val="bottom"/>
          </w:tcPr>
          <w:p w14:paraId="5F2D6C6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6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66" w14:textId="77777777" w:rsidR="00E836FB" w:rsidRDefault="00994958">
            <w:pPr>
              <w:textAlignment w:val="bottom"/>
            </w:pPr>
            <w:r>
              <w:rPr>
                <w:rFonts w:ascii="Arial" w:eastAsia="宋体" w:hAnsi="Arial" w:cs="Arial"/>
                <w:color w:val="000000"/>
                <w:sz w:val="20"/>
                <w:szCs w:val="20"/>
              </w:rPr>
              <w:t>Executive Vice President and</w:t>
            </w:r>
            <w:r>
              <w:rPr>
                <w:rFonts w:ascii="Arial" w:eastAsia="宋体" w:hAnsi="Arial" w:cs="Arial"/>
                <w:color w:val="000000"/>
                <w:sz w:val="20"/>
                <w:szCs w:val="20"/>
              </w:rPr>
              <w:br/>
              <w:t>Chief Financial Officer</w:t>
            </w:r>
          </w:p>
        </w:tc>
      </w:tr>
      <w:tr w:rsidR="00E836FB" w14:paraId="5F2D6C6B" w14:textId="77777777">
        <w:trPr>
          <w:trHeight w:val="60"/>
        </w:trPr>
        <w:tc>
          <w:tcPr>
            <w:tcW w:w="0" w:type="auto"/>
            <w:gridSpan w:val="3"/>
            <w:shd w:val="clear" w:color="auto" w:fill="auto"/>
            <w:tcMar>
              <w:top w:w="0" w:type="dxa"/>
              <w:left w:w="20" w:type="dxa"/>
              <w:bottom w:w="0" w:type="dxa"/>
              <w:right w:w="20" w:type="dxa"/>
            </w:tcMar>
            <w:vAlign w:val="bottom"/>
          </w:tcPr>
          <w:p w14:paraId="5F2D6C6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6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6A" w14:textId="77777777" w:rsidR="00E836FB" w:rsidRDefault="00E836FB">
            <w:pPr>
              <w:rPr>
                <w:rFonts w:ascii="宋体"/>
              </w:rPr>
            </w:pPr>
          </w:p>
        </w:tc>
      </w:tr>
      <w:tr w:rsidR="00E836FB" w14:paraId="5F2D6C6F" w14:textId="77777777">
        <w:tc>
          <w:tcPr>
            <w:tcW w:w="0" w:type="auto"/>
            <w:gridSpan w:val="3"/>
            <w:shd w:val="clear" w:color="auto" w:fill="auto"/>
            <w:tcMar>
              <w:top w:w="0" w:type="dxa"/>
              <w:left w:w="20" w:type="dxa"/>
              <w:bottom w:w="0" w:type="dxa"/>
              <w:right w:w="20" w:type="dxa"/>
            </w:tcMar>
            <w:vAlign w:val="bottom"/>
          </w:tcPr>
          <w:p w14:paraId="5F2D6C6C"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6D" w14:textId="77777777" w:rsidR="00E836FB" w:rsidRDefault="00994958">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5F2D6C6E" w14:textId="77777777" w:rsidR="00E836FB" w:rsidRDefault="00994958">
            <w:pPr>
              <w:textAlignment w:val="bottom"/>
            </w:pPr>
            <w:r>
              <w:rPr>
                <w:rFonts w:ascii="Arial" w:eastAsia="宋体" w:hAnsi="Arial" w:cs="Arial"/>
                <w:color w:val="000000"/>
                <w:sz w:val="20"/>
                <w:szCs w:val="20"/>
              </w:rPr>
              <w:t>/s/ I</w:t>
            </w:r>
            <w:r>
              <w:rPr>
                <w:rFonts w:ascii="Arial" w:eastAsia="宋体" w:hAnsi="Arial" w:cs="Arial"/>
                <w:color w:val="000000"/>
                <w:sz w:val="16"/>
                <w:szCs w:val="16"/>
              </w:rPr>
              <w:t xml:space="preserve">AN </w:t>
            </w:r>
            <w:r>
              <w:rPr>
                <w:rFonts w:ascii="Arial" w:eastAsia="宋体" w:hAnsi="Arial" w:cs="Arial"/>
                <w:color w:val="000000"/>
                <w:sz w:val="20"/>
                <w:szCs w:val="20"/>
              </w:rPr>
              <w:t>W. A</w:t>
            </w:r>
            <w:r>
              <w:rPr>
                <w:rFonts w:ascii="Arial" w:eastAsia="宋体" w:hAnsi="Arial" w:cs="Arial"/>
                <w:color w:val="000000"/>
                <w:sz w:val="16"/>
                <w:szCs w:val="16"/>
              </w:rPr>
              <w:t>PPLEYARD</w:t>
            </w:r>
          </w:p>
        </w:tc>
      </w:tr>
      <w:tr w:rsidR="00E836FB" w14:paraId="5F2D6C73" w14:textId="77777777">
        <w:tc>
          <w:tcPr>
            <w:tcW w:w="0" w:type="auto"/>
            <w:gridSpan w:val="3"/>
            <w:shd w:val="clear" w:color="auto" w:fill="auto"/>
            <w:tcMar>
              <w:top w:w="0" w:type="dxa"/>
              <w:left w:w="20" w:type="dxa"/>
              <w:bottom w:w="0" w:type="dxa"/>
              <w:right w:w="20" w:type="dxa"/>
            </w:tcMar>
            <w:vAlign w:val="bottom"/>
          </w:tcPr>
          <w:p w14:paraId="5F2D6C7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71"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72" w14:textId="77777777" w:rsidR="00E836FB" w:rsidRDefault="00994958">
            <w:pPr>
              <w:textAlignment w:val="bottom"/>
            </w:pPr>
            <w:r>
              <w:rPr>
                <w:rFonts w:ascii="Arial" w:eastAsia="宋体" w:hAnsi="Arial" w:cs="Arial"/>
                <w:color w:val="000000"/>
                <w:sz w:val="20"/>
                <w:szCs w:val="20"/>
              </w:rPr>
              <w:t>IAN W. APPLEYARD,</w:t>
            </w:r>
          </w:p>
        </w:tc>
      </w:tr>
      <w:tr w:rsidR="00E836FB" w14:paraId="5F2D6C77" w14:textId="77777777">
        <w:tc>
          <w:tcPr>
            <w:tcW w:w="0" w:type="auto"/>
            <w:gridSpan w:val="3"/>
            <w:shd w:val="clear" w:color="auto" w:fill="auto"/>
            <w:tcMar>
              <w:top w:w="0" w:type="dxa"/>
              <w:left w:w="20" w:type="dxa"/>
              <w:bottom w:w="0" w:type="dxa"/>
              <w:right w:w="20" w:type="dxa"/>
            </w:tcMar>
            <w:vAlign w:val="bottom"/>
          </w:tcPr>
          <w:p w14:paraId="5F2D6C74"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7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76" w14:textId="77777777" w:rsidR="00E836FB" w:rsidRDefault="00994958">
            <w:pPr>
              <w:textAlignment w:val="bottom"/>
            </w:pPr>
            <w:r>
              <w:rPr>
                <w:rFonts w:ascii="Arial" w:eastAsia="宋体" w:hAnsi="Arial" w:cs="Arial"/>
                <w:color w:val="000000"/>
                <w:sz w:val="20"/>
                <w:szCs w:val="20"/>
              </w:rPr>
              <w:t xml:space="preserve">Executive Vice President, Global Controller and </w:t>
            </w:r>
            <w:r>
              <w:rPr>
                <w:rFonts w:ascii="Arial" w:eastAsia="宋体" w:hAnsi="Arial" w:cs="Arial"/>
                <w:color w:val="000000"/>
                <w:sz w:val="20"/>
                <w:szCs w:val="20"/>
              </w:rPr>
              <w:br/>
              <w:t>Chief Accounting Officer</w:t>
            </w:r>
          </w:p>
        </w:tc>
      </w:tr>
    </w:tbl>
    <w:p w14:paraId="5F2D6C78" w14:textId="77777777" w:rsidR="00E836FB" w:rsidRDefault="00994958">
      <w:pPr>
        <w:ind w:firstLine="450"/>
        <w:jc w:val="both"/>
      </w:pPr>
      <w:r>
        <w:rPr>
          <w:rFonts w:ascii="Arial" w:eastAsia="宋体" w:hAnsi="Arial" w:cs="Arial"/>
          <w:color w:val="000000"/>
          <w:sz w:val="20"/>
          <w:szCs w:val="20"/>
        </w:rPr>
        <w:t xml:space="preserve">Pursuant to the </w:t>
      </w:r>
      <w:r>
        <w:rPr>
          <w:rFonts w:ascii="Arial" w:eastAsia="宋体" w:hAnsi="Arial" w:cs="Arial"/>
          <w:color w:val="000000"/>
          <w:sz w:val="20"/>
          <w:szCs w:val="20"/>
        </w:rPr>
        <w:t>requirements of the Securities Exchange Act of 1934, this report has been signed below on February 17, 2022 by the following persons on behalf of the registrant and in the capacities indicated.</w:t>
      </w:r>
    </w:p>
    <w:p w14:paraId="5F2D6C79" w14:textId="77777777" w:rsidR="00E836FB" w:rsidRDefault="00994958">
      <w:pPr>
        <w:spacing w:before="180"/>
      </w:pPr>
      <w:r>
        <w:rPr>
          <w:rFonts w:ascii="Arial" w:eastAsia="宋体" w:hAnsi="Arial" w:cs="Arial"/>
          <w:b/>
          <w:bCs/>
          <w:color w:val="000000"/>
          <w:sz w:val="20"/>
          <w:szCs w:val="20"/>
        </w:rPr>
        <w:t>OFFICERS:</w:t>
      </w:r>
    </w:p>
    <w:tbl>
      <w:tblPr>
        <w:tblW w:w="4985" w:type="pct"/>
        <w:tblCellMar>
          <w:top w:w="15" w:type="dxa"/>
          <w:left w:w="15" w:type="dxa"/>
          <w:bottom w:w="15" w:type="dxa"/>
          <w:right w:w="15" w:type="dxa"/>
        </w:tblCellMar>
        <w:tblLook w:val="04A0" w:firstRow="1" w:lastRow="0" w:firstColumn="1" w:lastColumn="0" w:noHBand="0" w:noVBand="1"/>
      </w:tblPr>
      <w:tblGrid>
        <w:gridCol w:w="63"/>
        <w:gridCol w:w="3850"/>
        <w:gridCol w:w="37"/>
        <w:gridCol w:w="63"/>
        <w:gridCol w:w="216"/>
        <w:gridCol w:w="36"/>
        <w:gridCol w:w="36"/>
        <w:gridCol w:w="36"/>
        <w:gridCol w:w="36"/>
        <w:gridCol w:w="50"/>
        <w:gridCol w:w="3850"/>
        <w:gridCol w:w="38"/>
      </w:tblGrid>
      <w:tr w:rsidR="00E836FB" w14:paraId="5F2D6C86" w14:textId="77777777">
        <w:tc>
          <w:tcPr>
            <w:tcW w:w="50" w:type="pct"/>
            <w:shd w:val="clear" w:color="auto" w:fill="auto"/>
            <w:vAlign w:val="bottom"/>
          </w:tcPr>
          <w:p w14:paraId="5F2D6C7A" w14:textId="77777777" w:rsidR="00E836FB" w:rsidRDefault="00E836FB">
            <w:pPr>
              <w:rPr>
                <w:rFonts w:ascii="宋体"/>
              </w:rPr>
            </w:pPr>
          </w:p>
        </w:tc>
        <w:tc>
          <w:tcPr>
            <w:tcW w:w="2327" w:type="pct"/>
            <w:shd w:val="clear" w:color="auto" w:fill="auto"/>
            <w:vAlign w:val="bottom"/>
          </w:tcPr>
          <w:p w14:paraId="5F2D6C7B" w14:textId="77777777" w:rsidR="00E836FB" w:rsidRDefault="00E836FB">
            <w:pPr>
              <w:rPr>
                <w:rFonts w:ascii="宋体"/>
              </w:rPr>
            </w:pPr>
          </w:p>
        </w:tc>
        <w:tc>
          <w:tcPr>
            <w:tcW w:w="5" w:type="pct"/>
            <w:shd w:val="clear" w:color="auto" w:fill="auto"/>
            <w:vAlign w:val="bottom"/>
          </w:tcPr>
          <w:p w14:paraId="5F2D6C7C" w14:textId="77777777" w:rsidR="00E836FB" w:rsidRDefault="00E836FB">
            <w:pPr>
              <w:rPr>
                <w:rFonts w:ascii="宋体"/>
              </w:rPr>
            </w:pPr>
          </w:p>
        </w:tc>
        <w:tc>
          <w:tcPr>
            <w:tcW w:w="50" w:type="pct"/>
            <w:shd w:val="clear" w:color="auto" w:fill="auto"/>
            <w:vAlign w:val="bottom"/>
          </w:tcPr>
          <w:p w14:paraId="5F2D6C7D" w14:textId="77777777" w:rsidR="00E836FB" w:rsidRDefault="00E836FB">
            <w:pPr>
              <w:rPr>
                <w:rFonts w:ascii="宋体"/>
              </w:rPr>
            </w:pPr>
          </w:p>
        </w:tc>
        <w:tc>
          <w:tcPr>
            <w:tcW w:w="142" w:type="pct"/>
            <w:shd w:val="clear" w:color="auto" w:fill="auto"/>
            <w:vAlign w:val="bottom"/>
          </w:tcPr>
          <w:p w14:paraId="5F2D6C7E" w14:textId="77777777" w:rsidR="00E836FB" w:rsidRDefault="00E836FB">
            <w:pPr>
              <w:rPr>
                <w:rFonts w:ascii="宋体"/>
              </w:rPr>
            </w:pPr>
          </w:p>
        </w:tc>
        <w:tc>
          <w:tcPr>
            <w:tcW w:w="5" w:type="pct"/>
            <w:shd w:val="clear" w:color="auto" w:fill="auto"/>
            <w:vAlign w:val="bottom"/>
          </w:tcPr>
          <w:p w14:paraId="5F2D6C7F" w14:textId="77777777" w:rsidR="00E836FB" w:rsidRDefault="00E836FB">
            <w:pPr>
              <w:rPr>
                <w:rFonts w:ascii="宋体"/>
              </w:rPr>
            </w:pPr>
          </w:p>
        </w:tc>
        <w:tc>
          <w:tcPr>
            <w:tcW w:w="5" w:type="pct"/>
            <w:shd w:val="clear" w:color="auto" w:fill="auto"/>
            <w:vAlign w:val="bottom"/>
          </w:tcPr>
          <w:p w14:paraId="5F2D6C80" w14:textId="77777777" w:rsidR="00E836FB" w:rsidRDefault="00E836FB">
            <w:pPr>
              <w:rPr>
                <w:rFonts w:ascii="宋体"/>
              </w:rPr>
            </w:pPr>
          </w:p>
        </w:tc>
        <w:tc>
          <w:tcPr>
            <w:tcW w:w="26" w:type="pct"/>
            <w:shd w:val="clear" w:color="auto" w:fill="auto"/>
            <w:vAlign w:val="bottom"/>
          </w:tcPr>
          <w:p w14:paraId="5F2D6C81" w14:textId="77777777" w:rsidR="00E836FB" w:rsidRDefault="00E836FB">
            <w:pPr>
              <w:rPr>
                <w:rFonts w:ascii="宋体"/>
              </w:rPr>
            </w:pPr>
          </w:p>
        </w:tc>
        <w:tc>
          <w:tcPr>
            <w:tcW w:w="5" w:type="pct"/>
            <w:shd w:val="clear" w:color="auto" w:fill="auto"/>
            <w:vAlign w:val="bottom"/>
          </w:tcPr>
          <w:p w14:paraId="5F2D6C82" w14:textId="77777777" w:rsidR="00E836FB" w:rsidRDefault="00E836FB">
            <w:pPr>
              <w:rPr>
                <w:rFonts w:ascii="宋体"/>
              </w:rPr>
            </w:pPr>
          </w:p>
        </w:tc>
        <w:tc>
          <w:tcPr>
            <w:tcW w:w="50" w:type="pct"/>
            <w:shd w:val="clear" w:color="auto" w:fill="auto"/>
            <w:vAlign w:val="bottom"/>
          </w:tcPr>
          <w:p w14:paraId="5F2D6C83" w14:textId="77777777" w:rsidR="00E836FB" w:rsidRDefault="00E836FB">
            <w:pPr>
              <w:rPr>
                <w:rFonts w:ascii="宋体"/>
              </w:rPr>
            </w:pPr>
          </w:p>
        </w:tc>
        <w:tc>
          <w:tcPr>
            <w:tcW w:w="2327" w:type="pct"/>
            <w:shd w:val="clear" w:color="auto" w:fill="auto"/>
            <w:vAlign w:val="bottom"/>
          </w:tcPr>
          <w:p w14:paraId="5F2D6C84" w14:textId="77777777" w:rsidR="00E836FB" w:rsidRDefault="00E836FB">
            <w:pPr>
              <w:rPr>
                <w:rFonts w:ascii="宋体"/>
              </w:rPr>
            </w:pPr>
          </w:p>
        </w:tc>
        <w:tc>
          <w:tcPr>
            <w:tcW w:w="5" w:type="pct"/>
            <w:shd w:val="clear" w:color="auto" w:fill="auto"/>
            <w:vAlign w:val="bottom"/>
          </w:tcPr>
          <w:p w14:paraId="5F2D6C85" w14:textId="77777777" w:rsidR="00E836FB" w:rsidRDefault="00E836FB">
            <w:pPr>
              <w:rPr>
                <w:rFonts w:ascii="宋体"/>
              </w:rPr>
            </w:pPr>
          </w:p>
        </w:tc>
      </w:tr>
      <w:tr w:rsidR="00E836FB" w14:paraId="5F2D6C8B" w14:textId="77777777">
        <w:tc>
          <w:tcPr>
            <w:tcW w:w="0" w:type="auto"/>
            <w:gridSpan w:val="3"/>
            <w:shd w:val="clear" w:color="auto" w:fill="auto"/>
            <w:tcMar>
              <w:top w:w="40" w:type="dxa"/>
              <w:left w:w="20" w:type="dxa"/>
              <w:bottom w:w="40" w:type="dxa"/>
              <w:right w:w="20" w:type="dxa"/>
            </w:tcMar>
            <w:vAlign w:val="bottom"/>
          </w:tcPr>
          <w:p w14:paraId="5F2D6C87" w14:textId="77777777" w:rsidR="00E836FB" w:rsidRDefault="00994958">
            <w:pPr>
              <w:textAlignment w:val="bottom"/>
            </w:pPr>
            <w:r>
              <w:rPr>
                <w:rFonts w:ascii="Arial" w:eastAsia="宋体" w:hAnsi="Arial" w:cs="Arial"/>
                <w:color w:val="000000"/>
                <w:sz w:val="20"/>
                <w:szCs w:val="20"/>
              </w:rPr>
              <w:t>/s/ R</w:t>
            </w:r>
            <w:r>
              <w:rPr>
                <w:rFonts w:ascii="Arial" w:eastAsia="宋体" w:hAnsi="Arial" w:cs="Arial"/>
                <w:color w:val="000000"/>
                <w:sz w:val="16"/>
                <w:szCs w:val="16"/>
              </w:rPr>
              <w:t>ONALD</w:t>
            </w:r>
            <w:r>
              <w:rPr>
                <w:rFonts w:ascii="Arial" w:eastAsia="宋体" w:hAnsi="Arial" w:cs="Arial"/>
                <w:color w:val="000000"/>
                <w:sz w:val="20"/>
                <w:szCs w:val="20"/>
              </w:rPr>
              <w:t xml:space="preserve"> P. O'H</w:t>
            </w:r>
            <w:r>
              <w:rPr>
                <w:rFonts w:ascii="Arial" w:eastAsia="宋体" w:hAnsi="Arial" w:cs="Arial"/>
                <w:color w:val="000000"/>
                <w:sz w:val="16"/>
                <w:szCs w:val="16"/>
              </w:rPr>
              <w:t>ANLEY</w:t>
            </w:r>
          </w:p>
        </w:tc>
        <w:tc>
          <w:tcPr>
            <w:tcW w:w="0" w:type="auto"/>
            <w:gridSpan w:val="3"/>
            <w:shd w:val="clear" w:color="auto" w:fill="auto"/>
            <w:tcMar>
              <w:top w:w="40" w:type="dxa"/>
              <w:left w:w="20" w:type="dxa"/>
              <w:bottom w:w="40" w:type="dxa"/>
              <w:right w:w="20" w:type="dxa"/>
            </w:tcMar>
            <w:vAlign w:val="bottom"/>
          </w:tcPr>
          <w:p w14:paraId="5F2D6C88"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C89"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8A" w14:textId="77777777" w:rsidR="00E836FB" w:rsidRDefault="00994958">
            <w:pP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r>
              <w:rPr>
                <w:rFonts w:ascii="Arial" w:eastAsia="宋体" w:hAnsi="Arial" w:cs="Arial"/>
                <w:color w:val="000000"/>
                <w:sz w:val="14"/>
                <w:szCs w:val="14"/>
              </w:rPr>
              <w:t xml:space="preserve">         </w:t>
            </w:r>
          </w:p>
        </w:tc>
      </w:tr>
      <w:tr w:rsidR="00E836FB" w14:paraId="5F2D6C90" w14:textId="77777777">
        <w:tc>
          <w:tcPr>
            <w:tcW w:w="0" w:type="auto"/>
            <w:gridSpan w:val="3"/>
            <w:tcBorders>
              <w:top w:val="single" w:sz="8" w:space="0" w:color="000000"/>
            </w:tcBorders>
            <w:shd w:val="clear" w:color="auto" w:fill="auto"/>
            <w:tcMar>
              <w:top w:w="40" w:type="dxa"/>
              <w:left w:w="20" w:type="dxa"/>
              <w:bottom w:w="40" w:type="dxa"/>
              <w:right w:w="20" w:type="dxa"/>
            </w:tcMar>
          </w:tcPr>
          <w:p w14:paraId="5F2D6C8C" w14:textId="77777777" w:rsidR="00E836FB" w:rsidRDefault="00994958">
            <w:pPr>
              <w:textAlignment w:val="top"/>
            </w:pPr>
            <w:r>
              <w:rPr>
                <w:rFonts w:ascii="Arial" w:eastAsia="宋体" w:hAnsi="Arial" w:cs="Arial"/>
                <w:color w:val="000000"/>
                <w:sz w:val="20"/>
                <w:szCs w:val="20"/>
              </w:rPr>
              <w:t>RONALD P. O'HANLEY,</w:t>
            </w:r>
          </w:p>
        </w:tc>
        <w:tc>
          <w:tcPr>
            <w:tcW w:w="0" w:type="auto"/>
            <w:gridSpan w:val="3"/>
            <w:shd w:val="clear" w:color="auto" w:fill="auto"/>
            <w:tcMar>
              <w:top w:w="40" w:type="dxa"/>
              <w:left w:w="20" w:type="dxa"/>
              <w:bottom w:w="40" w:type="dxa"/>
              <w:right w:w="20" w:type="dxa"/>
            </w:tcMar>
            <w:vAlign w:val="bottom"/>
          </w:tcPr>
          <w:p w14:paraId="5F2D6C8D" w14:textId="77777777" w:rsidR="00E836FB" w:rsidRDefault="00994958">
            <w:pPr>
              <w:textAlignment w:val="bottom"/>
            </w:pPr>
            <w:r>
              <w:rPr>
                <w:rFonts w:ascii="Arial" w:eastAsia="宋体" w:hAnsi="Arial" w:cs="Arial"/>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C8E"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8F" w14:textId="77777777" w:rsidR="00E836FB" w:rsidRDefault="00994958">
            <w:pPr>
              <w:textAlignment w:val="bottom"/>
            </w:pPr>
            <w:r>
              <w:rPr>
                <w:rFonts w:ascii="Arial" w:eastAsia="宋体" w:hAnsi="Arial" w:cs="Arial"/>
                <w:color w:val="000000"/>
                <w:sz w:val="20"/>
                <w:szCs w:val="20"/>
              </w:rPr>
              <w:t>ERIC W. ABOAF,</w:t>
            </w:r>
          </w:p>
        </w:tc>
      </w:tr>
      <w:tr w:rsidR="00E836FB" w14:paraId="5F2D6C96" w14:textId="77777777">
        <w:tc>
          <w:tcPr>
            <w:tcW w:w="0" w:type="auto"/>
            <w:gridSpan w:val="3"/>
            <w:shd w:val="clear" w:color="auto" w:fill="auto"/>
            <w:tcMar>
              <w:top w:w="40" w:type="dxa"/>
              <w:left w:w="20" w:type="dxa"/>
              <w:bottom w:w="40" w:type="dxa"/>
              <w:right w:w="20" w:type="dxa"/>
            </w:tcMar>
          </w:tcPr>
          <w:p w14:paraId="5F2D6C91" w14:textId="77777777" w:rsidR="00E836FB" w:rsidRDefault="00994958">
            <w:pPr>
              <w:textAlignment w:val="top"/>
            </w:pPr>
            <w:r>
              <w:rPr>
                <w:rFonts w:ascii="Arial" w:eastAsia="宋体" w:hAnsi="Arial" w:cs="Arial"/>
                <w:color w:val="000000"/>
                <w:sz w:val="20"/>
                <w:szCs w:val="20"/>
              </w:rPr>
              <w:t xml:space="preserve">Chairman, President and Chief Executive Officer </w:t>
            </w:r>
          </w:p>
        </w:tc>
        <w:tc>
          <w:tcPr>
            <w:tcW w:w="0" w:type="auto"/>
            <w:gridSpan w:val="3"/>
            <w:shd w:val="clear" w:color="auto" w:fill="auto"/>
            <w:tcMar>
              <w:top w:w="40" w:type="dxa"/>
              <w:left w:w="20" w:type="dxa"/>
              <w:bottom w:w="40" w:type="dxa"/>
              <w:right w:w="20" w:type="dxa"/>
            </w:tcMar>
            <w:vAlign w:val="bottom"/>
          </w:tcPr>
          <w:p w14:paraId="5F2D6C92"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C9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94" w14:textId="77777777" w:rsidR="00E836FB" w:rsidRDefault="00994958">
            <w:pPr>
              <w:textAlignment w:val="bottom"/>
            </w:pPr>
            <w:r>
              <w:rPr>
                <w:rFonts w:ascii="Arial" w:eastAsia="宋体" w:hAnsi="Arial" w:cs="Arial"/>
                <w:color w:val="000000"/>
                <w:sz w:val="20"/>
                <w:szCs w:val="20"/>
              </w:rPr>
              <w:t>Executive Vice President and</w:t>
            </w:r>
          </w:p>
          <w:p w14:paraId="5F2D6C95" w14:textId="77777777" w:rsidR="00E836FB" w:rsidRDefault="00994958">
            <w:pPr>
              <w:textAlignment w:val="bottom"/>
            </w:pPr>
            <w:r>
              <w:rPr>
                <w:rFonts w:ascii="Arial" w:eastAsia="宋体" w:hAnsi="Arial" w:cs="Arial"/>
                <w:color w:val="000000"/>
                <w:sz w:val="20"/>
                <w:szCs w:val="20"/>
              </w:rPr>
              <w:t>Chief Financial Officer</w:t>
            </w:r>
          </w:p>
        </w:tc>
      </w:tr>
      <w:tr w:rsidR="00E836FB" w14:paraId="5F2D6C9B" w14:textId="77777777">
        <w:trPr>
          <w:trHeight w:val="60"/>
        </w:trPr>
        <w:tc>
          <w:tcPr>
            <w:tcW w:w="0" w:type="auto"/>
            <w:gridSpan w:val="3"/>
            <w:shd w:val="clear" w:color="auto" w:fill="auto"/>
            <w:tcMar>
              <w:top w:w="0" w:type="dxa"/>
              <w:left w:w="20" w:type="dxa"/>
              <w:bottom w:w="0" w:type="dxa"/>
              <w:right w:w="20" w:type="dxa"/>
            </w:tcMar>
            <w:vAlign w:val="bottom"/>
          </w:tcPr>
          <w:p w14:paraId="5F2D6C9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98"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99"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9A" w14:textId="77777777" w:rsidR="00E836FB" w:rsidRDefault="00E836FB">
            <w:pPr>
              <w:rPr>
                <w:rFonts w:ascii="宋体"/>
              </w:rPr>
            </w:pPr>
          </w:p>
        </w:tc>
      </w:tr>
      <w:tr w:rsidR="00E836FB" w14:paraId="5F2D6CA0" w14:textId="77777777">
        <w:tc>
          <w:tcPr>
            <w:tcW w:w="0" w:type="auto"/>
            <w:gridSpan w:val="3"/>
            <w:shd w:val="clear" w:color="auto" w:fill="auto"/>
            <w:tcMar>
              <w:top w:w="40" w:type="dxa"/>
              <w:left w:w="20" w:type="dxa"/>
              <w:bottom w:w="40" w:type="dxa"/>
              <w:right w:w="20" w:type="dxa"/>
            </w:tcMar>
          </w:tcPr>
          <w:p w14:paraId="5F2D6C9C" w14:textId="77777777" w:rsidR="00E836FB" w:rsidRDefault="00994958">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vAlign w:val="bottom"/>
          </w:tcPr>
          <w:p w14:paraId="5F2D6C9D"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C9E"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9F" w14:textId="77777777" w:rsidR="00E836FB" w:rsidRDefault="00994958">
            <w:pPr>
              <w:textAlignment w:val="bottom"/>
            </w:pPr>
            <w:r>
              <w:rPr>
                <w:rFonts w:ascii="Arial" w:eastAsia="宋体" w:hAnsi="Arial" w:cs="Arial"/>
                <w:color w:val="000000"/>
                <w:sz w:val="20"/>
                <w:szCs w:val="20"/>
              </w:rPr>
              <w:t>/s/ I</w:t>
            </w:r>
            <w:r>
              <w:rPr>
                <w:rFonts w:ascii="Arial" w:eastAsia="宋体" w:hAnsi="Arial" w:cs="Arial"/>
                <w:color w:val="000000"/>
                <w:sz w:val="16"/>
                <w:szCs w:val="16"/>
              </w:rPr>
              <w:t xml:space="preserve">AN </w:t>
            </w:r>
            <w:r>
              <w:rPr>
                <w:rFonts w:ascii="Arial" w:eastAsia="宋体" w:hAnsi="Arial" w:cs="Arial"/>
                <w:color w:val="000000"/>
                <w:sz w:val="20"/>
                <w:szCs w:val="20"/>
              </w:rPr>
              <w:t>W. A</w:t>
            </w:r>
            <w:r>
              <w:rPr>
                <w:rFonts w:ascii="Arial" w:eastAsia="宋体" w:hAnsi="Arial" w:cs="Arial"/>
                <w:color w:val="000000"/>
                <w:sz w:val="16"/>
                <w:szCs w:val="16"/>
              </w:rPr>
              <w:t>PPLEYARD</w:t>
            </w:r>
          </w:p>
        </w:tc>
      </w:tr>
      <w:tr w:rsidR="00E836FB" w14:paraId="5F2D6CA5" w14:textId="77777777">
        <w:tc>
          <w:tcPr>
            <w:tcW w:w="0" w:type="auto"/>
            <w:gridSpan w:val="3"/>
            <w:shd w:val="clear" w:color="auto" w:fill="auto"/>
            <w:tcMar>
              <w:top w:w="0" w:type="dxa"/>
              <w:left w:w="20" w:type="dxa"/>
              <w:bottom w:w="0" w:type="dxa"/>
              <w:right w:w="20" w:type="dxa"/>
            </w:tcMar>
            <w:vAlign w:val="bottom"/>
          </w:tcPr>
          <w:p w14:paraId="5F2D6CA1"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A2" w14:textId="77777777" w:rsidR="00E836FB" w:rsidRDefault="00994958">
            <w:pPr>
              <w:textAlignment w:val="bottom"/>
            </w:pPr>
            <w:r>
              <w:rPr>
                <w:rFonts w:ascii="Arial" w:eastAsia="宋体" w:hAnsi="Arial" w:cs="Arial"/>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F2D6CA3"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A4" w14:textId="77777777" w:rsidR="00E836FB" w:rsidRDefault="00994958">
            <w:pPr>
              <w:textAlignment w:val="bottom"/>
            </w:pPr>
            <w:r>
              <w:rPr>
                <w:rFonts w:ascii="Arial" w:eastAsia="宋体" w:hAnsi="Arial" w:cs="Arial"/>
                <w:color w:val="000000"/>
                <w:sz w:val="20"/>
                <w:szCs w:val="20"/>
              </w:rPr>
              <w:t>IAN W. APPLEYARD,</w:t>
            </w:r>
          </w:p>
        </w:tc>
      </w:tr>
      <w:tr w:rsidR="00E836FB" w14:paraId="5F2D6CAB" w14:textId="77777777">
        <w:tc>
          <w:tcPr>
            <w:tcW w:w="0" w:type="auto"/>
            <w:gridSpan w:val="3"/>
            <w:shd w:val="clear" w:color="auto" w:fill="auto"/>
            <w:tcMar>
              <w:top w:w="0" w:type="dxa"/>
              <w:left w:w="20" w:type="dxa"/>
              <w:bottom w:w="0" w:type="dxa"/>
              <w:right w:w="20" w:type="dxa"/>
            </w:tcMar>
            <w:vAlign w:val="bottom"/>
          </w:tcPr>
          <w:p w14:paraId="5F2D6CA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A7"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CA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A9" w14:textId="77777777" w:rsidR="00E836FB" w:rsidRDefault="00994958">
            <w:pPr>
              <w:textAlignment w:val="bottom"/>
            </w:pPr>
            <w:r>
              <w:rPr>
                <w:rFonts w:ascii="Arial" w:eastAsia="宋体" w:hAnsi="Arial" w:cs="Arial"/>
                <w:color w:val="000000"/>
                <w:sz w:val="20"/>
                <w:szCs w:val="20"/>
              </w:rPr>
              <w:t xml:space="preserve">Executive Vice President, Global Controller and </w:t>
            </w:r>
          </w:p>
          <w:p w14:paraId="5F2D6CAA" w14:textId="77777777" w:rsidR="00E836FB" w:rsidRDefault="00994958">
            <w:pPr>
              <w:textAlignment w:val="bottom"/>
            </w:pPr>
            <w:r>
              <w:rPr>
                <w:rFonts w:ascii="Arial" w:eastAsia="宋体" w:hAnsi="Arial" w:cs="Arial"/>
                <w:color w:val="000000"/>
                <w:sz w:val="20"/>
                <w:szCs w:val="20"/>
              </w:rPr>
              <w:t>Chief Accounting Officer</w:t>
            </w:r>
          </w:p>
        </w:tc>
      </w:tr>
    </w:tbl>
    <w:p w14:paraId="5F2D6CAC" w14:textId="77777777" w:rsidR="00E836FB" w:rsidRDefault="00E836FB">
      <w:pPr>
        <w:ind w:firstLine="450"/>
      </w:pPr>
    </w:p>
    <w:p w14:paraId="5F2D6CAD" w14:textId="77777777" w:rsidR="00E836FB" w:rsidRDefault="00E836FB">
      <w:pPr>
        <w:ind w:firstLine="450"/>
      </w:pPr>
    </w:p>
    <w:p w14:paraId="5F2D6CAE" w14:textId="77777777" w:rsidR="00E836FB" w:rsidRDefault="00E836FB">
      <w:pPr>
        <w:ind w:firstLine="450"/>
      </w:pPr>
    </w:p>
    <w:p w14:paraId="5F2D6CAF" w14:textId="77777777" w:rsidR="00E836FB" w:rsidRDefault="00994958">
      <w:pPr>
        <w:spacing w:before="180"/>
      </w:pPr>
      <w:r>
        <w:rPr>
          <w:rFonts w:ascii="Arial" w:eastAsia="宋体" w:hAnsi="Arial" w:cs="Arial"/>
          <w:b/>
          <w:bCs/>
          <w:color w:val="000000"/>
          <w:sz w:val="20"/>
          <w:szCs w:val="20"/>
        </w:rPr>
        <w:t>DIRECTORS:</w:t>
      </w:r>
    </w:p>
    <w:tbl>
      <w:tblPr>
        <w:tblW w:w="4985" w:type="pct"/>
        <w:tblCellMar>
          <w:top w:w="15" w:type="dxa"/>
          <w:left w:w="15" w:type="dxa"/>
          <w:bottom w:w="15" w:type="dxa"/>
          <w:right w:w="15" w:type="dxa"/>
        </w:tblCellMar>
        <w:tblLook w:val="04A0" w:firstRow="1" w:lastRow="0" w:firstColumn="1" w:lastColumn="0" w:noHBand="0" w:noVBand="1"/>
      </w:tblPr>
      <w:tblGrid>
        <w:gridCol w:w="63"/>
        <w:gridCol w:w="3850"/>
        <w:gridCol w:w="37"/>
        <w:gridCol w:w="63"/>
        <w:gridCol w:w="216"/>
        <w:gridCol w:w="36"/>
        <w:gridCol w:w="36"/>
        <w:gridCol w:w="36"/>
        <w:gridCol w:w="36"/>
        <w:gridCol w:w="50"/>
        <w:gridCol w:w="3850"/>
        <w:gridCol w:w="38"/>
      </w:tblGrid>
      <w:tr w:rsidR="00E836FB" w14:paraId="5F2D6CBC" w14:textId="77777777">
        <w:tc>
          <w:tcPr>
            <w:tcW w:w="50" w:type="pct"/>
            <w:shd w:val="clear" w:color="auto" w:fill="auto"/>
            <w:vAlign w:val="bottom"/>
          </w:tcPr>
          <w:p w14:paraId="5F2D6CB0" w14:textId="77777777" w:rsidR="00E836FB" w:rsidRDefault="00E836FB">
            <w:pPr>
              <w:rPr>
                <w:rFonts w:ascii="宋体"/>
              </w:rPr>
            </w:pPr>
          </w:p>
        </w:tc>
        <w:tc>
          <w:tcPr>
            <w:tcW w:w="2327" w:type="pct"/>
            <w:shd w:val="clear" w:color="auto" w:fill="auto"/>
            <w:vAlign w:val="bottom"/>
          </w:tcPr>
          <w:p w14:paraId="5F2D6CB1" w14:textId="77777777" w:rsidR="00E836FB" w:rsidRDefault="00E836FB">
            <w:pPr>
              <w:rPr>
                <w:rFonts w:ascii="宋体"/>
              </w:rPr>
            </w:pPr>
          </w:p>
        </w:tc>
        <w:tc>
          <w:tcPr>
            <w:tcW w:w="5" w:type="pct"/>
            <w:shd w:val="clear" w:color="auto" w:fill="auto"/>
            <w:vAlign w:val="bottom"/>
          </w:tcPr>
          <w:p w14:paraId="5F2D6CB2" w14:textId="77777777" w:rsidR="00E836FB" w:rsidRDefault="00E836FB">
            <w:pPr>
              <w:rPr>
                <w:rFonts w:ascii="宋体"/>
              </w:rPr>
            </w:pPr>
          </w:p>
        </w:tc>
        <w:tc>
          <w:tcPr>
            <w:tcW w:w="50" w:type="pct"/>
            <w:shd w:val="clear" w:color="auto" w:fill="auto"/>
            <w:vAlign w:val="bottom"/>
          </w:tcPr>
          <w:p w14:paraId="5F2D6CB3" w14:textId="77777777" w:rsidR="00E836FB" w:rsidRDefault="00E836FB">
            <w:pPr>
              <w:rPr>
                <w:rFonts w:ascii="宋体"/>
              </w:rPr>
            </w:pPr>
          </w:p>
        </w:tc>
        <w:tc>
          <w:tcPr>
            <w:tcW w:w="142" w:type="pct"/>
            <w:shd w:val="clear" w:color="auto" w:fill="auto"/>
            <w:vAlign w:val="bottom"/>
          </w:tcPr>
          <w:p w14:paraId="5F2D6CB4" w14:textId="77777777" w:rsidR="00E836FB" w:rsidRDefault="00E836FB">
            <w:pPr>
              <w:rPr>
                <w:rFonts w:ascii="宋体"/>
              </w:rPr>
            </w:pPr>
          </w:p>
        </w:tc>
        <w:tc>
          <w:tcPr>
            <w:tcW w:w="5" w:type="pct"/>
            <w:shd w:val="clear" w:color="auto" w:fill="auto"/>
            <w:vAlign w:val="bottom"/>
          </w:tcPr>
          <w:p w14:paraId="5F2D6CB5" w14:textId="77777777" w:rsidR="00E836FB" w:rsidRDefault="00E836FB">
            <w:pPr>
              <w:rPr>
                <w:rFonts w:ascii="宋体"/>
              </w:rPr>
            </w:pPr>
          </w:p>
        </w:tc>
        <w:tc>
          <w:tcPr>
            <w:tcW w:w="5" w:type="pct"/>
            <w:shd w:val="clear" w:color="auto" w:fill="auto"/>
            <w:vAlign w:val="bottom"/>
          </w:tcPr>
          <w:p w14:paraId="5F2D6CB6" w14:textId="77777777" w:rsidR="00E836FB" w:rsidRDefault="00E836FB">
            <w:pPr>
              <w:rPr>
                <w:rFonts w:ascii="宋体"/>
              </w:rPr>
            </w:pPr>
          </w:p>
        </w:tc>
        <w:tc>
          <w:tcPr>
            <w:tcW w:w="26" w:type="pct"/>
            <w:shd w:val="clear" w:color="auto" w:fill="auto"/>
            <w:vAlign w:val="bottom"/>
          </w:tcPr>
          <w:p w14:paraId="5F2D6CB7" w14:textId="77777777" w:rsidR="00E836FB" w:rsidRDefault="00E836FB">
            <w:pPr>
              <w:rPr>
                <w:rFonts w:ascii="宋体"/>
              </w:rPr>
            </w:pPr>
          </w:p>
        </w:tc>
        <w:tc>
          <w:tcPr>
            <w:tcW w:w="5" w:type="pct"/>
            <w:shd w:val="clear" w:color="auto" w:fill="auto"/>
            <w:vAlign w:val="bottom"/>
          </w:tcPr>
          <w:p w14:paraId="5F2D6CB8" w14:textId="77777777" w:rsidR="00E836FB" w:rsidRDefault="00E836FB">
            <w:pPr>
              <w:rPr>
                <w:rFonts w:ascii="宋体"/>
              </w:rPr>
            </w:pPr>
          </w:p>
        </w:tc>
        <w:tc>
          <w:tcPr>
            <w:tcW w:w="50" w:type="pct"/>
            <w:shd w:val="clear" w:color="auto" w:fill="auto"/>
            <w:vAlign w:val="bottom"/>
          </w:tcPr>
          <w:p w14:paraId="5F2D6CB9" w14:textId="77777777" w:rsidR="00E836FB" w:rsidRDefault="00E836FB">
            <w:pPr>
              <w:rPr>
                <w:rFonts w:ascii="宋体"/>
              </w:rPr>
            </w:pPr>
          </w:p>
        </w:tc>
        <w:tc>
          <w:tcPr>
            <w:tcW w:w="2327" w:type="pct"/>
            <w:shd w:val="clear" w:color="auto" w:fill="auto"/>
            <w:vAlign w:val="bottom"/>
          </w:tcPr>
          <w:p w14:paraId="5F2D6CBA" w14:textId="77777777" w:rsidR="00E836FB" w:rsidRDefault="00E836FB">
            <w:pPr>
              <w:rPr>
                <w:rFonts w:ascii="宋体"/>
              </w:rPr>
            </w:pPr>
          </w:p>
        </w:tc>
        <w:tc>
          <w:tcPr>
            <w:tcW w:w="5" w:type="pct"/>
            <w:shd w:val="clear" w:color="auto" w:fill="auto"/>
            <w:vAlign w:val="bottom"/>
          </w:tcPr>
          <w:p w14:paraId="5F2D6CBB" w14:textId="77777777" w:rsidR="00E836FB" w:rsidRDefault="00E836FB">
            <w:pPr>
              <w:rPr>
                <w:rFonts w:ascii="宋体"/>
              </w:rPr>
            </w:pPr>
          </w:p>
        </w:tc>
      </w:tr>
      <w:tr w:rsidR="00E836FB" w14:paraId="5F2D6CC1" w14:textId="77777777">
        <w:trPr>
          <w:hidden/>
        </w:trPr>
        <w:tc>
          <w:tcPr>
            <w:tcW w:w="0" w:type="auto"/>
            <w:gridSpan w:val="3"/>
            <w:shd w:val="clear" w:color="auto" w:fill="auto"/>
            <w:vAlign w:val="bottom"/>
          </w:tcPr>
          <w:p w14:paraId="5F2D6CBD" w14:textId="77777777" w:rsidR="00E836FB" w:rsidRDefault="00E836FB">
            <w:pPr>
              <w:rPr>
                <w:rFonts w:ascii="宋体"/>
                <w:vanish/>
              </w:rPr>
            </w:pPr>
          </w:p>
        </w:tc>
        <w:tc>
          <w:tcPr>
            <w:tcW w:w="0" w:type="auto"/>
            <w:gridSpan w:val="3"/>
            <w:shd w:val="clear" w:color="auto" w:fill="auto"/>
            <w:vAlign w:val="bottom"/>
          </w:tcPr>
          <w:p w14:paraId="5F2D6CBE" w14:textId="77777777" w:rsidR="00E836FB" w:rsidRDefault="00E836FB">
            <w:pPr>
              <w:rPr>
                <w:rFonts w:ascii="宋体"/>
                <w:vanish/>
              </w:rPr>
            </w:pPr>
          </w:p>
        </w:tc>
        <w:tc>
          <w:tcPr>
            <w:tcW w:w="0" w:type="auto"/>
            <w:gridSpan w:val="3"/>
            <w:shd w:val="clear" w:color="auto" w:fill="auto"/>
            <w:vAlign w:val="bottom"/>
          </w:tcPr>
          <w:p w14:paraId="5F2D6CBF" w14:textId="77777777" w:rsidR="00E836FB" w:rsidRDefault="00E836FB">
            <w:pPr>
              <w:rPr>
                <w:rFonts w:ascii="宋体"/>
                <w:vanish/>
              </w:rPr>
            </w:pPr>
          </w:p>
        </w:tc>
        <w:tc>
          <w:tcPr>
            <w:tcW w:w="0" w:type="auto"/>
            <w:gridSpan w:val="3"/>
            <w:shd w:val="clear" w:color="auto" w:fill="auto"/>
            <w:vAlign w:val="bottom"/>
          </w:tcPr>
          <w:p w14:paraId="5F2D6CC0" w14:textId="77777777" w:rsidR="00E836FB" w:rsidRDefault="00E836FB">
            <w:pPr>
              <w:rPr>
                <w:rFonts w:ascii="宋体"/>
                <w:vanish/>
              </w:rPr>
            </w:pPr>
          </w:p>
        </w:tc>
      </w:tr>
      <w:tr w:rsidR="00E836FB" w14:paraId="5F2D6CC6" w14:textId="77777777">
        <w:trPr>
          <w:hidden/>
        </w:trPr>
        <w:tc>
          <w:tcPr>
            <w:tcW w:w="0" w:type="auto"/>
            <w:gridSpan w:val="3"/>
            <w:shd w:val="clear" w:color="auto" w:fill="auto"/>
            <w:vAlign w:val="bottom"/>
          </w:tcPr>
          <w:p w14:paraId="5F2D6CC2" w14:textId="77777777" w:rsidR="00E836FB" w:rsidRDefault="00E836FB">
            <w:pPr>
              <w:rPr>
                <w:rFonts w:ascii="宋体"/>
                <w:vanish/>
              </w:rPr>
            </w:pPr>
          </w:p>
        </w:tc>
        <w:tc>
          <w:tcPr>
            <w:tcW w:w="0" w:type="auto"/>
            <w:gridSpan w:val="3"/>
            <w:shd w:val="clear" w:color="auto" w:fill="auto"/>
            <w:vAlign w:val="bottom"/>
          </w:tcPr>
          <w:p w14:paraId="5F2D6CC3" w14:textId="77777777" w:rsidR="00E836FB" w:rsidRDefault="00E836FB">
            <w:pPr>
              <w:rPr>
                <w:rFonts w:ascii="宋体"/>
                <w:vanish/>
              </w:rPr>
            </w:pPr>
          </w:p>
        </w:tc>
        <w:tc>
          <w:tcPr>
            <w:tcW w:w="0" w:type="auto"/>
            <w:gridSpan w:val="3"/>
            <w:shd w:val="clear" w:color="auto" w:fill="auto"/>
            <w:vAlign w:val="bottom"/>
          </w:tcPr>
          <w:p w14:paraId="5F2D6CC4" w14:textId="77777777" w:rsidR="00E836FB" w:rsidRDefault="00E836FB">
            <w:pPr>
              <w:rPr>
                <w:rFonts w:ascii="宋体"/>
                <w:vanish/>
              </w:rPr>
            </w:pPr>
          </w:p>
        </w:tc>
        <w:tc>
          <w:tcPr>
            <w:tcW w:w="0" w:type="auto"/>
            <w:gridSpan w:val="3"/>
            <w:shd w:val="clear" w:color="auto" w:fill="auto"/>
            <w:vAlign w:val="bottom"/>
          </w:tcPr>
          <w:p w14:paraId="5F2D6CC5" w14:textId="77777777" w:rsidR="00E836FB" w:rsidRDefault="00E836FB">
            <w:pPr>
              <w:rPr>
                <w:rFonts w:ascii="宋体"/>
                <w:vanish/>
              </w:rPr>
            </w:pPr>
          </w:p>
        </w:tc>
      </w:tr>
      <w:tr w:rsidR="00E836FB" w14:paraId="5F2D6CCB" w14:textId="77777777">
        <w:trPr>
          <w:hidden/>
        </w:trPr>
        <w:tc>
          <w:tcPr>
            <w:tcW w:w="0" w:type="auto"/>
            <w:gridSpan w:val="3"/>
            <w:shd w:val="clear" w:color="auto" w:fill="auto"/>
            <w:vAlign w:val="bottom"/>
          </w:tcPr>
          <w:p w14:paraId="5F2D6CC7" w14:textId="77777777" w:rsidR="00E836FB" w:rsidRDefault="00E836FB">
            <w:pPr>
              <w:rPr>
                <w:rFonts w:ascii="宋体"/>
                <w:vanish/>
              </w:rPr>
            </w:pPr>
          </w:p>
        </w:tc>
        <w:tc>
          <w:tcPr>
            <w:tcW w:w="0" w:type="auto"/>
            <w:gridSpan w:val="3"/>
            <w:shd w:val="clear" w:color="auto" w:fill="auto"/>
            <w:vAlign w:val="bottom"/>
          </w:tcPr>
          <w:p w14:paraId="5F2D6CC8" w14:textId="77777777" w:rsidR="00E836FB" w:rsidRDefault="00E836FB">
            <w:pPr>
              <w:rPr>
                <w:rFonts w:ascii="宋体"/>
                <w:vanish/>
              </w:rPr>
            </w:pPr>
          </w:p>
        </w:tc>
        <w:tc>
          <w:tcPr>
            <w:tcW w:w="0" w:type="auto"/>
            <w:gridSpan w:val="3"/>
            <w:shd w:val="clear" w:color="auto" w:fill="auto"/>
            <w:vAlign w:val="bottom"/>
          </w:tcPr>
          <w:p w14:paraId="5F2D6CC9" w14:textId="77777777" w:rsidR="00E836FB" w:rsidRDefault="00E836FB">
            <w:pPr>
              <w:rPr>
                <w:rFonts w:ascii="宋体"/>
                <w:vanish/>
              </w:rPr>
            </w:pPr>
          </w:p>
        </w:tc>
        <w:tc>
          <w:tcPr>
            <w:tcW w:w="0" w:type="auto"/>
            <w:gridSpan w:val="3"/>
            <w:shd w:val="clear" w:color="auto" w:fill="auto"/>
            <w:vAlign w:val="bottom"/>
          </w:tcPr>
          <w:p w14:paraId="5F2D6CCA" w14:textId="77777777" w:rsidR="00E836FB" w:rsidRDefault="00E836FB">
            <w:pPr>
              <w:rPr>
                <w:rFonts w:ascii="宋体"/>
                <w:vanish/>
              </w:rPr>
            </w:pPr>
          </w:p>
        </w:tc>
      </w:tr>
      <w:tr w:rsidR="00E836FB" w14:paraId="5F2D6CD0" w14:textId="77777777">
        <w:trPr>
          <w:hidden/>
        </w:trPr>
        <w:tc>
          <w:tcPr>
            <w:tcW w:w="0" w:type="auto"/>
            <w:gridSpan w:val="3"/>
            <w:shd w:val="clear" w:color="auto" w:fill="auto"/>
            <w:vAlign w:val="bottom"/>
          </w:tcPr>
          <w:p w14:paraId="5F2D6CCC" w14:textId="77777777" w:rsidR="00E836FB" w:rsidRDefault="00E836FB">
            <w:pPr>
              <w:rPr>
                <w:rFonts w:ascii="宋体"/>
                <w:vanish/>
              </w:rPr>
            </w:pPr>
          </w:p>
        </w:tc>
        <w:tc>
          <w:tcPr>
            <w:tcW w:w="0" w:type="auto"/>
            <w:gridSpan w:val="3"/>
            <w:shd w:val="clear" w:color="auto" w:fill="auto"/>
            <w:vAlign w:val="bottom"/>
          </w:tcPr>
          <w:p w14:paraId="5F2D6CCD" w14:textId="77777777" w:rsidR="00E836FB" w:rsidRDefault="00E836FB">
            <w:pPr>
              <w:rPr>
                <w:rFonts w:ascii="宋体"/>
                <w:vanish/>
              </w:rPr>
            </w:pPr>
          </w:p>
        </w:tc>
        <w:tc>
          <w:tcPr>
            <w:tcW w:w="0" w:type="auto"/>
            <w:gridSpan w:val="3"/>
            <w:shd w:val="clear" w:color="auto" w:fill="auto"/>
            <w:vAlign w:val="bottom"/>
          </w:tcPr>
          <w:p w14:paraId="5F2D6CCE" w14:textId="77777777" w:rsidR="00E836FB" w:rsidRDefault="00E836FB">
            <w:pPr>
              <w:rPr>
                <w:rFonts w:ascii="宋体"/>
                <w:vanish/>
              </w:rPr>
            </w:pPr>
          </w:p>
        </w:tc>
        <w:tc>
          <w:tcPr>
            <w:tcW w:w="0" w:type="auto"/>
            <w:gridSpan w:val="3"/>
            <w:shd w:val="clear" w:color="auto" w:fill="auto"/>
            <w:vAlign w:val="bottom"/>
          </w:tcPr>
          <w:p w14:paraId="5F2D6CCF" w14:textId="77777777" w:rsidR="00E836FB" w:rsidRDefault="00E836FB">
            <w:pPr>
              <w:rPr>
                <w:rFonts w:ascii="宋体"/>
                <w:vanish/>
              </w:rPr>
            </w:pPr>
          </w:p>
        </w:tc>
      </w:tr>
      <w:tr w:rsidR="00E836FB" w14:paraId="5F2D6CD5" w14:textId="77777777">
        <w:trPr>
          <w:trHeight w:val="60"/>
        </w:trPr>
        <w:tc>
          <w:tcPr>
            <w:tcW w:w="0" w:type="auto"/>
            <w:gridSpan w:val="3"/>
            <w:shd w:val="clear" w:color="auto" w:fill="auto"/>
            <w:tcMar>
              <w:top w:w="0" w:type="dxa"/>
              <w:left w:w="20" w:type="dxa"/>
              <w:bottom w:w="0" w:type="dxa"/>
              <w:right w:w="20" w:type="dxa"/>
            </w:tcMar>
            <w:vAlign w:val="bottom"/>
          </w:tcPr>
          <w:p w14:paraId="5F2D6CD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D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D3"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D4" w14:textId="77777777" w:rsidR="00E836FB" w:rsidRDefault="00E836FB">
            <w:pPr>
              <w:rPr>
                <w:rFonts w:ascii="宋体"/>
              </w:rPr>
            </w:pPr>
          </w:p>
        </w:tc>
      </w:tr>
      <w:tr w:rsidR="00E836FB" w14:paraId="5F2D6CDA" w14:textId="77777777">
        <w:tc>
          <w:tcPr>
            <w:tcW w:w="0" w:type="auto"/>
            <w:gridSpan w:val="3"/>
            <w:shd w:val="clear" w:color="auto" w:fill="auto"/>
            <w:tcMar>
              <w:top w:w="40" w:type="dxa"/>
              <w:left w:w="20" w:type="dxa"/>
              <w:bottom w:w="40" w:type="dxa"/>
              <w:right w:w="20" w:type="dxa"/>
            </w:tcMar>
            <w:vAlign w:val="bottom"/>
          </w:tcPr>
          <w:p w14:paraId="5F2D6CD6" w14:textId="77777777" w:rsidR="00E836FB" w:rsidRDefault="00994958">
            <w:pPr>
              <w:textAlignment w:val="bottom"/>
            </w:pPr>
            <w:r>
              <w:rPr>
                <w:rFonts w:ascii="Arial" w:eastAsia="宋体" w:hAnsi="Arial" w:cs="Arial"/>
                <w:color w:val="000000"/>
                <w:sz w:val="20"/>
                <w:szCs w:val="20"/>
              </w:rPr>
              <w:t>/s/ MARIE A. CHANDOHA</w:t>
            </w:r>
          </w:p>
        </w:tc>
        <w:tc>
          <w:tcPr>
            <w:tcW w:w="0" w:type="auto"/>
            <w:gridSpan w:val="3"/>
            <w:shd w:val="clear" w:color="auto" w:fill="auto"/>
            <w:tcMar>
              <w:top w:w="0" w:type="dxa"/>
              <w:left w:w="20" w:type="dxa"/>
              <w:bottom w:w="0" w:type="dxa"/>
              <w:right w:w="20" w:type="dxa"/>
            </w:tcMar>
            <w:vAlign w:val="bottom"/>
          </w:tcPr>
          <w:p w14:paraId="5F2D6CD7"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D8"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tcPr>
          <w:p w14:paraId="5F2D6CD9" w14:textId="77777777" w:rsidR="00E836FB" w:rsidRDefault="00994958">
            <w:pPr>
              <w:textAlignment w:val="top"/>
            </w:pPr>
            <w:r>
              <w:rPr>
                <w:rFonts w:ascii="Arial" w:eastAsia="宋体" w:hAnsi="Arial" w:cs="Arial"/>
                <w:color w:val="000000"/>
                <w:sz w:val="20"/>
                <w:szCs w:val="20"/>
              </w:rPr>
              <w:t>/s/ RONALD P. O'HANLEY</w:t>
            </w:r>
          </w:p>
        </w:tc>
      </w:tr>
      <w:tr w:rsidR="00E836FB" w14:paraId="5F2D6CDF"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DB" w14:textId="77777777" w:rsidR="00E836FB" w:rsidRDefault="00994958">
            <w:pPr>
              <w:textAlignment w:val="bottom"/>
            </w:pPr>
            <w:r>
              <w:rPr>
                <w:rFonts w:ascii="Arial" w:eastAsia="宋体" w:hAnsi="Arial" w:cs="Arial"/>
                <w:color w:val="000000"/>
                <w:sz w:val="20"/>
                <w:szCs w:val="20"/>
              </w:rPr>
              <w:t>MARIE A. CHANDOHA</w:t>
            </w:r>
          </w:p>
        </w:tc>
        <w:tc>
          <w:tcPr>
            <w:tcW w:w="0" w:type="auto"/>
            <w:gridSpan w:val="3"/>
            <w:shd w:val="clear" w:color="auto" w:fill="auto"/>
            <w:tcMar>
              <w:top w:w="0" w:type="dxa"/>
              <w:left w:w="20" w:type="dxa"/>
              <w:bottom w:w="0" w:type="dxa"/>
              <w:right w:w="20" w:type="dxa"/>
            </w:tcMar>
            <w:vAlign w:val="bottom"/>
          </w:tcPr>
          <w:p w14:paraId="5F2D6CD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DD"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F2D6CDE" w14:textId="77777777" w:rsidR="00E836FB" w:rsidRDefault="00994958">
            <w:pPr>
              <w:textAlignment w:val="top"/>
            </w:pPr>
            <w:r>
              <w:rPr>
                <w:rFonts w:ascii="Arial" w:eastAsia="宋体" w:hAnsi="Arial" w:cs="Arial"/>
                <w:color w:val="000000"/>
                <w:sz w:val="20"/>
                <w:szCs w:val="20"/>
              </w:rPr>
              <w:t>RONALD P. O'HANLEY</w:t>
            </w:r>
          </w:p>
        </w:tc>
      </w:tr>
      <w:tr w:rsidR="00E836FB" w14:paraId="5F2D6CE4" w14:textId="77777777">
        <w:trPr>
          <w:trHeight w:val="60"/>
        </w:trPr>
        <w:tc>
          <w:tcPr>
            <w:tcW w:w="0" w:type="auto"/>
            <w:gridSpan w:val="3"/>
            <w:shd w:val="clear" w:color="auto" w:fill="auto"/>
            <w:tcMar>
              <w:top w:w="0" w:type="dxa"/>
              <w:left w:w="20" w:type="dxa"/>
              <w:bottom w:w="0" w:type="dxa"/>
              <w:right w:w="20" w:type="dxa"/>
            </w:tcMar>
            <w:vAlign w:val="bottom"/>
          </w:tcPr>
          <w:p w14:paraId="5F2D6CE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E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E2"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E3" w14:textId="77777777" w:rsidR="00E836FB" w:rsidRDefault="00E836FB">
            <w:pPr>
              <w:rPr>
                <w:rFonts w:ascii="宋体"/>
              </w:rPr>
            </w:pPr>
          </w:p>
        </w:tc>
      </w:tr>
      <w:tr w:rsidR="00E836FB" w14:paraId="5F2D6CE9" w14:textId="77777777">
        <w:tc>
          <w:tcPr>
            <w:tcW w:w="0" w:type="auto"/>
            <w:gridSpan w:val="3"/>
            <w:shd w:val="clear" w:color="auto" w:fill="auto"/>
            <w:tcMar>
              <w:top w:w="40" w:type="dxa"/>
              <w:left w:w="20" w:type="dxa"/>
              <w:bottom w:w="40" w:type="dxa"/>
              <w:right w:w="20" w:type="dxa"/>
            </w:tcMar>
            <w:vAlign w:val="bottom"/>
          </w:tcPr>
          <w:p w14:paraId="5F2D6CE5" w14:textId="77777777" w:rsidR="00E836FB" w:rsidRDefault="00994958">
            <w:pPr>
              <w:textAlignment w:val="bottom"/>
            </w:pPr>
            <w:r>
              <w:rPr>
                <w:rFonts w:ascii="Arial" w:eastAsia="宋体" w:hAnsi="Arial" w:cs="Arial"/>
                <w:color w:val="000000"/>
                <w:sz w:val="20"/>
                <w:szCs w:val="20"/>
              </w:rPr>
              <w:t xml:space="preserve">/s/ PATRICK de </w:t>
            </w:r>
            <w:r>
              <w:rPr>
                <w:rFonts w:ascii="Arial" w:eastAsia="宋体" w:hAnsi="Arial" w:cs="Arial"/>
                <w:color w:val="000000"/>
                <w:sz w:val="20"/>
                <w:szCs w:val="20"/>
              </w:rPr>
              <w:t>SAINT-AIGNAN</w:t>
            </w:r>
          </w:p>
        </w:tc>
        <w:tc>
          <w:tcPr>
            <w:tcW w:w="0" w:type="auto"/>
            <w:gridSpan w:val="3"/>
            <w:shd w:val="clear" w:color="auto" w:fill="auto"/>
            <w:tcMar>
              <w:top w:w="0" w:type="dxa"/>
              <w:left w:w="20" w:type="dxa"/>
              <w:bottom w:w="0" w:type="dxa"/>
              <w:right w:w="20" w:type="dxa"/>
            </w:tcMar>
            <w:vAlign w:val="bottom"/>
          </w:tcPr>
          <w:p w14:paraId="5F2D6CE6"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E7"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E8" w14:textId="77777777" w:rsidR="00E836FB" w:rsidRDefault="00994958">
            <w:pPr>
              <w:textAlignment w:val="bottom"/>
            </w:pPr>
            <w:r>
              <w:rPr>
                <w:rFonts w:ascii="Arial" w:eastAsia="宋体" w:hAnsi="Arial" w:cs="Arial"/>
                <w:color w:val="000000"/>
                <w:sz w:val="20"/>
                <w:szCs w:val="20"/>
              </w:rPr>
              <w:t>/s/ SEAN P. O'SULLIVAN</w:t>
            </w:r>
          </w:p>
        </w:tc>
      </w:tr>
      <w:tr w:rsidR="00E836FB" w14:paraId="5F2D6CEE"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EA" w14:textId="77777777" w:rsidR="00E836FB" w:rsidRDefault="00994958">
            <w:pPr>
              <w:textAlignment w:val="bottom"/>
            </w:pPr>
            <w:r>
              <w:rPr>
                <w:rFonts w:ascii="Arial" w:eastAsia="宋体" w:hAnsi="Arial" w:cs="Arial"/>
                <w:color w:val="000000"/>
                <w:sz w:val="20"/>
                <w:szCs w:val="20"/>
              </w:rPr>
              <w:t>PATRICK de SAINT-AIGNAN</w:t>
            </w:r>
          </w:p>
        </w:tc>
        <w:tc>
          <w:tcPr>
            <w:tcW w:w="0" w:type="auto"/>
            <w:gridSpan w:val="3"/>
            <w:shd w:val="clear" w:color="auto" w:fill="auto"/>
            <w:tcMar>
              <w:top w:w="0" w:type="dxa"/>
              <w:left w:w="20" w:type="dxa"/>
              <w:bottom w:w="0" w:type="dxa"/>
              <w:right w:w="20" w:type="dxa"/>
            </w:tcMar>
            <w:vAlign w:val="bottom"/>
          </w:tcPr>
          <w:p w14:paraId="5F2D6CE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EC"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ED" w14:textId="77777777" w:rsidR="00E836FB" w:rsidRDefault="00994958">
            <w:pPr>
              <w:textAlignment w:val="bottom"/>
            </w:pPr>
            <w:r>
              <w:rPr>
                <w:rFonts w:ascii="Arial" w:eastAsia="宋体" w:hAnsi="Arial" w:cs="Arial"/>
                <w:color w:val="000000"/>
                <w:sz w:val="20"/>
                <w:szCs w:val="20"/>
              </w:rPr>
              <w:t>SEAN P. O'SULLIVAN</w:t>
            </w:r>
          </w:p>
        </w:tc>
      </w:tr>
      <w:tr w:rsidR="00E836FB" w14:paraId="5F2D6CF3" w14:textId="77777777">
        <w:trPr>
          <w:trHeight w:val="60"/>
        </w:trPr>
        <w:tc>
          <w:tcPr>
            <w:tcW w:w="0" w:type="auto"/>
            <w:gridSpan w:val="3"/>
            <w:shd w:val="clear" w:color="auto" w:fill="auto"/>
            <w:tcMar>
              <w:top w:w="0" w:type="dxa"/>
              <w:left w:w="20" w:type="dxa"/>
              <w:bottom w:w="0" w:type="dxa"/>
              <w:right w:w="20" w:type="dxa"/>
            </w:tcMar>
            <w:vAlign w:val="bottom"/>
          </w:tcPr>
          <w:p w14:paraId="5F2D6CE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F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F1"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F2" w14:textId="77777777" w:rsidR="00E836FB" w:rsidRDefault="00E836FB">
            <w:pPr>
              <w:rPr>
                <w:rFonts w:ascii="宋体"/>
              </w:rPr>
            </w:pPr>
          </w:p>
        </w:tc>
      </w:tr>
      <w:tr w:rsidR="00E836FB" w14:paraId="5F2D6CF8" w14:textId="77777777">
        <w:tc>
          <w:tcPr>
            <w:tcW w:w="0" w:type="auto"/>
            <w:gridSpan w:val="3"/>
            <w:shd w:val="clear" w:color="auto" w:fill="auto"/>
            <w:tcMar>
              <w:top w:w="40" w:type="dxa"/>
              <w:left w:w="20" w:type="dxa"/>
              <w:bottom w:w="40" w:type="dxa"/>
              <w:right w:w="20" w:type="dxa"/>
            </w:tcMar>
            <w:vAlign w:val="bottom"/>
          </w:tcPr>
          <w:p w14:paraId="5F2D6CF4" w14:textId="77777777" w:rsidR="00E836FB" w:rsidRDefault="00994958">
            <w:pPr>
              <w:textAlignment w:val="bottom"/>
            </w:pPr>
            <w:r>
              <w:rPr>
                <w:rFonts w:ascii="Arial" w:eastAsia="宋体" w:hAnsi="Arial" w:cs="Arial"/>
                <w:color w:val="000000"/>
                <w:sz w:val="20"/>
                <w:szCs w:val="20"/>
              </w:rPr>
              <w:t>/s/ AMELIA C. FAWCETT</w:t>
            </w:r>
          </w:p>
        </w:tc>
        <w:tc>
          <w:tcPr>
            <w:tcW w:w="0" w:type="auto"/>
            <w:gridSpan w:val="3"/>
            <w:shd w:val="clear" w:color="auto" w:fill="auto"/>
            <w:tcMar>
              <w:top w:w="40" w:type="dxa"/>
              <w:left w:w="20" w:type="dxa"/>
              <w:bottom w:w="40" w:type="dxa"/>
              <w:right w:w="20" w:type="dxa"/>
            </w:tcMar>
            <w:vAlign w:val="bottom"/>
          </w:tcPr>
          <w:p w14:paraId="5F2D6CF5"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CF6"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CF7" w14:textId="77777777" w:rsidR="00E836FB" w:rsidRDefault="00994958">
            <w:pPr>
              <w:textAlignment w:val="bottom"/>
            </w:pPr>
            <w:r>
              <w:rPr>
                <w:rFonts w:ascii="Arial" w:eastAsia="宋体" w:hAnsi="Arial" w:cs="Arial"/>
                <w:color w:val="000000"/>
                <w:sz w:val="20"/>
                <w:szCs w:val="20"/>
              </w:rPr>
              <w:t>/s/ JULIO A. PORTALATIN</w:t>
            </w:r>
          </w:p>
        </w:tc>
      </w:tr>
      <w:tr w:rsidR="00E836FB" w14:paraId="5F2D6CFD" w14:textId="77777777">
        <w:tc>
          <w:tcPr>
            <w:tcW w:w="0" w:type="auto"/>
            <w:gridSpan w:val="3"/>
            <w:tcBorders>
              <w:top w:val="single" w:sz="8" w:space="0" w:color="000000"/>
            </w:tcBorders>
            <w:shd w:val="clear" w:color="auto" w:fill="auto"/>
            <w:tcMar>
              <w:top w:w="40" w:type="dxa"/>
              <w:left w:w="20" w:type="dxa"/>
              <w:bottom w:w="40" w:type="dxa"/>
              <w:right w:w="20" w:type="dxa"/>
            </w:tcMar>
          </w:tcPr>
          <w:p w14:paraId="5F2D6CF9" w14:textId="77777777" w:rsidR="00E836FB" w:rsidRDefault="00994958">
            <w:pPr>
              <w:textAlignment w:val="top"/>
            </w:pPr>
            <w:r>
              <w:rPr>
                <w:rFonts w:ascii="Arial" w:eastAsia="宋体" w:hAnsi="Arial" w:cs="Arial"/>
                <w:color w:val="000000"/>
                <w:sz w:val="20"/>
                <w:szCs w:val="20"/>
              </w:rPr>
              <w:t>AMELIA C. FAWCETT</w:t>
            </w:r>
          </w:p>
        </w:tc>
        <w:tc>
          <w:tcPr>
            <w:tcW w:w="0" w:type="auto"/>
            <w:gridSpan w:val="3"/>
            <w:shd w:val="clear" w:color="auto" w:fill="auto"/>
            <w:tcMar>
              <w:top w:w="40" w:type="dxa"/>
              <w:left w:w="20" w:type="dxa"/>
              <w:bottom w:w="40" w:type="dxa"/>
              <w:right w:w="20" w:type="dxa"/>
            </w:tcMar>
            <w:vAlign w:val="bottom"/>
          </w:tcPr>
          <w:p w14:paraId="5F2D6CFA"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CFB"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CFC" w14:textId="77777777" w:rsidR="00E836FB" w:rsidRDefault="00994958">
            <w:pPr>
              <w:textAlignment w:val="bottom"/>
            </w:pPr>
            <w:r>
              <w:rPr>
                <w:rFonts w:ascii="Arial" w:eastAsia="宋体" w:hAnsi="Arial" w:cs="Arial"/>
                <w:color w:val="000000"/>
                <w:sz w:val="20"/>
                <w:szCs w:val="20"/>
              </w:rPr>
              <w:t>JULIO A. PORTALATIN</w:t>
            </w:r>
          </w:p>
        </w:tc>
      </w:tr>
      <w:tr w:rsidR="00E836FB" w14:paraId="5F2D6D02" w14:textId="77777777">
        <w:trPr>
          <w:trHeight w:val="60"/>
        </w:trPr>
        <w:tc>
          <w:tcPr>
            <w:tcW w:w="0" w:type="auto"/>
            <w:gridSpan w:val="3"/>
            <w:shd w:val="clear" w:color="auto" w:fill="auto"/>
            <w:tcMar>
              <w:top w:w="0" w:type="dxa"/>
              <w:left w:w="20" w:type="dxa"/>
              <w:bottom w:w="0" w:type="dxa"/>
              <w:right w:w="20" w:type="dxa"/>
            </w:tcMar>
            <w:vAlign w:val="bottom"/>
          </w:tcPr>
          <w:p w14:paraId="5F2D6CF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CF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00"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01" w14:textId="77777777" w:rsidR="00E836FB" w:rsidRDefault="00E836FB">
            <w:pPr>
              <w:rPr>
                <w:rFonts w:ascii="宋体"/>
              </w:rPr>
            </w:pPr>
          </w:p>
        </w:tc>
      </w:tr>
      <w:tr w:rsidR="00E836FB" w14:paraId="5F2D6D07" w14:textId="77777777">
        <w:tc>
          <w:tcPr>
            <w:tcW w:w="0" w:type="auto"/>
            <w:gridSpan w:val="3"/>
            <w:shd w:val="clear" w:color="auto" w:fill="auto"/>
            <w:tcMar>
              <w:top w:w="40" w:type="dxa"/>
              <w:left w:w="20" w:type="dxa"/>
              <w:bottom w:w="40" w:type="dxa"/>
              <w:right w:w="20" w:type="dxa"/>
            </w:tcMar>
            <w:vAlign w:val="bottom"/>
          </w:tcPr>
          <w:p w14:paraId="5F2D6D03" w14:textId="77777777" w:rsidR="00E836FB" w:rsidRDefault="00994958">
            <w:pPr>
              <w:textAlignment w:val="bottom"/>
            </w:pPr>
            <w:r>
              <w:rPr>
                <w:rFonts w:ascii="Arial" w:eastAsia="宋体" w:hAnsi="Arial" w:cs="Arial"/>
                <w:color w:val="000000"/>
                <w:sz w:val="20"/>
                <w:szCs w:val="20"/>
              </w:rPr>
              <w:t>/s/ WILLIAM C. FREDA</w:t>
            </w:r>
          </w:p>
        </w:tc>
        <w:tc>
          <w:tcPr>
            <w:tcW w:w="0" w:type="auto"/>
            <w:gridSpan w:val="3"/>
            <w:shd w:val="clear" w:color="auto" w:fill="auto"/>
            <w:tcMar>
              <w:top w:w="40" w:type="dxa"/>
              <w:left w:w="20" w:type="dxa"/>
              <w:bottom w:w="40" w:type="dxa"/>
              <w:right w:w="20" w:type="dxa"/>
            </w:tcMar>
            <w:vAlign w:val="bottom"/>
          </w:tcPr>
          <w:p w14:paraId="5F2D6D04"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D05"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D06" w14:textId="77777777" w:rsidR="00E836FB" w:rsidRDefault="00994958">
            <w:pPr>
              <w:textAlignment w:val="bottom"/>
            </w:pPr>
            <w:r>
              <w:rPr>
                <w:rFonts w:ascii="Arial" w:eastAsia="宋体" w:hAnsi="Arial" w:cs="Arial"/>
                <w:color w:val="000000"/>
                <w:sz w:val="20"/>
                <w:szCs w:val="20"/>
              </w:rPr>
              <w:t>/s/ JOHN B. RHEA</w:t>
            </w:r>
          </w:p>
        </w:tc>
      </w:tr>
      <w:tr w:rsidR="00E836FB" w14:paraId="5F2D6D0C" w14:textId="77777777">
        <w:tc>
          <w:tcPr>
            <w:tcW w:w="0" w:type="auto"/>
            <w:gridSpan w:val="3"/>
            <w:tcBorders>
              <w:top w:val="single" w:sz="8" w:space="0" w:color="000000"/>
            </w:tcBorders>
            <w:shd w:val="clear" w:color="auto" w:fill="auto"/>
            <w:tcMar>
              <w:top w:w="40" w:type="dxa"/>
              <w:left w:w="20" w:type="dxa"/>
              <w:bottom w:w="40" w:type="dxa"/>
              <w:right w:w="20" w:type="dxa"/>
            </w:tcMar>
          </w:tcPr>
          <w:p w14:paraId="5F2D6D08" w14:textId="77777777" w:rsidR="00E836FB" w:rsidRDefault="00994958">
            <w:pPr>
              <w:textAlignment w:val="top"/>
            </w:pPr>
            <w:r>
              <w:rPr>
                <w:rFonts w:ascii="Arial" w:eastAsia="宋体" w:hAnsi="Arial" w:cs="Arial"/>
                <w:color w:val="000000"/>
                <w:sz w:val="20"/>
                <w:szCs w:val="20"/>
              </w:rPr>
              <w:t>WILLIAM C. FREDA</w:t>
            </w:r>
          </w:p>
        </w:tc>
        <w:tc>
          <w:tcPr>
            <w:tcW w:w="0" w:type="auto"/>
            <w:gridSpan w:val="3"/>
            <w:shd w:val="clear" w:color="auto" w:fill="auto"/>
            <w:tcMar>
              <w:top w:w="40" w:type="dxa"/>
              <w:left w:w="20" w:type="dxa"/>
              <w:bottom w:w="40" w:type="dxa"/>
              <w:right w:w="20" w:type="dxa"/>
            </w:tcMar>
            <w:vAlign w:val="bottom"/>
          </w:tcPr>
          <w:p w14:paraId="5F2D6D09"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D0A"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D0B" w14:textId="77777777" w:rsidR="00E836FB" w:rsidRDefault="00994958">
            <w:pPr>
              <w:textAlignment w:val="bottom"/>
            </w:pPr>
            <w:r>
              <w:rPr>
                <w:rFonts w:ascii="Arial" w:eastAsia="宋体" w:hAnsi="Arial" w:cs="Arial"/>
                <w:color w:val="000000"/>
                <w:sz w:val="20"/>
                <w:szCs w:val="20"/>
              </w:rPr>
              <w:t>JOHN B. RHEA</w:t>
            </w:r>
          </w:p>
        </w:tc>
      </w:tr>
      <w:tr w:rsidR="00E836FB" w14:paraId="5F2D6D11" w14:textId="77777777">
        <w:trPr>
          <w:trHeight w:val="60"/>
        </w:trPr>
        <w:tc>
          <w:tcPr>
            <w:tcW w:w="0" w:type="auto"/>
            <w:gridSpan w:val="3"/>
            <w:shd w:val="clear" w:color="auto" w:fill="auto"/>
            <w:tcMar>
              <w:top w:w="0" w:type="dxa"/>
              <w:left w:w="20" w:type="dxa"/>
              <w:bottom w:w="0" w:type="dxa"/>
              <w:right w:w="20" w:type="dxa"/>
            </w:tcMar>
            <w:vAlign w:val="bottom"/>
          </w:tcPr>
          <w:p w14:paraId="5F2D6D0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0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0F"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10" w14:textId="77777777" w:rsidR="00E836FB" w:rsidRDefault="00E836FB">
            <w:pPr>
              <w:rPr>
                <w:rFonts w:ascii="宋体"/>
              </w:rPr>
            </w:pPr>
          </w:p>
        </w:tc>
      </w:tr>
      <w:tr w:rsidR="00E836FB" w14:paraId="5F2D6D16" w14:textId="77777777">
        <w:tc>
          <w:tcPr>
            <w:tcW w:w="0" w:type="auto"/>
            <w:gridSpan w:val="3"/>
            <w:shd w:val="clear" w:color="auto" w:fill="auto"/>
            <w:tcMar>
              <w:top w:w="40" w:type="dxa"/>
              <w:left w:w="20" w:type="dxa"/>
              <w:bottom w:w="40" w:type="dxa"/>
              <w:right w:w="20" w:type="dxa"/>
            </w:tcMar>
            <w:vAlign w:val="bottom"/>
          </w:tcPr>
          <w:p w14:paraId="5F2D6D12" w14:textId="77777777" w:rsidR="00E836FB" w:rsidRDefault="00994958">
            <w:pPr>
              <w:textAlignment w:val="bottom"/>
            </w:pPr>
            <w:r>
              <w:rPr>
                <w:rFonts w:ascii="Arial" w:eastAsia="宋体" w:hAnsi="Arial" w:cs="Arial"/>
                <w:color w:val="000000"/>
                <w:sz w:val="20"/>
                <w:szCs w:val="20"/>
              </w:rPr>
              <w:t>/s/ SARA MATHEW</w:t>
            </w:r>
          </w:p>
        </w:tc>
        <w:tc>
          <w:tcPr>
            <w:tcW w:w="0" w:type="auto"/>
            <w:gridSpan w:val="3"/>
            <w:shd w:val="clear" w:color="auto" w:fill="auto"/>
            <w:tcMar>
              <w:top w:w="40" w:type="dxa"/>
              <w:left w:w="20" w:type="dxa"/>
              <w:bottom w:w="40" w:type="dxa"/>
              <w:right w:w="20" w:type="dxa"/>
            </w:tcMar>
            <w:vAlign w:val="bottom"/>
          </w:tcPr>
          <w:p w14:paraId="5F2D6D13"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D14"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D15" w14:textId="77777777" w:rsidR="00E836FB" w:rsidRDefault="00994958">
            <w:pPr>
              <w:textAlignment w:val="bottom"/>
            </w:pPr>
            <w:r>
              <w:rPr>
                <w:rFonts w:ascii="Arial" w:eastAsia="宋体" w:hAnsi="Arial" w:cs="Arial"/>
                <w:color w:val="000000"/>
                <w:sz w:val="20"/>
                <w:szCs w:val="20"/>
              </w:rPr>
              <w:t>/s/ RICHARD P. SERGEL</w:t>
            </w:r>
          </w:p>
        </w:tc>
      </w:tr>
      <w:tr w:rsidR="00E836FB" w14:paraId="5F2D6D1B"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D17" w14:textId="77777777" w:rsidR="00E836FB" w:rsidRDefault="00994958">
            <w:pPr>
              <w:textAlignment w:val="bottom"/>
            </w:pPr>
            <w:r>
              <w:rPr>
                <w:rFonts w:ascii="Arial" w:eastAsia="宋体" w:hAnsi="Arial" w:cs="Arial"/>
                <w:color w:val="000000"/>
                <w:sz w:val="20"/>
                <w:szCs w:val="20"/>
              </w:rPr>
              <w:t>SARA MATHEW</w:t>
            </w:r>
          </w:p>
        </w:tc>
        <w:tc>
          <w:tcPr>
            <w:tcW w:w="0" w:type="auto"/>
            <w:gridSpan w:val="3"/>
            <w:shd w:val="clear" w:color="auto" w:fill="auto"/>
            <w:tcMar>
              <w:top w:w="40" w:type="dxa"/>
              <w:left w:w="20" w:type="dxa"/>
              <w:bottom w:w="40" w:type="dxa"/>
              <w:right w:w="20" w:type="dxa"/>
            </w:tcMar>
            <w:vAlign w:val="bottom"/>
          </w:tcPr>
          <w:p w14:paraId="5F2D6D18"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D19"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D1A" w14:textId="77777777" w:rsidR="00E836FB" w:rsidRDefault="00994958">
            <w:pPr>
              <w:textAlignment w:val="bottom"/>
            </w:pPr>
            <w:r>
              <w:rPr>
                <w:rFonts w:ascii="Arial" w:eastAsia="宋体" w:hAnsi="Arial" w:cs="Arial"/>
                <w:color w:val="000000"/>
                <w:sz w:val="20"/>
                <w:szCs w:val="20"/>
              </w:rPr>
              <w:t>RICHARD P. SERGEL</w:t>
            </w:r>
          </w:p>
        </w:tc>
      </w:tr>
      <w:tr w:rsidR="00E836FB" w14:paraId="5F2D6D20" w14:textId="77777777">
        <w:trPr>
          <w:trHeight w:val="60"/>
        </w:trPr>
        <w:tc>
          <w:tcPr>
            <w:tcW w:w="0" w:type="auto"/>
            <w:gridSpan w:val="3"/>
            <w:shd w:val="clear" w:color="auto" w:fill="auto"/>
            <w:tcMar>
              <w:top w:w="0" w:type="dxa"/>
              <w:left w:w="20" w:type="dxa"/>
              <w:bottom w:w="0" w:type="dxa"/>
              <w:right w:w="20" w:type="dxa"/>
            </w:tcMar>
            <w:vAlign w:val="bottom"/>
          </w:tcPr>
          <w:p w14:paraId="5F2D6D1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1D"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1E"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1F" w14:textId="77777777" w:rsidR="00E836FB" w:rsidRDefault="00E836FB">
            <w:pPr>
              <w:rPr>
                <w:rFonts w:ascii="宋体"/>
              </w:rPr>
            </w:pPr>
          </w:p>
        </w:tc>
      </w:tr>
      <w:tr w:rsidR="00E836FB" w14:paraId="5F2D6D25" w14:textId="77777777">
        <w:tc>
          <w:tcPr>
            <w:tcW w:w="0" w:type="auto"/>
            <w:gridSpan w:val="3"/>
            <w:shd w:val="clear" w:color="auto" w:fill="auto"/>
            <w:tcMar>
              <w:top w:w="40" w:type="dxa"/>
              <w:left w:w="20" w:type="dxa"/>
              <w:bottom w:w="40" w:type="dxa"/>
              <w:right w:w="20" w:type="dxa"/>
            </w:tcMar>
            <w:vAlign w:val="bottom"/>
          </w:tcPr>
          <w:p w14:paraId="5F2D6D21" w14:textId="77777777" w:rsidR="00E836FB" w:rsidRDefault="00994958">
            <w:pPr>
              <w:textAlignment w:val="bottom"/>
            </w:pPr>
            <w:r>
              <w:rPr>
                <w:rFonts w:ascii="Arial" w:eastAsia="宋体" w:hAnsi="Arial" w:cs="Arial"/>
                <w:color w:val="000000"/>
                <w:sz w:val="20"/>
                <w:szCs w:val="20"/>
              </w:rPr>
              <w:t>/s/ WILLIAM L. MEANEY</w:t>
            </w:r>
          </w:p>
        </w:tc>
        <w:tc>
          <w:tcPr>
            <w:tcW w:w="0" w:type="auto"/>
            <w:gridSpan w:val="3"/>
            <w:shd w:val="clear" w:color="auto" w:fill="auto"/>
            <w:tcMar>
              <w:top w:w="40" w:type="dxa"/>
              <w:left w:w="20" w:type="dxa"/>
              <w:bottom w:w="40" w:type="dxa"/>
              <w:right w:w="20" w:type="dxa"/>
            </w:tcMar>
            <w:vAlign w:val="bottom"/>
          </w:tcPr>
          <w:p w14:paraId="5F2D6D22"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D23" w14:textId="77777777" w:rsidR="00E836FB" w:rsidRDefault="00E836FB">
            <w:pPr>
              <w:rPr>
                <w:rFonts w:ascii="宋体"/>
              </w:rPr>
            </w:pPr>
          </w:p>
        </w:tc>
        <w:tc>
          <w:tcPr>
            <w:tcW w:w="0" w:type="auto"/>
            <w:gridSpan w:val="3"/>
            <w:shd w:val="clear" w:color="auto" w:fill="auto"/>
            <w:tcMar>
              <w:top w:w="40" w:type="dxa"/>
              <w:left w:w="20" w:type="dxa"/>
              <w:bottom w:w="40" w:type="dxa"/>
              <w:right w:w="20" w:type="dxa"/>
            </w:tcMar>
            <w:vAlign w:val="bottom"/>
          </w:tcPr>
          <w:p w14:paraId="5F2D6D24" w14:textId="77777777" w:rsidR="00E836FB" w:rsidRDefault="00994958">
            <w:pPr>
              <w:textAlignment w:val="bottom"/>
            </w:pPr>
            <w:r>
              <w:rPr>
                <w:rFonts w:ascii="Arial" w:eastAsia="宋体" w:hAnsi="Arial" w:cs="Arial"/>
                <w:color w:val="000000"/>
                <w:sz w:val="20"/>
                <w:szCs w:val="20"/>
              </w:rPr>
              <w:t>/s/ GREGORY L. SUMME</w:t>
            </w:r>
          </w:p>
        </w:tc>
      </w:tr>
      <w:tr w:rsidR="00E836FB" w14:paraId="5F2D6D2A"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D26" w14:textId="77777777" w:rsidR="00E836FB" w:rsidRDefault="00994958">
            <w:pPr>
              <w:textAlignment w:val="bottom"/>
            </w:pPr>
            <w:r>
              <w:rPr>
                <w:rFonts w:ascii="Arial" w:eastAsia="宋体" w:hAnsi="Arial" w:cs="Arial"/>
                <w:color w:val="000000"/>
                <w:sz w:val="20"/>
                <w:szCs w:val="20"/>
              </w:rPr>
              <w:t>WILLIAM L. MEANEY</w:t>
            </w:r>
          </w:p>
        </w:tc>
        <w:tc>
          <w:tcPr>
            <w:tcW w:w="0" w:type="auto"/>
            <w:gridSpan w:val="3"/>
            <w:shd w:val="clear" w:color="auto" w:fill="auto"/>
            <w:tcMar>
              <w:top w:w="40" w:type="dxa"/>
              <w:left w:w="20" w:type="dxa"/>
              <w:bottom w:w="40" w:type="dxa"/>
              <w:right w:w="20" w:type="dxa"/>
            </w:tcMar>
            <w:vAlign w:val="bottom"/>
          </w:tcPr>
          <w:p w14:paraId="5F2D6D27" w14:textId="77777777" w:rsidR="00E836FB" w:rsidRDefault="00994958">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vAlign w:val="bottom"/>
          </w:tcPr>
          <w:p w14:paraId="5F2D6D28" w14:textId="77777777" w:rsidR="00E836FB" w:rsidRDefault="00E83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F2D6D29" w14:textId="77777777" w:rsidR="00E836FB" w:rsidRDefault="00994958">
            <w:pPr>
              <w:textAlignment w:val="bottom"/>
            </w:pPr>
            <w:r>
              <w:rPr>
                <w:rFonts w:ascii="Arial" w:eastAsia="宋体" w:hAnsi="Arial" w:cs="Arial"/>
                <w:color w:val="000000"/>
                <w:sz w:val="20"/>
                <w:szCs w:val="20"/>
              </w:rPr>
              <w:t>GREGORY L. SUMME</w:t>
            </w:r>
          </w:p>
        </w:tc>
      </w:tr>
      <w:tr w:rsidR="00E836FB" w14:paraId="5F2D6D2F" w14:textId="77777777">
        <w:trPr>
          <w:hidden/>
        </w:trPr>
        <w:tc>
          <w:tcPr>
            <w:tcW w:w="0" w:type="auto"/>
            <w:gridSpan w:val="3"/>
            <w:shd w:val="clear" w:color="auto" w:fill="auto"/>
            <w:vAlign w:val="bottom"/>
          </w:tcPr>
          <w:p w14:paraId="5F2D6D2B" w14:textId="77777777" w:rsidR="00E836FB" w:rsidRDefault="00E836FB">
            <w:pPr>
              <w:rPr>
                <w:rFonts w:ascii="宋体"/>
                <w:vanish/>
              </w:rPr>
            </w:pPr>
          </w:p>
        </w:tc>
        <w:tc>
          <w:tcPr>
            <w:tcW w:w="0" w:type="auto"/>
            <w:gridSpan w:val="3"/>
            <w:shd w:val="clear" w:color="auto" w:fill="auto"/>
            <w:vAlign w:val="bottom"/>
          </w:tcPr>
          <w:p w14:paraId="5F2D6D2C" w14:textId="77777777" w:rsidR="00E836FB" w:rsidRDefault="00E836FB">
            <w:pPr>
              <w:rPr>
                <w:rFonts w:ascii="宋体"/>
                <w:vanish/>
              </w:rPr>
            </w:pPr>
          </w:p>
        </w:tc>
        <w:tc>
          <w:tcPr>
            <w:tcW w:w="0" w:type="auto"/>
            <w:gridSpan w:val="3"/>
            <w:shd w:val="clear" w:color="auto" w:fill="auto"/>
            <w:vAlign w:val="bottom"/>
          </w:tcPr>
          <w:p w14:paraId="5F2D6D2D" w14:textId="77777777" w:rsidR="00E836FB" w:rsidRDefault="00E836FB">
            <w:pPr>
              <w:rPr>
                <w:rFonts w:ascii="宋体"/>
                <w:vanish/>
              </w:rPr>
            </w:pPr>
          </w:p>
        </w:tc>
        <w:tc>
          <w:tcPr>
            <w:tcW w:w="0" w:type="auto"/>
            <w:gridSpan w:val="3"/>
            <w:shd w:val="clear" w:color="auto" w:fill="auto"/>
            <w:vAlign w:val="bottom"/>
          </w:tcPr>
          <w:p w14:paraId="5F2D6D2E" w14:textId="77777777" w:rsidR="00E836FB" w:rsidRDefault="00E836FB">
            <w:pPr>
              <w:rPr>
                <w:rFonts w:ascii="宋体"/>
                <w:vanish/>
              </w:rPr>
            </w:pPr>
          </w:p>
        </w:tc>
      </w:tr>
      <w:tr w:rsidR="00E836FB" w14:paraId="5F2D6D34" w14:textId="77777777">
        <w:trPr>
          <w:hidden/>
        </w:trPr>
        <w:tc>
          <w:tcPr>
            <w:tcW w:w="0" w:type="auto"/>
            <w:gridSpan w:val="3"/>
            <w:shd w:val="clear" w:color="auto" w:fill="auto"/>
            <w:vAlign w:val="bottom"/>
          </w:tcPr>
          <w:p w14:paraId="5F2D6D30" w14:textId="77777777" w:rsidR="00E836FB" w:rsidRDefault="00E836FB">
            <w:pPr>
              <w:rPr>
                <w:rFonts w:ascii="宋体"/>
                <w:vanish/>
              </w:rPr>
            </w:pPr>
          </w:p>
        </w:tc>
        <w:tc>
          <w:tcPr>
            <w:tcW w:w="0" w:type="auto"/>
            <w:gridSpan w:val="3"/>
            <w:shd w:val="clear" w:color="auto" w:fill="auto"/>
            <w:vAlign w:val="bottom"/>
          </w:tcPr>
          <w:p w14:paraId="5F2D6D31" w14:textId="77777777" w:rsidR="00E836FB" w:rsidRDefault="00E836FB">
            <w:pPr>
              <w:rPr>
                <w:rFonts w:ascii="宋体"/>
                <w:vanish/>
              </w:rPr>
            </w:pPr>
          </w:p>
        </w:tc>
        <w:tc>
          <w:tcPr>
            <w:tcW w:w="0" w:type="auto"/>
            <w:gridSpan w:val="3"/>
            <w:shd w:val="clear" w:color="auto" w:fill="auto"/>
            <w:vAlign w:val="bottom"/>
          </w:tcPr>
          <w:p w14:paraId="5F2D6D32" w14:textId="77777777" w:rsidR="00E836FB" w:rsidRDefault="00E836FB">
            <w:pPr>
              <w:rPr>
                <w:rFonts w:ascii="宋体"/>
                <w:vanish/>
              </w:rPr>
            </w:pPr>
          </w:p>
        </w:tc>
        <w:tc>
          <w:tcPr>
            <w:tcW w:w="0" w:type="auto"/>
            <w:gridSpan w:val="3"/>
            <w:shd w:val="clear" w:color="auto" w:fill="auto"/>
            <w:vAlign w:val="bottom"/>
          </w:tcPr>
          <w:p w14:paraId="5F2D6D33" w14:textId="77777777" w:rsidR="00E836FB" w:rsidRDefault="00E836FB">
            <w:pPr>
              <w:rPr>
                <w:rFonts w:ascii="宋体"/>
                <w:vanish/>
              </w:rPr>
            </w:pPr>
          </w:p>
        </w:tc>
      </w:tr>
      <w:tr w:rsidR="00E836FB" w14:paraId="5F2D6D39" w14:textId="77777777">
        <w:trPr>
          <w:hidden/>
        </w:trPr>
        <w:tc>
          <w:tcPr>
            <w:tcW w:w="0" w:type="auto"/>
            <w:gridSpan w:val="3"/>
            <w:shd w:val="clear" w:color="auto" w:fill="auto"/>
            <w:vAlign w:val="bottom"/>
          </w:tcPr>
          <w:p w14:paraId="5F2D6D35" w14:textId="77777777" w:rsidR="00E836FB" w:rsidRDefault="00E836FB">
            <w:pPr>
              <w:rPr>
                <w:rFonts w:ascii="宋体"/>
                <w:vanish/>
              </w:rPr>
            </w:pPr>
          </w:p>
        </w:tc>
        <w:tc>
          <w:tcPr>
            <w:tcW w:w="0" w:type="auto"/>
            <w:gridSpan w:val="3"/>
            <w:shd w:val="clear" w:color="auto" w:fill="auto"/>
            <w:vAlign w:val="bottom"/>
          </w:tcPr>
          <w:p w14:paraId="5F2D6D36" w14:textId="77777777" w:rsidR="00E836FB" w:rsidRDefault="00E836FB">
            <w:pPr>
              <w:rPr>
                <w:rFonts w:ascii="宋体"/>
                <w:vanish/>
              </w:rPr>
            </w:pPr>
          </w:p>
        </w:tc>
        <w:tc>
          <w:tcPr>
            <w:tcW w:w="0" w:type="auto"/>
            <w:gridSpan w:val="3"/>
            <w:shd w:val="clear" w:color="auto" w:fill="auto"/>
            <w:vAlign w:val="bottom"/>
          </w:tcPr>
          <w:p w14:paraId="5F2D6D37" w14:textId="77777777" w:rsidR="00E836FB" w:rsidRDefault="00E836FB">
            <w:pPr>
              <w:rPr>
                <w:rFonts w:ascii="宋体"/>
                <w:vanish/>
              </w:rPr>
            </w:pPr>
          </w:p>
        </w:tc>
        <w:tc>
          <w:tcPr>
            <w:tcW w:w="0" w:type="auto"/>
            <w:gridSpan w:val="3"/>
            <w:shd w:val="clear" w:color="auto" w:fill="auto"/>
            <w:vAlign w:val="bottom"/>
          </w:tcPr>
          <w:p w14:paraId="5F2D6D38" w14:textId="77777777" w:rsidR="00E836FB" w:rsidRDefault="00E836FB">
            <w:pPr>
              <w:rPr>
                <w:rFonts w:ascii="宋体"/>
                <w:vanish/>
              </w:rPr>
            </w:pPr>
          </w:p>
        </w:tc>
      </w:tr>
      <w:tr w:rsidR="00E836FB" w14:paraId="5F2D6D3E" w14:textId="77777777">
        <w:trPr>
          <w:trHeight w:val="60"/>
        </w:trPr>
        <w:tc>
          <w:tcPr>
            <w:tcW w:w="0" w:type="auto"/>
            <w:gridSpan w:val="3"/>
            <w:shd w:val="clear" w:color="auto" w:fill="auto"/>
            <w:tcMar>
              <w:top w:w="0" w:type="dxa"/>
              <w:left w:w="20" w:type="dxa"/>
              <w:bottom w:w="0" w:type="dxa"/>
              <w:right w:w="20" w:type="dxa"/>
            </w:tcMar>
            <w:vAlign w:val="bottom"/>
          </w:tcPr>
          <w:p w14:paraId="5F2D6D3A"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3B"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3C" w14:textId="77777777" w:rsidR="00E836FB" w:rsidRDefault="00E836FB">
            <w:pPr>
              <w:rPr>
                <w:rFonts w:ascii="宋体"/>
              </w:rPr>
            </w:pPr>
          </w:p>
        </w:tc>
        <w:tc>
          <w:tcPr>
            <w:tcW w:w="0" w:type="auto"/>
            <w:gridSpan w:val="3"/>
            <w:shd w:val="clear" w:color="auto" w:fill="auto"/>
            <w:tcMar>
              <w:top w:w="0" w:type="dxa"/>
              <w:left w:w="20" w:type="dxa"/>
              <w:bottom w:w="0" w:type="dxa"/>
              <w:right w:w="20" w:type="dxa"/>
            </w:tcMar>
            <w:vAlign w:val="bottom"/>
          </w:tcPr>
          <w:p w14:paraId="5F2D6D3D" w14:textId="77777777" w:rsidR="00E836FB" w:rsidRDefault="00E836FB">
            <w:pPr>
              <w:rPr>
                <w:rFonts w:ascii="宋体"/>
              </w:rPr>
            </w:pPr>
          </w:p>
        </w:tc>
      </w:tr>
    </w:tbl>
    <w:p w14:paraId="5F2D6D3F" w14:textId="77777777" w:rsidR="00E836FB" w:rsidRDefault="00994958">
      <w:pPr>
        <w:ind w:firstLine="450"/>
        <w:jc w:val="right"/>
      </w:pPr>
      <w:r>
        <w:rPr>
          <w:rFonts w:ascii="Arial" w:eastAsia="宋体" w:hAnsi="Arial" w:cs="Arial"/>
          <w:color w:val="000000"/>
          <w:sz w:val="18"/>
          <w:szCs w:val="18"/>
        </w:rPr>
        <w:t>State Street Corporation | 198</w:t>
      </w:r>
    </w:p>
    <w:p w14:paraId="5F2D6D40" w14:textId="77777777" w:rsidR="00E836FB" w:rsidRDefault="00E836FB">
      <w:pPr>
        <w:ind w:firstLine="450"/>
        <w:jc w:val="center"/>
      </w:pPr>
    </w:p>
    <w:p w14:paraId="5F2D6D41" w14:textId="77777777" w:rsidR="00E836FB" w:rsidRDefault="009949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F2D6E4B" wp14:editId="5F2D6E4C">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43" w14:textId="77777777">
        <w:trPr>
          <w:tblCellSpacing w:w="15" w:type="dxa"/>
        </w:trPr>
        <w:tc>
          <w:tcPr>
            <w:tcW w:w="0" w:type="auto"/>
            <w:shd w:val="clear" w:color="auto" w:fill="auto"/>
            <w:vAlign w:val="center"/>
          </w:tcPr>
          <w:p w14:paraId="5F2D6D42" w14:textId="77777777" w:rsidR="00E836FB" w:rsidRDefault="00E836FB">
            <w:pPr>
              <w:rPr>
                <w:rFonts w:ascii="宋体"/>
              </w:rPr>
            </w:pPr>
          </w:p>
        </w:tc>
      </w:tr>
    </w:tbl>
    <w:p w14:paraId="5F2D6D44"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46" w14:textId="77777777">
        <w:trPr>
          <w:tblCellSpacing w:w="15" w:type="dxa"/>
        </w:trPr>
        <w:tc>
          <w:tcPr>
            <w:tcW w:w="0" w:type="auto"/>
            <w:shd w:val="clear" w:color="auto" w:fill="auto"/>
            <w:vAlign w:val="center"/>
          </w:tcPr>
          <w:p w14:paraId="5F2D6D45" w14:textId="77777777" w:rsidR="00E836FB" w:rsidRDefault="00E836FB">
            <w:pPr>
              <w:rPr>
                <w:rFonts w:ascii="宋体"/>
              </w:rPr>
            </w:pPr>
          </w:p>
        </w:tc>
      </w:tr>
    </w:tbl>
    <w:p w14:paraId="5F2D6D47"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49" w14:textId="77777777">
        <w:trPr>
          <w:tblCellSpacing w:w="15" w:type="dxa"/>
        </w:trPr>
        <w:tc>
          <w:tcPr>
            <w:tcW w:w="0" w:type="auto"/>
            <w:shd w:val="clear" w:color="auto" w:fill="auto"/>
            <w:vAlign w:val="center"/>
          </w:tcPr>
          <w:p w14:paraId="5F2D6D48" w14:textId="77777777" w:rsidR="00E836FB" w:rsidRDefault="00E836FB">
            <w:pPr>
              <w:rPr>
                <w:rFonts w:ascii="宋体"/>
              </w:rPr>
            </w:pPr>
          </w:p>
        </w:tc>
      </w:tr>
    </w:tbl>
    <w:p w14:paraId="5F2D6D4A"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4C" w14:textId="77777777">
        <w:trPr>
          <w:tblCellSpacing w:w="15" w:type="dxa"/>
        </w:trPr>
        <w:tc>
          <w:tcPr>
            <w:tcW w:w="0" w:type="auto"/>
            <w:shd w:val="clear" w:color="auto" w:fill="auto"/>
            <w:vAlign w:val="center"/>
          </w:tcPr>
          <w:p w14:paraId="5F2D6D4B" w14:textId="77777777" w:rsidR="00E836FB" w:rsidRDefault="00E836FB">
            <w:pPr>
              <w:rPr>
                <w:rFonts w:ascii="宋体"/>
              </w:rPr>
            </w:pPr>
          </w:p>
        </w:tc>
      </w:tr>
    </w:tbl>
    <w:p w14:paraId="5F2D6D4D" w14:textId="77777777" w:rsidR="00E836FB" w:rsidRDefault="00994958">
      <w:r>
        <w:rPr>
          <w:rFonts w:ascii="宋体" w:eastAsia="宋体" w:hAnsi="宋体" w:cs="宋体"/>
        </w:rPr>
        <w:t xml:space="preserve">Previous Next </w:t>
      </w:r>
    </w:p>
    <w:p w14:paraId="5F2D6D4E" w14:textId="77777777" w:rsidR="00E836FB" w:rsidRDefault="00994958">
      <w:pPr>
        <w:pStyle w:val="a3"/>
      </w:pPr>
      <w:r>
        <w:t>Settings</w:t>
      </w:r>
    </w:p>
    <w:p w14:paraId="5F2D6D4F" w14:textId="77777777" w:rsidR="00E836FB" w:rsidRDefault="00994958">
      <w:pPr>
        <w:pStyle w:val="Style4"/>
      </w:pPr>
      <w:r>
        <w:t>窗体顶端</w:t>
      </w:r>
    </w:p>
    <w:p w14:paraId="5F2D6D50" w14:textId="77777777" w:rsidR="00E836FB" w:rsidRDefault="0099495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F2D6E4D" wp14:editId="5F2D6E4E">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F2D6D51" w14:textId="77777777" w:rsidR="00E836FB" w:rsidRDefault="0099495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F2D6E4F" wp14:editId="5F2D6E50">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F2D6D52" w14:textId="77777777" w:rsidR="00E836FB" w:rsidRDefault="00994958">
      <w:r>
        <w:pict w14:anchorId="5F2D6E51">
          <v:rect id="_x0000_i1222" style="width:415.3pt;height:1.5pt" o:hralign="center" o:hrstd="t" o:hr="t" fillcolor="#a0a0a0" stroked="f"/>
        </w:pict>
      </w:r>
    </w:p>
    <w:p w14:paraId="5F2D6D53" w14:textId="77777777" w:rsidR="00E836FB" w:rsidRDefault="00994958">
      <w:r>
        <w:rPr>
          <w:rFonts w:ascii="宋体" w:eastAsia="宋体" w:hAnsi="宋体" w:cs="宋体"/>
        </w:rPr>
        <w:t xml:space="preserve">Tagged Data </w:t>
      </w:r>
    </w:p>
    <w:p w14:paraId="5F2D6D54" w14:textId="77777777" w:rsidR="00E836FB" w:rsidRDefault="00994958">
      <w:r>
        <w:rPr>
          <w:rFonts w:ascii="monospace" w:eastAsia="monospace" w:hAnsi="monospace" w:cs="monospace"/>
          <w:noProof/>
        </w:rPr>
        <mc:AlternateContent>
          <mc:Choice Requires="wps">
            <w:drawing>
              <wp:inline distT="0" distB="0" distL="114300" distR="114300" wp14:anchorId="5F2D6E52" wp14:editId="5F2D6E53">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F2D6D55" w14:textId="77777777" w:rsidR="00E836FB" w:rsidRDefault="00994958">
      <w:r>
        <w:rPr>
          <w:rFonts w:ascii="宋体" w:eastAsia="宋体" w:hAnsi="宋体" w:cs="宋体"/>
        </w:rPr>
        <w:t>Save</w:t>
      </w:r>
    </w:p>
    <w:p w14:paraId="5F2D6D56" w14:textId="77777777" w:rsidR="00E836FB" w:rsidRDefault="00994958">
      <w:r>
        <w:rPr>
          <w:rFonts w:ascii="宋体" w:eastAsia="宋体" w:hAnsi="宋体" w:cs="宋体"/>
        </w:rPr>
        <w:t>Reset</w:t>
      </w:r>
    </w:p>
    <w:p w14:paraId="5F2D6D57" w14:textId="77777777" w:rsidR="00E836FB" w:rsidRDefault="00994958">
      <w:r>
        <w:pict w14:anchorId="5F2D6E54">
          <v:rect id="_x0000_i1223" style="width:415.3pt;height:1.5pt" o:hralign="center" o:hrstd="t" o:hr="t" fillcolor="#a0a0a0" stroked="f"/>
        </w:pict>
      </w:r>
    </w:p>
    <w:p w14:paraId="5F2D6D58" w14:textId="77777777" w:rsidR="00E836FB" w:rsidRDefault="00994958">
      <w:r>
        <w:rPr>
          <w:rFonts w:ascii="宋体" w:eastAsia="宋体" w:hAnsi="宋体" w:cs="宋体"/>
        </w:rPr>
        <w:t xml:space="preserve">Search Results </w:t>
      </w:r>
    </w:p>
    <w:p w14:paraId="5F2D6D59" w14:textId="77777777" w:rsidR="00E836FB" w:rsidRDefault="00994958">
      <w:r>
        <w:rPr>
          <w:rFonts w:ascii="monospace" w:eastAsia="monospace" w:hAnsi="monospace" w:cs="monospace"/>
          <w:noProof/>
        </w:rPr>
        <mc:AlternateContent>
          <mc:Choice Requires="wps">
            <w:drawing>
              <wp:inline distT="0" distB="0" distL="114300" distR="114300" wp14:anchorId="5F2D6E55" wp14:editId="5F2D6E56">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F2D6D5A" w14:textId="77777777" w:rsidR="00E836FB" w:rsidRDefault="00994958">
      <w:r>
        <w:rPr>
          <w:rFonts w:ascii="宋体" w:eastAsia="宋体" w:hAnsi="宋体" w:cs="宋体"/>
        </w:rPr>
        <w:t>Save</w:t>
      </w:r>
    </w:p>
    <w:p w14:paraId="5F2D6D5B" w14:textId="77777777" w:rsidR="00E836FB" w:rsidRDefault="00994958">
      <w:r>
        <w:rPr>
          <w:rFonts w:ascii="宋体" w:eastAsia="宋体" w:hAnsi="宋体" w:cs="宋体"/>
        </w:rPr>
        <w:t>Reset</w:t>
      </w:r>
    </w:p>
    <w:p w14:paraId="5F2D6D5C" w14:textId="77777777" w:rsidR="00E836FB" w:rsidRDefault="00994958">
      <w:r>
        <w:pict w14:anchorId="5F2D6E57">
          <v:rect id="_x0000_i1224" style="width:415.3pt;height:1.5pt" o:hralign="center" o:hrstd="t" o:hr="t" fillcolor="#a0a0a0" stroked="f"/>
        </w:pict>
      </w:r>
    </w:p>
    <w:p w14:paraId="5F2D6D5D" w14:textId="77777777" w:rsidR="00E836FB" w:rsidRDefault="00994958">
      <w:r>
        <w:rPr>
          <w:rFonts w:ascii="宋体" w:eastAsia="宋体" w:hAnsi="宋体" w:cs="宋体"/>
        </w:rPr>
        <w:t xml:space="preserve">Selected Fact </w:t>
      </w:r>
    </w:p>
    <w:p w14:paraId="5F2D6D5E" w14:textId="77777777" w:rsidR="00E836FB" w:rsidRDefault="00994958">
      <w:r>
        <w:rPr>
          <w:rFonts w:ascii="monospace" w:eastAsia="monospace" w:hAnsi="monospace" w:cs="monospace"/>
          <w:noProof/>
        </w:rPr>
        <mc:AlternateContent>
          <mc:Choice Requires="wps">
            <w:drawing>
              <wp:inline distT="0" distB="0" distL="114300" distR="114300" wp14:anchorId="5F2D6E58" wp14:editId="5F2D6E59">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F2D6D5F" w14:textId="77777777" w:rsidR="00E836FB" w:rsidRDefault="00994958">
      <w:r>
        <w:rPr>
          <w:rFonts w:ascii="宋体" w:eastAsia="宋体" w:hAnsi="宋体" w:cs="宋体"/>
        </w:rPr>
        <w:t>Save</w:t>
      </w:r>
    </w:p>
    <w:p w14:paraId="5F2D6D60" w14:textId="77777777" w:rsidR="00E836FB" w:rsidRDefault="00994958">
      <w:r>
        <w:rPr>
          <w:rFonts w:ascii="宋体" w:eastAsia="宋体" w:hAnsi="宋体" w:cs="宋体"/>
        </w:rPr>
        <w:t>Reset</w:t>
      </w:r>
    </w:p>
    <w:p w14:paraId="5F2D6D61" w14:textId="77777777" w:rsidR="00E836FB" w:rsidRDefault="00994958">
      <w:r>
        <w:pict w14:anchorId="5F2D6E5A">
          <v:rect id="_x0000_i1225" style="width:415.3pt;height:1.5pt" o:hralign="center" o:hrstd="t" o:hr="t" fillcolor="#a0a0a0" stroked="f"/>
        </w:pict>
      </w:r>
    </w:p>
    <w:p w14:paraId="5F2D6D62" w14:textId="77777777" w:rsidR="00E836FB" w:rsidRDefault="00994958">
      <w:r>
        <w:rPr>
          <w:rFonts w:ascii="宋体" w:eastAsia="宋体" w:hAnsi="宋体" w:cs="宋体"/>
        </w:rPr>
        <w:t xml:space="preserve">Tag Shading (hover) </w:t>
      </w:r>
    </w:p>
    <w:p w14:paraId="5F2D6D63" w14:textId="77777777" w:rsidR="00E836FB" w:rsidRDefault="00994958">
      <w:r>
        <w:rPr>
          <w:rFonts w:ascii="monospace" w:eastAsia="monospace" w:hAnsi="monospace" w:cs="monospace"/>
          <w:noProof/>
        </w:rPr>
        <mc:AlternateContent>
          <mc:Choice Requires="wps">
            <w:drawing>
              <wp:inline distT="0" distB="0" distL="114300" distR="114300" wp14:anchorId="5F2D6E5B" wp14:editId="5F2D6E5C">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F2D6D64" w14:textId="77777777" w:rsidR="00E836FB" w:rsidRDefault="00994958">
      <w:r>
        <w:rPr>
          <w:rFonts w:ascii="宋体" w:eastAsia="宋体" w:hAnsi="宋体" w:cs="宋体"/>
        </w:rPr>
        <w:t>Save</w:t>
      </w:r>
    </w:p>
    <w:p w14:paraId="5F2D6D65" w14:textId="77777777" w:rsidR="00E836FB" w:rsidRDefault="00994958">
      <w:r>
        <w:rPr>
          <w:rFonts w:ascii="宋体" w:eastAsia="宋体" w:hAnsi="宋体" w:cs="宋体"/>
        </w:rPr>
        <w:t>Reset</w:t>
      </w:r>
    </w:p>
    <w:p w14:paraId="5F2D6D66" w14:textId="77777777" w:rsidR="00E836FB" w:rsidRDefault="00994958">
      <w:pPr>
        <w:pStyle w:val="Style5"/>
      </w:pPr>
      <w:r>
        <w:t>窗体底端</w:t>
      </w:r>
    </w:p>
    <w:p w14:paraId="5F2D6D67" w14:textId="77777777" w:rsidR="00E836FB" w:rsidRDefault="009949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F2D6E5D" wp14:editId="5F2D6E5E">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69" w14:textId="77777777">
        <w:trPr>
          <w:tblCellSpacing w:w="15" w:type="dxa"/>
        </w:trPr>
        <w:tc>
          <w:tcPr>
            <w:tcW w:w="0" w:type="auto"/>
            <w:shd w:val="clear" w:color="auto" w:fill="auto"/>
            <w:vAlign w:val="center"/>
          </w:tcPr>
          <w:p w14:paraId="5F2D6D68" w14:textId="77777777" w:rsidR="00E836FB" w:rsidRDefault="00E836FB">
            <w:pPr>
              <w:rPr>
                <w:rFonts w:ascii="宋体"/>
              </w:rPr>
            </w:pPr>
          </w:p>
        </w:tc>
      </w:tr>
    </w:tbl>
    <w:p w14:paraId="5F2D6D6A"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6C" w14:textId="77777777">
        <w:trPr>
          <w:tblCellSpacing w:w="15" w:type="dxa"/>
        </w:trPr>
        <w:tc>
          <w:tcPr>
            <w:tcW w:w="0" w:type="auto"/>
            <w:shd w:val="clear" w:color="auto" w:fill="auto"/>
            <w:vAlign w:val="center"/>
          </w:tcPr>
          <w:p w14:paraId="5F2D6D6B" w14:textId="77777777" w:rsidR="00E836FB" w:rsidRDefault="00E836FB">
            <w:pPr>
              <w:rPr>
                <w:rFonts w:ascii="宋体"/>
              </w:rPr>
            </w:pPr>
          </w:p>
        </w:tc>
      </w:tr>
    </w:tbl>
    <w:p w14:paraId="5F2D6D6D"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6F" w14:textId="77777777">
        <w:trPr>
          <w:tblCellSpacing w:w="15" w:type="dxa"/>
        </w:trPr>
        <w:tc>
          <w:tcPr>
            <w:tcW w:w="0" w:type="auto"/>
            <w:shd w:val="clear" w:color="auto" w:fill="auto"/>
            <w:vAlign w:val="center"/>
          </w:tcPr>
          <w:p w14:paraId="5F2D6D6E" w14:textId="77777777" w:rsidR="00E836FB" w:rsidRDefault="00E836FB">
            <w:pPr>
              <w:rPr>
                <w:rFonts w:ascii="宋体"/>
              </w:rPr>
            </w:pPr>
          </w:p>
        </w:tc>
      </w:tr>
    </w:tbl>
    <w:p w14:paraId="5F2D6D70"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72" w14:textId="77777777">
        <w:trPr>
          <w:tblCellSpacing w:w="15" w:type="dxa"/>
        </w:trPr>
        <w:tc>
          <w:tcPr>
            <w:tcW w:w="0" w:type="auto"/>
            <w:shd w:val="clear" w:color="auto" w:fill="auto"/>
            <w:vAlign w:val="center"/>
          </w:tcPr>
          <w:p w14:paraId="5F2D6D71" w14:textId="77777777" w:rsidR="00E836FB" w:rsidRDefault="00E836FB">
            <w:pPr>
              <w:rPr>
                <w:rFonts w:ascii="宋体"/>
              </w:rPr>
            </w:pPr>
          </w:p>
        </w:tc>
      </w:tr>
    </w:tbl>
    <w:p w14:paraId="5F2D6D73" w14:textId="77777777" w:rsidR="00E836FB" w:rsidRDefault="00994958">
      <w:r>
        <w:rPr>
          <w:rFonts w:ascii="宋体" w:eastAsia="宋体" w:hAnsi="宋体" w:cs="宋体"/>
        </w:rPr>
        <w:t xml:space="preserve">Previous Next </w:t>
      </w:r>
    </w:p>
    <w:p w14:paraId="5F2D6D74" w14:textId="77777777" w:rsidR="00E836FB" w:rsidRDefault="00994958">
      <w:pPr>
        <w:pStyle w:val="a3"/>
      </w:pPr>
      <w:r>
        <w:t xml:space="preserve">Nested Facts / </w:t>
      </w:r>
    </w:p>
    <w:p w14:paraId="5F2D6D75" w14:textId="77777777" w:rsidR="00E836FB" w:rsidRDefault="00994958">
      <w:r>
        <w:rPr>
          <w:rFonts w:ascii="宋体" w:eastAsia="宋体" w:hAnsi="宋体" w:cs="宋体"/>
        </w:rPr>
        <w:t xml:space="preserve">Previous Next </w:t>
      </w:r>
    </w:p>
    <w:p w14:paraId="5F2D6D76" w14:textId="77777777" w:rsidR="00E836FB" w:rsidRDefault="009949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F2D6E5F" wp14:editId="5F2D6E60">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78" w14:textId="77777777">
        <w:trPr>
          <w:tblCellSpacing w:w="15" w:type="dxa"/>
        </w:trPr>
        <w:tc>
          <w:tcPr>
            <w:tcW w:w="0" w:type="auto"/>
            <w:shd w:val="clear" w:color="auto" w:fill="auto"/>
            <w:vAlign w:val="center"/>
          </w:tcPr>
          <w:p w14:paraId="5F2D6D77" w14:textId="77777777" w:rsidR="00E836FB" w:rsidRDefault="00E836FB">
            <w:pPr>
              <w:rPr>
                <w:rFonts w:ascii="宋体"/>
              </w:rPr>
            </w:pPr>
          </w:p>
        </w:tc>
      </w:tr>
    </w:tbl>
    <w:p w14:paraId="5F2D6D79"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7B" w14:textId="77777777">
        <w:trPr>
          <w:tblCellSpacing w:w="15" w:type="dxa"/>
        </w:trPr>
        <w:tc>
          <w:tcPr>
            <w:tcW w:w="0" w:type="auto"/>
            <w:shd w:val="clear" w:color="auto" w:fill="auto"/>
            <w:vAlign w:val="center"/>
          </w:tcPr>
          <w:p w14:paraId="5F2D6D7A" w14:textId="77777777" w:rsidR="00E836FB" w:rsidRDefault="00E836FB">
            <w:pPr>
              <w:rPr>
                <w:rFonts w:ascii="宋体"/>
              </w:rPr>
            </w:pPr>
          </w:p>
        </w:tc>
      </w:tr>
    </w:tbl>
    <w:p w14:paraId="5F2D6D7C"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7E" w14:textId="77777777">
        <w:trPr>
          <w:tblCellSpacing w:w="15" w:type="dxa"/>
        </w:trPr>
        <w:tc>
          <w:tcPr>
            <w:tcW w:w="0" w:type="auto"/>
            <w:shd w:val="clear" w:color="auto" w:fill="auto"/>
            <w:vAlign w:val="center"/>
          </w:tcPr>
          <w:p w14:paraId="5F2D6D7D" w14:textId="77777777" w:rsidR="00E836FB" w:rsidRDefault="00E836FB">
            <w:pPr>
              <w:rPr>
                <w:rFonts w:ascii="宋体"/>
              </w:rPr>
            </w:pPr>
          </w:p>
        </w:tc>
      </w:tr>
    </w:tbl>
    <w:p w14:paraId="5F2D6D7F" w14:textId="77777777" w:rsidR="00E836FB" w:rsidRDefault="00E83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6FB" w14:paraId="5F2D6D81" w14:textId="77777777">
        <w:trPr>
          <w:tblCellSpacing w:w="15" w:type="dxa"/>
        </w:trPr>
        <w:tc>
          <w:tcPr>
            <w:tcW w:w="0" w:type="auto"/>
            <w:shd w:val="clear" w:color="auto" w:fill="auto"/>
            <w:vAlign w:val="center"/>
          </w:tcPr>
          <w:p w14:paraId="5F2D6D80" w14:textId="77777777" w:rsidR="00E836FB" w:rsidRDefault="00E836FB">
            <w:pPr>
              <w:rPr>
                <w:rFonts w:ascii="宋体"/>
              </w:rPr>
            </w:pPr>
          </w:p>
        </w:tc>
      </w:tr>
    </w:tbl>
    <w:p w14:paraId="5F2D6D82" w14:textId="77777777" w:rsidR="00E836FB" w:rsidRDefault="00994958">
      <w:r>
        <w:rPr>
          <w:rFonts w:ascii="宋体" w:eastAsia="宋体" w:hAnsi="宋体" w:cs="宋体"/>
        </w:rPr>
        <w:t xml:space="preserve">Previous Next </w:t>
      </w:r>
    </w:p>
    <w:p w14:paraId="5F2D6D83" w14:textId="77777777" w:rsidR="00E836FB" w:rsidRDefault="00E836FB"/>
    <w:sectPr w:rsidR="00E836F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0C4B" w14:textId="77777777" w:rsidR="00994958" w:rsidRDefault="00994958" w:rsidP="00994958">
      <w:r>
        <w:separator/>
      </w:r>
    </w:p>
  </w:endnote>
  <w:endnote w:type="continuationSeparator" w:id="0">
    <w:p w14:paraId="17FB5057" w14:textId="77777777" w:rsidR="00994958" w:rsidRDefault="00994958" w:rsidP="0099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79D1" w14:textId="77777777" w:rsidR="00994958" w:rsidRDefault="00994958" w:rsidP="00994958">
      <w:r>
        <w:separator/>
      </w:r>
    </w:p>
  </w:footnote>
  <w:footnote w:type="continuationSeparator" w:id="0">
    <w:p w14:paraId="4E72461B" w14:textId="77777777" w:rsidR="00994958" w:rsidRDefault="00994958" w:rsidP="00994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FFF830"/>
    <w:rsid w:val="00994958"/>
    <w:rsid w:val="00E836FB"/>
    <w:rsid w:val="2AFFF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C98AA"/>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949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94958"/>
    <w:rPr>
      <w:rFonts w:asciiTheme="minorEastAsia" w:hAnsiTheme="minorEastAsia" w:cs="Times New Roman"/>
      <w:sz w:val="18"/>
      <w:szCs w:val="18"/>
    </w:rPr>
  </w:style>
  <w:style w:type="paragraph" w:styleId="a8">
    <w:name w:val="footer"/>
    <w:basedOn w:val="a"/>
    <w:link w:val="a9"/>
    <w:rsid w:val="00994958"/>
    <w:pPr>
      <w:tabs>
        <w:tab w:val="center" w:pos="4153"/>
        <w:tab w:val="right" w:pos="8306"/>
      </w:tabs>
      <w:snapToGrid w:val="0"/>
    </w:pPr>
    <w:rPr>
      <w:sz w:val="18"/>
      <w:szCs w:val="18"/>
    </w:rPr>
  </w:style>
  <w:style w:type="character" w:customStyle="1" w:styleId="a9">
    <w:name w:val="页脚 字符"/>
    <w:basedOn w:val="a0"/>
    <w:link w:val="a8"/>
    <w:rsid w:val="0099495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93751/000119312515196645/d931837dex41.htm" TargetMode="External"/><Relationship Id="rId21" Type="http://schemas.openxmlformats.org/officeDocument/2006/relationships/hyperlink" Target="https://www.sec.gov/ix?doc=/Archives/edgar/data/93751/000009375122000424/stt-20211231.htm" TargetMode="External"/><Relationship Id="rId42" Type="http://schemas.openxmlformats.org/officeDocument/2006/relationships/hyperlink" Target="https://www.sec.gov/ix?doc=/Archives/edgar/data/93751/000009375122000424/stt-20211231.htm" TargetMode="External"/><Relationship Id="rId63" Type="http://schemas.openxmlformats.org/officeDocument/2006/relationships/hyperlink" Target="https://www.sec.gov/ix?doc=/Archives/edgar/data/93751/000009375122000424/stt-20211231.htm" TargetMode="External"/><Relationship Id="rId84" Type="http://schemas.openxmlformats.org/officeDocument/2006/relationships/hyperlink" Target="https://www.sec.gov/ix?doc=/Archives/edgar/data/93751/000009375122000424/stt-20211231.htm" TargetMode="External"/><Relationship Id="rId138" Type="http://schemas.openxmlformats.org/officeDocument/2006/relationships/hyperlink" Target="https://www.sec.gov/Archives/edgar/data/93751/000009375120000906/exhibit101deferredcompen.htm" TargetMode="External"/><Relationship Id="rId159" Type="http://schemas.openxmlformats.org/officeDocument/2006/relationships/hyperlink" Target="http://www.sec.gov/Archives/edgar/data/93751/000009375114000040/exhibit1018b.htm" TargetMode="External"/><Relationship Id="rId170" Type="http://schemas.openxmlformats.org/officeDocument/2006/relationships/hyperlink" Target="https://www.sec.gov/Archives/edgar/data/93751/000009375121000635/exhibit101faagreement.htm" TargetMode="External"/><Relationship Id="rId107" Type="http://schemas.openxmlformats.org/officeDocument/2006/relationships/hyperlink" Target="https://www.sec.gov/ix?doc=/Archives/edgar/data/93751/000009375122000424/stt-20211231.htm" TargetMode="External"/><Relationship Id="rId11" Type="http://schemas.openxmlformats.org/officeDocument/2006/relationships/hyperlink" Target="https://www.sec.gov/ix?doc=/Archives/edgar/data/93751/000009375122000424/stt-20211231.htm" TargetMode="External"/><Relationship Id="rId32" Type="http://schemas.openxmlformats.org/officeDocument/2006/relationships/hyperlink" Target="https://www.sec.gov/ix?doc=/Archives/edgar/data/93751/000009375122000424/stt-20211231.htm" TargetMode="External"/><Relationship Id="rId53" Type="http://schemas.openxmlformats.org/officeDocument/2006/relationships/hyperlink" Target="https://www.sec.gov/ix?doc=/Archives/edgar/data/93751/000009375122000424/stt-20211231.htm" TargetMode="External"/><Relationship Id="rId74" Type="http://schemas.openxmlformats.org/officeDocument/2006/relationships/hyperlink" Target="https://www.sec.gov/ix?doc=/Archives/edgar/data/93751/000009375122000424/stt-20211231.htm" TargetMode="External"/><Relationship Id="rId128" Type="http://schemas.openxmlformats.org/officeDocument/2006/relationships/hyperlink" Target="http://www.sec.gov/Archives/edgar/data/93751/000009375117000249/exhibit1010managementsuppl.htm" TargetMode="External"/><Relationship Id="rId149" Type="http://schemas.openxmlformats.org/officeDocument/2006/relationships/hyperlink" Target="https://www.sec.gov/Archives/edgar/data/93751/000009375117000249/exhibit1014dojprosecutio.htm" TargetMode="External"/><Relationship Id="rId5" Type="http://schemas.openxmlformats.org/officeDocument/2006/relationships/endnotes" Target="endnotes.xml"/><Relationship Id="rId160" Type="http://schemas.openxmlformats.org/officeDocument/2006/relationships/hyperlink" Target="http://www.sec.gov/Archives/edgar/data/93751/000009375114000040/exhibit1018c.htm" TargetMode="External"/><Relationship Id="rId181" Type="http://schemas.openxmlformats.org/officeDocument/2006/relationships/hyperlink" Target="https://www.sec.gov/Archives/edgar/data/93751/000009375122000424/exhibit311-december312021.htm" TargetMode="External"/><Relationship Id="rId22" Type="http://schemas.openxmlformats.org/officeDocument/2006/relationships/hyperlink" Target="https://www.sec.gov/ix?doc=/Archives/edgar/data/93751/000009375122000424/stt-20211231.htm" TargetMode="External"/><Relationship Id="rId43" Type="http://schemas.openxmlformats.org/officeDocument/2006/relationships/hyperlink" Target="https://www.sec.gov/ix?doc=/Archives/edgar/data/93751/000009375122000424/stt-20211231.htm" TargetMode="External"/><Relationship Id="rId64" Type="http://schemas.openxmlformats.org/officeDocument/2006/relationships/hyperlink" Target="https://www.sec.gov/ix?doc=/Archives/edgar/data/93751/000009375122000424/stt-20211231.htm" TargetMode="External"/><Relationship Id="rId118" Type="http://schemas.openxmlformats.org/officeDocument/2006/relationships/hyperlink" Target="http://www.sec.gov/Archives/edgar/data/93751/000119312516536969/d147129dex41.htm" TargetMode="External"/><Relationship Id="rId139" Type="http://schemas.openxmlformats.org/officeDocument/2006/relationships/hyperlink" Target="https://www.sec.gov/Archives/edgar/data/93751/000009375120000906/exhibit101deferredcompen.htm" TargetMode="External"/><Relationship Id="rId85" Type="http://schemas.openxmlformats.org/officeDocument/2006/relationships/hyperlink" Target="https://www.sec.gov/ix?doc=/Archives/edgar/data/93751/000009375122000424/stt-20211231.htm" TargetMode="External"/><Relationship Id="rId150" Type="http://schemas.openxmlformats.org/officeDocument/2006/relationships/hyperlink" Target="https://www.sec.gov/Archives/edgar/data/0000093751/000009375121000546/exhibit101sstdpa.htm" TargetMode="External"/><Relationship Id="rId171" Type="http://schemas.openxmlformats.org/officeDocument/2006/relationships/hyperlink" Target="https://www.sec.gov/Archives/edgar/data/93751/000009375121000635/exhibit101faagreement.htm" TargetMode="External"/><Relationship Id="rId12" Type="http://schemas.openxmlformats.org/officeDocument/2006/relationships/hyperlink" Target="https://www.sec.gov/ix?doc=/Archives/edgar/data/93751/000009375122000424/stt-20211231.htm" TargetMode="External"/><Relationship Id="rId33" Type="http://schemas.openxmlformats.org/officeDocument/2006/relationships/hyperlink" Target="https://www.sec.gov/ix?doc=/Archives/edgar/data/93751/000009375122000424/stt-20211231.htm" TargetMode="External"/><Relationship Id="rId108" Type="http://schemas.openxmlformats.org/officeDocument/2006/relationships/hyperlink" Target="http://www.sec.gov/Archives/edgar/data/93751/000009375118000477/exhibit31articlesofcorpo.htm" TargetMode="External"/><Relationship Id="rId129" Type="http://schemas.openxmlformats.org/officeDocument/2006/relationships/hyperlink" Target="http://www.sec.gov/Archives/edgar/data/93751/000009375117000249/exhibit1010managementsuppl.htm" TargetMode="External"/><Relationship Id="rId54" Type="http://schemas.openxmlformats.org/officeDocument/2006/relationships/hyperlink" Target="https://www.sec.gov/ix?doc=/Archives/edgar/data/93751/000009375122000424/stt-20211231.htm" TargetMode="External"/><Relationship Id="rId75" Type="http://schemas.openxmlformats.org/officeDocument/2006/relationships/hyperlink" Target="https://www.sec.gov/ix?doc=/Archives/edgar/data/93751/000009375122000424/stt-20211231.htm" TargetMode="External"/><Relationship Id="rId96" Type="http://schemas.openxmlformats.org/officeDocument/2006/relationships/hyperlink" Target="https://www.sec.gov/ix?doc=/Archives/edgar/data/93751/000009375122000424/stt-20211231.htm" TargetMode="External"/><Relationship Id="rId140" Type="http://schemas.openxmlformats.org/officeDocument/2006/relationships/hyperlink" Target="https://www.sec.gov/Archives/edgar/data/93751/000009375117000249/exhibit1014dojprosecutio.htm" TargetMode="External"/><Relationship Id="rId161" Type="http://schemas.openxmlformats.org/officeDocument/2006/relationships/hyperlink" Target="http://www.sec.gov/Archives/edgar/data/93751/000009375114000040/exhibit1018c.htm" TargetMode="External"/><Relationship Id="rId182" Type="http://schemas.openxmlformats.org/officeDocument/2006/relationships/hyperlink" Target="https://www.sec.gov/Archives/edgar/data/93751/000009375122000424/exhibit312-december312021.htm" TargetMode="External"/><Relationship Id="rId6" Type="http://schemas.openxmlformats.org/officeDocument/2006/relationships/hyperlink" Target="https://www.sec.gov/ix?doc=/Archives/edgar/data/93751/000009375122000424/stt-20211231.htm" TargetMode="External"/><Relationship Id="rId23" Type="http://schemas.openxmlformats.org/officeDocument/2006/relationships/hyperlink" Target="https://www.sec.gov/ix?doc=/Archives/edgar/data/93751/000009375122000424/stt-20211231.htm" TargetMode="External"/><Relationship Id="rId119" Type="http://schemas.openxmlformats.org/officeDocument/2006/relationships/hyperlink" Target="http://www.sec.gov/Archives/edgar/data/93751/000119312516536969/d147129dex41.htm" TargetMode="External"/><Relationship Id="rId44" Type="http://schemas.openxmlformats.org/officeDocument/2006/relationships/hyperlink" Target="https://www.sec.gov/ix?doc=/Archives/edgar/data/93751/000009375122000424/stt-20211231.htm" TargetMode="External"/><Relationship Id="rId65" Type="http://schemas.openxmlformats.org/officeDocument/2006/relationships/hyperlink" Target="https://www.sec.gov/ix?doc=/Archives/edgar/data/93751/000009375122000424/stt-20211231.htm" TargetMode="External"/><Relationship Id="rId86" Type="http://schemas.openxmlformats.org/officeDocument/2006/relationships/hyperlink" Target="https://www.sec.gov/ix?doc=/Archives/edgar/data/93751/000009375122000424/stt-20211231.htm" TargetMode="External"/><Relationship Id="rId130" Type="http://schemas.openxmlformats.org/officeDocument/2006/relationships/hyperlink" Target="http://www.sec.gov/Archives/edgar/data/93751/000009375117000249/exhibit1010managementsuppl.htm" TargetMode="External"/><Relationship Id="rId151" Type="http://schemas.openxmlformats.org/officeDocument/2006/relationships/hyperlink" Target="https://www.sec.gov/Archives/edgar/data/0000093751/000009375121000546/exhibit101sstdpa.htm" TargetMode="External"/><Relationship Id="rId172" Type="http://schemas.openxmlformats.org/officeDocument/2006/relationships/hyperlink" Target="https://www.sec.gov/Archives/edgar/data/93751/000009375119000336/exhibit1024statestreetco.htm" TargetMode="External"/><Relationship Id="rId13" Type="http://schemas.openxmlformats.org/officeDocument/2006/relationships/hyperlink" Target="https://www.sec.gov/ix?doc=/Archives/edgar/data/93751/000009375122000424/stt-20211231.htm" TargetMode="External"/><Relationship Id="rId18" Type="http://schemas.openxmlformats.org/officeDocument/2006/relationships/hyperlink" Target="https://www.sec.gov/ix?doc=/Archives/edgar/data/93751/000009375122000424/stt-20211231.htm" TargetMode="External"/><Relationship Id="rId39" Type="http://schemas.openxmlformats.org/officeDocument/2006/relationships/hyperlink" Target="https://www.sec.gov/ix?doc=/Archives/edgar/data/93751/000009375122000424/stt-20211231.htm" TargetMode="External"/><Relationship Id="rId109" Type="http://schemas.openxmlformats.org/officeDocument/2006/relationships/hyperlink" Target="http://www.sec.gov/Archives/edgar/data/93751/000009375118000477/exhibit31articlesofcorpo.htm" TargetMode="External"/><Relationship Id="rId34" Type="http://schemas.openxmlformats.org/officeDocument/2006/relationships/hyperlink" Target="https://www.sec.gov/ix?doc=/Archives/edgar/data/93751/000009375122000424/stt-20211231.htm" TargetMode="External"/><Relationship Id="rId50" Type="http://schemas.openxmlformats.org/officeDocument/2006/relationships/hyperlink" Target="https://www.sec.gov/ix?doc=/Archives/edgar/data/93751/000009375122000424/stt-20211231.htm" TargetMode="External"/><Relationship Id="rId55" Type="http://schemas.openxmlformats.org/officeDocument/2006/relationships/hyperlink" Target="https://www.sec.gov/ix?doc=/Archives/edgar/data/93751/000009375122000424/stt-20211231.htm" TargetMode="External"/><Relationship Id="rId76" Type="http://schemas.openxmlformats.org/officeDocument/2006/relationships/hyperlink" Target="https://www.sec.gov/ix?doc=/Archives/edgar/data/93751/000009375122000424/stt-20211231.htm" TargetMode="External"/><Relationship Id="rId97" Type="http://schemas.openxmlformats.org/officeDocument/2006/relationships/hyperlink" Target="https://www.sec.gov/ix?doc=/Archives/edgar/data/93751/000009375122000424/stt-20211231.htm" TargetMode="External"/><Relationship Id="rId104" Type="http://schemas.openxmlformats.org/officeDocument/2006/relationships/hyperlink" Target="https://www.sec.gov/ix?doc=/Archives/edgar/data/93751/000009375122000424/stt-20211231.htm" TargetMode="External"/><Relationship Id="rId120" Type="http://schemas.openxmlformats.org/officeDocument/2006/relationships/hyperlink" Target="https://www.sec.gov/Archives/edgar/data/93751/000119312518285705/d622413dex43.htm" TargetMode="External"/><Relationship Id="rId125" Type="http://schemas.openxmlformats.org/officeDocument/2006/relationships/hyperlink" Target="https://www.sec.gov/Archives/edgar/data/93751/000009375121000540/exhibit101combined.htm" TargetMode="External"/><Relationship Id="rId141" Type="http://schemas.openxmlformats.org/officeDocument/2006/relationships/hyperlink" Target="https://www.sec.gov/Archives/edgar/data/93751/000009375117000249/exhibit1014dojprosecutio.htm" TargetMode="External"/><Relationship Id="rId146" Type="http://schemas.openxmlformats.org/officeDocument/2006/relationships/hyperlink" Target="https://www.sec.gov/Archives/edgar/data/93751/000009375117000249/exhibit1014dojprosecutio.htm" TargetMode="External"/><Relationship Id="rId167" Type="http://schemas.openxmlformats.org/officeDocument/2006/relationships/hyperlink" Target="http://www.sec.gov/Archives/edgar/data/93751/000009375118000364/exhibit102.htm" TargetMode="External"/><Relationship Id="rId7" Type="http://schemas.openxmlformats.org/officeDocument/2006/relationships/hyperlink" Target="https://www.sec.gov/ix?doc=/Archives/edgar/data/93751/000009375122000424/stt-20211231.htm" TargetMode="External"/><Relationship Id="rId71" Type="http://schemas.openxmlformats.org/officeDocument/2006/relationships/hyperlink" Target="https://www.sec.gov/ix?doc=/Archives/edgar/data/93751/000009375122000424/stt-20211231.htm" TargetMode="External"/><Relationship Id="rId92" Type="http://schemas.openxmlformats.org/officeDocument/2006/relationships/hyperlink" Target="https://www.sec.gov/ix?doc=/Archives/edgar/data/93751/000009375122000424/stt-20211231.htm" TargetMode="External"/><Relationship Id="rId162" Type="http://schemas.openxmlformats.org/officeDocument/2006/relationships/hyperlink" Target="http://www.sec.gov/Archives/edgar/data/93751/000009375114000040/exhibit1018d.htm" TargetMode="External"/><Relationship Id="rId183" Type="http://schemas.openxmlformats.org/officeDocument/2006/relationships/hyperlink" Target="https://www.sec.gov/Archives/edgar/data/93751/000009375122000424/exhibit312-december312021.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2000424/stt-20211231.htm" TargetMode="External"/><Relationship Id="rId24" Type="http://schemas.openxmlformats.org/officeDocument/2006/relationships/hyperlink" Target="https://www.sec.gov/ix?doc=/Archives/edgar/data/93751/000009375122000424/stt-20211231.htm" TargetMode="External"/><Relationship Id="rId40" Type="http://schemas.openxmlformats.org/officeDocument/2006/relationships/hyperlink" Target="https://www.sec.gov/ix?doc=/Archives/edgar/data/93751/000009375122000424/stt-20211231.htm" TargetMode="External"/><Relationship Id="rId45" Type="http://schemas.openxmlformats.org/officeDocument/2006/relationships/hyperlink" Target="https://www.sec.gov/ix?doc=/Archives/edgar/data/93751/000009375122000424/stt-20211231.htm" TargetMode="External"/><Relationship Id="rId66" Type="http://schemas.openxmlformats.org/officeDocument/2006/relationships/hyperlink" Target="https://www.sec.gov/ix?doc=/Archives/edgar/data/93751/000009375122000424/stt-20211231.htm" TargetMode="External"/><Relationship Id="rId87" Type="http://schemas.openxmlformats.org/officeDocument/2006/relationships/hyperlink" Target="https://www.sec.gov/ix?doc=/Archives/edgar/data/93751/000009375122000424/stt-20211231.htm" TargetMode="External"/><Relationship Id="rId110" Type="http://schemas.openxmlformats.org/officeDocument/2006/relationships/hyperlink" Target="http://www.sec.gov/Archives/edgar/data/93751/000009375120000682/corpbylaws2202020v2.htm" TargetMode="External"/><Relationship Id="rId115" Type="http://schemas.openxmlformats.org/officeDocument/2006/relationships/hyperlink" Target="http://www.sec.gov/Archives/edgar/data/93751/000119312514081718/d684603dex41.htm" TargetMode="External"/><Relationship Id="rId131" Type="http://schemas.openxmlformats.org/officeDocument/2006/relationships/hyperlink" Target="http://www.sec.gov/Archives/edgar/data/93751/000009375117000249/exhibit1010managementsuppl.htm" TargetMode="External"/><Relationship Id="rId136" Type="http://schemas.openxmlformats.org/officeDocument/2006/relationships/hyperlink" Target="https://www.sec.gov/Archives/edgar/data/93751/000009375120000906/exhibit101deferredcompen.htm" TargetMode="External"/><Relationship Id="rId157" Type="http://schemas.openxmlformats.org/officeDocument/2006/relationships/hyperlink" Target="http://www.sec.gov/Archives/edgar/data/93751/000009375114000040/exhibit1018a.htm" TargetMode="External"/><Relationship Id="rId178" Type="http://schemas.openxmlformats.org/officeDocument/2006/relationships/hyperlink" Target="https://www.sec.gov/Archives/edgar/data/93751/000009375122000424/exhibit23consentletterofey.htm" TargetMode="External"/><Relationship Id="rId61" Type="http://schemas.openxmlformats.org/officeDocument/2006/relationships/hyperlink" Target="https://www.sec.gov/ix?doc=/Archives/edgar/data/93751/000009375122000424/stt-20211231.htm" TargetMode="External"/><Relationship Id="rId82" Type="http://schemas.openxmlformats.org/officeDocument/2006/relationships/hyperlink" Target="https://www.sec.gov/ix?doc=/Archives/edgar/data/93751/000009375122000424/stt-20211231.htm" TargetMode="External"/><Relationship Id="rId152" Type="http://schemas.openxmlformats.org/officeDocument/2006/relationships/hyperlink" Target="https://www.sec.gov/Archives/edgar/data/93751/000009375122000424/ex109descriptionofcompen.htm" TargetMode="External"/><Relationship Id="rId173" Type="http://schemas.openxmlformats.org/officeDocument/2006/relationships/hyperlink" Target="https://www.sec.gov/Archives/edgar/data/93751/000009375119000336/exhibit1024statestreetco.htm" TargetMode="External"/><Relationship Id="rId19" Type="http://schemas.openxmlformats.org/officeDocument/2006/relationships/hyperlink" Target="https://www.sec.gov/ix?doc=/Archives/edgar/data/93751/000009375122000424/stt-20211231.htm" TargetMode="External"/><Relationship Id="rId14" Type="http://schemas.openxmlformats.org/officeDocument/2006/relationships/hyperlink" Target="https://www.sec.gov/ix?doc=/Archives/edgar/data/93751/000009375122000424/stt-20211231.htm" TargetMode="External"/><Relationship Id="rId30" Type="http://schemas.openxmlformats.org/officeDocument/2006/relationships/hyperlink" Target="https://www.sec.gov/ix?doc=/Archives/edgar/data/93751/000009375122000424/stt-20211231.htm" TargetMode="External"/><Relationship Id="rId35" Type="http://schemas.openxmlformats.org/officeDocument/2006/relationships/hyperlink" Target="https://www.sec.gov/ix?doc=/Archives/edgar/data/93751/000009375122000424/stt-20211231.htm" TargetMode="External"/><Relationship Id="rId56" Type="http://schemas.openxmlformats.org/officeDocument/2006/relationships/hyperlink" Target="https://www.sec.gov/ix?doc=/Archives/edgar/data/93751/000009375122000424/stt-20211231.htm" TargetMode="External"/><Relationship Id="rId77" Type="http://schemas.openxmlformats.org/officeDocument/2006/relationships/hyperlink" Target="https://www.sec.gov/ix?doc=/Archives/edgar/data/93751/000009375122000424/stt-20211231.htm" TargetMode="External"/><Relationship Id="rId100" Type="http://schemas.openxmlformats.org/officeDocument/2006/relationships/hyperlink" Target="https://www.sec.gov/ix?doc=/Archives/edgar/data/93751/000009375122000424/stt-20211231.htm" TargetMode="External"/><Relationship Id="rId105" Type="http://schemas.openxmlformats.org/officeDocument/2006/relationships/hyperlink" Target="https://www.sec.gov/ix?doc=/Archives/edgar/data/93751/000009375122000424/stt-20211231.htm" TargetMode="External"/><Relationship Id="rId126" Type="http://schemas.openxmlformats.org/officeDocument/2006/relationships/hyperlink" Target="https://www.sec.gov/Archives/edgar/data/93751/000009375121000540/exhibit102combined.htm" TargetMode="External"/><Relationship Id="rId147" Type="http://schemas.openxmlformats.org/officeDocument/2006/relationships/hyperlink" Target="https://www.sec.gov/Archives/edgar/data/93751/000009375117000249/exhibit1014dojprosecutio.htm" TargetMode="External"/><Relationship Id="rId168" Type="http://schemas.openxmlformats.org/officeDocument/2006/relationships/hyperlink" Target="http://www.sec.gov/Archives/edgar/data/93751/000009375116000671/exhibit101.htm" TargetMode="External"/><Relationship Id="rId8" Type="http://schemas.openxmlformats.org/officeDocument/2006/relationships/hyperlink" Target="https://www.sec.gov/ix?doc=/Archives/edgar/data/93751/000009375122000424/stt-20211231.htm" TargetMode="External"/><Relationship Id="rId51" Type="http://schemas.openxmlformats.org/officeDocument/2006/relationships/hyperlink" Target="https://www.sec.gov/ix?doc=/Archives/edgar/data/93751/000009375122000424/stt-20211231.htm" TargetMode="External"/><Relationship Id="rId72" Type="http://schemas.openxmlformats.org/officeDocument/2006/relationships/hyperlink" Target="https://www.sec.gov/ix?doc=/Archives/edgar/data/93751/000009375122000424/stt-20211231.htm" TargetMode="External"/><Relationship Id="rId93" Type="http://schemas.openxmlformats.org/officeDocument/2006/relationships/hyperlink" Target="https://www.sec.gov/ix?doc=/Archives/edgar/data/93751/000009375122000424/stt-20211231.htm" TargetMode="External"/><Relationship Id="rId98" Type="http://schemas.openxmlformats.org/officeDocument/2006/relationships/hyperlink" Target="https://www.sec.gov/ix?doc=/Archives/edgar/data/93751/000009375122000424/stt-20211231.htm" TargetMode="External"/><Relationship Id="rId121" Type="http://schemas.openxmlformats.org/officeDocument/2006/relationships/hyperlink" Target="http://www.sec.gov/Archives/edgar/data/93751/000119312518285705/d622413dex43.htm" TargetMode="External"/><Relationship Id="rId142" Type="http://schemas.openxmlformats.org/officeDocument/2006/relationships/hyperlink" Target="https://www.sec.gov/Archives/edgar/data/93751/000009375117000249/exhibit1014dojprosecutio.htm" TargetMode="External"/><Relationship Id="rId163" Type="http://schemas.openxmlformats.org/officeDocument/2006/relationships/hyperlink" Target="http://www.sec.gov/Archives/edgar/data/93751/000009375114000040/exhibit1018d.htm" TargetMode="External"/><Relationship Id="rId184" Type="http://schemas.openxmlformats.org/officeDocument/2006/relationships/hyperlink" Target="https://www.sec.gov/Archives/edgar/data/93751/000009375122000424/exhibit32-december312021.htm" TargetMode="External"/><Relationship Id="rId3" Type="http://schemas.openxmlformats.org/officeDocument/2006/relationships/webSettings" Target="webSettings.xml"/><Relationship Id="rId25" Type="http://schemas.openxmlformats.org/officeDocument/2006/relationships/hyperlink" Target="https://www.sec.gov/ix?doc=/Archives/edgar/data/93751/000009375122000424/stt-20211231.htm" TargetMode="External"/><Relationship Id="rId46" Type="http://schemas.openxmlformats.org/officeDocument/2006/relationships/hyperlink" Target="https://www.sec.gov/ix?doc=/Archives/edgar/data/93751/000009375122000424/stt-20211231.htm" TargetMode="External"/><Relationship Id="rId67" Type="http://schemas.openxmlformats.org/officeDocument/2006/relationships/hyperlink" Target="https://www.sec.gov/ix?doc=/Archives/edgar/data/93751/000009375122000424/stt-20211231.htm" TargetMode="External"/><Relationship Id="rId116" Type="http://schemas.openxmlformats.org/officeDocument/2006/relationships/hyperlink" Target="https://www.sec.gov/Archives/edgar/data/93751/000119312515196645/d931837dex41.htm" TargetMode="External"/><Relationship Id="rId137" Type="http://schemas.openxmlformats.org/officeDocument/2006/relationships/hyperlink" Target="https://www.sec.gov/Archives/edgar/data/93751/000009375120000906/exhibit101deferredcompen.htm" TargetMode="External"/><Relationship Id="rId158" Type="http://schemas.openxmlformats.org/officeDocument/2006/relationships/hyperlink" Target="http://www.sec.gov/Archives/edgar/data/93751/000009375114000040/exhibit1018b.htm" TargetMode="External"/><Relationship Id="rId20" Type="http://schemas.openxmlformats.org/officeDocument/2006/relationships/hyperlink" Target="https://www.sec.gov/ix?doc=/Archives/edgar/data/93751/000009375122000424/stt-20211231.htm" TargetMode="External"/><Relationship Id="rId41" Type="http://schemas.openxmlformats.org/officeDocument/2006/relationships/hyperlink" Target="https://www.sec.gov/ix?doc=/Archives/edgar/data/93751/000009375122000424/stt-20211231.htm" TargetMode="External"/><Relationship Id="rId62" Type="http://schemas.openxmlformats.org/officeDocument/2006/relationships/hyperlink" Target="https://www.sec.gov/ix?doc=/Archives/edgar/data/93751/000009375122000424/stt-20211231.htm" TargetMode="External"/><Relationship Id="rId83" Type="http://schemas.openxmlformats.org/officeDocument/2006/relationships/hyperlink" Target="https://www.sec.gov/ix?doc=/Archives/edgar/data/93751/000009375122000424/stt-20211231.htm" TargetMode="External"/><Relationship Id="rId88" Type="http://schemas.openxmlformats.org/officeDocument/2006/relationships/hyperlink" Target="https://www.sec.gov/ix?doc=/Archives/edgar/data/93751/000009375122000424/stt-20211231.htm" TargetMode="External"/><Relationship Id="rId111" Type="http://schemas.openxmlformats.org/officeDocument/2006/relationships/hyperlink" Target="http://www.sec.gov/Archives/edgar/data/93751/000009375120000682/corpbylaws2202020v2.htm" TargetMode="External"/><Relationship Id="rId132" Type="http://schemas.openxmlformats.org/officeDocument/2006/relationships/hyperlink" Target="https://www.sec.gov/Archives/edgar/data/93751/000119312512079737/d262731dex1012.htm" TargetMode="External"/><Relationship Id="rId153" Type="http://schemas.openxmlformats.org/officeDocument/2006/relationships/hyperlink" Target="https://www.sec.gov/Archives/edgar/data/93751/000009375122000424/ex109descriptionofcompen.htm" TargetMode="External"/><Relationship Id="rId174" Type="http://schemas.openxmlformats.org/officeDocument/2006/relationships/hyperlink" Target="https://www.sec.gov/Archives/edgar/data/93751/000009375119000336/exhibit1025statestreetco.htm" TargetMode="External"/><Relationship Id="rId179" Type="http://schemas.openxmlformats.org/officeDocument/2006/relationships/hyperlink" Target="https://www.sec.gov/Archives/edgar/data/93751/000009375122000424/exhibit23consentletterofey.htm" TargetMode="External"/><Relationship Id="rId15" Type="http://schemas.openxmlformats.org/officeDocument/2006/relationships/hyperlink" Target="https://www.sec.gov/ix?doc=/Archives/edgar/data/93751/000009375122000424/stt-20211231.htm" TargetMode="External"/><Relationship Id="rId36" Type="http://schemas.openxmlformats.org/officeDocument/2006/relationships/hyperlink" Target="https://www.sec.gov/ix?doc=/Archives/edgar/data/93751/000009375122000424/stt-20211231.htm" TargetMode="External"/><Relationship Id="rId57" Type="http://schemas.openxmlformats.org/officeDocument/2006/relationships/hyperlink" Target="https://www.sec.gov/ix?doc=/Archives/edgar/data/93751/000009375122000424/stt-20211231.htm" TargetMode="External"/><Relationship Id="rId106" Type="http://schemas.openxmlformats.org/officeDocument/2006/relationships/hyperlink" Target="https://www.sec.gov/ix?doc=/Archives/edgar/data/93751/000009375122000424/stt-20211231.htm" TargetMode="External"/><Relationship Id="rId127" Type="http://schemas.openxmlformats.org/officeDocument/2006/relationships/hyperlink" Target="https://www.sec.gov/Archives/edgar/data/93751/000009375121000540/exhibit102combined.htm" TargetMode="External"/><Relationship Id="rId10" Type="http://schemas.openxmlformats.org/officeDocument/2006/relationships/hyperlink" Target="https://www.sec.gov/ix?doc=/Archives/edgar/data/93751/000009375122000424/stt-20211231.htm" TargetMode="External"/><Relationship Id="rId31" Type="http://schemas.openxmlformats.org/officeDocument/2006/relationships/hyperlink" Target="https://www.sec.gov/ix?doc=/Archives/edgar/data/93751/000009375122000424/stt-20211231.htm" TargetMode="External"/><Relationship Id="rId52" Type="http://schemas.openxmlformats.org/officeDocument/2006/relationships/hyperlink" Target="https://www.sec.gov/ix?doc=/Archives/edgar/data/93751/000009375122000424/stt-20211231.htm" TargetMode="External"/><Relationship Id="rId73" Type="http://schemas.openxmlformats.org/officeDocument/2006/relationships/hyperlink" Target="https://www.sec.gov/ix?doc=/Archives/edgar/data/93751/000009375122000424/stt-20211231.htm" TargetMode="External"/><Relationship Id="rId78" Type="http://schemas.openxmlformats.org/officeDocument/2006/relationships/hyperlink" Target="https://www.sec.gov/ix?doc=/Archives/edgar/data/93751/000009375122000424/stt-20211231.htm" TargetMode="External"/><Relationship Id="rId94" Type="http://schemas.openxmlformats.org/officeDocument/2006/relationships/hyperlink" Target="https://www.sec.gov/ix?doc=/Archives/edgar/data/93751/000009375122000424/stt-20211231.htm" TargetMode="External"/><Relationship Id="rId99" Type="http://schemas.openxmlformats.org/officeDocument/2006/relationships/hyperlink" Target="https://www.sec.gov/ix?doc=/Archives/edgar/data/93751/000009375122000424/stt-20211231.htm" TargetMode="External"/><Relationship Id="rId101" Type="http://schemas.openxmlformats.org/officeDocument/2006/relationships/hyperlink" Target="https://www.sec.gov/ix?doc=/Archives/edgar/data/93751/000009375122000424/stt-20211231.htm" TargetMode="External"/><Relationship Id="rId122" Type="http://schemas.openxmlformats.org/officeDocument/2006/relationships/hyperlink" Target="https://www.sec.gov/Archives/edgar/data/93751/000009375121000476/exhibit102executivesuppl.htm" TargetMode="External"/><Relationship Id="rId143" Type="http://schemas.openxmlformats.org/officeDocument/2006/relationships/hyperlink" Target="https://www.sec.gov/Archives/edgar/data/93751/000009375117000249/exhibit1014dojprosecutio.htm" TargetMode="External"/><Relationship Id="rId148" Type="http://schemas.openxmlformats.org/officeDocument/2006/relationships/hyperlink" Target="https://www.sec.gov/Archives/edgar/data/93751/000009375117000249/exhibit1014dojprosecutio.htm" TargetMode="External"/><Relationship Id="rId164" Type="http://schemas.openxmlformats.org/officeDocument/2006/relationships/hyperlink" Target="https://www.sec.gov/Archives/edgar/data/93751/000009375120000760/exhibit101mccocagreement.htm" TargetMode="External"/><Relationship Id="rId169" Type="http://schemas.openxmlformats.org/officeDocument/2006/relationships/hyperlink" Target="http://www.sec.gov/Archives/edgar/data/93751/000009375116000671/exhibit101.htm" TargetMode="External"/><Relationship Id="rId185" Type="http://schemas.openxmlformats.org/officeDocument/2006/relationships/hyperlink" Target="https://www.sec.gov/Archives/edgar/data/93751/000009375122000424/exhibit32-december312021.htm" TargetMode="External"/><Relationship Id="rId4" Type="http://schemas.openxmlformats.org/officeDocument/2006/relationships/footnotes" Target="footnotes.xml"/><Relationship Id="rId9" Type="http://schemas.openxmlformats.org/officeDocument/2006/relationships/hyperlink" Target="https://www.sec.gov/ix?doc=/Archives/edgar/data/93751/000009375122000424/stt-20211231.htm" TargetMode="External"/><Relationship Id="rId180" Type="http://schemas.openxmlformats.org/officeDocument/2006/relationships/hyperlink" Target="https://www.sec.gov/Archives/edgar/data/93751/000009375122000424/exhibit311-december312021.htm" TargetMode="External"/><Relationship Id="rId26" Type="http://schemas.openxmlformats.org/officeDocument/2006/relationships/hyperlink" Target="https://www.sec.gov/ix?doc=/Archives/edgar/data/93751/000009375122000424/stt-20211231.htm" TargetMode="External"/><Relationship Id="rId47" Type="http://schemas.openxmlformats.org/officeDocument/2006/relationships/hyperlink" Target="https://www.sec.gov/ix?doc=/Archives/edgar/data/93751/000009375122000424/stt-20211231.htm" TargetMode="External"/><Relationship Id="rId68" Type="http://schemas.openxmlformats.org/officeDocument/2006/relationships/hyperlink" Target="https://www.sec.gov/ix?doc=/Archives/edgar/data/93751/000009375122000424/stt-20211231.htm" TargetMode="External"/><Relationship Id="rId89" Type="http://schemas.openxmlformats.org/officeDocument/2006/relationships/hyperlink" Target="https://www.sec.gov/ix?doc=/Archives/edgar/data/93751/000009375122000424/stt-20211231.htm" TargetMode="External"/><Relationship Id="rId112" Type="http://schemas.openxmlformats.org/officeDocument/2006/relationships/hyperlink" Target="https://www.sec.gov/Archives/edgar/data/93751/000009375122000424/exhibit41-sttxdescriptio.htm" TargetMode="External"/><Relationship Id="rId133" Type="http://schemas.openxmlformats.org/officeDocument/2006/relationships/hyperlink" Target="https://www.sec.gov/Archives/edgar/data/93751/000119312512079737/d262731dex1012.htm" TargetMode="External"/><Relationship Id="rId154" Type="http://schemas.openxmlformats.org/officeDocument/2006/relationships/hyperlink" Target="http://www.sec.gov/Archives/edgar/data/93751/000009375118000308/ex1022rabbitrustagreemen.htm" TargetMode="External"/><Relationship Id="rId175" Type="http://schemas.openxmlformats.org/officeDocument/2006/relationships/hyperlink" Target="https://www.sec.gov/Archives/edgar/data/93751/000009375119000336/exhibit1025statestreetco.htm" TargetMode="External"/><Relationship Id="rId16" Type="http://schemas.openxmlformats.org/officeDocument/2006/relationships/hyperlink" Target="https://www.sec.gov/ix?doc=/Archives/edgar/data/93751/000009375122000424/stt-20211231.htm" TargetMode="External"/><Relationship Id="rId37" Type="http://schemas.openxmlformats.org/officeDocument/2006/relationships/hyperlink" Target="https://www.sec.gov/ix?doc=/Archives/edgar/data/93751/000009375122000424/stt-20211231.htm" TargetMode="External"/><Relationship Id="rId58" Type="http://schemas.openxmlformats.org/officeDocument/2006/relationships/hyperlink" Target="https://www.sec.gov/ix?doc=/Archives/edgar/data/93751/000009375122000424/stt-20211231.htm" TargetMode="External"/><Relationship Id="rId79" Type="http://schemas.openxmlformats.org/officeDocument/2006/relationships/hyperlink" Target="https://www.sec.gov/ix?doc=/Archives/edgar/data/93751/000009375122000424/stt-20211231.htm" TargetMode="External"/><Relationship Id="rId102" Type="http://schemas.openxmlformats.org/officeDocument/2006/relationships/hyperlink" Target="https://www.sec.gov/ix?doc=/Archives/edgar/data/93751/000009375122000424/stt-20211231.htm" TargetMode="External"/><Relationship Id="rId123" Type="http://schemas.openxmlformats.org/officeDocument/2006/relationships/hyperlink" Target="https://www.sec.gov/Archives/edgar/data/93751/000009375121000476/exhibit102executivesuppl.htm" TargetMode="External"/><Relationship Id="rId144" Type="http://schemas.openxmlformats.org/officeDocument/2006/relationships/hyperlink" Target="https://www.sec.gov/Archives/edgar/data/93751/000009375117000249/exhibit1014dojprosecutio.htm" TargetMode="External"/><Relationship Id="rId90" Type="http://schemas.openxmlformats.org/officeDocument/2006/relationships/hyperlink" Target="https://www.sec.gov/ix?doc=/Archives/edgar/data/93751/000009375122000424/stt-20211231.htm" TargetMode="External"/><Relationship Id="rId165" Type="http://schemas.openxmlformats.org/officeDocument/2006/relationships/hyperlink" Target="https://www.sec.gov/Archives/edgar/data/93751/000009375120000760/exhibit101mccocagreement.htm" TargetMode="External"/><Relationship Id="rId186" Type="http://schemas.openxmlformats.org/officeDocument/2006/relationships/fontTable" Target="fontTable.xml"/><Relationship Id="rId27" Type="http://schemas.openxmlformats.org/officeDocument/2006/relationships/hyperlink" Target="https://www.sec.gov/ix?doc=/Archives/edgar/data/93751/000009375122000424/stt-20211231.htm" TargetMode="External"/><Relationship Id="rId48" Type="http://schemas.openxmlformats.org/officeDocument/2006/relationships/hyperlink" Target="https://www.sec.gov/ix?doc=/Archives/edgar/data/93751/000009375122000424/stt-20211231.htm" TargetMode="External"/><Relationship Id="rId69" Type="http://schemas.openxmlformats.org/officeDocument/2006/relationships/hyperlink" Target="https://www.sec.gov/ix?doc=/Archives/edgar/data/93751/000009375122000424/stt-20211231.htm" TargetMode="External"/><Relationship Id="rId113" Type="http://schemas.openxmlformats.org/officeDocument/2006/relationships/hyperlink" Target="https://www.sec.gov/Archives/edgar/data/93751/000009375122000424/exhibit41-sttxdescriptio.htm" TargetMode="External"/><Relationship Id="rId134" Type="http://schemas.openxmlformats.org/officeDocument/2006/relationships/hyperlink" Target="https://www.sec.gov/Archives/edgar/data/93751/000119312512079737/d262731dex1012.htm" TargetMode="External"/><Relationship Id="rId80" Type="http://schemas.openxmlformats.org/officeDocument/2006/relationships/hyperlink" Target="https://www.sec.gov/ix?doc=/Archives/edgar/data/93751/000009375122000424/stt-20211231.htm" TargetMode="External"/><Relationship Id="rId155" Type="http://schemas.openxmlformats.org/officeDocument/2006/relationships/hyperlink" Target="http://www.sec.gov/Archives/edgar/data/93751/000009375118000308/ex1022rabbitrustagreemen.htm" TargetMode="External"/><Relationship Id="rId176" Type="http://schemas.openxmlformats.org/officeDocument/2006/relationships/hyperlink" Target="https://www.sec.gov/Archives/edgar/data/93751/000009375122000424/exhibit21-december312021.htm" TargetMode="External"/><Relationship Id="rId17" Type="http://schemas.openxmlformats.org/officeDocument/2006/relationships/hyperlink" Target="https://www.sec.gov/ix?doc=/Archives/edgar/data/93751/000009375122000424/stt-20211231.htm" TargetMode="External"/><Relationship Id="rId38" Type="http://schemas.openxmlformats.org/officeDocument/2006/relationships/hyperlink" Target="https://www.sec.gov/ix?doc=/Archives/edgar/data/93751/000009375122000424/stt-20211231.htm" TargetMode="External"/><Relationship Id="rId59" Type="http://schemas.openxmlformats.org/officeDocument/2006/relationships/hyperlink" Target="https://www.sec.gov/ix?doc=/Archives/edgar/data/93751/000009375122000424/stt-20211231.htm" TargetMode="External"/><Relationship Id="rId103" Type="http://schemas.openxmlformats.org/officeDocument/2006/relationships/hyperlink" Target="https://www.sec.gov/ix?doc=/Archives/edgar/data/93751/000009375122000424/stt-20211231.htm" TargetMode="External"/><Relationship Id="rId124" Type="http://schemas.openxmlformats.org/officeDocument/2006/relationships/hyperlink" Target="https://www.sec.gov/Archives/edgar/data/93751/000009375121000540/exhibit101combined.htm" TargetMode="External"/><Relationship Id="rId70" Type="http://schemas.openxmlformats.org/officeDocument/2006/relationships/hyperlink" Target="https://www.sec.gov/ix?doc=/Archives/edgar/data/93751/000009375122000424/stt-20211231.htm" TargetMode="External"/><Relationship Id="rId91" Type="http://schemas.openxmlformats.org/officeDocument/2006/relationships/hyperlink" Target="https://www.sec.gov/ix?doc=/Archives/edgar/data/93751/000009375122000424/stt-20211231.htm" TargetMode="External"/><Relationship Id="rId145" Type="http://schemas.openxmlformats.org/officeDocument/2006/relationships/hyperlink" Target="https://www.sec.gov/Archives/edgar/data/93751/000009375117000249/exhibit1014dojprosecutio.htm" TargetMode="External"/><Relationship Id="rId166" Type="http://schemas.openxmlformats.org/officeDocument/2006/relationships/hyperlink" Target="http://www.sec.gov/Archives/edgar/data/93751/000009375118000364/exhibit102.htm"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s://www.sec.gov/ix?doc=/Archives/edgar/data/93751/000009375122000424/stt-20211231.htm" TargetMode="External"/><Relationship Id="rId49" Type="http://schemas.openxmlformats.org/officeDocument/2006/relationships/hyperlink" Target="https://www.sec.gov/ix?doc=/Archives/edgar/data/93751/000009375122000424/stt-20211231.htm" TargetMode="External"/><Relationship Id="rId114" Type="http://schemas.openxmlformats.org/officeDocument/2006/relationships/hyperlink" Target="https://www.sec.gov/Archives/edgar/data/93751/000119312514081718/d684603dex41.htm" TargetMode="External"/><Relationship Id="rId60" Type="http://schemas.openxmlformats.org/officeDocument/2006/relationships/hyperlink" Target="https://www.sec.gov/ix?doc=/Archives/edgar/data/93751/000009375122000424/stt-20211231.htm" TargetMode="External"/><Relationship Id="rId81" Type="http://schemas.openxmlformats.org/officeDocument/2006/relationships/hyperlink" Target="https://www.sec.gov/ix?doc=/Archives/edgar/data/93751/000009375122000424/stt-20211231.htm" TargetMode="External"/><Relationship Id="rId135" Type="http://schemas.openxmlformats.org/officeDocument/2006/relationships/hyperlink" Target="https://www.sec.gov/Archives/edgar/data/93751/000119312512079737/d262731dex1012.htm" TargetMode="External"/><Relationship Id="rId156" Type="http://schemas.openxmlformats.org/officeDocument/2006/relationships/hyperlink" Target="http://www.sec.gov/Archives/edgar/data/93751/000009375114000040/exhibit1018a.htm" TargetMode="External"/><Relationship Id="rId177" Type="http://schemas.openxmlformats.org/officeDocument/2006/relationships/hyperlink" Target="https://www.sec.gov/Archives/edgar/data/93751/000009375122000424/exhibit21-december312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154803</Words>
  <Characters>882379</Characters>
  <Application>Microsoft Office Word</Application>
  <DocSecurity>0</DocSecurity>
  <Lines>7353</Lines>
  <Paragraphs>2070</Paragraphs>
  <ScaleCrop>false</ScaleCrop>
  <Company/>
  <LinksUpToDate>false</LinksUpToDate>
  <CharactersWithSpaces>1035112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120E1AE69B250E28D8B4E763328E5986</vt:lpwstr>
  </property>
</Properties>
</file>